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8831F" w14:textId="77777777" w:rsidR="00B32EF2" w:rsidRDefault="00000000">
      <w:pPr>
        <w:spacing w:after="0"/>
        <w:ind w:left="139" w:right="-21"/>
      </w:pPr>
      <w:r>
        <w:rPr>
          <w:noProof/>
        </w:rPr>
        <w:drawing>
          <wp:inline distT="0" distB="0" distL="0" distR="0" wp14:anchorId="6C7717B7" wp14:editId="2FD5BB9F">
            <wp:extent cx="3989832" cy="5580888"/>
            <wp:effectExtent l="0" t="0" r="0" b="0"/>
            <wp:docPr id="202512" name="Picture 202512"/>
            <wp:cNvGraphicFramePr/>
            <a:graphic xmlns:a="http://schemas.openxmlformats.org/drawingml/2006/main">
              <a:graphicData uri="http://schemas.openxmlformats.org/drawingml/2006/picture">
                <pic:pic xmlns:pic="http://schemas.openxmlformats.org/drawingml/2006/picture">
                  <pic:nvPicPr>
                    <pic:cNvPr id="202512" name="Picture 202512"/>
                    <pic:cNvPicPr/>
                  </pic:nvPicPr>
                  <pic:blipFill>
                    <a:blip r:embed="rId7"/>
                    <a:stretch>
                      <a:fillRect/>
                    </a:stretch>
                  </pic:blipFill>
                  <pic:spPr>
                    <a:xfrm>
                      <a:off x="0" y="0"/>
                      <a:ext cx="3989832" cy="5580888"/>
                    </a:xfrm>
                    <a:prstGeom prst="rect">
                      <a:avLst/>
                    </a:prstGeom>
                  </pic:spPr>
                </pic:pic>
              </a:graphicData>
            </a:graphic>
          </wp:inline>
        </w:drawing>
      </w:r>
    </w:p>
    <w:p w14:paraId="7A4B39BA" w14:textId="389B475B" w:rsidR="00C765E9" w:rsidRDefault="00000000">
      <w:pPr>
        <w:spacing w:after="150" w:line="250" w:lineRule="auto"/>
        <w:ind w:left="3240" w:hanging="10"/>
        <w:jc w:val="both"/>
        <w:rPr>
          <w:rFonts w:ascii="Times New Roman" w:eastAsia="Times New Roman" w:hAnsi="Times New Roman" w:cs="Times New Roman"/>
        </w:rPr>
      </w:pPr>
      <w:r>
        <w:rPr>
          <w:rFonts w:ascii="Times New Roman" w:eastAsia="Times New Roman" w:hAnsi="Times New Roman" w:cs="Times New Roman"/>
        </w:rPr>
        <w:t xml:space="preserve"> </w:t>
      </w:r>
    </w:p>
    <w:p w14:paraId="1CAD1F6D" w14:textId="77777777" w:rsidR="00C765E9" w:rsidRDefault="00C765E9">
      <w:pPr>
        <w:spacing w:after="150" w:line="250" w:lineRule="auto"/>
        <w:ind w:left="3240" w:hanging="10"/>
        <w:jc w:val="both"/>
        <w:rPr>
          <w:rFonts w:ascii="Times New Roman" w:eastAsia="Times New Roman" w:hAnsi="Times New Roman" w:cs="Times New Roman"/>
        </w:rPr>
      </w:pPr>
    </w:p>
    <w:p w14:paraId="3CBB14AD" w14:textId="32F2838A" w:rsidR="00B32EF2" w:rsidRDefault="00000000">
      <w:pPr>
        <w:spacing w:after="150" w:line="250" w:lineRule="auto"/>
        <w:ind w:left="3240" w:hanging="10"/>
        <w:jc w:val="both"/>
      </w:pPr>
      <w:r>
        <w:rPr>
          <w:rFonts w:ascii="Arial" w:eastAsia="Arial" w:hAnsi="Arial" w:cs="Arial"/>
          <w:b/>
          <w:color w:val="181717"/>
        </w:rPr>
        <w:lastRenderedPageBreak/>
        <w:t>Autori</w:t>
      </w:r>
    </w:p>
    <w:p w14:paraId="70151792" w14:textId="77777777" w:rsidR="00B32EF2" w:rsidRPr="00C765E9" w:rsidRDefault="00000000">
      <w:pPr>
        <w:spacing w:after="150" w:line="250" w:lineRule="auto"/>
        <w:ind w:left="159" w:hanging="10"/>
        <w:jc w:val="both"/>
        <w:rPr>
          <w:sz w:val="20"/>
          <w:szCs w:val="20"/>
        </w:rPr>
      </w:pPr>
      <w:r w:rsidRPr="00C765E9">
        <w:rPr>
          <w:rFonts w:ascii="Arial" w:eastAsia="Arial" w:hAnsi="Arial" w:cs="Arial"/>
          <w:b/>
          <w:color w:val="009ED5"/>
          <w:sz w:val="20"/>
          <w:szCs w:val="20"/>
        </w:rPr>
        <w:t>Oreste Saccone</w:t>
      </w:r>
      <w:r w:rsidRPr="00C765E9">
        <w:rPr>
          <w:rFonts w:ascii="Arial" w:eastAsia="Arial" w:hAnsi="Arial" w:cs="Arial"/>
          <w:b/>
          <w:color w:val="2C3648"/>
          <w:sz w:val="20"/>
          <w:szCs w:val="20"/>
        </w:rPr>
        <w:t>,</w:t>
      </w:r>
      <w:r w:rsidRPr="00C765E9">
        <w:rPr>
          <w:rFonts w:ascii="Arial" w:eastAsia="Arial" w:hAnsi="Arial" w:cs="Arial"/>
          <w:b/>
          <w:color w:val="181717"/>
          <w:sz w:val="20"/>
          <w:szCs w:val="20"/>
        </w:rPr>
        <w:t xml:space="preserve"> dirigente di vertice dell’Agenzia delle entrate in pensione. Ha ricoperto anche l’incarico di professore stabile e prorettore della Scuola Centrale Tributaria “E. Vanoni” e professore a contratto per l’insegnamento di “Problematiche fiscali delle imprese” e di “Diritto tributario” presso l’Università Partenope di Napoli. Giudice Tributario. Si occupa, come impegno sociale, di volontariato e di equità fiscale.</w:t>
      </w:r>
    </w:p>
    <w:p w14:paraId="74363D5D" w14:textId="77777777" w:rsidR="00B32EF2" w:rsidRPr="00C765E9" w:rsidRDefault="00000000">
      <w:pPr>
        <w:spacing w:after="564" w:line="250" w:lineRule="auto"/>
        <w:ind w:left="159" w:hanging="10"/>
        <w:jc w:val="both"/>
        <w:rPr>
          <w:sz w:val="20"/>
          <w:szCs w:val="20"/>
        </w:rPr>
      </w:pPr>
      <w:r w:rsidRPr="00C765E9">
        <w:rPr>
          <w:rFonts w:ascii="Arial" w:eastAsia="Arial" w:hAnsi="Arial" w:cs="Arial"/>
          <w:b/>
          <w:color w:val="009ED5"/>
          <w:sz w:val="20"/>
          <w:szCs w:val="20"/>
        </w:rPr>
        <w:t>Michele Di Fiore</w:t>
      </w:r>
      <w:r w:rsidRPr="00C765E9">
        <w:rPr>
          <w:rFonts w:ascii="Arial" w:eastAsia="Arial" w:hAnsi="Arial" w:cs="Arial"/>
          <w:b/>
          <w:color w:val="181717"/>
          <w:sz w:val="20"/>
          <w:szCs w:val="20"/>
        </w:rPr>
        <w:t xml:space="preserve">, Avvocato tributarista cassazionista, Presidente della Camera degli Avvocati Tributaristi di Napoli. E’ stato Direttore della Scuola di Alta Formazione e Specializzazione dell’Avvocato Tributarista dell’Unione Nazionale delle Camere degli Avvocati Tributaristi-UNCAT, professore a contratto di Diritto Tributario nell’Università di Napoli Federico II e nell’Università di Salerno, componente della Commissione di studi di Diritto Tributario del Consiglio Nazionale Forense e del COA di Napoli. </w:t>
      </w:r>
    </w:p>
    <w:p w14:paraId="5FDD0667" w14:textId="77777777" w:rsidR="00B32EF2" w:rsidRPr="00C765E9" w:rsidRDefault="00000000">
      <w:pPr>
        <w:spacing w:after="150" w:line="250" w:lineRule="auto"/>
        <w:ind w:left="159" w:hanging="10"/>
        <w:jc w:val="both"/>
        <w:rPr>
          <w:sz w:val="20"/>
          <w:szCs w:val="20"/>
        </w:rPr>
      </w:pPr>
      <w:r w:rsidRPr="00C765E9">
        <w:rPr>
          <w:rFonts w:ascii="Arial" w:eastAsia="Arial" w:hAnsi="Arial" w:cs="Arial"/>
          <w:b/>
          <w:color w:val="181717"/>
          <w:sz w:val="20"/>
          <w:szCs w:val="20"/>
        </w:rPr>
        <w:t>Hanno collaborato</w:t>
      </w:r>
    </w:p>
    <w:p w14:paraId="3D4B93BB" w14:textId="77777777" w:rsidR="00B32EF2" w:rsidRPr="00C765E9" w:rsidRDefault="00000000">
      <w:pPr>
        <w:spacing w:after="150" w:line="250" w:lineRule="auto"/>
        <w:ind w:left="159" w:hanging="10"/>
        <w:jc w:val="both"/>
        <w:rPr>
          <w:sz w:val="20"/>
          <w:szCs w:val="20"/>
        </w:rPr>
      </w:pPr>
      <w:r w:rsidRPr="00C765E9">
        <w:rPr>
          <w:rFonts w:ascii="Arial" w:eastAsia="Arial" w:hAnsi="Arial" w:cs="Arial"/>
          <w:b/>
          <w:color w:val="009ED5"/>
          <w:sz w:val="20"/>
          <w:szCs w:val="20"/>
        </w:rPr>
        <w:t>Lorena Di Fiore</w:t>
      </w:r>
      <w:r w:rsidRPr="00C765E9">
        <w:rPr>
          <w:rFonts w:ascii="Arial" w:eastAsia="Arial" w:hAnsi="Arial" w:cs="Arial"/>
          <w:b/>
          <w:color w:val="181717"/>
          <w:sz w:val="20"/>
          <w:szCs w:val="20"/>
        </w:rPr>
        <w:t>, Avvocato specialista in diritto tributario ai sensi del DM n.144/2015, dottore di ricerca in diritto tributario Università Federico II Napoli. E’ stata componente del Comitato Scientifico dell’Ufficio del Massimario della Corte di Giustizia Tributaria di secondo grado della Campania.</w:t>
      </w:r>
    </w:p>
    <w:p w14:paraId="176F3F82" w14:textId="77777777" w:rsidR="00B32EF2" w:rsidRPr="00C765E9" w:rsidRDefault="00000000">
      <w:pPr>
        <w:spacing w:after="150" w:line="250" w:lineRule="auto"/>
        <w:ind w:left="159" w:hanging="10"/>
        <w:jc w:val="both"/>
        <w:rPr>
          <w:sz w:val="20"/>
          <w:szCs w:val="20"/>
        </w:rPr>
      </w:pPr>
      <w:r w:rsidRPr="00C765E9">
        <w:rPr>
          <w:rFonts w:ascii="Arial" w:eastAsia="Arial" w:hAnsi="Arial" w:cs="Arial"/>
          <w:b/>
          <w:color w:val="009ED5"/>
          <w:sz w:val="20"/>
          <w:szCs w:val="20"/>
        </w:rPr>
        <w:t>Gennaro Nunziato</w:t>
      </w:r>
      <w:r w:rsidRPr="00C765E9">
        <w:rPr>
          <w:rFonts w:ascii="Arial" w:eastAsia="Arial" w:hAnsi="Arial" w:cs="Arial"/>
          <w:b/>
          <w:color w:val="181717"/>
          <w:sz w:val="20"/>
          <w:szCs w:val="20"/>
        </w:rPr>
        <w:t>, Avvocato tributarista, Segretario della Camera degli Avvocati Tributaristi di Napoli. Docente di diritto tributario presso l’Università degli Studi di Napoli Parthenope – Scuola di Specializzazione per le Professioni Legali. E’ stato coordinatore del Comitato Scientifico del gruppo della Corte di Giustizia Tributaria di primo grado di Napoli dell’Ufficio del Massimario.</w:t>
      </w:r>
    </w:p>
    <w:p w14:paraId="21E41826" w14:textId="77777777" w:rsidR="00B32EF2" w:rsidRPr="00C765E9" w:rsidRDefault="00000000">
      <w:pPr>
        <w:spacing w:after="150" w:line="250" w:lineRule="auto"/>
        <w:ind w:left="159" w:hanging="10"/>
        <w:jc w:val="both"/>
        <w:rPr>
          <w:sz w:val="20"/>
          <w:szCs w:val="20"/>
        </w:rPr>
      </w:pPr>
      <w:r w:rsidRPr="00C765E9">
        <w:rPr>
          <w:rFonts w:ascii="Arial" w:eastAsia="Arial" w:hAnsi="Arial" w:cs="Arial"/>
          <w:b/>
          <w:color w:val="009ED5"/>
          <w:sz w:val="20"/>
          <w:szCs w:val="20"/>
        </w:rPr>
        <w:t>Maria Laghi</w:t>
      </w:r>
      <w:r w:rsidRPr="00C765E9">
        <w:rPr>
          <w:rFonts w:ascii="Arial" w:eastAsia="Arial" w:hAnsi="Arial" w:cs="Arial"/>
          <w:b/>
          <w:color w:val="181717"/>
          <w:sz w:val="20"/>
          <w:szCs w:val="20"/>
        </w:rPr>
        <w:t xml:space="preserve">, dott.ssa in Giurisprudenza, praticante avvocato tributarista, ha frequentato il corso di preparazione alla magistratura tributaria. </w:t>
      </w:r>
    </w:p>
    <w:p w14:paraId="467F2CF1" w14:textId="77777777" w:rsidR="00B32EF2" w:rsidRDefault="00000000">
      <w:pPr>
        <w:pStyle w:val="Titolo1"/>
      </w:pPr>
      <w:r>
        <w:lastRenderedPageBreak/>
        <w:t>Centro studi di diritto tributario Spazio aperto</w:t>
      </w:r>
    </w:p>
    <w:p w14:paraId="17EBE9CD" w14:textId="77777777" w:rsidR="00B32EF2" w:rsidRDefault="00000000">
      <w:pPr>
        <w:spacing w:after="0" w:line="250" w:lineRule="auto"/>
        <w:ind w:left="160" w:right="-15" w:hanging="10"/>
        <w:jc w:val="both"/>
      </w:pPr>
      <w:r>
        <w:rPr>
          <w:rFonts w:ascii="Arial" w:eastAsia="Arial" w:hAnsi="Arial" w:cs="Arial"/>
          <w:color w:val="181717"/>
          <w:sz w:val="18"/>
        </w:rPr>
        <w:t>Col  fine ultimo di favorire l’interiorizzazione dei principi di legalità, equità e solidarietà fiscale, ingredienti fondamentali per la crescita del Paese e per l’elaborazione di una autentica etica pubblica, costituimmo un po’ di anni fa  il Centro studi di diritto tributario Spazio aperto, che  ha rappresentato per alcuni anni un luogo di incontro per conversare in piena libertà di pensiero dei temi del fisco e delle problematiche fiscali ed ha coinvolto, con convegni, tavole rotonde, seminari di approfondimento, esperti del settore tributario - magistrati, avvocati, notai, commercialisti, docenti universitari, dirigenti o funzionari attivi nei ranghi della Pubblica Amministrazione, nonché comuni cittadini. Tra le diverse iniziative pubblicammo una serie di</w:t>
      </w:r>
      <w:r>
        <w:rPr>
          <w:rFonts w:ascii="Arial" w:eastAsia="Arial" w:hAnsi="Arial" w:cs="Arial"/>
          <w:i/>
          <w:color w:val="181717"/>
          <w:sz w:val="18"/>
        </w:rPr>
        <w:t xml:space="preserve"> “</w:t>
      </w:r>
      <w:proofErr w:type="spellStart"/>
      <w:r>
        <w:rPr>
          <w:rFonts w:ascii="Arial" w:eastAsia="Arial" w:hAnsi="Arial" w:cs="Arial"/>
          <w:i/>
          <w:color w:val="181717"/>
          <w:sz w:val="18"/>
        </w:rPr>
        <w:t>codicini</w:t>
      </w:r>
      <w:proofErr w:type="spellEnd"/>
      <w:r>
        <w:rPr>
          <w:rFonts w:ascii="Arial" w:eastAsia="Arial" w:hAnsi="Arial" w:cs="Arial"/>
          <w:i/>
          <w:color w:val="181717"/>
          <w:sz w:val="18"/>
        </w:rPr>
        <w:t xml:space="preserve"> di spazio aperto”</w:t>
      </w:r>
      <w:r>
        <w:rPr>
          <w:rFonts w:ascii="Arial" w:eastAsia="Arial" w:hAnsi="Arial" w:cs="Arial"/>
          <w:color w:val="181717"/>
          <w:sz w:val="18"/>
        </w:rPr>
        <w:t xml:space="preserve">, tra i quali nel 2016 uno, in formato anche cartaceo, sul </w:t>
      </w:r>
      <w:r>
        <w:rPr>
          <w:rFonts w:ascii="Arial" w:eastAsia="Arial" w:hAnsi="Arial" w:cs="Arial"/>
          <w:i/>
          <w:color w:val="181717"/>
          <w:sz w:val="18"/>
        </w:rPr>
        <w:t>“diritto processuale tributario”</w:t>
      </w:r>
      <w:r>
        <w:rPr>
          <w:rFonts w:ascii="Arial" w:eastAsia="Arial" w:hAnsi="Arial" w:cs="Arial"/>
          <w:color w:val="181717"/>
          <w:sz w:val="18"/>
        </w:rPr>
        <w:t>, alla luce della riforma di cui al d.lgs.156/15, distribuito in forma del tutto gratuita tra gli operatori del settore.</w:t>
      </w:r>
    </w:p>
    <w:p w14:paraId="5075258E" w14:textId="77777777" w:rsidR="00B32EF2" w:rsidRDefault="00000000">
      <w:pPr>
        <w:spacing w:after="0" w:line="250" w:lineRule="auto"/>
        <w:ind w:left="160" w:right="-15" w:hanging="10"/>
        <w:jc w:val="both"/>
      </w:pPr>
      <w:r>
        <w:rPr>
          <w:rFonts w:ascii="Arial" w:eastAsia="Arial" w:hAnsi="Arial" w:cs="Arial"/>
          <w:color w:val="181717"/>
          <w:sz w:val="18"/>
        </w:rPr>
        <w:t xml:space="preserve">Oggi, che l’intera materia del processo tributaria è stata rivisitata e riunita in modo sistematico nel </w:t>
      </w:r>
      <w:r>
        <w:rPr>
          <w:rFonts w:ascii="Arial" w:eastAsia="Arial" w:hAnsi="Arial" w:cs="Arial"/>
          <w:i/>
          <w:color w:val="181717"/>
          <w:sz w:val="18"/>
        </w:rPr>
        <w:t>“Testo unico della giustizia tributaria”</w:t>
      </w:r>
      <w:r>
        <w:rPr>
          <w:rFonts w:ascii="Arial" w:eastAsia="Arial" w:hAnsi="Arial" w:cs="Arial"/>
          <w:color w:val="181717"/>
          <w:sz w:val="18"/>
        </w:rPr>
        <w:t>, pensando di fare cosa utile per gli operatori del settore, abbiamo curato, per la pronta consultazione, un nuovo testo aggiornato, sempre in formato cartaceo, che contiene da una parte la disciplina processuale tributaria vigente e dall’altra quella che sopravverrà dal 1 gennaio 2016.</w:t>
      </w:r>
    </w:p>
    <w:p w14:paraId="392E8863" w14:textId="77777777" w:rsidR="00B32EF2" w:rsidRDefault="00000000">
      <w:pPr>
        <w:spacing w:after="348"/>
        <w:ind w:left="165"/>
        <w:jc w:val="center"/>
      </w:pPr>
      <w:r>
        <w:rPr>
          <w:rFonts w:ascii="Arial" w:eastAsia="Arial" w:hAnsi="Arial" w:cs="Arial"/>
          <w:b/>
          <w:color w:val="181717"/>
          <w:sz w:val="18"/>
        </w:rPr>
        <w:t xml:space="preserve"> Oreste Saccone e Michele Di Fiore</w:t>
      </w:r>
    </w:p>
    <w:p w14:paraId="49330299" w14:textId="77777777" w:rsidR="00B32EF2" w:rsidRDefault="00000000">
      <w:pPr>
        <w:spacing w:after="103"/>
        <w:ind w:left="163"/>
      </w:pPr>
      <w:r>
        <w:rPr>
          <w:noProof/>
        </w:rPr>
        <w:drawing>
          <wp:inline distT="0" distB="0" distL="0" distR="0" wp14:anchorId="358B8B38" wp14:editId="4568AF9F">
            <wp:extent cx="1932432" cy="914400"/>
            <wp:effectExtent l="0" t="0" r="0" b="0"/>
            <wp:docPr id="202517" name="Picture 202517"/>
            <wp:cNvGraphicFramePr/>
            <a:graphic xmlns:a="http://schemas.openxmlformats.org/drawingml/2006/main">
              <a:graphicData uri="http://schemas.openxmlformats.org/drawingml/2006/picture">
                <pic:pic xmlns:pic="http://schemas.openxmlformats.org/drawingml/2006/picture">
                  <pic:nvPicPr>
                    <pic:cNvPr id="202517" name="Picture 202517"/>
                    <pic:cNvPicPr/>
                  </pic:nvPicPr>
                  <pic:blipFill>
                    <a:blip r:embed="rId8"/>
                    <a:stretch>
                      <a:fillRect/>
                    </a:stretch>
                  </pic:blipFill>
                  <pic:spPr>
                    <a:xfrm>
                      <a:off x="0" y="0"/>
                      <a:ext cx="1932432" cy="914400"/>
                    </a:xfrm>
                    <a:prstGeom prst="rect">
                      <a:avLst/>
                    </a:prstGeom>
                  </pic:spPr>
                </pic:pic>
              </a:graphicData>
            </a:graphic>
          </wp:inline>
        </w:drawing>
      </w:r>
    </w:p>
    <w:p w14:paraId="44F7901B" w14:textId="77777777" w:rsidR="00B32EF2" w:rsidRDefault="00000000">
      <w:pPr>
        <w:tabs>
          <w:tab w:val="center" w:pos="386"/>
          <w:tab w:val="center" w:pos="1470"/>
        </w:tabs>
        <w:spacing w:after="61"/>
      </w:pPr>
      <w:r>
        <w:tab/>
      </w:r>
      <w:r>
        <w:rPr>
          <w:rFonts w:ascii="Times New Roman" w:eastAsia="Times New Roman" w:hAnsi="Times New Roman" w:cs="Times New Roman"/>
          <w:i/>
          <w:color w:val="181717"/>
          <w:sz w:val="16"/>
        </w:rPr>
        <w:t>Napoli</w:t>
      </w:r>
      <w:r>
        <w:rPr>
          <w:rFonts w:ascii="Times New Roman" w:eastAsia="Times New Roman" w:hAnsi="Times New Roman" w:cs="Times New Roman"/>
          <w:color w:val="181717"/>
          <w:sz w:val="16"/>
        </w:rPr>
        <w:t xml:space="preserve"> </w:t>
      </w:r>
      <w:r>
        <w:rPr>
          <w:rFonts w:ascii="Times New Roman" w:eastAsia="Times New Roman" w:hAnsi="Times New Roman" w:cs="Times New Roman"/>
          <w:color w:val="181717"/>
          <w:sz w:val="16"/>
        </w:rPr>
        <w:tab/>
        <w:t>Tel. 081 18891090</w:t>
      </w:r>
    </w:p>
    <w:p w14:paraId="6860448E" w14:textId="77777777" w:rsidR="00B32EF2" w:rsidRDefault="00000000">
      <w:pPr>
        <w:spacing w:after="32" w:line="433" w:lineRule="auto"/>
        <w:ind w:left="173" w:right="4028" w:hanging="10"/>
      </w:pPr>
      <w:r>
        <w:rPr>
          <w:rFonts w:ascii="Times New Roman" w:eastAsia="Times New Roman" w:hAnsi="Times New Roman" w:cs="Times New Roman"/>
          <w:i/>
          <w:color w:val="181717"/>
          <w:sz w:val="16"/>
        </w:rPr>
        <w:t>Milano</w:t>
      </w:r>
      <w:r>
        <w:rPr>
          <w:rFonts w:ascii="Times New Roman" w:eastAsia="Times New Roman" w:hAnsi="Times New Roman" w:cs="Times New Roman"/>
          <w:color w:val="181717"/>
          <w:sz w:val="16"/>
        </w:rPr>
        <w:t xml:space="preserve"> </w:t>
      </w:r>
      <w:r>
        <w:rPr>
          <w:rFonts w:ascii="Times New Roman" w:eastAsia="Times New Roman" w:hAnsi="Times New Roman" w:cs="Times New Roman"/>
          <w:color w:val="181717"/>
          <w:sz w:val="16"/>
        </w:rPr>
        <w:tab/>
        <w:t xml:space="preserve">Tel. 02 30322499 </w:t>
      </w:r>
      <w:r>
        <w:rPr>
          <w:rFonts w:ascii="Times New Roman" w:eastAsia="Times New Roman" w:hAnsi="Times New Roman" w:cs="Times New Roman"/>
          <w:i/>
          <w:color w:val="181717"/>
          <w:sz w:val="16"/>
        </w:rPr>
        <w:t>Roma</w:t>
      </w:r>
      <w:r>
        <w:rPr>
          <w:rFonts w:ascii="Times New Roman" w:eastAsia="Times New Roman" w:hAnsi="Times New Roman" w:cs="Times New Roman"/>
          <w:color w:val="181717"/>
          <w:sz w:val="16"/>
        </w:rPr>
        <w:t xml:space="preserve"> </w:t>
      </w:r>
      <w:r>
        <w:rPr>
          <w:rFonts w:ascii="Times New Roman" w:eastAsia="Times New Roman" w:hAnsi="Times New Roman" w:cs="Times New Roman"/>
          <w:color w:val="181717"/>
          <w:sz w:val="16"/>
        </w:rPr>
        <w:tab/>
        <w:t xml:space="preserve">Tel. 06 97625864 </w:t>
      </w:r>
      <w:r>
        <w:rPr>
          <w:rFonts w:ascii="Times New Roman" w:eastAsia="Times New Roman" w:hAnsi="Times New Roman" w:cs="Times New Roman"/>
          <w:b/>
          <w:color w:val="181717"/>
          <w:sz w:val="16"/>
        </w:rPr>
        <w:t>www.difiorenunziato.com</w:t>
      </w:r>
    </w:p>
    <w:p w14:paraId="50F12560" w14:textId="77777777" w:rsidR="00C765E9" w:rsidRDefault="00000000" w:rsidP="00C765E9">
      <w:pPr>
        <w:spacing w:after="0"/>
        <w:ind w:left="159"/>
        <w:rPr>
          <w:rFonts w:ascii="Times New Roman" w:eastAsia="Times New Roman" w:hAnsi="Times New Roman" w:cs="Times New Roman"/>
          <w:b/>
          <w:color w:val="181717"/>
          <w:sz w:val="18"/>
        </w:rPr>
      </w:pPr>
      <w:r>
        <w:rPr>
          <w:rFonts w:ascii="Times New Roman" w:eastAsia="Times New Roman" w:hAnsi="Times New Roman" w:cs="Times New Roman"/>
          <w:b/>
          <w:color w:val="181717"/>
          <w:sz w:val="18"/>
        </w:rPr>
        <w:t xml:space="preserve">Testo aggiornato </w:t>
      </w:r>
    </w:p>
    <w:p w14:paraId="5032F93D" w14:textId="06785212" w:rsidR="00B32EF2" w:rsidRDefault="00000000" w:rsidP="00C765E9">
      <w:pPr>
        <w:spacing w:after="0"/>
        <w:ind w:left="159"/>
      </w:pPr>
      <w:r>
        <w:rPr>
          <w:rFonts w:ascii="Times New Roman" w:eastAsia="Times New Roman" w:hAnsi="Times New Roman" w:cs="Times New Roman"/>
          <w:b/>
          <w:color w:val="181717"/>
          <w:sz w:val="18"/>
        </w:rPr>
        <w:t xml:space="preserve">al </w:t>
      </w:r>
      <w:proofErr w:type="spellStart"/>
      <w:r>
        <w:rPr>
          <w:rFonts w:ascii="Times New Roman" w:eastAsia="Times New Roman" w:hAnsi="Times New Roman" w:cs="Times New Roman"/>
          <w:b/>
          <w:color w:val="181717"/>
          <w:sz w:val="18"/>
        </w:rPr>
        <w:t>D.lgs</w:t>
      </w:r>
      <w:proofErr w:type="spellEnd"/>
      <w:r>
        <w:rPr>
          <w:rFonts w:ascii="Times New Roman" w:eastAsia="Times New Roman" w:hAnsi="Times New Roman" w:cs="Times New Roman"/>
          <w:b/>
          <w:color w:val="181717"/>
          <w:sz w:val="18"/>
        </w:rPr>
        <w:t xml:space="preserve"> n. 81 del 12.06.2025</w:t>
      </w:r>
      <w:r w:rsidR="00C765E9">
        <w:rPr>
          <w:rFonts w:ascii="Times New Roman" w:eastAsia="Times New Roman" w:hAnsi="Times New Roman" w:cs="Times New Roman"/>
          <w:b/>
          <w:color w:val="181717"/>
          <w:sz w:val="18"/>
        </w:rPr>
        <w:t xml:space="preserve">; alla Legge n. 199/2025; al </w:t>
      </w:r>
      <w:proofErr w:type="spellStart"/>
      <w:r w:rsidR="00C765E9">
        <w:rPr>
          <w:rFonts w:ascii="Times New Roman" w:eastAsia="Times New Roman" w:hAnsi="Times New Roman" w:cs="Times New Roman"/>
          <w:b/>
          <w:color w:val="181717"/>
          <w:sz w:val="18"/>
        </w:rPr>
        <w:t>D.l.</w:t>
      </w:r>
      <w:proofErr w:type="spellEnd"/>
      <w:r w:rsidR="00C765E9">
        <w:rPr>
          <w:rFonts w:ascii="Times New Roman" w:eastAsia="Times New Roman" w:hAnsi="Times New Roman" w:cs="Times New Roman"/>
          <w:b/>
          <w:color w:val="181717"/>
          <w:sz w:val="18"/>
        </w:rPr>
        <w:t xml:space="preserve"> n. 19/2026</w:t>
      </w:r>
    </w:p>
    <w:p w14:paraId="1A1C5032" w14:textId="6CC63FAD" w:rsidR="00B32EF2" w:rsidRDefault="00000000" w:rsidP="00C765E9">
      <w:pPr>
        <w:spacing w:after="410" w:line="249" w:lineRule="auto"/>
        <w:ind w:left="178" w:right="4754"/>
      </w:pPr>
      <w:r>
        <w:rPr>
          <w:rFonts w:ascii="Times New Roman" w:eastAsia="Times New Roman" w:hAnsi="Times New Roman" w:cs="Times New Roman"/>
          <w:i/>
          <w:color w:val="181717"/>
          <w:sz w:val="20"/>
        </w:rPr>
        <w:t xml:space="preserve">Finito di stampare Luglio 2025 </w:t>
      </w:r>
      <w:r>
        <w:rPr>
          <w:rFonts w:ascii="Times New Roman" w:eastAsia="Times New Roman" w:hAnsi="Times New Roman" w:cs="Times New Roman"/>
          <w:b/>
          <w:color w:val="181717"/>
          <w:sz w:val="20"/>
        </w:rPr>
        <w:t>ROSSI S.r.l.</w:t>
      </w:r>
    </w:p>
    <w:p w14:paraId="4B3D4FA7" w14:textId="77777777" w:rsidR="00B32EF2" w:rsidRDefault="00000000">
      <w:pPr>
        <w:spacing w:after="358" w:line="261" w:lineRule="auto"/>
        <w:ind w:left="174" w:hanging="10"/>
        <w:jc w:val="center"/>
      </w:pPr>
      <w:r>
        <w:rPr>
          <w:rFonts w:ascii="Arial" w:eastAsia="Arial" w:hAnsi="Arial" w:cs="Arial"/>
          <w:b/>
          <w:sz w:val="18"/>
        </w:rPr>
        <w:lastRenderedPageBreak/>
        <w:t>ILLUSTRAZIONE DEL TESTO</w:t>
      </w:r>
    </w:p>
    <w:p w14:paraId="0A258A12" w14:textId="77777777" w:rsidR="00B32EF2" w:rsidRDefault="00000000">
      <w:pPr>
        <w:spacing w:after="0"/>
        <w:ind w:left="165"/>
      </w:pPr>
      <w:r>
        <w:rPr>
          <w:rFonts w:ascii="Arial" w:eastAsia="Arial" w:hAnsi="Arial" w:cs="Arial"/>
          <w:sz w:val="18"/>
        </w:rPr>
        <w:t xml:space="preserve"> </w:t>
      </w:r>
    </w:p>
    <w:p w14:paraId="5D2E8431" w14:textId="77777777" w:rsidR="00B32EF2" w:rsidRDefault="00000000">
      <w:pPr>
        <w:spacing w:after="186" w:line="254" w:lineRule="auto"/>
        <w:ind w:left="175" w:right="10" w:hanging="10"/>
        <w:jc w:val="both"/>
      </w:pPr>
      <w:r>
        <w:rPr>
          <w:rFonts w:ascii="Arial" w:eastAsia="Arial" w:hAnsi="Arial" w:cs="Arial"/>
          <w:b/>
          <w:sz w:val="18"/>
        </w:rPr>
        <w:t>A</w:t>
      </w:r>
      <w:r>
        <w:rPr>
          <w:rFonts w:ascii="Arial" w:eastAsia="Arial" w:hAnsi="Arial" w:cs="Arial"/>
          <w:sz w:val="18"/>
        </w:rPr>
        <w:t xml:space="preserve"> - Il testo normativo è rappresentato graficamente così:</w:t>
      </w:r>
    </w:p>
    <w:p w14:paraId="5C9239B8" w14:textId="77777777" w:rsidR="00B32EF2" w:rsidRDefault="00000000">
      <w:pPr>
        <w:numPr>
          <w:ilvl w:val="0"/>
          <w:numId w:val="1"/>
        </w:numPr>
        <w:spacing w:after="208" w:line="226" w:lineRule="auto"/>
        <w:ind w:right="10" w:hanging="165"/>
        <w:jc w:val="both"/>
      </w:pPr>
      <w:r>
        <w:rPr>
          <w:rFonts w:ascii="Arial" w:eastAsia="Arial" w:hAnsi="Arial" w:cs="Arial"/>
          <w:sz w:val="18"/>
        </w:rPr>
        <w:t>Il riquadro in bianco viene utilizzato per evidenziare la versione previgente della norma, ancora efficace per i procedimenti pendenti alla data di entrata in vigore delle modifiche apportate dal D.lgs. n. 220/2023.</w:t>
      </w:r>
    </w:p>
    <w:p w14:paraId="70BD3397" w14:textId="77777777" w:rsidR="00B32EF2" w:rsidRDefault="00000000">
      <w:pPr>
        <w:numPr>
          <w:ilvl w:val="0"/>
          <w:numId w:val="1"/>
        </w:numPr>
        <w:spacing w:after="191" w:line="254" w:lineRule="auto"/>
        <w:ind w:right="10" w:hanging="165"/>
        <w:jc w:val="both"/>
      </w:pPr>
      <w:r>
        <w:rPr>
          <w:rFonts w:ascii="Arial" w:eastAsia="Arial" w:hAnsi="Arial" w:cs="Arial"/>
          <w:sz w:val="18"/>
        </w:rPr>
        <w:t>Al riquadro bianco segue il testo vigente della norma.</w:t>
      </w:r>
    </w:p>
    <w:p w14:paraId="25710957" w14:textId="77777777" w:rsidR="00B32EF2" w:rsidRDefault="00000000">
      <w:pPr>
        <w:numPr>
          <w:ilvl w:val="0"/>
          <w:numId w:val="1"/>
        </w:numPr>
        <w:spacing w:after="172" w:line="254" w:lineRule="auto"/>
        <w:ind w:right="10" w:hanging="165"/>
        <w:jc w:val="both"/>
      </w:pPr>
      <w:r>
        <w:rPr>
          <w:rFonts w:ascii="Arial" w:eastAsia="Arial" w:hAnsi="Arial" w:cs="Arial"/>
          <w:sz w:val="18"/>
        </w:rPr>
        <w:t>Al testo vigente della norma può seguire un riquadro in grigio che comprende due sezioni:</w:t>
      </w:r>
    </w:p>
    <w:p w14:paraId="7C800E37" w14:textId="77777777" w:rsidR="00B32EF2" w:rsidRDefault="00000000">
      <w:pPr>
        <w:spacing w:after="4" w:line="254" w:lineRule="auto"/>
        <w:ind w:left="175" w:right="10" w:hanging="10"/>
        <w:jc w:val="both"/>
      </w:pPr>
      <w:r>
        <w:rPr>
          <w:rFonts w:ascii="Arial" w:eastAsia="Arial" w:hAnsi="Arial" w:cs="Arial"/>
          <w:i/>
          <w:sz w:val="18"/>
        </w:rPr>
        <w:t>NORME RICHIAMATE:</w:t>
      </w:r>
      <w:r>
        <w:rPr>
          <w:rFonts w:ascii="Arial" w:eastAsia="Arial" w:hAnsi="Arial" w:cs="Arial"/>
          <w:sz w:val="18"/>
        </w:rPr>
        <w:t xml:space="preserve"> riguarda le norme espressamente richiamate dal testo dell’articolo in questione</w:t>
      </w:r>
    </w:p>
    <w:p w14:paraId="57AE5C59" w14:textId="77777777" w:rsidR="00B32EF2" w:rsidRDefault="00000000">
      <w:pPr>
        <w:spacing w:after="367" w:line="254" w:lineRule="auto"/>
        <w:ind w:left="175" w:right="10" w:hanging="10"/>
        <w:jc w:val="both"/>
      </w:pPr>
      <w:r>
        <w:rPr>
          <w:rFonts w:ascii="Arial" w:eastAsia="Arial" w:hAnsi="Arial" w:cs="Arial"/>
          <w:i/>
          <w:sz w:val="18"/>
        </w:rPr>
        <w:t>NORME COLLEGATE</w:t>
      </w:r>
      <w:r>
        <w:rPr>
          <w:rFonts w:ascii="Arial" w:eastAsia="Arial" w:hAnsi="Arial" w:cs="Arial"/>
          <w:sz w:val="18"/>
        </w:rPr>
        <w:t>: riguarda le norme del c.p.c. che si ritiene essere collegate all’articolo in questione</w:t>
      </w:r>
    </w:p>
    <w:p w14:paraId="5719B2A6" w14:textId="77777777" w:rsidR="00B32EF2" w:rsidRDefault="00000000">
      <w:pPr>
        <w:numPr>
          <w:ilvl w:val="0"/>
          <w:numId w:val="2"/>
        </w:numPr>
        <w:spacing w:after="367" w:line="254" w:lineRule="auto"/>
        <w:ind w:right="5" w:hanging="10"/>
      </w:pPr>
      <w:r>
        <w:rPr>
          <w:rFonts w:ascii="Arial" w:eastAsia="Arial" w:hAnsi="Arial" w:cs="Arial"/>
          <w:sz w:val="18"/>
        </w:rPr>
        <w:t>- Sotto la rubrica di ciascun articolo è inserito tra parentesi il corrispondente articolo del Testo Unico Giustizia Tributaria (TUGT)</w:t>
      </w:r>
    </w:p>
    <w:p w14:paraId="0FE76EDD" w14:textId="77777777" w:rsidR="00B32EF2" w:rsidRDefault="00000000">
      <w:pPr>
        <w:numPr>
          <w:ilvl w:val="0"/>
          <w:numId w:val="2"/>
        </w:numPr>
        <w:spacing w:after="3" w:line="226" w:lineRule="auto"/>
        <w:ind w:right="5" w:hanging="10"/>
      </w:pPr>
      <w:r>
        <w:rPr>
          <w:rFonts w:ascii="Arial" w:eastAsia="Arial" w:hAnsi="Arial" w:cs="Arial"/>
          <w:sz w:val="18"/>
        </w:rPr>
        <w:t>- Alle raccolte normative dei D.lgs. n. 546/1992 e n. 545/1992 segue, in senso di lettura inverso del volume, il Testo Unico Giustizia Tributaria che entrerà in vigore l’1.1.2026.</w:t>
      </w:r>
    </w:p>
    <w:p w14:paraId="3C94BE9F" w14:textId="0C85D333" w:rsidR="00B32EF2" w:rsidRDefault="00B32EF2">
      <w:pPr>
        <w:spacing w:after="0"/>
        <w:ind w:left="3230"/>
        <w:rPr>
          <w:rFonts w:ascii="Times New Roman" w:eastAsia="Times New Roman" w:hAnsi="Times New Roman" w:cs="Times New Roman"/>
        </w:rPr>
      </w:pPr>
    </w:p>
    <w:p w14:paraId="07C1BF5D" w14:textId="77777777" w:rsidR="00C765E9" w:rsidRDefault="00C765E9">
      <w:pPr>
        <w:spacing w:after="0"/>
        <w:ind w:left="3230"/>
        <w:rPr>
          <w:rFonts w:ascii="Times New Roman" w:eastAsia="Times New Roman" w:hAnsi="Times New Roman" w:cs="Times New Roman"/>
        </w:rPr>
      </w:pPr>
    </w:p>
    <w:p w14:paraId="0A180A04" w14:textId="77777777" w:rsidR="00C765E9" w:rsidRDefault="00C765E9">
      <w:pPr>
        <w:spacing w:after="0"/>
        <w:ind w:left="3230"/>
        <w:rPr>
          <w:rFonts w:ascii="Times New Roman" w:eastAsia="Times New Roman" w:hAnsi="Times New Roman" w:cs="Times New Roman"/>
        </w:rPr>
      </w:pPr>
    </w:p>
    <w:p w14:paraId="0A7DB2EA" w14:textId="77777777" w:rsidR="00C765E9" w:rsidRDefault="00C765E9">
      <w:pPr>
        <w:spacing w:after="0"/>
        <w:ind w:left="3230"/>
        <w:rPr>
          <w:rFonts w:ascii="Times New Roman" w:eastAsia="Times New Roman" w:hAnsi="Times New Roman" w:cs="Times New Roman"/>
        </w:rPr>
      </w:pPr>
    </w:p>
    <w:p w14:paraId="678FF508" w14:textId="77777777" w:rsidR="00C765E9" w:rsidRDefault="00C765E9">
      <w:pPr>
        <w:spacing w:after="0"/>
        <w:ind w:left="3230"/>
        <w:rPr>
          <w:rFonts w:ascii="Times New Roman" w:eastAsia="Times New Roman" w:hAnsi="Times New Roman" w:cs="Times New Roman"/>
        </w:rPr>
      </w:pPr>
    </w:p>
    <w:p w14:paraId="69025DE6" w14:textId="77777777" w:rsidR="00C765E9" w:rsidRDefault="00C765E9">
      <w:pPr>
        <w:spacing w:after="0"/>
        <w:ind w:left="3230"/>
        <w:rPr>
          <w:rFonts w:ascii="Times New Roman" w:eastAsia="Times New Roman" w:hAnsi="Times New Roman" w:cs="Times New Roman"/>
        </w:rPr>
      </w:pPr>
    </w:p>
    <w:p w14:paraId="1AF52B65" w14:textId="77777777" w:rsidR="00C765E9" w:rsidRDefault="00C765E9">
      <w:pPr>
        <w:spacing w:after="0"/>
        <w:ind w:left="3230"/>
        <w:rPr>
          <w:rFonts w:ascii="Times New Roman" w:eastAsia="Times New Roman" w:hAnsi="Times New Roman" w:cs="Times New Roman"/>
        </w:rPr>
      </w:pPr>
    </w:p>
    <w:p w14:paraId="56378409" w14:textId="77777777" w:rsidR="00C765E9" w:rsidRDefault="00C765E9">
      <w:pPr>
        <w:spacing w:after="0"/>
        <w:ind w:left="3230"/>
        <w:rPr>
          <w:rFonts w:ascii="Times New Roman" w:eastAsia="Times New Roman" w:hAnsi="Times New Roman" w:cs="Times New Roman"/>
        </w:rPr>
      </w:pPr>
    </w:p>
    <w:p w14:paraId="3388BDD9" w14:textId="77777777" w:rsidR="00C765E9" w:rsidRDefault="00C765E9">
      <w:pPr>
        <w:spacing w:after="0"/>
        <w:ind w:left="3230"/>
        <w:rPr>
          <w:rFonts w:ascii="Times New Roman" w:eastAsia="Times New Roman" w:hAnsi="Times New Roman" w:cs="Times New Roman"/>
        </w:rPr>
      </w:pPr>
    </w:p>
    <w:p w14:paraId="205087A1" w14:textId="77777777" w:rsidR="00C765E9" w:rsidRDefault="00C765E9">
      <w:pPr>
        <w:spacing w:after="0"/>
        <w:ind w:left="3230"/>
        <w:rPr>
          <w:rFonts w:ascii="Times New Roman" w:eastAsia="Times New Roman" w:hAnsi="Times New Roman" w:cs="Times New Roman"/>
        </w:rPr>
      </w:pPr>
    </w:p>
    <w:p w14:paraId="7C6768C7" w14:textId="77777777" w:rsidR="00C765E9" w:rsidRDefault="00C765E9">
      <w:pPr>
        <w:spacing w:after="0"/>
        <w:ind w:left="3230"/>
        <w:rPr>
          <w:rFonts w:ascii="Times New Roman" w:eastAsia="Times New Roman" w:hAnsi="Times New Roman" w:cs="Times New Roman"/>
        </w:rPr>
      </w:pPr>
    </w:p>
    <w:p w14:paraId="6F0FABB2" w14:textId="77777777" w:rsidR="00C765E9" w:rsidRDefault="00C765E9">
      <w:pPr>
        <w:spacing w:after="0"/>
        <w:ind w:left="3230"/>
        <w:rPr>
          <w:rFonts w:ascii="Times New Roman" w:eastAsia="Times New Roman" w:hAnsi="Times New Roman" w:cs="Times New Roman"/>
        </w:rPr>
      </w:pPr>
    </w:p>
    <w:p w14:paraId="3358D018" w14:textId="77777777" w:rsidR="00C765E9" w:rsidRDefault="00C765E9">
      <w:pPr>
        <w:spacing w:after="0"/>
        <w:ind w:left="3230"/>
      </w:pPr>
    </w:p>
    <w:p w14:paraId="3161A54A" w14:textId="41350525" w:rsidR="00B32EF2" w:rsidRDefault="00000000">
      <w:pPr>
        <w:spacing w:after="212" w:line="255" w:lineRule="auto"/>
        <w:ind w:left="174" w:hanging="10"/>
      </w:pPr>
      <w:r>
        <w:rPr>
          <w:rFonts w:ascii="Arial" w:eastAsia="Arial" w:hAnsi="Arial" w:cs="Arial"/>
          <w:b/>
          <w:sz w:val="18"/>
        </w:rPr>
        <w:lastRenderedPageBreak/>
        <w:t>Indice normativo</w:t>
      </w:r>
    </w:p>
    <w:p w14:paraId="0A0EE552" w14:textId="77777777" w:rsidR="00B32EF2" w:rsidRDefault="00000000">
      <w:pPr>
        <w:spacing w:after="4" w:line="254" w:lineRule="auto"/>
        <w:ind w:left="174" w:right="10" w:hanging="10"/>
        <w:jc w:val="both"/>
      </w:pPr>
      <w:r>
        <w:rPr>
          <w:rFonts w:ascii="Arial" w:eastAsia="Arial" w:hAnsi="Arial" w:cs="Arial"/>
          <w:sz w:val="18"/>
        </w:rPr>
        <w:t>- D.lgs. 31 dicembre 1992, n. 546</w:t>
      </w:r>
    </w:p>
    <w:p w14:paraId="788041AB" w14:textId="77777777" w:rsidR="00B32EF2" w:rsidRDefault="00000000">
      <w:pPr>
        <w:spacing w:after="250" w:line="226" w:lineRule="auto"/>
        <w:ind w:left="174" w:hanging="10"/>
      </w:pPr>
      <w:r>
        <w:rPr>
          <w:rFonts w:ascii="Arial" w:eastAsia="Arial" w:hAnsi="Arial" w:cs="Arial"/>
          <w:sz w:val="18"/>
        </w:rPr>
        <w:t>Disposizioni sul processo tributario in attuazione della delega al Governo contenuta nell’art. 30 della legge 30 dicembre 1991, n. 413 – (G.U. 13-1-1993, n. 9, S.O.)</w:t>
      </w:r>
    </w:p>
    <w:p w14:paraId="6B6436E1" w14:textId="77777777" w:rsidR="00B32EF2" w:rsidRDefault="00000000">
      <w:pPr>
        <w:tabs>
          <w:tab w:val="center" w:pos="1487"/>
          <w:tab w:val="center" w:pos="3044"/>
          <w:tab w:val="center" w:pos="3764"/>
          <w:tab w:val="center" w:pos="4484"/>
          <w:tab w:val="center" w:pos="5519"/>
        </w:tabs>
        <w:spacing w:after="2" w:line="255" w:lineRule="auto"/>
      </w:pPr>
      <w:r>
        <w:tab/>
      </w:r>
      <w:r>
        <w:rPr>
          <w:rFonts w:ascii="Arial" w:eastAsia="Arial" w:hAnsi="Arial" w:cs="Arial"/>
          <w:b/>
          <w:sz w:val="18"/>
        </w:rPr>
        <w:t xml:space="preserve">Titolo I – Disposizioni generali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t>Pag. 13</w:t>
      </w:r>
    </w:p>
    <w:p w14:paraId="7E9A3605" w14:textId="77777777" w:rsidR="00B32EF2" w:rsidRDefault="00000000">
      <w:pPr>
        <w:tabs>
          <w:tab w:val="center" w:pos="2127"/>
          <w:tab w:val="center" w:pos="4484"/>
          <w:tab w:val="center" w:pos="5519"/>
        </w:tabs>
        <w:spacing w:after="2" w:line="255" w:lineRule="auto"/>
      </w:pPr>
      <w:r>
        <w:tab/>
      </w:r>
      <w:r>
        <w:rPr>
          <w:rFonts w:ascii="Arial" w:eastAsia="Arial" w:hAnsi="Arial" w:cs="Arial"/>
          <w:b/>
          <w:sz w:val="18"/>
        </w:rPr>
        <w:t xml:space="preserve">Capo I – Del giudice tributario e suoi ausiliari </w:t>
      </w:r>
      <w:r>
        <w:rPr>
          <w:rFonts w:ascii="Arial" w:eastAsia="Arial" w:hAnsi="Arial" w:cs="Arial"/>
          <w:b/>
          <w:sz w:val="18"/>
        </w:rPr>
        <w:tab/>
        <w:t xml:space="preserve"> </w:t>
      </w:r>
      <w:r>
        <w:rPr>
          <w:rFonts w:ascii="Arial" w:eastAsia="Arial" w:hAnsi="Arial" w:cs="Arial"/>
          <w:b/>
          <w:sz w:val="18"/>
        </w:rPr>
        <w:tab/>
        <w:t>Pag. 13</w:t>
      </w:r>
    </w:p>
    <w:p w14:paraId="7D174763" w14:textId="77777777" w:rsidR="00B32EF2" w:rsidRDefault="00000000">
      <w:pPr>
        <w:spacing w:after="4" w:line="254" w:lineRule="auto"/>
        <w:ind w:left="174" w:right="10" w:hanging="10"/>
        <w:jc w:val="both"/>
      </w:pPr>
      <w:r>
        <w:rPr>
          <w:rFonts w:ascii="Arial" w:eastAsia="Arial" w:hAnsi="Arial" w:cs="Arial"/>
          <w:sz w:val="18"/>
        </w:rPr>
        <w:t>Articolo 1 - Gli organi della giurisdizione tributaria</w:t>
      </w:r>
    </w:p>
    <w:p w14:paraId="011A9EA0" w14:textId="77777777" w:rsidR="00B32EF2" w:rsidRDefault="00000000">
      <w:pPr>
        <w:spacing w:after="4" w:line="254" w:lineRule="auto"/>
        <w:ind w:left="174" w:right="10" w:hanging="10"/>
        <w:jc w:val="both"/>
      </w:pPr>
      <w:r>
        <w:rPr>
          <w:rFonts w:ascii="Arial" w:eastAsia="Arial" w:hAnsi="Arial" w:cs="Arial"/>
          <w:sz w:val="18"/>
        </w:rPr>
        <w:t>Articolo 2 - Oggetto della giurisdizione tributaria</w:t>
      </w:r>
    </w:p>
    <w:p w14:paraId="754404C3" w14:textId="77777777" w:rsidR="00B32EF2" w:rsidRDefault="00000000">
      <w:pPr>
        <w:spacing w:after="4" w:line="254" w:lineRule="auto"/>
        <w:ind w:left="174" w:right="10" w:hanging="10"/>
        <w:jc w:val="both"/>
      </w:pPr>
      <w:r>
        <w:rPr>
          <w:rFonts w:ascii="Arial" w:eastAsia="Arial" w:hAnsi="Arial" w:cs="Arial"/>
          <w:sz w:val="18"/>
        </w:rPr>
        <w:t>Articolo 3 - Difetto di giurisdizione</w:t>
      </w:r>
    </w:p>
    <w:p w14:paraId="4D77A639" w14:textId="77777777" w:rsidR="00B32EF2" w:rsidRDefault="00000000">
      <w:pPr>
        <w:spacing w:after="4" w:line="254" w:lineRule="auto"/>
        <w:ind w:left="174" w:right="10" w:hanging="10"/>
        <w:jc w:val="both"/>
      </w:pPr>
      <w:r>
        <w:rPr>
          <w:rFonts w:ascii="Arial" w:eastAsia="Arial" w:hAnsi="Arial" w:cs="Arial"/>
          <w:sz w:val="18"/>
        </w:rPr>
        <w:t>Articolo 4 - Competenza per territorio</w:t>
      </w:r>
    </w:p>
    <w:p w14:paraId="0230C7FB" w14:textId="77777777" w:rsidR="00B32EF2" w:rsidRDefault="00000000">
      <w:pPr>
        <w:spacing w:after="4" w:line="254" w:lineRule="auto"/>
        <w:ind w:left="174" w:right="10" w:hanging="10"/>
        <w:jc w:val="both"/>
      </w:pPr>
      <w:r>
        <w:rPr>
          <w:rFonts w:ascii="Arial" w:eastAsia="Arial" w:hAnsi="Arial" w:cs="Arial"/>
          <w:sz w:val="18"/>
        </w:rPr>
        <w:t>Articolo 4-bis  - Competenza del giudice monocratico</w:t>
      </w:r>
    </w:p>
    <w:p w14:paraId="2474918C" w14:textId="77777777" w:rsidR="00B32EF2" w:rsidRDefault="00000000">
      <w:pPr>
        <w:spacing w:after="4" w:line="254" w:lineRule="auto"/>
        <w:ind w:left="174" w:right="10" w:hanging="10"/>
        <w:jc w:val="both"/>
      </w:pPr>
      <w:r>
        <w:rPr>
          <w:rFonts w:ascii="Arial" w:eastAsia="Arial" w:hAnsi="Arial" w:cs="Arial"/>
          <w:sz w:val="18"/>
        </w:rPr>
        <w:t>Articolo 5 - Incompetenza</w:t>
      </w:r>
    </w:p>
    <w:p w14:paraId="27006588" w14:textId="77777777" w:rsidR="00B32EF2" w:rsidRDefault="00000000">
      <w:pPr>
        <w:spacing w:after="4" w:line="254" w:lineRule="auto"/>
        <w:ind w:left="174" w:right="10" w:hanging="10"/>
        <w:jc w:val="both"/>
      </w:pPr>
      <w:r>
        <w:rPr>
          <w:rFonts w:ascii="Arial" w:eastAsia="Arial" w:hAnsi="Arial" w:cs="Arial"/>
          <w:sz w:val="18"/>
        </w:rPr>
        <w:t>Articolo 6 - Astensione e ricusazione dei componenti delle corti di giustizia tributaria di primo e secondo grado</w:t>
      </w:r>
    </w:p>
    <w:p w14:paraId="5543C954" w14:textId="77777777" w:rsidR="00B32EF2" w:rsidRDefault="00000000">
      <w:pPr>
        <w:spacing w:after="4" w:line="254" w:lineRule="auto"/>
        <w:ind w:left="174" w:right="10" w:hanging="10"/>
        <w:jc w:val="both"/>
      </w:pPr>
      <w:r>
        <w:rPr>
          <w:rFonts w:ascii="Arial" w:eastAsia="Arial" w:hAnsi="Arial" w:cs="Arial"/>
          <w:sz w:val="18"/>
        </w:rPr>
        <w:t>Articolo 7 - Poteri delle corti di giustizia tributaria di primo e secondo grado</w:t>
      </w:r>
    </w:p>
    <w:p w14:paraId="248F7AD4" w14:textId="77777777" w:rsidR="00B32EF2" w:rsidRDefault="00000000">
      <w:pPr>
        <w:spacing w:after="4" w:line="254" w:lineRule="auto"/>
        <w:ind w:left="174" w:right="10" w:hanging="10"/>
        <w:jc w:val="both"/>
      </w:pPr>
      <w:r>
        <w:rPr>
          <w:rFonts w:ascii="Arial" w:eastAsia="Arial" w:hAnsi="Arial" w:cs="Arial"/>
          <w:sz w:val="18"/>
        </w:rPr>
        <w:t>Articolo 8 - Errore sulla norma tributaria</w:t>
      </w:r>
    </w:p>
    <w:p w14:paraId="2F67CC4A" w14:textId="77777777" w:rsidR="00B32EF2" w:rsidRDefault="00000000">
      <w:pPr>
        <w:spacing w:after="4" w:line="254" w:lineRule="auto"/>
        <w:ind w:left="174" w:right="10" w:hanging="10"/>
        <w:jc w:val="both"/>
      </w:pPr>
      <w:r>
        <w:rPr>
          <w:rFonts w:ascii="Arial" w:eastAsia="Arial" w:hAnsi="Arial" w:cs="Arial"/>
          <w:sz w:val="18"/>
        </w:rPr>
        <w:t>Articolo 9 - Organi di assistenza alle corti di giustizia tributaria di primo e secondo grado</w:t>
      </w:r>
    </w:p>
    <w:p w14:paraId="3C151258" w14:textId="77777777" w:rsidR="00B32EF2" w:rsidRDefault="00000000">
      <w:pPr>
        <w:spacing w:after="2" w:line="255" w:lineRule="auto"/>
        <w:ind w:left="174" w:hanging="10"/>
      </w:pPr>
      <w:r>
        <w:rPr>
          <w:rFonts w:ascii="Arial" w:eastAsia="Arial" w:hAnsi="Arial" w:cs="Arial"/>
          <w:b/>
          <w:sz w:val="18"/>
        </w:rPr>
        <w:t xml:space="preserve">Capo II – Delle parti e della loro rappresentanza e  </w:t>
      </w:r>
      <w:r>
        <w:rPr>
          <w:rFonts w:ascii="Arial" w:eastAsia="Arial" w:hAnsi="Arial" w:cs="Arial"/>
          <w:b/>
          <w:sz w:val="18"/>
        </w:rPr>
        <w:tab/>
        <w:t>Pag. 21 assistenza in giudizio</w:t>
      </w:r>
    </w:p>
    <w:p w14:paraId="0F6D7D2F" w14:textId="77777777" w:rsidR="00B32EF2" w:rsidRDefault="00000000">
      <w:pPr>
        <w:spacing w:after="4" w:line="254" w:lineRule="auto"/>
        <w:ind w:left="174" w:right="10" w:hanging="10"/>
        <w:jc w:val="both"/>
      </w:pPr>
      <w:r>
        <w:rPr>
          <w:rFonts w:ascii="Arial" w:eastAsia="Arial" w:hAnsi="Arial" w:cs="Arial"/>
          <w:sz w:val="18"/>
        </w:rPr>
        <w:t>Articolo 10 - Le parti</w:t>
      </w:r>
    </w:p>
    <w:p w14:paraId="766824ED" w14:textId="77777777" w:rsidR="00B32EF2" w:rsidRDefault="00000000">
      <w:pPr>
        <w:spacing w:after="4" w:line="254" w:lineRule="auto"/>
        <w:ind w:left="174" w:right="10" w:hanging="10"/>
        <w:jc w:val="both"/>
      </w:pPr>
      <w:r>
        <w:rPr>
          <w:rFonts w:ascii="Arial" w:eastAsia="Arial" w:hAnsi="Arial" w:cs="Arial"/>
          <w:sz w:val="18"/>
        </w:rPr>
        <w:t>Articolo 11 - Capacità di stare in giudizio</w:t>
      </w:r>
    </w:p>
    <w:p w14:paraId="145D826D" w14:textId="77777777" w:rsidR="00B32EF2" w:rsidRDefault="00000000">
      <w:pPr>
        <w:spacing w:after="4" w:line="254" w:lineRule="auto"/>
        <w:ind w:left="174" w:right="10" w:hanging="10"/>
        <w:jc w:val="both"/>
      </w:pPr>
      <w:r>
        <w:rPr>
          <w:rFonts w:ascii="Arial" w:eastAsia="Arial" w:hAnsi="Arial" w:cs="Arial"/>
          <w:sz w:val="18"/>
        </w:rPr>
        <w:t>Articolo 12 - Assistenza tecnica</w:t>
      </w:r>
    </w:p>
    <w:p w14:paraId="6261397B" w14:textId="77777777" w:rsidR="00B32EF2" w:rsidRDefault="00000000">
      <w:pPr>
        <w:spacing w:after="4" w:line="254" w:lineRule="auto"/>
        <w:ind w:left="174" w:right="10" w:hanging="10"/>
        <w:jc w:val="both"/>
      </w:pPr>
      <w:r>
        <w:rPr>
          <w:rFonts w:ascii="Arial" w:eastAsia="Arial" w:hAnsi="Arial" w:cs="Arial"/>
          <w:sz w:val="18"/>
        </w:rPr>
        <w:t>Articolo 13 - Assistenza tecnica gratuita</w:t>
      </w:r>
    </w:p>
    <w:p w14:paraId="46E71221" w14:textId="77777777" w:rsidR="00B32EF2" w:rsidRDefault="00000000">
      <w:pPr>
        <w:spacing w:after="4" w:line="254" w:lineRule="auto"/>
        <w:ind w:left="174" w:right="10" w:hanging="10"/>
        <w:jc w:val="both"/>
      </w:pPr>
      <w:r>
        <w:rPr>
          <w:rFonts w:ascii="Arial" w:eastAsia="Arial" w:hAnsi="Arial" w:cs="Arial"/>
          <w:sz w:val="18"/>
        </w:rPr>
        <w:t>Articolo 14 - Litisconsorzio ed intervento</w:t>
      </w:r>
    </w:p>
    <w:p w14:paraId="29AF4BCA" w14:textId="77777777" w:rsidR="00B32EF2" w:rsidRDefault="00000000">
      <w:pPr>
        <w:spacing w:after="4" w:line="254" w:lineRule="auto"/>
        <w:ind w:left="174" w:right="10" w:hanging="10"/>
        <w:jc w:val="both"/>
      </w:pPr>
      <w:r>
        <w:rPr>
          <w:rFonts w:ascii="Arial" w:eastAsia="Arial" w:hAnsi="Arial" w:cs="Arial"/>
          <w:sz w:val="18"/>
        </w:rPr>
        <w:t>Articolo 15 - Spese del giudizio</w:t>
      </w:r>
    </w:p>
    <w:p w14:paraId="44FB4904" w14:textId="77777777" w:rsidR="00B32EF2" w:rsidRDefault="00000000">
      <w:pPr>
        <w:spacing w:after="4" w:line="254" w:lineRule="auto"/>
        <w:ind w:left="174" w:right="10" w:hanging="10"/>
        <w:jc w:val="both"/>
      </w:pPr>
      <w:r>
        <w:rPr>
          <w:rFonts w:ascii="Arial" w:eastAsia="Arial" w:hAnsi="Arial" w:cs="Arial"/>
          <w:sz w:val="18"/>
        </w:rPr>
        <w:t>Articolo 16 - Comunicazioni e notificazioni</w:t>
      </w:r>
    </w:p>
    <w:p w14:paraId="772D06FA" w14:textId="77777777" w:rsidR="00B32EF2" w:rsidRDefault="00000000">
      <w:pPr>
        <w:spacing w:after="4" w:line="254" w:lineRule="auto"/>
        <w:ind w:left="174" w:right="10" w:hanging="10"/>
        <w:jc w:val="both"/>
      </w:pPr>
      <w:r>
        <w:rPr>
          <w:rFonts w:ascii="Arial" w:eastAsia="Arial" w:hAnsi="Arial" w:cs="Arial"/>
          <w:sz w:val="18"/>
        </w:rPr>
        <w:t>Articolo 16-</w:t>
      </w:r>
      <w:r>
        <w:rPr>
          <w:rFonts w:ascii="Arial" w:eastAsia="Arial" w:hAnsi="Arial" w:cs="Arial"/>
          <w:i/>
          <w:sz w:val="18"/>
        </w:rPr>
        <w:t xml:space="preserve">bis </w:t>
      </w:r>
      <w:r>
        <w:rPr>
          <w:rFonts w:ascii="Arial" w:eastAsia="Arial" w:hAnsi="Arial" w:cs="Arial"/>
          <w:sz w:val="18"/>
        </w:rPr>
        <w:t>- Comunicazioni, notificazioni e depositi telematici</w:t>
      </w:r>
    </w:p>
    <w:p w14:paraId="15718D93" w14:textId="77777777" w:rsidR="00B32EF2" w:rsidRDefault="00000000">
      <w:pPr>
        <w:spacing w:after="4" w:line="254" w:lineRule="auto"/>
        <w:ind w:left="174" w:right="10" w:hanging="10"/>
        <w:jc w:val="both"/>
      </w:pPr>
      <w:r>
        <w:rPr>
          <w:rFonts w:ascii="Arial" w:eastAsia="Arial" w:hAnsi="Arial" w:cs="Arial"/>
          <w:sz w:val="18"/>
        </w:rPr>
        <w:t>Articolo 17 - Luogo delle comunicazioni e notificazioni</w:t>
      </w:r>
    </w:p>
    <w:p w14:paraId="4050F17B" w14:textId="77777777" w:rsidR="00B32EF2" w:rsidRDefault="00000000">
      <w:pPr>
        <w:tabs>
          <w:tab w:val="center" w:pos="1271"/>
          <w:tab w:val="center" w:pos="3044"/>
          <w:tab w:val="center" w:pos="3764"/>
          <w:tab w:val="center" w:pos="4484"/>
          <w:tab w:val="center" w:pos="5523"/>
        </w:tabs>
      </w:pPr>
      <w:r>
        <w:tab/>
      </w:r>
      <w:r>
        <w:rPr>
          <w:rFonts w:ascii="Arial" w:eastAsia="Arial" w:hAnsi="Arial" w:cs="Arial"/>
          <w:b/>
          <w:sz w:val="18"/>
        </w:rPr>
        <w:t xml:space="preserve">CAPO III- Forma degli atti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t>Pag. 40</w:t>
      </w:r>
    </w:p>
    <w:p w14:paraId="7C4CD48C" w14:textId="77777777" w:rsidR="00B32EF2" w:rsidRDefault="00000000">
      <w:r>
        <w:rPr>
          <w:rFonts w:ascii="Arial" w:eastAsia="Arial" w:hAnsi="Arial" w:cs="Arial"/>
          <w:sz w:val="18"/>
        </w:rPr>
        <w:t>Articolo 17-ter – Degli atti in generale</w:t>
      </w:r>
    </w:p>
    <w:p w14:paraId="2A82E909" w14:textId="77777777" w:rsidR="00B32EF2" w:rsidRDefault="00000000">
      <w:r>
        <w:rPr>
          <w:rFonts w:ascii="Arial" w:eastAsia="Arial" w:hAnsi="Arial" w:cs="Arial"/>
          <w:b/>
          <w:sz w:val="18"/>
        </w:rPr>
        <w:t>Titolo II – Il processo</w:t>
      </w:r>
    </w:p>
    <w:p w14:paraId="7B32C094" w14:textId="77777777" w:rsidR="00B32EF2" w:rsidRDefault="00000000">
      <w:pPr>
        <w:tabs>
          <w:tab w:val="center" w:pos="2122"/>
          <w:tab w:val="center" w:pos="4484"/>
          <w:tab w:val="center" w:pos="5518"/>
        </w:tabs>
      </w:pPr>
      <w:r>
        <w:tab/>
      </w:r>
      <w:r>
        <w:rPr>
          <w:rFonts w:ascii="Arial" w:eastAsia="Arial" w:hAnsi="Arial" w:cs="Arial"/>
          <w:b/>
          <w:sz w:val="18"/>
        </w:rPr>
        <w:t xml:space="preserve">Capo I – Il procedimento dinanzi alla Corte di </w:t>
      </w:r>
      <w:r>
        <w:rPr>
          <w:rFonts w:ascii="Arial" w:eastAsia="Arial" w:hAnsi="Arial" w:cs="Arial"/>
          <w:b/>
          <w:sz w:val="18"/>
        </w:rPr>
        <w:tab/>
        <w:t xml:space="preserve"> </w:t>
      </w:r>
      <w:r>
        <w:rPr>
          <w:rFonts w:ascii="Arial" w:eastAsia="Arial" w:hAnsi="Arial" w:cs="Arial"/>
          <w:b/>
          <w:sz w:val="18"/>
        </w:rPr>
        <w:tab/>
        <w:t>Pag. 41</w:t>
      </w:r>
    </w:p>
    <w:p w14:paraId="6512E473" w14:textId="77777777" w:rsidR="00B32EF2" w:rsidRDefault="00000000">
      <w:r>
        <w:rPr>
          <w:rFonts w:ascii="Arial" w:eastAsia="Arial" w:hAnsi="Arial" w:cs="Arial"/>
          <w:b/>
          <w:sz w:val="18"/>
        </w:rPr>
        <w:t>Giustizia Tributaria di primo grado</w:t>
      </w:r>
    </w:p>
    <w:p w14:paraId="20D30531" w14:textId="77777777" w:rsidR="00B32EF2" w:rsidRDefault="00000000">
      <w:pPr>
        <w:tabs>
          <w:tab w:val="center" w:pos="1749"/>
          <w:tab w:val="center" w:pos="3764"/>
          <w:tab w:val="center" w:pos="4484"/>
          <w:tab w:val="center" w:pos="5518"/>
        </w:tabs>
      </w:pPr>
      <w:r>
        <w:tab/>
      </w:r>
      <w:r>
        <w:rPr>
          <w:rFonts w:ascii="Arial" w:eastAsia="Arial" w:hAnsi="Arial" w:cs="Arial"/>
          <w:b/>
          <w:sz w:val="18"/>
        </w:rPr>
        <w:t xml:space="preserve">Sezione I – Introduzione del giudizio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t>Pag. 41</w:t>
      </w:r>
    </w:p>
    <w:p w14:paraId="5A7AF47A" w14:textId="77777777" w:rsidR="00B32EF2" w:rsidRDefault="00000000">
      <w:pPr>
        <w:spacing w:after="4" w:line="254" w:lineRule="auto"/>
        <w:ind w:left="174" w:right="10" w:hanging="10"/>
        <w:jc w:val="both"/>
      </w:pPr>
      <w:r>
        <w:rPr>
          <w:rFonts w:ascii="Arial" w:eastAsia="Arial" w:hAnsi="Arial" w:cs="Arial"/>
          <w:sz w:val="18"/>
        </w:rPr>
        <w:lastRenderedPageBreak/>
        <w:t>Articolo 18 - Il ricorso</w:t>
      </w:r>
    </w:p>
    <w:p w14:paraId="3A01D7B1" w14:textId="77777777" w:rsidR="00B32EF2" w:rsidRDefault="00000000">
      <w:pPr>
        <w:spacing w:after="4" w:line="254" w:lineRule="auto"/>
        <w:ind w:left="174" w:right="10" w:hanging="10"/>
        <w:jc w:val="both"/>
      </w:pPr>
      <w:r>
        <w:rPr>
          <w:rFonts w:ascii="Arial" w:eastAsia="Arial" w:hAnsi="Arial" w:cs="Arial"/>
          <w:sz w:val="18"/>
        </w:rPr>
        <w:t>Articolo 19 - Atti impugnabili e oggetto del ricorso</w:t>
      </w:r>
    </w:p>
    <w:p w14:paraId="73BC864D" w14:textId="77777777" w:rsidR="00B32EF2" w:rsidRDefault="00000000">
      <w:pPr>
        <w:spacing w:after="4" w:line="254" w:lineRule="auto"/>
        <w:ind w:left="174" w:right="10" w:hanging="10"/>
        <w:jc w:val="both"/>
      </w:pPr>
      <w:r>
        <w:rPr>
          <w:rFonts w:ascii="Arial" w:eastAsia="Arial" w:hAnsi="Arial" w:cs="Arial"/>
          <w:sz w:val="18"/>
        </w:rPr>
        <w:t>Articolo 20 - Proposizione del ricorso</w:t>
      </w:r>
    </w:p>
    <w:p w14:paraId="1E9271ED" w14:textId="7508CEB9" w:rsidR="00C765E9" w:rsidRDefault="00000000" w:rsidP="00C765E9">
      <w:pPr>
        <w:spacing w:after="4" w:line="254" w:lineRule="auto"/>
        <w:ind w:left="174" w:right="10" w:hanging="10"/>
        <w:jc w:val="both"/>
        <w:sectPr w:rsidR="00C765E9">
          <w:footerReference w:type="even" r:id="rId9"/>
          <w:footerReference w:type="default" r:id="rId10"/>
          <w:footerReference w:type="first" r:id="rId11"/>
          <w:pgSz w:w="8504" w:h="11906"/>
          <w:pgMar w:top="1417" w:right="1133" w:bottom="625" w:left="969" w:header="720" w:footer="720" w:gutter="0"/>
          <w:cols w:space="720"/>
        </w:sectPr>
      </w:pPr>
      <w:r>
        <w:rPr>
          <w:rFonts w:ascii="Arial" w:eastAsia="Arial" w:hAnsi="Arial" w:cs="Arial"/>
          <w:sz w:val="18"/>
        </w:rPr>
        <w:t>Articolo 21 - Termine per la proposizione del ricorso</w:t>
      </w:r>
    </w:p>
    <w:p w14:paraId="73295162" w14:textId="77777777" w:rsidR="00B32EF2" w:rsidRDefault="00000000">
      <w:r>
        <w:rPr>
          <w:rFonts w:ascii="Arial" w:eastAsia="Arial" w:hAnsi="Arial" w:cs="Arial"/>
          <w:sz w:val="18"/>
        </w:rPr>
        <w:lastRenderedPageBreak/>
        <w:t>Articolo 22 - Costituzione in giudizio del ricorrente</w:t>
      </w:r>
    </w:p>
    <w:p w14:paraId="132416F6" w14:textId="77777777" w:rsidR="00B32EF2" w:rsidRDefault="00000000">
      <w:r>
        <w:rPr>
          <w:rFonts w:ascii="Arial" w:eastAsia="Arial" w:hAnsi="Arial" w:cs="Arial"/>
          <w:sz w:val="18"/>
        </w:rPr>
        <w:t>Articolo 23 - Costituzione in giudizio della parte resistente</w:t>
      </w:r>
    </w:p>
    <w:p w14:paraId="6A91A6AB" w14:textId="77777777" w:rsidR="00B32EF2" w:rsidRDefault="00000000">
      <w:r>
        <w:rPr>
          <w:rFonts w:ascii="Arial" w:eastAsia="Arial" w:hAnsi="Arial" w:cs="Arial"/>
          <w:sz w:val="18"/>
        </w:rPr>
        <w:t>Articolo 24 - Produzione di documenti e motivi aggiunti</w:t>
      </w:r>
    </w:p>
    <w:p w14:paraId="70B3DD03" w14:textId="77777777" w:rsidR="00B32EF2" w:rsidRDefault="00000000">
      <w:r>
        <w:rPr>
          <w:rFonts w:ascii="Arial" w:eastAsia="Arial" w:hAnsi="Arial" w:cs="Arial"/>
          <w:sz w:val="18"/>
        </w:rPr>
        <w:t xml:space="preserve">Articolo 25 - Iscrizione del ricorso nel registro generale. </w:t>
      </w:r>
    </w:p>
    <w:p w14:paraId="3F32B5B3" w14:textId="77777777" w:rsidR="00B32EF2" w:rsidRDefault="00000000">
      <w:r>
        <w:rPr>
          <w:rFonts w:ascii="Arial" w:eastAsia="Arial" w:hAnsi="Arial" w:cs="Arial"/>
          <w:sz w:val="18"/>
        </w:rPr>
        <w:t>Fascicolo d’ufficio del processo e fascicoli di parte</w:t>
      </w:r>
    </w:p>
    <w:p w14:paraId="17716660" w14:textId="77777777" w:rsidR="00B32EF2" w:rsidRDefault="00000000">
      <w:r>
        <w:rPr>
          <w:rFonts w:ascii="Arial" w:eastAsia="Arial" w:hAnsi="Arial" w:cs="Arial"/>
          <w:sz w:val="18"/>
        </w:rPr>
        <w:t>Articolo 25-</w:t>
      </w:r>
      <w:r>
        <w:rPr>
          <w:rFonts w:ascii="Arial" w:eastAsia="Arial" w:hAnsi="Arial" w:cs="Arial"/>
          <w:i/>
          <w:sz w:val="18"/>
        </w:rPr>
        <w:t>bis</w:t>
      </w:r>
      <w:r>
        <w:rPr>
          <w:rFonts w:ascii="Arial" w:eastAsia="Arial" w:hAnsi="Arial" w:cs="Arial"/>
          <w:sz w:val="18"/>
        </w:rPr>
        <w:t xml:space="preserve"> - Potere di certificazione di conformità</w:t>
      </w:r>
    </w:p>
    <w:p w14:paraId="74713C40" w14:textId="77777777" w:rsidR="00B32EF2" w:rsidRDefault="00000000">
      <w:r>
        <w:rPr>
          <w:rFonts w:ascii="Arial" w:eastAsia="Arial" w:hAnsi="Arial" w:cs="Arial"/>
          <w:sz w:val="18"/>
        </w:rPr>
        <w:t>Articolo 26 - Assegnazione del ricorso</w:t>
      </w:r>
    </w:p>
    <w:p w14:paraId="3721591D" w14:textId="77777777" w:rsidR="00B32EF2" w:rsidRDefault="00000000">
      <w:pPr>
        <w:tabs>
          <w:tab w:val="center" w:pos="4320"/>
          <w:tab w:val="center" w:pos="5355"/>
        </w:tabs>
      </w:pPr>
      <w:r>
        <w:rPr>
          <w:rFonts w:ascii="Arial" w:eastAsia="Arial" w:hAnsi="Arial" w:cs="Arial"/>
          <w:b/>
          <w:sz w:val="18"/>
        </w:rPr>
        <w:t xml:space="preserve">Sezione II – L’esame preliminare del ricorso </w:t>
      </w:r>
      <w:r>
        <w:rPr>
          <w:rFonts w:ascii="Arial" w:eastAsia="Arial" w:hAnsi="Arial" w:cs="Arial"/>
          <w:b/>
          <w:sz w:val="18"/>
        </w:rPr>
        <w:tab/>
        <w:t xml:space="preserve"> </w:t>
      </w:r>
      <w:r>
        <w:rPr>
          <w:rFonts w:ascii="Arial" w:eastAsia="Arial" w:hAnsi="Arial" w:cs="Arial"/>
          <w:b/>
          <w:sz w:val="18"/>
        </w:rPr>
        <w:tab/>
        <w:t>Pag. 51</w:t>
      </w:r>
    </w:p>
    <w:p w14:paraId="15647CBD" w14:textId="77777777" w:rsidR="00B32EF2" w:rsidRDefault="00000000">
      <w:r>
        <w:rPr>
          <w:rFonts w:ascii="Arial" w:eastAsia="Arial" w:hAnsi="Arial" w:cs="Arial"/>
          <w:sz w:val="18"/>
        </w:rPr>
        <w:t>Articolo 27 - Esame preliminare del ricorso</w:t>
      </w:r>
    </w:p>
    <w:p w14:paraId="4B1211E9" w14:textId="77777777" w:rsidR="00B32EF2" w:rsidRDefault="00000000">
      <w:r>
        <w:rPr>
          <w:rFonts w:ascii="Arial" w:eastAsia="Arial" w:hAnsi="Arial" w:cs="Arial"/>
          <w:sz w:val="18"/>
        </w:rPr>
        <w:t>Articolo 28 - Reclamo contro i provvedimenti presidenziali</w:t>
      </w:r>
    </w:p>
    <w:p w14:paraId="0F45FAC7" w14:textId="77777777" w:rsidR="00B32EF2" w:rsidRDefault="00000000">
      <w:r>
        <w:rPr>
          <w:rFonts w:ascii="Arial" w:eastAsia="Arial" w:hAnsi="Arial" w:cs="Arial"/>
          <w:sz w:val="18"/>
        </w:rPr>
        <w:t>Articolo 29 - Riunione dei ricorsi</w:t>
      </w:r>
    </w:p>
    <w:p w14:paraId="0AB263B0" w14:textId="77777777" w:rsidR="00B32EF2" w:rsidRDefault="00000000">
      <w:pPr>
        <w:tabs>
          <w:tab w:val="center" w:pos="4320"/>
          <w:tab w:val="center" w:pos="5359"/>
        </w:tabs>
      </w:pPr>
      <w:r>
        <w:rPr>
          <w:rFonts w:ascii="Arial" w:eastAsia="Arial" w:hAnsi="Arial" w:cs="Arial"/>
          <w:b/>
          <w:sz w:val="18"/>
        </w:rPr>
        <w:t xml:space="preserve">Sezione III – La trattazione della controversia </w:t>
      </w:r>
      <w:r>
        <w:rPr>
          <w:rFonts w:ascii="Arial" w:eastAsia="Arial" w:hAnsi="Arial" w:cs="Arial"/>
          <w:b/>
          <w:sz w:val="18"/>
        </w:rPr>
        <w:tab/>
        <w:t xml:space="preserve"> </w:t>
      </w:r>
      <w:r>
        <w:rPr>
          <w:rFonts w:ascii="Arial" w:eastAsia="Arial" w:hAnsi="Arial" w:cs="Arial"/>
          <w:b/>
          <w:sz w:val="18"/>
        </w:rPr>
        <w:tab/>
        <w:t>Pag. 53</w:t>
      </w:r>
    </w:p>
    <w:p w14:paraId="78A6FDAC" w14:textId="77777777" w:rsidR="00B32EF2" w:rsidRDefault="00000000">
      <w:pPr>
        <w:spacing w:after="4" w:line="254" w:lineRule="auto"/>
        <w:ind w:left="-4" w:right="10" w:hanging="10"/>
        <w:jc w:val="both"/>
      </w:pPr>
      <w:r>
        <w:rPr>
          <w:rFonts w:ascii="Arial" w:eastAsia="Arial" w:hAnsi="Arial" w:cs="Arial"/>
          <w:sz w:val="18"/>
        </w:rPr>
        <w:t>Articolo 30 - Nomina del relatore e fissazione della data di trattazione</w:t>
      </w:r>
    </w:p>
    <w:p w14:paraId="395EAC2A" w14:textId="77777777" w:rsidR="00B32EF2" w:rsidRDefault="00000000">
      <w:pPr>
        <w:spacing w:after="4" w:line="254" w:lineRule="auto"/>
        <w:ind w:left="-4" w:right="10" w:hanging="10"/>
        <w:jc w:val="both"/>
      </w:pPr>
      <w:r>
        <w:rPr>
          <w:rFonts w:ascii="Arial" w:eastAsia="Arial" w:hAnsi="Arial" w:cs="Arial"/>
          <w:sz w:val="18"/>
        </w:rPr>
        <w:t>Articolo 31 - Avviso di trattazione</w:t>
      </w:r>
    </w:p>
    <w:p w14:paraId="7FFFAAAF" w14:textId="77777777" w:rsidR="00B32EF2" w:rsidRDefault="00000000">
      <w:pPr>
        <w:spacing w:after="4" w:line="254" w:lineRule="auto"/>
        <w:ind w:left="-4" w:right="10" w:hanging="10"/>
        <w:jc w:val="both"/>
      </w:pPr>
      <w:r>
        <w:rPr>
          <w:rFonts w:ascii="Arial" w:eastAsia="Arial" w:hAnsi="Arial" w:cs="Arial"/>
          <w:sz w:val="18"/>
        </w:rPr>
        <w:t>Articolo 32 - Deposito di documenti e di memorie</w:t>
      </w:r>
    </w:p>
    <w:p w14:paraId="0E43FD34" w14:textId="77777777" w:rsidR="00B32EF2" w:rsidRDefault="00000000">
      <w:pPr>
        <w:spacing w:after="4" w:line="254" w:lineRule="auto"/>
        <w:ind w:left="-4" w:right="10" w:hanging="10"/>
        <w:jc w:val="both"/>
      </w:pPr>
      <w:r>
        <w:rPr>
          <w:rFonts w:ascii="Arial" w:eastAsia="Arial" w:hAnsi="Arial" w:cs="Arial"/>
          <w:sz w:val="18"/>
        </w:rPr>
        <w:t>Articolo 33 - Trattazione in camera di consiglio</w:t>
      </w:r>
    </w:p>
    <w:p w14:paraId="615570A8" w14:textId="77777777" w:rsidR="00B32EF2" w:rsidRDefault="00000000">
      <w:pPr>
        <w:spacing w:after="4" w:line="254" w:lineRule="auto"/>
        <w:ind w:left="-4" w:right="10" w:hanging="10"/>
        <w:jc w:val="both"/>
      </w:pPr>
      <w:r>
        <w:rPr>
          <w:rFonts w:ascii="Arial" w:eastAsia="Arial" w:hAnsi="Arial" w:cs="Arial"/>
          <w:sz w:val="18"/>
        </w:rPr>
        <w:t>Articolo 34 - Discussione in pubblica udienza</w:t>
      </w:r>
    </w:p>
    <w:p w14:paraId="25CFC2C9" w14:textId="77777777" w:rsidR="00B32EF2" w:rsidRDefault="00000000">
      <w:pPr>
        <w:spacing w:after="4" w:line="254" w:lineRule="auto"/>
        <w:ind w:left="-4" w:right="10" w:hanging="10"/>
        <w:jc w:val="both"/>
      </w:pPr>
      <w:r>
        <w:rPr>
          <w:rFonts w:ascii="Arial" w:eastAsia="Arial" w:hAnsi="Arial" w:cs="Arial"/>
          <w:sz w:val="18"/>
        </w:rPr>
        <w:t>Articolo 34-</w:t>
      </w:r>
      <w:r>
        <w:rPr>
          <w:rFonts w:ascii="Arial" w:eastAsia="Arial" w:hAnsi="Arial" w:cs="Arial"/>
          <w:i/>
          <w:sz w:val="18"/>
        </w:rPr>
        <w:t>bis</w:t>
      </w:r>
      <w:r>
        <w:rPr>
          <w:rFonts w:ascii="Arial" w:eastAsia="Arial" w:hAnsi="Arial" w:cs="Arial"/>
          <w:sz w:val="18"/>
        </w:rPr>
        <w:t xml:space="preserve"> - Udienza a distanza</w:t>
      </w:r>
    </w:p>
    <w:p w14:paraId="2E70661F" w14:textId="77777777" w:rsidR="00B32EF2" w:rsidRDefault="00000000">
      <w:pPr>
        <w:spacing w:after="4" w:line="254" w:lineRule="auto"/>
        <w:ind w:left="-4" w:right="10" w:hanging="10"/>
        <w:jc w:val="both"/>
      </w:pPr>
      <w:r>
        <w:rPr>
          <w:rFonts w:ascii="Arial" w:eastAsia="Arial" w:hAnsi="Arial" w:cs="Arial"/>
          <w:sz w:val="18"/>
        </w:rPr>
        <w:t>Articolo 35 - Deliberazioni del collegio giudicante</w:t>
      </w:r>
    </w:p>
    <w:p w14:paraId="290A8995" w14:textId="77777777" w:rsidR="00B32EF2" w:rsidRDefault="00000000">
      <w:pPr>
        <w:tabs>
          <w:tab w:val="center" w:pos="4320"/>
          <w:tab w:val="center" w:pos="5358"/>
        </w:tabs>
        <w:spacing w:after="2" w:line="255" w:lineRule="auto"/>
        <w:ind w:left="-14"/>
      </w:pPr>
      <w:r>
        <w:rPr>
          <w:rFonts w:ascii="Arial" w:eastAsia="Arial" w:hAnsi="Arial" w:cs="Arial"/>
          <w:b/>
          <w:sz w:val="18"/>
        </w:rPr>
        <w:t xml:space="preserve">Sezione IV – La decisione della controversia </w:t>
      </w:r>
      <w:r>
        <w:rPr>
          <w:rFonts w:ascii="Arial" w:eastAsia="Arial" w:hAnsi="Arial" w:cs="Arial"/>
          <w:b/>
          <w:sz w:val="18"/>
        </w:rPr>
        <w:tab/>
        <w:t xml:space="preserve"> </w:t>
      </w:r>
      <w:r>
        <w:rPr>
          <w:rFonts w:ascii="Arial" w:eastAsia="Arial" w:hAnsi="Arial" w:cs="Arial"/>
          <w:b/>
          <w:sz w:val="18"/>
        </w:rPr>
        <w:tab/>
        <w:t>Pag. 57</w:t>
      </w:r>
    </w:p>
    <w:p w14:paraId="144CD633" w14:textId="77777777" w:rsidR="00B32EF2" w:rsidRDefault="00000000">
      <w:pPr>
        <w:spacing w:after="4" w:line="254" w:lineRule="auto"/>
        <w:ind w:left="-4" w:right="10" w:hanging="10"/>
        <w:jc w:val="both"/>
      </w:pPr>
      <w:r>
        <w:rPr>
          <w:rFonts w:ascii="Arial" w:eastAsia="Arial" w:hAnsi="Arial" w:cs="Arial"/>
          <w:sz w:val="18"/>
        </w:rPr>
        <w:t>Articolo 36 - Contenuto della sentenza</w:t>
      </w:r>
    </w:p>
    <w:p w14:paraId="62C2176D" w14:textId="77777777" w:rsidR="00B32EF2" w:rsidRDefault="00000000">
      <w:pPr>
        <w:spacing w:after="4" w:line="254" w:lineRule="auto"/>
        <w:ind w:left="-4" w:right="10" w:hanging="10"/>
        <w:jc w:val="both"/>
      </w:pPr>
      <w:r>
        <w:rPr>
          <w:rFonts w:ascii="Arial" w:eastAsia="Arial" w:hAnsi="Arial" w:cs="Arial"/>
          <w:sz w:val="18"/>
        </w:rPr>
        <w:t>Articolo 37 - Pubblicazione e comunicazione della sentenza</w:t>
      </w:r>
    </w:p>
    <w:p w14:paraId="4B099394" w14:textId="77777777" w:rsidR="00B32EF2" w:rsidRDefault="00000000">
      <w:pPr>
        <w:spacing w:after="4" w:line="254" w:lineRule="auto"/>
        <w:ind w:left="-4" w:right="10" w:hanging="10"/>
        <w:jc w:val="both"/>
      </w:pPr>
      <w:r>
        <w:rPr>
          <w:rFonts w:ascii="Arial" w:eastAsia="Arial" w:hAnsi="Arial" w:cs="Arial"/>
          <w:sz w:val="18"/>
        </w:rPr>
        <w:t>Articolo 38 - Richiesta di copie e notificazione della sentenza</w:t>
      </w:r>
    </w:p>
    <w:p w14:paraId="496F6C95" w14:textId="77777777" w:rsidR="00B32EF2" w:rsidRDefault="00000000">
      <w:pPr>
        <w:spacing w:after="2" w:line="255" w:lineRule="auto"/>
        <w:ind w:left="-4" w:hanging="10"/>
      </w:pPr>
      <w:r>
        <w:rPr>
          <w:rFonts w:ascii="Arial" w:eastAsia="Arial" w:hAnsi="Arial" w:cs="Arial"/>
          <w:b/>
          <w:sz w:val="18"/>
        </w:rPr>
        <w:t xml:space="preserve">Sezione V – Sospensione, interruzione ed </w:t>
      </w:r>
      <w:r>
        <w:rPr>
          <w:rFonts w:ascii="Arial" w:eastAsia="Arial" w:hAnsi="Arial" w:cs="Arial"/>
          <w:b/>
          <w:sz w:val="18"/>
        </w:rPr>
        <w:tab/>
        <w:t xml:space="preserve"> </w:t>
      </w:r>
      <w:r>
        <w:rPr>
          <w:rFonts w:ascii="Arial" w:eastAsia="Arial" w:hAnsi="Arial" w:cs="Arial"/>
          <w:b/>
          <w:sz w:val="18"/>
        </w:rPr>
        <w:tab/>
        <w:t>Pag. 60 estinzione del processo</w:t>
      </w:r>
    </w:p>
    <w:p w14:paraId="52A56579" w14:textId="77777777" w:rsidR="00B32EF2" w:rsidRDefault="00000000">
      <w:pPr>
        <w:spacing w:after="4" w:line="254" w:lineRule="auto"/>
        <w:ind w:left="-4" w:right="10" w:hanging="10"/>
        <w:jc w:val="both"/>
      </w:pPr>
      <w:r>
        <w:rPr>
          <w:rFonts w:ascii="Arial" w:eastAsia="Arial" w:hAnsi="Arial" w:cs="Arial"/>
          <w:sz w:val="18"/>
        </w:rPr>
        <w:t>Articolo 39 - Sospensione del processo</w:t>
      </w:r>
    </w:p>
    <w:p w14:paraId="2E32A887" w14:textId="77777777" w:rsidR="00B32EF2" w:rsidRDefault="00000000">
      <w:pPr>
        <w:spacing w:after="4" w:line="254" w:lineRule="auto"/>
        <w:ind w:left="-4" w:right="10" w:hanging="10"/>
        <w:jc w:val="both"/>
      </w:pPr>
      <w:r>
        <w:rPr>
          <w:rFonts w:ascii="Arial" w:eastAsia="Arial" w:hAnsi="Arial" w:cs="Arial"/>
          <w:sz w:val="18"/>
        </w:rPr>
        <w:t>Articolo 40 - Interruzione del processo</w:t>
      </w:r>
    </w:p>
    <w:p w14:paraId="68780727" w14:textId="77777777" w:rsidR="00B32EF2" w:rsidRDefault="00000000">
      <w:pPr>
        <w:spacing w:after="4" w:line="254" w:lineRule="auto"/>
        <w:ind w:left="-4" w:right="10" w:hanging="10"/>
        <w:jc w:val="both"/>
      </w:pPr>
      <w:r>
        <w:rPr>
          <w:rFonts w:ascii="Arial" w:eastAsia="Arial" w:hAnsi="Arial" w:cs="Arial"/>
          <w:sz w:val="18"/>
        </w:rPr>
        <w:t>Articolo 41 - Provvedimenti sulla sospensione e sull’interruzione del processo</w:t>
      </w:r>
    </w:p>
    <w:p w14:paraId="5FB74147" w14:textId="77777777" w:rsidR="00B32EF2" w:rsidRDefault="00000000">
      <w:pPr>
        <w:spacing w:after="4" w:line="254" w:lineRule="auto"/>
        <w:ind w:left="-4" w:right="10" w:hanging="10"/>
        <w:jc w:val="both"/>
      </w:pPr>
      <w:r>
        <w:rPr>
          <w:rFonts w:ascii="Arial" w:eastAsia="Arial" w:hAnsi="Arial" w:cs="Arial"/>
          <w:sz w:val="18"/>
        </w:rPr>
        <w:t>Articolo 42 - Effetti della sospensione e dell’interruzione del processo</w:t>
      </w:r>
    </w:p>
    <w:p w14:paraId="14502008" w14:textId="77777777" w:rsidR="00B32EF2" w:rsidRDefault="00000000">
      <w:pPr>
        <w:spacing w:after="4" w:line="254" w:lineRule="auto"/>
        <w:ind w:left="-4" w:right="10" w:hanging="10"/>
        <w:jc w:val="both"/>
      </w:pPr>
      <w:r>
        <w:rPr>
          <w:rFonts w:ascii="Arial" w:eastAsia="Arial" w:hAnsi="Arial" w:cs="Arial"/>
          <w:sz w:val="18"/>
        </w:rPr>
        <w:t>Articolo 43 - Ripresa del processo sospeso o interrotto</w:t>
      </w:r>
    </w:p>
    <w:p w14:paraId="60E98136" w14:textId="77777777" w:rsidR="00B32EF2" w:rsidRDefault="00000000">
      <w:pPr>
        <w:spacing w:after="4" w:line="254" w:lineRule="auto"/>
        <w:ind w:left="-4" w:right="10" w:hanging="10"/>
        <w:jc w:val="both"/>
      </w:pPr>
      <w:r>
        <w:rPr>
          <w:rFonts w:ascii="Arial" w:eastAsia="Arial" w:hAnsi="Arial" w:cs="Arial"/>
          <w:sz w:val="18"/>
        </w:rPr>
        <w:t>Articolo 44 - Estinzione del processo per rinuncia al ricorso</w:t>
      </w:r>
    </w:p>
    <w:p w14:paraId="790ED832" w14:textId="77777777" w:rsidR="00B32EF2" w:rsidRDefault="00000000">
      <w:pPr>
        <w:spacing w:after="4" w:line="254" w:lineRule="auto"/>
        <w:ind w:left="-4" w:right="10" w:hanging="10"/>
        <w:jc w:val="both"/>
      </w:pPr>
      <w:r>
        <w:rPr>
          <w:rFonts w:ascii="Arial" w:eastAsia="Arial" w:hAnsi="Arial" w:cs="Arial"/>
          <w:sz w:val="18"/>
        </w:rPr>
        <w:t>Articolo 45 - Estinzione del processo per inattività delle parti</w:t>
      </w:r>
    </w:p>
    <w:p w14:paraId="4988DF5D" w14:textId="77777777" w:rsidR="00B32EF2" w:rsidRDefault="00000000">
      <w:pPr>
        <w:spacing w:after="4" w:line="254" w:lineRule="auto"/>
        <w:ind w:left="-4" w:right="10" w:hanging="10"/>
        <w:jc w:val="both"/>
      </w:pPr>
      <w:r>
        <w:rPr>
          <w:rFonts w:ascii="Arial" w:eastAsia="Arial" w:hAnsi="Arial" w:cs="Arial"/>
          <w:sz w:val="18"/>
        </w:rPr>
        <w:t>Articolo 46 - Estinzione del giudizio per cessazione della materia del contendere</w:t>
      </w:r>
    </w:p>
    <w:p w14:paraId="22EDCD87" w14:textId="77777777" w:rsidR="00B32EF2" w:rsidRDefault="00000000">
      <w:pPr>
        <w:tabs>
          <w:tab w:val="center" w:pos="5360"/>
        </w:tabs>
        <w:spacing w:after="2" w:line="255" w:lineRule="auto"/>
        <w:ind w:left="-14"/>
      </w:pPr>
      <w:r>
        <w:rPr>
          <w:rFonts w:ascii="Arial" w:eastAsia="Arial" w:hAnsi="Arial" w:cs="Arial"/>
          <w:b/>
          <w:sz w:val="18"/>
        </w:rPr>
        <w:lastRenderedPageBreak/>
        <w:t xml:space="preserve">Capo II – I procedimenti cautelare e conciliativo  </w:t>
      </w:r>
      <w:r>
        <w:rPr>
          <w:rFonts w:ascii="Arial" w:eastAsia="Arial" w:hAnsi="Arial" w:cs="Arial"/>
          <w:b/>
          <w:sz w:val="18"/>
        </w:rPr>
        <w:tab/>
        <w:t>Pag. 64</w:t>
      </w:r>
    </w:p>
    <w:p w14:paraId="17F2663F" w14:textId="77777777" w:rsidR="00B32EF2" w:rsidRDefault="00000000">
      <w:pPr>
        <w:spacing w:after="4" w:line="254" w:lineRule="auto"/>
        <w:ind w:left="-4" w:right="10" w:hanging="10"/>
        <w:jc w:val="both"/>
      </w:pPr>
      <w:r>
        <w:rPr>
          <w:rFonts w:ascii="Arial" w:eastAsia="Arial" w:hAnsi="Arial" w:cs="Arial"/>
          <w:sz w:val="18"/>
        </w:rPr>
        <w:t>Articolo 47 - Sospensione dell’atto impugnato</w:t>
      </w:r>
    </w:p>
    <w:p w14:paraId="49494D30" w14:textId="77777777" w:rsidR="00B32EF2" w:rsidRDefault="00000000">
      <w:pPr>
        <w:spacing w:after="4" w:line="254" w:lineRule="auto"/>
        <w:ind w:left="-4" w:right="10" w:hanging="10"/>
        <w:jc w:val="both"/>
      </w:pPr>
      <w:r>
        <w:rPr>
          <w:rFonts w:ascii="Arial" w:eastAsia="Arial" w:hAnsi="Arial" w:cs="Arial"/>
          <w:sz w:val="18"/>
        </w:rPr>
        <w:t>Articolo 47-</w:t>
      </w:r>
      <w:r>
        <w:rPr>
          <w:rFonts w:ascii="Arial" w:eastAsia="Arial" w:hAnsi="Arial" w:cs="Arial"/>
          <w:i/>
          <w:sz w:val="18"/>
        </w:rPr>
        <w:t>bis</w:t>
      </w:r>
      <w:r>
        <w:rPr>
          <w:rFonts w:ascii="Arial" w:eastAsia="Arial" w:hAnsi="Arial" w:cs="Arial"/>
          <w:sz w:val="18"/>
        </w:rPr>
        <w:t xml:space="preserve"> - Sospensione di atti volti al recupero di aiuti di Stato e definizione delle relative controversie</w:t>
      </w:r>
    </w:p>
    <w:p w14:paraId="1C22FD29" w14:textId="77777777" w:rsidR="00B32EF2" w:rsidRDefault="00000000">
      <w:pPr>
        <w:spacing w:after="4" w:line="254" w:lineRule="auto"/>
        <w:ind w:left="-4" w:right="10" w:hanging="10"/>
        <w:jc w:val="both"/>
      </w:pPr>
      <w:r>
        <w:rPr>
          <w:rFonts w:ascii="Arial" w:eastAsia="Arial" w:hAnsi="Arial" w:cs="Arial"/>
          <w:sz w:val="18"/>
        </w:rPr>
        <w:t>Articolo 47-</w:t>
      </w:r>
      <w:r>
        <w:rPr>
          <w:rFonts w:ascii="Arial" w:eastAsia="Arial" w:hAnsi="Arial" w:cs="Arial"/>
          <w:i/>
          <w:sz w:val="18"/>
        </w:rPr>
        <w:t>ter</w:t>
      </w:r>
      <w:r>
        <w:rPr>
          <w:rFonts w:ascii="Arial" w:eastAsia="Arial" w:hAnsi="Arial" w:cs="Arial"/>
          <w:sz w:val="18"/>
        </w:rPr>
        <w:t xml:space="preserve"> - Definizione del giudizio in esito alla domanda di sospensione</w:t>
      </w:r>
    </w:p>
    <w:p w14:paraId="0556D5C1" w14:textId="77777777" w:rsidR="00B32EF2" w:rsidRDefault="00000000">
      <w:pPr>
        <w:spacing w:after="4" w:line="254" w:lineRule="auto"/>
        <w:ind w:left="-4" w:right="10" w:hanging="10"/>
        <w:jc w:val="both"/>
      </w:pPr>
      <w:r>
        <w:rPr>
          <w:rFonts w:ascii="Arial" w:eastAsia="Arial" w:hAnsi="Arial" w:cs="Arial"/>
          <w:sz w:val="18"/>
        </w:rPr>
        <w:t>Articolo 48 - Conciliazione fuori udienza</w:t>
      </w:r>
    </w:p>
    <w:p w14:paraId="6F530801" w14:textId="77777777" w:rsidR="00B32EF2" w:rsidRDefault="00000000">
      <w:pPr>
        <w:spacing w:after="4" w:line="254" w:lineRule="auto"/>
        <w:ind w:left="-4" w:right="10" w:hanging="10"/>
        <w:jc w:val="both"/>
      </w:pPr>
      <w:r>
        <w:rPr>
          <w:rFonts w:ascii="Arial" w:eastAsia="Arial" w:hAnsi="Arial" w:cs="Arial"/>
          <w:sz w:val="18"/>
        </w:rPr>
        <w:t>Articolo 48-</w:t>
      </w:r>
      <w:r>
        <w:rPr>
          <w:rFonts w:ascii="Arial" w:eastAsia="Arial" w:hAnsi="Arial" w:cs="Arial"/>
          <w:i/>
          <w:sz w:val="18"/>
        </w:rPr>
        <w:t>bis</w:t>
      </w:r>
      <w:r>
        <w:rPr>
          <w:rFonts w:ascii="Arial" w:eastAsia="Arial" w:hAnsi="Arial" w:cs="Arial"/>
          <w:sz w:val="18"/>
        </w:rPr>
        <w:t xml:space="preserve"> - Conciliazione in udienza</w:t>
      </w:r>
    </w:p>
    <w:p w14:paraId="5F6705B9" w14:textId="77777777" w:rsidR="00B32EF2" w:rsidRDefault="00000000">
      <w:pPr>
        <w:spacing w:after="4" w:line="254" w:lineRule="auto"/>
        <w:ind w:left="-4" w:right="10" w:hanging="10"/>
        <w:jc w:val="both"/>
      </w:pPr>
      <w:r>
        <w:rPr>
          <w:rFonts w:ascii="Arial" w:eastAsia="Arial" w:hAnsi="Arial" w:cs="Arial"/>
          <w:sz w:val="18"/>
        </w:rPr>
        <w:t>Articolo 48-</w:t>
      </w:r>
      <w:r>
        <w:rPr>
          <w:rFonts w:ascii="Arial" w:eastAsia="Arial" w:hAnsi="Arial" w:cs="Arial"/>
          <w:i/>
          <w:sz w:val="18"/>
        </w:rPr>
        <w:t>bis</w:t>
      </w:r>
      <w:r>
        <w:rPr>
          <w:rFonts w:ascii="Arial" w:eastAsia="Arial" w:hAnsi="Arial" w:cs="Arial"/>
          <w:sz w:val="18"/>
        </w:rPr>
        <w:t>. 1 - Conciliazione proposta dalla corte di giustizia tributaria</w:t>
      </w:r>
    </w:p>
    <w:p w14:paraId="0E5371B0" w14:textId="77777777" w:rsidR="00B32EF2" w:rsidRDefault="00000000">
      <w:pPr>
        <w:spacing w:after="4" w:line="254" w:lineRule="auto"/>
        <w:ind w:left="-4" w:right="10" w:hanging="10"/>
        <w:jc w:val="both"/>
      </w:pPr>
      <w:r>
        <w:rPr>
          <w:rFonts w:ascii="Arial" w:eastAsia="Arial" w:hAnsi="Arial" w:cs="Arial"/>
          <w:sz w:val="18"/>
        </w:rPr>
        <w:t>Articolo 48-</w:t>
      </w:r>
      <w:r>
        <w:rPr>
          <w:rFonts w:ascii="Arial" w:eastAsia="Arial" w:hAnsi="Arial" w:cs="Arial"/>
          <w:i/>
          <w:sz w:val="18"/>
        </w:rPr>
        <w:t>ter</w:t>
      </w:r>
      <w:r>
        <w:rPr>
          <w:rFonts w:ascii="Arial" w:eastAsia="Arial" w:hAnsi="Arial" w:cs="Arial"/>
          <w:sz w:val="18"/>
        </w:rPr>
        <w:t xml:space="preserve"> - Definizione e pagamento delle somme dovute</w:t>
      </w:r>
    </w:p>
    <w:p w14:paraId="323D1A7F" w14:textId="77777777" w:rsidR="00B32EF2" w:rsidRDefault="00000000">
      <w:pPr>
        <w:tabs>
          <w:tab w:val="center" w:pos="2881"/>
          <w:tab w:val="center" w:pos="3601"/>
          <w:tab w:val="center" w:pos="4321"/>
          <w:tab w:val="center" w:pos="5352"/>
        </w:tabs>
        <w:spacing w:after="2" w:line="255" w:lineRule="auto"/>
        <w:ind w:left="-14"/>
      </w:pPr>
      <w:r>
        <w:rPr>
          <w:rFonts w:ascii="Arial" w:eastAsia="Arial" w:hAnsi="Arial" w:cs="Arial"/>
          <w:b/>
          <w:sz w:val="18"/>
        </w:rPr>
        <w:t xml:space="preserve">Capo III – Le Impugnazioni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t>Pag. 74</w:t>
      </w:r>
    </w:p>
    <w:p w14:paraId="6D2E3E65" w14:textId="77777777" w:rsidR="00B32EF2" w:rsidRDefault="00000000">
      <w:pPr>
        <w:tabs>
          <w:tab w:val="center" w:pos="4321"/>
          <w:tab w:val="center" w:pos="5352"/>
        </w:tabs>
        <w:spacing w:after="2" w:line="255" w:lineRule="auto"/>
        <w:ind w:left="-14"/>
      </w:pPr>
      <w:r>
        <w:rPr>
          <w:rFonts w:ascii="Arial" w:eastAsia="Arial" w:hAnsi="Arial" w:cs="Arial"/>
          <w:b/>
          <w:sz w:val="18"/>
        </w:rPr>
        <w:t xml:space="preserve">Sezione I – Le impugnazioni in generale  </w:t>
      </w:r>
      <w:r>
        <w:rPr>
          <w:rFonts w:ascii="Arial" w:eastAsia="Arial" w:hAnsi="Arial" w:cs="Arial"/>
          <w:b/>
          <w:sz w:val="18"/>
        </w:rPr>
        <w:tab/>
        <w:t xml:space="preserve"> </w:t>
      </w:r>
      <w:r>
        <w:rPr>
          <w:rFonts w:ascii="Arial" w:eastAsia="Arial" w:hAnsi="Arial" w:cs="Arial"/>
          <w:b/>
          <w:sz w:val="18"/>
        </w:rPr>
        <w:tab/>
        <w:t>Pag. 74</w:t>
      </w:r>
    </w:p>
    <w:p w14:paraId="221C94BD" w14:textId="77777777" w:rsidR="00B32EF2" w:rsidRDefault="00000000">
      <w:pPr>
        <w:spacing w:after="4" w:line="254" w:lineRule="auto"/>
        <w:ind w:left="-4" w:right="10" w:hanging="10"/>
        <w:jc w:val="both"/>
      </w:pPr>
      <w:r>
        <w:rPr>
          <w:rFonts w:ascii="Arial" w:eastAsia="Arial" w:hAnsi="Arial" w:cs="Arial"/>
          <w:sz w:val="18"/>
        </w:rPr>
        <w:t>Articolo 49 - Disposizioni generali applicabili</w:t>
      </w:r>
    </w:p>
    <w:p w14:paraId="3D82EDCD" w14:textId="77777777" w:rsidR="00B32EF2" w:rsidRDefault="00000000">
      <w:pPr>
        <w:spacing w:after="4" w:line="254" w:lineRule="auto"/>
        <w:ind w:left="-4" w:right="10" w:hanging="10"/>
        <w:jc w:val="both"/>
      </w:pPr>
      <w:r>
        <w:rPr>
          <w:rFonts w:ascii="Arial" w:eastAsia="Arial" w:hAnsi="Arial" w:cs="Arial"/>
          <w:sz w:val="18"/>
        </w:rPr>
        <w:t>Articolo 50 - I mezzi d’impugnazione</w:t>
      </w:r>
    </w:p>
    <w:p w14:paraId="62E9B4D3" w14:textId="77777777" w:rsidR="00B32EF2" w:rsidRDefault="00000000">
      <w:pPr>
        <w:spacing w:after="4" w:line="254" w:lineRule="auto"/>
        <w:ind w:left="-4" w:right="10" w:hanging="10"/>
        <w:jc w:val="both"/>
      </w:pPr>
      <w:r>
        <w:rPr>
          <w:rFonts w:ascii="Arial" w:eastAsia="Arial" w:hAnsi="Arial" w:cs="Arial"/>
          <w:sz w:val="18"/>
        </w:rPr>
        <w:t>Articolo 51 - Termini d’impugnazione</w:t>
      </w:r>
    </w:p>
    <w:p w14:paraId="3ACAFD50" w14:textId="77777777" w:rsidR="00B32EF2" w:rsidRDefault="00000000">
      <w:pPr>
        <w:tabs>
          <w:tab w:val="center" w:pos="5356"/>
        </w:tabs>
        <w:spacing w:after="2" w:line="255" w:lineRule="auto"/>
        <w:ind w:left="-14"/>
      </w:pPr>
      <w:r>
        <w:rPr>
          <w:rFonts w:ascii="Arial" w:eastAsia="Arial" w:hAnsi="Arial" w:cs="Arial"/>
          <w:b/>
          <w:sz w:val="18"/>
        </w:rPr>
        <w:t xml:space="preserve">Sezione II – Il giudizio di appello davanti alla Corte di </w:t>
      </w:r>
      <w:r>
        <w:rPr>
          <w:rFonts w:ascii="Arial" w:eastAsia="Arial" w:hAnsi="Arial" w:cs="Arial"/>
          <w:b/>
          <w:sz w:val="18"/>
        </w:rPr>
        <w:tab/>
        <w:t>Pag. 75</w:t>
      </w:r>
    </w:p>
    <w:p w14:paraId="1864A6CE" w14:textId="77777777" w:rsidR="00B32EF2" w:rsidRDefault="00000000">
      <w:pPr>
        <w:spacing w:after="2" w:line="255" w:lineRule="auto"/>
        <w:ind w:left="-4" w:hanging="10"/>
      </w:pPr>
      <w:r>
        <w:rPr>
          <w:rFonts w:ascii="Arial" w:eastAsia="Arial" w:hAnsi="Arial" w:cs="Arial"/>
          <w:b/>
          <w:sz w:val="18"/>
        </w:rPr>
        <w:t>Giustizia Tributaria di secondo grado</w:t>
      </w:r>
    </w:p>
    <w:p w14:paraId="685FDDE9" w14:textId="77777777" w:rsidR="00B32EF2" w:rsidRDefault="00000000">
      <w:pPr>
        <w:spacing w:after="4" w:line="254" w:lineRule="auto"/>
        <w:ind w:left="-4" w:right="10" w:hanging="10"/>
        <w:jc w:val="both"/>
      </w:pPr>
      <w:r>
        <w:rPr>
          <w:rFonts w:ascii="Arial" w:eastAsia="Arial" w:hAnsi="Arial" w:cs="Arial"/>
          <w:sz w:val="18"/>
        </w:rPr>
        <w:t>Articolo 52 - Giudice competente e provvedimenti sull’esecuzione provvisoria in appello</w:t>
      </w:r>
    </w:p>
    <w:p w14:paraId="40D132DF" w14:textId="77777777" w:rsidR="00B32EF2" w:rsidRDefault="00000000">
      <w:pPr>
        <w:spacing w:after="4" w:line="254" w:lineRule="auto"/>
        <w:ind w:left="-4" w:right="10" w:hanging="10"/>
        <w:jc w:val="both"/>
      </w:pPr>
      <w:r>
        <w:rPr>
          <w:rFonts w:ascii="Arial" w:eastAsia="Arial" w:hAnsi="Arial" w:cs="Arial"/>
          <w:sz w:val="18"/>
        </w:rPr>
        <w:t>Articolo 53 - Forma dell’appello</w:t>
      </w:r>
    </w:p>
    <w:p w14:paraId="34997F30" w14:textId="77777777" w:rsidR="00B32EF2" w:rsidRDefault="00000000">
      <w:pPr>
        <w:spacing w:after="4" w:line="254" w:lineRule="auto"/>
        <w:ind w:left="-4" w:right="10" w:hanging="10"/>
        <w:jc w:val="both"/>
      </w:pPr>
      <w:r>
        <w:rPr>
          <w:rFonts w:ascii="Arial" w:eastAsia="Arial" w:hAnsi="Arial" w:cs="Arial"/>
          <w:sz w:val="18"/>
        </w:rPr>
        <w:t>Articolo 54 - Controdeduzioni dell’appellato e appello incidentale</w:t>
      </w:r>
    </w:p>
    <w:p w14:paraId="7FB116AC" w14:textId="77777777" w:rsidR="00B32EF2" w:rsidRDefault="00000000">
      <w:pPr>
        <w:spacing w:after="4" w:line="254" w:lineRule="auto"/>
        <w:ind w:left="-4" w:right="10" w:hanging="10"/>
        <w:jc w:val="both"/>
      </w:pPr>
      <w:r>
        <w:rPr>
          <w:rFonts w:ascii="Arial" w:eastAsia="Arial" w:hAnsi="Arial" w:cs="Arial"/>
          <w:sz w:val="18"/>
        </w:rPr>
        <w:t>Articolo 55 - Provvedimenti presidenziali</w:t>
      </w:r>
    </w:p>
    <w:p w14:paraId="47BFB434" w14:textId="77777777" w:rsidR="00B32EF2" w:rsidRDefault="00000000">
      <w:pPr>
        <w:spacing w:after="4" w:line="254" w:lineRule="auto"/>
        <w:ind w:left="-4" w:right="10" w:hanging="10"/>
        <w:jc w:val="both"/>
      </w:pPr>
      <w:r>
        <w:rPr>
          <w:rFonts w:ascii="Arial" w:eastAsia="Arial" w:hAnsi="Arial" w:cs="Arial"/>
          <w:sz w:val="18"/>
        </w:rPr>
        <w:t>Articolo 56 - Questioni ed eccezioni non riproposte</w:t>
      </w:r>
    </w:p>
    <w:p w14:paraId="20710223" w14:textId="77777777" w:rsidR="00B32EF2" w:rsidRDefault="00000000">
      <w:pPr>
        <w:spacing w:after="4" w:line="254" w:lineRule="auto"/>
        <w:ind w:left="-4" w:right="10" w:hanging="10"/>
        <w:jc w:val="both"/>
      </w:pPr>
      <w:r>
        <w:rPr>
          <w:rFonts w:ascii="Arial" w:eastAsia="Arial" w:hAnsi="Arial" w:cs="Arial"/>
          <w:sz w:val="18"/>
        </w:rPr>
        <w:t>Articolo 57 - Domande ed eccezioni nuove</w:t>
      </w:r>
    </w:p>
    <w:p w14:paraId="2A6BCAFD" w14:textId="77777777" w:rsidR="00B32EF2" w:rsidRDefault="00000000">
      <w:pPr>
        <w:spacing w:after="4" w:line="254" w:lineRule="auto"/>
        <w:ind w:left="-4" w:right="10" w:hanging="10"/>
        <w:jc w:val="both"/>
      </w:pPr>
      <w:r>
        <w:rPr>
          <w:rFonts w:ascii="Arial" w:eastAsia="Arial" w:hAnsi="Arial" w:cs="Arial"/>
          <w:sz w:val="18"/>
        </w:rPr>
        <w:t>Articolo 58 - Nuove prove in appello</w:t>
      </w:r>
    </w:p>
    <w:p w14:paraId="04571053" w14:textId="77777777" w:rsidR="00B32EF2" w:rsidRDefault="00000000">
      <w:pPr>
        <w:spacing w:after="4" w:line="254" w:lineRule="auto"/>
        <w:ind w:left="-4" w:right="10" w:hanging="10"/>
        <w:jc w:val="both"/>
      </w:pPr>
      <w:r>
        <w:rPr>
          <w:rFonts w:ascii="Arial" w:eastAsia="Arial" w:hAnsi="Arial" w:cs="Arial"/>
          <w:sz w:val="18"/>
        </w:rPr>
        <w:t>Articolo 59 - Rimessione alla corte di giustizia tributaria di primo grado</w:t>
      </w:r>
    </w:p>
    <w:p w14:paraId="1B19ED69" w14:textId="77777777" w:rsidR="00B32EF2" w:rsidRDefault="00000000">
      <w:pPr>
        <w:spacing w:after="4" w:line="254" w:lineRule="auto"/>
        <w:ind w:left="-4" w:right="10" w:hanging="10"/>
        <w:jc w:val="both"/>
      </w:pPr>
      <w:r>
        <w:rPr>
          <w:rFonts w:ascii="Arial" w:eastAsia="Arial" w:hAnsi="Arial" w:cs="Arial"/>
          <w:sz w:val="18"/>
        </w:rPr>
        <w:t>Articolo 60 - Non riproponibilità dell’appello dichiarato inammissibile</w:t>
      </w:r>
    </w:p>
    <w:p w14:paraId="4CB5A3E5" w14:textId="77777777" w:rsidR="00B32EF2" w:rsidRDefault="00000000">
      <w:pPr>
        <w:spacing w:after="4" w:line="254" w:lineRule="auto"/>
        <w:ind w:left="-4" w:right="10" w:hanging="10"/>
        <w:jc w:val="both"/>
      </w:pPr>
      <w:r>
        <w:rPr>
          <w:rFonts w:ascii="Arial" w:eastAsia="Arial" w:hAnsi="Arial" w:cs="Arial"/>
          <w:sz w:val="18"/>
        </w:rPr>
        <w:t>Articolo 61 - Norme applicabili</w:t>
      </w:r>
    </w:p>
    <w:p w14:paraId="6F5D5E5B" w14:textId="77777777" w:rsidR="00B32EF2" w:rsidRDefault="00000000">
      <w:pPr>
        <w:tabs>
          <w:tab w:val="center" w:pos="3601"/>
          <w:tab w:val="center" w:pos="4321"/>
          <w:tab w:val="center" w:pos="5359"/>
        </w:tabs>
        <w:spacing w:after="2" w:line="255" w:lineRule="auto"/>
        <w:ind w:left="-14"/>
      </w:pPr>
      <w:r>
        <w:rPr>
          <w:rFonts w:ascii="Arial" w:eastAsia="Arial" w:hAnsi="Arial" w:cs="Arial"/>
          <w:b/>
          <w:sz w:val="18"/>
        </w:rPr>
        <w:t xml:space="preserve">Sezione III – Il ricorso per Cassazione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t>Pag. 80</w:t>
      </w:r>
    </w:p>
    <w:p w14:paraId="6BF9C4EA" w14:textId="77777777" w:rsidR="00B32EF2" w:rsidRDefault="00000000">
      <w:pPr>
        <w:spacing w:after="4" w:line="254" w:lineRule="auto"/>
        <w:ind w:left="-4" w:right="10" w:hanging="10"/>
        <w:jc w:val="both"/>
      </w:pPr>
      <w:r>
        <w:rPr>
          <w:rFonts w:ascii="Arial" w:eastAsia="Arial" w:hAnsi="Arial" w:cs="Arial"/>
          <w:sz w:val="18"/>
        </w:rPr>
        <w:t>Articolo 62 - Norme applicabili</w:t>
      </w:r>
    </w:p>
    <w:p w14:paraId="68042896" w14:textId="77777777" w:rsidR="00B32EF2" w:rsidRDefault="00000000">
      <w:pPr>
        <w:spacing w:after="4" w:line="254" w:lineRule="auto"/>
        <w:ind w:left="-4" w:right="10" w:hanging="10"/>
        <w:jc w:val="both"/>
      </w:pPr>
      <w:r>
        <w:rPr>
          <w:rFonts w:ascii="Arial" w:eastAsia="Arial" w:hAnsi="Arial" w:cs="Arial"/>
          <w:sz w:val="18"/>
        </w:rPr>
        <w:t xml:space="preserve">Articolo 62 </w:t>
      </w:r>
      <w:r>
        <w:rPr>
          <w:rFonts w:ascii="Arial" w:eastAsia="Arial" w:hAnsi="Arial" w:cs="Arial"/>
          <w:i/>
          <w:sz w:val="18"/>
        </w:rPr>
        <w:t>bis</w:t>
      </w:r>
      <w:r>
        <w:rPr>
          <w:rFonts w:ascii="Arial" w:eastAsia="Arial" w:hAnsi="Arial" w:cs="Arial"/>
          <w:sz w:val="18"/>
        </w:rPr>
        <w:t xml:space="preserve"> - Provvedimenti sull’esecuzione provvisoria della sentenza impugnata per cassazione</w:t>
      </w:r>
    </w:p>
    <w:p w14:paraId="0295EBC5" w14:textId="77777777" w:rsidR="00B32EF2" w:rsidRDefault="00000000">
      <w:pPr>
        <w:spacing w:after="4" w:line="254" w:lineRule="auto"/>
        <w:ind w:left="-4" w:right="10" w:hanging="10"/>
        <w:jc w:val="both"/>
      </w:pPr>
      <w:r>
        <w:rPr>
          <w:rFonts w:ascii="Arial" w:eastAsia="Arial" w:hAnsi="Arial" w:cs="Arial"/>
          <w:sz w:val="18"/>
        </w:rPr>
        <w:t>Articolo 63 - Giudizio di rinvio</w:t>
      </w:r>
    </w:p>
    <w:p w14:paraId="4C829FE9" w14:textId="77777777" w:rsidR="00B32EF2" w:rsidRDefault="00000000">
      <w:pPr>
        <w:tabs>
          <w:tab w:val="center" w:pos="2881"/>
          <w:tab w:val="center" w:pos="3601"/>
          <w:tab w:val="center" w:pos="4321"/>
          <w:tab w:val="center" w:pos="5359"/>
        </w:tabs>
        <w:spacing w:after="2" w:line="255" w:lineRule="auto"/>
        <w:ind w:left="-14"/>
      </w:pPr>
      <w:r>
        <w:rPr>
          <w:rFonts w:ascii="Arial" w:eastAsia="Arial" w:hAnsi="Arial" w:cs="Arial"/>
          <w:b/>
          <w:sz w:val="18"/>
        </w:rPr>
        <w:t xml:space="preserve">Sezione IV – La revocazione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t>Pag. 83</w:t>
      </w:r>
    </w:p>
    <w:p w14:paraId="4A3D8217" w14:textId="77777777" w:rsidR="00B32EF2" w:rsidRDefault="00000000">
      <w:pPr>
        <w:spacing w:after="4" w:line="254" w:lineRule="auto"/>
        <w:ind w:left="-4" w:right="10" w:hanging="10"/>
        <w:jc w:val="both"/>
      </w:pPr>
      <w:r>
        <w:rPr>
          <w:rFonts w:ascii="Arial" w:eastAsia="Arial" w:hAnsi="Arial" w:cs="Arial"/>
          <w:sz w:val="18"/>
        </w:rPr>
        <w:t>Articolo 64 - Sentenze revocabili e motivi di revocazione</w:t>
      </w:r>
    </w:p>
    <w:p w14:paraId="34B49209" w14:textId="77777777" w:rsidR="00B32EF2" w:rsidRDefault="00000000">
      <w:pPr>
        <w:spacing w:after="4" w:line="254" w:lineRule="auto"/>
        <w:ind w:left="-4" w:right="10" w:hanging="10"/>
        <w:jc w:val="both"/>
      </w:pPr>
      <w:r>
        <w:rPr>
          <w:rFonts w:ascii="Arial" w:eastAsia="Arial" w:hAnsi="Arial" w:cs="Arial"/>
          <w:sz w:val="18"/>
        </w:rPr>
        <w:t>Articolo 65 - Proposizione della impugnazione</w:t>
      </w:r>
    </w:p>
    <w:p w14:paraId="0E532968" w14:textId="77777777" w:rsidR="00B32EF2" w:rsidRDefault="00000000">
      <w:pPr>
        <w:spacing w:after="4" w:line="254" w:lineRule="auto"/>
        <w:ind w:left="-4" w:right="10" w:hanging="10"/>
        <w:jc w:val="both"/>
      </w:pPr>
      <w:r>
        <w:rPr>
          <w:rFonts w:ascii="Arial" w:eastAsia="Arial" w:hAnsi="Arial" w:cs="Arial"/>
          <w:sz w:val="18"/>
        </w:rPr>
        <w:t>Articolo 66 - Procedimento</w:t>
      </w:r>
    </w:p>
    <w:p w14:paraId="27682EDC" w14:textId="77777777" w:rsidR="00B32EF2" w:rsidRDefault="00000000">
      <w:pPr>
        <w:spacing w:after="4" w:line="254" w:lineRule="auto"/>
        <w:ind w:left="-4" w:right="10" w:hanging="10"/>
        <w:jc w:val="both"/>
      </w:pPr>
      <w:r>
        <w:rPr>
          <w:rFonts w:ascii="Arial" w:eastAsia="Arial" w:hAnsi="Arial" w:cs="Arial"/>
          <w:sz w:val="18"/>
        </w:rPr>
        <w:t>Articolo 67 - Decisione</w:t>
      </w:r>
    </w:p>
    <w:p w14:paraId="62DA6A9D" w14:textId="77777777" w:rsidR="00B32EF2" w:rsidRDefault="00000000">
      <w:pPr>
        <w:tabs>
          <w:tab w:val="center" w:pos="5359"/>
        </w:tabs>
        <w:spacing w:after="2" w:line="255" w:lineRule="auto"/>
        <w:ind w:left="-14"/>
      </w:pPr>
      <w:r>
        <w:rPr>
          <w:rFonts w:ascii="Arial" w:eastAsia="Arial" w:hAnsi="Arial" w:cs="Arial"/>
          <w:b/>
          <w:sz w:val="18"/>
        </w:rPr>
        <w:t xml:space="preserve">Capo IV – L’esecuzione delle sentenze delle Corti di </w:t>
      </w:r>
      <w:r>
        <w:rPr>
          <w:rFonts w:ascii="Arial" w:eastAsia="Arial" w:hAnsi="Arial" w:cs="Arial"/>
          <w:b/>
          <w:sz w:val="18"/>
        </w:rPr>
        <w:tab/>
        <w:t>Pag. 85</w:t>
      </w:r>
    </w:p>
    <w:p w14:paraId="7038E7D1" w14:textId="77777777" w:rsidR="00B32EF2" w:rsidRDefault="00000000">
      <w:pPr>
        <w:spacing w:after="2" w:line="255" w:lineRule="auto"/>
        <w:ind w:left="-4" w:hanging="10"/>
      </w:pPr>
      <w:r>
        <w:rPr>
          <w:rFonts w:ascii="Arial" w:eastAsia="Arial" w:hAnsi="Arial" w:cs="Arial"/>
          <w:b/>
          <w:sz w:val="18"/>
        </w:rPr>
        <w:t>Giustizia Tributaria di primo e secondo grado</w:t>
      </w:r>
    </w:p>
    <w:p w14:paraId="52223483" w14:textId="77777777" w:rsidR="00B32EF2" w:rsidRDefault="00000000">
      <w:pPr>
        <w:spacing w:after="4" w:line="254" w:lineRule="auto"/>
        <w:ind w:left="-4" w:right="10" w:hanging="10"/>
        <w:jc w:val="both"/>
      </w:pPr>
      <w:r>
        <w:rPr>
          <w:rFonts w:ascii="Arial" w:eastAsia="Arial" w:hAnsi="Arial" w:cs="Arial"/>
          <w:sz w:val="18"/>
        </w:rPr>
        <w:t xml:space="preserve">Articolo 67- </w:t>
      </w:r>
      <w:r>
        <w:rPr>
          <w:rFonts w:ascii="Arial" w:eastAsia="Arial" w:hAnsi="Arial" w:cs="Arial"/>
          <w:i/>
          <w:sz w:val="18"/>
        </w:rPr>
        <w:t>bis</w:t>
      </w:r>
      <w:r>
        <w:rPr>
          <w:rFonts w:ascii="Arial" w:eastAsia="Arial" w:hAnsi="Arial" w:cs="Arial"/>
          <w:sz w:val="18"/>
        </w:rPr>
        <w:t xml:space="preserve"> - Esecuzione provvisoria</w:t>
      </w:r>
    </w:p>
    <w:p w14:paraId="05455B89" w14:textId="77777777" w:rsidR="00B32EF2" w:rsidRDefault="00000000">
      <w:pPr>
        <w:spacing w:after="4" w:line="254" w:lineRule="auto"/>
        <w:ind w:left="-4" w:right="10" w:hanging="10"/>
        <w:jc w:val="both"/>
      </w:pPr>
      <w:r>
        <w:rPr>
          <w:rFonts w:ascii="Arial" w:eastAsia="Arial" w:hAnsi="Arial" w:cs="Arial"/>
          <w:sz w:val="18"/>
        </w:rPr>
        <w:t>Articolo 68 - Pagamento del tributo in pendenza del processo</w:t>
      </w:r>
    </w:p>
    <w:p w14:paraId="50D5575B" w14:textId="77777777" w:rsidR="00B32EF2" w:rsidRDefault="00000000">
      <w:pPr>
        <w:spacing w:after="4" w:line="254" w:lineRule="auto"/>
        <w:ind w:left="-4" w:right="10" w:hanging="10"/>
        <w:jc w:val="both"/>
      </w:pPr>
      <w:r>
        <w:rPr>
          <w:rFonts w:ascii="Arial" w:eastAsia="Arial" w:hAnsi="Arial" w:cs="Arial"/>
          <w:sz w:val="18"/>
        </w:rPr>
        <w:t>Articolo 69 - Esecuzione delle sentenze di condanna in favore del contribuente</w:t>
      </w:r>
    </w:p>
    <w:p w14:paraId="23852DEE" w14:textId="77777777" w:rsidR="00B32EF2" w:rsidRDefault="00000000">
      <w:pPr>
        <w:spacing w:after="4" w:line="254" w:lineRule="auto"/>
        <w:ind w:left="-4" w:right="10" w:hanging="10"/>
        <w:jc w:val="both"/>
      </w:pPr>
      <w:r>
        <w:rPr>
          <w:rFonts w:ascii="Arial" w:eastAsia="Arial" w:hAnsi="Arial" w:cs="Arial"/>
          <w:sz w:val="18"/>
        </w:rPr>
        <w:lastRenderedPageBreak/>
        <w:t>Articolo 69-</w:t>
      </w:r>
      <w:r>
        <w:rPr>
          <w:rFonts w:ascii="Arial" w:eastAsia="Arial" w:hAnsi="Arial" w:cs="Arial"/>
          <w:i/>
          <w:sz w:val="18"/>
        </w:rPr>
        <w:t>bis</w:t>
      </w:r>
      <w:r>
        <w:rPr>
          <w:rFonts w:ascii="Arial" w:eastAsia="Arial" w:hAnsi="Arial" w:cs="Arial"/>
          <w:sz w:val="18"/>
        </w:rPr>
        <w:t xml:space="preserve"> - Aggiornamento degli atti catastali</w:t>
      </w:r>
    </w:p>
    <w:p w14:paraId="473FBE34" w14:textId="77777777" w:rsidR="00B32EF2" w:rsidRDefault="00000000">
      <w:pPr>
        <w:spacing w:after="4" w:line="254" w:lineRule="auto"/>
        <w:ind w:left="-4" w:right="10" w:hanging="10"/>
        <w:jc w:val="both"/>
      </w:pPr>
      <w:r>
        <w:rPr>
          <w:rFonts w:ascii="Arial" w:eastAsia="Arial" w:hAnsi="Arial" w:cs="Arial"/>
          <w:sz w:val="18"/>
        </w:rPr>
        <w:t>Articolo 70 - Giudizio di ottemperanza</w:t>
      </w:r>
    </w:p>
    <w:p w14:paraId="7370BA50" w14:textId="77777777" w:rsidR="00B32EF2" w:rsidRDefault="00000000">
      <w:pPr>
        <w:tabs>
          <w:tab w:val="center" w:pos="4321"/>
          <w:tab w:val="center" w:pos="5359"/>
        </w:tabs>
        <w:spacing w:after="2" w:line="255" w:lineRule="auto"/>
        <w:ind w:left="-14"/>
      </w:pPr>
      <w:r>
        <w:rPr>
          <w:rFonts w:ascii="Arial" w:eastAsia="Arial" w:hAnsi="Arial" w:cs="Arial"/>
          <w:b/>
          <w:sz w:val="18"/>
        </w:rPr>
        <w:t xml:space="preserve">Titolo III – Disposizioni finali e transitorie  </w:t>
      </w:r>
      <w:r>
        <w:rPr>
          <w:rFonts w:ascii="Arial" w:eastAsia="Arial" w:hAnsi="Arial" w:cs="Arial"/>
          <w:b/>
          <w:sz w:val="18"/>
        </w:rPr>
        <w:tab/>
        <w:t xml:space="preserve"> </w:t>
      </w:r>
      <w:r>
        <w:rPr>
          <w:rFonts w:ascii="Arial" w:eastAsia="Arial" w:hAnsi="Arial" w:cs="Arial"/>
          <w:b/>
          <w:sz w:val="18"/>
        </w:rPr>
        <w:tab/>
        <w:t>Pag. 89</w:t>
      </w:r>
    </w:p>
    <w:p w14:paraId="46A87EB5" w14:textId="77777777" w:rsidR="00B32EF2" w:rsidRDefault="00000000">
      <w:pPr>
        <w:spacing w:after="4" w:line="254" w:lineRule="auto"/>
        <w:ind w:left="-4" w:right="10" w:hanging="10"/>
        <w:jc w:val="both"/>
      </w:pPr>
      <w:r>
        <w:rPr>
          <w:rFonts w:ascii="Arial" w:eastAsia="Arial" w:hAnsi="Arial" w:cs="Arial"/>
          <w:sz w:val="18"/>
        </w:rPr>
        <w:t>Articolo 71 - Norme abrogate</w:t>
      </w:r>
    </w:p>
    <w:p w14:paraId="4911B21B" w14:textId="77777777" w:rsidR="00B32EF2" w:rsidRDefault="00000000">
      <w:pPr>
        <w:spacing w:after="4" w:line="254" w:lineRule="auto"/>
        <w:ind w:left="-4" w:right="10" w:hanging="10"/>
        <w:jc w:val="both"/>
      </w:pPr>
      <w:r>
        <w:rPr>
          <w:rFonts w:ascii="Arial" w:eastAsia="Arial" w:hAnsi="Arial" w:cs="Arial"/>
          <w:sz w:val="18"/>
        </w:rPr>
        <w:t xml:space="preserve">Articolo 72 - Controversie pendenti davanti alle corti di giustizia tributaria di primo e secondo grado </w:t>
      </w:r>
    </w:p>
    <w:p w14:paraId="46EA932B" w14:textId="77777777" w:rsidR="00B32EF2" w:rsidRDefault="00000000">
      <w:pPr>
        <w:spacing w:after="4" w:line="254" w:lineRule="auto"/>
        <w:ind w:left="-4" w:right="10" w:hanging="10"/>
        <w:jc w:val="both"/>
      </w:pPr>
      <w:r>
        <w:rPr>
          <w:rFonts w:ascii="Arial" w:eastAsia="Arial" w:hAnsi="Arial" w:cs="Arial"/>
          <w:sz w:val="18"/>
        </w:rPr>
        <w:t>Articolo 73 - Istanza di trattazione</w:t>
      </w:r>
    </w:p>
    <w:p w14:paraId="301CBEE6" w14:textId="77777777" w:rsidR="00B32EF2" w:rsidRDefault="00000000">
      <w:pPr>
        <w:spacing w:after="4" w:line="254" w:lineRule="auto"/>
        <w:ind w:left="-4" w:right="10" w:hanging="10"/>
        <w:jc w:val="both"/>
      </w:pPr>
      <w:r>
        <w:rPr>
          <w:rFonts w:ascii="Arial" w:eastAsia="Arial" w:hAnsi="Arial" w:cs="Arial"/>
          <w:sz w:val="18"/>
        </w:rPr>
        <w:t>Articolo 74 - Controversie pendenti davanti alla corte di appello</w:t>
      </w:r>
    </w:p>
    <w:p w14:paraId="59D45512" w14:textId="77777777" w:rsidR="00B32EF2" w:rsidRDefault="00000000">
      <w:pPr>
        <w:spacing w:after="4" w:line="254" w:lineRule="auto"/>
        <w:ind w:left="-4" w:right="10" w:hanging="10"/>
        <w:jc w:val="both"/>
      </w:pPr>
      <w:r>
        <w:rPr>
          <w:rFonts w:ascii="Arial" w:eastAsia="Arial" w:hAnsi="Arial" w:cs="Arial"/>
          <w:sz w:val="18"/>
        </w:rPr>
        <w:t>Articolo 75 - Controversie pendenti davanti alla Commissione tributaria centrale Articolo 76 - Controversie in sede di rinvio</w:t>
      </w:r>
    </w:p>
    <w:p w14:paraId="41D0735F" w14:textId="77777777" w:rsidR="00B32EF2" w:rsidRDefault="00000000">
      <w:pPr>
        <w:spacing w:after="4" w:line="254" w:lineRule="auto"/>
        <w:ind w:left="-4" w:right="10" w:hanging="10"/>
        <w:jc w:val="both"/>
      </w:pPr>
      <w:r>
        <w:rPr>
          <w:rFonts w:ascii="Arial" w:eastAsia="Arial" w:hAnsi="Arial" w:cs="Arial"/>
          <w:sz w:val="18"/>
        </w:rPr>
        <w:t>Articolo 77 - Procedimento contenzioso amministrativo davanti all’intendenza di finanza o al Ministero delle finanze</w:t>
      </w:r>
    </w:p>
    <w:p w14:paraId="74E6E990" w14:textId="77777777" w:rsidR="00B32EF2" w:rsidRDefault="00000000">
      <w:pPr>
        <w:spacing w:after="4" w:line="254" w:lineRule="auto"/>
        <w:ind w:left="-4" w:right="10" w:hanging="10"/>
        <w:jc w:val="both"/>
      </w:pPr>
      <w:r>
        <w:rPr>
          <w:rFonts w:ascii="Arial" w:eastAsia="Arial" w:hAnsi="Arial" w:cs="Arial"/>
          <w:sz w:val="18"/>
        </w:rPr>
        <w:t>Articolo 78 - Controversie già di competenza delle commissioni comunali per i tributi locali</w:t>
      </w:r>
    </w:p>
    <w:p w14:paraId="599B2249" w14:textId="77777777" w:rsidR="00B32EF2" w:rsidRDefault="00000000">
      <w:pPr>
        <w:spacing w:after="229" w:line="254" w:lineRule="auto"/>
        <w:ind w:left="-4" w:right="2603" w:hanging="10"/>
        <w:jc w:val="both"/>
      </w:pPr>
      <w:r>
        <w:rPr>
          <w:rFonts w:ascii="Arial" w:eastAsia="Arial" w:hAnsi="Arial" w:cs="Arial"/>
          <w:sz w:val="18"/>
        </w:rPr>
        <w:t>Articolo 79 - Norme transitorie e finali Articolo 80 - Entrata in vigore</w:t>
      </w:r>
    </w:p>
    <w:p w14:paraId="2F7F36CB" w14:textId="77777777" w:rsidR="00B32EF2" w:rsidRDefault="00000000">
      <w:pPr>
        <w:tabs>
          <w:tab w:val="center" w:pos="2881"/>
          <w:tab w:val="center" w:pos="3601"/>
          <w:tab w:val="center" w:pos="4321"/>
        </w:tabs>
        <w:spacing w:after="4" w:line="254" w:lineRule="auto"/>
        <w:ind w:left="-14"/>
      </w:pPr>
      <w:r>
        <w:rPr>
          <w:rFonts w:ascii="Arial" w:eastAsia="Arial" w:hAnsi="Arial" w:cs="Arial"/>
          <w:sz w:val="18"/>
        </w:rPr>
        <w:t xml:space="preserve">- D.lgs. 31 dicembre 1992, n. 545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3E65CF48" w14:textId="77777777" w:rsidR="00B32EF2" w:rsidRDefault="00000000">
      <w:pPr>
        <w:spacing w:after="34" w:line="226" w:lineRule="auto"/>
        <w:ind w:left="-4" w:hanging="10"/>
      </w:pPr>
      <w:r>
        <w:rPr>
          <w:rFonts w:ascii="Arial" w:eastAsia="Arial" w:hAnsi="Arial" w:cs="Arial"/>
          <w:sz w:val="18"/>
        </w:rPr>
        <w:t>Ordinamento degli organi speciali di giurisdizione tributaria ed organizzazione degli uffici di collaborazione in attuazione della delega al Governo contenuta nell’art. 30 della legge 30 dicembre 1991, n. 413 – (G.U. 13-1-1993, n. 9, S.O.)</w:t>
      </w:r>
    </w:p>
    <w:p w14:paraId="62CDC636" w14:textId="77777777" w:rsidR="00B32EF2" w:rsidRDefault="00000000">
      <w:pPr>
        <w:tabs>
          <w:tab w:val="center" w:pos="5360"/>
        </w:tabs>
        <w:spacing w:after="2" w:line="255" w:lineRule="auto"/>
        <w:ind w:left="-14"/>
      </w:pPr>
      <w:r>
        <w:rPr>
          <w:rFonts w:ascii="Arial" w:eastAsia="Arial" w:hAnsi="Arial" w:cs="Arial"/>
          <w:b/>
          <w:sz w:val="18"/>
        </w:rPr>
        <w:t xml:space="preserve">Capo I – Gli organi della giurisdizione tributaria  </w:t>
      </w:r>
      <w:r>
        <w:rPr>
          <w:rFonts w:ascii="Arial" w:eastAsia="Arial" w:hAnsi="Arial" w:cs="Arial"/>
          <w:b/>
          <w:sz w:val="18"/>
        </w:rPr>
        <w:tab/>
        <w:t>Pag. 96</w:t>
      </w:r>
    </w:p>
    <w:p w14:paraId="0B39E348" w14:textId="77777777" w:rsidR="00B32EF2" w:rsidRDefault="00000000">
      <w:pPr>
        <w:spacing w:after="4" w:line="254" w:lineRule="auto"/>
        <w:ind w:left="-4" w:right="10" w:hanging="10"/>
        <w:jc w:val="both"/>
      </w:pPr>
      <w:r>
        <w:rPr>
          <w:rFonts w:ascii="Arial" w:eastAsia="Arial" w:hAnsi="Arial" w:cs="Arial"/>
          <w:sz w:val="18"/>
        </w:rPr>
        <w:t>Articolo 1 - Le corti di giustizia tributaria di primo e secondo grado</w:t>
      </w:r>
    </w:p>
    <w:p w14:paraId="46D0F694" w14:textId="77777777" w:rsidR="00B32EF2" w:rsidRDefault="00000000">
      <w:pPr>
        <w:spacing w:after="4" w:line="254" w:lineRule="auto"/>
        <w:ind w:left="-4" w:right="10" w:hanging="10"/>
        <w:jc w:val="both"/>
      </w:pPr>
      <w:r>
        <w:rPr>
          <w:rFonts w:ascii="Arial" w:eastAsia="Arial" w:hAnsi="Arial" w:cs="Arial"/>
          <w:sz w:val="18"/>
        </w:rPr>
        <w:t>Articolo 1-</w:t>
      </w:r>
      <w:r>
        <w:rPr>
          <w:rFonts w:ascii="Arial" w:eastAsia="Arial" w:hAnsi="Arial" w:cs="Arial"/>
          <w:i/>
          <w:sz w:val="18"/>
        </w:rPr>
        <w:t>bis</w:t>
      </w:r>
      <w:r>
        <w:rPr>
          <w:rFonts w:ascii="Arial" w:eastAsia="Arial" w:hAnsi="Arial" w:cs="Arial"/>
          <w:sz w:val="18"/>
        </w:rPr>
        <w:t xml:space="preserve"> - La giurisdizione tributaria</w:t>
      </w:r>
    </w:p>
    <w:p w14:paraId="59907929" w14:textId="77777777" w:rsidR="00B32EF2" w:rsidRDefault="00000000">
      <w:pPr>
        <w:spacing w:after="4" w:line="254" w:lineRule="auto"/>
        <w:ind w:left="-4" w:right="10" w:hanging="10"/>
        <w:jc w:val="both"/>
      </w:pPr>
      <w:r>
        <w:rPr>
          <w:rFonts w:ascii="Arial" w:eastAsia="Arial" w:hAnsi="Arial" w:cs="Arial"/>
          <w:sz w:val="18"/>
        </w:rPr>
        <w:t>Articolo 2 - La composizione delle corti di giustizia tributaria di primo e secondo grado</w:t>
      </w:r>
    </w:p>
    <w:p w14:paraId="1684FB3B" w14:textId="77777777" w:rsidR="00B32EF2" w:rsidRDefault="00000000">
      <w:pPr>
        <w:spacing w:after="4" w:line="254" w:lineRule="auto"/>
        <w:ind w:left="-4" w:right="10" w:hanging="10"/>
        <w:jc w:val="both"/>
      </w:pPr>
      <w:r>
        <w:rPr>
          <w:rFonts w:ascii="Arial" w:eastAsia="Arial" w:hAnsi="Arial" w:cs="Arial"/>
          <w:sz w:val="18"/>
        </w:rPr>
        <w:t>Articolo 3 - I presidenti delle corti di giustizia tributaria di primo e secondo grado e delle sezioni</w:t>
      </w:r>
    </w:p>
    <w:p w14:paraId="06A6B80A" w14:textId="77777777" w:rsidR="00B32EF2" w:rsidRDefault="00000000">
      <w:pPr>
        <w:spacing w:after="4" w:line="254" w:lineRule="auto"/>
        <w:ind w:left="-4" w:right="10" w:hanging="10"/>
        <w:jc w:val="both"/>
      </w:pPr>
      <w:r>
        <w:rPr>
          <w:rFonts w:ascii="Arial" w:eastAsia="Arial" w:hAnsi="Arial" w:cs="Arial"/>
          <w:sz w:val="18"/>
        </w:rPr>
        <w:t>Articolo 4 - I giudici delle corti di giustizia tributaria di primo grado</w:t>
      </w:r>
    </w:p>
    <w:p w14:paraId="44EF148D" w14:textId="77777777" w:rsidR="00B32EF2" w:rsidRDefault="00000000">
      <w:pPr>
        <w:spacing w:after="4" w:line="254" w:lineRule="auto"/>
        <w:ind w:left="-4" w:right="10" w:hanging="10"/>
        <w:jc w:val="both"/>
      </w:pPr>
      <w:r>
        <w:rPr>
          <w:rFonts w:ascii="Arial" w:eastAsia="Arial" w:hAnsi="Arial" w:cs="Arial"/>
          <w:sz w:val="18"/>
        </w:rPr>
        <w:t>Articolo 4-</w:t>
      </w:r>
      <w:r>
        <w:rPr>
          <w:rFonts w:ascii="Arial" w:eastAsia="Arial" w:hAnsi="Arial" w:cs="Arial"/>
          <w:i/>
          <w:sz w:val="18"/>
        </w:rPr>
        <w:t>bis</w:t>
      </w:r>
      <w:r>
        <w:rPr>
          <w:rFonts w:ascii="Arial" w:eastAsia="Arial" w:hAnsi="Arial" w:cs="Arial"/>
          <w:sz w:val="18"/>
        </w:rPr>
        <w:t xml:space="preserve"> - Requisiti per l’ammissione al concorso per esami</w:t>
      </w:r>
    </w:p>
    <w:p w14:paraId="22F4328D" w14:textId="77777777" w:rsidR="00B32EF2" w:rsidRDefault="00000000">
      <w:pPr>
        <w:spacing w:after="4" w:line="254" w:lineRule="auto"/>
        <w:ind w:left="-4" w:right="10" w:hanging="10"/>
        <w:jc w:val="both"/>
      </w:pPr>
      <w:r>
        <w:rPr>
          <w:rFonts w:ascii="Arial" w:eastAsia="Arial" w:hAnsi="Arial" w:cs="Arial"/>
          <w:sz w:val="18"/>
        </w:rPr>
        <w:t>Articolo 4-</w:t>
      </w:r>
      <w:r>
        <w:rPr>
          <w:rFonts w:ascii="Arial" w:eastAsia="Arial" w:hAnsi="Arial" w:cs="Arial"/>
          <w:i/>
          <w:sz w:val="18"/>
        </w:rPr>
        <w:t>ter</w:t>
      </w:r>
      <w:r>
        <w:rPr>
          <w:rFonts w:ascii="Arial" w:eastAsia="Arial" w:hAnsi="Arial" w:cs="Arial"/>
          <w:sz w:val="18"/>
        </w:rPr>
        <w:t xml:space="preserve"> - Indizione del concorso e svolgimento della prova scritta</w:t>
      </w:r>
    </w:p>
    <w:p w14:paraId="0D441016" w14:textId="77777777" w:rsidR="00B32EF2" w:rsidRDefault="00000000">
      <w:pPr>
        <w:spacing w:after="4" w:line="254" w:lineRule="auto"/>
        <w:ind w:left="-4" w:right="10" w:hanging="10"/>
        <w:jc w:val="both"/>
      </w:pPr>
      <w:r>
        <w:rPr>
          <w:rFonts w:ascii="Arial" w:eastAsia="Arial" w:hAnsi="Arial" w:cs="Arial"/>
          <w:sz w:val="18"/>
        </w:rPr>
        <w:t>Articolo 4 quater - Commissione di concorso</w:t>
      </w:r>
    </w:p>
    <w:p w14:paraId="0729CCB3" w14:textId="77777777" w:rsidR="00B32EF2" w:rsidRDefault="00000000">
      <w:pPr>
        <w:spacing w:after="4" w:line="254" w:lineRule="auto"/>
        <w:ind w:left="-4" w:right="10" w:hanging="10"/>
        <w:jc w:val="both"/>
      </w:pPr>
      <w:r>
        <w:rPr>
          <w:rFonts w:ascii="Arial" w:eastAsia="Arial" w:hAnsi="Arial" w:cs="Arial"/>
          <w:sz w:val="18"/>
        </w:rPr>
        <w:t>Articolo 4-quinquies - Nomina e tirocinio del magistrato tributario</w:t>
      </w:r>
    </w:p>
    <w:p w14:paraId="699EA50C" w14:textId="77777777" w:rsidR="00B32EF2" w:rsidRDefault="00000000">
      <w:pPr>
        <w:spacing w:after="4" w:line="254" w:lineRule="auto"/>
        <w:ind w:left="-4" w:right="109" w:hanging="10"/>
        <w:jc w:val="both"/>
      </w:pPr>
      <w:r>
        <w:rPr>
          <w:rFonts w:ascii="Arial" w:eastAsia="Arial" w:hAnsi="Arial" w:cs="Arial"/>
          <w:sz w:val="18"/>
        </w:rPr>
        <w:t>Articolo 5 - I giudici delle corti di giustizia tributaria di secondo grado Articolo 5-</w:t>
      </w:r>
      <w:r>
        <w:rPr>
          <w:rFonts w:ascii="Arial" w:eastAsia="Arial" w:hAnsi="Arial" w:cs="Arial"/>
          <w:i/>
          <w:sz w:val="18"/>
        </w:rPr>
        <w:t>bis</w:t>
      </w:r>
      <w:r>
        <w:rPr>
          <w:rFonts w:ascii="Arial" w:eastAsia="Arial" w:hAnsi="Arial" w:cs="Arial"/>
          <w:sz w:val="18"/>
        </w:rPr>
        <w:t xml:space="preserve"> - Formazione continua dei giudici e magistrati tributari</w:t>
      </w:r>
    </w:p>
    <w:p w14:paraId="062EBC24" w14:textId="77777777" w:rsidR="00B32EF2" w:rsidRDefault="00000000">
      <w:pPr>
        <w:spacing w:after="4" w:line="254" w:lineRule="auto"/>
        <w:ind w:left="-4" w:right="10" w:hanging="10"/>
        <w:jc w:val="both"/>
      </w:pPr>
      <w:r>
        <w:rPr>
          <w:rFonts w:ascii="Arial" w:eastAsia="Arial" w:hAnsi="Arial" w:cs="Arial"/>
          <w:sz w:val="18"/>
        </w:rPr>
        <w:t>Articolo 6 - La formazione delle sezioni e dei collegi giudicanti</w:t>
      </w:r>
    </w:p>
    <w:p w14:paraId="49F47171" w14:textId="77777777" w:rsidR="00B32EF2" w:rsidRDefault="00000000">
      <w:pPr>
        <w:tabs>
          <w:tab w:val="center" w:pos="5406"/>
        </w:tabs>
        <w:spacing w:after="2" w:line="255" w:lineRule="auto"/>
        <w:ind w:left="-14"/>
      </w:pPr>
      <w:r>
        <w:rPr>
          <w:rFonts w:ascii="Arial" w:eastAsia="Arial" w:hAnsi="Arial" w:cs="Arial"/>
          <w:b/>
          <w:sz w:val="18"/>
        </w:rPr>
        <w:t xml:space="preserve">Capo II: I componenti delle commissioni tributarie </w:t>
      </w:r>
      <w:r>
        <w:rPr>
          <w:rFonts w:ascii="Arial" w:eastAsia="Arial" w:hAnsi="Arial" w:cs="Arial"/>
          <w:b/>
          <w:sz w:val="18"/>
        </w:rPr>
        <w:tab/>
        <w:t>Pag. 107</w:t>
      </w:r>
    </w:p>
    <w:p w14:paraId="41B0D704" w14:textId="77777777" w:rsidR="00B32EF2" w:rsidRDefault="00000000">
      <w:pPr>
        <w:spacing w:after="4" w:line="254" w:lineRule="auto"/>
        <w:ind w:left="-4" w:right="10" w:hanging="10"/>
        <w:jc w:val="both"/>
      </w:pPr>
      <w:r>
        <w:rPr>
          <w:rFonts w:ascii="Arial" w:eastAsia="Arial" w:hAnsi="Arial" w:cs="Arial"/>
          <w:sz w:val="18"/>
        </w:rPr>
        <w:t>Articolo 7 - Requisiti generali</w:t>
      </w:r>
    </w:p>
    <w:p w14:paraId="38357B90" w14:textId="77777777" w:rsidR="00B32EF2" w:rsidRDefault="00000000">
      <w:pPr>
        <w:spacing w:after="4" w:line="254" w:lineRule="auto"/>
        <w:ind w:left="-4" w:right="10" w:hanging="10"/>
        <w:jc w:val="both"/>
      </w:pPr>
      <w:r>
        <w:rPr>
          <w:rFonts w:ascii="Arial" w:eastAsia="Arial" w:hAnsi="Arial" w:cs="Arial"/>
          <w:sz w:val="18"/>
        </w:rPr>
        <w:t>Articolo 8 - Incompatibilità</w:t>
      </w:r>
    </w:p>
    <w:p w14:paraId="76D2053F" w14:textId="77777777" w:rsidR="00B32EF2" w:rsidRDefault="00000000">
      <w:pPr>
        <w:spacing w:after="4" w:line="254" w:lineRule="auto"/>
        <w:ind w:left="-4" w:right="10" w:hanging="10"/>
        <w:jc w:val="both"/>
      </w:pPr>
      <w:r>
        <w:rPr>
          <w:rFonts w:ascii="Arial" w:eastAsia="Arial" w:hAnsi="Arial" w:cs="Arial"/>
          <w:sz w:val="18"/>
        </w:rPr>
        <w:t>Articolo 9 - Procedimenti di nomina dei componenti delle corti di giustizia tributaria di primo e secondo grado</w:t>
      </w:r>
    </w:p>
    <w:p w14:paraId="72203C18" w14:textId="77777777" w:rsidR="00B32EF2" w:rsidRDefault="00000000">
      <w:pPr>
        <w:spacing w:after="4" w:line="254" w:lineRule="auto"/>
        <w:ind w:left="-4" w:right="10" w:hanging="10"/>
        <w:jc w:val="both"/>
      </w:pPr>
      <w:r>
        <w:rPr>
          <w:rFonts w:ascii="Arial" w:eastAsia="Arial" w:hAnsi="Arial" w:cs="Arial"/>
          <w:sz w:val="18"/>
        </w:rPr>
        <w:lastRenderedPageBreak/>
        <w:t>Articolo 10 - Giuramento</w:t>
      </w:r>
    </w:p>
    <w:p w14:paraId="59AE4872" w14:textId="77777777" w:rsidR="00B32EF2" w:rsidRDefault="00000000">
      <w:pPr>
        <w:spacing w:after="4" w:line="254" w:lineRule="auto"/>
        <w:ind w:left="-4" w:right="10" w:hanging="10"/>
        <w:jc w:val="both"/>
      </w:pPr>
      <w:r>
        <w:rPr>
          <w:rFonts w:ascii="Arial" w:eastAsia="Arial" w:hAnsi="Arial" w:cs="Arial"/>
          <w:sz w:val="18"/>
        </w:rPr>
        <w:t>Articolo 11 - Durata dell’incarico e assegnazione degli incarichi per</w:t>
      </w:r>
    </w:p>
    <w:p w14:paraId="0E1E34A1" w14:textId="77777777" w:rsidR="00B32EF2" w:rsidRDefault="00000000">
      <w:pPr>
        <w:spacing w:after="4" w:line="254" w:lineRule="auto"/>
        <w:ind w:left="-4" w:right="10" w:hanging="10"/>
        <w:jc w:val="both"/>
      </w:pPr>
      <w:r>
        <w:rPr>
          <w:rFonts w:ascii="Arial" w:eastAsia="Arial" w:hAnsi="Arial" w:cs="Arial"/>
          <w:sz w:val="18"/>
        </w:rPr>
        <w:t>trasferimento</w:t>
      </w:r>
    </w:p>
    <w:p w14:paraId="37D5B797" w14:textId="77777777" w:rsidR="00B32EF2" w:rsidRDefault="00000000">
      <w:pPr>
        <w:spacing w:after="4" w:line="254" w:lineRule="auto"/>
        <w:ind w:left="-4" w:right="10" w:hanging="10"/>
        <w:jc w:val="both"/>
      </w:pPr>
      <w:r>
        <w:rPr>
          <w:rFonts w:ascii="Arial" w:eastAsia="Arial" w:hAnsi="Arial" w:cs="Arial"/>
          <w:sz w:val="18"/>
        </w:rPr>
        <w:t>Articolo 12 - Decadenza dell’incarico</w:t>
      </w:r>
    </w:p>
    <w:p w14:paraId="1CF0F10D" w14:textId="77777777" w:rsidR="00B32EF2" w:rsidRDefault="00000000">
      <w:pPr>
        <w:spacing w:after="4" w:line="254" w:lineRule="auto"/>
        <w:ind w:left="-4" w:right="10" w:hanging="10"/>
        <w:jc w:val="both"/>
      </w:pPr>
      <w:r>
        <w:rPr>
          <w:rFonts w:ascii="Arial" w:eastAsia="Arial" w:hAnsi="Arial" w:cs="Arial"/>
          <w:sz w:val="18"/>
        </w:rPr>
        <w:t>Articolo 13 - Trattamento economico dei giudici tributari</w:t>
      </w:r>
    </w:p>
    <w:p w14:paraId="625C475A" w14:textId="77777777" w:rsidR="00B32EF2" w:rsidRDefault="00000000">
      <w:pPr>
        <w:spacing w:after="4" w:line="254" w:lineRule="auto"/>
        <w:ind w:left="-4" w:right="10" w:hanging="10"/>
        <w:jc w:val="both"/>
      </w:pPr>
      <w:r>
        <w:rPr>
          <w:rFonts w:ascii="Arial" w:eastAsia="Arial" w:hAnsi="Arial" w:cs="Arial"/>
          <w:sz w:val="18"/>
        </w:rPr>
        <w:t>Articolo 13-</w:t>
      </w:r>
      <w:r>
        <w:rPr>
          <w:rFonts w:ascii="Arial" w:eastAsia="Arial" w:hAnsi="Arial" w:cs="Arial"/>
          <w:i/>
          <w:sz w:val="18"/>
        </w:rPr>
        <w:t>bis</w:t>
      </w:r>
      <w:r>
        <w:rPr>
          <w:rFonts w:ascii="Arial" w:eastAsia="Arial" w:hAnsi="Arial" w:cs="Arial"/>
          <w:sz w:val="18"/>
        </w:rPr>
        <w:t xml:space="preserve"> - Trattamento economico dei magistrati tributari</w:t>
      </w:r>
    </w:p>
    <w:p w14:paraId="092A3A6A" w14:textId="77777777" w:rsidR="00B32EF2" w:rsidRDefault="00000000">
      <w:pPr>
        <w:spacing w:after="4" w:line="254" w:lineRule="auto"/>
        <w:ind w:left="-4" w:right="10" w:hanging="10"/>
        <w:jc w:val="both"/>
      </w:pPr>
      <w:r>
        <w:rPr>
          <w:rFonts w:ascii="Arial" w:eastAsia="Arial" w:hAnsi="Arial" w:cs="Arial"/>
          <w:sz w:val="18"/>
        </w:rPr>
        <w:t>Articolo 14 - Responsabilità</w:t>
      </w:r>
    </w:p>
    <w:p w14:paraId="340FAB82" w14:textId="77777777" w:rsidR="00B32EF2" w:rsidRDefault="00000000">
      <w:pPr>
        <w:spacing w:after="4" w:line="254" w:lineRule="auto"/>
        <w:ind w:left="-4" w:right="10" w:hanging="10"/>
        <w:jc w:val="both"/>
      </w:pPr>
      <w:r>
        <w:rPr>
          <w:rFonts w:ascii="Arial" w:eastAsia="Arial" w:hAnsi="Arial" w:cs="Arial"/>
          <w:sz w:val="18"/>
        </w:rPr>
        <w:t>Articolo 15 - Vigilanza e sanzioni disciplinari</w:t>
      </w:r>
    </w:p>
    <w:p w14:paraId="58335A24" w14:textId="77777777" w:rsidR="00B32EF2" w:rsidRDefault="00000000">
      <w:pPr>
        <w:spacing w:after="4" w:line="254" w:lineRule="auto"/>
        <w:ind w:left="-4" w:right="10" w:hanging="10"/>
        <w:jc w:val="both"/>
      </w:pPr>
      <w:r>
        <w:rPr>
          <w:rFonts w:ascii="Arial" w:eastAsia="Arial" w:hAnsi="Arial" w:cs="Arial"/>
          <w:sz w:val="18"/>
        </w:rPr>
        <w:t>Articolo 16 - Procedimento disciplinare</w:t>
      </w:r>
    </w:p>
    <w:p w14:paraId="4515EE98" w14:textId="77777777" w:rsidR="00B32EF2" w:rsidRDefault="00000000">
      <w:pPr>
        <w:spacing w:after="2" w:line="255" w:lineRule="auto"/>
        <w:ind w:left="-4" w:hanging="10"/>
      </w:pPr>
      <w:r>
        <w:rPr>
          <w:rFonts w:ascii="Arial" w:eastAsia="Arial" w:hAnsi="Arial" w:cs="Arial"/>
          <w:b/>
          <w:sz w:val="18"/>
        </w:rPr>
        <w:t xml:space="preserve">Capo III - Il consiglio di presidenza della giustizia tributaria Pag. 116 </w:t>
      </w:r>
      <w:r>
        <w:rPr>
          <w:rFonts w:ascii="Arial" w:eastAsia="Arial" w:hAnsi="Arial" w:cs="Arial"/>
          <w:sz w:val="18"/>
        </w:rPr>
        <w:t>Articolo 17 – Composizione</w:t>
      </w:r>
    </w:p>
    <w:p w14:paraId="756F1D0D" w14:textId="77777777" w:rsidR="00B32EF2" w:rsidRDefault="00000000">
      <w:pPr>
        <w:spacing w:after="4" w:line="254" w:lineRule="auto"/>
        <w:ind w:left="-4" w:right="10" w:hanging="10"/>
        <w:jc w:val="both"/>
      </w:pPr>
      <w:r>
        <w:rPr>
          <w:rFonts w:ascii="Arial" w:eastAsia="Arial" w:hAnsi="Arial" w:cs="Arial"/>
          <w:sz w:val="18"/>
        </w:rPr>
        <w:t>Articolo 18 – Durata</w:t>
      </w:r>
    </w:p>
    <w:p w14:paraId="42BA61C6" w14:textId="77777777" w:rsidR="00B32EF2" w:rsidRDefault="00000000">
      <w:pPr>
        <w:spacing w:after="4" w:line="254" w:lineRule="auto"/>
        <w:ind w:left="-4" w:right="10" w:hanging="10"/>
        <w:jc w:val="both"/>
      </w:pPr>
      <w:r>
        <w:rPr>
          <w:rFonts w:ascii="Arial" w:eastAsia="Arial" w:hAnsi="Arial" w:cs="Arial"/>
          <w:sz w:val="18"/>
        </w:rPr>
        <w:t>Articolo 19 - Il presidente</w:t>
      </w:r>
    </w:p>
    <w:p w14:paraId="0345D20F" w14:textId="77777777" w:rsidR="00B32EF2" w:rsidRDefault="00000000">
      <w:pPr>
        <w:spacing w:after="4" w:line="254" w:lineRule="auto"/>
        <w:ind w:left="-4" w:right="10" w:hanging="10"/>
        <w:jc w:val="both"/>
      </w:pPr>
      <w:r>
        <w:rPr>
          <w:rFonts w:ascii="Arial" w:eastAsia="Arial" w:hAnsi="Arial" w:cs="Arial"/>
          <w:sz w:val="18"/>
        </w:rPr>
        <w:t>Articolo 20 - Ineleggibilità</w:t>
      </w:r>
    </w:p>
    <w:p w14:paraId="289836DC" w14:textId="77777777" w:rsidR="00B32EF2" w:rsidRDefault="00000000">
      <w:pPr>
        <w:spacing w:after="4" w:line="254" w:lineRule="auto"/>
        <w:ind w:left="-4" w:right="10" w:hanging="10"/>
        <w:jc w:val="both"/>
      </w:pPr>
      <w:r>
        <w:rPr>
          <w:rFonts w:ascii="Arial" w:eastAsia="Arial" w:hAnsi="Arial" w:cs="Arial"/>
          <w:sz w:val="18"/>
        </w:rPr>
        <w:t>Articolo 21 - Elezione del consiglio di presidenza</w:t>
      </w:r>
    </w:p>
    <w:p w14:paraId="727D4C3F" w14:textId="77777777" w:rsidR="00B32EF2" w:rsidRDefault="00000000">
      <w:pPr>
        <w:spacing w:after="4" w:line="254" w:lineRule="auto"/>
        <w:ind w:left="-4" w:right="10" w:hanging="10"/>
        <w:jc w:val="both"/>
      </w:pPr>
      <w:r>
        <w:rPr>
          <w:rFonts w:ascii="Arial" w:eastAsia="Arial" w:hAnsi="Arial" w:cs="Arial"/>
          <w:sz w:val="18"/>
        </w:rPr>
        <w:t>Articolo 22 - Votazioni</w:t>
      </w:r>
    </w:p>
    <w:p w14:paraId="4BE2F1D1" w14:textId="77777777" w:rsidR="00B32EF2" w:rsidRDefault="00000000">
      <w:pPr>
        <w:spacing w:after="4" w:line="254" w:lineRule="auto"/>
        <w:ind w:left="-4" w:right="10" w:hanging="10"/>
        <w:jc w:val="both"/>
      </w:pPr>
      <w:r>
        <w:rPr>
          <w:rFonts w:ascii="Arial" w:eastAsia="Arial" w:hAnsi="Arial" w:cs="Arial"/>
          <w:sz w:val="18"/>
        </w:rPr>
        <w:t>Articolo 23 - Proclamazione degli eletti. Reclami</w:t>
      </w:r>
    </w:p>
    <w:p w14:paraId="5C63AC2D" w14:textId="77777777" w:rsidR="00B32EF2" w:rsidRDefault="00000000">
      <w:pPr>
        <w:spacing w:after="4" w:line="254" w:lineRule="auto"/>
        <w:ind w:left="-4" w:right="10" w:hanging="10"/>
        <w:jc w:val="both"/>
      </w:pPr>
      <w:r>
        <w:rPr>
          <w:rFonts w:ascii="Arial" w:eastAsia="Arial" w:hAnsi="Arial" w:cs="Arial"/>
          <w:sz w:val="18"/>
        </w:rPr>
        <w:t>Articolo 24 – Attribuzioni</w:t>
      </w:r>
    </w:p>
    <w:p w14:paraId="76D11E99" w14:textId="77777777" w:rsidR="00B32EF2" w:rsidRDefault="00000000">
      <w:pPr>
        <w:spacing w:after="4" w:line="254" w:lineRule="auto"/>
        <w:ind w:left="-4" w:right="10" w:hanging="10"/>
        <w:jc w:val="both"/>
      </w:pPr>
      <w:r>
        <w:rPr>
          <w:rFonts w:ascii="Arial" w:eastAsia="Arial" w:hAnsi="Arial" w:cs="Arial"/>
          <w:sz w:val="18"/>
        </w:rPr>
        <w:t xml:space="preserve">Articolo 24 </w:t>
      </w:r>
      <w:r>
        <w:rPr>
          <w:rFonts w:ascii="Arial" w:eastAsia="Arial" w:hAnsi="Arial" w:cs="Arial"/>
          <w:i/>
          <w:sz w:val="18"/>
        </w:rPr>
        <w:t>bis</w:t>
      </w:r>
      <w:r>
        <w:rPr>
          <w:rFonts w:ascii="Arial" w:eastAsia="Arial" w:hAnsi="Arial" w:cs="Arial"/>
          <w:sz w:val="18"/>
        </w:rPr>
        <w:t xml:space="preserve"> - Ufficio del massimario nazionale</w:t>
      </w:r>
    </w:p>
    <w:p w14:paraId="4F8FD522" w14:textId="77777777" w:rsidR="00B32EF2" w:rsidRDefault="00000000">
      <w:pPr>
        <w:spacing w:after="4" w:line="254" w:lineRule="auto"/>
        <w:ind w:left="-4" w:right="10" w:hanging="10"/>
        <w:jc w:val="both"/>
      </w:pPr>
      <w:r>
        <w:rPr>
          <w:rFonts w:ascii="Arial" w:eastAsia="Arial" w:hAnsi="Arial" w:cs="Arial"/>
          <w:sz w:val="18"/>
        </w:rPr>
        <w:t>Articolo 25 - Convocazione</w:t>
      </w:r>
    </w:p>
    <w:p w14:paraId="5BF05570" w14:textId="77777777" w:rsidR="00B32EF2" w:rsidRDefault="00000000">
      <w:pPr>
        <w:spacing w:after="4" w:line="254" w:lineRule="auto"/>
        <w:ind w:left="-4" w:right="10" w:hanging="10"/>
        <w:jc w:val="both"/>
      </w:pPr>
      <w:r>
        <w:rPr>
          <w:rFonts w:ascii="Arial" w:eastAsia="Arial" w:hAnsi="Arial" w:cs="Arial"/>
          <w:sz w:val="18"/>
        </w:rPr>
        <w:t>Articolo 26 – Deliberazioni</w:t>
      </w:r>
    </w:p>
    <w:p w14:paraId="2E0A8C98" w14:textId="77777777" w:rsidR="00B32EF2" w:rsidRDefault="00000000">
      <w:pPr>
        <w:spacing w:after="4" w:line="254" w:lineRule="auto"/>
        <w:ind w:left="-4" w:right="10" w:hanging="10"/>
        <w:jc w:val="both"/>
      </w:pPr>
      <w:r>
        <w:rPr>
          <w:rFonts w:ascii="Arial" w:eastAsia="Arial" w:hAnsi="Arial" w:cs="Arial"/>
          <w:sz w:val="18"/>
        </w:rPr>
        <w:t>Articolo 27 - Trattamento dei componenti del consiglio di presidenza</w:t>
      </w:r>
    </w:p>
    <w:p w14:paraId="65C07410" w14:textId="77777777" w:rsidR="00B32EF2" w:rsidRDefault="00000000">
      <w:pPr>
        <w:spacing w:after="4" w:line="254" w:lineRule="auto"/>
        <w:ind w:left="-4" w:right="10" w:hanging="10"/>
        <w:jc w:val="both"/>
      </w:pPr>
      <w:r>
        <w:rPr>
          <w:rFonts w:ascii="Arial" w:eastAsia="Arial" w:hAnsi="Arial" w:cs="Arial"/>
          <w:sz w:val="18"/>
        </w:rPr>
        <w:t>Articolo 28 - Scioglimento del consiglio di presidenza</w:t>
      </w:r>
    </w:p>
    <w:p w14:paraId="233189A4" w14:textId="77777777" w:rsidR="00B32EF2" w:rsidRDefault="00000000">
      <w:pPr>
        <w:spacing w:after="4" w:line="254" w:lineRule="auto"/>
        <w:ind w:left="-4" w:right="10" w:hanging="10"/>
        <w:jc w:val="both"/>
      </w:pPr>
      <w:r>
        <w:rPr>
          <w:rFonts w:ascii="Arial" w:eastAsia="Arial" w:hAnsi="Arial" w:cs="Arial"/>
          <w:sz w:val="18"/>
        </w:rPr>
        <w:t>Articolo 29 - Alta sorveglianza</w:t>
      </w:r>
    </w:p>
    <w:p w14:paraId="3E7A2DC6" w14:textId="77777777" w:rsidR="00B32EF2" w:rsidRDefault="00000000">
      <w:pPr>
        <w:spacing w:after="4" w:line="254" w:lineRule="auto"/>
        <w:ind w:left="-4" w:right="10" w:hanging="10"/>
        <w:jc w:val="both"/>
      </w:pPr>
      <w:r>
        <w:rPr>
          <w:rFonts w:ascii="Arial" w:eastAsia="Arial" w:hAnsi="Arial" w:cs="Arial"/>
          <w:sz w:val="18"/>
        </w:rPr>
        <w:t xml:space="preserve">Articolo 29 </w:t>
      </w:r>
      <w:r>
        <w:rPr>
          <w:rFonts w:ascii="Arial" w:eastAsia="Arial" w:hAnsi="Arial" w:cs="Arial"/>
          <w:i/>
          <w:sz w:val="18"/>
        </w:rPr>
        <w:t xml:space="preserve">bis </w:t>
      </w:r>
      <w:r>
        <w:rPr>
          <w:rFonts w:ascii="Arial" w:eastAsia="Arial" w:hAnsi="Arial" w:cs="Arial"/>
          <w:sz w:val="18"/>
        </w:rPr>
        <w:t>- Autonomia contabile del Consiglio di presidenza della giustizia tributaria</w:t>
      </w:r>
    </w:p>
    <w:p w14:paraId="703ACC8F" w14:textId="77777777" w:rsidR="00B32EF2" w:rsidRDefault="00000000">
      <w:pPr>
        <w:tabs>
          <w:tab w:val="center" w:pos="3601"/>
          <w:tab w:val="center" w:pos="4321"/>
          <w:tab w:val="center" w:pos="5406"/>
        </w:tabs>
        <w:spacing w:after="2" w:line="255" w:lineRule="auto"/>
        <w:ind w:left="-14"/>
      </w:pPr>
      <w:r>
        <w:rPr>
          <w:rFonts w:ascii="Arial" w:eastAsia="Arial" w:hAnsi="Arial" w:cs="Arial"/>
          <w:b/>
          <w:sz w:val="18"/>
        </w:rPr>
        <w:t xml:space="preserve">Capo IV – Gli uffici di segreteria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t>Pag. 123</w:t>
      </w:r>
    </w:p>
    <w:p w14:paraId="1AC67CAB" w14:textId="77777777" w:rsidR="00B32EF2" w:rsidRDefault="00000000">
      <w:pPr>
        <w:spacing w:after="4" w:line="254" w:lineRule="auto"/>
        <w:ind w:left="-4" w:right="10" w:hanging="10"/>
        <w:jc w:val="both"/>
      </w:pPr>
      <w:r>
        <w:rPr>
          <w:rFonts w:ascii="Arial" w:eastAsia="Arial" w:hAnsi="Arial" w:cs="Arial"/>
          <w:sz w:val="18"/>
        </w:rPr>
        <w:t>Articolo 30 - Ufficio di segreteria del consiglio di presidenza</w:t>
      </w:r>
    </w:p>
    <w:p w14:paraId="4BA96331" w14:textId="77777777" w:rsidR="00B32EF2" w:rsidRDefault="00000000">
      <w:pPr>
        <w:spacing w:after="4" w:line="254" w:lineRule="auto"/>
        <w:ind w:left="-4" w:right="10" w:hanging="10"/>
        <w:jc w:val="both"/>
      </w:pPr>
      <w:r>
        <w:rPr>
          <w:rFonts w:ascii="Arial" w:eastAsia="Arial" w:hAnsi="Arial" w:cs="Arial"/>
          <w:sz w:val="18"/>
        </w:rPr>
        <w:t>Articolo 31 - Ufficio di segreteria delle corti di giustizia tributaria di primo e secondo grado</w:t>
      </w:r>
    </w:p>
    <w:p w14:paraId="3C4F3C0C" w14:textId="77777777" w:rsidR="00B32EF2" w:rsidRDefault="00000000">
      <w:pPr>
        <w:spacing w:after="4" w:line="254" w:lineRule="auto"/>
        <w:ind w:left="-4" w:right="10" w:hanging="10"/>
        <w:jc w:val="both"/>
      </w:pPr>
      <w:r>
        <w:rPr>
          <w:rFonts w:ascii="Arial" w:eastAsia="Arial" w:hAnsi="Arial" w:cs="Arial"/>
          <w:sz w:val="18"/>
        </w:rPr>
        <w:t>Articolo 32 - Personale addetto agli uffici di segreteria delle corti di giustizia tributaria di primo e secondo grado</w:t>
      </w:r>
    </w:p>
    <w:p w14:paraId="46BF6BC1" w14:textId="77777777" w:rsidR="00B32EF2" w:rsidRDefault="00000000">
      <w:pPr>
        <w:spacing w:after="4" w:line="254" w:lineRule="auto"/>
        <w:ind w:left="-4" w:right="10" w:hanging="10"/>
        <w:jc w:val="both"/>
      </w:pPr>
      <w:r>
        <w:rPr>
          <w:rFonts w:ascii="Arial" w:eastAsia="Arial" w:hAnsi="Arial" w:cs="Arial"/>
          <w:sz w:val="18"/>
        </w:rPr>
        <w:t>Articolo 33 - Trattamento economico del personale degli uffici di segreteria</w:t>
      </w:r>
    </w:p>
    <w:p w14:paraId="3895AB52" w14:textId="77777777" w:rsidR="00B32EF2" w:rsidRDefault="00000000">
      <w:pPr>
        <w:spacing w:after="4" w:line="254" w:lineRule="auto"/>
        <w:ind w:left="-4" w:right="10" w:hanging="10"/>
        <w:jc w:val="both"/>
      </w:pPr>
      <w:r>
        <w:rPr>
          <w:rFonts w:ascii="Arial" w:eastAsia="Arial" w:hAnsi="Arial" w:cs="Arial"/>
          <w:sz w:val="18"/>
        </w:rPr>
        <w:t>Articolo 34 - Amministrazione del personale delle segreterie</w:t>
      </w:r>
    </w:p>
    <w:p w14:paraId="60DA4B51" w14:textId="77777777" w:rsidR="00B32EF2" w:rsidRDefault="00000000">
      <w:pPr>
        <w:spacing w:after="4" w:line="254" w:lineRule="auto"/>
        <w:ind w:left="-4" w:right="10" w:hanging="10"/>
        <w:jc w:val="both"/>
      </w:pPr>
      <w:r>
        <w:rPr>
          <w:rFonts w:ascii="Arial" w:eastAsia="Arial" w:hAnsi="Arial" w:cs="Arial"/>
          <w:sz w:val="18"/>
        </w:rPr>
        <w:t>Articolo 35 - Attribuzioni del personale delle segreterie</w:t>
      </w:r>
    </w:p>
    <w:p w14:paraId="31885D29" w14:textId="77777777" w:rsidR="00B32EF2" w:rsidRDefault="00000000">
      <w:pPr>
        <w:tabs>
          <w:tab w:val="center" w:pos="5406"/>
        </w:tabs>
        <w:spacing w:after="2" w:line="255" w:lineRule="auto"/>
        <w:ind w:left="-14"/>
      </w:pPr>
      <w:r>
        <w:rPr>
          <w:rFonts w:ascii="Arial" w:eastAsia="Arial" w:hAnsi="Arial" w:cs="Arial"/>
          <w:b/>
          <w:sz w:val="18"/>
        </w:rPr>
        <w:t xml:space="preserve">Capo V – I servizi amministrativi del contenzioso  </w:t>
      </w:r>
      <w:r>
        <w:rPr>
          <w:rFonts w:ascii="Arial" w:eastAsia="Arial" w:hAnsi="Arial" w:cs="Arial"/>
          <w:b/>
          <w:sz w:val="18"/>
        </w:rPr>
        <w:tab/>
        <w:t>Pag. 126</w:t>
      </w:r>
    </w:p>
    <w:p w14:paraId="576AB59A" w14:textId="77777777" w:rsidR="00B32EF2" w:rsidRDefault="00000000">
      <w:pPr>
        <w:spacing w:after="4" w:line="254" w:lineRule="auto"/>
        <w:ind w:left="-4" w:right="10" w:hanging="10"/>
        <w:jc w:val="both"/>
      </w:pPr>
      <w:r>
        <w:rPr>
          <w:rFonts w:ascii="Arial" w:eastAsia="Arial" w:hAnsi="Arial" w:cs="Arial"/>
          <w:sz w:val="18"/>
        </w:rPr>
        <w:t>Articolo 36 - Servizi automatizzati</w:t>
      </w:r>
    </w:p>
    <w:p w14:paraId="33C5A844" w14:textId="77777777" w:rsidR="00B32EF2" w:rsidRDefault="00000000">
      <w:pPr>
        <w:spacing w:after="4" w:line="254" w:lineRule="auto"/>
        <w:ind w:left="-4" w:right="10" w:hanging="10"/>
        <w:jc w:val="both"/>
      </w:pPr>
      <w:r>
        <w:rPr>
          <w:rFonts w:ascii="Arial" w:eastAsia="Arial" w:hAnsi="Arial" w:cs="Arial"/>
          <w:sz w:val="18"/>
        </w:rPr>
        <w:t>Articoli 37 - Attività di indirizzo agli uffici periferici</w:t>
      </w:r>
    </w:p>
    <w:p w14:paraId="40D511F1" w14:textId="77777777" w:rsidR="00B32EF2" w:rsidRDefault="00000000">
      <w:pPr>
        <w:spacing w:after="4" w:line="254" w:lineRule="auto"/>
        <w:ind w:left="-4" w:right="10" w:hanging="10"/>
        <w:jc w:val="both"/>
      </w:pPr>
      <w:r>
        <w:rPr>
          <w:rFonts w:ascii="Arial" w:eastAsia="Arial" w:hAnsi="Arial" w:cs="Arial"/>
          <w:sz w:val="18"/>
        </w:rPr>
        <w:t>Articolo 38 - Rilevazione ed esame dei motivi di accoglimento dei ricorsi</w:t>
      </w:r>
    </w:p>
    <w:p w14:paraId="491E3134" w14:textId="77777777" w:rsidR="00B32EF2" w:rsidRDefault="00000000">
      <w:pPr>
        <w:spacing w:after="4" w:line="254" w:lineRule="auto"/>
        <w:ind w:left="-4" w:right="10" w:hanging="10"/>
        <w:jc w:val="both"/>
      </w:pPr>
      <w:r>
        <w:rPr>
          <w:rFonts w:ascii="Arial" w:eastAsia="Arial" w:hAnsi="Arial" w:cs="Arial"/>
          <w:sz w:val="18"/>
        </w:rPr>
        <w:t>Articolo 39 - Rilevazioni statistiche</w:t>
      </w:r>
    </w:p>
    <w:p w14:paraId="26526BE3" w14:textId="77777777" w:rsidR="00B32EF2" w:rsidRDefault="00000000">
      <w:pPr>
        <w:spacing w:after="4" w:line="254" w:lineRule="auto"/>
        <w:ind w:left="-4" w:right="10" w:hanging="10"/>
        <w:jc w:val="both"/>
      </w:pPr>
      <w:r>
        <w:rPr>
          <w:rFonts w:ascii="Arial" w:eastAsia="Arial" w:hAnsi="Arial" w:cs="Arial"/>
          <w:sz w:val="18"/>
        </w:rPr>
        <w:t>Articolo 40 - Ufficio del massimario</w:t>
      </w:r>
    </w:p>
    <w:p w14:paraId="4301AEB1" w14:textId="77777777" w:rsidR="00B32EF2" w:rsidRDefault="00000000">
      <w:pPr>
        <w:tabs>
          <w:tab w:val="center" w:pos="4321"/>
          <w:tab w:val="center" w:pos="5406"/>
        </w:tabs>
        <w:spacing w:after="2" w:line="255" w:lineRule="auto"/>
        <w:ind w:left="-14"/>
      </w:pPr>
      <w:r>
        <w:rPr>
          <w:rFonts w:ascii="Arial" w:eastAsia="Arial" w:hAnsi="Arial" w:cs="Arial"/>
          <w:b/>
          <w:sz w:val="18"/>
        </w:rPr>
        <w:t xml:space="preserve">Capo VI – Disposizioni transitorie e finali  </w:t>
      </w:r>
      <w:r>
        <w:rPr>
          <w:rFonts w:ascii="Arial" w:eastAsia="Arial" w:hAnsi="Arial" w:cs="Arial"/>
          <w:b/>
          <w:sz w:val="18"/>
        </w:rPr>
        <w:tab/>
        <w:t xml:space="preserve"> </w:t>
      </w:r>
      <w:r>
        <w:rPr>
          <w:rFonts w:ascii="Arial" w:eastAsia="Arial" w:hAnsi="Arial" w:cs="Arial"/>
          <w:b/>
          <w:sz w:val="18"/>
        </w:rPr>
        <w:tab/>
        <w:t>Pag. 128</w:t>
      </w:r>
    </w:p>
    <w:p w14:paraId="3297A43A" w14:textId="77777777" w:rsidR="00B32EF2" w:rsidRDefault="00000000">
      <w:pPr>
        <w:spacing w:after="4" w:line="254" w:lineRule="auto"/>
        <w:ind w:left="-4" w:right="10" w:hanging="10"/>
        <w:jc w:val="both"/>
      </w:pPr>
      <w:r>
        <w:rPr>
          <w:rFonts w:ascii="Arial" w:eastAsia="Arial" w:hAnsi="Arial" w:cs="Arial"/>
          <w:sz w:val="18"/>
        </w:rPr>
        <w:lastRenderedPageBreak/>
        <w:t>Articolo 42 - Insediamento delle corti di giustizia tributaria di primo e secondo grado</w:t>
      </w:r>
    </w:p>
    <w:p w14:paraId="7E841C6F" w14:textId="77777777" w:rsidR="00B32EF2" w:rsidRDefault="00000000">
      <w:pPr>
        <w:spacing w:after="4" w:line="254" w:lineRule="auto"/>
        <w:ind w:left="-4" w:right="10" w:hanging="10"/>
        <w:jc w:val="both"/>
      </w:pPr>
      <w:r>
        <w:rPr>
          <w:rFonts w:ascii="Arial" w:eastAsia="Arial" w:hAnsi="Arial" w:cs="Arial"/>
          <w:sz w:val="18"/>
        </w:rPr>
        <w:t>Articolo 43 - Nomina dei primi componenti nelle corti di giustizia tributaria di primo e secondo grado</w:t>
      </w:r>
    </w:p>
    <w:p w14:paraId="2D43C696" w14:textId="77777777" w:rsidR="00B32EF2" w:rsidRDefault="00000000">
      <w:pPr>
        <w:spacing w:after="4" w:line="254" w:lineRule="auto"/>
        <w:ind w:left="-4" w:right="10" w:hanging="10"/>
        <w:jc w:val="both"/>
      </w:pPr>
      <w:r>
        <w:rPr>
          <w:rFonts w:ascii="Arial" w:eastAsia="Arial" w:hAnsi="Arial" w:cs="Arial"/>
          <w:sz w:val="18"/>
        </w:rPr>
        <w:t>Articolo 44 - Nomina nelle corti di giustizia tributaria di primo e secondo grado dei componenti della commissione tributaria centrale</w:t>
      </w:r>
    </w:p>
    <w:p w14:paraId="1C263080" w14:textId="77777777" w:rsidR="00B32EF2" w:rsidRDefault="00000000">
      <w:pPr>
        <w:spacing w:after="4" w:line="254" w:lineRule="auto"/>
        <w:ind w:left="-4" w:right="10" w:hanging="10"/>
        <w:jc w:val="both"/>
      </w:pPr>
      <w:r>
        <w:rPr>
          <w:rFonts w:ascii="Arial" w:eastAsia="Arial" w:hAnsi="Arial" w:cs="Arial"/>
          <w:sz w:val="18"/>
        </w:rPr>
        <w:t xml:space="preserve">Articolo 44 </w:t>
      </w:r>
      <w:r>
        <w:rPr>
          <w:rFonts w:ascii="Arial" w:eastAsia="Arial" w:hAnsi="Arial" w:cs="Arial"/>
          <w:i/>
          <w:sz w:val="18"/>
        </w:rPr>
        <w:t>bis</w:t>
      </w:r>
      <w:r>
        <w:rPr>
          <w:rFonts w:ascii="Arial" w:eastAsia="Arial" w:hAnsi="Arial" w:cs="Arial"/>
          <w:sz w:val="18"/>
        </w:rPr>
        <w:t xml:space="preserve"> - Decisione di controversie pendenti al 1 aprile 1996</w:t>
      </w:r>
    </w:p>
    <w:p w14:paraId="001F6756" w14:textId="77777777" w:rsidR="00B32EF2" w:rsidRDefault="00000000">
      <w:pPr>
        <w:spacing w:after="4" w:line="254" w:lineRule="auto"/>
        <w:ind w:left="-4" w:right="10" w:hanging="10"/>
        <w:jc w:val="both"/>
      </w:pPr>
      <w:r>
        <w:rPr>
          <w:rFonts w:ascii="Arial" w:eastAsia="Arial" w:hAnsi="Arial" w:cs="Arial"/>
          <w:sz w:val="18"/>
        </w:rPr>
        <w:t xml:space="preserve">Articolo 44 </w:t>
      </w:r>
      <w:r>
        <w:rPr>
          <w:rFonts w:ascii="Arial" w:eastAsia="Arial" w:hAnsi="Arial" w:cs="Arial"/>
          <w:i/>
          <w:sz w:val="18"/>
        </w:rPr>
        <w:t>ter</w:t>
      </w:r>
      <w:r>
        <w:rPr>
          <w:rFonts w:ascii="Arial" w:eastAsia="Arial" w:hAnsi="Arial" w:cs="Arial"/>
          <w:sz w:val="18"/>
        </w:rPr>
        <w:t xml:space="preserve"> - Modifica delle tabelle</w:t>
      </w:r>
    </w:p>
    <w:p w14:paraId="4FCBF0A2" w14:textId="77777777" w:rsidR="00B32EF2" w:rsidRDefault="00000000">
      <w:pPr>
        <w:spacing w:after="4" w:line="254" w:lineRule="auto"/>
        <w:ind w:left="-4" w:right="10" w:hanging="10"/>
        <w:jc w:val="both"/>
      </w:pPr>
      <w:r>
        <w:rPr>
          <w:rFonts w:ascii="Arial" w:eastAsia="Arial" w:hAnsi="Arial" w:cs="Arial"/>
          <w:sz w:val="18"/>
        </w:rPr>
        <w:t>Articolo 45 - Prima costituzione del consiglio di presidenza della giustizia tributaria</w:t>
      </w:r>
    </w:p>
    <w:p w14:paraId="5DDB5F00" w14:textId="77777777" w:rsidR="00B32EF2" w:rsidRDefault="00000000">
      <w:pPr>
        <w:spacing w:after="4" w:line="254" w:lineRule="auto"/>
        <w:ind w:left="-4" w:right="10" w:hanging="10"/>
        <w:jc w:val="both"/>
      </w:pPr>
      <w:r>
        <w:rPr>
          <w:rFonts w:ascii="Arial" w:eastAsia="Arial" w:hAnsi="Arial" w:cs="Arial"/>
          <w:sz w:val="18"/>
        </w:rPr>
        <w:t>Articolo 46 - Personale addetto alle segreterie delle corti di giustizia tributaria di primo e secondo grado soppresse</w:t>
      </w:r>
    </w:p>
    <w:p w14:paraId="43D87DA8" w14:textId="77777777" w:rsidR="00B32EF2" w:rsidRDefault="00000000">
      <w:pPr>
        <w:spacing w:after="4" w:line="254" w:lineRule="auto"/>
        <w:ind w:left="-4" w:right="10" w:hanging="10"/>
        <w:jc w:val="both"/>
      </w:pPr>
      <w:r>
        <w:rPr>
          <w:rFonts w:ascii="Arial" w:eastAsia="Arial" w:hAnsi="Arial" w:cs="Arial"/>
          <w:sz w:val="18"/>
        </w:rPr>
        <w:t>Articolo 47 - Rinunzia all’assegnazione alle segreterie delle corti di giustizia tributaria di primo e secondo grado</w:t>
      </w:r>
    </w:p>
    <w:p w14:paraId="63597D21" w14:textId="77777777" w:rsidR="00B32EF2" w:rsidRDefault="00000000">
      <w:pPr>
        <w:spacing w:after="4" w:line="254" w:lineRule="auto"/>
        <w:ind w:left="-4" w:right="10" w:hanging="10"/>
        <w:jc w:val="both"/>
      </w:pPr>
      <w:r>
        <w:rPr>
          <w:rFonts w:ascii="Arial" w:eastAsia="Arial" w:hAnsi="Arial" w:cs="Arial"/>
          <w:sz w:val="18"/>
        </w:rPr>
        <w:t>Articolo 48 - Modalità particolari di inquadramento del personale delle segreterie</w:t>
      </w:r>
    </w:p>
    <w:p w14:paraId="7B2258CA" w14:textId="77777777" w:rsidR="00B32EF2" w:rsidRDefault="00000000">
      <w:pPr>
        <w:spacing w:after="4" w:line="254" w:lineRule="auto"/>
        <w:ind w:left="-4" w:right="3263" w:hanging="10"/>
        <w:jc w:val="both"/>
      </w:pPr>
      <w:r>
        <w:rPr>
          <w:rFonts w:ascii="Arial" w:eastAsia="Arial" w:hAnsi="Arial" w:cs="Arial"/>
          <w:sz w:val="18"/>
        </w:rPr>
        <w:t>Articolo 49 - Norme abrogate Articolo 50 – Regolamenti</w:t>
      </w:r>
    </w:p>
    <w:p w14:paraId="6FB53C9C" w14:textId="77777777" w:rsidR="00B32EF2" w:rsidRDefault="00000000">
      <w:pPr>
        <w:spacing w:after="4" w:line="254" w:lineRule="auto"/>
        <w:ind w:left="-4" w:right="10" w:hanging="10"/>
        <w:jc w:val="both"/>
      </w:pPr>
      <w:r>
        <w:rPr>
          <w:rFonts w:ascii="Arial" w:eastAsia="Arial" w:hAnsi="Arial" w:cs="Arial"/>
          <w:sz w:val="18"/>
        </w:rPr>
        <w:t>Articolo 51 - Entrata in vigore</w:t>
      </w:r>
      <w:r>
        <w:br w:type="page"/>
      </w:r>
    </w:p>
    <w:p w14:paraId="16E316FF" w14:textId="77777777" w:rsidR="00B32EF2" w:rsidRDefault="00000000">
      <w:pPr>
        <w:spacing w:after="90"/>
        <w:ind w:right="1"/>
        <w:jc w:val="center"/>
      </w:pPr>
      <w:r>
        <w:rPr>
          <w:rFonts w:ascii="Arial" w:eastAsia="Arial" w:hAnsi="Arial" w:cs="Arial"/>
          <w:b/>
          <w:sz w:val="24"/>
        </w:rPr>
        <w:lastRenderedPageBreak/>
        <w:t>D.lgs. 31 dicembre 1992, n. 546</w:t>
      </w:r>
    </w:p>
    <w:p w14:paraId="20F604E3" w14:textId="77777777" w:rsidR="00B32EF2" w:rsidRDefault="00000000">
      <w:pPr>
        <w:spacing w:after="0" w:line="261" w:lineRule="auto"/>
        <w:ind w:left="12" w:right="3" w:hanging="10"/>
        <w:jc w:val="center"/>
      </w:pPr>
      <w:r>
        <w:rPr>
          <w:rFonts w:ascii="Arial" w:eastAsia="Arial" w:hAnsi="Arial" w:cs="Arial"/>
          <w:b/>
          <w:sz w:val="18"/>
        </w:rPr>
        <w:t xml:space="preserve">TITOLO I </w:t>
      </w:r>
    </w:p>
    <w:p w14:paraId="1926408C" w14:textId="77777777" w:rsidR="00B32EF2" w:rsidRDefault="00000000">
      <w:pPr>
        <w:spacing w:after="164" w:line="261" w:lineRule="auto"/>
        <w:ind w:left="12" w:right="3" w:hanging="10"/>
        <w:jc w:val="center"/>
      </w:pPr>
      <w:r>
        <w:rPr>
          <w:rFonts w:ascii="Arial" w:eastAsia="Arial" w:hAnsi="Arial" w:cs="Arial"/>
          <w:b/>
          <w:sz w:val="18"/>
        </w:rPr>
        <w:t xml:space="preserve">DISPOSIZIONI GENERALI   </w:t>
      </w:r>
    </w:p>
    <w:p w14:paraId="6B870AA8" w14:textId="77777777" w:rsidR="00B32EF2" w:rsidRDefault="00000000">
      <w:pPr>
        <w:spacing w:after="0" w:line="261" w:lineRule="auto"/>
        <w:ind w:left="12" w:right="3" w:hanging="10"/>
        <w:jc w:val="center"/>
      </w:pPr>
      <w:r>
        <w:rPr>
          <w:rFonts w:ascii="Arial" w:eastAsia="Arial" w:hAnsi="Arial" w:cs="Arial"/>
          <w:b/>
          <w:sz w:val="18"/>
        </w:rPr>
        <w:t xml:space="preserve">CAPO I </w:t>
      </w:r>
    </w:p>
    <w:p w14:paraId="36B0BA08" w14:textId="77777777" w:rsidR="00B32EF2" w:rsidRDefault="00000000">
      <w:pPr>
        <w:spacing w:after="358" w:line="261" w:lineRule="auto"/>
        <w:ind w:left="12" w:right="3" w:hanging="10"/>
        <w:jc w:val="center"/>
      </w:pPr>
      <w:r>
        <w:rPr>
          <w:rFonts w:ascii="Arial" w:eastAsia="Arial" w:hAnsi="Arial" w:cs="Arial"/>
          <w:b/>
          <w:sz w:val="18"/>
        </w:rPr>
        <w:t xml:space="preserve"> DEL GIUDICE TRIBUTARIO E DEI SUOI AUSILIARI</w:t>
      </w:r>
    </w:p>
    <w:p w14:paraId="34DD8712" w14:textId="77777777" w:rsidR="00B32EF2" w:rsidRDefault="00000000">
      <w:pPr>
        <w:spacing w:after="0" w:line="261" w:lineRule="auto"/>
        <w:ind w:left="12" w:right="3" w:hanging="10"/>
        <w:jc w:val="center"/>
      </w:pPr>
      <w:r>
        <w:rPr>
          <w:rFonts w:ascii="Arial" w:eastAsia="Arial" w:hAnsi="Arial" w:cs="Arial"/>
          <w:b/>
          <w:sz w:val="18"/>
        </w:rPr>
        <w:t>Articolo 1</w:t>
      </w:r>
    </w:p>
    <w:p w14:paraId="31937FED" w14:textId="77777777" w:rsidR="00B32EF2" w:rsidRDefault="00000000">
      <w:pPr>
        <w:spacing w:after="3" w:line="251" w:lineRule="auto"/>
        <w:ind w:left="2320" w:right="2311" w:hanging="10"/>
        <w:jc w:val="center"/>
      </w:pPr>
      <w:r>
        <w:rPr>
          <w:rFonts w:ascii="Arial" w:eastAsia="Arial" w:hAnsi="Arial" w:cs="Arial"/>
          <w:i/>
          <w:sz w:val="18"/>
        </w:rPr>
        <w:t>(articolo 45 TUGT)</w:t>
      </w:r>
    </w:p>
    <w:p w14:paraId="029F7E65" w14:textId="77777777" w:rsidR="00B32EF2" w:rsidRDefault="00000000">
      <w:pPr>
        <w:spacing w:after="0" w:line="261" w:lineRule="auto"/>
        <w:ind w:left="12" w:right="3" w:hanging="10"/>
        <w:jc w:val="center"/>
      </w:pPr>
      <w:r>
        <w:rPr>
          <w:rFonts w:ascii="Arial" w:eastAsia="Arial" w:hAnsi="Arial" w:cs="Arial"/>
          <w:b/>
          <w:sz w:val="18"/>
        </w:rPr>
        <w:t xml:space="preserve">Gli organi della giurisdizione tributaria </w:t>
      </w:r>
    </w:p>
    <w:p w14:paraId="3BC08D42" w14:textId="77777777" w:rsidR="00B32EF2" w:rsidRDefault="00000000">
      <w:pPr>
        <w:numPr>
          <w:ilvl w:val="0"/>
          <w:numId w:val="3"/>
        </w:numPr>
        <w:spacing w:after="4" w:line="254" w:lineRule="auto"/>
        <w:ind w:right="10" w:hanging="10"/>
        <w:jc w:val="both"/>
      </w:pPr>
      <w:r>
        <w:rPr>
          <w:rFonts w:ascii="Arial" w:eastAsia="Arial" w:hAnsi="Arial" w:cs="Arial"/>
          <w:sz w:val="18"/>
        </w:rPr>
        <w:t>La giurisdizione tributaria è esercitata dalle corti di giustizia tributaria di primo grado e dalle corti di giustizia tributaria di secondo grado di cui all’art. 1 del decreto del Presidente della Repubblica 31 dicembre 1992, n. 545.</w:t>
      </w:r>
    </w:p>
    <w:p w14:paraId="64F7E907" w14:textId="77777777" w:rsidR="00B32EF2" w:rsidRDefault="00000000">
      <w:pPr>
        <w:numPr>
          <w:ilvl w:val="0"/>
          <w:numId w:val="3"/>
        </w:numPr>
        <w:spacing w:after="172" w:line="254" w:lineRule="auto"/>
        <w:ind w:right="10" w:hanging="10"/>
        <w:jc w:val="both"/>
      </w:pPr>
      <w:r>
        <w:rPr>
          <w:rFonts w:ascii="Arial" w:eastAsia="Arial" w:hAnsi="Arial" w:cs="Arial"/>
          <w:sz w:val="18"/>
        </w:rPr>
        <w:t>I giudici tributari applicano le norme del presente decreto e, per quanto da esse non disposto e con esse compatibili, le norme del codice di procedura civile.</w:t>
      </w:r>
    </w:p>
    <w:p w14:paraId="15B3B066" w14:textId="77777777" w:rsidR="00B32EF2" w:rsidRDefault="00000000">
      <w:pPr>
        <w:spacing w:after="0" w:line="261" w:lineRule="auto"/>
        <w:ind w:left="12" w:right="3" w:hanging="10"/>
        <w:jc w:val="center"/>
      </w:pPr>
      <w:r>
        <w:rPr>
          <w:rFonts w:ascii="Arial" w:eastAsia="Arial" w:hAnsi="Arial" w:cs="Arial"/>
          <w:b/>
          <w:sz w:val="18"/>
        </w:rPr>
        <w:t>Articolo 2</w:t>
      </w:r>
    </w:p>
    <w:p w14:paraId="29830063" w14:textId="77777777" w:rsidR="00B32EF2" w:rsidRDefault="00000000">
      <w:pPr>
        <w:spacing w:after="3" w:line="251" w:lineRule="auto"/>
        <w:ind w:left="2320" w:right="2311" w:hanging="10"/>
        <w:jc w:val="center"/>
      </w:pPr>
      <w:r>
        <w:rPr>
          <w:rFonts w:ascii="Arial" w:eastAsia="Arial" w:hAnsi="Arial" w:cs="Arial"/>
          <w:i/>
          <w:sz w:val="18"/>
        </w:rPr>
        <w:t>(articolo 46 TUGT)</w:t>
      </w:r>
    </w:p>
    <w:p w14:paraId="21B2ACCF" w14:textId="77777777" w:rsidR="00B32EF2" w:rsidRDefault="00000000">
      <w:pPr>
        <w:spacing w:after="0" w:line="261" w:lineRule="auto"/>
        <w:ind w:left="12" w:right="3" w:hanging="10"/>
        <w:jc w:val="center"/>
      </w:pPr>
      <w:r>
        <w:rPr>
          <w:rFonts w:ascii="Arial" w:eastAsia="Arial" w:hAnsi="Arial" w:cs="Arial"/>
          <w:b/>
          <w:sz w:val="18"/>
        </w:rPr>
        <w:t xml:space="preserve">Oggetto della giurisdizione tributaria </w:t>
      </w:r>
    </w:p>
    <w:p w14:paraId="5E9C48AE" w14:textId="77777777" w:rsidR="00B32EF2" w:rsidRDefault="00000000">
      <w:pPr>
        <w:numPr>
          <w:ilvl w:val="0"/>
          <w:numId w:val="4"/>
        </w:numPr>
        <w:spacing w:after="4" w:line="254" w:lineRule="auto"/>
        <w:ind w:right="10" w:hanging="10"/>
        <w:jc w:val="both"/>
      </w:pPr>
      <w:r>
        <w:rPr>
          <w:rFonts w:ascii="Arial" w:eastAsia="Arial" w:hAnsi="Arial" w:cs="Arial"/>
          <w:sz w:val="18"/>
        </w:rPr>
        <w:t xml:space="preserve">Appartengono alla giurisdizione tributaria tutte le controversie aventi ad oggetto i tributi di ogni genere e specie comunque denominati, compresi quelli regionali, provinciali e comunali e il contributo per il Servizio sanitario nazionale, le sovrimposte e le addizionali, le relative sanzioni </w:t>
      </w:r>
      <w:proofErr w:type="spellStart"/>
      <w:r>
        <w:rPr>
          <w:rFonts w:ascii="Arial" w:eastAsia="Arial" w:hAnsi="Arial" w:cs="Arial"/>
          <w:sz w:val="18"/>
        </w:rPr>
        <w:t>nonchè</w:t>
      </w:r>
      <w:proofErr w:type="spellEnd"/>
      <w:r>
        <w:rPr>
          <w:rFonts w:ascii="Arial" w:eastAsia="Arial" w:hAnsi="Arial" w:cs="Arial"/>
          <w:sz w:val="18"/>
        </w:rPr>
        <w:t xml:space="preserve"> gli interessi e ogni altro accessorio. Restano escluse dalla giurisdizione tributaria soltanto le controversie riguardanti gli atti della esecuzione forzata tributaria successivi alla notifica della cartella di pagamento e, ove previsto, dell’avviso di cui all’articolo 50 del decreto del Presidente della Repubblica 29 settembre 1973, n. 602, per le quali continuano ad applicarsi le disposizioni del medesimo decreto del Presidente della Repubblica.</w:t>
      </w:r>
    </w:p>
    <w:p w14:paraId="2C9D1FFE" w14:textId="77777777" w:rsidR="00B32EF2" w:rsidRDefault="00000000">
      <w:pPr>
        <w:numPr>
          <w:ilvl w:val="0"/>
          <w:numId w:val="4"/>
        </w:numPr>
        <w:spacing w:after="4" w:line="254" w:lineRule="auto"/>
        <w:ind w:right="10" w:hanging="10"/>
        <w:jc w:val="both"/>
      </w:pPr>
      <w:r>
        <w:rPr>
          <w:rFonts w:ascii="Arial" w:eastAsia="Arial" w:hAnsi="Arial" w:cs="Arial"/>
          <w:sz w:val="18"/>
        </w:rPr>
        <w:t xml:space="preserve">Appartengono altresì alla giurisdizione tributaria le controversie promosse dai singoli possessori concernenti l’intestazione, la delimitazione, la figura, l’estensione, il classamento dei terreni e la ripartizione dell’estimo fra i compossessori a titolo di promiscuità di una stessa particella, </w:t>
      </w:r>
      <w:proofErr w:type="spellStart"/>
      <w:r>
        <w:rPr>
          <w:rFonts w:ascii="Arial" w:eastAsia="Arial" w:hAnsi="Arial" w:cs="Arial"/>
          <w:sz w:val="18"/>
        </w:rPr>
        <w:t>nonchè</w:t>
      </w:r>
      <w:proofErr w:type="spellEnd"/>
      <w:r>
        <w:rPr>
          <w:rFonts w:ascii="Arial" w:eastAsia="Arial" w:hAnsi="Arial" w:cs="Arial"/>
          <w:sz w:val="18"/>
        </w:rPr>
        <w:t xml:space="preserve"> le controversie concernenti la consistenza, il classamento delle singole unità immobiliari urbane e l’attribuzione della rendita catastale. Appartengono alla giurisdizione tributaria anche le controversie attinenti l’imposta o il canone comunale sulla pubblicità e il diritto sulle pubbliche affissioni.</w:t>
      </w:r>
    </w:p>
    <w:p w14:paraId="22E11284" w14:textId="77777777" w:rsidR="00B32EF2" w:rsidRDefault="00000000">
      <w:pPr>
        <w:numPr>
          <w:ilvl w:val="0"/>
          <w:numId w:val="4"/>
        </w:numPr>
        <w:spacing w:after="4" w:line="254" w:lineRule="auto"/>
        <w:ind w:right="10" w:hanging="10"/>
        <w:jc w:val="both"/>
      </w:pPr>
      <w:r>
        <w:rPr>
          <w:rFonts w:ascii="Arial" w:eastAsia="Arial" w:hAnsi="Arial" w:cs="Arial"/>
          <w:sz w:val="18"/>
        </w:rPr>
        <w:t xml:space="preserve">Il giudice tributario risolve in via incidentale ogni questione da cui dipende la decisione delle controversie rientranti nella propria giurisdizione, </w:t>
      </w:r>
      <w:r>
        <w:rPr>
          <w:rFonts w:ascii="Arial" w:eastAsia="Arial" w:hAnsi="Arial" w:cs="Arial"/>
          <w:sz w:val="18"/>
        </w:rPr>
        <w:lastRenderedPageBreak/>
        <w:t>fatta eccezione per le questioni in materia di querela di falso e sullo stato o la capacità delle persone, diversa dalla capacità di stare in giudizio.</w:t>
      </w:r>
    </w:p>
    <w:p w14:paraId="2F90111E" w14:textId="77777777" w:rsidR="00B32EF2" w:rsidRDefault="00000000">
      <w:pPr>
        <w:pStyle w:val="Titolo2"/>
        <w:ind w:left="129" w:right="110"/>
      </w:pPr>
      <w:r>
        <w:t>NORME RICHIAMATE</w:t>
      </w:r>
    </w:p>
    <w:p w14:paraId="44ED8A75"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25" w:line="225" w:lineRule="auto"/>
        <w:ind w:left="129" w:right="110" w:hanging="10"/>
        <w:jc w:val="both"/>
      </w:pPr>
      <w:r>
        <w:rPr>
          <w:rFonts w:ascii="Arial" w:eastAsia="Arial" w:hAnsi="Arial" w:cs="Arial"/>
          <w:i/>
          <w:color w:val="020202"/>
          <w:sz w:val="18"/>
        </w:rPr>
        <w:t>art. 50 dpr. 602/1972 “Termine per l’inizio dell’esecuzione”</w:t>
      </w:r>
    </w:p>
    <w:p w14:paraId="67E58D2F" w14:textId="77777777" w:rsidR="00B32EF2" w:rsidRDefault="00000000">
      <w:pPr>
        <w:numPr>
          <w:ilvl w:val="0"/>
          <w:numId w:val="5"/>
        </w:numPr>
        <w:pBdr>
          <w:top w:val="single" w:sz="8" w:space="0" w:color="000000"/>
          <w:left w:val="single" w:sz="8" w:space="0" w:color="000000"/>
          <w:bottom w:val="single" w:sz="8" w:space="0" w:color="000000"/>
          <w:right w:val="single" w:sz="8" w:space="0" w:color="000000"/>
        </w:pBdr>
        <w:shd w:val="clear" w:color="auto" w:fill="C3C3C3"/>
        <w:spacing w:after="0" w:line="225" w:lineRule="auto"/>
        <w:ind w:right="110" w:hanging="10"/>
        <w:jc w:val="both"/>
      </w:pPr>
      <w:r>
        <w:rPr>
          <w:rFonts w:ascii="Arial" w:eastAsia="Arial" w:hAnsi="Arial" w:cs="Arial"/>
          <w:i/>
          <w:color w:val="020202"/>
          <w:sz w:val="18"/>
        </w:rPr>
        <w:t xml:space="preserve">Il concessionario procede ad espropriazione forzata quando è inutilmente decorso il termine di sessanta giorni dalla notificazione della cartella di pagamento, salve le disposizioni relative alla dilazione ed alla sospensione del pagamento. </w:t>
      </w:r>
    </w:p>
    <w:p w14:paraId="6C662661" w14:textId="77777777" w:rsidR="00B32EF2" w:rsidRDefault="00000000">
      <w:pPr>
        <w:numPr>
          <w:ilvl w:val="0"/>
          <w:numId w:val="5"/>
        </w:numPr>
        <w:pBdr>
          <w:top w:val="single" w:sz="8" w:space="0" w:color="000000"/>
          <w:left w:val="single" w:sz="8" w:space="0" w:color="000000"/>
          <w:bottom w:val="single" w:sz="8" w:space="0" w:color="000000"/>
          <w:right w:val="single" w:sz="8" w:space="0" w:color="000000"/>
        </w:pBdr>
        <w:shd w:val="clear" w:color="auto" w:fill="C3C3C3"/>
        <w:spacing w:after="0" w:line="225" w:lineRule="auto"/>
        <w:ind w:right="110" w:hanging="10"/>
        <w:jc w:val="both"/>
      </w:pPr>
      <w:r>
        <w:rPr>
          <w:rFonts w:ascii="Arial" w:eastAsia="Arial" w:hAnsi="Arial" w:cs="Arial"/>
          <w:i/>
          <w:color w:val="020202"/>
          <w:sz w:val="18"/>
        </w:rPr>
        <w:t>Se l’espropriazione non è iniziata entro un anno dalla notifica della cartella di pagamento, l’espropriazione stessa deve essere preceduta dalla notifica, da effettuarsi con le modalità previste dall’articolo 26, di un avviso che contiene l’intimazione ad adempiere l’obbligo risultante dal ruolo entro cinque giorni.</w:t>
      </w:r>
    </w:p>
    <w:p w14:paraId="25DB3D11" w14:textId="77777777" w:rsidR="00B32EF2" w:rsidRDefault="00000000">
      <w:pPr>
        <w:numPr>
          <w:ilvl w:val="0"/>
          <w:numId w:val="5"/>
        </w:numPr>
        <w:pBdr>
          <w:top w:val="single" w:sz="8" w:space="0" w:color="000000"/>
          <w:left w:val="single" w:sz="8" w:space="0" w:color="000000"/>
          <w:bottom w:val="single" w:sz="8" w:space="0" w:color="000000"/>
          <w:right w:val="single" w:sz="8" w:space="0" w:color="000000"/>
        </w:pBdr>
        <w:shd w:val="clear" w:color="auto" w:fill="C3C3C3"/>
        <w:spacing w:after="0" w:line="225" w:lineRule="auto"/>
        <w:ind w:right="110" w:hanging="10"/>
        <w:jc w:val="both"/>
      </w:pPr>
      <w:r>
        <w:rPr>
          <w:rFonts w:ascii="Arial" w:eastAsia="Arial" w:hAnsi="Arial" w:cs="Arial"/>
          <w:i/>
          <w:color w:val="020202"/>
          <w:sz w:val="18"/>
        </w:rPr>
        <w:t>L’avviso di cui al comma 2 è redatto in conformità al modello approvato con decreto del Ministero delle finanze e perde efficacia trascorso un anno dalla data della notifica</w:t>
      </w:r>
      <w:r>
        <w:rPr>
          <w:rFonts w:ascii="Arial" w:eastAsia="Arial" w:hAnsi="Arial" w:cs="Arial"/>
          <w:color w:val="020202"/>
          <w:sz w:val="18"/>
        </w:rPr>
        <w:t>.</w:t>
      </w:r>
    </w:p>
    <w:p w14:paraId="66C28951" w14:textId="77777777" w:rsidR="00B32EF2" w:rsidRDefault="00000000">
      <w:pPr>
        <w:pStyle w:val="Titolo2"/>
        <w:ind w:left="129" w:right="110"/>
      </w:pPr>
      <w:r>
        <w:t>NORME COLLEGATE</w:t>
      </w:r>
    </w:p>
    <w:p w14:paraId="501AE7F4"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450" w:line="225" w:lineRule="auto"/>
        <w:ind w:left="129" w:right="110" w:hanging="10"/>
        <w:jc w:val="both"/>
      </w:pPr>
      <w:r>
        <w:rPr>
          <w:rFonts w:ascii="Arial" w:eastAsia="Arial" w:hAnsi="Arial" w:cs="Arial"/>
          <w:i/>
          <w:color w:val="020202"/>
          <w:sz w:val="18"/>
        </w:rPr>
        <w:t>art. 5 c.p.c. “Momento determinante della giurisdizione e della competenza”  La giurisdizione e la competenza si determinano con riguardo alla legge vigente e allo stato di fatto esistente al momento della proposizione della domanda, e non hanno rilevanza rispetto ad esse i successivi mutamenti della legge o dello stato medesimo.</w:t>
      </w:r>
    </w:p>
    <w:p w14:paraId="33415B53" w14:textId="77777777" w:rsidR="00B32EF2" w:rsidRDefault="00000000">
      <w:pPr>
        <w:spacing w:after="0" w:line="261" w:lineRule="auto"/>
        <w:ind w:left="12" w:right="3" w:hanging="10"/>
        <w:jc w:val="center"/>
      </w:pPr>
      <w:r>
        <w:rPr>
          <w:rFonts w:ascii="Arial" w:eastAsia="Arial" w:hAnsi="Arial" w:cs="Arial"/>
          <w:b/>
          <w:sz w:val="18"/>
        </w:rPr>
        <w:t>Articolo 3</w:t>
      </w:r>
    </w:p>
    <w:p w14:paraId="6D595744" w14:textId="77777777" w:rsidR="00B32EF2" w:rsidRDefault="00000000">
      <w:pPr>
        <w:spacing w:after="3" w:line="251" w:lineRule="auto"/>
        <w:ind w:left="2320" w:right="2311" w:hanging="10"/>
        <w:jc w:val="center"/>
      </w:pPr>
      <w:r>
        <w:rPr>
          <w:rFonts w:ascii="Arial" w:eastAsia="Arial" w:hAnsi="Arial" w:cs="Arial"/>
          <w:i/>
          <w:sz w:val="18"/>
        </w:rPr>
        <w:t>(articolo 47 TUGT)</w:t>
      </w:r>
    </w:p>
    <w:p w14:paraId="1775BCEC" w14:textId="77777777" w:rsidR="00B32EF2" w:rsidRDefault="00000000">
      <w:pPr>
        <w:spacing w:after="0" w:line="261" w:lineRule="auto"/>
        <w:ind w:left="12" w:right="3" w:hanging="10"/>
        <w:jc w:val="center"/>
      </w:pPr>
      <w:r>
        <w:rPr>
          <w:rFonts w:ascii="Arial" w:eastAsia="Arial" w:hAnsi="Arial" w:cs="Arial"/>
          <w:b/>
          <w:sz w:val="18"/>
        </w:rPr>
        <w:t>Difetto di giurisdizione</w:t>
      </w:r>
    </w:p>
    <w:p w14:paraId="1ADD6EE5" w14:textId="77777777" w:rsidR="00B32EF2" w:rsidRDefault="00000000">
      <w:pPr>
        <w:numPr>
          <w:ilvl w:val="0"/>
          <w:numId w:val="6"/>
        </w:numPr>
        <w:spacing w:after="4" w:line="254" w:lineRule="auto"/>
        <w:ind w:right="10" w:hanging="10"/>
        <w:jc w:val="both"/>
      </w:pPr>
      <w:r>
        <w:rPr>
          <w:rFonts w:ascii="Arial" w:eastAsia="Arial" w:hAnsi="Arial" w:cs="Arial"/>
          <w:sz w:val="18"/>
        </w:rPr>
        <w:t xml:space="preserve">Il difetto di giurisdizione delle corti di giustizia tributaria di primo e secondo grado è rilevato, anche d’ufficio, in ogni stato e grado del processo. </w:t>
      </w:r>
    </w:p>
    <w:p w14:paraId="3BF413C5" w14:textId="77777777" w:rsidR="00B32EF2" w:rsidRDefault="00000000">
      <w:pPr>
        <w:numPr>
          <w:ilvl w:val="0"/>
          <w:numId w:val="6"/>
        </w:numPr>
        <w:spacing w:after="239" w:line="254" w:lineRule="auto"/>
        <w:ind w:right="10" w:hanging="10"/>
        <w:jc w:val="both"/>
      </w:pPr>
      <w:r>
        <w:rPr>
          <w:rFonts w:ascii="Arial" w:eastAsia="Arial" w:hAnsi="Arial" w:cs="Arial"/>
          <w:sz w:val="18"/>
        </w:rPr>
        <w:t>E’ ammesso il regolamento preventivo di giurisdizione previsto dall’art. 41, primo comma, del codice di procedura civile.</w:t>
      </w:r>
    </w:p>
    <w:p w14:paraId="1DA73879" w14:textId="77777777" w:rsidR="00B32EF2" w:rsidRDefault="00000000">
      <w:pPr>
        <w:pStyle w:val="Titolo2"/>
        <w:ind w:left="129" w:right="110"/>
      </w:pPr>
      <w:r>
        <w:t>NORME RICHIAMATE</w:t>
      </w:r>
    </w:p>
    <w:p w14:paraId="332E2D82"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25" w:line="225" w:lineRule="auto"/>
        <w:ind w:left="129" w:right="110" w:hanging="10"/>
        <w:jc w:val="both"/>
      </w:pPr>
      <w:r>
        <w:rPr>
          <w:rFonts w:ascii="Arial" w:eastAsia="Arial" w:hAnsi="Arial" w:cs="Arial"/>
          <w:i/>
          <w:color w:val="020202"/>
          <w:sz w:val="18"/>
        </w:rPr>
        <w:t>art. 41 c.p.c. “Regolamento di giurisdizione “</w:t>
      </w:r>
    </w:p>
    <w:p w14:paraId="0D94ACDF"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0" w:line="225" w:lineRule="auto"/>
        <w:ind w:left="129" w:right="110" w:hanging="10"/>
        <w:jc w:val="both"/>
      </w:pPr>
      <w:r>
        <w:rPr>
          <w:rFonts w:ascii="Arial" w:eastAsia="Arial" w:hAnsi="Arial" w:cs="Arial"/>
          <w:i/>
          <w:color w:val="020202"/>
          <w:sz w:val="18"/>
        </w:rPr>
        <w:t>1.Finché la causa non sia decisa nel merito in primo grado, ciascuna parte può chiedere alle sezioni unite della Corte di cassazione che risolvano le questioni di giurisdizione di cui all’articolo 37. L’istanza si propone con ricorso a norma degli articoli 364 e seguenti, e produce gli effetti di cui all’articolo 367.</w:t>
      </w:r>
    </w:p>
    <w:p w14:paraId="1BB895EB"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0" w:line="225" w:lineRule="auto"/>
        <w:ind w:left="129" w:right="110" w:hanging="10"/>
        <w:jc w:val="both"/>
      </w:pPr>
      <w:r>
        <w:rPr>
          <w:rFonts w:ascii="Arial" w:eastAsia="Arial" w:hAnsi="Arial" w:cs="Arial"/>
          <w:i/>
          <w:color w:val="020202"/>
          <w:sz w:val="18"/>
        </w:rPr>
        <w:t>2.La pubblica amministrazione che non è parte in causa può chiedere  in ogni stato e grado del processo che sia dichiarato dalle sezioni unite della Corte di cassazione il difetto di giurisdizione del giudice ordinario a causa dei poteri attribuiti dalla legge alla amministrazione stessa, finché la giurisdizione non sia stata affermata con sentenza passata in giudicato.</w:t>
      </w:r>
    </w:p>
    <w:p w14:paraId="135C26F9" w14:textId="77777777" w:rsidR="00B32EF2" w:rsidRDefault="00000000">
      <w:pPr>
        <w:pStyle w:val="Titolo2"/>
        <w:ind w:left="129" w:right="110"/>
      </w:pPr>
      <w:r>
        <w:lastRenderedPageBreak/>
        <w:t>NORME COLLEGATE</w:t>
      </w:r>
    </w:p>
    <w:p w14:paraId="514FE6B0" w14:textId="03A4271D"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25" w:line="225" w:lineRule="auto"/>
        <w:ind w:left="129" w:right="110" w:hanging="10"/>
        <w:jc w:val="both"/>
      </w:pPr>
      <w:r>
        <w:rPr>
          <w:rFonts w:ascii="Arial" w:eastAsia="Arial" w:hAnsi="Arial" w:cs="Arial"/>
          <w:i/>
          <w:color w:val="020202"/>
          <w:sz w:val="18"/>
        </w:rPr>
        <w:t xml:space="preserve"> art. 5 c.p.c. “Momento determinante della giurisdizione e competenza” </w:t>
      </w:r>
    </w:p>
    <w:p w14:paraId="44117EC2" w14:textId="4B7D2806" w:rsidR="002061C2" w:rsidRDefault="002061C2">
      <w:pPr>
        <w:spacing w:after="3" w:line="251" w:lineRule="auto"/>
        <w:ind w:left="2320" w:right="2311" w:hanging="10"/>
        <w:jc w:val="center"/>
        <w:rPr>
          <w:rFonts w:ascii="Arial" w:eastAsia="Arial" w:hAnsi="Arial" w:cs="Arial"/>
          <w:i/>
          <w:sz w:val="18"/>
        </w:rPr>
      </w:pPr>
      <w:r>
        <w:rPr>
          <w:rFonts w:ascii="Arial" w:eastAsia="Arial" w:hAnsi="Arial" w:cs="Arial"/>
          <w:b/>
          <w:sz w:val="18"/>
        </w:rPr>
        <w:t>Articolo 4</w:t>
      </w:r>
    </w:p>
    <w:p w14:paraId="0151CBAD" w14:textId="50F0E1C1" w:rsidR="00B32EF2" w:rsidRDefault="00000000">
      <w:pPr>
        <w:spacing w:after="3" w:line="251" w:lineRule="auto"/>
        <w:ind w:left="2320" w:right="2311" w:hanging="10"/>
        <w:jc w:val="center"/>
      </w:pPr>
      <w:r>
        <w:rPr>
          <w:rFonts w:ascii="Arial" w:eastAsia="Arial" w:hAnsi="Arial" w:cs="Arial"/>
          <w:i/>
          <w:sz w:val="18"/>
        </w:rPr>
        <w:t>(articolo 48 TUGT)</w:t>
      </w:r>
    </w:p>
    <w:p w14:paraId="39FF683E" w14:textId="77777777" w:rsidR="00B32EF2" w:rsidRDefault="00000000">
      <w:pPr>
        <w:spacing w:after="0" w:line="261" w:lineRule="auto"/>
        <w:ind w:left="12" w:right="3" w:hanging="10"/>
        <w:jc w:val="center"/>
      </w:pPr>
      <w:r>
        <w:rPr>
          <w:rFonts w:ascii="Arial" w:eastAsia="Arial" w:hAnsi="Arial" w:cs="Arial"/>
          <w:b/>
          <w:sz w:val="18"/>
        </w:rPr>
        <w:t xml:space="preserve">Competenza per territorio </w:t>
      </w:r>
    </w:p>
    <w:p w14:paraId="164ED570" w14:textId="77777777" w:rsidR="00B32EF2" w:rsidRDefault="00000000">
      <w:pPr>
        <w:numPr>
          <w:ilvl w:val="0"/>
          <w:numId w:val="7"/>
        </w:numPr>
        <w:spacing w:after="4" w:line="254" w:lineRule="auto"/>
        <w:ind w:right="10" w:hanging="10"/>
        <w:jc w:val="both"/>
      </w:pPr>
      <w:r>
        <w:rPr>
          <w:rFonts w:ascii="Arial" w:eastAsia="Arial" w:hAnsi="Arial" w:cs="Arial"/>
          <w:sz w:val="18"/>
        </w:rPr>
        <w:t>Le corti di giustizia tributaria di primo grado sono competenti per le controversie proposte nei confronti degli enti impositori, degli agenti della riscossione e dei soggetti iscritti all’albo di cui all’articolo 53 del decreto legislativo 15 dicembre 1997, n. 446, che hanno sede nella loro circoscrizione. Se la controversia è proposta nei confronti di articolazioni dell’Agenzia delle Entrate, con competenza su tutto o parte del territorio nazionale, individuate con il regolamento di amministrazione di cui all’articolo 71 del decreto legislativo 30 luglio 1999, n. 300, è competente la corte di giustizia tributaria di primo grado nella cui circoscrizione ha sede l’ufficio al quale spettano le attribuzioni sul rapporto controverso (1).</w:t>
      </w:r>
    </w:p>
    <w:p w14:paraId="695EF07E" w14:textId="77777777" w:rsidR="00B32EF2" w:rsidRDefault="00000000">
      <w:pPr>
        <w:numPr>
          <w:ilvl w:val="0"/>
          <w:numId w:val="7"/>
        </w:numPr>
        <w:spacing w:after="4" w:line="254" w:lineRule="auto"/>
        <w:ind w:right="10" w:hanging="10"/>
        <w:jc w:val="both"/>
      </w:pPr>
      <w:r>
        <w:rPr>
          <w:rFonts w:ascii="Arial" w:eastAsia="Arial" w:hAnsi="Arial" w:cs="Arial"/>
          <w:sz w:val="18"/>
        </w:rPr>
        <w:t>Le corti di giustizia tributaria di secondo grado sono competenti per le impugnazioni avverso le decisioni delle corti di giustizia tributaria di primo grado, che hanno sede nella loro circoscrizione.</w:t>
      </w:r>
    </w:p>
    <w:p w14:paraId="7A3D048F" w14:textId="77777777" w:rsidR="00B32EF2" w:rsidRDefault="00000000">
      <w:pPr>
        <w:spacing w:after="4" w:line="254" w:lineRule="auto"/>
        <w:ind w:left="-4" w:right="10" w:hanging="10"/>
        <w:jc w:val="both"/>
      </w:pPr>
      <w:r>
        <w:rPr>
          <w:rFonts w:ascii="Arial" w:eastAsia="Arial" w:hAnsi="Arial" w:cs="Arial"/>
          <w:sz w:val="18"/>
        </w:rPr>
        <w:t>_________________________</w:t>
      </w:r>
    </w:p>
    <w:p w14:paraId="11E4ECA5" w14:textId="77777777" w:rsidR="00B32EF2" w:rsidRDefault="00000000">
      <w:pPr>
        <w:spacing w:after="146" w:line="261" w:lineRule="auto"/>
        <w:ind w:left="-4" w:right="-13" w:hanging="10"/>
        <w:jc w:val="both"/>
      </w:pPr>
      <w:r>
        <w:rPr>
          <w:rFonts w:ascii="Arial" w:eastAsia="Arial" w:hAnsi="Arial" w:cs="Arial"/>
          <w:sz w:val="15"/>
        </w:rPr>
        <w:t xml:space="preserve">(1) La Corte Costituzionale con sentenza n. 44/2016, ha dichiarato -in applicazione dell’art. 27 della legge 11 marzo 1953, n. 87 - l’illegittimità costituzionale dell’art. 4, comma 1, del d.lgs. n. 546 del 1992 (nel testo vigente a seguito della sostituzione operata dall’art. 9, comma 1, lettera b, del d.lgs. n. 156 del 2015) nella parte in cui prevede che per le controversie proposte nei confronti dei soggetti iscritti nell’albo di cui all’art. 53 del decreto legislativo 15 dicembre 1997, n. 446 è competente la commissione tributaria provinciale nella cui circoscrizione i medesimi soggetti hanno sede, </w:t>
      </w:r>
      <w:proofErr w:type="spellStart"/>
      <w:r>
        <w:rPr>
          <w:rFonts w:ascii="Arial" w:eastAsia="Arial" w:hAnsi="Arial" w:cs="Arial"/>
          <w:sz w:val="15"/>
        </w:rPr>
        <w:t>anzichè</w:t>
      </w:r>
      <w:proofErr w:type="spellEnd"/>
      <w:r>
        <w:rPr>
          <w:rFonts w:ascii="Arial" w:eastAsia="Arial" w:hAnsi="Arial" w:cs="Arial"/>
          <w:sz w:val="15"/>
        </w:rPr>
        <w:t xml:space="preserve"> quella nella cui circoscrizione ha sede l’ente locale impositore.</w:t>
      </w:r>
    </w:p>
    <w:p w14:paraId="165731D0" w14:textId="77777777" w:rsidR="00B32EF2" w:rsidRDefault="00000000">
      <w:pPr>
        <w:pStyle w:val="Titolo2"/>
        <w:ind w:left="129" w:right="55"/>
      </w:pPr>
      <w:r>
        <w:t>NORME RICHIAMATE</w:t>
      </w:r>
    </w:p>
    <w:p w14:paraId="2A1EB10F"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59" w:line="225" w:lineRule="auto"/>
        <w:ind w:left="129" w:right="55" w:hanging="10"/>
        <w:jc w:val="both"/>
      </w:pPr>
      <w:r>
        <w:rPr>
          <w:rFonts w:ascii="Arial" w:eastAsia="Arial" w:hAnsi="Arial" w:cs="Arial"/>
          <w:i/>
          <w:color w:val="020202"/>
          <w:sz w:val="18"/>
        </w:rPr>
        <w:t>art. 53 D.lgs. 446/1997  “Albo per l’accertamento e riscossione delle entrate degli enti locali”.</w:t>
      </w:r>
    </w:p>
    <w:p w14:paraId="767B64A3" w14:textId="77777777" w:rsidR="00B32EF2" w:rsidRDefault="00000000">
      <w:pPr>
        <w:spacing w:after="0" w:line="261" w:lineRule="auto"/>
        <w:ind w:left="12" w:right="3" w:hanging="10"/>
        <w:jc w:val="center"/>
      </w:pPr>
      <w:r>
        <w:rPr>
          <w:rFonts w:ascii="Arial" w:eastAsia="Arial" w:hAnsi="Arial" w:cs="Arial"/>
          <w:b/>
          <w:sz w:val="18"/>
        </w:rPr>
        <w:t xml:space="preserve">Articolo 4-bis </w:t>
      </w:r>
    </w:p>
    <w:p w14:paraId="76D0B966" w14:textId="77777777" w:rsidR="00B32EF2" w:rsidRDefault="00000000">
      <w:pPr>
        <w:spacing w:after="3" w:line="251" w:lineRule="auto"/>
        <w:ind w:left="2320" w:right="2311" w:hanging="10"/>
        <w:jc w:val="center"/>
      </w:pPr>
      <w:r>
        <w:rPr>
          <w:rFonts w:ascii="Arial" w:eastAsia="Arial" w:hAnsi="Arial" w:cs="Arial"/>
          <w:i/>
          <w:sz w:val="18"/>
        </w:rPr>
        <w:t>(articolo 49 TUGT)</w:t>
      </w:r>
    </w:p>
    <w:p w14:paraId="40656562" w14:textId="77777777" w:rsidR="00B32EF2" w:rsidRDefault="00000000">
      <w:pPr>
        <w:spacing w:after="0" w:line="261" w:lineRule="auto"/>
        <w:ind w:left="12" w:right="3" w:hanging="10"/>
        <w:jc w:val="center"/>
      </w:pPr>
      <w:r>
        <w:rPr>
          <w:rFonts w:ascii="Arial" w:eastAsia="Arial" w:hAnsi="Arial" w:cs="Arial"/>
          <w:b/>
          <w:sz w:val="18"/>
        </w:rPr>
        <w:t xml:space="preserve">Competenza del giudice monocratico. (1) </w:t>
      </w:r>
    </w:p>
    <w:p w14:paraId="0CEF26AA" w14:textId="02B00697" w:rsidR="00B32EF2" w:rsidRDefault="00000000">
      <w:pPr>
        <w:numPr>
          <w:ilvl w:val="0"/>
          <w:numId w:val="8"/>
        </w:numPr>
        <w:spacing w:after="4" w:line="254" w:lineRule="auto"/>
        <w:ind w:right="10" w:hanging="10"/>
        <w:jc w:val="both"/>
      </w:pPr>
      <w:r>
        <w:rPr>
          <w:rFonts w:ascii="Arial" w:eastAsia="Arial" w:hAnsi="Arial" w:cs="Arial"/>
          <w:sz w:val="18"/>
        </w:rPr>
        <w:t xml:space="preserve">Le corti di giustizia tributaria di primo grado decidono in composizione monocratica le controversie di valore fino a </w:t>
      </w:r>
      <w:r w:rsidR="006A0FA9">
        <w:rPr>
          <w:rFonts w:ascii="Arial" w:eastAsia="Arial" w:hAnsi="Arial" w:cs="Arial"/>
          <w:sz w:val="18"/>
        </w:rPr>
        <w:t>10</w:t>
      </w:r>
      <w:r>
        <w:rPr>
          <w:rFonts w:ascii="Arial" w:eastAsia="Arial" w:hAnsi="Arial" w:cs="Arial"/>
          <w:sz w:val="18"/>
        </w:rPr>
        <w:t>.000 euro. Sono escluse le controversie di valore indeterminabile</w:t>
      </w:r>
      <w:r w:rsidR="006A0FA9">
        <w:rPr>
          <w:rFonts w:ascii="Arial" w:eastAsia="Arial" w:hAnsi="Arial" w:cs="Arial"/>
          <w:sz w:val="18"/>
        </w:rPr>
        <w:t>.</w:t>
      </w:r>
    </w:p>
    <w:p w14:paraId="4DAAF4DD" w14:textId="77777777" w:rsidR="00B32EF2" w:rsidRDefault="00000000">
      <w:pPr>
        <w:numPr>
          <w:ilvl w:val="0"/>
          <w:numId w:val="8"/>
        </w:numPr>
        <w:spacing w:after="4" w:line="254" w:lineRule="auto"/>
        <w:ind w:right="10" w:hanging="10"/>
        <w:jc w:val="both"/>
      </w:pPr>
      <w:r>
        <w:rPr>
          <w:rFonts w:ascii="Arial" w:eastAsia="Arial" w:hAnsi="Arial" w:cs="Arial"/>
          <w:sz w:val="18"/>
        </w:rPr>
        <w:t>Per valore della lite si intende quello determinato ai sensi dell’articolo 12, comma 2. Si tiene conto anche dell’imposta virtuale calcolata a seguito delle rettifiche di perdita.</w:t>
      </w:r>
    </w:p>
    <w:p w14:paraId="3280A976" w14:textId="77777777" w:rsidR="00B32EF2" w:rsidRDefault="00000000">
      <w:pPr>
        <w:numPr>
          <w:ilvl w:val="0"/>
          <w:numId w:val="8"/>
        </w:numPr>
        <w:spacing w:after="4" w:line="254" w:lineRule="auto"/>
        <w:ind w:right="10" w:hanging="10"/>
        <w:jc w:val="both"/>
      </w:pPr>
      <w:r>
        <w:rPr>
          <w:rFonts w:ascii="Arial" w:eastAsia="Arial" w:hAnsi="Arial" w:cs="Arial"/>
          <w:sz w:val="18"/>
        </w:rPr>
        <w:t xml:space="preserve">Nel procedimento davanti alla corte di giustizia tributaria di primo grado in composizione monocratica si osservano, in quanto applicabili e ove </w:t>
      </w:r>
      <w:r>
        <w:rPr>
          <w:rFonts w:ascii="Arial" w:eastAsia="Arial" w:hAnsi="Arial" w:cs="Arial"/>
          <w:sz w:val="18"/>
        </w:rPr>
        <w:lastRenderedPageBreak/>
        <w:t>non derogate dal presente decreto, le disposizioni ivi contenute relative ai giudizi in composizione collegiale.</w:t>
      </w:r>
    </w:p>
    <w:p w14:paraId="1F9F84D3" w14:textId="671535E9" w:rsidR="006A0FA9" w:rsidRPr="00C765E9" w:rsidRDefault="006A0FA9" w:rsidP="00C765E9">
      <w:pPr>
        <w:spacing w:after="247" w:line="261" w:lineRule="auto"/>
        <w:ind w:left="-4" w:right="-13" w:hanging="10"/>
        <w:jc w:val="both"/>
        <w:rPr>
          <w:rFonts w:ascii="Arial" w:eastAsia="Arial" w:hAnsi="Arial" w:cs="Arial"/>
          <w:sz w:val="15"/>
        </w:rPr>
      </w:pPr>
      <w:r w:rsidRPr="006A0FA9">
        <w:rPr>
          <w:rFonts w:ascii="Arial" w:eastAsia="Arial" w:hAnsi="Arial" w:cs="Arial"/>
          <w:sz w:val="15"/>
        </w:rPr>
        <w:t>(1</w:t>
      </w:r>
      <w:r>
        <w:rPr>
          <w:rFonts w:ascii="Arial" w:eastAsia="Arial" w:hAnsi="Arial" w:cs="Arial"/>
          <w:sz w:val="15"/>
        </w:rPr>
        <w:t xml:space="preserve">) </w:t>
      </w:r>
      <w:r w:rsidR="00000000" w:rsidRPr="006A0FA9">
        <w:rPr>
          <w:rFonts w:ascii="Arial" w:eastAsia="Arial" w:hAnsi="Arial" w:cs="Arial"/>
          <w:sz w:val="15"/>
        </w:rPr>
        <w:t xml:space="preserve">Articolo inserito dall’art 4 comma 1 </w:t>
      </w:r>
      <w:proofErr w:type="spellStart"/>
      <w:r w:rsidR="00000000" w:rsidRPr="006A0FA9">
        <w:rPr>
          <w:rFonts w:ascii="Arial" w:eastAsia="Arial" w:hAnsi="Arial" w:cs="Arial"/>
          <w:sz w:val="15"/>
        </w:rPr>
        <w:t>lett</w:t>
      </w:r>
      <w:proofErr w:type="spellEnd"/>
      <w:r w:rsidR="00000000" w:rsidRPr="006A0FA9">
        <w:rPr>
          <w:rFonts w:ascii="Arial" w:eastAsia="Arial" w:hAnsi="Arial" w:cs="Arial"/>
          <w:sz w:val="15"/>
        </w:rPr>
        <w:t xml:space="preserve"> b L. 130/22; le relative disposizioni si applicano ai ricorsi notificati a decorrere dal1.1.2023 ex art 8 comma 4 l. 130/22 cit. </w:t>
      </w:r>
      <w:r>
        <w:rPr>
          <w:rFonts w:ascii="Arial" w:eastAsia="Arial" w:hAnsi="Arial" w:cs="Arial"/>
          <w:sz w:val="15"/>
        </w:rPr>
        <w:t xml:space="preserve">; il comma 1 del presente articolo, come modificato da </w:t>
      </w:r>
      <w:proofErr w:type="spellStart"/>
      <w:r>
        <w:rPr>
          <w:rFonts w:ascii="Arial" w:eastAsia="Arial" w:hAnsi="Arial" w:cs="Arial"/>
          <w:sz w:val="15"/>
        </w:rPr>
        <w:t>D.l.</w:t>
      </w:r>
      <w:proofErr w:type="spellEnd"/>
      <w:r>
        <w:rPr>
          <w:rFonts w:ascii="Arial" w:eastAsia="Arial" w:hAnsi="Arial" w:cs="Arial"/>
          <w:sz w:val="15"/>
        </w:rPr>
        <w:t xml:space="preserve"> del 19.02.2026 n. 19 art. 16 co. 6, </w:t>
      </w:r>
      <w:r w:rsidRPr="006A0FA9">
        <w:rPr>
          <w:rFonts w:ascii="Arial" w:eastAsia="Arial" w:hAnsi="Arial" w:cs="Arial"/>
          <w:sz w:val="15"/>
        </w:rPr>
        <w:t>si applica ai ricorsi notificati a decorrere dal 2 maggio 2026</w:t>
      </w:r>
      <w:r>
        <w:rPr>
          <w:rFonts w:ascii="Arial" w:eastAsia="Arial" w:hAnsi="Arial" w:cs="Arial"/>
          <w:sz w:val="15"/>
        </w:rPr>
        <w:t xml:space="preserve">. </w:t>
      </w:r>
    </w:p>
    <w:p w14:paraId="38E8628A" w14:textId="77777777" w:rsidR="00B32EF2" w:rsidRDefault="00000000">
      <w:pPr>
        <w:spacing w:after="0" w:line="261" w:lineRule="auto"/>
        <w:ind w:left="12" w:right="3" w:hanging="10"/>
        <w:jc w:val="center"/>
      </w:pPr>
      <w:r>
        <w:rPr>
          <w:rFonts w:ascii="Arial" w:eastAsia="Arial" w:hAnsi="Arial" w:cs="Arial"/>
          <w:b/>
          <w:sz w:val="18"/>
        </w:rPr>
        <w:t>Articolo 5</w:t>
      </w:r>
    </w:p>
    <w:p w14:paraId="46190C51" w14:textId="77777777" w:rsidR="00B32EF2" w:rsidRDefault="00000000">
      <w:pPr>
        <w:spacing w:after="3" w:line="251" w:lineRule="auto"/>
        <w:ind w:left="2320" w:right="2311" w:hanging="10"/>
        <w:jc w:val="center"/>
      </w:pPr>
      <w:r>
        <w:rPr>
          <w:rFonts w:ascii="Arial" w:eastAsia="Arial" w:hAnsi="Arial" w:cs="Arial"/>
          <w:i/>
          <w:sz w:val="18"/>
        </w:rPr>
        <w:t xml:space="preserve">(articolo 50 TUGT) </w:t>
      </w:r>
      <w:r>
        <w:rPr>
          <w:rFonts w:ascii="Arial" w:eastAsia="Arial" w:hAnsi="Arial" w:cs="Arial"/>
          <w:b/>
          <w:sz w:val="18"/>
        </w:rPr>
        <w:t xml:space="preserve">Incompetenza </w:t>
      </w:r>
    </w:p>
    <w:p w14:paraId="49FA6481" w14:textId="77777777" w:rsidR="00B32EF2" w:rsidRDefault="00000000">
      <w:pPr>
        <w:numPr>
          <w:ilvl w:val="0"/>
          <w:numId w:val="9"/>
        </w:numPr>
        <w:spacing w:after="4" w:line="254" w:lineRule="auto"/>
        <w:ind w:right="10" w:hanging="10"/>
        <w:jc w:val="both"/>
      </w:pPr>
      <w:r>
        <w:rPr>
          <w:rFonts w:ascii="Arial" w:eastAsia="Arial" w:hAnsi="Arial" w:cs="Arial"/>
          <w:sz w:val="18"/>
        </w:rPr>
        <w:t xml:space="preserve">La competenza delle corti di giustizia tributaria di primo e secondo grado è inderogabile. </w:t>
      </w:r>
    </w:p>
    <w:p w14:paraId="25EE83FA" w14:textId="77777777" w:rsidR="00B32EF2" w:rsidRDefault="00000000">
      <w:pPr>
        <w:numPr>
          <w:ilvl w:val="0"/>
          <w:numId w:val="9"/>
        </w:numPr>
        <w:spacing w:after="4" w:line="254" w:lineRule="auto"/>
        <w:ind w:right="10" w:hanging="10"/>
        <w:jc w:val="both"/>
      </w:pPr>
      <w:r>
        <w:rPr>
          <w:rFonts w:ascii="Arial" w:eastAsia="Arial" w:hAnsi="Arial" w:cs="Arial"/>
          <w:sz w:val="18"/>
        </w:rPr>
        <w:t>L’incompetenza della corte di giustizia tributaria di primo e secondo grado è rilevabile, anche d’ufficio, soltanto nel grado al quale il vizio si riferisce.</w:t>
      </w:r>
    </w:p>
    <w:p w14:paraId="4A49E2DD" w14:textId="77777777" w:rsidR="00B32EF2" w:rsidRDefault="00000000">
      <w:pPr>
        <w:numPr>
          <w:ilvl w:val="0"/>
          <w:numId w:val="9"/>
        </w:numPr>
        <w:spacing w:after="4" w:line="254" w:lineRule="auto"/>
        <w:ind w:right="10" w:hanging="10"/>
        <w:jc w:val="both"/>
      </w:pPr>
      <w:r>
        <w:rPr>
          <w:rFonts w:ascii="Arial" w:eastAsia="Arial" w:hAnsi="Arial" w:cs="Arial"/>
          <w:sz w:val="18"/>
        </w:rPr>
        <w:t>La sentenza della corte di giustizia tributaria di primo e secondo grado che dichiara la propria incompetenza rende incontestabile l’incompetenza dichiarata e la competenza della corte di giustizia tributaria di primo e secondo grado in essa indicata, se il processo viene riassunto a norma del comma 5.</w:t>
      </w:r>
    </w:p>
    <w:p w14:paraId="0F911859" w14:textId="77777777" w:rsidR="00B32EF2" w:rsidRDefault="00000000">
      <w:pPr>
        <w:numPr>
          <w:ilvl w:val="0"/>
          <w:numId w:val="9"/>
        </w:numPr>
        <w:spacing w:after="4" w:line="254" w:lineRule="auto"/>
        <w:ind w:right="10" w:hanging="10"/>
        <w:jc w:val="both"/>
      </w:pPr>
      <w:r>
        <w:rPr>
          <w:rFonts w:ascii="Arial" w:eastAsia="Arial" w:hAnsi="Arial" w:cs="Arial"/>
          <w:sz w:val="18"/>
        </w:rPr>
        <w:t>Non si applicano le disposizioni del codice di procedura civile sui regolamenti di competenza.</w:t>
      </w:r>
    </w:p>
    <w:p w14:paraId="4C5FBC90" w14:textId="77777777" w:rsidR="00B32EF2" w:rsidRDefault="00000000">
      <w:pPr>
        <w:numPr>
          <w:ilvl w:val="0"/>
          <w:numId w:val="9"/>
        </w:numPr>
        <w:spacing w:after="191" w:line="254" w:lineRule="auto"/>
        <w:ind w:right="10" w:hanging="10"/>
        <w:jc w:val="both"/>
      </w:pPr>
      <w:r>
        <w:rPr>
          <w:rFonts w:ascii="Arial" w:eastAsia="Arial" w:hAnsi="Arial" w:cs="Arial"/>
          <w:sz w:val="18"/>
        </w:rPr>
        <w:t xml:space="preserve">La riassunzione del processo davanti alla corte di giustizia tributaria di primo e secondo grado dichiarata competente deve essere effettuata a istanza di parte nel termine fissato nella sentenza o in mancanza nel termine di sei mesi dalla comunicazione della sentenza stessa. Se la riassunzione avviene nei termini suindicati il processo continua davanti alla nuova commissione, altrimenti si estingue. </w:t>
      </w:r>
    </w:p>
    <w:p w14:paraId="0FD1BCED" w14:textId="77777777" w:rsidR="00B32EF2" w:rsidRDefault="00000000">
      <w:pPr>
        <w:spacing w:after="0" w:line="261" w:lineRule="auto"/>
        <w:ind w:left="12" w:right="2" w:hanging="10"/>
        <w:jc w:val="center"/>
      </w:pPr>
      <w:r>
        <w:rPr>
          <w:rFonts w:ascii="Arial" w:eastAsia="Arial" w:hAnsi="Arial" w:cs="Arial"/>
          <w:b/>
          <w:sz w:val="18"/>
        </w:rPr>
        <w:t>Articolo 6</w:t>
      </w:r>
    </w:p>
    <w:p w14:paraId="7C49970D" w14:textId="77777777" w:rsidR="00B32EF2" w:rsidRDefault="00000000">
      <w:pPr>
        <w:spacing w:after="3" w:line="251" w:lineRule="auto"/>
        <w:ind w:left="2320" w:right="2311" w:hanging="10"/>
        <w:jc w:val="center"/>
      </w:pPr>
      <w:r>
        <w:rPr>
          <w:rFonts w:ascii="Arial" w:eastAsia="Arial" w:hAnsi="Arial" w:cs="Arial"/>
          <w:i/>
          <w:sz w:val="18"/>
        </w:rPr>
        <w:t>(articolo 51 TUGT)</w:t>
      </w:r>
    </w:p>
    <w:p w14:paraId="2E34CE73" w14:textId="77777777" w:rsidR="00B32EF2" w:rsidRDefault="00000000">
      <w:pPr>
        <w:spacing w:after="0" w:line="261" w:lineRule="auto"/>
        <w:ind w:left="12" w:right="2" w:hanging="10"/>
        <w:jc w:val="center"/>
      </w:pPr>
      <w:r>
        <w:rPr>
          <w:rFonts w:ascii="Arial" w:eastAsia="Arial" w:hAnsi="Arial" w:cs="Arial"/>
          <w:b/>
          <w:sz w:val="18"/>
        </w:rPr>
        <w:t xml:space="preserve">Astensione e ricusazione dei componenti delle corti di giustizia tributaria di primo e secondo grado </w:t>
      </w:r>
    </w:p>
    <w:p w14:paraId="3AE0EE04" w14:textId="77777777" w:rsidR="00B32EF2" w:rsidRDefault="00000000">
      <w:pPr>
        <w:numPr>
          <w:ilvl w:val="0"/>
          <w:numId w:val="10"/>
        </w:numPr>
        <w:spacing w:after="4" w:line="254" w:lineRule="auto"/>
        <w:ind w:right="10" w:hanging="10"/>
        <w:jc w:val="both"/>
      </w:pPr>
      <w:r>
        <w:rPr>
          <w:rFonts w:ascii="Arial" w:eastAsia="Arial" w:hAnsi="Arial" w:cs="Arial"/>
          <w:sz w:val="18"/>
        </w:rPr>
        <w:t xml:space="preserve">L’astensione e la ricusazione dei componenti delle corti di giustizia tributaria di primo e secondo grado sono disciplinate dalle disposizioni del codice di procedura civile in quanto applicabili. </w:t>
      </w:r>
    </w:p>
    <w:p w14:paraId="6217D9EE" w14:textId="77777777" w:rsidR="00B32EF2" w:rsidRDefault="00000000">
      <w:pPr>
        <w:numPr>
          <w:ilvl w:val="0"/>
          <w:numId w:val="10"/>
        </w:numPr>
        <w:spacing w:after="4" w:line="254" w:lineRule="auto"/>
        <w:ind w:right="10" w:hanging="10"/>
        <w:jc w:val="both"/>
      </w:pPr>
      <w:r>
        <w:rPr>
          <w:rFonts w:ascii="Arial" w:eastAsia="Arial" w:hAnsi="Arial" w:cs="Arial"/>
          <w:sz w:val="18"/>
        </w:rPr>
        <w:t xml:space="preserve">Il giudice tributario ha l’obbligo di astenersi e può essere ricusato anche nel caso di cui all’art. 13, comma 3, e in ogni caso in cui abbia o abbia avuto rapporti di lavoro autonomo ovvero di collaborazione con una delle parti. </w:t>
      </w:r>
    </w:p>
    <w:p w14:paraId="48106E6E" w14:textId="77777777" w:rsidR="00B32EF2" w:rsidRDefault="00000000">
      <w:pPr>
        <w:numPr>
          <w:ilvl w:val="0"/>
          <w:numId w:val="10"/>
        </w:numPr>
        <w:spacing w:after="194" w:line="254" w:lineRule="auto"/>
        <w:ind w:right="10" w:hanging="10"/>
        <w:jc w:val="both"/>
      </w:pPr>
      <w:r>
        <w:rPr>
          <w:rFonts w:ascii="Arial" w:eastAsia="Arial" w:hAnsi="Arial" w:cs="Arial"/>
          <w:sz w:val="18"/>
        </w:rPr>
        <w:t>Sulla ricusazione decide il collegio al quale appartiene il componente della corte di giustizia tributaria di primo e secondo grado ricusato, senza la sua partecipazione e con l’integrazione di altro  membro della stessa commissione designato dal suo presidente.</w:t>
      </w:r>
    </w:p>
    <w:p w14:paraId="39694C2D" w14:textId="77777777" w:rsidR="00B32EF2" w:rsidRDefault="00000000">
      <w:pPr>
        <w:pStyle w:val="Titolo3"/>
        <w:ind w:left="129" w:right="120"/>
      </w:pPr>
      <w:r>
        <w:lastRenderedPageBreak/>
        <w:t xml:space="preserve">NORME COLLEGATE                                                                                                             </w:t>
      </w:r>
    </w:p>
    <w:p w14:paraId="179C2880"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54 c.p.c. “Ordinanza sulla ricusazione” </w:t>
      </w:r>
    </w:p>
    <w:p w14:paraId="5CCA7B48" w14:textId="77777777" w:rsidR="00B32EF2" w:rsidRDefault="00000000">
      <w:pPr>
        <w:numPr>
          <w:ilvl w:val="0"/>
          <w:numId w:val="11"/>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L’ordinanza che accoglie il ricorso designa il giudice che deve sostituire quello ricusato.</w:t>
      </w:r>
    </w:p>
    <w:p w14:paraId="5EE86F9E" w14:textId="77777777" w:rsidR="00B32EF2" w:rsidRDefault="00000000">
      <w:pPr>
        <w:numPr>
          <w:ilvl w:val="0"/>
          <w:numId w:val="11"/>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La ricusazione è dichiarata inammissibile, se non è stata proposta nelle forme e nei termini fissati nell’articolo 52. </w:t>
      </w:r>
    </w:p>
    <w:p w14:paraId="160EE0E9" w14:textId="77777777" w:rsidR="00B32EF2" w:rsidRDefault="00000000">
      <w:pPr>
        <w:numPr>
          <w:ilvl w:val="0"/>
          <w:numId w:val="11"/>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Il giudice, con l’ordinanza con cui dichiara inammissibile o rigetta la ricusazione, provvede sulle spese e può condannare la parte che l’ha proposta ad una pena pecuniaria non superiore a euro 250. </w:t>
      </w:r>
    </w:p>
    <w:p w14:paraId="53D6FC52" w14:textId="77777777" w:rsidR="00B32EF2" w:rsidRDefault="00000000">
      <w:pPr>
        <w:numPr>
          <w:ilvl w:val="0"/>
          <w:numId w:val="11"/>
        </w:numPr>
        <w:pBdr>
          <w:top w:val="single" w:sz="8" w:space="0" w:color="000000"/>
          <w:left w:val="single" w:sz="8" w:space="0" w:color="000000"/>
          <w:bottom w:val="single" w:sz="8" w:space="0" w:color="000000"/>
          <w:right w:val="single" w:sz="8" w:space="0" w:color="000000"/>
        </w:pBdr>
        <w:shd w:val="clear" w:color="auto" w:fill="C3C3C3"/>
        <w:spacing w:after="347" w:line="251" w:lineRule="auto"/>
        <w:ind w:right="120" w:hanging="10"/>
        <w:jc w:val="both"/>
      </w:pPr>
      <w:r>
        <w:rPr>
          <w:rFonts w:ascii="Arial" w:eastAsia="Arial" w:hAnsi="Arial" w:cs="Arial"/>
          <w:i/>
          <w:sz w:val="18"/>
        </w:rPr>
        <w:t xml:space="preserve">Dell’ordinanza è data notizia dalla cancelleria al giudice e alle parti, </w:t>
      </w:r>
      <w:proofErr w:type="spellStart"/>
      <w:r>
        <w:rPr>
          <w:rFonts w:ascii="Arial" w:eastAsia="Arial" w:hAnsi="Arial" w:cs="Arial"/>
          <w:i/>
          <w:sz w:val="18"/>
        </w:rPr>
        <w:t>lequali</w:t>
      </w:r>
      <w:proofErr w:type="spellEnd"/>
      <w:r>
        <w:rPr>
          <w:rFonts w:ascii="Arial" w:eastAsia="Arial" w:hAnsi="Arial" w:cs="Arial"/>
          <w:i/>
          <w:sz w:val="18"/>
        </w:rPr>
        <w:t xml:space="preserve"> debbono provvedere alla riassunzione della causa nel termine perentorio di sei mesi.</w:t>
      </w:r>
    </w:p>
    <w:p w14:paraId="799AC009"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29" w:right="120" w:hanging="10"/>
        <w:jc w:val="center"/>
      </w:pPr>
      <w:r>
        <w:rPr>
          <w:rFonts w:ascii="Arial" w:eastAsia="Arial" w:hAnsi="Arial" w:cs="Arial"/>
          <w:b/>
          <w:sz w:val="18"/>
        </w:rPr>
        <w:t>Per i giudizi instaurati con ricorso notificato fino all'1.9.2024 Articolo 7</w:t>
      </w:r>
    </w:p>
    <w:p w14:paraId="40C608D7" w14:textId="77777777" w:rsidR="00B32EF2" w:rsidRDefault="00000000">
      <w:pPr>
        <w:pBdr>
          <w:top w:val="single" w:sz="8" w:space="0" w:color="000000"/>
          <w:left w:val="single" w:sz="8" w:space="0" w:color="000000"/>
          <w:bottom w:val="single" w:sz="8" w:space="0" w:color="000000"/>
          <w:right w:val="single" w:sz="8" w:space="0" w:color="000000"/>
        </w:pBdr>
        <w:spacing w:after="0"/>
        <w:ind w:left="129" w:right="120" w:hanging="10"/>
        <w:jc w:val="center"/>
      </w:pPr>
      <w:r>
        <w:rPr>
          <w:rFonts w:ascii="Arial" w:eastAsia="Arial" w:hAnsi="Arial" w:cs="Arial"/>
          <w:i/>
          <w:sz w:val="18"/>
        </w:rPr>
        <w:t xml:space="preserve">(articolo 52 TUGT)  </w:t>
      </w:r>
    </w:p>
    <w:p w14:paraId="084DE56B"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19" w:right="120" w:firstLine="197"/>
        <w:jc w:val="both"/>
      </w:pPr>
      <w:r>
        <w:rPr>
          <w:rFonts w:ascii="Arial" w:eastAsia="Arial" w:hAnsi="Arial" w:cs="Arial"/>
          <w:b/>
          <w:sz w:val="18"/>
        </w:rPr>
        <w:t xml:space="preserve">Poteri delle corti di giustizia tributaria di primo e secondo grado </w:t>
      </w:r>
      <w:r>
        <w:rPr>
          <w:rFonts w:ascii="Arial" w:eastAsia="Arial" w:hAnsi="Arial" w:cs="Arial"/>
          <w:sz w:val="18"/>
        </w:rPr>
        <w:t>1. Le corti di giustizia tributaria di primo e secondo grado, ai fini istruttori e nei limiti dei fatti dedotti dalle parti, esercitano tutte le facoltà di accesso, di richiesta di dati, di informazioni e chiarimenti conferite agli uffici tributari ed all’ente locale da ciascuna legge d’imposta.</w:t>
      </w:r>
    </w:p>
    <w:p w14:paraId="2F66EE06" w14:textId="77777777" w:rsidR="00B32EF2" w:rsidRDefault="00000000">
      <w:pPr>
        <w:numPr>
          <w:ilvl w:val="0"/>
          <w:numId w:val="12"/>
        </w:numPr>
        <w:pBdr>
          <w:top w:val="single" w:sz="8" w:space="0" w:color="000000"/>
          <w:left w:val="single" w:sz="8" w:space="0" w:color="000000"/>
          <w:bottom w:val="single" w:sz="8" w:space="0" w:color="000000"/>
          <w:right w:val="single" w:sz="8" w:space="0" w:color="000000"/>
        </w:pBdr>
        <w:spacing w:after="3" w:line="226" w:lineRule="auto"/>
        <w:ind w:right="120" w:hanging="202"/>
        <w:jc w:val="both"/>
      </w:pPr>
      <w:r>
        <w:rPr>
          <w:rFonts w:ascii="Arial" w:eastAsia="Arial" w:hAnsi="Arial" w:cs="Arial"/>
          <w:sz w:val="18"/>
        </w:rPr>
        <w:t xml:space="preserve">Le corti di giustizia tributaria di primo e secondo grado, quando </w:t>
      </w:r>
      <w:proofErr w:type="spellStart"/>
      <w:r>
        <w:rPr>
          <w:rFonts w:ascii="Arial" w:eastAsia="Arial" w:hAnsi="Arial" w:cs="Arial"/>
          <w:sz w:val="18"/>
        </w:rPr>
        <w:t>occorreacquisire</w:t>
      </w:r>
      <w:proofErr w:type="spellEnd"/>
      <w:r>
        <w:rPr>
          <w:rFonts w:ascii="Arial" w:eastAsia="Arial" w:hAnsi="Arial" w:cs="Arial"/>
          <w:sz w:val="18"/>
        </w:rPr>
        <w:t xml:space="preserve"> elementi conoscitivi di particolare complessità, possono richiedere apposite relazioni ad organi tecnici dell’amministrazione dello Stato o di altri enti pubblici compreso il Corpo della Guardia di finanza, ovvero disporre consulenza tecnica. I compensi spettanti ai consulenti tecnici non possono eccedere quelli previsti dalla legge 8 luglio 1980, n. 319, e successive modificazioni e integrazioni.</w:t>
      </w:r>
    </w:p>
    <w:p w14:paraId="1AC61FD8" w14:textId="77777777" w:rsidR="00B32EF2" w:rsidRDefault="00000000">
      <w:pPr>
        <w:numPr>
          <w:ilvl w:val="0"/>
          <w:numId w:val="12"/>
        </w:numPr>
        <w:pBdr>
          <w:top w:val="single" w:sz="8" w:space="0" w:color="000000"/>
          <w:left w:val="single" w:sz="8" w:space="0" w:color="000000"/>
          <w:bottom w:val="single" w:sz="8" w:space="0" w:color="000000"/>
          <w:right w:val="single" w:sz="8" w:space="0" w:color="000000"/>
        </w:pBdr>
        <w:spacing w:after="3" w:line="226" w:lineRule="auto"/>
        <w:ind w:right="120" w:hanging="202"/>
        <w:jc w:val="both"/>
      </w:pPr>
      <w:r>
        <w:rPr>
          <w:rFonts w:ascii="Arial" w:eastAsia="Arial" w:hAnsi="Arial" w:cs="Arial"/>
          <w:sz w:val="18"/>
        </w:rPr>
        <w:t>(Comma abrogato)</w:t>
      </w:r>
    </w:p>
    <w:p w14:paraId="3DC055C5" w14:textId="77777777" w:rsidR="00B32EF2" w:rsidRDefault="00000000">
      <w:pPr>
        <w:numPr>
          <w:ilvl w:val="0"/>
          <w:numId w:val="12"/>
        </w:numPr>
        <w:pBdr>
          <w:top w:val="single" w:sz="8" w:space="0" w:color="000000"/>
          <w:left w:val="single" w:sz="8" w:space="0" w:color="000000"/>
          <w:bottom w:val="single" w:sz="8" w:space="0" w:color="000000"/>
          <w:right w:val="single" w:sz="8" w:space="0" w:color="000000"/>
        </w:pBdr>
        <w:spacing w:after="3" w:line="226" w:lineRule="auto"/>
        <w:ind w:right="120" w:hanging="202"/>
        <w:jc w:val="both"/>
      </w:pPr>
      <w:r>
        <w:rPr>
          <w:rFonts w:ascii="Arial" w:eastAsia="Arial" w:hAnsi="Arial" w:cs="Arial"/>
          <w:sz w:val="18"/>
        </w:rPr>
        <w:t>Non è ammesso il giuramento. La corte di giustizia tributaria, ove lo ritenga necessario ai fini della decisione e anche senza l’accordo delle parti, può ammettere la prova testimoniale, assunta con le forme di cui all’articolo 257-bis del codice di procedura civile. Nei casi in cui la pretesa tributaria sia fondata su verbali o altri atti facenti fede fino a querela di falso, la prova è ammessa soltanto su circostanze di fatto diverse da quelle attestate dal pubblico ufficiale.(1)</w:t>
      </w:r>
    </w:p>
    <w:p w14:paraId="16A7382B" w14:textId="77777777" w:rsidR="00B32EF2" w:rsidRDefault="00000000">
      <w:pPr>
        <w:numPr>
          <w:ilvl w:val="0"/>
          <w:numId w:val="12"/>
        </w:numPr>
        <w:pBdr>
          <w:top w:val="single" w:sz="8" w:space="0" w:color="000000"/>
          <w:left w:val="single" w:sz="8" w:space="0" w:color="000000"/>
          <w:bottom w:val="single" w:sz="8" w:space="0" w:color="000000"/>
          <w:right w:val="single" w:sz="8" w:space="0" w:color="000000"/>
        </w:pBdr>
        <w:spacing w:after="3" w:line="226" w:lineRule="auto"/>
        <w:ind w:right="120" w:hanging="202"/>
        <w:jc w:val="both"/>
      </w:pPr>
      <w:r>
        <w:rPr>
          <w:rFonts w:ascii="Arial" w:eastAsia="Arial" w:hAnsi="Arial" w:cs="Arial"/>
          <w:sz w:val="18"/>
        </w:rPr>
        <w:t>Le corti di giustizia tributaria di primo e secondo grado, se ritengono illegittimo un regolamento o un atto generale rilevante ai fini della decisione, non lo applicano, in relazione all’oggetto dedotto in giudizio, salva l’eventuale impugnazione nella diversa sede competente.</w:t>
      </w:r>
    </w:p>
    <w:p w14:paraId="282275AE"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 xml:space="preserve">5-bis. L’amministrazione prova in giudizio le violazioni contestate con l’atto impugnato. Il giudice fonda la decisione sugli elementi di prova che emergono nel giudizio e annulla l’atto impositivo se la prova della sua fondatezza manca o è contraddittoria o se è comunque insufficiente a dimostrare, in modo circostanziato e puntuale, comunque in coerenza con </w:t>
      </w:r>
      <w:r>
        <w:rPr>
          <w:rFonts w:ascii="Arial" w:eastAsia="Arial" w:hAnsi="Arial" w:cs="Arial"/>
          <w:sz w:val="18"/>
        </w:rPr>
        <w:lastRenderedPageBreak/>
        <w:t>la normativa tributaria sostanziale, le ragioni oggettive su cui si fondano la pretesa impositiva e l’irrogazione delle sanzioni. Spetta comunque al contribuente fornire le ragioni della richiesta di rimborso, quando non sia conseguente al pagamento di somme oggetto di accertamenti impugnati.</w:t>
      </w:r>
    </w:p>
    <w:p w14:paraId="4D09668F"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(1) Comma sostituito dall’art. 4,c. 1, lettera c), l. 130/ 2022.  Ai sensi dell’art. 8, c.3 l. 130/222, si applica  ai ricorsi notificati dal 16 settembre 2022;  per i ricorsi notificati fino al 15 settembre 2022 vige  la precedente formulazione :“ 4. Non sono ammessi il giuramento e la prova testimoniale”.</w:t>
      </w:r>
    </w:p>
    <w:p w14:paraId="7CB04753" w14:textId="77777777" w:rsidR="00B32EF2" w:rsidRDefault="00000000">
      <w:pPr>
        <w:spacing w:after="0" w:line="261" w:lineRule="auto"/>
        <w:ind w:left="12" w:right="3" w:hanging="10"/>
        <w:jc w:val="center"/>
      </w:pPr>
      <w:r>
        <w:rPr>
          <w:rFonts w:ascii="Arial" w:eastAsia="Arial" w:hAnsi="Arial" w:cs="Arial"/>
          <w:b/>
          <w:sz w:val="18"/>
        </w:rPr>
        <w:t>Articolo 7</w:t>
      </w:r>
    </w:p>
    <w:p w14:paraId="11AD3105" w14:textId="77777777" w:rsidR="00B32EF2" w:rsidRDefault="00000000">
      <w:pPr>
        <w:spacing w:after="3" w:line="251" w:lineRule="auto"/>
        <w:ind w:left="2320" w:right="2311" w:hanging="10"/>
        <w:jc w:val="center"/>
      </w:pPr>
      <w:r>
        <w:rPr>
          <w:rFonts w:ascii="Arial" w:eastAsia="Arial" w:hAnsi="Arial" w:cs="Arial"/>
          <w:i/>
          <w:sz w:val="18"/>
        </w:rPr>
        <w:t xml:space="preserve">(articolo 52 TUGT)  </w:t>
      </w:r>
    </w:p>
    <w:p w14:paraId="3C3E35A7" w14:textId="77777777" w:rsidR="00B32EF2" w:rsidRDefault="00000000">
      <w:pPr>
        <w:spacing w:after="3" w:line="226" w:lineRule="auto"/>
        <w:ind w:left="-14" w:firstLine="320"/>
      </w:pPr>
      <w:r>
        <w:rPr>
          <w:rFonts w:ascii="Arial" w:eastAsia="Arial" w:hAnsi="Arial" w:cs="Arial"/>
          <w:b/>
          <w:sz w:val="18"/>
        </w:rPr>
        <w:t xml:space="preserve">Poteri delle corti di giustizia tributaria di primo e secondo grado </w:t>
      </w:r>
      <w:r>
        <w:rPr>
          <w:rFonts w:ascii="Arial" w:eastAsia="Arial" w:hAnsi="Arial" w:cs="Arial"/>
          <w:sz w:val="18"/>
        </w:rPr>
        <w:t>1. Le corti di giustizia tributaria di primo e secondo grado, ai fini istruttori e nei limiti dei fatti dedotti dalle parti, esercitano tutte le facoltà di accesso, di richiesta di dati, di informazioni e chiarimenti conferite agli uffici tributari ed all’ente locale da ciascuna legge d’imposta</w:t>
      </w:r>
      <w:r>
        <w:rPr>
          <w:rFonts w:ascii="Arial" w:eastAsia="Arial" w:hAnsi="Arial" w:cs="Arial"/>
          <w:b/>
          <w:sz w:val="18"/>
        </w:rPr>
        <w:t>.</w:t>
      </w:r>
    </w:p>
    <w:p w14:paraId="399D2148" w14:textId="77777777" w:rsidR="00B32EF2" w:rsidRDefault="00000000">
      <w:pPr>
        <w:numPr>
          <w:ilvl w:val="0"/>
          <w:numId w:val="13"/>
        </w:numPr>
        <w:spacing w:after="4" w:line="254" w:lineRule="auto"/>
        <w:ind w:right="10" w:hanging="202"/>
        <w:jc w:val="both"/>
      </w:pPr>
      <w:r>
        <w:rPr>
          <w:rFonts w:ascii="Arial" w:eastAsia="Arial" w:hAnsi="Arial" w:cs="Arial"/>
          <w:sz w:val="18"/>
        </w:rPr>
        <w:t xml:space="preserve">Le corti di giustizia tributaria di primo e secondo grado, quando </w:t>
      </w:r>
      <w:proofErr w:type="spellStart"/>
      <w:r>
        <w:rPr>
          <w:rFonts w:ascii="Arial" w:eastAsia="Arial" w:hAnsi="Arial" w:cs="Arial"/>
          <w:sz w:val="18"/>
        </w:rPr>
        <w:t>occorreacquisire</w:t>
      </w:r>
      <w:proofErr w:type="spellEnd"/>
      <w:r>
        <w:rPr>
          <w:rFonts w:ascii="Arial" w:eastAsia="Arial" w:hAnsi="Arial" w:cs="Arial"/>
          <w:sz w:val="18"/>
        </w:rPr>
        <w:t xml:space="preserve"> elementi conoscitivi di particolare complessità, possono richiedere apposite relazioni ad organi tecnici dell’amministrazione dello Stato o di altri enti pubblici compreso il Corpo della Guardia di finanza, ovvero disporre consulenza tecnica. I compensi spettanti ai consulenti tecnici non possono eccedere quelli previsti dalla legge 8 luglio 1980, n. 319, e successive modificazioni e integrazioni.</w:t>
      </w:r>
    </w:p>
    <w:p w14:paraId="5C12AA49" w14:textId="77777777" w:rsidR="00B32EF2" w:rsidRDefault="00000000">
      <w:pPr>
        <w:numPr>
          <w:ilvl w:val="0"/>
          <w:numId w:val="13"/>
        </w:numPr>
        <w:spacing w:after="4" w:line="254" w:lineRule="auto"/>
        <w:ind w:right="10" w:hanging="202"/>
        <w:jc w:val="both"/>
      </w:pPr>
      <w:r>
        <w:rPr>
          <w:rFonts w:ascii="Arial" w:eastAsia="Arial" w:hAnsi="Arial" w:cs="Arial"/>
          <w:sz w:val="18"/>
        </w:rPr>
        <w:t>(Comma abrogato)</w:t>
      </w:r>
    </w:p>
    <w:p w14:paraId="531B9845" w14:textId="77777777" w:rsidR="00B32EF2" w:rsidRDefault="00000000">
      <w:pPr>
        <w:numPr>
          <w:ilvl w:val="0"/>
          <w:numId w:val="13"/>
        </w:numPr>
        <w:spacing w:after="4" w:line="254" w:lineRule="auto"/>
        <w:ind w:right="10" w:hanging="202"/>
        <w:jc w:val="both"/>
      </w:pPr>
      <w:r>
        <w:rPr>
          <w:rFonts w:ascii="Arial" w:eastAsia="Arial" w:hAnsi="Arial" w:cs="Arial"/>
          <w:sz w:val="18"/>
        </w:rPr>
        <w:t xml:space="preserve">Non è ammesso il giuramento. La corte di giustizia tributaria, ove lo </w:t>
      </w:r>
      <w:proofErr w:type="spellStart"/>
      <w:r>
        <w:rPr>
          <w:rFonts w:ascii="Arial" w:eastAsia="Arial" w:hAnsi="Arial" w:cs="Arial"/>
          <w:sz w:val="18"/>
        </w:rPr>
        <w:t>ritenganecessario</w:t>
      </w:r>
      <w:proofErr w:type="spellEnd"/>
      <w:r>
        <w:rPr>
          <w:rFonts w:ascii="Arial" w:eastAsia="Arial" w:hAnsi="Arial" w:cs="Arial"/>
          <w:sz w:val="18"/>
        </w:rPr>
        <w:t xml:space="preserve"> ai fini della decisione e anche senza l’accordo delle parti, può ammettere la prova testimoniale, assunta con le forme di cui all’articolo 257-bis del codice di procedura civile. Nei casi in cui la pretesa tributaria sia fondata su verbali o altri atti facenti fede fino a querela di falso, la prova è ammessa soltanto su circostanze di fatto diverse da quelle attestate dal pubblico ufficiale. La notificazione dell’intimazione e del modulo di deposizione testimoniale, il cui modello, con le relative istruzioni per la compilazione, è reso disponibile sul sito istituzionale dal Dipartimento della Giustizia tributaria, può essere effettuata anche in via telematica. In deroga all’articolo 103-bis delle disposizioni di attuazione del codice di procedura civile, se il testimone è in possesso di firma digitale, il difensore della parte che lo ha citato deposita telematicamente il modulo di deposizione trasmessogli dal testimone dopo che lo stesso lo ha compilato e sottoscritto in ogni sua parte con firma digitale apposta in base a un certificato di firma qualificato la cui validità non è scaduta ovvero che non è stato revocato o sospeso al momento della sottoscrizione.</w:t>
      </w:r>
    </w:p>
    <w:p w14:paraId="64AD8287" w14:textId="77777777" w:rsidR="00B32EF2" w:rsidRDefault="00000000">
      <w:pPr>
        <w:numPr>
          <w:ilvl w:val="0"/>
          <w:numId w:val="13"/>
        </w:numPr>
        <w:spacing w:after="4" w:line="254" w:lineRule="auto"/>
        <w:ind w:right="10" w:hanging="202"/>
        <w:jc w:val="both"/>
      </w:pPr>
      <w:r>
        <w:rPr>
          <w:rFonts w:ascii="Arial" w:eastAsia="Arial" w:hAnsi="Arial" w:cs="Arial"/>
          <w:sz w:val="18"/>
        </w:rPr>
        <w:t>Le corti di giustizia tributaria di primo e secondo grado, se ritengono illegittimo un regolamento o un atto generale rilevante ai fini della decisione, non lo applicano, in relazione all’oggetto dedotto in giudizio, salva l’eventuale impugnazione nella diversa sede competente.</w:t>
      </w:r>
    </w:p>
    <w:p w14:paraId="6F7571B9" w14:textId="77777777" w:rsidR="00B32EF2" w:rsidRDefault="00000000">
      <w:pPr>
        <w:spacing w:after="112" w:line="254" w:lineRule="auto"/>
        <w:ind w:left="-4" w:right="10" w:hanging="10"/>
        <w:jc w:val="both"/>
      </w:pPr>
      <w:r>
        <w:rPr>
          <w:rFonts w:ascii="Arial" w:eastAsia="Arial" w:hAnsi="Arial" w:cs="Arial"/>
          <w:sz w:val="18"/>
        </w:rPr>
        <w:lastRenderedPageBreak/>
        <w:t>5-bis. L’amministrazione prova in giudizio le violazioni contestate con l’atto impugnato. Il giudice fonda la decisione sugli elementi di prova che emergono nel giudizio e annulla l’atto impositivo se la prova della sua fondatezza manca o è contraddittoria o se è comunque insufficiente a dimostrare, in modo circostanziato e puntuale, comunque in coerenza con la normativa tributaria sostanziale, le ragioni oggettive su cui si fondano la pretesa impositiva e l’irrogazione delle sanzioni. Spetta comunque al contribuente fornire le ragioni della richiesta di rimborso, quando non sia conseguente al pagamento di somme oggetto di accertamenti impugnati.</w:t>
      </w:r>
    </w:p>
    <w:p w14:paraId="0798A9A4" w14:textId="77777777" w:rsidR="00B32EF2" w:rsidRDefault="00000000">
      <w:pPr>
        <w:pStyle w:val="Titolo3"/>
        <w:ind w:left="129" w:right="120"/>
      </w:pPr>
      <w:r>
        <w:t>NORME RICHIAMATE</w:t>
      </w:r>
    </w:p>
    <w:p w14:paraId="06B0AD8E"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257-bis c.p.c. “Testimonianza scritta” </w:t>
      </w:r>
    </w:p>
    <w:p w14:paraId="42FEE42C" w14:textId="77777777" w:rsidR="00B32EF2" w:rsidRDefault="00000000">
      <w:pPr>
        <w:numPr>
          <w:ilvl w:val="0"/>
          <w:numId w:val="14"/>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07"/>
        <w:jc w:val="both"/>
      </w:pPr>
      <w:r>
        <w:rPr>
          <w:rFonts w:ascii="Arial" w:eastAsia="Arial" w:hAnsi="Arial" w:cs="Arial"/>
          <w:i/>
          <w:sz w:val="18"/>
        </w:rPr>
        <w:t>Il giudice, su accordo delle parti, tenuto conto della natura della causa</w:t>
      </w:r>
    </w:p>
    <w:p w14:paraId="47843FAE" w14:textId="77777777" w:rsidR="00B32EF2" w:rsidRDefault="00B32EF2">
      <w:pPr>
        <w:spacing w:after="0"/>
        <w:ind w:left="-1133" w:right="2"/>
      </w:pPr>
    </w:p>
    <w:tbl>
      <w:tblPr>
        <w:tblStyle w:val="TableGrid"/>
        <w:tblW w:w="6236" w:type="dxa"/>
        <w:tblInd w:w="1" w:type="dxa"/>
        <w:tblCellMar>
          <w:top w:w="0" w:type="dxa"/>
          <w:left w:w="123" w:type="dxa"/>
          <w:bottom w:w="0" w:type="dxa"/>
          <w:right w:w="73" w:type="dxa"/>
        </w:tblCellMar>
        <w:tblLook w:val="04A0" w:firstRow="1" w:lastRow="0" w:firstColumn="1" w:lastColumn="0" w:noHBand="0" w:noVBand="1"/>
      </w:tblPr>
      <w:tblGrid>
        <w:gridCol w:w="6236"/>
      </w:tblGrid>
      <w:tr w:rsidR="00B32EF2" w14:paraId="32AA4ACD" w14:textId="77777777">
        <w:trPr>
          <w:trHeight w:val="9351"/>
        </w:trPr>
        <w:tc>
          <w:tcPr>
            <w:tcW w:w="6236" w:type="dxa"/>
            <w:tcBorders>
              <w:top w:val="single" w:sz="8" w:space="0" w:color="000000"/>
              <w:left w:val="single" w:sz="8" w:space="0" w:color="000000"/>
              <w:bottom w:val="single" w:sz="8" w:space="0" w:color="000000"/>
              <w:right w:val="single" w:sz="8" w:space="0" w:color="000000"/>
            </w:tcBorders>
            <w:shd w:val="clear" w:color="auto" w:fill="C3C3C3"/>
            <w:vAlign w:val="center"/>
          </w:tcPr>
          <w:p w14:paraId="378BCBEE" w14:textId="77777777" w:rsidR="00B32EF2" w:rsidRDefault="00000000">
            <w:pPr>
              <w:spacing w:after="0" w:line="225" w:lineRule="auto"/>
              <w:ind w:right="50"/>
              <w:jc w:val="both"/>
            </w:pPr>
            <w:r>
              <w:rPr>
                <w:rFonts w:ascii="Arial" w:eastAsia="Arial" w:hAnsi="Arial" w:cs="Arial"/>
                <w:i/>
                <w:sz w:val="18"/>
              </w:rPr>
              <w:lastRenderedPageBreak/>
              <w:t>e di ogni altra circostanza, può disporre di assumere la deposizione chiedendo al testimone, anche nelle ipotesi di cui all’articolo 203, di fornire, per iscritto e nel termine fissato, le risposte ai quesiti sui quali deve essere interrogato.</w:t>
            </w:r>
          </w:p>
          <w:p w14:paraId="091B3B83" w14:textId="77777777" w:rsidR="00B32EF2" w:rsidRDefault="00000000">
            <w:pPr>
              <w:numPr>
                <w:ilvl w:val="0"/>
                <w:numId w:val="195"/>
              </w:numPr>
              <w:spacing w:after="0" w:line="225" w:lineRule="auto"/>
              <w:ind w:right="50"/>
              <w:jc w:val="both"/>
            </w:pPr>
            <w:r>
              <w:rPr>
                <w:rFonts w:ascii="Arial" w:eastAsia="Arial" w:hAnsi="Arial" w:cs="Arial"/>
                <w:i/>
                <w:sz w:val="18"/>
              </w:rPr>
              <w:t xml:space="preserve">Il giudice, con il provvedimento di cui al primo comma, dispone che </w:t>
            </w:r>
            <w:proofErr w:type="spellStart"/>
            <w:r>
              <w:rPr>
                <w:rFonts w:ascii="Arial" w:eastAsia="Arial" w:hAnsi="Arial" w:cs="Arial"/>
                <w:i/>
                <w:sz w:val="18"/>
              </w:rPr>
              <w:t>laparte</w:t>
            </w:r>
            <w:proofErr w:type="spellEnd"/>
            <w:r>
              <w:rPr>
                <w:rFonts w:ascii="Arial" w:eastAsia="Arial" w:hAnsi="Arial" w:cs="Arial"/>
                <w:i/>
                <w:sz w:val="18"/>
              </w:rPr>
              <w:t xml:space="preserve"> che ha richiesto l’assunzione predisponga il modello di testimonianza in conformità agli articoli ammessi e lo faccia notificare al testimone.</w:t>
            </w:r>
          </w:p>
          <w:p w14:paraId="74C6C017" w14:textId="77777777" w:rsidR="00B32EF2" w:rsidRDefault="00000000">
            <w:pPr>
              <w:numPr>
                <w:ilvl w:val="0"/>
                <w:numId w:val="195"/>
              </w:numPr>
              <w:spacing w:after="0" w:line="225" w:lineRule="auto"/>
              <w:ind w:right="50"/>
              <w:jc w:val="both"/>
            </w:pPr>
            <w:r>
              <w:rPr>
                <w:rFonts w:ascii="Arial" w:eastAsia="Arial" w:hAnsi="Arial" w:cs="Arial"/>
                <w:i/>
                <w:sz w:val="18"/>
              </w:rPr>
              <w:t xml:space="preserve">Il testimone rende la deposizione compilando il modello di </w:t>
            </w:r>
            <w:proofErr w:type="spellStart"/>
            <w:r>
              <w:rPr>
                <w:rFonts w:ascii="Arial" w:eastAsia="Arial" w:hAnsi="Arial" w:cs="Arial"/>
                <w:i/>
                <w:sz w:val="18"/>
              </w:rPr>
              <w:t>testimonianzain</w:t>
            </w:r>
            <w:proofErr w:type="spellEnd"/>
            <w:r>
              <w:rPr>
                <w:rFonts w:ascii="Arial" w:eastAsia="Arial" w:hAnsi="Arial" w:cs="Arial"/>
                <w:i/>
                <w:sz w:val="18"/>
              </w:rPr>
              <w:t xml:space="preserve"> ogni sua parte, con risposta separata a ciascuno dei quesiti, e precisa quali sono quelli cui non è in grado di rispondere, indicandone la ragione.</w:t>
            </w:r>
          </w:p>
          <w:p w14:paraId="07C438B5" w14:textId="77777777" w:rsidR="00B32EF2" w:rsidRDefault="00000000">
            <w:pPr>
              <w:numPr>
                <w:ilvl w:val="0"/>
                <w:numId w:val="195"/>
              </w:numPr>
              <w:spacing w:after="0" w:line="225" w:lineRule="auto"/>
              <w:ind w:right="50"/>
              <w:jc w:val="both"/>
            </w:pPr>
            <w:r>
              <w:rPr>
                <w:rFonts w:ascii="Arial" w:eastAsia="Arial" w:hAnsi="Arial" w:cs="Arial"/>
                <w:i/>
                <w:sz w:val="18"/>
              </w:rPr>
              <w:t>Il testimone sottoscrive la deposizione apponendo la propria firma autenticata su ciascuna delle facciate del foglio di testimonianza, che spedisce in busta chiusa con plico raccomandato o consegna alla cancelleria del giudice.</w:t>
            </w:r>
          </w:p>
          <w:p w14:paraId="0DC01F18" w14:textId="77777777" w:rsidR="00B32EF2" w:rsidRDefault="00000000">
            <w:pPr>
              <w:numPr>
                <w:ilvl w:val="0"/>
                <w:numId w:val="195"/>
              </w:numPr>
              <w:spacing w:after="0" w:line="225" w:lineRule="auto"/>
              <w:ind w:right="50"/>
              <w:jc w:val="both"/>
            </w:pPr>
            <w:r>
              <w:rPr>
                <w:rFonts w:ascii="Arial" w:eastAsia="Arial" w:hAnsi="Arial" w:cs="Arial"/>
                <w:i/>
                <w:sz w:val="18"/>
              </w:rPr>
              <w:t>Quando il testimone si avvale della facoltà d’astensione di cui all’articolo249, ha l’obbligo di compilare il modello di testimonianza, indicando le complete generalità e i motivi di astensione.</w:t>
            </w:r>
          </w:p>
          <w:p w14:paraId="1E759D0F" w14:textId="77777777" w:rsidR="00B32EF2" w:rsidRDefault="00000000">
            <w:pPr>
              <w:numPr>
                <w:ilvl w:val="0"/>
                <w:numId w:val="195"/>
              </w:numPr>
              <w:spacing w:after="0" w:line="225" w:lineRule="auto"/>
              <w:ind w:right="50"/>
              <w:jc w:val="both"/>
            </w:pPr>
            <w:r>
              <w:rPr>
                <w:rFonts w:ascii="Arial" w:eastAsia="Arial" w:hAnsi="Arial" w:cs="Arial"/>
                <w:i/>
                <w:sz w:val="18"/>
              </w:rPr>
              <w:t xml:space="preserve">Quando il testimone non spedisce o non consegna le risposte </w:t>
            </w:r>
            <w:proofErr w:type="spellStart"/>
            <w:r>
              <w:rPr>
                <w:rFonts w:ascii="Arial" w:eastAsia="Arial" w:hAnsi="Arial" w:cs="Arial"/>
                <w:i/>
                <w:sz w:val="18"/>
              </w:rPr>
              <w:t>scrittenel</w:t>
            </w:r>
            <w:proofErr w:type="spellEnd"/>
            <w:r>
              <w:rPr>
                <w:rFonts w:ascii="Arial" w:eastAsia="Arial" w:hAnsi="Arial" w:cs="Arial"/>
                <w:i/>
                <w:sz w:val="18"/>
              </w:rPr>
              <w:t xml:space="preserve"> termine stabilito, il giudice può condannarlo alla pena pecuniaria di cui all’articolo 255, primo comma.</w:t>
            </w:r>
          </w:p>
          <w:p w14:paraId="21170AEA" w14:textId="77777777" w:rsidR="00B32EF2" w:rsidRDefault="00000000">
            <w:pPr>
              <w:numPr>
                <w:ilvl w:val="0"/>
                <w:numId w:val="195"/>
              </w:numPr>
              <w:spacing w:after="0" w:line="225" w:lineRule="auto"/>
              <w:ind w:right="50"/>
              <w:jc w:val="both"/>
            </w:pPr>
            <w:r>
              <w:rPr>
                <w:rFonts w:ascii="Arial" w:eastAsia="Arial" w:hAnsi="Arial" w:cs="Arial"/>
                <w:i/>
                <w:sz w:val="18"/>
              </w:rPr>
              <w:t>Quando la testimonianza ha ad oggetto documenti di spesa già depositati dalle parti, essa può essere resa mediante dichiarazione sottoscritta dal testimone e trasmessa al difensore della parte nel cui interesse la prova è stata ammessa, senza il ricorso al modello di cui al secondo comma.</w:t>
            </w:r>
          </w:p>
          <w:p w14:paraId="0C0A6AE8" w14:textId="77777777" w:rsidR="00B32EF2" w:rsidRDefault="00000000">
            <w:pPr>
              <w:numPr>
                <w:ilvl w:val="0"/>
                <w:numId w:val="195"/>
              </w:numPr>
              <w:spacing w:after="0" w:line="225" w:lineRule="auto"/>
              <w:ind w:right="50"/>
              <w:jc w:val="both"/>
            </w:pPr>
            <w:r>
              <w:rPr>
                <w:rFonts w:ascii="Arial" w:eastAsia="Arial" w:hAnsi="Arial" w:cs="Arial"/>
                <w:i/>
                <w:sz w:val="18"/>
              </w:rPr>
              <w:t xml:space="preserve">Il giudice, esaminate le risposte o le dichiarazioni, può sempre </w:t>
            </w:r>
            <w:proofErr w:type="spellStart"/>
            <w:r>
              <w:rPr>
                <w:rFonts w:ascii="Arial" w:eastAsia="Arial" w:hAnsi="Arial" w:cs="Arial"/>
                <w:i/>
                <w:sz w:val="18"/>
              </w:rPr>
              <w:t>disporreche</w:t>
            </w:r>
            <w:proofErr w:type="spellEnd"/>
            <w:r>
              <w:rPr>
                <w:rFonts w:ascii="Arial" w:eastAsia="Arial" w:hAnsi="Arial" w:cs="Arial"/>
                <w:i/>
                <w:sz w:val="18"/>
              </w:rPr>
              <w:t xml:space="preserve"> il testimone sia chiamato a deporre davanti a lui o davanti al giudice delegato.</w:t>
            </w:r>
          </w:p>
          <w:p w14:paraId="06B40D18" w14:textId="77777777" w:rsidR="00B32EF2" w:rsidRDefault="00000000">
            <w:pPr>
              <w:spacing w:after="0"/>
            </w:pPr>
            <w:r>
              <w:rPr>
                <w:rFonts w:ascii="Arial" w:eastAsia="Arial" w:hAnsi="Arial" w:cs="Arial"/>
                <w:b/>
                <w:i/>
                <w:sz w:val="18"/>
              </w:rPr>
              <w:t>NORME COLLEGATE</w:t>
            </w:r>
          </w:p>
          <w:p w14:paraId="4466F7C8" w14:textId="77777777" w:rsidR="00B32EF2" w:rsidRDefault="00000000">
            <w:pPr>
              <w:spacing w:after="0"/>
            </w:pPr>
            <w:r>
              <w:rPr>
                <w:rFonts w:ascii="Arial" w:eastAsia="Arial" w:hAnsi="Arial" w:cs="Arial"/>
                <w:i/>
                <w:sz w:val="18"/>
              </w:rPr>
              <w:t>art. 61 c.p.c. “Consulente tecnico”</w:t>
            </w:r>
          </w:p>
          <w:p w14:paraId="3D3C97FC" w14:textId="77777777" w:rsidR="00B32EF2" w:rsidRDefault="00000000">
            <w:pPr>
              <w:numPr>
                <w:ilvl w:val="0"/>
                <w:numId w:val="196"/>
              </w:numPr>
              <w:spacing w:after="0" w:line="225" w:lineRule="auto"/>
              <w:ind w:right="51"/>
              <w:jc w:val="both"/>
            </w:pPr>
            <w:r>
              <w:rPr>
                <w:rFonts w:ascii="Arial" w:eastAsia="Arial" w:hAnsi="Arial" w:cs="Arial"/>
                <w:i/>
                <w:sz w:val="18"/>
              </w:rPr>
              <w:t xml:space="preserve">Quando è necessario, il giudice può farsi assistere, per il </w:t>
            </w:r>
            <w:proofErr w:type="spellStart"/>
            <w:r>
              <w:rPr>
                <w:rFonts w:ascii="Arial" w:eastAsia="Arial" w:hAnsi="Arial" w:cs="Arial"/>
                <w:i/>
                <w:sz w:val="18"/>
              </w:rPr>
              <w:t>compimentodi</w:t>
            </w:r>
            <w:proofErr w:type="spellEnd"/>
            <w:r>
              <w:rPr>
                <w:rFonts w:ascii="Arial" w:eastAsia="Arial" w:hAnsi="Arial" w:cs="Arial"/>
                <w:i/>
                <w:sz w:val="18"/>
              </w:rPr>
              <w:t xml:space="preserve"> singoli atti o per tutto il processo, da uno o più consulenti di particolare competenza tecnica.</w:t>
            </w:r>
          </w:p>
          <w:p w14:paraId="589F80B4" w14:textId="77777777" w:rsidR="00B32EF2" w:rsidRDefault="00000000">
            <w:pPr>
              <w:numPr>
                <w:ilvl w:val="0"/>
                <w:numId w:val="196"/>
              </w:numPr>
              <w:spacing w:after="0" w:line="225" w:lineRule="auto"/>
              <w:ind w:right="51"/>
              <w:jc w:val="both"/>
            </w:pPr>
            <w:r>
              <w:rPr>
                <w:rFonts w:ascii="Arial" w:eastAsia="Arial" w:hAnsi="Arial" w:cs="Arial"/>
                <w:i/>
                <w:sz w:val="18"/>
              </w:rPr>
              <w:t>La scelta dei consulenti tecnici deve essere normalmente fatta tra le persone iscritte in albi speciali formati a norma delle disposizioni di attuazione al presente Codice.</w:t>
            </w:r>
          </w:p>
          <w:p w14:paraId="7A195147" w14:textId="77777777" w:rsidR="00B32EF2" w:rsidRDefault="00000000">
            <w:pPr>
              <w:spacing w:after="0"/>
            </w:pPr>
            <w:r>
              <w:rPr>
                <w:rFonts w:ascii="Arial" w:eastAsia="Arial" w:hAnsi="Arial" w:cs="Arial"/>
                <w:i/>
                <w:sz w:val="18"/>
              </w:rPr>
              <w:t xml:space="preserve">art.134 </w:t>
            </w:r>
            <w:proofErr w:type="spellStart"/>
            <w:r>
              <w:rPr>
                <w:rFonts w:ascii="Arial" w:eastAsia="Arial" w:hAnsi="Arial" w:cs="Arial"/>
                <w:i/>
                <w:sz w:val="18"/>
              </w:rPr>
              <w:t>c.p.c</w:t>
            </w:r>
            <w:proofErr w:type="spellEnd"/>
            <w:r>
              <w:rPr>
                <w:rFonts w:ascii="Arial" w:eastAsia="Arial" w:hAnsi="Arial" w:cs="Arial"/>
                <w:i/>
                <w:sz w:val="18"/>
              </w:rPr>
              <w:t xml:space="preserve"> “Forma, contenuto e comunicazione dell’ordinanza.”</w:t>
            </w:r>
          </w:p>
          <w:p w14:paraId="38501378" w14:textId="77777777" w:rsidR="00B32EF2" w:rsidRDefault="00000000">
            <w:pPr>
              <w:numPr>
                <w:ilvl w:val="0"/>
                <w:numId w:val="197"/>
              </w:numPr>
              <w:spacing w:after="0" w:line="225" w:lineRule="auto"/>
              <w:ind w:right="51"/>
              <w:jc w:val="both"/>
            </w:pPr>
            <w:r>
              <w:rPr>
                <w:rFonts w:ascii="Arial" w:eastAsia="Arial" w:hAnsi="Arial" w:cs="Arial"/>
                <w:i/>
                <w:sz w:val="18"/>
              </w:rPr>
              <w:t>L’ordinanza è succintamente motivata. Se è pronunciata in udienza è inserita nel processo verbale; se è pronunciata fuori dell’udienza, è scritta in calce al processo verbale oppure in foglio separato, munito della data e della sottoscrizione del giudice o, quando questo è collegiale, del presidente.</w:t>
            </w:r>
          </w:p>
          <w:p w14:paraId="7307B40A" w14:textId="77777777" w:rsidR="00B32EF2" w:rsidRDefault="00000000">
            <w:pPr>
              <w:numPr>
                <w:ilvl w:val="0"/>
                <w:numId w:val="197"/>
              </w:numPr>
              <w:spacing w:after="0" w:line="225" w:lineRule="auto"/>
              <w:ind w:right="51"/>
              <w:jc w:val="both"/>
            </w:pPr>
            <w:r>
              <w:rPr>
                <w:rFonts w:ascii="Arial" w:eastAsia="Arial" w:hAnsi="Arial" w:cs="Arial"/>
                <w:i/>
                <w:sz w:val="18"/>
              </w:rPr>
              <w:t>Il cancelliere comunica alle parti l’ordinanza pronunciata fuori dell’udienza, salvo che la legge ne prescrive la notificazione.</w:t>
            </w:r>
          </w:p>
          <w:p w14:paraId="0992CE7C" w14:textId="77777777" w:rsidR="00B32EF2" w:rsidRDefault="00000000">
            <w:pPr>
              <w:numPr>
                <w:ilvl w:val="0"/>
                <w:numId w:val="197"/>
              </w:numPr>
              <w:spacing w:after="0" w:line="225" w:lineRule="auto"/>
              <w:ind w:right="51"/>
              <w:jc w:val="both"/>
            </w:pPr>
            <w:r>
              <w:rPr>
                <w:rFonts w:ascii="Arial" w:eastAsia="Arial" w:hAnsi="Arial" w:cs="Arial"/>
                <w:i/>
                <w:sz w:val="18"/>
              </w:rPr>
              <w:lastRenderedPageBreak/>
              <w:t>Comma abrogato dalla lettera c) del comma 1 dell’art. 25, L. 12 novembre 2011, n. 183 in vigore dal 1° gennaio 2012. art.191 c.p.c. “Nomina del consulente tecnico.”</w:t>
            </w:r>
          </w:p>
          <w:p w14:paraId="60081F6C" w14:textId="77777777" w:rsidR="00B32EF2" w:rsidRDefault="00000000">
            <w:pPr>
              <w:spacing w:after="0"/>
              <w:jc w:val="both"/>
            </w:pPr>
            <w:r>
              <w:rPr>
                <w:rFonts w:ascii="Arial" w:eastAsia="Arial" w:hAnsi="Arial" w:cs="Arial"/>
                <w:i/>
                <w:sz w:val="18"/>
              </w:rPr>
              <w:t>1. Nei casi previsti dagli articoli 61 e seguenti il giudice istruttore, con ordinanza ai sensi dell’articolo 183, quarto comma, o con altra   successiva</w:t>
            </w:r>
          </w:p>
        </w:tc>
      </w:tr>
    </w:tbl>
    <w:p w14:paraId="4A0468C6"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lastRenderedPageBreak/>
        <w:t xml:space="preserve">ordinanza, nomina un consulente, formula i quesiti e fissa l’udienza nella quale il consulente deve comparire. </w:t>
      </w:r>
    </w:p>
    <w:p w14:paraId="263446A7" w14:textId="77777777" w:rsidR="00B32EF2" w:rsidRDefault="00000000">
      <w:pPr>
        <w:numPr>
          <w:ilvl w:val="0"/>
          <w:numId w:val="14"/>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07"/>
        <w:jc w:val="both"/>
      </w:pPr>
      <w:r>
        <w:rPr>
          <w:rFonts w:ascii="Arial" w:eastAsia="Arial" w:hAnsi="Arial" w:cs="Arial"/>
          <w:i/>
          <w:sz w:val="18"/>
        </w:rPr>
        <w:t>Possono essere nominati più consulenti soltanto in caso di grave necessità o quando la legge espressamente lo dispone.</w:t>
      </w:r>
    </w:p>
    <w:p w14:paraId="3E873C86"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art. 210 c.p.c. “Ordine di esibizione alla parte o al terzo”</w:t>
      </w:r>
    </w:p>
    <w:p w14:paraId="6529C1EF" w14:textId="77777777" w:rsidR="00B32EF2" w:rsidRDefault="00000000">
      <w:pPr>
        <w:numPr>
          <w:ilvl w:val="0"/>
          <w:numId w:val="15"/>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Negli stessi limiti entro i quali può essere ordinata a norma dell’articolo118 l’ispezione di cose in possesso di una parte o di un terzo, il giudice istruttore, su istanza di parte può ordinare all’altra parte o a un terzo di esibire in giudizio un documento o altra cosa di cui ritenga   necessaria l’acquisizione al processo.</w:t>
      </w:r>
    </w:p>
    <w:p w14:paraId="0E01E530" w14:textId="77777777" w:rsidR="00B32EF2" w:rsidRDefault="00000000">
      <w:pPr>
        <w:numPr>
          <w:ilvl w:val="0"/>
          <w:numId w:val="15"/>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Nell’ordinare l’esibizione, il giudice dà i provvedimenti opportuni circa </w:t>
      </w:r>
      <w:proofErr w:type="spellStart"/>
      <w:r>
        <w:rPr>
          <w:rFonts w:ascii="Arial" w:eastAsia="Arial" w:hAnsi="Arial" w:cs="Arial"/>
          <w:i/>
          <w:sz w:val="18"/>
        </w:rPr>
        <w:t>iltempo</w:t>
      </w:r>
      <w:proofErr w:type="spellEnd"/>
      <w:r>
        <w:rPr>
          <w:rFonts w:ascii="Arial" w:eastAsia="Arial" w:hAnsi="Arial" w:cs="Arial"/>
          <w:i/>
          <w:sz w:val="18"/>
        </w:rPr>
        <w:t>, il luogo e il modo dell’esibizione.</w:t>
      </w:r>
    </w:p>
    <w:p w14:paraId="79C22379" w14:textId="77777777" w:rsidR="00B32EF2" w:rsidRDefault="00000000">
      <w:pPr>
        <w:numPr>
          <w:ilvl w:val="0"/>
          <w:numId w:val="15"/>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Se l’esibizione importa una spesa, questa deve essere in ogni caso anticipata dalla parte che ha proposta l’istanza di esibizione.</w:t>
      </w:r>
    </w:p>
    <w:p w14:paraId="27D7CC46" w14:textId="77777777" w:rsidR="00B32EF2" w:rsidRDefault="00000000">
      <w:pPr>
        <w:numPr>
          <w:ilvl w:val="0"/>
          <w:numId w:val="15"/>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Se la parte non adempie senza giustificato motivo all’ordine di esibizione, il giudice la condanna a una pena pecuniaria da euro 500 a euro 3.000 e può da questo comportamento desumere argomenti di prova a norma dell’articolo 116, secondo comma.</w:t>
      </w:r>
    </w:p>
    <w:p w14:paraId="1CC461E3" w14:textId="77777777" w:rsidR="00B32EF2" w:rsidRDefault="00000000">
      <w:pPr>
        <w:numPr>
          <w:ilvl w:val="0"/>
          <w:numId w:val="15"/>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Se non adempie il terzo, il giudice  lo  condanna  a  una  pena </w:t>
      </w:r>
      <w:proofErr w:type="spellStart"/>
      <w:r>
        <w:rPr>
          <w:rFonts w:ascii="Arial" w:eastAsia="Arial" w:hAnsi="Arial" w:cs="Arial"/>
          <w:i/>
          <w:sz w:val="18"/>
        </w:rPr>
        <w:t>pecuniariada</w:t>
      </w:r>
      <w:proofErr w:type="spellEnd"/>
      <w:r>
        <w:rPr>
          <w:rFonts w:ascii="Arial" w:eastAsia="Arial" w:hAnsi="Arial" w:cs="Arial"/>
          <w:i/>
          <w:sz w:val="18"/>
        </w:rPr>
        <w:t xml:space="preserve"> euro 250 a euro 1.500.</w:t>
      </w:r>
    </w:p>
    <w:p w14:paraId="34EC0DBE"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268" w:line="251" w:lineRule="auto"/>
        <w:ind w:left="129" w:right="120" w:hanging="10"/>
        <w:jc w:val="both"/>
      </w:pPr>
      <w:r>
        <w:rPr>
          <w:rFonts w:ascii="Arial" w:eastAsia="Arial" w:hAnsi="Arial" w:cs="Arial"/>
          <w:i/>
          <w:sz w:val="18"/>
        </w:rPr>
        <w:t>art. 23 c.p.c. “Richiesta d’informazioni alla pubblica amministrazione.” 1. Per le cause tra soci è competente il giudice del luogo dove ha sede la società ; per le cause tra condomini, ovvero tra condomini e condominio, il giudice del luogo dove si trovano i beni comuni o la maggior parte   di essi. 2. Tale norma si applica anche dopo lo scioglimento della società o del condominio, purché la domanda sia proposta entro un biennio dalla divisione.</w:t>
      </w:r>
    </w:p>
    <w:p w14:paraId="5ED8086A" w14:textId="77777777" w:rsidR="00B32EF2" w:rsidRDefault="00000000">
      <w:pPr>
        <w:spacing w:after="0" w:line="261" w:lineRule="auto"/>
        <w:ind w:left="12" w:right="3" w:hanging="10"/>
        <w:jc w:val="center"/>
      </w:pPr>
      <w:r>
        <w:rPr>
          <w:rFonts w:ascii="Arial" w:eastAsia="Arial" w:hAnsi="Arial" w:cs="Arial"/>
          <w:b/>
          <w:sz w:val="18"/>
        </w:rPr>
        <w:t>Articolo 8</w:t>
      </w:r>
    </w:p>
    <w:p w14:paraId="20C7B4E9" w14:textId="77777777" w:rsidR="00B32EF2" w:rsidRDefault="00000000">
      <w:pPr>
        <w:spacing w:after="3" w:line="251" w:lineRule="auto"/>
        <w:ind w:left="2320" w:right="2311" w:hanging="10"/>
        <w:jc w:val="center"/>
      </w:pPr>
      <w:r>
        <w:rPr>
          <w:rFonts w:ascii="Arial" w:eastAsia="Arial" w:hAnsi="Arial" w:cs="Arial"/>
          <w:i/>
          <w:sz w:val="18"/>
        </w:rPr>
        <w:t>(articolo 53 TUGT)</w:t>
      </w:r>
    </w:p>
    <w:p w14:paraId="2873FF6D" w14:textId="77777777" w:rsidR="00B32EF2" w:rsidRDefault="00000000">
      <w:pPr>
        <w:spacing w:after="0" w:line="261" w:lineRule="auto"/>
        <w:ind w:left="12" w:right="3" w:hanging="10"/>
        <w:jc w:val="center"/>
      </w:pPr>
      <w:r>
        <w:rPr>
          <w:rFonts w:ascii="Arial" w:eastAsia="Arial" w:hAnsi="Arial" w:cs="Arial"/>
          <w:b/>
          <w:sz w:val="18"/>
        </w:rPr>
        <w:t xml:space="preserve">Errore sulla norma tributaria </w:t>
      </w:r>
    </w:p>
    <w:p w14:paraId="051AB598" w14:textId="77777777" w:rsidR="00B32EF2" w:rsidRDefault="00000000">
      <w:pPr>
        <w:spacing w:after="215" w:line="254" w:lineRule="auto"/>
        <w:ind w:left="-4" w:right="10" w:hanging="10"/>
        <w:jc w:val="both"/>
      </w:pPr>
      <w:r>
        <w:rPr>
          <w:rFonts w:ascii="Arial" w:eastAsia="Arial" w:hAnsi="Arial" w:cs="Arial"/>
          <w:sz w:val="18"/>
        </w:rPr>
        <w:t>1. La corte di giustizia tributaria di primo e secondo grado dichiara non applicabili le sanzioni non penali previste dalle leggi tributarie quando la violazione è giustificata da obiettive condizioni di incertezza sulla portata e sull’ambito di applicazione delle disposizioni alle quali si riferisce.</w:t>
      </w:r>
    </w:p>
    <w:p w14:paraId="6CB53626" w14:textId="77777777" w:rsidR="00B32EF2" w:rsidRDefault="00000000">
      <w:pPr>
        <w:spacing w:after="0" w:line="261" w:lineRule="auto"/>
        <w:ind w:left="12" w:right="3" w:hanging="10"/>
        <w:jc w:val="center"/>
      </w:pPr>
      <w:r>
        <w:rPr>
          <w:rFonts w:ascii="Arial" w:eastAsia="Arial" w:hAnsi="Arial" w:cs="Arial"/>
          <w:b/>
          <w:sz w:val="18"/>
        </w:rPr>
        <w:t>Articolo 9</w:t>
      </w:r>
    </w:p>
    <w:p w14:paraId="7EEB36E7" w14:textId="77777777" w:rsidR="00B32EF2" w:rsidRDefault="00000000">
      <w:pPr>
        <w:spacing w:after="3" w:line="251" w:lineRule="auto"/>
        <w:ind w:left="2320" w:right="2311" w:hanging="10"/>
        <w:jc w:val="center"/>
      </w:pPr>
      <w:r>
        <w:rPr>
          <w:rFonts w:ascii="Arial" w:eastAsia="Arial" w:hAnsi="Arial" w:cs="Arial"/>
          <w:i/>
          <w:sz w:val="18"/>
        </w:rPr>
        <w:t>(articolo 54 TUGT)</w:t>
      </w:r>
    </w:p>
    <w:p w14:paraId="20A639BA" w14:textId="77777777" w:rsidR="00B32EF2" w:rsidRDefault="00000000">
      <w:pPr>
        <w:spacing w:after="0" w:line="261" w:lineRule="auto"/>
        <w:ind w:left="12" w:right="2" w:hanging="10"/>
        <w:jc w:val="center"/>
      </w:pPr>
      <w:r>
        <w:rPr>
          <w:rFonts w:ascii="Arial" w:eastAsia="Arial" w:hAnsi="Arial" w:cs="Arial"/>
          <w:b/>
          <w:sz w:val="18"/>
        </w:rPr>
        <w:t xml:space="preserve">Organi di assistenza alle corti di giustizia tributaria di primo e secondo grado </w:t>
      </w:r>
    </w:p>
    <w:p w14:paraId="24014726" w14:textId="77777777" w:rsidR="00B32EF2" w:rsidRDefault="00000000">
      <w:pPr>
        <w:numPr>
          <w:ilvl w:val="0"/>
          <w:numId w:val="16"/>
        </w:numPr>
        <w:spacing w:after="4" w:line="254" w:lineRule="auto"/>
        <w:ind w:right="10" w:hanging="10"/>
        <w:jc w:val="both"/>
      </w:pPr>
      <w:r>
        <w:rPr>
          <w:rFonts w:ascii="Arial" w:eastAsia="Arial" w:hAnsi="Arial" w:cs="Arial"/>
          <w:sz w:val="18"/>
        </w:rPr>
        <w:t xml:space="preserve">Il personale dell’ufficio di segreteria assiste la corte di giustizia tributaria </w:t>
      </w:r>
      <w:proofErr w:type="spellStart"/>
      <w:r>
        <w:rPr>
          <w:rFonts w:ascii="Arial" w:eastAsia="Arial" w:hAnsi="Arial" w:cs="Arial"/>
          <w:sz w:val="18"/>
        </w:rPr>
        <w:t>diprimo</w:t>
      </w:r>
      <w:proofErr w:type="spellEnd"/>
      <w:r>
        <w:rPr>
          <w:rFonts w:ascii="Arial" w:eastAsia="Arial" w:hAnsi="Arial" w:cs="Arial"/>
          <w:sz w:val="18"/>
        </w:rPr>
        <w:t xml:space="preserve"> e secondo grado secondo le disposizioni del codice di procedura civile concernenti il cancelliere.</w:t>
      </w:r>
    </w:p>
    <w:p w14:paraId="60134795" w14:textId="77777777" w:rsidR="00B32EF2" w:rsidRDefault="00000000">
      <w:pPr>
        <w:numPr>
          <w:ilvl w:val="0"/>
          <w:numId w:val="16"/>
        </w:numPr>
        <w:spacing w:after="4" w:line="254" w:lineRule="auto"/>
        <w:ind w:right="10" w:hanging="10"/>
        <w:jc w:val="both"/>
      </w:pPr>
      <w:r>
        <w:rPr>
          <w:rFonts w:ascii="Arial" w:eastAsia="Arial" w:hAnsi="Arial" w:cs="Arial"/>
          <w:sz w:val="18"/>
        </w:rPr>
        <w:lastRenderedPageBreak/>
        <w:t>Le attività dell’ufficiale giudiziario in udienza sono disimpegnate dal personale ausiliario addetto alla segreteria.</w:t>
      </w:r>
    </w:p>
    <w:p w14:paraId="5EAE039B" w14:textId="77777777" w:rsidR="00B32EF2" w:rsidRDefault="00000000">
      <w:pPr>
        <w:spacing w:after="164" w:line="261" w:lineRule="auto"/>
        <w:ind w:left="12" w:right="3" w:hanging="10"/>
        <w:jc w:val="center"/>
      </w:pPr>
      <w:r>
        <w:rPr>
          <w:rFonts w:ascii="Arial" w:eastAsia="Arial" w:hAnsi="Arial" w:cs="Arial"/>
          <w:b/>
          <w:sz w:val="18"/>
        </w:rPr>
        <w:t xml:space="preserve">CAPO II </w:t>
      </w:r>
    </w:p>
    <w:p w14:paraId="54CD4166" w14:textId="77777777" w:rsidR="00B32EF2" w:rsidRDefault="00000000">
      <w:pPr>
        <w:spacing w:after="2" w:line="255" w:lineRule="auto"/>
        <w:ind w:left="102" w:hanging="10"/>
      </w:pPr>
      <w:r>
        <w:rPr>
          <w:rFonts w:ascii="Arial" w:eastAsia="Arial" w:hAnsi="Arial" w:cs="Arial"/>
          <w:b/>
          <w:sz w:val="18"/>
        </w:rPr>
        <w:t xml:space="preserve"> DELLE PARTI E DELLA LORO RAPPRESENTANZA E ASSISTENZA IN </w:t>
      </w:r>
    </w:p>
    <w:p w14:paraId="6152DC11" w14:textId="77777777" w:rsidR="00B32EF2" w:rsidRDefault="00000000">
      <w:pPr>
        <w:spacing w:after="164" w:line="261" w:lineRule="auto"/>
        <w:ind w:left="12" w:right="3" w:hanging="10"/>
        <w:jc w:val="center"/>
      </w:pPr>
      <w:r>
        <w:rPr>
          <w:rFonts w:ascii="Arial" w:eastAsia="Arial" w:hAnsi="Arial" w:cs="Arial"/>
          <w:b/>
          <w:sz w:val="18"/>
        </w:rPr>
        <w:t>GIUDIZIO</w:t>
      </w:r>
    </w:p>
    <w:p w14:paraId="42D1553D" w14:textId="77777777" w:rsidR="00B32EF2" w:rsidRDefault="00000000">
      <w:pPr>
        <w:spacing w:after="0" w:line="261" w:lineRule="auto"/>
        <w:ind w:left="12" w:right="3" w:hanging="10"/>
        <w:jc w:val="center"/>
      </w:pPr>
      <w:r>
        <w:rPr>
          <w:rFonts w:ascii="Arial" w:eastAsia="Arial" w:hAnsi="Arial" w:cs="Arial"/>
          <w:b/>
          <w:sz w:val="18"/>
        </w:rPr>
        <w:t>Articolo 10</w:t>
      </w:r>
    </w:p>
    <w:p w14:paraId="73BFCF90" w14:textId="77777777" w:rsidR="00B32EF2" w:rsidRDefault="00000000">
      <w:pPr>
        <w:spacing w:after="3" w:line="251" w:lineRule="auto"/>
        <w:ind w:left="2320" w:right="2311" w:hanging="10"/>
        <w:jc w:val="center"/>
      </w:pPr>
      <w:r>
        <w:rPr>
          <w:rFonts w:ascii="Arial" w:eastAsia="Arial" w:hAnsi="Arial" w:cs="Arial"/>
          <w:i/>
          <w:sz w:val="18"/>
        </w:rPr>
        <w:t xml:space="preserve">(articolo 55 TUGT) </w:t>
      </w:r>
      <w:r>
        <w:rPr>
          <w:rFonts w:ascii="Arial" w:eastAsia="Arial" w:hAnsi="Arial" w:cs="Arial"/>
          <w:b/>
          <w:sz w:val="18"/>
        </w:rPr>
        <w:t xml:space="preserve">Le parti </w:t>
      </w:r>
    </w:p>
    <w:p w14:paraId="208AAF51" w14:textId="77777777" w:rsidR="00B32EF2" w:rsidRDefault="00000000">
      <w:pPr>
        <w:spacing w:after="248" w:line="254" w:lineRule="auto"/>
        <w:ind w:left="-4" w:right="10" w:hanging="10"/>
        <w:jc w:val="both"/>
      </w:pPr>
      <w:r>
        <w:rPr>
          <w:rFonts w:ascii="Arial" w:eastAsia="Arial" w:hAnsi="Arial" w:cs="Arial"/>
          <w:sz w:val="18"/>
        </w:rPr>
        <w:t>1. Sono parti nel processo dinanzi alle corti di giustizia tributaria di primo e secondo grado oltre al ricorrente, l’ufficio dell’Agenzia delle entrate e dell’Agenzia delle dogane e dei monopoli di cui al decreto legislativo 30 luglio 1999, n. 300, gli altri enti impositori, l’agente della riscossione ed i soggetti iscritti nell’albo di cui all’articolo 53 del decreto legislativo 15 dicembre 1997, n. 446, che hanno emesso l’atto impugnato o non hanno emesso l’atto richiesto. Se l’ufficio è un’articolazione dell’Agenzia delle entrate, con competenza su tutto o parte del territorio nazionale, individuata con il regolamento di amministrazione di cui all’articolo 71 del decreto legislativo 30 luglio 1999, n. 300, è parte l’ufficio al quale spettano le attribuzioni sul rapporto controverso.</w:t>
      </w:r>
    </w:p>
    <w:p w14:paraId="03746E67" w14:textId="77777777" w:rsidR="00B32EF2" w:rsidRDefault="00000000">
      <w:pPr>
        <w:pStyle w:val="Titolo3"/>
        <w:ind w:left="129" w:right="60"/>
      </w:pPr>
      <w:r>
        <w:t>NORME RICHIAMATE</w:t>
      </w:r>
    </w:p>
    <w:p w14:paraId="24BC0CD5"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418" w:line="251" w:lineRule="auto"/>
        <w:ind w:left="129" w:right="60" w:hanging="10"/>
        <w:jc w:val="both"/>
      </w:pPr>
      <w:r>
        <w:rPr>
          <w:rFonts w:ascii="Arial" w:eastAsia="Arial" w:hAnsi="Arial" w:cs="Arial"/>
          <w:i/>
          <w:sz w:val="18"/>
        </w:rPr>
        <w:t>art. 53 D.lgs. 446/1997 “Albo per l’accertamento e riscossione delle entrate degli enti locali”</w:t>
      </w:r>
    </w:p>
    <w:p w14:paraId="5D450FAF"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29" w:right="120" w:hanging="10"/>
        <w:jc w:val="center"/>
      </w:pPr>
      <w:r>
        <w:rPr>
          <w:rFonts w:ascii="Arial" w:eastAsia="Arial" w:hAnsi="Arial" w:cs="Arial"/>
          <w:b/>
          <w:sz w:val="18"/>
        </w:rPr>
        <w:t>Per i giudizi instaurati con ricorso notificato fino all'1.9.2024 Articolo 11</w:t>
      </w:r>
    </w:p>
    <w:p w14:paraId="3D779147" w14:textId="77777777" w:rsidR="00B32EF2" w:rsidRDefault="00000000">
      <w:pPr>
        <w:pBdr>
          <w:top w:val="single" w:sz="8" w:space="0" w:color="000000"/>
          <w:left w:val="single" w:sz="8" w:space="0" w:color="000000"/>
          <w:bottom w:val="single" w:sz="8" w:space="0" w:color="000000"/>
          <w:right w:val="single" w:sz="8" w:space="0" w:color="000000"/>
        </w:pBdr>
        <w:spacing w:after="0"/>
        <w:ind w:left="129" w:right="120" w:hanging="10"/>
        <w:jc w:val="center"/>
      </w:pPr>
      <w:r>
        <w:rPr>
          <w:rFonts w:ascii="Arial" w:eastAsia="Arial" w:hAnsi="Arial" w:cs="Arial"/>
          <w:i/>
          <w:sz w:val="18"/>
        </w:rPr>
        <w:t>(articolo 56 TUGT)</w:t>
      </w:r>
    </w:p>
    <w:p w14:paraId="2F0D2F6E"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29" w:right="120" w:hanging="10"/>
        <w:jc w:val="center"/>
      </w:pPr>
      <w:r>
        <w:rPr>
          <w:rFonts w:ascii="Arial" w:eastAsia="Arial" w:hAnsi="Arial" w:cs="Arial"/>
          <w:b/>
          <w:sz w:val="18"/>
        </w:rPr>
        <w:t xml:space="preserve">Capacità di stare in giudizio </w:t>
      </w:r>
    </w:p>
    <w:p w14:paraId="27E15240" w14:textId="77777777" w:rsidR="00B32EF2" w:rsidRDefault="00000000">
      <w:pPr>
        <w:numPr>
          <w:ilvl w:val="0"/>
          <w:numId w:val="17"/>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Le parti diverse da quelle indicate nei commi 2 e 3 possono stare in giudizio anche mediante procuratore generale o speciale. La procura speciale, se conferita al coniuge e ai parenti o affini entro il quarto grado ai soli fini della partecipazione all’udienza pubblica, può risultare anche da scrittura privata non autenticata.</w:t>
      </w:r>
    </w:p>
    <w:p w14:paraId="0A1D1913" w14:textId="77777777" w:rsidR="00B32EF2" w:rsidRDefault="00000000">
      <w:pPr>
        <w:numPr>
          <w:ilvl w:val="0"/>
          <w:numId w:val="17"/>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L’ufficio dell’Agenzia delle entrate e dell’Agenzia delle dogane e dei monopoli di cui al decreto legislativo 30 luglio 1999, n. 300 </w:t>
      </w:r>
      <w:proofErr w:type="spellStart"/>
      <w:r>
        <w:rPr>
          <w:rFonts w:ascii="Arial" w:eastAsia="Arial" w:hAnsi="Arial" w:cs="Arial"/>
          <w:sz w:val="18"/>
        </w:rPr>
        <w:t>nonchè</w:t>
      </w:r>
      <w:proofErr w:type="spellEnd"/>
      <w:r>
        <w:rPr>
          <w:rFonts w:ascii="Arial" w:eastAsia="Arial" w:hAnsi="Arial" w:cs="Arial"/>
          <w:sz w:val="18"/>
        </w:rPr>
        <w:t xml:space="preserve"> dell’agente della riscossione, nei cui confronti è proposto il ricorso, sta in giudizio direttamente o mediante la struttura territoriale sovraordinata. Stanno altresì in giudizio direttamente le cancellerie o segreterie degli uffici giudiziari per il contenzioso in materia di contributo unificato.</w:t>
      </w:r>
    </w:p>
    <w:p w14:paraId="1957ADBE" w14:textId="77777777" w:rsidR="00B32EF2" w:rsidRDefault="00000000">
      <w:pPr>
        <w:numPr>
          <w:ilvl w:val="0"/>
          <w:numId w:val="17"/>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L’ente locale nei cui confronti è proposto il ricorso può stare in </w:t>
      </w:r>
      <w:proofErr w:type="spellStart"/>
      <w:r>
        <w:rPr>
          <w:rFonts w:ascii="Arial" w:eastAsia="Arial" w:hAnsi="Arial" w:cs="Arial"/>
          <w:sz w:val="18"/>
        </w:rPr>
        <w:t>giudizioanche</w:t>
      </w:r>
      <w:proofErr w:type="spellEnd"/>
      <w:r>
        <w:rPr>
          <w:rFonts w:ascii="Arial" w:eastAsia="Arial" w:hAnsi="Arial" w:cs="Arial"/>
          <w:sz w:val="18"/>
        </w:rPr>
        <w:t xml:space="preserve"> mediante il dirigente dell’ufficio tributi, ovvero, per gli enti </w:t>
      </w:r>
      <w:r>
        <w:rPr>
          <w:rFonts w:ascii="Arial" w:eastAsia="Arial" w:hAnsi="Arial" w:cs="Arial"/>
          <w:sz w:val="18"/>
        </w:rPr>
        <w:lastRenderedPageBreak/>
        <w:t>locali privi di figura dirigenziale, mediante il titolare della posizione organizzativa in cui è collocato detto ufficio.</w:t>
      </w:r>
    </w:p>
    <w:p w14:paraId="53B12292"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3-bis. (Comma abrogato, a decorrere dal 1° gennaio 2016, dall’art. 9, comma 1, lett. d), n. 2 decreto legislativo 24 settembre 2015 n. 156).</w:t>
      </w:r>
    </w:p>
    <w:p w14:paraId="4D881EFE" w14:textId="77777777" w:rsidR="00B32EF2" w:rsidRDefault="00000000">
      <w:pPr>
        <w:spacing w:after="0" w:line="261" w:lineRule="auto"/>
        <w:ind w:left="12" w:right="3" w:hanging="10"/>
        <w:jc w:val="center"/>
      </w:pPr>
      <w:r>
        <w:rPr>
          <w:rFonts w:ascii="Arial" w:eastAsia="Arial" w:hAnsi="Arial" w:cs="Arial"/>
          <w:b/>
          <w:sz w:val="18"/>
        </w:rPr>
        <w:t>Articolo 11</w:t>
      </w:r>
    </w:p>
    <w:p w14:paraId="7A19DBF3" w14:textId="77777777" w:rsidR="00B32EF2" w:rsidRDefault="00000000">
      <w:pPr>
        <w:spacing w:after="3" w:line="251" w:lineRule="auto"/>
        <w:ind w:left="2320" w:right="2311" w:hanging="10"/>
        <w:jc w:val="center"/>
      </w:pPr>
      <w:r>
        <w:rPr>
          <w:rFonts w:ascii="Arial" w:eastAsia="Arial" w:hAnsi="Arial" w:cs="Arial"/>
          <w:i/>
          <w:sz w:val="18"/>
        </w:rPr>
        <w:t>(articolo 56 TUGT)</w:t>
      </w:r>
    </w:p>
    <w:p w14:paraId="4D17E5C6" w14:textId="77777777" w:rsidR="00B32EF2" w:rsidRDefault="00000000">
      <w:pPr>
        <w:spacing w:after="0" w:line="261" w:lineRule="auto"/>
        <w:ind w:left="12" w:right="3" w:hanging="10"/>
        <w:jc w:val="center"/>
      </w:pPr>
      <w:r>
        <w:rPr>
          <w:rFonts w:ascii="Arial" w:eastAsia="Arial" w:hAnsi="Arial" w:cs="Arial"/>
          <w:b/>
          <w:sz w:val="18"/>
        </w:rPr>
        <w:t>Capacità di stare in giudizio</w:t>
      </w:r>
    </w:p>
    <w:p w14:paraId="28D6B75F" w14:textId="77777777" w:rsidR="00B32EF2" w:rsidRDefault="00000000">
      <w:pPr>
        <w:numPr>
          <w:ilvl w:val="0"/>
          <w:numId w:val="18"/>
        </w:numPr>
        <w:spacing w:after="4" w:line="254" w:lineRule="auto"/>
        <w:ind w:right="10" w:hanging="10"/>
        <w:jc w:val="both"/>
      </w:pPr>
      <w:r>
        <w:rPr>
          <w:rFonts w:ascii="Arial" w:eastAsia="Arial" w:hAnsi="Arial" w:cs="Arial"/>
          <w:sz w:val="18"/>
        </w:rPr>
        <w:t>Le parti diverse da quelle indicate nei commi 2 e 3 possono stare in giudizio anche mediante procuratore generale o speciale. La procura speciale, se conferita al coniuge e ai parenti o affini entro il quarto grado ai soli fini della partecipazione all’udienza pubblica, può risultare anche da scrittura privata non autenticata.</w:t>
      </w:r>
    </w:p>
    <w:p w14:paraId="50457434" w14:textId="77777777" w:rsidR="00B32EF2" w:rsidRDefault="00000000">
      <w:pPr>
        <w:numPr>
          <w:ilvl w:val="0"/>
          <w:numId w:val="18"/>
        </w:numPr>
        <w:spacing w:after="4" w:line="254" w:lineRule="auto"/>
        <w:ind w:right="10" w:hanging="10"/>
        <w:jc w:val="both"/>
      </w:pPr>
      <w:r>
        <w:rPr>
          <w:rFonts w:ascii="Arial" w:eastAsia="Arial" w:hAnsi="Arial" w:cs="Arial"/>
          <w:sz w:val="18"/>
        </w:rPr>
        <w:t xml:space="preserve">L’ufficio dell’Agenzia delle entrate e dell’Agenzia delle dogane e dei monopoli di cui al decreto legislativo 30 luglio 1999, n. 300 </w:t>
      </w:r>
      <w:proofErr w:type="spellStart"/>
      <w:r>
        <w:rPr>
          <w:rFonts w:ascii="Arial" w:eastAsia="Arial" w:hAnsi="Arial" w:cs="Arial"/>
          <w:sz w:val="18"/>
        </w:rPr>
        <w:t>nonchè</w:t>
      </w:r>
      <w:proofErr w:type="spellEnd"/>
      <w:r>
        <w:rPr>
          <w:rFonts w:ascii="Arial" w:eastAsia="Arial" w:hAnsi="Arial" w:cs="Arial"/>
          <w:sz w:val="18"/>
        </w:rPr>
        <w:t xml:space="preserve"> dell’agente della riscossione, nei cui confronti è proposto il ricorso, sta in giudizio direttamente o mediante la struttura territoriale sovraordinata. Stanno altresì in giudizio direttamente le cancellerie o segreterie degli uffici giudiziari per il contenzioso in materia di contributo unificato.</w:t>
      </w:r>
    </w:p>
    <w:p w14:paraId="1387CDAE" w14:textId="77777777" w:rsidR="00B32EF2" w:rsidRDefault="00000000">
      <w:pPr>
        <w:numPr>
          <w:ilvl w:val="0"/>
          <w:numId w:val="18"/>
        </w:numPr>
        <w:spacing w:after="4" w:line="254" w:lineRule="auto"/>
        <w:ind w:right="10" w:hanging="10"/>
        <w:jc w:val="both"/>
      </w:pPr>
      <w:r>
        <w:rPr>
          <w:rFonts w:ascii="Arial" w:eastAsia="Arial" w:hAnsi="Arial" w:cs="Arial"/>
          <w:sz w:val="18"/>
        </w:rPr>
        <w:t>L’ente locale nei cui confronti è proposto il ricorso può stare in giudizio anche mediante il dirigente dell’ufficio tributi, ovvero, per gli enti locali privi di figura dirigenziale, mediante il titolare della posizione organizzativa in cui è collocato detto ufficio.</w:t>
      </w:r>
    </w:p>
    <w:p w14:paraId="5BEA3712" w14:textId="77777777" w:rsidR="00B32EF2" w:rsidRDefault="00000000">
      <w:pPr>
        <w:spacing w:after="4" w:line="254" w:lineRule="auto"/>
        <w:ind w:left="-4" w:right="10" w:hanging="10"/>
        <w:jc w:val="both"/>
      </w:pPr>
      <w:r>
        <w:rPr>
          <w:rFonts w:ascii="Arial" w:eastAsia="Arial" w:hAnsi="Arial" w:cs="Arial"/>
          <w:sz w:val="18"/>
        </w:rPr>
        <w:t>3-bis. (Comma abrogato, a decorrere dal 1° gennaio 2016, dall’art. 9, comma 1, lett. d), n. 2 decreto legislativo 24 settembre 2015 n. 156).</w:t>
      </w:r>
    </w:p>
    <w:p w14:paraId="434F837B" w14:textId="77777777" w:rsidR="00B32EF2" w:rsidRDefault="00000000">
      <w:pPr>
        <w:spacing w:after="171" w:line="254" w:lineRule="auto"/>
        <w:ind w:left="-4" w:right="10" w:hanging="10"/>
        <w:jc w:val="both"/>
      </w:pPr>
      <w:r>
        <w:rPr>
          <w:rFonts w:ascii="Arial" w:eastAsia="Arial" w:hAnsi="Arial" w:cs="Arial"/>
          <w:sz w:val="18"/>
        </w:rPr>
        <w:t xml:space="preserve">3-ter. La Regione nei cui confronti è proposto il ricorso può stare in giudizio anche mediante i dirigenti degli uffici finanziari e tributari, </w:t>
      </w:r>
      <w:proofErr w:type="spellStart"/>
      <w:r>
        <w:rPr>
          <w:rFonts w:ascii="Arial" w:eastAsia="Arial" w:hAnsi="Arial" w:cs="Arial"/>
          <w:sz w:val="18"/>
        </w:rPr>
        <w:t>nonchè</w:t>
      </w:r>
      <w:proofErr w:type="spellEnd"/>
      <w:r>
        <w:rPr>
          <w:rFonts w:ascii="Arial" w:eastAsia="Arial" w:hAnsi="Arial" w:cs="Arial"/>
          <w:sz w:val="18"/>
        </w:rPr>
        <w:t xml:space="preserve"> mediante i funzionari individuati dall’ente con proprio provvedimento.</w:t>
      </w:r>
    </w:p>
    <w:p w14:paraId="5C73ECA2"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29" w:right="120" w:hanging="10"/>
        <w:jc w:val="center"/>
      </w:pPr>
      <w:r>
        <w:rPr>
          <w:rFonts w:ascii="Arial" w:eastAsia="Arial" w:hAnsi="Arial" w:cs="Arial"/>
          <w:b/>
          <w:sz w:val="18"/>
        </w:rPr>
        <w:t>Per i giudizi instaurati con ricorso notificato fino all'1.9.2024 Articolo 12</w:t>
      </w:r>
    </w:p>
    <w:p w14:paraId="6649F2B8" w14:textId="77777777" w:rsidR="00B32EF2" w:rsidRDefault="00000000">
      <w:pPr>
        <w:pBdr>
          <w:top w:val="single" w:sz="8" w:space="0" w:color="000000"/>
          <w:left w:val="single" w:sz="8" w:space="0" w:color="000000"/>
          <w:bottom w:val="single" w:sz="8" w:space="0" w:color="000000"/>
          <w:right w:val="single" w:sz="8" w:space="0" w:color="000000"/>
        </w:pBdr>
        <w:spacing w:after="0"/>
        <w:ind w:left="129" w:right="120" w:hanging="10"/>
        <w:jc w:val="center"/>
      </w:pPr>
      <w:r>
        <w:rPr>
          <w:rFonts w:ascii="Arial" w:eastAsia="Arial" w:hAnsi="Arial" w:cs="Arial"/>
          <w:i/>
          <w:sz w:val="18"/>
        </w:rPr>
        <w:t>(articolo 57 TUGT)</w:t>
      </w:r>
    </w:p>
    <w:p w14:paraId="3DF15DF4"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29" w:right="120" w:hanging="10"/>
        <w:jc w:val="center"/>
      </w:pPr>
      <w:r>
        <w:rPr>
          <w:rFonts w:ascii="Arial" w:eastAsia="Arial" w:hAnsi="Arial" w:cs="Arial"/>
          <w:b/>
          <w:sz w:val="18"/>
        </w:rPr>
        <w:t xml:space="preserve">Assistenza tecnica </w:t>
      </w:r>
    </w:p>
    <w:p w14:paraId="6FAE1CB3" w14:textId="77777777" w:rsidR="00B32EF2" w:rsidRDefault="00000000">
      <w:pPr>
        <w:numPr>
          <w:ilvl w:val="0"/>
          <w:numId w:val="19"/>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Le parti, diverse dagli enti impositori, dagli agenti della riscossione </w:t>
      </w:r>
      <w:proofErr w:type="spellStart"/>
      <w:r>
        <w:rPr>
          <w:rFonts w:ascii="Arial" w:eastAsia="Arial" w:hAnsi="Arial" w:cs="Arial"/>
          <w:sz w:val="18"/>
        </w:rPr>
        <w:t>edai</w:t>
      </w:r>
      <w:proofErr w:type="spellEnd"/>
      <w:r>
        <w:rPr>
          <w:rFonts w:ascii="Arial" w:eastAsia="Arial" w:hAnsi="Arial" w:cs="Arial"/>
          <w:sz w:val="18"/>
        </w:rPr>
        <w:t xml:space="preserve"> soggetti iscritti nell’albo di cui all’articolo 53 del decreto legislativo 15</w:t>
      </w:r>
    </w:p>
    <w:p w14:paraId="058FEEAD"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dicembre 1997, n. 446, devono essere assistite in giudizio da un difensore abilitato.</w:t>
      </w:r>
    </w:p>
    <w:p w14:paraId="7DC408D5" w14:textId="77777777" w:rsidR="00B32EF2" w:rsidRDefault="00000000">
      <w:pPr>
        <w:numPr>
          <w:ilvl w:val="0"/>
          <w:numId w:val="19"/>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Per le controversie di valore fino a tremila euro le parti possono stare </w:t>
      </w:r>
      <w:proofErr w:type="spellStart"/>
      <w:r>
        <w:rPr>
          <w:rFonts w:ascii="Arial" w:eastAsia="Arial" w:hAnsi="Arial" w:cs="Arial"/>
          <w:sz w:val="18"/>
        </w:rPr>
        <w:t>ingiudizio</w:t>
      </w:r>
      <w:proofErr w:type="spellEnd"/>
      <w:r>
        <w:rPr>
          <w:rFonts w:ascii="Arial" w:eastAsia="Arial" w:hAnsi="Arial" w:cs="Arial"/>
          <w:sz w:val="18"/>
        </w:rPr>
        <w:t xml:space="preserve"> senza assistenza tecnica. Per valore della lite si intende l’importo del tributo al netto degli interessi e delle eventuali sanzioni irrogate con l’atto impugnato; in caso di controversie relative esclusivamente alle irrogazioni di sanzioni, il valore è costituito dalla somma di queste.</w:t>
      </w:r>
    </w:p>
    <w:p w14:paraId="6493D71A" w14:textId="77777777" w:rsidR="00B32EF2" w:rsidRDefault="00000000">
      <w:pPr>
        <w:numPr>
          <w:ilvl w:val="0"/>
          <w:numId w:val="19"/>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Sono abilitati all’assistenza tecnica, se iscritti nei relativi albi professionali o nell’elenco di cui al comma 4: a) gli avvocati;</w:t>
      </w:r>
    </w:p>
    <w:p w14:paraId="16AFE6E0"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lastRenderedPageBreak/>
        <w:t>b) i soggetti iscritti nella Sezione A commercialisti dell’Albo dei dottori commercialisti e degli esperti contabili; c) i consulenti del lavoro;</w:t>
      </w:r>
    </w:p>
    <w:p w14:paraId="7538DE76" w14:textId="77777777" w:rsidR="00B32EF2" w:rsidRDefault="00000000">
      <w:pPr>
        <w:numPr>
          <w:ilvl w:val="0"/>
          <w:numId w:val="20"/>
        </w:numPr>
        <w:pBdr>
          <w:top w:val="single" w:sz="8" w:space="0" w:color="000000"/>
          <w:left w:val="single" w:sz="8" w:space="0" w:color="000000"/>
          <w:bottom w:val="single" w:sz="8" w:space="0" w:color="000000"/>
          <w:right w:val="single" w:sz="8" w:space="0" w:color="000000"/>
        </w:pBdr>
        <w:spacing w:after="3" w:line="226" w:lineRule="auto"/>
        <w:ind w:right="120" w:hanging="205"/>
        <w:jc w:val="both"/>
      </w:pPr>
      <w:r>
        <w:rPr>
          <w:rFonts w:ascii="Arial" w:eastAsia="Arial" w:hAnsi="Arial" w:cs="Arial"/>
          <w:sz w:val="18"/>
        </w:rPr>
        <w:t xml:space="preserve">i soggetti di cui all’articolo 63, terzo comma, del decreto del </w:t>
      </w:r>
      <w:proofErr w:type="spellStart"/>
      <w:r>
        <w:rPr>
          <w:rFonts w:ascii="Arial" w:eastAsia="Arial" w:hAnsi="Arial" w:cs="Arial"/>
          <w:sz w:val="18"/>
        </w:rPr>
        <w:t>Presidentedella</w:t>
      </w:r>
      <w:proofErr w:type="spellEnd"/>
      <w:r>
        <w:rPr>
          <w:rFonts w:ascii="Arial" w:eastAsia="Arial" w:hAnsi="Arial" w:cs="Arial"/>
          <w:sz w:val="18"/>
        </w:rPr>
        <w:t xml:space="preserve"> Repubblica 29 settembre 1973, n. 600;</w:t>
      </w:r>
    </w:p>
    <w:p w14:paraId="21BB52D3" w14:textId="77777777" w:rsidR="00B32EF2" w:rsidRDefault="00000000">
      <w:pPr>
        <w:numPr>
          <w:ilvl w:val="0"/>
          <w:numId w:val="20"/>
        </w:numPr>
        <w:pBdr>
          <w:top w:val="single" w:sz="8" w:space="0" w:color="000000"/>
          <w:left w:val="single" w:sz="8" w:space="0" w:color="000000"/>
          <w:bottom w:val="single" w:sz="8" w:space="0" w:color="000000"/>
          <w:right w:val="single" w:sz="8" w:space="0" w:color="000000"/>
        </w:pBdr>
        <w:spacing w:after="3" w:line="226" w:lineRule="auto"/>
        <w:ind w:right="120" w:hanging="205"/>
        <w:jc w:val="both"/>
      </w:pPr>
      <w:r>
        <w:rPr>
          <w:rFonts w:ascii="Arial" w:eastAsia="Arial" w:hAnsi="Arial" w:cs="Arial"/>
          <w:sz w:val="18"/>
        </w:rPr>
        <w:t>i soggetti già iscritti alla data del 30 settembre 1993 nei ruoli di periti ed</w:t>
      </w:r>
    </w:p>
    <w:p w14:paraId="2A65292B" w14:textId="77777777" w:rsidR="00B32EF2" w:rsidRDefault="00B32EF2">
      <w:pPr>
        <w:spacing w:after="0"/>
        <w:ind w:left="-1133" w:right="7372"/>
      </w:pPr>
    </w:p>
    <w:tbl>
      <w:tblPr>
        <w:tblStyle w:val="TableGrid"/>
        <w:tblW w:w="6236" w:type="dxa"/>
        <w:tblInd w:w="11" w:type="dxa"/>
        <w:tblCellMar>
          <w:top w:w="123" w:type="dxa"/>
          <w:left w:w="123" w:type="dxa"/>
          <w:bottom w:w="0" w:type="dxa"/>
          <w:right w:w="72" w:type="dxa"/>
        </w:tblCellMar>
        <w:tblLook w:val="04A0" w:firstRow="1" w:lastRow="0" w:firstColumn="1" w:lastColumn="0" w:noHBand="0" w:noVBand="1"/>
      </w:tblPr>
      <w:tblGrid>
        <w:gridCol w:w="6236"/>
      </w:tblGrid>
      <w:tr w:rsidR="00B32EF2" w14:paraId="4F12F1BE" w14:textId="77777777">
        <w:trPr>
          <w:trHeight w:val="9108"/>
        </w:trPr>
        <w:tc>
          <w:tcPr>
            <w:tcW w:w="6236" w:type="dxa"/>
            <w:tcBorders>
              <w:top w:val="single" w:sz="8" w:space="0" w:color="000000"/>
              <w:left w:val="single" w:sz="8" w:space="0" w:color="000000"/>
              <w:bottom w:val="single" w:sz="8" w:space="0" w:color="000000"/>
              <w:right w:val="single" w:sz="8" w:space="0" w:color="000000"/>
            </w:tcBorders>
          </w:tcPr>
          <w:p w14:paraId="05E91929" w14:textId="77777777" w:rsidR="00B32EF2" w:rsidRDefault="00000000">
            <w:pPr>
              <w:spacing w:after="0" w:line="225" w:lineRule="auto"/>
            </w:pPr>
            <w:r>
              <w:rPr>
                <w:rFonts w:ascii="Arial" w:eastAsia="Arial" w:hAnsi="Arial" w:cs="Arial"/>
                <w:sz w:val="18"/>
              </w:rPr>
              <w:lastRenderedPageBreak/>
              <w:t>esperti tenuti dalle camere di commercio, industria, artigianato e agricoltura per la subcategoria tributi, in possesso di diploma di laurea in giurisprudenza o in economia e commercio o equipollenti o di diploma di ragioniere limitatamente alle materie concernenti le imposte di registro, di successione, i tributi locali, l’IVA, l’IRPEF, l’IRAP e l’IRES;</w:t>
            </w:r>
          </w:p>
          <w:p w14:paraId="5A76F8C2" w14:textId="77777777" w:rsidR="00B32EF2" w:rsidRDefault="00000000">
            <w:pPr>
              <w:numPr>
                <w:ilvl w:val="0"/>
                <w:numId w:val="198"/>
              </w:numPr>
              <w:spacing w:after="0" w:line="225" w:lineRule="auto"/>
              <w:ind w:right="51"/>
              <w:jc w:val="both"/>
            </w:pPr>
            <w:r>
              <w:rPr>
                <w:rFonts w:ascii="Arial" w:eastAsia="Arial" w:hAnsi="Arial" w:cs="Arial"/>
                <w:sz w:val="18"/>
              </w:rPr>
              <w:t>i funzionari delle associazioni di categoria che, alla data di entrata in vigore del decreto legislativo 31 dicembre 1992, n. 545, risultavano iscritti negli elenchi tenuti dalle Intendenze di finanza competenti per territorio, ai sensi dell’ultimo periodo dell’articolo 30, terzo comma, del decreto del Presidente della Repubblica 26 ottobre 1972, n. 636;</w:t>
            </w:r>
          </w:p>
          <w:p w14:paraId="21321387" w14:textId="77777777" w:rsidR="00B32EF2" w:rsidRDefault="00000000">
            <w:pPr>
              <w:numPr>
                <w:ilvl w:val="0"/>
                <w:numId w:val="198"/>
              </w:numPr>
              <w:spacing w:after="0" w:line="225" w:lineRule="auto"/>
              <w:ind w:right="51"/>
              <w:jc w:val="both"/>
            </w:pPr>
            <w:r>
              <w:rPr>
                <w:rFonts w:ascii="Arial" w:eastAsia="Arial" w:hAnsi="Arial" w:cs="Arial"/>
                <w:sz w:val="18"/>
              </w:rPr>
              <w:t>i dipendenti delle associazioni delle categorie rappresentate nel Consiglio nazionale dell’economia e del lavoro (C.N.E.L.) e i dipendenti delle imprese, o delle loro controllate ai sensi dell’articolo 2359 del codice civile, primo comma, numero 1), limitatamente alle controversie nelle quali sono parti, rispettivamente, gli associati e le imprese o loro controllate, in possesso del diploma di laurea magistrale in giurisprudenza o in economia ed equipollenti, o di diploma di ragioneria e della relativa abilitazione professionale;</w:t>
            </w:r>
          </w:p>
          <w:p w14:paraId="1923EED9" w14:textId="77777777" w:rsidR="00B32EF2" w:rsidRDefault="00000000">
            <w:pPr>
              <w:numPr>
                <w:ilvl w:val="0"/>
                <w:numId w:val="198"/>
              </w:numPr>
              <w:spacing w:after="0" w:line="225" w:lineRule="auto"/>
              <w:ind w:right="51"/>
              <w:jc w:val="both"/>
            </w:pPr>
            <w:r>
              <w:rPr>
                <w:rFonts w:ascii="Arial" w:eastAsia="Arial" w:hAnsi="Arial" w:cs="Arial"/>
                <w:sz w:val="18"/>
              </w:rPr>
              <w:t xml:space="preserve">i dipendenti dei centri di assistenza fiscale (CAF) di cui all’articolo 32 </w:t>
            </w:r>
            <w:proofErr w:type="spellStart"/>
            <w:r>
              <w:rPr>
                <w:rFonts w:ascii="Arial" w:eastAsia="Arial" w:hAnsi="Arial" w:cs="Arial"/>
                <w:sz w:val="18"/>
              </w:rPr>
              <w:t>deldecreto</w:t>
            </w:r>
            <w:proofErr w:type="spellEnd"/>
            <w:r>
              <w:rPr>
                <w:rFonts w:ascii="Arial" w:eastAsia="Arial" w:hAnsi="Arial" w:cs="Arial"/>
                <w:sz w:val="18"/>
              </w:rPr>
              <w:t xml:space="preserve"> legislativo 9 luglio 1997, n. 241, e delle relative società di servizi, </w:t>
            </w:r>
            <w:proofErr w:type="spellStart"/>
            <w:r>
              <w:rPr>
                <w:rFonts w:ascii="Arial" w:eastAsia="Arial" w:hAnsi="Arial" w:cs="Arial"/>
                <w:sz w:val="18"/>
              </w:rPr>
              <w:t>purchè</w:t>
            </w:r>
            <w:proofErr w:type="spellEnd"/>
            <w:r>
              <w:rPr>
                <w:rFonts w:ascii="Arial" w:eastAsia="Arial" w:hAnsi="Arial" w:cs="Arial"/>
                <w:sz w:val="18"/>
              </w:rPr>
              <w:t xml:space="preserve"> in possesso di diploma di laurea magistrale in giurisprudenza o in economia ed equipollenti, o di diploma di ragioneria e della relativa abilitazione professionale, limitatamente alle controversie dei propri assistiti originate da adempimenti per i quali il CAF ha prestato loro assistenza.</w:t>
            </w:r>
          </w:p>
          <w:p w14:paraId="128EB547" w14:textId="77777777" w:rsidR="00B32EF2" w:rsidRDefault="00000000">
            <w:pPr>
              <w:numPr>
                <w:ilvl w:val="0"/>
                <w:numId w:val="199"/>
              </w:numPr>
              <w:spacing w:after="0" w:line="225" w:lineRule="auto"/>
              <w:ind w:right="51"/>
              <w:jc w:val="both"/>
            </w:pPr>
            <w:r>
              <w:rPr>
                <w:rFonts w:ascii="Arial" w:eastAsia="Arial" w:hAnsi="Arial" w:cs="Arial"/>
                <w:sz w:val="18"/>
              </w:rPr>
              <w:t xml:space="preserve">L’elenco dei soggetti di cui al comma 3, lettere d), e), f), g) ed h), è </w:t>
            </w:r>
            <w:proofErr w:type="spellStart"/>
            <w:r>
              <w:rPr>
                <w:rFonts w:ascii="Arial" w:eastAsia="Arial" w:hAnsi="Arial" w:cs="Arial"/>
                <w:sz w:val="18"/>
              </w:rPr>
              <w:t>tenutodal</w:t>
            </w:r>
            <w:proofErr w:type="spellEnd"/>
            <w:r>
              <w:rPr>
                <w:rFonts w:ascii="Arial" w:eastAsia="Arial" w:hAnsi="Arial" w:cs="Arial"/>
                <w:sz w:val="18"/>
              </w:rPr>
              <w:t xml:space="preserve"> Dipartimento delle finanze del Ministero dell’economia e delle finanze che vi provvede con le risorse umane, strumentali e finanziarie disponibili a legislazione vigente senza nuovi o maggiori oneri a carico del bilancio dello Stato. Con decreto del Ministro dell’economia e delle finanze (D.M. 05/08/2019 GU 233/2019), sentito il Ministero della giustizia, emesso ai sensi dell’articolo 17, comma 3, della legge 23 agosto 1988, n. 400, sono disciplinate le modalità di tenuta dell’elenco, </w:t>
            </w:r>
            <w:proofErr w:type="spellStart"/>
            <w:r>
              <w:rPr>
                <w:rFonts w:ascii="Arial" w:eastAsia="Arial" w:hAnsi="Arial" w:cs="Arial"/>
                <w:sz w:val="18"/>
              </w:rPr>
              <w:t>nonchè</w:t>
            </w:r>
            <w:proofErr w:type="spellEnd"/>
            <w:r>
              <w:rPr>
                <w:rFonts w:ascii="Arial" w:eastAsia="Arial" w:hAnsi="Arial" w:cs="Arial"/>
                <w:sz w:val="18"/>
              </w:rPr>
              <w:t xml:space="preserve"> i casi di incompatibilità, diniego, sospensione e revoca della iscrizione anche sulla base dei principi contenuti nel codice deontologico forense. L’elenco è pubblicato nel sito internet del Ministero dell’economia e delle finanze.</w:t>
            </w:r>
          </w:p>
          <w:p w14:paraId="07CD3259" w14:textId="77777777" w:rsidR="00B32EF2" w:rsidRDefault="00000000">
            <w:pPr>
              <w:numPr>
                <w:ilvl w:val="0"/>
                <w:numId w:val="199"/>
              </w:numPr>
              <w:spacing w:after="0" w:line="225" w:lineRule="auto"/>
              <w:ind w:right="51"/>
              <w:jc w:val="both"/>
            </w:pPr>
            <w:r>
              <w:rPr>
                <w:rFonts w:ascii="Arial" w:eastAsia="Arial" w:hAnsi="Arial" w:cs="Arial"/>
                <w:sz w:val="18"/>
              </w:rPr>
              <w:t xml:space="preserve">Per le controversie di cui all’articolo 2, comma 2, primo periodo, </w:t>
            </w:r>
            <w:proofErr w:type="spellStart"/>
            <w:r>
              <w:rPr>
                <w:rFonts w:ascii="Arial" w:eastAsia="Arial" w:hAnsi="Arial" w:cs="Arial"/>
                <w:sz w:val="18"/>
              </w:rPr>
              <w:t>sonoanche</w:t>
            </w:r>
            <w:proofErr w:type="spellEnd"/>
            <w:r>
              <w:rPr>
                <w:rFonts w:ascii="Arial" w:eastAsia="Arial" w:hAnsi="Arial" w:cs="Arial"/>
                <w:sz w:val="18"/>
              </w:rPr>
              <w:t xml:space="preserve"> abilitati all’assistenza tecnica, se iscritti nei relativi albi professionali: a) gli ingegneri;</w:t>
            </w:r>
          </w:p>
          <w:p w14:paraId="661133BB" w14:textId="77777777" w:rsidR="00B32EF2" w:rsidRDefault="00000000">
            <w:pPr>
              <w:numPr>
                <w:ilvl w:val="0"/>
                <w:numId w:val="200"/>
              </w:numPr>
              <w:spacing w:after="0"/>
              <w:ind w:hanging="208"/>
            </w:pPr>
            <w:r>
              <w:rPr>
                <w:rFonts w:ascii="Arial" w:eastAsia="Arial" w:hAnsi="Arial" w:cs="Arial"/>
                <w:sz w:val="18"/>
              </w:rPr>
              <w:t>gli architetti;</w:t>
            </w:r>
          </w:p>
          <w:p w14:paraId="3CFA7E00" w14:textId="77777777" w:rsidR="00B32EF2" w:rsidRDefault="00000000">
            <w:pPr>
              <w:numPr>
                <w:ilvl w:val="0"/>
                <w:numId w:val="200"/>
              </w:numPr>
              <w:spacing w:after="0"/>
              <w:ind w:hanging="208"/>
            </w:pPr>
            <w:r>
              <w:rPr>
                <w:rFonts w:ascii="Arial" w:eastAsia="Arial" w:hAnsi="Arial" w:cs="Arial"/>
                <w:sz w:val="18"/>
              </w:rPr>
              <w:t>i geometri;</w:t>
            </w:r>
          </w:p>
          <w:p w14:paraId="70C0A382" w14:textId="77777777" w:rsidR="00B32EF2" w:rsidRDefault="00000000">
            <w:pPr>
              <w:numPr>
                <w:ilvl w:val="0"/>
                <w:numId w:val="200"/>
              </w:numPr>
              <w:spacing w:after="0"/>
              <w:ind w:hanging="208"/>
            </w:pPr>
            <w:r>
              <w:rPr>
                <w:rFonts w:ascii="Arial" w:eastAsia="Arial" w:hAnsi="Arial" w:cs="Arial"/>
                <w:sz w:val="18"/>
              </w:rPr>
              <w:t>i periti industriali;</w:t>
            </w:r>
          </w:p>
          <w:p w14:paraId="294DA671" w14:textId="77777777" w:rsidR="00B32EF2" w:rsidRDefault="00000000">
            <w:pPr>
              <w:numPr>
                <w:ilvl w:val="0"/>
                <w:numId w:val="200"/>
              </w:numPr>
              <w:spacing w:after="0"/>
              <w:ind w:hanging="208"/>
            </w:pPr>
            <w:r>
              <w:rPr>
                <w:rFonts w:ascii="Arial" w:eastAsia="Arial" w:hAnsi="Arial" w:cs="Arial"/>
                <w:sz w:val="18"/>
              </w:rPr>
              <w:t>i dottori agronomi e forestali;</w:t>
            </w:r>
          </w:p>
          <w:p w14:paraId="22F70C67" w14:textId="77777777" w:rsidR="00B32EF2" w:rsidRDefault="00000000">
            <w:pPr>
              <w:numPr>
                <w:ilvl w:val="0"/>
                <w:numId w:val="200"/>
              </w:numPr>
              <w:spacing w:after="0"/>
              <w:ind w:hanging="208"/>
            </w:pPr>
            <w:r>
              <w:rPr>
                <w:rFonts w:ascii="Arial" w:eastAsia="Arial" w:hAnsi="Arial" w:cs="Arial"/>
                <w:sz w:val="18"/>
              </w:rPr>
              <w:t>gli agrotecnici;</w:t>
            </w:r>
          </w:p>
          <w:p w14:paraId="7AA38C9A" w14:textId="77777777" w:rsidR="00B32EF2" w:rsidRDefault="00000000">
            <w:pPr>
              <w:numPr>
                <w:ilvl w:val="0"/>
                <w:numId w:val="200"/>
              </w:numPr>
              <w:spacing w:after="0"/>
              <w:ind w:hanging="208"/>
            </w:pPr>
            <w:r>
              <w:rPr>
                <w:rFonts w:ascii="Arial" w:eastAsia="Arial" w:hAnsi="Arial" w:cs="Arial"/>
                <w:sz w:val="18"/>
              </w:rPr>
              <w:t>i periti agrari.</w:t>
            </w:r>
          </w:p>
          <w:p w14:paraId="6F55F132" w14:textId="77777777" w:rsidR="00B32EF2" w:rsidRDefault="00000000">
            <w:pPr>
              <w:spacing w:after="0"/>
            </w:pPr>
            <w:r>
              <w:rPr>
                <w:rFonts w:ascii="Arial" w:eastAsia="Arial" w:hAnsi="Arial" w:cs="Arial"/>
                <w:sz w:val="18"/>
              </w:rPr>
              <w:t xml:space="preserve">6. Per le controversie relative ai tributi doganali sono anche abilitati </w:t>
            </w:r>
            <w:proofErr w:type="spellStart"/>
            <w:r>
              <w:rPr>
                <w:rFonts w:ascii="Arial" w:eastAsia="Arial" w:hAnsi="Arial" w:cs="Arial"/>
                <w:sz w:val="18"/>
              </w:rPr>
              <w:t>all’assi</w:t>
            </w:r>
            <w:proofErr w:type="spellEnd"/>
            <w:r>
              <w:rPr>
                <w:rFonts w:ascii="Arial" w:eastAsia="Arial" w:hAnsi="Arial" w:cs="Arial"/>
                <w:sz w:val="18"/>
              </w:rPr>
              <w:t>-</w:t>
            </w:r>
          </w:p>
        </w:tc>
      </w:tr>
    </w:tbl>
    <w:p w14:paraId="24D0D320"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proofErr w:type="spellStart"/>
      <w:r>
        <w:rPr>
          <w:rFonts w:ascii="Arial" w:eastAsia="Arial" w:hAnsi="Arial" w:cs="Arial"/>
          <w:sz w:val="18"/>
        </w:rPr>
        <w:lastRenderedPageBreak/>
        <w:t>stenza</w:t>
      </w:r>
      <w:proofErr w:type="spellEnd"/>
      <w:r>
        <w:rPr>
          <w:rFonts w:ascii="Arial" w:eastAsia="Arial" w:hAnsi="Arial" w:cs="Arial"/>
          <w:sz w:val="18"/>
        </w:rPr>
        <w:t xml:space="preserve"> tecnica gli spedizionieri doganali iscritti nell’apposito albo.</w:t>
      </w:r>
    </w:p>
    <w:p w14:paraId="7A4048F0" w14:textId="77777777" w:rsidR="00B32EF2" w:rsidRDefault="00000000">
      <w:pPr>
        <w:numPr>
          <w:ilvl w:val="0"/>
          <w:numId w:val="21"/>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Ai difensori di cui ai commi da 1 a 6 deve essere conferito l’</w:t>
      </w:r>
      <w:proofErr w:type="spellStart"/>
      <w:r>
        <w:rPr>
          <w:rFonts w:ascii="Arial" w:eastAsia="Arial" w:hAnsi="Arial" w:cs="Arial"/>
          <w:sz w:val="18"/>
        </w:rPr>
        <w:t>incaricocon</w:t>
      </w:r>
      <w:proofErr w:type="spellEnd"/>
      <w:r>
        <w:rPr>
          <w:rFonts w:ascii="Arial" w:eastAsia="Arial" w:hAnsi="Arial" w:cs="Arial"/>
          <w:sz w:val="18"/>
        </w:rPr>
        <w:t xml:space="preserve"> atto pubblico o con scrittura privata autenticata od anche in calce o a margine di un atto del processo, nel qual caso la sottoscrizione autografa è certificata dallo stesso incaricato. All’udienza pubblica l’incarico può essere conferito oralmente e se ne dà atto a verbale.</w:t>
      </w:r>
    </w:p>
    <w:p w14:paraId="0F3B28FC" w14:textId="77777777" w:rsidR="00B32EF2" w:rsidRDefault="00000000">
      <w:pPr>
        <w:numPr>
          <w:ilvl w:val="0"/>
          <w:numId w:val="21"/>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Le Agenzie delle entrate, delle dogane e dei monopoli di cui al </w:t>
      </w:r>
      <w:proofErr w:type="spellStart"/>
      <w:r>
        <w:rPr>
          <w:rFonts w:ascii="Arial" w:eastAsia="Arial" w:hAnsi="Arial" w:cs="Arial"/>
          <w:sz w:val="18"/>
        </w:rPr>
        <w:t>decretolegislativo</w:t>
      </w:r>
      <w:proofErr w:type="spellEnd"/>
      <w:r>
        <w:rPr>
          <w:rFonts w:ascii="Arial" w:eastAsia="Arial" w:hAnsi="Arial" w:cs="Arial"/>
          <w:sz w:val="18"/>
        </w:rPr>
        <w:t xml:space="preserve"> 30 luglio 1999, n. 300, possono essere assistite dall’Avvocatura dello Stato.</w:t>
      </w:r>
    </w:p>
    <w:p w14:paraId="6BA00085" w14:textId="77777777" w:rsidR="00B32EF2" w:rsidRDefault="00000000">
      <w:pPr>
        <w:numPr>
          <w:ilvl w:val="0"/>
          <w:numId w:val="21"/>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I soggetti in possesso dei requisiti richiesti nei commi 3, 5 e 6 </w:t>
      </w:r>
      <w:proofErr w:type="spellStart"/>
      <w:r>
        <w:rPr>
          <w:rFonts w:ascii="Arial" w:eastAsia="Arial" w:hAnsi="Arial" w:cs="Arial"/>
          <w:sz w:val="18"/>
        </w:rPr>
        <w:t>possonostare</w:t>
      </w:r>
      <w:proofErr w:type="spellEnd"/>
      <w:r>
        <w:rPr>
          <w:rFonts w:ascii="Arial" w:eastAsia="Arial" w:hAnsi="Arial" w:cs="Arial"/>
          <w:sz w:val="18"/>
        </w:rPr>
        <w:t xml:space="preserve"> in giudizio personalmente, ferme restando le limitazioni all’oggetto della loro attività previste nei medesimi commi.</w:t>
      </w:r>
    </w:p>
    <w:p w14:paraId="7440D843" w14:textId="77777777" w:rsidR="00B32EF2" w:rsidRDefault="00000000">
      <w:pPr>
        <w:numPr>
          <w:ilvl w:val="0"/>
          <w:numId w:val="21"/>
        </w:numPr>
        <w:pBdr>
          <w:top w:val="single" w:sz="8" w:space="0" w:color="000000"/>
          <w:left w:val="single" w:sz="8" w:space="0" w:color="000000"/>
          <w:bottom w:val="single" w:sz="8" w:space="0" w:color="000000"/>
          <w:right w:val="single" w:sz="8" w:space="0" w:color="000000"/>
        </w:pBdr>
        <w:spacing w:after="256" w:line="226" w:lineRule="auto"/>
        <w:ind w:right="120" w:hanging="10"/>
        <w:jc w:val="both"/>
      </w:pPr>
      <w:r>
        <w:rPr>
          <w:rFonts w:ascii="Arial" w:eastAsia="Arial" w:hAnsi="Arial" w:cs="Arial"/>
          <w:sz w:val="18"/>
        </w:rPr>
        <w:t>Si applica l’articolo 182 del codice di procedura civile ed i relativi provvedimenti sono emessi dal presidente della commissione o della sezione o dal collegio.</w:t>
      </w:r>
    </w:p>
    <w:p w14:paraId="76B57C8B" w14:textId="77777777" w:rsidR="00B32EF2" w:rsidRDefault="00000000">
      <w:pPr>
        <w:spacing w:after="0" w:line="261" w:lineRule="auto"/>
        <w:ind w:left="12" w:right="3" w:hanging="10"/>
        <w:jc w:val="center"/>
      </w:pPr>
      <w:r>
        <w:rPr>
          <w:rFonts w:ascii="Arial" w:eastAsia="Arial" w:hAnsi="Arial" w:cs="Arial"/>
          <w:b/>
          <w:sz w:val="18"/>
        </w:rPr>
        <w:t xml:space="preserve">Articolo 12     </w:t>
      </w:r>
    </w:p>
    <w:p w14:paraId="2B77EA97" w14:textId="77777777" w:rsidR="00B32EF2" w:rsidRDefault="00000000">
      <w:pPr>
        <w:spacing w:after="3" w:line="251" w:lineRule="auto"/>
        <w:ind w:left="2320" w:right="2311" w:hanging="10"/>
        <w:jc w:val="center"/>
      </w:pPr>
      <w:r>
        <w:rPr>
          <w:rFonts w:ascii="Arial" w:eastAsia="Arial" w:hAnsi="Arial" w:cs="Arial"/>
          <w:i/>
          <w:sz w:val="18"/>
        </w:rPr>
        <w:t>(articolo 57 TUGT)</w:t>
      </w:r>
    </w:p>
    <w:p w14:paraId="326F73B4" w14:textId="77777777" w:rsidR="00B32EF2" w:rsidRDefault="00000000">
      <w:pPr>
        <w:spacing w:after="0" w:line="261" w:lineRule="auto"/>
        <w:ind w:left="12" w:right="2" w:hanging="10"/>
        <w:jc w:val="center"/>
      </w:pPr>
      <w:r>
        <w:rPr>
          <w:rFonts w:ascii="Arial" w:eastAsia="Arial" w:hAnsi="Arial" w:cs="Arial"/>
          <w:b/>
          <w:sz w:val="18"/>
        </w:rPr>
        <w:t xml:space="preserve">Assistenza tecnica </w:t>
      </w:r>
    </w:p>
    <w:p w14:paraId="78B699DA" w14:textId="77777777" w:rsidR="00B32EF2" w:rsidRDefault="00000000">
      <w:pPr>
        <w:numPr>
          <w:ilvl w:val="0"/>
          <w:numId w:val="22"/>
        </w:numPr>
        <w:spacing w:after="4" w:line="254" w:lineRule="auto"/>
        <w:ind w:right="10" w:hanging="10"/>
        <w:jc w:val="both"/>
      </w:pPr>
      <w:r>
        <w:rPr>
          <w:rFonts w:ascii="Arial" w:eastAsia="Arial" w:hAnsi="Arial" w:cs="Arial"/>
          <w:sz w:val="18"/>
        </w:rPr>
        <w:t xml:space="preserve">Le parti, diverse dagli enti impositori, dagli agenti della riscossione e </w:t>
      </w:r>
      <w:proofErr w:type="spellStart"/>
      <w:r>
        <w:rPr>
          <w:rFonts w:ascii="Arial" w:eastAsia="Arial" w:hAnsi="Arial" w:cs="Arial"/>
          <w:sz w:val="18"/>
        </w:rPr>
        <w:t>daisoggetti</w:t>
      </w:r>
      <w:proofErr w:type="spellEnd"/>
      <w:r>
        <w:rPr>
          <w:rFonts w:ascii="Arial" w:eastAsia="Arial" w:hAnsi="Arial" w:cs="Arial"/>
          <w:sz w:val="18"/>
        </w:rPr>
        <w:t xml:space="preserve"> iscritti nell’albo di cui all’articolo 53 del decreto legislativo 15 dicembre 1997, n. 446, devono essere assistite in giudizio da un difensore abilitato.</w:t>
      </w:r>
    </w:p>
    <w:p w14:paraId="10393BC1" w14:textId="77777777" w:rsidR="00B32EF2" w:rsidRDefault="00000000">
      <w:pPr>
        <w:numPr>
          <w:ilvl w:val="0"/>
          <w:numId w:val="22"/>
        </w:numPr>
        <w:spacing w:after="4" w:line="254" w:lineRule="auto"/>
        <w:ind w:right="10" w:hanging="10"/>
        <w:jc w:val="both"/>
      </w:pPr>
      <w:r>
        <w:rPr>
          <w:rFonts w:ascii="Arial" w:eastAsia="Arial" w:hAnsi="Arial" w:cs="Arial"/>
          <w:sz w:val="18"/>
        </w:rPr>
        <w:t xml:space="preserve">Per le controversie di valore fino a tremila euro le parti possono stare </w:t>
      </w:r>
      <w:proofErr w:type="spellStart"/>
      <w:r>
        <w:rPr>
          <w:rFonts w:ascii="Arial" w:eastAsia="Arial" w:hAnsi="Arial" w:cs="Arial"/>
          <w:sz w:val="18"/>
        </w:rPr>
        <w:t>ingiudizio</w:t>
      </w:r>
      <w:proofErr w:type="spellEnd"/>
      <w:r>
        <w:rPr>
          <w:rFonts w:ascii="Arial" w:eastAsia="Arial" w:hAnsi="Arial" w:cs="Arial"/>
          <w:sz w:val="18"/>
        </w:rPr>
        <w:t xml:space="preserve"> senza assistenza tecnica. Per valore della lite si intende l’importo del tributo al netto degli interessi e delle eventuali sanzioni irrogate con l’atto impugnato; in caso di controversie relative esclusivamente alle irrogazioni di sanzioni, il valore è costituito dalla somma di queste.</w:t>
      </w:r>
    </w:p>
    <w:p w14:paraId="7EB622D1" w14:textId="77777777" w:rsidR="00B32EF2" w:rsidRDefault="00000000">
      <w:pPr>
        <w:numPr>
          <w:ilvl w:val="0"/>
          <w:numId w:val="22"/>
        </w:numPr>
        <w:spacing w:after="3" w:line="226" w:lineRule="auto"/>
        <w:ind w:right="10" w:hanging="10"/>
        <w:jc w:val="both"/>
      </w:pPr>
      <w:r>
        <w:rPr>
          <w:rFonts w:ascii="Arial" w:eastAsia="Arial" w:hAnsi="Arial" w:cs="Arial"/>
          <w:sz w:val="18"/>
        </w:rPr>
        <w:t xml:space="preserve">Sono abilitati all’assistenza tecnica, se iscritti nei relativi albi professionali </w:t>
      </w:r>
      <w:proofErr w:type="spellStart"/>
      <w:r>
        <w:rPr>
          <w:rFonts w:ascii="Arial" w:eastAsia="Arial" w:hAnsi="Arial" w:cs="Arial"/>
          <w:sz w:val="18"/>
        </w:rPr>
        <w:t>onell’elenco</w:t>
      </w:r>
      <w:proofErr w:type="spellEnd"/>
      <w:r>
        <w:rPr>
          <w:rFonts w:ascii="Arial" w:eastAsia="Arial" w:hAnsi="Arial" w:cs="Arial"/>
          <w:sz w:val="18"/>
        </w:rPr>
        <w:t xml:space="preserve"> di cui al comma 4: a) gli avvocati;</w:t>
      </w:r>
    </w:p>
    <w:p w14:paraId="2C62A59C" w14:textId="77777777" w:rsidR="00B32EF2" w:rsidRDefault="00000000">
      <w:pPr>
        <w:spacing w:after="4" w:line="254" w:lineRule="auto"/>
        <w:ind w:left="-4" w:right="10" w:hanging="10"/>
        <w:jc w:val="both"/>
      </w:pPr>
      <w:r>
        <w:rPr>
          <w:rFonts w:ascii="Arial" w:eastAsia="Arial" w:hAnsi="Arial" w:cs="Arial"/>
          <w:sz w:val="18"/>
        </w:rPr>
        <w:t>b) i soggetti iscritti nella Sezione A commercialisti dell’Albo dei dottori commercialisti e degli esperti contabili; c) i consulenti del lavoro;</w:t>
      </w:r>
    </w:p>
    <w:p w14:paraId="5F782AE9" w14:textId="77777777" w:rsidR="00B32EF2" w:rsidRDefault="00000000">
      <w:pPr>
        <w:numPr>
          <w:ilvl w:val="0"/>
          <w:numId w:val="23"/>
        </w:numPr>
        <w:spacing w:after="4" w:line="254" w:lineRule="auto"/>
        <w:ind w:right="10" w:hanging="200"/>
        <w:jc w:val="both"/>
      </w:pPr>
      <w:r>
        <w:rPr>
          <w:rFonts w:ascii="Arial" w:eastAsia="Arial" w:hAnsi="Arial" w:cs="Arial"/>
          <w:sz w:val="18"/>
        </w:rPr>
        <w:t>i soggetti di cui all’articolo 63, terzo comma, del decreto del Presidente della</w:t>
      </w:r>
    </w:p>
    <w:p w14:paraId="2013134C" w14:textId="77777777" w:rsidR="00B32EF2" w:rsidRDefault="00000000">
      <w:pPr>
        <w:spacing w:after="4" w:line="254" w:lineRule="auto"/>
        <w:ind w:left="-4" w:right="10" w:hanging="10"/>
        <w:jc w:val="both"/>
      </w:pPr>
      <w:r>
        <w:rPr>
          <w:rFonts w:ascii="Arial" w:eastAsia="Arial" w:hAnsi="Arial" w:cs="Arial"/>
          <w:sz w:val="18"/>
        </w:rPr>
        <w:t>Repubblica 29 settembre 1973, n. 600;</w:t>
      </w:r>
    </w:p>
    <w:p w14:paraId="16D81E9B" w14:textId="77777777" w:rsidR="00B32EF2" w:rsidRDefault="00000000">
      <w:pPr>
        <w:numPr>
          <w:ilvl w:val="0"/>
          <w:numId w:val="23"/>
        </w:numPr>
        <w:spacing w:after="4" w:line="254" w:lineRule="auto"/>
        <w:ind w:right="10" w:hanging="200"/>
        <w:jc w:val="both"/>
      </w:pPr>
      <w:r>
        <w:rPr>
          <w:rFonts w:ascii="Arial" w:eastAsia="Arial" w:hAnsi="Arial" w:cs="Arial"/>
          <w:sz w:val="18"/>
        </w:rPr>
        <w:t xml:space="preserve">i soggetti già iscritti alla data del 30 settembre 1993 nei ruoli di periti </w:t>
      </w:r>
      <w:proofErr w:type="spellStart"/>
      <w:r>
        <w:rPr>
          <w:rFonts w:ascii="Arial" w:eastAsia="Arial" w:hAnsi="Arial" w:cs="Arial"/>
          <w:sz w:val="18"/>
        </w:rPr>
        <w:t>edesperti</w:t>
      </w:r>
      <w:proofErr w:type="spellEnd"/>
      <w:r>
        <w:rPr>
          <w:rFonts w:ascii="Arial" w:eastAsia="Arial" w:hAnsi="Arial" w:cs="Arial"/>
          <w:sz w:val="18"/>
        </w:rPr>
        <w:t xml:space="preserve"> tenuti dalle camere di commercio, industria, artigianato e agricoltura per la subcategoria tributi, in possesso di diploma di laurea in giurisprudenza o in economia e commercio o equipollenti o di diploma di ragioniere limitatamente alle materie concernenti le imposte di registro, di successione, i tributi locali, l’IVA, l’IRPEF, l’IRAP e l’IRES;</w:t>
      </w:r>
    </w:p>
    <w:p w14:paraId="7C1AEB89" w14:textId="77777777" w:rsidR="00B32EF2" w:rsidRDefault="00000000">
      <w:pPr>
        <w:numPr>
          <w:ilvl w:val="0"/>
          <w:numId w:val="23"/>
        </w:numPr>
        <w:spacing w:after="4" w:line="254" w:lineRule="auto"/>
        <w:ind w:right="10" w:hanging="200"/>
        <w:jc w:val="both"/>
      </w:pPr>
      <w:r>
        <w:rPr>
          <w:rFonts w:ascii="Arial" w:eastAsia="Arial" w:hAnsi="Arial" w:cs="Arial"/>
          <w:sz w:val="18"/>
        </w:rPr>
        <w:t xml:space="preserve">i funzionari delle associazioni di categoria che, alla data di entrata in vigore del decreto legislativo 31 dicembre 1992, n. 545, risultavano iscritti negli elenchi tenuti dalle Intendenze di finanza competenti per territorio, ai sensi </w:t>
      </w:r>
      <w:r>
        <w:rPr>
          <w:rFonts w:ascii="Arial" w:eastAsia="Arial" w:hAnsi="Arial" w:cs="Arial"/>
          <w:sz w:val="18"/>
        </w:rPr>
        <w:lastRenderedPageBreak/>
        <w:t>dell’ultimo periodo dell’articolo 30, terzo comma, del decreto del Presidente della Repubblica 26 ottobre 1972, n. 636;</w:t>
      </w:r>
    </w:p>
    <w:p w14:paraId="2FCACEB2" w14:textId="77777777" w:rsidR="00B32EF2" w:rsidRDefault="00000000">
      <w:pPr>
        <w:numPr>
          <w:ilvl w:val="0"/>
          <w:numId w:val="23"/>
        </w:numPr>
        <w:spacing w:after="4" w:line="254" w:lineRule="auto"/>
        <w:ind w:right="10" w:hanging="200"/>
        <w:jc w:val="both"/>
      </w:pPr>
      <w:r>
        <w:rPr>
          <w:rFonts w:ascii="Arial" w:eastAsia="Arial" w:hAnsi="Arial" w:cs="Arial"/>
          <w:sz w:val="18"/>
        </w:rPr>
        <w:t xml:space="preserve">i dipendenti delle associazioni delle categorie rappresentate nel </w:t>
      </w:r>
      <w:proofErr w:type="spellStart"/>
      <w:r>
        <w:rPr>
          <w:rFonts w:ascii="Arial" w:eastAsia="Arial" w:hAnsi="Arial" w:cs="Arial"/>
          <w:sz w:val="18"/>
        </w:rPr>
        <w:t>Consiglionazionale</w:t>
      </w:r>
      <w:proofErr w:type="spellEnd"/>
      <w:r>
        <w:rPr>
          <w:rFonts w:ascii="Arial" w:eastAsia="Arial" w:hAnsi="Arial" w:cs="Arial"/>
          <w:sz w:val="18"/>
        </w:rPr>
        <w:t xml:space="preserve"> dell’economia e del lavoro (C.N.E.L.) e i dipendenti delle imprese, o delle loro controllate ai sensi dell’articolo 2359 del codice civile, primo comma, numero 1), limitatamente alle controversie nelle quali sono parti, rispettivamente, gli associati e le imprese o loro controllate, in possesso del diploma di laurea magistrale in giurisprudenza o in economia ed equipollenti, o di diploma di ragioneria e della relativa abilitazione professionale.</w:t>
      </w:r>
    </w:p>
    <w:p w14:paraId="12685A1C" w14:textId="77777777" w:rsidR="00B32EF2" w:rsidRDefault="00000000">
      <w:pPr>
        <w:numPr>
          <w:ilvl w:val="0"/>
          <w:numId w:val="23"/>
        </w:numPr>
        <w:spacing w:after="4" w:line="254" w:lineRule="auto"/>
        <w:ind w:right="10" w:hanging="200"/>
        <w:jc w:val="both"/>
      </w:pPr>
      <w:r>
        <w:rPr>
          <w:rFonts w:ascii="Arial" w:eastAsia="Arial" w:hAnsi="Arial" w:cs="Arial"/>
          <w:sz w:val="18"/>
        </w:rPr>
        <w:t xml:space="preserve">i dipendenti dei centri di assistenza fiscale (CAF) di cui all’articolo 32 del decreto legislativo 9 luglio 1997, n. 241, e delle relative società di servizi, </w:t>
      </w:r>
      <w:proofErr w:type="spellStart"/>
      <w:r>
        <w:rPr>
          <w:rFonts w:ascii="Arial" w:eastAsia="Arial" w:hAnsi="Arial" w:cs="Arial"/>
          <w:sz w:val="18"/>
        </w:rPr>
        <w:t>purchè</w:t>
      </w:r>
      <w:proofErr w:type="spellEnd"/>
      <w:r>
        <w:rPr>
          <w:rFonts w:ascii="Arial" w:eastAsia="Arial" w:hAnsi="Arial" w:cs="Arial"/>
          <w:sz w:val="18"/>
        </w:rPr>
        <w:t xml:space="preserve"> in possesso di diploma di laurea magistrale in giurisprudenza o in economia ed equipollenti, o di diploma di ragioneria e della relativa abilitazione professionale, limitatamente alle controversie dei propri assistiti originate da adempimenti per i quali il CAF ha prestato loro assistenza.</w:t>
      </w:r>
    </w:p>
    <w:p w14:paraId="485596AC" w14:textId="77777777" w:rsidR="00B32EF2" w:rsidRDefault="00000000">
      <w:pPr>
        <w:numPr>
          <w:ilvl w:val="0"/>
          <w:numId w:val="24"/>
        </w:numPr>
        <w:spacing w:after="4" w:line="254" w:lineRule="auto"/>
        <w:ind w:right="10" w:hanging="10"/>
        <w:jc w:val="both"/>
      </w:pPr>
      <w:r>
        <w:rPr>
          <w:rFonts w:ascii="Arial" w:eastAsia="Arial" w:hAnsi="Arial" w:cs="Arial"/>
          <w:sz w:val="18"/>
        </w:rPr>
        <w:t xml:space="preserve">L’elenco dei soggetti di cui al comma 3, lettere d), e), f), g) ed h), è tenuto </w:t>
      </w:r>
      <w:proofErr w:type="spellStart"/>
      <w:r>
        <w:rPr>
          <w:rFonts w:ascii="Arial" w:eastAsia="Arial" w:hAnsi="Arial" w:cs="Arial"/>
          <w:sz w:val="18"/>
        </w:rPr>
        <w:t>dalDipartimento</w:t>
      </w:r>
      <w:proofErr w:type="spellEnd"/>
      <w:r>
        <w:rPr>
          <w:rFonts w:ascii="Arial" w:eastAsia="Arial" w:hAnsi="Arial" w:cs="Arial"/>
          <w:sz w:val="18"/>
        </w:rPr>
        <w:t xml:space="preserve"> delle finanze del Ministero dell’economia e delle finanze che vi provvede con le risorse umane, strumentali e finanziarie disponibili a legislazione vigente senza nuovi o maggiori oneri a carico del bilancio dello Stato. Con decreto del Ministro dell’economia e delle finanze (D.M. 05/08/2019 GU 233/2019), sentito il Ministero della giustizia, emesso ai sensi dell’articolo 17, comma 3, della legge 23 agosto 1988, n. 400, sono disciplinate le modalità di tenuta dell’elenco, </w:t>
      </w:r>
      <w:proofErr w:type="spellStart"/>
      <w:r>
        <w:rPr>
          <w:rFonts w:ascii="Arial" w:eastAsia="Arial" w:hAnsi="Arial" w:cs="Arial"/>
          <w:sz w:val="18"/>
        </w:rPr>
        <w:t>nonchè</w:t>
      </w:r>
      <w:proofErr w:type="spellEnd"/>
      <w:r>
        <w:rPr>
          <w:rFonts w:ascii="Arial" w:eastAsia="Arial" w:hAnsi="Arial" w:cs="Arial"/>
          <w:sz w:val="18"/>
        </w:rPr>
        <w:t xml:space="preserve"> i casi di incompatibilità, diniego, sospensione e revoca della iscrizione anche sulla base dei principi contenuti nel codice deontologico forense. L’elenco è pubblicato nel sito internet del Ministero dell’economia e delle finanze.</w:t>
      </w:r>
    </w:p>
    <w:p w14:paraId="16822EA9" w14:textId="77777777" w:rsidR="00B32EF2" w:rsidRDefault="00000000">
      <w:pPr>
        <w:numPr>
          <w:ilvl w:val="0"/>
          <w:numId w:val="24"/>
        </w:numPr>
        <w:spacing w:after="4" w:line="254" w:lineRule="auto"/>
        <w:ind w:right="10" w:hanging="10"/>
        <w:jc w:val="both"/>
      </w:pPr>
      <w:r>
        <w:rPr>
          <w:rFonts w:ascii="Arial" w:eastAsia="Arial" w:hAnsi="Arial" w:cs="Arial"/>
          <w:sz w:val="18"/>
        </w:rPr>
        <w:t xml:space="preserve">Per le controversie di cui all’articolo 2, comma 2, primo periodo, sono </w:t>
      </w:r>
      <w:proofErr w:type="spellStart"/>
      <w:r>
        <w:rPr>
          <w:rFonts w:ascii="Arial" w:eastAsia="Arial" w:hAnsi="Arial" w:cs="Arial"/>
          <w:sz w:val="18"/>
        </w:rPr>
        <w:t>ancheabilitati</w:t>
      </w:r>
      <w:proofErr w:type="spellEnd"/>
      <w:r>
        <w:rPr>
          <w:rFonts w:ascii="Arial" w:eastAsia="Arial" w:hAnsi="Arial" w:cs="Arial"/>
          <w:sz w:val="18"/>
        </w:rPr>
        <w:t xml:space="preserve"> all’assistenza tecnica, se iscritti nei relativi albi professionali: a) gli ingegneri;</w:t>
      </w:r>
    </w:p>
    <w:p w14:paraId="1B44CBA2" w14:textId="77777777" w:rsidR="00B32EF2" w:rsidRDefault="00000000">
      <w:pPr>
        <w:numPr>
          <w:ilvl w:val="0"/>
          <w:numId w:val="25"/>
        </w:numPr>
        <w:spacing w:after="4" w:line="254" w:lineRule="auto"/>
        <w:ind w:right="10" w:hanging="208"/>
        <w:jc w:val="both"/>
      </w:pPr>
      <w:r>
        <w:rPr>
          <w:rFonts w:ascii="Arial" w:eastAsia="Arial" w:hAnsi="Arial" w:cs="Arial"/>
          <w:sz w:val="18"/>
        </w:rPr>
        <w:t>gli architetti;</w:t>
      </w:r>
    </w:p>
    <w:p w14:paraId="3944CF35" w14:textId="77777777" w:rsidR="00B32EF2" w:rsidRDefault="00000000">
      <w:pPr>
        <w:numPr>
          <w:ilvl w:val="0"/>
          <w:numId w:val="25"/>
        </w:numPr>
        <w:spacing w:after="4" w:line="254" w:lineRule="auto"/>
        <w:ind w:right="10" w:hanging="208"/>
        <w:jc w:val="both"/>
      </w:pPr>
      <w:r>
        <w:rPr>
          <w:rFonts w:ascii="Arial" w:eastAsia="Arial" w:hAnsi="Arial" w:cs="Arial"/>
          <w:sz w:val="18"/>
        </w:rPr>
        <w:t>i geometri;</w:t>
      </w:r>
    </w:p>
    <w:p w14:paraId="1FCDF76D" w14:textId="77777777" w:rsidR="00B32EF2" w:rsidRDefault="00000000">
      <w:pPr>
        <w:numPr>
          <w:ilvl w:val="0"/>
          <w:numId w:val="25"/>
        </w:numPr>
        <w:spacing w:after="4" w:line="254" w:lineRule="auto"/>
        <w:ind w:right="10" w:hanging="208"/>
        <w:jc w:val="both"/>
      </w:pPr>
      <w:r>
        <w:rPr>
          <w:rFonts w:ascii="Arial" w:eastAsia="Arial" w:hAnsi="Arial" w:cs="Arial"/>
          <w:sz w:val="18"/>
        </w:rPr>
        <w:t>i periti industriali;</w:t>
      </w:r>
    </w:p>
    <w:p w14:paraId="3B99DBE7" w14:textId="77777777" w:rsidR="00B32EF2" w:rsidRDefault="00000000">
      <w:pPr>
        <w:numPr>
          <w:ilvl w:val="0"/>
          <w:numId w:val="25"/>
        </w:numPr>
        <w:spacing w:after="4" w:line="254" w:lineRule="auto"/>
        <w:ind w:right="10" w:hanging="208"/>
        <w:jc w:val="both"/>
      </w:pPr>
      <w:r>
        <w:rPr>
          <w:rFonts w:ascii="Arial" w:eastAsia="Arial" w:hAnsi="Arial" w:cs="Arial"/>
          <w:sz w:val="18"/>
        </w:rPr>
        <w:t>i dottori agronomi e forestali;</w:t>
      </w:r>
    </w:p>
    <w:p w14:paraId="1895F574" w14:textId="77777777" w:rsidR="00B32EF2" w:rsidRDefault="00000000">
      <w:pPr>
        <w:numPr>
          <w:ilvl w:val="0"/>
          <w:numId w:val="25"/>
        </w:numPr>
        <w:spacing w:after="4" w:line="254" w:lineRule="auto"/>
        <w:ind w:right="10" w:hanging="208"/>
        <w:jc w:val="both"/>
      </w:pPr>
      <w:r>
        <w:rPr>
          <w:rFonts w:ascii="Arial" w:eastAsia="Arial" w:hAnsi="Arial" w:cs="Arial"/>
          <w:sz w:val="18"/>
        </w:rPr>
        <w:t>gli agrotecnici;</w:t>
      </w:r>
    </w:p>
    <w:p w14:paraId="4BF61006" w14:textId="77777777" w:rsidR="00B32EF2" w:rsidRDefault="00000000">
      <w:pPr>
        <w:numPr>
          <w:ilvl w:val="0"/>
          <w:numId w:val="25"/>
        </w:numPr>
        <w:spacing w:after="4" w:line="254" w:lineRule="auto"/>
        <w:ind w:right="10" w:hanging="208"/>
        <w:jc w:val="both"/>
      </w:pPr>
      <w:r>
        <w:rPr>
          <w:rFonts w:ascii="Arial" w:eastAsia="Arial" w:hAnsi="Arial" w:cs="Arial"/>
          <w:sz w:val="18"/>
        </w:rPr>
        <w:t>i periti agrari.</w:t>
      </w:r>
    </w:p>
    <w:p w14:paraId="39D18874" w14:textId="77777777" w:rsidR="00B32EF2" w:rsidRDefault="00000000">
      <w:pPr>
        <w:numPr>
          <w:ilvl w:val="0"/>
          <w:numId w:val="26"/>
        </w:numPr>
        <w:spacing w:after="4" w:line="254" w:lineRule="auto"/>
        <w:ind w:right="10" w:hanging="10"/>
        <w:jc w:val="both"/>
      </w:pPr>
      <w:r>
        <w:rPr>
          <w:rFonts w:ascii="Arial" w:eastAsia="Arial" w:hAnsi="Arial" w:cs="Arial"/>
          <w:sz w:val="18"/>
        </w:rPr>
        <w:t>Per le controversie relative ai tributi doganali sono anche abilitati all’assistenza tecnica gli spedizionieri doganali iscritti nell’apposito albo.</w:t>
      </w:r>
    </w:p>
    <w:p w14:paraId="366C8E8D" w14:textId="77777777" w:rsidR="00B32EF2" w:rsidRDefault="00000000">
      <w:pPr>
        <w:numPr>
          <w:ilvl w:val="0"/>
          <w:numId w:val="26"/>
        </w:numPr>
        <w:spacing w:after="4" w:line="254" w:lineRule="auto"/>
        <w:ind w:right="10" w:hanging="10"/>
        <w:jc w:val="both"/>
      </w:pPr>
      <w:r>
        <w:rPr>
          <w:rFonts w:ascii="Arial" w:eastAsia="Arial" w:hAnsi="Arial" w:cs="Arial"/>
          <w:sz w:val="18"/>
        </w:rPr>
        <w:t xml:space="preserve">Ai difensori di cui ai commi da 1 a 6 deve essere conferito l’incarico con </w:t>
      </w:r>
      <w:proofErr w:type="spellStart"/>
      <w:r>
        <w:rPr>
          <w:rFonts w:ascii="Arial" w:eastAsia="Arial" w:hAnsi="Arial" w:cs="Arial"/>
          <w:sz w:val="18"/>
        </w:rPr>
        <w:t>attopubblico</w:t>
      </w:r>
      <w:proofErr w:type="spellEnd"/>
      <w:r>
        <w:rPr>
          <w:rFonts w:ascii="Arial" w:eastAsia="Arial" w:hAnsi="Arial" w:cs="Arial"/>
          <w:sz w:val="18"/>
        </w:rPr>
        <w:t xml:space="preserve"> o con scrittura privata autenticata od anche in calce o a margine di un atto del processo, nel qual caso la sottoscrizione autografa è certificata dallo stesso incaricato salvo che il conferente apponga la propria </w:t>
      </w:r>
      <w:r>
        <w:rPr>
          <w:rFonts w:ascii="Arial" w:eastAsia="Arial" w:hAnsi="Arial" w:cs="Arial"/>
          <w:sz w:val="18"/>
        </w:rPr>
        <w:lastRenderedPageBreak/>
        <w:t>firma digitale . All’udienza pubblica l’incarico può essere conferito oralmente e se ne dà atto a verbale. Il difensore, quando la procura è conferita su supporto cartaceo, ne deposita telematicamente la copia per immagine su supporto informatico, attestandone la conformità ai sensi dell’articolo 22, comma 2, del decreto legislativo 7 marzo 2005, n. 82, con l’inserimento della relativa dichiarazione. 7-bis. La procura alle liti si considera apposta in calce all’atto cui si riferisce quando è rilasciata su un separato documento informatico depositato telematicamente insieme all’atto cui la stessa si riferisce ovvero quando è rilasciata su foglio separato del quale è effettuata copia informatica, anche per immagine, depositata telematicamente insieme all’atto cui la stessa si riferisce.</w:t>
      </w:r>
    </w:p>
    <w:p w14:paraId="7DA58AD7" w14:textId="77777777" w:rsidR="00B32EF2" w:rsidRDefault="00000000">
      <w:pPr>
        <w:numPr>
          <w:ilvl w:val="0"/>
          <w:numId w:val="26"/>
        </w:numPr>
        <w:spacing w:after="4" w:line="254" w:lineRule="auto"/>
        <w:ind w:right="10" w:hanging="10"/>
        <w:jc w:val="both"/>
      </w:pPr>
      <w:r>
        <w:rPr>
          <w:rFonts w:ascii="Arial" w:eastAsia="Arial" w:hAnsi="Arial" w:cs="Arial"/>
          <w:sz w:val="18"/>
        </w:rPr>
        <w:t>Le Agenzie delle entrate, delle dogane e dei monopoli di cui al decreto legislativo 30 luglio 1999, n. 300, possono essere assistite dall’Avvocatura dello Stato.</w:t>
      </w:r>
    </w:p>
    <w:p w14:paraId="52CC4F38" w14:textId="77777777" w:rsidR="00B32EF2" w:rsidRDefault="00000000">
      <w:pPr>
        <w:numPr>
          <w:ilvl w:val="0"/>
          <w:numId w:val="26"/>
        </w:numPr>
        <w:spacing w:after="4" w:line="254" w:lineRule="auto"/>
        <w:ind w:right="10" w:hanging="10"/>
        <w:jc w:val="both"/>
      </w:pPr>
      <w:r>
        <w:rPr>
          <w:rFonts w:ascii="Arial" w:eastAsia="Arial" w:hAnsi="Arial" w:cs="Arial"/>
          <w:sz w:val="18"/>
        </w:rPr>
        <w:t xml:space="preserve">I soggetti in possesso dei requisiti richiesti nei commi 3, 5 e 6 possono </w:t>
      </w:r>
      <w:proofErr w:type="spellStart"/>
      <w:r>
        <w:rPr>
          <w:rFonts w:ascii="Arial" w:eastAsia="Arial" w:hAnsi="Arial" w:cs="Arial"/>
          <w:sz w:val="18"/>
        </w:rPr>
        <w:t>starein</w:t>
      </w:r>
      <w:proofErr w:type="spellEnd"/>
      <w:r>
        <w:rPr>
          <w:rFonts w:ascii="Arial" w:eastAsia="Arial" w:hAnsi="Arial" w:cs="Arial"/>
          <w:sz w:val="18"/>
        </w:rPr>
        <w:t xml:space="preserve"> giudizio personalmente, ferme restando le limitazioni all’oggetto della loro attività previste nei medesimi commi.</w:t>
      </w:r>
    </w:p>
    <w:p w14:paraId="0307ED97" w14:textId="77777777" w:rsidR="00B32EF2" w:rsidRDefault="00000000">
      <w:pPr>
        <w:numPr>
          <w:ilvl w:val="0"/>
          <w:numId w:val="26"/>
        </w:numPr>
        <w:spacing w:after="172" w:line="254" w:lineRule="auto"/>
        <w:ind w:right="10" w:hanging="10"/>
        <w:jc w:val="both"/>
      </w:pPr>
      <w:r>
        <w:rPr>
          <w:rFonts w:ascii="Arial" w:eastAsia="Arial" w:hAnsi="Arial" w:cs="Arial"/>
          <w:sz w:val="18"/>
        </w:rPr>
        <w:t>Si applica l’articolo 182 del codice di procedura civile ed i relativi provvedimenti sono emessi dal presidente della commissione o della sezione o dal collegio.</w:t>
      </w:r>
    </w:p>
    <w:p w14:paraId="62326FF4" w14:textId="77777777" w:rsidR="00B32EF2" w:rsidRDefault="00000000">
      <w:pPr>
        <w:pStyle w:val="Titolo3"/>
        <w:ind w:left="129" w:right="120"/>
      </w:pPr>
      <w:r>
        <w:t>NORME RICHIAMATE</w:t>
      </w:r>
    </w:p>
    <w:p w14:paraId="43FDC307"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art. 53 D.lgs. 446/1997 “Albo per l’accertamento e riscossione delle entrate degli enti locali”</w:t>
      </w:r>
    </w:p>
    <w:p w14:paraId="792FB6C9"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art. 63 dpr. 600/1973  “Rappresentanza e assistenza dei contribuenti.” 1. Presso gli uffici finanziari il contribuente può farsi rappresentare da un procuratore generale o speciale, salvo quanto stabilito nel quarto comma.</w:t>
      </w:r>
    </w:p>
    <w:p w14:paraId="368435A8"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2. La procura speciale deve essere conferita per iscritto con firma autenticata. L’autenticazione non è necessaria quando la procura è conferita al coniuge o a parenti e affini entro il quarto grado o a propri dipendenti da persone giuridiche. Quando la procura è conferita a persone iscritte in albi professionali o nell’elenco previsto dal terzo comma, a soggetti iscritti alla data del 30 settembre 1993 nei ruoli dei periti ed esperti tenuti dalle camere di commercio, industria, artigianato e agricoltura per la sub-categoria tributi, in possesso di diploma di laurea in giurisprudenza o in economia e commercio o equipollenti o di diploma di ragioneria ovvero ai soggetti indicati nell’articolo 4, comma 1, lettere e), f) ed i), del decreto legislativo 31 dicembre 1992, n. 545, o ai professionisti di cui alla norma UNI</w:t>
      </w:r>
      <w:r>
        <w:rPr>
          <w:rFonts w:ascii="Arial" w:eastAsia="Arial" w:hAnsi="Arial" w:cs="Arial"/>
          <w:sz w:val="18"/>
        </w:rPr>
        <w:t xml:space="preserve"> </w:t>
      </w:r>
      <w:r>
        <w:rPr>
          <w:rFonts w:ascii="Arial" w:eastAsia="Arial" w:hAnsi="Arial" w:cs="Arial"/>
          <w:i/>
          <w:sz w:val="18"/>
        </w:rPr>
        <w:t xml:space="preserve">11511 certificati e qualificati ai sensi della legge 14 gennaio 2013, n. 4, è data facoltà agli stessi rappresentanti di autenticare la sottoscrizione. Quando la procura è rilasciata ad un funzionario di un centro di assistenza fiscale o di una società di servizi di cui all’articolo 11 del regolamento di cui al decreto del Ministro delle finanze 31 maggio 1999, n. 164, essa deve essere </w:t>
      </w:r>
      <w:r>
        <w:rPr>
          <w:rFonts w:ascii="Arial" w:eastAsia="Arial" w:hAnsi="Arial" w:cs="Arial"/>
          <w:i/>
          <w:sz w:val="18"/>
        </w:rPr>
        <w:lastRenderedPageBreak/>
        <w:t>autenticata dal responsabile dell’assistenza fiscale del predetto centro o dal legale rappresentante della predetta società di servizi.</w:t>
      </w:r>
    </w:p>
    <w:p w14:paraId="090B3298"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3.Il Ministero dell’economia e delle finanze può autorizzare all’esercizio dell’assistenza tecnica davanti alle commissioni tributarie, se cessati dall’impiego dopo almeno venti anni di effettivo servizio di cui almeno gli ultimi dieci prestati a svolgere attività connesse ai tributi, gli impiegati delle carriere dirigenziale, direttiva e di concetto degli enti impositori e del Ministero </w:t>
      </w:r>
      <w:proofErr w:type="spellStart"/>
      <w:r>
        <w:rPr>
          <w:rFonts w:ascii="Arial" w:eastAsia="Arial" w:hAnsi="Arial" w:cs="Arial"/>
          <w:i/>
          <w:sz w:val="18"/>
        </w:rPr>
        <w:t>nonchè</w:t>
      </w:r>
      <w:proofErr w:type="spellEnd"/>
      <w:r>
        <w:rPr>
          <w:rFonts w:ascii="Arial" w:eastAsia="Arial" w:hAnsi="Arial" w:cs="Arial"/>
          <w:i/>
          <w:sz w:val="18"/>
        </w:rPr>
        <w:t xml:space="preserve"> gli ufficiali e ispettori della guardia di finanza. L’autorizzazione può essere revocata o sospesa in ogni tempo con provvedimento motivato. Le attività connesse ai tributi sono individuate con il decreto di cui all’articolo 12, comma 4, del decreto legislativo 31 dicembre 1992, n. 546. 4.Ai soggetti di cui al terzo comma, </w:t>
      </w:r>
      <w:proofErr w:type="spellStart"/>
      <w:r>
        <w:rPr>
          <w:rFonts w:ascii="Arial" w:eastAsia="Arial" w:hAnsi="Arial" w:cs="Arial"/>
          <w:i/>
          <w:sz w:val="18"/>
        </w:rPr>
        <w:t>ancorchè</w:t>
      </w:r>
      <w:proofErr w:type="spellEnd"/>
      <w:r>
        <w:rPr>
          <w:rFonts w:ascii="Arial" w:eastAsia="Arial" w:hAnsi="Arial" w:cs="Arial"/>
          <w:i/>
          <w:sz w:val="18"/>
        </w:rPr>
        <w:t xml:space="preserve"> iscritti in un albo </w:t>
      </w:r>
      <w:proofErr w:type="spellStart"/>
      <w:r>
        <w:rPr>
          <w:rFonts w:ascii="Arial" w:eastAsia="Arial" w:hAnsi="Arial" w:cs="Arial"/>
          <w:i/>
          <w:sz w:val="18"/>
        </w:rPr>
        <w:t>professiona</w:t>
      </w:r>
      <w:proofErr w:type="spellEnd"/>
      <w:r>
        <w:rPr>
          <w:rFonts w:ascii="Arial" w:eastAsia="Arial" w:hAnsi="Arial" w:cs="Arial"/>
          <w:i/>
          <w:sz w:val="18"/>
        </w:rPr>
        <w:t>-</w:t>
      </w:r>
    </w:p>
    <w:p w14:paraId="0DA0AC6A" w14:textId="77777777" w:rsidR="00B32EF2" w:rsidRDefault="00B32EF2">
      <w:pPr>
        <w:spacing w:after="0"/>
        <w:ind w:left="-1133" w:right="12"/>
      </w:pPr>
    </w:p>
    <w:tbl>
      <w:tblPr>
        <w:tblStyle w:val="TableGrid"/>
        <w:tblW w:w="6236" w:type="dxa"/>
        <w:tblInd w:w="-9" w:type="dxa"/>
        <w:tblCellMar>
          <w:top w:w="123" w:type="dxa"/>
          <w:left w:w="123" w:type="dxa"/>
          <w:bottom w:w="0" w:type="dxa"/>
          <w:right w:w="73" w:type="dxa"/>
        </w:tblCellMar>
        <w:tblLook w:val="04A0" w:firstRow="1" w:lastRow="0" w:firstColumn="1" w:lastColumn="0" w:noHBand="0" w:noVBand="1"/>
      </w:tblPr>
      <w:tblGrid>
        <w:gridCol w:w="6236"/>
      </w:tblGrid>
      <w:tr w:rsidR="00B32EF2" w14:paraId="2B7B075F" w14:textId="77777777">
        <w:trPr>
          <w:trHeight w:val="9108"/>
        </w:trPr>
        <w:tc>
          <w:tcPr>
            <w:tcW w:w="6236" w:type="dxa"/>
            <w:tcBorders>
              <w:top w:val="single" w:sz="8" w:space="0" w:color="000000"/>
              <w:left w:val="single" w:sz="8" w:space="0" w:color="000000"/>
              <w:bottom w:val="single" w:sz="8" w:space="0" w:color="000000"/>
              <w:right w:val="single" w:sz="8" w:space="0" w:color="000000"/>
            </w:tcBorders>
            <w:shd w:val="clear" w:color="auto" w:fill="C3C3C3"/>
          </w:tcPr>
          <w:p w14:paraId="68032503" w14:textId="77777777" w:rsidR="00B32EF2" w:rsidRDefault="00000000">
            <w:pPr>
              <w:spacing w:after="0" w:line="225" w:lineRule="auto"/>
              <w:ind w:right="50"/>
              <w:jc w:val="both"/>
            </w:pPr>
            <w:r>
              <w:rPr>
                <w:rFonts w:ascii="Arial" w:eastAsia="Arial" w:hAnsi="Arial" w:cs="Arial"/>
                <w:i/>
                <w:sz w:val="18"/>
              </w:rPr>
              <w:lastRenderedPageBreak/>
              <w:t>le, è vietato di esercitare funzioni di assistenza e di rappresentanza presso gli enti impositori e davanti le commissioni tributarie per un periodo di due anni dalla data di cessazione del rapporto d’impiego.</w:t>
            </w:r>
          </w:p>
          <w:p w14:paraId="5BAFE15E" w14:textId="77777777" w:rsidR="00B32EF2" w:rsidRDefault="00000000">
            <w:pPr>
              <w:spacing w:after="0" w:line="225" w:lineRule="auto"/>
              <w:ind w:right="50"/>
              <w:jc w:val="both"/>
            </w:pPr>
            <w:r>
              <w:rPr>
                <w:rFonts w:ascii="Arial" w:eastAsia="Arial" w:hAnsi="Arial" w:cs="Arial"/>
                <w:i/>
                <w:sz w:val="18"/>
              </w:rPr>
              <w:t>5.L’esercizio delle funzioni di rappresentanza e assistenza in violazione del presente articolo è punito con la sanzione amministrativa da euro mille a euro cinquemila.</w:t>
            </w:r>
          </w:p>
          <w:p w14:paraId="0565C7F7" w14:textId="77777777" w:rsidR="00B32EF2" w:rsidRDefault="00000000">
            <w:pPr>
              <w:spacing w:after="0" w:line="225" w:lineRule="auto"/>
              <w:ind w:right="49"/>
              <w:jc w:val="both"/>
            </w:pPr>
            <w:r>
              <w:rPr>
                <w:rFonts w:ascii="Arial" w:eastAsia="Arial" w:hAnsi="Arial" w:cs="Arial"/>
                <w:i/>
                <w:sz w:val="18"/>
              </w:rPr>
              <w:t>Articolo 30 d.P.R. 636/1972: “Rappresentanza e difesa del contribuente” 1. Il   ricorrente,  l’intervenuto   ed  il  chiamato  in  giudizio  davanti alla commissione  Tributaria possono  agire personalmente  o  mediante  procuratore generale o speciale. La   procedura  speciale   può essere conferita con atto pubblico o scrittura privata  autenticata;  con  scrittura privata anche non autenticata al coniuge e   a parenti  o affini entro il quarto grado,  ai soli fini della discussione orale.</w:t>
            </w:r>
          </w:p>
          <w:p w14:paraId="2CB50907" w14:textId="77777777" w:rsidR="00B32EF2" w:rsidRDefault="00000000">
            <w:pPr>
              <w:spacing w:after="0" w:line="225" w:lineRule="auto"/>
              <w:ind w:right="49"/>
              <w:jc w:val="both"/>
            </w:pPr>
            <w:r>
              <w:rPr>
                <w:rFonts w:ascii="Arial" w:eastAsia="Arial" w:hAnsi="Arial" w:cs="Arial"/>
                <w:i/>
                <w:sz w:val="18"/>
              </w:rPr>
              <w:t xml:space="preserve">2. Sia la  parte che il procuratore generale o speciale possono farsi assistere </w:t>
            </w:r>
            <w:proofErr w:type="spellStart"/>
            <w:r>
              <w:rPr>
                <w:rFonts w:ascii="Arial" w:eastAsia="Arial" w:hAnsi="Arial" w:cs="Arial"/>
                <w:i/>
                <w:sz w:val="18"/>
              </w:rPr>
              <w:t>erappresentare</w:t>
            </w:r>
            <w:proofErr w:type="spellEnd"/>
            <w:r>
              <w:rPr>
                <w:rFonts w:ascii="Arial" w:eastAsia="Arial" w:hAnsi="Arial" w:cs="Arial"/>
                <w:i/>
                <w:sz w:val="18"/>
              </w:rPr>
              <w:t xml:space="preserve"> in  giudizio da iscritti negli albi degli avvocati, procuratori, notai, dottori   commercialisti,   ingegneri,  architetti, dottori in agraria, ragionieri, geometri,    periti    edili,   periti industriali, periti agrari, agrotecnici, consulenti    del    lavoro,  spedizionieri doganali, da iscritti nell’elenco previsto   dalle   norme   vigenti,  delle persone autorizzate dal Ministero delle finanze, </w:t>
            </w:r>
            <w:proofErr w:type="spellStart"/>
            <w:r>
              <w:rPr>
                <w:rFonts w:ascii="Arial" w:eastAsia="Arial" w:hAnsi="Arial" w:cs="Arial"/>
                <w:i/>
                <w:sz w:val="18"/>
              </w:rPr>
              <w:t>nonchè</w:t>
            </w:r>
            <w:proofErr w:type="spellEnd"/>
            <w:r>
              <w:rPr>
                <w:rFonts w:ascii="Arial" w:eastAsia="Arial" w:hAnsi="Arial" w:cs="Arial"/>
                <w:i/>
                <w:sz w:val="18"/>
              </w:rPr>
              <w:t xml:space="preserve"> da funzionari delle associazioni di categoria iscritti in elenco  da tenersi presso l’intendenza di finanza competente per territorio.</w:t>
            </w:r>
          </w:p>
          <w:p w14:paraId="38281128" w14:textId="77777777" w:rsidR="00B32EF2" w:rsidRDefault="00000000">
            <w:pPr>
              <w:spacing w:after="0" w:line="225" w:lineRule="auto"/>
              <w:ind w:right="50"/>
            </w:pPr>
            <w:r>
              <w:rPr>
                <w:rFonts w:ascii="Arial" w:eastAsia="Arial" w:hAnsi="Arial" w:cs="Arial"/>
                <w:i/>
                <w:sz w:val="18"/>
              </w:rPr>
              <w:t>3.Se  l’incarico è  conferito in un atto del processo,  la firma è autenticata dallo  stesso incaricato.   L’incarico può essere conferito oralmente e se ne dà atto a verbale. art. 2359 codice civile  “Società controllate e società collegate.” art.32 D.lgs. 241/1997 “Soggetti abilitati alla costituzione dei centri di assistenza fiscale.</w:t>
            </w:r>
          </w:p>
          <w:p w14:paraId="74270D89" w14:textId="77777777" w:rsidR="00B32EF2" w:rsidRDefault="00000000">
            <w:pPr>
              <w:spacing w:after="0"/>
            </w:pPr>
            <w:r>
              <w:rPr>
                <w:rFonts w:ascii="Arial" w:eastAsia="Arial" w:hAnsi="Arial" w:cs="Arial"/>
                <w:i/>
                <w:sz w:val="18"/>
              </w:rPr>
              <w:t>art. 22 D.lgs. 82/2005 “Copie informatiche di documenti analogici”</w:t>
            </w:r>
          </w:p>
          <w:p w14:paraId="193F3117" w14:textId="77777777" w:rsidR="00B32EF2" w:rsidRDefault="00000000">
            <w:pPr>
              <w:numPr>
                <w:ilvl w:val="0"/>
                <w:numId w:val="201"/>
              </w:numPr>
              <w:spacing w:after="0" w:line="225" w:lineRule="auto"/>
              <w:ind w:right="50"/>
              <w:jc w:val="both"/>
            </w:pPr>
            <w:r>
              <w:rPr>
                <w:rFonts w:ascii="Arial" w:eastAsia="Arial" w:hAnsi="Arial" w:cs="Arial"/>
                <w:i/>
                <w:sz w:val="18"/>
              </w:rPr>
              <w:t xml:space="preserve">I documenti informatici contenenti copia di atti pubblici, scritture </w:t>
            </w:r>
            <w:proofErr w:type="spellStart"/>
            <w:r>
              <w:rPr>
                <w:rFonts w:ascii="Arial" w:eastAsia="Arial" w:hAnsi="Arial" w:cs="Arial"/>
                <w:i/>
                <w:sz w:val="18"/>
              </w:rPr>
              <w:t>privatee</w:t>
            </w:r>
            <w:proofErr w:type="spellEnd"/>
            <w:r>
              <w:rPr>
                <w:rFonts w:ascii="Arial" w:eastAsia="Arial" w:hAnsi="Arial" w:cs="Arial"/>
                <w:i/>
                <w:sz w:val="18"/>
              </w:rPr>
              <w:t xml:space="preserve"> documenti in genere, compresi gli atti e documenti amministrativi di ogni tipo formati in origine su supporto analogico, spediti o rilasciati dai depositari pubblici autorizzati e dai pubblici ufficiali, hanno piena efficacia, ai sensi degli articoli 2714 e 2715 del codice civile, se sono formati ai sensi dell’articolo 20, comma 1-bis, primo periodo. La loro esibizione e produzione sostituisce quella dell’originale.</w:t>
            </w:r>
          </w:p>
          <w:p w14:paraId="284AFD9F" w14:textId="77777777" w:rsidR="00B32EF2" w:rsidRDefault="00000000">
            <w:pPr>
              <w:spacing w:after="0" w:line="225" w:lineRule="auto"/>
              <w:ind w:right="50"/>
              <w:jc w:val="both"/>
            </w:pPr>
            <w:r>
              <w:rPr>
                <w:rFonts w:ascii="Arial" w:eastAsia="Arial" w:hAnsi="Arial" w:cs="Arial"/>
                <w:i/>
                <w:sz w:val="18"/>
              </w:rPr>
              <w:t>1-bis. La copia per immagine su supporto informatico di un documento analogico è prodotta mediante processi e strumenti che assicurano che il documento informatico abbia contenuto e forma identici a quelli del documento analogico da cui è tratto, previo raffronto dei documenti o attraverso certificazione di processo nei casi in cui siano adottate tecniche in grado di garantire la corrispondenza della forma e del contenuto dell’originale e della copia.</w:t>
            </w:r>
          </w:p>
          <w:p w14:paraId="5FF0946D" w14:textId="77777777" w:rsidR="00B32EF2" w:rsidRDefault="00000000">
            <w:pPr>
              <w:numPr>
                <w:ilvl w:val="0"/>
                <w:numId w:val="201"/>
              </w:numPr>
              <w:spacing w:after="0"/>
              <w:ind w:right="50"/>
              <w:jc w:val="both"/>
            </w:pPr>
            <w:r>
              <w:rPr>
                <w:rFonts w:ascii="Arial" w:eastAsia="Arial" w:hAnsi="Arial" w:cs="Arial"/>
                <w:i/>
                <w:sz w:val="18"/>
              </w:rPr>
              <w:t xml:space="preserve">Le copie per immagine su supporto informatico di documenti </w:t>
            </w:r>
            <w:proofErr w:type="spellStart"/>
            <w:r>
              <w:rPr>
                <w:rFonts w:ascii="Arial" w:eastAsia="Arial" w:hAnsi="Arial" w:cs="Arial"/>
                <w:i/>
                <w:sz w:val="18"/>
              </w:rPr>
              <w:t>originaliformati</w:t>
            </w:r>
            <w:proofErr w:type="spellEnd"/>
            <w:r>
              <w:rPr>
                <w:rFonts w:ascii="Arial" w:eastAsia="Arial" w:hAnsi="Arial" w:cs="Arial"/>
                <w:i/>
                <w:sz w:val="18"/>
              </w:rPr>
              <w:t xml:space="preserve"> in origine su supporto analogico hanno la stessa efficacia probatoria degli originali da cui sono estratte, se la loro conformità è attestata da</w:t>
            </w:r>
          </w:p>
        </w:tc>
      </w:tr>
    </w:tbl>
    <w:p w14:paraId="29D67EF6" w14:textId="77777777" w:rsidR="00B32EF2" w:rsidRDefault="00B32EF2">
      <w:pPr>
        <w:spacing w:after="0"/>
        <w:ind w:left="-1133" w:right="12"/>
      </w:pPr>
    </w:p>
    <w:tbl>
      <w:tblPr>
        <w:tblStyle w:val="TableGrid"/>
        <w:tblW w:w="6236" w:type="dxa"/>
        <w:tblInd w:w="-9" w:type="dxa"/>
        <w:tblCellMar>
          <w:top w:w="123" w:type="dxa"/>
          <w:left w:w="123" w:type="dxa"/>
          <w:bottom w:w="0" w:type="dxa"/>
          <w:right w:w="73" w:type="dxa"/>
        </w:tblCellMar>
        <w:tblLook w:val="04A0" w:firstRow="1" w:lastRow="0" w:firstColumn="1" w:lastColumn="0" w:noHBand="0" w:noVBand="1"/>
      </w:tblPr>
      <w:tblGrid>
        <w:gridCol w:w="6236"/>
      </w:tblGrid>
      <w:tr w:rsidR="00B32EF2" w14:paraId="621D371A" w14:textId="77777777">
        <w:trPr>
          <w:trHeight w:val="9108"/>
        </w:trPr>
        <w:tc>
          <w:tcPr>
            <w:tcW w:w="6236" w:type="dxa"/>
            <w:tcBorders>
              <w:top w:val="single" w:sz="8" w:space="0" w:color="000000"/>
              <w:left w:val="single" w:sz="8" w:space="0" w:color="000000"/>
              <w:bottom w:val="single" w:sz="8" w:space="0" w:color="000000"/>
              <w:right w:val="single" w:sz="8" w:space="0" w:color="000000"/>
            </w:tcBorders>
            <w:shd w:val="clear" w:color="auto" w:fill="C3C3C3"/>
          </w:tcPr>
          <w:p w14:paraId="24D166BB" w14:textId="77777777" w:rsidR="00B32EF2" w:rsidRDefault="00000000">
            <w:pPr>
              <w:spacing w:after="0" w:line="225" w:lineRule="auto"/>
              <w:jc w:val="both"/>
            </w:pPr>
            <w:r>
              <w:rPr>
                <w:rFonts w:ascii="Arial" w:eastAsia="Arial" w:hAnsi="Arial" w:cs="Arial"/>
                <w:i/>
                <w:sz w:val="18"/>
              </w:rPr>
              <w:lastRenderedPageBreak/>
              <w:t>un notaio o da altro pubblico ufficiale a ciò autorizzato, secondo le Linee guida.</w:t>
            </w:r>
          </w:p>
          <w:p w14:paraId="105ED2BA" w14:textId="77777777" w:rsidR="00B32EF2" w:rsidRDefault="00000000">
            <w:pPr>
              <w:numPr>
                <w:ilvl w:val="0"/>
                <w:numId w:val="202"/>
              </w:numPr>
              <w:spacing w:after="0" w:line="225" w:lineRule="auto"/>
              <w:ind w:right="50"/>
              <w:jc w:val="both"/>
            </w:pPr>
            <w:r>
              <w:rPr>
                <w:rFonts w:ascii="Arial" w:eastAsia="Arial" w:hAnsi="Arial" w:cs="Arial"/>
                <w:i/>
                <w:sz w:val="18"/>
              </w:rPr>
              <w:t xml:space="preserve">Le copie per immagine su supporto informatico di documenti </w:t>
            </w:r>
            <w:proofErr w:type="spellStart"/>
            <w:r>
              <w:rPr>
                <w:rFonts w:ascii="Arial" w:eastAsia="Arial" w:hAnsi="Arial" w:cs="Arial"/>
                <w:i/>
                <w:sz w:val="18"/>
              </w:rPr>
              <w:t>originaliformati</w:t>
            </w:r>
            <w:proofErr w:type="spellEnd"/>
            <w:r>
              <w:rPr>
                <w:rFonts w:ascii="Arial" w:eastAsia="Arial" w:hAnsi="Arial" w:cs="Arial"/>
                <w:i/>
                <w:sz w:val="18"/>
              </w:rPr>
              <w:t xml:space="preserve"> in origine su supporto analogico nel rispetto delle Linee guida hanno la stessa efficacia probatoria degli originali da cui sono tratte se la loro conformità all’originale non è espressamente disconosciuta.</w:t>
            </w:r>
          </w:p>
          <w:p w14:paraId="20C6E54A" w14:textId="77777777" w:rsidR="00B32EF2" w:rsidRDefault="00000000">
            <w:pPr>
              <w:numPr>
                <w:ilvl w:val="0"/>
                <w:numId w:val="202"/>
              </w:numPr>
              <w:spacing w:after="0" w:line="225" w:lineRule="auto"/>
              <w:ind w:right="50"/>
              <w:jc w:val="both"/>
            </w:pPr>
            <w:r>
              <w:rPr>
                <w:rFonts w:ascii="Arial" w:eastAsia="Arial" w:hAnsi="Arial" w:cs="Arial"/>
                <w:i/>
                <w:sz w:val="18"/>
              </w:rPr>
              <w:t xml:space="preserve">Le copie formate ai sensi dei commi 1, 1-bis, 2 e 3 sostituiscono ad </w:t>
            </w:r>
            <w:proofErr w:type="spellStart"/>
            <w:r>
              <w:rPr>
                <w:rFonts w:ascii="Arial" w:eastAsia="Arial" w:hAnsi="Arial" w:cs="Arial"/>
                <w:i/>
                <w:sz w:val="18"/>
              </w:rPr>
              <w:t>ognieffetto</w:t>
            </w:r>
            <w:proofErr w:type="spellEnd"/>
            <w:r>
              <w:rPr>
                <w:rFonts w:ascii="Arial" w:eastAsia="Arial" w:hAnsi="Arial" w:cs="Arial"/>
                <w:i/>
                <w:sz w:val="18"/>
              </w:rPr>
              <w:t xml:space="preserve"> di legge gli originali formati in origine su supporto analogico, e sono idonee ad assolvere agli obblighi di conservazione previsti dalla legge, salvo quanto stabilito dal comma 5.</w:t>
            </w:r>
          </w:p>
          <w:p w14:paraId="095718CF" w14:textId="77777777" w:rsidR="00B32EF2" w:rsidRDefault="00000000">
            <w:pPr>
              <w:spacing w:after="0" w:line="225" w:lineRule="auto"/>
              <w:ind w:right="50"/>
              <w:jc w:val="both"/>
            </w:pPr>
            <w:r>
              <w:rPr>
                <w:rFonts w:ascii="Arial" w:eastAsia="Arial" w:hAnsi="Arial" w:cs="Arial"/>
                <w:i/>
                <w:sz w:val="18"/>
              </w:rPr>
              <w:t>4-bis. Le copie per immagine su supporto informatico di atti e documenti originali formati in origine su supporto analogico, depositati in procedimenti giudiziari civili definiti con provvedimento decisorio non più soggetto a impugnazione da almeno un anno, sono idonee ad assolvere gli obblighi di conservazione previsti dalla legge se il cancelliere vi appone la firma digitale, ne attesta la conformità all’originale e le inserisce nel fascicolo informatico nel rispetto della normativa anche regolamentare concernente il processo civile telematico. In tali casi, si può procedere alla distruzione degli originali analogici, secondo le modalità previste con decreto del Ministro della giustizia, sentiti il Garante per la protezione dei dati personali e l’Agenzia per l’Italia digitale.</w:t>
            </w:r>
          </w:p>
          <w:p w14:paraId="6D5F7744" w14:textId="77777777" w:rsidR="00B32EF2" w:rsidRDefault="00000000">
            <w:pPr>
              <w:numPr>
                <w:ilvl w:val="0"/>
                <w:numId w:val="202"/>
              </w:numPr>
              <w:spacing w:after="0" w:line="225" w:lineRule="auto"/>
              <w:ind w:right="50"/>
              <w:jc w:val="both"/>
            </w:pPr>
            <w:r>
              <w:rPr>
                <w:rFonts w:ascii="Arial" w:eastAsia="Arial" w:hAnsi="Arial" w:cs="Arial"/>
                <w:i/>
                <w:sz w:val="18"/>
              </w:rPr>
              <w:t xml:space="preserve">Salvo quanto previsto dal comma 4-bis, con decreto del Presidente </w:t>
            </w:r>
            <w:proofErr w:type="spellStart"/>
            <w:r>
              <w:rPr>
                <w:rFonts w:ascii="Arial" w:eastAsia="Arial" w:hAnsi="Arial" w:cs="Arial"/>
                <w:i/>
                <w:sz w:val="18"/>
              </w:rPr>
              <w:t>delConsiglio</w:t>
            </w:r>
            <w:proofErr w:type="spellEnd"/>
            <w:r>
              <w:rPr>
                <w:rFonts w:ascii="Arial" w:eastAsia="Arial" w:hAnsi="Arial" w:cs="Arial"/>
                <w:i/>
                <w:sz w:val="18"/>
              </w:rPr>
              <w:t xml:space="preserve"> dei ministri  possono essere individuate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w:t>
            </w:r>
          </w:p>
          <w:p w14:paraId="026F6325" w14:textId="77777777" w:rsidR="00B32EF2" w:rsidRDefault="00000000">
            <w:pPr>
              <w:spacing w:after="0"/>
            </w:pPr>
            <w:r>
              <w:rPr>
                <w:rFonts w:ascii="Arial" w:eastAsia="Arial" w:hAnsi="Arial" w:cs="Arial"/>
                <w:i/>
                <w:sz w:val="18"/>
              </w:rPr>
              <w:t>art. 182 c.p.c. “Difetto di rappresentanza o di autorizzazione”</w:t>
            </w:r>
          </w:p>
          <w:p w14:paraId="063B243D" w14:textId="77777777" w:rsidR="00B32EF2" w:rsidRDefault="00000000">
            <w:pPr>
              <w:spacing w:after="0" w:line="225" w:lineRule="auto"/>
              <w:ind w:right="50"/>
              <w:jc w:val="both"/>
            </w:pPr>
            <w:r>
              <w:rPr>
                <w:rFonts w:ascii="Arial" w:eastAsia="Arial" w:hAnsi="Arial" w:cs="Arial"/>
                <w:i/>
                <w:sz w:val="18"/>
              </w:rPr>
              <w:t>1. Il giudice istruttore verifica d’ufficio la regolarità della costituzione delle parti e, quando occorre, le invita a completare o a mettere in regola gli atti e i documenti che riconosce difettosi.</w:t>
            </w:r>
          </w:p>
          <w:p w14:paraId="25E9E891" w14:textId="77777777" w:rsidR="00B32EF2" w:rsidRDefault="00000000">
            <w:pPr>
              <w:spacing w:after="0" w:line="225" w:lineRule="auto"/>
              <w:ind w:right="50"/>
              <w:jc w:val="both"/>
            </w:pPr>
            <w:r>
              <w:rPr>
                <w:rFonts w:ascii="Arial" w:eastAsia="Arial" w:hAnsi="Arial" w:cs="Arial"/>
                <w:i/>
                <w:sz w:val="18"/>
              </w:rPr>
              <w:t>2.Quando rileva la mancanza della procura al difensore oppure un difetto di rappresentanza, di assistenza o di autorizzazione che ne determina la nullità, il giudice assegna alle parti un termine perentorio per la costituzione della persona alla quale spetta la rappresentanza o l’assistenza, per il rilascio delle necessarie autorizzazioni, ovvero per il rilascio della procura alle liti o per la rinnovazione della stessa. L’osservanza del termine sana i vizi, e gli effetti sostanziali e processuali della domanda si producono fin dal momento della prima notificazione .</w:t>
            </w:r>
          </w:p>
          <w:p w14:paraId="198BDA2F" w14:textId="77777777" w:rsidR="00B32EF2" w:rsidRDefault="00000000">
            <w:pPr>
              <w:spacing w:after="0"/>
            </w:pPr>
            <w:r>
              <w:rPr>
                <w:rFonts w:ascii="Arial" w:eastAsia="Arial" w:hAnsi="Arial" w:cs="Arial"/>
                <w:b/>
                <w:i/>
                <w:sz w:val="18"/>
              </w:rPr>
              <w:t>NORME COLLEGATE</w:t>
            </w:r>
          </w:p>
          <w:p w14:paraId="253E0DA9" w14:textId="77777777" w:rsidR="00B32EF2" w:rsidRDefault="00000000">
            <w:pPr>
              <w:spacing w:after="0"/>
            </w:pPr>
            <w:r>
              <w:rPr>
                <w:rFonts w:ascii="Arial" w:eastAsia="Arial" w:hAnsi="Arial" w:cs="Arial"/>
                <w:i/>
                <w:sz w:val="18"/>
              </w:rPr>
              <w:t>art. 83 c.p.c. “Procura alle liti”</w:t>
            </w:r>
          </w:p>
          <w:p w14:paraId="589EE0A6" w14:textId="77777777" w:rsidR="00B32EF2" w:rsidRDefault="00000000">
            <w:pPr>
              <w:spacing w:after="0"/>
            </w:pPr>
            <w:r>
              <w:rPr>
                <w:rFonts w:ascii="Arial" w:eastAsia="Arial" w:hAnsi="Arial" w:cs="Arial"/>
                <w:i/>
                <w:sz w:val="18"/>
              </w:rPr>
              <w:t>1. Quando la parte sta in giudizio col ministero di un difensore, questi deve essere munito di procura.</w:t>
            </w:r>
          </w:p>
        </w:tc>
      </w:tr>
    </w:tbl>
    <w:p w14:paraId="15D7CD18" w14:textId="77777777" w:rsidR="00B32EF2" w:rsidRDefault="00000000">
      <w:pPr>
        <w:numPr>
          <w:ilvl w:val="0"/>
          <w:numId w:val="27"/>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lastRenderedPageBreak/>
        <w:t>La procura alle liti può essere generale o speciale, e deve essere conferita con atto pubblico o scrittura privata autenticata.</w:t>
      </w:r>
    </w:p>
    <w:p w14:paraId="12E3D3BC" w14:textId="77777777" w:rsidR="00B32EF2" w:rsidRDefault="00000000">
      <w:pPr>
        <w:numPr>
          <w:ilvl w:val="0"/>
          <w:numId w:val="27"/>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La procura speciale può essere anche apposta in calce o a margine </w:t>
      </w:r>
      <w:proofErr w:type="spellStart"/>
      <w:r>
        <w:rPr>
          <w:rFonts w:ascii="Arial" w:eastAsia="Arial" w:hAnsi="Arial" w:cs="Arial"/>
          <w:i/>
          <w:sz w:val="18"/>
        </w:rPr>
        <w:t>dellacitazione</w:t>
      </w:r>
      <w:proofErr w:type="spellEnd"/>
      <w:r>
        <w:rPr>
          <w:rFonts w:ascii="Arial" w:eastAsia="Arial" w:hAnsi="Arial" w:cs="Arial"/>
          <w:i/>
          <w:sz w:val="18"/>
        </w:rPr>
        <w:t>, del ricorso, del controricorso, della comparsa di risposta o d’intervento, del precetto o della domanda d’intervento nell’esecuzione, ovvero della memoria di nomina del nuovo difensore, in aggiunta o in sostituzione del difensore originariamente designato. In tali casi l’autografia della sottoscrizione della parte deve essere certificata dal difensore. La procura si considera apposta in calce anche se rilasciata su foglio separato che sia però congiunto materialmente all’atto cui si riferisce o su documento informatico separato sottoscritto con firma digitale e congiunto all’atto cui si riferisce mediante strumenti informatici, individuati con apposito decreto del Ministero della giustizia. Se la procura alle liti è stata conferita su supporto cartaceo, il difensore che si costituisce attraverso strumenti telematici ne trasmette la copia informatica autenticata con firma digitale, nel rispetto della normativa, anche regolamentare, concernente la sottoscrizione, la trasmissione e la ricezione dei documenti informatici e trasmessi in via telematica.</w:t>
      </w:r>
    </w:p>
    <w:p w14:paraId="493E87BF" w14:textId="77777777" w:rsidR="00B32EF2" w:rsidRDefault="00000000">
      <w:pPr>
        <w:numPr>
          <w:ilvl w:val="0"/>
          <w:numId w:val="27"/>
        </w:numPr>
        <w:pBdr>
          <w:top w:val="single" w:sz="8" w:space="0" w:color="000000"/>
          <w:left w:val="single" w:sz="8" w:space="0" w:color="000000"/>
          <w:bottom w:val="single" w:sz="8" w:space="0" w:color="000000"/>
          <w:right w:val="single" w:sz="8" w:space="0" w:color="000000"/>
        </w:pBdr>
        <w:shd w:val="clear" w:color="auto" w:fill="C3C3C3"/>
        <w:spacing w:after="264" w:line="251" w:lineRule="auto"/>
        <w:ind w:right="120" w:hanging="10"/>
        <w:jc w:val="both"/>
      </w:pPr>
      <w:r>
        <w:rPr>
          <w:rFonts w:ascii="Arial" w:eastAsia="Arial" w:hAnsi="Arial" w:cs="Arial"/>
          <w:i/>
          <w:sz w:val="18"/>
        </w:rPr>
        <w:t xml:space="preserve">La procura speciale si presume conferita soltanto per un </w:t>
      </w:r>
      <w:proofErr w:type="spellStart"/>
      <w:r>
        <w:rPr>
          <w:rFonts w:ascii="Arial" w:eastAsia="Arial" w:hAnsi="Arial" w:cs="Arial"/>
          <w:i/>
          <w:sz w:val="18"/>
        </w:rPr>
        <w:t>determinatogrado</w:t>
      </w:r>
      <w:proofErr w:type="spellEnd"/>
      <w:r>
        <w:rPr>
          <w:rFonts w:ascii="Arial" w:eastAsia="Arial" w:hAnsi="Arial" w:cs="Arial"/>
          <w:i/>
          <w:sz w:val="18"/>
        </w:rPr>
        <w:t xml:space="preserve"> del processo, quando nell’atto non è espressa volontà diversa.</w:t>
      </w:r>
    </w:p>
    <w:p w14:paraId="7EEA89EB" w14:textId="77777777" w:rsidR="00B32EF2" w:rsidRDefault="00000000">
      <w:pPr>
        <w:spacing w:after="0" w:line="261" w:lineRule="auto"/>
        <w:ind w:left="12" w:right="3" w:hanging="10"/>
        <w:jc w:val="center"/>
      </w:pPr>
      <w:r>
        <w:rPr>
          <w:rFonts w:ascii="Arial" w:eastAsia="Arial" w:hAnsi="Arial" w:cs="Arial"/>
          <w:b/>
          <w:sz w:val="18"/>
        </w:rPr>
        <w:t>Articolo 13 (1)</w:t>
      </w:r>
    </w:p>
    <w:p w14:paraId="06B9ECEB" w14:textId="77777777" w:rsidR="00B32EF2" w:rsidRDefault="00000000">
      <w:pPr>
        <w:spacing w:after="0" w:line="261" w:lineRule="auto"/>
        <w:ind w:left="12" w:right="3" w:hanging="10"/>
        <w:jc w:val="center"/>
      </w:pPr>
      <w:r>
        <w:rPr>
          <w:rFonts w:ascii="Arial" w:eastAsia="Arial" w:hAnsi="Arial" w:cs="Arial"/>
          <w:b/>
          <w:sz w:val="18"/>
        </w:rPr>
        <w:t>Assistenza tecnica gratuita</w:t>
      </w:r>
    </w:p>
    <w:p w14:paraId="25C2A041" w14:textId="77777777" w:rsidR="00B32EF2" w:rsidRDefault="00000000">
      <w:pPr>
        <w:numPr>
          <w:ilvl w:val="0"/>
          <w:numId w:val="28"/>
        </w:numPr>
        <w:spacing w:after="4" w:line="254" w:lineRule="auto"/>
        <w:ind w:right="10" w:hanging="10"/>
        <w:jc w:val="both"/>
      </w:pPr>
      <w:r>
        <w:rPr>
          <w:rFonts w:ascii="Arial" w:eastAsia="Arial" w:hAnsi="Arial" w:cs="Arial"/>
          <w:sz w:val="18"/>
        </w:rPr>
        <w:t>E’ assicurata innanzi alle corti di giustizia tributaria di primo e secondo grado ai non abbienti l’assistenza tecnica gratuita, secondo le disposizioni del regio decreto 30 dicembre 1923, n. 3282, e successive modificazioni e integrazioni. L’attività gratuita di assistenza tecnica è obbligatoria per tutti i soggetti indicati nell’art. 12, comma 2.</w:t>
      </w:r>
    </w:p>
    <w:p w14:paraId="368AAFE3" w14:textId="77777777" w:rsidR="00B32EF2" w:rsidRDefault="00000000">
      <w:pPr>
        <w:numPr>
          <w:ilvl w:val="0"/>
          <w:numId w:val="28"/>
        </w:numPr>
        <w:spacing w:after="4" w:line="254" w:lineRule="auto"/>
        <w:ind w:right="10" w:hanging="10"/>
        <w:jc w:val="both"/>
      </w:pPr>
      <w:r>
        <w:rPr>
          <w:rFonts w:ascii="Arial" w:eastAsia="Arial" w:hAnsi="Arial" w:cs="Arial"/>
          <w:sz w:val="18"/>
        </w:rPr>
        <w:t xml:space="preserve">E’ costituita presso ogni corte di giustizia tributaria di primo e secondo </w:t>
      </w:r>
      <w:proofErr w:type="spellStart"/>
      <w:r>
        <w:rPr>
          <w:rFonts w:ascii="Arial" w:eastAsia="Arial" w:hAnsi="Arial" w:cs="Arial"/>
          <w:sz w:val="18"/>
        </w:rPr>
        <w:t>gradola</w:t>
      </w:r>
      <w:proofErr w:type="spellEnd"/>
      <w:r>
        <w:rPr>
          <w:rFonts w:ascii="Arial" w:eastAsia="Arial" w:hAnsi="Arial" w:cs="Arial"/>
          <w:sz w:val="18"/>
        </w:rPr>
        <w:t xml:space="preserve"> commissione per l’assistenza tecnica gratuita, composta da un presidente di sezione, che la presiede, da un giudice tributario designato dal presidente della commissione, </w:t>
      </w:r>
      <w:proofErr w:type="spellStart"/>
      <w:r>
        <w:rPr>
          <w:rFonts w:ascii="Arial" w:eastAsia="Arial" w:hAnsi="Arial" w:cs="Arial"/>
          <w:sz w:val="18"/>
        </w:rPr>
        <w:t>nonchè</w:t>
      </w:r>
      <w:proofErr w:type="spellEnd"/>
      <w:r>
        <w:rPr>
          <w:rFonts w:ascii="Arial" w:eastAsia="Arial" w:hAnsi="Arial" w:cs="Arial"/>
          <w:sz w:val="18"/>
        </w:rPr>
        <w:t xml:space="preserve"> da tre iscritti negli albi o elenchi di cui all’art. 12, comma 2, designati al principio di ogni anno a turno da ciascun ordine professionale del capoluogo in cui ha sede la commissione e dalla direzione regionale delle entrate. Per ciascun componente è designato anche un membro supplente. Al presidente e ai componenti non spetta alcun compenso. Esercita le funzioni di segretario un funzionario dell’ufficio di segreteria della corte di giustizia tributaria di primo e secondo grado.</w:t>
      </w:r>
    </w:p>
    <w:p w14:paraId="018A5BE1" w14:textId="77777777" w:rsidR="00B32EF2" w:rsidRDefault="00000000">
      <w:pPr>
        <w:numPr>
          <w:ilvl w:val="0"/>
          <w:numId w:val="28"/>
        </w:numPr>
        <w:spacing w:after="4" w:line="254" w:lineRule="auto"/>
        <w:ind w:right="10" w:hanging="10"/>
        <w:jc w:val="both"/>
      </w:pPr>
      <w:r>
        <w:rPr>
          <w:rFonts w:ascii="Arial" w:eastAsia="Arial" w:hAnsi="Arial" w:cs="Arial"/>
          <w:sz w:val="18"/>
        </w:rPr>
        <w:t xml:space="preserve">Le commissioni per l’assistenza tecnica gratuita si pronunziano in </w:t>
      </w:r>
      <w:proofErr w:type="spellStart"/>
      <w:r>
        <w:rPr>
          <w:rFonts w:ascii="Arial" w:eastAsia="Arial" w:hAnsi="Arial" w:cs="Arial"/>
          <w:sz w:val="18"/>
        </w:rPr>
        <w:t>unicogrado</w:t>
      </w:r>
      <w:proofErr w:type="spellEnd"/>
      <w:r>
        <w:rPr>
          <w:rFonts w:ascii="Arial" w:eastAsia="Arial" w:hAnsi="Arial" w:cs="Arial"/>
          <w:sz w:val="18"/>
        </w:rPr>
        <w:t xml:space="preserve"> e i giudici tributari che ne fanno parte hanno l’obbligo di astenersi </w:t>
      </w:r>
      <w:r>
        <w:rPr>
          <w:rFonts w:ascii="Arial" w:eastAsia="Arial" w:hAnsi="Arial" w:cs="Arial"/>
          <w:sz w:val="18"/>
        </w:rPr>
        <w:lastRenderedPageBreak/>
        <w:t>nei processi riguardanti controversie da loro esaminate quali componenti di tali commissioni.</w:t>
      </w:r>
    </w:p>
    <w:p w14:paraId="33F373FF" w14:textId="77777777" w:rsidR="00B32EF2" w:rsidRDefault="00000000">
      <w:pPr>
        <w:numPr>
          <w:ilvl w:val="0"/>
          <w:numId w:val="28"/>
        </w:numPr>
        <w:spacing w:after="4" w:line="254" w:lineRule="auto"/>
        <w:ind w:right="10" w:hanging="10"/>
        <w:jc w:val="both"/>
      </w:pPr>
      <w:r>
        <w:rPr>
          <w:rFonts w:ascii="Arial" w:eastAsia="Arial" w:hAnsi="Arial" w:cs="Arial"/>
          <w:sz w:val="18"/>
        </w:rPr>
        <w:t>La sorveglianza di cui all’art. 4, primo e secondo comma, del regio decreto30 dicembre 1923, n. 3282, è esercitata dal presidente della corte di giustizia tributaria di primo e secondo grado.</w:t>
      </w:r>
    </w:p>
    <w:p w14:paraId="1DB5CC64" w14:textId="77777777" w:rsidR="00B32EF2" w:rsidRDefault="00000000">
      <w:pPr>
        <w:spacing w:after="0"/>
        <w:ind w:left="1"/>
      </w:pPr>
      <w:r>
        <w:rPr>
          <w:sz w:val="15"/>
        </w:rPr>
        <w:t>(1) ARTICOLO ABROGATO dall’art. 299 Dpr. n. 115/2002</w:t>
      </w:r>
      <w:r>
        <w:rPr>
          <w:rFonts w:ascii="Arial" w:eastAsia="Arial" w:hAnsi="Arial" w:cs="Arial"/>
          <w:sz w:val="15"/>
        </w:rPr>
        <w:t>.</w:t>
      </w:r>
    </w:p>
    <w:p w14:paraId="626ED3A2"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29" w:right="120" w:hanging="10"/>
        <w:jc w:val="center"/>
      </w:pPr>
      <w:r>
        <w:rPr>
          <w:rFonts w:ascii="Arial" w:eastAsia="Arial" w:hAnsi="Arial" w:cs="Arial"/>
          <w:b/>
          <w:sz w:val="18"/>
        </w:rPr>
        <w:t>Per i giudizi instaurati con ricorso notificato fino al 5.1.2024 Articolo 14</w:t>
      </w:r>
    </w:p>
    <w:p w14:paraId="50B9D1FE" w14:textId="77777777" w:rsidR="00B32EF2" w:rsidRDefault="00000000">
      <w:pPr>
        <w:pBdr>
          <w:top w:val="single" w:sz="8" w:space="0" w:color="000000"/>
          <w:left w:val="single" w:sz="8" w:space="0" w:color="000000"/>
          <w:bottom w:val="single" w:sz="8" w:space="0" w:color="000000"/>
          <w:right w:val="single" w:sz="8" w:space="0" w:color="000000"/>
        </w:pBdr>
        <w:spacing w:after="0"/>
        <w:ind w:left="129" w:right="120" w:hanging="10"/>
        <w:jc w:val="center"/>
      </w:pPr>
      <w:r>
        <w:rPr>
          <w:rFonts w:ascii="Arial" w:eastAsia="Arial" w:hAnsi="Arial" w:cs="Arial"/>
          <w:i/>
          <w:sz w:val="18"/>
        </w:rPr>
        <w:t>(articolo 58 TUGT)</w:t>
      </w:r>
    </w:p>
    <w:p w14:paraId="03B9E13B"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29" w:right="120" w:hanging="10"/>
        <w:jc w:val="center"/>
      </w:pPr>
      <w:r>
        <w:rPr>
          <w:rFonts w:ascii="Arial" w:eastAsia="Arial" w:hAnsi="Arial" w:cs="Arial"/>
          <w:b/>
          <w:sz w:val="18"/>
        </w:rPr>
        <w:t xml:space="preserve">Litisconsorzio ed intervento </w:t>
      </w:r>
    </w:p>
    <w:p w14:paraId="0D0253C0" w14:textId="77777777" w:rsidR="00B32EF2" w:rsidRDefault="00000000">
      <w:pPr>
        <w:numPr>
          <w:ilvl w:val="0"/>
          <w:numId w:val="29"/>
        </w:numPr>
        <w:pBdr>
          <w:top w:val="single" w:sz="8" w:space="0" w:color="000000"/>
          <w:left w:val="single" w:sz="8" w:space="0" w:color="000000"/>
          <w:bottom w:val="single" w:sz="8" w:space="0" w:color="000000"/>
          <w:right w:val="single" w:sz="8" w:space="0" w:color="000000"/>
        </w:pBdr>
        <w:spacing w:after="3" w:line="226" w:lineRule="auto"/>
        <w:ind w:left="187" w:right="120" w:hanging="68"/>
        <w:jc w:val="both"/>
      </w:pPr>
      <w:r>
        <w:rPr>
          <w:rFonts w:ascii="Arial" w:eastAsia="Arial" w:hAnsi="Arial" w:cs="Arial"/>
          <w:sz w:val="18"/>
        </w:rPr>
        <w:t xml:space="preserve">Se   l’oggetto   del   ricorso   riguarda     inscindibilmente     </w:t>
      </w:r>
      <w:proofErr w:type="spellStart"/>
      <w:r>
        <w:rPr>
          <w:rFonts w:ascii="Arial" w:eastAsia="Arial" w:hAnsi="Arial" w:cs="Arial"/>
          <w:sz w:val="18"/>
        </w:rPr>
        <w:t>piùsoggetti</w:t>
      </w:r>
      <w:proofErr w:type="spellEnd"/>
      <w:r>
        <w:rPr>
          <w:rFonts w:ascii="Arial" w:eastAsia="Arial" w:hAnsi="Arial" w:cs="Arial"/>
          <w:sz w:val="18"/>
        </w:rPr>
        <w:t>, questi  devono  essere  tutti  parte  nello  stesso  processo  e  la controversia non può essere decisa limitatamente ad alcuni di essi.</w:t>
      </w:r>
    </w:p>
    <w:p w14:paraId="2D53B2E2" w14:textId="77777777" w:rsidR="00B32EF2" w:rsidRDefault="00000000">
      <w:pPr>
        <w:numPr>
          <w:ilvl w:val="0"/>
          <w:numId w:val="29"/>
        </w:numPr>
        <w:pBdr>
          <w:top w:val="single" w:sz="8" w:space="0" w:color="000000"/>
          <w:left w:val="single" w:sz="8" w:space="0" w:color="000000"/>
          <w:bottom w:val="single" w:sz="8" w:space="0" w:color="000000"/>
          <w:right w:val="single" w:sz="8" w:space="0" w:color="000000"/>
        </w:pBdr>
        <w:spacing w:after="3" w:line="226" w:lineRule="auto"/>
        <w:ind w:left="187" w:right="120" w:hanging="68"/>
        <w:jc w:val="both"/>
      </w:pPr>
      <w:r>
        <w:rPr>
          <w:rFonts w:ascii="Arial" w:eastAsia="Arial" w:hAnsi="Arial" w:cs="Arial"/>
          <w:sz w:val="18"/>
        </w:rPr>
        <w:t xml:space="preserve">Se il ricorso non è stato proposto  da  o  nei  confronti  di  tutti  </w:t>
      </w:r>
      <w:proofErr w:type="spellStart"/>
      <w:r>
        <w:rPr>
          <w:rFonts w:ascii="Arial" w:eastAsia="Arial" w:hAnsi="Arial" w:cs="Arial"/>
          <w:sz w:val="18"/>
        </w:rPr>
        <w:t>isoggetti</w:t>
      </w:r>
      <w:proofErr w:type="spellEnd"/>
      <w:r>
        <w:rPr>
          <w:rFonts w:ascii="Arial" w:eastAsia="Arial" w:hAnsi="Arial" w:cs="Arial"/>
          <w:sz w:val="18"/>
        </w:rPr>
        <w:t xml:space="preserve">  indicati   nel   comma   1   è    ordinata    l’integrazione    del contraddittorio   mediante   la  loro  chiamata  in  causa  entro  un  termine stabilito a pena di decadenza.</w:t>
      </w:r>
    </w:p>
    <w:p w14:paraId="7F026289" w14:textId="77777777" w:rsidR="00B32EF2" w:rsidRDefault="00000000">
      <w:pPr>
        <w:numPr>
          <w:ilvl w:val="0"/>
          <w:numId w:val="29"/>
        </w:numPr>
        <w:pBdr>
          <w:top w:val="single" w:sz="8" w:space="0" w:color="000000"/>
          <w:left w:val="single" w:sz="8" w:space="0" w:color="000000"/>
          <w:bottom w:val="single" w:sz="8" w:space="0" w:color="000000"/>
          <w:right w:val="single" w:sz="8" w:space="0" w:color="000000"/>
        </w:pBdr>
        <w:spacing w:after="3" w:line="226" w:lineRule="auto"/>
        <w:ind w:left="187" w:right="120" w:hanging="68"/>
        <w:jc w:val="both"/>
      </w:pPr>
      <w:r>
        <w:rPr>
          <w:rFonts w:ascii="Arial" w:eastAsia="Arial" w:hAnsi="Arial" w:cs="Arial"/>
          <w:sz w:val="18"/>
        </w:rPr>
        <w:t xml:space="preserve">Possono  intervenire  volontariamente  o  essere  chiamati   in </w:t>
      </w:r>
      <w:proofErr w:type="spellStart"/>
      <w:r>
        <w:rPr>
          <w:rFonts w:ascii="Arial" w:eastAsia="Arial" w:hAnsi="Arial" w:cs="Arial"/>
          <w:sz w:val="18"/>
        </w:rPr>
        <w:t>giudizioi</w:t>
      </w:r>
      <w:proofErr w:type="spellEnd"/>
      <w:r>
        <w:rPr>
          <w:rFonts w:ascii="Arial" w:eastAsia="Arial" w:hAnsi="Arial" w:cs="Arial"/>
          <w:sz w:val="18"/>
        </w:rPr>
        <w:t xml:space="preserve">   soggetti   che,   insieme   al  ricorrente,  sono  destinatari   dell’atto</w:t>
      </w:r>
    </w:p>
    <w:p w14:paraId="198B2B31"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impugnato o parti del rapporto tributario controverso.</w:t>
      </w:r>
    </w:p>
    <w:p w14:paraId="0B04AF60" w14:textId="77777777" w:rsidR="00B32EF2" w:rsidRDefault="00000000">
      <w:pPr>
        <w:numPr>
          <w:ilvl w:val="0"/>
          <w:numId w:val="29"/>
        </w:numPr>
        <w:pBdr>
          <w:top w:val="single" w:sz="8" w:space="0" w:color="000000"/>
          <w:left w:val="single" w:sz="8" w:space="0" w:color="000000"/>
          <w:bottom w:val="single" w:sz="8" w:space="0" w:color="000000"/>
          <w:right w:val="single" w:sz="8" w:space="0" w:color="000000"/>
        </w:pBdr>
        <w:spacing w:after="3" w:line="226" w:lineRule="auto"/>
        <w:ind w:left="187" w:right="120" w:hanging="68"/>
        <w:jc w:val="both"/>
      </w:pPr>
      <w:r>
        <w:rPr>
          <w:rFonts w:ascii="Arial" w:eastAsia="Arial" w:hAnsi="Arial" w:cs="Arial"/>
          <w:sz w:val="18"/>
        </w:rPr>
        <w:t xml:space="preserve">Le  parti  chiamate   si   costituiscono   in   giudizio   nelle   </w:t>
      </w:r>
      <w:proofErr w:type="spellStart"/>
      <w:r>
        <w:rPr>
          <w:rFonts w:ascii="Arial" w:eastAsia="Arial" w:hAnsi="Arial" w:cs="Arial"/>
          <w:sz w:val="18"/>
        </w:rPr>
        <w:t>formeprescritte</w:t>
      </w:r>
      <w:proofErr w:type="spellEnd"/>
      <w:r>
        <w:rPr>
          <w:rFonts w:ascii="Arial" w:eastAsia="Arial" w:hAnsi="Arial" w:cs="Arial"/>
          <w:sz w:val="18"/>
        </w:rPr>
        <w:t xml:space="preserve"> per la parte resistente, in quanto applicabili.</w:t>
      </w:r>
    </w:p>
    <w:p w14:paraId="4DC8AEAC" w14:textId="77777777" w:rsidR="00B32EF2" w:rsidRDefault="00000000">
      <w:pPr>
        <w:numPr>
          <w:ilvl w:val="0"/>
          <w:numId w:val="29"/>
        </w:numPr>
        <w:pBdr>
          <w:top w:val="single" w:sz="8" w:space="0" w:color="000000"/>
          <w:left w:val="single" w:sz="8" w:space="0" w:color="000000"/>
          <w:bottom w:val="single" w:sz="8" w:space="0" w:color="000000"/>
          <w:right w:val="single" w:sz="8" w:space="0" w:color="000000"/>
        </w:pBdr>
        <w:spacing w:after="3" w:line="226" w:lineRule="auto"/>
        <w:ind w:left="187" w:right="120" w:hanging="68"/>
        <w:jc w:val="both"/>
      </w:pPr>
      <w:r>
        <w:rPr>
          <w:rFonts w:ascii="Arial" w:eastAsia="Arial" w:hAnsi="Arial" w:cs="Arial"/>
          <w:sz w:val="18"/>
        </w:rPr>
        <w:t xml:space="preserve">I  soggetti   indicati  nei  commi  1  e  3  intervengono  nel  </w:t>
      </w:r>
      <w:proofErr w:type="spellStart"/>
      <w:r>
        <w:rPr>
          <w:rFonts w:ascii="Arial" w:eastAsia="Arial" w:hAnsi="Arial" w:cs="Arial"/>
          <w:sz w:val="18"/>
        </w:rPr>
        <w:t>processonotificando</w:t>
      </w:r>
      <w:proofErr w:type="spellEnd"/>
      <w:r>
        <w:rPr>
          <w:rFonts w:ascii="Arial" w:eastAsia="Arial" w:hAnsi="Arial" w:cs="Arial"/>
          <w:sz w:val="18"/>
        </w:rPr>
        <w:t xml:space="preserve"> apposito atto a tutte  le  parti  e  costituendosi  nelle forme di</w:t>
      </w:r>
    </w:p>
    <w:p w14:paraId="26E1CA30"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cui al comma precedente.</w:t>
      </w:r>
    </w:p>
    <w:p w14:paraId="3F1654C6" w14:textId="77777777" w:rsidR="00B32EF2" w:rsidRDefault="00000000">
      <w:pPr>
        <w:numPr>
          <w:ilvl w:val="0"/>
          <w:numId w:val="29"/>
        </w:numPr>
        <w:pBdr>
          <w:top w:val="single" w:sz="8" w:space="0" w:color="000000"/>
          <w:left w:val="single" w:sz="8" w:space="0" w:color="000000"/>
          <w:bottom w:val="single" w:sz="8" w:space="0" w:color="000000"/>
          <w:right w:val="single" w:sz="8" w:space="0" w:color="000000"/>
        </w:pBdr>
        <w:spacing w:after="3" w:line="226" w:lineRule="auto"/>
        <w:ind w:left="187" w:right="120" w:hanging="68"/>
        <w:jc w:val="both"/>
      </w:pPr>
      <w:r>
        <w:rPr>
          <w:rFonts w:ascii="Arial" w:eastAsia="Arial" w:hAnsi="Arial" w:cs="Arial"/>
          <w:sz w:val="18"/>
        </w:rPr>
        <w:t xml:space="preserve">Le  parti  chiamate  in causa o intervenute volontariamente non  possono impugnare autonomamente l’atto se per esse al  momento  della costituzione  è </w:t>
      </w:r>
    </w:p>
    <w:p w14:paraId="56BF18C1" w14:textId="77777777" w:rsidR="00B32EF2" w:rsidRDefault="00000000">
      <w:pPr>
        <w:pBdr>
          <w:top w:val="single" w:sz="8" w:space="0" w:color="000000"/>
          <w:left w:val="single" w:sz="8" w:space="0" w:color="000000"/>
          <w:bottom w:val="single" w:sz="8" w:space="0" w:color="000000"/>
          <w:right w:val="single" w:sz="8" w:space="0" w:color="000000"/>
        </w:pBdr>
        <w:spacing w:after="267" w:line="226" w:lineRule="auto"/>
        <w:ind w:left="129" w:right="120" w:hanging="10"/>
        <w:jc w:val="both"/>
      </w:pPr>
      <w:r>
        <w:rPr>
          <w:rFonts w:ascii="Arial" w:eastAsia="Arial" w:hAnsi="Arial" w:cs="Arial"/>
          <w:sz w:val="18"/>
        </w:rPr>
        <w:t>già decorso il termine di decadenza.</w:t>
      </w:r>
    </w:p>
    <w:p w14:paraId="7C25825F" w14:textId="77777777" w:rsidR="00B32EF2" w:rsidRDefault="00000000">
      <w:pPr>
        <w:spacing w:after="0" w:line="261" w:lineRule="auto"/>
        <w:ind w:left="12" w:right="3" w:hanging="10"/>
        <w:jc w:val="center"/>
      </w:pPr>
      <w:r>
        <w:rPr>
          <w:rFonts w:ascii="Arial" w:eastAsia="Arial" w:hAnsi="Arial" w:cs="Arial"/>
          <w:b/>
          <w:sz w:val="18"/>
        </w:rPr>
        <w:t>Articolo 14</w:t>
      </w:r>
    </w:p>
    <w:p w14:paraId="460763AF" w14:textId="77777777" w:rsidR="00B32EF2" w:rsidRDefault="00000000">
      <w:pPr>
        <w:spacing w:after="3" w:line="251" w:lineRule="auto"/>
        <w:ind w:left="2320" w:right="2311" w:hanging="10"/>
        <w:jc w:val="center"/>
      </w:pPr>
      <w:r>
        <w:rPr>
          <w:rFonts w:ascii="Arial" w:eastAsia="Arial" w:hAnsi="Arial" w:cs="Arial"/>
          <w:i/>
          <w:sz w:val="18"/>
        </w:rPr>
        <w:t>(articolo 58 TUGT)</w:t>
      </w:r>
    </w:p>
    <w:p w14:paraId="2487FD14" w14:textId="77777777" w:rsidR="00B32EF2" w:rsidRDefault="00000000">
      <w:pPr>
        <w:spacing w:after="0" w:line="261" w:lineRule="auto"/>
        <w:ind w:left="12" w:right="3" w:hanging="10"/>
        <w:jc w:val="center"/>
      </w:pPr>
      <w:r>
        <w:rPr>
          <w:rFonts w:ascii="Arial" w:eastAsia="Arial" w:hAnsi="Arial" w:cs="Arial"/>
          <w:b/>
          <w:sz w:val="18"/>
        </w:rPr>
        <w:t>Litisconsorzio ed intervento</w:t>
      </w:r>
    </w:p>
    <w:p w14:paraId="1004AD34" w14:textId="77777777" w:rsidR="00B32EF2" w:rsidRDefault="00000000">
      <w:pPr>
        <w:numPr>
          <w:ilvl w:val="0"/>
          <w:numId w:val="30"/>
        </w:numPr>
        <w:spacing w:after="4" w:line="254" w:lineRule="auto"/>
        <w:ind w:right="10" w:hanging="10"/>
        <w:jc w:val="both"/>
      </w:pPr>
      <w:r>
        <w:rPr>
          <w:rFonts w:ascii="Arial" w:eastAsia="Arial" w:hAnsi="Arial" w:cs="Arial"/>
          <w:sz w:val="18"/>
        </w:rPr>
        <w:t>Se l’oggetto del ricorso riguarda inscindibilmente più soggetti, questi devono essere tutti parte nello stesso processo e la controversia non può essere decisa limitatamente ad alcuni di essi.</w:t>
      </w:r>
    </w:p>
    <w:p w14:paraId="1E755B91" w14:textId="77777777" w:rsidR="00B32EF2" w:rsidRDefault="00000000">
      <w:pPr>
        <w:numPr>
          <w:ilvl w:val="0"/>
          <w:numId w:val="30"/>
        </w:numPr>
        <w:spacing w:after="4" w:line="254" w:lineRule="auto"/>
        <w:ind w:right="10" w:hanging="10"/>
        <w:jc w:val="both"/>
      </w:pPr>
      <w:r>
        <w:rPr>
          <w:rFonts w:ascii="Arial" w:eastAsia="Arial" w:hAnsi="Arial" w:cs="Arial"/>
          <w:sz w:val="18"/>
        </w:rPr>
        <w:t xml:space="preserve">Se il ricorso non è stato proposto da o nei confronti di tutti i soggetti </w:t>
      </w:r>
      <w:proofErr w:type="spellStart"/>
      <w:r>
        <w:rPr>
          <w:rFonts w:ascii="Arial" w:eastAsia="Arial" w:hAnsi="Arial" w:cs="Arial"/>
          <w:sz w:val="18"/>
        </w:rPr>
        <w:t>indicatinel</w:t>
      </w:r>
      <w:proofErr w:type="spellEnd"/>
      <w:r>
        <w:rPr>
          <w:rFonts w:ascii="Arial" w:eastAsia="Arial" w:hAnsi="Arial" w:cs="Arial"/>
          <w:sz w:val="18"/>
        </w:rPr>
        <w:t xml:space="preserve"> comma 1 è ordinata l’integrazione del contraddittorio mediante la loro chiamata in causa entro un termine stabilito a pena di decadenza.</w:t>
      </w:r>
    </w:p>
    <w:p w14:paraId="17467B95" w14:textId="77777777" w:rsidR="00B32EF2" w:rsidRDefault="00000000">
      <w:pPr>
        <w:numPr>
          <w:ilvl w:val="0"/>
          <w:numId w:val="30"/>
        </w:numPr>
        <w:spacing w:after="4" w:line="254" w:lineRule="auto"/>
        <w:ind w:right="10" w:hanging="10"/>
        <w:jc w:val="both"/>
      </w:pPr>
      <w:r>
        <w:rPr>
          <w:rFonts w:ascii="Arial" w:eastAsia="Arial" w:hAnsi="Arial" w:cs="Arial"/>
          <w:sz w:val="18"/>
        </w:rPr>
        <w:t xml:space="preserve">Possono intervenire volontariamente o essere chiamati in giudizio i </w:t>
      </w:r>
      <w:proofErr w:type="spellStart"/>
      <w:r>
        <w:rPr>
          <w:rFonts w:ascii="Arial" w:eastAsia="Arial" w:hAnsi="Arial" w:cs="Arial"/>
          <w:sz w:val="18"/>
        </w:rPr>
        <w:t>soggettiche</w:t>
      </w:r>
      <w:proofErr w:type="spellEnd"/>
      <w:r>
        <w:rPr>
          <w:rFonts w:ascii="Arial" w:eastAsia="Arial" w:hAnsi="Arial" w:cs="Arial"/>
          <w:sz w:val="18"/>
        </w:rPr>
        <w:t>, insieme al ricorrente, sono destinatari dell’atto impugnato o parti del rapporto tributario controverso.</w:t>
      </w:r>
    </w:p>
    <w:p w14:paraId="05FFB58F" w14:textId="77777777" w:rsidR="00B32EF2" w:rsidRDefault="00000000">
      <w:pPr>
        <w:numPr>
          <w:ilvl w:val="0"/>
          <w:numId w:val="30"/>
        </w:numPr>
        <w:spacing w:after="4" w:line="254" w:lineRule="auto"/>
        <w:ind w:right="10" w:hanging="10"/>
        <w:jc w:val="both"/>
      </w:pPr>
      <w:r>
        <w:rPr>
          <w:rFonts w:ascii="Arial" w:eastAsia="Arial" w:hAnsi="Arial" w:cs="Arial"/>
          <w:sz w:val="18"/>
        </w:rPr>
        <w:lastRenderedPageBreak/>
        <w:t xml:space="preserve">Le parti chiamate si costituiscono in giudizio nelle forme prescritte per </w:t>
      </w:r>
      <w:proofErr w:type="spellStart"/>
      <w:r>
        <w:rPr>
          <w:rFonts w:ascii="Arial" w:eastAsia="Arial" w:hAnsi="Arial" w:cs="Arial"/>
          <w:sz w:val="18"/>
        </w:rPr>
        <w:t>laparte</w:t>
      </w:r>
      <w:proofErr w:type="spellEnd"/>
      <w:r>
        <w:rPr>
          <w:rFonts w:ascii="Arial" w:eastAsia="Arial" w:hAnsi="Arial" w:cs="Arial"/>
          <w:sz w:val="18"/>
        </w:rPr>
        <w:t xml:space="preserve"> resistente, in quanto applicabili.</w:t>
      </w:r>
    </w:p>
    <w:p w14:paraId="3DE4EBCB" w14:textId="77777777" w:rsidR="00B32EF2" w:rsidRDefault="00000000">
      <w:pPr>
        <w:numPr>
          <w:ilvl w:val="0"/>
          <w:numId w:val="30"/>
        </w:numPr>
        <w:spacing w:after="4" w:line="254" w:lineRule="auto"/>
        <w:ind w:right="10" w:hanging="10"/>
        <w:jc w:val="both"/>
      </w:pPr>
      <w:r>
        <w:rPr>
          <w:rFonts w:ascii="Arial" w:eastAsia="Arial" w:hAnsi="Arial" w:cs="Arial"/>
          <w:sz w:val="18"/>
        </w:rPr>
        <w:t xml:space="preserve">I soggetti indicati nei commi 1 e 3 intervengono nel processo </w:t>
      </w:r>
      <w:proofErr w:type="spellStart"/>
      <w:r>
        <w:rPr>
          <w:rFonts w:ascii="Arial" w:eastAsia="Arial" w:hAnsi="Arial" w:cs="Arial"/>
          <w:sz w:val="18"/>
        </w:rPr>
        <w:t>notificandoapposito</w:t>
      </w:r>
      <w:proofErr w:type="spellEnd"/>
      <w:r>
        <w:rPr>
          <w:rFonts w:ascii="Arial" w:eastAsia="Arial" w:hAnsi="Arial" w:cs="Arial"/>
          <w:sz w:val="18"/>
        </w:rPr>
        <w:t xml:space="preserve"> atto a tutte le parti e costituendosi nelle forme di cui al comma precedente.</w:t>
      </w:r>
    </w:p>
    <w:p w14:paraId="1236911B" w14:textId="77777777" w:rsidR="00B32EF2" w:rsidRDefault="00000000">
      <w:pPr>
        <w:numPr>
          <w:ilvl w:val="0"/>
          <w:numId w:val="30"/>
        </w:numPr>
        <w:spacing w:after="4" w:line="254" w:lineRule="auto"/>
        <w:ind w:right="10" w:hanging="10"/>
        <w:jc w:val="both"/>
      </w:pPr>
      <w:r>
        <w:rPr>
          <w:rFonts w:ascii="Arial" w:eastAsia="Arial" w:hAnsi="Arial" w:cs="Arial"/>
          <w:sz w:val="18"/>
        </w:rPr>
        <w:t>Le parti chiamate in causa o intervenute volontariamente non possono impugnare autonomamente l’atto se per esse al momento della costituzione è già decorso il termine di decadenza.</w:t>
      </w:r>
    </w:p>
    <w:p w14:paraId="526981CA" w14:textId="77777777" w:rsidR="00B32EF2" w:rsidRDefault="00000000">
      <w:pPr>
        <w:spacing w:after="4" w:line="254" w:lineRule="auto"/>
        <w:ind w:left="-4" w:right="10" w:hanging="10"/>
        <w:jc w:val="both"/>
      </w:pPr>
      <w:r>
        <w:rPr>
          <w:rFonts w:ascii="Arial" w:eastAsia="Arial" w:hAnsi="Arial" w:cs="Arial"/>
          <w:sz w:val="18"/>
        </w:rPr>
        <w:t>6-bis. In caso di vizi della notificazione eccepiti nei riguardi di un atto presupposto emesso da un soggetto diverso da quello che ha emesso l’atto impugnato, il ricorso è sempre proposto nei confronti di entrambi i soggetti.</w:t>
      </w:r>
    </w:p>
    <w:p w14:paraId="34A4F913" w14:textId="77777777" w:rsidR="00B32EF2" w:rsidRDefault="00000000">
      <w:pPr>
        <w:pStyle w:val="Titolo3"/>
        <w:ind w:left="129" w:right="120"/>
      </w:pPr>
      <w:r>
        <w:t>NORME COLLEGATE</w:t>
      </w:r>
    </w:p>
    <w:p w14:paraId="37F42DD0"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103 c.p.c. “Litisconsorzio facoltativo” </w:t>
      </w:r>
    </w:p>
    <w:p w14:paraId="2D8E4B39" w14:textId="77777777" w:rsidR="00B32EF2" w:rsidRDefault="00000000">
      <w:pPr>
        <w:numPr>
          <w:ilvl w:val="0"/>
          <w:numId w:val="31"/>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Più parti possono agire o essere convenute nello stesso processo, quando tra le cause che si propongono esiste connessione per l’oggetto o per il titolo dal quale dipendono, oppure quando la decisione dipende, totalmente o parzialmente, dalla risoluzione di identiche questioni.</w:t>
      </w:r>
    </w:p>
    <w:p w14:paraId="46E88832" w14:textId="77777777" w:rsidR="00B32EF2" w:rsidRDefault="00000000">
      <w:pPr>
        <w:numPr>
          <w:ilvl w:val="0"/>
          <w:numId w:val="31"/>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Il giudice può disporre, nel corso della istruzione o nella decisione, </w:t>
      </w:r>
      <w:proofErr w:type="spellStart"/>
      <w:r>
        <w:rPr>
          <w:rFonts w:ascii="Arial" w:eastAsia="Arial" w:hAnsi="Arial" w:cs="Arial"/>
          <w:i/>
          <w:sz w:val="18"/>
        </w:rPr>
        <w:t>laseparazione</w:t>
      </w:r>
      <w:proofErr w:type="spellEnd"/>
      <w:r>
        <w:rPr>
          <w:rFonts w:ascii="Arial" w:eastAsia="Arial" w:hAnsi="Arial" w:cs="Arial"/>
          <w:i/>
          <w:sz w:val="18"/>
        </w:rPr>
        <w:t xml:space="preserve"> delle cause, se vi è istanza di tutte le parti, ovvero quando la continuazione della loro riunione ritarderebbe o renderebbe più gravoso il processo, e può rimettere al giudice inferiore le cause di sua competenza. art. 105 c.p.c. “Intervento volontario”</w:t>
      </w:r>
    </w:p>
    <w:p w14:paraId="61BDD2BC" w14:textId="77777777" w:rsidR="00B32EF2" w:rsidRDefault="00000000">
      <w:pPr>
        <w:numPr>
          <w:ilvl w:val="0"/>
          <w:numId w:val="32"/>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Ciascuno può intervenire in un processo tra altre persone per far </w:t>
      </w:r>
      <w:proofErr w:type="spellStart"/>
      <w:r>
        <w:rPr>
          <w:rFonts w:ascii="Arial" w:eastAsia="Arial" w:hAnsi="Arial" w:cs="Arial"/>
          <w:i/>
          <w:sz w:val="18"/>
        </w:rPr>
        <w:t>valere,in</w:t>
      </w:r>
      <w:proofErr w:type="spellEnd"/>
      <w:r>
        <w:rPr>
          <w:rFonts w:ascii="Arial" w:eastAsia="Arial" w:hAnsi="Arial" w:cs="Arial"/>
          <w:i/>
          <w:sz w:val="18"/>
        </w:rPr>
        <w:t xml:space="preserve"> confronto di tutte le parti o di alcune di esse, un diritto relativo all’oggetto o dipendente dal titolo dedotto nel processo medesimo.</w:t>
      </w:r>
    </w:p>
    <w:p w14:paraId="4A4A57B4" w14:textId="77777777" w:rsidR="00B32EF2" w:rsidRDefault="00000000">
      <w:pPr>
        <w:numPr>
          <w:ilvl w:val="0"/>
          <w:numId w:val="32"/>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Può altresì intervenire per sostenere le ragioni di alcuna delle </w:t>
      </w:r>
      <w:proofErr w:type="spellStart"/>
      <w:r>
        <w:rPr>
          <w:rFonts w:ascii="Arial" w:eastAsia="Arial" w:hAnsi="Arial" w:cs="Arial"/>
          <w:i/>
          <w:sz w:val="18"/>
        </w:rPr>
        <w:t>parti,quando</w:t>
      </w:r>
      <w:proofErr w:type="spellEnd"/>
      <w:r>
        <w:rPr>
          <w:rFonts w:ascii="Arial" w:eastAsia="Arial" w:hAnsi="Arial" w:cs="Arial"/>
          <w:i/>
          <w:sz w:val="18"/>
        </w:rPr>
        <w:t xml:space="preserve"> vi ha un proprio interesse. art. 106 c.p.c. “Intervento su istanza di parte”</w:t>
      </w:r>
    </w:p>
    <w:p w14:paraId="21137354"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0" w:line="225" w:lineRule="auto"/>
        <w:ind w:left="129" w:right="120" w:hanging="10"/>
      </w:pPr>
      <w:r>
        <w:rPr>
          <w:rFonts w:ascii="Arial" w:eastAsia="Arial" w:hAnsi="Arial" w:cs="Arial"/>
          <w:i/>
          <w:sz w:val="18"/>
        </w:rPr>
        <w:t>Ciascuna parte può chiamare nel processo un terzo al quale ritiene comune la causa o dal quale pretende essere garantita. art. 107 c.p.c. “Intervento per ordine del giudice”</w:t>
      </w:r>
    </w:p>
    <w:p w14:paraId="023C1651"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14" w:line="251" w:lineRule="auto"/>
        <w:ind w:left="129" w:right="120" w:hanging="10"/>
        <w:jc w:val="both"/>
      </w:pPr>
      <w:r>
        <w:rPr>
          <w:rFonts w:ascii="Arial" w:eastAsia="Arial" w:hAnsi="Arial" w:cs="Arial"/>
          <w:i/>
          <w:sz w:val="18"/>
        </w:rPr>
        <w:t>Il giudice, quando ritiene opportuno che il processo si svolga in confronto di un terzo al quale la causa è comune, ne ordina l’intervento.</w:t>
      </w:r>
    </w:p>
    <w:p w14:paraId="5630C8C3"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29" w:right="120" w:hanging="10"/>
        <w:jc w:val="center"/>
      </w:pPr>
      <w:r>
        <w:rPr>
          <w:rFonts w:ascii="Arial" w:eastAsia="Arial" w:hAnsi="Arial" w:cs="Arial"/>
          <w:b/>
          <w:sz w:val="18"/>
        </w:rPr>
        <w:t>Per i giudizi instaurati con ricorso notificato fino al 5.1.2024 Articolo 15</w:t>
      </w:r>
    </w:p>
    <w:p w14:paraId="2892C88B" w14:textId="77777777" w:rsidR="00B32EF2" w:rsidRDefault="00000000">
      <w:pPr>
        <w:pBdr>
          <w:top w:val="single" w:sz="8" w:space="0" w:color="000000"/>
          <w:left w:val="single" w:sz="8" w:space="0" w:color="000000"/>
          <w:bottom w:val="single" w:sz="8" w:space="0" w:color="000000"/>
          <w:right w:val="single" w:sz="8" w:space="0" w:color="000000"/>
        </w:pBdr>
        <w:spacing w:after="0"/>
        <w:ind w:left="129" w:right="120" w:hanging="10"/>
        <w:jc w:val="center"/>
      </w:pPr>
      <w:r>
        <w:rPr>
          <w:rFonts w:ascii="Arial" w:eastAsia="Arial" w:hAnsi="Arial" w:cs="Arial"/>
          <w:i/>
          <w:sz w:val="18"/>
        </w:rPr>
        <w:t>(articolo 59 TUGT)</w:t>
      </w:r>
    </w:p>
    <w:p w14:paraId="222455F6"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29" w:right="120" w:hanging="10"/>
        <w:jc w:val="center"/>
      </w:pPr>
      <w:r>
        <w:rPr>
          <w:rFonts w:ascii="Arial" w:eastAsia="Arial" w:hAnsi="Arial" w:cs="Arial"/>
          <w:b/>
          <w:sz w:val="18"/>
        </w:rPr>
        <w:t xml:space="preserve">Spese del giudizio </w:t>
      </w:r>
    </w:p>
    <w:p w14:paraId="6702938F" w14:textId="77777777" w:rsidR="00B32EF2" w:rsidRDefault="00000000">
      <w:pPr>
        <w:numPr>
          <w:ilvl w:val="0"/>
          <w:numId w:val="33"/>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La parte soccombente è condannata a rimborsare le spese del </w:t>
      </w:r>
      <w:proofErr w:type="spellStart"/>
      <w:r>
        <w:rPr>
          <w:rFonts w:ascii="Arial" w:eastAsia="Arial" w:hAnsi="Arial" w:cs="Arial"/>
          <w:sz w:val="18"/>
        </w:rPr>
        <w:t>giudizioche</w:t>
      </w:r>
      <w:proofErr w:type="spellEnd"/>
      <w:r>
        <w:rPr>
          <w:rFonts w:ascii="Arial" w:eastAsia="Arial" w:hAnsi="Arial" w:cs="Arial"/>
          <w:sz w:val="18"/>
        </w:rPr>
        <w:t xml:space="preserve"> sono liquidate con la sentenza.</w:t>
      </w:r>
    </w:p>
    <w:p w14:paraId="68E3C2F1" w14:textId="77777777" w:rsidR="00B32EF2" w:rsidRDefault="00000000">
      <w:pPr>
        <w:numPr>
          <w:ilvl w:val="0"/>
          <w:numId w:val="33"/>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Le spese di giudizio possono essere compensate in tutto o in parte </w:t>
      </w:r>
      <w:proofErr w:type="spellStart"/>
      <w:r>
        <w:rPr>
          <w:rFonts w:ascii="Arial" w:eastAsia="Arial" w:hAnsi="Arial" w:cs="Arial"/>
          <w:sz w:val="18"/>
        </w:rPr>
        <w:t>dallacorte</w:t>
      </w:r>
      <w:proofErr w:type="spellEnd"/>
      <w:r>
        <w:rPr>
          <w:rFonts w:ascii="Arial" w:eastAsia="Arial" w:hAnsi="Arial" w:cs="Arial"/>
          <w:sz w:val="18"/>
        </w:rPr>
        <w:t xml:space="preserve"> di giustizia tributaria di primo e secondo grado soltanto in caso di </w:t>
      </w:r>
      <w:r>
        <w:rPr>
          <w:rFonts w:ascii="Arial" w:eastAsia="Arial" w:hAnsi="Arial" w:cs="Arial"/>
          <w:sz w:val="18"/>
        </w:rPr>
        <w:lastRenderedPageBreak/>
        <w:t>soccombenza reciproca o qualora sussistano gravi ed eccezionali ragioni che devono essere espressamente motivate.</w:t>
      </w:r>
    </w:p>
    <w:p w14:paraId="04BA8A45"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2-bis. Si applicano le disposizioni di cui all’articolo 96, commi primo e terzo, del codice di procedura civile.</w:t>
      </w:r>
    </w:p>
    <w:p w14:paraId="03573011"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2-ter. Le spese di giudizio comprendono, oltre al contributo unificato, gli onorari e i diritti del difensore, le spese generali e gli esborsi sostenuti, oltre il contributo previdenziale e l’imposta sul valore aggiunto, se dovuti.</w:t>
      </w:r>
    </w:p>
    <w:p w14:paraId="42DBBC17"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2-quater. Con l’ordinanza che decide sulle istanze cautelari la commissione provvede sulle spese della relativa fase. La pronuncia sulle spese conserva efficacia anche dopo il provvedimento che definisce il giudizio, salvo diversa statuizione espressa nella sentenza di merito.</w:t>
      </w:r>
    </w:p>
    <w:p w14:paraId="02CB95E0"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2-quinquies. I compensi agli incaricati dell’assistenza tecnica sono liquidati sulla base dei parametri previsti per le singole categorie professionali. Agli iscritti negli elenchi di cui all’articolo 12, comma 4, si applicano i parametri previsti per i dottori commercialisti e gli esperti contabili.</w:t>
      </w:r>
    </w:p>
    <w:p w14:paraId="57416BD8"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2-sexies. Nella liquidazione delle spese a favore dell’ente impositore, dell’agente della riscossione e dei soggetti iscritti nell’albo di cui all’articolo 53 del decreto legislativo 15 dicembre 1997, n. 446, se assistiti da propri funzionari, si applicano le disposizioni per la liquidazione del compenso spettante agli avvocati, con la riduzione del venti per cento dell’importo complessivo ivi previsto. La riscossione avviene mediante iscrizione a ruolo a titolo definitivo dopo il passaggio in giudicato della sentenza.</w:t>
      </w:r>
    </w:p>
    <w:p w14:paraId="03D32387"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2-septies. Nelle controversie di cui all’articolo 17-bis le spese di giudizio di cui al comma 1 sono maggiorate del 50 per cento a titolo di rimborso delle maggiori spese del procedimento.</w:t>
      </w:r>
    </w:p>
    <w:p w14:paraId="5606A54B" w14:textId="77777777" w:rsidR="00B32EF2" w:rsidRDefault="00000000">
      <w:pPr>
        <w:pBdr>
          <w:top w:val="single" w:sz="8" w:space="0" w:color="000000"/>
          <w:left w:val="single" w:sz="8" w:space="0" w:color="000000"/>
          <w:bottom w:val="single" w:sz="8" w:space="0" w:color="000000"/>
          <w:right w:val="single" w:sz="8" w:space="0" w:color="000000"/>
        </w:pBdr>
        <w:spacing w:after="450" w:line="226" w:lineRule="auto"/>
        <w:ind w:left="129" w:right="120" w:hanging="10"/>
        <w:jc w:val="both"/>
      </w:pPr>
      <w:r>
        <w:rPr>
          <w:rFonts w:ascii="Arial" w:eastAsia="Arial" w:hAnsi="Arial" w:cs="Arial"/>
          <w:sz w:val="18"/>
        </w:rPr>
        <w:t>2-octies. Qualora una delle parti ovvero il giudice abbia formulato una proposta conciliativa, non accettata dall’altra parte senza giustificato motivo, restano a carico di quest’ultima le spese del giudizio maggiorate del 50 per cento, ove il riconoscimento delle sue pretese risulti inferiore al contenuto della proposta ad essa effettuata. Se è intervenuta conciliazione le spese si intendono compensate, salvo che le parti stesse abbiano diversamente convenuto nel processo verbale di conciliazione.</w:t>
      </w:r>
    </w:p>
    <w:p w14:paraId="58001160" w14:textId="77777777" w:rsidR="00B32EF2" w:rsidRDefault="00000000">
      <w:pPr>
        <w:spacing w:after="0" w:line="261" w:lineRule="auto"/>
        <w:ind w:left="12" w:right="3" w:hanging="10"/>
        <w:jc w:val="center"/>
      </w:pPr>
      <w:r>
        <w:rPr>
          <w:rFonts w:ascii="Arial" w:eastAsia="Arial" w:hAnsi="Arial" w:cs="Arial"/>
          <w:b/>
          <w:sz w:val="18"/>
        </w:rPr>
        <w:t>Articolo 15</w:t>
      </w:r>
    </w:p>
    <w:p w14:paraId="15A775A1" w14:textId="77777777" w:rsidR="00B32EF2" w:rsidRDefault="00000000">
      <w:pPr>
        <w:spacing w:after="3" w:line="251" w:lineRule="auto"/>
        <w:ind w:left="2320" w:right="2311" w:hanging="10"/>
        <w:jc w:val="center"/>
      </w:pPr>
      <w:r>
        <w:rPr>
          <w:rFonts w:ascii="Arial" w:eastAsia="Arial" w:hAnsi="Arial" w:cs="Arial"/>
          <w:i/>
          <w:sz w:val="18"/>
        </w:rPr>
        <w:t>(articolo 59 TUGT)</w:t>
      </w:r>
    </w:p>
    <w:p w14:paraId="54586E97" w14:textId="77777777" w:rsidR="00B32EF2" w:rsidRDefault="00000000">
      <w:pPr>
        <w:spacing w:after="0" w:line="261" w:lineRule="auto"/>
        <w:ind w:left="12" w:right="3" w:hanging="10"/>
        <w:jc w:val="center"/>
      </w:pPr>
      <w:r>
        <w:rPr>
          <w:rFonts w:ascii="Arial" w:eastAsia="Arial" w:hAnsi="Arial" w:cs="Arial"/>
          <w:b/>
          <w:sz w:val="18"/>
        </w:rPr>
        <w:t>Spese del giudizio</w:t>
      </w:r>
    </w:p>
    <w:p w14:paraId="5F976D2C" w14:textId="77777777" w:rsidR="00B32EF2" w:rsidRDefault="00000000">
      <w:pPr>
        <w:numPr>
          <w:ilvl w:val="0"/>
          <w:numId w:val="34"/>
        </w:numPr>
        <w:spacing w:after="4" w:line="254" w:lineRule="auto"/>
        <w:ind w:right="10" w:hanging="10"/>
        <w:jc w:val="both"/>
      </w:pPr>
      <w:r>
        <w:rPr>
          <w:rFonts w:ascii="Arial" w:eastAsia="Arial" w:hAnsi="Arial" w:cs="Arial"/>
          <w:sz w:val="18"/>
        </w:rPr>
        <w:t xml:space="preserve">La parte soccombente è condannata a rimborsare le spese del giudizio </w:t>
      </w:r>
      <w:proofErr w:type="spellStart"/>
      <w:r>
        <w:rPr>
          <w:rFonts w:ascii="Arial" w:eastAsia="Arial" w:hAnsi="Arial" w:cs="Arial"/>
          <w:sz w:val="18"/>
        </w:rPr>
        <w:t>chesono</w:t>
      </w:r>
      <w:proofErr w:type="spellEnd"/>
      <w:r>
        <w:rPr>
          <w:rFonts w:ascii="Arial" w:eastAsia="Arial" w:hAnsi="Arial" w:cs="Arial"/>
          <w:sz w:val="18"/>
        </w:rPr>
        <w:t xml:space="preserve"> liquidate con la sentenza.</w:t>
      </w:r>
    </w:p>
    <w:p w14:paraId="4F44146A" w14:textId="77777777" w:rsidR="00B32EF2" w:rsidRDefault="00000000">
      <w:pPr>
        <w:numPr>
          <w:ilvl w:val="0"/>
          <w:numId w:val="34"/>
        </w:numPr>
        <w:spacing w:after="4" w:line="254" w:lineRule="auto"/>
        <w:ind w:right="10" w:hanging="10"/>
        <w:jc w:val="both"/>
      </w:pPr>
      <w:r>
        <w:rPr>
          <w:rFonts w:ascii="Arial" w:eastAsia="Arial" w:hAnsi="Arial" w:cs="Arial"/>
          <w:sz w:val="18"/>
        </w:rPr>
        <w:t>Le spese del giudizio sono compensate, in tutto o in parte, in caso di soccombenza reciproca e quando ricorrono gravi ed eccezionali ragioni che devono essere espressamente motivate ovvero quando la parte è risultata vittoriosa sulla base di documenti decisivi che la stessa ha prodotto solo nel corso del giudizio.</w:t>
      </w:r>
    </w:p>
    <w:p w14:paraId="01D001C6" w14:textId="77777777" w:rsidR="00B32EF2" w:rsidRDefault="00000000">
      <w:pPr>
        <w:spacing w:after="4" w:line="254" w:lineRule="auto"/>
        <w:ind w:left="-4" w:right="10" w:hanging="10"/>
        <w:jc w:val="both"/>
      </w:pPr>
      <w:r>
        <w:rPr>
          <w:rFonts w:ascii="Arial" w:eastAsia="Arial" w:hAnsi="Arial" w:cs="Arial"/>
          <w:sz w:val="18"/>
        </w:rPr>
        <w:t>2-bis. Si applicano le disposizioni di cui all’articolo 96, commi primo e terzo, del codice di procedura civile.</w:t>
      </w:r>
    </w:p>
    <w:p w14:paraId="23E0C58C" w14:textId="77777777" w:rsidR="00B32EF2" w:rsidRDefault="00000000">
      <w:pPr>
        <w:spacing w:after="4" w:line="254" w:lineRule="auto"/>
        <w:ind w:left="-4" w:right="10" w:hanging="10"/>
        <w:jc w:val="both"/>
      </w:pPr>
      <w:r>
        <w:rPr>
          <w:rFonts w:ascii="Arial" w:eastAsia="Arial" w:hAnsi="Arial" w:cs="Arial"/>
          <w:sz w:val="18"/>
        </w:rPr>
        <w:lastRenderedPageBreak/>
        <w:t>2-ter. Le spese di giudizio comprendono, oltre al contributo unificato, gli onorari e i diritti del difensore, le spese generali e gli esborsi sostenuti, oltre il contributo previdenziale e l’imposta sul valore aggiunto, se dovuti.</w:t>
      </w:r>
    </w:p>
    <w:p w14:paraId="010763AF" w14:textId="77777777" w:rsidR="00B32EF2" w:rsidRDefault="00000000">
      <w:pPr>
        <w:spacing w:after="4" w:line="254" w:lineRule="auto"/>
        <w:ind w:left="-4" w:right="10" w:hanging="10"/>
        <w:jc w:val="both"/>
      </w:pPr>
      <w:r>
        <w:rPr>
          <w:rFonts w:ascii="Arial" w:eastAsia="Arial" w:hAnsi="Arial" w:cs="Arial"/>
          <w:sz w:val="18"/>
        </w:rPr>
        <w:t>2-quater. Con l’ordinanza che decide sulle istanze cautelari la commissione provvede sulle spese della relativa fase. La pronuncia sulle spese conserva efficacia anche dopo il provvedimento che definisce il giudizio, salvo diversa statuizione espressa nella sentenza di merito.</w:t>
      </w:r>
    </w:p>
    <w:p w14:paraId="1387D032" w14:textId="77777777" w:rsidR="00B32EF2" w:rsidRDefault="00000000">
      <w:pPr>
        <w:spacing w:after="4" w:line="254" w:lineRule="auto"/>
        <w:ind w:left="-4" w:right="10" w:hanging="10"/>
        <w:jc w:val="both"/>
      </w:pPr>
      <w:r>
        <w:rPr>
          <w:rFonts w:ascii="Arial" w:eastAsia="Arial" w:hAnsi="Arial" w:cs="Arial"/>
          <w:sz w:val="18"/>
        </w:rPr>
        <w:t>2-quinquies. I compensi agli incaricati dell’assistenza tecnica sono liquidati sulla base dei parametri previsti per le singole categorie professionali. Agli iscritti negli elenchi di cui all’articolo 12, comma 4, si applicano i parametri previsti per i dottori commercialisti e gli esperti contabili.</w:t>
      </w:r>
    </w:p>
    <w:p w14:paraId="5C4ADAAA" w14:textId="77777777" w:rsidR="00B32EF2" w:rsidRDefault="00000000">
      <w:pPr>
        <w:spacing w:after="4" w:line="254" w:lineRule="auto"/>
        <w:ind w:left="-4" w:right="10" w:hanging="10"/>
        <w:jc w:val="both"/>
      </w:pPr>
      <w:r>
        <w:rPr>
          <w:rFonts w:ascii="Arial" w:eastAsia="Arial" w:hAnsi="Arial" w:cs="Arial"/>
          <w:sz w:val="18"/>
        </w:rPr>
        <w:t>2-sexies. Nella liquidazione delle spese a favore dell’ente impositore, dell’agente della riscossione e dei soggetti iscritti nell’albo di cui all’articolo 53 del decreto legislativo 15 dicembre 1997, n. 446, se assistiti da propri funzionari, si applicano le disposizioni per la liquidazione del compenso spettante agli avvocati, con la riduzione del venti per cento dell’importo complessivo ivi previsto. La riscossione avviene mediante iscrizione a ruolo a titolo definitivo dopo il passaggio in giudicato della sentenza.</w:t>
      </w:r>
    </w:p>
    <w:p w14:paraId="3EB3A28F" w14:textId="77777777" w:rsidR="00B32EF2" w:rsidRDefault="00000000">
      <w:pPr>
        <w:spacing w:after="4" w:line="254" w:lineRule="auto"/>
        <w:ind w:left="-4" w:right="10" w:hanging="10"/>
        <w:jc w:val="both"/>
      </w:pPr>
      <w:r>
        <w:rPr>
          <w:rFonts w:ascii="Arial" w:eastAsia="Arial" w:hAnsi="Arial" w:cs="Arial"/>
          <w:sz w:val="18"/>
        </w:rPr>
        <w:t>2-septies. Abrogato.</w:t>
      </w:r>
    </w:p>
    <w:p w14:paraId="0C700E3C" w14:textId="77777777" w:rsidR="00B32EF2" w:rsidRDefault="00000000">
      <w:pPr>
        <w:spacing w:after="4" w:line="254" w:lineRule="auto"/>
        <w:ind w:left="-4" w:right="10" w:hanging="10"/>
        <w:jc w:val="both"/>
      </w:pPr>
      <w:r>
        <w:rPr>
          <w:rFonts w:ascii="Arial" w:eastAsia="Arial" w:hAnsi="Arial" w:cs="Arial"/>
          <w:sz w:val="18"/>
        </w:rPr>
        <w:t>2-octies. Qualora una delle parti ovvero il giudice abbia formulato una proposta conciliativa, non accettata dall’altra parte senza giustificato motivo, restano a carico di quest’ultima le spese del giudizio maggiorate del 50 per cento, ove il riconoscimento delle sue pretese risulti inferiore al contenuto della proposta ad essa effettuata. Se è intervenuta conciliazione le spese si intendono compensate, salvo che le parti stesse abbiano diversamente convenuto nel processo verbale di conciliazione.</w:t>
      </w:r>
    </w:p>
    <w:p w14:paraId="41DED5CF" w14:textId="77777777" w:rsidR="00B32EF2" w:rsidRDefault="00000000">
      <w:pPr>
        <w:spacing w:after="189" w:line="254" w:lineRule="auto"/>
        <w:ind w:left="-4" w:right="10" w:hanging="10"/>
        <w:jc w:val="both"/>
      </w:pPr>
      <w:r>
        <w:rPr>
          <w:rFonts w:ascii="Arial" w:eastAsia="Arial" w:hAnsi="Arial" w:cs="Arial"/>
          <w:sz w:val="18"/>
        </w:rPr>
        <w:t>2-nonies. Nella liquidazione delle spese si tiene altresì conto del rispetto dei principi di sinteticità e chiarezza degli atti di parte.</w:t>
      </w:r>
    </w:p>
    <w:p w14:paraId="1CBD4104" w14:textId="77777777" w:rsidR="00B32EF2" w:rsidRDefault="00000000">
      <w:pPr>
        <w:pStyle w:val="Titolo3"/>
        <w:ind w:left="129" w:right="120"/>
      </w:pPr>
      <w:r>
        <w:t>NORME RICHIAMATE</w:t>
      </w:r>
    </w:p>
    <w:p w14:paraId="2373EFA0"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96 c.p.c. “ Responsabilità aggravata.” </w:t>
      </w:r>
    </w:p>
    <w:p w14:paraId="31BC974E"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1.Se risulta che la parte soccombente ha agito o resistito in giudizio con mala fede o colpa grave, il giudice, su istanza dell’altra parte, la condanna, oltre che alle spese, al risarcimento dei danni, che liquida, anche d’ufficio, nella sentenza.</w:t>
      </w:r>
    </w:p>
    <w:p w14:paraId="2B055E6F" w14:textId="77777777" w:rsidR="00B32EF2" w:rsidRDefault="00000000">
      <w:pPr>
        <w:numPr>
          <w:ilvl w:val="0"/>
          <w:numId w:val="35"/>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Il giudice che accerta l’inesistenza del diritto per cui è stato eseguito </w:t>
      </w:r>
      <w:proofErr w:type="spellStart"/>
      <w:r>
        <w:rPr>
          <w:rFonts w:ascii="Arial" w:eastAsia="Arial" w:hAnsi="Arial" w:cs="Arial"/>
          <w:i/>
          <w:sz w:val="18"/>
        </w:rPr>
        <w:t>unprovvedimento</w:t>
      </w:r>
      <w:proofErr w:type="spellEnd"/>
      <w:r>
        <w:rPr>
          <w:rFonts w:ascii="Arial" w:eastAsia="Arial" w:hAnsi="Arial" w:cs="Arial"/>
          <w:i/>
          <w:sz w:val="18"/>
        </w:rPr>
        <w:t xml:space="preserve"> cautelare, o trascritta domanda giudiziale, o iscritta ipoteca giudiziale, oppure iniziata o compiuta l’esecuzione forzata, su istanza della parte danneggiata condanna al risarcimento dei danni l’attore o il creditore procedente, che ha agito senza la normale prudenza. La liquidazione dei danni è fatta a norma del comma precedente .</w:t>
      </w:r>
    </w:p>
    <w:p w14:paraId="08048CAA" w14:textId="77777777" w:rsidR="00B32EF2" w:rsidRDefault="00000000">
      <w:pPr>
        <w:numPr>
          <w:ilvl w:val="0"/>
          <w:numId w:val="35"/>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In ogni caso, quando pronuncia sulle spese ai sensi dell’articolo 91, </w:t>
      </w:r>
      <w:proofErr w:type="spellStart"/>
      <w:r>
        <w:rPr>
          <w:rFonts w:ascii="Arial" w:eastAsia="Arial" w:hAnsi="Arial" w:cs="Arial"/>
          <w:i/>
          <w:sz w:val="18"/>
        </w:rPr>
        <w:t>ilgiudice</w:t>
      </w:r>
      <w:proofErr w:type="spellEnd"/>
      <w:r>
        <w:rPr>
          <w:rFonts w:ascii="Arial" w:eastAsia="Arial" w:hAnsi="Arial" w:cs="Arial"/>
          <w:i/>
          <w:sz w:val="18"/>
        </w:rPr>
        <w:t xml:space="preserve">, anche d’ufficio, può altresì condannare la parte soccombente al </w:t>
      </w:r>
      <w:r>
        <w:rPr>
          <w:rFonts w:ascii="Arial" w:eastAsia="Arial" w:hAnsi="Arial" w:cs="Arial"/>
          <w:i/>
          <w:sz w:val="18"/>
        </w:rPr>
        <w:lastRenderedPageBreak/>
        <w:t>pagamento, a favore della controparte, di una somma equitativamente determinata .</w:t>
      </w:r>
    </w:p>
    <w:p w14:paraId="3194FC0C" w14:textId="77777777" w:rsidR="00B32EF2" w:rsidRDefault="00000000">
      <w:pPr>
        <w:numPr>
          <w:ilvl w:val="0"/>
          <w:numId w:val="35"/>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Nei casi previsti dal primo, secondo e terzo comma, il giudice </w:t>
      </w:r>
      <w:proofErr w:type="spellStart"/>
      <w:r>
        <w:rPr>
          <w:rFonts w:ascii="Arial" w:eastAsia="Arial" w:hAnsi="Arial" w:cs="Arial"/>
          <w:i/>
          <w:sz w:val="18"/>
        </w:rPr>
        <w:t>condannaaltresì</w:t>
      </w:r>
      <w:proofErr w:type="spellEnd"/>
      <w:r>
        <w:rPr>
          <w:rFonts w:ascii="Arial" w:eastAsia="Arial" w:hAnsi="Arial" w:cs="Arial"/>
          <w:i/>
          <w:sz w:val="18"/>
        </w:rPr>
        <w:t xml:space="preserve"> la parte al pagamento, in favore della cassa delle ammende, di una somma di denaro non inferiore ad euro 500 e non superiore </w:t>
      </w:r>
      <w:proofErr w:type="spellStart"/>
      <w:r>
        <w:rPr>
          <w:rFonts w:ascii="Arial" w:eastAsia="Arial" w:hAnsi="Arial" w:cs="Arial"/>
          <w:i/>
          <w:sz w:val="18"/>
        </w:rPr>
        <w:t>ad</w:t>
      </w:r>
      <w:proofErr w:type="spellEnd"/>
      <w:r>
        <w:rPr>
          <w:rFonts w:ascii="Arial" w:eastAsia="Arial" w:hAnsi="Arial" w:cs="Arial"/>
          <w:i/>
          <w:sz w:val="18"/>
        </w:rPr>
        <w:t xml:space="preserve"> euro 5.000. art. 53 D.lgs. 446/1997 “Albo per l’accertamento e riscossione delle entrate degli enti locali”</w:t>
      </w:r>
    </w:p>
    <w:p w14:paraId="3B962B3B" w14:textId="77777777" w:rsidR="00B32EF2" w:rsidRDefault="00000000">
      <w:pPr>
        <w:pStyle w:val="Titolo3"/>
        <w:ind w:left="129" w:right="120"/>
      </w:pPr>
      <w:r>
        <w:t>NORME COLLEGATE</w:t>
      </w:r>
    </w:p>
    <w:p w14:paraId="0B054C3B"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art. 91 c.p.c. “Condanna alle spese”</w:t>
      </w:r>
    </w:p>
    <w:p w14:paraId="654A2615" w14:textId="77777777" w:rsidR="00B32EF2" w:rsidRDefault="00000000">
      <w:pPr>
        <w:numPr>
          <w:ilvl w:val="0"/>
          <w:numId w:val="36"/>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97"/>
        <w:jc w:val="both"/>
      </w:pPr>
      <w:r>
        <w:rPr>
          <w:rFonts w:ascii="Arial" w:eastAsia="Arial" w:hAnsi="Arial" w:cs="Arial"/>
          <w:i/>
          <w:sz w:val="18"/>
        </w:rPr>
        <w:t>Il giudice, con la sentenza che chiude il processo davanti a lui, condannala parte soccombente al rimborso delle spese a favore dell’altra parte e ne liquida l’ammontare insieme con gli onorari di difesa. Se accoglie la domanda in misura non superiore all’eventuale proposta conciliativa, condanna la parte che ha rifiutato senza giustificato motivo la proposta al pagamento delle spese del processo maturate dopo la formulazione della proposta, salvo quanto disposto dal secondo comma dell’articolo 92.</w:t>
      </w:r>
    </w:p>
    <w:p w14:paraId="68A3EBBD" w14:textId="77777777" w:rsidR="00B32EF2" w:rsidRDefault="00000000">
      <w:pPr>
        <w:numPr>
          <w:ilvl w:val="0"/>
          <w:numId w:val="36"/>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97"/>
        <w:jc w:val="both"/>
      </w:pPr>
      <w:r>
        <w:rPr>
          <w:rFonts w:ascii="Arial" w:eastAsia="Arial" w:hAnsi="Arial" w:cs="Arial"/>
          <w:i/>
          <w:sz w:val="18"/>
        </w:rPr>
        <w:t>Le spese della sentenza sono liquidate dal cancelliere con nota in margi-</w:t>
      </w:r>
    </w:p>
    <w:p w14:paraId="73979204"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ne alla stessa; quelle della notificazione della sentenza, del titolo esecutivo e del precetto sono liquidate dall’ufficiale </w:t>
      </w:r>
      <w:proofErr w:type="spellStart"/>
      <w:r>
        <w:rPr>
          <w:rFonts w:ascii="Arial" w:eastAsia="Arial" w:hAnsi="Arial" w:cs="Arial"/>
          <w:i/>
          <w:sz w:val="18"/>
        </w:rPr>
        <w:t>giudiziariocon</w:t>
      </w:r>
      <w:proofErr w:type="spellEnd"/>
      <w:r>
        <w:rPr>
          <w:rFonts w:ascii="Arial" w:eastAsia="Arial" w:hAnsi="Arial" w:cs="Arial"/>
          <w:i/>
          <w:sz w:val="18"/>
        </w:rPr>
        <w:t xml:space="preserve"> nota in margine all’originale e alla copia notificata. </w:t>
      </w:r>
    </w:p>
    <w:p w14:paraId="18C993EC" w14:textId="77777777" w:rsidR="00B32EF2" w:rsidRDefault="00000000">
      <w:pPr>
        <w:numPr>
          <w:ilvl w:val="0"/>
          <w:numId w:val="36"/>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97"/>
        <w:jc w:val="both"/>
      </w:pPr>
      <w:r>
        <w:rPr>
          <w:rFonts w:ascii="Arial" w:eastAsia="Arial" w:hAnsi="Arial" w:cs="Arial"/>
          <w:i/>
          <w:sz w:val="18"/>
        </w:rPr>
        <w:t xml:space="preserve">I reclami contro le liquidazioni di cui al comma precedente sono </w:t>
      </w:r>
      <w:proofErr w:type="spellStart"/>
      <w:r>
        <w:rPr>
          <w:rFonts w:ascii="Arial" w:eastAsia="Arial" w:hAnsi="Arial" w:cs="Arial"/>
          <w:i/>
          <w:sz w:val="18"/>
        </w:rPr>
        <w:t>decisicon</w:t>
      </w:r>
      <w:proofErr w:type="spellEnd"/>
      <w:r>
        <w:rPr>
          <w:rFonts w:ascii="Arial" w:eastAsia="Arial" w:hAnsi="Arial" w:cs="Arial"/>
          <w:i/>
          <w:sz w:val="18"/>
        </w:rPr>
        <w:t xml:space="preserve"> le forme previste negli articoli 287 e 288 dal capo dell’ufficio a cui appartiene il cancelliere o l’ufficiale giudiziario.</w:t>
      </w:r>
    </w:p>
    <w:p w14:paraId="083C90F1" w14:textId="77777777" w:rsidR="00B32EF2" w:rsidRDefault="00000000">
      <w:pPr>
        <w:numPr>
          <w:ilvl w:val="0"/>
          <w:numId w:val="36"/>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97"/>
        <w:jc w:val="both"/>
      </w:pPr>
      <w:r>
        <w:rPr>
          <w:rFonts w:ascii="Arial" w:eastAsia="Arial" w:hAnsi="Arial" w:cs="Arial"/>
          <w:i/>
          <w:sz w:val="18"/>
        </w:rPr>
        <w:t>Nelle cause previste dall’articolo 82, primo comma, le spese, competenze ed onorari liquidati dal giudice non possono superare il valore della domanda.</w:t>
      </w:r>
    </w:p>
    <w:p w14:paraId="1691169D"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art. 92 c.p.c. “Condanna alle spese per singoli atti. Compensazione delle spese.”</w:t>
      </w:r>
    </w:p>
    <w:p w14:paraId="571D4D31"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1. Il giudice, nel pronunciare la condanna di cui all’articolo precedente, può escludere la ripetizione delle spese sostenute dalla parte vincitrice, se le ritiene eccessive o superflue; e può, indipendentemente dalla soccombenza, condannare una parte al rimborso delle spese, anche non ripetibili, che, per trasgressione al dovere di cui all’articolo 88, essa ha causato all’altra parte. 2. Se vi è soccombenza reciproca ovvero nel caso di assoluta novità della questione trattata o mutamento della giurisprudenza rispetto alle questioni dirimenti, il giudice può compensare le spese tra le parti, parzialmente o per intero.</w:t>
      </w:r>
    </w:p>
    <w:p w14:paraId="1A272792"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3. Se le parti si sono conciliate, le spese si intendono compensate, salvo che le parti stesse abbiano diversamente convenuto nel processo verbale di conciliazione</w:t>
      </w:r>
    </w:p>
    <w:p w14:paraId="6B25CC8D"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art.121 c.p.c. “Libertà di forme. Chiarezza e sinteticità degli atti.”</w:t>
      </w:r>
    </w:p>
    <w:p w14:paraId="24252620"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77" w:line="251" w:lineRule="auto"/>
        <w:ind w:left="129" w:right="120" w:hanging="10"/>
        <w:jc w:val="both"/>
      </w:pPr>
      <w:r>
        <w:rPr>
          <w:rFonts w:ascii="Arial" w:eastAsia="Arial" w:hAnsi="Arial" w:cs="Arial"/>
          <w:i/>
          <w:sz w:val="18"/>
        </w:rPr>
        <w:lastRenderedPageBreak/>
        <w:t>Gli atti del processo, per i quali la legge non richiede forme determinate, possono essere compiuti nella forma più idonea al raggiungimento del loro scopo. Tutti gli atti del processo sono redatti in modo chiaro e sintetico</w:t>
      </w:r>
    </w:p>
    <w:p w14:paraId="4034587D"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347" w:right="243" w:hanging="10"/>
        <w:jc w:val="center"/>
      </w:pPr>
      <w:r>
        <w:rPr>
          <w:rFonts w:ascii="Arial" w:eastAsia="Arial" w:hAnsi="Arial" w:cs="Arial"/>
          <w:b/>
          <w:sz w:val="18"/>
        </w:rPr>
        <w:t>Per i giudizi instaurati con ricorso notificato fino al 5.1.2024 Articolo 16</w:t>
      </w:r>
    </w:p>
    <w:p w14:paraId="33339C76" w14:textId="77777777" w:rsidR="00B32EF2" w:rsidRDefault="00000000">
      <w:pPr>
        <w:pBdr>
          <w:top w:val="single" w:sz="8" w:space="0" w:color="000000"/>
          <w:left w:val="single" w:sz="8" w:space="0" w:color="000000"/>
          <w:bottom w:val="single" w:sz="8" w:space="0" w:color="000000"/>
          <w:right w:val="single" w:sz="8" w:space="0" w:color="000000"/>
        </w:pBdr>
        <w:spacing w:after="0"/>
        <w:ind w:left="347" w:right="243" w:hanging="10"/>
        <w:jc w:val="center"/>
      </w:pPr>
      <w:r>
        <w:rPr>
          <w:rFonts w:ascii="Arial" w:eastAsia="Arial" w:hAnsi="Arial" w:cs="Arial"/>
          <w:i/>
          <w:sz w:val="18"/>
        </w:rPr>
        <w:t>(articolo 60 TUGT)</w:t>
      </w:r>
    </w:p>
    <w:p w14:paraId="5E0627AB"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347" w:right="243" w:hanging="10"/>
        <w:jc w:val="center"/>
      </w:pPr>
      <w:r>
        <w:rPr>
          <w:rFonts w:ascii="Arial" w:eastAsia="Arial" w:hAnsi="Arial" w:cs="Arial"/>
          <w:b/>
          <w:sz w:val="18"/>
        </w:rPr>
        <w:t xml:space="preserve">Comunicazioni e noti </w:t>
      </w:r>
      <w:proofErr w:type="spellStart"/>
      <w:r>
        <w:rPr>
          <w:rFonts w:ascii="Arial" w:eastAsia="Arial" w:hAnsi="Arial" w:cs="Arial"/>
          <w:b/>
          <w:sz w:val="18"/>
        </w:rPr>
        <w:t>icazioni</w:t>
      </w:r>
      <w:proofErr w:type="spellEnd"/>
      <w:r>
        <w:rPr>
          <w:rFonts w:ascii="Arial" w:eastAsia="Arial" w:hAnsi="Arial" w:cs="Arial"/>
          <w:b/>
          <w:sz w:val="18"/>
        </w:rPr>
        <w:t xml:space="preserve"> </w:t>
      </w:r>
    </w:p>
    <w:p w14:paraId="2D2CABEE"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347" w:right="243" w:hanging="10"/>
        <w:jc w:val="both"/>
      </w:pPr>
      <w:r>
        <w:rPr>
          <w:rFonts w:ascii="Arial" w:eastAsia="Arial" w:hAnsi="Arial" w:cs="Arial"/>
          <w:sz w:val="18"/>
        </w:rPr>
        <w:t xml:space="preserve">1. Le comunicazioni sono fatte mediante avviso della segreteria della corte di giustizia tributaria di primo e secondo grado consegnato alle parti, che ne rilasciano immediatamente ricevuta, o spedito a mezzo del servizio postale in plico senza busta raccomandato con avviso di ricevimento, sul quale non sono apposti segni o indicazioni dai quali possa desumersi il contenuto dell’avviso. Le comunicazioni agli enti impositori, agli agenti della riscossione ed ai soggetti iscritti nell’albo di cui all’articolo 53 del decreto </w:t>
      </w:r>
      <w:proofErr w:type="spellStart"/>
      <w:r>
        <w:rPr>
          <w:rFonts w:ascii="Arial" w:eastAsia="Arial" w:hAnsi="Arial" w:cs="Arial"/>
          <w:sz w:val="18"/>
        </w:rPr>
        <w:t>legislati</w:t>
      </w:r>
      <w:proofErr w:type="spellEnd"/>
      <w:r>
        <w:rPr>
          <w:rFonts w:ascii="Arial" w:eastAsia="Arial" w:hAnsi="Arial" w:cs="Arial"/>
          <w:sz w:val="18"/>
        </w:rPr>
        <w:t>-vo 15 dicembre 1997, n. 446, possono essere fatte mediante trasmissione di elenco in duplice esemplare, uno dei quali, immediatamente datato e sottoscritto per ricevuta, è restituito alla segreteria della corte di giustizia tributaria di primo e secondo grado. La segreteria può anche richiedere la notificazione dell’avviso da parte dell’ufficio giudiziario o del messo comunale nelle forme di cui al comma 2.</w:t>
      </w:r>
    </w:p>
    <w:tbl>
      <w:tblPr>
        <w:tblStyle w:val="TableGrid"/>
        <w:tblW w:w="6236" w:type="dxa"/>
        <w:tblInd w:w="7" w:type="dxa"/>
        <w:tblCellMar>
          <w:top w:w="0" w:type="dxa"/>
          <w:left w:w="127" w:type="dxa"/>
          <w:bottom w:w="0" w:type="dxa"/>
          <w:right w:w="70" w:type="dxa"/>
        </w:tblCellMar>
        <w:tblLook w:val="04A0" w:firstRow="1" w:lastRow="0" w:firstColumn="1" w:lastColumn="0" w:noHBand="0" w:noVBand="1"/>
      </w:tblPr>
      <w:tblGrid>
        <w:gridCol w:w="6236"/>
      </w:tblGrid>
      <w:tr w:rsidR="00B32EF2" w14:paraId="4D8ED2A2" w14:textId="77777777">
        <w:trPr>
          <w:trHeight w:val="3271"/>
        </w:trPr>
        <w:tc>
          <w:tcPr>
            <w:tcW w:w="6236" w:type="dxa"/>
            <w:tcBorders>
              <w:top w:val="single" w:sz="8" w:space="0" w:color="000000"/>
              <w:left w:val="single" w:sz="8" w:space="0" w:color="000000"/>
              <w:bottom w:val="single" w:sz="4" w:space="0" w:color="000000"/>
              <w:right w:val="single" w:sz="8" w:space="0" w:color="000000"/>
            </w:tcBorders>
          </w:tcPr>
          <w:p w14:paraId="25CC9703" w14:textId="77777777" w:rsidR="00B32EF2" w:rsidRDefault="00000000">
            <w:pPr>
              <w:spacing w:after="0" w:line="225" w:lineRule="auto"/>
            </w:pPr>
            <w:r>
              <w:rPr>
                <w:rFonts w:ascii="Arial" w:eastAsia="Arial" w:hAnsi="Arial" w:cs="Arial"/>
                <w:sz w:val="18"/>
              </w:rPr>
              <w:t>1-bis. (Comma abrogato, a decorrere dal 1° gennaio 2016, dall’art. 9, comma 1, lett. g), n. 2 decreto legislativo 24 settembre 2015 n. 156).</w:t>
            </w:r>
          </w:p>
          <w:p w14:paraId="34CA27DB" w14:textId="77777777" w:rsidR="00B32EF2" w:rsidRDefault="00000000">
            <w:pPr>
              <w:numPr>
                <w:ilvl w:val="0"/>
                <w:numId w:val="203"/>
              </w:numPr>
              <w:spacing w:after="0" w:line="225" w:lineRule="auto"/>
              <w:ind w:right="25"/>
              <w:jc w:val="both"/>
            </w:pPr>
            <w:r>
              <w:rPr>
                <w:rFonts w:ascii="Arial" w:eastAsia="Arial" w:hAnsi="Arial" w:cs="Arial"/>
                <w:sz w:val="18"/>
              </w:rPr>
              <w:t xml:space="preserve">Le notificazioni sono fatte secondo le norme degli articoli 137 e </w:t>
            </w:r>
            <w:proofErr w:type="spellStart"/>
            <w:r>
              <w:rPr>
                <w:rFonts w:ascii="Arial" w:eastAsia="Arial" w:hAnsi="Arial" w:cs="Arial"/>
                <w:sz w:val="18"/>
              </w:rPr>
              <w:t>seguentidel</w:t>
            </w:r>
            <w:proofErr w:type="spellEnd"/>
            <w:r>
              <w:rPr>
                <w:rFonts w:ascii="Arial" w:eastAsia="Arial" w:hAnsi="Arial" w:cs="Arial"/>
                <w:sz w:val="18"/>
              </w:rPr>
              <w:t xml:space="preserve"> codice di procedura civile, salvo quanto disposto dall’art. 17.</w:t>
            </w:r>
          </w:p>
          <w:p w14:paraId="4A67C743" w14:textId="77777777" w:rsidR="00B32EF2" w:rsidRDefault="00000000">
            <w:pPr>
              <w:numPr>
                <w:ilvl w:val="0"/>
                <w:numId w:val="203"/>
              </w:numPr>
              <w:spacing w:after="0" w:line="225" w:lineRule="auto"/>
              <w:ind w:right="25"/>
              <w:jc w:val="both"/>
            </w:pPr>
            <w:r>
              <w:rPr>
                <w:rFonts w:ascii="Arial" w:eastAsia="Arial" w:hAnsi="Arial" w:cs="Arial"/>
                <w:sz w:val="18"/>
              </w:rPr>
              <w:t xml:space="preserve">Le notificazioni possono essere fatte anche direttamente a mezzo </w:t>
            </w:r>
            <w:proofErr w:type="spellStart"/>
            <w:r>
              <w:rPr>
                <w:rFonts w:ascii="Arial" w:eastAsia="Arial" w:hAnsi="Arial" w:cs="Arial"/>
                <w:sz w:val="18"/>
              </w:rPr>
              <w:t>delservizio</w:t>
            </w:r>
            <w:proofErr w:type="spellEnd"/>
            <w:r>
              <w:rPr>
                <w:rFonts w:ascii="Arial" w:eastAsia="Arial" w:hAnsi="Arial" w:cs="Arial"/>
                <w:sz w:val="18"/>
              </w:rPr>
              <w:t xml:space="preserve"> postale mediante spedizione dell’atto in plico senza busta raccomandato con avviso di ricevimento, sul quale non sono apposti segni o indicazioni dai quali possa desumersi il contenuto dell’atto, ovvero all’ufficio del Ministero delle finanze ed all’ente locale mediante consegna dell’atto all’impiegato addetto che ne rilascia ricevuta sulla copia.</w:t>
            </w:r>
          </w:p>
          <w:p w14:paraId="0A5432DB" w14:textId="77777777" w:rsidR="00B32EF2" w:rsidRDefault="00000000">
            <w:pPr>
              <w:numPr>
                <w:ilvl w:val="0"/>
                <w:numId w:val="203"/>
              </w:numPr>
              <w:spacing w:after="0" w:line="225" w:lineRule="auto"/>
              <w:ind w:right="25"/>
              <w:jc w:val="both"/>
            </w:pPr>
            <w:r>
              <w:rPr>
                <w:rFonts w:ascii="Arial" w:eastAsia="Arial" w:hAnsi="Arial" w:cs="Arial"/>
                <w:sz w:val="18"/>
              </w:rPr>
              <w:t>Gli enti impositori, gli agenti della riscossione e i soggetti iscritti nell’</w:t>
            </w:r>
            <w:proofErr w:type="spellStart"/>
            <w:r>
              <w:rPr>
                <w:rFonts w:ascii="Arial" w:eastAsia="Arial" w:hAnsi="Arial" w:cs="Arial"/>
                <w:sz w:val="18"/>
              </w:rPr>
              <w:t>albodi</w:t>
            </w:r>
            <w:proofErr w:type="spellEnd"/>
            <w:r>
              <w:rPr>
                <w:rFonts w:ascii="Arial" w:eastAsia="Arial" w:hAnsi="Arial" w:cs="Arial"/>
                <w:sz w:val="18"/>
              </w:rPr>
              <w:t xml:space="preserve"> cui all’articolo 53 del decreto legislativo 15 dicembre 1997, n. 446, provvedono alle notificazioni anche a mezzo del messo comunale o di messo autorizzato dall’amministrazione finanziaria, con l’osservanza delle disposizioni di cui al comma 2.</w:t>
            </w:r>
          </w:p>
          <w:p w14:paraId="5B2FA30B" w14:textId="77777777" w:rsidR="00B32EF2" w:rsidRDefault="00000000">
            <w:pPr>
              <w:numPr>
                <w:ilvl w:val="0"/>
                <w:numId w:val="203"/>
              </w:numPr>
              <w:spacing w:after="0"/>
              <w:ind w:right="25"/>
              <w:jc w:val="both"/>
            </w:pPr>
            <w:r>
              <w:rPr>
                <w:rFonts w:ascii="Arial" w:eastAsia="Arial" w:hAnsi="Arial" w:cs="Arial"/>
                <w:sz w:val="18"/>
              </w:rPr>
              <w:t>Qualunque comunicazione o notificazione a mezzo del servizio postale</w:t>
            </w:r>
          </w:p>
        </w:tc>
      </w:tr>
      <w:tr w:rsidR="00B32EF2" w14:paraId="7F938E54" w14:textId="77777777">
        <w:trPr>
          <w:trHeight w:val="191"/>
        </w:trPr>
        <w:tc>
          <w:tcPr>
            <w:tcW w:w="6236" w:type="dxa"/>
            <w:tcBorders>
              <w:top w:val="single" w:sz="4" w:space="0" w:color="000000"/>
              <w:left w:val="single" w:sz="10" w:space="0" w:color="000000"/>
              <w:bottom w:val="single" w:sz="4" w:space="0" w:color="000000"/>
              <w:right w:val="single" w:sz="10" w:space="0" w:color="000000"/>
            </w:tcBorders>
            <w:shd w:val="clear" w:color="auto" w:fill="FFFFFF"/>
          </w:tcPr>
          <w:p w14:paraId="7B33716E" w14:textId="77777777" w:rsidR="00B32EF2" w:rsidRDefault="00000000">
            <w:pPr>
              <w:spacing w:after="0"/>
            </w:pPr>
            <w:r>
              <w:rPr>
                <w:rFonts w:ascii="Arial" w:eastAsia="Arial" w:hAnsi="Arial" w:cs="Arial"/>
                <w:sz w:val="18"/>
              </w:rPr>
              <w:t>si considera fatta nella data della spedizione; i termini che hanno inizio</w:t>
            </w:r>
          </w:p>
        </w:tc>
      </w:tr>
      <w:tr w:rsidR="00B32EF2" w14:paraId="4E3FCB61" w14:textId="77777777">
        <w:trPr>
          <w:trHeight w:val="194"/>
        </w:trPr>
        <w:tc>
          <w:tcPr>
            <w:tcW w:w="6236" w:type="dxa"/>
            <w:tcBorders>
              <w:top w:val="single" w:sz="4" w:space="0" w:color="000000"/>
              <w:left w:val="single" w:sz="8" w:space="0" w:color="000000"/>
              <w:bottom w:val="nil"/>
              <w:right w:val="single" w:sz="8" w:space="0" w:color="000000"/>
            </w:tcBorders>
            <w:shd w:val="clear" w:color="auto" w:fill="FFFFFF"/>
          </w:tcPr>
          <w:p w14:paraId="5AC83901" w14:textId="77777777" w:rsidR="00B32EF2" w:rsidRDefault="00000000">
            <w:pPr>
              <w:spacing w:after="0"/>
            </w:pPr>
            <w:r>
              <w:rPr>
                <w:rFonts w:ascii="Arial" w:eastAsia="Arial" w:hAnsi="Arial" w:cs="Arial"/>
                <w:sz w:val="18"/>
              </w:rPr>
              <w:t xml:space="preserve">dalla notificazione o dalla comunicazione decorrono dalla data in cui l’atto </w:t>
            </w:r>
          </w:p>
        </w:tc>
      </w:tr>
      <w:tr w:rsidR="00B32EF2" w14:paraId="05D7A658" w14:textId="77777777">
        <w:trPr>
          <w:trHeight w:val="236"/>
        </w:trPr>
        <w:tc>
          <w:tcPr>
            <w:tcW w:w="6236" w:type="dxa"/>
            <w:tcBorders>
              <w:top w:val="nil"/>
              <w:left w:val="single" w:sz="8" w:space="0" w:color="000000"/>
              <w:bottom w:val="single" w:sz="8" w:space="0" w:color="000000"/>
              <w:right w:val="single" w:sz="8" w:space="0" w:color="000000"/>
            </w:tcBorders>
          </w:tcPr>
          <w:p w14:paraId="006A3749" w14:textId="77777777" w:rsidR="00B32EF2" w:rsidRDefault="00000000">
            <w:pPr>
              <w:spacing w:after="0"/>
            </w:pPr>
            <w:r>
              <w:rPr>
                <w:rFonts w:ascii="Arial" w:eastAsia="Arial" w:hAnsi="Arial" w:cs="Arial"/>
                <w:sz w:val="18"/>
              </w:rPr>
              <w:t>è ricevuto.</w:t>
            </w:r>
          </w:p>
        </w:tc>
      </w:tr>
    </w:tbl>
    <w:p w14:paraId="3D1521A3" w14:textId="77777777" w:rsidR="00B32EF2" w:rsidRDefault="00000000">
      <w:pPr>
        <w:spacing w:after="0" w:line="261" w:lineRule="auto"/>
        <w:ind w:left="12" w:right="3" w:hanging="10"/>
        <w:jc w:val="center"/>
      </w:pPr>
      <w:r>
        <w:rPr>
          <w:rFonts w:ascii="Arial" w:eastAsia="Arial" w:hAnsi="Arial" w:cs="Arial"/>
          <w:b/>
          <w:sz w:val="18"/>
        </w:rPr>
        <w:t>Articolo 16</w:t>
      </w:r>
    </w:p>
    <w:p w14:paraId="6EB83ADE" w14:textId="77777777" w:rsidR="00B32EF2" w:rsidRDefault="00000000">
      <w:pPr>
        <w:spacing w:after="3" w:line="251" w:lineRule="auto"/>
        <w:ind w:left="2320" w:right="2311" w:hanging="10"/>
        <w:jc w:val="center"/>
      </w:pPr>
      <w:r>
        <w:rPr>
          <w:rFonts w:ascii="Arial" w:eastAsia="Arial" w:hAnsi="Arial" w:cs="Arial"/>
          <w:i/>
          <w:sz w:val="18"/>
        </w:rPr>
        <w:t>(articolo 60 TUGT)</w:t>
      </w:r>
    </w:p>
    <w:p w14:paraId="2CB750A2" w14:textId="77777777" w:rsidR="00B32EF2" w:rsidRDefault="00000000">
      <w:pPr>
        <w:spacing w:after="0" w:line="261" w:lineRule="auto"/>
        <w:ind w:left="12" w:right="3" w:hanging="10"/>
        <w:jc w:val="center"/>
      </w:pPr>
      <w:r>
        <w:rPr>
          <w:rFonts w:ascii="Arial" w:eastAsia="Arial" w:hAnsi="Arial" w:cs="Arial"/>
          <w:b/>
          <w:sz w:val="18"/>
        </w:rPr>
        <w:lastRenderedPageBreak/>
        <w:t>Comunicazioni e notificazioni</w:t>
      </w:r>
    </w:p>
    <w:p w14:paraId="0F9D259B" w14:textId="77777777" w:rsidR="00B32EF2" w:rsidRDefault="00000000">
      <w:pPr>
        <w:numPr>
          <w:ilvl w:val="0"/>
          <w:numId w:val="37"/>
        </w:numPr>
        <w:spacing w:after="4" w:line="254" w:lineRule="auto"/>
        <w:ind w:right="10" w:hanging="10"/>
        <w:jc w:val="both"/>
      </w:pPr>
      <w:r>
        <w:rPr>
          <w:rFonts w:ascii="Arial" w:eastAsia="Arial" w:hAnsi="Arial" w:cs="Arial"/>
          <w:sz w:val="18"/>
        </w:rPr>
        <w:t xml:space="preserve">Le comunicazioni sono fatte mediante avviso della segreteria della </w:t>
      </w:r>
      <w:proofErr w:type="spellStart"/>
      <w:r>
        <w:rPr>
          <w:rFonts w:ascii="Arial" w:eastAsia="Arial" w:hAnsi="Arial" w:cs="Arial"/>
          <w:sz w:val="18"/>
        </w:rPr>
        <w:t>cortedi</w:t>
      </w:r>
      <w:proofErr w:type="spellEnd"/>
      <w:r>
        <w:rPr>
          <w:rFonts w:ascii="Arial" w:eastAsia="Arial" w:hAnsi="Arial" w:cs="Arial"/>
          <w:sz w:val="18"/>
        </w:rPr>
        <w:t xml:space="preserve"> giustizia tributaria di primo e secondo grado consegnato alle parti, che ne rilasciano immediatamente ricevuta, o spedito a mezzo del servizio postale con raccomandata con avviso di ricevimento . Le comunicazioni agli enti impositori, agli agenti della riscossione ed ai soggetti iscritti nell’albo di cui all’articolo 53 del decreto legislativo 15 dicembre 1997, n. 446, possono essere fatte mediante trasmissione di elenco in duplice esemplare, uno dei quali, immediatamente datato e sottoscritto per ricevuta, è restituito alla segreteria della corte di giustizia tributaria di primo e secondo grado. La segreteria può anche richiedere la notificazione dell’avviso da parte dell’ufficio giudiziario o del messo comunale nelle forme di cui al comma 2.</w:t>
      </w:r>
    </w:p>
    <w:p w14:paraId="1AB85B1E" w14:textId="77777777" w:rsidR="00B32EF2" w:rsidRDefault="00000000">
      <w:pPr>
        <w:spacing w:after="4" w:line="254" w:lineRule="auto"/>
        <w:ind w:left="-4" w:right="10" w:hanging="10"/>
        <w:jc w:val="both"/>
      </w:pPr>
      <w:r>
        <w:rPr>
          <w:rFonts w:ascii="Arial" w:eastAsia="Arial" w:hAnsi="Arial" w:cs="Arial"/>
          <w:sz w:val="18"/>
        </w:rPr>
        <w:t>1-bis. (Comma abrogato, a decorrere dal 1° gennaio 2016, dall’art. 9, comma 1, lett. g), n. 2 decreto legislativo 24 settembre 2015 n. 156).</w:t>
      </w:r>
    </w:p>
    <w:p w14:paraId="2D8C3D08" w14:textId="77777777" w:rsidR="00B32EF2" w:rsidRDefault="00000000">
      <w:pPr>
        <w:numPr>
          <w:ilvl w:val="0"/>
          <w:numId w:val="37"/>
        </w:numPr>
        <w:spacing w:after="4" w:line="254" w:lineRule="auto"/>
        <w:ind w:right="10" w:hanging="10"/>
        <w:jc w:val="both"/>
      </w:pPr>
      <w:r>
        <w:rPr>
          <w:rFonts w:ascii="Arial" w:eastAsia="Arial" w:hAnsi="Arial" w:cs="Arial"/>
          <w:sz w:val="18"/>
        </w:rPr>
        <w:t xml:space="preserve">Le notificazioni sono fatte secondo le norme degli articoli 137 e seguenti </w:t>
      </w:r>
      <w:proofErr w:type="spellStart"/>
      <w:r>
        <w:rPr>
          <w:rFonts w:ascii="Arial" w:eastAsia="Arial" w:hAnsi="Arial" w:cs="Arial"/>
          <w:sz w:val="18"/>
        </w:rPr>
        <w:t>delcodice</w:t>
      </w:r>
      <w:proofErr w:type="spellEnd"/>
      <w:r>
        <w:rPr>
          <w:rFonts w:ascii="Arial" w:eastAsia="Arial" w:hAnsi="Arial" w:cs="Arial"/>
          <w:sz w:val="18"/>
        </w:rPr>
        <w:t xml:space="preserve"> di procedura civile, salvo quanto disposto dall’art. 17 .</w:t>
      </w:r>
    </w:p>
    <w:p w14:paraId="780E190B" w14:textId="77777777" w:rsidR="00B32EF2" w:rsidRDefault="00000000">
      <w:pPr>
        <w:numPr>
          <w:ilvl w:val="0"/>
          <w:numId w:val="37"/>
        </w:numPr>
        <w:spacing w:after="4" w:line="254" w:lineRule="auto"/>
        <w:ind w:right="10" w:hanging="10"/>
        <w:jc w:val="both"/>
      </w:pPr>
      <w:r>
        <w:rPr>
          <w:rFonts w:ascii="Arial" w:eastAsia="Arial" w:hAnsi="Arial" w:cs="Arial"/>
          <w:sz w:val="18"/>
        </w:rPr>
        <w:t xml:space="preserve">Le notificazioni possono essere fatte anche direttamente a mezzo del </w:t>
      </w:r>
      <w:proofErr w:type="spellStart"/>
      <w:r>
        <w:rPr>
          <w:rFonts w:ascii="Arial" w:eastAsia="Arial" w:hAnsi="Arial" w:cs="Arial"/>
          <w:sz w:val="18"/>
        </w:rPr>
        <w:t>serviziopostale</w:t>
      </w:r>
      <w:proofErr w:type="spellEnd"/>
      <w:r>
        <w:rPr>
          <w:rFonts w:ascii="Arial" w:eastAsia="Arial" w:hAnsi="Arial" w:cs="Arial"/>
          <w:sz w:val="18"/>
        </w:rPr>
        <w:t xml:space="preserve"> mediante spedizione dell’atto in plico senza busta raccomandato con avviso di ricevimento, sul quale non sono apposti segni o indicazioni dai quali possa desumersi il contenuto dell’atto, ovvero all’ufficio del Ministero delle finanze ed all’ente locale mediante consegna dell’atto all’impiegato addetto che ne rilascia ricevuta sulla copia.</w:t>
      </w:r>
    </w:p>
    <w:p w14:paraId="4FE3C397" w14:textId="77777777" w:rsidR="00B32EF2" w:rsidRDefault="00000000">
      <w:pPr>
        <w:numPr>
          <w:ilvl w:val="0"/>
          <w:numId w:val="37"/>
        </w:numPr>
        <w:spacing w:after="4" w:line="254" w:lineRule="auto"/>
        <w:ind w:right="10" w:hanging="10"/>
        <w:jc w:val="both"/>
      </w:pPr>
      <w:r>
        <w:rPr>
          <w:rFonts w:ascii="Arial" w:eastAsia="Arial" w:hAnsi="Arial" w:cs="Arial"/>
          <w:sz w:val="18"/>
        </w:rPr>
        <w:t xml:space="preserve">Gli enti impositori, gli agenti della riscossione e i soggetti iscritti nell’albo </w:t>
      </w:r>
      <w:proofErr w:type="spellStart"/>
      <w:r>
        <w:rPr>
          <w:rFonts w:ascii="Arial" w:eastAsia="Arial" w:hAnsi="Arial" w:cs="Arial"/>
          <w:sz w:val="18"/>
        </w:rPr>
        <w:t>dicui</w:t>
      </w:r>
      <w:proofErr w:type="spellEnd"/>
      <w:r>
        <w:rPr>
          <w:rFonts w:ascii="Arial" w:eastAsia="Arial" w:hAnsi="Arial" w:cs="Arial"/>
          <w:sz w:val="18"/>
        </w:rPr>
        <w:t xml:space="preserve"> all’articolo 53 del decreto legislativo 15 dicembre 1997, n. 446, provvedono alle notificazioni anche a mezzo del messo comunale o di messo autorizzato dall’amministrazione finanziaria, con l’osservanza delle disposizioni di cui al comma 2.</w:t>
      </w:r>
    </w:p>
    <w:p w14:paraId="6FD356C9" w14:textId="77777777" w:rsidR="00B32EF2" w:rsidRDefault="00000000">
      <w:pPr>
        <w:numPr>
          <w:ilvl w:val="0"/>
          <w:numId w:val="37"/>
        </w:numPr>
        <w:spacing w:after="307" w:line="254" w:lineRule="auto"/>
        <w:ind w:right="10" w:hanging="10"/>
        <w:jc w:val="both"/>
      </w:pPr>
      <w:r>
        <w:rPr>
          <w:rFonts w:ascii="Arial" w:eastAsia="Arial" w:hAnsi="Arial" w:cs="Arial"/>
          <w:sz w:val="18"/>
        </w:rPr>
        <w:t xml:space="preserve">Qualunque comunicazione o notificazione a mezzo del servizio postale </w:t>
      </w:r>
      <w:proofErr w:type="spellStart"/>
      <w:r>
        <w:rPr>
          <w:rFonts w:ascii="Arial" w:eastAsia="Arial" w:hAnsi="Arial" w:cs="Arial"/>
          <w:sz w:val="18"/>
        </w:rPr>
        <w:t>siconsidera</w:t>
      </w:r>
      <w:proofErr w:type="spellEnd"/>
      <w:r>
        <w:rPr>
          <w:rFonts w:ascii="Arial" w:eastAsia="Arial" w:hAnsi="Arial" w:cs="Arial"/>
          <w:sz w:val="18"/>
        </w:rPr>
        <w:t xml:space="preserve"> fatta nella data della spedizione; i termini che hanno inizio dalla notificazione o dalla comunicazione decorrono dalla data in cui l’atto è ricevuto.</w:t>
      </w:r>
    </w:p>
    <w:p w14:paraId="19B5628B" w14:textId="77777777" w:rsidR="00B32EF2" w:rsidRDefault="00000000">
      <w:pPr>
        <w:pStyle w:val="Titolo3"/>
        <w:ind w:left="129" w:right="120"/>
      </w:pPr>
      <w:r>
        <w:t>NORME RICHIAMATE</w:t>
      </w:r>
    </w:p>
    <w:p w14:paraId="5E923C58"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art. 53 D.lgs. 446/1997 “Albo per l’accertamento e riscossione delle entrate degli enti locali”.</w:t>
      </w:r>
    </w:p>
    <w:p w14:paraId="2B21F19C"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137 </w:t>
      </w:r>
      <w:proofErr w:type="spellStart"/>
      <w:r>
        <w:rPr>
          <w:rFonts w:ascii="Arial" w:eastAsia="Arial" w:hAnsi="Arial" w:cs="Arial"/>
          <w:i/>
          <w:sz w:val="18"/>
        </w:rPr>
        <w:t>c.p.c.”Notificazioni</w:t>
      </w:r>
      <w:proofErr w:type="spellEnd"/>
      <w:r>
        <w:rPr>
          <w:rFonts w:ascii="Arial" w:eastAsia="Arial" w:hAnsi="Arial" w:cs="Arial"/>
          <w:i/>
          <w:sz w:val="18"/>
        </w:rPr>
        <w:t xml:space="preserve">” </w:t>
      </w:r>
    </w:p>
    <w:p w14:paraId="503EA7E4" w14:textId="77777777" w:rsidR="00B32EF2" w:rsidRDefault="00000000">
      <w:pPr>
        <w:numPr>
          <w:ilvl w:val="0"/>
          <w:numId w:val="38"/>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Le notificazioni, quando non è disposto altrimenti, sono eseguite dall’ufficiale giudiziario, su istanza di parte o su richiesta del pubblico ministero o del cancelliere.</w:t>
      </w:r>
    </w:p>
    <w:p w14:paraId="0EBBB4D7" w14:textId="77777777" w:rsidR="00B32EF2" w:rsidRDefault="00000000">
      <w:pPr>
        <w:numPr>
          <w:ilvl w:val="0"/>
          <w:numId w:val="38"/>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L’ufficiale giudiziario o l’avvocato esegue la notificazione mediante consegna al destinatario di copia conforme all’originale dell’atto da notificarsi.</w:t>
      </w:r>
    </w:p>
    <w:p w14:paraId="52155BDE" w14:textId="77777777" w:rsidR="00B32EF2" w:rsidRDefault="00000000">
      <w:pPr>
        <w:numPr>
          <w:ilvl w:val="0"/>
          <w:numId w:val="38"/>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lastRenderedPageBreak/>
        <w:t>Se l’atto da notificare o comunicare è costituito da un documento informatico e il destinatario non possiede indirizzo di posta elettronica certificata, l’ufficiale giudiziario esegue la notificazione mediante consegna di una copia dell’atto su supporto cartaceo, da lui dichiarata conforme all’originale, e conserva il documento informatico per i due anni successivi. Se richiesto, l’ufficiale giudiziario invia l’atto notificato anche attraverso strumenti telematici all’indirizzo di posta elettronica dichiarato dal destinatario della notifica o dal suo procuratore, ovvero consegna ai medesimi, previa esazione dei relativi diritti, copia dell’atto notificato, su supporto informatico non riscrivibile .</w:t>
      </w:r>
    </w:p>
    <w:p w14:paraId="18724398" w14:textId="77777777" w:rsidR="00B32EF2" w:rsidRDefault="00000000">
      <w:pPr>
        <w:numPr>
          <w:ilvl w:val="0"/>
          <w:numId w:val="38"/>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Se la notificazione non può essere eseguita in mani proprie del destinatario, tranne che nel caso previsto dal secondo comma dell’articolo 143, l’ufficiale giudiziario consegna o deposita la copia dell’atto da notificare in busta che provvede a sigillare e su cui trascrive il numero cronologico della notificazione, dandone atto nella relazione in calce all’originale e alla copia dell’atto stesso. Sulla busta non sono apposti segni o indicazioni dai quali possa desumersi il contenuto dell’atto .</w:t>
      </w:r>
    </w:p>
    <w:p w14:paraId="7297DFEE" w14:textId="77777777" w:rsidR="00B32EF2" w:rsidRDefault="00000000">
      <w:pPr>
        <w:numPr>
          <w:ilvl w:val="0"/>
          <w:numId w:val="38"/>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Le disposizioni di cui al quarto comma si applicano anche alle comunicazioni effettuate con biglietto di cancelleria ai sensi degli articoli 133 e 136 .</w:t>
      </w:r>
    </w:p>
    <w:p w14:paraId="477692C4" w14:textId="77777777" w:rsidR="00B32EF2" w:rsidRDefault="00000000">
      <w:pPr>
        <w:numPr>
          <w:ilvl w:val="0"/>
          <w:numId w:val="38"/>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L’avvocato esegue le notificazioni nei casi e con le modalità previste </w:t>
      </w:r>
      <w:proofErr w:type="spellStart"/>
      <w:r>
        <w:rPr>
          <w:rFonts w:ascii="Arial" w:eastAsia="Arial" w:hAnsi="Arial" w:cs="Arial"/>
          <w:i/>
          <w:sz w:val="18"/>
        </w:rPr>
        <w:t>dallalegge</w:t>
      </w:r>
      <w:proofErr w:type="spellEnd"/>
      <w:r>
        <w:rPr>
          <w:rFonts w:ascii="Arial" w:eastAsia="Arial" w:hAnsi="Arial" w:cs="Arial"/>
          <w:i/>
          <w:sz w:val="18"/>
        </w:rPr>
        <w:t>.</w:t>
      </w:r>
    </w:p>
    <w:p w14:paraId="2AE932DC" w14:textId="77777777" w:rsidR="00B32EF2" w:rsidRDefault="00000000">
      <w:pPr>
        <w:numPr>
          <w:ilvl w:val="0"/>
          <w:numId w:val="38"/>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L’ufficiale giudiziario esegue la notificazione su richiesta dell’</w:t>
      </w:r>
      <w:proofErr w:type="spellStart"/>
      <w:r>
        <w:rPr>
          <w:rFonts w:ascii="Arial" w:eastAsia="Arial" w:hAnsi="Arial" w:cs="Arial"/>
          <w:i/>
          <w:sz w:val="18"/>
        </w:rPr>
        <w:t>avvocatose</w:t>
      </w:r>
      <w:proofErr w:type="spellEnd"/>
      <w:r>
        <w:rPr>
          <w:rFonts w:ascii="Arial" w:eastAsia="Arial" w:hAnsi="Arial" w:cs="Arial"/>
          <w:i/>
          <w:sz w:val="18"/>
        </w:rPr>
        <w:t xml:space="preserve"> quest’ultimo non deve eseguirla a mezzo di posta elettronica certificata o servizio elettronico di recapito certificato qualificato, o con </w:t>
      </w:r>
      <w:proofErr w:type="spellStart"/>
      <w:r>
        <w:rPr>
          <w:rFonts w:ascii="Arial" w:eastAsia="Arial" w:hAnsi="Arial" w:cs="Arial"/>
          <w:i/>
          <w:sz w:val="18"/>
        </w:rPr>
        <w:t>altra</w:t>
      </w:r>
      <w:proofErr w:type="spellEnd"/>
      <w:r>
        <w:rPr>
          <w:rFonts w:ascii="Arial" w:eastAsia="Arial" w:hAnsi="Arial" w:cs="Arial"/>
          <w:i/>
          <w:sz w:val="18"/>
        </w:rPr>
        <w:t xml:space="preserve"> modalità prevista dalla legge, salvo che l’avvocato dichiari che la notificazione con le predette modalità non è possibile o non ha avuto esito positivo per cause non imputabili al destinatario. Della dichiarazione è dato atto nella relazione di notificazione.</w:t>
      </w:r>
    </w:p>
    <w:tbl>
      <w:tblPr>
        <w:tblStyle w:val="TableGrid"/>
        <w:tblW w:w="6236" w:type="dxa"/>
        <w:tblInd w:w="11" w:type="dxa"/>
        <w:tblCellMar>
          <w:top w:w="0" w:type="dxa"/>
          <w:left w:w="123" w:type="dxa"/>
          <w:bottom w:w="0" w:type="dxa"/>
          <w:right w:w="123" w:type="dxa"/>
        </w:tblCellMar>
        <w:tblLook w:val="04A0" w:firstRow="1" w:lastRow="0" w:firstColumn="1" w:lastColumn="0" w:noHBand="0" w:noVBand="1"/>
      </w:tblPr>
      <w:tblGrid>
        <w:gridCol w:w="6236"/>
      </w:tblGrid>
      <w:tr w:rsidR="00B32EF2" w14:paraId="7D17125B" w14:textId="77777777">
        <w:trPr>
          <w:trHeight w:val="7237"/>
        </w:trPr>
        <w:tc>
          <w:tcPr>
            <w:tcW w:w="6236" w:type="dxa"/>
            <w:tcBorders>
              <w:top w:val="single" w:sz="8" w:space="0" w:color="000000"/>
              <w:left w:val="single" w:sz="8" w:space="0" w:color="000000"/>
              <w:bottom w:val="single" w:sz="8" w:space="0" w:color="000000"/>
              <w:right w:val="single" w:sz="8" w:space="0" w:color="000000"/>
            </w:tcBorders>
            <w:vAlign w:val="center"/>
          </w:tcPr>
          <w:p w14:paraId="4F50EA9A" w14:textId="77777777" w:rsidR="00B32EF2" w:rsidRDefault="00000000">
            <w:pPr>
              <w:spacing w:after="1" w:line="225" w:lineRule="auto"/>
              <w:ind w:left="2304" w:hanging="1978"/>
            </w:pPr>
            <w:r>
              <w:rPr>
                <w:rFonts w:ascii="Arial" w:eastAsia="Arial" w:hAnsi="Arial" w:cs="Arial"/>
                <w:b/>
                <w:sz w:val="18"/>
              </w:rPr>
              <w:lastRenderedPageBreak/>
              <w:t>Per i  giudizi instaurati  con ricorso notificato fino all'1.9.2024  Articolo 16-bis</w:t>
            </w:r>
          </w:p>
          <w:p w14:paraId="6E44F720" w14:textId="77777777" w:rsidR="00B32EF2" w:rsidRDefault="00000000">
            <w:pPr>
              <w:spacing w:after="0"/>
              <w:ind w:right="104"/>
              <w:jc w:val="center"/>
            </w:pPr>
            <w:r>
              <w:rPr>
                <w:rFonts w:ascii="Arial" w:eastAsia="Arial" w:hAnsi="Arial" w:cs="Arial"/>
                <w:i/>
                <w:sz w:val="18"/>
              </w:rPr>
              <w:t>(articolo 61 TUGT)</w:t>
            </w:r>
          </w:p>
          <w:p w14:paraId="66C97704" w14:textId="77777777" w:rsidR="00B32EF2" w:rsidRDefault="00000000">
            <w:pPr>
              <w:spacing w:after="0"/>
              <w:ind w:right="103"/>
              <w:jc w:val="center"/>
            </w:pPr>
            <w:r>
              <w:rPr>
                <w:rFonts w:ascii="Arial" w:eastAsia="Arial" w:hAnsi="Arial" w:cs="Arial"/>
                <w:b/>
                <w:sz w:val="18"/>
              </w:rPr>
              <w:t xml:space="preserve">Comunicazioni, noti </w:t>
            </w:r>
            <w:proofErr w:type="spellStart"/>
            <w:r>
              <w:rPr>
                <w:rFonts w:ascii="Arial" w:eastAsia="Arial" w:hAnsi="Arial" w:cs="Arial"/>
                <w:b/>
                <w:sz w:val="18"/>
              </w:rPr>
              <w:t>icazioni</w:t>
            </w:r>
            <w:proofErr w:type="spellEnd"/>
            <w:r>
              <w:rPr>
                <w:rFonts w:ascii="Arial" w:eastAsia="Arial" w:hAnsi="Arial" w:cs="Arial"/>
                <w:b/>
                <w:sz w:val="18"/>
              </w:rPr>
              <w:t xml:space="preserve"> e depositi telematici </w:t>
            </w:r>
          </w:p>
          <w:p w14:paraId="59E7BFF9" w14:textId="77777777" w:rsidR="00B32EF2" w:rsidRDefault="00000000">
            <w:pPr>
              <w:numPr>
                <w:ilvl w:val="0"/>
                <w:numId w:val="204"/>
              </w:numPr>
              <w:spacing w:after="0" w:line="225" w:lineRule="auto"/>
              <w:jc w:val="both"/>
            </w:pPr>
            <w:r>
              <w:rPr>
                <w:rFonts w:ascii="Arial" w:eastAsia="Arial" w:hAnsi="Arial" w:cs="Arial"/>
                <w:sz w:val="18"/>
              </w:rPr>
              <w:t xml:space="preserve">Le comunicazioni sono effettuate anche mediante l’utilizzo della </w:t>
            </w:r>
            <w:proofErr w:type="spellStart"/>
            <w:r>
              <w:rPr>
                <w:rFonts w:ascii="Arial" w:eastAsia="Arial" w:hAnsi="Arial" w:cs="Arial"/>
                <w:sz w:val="18"/>
              </w:rPr>
              <w:t>postaelettronica</w:t>
            </w:r>
            <w:proofErr w:type="spellEnd"/>
            <w:r>
              <w:rPr>
                <w:rFonts w:ascii="Arial" w:eastAsia="Arial" w:hAnsi="Arial" w:cs="Arial"/>
                <w:sz w:val="18"/>
              </w:rPr>
              <w:t xml:space="preserve"> certificata, ai sensi del decreto legislativo 7 marzo 2005, n. 82, e successive modificazioni. Tra le pubbliche amministrazioni di cui all’articolo 2, comma 2, del decreto legislativo 7 marzo 2005, n. 82, le comunicazioni possono essere effettuate ai sensi dell’articolo 76 del decreto legislativo n. 82 del 2005. L’indirizzo di posta elettronica certificata del difensore o delle parti è indicato nel ricorso o nel primo atto difensivo. La comunicazione si intende perfezionata con la ricezione avvenuta nei confronti di almeno uno dei difensori della parte.</w:t>
            </w:r>
          </w:p>
          <w:p w14:paraId="2ABCA666" w14:textId="77777777" w:rsidR="00B32EF2" w:rsidRDefault="00000000">
            <w:pPr>
              <w:numPr>
                <w:ilvl w:val="0"/>
                <w:numId w:val="204"/>
              </w:numPr>
              <w:spacing w:after="0" w:line="225" w:lineRule="auto"/>
              <w:jc w:val="both"/>
            </w:pPr>
            <w:r>
              <w:rPr>
                <w:rFonts w:ascii="Arial" w:eastAsia="Arial" w:hAnsi="Arial" w:cs="Arial"/>
                <w:sz w:val="18"/>
              </w:rPr>
              <w:t xml:space="preserve">Nelle ipotesi di mancata indicazione dell’indirizzo di posta </w:t>
            </w:r>
            <w:proofErr w:type="spellStart"/>
            <w:r>
              <w:rPr>
                <w:rFonts w:ascii="Arial" w:eastAsia="Arial" w:hAnsi="Arial" w:cs="Arial"/>
                <w:sz w:val="18"/>
              </w:rPr>
              <w:t>elettronicacertificata</w:t>
            </w:r>
            <w:proofErr w:type="spellEnd"/>
            <w:r>
              <w:rPr>
                <w:rFonts w:ascii="Arial" w:eastAsia="Arial" w:hAnsi="Arial" w:cs="Arial"/>
                <w:sz w:val="18"/>
              </w:rPr>
              <w:t xml:space="preserve"> del difensore o della parte ed ove lo stesso non sia reperibile da pubblici elenchi, ovvero nelle ipotesi di mancata consegna del messaggio di posta elettronica certificata per cause imputabili al destinatario, le comunicazioni sono eseguite esclusivamente mediante deposito in segreteria della Commissione tributaria. Nei casi di cui al periodo precedente le notificazioni sono eseguite ai sensi dell’articolo 16.</w:t>
            </w:r>
          </w:p>
          <w:p w14:paraId="224862F6" w14:textId="77777777" w:rsidR="00B32EF2" w:rsidRDefault="00000000">
            <w:pPr>
              <w:numPr>
                <w:ilvl w:val="0"/>
                <w:numId w:val="204"/>
              </w:numPr>
              <w:spacing w:after="0" w:line="225" w:lineRule="auto"/>
              <w:jc w:val="both"/>
            </w:pPr>
            <w:r>
              <w:rPr>
                <w:rFonts w:ascii="Arial" w:eastAsia="Arial" w:hAnsi="Arial" w:cs="Arial"/>
                <w:sz w:val="18"/>
              </w:rPr>
              <w:t>Le parti, i consulenti e gli organi tecnici indicati nell’articolo 7, comma 2,notificano e depositano gli atti processuali i documenti e i provvedimenti giurisdizionali esclusivamente con modalità telematiche, secondo le disposizioni contenute nel decreto del Ministro dell’economia e delle finanze 23 dicembre 2013, n. 163, e nei successivi decreti di attuazione. In casi eccezionali, il Presidente della Commissione tributaria o il Presidente di sezione, se il ricorso è già iscritto a ruolo, ovvero il collegio se la questione sorge in udienza, con provvedimento motivato possono autorizzare il deposito con modalità diverse da quelle telematiche.</w:t>
            </w:r>
          </w:p>
          <w:p w14:paraId="4E092AEB" w14:textId="77777777" w:rsidR="00B32EF2" w:rsidRDefault="00000000">
            <w:pPr>
              <w:spacing w:after="0" w:line="225" w:lineRule="auto"/>
              <w:jc w:val="both"/>
            </w:pPr>
            <w:r>
              <w:rPr>
                <w:rFonts w:ascii="Arial" w:eastAsia="Arial" w:hAnsi="Arial" w:cs="Arial"/>
                <w:sz w:val="18"/>
              </w:rPr>
              <w:t>3-bis. I soggetti che stanno in giudizio senza assistenza tecnica ai sensi dell’articolo 12, comma 2, hanno facoltà di utilizzare, per le notifiche e i depositi, le modalità telematiche indicate nel comma 3, previa indicazione nel ricorso o nel primo atto difensivo dell’indirizzo di posta elettronica certificata al quale ricevere le comunicazioni e le notificazioni.</w:t>
            </w:r>
          </w:p>
          <w:p w14:paraId="50C05203" w14:textId="77777777" w:rsidR="00B32EF2" w:rsidRDefault="00000000">
            <w:pPr>
              <w:numPr>
                <w:ilvl w:val="0"/>
                <w:numId w:val="204"/>
              </w:numPr>
              <w:spacing w:after="0"/>
              <w:jc w:val="both"/>
            </w:pPr>
            <w:r>
              <w:rPr>
                <w:rFonts w:ascii="Arial" w:eastAsia="Arial" w:hAnsi="Arial" w:cs="Arial"/>
                <w:sz w:val="18"/>
              </w:rPr>
              <w:t>L’indicazione dell’indirizzo di posta elettronica certificata valevole per le comunicazioni e le notificazioni equivale alla comunicazione del domicilio eletto.</w:t>
            </w:r>
          </w:p>
        </w:tc>
      </w:tr>
    </w:tbl>
    <w:p w14:paraId="79282205" w14:textId="77777777" w:rsidR="00B32EF2" w:rsidRDefault="00000000">
      <w:pPr>
        <w:spacing w:after="0" w:line="261" w:lineRule="auto"/>
        <w:ind w:left="12" w:right="3" w:hanging="10"/>
        <w:jc w:val="center"/>
      </w:pPr>
      <w:r>
        <w:rPr>
          <w:rFonts w:ascii="Arial" w:eastAsia="Arial" w:hAnsi="Arial" w:cs="Arial"/>
          <w:b/>
          <w:sz w:val="18"/>
        </w:rPr>
        <w:t>Articolo 16-bis</w:t>
      </w:r>
    </w:p>
    <w:p w14:paraId="13AE087D" w14:textId="77777777" w:rsidR="00B32EF2" w:rsidRDefault="00000000">
      <w:pPr>
        <w:spacing w:after="3" w:line="251" w:lineRule="auto"/>
        <w:ind w:left="2320" w:right="2311" w:hanging="10"/>
        <w:jc w:val="center"/>
      </w:pPr>
      <w:r>
        <w:rPr>
          <w:rFonts w:ascii="Arial" w:eastAsia="Arial" w:hAnsi="Arial" w:cs="Arial"/>
          <w:i/>
          <w:sz w:val="18"/>
        </w:rPr>
        <w:t>(articolo 61 TUGT)</w:t>
      </w:r>
    </w:p>
    <w:p w14:paraId="168861D4" w14:textId="77777777" w:rsidR="00B32EF2" w:rsidRDefault="00000000">
      <w:pPr>
        <w:spacing w:after="0" w:line="261" w:lineRule="auto"/>
        <w:ind w:left="12" w:right="3" w:hanging="10"/>
        <w:jc w:val="center"/>
      </w:pPr>
      <w:r>
        <w:rPr>
          <w:rFonts w:ascii="Arial" w:eastAsia="Arial" w:hAnsi="Arial" w:cs="Arial"/>
          <w:b/>
          <w:sz w:val="18"/>
        </w:rPr>
        <w:t>Comunicazioni, notificazioni e depositi telematici</w:t>
      </w:r>
    </w:p>
    <w:p w14:paraId="091DC142" w14:textId="77777777" w:rsidR="00B32EF2" w:rsidRDefault="00000000">
      <w:pPr>
        <w:numPr>
          <w:ilvl w:val="0"/>
          <w:numId w:val="39"/>
        </w:numPr>
        <w:spacing w:after="4" w:line="254" w:lineRule="auto"/>
        <w:ind w:right="10" w:hanging="10"/>
        <w:jc w:val="both"/>
      </w:pPr>
      <w:r>
        <w:rPr>
          <w:rFonts w:ascii="Arial" w:eastAsia="Arial" w:hAnsi="Arial" w:cs="Arial"/>
          <w:sz w:val="18"/>
        </w:rPr>
        <w:t xml:space="preserve">Le comunicazioni sono effettuate mediante posta elettronica certificata </w:t>
      </w:r>
      <w:proofErr w:type="spellStart"/>
      <w:r>
        <w:rPr>
          <w:rFonts w:ascii="Arial" w:eastAsia="Arial" w:hAnsi="Arial" w:cs="Arial"/>
          <w:sz w:val="18"/>
        </w:rPr>
        <w:t>aisensi</w:t>
      </w:r>
      <w:proofErr w:type="spellEnd"/>
      <w:r>
        <w:rPr>
          <w:rFonts w:ascii="Arial" w:eastAsia="Arial" w:hAnsi="Arial" w:cs="Arial"/>
          <w:sz w:val="18"/>
        </w:rPr>
        <w:t xml:space="preserve"> del decreto legislativo 7 marzo 2005, n. 82, e successive modificazioni. Tra le pubbliche amministrazioni di cui all’articolo 2, comma 2, del predetto decreto legislativo, le comunicazioni sono effettuate anche ai sensi dell’articolo 76 del medesimo decreto. L’indirizzo di posta elettronica certificata del difensore o delle parti è indicato nel ricorso o nel primo atto difensivo. E’ </w:t>
      </w:r>
      <w:r>
        <w:rPr>
          <w:rFonts w:ascii="Arial" w:eastAsia="Arial" w:hAnsi="Arial" w:cs="Arial"/>
          <w:sz w:val="18"/>
        </w:rPr>
        <w:lastRenderedPageBreak/>
        <w:t xml:space="preserve">onere del difensore comunicare ogni variazione dell’indirizzo di posta elettronica certificata a quelli delle altre parti costituite e alla segreteria la quale, in difetto, non è tenuta a cercare il nuovo indirizzo del difensore </w:t>
      </w:r>
      <w:proofErr w:type="spellStart"/>
      <w:r>
        <w:rPr>
          <w:rFonts w:ascii="Arial" w:eastAsia="Arial" w:hAnsi="Arial" w:cs="Arial"/>
          <w:sz w:val="18"/>
        </w:rPr>
        <w:t>nè</w:t>
      </w:r>
      <w:proofErr w:type="spellEnd"/>
      <w:r>
        <w:rPr>
          <w:rFonts w:ascii="Arial" w:eastAsia="Arial" w:hAnsi="Arial" w:cs="Arial"/>
          <w:sz w:val="18"/>
        </w:rPr>
        <w:t xml:space="preserve"> ad effettuargli la comunicazione mediante deposito in segreteria. In caso di pluralità di difensori di una parte costituita, la comunicazione è perfezionata se ricevuta da almeno uno di essi, cui spetta informarne gli altri.</w:t>
      </w:r>
    </w:p>
    <w:p w14:paraId="558BC024" w14:textId="77777777" w:rsidR="00B32EF2" w:rsidRDefault="00000000">
      <w:pPr>
        <w:numPr>
          <w:ilvl w:val="0"/>
          <w:numId w:val="39"/>
        </w:numPr>
        <w:spacing w:after="4" w:line="254" w:lineRule="auto"/>
        <w:ind w:right="10" w:hanging="10"/>
        <w:jc w:val="both"/>
      </w:pPr>
      <w:r>
        <w:rPr>
          <w:rFonts w:ascii="Arial" w:eastAsia="Arial" w:hAnsi="Arial" w:cs="Arial"/>
          <w:sz w:val="18"/>
        </w:rPr>
        <w:t>Nelle ipotesi di mancata indicazione dell’indirizzo di posta elettronica certificata del difensore o della parte ed ove lo stesso non sia reperibile da pubblici elenchi, ovvero nelle ipotesi di mancata consegna del messaggio di posta elettronica certificata per cause imputabili al destinatario, le comunicazioni sono eseguite esclusivamente mediante deposito in segreteria della Commissione tributaria. Nei casi di cui al periodo precedente le notificazioni sono eseguite ai sensi dell’articolo 16.</w:t>
      </w:r>
    </w:p>
    <w:p w14:paraId="6D5703A3" w14:textId="77777777" w:rsidR="00B32EF2" w:rsidRDefault="00000000">
      <w:pPr>
        <w:numPr>
          <w:ilvl w:val="0"/>
          <w:numId w:val="39"/>
        </w:numPr>
        <w:spacing w:after="4" w:line="254" w:lineRule="auto"/>
        <w:ind w:right="10" w:hanging="10"/>
        <w:jc w:val="both"/>
      </w:pPr>
      <w:r>
        <w:rPr>
          <w:rFonts w:ascii="Arial" w:eastAsia="Arial" w:hAnsi="Arial" w:cs="Arial"/>
          <w:sz w:val="18"/>
        </w:rPr>
        <w:t>Le parti, i consulenti e gli organi tecnici di cui all’articolo 7, comma 2, depositano gli atti processuali, i documenti e i provvedimenti giurisdizionali notificati esclusivamente con le modalità telematiche previste dalle vigenti norme tecniche del processo tributario telematico, salva la possibilità, nelle ipotesi di cui all’articolo 79, di effettuare le notificazioni ai sensi dell’articolo 16.</w:t>
      </w:r>
    </w:p>
    <w:p w14:paraId="3E3366E5" w14:textId="77777777" w:rsidR="00B32EF2" w:rsidRDefault="00000000">
      <w:pPr>
        <w:numPr>
          <w:ilvl w:val="0"/>
          <w:numId w:val="39"/>
        </w:numPr>
        <w:spacing w:after="170" w:line="254" w:lineRule="auto"/>
        <w:ind w:right="10" w:hanging="10"/>
        <w:jc w:val="both"/>
      </w:pPr>
      <w:r>
        <w:rPr>
          <w:rFonts w:ascii="Arial" w:eastAsia="Arial" w:hAnsi="Arial" w:cs="Arial"/>
          <w:sz w:val="18"/>
        </w:rPr>
        <w:t xml:space="preserve">L’indicazione dell’indirizzo di posta elettronica certificata valevole per le comunicazioni e le notificazioni equivale alla comunicazione del domicilio eletto. 4-bis. La violazione delle disposizioni dei commi da 1 a 3, </w:t>
      </w:r>
      <w:proofErr w:type="spellStart"/>
      <w:r>
        <w:rPr>
          <w:rFonts w:ascii="Arial" w:eastAsia="Arial" w:hAnsi="Arial" w:cs="Arial"/>
          <w:sz w:val="18"/>
        </w:rPr>
        <w:t>nonchè</w:t>
      </w:r>
      <w:proofErr w:type="spellEnd"/>
      <w:r>
        <w:rPr>
          <w:rFonts w:ascii="Arial" w:eastAsia="Arial" w:hAnsi="Arial" w:cs="Arial"/>
          <w:sz w:val="18"/>
        </w:rPr>
        <w:t xml:space="preserve"> delle vigenti norme tecniche del processo tributario telematico, non costituisce causa di invalidità del deposito, salvo l’obbligo di regolarizzarlo nel termine perentorio stabilito dal giudice.</w:t>
      </w:r>
    </w:p>
    <w:p w14:paraId="54FF4192" w14:textId="77777777" w:rsidR="00B32EF2" w:rsidRDefault="00000000">
      <w:pPr>
        <w:pStyle w:val="Titolo3"/>
        <w:ind w:left="129" w:right="60"/>
      </w:pPr>
      <w:r>
        <w:t>NORME RICHIAMATE</w:t>
      </w:r>
    </w:p>
    <w:p w14:paraId="5F836AD5"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71" w:line="251" w:lineRule="auto"/>
        <w:ind w:left="129" w:right="60" w:hanging="10"/>
        <w:jc w:val="both"/>
      </w:pPr>
      <w:r>
        <w:rPr>
          <w:rFonts w:ascii="Arial" w:eastAsia="Arial" w:hAnsi="Arial" w:cs="Arial"/>
          <w:i/>
          <w:sz w:val="18"/>
        </w:rPr>
        <w:t>art. 76 D.lgs. 82/2005 “Scambio di documenti informatici nell’ambito del Sistema pubblico di connettività “</w:t>
      </w:r>
    </w:p>
    <w:p w14:paraId="4FA663B1" w14:textId="77777777" w:rsidR="00B32EF2" w:rsidRDefault="00000000">
      <w:pPr>
        <w:spacing w:after="0" w:line="261" w:lineRule="auto"/>
        <w:ind w:left="12" w:right="3" w:hanging="10"/>
        <w:jc w:val="center"/>
      </w:pPr>
      <w:r>
        <w:rPr>
          <w:rFonts w:ascii="Arial" w:eastAsia="Arial" w:hAnsi="Arial" w:cs="Arial"/>
          <w:b/>
          <w:sz w:val="18"/>
        </w:rPr>
        <w:t>Articolo 17</w:t>
      </w:r>
    </w:p>
    <w:p w14:paraId="3D4B4FDF" w14:textId="77777777" w:rsidR="00B32EF2" w:rsidRDefault="00000000">
      <w:pPr>
        <w:spacing w:after="3" w:line="251" w:lineRule="auto"/>
        <w:ind w:left="2320" w:right="2311" w:hanging="10"/>
        <w:jc w:val="center"/>
      </w:pPr>
      <w:r>
        <w:rPr>
          <w:rFonts w:ascii="Arial" w:eastAsia="Arial" w:hAnsi="Arial" w:cs="Arial"/>
          <w:i/>
          <w:sz w:val="18"/>
        </w:rPr>
        <w:t>(articolo 62 TUGT)</w:t>
      </w:r>
    </w:p>
    <w:p w14:paraId="0D43FE4C" w14:textId="77777777" w:rsidR="00B32EF2" w:rsidRDefault="00000000">
      <w:pPr>
        <w:spacing w:after="0" w:line="261" w:lineRule="auto"/>
        <w:ind w:left="12" w:right="3" w:hanging="10"/>
        <w:jc w:val="center"/>
      </w:pPr>
      <w:r>
        <w:rPr>
          <w:rFonts w:ascii="Arial" w:eastAsia="Arial" w:hAnsi="Arial" w:cs="Arial"/>
          <w:b/>
          <w:sz w:val="18"/>
        </w:rPr>
        <w:t>Luogo delle comunicazioni e notificazioni</w:t>
      </w:r>
    </w:p>
    <w:p w14:paraId="047F6CC0" w14:textId="77777777" w:rsidR="00B32EF2" w:rsidRDefault="00000000">
      <w:pPr>
        <w:numPr>
          <w:ilvl w:val="0"/>
          <w:numId w:val="40"/>
        </w:numPr>
        <w:spacing w:after="4" w:line="254" w:lineRule="auto"/>
        <w:ind w:right="10" w:hanging="10"/>
        <w:jc w:val="both"/>
      </w:pPr>
      <w:r>
        <w:rPr>
          <w:rFonts w:ascii="Arial" w:eastAsia="Arial" w:hAnsi="Arial" w:cs="Arial"/>
          <w:sz w:val="18"/>
        </w:rPr>
        <w:t xml:space="preserve">Le comunicazioni e le notificazioni sono fatte, salva la consegna in </w:t>
      </w:r>
      <w:proofErr w:type="spellStart"/>
      <w:r>
        <w:rPr>
          <w:rFonts w:ascii="Arial" w:eastAsia="Arial" w:hAnsi="Arial" w:cs="Arial"/>
          <w:sz w:val="18"/>
        </w:rPr>
        <w:t>maniproprie</w:t>
      </w:r>
      <w:proofErr w:type="spellEnd"/>
      <w:r>
        <w:rPr>
          <w:rFonts w:ascii="Arial" w:eastAsia="Arial" w:hAnsi="Arial" w:cs="Arial"/>
          <w:sz w:val="18"/>
        </w:rPr>
        <w:t>, nel domicilio eletto o, in mancanza, nella residenza o nella sede dichiarata dalla parte all’atto della sua costituzione in giudizio. Le variazioni del domicilio o della residenza o della sede hanno effetto dal decimo giorno successivo a quello in cui sia stata notificata alla segreteria della commissione e alle parti costituite la denuncia di variazione.</w:t>
      </w:r>
    </w:p>
    <w:p w14:paraId="277BABA3" w14:textId="77777777" w:rsidR="00B32EF2" w:rsidRDefault="00000000">
      <w:pPr>
        <w:numPr>
          <w:ilvl w:val="0"/>
          <w:numId w:val="40"/>
        </w:numPr>
        <w:spacing w:after="4" w:line="254" w:lineRule="auto"/>
        <w:ind w:right="10" w:hanging="10"/>
        <w:jc w:val="both"/>
      </w:pPr>
      <w:r>
        <w:rPr>
          <w:rFonts w:ascii="Arial" w:eastAsia="Arial" w:hAnsi="Arial" w:cs="Arial"/>
          <w:sz w:val="18"/>
        </w:rPr>
        <w:t xml:space="preserve">L’indicazione della residenza o della sede e l’elezione del domicilio </w:t>
      </w:r>
      <w:proofErr w:type="spellStart"/>
      <w:r>
        <w:rPr>
          <w:rFonts w:ascii="Arial" w:eastAsia="Arial" w:hAnsi="Arial" w:cs="Arial"/>
          <w:sz w:val="18"/>
        </w:rPr>
        <w:t>hannoeffetto</w:t>
      </w:r>
      <w:proofErr w:type="spellEnd"/>
      <w:r>
        <w:rPr>
          <w:rFonts w:ascii="Arial" w:eastAsia="Arial" w:hAnsi="Arial" w:cs="Arial"/>
          <w:sz w:val="18"/>
        </w:rPr>
        <w:t xml:space="preserve"> anche per i successivi gradi del processo.</w:t>
      </w:r>
    </w:p>
    <w:p w14:paraId="4E74544C" w14:textId="77777777" w:rsidR="00B32EF2" w:rsidRDefault="00000000">
      <w:pPr>
        <w:numPr>
          <w:ilvl w:val="0"/>
          <w:numId w:val="40"/>
        </w:numPr>
        <w:spacing w:after="4" w:line="254" w:lineRule="auto"/>
        <w:ind w:right="10" w:hanging="10"/>
        <w:jc w:val="both"/>
      </w:pPr>
      <w:r>
        <w:rPr>
          <w:rFonts w:ascii="Arial" w:eastAsia="Arial" w:hAnsi="Arial" w:cs="Arial"/>
          <w:sz w:val="18"/>
        </w:rPr>
        <w:t xml:space="preserve">Se mancano l’elezione di domicilio o la dichiarazione della residenza o </w:t>
      </w:r>
      <w:proofErr w:type="spellStart"/>
      <w:r>
        <w:rPr>
          <w:rFonts w:ascii="Arial" w:eastAsia="Arial" w:hAnsi="Arial" w:cs="Arial"/>
          <w:sz w:val="18"/>
        </w:rPr>
        <w:t>dellasede</w:t>
      </w:r>
      <w:proofErr w:type="spellEnd"/>
      <w:r>
        <w:rPr>
          <w:rFonts w:ascii="Arial" w:eastAsia="Arial" w:hAnsi="Arial" w:cs="Arial"/>
          <w:sz w:val="18"/>
        </w:rPr>
        <w:t xml:space="preserve"> nel territorio dello Stato o se per la loro assoluta incertezza la </w:t>
      </w:r>
      <w:r>
        <w:rPr>
          <w:rFonts w:ascii="Arial" w:eastAsia="Arial" w:hAnsi="Arial" w:cs="Arial"/>
          <w:sz w:val="18"/>
        </w:rPr>
        <w:lastRenderedPageBreak/>
        <w:t>notificazione o la comunicazione degli atti non è possibile, questi sono comunicati o notificati presso la segreteria della commissione.</w:t>
      </w:r>
    </w:p>
    <w:p w14:paraId="5FD2B768" w14:textId="77777777" w:rsidR="00B32EF2" w:rsidRDefault="00000000">
      <w:pPr>
        <w:spacing w:after="4" w:line="254" w:lineRule="auto"/>
        <w:ind w:left="-4" w:right="10" w:hanging="10"/>
        <w:jc w:val="both"/>
      </w:pPr>
      <w:r>
        <w:rPr>
          <w:rFonts w:ascii="Arial" w:eastAsia="Arial" w:hAnsi="Arial" w:cs="Arial"/>
          <w:sz w:val="18"/>
        </w:rPr>
        <w:t>3-bis. (Comma abrogato, a decorrere dal 1° gennaio 2016, dall’art. 9, comma 1, lett. i) decreto legislativo 24 settembre 2015 n. 156).</w:t>
      </w:r>
    </w:p>
    <w:p w14:paraId="31D2FBC8" w14:textId="77777777" w:rsidR="00B32EF2" w:rsidRDefault="00B32EF2">
      <w:pPr>
        <w:spacing w:after="0"/>
        <w:ind w:left="-1133" w:right="7372"/>
      </w:pPr>
    </w:p>
    <w:tbl>
      <w:tblPr>
        <w:tblStyle w:val="TableGrid"/>
        <w:tblW w:w="6236" w:type="dxa"/>
        <w:tblInd w:w="7" w:type="dxa"/>
        <w:tblCellMar>
          <w:top w:w="123" w:type="dxa"/>
          <w:left w:w="127" w:type="dxa"/>
          <w:bottom w:w="0" w:type="dxa"/>
          <w:right w:w="119" w:type="dxa"/>
        </w:tblCellMar>
        <w:tblLook w:val="04A0" w:firstRow="1" w:lastRow="0" w:firstColumn="1" w:lastColumn="0" w:noHBand="0" w:noVBand="1"/>
      </w:tblPr>
      <w:tblGrid>
        <w:gridCol w:w="6236"/>
      </w:tblGrid>
      <w:tr w:rsidR="00B32EF2" w14:paraId="68B4EF35" w14:textId="77777777">
        <w:trPr>
          <w:trHeight w:val="9116"/>
        </w:trPr>
        <w:tc>
          <w:tcPr>
            <w:tcW w:w="6236" w:type="dxa"/>
            <w:tcBorders>
              <w:top w:val="single" w:sz="8" w:space="0" w:color="000000"/>
              <w:left w:val="single" w:sz="10" w:space="0" w:color="000000"/>
              <w:bottom w:val="single" w:sz="11" w:space="0" w:color="000000"/>
              <w:right w:val="single" w:sz="10" w:space="0" w:color="000000"/>
            </w:tcBorders>
          </w:tcPr>
          <w:p w14:paraId="0611E9D2" w14:textId="77777777" w:rsidR="00B32EF2" w:rsidRDefault="00000000">
            <w:pPr>
              <w:spacing w:after="0"/>
              <w:ind w:right="1"/>
              <w:jc w:val="center"/>
            </w:pPr>
            <w:r>
              <w:rPr>
                <w:rFonts w:ascii="Arial" w:eastAsia="Arial" w:hAnsi="Arial" w:cs="Arial"/>
                <w:b/>
                <w:sz w:val="18"/>
              </w:rPr>
              <w:lastRenderedPageBreak/>
              <w:t>Articolo 17-bis (1)</w:t>
            </w:r>
          </w:p>
          <w:p w14:paraId="7843DFAC" w14:textId="77777777" w:rsidR="00B32EF2" w:rsidRDefault="00000000">
            <w:pPr>
              <w:spacing w:after="0"/>
              <w:ind w:right="1"/>
              <w:jc w:val="center"/>
            </w:pPr>
            <w:r>
              <w:rPr>
                <w:rFonts w:ascii="Arial" w:eastAsia="Arial" w:hAnsi="Arial" w:cs="Arial"/>
                <w:b/>
                <w:sz w:val="18"/>
              </w:rPr>
              <w:t>Il reclamo e la mediazione</w:t>
            </w:r>
          </w:p>
          <w:p w14:paraId="5EE8C723" w14:textId="77777777" w:rsidR="00B32EF2" w:rsidRDefault="00000000">
            <w:pPr>
              <w:numPr>
                <w:ilvl w:val="0"/>
                <w:numId w:val="205"/>
              </w:numPr>
              <w:spacing w:after="0" w:line="225" w:lineRule="auto"/>
              <w:ind w:right="1"/>
              <w:jc w:val="both"/>
            </w:pPr>
            <w:r>
              <w:rPr>
                <w:rFonts w:ascii="Arial" w:eastAsia="Arial" w:hAnsi="Arial" w:cs="Arial"/>
                <w:sz w:val="18"/>
              </w:rPr>
              <w:t xml:space="preserve">Per le controversie di valore non superiore a cinquantamila euro      </w:t>
            </w:r>
            <w:proofErr w:type="spellStart"/>
            <w:r>
              <w:rPr>
                <w:rFonts w:ascii="Arial" w:eastAsia="Arial" w:hAnsi="Arial" w:cs="Arial"/>
                <w:sz w:val="18"/>
              </w:rPr>
              <w:t>ilricorso</w:t>
            </w:r>
            <w:proofErr w:type="spellEnd"/>
            <w:r>
              <w:rPr>
                <w:rFonts w:ascii="Arial" w:eastAsia="Arial" w:hAnsi="Arial" w:cs="Arial"/>
                <w:sz w:val="18"/>
              </w:rPr>
              <w:t xml:space="preserve"> produce anche gli effetti di un reclamo e può contenere una proposta di mediazione con rideterminazione dell’ammontare della pretesa. Il valore di cui al periodo precedente è determinato secondo le disposizioni di cui all’articolo 12, comma 2. Le controversie di valore indeterminabile non sono reclamabili, ad eccezione di quelle di cui all’articolo 2, comma 2, primo periodo.</w:t>
            </w:r>
          </w:p>
          <w:p w14:paraId="232C7B15" w14:textId="77777777" w:rsidR="00B32EF2" w:rsidRDefault="00000000">
            <w:pPr>
              <w:spacing w:after="0" w:line="225" w:lineRule="auto"/>
              <w:ind w:right="1"/>
              <w:jc w:val="both"/>
            </w:pPr>
            <w:r>
              <w:rPr>
                <w:rFonts w:ascii="Arial" w:eastAsia="Arial" w:hAnsi="Arial" w:cs="Arial"/>
                <w:sz w:val="18"/>
              </w:rPr>
              <w:t xml:space="preserve">1-bis. Sono esclusi dalla mediazione i tributi costituenti risorse proprie tradizionali di cui all’articolo 2, paragrafo 1, lettera a), della decisione 2014/335/ UE, </w:t>
            </w:r>
            <w:proofErr w:type="spellStart"/>
            <w:r>
              <w:rPr>
                <w:rFonts w:ascii="Arial" w:eastAsia="Arial" w:hAnsi="Arial" w:cs="Arial"/>
                <w:sz w:val="18"/>
              </w:rPr>
              <w:t>Euratom</w:t>
            </w:r>
            <w:proofErr w:type="spellEnd"/>
            <w:r>
              <w:rPr>
                <w:rFonts w:ascii="Arial" w:eastAsia="Arial" w:hAnsi="Arial" w:cs="Arial"/>
                <w:sz w:val="18"/>
              </w:rPr>
              <w:t xml:space="preserve"> del Consiglio, del 26 maggio 2014.</w:t>
            </w:r>
          </w:p>
          <w:p w14:paraId="7C7AA7A5" w14:textId="77777777" w:rsidR="00B32EF2" w:rsidRDefault="00000000">
            <w:pPr>
              <w:numPr>
                <w:ilvl w:val="0"/>
                <w:numId w:val="205"/>
              </w:numPr>
              <w:spacing w:after="0" w:line="225" w:lineRule="auto"/>
              <w:ind w:right="1"/>
              <w:jc w:val="both"/>
            </w:pPr>
            <w:r>
              <w:rPr>
                <w:rFonts w:ascii="Arial" w:eastAsia="Arial" w:hAnsi="Arial" w:cs="Arial"/>
                <w:sz w:val="18"/>
              </w:rPr>
              <w:t xml:space="preserve">Il ricorso non è procedibile fino alla scadenza del termine di novanta giorni dalla data di notifica, entro il quale deve essere conclusa la procedura di cui al presente articolo. Si applica la sospensione dei termini processuali nel periodo feriale.     </w:t>
            </w:r>
          </w:p>
          <w:p w14:paraId="087E6F0A" w14:textId="77777777" w:rsidR="00B32EF2" w:rsidRDefault="00000000">
            <w:pPr>
              <w:numPr>
                <w:ilvl w:val="0"/>
                <w:numId w:val="205"/>
              </w:numPr>
              <w:spacing w:after="0" w:line="225" w:lineRule="auto"/>
              <w:ind w:right="1"/>
              <w:jc w:val="both"/>
            </w:pPr>
            <w:r>
              <w:rPr>
                <w:rFonts w:ascii="Arial" w:eastAsia="Arial" w:hAnsi="Arial" w:cs="Arial"/>
                <w:sz w:val="18"/>
              </w:rPr>
              <w:t>Il termine per la costituzione in giudizio del ricorrente decorre dalla scadenza del termine di cui al comma 2. Se la Commissione rileva che la costituzione è avvenuta in data anteriore rinvia la trattazione della causa per consentire l’esame del reclamo.</w:t>
            </w:r>
          </w:p>
          <w:p w14:paraId="75767D1D" w14:textId="77777777" w:rsidR="00B32EF2" w:rsidRDefault="00000000">
            <w:pPr>
              <w:numPr>
                <w:ilvl w:val="0"/>
                <w:numId w:val="205"/>
              </w:numPr>
              <w:spacing w:after="0" w:line="225" w:lineRule="auto"/>
              <w:ind w:right="1"/>
              <w:jc w:val="both"/>
            </w:pPr>
            <w:r>
              <w:rPr>
                <w:rFonts w:ascii="Arial" w:eastAsia="Arial" w:hAnsi="Arial" w:cs="Arial"/>
                <w:sz w:val="18"/>
              </w:rPr>
              <w:t xml:space="preserve">Le Agenzie delle entrate, delle dogane e dei monopoli di cui al </w:t>
            </w:r>
            <w:proofErr w:type="spellStart"/>
            <w:r>
              <w:rPr>
                <w:rFonts w:ascii="Arial" w:eastAsia="Arial" w:hAnsi="Arial" w:cs="Arial"/>
                <w:sz w:val="18"/>
              </w:rPr>
              <w:t>decretolegislativo</w:t>
            </w:r>
            <w:proofErr w:type="spellEnd"/>
            <w:r>
              <w:rPr>
                <w:rFonts w:ascii="Arial" w:eastAsia="Arial" w:hAnsi="Arial" w:cs="Arial"/>
                <w:sz w:val="18"/>
              </w:rPr>
              <w:t xml:space="preserve"> 30 luglio 1999, n. 300 , provvedono all’esame del reclamo e della proposta di mediazione mediante apposite strutture diverse ed autonome da quelle che curano l’istruttoria degli atti reclamabili. Per gli altri enti impositori la disposizione di cui al periodo precedente si applica compatibilmente con la propria struttura organizzativa.</w:t>
            </w:r>
          </w:p>
          <w:p w14:paraId="5DAAC15D" w14:textId="77777777" w:rsidR="00B32EF2" w:rsidRDefault="00000000">
            <w:pPr>
              <w:numPr>
                <w:ilvl w:val="0"/>
                <w:numId w:val="205"/>
              </w:numPr>
              <w:spacing w:after="0" w:line="225" w:lineRule="auto"/>
              <w:ind w:right="1"/>
              <w:jc w:val="both"/>
            </w:pPr>
            <w:r>
              <w:rPr>
                <w:rFonts w:ascii="Arial" w:eastAsia="Arial" w:hAnsi="Arial" w:cs="Arial"/>
                <w:sz w:val="18"/>
              </w:rPr>
              <w:t>L’organo destinatario, se non intende accogliere il reclamo o l’eventuale proposta di mediazione, formula d’ufficio una propria proposta avuto riguardo all’eventuale incertezza delle questioni controverse, al grado di sostenibilità della pretesa e al principio di economicità dell’azione amministrativa. L’esito del procedimento rileva anche per i contributi previdenziali e assistenziali la cui base imponibile è riconducibile a quella delle imposte sui redditi.</w:t>
            </w:r>
          </w:p>
          <w:p w14:paraId="7AC8E220" w14:textId="77777777" w:rsidR="00B32EF2" w:rsidRDefault="00000000">
            <w:pPr>
              <w:numPr>
                <w:ilvl w:val="0"/>
                <w:numId w:val="205"/>
              </w:numPr>
              <w:spacing w:after="0" w:line="225" w:lineRule="auto"/>
              <w:ind w:right="1"/>
              <w:jc w:val="both"/>
            </w:pPr>
            <w:r>
              <w:rPr>
                <w:rFonts w:ascii="Arial" w:eastAsia="Arial" w:hAnsi="Arial" w:cs="Arial"/>
                <w:sz w:val="18"/>
              </w:rPr>
              <w:t xml:space="preserve">Nelle controversie aventi ad oggetto un atto impositivo o di </w:t>
            </w:r>
            <w:proofErr w:type="spellStart"/>
            <w:r>
              <w:rPr>
                <w:rFonts w:ascii="Arial" w:eastAsia="Arial" w:hAnsi="Arial" w:cs="Arial"/>
                <w:sz w:val="18"/>
              </w:rPr>
              <w:t>riscossione,la</w:t>
            </w:r>
            <w:proofErr w:type="spellEnd"/>
            <w:r>
              <w:rPr>
                <w:rFonts w:ascii="Arial" w:eastAsia="Arial" w:hAnsi="Arial" w:cs="Arial"/>
                <w:sz w:val="18"/>
              </w:rPr>
              <w:t xml:space="preserve"> mediazione si perfeziona con il versamento, entro il termine di venti giorni dalla data di sottoscrizione dell’accordo tra le parti, delle somme dovute ovvero della prima rata. Per il versamento delle somme dovute si applicano le disposizioni, anche sanzionatorie, previste per l’accertamento con adesione dall’articolo 8 del decreto legislativo 19 giugno 1997, n. 218. Nelle controversie aventi per oggetto la restituzione di somme la mediazione si perfeziona con la sottoscrizione di un accordo nel quale sono indicate le somme dovute con i termini e le modalità di pagamento. L’accordo costituisce titolo per il pagamento delle somme dovute al contribuente.</w:t>
            </w:r>
          </w:p>
          <w:p w14:paraId="0797E18F" w14:textId="77777777" w:rsidR="00B32EF2" w:rsidRDefault="00000000">
            <w:pPr>
              <w:numPr>
                <w:ilvl w:val="0"/>
                <w:numId w:val="205"/>
              </w:numPr>
              <w:spacing w:after="0"/>
              <w:ind w:right="1"/>
              <w:jc w:val="both"/>
            </w:pPr>
            <w:r>
              <w:rPr>
                <w:rFonts w:ascii="Arial" w:eastAsia="Arial" w:hAnsi="Arial" w:cs="Arial"/>
                <w:sz w:val="18"/>
              </w:rPr>
              <w:t xml:space="preserve">Le sanzioni amministrative si applicano nella misura del trentacinque percento del minimo previsto dalla legge. Sulle somme dovute </w:t>
            </w:r>
            <w:r>
              <w:rPr>
                <w:rFonts w:ascii="Arial" w:eastAsia="Arial" w:hAnsi="Arial" w:cs="Arial"/>
                <w:sz w:val="18"/>
              </w:rPr>
              <w:lastRenderedPageBreak/>
              <w:t>a titolo di contributi previdenziali e assistenziali non si applicano sanzioni e interessi.</w:t>
            </w:r>
          </w:p>
        </w:tc>
      </w:tr>
    </w:tbl>
    <w:p w14:paraId="0049B04E" w14:textId="77777777" w:rsidR="00B32EF2" w:rsidRDefault="00000000">
      <w:pPr>
        <w:numPr>
          <w:ilvl w:val="0"/>
          <w:numId w:val="41"/>
        </w:numPr>
        <w:spacing w:after="4" w:line="254" w:lineRule="auto"/>
        <w:ind w:right="115" w:hanging="10"/>
        <w:jc w:val="both"/>
      </w:pPr>
      <w:r>
        <w:rPr>
          <w:rFonts w:ascii="Arial" w:eastAsia="Arial" w:hAnsi="Arial" w:cs="Arial"/>
          <w:sz w:val="18"/>
        </w:rPr>
        <w:lastRenderedPageBreak/>
        <w:t>La riscossione e il pagamento delle somme dovute in base all’atto oggetto di reclamo sono sospesi fino alla scadenza del termine di cui al comma 2, fermo restando che in caso di mancato perfezionamento della mediazione sono dovuti gli interessi previsti dalle singole leggi d’imposta.</w:t>
      </w:r>
    </w:p>
    <w:p w14:paraId="25FD50F7" w14:textId="77777777" w:rsidR="00B32EF2" w:rsidRDefault="00000000">
      <w:pPr>
        <w:numPr>
          <w:ilvl w:val="0"/>
          <w:numId w:val="41"/>
        </w:numPr>
        <w:spacing w:after="4" w:line="254" w:lineRule="auto"/>
        <w:ind w:right="115" w:hanging="10"/>
        <w:jc w:val="both"/>
      </w:pPr>
      <w:r>
        <w:rPr>
          <w:rFonts w:ascii="Arial" w:eastAsia="Arial" w:hAnsi="Arial" w:cs="Arial"/>
          <w:sz w:val="18"/>
        </w:rPr>
        <w:t>Le disposizioni di cui al presente articolo si applicano, in quanto compatibili, anche agli agenti della riscossione ed ai soggetti iscritti nell’albo di cui all’articolo 53 del decreto legislativo 15 dicembre 1997, n. 446.</w:t>
      </w:r>
    </w:p>
    <w:p w14:paraId="0217E927" w14:textId="77777777" w:rsidR="00B32EF2" w:rsidRDefault="00000000">
      <w:pPr>
        <w:spacing w:after="4" w:line="254" w:lineRule="auto"/>
        <w:ind w:left="144" w:right="115" w:hanging="10"/>
        <w:jc w:val="both"/>
      </w:pPr>
      <w:r>
        <w:rPr>
          <w:noProof/>
        </w:rPr>
        <mc:AlternateContent>
          <mc:Choice Requires="wpg">
            <w:drawing>
              <wp:anchor distT="0" distB="0" distL="114300" distR="114300" simplePos="0" relativeHeight="251658240" behindDoc="1" locked="0" layoutInCell="1" allowOverlap="1" wp14:anchorId="5C263D27" wp14:editId="4204EB91">
                <wp:simplePos x="0" y="0"/>
                <wp:positionH relativeFrom="column">
                  <wp:posOffset>414</wp:posOffset>
                </wp:positionH>
                <wp:positionV relativeFrom="paragraph">
                  <wp:posOffset>-977061</wp:posOffset>
                </wp:positionV>
                <wp:extent cx="3966350" cy="2973337"/>
                <wp:effectExtent l="0" t="0" r="0" b="0"/>
                <wp:wrapNone/>
                <wp:docPr id="178995" name="Group 178995"/>
                <wp:cNvGraphicFramePr/>
                <a:graphic xmlns:a="http://schemas.openxmlformats.org/drawingml/2006/main">
                  <a:graphicData uri="http://schemas.microsoft.com/office/word/2010/wordprocessingGroup">
                    <wpg:wgp>
                      <wpg:cNvGrpSpPr/>
                      <wpg:grpSpPr>
                        <a:xfrm>
                          <a:off x="0" y="0"/>
                          <a:ext cx="3966350" cy="2973337"/>
                          <a:chOff x="0" y="0"/>
                          <a:chExt cx="3966350" cy="2973337"/>
                        </a:xfrm>
                      </wpg:grpSpPr>
                      <wps:wsp>
                        <wps:cNvPr id="4011" name="Shape 4011"/>
                        <wps:cNvSpPr/>
                        <wps:spPr>
                          <a:xfrm>
                            <a:off x="0" y="29060"/>
                            <a:ext cx="3960000" cy="107264"/>
                          </a:xfrm>
                          <a:custGeom>
                            <a:avLst/>
                            <a:gdLst/>
                            <a:ahLst/>
                            <a:cxnLst/>
                            <a:rect l="0" t="0" r="0" b="0"/>
                            <a:pathLst>
                              <a:path w="3960000" h="107264">
                                <a:moveTo>
                                  <a:pt x="0" y="107264"/>
                                </a:moveTo>
                                <a:lnTo>
                                  <a:pt x="3960000" y="107264"/>
                                </a:lnTo>
                                <a:lnTo>
                                  <a:pt x="3960000" y="0"/>
                                </a:lnTo>
                                <a:lnTo>
                                  <a:pt x="0" y="0"/>
                                </a:lnTo>
                                <a:close/>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06566" name="Shape 206566"/>
                        <wps:cNvSpPr/>
                        <wps:spPr>
                          <a:xfrm>
                            <a:off x="1" y="0"/>
                            <a:ext cx="3960000" cy="2973337"/>
                          </a:xfrm>
                          <a:custGeom>
                            <a:avLst/>
                            <a:gdLst/>
                            <a:ahLst/>
                            <a:cxnLst/>
                            <a:rect l="0" t="0" r="0" b="0"/>
                            <a:pathLst>
                              <a:path w="3960000" h="2973337">
                                <a:moveTo>
                                  <a:pt x="0" y="0"/>
                                </a:moveTo>
                                <a:lnTo>
                                  <a:pt x="3960000" y="0"/>
                                </a:lnTo>
                                <a:lnTo>
                                  <a:pt x="3960000" y="2973337"/>
                                </a:lnTo>
                                <a:lnTo>
                                  <a:pt x="0" y="2973337"/>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38" name="Shape 4038"/>
                        <wps:cNvSpPr/>
                        <wps:spPr>
                          <a:xfrm>
                            <a:off x="6350" y="35398"/>
                            <a:ext cx="3960000" cy="2471306"/>
                          </a:xfrm>
                          <a:custGeom>
                            <a:avLst/>
                            <a:gdLst/>
                            <a:ahLst/>
                            <a:cxnLst/>
                            <a:rect l="0" t="0" r="0" b="0"/>
                            <a:pathLst>
                              <a:path w="3960000" h="2471306">
                                <a:moveTo>
                                  <a:pt x="0" y="2471306"/>
                                </a:moveTo>
                                <a:lnTo>
                                  <a:pt x="3960000" y="2471306"/>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8995" style="width:312.311pt;height:234.121pt;position:absolute;z-index:-2147483645;mso-position-horizontal-relative:text;mso-position-horizontal:absolute;margin-left:0.0325928pt;mso-position-vertical-relative:text;margin-top:-76.9341pt;" coordsize="39663,29733">
                <v:shape id="Shape 4011" style="position:absolute;width:39600;height:1072;left:0;top:290;" coordsize="3960000,107264" path="m0,107264l3960000,107264l3960000,0l0,0x">
                  <v:stroke weight="0.5pt" endcap="flat" joinstyle="miter" miterlimit="10" on="true" color="#000000"/>
                  <v:fill on="false" color="#000000" opacity="0"/>
                </v:shape>
                <v:shape id="Shape 206567" style="position:absolute;width:39600;height:29733;left:0;top:0;" coordsize="3960000,2973337" path="m0,0l3960000,0l3960000,2973337l0,2973337l0,0">
                  <v:stroke weight="0pt" endcap="flat" joinstyle="miter" miterlimit="10" on="false" color="#000000" opacity="0"/>
                  <v:fill on="true" color="#ffffff"/>
                </v:shape>
                <v:shape id="Shape 4038" style="position:absolute;width:39600;height:24713;left:63;top:353;" coordsize="3960000,2471306" path="m0,2471306l3960000,2471306l3960000,0l0,0x">
                  <v:stroke weight="1pt" endcap="flat" joinstyle="miter" miterlimit="4" on="true" color="#000000"/>
                  <v:fill on="false" color="#000000" opacity="0"/>
                </v:shape>
              </v:group>
            </w:pict>
          </mc:Fallback>
        </mc:AlternateContent>
      </w:r>
      <w:r>
        <w:rPr>
          <w:rFonts w:ascii="Arial" w:eastAsia="Arial" w:hAnsi="Arial" w:cs="Arial"/>
          <w:sz w:val="18"/>
        </w:rPr>
        <w:t>9-bis. In caso di rigetto del reclamo o di mancato accoglimento della proposta di mediazione formulata ai sensi del comma 5, la soccombenza di una delle parti, in accoglimento delle ragioni già espresse in sede di reclamo o mediazione, comporta, per la parte soccombente, la condanna al pagamento delle relative spese di giudizio. Tale condanna può rilevare ai fini dell’eventuale responsabilità amministrativa del funzionario che ha immotivatamente rigettato il reclamo o non accolto la proposta di mediazione. 10. Il presente articolo non si applica alle controversie di cui all’articolo 47-bis.</w:t>
      </w:r>
    </w:p>
    <w:p w14:paraId="6A5841BA" w14:textId="77777777" w:rsidR="00B32EF2" w:rsidRDefault="00000000">
      <w:pPr>
        <w:spacing w:after="784" w:line="254" w:lineRule="auto"/>
        <w:ind w:left="144" w:right="10" w:hanging="10"/>
        <w:jc w:val="both"/>
      </w:pPr>
      <w:r>
        <w:rPr>
          <w:rFonts w:ascii="Arial" w:eastAsia="Arial" w:hAnsi="Arial" w:cs="Arial"/>
          <w:sz w:val="18"/>
        </w:rPr>
        <w:t>(1) ARTICOLO ABROGATO dal 04/01/2024 da: Decreto legislativo del 30/12/2023 n. 220 articolo 2</w:t>
      </w:r>
    </w:p>
    <w:p w14:paraId="56DE5E21" w14:textId="77777777" w:rsidR="00B32EF2" w:rsidRDefault="00000000">
      <w:pPr>
        <w:spacing w:after="164" w:line="261" w:lineRule="auto"/>
        <w:ind w:left="12" w:right="3" w:hanging="10"/>
        <w:jc w:val="center"/>
      </w:pPr>
      <w:r>
        <w:rPr>
          <w:rFonts w:ascii="Arial" w:eastAsia="Arial" w:hAnsi="Arial" w:cs="Arial"/>
          <w:b/>
          <w:sz w:val="18"/>
        </w:rPr>
        <w:t>CAPO III</w:t>
      </w:r>
    </w:p>
    <w:p w14:paraId="2BCDF580" w14:textId="77777777" w:rsidR="00B32EF2" w:rsidRDefault="00000000">
      <w:pPr>
        <w:spacing w:after="266" w:line="261" w:lineRule="auto"/>
        <w:ind w:left="12" w:right="3" w:hanging="10"/>
        <w:jc w:val="center"/>
      </w:pPr>
      <w:r>
        <w:rPr>
          <w:rFonts w:ascii="Arial" w:eastAsia="Arial" w:hAnsi="Arial" w:cs="Arial"/>
          <w:b/>
          <w:sz w:val="18"/>
        </w:rPr>
        <w:t xml:space="preserve"> FORMA DEGLI ATTI</w:t>
      </w:r>
    </w:p>
    <w:p w14:paraId="174FFD5A" w14:textId="77777777" w:rsidR="00B32EF2" w:rsidRDefault="00000000">
      <w:pPr>
        <w:spacing w:after="0" w:line="261" w:lineRule="auto"/>
        <w:ind w:left="12" w:right="3" w:hanging="10"/>
        <w:jc w:val="center"/>
      </w:pPr>
      <w:r>
        <w:rPr>
          <w:rFonts w:ascii="Arial" w:eastAsia="Arial" w:hAnsi="Arial" w:cs="Arial"/>
          <w:b/>
          <w:sz w:val="18"/>
        </w:rPr>
        <w:t xml:space="preserve">Introdotto dal </w:t>
      </w:r>
      <w:proofErr w:type="spellStart"/>
      <w:r>
        <w:rPr>
          <w:rFonts w:ascii="Arial" w:eastAsia="Arial" w:hAnsi="Arial" w:cs="Arial"/>
          <w:b/>
          <w:sz w:val="18"/>
        </w:rPr>
        <w:t>D.lgs</w:t>
      </w:r>
      <w:proofErr w:type="spellEnd"/>
      <w:r>
        <w:rPr>
          <w:rFonts w:ascii="Arial" w:eastAsia="Arial" w:hAnsi="Arial" w:cs="Arial"/>
          <w:b/>
          <w:sz w:val="18"/>
        </w:rPr>
        <w:t xml:space="preserve"> n.220/2023</w:t>
      </w:r>
    </w:p>
    <w:p w14:paraId="72B734F7" w14:textId="77777777" w:rsidR="00B32EF2" w:rsidRDefault="00000000">
      <w:pPr>
        <w:spacing w:after="0" w:line="261" w:lineRule="auto"/>
        <w:ind w:left="12" w:right="3" w:hanging="10"/>
        <w:jc w:val="center"/>
      </w:pPr>
      <w:r>
        <w:rPr>
          <w:rFonts w:ascii="Arial" w:eastAsia="Arial" w:hAnsi="Arial" w:cs="Arial"/>
          <w:b/>
          <w:sz w:val="18"/>
        </w:rPr>
        <w:t xml:space="preserve">Per i  giudizi instaurati  con ricorso notificato successivamente al </w:t>
      </w:r>
    </w:p>
    <w:p w14:paraId="7977EEAC" w14:textId="77777777" w:rsidR="00B32EF2" w:rsidRDefault="00000000">
      <w:pPr>
        <w:spacing w:after="164" w:line="261" w:lineRule="auto"/>
        <w:ind w:left="12" w:right="3" w:hanging="10"/>
        <w:jc w:val="center"/>
      </w:pPr>
      <w:r>
        <w:rPr>
          <w:rFonts w:ascii="Arial" w:eastAsia="Arial" w:hAnsi="Arial" w:cs="Arial"/>
          <w:b/>
          <w:sz w:val="18"/>
        </w:rPr>
        <w:t xml:space="preserve">1.9.2024 </w:t>
      </w:r>
    </w:p>
    <w:p w14:paraId="090C41EF" w14:textId="77777777" w:rsidR="00B32EF2" w:rsidRDefault="00000000">
      <w:pPr>
        <w:spacing w:after="0" w:line="261" w:lineRule="auto"/>
        <w:ind w:left="12" w:right="3" w:hanging="10"/>
        <w:jc w:val="center"/>
      </w:pPr>
      <w:r>
        <w:rPr>
          <w:rFonts w:ascii="Arial" w:eastAsia="Arial" w:hAnsi="Arial" w:cs="Arial"/>
          <w:b/>
          <w:sz w:val="18"/>
        </w:rPr>
        <w:t>Art. 17-ter</w:t>
      </w:r>
    </w:p>
    <w:p w14:paraId="364A34A2" w14:textId="77777777" w:rsidR="00B32EF2" w:rsidRDefault="00000000">
      <w:pPr>
        <w:spacing w:after="3" w:line="251" w:lineRule="auto"/>
        <w:ind w:left="2320" w:right="2311" w:hanging="10"/>
        <w:jc w:val="center"/>
      </w:pPr>
      <w:r>
        <w:rPr>
          <w:rFonts w:ascii="Arial" w:eastAsia="Arial" w:hAnsi="Arial" w:cs="Arial"/>
          <w:i/>
          <w:sz w:val="18"/>
        </w:rPr>
        <w:t>(articolo 63 TUGT)</w:t>
      </w:r>
    </w:p>
    <w:p w14:paraId="57D1F747" w14:textId="77777777" w:rsidR="00B32EF2" w:rsidRDefault="00000000">
      <w:pPr>
        <w:spacing w:after="0" w:line="261" w:lineRule="auto"/>
        <w:ind w:left="12" w:right="3" w:hanging="10"/>
        <w:jc w:val="center"/>
      </w:pPr>
      <w:r>
        <w:rPr>
          <w:rFonts w:ascii="Arial" w:eastAsia="Arial" w:hAnsi="Arial" w:cs="Arial"/>
          <w:b/>
          <w:sz w:val="18"/>
        </w:rPr>
        <w:t>Degli atti in generale</w:t>
      </w:r>
    </w:p>
    <w:p w14:paraId="2D084320" w14:textId="77777777" w:rsidR="00B32EF2" w:rsidRDefault="00000000">
      <w:pPr>
        <w:numPr>
          <w:ilvl w:val="0"/>
          <w:numId w:val="42"/>
        </w:numPr>
        <w:spacing w:after="4" w:line="254" w:lineRule="auto"/>
        <w:ind w:right="10" w:hanging="10"/>
        <w:jc w:val="both"/>
      </w:pPr>
      <w:r>
        <w:rPr>
          <w:rFonts w:ascii="Arial" w:eastAsia="Arial" w:hAnsi="Arial" w:cs="Arial"/>
          <w:sz w:val="18"/>
        </w:rPr>
        <w:t xml:space="preserve">Gli atti del processo, i verbali e i provvedimenti giurisdizionali sono redatti </w:t>
      </w:r>
      <w:proofErr w:type="spellStart"/>
      <w:r>
        <w:rPr>
          <w:rFonts w:ascii="Arial" w:eastAsia="Arial" w:hAnsi="Arial" w:cs="Arial"/>
          <w:sz w:val="18"/>
        </w:rPr>
        <w:t>inmodo</w:t>
      </w:r>
      <w:proofErr w:type="spellEnd"/>
      <w:r>
        <w:rPr>
          <w:rFonts w:ascii="Arial" w:eastAsia="Arial" w:hAnsi="Arial" w:cs="Arial"/>
          <w:sz w:val="18"/>
        </w:rPr>
        <w:t xml:space="preserve"> chiaro e sintetico.</w:t>
      </w:r>
    </w:p>
    <w:p w14:paraId="3103DE6B" w14:textId="77777777" w:rsidR="00B32EF2" w:rsidRDefault="00000000">
      <w:pPr>
        <w:numPr>
          <w:ilvl w:val="0"/>
          <w:numId w:val="42"/>
        </w:numPr>
        <w:spacing w:after="4" w:line="254" w:lineRule="auto"/>
        <w:ind w:right="10" w:hanging="10"/>
        <w:jc w:val="both"/>
      </w:pPr>
      <w:r>
        <w:rPr>
          <w:rFonts w:ascii="Arial" w:eastAsia="Arial" w:hAnsi="Arial" w:cs="Arial"/>
          <w:sz w:val="18"/>
        </w:rPr>
        <w:t xml:space="preserve">Salvo i casi eccezionali previsti dalle norme tecniche di cui all’articolo 79,comma 2-quater, tutti gli atti e i provvedimenti del giudice tributario, dei suoi ausiliari e quelli delle segreterie delle corti di giustizia tributaria, </w:t>
      </w:r>
      <w:proofErr w:type="spellStart"/>
      <w:r>
        <w:rPr>
          <w:rFonts w:ascii="Arial" w:eastAsia="Arial" w:hAnsi="Arial" w:cs="Arial"/>
          <w:sz w:val="18"/>
        </w:rPr>
        <w:t>nonchè</w:t>
      </w:r>
      <w:proofErr w:type="spellEnd"/>
      <w:r>
        <w:rPr>
          <w:rFonts w:ascii="Arial" w:eastAsia="Arial" w:hAnsi="Arial" w:cs="Arial"/>
          <w:sz w:val="18"/>
        </w:rPr>
        <w:t xml:space="preserve"> gli atti delle parti e dei difensori sono sottoscritti con firma digitale.</w:t>
      </w:r>
    </w:p>
    <w:p w14:paraId="7C7886C2" w14:textId="77777777" w:rsidR="00B32EF2" w:rsidRDefault="00000000">
      <w:pPr>
        <w:numPr>
          <w:ilvl w:val="0"/>
          <w:numId w:val="42"/>
        </w:numPr>
        <w:spacing w:after="4" w:line="254" w:lineRule="auto"/>
        <w:ind w:right="10" w:hanging="10"/>
        <w:jc w:val="both"/>
      </w:pPr>
      <w:r>
        <w:rPr>
          <w:rFonts w:ascii="Arial" w:eastAsia="Arial" w:hAnsi="Arial" w:cs="Arial"/>
          <w:sz w:val="18"/>
        </w:rPr>
        <w:t xml:space="preserve">La liquidazione delle spese del giudizio tiene in ogni caso conto della violazione ad opera dei difensori delle parti delle previsioni di cui al comma 4-bis dell’articolo 16-bis, </w:t>
      </w:r>
      <w:proofErr w:type="spellStart"/>
      <w:r>
        <w:rPr>
          <w:rFonts w:ascii="Arial" w:eastAsia="Arial" w:hAnsi="Arial" w:cs="Arial"/>
          <w:sz w:val="18"/>
        </w:rPr>
        <w:t>nonchè</w:t>
      </w:r>
      <w:proofErr w:type="spellEnd"/>
      <w:r>
        <w:rPr>
          <w:rFonts w:ascii="Arial" w:eastAsia="Arial" w:hAnsi="Arial" w:cs="Arial"/>
          <w:sz w:val="18"/>
        </w:rPr>
        <w:t xml:space="preserve"> di quelle delle norme tecniche del processo </w:t>
      </w:r>
      <w:r>
        <w:rPr>
          <w:rFonts w:ascii="Arial" w:eastAsia="Arial" w:hAnsi="Arial" w:cs="Arial"/>
          <w:sz w:val="18"/>
        </w:rPr>
        <w:lastRenderedPageBreak/>
        <w:t>tributario telematico, fermo l’obbligo delle parti di provvedere alla regolarizzazione entro il termine perentorio stabilito dal giudice.</w:t>
      </w:r>
    </w:p>
    <w:p w14:paraId="36D6C327" w14:textId="77777777" w:rsidR="00B32EF2" w:rsidRDefault="00000000">
      <w:pPr>
        <w:numPr>
          <w:ilvl w:val="0"/>
          <w:numId w:val="42"/>
        </w:numPr>
        <w:spacing w:after="4" w:line="254" w:lineRule="auto"/>
        <w:ind w:right="10" w:hanging="10"/>
        <w:jc w:val="both"/>
      </w:pPr>
      <w:r>
        <w:rPr>
          <w:rFonts w:ascii="Arial" w:eastAsia="Arial" w:hAnsi="Arial" w:cs="Arial"/>
          <w:sz w:val="18"/>
        </w:rPr>
        <w:t xml:space="preserve">La mancata sottoscrizione con firma digitale dei provvedimenti giudiziari </w:t>
      </w:r>
      <w:proofErr w:type="spellStart"/>
      <w:r>
        <w:rPr>
          <w:rFonts w:ascii="Arial" w:eastAsia="Arial" w:hAnsi="Arial" w:cs="Arial"/>
          <w:sz w:val="18"/>
        </w:rPr>
        <w:t>delgiudice</w:t>
      </w:r>
      <w:proofErr w:type="spellEnd"/>
      <w:r>
        <w:rPr>
          <w:rFonts w:ascii="Arial" w:eastAsia="Arial" w:hAnsi="Arial" w:cs="Arial"/>
          <w:sz w:val="18"/>
        </w:rPr>
        <w:t xml:space="preserve"> tributario determina la loro nullità.</w:t>
      </w:r>
    </w:p>
    <w:p w14:paraId="6809809D" w14:textId="77777777" w:rsidR="00B32EF2" w:rsidRDefault="00000000">
      <w:pPr>
        <w:spacing w:after="0" w:line="261" w:lineRule="auto"/>
        <w:ind w:left="12" w:right="3" w:hanging="10"/>
        <w:jc w:val="center"/>
      </w:pPr>
      <w:r>
        <w:rPr>
          <w:rFonts w:ascii="Arial" w:eastAsia="Arial" w:hAnsi="Arial" w:cs="Arial"/>
          <w:b/>
          <w:sz w:val="18"/>
        </w:rPr>
        <w:t>TITOLO II</w:t>
      </w:r>
    </w:p>
    <w:p w14:paraId="4F97F1E2" w14:textId="77777777" w:rsidR="00B32EF2" w:rsidRDefault="00000000">
      <w:pPr>
        <w:spacing w:after="207" w:line="261" w:lineRule="auto"/>
        <w:ind w:left="12" w:right="3" w:hanging="10"/>
        <w:jc w:val="center"/>
      </w:pPr>
      <w:r>
        <w:rPr>
          <w:rFonts w:ascii="Arial" w:eastAsia="Arial" w:hAnsi="Arial" w:cs="Arial"/>
          <w:b/>
          <w:sz w:val="18"/>
        </w:rPr>
        <w:t>IL PROCESSO</w:t>
      </w:r>
    </w:p>
    <w:p w14:paraId="132745B1" w14:textId="77777777" w:rsidR="00B32EF2" w:rsidRDefault="00000000">
      <w:pPr>
        <w:spacing w:after="0" w:line="261" w:lineRule="auto"/>
        <w:ind w:left="12" w:right="3" w:hanging="10"/>
        <w:jc w:val="center"/>
      </w:pPr>
      <w:r>
        <w:rPr>
          <w:rFonts w:ascii="Arial" w:eastAsia="Arial" w:hAnsi="Arial" w:cs="Arial"/>
          <w:b/>
          <w:sz w:val="18"/>
        </w:rPr>
        <w:t xml:space="preserve">CAPO I </w:t>
      </w:r>
    </w:p>
    <w:p w14:paraId="64A961ED" w14:textId="77777777" w:rsidR="00B32EF2" w:rsidRDefault="00000000">
      <w:pPr>
        <w:spacing w:after="208" w:line="261" w:lineRule="auto"/>
        <w:ind w:left="12" w:right="-19" w:hanging="10"/>
        <w:jc w:val="center"/>
      </w:pPr>
      <w:r>
        <w:rPr>
          <w:rFonts w:ascii="Arial" w:eastAsia="Arial" w:hAnsi="Arial" w:cs="Arial"/>
          <w:b/>
          <w:sz w:val="18"/>
        </w:rPr>
        <w:t>IL PROCEDIMENTO DINANZI ALLA CORTE DI GIUSTIZIATRIBUTARIA DI PRIMO GRADO</w:t>
      </w:r>
    </w:p>
    <w:p w14:paraId="511EBE01" w14:textId="77777777" w:rsidR="00B32EF2" w:rsidRDefault="00000000">
      <w:pPr>
        <w:spacing w:after="0" w:line="261" w:lineRule="auto"/>
        <w:ind w:left="12" w:right="3" w:hanging="10"/>
        <w:jc w:val="center"/>
      </w:pPr>
      <w:r>
        <w:rPr>
          <w:rFonts w:ascii="Arial" w:eastAsia="Arial" w:hAnsi="Arial" w:cs="Arial"/>
          <w:b/>
          <w:sz w:val="18"/>
        </w:rPr>
        <w:t xml:space="preserve">SEZIONE I </w:t>
      </w:r>
    </w:p>
    <w:p w14:paraId="236BFE56" w14:textId="77777777" w:rsidR="00B32EF2" w:rsidRDefault="00000000">
      <w:pPr>
        <w:spacing w:after="207" w:line="261" w:lineRule="auto"/>
        <w:ind w:left="12" w:right="3" w:hanging="10"/>
        <w:jc w:val="center"/>
      </w:pPr>
      <w:r>
        <w:rPr>
          <w:rFonts w:ascii="Arial" w:eastAsia="Arial" w:hAnsi="Arial" w:cs="Arial"/>
          <w:b/>
          <w:sz w:val="18"/>
        </w:rPr>
        <w:t>INTRODUZIONE DEL GIUDIZIO</w:t>
      </w:r>
    </w:p>
    <w:p w14:paraId="0108F825" w14:textId="77777777" w:rsidR="00B32EF2" w:rsidRDefault="00000000">
      <w:pPr>
        <w:spacing w:after="0" w:line="261" w:lineRule="auto"/>
        <w:ind w:left="12" w:right="3" w:hanging="10"/>
        <w:jc w:val="center"/>
      </w:pPr>
      <w:r>
        <w:rPr>
          <w:rFonts w:ascii="Arial" w:eastAsia="Arial" w:hAnsi="Arial" w:cs="Arial"/>
          <w:b/>
          <w:sz w:val="18"/>
        </w:rPr>
        <w:t>Articolo 18</w:t>
      </w:r>
    </w:p>
    <w:p w14:paraId="5024612F" w14:textId="77777777" w:rsidR="00B32EF2" w:rsidRDefault="00000000">
      <w:pPr>
        <w:spacing w:after="3" w:line="251" w:lineRule="auto"/>
        <w:ind w:left="2320" w:right="2311" w:hanging="10"/>
        <w:jc w:val="center"/>
      </w:pPr>
      <w:r>
        <w:rPr>
          <w:rFonts w:ascii="Arial" w:eastAsia="Arial" w:hAnsi="Arial" w:cs="Arial"/>
          <w:i/>
          <w:sz w:val="18"/>
        </w:rPr>
        <w:t xml:space="preserve">(articolo 64 TUGT) </w:t>
      </w:r>
      <w:r>
        <w:rPr>
          <w:rFonts w:ascii="Arial" w:eastAsia="Arial" w:hAnsi="Arial" w:cs="Arial"/>
          <w:b/>
          <w:sz w:val="18"/>
        </w:rPr>
        <w:t xml:space="preserve">Il ricorso </w:t>
      </w:r>
    </w:p>
    <w:p w14:paraId="1EB11554" w14:textId="77777777" w:rsidR="00B32EF2" w:rsidRDefault="00000000">
      <w:pPr>
        <w:numPr>
          <w:ilvl w:val="0"/>
          <w:numId w:val="43"/>
        </w:numPr>
        <w:spacing w:after="4" w:line="254" w:lineRule="auto"/>
        <w:ind w:right="10" w:hanging="202"/>
        <w:jc w:val="both"/>
      </w:pPr>
      <w:r>
        <w:rPr>
          <w:rFonts w:ascii="Arial" w:eastAsia="Arial" w:hAnsi="Arial" w:cs="Arial"/>
          <w:sz w:val="18"/>
        </w:rPr>
        <w:t xml:space="preserve">Il processo è introdotto con ricorso alla corte di giustizia tributaria di </w:t>
      </w:r>
      <w:proofErr w:type="spellStart"/>
      <w:r>
        <w:rPr>
          <w:rFonts w:ascii="Arial" w:eastAsia="Arial" w:hAnsi="Arial" w:cs="Arial"/>
          <w:sz w:val="18"/>
        </w:rPr>
        <w:t>primogrado</w:t>
      </w:r>
      <w:proofErr w:type="spellEnd"/>
      <w:r>
        <w:rPr>
          <w:rFonts w:ascii="Arial" w:eastAsia="Arial" w:hAnsi="Arial" w:cs="Arial"/>
          <w:sz w:val="18"/>
        </w:rPr>
        <w:t>.</w:t>
      </w:r>
    </w:p>
    <w:p w14:paraId="0A8C00E0" w14:textId="77777777" w:rsidR="00B32EF2" w:rsidRDefault="00000000">
      <w:pPr>
        <w:numPr>
          <w:ilvl w:val="0"/>
          <w:numId w:val="43"/>
        </w:numPr>
        <w:spacing w:after="4" w:line="254" w:lineRule="auto"/>
        <w:ind w:right="10" w:hanging="202"/>
        <w:jc w:val="both"/>
      </w:pPr>
      <w:r>
        <w:rPr>
          <w:rFonts w:ascii="Arial" w:eastAsia="Arial" w:hAnsi="Arial" w:cs="Arial"/>
          <w:sz w:val="18"/>
        </w:rPr>
        <w:t>Il ricorso deve contenere l’indicazione:</w:t>
      </w:r>
    </w:p>
    <w:p w14:paraId="380A3E2F" w14:textId="77777777" w:rsidR="00B32EF2" w:rsidRDefault="00000000">
      <w:pPr>
        <w:numPr>
          <w:ilvl w:val="0"/>
          <w:numId w:val="44"/>
        </w:numPr>
        <w:spacing w:after="4" w:line="254" w:lineRule="auto"/>
        <w:ind w:right="10" w:hanging="202"/>
        <w:jc w:val="both"/>
      </w:pPr>
      <w:r>
        <w:rPr>
          <w:rFonts w:ascii="Arial" w:eastAsia="Arial" w:hAnsi="Arial" w:cs="Arial"/>
          <w:sz w:val="18"/>
        </w:rPr>
        <w:t>della corte di giustizia tributaria di primo e secondo grado cui è diretto;</w:t>
      </w:r>
    </w:p>
    <w:p w14:paraId="7C005C60" w14:textId="77777777" w:rsidR="00B32EF2" w:rsidRDefault="00000000">
      <w:pPr>
        <w:numPr>
          <w:ilvl w:val="0"/>
          <w:numId w:val="44"/>
        </w:numPr>
        <w:spacing w:after="4" w:line="254" w:lineRule="auto"/>
        <w:ind w:right="10" w:hanging="202"/>
        <w:jc w:val="both"/>
      </w:pPr>
      <w:r>
        <w:rPr>
          <w:rFonts w:ascii="Arial" w:eastAsia="Arial" w:hAnsi="Arial" w:cs="Arial"/>
          <w:sz w:val="18"/>
        </w:rPr>
        <w:t xml:space="preserve">del ricorrente e del suo legale rappresentante, della relativa residenza </w:t>
      </w:r>
      <w:proofErr w:type="spellStart"/>
      <w:r>
        <w:rPr>
          <w:rFonts w:ascii="Arial" w:eastAsia="Arial" w:hAnsi="Arial" w:cs="Arial"/>
          <w:sz w:val="18"/>
        </w:rPr>
        <w:t>osede</w:t>
      </w:r>
      <w:proofErr w:type="spellEnd"/>
      <w:r>
        <w:rPr>
          <w:rFonts w:ascii="Arial" w:eastAsia="Arial" w:hAnsi="Arial" w:cs="Arial"/>
          <w:sz w:val="18"/>
        </w:rPr>
        <w:t xml:space="preserve"> legale o del domicilio eventualmente eletto nel territorio dello Stato, </w:t>
      </w:r>
      <w:proofErr w:type="spellStart"/>
      <w:r>
        <w:rPr>
          <w:rFonts w:ascii="Arial" w:eastAsia="Arial" w:hAnsi="Arial" w:cs="Arial"/>
          <w:sz w:val="18"/>
        </w:rPr>
        <w:t>nonchè</w:t>
      </w:r>
      <w:proofErr w:type="spellEnd"/>
      <w:r>
        <w:rPr>
          <w:rFonts w:ascii="Arial" w:eastAsia="Arial" w:hAnsi="Arial" w:cs="Arial"/>
          <w:sz w:val="18"/>
        </w:rPr>
        <w:t xml:space="preserve"> del codice fiscale e dell’indirizzo di posta elettronica certificata; c) dell’ufficio nei cui confronti il ricorso è proposto;</w:t>
      </w:r>
    </w:p>
    <w:p w14:paraId="34E4BDC5" w14:textId="77777777" w:rsidR="00B32EF2" w:rsidRDefault="00000000">
      <w:pPr>
        <w:numPr>
          <w:ilvl w:val="0"/>
          <w:numId w:val="45"/>
        </w:numPr>
        <w:spacing w:after="4" w:line="254" w:lineRule="auto"/>
        <w:ind w:right="10" w:hanging="208"/>
        <w:jc w:val="both"/>
      </w:pPr>
      <w:r>
        <w:rPr>
          <w:rFonts w:ascii="Arial" w:eastAsia="Arial" w:hAnsi="Arial" w:cs="Arial"/>
          <w:sz w:val="18"/>
        </w:rPr>
        <w:t>dell’atto impugnato e dell’oggetto della domanda;</w:t>
      </w:r>
    </w:p>
    <w:p w14:paraId="465101D0" w14:textId="77777777" w:rsidR="00B32EF2" w:rsidRDefault="00000000">
      <w:pPr>
        <w:numPr>
          <w:ilvl w:val="0"/>
          <w:numId w:val="45"/>
        </w:numPr>
        <w:spacing w:after="4" w:line="254" w:lineRule="auto"/>
        <w:ind w:right="10" w:hanging="208"/>
        <w:jc w:val="both"/>
      </w:pPr>
      <w:r>
        <w:rPr>
          <w:rFonts w:ascii="Arial" w:eastAsia="Arial" w:hAnsi="Arial" w:cs="Arial"/>
          <w:sz w:val="18"/>
        </w:rPr>
        <w:t>dei motivi.</w:t>
      </w:r>
    </w:p>
    <w:p w14:paraId="2CBF5AD6" w14:textId="77777777" w:rsidR="00B32EF2" w:rsidRDefault="00000000">
      <w:pPr>
        <w:spacing w:after="4" w:line="254" w:lineRule="auto"/>
        <w:ind w:left="-4" w:right="10" w:hanging="10"/>
        <w:jc w:val="both"/>
      </w:pPr>
      <w:r>
        <w:rPr>
          <w:rFonts w:ascii="Arial" w:eastAsia="Arial" w:hAnsi="Arial" w:cs="Arial"/>
          <w:sz w:val="18"/>
        </w:rPr>
        <w:t>3. Il ricorso deve essere sottoscritto dal difensore e contenere l’indicazione:</w:t>
      </w:r>
    </w:p>
    <w:p w14:paraId="440C8827" w14:textId="77777777" w:rsidR="00B32EF2" w:rsidRDefault="00000000">
      <w:pPr>
        <w:numPr>
          <w:ilvl w:val="0"/>
          <w:numId w:val="46"/>
        </w:numPr>
        <w:spacing w:after="4" w:line="254" w:lineRule="auto"/>
        <w:ind w:right="10" w:hanging="202"/>
        <w:jc w:val="both"/>
      </w:pPr>
      <w:r>
        <w:rPr>
          <w:rFonts w:ascii="Arial" w:eastAsia="Arial" w:hAnsi="Arial" w:cs="Arial"/>
          <w:sz w:val="18"/>
        </w:rPr>
        <w:t>della categoria di cui all’articolo 12 alla quale appartiene il difensore;</w:t>
      </w:r>
    </w:p>
    <w:p w14:paraId="2FD013CA" w14:textId="77777777" w:rsidR="00B32EF2" w:rsidRDefault="00000000">
      <w:pPr>
        <w:numPr>
          <w:ilvl w:val="0"/>
          <w:numId w:val="46"/>
        </w:numPr>
        <w:spacing w:after="4" w:line="254" w:lineRule="auto"/>
        <w:ind w:right="10" w:hanging="202"/>
        <w:jc w:val="both"/>
      </w:pPr>
      <w:r>
        <w:rPr>
          <w:rFonts w:ascii="Arial" w:eastAsia="Arial" w:hAnsi="Arial" w:cs="Arial"/>
          <w:sz w:val="18"/>
        </w:rPr>
        <w:t xml:space="preserve">dell’incarico a norma dell’articolo 12, comma 7, salvo che il ricorso non </w:t>
      </w:r>
      <w:proofErr w:type="spellStart"/>
      <w:r>
        <w:rPr>
          <w:rFonts w:ascii="Arial" w:eastAsia="Arial" w:hAnsi="Arial" w:cs="Arial"/>
          <w:sz w:val="18"/>
        </w:rPr>
        <w:t>siasottoscritto</w:t>
      </w:r>
      <w:proofErr w:type="spellEnd"/>
      <w:r>
        <w:rPr>
          <w:rFonts w:ascii="Arial" w:eastAsia="Arial" w:hAnsi="Arial" w:cs="Arial"/>
          <w:sz w:val="18"/>
        </w:rPr>
        <w:t xml:space="preserve"> personalmente;</w:t>
      </w:r>
    </w:p>
    <w:p w14:paraId="5C93FB22" w14:textId="77777777" w:rsidR="00B32EF2" w:rsidRDefault="00000000">
      <w:pPr>
        <w:numPr>
          <w:ilvl w:val="0"/>
          <w:numId w:val="46"/>
        </w:numPr>
        <w:spacing w:after="4" w:line="254" w:lineRule="auto"/>
        <w:ind w:right="10" w:hanging="202"/>
        <w:jc w:val="both"/>
      </w:pPr>
      <w:r>
        <w:rPr>
          <w:rFonts w:ascii="Arial" w:eastAsia="Arial" w:hAnsi="Arial" w:cs="Arial"/>
          <w:sz w:val="18"/>
        </w:rPr>
        <w:t>dell’indirizzo di posta elettronica certificata del difensore.</w:t>
      </w:r>
    </w:p>
    <w:p w14:paraId="34161D85" w14:textId="77777777" w:rsidR="00B32EF2" w:rsidRDefault="00000000">
      <w:pPr>
        <w:spacing w:after="4" w:line="254" w:lineRule="auto"/>
        <w:ind w:left="-4" w:right="10" w:hanging="10"/>
        <w:jc w:val="both"/>
      </w:pPr>
      <w:r>
        <w:rPr>
          <w:rFonts w:ascii="Arial" w:eastAsia="Arial" w:hAnsi="Arial" w:cs="Arial"/>
          <w:sz w:val="18"/>
        </w:rPr>
        <w:t>4. Il ricorso è inammissibile se manca o è assolutamente incerta una delle indicazioni di cui al comma 2, ad eccezione di quella relativa al codice fiscale e all’indirizzo di posta elettronica certificata, o non è sottoscritta a norma del comma precedente.</w:t>
      </w:r>
    </w:p>
    <w:tbl>
      <w:tblPr>
        <w:tblStyle w:val="TableGrid"/>
        <w:tblW w:w="6236" w:type="dxa"/>
        <w:tblInd w:w="-9" w:type="dxa"/>
        <w:tblCellMar>
          <w:top w:w="0" w:type="dxa"/>
          <w:left w:w="123" w:type="dxa"/>
          <w:bottom w:w="0" w:type="dxa"/>
          <w:right w:w="115" w:type="dxa"/>
        </w:tblCellMar>
        <w:tblLook w:val="04A0" w:firstRow="1" w:lastRow="0" w:firstColumn="1" w:lastColumn="0" w:noHBand="0" w:noVBand="1"/>
      </w:tblPr>
      <w:tblGrid>
        <w:gridCol w:w="6236"/>
      </w:tblGrid>
      <w:tr w:rsidR="00B32EF2" w14:paraId="1E6D5E2E" w14:textId="77777777">
        <w:trPr>
          <w:trHeight w:val="2134"/>
        </w:trPr>
        <w:tc>
          <w:tcPr>
            <w:tcW w:w="6236" w:type="dxa"/>
            <w:tcBorders>
              <w:top w:val="single" w:sz="8" w:space="0" w:color="000000"/>
              <w:left w:val="single" w:sz="8" w:space="0" w:color="000000"/>
              <w:bottom w:val="single" w:sz="8" w:space="0" w:color="000000"/>
              <w:right w:val="single" w:sz="8" w:space="0" w:color="000000"/>
            </w:tcBorders>
            <w:vAlign w:val="center"/>
          </w:tcPr>
          <w:p w14:paraId="4F774CCF" w14:textId="77777777" w:rsidR="00B32EF2" w:rsidRDefault="00000000">
            <w:pPr>
              <w:spacing w:after="0" w:line="250" w:lineRule="auto"/>
              <w:ind w:left="2519" w:hanging="2200"/>
            </w:pPr>
            <w:r>
              <w:rPr>
                <w:rFonts w:ascii="Arial" w:eastAsia="Arial" w:hAnsi="Arial" w:cs="Arial"/>
                <w:b/>
                <w:sz w:val="18"/>
              </w:rPr>
              <w:lastRenderedPageBreak/>
              <w:t>Per i  giudizi instaurati  con ricorso notificato fino al 5.1.24 Articolo 19</w:t>
            </w:r>
          </w:p>
          <w:p w14:paraId="2ECA84B5" w14:textId="77777777" w:rsidR="00B32EF2" w:rsidRDefault="00000000">
            <w:pPr>
              <w:spacing w:after="0"/>
              <w:ind w:right="8"/>
              <w:jc w:val="center"/>
            </w:pPr>
            <w:r>
              <w:rPr>
                <w:rFonts w:ascii="Arial" w:eastAsia="Arial" w:hAnsi="Arial" w:cs="Arial"/>
                <w:i/>
                <w:sz w:val="18"/>
              </w:rPr>
              <w:t>(articolo 65 TUGT)</w:t>
            </w:r>
          </w:p>
          <w:p w14:paraId="2A51CFA0" w14:textId="77777777" w:rsidR="00B32EF2" w:rsidRDefault="00000000">
            <w:pPr>
              <w:spacing w:after="0"/>
              <w:ind w:right="8"/>
              <w:jc w:val="center"/>
            </w:pPr>
            <w:r>
              <w:rPr>
                <w:rFonts w:ascii="Arial" w:eastAsia="Arial" w:hAnsi="Arial" w:cs="Arial"/>
                <w:b/>
                <w:sz w:val="18"/>
              </w:rPr>
              <w:t xml:space="preserve">Atti impugnabili e oggetto del ricorso </w:t>
            </w:r>
          </w:p>
          <w:p w14:paraId="1F96E5A0" w14:textId="77777777" w:rsidR="00B32EF2" w:rsidRDefault="00000000">
            <w:pPr>
              <w:spacing w:after="0"/>
            </w:pPr>
            <w:r>
              <w:rPr>
                <w:rFonts w:ascii="Arial" w:eastAsia="Arial" w:hAnsi="Arial" w:cs="Arial"/>
                <w:sz w:val="18"/>
              </w:rPr>
              <w:t>1. Il ricorso può essere proposto avverso:</w:t>
            </w:r>
          </w:p>
          <w:p w14:paraId="7AF3DCF3" w14:textId="77777777" w:rsidR="00B32EF2" w:rsidRDefault="00000000">
            <w:pPr>
              <w:numPr>
                <w:ilvl w:val="0"/>
                <w:numId w:val="206"/>
              </w:numPr>
              <w:spacing w:after="0"/>
              <w:ind w:hanging="208"/>
            </w:pPr>
            <w:r>
              <w:rPr>
                <w:rFonts w:ascii="Arial" w:eastAsia="Arial" w:hAnsi="Arial" w:cs="Arial"/>
                <w:sz w:val="18"/>
              </w:rPr>
              <w:t>l’avviso di accertamento del tributo;</w:t>
            </w:r>
          </w:p>
          <w:p w14:paraId="78704E76" w14:textId="77777777" w:rsidR="00B32EF2" w:rsidRDefault="00000000">
            <w:pPr>
              <w:numPr>
                <w:ilvl w:val="0"/>
                <w:numId w:val="206"/>
              </w:numPr>
              <w:spacing w:after="0"/>
              <w:ind w:hanging="208"/>
            </w:pPr>
            <w:r>
              <w:rPr>
                <w:rFonts w:ascii="Arial" w:eastAsia="Arial" w:hAnsi="Arial" w:cs="Arial"/>
                <w:sz w:val="18"/>
              </w:rPr>
              <w:t>l’avviso di liquidazione del tributo;</w:t>
            </w:r>
          </w:p>
          <w:p w14:paraId="077EEC32" w14:textId="77777777" w:rsidR="00B32EF2" w:rsidRDefault="00000000">
            <w:pPr>
              <w:numPr>
                <w:ilvl w:val="0"/>
                <w:numId w:val="206"/>
              </w:numPr>
              <w:spacing w:after="0"/>
              <w:ind w:hanging="208"/>
            </w:pPr>
            <w:r>
              <w:rPr>
                <w:rFonts w:ascii="Arial" w:eastAsia="Arial" w:hAnsi="Arial" w:cs="Arial"/>
                <w:sz w:val="18"/>
              </w:rPr>
              <w:t>il provvedimento che irroga le sanzioni;</w:t>
            </w:r>
          </w:p>
          <w:p w14:paraId="2B380039" w14:textId="77777777" w:rsidR="00B32EF2" w:rsidRDefault="00000000">
            <w:pPr>
              <w:numPr>
                <w:ilvl w:val="0"/>
                <w:numId w:val="206"/>
              </w:numPr>
              <w:spacing w:after="0"/>
              <w:ind w:hanging="208"/>
            </w:pPr>
            <w:r>
              <w:rPr>
                <w:rFonts w:ascii="Arial" w:eastAsia="Arial" w:hAnsi="Arial" w:cs="Arial"/>
                <w:sz w:val="18"/>
              </w:rPr>
              <w:t>il ruolo e la cartella di pagamento;</w:t>
            </w:r>
          </w:p>
        </w:tc>
      </w:tr>
    </w:tbl>
    <w:p w14:paraId="64C2CB86" w14:textId="77777777" w:rsidR="00B32EF2" w:rsidRDefault="00000000">
      <w:pPr>
        <w:numPr>
          <w:ilvl w:val="0"/>
          <w:numId w:val="47"/>
        </w:numPr>
        <w:pBdr>
          <w:top w:val="single" w:sz="8" w:space="0" w:color="000000"/>
          <w:left w:val="single" w:sz="8" w:space="0" w:color="000000"/>
          <w:bottom w:val="single" w:sz="8" w:space="0" w:color="000000"/>
          <w:right w:val="single" w:sz="8" w:space="0" w:color="000000"/>
        </w:pBdr>
        <w:spacing w:after="3" w:line="226" w:lineRule="auto"/>
        <w:ind w:right="120" w:hanging="167"/>
        <w:jc w:val="both"/>
      </w:pPr>
      <w:r>
        <w:rPr>
          <w:rFonts w:ascii="Arial" w:eastAsia="Arial" w:hAnsi="Arial" w:cs="Arial"/>
          <w:sz w:val="18"/>
        </w:rPr>
        <w:t xml:space="preserve">l’avviso di </w:t>
      </w:r>
      <w:proofErr w:type="spellStart"/>
      <w:r>
        <w:rPr>
          <w:rFonts w:ascii="Arial" w:eastAsia="Arial" w:hAnsi="Arial" w:cs="Arial"/>
          <w:sz w:val="18"/>
        </w:rPr>
        <w:t>mora;e-bis</w:t>
      </w:r>
      <w:proofErr w:type="spellEnd"/>
      <w:r>
        <w:rPr>
          <w:rFonts w:ascii="Arial" w:eastAsia="Arial" w:hAnsi="Arial" w:cs="Arial"/>
          <w:sz w:val="18"/>
        </w:rPr>
        <w:t>) l’iscrizione di ipoteca sugli immobili di cui all’articolo 77 del decreto del Presidente della Repubblica 29 settembre 1973, n. 602, e successive modificazioni;</w:t>
      </w:r>
    </w:p>
    <w:p w14:paraId="2006B217"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e-ter) il fermo di beni mobili registrati di cui all’articolo 86 del decreto del Presidente della Repubblica 29 settembre 1973, n. 602, e successive modificazioni;</w:t>
      </w:r>
    </w:p>
    <w:p w14:paraId="3BEAF11A" w14:textId="77777777" w:rsidR="00B32EF2" w:rsidRDefault="00000000">
      <w:pPr>
        <w:numPr>
          <w:ilvl w:val="0"/>
          <w:numId w:val="47"/>
        </w:numPr>
        <w:pBdr>
          <w:top w:val="single" w:sz="8" w:space="0" w:color="000000"/>
          <w:left w:val="single" w:sz="8" w:space="0" w:color="000000"/>
          <w:bottom w:val="single" w:sz="8" w:space="0" w:color="000000"/>
          <w:right w:val="single" w:sz="8" w:space="0" w:color="000000"/>
        </w:pBdr>
        <w:spacing w:after="3" w:line="226" w:lineRule="auto"/>
        <w:ind w:right="120" w:hanging="167"/>
        <w:jc w:val="both"/>
      </w:pPr>
      <w:r>
        <w:rPr>
          <w:rFonts w:ascii="Arial" w:eastAsia="Arial" w:hAnsi="Arial" w:cs="Arial"/>
          <w:sz w:val="18"/>
        </w:rPr>
        <w:t>gli atti relativi alle operazioni catastali indicate nell’art. 2, comma 2;</w:t>
      </w:r>
    </w:p>
    <w:p w14:paraId="3F3036A1" w14:textId="77777777" w:rsidR="00B32EF2" w:rsidRDefault="00000000">
      <w:pPr>
        <w:numPr>
          <w:ilvl w:val="0"/>
          <w:numId w:val="47"/>
        </w:numPr>
        <w:pBdr>
          <w:top w:val="single" w:sz="8" w:space="0" w:color="000000"/>
          <w:left w:val="single" w:sz="8" w:space="0" w:color="000000"/>
          <w:bottom w:val="single" w:sz="8" w:space="0" w:color="000000"/>
          <w:right w:val="single" w:sz="8" w:space="0" w:color="000000"/>
        </w:pBdr>
        <w:spacing w:after="3" w:line="226" w:lineRule="auto"/>
        <w:ind w:right="120" w:hanging="167"/>
        <w:jc w:val="both"/>
      </w:pPr>
      <w:r>
        <w:rPr>
          <w:rFonts w:ascii="Arial" w:eastAsia="Arial" w:hAnsi="Arial" w:cs="Arial"/>
          <w:sz w:val="18"/>
        </w:rPr>
        <w:t xml:space="preserve">il rifiuto espresso o tacito della restituzione di tributi, sanzioni </w:t>
      </w:r>
      <w:proofErr w:type="spellStart"/>
      <w:r>
        <w:rPr>
          <w:rFonts w:ascii="Arial" w:eastAsia="Arial" w:hAnsi="Arial" w:cs="Arial"/>
          <w:sz w:val="18"/>
        </w:rPr>
        <w:t>pecuniarieed</w:t>
      </w:r>
      <w:proofErr w:type="spellEnd"/>
      <w:r>
        <w:rPr>
          <w:rFonts w:ascii="Arial" w:eastAsia="Arial" w:hAnsi="Arial" w:cs="Arial"/>
          <w:sz w:val="18"/>
        </w:rPr>
        <w:t xml:space="preserve"> interessi o altri accessori non dovuti;</w:t>
      </w:r>
    </w:p>
    <w:p w14:paraId="37ACA391" w14:textId="77777777" w:rsidR="00B32EF2" w:rsidRDefault="00000000">
      <w:pPr>
        <w:numPr>
          <w:ilvl w:val="0"/>
          <w:numId w:val="47"/>
        </w:numPr>
        <w:pBdr>
          <w:top w:val="single" w:sz="8" w:space="0" w:color="000000"/>
          <w:left w:val="single" w:sz="8" w:space="0" w:color="000000"/>
          <w:bottom w:val="single" w:sz="8" w:space="0" w:color="000000"/>
          <w:right w:val="single" w:sz="8" w:space="0" w:color="000000"/>
        </w:pBdr>
        <w:spacing w:after="3" w:line="226" w:lineRule="auto"/>
        <w:ind w:right="120" w:hanging="167"/>
        <w:jc w:val="both"/>
      </w:pPr>
      <w:r>
        <w:rPr>
          <w:rFonts w:ascii="Arial" w:eastAsia="Arial" w:hAnsi="Arial" w:cs="Arial"/>
          <w:sz w:val="18"/>
        </w:rPr>
        <w:t xml:space="preserve">il diniego o la revoca di agevolazioni o il rigetto di domande di </w:t>
      </w:r>
      <w:proofErr w:type="spellStart"/>
      <w:r>
        <w:rPr>
          <w:rFonts w:ascii="Arial" w:eastAsia="Arial" w:hAnsi="Arial" w:cs="Arial"/>
          <w:sz w:val="18"/>
        </w:rPr>
        <w:t>definizioneagevolata</w:t>
      </w:r>
      <w:proofErr w:type="spellEnd"/>
      <w:r>
        <w:rPr>
          <w:rFonts w:ascii="Arial" w:eastAsia="Arial" w:hAnsi="Arial" w:cs="Arial"/>
          <w:sz w:val="18"/>
        </w:rPr>
        <w:t xml:space="preserve"> di rapporti tributari;</w:t>
      </w:r>
    </w:p>
    <w:p w14:paraId="750BCCC9"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 xml:space="preserve"> h-bis) la decisione di rigetto dell’istanza di apertura di procedura amichevole presentata ai sensi della direttiva (UE) 2017/1852 del Consiglio del 10 ottobre 2017 o ai sensi degli Accordi e delle Convenzioni internazionali per evitare le doppie imposizioni di cui l’Italia è parte ovvero ai sensi della Convenzione relativa all’eliminazione delle doppie imposizioni in caso di rettifica degli utili di imprese associate n. 90/436/CEE;</w:t>
      </w:r>
    </w:p>
    <w:p w14:paraId="60BC366D" w14:textId="77777777" w:rsidR="00B32EF2" w:rsidRDefault="00000000">
      <w:pPr>
        <w:numPr>
          <w:ilvl w:val="0"/>
          <w:numId w:val="47"/>
        </w:numPr>
        <w:pBdr>
          <w:top w:val="single" w:sz="8" w:space="0" w:color="000000"/>
          <w:left w:val="single" w:sz="8" w:space="0" w:color="000000"/>
          <w:bottom w:val="single" w:sz="8" w:space="0" w:color="000000"/>
          <w:right w:val="single" w:sz="8" w:space="0" w:color="000000"/>
        </w:pBdr>
        <w:spacing w:after="3" w:line="226" w:lineRule="auto"/>
        <w:ind w:right="120" w:hanging="167"/>
        <w:jc w:val="both"/>
      </w:pPr>
      <w:r>
        <w:rPr>
          <w:rFonts w:ascii="Arial" w:eastAsia="Arial" w:hAnsi="Arial" w:cs="Arial"/>
          <w:sz w:val="18"/>
        </w:rPr>
        <w:t xml:space="preserve">ogni altro atto per il quale la legge ne preveda l’autonoma </w:t>
      </w:r>
      <w:proofErr w:type="spellStart"/>
      <w:r>
        <w:rPr>
          <w:rFonts w:ascii="Arial" w:eastAsia="Arial" w:hAnsi="Arial" w:cs="Arial"/>
          <w:sz w:val="18"/>
        </w:rPr>
        <w:t>impugnabilitàdavanti</w:t>
      </w:r>
      <w:proofErr w:type="spellEnd"/>
      <w:r>
        <w:rPr>
          <w:rFonts w:ascii="Arial" w:eastAsia="Arial" w:hAnsi="Arial" w:cs="Arial"/>
          <w:sz w:val="18"/>
        </w:rPr>
        <w:t xml:space="preserve"> alle corti di giustizia tributaria di primo e secondo grado.</w:t>
      </w:r>
    </w:p>
    <w:p w14:paraId="2F80D3BB" w14:textId="77777777" w:rsidR="00B32EF2" w:rsidRDefault="00000000">
      <w:pPr>
        <w:numPr>
          <w:ilvl w:val="0"/>
          <w:numId w:val="48"/>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Gli atti espressi di cui al comma 1 devono contenere l’indicazione </w:t>
      </w:r>
      <w:proofErr w:type="spellStart"/>
      <w:r>
        <w:rPr>
          <w:rFonts w:ascii="Arial" w:eastAsia="Arial" w:hAnsi="Arial" w:cs="Arial"/>
          <w:sz w:val="18"/>
        </w:rPr>
        <w:t>deltermine</w:t>
      </w:r>
      <w:proofErr w:type="spellEnd"/>
      <w:r>
        <w:rPr>
          <w:rFonts w:ascii="Arial" w:eastAsia="Arial" w:hAnsi="Arial" w:cs="Arial"/>
          <w:sz w:val="18"/>
        </w:rPr>
        <w:t xml:space="preserve"> entro il quale il ricorso deve essere proposto e della corte di giustizia tributaria di primo e secondo grado competente, </w:t>
      </w:r>
      <w:proofErr w:type="spellStart"/>
      <w:r>
        <w:rPr>
          <w:rFonts w:ascii="Arial" w:eastAsia="Arial" w:hAnsi="Arial" w:cs="Arial"/>
          <w:sz w:val="18"/>
        </w:rPr>
        <w:t>nonchè</w:t>
      </w:r>
      <w:proofErr w:type="spellEnd"/>
      <w:r>
        <w:rPr>
          <w:rFonts w:ascii="Arial" w:eastAsia="Arial" w:hAnsi="Arial" w:cs="Arial"/>
          <w:sz w:val="18"/>
        </w:rPr>
        <w:t xml:space="preserve"> delle relative forme da osservare ai sensi dell’art. 20.</w:t>
      </w:r>
    </w:p>
    <w:p w14:paraId="7C47887E" w14:textId="77777777" w:rsidR="00B32EF2" w:rsidRDefault="00000000">
      <w:pPr>
        <w:numPr>
          <w:ilvl w:val="0"/>
          <w:numId w:val="48"/>
        </w:numPr>
        <w:pBdr>
          <w:top w:val="single" w:sz="8" w:space="0" w:color="000000"/>
          <w:left w:val="single" w:sz="8" w:space="0" w:color="000000"/>
          <w:bottom w:val="single" w:sz="8" w:space="0" w:color="000000"/>
          <w:right w:val="single" w:sz="8" w:space="0" w:color="000000"/>
        </w:pBdr>
        <w:spacing w:after="317" w:line="226" w:lineRule="auto"/>
        <w:ind w:right="120" w:hanging="10"/>
        <w:jc w:val="both"/>
      </w:pPr>
      <w:r>
        <w:rPr>
          <w:rFonts w:ascii="Arial" w:eastAsia="Arial" w:hAnsi="Arial" w:cs="Arial"/>
          <w:sz w:val="18"/>
        </w:rPr>
        <w:t xml:space="preserve">Gli atti diversi da quelli indicati non sono impugnabili </w:t>
      </w:r>
      <w:proofErr w:type="spellStart"/>
      <w:r>
        <w:rPr>
          <w:rFonts w:ascii="Arial" w:eastAsia="Arial" w:hAnsi="Arial" w:cs="Arial"/>
          <w:sz w:val="18"/>
        </w:rPr>
        <w:t>autonomamente.Ognuno</w:t>
      </w:r>
      <w:proofErr w:type="spellEnd"/>
      <w:r>
        <w:rPr>
          <w:rFonts w:ascii="Arial" w:eastAsia="Arial" w:hAnsi="Arial" w:cs="Arial"/>
          <w:sz w:val="18"/>
        </w:rPr>
        <w:t xml:space="preserve"> degli atti autonomamente impugnabili può essere impugnato solo per vizi propri. La mancata notificazione di atti autonomamente impugnabili, adottati precedentemente all’atto notificato, ne consente l’impugnazione unitamente a quest’ultimo.</w:t>
      </w:r>
    </w:p>
    <w:p w14:paraId="5F4C48A0" w14:textId="77777777" w:rsidR="00B32EF2" w:rsidRDefault="00000000">
      <w:pPr>
        <w:spacing w:after="0" w:line="261" w:lineRule="auto"/>
        <w:ind w:left="12" w:right="3" w:hanging="10"/>
        <w:jc w:val="center"/>
      </w:pPr>
      <w:r>
        <w:rPr>
          <w:rFonts w:ascii="Arial" w:eastAsia="Arial" w:hAnsi="Arial" w:cs="Arial"/>
          <w:b/>
          <w:sz w:val="18"/>
        </w:rPr>
        <w:t>Articolo 19</w:t>
      </w:r>
    </w:p>
    <w:p w14:paraId="0C8B0FE6" w14:textId="77777777" w:rsidR="00B32EF2" w:rsidRDefault="00000000">
      <w:pPr>
        <w:spacing w:after="3" w:line="251" w:lineRule="auto"/>
        <w:ind w:left="2320" w:right="2311" w:hanging="10"/>
        <w:jc w:val="center"/>
      </w:pPr>
      <w:r>
        <w:rPr>
          <w:rFonts w:ascii="Arial" w:eastAsia="Arial" w:hAnsi="Arial" w:cs="Arial"/>
          <w:i/>
          <w:sz w:val="18"/>
        </w:rPr>
        <w:t>(articolo 65 TUGT)</w:t>
      </w:r>
    </w:p>
    <w:p w14:paraId="4DEDA200" w14:textId="77777777" w:rsidR="00B32EF2" w:rsidRDefault="00000000">
      <w:pPr>
        <w:spacing w:after="0" w:line="261" w:lineRule="auto"/>
        <w:ind w:left="12" w:right="2" w:hanging="10"/>
        <w:jc w:val="center"/>
      </w:pPr>
      <w:r>
        <w:rPr>
          <w:rFonts w:ascii="Arial" w:eastAsia="Arial" w:hAnsi="Arial" w:cs="Arial"/>
          <w:b/>
          <w:sz w:val="18"/>
        </w:rPr>
        <w:t>Atti impugnabili e oggetto del ricorso</w:t>
      </w:r>
    </w:p>
    <w:p w14:paraId="306CC3BA" w14:textId="77777777" w:rsidR="00B32EF2" w:rsidRDefault="00000000">
      <w:pPr>
        <w:spacing w:after="4" w:line="254" w:lineRule="auto"/>
        <w:ind w:left="-4" w:right="10" w:hanging="10"/>
        <w:jc w:val="both"/>
      </w:pPr>
      <w:r>
        <w:rPr>
          <w:rFonts w:ascii="Arial" w:eastAsia="Arial" w:hAnsi="Arial" w:cs="Arial"/>
          <w:sz w:val="18"/>
        </w:rPr>
        <w:t>1. Il ricorso può essere proposto avverso:</w:t>
      </w:r>
    </w:p>
    <w:p w14:paraId="579D755C" w14:textId="77777777" w:rsidR="00B32EF2" w:rsidRDefault="00000000">
      <w:pPr>
        <w:numPr>
          <w:ilvl w:val="0"/>
          <w:numId w:val="49"/>
        </w:numPr>
        <w:spacing w:after="4" w:line="254" w:lineRule="auto"/>
        <w:ind w:right="10" w:hanging="208"/>
        <w:jc w:val="both"/>
      </w:pPr>
      <w:r>
        <w:rPr>
          <w:rFonts w:ascii="Arial" w:eastAsia="Arial" w:hAnsi="Arial" w:cs="Arial"/>
          <w:sz w:val="18"/>
        </w:rPr>
        <w:t>l’avviso di accertamento del tributo;</w:t>
      </w:r>
    </w:p>
    <w:p w14:paraId="4EAC2C81" w14:textId="77777777" w:rsidR="00B32EF2" w:rsidRDefault="00000000">
      <w:pPr>
        <w:numPr>
          <w:ilvl w:val="0"/>
          <w:numId w:val="49"/>
        </w:numPr>
        <w:spacing w:after="4" w:line="254" w:lineRule="auto"/>
        <w:ind w:right="10" w:hanging="208"/>
        <w:jc w:val="both"/>
      </w:pPr>
      <w:r>
        <w:rPr>
          <w:rFonts w:ascii="Arial" w:eastAsia="Arial" w:hAnsi="Arial" w:cs="Arial"/>
          <w:sz w:val="18"/>
        </w:rPr>
        <w:lastRenderedPageBreak/>
        <w:t>l’avviso di liquidazione del tributo;</w:t>
      </w:r>
    </w:p>
    <w:p w14:paraId="3E3421C9" w14:textId="77777777" w:rsidR="00B32EF2" w:rsidRDefault="00000000">
      <w:pPr>
        <w:numPr>
          <w:ilvl w:val="0"/>
          <w:numId w:val="49"/>
        </w:numPr>
        <w:spacing w:after="4" w:line="254" w:lineRule="auto"/>
        <w:ind w:right="10" w:hanging="208"/>
        <w:jc w:val="both"/>
      </w:pPr>
      <w:r>
        <w:rPr>
          <w:rFonts w:ascii="Arial" w:eastAsia="Arial" w:hAnsi="Arial" w:cs="Arial"/>
          <w:sz w:val="18"/>
        </w:rPr>
        <w:t>il provvedimento che irroga le sanzioni;</w:t>
      </w:r>
    </w:p>
    <w:p w14:paraId="7100FC73" w14:textId="77777777" w:rsidR="00B32EF2" w:rsidRDefault="00000000">
      <w:pPr>
        <w:numPr>
          <w:ilvl w:val="0"/>
          <w:numId w:val="49"/>
        </w:numPr>
        <w:spacing w:after="4" w:line="254" w:lineRule="auto"/>
        <w:ind w:right="10" w:hanging="208"/>
        <w:jc w:val="both"/>
      </w:pPr>
      <w:r>
        <w:rPr>
          <w:rFonts w:ascii="Arial" w:eastAsia="Arial" w:hAnsi="Arial" w:cs="Arial"/>
          <w:sz w:val="18"/>
        </w:rPr>
        <w:t>il ruolo e la cartella di pagamento;</w:t>
      </w:r>
    </w:p>
    <w:p w14:paraId="4DE1BF36" w14:textId="77777777" w:rsidR="00B32EF2" w:rsidRDefault="00000000">
      <w:pPr>
        <w:numPr>
          <w:ilvl w:val="0"/>
          <w:numId w:val="49"/>
        </w:numPr>
        <w:spacing w:after="4" w:line="254" w:lineRule="auto"/>
        <w:ind w:right="10" w:hanging="208"/>
        <w:jc w:val="both"/>
      </w:pPr>
      <w:r>
        <w:rPr>
          <w:rFonts w:ascii="Arial" w:eastAsia="Arial" w:hAnsi="Arial" w:cs="Arial"/>
          <w:sz w:val="18"/>
        </w:rPr>
        <w:t>l’avviso di mora;</w:t>
      </w:r>
    </w:p>
    <w:p w14:paraId="68716922" w14:textId="77777777" w:rsidR="00B32EF2" w:rsidRDefault="00000000">
      <w:pPr>
        <w:spacing w:after="4" w:line="254" w:lineRule="auto"/>
        <w:ind w:left="-4" w:right="10" w:hanging="10"/>
        <w:jc w:val="both"/>
      </w:pPr>
      <w:r>
        <w:rPr>
          <w:rFonts w:ascii="Arial" w:eastAsia="Arial" w:hAnsi="Arial" w:cs="Arial"/>
          <w:sz w:val="18"/>
        </w:rPr>
        <w:t>e-bis) l’iscrizione di ipoteca sugli immobili di cui all’articolo 77 del decreto del Presidente della Repubblica 29 settembre 1973, n. 602, e successive modificazioni;</w:t>
      </w:r>
    </w:p>
    <w:p w14:paraId="61DB3A7B" w14:textId="77777777" w:rsidR="00B32EF2" w:rsidRDefault="00000000">
      <w:pPr>
        <w:spacing w:after="4" w:line="254" w:lineRule="auto"/>
        <w:ind w:left="-4" w:right="10" w:hanging="10"/>
        <w:jc w:val="both"/>
      </w:pPr>
      <w:r>
        <w:rPr>
          <w:rFonts w:ascii="Arial" w:eastAsia="Arial" w:hAnsi="Arial" w:cs="Arial"/>
          <w:sz w:val="18"/>
        </w:rPr>
        <w:t>e-ter) il fermo di beni mobili registrati di cui all’articolo 86 del decreto del Presidente della Repubblica 29 settembre 1973, n. 602, e successive modificazioni;</w:t>
      </w:r>
    </w:p>
    <w:p w14:paraId="325F6790" w14:textId="77777777" w:rsidR="00B32EF2" w:rsidRDefault="00000000">
      <w:pPr>
        <w:numPr>
          <w:ilvl w:val="0"/>
          <w:numId w:val="49"/>
        </w:numPr>
        <w:spacing w:after="4" w:line="254" w:lineRule="auto"/>
        <w:ind w:right="10" w:hanging="208"/>
        <w:jc w:val="both"/>
      </w:pPr>
      <w:r>
        <w:rPr>
          <w:rFonts w:ascii="Arial" w:eastAsia="Arial" w:hAnsi="Arial" w:cs="Arial"/>
          <w:sz w:val="18"/>
        </w:rPr>
        <w:t>gli atti relativi alle operazioni catastali indicate nell’art. 2, comma 2;</w:t>
      </w:r>
    </w:p>
    <w:p w14:paraId="1114C1DA" w14:textId="77777777" w:rsidR="00B32EF2" w:rsidRDefault="00000000">
      <w:pPr>
        <w:numPr>
          <w:ilvl w:val="0"/>
          <w:numId w:val="49"/>
        </w:numPr>
        <w:spacing w:after="4" w:line="254" w:lineRule="auto"/>
        <w:ind w:right="10" w:hanging="208"/>
        <w:jc w:val="both"/>
      </w:pPr>
      <w:r>
        <w:rPr>
          <w:rFonts w:ascii="Arial" w:eastAsia="Arial" w:hAnsi="Arial" w:cs="Arial"/>
          <w:sz w:val="18"/>
        </w:rPr>
        <w:t xml:space="preserve">il rifiuto espresso o tacito della restituzione di tributi, sanzioni pecuniarie </w:t>
      </w:r>
      <w:proofErr w:type="spellStart"/>
      <w:r>
        <w:rPr>
          <w:rFonts w:ascii="Arial" w:eastAsia="Arial" w:hAnsi="Arial" w:cs="Arial"/>
          <w:sz w:val="18"/>
        </w:rPr>
        <w:t>edinteressi</w:t>
      </w:r>
      <w:proofErr w:type="spellEnd"/>
      <w:r>
        <w:rPr>
          <w:rFonts w:ascii="Arial" w:eastAsia="Arial" w:hAnsi="Arial" w:cs="Arial"/>
          <w:sz w:val="18"/>
        </w:rPr>
        <w:t xml:space="preserve"> o altri accessori non dovuti;</w:t>
      </w:r>
    </w:p>
    <w:p w14:paraId="645D870F" w14:textId="77777777" w:rsidR="00B32EF2" w:rsidRDefault="00000000">
      <w:pPr>
        <w:spacing w:after="4" w:line="254" w:lineRule="auto"/>
        <w:ind w:left="-4" w:right="10" w:hanging="10"/>
        <w:jc w:val="both"/>
      </w:pPr>
      <w:r>
        <w:rPr>
          <w:rFonts w:ascii="Arial" w:eastAsia="Arial" w:hAnsi="Arial" w:cs="Arial"/>
          <w:sz w:val="18"/>
        </w:rPr>
        <w:t>g-bis) il rifiuto espresso o tacito sull’istanza di autotutela nei casi previsti dall’articolo 10-quater della legge 27 luglio 2000, n. 212;</w:t>
      </w:r>
    </w:p>
    <w:p w14:paraId="7313337F" w14:textId="77777777" w:rsidR="00B32EF2" w:rsidRDefault="00000000">
      <w:pPr>
        <w:spacing w:after="4" w:line="254" w:lineRule="auto"/>
        <w:ind w:left="-4" w:right="10" w:hanging="10"/>
        <w:jc w:val="both"/>
      </w:pPr>
      <w:r>
        <w:rPr>
          <w:rFonts w:ascii="Arial" w:eastAsia="Arial" w:hAnsi="Arial" w:cs="Arial"/>
          <w:sz w:val="18"/>
        </w:rPr>
        <w:t>g-ter) il rifiuto espresso sull’istanza di autotutela nei casi previsti dall’articolo</w:t>
      </w:r>
    </w:p>
    <w:p w14:paraId="42AB824D" w14:textId="77777777" w:rsidR="00B32EF2" w:rsidRDefault="00000000">
      <w:pPr>
        <w:spacing w:after="4" w:line="254" w:lineRule="auto"/>
        <w:ind w:left="-4" w:right="10" w:hanging="10"/>
        <w:jc w:val="both"/>
      </w:pPr>
      <w:r>
        <w:rPr>
          <w:rFonts w:ascii="Arial" w:eastAsia="Arial" w:hAnsi="Arial" w:cs="Arial"/>
          <w:sz w:val="18"/>
        </w:rPr>
        <w:t>10-quinquies della legge 27 luglio 2000, n. 212;</w:t>
      </w:r>
    </w:p>
    <w:p w14:paraId="48B2A4DB" w14:textId="77777777" w:rsidR="00B32EF2" w:rsidRDefault="00000000">
      <w:pPr>
        <w:numPr>
          <w:ilvl w:val="0"/>
          <w:numId w:val="49"/>
        </w:numPr>
        <w:spacing w:after="4" w:line="254" w:lineRule="auto"/>
        <w:ind w:right="10" w:hanging="208"/>
        <w:jc w:val="both"/>
      </w:pPr>
      <w:r>
        <w:rPr>
          <w:rFonts w:ascii="Arial" w:eastAsia="Arial" w:hAnsi="Arial" w:cs="Arial"/>
          <w:sz w:val="18"/>
        </w:rPr>
        <w:t xml:space="preserve">il diniego o la revoca di agevolazioni o il rigetto di domande di </w:t>
      </w:r>
      <w:proofErr w:type="spellStart"/>
      <w:r>
        <w:rPr>
          <w:rFonts w:ascii="Arial" w:eastAsia="Arial" w:hAnsi="Arial" w:cs="Arial"/>
          <w:sz w:val="18"/>
        </w:rPr>
        <w:t>definizioneagevolata</w:t>
      </w:r>
      <w:proofErr w:type="spellEnd"/>
      <w:r>
        <w:rPr>
          <w:rFonts w:ascii="Arial" w:eastAsia="Arial" w:hAnsi="Arial" w:cs="Arial"/>
          <w:sz w:val="18"/>
        </w:rPr>
        <w:t xml:space="preserve"> di rapporti tributari;</w:t>
      </w:r>
    </w:p>
    <w:p w14:paraId="086B3A15" w14:textId="77777777" w:rsidR="00B32EF2" w:rsidRDefault="00000000">
      <w:pPr>
        <w:spacing w:after="4" w:line="254" w:lineRule="auto"/>
        <w:ind w:left="-4" w:right="10" w:hanging="10"/>
        <w:jc w:val="both"/>
      </w:pPr>
      <w:r>
        <w:rPr>
          <w:rFonts w:ascii="Arial" w:eastAsia="Arial" w:hAnsi="Arial" w:cs="Arial"/>
          <w:sz w:val="18"/>
        </w:rPr>
        <w:t>h-bis) la decisione di rigetto dell’istanza di apertura di procedura amichevole presentata ai sensi della direttiva (UE) 2017/1852 del Consiglio del 10 ottobre 2017 o ai sensi degli Accordi e delle Convenzioni internazionali per evitare le doppie imposizioni di cui l’Italia è parte ovvero ai sensi della Convenzione relativa all’eliminazione delle doppie imposizioni in caso di rettifica degli utili di imprese associate n. 90/436/CEE;</w:t>
      </w:r>
    </w:p>
    <w:p w14:paraId="149FE6E9" w14:textId="77777777" w:rsidR="00B32EF2" w:rsidRDefault="00000000">
      <w:pPr>
        <w:numPr>
          <w:ilvl w:val="0"/>
          <w:numId w:val="49"/>
        </w:numPr>
        <w:spacing w:after="4" w:line="254" w:lineRule="auto"/>
        <w:ind w:right="10" w:hanging="208"/>
        <w:jc w:val="both"/>
      </w:pPr>
      <w:r>
        <w:rPr>
          <w:rFonts w:ascii="Arial" w:eastAsia="Arial" w:hAnsi="Arial" w:cs="Arial"/>
          <w:sz w:val="18"/>
        </w:rPr>
        <w:t xml:space="preserve">ogni altro atto per il quale la legge ne preveda l’autonoma </w:t>
      </w:r>
      <w:proofErr w:type="spellStart"/>
      <w:r>
        <w:rPr>
          <w:rFonts w:ascii="Arial" w:eastAsia="Arial" w:hAnsi="Arial" w:cs="Arial"/>
          <w:sz w:val="18"/>
        </w:rPr>
        <w:t>impugnabilitàdavanti</w:t>
      </w:r>
      <w:proofErr w:type="spellEnd"/>
      <w:r>
        <w:rPr>
          <w:rFonts w:ascii="Arial" w:eastAsia="Arial" w:hAnsi="Arial" w:cs="Arial"/>
          <w:sz w:val="18"/>
        </w:rPr>
        <w:t xml:space="preserve"> alle corti di giustizia tributaria di primo e secondo grado.</w:t>
      </w:r>
    </w:p>
    <w:p w14:paraId="556A43B9" w14:textId="77777777" w:rsidR="00B32EF2" w:rsidRDefault="00000000">
      <w:pPr>
        <w:numPr>
          <w:ilvl w:val="0"/>
          <w:numId w:val="50"/>
        </w:numPr>
        <w:spacing w:after="4" w:line="254" w:lineRule="auto"/>
        <w:ind w:right="10" w:hanging="10"/>
        <w:jc w:val="both"/>
      </w:pPr>
      <w:r>
        <w:rPr>
          <w:rFonts w:ascii="Arial" w:eastAsia="Arial" w:hAnsi="Arial" w:cs="Arial"/>
          <w:sz w:val="18"/>
        </w:rPr>
        <w:t xml:space="preserve">Gli atti espressi di cui al comma 1 devono contenere l’indicazione </w:t>
      </w:r>
      <w:proofErr w:type="spellStart"/>
      <w:r>
        <w:rPr>
          <w:rFonts w:ascii="Arial" w:eastAsia="Arial" w:hAnsi="Arial" w:cs="Arial"/>
          <w:sz w:val="18"/>
        </w:rPr>
        <w:t>deltermine</w:t>
      </w:r>
      <w:proofErr w:type="spellEnd"/>
      <w:r>
        <w:rPr>
          <w:rFonts w:ascii="Arial" w:eastAsia="Arial" w:hAnsi="Arial" w:cs="Arial"/>
          <w:sz w:val="18"/>
        </w:rPr>
        <w:t xml:space="preserve"> entro il quale il ricorso deve essere proposto e della corte di giustizia tributaria di primo e secondo grado competente, </w:t>
      </w:r>
      <w:proofErr w:type="spellStart"/>
      <w:r>
        <w:rPr>
          <w:rFonts w:ascii="Arial" w:eastAsia="Arial" w:hAnsi="Arial" w:cs="Arial"/>
          <w:sz w:val="18"/>
        </w:rPr>
        <w:t>nonchè</w:t>
      </w:r>
      <w:proofErr w:type="spellEnd"/>
      <w:r>
        <w:rPr>
          <w:rFonts w:ascii="Arial" w:eastAsia="Arial" w:hAnsi="Arial" w:cs="Arial"/>
          <w:sz w:val="18"/>
        </w:rPr>
        <w:t xml:space="preserve"> delle relative forme da osservare ai sensi dell’art. 20.</w:t>
      </w:r>
    </w:p>
    <w:p w14:paraId="68B4EA32" w14:textId="77777777" w:rsidR="00B32EF2" w:rsidRDefault="00000000">
      <w:pPr>
        <w:numPr>
          <w:ilvl w:val="0"/>
          <w:numId w:val="50"/>
        </w:numPr>
        <w:spacing w:after="4" w:line="254" w:lineRule="auto"/>
        <w:ind w:right="10" w:hanging="10"/>
        <w:jc w:val="both"/>
      </w:pPr>
      <w:r>
        <w:rPr>
          <w:rFonts w:ascii="Arial" w:eastAsia="Arial" w:hAnsi="Arial" w:cs="Arial"/>
          <w:sz w:val="18"/>
        </w:rPr>
        <w:t xml:space="preserve">Gli atti diversi da quelli indicati non sono impugnabili </w:t>
      </w:r>
      <w:proofErr w:type="spellStart"/>
      <w:r>
        <w:rPr>
          <w:rFonts w:ascii="Arial" w:eastAsia="Arial" w:hAnsi="Arial" w:cs="Arial"/>
          <w:sz w:val="18"/>
        </w:rPr>
        <w:t>autonomamente.Ognuno</w:t>
      </w:r>
      <w:proofErr w:type="spellEnd"/>
      <w:r>
        <w:rPr>
          <w:rFonts w:ascii="Arial" w:eastAsia="Arial" w:hAnsi="Arial" w:cs="Arial"/>
          <w:sz w:val="18"/>
        </w:rPr>
        <w:t xml:space="preserve"> degli atti autonomamente impugnabili può essere impugnato solo per vizi propri. La mancata notificazione di atti autonomamente impugnabili, adottati precedentemente all’atto notificato, ne consente l’impugnazione unitamente a quest’ultimo.</w:t>
      </w:r>
    </w:p>
    <w:tbl>
      <w:tblPr>
        <w:tblStyle w:val="TableGrid"/>
        <w:tblW w:w="6236" w:type="dxa"/>
        <w:tblInd w:w="11" w:type="dxa"/>
        <w:tblCellMar>
          <w:top w:w="0" w:type="dxa"/>
          <w:left w:w="123" w:type="dxa"/>
          <w:bottom w:w="0" w:type="dxa"/>
          <w:right w:w="123" w:type="dxa"/>
        </w:tblCellMar>
        <w:tblLook w:val="04A0" w:firstRow="1" w:lastRow="0" w:firstColumn="1" w:lastColumn="0" w:noHBand="0" w:noVBand="1"/>
      </w:tblPr>
      <w:tblGrid>
        <w:gridCol w:w="6236"/>
      </w:tblGrid>
      <w:tr w:rsidR="00B32EF2" w14:paraId="055973EF" w14:textId="77777777">
        <w:trPr>
          <w:trHeight w:val="2653"/>
        </w:trPr>
        <w:tc>
          <w:tcPr>
            <w:tcW w:w="6236" w:type="dxa"/>
            <w:tcBorders>
              <w:top w:val="single" w:sz="8" w:space="0" w:color="000000"/>
              <w:left w:val="single" w:sz="8" w:space="0" w:color="000000"/>
              <w:bottom w:val="single" w:sz="8" w:space="0" w:color="000000"/>
              <w:right w:val="single" w:sz="8" w:space="0" w:color="000000"/>
            </w:tcBorders>
            <w:shd w:val="clear" w:color="auto" w:fill="C3C3C3"/>
            <w:vAlign w:val="center"/>
          </w:tcPr>
          <w:p w14:paraId="7F895FC5" w14:textId="77777777" w:rsidR="00B32EF2" w:rsidRDefault="00000000">
            <w:pPr>
              <w:spacing w:after="0"/>
            </w:pPr>
            <w:r>
              <w:rPr>
                <w:rFonts w:ascii="Arial" w:eastAsia="Arial" w:hAnsi="Arial" w:cs="Arial"/>
                <w:b/>
                <w:i/>
                <w:sz w:val="18"/>
              </w:rPr>
              <w:lastRenderedPageBreak/>
              <w:t>NORME RICHIAMATE</w:t>
            </w:r>
          </w:p>
          <w:p w14:paraId="542C0013" w14:textId="77777777" w:rsidR="00B32EF2" w:rsidRDefault="00000000">
            <w:pPr>
              <w:spacing w:after="0" w:line="250" w:lineRule="auto"/>
              <w:ind w:right="1726"/>
            </w:pPr>
            <w:r>
              <w:rPr>
                <w:rFonts w:ascii="Arial" w:eastAsia="Arial" w:hAnsi="Arial" w:cs="Arial"/>
                <w:i/>
                <w:sz w:val="18"/>
              </w:rPr>
              <w:t xml:space="preserve">art. 77 dpr. 602/1973 “Iscrizione di ipoteca” art. 86 dpr. 602/1973 “Fermo di beni mobili registrati” </w:t>
            </w:r>
          </w:p>
          <w:p w14:paraId="370BCE51" w14:textId="77777777" w:rsidR="00B32EF2" w:rsidRDefault="00000000">
            <w:pPr>
              <w:spacing w:after="0" w:line="250" w:lineRule="auto"/>
              <w:jc w:val="both"/>
            </w:pPr>
            <w:r>
              <w:rPr>
                <w:rFonts w:ascii="Arial" w:eastAsia="Arial" w:hAnsi="Arial" w:cs="Arial"/>
                <w:i/>
                <w:sz w:val="18"/>
              </w:rPr>
              <w:t>art. 10-quater L. 212/2000 “Esercizio del potere di autotutela obbligatoria” 1.L’amministrazione finanziaria procede in tutto o in parte all’annullamento di atti di imposizione ovvero alla rinuncia all’imposizione, senza necessità di istanza di parte, anche in pendenza di giudizio o in caso di atti definitivi, nei seguenti casi di manifesta illegittimità dell’atto o dell’imposizione: a) errore di persona;</w:t>
            </w:r>
          </w:p>
          <w:p w14:paraId="5AF6C51A" w14:textId="77777777" w:rsidR="00B32EF2" w:rsidRDefault="00000000">
            <w:pPr>
              <w:numPr>
                <w:ilvl w:val="0"/>
                <w:numId w:val="207"/>
              </w:numPr>
              <w:spacing w:after="0"/>
              <w:ind w:hanging="206"/>
            </w:pPr>
            <w:r>
              <w:rPr>
                <w:rFonts w:ascii="Arial" w:eastAsia="Arial" w:hAnsi="Arial" w:cs="Arial"/>
                <w:i/>
                <w:sz w:val="18"/>
              </w:rPr>
              <w:t>errore di calcolo;</w:t>
            </w:r>
          </w:p>
          <w:p w14:paraId="47F461D1" w14:textId="77777777" w:rsidR="00B32EF2" w:rsidRDefault="00000000">
            <w:pPr>
              <w:numPr>
                <w:ilvl w:val="0"/>
                <w:numId w:val="207"/>
              </w:numPr>
              <w:spacing w:after="0"/>
              <w:ind w:hanging="206"/>
            </w:pPr>
            <w:r>
              <w:rPr>
                <w:rFonts w:ascii="Arial" w:eastAsia="Arial" w:hAnsi="Arial" w:cs="Arial"/>
                <w:i/>
                <w:sz w:val="18"/>
              </w:rPr>
              <w:t>errore sull’individuazione del tributo;</w:t>
            </w:r>
          </w:p>
        </w:tc>
      </w:tr>
    </w:tbl>
    <w:p w14:paraId="53C1459B" w14:textId="77777777" w:rsidR="00B32EF2" w:rsidRDefault="00000000">
      <w:pPr>
        <w:numPr>
          <w:ilvl w:val="0"/>
          <w:numId w:val="51"/>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00"/>
        <w:jc w:val="both"/>
      </w:pPr>
      <w:r>
        <w:rPr>
          <w:rFonts w:ascii="Arial" w:eastAsia="Arial" w:hAnsi="Arial" w:cs="Arial"/>
          <w:i/>
          <w:sz w:val="18"/>
        </w:rPr>
        <w:t>errore materiale del contribuente, facilmente riconoscibile dall’amministrazione finanziaria;</w:t>
      </w:r>
    </w:p>
    <w:p w14:paraId="38982479" w14:textId="77777777" w:rsidR="00B32EF2" w:rsidRDefault="00000000">
      <w:pPr>
        <w:numPr>
          <w:ilvl w:val="0"/>
          <w:numId w:val="51"/>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00"/>
        <w:jc w:val="both"/>
      </w:pPr>
      <w:r>
        <w:rPr>
          <w:rFonts w:ascii="Arial" w:eastAsia="Arial" w:hAnsi="Arial" w:cs="Arial"/>
          <w:i/>
          <w:sz w:val="18"/>
        </w:rPr>
        <w:t>errore sul presupposto d’imposta;</w:t>
      </w:r>
    </w:p>
    <w:p w14:paraId="3FBC15A4" w14:textId="77777777" w:rsidR="00B32EF2" w:rsidRDefault="00000000">
      <w:pPr>
        <w:numPr>
          <w:ilvl w:val="0"/>
          <w:numId w:val="51"/>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00"/>
        <w:jc w:val="both"/>
      </w:pPr>
      <w:r>
        <w:rPr>
          <w:rFonts w:ascii="Arial" w:eastAsia="Arial" w:hAnsi="Arial" w:cs="Arial"/>
          <w:i/>
          <w:sz w:val="18"/>
        </w:rPr>
        <w:t>mancata considerazione di pagamenti di imposta regolarmente eseguiti;</w:t>
      </w:r>
    </w:p>
    <w:p w14:paraId="2D970CB2" w14:textId="77777777" w:rsidR="00B32EF2" w:rsidRDefault="00000000">
      <w:pPr>
        <w:numPr>
          <w:ilvl w:val="0"/>
          <w:numId w:val="51"/>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00"/>
        <w:jc w:val="both"/>
      </w:pPr>
      <w:r>
        <w:rPr>
          <w:rFonts w:ascii="Arial" w:eastAsia="Arial" w:hAnsi="Arial" w:cs="Arial"/>
          <w:i/>
          <w:sz w:val="18"/>
        </w:rPr>
        <w:t xml:space="preserve">mancanza di documentazione successivamente sanata, non oltre i </w:t>
      </w:r>
      <w:proofErr w:type="spellStart"/>
      <w:r>
        <w:rPr>
          <w:rFonts w:ascii="Arial" w:eastAsia="Arial" w:hAnsi="Arial" w:cs="Arial"/>
          <w:i/>
          <w:sz w:val="18"/>
        </w:rPr>
        <w:t>terminiove</w:t>
      </w:r>
      <w:proofErr w:type="spellEnd"/>
      <w:r>
        <w:rPr>
          <w:rFonts w:ascii="Arial" w:eastAsia="Arial" w:hAnsi="Arial" w:cs="Arial"/>
          <w:i/>
          <w:sz w:val="18"/>
        </w:rPr>
        <w:t xml:space="preserve"> previsti a pena di decadenza.</w:t>
      </w:r>
    </w:p>
    <w:p w14:paraId="16CED385" w14:textId="77777777" w:rsidR="00B32EF2" w:rsidRDefault="00000000">
      <w:pPr>
        <w:numPr>
          <w:ilvl w:val="0"/>
          <w:numId w:val="52"/>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L’obbligo di cui al comma 1 non sussiste in caso di sentenza passata ingiudicato favorevole all’amministrazione finanziaria, </w:t>
      </w:r>
      <w:proofErr w:type="spellStart"/>
      <w:r>
        <w:rPr>
          <w:rFonts w:ascii="Arial" w:eastAsia="Arial" w:hAnsi="Arial" w:cs="Arial"/>
          <w:i/>
          <w:sz w:val="18"/>
        </w:rPr>
        <w:t>nonchè</w:t>
      </w:r>
      <w:proofErr w:type="spellEnd"/>
      <w:r>
        <w:rPr>
          <w:rFonts w:ascii="Arial" w:eastAsia="Arial" w:hAnsi="Arial" w:cs="Arial"/>
          <w:i/>
          <w:sz w:val="18"/>
        </w:rPr>
        <w:t xml:space="preserve"> decorso un anno dalla definitività dell’atto viziato per mancata impugnazione.</w:t>
      </w:r>
    </w:p>
    <w:p w14:paraId="17955A67" w14:textId="77777777" w:rsidR="00B32EF2" w:rsidRDefault="00000000">
      <w:pPr>
        <w:numPr>
          <w:ilvl w:val="0"/>
          <w:numId w:val="52"/>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Con riguardo alle valutazioni di fatto operate dall’amministrazione </w:t>
      </w:r>
      <w:proofErr w:type="spellStart"/>
      <w:r>
        <w:rPr>
          <w:rFonts w:ascii="Arial" w:eastAsia="Arial" w:hAnsi="Arial" w:cs="Arial"/>
          <w:i/>
          <w:sz w:val="18"/>
        </w:rPr>
        <w:t>finanziariaai</w:t>
      </w:r>
      <w:proofErr w:type="spellEnd"/>
      <w:r>
        <w:rPr>
          <w:rFonts w:ascii="Arial" w:eastAsia="Arial" w:hAnsi="Arial" w:cs="Arial"/>
          <w:i/>
          <w:sz w:val="18"/>
        </w:rPr>
        <w:t xml:space="preserve"> fini del presente articolo, in caso di avvenuto esercizio dell’autotutela, la responsabilità di cui all’articolo 1, comma 1, della legge 14 gennaio 1994, n. 20, e successive modificazioni, è limitata alle ipotesi di dolo.</w:t>
      </w:r>
    </w:p>
    <w:p w14:paraId="57B9E706"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art. 10-quinquies L. 212/2000 “Esercizio del potere di autotutela facoltativa” 1. Fuori dei casi di cui all’articolo 10-quater, l’amministrazione finanziaria può comunque procedere all’annullamento, in tutto o in parte, di atti di imposizione, ovvero alla rinuncia all’imposizione, senza necessità di istanza di parte, anche in pendenza di giudizio o in caso di atti definitivi, in presenza di una illegittimità o dell’infondatezza dell’atto o dell’imposizione.</w:t>
      </w:r>
    </w:p>
    <w:p w14:paraId="11E0C792"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2. Si applica il comma 3 dell’articolo 10-quater.</w:t>
      </w:r>
    </w:p>
    <w:p w14:paraId="7754DF36"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298" w:line="251" w:lineRule="auto"/>
        <w:ind w:left="129" w:right="120" w:hanging="10"/>
        <w:jc w:val="both"/>
      </w:pPr>
      <w:r>
        <w:rPr>
          <w:rFonts w:ascii="Arial" w:eastAsia="Arial" w:hAnsi="Arial" w:cs="Arial"/>
          <w:i/>
          <w:sz w:val="18"/>
        </w:rPr>
        <w:t>DIRETTIVA (UE) 2017/1852 del Consiglio del 10 ottobre 2017 sui meccanismi di risoluzione delle controversie in materia fiscale nell’Unione europea.</w:t>
      </w:r>
    </w:p>
    <w:p w14:paraId="0E041D25" w14:textId="77777777" w:rsidR="00B32EF2" w:rsidRDefault="00000000">
      <w:pPr>
        <w:spacing w:after="0" w:line="261" w:lineRule="auto"/>
        <w:ind w:left="12" w:right="3" w:hanging="10"/>
        <w:jc w:val="center"/>
      </w:pPr>
      <w:r>
        <w:rPr>
          <w:rFonts w:ascii="Arial" w:eastAsia="Arial" w:hAnsi="Arial" w:cs="Arial"/>
          <w:b/>
          <w:sz w:val="18"/>
        </w:rPr>
        <w:t>Articolo 20</w:t>
      </w:r>
    </w:p>
    <w:p w14:paraId="4EDED81A" w14:textId="77777777" w:rsidR="00B32EF2" w:rsidRDefault="00000000">
      <w:pPr>
        <w:spacing w:after="3" w:line="251" w:lineRule="auto"/>
        <w:ind w:left="2320" w:right="2311" w:hanging="10"/>
        <w:jc w:val="center"/>
      </w:pPr>
      <w:r>
        <w:rPr>
          <w:rFonts w:ascii="Arial" w:eastAsia="Arial" w:hAnsi="Arial" w:cs="Arial"/>
          <w:i/>
          <w:sz w:val="18"/>
        </w:rPr>
        <w:t>(articolo 66 TUGT)</w:t>
      </w:r>
    </w:p>
    <w:p w14:paraId="5615381C" w14:textId="77777777" w:rsidR="00B32EF2" w:rsidRDefault="00000000">
      <w:pPr>
        <w:spacing w:after="0" w:line="261" w:lineRule="auto"/>
        <w:ind w:left="12" w:right="3" w:hanging="10"/>
        <w:jc w:val="center"/>
      </w:pPr>
      <w:r>
        <w:rPr>
          <w:rFonts w:ascii="Arial" w:eastAsia="Arial" w:hAnsi="Arial" w:cs="Arial"/>
          <w:b/>
          <w:sz w:val="18"/>
        </w:rPr>
        <w:t xml:space="preserve">Proposizione del ricorso </w:t>
      </w:r>
    </w:p>
    <w:p w14:paraId="07165BC6" w14:textId="77777777" w:rsidR="00B32EF2" w:rsidRDefault="00000000">
      <w:pPr>
        <w:numPr>
          <w:ilvl w:val="0"/>
          <w:numId w:val="53"/>
        </w:numPr>
        <w:spacing w:after="4" w:line="254" w:lineRule="auto"/>
        <w:ind w:right="10" w:hanging="10"/>
        <w:jc w:val="both"/>
      </w:pPr>
      <w:r>
        <w:rPr>
          <w:rFonts w:ascii="Arial" w:eastAsia="Arial" w:hAnsi="Arial" w:cs="Arial"/>
          <w:sz w:val="18"/>
        </w:rPr>
        <w:t xml:space="preserve">Il ricorso è proposto mediante notifica a norma dei commi 2 e 3 </w:t>
      </w:r>
      <w:proofErr w:type="spellStart"/>
      <w:r>
        <w:rPr>
          <w:rFonts w:ascii="Arial" w:eastAsia="Arial" w:hAnsi="Arial" w:cs="Arial"/>
          <w:sz w:val="18"/>
        </w:rPr>
        <w:t>delprecedente</w:t>
      </w:r>
      <w:proofErr w:type="spellEnd"/>
      <w:r>
        <w:rPr>
          <w:rFonts w:ascii="Arial" w:eastAsia="Arial" w:hAnsi="Arial" w:cs="Arial"/>
          <w:sz w:val="18"/>
        </w:rPr>
        <w:t xml:space="preserve"> art. 16.</w:t>
      </w:r>
    </w:p>
    <w:p w14:paraId="7FCB66FC" w14:textId="77777777" w:rsidR="00B32EF2" w:rsidRDefault="00000000">
      <w:pPr>
        <w:numPr>
          <w:ilvl w:val="0"/>
          <w:numId w:val="53"/>
        </w:numPr>
        <w:spacing w:after="4" w:line="254" w:lineRule="auto"/>
        <w:ind w:right="10" w:hanging="10"/>
        <w:jc w:val="both"/>
      </w:pPr>
      <w:r>
        <w:rPr>
          <w:rFonts w:ascii="Arial" w:eastAsia="Arial" w:hAnsi="Arial" w:cs="Arial"/>
          <w:sz w:val="18"/>
        </w:rPr>
        <w:lastRenderedPageBreak/>
        <w:t xml:space="preserve">La spedizione del ricorso a mezzo posta dev’essere fatta in </w:t>
      </w:r>
      <w:proofErr w:type="spellStart"/>
      <w:r>
        <w:rPr>
          <w:rFonts w:ascii="Arial" w:eastAsia="Arial" w:hAnsi="Arial" w:cs="Arial"/>
          <w:sz w:val="18"/>
        </w:rPr>
        <w:t>plicoraccomandato</w:t>
      </w:r>
      <w:proofErr w:type="spellEnd"/>
      <w:r>
        <w:rPr>
          <w:rFonts w:ascii="Arial" w:eastAsia="Arial" w:hAnsi="Arial" w:cs="Arial"/>
          <w:sz w:val="18"/>
        </w:rPr>
        <w:t xml:space="preserve"> senza busta con avviso di ricevimento. In tal caso il ricorso s’intende proposto al momento della spedizione nelle forme sopra indicate.</w:t>
      </w:r>
    </w:p>
    <w:p w14:paraId="393ACA42" w14:textId="77777777" w:rsidR="00B32EF2" w:rsidRDefault="00000000">
      <w:pPr>
        <w:numPr>
          <w:ilvl w:val="0"/>
          <w:numId w:val="53"/>
        </w:numPr>
        <w:spacing w:after="4" w:line="254" w:lineRule="auto"/>
        <w:ind w:right="10" w:hanging="10"/>
        <w:jc w:val="both"/>
      </w:pPr>
      <w:r>
        <w:rPr>
          <w:rFonts w:ascii="Arial" w:eastAsia="Arial" w:hAnsi="Arial" w:cs="Arial"/>
          <w:sz w:val="18"/>
        </w:rPr>
        <w:t xml:space="preserve">Resta fermo quanto disposto dall’art. 10 del decreto del Presidente </w:t>
      </w:r>
      <w:proofErr w:type="spellStart"/>
      <w:r>
        <w:rPr>
          <w:rFonts w:ascii="Arial" w:eastAsia="Arial" w:hAnsi="Arial" w:cs="Arial"/>
          <w:sz w:val="18"/>
        </w:rPr>
        <w:t>dellaRepubblica</w:t>
      </w:r>
      <w:proofErr w:type="spellEnd"/>
      <w:r>
        <w:rPr>
          <w:rFonts w:ascii="Arial" w:eastAsia="Arial" w:hAnsi="Arial" w:cs="Arial"/>
          <w:sz w:val="18"/>
        </w:rPr>
        <w:t xml:space="preserve"> 28 novembre 1980, n. 787, sui centri di servizio.</w:t>
      </w:r>
    </w:p>
    <w:tbl>
      <w:tblPr>
        <w:tblStyle w:val="TableGrid"/>
        <w:tblW w:w="6236" w:type="dxa"/>
        <w:tblInd w:w="-1" w:type="dxa"/>
        <w:tblCellMar>
          <w:top w:w="0" w:type="dxa"/>
          <w:left w:w="124" w:type="dxa"/>
          <w:bottom w:w="0" w:type="dxa"/>
          <w:right w:w="123" w:type="dxa"/>
        </w:tblCellMar>
        <w:tblLook w:val="04A0" w:firstRow="1" w:lastRow="0" w:firstColumn="1" w:lastColumn="0" w:noHBand="0" w:noVBand="1"/>
      </w:tblPr>
      <w:tblGrid>
        <w:gridCol w:w="6236"/>
      </w:tblGrid>
      <w:tr w:rsidR="00B32EF2" w14:paraId="1A07D87B" w14:textId="77777777">
        <w:trPr>
          <w:trHeight w:val="1539"/>
        </w:trPr>
        <w:tc>
          <w:tcPr>
            <w:tcW w:w="6236" w:type="dxa"/>
            <w:tcBorders>
              <w:top w:val="single" w:sz="8" w:space="0" w:color="000000"/>
              <w:left w:val="single" w:sz="8" w:space="0" w:color="000000"/>
              <w:bottom w:val="single" w:sz="8" w:space="0" w:color="000000"/>
              <w:right w:val="single" w:sz="8" w:space="0" w:color="000000"/>
            </w:tcBorders>
            <w:vAlign w:val="center"/>
          </w:tcPr>
          <w:p w14:paraId="1F6E116F" w14:textId="77777777" w:rsidR="00B32EF2" w:rsidRDefault="00000000">
            <w:pPr>
              <w:spacing w:after="0" w:line="250" w:lineRule="auto"/>
              <w:ind w:left="2518" w:hanging="2206"/>
            </w:pPr>
            <w:r>
              <w:rPr>
                <w:rFonts w:ascii="Arial" w:eastAsia="Arial" w:hAnsi="Arial" w:cs="Arial"/>
                <w:b/>
                <w:sz w:val="18"/>
              </w:rPr>
              <w:t>Per i  giudizi instaurati  con ricorso notificato fino all'1.9.24 Articolo 21</w:t>
            </w:r>
          </w:p>
          <w:p w14:paraId="5C9F7F6D" w14:textId="77777777" w:rsidR="00B32EF2" w:rsidRDefault="00000000">
            <w:pPr>
              <w:spacing w:after="0"/>
              <w:jc w:val="center"/>
            </w:pPr>
            <w:r>
              <w:rPr>
                <w:rFonts w:ascii="Arial" w:eastAsia="Arial" w:hAnsi="Arial" w:cs="Arial"/>
                <w:i/>
                <w:sz w:val="18"/>
              </w:rPr>
              <w:t>(articolo 67 TUGT)</w:t>
            </w:r>
          </w:p>
          <w:p w14:paraId="6DE869F6" w14:textId="77777777" w:rsidR="00B32EF2" w:rsidRDefault="00000000">
            <w:pPr>
              <w:spacing w:after="0"/>
              <w:jc w:val="center"/>
            </w:pPr>
            <w:r>
              <w:rPr>
                <w:rFonts w:ascii="Arial" w:eastAsia="Arial" w:hAnsi="Arial" w:cs="Arial"/>
                <w:b/>
                <w:sz w:val="18"/>
              </w:rPr>
              <w:t xml:space="preserve">Termine per la proposizione del ricorso </w:t>
            </w:r>
          </w:p>
          <w:p w14:paraId="0835FBC1" w14:textId="77777777" w:rsidR="00B32EF2" w:rsidRDefault="00000000">
            <w:pPr>
              <w:spacing w:after="0"/>
              <w:ind w:left="69" w:hanging="69"/>
              <w:jc w:val="both"/>
            </w:pPr>
            <w:r>
              <w:rPr>
                <w:rFonts w:ascii="Arial" w:eastAsia="Arial" w:hAnsi="Arial" w:cs="Arial"/>
                <w:sz w:val="18"/>
              </w:rPr>
              <w:t>1. Il ricorso deve essere proposto a pena di inammissibilità entro sessanta giorni dalla data di notificazione dell’atto   impugnato.   La notificazione</w:t>
            </w:r>
          </w:p>
        </w:tc>
      </w:tr>
    </w:tbl>
    <w:p w14:paraId="3A08B775" w14:textId="77777777" w:rsidR="00B32EF2" w:rsidRDefault="00000000">
      <w:pPr>
        <w:spacing w:after="296" w:line="254" w:lineRule="auto"/>
        <w:ind w:left="144" w:right="114" w:hanging="10"/>
        <w:jc w:val="both"/>
      </w:pPr>
      <w:r>
        <w:rPr>
          <w:noProof/>
        </w:rPr>
        <mc:AlternateContent>
          <mc:Choice Requires="wpg">
            <w:drawing>
              <wp:anchor distT="0" distB="0" distL="114300" distR="114300" simplePos="0" relativeHeight="251659264" behindDoc="1" locked="0" layoutInCell="1" allowOverlap="1" wp14:anchorId="51CDF0D1" wp14:editId="649C6547">
                <wp:simplePos x="0" y="0"/>
                <wp:positionH relativeFrom="column">
                  <wp:posOffset>-50384</wp:posOffset>
                </wp:positionH>
                <wp:positionV relativeFrom="paragraph">
                  <wp:posOffset>-78353</wp:posOffset>
                </wp:positionV>
                <wp:extent cx="4061600" cy="1485224"/>
                <wp:effectExtent l="0" t="0" r="0" b="0"/>
                <wp:wrapNone/>
                <wp:docPr id="180027" name="Group 180027"/>
                <wp:cNvGraphicFramePr/>
                <a:graphic xmlns:a="http://schemas.openxmlformats.org/drawingml/2006/main">
                  <a:graphicData uri="http://schemas.microsoft.com/office/word/2010/wordprocessingGroup">
                    <wpg:wgp>
                      <wpg:cNvGrpSpPr/>
                      <wpg:grpSpPr>
                        <a:xfrm>
                          <a:off x="0" y="0"/>
                          <a:ext cx="4061600" cy="1485224"/>
                          <a:chOff x="0" y="0"/>
                          <a:chExt cx="4061600" cy="1485224"/>
                        </a:xfrm>
                      </wpg:grpSpPr>
                      <wps:wsp>
                        <wps:cNvPr id="4614" name="Shape 4614"/>
                        <wps:cNvSpPr/>
                        <wps:spPr>
                          <a:xfrm>
                            <a:off x="50799" y="1228103"/>
                            <a:ext cx="3960000" cy="107264"/>
                          </a:xfrm>
                          <a:custGeom>
                            <a:avLst/>
                            <a:gdLst/>
                            <a:ahLst/>
                            <a:cxnLst/>
                            <a:rect l="0" t="0" r="0" b="0"/>
                            <a:pathLst>
                              <a:path w="3960000" h="107264">
                                <a:moveTo>
                                  <a:pt x="0" y="107264"/>
                                </a:moveTo>
                                <a:lnTo>
                                  <a:pt x="3960000" y="107264"/>
                                </a:lnTo>
                                <a:lnTo>
                                  <a:pt x="3960000" y="0"/>
                                </a:lnTo>
                                <a:lnTo>
                                  <a:pt x="0" y="0"/>
                                </a:lnTo>
                                <a:close/>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06658" name="Shape 206658"/>
                        <wps:cNvSpPr/>
                        <wps:spPr>
                          <a:xfrm>
                            <a:off x="0" y="1212860"/>
                            <a:ext cx="4061600" cy="272364"/>
                          </a:xfrm>
                          <a:custGeom>
                            <a:avLst/>
                            <a:gdLst/>
                            <a:ahLst/>
                            <a:cxnLst/>
                            <a:rect l="0" t="0" r="0" b="0"/>
                            <a:pathLst>
                              <a:path w="4061600" h="272364">
                                <a:moveTo>
                                  <a:pt x="0" y="0"/>
                                </a:moveTo>
                                <a:lnTo>
                                  <a:pt x="4061600" y="0"/>
                                </a:lnTo>
                                <a:lnTo>
                                  <a:pt x="4061600" y="272364"/>
                                </a:lnTo>
                                <a:lnTo>
                                  <a:pt x="0" y="2723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66" name="Shape 4666"/>
                        <wps:cNvSpPr/>
                        <wps:spPr>
                          <a:xfrm>
                            <a:off x="57149" y="0"/>
                            <a:ext cx="3960000" cy="1340904"/>
                          </a:xfrm>
                          <a:custGeom>
                            <a:avLst/>
                            <a:gdLst/>
                            <a:ahLst/>
                            <a:cxnLst/>
                            <a:rect l="0" t="0" r="0" b="0"/>
                            <a:pathLst>
                              <a:path w="3960000" h="1340904">
                                <a:moveTo>
                                  <a:pt x="0" y="1340904"/>
                                </a:moveTo>
                                <a:lnTo>
                                  <a:pt x="3960000" y="1340904"/>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0027" style="width:319.811pt;height:116.947pt;position:absolute;z-index:-2147483636;mso-position-horizontal-relative:text;mso-position-horizontal:absolute;margin-left:-3.96731pt;mso-position-vertical-relative:text;margin-top:-6.16958pt;" coordsize="40616,14852">
                <v:shape id="Shape 4614" style="position:absolute;width:39600;height:1072;left:507;top:12281;" coordsize="3960000,107264" path="m0,107264l3960000,107264l3960000,0l0,0x">
                  <v:stroke weight="0.5pt" endcap="flat" joinstyle="miter" miterlimit="10" on="true" color="#000000"/>
                  <v:fill on="false" color="#000000" opacity="0"/>
                </v:shape>
                <v:shape id="Shape 206659" style="position:absolute;width:40616;height:2723;left:0;top:12128;" coordsize="4061600,272364" path="m0,0l4061600,0l4061600,272364l0,272364l0,0">
                  <v:stroke weight="0pt" endcap="flat" joinstyle="miter" miterlimit="10" on="false" color="#000000" opacity="0"/>
                  <v:fill on="true" color="#ffffff"/>
                </v:shape>
                <v:shape id="Shape 4666" style="position:absolute;width:39600;height:13409;left:571;top:0;" coordsize="3960000,1340904" path="m0,1340904l3960000,1340904l3960000,0l0,0x">
                  <v:stroke weight="1pt" endcap="flat" joinstyle="miter" miterlimit="4" on="true" color="#000000"/>
                  <v:fill on="false" color="#000000" opacity="0"/>
                </v:shape>
              </v:group>
            </w:pict>
          </mc:Fallback>
        </mc:AlternateContent>
      </w:r>
      <w:r>
        <w:rPr>
          <w:rFonts w:ascii="Arial" w:eastAsia="Arial" w:hAnsi="Arial" w:cs="Arial"/>
          <w:sz w:val="18"/>
        </w:rPr>
        <w:t xml:space="preserve"> della   cartella   di   pagamento   vale  anche  come notificazione del ruolo. 2. Il ricorso avverso il rifiuto tacito della restituzione  di  cui all’art. 19,  comma  1, lettera  g), può essere  proposto  dopo il  novantesimo giorno dalla  domanda di restituzione  presentata   entro    i   termini     previsti da ciascuna  legge  d’imposta e fino a quando il diritto alla restituzione non è  prescritto.  La domanda  di  restituzione, in  mancanza  di  disposizioni specifiche, non può essere presentata dopo due anni dal pagamento, ovvero, se posteriore,  dal  giorno  in  cui  si  è  verificato  il  presupposto  per la restituzione.</w:t>
      </w:r>
    </w:p>
    <w:p w14:paraId="7B72D5FF" w14:textId="77777777" w:rsidR="00B32EF2" w:rsidRDefault="00000000">
      <w:pPr>
        <w:spacing w:after="0" w:line="261" w:lineRule="auto"/>
        <w:ind w:left="12" w:right="3" w:hanging="10"/>
        <w:jc w:val="center"/>
      </w:pPr>
      <w:r>
        <w:rPr>
          <w:rFonts w:ascii="Arial" w:eastAsia="Arial" w:hAnsi="Arial" w:cs="Arial"/>
          <w:b/>
          <w:sz w:val="18"/>
        </w:rPr>
        <w:t>Articolo 21</w:t>
      </w:r>
    </w:p>
    <w:p w14:paraId="7F889750" w14:textId="77777777" w:rsidR="00B32EF2" w:rsidRDefault="00000000">
      <w:pPr>
        <w:spacing w:after="3" w:line="251" w:lineRule="auto"/>
        <w:ind w:left="2320" w:right="2311" w:hanging="10"/>
        <w:jc w:val="center"/>
      </w:pPr>
      <w:r>
        <w:rPr>
          <w:rFonts w:ascii="Arial" w:eastAsia="Arial" w:hAnsi="Arial" w:cs="Arial"/>
          <w:i/>
          <w:sz w:val="18"/>
        </w:rPr>
        <w:t>(articolo 67 TUGT)</w:t>
      </w:r>
    </w:p>
    <w:p w14:paraId="3621C5AF" w14:textId="77777777" w:rsidR="00B32EF2" w:rsidRDefault="00000000">
      <w:pPr>
        <w:spacing w:after="0" w:line="261" w:lineRule="auto"/>
        <w:ind w:left="12" w:right="3" w:hanging="10"/>
        <w:jc w:val="center"/>
      </w:pPr>
      <w:r>
        <w:rPr>
          <w:rFonts w:ascii="Arial" w:eastAsia="Arial" w:hAnsi="Arial" w:cs="Arial"/>
          <w:b/>
          <w:sz w:val="18"/>
        </w:rPr>
        <w:t>Termine per la proposizione del ricorso</w:t>
      </w:r>
    </w:p>
    <w:p w14:paraId="48A99A86" w14:textId="77777777" w:rsidR="00B32EF2" w:rsidRDefault="00000000">
      <w:pPr>
        <w:numPr>
          <w:ilvl w:val="0"/>
          <w:numId w:val="54"/>
        </w:numPr>
        <w:spacing w:after="4" w:line="254" w:lineRule="auto"/>
        <w:ind w:right="10" w:hanging="10"/>
        <w:jc w:val="both"/>
      </w:pPr>
      <w:r>
        <w:rPr>
          <w:rFonts w:ascii="Arial" w:eastAsia="Arial" w:hAnsi="Arial" w:cs="Arial"/>
          <w:sz w:val="18"/>
        </w:rPr>
        <w:t xml:space="preserve">Il ricorso deve essere proposto a pena di inammissibilità entro </w:t>
      </w:r>
      <w:proofErr w:type="spellStart"/>
      <w:r>
        <w:rPr>
          <w:rFonts w:ascii="Arial" w:eastAsia="Arial" w:hAnsi="Arial" w:cs="Arial"/>
          <w:sz w:val="18"/>
        </w:rPr>
        <w:t>sessantagiorni</w:t>
      </w:r>
      <w:proofErr w:type="spellEnd"/>
      <w:r>
        <w:rPr>
          <w:rFonts w:ascii="Arial" w:eastAsia="Arial" w:hAnsi="Arial" w:cs="Arial"/>
          <w:sz w:val="18"/>
        </w:rPr>
        <w:t xml:space="preserve"> dalla data di notificazione dell’atto impugnato. La notificazione della cartella di pagamento vale anche come notificazione del ruolo.</w:t>
      </w:r>
    </w:p>
    <w:p w14:paraId="2D99D941" w14:textId="77777777" w:rsidR="00B32EF2" w:rsidRDefault="00000000">
      <w:pPr>
        <w:numPr>
          <w:ilvl w:val="0"/>
          <w:numId w:val="54"/>
        </w:numPr>
        <w:spacing w:after="213" w:line="254" w:lineRule="auto"/>
        <w:ind w:right="10" w:hanging="10"/>
        <w:jc w:val="both"/>
      </w:pPr>
      <w:r>
        <w:rPr>
          <w:rFonts w:ascii="Arial" w:eastAsia="Arial" w:hAnsi="Arial" w:cs="Arial"/>
          <w:sz w:val="18"/>
        </w:rPr>
        <w:t xml:space="preserve">Il ricorso avverso il rifiuto tacito di cui all’art. 19, comma 1, lettere g) </w:t>
      </w:r>
      <w:proofErr w:type="spellStart"/>
      <w:r>
        <w:rPr>
          <w:rFonts w:ascii="Arial" w:eastAsia="Arial" w:hAnsi="Arial" w:cs="Arial"/>
          <w:sz w:val="18"/>
        </w:rPr>
        <w:t>eg</w:t>
      </w:r>
      <w:proofErr w:type="spellEnd"/>
      <w:r>
        <w:rPr>
          <w:rFonts w:ascii="Arial" w:eastAsia="Arial" w:hAnsi="Arial" w:cs="Arial"/>
          <w:sz w:val="18"/>
        </w:rPr>
        <w:t>-bis) , può essere proposto dopo il novantesimo giorno dalla domanda di restituzione o di autotutela presentata entro i termini previsti da ciascuna legge d’imposta e fino a quando il diritto alla restituzione non è prescritto. La domanda di restituzione, in mancanza di disposizioni specifiche, non può essere presentata dopo due anni dal pagamento, ovvero, se posteriore, dal giorno in cui si è verificato il presupposto per la restituzione.</w:t>
      </w:r>
    </w:p>
    <w:p w14:paraId="02304C89" w14:textId="77777777" w:rsidR="00B32EF2" w:rsidRDefault="00000000">
      <w:pPr>
        <w:spacing w:after="0" w:line="261" w:lineRule="auto"/>
        <w:ind w:left="12" w:right="3" w:hanging="10"/>
        <w:jc w:val="center"/>
      </w:pPr>
      <w:r>
        <w:rPr>
          <w:rFonts w:ascii="Arial" w:eastAsia="Arial" w:hAnsi="Arial" w:cs="Arial"/>
          <w:b/>
          <w:sz w:val="18"/>
        </w:rPr>
        <w:t>Articolo 22</w:t>
      </w:r>
    </w:p>
    <w:p w14:paraId="11F4E6E9" w14:textId="77777777" w:rsidR="00B32EF2" w:rsidRDefault="00000000">
      <w:pPr>
        <w:spacing w:after="3" w:line="251" w:lineRule="auto"/>
        <w:ind w:left="2320" w:right="2311" w:hanging="10"/>
        <w:jc w:val="center"/>
      </w:pPr>
      <w:r>
        <w:rPr>
          <w:rFonts w:ascii="Arial" w:eastAsia="Arial" w:hAnsi="Arial" w:cs="Arial"/>
          <w:i/>
          <w:sz w:val="18"/>
        </w:rPr>
        <w:t>(articolo 68 TUGT)</w:t>
      </w:r>
    </w:p>
    <w:p w14:paraId="7B4B2287" w14:textId="77777777" w:rsidR="00B32EF2" w:rsidRDefault="00000000">
      <w:pPr>
        <w:spacing w:after="0" w:line="261" w:lineRule="auto"/>
        <w:ind w:left="12" w:right="3" w:hanging="10"/>
        <w:jc w:val="center"/>
      </w:pPr>
      <w:r>
        <w:rPr>
          <w:rFonts w:ascii="Arial" w:eastAsia="Arial" w:hAnsi="Arial" w:cs="Arial"/>
          <w:b/>
          <w:sz w:val="18"/>
        </w:rPr>
        <w:t xml:space="preserve">Costituzione in giudizio del ricorrente </w:t>
      </w:r>
    </w:p>
    <w:p w14:paraId="0C789A7E" w14:textId="77777777" w:rsidR="00B32EF2" w:rsidRDefault="00000000">
      <w:pPr>
        <w:numPr>
          <w:ilvl w:val="0"/>
          <w:numId w:val="55"/>
        </w:numPr>
        <w:spacing w:after="4" w:line="254" w:lineRule="auto"/>
        <w:ind w:right="10" w:hanging="10"/>
        <w:jc w:val="both"/>
      </w:pPr>
      <w:r>
        <w:rPr>
          <w:rFonts w:ascii="Arial" w:eastAsia="Arial" w:hAnsi="Arial" w:cs="Arial"/>
          <w:sz w:val="18"/>
        </w:rPr>
        <w:t xml:space="preserve">Il ricorrente, entro trenta giorni dalla proposizione del ricorso, a </w:t>
      </w:r>
      <w:proofErr w:type="spellStart"/>
      <w:r>
        <w:rPr>
          <w:rFonts w:ascii="Arial" w:eastAsia="Arial" w:hAnsi="Arial" w:cs="Arial"/>
          <w:sz w:val="18"/>
        </w:rPr>
        <w:t>penad’inammissibilità</w:t>
      </w:r>
      <w:proofErr w:type="spellEnd"/>
      <w:r>
        <w:rPr>
          <w:rFonts w:ascii="Arial" w:eastAsia="Arial" w:hAnsi="Arial" w:cs="Arial"/>
          <w:sz w:val="18"/>
        </w:rPr>
        <w:t xml:space="preserve"> deposita, nella segreteria della corte di giustizia tributaria di primo e secondo grado adita, o trasmette a mezzo posta, in plico raccomandato senza busta con avviso di ricevimento, l’originale del ricorso </w:t>
      </w:r>
      <w:r>
        <w:rPr>
          <w:rFonts w:ascii="Arial" w:eastAsia="Arial" w:hAnsi="Arial" w:cs="Arial"/>
          <w:sz w:val="18"/>
        </w:rPr>
        <w:lastRenderedPageBreak/>
        <w:t>notificato a norma degli articoli 137 e seguenti del codice di procedura civile ovvero copia del ricorso consegnato o spedito per posta, con fotocopia della ricevuta di deposito o della spedizione per raccomandata a mezzo del servizio postale. All’atto della costituzione in giudizio, il ricorrente deve depositare la nota di iscrizione al ruolo, contenente l’indicazione delle parti, del difensore che si costituisce, dell’atto impugnato, della materia del contendere, del valore della controversia e della data di notificazione del ricorso.</w:t>
      </w:r>
    </w:p>
    <w:p w14:paraId="09CB9A96" w14:textId="77777777" w:rsidR="00B32EF2" w:rsidRDefault="00000000">
      <w:pPr>
        <w:numPr>
          <w:ilvl w:val="0"/>
          <w:numId w:val="55"/>
        </w:numPr>
        <w:spacing w:after="4" w:line="254" w:lineRule="auto"/>
        <w:ind w:right="10" w:hanging="10"/>
        <w:jc w:val="both"/>
      </w:pPr>
      <w:r>
        <w:rPr>
          <w:rFonts w:ascii="Arial" w:eastAsia="Arial" w:hAnsi="Arial" w:cs="Arial"/>
          <w:sz w:val="18"/>
        </w:rPr>
        <w:t xml:space="preserve">L’inammissibilità del ricorso è rilevabile d’ufficio in ogni stato e grado </w:t>
      </w:r>
      <w:proofErr w:type="spellStart"/>
      <w:r>
        <w:rPr>
          <w:rFonts w:ascii="Arial" w:eastAsia="Arial" w:hAnsi="Arial" w:cs="Arial"/>
          <w:sz w:val="18"/>
        </w:rPr>
        <w:t>delgiudizio</w:t>
      </w:r>
      <w:proofErr w:type="spellEnd"/>
      <w:r>
        <w:rPr>
          <w:rFonts w:ascii="Arial" w:eastAsia="Arial" w:hAnsi="Arial" w:cs="Arial"/>
          <w:sz w:val="18"/>
        </w:rPr>
        <w:t>, anche se la parte resistente si costituisce a norma dell’articolo seguente.</w:t>
      </w:r>
    </w:p>
    <w:p w14:paraId="62F6128E" w14:textId="77777777" w:rsidR="00B32EF2" w:rsidRDefault="00000000">
      <w:pPr>
        <w:numPr>
          <w:ilvl w:val="0"/>
          <w:numId w:val="55"/>
        </w:numPr>
        <w:spacing w:after="4" w:line="254" w:lineRule="auto"/>
        <w:ind w:right="10" w:hanging="10"/>
        <w:jc w:val="both"/>
      </w:pPr>
      <w:r>
        <w:rPr>
          <w:rFonts w:ascii="Arial" w:eastAsia="Arial" w:hAnsi="Arial" w:cs="Arial"/>
          <w:sz w:val="18"/>
        </w:rPr>
        <w:t xml:space="preserve">In caso di consegna o spedizione a mezzo di servizio postale la </w:t>
      </w:r>
      <w:proofErr w:type="spellStart"/>
      <w:r>
        <w:rPr>
          <w:rFonts w:ascii="Arial" w:eastAsia="Arial" w:hAnsi="Arial" w:cs="Arial"/>
          <w:sz w:val="18"/>
        </w:rPr>
        <w:t>conformitàdell’atto</w:t>
      </w:r>
      <w:proofErr w:type="spellEnd"/>
      <w:r>
        <w:rPr>
          <w:rFonts w:ascii="Arial" w:eastAsia="Arial" w:hAnsi="Arial" w:cs="Arial"/>
          <w:sz w:val="18"/>
        </w:rPr>
        <w:t xml:space="preserve"> depositato a quello consegnato o spedito è attestata conforme dallo stesso ricorrente. Se l’atto depositato nella segreteria della commissione non è conforme a quello consegnato o spedito alla parte nei cui confronti il ricorso è proposto, il ricorso è inammissibile e si applica il comma precedente.</w:t>
      </w:r>
    </w:p>
    <w:p w14:paraId="1532B5EB" w14:textId="77777777" w:rsidR="00B32EF2" w:rsidRDefault="00000000">
      <w:pPr>
        <w:numPr>
          <w:ilvl w:val="0"/>
          <w:numId w:val="55"/>
        </w:numPr>
        <w:spacing w:after="4" w:line="254" w:lineRule="auto"/>
        <w:ind w:right="10" w:hanging="10"/>
        <w:jc w:val="both"/>
      </w:pPr>
      <w:r>
        <w:rPr>
          <w:rFonts w:ascii="Arial" w:eastAsia="Arial" w:hAnsi="Arial" w:cs="Arial"/>
          <w:sz w:val="18"/>
        </w:rPr>
        <w:t xml:space="preserve">Unitamente al ricorso ed ai documenti previsti al comma 1, il </w:t>
      </w:r>
      <w:proofErr w:type="spellStart"/>
      <w:r>
        <w:rPr>
          <w:rFonts w:ascii="Arial" w:eastAsia="Arial" w:hAnsi="Arial" w:cs="Arial"/>
          <w:sz w:val="18"/>
        </w:rPr>
        <w:t>ricorrentedeposita</w:t>
      </w:r>
      <w:proofErr w:type="spellEnd"/>
      <w:r>
        <w:rPr>
          <w:rFonts w:ascii="Arial" w:eastAsia="Arial" w:hAnsi="Arial" w:cs="Arial"/>
          <w:sz w:val="18"/>
        </w:rPr>
        <w:t xml:space="preserve"> il proprio fascicolo, con l’originale o la fotocopia dell’atto impugnato, se notificato, ed i documenti che produce, in originale o fotocopia.</w:t>
      </w:r>
    </w:p>
    <w:p w14:paraId="5579B42A" w14:textId="77777777" w:rsidR="00B32EF2" w:rsidRDefault="00000000">
      <w:pPr>
        <w:numPr>
          <w:ilvl w:val="0"/>
          <w:numId w:val="55"/>
        </w:numPr>
        <w:spacing w:after="196" w:line="254" w:lineRule="auto"/>
        <w:ind w:right="10" w:hanging="10"/>
        <w:jc w:val="both"/>
      </w:pPr>
      <w:r>
        <w:rPr>
          <w:rFonts w:ascii="Arial" w:eastAsia="Arial" w:hAnsi="Arial" w:cs="Arial"/>
          <w:sz w:val="18"/>
        </w:rPr>
        <w:t xml:space="preserve">Ove sorgano contestazioni il giudice tributario ordina l’esibizione </w:t>
      </w:r>
      <w:proofErr w:type="spellStart"/>
      <w:r>
        <w:rPr>
          <w:rFonts w:ascii="Arial" w:eastAsia="Arial" w:hAnsi="Arial" w:cs="Arial"/>
          <w:sz w:val="18"/>
        </w:rPr>
        <w:t>deglioriginali</w:t>
      </w:r>
      <w:proofErr w:type="spellEnd"/>
      <w:r>
        <w:rPr>
          <w:rFonts w:ascii="Arial" w:eastAsia="Arial" w:hAnsi="Arial" w:cs="Arial"/>
          <w:sz w:val="18"/>
        </w:rPr>
        <w:t xml:space="preserve"> degli atti e documenti di cui ai precedenti commi.</w:t>
      </w:r>
    </w:p>
    <w:p w14:paraId="39018726" w14:textId="77777777" w:rsidR="00B32EF2" w:rsidRDefault="00000000">
      <w:pPr>
        <w:pStyle w:val="Titolo3"/>
        <w:ind w:left="129" w:right="120"/>
      </w:pPr>
      <w:r>
        <w:t>NORME RICHIAMATE</w:t>
      </w:r>
    </w:p>
    <w:p w14:paraId="0AAA991F"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137 c.p.c. “Notificazioni” </w:t>
      </w:r>
    </w:p>
    <w:p w14:paraId="4DC0E558" w14:textId="77777777" w:rsidR="00B32EF2" w:rsidRDefault="00000000">
      <w:pPr>
        <w:numPr>
          <w:ilvl w:val="0"/>
          <w:numId w:val="56"/>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13"/>
        <w:jc w:val="both"/>
      </w:pPr>
      <w:r>
        <w:rPr>
          <w:rFonts w:ascii="Arial" w:eastAsia="Arial" w:hAnsi="Arial" w:cs="Arial"/>
          <w:i/>
          <w:sz w:val="18"/>
        </w:rPr>
        <w:t xml:space="preserve">Le notificazioni, quando non è disposto altrimenti, sono </w:t>
      </w:r>
      <w:proofErr w:type="spellStart"/>
      <w:r>
        <w:rPr>
          <w:rFonts w:ascii="Arial" w:eastAsia="Arial" w:hAnsi="Arial" w:cs="Arial"/>
          <w:i/>
          <w:sz w:val="18"/>
        </w:rPr>
        <w:t>eseguitedall’ufficiale</w:t>
      </w:r>
      <w:proofErr w:type="spellEnd"/>
      <w:r>
        <w:rPr>
          <w:rFonts w:ascii="Arial" w:eastAsia="Arial" w:hAnsi="Arial" w:cs="Arial"/>
          <w:i/>
          <w:sz w:val="18"/>
        </w:rPr>
        <w:t xml:space="preserve"> giudiziario, su istanza di parte o su richiesta del pubblico ministero o del cancelliere.</w:t>
      </w:r>
    </w:p>
    <w:p w14:paraId="7C2B4BD0" w14:textId="77777777" w:rsidR="00B32EF2" w:rsidRDefault="00000000">
      <w:pPr>
        <w:numPr>
          <w:ilvl w:val="0"/>
          <w:numId w:val="56"/>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13"/>
        <w:jc w:val="both"/>
      </w:pPr>
      <w:r>
        <w:rPr>
          <w:rFonts w:ascii="Arial" w:eastAsia="Arial" w:hAnsi="Arial" w:cs="Arial"/>
          <w:i/>
          <w:sz w:val="18"/>
        </w:rPr>
        <w:t xml:space="preserve">L’ufficiale giudiziario o l’avvocato esegue la notificazione </w:t>
      </w:r>
      <w:proofErr w:type="spellStart"/>
      <w:r>
        <w:rPr>
          <w:rFonts w:ascii="Arial" w:eastAsia="Arial" w:hAnsi="Arial" w:cs="Arial"/>
          <w:i/>
          <w:sz w:val="18"/>
        </w:rPr>
        <w:t>medianteconsegna</w:t>
      </w:r>
      <w:proofErr w:type="spellEnd"/>
      <w:r>
        <w:rPr>
          <w:rFonts w:ascii="Arial" w:eastAsia="Arial" w:hAnsi="Arial" w:cs="Arial"/>
          <w:i/>
          <w:sz w:val="18"/>
        </w:rPr>
        <w:t xml:space="preserve"> al destinatario di copia conforme all’originale dell’atto da notificarsi.</w:t>
      </w:r>
    </w:p>
    <w:p w14:paraId="24086B84" w14:textId="77777777" w:rsidR="00B32EF2" w:rsidRDefault="00000000">
      <w:pPr>
        <w:numPr>
          <w:ilvl w:val="0"/>
          <w:numId w:val="56"/>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13"/>
        <w:jc w:val="both"/>
      </w:pPr>
      <w:r>
        <w:rPr>
          <w:rFonts w:ascii="Arial" w:eastAsia="Arial" w:hAnsi="Arial" w:cs="Arial"/>
          <w:i/>
          <w:sz w:val="18"/>
        </w:rPr>
        <w:t xml:space="preserve">Se l’atto da notificare o comunicare è costituito da un </w:t>
      </w:r>
      <w:proofErr w:type="spellStart"/>
      <w:r>
        <w:rPr>
          <w:rFonts w:ascii="Arial" w:eastAsia="Arial" w:hAnsi="Arial" w:cs="Arial"/>
          <w:i/>
          <w:sz w:val="18"/>
        </w:rPr>
        <w:t>documentoinformatico</w:t>
      </w:r>
      <w:proofErr w:type="spellEnd"/>
      <w:r>
        <w:rPr>
          <w:rFonts w:ascii="Arial" w:eastAsia="Arial" w:hAnsi="Arial" w:cs="Arial"/>
          <w:i/>
          <w:sz w:val="18"/>
        </w:rPr>
        <w:t xml:space="preserve"> e il destinatario non possiede indirizzo di posta elettronica certificata, l’ufficiale giudiziario esegue la notificazione mediante consegna di una copia dell’atto su supporto cartaceo, da lui dichiarata conforme all’originale, e conserva il documento informatico per i due anni successivi. Se richiesto, l’ufficiale giudiziario invia l’atto notificato anche attraverso strumenti telematici all’indirizzo di posta elettronica dichiarato dal destinatario della notifica o dal suo procuratore, ovvero consegna ai medesimi, previa esazione dei relativi diritti, copia dell’atto notificato, su supporto informatico non riscrivibile .</w:t>
      </w:r>
    </w:p>
    <w:p w14:paraId="721171A7" w14:textId="77777777" w:rsidR="00B32EF2" w:rsidRDefault="00000000">
      <w:pPr>
        <w:numPr>
          <w:ilvl w:val="0"/>
          <w:numId w:val="56"/>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13"/>
        <w:jc w:val="both"/>
      </w:pPr>
      <w:r>
        <w:rPr>
          <w:rFonts w:ascii="Arial" w:eastAsia="Arial" w:hAnsi="Arial" w:cs="Arial"/>
          <w:i/>
          <w:sz w:val="18"/>
        </w:rPr>
        <w:t xml:space="preserve">Se la notificazione non può essere eseguita in mani proprie </w:t>
      </w:r>
      <w:proofErr w:type="spellStart"/>
      <w:r>
        <w:rPr>
          <w:rFonts w:ascii="Arial" w:eastAsia="Arial" w:hAnsi="Arial" w:cs="Arial"/>
          <w:i/>
          <w:sz w:val="18"/>
        </w:rPr>
        <w:t>deldestinatario</w:t>
      </w:r>
      <w:proofErr w:type="spellEnd"/>
      <w:r>
        <w:rPr>
          <w:rFonts w:ascii="Arial" w:eastAsia="Arial" w:hAnsi="Arial" w:cs="Arial"/>
          <w:i/>
          <w:sz w:val="18"/>
        </w:rPr>
        <w:t xml:space="preserve">, tranne che nel caso previsto dal secondo comma dell’articolo 143, l’ufficiale giudiziario consegna o deposita la copia </w:t>
      </w:r>
      <w:r>
        <w:rPr>
          <w:rFonts w:ascii="Arial" w:eastAsia="Arial" w:hAnsi="Arial" w:cs="Arial"/>
          <w:i/>
          <w:sz w:val="18"/>
        </w:rPr>
        <w:lastRenderedPageBreak/>
        <w:t>dell’atto da notificare in busta che provvede a sigillare e su cui trascrive il numero cronologico della notificazione, dandone atto nella relazione in calce all’originale e alla copia dell’atto stesso. Sulla busta non sono apposti segni o indicazioni dai quali possa desumersi il contenuto dell’atto .</w:t>
      </w:r>
    </w:p>
    <w:p w14:paraId="2242178B" w14:textId="77777777" w:rsidR="00B32EF2" w:rsidRDefault="00000000">
      <w:pPr>
        <w:numPr>
          <w:ilvl w:val="0"/>
          <w:numId w:val="56"/>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13"/>
        <w:jc w:val="both"/>
      </w:pPr>
      <w:r>
        <w:rPr>
          <w:rFonts w:ascii="Arial" w:eastAsia="Arial" w:hAnsi="Arial" w:cs="Arial"/>
          <w:i/>
          <w:sz w:val="18"/>
        </w:rPr>
        <w:t xml:space="preserve">Le disposizioni di cui al quarto comma si applicano anche </w:t>
      </w:r>
      <w:proofErr w:type="spellStart"/>
      <w:r>
        <w:rPr>
          <w:rFonts w:ascii="Arial" w:eastAsia="Arial" w:hAnsi="Arial" w:cs="Arial"/>
          <w:i/>
          <w:sz w:val="18"/>
        </w:rPr>
        <w:t>allecomunicazioni</w:t>
      </w:r>
      <w:proofErr w:type="spellEnd"/>
      <w:r>
        <w:rPr>
          <w:rFonts w:ascii="Arial" w:eastAsia="Arial" w:hAnsi="Arial" w:cs="Arial"/>
          <w:i/>
          <w:sz w:val="18"/>
        </w:rPr>
        <w:t xml:space="preserve"> effettuate con biglietto di cancelleria ai sensi degli articoli 133 e 136 .</w:t>
      </w:r>
    </w:p>
    <w:p w14:paraId="5C8DFD58" w14:textId="77777777" w:rsidR="00B32EF2" w:rsidRDefault="00000000">
      <w:pPr>
        <w:numPr>
          <w:ilvl w:val="0"/>
          <w:numId w:val="56"/>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13"/>
        <w:jc w:val="both"/>
      </w:pPr>
      <w:r>
        <w:rPr>
          <w:rFonts w:ascii="Arial" w:eastAsia="Arial" w:hAnsi="Arial" w:cs="Arial"/>
          <w:i/>
          <w:sz w:val="18"/>
        </w:rPr>
        <w:t xml:space="preserve">L’avvocato esegue le notificazioni nei casi e con le modalità </w:t>
      </w:r>
      <w:proofErr w:type="spellStart"/>
      <w:r>
        <w:rPr>
          <w:rFonts w:ascii="Arial" w:eastAsia="Arial" w:hAnsi="Arial" w:cs="Arial"/>
          <w:i/>
          <w:sz w:val="18"/>
        </w:rPr>
        <w:t>previstedalla</w:t>
      </w:r>
      <w:proofErr w:type="spellEnd"/>
      <w:r>
        <w:rPr>
          <w:rFonts w:ascii="Arial" w:eastAsia="Arial" w:hAnsi="Arial" w:cs="Arial"/>
          <w:i/>
          <w:sz w:val="18"/>
        </w:rPr>
        <w:t xml:space="preserve"> legge.</w:t>
      </w:r>
    </w:p>
    <w:p w14:paraId="4E3D0E9B" w14:textId="77777777" w:rsidR="00B32EF2" w:rsidRDefault="00000000">
      <w:pPr>
        <w:numPr>
          <w:ilvl w:val="0"/>
          <w:numId w:val="56"/>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13"/>
        <w:jc w:val="both"/>
      </w:pPr>
      <w:r>
        <w:rPr>
          <w:rFonts w:ascii="Arial" w:eastAsia="Arial" w:hAnsi="Arial" w:cs="Arial"/>
          <w:i/>
          <w:sz w:val="18"/>
        </w:rPr>
        <w:t>L’ufficiale giudiziario esegue la notificazione su richiesta dell’avvocato</w:t>
      </w:r>
    </w:p>
    <w:p w14:paraId="176630E5"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298" w:line="251" w:lineRule="auto"/>
        <w:ind w:left="129" w:right="120" w:hanging="10"/>
        <w:jc w:val="both"/>
      </w:pPr>
      <w:r>
        <w:rPr>
          <w:rFonts w:ascii="Arial" w:eastAsia="Arial" w:hAnsi="Arial" w:cs="Arial"/>
          <w:i/>
          <w:sz w:val="18"/>
        </w:rPr>
        <w:t xml:space="preserve">se quest’ultimo non deve eseguirla a mezzo di posta elettronica certificata o servizio elettronico di recapito certificato qualificato, o con </w:t>
      </w:r>
      <w:proofErr w:type="spellStart"/>
      <w:r>
        <w:rPr>
          <w:rFonts w:ascii="Arial" w:eastAsia="Arial" w:hAnsi="Arial" w:cs="Arial"/>
          <w:i/>
          <w:sz w:val="18"/>
        </w:rPr>
        <w:t>altra</w:t>
      </w:r>
      <w:proofErr w:type="spellEnd"/>
      <w:r>
        <w:rPr>
          <w:rFonts w:ascii="Arial" w:eastAsia="Arial" w:hAnsi="Arial" w:cs="Arial"/>
          <w:i/>
          <w:sz w:val="18"/>
        </w:rPr>
        <w:t xml:space="preserve"> modalità prevista dalla legge, salvo che l’avvocato dichiari che la notificazione con le predette modalità non è possibile o non ha avuto esito positivo per cause non imputabili al destinatario. Della dichiarazione è dato atto nella relazione di notificazione.</w:t>
      </w:r>
    </w:p>
    <w:p w14:paraId="466E79D6" w14:textId="77777777" w:rsidR="00B32EF2" w:rsidRDefault="00000000">
      <w:pPr>
        <w:spacing w:after="0" w:line="261" w:lineRule="auto"/>
        <w:ind w:left="12" w:right="3" w:hanging="10"/>
        <w:jc w:val="center"/>
      </w:pPr>
      <w:r>
        <w:rPr>
          <w:rFonts w:ascii="Arial" w:eastAsia="Arial" w:hAnsi="Arial" w:cs="Arial"/>
          <w:b/>
          <w:sz w:val="18"/>
        </w:rPr>
        <w:t>Articolo 23</w:t>
      </w:r>
    </w:p>
    <w:p w14:paraId="1744ECDF" w14:textId="77777777" w:rsidR="00B32EF2" w:rsidRDefault="00000000">
      <w:pPr>
        <w:spacing w:after="3" w:line="251" w:lineRule="auto"/>
        <w:ind w:left="2320" w:right="2311" w:hanging="10"/>
        <w:jc w:val="center"/>
      </w:pPr>
      <w:r>
        <w:rPr>
          <w:rFonts w:ascii="Arial" w:eastAsia="Arial" w:hAnsi="Arial" w:cs="Arial"/>
          <w:i/>
          <w:sz w:val="18"/>
        </w:rPr>
        <w:t>(articolo 69 TUGT)</w:t>
      </w:r>
    </w:p>
    <w:p w14:paraId="4A3FF097" w14:textId="77777777" w:rsidR="00B32EF2" w:rsidRDefault="00000000">
      <w:pPr>
        <w:spacing w:after="0" w:line="261" w:lineRule="auto"/>
        <w:ind w:left="12" w:right="3" w:hanging="10"/>
        <w:jc w:val="center"/>
      </w:pPr>
      <w:r>
        <w:rPr>
          <w:rFonts w:ascii="Arial" w:eastAsia="Arial" w:hAnsi="Arial" w:cs="Arial"/>
          <w:b/>
          <w:sz w:val="18"/>
        </w:rPr>
        <w:t xml:space="preserve">Costituzione in giudizio della parte resistente </w:t>
      </w:r>
    </w:p>
    <w:p w14:paraId="11FDB8EF" w14:textId="77777777" w:rsidR="00B32EF2" w:rsidRDefault="00000000">
      <w:pPr>
        <w:numPr>
          <w:ilvl w:val="0"/>
          <w:numId w:val="57"/>
        </w:numPr>
        <w:spacing w:after="4" w:line="254" w:lineRule="auto"/>
        <w:ind w:right="10" w:hanging="10"/>
        <w:jc w:val="both"/>
      </w:pPr>
      <w:r>
        <w:rPr>
          <w:rFonts w:ascii="Arial" w:eastAsia="Arial" w:hAnsi="Arial" w:cs="Arial"/>
          <w:sz w:val="18"/>
        </w:rPr>
        <w:t xml:space="preserve">L’ente impositore, l’agente della riscossione ed i soggetti iscritti all’albo di </w:t>
      </w:r>
      <w:proofErr w:type="spellStart"/>
      <w:r>
        <w:rPr>
          <w:rFonts w:ascii="Arial" w:eastAsia="Arial" w:hAnsi="Arial" w:cs="Arial"/>
          <w:sz w:val="18"/>
        </w:rPr>
        <w:t>cuiall’articolo</w:t>
      </w:r>
      <w:proofErr w:type="spellEnd"/>
      <w:r>
        <w:rPr>
          <w:rFonts w:ascii="Arial" w:eastAsia="Arial" w:hAnsi="Arial" w:cs="Arial"/>
          <w:sz w:val="18"/>
        </w:rPr>
        <w:t xml:space="preserve"> 53 del decreto legislativo 15 dicembre 1997, n. 446  nei cui confronti è stato proposto il ricorso si costituiscono in giudizio entro sessanta giorni dal giorno in cui il ricorso è stato notificato, consegnato o ricevuto a mezzo del servizio postale.</w:t>
      </w:r>
    </w:p>
    <w:p w14:paraId="4DAC67C3" w14:textId="77777777" w:rsidR="00B32EF2" w:rsidRDefault="00000000">
      <w:pPr>
        <w:numPr>
          <w:ilvl w:val="0"/>
          <w:numId w:val="57"/>
        </w:numPr>
        <w:spacing w:after="4" w:line="254" w:lineRule="auto"/>
        <w:ind w:right="10" w:hanging="10"/>
        <w:jc w:val="both"/>
      </w:pPr>
      <w:r>
        <w:rPr>
          <w:rFonts w:ascii="Arial" w:eastAsia="Arial" w:hAnsi="Arial" w:cs="Arial"/>
          <w:sz w:val="18"/>
        </w:rPr>
        <w:t xml:space="preserve">La costituzione della parte resistente è fatta mediante deposito </w:t>
      </w:r>
      <w:proofErr w:type="spellStart"/>
      <w:r>
        <w:rPr>
          <w:rFonts w:ascii="Arial" w:eastAsia="Arial" w:hAnsi="Arial" w:cs="Arial"/>
          <w:sz w:val="18"/>
        </w:rPr>
        <w:t>pressola</w:t>
      </w:r>
      <w:proofErr w:type="spellEnd"/>
      <w:r>
        <w:rPr>
          <w:rFonts w:ascii="Arial" w:eastAsia="Arial" w:hAnsi="Arial" w:cs="Arial"/>
          <w:sz w:val="18"/>
        </w:rPr>
        <w:t xml:space="preserve"> segreteria della commissione adita del proprio fascicolo contenente le controdeduzioni in tante copie quante sono le parti in giudizio e i documenti offerti in comunicazione.</w:t>
      </w:r>
    </w:p>
    <w:p w14:paraId="6A1593DB" w14:textId="77777777" w:rsidR="00B32EF2" w:rsidRDefault="00000000">
      <w:pPr>
        <w:numPr>
          <w:ilvl w:val="0"/>
          <w:numId w:val="57"/>
        </w:numPr>
        <w:spacing w:after="148" w:line="254" w:lineRule="auto"/>
        <w:ind w:right="10" w:hanging="10"/>
        <w:jc w:val="both"/>
      </w:pPr>
      <w:r>
        <w:rPr>
          <w:rFonts w:ascii="Arial" w:eastAsia="Arial" w:hAnsi="Arial" w:cs="Arial"/>
          <w:sz w:val="18"/>
        </w:rPr>
        <w:t xml:space="preserve">Nelle controdeduzioni la parte resistente espone le sue difese </w:t>
      </w:r>
      <w:proofErr w:type="spellStart"/>
      <w:r>
        <w:rPr>
          <w:rFonts w:ascii="Arial" w:eastAsia="Arial" w:hAnsi="Arial" w:cs="Arial"/>
          <w:sz w:val="18"/>
        </w:rPr>
        <w:t>prendendoposizione</w:t>
      </w:r>
      <w:proofErr w:type="spellEnd"/>
      <w:r>
        <w:rPr>
          <w:rFonts w:ascii="Arial" w:eastAsia="Arial" w:hAnsi="Arial" w:cs="Arial"/>
          <w:sz w:val="18"/>
        </w:rPr>
        <w:t xml:space="preserve"> sui motivi dedotti dal ricorrente e indica le prove di cui intende valersi, proponendo altresì le eccezioni processuali e di merito che non siano rilevabili d’ufficio e instando, se del caso, per la chiamata di terzi in causa.</w:t>
      </w:r>
    </w:p>
    <w:p w14:paraId="58D6279A" w14:textId="77777777" w:rsidR="00B32EF2" w:rsidRDefault="00000000">
      <w:pPr>
        <w:pStyle w:val="Titolo3"/>
        <w:ind w:left="129" w:right="60"/>
      </w:pPr>
      <w:r>
        <w:t>NORME RICHIAMATE</w:t>
      </w:r>
    </w:p>
    <w:p w14:paraId="2ABA2021"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280" w:line="251" w:lineRule="auto"/>
        <w:ind w:left="129" w:right="60" w:hanging="10"/>
        <w:jc w:val="both"/>
      </w:pPr>
      <w:r>
        <w:rPr>
          <w:rFonts w:ascii="Arial" w:eastAsia="Arial" w:hAnsi="Arial" w:cs="Arial"/>
          <w:i/>
          <w:sz w:val="18"/>
        </w:rPr>
        <w:t xml:space="preserve">art. 53 D.lgs. 446/1997 “Albo per l’accertamento e riscossione delle entrate degli enti locali” </w:t>
      </w:r>
    </w:p>
    <w:p w14:paraId="416F5C05" w14:textId="77777777" w:rsidR="00B32EF2" w:rsidRDefault="00000000">
      <w:pPr>
        <w:spacing w:after="0" w:line="261" w:lineRule="auto"/>
        <w:ind w:left="12" w:right="2" w:hanging="10"/>
        <w:jc w:val="center"/>
      </w:pPr>
      <w:r>
        <w:rPr>
          <w:rFonts w:ascii="Arial" w:eastAsia="Arial" w:hAnsi="Arial" w:cs="Arial"/>
          <w:b/>
          <w:sz w:val="18"/>
        </w:rPr>
        <w:t>Articolo 24</w:t>
      </w:r>
    </w:p>
    <w:p w14:paraId="6829F0F9" w14:textId="77777777" w:rsidR="00B32EF2" w:rsidRDefault="00000000">
      <w:pPr>
        <w:spacing w:after="3" w:line="251" w:lineRule="auto"/>
        <w:ind w:left="2320" w:right="2311" w:hanging="10"/>
        <w:jc w:val="center"/>
      </w:pPr>
      <w:r>
        <w:rPr>
          <w:rFonts w:ascii="Arial" w:eastAsia="Arial" w:hAnsi="Arial" w:cs="Arial"/>
          <w:i/>
          <w:sz w:val="18"/>
        </w:rPr>
        <w:t>(articolo 70 TUGT)</w:t>
      </w:r>
    </w:p>
    <w:p w14:paraId="2C0E7366" w14:textId="77777777" w:rsidR="00B32EF2" w:rsidRDefault="00000000">
      <w:pPr>
        <w:spacing w:after="0" w:line="261" w:lineRule="auto"/>
        <w:ind w:left="12" w:right="3" w:hanging="10"/>
        <w:jc w:val="center"/>
      </w:pPr>
      <w:r>
        <w:rPr>
          <w:rFonts w:ascii="Arial" w:eastAsia="Arial" w:hAnsi="Arial" w:cs="Arial"/>
          <w:b/>
          <w:sz w:val="18"/>
        </w:rPr>
        <w:t xml:space="preserve">Produzione di documenti e motivi aggiunti </w:t>
      </w:r>
    </w:p>
    <w:p w14:paraId="416DDBF5" w14:textId="77777777" w:rsidR="00B32EF2" w:rsidRDefault="00000000">
      <w:pPr>
        <w:numPr>
          <w:ilvl w:val="0"/>
          <w:numId w:val="58"/>
        </w:numPr>
        <w:spacing w:after="4" w:line="254" w:lineRule="auto"/>
        <w:ind w:right="10" w:hanging="10"/>
        <w:jc w:val="both"/>
      </w:pPr>
      <w:r>
        <w:rPr>
          <w:rFonts w:ascii="Arial" w:eastAsia="Arial" w:hAnsi="Arial" w:cs="Arial"/>
          <w:sz w:val="18"/>
        </w:rPr>
        <w:lastRenderedPageBreak/>
        <w:t xml:space="preserve">I documenti devono essere elencati negli atti di parte cui  sono </w:t>
      </w:r>
      <w:proofErr w:type="spellStart"/>
      <w:r>
        <w:rPr>
          <w:rFonts w:ascii="Arial" w:eastAsia="Arial" w:hAnsi="Arial" w:cs="Arial"/>
          <w:sz w:val="18"/>
        </w:rPr>
        <w:t>allegatiovvero</w:t>
      </w:r>
      <w:proofErr w:type="spellEnd"/>
      <w:r>
        <w:rPr>
          <w:rFonts w:ascii="Arial" w:eastAsia="Arial" w:hAnsi="Arial" w:cs="Arial"/>
          <w:sz w:val="18"/>
        </w:rPr>
        <w:t>,   se  prodotti  separatamente,  in   apposita   nota  sottoscritta  da depositare in originale ed  in  numero  di  copie  in carta  semplice  pari  a quello delle altre parti.</w:t>
      </w:r>
    </w:p>
    <w:p w14:paraId="2E9C1FEB" w14:textId="77777777" w:rsidR="00B32EF2" w:rsidRDefault="00000000">
      <w:pPr>
        <w:numPr>
          <w:ilvl w:val="0"/>
          <w:numId w:val="58"/>
        </w:numPr>
        <w:spacing w:after="4" w:line="254" w:lineRule="auto"/>
        <w:ind w:right="10" w:hanging="10"/>
        <w:jc w:val="both"/>
      </w:pPr>
      <w:r>
        <w:rPr>
          <w:rFonts w:ascii="Arial" w:eastAsia="Arial" w:hAnsi="Arial" w:cs="Arial"/>
          <w:sz w:val="18"/>
        </w:rPr>
        <w:t xml:space="preserve">L’integrazione dei  motivi  di  ricorso,  resa  necessaria dal deposito </w:t>
      </w:r>
      <w:proofErr w:type="spellStart"/>
      <w:r>
        <w:rPr>
          <w:rFonts w:ascii="Arial" w:eastAsia="Arial" w:hAnsi="Arial" w:cs="Arial"/>
          <w:sz w:val="18"/>
        </w:rPr>
        <w:t>didocumenti</w:t>
      </w:r>
      <w:proofErr w:type="spellEnd"/>
      <w:r>
        <w:rPr>
          <w:rFonts w:ascii="Arial" w:eastAsia="Arial" w:hAnsi="Arial" w:cs="Arial"/>
          <w:sz w:val="18"/>
        </w:rPr>
        <w:t xml:space="preserve"> non conosciuti ad opera delle altre  parti  o  per  ordine  della commissione, è ammessa entro il  termine   perentorio   di  sessanta   giorni dalla  data in cui l’interessato ha notizia di tale deposito.</w:t>
      </w:r>
    </w:p>
    <w:p w14:paraId="36815303" w14:textId="77777777" w:rsidR="00B32EF2" w:rsidRDefault="00000000">
      <w:pPr>
        <w:numPr>
          <w:ilvl w:val="0"/>
          <w:numId w:val="58"/>
        </w:numPr>
        <w:spacing w:after="4" w:line="254" w:lineRule="auto"/>
        <w:ind w:right="10" w:hanging="10"/>
        <w:jc w:val="both"/>
      </w:pPr>
      <w:r>
        <w:rPr>
          <w:rFonts w:ascii="Arial" w:eastAsia="Arial" w:hAnsi="Arial" w:cs="Arial"/>
          <w:sz w:val="18"/>
        </w:rPr>
        <w:t>Se è  stata  già   fissata   la   trattazione   della   controversia,  l’interessato, a pena di  inammissibilità,  deve  dichiarare,  non  oltre  la trattazione  in  camera di consiglio o la discussione in pubblica udienza, che intende  proporre   motivi aggiunti.   In   tal   caso   la trattazione   o l’udienza   debbono   essere  rinviate ad  altra  data  per  consentire   gli adempimenti di cui al comma seguente.</w:t>
      </w:r>
    </w:p>
    <w:p w14:paraId="1A5A6F5C" w14:textId="77777777" w:rsidR="00B32EF2" w:rsidRDefault="00000000">
      <w:pPr>
        <w:numPr>
          <w:ilvl w:val="0"/>
          <w:numId w:val="58"/>
        </w:numPr>
        <w:spacing w:after="213" w:line="254" w:lineRule="auto"/>
        <w:ind w:right="10" w:hanging="10"/>
        <w:jc w:val="both"/>
      </w:pPr>
      <w:r>
        <w:rPr>
          <w:rFonts w:ascii="Arial" w:eastAsia="Arial" w:hAnsi="Arial" w:cs="Arial"/>
          <w:sz w:val="18"/>
        </w:rPr>
        <w:t xml:space="preserve">L’integrazione dei  motivi  si  effettua   mediante   atto   avente   i </w:t>
      </w:r>
      <w:proofErr w:type="spellStart"/>
      <w:r>
        <w:rPr>
          <w:rFonts w:ascii="Arial" w:eastAsia="Arial" w:hAnsi="Arial" w:cs="Arial"/>
          <w:sz w:val="18"/>
        </w:rPr>
        <w:t>requisitidi</w:t>
      </w:r>
      <w:proofErr w:type="spellEnd"/>
      <w:r>
        <w:rPr>
          <w:rFonts w:ascii="Arial" w:eastAsia="Arial" w:hAnsi="Arial" w:cs="Arial"/>
          <w:sz w:val="18"/>
        </w:rPr>
        <w:t xml:space="preserve">  cui  all’art.  18 per quanto applicabile. Si applicano  l’art. 20, commi 1 e 2, l’art. 22, commi 1, 2, 3 e 5,  e  l’art.  23, comma 3.</w:t>
      </w:r>
    </w:p>
    <w:p w14:paraId="1A6EEB06" w14:textId="77777777" w:rsidR="00B32EF2" w:rsidRDefault="00000000">
      <w:pPr>
        <w:spacing w:after="0" w:line="261" w:lineRule="auto"/>
        <w:ind w:left="12" w:right="3" w:hanging="10"/>
        <w:jc w:val="center"/>
      </w:pPr>
      <w:r>
        <w:rPr>
          <w:rFonts w:ascii="Arial" w:eastAsia="Arial" w:hAnsi="Arial" w:cs="Arial"/>
          <w:b/>
          <w:sz w:val="18"/>
        </w:rPr>
        <w:t>Articolo 25</w:t>
      </w:r>
    </w:p>
    <w:p w14:paraId="2C3B0D69" w14:textId="77777777" w:rsidR="00B32EF2" w:rsidRDefault="00000000">
      <w:pPr>
        <w:spacing w:after="3" w:line="251" w:lineRule="auto"/>
        <w:ind w:left="2320" w:right="2311" w:hanging="10"/>
        <w:jc w:val="center"/>
      </w:pPr>
      <w:r>
        <w:rPr>
          <w:rFonts w:ascii="Arial" w:eastAsia="Arial" w:hAnsi="Arial" w:cs="Arial"/>
          <w:i/>
          <w:sz w:val="18"/>
        </w:rPr>
        <w:t>(articolo 71 TUGT)</w:t>
      </w:r>
    </w:p>
    <w:p w14:paraId="707E52E1" w14:textId="77777777" w:rsidR="00B32EF2" w:rsidRDefault="00000000">
      <w:pPr>
        <w:spacing w:after="0" w:line="261" w:lineRule="auto"/>
        <w:ind w:left="12" w:right="2" w:hanging="10"/>
        <w:jc w:val="center"/>
      </w:pPr>
      <w:r>
        <w:rPr>
          <w:rFonts w:ascii="Arial" w:eastAsia="Arial" w:hAnsi="Arial" w:cs="Arial"/>
          <w:b/>
          <w:sz w:val="18"/>
        </w:rPr>
        <w:t xml:space="preserve">Iscrizione del ricorso nel registro generale. Fascicolo d’ufficio del processo e fascicoli di parte. </w:t>
      </w:r>
    </w:p>
    <w:p w14:paraId="393E647F" w14:textId="77777777" w:rsidR="00B32EF2" w:rsidRDefault="00000000">
      <w:pPr>
        <w:numPr>
          <w:ilvl w:val="0"/>
          <w:numId w:val="59"/>
        </w:numPr>
        <w:spacing w:after="4" w:line="254" w:lineRule="auto"/>
        <w:ind w:right="10" w:hanging="10"/>
        <w:jc w:val="both"/>
      </w:pPr>
      <w:r>
        <w:rPr>
          <w:rFonts w:ascii="Arial" w:eastAsia="Arial" w:hAnsi="Arial" w:cs="Arial"/>
          <w:sz w:val="18"/>
        </w:rPr>
        <w:t xml:space="preserve">La segreteria della corte di giustizia tributaria di primo e secondo </w:t>
      </w:r>
      <w:proofErr w:type="spellStart"/>
      <w:r>
        <w:rPr>
          <w:rFonts w:ascii="Arial" w:eastAsia="Arial" w:hAnsi="Arial" w:cs="Arial"/>
          <w:sz w:val="18"/>
        </w:rPr>
        <w:t>gradoiscrive</w:t>
      </w:r>
      <w:proofErr w:type="spellEnd"/>
      <w:r>
        <w:rPr>
          <w:rFonts w:ascii="Arial" w:eastAsia="Arial" w:hAnsi="Arial" w:cs="Arial"/>
          <w:sz w:val="18"/>
        </w:rPr>
        <w:t xml:space="preserve"> il ricorso nel registro generale e forma il fascicolo d’ufficio del processo, inserendovi i fascicoli del ricorrente e delle altre parti, con gli atti e i documenti prodotti, </w:t>
      </w:r>
      <w:proofErr w:type="spellStart"/>
      <w:r>
        <w:rPr>
          <w:rFonts w:ascii="Arial" w:eastAsia="Arial" w:hAnsi="Arial" w:cs="Arial"/>
          <w:sz w:val="18"/>
        </w:rPr>
        <w:t>nonchè</w:t>
      </w:r>
      <w:proofErr w:type="spellEnd"/>
      <w:r>
        <w:rPr>
          <w:rFonts w:ascii="Arial" w:eastAsia="Arial" w:hAnsi="Arial" w:cs="Arial"/>
          <w:sz w:val="18"/>
        </w:rPr>
        <w:t>, successivamente, gli originali dei verbali di udienza, delle ordinanze e dei decreti e copia delle sentenze.</w:t>
      </w:r>
    </w:p>
    <w:p w14:paraId="29A21F33" w14:textId="77777777" w:rsidR="00B32EF2" w:rsidRDefault="00000000">
      <w:pPr>
        <w:numPr>
          <w:ilvl w:val="0"/>
          <w:numId w:val="59"/>
        </w:numPr>
        <w:spacing w:after="4" w:line="254" w:lineRule="auto"/>
        <w:ind w:right="10" w:hanging="10"/>
        <w:jc w:val="both"/>
      </w:pPr>
      <w:r>
        <w:rPr>
          <w:rFonts w:ascii="Arial" w:eastAsia="Arial" w:hAnsi="Arial" w:cs="Arial"/>
          <w:sz w:val="18"/>
        </w:rPr>
        <w:t xml:space="preserve">I fascicoli delle parti restano acquisiti al fascicolo d’ufficio e sono ad </w:t>
      </w:r>
      <w:proofErr w:type="spellStart"/>
      <w:r>
        <w:rPr>
          <w:rFonts w:ascii="Arial" w:eastAsia="Arial" w:hAnsi="Arial" w:cs="Arial"/>
          <w:sz w:val="18"/>
        </w:rPr>
        <w:t>esserestituiti</w:t>
      </w:r>
      <w:proofErr w:type="spellEnd"/>
      <w:r>
        <w:rPr>
          <w:rFonts w:ascii="Arial" w:eastAsia="Arial" w:hAnsi="Arial" w:cs="Arial"/>
          <w:sz w:val="18"/>
        </w:rPr>
        <w:t xml:space="preserve"> al termine del processo. Le parti possono ottenere copia autentica degli atti e documenti contenuti nei fascicoli di parte e d’ufficio.</w:t>
      </w:r>
    </w:p>
    <w:p w14:paraId="4B93B0CF" w14:textId="77777777" w:rsidR="00B32EF2" w:rsidRDefault="00000000">
      <w:pPr>
        <w:numPr>
          <w:ilvl w:val="0"/>
          <w:numId w:val="59"/>
        </w:numPr>
        <w:spacing w:after="4" w:line="254" w:lineRule="auto"/>
        <w:ind w:right="10" w:hanging="10"/>
        <w:jc w:val="both"/>
      </w:pPr>
      <w:r>
        <w:rPr>
          <w:rFonts w:ascii="Arial" w:eastAsia="Arial" w:hAnsi="Arial" w:cs="Arial"/>
          <w:sz w:val="18"/>
        </w:rPr>
        <w:t xml:space="preserve">La segreteria sottopone al presidente della corte di giustizia tributaria </w:t>
      </w:r>
      <w:proofErr w:type="spellStart"/>
      <w:r>
        <w:rPr>
          <w:rFonts w:ascii="Arial" w:eastAsia="Arial" w:hAnsi="Arial" w:cs="Arial"/>
          <w:sz w:val="18"/>
        </w:rPr>
        <w:t>diprimo</w:t>
      </w:r>
      <w:proofErr w:type="spellEnd"/>
      <w:r>
        <w:rPr>
          <w:rFonts w:ascii="Arial" w:eastAsia="Arial" w:hAnsi="Arial" w:cs="Arial"/>
          <w:sz w:val="18"/>
        </w:rPr>
        <w:t xml:space="preserve"> e secondo grado il fascicolo del processo appena formato.</w:t>
      </w:r>
    </w:p>
    <w:tbl>
      <w:tblPr>
        <w:tblStyle w:val="TableGrid"/>
        <w:tblW w:w="6236" w:type="dxa"/>
        <w:tblInd w:w="-9" w:type="dxa"/>
        <w:tblCellMar>
          <w:top w:w="0" w:type="dxa"/>
          <w:left w:w="123" w:type="dxa"/>
          <w:bottom w:w="0" w:type="dxa"/>
          <w:right w:w="123" w:type="dxa"/>
        </w:tblCellMar>
        <w:tblLook w:val="04A0" w:firstRow="1" w:lastRow="0" w:firstColumn="1" w:lastColumn="0" w:noHBand="0" w:noVBand="1"/>
      </w:tblPr>
      <w:tblGrid>
        <w:gridCol w:w="6236"/>
      </w:tblGrid>
      <w:tr w:rsidR="00B32EF2" w14:paraId="3749684B" w14:textId="77777777">
        <w:trPr>
          <w:trHeight w:val="4544"/>
        </w:trPr>
        <w:tc>
          <w:tcPr>
            <w:tcW w:w="6236" w:type="dxa"/>
            <w:tcBorders>
              <w:top w:val="single" w:sz="8" w:space="0" w:color="000000"/>
              <w:left w:val="single" w:sz="8" w:space="0" w:color="000000"/>
              <w:bottom w:val="single" w:sz="8" w:space="0" w:color="000000"/>
              <w:right w:val="single" w:sz="8" w:space="0" w:color="000000"/>
            </w:tcBorders>
            <w:vAlign w:val="center"/>
          </w:tcPr>
          <w:p w14:paraId="7BF2C166" w14:textId="77777777" w:rsidR="00B32EF2" w:rsidRDefault="00000000">
            <w:pPr>
              <w:spacing w:after="0" w:line="250" w:lineRule="auto"/>
              <w:ind w:left="2347" w:hanging="2009"/>
            </w:pPr>
            <w:r>
              <w:rPr>
                <w:rFonts w:ascii="Arial" w:eastAsia="Arial" w:hAnsi="Arial" w:cs="Arial"/>
                <w:b/>
                <w:sz w:val="18"/>
              </w:rPr>
              <w:lastRenderedPageBreak/>
              <w:t>Per i giudizi instaurati  con ricorso notificato fino all'1.9.24 Articolo 25-bis</w:t>
            </w:r>
          </w:p>
          <w:p w14:paraId="2AF25BD8" w14:textId="77777777" w:rsidR="00B32EF2" w:rsidRDefault="00000000">
            <w:pPr>
              <w:spacing w:after="0"/>
              <w:jc w:val="center"/>
            </w:pPr>
            <w:r>
              <w:rPr>
                <w:rFonts w:ascii="Arial" w:eastAsia="Arial" w:hAnsi="Arial" w:cs="Arial"/>
                <w:i/>
                <w:sz w:val="18"/>
              </w:rPr>
              <w:t>(articolo 72 TUGT)</w:t>
            </w:r>
          </w:p>
          <w:p w14:paraId="2EBA35A0" w14:textId="77777777" w:rsidR="00B32EF2" w:rsidRDefault="00000000">
            <w:pPr>
              <w:spacing w:after="0"/>
              <w:jc w:val="center"/>
            </w:pPr>
            <w:r>
              <w:rPr>
                <w:rFonts w:ascii="Arial" w:eastAsia="Arial" w:hAnsi="Arial" w:cs="Arial"/>
                <w:b/>
                <w:sz w:val="18"/>
              </w:rPr>
              <w:t xml:space="preserve">Potere di certificazione di conformità </w:t>
            </w:r>
          </w:p>
          <w:p w14:paraId="38A811E5" w14:textId="77777777" w:rsidR="00B32EF2" w:rsidRDefault="00000000">
            <w:pPr>
              <w:numPr>
                <w:ilvl w:val="0"/>
                <w:numId w:val="208"/>
              </w:numPr>
              <w:spacing w:after="0" w:line="250" w:lineRule="auto"/>
              <w:jc w:val="both"/>
            </w:pPr>
            <w:r>
              <w:rPr>
                <w:rFonts w:ascii="Arial" w:eastAsia="Arial" w:hAnsi="Arial" w:cs="Arial"/>
                <w:sz w:val="18"/>
              </w:rPr>
              <w:t xml:space="preserve">Al fine del deposito e della notifica con modalità telematiche </w:t>
            </w:r>
            <w:proofErr w:type="spellStart"/>
            <w:r>
              <w:rPr>
                <w:rFonts w:ascii="Arial" w:eastAsia="Arial" w:hAnsi="Arial" w:cs="Arial"/>
                <w:sz w:val="18"/>
              </w:rPr>
              <w:t>dellacopia</w:t>
            </w:r>
            <w:proofErr w:type="spellEnd"/>
            <w:r>
              <w:rPr>
                <w:rFonts w:ascii="Arial" w:eastAsia="Arial" w:hAnsi="Arial" w:cs="Arial"/>
                <w:sz w:val="18"/>
              </w:rPr>
              <w:t xml:space="preserve"> informatica, anche per immagine, di un atto processuale di parte, di un provvedimento del giudice o di un documento formato su supporto analogico e detenuto in originale o in copia conforme, il difensore e il dipendente di cui si avvalgono l’ente impositore, l’agente della riscossione ed i soggetti iscritti nell’albo di cui all’articolo 53 del decreto legislativo 15 dicembre 1997, n. 446, attestano la conformità della copia al predetto atto secondo le modalità di cui al decreto legislativo 7 marzo 2005, n. 82.</w:t>
            </w:r>
          </w:p>
          <w:p w14:paraId="22C33EB5" w14:textId="77777777" w:rsidR="00B32EF2" w:rsidRDefault="00000000">
            <w:pPr>
              <w:numPr>
                <w:ilvl w:val="0"/>
                <w:numId w:val="208"/>
              </w:numPr>
              <w:spacing w:after="0"/>
              <w:jc w:val="both"/>
            </w:pPr>
            <w:r>
              <w:rPr>
                <w:rFonts w:ascii="Arial" w:eastAsia="Arial" w:hAnsi="Arial" w:cs="Arial"/>
                <w:sz w:val="18"/>
              </w:rPr>
              <w:t xml:space="preserve">Analogo potere di attestazione di conformità è esteso, anche </w:t>
            </w:r>
            <w:proofErr w:type="spellStart"/>
            <w:r>
              <w:rPr>
                <w:rFonts w:ascii="Arial" w:eastAsia="Arial" w:hAnsi="Arial" w:cs="Arial"/>
                <w:sz w:val="18"/>
              </w:rPr>
              <w:t>perl’estrazione</w:t>
            </w:r>
            <w:proofErr w:type="spellEnd"/>
            <w:r>
              <w:rPr>
                <w:rFonts w:ascii="Arial" w:eastAsia="Arial" w:hAnsi="Arial" w:cs="Arial"/>
                <w:sz w:val="18"/>
              </w:rPr>
              <w:t xml:space="preserve"> di copia analogica, agli atti e ai provvedimenti presenti nel fascicolo informatico, formato dalla segreteria della corte di giustizia tributaria di primo e secondo grado ai sensi dell’articolo 14 del decreto del Ministro dell’economia e delle finanze 23 dicembre 2013, n. 163, o trasmessi in allegato alle comunicazioni telematiche dell’ufficio di segreteria. Detti atti e provvedimenti, presenti nel fascicolo informatico o trasmessi in allegato alle comunicazioni telematiche dell’ufficio di segreteria, equivalgono</w:t>
            </w:r>
          </w:p>
        </w:tc>
      </w:tr>
    </w:tbl>
    <w:p w14:paraId="1632C41D"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all’originale anche se privi dell’attestazione di conformità all’originale da parte dell’ufficio di segreteria.</w:t>
      </w:r>
    </w:p>
    <w:p w14:paraId="349A4F39" w14:textId="77777777" w:rsidR="00B32EF2" w:rsidRDefault="00000000">
      <w:pPr>
        <w:numPr>
          <w:ilvl w:val="0"/>
          <w:numId w:val="60"/>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La copia informatica o cartacea munita dell’attestazione di </w:t>
      </w:r>
      <w:proofErr w:type="spellStart"/>
      <w:r>
        <w:rPr>
          <w:rFonts w:ascii="Arial" w:eastAsia="Arial" w:hAnsi="Arial" w:cs="Arial"/>
          <w:sz w:val="18"/>
        </w:rPr>
        <w:t>conformitàai</w:t>
      </w:r>
      <w:proofErr w:type="spellEnd"/>
      <w:r>
        <w:rPr>
          <w:rFonts w:ascii="Arial" w:eastAsia="Arial" w:hAnsi="Arial" w:cs="Arial"/>
          <w:sz w:val="18"/>
        </w:rPr>
        <w:t xml:space="preserve"> sensi dei commi precedenti equivale all’originale o alla copia conforme dell’atto o del provvedimento detenuto ovvero presente nel fascicolo informatico.</w:t>
      </w:r>
    </w:p>
    <w:p w14:paraId="1EDE0A83" w14:textId="77777777" w:rsidR="00B32EF2" w:rsidRDefault="00000000">
      <w:pPr>
        <w:numPr>
          <w:ilvl w:val="0"/>
          <w:numId w:val="60"/>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L’estrazione di copie autentiche ai sensi del presente articolo, </w:t>
      </w:r>
      <w:proofErr w:type="spellStart"/>
      <w:r>
        <w:rPr>
          <w:rFonts w:ascii="Arial" w:eastAsia="Arial" w:hAnsi="Arial" w:cs="Arial"/>
          <w:sz w:val="18"/>
        </w:rPr>
        <w:t>esoneradal</w:t>
      </w:r>
      <w:proofErr w:type="spellEnd"/>
      <w:r>
        <w:rPr>
          <w:rFonts w:ascii="Arial" w:eastAsia="Arial" w:hAnsi="Arial" w:cs="Arial"/>
          <w:sz w:val="18"/>
        </w:rPr>
        <w:t xml:space="preserve"> pagamento dei diritti di copia.</w:t>
      </w:r>
    </w:p>
    <w:p w14:paraId="4745FE09" w14:textId="77777777" w:rsidR="00B32EF2" w:rsidRDefault="00000000">
      <w:pPr>
        <w:numPr>
          <w:ilvl w:val="0"/>
          <w:numId w:val="60"/>
        </w:numPr>
        <w:pBdr>
          <w:top w:val="single" w:sz="8" w:space="0" w:color="000000"/>
          <w:left w:val="single" w:sz="8" w:space="0" w:color="000000"/>
          <w:bottom w:val="single" w:sz="8" w:space="0" w:color="000000"/>
          <w:right w:val="single" w:sz="8" w:space="0" w:color="000000"/>
        </w:pBdr>
        <w:spacing w:after="317" w:line="226" w:lineRule="auto"/>
        <w:ind w:right="120" w:hanging="10"/>
        <w:jc w:val="both"/>
      </w:pPr>
      <w:r>
        <w:rPr>
          <w:rFonts w:ascii="Arial" w:eastAsia="Arial" w:hAnsi="Arial" w:cs="Arial"/>
          <w:sz w:val="18"/>
        </w:rPr>
        <w:t xml:space="preserve">Nel compimento dell’attestazione di conformità i soggetti di cui </w:t>
      </w:r>
      <w:proofErr w:type="spellStart"/>
      <w:r>
        <w:rPr>
          <w:rFonts w:ascii="Arial" w:eastAsia="Arial" w:hAnsi="Arial" w:cs="Arial"/>
          <w:sz w:val="18"/>
        </w:rPr>
        <w:t>alpresente</w:t>
      </w:r>
      <w:proofErr w:type="spellEnd"/>
      <w:r>
        <w:rPr>
          <w:rFonts w:ascii="Arial" w:eastAsia="Arial" w:hAnsi="Arial" w:cs="Arial"/>
          <w:sz w:val="18"/>
        </w:rPr>
        <w:t xml:space="preserve"> articolo assumono ad ogni effetto la veste di pubblici ufficiali.</w:t>
      </w:r>
    </w:p>
    <w:p w14:paraId="632F6CD2" w14:textId="77777777" w:rsidR="00B32EF2" w:rsidRDefault="00000000">
      <w:pPr>
        <w:spacing w:after="0" w:line="261" w:lineRule="auto"/>
        <w:ind w:left="12" w:right="3" w:hanging="10"/>
        <w:jc w:val="center"/>
      </w:pPr>
      <w:r>
        <w:rPr>
          <w:rFonts w:ascii="Arial" w:eastAsia="Arial" w:hAnsi="Arial" w:cs="Arial"/>
          <w:b/>
          <w:sz w:val="18"/>
        </w:rPr>
        <w:t>Articolo 25-bis</w:t>
      </w:r>
    </w:p>
    <w:p w14:paraId="2D6E8E0E" w14:textId="77777777" w:rsidR="00B32EF2" w:rsidRDefault="00000000">
      <w:pPr>
        <w:spacing w:after="3" w:line="251" w:lineRule="auto"/>
        <w:ind w:left="2320" w:right="2311" w:hanging="10"/>
        <w:jc w:val="center"/>
      </w:pPr>
      <w:r>
        <w:rPr>
          <w:rFonts w:ascii="Arial" w:eastAsia="Arial" w:hAnsi="Arial" w:cs="Arial"/>
          <w:i/>
          <w:sz w:val="18"/>
        </w:rPr>
        <w:t>(articolo 72 TUGT)</w:t>
      </w:r>
    </w:p>
    <w:p w14:paraId="054C79CB" w14:textId="77777777" w:rsidR="00B32EF2" w:rsidRDefault="00000000">
      <w:pPr>
        <w:spacing w:after="0" w:line="261" w:lineRule="auto"/>
        <w:ind w:left="12" w:right="3" w:hanging="10"/>
        <w:jc w:val="center"/>
      </w:pPr>
      <w:r>
        <w:rPr>
          <w:rFonts w:ascii="Arial" w:eastAsia="Arial" w:hAnsi="Arial" w:cs="Arial"/>
          <w:b/>
          <w:sz w:val="18"/>
        </w:rPr>
        <w:t xml:space="preserve"> Potere di certificazione di conformità</w:t>
      </w:r>
    </w:p>
    <w:p w14:paraId="61E917E4" w14:textId="77777777" w:rsidR="00B32EF2" w:rsidRDefault="00000000">
      <w:pPr>
        <w:numPr>
          <w:ilvl w:val="0"/>
          <w:numId w:val="61"/>
        </w:numPr>
        <w:spacing w:after="4" w:line="254" w:lineRule="auto"/>
        <w:ind w:right="10" w:hanging="10"/>
        <w:jc w:val="both"/>
      </w:pPr>
      <w:r>
        <w:rPr>
          <w:rFonts w:ascii="Arial" w:eastAsia="Arial" w:hAnsi="Arial" w:cs="Arial"/>
          <w:sz w:val="18"/>
        </w:rPr>
        <w:t xml:space="preserve">Al fine del deposito e della notifica con modalità telematiche della </w:t>
      </w:r>
      <w:proofErr w:type="spellStart"/>
      <w:r>
        <w:rPr>
          <w:rFonts w:ascii="Arial" w:eastAsia="Arial" w:hAnsi="Arial" w:cs="Arial"/>
          <w:sz w:val="18"/>
        </w:rPr>
        <w:t>copiainformatica</w:t>
      </w:r>
      <w:proofErr w:type="spellEnd"/>
      <w:r>
        <w:rPr>
          <w:rFonts w:ascii="Arial" w:eastAsia="Arial" w:hAnsi="Arial" w:cs="Arial"/>
          <w:sz w:val="18"/>
        </w:rPr>
        <w:t>, anche per immagine, di un atto processuale di parte, di un provvedimento del giudice o di un documento formato su supporto analogico e detenuto in originale o in copia conforme, il difensore e il dipendente di cui si avvalgono l’ente impositore, l’agente della riscossione ed i soggetti iscritti nell’albo di cui all’articolo 53 del decreto legislativo 15 dicembre 1997, n. 446, attestano la conformità della copia al predetto atto secondo le modalità di cui al decreto legislativo 7 marzo 2005, n. 82.</w:t>
      </w:r>
    </w:p>
    <w:p w14:paraId="46467A0B" w14:textId="77777777" w:rsidR="00B32EF2" w:rsidRDefault="00000000">
      <w:pPr>
        <w:numPr>
          <w:ilvl w:val="0"/>
          <w:numId w:val="61"/>
        </w:numPr>
        <w:spacing w:after="4" w:line="254" w:lineRule="auto"/>
        <w:ind w:right="10" w:hanging="10"/>
        <w:jc w:val="both"/>
      </w:pPr>
      <w:r>
        <w:rPr>
          <w:rFonts w:ascii="Arial" w:eastAsia="Arial" w:hAnsi="Arial" w:cs="Arial"/>
          <w:sz w:val="18"/>
        </w:rPr>
        <w:lastRenderedPageBreak/>
        <w:t>Analogo potere di attestazione di conformità è esteso, anche per l’</w:t>
      </w:r>
      <w:proofErr w:type="spellStart"/>
      <w:r>
        <w:rPr>
          <w:rFonts w:ascii="Arial" w:eastAsia="Arial" w:hAnsi="Arial" w:cs="Arial"/>
          <w:sz w:val="18"/>
        </w:rPr>
        <w:t>estrazionedi</w:t>
      </w:r>
      <w:proofErr w:type="spellEnd"/>
      <w:r>
        <w:rPr>
          <w:rFonts w:ascii="Arial" w:eastAsia="Arial" w:hAnsi="Arial" w:cs="Arial"/>
          <w:sz w:val="18"/>
        </w:rPr>
        <w:t xml:space="preserve"> copia analogica, agli atti e ai provvedimenti presenti nel fascicolo informatico, formato dalla segreteria della corte di giustizia tributaria di primo e secondo grado ai sensi dell’articolo 14 del decreto del Ministro dell’economia e delle finanze 23 dicembre 2013, n. 163, o trasmessi in allegato alle comunicazioni telematiche dell’ufficio di segreteria. Detti atti e provvedimenti, presenti nel fascicolo informatico o trasmessi in allegato alle comunicazioni telematiche dell’ufficio di segreteria, equivalgono all’originale anche se privi dell’attestazione di conformità all’originale da parte dell’ufficio di segreteria.</w:t>
      </w:r>
    </w:p>
    <w:p w14:paraId="18C4C746" w14:textId="77777777" w:rsidR="00B32EF2" w:rsidRDefault="00000000">
      <w:pPr>
        <w:numPr>
          <w:ilvl w:val="0"/>
          <w:numId w:val="61"/>
        </w:numPr>
        <w:spacing w:after="4" w:line="254" w:lineRule="auto"/>
        <w:ind w:right="10" w:hanging="10"/>
        <w:jc w:val="both"/>
      </w:pPr>
      <w:r>
        <w:rPr>
          <w:rFonts w:ascii="Arial" w:eastAsia="Arial" w:hAnsi="Arial" w:cs="Arial"/>
          <w:sz w:val="18"/>
        </w:rPr>
        <w:t xml:space="preserve">La copia informatica o cartacea munita dell’attestazione di conformità </w:t>
      </w:r>
      <w:proofErr w:type="spellStart"/>
      <w:r>
        <w:rPr>
          <w:rFonts w:ascii="Arial" w:eastAsia="Arial" w:hAnsi="Arial" w:cs="Arial"/>
          <w:sz w:val="18"/>
        </w:rPr>
        <w:t>aisensi</w:t>
      </w:r>
      <w:proofErr w:type="spellEnd"/>
      <w:r>
        <w:rPr>
          <w:rFonts w:ascii="Arial" w:eastAsia="Arial" w:hAnsi="Arial" w:cs="Arial"/>
          <w:sz w:val="18"/>
        </w:rPr>
        <w:t xml:space="preserve"> dei commi precedenti equivale all’originale o alla copia conforme dell’atto o del provvedimento detenuto ovvero presente nel fascicolo informatico.</w:t>
      </w:r>
    </w:p>
    <w:p w14:paraId="501D82A6" w14:textId="77777777" w:rsidR="00B32EF2" w:rsidRDefault="00000000">
      <w:pPr>
        <w:numPr>
          <w:ilvl w:val="0"/>
          <w:numId w:val="61"/>
        </w:numPr>
        <w:spacing w:after="4" w:line="254" w:lineRule="auto"/>
        <w:ind w:right="10" w:hanging="10"/>
        <w:jc w:val="both"/>
      </w:pPr>
      <w:r>
        <w:rPr>
          <w:rFonts w:ascii="Arial" w:eastAsia="Arial" w:hAnsi="Arial" w:cs="Arial"/>
          <w:sz w:val="18"/>
        </w:rPr>
        <w:t xml:space="preserve">L’estrazione di copie autentiche ai sensi del presente articolo, esonera </w:t>
      </w:r>
      <w:proofErr w:type="spellStart"/>
      <w:r>
        <w:rPr>
          <w:rFonts w:ascii="Arial" w:eastAsia="Arial" w:hAnsi="Arial" w:cs="Arial"/>
          <w:sz w:val="18"/>
        </w:rPr>
        <w:t>dalpagamento</w:t>
      </w:r>
      <w:proofErr w:type="spellEnd"/>
      <w:r>
        <w:rPr>
          <w:rFonts w:ascii="Arial" w:eastAsia="Arial" w:hAnsi="Arial" w:cs="Arial"/>
          <w:sz w:val="18"/>
        </w:rPr>
        <w:t xml:space="preserve"> dei diritti di copia.</w:t>
      </w:r>
    </w:p>
    <w:p w14:paraId="1729F951" w14:textId="77777777" w:rsidR="00B32EF2" w:rsidRDefault="00000000">
      <w:pPr>
        <w:numPr>
          <w:ilvl w:val="0"/>
          <w:numId w:val="61"/>
        </w:numPr>
        <w:spacing w:after="4" w:line="254" w:lineRule="auto"/>
        <w:ind w:right="10" w:hanging="10"/>
        <w:jc w:val="both"/>
      </w:pPr>
      <w:r>
        <w:rPr>
          <w:rFonts w:ascii="Arial" w:eastAsia="Arial" w:hAnsi="Arial" w:cs="Arial"/>
          <w:sz w:val="18"/>
        </w:rPr>
        <w:t xml:space="preserve">Nel compimento dell’attestazione di conformità i soggetti di cui al </w:t>
      </w:r>
      <w:proofErr w:type="spellStart"/>
      <w:r>
        <w:rPr>
          <w:rFonts w:ascii="Arial" w:eastAsia="Arial" w:hAnsi="Arial" w:cs="Arial"/>
          <w:sz w:val="18"/>
        </w:rPr>
        <w:t>presentearticolo</w:t>
      </w:r>
      <w:proofErr w:type="spellEnd"/>
      <w:r>
        <w:rPr>
          <w:rFonts w:ascii="Arial" w:eastAsia="Arial" w:hAnsi="Arial" w:cs="Arial"/>
          <w:sz w:val="18"/>
        </w:rPr>
        <w:t xml:space="preserve"> assumono ad ogni effetto la veste di pubblici ufficiali.</w:t>
      </w:r>
    </w:p>
    <w:p w14:paraId="404E5831" w14:textId="77777777" w:rsidR="00B32EF2" w:rsidRDefault="00000000">
      <w:pPr>
        <w:spacing w:after="4" w:line="254" w:lineRule="auto"/>
        <w:ind w:left="-4" w:right="10" w:hanging="10"/>
        <w:jc w:val="both"/>
      </w:pPr>
      <w:r>
        <w:rPr>
          <w:rFonts w:ascii="Arial" w:eastAsia="Arial" w:hAnsi="Arial" w:cs="Arial"/>
          <w:sz w:val="18"/>
        </w:rPr>
        <w:t>5-bis. Gli atti e i documenti del fascicolo telematico non devono essere nuovamente depositati nelle fasi successive del giudizio o nei suoi ulteriori gradi. Il giudice non tiene conto degli atti e dei documenti su supporto cartaceo dei quali non è depositata nel fascicolo telematico la copia informatica, anche per immagine, munita di attestazione di conformità al documento analogico detenuto dal difensore. (1).</w:t>
      </w:r>
    </w:p>
    <w:p w14:paraId="189A1962" w14:textId="77777777" w:rsidR="00B32EF2" w:rsidRDefault="00000000">
      <w:pPr>
        <w:spacing w:after="0" w:line="261" w:lineRule="auto"/>
        <w:ind w:left="-4" w:right="-13" w:hanging="10"/>
        <w:jc w:val="both"/>
      </w:pPr>
      <w:r>
        <w:rPr>
          <w:rFonts w:ascii="Arial" w:eastAsia="Arial" w:hAnsi="Arial" w:cs="Arial"/>
          <w:sz w:val="15"/>
        </w:rPr>
        <w:t>(1) L’art 16 del D.lgs. n. 81 del 12/06/2025, ha modificato il presente articolo sostituendo al comma 5 bis, secondo periodo, le parole: «all’originale» con «al documento analogico detenuto dal difensore»;</w:t>
      </w:r>
    </w:p>
    <w:tbl>
      <w:tblPr>
        <w:tblStyle w:val="TableGrid"/>
        <w:tblW w:w="6236" w:type="dxa"/>
        <w:tblInd w:w="-9" w:type="dxa"/>
        <w:tblCellMar>
          <w:top w:w="0" w:type="dxa"/>
          <w:left w:w="123" w:type="dxa"/>
          <w:bottom w:w="0" w:type="dxa"/>
          <w:right w:w="73" w:type="dxa"/>
        </w:tblCellMar>
        <w:tblLook w:val="04A0" w:firstRow="1" w:lastRow="0" w:firstColumn="1" w:lastColumn="0" w:noHBand="0" w:noVBand="1"/>
      </w:tblPr>
      <w:tblGrid>
        <w:gridCol w:w="6236"/>
      </w:tblGrid>
      <w:tr w:rsidR="00B32EF2" w14:paraId="47A8391C" w14:textId="77777777">
        <w:trPr>
          <w:trHeight w:val="5810"/>
        </w:trPr>
        <w:tc>
          <w:tcPr>
            <w:tcW w:w="6236" w:type="dxa"/>
            <w:tcBorders>
              <w:top w:val="single" w:sz="8" w:space="0" w:color="000000"/>
              <w:left w:val="single" w:sz="8" w:space="0" w:color="000000"/>
              <w:bottom w:val="single" w:sz="8" w:space="0" w:color="000000"/>
              <w:right w:val="single" w:sz="8" w:space="0" w:color="000000"/>
            </w:tcBorders>
            <w:shd w:val="clear" w:color="auto" w:fill="C3C3C3"/>
            <w:vAlign w:val="center"/>
          </w:tcPr>
          <w:p w14:paraId="6ACC8650" w14:textId="77777777" w:rsidR="00B32EF2" w:rsidRDefault="00000000">
            <w:pPr>
              <w:spacing w:after="0"/>
            </w:pPr>
            <w:r>
              <w:rPr>
                <w:rFonts w:ascii="Arial" w:eastAsia="Arial" w:hAnsi="Arial" w:cs="Arial"/>
                <w:b/>
                <w:i/>
                <w:sz w:val="18"/>
              </w:rPr>
              <w:lastRenderedPageBreak/>
              <w:t>NORME RICHIAMATE</w:t>
            </w:r>
          </w:p>
          <w:p w14:paraId="4349905E" w14:textId="77777777" w:rsidR="00B32EF2" w:rsidRDefault="00000000">
            <w:pPr>
              <w:spacing w:after="0" w:line="250" w:lineRule="auto"/>
              <w:jc w:val="both"/>
            </w:pPr>
            <w:r>
              <w:rPr>
                <w:rFonts w:ascii="Arial" w:eastAsia="Arial" w:hAnsi="Arial" w:cs="Arial"/>
                <w:i/>
                <w:sz w:val="18"/>
              </w:rPr>
              <w:t xml:space="preserve">art. 53 D.lgs. 446/1997 “Albo per l’accertamento e riscossione delle entrate degli enti locali” </w:t>
            </w:r>
          </w:p>
          <w:p w14:paraId="78342FCD" w14:textId="77777777" w:rsidR="00B32EF2" w:rsidRDefault="00000000">
            <w:pPr>
              <w:spacing w:after="0" w:line="250" w:lineRule="auto"/>
              <w:ind w:right="1499"/>
            </w:pPr>
            <w:r>
              <w:rPr>
                <w:rFonts w:ascii="Arial" w:eastAsia="Arial" w:hAnsi="Arial" w:cs="Arial"/>
                <w:i/>
                <w:sz w:val="18"/>
              </w:rPr>
              <w:t>D.lgs. 82/2005 “Codice dell’amministrazione digitale” art. 14 D.M. 163/2013 “Fascicolo informatico”</w:t>
            </w:r>
          </w:p>
          <w:p w14:paraId="051ABA85" w14:textId="77777777" w:rsidR="00B32EF2" w:rsidRDefault="00000000">
            <w:pPr>
              <w:numPr>
                <w:ilvl w:val="0"/>
                <w:numId w:val="209"/>
              </w:numPr>
              <w:spacing w:after="0" w:line="250" w:lineRule="auto"/>
              <w:ind w:right="50"/>
              <w:jc w:val="both"/>
            </w:pPr>
            <w:r>
              <w:rPr>
                <w:rFonts w:ascii="Arial" w:eastAsia="Arial" w:hAnsi="Arial" w:cs="Arial"/>
                <w:i/>
                <w:sz w:val="18"/>
              </w:rPr>
              <w:t xml:space="preserve">La segreteria della Commissione tributaria forma il fascicolo </w:t>
            </w:r>
            <w:proofErr w:type="spellStart"/>
            <w:r>
              <w:rPr>
                <w:rFonts w:ascii="Arial" w:eastAsia="Arial" w:hAnsi="Arial" w:cs="Arial"/>
                <w:i/>
                <w:sz w:val="18"/>
              </w:rPr>
              <w:t>informaticoai</w:t>
            </w:r>
            <w:proofErr w:type="spellEnd"/>
            <w:r>
              <w:rPr>
                <w:rFonts w:ascii="Arial" w:eastAsia="Arial" w:hAnsi="Arial" w:cs="Arial"/>
                <w:i/>
                <w:sz w:val="18"/>
              </w:rPr>
              <w:t xml:space="preserve"> sensi dell’articolo 41, comma 2-bis, del decreto legislativo 7 marzo 2005, n. 82, con le modalità tecnico-operative stabilite dal decreto di cui all’articolo 3, comma 3, inserendovi anche le attestazioni rilasciate dal </w:t>
            </w:r>
            <w:proofErr w:type="spellStart"/>
            <w:r>
              <w:rPr>
                <w:rFonts w:ascii="Arial" w:eastAsia="Arial" w:hAnsi="Arial" w:cs="Arial"/>
                <w:i/>
                <w:sz w:val="18"/>
              </w:rPr>
              <w:t>S.I.Gi.T</w:t>
            </w:r>
            <w:proofErr w:type="spellEnd"/>
            <w:r>
              <w:rPr>
                <w:rFonts w:ascii="Arial" w:eastAsia="Arial" w:hAnsi="Arial" w:cs="Arial"/>
                <w:i/>
                <w:sz w:val="18"/>
              </w:rPr>
              <w:t xml:space="preserve"> ed ogni altro atto e documento informatico acquisito dal </w:t>
            </w:r>
            <w:proofErr w:type="spellStart"/>
            <w:r>
              <w:rPr>
                <w:rFonts w:ascii="Arial" w:eastAsia="Arial" w:hAnsi="Arial" w:cs="Arial"/>
                <w:i/>
                <w:sz w:val="18"/>
              </w:rPr>
              <w:t>SI.Gi.T</w:t>
            </w:r>
            <w:proofErr w:type="spellEnd"/>
            <w:r>
              <w:rPr>
                <w:rFonts w:ascii="Arial" w:eastAsia="Arial" w:hAnsi="Arial" w:cs="Arial"/>
                <w:i/>
                <w:sz w:val="18"/>
              </w:rPr>
              <w:t>.</w:t>
            </w:r>
          </w:p>
          <w:p w14:paraId="6D723B48" w14:textId="77777777" w:rsidR="00B32EF2" w:rsidRDefault="00000000">
            <w:pPr>
              <w:numPr>
                <w:ilvl w:val="0"/>
                <w:numId w:val="209"/>
              </w:numPr>
              <w:spacing w:after="0" w:line="250" w:lineRule="auto"/>
              <w:ind w:right="50"/>
              <w:jc w:val="both"/>
            </w:pPr>
            <w:r>
              <w:rPr>
                <w:rFonts w:ascii="Arial" w:eastAsia="Arial" w:hAnsi="Arial" w:cs="Arial"/>
                <w:i/>
                <w:sz w:val="18"/>
              </w:rPr>
              <w:t xml:space="preserve">Il fascicolo informatico contiene anche le copie informatiche degli atti </w:t>
            </w:r>
            <w:proofErr w:type="spellStart"/>
            <w:r>
              <w:rPr>
                <w:rFonts w:ascii="Arial" w:eastAsia="Arial" w:hAnsi="Arial" w:cs="Arial"/>
                <w:i/>
                <w:sz w:val="18"/>
              </w:rPr>
              <w:t>edei</w:t>
            </w:r>
            <w:proofErr w:type="spellEnd"/>
            <w:r>
              <w:rPr>
                <w:rFonts w:ascii="Arial" w:eastAsia="Arial" w:hAnsi="Arial" w:cs="Arial"/>
                <w:i/>
                <w:sz w:val="18"/>
              </w:rPr>
              <w:t xml:space="preserve"> documenti cartacei prodotti e acquisiti ai sensi dell’articolo 12.</w:t>
            </w:r>
          </w:p>
          <w:p w14:paraId="5259377C" w14:textId="77777777" w:rsidR="00B32EF2" w:rsidRDefault="00000000">
            <w:pPr>
              <w:numPr>
                <w:ilvl w:val="0"/>
                <w:numId w:val="209"/>
              </w:numPr>
              <w:spacing w:after="0" w:line="250" w:lineRule="auto"/>
              <w:ind w:right="50"/>
              <w:jc w:val="both"/>
            </w:pPr>
            <w:r>
              <w:rPr>
                <w:rFonts w:ascii="Arial" w:eastAsia="Arial" w:hAnsi="Arial" w:cs="Arial"/>
                <w:i/>
                <w:sz w:val="18"/>
              </w:rPr>
              <w:t>Il fascicolo informatico sostituisce il fascicolo d’ufficio di cui all’articolo25 del decreto legislativo 31 dicembre 1992, n. 546, a condizione che contenga anche tutti gli atti e documenti cartacei prodotti e acquisiti ai sensi dell’articolo 12.</w:t>
            </w:r>
          </w:p>
          <w:p w14:paraId="43B2737A" w14:textId="77777777" w:rsidR="00B32EF2" w:rsidRDefault="00000000">
            <w:pPr>
              <w:numPr>
                <w:ilvl w:val="0"/>
                <w:numId w:val="209"/>
              </w:numPr>
              <w:spacing w:after="0" w:line="250" w:lineRule="auto"/>
              <w:ind w:right="50"/>
              <w:jc w:val="both"/>
            </w:pPr>
            <w:r>
              <w:rPr>
                <w:rFonts w:ascii="Arial" w:eastAsia="Arial" w:hAnsi="Arial" w:cs="Arial"/>
                <w:i/>
                <w:sz w:val="18"/>
              </w:rPr>
              <w:t xml:space="preserve">Il fascicolo informatico consente ai giudici tributari e agli altri </w:t>
            </w:r>
            <w:proofErr w:type="spellStart"/>
            <w:r>
              <w:rPr>
                <w:rFonts w:ascii="Arial" w:eastAsia="Arial" w:hAnsi="Arial" w:cs="Arial"/>
                <w:i/>
                <w:sz w:val="18"/>
              </w:rPr>
              <w:t>soggettiabilitati</w:t>
            </w:r>
            <w:proofErr w:type="spellEnd"/>
            <w:r>
              <w:rPr>
                <w:rFonts w:ascii="Arial" w:eastAsia="Arial" w:hAnsi="Arial" w:cs="Arial"/>
                <w:i/>
                <w:sz w:val="18"/>
              </w:rPr>
              <w:t xml:space="preserve"> al </w:t>
            </w:r>
            <w:proofErr w:type="spellStart"/>
            <w:r>
              <w:rPr>
                <w:rFonts w:ascii="Arial" w:eastAsia="Arial" w:hAnsi="Arial" w:cs="Arial"/>
                <w:i/>
                <w:sz w:val="18"/>
              </w:rPr>
              <w:t>SI.Gi.T</w:t>
            </w:r>
            <w:proofErr w:type="spellEnd"/>
            <w:r>
              <w:rPr>
                <w:rFonts w:ascii="Arial" w:eastAsia="Arial" w:hAnsi="Arial" w:cs="Arial"/>
                <w:i/>
                <w:sz w:val="18"/>
              </w:rPr>
              <w:t>. di cui all’articolo 3, comma 2, la diretta consultazione dello stesso, ed esonera le segreterie delle Commissioni tributarie dal produrre e rilasciare copie su supporto cartaceo degli atti e dei documenti informatici ivi contenuti ai soggetti abilitati alla consultazione.</w:t>
            </w:r>
          </w:p>
          <w:p w14:paraId="3004EA96" w14:textId="77777777" w:rsidR="00B32EF2" w:rsidRDefault="00000000">
            <w:pPr>
              <w:numPr>
                <w:ilvl w:val="0"/>
                <w:numId w:val="209"/>
              </w:numPr>
              <w:spacing w:after="0"/>
              <w:ind w:right="50"/>
              <w:jc w:val="both"/>
            </w:pPr>
            <w:r>
              <w:rPr>
                <w:rFonts w:ascii="Arial" w:eastAsia="Arial" w:hAnsi="Arial" w:cs="Arial"/>
                <w:i/>
                <w:sz w:val="18"/>
              </w:rPr>
              <w:t xml:space="preserve">Nel caso di richiesta delle parti di ottenere copia autentica degli </w:t>
            </w:r>
            <w:proofErr w:type="spellStart"/>
            <w:r>
              <w:rPr>
                <w:rFonts w:ascii="Arial" w:eastAsia="Arial" w:hAnsi="Arial" w:cs="Arial"/>
                <w:i/>
                <w:sz w:val="18"/>
              </w:rPr>
              <w:t>atticontenuti</w:t>
            </w:r>
            <w:proofErr w:type="spellEnd"/>
            <w:r>
              <w:rPr>
                <w:rFonts w:ascii="Arial" w:eastAsia="Arial" w:hAnsi="Arial" w:cs="Arial"/>
                <w:i/>
                <w:sz w:val="18"/>
              </w:rPr>
              <w:t xml:space="preserve"> nel fascicolo informatico, ai sensi degli articoli 25 e 38 del decreto legislativo 31 dicembre 1992, n. 546, l’ufficio di segreteria della Commissione tributaria, previo pagamento delle spese, provvede all’invio della copia stessa tramite PEC.</w:t>
            </w:r>
          </w:p>
        </w:tc>
      </w:tr>
    </w:tbl>
    <w:p w14:paraId="1BA3BEFE" w14:textId="77777777" w:rsidR="00B32EF2" w:rsidRDefault="00000000">
      <w:pPr>
        <w:spacing w:after="0" w:line="261" w:lineRule="auto"/>
        <w:ind w:left="12" w:right="3" w:hanging="10"/>
        <w:jc w:val="center"/>
      </w:pPr>
      <w:r>
        <w:rPr>
          <w:rFonts w:ascii="Arial" w:eastAsia="Arial" w:hAnsi="Arial" w:cs="Arial"/>
          <w:b/>
          <w:sz w:val="18"/>
        </w:rPr>
        <w:t>Articolo 26</w:t>
      </w:r>
    </w:p>
    <w:p w14:paraId="73E2C540" w14:textId="77777777" w:rsidR="00B32EF2" w:rsidRDefault="00000000">
      <w:pPr>
        <w:spacing w:after="3" w:line="251" w:lineRule="auto"/>
        <w:ind w:left="2320" w:right="2311" w:hanging="10"/>
        <w:jc w:val="center"/>
      </w:pPr>
      <w:r>
        <w:rPr>
          <w:rFonts w:ascii="Arial" w:eastAsia="Arial" w:hAnsi="Arial" w:cs="Arial"/>
          <w:i/>
          <w:sz w:val="18"/>
        </w:rPr>
        <w:t>(articolo 73 TUGT)</w:t>
      </w:r>
    </w:p>
    <w:p w14:paraId="5DB6242E" w14:textId="77777777" w:rsidR="00B32EF2" w:rsidRDefault="00000000">
      <w:pPr>
        <w:spacing w:after="0" w:line="261" w:lineRule="auto"/>
        <w:ind w:left="12" w:right="2" w:hanging="10"/>
        <w:jc w:val="center"/>
      </w:pPr>
      <w:r>
        <w:rPr>
          <w:rFonts w:ascii="Arial" w:eastAsia="Arial" w:hAnsi="Arial" w:cs="Arial"/>
          <w:b/>
          <w:sz w:val="18"/>
        </w:rPr>
        <w:t xml:space="preserve">Assegnazione del ricorso </w:t>
      </w:r>
    </w:p>
    <w:p w14:paraId="2F96E356" w14:textId="77777777" w:rsidR="00B32EF2" w:rsidRDefault="00000000">
      <w:pPr>
        <w:spacing w:after="4" w:line="254" w:lineRule="auto"/>
        <w:ind w:left="-4" w:right="10" w:hanging="10"/>
        <w:jc w:val="both"/>
      </w:pPr>
      <w:r>
        <w:rPr>
          <w:rFonts w:ascii="Arial" w:eastAsia="Arial" w:hAnsi="Arial" w:cs="Arial"/>
          <w:sz w:val="18"/>
        </w:rPr>
        <w:t xml:space="preserve">1. Il presidente della corte di giustizia tributaria di primo e secondo grado assegna il ricorso ad una delle sezioni; al di fuori dei casi di cui all’art. 29, comma 1, il presidente della commissione potrà assumere gli opportuni provvedimenti </w:t>
      </w:r>
      <w:proofErr w:type="spellStart"/>
      <w:r>
        <w:rPr>
          <w:rFonts w:ascii="Arial" w:eastAsia="Arial" w:hAnsi="Arial" w:cs="Arial"/>
          <w:sz w:val="18"/>
        </w:rPr>
        <w:t>affinchè</w:t>
      </w:r>
      <w:proofErr w:type="spellEnd"/>
      <w:r>
        <w:rPr>
          <w:rFonts w:ascii="Arial" w:eastAsia="Arial" w:hAnsi="Arial" w:cs="Arial"/>
          <w:sz w:val="18"/>
        </w:rPr>
        <w:t xml:space="preserve"> i ricorsi concernenti identiche questioni di diritto a carattere ripetitivo vengano assegnati alla medesima sezione per essere trattati congiuntamente.</w:t>
      </w:r>
    </w:p>
    <w:p w14:paraId="4A9C1FED" w14:textId="77777777" w:rsidR="00B32EF2" w:rsidRDefault="00000000">
      <w:pPr>
        <w:spacing w:after="0" w:line="261" w:lineRule="auto"/>
        <w:ind w:left="12" w:right="3" w:hanging="10"/>
        <w:jc w:val="center"/>
      </w:pPr>
      <w:r>
        <w:rPr>
          <w:rFonts w:ascii="Arial" w:eastAsia="Arial" w:hAnsi="Arial" w:cs="Arial"/>
          <w:b/>
          <w:sz w:val="18"/>
        </w:rPr>
        <w:t xml:space="preserve">SEZIONE II </w:t>
      </w:r>
    </w:p>
    <w:p w14:paraId="62819E16" w14:textId="77777777" w:rsidR="00B32EF2" w:rsidRDefault="00000000">
      <w:pPr>
        <w:spacing w:after="207" w:line="261" w:lineRule="auto"/>
        <w:ind w:left="12" w:right="3" w:hanging="10"/>
        <w:jc w:val="center"/>
      </w:pPr>
      <w:r>
        <w:rPr>
          <w:rFonts w:ascii="Arial" w:eastAsia="Arial" w:hAnsi="Arial" w:cs="Arial"/>
          <w:b/>
          <w:sz w:val="18"/>
        </w:rPr>
        <w:t xml:space="preserve"> L’ESAME PRELIMINARE DEL RICORSO</w:t>
      </w:r>
    </w:p>
    <w:p w14:paraId="219AADC7" w14:textId="77777777" w:rsidR="00B32EF2" w:rsidRDefault="00000000">
      <w:pPr>
        <w:spacing w:after="0" w:line="261" w:lineRule="auto"/>
        <w:ind w:left="12" w:right="3" w:hanging="10"/>
        <w:jc w:val="center"/>
      </w:pPr>
      <w:r>
        <w:rPr>
          <w:rFonts w:ascii="Arial" w:eastAsia="Arial" w:hAnsi="Arial" w:cs="Arial"/>
          <w:b/>
          <w:sz w:val="18"/>
        </w:rPr>
        <w:t>Articolo 27</w:t>
      </w:r>
    </w:p>
    <w:p w14:paraId="46096177" w14:textId="77777777" w:rsidR="00B32EF2" w:rsidRDefault="00000000">
      <w:pPr>
        <w:spacing w:after="3" w:line="251" w:lineRule="auto"/>
        <w:ind w:left="2320" w:right="2311" w:hanging="10"/>
        <w:jc w:val="center"/>
      </w:pPr>
      <w:r>
        <w:rPr>
          <w:rFonts w:ascii="Arial" w:eastAsia="Arial" w:hAnsi="Arial" w:cs="Arial"/>
          <w:i/>
          <w:sz w:val="18"/>
        </w:rPr>
        <w:t>(articolo 75 TUGT)</w:t>
      </w:r>
    </w:p>
    <w:p w14:paraId="70ECF894" w14:textId="77777777" w:rsidR="00B32EF2" w:rsidRDefault="00000000">
      <w:pPr>
        <w:spacing w:after="0" w:line="261" w:lineRule="auto"/>
        <w:ind w:left="12" w:right="2" w:hanging="10"/>
        <w:jc w:val="center"/>
      </w:pPr>
      <w:r>
        <w:rPr>
          <w:rFonts w:ascii="Arial" w:eastAsia="Arial" w:hAnsi="Arial" w:cs="Arial"/>
          <w:b/>
          <w:sz w:val="18"/>
        </w:rPr>
        <w:t xml:space="preserve">Esame preliminare del ricorso </w:t>
      </w:r>
    </w:p>
    <w:p w14:paraId="4E094A9D" w14:textId="77777777" w:rsidR="00B32EF2" w:rsidRDefault="00000000">
      <w:pPr>
        <w:numPr>
          <w:ilvl w:val="0"/>
          <w:numId w:val="62"/>
        </w:numPr>
        <w:spacing w:after="4" w:line="254" w:lineRule="auto"/>
        <w:ind w:right="10" w:hanging="10"/>
        <w:jc w:val="both"/>
      </w:pPr>
      <w:r>
        <w:rPr>
          <w:rFonts w:ascii="Arial" w:eastAsia="Arial" w:hAnsi="Arial" w:cs="Arial"/>
          <w:sz w:val="18"/>
        </w:rPr>
        <w:lastRenderedPageBreak/>
        <w:t xml:space="preserve">Il presidente della sezione, scaduti i termini per la costituzione in </w:t>
      </w:r>
      <w:proofErr w:type="spellStart"/>
      <w:r>
        <w:rPr>
          <w:rFonts w:ascii="Arial" w:eastAsia="Arial" w:hAnsi="Arial" w:cs="Arial"/>
          <w:sz w:val="18"/>
        </w:rPr>
        <w:t>giudiziodelle</w:t>
      </w:r>
      <w:proofErr w:type="spellEnd"/>
      <w:r>
        <w:rPr>
          <w:rFonts w:ascii="Arial" w:eastAsia="Arial" w:hAnsi="Arial" w:cs="Arial"/>
          <w:sz w:val="18"/>
        </w:rPr>
        <w:t xml:space="preserve"> parti, esamina preliminarmente il ricorso e ne dichiara l’</w:t>
      </w:r>
      <w:proofErr w:type="spellStart"/>
      <w:r>
        <w:rPr>
          <w:rFonts w:ascii="Arial" w:eastAsia="Arial" w:hAnsi="Arial" w:cs="Arial"/>
          <w:sz w:val="18"/>
        </w:rPr>
        <w:t>inammissibilita</w:t>
      </w:r>
      <w:proofErr w:type="spellEnd"/>
      <w:r>
        <w:rPr>
          <w:rFonts w:ascii="Arial" w:eastAsia="Arial" w:hAnsi="Arial" w:cs="Arial"/>
          <w:sz w:val="18"/>
        </w:rPr>
        <w:t xml:space="preserve"> nei casi espressamente previsti, se manifesta.</w:t>
      </w:r>
    </w:p>
    <w:p w14:paraId="558044D2" w14:textId="77777777" w:rsidR="00B32EF2" w:rsidRDefault="00000000">
      <w:pPr>
        <w:numPr>
          <w:ilvl w:val="0"/>
          <w:numId w:val="62"/>
        </w:numPr>
        <w:spacing w:after="4" w:line="254" w:lineRule="auto"/>
        <w:ind w:right="10" w:hanging="10"/>
        <w:jc w:val="both"/>
      </w:pPr>
      <w:r>
        <w:rPr>
          <w:rFonts w:ascii="Arial" w:eastAsia="Arial" w:hAnsi="Arial" w:cs="Arial"/>
          <w:sz w:val="18"/>
        </w:rPr>
        <w:t xml:space="preserve">Il presidente, ove ne sussistano i presupposti, dichiara inoltre la </w:t>
      </w:r>
      <w:proofErr w:type="spellStart"/>
      <w:r>
        <w:rPr>
          <w:rFonts w:ascii="Arial" w:eastAsia="Arial" w:hAnsi="Arial" w:cs="Arial"/>
          <w:sz w:val="18"/>
        </w:rPr>
        <w:t>sospensione,l’interruzione</w:t>
      </w:r>
      <w:proofErr w:type="spellEnd"/>
      <w:r>
        <w:rPr>
          <w:rFonts w:ascii="Arial" w:eastAsia="Arial" w:hAnsi="Arial" w:cs="Arial"/>
          <w:sz w:val="18"/>
        </w:rPr>
        <w:t xml:space="preserve"> e l’estinzione del processo.</w:t>
      </w:r>
    </w:p>
    <w:p w14:paraId="34DD19AF" w14:textId="77777777" w:rsidR="00B32EF2" w:rsidRDefault="00000000">
      <w:pPr>
        <w:numPr>
          <w:ilvl w:val="0"/>
          <w:numId w:val="62"/>
        </w:numPr>
        <w:spacing w:after="213" w:line="254" w:lineRule="auto"/>
        <w:ind w:right="10" w:hanging="10"/>
        <w:jc w:val="both"/>
      </w:pPr>
      <w:r>
        <w:rPr>
          <w:rFonts w:ascii="Arial" w:eastAsia="Arial" w:hAnsi="Arial" w:cs="Arial"/>
          <w:sz w:val="18"/>
        </w:rPr>
        <w:t xml:space="preserve">I provvedimenti di cui ai commi precedenti hanno forma di decreto e </w:t>
      </w:r>
      <w:proofErr w:type="spellStart"/>
      <w:r>
        <w:rPr>
          <w:rFonts w:ascii="Arial" w:eastAsia="Arial" w:hAnsi="Arial" w:cs="Arial"/>
          <w:sz w:val="18"/>
        </w:rPr>
        <w:t>sonosoggetti</w:t>
      </w:r>
      <w:proofErr w:type="spellEnd"/>
      <w:r>
        <w:rPr>
          <w:rFonts w:ascii="Arial" w:eastAsia="Arial" w:hAnsi="Arial" w:cs="Arial"/>
          <w:sz w:val="18"/>
        </w:rPr>
        <w:t xml:space="preserve"> a reclamo innanzi alla commissione.</w:t>
      </w:r>
    </w:p>
    <w:p w14:paraId="212F2FE9" w14:textId="77777777" w:rsidR="00B32EF2" w:rsidRDefault="00000000">
      <w:pPr>
        <w:spacing w:after="0" w:line="261" w:lineRule="auto"/>
        <w:ind w:left="12" w:right="3" w:hanging="10"/>
        <w:jc w:val="center"/>
      </w:pPr>
      <w:r>
        <w:rPr>
          <w:rFonts w:ascii="Arial" w:eastAsia="Arial" w:hAnsi="Arial" w:cs="Arial"/>
          <w:b/>
          <w:sz w:val="18"/>
        </w:rPr>
        <w:t>Articolo 28</w:t>
      </w:r>
    </w:p>
    <w:p w14:paraId="2A4DAF40" w14:textId="77777777" w:rsidR="00B32EF2" w:rsidRDefault="00000000">
      <w:pPr>
        <w:spacing w:after="3" w:line="251" w:lineRule="auto"/>
        <w:ind w:left="2320" w:right="2311" w:hanging="10"/>
        <w:jc w:val="center"/>
      </w:pPr>
      <w:r>
        <w:rPr>
          <w:rFonts w:ascii="Arial" w:eastAsia="Arial" w:hAnsi="Arial" w:cs="Arial"/>
          <w:i/>
          <w:sz w:val="18"/>
        </w:rPr>
        <w:t>(articolo 76 TUGT)</w:t>
      </w:r>
    </w:p>
    <w:p w14:paraId="0148E72C" w14:textId="77777777" w:rsidR="00B32EF2" w:rsidRDefault="00000000">
      <w:pPr>
        <w:spacing w:after="0" w:line="261" w:lineRule="auto"/>
        <w:ind w:left="12" w:right="2" w:hanging="10"/>
        <w:jc w:val="center"/>
      </w:pPr>
      <w:r>
        <w:rPr>
          <w:rFonts w:ascii="Arial" w:eastAsia="Arial" w:hAnsi="Arial" w:cs="Arial"/>
          <w:b/>
          <w:sz w:val="18"/>
        </w:rPr>
        <w:t xml:space="preserve">Reclamo contro i provvedimenti presidenziali </w:t>
      </w:r>
    </w:p>
    <w:p w14:paraId="64D929F2" w14:textId="77777777" w:rsidR="00B32EF2" w:rsidRDefault="00000000">
      <w:pPr>
        <w:numPr>
          <w:ilvl w:val="0"/>
          <w:numId w:val="63"/>
        </w:numPr>
        <w:spacing w:after="4" w:line="254" w:lineRule="auto"/>
        <w:ind w:right="10" w:hanging="10"/>
        <w:jc w:val="both"/>
      </w:pPr>
      <w:r>
        <w:rPr>
          <w:rFonts w:ascii="Arial" w:eastAsia="Arial" w:hAnsi="Arial" w:cs="Arial"/>
          <w:sz w:val="18"/>
        </w:rPr>
        <w:t xml:space="preserve">Contro i  provvedimenti  del   presidente   è   ammesso   reclamo   </w:t>
      </w:r>
      <w:proofErr w:type="spellStart"/>
      <w:r>
        <w:rPr>
          <w:rFonts w:ascii="Arial" w:eastAsia="Arial" w:hAnsi="Arial" w:cs="Arial"/>
          <w:sz w:val="18"/>
        </w:rPr>
        <w:t>danotificare</w:t>
      </w:r>
      <w:proofErr w:type="spellEnd"/>
      <w:r>
        <w:rPr>
          <w:rFonts w:ascii="Arial" w:eastAsia="Arial" w:hAnsi="Arial" w:cs="Arial"/>
          <w:sz w:val="18"/>
        </w:rPr>
        <w:t xml:space="preserve"> alle altre parti costituite nelle forme di cui all’art. 20, commi 1 e 2, entro il termine perentorio di giorni trenta dalla loro comunicazione da parte della segreteria.</w:t>
      </w:r>
    </w:p>
    <w:p w14:paraId="7A2B1422" w14:textId="77777777" w:rsidR="00B32EF2" w:rsidRDefault="00000000">
      <w:pPr>
        <w:numPr>
          <w:ilvl w:val="0"/>
          <w:numId w:val="63"/>
        </w:numPr>
        <w:spacing w:after="4" w:line="254" w:lineRule="auto"/>
        <w:ind w:right="10" w:hanging="10"/>
        <w:jc w:val="both"/>
      </w:pPr>
      <w:r>
        <w:rPr>
          <w:rFonts w:ascii="Arial" w:eastAsia="Arial" w:hAnsi="Arial" w:cs="Arial"/>
          <w:sz w:val="18"/>
        </w:rPr>
        <w:t>Il reclamante, nel termine perentorio di quindici giorni dall’ultima notificazione, a pena d’inammissibilità rilevabile d’ufficio, effettua il deposito secondo quanto disposto dall’art. 22, comma 1, osservato anche il comma 3 dell’articolo richiamato.</w:t>
      </w:r>
    </w:p>
    <w:p w14:paraId="61B0653E" w14:textId="77777777" w:rsidR="00B32EF2" w:rsidRDefault="00000000">
      <w:pPr>
        <w:numPr>
          <w:ilvl w:val="0"/>
          <w:numId w:val="63"/>
        </w:numPr>
        <w:spacing w:after="4" w:line="254" w:lineRule="auto"/>
        <w:ind w:right="10" w:hanging="10"/>
        <w:jc w:val="both"/>
      </w:pPr>
      <w:r>
        <w:rPr>
          <w:rFonts w:ascii="Arial" w:eastAsia="Arial" w:hAnsi="Arial" w:cs="Arial"/>
          <w:sz w:val="18"/>
        </w:rPr>
        <w:t xml:space="preserve">Nei successivi quindici giorni dalla notifica del  reclamo  le  altre </w:t>
      </w:r>
      <w:proofErr w:type="spellStart"/>
      <w:r>
        <w:rPr>
          <w:rFonts w:ascii="Arial" w:eastAsia="Arial" w:hAnsi="Arial" w:cs="Arial"/>
          <w:sz w:val="18"/>
        </w:rPr>
        <w:t>partipossono</w:t>
      </w:r>
      <w:proofErr w:type="spellEnd"/>
      <w:r>
        <w:rPr>
          <w:rFonts w:ascii="Arial" w:eastAsia="Arial" w:hAnsi="Arial" w:cs="Arial"/>
          <w:sz w:val="18"/>
        </w:rPr>
        <w:t xml:space="preserve"> presentare memorie.</w:t>
      </w:r>
    </w:p>
    <w:p w14:paraId="4728F655" w14:textId="77777777" w:rsidR="00B32EF2" w:rsidRDefault="00000000">
      <w:pPr>
        <w:numPr>
          <w:ilvl w:val="0"/>
          <w:numId w:val="63"/>
        </w:numPr>
        <w:spacing w:after="4" w:line="254" w:lineRule="auto"/>
        <w:ind w:right="10" w:hanging="10"/>
        <w:jc w:val="both"/>
      </w:pPr>
      <w:r>
        <w:rPr>
          <w:rFonts w:ascii="Arial" w:eastAsia="Arial" w:hAnsi="Arial" w:cs="Arial"/>
          <w:sz w:val="18"/>
        </w:rPr>
        <w:t>Scaduti i  termini,  la  commissione  decide  immediatamente  il  reclamo incamera di consiglio.</w:t>
      </w:r>
    </w:p>
    <w:p w14:paraId="097EE98F" w14:textId="77777777" w:rsidR="00B32EF2" w:rsidRDefault="00000000">
      <w:pPr>
        <w:numPr>
          <w:ilvl w:val="0"/>
          <w:numId w:val="63"/>
        </w:numPr>
        <w:spacing w:after="213" w:line="254" w:lineRule="auto"/>
        <w:ind w:right="10" w:hanging="10"/>
        <w:jc w:val="both"/>
      </w:pPr>
      <w:r>
        <w:rPr>
          <w:rFonts w:ascii="Arial" w:eastAsia="Arial" w:hAnsi="Arial" w:cs="Arial"/>
          <w:sz w:val="18"/>
        </w:rPr>
        <w:t xml:space="preserve">La commissione pronuncia  sentenza  se  dichiara  l’inammissibilità  </w:t>
      </w:r>
      <w:proofErr w:type="spellStart"/>
      <w:r>
        <w:rPr>
          <w:rFonts w:ascii="Arial" w:eastAsia="Arial" w:hAnsi="Arial" w:cs="Arial"/>
          <w:sz w:val="18"/>
        </w:rPr>
        <w:t>delricorso</w:t>
      </w:r>
      <w:proofErr w:type="spellEnd"/>
      <w:r>
        <w:rPr>
          <w:rFonts w:ascii="Arial" w:eastAsia="Arial" w:hAnsi="Arial" w:cs="Arial"/>
          <w:sz w:val="18"/>
        </w:rPr>
        <w:t xml:space="preserve">  o l’estinzione del processo; negli altri casi pronuncia ordinanza non impugnabile nella quale sono dati i  provvedimenti  per  la  prosecuzione  del processo.</w:t>
      </w:r>
    </w:p>
    <w:p w14:paraId="64D2BBC9" w14:textId="77777777" w:rsidR="00B32EF2" w:rsidRDefault="00000000">
      <w:pPr>
        <w:spacing w:after="0" w:line="261" w:lineRule="auto"/>
        <w:ind w:left="12" w:right="3" w:hanging="10"/>
        <w:jc w:val="center"/>
      </w:pPr>
      <w:r>
        <w:rPr>
          <w:rFonts w:ascii="Arial" w:eastAsia="Arial" w:hAnsi="Arial" w:cs="Arial"/>
          <w:b/>
          <w:sz w:val="18"/>
        </w:rPr>
        <w:t>Articolo 29</w:t>
      </w:r>
    </w:p>
    <w:p w14:paraId="037AE7A3" w14:textId="77777777" w:rsidR="00B32EF2" w:rsidRDefault="00000000">
      <w:pPr>
        <w:spacing w:after="3" w:line="251" w:lineRule="auto"/>
        <w:ind w:left="2320" w:right="2311" w:hanging="10"/>
        <w:jc w:val="center"/>
      </w:pPr>
      <w:r>
        <w:rPr>
          <w:rFonts w:ascii="Arial" w:eastAsia="Arial" w:hAnsi="Arial" w:cs="Arial"/>
          <w:i/>
          <w:sz w:val="18"/>
        </w:rPr>
        <w:t>(articolo 77 TUGT)</w:t>
      </w:r>
    </w:p>
    <w:p w14:paraId="1D1514FC" w14:textId="77777777" w:rsidR="00B32EF2" w:rsidRDefault="00000000">
      <w:pPr>
        <w:spacing w:after="0" w:line="261" w:lineRule="auto"/>
        <w:ind w:left="12" w:right="2" w:hanging="10"/>
        <w:jc w:val="center"/>
      </w:pPr>
      <w:r>
        <w:rPr>
          <w:rFonts w:ascii="Arial" w:eastAsia="Arial" w:hAnsi="Arial" w:cs="Arial"/>
          <w:b/>
          <w:sz w:val="18"/>
        </w:rPr>
        <w:t xml:space="preserve">Riunione dei ricorsi </w:t>
      </w:r>
    </w:p>
    <w:p w14:paraId="4CD2C6F0" w14:textId="77777777" w:rsidR="00B32EF2" w:rsidRDefault="00000000">
      <w:pPr>
        <w:numPr>
          <w:ilvl w:val="0"/>
          <w:numId w:val="64"/>
        </w:numPr>
        <w:spacing w:after="4" w:line="254" w:lineRule="auto"/>
        <w:ind w:right="10" w:hanging="10"/>
        <w:jc w:val="both"/>
      </w:pPr>
      <w:r>
        <w:rPr>
          <w:rFonts w:ascii="Arial" w:eastAsia="Arial" w:hAnsi="Arial" w:cs="Arial"/>
          <w:sz w:val="18"/>
        </w:rPr>
        <w:t xml:space="preserve">In qualunque momento il presidente  della  sezione  dispone  con  decreto </w:t>
      </w:r>
      <w:proofErr w:type="spellStart"/>
      <w:r>
        <w:rPr>
          <w:rFonts w:ascii="Arial" w:eastAsia="Arial" w:hAnsi="Arial" w:cs="Arial"/>
          <w:sz w:val="18"/>
        </w:rPr>
        <w:t>lariunione</w:t>
      </w:r>
      <w:proofErr w:type="spellEnd"/>
      <w:r>
        <w:rPr>
          <w:rFonts w:ascii="Arial" w:eastAsia="Arial" w:hAnsi="Arial" w:cs="Arial"/>
          <w:sz w:val="18"/>
        </w:rPr>
        <w:t xml:space="preserve">  dei  ricorsi  assegnati  alla  sezione  da  lui  presieduta  che hanno lo stesso oggetto o sono fra loro connessi.</w:t>
      </w:r>
    </w:p>
    <w:p w14:paraId="4D26B24A" w14:textId="77777777" w:rsidR="00B32EF2" w:rsidRDefault="00000000">
      <w:pPr>
        <w:numPr>
          <w:ilvl w:val="0"/>
          <w:numId w:val="64"/>
        </w:numPr>
        <w:spacing w:after="4" w:line="254" w:lineRule="auto"/>
        <w:ind w:right="10" w:hanging="10"/>
        <w:jc w:val="both"/>
      </w:pPr>
      <w:r>
        <w:rPr>
          <w:rFonts w:ascii="Arial" w:eastAsia="Arial" w:hAnsi="Arial" w:cs="Arial"/>
          <w:sz w:val="18"/>
        </w:rPr>
        <w:t xml:space="preserve">Se i  processi  pendono  dinanzi  a   sezioni   diverse   della   </w:t>
      </w:r>
      <w:proofErr w:type="spellStart"/>
      <w:r>
        <w:rPr>
          <w:rFonts w:ascii="Arial" w:eastAsia="Arial" w:hAnsi="Arial" w:cs="Arial"/>
          <w:sz w:val="18"/>
        </w:rPr>
        <w:t>stessacommissione</w:t>
      </w:r>
      <w:proofErr w:type="spellEnd"/>
      <w:r>
        <w:rPr>
          <w:rFonts w:ascii="Arial" w:eastAsia="Arial" w:hAnsi="Arial" w:cs="Arial"/>
          <w:sz w:val="18"/>
        </w:rPr>
        <w:t xml:space="preserve"> il presidente di questa, di ufficio o su istanza  di  parte  o  su segnalazione dei presidenti delle sezioni, determina con decreto la    sezione davanti  alla  quale  i  processi  devono   proseguire,  riservando   a   tale sezione  di  provvedere  ai  sensi   del   comma precedente.</w:t>
      </w:r>
    </w:p>
    <w:p w14:paraId="60929733" w14:textId="77777777" w:rsidR="00B32EF2" w:rsidRDefault="00000000">
      <w:pPr>
        <w:numPr>
          <w:ilvl w:val="0"/>
          <w:numId w:val="64"/>
        </w:numPr>
        <w:spacing w:after="119" w:line="254" w:lineRule="auto"/>
        <w:ind w:right="10" w:hanging="10"/>
        <w:jc w:val="both"/>
      </w:pPr>
      <w:r>
        <w:rPr>
          <w:rFonts w:ascii="Arial" w:eastAsia="Arial" w:hAnsi="Arial" w:cs="Arial"/>
          <w:sz w:val="18"/>
        </w:rPr>
        <w:t xml:space="preserve">Il collegio,  se  rileva che la riunione dei processi connessi  ritarda o </w:t>
      </w:r>
      <w:proofErr w:type="spellStart"/>
      <w:r>
        <w:rPr>
          <w:rFonts w:ascii="Arial" w:eastAsia="Arial" w:hAnsi="Arial" w:cs="Arial"/>
          <w:sz w:val="18"/>
        </w:rPr>
        <w:t>rendepiù</w:t>
      </w:r>
      <w:proofErr w:type="spellEnd"/>
      <w:r>
        <w:rPr>
          <w:rFonts w:ascii="Arial" w:eastAsia="Arial" w:hAnsi="Arial" w:cs="Arial"/>
          <w:sz w:val="18"/>
        </w:rPr>
        <w:t xml:space="preserve"> gravosa  la  loro  trattazione,  può,  con  ordinanza  motivata, disporne la separazione.</w:t>
      </w:r>
    </w:p>
    <w:p w14:paraId="72BF62F4" w14:textId="77777777" w:rsidR="00B32EF2" w:rsidRDefault="00000000">
      <w:pPr>
        <w:pStyle w:val="Titolo3"/>
        <w:ind w:left="129" w:right="120"/>
      </w:pPr>
      <w:r>
        <w:lastRenderedPageBreak/>
        <w:t>NORME COLLEGATE</w:t>
      </w:r>
    </w:p>
    <w:p w14:paraId="33442C45"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40 c.p.c. “Connessione” </w:t>
      </w:r>
    </w:p>
    <w:p w14:paraId="59630FD5" w14:textId="77777777" w:rsidR="00B32EF2" w:rsidRDefault="00000000">
      <w:pPr>
        <w:numPr>
          <w:ilvl w:val="0"/>
          <w:numId w:val="65"/>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Se sono proposte davanti a giudici diversi più cause le quali, per </w:t>
      </w:r>
      <w:proofErr w:type="spellStart"/>
      <w:r>
        <w:rPr>
          <w:rFonts w:ascii="Arial" w:eastAsia="Arial" w:hAnsi="Arial" w:cs="Arial"/>
          <w:i/>
          <w:sz w:val="18"/>
        </w:rPr>
        <w:t>ragionedi</w:t>
      </w:r>
      <w:proofErr w:type="spellEnd"/>
      <w:r>
        <w:rPr>
          <w:rFonts w:ascii="Arial" w:eastAsia="Arial" w:hAnsi="Arial" w:cs="Arial"/>
          <w:i/>
          <w:sz w:val="18"/>
        </w:rPr>
        <w:t xml:space="preserve"> connessione, possono essere decise in un solo  processo, il giudice fissa con ordinanza alle parti un  termine  perentori per la riassunzione della causa accessoria davanti al  giudice  della causa principale, e negli altri casi davanti a quello preventivamente adito.</w:t>
      </w:r>
    </w:p>
    <w:p w14:paraId="48634422" w14:textId="77777777" w:rsidR="00B32EF2" w:rsidRDefault="00000000">
      <w:pPr>
        <w:numPr>
          <w:ilvl w:val="0"/>
          <w:numId w:val="65"/>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La connessione non può essere eccepita dalle  parti  </w:t>
      </w:r>
      <w:proofErr w:type="spellStart"/>
      <w:r>
        <w:rPr>
          <w:rFonts w:ascii="Arial" w:eastAsia="Arial" w:hAnsi="Arial" w:cs="Arial"/>
          <w:i/>
          <w:sz w:val="18"/>
        </w:rPr>
        <w:t>nè</w:t>
      </w:r>
      <w:proofErr w:type="spellEnd"/>
      <w:r>
        <w:rPr>
          <w:rFonts w:ascii="Arial" w:eastAsia="Arial" w:hAnsi="Arial" w:cs="Arial"/>
          <w:i/>
          <w:sz w:val="18"/>
        </w:rPr>
        <w:t xml:space="preserve">  rilevata d’</w:t>
      </w:r>
      <w:proofErr w:type="spellStart"/>
      <w:r>
        <w:rPr>
          <w:rFonts w:ascii="Arial" w:eastAsia="Arial" w:hAnsi="Arial" w:cs="Arial"/>
          <w:i/>
          <w:sz w:val="18"/>
        </w:rPr>
        <w:t>ufficiodopo</w:t>
      </w:r>
      <w:proofErr w:type="spellEnd"/>
      <w:r>
        <w:rPr>
          <w:rFonts w:ascii="Arial" w:eastAsia="Arial" w:hAnsi="Arial" w:cs="Arial"/>
          <w:i/>
          <w:sz w:val="18"/>
        </w:rPr>
        <w:t xml:space="preserve"> la prima udienza, e  la  rimessione  non  può  essere ordinata quando lo stato della  causa  principale  o  preventivamente proposta non consente l’esauriente  trattazione  e  decisione  delle cause connesse.</w:t>
      </w:r>
    </w:p>
    <w:p w14:paraId="23399974" w14:textId="77777777" w:rsidR="00B32EF2" w:rsidRDefault="00000000">
      <w:pPr>
        <w:numPr>
          <w:ilvl w:val="0"/>
          <w:numId w:val="65"/>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Nei casi previsti negli articoli 31, 32, 34, 35  e  36,  le  </w:t>
      </w:r>
      <w:proofErr w:type="spellStart"/>
      <w:r>
        <w:rPr>
          <w:rFonts w:ascii="Arial" w:eastAsia="Arial" w:hAnsi="Arial" w:cs="Arial"/>
          <w:i/>
          <w:sz w:val="18"/>
        </w:rPr>
        <w:t>cause,cumulativamente</w:t>
      </w:r>
      <w:proofErr w:type="spellEnd"/>
      <w:r>
        <w:rPr>
          <w:rFonts w:ascii="Arial" w:eastAsia="Arial" w:hAnsi="Arial" w:cs="Arial"/>
          <w:i/>
          <w:sz w:val="18"/>
        </w:rPr>
        <w:t xml:space="preserve"> proposte o successivamente  riunite,  debbono  essere trattate e decise col rito ordinario, salva l’applicazione  del  solo rito speciale quando una di tali cause rientri  fra  quelle  indicate negli articoli 409 e 442. 4. Qualora le cause connesse  siano  assoggettate  a  differenti  riti speciali debbono essere trattate  e  decise  col  rito  previsto  per quella  tra  esse in  ragione  della  quale  viene  determinata   la competenza o, in subordine, col rito previsto per la causa di maggior valore.</w:t>
      </w:r>
    </w:p>
    <w:p w14:paraId="73C0CD75" w14:textId="77777777" w:rsidR="00B32EF2" w:rsidRDefault="00000000">
      <w:pPr>
        <w:numPr>
          <w:ilvl w:val="0"/>
          <w:numId w:val="66"/>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Se la causa è  stata  trattata  con  un  rito  diverso  da  quello </w:t>
      </w:r>
      <w:proofErr w:type="spellStart"/>
      <w:r>
        <w:rPr>
          <w:rFonts w:ascii="Arial" w:eastAsia="Arial" w:hAnsi="Arial" w:cs="Arial"/>
          <w:i/>
          <w:sz w:val="18"/>
        </w:rPr>
        <w:t>divenutoapplicabile</w:t>
      </w:r>
      <w:proofErr w:type="spellEnd"/>
      <w:r>
        <w:rPr>
          <w:rFonts w:ascii="Arial" w:eastAsia="Arial" w:hAnsi="Arial" w:cs="Arial"/>
          <w:i/>
          <w:sz w:val="18"/>
        </w:rPr>
        <w:t xml:space="preserve"> ai sensi del terzo comma, il giudice provvede  a norma degli articoli 426, 427 e 439.</w:t>
      </w:r>
    </w:p>
    <w:p w14:paraId="4696E4EF" w14:textId="77777777" w:rsidR="00B32EF2" w:rsidRDefault="00000000">
      <w:pPr>
        <w:numPr>
          <w:ilvl w:val="0"/>
          <w:numId w:val="66"/>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Se una causa di competenza del giudice di pace sia connessa  per  </w:t>
      </w:r>
      <w:proofErr w:type="spellStart"/>
      <w:r>
        <w:rPr>
          <w:rFonts w:ascii="Arial" w:eastAsia="Arial" w:hAnsi="Arial" w:cs="Arial"/>
          <w:i/>
          <w:sz w:val="18"/>
        </w:rPr>
        <w:t>imotivi</w:t>
      </w:r>
      <w:proofErr w:type="spellEnd"/>
      <w:r>
        <w:rPr>
          <w:rFonts w:ascii="Arial" w:eastAsia="Arial" w:hAnsi="Arial" w:cs="Arial"/>
          <w:i/>
          <w:sz w:val="18"/>
        </w:rPr>
        <w:t xml:space="preserve"> di cui agli articoli 31, 32, 34, 35 e 36 con  altra  causa  di competenza del tribunale, le relative domande possono essere proposte innanzi  al tribunale   </w:t>
      </w:r>
      <w:proofErr w:type="spellStart"/>
      <w:r>
        <w:rPr>
          <w:rFonts w:ascii="Arial" w:eastAsia="Arial" w:hAnsi="Arial" w:cs="Arial"/>
          <w:i/>
          <w:sz w:val="18"/>
        </w:rPr>
        <w:t>affinchè</w:t>
      </w:r>
      <w:proofErr w:type="spellEnd"/>
      <w:r>
        <w:rPr>
          <w:rFonts w:ascii="Arial" w:eastAsia="Arial" w:hAnsi="Arial" w:cs="Arial"/>
          <w:i/>
          <w:sz w:val="18"/>
        </w:rPr>
        <w:t xml:space="preserve">   siano   decise   nello   stesso processo. 6. Se le cause connesse ai sensi del sesto comma sono proposte davanti al  giudice  di pace  e  al  tribunale,  il  giudice  di  pace  deve pronunziare anche d’ufficio la connessione a  favore  del  tribunale.</w:t>
      </w:r>
    </w:p>
    <w:p w14:paraId="25D9802A"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art. 273 c.p.c. “Riunione dei procedimenti relativi alla stessa causa”</w:t>
      </w:r>
    </w:p>
    <w:p w14:paraId="24168ED8" w14:textId="77777777" w:rsidR="00B32EF2" w:rsidRDefault="00000000">
      <w:pPr>
        <w:numPr>
          <w:ilvl w:val="0"/>
          <w:numId w:val="67"/>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Se più procedimenti relativi alla stessa causa pendono davanti </w:t>
      </w:r>
      <w:proofErr w:type="spellStart"/>
      <w:r>
        <w:rPr>
          <w:rFonts w:ascii="Arial" w:eastAsia="Arial" w:hAnsi="Arial" w:cs="Arial"/>
          <w:i/>
          <w:sz w:val="18"/>
        </w:rPr>
        <w:t>allostesso</w:t>
      </w:r>
      <w:proofErr w:type="spellEnd"/>
      <w:r>
        <w:rPr>
          <w:rFonts w:ascii="Arial" w:eastAsia="Arial" w:hAnsi="Arial" w:cs="Arial"/>
          <w:i/>
          <w:sz w:val="18"/>
        </w:rPr>
        <w:t xml:space="preserve"> giudice, questi, anche d’ufficio, ne ordina la riunione.</w:t>
      </w:r>
    </w:p>
    <w:p w14:paraId="1072C82B" w14:textId="77777777" w:rsidR="00B32EF2" w:rsidRDefault="00000000">
      <w:pPr>
        <w:numPr>
          <w:ilvl w:val="0"/>
          <w:numId w:val="67"/>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Se il giudice istruttore o il presidente della sezione ha notizia che perla stessa causa pende procedimento davanti ad altro giudice o ad altra sezione dello stesso tribunale, ne riferisce al presidente, il quale, sentite le parti, ordina con decreto la riunione, determinando la sezione o designando il giudice davanti al quale il procedimento deve proseguire.</w:t>
      </w:r>
    </w:p>
    <w:p w14:paraId="1E75C8FA" w14:textId="77777777" w:rsidR="00B32EF2" w:rsidRDefault="00000000">
      <w:pPr>
        <w:spacing w:after="207" w:line="261" w:lineRule="auto"/>
        <w:ind w:left="12" w:right="3" w:hanging="10"/>
        <w:jc w:val="center"/>
      </w:pPr>
      <w:r>
        <w:rPr>
          <w:rFonts w:ascii="Arial" w:eastAsia="Arial" w:hAnsi="Arial" w:cs="Arial"/>
          <w:b/>
          <w:sz w:val="18"/>
        </w:rPr>
        <w:t xml:space="preserve">SEZIONE III </w:t>
      </w:r>
    </w:p>
    <w:p w14:paraId="27ABF0DE" w14:textId="77777777" w:rsidR="00B32EF2" w:rsidRDefault="00000000">
      <w:pPr>
        <w:spacing w:after="207" w:line="261" w:lineRule="auto"/>
        <w:ind w:left="12" w:right="3" w:hanging="10"/>
        <w:jc w:val="center"/>
      </w:pPr>
      <w:r>
        <w:rPr>
          <w:rFonts w:ascii="Arial" w:eastAsia="Arial" w:hAnsi="Arial" w:cs="Arial"/>
          <w:b/>
          <w:sz w:val="18"/>
        </w:rPr>
        <w:t xml:space="preserve"> LA TRATTAZIONE DELLA CONTROVERSIA</w:t>
      </w:r>
    </w:p>
    <w:p w14:paraId="0A444A85" w14:textId="77777777" w:rsidR="00B32EF2" w:rsidRDefault="00000000">
      <w:pPr>
        <w:spacing w:after="0" w:line="261" w:lineRule="auto"/>
        <w:ind w:left="12" w:right="3" w:hanging="10"/>
        <w:jc w:val="center"/>
      </w:pPr>
      <w:r>
        <w:rPr>
          <w:rFonts w:ascii="Arial" w:eastAsia="Arial" w:hAnsi="Arial" w:cs="Arial"/>
          <w:b/>
          <w:sz w:val="18"/>
        </w:rPr>
        <w:t>Articolo 30</w:t>
      </w:r>
    </w:p>
    <w:p w14:paraId="78EB89EF" w14:textId="77777777" w:rsidR="00B32EF2" w:rsidRDefault="00000000">
      <w:pPr>
        <w:spacing w:after="3" w:line="251" w:lineRule="auto"/>
        <w:ind w:left="2320" w:right="2311" w:hanging="10"/>
        <w:jc w:val="center"/>
      </w:pPr>
      <w:r>
        <w:rPr>
          <w:rFonts w:ascii="Arial" w:eastAsia="Arial" w:hAnsi="Arial" w:cs="Arial"/>
          <w:i/>
          <w:sz w:val="18"/>
        </w:rPr>
        <w:t>(articolo 78 TUGT)</w:t>
      </w:r>
    </w:p>
    <w:p w14:paraId="7F1789CF" w14:textId="77777777" w:rsidR="00B32EF2" w:rsidRDefault="00000000">
      <w:pPr>
        <w:spacing w:after="0" w:line="261" w:lineRule="auto"/>
        <w:ind w:left="12" w:right="3" w:hanging="10"/>
        <w:jc w:val="center"/>
      </w:pPr>
      <w:r>
        <w:rPr>
          <w:rFonts w:ascii="Arial" w:eastAsia="Arial" w:hAnsi="Arial" w:cs="Arial"/>
          <w:b/>
          <w:sz w:val="18"/>
        </w:rPr>
        <w:lastRenderedPageBreak/>
        <w:t>Nomina del relatore e fissazione della data di trattazione</w:t>
      </w:r>
    </w:p>
    <w:p w14:paraId="450ED14C" w14:textId="77777777" w:rsidR="00B32EF2" w:rsidRDefault="00000000">
      <w:pPr>
        <w:numPr>
          <w:ilvl w:val="0"/>
          <w:numId w:val="68"/>
        </w:numPr>
        <w:spacing w:after="4" w:line="254" w:lineRule="auto"/>
        <w:ind w:right="10" w:hanging="10"/>
        <w:jc w:val="both"/>
      </w:pPr>
      <w:r>
        <w:rPr>
          <w:rFonts w:ascii="Arial" w:eastAsia="Arial" w:hAnsi="Arial" w:cs="Arial"/>
          <w:sz w:val="18"/>
        </w:rPr>
        <w:t>Se non ritiene di adottare preliminarmente i provvedimenti di cui all’art.   27,il presidente, scaduto in ogni caso il termine per la costituzione delle parti, fissa la trattazione della controversia secondo quanto previsto dagli articoli 33 e 34 e nomina il relatore.</w:t>
      </w:r>
    </w:p>
    <w:p w14:paraId="64801744" w14:textId="77777777" w:rsidR="00B32EF2" w:rsidRDefault="00000000">
      <w:pPr>
        <w:numPr>
          <w:ilvl w:val="0"/>
          <w:numId w:val="68"/>
        </w:numPr>
        <w:spacing w:after="168" w:line="254" w:lineRule="auto"/>
        <w:ind w:right="10" w:hanging="10"/>
        <w:jc w:val="both"/>
      </w:pPr>
      <w:r>
        <w:rPr>
          <w:rFonts w:ascii="Arial" w:eastAsia="Arial" w:hAnsi="Arial" w:cs="Arial"/>
          <w:sz w:val="18"/>
        </w:rPr>
        <w:t xml:space="preserve">Almeno una udienza per ogni mese e per ciascuna sezione è riservata </w:t>
      </w:r>
      <w:proofErr w:type="spellStart"/>
      <w:r>
        <w:rPr>
          <w:rFonts w:ascii="Arial" w:eastAsia="Arial" w:hAnsi="Arial" w:cs="Arial"/>
          <w:sz w:val="18"/>
        </w:rPr>
        <w:t>allatrattazione</w:t>
      </w:r>
      <w:proofErr w:type="spellEnd"/>
      <w:r>
        <w:rPr>
          <w:rFonts w:ascii="Arial" w:eastAsia="Arial" w:hAnsi="Arial" w:cs="Arial"/>
          <w:sz w:val="18"/>
        </w:rPr>
        <w:t xml:space="preserve"> di   controversie per le quali l’ammontare dei tributi accertati e delle conseguenti soprattasse e pene pecuniarie non sia inferiore a cento milioni di lire. Un’altra udienza per ogni mese e per ciascuna sezione è comunque riservata  alla trattazione di controversie nei confronti di società con personalità giuridica, </w:t>
      </w:r>
      <w:proofErr w:type="spellStart"/>
      <w:r>
        <w:rPr>
          <w:rFonts w:ascii="Arial" w:eastAsia="Arial" w:hAnsi="Arial" w:cs="Arial"/>
          <w:sz w:val="18"/>
        </w:rPr>
        <w:t>nonchè</w:t>
      </w:r>
      <w:proofErr w:type="spellEnd"/>
      <w:r>
        <w:rPr>
          <w:rFonts w:ascii="Arial" w:eastAsia="Arial" w:hAnsi="Arial" w:cs="Arial"/>
          <w:sz w:val="18"/>
        </w:rPr>
        <w:t xml:space="preserve"> di controversie inerenti l’applicazione dell’articolo 37-bis  del decreto del Presidente della Repubblica 29 settembre 1973, n. 600.</w:t>
      </w:r>
    </w:p>
    <w:p w14:paraId="2109708F" w14:textId="77777777" w:rsidR="00B32EF2" w:rsidRDefault="00000000">
      <w:pPr>
        <w:pStyle w:val="Titolo3"/>
        <w:ind w:left="129" w:right="60"/>
      </w:pPr>
      <w:r>
        <w:t>NORME RICHIAMATE</w:t>
      </w:r>
    </w:p>
    <w:p w14:paraId="022FE429"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473" w:line="251" w:lineRule="auto"/>
        <w:ind w:left="129" w:right="60" w:hanging="10"/>
        <w:jc w:val="both"/>
      </w:pPr>
      <w:r>
        <w:rPr>
          <w:rFonts w:ascii="Arial" w:eastAsia="Arial" w:hAnsi="Arial" w:cs="Arial"/>
          <w:i/>
          <w:sz w:val="18"/>
        </w:rPr>
        <w:t xml:space="preserve">art. 37-bis dpr. 600/1973 “Disposizioni antielusive. (Articolo abrogato dall’art. 1, comma 2 decreto legislativo 5 agosto 2015 n. 128. Ai sensi del medesimo art. 1, comma 2 decreto legislativo n. 128/2015 le disposizioni che richiamano il presente articolo si intendono riferite all’art. 10-bis legge 27 luglio 2000 n. 212, in quanto compatibili).”  </w:t>
      </w:r>
    </w:p>
    <w:p w14:paraId="0250B3F1" w14:textId="77777777" w:rsidR="00B32EF2" w:rsidRDefault="00000000">
      <w:pPr>
        <w:spacing w:after="0" w:line="261" w:lineRule="auto"/>
        <w:ind w:left="12" w:right="3" w:hanging="10"/>
        <w:jc w:val="center"/>
      </w:pPr>
      <w:r>
        <w:rPr>
          <w:rFonts w:ascii="Arial" w:eastAsia="Arial" w:hAnsi="Arial" w:cs="Arial"/>
          <w:b/>
          <w:sz w:val="18"/>
        </w:rPr>
        <w:t>Articolo 31</w:t>
      </w:r>
    </w:p>
    <w:p w14:paraId="6D13DD1F" w14:textId="77777777" w:rsidR="00B32EF2" w:rsidRDefault="00000000">
      <w:pPr>
        <w:spacing w:after="3" w:line="251" w:lineRule="auto"/>
        <w:ind w:left="2320" w:right="2312" w:hanging="10"/>
        <w:jc w:val="center"/>
      </w:pPr>
      <w:r>
        <w:rPr>
          <w:rFonts w:ascii="Arial" w:eastAsia="Arial" w:hAnsi="Arial" w:cs="Arial"/>
          <w:i/>
          <w:sz w:val="18"/>
        </w:rPr>
        <w:t>(articolo 79 TUGT)</w:t>
      </w:r>
    </w:p>
    <w:p w14:paraId="2E16E46C" w14:textId="77777777" w:rsidR="00B32EF2" w:rsidRDefault="00000000">
      <w:pPr>
        <w:spacing w:after="0" w:line="261" w:lineRule="auto"/>
        <w:ind w:left="12" w:right="3" w:hanging="10"/>
        <w:jc w:val="center"/>
      </w:pPr>
      <w:r>
        <w:rPr>
          <w:rFonts w:ascii="Arial" w:eastAsia="Arial" w:hAnsi="Arial" w:cs="Arial"/>
          <w:b/>
          <w:sz w:val="18"/>
        </w:rPr>
        <w:t>Avviso di trattazione</w:t>
      </w:r>
    </w:p>
    <w:p w14:paraId="3F45C04D" w14:textId="77777777" w:rsidR="00B32EF2" w:rsidRDefault="00000000">
      <w:pPr>
        <w:numPr>
          <w:ilvl w:val="0"/>
          <w:numId w:val="69"/>
        </w:numPr>
        <w:spacing w:after="4" w:line="254" w:lineRule="auto"/>
        <w:ind w:right="10" w:hanging="10"/>
        <w:jc w:val="both"/>
      </w:pPr>
      <w:r>
        <w:rPr>
          <w:rFonts w:ascii="Arial" w:eastAsia="Arial" w:hAnsi="Arial" w:cs="Arial"/>
          <w:sz w:val="18"/>
        </w:rPr>
        <w:t xml:space="preserve">La segreteria dà comunicazione alle parti costituite della data di </w:t>
      </w:r>
      <w:proofErr w:type="spellStart"/>
      <w:r>
        <w:rPr>
          <w:rFonts w:ascii="Arial" w:eastAsia="Arial" w:hAnsi="Arial" w:cs="Arial"/>
          <w:sz w:val="18"/>
        </w:rPr>
        <w:t>trattazionealmeno</w:t>
      </w:r>
      <w:proofErr w:type="spellEnd"/>
      <w:r>
        <w:rPr>
          <w:rFonts w:ascii="Arial" w:eastAsia="Arial" w:hAnsi="Arial" w:cs="Arial"/>
          <w:sz w:val="18"/>
        </w:rPr>
        <w:t xml:space="preserve"> trenta giorni liberi prima. (1)</w:t>
      </w:r>
    </w:p>
    <w:p w14:paraId="71EF253C" w14:textId="77777777" w:rsidR="00B32EF2" w:rsidRDefault="00000000">
      <w:pPr>
        <w:numPr>
          <w:ilvl w:val="0"/>
          <w:numId w:val="69"/>
        </w:numPr>
        <w:spacing w:after="4" w:line="254" w:lineRule="auto"/>
        <w:ind w:right="10" w:hanging="10"/>
        <w:jc w:val="both"/>
      </w:pPr>
      <w:r>
        <w:rPr>
          <w:rFonts w:ascii="Arial" w:eastAsia="Arial" w:hAnsi="Arial" w:cs="Arial"/>
          <w:sz w:val="18"/>
        </w:rPr>
        <w:t xml:space="preserve">Uguale avviso deve essere dato quando la trattazione  sia  stata </w:t>
      </w:r>
      <w:proofErr w:type="spellStart"/>
      <w:r>
        <w:rPr>
          <w:rFonts w:ascii="Arial" w:eastAsia="Arial" w:hAnsi="Arial" w:cs="Arial"/>
          <w:sz w:val="18"/>
        </w:rPr>
        <w:t>rinviatadal</w:t>
      </w:r>
      <w:proofErr w:type="spellEnd"/>
      <w:r>
        <w:rPr>
          <w:rFonts w:ascii="Arial" w:eastAsia="Arial" w:hAnsi="Arial" w:cs="Arial"/>
          <w:sz w:val="18"/>
        </w:rPr>
        <w:t xml:space="preserve"> presidente in caso di giustificato impedimento del relatore, che  non possa essere sostituito, o di alcuna delle parti  o per esigenze del servizio.</w:t>
      </w:r>
    </w:p>
    <w:p w14:paraId="7E7451C6" w14:textId="77777777" w:rsidR="00B32EF2" w:rsidRDefault="00000000">
      <w:pPr>
        <w:spacing w:after="0" w:line="279" w:lineRule="auto"/>
        <w:ind w:left="1" w:right="107"/>
      </w:pPr>
      <w:r>
        <w:rPr>
          <w:rFonts w:ascii="Arial" w:eastAsia="Arial" w:hAnsi="Arial" w:cs="Arial"/>
          <w:sz w:val="15"/>
        </w:rPr>
        <w:t>(1) Il termine previsto dal comma 1 del presente articolo per la comunicazione dell’avviso di trattazione è stato ridotto a dieci giorni liberi nei casi previsti dall’art. 2, comma 2 del decreto-legge 8 aprile 2008 n.59, convertito dalla legge 6 giugno 2008 n.101.</w:t>
      </w:r>
    </w:p>
    <w:p w14:paraId="4F72172F" w14:textId="77777777" w:rsidR="00B32EF2" w:rsidRDefault="00000000">
      <w:pPr>
        <w:spacing w:after="0" w:line="261" w:lineRule="auto"/>
        <w:ind w:left="12" w:right="3" w:hanging="10"/>
        <w:jc w:val="center"/>
      </w:pPr>
      <w:r>
        <w:rPr>
          <w:rFonts w:ascii="Arial" w:eastAsia="Arial" w:hAnsi="Arial" w:cs="Arial"/>
          <w:b/>
          <w:sz w:val="18"/>
        </w:rPr>
        <w:t>Articolo 32</w:t>
      </w:r>
    </w:p>
    <w:p w14:paraId="66F04275" w14:textId="77777777" w:rsidR="00B32EF2" w:rsidRDefault="00000000">
      <w:pPr>
        <w:spacing w:after="3" w:line="251" w:lineRule="auto"/>
        <w:ind w:left="2320" w:right="2311" w:hanging="10"/>
        <w:jc w:val="center"/>
      </w:pPr>
      <w:r>
        <w:rPr>
          <w:rFonts w:ascii="Arial" w:eastAsia="Arial" w:hAnsi="Arial" w:cs="Arial"/>
          <w:i/>
          <w:sz w:val="18"/>
        </w:rPr>
        <w:t>(articolo 80 TUGT)</w:t>
      </w:r>
    </w:p>
    <w:p w14:paraId="2A328149" w14:textId="77777777" w:rsidR="00B32EF2" w:rsidRDefault="00000000">
      <w:pPr>
        <w:spacing w:after="0" w:line="261" w:lineRule="auto"/>
        <w:ind w:left="12" w:right="3" w:hanging="10"/>
        <w:jc w:val="center"/>
      </w:pPr>
      <w:r>
        <w:rPr>
          <w:rFonts w:ascii="Arial" w:eastAsia="Arial" w:hAnsi="Arial" w:cs="Arial"/>
          <w:b/>
          <w:sz w:val="18"/>
        </w:rPr>
        <w:t>Deposito di documenti e di memorie</w:t>
      </w:r>
    </w:p>
    <w:p w14:paraId="6E968DE1" w14:textId="77777777" w:rsidR="00B32EF2" w:rsidRDefault="00000000">
      <w:pPr>
        <w:numPr>
          <w:ilvl w:val="0"/>
          <w:numId w:val="70"/>
        </w:numPr>
        <w:spacing w:after="4" w:line="254" w:lineRule="auto"/>
        <w:ind w:right="10" w:hanging="10"/>
        <w:jc w:val="both"/>
      </w:pPr>
      <w:r>
        <w:rPr>
          <w:rFonts w:ascii="Arial" w:eastAsia="Arial" w:hAnsi="Arial" w:cs="Arial"/>
          <w:sz w:val="18"/>
        </w:rPr>
        <w:t xml:space="preserve">Le parti possono depositare documenti fino a venti  giorni  liberi  prima </w:t>
      </w:r>
      <w:proofErr w:type="spellStart"/>
      <w:r>
        <w:rPr>
          <w:rFonts w:ascii="Arial" w:eastAsia="Arial" w:hAnsi="Arial" w:cs="Arial"/>
          <w:sz w:val="18"/>
        </w:rPr>
        <w:t>delladata</w:t>
      </w:r>
      <w:proofErr w:type="spellEnd"/>
      <w:r>
        <w:rPr>
          <w:rFonts w:ascii="Arial" w:eastAsia="Arial" w:hAnsi="Arial" w:cs="Arial"/>
          <w:sz w:val="18"/>
        </w:rPr>
        <w:t xml:space="preserve"> di trattazione osservato l’art. 24, comma 1.</w:t>
      </w:r>
    </w:p>
    <w:p w14:paraId="20CDF211" w14:textId="77777777" w:rsidR="00B32EF2" w:rsidRDefault="00000000">
      <w:pPr>
        <w:numPr>
          <w:ilvl w:val="0"/>
          <w:numId w:val="70"/>
        </w:numPr>
        <w:spacing w:after="4" w:line="254" w:lineRule="auto"/>
        <w:ind w:right="10" w:hanging="10"/>
        <w:jc w:val="both"/>
      </w:pPr>
      <w:r>
        <w:rPr>
          <w:rFonts w:ascii="Arial" w:eastAsia="Arial" w:hAnsi="Arial" w:cs="Arial"/>
          <w:sz w:val="18"/>
        </w:rPr>
        <w:t xml:space="preserve">Fino a dieci giorni liberi prima della data di cui  al  precedente  </w:t>
      </w:r>
      <w:proofErr w:type="spellStart"/>
      <w:r>
        <w:rPr>
          <w:rFonts w:ascii="Arial" w:eastAsia="Arial" w:hAnsi="Arial" w:cs="Arial"/>
          <w:sz w:val="18"/>
        </w:rPr>
        <w:t>commaciascuna</w:t>
      </w:r>
      <w:proofErr w:type="spellEnd"/>
      <w:r>
        <w:rPr>
          <w:rFonts w:ascii="Arial" w:eastAsia="Arial" w:hAnsi="Arial" w:cs="Arial"/>
          <w:sz w:val="18"/>
        </w:rPr>
        <w:t xml:space="preserve"> delle parti può depositare memorie  illustrative  con le  copie  per le altre parti.</w:t>
      </w:r>
    </w:p>
    <w:p w14:paraId="17CC3D6F" w14:textId="77777777" w:rsidR="00B32EF2" w:rsidRDefault="00000000">
      <w:pPr>
        <w:numPr>
          <w:ilvl w:val="0"/>
          <w:numId w:val="70"/>
        </w:numPr>
        <w:spacing w:after="4" w:line="254" w:lineRule="auto"/>
        <w:ind w:right="10" w:hanging="10"/>
        <w:jc w:val="both"/>
      </w:pPr>
      <w:r>
        <w:rPr>
          <w:rFonts w:ascii="Arial" w:eastAsia="Arial" w:hAnsi="Arial" w:cs="Arial"/>
          <w:sz w:val="18"/>
        </w:rPr>
        <w:t xml:space="preserve">Nel solo caso di trattazione  della  controversia  in  camera  di consiglio </w:t>
      </w:r>
      <w:proofErr w:type="spellStart"/>
      <w:r>
        <w:rPr>
          <w:rFonts w:ascii="Arial" w:eastAsia="Arial" w:hAnsi="Arial" w:cs="Arial"/>
          <w:sz w:val="18"/>
        </w:rPr>
        <w:t>sonoconsentite</w:t>
      </w:r>
      <w:proofErr w:type="spellEnd"/>
      <w:r>
        <w:rPr>
          <w:rFonts w:ascii="Arial" w:eastAsia="Arial" w:hAnsi="Arial" w:cs="Arial"/>
          <w:sz w:val="18"/>
        </w:rPr>
        <w:t xml:space="preserve"> brevi repliche scritte fino a cinque  giorni  liberi prima della data della camera di consiglio.</w:t>
      </w:r>
    </w:p>
    <w:tbl>
      <w:tblPr>
        <w:tblStyle w:val="TableGrid"/>
        <w:tblW w:w="6236" w:type="dxa"/>
        <w:tblInd w:w="11" w:type="dxa"/>
        <w:tblCellMar>
          <w:top w:w="0" w:type="dxa"/>
          <w:left w:w="123" w:type="dxa"/>
          <w:bottom w:w="0" w:type="dxa"/>
          <w:right w:w="122" w:type="dxa"/>
        </w:tblCellMar>
        <w:tblLook w:val="04A0" w:firstRow="1" w:lastRow="0" w:firstColumn="1" w:lastColumn="0" w:noHBand="0" w:noVBand="1"/>
      </w:tblPr>
      <w:tblGrid>
        <w:gridCol w:w="6236"/>
      </w:tblGrid>
      <w:tr w:rsidR="00B32EF2" w14:paraId="493474CE" w14:textId="77777777">
        <w:trPr>
          <w:trHeight w:val="2893"/>
        </w:trPr>
        <w:tc>
          <w:tcPr>
            <w:tcW w:w="6236" w:type="dxa"/>
            <w:tcBorders>
              <w:top w:val="single" w:sz="8" w:space="0" w:color="000000"/>
              <w:left w:val="single" w:sz="8" w:space="0" w:color="000000"/>
              <w:bottom w:val="single" w:sz="8" w:space="0" w:color="000000"/>
              <w:right w:val="single" w:sz="8" w:space="0" w:color="000000"/>
            </w:tcBorders>
            <w:vAlign w:val="center"/>
          </w:tcPr>
          <w:p w14:paraId="115D9B33" w14:textId="77777777" w:rsidR="00B32EF2" w:rsidRDefault="00000000">
            <w:pPr>
              <w:spacing w:after="0" w:line="313" w:lineRule="auto"/>
              <w:ind w:left="2516" w:right="1" w:hanging="2172"/>
            </w:pPr>
            <w:r>
              <w:rPr>
                <w:rFonts w:ascii="Arial" w:eastAsia="Arial" w:hAnsi="Arial" w:cs="Arial"/>
                <w:b/>
                <w:sz w:val="18"/>
              </w:rPr>
              <w:lastRenderedPageBreak/>
              <w:t>Per i giudizi instaurati  con ricorso notificato fino al 5.1.24 Articolo 33</w:t>
            </w:r>
          </w:p>
          <w:p w14:paraId="4F17BF21" w14:textId="77777777" w:rsidR="00B32EF2" w:rsidRDefault="00000000">
            <w:pPr>
              <w:spacing w:after="0"/>
              <w:ind w:right="1"/>
              <w:jc w:val="center"/>
            </w:pPr>
            <w:r>
              <w:rPr>
                <w:rFonts w:ascii="Arial" w:eastAsia="Arial" w:hAnsi="Arial" w:cs="Arial"/>
                <w:i/>
                <w:sz w:val="18"/>
              </w:rPr>
              <w:t>(articolo 81 TUGT)</w:t>
            </w:r>
          </w:p>
          <w:p w14:paraId="5D0C3964" w14:textId="77777777" w:rsidR="00B32EF2" w:rsidRDefault="00000000">
            <w:pPr>
              <w:spacing w:after="0"/>
              <w:ind w:right="1"/>
              <w:jc w:val="center"/>
            </w:pPr>
            <w:r>
              <w:rPr>
                <w:rFonts w:ascii="Arial" w:eastAsia="Arial" w:hAnsi="Arial" w:cs="Arial"/>
                <w:b/>
                <w:sz w:val="18"/>
              </w:rPr>
              <w:t xml:space="preserve">Trattazione in camera di consiglio </w:t>
            </w:r>
          </w:p>
          <w:p w14:paraId="39029A74" w14:textId="77777777" w:rsidR="00B32EF2" w:rsidRDefault="00000000">
            <w:pPr>
              <w:numPr>
                <w:ilvl w:val="0"/>
                <w:numId w:val="210"/>
              </w:numPr>
              <w:spacing w:after="0" w:line="250" w:lineRule="auto"/>
            </w:pPr>
            <w:r>
              <w:rPr>
                <w:rFonts w:ascii="Arial" w:eastAsia="Arial" w:hAnsi="Arial" w:cs="Arial"/>
                <w:sz w:val="18"/>
              </w:rPr>
              <w:t xml:space="preserve">La controversia è trattata in camera di consiglio salvo   che  almeno </w:t>
            </w:r>
            <w:proofErr w:type="spellStart"/>
            <w:r>
              <w:rPr>
                <w:rFonts w:ascii="Arial" w:eastAsia="Arial" w:hAnsi="Arial" w:cs="Arial"/>
                <w:sz w:val="18"/>
              </w:rPr>
              <w:t>unadelle</w:t>
            </w:r>
            <w:proofErr w:type="spellEnd"/>
            <w:r>
              <w:rPr>
                <w:rFonts w:ascii="Arial" w:eastAsia="Arial" w:hAnsi="Arial" w:cs="Arial"/>
                <w:sz w:val="18"/>
              </w:rPr>
              <w:t xml:space="preserve"> parti non abbia chiesto la discussione  in  pubblica  udienza,  con apposita  istanza  da   depositare   nella   segreteria   e  notificare   alle altre parti  costituite  entro  il  termine di cui all’art. 32, comma 2.</w:t>
            </w:r>
          </w:p>
          <w:p w14:paraId="33EC27E9" w14:textId="77777777" w:rsidR="00B32EF2" w:rsidRDefault="00000000">
            <w:pPr>
              <w:numPr>
                <w:ilvl w:val="0"/>
                <w:numId w:val="210"/>
              </w:numPr>
              <w:spacing w:after="0" w:line="250" w:lineRule="auto"/>
            </w:pPr>
            <w:r>
              <w:rPr>
                <w:rFonts w:ascii="Arial" w:eastAsia="Arial" w:hAnsi="Arial" w:cs="Arial"/>
                <w:sz w:val="18"/>
              </w:rPr>
              <w:t xml:space="preserve">Il relatore espone al collegio, senza la presenza delle parti, i fatti e </w:t>
            </w:r>
            <w:proofErr w:type="spellStart"/>
            <w:r>
              <w:rPr>
                <w:rFonts w:ascii="Arial" w:eastAsia="Arial" w:hAnsi="Arial" w:cs="Arial"/>
                <w:sz w:val="18"/>
              </w:rPr>
              <w:t>lequestioni</w:t>
            </w:r>
            <w:proofErr w:type="spellEnd"/>
            <w:r>
              <w:rPr>
                <w:rFonts w:ascii="Arial" w:eastAsia="Arial" w:hAnsi="Arial" w:cs="Arial"/>
                <w:sz w:val="18"/>
              </w:rPr>
              <w:t xml:space="preserve"> della controversia.</w:t>
            </w:r>
          </w:p>
          <w:p w14:paraId="05C3F256" w14:textId="77777777" w:rsidR="00B32EF2" w:rsidRDefault="00000000">
            <w:pPr>
              <w:numPr>
                <w:ilvl w:val="0"/>
                <w:numId w:val="210"/>
              </w:numPr>
              <w:spacing w:after="0"/>
            </w:pPr>
            <w:r>
              <w:rPr>
                <w:rFonts w:ascii="Arial" w:eastAsia="Arial" w:hAnsi="Arial" w:cs="Arial"/>
                <w:sz w:val="18"/>
              </w:rPr>
              <w:t xml:space="preserve">Della trattazione in camera di consiglio è redatto processo  verbale </w:t>
            </w:r>
            <w:proofErr w:type="spellStart"/>
            <w:r>
              <w:rPr>
                <w:rFonts w:ascii="Arial" w:eastAsia="Arial" w:hAnsi="Arial" w:cs="Arial"/>
                <w:sz w:val="18"/>
              </w:rPr>
              <w:t>dalsegretario</w:t>
            </w:r>
            <w:proofErr w:type="spellEnd"/>
            <w:r>
              <w:rPr>
                <w:rFonts w:ascii="Arial" w:eastAsia="Arial" w:hAnsi="Arial" w:cs="Arial"/>
                <w:sz w:val="18"/>
              </w:rPr>
              <w:t>.</w:t>
            </w:r>
          </w:p>
        </w:tc>
      </w:tr>
    </w:tbl>
    <w:p w14:paraId="7C71D913" w14:textId="77777777" w:rsidR="00B32EF2" w:rsidRDefault="00000000">
      <w:pPr>
        <w:spacing w:after="0" w:line="261" w:lineRule="auto"/>
        <w:ind w:left="12" w:right="3" w:hanging="10"/>
        <w:jc w:val="center"/>
      </w:pPr>
      <w:r>
        <w:rPr>
          <w:rFonts w:ascii="Arial" w:eastAsia="Arial" w:hAnsi="Arial" w:cs="Arial"/>
          <w:b/>
          <w:sz w:val="18"/>
        </w:rPr>
        <w:t>Articolo 33</w:t>
      </w:r>
    </w:p>
    <w:p w14:paraId="36A1B0BA" w14:textId="77777777" w:rsidR="00B32EF2" w:rsidRDefault="00000000">
      <w:pPr>
        <w:spacing w:after="3" w:line="251" w:lineRule="auto"/>
        <w:ind w:left="2320" w:right="2311" w:hanging="10"/>
        <w:jc w:val="center"/>
      </w:pPr>
      <w:r>
        <w:rPr>
          <w:rFonts w:ascii="Arial" w:eastAsia="Arial" w:hAnsi="Arial" w:cs="Arial"/>
          <w:i/>
          <w:sz w:val="18"/>
        </w:rPr>
        <w:t>(articolo 81 TUGT)</w:t>
      </w:r>
    </w:p>
    <w:p w14:paraId="7405AF1A" w14:textId="77777777" w:rsidR="00B32EF2" w:rsidRDefault="00000000">
      <w:pPr>
        <w:spacing w:after="0" w:line="261" w:lineRule="auto"/>
        <w:ind w:left="12" w:right="3" w:hanging="10"/>
        <w:jc w:val="center"/>
      </w:pPr>
      <w:r>
        <w:rPr>
          <w:rFonts w:ascii="Arial" w:eastAsia="Arial" w:hAnsi="Arial" w:cs="Arial"/>
          <w:b/>
          <w:sz w:val="18"/>
        </w:rPr>
        <w:t xml:space="preserve">Trattazione in camera di consiglio </w:t>
      </w:r>
    </w:p>
    <w:p w14:paraId="191B68FE" w14:textId="77777777" w:rsidR="00B32EF2" w:rsidRDefault="00000000">
      <w:pPr>
        <w:numPr>
          <w:ilvl w:val="0"/>
          <w:numId w:val="71"/>
        </w:numPr>
        <w:spacing w:after="4" w:line="254" w:lineRule="auto"/>
        <w:ind w:right="10" w:hanging="10"/>
        <w:jc w:val="both"/>
      </w:pPr>
      <w:r>
        <w:rPr>
          <w:rFonts w:ascii="Arial" w:eastAsia="Arial" w:hAnsi="Arial" w:cs="Arial"/>
          <w:sz w:val="18"/>
        </w:rPr>
        <w:t xml:space="preserve">La controversia è trattata in camera di consiglio salvo che almeno una </w:t>
      </w:r>
      <w:proofErr w:type="spellStart"/>
      <w:r>
        <w:rPr>
          <w:rFonts w:ascii="Arial" w:eastAsia="Arial" w:hAnsi="Arial" w:cs="Arial"/>
          <w:sz w:val="18"/>
        </w:rPr>
        <w:t>delleparti</w:t>
      </w:r>
      <w:proofErr w:type="spellEnd"/>
      <w:r>
        <w:rPr>
          <w:rFonts w:ascii="Arial" w:eastAsia="Arial" w:hAnsi="Arial" w:cs="Arial"/>
          <w:sz w:val="18"/>
        </w:rPr>
        <w:t xml:space="preserve"> non chieda la discussione in pubblica udienza, in presenza o da remoto, con apposita istanza da notificare alle altre parti costituite entro il termine di cui all’articolo 32, comma 2, e da depositare nella segreteria unitamente alla prova della notificazione. Se una parte chiede la discussione in pubblica udienza e in presenza e un’altra parte chiede invece di discutere da remoto, la discussione avviene in presenza, fermo il diritto, per chi lo ha chiesto, di discutere da remoto. Nel caso in cui una parte chieda di discutere in presenza, i giudici ed il personale amministrativo partecipano sempre in presenza alla discussione.</w:t>
      </w:r>
    </w:p>
    <w:p w14:paraId="4B978528" w14:textId="77777777" w:rsidR="00B32EF2" w:rsidRDefault="00000000">
      <w:pPr>
        <w:numPr>
          <w:ilvl w:val="0"/>
          <w:numId w:val="71"/>
        </w:numPr>
        <w:spacing w:after="4" w:line="254" w:lineRule="auto"/>
        <w:ind w:right="10" w:hanging="10"/>
        <w:jc w:val="both"/>
      </w:pPr>
      <w:r>
        <w:rPr>
          <w:rFonts w:ascii="Arial" w:eastAsia="Arial" w:hAnsi="Arial" w:cs="Arial"/>
          <w:sz w:val="18"/>
        </w:rPr>
        <w:t xml:space="preserve">Il relatore espone al collegio, senza la presenza delle parti, i fatti e </w:t>
      </w:r>
      <w:proofErr w:type="spellStart"/>
      <w:r>
        <w:rPr>
          <w:rFonts w:ascii="Arial" w:eastAsia="Arial" w:hAnsi="Arial" w:cs="Arial"/>
          <w:sz w:val="18"/>
        </w:rPr>
        <w:t>lequestioni</w:t>
      </w:r>
      <w:proofErr w:type="spellEnd"/>
      <w:r>
        <w:rPr>
          <w:rFonts w:ascii="Arial" w:eastAsia="Arial" w:hAnsi="Arial" w:cs="Arial"/>
          <w:sz w:val="18"/>
        </w:rPr>
        <w:t xml:space="preserve"> della controversia.</w:t>
      </w:r>
    </w:p>
    <w:p w14:paraId="0EDC21CE" w14:textId="77777777" w:rsidR="00B32EF2" w:rsidRDefault="00000000">
      <w:pPr>
        <w:numPr>
          <w:ilvl w:val="0"/>
          <w:numId w:val="71"/>
        </w:numPr>
        <w:spacing w:after="4" w:line="254" w:lineRule="auto"/>
        <w:ind w:right="10" w:hanging="10"/>
        <w:jc w:val="both"/>
      </w:pPr>
      <w:r>
        <w:rPr>
          <w:rFonts w:ascii="Arial" w:eastAsia="Arial" w:hAnsi="Arial" w:cs="Arial"/>
          <w:sz w:val="18"/>
        </w:rPr>
        <w:t xml:space="preserve">Della trattazione in camera di consiglio è redatto processo verbale </w:t>
      </w:r>
      <w:proofErr w:type="spellStart"/>
      <w:r>
        <w:rPr>
          <w:rFonts w:ascii="Arial" w:eastAsia="Arial" w:hAnsi="Arial" w:cs="Arial"/>
          <w:sz w:val="18"/>
        </w:rPr>
        <w:t>dalsegretario</w:t>
      </w:r>
      <w:proofErr w:type="spellEnd"/>
      <w:r>
        <w:rPr>
          <w:rFonts w:ascii="Arial" w:eastAsia="Arial" w:hAnsi="Arial" w:cs="Arial"/>
          <w:sz w:val="18"/>
        </w:rPr>
        <w:t>.</w:t>
      </w:r>
    </w:p>
    <w:p w14:paraId="2E09A03F" w14:textId="77777777" w:rsidR="00B32EF2" w:rsidRDefault="00000000">
      <w:pPr>
        <w:spacing w:after="0" w:line="261" w:lineRule="auto"/>
        <w:ind w:left="12" w:right="3" w:hanging="10"/>
        <w:jc w:val="center"/>
      </w:pPr>
      <w:r>
        <w:rPr>
          <w:rFonts w:ascii="Arial" w:eastAsia="Arial" w:hAnsi="Arial" w:cs="Arial"/>
          <w:b/>
          <w:sz w:val="18"/>
        </w:rPr>
        <w:t>Articolo 34</w:t>
      </w:r>
    </w:p>
    <w:p w14:paraId="42556482" w14:textId="77777777" w:rsidR="00B32EF2" w:rsidRDefault="00000000">
      <w:pPr>
        <w:spacing w:after="3" w:line="251" w:lineRule="auto"/>
        <w:ind w:left="2320" w:right="2311" w:hanging="10"/>
        <w:jc w:val="center"/>
      </w:pPr>
      <w:r>
        <w:rPr>
          <w:rFonts w:ascii="Arial" w:eastAsia="Arial" w:hAnsi="Arial" w:cs="Arial"/>
          <w:i/>
          <w:sz w:val="18"/>
        </w:rPr>
        <w:t>(articolo 82 TUGT)</w:t>
      </w:r>
    </w:p>
    <w:p w14:paraId="60FD9DF9" w14:textId="77777777" w:rsidR="00B32EF2" w:rsidRDefault="00000000">
      <w:pPr>
        <w:spacing w:after="0" w:line="261" w:lineRule="auto"/>
        <w:ind w:left="12" w:right="3" w:hanging="10"/>
        <w:jc w:val="center"/>
      </w:pPr>
      <w:r>
        <w:rPr>
          <w:rFonts w:ascii="Arial" w:eastAsia="Arial" w:hAnsi="Arial" w:cs="Arial"/>
          <w:b/>
          <w:sz w:val="18"/>
        </w:rPr>
        <w:t>Discussione in pubblica udienza</w:t>
      </w:r>
    </w:p>
    <w:p w14:paraId="7CA255FC" w14:textId="77777777" w:rsidR="00B32EF2" w:rsidRDefault="00000000">
      <w:pPr>
        <w:numPr>
          <w:ilvl w:val="0"/>
          <w:numId w:val="72"/>
        </w:numPr>
        <w:spacing w:after="4" w:line="254" w:lineRule="auto"/>
        <w:ind w:right="10" w:hanging="202"/>
        <w:jc w:val="both"/>
      </w:pPr>
      <w:r>
        <w:rPr>
          <w:rFonts w:ascii="Arial" w:eastAsia="Arial" w:hAnsi="Arial" w:cs="Arial"/>
          <w:sz w:val="18"/>
        </w:rPr>
        <w:t xml:space="preserve">All’udienza pubblica  il  relatore  espone  al  collegio  i  fatti  e  le questioni </w:t>
      </w:r>
      <w:proofErr w:type="spellStart"/>
      <w:r>
        <w:rPr>
          <w:rFonts w:ascii="Arial" w:eastAsia="Arial" w:hAnsi="Arial" w:cs="Arial"/>
          <w:sz w:val="18"/>
        </w:rPr>
        <w:t>dellacontroversia</w:t>
      </w:r>
      <w:proofErr w:type="spellEnd"/>
      <w:r>
        <w:rPr>
          <w:rFonts w:ascii="Arial" w:eastAsia="Arial" w:hAnsi="Arial" w:cs="Arial"/>
          <w:sz w:val="18"/>
        </w:rPr>
        <w:t xml:space="preserve"> e quindi il presidente ammette le  parti presenti alla discussione.</w:t>
      </w:r>
    </w:p>
    <w:p w14:paraId="7AC9A066" w14:textId="77777777" w:rsidR="00B32EF2" w:rsidRDefault="00000000">
      <w:pPr>
        <w:numPr>
          <w:ilvl w:val="0"/>
          <w:numId w:val="72"/>
        </w:numPr>
        <w:spacing w:after="4" w:line="254" w:lineRule="auto"/>
        <w:ind w:right="10" w:hanging="202"/>
        <w:jc w:val="both"/>
      </w:pPr>
      <w:r>
        <w:rPr>
          <w:rFonts w:ascii="Arial" w:eastAsia="Arial" w:hAnsi="Arial" w:cs="Arial"/>
          <w:sz w:val="18"/>
        </w:rPr>
        <w:t>Dell’udienza è redatto processo verbale dal segretario.</w:t>
      </w:r>
    </w:p>
    <w:p w14:paraId="241B7300" w14:textId="77777777" w:rsidR="00B32EF2" w:rsidRDefault="00000000">
      <w:pPr>
        <w:numPr>
          <w:ilvl w:val="0"/>
          <w:numId w:val="72"/>
        </w:numPr>
        <w:spacing w:after="206" w:line="254" w:lineRule="auto"/>
        <w:ind w:right="10" w:hanging="202"/>
        <w:jc w:val="both"/>
      </w:pPr>
      <w:r>
        <w:rPr>
          <w:rFonts w:ascii="Arial" w:eastAsia="Arial" w:hAnsi="Arial" w:cs="Arial"/>
          <w:sz w:val="18"/>
        </w:rPr>
        <w:t xml:space="preserve">La commissione può disporre il differimento della discussione a  </w:t>
      </w:r>
      <w:proofErr w:type="spellStart"/>
      <w:r>
        <w:rPr>
          <w:rFonts w:ascii="Arial" w:eastAsia="Arial" w:hAnsi="Arial" w:cs="Arial"/>
          <w:sz w:val="18"/>
        </w:rPr>
        <w:t>udienzafissa</w:t>
      </w:r>
      <w:proofErr w:type="spellEnd"/>
      <w:r>
        <w:rPr>
          <w:rFonts w:ascii="Arial" w:eastAsia="Arial" w:hAnsi="Arial" w:cs="Arial"/>
          <w:sz w:val="18"/>
        </w:rPr>
        <w:t xml:space="preserve">,   su   istanza   della   parte  interessata,  quando  la   sua   difesa tempestiva, scritta o orale, è resa particolarmente  difficile  a  causa  dei documenti prodotti  o  delle  questioni   sollevate   dalle  altre  parti.  Si applica </w:t>
      </w:r>
      <w:r>
        <w:rPr>
          <w:rFonts w:ascii="Arial" w:eastAsia="Arial" w:hAnsi="Arial" w:cs="Arial"/>
          <w:sz w:val="18"/>
        </w:rPr>
        <w:lastRenderedPageBreak/>
        <w:t>l’art. 31, comma 2, salvo che il differimento sia disposto in  udienza con tutte le parti costituite presenti.</w:t>
      </w:r>
    </w:p>
    <w:p w14:paraId="4C1789E9" w14:textId="77777777" w:rsidR="00B32EF2" w:rsidRDefault="00000000">
      <w:pPr>
        <w:pStyle w:val="Titolo3"/>
        <w:ind w:left="129" w:right="120"/>
      </w:pPr>
      <w:r>
        <w:t xml:space="preserve">NORME COLLEGATE </w:t>
      </w:r>
    </w:p>
    <w:p w14:paraId="3E12915A"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127 c.p.c. “Direzione dell’udienza” </w:t>
      </w:r>
    </w:p>
    <w:p w14:paraId="695EFE23" w14:textId="77777777" w:rsidR="00B32EF2" w:rsidRDefault="00000000">
      <w:pPr>
        <w:numPr>
          <w:ilvl w:val="0"/>
          <w:numId w:val="73"/>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94"/>
        <w:jc w:val="both"/>
      </w:pPr>
      <w:r>
        <w:rPr>
          <w:rFonts w:ascii="Arial" w:eastAsia="Arial" w:hAnsi="Arial" w:cs="Arial"/>
          <w:i/>
          <w:sz w:val="18"/>
        </w:rPr>
        <w:t>L’udienza è diretta dal giudice singolo o dal presidente del collegio.</w:t>
      </w:r>
    </w:p>
    <w:p w14:paraId="7C4879C0" w14:textId="77777777" w:rsidR="00B32EF2" w:rsidRDefault="00000000">
      <w:pPr>
        <w:numPr>
          <w:ilvl w:val="0"/>
          <w:numId w:val="73"/>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94"/>
        <w:jc w:val="both"/>
      </w:pPr>
      <w:r>
        <w:rPr>
          <w:rFonts w:ascii="Arial" w:eastAsia="Arial" w:hAnsi="Arial" w:cs="Arial"/>
          <w:i/>
          <w:sz w:val="18"/>
        </w:rPr>
        <w:t xml:space="preserve">Il giudice che la dirige può fare o prescrivere quanto occorre </w:t>
      </w:r>
      <w:proofErr w:type="spellStart"/>
      <w:r>
        <w:rPr>
          <w:rFonts w:ascii="Arial" w:eastAsia="Arial" w:hAnsi="Arial" w:cs="Arial"/>
          <w:i/>
          <w:sz w:val="18"/>
        </w:rPr>
        <w:t>affinchéla</w:t>
      </w:r>
      <w:proofErr w:type="spellEnd"/>
      <w:r>
        <w:rPr>
          <w:rFonts w:ascii="Arial" w:eastAsia="Arial" w:hAnsi="Arial" w:cs="Arial"/>
          <w:i/>
          <w:sz w:val="18"/>
        </w:rPr>
        <w:t xml:space="preserve"> trattazione delle cause avvenga in modo ordinato e proficuo regola la discussione, determina i punti sui quali essa deve svolgersi e la dichiara chiusa quando la ritiene sufficiente.</w:t>
      </w:r>
    </w:p>
    <w:p w14:paraId="0373B051" w14:textId="77777777" w:rsidR="00B32EF2" w:rsidRDefault="00000000">
      <w:pPr>
        <w:numPr>
          <w:ilvl w:val="0"/>
          <w:numId w:val="73"/>
        </w:numPr>
        <w:pBdr>
          <w:top w:val="single" w:sz="8" w:space="0" w:color="000000"/>
          <w:left w:val="single" w:sz="8" w:space="0" w:color="000000"/>
          <w:bottom w:val="single" w:sz="8" w:space="0" w:color="000000"/>
          <w:right w:val="single" w:sz="8" w:space="0" w:color="000000"/>
        </w:pBdr>
        <w:shd w:val="clear" w:color="auto" w:fill="C3C3C3"/>
        <w:spacing w:after="655" w:line="251" w:lineRule="auto"/>
        <w:ind w:right="120" w:hanging="194"/>
        <w:jc w:val="both"/>
      </w:pPr>
      <w:r>
        <w:rPr>
          <w:rFonts w:ascii="Arial" w:eastAsia="Arial" w:hAnsi="Arial" w:cs="Arial"/>
          <w:i/>
          <w:sz w:val="18"/>
        </w:rPr>
        <w:t xml:space="preserve">Il giudice può disporre, nei casi e secondo le disposizioni di cui </w:t>
      </w:r>
      <w:proofErr w:type="spellStart"/>
      <w:r>
        <w:rPr>
          <w:rFonts w:ascii="Arial" w:eastAsia="Arial" w:hAnsi="Arial" w:cs="Arial"/>
          <w:i/>
          <w:sz w:val="18"/>
        </w:rPr>
        <w:t>agliarticoli</w:t>
      </w:r>
      <w:proofErr w:type="spellEnd"/>
      <w:r>
        <w:rPr>
          <w:rFonts w:ascii="Arial" w:eastAsia="Arial" w:hAnsi="Arial" w:cs="Arial"/>
          <w:i/>
          <w:sz w:val="18"/>
        </w:rPr>
        <w:t xml:space="preserve"> 127 bis e 127 ter, che l’udienza si svolga mediante collegamenti audiovisivi a distanza o sia sostituita dal deposito di note scritte.</w:t>
      </w:r>
    </w:p>
    <w:p w14:paraId="083FC6C1" w14:textId="77777777" w:rsidR="00B32EF2" w:rsidRDefault="00000000">
      <w:pPr>
        <w:spacing w:after="0" w:line="261" w:lineRule="auto"/>
        <w:ind w:left="12" w:right="3" w:hanging="10"/>
        <w:jc w:val="center"/>
      </w:pPr>
      <w:r>
        <w:rPr>
          <w:rFonts w:ascii="Arial" w:eastAsia="Arial" w:hAnsi="Arial" w:cs="Arial"/>
          <w:b/>
          <w:sz w:val="18"/>
        </w:rPr>
        <w:t>Introdotto dal D.lgs. 220/2023</w:t>
      </w:r>
    </w:p>
    <w:p w14:paraId="11B89DDA" w14:textId="77777777" w:rsidR="00B32EF2" w:rsidRDefault="00000000">
      <w:pPr>
        <w:spacing w:after="0" w:line="261" w:lineRule="auto"/>
        <w:ind w:left="12" w:right="3" w:hanging="10"/>
        <w:jc w:val="center"/>
      </w:pPr>
      <w:r>
        <w:rPr>
          <w:rFonts w:ascii="Arial" w:eastAsia="Arial" w:hAnsi="Arial" w:cs="Arial"/>
          <w:b/>
          <w:sz w:val="18"/>
        </w:rPr>
        <w:t>Per i  giudizi instaurati  con ricorso notificato a decorrere dal 5.1.24</w:t>
      </w:r>
    </w:p>
    <w:p w14:paraId="728C6F76" w14:textId="77777777" w:rsidR="00B32EF2" w:rsidRDefault="00000000">
      <w:pPr>
        <w:spacing w:after="0" w:line="261" w:lineRule="auto"/>
        <w:ind w:left="12" w:right="2" w:hanging="10"/>
        <w:jc w:val="center"/>
      </w:pPr>
      <w:r>
        <w:rPr>
          <w:rFonts w:ascii="Arial" w:eastAsia="Arial" w:hAnsi="Arial" w:cs="Arial"/>
          <w:b/>
          <w:sz w:val="18"/>
        </w:rPr>
        <w:t xml:space="preserve">Articolo 34-bis </w:t>
      </w:r>
    </w:p>
    <w:p w14:paraId="109CF5B6" w14:textId="77777777" w:rsidR="00B32EF2" w:rsidRDefault="00000000">
      <w:pPr>
        <w:spacing w:after="3" w:line="251" w:lineRule="auto"/>
        <w:ind w:left="2320" w:right="2311" w:hanging="10"/>
        <w:jc w:val="center"/>
      </w:pPr>
      <w:r>
        <w:rPr>
          <w:rFonts w:ascii="Arial" w:eastAsia="Arial" w:hAnsi="Arial" w:cs="Arial"/>
          <w:i/>
          <w:sz w:val="18"/>
        </w:rPr>
        <w:t>(articolo 83 TUGT)</w:t>
      </w:r>
    </w:p>
    <w:p w14:paraId="708AF3B2" w14:textId="77777777" w:rsidR="00B32EF2" w:rsidRDefault="00000000">
      <w:pPr>
        <w:spacing w:after="0" w:line="261" w:lineRule="auto"/>
        <w:ind w:left="12" w:right="2" w:hanging="10"/>
        <w:jc w:val="center"/>
      </w:pPr>
      <w:r>
        <w:rPr>
          <w:rFonts w:ascii="Arial" w:eastAsia="Arial" w:hAnsi="Arial" w:cs="Arial"/>
          <w:b/>
          <w:sz w:val="18"/>
        </w:rPr>
        <w:t xml:space="preserve">Udienza a distanza </w:t>
      </w:r>
    </w:p>
    <w:p w14:paraId="1DB3F6CA" w14:textId="77777777" w:rsidR="00B32EF2" w:rsidRDefault="00000000">
      <w:pPr>
        <w:spacing w:after="4" w:line="254" w:lineRule="auto"/>
        <w:ind w:left="-4" w:right="10" w:hanging="10"/>
        <w:jc w:val="both"/>
      </w:pPr>
      <w:r>
        <w:rPr>
          <w:rFonts w:ascii="Arial" w:eastAsia="Arial" w:hAnsi="Arial" w:cs="Arial"/>
          <w:sz w:val="18"/>
        </w:rPr>
        <w:t>1. I contribuenti e i loro difensori, gli enti impositori e i soggetti della riscossione, i giudici e il personale amministrativo delle corti di giustizia tributaria di primo e secondo grado possono partecipare alle udienze di cui agli articoli 33 e 34 da remoto. La discussione da remoto è chiesta nel ricorso, nel primo atto difensivo o in apposita istanza notificata alle altre parti costituite entro il termine di cui all’articolo 32, comma 2, ed è depositata in segreteria unitamente alla prova della notificazione. Nei casi di trattazione delle cause da remoto la segreteria comunica, almeno tre giorni prima della udienza, l’avviso dell’ora e delle modalità di collegamento. Nel verbale di udienza viene dato atto delle modalità con cui si accerta l’identità dei partecipanti e della loro libera volontà di parteciparvi, anche ai fini della disciplina sulla protezione dei dati personali. I verbali e le decisioni deliberate all’esito dell’udienza o della camera di consiglio si considerano, rispettivamente, formati ed assunte nel comune in cui ha sede l’ufficio giudiziario presso il quale è stato iscritto il ricorso trattato. Il luogo dal quale si collegano i giudici, i difensori, le parti che si difendono personalmente e il personale amministrativo è considerato aula di udienza a tutti gli effetti di legge.</w:t>
      </w:r>
    </w:p>
    <w:tbl>
      <w:tblPr>
        <w:tblStyle w:val="TableGrid"/>
        <w:tblW w:w="6236" w:type="dxa"/>
        <w:tblInd w:w="11" w:type="dxa"/>
        <w:tblCellMar>
          <w:top w:w="123" w:type="dxa"/>
          <w:left w:w="124" w:type="dxa"/>
          <w:bottom w:w="0" w:type="dxa"/>
          <w:right w:w="123" w:type="dxa"/>
        </w:tblCellMar>
        <w:tblLook w:val="04A0" w:firstRow="1" w:lastRow="0" w:firstColumn="1" w:lastColumn="0" w:noHBand="0" w:noVBand="1"/>
      </w:tblPr>
      <w:tblGrid>
        <w:gridCol w:w="6236"/>
      </w:tblGrid>
      <w:tr w:rsidR="00B32EF2" w14:paraId="33D604C3" w14:textId="77777777">
        <w:trPr>
          <w:trHeight w:val="2985"/>
        </w:trPr>
        <w:tc>
          <w:tcPr>
            <w:tcW w:w="6236" w:type="dxa"/>
            <w:tcBorders>
              <w:top w:val="single" w:sz="8" w:space="0" w:color="000000"/>
              <w:left w:val="single" w:sz="8" w:space="0" w:color="000000"/>
              <w:bottom w:val="single" w:sz="8" w:space="0" w:color="000000"/>
              <w:right w:val="single" w:sz="8" w:space="0" w:color="000000"/>
            </w:tcBorders>
          </w:tcPr>
          <w:p w14:paraId="1C0F786E" w14:textId="77777777" w:rsidR="00B32EF2" w:rsidRDefault="00000000">
            <w:pPr>
              <w:spacing w:after="0" w:line="250" w:lineRule="auto"/>
              <w:ind w:left="2516" w:hanging="2197"/>
            </w:pPr>
            <w:r>
              <w:rPr>
                <w:rFonts w:ascii="Arial" w:eastAsia="Arial" w:hAnsi="Arial" w:cs="Arial"/>
                <w:b/>
                <w:sz w:val="18"/>
              </w:rPr>
              <w:lastRenderedPageBreak/>
              <w:t>Per i  giudizi instaurati  con ricorso notificato fino al 5.1.24 Articolo 35</w:t>
            </w:r>
          </w:p>
          <w:p w14:paraId="188BCDA9" w14:textId="77777777" w:rsidR="00B32EF2" w:rsidRDefault="00000000">
            <w:pPr>
              <w:spacing w:after="0"/>
              <w:ind w:right="1"/>
              <w:jc w:val="center"/>
            </w:pPr>
            <w:r>
              <w:rPr>
                <w:rFonts w:ascii="Arial" w:eastAsia="Arial" w:hAnsi="Arial" w:cs="Arial"/>
                <w:i/>
                <w:sz w:val="18"/>
              </w:rPr>
              <w:t>(articolo 84 TUGT)</w:t>
            </w:r>
          </w:p>
          <w:p w14:paraId="465D7AA0" w14:textId="77777777" w:rsidR="00B32EF2" w:rsidRDefault="00000000">
            <w:pPr>
              <w:spacing w:after="0"/>
              <w:ind w:right="1"/>
              <w:jc w:val="center"/>
            </w:pPr>
            <w:r>
              <w:rPr>
                <w:rFonts w:ascii="Arial" w:eastAsia="Arial" w:hAnsi="Arial" w:cs="Arial"/>
                <w:b/>
                <w:sz w:val="18"/>
              </w:rPr>
              <w:t>Deliberazioni del collegio giudicante</w:t>
            </w:r>
          </w:p>
          <w:p w14:paraId="0B3628BD" w14:textId="77777777" w:rsidR="00B32EF2" w:rsidRDefault="00000000">
            <w:pPr>
              <w:spacing w:after="16" w:line="250" w:lineRule="auto"/>
              <w:jc w:val="both"/>
            </w:pPr>
            <w:r>
              <w:rPr>
                <w:rFonts w:ascii="Arial" w:eastAsia="Arial" w:hAnsi="Arial" w:cs="Arial"/>
                <w:sz w:val="18"/>
              </w:rPr>
              <w:t>1. Il collegio giudicante, subito dopo la discussione  in  pubblica udienza o,  se questa non  vi  è  stata,  subito  dopo  l’esposizione  del relatore, delibera la decisione in segreto nella camera di consiglio. 2. Quando ne  ricorrono  i motivi la deliberazione in camera di consiglio può essere rinviata di non oltre trenta giorni.</w:t>
            </w:r>
          </w:p>
          <w:p w14:paraId="37C5A19E" w14:textId="77777777" w:rsidR="00B32EF2" w:rsidRDefault="00000000">
            <w:pPr>
              <w:spacing w:after="0"/>
              <w:ind w:right="1"/>
              <w:jc w:val="both"/>
            </w:pPr>
            <w:r>
              <w:rPr>
                <w:rFonts w:ascii="Arial" w:eastAsia="Arial" w:hAnsi="Arial" w:cs="Arial"/>
                <w:sz w:val="18"/>
              </w:rPr>
              <w:t>3. Alle deliberazioni del collegio si applicano le disposizioni di cui agli articoli 276 e seguenti del codice di procedura civile. Non sono   tuttavia ammesse  sentenze  non  definitive o limitate solo ad alcune domande.</w:t>
            </w:r>
          </w:p>
        </w:tc>
      </w:tr>
    </w:tbl>
    <w:p w14:paraId="348188EE" w14:textId="77777777" w:rsidR="00B32EF2" w:rsidRDefault="00000000">
      <w:pPr>
        <w:spacing w:after="0" w:line="261" w:lineRule="auto"/>
        <w:ind w:left="12" w:right="3" w:hanging="10"/>
        <w:jc w:val="center"/>
      </w:pPr>
      <w:r>
        <w:rPr>
          <w:rFonts w:ascii="Arial" w:eastAsia="Arial" w:hAnsi="Arial" w:cs="Arial"/>
          <w:b/>
          <w:sz w:val="18"/>
        </w:rPr>
        <w:t>Articolo 35</w:t>
      </w:r>
    </w:p>
    <w:p w14:paraId="686ECF00" w14:textId="77777777" w:rsidR="00B32EF2" w:rsidRDefault="00000000">
      <w:pPr>
        <w:spacing w:after="3" w:line="251" w:lineRule="auto"/>
        <w:ind w:left="2320" w:right="2311" w:hanging="10"/>
        <w:jc w:val="center"/>
      </w:pPr>
      <w:r>
        <w:rPr>
          <w:rFonts w:ascii="Arial" w:eastAsia="Arial" w:hAnsi="Arial" w:cs="Arial"/>
          <w:i/>
          <w:sz w:val="18"/>
        </w:rPr>
        <w:t>(articolo 84 TUGT)</w:t>
      </w:r>
    </w:p>
    <w:p w14:paraId="7E082A35" w14:textId="77777777" w:rsidR="00B32EF2" w:rsidRDefault="00000000">
      <w:pPr>
        <w:spacing w:after="0" w:line="261" w:lineRule="auto"/>
        <w:ind w:left="12" w:right="3" w:hanging="10"/>
        <w:jc w:val="center"/>
      </w:pPr>
      <w:r>
        <w:rPr>
          <w:rFonts w:ascii="Arial" w:eastAsia="Arial" w:hAnsi="Arial" w:cs="Arial"/>
          <w:b/>
          <w:sz w:val="18"/>
        </w:rPr>
        <w:t>Deliberazioni del collegio giudicante</w:t>
      </w:r>
    </w:p>
    <w:p w14:paraId="1A483316" w14:textId="77777777" w:rsidR="00B32EF2" w:rsidRDefault="00000000">
      <w:pPr>
        <w:numPr>
          <w:ilvl w:val="0"/>
          <w:numId w:val="74"/>
        </w:numPr>
        <w:spacing w:after="4" w:line="254" w:lineRule="auto"/>
        <w:ind w:right="10" w:hanging="10"/>
        <w:jc w:val="both"/>
      </w:pPr>
      <w:r>
        <w:rPr>
          <w:rFonts w:ascii="Arial" w:eastAsia="Arial" w:hAnsi="Arial" w:cs="Arial"/>
          <w:sz w:val="18"/>
        </w:rPr>
        <w:t xml:space="preserve">La corte di giustizia tributaria, subito dopo la discussione in </w:t>
      </w:r>
      <w:proofErr w:type="spellStart"/>
      <w:r>
        <w:rPr>
          <w:rFonts w:ascii="Arial" w:eastAsia="Arial" w:hAnsi="Arial" w:cs="Arial"/>
          <w:sz w:val="18"/>
        </w:rPr>
        <w:t>pubblicaudienza</w:t>
      </w:r>
      <w:proofErr w:type="spellEnd"/>
      <w:r>
        <w:rPr>
          <w:rFonts w:ascii="Arial" w:eastAsia="Arial" w:hAnsi="Arial" w:cs="Arial"/>
          <w:sz w:val="18"/>
        </w:rPr>
        <w:t xml:space="preserve"> o, se questa non vi è stata, dopo l’esposizione del relatore, delibera la decisione in segreto nella camera di consiglio e il presidente, al termine, dà lettura immediata del dispositivo, salva la facoltà della corte di riservarne il deposito in segreteria e la sua contestuale comunicazione ai difensori delle parti costituite entro il termine perentorio dei successivi sette giorni. (1)</w:t>
      </w:r>
    </w:p>
    <w:p w14:paraId="5EDC81F8" w14:textId="77777777" w:rsidR="00B32EF2" w:rsidRDefault="00000000">
      <w:pPr>
        <w:numPr>
          <w:ilvl w:val="0"/>
          <w:numId w:val="74"/>
        </w:numPr>
        <w:spacing w:after="4" w:line="254" w:lineRule="auto"/>
        <w:ind w:right="10" w:hanging="10"/>
        <w:jc w:val="both"/>
      </w:pPr>
      <w:r>
        <w:rPr>
          <w:rFonts w:ascii="Arial" w:eastAsia="Arial" w:hAnsi="Arial" w:cs="Arial"/>
          <w:sz w:val="18"/>
        </w:rPr>
        <w:t xml:space="preserve">Quando ne ricorrono i motivi la deliberazione in camera di consiglio </w:t>
      </w:r>
      <w:proofErr w:type="spellStart"/>
      <w:r>
        <w:rPr>
          <w:rFonts w:ascii="Arial" w:eastAsia="Arial" w:hAnsi="Arial" w:cs="Arial"/>
          <w:sz w:val="18"/>
        </w:rPr>
        <w:t>puòessere</w:t>
      </w:r>
      <w:proofErr w:type="spellEnd"/>
      <w:r>
        <w:rPr>
          <w:rFonts w:ascii="Arial" w:eastAsia="Arial" w:hAnsi="Arial" w:cs="Arial"/>
          <w:sz w:val="18"/>
        </w:rPr>
        <w:t xml:space="preserve"> rinviata di non oltre trenta giorni.</w:t>
      </w:r>
    </w:p>
    <w:p w14:paraId="4C730306" w14:textId="77777777" w:rsidR="00B32EF2" w:rsidRDefault="00000000">
      <w:pPr>
        <w:numPr>
          <w:ilvl w:val="0"/>
          <w:numId w:val="74"/>
        </w:numPr>
        <w:spacing w:after="4" w:line="254" w:lineRule="auto"/>
        <w:ind w:right="10" w:hanging="10"/>
        <w:jc w:val="both"/>
      </w:pPr>
      <w:r>
        <w:rPr>
          <w:rFonts w:ascii="Arial" w:eastAsia="Arial" w:hAnsi="Arial" w:cs="Arial"/>
          <w:sz w:val="18"/>
        </w:rPr>
        <w:t>Alle deliberazioni del collegio si applicano le disposizioni di cui agli articoli276 e seguenti del codice di procedura civile. Non sono tuttavia ammesse sentenze non definitive o limitate solo ad alcune domande.</w:t>
      </w:r>
    </w:p>
    <w:p w14:paraId="7347E7A6" w14:textId="77777777" w:rsidR="00B32EF2" w:rsidRDefault="00000000">
      <w:pPr>
        <w:spacing w:after="247" w:line="261" w:lineRule="auto"/>
        <w:ind w:left="-4" w:right="-13" w:hanging="10"/>
        <w:jc w:val="both"/>
      </w:pPr>
      <w:r>
        <w:rPr>
          <w:rFonts w:ascii="Arial" w:eastAsia="Arial" w:hAnsi="Arial" w:cs="Arial"/>
          <w:sz w:val="15"/>
        </w:rPr>
        <w:t>(1) Comma 1 del presente articolo così modificato dall’art. 16 del D.lgs. n. 81 del 12/06/2025.</w:t>
      </w:r>
    </w:p>
    <w:p w14:paraId="288ECFC8" w14:textId="77777777" w:rsidR="00B32EF2" w:rsidRDefault="00000000">
      <w:pPr>
        <w:pStyle w:val="Titolo3"/>
        <w:ind w:left="129" w:right="120"/>
      </w:pPr>
      <w:r>
        <w:t>NORME RICHIAMATE</w:t>
      </w:r>
    </w:p>
    <w:p w14:paraId="09C5E488"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276 </w:t>
      </w:r>
      <w:proofErr w:type="spellStart"/>
      <w:r>
        <w:rPr>
          <w:rFonts w:ascii="Arial" w:eastAsia="Arial" w:hAnsi="Arial" w:cs="Arial"/>
          <w:i/>
          <w:sz w:val="18"/>
        </w:rPr>
        <w:t>c.p.c</w:t>
      </w:r>
      <w:proofErr w:type="spellEnd"/>
      <w:r>
        <w:rPr>
          <w:rFonts w:ascii="Arial" w:eastAsia="Arial" w:hAnsi="Arial" w:cs="Arial"/>
          <w:i/>
          <w:sz w:val="18"/>
        </w:rPr>
        <w:t xml:space="preserve"> “Deliberazione.”</w:t>
      </w:r>
    </w:p>
    <w:p w14:paraId="07DCE3B7" w14:textId="77777777" w:rsidR="00B32EF2" w:rsidRDefault="00000000">
      <w:pPr>
        <w:numPr>
          <w:ilvl w:val="0"/>
          <w:numId w:val="75"/>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La decisione è deliberata in segreto nella camera di consiglio. Ad </w:t>
      </w:r>
      <w:proofErr w:type="spellStart"/>
      <w:r>
        <w:rPr>
          <w:rFonts w:ascii="Arial" w:eastAsia="Arial" w:hAnsi="Arial" w:cs="Arial"/>
          <w:i/>
          <w:sz w:val="18"/>
        </w:rPr>
        <w:t>essapossono</w:t>
      </w:r>
      <w:proofErr w:type="spellEnd"/>
      <w:r>
        <w:rPr>
          <w:rFonts w:ascii="Arial" w:eastAsia="Arial" w:hAnsi="Arial" w:cs="Arial"/>
          <w:i/>
          <w:sz w:val="18"/>
        </w:rPr>
        <w:t xml:space="preserve"> partecipare soltanto i giudici che hanno assistito alla discussione.</w:t>
      </w:r>
    </w:p>
    <w:p w14:paraId="4018A0B2" w14:textId="77777777" w:rsidR="00B32EF2" w:rsidRDefault="00000000">
      <w:pPr>
        <w:numPr>
          <w:ilvl w:val="0"/>
          <w:numId w:val="75"/>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Il collegio, sotto la direzione del presidente, decide gradatamente </w:t>
      </w:r>
      <w:proofErr w:type="spellStart"/>
      <w:r>
        <w:rPr>
          <w:rFonts w:ascii="Arial" w:eastAsia="Arial" w:hAnsi="Arial" w:cs="Arial"/>
          <w:i/>
          <w:sz w:val="18"/>
        </w:rPr>
        <w:t>lequestioni</w:t>
      </w:r>
      <w:proofErr w:type="spellEnd"/>
      <w:r>
        <w:rPr>
          <w:rFonts w:ascii="Arial" w:eastAsia="Arial" w:hAnsi="Arial" w:cs="Arial"/>
          <w:i/>
          <w:sz w:val="18"/>
        </w:rPr>
        <w:t xml:space="preserve"> pregiudiziali proposte dalle parti o rilevabili d’ufficio e quindi il merito della causa.</w:t>
      </w:r>
    </w:p>
    <w:p w14:paraId="0BD9B5DE" w14:textId="77777777" w:rsidR="00B32EF2" w:rsidRDefault="00000000">
      <w:pPr>
        <w:numPr>
          <w:ilvl w:val="0"/>
          <w:numId w:val="75"/>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La decisione è presa a maggioranza di voti. Il primo a votare è il </w:t>
      </w:r>
      <w:proofErr w:type="spellStart"/>
      <w:r>
        <w:rPr>
          <w:rFonts w:ascii="Arial" w:eastAsia="Arial" w:hAnsi="Arial" w:cs="Arial"/>
          <w:i/>
          <w:sz w:val="18"/>
        </w:rPr>
        <w:t>relatore,quindi</w:t>
      </w:r>
      <w:proofErr w:type="spellEnd"/>
      <w:r>
        <w:rPr>
          <w:rFonts w:ascii="Arial" w:eastAsia="Arial" w:hAnsi="Arial" w:cs="Arial"/>
          <w:i/>
          <w:sz w:val="18"/>
        </w:rPr>
        <w:t xml:space="preserve"> l’altro giudice e infine il presidente.</w:t>
      </w:r>
    </w:p>
    <w:p w14:paraId="3A22BA06" w14:textId="77777777" w:rsidR="00B32EF2" w:rsidRDefault="00000000">
      <w:pPr>
        <w:numPr>
          <w:ilvl w:val="0"/>
          <w:numId w:val="75"/>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lastRenderedPageBreak/>
        <w:t>Se intorno a una questione si prospettano più soluzioni e non si formala maggioranza alla prima votazione, il presidente mette ai voti due delle soluzioni per escluderne una, quindi mette ai voti la non esclusa e quella eventualmente restante, e così successivamente finché le soluzioni siano ridotte a due, sulle quali avviene la votazione definitiva.</w:t>
      </w:r>
    </w:p>
    <w:p w14:paraId="614750BE" w14:textId="77777777" w:rsidR="00B32EF2" w:rsidRDefault="00000000">
      <w:pPr>
        <w:numPr>
          <w:ilvl w:val="0"/>
          <w:numId w:val="75"/>
        </w:numPr>
        <w:pBdr>
          <w:top w:val="single" w:sz="8" w:space="0" w:color="000000"/>
          <w:left w:val="single" w:sz="8" w:space="0" w:color="000000"/>
          <w:bottom w:val="single" w:sz="8" w:space="0" w:color="000000"/>
          <w:right w:val="single" w:sz="8" w:space="0" w:color="000000"/>
        </w:pBdr>
        <w:shd w:val="clear" w:color="auto" w:fill="C3C3C3"/>
        <w:spacing w:after="730" w:line="251" w:lineRule="auto"/>
        <w:ind w:right="120" w:hanging="10"/>
        <w:jc w:val="both"/>
      </w:pPr>
      <w:r>
        <w:rPr>
          <w:rFonts w:ascii="Arial" w:eastAsia="Arial" w:hAnsi="Arial" w:cs="Arial"/>
          <w:i/>
          <w:sz w:val="18"/>
        </w:rPr>
        <w:t xml:space="preserve">Chiusa la votazione, il presidente scrive e sottoscrive il dispositivo. </w:t>
      </w:r>
      <w:proofErr w:type="spellStart"/>
      <w:r>
        <w:rPr>
          <w:rFonts w:ascii="Arial" w:eastAsia="Arial" w:hAnsi="Arial" w:cs="Arial"/>
          <w:i/>
          <w:sz w:val="18"/>
        </w:rPr>
        <w:t>Lamotivazione</w:t>
      </w:r>
      <w:proofErr w:type="spellEnd"/>
      <w:r>
        <w:rPr>
          <w:rFonts w:ascii="Arial" w:eastAsia="Arial" w:hAnsi="Arial" w:cs="Arial"/>
          <w:i/>
          <w:sz w:val="18"/>
        </w:rPr>
        <w:t xml:space="preserve"> è quindi stesa dal relatore, a meno che il presidente non creda di stenderla egli stesso o affidarla all’altro giudice.</w:t>
      </w:r>
    </w:p>
    <w:p w14:paraId="07F17DB1" w14:textId="77777777" w:rsidR="00B32EF2" w:rsidRDefault="00000000">
      <w:pPr>
        <w:spacing w:after="0" w:line="261" w:lineRule="auto"/>
        <w:ind w:left="12" w:right="3" w:hanging="10"/>
        <w:jc w:val="center"/>
      </w:pPr>
      <w:r>
        <w:rPr>
          <w:rFonts w:ascii="Arial" w:eastAsia="Arial" w:hAnsi="Arial" w:cs="Arial"/>
          <w:b/>
          <w:sz w:val="18"/>
        </w:rPr>
        <w:t xml:space="preserve">SEZIONE IV </w:t>
      </w:r>
    </w:p>
    <w:p w14:paraId="566F9BA8" w14:textId="77777777" w:rsidR="00B32EF2" w:rsidRDefault="00000000">
      <w:pPr>
        <w:spacing w:after="0" w:line="261" w:lineRule="auto"/>
        <w:ind w:left="12" w:right="3" w:hanging="10"/>
        <w:jc w:val="center"/>
      </w:pPr>
      <w:r>
        <w:rPr>
          <w:rFonts w:ascii="Arial" w:eastAsia="Arial" w:hAnsi="Arial" w:cs="Arial"/>
          <w:b/>
          <w:sz w:val="18"/>
        </w:rPr>
        <w:t xml:space="preserve"> LA DECISIONE DELLA CONTROVERSIA</w:t>
      </w:r>
    </w:p>
    <w:tbl>
      <w:tblPr>
        <w:tblStyle w:val="TableGrid"/>
        <w:tblW w:w="6236" w:type="dxa"/>
        <w:tblInd w:w="1" w:type="dxa"/>
        <w:tblCellMar>
          <w:top w:w="0" w:type="dxa"/>
          <w:left w:w="123" w:type="dxa"/>
          <w:bottom w:w="0" w:type="dxa"/>
          <w:right w:w="123" w:type="dxa"/>
        </w:tblCellMar>
        <w:tblLook w:val="04A0" w:firstRow="1" w:lastRow="0" w:firstColumn="1" w:lastColumn="0" w:noHBand="0" w:noVBand="1"/>
      </w:tblPr>
      <w:tblGrid>
        <w:gridCol w:w="6236"/>
      </w:tblGrid>
      <w:tr w:rsidR="00B32EF2" w14:paraId="1ABA78E9" w14:textId="77777777">
        <w:trPr>
          <w:trHeight w:val="3503"/>
        </w:trPr>
        <w:tc>
          <w:tcPr>
            <w:tcW w:w="6236" w:type="dxa"/>
            <w:tcBorders>
              <w:top w:val="single" w:sz="8" w:space="0" w:color="000000"/>
              <w:left w:val="single" w:sz="8" w:space="0" w:color="000000"/>
              <w:bottom w:val="single" w:sz="8" w:space="0" w:color="000000"/>
              <w:right w:val="single" w:sz="8" w:space="0" w:color="000000"/>
            </w:tcBorders>
            <w:vAlign w:val="center"/>
          </w:tcPr>
          <w:p w14:paraId="12B36A41" w14:textId="77777777" w:rsidR="00B32EF2" w:rsidRDefault="00000000">
            <w:pPr>
              <w:spacing w:after="0" w:line="250" w:lineRule="auto"/>
              <w:ind w:left="2516" w:hanging="2197"/>
            </w:pPr>
            <w:r>
              <w:rPr>
                <w:rFonts w:ascii="Arial" w:eastAsia="Arial" w:hAnsi="Arial" w:cs="Arial"/>
                <w:b/>
                <w:sz w:val="18"/>
              </w:rPr>
              <w:t>Per i  giudizi instaurati  con ricorso notificato fino al 5.1.24 Articolo 36</w:t>
            </w:r>
          </w:p>
          <w:p w14:paraId="07FFFA83" w14:textId="77777777" w:rsidR="00B32EF2" w:rsidRDefault="00000000">
            <w:pPr>
              <w:spacing w:after="0"/>
              <w:jc w:val="center"/>
            </w:pPr>
            <w:r>
              <w:rPr>
                <w:rFonts w:ascii="Arial" w:eastAsia="Arial" w:hAnsi="Arial" w:cs="Arial"/>
                <w:i/>
                <w:sz w:val="18"/>
              </w:rPr>
              <w:t>(articolo 85 TUGT)</w:t>
            </w:r>
          </w:p>
          <w:p w14:paraId="023A1E3A" w14:textId="77777777" w:rsidR="00B32EF2" w:rsidRDefault="00000000">
            <w:pPr>
              <w:spacing w:after="0"/>
              <w:jc w:val="center"/>
            </w:pPr>
            <w:r>
              <w:rPr>
                <w:rFonts w:ascii="Arial" w:eastAsia="Arial" w:hAnsi="Arial" w:cs="Arial"/>
                <w:b/>
                <w:sz w:val="18"/>
              </w:rPr>
              <w:t>Contenuto della sentenza</w:t>
            </w:r>
          </w:p>
          <w:p w14:paraId="0AA6581D" w14:textId="77777777" w:rsidR="00B32EF2" w:rsidRDefault="00000000">
            <w:pPr>
              <w:numPr>
                <w:ilvl w:val="0"/>
                <w:numId w:val="211"/>
              </w:numPr>
              <w:spacing w:after="0" w:line="250" w:lineRule="auto"/>
            </w:pPr>
            <w:r>
              <w:rPr>
                <w:rFonts w:ascii="Arial" w:eastAsia="Arial" w:hAnsi="Arial" w:cs="Arial"/>
                <w:sz w:val="18"/>
              </w:rPr>
              <w:t xml:space="preserve">La sentenza è pronunciata  in  nome  del   popolo   italiano   ed   </w:t>
            </w:r>
            <w:proofErr w:type="spellStart"/>
            <w:r>
              <w:rPr>
                <w:rFonts w:ascii="Arial" w:eastAsia="Arial" w:hAnsi="Arial" w:cs="Arial"/>
                <w:sz w:val="18"/>
              </w:rPr>
              <w:t>èintestata</w:t>
            </w:r>
            <w:proofErr w:type="spellEnd"/>
            <w:r>
              <w:rPr>
                <w:rFonts w:ascii="Arial" w:eastAsia="Arial" w:hAnsi="Arial" w:cs="Arial"/>
                <w:sz w:val="18"/>
              </w:rPr>
              <w:t xml:space="preserve"> alla Repubblica italiana.</w:t>
            </w:r>
          </w:p>
          <w:p w14:paraId="2A8EF721" w14:textId="77777777" w:rsidR="00B32EF2" w:rsidRDefault="00000000">
            <w:pPr>
              <w:numPr>
                <w:ilvl w:val="0"/>
                <w:numId w:val="211"/>
              </w:numPr>
              <w:spacing w:after="8"/>
            </w:pPr>
            <w:r>
              <w:rPr>
                <w:rFonts w:ascii="Arial" w:eastAsia="Arial" w:hAnsi="Arial" w:cs="Arial"/>
                <w:sz w:val="18"/>
              </w:rPr>
              <w:t>La sentenza deve contenere:</w:t>
            </w:r>
          </w:p>
          <w:p w14:paraId="49AB6600" w14:textId="77777777" w:rsidR="00B32EF2" w:rsidRDefault="00000000">
            <w:pPr>
              <w:numPr>
                <w:ilvl w:val="0"/>
                <w:numId w:val="212"/>
              </w:numPr>
              <w:spacing w:after="10" w:line="257" w:lineRule="auto"/>
            </w:pPr>
            <w:r>
              <w:rPr>
                <w:rFonts w:ascii="Arial" w:eastAsia="Arial" w:hAnsi="Arial" w:cs="Arial"/>
                <w:sz w:val="18"/>
              </w:rPr>
              <w:t>l’indicazione della composizione del collegio, delle parti e dei loro difensori se vi sono;</w:t>
            </w:r>
          </w:p>
          <w:p w14:paraId="4F74E15B" w14:textId="77777777" w:rsidR="00B32EF2" w:rsidRDefault="00000000">
            <w:pPr>
              <w:numPr>
                <w:ilvl w:val="0"/>
                <w:numId w:val="212"/>
              </w:numPr>
              <w:spacing w:after="14"/>
            </w:pPr>
            <w:r>
              <w:rPr>
                <w:rFonts w:ascii="Arial" w:eastAsia="Arial" w:hAnsi="Arial" w:cs="Arial"/>
                <w:sz w:val="18"/>
              </w:rPr>
              <w:t>la concisa esposizione dello svolgimento del processo;</w:t>
            </w:r>
          </w:p>
          <w:p w14:paraId="51F65000" w14:textId="77777777" w:rsidR="00B32EF2" w:rsidRDefault="00000000">
            <w:pPr>
              <w:numPr>
                <w:ilvl w:val="0"/>
                <w:numId w:val="212"/>
              </w:numPr>
              <w:spacing w:after="14"/>
            </w:pPr>
            <w:r>
              <w:rPr>
                <w:rFonts w:ascii="Arial" w:eastAsia="Arial" w:hAnsi="Arial" w:cs="Arial"/>
                <w:sz w:val="18"/>
              </w:rPr>
              <w:t>le richieste delle parti;</w:t>
            </w:r>
          </w:p>
          <w:p w14:paraId="7167F813" w14:textId="77777777" w:rsidR="00B32EF2" w:rsidRDefault="00000000">
            <w:pPr>
              <w:numPr>
                <w:ilvl w:val="0"/>
                <w:numId w:val="212"/>
              </w:numPr>
              <w:spacing w:after="0" w:line="275" w:lineRule="auto"/>
            </w:pPr>
            <w:r>
              <w:rPr>
                <w:rFonts w:ascii="Arial" w:eastAsia="Arial" w:hAnsi="Arial" w:cs="Arial"/>
                <w:sz w:val="18"/>
              </w:rPr>
              <w:t>la succinta esposizione dei motivi in fatto e diritto; 5) il dispositivo.</w:t>
            </w:r>
          </w:p>
          <w:p w14:paraId="3CA4D635" w14:textId="77777777" w:rsidR="00B32EF2" w:rsidRDefault="00000000">
            <w:pPr>
              <w:spacing w:after="0"/>
              <w:jc w:val="both"/>
            </w:pPr>
            <w:r>
              <w:rPr>
                <w:rFonts w:ascii="Arial" w:eastAsia="Arial" w:hAnsi="Arial" w:cs="Arial"/>
                <w:sz w:val="18"/>
              </w:rPr>
              <w:t>3. La sentenza deve inoltre contenere la data della deliberazione ed  è sottoscritta dal presidente e dall’estensore.</w:t>
            </w:r>
          </w:p>
        </w:tc>
      </w:tr>
    </w:tbl>
    <w:p w14:paraId="7EBD4B52" w14:textId="77777777" w:rsidR="00B32EF2" w:rsidRDefault="00000000">
      <w:pPr>
        <w:spacing w:after="0" w:line="261" w:lineRule="auto"/>
        <w:ind w:left="12" w:right="3" w:hanging="10"/>
        <w:jc w:val="center"/>
      </w:pPr>
      <w:r>
        <w:rPr>
          <w:rFonts w:ascii="Arial" w:eastAsia="Arial" w:hAnsi="Arial" w:cs="Arial"/>
          <w:b/>
          <w:sz w:val="18"/>
        </w:rPr>
        <w:t>Articolo 36</w:t>
      </w:r>
    </w:p>
    <w:p w14:paraId="3EFF9056" w14:textId="77777777" w:rsidR="00B32EF2" w:rsidRDefault="00000000">
      <w:pPr>
        <w:spacing w:after="3" w:line="251" w:lineRule="auto"/>
        <w:ind w:left="2320" w:right="2311" w:hanging="10"/>
        <w:jc w:val="center"/>
      </w:pPr>
      <w:r>
        <w:rPr>
          <w:rFonts w:ascii="Arial" w:eastAsia="Arial" w:hAnsi="Arial" w:cs="Arial"/>
          <w:i/>
          <w:sz w:val="18"/>
        </w:rPr>
        <w:t>(articolo 85 TUGT)</w:t>
      </w:r>
    </w:p>
    <w:p w14:paraId="6D50FD58" w14:textId="77777777" w:rsidR="00B32EF2" w:rsidRDefault="00000000">
      <w:pPr>
        <w:spacing w:after="0" w:line="261" w:lineRule="auto"/>
        <w:ind w:left="12" w:right="3" w:hanging="10"/>
        <w:jc w:val="center"/>
      </w:pPr>
      <w:r>
        <w:rPr>
          <w:rFonts w:ascii="Arial" w:eastAsia="Arial" w:hAnsi="Arial" w:cs="Arial"/>
          <w:b/>
          <w:sz w:val="18"/>
        </w:rPr>
        <w:t>Contenuto della sentenza</w:t>
      </w:r>
    </w:p>
    <w:p w14:paraId="57140B75" w14:textId="77777777" w:rsidR="00B32EF2" w:rsidRDefault="00000000">
      <w:pPr>
        <w:numPr>
          <w:ilvl w:val="0"/>
          <w:numId w:val="76"/>
        </w:numPr>
        <w:spacing w:after="4" w:line="254" w:lineRule="auto"/>
        <w:ind w:right="10" w:hanging="202"/>
        <w:jc w:val="both"/>
      </w:pPr>
      <w:r>
        <w:rPr>
          <w:rFonts w:ascii="Arial" w:eastAsia="Arial" w:hAnsi="Arial" w:cs="Arial"/>
          <w:sz w:val="18"/>
        </w:rPr>
        <w:t xml:space="preserve">La sentenza è pronunciata in nome del popolo italiano ed è intestata </w:t>
      </w:r>
      <w:proofErr w:type="spellStart"/>
      <w:r>
        <w:rPr>
          <w:rFonts w:ascii="Arial" w:eastAsia="Arial" w:hAnsi="Arial" w:cs="Arial"/>
          <w:sz w:val="18"/>
        </w:rPr>
        <w:t>allaRepubblica</w:t>
      </w:r>
      <w:proofErr w:type="spellEnd"/>
      <w:r>
        <w:rPr>
          <w:rFonts w:ascii="Arial" w:eastAsia="Arial" w:hAnsi="Arial" w:cs="Arial"/>
          <w:sz w:val="18"/>
        </w:rPr>
        <w:t xml:space="preserve"> italiana.</w:t>
      </w:r>
    </w:p>
    <w:p w14:paraId="37087653" w14:textId="77777777" w:rsidR="00B32EF2" w:rsidRDefault="00000000">
      <w:pPr>
        <w:numPr>
          <w:ilvl w:val="0"/>
          <w:numId w:val="76"/>
        </w:numPr>
        <w:spacing w:after="4" w:line="254" w:lineRule="auto"/>
        <w:ind w:right="10" w:hanging="202"/>
        <w:jc w:val="both"/>
      </w:pPr>
      <w:r>
        <w:rPr>
          <w:rFonts w:ascii="Arial" w:eastAsia="Arial" w:hAnsi="Arial" w:cs="Arial"/>
          <w:sz w:val="18"/>
        </w:rPr>
        <w:t>La sentenza deve contenere:</w:t>
      </w:r>
    </w:p>
    <w:p w14:paraId="5AB01A6E" w14:textId="77777777" w:rsidR="00B32EF2" w:rsidRDefault="00000000">
      <w:pPr>
        <w:numPr>
          <w:ilvl w:val="0"/>
          <w:numId w:val="77"/>
        </w:numPr>
        <w:spacing w:after="4" w:line="254" w:lineRule="auto"/>
        <w:ind w:right="10" w:hanging="205"/>
        <w:jc w:val="both"/>
      </w:pPr>
      <w:r>
        <w:rPr>
          <w:rFonts w:ascii="Arial" w:eastAsia="Arial" w:hAnsi="Arial" w:cs="Arial"/>
          <w:sz w:val="18"/>
        </w:rPr>
        <w:t>l’indicazione della composizione del collegio, delle parti e dei loro difensori se vi sono;</w:t>
      </w:r>
    </w:p>
    <w:p w14:paraId="30F2C45B" w14:textId="77777777" w:rsidR="00B32EF2" w:rsidRDefault="00000000">
      <w:pPr>
        <w:numPr>
          <w:ilvl w:val="0"/>
          <w:numId w:val="77"/>
        </w:numPr>
        <w:spacing w:after="4" w:line="254" w:lineRule="auto"/>
        <w:ind w:right="10" w:hanging="205"/>
        <w:jc w:val="both"/>
      </w:pPr>
      <w:r>
        <w:rPr>
          <w:rFonts w:ascii="Arial" w:eastAsia="Arial" w:hAnsi="Arial" w:cs="Arial"/>
          <w:sz w:val="18"/>
        </w:rPr>
        <w:t>la concisa esposizione dello svolgimento del processo;</w:t>
      </w:r>
    </w:p>
    <w:p w14:paraId="6C639B17" w14:textId="77777777" w:rsidR="00B32EF2" w:rsidRDefault="00000000">
      <w:pPr>
        <w:numPr>
          <w:ilvl w:val="0"/>
          <w:numId w:val="77"/>
        </w:numPr>
        <w:spacing w:after="4" w:line="254" w:lineRule="auto"/>
        <w:ind w:right="10" w:hanging="205"/>
        <w:jc w:val="both"/>
      </w:pPr>
      <w:r>
        <w:rPr>
          <w:rFonts w:ascii="Arial" w:eastAsia="Arial" w:hAnsi="Arial" w:cs="Arial"/>
          <w:sz w:val="18"/>
        </w:rPr>
        <w:t>le richieste delle parti;</w:t>
      </w:r>
    </w:p>
    <w:p w14:paraId="4441BEDC" w14:textId="77777777" w:rsidR="00B32EF2" w:rsidRDefault="00000000">
      <w:pPr>
        <w:numPr>
          <w:ilvl w:val="0"/>
          <w:numId w:val="77"/>
        </w:numPr>
        <w:spacing w:after="4" w:line="254" w:lineRule="auto"/>
        <w:ind w:right="10" w:hanging="205"/>
        <w:jc w:val="both"/>
      </w:pPr>
      <w:r>
        <w:rPr>
          <w:rFonts w:ascii="Arial" w:eastAsia="Arial" w:hAnsi="Arial" w:cs="Arial"/>
          <w:sz w:val="18"/>
        </w:rPr>
        <w:t xml:space="preserve">la succinta esposizione dei motivi in fatto e diritto di accoglimento o di </w:t>
      </w:r>
      <w:proofErr w:type="spellStart"/>
      <w:r>
        <w:rPr>
          <w:rFonts w:ascii="Arial" w:eastAsia="Arial" w:hAnsi="Arial" w:cs="Arial"/>
          <w:sz w:val="18"/>
        </w:rPr>
        <w:t>rigetto,relativi</w:t>
      </w:r>
      <w:proofErr w:type="spellEnd"/>
      <w:r>
        <w:rPr>
          <w:rFonts w:ascii="Arial" w:eastAsia="Arial" w:hAnsi="Arial" w:cs="Arial"/>
          <w:sz w:val="18"/>
        </w:rPr>
        <w:t xml:space="preserve"> alle questioni di merito ed alle questioni attinenti ai vizi di annullabilità o di nullità dell’atto ; 5) il dispositivo.</w:t>
      </w:r>
    </w:p>
    <w:p w14:paraId="2943E15A" w14:textId="77777777" w:rsidR="00B32EF2" w:rsidRDefault="00000000">
      <w:pPr>
        <w:spacing w:after="291" w:line="254" w:lineRule="auto"/>
        <w:ind w:left="-4" w:right="10" w:hanging="10"/>
        <w:jc w:val="both"/>
      </w:pPr>
      <w:r>
        <w:rPr>
          <w:rFonts w:ascii="Arial" w:eastAsia="Arial" w:hAnsi="Arial" w:cs="Arial"/>
          <w:sz w:val="18"/>
        </w:rPr>
        <w:lastRenderedPageBreak/>
        <w:t>3. La sentenza deve inoltre contenere la data della deliberazione ed è sottoscritta dal presidente e dall’estensore.</w:t>
      </w:r>
    </w:p>
    <w:p w14:paraId="2C2914F6" w14:textId="77777777" w:rsidR="00B32EF2" w:rsidRDefault="00000000">
      <w:pPr>
        <w:pStyle w:val="Titolo3"/>
        <w:ind w:left="129" w:right="120"/>
      </w:pPr>
      <w:r>
        <w:t>NORME COLLEGATE</w:t>
      </w:r>
    </w:p>
    <w:p w14:paraId="3F15DDFC"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132 c.p.c. “Contenuto della sentenza” </w:t>
      </w:r>
    </w:p>
    <w:p w14:paraId="44F1E45D" w14:textId="77777777" w:rsidR="00B32EF2" w:rsidRDefault="00000000">
      <w:pPr>
        <w:numPr>
          <w:ilvl w:val="0"/>
          <w:numId w:val="78"/>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La sentenza reca l’intestazione «Repubblica italiana», ed è </w:t>
      </w:r>
      <w:proofErr w:type="spellStart"/>
      <w:r>
        <w:rPr>
          <w:rFonts w:ascii="Arial" w:eastAsia="Arial" w:hAnsi="Arial" w:cs="Arial"/>
          <w:i/>
          <w:sz w:val="18"/>
        </w:rPr>
        <w:t>pronunciata«In</w:t>
      </w:r>
      <w:proofErr w:type="spellEnd"/>
      <w:r>
        <w:rPr>
          <w:rFonts w:ascii="Arial" w:eastAsia="Arial" w:hAnsi="Arial" w:cs="Arial"/>
          <w:i/>
          <w:sz w:val="18"/>
        </w:rPr>
        <w:t xml:space="preserve"> nome del popolo italiano». Essa deve contenere: 1) l’indicazione del giudice che l’ha pronunciata; 2) l’indicazione delle parti e dei loro difensori; 3) le conclusioni del pubblico ministero e quelle delle parti; 4) la concisa esposizione delle ragioni di fatto e di diritto della decisione; 5) il dispositivo, la data della deliberazione e la sottoscrizione del giudice.</w:t>
      </w:r>
    </w:p>
    <w:p w14:paraId="0ED29922" w14:textId="77777777" w:rsidR="00B32EF2" w:rsidRDefault="00000000">
      <w:pPr>
        <w:numPr>
          <w:ilvl w:val="0"/>
          <w:numId w:val="78"/>
        </w:numPr>
        <w:pBdr>
          <w:top w:val="single" w:sz="8" w:space="0" w:color="000000"/>
          <w:left w:val="single" w:sz="8" w:space="0" w:color="000000"/>
          <w:bottom w:val="single" w:sz="8" w:space="0" w:color="000000"/>
          <w:right w:val="single" w:sz="8" w:space="0" w:color="000000"/>
        </w:pBdr>
        <w:shd w:val="clear" w:color="auto" w:fill="C3C3C3"/>
        <w:spacing w:after="218" w:line="251" w:lineRule="auto"/>
        <w:ind w:right="120" w:hanging="10"/>
        <w:jc w:val="both"/>
      </w:pPr>
      <w:r>
        <w:rPr>
          <w:rFonts w:ascii="Arial" w:eastAsia="Arial" w:hAnsi="Arial" w:cs="Arial"/>
          <w:i/>
          <w:sz w:val="18"/>
        </w:rPr>
        <w:t xml:space="preserve">La sentenza emessa dal giudice collegiale è sottoscritta soltanto </w:t>
      </w:r>
      <w:proofErr w:type="spellStart"/>
      <w:r>
        <w:rPr>
          <w:rFonts w:ascii="Arial" w:eastAsia="Arial" w:hAnsi="Arial" w:cs="Arial"/>
          <w:i/>
          <w:sz w:val="18"/>
        </w:rPr>
        <w:t>dalpresidente</w:t>
      </w:r>
      <w:proofErr w:type="spellEnd"/>
      <w:r>
        <w:rPr>
          <w:rFonts w:ascii="Arial" w:eastAsia="Arial" w:hAnsi="Arial" w:cs="Arial"/>
          <w:i/>
          <w:sz w:val="18"/>
        </w:rPr>
        <w:t xml:space="preserve"> e dal giudice estensore. Se il presidente non può sottoscrivere per morte o per altro impedimento, la sentenza viene sottoscritta dal componente più anziano del collegio, purché prima della sottoscrizione sia menzionato l’impedimento; se l’estensore non può sottoscrivere la sentenza per morte o altro impedimento è sufficiente la sottoscrizione del solo presidente, purché prima della sottoscrizione sia menzionato l’impedimento.</w:t>
      </w:r>
    </w:p>
    <w:tbl>
      <w:tblPr>
        <w:tblStyle w:val="TableGrid"/>
        <w:tblW w:w="6236" w:type="dxa"/>
        <w:tblInd w:w="1" w:type="dxa"/>
        <w:tblCellMar>
          <w:top w:w="0" w:type="dxa"/>
          <w:left w:w="123" w:type="dxa"/>
          <w:bottom w:w="0" w:type="dxa"/>
          <w:right w:w="123" w:type="dxa"/>
        </w:tblCellMar>
        <w:tblLook w:val="04A0" w:firstRow="1" w:lastRow="0" w:firstColumn="1" w:lastColumn="0" w:noHBand="0" w:noVBand="1"/>
      </w:tblPr>
      <w:tblGrid>
        <w:gridCol w:w="6236"/>
      </w:tblGrid>
      <w:tr w:rsidR="00B32EF2" w14:paraId="49B963C1" w14:textId="77777777">
        <w:trPr>
          <w:trHeight w:val="2602"/>
        </w:trPr>
        <w:tc>
          <w:tcPr>
            <w:tcW w:w="6236" w:type="dxa"/>
            <w:tcBorders>
              <w:top w:val="single" w:sz="8" w:space="0" w:color="000000"/>
              <w:left w:val="single" w:sz="8" w:space="0" w:color="000000"/>
              <w:bottom w:val="single" w:sz="8" w:space="0" w:color="000000"/>
              <w:right w:val="single" w:sz="8" w:space="0" w:color="000000"/>
            </w:tcBorders>
            <w:vAlign w:val="center"/>
          </w:tcPr>
          <w:p w14:paraId="40495C8F" w14:textId="77777777" w:rsidR="00B32EF2" w:rsidRDefault="00000000">
            <w:pPr>
              <w:spacing w:after="0" w:line="250" w:lineRule="auto"/>
              <w:ind w:left="2518" w:hanging="2155"/>
            </w:pPr>
            <w:r>
              <w:rPr>
                <w:rFonts w:ascii="Arial" w:eastAsia="Arial" w:hAnsi="Arial" w:cs="Arial"/>
                <w:b/>
                <w:sz w:val="18"/>
              </w:rPr>
              <w:t>Per i giudizi instaurati con ricorso notificato fino all'1.9.24 Articolo 37</w:t>
            </w:r>
          </w:p>
          <w:p w14:paraId="59709E0F" w14:textId="77777777" w:rsidR="00B32EF2" w:rsidRDefault="00000000">
            <w:pPr>
              <w:spacing w:after="0"/>
              <w:jc w:val="center"/>
            </w:pPr>
            <w:r>
              <w:rPr>
                <w:rFonts w:ascii="Arial" w:eastAsia="Arial" w:hAnsi="Arial" w:cs="Arial"/>
                <w:i/>
                <w:sz w:val="18"/>
              </w:rPr>
              <w:t>(articolo 86 TUGT)</w:t>
            </w:r>
          </w:p>
          <w:p w14:paraId="506C838F" w14:textId="77777777" w:rsidR="00B32EF2" w:rsidRDefault="00000000">
            <w:pPr>
              <w:spacing w:after="0"/>
              <w:jc w:val="center"/>
            </w:pPr>
            <w:r>
              <w:rPr>
                <w:rFonts w:ascii="Arial" w:eastAsia="Arial" w:hAnsi="Arial" w:cs="Arial"/>
                <w:b/>
                <w:sz w:val="18"/>
              </w:rPr>
              <w:t xml:space="preserve">Pubblicazione e comunicazione della sentenza </w:t>
            </w:r>
          </w:p>
          <w:p w14:paraId="6DFFE42E" w14:textId="77777777" w:rsidR="00B32EF2" w:rsidRDefault="00000000">
            <w:pPr>
              <w:numPr>
                <w:ilvl w:val="0"/>
                <w:numId w:val="213"/>
              </w:numPr>
              <w:spacing w:after="0" w:line="250" w:lineRule="auto"/>
              <w:jc w:val="both"/>
            </w:pPr>
            <w:r>
              <w:rPr>
                <w:rFonts w:ascii="Arial" w:eastAsia="Arial" w:hAnsi="Arial" w:cs="Arial"/>
                <w:sz w:val="18"/>
              </w:rPr>
              <w:t xml:space="preserve">La sentenza è resa pubblica, nel testo integrale originale, </w:t>
            </w:r>
            <w:proofErr w:type="spellStart"/>
            <w:r>
              <w:rPr>
                <w:rFonts w:ascii="Arial" w:eastAsia="Arial" w:hAnsi="Arial" w:cs="Arial"/>
                <w:sz w:val="18"/>
              </w:rPr>
              <w:t>mediantedeposito</w:t>
            </w:r>
            <w:proofErr w:type="spellEnd"/>
            <w:r>
              <w:rPr>
                <w:rFonts w:ascii="Arial" w:eastAsia="Arial" w:hAnsi="Arial" w:cs="Arial"/>
                <w:sz w:val="18"/>
              </w:rPr>
              <w:t xml:space="preserve"> nella segreteria della corte di giustizia tributaria di primo e secondo grado entro trenta giorni dalla data della deliberazione. Il segretario fa risultare l’avvenuto deposito apponendo sulla sentenza la propria firma e la data.</w:t>
            </w:r>
          </w:p>
          <w:p w14:paraId="0CE1B3BF" w14:textId="77777777" w:rsidR="00B32EF2" w:rsidRDefault="00000000">
            <w:pPr>
              <w:numPr>
                <w:ilvl w:val="0"/>
                <w:numId w:val="213"/>
              </w:numPr>
              <w:spacing w:after="0"/>
              <w:jc w:val="both"/>
            </w:pPr>
            <w:r>
              <w:rPr>
                <w:rFonts w:ascii="Arial" w:eastAsia="Arial" w:hAnsi="Arial" w:cs="Arial"/>
                <w:sz w:val="18"/>
              </w:rPr>
              <w:t xml:space="preserve">Il dispositivo della sentenza è comunicato alle parti costituite entro </w:t>
            </w:r>
            <w:proofErr w:type="spellStart"/>
            <w:r>
              <w:rPr>
                <w:rFonts w:ascii="Arial" w:eastAsia="Arial" w:hAnsi="Arial" w:cs="Arial"/>
                <w:sz w:val="18"/>
              </w:rPr>
              <w:t>diecigiorni</w:t>
            </w:r>
            <w:proofErr w:type="spellEnd"/>
            <w:r>
              <w:rPr>
                <w:rFonts w:ascii="Arial" w:eastAsia="Arial" w:hAnsi="Arial" w:cs="Arial"/>
                <w:sz w:val="18"/>
              </w:rPr>
              <w:t xml:space="preserve"> dal deposito di cui al precedente comma.</w:t>
            </w:r>
          </w:p>
        </w:tc>
      </w:tr>
    </w:tbl>
    <w:p w14:paraId="6834B3E2" w14:textId="77777777" w:rsidR="00B32EF2" w:rsidRDefault="00000000">
      <w:pPr>
        <w:spacing w:after="0" w:line="261" w:lineRule="auto"/>
        <w:ind w:left="12" w:right="3" w:hanging="10"/>
        <w:jc w:val="center"/>
      </w:pPr>
      <w:r>
        <w:rPr>
          <w:rFonts w:ascii="Arial" w:eastAsia="Arial" w:hAnsi="Arial" w:cs="Arial"/>
          <w:b/>
          <w:sz w:val="18"/>
        </w:rPr>
        <w:t>Articolo 37</w:t>
      </w:r>
    </w:p>
    <w:p w14:paraId="48E5DDF6" w14:textId="77777777" w:rsidR="00B32EF2" w:rsidRDefault="00000000">
      <w:pPr>
        <w:spacing w:after="3" w:line="251" w:lineRule="auto"/>
        <w:ind w:left="2320" w:right="2311" w:hanging="10"/>
        <w:jc w:val="center"/>
      </w:pPr>
      <w:r>
        <w:rPr>
          <w:rFonts w:ascii="Arial" w:eastAsia="Arial" w:hAnsi="Arial" w:cs="Arial"/>
          <w:i/>
          <w:sz w:val="18"/>
        </w:rPr>
        <w:t>(articolo 86 TUGT)</w:t>
      </w:r>
    </w:p>
    <w:p w14:paraId="3580FFAF" w14:textId="77777777" w:rsidR="00B32EF2" w:rsidRDefault="00000000">
      <w:pPr>
        <w:spacing w:after="0" w:line="261" w:lineRule="auto"/>
        <w:ind w:left="12" w:right="3" w:hanging="10"/>
        <w:jc w:val="center"/>
      </w:pPr>
      <w:r>
        <w:rPr>
          <w:rFonts w:ascii="Arial" w:eastAsia="Arial" w:hAnsi="Arial" w:cs="Arial"/>
          <w:b/>
          <w:sz w:val="18"/>
        </w:rPr>
        <w:t>Pubblicazione e comunicazione della sentenza</w:t>
      </w:r>
    </w:p>
    <w:p w14:paraId="30DDA3D5" w14:textId="77777777" w:rsidR="00B32EF2" w:rsidRDefault="00000000">
      <w:pPr>
        <w:numPr>
          <w:ilvl w:val="0"/>
          <w:numId w:val="79"/>
        </w:numPr>
        <w:spacing w:after="4" w:line="254" w:lineRule="auto"/>
        <w:ind w:right="10" w:hanging="202"/>
        <w:jc w:val="both"/>
      </w:pPr>
      <w:r>
        <w:rPr>
          <w:rFonts w:ascii="Arial" w:eastAsia="Arial" w:hAnsi="Arial" w:cs="Arial"/>
          <w:sz w:val="18"/>
        </w:rPr>
        <w:t xml:space="preserve">La sentenza è resa pubblica, nel testo integrale originale, mediante </w:t>
      </w:r>
      <w:proofErr w:type="spellStart"/>
      <w:r>
        <w:rPr>
          <w:rFonts w:ascii="Arial" w:eastAsia="Arial" w:hAnsi="Arial" w:cs="Arial"/>
          <w:sz w:val="18"/>
        </w:rPr>
        <w:t>depositotelematico</w:t>
      </w:r>
      <w:proofErr w:type="spellEnd"/>
      <w:r>
        <w:rPr>
          <w:rFonts w:ascii="Arial" w:eastAsia="Arial" w:hAnsi="Arial" w:cs="Arial"/>
          <w:sz w:val="18"/>
        </w:rPr>
        <w:t xml:space="preserve"> nella segreteria della corte di giustizia tributaria di primo e secondo grado entro trenta giorni dalla data della deliberazione. Il segretario fa risultare l’avvenuto deposito della sentenza apponendovi la propria firma digitale e la data, dandone comunicazione alle parti costituite entro tre giorni dal deposito.</w:t>
      </w:r>
    </w:p>
    <w:p w14:paraId="41E2F241" w14:textId="77777777" w:rsidR="00B32EF2" w:rsidRDefault="00000000">
      <w:pPr>
        <w:numPr>
          <w:ilvl w:val="0"/>
          <w:numId w:val="79"/>
        </w:numPr>
        <w:spacing w:after="220" w:line="254" w:lineRule="auto"/>
        <w:ind w:right="10" w:hanging="202"/>
        <w:jc w:val="both"/>
      </w:pPr>
      <w:r>
        <w:rPr>
          <w:rFonts w:ascii="Arial" w:eastAsia="Arial" w:hAnsi="Arial" w:cs="Arial"/>
          <w:sz w:val="18"/>
        </w:rPr>
        <w:t>Abrogato.</w:t>
      </w:r>
    </w:p>
    <w:p w14:paraId="3A747337" w14:textId="77777777" w:rsidR="00B32EF2" w:rsidRDefault="00000000">
      <w:pPr>
        <w:spacing w:after="0" w:line="261" w:lineRule="auto"/>
        <w:ind w:left="12" w:right="3" w:hanging="10"/>
        <w:jc w:val="center"/>
      </w:pPr>
      <w:r>
        <w:rPr>
          <w:rFonts w:ascii="Arial" w:eastAsia="Arial" w:hAnsi="Arial" w:cs="Arial"/>
          <w:b/>
          <w:sz w:val="18"/>
        </w:rPr>
        <w:lastRenderedPageBreak/>
        <w:t>Articolo 38</w:t>
      </w:r>
    </w:p>
    <w:p w14:paraId="2074E963" w14:textId="77777777" w:rsidR="00B32EF2" w:rsidRDefault="00000000">
      <w:pPr>
        <w:spacing w:after="3" w:line="251" w:lineRule="auto"/>
        <w:ind w:left="2320" w:right="2311" w:hanging="10"/>
        <w:jc w:val="center"/>
      </w:pPr>
      <w:r>
        <w:rPr>
          <w:rFonts w:ascii="Arial" w:eastAsia="Arial" w:hAnsi="Arial" w:cs="Arial"/>
          <w:i/>
          <w:sz w:val="18"/>
        </w:rPr>
        <w:t>(articolo 87 TUGT)</w:t>
      </w:r>
    </w:p>
    <w:p w14:paraId="402A3DBA" w14:textId="77777777" w:rsidR="00B32EF2" w:rsidRDefault="00000000">
      <w:pPr>
        <w:spacing w:after="0" w:line="261" w:lineRule="auto"/>
        <w:ind w:left="12" w:right="3" w:hanging="10"/>
        <w:jc w:val="center"/>
      </w:pPr>
      <w:r>
        <w:rPr>
          <w:rFonts w:ascii="Arial" w:eastAsia="Arial" w:hAnsi="Arial" w:cs="Arial"/>
          <w:b/>
          <w:sz w:val="18"/>
        </w:rPr>
        <w:t>Richiesta di copie e notificazione della sentenza</w:t>
      </w:r>
    </w:p>
    <w:p w14:paraId="2F8EDC57" w14:textId="77777777" w:rsidR="00B32EF2" w:rsidRDefault="00000000">
      <w:pPr>
        <w:numPr>
          <w:ilvl w:val="0"/>
          <w:numId w:val="80"/>
        </w:numPr>
        <w:spacing w:after="4" w:line="254" w:lineRule="auto"/>
        <w:ind w:right="10" w:hanging="10"/>
        <w:jc w:val="both"/>
      </w:pPr>
      <w:r>
        <w:rPr>
          <w:rFonts w:ascii="Arial" w:eastAsia="Arial" w:hAnsi="Arial" w:cs="Arial"/>
          <w:sz w:val="18"/>
        </w:rPr>
        <w:t xml:space="preserve">Ciascuna parte può richiedere alla segreteria copie autentiche della </w:t>
      </w:r>
      <w:proofErr w:type="spellStart"/>
      <w:r>
        <w:rPr>
          <w:rFonts w:ascii="Arial" w:eastAsia="Arial" w:hAnsi="Arial" w:cs="Arial"/>
          <w:sz w:val="18"/>
        </w:rPr>
        <w:t>sentenzae</w:t>
      </w:r>
      <w:proofErr w:type="spellEnd"/>
      <w:r>
        <w:rPr>
          <w:rFonts w:ascii="Arial" w:eastAsia="Arial" w:hAnsi="Arial" w:cs="Arial"/>
          <w:sz w:val="18"/>
        </w:rPr>
        <w:t xml:space="preserve"> la segreteria è tenuta a rilasciarle entro cinque giorni dalla richiesta, previa corresponsione delle spese.</w:t>
      </w:r>
    </w:p>
    <w:p w14:paraId="16A7D24B" w14:textId="77777777" w:rsidR="00B32EF2" w:rsidRDefault="00000000">
      <w:pPr>
        <w:numPr>
          <w:ilvl w:val="0"/>
          <w:numId w:val="80"/>
        </w:numPr>
        <w:spacing w:after="4" w:line="254" w:lineRule="auto"/>
        <w:ind w:right="10" w:hanging="10"/>
        <w:jc w:val="both"/>
      </w:pPr>
      <w:r>
        <w:rPr>
          <w:rFonts w:ascii="Arial" w:eastAsia="Arial" w:hAnsi="Arial" w:cs="Arial"/>
          <w:sz w:val="18"/>
        </w:rPr>
        <w:t xml:space="preserve">Le parti hanno l’onere di provvedere direttamente alla notificazione </w:t>
      </w:r>
      <w:proofErr w:type="spellStart"/>
      <w:r>
        <w:rPr>
          <w:rFonts w:ascii="Arial" w:eastAsia="Arial" w:hAnsi="Arial" w:cs="Arial"/>
          <w:sz w:val="18"/>
        </w:rPr>
        <w:t>dellasentenza</w:t>
      </w:r>
      <w:proofErr w:type="spellEnd"/>
      <w:r>
        <w:rPr>
          <w:rFonts w:ascii="Arial" w:eastAsia="Arial" w:hAnsi="Arial" w:cs="Arial"/>
          <w:sz w:val="18"/>
        </w:rPr>
        <w:t xml:space="preserve"> alle altre parti a norma dell’articolo 16 depositando, nei successivi trenta giorni, l’originale o copia autentica dell’originale notificato, ovvero copia autentica della sentenza consegnata o spedita per posta, con fotocopia della ricevuta di deposito o della spedizione per raccomandata a mezzo del servizio postale unitamente all’avviso di ricevimento nella segreteria, che ne rilascia ricevuta e l’inserisce nel fascicolo d’ufficio.</w:t>
      </w:r>
    </w:p>
    <w:p w14:paraId="3F3B552C" w14:textId="77777777" w:rsidR="00B32EF2" w:rsidRDefault="00000000">
      <w:pPr>
        <w:numPr>
          <w:ilvl w:val="0"/>
          <w:numId w:val="80"/>
        </w:numPr>
        <w:spacing w:after="225" w:line="254" w:lineRule="auto"/>
        <w:ind w:right="10" w:hanging="10"/>
        <w:jc w:val="both"/>
      </w:pPr>
      <w:r>
        <w:rPr>
          <w:rFonts w:ascii="Arial" w:eastAsia="Arial" w:hAnsi="Arial" w:cs="Arial"/>
          <w:sz w:val="18"/>
        </w:rPr>
        <w:t xml:space="preserve">Se nessuna delle parti provvede alla notificazione della sentenza, si </w:t>
      </w:r>
      <w:proofErr w:type="spellStart"/>
      <w:r>
        <w:rPr>
          <w:rFonts w:ascii="Arial" w:eastAsia="Arial" w:hAnsi="Arial" w:cs="Arial"/>
          <w:sz w:val="18"/>
        </w:rPr>
        <w:t>applical’art</w:t>
      </w:r>
      <w:proofErr w:type="spellEnd"/>
      <w:r>
        <w:rPr>
          <w:rFonts w:ascii="Arial" w:eastAsia="Arial" w:hAnsi="Arial" w:cs="Arial"/>
          <w:sz w:val="18"/>
        </w:rPr>
        <w:t>. 327, comma 1, del codice di procedura civile. Tale disposizione non si applica se la parte non costituita dimostri di non avere avuto conoscenza del processo per nullità della notificazione del ricorso e della comunicazione dell’avviso di fissazione d’udienza.</w:t>
      </w:r>
    </w:p>
    <w:p w14:paraId="623F4F3A" w14:textId="77777777" w:rsidR="00B32EF2" w:rsidRDefault="00000000">
      <w:pPr>
        <w:pStyle w:val="Titolo3"/>
        <w:ind w:left="129" w:right="120"/>
      </w:pPr>
      <w:r>
        <w:t>NORME RICHIAMATE</w:t>
      </w:r>
    </w:p>
    <w:p w14:paraId="31CF4088"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327 </w:t>
      </w:r>
      <w:proofErr w:type="spellStart"/>
      <w:r>
        <w:rPr>
          <w:rFonts w:ascii="Arial" w:eastAsia="Arial" w:hAnsi="Arial" w:cs="Arial"/>
          <w:i/>
          <w:sz w:val="18"/>
        </w:rPr>
        <w:t>c.p.c</w:t>
      </w:r>
      <w:proofErr w:type="spellEnd"/>
      <w:r>
        <w:rPr>
          <w:rFonts w:ascii="Arial" w:eastAsia="Arial" w:hAnsi="Arial" w:cs="Arial"/>
          <w:i/>
          <w:sz w:val="18"/>
        </w:rPr>
        <w:t xml:space="preserve"> “Decadenza dall’impugnazione” </w:t>
      </w:r>
    </w:p>
    <w:p w14:paraId="76EB80C9"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1. Indipendentemente dalla notificazione, l’appello, il ricorso per Cassazione e la revocazione per i motivi indicati nei numeri 4 e 5 dell’articolo 395 non possono proporsi dopo decorsi sei mesi dalla pubblicazione della sentenza. 2. Questa disposizione non si applica quando la parte contumace dimostra di non aver avuto conoscenza del processo per nullità della citazione o della notificazione di essa, e per nullità della notificazione degli atti di cui all’art. 292</w:t>
      </w:r>
    </w:p>
    <w:p w14:paraId="43B8A7FD" w14:textId="77777777" w:rsidR="00B32EF2" w:rsidRDefault="00000000">
      <w:pPr>
        <w:spacing w:after="207" w:line="261" w:lineRule="auto"/>
        <w:ind w:left="12" w:right="3" w:hanging="10"/>
        <w:jc w:val="center"/>
      </w:pPr>
      <w:r>
        <w:rPr>
          <w:rFonts w:ascii="Arial" w:eastAsia="Arial" w:hAnsi="Arial" w:cs="Arial"/>
          <w:b/>
          <w:sz w:val="18"/>
        </w:rPr>
        <w:t>SEZIONE V</w:t>
      </w:r>
    </w:p>
    <w:p w14:paraId="1E117040" w14:textId="77777777" w:rsidR="00B32EF2" w:rsidRDefault="00000000">
      <w:pPr>
        <w:spacing w:after="423" w:line="261" w:lineRule="auto"/>
        <w:ind w:left="12" w:right="3" w:hanging="10"/>
        <w:jc w:val="center"/>
      </w:pPr>
      <w:r>
        <w:rPr>
          <w:rFonts w:ascii="Arial" w:eastAsia="Arial" w:hAnsi="Arial" w:cs="Arial"/>
          <w:b/>
          <w:sz w:val="18"/>
        </w:rPr>
        <w:t xml:space="preserve"> SOSPENSIONE, INTERRUZIONE ED ESTINZIONE DEL PROCESSO</w:t>
      </w:r>
    </w:p>
    <w:p w14:paraId="1E0C0AD6" w14:textId="77777777" w:rsidR="00B32EF2" w:rsidRDefault="00000000">
      <w:pPr>
        <w:spacing w:after="0" w:line="261" w:lineRule="auto"/>
        <w:ind w:left="12" w:right="3" w:hanging="10"/>
        <w:jc w:val="center"/>
      </w:pPr>
      <w:r>
        <w:rPr>
          <w:rFonts w:ascii="Arial" w:eastAsia="Arial" w:hAnsi="Arial" w:cs="Arial"/>
          <w:b/>
          <w:sz w:val="18"/>
        </w:rPr>
        <w:t>Articolo 39</w:t>
      </w:r>
    </w:p>
    <w:p w14:paraId="4F088770" w14:textId="77777777" w:rsidR="00B32EF2" w:rsidRDefault="00000000">
      <w:pPr>
        <w:spacing w:after="3" w:line="251" w:lineRule="auto"/>
        <w:ind w:left="2320" w:right="2311" w:hanging="10"/>
        <w:jc w:val="center"/>
      </w:pPr>
      <w:r>
        <w:rPr>
          <w:rFonts w:ascii="Arial" w:eastAsia="Arial" w:hAnsi="Arial" w:cs="Arial"/>
          <w:i/>
          <w:sz w:val="18"/>
        </w:rPr>
        <w:t>(articolo 88 TUGT)</w:t>
      </w:r>
    </w:p>
    <w:p w14:paraId="1540A969" w14:textId="77777777" w:rsidR="00B32EF2" w:rsidRDefault="00000000">
      <w:pPr>
        <w:spacing w:after="0" w:line="261" w:lineRule="auto"/>
        <w:ind w:left="12" w:right="3" w:hanging="10"/>
        <w:jc w:val="center"/>
      </w:pPr>
      <w:r>
        <w:rPr>
          <w:rFonts w:ascii="Arial" w:eastAsia="Arial" w:hAnsi="Arial" w:cs="Arial"/>
          <w:b/>
          <w:sz w:val="18"/>
        </w:rPr>
        <w:t xml:space="preserve">Sospensione del processo </w:t>
      </w:r>
    </w:p>
    <w:p w14:paraId="6CAFCCD3" w14:textId="77777777" w:rsidR="00B32EF2" w:rsidRDefault="00000000">
      <w:pPr>
        <w:spacing w:after="4" w:line="254" w:lineRule="auto"/>
        <w:ind w:left="-4" w:right="10" w:hanging="10"/>
        <w:jc w:val="both"/>
      </w:pPr>
      <w:r>
        <w:rPr>
          <w:rFonts w:ascii="Arial" w:eastAsia="Arial" w:hAnsi="Arial" w:cs="Arial"/>
          <w:sz w:val="18"/>
        </w:rPr>
        <w:t>1. Il processo è sospeso quando è presentata querela di falso o deve essere decisa in via pregiudiziale una questione sullo stato o la capacità delle persone, salvo che si tratti della capacità di stare in giudizio.</w:t>
      </w:r>
    </w:p>
    <w:p w14:paraId="2F51B6E3" w14:textId="77777777" w:rsidR="00B32EF2" w:rsidRDefault="00000000">
      <w:pPr>
        <w:spacing w:after="4" w:line="254" w:lineRule="auto"/>
        <w:ind w:left="-4" w:right="10" w:hanging="10"/>
        <w:jc w:val="both"/>
      </w:pPr>
      <w:r>
        <w:rPr>
          <w:rFonts w:ascii="Arial" w:eastAsia="Arial" w:hAnsi="Arial" w:cs="Arial"/>
          <w:sz w:val="18"/>
        </w:rPr>
        <w:t xml:space="preserve">1-bis. La corte di giustizia tributaria di primo e secondo grado dispone la sospensione del processo in ogni altro caso in cui essa stessa o altra corte di giustizia tributaria di primo e secondo grado deve risolvere una controversia </w:t>
      </w:r>
      <w:r>
        <w:rPr>
          <w:rFonts w:ascii="Arial" w:eastAsia="Arial" w:hAnsi="Arial" w:cs="Arial"/>
          <w:sz w:val="18"/>
        </w:rPr>
        <w:lastRenderedPageBreak/>
        <w:t>dalla cui definizione dipende la decisione della causa. 1-ter. Il processo tributario è altresì sospeso nei seguenti casi:</w:t>
      </w:r>
    </w:p>
    <w:p w14:paraId="6CE1DC3B" w14:textId="77777777" w:rsidR="00B32EF2" w:rsidRDefault="00000000">
      <w:pPr>
        <w:numPr>
          <w:ilvl w:val="0"/>
          <w:numId w:val="81"/>
        </w:numPr>
        <w:spacing w:after="4" w:line="254" w:lineRule="auto"/>
        <w:ind w:right="10" w:hanging="10"/>
        <w:jc w:val="both"/>
      </w:pPr>
      <w:r>
        <w:rPr>
          <w:rFonts w:ascii="Arial" w:eastAsia="Arial" w:hAnsi="Arial" w:cs="Arial"/>
          <w:sz w:val="18"/>
        </w:rPr>
        <w:t xml:space="preserve">su richiesta conforme delle parti, nel caso in cui sia stata </w:t>
      </w:r>
      <w:proofErr w:type="spellStart"/>
      <w:r>
        <w:rPr>
          <w:rFonts w:ascii="Arial" w:eastAsia="Arial" w:hAnsi="Arial" w:cs="Arial"/>
          <w:sz w:val="18"/>
        </w:rPr>
        <w:t>presentataun’istanza</w:t>
      </w:r>
      <w:proofErr w:type="spellEnd"/>
      <w:r>
        <w:rPr>
          <w:rFonts w:ascii="Arial" w:eastAsia="Arial" w:hAnsi="Arial" w:cs="Arial"/>
          <w:sz w:val="18"/>
        </w:rPr>
        <w:t xml:space="preserve"> di apertura di procedura amichevole ai sensi degli Accordi e delle Convenzioni internazionali per evitare le doppie imposizioni di cui l’Italia è parte ovvero ai sensi della Convenzione relativa all’eliminazione delle doppie imposizioni in caso di rettifica degli utili di imprese associate n. 90/436/CEE;</w:t>
      </w:r>
    </w:p>
    <w:p w14:paraId="2FCAC55C" w14:textId="77777777" w:rsidR="00B32EF2" w:rsidRDefault="00000000">
      <w:pPr>
        <w:numPr>
          <w:ilvl w:val="0"/>
          <w:numId w:val="81"/>
        </w:numPr>
        <w:spacing w:after="162" w:line="254" w:lineRule="auto"/>
        <w:ind w:right="10" w:hanging="10"/>
        <w:jc w:val="both"/>
      </w:pPr>
      <w:r>
        <w:rPr>
          <w:rFonts w:ascii="Arial" w:eastAsia="Arial" w:hAnsi="Arial" w:cs="Arial"/>
          <w:sz w:val="18"/>
        </w:rPr>
        <w:t>su richiesta del contribuente, nel caso in cui sia stata presentata un’</w:t>
      </w:r>
      <w:proofErr w:type="spellStart"/>
      <w:r>
        <w:rPr>
          <w:rFonts w:ascii="Arial" w:eastAsia="Arial" w:hAnsi="Arial" w:cs="Arial"/>
          <w:sz w:val="18"/>
        </w:rPr>
        <w:t>istanzadi</w:t>
      </w:r>
      <w:proofErr w:type="spellEnd"/>
      <w:r>
        <w:rPr>
          <w:rFonts w:ascii="Arial" w:eastAsia="Arial" w:hAnsi="Arial" w:cs="Arial"/>
          <w:sz w:val="18"/>
        </w:rPr>
        <w:t xml:space="preserve"> apertura di procedura amichevole ai sensi della direttiva (UE) 2017/1852 del Consiglio del 10 ottobre 2017.</w:t>
      </w:r>
    </w:p>
    <w:p w14:paraId="11023311" w14:textId="77777777" w:rsidR="00B32EF2" w:rsidRDefault="00000000">
      <w:pPr>
        <w:pStyle w:val="Titolo3"/>
        <w:ind w:left="129" w:right="120"/>
      </w:pPr>
      <w:r>
        <w:t>NORME RICHIAMATE</w:t>
      </w:r>
    </w:p>
    <w:p w14:paraId="1C6DC215"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Direttiva (UE) 2017/1852 del Consiglio del 10 ottobre 2017 “Sui meccanismi di risoluzione delle controversie in materia fiscale nell’Unione europea”.</w:t>
      </w:r>
    </w:p>
    <w:p w14:paraId="39BB6E3B" w14:textId="77777777" w:rsidR="00B32EF2" w:rsidRDefault="00000000">
      <w:pPr>
        <w:pStyle w:val="Titolo3"/>
        <w:ind w:left="129" w:right="120"/>
      </w:pPr>
      <w:r>
        <w:t>NORME COLLEGATE</w:t>
      </w:r>
    </w:p>
    <w:p w14:paraId="668095AA"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295 c.p.c. “Sospensione necessaria” </w:t>
      </w:r>
    </w:p>
    <w:p w14:paraId="6DFA787E"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266" w:line="251" w:lineRule="auto"/>
        <w:ind w:left="129" w:right="120" w:hanging="10"/>
        <w:jc w:val="both"/>
      </w:pPr>
      <w:r>
        <w:rPr>
          <w:rFonts w:ascii="Arial" w:eastAsia="Arial" w:hAnsi="Arial" w:cs="Arial"/>
          <w:i/>
          <w:sz w:val="18"/>
        </w:rPr>
        <w:t>Il giudice dispone che il processo sia sospeso in ogni caso in cui egli stesso o altro giudice deve risolvere una controversia, dalla cui definizione dipende la decisione della causa.</w:t>
      </w:r>
    </w:p>
    <w:p w14:paraId="3CED5C88" w14:textId="77777777" w:rsidR="00B32EF2" w:rsidRDefault="00000000">
      <w:pPr>
        <w:spacing w:after="0" w:line="261" w:lineRule="auto"/>
        <w:ind w:left="12" w:right="3" w:hanging="10"/>
        <w:jc w:val="center"/>
      </w:pPr>
      <w:r>
        <w:rPr>
          <w:rFonts w:ascii="Arial" w:eastAsia="Arial" w:hAnsi="Arial" w:cs="Arial"/>
          <w:b/>
          <w:sz w:val="18"/>
        </w:rPr>
        <w:t>Articolo 40</w:t>
      </w:r>
    </w:p>
    <w:p w14:paraId="79039077" w14:textId="77777777" w:rsidR="00B32EF2" w:rsidRDefault="00000000">
      <w:pPr>
        <w:spacing w:after="3" w:line="251" w:lineRule="auto"/>
        <w:ind w:left="2320" w:right="2312" w:hanging="10"/>
        <w:jc w:val="center"/>
      </w:pPr>
      <w:r>
        <w:rPr>
          <w:rFonts w:ascii="Arial" w:eastAsia="Arial" w:hAnsi="Arial" w:cs="Arial"/>
          <w:i/>
          <w:sz w:val="18"/>
        </w:rPr>
        <w:t>(articolo 89 TUGT)</w:t>
      </w:r>
    </w:p>
    <w:p w14:paraId="18CA14E0" w14:textId="77777777" w:rsidR="00B32EF2" w:rsidRDefault="00000000">
      <w:pPr>
        <w:spacing w:after="0" w:line="261" w:lineRule="auto"/>
        <w:ind w:left="12" w:right="3" w:hanging="10"/>
        <w:jc w:val="center"/>
      </w:pPr>
      <w:r>
        <w:rPr>
          <w:rFonts w:ascii="Arial" w:eastAsia="Arial" w:hAnsi="Arial" w:cs="Arial"/>
          <w:b/>
          <w:sz w:val="18"/>
        </w:rPr>
        <w:t xml:space="preserve">Interruzione del processo </w:t>
      </w:r>
    </w:p>
    <w:p w14:paraId="1B8FA1BB" w14:textId="77777777" w:rsidR="00B32EF2" w:rsidRDefault="00000000">
      <w:pPr>
        <w:spacing w:after="4" w:line="254" w:lineRule="auto"/>
        <w:ind w:left="36" w:right="10" w:hanging="50"/>
        <w:jc w:val="both"/>
      </w:pPr>
      <w:r>
        <w:rPr>
          <w:rFonts w:ascii="Arial" w:eastAsia="Arial" w:hAnsi="Arial" w:cs="Arial"/>
          <w:sz w:val="18"/>
        </w:rPr>
        <w:t>1. Il processo è interrotto se, dopo  la  proposizione  del   ricorso,  si verifica:</w:t>
      </w:r>
    </w:p>
    <w:p w14:paraId="703C39EE" w14:textId="77777777" w:rsidR="00B32EF2" w:rsidRDefault="00000000">
      <w:pPr>
        <w:numPr>
          <w:ilvl w:val="0"/>
          <w:numId w:val="82"/>
        </w:numPr>
        <w:spacing w:after="4" w:line="254" w:lineRule="auto"/>
        <w:ind w:right="10" w:hanging="50"/>
        <w:jc w:val="both"/>
      </w:pPr>
      <w:r>
        <w:rPr>
          <w:rFonts w:ascii="Arial" w:eastAsia="Arial" w:hAnsi="Arial" w:cs="Arial"/>
          <w:sz w:val="18"/>
        </w:rPr>
        <w:t xml:space="preserve">il venir meno, per morte o altre cause, o la perdita della capacità di </w:t>
      </w:r>
      <w:proofErr w:type="spellStart"/>
      <w:r>
        <w:rPr>
          <w:rFonts w:ascii="Arial" w:eastAsia="Arial" w:hAnsi="Arial" w:cs="Arial"/>
          <w:sz w:val="18"/>
        </w:rPr>
        <w:t>starein</w:t>
      </w:r>
      <w:proofErr w:type="spellEnd"/>
      <w:r>
        <w:rPr>
          <w:rFonts w:ascii="Arial" w:eastAsia="Arial" w:hAnsi="Arial" w:cs="Arial"/>
          <w:sz w:val="18"/>
        </w:rPr>
        <w:t xml:space="preserve"> giudizio di una delle parti, diversa dall’ufficio   tributario,  o  del suo legale rappresentante o la cessazione di tale rappresentanza;</w:t>
      </w:r>
    </w:p>
    <w:p w14:paraId="518745BD" w14:textId="77777777" w:rsidR="00B32EF2" w:rsidRDefault="00000000">
      <w:pPr>
        <w:numPr>
          <w:ilvl w:val="0"/>
          <w:numId w:val="82"/>
        </w:numPr>
        <w:spacing w:after="4" w:line="254" w:lineRule="auto"/>
        <w:ind w:right="10" w:hanging="50"/>
        <w:jc w:val="both"/>
      </w:pPr>
      <w:r>
        <w:rPr>
          <w:rFonts w:ascii="Arial" w:eastAsia="Arial" w:hAnsi="Arial" w:cs="Arial"/>
          <w:sz w:val="18"/>
        </w:rPr>
        <w:t xml:space="preserve">la morte, la radiazione o sospensione dall’albo o  dall’elenco  di  </w:t>
      </w:r>
      <w:proofErr w:type="spellStart"/>
      <w:r>
        <w:rPr>
          <w:rFonts w:ascii="Arial" w:eastAsia="Arial" w:hAnsi="Arial" w:cs="Arial"/>
          <w:sz w:val="18"/>
        </w:rPr>
        <w:t>unodei</w:t>
      </w:r>
      <w:proofErr w:type="spellEnd"/>
      <w:r>
        <w:rPr>
          <w:rFonts w:ascii="Arial" w:eastAsia="Arial" w:hAnsi="Arial" w:cs="Arial"/>
          <w:sz w:val="18"/>
        </w:rPr>
        <w:t xml:space="preserve"> difensori incaricati a sensi dell’art. 12.</w:t>
      </w:r>
    </w:p>
    <w:p w14:paraId="4D8B3B40" w14:textId="77777777" w:rsidR="00B32EF2" w:rsidRDefault="00000000">
      <w:pPr>
        <w:numPr>
          <w:ilvl w:val="0"/>
          <w:numId w:val="83"/>
        </w:numPr>
        <w:spacing w:after="4" w:line="254" w:lineRule="auto"/>
        <w:ind w:right="10" w:hanging="10"/>
        <w:jc w:val="both"/>
      </w:pPr>
      <w:r>
        <w:rPr>
          <w:rFonts w:ascii="Arial" w:eastAsia="Arial" w:hAnsi="Arial" w:cs="Arial"/>
          <w:sz w:val="18"/>
        </w:rPr>
        <w:t>L’interruzione si ha al momento dell’evento se la parte sta in giudizi personalmente e nei casi di cui al comma 1, lettera  b).  In ogni altro  caso l’interruzione si ha al momento in cui l’evento è dichiarato  o  in  pubblica udienza  o  per  iscritto  con  apposita  comunicazione  del  difensore  della parte a cui l’evento si riferisce.</w:t>
      </w:r>
    </w:p>
    <w:p w14:paraId="716CED0D" w14:textId="77777777" w:rsidR="00B32EF2" w:rsidRDefault="00000000">
      <w:pPr>
        <w:numPr>
          <w:ilvl w:val="0"/>
          <w:numId w:val="83"/>
        </w:numPr>
        <w:spacing w:after="4" w:line="254" w:lineRule="auto"/>
        <w:ind w:right="10" w:hanging="10"/>
        <w:jc w:val="both"/>
      </w:pPr>
      <w:r>
        <w:rPr>
          <w:rFonts w:ascii="Arial" w:eastAsia="Arial" w:hAnsi="Arial" w:cs="Arial"/>
          <w:sz w:val="18"/>
        </w:rPr>
        <w:t xml:space="preserve">Se uno  degli eventi di cui al comma 1 si avvera dopo  l’ultimo  giorno  per </w:t>
      </w:r>
      <w:proofErr w:type="spellStart"/>
      <w:r>
        <w:rPr>
          <w:rFonts w:ascii="Arial" w:eastAsia="Arial" w:hAnsi="Arial" w:cs="Arial"/>
          <w:sz w:val="18"/>
        </w:rPr>
        <w:t>ildeposito</w:t>
      </w:r>
      <w:proofErr w:type="spellEnd"/>
      <w:r>
        <w:rPr>
          <w:rFonts w:ascii="Arial" w:eastAsia="Arial" w:hAnsi="Arial" w:cs="Arial"/>
          <w:sz w:val="18"/>
        </w:rPr>
        <w:t xml:space="preserve">  di  memorie  in  caso  di   trattazione   della  controversia  in  camera di   consiglio   o   dopo   la   chiusura   della  discussione  in pubblica udienza, esso non produce effetto a meno  che non   sia   pronunciata sentenza  e  il processo  prosegua davanti al giudice adito.</w:t>
      </w:r>
    </w:p>
    <w:p w14:paraId="7ACEEDA7" w14:textId="77777777" w:rsidR="00B32EF2" w:rsidRDefault="00000000">
      <w:pPr>
        <w:numPr>
          <w:ilvl w:val="0"/>
          <w:numId w:val="83"/>
        </w:numPr>
        <w:spacing w:after="182" w:line="254" w:lineRule="auto"/>
        <w:ind w:right="10" w:hanging="10"/>
        <w:jc w:val="both"/>
      </w:pPr>
      <w:r>
        <w:rPr>
          <w:rFonts w:ascii="Arial" w:eastAsia="Arial" w:hAnsi="Arial" w:cs="Arial"/>
          <w:sz w:val="18"/>
        </w:rPr>
        <w:t xml:space="preserve">Se uno degli eventi di cui al comma 1, lettera a), si verifica durante il  </w:t>
      </w:r>
      <w:proofErr w:type="spellStart"/>
      <w:r>
        <w:rPr>
          <w:rFonts w:ascii="Arial" w:eastAsia="Arial" w:hAnsi="Arial" w:cs="Arial"/>
          <w:sz w:val="18"/>
        </w:rPr>
        <w:t>termineper</w:t>
      </w:r>
      <w:proofErr w:type="spellEnd"/>
      <w:r>
        <w:rPr>
          <w:rFonts w:ascii="Arial" w:eastAsia="Arial" w:hAnsi="Arial" w:cs="Arial"/>
          <w:sz w:val="18"/>
        </w:rPr>
        <w:t xml:space="preserve">  la  proposizione del ricorso il termine è prorogato di  sei mesi a </w:t>
      </w:r>
      <w:r>
        <w:rPr>
          <w:rFonts w:ascii="Arial" w:eastAsia="Arial" w:hAnsi="Arial" w:cs="Arial"/>
          <w:sz w:val="18"/>
        </w:rPr>
        <w:lastRenderedPageBreak/>
        <w:t>decorrere dalla data dell’evento. Si applica anche a questi termini la sospensione prevista dalla legge 7 ottobre 1969, numero 742.</w:t>
      </w:r>
    </w:p>
    <w:p w14:paraId="6F800917"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463" w:line="250" w:lineRule="auto"/>
        <w:ind w:left="114" w:right="135" w:firstLine="107"/>
        <w:jc w:val="both"/>
      </w:pPr>
      <w:r>
        <w:rPr>
          <w:rFonts w:ascii="Arial" w:eastAsia="Arial" w:hAnsi="Arial" w:cs="Arial"/>
          <w:sz w:val="18"/>
        </w:rPr>
        <w:t xml:space="preserve">“Sospensione dei termini processuali nel periodo feriale”: </w:t>
      </w:r>
      <w:proofErr w:type="spellStart"/>
      <w:r>
        <w:rPr>
          <w:rFonts w:ascii="Arial" w:eastAsia="Arial" w:hAnsi="Arial" w:cs="Arial"/>
          <w:sz w:val="18"/>
        </w:rPr>
        <w:t>ll</w:t>
      </w:r>
      <w:proofErr w:type="spellEnd"/>
      <w:r>
        <w:rPr>
          <w:rFonts w:ascii="Arial" w:eastAsia="Arial" w:hAnsi="Arial" w:cs="Arial"/>
          <w:sz w:val="18"/>
        </w:rPr>
        <w:t xml:space="preserve"> decorso dei termini processuali relativi alle giurisdizioni ordinarie ed a quelle amministrative è sospeso di diritto dal 1º al 31 agosto di ciascun anno, e riprende a decorrere dalla fine del periodo di sospensione. Ove il decorso abbia inizio durante il periodo di sospensione, l’inizio stesso è differito alla fine di detto periodo. La stessa disposizione si applica per il termine stabilito dall’articolo 201 del codice di procedura penale.</w:t>
      </w:r>
    </w:p>
    <w:p w14:paraId="1DE9A713" w14:textId="77777777" w:rsidR="00B32EF2" w:rsidRDefault="00000000">
      <w:pPr>
        <w:spacing w:after="0" w:line="261" w:lineRule="auto"/>
        <w:ind w:left="12" w:right="3" w:hanging="10"/>
        <w:jc w:val="center"/>
      </w:pPr>
      <w:r>
        <w:rPr>
          <w:rFonts w:ascii="Arial" w:eastAsia="Arial" w:hAnsi="Arial" w:cs="Arial"/>
          <w:b/>
          <w:sz w:val="18"/>
        </w:rPr>
        <w:t>Articolo 41</w:t>
      </w:r>
    </w:p>
    <w:p w14:paraId="27BB5726" w14:textId="77777777" w:rsidR="00B32EF2" w:rsidRDefault="00000000">
      <w:pPr>
        <w:spacing w:after="3" w:line="251" w:lineRule="auto"/>
        <w:ind w:left="2320" w:right="2311" w:hanging="10"/>
        <w:jc w:val="center"/>
      </w:pPr>
      <w:r>
        <w:rPr>
          <w:rFonts w:ascii="Arial" w:eastAsia="Arial" w:hAnsi="Arial" w:cs="Arial"/>
          <w:i/>
          <w:sz w:val="18"/>
        </w:rPr>
        <w:t>(articolo 90 TUGT)</w:t>
      </w:r>
    </w:p>
    <w:p w14:paraId="590B1F13" w14:textId="77777777" w:rsidR="00B32EF2" w:rsidRDefault="00000000">
      <w:pPr>
        <w:spacing w:after="4" w:line="254" w:lineRule="auto"/>
        <w:ind w:left="-14" w:right="10" w:firstLine="264"/>
        <w:jc w:val="both"/>
      </w:pPr>
      <w:r>
        <w:rPr>
          <w:rFonts w:ascii="Arial" w:eastAsia="Arial" w:hAnsi="Arial" w:cs="Arial"/>
          <w:b/>
          <w:sz w:val="18"/>
        </w:rPr>
        <w:t xml:space="preserve">Provvedimenti sulla sospensione e sull’interruzione del processo </w:t>
      </w:r>
      <w:r>
        <w:rPr>
          <w:rFonts w:ascii="Arial" w:eastAsia="Arial" w:hAnsi="Arial" w:cs="Arial"/>
          <w:sz w:val="18"/>
        </w:rPr>
        <w:t>1. La sospensione è disposta e l’interruzione è dichiarata dal presidente della sezione con decreto o dalla commissione con ordinanza.</w:t>
      </w:r>
    </w:p>
    <w:p w14:paraId="1AB406AE" w14:textId="77777777" w:rsidR="00B32EF2" w:rsidRDefault="00000000">
      <w:pPr>
        <w:spacing w:after="260" w:line="254" w:lineRule="auto"/>
        <w:ind w:left="-4" w:right="10" w:hanging="10"/>
        <w:jc w:val="both"/>
      </w:pPr>
      <w:r>
        <w:rPr>
          <w:rFonts w:ascii="Arial" w:eastAsia="Arial" w:hAnsi="Arial" w:cs="Arial"/>
          <w:sz w:val="18"/>
        </w:rPr>
        <w:t>2. Avverso il decreto del presidente è ammesso reclamo a sensi dell’art. 28.</w:t>
      </w:r>
    </w:p>
    <w:p w14:paraId="0770EE79" w14:textId="77777777" w:rsidR="00B32EF2" w:rsidRDefault="00000000">
      <w:pPr>
        <w:spacing w:after="0" w:line="261" w:lineRule="auto"/>
        <w:ind w:left="12" w:right="2" w:hanging="10"/>
        <w:jc w:val="center"/>
      </w:pPr>
      <w:r>
        <w:rPr>
          <w:rFonts w:ascii="Arial" w:eastAsia="Arial" w:hAnsi="Arial" w:cs="Arial"/>
          <w:b/>
          <w:sz w:val="18"/>
        </w:rPr>
        <w:t>Articolo 42</w:t>
      </w:r>
    </w:p>
    <w:p w14:paraId="12794059" w14:textId="77777777" w:rsidR="00B32EF2" w:rsidRDefault="00000000">
      <w:pPr>
        <w:spacing w:after="3" w:line="251" w:lineRule="auto"/>
        <w:ind w:left="2320" w:right="2311" w:hanging="10"/>
        <w:jc w:val="center"/>
      </w:pPr>
      <w:r>
        <w:rPr>
          <w:rFonts w:ascii="Arial" w:eastAsia="Arial" w:hAnsi="Arial" w:cs="Arial"/>
          <w:i/>
          <w:sz w:val="18"/>
        </w:rPr>
        <w:t>(articolo 91 TUGT)</w:t>
      </w:r>
    </w:p>
    <w:p w14:paraId="50A64623" w14:textId="77777777" w:rsidR="00B32EF2" w:rsidRDefault="00000000">
      <w:pPr>
        <w:spacing w:after="0" w:line="261" w:lineRule="auto"/>
        <w:ind w:left="12" w:right="2" w:hanging="10"/>
        <w:jc w:val="center"/>
      </w:pPr>
      <w:r>
        <w:rPr>
          <w:rFonts w:ascii="Arial" w:eastAsia="Arial" w:hAnsi="Arial" w:cs="Arial"/>
          <w:b/>
          <w:sz w:val="18"/>
        </w:rPr>
        <w:t xml:space="preserve">Effetti della sospensione e dell’interruzione del processo </w:t>
      </w:r>
    </w:p>
    <w:p w14:paraId="15DD8236" w14:textId="77777777" w:rsidR="00B32EF2" w:rsidRDefault="00000000">
      <w:pPr>
        <w:numPr>
          <w:ilvl w:val="0"/>
          <w:numId w:val="84"/>
        </w:numPr>
        <w:spacing w:after="4" w:line="254" w:lineRule="auto"/>
        <w:ind w:right="10" w:hanging="50"/>
        <w:jc w:val="both"/>
      </w:pPr>
      <w:r>
        <w:rPr>
          <w:rFonts w:ascii="Arial" w:eastAsia="Arial" w:hAnsi="Arial" w:cs="Arial"/>
          <w:sz w:val="18"/>
        </w:rPr>
        <w:t xml:space="preserve">Durante la sospensione e l’interruzione non possono essere </w:t>
      </w:r>
      <w:proofErr w:type="spellStart"/>
      <w:r>
        <w:rPr>
          <w:rFonts w:ascii="Arial" w:eastAsia="Arial" w:hAnsi="Arial" w:cs="Arial"/>
          <w:sz w:val="18"/>
        </w:rPr>
        <w:t>compiutiatti</w:t>
      </w:r>
      <w:proofErr w:type="spellEnd"/>
      <w:r>
        <w:rPr>
          <w:rFonts w:ascii="Arial" w:eastAsia="Arial" w:hAnsi="Arial" w:cs="Arial"/>
          <w:sz w:val="18"/>
        </w:rPr>
        <w:t xml:space="preserve"> del processo.</w:t>
      </w:r>
    </w:p>
    <w:p w14:paraId="6DD90EC2" w14:textId="77777777" w:rsidR="00B32EF2" w:rsidRDefault="00000000">
      <w:pPr>
        <w:numPr>
          <w:ilvl w:val="0"/>
          <w:numId w:val="84"/>
        </w:numPr>
        <w:spacing w:after="4" w:line="254" w:lineRule="auto"/>
        <w:ind w:right="10" w:hanging="50"/>
        <w:jc w:val="both"/>
      </w:pPr>
      <w:r>
        <w:rPr>
          <w:rFonts w:ascii="Arial" w:eastAsia="Arial" w:hAnsi="Arial" w:cs="Arial"/>
          <w:sz w:val="18"/>
        </w:rPr>
        <w:t xml:space="preserve">I termini in corso sono interrotti e ricominciano a decorrere </w:t>
      </w:r>
      <w:proofErr w:type="spellStart"/>
      <w:r>
        <w:rPr>
          <w:rFonts w:ascii="Arial" w:eastAsia="Arial" w:hAnsi="Arial" w:cs="Arial"/>
          <w:sz w:val="18"/>
        </w:rPr>
        <w:t>dallapresentazione</w:t>
      </w:r>
      <w:proofErr w:type="spellEnd"/>
      <w:r>
        <w:rPr>
          <w:rFonts w:ascii="Arial" w:eastAsia="Arial" w:hAnsi="Arial" w:cs="Arial"/>
          <w:sz w:val="18"/>
        </w:rPr>
        <w:t xml:space="preserve"> dell’istanza di cui all’articolo seguente.</w:t>
      </w:r>
    </w:p>
    <w:p w14:paraId="3B180AB5" w14:textId="77777777" w:rsidR="00B32EF2" w:rsidRDefault="00000000">
      <w:pPr>
        <w:spacing w:after="0" w:line="261" w:lineRule="auto"/>
        <w:ind w:left="12" w:right="3" w:hanging="10"/>
        <w:jc w:val="center"/>
      </w:pPr>
      <w:r>
        <w:rPr>
          <w:rFonts w:ascii="Arial" w:eastAsia="Arial" w:hAnsi="Arial" w:cs="Arial"/>
          <w:b/>
          <w:sz w:val="18"/>
        </w:rPr>
        <w:t>Articolo 43</w:t>
      </w:r>
    </w:p>
    <w:p w14:paraId="245FA0B1" w14:textId="77777777" w:rsidR="00B32EF2" w:rsidRDefault="00000000">
      <w:pPr>
        <w:spacing w:after="3" w:line="251" w:lineRule="auto"/>
        <w:ind w:left="2320" w:right="2311" w:hanging="10"/>
        <w:jc w:val="center"/>
      </w:pPr>
      <w:r>
        <w:rPr>
          <w:rFonts w:ascii="Arial" w:eastAsia="Arial" w:hAnsi="Arial" w:cs="Arial"/>
          <w:i/>
          <w:sz w:val="18"/>
        </w:rPr>
        <w:t>(articolo 92 TUGT)</w:t>
      </w:r>
    </w:p>
    <w:p w14:paraId="03A45F1A" w14:textId="77777777" w:rsidR="00B32EF2" w:rsidRDefault="00000000">
      <w:pPr>
        <w:spacing w:after="0" w:line="261" w:lineRule="auto"/>
        <w:ind w:left="12" w:right="3" w:hanging="10"/>
        <w:jc w:val="center"/>
      </w:pPr>
      <w:r>
        <w:rPr>
          <w:rFonts w:ascii="Arial" w:eastAsia="Arial" w:hAnsi="Arial" w:cs="Arial"/>
          <w:b/>
          <w:sz w:val="18"/>
        </w:rPr>
        <w:t xml:space="preserve">Ripresa del processo sospeso o interrotto </w:t>
      </w:r>
    </w:p>
    <w:p w14:paraId="53E10FC8" w14:textId="77777777" w:rsidR="00B32EF2" w:rsidRDefault="00000000">
      <w:pPr>
        <w:numPr>
          <w:ilvl w:val="0"/>
          <w:numId w:val="85"/>
        </w:numPr>
        <w:spacing w:after="4" w:line="254" w:lineRule="auto"/>
        <w:ind w:right="10" w:hanging="10"/>
        <w:jc w:val="both"/>
      </w:pPr>
      <w:r>
        <w:rPr>
          <w:rFonts w:ascii="Arial" w:eastAsia="Arial" w:hAnsi="Arial" w:cs="Arial"/>
          <w:sz w:val="18"/>
        </w:rPr>
        <w:t xml:space="preserve">Dopo  che   è   cessata   la   causa   che   ne   ha   determinato   </w:t>
      </w:r>
      <w:proofErr w:type="spellStart"/>
      <w:r>
        <w:rPr>
          <w:rFonts w:ascii="Arial" w:eastAsia="Arial" w:hAnsi="Arial" w:cs="Arial"/>
          <w:sz w:val="18"/>
        </w:rPr>
        <w:t>lasospensione</w:t>
      </w:r>
      <w:proofErr w:type="spellEnd"/>
      <w:r>
        <w:rPr>
          <w:rFonts w:ascii="Arial" w:eastAsia="Arial" w:hAnsi="Arial" w:cs="Arial"/>
          <w:sz w:val="18"/>
        </w:rPr>
        <w:t xml:space="preserve"> il processo  continua  se  entro  sei  mesi  da  tale  data  viene presentata da una delle parti istanza di trattazione al presidente di  sezione della commissione, che provvede a norma dell’art. 30.</w:t>
      </w:r>
    </w:p>
    <w:p w14:paraId="7C27535B" w14:textId="77777777" w:rsidR="00B32EF2" w:rsidRDefault="00000000">
      <w:pPr>
        <w:numPr>
          <w:ilvl w:val="0"/>
          <w:numId w:val="85"/>
        </w:numPr>
        <w:spacing w:after="4" w:line="254" w:lineRule="auto"/>
        <w:ind w:right="10" w:hanging="10"/>
        <w:jc w:val="both"/>
      </w:pPr>
      <w:r>
        <w:rPr>
          <w:rFonts w:ascii="Arial" w:eastAsia="Arial" w:hAnsi="Arial" w:cs="Arial"/>
          <w:sz w:val="18"/>
        </w:rPr>
        <w:t xml:space="preserve">Se  entro sei mesi da quando  è  stata  dichiarata  l’interruzione  del </w:t>
      </w:r>
      <w:proofErr w:type="spellStart"/>
      <w:r>
        <w:rPr>
          <w:rFonts w:ascii="Arial" w:eastAsia="Arial" w:hAnsi="Arial" w:cs="Arial"/>
          <w:sz w:val="18"/>
        </w:rPr>
        <w:t>processola</w:t>
      </w:r>
      <w:proofErr w:type="spellEnd"/>
      <w:r>
        <w:rPr>
          <w:rFonts w:ascii="Arial" w:eastAsia="Arial" w:hAnsi="Arial" w:cs="Arial"/>
          <w:sz w:val="18"/>
        </w:rPr>
        <w:t xml:space="preserve"> parte colpita  dall’evento  o  i  suoi   successori   o  qualsiasi altra parte presentano istanza di trattazione al presidente di  sezione  della commissione, quest’ultimo provvede a norma del comma precedente.</w:t>
      </w:r>
    </w:p>
    <w:p w14:paraId="0BB5B2E3" w14:textId="77777777" w:rsidR="00B32EF2" w:rsidRDefault="00000000">
      <w:pPr>
        <w:numPr>
          <w:ilvl w:val="0"/>
          <w:numId w:val="85"/>
        </w:numPr>
        <w:spacing w:after="213" w:line="254" w:lineRule="auto"/>
        <w:ind w:right="10" w:hanging="10"/>
        <w:jc w:val="both"/>
      </w:pPr>
      <w:r>
        <w:rPr>
          <w:rFonts w:ascii="Arial" w:eastAsia="Arial" w:hAnsi="Arial" w:cs="Arial"/>
          <w:sz w:val="18"/>
        </w:rPr>
        <w:t xml:space="preserve">La comunicazione  di  cui  all’art.  31,  oltre  che  alle  altre  </w:t>
      </w:r>
      <w:proofErr w:type="spellStart"/>
      <w:r>
        <w:rPr>
          <w:rFonts w:ascii="Arial" w:eastAsia="Arial" w:hAnsi="Arial" w:cs="Arial"/>
          <w:sz w:val="18"/>
        </w:rPr>
        <w:t>particostituite</w:t>
      </w:r>
      <w:proofErr w:type="spellEnd"/>
      <w:r>
        <w:rPr>
          <w:rFonts w:ascii="Arial" w:eastAsia="Arial" w:hAnsi="Arial" w:cs="Arial"/>
          <w:sz w:val="18"/>
        </w:rPr>
        <w:t xml:space="preserve"> nei luoghi indicati dall’art. 17, deve essere fatta alla  parte colpita dall’evento o ai suoi successori personalmente. Entro un anno dalla morte di una delle parti la comunicazione può essere effettuata agli  eredi collettivamente o impersonalmente nel  domicilio  eletto o, in mancanza, nella </w:t>
      </w:r>
      <w:r>
        <w:rPr>
          <w:rFonts w:ascii="Arial" w:eastAsia="Arial" w:hAnsi="Arial" w:cs="Arial"/>
          <w:sz w:val="18"/>
        </w:rPr>
        <w:lastRenderedPageBreak/>
        <w:t>residenza dichiarata dal defunto risultante dagli atti del processo. La parte colpita dall’evento o  i suoi successori possono  costituirsi  anche solo presentando documenti o memorie o partecipando alla discussione assistiti, nei casi previsti, da difensore incaricato nelle forme prescritte.</w:t>
      </w:r>
    </w:p>
    <w:p w14:paraId="549C666F" w14:textId="77777777" w:rsidR="00B32EF2" w:rsidRDefault="00000000">
      <w:pPr>
        <w:spacing w:after="0" w:line="261" w:lineRule="auto"/>
        <w:ind w:left="12" w:right="3" w:hanging="10"/>
        <w:jc w:val="center"/>
      </w:pPr>
      <w:r>
        <w:rPr>
          <w:rFonts w:ascii="Arial" w:eastAsia="Arial" w:hAnsi="Arial" w:cs="Arial"/>
          <w:b/>
          <w:sz w:val="18"/>
        </w:rPr>
        <w:t>Articolo 44</w:t>
      </w:r>
    </w:p>
    <w:p w14:paraId="0F12A477" w14:textId="77777777" w:rsidR="00B32EF2" w:rsidRDefault="00000000">
      <w:pPr>
        <w:spacing w:after="3" w:line="251" w:lineRule="auto"/>
        <w:ind w:left="2320" w:right="2312" w:hanging="10"/>
        <w:jc w:val="center"/>
      </w:pPr>
      <w:r>
        <w:rPr>
          <w:rFonts w:ascii="Arial" w:eastAsia="Arial" w:hAnsi="Arial" w:cs="Arial"/>
          <w:i/>
          <w:sz w:val="18"/>
        </w:rPr>
        <w:t>(articolo 93 TUGT)</w:t>
      </w:r>
    </w:p>
    <w:p w14:paraId="593C3189" w14:textId="77777777" w:rsidR="00B32EF2" w:rsidRDefault="00000000">
      <w:pPr>
        <w:spacing w:after="0" w:line="261" w:lineRule="auto"/>
        <w:ind w:left="12" w:right="3" w:hanging="10"/>
        <w:jc w:val="center"/>
      </w:pPr>
      <w:r>
        <w:rPr>
          <w:rFonts w:ascii="Arial" w:eastAsia="Arial" w:hAnsi="Arial" w:cs="Arial"/>
          <w:b/>
          <w:sz w:val="18"/>
        </w:rPr>
        <w:t xml:space="preserve">Estinzione del processo per rinuncia al ricorso </w:t>
      </w:r>
    </w:p>
    <w:p w14:paraId="75453978" w14:textId="77777777" w:rsidR="00B32EF2" w:rsidRDefault="00000000">
      <w:pPr>
        <w:numPr>
          <w:ilvl w:val="0"/>
          <w:numId w:val="86"/>
        </w:numPr>
        <w:spacing w:after="4" w:line="254" w:lineRule="auto"/>
        <w:ind w:right="10" w:hanging="193"/>
        <w:jc w:val="both"/>
      </w:pPr>
      <w:r>
        <w:rPr>
          <w:rFonts w:ascii="Arial" w:eastAsia="Arial" w:hAnsi="Arial" w:cs="Arial"/>
          <w:sz w:val="18"/>
        </w:rPr>
        <w:t>Il processo si estingue per rinuncia al ricorso.</w:t>
      </w:r>
    </w:p>
    <w:p w14:paraId="7BBAB597" w14:textId="77777777" w:rsidR="00B32EF2" w:rsidRDefault="00000000">
      <w:pPr>
        <w:numPr>
          <w:ilvl w:val="0"/>
          <w:numId w:val="86"/>
        </w:numPr>
        <w:spacing w:after="4" w:line="254" w:lineRule="auto"/>
        <w:ind w:right="10" w:hanging="193"/>
        <w:jc w:val="both"/>
      </w:pPr>
      <w:r>
        <w:rPr>
          <w:rFonts w:ascii="Arial" w:eastAsia="Arial" w:hAnsi="Arial" w:cs="Arial"/>
          <w:sz w:val="18"/>
        </w:rPr>
        <w:t xml:space="preserve">Il ricorrente che rinuncia deve rimborsare le spese alle altre parti </w:t>
      </w:r>
      <w:proofErr w:type="spellStart"/>
      <w:r>
        <w:rPr>
          <w:rFonts w:ascii="Arial" w:eastAsia="Arial" w:hAnsi="Arial" w:cs="Arial"/>
          <w:sz w:val="18"/>
        </w:rPr>
        <w:t>salvodiverso</w:t>
      </w:r>
      <w:proofErr w:type="spellEnd"/>
      <w:r>
        <w:rPr>
          <w:rFonts w:ascii="Arial" w:eastAsia="Arial" w:hAnsi="Arial" w:cs="Arial"/>
          <w:sz w:val="18"/>
        </w:rPr>
        <w:t xml:space="preserve"> accordo fra loro. La liquidazione è fatta dal presidente della sezione o dalla commissione con ordinanza non impugnabile.</w:t>
      </w:r>
    </w:p>
    <w:p w14:paraId="44D54B94" w14:textId="77777777" w:rsidR="00B32EF2" w:rsidRDefault="00000000">
      <w:pPr>
        <w:numPr>
          <w:ilvl w:val="0"/>
          <w:numId w:val="86"/>
        </w:numPr>
        <w:spacing w:after="4" w:line="254" w:lineRule="auto"/>
        <w:ind w:right="10" w:hanging="193"/>
        <w:jc w:val="both"/>
      </w:pPr>
      <w:r>
        <w:rPr>
          <w:rFonts w:ascii="Arial" w:eastAsia="Arial" w:hAnsi="Arial" w:cs="Arial"/>
          <w:sz w:val="18"/>
        </w:rPr>
        <w:t xml:space="preserve">La rinuncia non produce effetto se non è accettata dalle parti costituite </w:t>
      </w:r>
      <w:proofErr w:type="spellStart"/>
      <w:r>
        <w:rPr>
          <w:rFonts w:ascii="Arial" w:eastAsia="Arial" w:hAnsi="Arial" w:cs="Arial"/>
          <w:sz w:val="18"/>
        </w:rPr>
        <w:t>cheabbiano</w:t>
      </w:r>
      <w:proofErr w:type="spellEnd"/>
      <w:r>
        <w:rPr>
          <w:rFonts w:ascii="Arial" w:eastAsia="Arial" w:hAnsi="Arial" w:cs="Arial"/>
          <w:sz w:val="18"/>
        </w:rPr>
        <w:t xml:space="preserve"> effettivo interesse alla prosecuzione del processo.</w:t>
      </w:r>
    </w:p>
    <w:p w14:paraId="45C151FE" w14:textId="77777777" w:rsidR="00B32EF2" w:rsidRDefault="00000000">
      <w:pPr>
        <w:numPr>
          <w:ilvl w:val="0"/>
          <w:numId w:val="86"/>
        </w:numPr>
        <w:spacing w:after="4" w:line="254" w:lineRule="auto"/>
        <w:ind w:right="10" w:hanging="193"/>
        <w:jc w:val="both"/>
      </w:pPr>
      <w:r>
        <w:rPr>
          <w:rFonts w:ascii="Arial" w:eastAsia="Arial" w:hAnsi="Arial" w:cs="Arial"/>
          <w:sz w:val="18"/>
        </w:rPr>
        <w:t xml:space="preserve">La rinuncia e l’accettazione, ove </w:t>
      </w:r>
      <w:proofErr w:type="spellStart"/>
      <w:r>
        <w:rPr>
          <w:rFonts w:ascii="Arial" w:eastAsia="Arial" w:hAnsi="Arial" w:cs="Arial"/>
          <w:sz w:val="18"/>
        </w:rPr>
        <w:t>necessaria</w:t>
      </w:r>
      <w:proofErr w:type="spellEnd"/>
      <w:r>
        <w:rPr>
          <w:rFonts w:ascii="Arial" w:eastAsia="Arial" w:hAnsi="Arial" w:cs="Arial"/>
          <w:sz w:val="18"/>
        </w:rPr>
        <w:t xml:space="preserve">, sono sottoscritte dalle </w:t>
      </w:r>
      <w:proofErr w:type="spellStart"/>
      <w:r>
        <w:rPr>
          <w:rFonts w:ascii="Arial" w:eastAsia="Arial" w:hAnsi="Arial" w:cs="Arial"/>
          <w:sz w:val="18"/>
        </w:rPr>
        <w:t>partipersonalmente</w:t>
      </w:r>
      <w:proofErr w:type="spellEnd"/>
      <w:r>
        <w:rPr>
          <w:rFonts w:ascii="Arial" w:eastAsia="Arial" w:hAnsi="Arial" w:cs="Arial"/>
          <w:sz w:val="18"/>
        </w:rPr>
        <w:t xml:space="preserve"> o da loro procuratori speciali, </w:t>
      </w:r>
      <w:proofErr w:type="spellStart"/>
      <w:r>
        <w:rPr>
          <w:rFonts w:ascii="Arial" w:eastAsia="Arial" w:hAnsi="Arial" w:cs="Arial"/>
          <w:sz w:val="18"/>
        </w:rPr>
        <w:t>nonchè</w:t>
      </w:r>
      <w:proofErr w:type="spellEnd"/>
      <w:r>
        <w:rPr>
          <w:rFonts w:ascii="Arial" w:eastAsia="Arial" w:hAnsi="Arial" w:cs="Arial"/>
          <w:sz w:val="18"/>
        </w:rPr>
        <w:t>, se vi sono, dai rispettivi difensori e si depositano nella segreteria della commissione.</w:t>
      </w:r>
    </w:p>
    <w:p w14:paraId="24736653" w14:textId="77777777" w:rsidR="00B32EF2" w:rsidRDefault="00000000">
      <w:pPr>
        <w:numPr>
          <w:ilvl w:val="0"/>
          <w:numId w:val="86"/>
        </w:numPr>
        <w:spacing w:after="4" w:line="254" w:lineRule="auto"/>
        <w:ind w:right="10" w:hanging="193"/>
        <w:jc w:val="both"/>
      </w:pPr>
      <w:r>
        <w:rPr>
          <w:rFonts w:ascii="Arial" w:eastAsia="Arial" w:hAnsi="Arial" w:cs="Arial"/>
          <w:sz w:val="18"/>
        </w:rPr>
        <w:t>Il presidente della sezione o la commissione, se la rinuncia e l’</w:t>
      </w:r>
      <w:proofErr w:type="spellStart"/>
      <w:r>
        <w:rPr>
          <w:rFonts w:ascii="Arial" w:eastAsia="Arial" w:hAnsi="Arial" w:cs="Arial"/>
          <w:sz w:val="18"/>
        </w:rPr>
        <w:t>accettazione,ove</w:t>
      </w:r>
      <w:proofErr w:type="spellEnd"/>
      <w:r>
        <w:rPr>
          <w:rFonts w:ascii="Arial" w:eastAsia="Arial" w:hAnsi="Arial" w:cs="Arial"/>
          <w:sz w:val="18"/>
        </w:rPr>
        <w:t xml:space="preserve"> </w:t>
      </w:r>
      <w:proofErr w:type="spellStart"/>
      <w:r>
        <w:rPr>
          <w:rFonts w:ascii="Arial" w:eastAsia="Arial" w:hAnsi="Arial" w:cs="Arial"/>
          <w:sz w:val="18"/>
        </w:rPr>
        <w:t>necessaria</w:t>
      </w:r>
      <w:proofErr w:type="spellEnd"/>
      <w:r>
        <w:rPr>
          <w:rFonts w:ascii="Arial" w:eastAsia="Arial" w:hAnsi="Arial" w:cs="Arial"/>
          <w:sz w:val="18"/>
        </w:rPr>
        <w:t>, sono regolari, dichiarano l’estinzione del processo. Si applica l’ultimo comma dell’articolo seguente.</w:t>
      </w:r>
    </w:p>
    <w:tbl>
      <w:tblPr>
        <w:tblStyle w:val="TableGrid"/>
        <w:tblW w:w="6236" w:type="dxa"/>
        <w:tblInd w:w="-9" w:type="dxa"/>
        <w:tblCellMar>
          <w:top w:w="123" w:type="dxa"/>
          <w:left w:w="123" w:type="dxa"/>
          <w:bottom w:w="0" w:type="dxa"/>
          <w:right w:w="115" w:type="dxa"/>
        </w:tblCellMar>
        <w:tblLook w:val="04A0" w:firstRow="1" w:lastRow="0" w:firstColumn="1" w:lastColumn="0" w:noHBand="0" w:noVBand="1"/>
      </w:tblPr>
      <w:tblGrid>
        <w:gridCol w:w="6236"/>
      </w:tblGrid>
      <w:tr w:rsidR="00B32EF2" w14:paraId="3635E048" w14:textId="77777777">
        <w:trPr>
          <w:trHeight w:val="1227"/>
        </w:trPr>
        <w:tc>
          <w:tcPr>
            <w:tcW w:w="6236" w:type="dxa"/>
            <w:tcBorders>
              <w:top w:val="single" w:sz="8" w:space="0" w:color="000000"/>
              <w:left w:val="single" w:sz="8" w:space="0" w:color="000000"/>
              <w:bottom w:val="single" w:sz="8" w:space="0" w:color="000000"/>
              <w:right w:val="single" w:sz="8" w:space="0" w:color="000000"/>
            </w:tcBorders>
            <w:shd w:val="clear" w:color="auto" w:fill="C3C3C3"/>
          </w:tcPr>
          <w:p w14:paraId="7A294AF3" w14:textId="77777777" w:rsidR="00B32EF2" w:rsidRDefault="00000000">
            <w:pPr>
              <w:spacing w:after="0"/>
            </w:pPr>
            <w:r>
              <w:rPr>
                <w:rFonts w:ascii="Arial" w:eastAsia="Arial" w:hAnsi="Arial" w:cs="Arial"/>
                <w:b/>
                <w:i/>
                <w:sz w:val="18"/>
              </w:rPr>
              <w:t>NORME COLLEGATE</w:t>
            </w:r>
          </w:p>
          <w:p w14:paraId="1D2D5373" w14:textId="77777777" w:rsidR="00B32EF2" w:rsidRDefault="00000000">
            <w:pPr>
              <w:spacing w:after="0" w:line="250" w:lineRule="auto"/>
              <w:ind w:right="1780"/>
            </w:pPr>
            <w:r>
              <w:rPr>
                <w:rFonts w:ascii="Arial" w:eastAsia="Arial" w:hAnsi="Arial" w:cs="Arial"/>
                <w:i/>
                <w:sz w:val="18"/>
              </w:rPr>
              <w:t>art. 310 c.p.c. “Effetti dell’estinzione del processo” 1. L’estinzione del processo non estingue l’azione.</w:t>
            </w:r>
          </w:p>
          <w:p w14:paraId="6EE73053" w14:textId="77777777" w:rsidR="00B32EF2" w:rsidRDefault="00000000">
            <w:pPr>
              <w:spacing w:after="0"/>
            </w:pPr>
            <w:r>
              <w:rPr>
                <w:rFonts w:ascii="Arial" w:eastAsia="Arial" w:hAnsi="Arial" w:cs="Arial"/>
                <w:i/>
                <w:sz w:val="18"/>
              </w:rPr>
              <w:t>2. L’estinzione rende inefficaci gli atti compiuti, ma non le sentenze di</w:t>
            </w:r>
          </w:p>
        </w:tc>
      </w:tr>
    </w:tbl>
    <w:p w14:paraId="4BE9F502"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merito pronunciate nel corso del processo e le pronunce che regolano la competenza. </w:t>
      </w:r>
    </w:p>
    <w:p w14:paraId="6969392C" w14:textId="77777777" w:rsidR="00B32EF2" w:rsidRDefault="00000000">
      <w:pPr>
        <w:numPr>
          <w:ilvl w:val="0"/>
          <w:numId w:val="87"/>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Le prove raccolte sono valutate dal giudice a norma dell’articolo 116 secondo comma.</w:t>
      </w:r>
    </w:p>
    <w:p w14:paraId="04C338F6" w14:textId="77777777" w:rsidR="00B32EF2" w:rsidRDefault="00000000">
      <w:pPr>
        <w:numPr>
          <w:ilvl w:val="0"/>
          <w:numId w:val="87"/>
        </w:numPr>
        <w:pBdr>
          <w:top w:val="single" w:sz="8" w:space="0" w:color="000000"/>
          <w:left w:val="single" w:sz="8" w:space="0" w:color="000000"/>
          <w:bottom w:val="single" w:sz="8" w:space="0" w:color="000000"/>
          <w:right w:val="single" w:sz="8" w:space="0" w:color="000000"/>
        </w:pBdr>
        <w:shd w:val="clear" w:color="auto" w:fill="C3C3C3"/>
        <w:spacing w:after="514" w:line="251" w:lineRule="auto"/>
        <w:ind w:right="120" w:hanging="10"/>
        <w:jc w:val="both"/>
      </w:pPr>
      <w:r>
        <w:rPr>
          <w:rFonts w:ascii="Arial" w:eastAsia="Arial" w:hAnsi="Arial" w:cs="Arial"/>
          <w:i/>
          <w:sz w:val="18"/>
        </w:rPr>
        <w:t xml:space="preserve">Le spese del processo estinto stanno a carico delle parti che le </w:t>
      </w:r>
      <w:proofErr w:type="spellStart"/>
      <w:r>
        <w:rPr>
          <w:rFonts w:ascii="Arial" w:eastAsia="Arial" w:hAnsi="Arial" w:cs="Arial"/>
          <w:i/>
          <w:sz w:val="18"/>
        </w:rPr>
        <w:t>hannoanticipate</w:t>
      </w:r>
      <w:proofErr w:type="spellEnd"/>
      <w:r>
        <w:rPr>
          <w:rFonts w:ascii="Arial" w:eastAsia="Arial" w:hAnsi="Arial" w:cs="Arial"/>
          <w:i/>
          <w:sz w:val="18"/>
        </w:rPr>
        <w:t>.</w:t>
      </w:r>
    </w:p>
    <w:p w14:paraId="506CDF07" w14:textId="77777777" w:rsidR="00B32EF2" w:rsidRDefault="00000000">
      <w:pPr>
        <w:spacing w:after="0" w:line="261" w:lineRule="auto"/>
        <w:ind w:left="12" w:right="3" w:hanging="10"/>
        <w:jc w:val="center"/>
      </w:pPr>
      <w:r>
        <w:rPr>
          <w:rFonts w:ascii="Arial" w:eastAsia="Arial" w:hAnsi="Arial" w:cs="Arial"/>
          <w:b/>
          <w:sz w:val="18"/>
        </w:rPr>
        <w:t>Articolo 45</w:t>
      </w:r>
    </w:p>
    <w:p w14:paraId="7BB4E914" w14:textId="77777777" w:rsidR="00B32EF2" w:rsidRDefault="00000000">
      <w:pPr>
        <w:spacing w:after="3" w:line="251" w:lineRule="auto"/>
        <w:ind w:left="2320" w:right="2311" w:hanging="10"/>
        <w:jc w:val="center"/>
      </w:pPr>
      <w:r>
        <w:rPr>
          <w:rFonts w:ascii="Arial" w:eastAsia="Arial" w:hAnsi="Arial" w:cs="Arial"/>
          <w:i/>
          <w:sz w:val="18"/>
        </w:rPr>
        <w:t>(articolo 94 TUGT)</w:t>
      </w:r>
    </w:p>
    <w:p w14:paraId="665EA6CA" w14:textId="77777777" w:rsidR="00B32EF2" w:rsidRDefault="00000000">
      <w:pPr>
        <w:spacing w:after="0" w:line="261" w:lineRule="auto"/>
        <w:ind w:left="12" w:right="3" w:hanging="10"/>
        <w:jc w:val="center"/>
      </w:pPr>
      <w:r>
        <w:rPr>
          <w:rFonts w:ascii="Arial" w:eastAsia="Arial" w:hAnsi="Arial" w:cs="Arial"/>
          <w:b/>
          <w:sz w:val="18"/>
        </w:rPr>
        <w:t xml:space="preserve">Estinzione del processo per inattività delle parti </w:t>
      </w:r>
    </w:p>
    <w:p w14:paraId="58317D68" w14:textId="77777777" w:rsidR="00B32EF2" w:rsidRDefault="00000000">
      <w:pPr>
        <w:spacing w:after="4" w:line="254" w:lineRule="auto"/>
        <w:ind w:left="-4" w:right="10" w:hanging="10"/>
        <w:jc w:val="both"/>
      </w:pPr>
      <w:r>
        <w:rPr>
          <w:rFonts w:ascii="Arial" w:eastAsia="Arial" w:hAnsi="Arial" w:cs="Arial"/>
          <w:sz w:val="18"/>
        </w:rPr>
        <w:t>1. Il processo si estingue nei casi in  cui  le  parti  alle   quali  spetta di   proseguire, riassumere o integrare il giudizio non vi abbiano provveduto entro il termine perentorio stabilito dalla legge o dal giudice che dalla legge sia autorizzato a fissarlo. 2. Le spese del processo estinto a norma del comma 1 restano a carico delle parti che le hanno anticipate.</w:t>
      </w:r>
    </w:p>
    <w:p w14:paraId="7DA4D971" w14:textId="77777777" w:rsidR="00B32EF2" w:rsidRDefault="00000000">
      <w:pPr>
        <w:numPr>
          <w:ilvl w:val="0"/>
          <w:numId w:val="88"/>
        </w:numPr>
        <w:spacing w:after="4" w:line="254" w:lineRule="auto"/>
        <w:ind w:right="10" w:hanging="10"/>
        <w:jc w:val="both"/>
      </w:pPr>
      <w:r>
        <w:rPr>
          <w:rFonts w:ascii="Arial" w:eastAsia="Arial" w:hAnsi="Arial" w:cs="Arial"/>
          <w:sz w:val="18"/>
        </w:rPr>
        <w:lastRenderedPageBreak/>
        <w:t xml:space="preserve">L’estinzione del processo per inattività  delle  parti  è rilevata anche d’ufficio </w:t>
      </w:r>
      <w:proofErr w:type="spellStart"/>
      <w:r>
        <w:rPr>
          <w:rFonts w:ascii="Arial" w:eastAsia="Arial" w:hAnsi="Arial" w:cs="Arial"/>
          <w:sz w:val="18"/>
        </w:rPr>
        <w:t>solonel</w:t>
      </w:r>
      <w:proofErr w:type="spellEnd"/>
      <w:r>
        <w:rPr>
          <w:rFonts w:ascii="Arial" w:eastAsia="Arial" w:hAnsi="Arial" w:cs="Arial"/>
          <w:sz w:val="18"/>
        </w:rPr>
        <w:t xml:space="preserve"> grado di giudizio in cui si verifica e rende inefficaci gli atti compiuti.</w:t>
      </w:r>
    </w:p>
    <w:p w14:paraId="3836BC03" w14:textId="77777777" w:rsidR="00B32EF2" w:rsidRDefault="00000000">
      <w:pPr>
        <w:numPr>
          <w:ilvl w:val="0"/>
          <w:numId w:val="88"/>
        </w:numPr>
        <w:spacing w:after="146" w:line="254" w:lineRule="auto"/>
        <w:ind w:right="10" w:hanging="10"/>
        <w:jc w:val="both"/>
      </w:pPr>
      <w:r>
        <w:rPr>
          <w:rFonts w:ascii="Arial" w:eastAsia="Arial" w:hAnsi="Arial" w:cs="Arial"/>
          <w:sz w:val="18"/>
        </w:rPr>
        <w:t xml:space="preserve">L’estinzione è dichiarata dal presidente della sezione con </w:t>
      </w:r>
      <w:proofErr w:type="spellStart"/>
      <w:r>
        <w:rPr>
          <w:rFonts w:ascii="Arial" w:eastAsia="Arial" w:hAnsi="Arial" w:cs="Arial"/>
          <w:sz w:val="18"/>
        </w:rPr>
        <w:t>decretoo</w:t>
      </w:r>
      <w:proofErr w:type="spellEnd"/>
      <w:r>
        <w:rPr>
          <w:rFonts w:ascii="Arial" w:eastAsia="Arial" w:hAnsi="Arial" w:cs="Arial"/>
          <w:sz w:val="18"/>
        </w:rPr>
        <w:t xml:space="preserve"> dalla commissione con sentenza. Avverso il decreto del presidente è ammesso reclamo alla commissione che provvede a norma dell’art. 28.</w:t>
      </w:r>
    </w:p>
    <w:p w14:paraId="26D79196" w14:textId="77777777" w:rsidR="00B32EF2" w:rsidRDefault="00000000">
      <w:pPr>
        <w:pStyle w:val="Titolo3"/>
        <w:ind w:left="129" w:right="60"/>
      </w:pPr>
      <w:r>
        <w:rPr>
          <w:b w:val="0"/>
          <w:i w:val="0"/>
        </w:rPr>
        <w:t xml:space="preserve"> </w:t>
      </w:r>
      <w:r>
        <w:t xml:space="preserve">NORME COLLEGATE </w:t>
      </w:r>
    </w:p>
    <w:p w14:paraId="36F900CF"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497" w:line="251" w:lineRule="auto"/>
        <w:ind w:left="129" w:right="60" w:hanging="10"/>
        <w:jc w:val="both"/>
      </w:pPr>
      <w:r>
        <w:rPr>
          <w:rFonts w:ascii="Arial" w:eastAsia="Arial" w:hAnsi="Arial" w:cs="Arial"/>
          <w:i/>
          <w:sz w:val="18"/>
        </w:rPr>
        <w:t xml:space="preserve">art. 310 c.p.c. “Effetti dell’estinzione del processo” </w:t>
      </w:r>
    </w:p>
    <w:p w14:paraId="09A0CC76" w14:textId="77777777" w:rsidR="00B32EF2" w:rsidRDefault="00000000">
      <w:pPr>
        <w:spacing w:after="0" w:line="261" w:lineRule="auto"/>
        <w:ind w:left="12" w:right="3" w:hanging="10"/>
        <w:jc w:val="center"/>
      </w:pPr>
      <w:r>
        <w:rPr>
          <w:rFonts w:ascii="Arial" w:eastAsia="Arial" w:hAnsi="Arial" w:cs="Arial"/>
          <w:b/>
          <w:sz w:val="18"/>
        </w:rPr>
        <w:t>Articolo 46</w:t>
      </w:r>
    </w:p>
    <w:p w14:paraId="78D07460" w14:textId="77777777" w:rsidR="00B32EF2" w:rsidRDefault="00000000">
      <w:pPr>
        <w:spacing w:after="3" w:line="251" w:lineRule="auto"/>
        <w:ind w:left="2320" w:right="2311" w:hanging="10"/>
        <w:jc w:val="center"/>
      </w:pPr>
      <w:r>
        <w:rPr>
          <w:rFonts w:ascii="Arial" w:eastAsia="Arial" w:hAnsi="Arial" w:cs="Arial"/>
          <w:i/>
          <w:sz w:val="18"/>
        </w:rPr>
        <w:t>(articolo 95 TUGT)</w:t>
      </w:r>
    </w:p>
    <w:p w14:paraId="700D78D7" w14:textId="77777777" w:rsidR="00B32EF2" w:rsidRDefault="00000000">
      <w:pPr>
        <w:spacing w:after="4" w:line="254" w:lineRule="auto"/>
        <w:ind w:left="-14" w:right="10" w:firstLine="171"/>
        <w:jc w:val="both"/>
      </w:pPr>
      <w:r>
        <w:rPr>
          <w:rFonts w:ascii="Arial" w:eastAsia="Arial" w:hAnsi="Arial" w:cs="Arial"/>
          <w:b/>
          <w:sz w:val="18"/>
        </w:rPr>
        <w:t xml:space="preserve">Estinzione del giudizio per cessazione della materia del contendere </w:t>
      </w:r>
      <w:r>
        <w:rPr>
          <w:rFonts w:ascii="Arial" w:eastAsia="Arial" w:hAnsi="Arial" w:cs="Arial"/>
          <w:sz w:val="18"/>
        </w:rPr>
        <w:t>1. Il giudizio si estingue, in tutto o in parte, nei casi di definizione delle pendenze tributarie previsti dalla legge e in ogni altro caso di cessazione della materia del contendere.</w:t>
      </w:r>
    </w:p>
    <w:p w14:paraId="4FE1B495" w14:textId="77777777" w:rsidR="00B32EF2" w:rsidRDefault="00000000">
      <w:pPr>
        <w:numPr>
          <w:ilvl w:val="0"/>
          <w:numId w:val="89"/>
        </w:numPr>
        <w:spacing w:after="4" w:line="254" w:lineRule="auto"/>
        <w:ind w:right="10" w:hanging="10"/>
        <w:jc w:val="both"/>
      </w:pPr>
      <w:r>
        <w:rPr>
          <w:rFonts w:ascii="Arial" w:eastAsia="Arial" w:hAnsi="Arial" w:cs="Arial"/>
          <w:sz w:val="18"/>
        </w:rPr>
        <w:t xml:space="preserve">La cessazione della materia del contendere è dichiarata con decreto </w:t>
      </w:r>
      <w:proofErr w:type="spellStart"/>
      <w:r>
        <w:rPr>
          <w:rFonts w:ascii="Arial" w:eastAsia="Arial" w:hAnsi="Arial" w:cs="Arial"/>
          <w:sz w:val="18"/>
        </w:rPr>
        <w:t>delpresidente</w:t>
      </w:r>
      <w:proofErr w:type="spellEnd"/>
      <w:r>
        <w:rPr>
          <w:rFonts w:ascii="Arial" w:eastAsia="Arial" w:hAnsi="Arial" w:cs="Arial"/>
          <w:sz w:val="18"/>
        </w:rPr>
        <w:t xml:space="preserve"> o con sentenza della commissione. Il provvedimento presidenziale è reclamabile a norma dell’art. 28.</w:t>
      </w:r>
    </w:p>
    <w:p w14:paraId="20D9A84C" w14:textId="77777777" w:rsidR="00B32EF2" w:rsidRDefault="00000000">
      <w:pPr>
        <w:numPr>
          <w:ilvl w:val="0"/>
          <w:numId w:val="89"/>
        </w:numPr>
        <w:spacing w:after="242" w:line="254" w:lineRule="auto"/>
        <w:ind w:right="10" w:hanging="10"/>
        <w:jc w:val="both"/>
      </w:pPr>
      <w:r>
        <w:rPr>
          <w:rFonts w:ascii="Arial" w:eastAsia="Arial" w:hAnsi="Arial" w:cs="Arial"/>
          <w:sz w:val="18"/>
        </w:rPr>
        <w:t xml:space="preserve">Nei casi di definizione delle pendenze tributarie previsti dalla legge le </w:t>
      </w:r>
      <w:proofErr w:type="spellStart"/>
      <w:r>
        <w:rPr>
          <w:rFonts w:ascii="Arial" w:eastAsia="Arial" w:hAnsi="Arial" w:cs="Arial"/>
          <w:sz w:val="18"/>
        </w:rPr>
        <w:t>spesedel</w:t>
      </w:r>
      <w:proofErr w:type="spellEnd"/>
      <w:r>
        <w:rPr>
          <w:rFonts w:ascii="Arial" w:eastAsia="Arial" w:hAnsi="Arial" w:cs="Arial"/>
          <w:sz w:val="18"/>
        </w:rPr>
        <w:t xml:space="preserve"> giudizio estinto restano a carico della parte che le ha anticipate.</w:t>
      </w:r>
    </w:p>
    <w:p w14:paraId="591A423A" w14:textId="77777777" w:rsidR="00B32EF2" w:rsidRDefault="00000000">
      <w:pPr>
        <w:pStyle w:val="Titolo3"/>
        <w:ind w:left="129" w:right="60"/>
      </w:pPr>
      <w:r>
        <w:t>NORME COLLEGATE</w:t>
      </w:r>
    </w:p>
    <w:p w14:paraId="5F6B8402"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60" w:hanging="10"/>
        <w:jc w:val="both"/>
      </w:pPr>
      <w:r>
        <w:rPr>
          <w:rFonts w:ascii="Arial" w:eastAsia="Arial" w:hAnsi="Arial" w:cs="Arial"/>
          <w:i/>
          <w:sz w:val="18"/>
        </w:rPr>
        <w:t xml:space="preserve">art 310 c.p.c. “Effetti dell’estinzione del processo” </w:t>
      </w:r>
    </w:p>
    <w:p w14:paraId="3AB431DE" w14:textId="77777777" w:rsidR="00B32EF2" w:rsidRDefault="00000000">
      <w:pPr>
        <w:spacing w:after="207" w:line="261" w:lineRule="auto"/>
        <w:ind w:left="12" w:right="3" w:hanging="10"/>
        <w:jc w:val="center"/>
      </w:pPr>
      <w:r>
        <w:rPr>
          <w:rFonts w:ascii="Arial" w:eastAsia="Arial" w:hAnsi="Arial" w:cs="Arial"/>
          <w:b/>
          <w:sz w:val="18"/>
        </w:rPr>
        <w:t>CAPO II</w:t>
      </w:r>
    </w:p>
    <w:p w14:paraId="2DE9F621" w14:textId="77777777" w:rsidR="00B32EF2" w:rsidRDefault="00000000">
      <w:pPr>
        <w:spacing w:after="199" w:line="261" w:lineRule="auto"/>
        <w:ind w:left="12" w:right="3" w:hanging="10"/>
        <w:jc w:val="center"/>
      </w:pPr>
      <w:r>
        <w:rPr>
          <w:rFonts w:ascii="Arial" w:eastAsia="Arial" w:hAnsi="Arial" w:cs="Arial"/>
          <w:b/>
          <w:sz w:val="18"/>
        </w:rPr>
        <w:t xml:space="preserve"> I PROCEDIMENTI CAUTELARE E PREVENTIVO</w:t>
      </w:r>
    </w:p>
    <w:p w14:paraId="039419B9"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29" w:right="120" w:hanging="10"/>
        <w:jc w:val="center"/>
      </w:pPr>
      <w:r>
        <w:rPr>
          <w:rFonts w:ascii="Arial" w:eastAsia="Arial" w:hAnsi="Arial" w:cs="Arial"/>
          <w:b/>
          <w:sz w:val="18"/>
        </w:rPr>
        <w:t xml:space="preserve">Per i giudizi instaurati  con ricorso notificato fino al 5.1.24 </w:t>
      </w:r>
    </w:p>
    <w:p w14:paraId="63AB777E"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29" w:right="120" w:hanging="10"/>
        <w:jc w:val="center"/>
      </w:pPr>
      <w:r>
        <w:rPr>
          <w:rFonts w:ascii="Arial" w:eastAsia="Arial" w:hAnsi="Arial" w:cs="Arial"/>
          <w:b/>
          <w:sz w:val="18"/>
        </w:rPr>
        <w:t>Articolo 47</w:t>
      </w:r>
    </w:p>
    <w:p w14:paraId="4413F9D6" w14:textId="77777777" w:rsidR="00B32EF2" w:rsidRDefault="00000000">
      <w:pPr>
        <w:pBdr>
          <w:top w:val="single" w:sz="8" w:space="0" w:color="000000"/>
          <w:left w:val="single" w:sz="8" w:space="0" w:color="000000"/>
          <w:bottom w:val="single" w:sz="8" w:space="0" w:color="000000"/>
          <w:right w:val="single" w:sz="8" w:space="0" w:color="000000"/>
        </w:pBdr>
        <w:spacing w:after="0"/>
        <w:ind w:left="129" w:right="120" w:hanging="10"/>
        <w:jc w:val="center"/>
      </w:pPr>
      <w:r>
        <w:rPr>
          <w:rFonts w:ascii="Arial" w:eastAsia="Arial" w:hAnsi="Arial" w:cs="Arial"/>
          <w:i/>
          <w:sz w:val="18"/>
        </w:rPr>
        <w:t>(articolo 96 TUGT)</w:t>
      </w:r>
    </w:p>
    <w:p w14:paraId="4D645125"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29" w:right="120" w:hanging="10"/>
        <w:jc w:val="center"/>
      </w:pPr>
      <w:r>
        <w:rPr>
          <w:rFonts w:ascii="Arial" w:eastAsia="Arial" w:hAnsi="Arial" w:cs="Arial"/>
          <w:b/>
          <w:sz w:val="18"/>
        </w:rPr>
        <w:t xml:space="preserve">Sospensione dell’atto impugnato </w:t>
      </w:r>
    </w:p>
    <w:p w14:paraId="1C89E072" w14:textId="77777777" w:rsidR="00B32EF2" w:rsidRDefault="00000000">
      <w:pPr>
        <w:numPr>
          <w:ilvl w:val="0"/>
          <w:numId w:val="90"/>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Il ricorrente, se dall’atto impugnato può derivargli un danno grave </w:t>
      </w:r>
      <w:proofErr w:type="spellStart"/>
      <w:r>
        <w:rPr>
          <w:rFonts w:ascii="Arial" w:eastAsia="Arial" w:hAnsi="Arial" w:cs="Arial"/>
          <w:sz w:val="18"/>
        </w:rPr>
        <w:t>edirreparabile</w:t>
      </w:r>
      <w:proofErr w:type="spellEnd"/>
      <w:r>
        <w:rPr>
          <w:rFonts w:ascii="Arial" w:eastAsia="Arial" w:hAnsi="Arial" w:cs="Arial"/>
          <w:sz w:val="18"/>
        </w:rPr>
        <w:t>, può chiedere alla corte di giustizia tributaria di primo grado competente la sospensione dell’esecuzione dell’atto stesso con istanza motivata proposta nel ricorso o con atto separato notificata alle altre parti e depositato in segreteria sempre che siano osservate le disposizioni di cui all’art. 22.</w:t>
      </w:r>
    </w:p>
    <w:p w14:paraId="70742D62" w14:textId="77777777" w:rsidR="00B32EF2" w:rsidRDefault="00000000">
      <w:pPr>
        <w:numPr>
          <w:ilvl w:val="0"/>
          <w:numId w:val="90"/>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Il presidente fissa con decreto la trattazione della istanza di </w:t>
      </w:r>
      <w:proofErr w:type="spellStart"/>
      <w:r>
        <w:rPr>
          <w:rFonts w:ascii="Arial" w:eastAsia="Arial" w:hAnsi="Arial" w:cs="Arial"/>
          <w:sz w:val="18"/>
        </w:rPr>
        <w:t>sospensioneper</w:t>
      </w:r>
      <w:proofErr w:type="spellEnd"/>
      <w:r>
        <w:rPr>
          <w:rFonts w:ascii="Arial" w:eastAsia="Arial" w:hAnsi="Arial" w:cs="Arial"/>
          <w:sz w:val="18"/>
        </w:rPr>
        <w:t xml:space="preserve"> la prima camera di consiglio utile e comunque non oltre il trentesimo giorno dalla presentazione della medesima istanza, disponendo che ne sia data comunicazione alle parti almeno cinque giorni liberi prima. </w:t>
      </w:r>
      <w:r>
        <w:rPr>
          <w:rFonts w:ascii="Arial" w:eastAsia="Arial" w:hAnsi="Arial" w:cs="Arial"/>
          <w:sz w:val="18"/>
        </w:rPr>
        <w:lastRenderedPageBreak/>
        <w:t>L’udienza di trattazione dell’istanza di sospensione non può, in ogni caso, coincidere con l’udienza di trattazione del merito della controversia.</w:t>
      </w:r>
    </w:p>
    <w:p w14:paraId="33FDFCBE" w14:textId="77777777" w:rsidR="00B32EF2" w:rsidRDefault="00000000">
      <w:pPr>
        <w:numPr>
          <w:ilvl w:val="0"/>
          <w:numId w:val="90"/>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In caso di eccezionale urgenza il presidente, previa delibazione </w:t>
      </w:r>
      <w:proofErr w:type="spellStart"/>
      <w:r>
        <w:rPr>
          <w:rFonts w:ascii="Arial" w:eastAsia="Arial" w:hAnsi="Arial" w:cs="Arial"/>
          <w:sz w:val="18"/>
        </w:rPr>
        <w:t>delmerito</w:t>
      </w:r>
      <w:proofErr w:type="spellEnd"/>
      <w:r>
        <w:rPr>
          <w:rFonts w:ascii="Arial" w:eastAsia="Arial" w:hAnsi="Arial" w:cs="Arial"/>
          <w:sz w:val="18"/>
        </w:rPr>
        <w:t>, può disporre con decreto motivato la provvisoria sospensione dell’esecuzione fino alla pronuncia del collegio.</w:t>
      </w:r>
    </w:p>
    <w:p w14:paraId="31D5CD7B" w14:textId="77777777" w:rsidR="00B32EF2" w:rsidRDefault="00000000">
      <w:pPr>
        <w:numPr>
          <w:ilvl w:val="0"/>
          <w:numId w:val="90"/>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Il collegio, sentite le parti in camera di consiglio e delibato il </w:t>
      </w:r>
      <w:proofErr w:type="spellStart"/>
      <w:r>
        <w:rPr>
          <w:rFonts w:ascii="Arial" w:eastAsia="Arial" w:hAnsi="Arial" w:cs="Arial"/>
          <w:sz w:val="18"/>
        </w:rPr>
        <w:t>merito,provvede</w:t>
      </w:r>
      <w:proofErr w:type="spellEnd"/>
      <w:r>
        <w:rPr>
          <w:rFonts w:ascii="Arial" w:eastAsia="Arial" w:hAnsi="Arial" w:cs="Arial"/>
          <w:sz w:val="18"/>
        </w:rPr>
        <w:t xml:space="preserve"> con ordinanza motivata non impugnabile nella stessa udienza di trattazione dell’istanza. Il dispositivo dell’ordinanza deve essere immediatamente comunicato alle parti in udienza.</w:t>
      </w:r>
    </w:p>
    <w:p w14:paraId="7238B3F5" w14:textId="77777777" w:rsidR="00B32EF2" w:rsidRDefault="00000000">
      <w:pPr>
        <w:numPr>
          <w:ilvl w:val="0"/>
          <w:numId w:val="90"/>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La sospensione può anche essere parziale e subordinata </w:t>
      </w:r>
      <w:proofErr w:type="spellStart"/>
      <w:r>
        <w:rPr>
          <w:rFonts w:ascii="Arial" w:eastAsia="Arial" w:hAnsi="Arial" w:cs="Arial"/>
          <w:sz w:val="18"/>
        </w:rPr>
        <w:t>allaprestazione</w:t>
      </w:r>
      <w:proofErr w:type="spellEnd"/>
      <w:r>
        <w:rPr>
          <w:rFonts w:ascii="Arial" w:eastAsia="Arial" w:hAnsi="Arial" w:cs="Arial"/>
          <w:sz w:val="18"/>
        </w:rPr>
        <w:t xml:space="preserve"> della garanzia di cui all’articolo 69, comma 2. La prestazione della garanzia è esclusa per i ricorrenti con “bollino di affidabilità fiscale”. Ai fini della disposizione di cui al periodo precedente, i ricorrenti con “bollino di affidabilità fiscale” sono i contribuenti soggetti alla disciplina di cui all’articolo 9-bis del decreto-legge 24 aprile 2017, n. 50, convertito, con modificazioni, dalla legge 21 giugno 2017, n. 96, ai quali sia stato attribuito un punteggio di affidabilità pari ad almeno 9 negli ultimi tre periodi d’imposta precedenti a quello di proposizione del ricorso per i quali tali punteggi siano disponibili. 5-bis. Abrogato.</w:t>
      </w:r>
    </w:p>
    <w:p w14:paraId="045CBAC3" w14:textId="77777777" w:rsidR="00B32EF2" w:rsidRDefault="00000000">
      <w:pPr>
        <w:numPr>
          <w:ilvl w:val="0"/>
          <w:numId w:val="90"/>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Nei casi di sospensione dell’atto impugnato la trattazione </w:t>
      </w:r>
      <w:proofErr w:type="spellStart"/>
      <w:r>
        <w:rPr>
          <w:rFonts w:ascii="Arial" w:eastAsia="Arial" w:hAnsi="Arial" w:cs="Arial"/>
          <w:sz w:val="18"/>
        </w:rPr>
        <w:t>dellacontroversia</w:t>
      </w:r>
      <w:proofErr w:type="spellEnd"/>
      <w:r>
        <w:rPr>
          <w:rFonts w:ascii="Arial" w:eastAsia="Arial" w:hAnsi="Arial" w:cs="Arial"/>
          <w:sz w:val="18"/>
        </w:rPr>
        <w:t xml:space="preserve"> deve essere fissata non oltre novanta giorni dalla pronuncia.</w:t>
      </w:r>
    </w:p>
    <w:p w14:paraId="74758EF2" w14:textId="77777777" w:rsidR="00B32EF2" w:rsidRDefault="00000000">
      <w:pPr>
        <w:numPr>
          <w:ilvl w:val="0"/>
          <w:numId w:val="90"/>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Gli effetti della sospensione cessano dalla data di pubblicazione </w:t>
      </w:r>
      <w:proofErr w:type="spellStart"/>
      <w:r>
        <w:rPr>
          <w:rFonts w:ascii="Arial" w:eastAsia="Arial" w:hAnsi="Arial" w:cs="Arial"/>
          <w:sz w:val="18"/>
        </w:rPr>
        <w:t>dellasentenza</w:t>
      </w:r>
      <w:proofErr w:type="spellEnd"/>
      <w:r>
        <w:rPr>
          <w:rFonts w:ascii="Arial" w:eastAsia="Arial" w:hAnsi="Arial" w:cs="Arial"/>
          <w:sz w:val="18"/>
        </w:rPr>
        <w:t xml:space="preserve"> di primo grado.</w:t>
      </w:r>
    </w:p>
    <w:p w14:paraId="5CF9DE63" w14:textId="77777777" w:rsidR="00B32EF2" w:rsidRDefault="00000000">
      <w:pPr>
        <w:numPr>
          <w:ilvl w:val="0"/>
          <w:numId w:val="90"/>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In caso di mutamento delle circostanze la commissione su </w:t>
      </w:r>
      <w:proofErr w:type="spellStart"/>
      <w:r>
        <w:rPr>
          <w:rFonts w:ascii="Arial" w:eastAsia="Arial" w:hAnsi="Arial" w:cs="Arial"/>
          <w:sz w:val="18"/>
        </w:rPr>
        <w:t>istanzamotivata</w:t>
      </w:r>
      <w:proofErr w:type="spellEnd"/>
      <w:r>
        <w:rPr>
          <w:rFonts w:ascii="Arial" w:eastAsia="Arial" w:hAnsi="Arial" w:cs="Arial"/>
          <w:sz w:val="18"/>
        </w:rPr>
        <w:t xml:space="preserve"> di parte può revocare o modificare il provvedimento cautelare prima della sentenza, osservate per quanto possibile le forme di cui ai commi 1, 2 e 4.</w:t>
      </w:r>
    </w:p>
    <w:p w14:paraId="78D55B32" w14:textId="77777777" w:rsidR="00B32EF2" w:rsidRDefault="00000000">
      <w:pPr>
        <w:pBdr>
          <w:top w:val="single" w:sz="8" w:space="0" w:color="000000"/>
          <w:left w:val="single" w:sz="8" w:space="0" w:color="000000"/>
          <w:bottom w:val="single" w:sz="8" w:space="0" w:color="000000"/>
          <w:right w:val="single" w:sz="8" w:space="0" w:color="000000"/>
        </w:pBdr>
        <w:spacing w:after="317" w:line="226" w:lineRule="auto"/>
        <w:ind w:left="129" w:right="120" w:hanging="10"/>
        <w:jc w:val="both"/>
      </w:pPr>
      <w:r>
        <w:rPr>
          <w:rFonts w:ascii="Arial" w:eastAsia="Arial" w:hAnsi="Arial" w:cs="Arial"/>
          <w:sz w:val="18"/>
        </w:rPr>
        <w:t>8-bis. Durante il periodo di sospensione cautelare si applicano gli interessi al tasso previsto per la sospensione amministrativa.</w:t>
      </w:r>
    </w:p>
    <w:p w14:paraId="2C188833" w14:textId="77777777" w:rsidR="00B32EF2" w:rsidRDefault="00000000">
      <w:pPr>
        <w:spacing w:after="0" w:line="261" w:lineRule="auto"/>
        <w:ind w:left="12" w:right="3" w:hanging="10"/>
        <w:jc w:val="center"/>
      </w:pPr>
      <w:r>
        <w:rPr>
          <w:rFonts w:ascii="Arial" w:eastAsia="Arial" w:hAnsi="Arial" w:cs="Arial"/>
          <w:b/>
          <w:sz w:val="18"/>
        </w:rPr>
        <w:t>Articolo 47</w:t>
      </w:r>
    </w:p>
    <w:p w14:paraId="442DC9E5" w14:textId="77777777" w:rsidR="00B32EF2" w:rsidRDefault="00000000">
      <w:pPr>
        <w:spacing w:after="3" w:line="251" w:lineRule="auto"/>
        <w:ind w:left="2320" w:right="2311" w:hanging="10"/>
        <w:jc w:val="center"/>
      </w:pPr>
      <w:r>
        <w:rPr>
          <w:rFonts w:ascii="Arial" w:eastAsia="Arial" w:hAnsi="Arial" w:cs="Arial"/>
          <w:i/>
          <w:sz w:val="18"/>
        </w:rPr>
        <w:t>(articolo 96 TUGT)</w:t>
      </w:r>
    </w:p>
    <w:p w14:paraId="2BA726F7" w14:textId="77777777" w:rsidR="00B32EF2" w:rsidRDefault="00000000">
      <w:pPr>
        <w:spacing w:after="0" w:line="261" w:lineRule="auto"/>
        <w:ind w:left="12" w:right="2" w:hanging="10"/>
        <w:jc w:val="center"/>
      </w:pPr>
      <w:r>
        <w:rPr>
          <w:rFonts w:ascii="Arial" w:eastAsia="Arial" w:hAnsi="Arial" w:cs="Arial"/>
          <w:b/>
          <w:sz w:val="18"/>
        </w:rPr>
        <w:t>Sospensione dell’atto impugnato</w:t>
      </w:r>
    </w:p>
    <w:p w14:paraId="468EA43A" w14:textId="77777777" w:rsidR="00B32EF2" w:rsidRDefault="00000000">
      <w:pPr>
        <w:numPr>
          <w:ilvl w:val="0"/>
          <w:numId w:val="91"/>
        </w:numPr>
        <w:spacing w:after="4" w:line="254" w:lineRule="auto"/>
        <w:ind w:right="10" w:hanging="10"/>
        <w:jc w:val="both"/>
      </w:pPr>
      <w:r>
        <w:rPr>
          <w:rFonts w:ascii="Arial" w:eastAsia="Arial" w:hAnsi="Arial" w:cs="Arial"/>
          <w:sz w:val="18"/>
        </w:rPr>
        <w:t xml:space="preserve">Il ricorrente, se dall’atto impugnato può derivargli un danno grave </w:t>
      </w:r>
      <w:proofErr w:type="spellStart"/>
      <w:r>
        <w:rPr>
          <w:rFonts w:ascii="Arial" w:eastAsia="Arial" w:hAnsi="Arial" w:cs="Arial"/>
          <w:sz w:val="18"/>
        </w:rPr>
        <w:t>edirreparabile</w:t>
      </w:r>
      <w:proofErr w:type="spellEnd"/>
      <w:r>
        <w:rPr>
          <w:rFonts w:ascii="Arial" w:eastAsia="Arial" w:hAnsi="Arial" w:cs="Arial"/>
          <w:sz w:val="18"/>
        </w:rPr>
        <w:t>, può chiedere alla corte di giustizia tributaria di primo o di secondo grado presso la quale è pendente il giudizio, ovvero adita ai sensi dell’articolo 62-bis la sospensione dell’esecuzione dell’atto stesso con istanza motivata proposta nel ricorso o con atto separato notificata alle altre parti e depositato in segreteria sempre che siano osservate le disposizioni di cui all’ art. 22.</w:t>
      </w:r>
    </w:p>
    <w:p w14:paraId="693F1E62" w14:textId="77777777" w:rsidR="00B32EF2" w:rsidRDefault="00000000">
      <w:pPr>
        <w:numPr>
          <w:ilvl w:val="0"/>
          <w:numId w:val="91"/>
        </w:numPr>
        <w:spacing w:after="4" w:line="254" w:lineRule="auto"/>
        <w:ind w:right="10" w:hanging="10"/>
        <w:jc w:val="both"/>
      </w:pPr>
      <w:r>
        <w:rPr>
          <w:rFonts w:ascii="Arial" w:eastAsia="Arial" w:hAnsi="Arial" w:cs="Arial"/>
          <w:sz w:val="18"/>
        </w:rPr>
        <w:t xml:space="preserve">Il presidente fissa con decreto la trattazione della istanza di </w:t>
      </w:r>
      <w:proofErr w:type="spellStart"/>
      <w:r>
        <w:rPr>
          <w:rFonts w:ascii="Arial" w:eastAsia="Arial" w:hAnsi="Arial" w:cs="Arial"/>
          <w:sz w:val="18"/>
        </w:rPr>
        <w:t>sospensioneper</w:t>
      </w:r>
      <w:proofErr w:type="spellEnd"/>
      <w:r>
        <w:rPr>
          <w:rFonts w:ascii="Arial" w:eastAsia="Arial" w:hAnsi="Arial" w:cs="Arial"/>
          <w:sz w:val="18"/>
        </w:rPr>
        <w:t xml:space="preserve"> la prima camera di consiglio utile e comunque non oltre il trentesimo giorno dalla presentazione della medesima istanza, disponendo che ne sia data comunicazione alle parti almeno cinque giorni liberi prima. </w:t>
      </w:r>
      <w:r>
        <w:rPr>
          <w:rFonts w:ascii="Arial" w:eastAsia="Arial" w:hAnsi="Arial" w:cs="Arial"/>
          <w:sz w:val="18"/>
        </w:rPr>
        <w:lastRenderedPageBreak/>
        <w:t>L’udienza di trattazione dell’istanza di sospensione non può, in ogni caso, coincidere con l’udienza di trattazione del merito della controversia.</w:t>
      </w:r>
    </w:p>
    <w:p w14:paraId="357D8339" w14:textId="77777777" w:rsidR="00B32EF2" w:rsidRDefault="00000000">
      <w:pPr>
        <w:numPr>
          <w:ilvl w:val="0"/>
          <w:numId w:val="91"/>
        </w:numPr>
        <w:spacing w:after="4" w:line="254" w:lineRule="auto"/>
        <w:ind w:right="10" w:hanging="10"/>
        <w:jc w:val="both"/>
      </w:pPr>
      <w:r>
        <w:rPr>
          <w:rFonts w:ascii="Arial" w:eastAsia="Arial" w:hAnsi="Arial" w:cs="Arial"/>
          <w:sz w:val="18"/>
        </w:rPr>
        <w:t xml:space="preserve">In caso di eccezionale urgenza il presidente, previa delibazione del </w:t>
      </w:r>
      <w:proofErr w:type="spellStart"/>
      <w:r>
        <w:rPr>
          <w:rFonts w:ascii="Arial" w:eastAsia="Arial" w:hAnsi="Arial" w:cs="Arial"/>
          <w:sz w:val="18"/>
        </w:rPr>
        <w:t>merito,può</w:t>
      </w:r>
      <w:proofErr w:type="spellEnd"/>
      <w:r>
        <w:rPr>
          <w:rFonts w:ascii="Arial" w:eastAsia="Arial" w:hAnsi="Arial" w:cs="Arial"/>
          <w:sz w:val="18"/>
        </w:rPr>
        <w:t xml:space="preserve"> disporre con decreto motivato la provvisoria sospensione dell’esecuzione fino alla pronuncia del collegio o del giudice monocratico.</w:t>
      </w:r>
    </w:p>
    <w:p w14:paraId="2B1FF195" w14:textId="77777777" w:rsidR="00B32EF2" w:rsidRDefault="00000000">
      <w:pPr>
        <w:numPr>
          <w:ilvl w:val="0"/>
          <w:numId w:val="91"/>
        </w:numPr>
        <w:spacing w:after="4" w:line="254" w:lineRule="auto"/>
        <w:ind w:right="10" w:hanging="10"/>
        <w:jc w:val="both"/>
      </w:pPr>
      <w:r>
        <w:rPr>
          <w:rFonts w:ascii="Arial" w:eastAsia="Arial" w:hAnsi="Arial" w:cs="Arial"/>
          <w:sz w:val="18"/>
        </w:rPr>
        <w:t xml:space="preserve">Il collegio o il giudice monocratico, sentite le parti in camera di consiglio </w:t>
      </w:r>
      <w:proofErr w:type="spellStart"/>
      <w:r>
        <w:rPr>
          <w:rFonts w:ascii="Arial" w:eastAsia="Arial" w:hAnsi="Arial" w:cs="Arial"/>
          <w:sz w:val="18"/>
        </w:rPr>
        <w:t>edelibato</w:t>
      </w:r>
      <w:proofErr w:type="spellEnd"/>
      <w:r>
        <w:rPr>
          <w:rFonts w:ascii="Arial" w:eastAsia="Arial" w:hAnsi="Arial" w:cs="Arial"/>
          <w:sz w:val="18"/>
        </w:rPr>
        <w:t xml:space="preserve"> il merito, provvede con ordinanza motivata nella stessa udienza di trattazione dell’istanza. L’ordinanza è immediatamente comunicata alle parti. L’ordinanza cautelare collegiale è impugnabile innanzi alla corte di giustizia tributaria di secondo grado entro il termine perentorio di quindici giorni dalla sua comunicazione da parte della segreteria. Al procedimento si applicano le disposizioni di cui ai commi 2, 3 e 4, in quanto compatibili. L’ordinanza cautelare del giudice monocratico è impugnabile solo con reclamo innanzi alla medesima corte di giustizia tributaria di primo grado in composizione collegiale, da notificare alle altre parti costituite nel termine perentorio di quindici giorni dalla sua comunicazione da parte della segreteria. Al procedimento d’impugnazione si applicano le norme di cui ai commi 2, 3, 4, 5 e 6, in quanto compatibili, e l’ordinanza che decide sul reclamo non è impugnabile. L’ordinanza cautelare della corte di giustizia tributaria di secondo grado non è impugnabile.</w:t>
      </w:r>
    </w:p>
    <w:p w14:paraId="0383ACBC" w14:textId="77777777" w:rsidR="00B32EF2" w:rsidRDefault="00000000">
      <w:pPr>
        <w:numPr>
          <w:ilvl w:val="0"/>
          <w:numId w:val="91"/>
        </w:numPr>
        <w:spacing w:after="4" w:line="254" w:lineRule="auto"/>
        <w:ind w:right="10" w:hanging="10"/>
        <w:jc w:val="both"/>
      </w:pPr>
      <w:r>
        <w:rPr>
          <w:rFonts w:ascii="Arial" w:eastAsia="Arial" w:hAnsi="Arial" w:cs="Arial"/>
          <w:sz w:val="18"/>
        </w:rPr>
        <w:t xml:space="preserve">La sospensione può anche essere parziale e subordinata alla </w:t>
      </w:r>
      <w:proofErr w:type="spellStart"/>
      <w:r>
        <w:rPr>
          <w:rFonts w:ascii="Arial" w:eastAsia="Arial" w:hAnsi="Arial" w:cs="Arial"/>
          <w:sz w:val="18"/>
        </w:rPr>
        <w:t>prestazionedella</w:t>
      </w:r>
      <w:proofErr w:type="spellEnd"/>
      <w:r>
        <w:rPr>
          <w:rFonts w:ascii="Arial" w:eastAsia="Arial" w:hAnsi="Arial" w:cs="Arial"/>
          <w:sz w:val="18"/>
        </w:rPr>
        <w:t xml:space="preserve"> garanzia di cui all’articolo 69, comma 2. La prestazione della garanzia è esclusa per i ricorrenti con “bollino di affidabilità fiscale”. Ai fini della disposizione di cui al periodo precedente, i ricorrenti con “bollino di affidabilità fiscale” sono i contribuenti soggetti alla disciplina di cui all’ articolo 9-bis del decreto-legge 24 aprile 2017, n. 50, convertito, con modificazioni, dalla legge 21 giugno 2017, n. 96, ai quali sia stato attribuito un punteggio di affidabilità pari ad almeno 9 negli ultimi tre periodi d’imposta precedenti a quello di proposizione del ricorso per i quali tali punteggi siano disponibili.</w:t>
      </w:r>
    </w:p>
    <w:p w14:paraId="6D866656" w14:textId="77777777" w:rsidR="00B32EF2" w:rsidRDefault="00000000">
      <w:pPr>
        <w:spacing w:after="4" w:line="254" w:lineRule="auto"/>
        <w:ind w:left="-4" w:right="10" w:hanging="10"/>
        <w:jc w:val="both"/>
      </w:pPr>
      <w:r>
        <w:rPr>
          <w:rFonts w:ascii="Arial" w:eastAsia="Arial" w:hAnsi="Arial" w:cs="Arial"/>
          <w:sz w:val="18"/>
        </w:rPr>
        <w:t>5-bis. Abrogato.</w:t>
      </w:r>
    </w:p>
    <w:p w14:paraId="5810DA5E" w14:textId="77777777" w:rsidR="00B32EF2" w:rsidRDefault="00000000">
      <w:pPr>
        <w:numPr>
          <w:ilvl w:val="0"/>
          <w:numId w:val="91"/>
        </w:numPr>
        <w:spacing w:after="4" w:line="254" w:lineRule="auto"/>
        <w:ind w:right="10" w:hanging="10"/>
        <w:jc w:val="both"/>
      </w:pPr>
      <w:r>
        <w:rPr>
          <w:rFonts w:ascii="Arial" w:eastAsia="Arial" w:hAnsi="Arial" w:cs="Arial"/>
          <w:sz w:val="18"/>
        </w:rPr>
        <w:t xml:space="preserve">Nei casi di sospensione dell’atto impugnato la trattazione della </w:t>
      </w:r>
      <w:proofErr w:type="spellStart"/>
      <w:r>
        <w:rPr>
          <w:rFonts w:ascii="Arial" w:eastAsia="Arial" w:hAnsi="Arial" w:cs="Arial"/>
          <w:sz w:val="18"/>
        </w:rPr>
        <w:t>controversiadeve</w:t>
      </w:r>
      <w:proofErr w:type="spellEnd"/>
      <w:r>
        <w:rPr>
          <w:rFonts w:ascii="Arial" w:eastAsia="Arial" w:hAnsi="Arial" w:cs="Arial"/>
          <w:sz w:val="18"/>
        </w:rPr>
        <w:t xml:space="preserve"> essere fissata non oltre novanta giorni dalla pronuncia.</w:t>
      </w:r>
    </w:p>
    <w:p w14:paraId="19961BFF" w14:textId="77777777" w:rsidR="00B32EF2" w:rsidRDefault="00000000">
      <w:pPr>
        <w:numPr>
          <w:ilvl w:val="0"/>
          <w:numId w:val="91"/>
        </w:numPr>
        <w:spacing w:after="4" w:line="254" w:lineRule="auto"/>
        <w:ind w:right="10" w:hanging="10"/>
        <w:jc w:val="both"/>
      </w:pPr>
      <w:r>
        <w:rPr>
          <w:rFonts w:ascii="Arial" w:eastAsia="Arial" w:hAnsi="Arial" w:cs="Arial"/>
          <w:sz w:val="18"/>
        </w:rPr>
        <w:t xml:space="preserve">Gli effetti della sospensione cessano dalla data di pubblicazione </w:t>
      </w:r>
      <w:proofErr w:type="spellStart"/>
      <w:r>
        <w:rPr>
          <w:rFonts w:ascii="Arial" w:eastAsia="Arial" w:hAnsi="Arial" w:cs="Arial"/>
          <w:sz w:val="18"/>
        </w:rPr>
        <w:t>dellasentenza</w:t>
      </w:r>
      <w:proofErr w:type="spellEnd"/>
      <w:r>
        <w:rPr>
          <w:rFonts w:ascii="Arial" w:eastAsia="Arial" w:hAnsi="Arial" w:cs="Arial"/>
          <w:sz w:val="18"/>
        </w:rPr>
        <w:t>.</w:t>
      </w:r>
    </w:p>
    <w:p w14:paraId="2EBCC2EE" w14:textId="77777777" w:rsidR="00B32EF2" w:rsidRDefault="00000000">
      <w:pPr>
        <w:numPr>
          <w:ilvl w:val="0"/>
          <w:numId w:val="91"/>
        </w:numPr>
        <w:spacing w:after="129" w:line="254" w:lineRule="auto"/>
        <w:ind w:right="10" w:hanging="10"/>
        <w:jc w:val="both"/>
      </w:pPr>
      <w:r>
        <w:rPr>
          <w:rFonts w:ascii="Arial" w:eastAsia="Arial" w:hAnsi="Arial" w:cs="Arial"/>
          <w:sz w:val="18"/>
        </w:rPr>
        <w:t xml:space="preserve">In caso di mutamento delle circostanze la corte di giustizia tributaria di </w:t>
      </w:r>
      <w:proofErr w:type="spellStart"/>
      <w:r>
        <w:rPr>
          <w:rFonts w:ascii="Arial" w:eastAsia="Arial" w:hAnsi="Arial" w:cs="Arial"/>
          <w:sz w:val="18"/>
        </w:rPr>
        <w:t>primoo</w:t>
      </w:r>
      <w:proofErr w:type="spellEnd"/>
      <w:r>
        <w:rPr>
          <w:rFonts w:ascii="Arial" w:eastAsia="Arial" w:hAnsi="Arial" w:cs="Arial"/>
          <w:sz w:val="18"/>
        </w:rPr>
        <w:t xml:space="preserve"> di secondo grado presso la quale è pendente il giudizio su istanza motivata di parte può revocare o modificare il provvedimento cautelare prima della sentenza, osservate per quanto possibile le forme di cui ai commi 1, 2 e 4. 8-bis. Durante il periodo di sospensione cautelare si applicano gli interessi al tasso previsto per la sospensione amministrativa.</w:t>
      </w:r>
    </w:p>
    <w:p w14:paraId="1A8EEE45" w14:textId="77777777" w:rsidR="00B32EF2" w:rsidRDefault="00000000">
      <w:pPr>
        <w:pStyle w:val="Titolo3"/>
        <w:ind w:left="129" w:right="60"/>
      </w:pPr>
      <w:r>
        <w:t>NORME RICHIAMATE</w:t>
      </w:r>
    </w:p>
    <w:p w14:paraId="78577D51"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298" w:line="251" w:lineRule="auto"/>
        <w:ind w:left="129" w:right="60" w:hanging="10"/>
        <w:jc w:val="both"/>
      </w:pPr>
      <w:r>
        <w:rPr>
          <w:rFonts w:ascii="Arial" w:eastAsia="Arial" w:hAnsi="Arial" w:cs="Arial"/>
          <w:i/>
          <w:sz w:val="18"/>
        </w:rPr>
        <w:t>art. 9-bis D.L. 50/2017 “Indici sintetici di affidabilità fiscale”.</w:t>
      </w:r>
    </w:p>
    <w:p w14:paraId="4F6F8BBA" w14:textId="77777777" w:rsidR="00B32EF2" w:rsidRDefault="00000000">
      <w:pPr>
        <w:spacing w:after="0" w:line="261" w:lineRule="auto"/>
        <w:ind w:left="12" w:right="3" w:hanging="10"/>
        <w:jc w:val="center"/>
      </w:pPr>
      <w:r>
        <w:rPr>
          <w:rFonts w:ascii="Arial" w:eastAsia="Arial" w:hAnsi="Arial" w:cs="Arial"/>
          <w:b/>
          <w:sz w:val="18"/>
        </w:rPr>
        <w:lastRenderedPageBreak/>
        <w:t>Articolo 47-bis</w:t>
      </w:r>
    </w:p>
    <w:p w14:paraId="05504FCA" w14:textId="77777777" w:rsidR="00B32EF2" w:rsidRDefault="00000000">
      <w:pPr>
        <w:spacing w:after="3" w:line="251" w:lineRule="auto"/>
        <w:ind w:left="2320" w:right="2311" w:hanging="10"/>
        <w:jc w:val="center"/>
      </w:pPr>
      <w:r>
        <w:rPr>
          <w:rFonts w:ascii="Arial" w:eastAsia="Arial" w:hAnsi="Arial" w:cs="Arial"/>
          <w:i/>
          <w:sz w:val="18"/>
        </w:rPr>
        <w:t>(articolo 97 TUGT)</w:t>
      </w:r>
    </w:p>
    <w:p w14:paraId="7511BD77" w14:textId="77777777" w:rsidR="00B32EF2" w:rsidRDefault="00000000">
      <w:pPr>
        <w:spacing w:after="0" w:line="261" w:lineRule="auto"/>
        <w:ind w:left="12" w:right="2" w:hanging="10"/>
        <w:jc w:val="center"/>
      </w:pPr>
      <w:r>
        <w:rPr>
          <w:rFonts w:ascii="Arial" w:eastAsia="Arial" w:hAnsi="Arial" w:cs="Arial"/>
          <w:b/>
          <w:sz w:val="18"/>
        </w:rPr>
        <w:t xml:space="preserve">Sospensione di atti volti al recupero di aiuti di Stato e definizione delle relative controversie </w:t>
      </w:r>
    </w:p>
    <w:p w14:paraId="449E6A34" w14:textId="77777777" w:rsidR="00B32EF2" w:rsidRDefault="00000000">
      <w:pPr>
        <w:spacing w:after="4" w:line="254" w:lineRule="auto"/>
        <w:ind w:left="-4" w:right="10" w:hanging="10"/>
        <w:jc w:val="both"/>
      </w:pPr>
      <w:r>
        <w:rPr>
          <w:rFonts w:ascii="Arial" w:eastAsia="Arial" w:hAnsi="Arial" w:cs="Arial"/>
          <w:sz w:val="18"/>
        </w:rPr>
        <w:t>1. Qualora sia chiesta in via cautelare la sospensione dell’esecuzione di un atto volto al recupero di aiuti di Stato dichiarati incompatibili in esecuzione di una decisione adottata dalla Commissione europea ai sensi dell’articolo 14 del regolamento (CE) n. 659/1999 del Consiglio, del 22 marzo 1999, di seguito denominata: “decisione di recupero”, la corte di giustizia tributaria di primo grado può concedere la sospensione dell’efficacia del titolo di pagamento conseguente a detta decisione se ricorrono cumulativamente le seguenti condizioni:</w:t>
      </w:r>
    </w:p>
    <w:p w14:paraId="0C5D1CFE" w14:textId="77777777" w:rsidR="00B32EF2" w:rsidRDefault="00000000">
      <w:pPr>
        <w:numPr>
          <w:ilvl w:val="0"/>
          <w:numId w:val="92"/>
        </w:numPr>
        <w:spacing w:after="4" w:line="254" w:lineRule="auto"/>
        <w:ind w:right="10" w:hanging="201"/>
        <w:jc w:val="both"/>
      </w:pPr>
      <w:r>
        <w:rPr>
          <w:rFonts w:ascii="Arial" w:eastAsia="Arial" w:hAnsi="Arial" w:cs="Arial"/>
          <w:sz w:val="18"/>
        </w:rPr>
        <w:t xml:space="preserve">gravi motivi di illegittimità della decisione di recupero, ovvero </w:t>
      </w:r>
      <w:proofErr w:type="spellStart"/>
      <w:r>
        <w:rPr>
          <w:rFonts w:ascii="Arial" w:eastAsia="Arial" w:hAnsi="Arial" w:cs="Arial"/>
          <w:sz w:val="18"/>
        </w:rPr>
        <w:t>evidenteerrore</w:t>
      </w:r>
      <w:proofErr w:type="spellEnd"/>
      <w:r>
        <w:rPr>
          <w:rFonts w:ascii="Arial" w:eastAsia="Arial" w:hAnsi="Arial" w:cs="Arial"/>
          <w:sz w:val="18"/>
        </w:rPr>
        <w:t xml:space="preserve"> nella individuazione del soggetto tenuto alla restituzione dell’aiuto di Stato o evidente errore nel calcolo della somma da recuperare e nei limiti di tale errore;</w:t>
      </w:r>
    </w:p>
    <w:p w14:paraId="6B2DF66A" w14:textId="77777777" w:rsidR="00B32EF2" w:rsidRDefault="00000000">
      <w:pPr>
        <w:numPr>
          <w:ilvl w:val="0"/>
          <w:numId w:val="92"/>
        </w:numPr>
        <w:spacing w:after="4" w:line="254" w:lineRule="auto"/>
        <w:ind w:right="10" w:hanging="201"/>
        <w:jc w:val="both"/>
      </w:pPr>
      <w:r>
        <w:rPr>
          <w:rFonts w:ascii="Arial" w:eastAsia="Arial" w:hAnsi="Arial" w:cs="Arial"/>
          <w:sz w:val="18"/>
        </w:rPr>
        <w:t>pericolo di un pregiudizio imminente e irreparabile.</w:t>
      </w:r>
    </w:p>
    <w:p w14:paraId="5D533EE9" w14:textId="77777777" w:rsidR="00B32EF2" w:rsidRDefault="00000000">
      <w:pPr>
        <w:numPr>
          <w:ilvl w:val="0"/>
          <w:numId w:val="93"/>
        </w:numPr>
        <w:spacing w:after="4" w:line="254" w:lineRule="auto"/>
        <w:ind w:right="10" w:hanging="10"/>
        <w:jc w:val="both"/>
      </w:pPr>
      <w:r>
        <w:rPr>
          <w:rFonts w:ascii="Arial" w:eastAsia="Arial" w:hAnsi="Arial" w:cs="Arial"/>
          <w:sz w:val="18"/>
        </w:rPr>
        <w:t xml:space="preserve">Qualora la sospensione si fondi su motivi attinenti alla illegittimità </w:t>
      </w:r>
      <w:proofErr w:type="spellStart"/>
      <w:r>
        <w:rPr>
          <w:rFonts w:ascii="Arial" w:eastAsia="Arial" w:hAnsi="Arial" w:cs="Arial"/>
          <w:sz w:val="18"/>
        </w:rPr>
        <w:t>delladecisione</w:t>
      </w:r>
      <w:proofErr w:type="spellEnd"/>
      <w:r>
        <w:rPr>
          <w:rFonts w:ascii="Arial" w:eastAsia="Arial" w:hAnsi="Arial" w:cs="Arial"/>
          <w:sz w:val="18"/>
        </w:rPr>
        <w:t xml:space="preserve"> di recupero la corte di giustizia tributaria di primo grado provvede con separata ordinanza alla sospensione del giudizio e all’immediato rinvio pregiudiziale della questione alla Corte di giustizia delle Comunità europee, con richiesta di trattazione d’urgenza ai sensi dell’articolo 104-ter del regolamento di procedura della Corte di giustizia del 19 giugno 1991, pubblicato nella Gazzetta Ufficiale delle Comunità europee n. L 176 del 4 luglio 1991,e successive modificazioni, se ad essa non sia stata già deferita la questione di validità dell’atto comunitario contestato. Non può, in ogni caso, essere accolta l’istanza di sospensione dell’atto impugnato per motivi attinenti alla legittimità della decisione di recupero quando la parte istante, pur avendone facoltà </w:t>
      </w:r>
      <w:proofErr w:type="spellStart"/>
      <w:r>
        <w:rPr>
          <w:rFonts w:ascii="Arial" w:eastAsia="Arial" w:hAnsi="Arial" w:cs="Arial"/>
          <w:sz w:val="18"/>
        </w:rPr>
        <w:t>perchè</w:t>
      </w:r>
      <w:proofErr w:type="spellEnd"/>
      <w:r>
        <w:rPr>
          <w:rFonts w:ascii="Arial" w:eastAsia="Arial" w:hAnsi="Arial" w:cs="Arial"/>
          <w:sz w:val="18"/>
        </w:rPr>
        <w:t xml:space="preserve"> individuata o chiaramente individuabile, non abbia proposto impugnazione avverso la decisione di recupero ai sensi dell’articolo 230 del Trattato istitutivo della Comunità europea, e successive modificazioni, ovvero quando, avendo proposto l’impugnazione, non abbia richiesto la sospensione della decisione di recupero ai sensi dell’articolo 242 del Trattato medesimo ovvero l’abbia richiesta e la sospensione non sia stata concessa.</w:t>
      </w:r>
    </w:p>
    <w:p w14:paraId="5DA15AF7" w14:textId="77777777" w:rsidR="00B32EF2" w:rsidRDefault="00000000">
      <w:pPr>
        <w:numPr>
          <w:ilvl w:val="0"/>
          <w:numId w:val="93"/>
        </w:numPr>
        <w:spacing w:after="4" w:line="254" w:lineRule="auto"/>
        <w:ind w:right="10" w:hanging="10"/>
        <w:jc w:val="both"/>
      </w:pPr>
      <w:r>
        <w:rPr>
          <w:rFonts w:ascii="Arial" w:eastAsia="Arial" w:hAnsi="Arial" w:cs="Arial"/>
          <w:sz w:val="18"/>
        </w:rPr>
        <w:t xml:space="preserve">Fermi restando i presupposti di cui ai commi 1 e 2, si applicano le </w:t>
      </w:r>
      <w:proofErr w:type="spellStart"/>
      <w:r>
        <w:rPr>
          <w:rFonts w:ascii="Arial" w:eastAsia="Arial" w:hAnsi="Arial" w:cs="Arial"/>
          <w:sz w:val="18"/>
        </w:rPr>
        <w:t>disposizionidi</w:t>
      </w:r>
      <w:proofErr w:type="spellEnd"/>
      <w:r>
        <w:rPr>
          <w:rFonts w:ascii="Arial" w:eastAsia="Arial" w:hAnsi="Arial" w:cs="Arial"/>
          <w:sz w:val="18"/>
        </w:rPr>
        <w:t xml:space="preserve"> cui ai commi 1, 2, 4, 5, 7 e 8 dell’articolo 47; ai fini dell’applicazione del comma 8 rileva anche il mutamento del diritto comunitario.</w:t>
      </w:r>
    </w:p>
    <w:p w14:paraId="122BAC45" w14:textId="77777777" w:rsidR="00B32EF2" w:rsidRDefault="00000000">
      <w:pPr>
        <w:numPr>
          <w:ilvl w:val="0"/>
          <w:numId w:val="93"/>
        </w:numPr>
        <w:spacing w:after="4" w:line="254" w:lineRule="auto"/>
        <w:ind w:right="10" w:hanging="10"/>
        <w:jc w:val="both"/>
      </w:pPr>
      <w:r>
        <w:rPr>
          <w:rFonts w:ascii="Arial" w:eastAsia="Arial" w:hAnsi="Arial" w:cs="Arial"/>
          <w:sz w:val="18"/>
        </w:rPr>
        <w:t xml:space="preserve">Le controversie relative agli atti di cui al comma 1 sono definite, nel </w:t>
      </w:r>
      <w:proofErr w:type="spellStart"/>
      <w:r>
        <w:rPr>
          <w:rFonts w:ascii="Arial" w:eastAsia="Arial" w:hAnsi="Arial" w:cs="Arial"/>
          <w:sz w:val="18"/>
        </w:rPr>
        <w:t>merito,nel</w:t>
      </w:r>
      <w:proofErr w:type="spellEnd"/>
      <w:r>
        <w:rPr>
          <w:rFonts w:ascii="Arial" w:eastAsia="Arial" w:hAnsi="Arial" w:cs="Arial"/>
          <w:sz w:val="18"/>
        </w:rPr>
        <w:t xml:space="preserve"> termine di sessanta giorni dalla pronuncia dell’ordinanza di sospensione di cui al medesimo comma 1. Alla scadenza del termine di sessanta giorni dall’emanazione dell’ordinanza di sospensione, il provvedimento perde comunque efficacia, salvo che la corte di giustizia </w:t>
      </w:r>
      <w:r>
        <w:rPr>
          <w:rFonts w:ascii="Arial" w:eastAsia="Arial" w:hAnsi="Arial" w:cs="Arial"/>
          <w:sz w:val="18"/>
        </w:rPr>
        <w:lastRenderedPageBreak/>
        <w:t>tributaria di primo grado entro il medesimo termine riesamini, su istanza di parte, l’ordinanza di sospensione e ne disponga la conferma, anche parziale, sulla base dei presupposti di cui ai commi 1 e 2, fissando comunque un termine di efficacia, non prorogabile, non superiore a sessanta giorni. Non si applica la disciplina sulla sospensione feriale dei termini. Nel caso di rinvio pregiudiziale il termine di cui al primo periodo è sospeso dal giorno del deposito dell’ordinanza di rinvio e riprende a decorrere dalla data della trasmissione della decisione della Corte di giustizia delle Comunità europee.</w:t>
      </w:r>
    </w:p>
    <w:p w14:paraId="307C942E" w14:textId="77777777" w:rsidR="00B32EF2" w:rsidRDefault="00000000">
      <w:pPr>
        <w:numPr>
          <w:ilvl w:val="0"/>
          <w:numId w:val="93"/>
        </w:numPr>
        <w:spacing w:after="4" w:line="254" w:lineRule="auto"/>
        <w:ind w:right="10" w:hanging="10"/>
        <w:jc w:val="both"/>
      </w:pPr>
      <w:r>
        <w:rPr>
          <w:rFonts w:ascii="Arial" w:eastAsia="Arial" w:hAnsi="Arial" w:cs="Arial"/>
          <w:sz w:val="18"/>
        </w:rPr>
        <w:t xml:space="preserve">Le controversie relative agli atti di cui al comma 1 sono discusse in </w:t>
      </w:r>
      <w:proofErr w:type="spellStart"/>
      <w:r>
        <w:rPr>
          <w:rFonts w:ascii="Arial" w:eastAsia="Arial" w:hAnsi="Arial" w:cs="Arial"/>
          <w:sz w:val="18"/>
        </w:rPr>
        <w:t>pubblicaudienza</w:t>
      </w:r>
      <w:proofErr w:type="spellEnd"/>
      <w:r>
        <w:rPr>
          <w:rFonts w:ascii="Arial" w:eastAsia="Arial" w:hAnsi="Arial" w:cs="Arial"/>
          <w:sz w:val="18"/>
        </w:rPr>
        <w:t xml:space="preserve"> e, subito dopo la discussione, il Collegio giudicante delibera la decisione in camera di consiglio. Il Presidente redige e sottoscrive il dispositivo e ne dà lettura in udienza, a pena di nullità.</w:t>
      </w:r>
    </w:p>
    <w:p w14:paraId="364D7CA2" w14:textId="77777777" w:rsidR="00B32EF2" w:rsidRDefault="00000000">
      <w:pPr>
        <w:numPr>
          <w:ilvl w:val="0"/>
          <w:numId w:val="93"/>
        </w:numPr>
        <w:spacing w:after="4" w:line="254" w:lineRule="auto"/>
        <w:ind w:right="10" w:hanging="10"/>
        <w:jc w:val="both"/>
      </w:pPr>
      <w:r>
        <w:rPr>
          <w:rFonts w:ascii="Arial" w:eastAsia="Arial" w:hAnsi="Arial" w:cs="Arial"/>
          <w:sz w:val="18"/>
        </w:rPr>
        <w:t xml:space="preserve">La sentenza è depositata nella segreteria della corte di giustizia </w:t>
      </w:r>
      <w:proofErr w:type="spellStart"/>
      <w:r>
        <w:rPr>
          <w:rFonts w:ascii="Arial" w:eastAsia="Arial" w:hAnsi="Arial" w:cs="Arial"/>
          <w:sz w:val="18"/>
        </w:rPr>
        <w:t>tributariadi</w:t>
      </w:r>
      <w:proofErr w:type="spellEnd"/>
      <w:r>
        <w:rPr>
          <w:rFonts w:ascii="Arial" w:eastAsia="Arial" w:hAnsi="Arial" w:cs="Arial"/>
          <w:sz w:val="18"/>
        </w:rPr>
        <w:t xml:space="preserve"> primo grado entro quindici giorni dalla lettura del dispositivo. Il segretario fa risultare l’avvenuto deposito apponendo sulla sentenza la propria firma e la data e ne dà immediata comunicazione alle parti.</w:t>
      </w:r>
    </w:p>
    <w:p w14:paraId="55B3171C" w14:textId="77777777" w:rsidR="00B32EF2" w:rsidRDefault="00000000">
      <w:pPr>
        <w:numPr>
          <w:ilvl w:val="0"/>
          <w:numId w:val="93"/>
        </w:numPr>
        <w:spacing w:after="138" w:line="254" w:lineRule="auto"/>
        <w:ind w:right="10" w:hanging="10"/>
        <w:jc w:val="both"/>
      </w:pPr>
      <w:r>
        <w:rPr>
          <w:rFonts w:ascii="Arial" w:eastAsia="Arial" w:hAnsi="Arial" w:cs="Arial"/>
          <w:sz w:val="18"/>
        </w:rPr>
        <w:t xml:space="preserve">In caso di impugnazione della sentenza pronunciata sul ricorso avverso </w:t>
      </w:r>
      <w:proofErr w:type="spellStart"/>
      <w:r>
        <w:rPr>
          <w:rFonts w:ascii="Arial" w:eastAsia="Arial" w:hAnsi="Arial" w:cs="Arial"/>
          <w:sz w:val="18"/>
        </w:rPr>
        <w:t>unodegli</w:t>
      </w:r>
      <w:proofErr w:type="spellEnd"/>
      <w:r>
        <w:rPr>
          <w:rFonts w:ascii="Arial" w:eastAsia="Arial" w:hAnsi="Arial" w:cs="Arial"/>
          <w:sz w:val="18"/>
        </w:rPr>
        <w:t xml:space="preserve"> atti di cui al comma 1, tutti i termini del giudizio di appello davanti alla corte di giustizia tributaria di secondo grado, ad eccezione di quello stabilito per la proposizione del ricorso, sono ridotti alla metà. Nel processo di appello le controversie relative agli atti di cui al comma 1 hanno priorità assoluta nella trattazione. Si applicano le disposizioni di cui ai commi 4, terzo e quarto periodo, 5 e 6.</w:t>
      </w:r>
    </w:p>
    <w:p w14:paraId="528A7938" w14:textId="77777777" w:rsidR="00B32EF2" w:rsidRDefault="00000000">
      <w:pPr>
        <w:pStyle w:val="Titolo3"/>
        <w:ind w:left="129" w:right="60"/>
      </w:pPr>
      <w:r>
        <w:t>NORME RICHIAMATE</w:t>
      </w:r>
    </w:p>
    <w:p w14:paraId="25593056"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291" w:line="251" w:lineRule="auto"/>
        <w:ind w:left="129" w:right="60" w:hanging="10"/>
        <w:jc w:val="both"/>
      </w:pPr>
      <w:r>
        <w:rPr>
          <w:rFonts w:ascii="Arial" w:eastAsia="Arial" w:hAnsi="Arial" w:cs="Arial"/>
          <w:i/>
          <w:sz w:val="18"/>
        </w:rPr>
        <w:t xml:space="preserve">art. 14 del regolamento (CE) n. 659/1999 “Recupero degli aiuti.” art. 104-ter del regolamento di procedura della Corte di giustizia del 19 giugno 1991 </w:t>
      </w:r>
    </w:p>
    <w:p w14:paraId="69A028A9" w14:textId="77777777" w:rsidR="00B32EF2" w:rsidRDefault="00000000">
      <w:pPr>
        <w:spacing w:after="0" w:line="261" w:lineRule="auto"/>
        <w:ind w:left="12" w:right="3" w:hanging="10"/>
        <w:jc w:val="center"/>
      </w:pPr>
      <w:r>
        <w:rPr>
          <w:rFonts w:ascii="Arial" w:eastAsia="Arial" w:hAnsi="Arial" w:cs="Arial"/>
          <w:b/>
          <w:sz w:val="18"/>
        </w:rPr>
        <w:t>Introdotto dal D.lgs. 220/2023</w:t>
      </w:r>
    </w:p>
    <w:p w14:paraId="4044B7EE" w14:textId="77777777" w:rsidR="00B32EF2" w:rsidRDefault="00000000">
      <w:pPr>
        <w:spacing w:after="0" w:line="261" w:lineRule="auto"/>
        <w:ind w:left="12" w:right="2" w:hanging="10"/>
        <w:jc w:val="center"/>
      </w:pPr>
      <w:r>
        <w:rPr>
          <w:rFonts w:ascii="Arial" w:eastAsia="Arial" w:hAnsi="Arial" w:cs="Arial"/>
          <w:b/>
          <w:sz w:val="18"/>
        </w:rPr>
        <w:t>Per i giudizi instaurati con ricorso notificato a decorrere dal 5.1.24 Articolo 47-ter</w:t>
      </w:r>
    </w:p>
    <w:p w14:paraId="27510BD1" w14:textId="77777777" w:rsidR="00B32EF2" w:rsidRDefault="00000000">
      <w:pPr>
        <w:spacing w:after="3" w:line="251" w:lineRule="auto"/>
        <w:ind w:left="2320" w:right="2311" w:hanging="10"/>
        <w:jc w:val="center"/>
      </w:pPr>
      <w:r>
        <w:rPr>
          <w:rFonts w:ascii="Arial" w:eastAsia="Arial" w:hAnsi="Arial" w:cs="Arial"/>
          <w:i/>
          <w:sz w:val="18"/>
        </w:rPr>
        <w:t>(articolo 98 TUGT)</w:t>
      </w:r>
    </w:p>
    <w:p w14:paraId="6B3F090B" w14:textId="77777777" w:rsidR="00B32EF2" w:rsidRDefault="00000000">
      <w:pPr>
        <w:spacing w:after="4" w:line="254" w:lineRule="auto"/>
        <w:ind w:left="-14" w:right="10" w:firstLine="447"/>
        <w:jc w:val="both"/>
      </w:pPr>
      <w:r>
        <w:rPr>
          <w:rFonts w:ascii="Arial" w:eastAsia="Arial" w:hAnsi="Arial" w:cs="Arial"/>
          <w:b/>
          <w:sz w:val="18"/>
        </w:rPr>
        <w:t xml:space="preserve">Definizione del giudizio in esito alla domanda di sospensione </w:t>
      </w:r>
      <w:r>
        <w:rPr>
          <w:rFonts w:ascii="Arial" w:eastAsia="Arial" w:hAnsi="Arial" w:cs="Arial"/>
          <w:sz w:val="18"/>
        </w:rPr>
        <w:t xml:space="preserve">1. Escluso il caso di pronuncia su reclamo, il collegio, in sede di decisione della domanda cautelare, trascorsi almeno venti giorni dall’ultima notificazione del ricorso, accertata la completezza del contraddittorio e dell’istruttoria, sentite sul punto le parti costituite, può definire, in camera di consiglio, il giudizio con sentenza in forma semplificata ai sensi del comma 3, salvo che una delle parti dichiari di voler proporre motivi aggiunti ovvero regolamento di giurisdizione. Ove ne ricorrano i presupposti, il collegio dispone l’integrazione del contraddittorio o il rinvio per consentire la proposizione di motivi aggiunti ovvero </w:t>
      </w:r>
      <w:r>
        <w:rPr>
          <w:rFonts w:ascii="Arial" w:eastAsia="Arial" w:hAnsi="Arial" w:cs="Arial"/>
          <w:sz w:val="18"/>
        </w:rPr>
        <w:lastRenderedPageBreak/>
        <w:t>del regolamento di giurisdizione, fissando contestualmente la data per il prosieguo della trattazione.</w:t>
      </w:r>
    </w:p>
    <w:p w14:paraId="6C4AED12" w14:textId="77777777" w:rsidR="00B32EF2" w:rsidRDefault="00000000">
      <w:pPr>
        <w:numPr>
          <w:ilvl w:val="0"/>
          <w:numId w:val="94"/>
        </w:numPr>
        <w:spacing w:after="4" w:line="254" w:lineRule="auto"/>
        <w:ind w:right="10" w:hanging="10"/>
        <w:jc w:val="both"/>
      </w:pPr>
      <w:r>
        <w:rPr>
          <w:rFonts w:ascii="Arial" w:eastAsia="Arial" w:hAnsi="Arial" w:cs="Arial"/>
          <w:sz w:val="18"/>
        </w:rPr>
        <w:t xml:space="preserve">Le disposizioni del comma 1 si applicano anche quando la </w:t>
      </w:r>
      <w:proofErr w:type="spellStart"/>
      <w:r>
        <w:rPr>
          <w:rFonts w:ascii="Arial" w:eastAsia="Arial" w:hAnsi="Arial" w:cs="Arial"/>
          <w:sz w:val="18"/>
        </w:rPr>
        <w:t>domandacautelare</w:t>
      </w:r>
      <w:proofErr w:type="spellEnd"/>
      <w:r>
        <w:rPr>
          <w:rFonts w:ascii="Arial" w:eastAsia="Arial" w:hAnsi="Arial" w:cs="Arial"/>
          <w:sz w:val="18"/>
        </w:rPr>
        <w:t xml:space="preserve"> è proposta innanzi al giudice monocratico.</w:t>
      </w:r>
    </w:p>
    <w:p w14:paraId="1175B1F8" w14:textId="77777777" w:rsidR="00B32EF2" w:rsidRDefault="00000000">
      <w:pPr>
        <w:numPr>
          <w:ilvl w:val="0"/>
          <w:numId w:val="94"/>
        </w:numPr>
        <w:spacing w:after="4" w:line="254" w:lineRule="auto"/>
        <w:ind w:right="10" w:hanging="10"/>
        <w:jc w:val="both"/>
      </w:pPr>
      <w:r>
        <w:rPr>
          <w:rFonts w:ascii="Arial" w:eastAsia="Arial" w:hAnsi="Arial" w:cs="Arial"/>
          <w:sz w:val="18"/>
        </w:rPr>
        <w:t>Il giudice decide con sentenza in forma semplificata quando ravvisala manifesta fondatezza, inammissibilità, improcedibilità o infondatezza del ricorso. La motivazione della sentenza può consistere in un sintetico riferimento al punto di fatto o di diritto ritenuto risolutivo ovvero, se del caso, a un precedente conforme.</w:t>
      </w:r>
    </w:p>
    <w:tbl>
      <w:tblPr>
        <w:tblStyle w:val="TableGrid"/>
        <w:tblW w:w="6236" w:type="dxa"/>
        <w:tblInd w:w="-9" w:type="dxa"/>
        <w:tblCellMar>
          <w:top w:w="0" w:type="dxa"/>
          <w:left w:w="123" w:type="dxa"/>
          <w:bottom w:w="0" w:type="dxa"/>
          <w:right w:w="124" w:type="dxa"/>
        </w:tblCellMar>
        <w:tblLook w:val="04A0" w:firstRow="1" w:lastRow="0" w:firstColumn="1" w:lastColumn="0" w:noHBand="0" w:noVBand="1"/>
      </w:tblPr>
      <w:tblGrid>
        <w:gridCol w:w="6236"/>
      </w:tblGrid>
      <w:tr w:rsidR="00B32EF2" w14:paraId="42B0FBFB" w14:textId="77777777">
        <w:trPr>
          <w:trHeight w:val="2444"/>
        </w:trPr>
        <w:tc>
          <w:tcPr>
            <w:tcW w:w="6236" w:type="dxa"/>
            <w:tcBorders>
              <w:top w:val="single" w:sz="8" w:space="0" w:color="000000"/>
              <w:left w:val="single" w:sz="8" w:space="0" w:color="000000"/>
              <w:bottom w:val="single" w:sz="8" w:space="0" w:color="000000"/>
              <w:right w:val="single" w:sz="8" w:space="0" w:color="000000"/>
            </w:tcBorders>
            <w:vAlign w:val="center"/>
          </w:tcPr>
          <w:p w14:paraId="6B393642" w14:textId="77777777" w:rsidR="00B32EF2" w:rsidRDefault="00000000">
            <w:pPr>
              <w:spacing w:after="0" w:line="250" w:lineRule="auto"/>
              <w:ind w:left="2515" w:hanging="2171"/>
            </w:pPr>
            <w:r>
              <w:rPr>
                <w:rFonts w:ascii="Arial" w:eastAsia="Arial" w:hAnsi="Arial" w:cs="Arial"/>
                <w:b/>
                <w:sz w:val="18"/>
              </w:rPr>
              <w:t>Per i giudizi instaurati  con ricorso notificato fino al 5.1.24 Articolo 48</w:t>
            </w:r>
          </w:p>
          <w:p w14:paraId="0CE3608A" w14:textId="77777777" w:rsidR="00B32EF2" w:rsidRDefault="00000000">
            <w:pPr>
              <w:spacing w:after="0"/>
              <w:jc w:val="center"/>
            </w:pPr>
            <w:r>
              <w:rPr>
                <w:rFonts w:ascii="Arial" w:eastAsia="Arial" w:hAnsi="Arial" w:cs="Arial"/>
                <w:i/>
                <w:sz w:val="18"/>
              </w:rPr>
              <w:t>(articolo 99 TUGT)</w:t>
            </w:r>
          </w:p>
          <w:p w14:paraId="09FB4A9B" w14:textId="77777777" w:rsidR="00B32EF2" w:rsidRDefault="00000000">
            <w:pPr>
              <w:spacing w:after="0"/>
              <w:jc w:val="center"/>
            </w:pPr>
            <w:r>
              <w:rPr>
                <w:rFonts w:ascii="Arial" w:eastAsia="Arial" w:hAnsi="Arial" w:cs="Arial"/>
                <w:b/>
                <w:sz w:val="18"/>
              </w:rPr>
              <w:t xml:space="preserve">Conciliazione fuori udienza </w:t>
            </w:r>
          </w:p>
          <w:p w14:paraId="0869BFD4" w14:textId="77777777" w:rsidR="00B32EF2" w:rsidRDefault="00000000">
            <w:pPr>
              <w:numPr>
                <w:ilvl w:val="0"/>
                <w:numId w:val="214"/>
              </w:numPr>
              <w:spacing w:after="0" w:line="250" w:lineRule="auto"/>
              <w:jc w:val="both"/>
            </w:pPr>
            <w:r>
              <w:rPr>
                <w:rFonts w:ascii="Arial" w:eastAsia="Arial" w:hAnsi="Arial" w:cs="Arial"/>
                <w:sz w:val="18"/>
              </w:rPr>
              <w:t xml:space="preserve">Se in pendenza del giudizio le parti raggiungono un accordo </w:t>
            </w:r>
            <w:proofErr w:type="spellStart"/>
            <w:r>
              <w:rPr>
                <w:rFonts w:ascii="Arial" w:eastAsia="Arial" w:hAnsi="Arial" w:cs="Arial"/>
                <w:sz w:val="18"/>
              </w:rPr>
              <w:t>conciliativo,presentano</w:t>
            </w:r>
            <w:proofErr w:type="spellEnd"/>
            <w:r>
              <w:rPr>
                <w:rFonts w:ascii="Arial" w:eastAsia="Arial" w:hAnsi="Arial" w:cs="Arial"/>
                <w:sz w:val="18"/>
              </w:rPr>
              <w:t xml:space="preserve"> istanza congiunta sottoscritta personalmente o dai difensori per la definizione totale o parziale della controversia.</w:t>
            </w:r>
          </w:p>
          <w:p w14:paraId="5BF0DF3D" w14:textId="77777777" w:rsidR="00B32EF2" w:rsidRDefault="00000000">
            <w:pPr>
              <w:numPr>
                <w:ilvl w:val="0"/>
                <w:numId w:val="214"/>
              </w:numPr>
              <w:spacing w:after="0"/>
              <w:jc w:val="both"/>
            </w:pPr>
            <w:r>
              <w:rPr>
                <w:rFonts w:ascii="Arial" w:eastAsia="Arial" w:hAnsi="Arial" w:cs="Arial"/>
                <w:sz w:val="18"/>
              </w:rPr>
              <w:t xml:space="preserve">Se la data di trattazione è già fissata e sussistono le condizioni </w:t>
            </w:r>
            <w:proofErr w:type="spellStart"/>
            <w:r>
              <w:rPr>
                <w:rFonts w:ascii="Arial" w:eastAsia="Arial" w:hAnsi="Arial" w:cs="Arial"/>
                <w:sz w:val="18"/>
              </w:rPr>
              <w:t>diammissibilità</w:t>
            </w:r>
            <w:proofErr w:type="spellEnd"/>
            <w:r>
              <w:rPr>
                <w:rFonts w:ascii="Arial" w:eastAsia="Arial" w:hAnsi="Arial" w:cs="Arial"/>
                <w:sz w:val="18"/>
              </w:rPr>
              <w:t>, la commissione pronuncia sentenza di cessazione della materia del contendere. Se l’accordo conciliativo è parziale, la commissione</w:t>
            </w:r>
          </w:p>
        </w:tc>
      </w:tr>
    </w:tbl>
    <w:p w14:paraId="1ABF9757"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dichiara con ordinanza la cessazione parziale della materia del contendere e procede alla ulteriore trattazione della causa.</w:t>
      </w:r>
    </w:p>
    <w:p w14:paraId="431D9F33" w14:textId="77777777" w:rsidR="00B32EF2" w:rsidRDefault="00000000">
      <w:pPr>
        <w:numPr>
          <w:ilvl w:val="0"/>
          <w:numId w:val="95"/>
        </w:numPr>
        <w:pBdr>
          <w:top w:val="single" w:sz="8" w:space="0" w:color="000000"/>
          <w:left w:val="single" w:sz="8" w:space="0" w:color="000000"/>
          <w:bottom w:val="single" w:sz="8" w:space="0" w:color="000000"/>
          <w:right w:val="single" w:sz="8" w:space="0" w:color="000000"/>
        </w:pBdr>
        <w:spacing w:after="3" w:line="226" w:lineRule="auto"/>
        <w:ind w:right="120" w:hanging="10"/>
        <w:jc w:val="both"/>
      </w:pPr>
      <w:r>
        <w:rPr>
          <w:rFonts w:ascii="Arial" w:eastAsia="Arial" w:hAnsi="Arial" w:cs="Arial"/>
          <w:sz w:val="18"/>
        </w:rPr>
        <w:t xml:space="preserve">Se la data di trattazione non è fissata, provvede con decreto il </w:t>
      </w:r>
      <w:proofErr w:type="spellStart"/>
      <w:r>
        <w:rPr>
          <w:rFonts w:ascii="Arial" w:eastAsia="Arial" w:hAnsi="Arial" w:cs="Arial"/>
          <w:sz w:val="18"/>
        </w:rPr>
        <w:t>presidentedella</w:t>
      </w:r>
      <w:proofErr w:type="spellEnd"/>
      <w:r>
        <w:rPr>
          <w:rFonts w:ascii="Arial" w:eastAsia="Arial" w:hAnsi="Arial" w:cs="Arial"/>
          <w:sz w:val="18"/>
        </w:rPr>
        <w:t xml:space="preserve"> sezione.</w:t>
      </w:r>
    </w:p>
    <w:p w14:paraId="62714303" w14:textId="77777777" w:rsidR="00B32EF2" w:rsidRDefault="00000000">
      <w:pPr>
        <w:numPr>
          <w:ilvl w:val="0"/>
          <w:numId w:val="95"/>
        </w:numPr>
        <w:pBdr>
          <w:top w:val="single" w:sz="8" w:space="0" w:color="000000"/>
          <w:left w:val="single" w:sz="8" w:space="0" w:color="000000"/>
          <w:bottom w:val="single" w:sz="8" w:space="0" w:color="000000"/>
          <w:right w:val="single" w:sz="8" w:space="0" w:color="000000"/>
        </w:pBdr>
        <w:spacing w:after="346" w:line="226" w:lineRule="auto"/>
        <w:ind w:right="120" w:hanging="10"/>
        <w:jc w:val="both"/>
      </w:pPr>
      <w:r>
        <w:rPr>
          <w:rFonts w:ascii="Arial" w:eastAsia="Arial" w:hAnsi="Arial" w:cs="Arial"/>
          <w:sz w:val="18"/>
        </w:rPr>
        <w:t xml:space="preserve">La conciliazione si perfeziona con la sottoscrizione dell’accordo di </w:t>
      </w:r>
      <w:proofErr w:type="spellStart"/>
      <w:r>
        <w:rPr>
          <w:rFonts w:ascii="Arial" w:eastAsia="Arial" w:hAnsi="Arial" w:cs="Arial"/>
          <w:sz w:val="18"/>
        </w:rPr>
        <w:t>cuial</w:t>
      </w:r>
      <w:proofErr w:type="spellEnd"/>
      <w:r>
        <w:rPr>
          <w:rFonts w:ascii="Arial" w:eastAsia="Arial" w:hAnsi="Arial" w:cs="Arial"/>
          <w:sz w:val="18"/>
        </w:rPr>
        <w:t xml:space="preserve"> comma 1, nel quale sono indicate le somme dovute con i termini e le modalità di pagamento. L’accordo costituisce titolo per la riscossione delle somme dovute all’ente impositore e per il pagamento delle somme dovute al contribuente.</w:t>
      </w:r>
    </w:p>
    <w:p w14:paraId="2E24C1FA" w14:textId="77777777" w:rsidR="00B32EF2" w:rsidRDefault="00000000">
      <w:pPr>
        <w:spacing w:after="0" w:line="261" w:lineRule="auto"/>
        <w:ind w:left="12" w:right="3" w:hanging="10"/>
        <w:jc w:val="center"/>
      </w:pPr>
      <w:r>
        <w:rPr>
          <w:rFonts w:ascii="Arial" w:eastAsia="Arial" w:hAnsi="Arial" w:cs="Arial"/>
          <w:b/>
          <w:sz w:val="18"/>
        </w:rPr>
        <w:t>Articolo 48</w:t>
      </w:r>
    </w:p>
    <w:p w14:paraId="53325F46" w14:textId="77777777" w:rsidR="00B32EF2" w:rsidRDefault="00000000">
      <w:pPr>
        <w:spacing w:after="3" w:line="251" w:lineRule="auto"/>
        <w:ind w:left="2320" w:right="2311" w:hanging="10"/>
        <w:jc w:val="center"/>
      </w:pPr>
      <w:r>
        <w:rPr>
          <w:rFonts w:ascii="Arial" w:eastAsia="Arial" w:hAnsi="Arial" w:cs="Arial"/>
          <w:i/>
          <w:sz w:val="18"/>
        </w:rPr>
        <w:t>(articolo 99 TUGT)</w:t>
      </w:r>
    </w:p>
    <w:p w14:paraId="4E7DD6E5" w14:textId="77777777" w:rsidR="00B32EF2" w:rsidRDefault="00000000">
      <w:pPr>
        <w:spacing w:after="0" w:line="261" w:lineRule="auto"/>
        <w:ind w:left="12" w:right="3" w:hanging="10"/>
        <w:jc w:val="center"/>
      </w:pPr>
      <w:r>
        <w:rPr>
          <w:rFonts w:ascii="Arial" w:eastAsia="Arial" w:hAnsi="Arial" w:cs="Arial"/>
          <w:b/>
          <w:sz w:val="18"/>
        </w:rPr>
        <w:t>Conciliazione fuori udienza (1)</w:t>
      </w:r>
    </w:p>
    <w:p w14:paraId="4CAA008F" w14:textId="77777777" w:rsidR="00B32EF2" w:rsidRDefault="00000000">
      <w:pPr>
        <w:numPr>
          <w:ilvl w:val="0"/>
          <w:numId w:val="96"/>
        </w:numPr>
        <w:spacing w:after="4" w:line="254" w:lineRule="auto"/>
        <w:ind w:right="10" w:hanging="10"/>
        <w:jc w:val="both"/>
      </w:pPr>
      <w:r>
        <w:rPr>
          <w:rFonts w:ascii="Arial" w:eastAsia="Arial" w:hAnsi="Arial" w:cs="Arial"/>
          <w:sz w:val="18"/>
        </w:rPr>
        <w:t xml:space="preserve">Se in pendenza del giudizio le parti raggiungono un accordo </w:t>
      </w:r>
      <w:proofErr w:type="spellStart"/>
      <w:r>
        <w:rPr>
          <w:rFonts w:ascii="Arial" w:eastAsia="Arial" w:hAnsi="Arial" w:cs="Arial"/>
          <w:sz w:val="18"/>
        </w:rPr>
        <w:t>conciliativo,presentano</w:t>
      </w:r>
      <w:proofErr w:type="spellEnd"/>
      <w:r>
        <w:rPr>
          <w:rFonts w:ascii="Arial" w:eastAsia="Arial" w:hAnsi="Arial" w:cs="Arial"/>
          <w:sz w:val="18"/>
        </w:rPr>
        <w:t xml:space="preserve"> istanza congiunta sottoscritta personalmente o dai difensori per la definizione totale o parziale della controversia.</w:t>
      </w:r>
    </w:p>
    <w:p w14:paraId="30E440F9" w14:textId="77777777" w:rsidR="00B32EF2" w:rsidRDefault="00000000">
      <w:pPr>
        <w:numPr>
          <w:ilvl w:val="0"/>
          <w:numId w:val="96"/>
        </w:numPr>
        <w:spacing w:after="4" w:line="254" w:lineRule="auto"/>
        <w:ind w:right="10" w:hanging="10"/>
        <w:jc w:val="both"/>
      </w:pPr>
      <w:r>
        <w:rPr>
          <w:rFonts w:ascii="Arial" w:eastAsia="Arial" w:hAnsi="Arial" w:cs="Arial"/>
          <w:sz w:val="18"/>
        </w:rPr>
        <w:t xml:space="preserve">Se la data di trattazione è già fissata e sussistono le condizioni </w:t>
      </w:r>
      <w:proofErr w:type="spellStart"/>
      <w:r>
        <w:rPr>
          <w:rFonts w:ascii="Arial" w:eastAsia="Arial" w:hAnsi="Arial" w:cs="Arial"/>
          <w:sz w:val="18"/>
        </w:rPr>
        <w:t>diammissibilità</w:t>
      </w:r>
      <w:proofErr w:type="spellEnd"/>
      <w:r>
        <w:rPr>
          <w:rFonts w:ascii="Arial" w:eastAsia="Arial" w:hAnsi="Arial" w:cs="Arial"/>
          <w:sz w:val="18"/>
        </w:rPr>
        <w:t>, la corte di giustizia tributaria pronuncia sentenza di cessazione della materia del contendere. Se l’accordo conciliativo è parziale, la corte dichiara con ordinanza la cessazione parziale della materia del contendere e procede alla ulteriore trattazione della causa.</w:t>
      </w:r>
    </w:p>
    <w:p w14:paraId="3F9D4DD3" w14:textId="77777777" w:rsidR="00B32EF2" w:rsidRDefault="00000000">
      <w:pPr>
        <w:numPr>
          <w:ilvl w:val="0"/>
          <w:numId w:val="96"/>
        </w:numPr>
        <w:spacing w:after="4" w:line="254" w:lineRule="auto"/>
        <w:ind w:right="10" w:hanging="10"/>
        <w:jc w:val="both"/>
      </w:pPr>
      <w:r>
        <w:rPr>
          <w:rFonts w:ascii="Arial" w:eastAsia="Arial" w:hAnsi="Arial" w:cs="Arial"/>
          <w:sz w:val="18"/>
        </w:rPr>
        <w:lastRenderedPageBreak/>
        <w:t xml:space="preserve">Se la data di trattazione non è fissata, provvede con decreto il </w:t>
      </w:r>
      <w:proofErr w:type="spellStart"/>
      <w:r>
        <w:rPr>
          <w:rFonts w:ascii="Arial" w:eastAsia="Arial" w:hAnsi="Arial" w:cs="Arial"/>
          <w:sz w:val="18"/>
        </w:rPr>
        <w:t>presidentedella</w:t>
      </w:r>
      <w:proofErr w:type="spellEnd"/>
      <w:r>
        <w:rPr>
          <w:rFonts w:ascii="Arial" w:eastAsia="Arial" w:hAnsi="Arial" w:cs="Arial"/>
          <w:sz w:val="18"/>
        </w:rPr>
        <w:t xml:space="preserve"> sezione.</w:t>
      </w:r>
    </w:p>
    <w:p w14:paraId="10BF686E" w14:textId="77777777" w:rsidR="00B32EF2" w:rsidRDefault="00000000">
      <w:pPr>
        <w:numPr>
          <w:ilvl w:val="0"/>
          <w:numId w:val="96"/>
        </w:numPr>
        <w:spacing w:after="4" w:line="254" w:lineRule="auto"/>
        <w:ind w:right="10" w:hanging="10"/>
        <w:jc w:val="both"/>
      </w:pPr>
      <w:r>
        <w:rPr>
          <w:rFonts w:ascii="Arial" w:eastAsia="Arial" w:hAnsi="Arial" w:cs="Arial"/>
          <w:sz w:val="18"/>
        </w:rPr>
        <w:t xml:space="preserve">La conciliazione si perfeziona con la sottoscrizione dell’accordo di cui </w:t>
      </w:r>
      <w:proofErr w:type="spellStart"/>
      <w:r>
        <w:rPr>
          <w:rFonts w:ascii="Arial" w:eastAsia="Arial" w:hAnsi="Arial" w:cs="Arial"/>
          <w:sz w:val="18"/>
        </w:rPr>
        <w:t>alcomma</w:t>
      </w:r>
      <w:proofErr w:type="spellEnd"/>
      <w:r>
        <w:rPr>
          <w:rFonts w:ascii="Arial" w:eastAsia="Arial" w:hAnsi="Arial" w:cs="Arial"/>
          <w:sz w:val="18"/>
        </w:rPr>
        <w:t xml:space="preserve"> 1, nel quale sono indicate le somme dovute con i termini e le modalità di pagamento. L’accordo costituisce titolo per la riscossione delle somme dovute all’ente impositore e per il pagamento delle somme dovute al contribuente. 4-bis. Le disposizioni del presente articolo si applicano, in quanto compatibili, anche alle controversie pendenti davanti alla Corte di Cassazione.</w:t>
      </w:r>
    </w:p>
    <w:p w14:paraId="1A15F019" w14:textId="77777777" w:rsidR="00B32EF2" w:rsidRDefault="00000000">
      <w:pPr>
        <w:spacing w:after="247" w:line="261" w:lineRule="auto"/>
        <w:ind w:left="-4" w:right="-13" w:hanging="10"/>
        <w:jc w:val="both"/>
      </w:pPr>
      <w:r>
        <w:rPr>
          <w:rFonts w:ascii="Arial" w:eastAsia="Arial" w:hAnsi="Arial" w:cs="Arial"/>
          <w:sz w:val="15"/>
        </w:rPr>
        <w:t>(1)Il D.lgs. n. 81 del 12/06/2025 introduce il comma 2-</w:t>
      </w:r>
      <w:r>
        <w:rPr>
          <w:rFonts w:ascii="Arial" w:eastAsia="Arial" w:hAnsi="Arial" w:cs="Arial"/>
          <w:i/>
          <w:sz w:val="15"/>
        </w:rPr>
        <w:t>bis</w:t>
      </w:r>
      <w:r>
        <w:rPr>
          <w:rFonts w:ascii="Arial" w:eastAsia="Arial" w:hAnsi="Arial" w:cs="Arial"/>
          <w:sz w:val="15"/>
        </w:rPr>
        <w:t xml:space="preserve"> all’art. 4 del D.lgs. 220/2023 secondo cui l’istituto della conciliazione fuori udienza si applica anche ai giudizi in cassazione pendenti alla data del 4 gennaio 2024.</w:t>
      </w:r>
    </w:p>
    <w:p w14:paraId="56A8A208" w14:textId="77777777" w:rsidR="00B32EF2" w:rsidRDefault="00000000">
      <w:pPr>
        <w:spacing w:after="0" w:line="261" w:lineRule="auto"/>
        <w:ind w:left="12" w:right="3" w:hanging="10"/>
        <w:jc w:val="center"/>
      </w:pPr>
      <w:r>
        <w:rPr>
          <w:rFonts w:ascii="Arial" w:eastAsia="Arial" w:hAnsi="Arial" w:cs="Arial"/>
          <w:b/>
          <w:sz w:val="18"/>
        </w:rPr>
        <w:t>Articolo 48-bis</w:t>
      </w:r>
    </w:p>
    <w:p w14:paraId="1E5CFA87" w14:textId="77777777" w:rsidR="00B32EF2" w:rsidRDefault="00000000">
      <w:pPr>
        <w:spacing w:after="3" w:line="251" w:lineRule="auto"/>
        <w:ind w:left="2320" w:right="2311" w:hanging="10"/>
        <w:jc w:val="center"/>
      </w:pPr>
      <w:r>
        <w:rPr>
          <w:rFonts w:ascii="Arial" w:eastAsia="Arial" w:hAnsi="Arial" w:cs="Arial"/>
          <w:i/>
          <w:sz w:val="18"/>
        </w:rPr>
        <w:t>(articolo 100 TUGT)</w:t>
      </w:r>
    </w:p>
    <w:p w14:paraId="7003DCEA" w14:textId="77777777" w:rsidR="00B32EF2" w:rsidRDefault="00000000">
      <w:pPr>
        <w:spacing w:after="0" w:line="261" w:lineRule="auto"/>
        <w:ind w:left="12" w:right="3" w:hanging="10"/>
        <w:jc w:val="center"/>
      </w:pPr>
      <w:r>
        <w:rPr>
          <w:rFonts w:ascii="Arial" w:eastAsia="Arial" w:hAnsi="Arial" w:cs="Arial"/>
          <w:b/>
          <w:sz w:val="18"/>
        </w:rPr>
        <w:t xml:space="preserve">Conciliazione in udienza </w:t>
      </w:r>
    </w:p>
    <w:p w14:paraId="5F3EEEF9" w14:textId="77777777" w:rsidR="00B32EF2" w:rsidRDefault="00000000">
      <w:pPr>
        <w:numPr>
          <w:ilvl w:val="0"/>
          <w:numId w:val="97"/>
        </w:numPr>
        <w:spacing w:after="4" w:line="254" w:lineRule="auto"/>
        <w:ind w:right="10" w:hanging="10"/>
        <w:jc w:val="both"/>
      </w:pPr>
      <w:r>
        <w:rPr>
          <w:rFonts w:ascii="Arial" w:eastAsia="Arial" w:hAnsi="Arial" w:cs="Arial"/>
          <w:sz w:val="18"/>
        </w:rPr>
        <w:t xml:space="preserve">Ciascuna parte entro il termine di cui all’articolo 32, comma 2, può </w:t>
      </w:r>
      <w:proofErr w:type="spellStart"/>
      <w:r>
        <w:rPr>
          <w:rFonts w:ascii="Arial" w:eastAsia="Arial" w:hAnsi="Arial" w:cs="Arial"/>
          <w:sz w:val="18"/>
        </w:rPr>
        <w:t>presentareistanza</w:t>
      </w:r>
      <w:proofErr w:type="spellEnd"/>
      <w:r>
        <w:rPr>
          <w:rFonts w:ascii="Arial" w:eastAsia="Arial" w:hAnsi="Arial" w:cs="Arial"/>
          <w:sz w:val="18"/>
        </w:rPr>
        <w:t xml:space="preserve"> per la conciliazione totale o parziale della controversia.</w:t>
      </w:r>
    </w:p>
    <w:p w14:paraId="0C62AAF0" w14:textId="77777777" w:rsidR="00B32EF2" w:rsidRDefault="00000000">
      <w:pPr>
        <w:numPr>
          <w:ilvl w:val="0"/>
          <w:numId w:val="97"/>
        </w:numPr>
        <w:spacing w:after="4" w:line="254" w:lineRule="auto"/>
        <w:ind w:right="10" w:hanging="10"/>
        <w:jc w:val="both"/>
      </w:pPr>
      <w:r>
        <w:rPr>
          <w:rFonts w:ascii="Arial" w:eastAsia="Arial" w:hAnsi="Arial" w:cs="Arial"/>
          <w:sz w:val="18"/>
        </w:rPr>
        <w:t xml:space="preserve">All’udienza la commissione, se sussistono le condizioni di </w:t>
      </w:r>
      <w:proofErr w:type="spellStart"/>
      <w:r>
        <w:rPr>
          <w:rFonts w:ascii="Arial" w:eastAsia="Arial" w:hAnsi="Arial" w:cs="Arial"/>
          <w:sz w:val="18"/>
        </w:rPr>
        <w:t>ammissibilità,invita</w:t>
      </w:r>
      <w:proofErr w:type="spellEnd"/>
      <w:r>
        <w:rPr>
          <w:rFonts w:ascii="Arial" w:eastAsia="Arial" w:hAnsi="Arial" w:cs="Arial"/>
          <w:sz w:val="18"/>
        </w:rPr>
        <w:t xml:space="preserve"> le parti alla conciliazione rinviando eventualmente la causa alla successiva udienza per il perfezionamento dell’accordo conciliativo. 3. La conciliazione si perfeziona con la redazione del processo verbale nel quale sono indicate le somme dovute con i termini e le modalità di pagamento. Il processo verbale costituisce titolo per la riscossione delle somme dovute all’ente impositore e per il pagamento delle somme dovute al contribuente.</w:t>
      </w:r>
    </w:p>
    <w:p w14:paraId="404482EB" w14:textId="77777777" w:rsidR="00B32EF2" w:rsidRDefault="00000000">
      <w:pPr>
        <w:spacing w:after="4" w:line="254" w:lineRule="auto"/>
        <w:ind w:left="-4" w:right="10" w:hanging="10"/>
        <w:jc w:val="both"/>
      </w:pPr>
      <w:r>
        <w:rPr>
          <w:rFonts w:ascii="Arial" w:eastAsia="Arial" w:hAnsi="Arial" w:cs="Arial"/>
          <w:sz w:val="18"/>
        </w:rPr>
        <w:t>4. La commissione dichiara con sentenza l’estinzione del giudizio per cessazione della materia del contendere.</w:t>
      </w:r>
    </w:p>
    <w:tbl>
      <w:tblPr>
        <w:tblStyle w:val="TableGrid"/>
        <w:tblW w:w="6236" w:type="dxa"/>
        <w:tblInd w:w="1" w:type="dxa"/>
        <w:tblCellMar>
          <w:top w:w="0" w:type="dxa"/>
          <w:left w:w="123" w:type="dxa"/>
          <w:bottom w:w="0" w:type="dxa"/>
          <w:right w:w="123" w:type="dxa"/>
        </w:tblCellMar>
        <w:tblLook w:val="04A0" w:firstRow="1" w:lastRow="0" w:firstColumn="1" w:lastColumn="0" w:noHBand="0" w:noVBand="1"/>
      </w:tblPr>
      <w:tblGrid>
        <w:gridCol w:w="6236"/>
      </w:tblGrid>
      <w:tr w:rsidR="00B32EF2" w14:paraId="1DE61D27" w14:textId="77777777">
        <w:trPr>
          <w:trHeight w:val="5177"/>
        </w:trPr>
        <w:tc>
          <w:tcPr>
            <w:tcW w:w="6236" w:type="dxa"/>
            <w:tcBorders>
              <w:top w:val="single" w:sz="8" w:space="0" w:color="000000"/>
              <w:left w:val="single" w:sz="8" w:space="0" w:color="000000"/>
              <w:bottom w:val="single" w:sz="8" w:space="0" w:color="000000"/>
              <w:right w:val="single" w:sz="8" w:space="0" w:color="000000"/>
            </w:tcBorders>
            <w:vAlign w:val="center"/>
          </w:tcPr>
          <w:p w14:paraId="1F5F4106" w14:textId="77777777" w:rsidR="00B32EF2" w:rsidRDefault="00000000">
            <w:pPr>
              <w:spacing w:after="0"/>
              <w:ind w:left="344"/>
            </w:pPr>
            <w:r>
              <w:rPr>
                <w:rFonts w:ascii="Arial" w:eastAsia="Arial" w:hAnsi="Arial" w:cs="Arial"/>
                <w:b/>
                <w:sz w:val="18"/>
              </w:rPr>
              <w:lastRenderedPageBreak/>
              <w:t>Per i giudizi instaurati  con ricorso notificato fino al 5.1.24</w:t>
            </w:r>
          </w:p>
          <w:p w14:paraId="244E39E1" w14:textId="77777777" w:rsidR="00B32EF2" w:rsidRDefault="00000000">
            <w:pPr>
              <w:spacing w:after="0"/>
              <w:jc w:val="center"/>
            </w:pPr>
            <w:r>
              <w:rPr>
                <w:rFonts w:ascii="Arial" w:eastAsia="Arial" w:hAnsi="Arial" w:cs="Arial"/>
                <w:b/>
                <w:sz w:val="18"/>
              </w:rPr>
              <w:t>Articolo 48-bis. 1</w:t>
            </w:r>
          </w:p>
          <w:p w14:paraId="680F3724" w14:textId="77777777" w:rsidR="00B32EF2" w:rsidRDefault="00000000">
            <w:pPr>
              <w:spacing w:after="0"/>
              <w:jc w:val="center"/>
            </w:pPr>
            <w:r>
              <w:rPr>
                <w:rFonts w:ascii="Arial" w:eastAsia="Arial" w:hAnsi="Arial" w:cs="Arial"/>
                <w:i/>
                <w:sz w:val="18"/>
              </w:rPr>
              <w:t>(articolo 101 TUGT)</w:t>
            </w:r>
          </w:p>
          <w:p w14:paraId="2AC34815" w14:textId="77777777" w:rsidR="00B32EF2" w:rsidRDefault="00000000">
            <w:pPr>
              <w:spacing w:after="0"/>
              <w:jc w:val="center"/>
            </w:pPr>
            <w:r>
              <w:rPr>
                <w:rFonts w:ascii="Arial" w:eastAsia="Arial" w:hAnsi="Arial" w:cs="Arial"/>
                <w:b/>
                <w:sz w:val="18"/>
              </w:rPr>
              <w:t>Conciliazione proposta dalla corte di giustizia tributaria</w:t>
            </w:r>
          </w:p>
          <w:p w14:paraId="20B1059A" w14:textId="77777777" w:rsidR="00B32EF2" w:rsidRDefault="00000000">
            <w:pPr>
              <w:numPr>
                <w:ilvl w:val="0"/>
                <w:numId w:val="215"/>
              </w:numPr>
              <w:spacing w:after="0" w:line="250" w:lineRule="auto"/>
              <w:jc w:val="both"/>
            </w:pPr>
            <w:r>
              <w:rPr>
                <w:rFonts w:ascii="Arial" w:eastAsia="Arial" w:hAnsi="Arial" w:cs="Arial"/>
                <w:sz w:val="18"/>
              </w:rPr>
              <w:t xml:space="preserve">Per le controversie soggette a reclamo ai sensi dell’articolo 17-bis </w:t>
            </w:r>
            <w:proofErr w:type="spellStart"/>
            <w:r>
              <w:rPr>
                <w:rFonts w:ascii="Arial" w:eastAsia="Arial" w:hAnsi="Arial" w:cs="Arial"/>
                <w:sz w:val="18"/>
              </w:rPr>
              <w:t>lacorte</w:t>
            </w:r>
            <w:proofErr w:type="spellEnd"/>
            <w:r>
              <w:rPr>
                <w:rFonts w:ascii="Arial" w:eastAsia="Arial" w:hAnsi="Arial" w:cs="Arial"/>
                <w:sz w:val="18"/>
              </w:rPr>
              <w:t xml:space="preserve"> di giustizia tributaria, ove possibile, può formulare alle parti una proposta conciliativa, avuto riguardo all’oggetto del giudizio e all’esistenza di questioni di facile e pronta soluzione.</w:t>
            </w:r>
          </w:p>
          <w:p w14:paraId="4230B2B9" w14:textId="77777777" w:rsidR="00B32EF2" w:rsidRDefault="00000000">
            <w:pPr>
              <w:numPr>
                <w:ilvl w:val="0"/>
                <w:numId w:val="215"/>
              </w:numPr>
              <w:spacing w:after="16" w:line="250" w:lineRule="auto"/>
              <w:jc w:val="both"/>
            </w:pPr>
            <w:r>
              <w:rPr>
                <w:rFonts w:ascii="Arial" w:eastAsia="Arial" w:hAnsi="Arial" w:cs="Arial"/>
                <w:sz w:val="18"/>
              </w:rPr>
              <w:t xml:space="preserve">La proposta può essere formulata in udienza o fuori udienza. Se </w:t>
            </w:r>
            <w:proofErr w:type="spellStart"/>
            <w:r>
              <w:rPr>
                <w:rFonts w:ascii="Arial" w:eastAsia="Arial" w:hAnsi="Arial" w:cs="Arial"/>
                <w:sz w:val="18"/>
              </w:rPr>
              <w:t>èformulata</w:t>
            </w:r>
            <w:proofErr w:type="spellEnd"/>
            <w:r>
              <w:rPr>
                <w:rFonts w:ascii="Arial" w:eastAsia="Arial" w:hAnsi="Arial" w:cs="Arial"/>
                <w:sz w:val="18"/>
              </w:rPr>
              <w:t xml:space="preserve"> fuori udienza, è comunicata alle parti. Se è formulata in udienza, è comunicata alle parti non comparse.</w:t>
            </w:r>
          </w:p>
          <w:p w14:paraId="61452B83" w14:textId="77777777" w:rsidR="00B32EF2" w:rsidRDefault="00000000">
            <w:pPr>
              <w:numPr>
                <w:ilvl w:val="0"/>
                <w:numId w:val="215"/>
              </w:numPr>
              <w:spacing w:after="0" w:line="254" w:lineRule="auto"/>
              <w:jc w:val="both"/>
            </w:pPr>
            <w:r>
              <w:rPr>
                <w:rFonts w:ascii="Arial" w:eastAsia="Arial" w:hAnsi="Arial" w:cs="Arial"/>
                <w:sz w:val="18"/>
              </w:rPr>
              <w:t>La causa può essere rinviata alla successiva udienza per il perfezionamento dell’accordo conciliativo. Ove l’accordo non si perfezioni, si procede nella stessa udienza alla trattazione della causa.</w:t>
            </w:r>
          </w:p>
          <w:p w14:paraId="35A3254B" w14:textId="77777777" w:rsidR="00B32EF2" w:rsidRDefault="00000000">
            <w:pPr>
              <w:numPr>
                <w:ilvl w:val="0"/>
                <w:numId w:val="215"/>
              </w:numPr>
              <w:spacing w:after="0" w:line="250" w:lineRule="auto"/>
              <w:jc w:val="both"/>
            </w:pPr>
            <w:r>
              <w:rPr>
                <w:rFonts w:ascii="Arial" w:eastAsia="Arial" w:hAnsi="Arial" w:cs="Arial"/>
                <w:sz w:val="18"/>
              </w:rPr>
              <w:t xml:space="preserve">La conciliazione si perfeziona con la redazione del processo </w:t>
            </w:r>
            <w:proofErr w:type="spellStart"/>
            <w:r>
              <w:rPr>
                <w:rFonts w:ascii="Arial" w:eastAsia="Arial" w:hAnsi="Arial" w:cs="Arial"/>
                <w:sz w:val="18"/>
              </w:rPr>
              <w:t>verbale,nel</w:t>
            </w:r>
            <w:proofErr w:type="spellEnd"/>
            <w:r>
              <w:rPr>
                <w:rFonts w:ascii="Arial" w:eastAsia="Arial" w:hAnsi="Arial" w:cs="Arial"/>
                <w:sz w:val="18"/>
              </w:rPr>
              <w:t xml:space="preserve"> quale sono indicati le somme dovute </w:t>
            </w:r>
            <w:proofErr w:type="spellStart"/>
            <w:r>
              <w:rPr>
                <w:rFonts w:ascii="Arial" w:eastAsia="Arial" w:hAnsi="Arial" w:cs="Arial"/>
                <w:sz w:val="18"/>
              </w:rPr>
              <w:t>nonchè</w:t>
            </w:r>
            <w:proofErr w:type="spellEnd"/>
            <w:r>
              <w:rPr>
                <w:rFonts w:ascii="Arial" w:eastAsia="Arial" w:hAnsi="Arial" w:cs="Arial"/>
                <w:sz w:val="18"/>
              </w:rPr>
              <w:t xml:space="preserve"> i termini e le modalità di pagamento. Il processo verbale costituisce titolo per la riscossione delle somme dovute all’ente impositore e per il pagamento delle somme dovute al contribuente.</w:t>
            </w:r>
          </w:p>
          <w:p w14:paraId="4EDA8CE1" w14:textId="77777777" w:rsidR="00B32EF2" w:rsidRDefault="00000000">
            <w:pPr>
              <w:numPr>
                <w:ilvl w:val="0"/>
                <w:numId w:val="215"/>
              </w:numPr>
              <w:spacing w:after="0" w:line="250" w:lineRule="auto"/>
              <w:jc w:val="both"/>
            </w:pPr>
            <w:r>
              <w:rPr>
                <w:rFonts w:ascii="Arial" w:eastAsia="Arial" w:hAnsi="Arial" w:cs="Arial"/>
                <w:sz w:val="18"/>
              </w:rPr>
              <w:t xml:space="preserve">Il giudice dichiara con sentenza l’estinzione del giudizio per </w:t>
            </w:r>
            <w:proofErr w:type="spellStart"/>
            <w:r>
              <w:rPr>
                <w:rFonts w:ascii="Arial" w:eastAsia="Arial" w:hAnsi="Arial" w:cs="Arial"/>
                <w:sz w:val="18"/>
              </w:rPr>
              <w:t>cessazionedella</w:t>
            </w:r>
            <w:proofErr w:type="spellEnd"/>
            <w:r>
              <w:rPr>
                <w:rFonts w:ascii="Arial" w:eastAsia="Arial" w:hAnsi="Arial" w:cs="Arial"/>
                <w:sz w:val="18"/>
              </w:rPr>
              <w:t xml:space="preserve"> materia del contendere.</w:t>
            </w:r>
          </w:p>
          <w:p w14:paraId="315B7D63" w14:textId="77777777" w:rsidR="00B32EF2" w:rsidRDefault="00000000">
            <w:pPr>
              <w:numPr>
                <w:ilvl w:val="0"/>
                <w:numId w:val="215"/>
              </w:numPr>
              <w:spacing w:after="0"/>
              <w:jc w:val="both"/>
            </w:pPr>
            <w:r>
              <w:rPr>
                <w:rFonts w:ascii="Arial" w:eastAsia="Arial" w:hAnsi="Arial" w:cs="Arial"/>
                <w:sz w:val="18"/>
              </w:rPr>
              <w:t xml:space="preserve">La proposta di conciliazione non può costituire motivo di ricusazione </w:t>
            </w:r>
            <w:proofErr w:type="spellStart"/>
            <w:r>
              <w:rPr>
                <w:rFonts w:ascii="Arial" w:eastAsia="Arial" w:hAnsi="Arial" w:cs="Arial"/>
                <w:sz w:val="18"/>
              </w:rPr>
              <w:t>oastensione</w:t>
            </w:r>
            <w:proofErr w:type="spellEnd"/>
            <w:r>
              <w:rPr>
                <w:rFonts w:ascii="Arial" w:eastAsia="Arial" w:hAnsi="Arial" w:cs="Arial"/>
                <w:sz w:val="18"/>
              </w:rPr>
              <w:t xml:space="preserve"> del giudice.</w:t>
            </w:r>
          </w:p>
        </w:tc>
      </w:tr>
    </w:tbl>
    <w:p w14:paraId="1FF92102" w14:textId="77777777" w:rsidR="00B32EF2" w:rsidRDefault="00000000">
      <w:pPr>
        <w:spacing w:after="0" w:line="261" w:lineRule="auto"/>
        <w:ind w:left="12" w:right="3" w:hanging="10"/>
        <w:jc w:val="center"/>
      </w:pPr>
      <w:r>
        <w:rPr>
          <w:rFonts w:ascii="Arial" w:eastAsia="Arial" w:hAnsi="Arial" w:cs="Arial"/>
          <w:b/>
          <w:sz w:val="18"/>
        </w:rPr>
        <w:t>Articolo 48-bis.1</w:t>
      </w:r>
    </w:p>
    <w:p w14:paraId="33741A47" w14:textId="77777777" w:rsidR="00B32EF2" w:rsidRDefault="00000000">
      <w:pPr>
        <w:spacing w:after="3" w:line="251" w:lineRule="auto"/>
        <w:ind w:left="2320" w:right="2311" w:hanging="10"/>
        <w:jc w:val="center"/>
      </w:pPr>
      <w:r>
        <w:rPr>
          <w:rFonts w:ascii="Arial" w:eastAsia="Arial" w:hAnsi="Arial" w:cs="Arial"/>
          <w:i/>
          <w:sz w:val="18"/>
        </w:rPr>
        <w:t>(articolo 101 TUGT)</w:t>
      </w:r>
    </w:p>
    <w:p w14:paraId="0820D363" w14:textId="77777777" w:rsidR="00B32EF2" w:rsidRDefault="00000000">
      <w:pPr>
        <w:spacing w:after="0" w:line="261" w:lineRule="auto"/>
        <w:ind w:left="12" w:right="2" w:hanging="10"/>
        <w:jc w:val="center"/>
      </w:pPr>
      <w:r>
        <w:rPr>
          <w:rFonts w:ascii="Arial" w:eastAsia="Arial" w:hAnsi="Arial" w:cs="Arial"/>
          <w:b/>
          <w:sz w:val="18"/>
        </w:rPr>
        <w:t>Conciliazione proposta dalla corte di giustizia tributaria</w:t>
      </w:r>
    </w:p>
    <w:p w14:paraId="6E5A3C47" w14:textId="77777777" w:rsidR="00B32EF2" w:rsidRDefault="00000000">
      <w:pPr>
        <w:numPr>
          <w:ilvl w:val="0"/>
          <w:numId w:val="98"/>
        </w:numPr>
        <w:spacing w:after="4" w:line="254" w:lineRule="auto"/>
        <w:ind w:right="10" w:hanging="10"/>
        <w:jc w:val="both"/>
      </w:pPr>
      <w:r>
        <w:rPr>
          <w:rFonts w:ascii="Arial" w:eastAsia="Arial" w:hAnsi="Arial" w:cs="Arial"/>
          <w:sz w:val="18"/>
        </w:rPr>
        <w:t xml:space="preserve">La corte di giustizia tributaria, ove possibile, può formulare alle parti </w:t>
      </w:r>
      <w:proofErr w:type="spellStart"/>
      <w:r>
        <w:rPr>
          <w:rFonts w:ascii="Arial" w:eastAsia="Arial" w:hAnsi="Arial" w:cs="Arial"/>
          <w:sz w:val="18"/>
        </w:rPr>
        <w:t>unaproposta</w:t>
      </w:r>
      <w:proofErr w:type="spellEnd"/>
      <w:r>
        <w:rPr>
          <w:rFonts w:ascii="Arial" w:eastAsia="Arial" w:hAnsi="Arial" w:cs="Arial"/>
          <w:sz w:val="18"/>
        </w:rPr>
        <w:t xml:space="preserve"> conciliativa, avuto riguardo all’oggetto del giudizio e ai precedenti giurisprudenziali.</w:t>
      </w:r>
    </w:p>
    <w:p w14:paraId="16C75C4B" w14:textId="77777777" w:rsidR="00B32EF2" w:rsidRDefault="00000000">
      <w:pPr>
        <w:numPr>
          <w:ilvl w:val="0"/>
          <w:numId w:val="98"/>
        </w:numPr>
        <w:spacing w:after="4" w:line="254" w:lineRule="auto"/>
        <w:ind w:right="10" w:hanging="10"/>
        <w:jc w:val="both"/>
      </w:pPr>
      <w:r>
        <w:rPr>
          <w:rFonts w:ascii="Arial" w:eastAsia="Arial" w:hAnsi="Arial" w:cs="Arial"/>
          <w:sz w:val="18"/>
        </w:rPr>
        <w:t xml:space="preserve">La proposta può essere formulata in udienza o fuori udienza. Se è </w:t>
      </w:r>
      <w:proofErr w:type="spellStart"/>
      <w:r>
        <w:rPr>
          <w:rFonts w:ascii="Arial" w:eastAsia="Arial" w:hAnsi="Arial" w:cs="Arial"/>
          <w:sz w:val="18"/>
        </w:rPr>
        <w:t>formulatafuori</w:t>
      </w:r>
      <w:proofErr w:type="spellEnd"/>
      <w:r>
        <w:rPr>
          <w:rFonts w:ascii="Arial" w:eastAsia="Arial" w:hAnsi="Arial" w:cs="Arial"/>
          <w:sz w:val="18"/>
        </w:rPr>
        <w:t xml:space="preserve"> udienza, è comunicata alle parti. Se è formulata in udienza, è comunicata alle parti non comparse con la fissazione di una nuova udienza .</w:t>
      </w:r>
    </w:p>
    <w:p w14:paraId="792C5D51" w14:textId="77777777" w:rsidR="00B32EF2" w:rsidRDefault="00000000">
      <w:pPr>
        <w:numPr>
          <w:ilvl w:val="0"/>
          <w:numId w:val="98"/>
        </w:numPr>
        <w:spacing w:after="4" w:line="254" w:lineRule="auto"/>
        <w:ind w:right="10" w:hanging="10"/>
        <w:jc w:val="both"/>
      </w:pPr>
      <w:r>
        <w:rPr>
          <w:rFonts w:ascii="Arial" w:eastAsia="Arial" w:hAnsi="Arial" w:cs="Arial"/>
          <w:sz w:val="18"/>
        </w:rPr>
        <w:t xml:space="preserve">La causa, se richiesto da una delle parti, può essere rinviata alla </w:t>
      </w:r>
      <w:proofErr w:type="spellStart"/>
      <w:r>
        <w:rPr>
          <w:rFonts w:ascii="Arial" w:eastAsia="Arial" w:hAnsi="Arial" w:cs="Arial"/>
          <w:sz w:val="18"/>
        </w:rPr>
        <w:t>successivaudienza</w:t>
      </w:r>
      <w:proofErr w:type="spellEnd"/>
      <w:r>
        <w:rPr>
          <w:rFonts w:ascii="Arial" w:eastAsia="Arial" w:hAnsi="Arial" w:cs="Arial"/>
          <w:sz w:val="18"/>
        </w:rPr>
        <w:t xml:space="preserve"> per il perfezionamento dell’accordo conciliativo. Ove l’accordo non si perfezioni, si procede nella stessa udienza alla trattazione della causa.</w:t>
      </w:r>
    </w:p>
    <w:p w14:paraId="3604F5D8" w14:textId="77777777" w:rsidR="00B32EF2" w:rsidRDefault="00000000">
      <w:pPr>
        <w:numPr>
          <w:ilvl w:val="0"/>
          <w:numId w:val="98"/>
        </w:numPr>
        <w:spacing w:after="4" w:line="254" w:lineRule="auto"/>
        <w:ind w:right="10" w:hanging="10"/>
        <w:jc w:val="both"/>
      </w:pPr>
      <w:r>
        <w:rPr>
          <w:rFonts w:ascii="Arial" w:eastAsia="Arial" w:hAnsi="Arial" w:cs="Arial"/>
          <w:sz w:val="18"/>
        </w:rPr>
        <w:t xml:space="preserve">La conciliazione si perfeziona con la redazione del processo </w:t>
      </w:r>
      <w:proofErr w:type="spellStart"/>
      <w:r>
        <w:rPr>
          <w:rFonts w:ascii="Arial" w:eastAsia="Arial" w:hAnsi="Arial" w:cs="Arial"/>
          <w:sz w:val="18"/>
        </w:rPr>
        <w:t>verbale,nel</w:t>
      </w:r>
      <w:proofErr w:type="spellEnd"/>
      <w:r>
        <w:rPr>
          <w:rFonts w:ascii="Arial" w:eastAsia="Arial" w:hAnsi="Arial" w:cs="Arial"/>
          <w:sz w:val="18"/>
        </w:rPr>
        <w:t xml:space="preserve"> quale sono indicati le somme dovute </w:t>
      </w:r>
      <w:proofErr w:type="spellStart"/>
      <w:r>
        <w:rPr>
          <w:rFonts w:ascii="Arial" w:eastAsia="Arial" w:hAnsi="Arial" w:cs="Arial"/>
          <w:sz w:val="18"/>
        </w:rPr>
        <w:t>nonchè</w:t>
      </w:r>
      <w:proofErr w:type="spellEnd"/>
      <w:r>
        <w:rPr>
          <w:rFonts w:ascii="Arial" w:eastAsia="Arial" w:hAnsi="Arial" w:cs="Arial"/>
          <w:sz w:val="18"/>
        </w:rPr>
        <w:t xml:space="preserve"> i termini e le modalità di pagamento. Il processo verbale costituisce titolo per la riscossione delle somme dovute all’ente impositore e per il pagamento delle somme dovute al contribuente.</w:t>
      </w:r>
    </w:p>
    <w:p w14:paraId="77583E66" w14:textId="77777777" w:rsidR="00B32EF2" w:rsidRDefault="00000000">
      <w:pPr>
        <w:numPr>
          <w:ilvl w:val="0"/>
          <w:numId w:val="98"/>
        </w:numPr>
        <w:spacing w:after="4" w:line="254" w:lineRule="auto"/>
        <w:ind w:right="10" w:hanging="10"/>
        <w:jc w:val="both"/>
      </w:pPr>
      <w:r>
        <w:rPr>
          <w:rFonts w:ascii="Arial" w:eastAsia="Arial" w:hAnsi="Arial" w:cs="Arial"/>
          <w:sz w:val="18"/>
        </w:rPr>
        <w:lastRenderedPageBreak/>
        <w:t xml:space="preserve">Il giudice dichiara con sentenza l’estinzione del giudizio per </w:t>
      </w:r>
      <w:proofErr w:type="spellStart"/>
      <w:r>
        <w:rPr>
          <w:rFonts w:ascii="Arial" w:eastAsia="Arial" w:hAnsi="Arial" w:cs="Arial"/>
          <w:sz w:val="18"/>
        </w:rPr>
        <w:t>cessazionedella</w:t>
      </w:r>
      <w:proofErr w:type="spellEnd"/>
      <w:r>
        <w:rPr>
          <w:rFonts w:ascii="Arial" w:eastAsia="Arial" w:hAnsi="Arial" w:cs="Arial"/>
          <w:sz w:val="18"/>
        </w:rPr>
        <w:t xml:space="preserve"> materia del contendere.</w:t>
      </w:r>
    </w:p>
    <w:p w14:paraId="0F5ED495" w14:textId="77777777" w:rsidR="00B32EF2" w:rsidRDefault="00000000">
      <w:pPr>
        <w:numPr>
          <w:ilvl w:val="0"/>
          <w:numId w:val="98"/>
        </w:numPr>
        <w:spacing w:after="4" w:line="254" w:lineRule="auto"/>
        <w:ind w:right="10" w:hanging="10"/>
        <w:jc w:val="both"/>
      </w:pPr>
      <w:r>
        <w:rPr>
          <w:rFonts w:ascii="Arial" w:eastAsia="Arial" w:hAnsi="Arial" w:cs="Arial"/>
          <w:sz w:val="18"/>
        </w:rPr>
        <w:t xml:space="preserve">La proposta di conciliazione non può costituire motivo di ricusazione </w:t>
      </w:r>
      <w:proofErr w:type="spellStart"/>
      <w:r>
        <w:rPr>
          <w:rFonts w:ascii="Arial" w:eastAsia="Arial" w:hAnsi="Arial" w:cs="Arial"/>
          <w:sz w:val="18"/>
        </w:rPr>
        <w:t>oastensione</w:t>
      </w:r>
      <w:proofErr w:type="spellEnd"/>
      <w:r>
        <w:rPr>
          <w:rFonts w:ascii="Arial" w:eastAsia="Arial" w:hAnsi="Arial" w:cs="Arial"/>
          <w:sz w:val="18"/>
        </w:rPr>
        <w:t xml:space="preserve"> del giudice.</w:t>
      </w:r>
    </w:p>
    <w:tbl>
      <w:tblPr>
        <w:tblStyle w:val="TableGrid"/>
        <w:tblW w:w="6236" w:type="dxa"/>
        <w:tblInd w:w="-9" w:type="dxa"/>
        <w:tblCellMar>
          <w:top w:w="0" w:type="dxa"/>
          <w:left w:w="124" w:type="dxa"/>
          <w:bottom w:w="0" w:type="dxa"/>
          <w:right w:w="123" w:type="dxa"/>
        </w:tblCellMar>
        <w:tblLook w:val="04A0" w:firstRow="1" w:lastRow="0" w:firstColumn="1" w:lastColumn="0" w:noHBand="0" w:noVBand="1"/>
      </w:tblPr>
      <w:tblGrid>
        <w:gridCol w:w="6236"/>
      </w:tblGrid>
      <w:tr w:rsidR="00B32EF2" w14:paraId="7B65A22A" w14:textId="77777777">
        <w:trPr>
          <w:trHeight w:val="4974"/>
        </w:trPr>
        <w:tc>
          <w:tcPr>
            <w:tcW w:w="6236" w:type="dxa"/>
            <w:tcBorders>
              <w:top w:val="single" w:sz="8" w:space="0" w:color="000000"/>
              <w:left w:val="single" w:sz="8" w:space="0" w:color="000000"/>
              <w:bottom w:val="single" w:sz="8" w:space="0" w:color="000000"/>
              <w:right w:val="single" w:sz="8" w:space="0" w:color="000000"/>
            </w:tcBorders>
            <w:vAlign w:val="center"/>
          </w:tcPr>
          <w:p w14:paraId="440DFF9E" w14:textId="77777777" w:rsidR="00B32EF2" w:rsidRDefault="00000000">
            <w:pPr>
              <w:spacing w:after="0" w:line="250" w:lineRule="auto"/>
              <w:ind w:left="2362" w:hanging="2043"/>
            </w:pPr>
            <w:r>
              <w:rPr>
                <w:rFonts w:ascii="Arial" w:eastAsia="Arial" w:hAnsi="Arial" w:cs="Arial"/>
                <w:b/>
                <w:sz w:val="18"/>
              </w:rPr>
              <w:t>Per i  giudizi instaurati  con ricorso notificato fino al 5.1.24 Articolo 48-ter</w:t>
            </w:r>
          </w:p>
          <w:p w14:paraId="68141FAC" w14:textId="77777777" w:rsidR="00B32EF2" w:rsidRDefault="00000000">
            <w:pPr>
              <w:spacing w:after="0"/>
              <w:jc w:val="center"/>
            </w:pPr>
            <w:r>
              <w:rPr>
                <w:rFonts w:ascii="Arial" w:eastAsia="Arial" w:hAnsi="Arial" w:cs="Arial"/>
                <w:i/>
                <w:sz w:val="18"/>
              </w:rPr>
              <w:t>(articolo 102 TUGT)</w:t>
            </w:r>
          </w:p>
          <w:p w14:paraId="670FEA11" w14:textId="77777777" w:rsidR="00B32EF2" w:rsidRDefault="00000000">
            <w:pPr>
              <w:spacing w:after="0"/>
              <w:jc w:val="center"/>
            </w:pPr>
            <w:r>
              <w:rPr>
                <w:rFonts w:ascii="Arial" w:eastAsia="Arial" w:hAnsi="Arial" w:cs="Arial"/>
                <w:b/>
                <w:sz w:val="18"/>
              </w:rPr>
              <w:t xml:space="preserve">Definizione e pagamento delle somme dovute </w:t>
            </w:r>
          </w:p>
          <w:p w14:paraId="68936D2F" w14:textId="77777777" w:rsidR="00B32EF2" w:rsidRDefault="00000000">
            <w:pPr>
              <w:numPr>
                <w:ilvl w:val="0"/>
                <w:numId w:val="216"/>
              </w:numPr>
              <w:spacing w:after="0" w:line="250" w:lineRule="auto"/>
              <w:jc w:val="both"/>
            </w:pPr>
            <w:r>
              <w:rPr>
                <w:rFonts w:ascii="Arial" w:eastAsia="Arial" w:hAnsi="Arial" w:cs="Arial"/>
                <w:sz w:val="18"/>
              </w:rPr>
              <w:t xml:space="preserve">Le sanzioni amministrative si applicano nella misura del </w:t>
            </w:r>
            <w:proofErr w:type="spellStart"/>
            <w:r>
              <w:rPr>
                <w:rFonts w:ascii="Arial" w:eastAsia="Arial" w:hAnsi="Arial" w:cs="Arial"/>
                <w:sz w:val="18"/>
              </w:rPr>
              <w:t>quarantaper</w:t>
            </w:r>
            <w:proofErr w:type="spellEnd"/>
            <w:r>
              <w:rPr>
                <w:rFonts w:ascii="Arial" w:eastAsia="Arial" w:hAnsi="Arial" w:cs="Arial"/>
                <w:sz w:val="18"/>
              </w:rPr>
              <w:t xml:space="preserve"> cento del minimo previsto dalla legge, in caso di perfezionamento della conciliazione nel corso del primo grado di giudizio e nella misura del cinquanta per cento del minimo previsto dalla legge, in caso di perfezionamento nel corso del secondo grado di giudizio.</w:t>
            </w:r>
          </w:p>
          <w:p w14:paraId="7AD08A33" w14:textId="77777777" w:rsidR="00B32EF2" w:rsidRDefault="00000000">
            <w:pPr>
              <w:numPr>
                <w:ilvl w:val="0"/>
                <w:numId w:val="216"/>
              </w:numPr>
              <w:spacing w:after="0" w:line="250" w:lineRule="auto"/>
              <w:jc w:val="both"/>
            </w:pPr>
            <w:r>
              <w:rPr>
                <w:rFonts w:ascii="Arial" w:eastAsia="Arial" w:hAnsi="Arial" w:cs="Arial"/>
                <w:sz w:val="18"/>
              </w:rPr>
              <w:t xml:space="preserve">Il versamento delle somme dovute ovvero, in caso di </w:t>
            </w:r>
            <w:proofErr w:type="spellStart"/>
            <w:r>
              <w:rPr>
                <w:rFonts w:ascii="Arial" w:eastAsia="Arial" w:hAnsi="Arial" w:cs="Arial"/>
                <w:sz w:val="18"/>
              </w:rPr>
              <w:t>rateizzazione,della</w:t>
            </w:r>
            <w:proofErr w:type="spellEnd"/>
            <w:r>
              <w:rPr>
                <w:rFonts w:ascii="Arial" w:eastAsia="Arial" w:hAnsi="Arial" w:cs="Arial"/>
                <w:sz w:val="18"/>
              </w:rPr>
              <w:t xml:space="preserve"> prima rata deve essere effettuato entro venti giorni dalla data di sottoscrizione dell’accordo conciliativo di cui all’articolo 48 o di redazione del processo verbale di cui agli articoli 48-bis e 48-bis.1.</w:t>
            </w:r>
          </w:p>
          <w:p w14:paraId="2D52B679" w14:textId="77777777" w:rsidR="00B32EF2" w:rsidRDefault="00000000">
            <w:pPr>
              <w:numPr>
                <w:ilvl w:val="0"/>
                <w:numId w:val="216"/>
              </w:numPr>
              <w:spacing w:after="0" w:line="250" w:lineRule="auto"/>
              <w:jc w:val="both"/>
            </w:pPr>
            <w:r>
              <w:rPr>
                <w:rFonts w:ascii="Arial" w:eastAsia="Arial" w:hAnsi="Arial" w:cs="Arial"/>
                <w:sz w:val="18"/>
              </w:rPr>
              <w:t xml:space="preserve">In caso di mancato pagamento delle somme dovute o di una delle </w:t>
            </w:r>
            <w:proofErr w:type="spellStart"/>
            <w:r>
              <w:rPr>
                <w:rFonts w:ascii="Arial" w:eastAsia="Arial" w:hAnsi="Arial" w:cs="Arial"/>
                <w:sz w:val="18"/>
              </w:rPr>
              <w:t>rate,compresa</w:t>
            </w:r>
            <w:proofErr w:type="spellEnd"/>
            <w:r>
              <w:rPr>
                <w:rFonts w:ascii="Arial" w:eastAsia="Arial" w:hAnsi="Arial" w:cs="Arial"/>
                <w:sz w:val="18"/>
              </w:rPr>
              <w:t xml:space="preserve"> la prima, entro il termine di pagamento della rata successiva, il competente ufficio provvede all’iscrizione a ruolo delle residue somme dovute a titolo di imposta, interessi e sanzioni, </w:t>
            </w:r>
            <w:proofErr w:type="spellStart"/>
            <w:r>
              <w:rPr>
                <w:rFonts w:ascii="Arial" w:eastAsia="Arial" w:hAnsi="Arial" w:cs="Arial"/>
                <w:sz w:val="18"/>
              </w:rPr>
              <w:t>nonchè</w:t>
            </w:r>
            <w:proofErr w:type="spellEnd"/>
            <w:r>
              <w:rPr>
                <w:rFonts w:ascii="Arial" w:eastAsia="Arial" w:hAnsi="Arial" w:cs="Arial"/>
                <w:sz w:val="18"/>
              </w:rPr>
              <w:t xml:space="preserve"> della sanzione di cui all’articolo 13 del decreto legislativo 18 dicembre 1997, n. 471, aumentata della metà e applicata sul residuo importo dovuto a titolo di imposta.</w:t>
            </w:r>
          </w:p>
          <w:p w14:paraId="592F01D1" w14:textId="77777777" w:rsidR="00B32EF2" w:rsidRDefault="00000000">
            <w:pPr>
              <w:numPr>
                <w:ilvl w:val="0"/>
                <w:numId w:val="216"/>
              </w:numPr>
              <w:spacing w:after="0"/>
              <w:jc w:val="both"/>
            </w:pPr>
            <w:r>
              <w:rPr>
                <w:rFonts w:ascii="Arial" w:eastAsia="Arial" w:hAnsi="Arial" w:cs="Arial"/>
                <w:sz w:val="18"/>
              </w:rPr>
              <w:t xml:space="preserve">Per il versamento rateale delle somme dovute si applicano, in </w:t>
            </w:r>
            <w:proofErr w:type="spellStart"/>
            <w:r>
              <w:rPr>
                <w:rFonts w:ascii="Arial" w:eastAsia="Arial" w:hAnsi="Arial" w:cs="Arial"/>
                <w:sz w:val="18"/>
              </w:rPr>
              <w:t>quantocompatibili</w:t>
            </w:r>
            <w:proofErr w:type="spellEnd"/>
            <w:r>
              <w:rPr>
                <w:rFonts w:ascii="Arial" w:eastAsia="Arial" w:hAnsi="Arial" w:cs="Arial"/>
                <w:sz w:val="18"/>
              </w:rPr>
              <w:t>, le disposizioni previste per l’accertamento con adesione dall’articolo 8 del decreto legislativo 19 giugno 1997, n. 218.</w:t>
            </w:r>
          </w:p>
        </w:tc>
      </w:tr>
    </w:tbl>
    <w:p w14:paraId="050B0D0A" w14:textId="77777777" w:rsidR="00B32EF2" w:rsidRDefault="00000000">
      <w:pPr>
        <w:spacing w:after="0" w:line="261" w:lineRule="auto"/>
        <w:ind w:left="12" w:right="3" w:hanging="10"/>
        <w:jc w:val="center"/>
      </w:pPr>
      <w:r>
        <w:rPr>
          <w:rFonts w:ascii="Arial" w:eastAsia="Arial" w:hAnsi="Arial" w:cs="Arial"/>
          <w:b/>
          <w:sz w:val="18"/>
        </w:rPr>
        <w:t>Articolo 48-ter</w:t>
      </w:r>
    </w:p>
    <w:p w14:paraId="13FFDBC7" w14:textId="77777777" w:rsidR="00B32EF2" w:rsidRDefault="00000000">
      <w:pPr>
        <w:spacing w:after="3" w:line="251" w:lineRule="auto"/>
        <w:ind w:left="2320" w:right="2311" w:hanging="10"/>
        <w:jc w:val="center"/>
      </w:pPr>
      <w:r>
        <w:rPr>
          <w:rFonts w:ascii="Arial" w:eastAsia="Arial" w:hAnsi="Arial" w:cs="Arial"/>
          <w:i/>
          <w:sz w:val="18"/>
        </w:rPr>
        <w:t>(articolo 102 TUGT)</w:t>
      </w:r>
    </w:p>
    <w:p w14:paraId="599F1C09" w14:textId="77777777" w:rsidR="00B32EF2" w:rsidRDefault="00000000">
      <w:pPr>
        <w:spacing w:after="0" w:line="261" w:lineRule="auto"/>
        <w:ind w:left="12" w:right="2" w:hanging="10"/>
        <w:jc w:val="center"/>
      </w:pPr>
      <w:r>
        <w:rPr>
          <w:rFonts w:ascii="Arial" w:eastAsia="Arial" w:hAnsi="Arial" w:cs="Arial"/>
          <w:b/>
          <w:sz w:val="18"/>
        </w:rPr>
        <w:t>Definizione e pagamento delle somme dovute</w:t>
      </w:r>
    </w:p>
    <w:p w14:paraId="48036EB2" w14:textId="77777777" w:rsidR="00B32EF2" w:rsidRDefault="00000000">
      <w:pPr>
        <w:numPr>
          <w:ilvl w:val="0"/>
          <w:numId w:val="99"/>
        </w:numPr>
        <w:spacing w:after="4" w:line="254" w:lineRule="auto"/>
        <w:ind w:right="10" w:hanging="10"/>
        <w:jc w:val="both"/>
      </w:pPr>
      <w:r>
        <w:rPr>
          <w:rFonts w:ascii="Arial" w:eastAsia="Arial" w:hAnsi="Arial" w:cs="Arial"/>
          <w:sz w:val="18"/>
        </w:rPr>
        <w:t xml:space="preserve">Le sanzioni amministrative si applicano nella misura del quaranta per </w:t>
      </w:r>
      <w:proofErr w:type="spellStart"/>
      <w:r>
        <w:rPr>
          <w:rFonts w:ascii="Arial" w:eastAsia="Arial" w:hAnsi="Arial" w:cs="Arial"/>
          <w:sz w:val="18"/>
        </w:rPr>
        <w:t>centodel</w:t>
      </w:r>
      <w:proofErr w:type="spellEnd"/>
      <w:r>
        <w:rPr>
          <w:rFonts w:ascii="Arial" w:eastAsia="Arial" w:hAnsi="Arial" w:cs="Arial"/>
          <w:sz w:val="18"/>
        </w:rPr>
        <w:t xml:space="preserve"> minimo previsto dalla legge, in caso di perfezionamento della conciliazione nel corso del primo grado di giudizio e nella misura del cinquanta per cento del minimo previsto dalla legge, in caso di perfezionamento nel corso del secondo grado di giudizio e nella misura del sessanta per cento del minimo previsto dalla legge in caso di perfezionamento della conciliazione nel corso del giudizio di Cassazione .</w:t>
      </w:r>
    </w:p>
    <w:p w14:paraId="46BA6BF2" w14:textId="77777777" w:rsidR="00B32EF2" w:rsidRDefault="00000000">
      <w:pPr>
        <w:numPr>
          <w:ilvl w:val="0"/>
          <w:numId w:val="99"/>
        </w:numPr>
        <w:spacing w:after="4" w:line="254" w:lineRule="auto"/>
        <w:ind w:right="10" w:hanging="10"/>
        <w:jc w:val="both"/>
      </w:pPr>
      <w:r>
        <w:rPr>
          <w:rFonts w:ascii="Arial" w:eastAsia="Arial" w:hAnsi="Arial" w:cs="Arial"/>
          <w:sz w:val="18"/>
        </w:rPr>
        <w:t xml:space="preserve">Il versamento delle somme dovute ovvero, in caso di rateizzazione, </w:t>
      </w:r>
      <w:proofErr w:type="spellStart"/>
      <w:r>
        <w:rPr>
          <w:rFonts w:ascii="Arial" w:eastAsia="Arial" w:hAnsi="Arial" w:cs="Arial"/>
          <w:sz w:val="18"/>
        </w:rPr>
        <w:t>dellaprima</w:t>
      </w:r>
      <w:proofErr w:type="spellEnd"/>
      <w:r>
        <w:rPr>
          <w:rFonts w:ascii="Arial" w:eastAsia="Arial" w:hAnsi="Arial" w:cs="Arial"/>
          <w:sz w:val="18"/>
        </w:rPr>
        <w:t xml:space="preserve"> rata deve essere effettuato entro venti giorni dalla data di sottoscrizione dell’accordo conciliativo di cui all’articolo 48 o di redazione del processo verbale di cui agli articoli 48-bis e 48-bis.1.</w:t>
      </w:r>
    </w:p>
    <w:p w14:paraId="78CBEF1D" w14:textId="77777777" w:rsidR="00B32EF2" w:rsidRDefault="00000000">
      <w:pPr>
        <w:numPr>
          <w:ilvl w:val="0"/>
          <w:numId w:val="99"/>
        </w:numPr>
        <w:spacing w:after="4" w:line="254" w:lineRule="auto"/>
        <w:ind w:right="10" w:hanging="10"/>
        <w:jc w:val="both"/>
      </w:pPr>
      <w:r>
        <w:rPr>
          <w:rFonts w:ascii="Arial" w:eastAsia="Arial" w:hAnsi="Arial" w:cs="Arial"/>
          <w:sz w:val="18"/>
        </w:rPr>
        <w:t xml:space="preserve">In caso di mancato pagamento delle somme dovute o di una delle </w:t>
      </w:r>
      <w:proofErr w:type="spellStart"/>
      <w:r>
        <w:rPr>
          <w:rFonts w:ascii="Arial" w:eastAsia="Arial" w:hAnsi="Arial" w:cs="Arial"/>
          <w:sz w:val="18"/>
        </w:rPr>
        <w:t>rate,compresa</w:t>
      </w:r>
      <w:proofErr w:type="spellEnd"/>
      <w:r>
        <w:rPr>
          <w:rFonts w:ascii="Arial" w:eastAsia="Arial" w:hAnsi="Arial" w:cs="Arial"/>
          <w:sz w:val="18"/>
        </w:rPr>
        <w:t xml:space="preserve"> la prima, entro il termine di pagamento della rata successiva, il </w:t>
      </w:r>
      <w:r>
        <w:rPr>
          <w:rFonts w:ascii="Arial" w:eastAsia="Arial" w:hAnsi="Arial" w:cs="Arial"/>
          <w:sz w:val="18"/>
        </w:rPr>
        <w:lastRenderedPageBreak/>
        <w:t xml:space="preserve">competente ufficio provvede all’iscrizione a ruolo delle residue somme dovute a titolo di imposta, interessi e sanzioni, </w:t>
      </w:r>
      <w:proofErr w:type="spellStart"/>
      <w:r>
        <w:rPr>
          <w:rFonts w:ascii="Arial" w:eastAsia="Arial" w:hAnsi="Arial" w:cs="Arial"/>
          <w:sz w:val="18"/>
        </w:rPr>
        <w:t>nonchè</w:t>
      </w:r>
      <w:proofErr w:type="spellEnd"/>
      <w:r>
        <w:rPr>
          <w:rFonts w:ascii="Arial" w:eastAsia="Arial" w:hAnsi="Arial" w:cs="Arial"/>
          <w:sz w:val="18"/>
        </w:rPr>
        <w:t xml:space="preserve"> della sanzione di cui all’articolo 13 del decreto legislativo 18 dicembre 1997, n. 471,aumentata della metà e applicata sul residuo importo dovuto a titolo di imposta.</w:t>
      </w:r>
    </w:p>
    <w:p w14:paraId="42A12153" w14:textId="77777777" w:rsidR="00B32EF2" w:rsidRDefault="00000000">
      <w:pPr>
        <w:numPr>
          <w:ilvl w:val="0"/>
          <w:numId w:val="99"/>
        </w:numPr>
        <w:spacing w:after="150" w:line="254" w:lineRule="auto"/>
        <w:ind w:right="10" w:hanging="10"/>
        <w:jc w:val="both"/>
      </w:pPr>
      <w:r>
        <w:rPr>
          <w:rFonts w:ascii="Arial" w:eastAsia="Arial" w:hAnsi="Arial" w:cs="Arial"/>
          <w:sz w:val="18"/>
        </w:rPr>
        <w:t xml:space="preserve">Per il versamento rateale delle somme dovute si applicano, in </w:t>
      </w:r>
      <w:proofErr w:type="spellStart"/>
      <w:r>
        <w:rPr>
          <w:rFonts w:ascii="Arial" w:eastAsia="Arial" w:hAnsi="Arial" w:cs="Arial"/>
          <w:sz w:val="18"/>
        </w:rPr>
        <w:t>quantocompatibili</w:t>
      </w:r>
      <w:proofErr w:type="spellEnd"/>
      <w:r>
        <w:rPr>
          <w:rFonts w:ascii="Arial" w:eastAsia="Arial" w:hAnsi="Arial" w:cs="Arial"/>
          <w:sz w:val="18"/>
        </w:rPr>
        <w:t>, le disposizioni previste per l’accertamento con adesione dall’articolo 8 del decreto legislativo 19 giugno 1997, n. 218.</w:t>
      </w:r>
    </w:p>
    <w:p w14:paraId="3A88354F" w14:textId="77777777" w:rsidR="00B32EF2" w:rsidRDefault="00000000">
      <w:pPr>
        <w:pStyle w:val="Titolo3"/>
        <w:ind w:left="129" w:right="120"/>
      </w:pPr>
      <w:r>
        <w:t>NORME RICHIAMATE</w:t>
      </w:r>
    </w:p>
    <w:p w14:paraId="1671EE78"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13 D.lgs. 471/1997 “Ritardati od omessi versamenti diretti e altre violazioni in materia di compensazione” </w:t>
      </w:r>
    </w:p>
    <w:p w14:paraId="2BD6321C" w14:textId="77777777" w:rsidR="00B32EF2" w:rsidRDefault="00000000">
      <w:pPr>
        <w:numPr>
          <w:ilvl w:val="0"/>
          <w:numId w:val="100"/>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Chi non esegue, in tutto o in parte, alle prescritte scadenze, i </w:t>
      </w:r>
      <w:proofErr w:type="spellStart"/>
      <w:r>
        <w:rPr>
          <w:rFonts w:ascii="Arial" w:eastAsia="Arial" w:hAnsi="Arial" w:cs="Arial"/>
          <w:i/>
          <w:sz w:val="18"/>
        </w:rPr>
        <w:t>versamentiin</w:t>
      </w:r>
      <w:proofErr w:type="spellEnd"/>
      <w:r>
        <w:rPr>
          <w:rFonts w:ascii="Arial" w:eastAsia="Arial" w:hAnsi="Arial" w:cs="Arial"/>
          <w:i/>
          <w:sz w:val="18"/>
        </w:rPr>
        <w:t xml:space="preserve"> acconto, i versamenti periodici, il versamento di conguaglio o a saldo dell’imposta risultante dalla dichiarazione, detratto in questi casi l’ammontare dei versamenti periodici e in acconto, </w:t>
      </w:r>
      <w:proofErr w:type="spellStart"/>
      <w:r>
        <w:rPr>
          <w:rFonts w:ascii="Arial" w:eastAsia="Arial" w:hAnsi="Arial" w:cs="Arial"/>
          <w:i/>
          <w:sz w:val="18"/>
        </w:rPr>
        <w:t>ancorchè</w:t>
      </w:r>
      <w:proofErr w:type="spellEnd"/>
      <w:r>
        <w:rPr>
          <w:rFonts w:ascii="Arial" w:eastAsia="Arial" w:hAnsi="Arial" w:cs="Arial"/>
          <w:i/>
          <w:sz w:val="18"/>
        </w:rPr>
        <w:t xml:space="preserve"> non effettuati, è soggetto a sanzione amministrativa pari al trenta per cento di ogni importo non versato, anche quando, in seguito alla correzione di errori materiali o di calcolo rilevati in sede di controllo della dichiarazione annuale, risulti una maggiore imposta o una minore eccedenza detraibile. Per i versamenti effettuati con un ritardo non superiore a novanta giorni, la sanzione di cui al primo periodo è ridotta alla metà. Salva l’applicazione dell’articolo 13 del decreto legislativo 18 dicembre 1997, n. 472, per i versamenti effettuati con un ritardo non superiore a quindici giorni, la sanzione di cui al secondo periodo è ulteriormente ridotta a un importo pari a un quindicesimo per ciascun giorno di ritardo.</w:t>
      </w:r>
    </w:p>
    <w:p w14:paraId="534D1EB5" w14:textId="77777777" w:rsidR="00B32EF2" w:rsidRDefault="00000000">
      <w:pPr>
        <w:numPr>
          <w:ilvl w:val="0"/>
          <w:numId w:val="100"/>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La sanzione di cui al comma 1 si applica nei casi di </w:t>
      </w:r>
      <w:proofErr w:type="spellStart"/>
      <w:r>
        <w:rPr>
          <w:rFonts w:ascii="Arial" w:eastAsia="Arial" w:hAnsi="Arial" w:cs="Arial"/>
          <w:i/>
          <w:sz w:val="18"/>
        </w:rPr>
        <w:t>liquidazionedella</w:t>
      </w:r>
      <w:proofErr w:type="spellEnd"/>
      <w:r>
        <w:rPr>
          <w:rFonts w:ascii="Arial" w:eastAsia="Arial" w:hAnsi="Arial" w:cs="Arial"/>
          <w:i/>
          <w:sz w:val="18"/>
        </w:rPr>
        <w:t xml:space="preserve"> maggior imposta ai sensi degli articoli 36-bis e 36-ter del decreto del Presidente della Repubblica 29 settembre 1973, n. 600, e ai sensi dell’articolo 54-bis del decreto del Presidente della Repubblica 26 ottobre 1972, n. 633.</w:t>
      </w:r>
    </w:p>
    <w:p w14:paraId="509FEAFB" w14:textId="77777777" w:rsidR="00B32EF2" w:rsidRDefault="00000000">
      <w:pPr>
        <w:numPr>
          <w:ilvl w:val="0"/>
          <w:numId w:val="100"/>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Fuori dei casi di tributi iscritti a ruolo, la sanzione prevista al comma 1 </w:t>
      </w:r>
      <w:proofErr w:type="spellStart"/>
      <w:r>
        <w:rPr>
          <w:rFonts w:ascii="Arial" w:eastAsia="Arial" w:hAnsi="Arial" w:cs="Arial"/>
          <w:i/>
          <w:sz w:val="18"/>
        </w:rPr>
        <w:t>siapplica</w:t>
      </w:r>
      <w:proofErr w:type="spellEnd"/>
      <w:r>
        <w:rPr>
          <w:rFonts w:ascii="Arial" w:eastAsia="Arial" w:hAnsi="Arial" w:cs="Arial"/>
          <w:i/>
          <w:sz w:val="18"/>
        </w:rPr>
        <w:t xml:space="preserve"> altresì in ogni ipotesi di mancato pagamento di un tributo o di una sua frazione nel termine previsto.</w:t>
      </w:r>
    </w:p>
    <w:p w14:paraId="2206883C" w14:textId="77777777" w:rsidR="00B32EF2" w:rsidRDefault="00000000">
      <w:pPr>
        <w:numPr>
          <w:ilvl w:val="0"/>
          <w:numId w:val="100"/>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Nel caso di utilizzo di un’eccedenza o di un credito d’imposta esistenti </w:t>
      </w:r>
      <w:proofErr w:type="spellStart"/>
      <w:r>
        <w:rPr>
          <w:rFonts w:ascii="Arial" w:eastAsia="Arial" w:hAnsi="Arial" w:cs="Arial"/>
          <w:i/>
          <w:sz w:val="18"/>
        </w:rPr>
        <w:t>inmisura</w:t>
      </w:r>
      <w:proofErr w:type="spellEnd"/>
      <w:r>
        <w:rPr>
          <w:rFonts w:ascii="Arial" w:eastAsia="Arial" w:hAnsi="Arial" w:cs="Arial"/>
          <w:i/>
          <w:sz w:val="18"/>
        </w:rPr>
        <w:t xml:space="preserve"> superiore a quella spettante o in violazione delle modalità di utilizzo previste dalle leggi vigenti si applica, salva l’applicazione di disposizioni speciali, la sanzione pari al trenta per cento del credito utilizzato.</w:t>
      </w:r>
    </w:p>
    <w:p w14:paraId="6FA53299" w14:textId="77777777" w:rsidR="00B32EF2" w:rsidRDefault="00B32EF2">
      <w:pPr>
        <w:spacing w:after="0"/>
        <w:ind w:left="-1133" w:right="7372"/>
      </w:pPr>
    </w:p>
    <w:tbl>
      <w:tblPr>
        <w:tblStyle w:val="TableGrid"/>
        <w:tblW w:w="6236" w:type="dxa"/>
        <w:tblInd w:w="11" w:type="dxa"/>
        <w:tblCellMar>
          <w:top w:w="0" w:type="dxa"/>
          <w:left w:w="123" w:type="dxa"/>
          <w:bottom w:w="0" w:type="dxa"/>
          <w:right w:w="73" w:type="dxa"/>
        </w:tblCellMar>
        <w:tblLook w:val="04A0" w:firstRow="1" w:lastRow="0" w:firstColumn="1" w:lastColumn="0" w:noHBand="0" w:noVBand="1"/>
      </w:tblPr>
      <w:tblGrid>
        <w:gridCol w:w="6236"/>
      </w:tblGrid>
      <w:tr w:rsidR="00B32EF2" w14:paraId="5740940D" w14:textId="77777777">
        <w:trPr>
          <w:trHeight w:val="9405"/>
        </w:trPr>
        <w:tc>
          <w:tcPr>
            <w:tcW w:w="6236" w:type="dxa"/>
            <w:tcBorders>
              <w:top w:val="single" w:sz="8" w:space="0" w:color="000000"/>
              <w:left w:val="single" w:sz="8" w:space="0" w:color="000000"/>
              <w:bottom w:val="single" w:sz="8" w:space="0" w:color="000000"/>
              <w:right w:val="single" w:sz="8" w:space="0" w:color="000000"/>
            </w:tcBorders>
            <w:shd w:val="clear" w:color="auto" w:fill="C3C3C3"/>
            <w:vAlign w:val="center"/>
          </w:tcPr>
          <w:p w14:paraId="2F92F864" w14:textId="77777777" w:rsidR="00B32EF2" w:rsidRDefault="00000000">
            <w:pPr>
              <w:spacing w:after="0" w:line="232" w:lineRule="auto"/>
              <w:ind w:right="50"/>
              <w:jc w:val="both"/>
            </w:pPr>
            <w:r>
              <w:rPr>
                <w:rFonts w:ascii="Arial" w:eastAsia="Arial" w:hAnsi="Arial" w:cs="Arial"/>
                <w:i/>
                <w:sz w:val="18"/>
              </w:rPr>
              <w:lastRenderedPageBreak/>
              <w:t>5. Nel caso di utilizzo in compensazione di crediti inesistenti per il pagamento delle somme dovute è applicata la sanzione dal cento al duecento per cento della misura dei crediti stessi. Per le sanzioni previste nel presente comma, in nessun caso si applica la definizione agevolata prevista dagli articoli 16, comma 3, e 17, comma 2, del decreto legislativo 18 dicembre 1997, n. 472. Si intende inesistente il credito in relazione al quale manca, in tutto o in parte, il presupposto costitutivo e la cui inesistenza non sia riscontrabile mediante controlli di cui agli articoli 36-bis e 36-ter del decreto del Presidente della Repubblica 29 settembre 1973, n. 600, e all’articolo 54-bis del decreto del Presidente della Repubblica 26 ottobre 1972, n. 633. 6. Fuori dall’ipotesi di cui all’articolo 11, comma 7-bis, sull’ammontare delle eccedenze di credito risultanti dalla dichiarazione annuale dell’ente o società controllante ovvero delle società controllate, compensate in tutto o in parte con somme che avrebbero dovuto essere versate dalle altre società controllate o dall’ente o società controllante, di cui all’articolo 73, terzo comma, del decreto del Presidente della Repubblica 26 ottobre 1972, n. 633, si applica la sanzione di cui al comma 1 quando la garanzia di cui all’articolo 38-bis del medesimo decreto è presentata oltre il termine di novanta giorni dalla scadenza del termine di presentazione della dichiarazione annuale.</w:t>
            </w:r>
          </w:p>
          <w:p w14:paraId="344FE1E1" w14:textId="77777777" w:rsidR="00B32EF2" w:rsidRDefault="00000000">
            <w:pPr>
              <w:spacing w:after="0" w:line="232" w:lineRule="auto"/>
              <w:ind w:right="50"/>
              <w:jc w:val="both"/>
            </w:pPr>
            <w:r>
              <w:rPr>
                <w:rFonts w:ascii="Arial" w:eastAsia="Arial" w:hAnsi="Arial" w:cs="Arial"/>
                <w:i/>
                <w:sz w:val="18"/>
              </w:rPr>
              <w:t>7. Le sanzioni previste nel presente articolo non si applicano quando i versamenti sono stati tempestivamente eseguiti ad ufficio o concessionario diverso da quello competente. art. 8 D.lgs. 218/1997 “Adempimenti successivi” 1. Il versamento delle somme dovute per effetto dell’accertamento con adesione è eseguito entro venti giorni dalla redazione dell’atto di cui all’articolo 7.</w:t>
            </w:r>
          </w:p>
          <w:p w14:paraId="77994E80" w14:textId="77777777" w:rsidR="00B32EF2" w:rsidRDefault="00000000">
            <w:pPr>
              <w:numPr>
                <w:ilvl w:val="0"/>
                <w:numId w:val="217"/>
              </w:numPr>
              <w:spacing w:after="0" w:line="232" w:lineRule="auto"/>
              <w:ind w:right="50"/>
              <w:jc w:val="both"/>
            </w:pPr>
            <w:r>
              <w:rPr>
                <w:rFonts w:ascii="Arial" w:eastAsia="Arial" w:hAnsi="Arial" w:cs="Arial"/>
                <w:i/>
                <w:sz w:val="18"/>
              </w:rPr>
              <w:t xml:space="preserve">Le somme dovute possono essere versate anche ratealmente in </w:t>
            </w:r>
            <w:proofErr w:type="spellStart"/>
            <w:r>
              <w:rPr>
                <w:rFonts w:ascii="Arial" w:eastAsia="Arial" w:hAnsi="Arial" w:cs="Arial"/>
                <w:i/>
                <w:sz w:val="18"/>
              </w:rPr>
              <w:t>unmassimo</w:t>
            </w:r>
            <w:proofErr w:type="spellEnd"/>
            <w:r>
              <w:rPr>
                <w:rFonts w:ascii="Arial" w:eastAsia="Arial" w:hAnsi="Arial" w:cs="Arial"/>
                <w:i/>
                <w:sz w:val="18"/>
              </w:rPr>
              <w:t xml:space="preserve"> di otto rate trimestrali di pari importo o in un massimo di sedici rate trimestrali se le somme dovute superano i cinquantamila euro. L’importo della prima rata è versato entro il termine indicato nel comma 1. Le rate successive alla prima devono essere versate entro l’ultimo giorno di ciascun trimestre. Sull’importo delle rate successive alla prima sono dovuti gli interessi calcolati dal giorno successivo al termine di versamento della prima rata.</w:t>
            </w:r>
          </w:p>
          <w:p w14:paraId="4F657591" w14:textId="77777777" w:rsidR="00B32EF2" w:rsidRDefault="00000000">
            <w:pPr>
              <w:spacing w:after="0" w:line="232" w:lineRule="auto"/>
              <w:ind w:right="50"/>
              <w:jc w:val="both"/>
            </w:pPr>
            <w:r>
              <w:rPr>
                <w:rFonts w:ascii="Arial" w:eastAsia="Arial" w:hAnsi="Arial" w:cs="Arial"/>
                <w:i/>
                <w:sz w:val="18"/>
              </w:rPr>
              <w:t>2-bis. Per il versamento delle somme dovute a seguito di un accertamento con adesione conseguente alla definizione di atti di recupero non è possibile avvalersi della rateazione e della compensazione prevista dall’ articolo 17 del decreto legislativo 9 luglio 1997, n. 241 .</w:t>
            </w:r>
          </w:p>
          <w:p w14:paraId="025C1944" w14:textId="77777777" w:rsidR="00B32EF2" w:rsidRDefault="00000000">
            <w:pPr>
              <w:numPr>
                <w:ilvl w:val="0"/>
                <w:numId w:val="217"/>
              </w:numPr>
              <w:spacing w:after="0" w:line="232" w:lineRule="auto"/>
              <w:ind w:right="50"/>
              <w:jc w:val="both"/>
            </w:pPr>
            <w:r>
              <w:rPr>
                <w:rFonts w:ascii="Arial" w:eastAsia="Arial" w:hAnsi="Arial" w:cs="Arial"/>
                <w:i/>
                <w:sz w:val="18"/>
              </w:rPr>
              <w:t xml:space="preserve">Entro dieci giorni dal versamento dell’intero importo o di quello </w:t>
            </w:r>
            <w:proofErr w:type="spellStart"/>
            <w:r>
              <w:rPr>
                <w:rFonts w:ascii="Arial" w:eastAsia="Arial" w:hAnsi="Arial" w:cs="Arial"/>
                <w:i/>
                <w:sz w:val="18"/>
              </w:rPr>
              <w:t>dellaprima</w:t>
            </w:r>
            <w:proofErr w:type="spellEnd"/>
            <w:r>
              <w:rPr>
                <w:rFonts w:ascii="Arial" w:eastAsia="Arial" w:hAnsi="Arial" w:cs="Arial"/>
                <w:i/>
                <w:sz w:val="18"/>
              </w:rPr>
              <w:t xml:space="preserve"> rata il contribuente fa pervenire all’ufficio la quietanza dell’avvenuto pagamento. L’ufficio, verificato l’avvenuto pagamento, rilascia al contribuente copia dell’atto di accertamento con adesione.</w:t>
            </w:r>
          </w:p>
          <w:p w14:paraId="2241F429" w14:textId="77777777" w:rsidR="00B32EF2" w:rsidRDefault="00000000">
            <w:pPr>
              <w:numPr>
                <w:ilvl w:val="0"/>
                <w:numId w:val="217"/>
              </w:numPr>
              <w:spacing w:after="0"/>
              <w:ind w:right="50"/>
              <w:jc w:val="both"/>
            </w:pPr>
            <w:r>
              <w:rPr>
                <w:rFonts w:ascii="Arial" w:eastAsia="Arial" w:hAnsi="Arial" w:cs="Arial"/>
                <w:i/>
                <w:sz w:val="18"/>
              </w:rPr>
              <w:t xml:space="preserve">Per le modalità di versamento delle somme dovute si applicano </w:t>
            </w:r>
            <w:proofErr w:type="spellStart"/>
            <w:r>
              <w:rPr>
                <w:rFonts w:ascii="Arial" w:eastAsia="Arial" w:hAnsi="Arial" w:cs="Arial"/>
                <w:i/>
                <w:sz w:val="18"/>
              </w:rPr>
              <w:t>ledisposizioni</w:t>
            </w:r>
            <w:proofErr w:type="spellEnd"/>
            <w:r>
              <w:rPr>
                <w:rFonts w:ascii="Arial" w:eastAsia="Arial" w:hAnsi="Arial" w:cs="Arial"/>
                <w:i/>
                <w:sz w:val="18"/>
              </w:rPr>
              <w:t xml:space="preserve"> di cui all’articolo 15-bis. In caso di inadempimento nei pagamenti rateali si applicano le disposizioni di cui all’articolo 15-ter del decreto del Presidente della Repubblica 29 settembre 1973, n. 602.</w:t>
            </w:r>
          </w:p>
        </w:tc>
      </w:tr>
    </w:tbl>
    <w:p w14:paraId="637C8851" w14:textId="77777777" w:rsidR="00B32EF2" w:rsidRDefault="00000000">
      <w:pPr>
        <w:spacing w:after="0" w:line="261" w:lineRule="auto"/>
        <w:ind w:left="12" w:right="3" w:hanging="10"/>
        <w:jc w:val="center"/>
      </w:pPr>
      <w:r>
        <w:rPr>
          <w:rFonts w:ascii="Arial" w:eastAsia="Arial" w:hAnsi="Arial" w:cs="Arial"/>
          <w:b/>
          <w:sz w:val="18"/>
        </w:rPr>
        <w:lastRenderedPageBreak/>
        <w:t xml:space="preserve">CAPO III </w:t>
      </w:r>
    </w:p>
    <w:p w14:paraId="3B868436" w14:textId="77777777" w:rsidR="00B32EF2" w:rsidRDefault="00000000">
      <w:pPr>
        <w:spacing w:after="207" w:line="261" w:lineRule="auto"/>
        <w:ind w:left="12" w:right="2" w:hanging="10"/>
        <w:jc w:val="center"/>
      </w:pPr>
      <w:r>
        <w:rPr>
          <w:rFonts w:ascii="Arial" w:eastAsia="Arial" w:hAnsi="Arial" w:cs="Arial"/>
          <w:b/>
          <w:sz w:val="18"/>
        </w:rPr>
        <w:t xml:space="preserve"> LE IMPUGNAZIONI</w:t>
      </w:r>
    </w:p>
    <w:p w14:paraId="328ADDF7" w14:textId="77777777" w:rsidR="00B32EF2" w:rsidRDefault="00000000">
      <w:pPr>
        <w:spacing w:after="207" w:line="261" w:lineRule="auto"/>
        <w:ind w:left="12" w:right="3" w:hanging="10"/>
        <w:jc w:val="center"/>
      </w:pPr>
      <w:r>
        <w:rPr>
          <w:rFonts w:ascii="Arial" w:eastAsia="Arial" w:hAnsi="Arial" w:cs="Arial"/>
          <w:b/>
          <w:sz w:val="18"/>
        </w:rPr>
        <w:t xml:space="preserve">SEZIONE I </w:t>
      </w:r>
    </w:p>
    <w:p w14:paraId="1472181C" w14:textId="77777777" w:rsidR="00B32EF2" w:rsidRDefault="00000000">
      <w:pPr>
        <w:spacing w:after="207" w:line="261" w:lineRule="auto"/>
        <w:ind w:left="12" w:right="3" w:hanging="10"/>
        <w:jc w:val="center"/>
      </w:pPr>
      <w:r>
        <w:rPr>
          <w:rFonts w:ascii="Arial" w:eastAsia="Arial" w:hAnsi="Arial" w:cs="Arial"/>
          <w:b/>
          <w:sz w:val="18"/>
        </w:rPr>
        <w:t xml:space="preserve"> LE IMPUGNAZIONI IN GENERALE</w:t>
      </w:r>
    </w:p>
    <w:p w14:paraId="7813B9AB" w14:textId="77777777" w:rsidR="00B32EF2" w:rsidRDefault="00000000">
      <w:pPr>
        <w:spacing w:after="0" w:line="261" w:lineRule="auto"/>
        <w:ind w:left="12" w:right="3" w:hanging="10"/>
        <w:jc w:val="center"/>
      </w:pPr>
      <w:r>
        <w:rPr>
          <w:rFonts w:ascii="Arial" w:eastAsia="Arial" w:hAnsi="Arial" w:cs="Arial"/>
          <w:b/>
          <w:sz w:val="18"/>
        </w:rPr>
        <w:t>Articolo 49</w:t>
      </w:r>
    </w:p>
    <w:p w14:paraId="27C6CA9C" w14:textId="77777777" w:rsidR="00B32EF2" w:rsidRDefault="00000000">
      <w:pPr>
        <w:spacing w:after="3" w:line="251" w:lineRule="auto"/>
        <w:ind w:left="2320" w:right="2311" w:hanging="10"/>
        <w:jc w:val="center"/>
      </w:pPr>
      <w:r>
        <w:rPr>
          <w:rFonts w:ascii="Arial" w:eastAsia="Arial" w:hAnsi="Arial" w:cs="Arial"/>
          <w:i/>
          <w:sz w:val="18"/>
        </w:rPr>
        <w:t>(articolo 103 TUGT)</w:t>
      </w:r>
    </w:p>
    <w:p w14:paraId="10579552" w14:textId="77777777" w:rsidR="00B32EF2" w:rsidRDefault="00000000">
      <w:pPr>
        <w:spacing w:after="0" w:line="261" w:lineRule="auto"/>
        <w:ind w:left="12" w:right="2" w:hanging="10"/>
        <w:jc w:val="center"/>
      </w:pPr>
      <w:r>
        <w:rPr>
          <w:rFonts w:ascii="Arial" w:eastAsia="Arial" w:hAnsi="Arial" w:cs="Arial"/>
          <w:b/>
          <w:sz w:val="18"/>
        </w:rPr>
        <w:t xml:space="preserve">Disposizioni generali applicabili </w:t>
      </w:r>
    </w:p>
    <w:p w14:paraId="0B082BAE" w14:textId="77777777" w:rsidR="00B32EF2" w:rsidRDefault="00000000">
      <w:pPr>
        <w:spacing w:after="185" w:line="254" w:lineRule="auto"/>
        <w:ind w:left="-4" w:right="10" w:hanging="10"/>
        <w:jc w:val="both"/>
      </w:pPr>
      <w:r>
        <w:rPr>
          <w:rFonts w:ascii="Arial" w:eastAsia="Arial" w:hAnsi="Arial" w:cs="Arial"/>
          <w:sz w:val="18"/>
        </w:rPr>
        <w:t>1. Alle impugnazioni delle sentenze delle corti di giustizia tributaria di primo e secondo grado si applicano le disposizioni del titolo III, capo I, del libro II del codice di procedura civile, e fatto salvo quanto disposto nel presente decreto.</w:t>
      </w:r>
    </w:p>
    <w:p w14:paraId="5380713A" w14:textId="77777777" w:rsidR="00B32EF2" w:rsidRDefault="00000000">
      <w:pPr>
        <w:pStyle w:val="Titolo3"/>
        <w:ind w:left="129" w:right="60"/>
      </w:pPr>
      <w:r>
        <w:t>NORME COLLEGATE</w:t>
      </w:r>
    </w:p>
    <w:p w14:paraId="01848EB3"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242" w:line="251" w:lineRule="auto"/>
        <w:ind w:left="129" w:right="60" w:hanging="10"/>
        <w:jc w:val="both"/>
      </w:pPr>
      <w:r>
        <w:rPr>
          <w:rFonts w:ascii="Arial" w:eastAsia="Arial" w:hAnsi="Arial" w:cs="Arial"/>
          <w:i/>
          <w:sz w:val="18"/>
        </w:rPr>
        <w:t>artt. da 323 a 338 c.p.c. escluso art. 325 c.p.c.</w:t>
      </w:r>
    </w:p>
    <w:p w14:paraId="55630739" w14:textId="77777777" w:rsidR="00B32EF2" w:rsidRDefault="00000000">
      <w:pPr>
        <w:spacing w:after="0" w:line="261" w:lineRule="auto"/>
        <w:ind w:left="12" w:right="3" w:hanging="10"/>
        <w:jc w:val="center"/>
      </w:pPr>
      <w:r>
        <w:rPr>
          <w:rFonts w:ascii="Arial" w:eastAsia="Arial" w:hAnsi="Arial" w:cs="Arial"/>
          <w:b/>
          <w:sz w:val="18"/>
        </w:rPr>
        <w:t>Articolo 50</w:t>
      </w:r>
    </w:p>
    <w:p w14:paraId="5318F744" w14:textId="77777777" w:rsidR="00B32EF2" w:rsidRDefault="00000000">
      <w:pPr>
        <w:spacing w:after="3" w:line="251" w:lineRule="auto"/>
        <w:ind w:left="2320" w:right="2311" w:hanging="10"/>
        <w:jc w:val="center"/>
      </w:pPr>
      <w:r>
        <w:rPr>
          <w:rFonts w:ascii="Arial" w:eastAsia="Arial" w:hAnsi="Arial" w:cs="Arial"/>
          <w:i/>
          <w:sz w:val="18"/>
        </w:rPr>
        <w:t>(articolo 104 TUGT)</w:t>
      </w:r>
    </w:p>
    <w:p w14:paraId="7FD2BDAC" w14:textId="77777777" w:rsidR="00B32EF2" w:rsidRDefault="00000000">
      <w:pPr>
        <w:spacing w:after="0" w:line="261" w:lineRule="auto"/>
        <w:ind w:left="12" w:right="2" w:hanging="10"/>
        <w:jc w:val="center"/>
      </w:pPr>
      <w:r>
        <w:rPr>
          <w:rFonts w:ascii="Arial" w:eastAsia="Arial" w:hAnsi="Arial" w:cs="Arial"/>
          <w:b/>
          <w:sz w:val="18"/>
        </w:rPr>
        <w:t xml:space="preserve">I mezzi d’impugnazione </w:t>
      </w:r>
    </w:p>
    <w:p w14:paraId="52C364BF" w14:textId="77777777" w:rsidR="00B32EF2" w:rsidRDefault="00000000">
      <w:pPr>
        <w:spacing w:after="213" w:line="254" w:lineRule="auto"/>
        <w:ind w:left="-4" w:right="10" w:hanging="10"/>
        <w:jc w:val="both"/>
      </w:pPr>
      <w:r>
        <w:rPr>
          <w:rFonts w:ascii="Arial" w:eastAsia="Arial" w:hAnsi="Arial" w:cs="Arial"/>
          <w:sz w:val="18"/>
        </w:rPr>
        <w:t>1. I mezzi per impugnare le sentenze delle corti di giustizia tributaria di primo e secondo grado sono l’appello, il ricorso per cassazione e la revocazione.</w:t>
      </w:r>
    </w:p>
    <w:p w14:paraId="2CFCD791" w14:textId="77777777" w:rsidR="00B32EF2" w:rsidRDefault="00000000">
      <w:pPr>
        <w:spacing w:after="0" w:line="261" w:lineRule="auto"/>
        <w:ind w:left="12" w:right="3" w:hanging="10"/>
        <w:jc w:val="center"/>
      </w:pPr>
      <w:r>
        <w:rPr>
          <w:rFonts w:ascii="Arial" w:eastAsia="Arial" w:hAnsi="Arial" w:cs="Arial"/>
          <w:b/>
          <w:sz w:val="18"/>
        </w:rPr>
        <w:t>Articolo 51</w:t>
      </w:r>
    </w:p>
    <w:p w14:paraId="7AE6A9E4" w14:textId="77777777" w:rsidR="00B32EF2" w:rsidRDefault="00000000">
      <w:pPr>
        <w:spacing w:after="3" w:line="251" w:lineRule="auto"/>
        <w:ind w:left="2320" w:right="2311" w:hanging="10"/>
        <w:jc w:val="center"/>
      </w:pPr>
      <w:r>
        <w:rPr>
          <w:rFonts w:ascii="Arial" w:eastAsia="Arial" w:hAnsi="Arial" w:cs="Arial"/>
          <w:i/>
          <w:sz w:val="18"/>
        </w:rPr>
        <w:t>(articolo 105 TUGT)</w:t>
      </w:r>
    </w:p>
    <w:p w14:paraId="7E109652" w14:textId="77777777" w:rsidR="00B32EF2" w:rsidRDefault="00000000">
      <w:pPr>
        <w:spacing w:after="0" w:line="261" w:lineRule="auto"/>
        <w:ind w:left="12" w:right="2" w:hanging="10"/>
        <w:jc w:val="center"/>
      </w:pPr>
      <w:r>
        <w:rPr>
          <w:rFonts w:ascii="Arial" w:eastAsia="Arial" w:hAnsi="Arial" w:cs="Arial"/>
          <w:b/>
          <w:sz w:val="18"/>
        </w:rPr>
        <w:t xml:space="preserve">Termini d’impugnazione </w:t>
      </w:r>
    </w:p>
    <w:p w14:paraId="5D63C9CA" w14:textId="77777777" w:rsidR="00B32EF2" w:rsidRDefault="00000000">
      <w:pPr>
        <w:numPr>
          <w:ilvl w:val="0"/>
          <w:numId w:val="101"/>
        </w:numPr>
        <w:spacing w:after="4" w:line="254" w:lineRule="auto"/>
        <w:ind w:right="10" w:hanging="10"/>
        <w:jc w:val="both"/>
      </w:pPr>
      <w:r>
        <w:rPr>
          <w:rFonts w:ascii="Arial" w:eastAsia="Arial" w:hAnsi="Arial" w:cs="Arial"/>
          <w:sz w:val="18"/>
        </w:rPr>
        <w:t xml:space="preserve">Se la legge non dispone diversamente il termine per impugnare la </w:t>
      </w:r>
      <w:proofErr w:type="spellStart"/>
      <w:r>
        <w:rPr>
          <w:rFonts w:ascii="Arial" w:eastAsia="Arial" w:hAnsi="Arial" w:cs="Arial"/>
          <w:sz w:val="18"/>
        </w:rPr>
        <w:t>sentenzadella</w:t>
      </w:r>
      <w:proofErr w:type="spellEnd"/>
      <w:r>
        <w:rPr>
          <w:rFonts w:ascii="Arial" w:eastAsia="Arial" w:hAnsi="Arial" w:cs="Arial"/>
          <w:sz w:val="18"/>
        </w:rPr>
        <w:t xml:space="preserve"> corte di giustizia tributaria di primo e secondo grado è di sessanta giorni, decorrente dalla sua notificazione ad istanza di parte, salvo quanto disposto dall’art. 38, comma 3.</w:t>
      </w:r>
    </w:p>
    <w:p w14:paraId="584129EA" w14:textId="77777777" w:rsidR="00B32EF2" w:rsidRDefault="00000000">
      <w:pPr>
        <w:numPr>
          <w:ilvl w:val="0"/>
          <w:numId w:val="101"/>
        </w:numPr>
        <w:spacing w:after="196" w:line="254" w:lineRule="auto"/>
        <w:ind w:right="10" w:hanging="10"/>
        <w:jc w:val="both"/>
      </w:pPr>
      <w:r>
        <w:rPr>
          <w:rFonts w:ascii="Arial" w:eastAsia="Arial" w:hAnsi="Arial" w:cs="Arial"/>
          <w:sz w:val="18"/>
        </w:rPr>
        <w:t>Nel caso di revocazione per i motivi di cui ai numeri 1, 2, 3 e 6 dell’art. 395 del codice di procedura civile il termine di sessanta giorni decorre dal giorno in cui è stato scoperto il dolo o sono state dichiarate false le prove o è stato recuperato il documento o è passata in giudicato la sentenza che accerta il dolo del giudice.</w:t>
      </w:r>
    </w:p>
    <w:p w14:paraId="56F1E68D" w14:textId="77777777" w:rsidR="00B32EF2" w:rsidRDefault="00000000">
      <w:pPr>
        <w:pStyle w:val="Titolo3"/>
        <w:ind w:left="129" w:right="120"/>
      </w:pPr>
      <w:r>
        <w:t>NORME RICHIAMATE</w:t>
      </w:r>
    </w:p>
    <w:p w14:paraId="19268252"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395 c.p.c. “Casi di revocazione” </w:t>
      </w:r>
    </w:p>
    <w:p w14:paraId="7562481F"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Le sentenze pronunciate in grado d’appello o in un unico grado , possono essere impugnate per revocazione:</w:t>
      </w:r>
    </w:p>
    <w:p w14:paraId="5675C047" w14:textId="77777777" w:rsidR="00B32EF2" w:rsidRDefault="00000000">
      <w:pPr>
        <w:numPr>
          <w:ilvl w:val="0"/>
          <w:numId w:val="102"/>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03"/>
        <w:jc w:val="both"/>
      </w:pPr>
      <w:r>
        <w:rPr>
          <w:rFonts w:ascii="Arial" w:eastAsia="Arial" w:hAnsi="Arial" w:cs="Arial"/>
          <w:i/>
          <w:sz w:val="18"/>
        </w:rPr>
        <w:t>se sono l’effetto del dolo di una delle parti in danno dell’altra;</w:t>
      </w:r>
    </w:p>
    <w:p w14:paraId="7E5E36BC" w14:textId="77777777" w:rsidR="00B32EF2" w:rsidRDefault="00000000">
      <w:pPr>
        <w:numPr>
          <w:ilvl w:val="0"/>
          <w:numId w:val="102"/>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03"/>
        <w:jc w:val="both"/>
      </w:pPr>
      <w:r>
        <w:rPr>
          <w:rFonts w:ascii="Arial" w:eastAsia="Arial" w:hAnsi="Arial" w:cs="Arial"/>
          <w:i/>
          <w:sz w:val="18"/>
        </w:rPr>
        <w:lastRenderedPageBreak/>
        <w:t>se si è giudicato in base a prove riconosciute o comunque dichiarate false dopo la sentenza oppure che la parte soccombente ignorava essere state riconosciute o dichiarate tali prima della sentenza;</w:t>
      </w:r>
    </w:p>
    <w:p w14:paraId="7F66CD6B" w14:textId="77777777" w:rsidR="00B32EF2" w:rsidRDefault="00000000">
      <w:pPr>
        <w:numPr>
          <w:ilvl w:val="0"/>
          <w:numId w:val="102"/>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203"/>
        <w:jc w:val="both"/>
      </w:pPr>
      <w:r>
        <w:rPr>
          <w:rFonts w:ascii="Arial" w:eastAsia="Arial" w:hAnsi="Arial" w:cs="Arial"/>
          <w:i/>
          <w:sz w:val="18"/>
        </w:rPr>
        <w:t>se dopo la sentenza sono stati trovati uno o più documenti decisivi che la parte non aveva potuto produrre in giudizio per causa di forza maggiore o per fatto dell’avversario;</w:t>
      </w:r>
    </w:p>
    <w:p w14:paraId="25E37D48" w14:textId="77777777" w:rsidR="00B32EF2" w:rsidRDefault="00000000">
      <w:pPr>
        <w:numPr>
          <w:ilvl w:val="0"/>
          <w:numId w:val="102"/>
        </w:numPr>
        <w:pBdr>
          <w:top w:val="single" w:sz="8" w:space="0" w:color="000000"/>
          <w:left w:val="single" w:sz="8" w:space="0" w:color="000000"/>
          <w:bottom w:val="single" w:sz="8" w:space="0" w:color="000000"/>
          <w:right w:val="single" w:sz="8" w:space="0" w:color="000000"/>
        </w:pBdr>
        <w:shd w:val="clear" w:color="auto" w:fill="C3C3C3"/>
        <w:spacing w:after="513" w:line="251" w:lineRule="auto"/>
        <w:ind w:right="120" w:hanging="203"/>
        <w:jc w:val="both"/>
      </w:pPr>
      <w:r>
        <w:rPr>
          <w:rFonts w:ascii="Arial" w:eastAsia="Arial" w:hAnsi="Arial" w:cs="Arial"/>
          <w:i/>
          <w:sz w:val="18"/>
        </w:rPr>
        <w:t>se la sentenza è l’effetto di un errore di fatto risultante dagli atti o documenti della causa. Vi è questo errore quando la decisione è fondata sulla supposizione di un fatto la cui verità è incontrastabilmente esclusa, oppure quando è supposta l’inesistenza di un fatto la cui verità è positivamente stabilita, e tanto nell’uno quanto nell’altro caso se il fatto non costituì un punto controverso sul quale la sentenza ebbe a pronunciare ; 5) se la sentenza è contraria ad altra precedente avente fra le parti autorità di cosa giudicata, purché non abbia pronunciato sulla relativa eccezione; 6) se la sentenza è effetto del dolo del giudice, accertato con sentenza passata in giudicato.</w:t>
      </w:r>
    </w:p>
    <w:p w14:paraId="2349ECEE" w14:textId="77777777" w:rsidR="00B32EF2" w:rsidRDefault="00000000">
      <w:pPr>
        <w:spacing w:after="207" w:line="261" w:lineRule="auto"/>
        <w:ind w:left="12" w:right="3" w:hanging="10"/>
        <w:jc w:val="center"/>
      </w:pPr>
      <w:r>
        <w:rPr>
          <w:rFonts w:ascii="Arial" w:eastAsia="Arial" w:hAnsi="Arial" w:cs="Arial"/>
          <w:b/>
          <w:sz w:val="18"/>
        </w:rPr>
        <w:t xml:space="preserve">SEZIONE II </w:t>
      </w:r>
    </w:p>
    <w:p w14:paraId="66131BA8" w14:textId="77777777" w:rsidR="00B32EF2" w:rsidRDefault="00000000">
      <w:pPr>
        <w:spacing w:after="0" w:line="261" w:lineRule="auto"/>
        <w:ind w:left="12" w:right="3" w:hanging="10"/>
        <w:jc w:val="center"/>
      </w:pPr>
      <w:r>
        <w:rPr>
          <w:rFonts w:ascii="Arial" w:eastAsia="Arial" w:hAnsi="Arial" w:cs="Arial"/>
          <w:b/>
          <w:sz w:val="18"/>
        </w:rPr>
        <w:t xml:space="preserve"> IL GIUDIZIO DI APPELLO DAVANTI ALLA CORTE DI GIUSTIZIA </w:t>
      </w:r>
    </w:p>
    <w:p w14:paraId="0618FAE4" w14:textId="77777777" w:rsidR="00B32EF2" w:rsidRDefault="00000000">
      <w:pPr>
        <w:spacing w:after="0" w:line="261" w:lineRule="auto"/>
        <w:ind w:left="12" w:right="3" w:hanging="10"/>
        <w:jc w:val="center"/>
      </w:pPr>
      <w:r>
        <w:rPr>
          <w:rFonts w:ascii="Arial" w:eastAsia="Arial" w:hAnsi="Arial" w:cs="Arial"/>
          <w:b/>
          <w:sz w:val="18"/>
        </w:rPr>
        <w:t xml:space="preserve">TRIBUTARIA DI SECONDO GRADO </w:t>
      </w:r>
    </w:p>
    <w:tbl>
      <w:tblPr>
        <w:tblStyle w:val="TableGrid"/>
        <w:tblW w:w="6236" w:type="dxa"/>
        <w:tblInd w:w="-9" w:type="dxa"/>
        <w:tblCellMar>
          <w:top w:w="0" w:type="dxa"/>
          <w:left w:w="123" w:type="dxa"/>
          <w:bottom w:w="0" w:type="dxa"/>
          <w:right w:w="123" w:type="dxa"/>
        </w:tblCellMar>
        <w:tblLook w:val="04A0" w:firstRow="1" w:lastRow="0" w:firstColumn="1" w:lastColumn="0" w:noHBand="0" w:noVBand="1"/>
      </w:tblPr>
      <w:tblGrid>
        <w:gridCol w:w="6236"/>
      </w:tblGrid>
      <w:tr w:rsidR="00B32EF2" w14:paraId="50684EE1" w14:textId="77777777">
        <w:trPr>
          <w:trHeight w:val="4568"/>
        </w:trPr>
        <w:tc>
          <w:tcPr>
            <w:tcW w:w="6236" w:type="dxa"/>
            <w:tcBorders>
              <w:top w:val="single" w:sz="8" w:space="0" w:color="000000"/>
              <w:left w:val="single" w:sz="8" w:space="0" w:color="000000"/>
              <w:bottom w:val="single" w:sz="8" w:space="0" w:color="000000"/>
              <w:right w:val="single" w:sz="8" w:space="0" w:color="000000"/>
            </w:tcBorders>
            <w:vAlign w:val="center"/>
          </w:tcPr>
          <w:p w14:paraId="075D9DCD" w14:textId="77777777" w:rsidR="00B32EF2" w:rsidRDefault="00000000">
            <w:pPr>
              <w:spacing w:after="0" w:line="250" w:lineRule="auto"/>
              <w:ind w:left="2517" w:hanging="2198"/>
            </w:pPr>
            <w:r>
              <w:rPr>
                <w:rFonts w:ascii="Arial" w:eastAsia="Arial" w:hAnsi="Arial" w:cs="Arial"/>
                <w:b/>
                <w:sz w:val="18"/>
              </w:rPr>
              <w:lastRenderedPageBreak/>
              <w:t>Per i  giudizi instaurati  con ricorso notificato fino al 5.1.24 Articolo 52</w:t>
            </w:r>
          </w:p>
          <w:p w14:paraId="2D7B71F4" w14:textId="77777777" w:rsidR="00B32EF2" w:rsidRDefault="00000000">
            <w:pPr>
              <w:spacing w:after="0"/>
              <w:jc w:val="center"/>
            </w:pPr>
            <w:r>
              <w:rPr>
                <w:rFonts w:ascii="Arial" w:eastAsia="Arial" w:hAnsi="Arial" w:cs="Arial"/>
                <w:i/>
                <w:sz w:val="18"/>
              </w:rPr>
              <w:t>(articolo 106 TUGT)</w:t>
            </w:r>
          </w:p>
          <w:p w14:paraId="73CF651F" w14:textId="77777777" w:rsidR="00B32EF2" w:rsidRDefault="00000000">
            <w:pPr>
              <w:spacing w:after="0" w:line="250" w:lineRule="auto"/>
              <w:jc w:val="center"/>
            </w:pPr>
            <w:r>
              <w:rPr>
                <w:rFonts w:ascii="Arial" w:eastAsia="Arial" w:hAnsi="Arial" w:cs="Arial"/>
                <w:b/>
                <w:sz w:val="18"/>
              </w:rPr>
              <w:t xml:space="preserve">Giudice competente e provvedimenti sull’esecuzione provvisoria in appello </w:t>
            </w:r>
          </w:p>
          <w:p w14:paraId="76673B0A" w14:textId="77777777" w:rsidR="00B32EF2" w:rsidRDefault="00000000">
            <w:pPr>
              <w:numPr>
                <w:ilvl w:val="0"/>
                <w:numId w:val="218"/>
              </w:numPr>
              <w:spacing w:after="0" w:line="250" w:lineRule="auto"/>
              <w:jc w:val="both"/>
            </w:pPr>
            <w:r>
              <w:rPr>
                <w:rFonts w:ascii="Arial" w:eastAsia="Arial" w:hAnsi="Arial" w:cs="Arial"/>
                <w:sz w:val="18"/>
              </w:rPr>
              <w:t xml:space="preserve">La sentenza della corte di giustizia tributaria di primo grado può </w:t>
            </w:r>
            <w:proofErr w:type="spellStart"/>
            <w:r>
              <w:rPr>
                <w:rFonts w:ascii="Arial" w:eastAsia="Arial" w:hAnsi="Arial" w:cs="Arial"/>
                <w:sz w:val="18"/>
              </w:rPr>
              <w:t>essereappellata</w:t>
            </w:r>
            <w:proofErr w:type="spellEnd"/>
            <w:r>
              <w:rPr>
                <w:rFonts w:ascii="Arial" w:eastAsia="Arial" w:hAnsi="Arial" w:cs="Arial"/>
                <w:sz w:val="18"/>
              </w:rPr>
              <w:t xml:space="preserve"> alla corte di giustizia tributaria di secondo grado competente a norma dell’articolo 4, comma 2.</w:t>
            </w:r>
          </w:p>
          <w:p w14:paraId="7150D44F" w14:textId="77777777" w:rsidR="00B32EF2" w:rsidRDefault="00000000">
            <w:pPr>
              <w:numPr>
                <w:ilvl w:val="0"/>
                <w:numId w:val="218"/>
              </w:numPr>
              <w:spacing w:after="0" w:line="250" w:lineRule="auto"/>
              <w:jc w:val="both"/>
            </w:pPr>
            <w:r>
              <w:rPr>
                <w:rFonts w:ascii="Arial" w:eastAsia="Arial" w:hAnsi="Arial" w:cs="Arial"/>
                <w:sz w:val="18"/>
              </w:rPr>
              <w:t xml:space="preserve">L’appellante può chiedere alla corte di giustizia tributaria di secondo </w:t>
            </w:r>
            <w:proofErr w:type="spellStart"/>
            <w:r>
              <w:rPr>
                <w:rFonts w:ascii="Arial" w:eastAsia="Arial" w:hAnsi="Arial" w:cs="Arial"/>
                <w:sz w:val="18"/>
              </w:rPr>
              <w:t>gradodi</w:t>
            </w:r>
            <w:proofErr w:type="spellEnd"/>
            <w:r>
              <w:rPr>
                <w:rFonts w:ascii="Arial" w:eastAsia="Arial" w:hAnsi="Arial" w:cs="Arial"/>
                <w:sz w:val="18"/>
              </w:rPr>
              <w:t xml:space="preserve"> sospendere in tutto o in parte l’esecutività della sentenza impugnata, se sussistono gravi e fondati motivi. Il contribuente può comunque chiedere la sospensione dell’esecuzione dell’atto se da questa può derivargli un danno grave e irreparabile.</w:t>
            </w:r>
          </w:p>
          <w:p w14:paraId="44EDC745" w14:textId="77777777" w:rsidR="00B32EF2" w:rsidRDefault="00000000">
            <w:pPr>
              <w:numPr>
                <w:ilvl w:val="0"/>
                <w:numId w:val="218"/>
              </w:numPr>
              <w:spacing w:after="0" w:line="250" w:lineRule="auto"/>
              <w:jc w:val="both"/>
            </w:pPr>
            <w:r>
              <w:rPr>
                <w:rFonts w:ascii="Arial" w:eastAsia="Arial" w:hAnsi="Arial" w:cs="Arial"/>
                <w:sz w:val="18"/>
              </w:rPr>
              <w:t xml:space="preserve">Il presidente fissa con decreto la trattazione della istanza di </w:t>
            </w:r>
            <w:proofErr w:type="spellStart"/>
            <w:r>
              <w:rPr>
                <w:rFonts w:ascii="Arial" w:eastAsia="Arial" w:hAnsi="Arial" w:cs="Arial"/>
                <w:sz w:val="18"/>
              </w:rPr>
              <w:t>sospensioneper</w:t>
            </w:r>
            <w:proofErr w:type="spellEnd"/>
            <w:r>
              <w:rPr>
                <w:rFonts w:ascii="Arial" w:eastAsia="Arial" w:hAnsi="Arial" w:cs="Arial"/>
                <w:sz w:val="18"/>
              </w:rPr>
              <w:t xml:space="preserve"> la prima camera di consiglio utile disponendo che ne sia data comunicazione alle parti almeno dieci giorni liberi prima.</w:t>
            </w:r>
          </w:p>
          <w:p w14:paraId="7102838C" w14:textId="77777777" w:rsidR="00B32EF2" w:rsidRDefault="00000000">
            <w:pPr>
              <w:numPr>
                <w:ilvl w:val="0"/>
                <w:numId w:val="218"/>
              </w:numPr>
              <w:spacing w:after="0" w:line="250" w:lineRule="auto"/>
              <w:jc w:val="both"/>
            </w:pPr>
            <w:r>
              <w:rPr>
                <w:rFonts w:ascii="Arial" w:eastAsia="Arial" w:hAnsi="Arial" w:cs="Arial"/>
                <w:sz w:val="18"/>
              </w:rPr>
              <w:t xml:space="preserve">In caso di eccezionale urgenza il presidente, previa delibazione </w:t>
            </w:r>
            <w:proofErr w:type="spellStart"/>
            <w:r>
              <w:rPr>
                <w:rFonts w:ascii="Arial" w:eastAsia="Arial" w:hAnsi="Arial" w:cs="Arial"/>
                <w:sz w:val="18"/>
              </w:rPr>
              <w:t>delmerito</w:t>
            </w:r>
            <w:proofErr w:type="spellEnd"/>
            <w:r>
              <w:rPr>
                <w:rFonts w:ascii="Arial" w:eastAsia="Arial" w:hAnsi="Arial" w:cs="Arial"/>
                <w:sz w:val="18"/>
              </w:rPr>
              <w:t>, può disporre con decreto motivato la sospensione dell’esecutività della sentenza fino alla pronuncia del collegio.</w:t>
            </w:r>
          </w:p>
          <w:p w14:paraId="087D77C4" w14:textId="77777777" w:rsidR="00B32EF2" w:rsidRDefault="00000000">
            <w:pPr>
              <w:numPr>
                <w:ilvl w:val="0"/>
                <w:numId w:val="218"/>
              </w:numPr>
              <w:spacing w:after="0"/>
              <w:jc w:val="both"/>
            </w:pPr>
            <w:r>
              <w:rPr>
                <w:rFonts w:ascii="Arial" w:eastAsia="Arial" w:hAnsi="Arial" w:cs="Arial"/>
                <w:sz w:val="18"/>
              </w:rPr>
              <w:t>Il collegio, sentite le parti in camera di consiglio e delibato il merito,</w:t>
            </w:r>
          </w:p>
        </w:tc>
      </w:tr>
    </w:tbl>
    <w:p w14:paraId="4CA6DBD0"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provvede con ordinanza motivata non impugnabile.</w:t>
      </w:r>
    </w:p>
    <w:p w14:paraId="384B9EBE" w14:textId="77777777" w:rsidR="00B32EF2" w:rsidRDefault="00000000">
      <w:pPr>
        <w:pBdr>
          <w:top w:val="single" w:sz="8" w:space="0" w:color="000000"/>
          <w:left w:val="single" w:sz="8" w:space="0" w:color="000000"/>
          <w:bottom w:val="single" w:sz="8" w:space="0" w:color="000000"/>
          <w:right w:val="single" w:sz="8" w:space="0" w:color="000000"/>
        </w:pBdr>
        <w:spacing w:after="317" w:line="226" w:lineRule="auto"/>
        <w:ind w:left="129" w:right="120" w:hanging="10"/>
        <w:jc w:val="both"/>
      </w:pPr>
      <w:r>
        <w:rPr>
          <w:rFonts w:ascii="Arial" w:eastAsia="Arial" w:hAnsi="Arial" w:cs="Arial"/>
          <w:sz w:val="18"/>
        </w:rPr>
        <w:t>6. La sospensione può essere subordinata alla prestazione della garanzia di cui all’articolo 69 comma 2. Si applica la disposizione dell’articolo 47, comma 8-bis.</w:t>
      </w:r>
    </w:p>
    <w:p w14:paraId="4815B33E" w14:textId="77777777" w:rsidR="00B32EF2" w:rsidRDefault="00000000">
      <w:pPr>
        <w:spacing w:after="0" w:line="261" w:lineRule="auto"/>
        <w:ind w:left="12" w:right="3" w:hanging="10"/>
        <w:jc w:val="center"/>
      </w:pPr>
      <w:r>
        <w:rPr>
          <w:rFonts w:ascii="Arial" w:eastAsia="Arial" w:hAnsi="Arial" w:cs="Arial"/>
          <w:b/>
          <w:sz w:val="18"/>
        </w:rPr>
        <w:t>Articolo 52</w:t>
      </w:r>
    </w:p>
    <w:p w14:paraId="038A31A9" w14:textId="77777777" w:rsidR="00B32EF2" w:rsidRDefault="00000000">
      <w:pPr>
        <w:spacing w:after="3" w:line="251" w:lineRule="auto"/>
        <w:ind w:left="2320" w:right="2311" w:hanging="10"/>
        <w:jc w:val="center"/>
      </w:pPr>
      <w:r>
        <w:rPr>
          <w:rFonts w:ascii="Arial" w:eastAsia="Arial" w:hAnsi="Arial" w:cs="Arial"/>
          <w:i/>
          <w:sz w:val="18"/>
        </w:rPr>
        <w:t>(articolo 106 TUGT)</w:t>
      </w:r>
    </w:p>
    <w:p w14:paraId="679FD597" w14:textId="77777777" w:rsidR="00B32EF2" w:rsidRDefault="00000000">
      <w:pPr>
        <w:spacing w:after="0" w:line="261" w:lineRule="auto"/>
        <w:ind w:left="12" w:right="2" w:hanging="10"/>
        <w:jc w:val="center"/>
      </w:pPr>
      <w:r>
        <w:rPr>
          <w:rFonts w:ascii="Arial" w:eastAsia="Arial" w:hAnsi="Arial" w:cs="Arial"/>
          <w:b/>
          <w:sz w:val="18"/>
        </w:rPr>
        <w:t>Giudice competente e provvedimenti sull’esecuzione provvisoria in appello</w:t>
      </w:r>
    </w:p>
    <w:p w14:paraId="79D200B5" w14:textId="77777777" w:rsidR="00B32EF2" w:rsidRDefault="00000000">
      <w:pPr>
        <w:numPr>
          <w:ilvl w:val="0"/>
          <w:numId w:val="103"/>
        </w:numPr>
        <w:spacing w:after="4" w:line="254" w:lineRule="auto"/>
        <w:ind w:right="10" w:hanging="10"/>
        <w:jc w:val="both"/>
      </w:pPr>
      <w:r>
        <w:rPr>
          <w:rFonts w:ascii="Arial" w:eastAsia="Arial" w:hAnsi="Arial" w:cs="Arial"/>
          <w:sz w:val="18"/>
        </w:rPr>
        <w:t xml:space="preserve">La sentenza della corte di giustizia tributaria di primo grado può </w:t>
      </w:r>
      <w:proofErr w:type="spellStart"/>
      <w:r>
        <w:rPr>
          <w:rFonts w:ascii="Arial" w:eastAsia="Arial" w:hAnsi="Arial" w:cs="Arial"/>
          <w:sz w:val="18"/>
        </w:rPr>
        <w:t>essereappellata</w:t>
      </w:r>
      <w:proofErr w:type="spellEnd"/>
      <w:r>
        <w:rPr>
          <w:rFonts w:ascii="Arial" w:eastAsia="Arial" w:hAnsi="Arial" w:cs="Arial"/>
          <w:sz w:val="18"/>
        </w:rPr>
        <w:t xml:space="preserve"> alla corte di giustizia tributaria di secondo grado competente a norma dell’articolo 4, comma 2.</w:t>
      </w:r>
    </w:p>
    <w:p w14:paraId="08720D74" w14:textId="77777777" w:rsidR="00B32EF2" w:rsidRDefault="00000000">
      <w:pPr>
        <w:numPr>
          <w:ilvl w:val="0"/>
          <w:numId w:val="103"/>
        </w:numPr>
        <w:spacing w:after="4" w:line="254" w:lineRule="auto"/>
        <w:ind w:right="10" w:hanging="10"/>
        <w:jc w:val="both"/>
      </w:pPr>
      <w:r>
        <w:rPr>
          <w:rFonts w:ascii="Arial" w:eastAsia="Arial" w:hAnsi="Arial" w:cs="Arial"/>
          <w:sz w:val="18"/>
        </w:rPr>
        <w:t xml:space="preserve">L’appellante può chiedere alla corte di giustizia tributaria di secondo </w:t>
      </w:r>
      <w:proofErr w:type="spellStart"/>
      <w:r>
        <w:rPr>
          <w:rFonts w:ascii="Arial" w:eastAsia="Arial" w:hAnsi="Arial" w:cs="Arial"/>
          <w:sz w:val="18"/>
        </w:rPr>
        <w:t>gradodi</w:t>
      </w:r>
      <w:proofErr w:type="spellEnd"/>
      <w:r>
        <w:rPr>
          <w:rFonts w:ascii="Arial" w:eastAsia="Arial" w:hAnsi="Arial" w:cs="Arial"/>
          <w:sz w:val="18"/>
        </w:rPr>
        <w:t xml:space="preserve"> sospendere in tutto o in parte l’esecutività della sentenza impugnata, se sussistono gravi e fondati motivi.</w:t>
      </w:r>
    </w:p>
    <w:p w14:paraId="1A7ACB9F" w14:textId="77777777" w:rsidR="00B32EF2" w:rsidRDefault="00000000">
      <w:pPr>
        <w:numPr>
          <w:ilvl w:val="0"/>
          <w:numId w:val="103"/>
        </w:numPr>
        <w:spacing w:after="4" w:line="254" w:lineRule="auto"/>
        <w:ind w:right="10" w:hanging="10"/>
        <w:jc w:val="both"/>
      </w:pPr>
      <w:r>
        <w:rPr>
          <w:rFonts w:ascii="Arial" w:eastAsia="Arial" w:hAnsi="Arial" w:cs="Arial"/>
          <w:sz w:val="18"/>
        </w:rPr>
        <w:t xml:space="preserve">Il presidente fissa con decreto la trattazione della istanza di </w:t>
      </w:r>
      <w:proofErr w:type="spellStart"/>
      <w:r>
        <w:rPr>
          <w:rFonts w:ascii="Arial" w:eastAsia="Arial" w:hAnsi="Arial" w:cs="Arial"/>
          <w:sz w:val="18"/>
        </w:rPr>
        <w:t>sospensioneper</w:t>
      </w:r>
      <w:proofErr w:type="spellEnd"/>
      <w:r>
        <w:rPr>
          <w:rFonts w:ascii="Arial" w:eastAsia="Arial" w:hAnsi="Arial" w:cs="Arial"/>
          <w:sz w:val="18"/>
        </w:rPr>
        <w:t xml:space="preserve"> la prima camera di consiglio utile e comunque non oltre il trentesimo giorno dalla presentazione della medesima istanza, disponendo che ne sia data comunicazione alle parti almeno cinque giorni liberi prima.</w:t>
      </w:r>
    </w:p>
    <w:p w14:paraId="73E25A3E" w14:textId="77777777" w:rsidR="00B32EF2" w:rsidRDefault="00000000">
      <w:pPr>
        <w:numPr>
          <w:ilvl w:val="0"/>
          <w:numId w:val="103"/>
        </w:numPr>
        <w:spacing w:after="4" w:line="254" w:lineRule="auto"/>
        <w:ind w:right="10" w:hanging="10"/>
        <w:jc w:val="both"/>
      </w:pPr>
      <w:r>
        <w:rPr>
          <w:rFonts w:ascii="Arial" w:eastAsia="Arial" w:hAnsi="Arial" w:cs="Arial"/>
          <w:sz w:val="18"/>
        </w:rPr>
        <w:lastRenderedPageBreak/>
        <w:t xml:space="preserve">In caso di eccezionale urgenza il presidente, previa delibazione del </w:t>
      </w:r>
      <w:proofErr w:type="spellStart"/>
      <w:r>
        <w:rPr>
          <w:rFonts w:ascii="Arial" w:eastAsia="Arial" w:hAnsi="Arial" w:cs="Arial"/>
          <w:sz w:val="18"/>
        </w:rPr>
        <w:t>merito,può</w:t>
      </w:r>
      <w:proofErr w:type="spellEnd"/>
      <w:r>
        <w:rPr>
          <w:rFonts w:ascii="Arial" w:eastAsia="Arial" w:hAnsi="Arial" w:cs="Arial"/>
          <w:sz w:val="18"/>
        </w:rPr>
        <w:t xml:space="preserve"> disporre con decreto motivato la sospensione dell’esecutività della sentenza fino alla pronuncia del collegio.</w:t>
      </w:r>
    </w:p>
    <w:p w14:paraId="4DACE14D" w14:textId="77777777" w:rsidR="00B32EF2" w:rsidRDefault="00000000">
      <w:pPr>
        <w:numPr>
          <w:ilvl w:val="0"/>
          <w:numId w:val="103"/>
        </w:numPr>
        <w:spacing w:after="4" w:line="254" w:lineRule="auto"/>
        <w:ind w:right="10" w:hanging="10"/>
        <w:jc w:val="both"/>
      </w:pPr>
      <w:r>
        <w:rPr>
          <w:rFonts w:ascii="Arial" w:eastAsia="Arial" w:hAnsi="Arial" w:cs="Arial"/>
          <w:sz w:val="18"/>
        </w:rPr>
        <w:t xml:space="preserve">Il collegio, sentite le parti in camera di consiglio e delibato il merito, </w:t>
      </w:r>
      <w:proofErr w:type="spellStart"/>
      <w:r>
        <w:rPr>
          <w:rFonts w:ascii="Arial" w:eastAsia="Arial" w:hAnsi="Arial" w:cs="Arial"/>
          <w:sz w:val="18"/>
        </w:rPr>
        <w:t>provvedecon</w:t>
      </w:r>
      <w:proofErr w:type="spellEnd"/>
      <w:r>
        <w:rPr>
          <w:rFonts w:ascii="Arial" w:eastAsia="Arial" w:hAnsi="Arial" w:cs="Arial"/>
          <w:sz w:val="18"/>
        </w:rPr>
        <w:t xml:space="preserve"> ordinanza motivata non impugnabile.</w:t>
      </w:r>
    </w:p>
    <w:p w14:paraId="7C4C2CA6" w14:textId="77777777" w:rsidR="00B32EF2" w:rsidRDefault="00000000">
      <w:pPr>
        <w:numPr>
          <w:ilvl w:val="0"/>
          <w:numId w:val="103"/>
        </w:numPr>
        <w:spacing w:after="213" w:line="254" w:lineRule="auto"/>
        <w:ind w:right="10" w:hanging="10"/>
        <w:jc w:val="both"/>
      </w:pPr>
      <w:r>
        <w:rPr>
          <w:rFonts w:ascii="Arial" w:eastAsia="Arial" w:hAnsi="Arial" w:cs="Arial"/>
          <w:sz w:val="18"/>
        </w:rPr>
        <w:t xml:space="preserve">La sospensione può essere subordinata alla prestazione della garanzia di </w:t>
      </w:r>
      <w:proofErr w:type="spellStart"/>
      <w:r>
        <w:rPr>
          <w:rFonts w:ascii="Arial" w:eastAsia="Arial" w:hAnsi="Arial" w:cs="Arial"/>
          <w:sz w:val="18"/>
        </w:rPr>
        <w:t>cuiall’articolo</w:t>
      </w:r>
      <w:proofErr w:type="spellEnd"/>
      <w:r>
        <w:rPr>
          <w:rFonts w:ascii="Arial" w:eastAsia="Arial" w:hAnsi="Arial" w:cs="Arial"/>
          <w:sz w:val="18"/>
        </w:rPr>
        <w:t xml:space="preserve"> 69 comma 2. Si applica la disposizione dell’articolo 47, comma 8-bis. 6-bis. L’udienza di trattazione dell’istanza di sospensione non può in ogni caso coincidere con l’udienza di trattazione del merito della controversia.</w:t>
      </w:r>
    </w:p>
    <w:p w14:paraId="1159C8CE" w14:textId="77777777" w:rsidR="00B32EF2" w:rsidRDefault="00000000">
      <w:pPr>
        <w:spacing w:after="0" w:line="261" w:lineRule="auto"/>
        <w:ind w:left="12" w:right="3" w:hanging="10"/>
        <w:jc w:val="center"/>
      </w:pPr>
      <w:r>
        <w:rPr>
          <w:rFonts w:ascii="Arial" w:eastAsia="Arial" w:hAnsi="Arial" w:cs="Arial"/>
          <w:b/>
          <w:sz w:val="18"/>
        </w:rPr>
        <w:t>Articolo 53</w:t>
      </w:r>
    </w:p>
    <w:p w14:paraId="3C793AE9" w14:textId="77777777" w:rsidR="00B32EF2" w:rsidRDefault="00000000">
      <w:pPr>
        <w:spacing w:after="3" w:line="251" w:lineRule="auto"/>
        <w:ind w:left="2320" w:right="2311" w:hanging="10"/>
        <w:jc w:val="center"/>
      </w:pPr>
      <w:r>
        <w:rPr>
          <w:rFonts w:ascii="Arial" w:eastAsia="Arial" w:hAnsi="Arial" w:cs="Arial"/>
          <w:i/>
          <w:sz w:val="18"/>
        </w:rPr>
        <w:t>(articolo 107 TUGT)</w:t>
      </w:r>
    </w:p>
    <w:p w14:paraId="11D5DFB4" w14:textId="77777777" w:rsidR="00B32EF2" w:rsidRDefault="00000000">
      <w:pPr>
        <w:spacing w:after="0" w:line="261" w:lineRule="auto"/>
        <w:ind w:left="12" w:right="2" w:hanging="10"/>
        <w:jc w:val="center"/>
      </w:pPr>
      <w:r>
        <w:rPr>
          <w:rFonts w:ascii="Arial" w:eastAsia="Arial" w:hAnsi="Arial" w:cs="Arial"/>
          <w:b/>
          <w:sz w:val="18"/>
        </w:rPr>
        <w:t xml:space="preserve">Forma dell’appello </w:t>
      </w:r>
    </w:p>
    <w:p w14:paraId="54F3B4D0" w14:textId="77777777" w:rsidR="00B32EF2" w:rsidRDefault="00000000">
      <w:pPr>
        <w:numPr>
          <w:ilvl w:val="0"/>
          <w:numId w:val="104"/>
        </w:numPr>
        <w:spacing w:after="4" w:line="254" w:lineRule="auto"/>
        <w:ind w:right="10" w:hanging="10"/>
        <w:jc w:val="both"/>
      </w:pPr>
      <w:r>
        <w:rPr>
          <w:rFonts w:ascii="Arial" w:eastAsia="Arial" w:hAnsi="Arial" w:cs="Arial"/>
          <w:sz w:val="18"/>
        </w:rPr>
        <w:t xml:space="preserve">Il ricorso in appello contiene l’indicazione della corte di giustizia </w:t>
      </w:r>
      <w:proofErr w:type="spellStart"/>
      <w:r>
        <w:rPr>
          <w:rFonts w:ascii="Arial" w:eastAsia="Arial" w:hAnsi="Arial" w:cs="Arial"/>
          <w:sz w:val="18"/>
        </w:rPr>
        <w:t>tributariadi</w:t>
      </w:r>
      <w:proofErr w:type="spellEnd"/>
      <w:r>
        <w:rPr>
          <w:rFonts w:ascii="Arial" w:eastAsia="Arial" w:hAnsi="Arial" w:cs="Arial"/>
          <w:sz w:val="18"/>
        </w:rPr>
        <w:t xml:space="preserve"> primo e secondo grado a cui è diretto, dell’appellante e delle altre parti nei cui confronti è proposto, gli estremi della sentenza impugnata, l’esposizione sommaria dei fatti, l’oggetto della domanda ed i motivi specifici dell’impugnazione. Il ricorso in appello è inammissibile se manca o è assolutamente incerto uno degli elementi sopra indicati o se non è sottoscritto a norma dell’art. 18, comma 3.</w:t>
      </w:r>
    </w:p>
    <w:p w14:paraId="246C60C9" w14:textId="77777777" w:rsidR="00B32EF2" w:rsidRDefault="00000000">
      <w:pPr>
        <w:numPr>
          <w:ilvl w:val="0"/>
          <w:numId w:val="104"/>
        </w:numPr>
        <w:spacing w:after="4" w:line="254" w:lineRule="auto"/>
        <w:ind w:right="10" w:hanging="10"/>
        <w:jc w:val="both"/>
      </w:pPr>
      <w:r>
        <w:rPr>
          <w:rFonts w:ascii="Arial" w:eastAsia="Arial" w:hAnsi="Arial" w:cs="Arial"/>
          <w:sz w:val="18"/>
        </w:rPr>
        <w:t>Il ricorso in appello è proposto nelle forme di cui all’art. 20, commi 1 e 2,nei confronti di tutte le parti che hanno partecipato al giudizio di primo grado e deve essere depositato a norma dell’art. 22, commi 1, 2 e 3.</w:t>
      </w:r>
    </w:p>
    <w:p w14:paraId="6CC9D4F6" w14:textId="77777777" w:rsidR="00B32EF2" w:rsidRDefault="00000000">
      <w:pPr>
        <w:numPr>
          <w:ilvl w:val="0"/>
          <w:numId w:val="104"/>
        </w:numPr>
        <w:spacing w:after="217" w:line="254" w:lineRule="auto"/>
        <w:ind w:right="10" w:hanging="10"/>
        <w:jc w:val="both"/>
      </w:pPr>
      <w:r>
        <w:rPr>
          <w:rFonts w:ascii="Arial" w:eastAsia="Arial" w:hAnsi="Arial" w:cs="Arial"/>
          <w:sz w:val="18"/>
        </w:rPr>
        <w:t xml:space="preserve">Subito dopo il deposito del ricorso in appello, la segreteria della </w:t>
      </w:r>
      <w:proofErr w:type="spellStart"/>
      <w:r>
        <w:rPr>
          <w:rFonts w:ascii="Arial" w:eastAsia="Arial" w:hAnsi="Arial" w:cs="Arial"/>
          <w:sz w:val="18"/>
        </w:rPr>
        <w:t>cortedi</w:t>
      </w:r>
      <w:proofErr w:type="spellEnd"/>
      <w:r>
        <w:rPr>
          <w:rFonts w:ascii="Arial" w:eastAsia="Arial" w:hAnsi="Arial" w:cs="Arial"/>
          <w:sz w:val="18"/>
        </w:rPr>
        <w:t xml:space="preserve"> giustizia tributaria di secondo grado chiede alla segreteria della corte di giustizia tributaria di primo grado la trasmissione del fascicolo del processo, che deve contenere copia autentica della sentenza.</w:t>
      </w:r>
    </w:p>
    <w:p w14:paraId="15FBC852" w14:textId="77777777" w:rsidR="00B32EF2" w:rsidRDefault="00000000">
      <w:pPr>
        <w:spacing w:after="0" w:line="261" w:lineRule="auto"/>
        <w:ind w:left="12" w:right="3" w:hanging="10"/>
        <w:jc w:val="center"/>
      </w:pPr>
      <w:r>
        <w:rPr>
          <w:rFonts w:ascii="Arial" w:eastAsia="Arial" w:hAnsi="Arial" w:cs="Arial"/>
          <w:b/>
          <w:sz w:val="18"/>
        </w:rPr>
        <w:t>Articolo 54</w:t>
      </w:r>
    </w:p>
    <w:p w14:paraId="7740BB71" w14:textId="77777777" w:rsidR="00B32EF2" w:rsidRDefault="00000000">
      <w:pPr>
        <w:spacing w:after="3" w:line="251" w:lineRule="auto"/>
        <w:ind w:left="2320" w:right="2311" w:hanging="10"/>
        <w:jc w:val="center"/>
      </w:pPr>
      <w:r>
        <w:rPr>
          <w:rFonts w:ascii="Arial" w:eastAsia="Arial" w:hAnsi="Arial" w:cs="Arial"/>
          <w:i/>
          <w:sz w:val="18"/>
        </w:rPr>
        <w:t>(articolo 108 TUGT)</w:t>
      </w:r>
    </w:p>
    <w:p w14:paraId="0963CD19" w14:textId="77777777" w:rsidR="00B32EF2" w:rsidRDefault="00000000">
      <w:pPr>
        <w:spacing w:after="0" w:line="261" w:lineRule="auto"/>
        <w:ind w:left="12" w:right="2" w:hanging="10"/>
        <w:jc w:val="center"/>
      </w:pPr>
      <w:r>
        <w:rPr>
          <w:rFonts w:ascii="Arial" w:eastAsia="Arial" w:hAnsi="Arial" w:cs="Arial"/>
          <w:b/>
          <w:sz w:val="18"/>
        </w:rPr>
        <w:t xml:space="preserve">Controdeduzioni dell’appellato e appello incidentale </w:t>
      </w:r>
    </w:p>
    <w:p w14:paraId="54BFF30D" w14:textId="77777777" w:rsidR="00B32EF2" w:rsidRDefault="00000000">
      <w:pPr>
        <w:numPr>
          <w:ilvl w:val="0"/>
          <w:numId w:val="105"/>
        </w:numPr>
        <w:spacing w:after="4" w:line="254" w:lineRule="auto"/>
        <w:ind w:right="10" w:hanging="10"/>
        <w:jc w:val="both"/>
      </w:pPr>
      <w:r>
        <w:rPr>
          <w:rFonts w:ascii="Arial" w:eastAsia="Arial" w:hAnsi="Arial" w:cs="Arial"/>
          <w:sz w:val="18"/>
        </w:rPr>
        <w:t xml:space="preserve">Le parti diverse dall’appellante debbono costituirsi nei modi  e  termini </w:t>
      </w:r>
      <w:proofErr w:type="spellStart"/>
      <w:r>
        <w:rPr>
          <w:rFonts w:ascii="Arial" w:eastAsia="Arial" w:hAnsi="Arial" w:cs="Arial"/>
          <w:sz w:val="18"/>
        </w:rPr>
        <w:t>dicui</w:t>
      </w:r>
      <w:proofErr w:type="spellEnd"/>
      <w:r>
        <w:rPr>
          <w:rFonts w:ascii="Arial" w:eastAsia="Arial" w:hAnsi="Arial" w:cs="Arial"/>
          <w:sz w:val="18"/>
        </w:rPr>
        <w:t xml:space="preserve">   all’art.   23   depositando   apposito  atto  di controdeduzioni.</w:t>
      </w:r>
    </w:p>
    <w:p w14:paraId="62DC11B0" w14:textId="77777777" w:rsidR="00B32EF2" w:rsidRDefault="00000000">
      <w:pPr>
        <w:numPr>
          <w:ilvl w:val="0"/>
          <w:numId w:val="105"/>
        </w:numPr>
        <w:spacing w:after="213" w:line="254" w:lineRule="auto"/>
        <w:ind w:right="10" w:hanging="10"/>
        <w:jc w:val="both"/>
      </w:pPr>
      <w:r>
        <w:rPr>
          <w:rFonts w:ascii="Arial" w:eastAsia="Arial" w:hAnsi="Arial" w:cs="Arial"/>
          <w:sz w:val="18"/>
        </w:rPr>
        <w:t xml:space="preserve">Nello stesso  atto  depositato   nei   modi   e   termini   di   cui   al </w:t>
      </w:r>
      <w:proofErr w:type="spellStart"/>
      <w:r>
        <w:rPr>
          <w:rFonts w:ascii="Arial" w:eastAsia="Arial" w:hAnsi="Arial" w:cs="Arial"/>
          <w:sz w:val="18"/>
        </w:rPr>
        <w:t>precedentecomma</w:t>
      </w:r>
      <w:proofErr w:type="spellEnd"/>
      <w:r>
        <w:rPr>
          <w:rFonts w:ascii="Arial" w:eastAsia="Arial" w:hAnsi="Arial" w:cs="Arial"/>
          <w:sz w:val="18"/>
        </w:rPr>
        <w:t xml:space="preserve">  può  essere  proposto, a pena d’inammissibilità,  appello  incidentale.</w:t>
      </w:r>
    </w:p>
    <w:p w14:paraId="2F9F7038" w14:textId="77777777" w:rsidR="00B32EF2" w:rsidRDefault="00000000">
      <w:pPr>
        <w:spacing w:after="0" w:line="261" w:lineRule="auto"/>
        <w:ind w:left="12" w:right="3" w:hanging="10"/>
        <w:jc w:val="center"/>
      </w:pPr>
      <w:r>
        <w:rPr>
          <w:rFonts w:ascii="Arial" w:eastAsia="Arial" w:hAnsi="Arial" w:cs="Arial"/>
          <w:b/>
          <w:sz w:val="18"/>
        </w:rPr>
        <w:t>Articolo 55</w:t>
      </w:r>
    </w:p>
    <w:p w14:paraId="12A0E1AC" w14:textId="77777777" w:rsidR="00B32EF2" w:rsidRDefault="00000000">
      <w:pPr>
        <w:spacing w:after="3" w:line="251" w:lineRule="auto"/>
        <w:ind w:left="2320" w:right="2311" w:hanging="10"/>
        <w:jc w:val="center"/>
      </w:pPr>
      <w:r>
        <w:rPr>
          <w:rFonts w:ascii="Arial" w:eastAsia="Arial" w:hAnsi="Arial" w:cs="Arial"/>
          <w:i/>
          <w:sz w:val="18"/>
        </w:rPr>
        <w:t>(articolo 109 TUGT)</w:t>
      </w:r>
    </w:p>
    <w:p w14:paraId="40FE4858" w14:textId="77777777" w:rsidR="00B32EF2" w:rsidRDefault="00000000">
      <w:pPr>
        <w:spacing w:after="0" w:line="261" w:lineRule="auto"/>
        <w:ind w:left="12" w:right="3" w:hanging="10"/>
        <w:jc w:val="center"/>
      </w:pPr>
      <w:r>
        <w:rPr>
          <w:rFonts w:ascii="Arial" w:eastAsia="Arial" w:hAnsi="Arial" w:cs="Arial"/>
          <w:b/>
          <w:sz w:val="18"/>
        </w:rPr>
        <w:t xml:space="preserve">Provvedimenti presidenziali </w:t>
      </w:r>
    </w:p>
    <w:p w14:paraId="762A2F08" w14:textId="77777777" w:rsidR="00B32EF2" w:rsidRDefault="00000000">
      <w:pPr>
        <w:spacing w:after="213" w:line="254" w:lineRule="auto"/>
        <w:ind w:left="-4" w:right="10" w:hanging="10"/>
        <w:jc w:val="both"/>
      </w:pPr>
      <w:r>
        <w:rPr>
          <w:rFonts w:ascii="Arial" w:eastAsia="Arial" w:hAnsi="Arial" w:cs="Arial"/>
          <w:sz w:val="18"/>
        </w:rPr>
        <w:lastRenderedPageBreak/>
        <w:t>1. Il  presidente   e   i   presidenti   di   sezione   della corte di giustizia tributaria di secondo grado   hanno   poteri   corrispondenti   a    quelli    del  presidente e  dei  presidenti  di  sezione  della corte di giustizia tributaria di primo grado.</w:t>
      </w:r>
    </w:p>
    <w:p w14:paraId="4B5B48A8" w14:textId="77777777" w:rsidR="00B32EF2" w:rsidRDefault="00000000">
      <w:pPr>
        <w:spacing w:after="0" w:line="261" w:lineRule="auto"/>
        <w:ind w:left="12" w:right="3" w:hanging="10"/>
        <w:jc w:val="center"/>
      </w:pPr>
      <w:r>
        <w:rPr>
          <w:rFonts w:ascii="Arial" w:eastAsia="Arial" w:hAnsi="Arial" w:cs="Arial"/>
          <w:b/>
          <w:sz w:val="18"/>
        </w:rPr>
        <w:t>Articolo 56</w:t>
      </w:r>
    </w:p>
    <w:p w14:paraId="07FF2D86" w14:textId="77777777" w:rsidR="00B32EF2" w:rsidRDefault="00000000">
      <w:pPr>
        <w:spacing w:after="3" w:line="251" w:lineRule="auto"/>
        <w:ind w:left="2320" w:right="2311" w:hanging="10"/>
        <w:jc w:val="center"/>
      </w:pPr>
      <w:r>
        <w:rPr>
          <w:rFonts w:ascii="Arial" w:eastAsia="Arial" w:hAnsi="Arial" w:cs="Arial"/>
          <w:i/>
          <w:sz w:val="18"/>
        </w:rPr>
        <w:t>(articolo 110 TUGT)</w:t>
      </w:r>
    </w:p>
    <w:p w14:paraId="63823502" w14:textId="77777777" w:rsidR="00B32EF2" w:rsidRDefault="00000000">
      <w:pPr>
        <w:spacing w:after="0" w:line="261" w:lineRule="auto"/>
        <w:ind w:left="12" w:right="3" w:hanging="10"/>
        <w:jc w:val="center"/>
      </w:pPr>
      <w:r>
        <w:rPr>
          <w:rFonts w:ascii="Arial" w:eastAsia="Arial" w:hAnsi="Arial" w:cs="Arial"/>
          <w:b/>
          <w:sz w:val="18"/>
        </w:rPr>
        <w:t xml:space="preserve">Questioni ed eccezioni non riproposte </w:t>
      </w:r>
    </w:p>
    <w:p w14:paraId="15388AEF" w14:textId="77777777" w:rsidR="00B32EF2" w:rsidRDefault="00000000">
      <w:pPr>
        <w:spacing w:after="213" w:line="254" w:lineRule="auto"/>
        <w:ind w:left="-4" w:right="10" w:hanging="10"/>
        <w:jc w:val="both"/>
      </w:pPr>
      <w:r>
        <w:rPr>
          <w:rFonts w:ascii="Arial" w:eastAsia="Arial" w:hAnsi="Arial" w:cs="Arial"/>
          <w:sz w:val="18"/>
        </w:rPr>
        <w:t>1. Le  questioni  ed   eccezioni   non   accolte   nella   sentenza   della corte di giustizia tributaria di primo grado,  che  non sono specificamente riproposte in appello,  s’intendono rinunciate.</w:t>
      </w:r>
    </w:p>
    <w:p w14:paraId="3536BA4F" w14:textId="77777777" w:rsidR="00B32EF2" w:rsidRDefault="00000000">
      <w:pPr>
        <w:spacing w:after="0" w:line="261" w:lineRule="auto"/>
        <w:ind w:left="12" w:right="3" w:hanging="10"/>
        <w:jc w:val="center"/>
      </w:pPr>
      <w:r>
        <w:rPr>
          <w:rFonts w:ascii="Arial" w:eastAsia="Arial" w:hAnsi="Arial" w:cs="Arial"/>
          <w:b/>
          <w:sz w:val="18"/>
        </w:rPr>
        <w:t>Articolo 57</w:t>
      </w:r>
    </w:p>
    <w:p w14:paraId="0F96271E" w14:textId="77777777" w:rsidR="00B32EF2" w:rsidRDefault="00000000">
      <w:pPr>
        <w:spacing w:after="3" w:line="251" w:lineRule="auto"/>
        <w:ind w:left="2320" w:right="2311" w:hanging="10"/>
        <w:jc w:val="center"/>
      </w:pPr>
      <w:r>
        <w:rPr>
          <w:rFonts w:ascii="Arial" w:eastAsia="Arial" w:hAnsi="Arial" w:cs="Arial"/>
          <w:i/>
          <w:sz w:val="18"/>
        </w:rPr>
        <w:t>(articolo 111 TUGT)</w:t>
      </w:r>
    </w:p>
    <w:p w14:paraId="0E676924" w14:textId="77777777" w:rsidR="00B32EF2" w:rsidRDefault="00000000">
      <w:pPr>
        <w:spacing w:after="0" w:line="261" w:lineRule="auto"/>
        <w:ind w:left="12" w:right="3" w:hanging="10"/>
        <w:jc w:val="center"/>
      </w:pPr>
      <w:r>
        <w:rPr>
          <w:rFonts w:ascii="Arial" w:eastAsia="Arial" w:hAnsi="Arial" w:cs="Arial"/>
          <w:b/>
          <w:sz w:val="18"/>
        </w:rPr>
        <w:t xml:space="preserve">Domande ed eccezioni nuove </w:t>
      </w:r>
    </w:p>
    <w:p w14:paraId="3039493E" w14:textId="77777777" w:rsidR="00B32EF2" w:rsidRDefault="00000000">
      <w:pPr>
        <w:numPr>
          <w:ilvl w:val="0"/>
          <w:numId w:val="106"/>
        </w:numPr>
        <w:spacing w:after="4" w:line="254" w:lineRule="auto"/>
        <w:ind w:right="10" w:hanging="177"/>
        <w:jc w:val="both"/>
      </w:pPr>
      <w:r>
        <w:rPr>
          <w:rFonts w:ascii="Arial" w:eastAsia="Arial" w:hAnsi="Arial" w:cs="Arial"/>
          <w:sz w:val="18"/>
        </w:rPr>
        <w:t xml:space="preserve">Nel  giudizio  d’appello  non  possono  proporsi  domande  nuove  e,   </w:t>
      </w:r>
      <w:proofErr w:type="spellStart"/>
      <w:r>
        <w:rPr>
          <w:rFonts w:ascii="Arial" w:eastAsia="Arial" w:hAnsi="Arial" w:cs="Arial"/>
          <w:sz w:val="18"/>
        </w:rPr>
        <w:t>seproposte</w:t>
      </w:r>
      <w:proofErr w:type="spellEnd"/>
      <w:r>
        <w:rPr>
          <w:rFonts w:ascii="Arial" w:eastAsia="Arial" w:hAnsi="Arial" w:cs="Arial"/>
          <w:sz w:val="18"/>
        </w:rPr>
        <w:t>,  debbono essere dichiarate inammissibili d’ufficio. Possono tuttavia essere chiesti  gli  interessi  maturati  dopo  la  sentenza impugnata.</w:t>
      </w:r>
    </w:p>
    <w:p w14:paraId="20BBAE16" w14:textId="77777777" w:rsidR="00B32EF2" w:rsidRDefault="00000000">
      <w:pPr>
        <w:numPr>
          <w:ilvl w:val="0"/>
          <w:numId w:val="106"/>
        </w:numPr>
        <w:spacing w:after="4" w:line="254" w:lineRule="auto"/>
        <w:ind w:right="10" w:hanging="177"/>
        <w:jc w:val="both"/>
      </w:pPr>
      <w:r>
        <w:rPr>
          <w:rFonts w:ascii="Arial" w:eastAsia="Arial" w:hAnsi="Arial" w:cs="Arial"/>
          <w:sz w:val="18"/>
        </w:rPr>
        <w:t>Non  possono  proporsi nuove eccezioni che non  siano  rilevabili  anche d’ufficio.</w:t>
      </w:r>
    </w:p>
    <w:tbl>
      <w:tblPr>
        <w:tblStyle w:val="TableGrid"/>
        <w:tblW w:w="6236" w:type="dxa"/>
        <w:tblInd w:w="1" w:type="dxa"/>
        <w:tblCellMar>
          <w:top w:w="0" w:type="dxa"/>
          <w:left w:w="123" w:type="dxa"/>
          <w:bottom w:w="0" w:type="dxa"/>
          <w:right w:w="123" w:type="dxa"/>
        </w:tblCellMar>
        <w:tblLook w:val="04A0" w:firstRow="1" w:lastRow="0" w:firstColumn="1" w:lastColumn="0" w:noHBand="0" w:noVBand="1"/>
      </w:tblPr>
      <w:tblGrid>
        <w:gridCol w:w="6236"/>
      </w:tblGrid>
      <w:tr w:rsidR="00B32EF2" w14:paraId="06D88336" w14:textId="77777777">
        <w:trPr>
          <w:trHeight w:val="1511"/>
        </w:trPr>
        <w:tc>
          <w:tcPr>
            <w:tcW w:w="6236" w:type="dxa"/>
            <w:tcBorders>
              <w:top w:val="single" w:sz="8" w:space="0" w:color="000000"/>
              <w:left w:val="single" w:sz="8" w:space="0" w:color="000000"/>
              <w:bottom w:val="single" w:sz="8" w:space="0" w:color="000000"/>
              <w:right w:val="single" w:sz="8" w:space="0" w:color="000000"/>
            </w:tcBorders>
            <w:vAlign w:val="center"/>
          </w:tcPr>
          <w:p w14:paraId="5B123E4F" w14:textId="77777777" w:rsidR="00B32EF2" w:rsidRDefault="00000000">
            <w:pPr>
              <w:spacing w:after="0" w:line="250" w:lineRule="auto"/>
              <w:ind w:left="2516" w:hanging="2197"/>
            </w:pPr>
            <w:r>
              <w:rPr>
                <w:rFonts w:ascii="Arial" w:eastAsia="Arial" w:hAnsi="Arial" w:cs="Arial"/>
                <w:b/>
                <w:sz w:val="18"/>
              </w:rPr>
              <w:t xml:space="preserve">Per i  giudizi instaurati  con ricorso notificato fino al 5.1.24 Articolo 58 </w:t>
            </w:r>
          </w:p>
          <w:p w14:paraId="65ED3F01" w14:textId="77777777" w:rsidR="00B32EF2" w:rsidRDefault="00000000">
            <w:pPr>
              <w:spacing w:after="0"/>
              <w:ind w:right="1"/>
              <w:jc w:val="center"/>
            </w:pPr>
            <w:r>
              <w:rPr>
                <w:rFonts w:ascii="Arial" w:eastAsia="Arial" w:hAnsi="Arial" w:cs="Arial"/>
                <w:i/>
                <w:sz w:val="18"/>
              </w:rPr>
              <w:t>(articolo 112 TUGT)</w:t>
            </w:r>
          </w:p>
          <w:p w14:paraId="5996EF31" w14:textId="77777777" w:rsidR="00B32EF2" w:rsidRDefault="00000000">
            <w:pPr>
              <w:spacing w:after="0"/>
              <w:jc w:val="center"/>
            </w:pPr>
            <w:r>
              <w:rPr>
                <w:rFonts w:ascii="Arial" w:eastAsia="Arial" w:hAnsi="Arial" w:cs="Arial"/>
                <w:b/>
                <w:sz w:val="18"/>
              </w:rPr>
              <w:t xml:space="preserve">Nuove prove in appello </w:t>
            </w:r>
          </w:p>
          <w:p w14:paraId="0E62FEE0" w14:textId="77777777" w:rsidR="00B32EF2" w:rsidRDefault="00000000">
            <w:pPr>
              <w:spacing w:after="0"/>
              <w:ind w:left="54" w:hanging="54"/>
              <w:jc w:val="both"/>
            </w:pPr>
            <w:r>
              <w:rPr>
                <w:rFonts w:ascii="Arial" w:eastAsia="Arial" w:hAnsi="Arial" w:cs="Arial"/>
                <w:sz w:val="18"/>
              </w:rPr>
              <w:t>1. Il giudice d’appello non può disporre nuove  prove,  salvo  che non   le ritenga  necessarie  ai  fini della decisione o che la parte dimostri di   non</w:t>
            </w:r>
          </w:p>
        </w:tc>
      </w:tr>
    </w:tbl>
    <w:p w14:paraId="3B2E6C0F" w14:textId="77777777" w:rsidR="00B32EF2" w:rsidRDefault="00000000">
      <w:pPr>
        <w:pBdr>
          <w:top w:val="single" w:sz="8" w:space="0" w:color="000000"/>
          <w:left w:val="single" w:sz="8" w:space="0" w:color="000000"/>
          <w:bottom w:val="single" w:sz="8" w:space="0" w:color="000000"/>
          <w:right w:val="single" w:sz="8" w:space="0" w:color="000000"/>
        </w:pBdr>
        <w:spacing w:after="3" w:line="226" w:lineRule="auto"/>
        <w:ind w:left="129" w:right="120" w:hanging="10"/>
        <w:jc w:val="both"/>
      </w:pPr>
      <w:r>
        <w:rPr>
          <w:rFonts w:ascii="Arial" w:eastAsia="Arial" w:hAnsi="Arial" w:cs="Arial"/>
          <w:sz w:val="18"/>
        </w:rPr>
        <w:t xml:space="preserve"> averle  potute  fornire  nel  precedente  grado  di giudizio per causa ad essa  non imputabile.</w:t>
      </w:r>
    </w:p>
    <w:p w14:paraId="7EF45330" w14:textId="77777777" w:rsidR="00B32EF2" w:rsidRDefault="00000000">
      <w:pPr>
        <w:pBdr>
          <w:top w:val="single" w:sz="8" w:space="0" w:color="000000"/>
          <w:left w:val="single" w:sz="8" w:space="0" w:color="000000"/>
          <w:bottom w:val="single" w:sz="8" w:space="0" w:color="000000"/>
          <w:right w:val="single" w:sz="8" w:space="0" w:color="000000"/>
        </w:pBdr>
        <w:spacing w:after="330" w:line="226" w:lineRule="auto"/>
        <w:ind w:left="129" w:right="120" w:hanging="10"/>
        <w:jc w:val="both"/>
      </w:pPr>
      <w:r>
        <w:rPr>
          <w:rFonts w:ascii="Arial" w:eastAsia="Arial" w:hAnsi="Arial" w:cs="Arial"/>
          <w:sz w:val="18"/>
        </w:rPr>
        <w:t>2. È fatta salva la facoltà delle parti di produrre nuovi documenti.</w:t>
      </w:r>
    </w:p>
    <w:p w14:paraId="7E284D2C" w14:textId="77777777" w:rsidR="00B32EF2" w:rsidRDefault="00000000">
      <w:pPr>
        <w:spacing w:after="0" w:line="261" w:lineRule="auto"/>
        <w:ind w:left="12" w:right="3" w:hanging="10"/>
        <w:jc w:val="center"/>
      </w:pPr>
      <w:r>
        <w:rPr>
          <w:rFonts w:ascii="Arial" w:eastAsia="Arial" w:hAnsi="Arial" w:cs="Arial"/>
          <w:b/>
          <w:sz w:val="18"/>
        </w:rPr>
        <w:t>Articolo 58</w:t>
      </w:r>
    </w:p>
    <w:p w14:paraId="6B25912F" w14:textId="77777777" w:rsidR="00B32EF2" w:rsidRDefault="00000000">
      <w:pPr>
        <w:spacing w:after="3" w:line="251" w:lineRule="auto"/>
        <w:ind w:left="2320" w:right="2311" w:hanging="10"/>
        <w:jc w:val="center"/>
      </w:pPr>
      <w:r>
        <w:rPr>
          <w:rFonts w:ascii="Arial" w:eastAsia="Arial" w:hAnsi="Arial" w:cs="Arial"/>
          <w:i/>
          <w:sz w:val="18"/>
        </w:rPr>
        <w:t>(articolo 112 TUGT)</w:t>
      </w:r>
    </w:p>
    <w:p w14:paraId="1B3FB030" w14:textId="77777777" w:rsidR="00B32EF2" w:rsidRDefault="00000000">
      <w:pPr>
        <w:spacing w:after="0" w:line="261" w:lineRule="auto"/>
        <w:ind w:left="12" w:right="2" w:hanging="10"/>
        <w:jc w:val="center"/>
      </w:pPr>
      <w:r>
        <w:rPr>
          <w:rFonts w:ascii="Arial" w:eastAsia="Arial" w:hAnsi="Arial" w:cs="Arial"/>
          <w:b/>
          <w:sz w:val="18"/>
        </w:rPr>
        <w:t>Nuove prove in appello (1)</w:t>
      </w:r>
    </w:p>
    <w:p w14:paraId="7556DB81" w14:textId="77777777" w:rsidR="00B32EF2" w:rsidRDefault="00000000">
      <w:pPr>
        <w:numPr>
          <w:ilvl w:val="0"/>
          <w:numId w:val="107"/>
        </w:numPr>
        <w:spacing w:after="4" w:line="254" w:lineRule="auto"/>
        <w:ind w:right="10" w:hanging="10"/>
        <w:jc w:val="both"/>
      </w:pPr>
      <w:r>
        <w:rPr>
          <w:rFonts w:ascii="Arial" w:eastAsia="Arial" w:hAnsi="Arial" w:cs="Arial"/>
          <w:sz w:val="18"/>
        </w:rPr>
        <w:t xml:space="preserve">Non sono ammessi nuovi mezzi di prova e non possono essere </w:t>
      </w:r>
      <w:proofErr w:type="spellStart"/>
      <w:r>
        <w:rPr>
          <w:rFonts w:ascii="Arial" w:eastAsia="Arial" w:hAnsi="Arial" w:cs="Arial"/>
          <w:sz w:val="18"/>
        </w:rPr>
        <w:t>prodottinuovi</w:t>
      </w:r>
      <w:proofErr w:type="spellEnd"/>
      <w:r>
        <w:rPr>
          <w:rFonts w:ascii="Arial" w:eastAsia="Arial" w:hAnsi="Arial" w:cs="Arial"/>
          <w:sz w:val="18"/>
        </w:rPr>
        <w:t xml:space="preserve"> documenti, salvo che il collegio li ritenga indispensabili ai fini della decisione della causa ovvero che la parte dimostri di non aver potuto proporli o produrli nel giudizio di primo grado per causa ad essa non imputabile.</w:t>
      </w:r>
    </w:p>
    <w:p w14:paraId="202FDB4D" w14:textId="77777777" w:rsidR="00B32EF2" w:rsidRDefault="00000000">
      <w:pPr>
        <w:numPr>
          <w:ilvl w:val="0"/>
          <w:numId w:val="107"/>
        </w:numPr>
        <w:spacing w:after="4" w:line="254" w:lineRule="auto"/>
        <w:ind w:right="10" w:hanging="10"/>
        <w:jc w:val="both"/>
      </w:pPr>
      <w:r>
        <w:rPr>
          <w:rFonts w:ascii="Arial" w:eastAsia="Arial" w:hAnsi="Arial" w:cs="Arial"/>
          <w:sz w:val="18"/>
        </w:rPr>
        <w:t xml:space="preserve">Possono essere proposti motivi aggiunti qualora la parte venga a </w:t>
      </w:r>
      <w:proofErr w:type="spellStart"/>
      <w:r>
        <w:rPr>
          <w:rFonts w:ascii="Arial" w:eastAsia="Arial" w:hAnsi="Arial" w:cs="Arial"/>
          <w:sz w:val="18"/>
        </w:rPr>
        <w:t>conoscenzadi</w:t>
      </w:r>
      <w:proofErr w:type="spellEnd"/>
      <w:r>
        <w:rPr>
          <w:rFonts w:ascii="Arial" w:eastAsia="Arial" w:hAnsi="Arial" w:cs="Arial"/>
          <w:sz w:val="18"/>
        </w:rPr>
        <w:t xml:space="preserve"> documenti, non prodotti dalle altre parti nel giudizio di primo grado, da cui emergano vizi degli atti o provvedimenti impugnati.</w:t>
      </w:r>
    </w:p>
    <w:p w14:paraId="66FCE120" w14:textId="77777777" w:rsidR="00B32EF2" w:rsidRDefault="00000000">
      <w:pPr>
        <w:numPr>
          <w:ilvl w:val="0"/>
          <w:numId w:val="107"/>
        </w:numPr>
        <w:spacing w:after="4" w:line="254" w:lineRule="auto"/>
        <w:ind w:right="10" w:hanging="10"/>
        <w:jc w:val="both"/>
      </w:pPr>
      <w:r>
        <w:rPr>
          <w:rFonts w:ascii="Arial" w:eastAsia="Arial" w:hAnsi="Arial" w:cs="Arial"/>
          <w:sz w:val="18"/>
        </w:rPr>
        <w:t xml:space="preserve">Non è mai consentito il deposito delle deleghe, delle procure e degli altri atti </w:t>
      </w:r>
      <w:proofErr w:type="spellStart"/>
      <w:r>
        <w:rPr>
          <w:rFonts w:ascii="Arial" w:eastAsia="Arial" w:hAnsi="Arial" w:cs="Arial"/>
          <w:sz w:val="18"/>
        </w:rPr>
        <w:t>diconferimento</w:t>
      </w:r>
      <w:proofErr w:type="spellEnd"/>
      <w:r>
        <w:rPr>
          <w:rFonts w:ascii="Arial" w:eastAsia="Arial" w:hAnsi="Arial" w:cs="Arial"/>
          <w:sz w:val="18"/>
        </w:rPr>
        <w:t xml:space="preserve"> di potere rilevanti ai fini della legittimità della </w:t>
      </w:r>
      <w:r>
        <w:rPr>
          <w:rFonts w:ascii="Arial" w:eastAsia="Arial" w:hAnsi="Arial" w:cs="Arial"/>
          <w:sz w:val="18"/>
        </w:rPr>
        <w:lastRenderedPageBreak/>
        <w:t>sottoscrizione degli atti, delle notifiche dell’atto impugnato ovvero degli atti che ne costituiscono presupposto di legittimità che possono essere prodotti in primo grado anche ai sensi dell’articolo 14 comma 6-bis.</w:t>
      </w:r>
    </w:p>
    <w:p w14:paraId="0E5585C2" w14:textId="77777777" w:rsidR="00B32EF2" w:rsidRDefault="00000000">
      <w:pPr>
        <w:spacing w:after="174" w:line="261" w:lineRule="auto"/>
        <w:ind w:left="-4" w:right="-13" w:hanging="10"/>
        <w:jc w:val="both"/>
      </w:pPr>
      <w:r>
        <w:rPr>
          <w:rFonts w:ascii="Arial" w:eastAsia="Arial" w:hAnsi="Arial" w:cs="Arial"/>
          <w:sz w:val="15"/>
        </w:rPr>
        <w:t xml:space="preserve">(1) La Corte Costituzionale con sentenza 36/2025 ha dichiarato l’illegittimità costituzionale del comma 3 dell’articolo 58, del decreto legislativo numero 546 del 1992, inserito dall’articolo 1, comma 1, lettera </w:t>
      </w:r>
      <w:proofErr w:type="spellStart"/>
      <w:r>
        <w:rPr>
          <w:rFonts w:ascii="Arial" w:eastAsia="Arial" w:hAnsi="Arial" w:cs="Arial"/>
          <w:sz w:val="15"/>
        </w:rPr>
        <w:t>bb</w:t>
      </w:r>
      <w:proofErr w:type="spellEnd"/>
      <w:r>
        <w:rPr>
          <w:rFonts w:ascii="Arial" w:eastAsia="Arial" w:hAnsi="Arial" w:cs="Arial"/>
          <w:sz w:val="15"/>
        </w:rPr>
        <w:t xml:space="preserve">), del decreto legislativo numero 220 del 2023, limitatamente alle parole «delle deleghe, delle procure e degli altri atti di conferimento di potere rilevanti ai fini della legittimità della sottoscrizione degli atti». La Corte ha osservato che, rispetto alla regola generale dell’art. 58 comma 1, il divieto assoluto di produzione delle deleghe, delle procure e degli altri atti di conferimento di potere di cui al comma 3, pur quando ne sia stata incolpevolmente impossibile la produzione in primo grado, comprime ingiustificabilmente il diritto alla prova, posto che in tali ipotesi il processo di appello costituisce la prima e unica occasione per dedurre i mezzi istruttori che non siano stati introdotti in primo grado per causa non imputabile alla parte. </w:t>
      </w:r>
    </w:p>
    <w:p w14:paraId="01F923FE" w14:textId="77777777" w:rsidR="00B32EF2" w:rsidRDefault="00000000">
      <w:pPr>
        <w:spacing w:after="247" w:line="261" w:lineRule="auto"/>
        <w:ind w:left="-4" w:right="-13" w:hanging="10"/>
        <w:jc w:val="both"/>
      </w:pPr>
      <w:r>
        <w:rPr>
          <w:rFonts w:ascii="Arial" w:eastAsia="Arial" w:hAnsi="Arial" w:cs="Arial"/>
          <w:sz w:val="15"/>
        </w:rPr>
        <w:t xml:space="preserve">Con la stessa sentenza, la Corte ha dichiarato costituzionalmente illegittimo il comma 2 dell’articolo 4, del decreto legislativo numero 220 del 2023 nella parte in cui prescrive che le modifiche apportate dall’articolo 1, comma 1, lettera </w:t>
      </w:r>
      <w:proofErr w:type="spellStart"/>
      <w:r>
        <w:rPr>
          <w:rFonts w:ascii="Arial" w:eastAsia="Arial" w:hAnsi="Arial" w:cs="Arial"/>
          <w:sz w:val="15"/>
        </w:rPr>
        <w:t>bb</w:t>
      </w:r>
      <w:proofErr w:type="spellEnd"/>
      <w:r>
        <w:rPr>
          <w:rFonts w:ascii="Arial" w:eastAsia="Arial" w:hAnsi="Arial" w:cs="Arial"/>
          <w:sz w:val="15"/>
        </w:rPr>
        <w:t xml:space="preserve">), dello stesso decreto legislativo numero 220 del 2023 alla disciplina delle prove in appello dettata dall’articolo 58 del decreto legislativo numero 546 del 1992 si applicano ai giudizi instaurati in secondo grado a decorrere dal giorno successivo alla sua entrata in vigore, anziché ai giudizi di appello il cui primo grado sia instaurato successivamente all’entrata in vigore del medesimo decreto legislativo. </w:t>
      </w:r>
    </w:p>
    <w:p w14:paraId="4DE689CF" w14:textId="77777777" w:rsidR="00B32EF2" w:rsidRDefault="00000000">
      <w:pPr>
        <w:spacing w:after="0" w:line="261" w:lineRule="auto"/>
        <w:ind w:left="12" w:right="3" w:hanging="10"/>
        <w:jc w:val="center"/>
      </w:pPr>
      <w:r>
        <w:rPr>
          <w:rFonts w:ascii="Arial" w:eastAsia="Arial" w:hAnsi="Arial" w:cs="Arial"/>
          <w:b/>
          <w:sz w:val="18"/>
        </w:rPr>
        <w:t>Articolo 59</w:t>
      </w:r>
    </w:p>
    <w:p w14:paraId="2041AF6F" w14:textId="77777777" w:rsidR="00B32EF2" w:rsidRDefault="00000000">
      <w:pPr>
        <w:spacing w:after="3" w:line="251" w:lineRule="auto"/>
        <w:ind w:left="2320" w:right="2311" w:hanging="10"/>
        <w:jc w:val="center"/>
      </w:pPr>
      <w:r>
        <w:rPr>
          <w:rFonts w:ascii="Arial" w:eastAsia="Arial" w:hAnsi="Arial" w:cs="Arial"/>
          <w:i/>
          <w:sz w:val="18"/>
        </w:rPr>
        <w:t>(articolo 113 TUGT)</w:t>
      </w:r>
    </w:p>
    <w:p w14:paraId="12F3E8A7" w14:textId="77777777" w:rsidR="00B32EF2" w:rsidRDefault="00000000">
      <w:pPr>
        <w:spacing w:after="0" w:line="261" w:lineRule="auto"/>
        <w:ind w:left="12" w:right="3" w:hanging="10"/>
        <w:jc w:val="center"/>
      </w:pPr>
      <w:r>
        <w:rPr>
          <w:rFonts w:ascii="Arial" w:eastAsia="Arial" w:hAnsi="Arial" w:cs="Arial"/>
          <w:b/>
          <w:sz w:val="18"/>
        </w:rPr>
        <w:t xml:space="preserve">Rimessione alla corte di giustizia tributaria di primo grado </w:t>
      </w:r>
    </w:p>
    <w:p w14:paraId="32311268" w14:textId="77777777" w:rsidR="00B32EF2" w:rsidRDefault="00000000">
      <w:pPr>
        <w:spacing w:after="4" w:line="254" w:lineRule="auto"/>
        <w:ind w:left="-4" w:right="10" w:hanging="10"/>
        <w:jc w:val="both"/>
      </w:pPr>
      <w:r>
        <w:rPr>
          <w:rFonts w:ascii="Arial" w:eastAsia="Arial" w:hAnsi="Arial" w:cs="Arial"/>
          <w:sz w:val="18"/>
        </w:rPr>
        <w:t>1. La corte di giustizia tributaria di secondo grado rimette la causa alla corte di giustizia tributaria di primo grado che ha emesso la sentenza impugnata nei seguenti casi:</w:t>
      </w:r>
    </w:p>
    <w:p w14:paraId="1F9BDB0D" w14:textId="77777777" w:rsidR="00B32EF2" w:rsidRDefault="00000000">
      <w:pPr>
        <w:numPr>
          <w:ilvl w:val="0"/>
          <w:numId w:val="108"/>
        </w:numPr>
        <w:spacing w:after="4" w:line="254" w:lineRule="auto"/>
        <w:ind w:right="10" w:hanging="10"/>
        <w:jc w:val="both"/>
      </w:pPr>
      <w:r>
        <w:rPr>
          <w:rFonts w:ascii="Arial" w:eastAsia="Arial" w:hAnsi="Arial" w:cs="Arial"/>
          <w:sz w:val="18"/>
        </w:rPr>
        <w:t xml:space="preserve">quando dichiara la competenza  declinata  o  la   giurisdizione  negata  </w:t>
      </w:r>
      <w:proofErr w:type="spellStart"/>
      <w:r>
        <w:rPr>
          <w:rFonts w:ascii="Arial" w:eastAsia="Arial" w:hAnsi="Arial" w:cs="Arial"/>
          <w:sz w:val="18"/>
        </w:rPr>
        <w:t>dalprimo</w:t>
      </w:r>
      <w:proofErr w:type="spellEnd"/>
      <w:r>
        <w:rPr>
          <w:rFonts w:ascii="Arial" w:eastAsia="Arial" w:hAnsi="Arial" w:cs="Arial"/>
          <w:sz w:val="18"/>
        </w:rPr>
        <w:t xml:space="preserve"> giudice;</w:t>
      </w:r>
    </w:p>
    <w:p w14:paraId="392F4F33" w14:textId="77777777" w:rsidR="00B32EF2" w:rsidRDefault="00000000">
      <w:pPr>
        <w:numPr>
          <w:ilvl w:val="0"/>
          <w:numId w:val="108"/>
        </w:numPr>
        <w:spacing w:after="4" w:line="254" w:lineRule="auto"/>
        <w:ind w:right="10" w:hanging="10"/>
        <w:jc w:val="both"/>
      </w:pPr>
      <w:r>
        <w:rPr>
          <w:rFonts w:ascii="Arial" w:eastAsia="Arial" w:hAnsi="Arial" w:cs="Arial"/>
          <w:sz w:val="18"/>
        </w:rPr>
        <w:t xml:space="preserve">quando riconosce  che nel giudizio di primo grado il contraddittorio non </w:t>
      </w:r>
      <w:proofErr w:type="spellStart"/>
      <w:r>
        <w:rPr>
          <w:rFonts w:ascii="Arial" w:eastAsia="Arial" w:hAnsi="Arial" w:cs="Arial"/>
          <w:sz w:val="18"/>
        </w:rPr>
        <w:t>èstato</w:t>
      </w:r>
      <w:proofErr w:type="spellEnd"/>
      <w:r>
        <w:rPr>
          <w:rFonts w:ascii="Arial" w:eastAsia="Arial" w:hAnsi="Arial" w:cs="Arial"/>
          <w:sz w:val="18"/>
        </w:rPr>
        <w:t xml:space="preserve"> regolarmente costituito o integrato;</w:t>
      </w:r>
    </w:p>
    <w:p w14:paraId="66FE2A52" w14:textId="77777777" w:rsidR="00B32EF2" w:rsidRDefault="00000000">
      <w:pPr>
        <w:numPr>
          <w:ilvl w:val="0"/>
          <w:numId w:val="108"/>
        </w:numPr>
        <w:spacing w:after="3" w:line="226" w:lineRule="auto"/>
        <w:ind w:right="10" w:hanging="10"/>
        <w:jc w:val="both"/>
      </w:pPr>
      <w:r>
        <w:rPr>
          <w:rFonts w:ascii="Arial" w:eastAsia="Arial" w:hAnsi="Arial" w:cs="Arial"/>
          <w:sz w:val="18"/>
        </w:rPr>
        <w:t xml:space="preserve">quando riconosce che la sentenza impugnata, erroneamente </w:t>
      </w:r>
      <w:proofErr w:type="spellStart"/>
      <w:r>
        <w:rPr>
          <w:rFonts w:ascii="Arial" w:eastAsia="Arial" w:hAnsi="Arial" w:cs="Arial"/>
          <w:sz w:val="18"/>
        </w:rPr>
        <w:t>giudicando,ha</w:t>
      </w:r>
      <w:proofErr w:type="spellEnd"/>
      <w:r>
        <w:rPr>
          <w:rFonts w:ascii="Arial" w:eastAsia="Arial" w:hAnsi="Arial" w:cs="Arial"/>
          <w:sz w:val="18"/>
        </w:rPr>
        <w:t xml:space="preserve"> dichiarato estinto il processo in sede di reclamo contro il provvedimento presidenziale;</w:t>
      </w:r>
    </w:p>
    <w:p w14:paraId="3FAA80FA" w14:textId="77777777" w:rsidR="00B32EF2" w:rsidRDefault="00000000">
      <w:pPr>
        <w:numPr>
          <w:ilvl w:val="0"/>
          <w:numId w:val="108"/>
        </w:numPr>
        <w:spacing w:after="4" w:line="254" w:lineRule="auto"/>
        <w:ind w:right="10" w:hanging="10"/>
        <w:jc w:val="both"/>
      </w:pPr>
      <w:r>
        <w:rPr>
          <w:rFonts w:ascii="Arial" w:eastAsia="Arial" w:hAnsi="Arial" w:cs="Arial"/>
          <w:sz w:val="18"/>
        </w:rPr>
        <w:t xml:space="preserve">quando  riconosce  che  il  collegio  della corte di giustizia tributaria di </w:t>
      </w:r>
      <w:proofErr w:type="spellStart"/>
      <w:r>
        <w:rPr>
          <w:rFonts w:ascii="Arial" w:eastAsia="Arial" w:hAnsi="Arial" w:cs="Arial"/>
          <w:sz w:val="18"/>
        </w:rPr>
        <w:t>primogrado</w:t>
      </w:r>
      <w:proofErr w:type="spellEnd"/>
      <w:r>
        <w:rPr>
          <w:rFonts w:ascii="Arial" w:eastAsia="Arial" w:hAnsi="Arial" w:cs="Arial"/>
          <w:sz w:val="18"/>
        </w:rPr>
        <w:t xml:space="preserve"> non era legittimamente composto;</w:t>
      </w:r>
    </w:p>
    <w:p w14:paraId="0B22D3F6" w14:textId="77777777" w:rsidR="00B32EF2" w:rsidRDefault="00000000">
      <w:pPr>
        <w:numPr>
          <w:ilvl w:val="0"/>
          <w:numId w:val="108"/>
        </w:numPr>
        <w:spacing w:after="4" w:line="254" w:lineRule="auto"/>
        <w:ind w:right="10" w:hanging="10"/>
        <w:jc w:val="both"/>
      </w:pPr>
      <w:r>
        <w:rPr>
          <w:rFonts w:ascii="Arial" w:eastAsia="Arial" w:hAnsi="Arial" w:cs="Arial"/>
          <w:sz w:val="18"/>
        </w:rPr>
        <w:t xml:space="preserve">quando  manca  la  sottoscrizione della sentenza da parte del  giudice  </w:t>
      </w:r>
      <w:proofErr w:type="spellStart"/>
      <w:r>
        <w:rPr>
          <w:rFonts w:ascii="Arial" w:eastAsia="Arial" w:hAnsi="Arial" w:cs="Arial"/>
          <w:sz w:val="18"/>
        </w:rPr>
        <w:t>diprimo</w:t>
      </w:r>
      <w:proofErr w:type="spellEnd"/>
      <w:r>
        <w:rPr>
          <w:rFonts w:ascii="Arial" w:eastAsia="Arial" w:hAnsi="Arial" w:cs="Arial"/>
          <w:sz w:val="18"/>
        </w:rPr>
        <w:t xml:space="preserve"> grado.</w:t>
      </w:r>
    </w:p>
    <w:p w14:paraId="522A2F60" w14:textId="77777777" w:rsidR="00B32EF2" w:rsidRDefault="00000000">
      <w:pPr>
        <w:numPr>
          <w:ilvl w:val="0"/>
          <w:numId w:val="109"/>
        </w:numPr>
        <w:spacing w:after="4" w:line="254" w:lineRule="auto"/>
        <w:ind w:right="10" w:hanging="10"/>
        <w:jc w:val="both"/>
      </w:pPr>
      <w:r>
        <w:rPr>
          <w:rFonts w:ascii="Arial" w:eastAsia="Arial" w:hAnsi="Arial" w:cs="Arial"/>
          <w:sz w:val="18"/>
        </w:rPr>
        <w:t xml:space="preserve">Al di fuori dei casi previsti al comma precedente la corte di giustizia </w:t>
      </w:r>
      <w:proofErr w:type="spellStart"/>
      <w:r>
        <w:rPr>
          <w:rFonts w:ascii="Arial" w:eastAsia="Arial" w:hAnsi="Arial" w:cs="Arial"/>
          <w:sz w:val="18"/>
        </w:rPr>
        <w:t>tributariadi</w:t>
      </w:r>
      <w:proofErr w:type="spellEnd"/>
      <w:r>
        <w:rPr>
          <w:rFonts w:ascii="Arial" w:eastAsia="Arial" w:hAnsi="Arial" w:cs="Arial"/>
          <w:sz w:val="18"/>
        </w:rPr>
        <w:t xml:space="preserve"> secondo grado decide nel merito previamente ordinando, ove occorra, la rinnovazione di atti nulli compiuti in primo grado.</w:t>
      </w:r>
    </w:p>
    <w:p w14:paraId="376859C1" w14:textId="77777777" w:rsidR="00B32EF2" w:rsidRDefault="00000000">
      <w:pPr>
        <w:numPr>
          <w:ilvl w:val="0"/>
          <w:numId w:val="109"/>
        </w:numPr>
        <w:spacing w:after="197" w:line="254" w:lineRule="auto"/>
        <w:ind w:right="10" w:hanging="10"/>
        <w:jc w:val="both"/>
      </w:pPr>
      <w:r>
        <w:rPr>
          <w:rFonts w:ascii="Arial" w:eastAsia="Arial" w:hAnsi="Arial" w:cs="Arial"/>
          <w:sz w:val="18"/>
        </w:rPr>
        <w:t xml:space="preserve">Dopo che la sentenza di rimessione della causa al primo grado è </w:t>
      </w:r>
      <w:proofErr w:type="spellStart"/>
      <w:r>
        <w:rPr>
          <w:rFonts w:ascii="Arial" w:eastAsia="Arial" w:hAnsi="Arial" w:cs="Arial"/>
          <w:sz w:val="18"/>
        </w:rPr>
        <w:t>formalmentepassata</w:t>
      </w:r>
      <w:proofErr w:type="spellEnd"/>
      <w:r>
        <w:rPr>
          <w:rFonts w:ascii="Arial" w:eastAsia="Arial" w:hAnsi="Arial" w:cs="Arial"/>
          <w:sz w:val="18"/>
        </w:rPr>
        <w:t xml:space="preserve"> in giudicato, la segreteria della corte di giustizia tributaria </w:t>
      </w:r>
      <w:r>
        <w:rPr>
          <w:rFonts w:ascii="Arial" w:eastAsia="Arial" w:hAnsi="Arial" w:cs="Arial"/>
          <w:sz w:val="18"/>
        </w:rPr>
        <w:lastRenderedPageBreak/>
        <w:t>di secondo grado, nei successivi trenta giorni, trasmette d’ufficio il fascicolo del processo alla segreteria della corte di giustizia tributaria di primo grado, senza necessità di riassunzione ad istanza di parte.</w:t>
      </w:r>
    </w:p>
    <w:p w14:paraId="39481FD3" w14:textId="77777777" w:rsidR="00B32EF2" w:rsidRDefault="00000000">
      <w:pPr>
        <w:pStyle w:val="Titolo3"/>
        <w:ind w:left="129" w:right="120"/>
      </w:pPr>
      <w:r>
        <w:t xml:space="preserve">NORME COLLEGATE </w:t>
      </w:r>
    </w:p>
    <w:p w14:paraId="1EF9ABE9"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101 c.p.c. “Principio del contraddittorio” </w:t>
      </w:r>
    </w:p>
    <w:p w14:paraId="6B44BD58" w14:textId="77777777" w:rsidR="00B32EF2" w:rsidRDefault="00000000">
      <w:pPr>
        <w:numPr>
          <w:ilvl w:val="0"/>
          <w:numId w:val="110"/>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Il giudice, salvo che la legge disponga altrimenti, non può </w:t>
      </w:r>
      <w:proofErr w:type="spellStart"/>
      <w:r>
        <w:rPr>
          <w:rFonts w:ascii="Arial" w:eastAsia="Arial" w:hAnsi="Arial" w:cs="Arial"/>
          <w:i/>
          <w:sz w:val="18"/>
        </w:rPr>
        <w:t>statuiresopra</w:t>
      </w:r>
      <w:proofErr w:type="spellEnd"/>
      <w:r>
        <w:rPr>
          <w:rFonts w:ascii="Arial" w:eastAsia="Arial" w:hAnsi="Arial" w:cs="Arial"/>
          <w:i/>
          <w:sz w:val="18"/>
        </w:rPr>
        <w:t xml:space="preserve"> alcuna domanda, se la parte contro la quale è proposta non è stata regolarmente citata e non è comparsa.</w:t>
      </w:r>
    </w:p>
    <w:p w14:paraId="4720BF8C" w14:textId="77777777" w:rsidR="00B32EF2" w:rsidRDefault="00000000">
      <w:pPr>
        <w:numPr>
          <w:ilvl w:val="0"/>
          <w:numId w:val="110"/>
        </w:numPr>
        <w:pBdr>
          <w:top w:val="single" w:sz="8" w:space="0" w:color="000000"/>
          <w:left w:val="single" w:sz="8" w:space="0" w:color="000000"/>
          <w:bottom w:val="single" w:sz="8" w:space="0" w:color="000000"/>
          <w:right w:val="single" w:sz="8" w:space="0" w:color="000000"/>
        </w:pBdr>
        <w:shd w:val="clear" w:color="auto" w:fill="C3C3C3"/>
        <w:spacing w:after="232" w:line="251" w:lineRule="auto"/>
        <w:ind w:right="120" w:hanging="10"/>
        <w:jc w:val="both"/>
      </w:pPr>
      <w:r>
        <w:rPr>
          <w:rFonts w:ascii="Arial" w:eastAsia="Arial" w:hAnsi="Arial" w:cs="Arial"/>
          <w:i/>
          <w:sz w:val="18"/>
        </w:rPr>
        <w:t xml:space="preserve">Il giudice assicura il rispetto del contraddittorio e, quando accerta </w:t>
      </w:r>
      <w:proofErr w:type="spellStart"/>
      <w:r>
        <w:rPr>
          <w:rFonts w:ascii="Arial" w:eastAsia="Arial" w:hAnsi="Arial" w:cs="Arial"/>
          <w:i/>
          <w:sz w:val="18"/>
        </w:rPr>
        <w:t>chedalla</w:t>
      </w:r>
      <w:proofErr w:type="spellEnd"/>
      <w:r>
        <w:rPr>
          <w:rFonts w:ascii="Arial" w:eastAsia="Arial" w:hAnsi="Arial" w:cs="Arial"/>
          <w:i/>
          <w:sz w:val="18"/>
        </w:rPr>
        <w:t xml:space="preserve"> sua violazione è derivata una lesione del diritto di difesa, adotta i provvedimenti opportuni. Se ritiene di porre a fondamento della decisione una questione rilevata d’ufficio, il giudice riserva la decisione, assegnando alle parti, a pena di nullità, un termine, non inferiore a venti giorni e non superiore a quaranta giorni dalla comunicazione, per il deposito in cancelleria di memorie contenenti osservazioni sulla medesima questione.</w:t>
      </w:r>
    </w:p>
    <w:p w14:paraId="4E612AF6" w14:textId="77777777" w:rsidR="00B32EF2" w:rsidRDefault="00000000">
      <w:pPr>
        <w:spacing w:after="0" w:line="261" w:lineRule="auto"/>
        <w:ind w:left="12" w:right="3" w:hanging="10"/>
        <w:jc w:val="center"/>
      </w:pPr>
      <w:r>
        <w:rPr>
          <w:rFonts w:ascii="Arial" w:eastAsia="Arial" w:hAnsi="Arial" w:cs="Arial"/>
          <w:b/>
          <w:sz w:val="18"/>
        </w:rPr>
        <w:t>Articolo 60</w:t>
      </w:r>
    </w:p>
    <w:p w14:paraId="00B9F5B0" w14:textId="77777777" w:rsidR="00B32EF2" w:rsidRDefault="00000000">
      <w:pPr>
        <w:spacing w:after="3" w:line="251" w:lineRule="auto"/>
        <w:ind w:left="2320" w:right="2311" w:hanging="10"/>
        <w:jc w:val="center"/>
      </w:pPr>
      <w:r>
        <w:rPr>
          <w:rFonts w:ascii="Arial" w:eastAsia="Arial" w:hAnsi="Arial" w:cs="Arial"/>
          <w:i/>
          <w:sz w:val="18"/>
        </w:rPr>
        <w:t>(articolo 114 TUGT)</w:t>
      </w:r>
    </w:p>
    <w:p w14:paraId="79131E00" w14:textId="77777777" w:rsidR="00B32EF2" w:rsidRDefault="00000000">
      <w:pPr>
        <w:spacing w:after="0" w:line="261" w:lineRule="auto"/>
        <w:ind w:left="12" w:right="2" w:hanging="10"/>
        <w:jc w:val="center"/>
      </w:pPr>
      <w:r>
        <w:rPr>
          <w:rFonts w:ascii="Arial" w:eastAsia="Arial" w:hAnsi="Arial" w:cs="Arial"/>
          <w:b/>
          <w:sz w:val="18"/>
        </w:rPr>
        <w:t xml:space="preserve">Non riproponibilità dell’appello dichiarato inammissibile </w:t>
      </w:r>
    </w:p>
    <w:p w14:paraId="6D72E7A0" w14:textId="77777777" w:rsidR="00B32EF2" w:rsidRDefault="00000000">
      <w:pPr>
        <w:spacing w:after="213" w:line="254" w:lineRule="auto"/>
        <w:ind w:left="36" w:right="10" w:hanging="50"/>
        <w:jc w:val="both"/>
      </w:pPr>
      <w:r>
        <w:rPr>
          <w:rFonts w:ascii="Arial" w:eastAsia="Arial" w:hAnsi="Arial" w:cs="Arial"/>
          <w:sz w:val="18"/>
        </w:rPr>
        <w:t>1. L’appello dichiarato inammissibile non può essere riproposto anche se non è decorso il termine stabilito dalla legge.</w:t>
      </w:r>
    </w:p>
    <w:p w14:paraId="6C2CD3A4" w14:textId="77777777" w:rsidR="00B32EF2" w:rsidRDefault="00000000">
      <w:pPr>
        <w:spacing w:after="0" w:line="261" w:lineRule="auto"/>
        <w:ind w:left="12" w:right="3" w:hanging="10"/>
        <w:jc w:val="center"/>
      </w:pPr>
      <w:r>
        <w:rPr>
          <w:rFonts w:ascii="Arial" w:eastAsia="Arial" w:hAnsi="Arial" w:cs="Arial"/>
          <w:b/>
          <w:sz w:val="18"/>
        </w:rPr>
        <w:t>Articolo 61</w:t>
      </w:r>
    </w:p>
    <w:p w14:paraId="0EC037C9" w14:textId="77777777" w:rsidR="00B32EF2" w:rsidRDefault="00000000">
      <w:pPr>
        <w:spacing w:after="3" w:line="251" w:lineRule="auto"/>
        <w:ind w:left="2320" w:right="2311" w:hanging="10"/>
        <w:jc w:val="center"/>
      </w:pPr>
      <w:r>
        <w:rPr>
          <w:rFonts w:ascii="Arial" w:eastAsia="Arial" w:hAnsi="Arial" w:cs="Arial"/>
          <w:i/>
          <w:sz w:val="18"/>
        </w:rPr>
        <w:t>(articolo 115 TUGT)</w:t>
      </w:r>
    </w:p>
    <w:p w14:paraId="7F28E193" w14:textId="77777777" w:rsidR="00B32EF2" w:rsidRDefault="00000000">
      <w:pPr>
        <w:spacing w:after="0" w:line="261" w:lineRule="auto"/>
        <w:ind w:left="12" w:right="3" w:hanging="10"/>
        <w:jc w:val="center"/>
      </w:pPr>
      <w:r>
        <w:rPr>
          <w:rFonts w:ascii="Arial" w:eastAsia="Arial" w:hAnsi="Arial" w:cs="Arial"/>
          <w:b/>
          <w:sz w:val="18"/>
        </w:rPr>
        <w:t xml:space="preserve">Norme applicabili </w:t>
      </w:r>
    </w:p>
    <w:p w14:paraId="5E62B026" w14:textId="77777777" w:rsidR="00B32EF2" w:rsidRDefault="00000000">
      <w:pPr>
        <w:spacing w:after="645" w:line="254" w:lineRule="auto"/>
        <w:ind w:left="-4" w:right="10" w:hanging="10"/>
        <w:jc w:val="both"/>
      </w:pPr>
      <w:r>
        <w:rPr>
          <w:rFonts w:ascii="Arial" w:eastAsia="Arial" w:hAnsi="Arial" w:cs="Arial"/>
          <w:sz w:val="18"/>
        </w:rPr>
        <w:t>1. Nel procedimento d’appello si osservano in quanto applicabili  le  norme dettate per  il  procedimento  di  primo  grado,  se  non  sono  incompatibili con le disposizioni della presente sezione.</w:t>
      </w:r>
    </w:p>
    <w:p w14:paraId="0B0C8371" w14:textId="77777777" w:rsidR="00B32EF2" w:rsidRDefault="00000000">
      <w:pPr>
        <w:spacing w:after="0" w:line="261" w:lineRule="auto"/>
        <w:ind w:left="12" w:right="2" w:hanging="10"/>
        <w:jc w:val="center"/>
      </w:pPr>
      <w:r>
        <w:rPr>
          <w:rFonts w:ascii="Arial" w:eastAsia="Arial" w:hAnsi="Arial" w:cs="Arial"/>
          <w:b/>
          <w:sz w:val="18"/>
        </w:rPr>
        <w:t>SEZIONE III</w:t>
      </w:r>
    </w:p>
    <w:p w14:paraId="7A1B2D29" w14:textId="77777777" w:rsidR="00B32EF2" w:rsidRDefault="00000000">
      <w:pPr>
        <w:spacing w:after="207" w:line="261" w:lineRule="auto"/>
        <w:ind w:left="12" w:right="2" w:hanging="10"/>
        <w:jc w:val="center"/>
      </w:pPr>
      <w:r>
        <w:rPr>
          <w:rFonts w:ascii="Arial" w:eastAsia="Arial" w:hAnsi="Arial" w:cs="Arial"/>
          <w:b/>
          <w:sz w:val="18"/>
        </w:rPr>
        <w:t xml:space="preserve"> IL RICORSO PER CASSAZIONE</w:t>
      </w:r>
    </w:p>
    <w:p w14:paraId="7FA0770D" w14:textId="77777777" w:rsidR="00B32EF2" w:rsidRDefault="00000000">
      <w:pPr>
        <w:spacing w:after="0" w:line="261" w:lineRule="auto"/>
        <w:ind w:left="12" w:right="3" w:hanging="10"/>
        <w:jc w:val="center"/>
      </w:pPr>
      <w:r>
        <w:rPr>
          <w:rFonts w:ascii="Arial" w:eastAsia="Arial" w:hAnsi="Arial" w:cs="Arial"/>
          <w:b/>
          <w:sz w:val="18"/>
        </w:rPr>
        <w:t>Articolo 62</w:t>
      </w:r>
    </w:p>
    <w:p w14:paraId="4A0422FC" w14:textId="77777777" w:rsidR="00B32EF2" w:rsidRDefault="00000000">
      <w:pPr>
        <w:spacing w:after="3" w:line="251" w:lineRule="auto"/>
        <w:ind w:left="2320" w:right="2311" w:hanging="10"/>
        <w:jc w:val="center"/>
      </w:pPr>
      <w:r>
        <w:rPr>
          <w:rFonts w:ascii="Arial" w:eastAsia="Arial" w:hAnsi="Arial" w:cs="Arial"/>
          <w:i/>
          <w:sz w:val="18"/>
        </w:rPr>
        <w:t>(articolo 116 TUGT)</w:t>
      </w:r>
    </w:p>
    <w:p w14:paraId="1BBF01BB" w14:textId="77777777" w:rsidR="00B32EF2" w:rsidRDefault="00000000">
      <w:pPr>
        <w:spacing w:after="0" w:line="261" w:lineRule="auto"/>
        <w:ind w:left="12" w:right="2" w:hanging="10"/>
        <w:jc w:val="center"/>
      </w:pPr>
      <w:r>
        <w:rPr>
          <w:rFonts w:ascii="Arial" w:eastAsia="Arial" w:hAnsi="Arial" w:cs="Arial"/>
          <w:b/>
          <w:sz w:val="18"/>
        </w:rPr>
        <w:t xml:space="preserve">Norme applicabili </w:t>
      </w:r>
    </w:p>
    <w:p w14:paraId="09B210CB" w14:textId="362913F7" w:rsidR="00B32EF2" w:rsidRDefault="00000000">
      <w:pPr>
        <w:numPr>
          <w:ilvl w:val="0"/>
          <w:numId w:val="111"/>
        </w:numPr>
        <w:spacing w:after="4" w:line="254" w:lineRule="auto"/>
        <w:ind w:right="10" w:hanging="10"/>
        <w:jc w:val="both"/>
      </w:pPr>
      <w:r>
        <w:rPr>
          <w:rFonts w:ascii="Arial" w:eastAsia="Arial" w:hAnsi="Arial" w:cs="Arial"/>
          <w:sz w:val="18"/>
        </w:rPr>
        <w:t>Avverso la sentenza della corte di giustizia tributaria di secondo grado può</w:t>
      </w:r>
      <w:r w:rsidR="00C765E9">
        <w:rPr>
          <w:rFonts w:ascii="Arial" w:eastAsia="Arial" w:hAnsi="Arial" w:cs="Arial"/>
          <w:sz w:val="18"/>
        </w:rPr>
        <w:t xml:space="preserve"> </w:t>
      </w:r>
      <w:r>
        <w:rPr>
          <w:rFonts w:ascii="Arial" w:eastAsia="Arial" w:hAnsi="Arial" w:cs="Arial"/>
          <w:sz w:val="18"/>
        </w:rPr>
        <w:t>essere proposto ricorso per cassazione per i motivi di cui ai numeri da 1 a 5 dell’art. 360, primo comma, del codice di procedura civile.</w:t>
      </w:r>
    </w:p>
    <w:p w14:paraId="0F3AF585" w14:textId="77777777" w:rsidR="00B32EF2" w:rsidRDefault="00000000">
      <w:pPr>
        <w:numPr>
          <w:ilvl w:val="0"/>
          <w:numId w:val="111"/>
        </w:numPr>
        <w:spacing w:after="4" w:line="254" w:lineRule="auto"/>
        <w:ind w:right="10" w:hanging="10"/>
        <w:jc w:val="both"/>
      </w:pPr>
      <w:r>
        <w:rPr>
          <w:rFonts w:ascii="Arial" w:eastAsia="Arial" w:hAnsi="Arial" w:cs="Arial"/>
          <w:sz w:val="18"/>
        </w:rPr>
        <w:lastRenderedPageBreak/>
        <w:t xml:space="preserve">Al ricorso per cassazione ed al relativo procedimento si applicano le </w:t>
      </w:r>
      <w:proofErr w:type="spellStart"/>
      <w:r>
        <w:rPr>
          <w:rFonts w:ascii="Arial" w:eastAsia="Arial" w:hAnsi="Arial" w:cs="Arial"/>
          <w:sz w:val="18"/>
        </w:rPr>
        <w:t>normedettate</w:t>
      </w:r>
      <w:proofErr w:type="spellEnd"/>
      <w:r>
        <w:rPr>
          <w:rFonts w:ascii="Arial" w:eastAsia="Arial" w:hAnsi="Arial" w:cs="Arial"/>
          <w:sz w:val="18"/>
        </w:rPr>
        <w:t xml:space="preserve"> dal codice di procedura civile in quanto compatibili con quelle del presente decreto.</w:t>
      </w:r>
    </w:p>
    <w:p w14:paraId="63E9A483" w14:textId="77777777" w:rsidR="00B32EF2" w:rsidRDefault="00000000">
      <w:pPr>
        <w:spacing w:after="190" w:line="254" w:lineRule="auto"/>
        <w:ind w:left="-4" w:right="10" w:hanging="10"/>
        <w:jc w:val="both"/>
      </w:pPr>
      <w:r>
        <w:rPr>
          <w:rFonts w:ascii="Arial" w:eastAsia="Arial" w:hAnsi="Arial" w:cs="Arial"/>
          <w:sz w:val="18"/>
        </w:rPr>
        <w:t>2-bis. Sull’accordo delle parti la sentenza della corte di giustizia tributaria di primo grado può essere impugnata con ricorso per cassazione a norma dell’articolo 360, primo comma, n. 3, del codice di procedura civile.</w:t>
      </w:r>
    </w:p>
    <w:p w14:paraId="15593472" w14:textId="77777777" w:rsidR="00B32EF2" w:rsidRDefault="00000000">
      <w:pPr>
        <w:pStyle w:val="Titolo3"/>
        <w:ind w:left="129" w:right="120"/>
      </w:pPr>
      <w:r>
        <w:t>NORME RICHIAMATE</w:t>
      </w:r>
    </w:p>
    <w:p w14:paraId="1A3DC0C0"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360 c.p.c. “Sentenze impugnabili e motivi di ricorso” </w:t>
      </w:r>
    </w:p>
    <w:p w14:paraId="4E18363A" w14:textId="77777777" w:rsidR="00B32EF2" w:rsidRDefault="00000000">
      <w:pPr>
        <w:numPr>
          <w:ilvl w:val="0"/>
          <w:numId w:val="112"/>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Le sentenze pronunziate in grado d’appello o in unico grado </w:t>
      </w:r>
      <w:proofErr w:type="spellStart"/>
      <w:r>
        <w:rPr>
          <w:rFonts w:ascii="Arial" w:eastAsia="Arial" w:hAnsi="Arial" w:cs="Arial"/>
          <w:i/>
          <w:sz w:val="18"/>
        </w:rPr>
        <w:t>possonoessere</w:t>
      </w:r>
      <w:proofErr w:type="spellEnd"/>
      <w:r>
        <w:rPr>
          <w:rFonts w:ascii="Arial" w:eastAsia="Arial" w:hAnsi="Arial" w:cs="Arial"/>
          <w:i/>
          <w:sz w:val="18"/>
        </w:rPr>
        <w:t xml:space="preserve"> impugnate con ricorso per cassazione: 1) per motivi attinenti alla giurisdizione; 2) per violazione delle norme sulla competenza, quando non è prescritto il regolamento di competenza; 3) per violazione o falsa applicazione di norme di diritto e dei contratti e accordi collettivi nazionali di lavoro; 4) per nullità della sentenza o del procedimento; 5) per omesso esame circa un fatto decisivo per il giudizio che è stato oggetto di discussione tra le parti .</w:t>
      </w:r>
    </w:p>
    <w:p w14:paraId="11E53CEB" w14:textId="77777777" w:rsidR="00B32EF2" w:rsidRDefault="00000000">
      <w:pPr>
        <w:numPr>
          <w:ilvl w:val="0"/>
          <w:numId w:val="112"/>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Può inoltre essere impugnata con ricorso per cassazione una </w:t>
      </w:r>
      <w:proofErr w:type="spellStart"/>
      <w:r>
        <w:rPr>
          <w:rFonts w:ascii="Arial" w:eastAsia="Arial" w:hAnsi="Arial" w:cs="Arial"/>
          <w:i/>
          <w:sz w:val="18"/>
        </w:rPr>
        <w:t>sentenzaappellabile</w:t>
      </w:r>
      <w:proofErr w:type="spellEnd"/>
      <w:r>
        <w:rPr>
          <w:rFonts w:ascii="Arial" w:eastAsia="Arial" w:hAnsi="Arial" w:cs="Arial"/>
          <w:i/>
          <w:sz w:val="18"/>
        </w:rPr>
        <w:t xml:space="preserve"> del tribunale, se le parti sono d’accordo per omettere l’appello; ma in tal caso l’impugnazione può proporsi soltanto a norma del primo comma, n. 3.</w:t>
      </w:r>
    </w:p>
    <w:p w14:paraId="225EC1CA" w14:textId="77777777" w:rsidR="00B32EF2" w:rsidRDefault="00000000">
      <w:pPr>
        <w:numPr>
          <w:ilvl w:val="0"/>
          <w:numId w:val="112"/>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Non sono immediatamente impugnabili con ricorso per </w:t>
      </w:r>
      <w:proofErr w:type="spellStart"/>
      <w:r>
        <w:rPr>
          <w:rFonts w:ascii="Arial" w:eastAsia="Arial" w:hAnsi="Arial" w:cs="Arial"/>
          <w:i/>
          <w:sz w:val="18"/>
        </w:rPr>
        <w:t>cassazionele</w:t>
      </w:r>
      <w:proofErr w:type="spellEnd"/>
      <w:r>
        <w:rPr>
          <w:rFonts w:ascii="Arial" w:eastAsia="Arial" w:hAnsi="Arial" w:cs="Arial"/>
          <w:i/>
          <w:sz w:val="18"/>
        </w:rPr>
        <w:t xml:space="preserve"> sentenze che decidono di questioni insorte senza definire, neppure parzialmente, il giudizio. Il ricorso per cassazione avverso tali sentenze può essere proposto, senza necessità di riserva, allorché sia impugnata la sentenza che definisce, anche parzialmente, il giudizio.</w:t>
      </w:r>
    </w:p>
    <w:p w14:paraId="283D21A0" w14:textId="77777777" w:rsidR="00B32EF2" w:rsidRDefault="00000000">
      <w:pPr>
        <w:numPr>
          <w:ilvl w:val="0"/>
          <w:numId w:val="112"/>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Quando la pronuncia di appello conferma la decisione di primo grado perle stesse ragioni, inerenti ai medesimi fatti, poste a base della decisione impugnata, il ricorso per cassazione può essere proposto esclusivamente per i motivi di cui al primo comma, numeri 1), 2), 3) e 4). Tale disposizione non si applica relativamente alle cause di cui all’articolo 70, primo comma.</w:t>
      </w:r>
    </w:p>
    <w:p w14:paraId="4C3FB64A" w14:textId="77777777" w:rsidR="00B32EF2" w:rsidRDefault="00000000">
      <w:pPr>
        <w:numPr>
          <w:ilvl w:val="0"/>
          <w:numId w:val="112"/>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Le disposizioni di cui al primo, al terzo e al quarto comma si </w:t>
      </w:r>
      <w:proofErr w:type="spellStart"/>
      <w:r>
        <w:rPr>
          <w:rFonts w:ascii="Arial" w:eastAsia="Arial" w:hAnsi="Arial" w:cs="Arial"/>
          <w:i/>
          <w:sz w:val="18"/>
        </w:rPr>
        <w:t>applicanoalle</w:t>
      </w:r>
      <w:proofErr w:type="spellEnd"/>
      <w:r>
        <w:rPr>
          <w:rFonts w:ascii="Arial" w:eastAsia="Arial" w:hAnsi="Arial" w:cs="Arial"/>
          <w:i/>
          <w:sz w:val="18"/>
        </w:rPr>
        <w:t xml:space="preserve"> sentenze ed ai provvedimenti diversi dalla sentenza contro i quali è ammesso il ricorso per cassazione per violazione di legge.</w:t>
      </w:r>
    </w:p>
    <w:p w14:paraId="43411371" w14:textId="77777777" w:rsidR="00B32EF2" w:rsidRDefault="00000000">
      <w:pPr>
        <w:pStyle w:val="Titolo3"/>
        <w:ind w:left="129" w:right="120"/>
      </w:pPr>
      <w:r>
        <w:t>NORME COLLEGATE</w:t>
      </w:r>
    </w:p>
    <w:p w14:paraId="3293B8BC"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403" w:line="251" w:lineRule="auto"/>
        <w:ind w:left="129" w:right="120" w:hanging="10"/>
        <w:jc w:val="both"/>
      </w:pPr>
      <w:r>
        <w:rPr>
          <w:rFonts w:ascii="Arial" w:eastAsia="Arial" w:hAnsi="Arial" w:cs="Arial"/>
          <w:i/>
          <w:sz w:val="18"/>
        </w:rPr>
        <w:t xml:space="preserve">artt. da 360 a 391-quater c.p.c. esclusi artt. 361-368-373 </w:t>
      </w:r>
      <w:proofErr w:type="spellStart"/>
      <w:r>
        <w:rPr>
          <w:rFonts w:ascii="Arial" w:eastAsia="Arial" w:hAnsi="Arial" w:cs="Arial"/>
          <w:i/>
          <w:sz w:val="18"/>
        </w:rPr>
        <w:t>c.p.c</w:t>
      </w:r>
      <w:proofErr w:type="spellEnd"/>
    </w:p>
    <w:p w14:paraId="6822C03D"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09" w:right="120" w:hanging="10"/>
        <w:jc w:val="center"/>
      </w:pPr>
      <w:r>
        <w:rPr>
          <w:rFonts w:ascii="Arial" w:eastAsia="Arial" w:hAnsi="Arial" w:cs="Arial"/>
          <w:b/>
          <w:sz w:val="18"/>
        </w:rPr>
        <w:t>Per i  giudizi instaurati  con ricorso notificato fino al 5.1.24 Articolo 62 bis</w:t>
      </w:r>
    </w:p>
    <w:p w14:paraId="1835C9FE" w14:textId="77777777" w:rsidR="00B32EF2" w:rsidRDefault="00000000">
      <w:pPr>
        <w:pBdr>
          <w:top w:val="single" w:sz="8" w:space="0" w:color="000000"/>
          <w:left w:val="single" w:sz="8" w:space="0" w:color="000000"/>
          <w:bottom w:val="single" w:sz="8" w:space="0" w:color="000000"/>
          <w:right w:val="single" w:sz="8" w:space="0" w:color="000000"/>
        </w:pBdr>
        <w:spacing w:after="0"/>
        <w:ind w:left="109" w:right="120" w:hanging="10"/>
        <w:jc w:val="center"/>
      </w:pPr>
      <w:r>
        <w:rPr>
          <w:rFonts w:ascii="Arial" w:eastAsia="Arial" w:hAnsi="Arial" w:cs="Arial"/>
          <w:i/>
          <w:sz w:val="18"/>
        </w:rPr>
        <w:t>(articolo 117 TUGT)</w:t>
      </w:r>
    </w:p>
    <w:p w14:paraId="6292C2FA"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09" w:right="120" w:hanging="10"/>
        <w:jc w:val="center"/>
      </w:pPr>
      <w:r>
        <w:rPr>
          <w:rFonts w:ascii="Arial" w:eastAsia="Arial" w:hAnsi="Arial" w:cs="Arial"/>
          <w:b/>
          <w:sz w:val="18"/>
        </w:rPr>
        <w:t xml:space="preserve">Provvedimenti sull’esecuzione provvisoria della sentenza impugnata per cassazione </w:t>
      </w:r>
    </w:p>
    <w:p w14:paraId="334EE962" w14:textId="79BF3F0A" w:rsidR="00B32EF2" w:rsidRDefault="00000000">
      <w:pPr>
        <w:numPr>
          <w:ilvl w:val="0"/>
          <w:numId w:val="113"/>
        </w:numPr>
        <w:pBdr>
          <w:top w:val="single" w:sz="8" w:space="0" w:color="000000"/>
          <w:left w:val="single" w:sz="8" w:space="0" w:color="000000"/>
          <w:bottom w:val="single" w:sz="8" w:space="0" w:color="000000"/>
          <w:right w:val="single" w:sz="8" w:space="0" w:color="000000"/>
        </w:pBdr>
        <w:spacing w:after="0" w:line="250" w:lineRule="auto"/>
        <w:ind w:right="120" w:hanging="10"/>
        <w:jc w:val="both"/>
      </w:pPr>
      <w:r>
        <w:rPr>
          <w:rFonts w:ascii="Arial" w:eastAsia="Arial" w:hAnsi="Arial" w:cs="Arial"/>
          <w:sz w:val="18"/>
        </w:rPr>
        <w:lastRenderedPageBreak/>
        <w:t xml:space="preserve">La parte che ha proposto ricorso per cassazione può chiedere </w:t>
      </w:r>
      <w:r w:rsidR="00C765E9">
        <w:rPr>
          <w:rFonts w:ascii="Arial" w:eastAsia="Arial" w:hAnsi="Arial" w:cs="Arial"/>
          <w:sz w:val="18"/>
        </w:rPr>
        <w:t>alla commissione</w:t>
      </w:r>
      <w:r>
        <w:rPr>
          <w:rFonts w:ascii="Arial" w:eastAsia="Arial" w:hAnsi="Arial" w:cs="Arial"/>
          <w:sz w:val="18"/>
        </w:rPr>
        <w:t xml:space="preserve"> che ha pronunciato la sentenza impugnata di sospenderne in tutto o in parte l’esecutività allo scopo di evitare un danno grave e irreparabile. Il contribuente può comunque chiedere la sospensione dell’esecuzione dell’atto se da questa può derivargli un danno grave e irreparabile.</w:t>
      </w:r>
    </w:p>
    <w:p w14:paraId="755C120A" w14:textId="731C1771" w:rsidR="00B32EF2" w:rsidRDefault="00000000">
      <w:pPr>
        <w:numPr>
          <w:ilvl w:val="0"/>
          <w:numId w:val="113"/>
        </w:numPr>
        <w:pBdr>
          <w:top w:val="single" w:sz="8" w:space="0" w:color="000000"/>
          <w:left w:val="single" w:sz="8" w:space="0" w:color="000000"/>
          <w:bottom w:val="single" w:sz="8" w:space="0" w:color="000000"/>
          <w:right w:val="single" w:sz="8" w:space="0" w:color="000000"/>
        </w:pBdr>
        <w:spacing w:after="0" w:line="250" w:lineRule="auto"/>
        <w:ind w:right="120" w:hanging="10"/>
        <w:jc w:val="both"/>
      </w:pPr>
      <w:r>
        <w:rPr>
          <w:rFonts w:ascii="Arial" w:eastAsia="Arial" w:hAnsi="Arial" w:cs="Arial"/>
          <w:sz w:val="18"/>
        </w:rPr>
        <w:t xml:space="preserve">Il presidente fissa con decreto la trattazione della istanza di </w:t>
      </w:r>
      <w:r w:rsidR="00C765E9">
        <w:rPr>
          <w:rFonts w:ascii="Arial" w:eastAsia="Arial" w:hAnsi="Arial" w:cs="Arial"/>
          <w:sz w:val="18"/>
        </w:rPr>
        <w:t>sospensione per</w:t>
      </w:r>
      <w:r>
        <w:rPr>
          <w:rFonts w:ascii="Arial" w:eastAsia="Arial" w:hAnsi="Arial" w:cs="Arial"/>
          <w:sz w:val="18"/>
        </w:rPr>
        <w:t xml:space="preserve"> la prima camera di consiglio utile disponendo che ne sia data comunicazione alle parti almeno dieci giorni liberi prima.</w:t>
      </w:r>
    </w:p>
    <w:p w14:paraId="682D07BC" w14:textId="50268F30" w:rsidR="00B32EF2" w:rsidRDefault="00000000">
      <w:pPr>
        <w:numPr>
          <w:ilvl w:val="0"/>
          <w:numId w:val="113"/>
        </w:numPr>
        <w:pBdr>
          <w:top w:val="single" w:sz="8" w:space="0" w:color="000000"/>
          <w:left w:val="single" w:sz="8" w:space="0" w:color="000000"/>
          <w:bottom w:val="single" w:sz="8" w:space="0" w:color="000000"/>
          <w:right w:val="single" w:sz="8" w:space="0" w:color="000000"/>
        </w:pBdr>
        <w:spacing w:after="0" w:line="250" w:lineRule="auto"/>
        <w:ind w:right="120" w:hanging="10"/>
        <w:jc w:val="both"/>
      </w:pPr>
      <w:r>
        <w:rPr>
          <w:rFonts w:ascii="Arial" w:eastAsia="Arial" w:hAnsi="Arial" w:cs="Arial"/>
          <w:sz w:val="18"/>
        </w:rPr>
        <w:t xml:space="preserve">In caso di eccezionale urgenza il presidente può disporre con </w:t>
      </w:r>
      <w:r w:rsidR="00C765E9">
        <w:rPr>
          <w:rFonts w:ascii="Arial" w:eastAsia="Arial" w:hAnsi="Arial" w:cs="Arial"/>
          <w:sz w:val="18"/>
        </w:rPr>
        <w:t>decreto motivato</w:t>
      </w:r>
      <w:r>
        <w:rPr>
          <w:rFonts w:ascii="Arial" w:eastAsia="Arial" w:hAnsi="Arial" w:cs="Arial"/>
          <w:sz w:val="18"/>
        </w:rPr>
        <w:t xml:space="preserve"> la sospensione dell’esecutività della sentenza fino alla pronuncia del collegio.</w:t>
      </w:r>
    </w:p>
    <w:p w14:paraId="228EAC1D" w14:textId="175AFAC9" w:rsidR="00B32EF2" w:rsidRDefault="00000000">
      <w:pPr>
        <w:numPr>
          <w:ilvl w:val="0"/>
          <w:numId w:val="113"/>
        </w:numPr>
        <w:pBdr>
          <w:top w:val="single" w:sz="8" w:space="0" w:color="000000"/>
          <w:left w:val="single" w:sz="8" w:space="0" w:color="000000"/>
          <w:bottom w:val="single" w:sz="8" w:space="0" w:color="000000"/>
          <w:right w:val="single" w:sz="8" w:space="0" w:color="000000"/>
        </w:pBdr>
        <w:spacing w:after="0" w:line="250" w:lineRule="auto"/>
        <w:ind w:right="120" w:hanging="10"/>
        <w:jc w:val="both"/>
      </w:pPr>
      <w:r>
        <w:rPr>
          <w:rFonts w:ascii="Arial" w:eastAsia="Arial" w:hAnsi="Arial" w:cs="Arial"/>
          <w:sz w:val="18"/>
        </w:rPr>
        <w:t xml:space="preserve">Il collegio, sentite le parti in camera di consiglio, provvede con </w:t>
      </w:r>
      <w:r w:rsidR="00C765E9">
        <w:rPr>
          <w:rFonts w:ascii="Arial" w:eastAsia="Arial" w:hAnsi="Arial" w:cs="Arial"/>
          <w:sz w:val="18"/>
        </w:rPr>
        <w:t>ordinanza motivata</w:t>
      </w:r>
      <w:r>
        <w:rPr>
          <w:rFonts w:ascii="Arial" w:eastAsia="Arial" w:hAnsi="Arial" w:cs="Arial"/>
          <w:sz w:val="18"/>
        </w:rPr>
        <w:t xml:space="preserve"> non impugnabile.</w:t>
      </w:r>
    </w:p>
    <w:p w14:paraId="566D8ED4" w14:textId="51D4C333" w:rsidR="00B32EF2" w:rsidRDefault="00000000">
      <w:pPr>
        <w:numPr>
          <w:ilvl w:val="0"/>
          <w:numId w:val="113"/>
        </w:numPr>
        <w:pBdr>
          <w:top w:val="single" w:sz="8" w:space="0" w:color="000000"/>
          <w:left w:val="single" w:sz="8" w:space="0" w:color="000000"/>
          <w:bottom w:val="single" w:sz="8" w:space="0" w:color="000000"/>
          <w:right w:val="single" w:sz="8" w:space="0" w:color="000000"/>
        </w:pBdr>
        <w:spacing w:after="0" w:line="250" w:lineRule="auto"/>
        <w:ind w:right="120" w:hanging="10"/>
        <w:jc w:val="both"/>
      </w:pPr>
      <w:r>
        <w:rPr>
          <w:rFonts w:ascii="Arial" w:eastAsia="Arial" w:hAnsi="Arial" w:cs="Arial"/>
          <w:sz w:val="18"/>
        </w:rPr>
        <w:t xml:space="preserve">La sospensione può essere subordinata alla prestazione della </w:t>
      </w:r>
      <w:r w:rsidR="00C765E9">
        <w:rPr>
          <w:rFonts w:ascii="Arial" w:eastAsia="Arial" w:hAnsi="Arial" w:cs="Arial"/>
          <w:sz w:val="18"/>
        </w:rPr>
        <w:t>garanzia di</w:t>
      </w:r>
      <w:r>
        <w:rPr>
          <w:rFonts w:ascii="Arial" w:eastAsia="Arial" w:hAnsi="Arial" w:cs="Arial"/>
          <w:sz w:val="18"/>
        </w:rPr>
        <w:t xml:space="preserve"> cui all’articolo 69, comma 2. Si applica la disposizione dell’articolo 47, comma 8-bis.</w:t>
      </w:r>
    </w:p>
    <w:p w14:paraId="440D40FE" w14:textId="6A516D57" w:rsidR="00B32EF2" w:rsidRDefault="00000000">
      <w:pPr>
        <w:numPr>
          <w:ilvl w:val="0"/>
          <w:numId w:val="113"/>
        </w:numPr>
        <w:pBdr>
          <w:top w:val="single" w:sz="8" w:space="0" w:color="000000"/>
          <w:left w:val="single" w:sz="8" w:space="0" w:color="000000"/>
          <w:bottom w:val="single" w:sz="8" w:space="0" w:color="000000"/>
          <w:right w:val="single" w:sz="8" w:space="0" w:color="000000"/>
        </w:pBdr>
        <w:spacing w:after="542" w:line="250" w:lineRule="auto"/>
        <w:ind w:right="120" w:hanging="10"/>
        <w:jc w:val="both"/>
      </w:pPr>
      <w:r>
        <w:rPr>
          <w:rFonts w:ascii="Arial" w:eastAsia="Arial" w:hAnsi="Arial" w:cs="Arial"/>
          <w:sz w:val="18"/>
        </w:rPr>
        <w:t>La commissione non può pronunciarsi sulle richieste di cui al comma 1 se</w:t>
      </w:r>
      <w:r w:rsidR="00C765E9">
        <w:rPr>
          <w:rFonts w:ascii="Arial" w:eastAsia="Arial" w:hAnsi="Arial" w:cs="Arial"/>
          <w:sz w:val="18"/>
        </w:rPr>
        <w:t xml:space="preserve"> </w:t>
      </w:r>
      <w:r>
        <w:rPr>
          <w:rFonts w:ascii="Arial" w:eastAsia="Arial" w:hAnsi="Arial" w:cs="Arial"/>
          <w:sz w:val="18"/>
        </w:rPr>
        <w:t>la parte istante non dimostra di avere depositato il ricorso per cassazione contro la sentenza.</w:t>
      </w:r>
    </w:p>
    <w:p w14:paraId="4B833247" w14:textId="77777777" w:rsidR="00B32EF2" w:rsidRDefault="00000000">
      <w:pPr>
        <w:spacing w:after="0" w:line="261" w:lineRule="auto"/>
        <w:ind w:left="12" w:right="3" w:hanging="10"/>
        <w:jc w:val="center"/>
      </w:pPr>
      <w:r>
        <w:rPr>
          <w:rFonts w:ascii="Arial" w:eastAsia="Arial" w:hAnsi="Arial" w:cs="Arial"/>
          <w:b/>
          <w:sz w:val="18"/>
        </w:rPr>
        <w:t>Articolo 62 bis</w:t>
      </w:r>
    </w:p>
    <w:p w14:paraId="032CBE1D" w14:textId="77777777" w:rsidR="00B32EF2" w:rsidRDefault="00000000">
      <w:pPr>
        <w:spacing w:after="3" w:line="251" w:lineRule="auto"/>
        <w:ind w:left="2320" w:right="2311" w:hanging="10"/>
        <w:jc w:val="center"/>
      </w:pPr>
      <w:r>
        <w:rPr>
          <w:rFonts w:ascii="Arial" w:eastAsia="Arial" w:hAnsi="Arial" w:cs="Arial"/>
          <w:i/>
          <w:sz w:val="18"/>
        </w:rPr>
        <w:t>(articolo 117 TUGT)</w:t>
      </w:r>
    </w:p>
    <w:p w14:paraId="66861CB9" w14:textId="77777777" w:rsidR="00B32EF2" w:rsidRDefault="00000000">
      <w:pPr>
        <w:spacing w:after="0" w:line="261" w:lineRule="auto"/>
        <w:ind w:left="12" w:right="2" w:hanging="10"/>
        <w:jc w:val="center"/>
      </w:pPr>
      <w:r>
        <w:rPr>
          <w:rFonts w:ascii="Arial" w:eastAsia="Arial" w:hAnsi="Arial" w:cs="Arial"/>
          <w:b/>
          <w:sz w:val="18"/>
        </w:rPr>
        <w:t>Provvedimenti sull’esecuzione provvisoria della sentenza impugnata per cassazione</w:t>
      </w:r>
    </w:p>
    <w:p w14:paraId="4208DC45" w14:textId="77777777" w:rsidR="00B32EF2" w:rsidRDefault="00000000">
      <w:pPr>
        <w:spacing w:after="5" w:line="250" w:lineRule="auto"/>
        <w:ind w:left="-4" w:hanging="10"/>
        <w:jc w:val="both"/>
      </w:pPr>
      <w:r>
        <w:rPr>
          <w:rFonts w:ascii="Arial" w:eastAsia="Arial" w:hAnsi="Arial" w:cs="Arial"/>
          <w:sz w:val="18"/>
        </w:rPr>
        <w:t>1. La parte che ha proposto ricorso per cassazione può chiedere alla corte di giustizia tributaria che ha pronunciato la sentenza impugnata di sospenderne in tutto o in parte l’esecutività allo scopo di evitare un danno grave e irreparabile. 2. Il presidente fissa con decreto la trattazione della istanza di sospensione per la prima camera di consiglio utile, comunque non oltre il trentesimo giorno dalla presentazione della medesima istanza, disponendo che ne sia data comunicazione alle parti almeno dieci giorni liberi prima.</w:t>
      </w:r>
    </w:p>
    <w:p w14:paraId="68F72598" w14:textId="77777777" w:rsidR="00B32EF2" w:rsidRDefault="00000000">
      <w:pPr>
        <w:numPr>
          <w:ilvl w:val="0"/>
          <w:numId w:val="114"/>
        </w:numPr>
        <w:spacing w:after="5" w:line="250" w:lineRule="auto"/>
        <w:ind w:hanging="10"/>
        <w:jc w:val="both"/>
      </w:pPr>
      <w:r>
        <w:rPr>
          <w:rFonts w:ascii="Arial" w:eastAsia="Arial" w:hAnsi="Arial" w:cs="Arial"/>
          <w:sz w:val="18"/>
        </w:rPr>
        <w:t xml:space="preserve">In caso di eccezionale urgenza il presidente può disporre con decreto </w:t>
      </w:r>
      <w:proofErr w:type="spellStart"/>
      <w:r>
        <w:rPr>
          <w:rFonts w:ascii="Arial" w:eastAsia="Arial" w:hAnsi="Arial" w:cs="Arial"/>
          <w:sz w:val="18"/>
        </w:rPr>
        <w:t>motivatola</w:t>
      </w:r>
      <w:proofErr w:type="spellEnd"/>
      <w:r>
        <w:rPr>
          <w:rFonts w:ascii="Arial" w:eastAsia="Arial" w:hAnsi="Arial" w:cs="Arial"/>
          <w:sz w:val="18"/>
        </w:rPr>
        <w:t xml:space="preserve"> sospensione dell’esecutività della sentenza fino alla pronuncia del collegio.</w:t>
      </w:r>
    </w:p>
    <w:p w14:paraId="6C6A32F3" w14:textId="77777777" w:rsidR="00B32EF2" w:rsidRDefault="00000000">
      <w:pPr>
        <w:numPr>
          <w:ilvl w:val="0"/>
          <w:numId w:val="114"/>
        </w:numPr>
        <w:spacing w:after="5" w:line="250" w:lineRule="auto"/>
        <w:ind w:hanging="10"/>
        <w:jc w:val="both"/>
      </w:pPr>
      <w:r>
        <w:rPr>
          <w:rFonts w:ascii="Arial" w:eastAsia="Arial" w:hAnsi="Arial" w:cs="Arial"/>
          <w:sz w:val="18"/>
        </w:rPr>
        <w:t xml:space="preserve">Il collegio, sentite le parti in camera di consiglio, provvede con </w:t>
      </w:r>
      <w:proofErr w:type="spellStart"/>
      <w:r>
        <w:rPr>
          <w:rFonts w:ascii="Arial" w:eastAsia="Arial" w:hAnsi="Arial" w:cs="Arial"/>
          <w:sz w:val="18"/>
        </w:rPr>
        <w:t>ordinanzamotivata</w:t>
      </w:r>
      <w:proofErr w:type="spellEnd"/>
      <w:r>
        <w:rPr>
          <w:rFonts w:ascii="Arial" w:eastAsia="Arial" w:hAnsi="Arial" w:cs="Arial"/>
          <w:sz w:val="18"/>
        </w:rPr>
        <w:t xml:space="preserve"> non impugnabile.</w:t>
      </w:r>
    </w:p>
    <w:p w14:paraId="41318259" w14:textId="77777777" w:rsidR="00B32EF2" w:rsidRDefault="00000000">
      <w:pPr>
        <w:numPr>
          <w:ilvl w:val="0"/>
          <w:numId w:val="114"/>
        </w:numPr>
        <w:spacing w:after="217" w:line="250" w:lineRule="auto"/>
        <w:ind w:hanging="10"/>
        <w:jc w:val="both"/>
      </w:pPr>
      <w:r>
        <w:rPr>
          <w:rFonts w:ascii="Arial" w:eastAsia="Arial" w:hAnsi="Arial" w:cs="Arial"/>
          <w:sz w:val="18"/>
        </w:rPr>
        <w:t xml:space="preserve">La sospensione può essere subordinata alla prestazione della garanzia di </w:t>
      </w:r>
      <w:proofErr w:type="spellStart"/>
      <w:r>
        <w:rPr>
          <w:rFonts w:ascii="Arial" w:eastAsia="Arial" w:hAnsi="Arial" w:cs="Arial"/>
          <w:sz w:val="18"/>
        </w:rPr>
        <w:t>cuiall’articolo</w:t>
      </w:r>
      <w:proofErr w:type="spellEnd"/>
      <w:r>
        <w:rPr>
          <w:rFonts w:ascii="Arial" w:eastAsia="Arial" w:hAnsi="Arial" w:cs="Arial"/>
          <w:sz w:val="18"/>
        </w:rPr>
        <w:t xml:space="preserve"> 69, comma 2. Si applica la disposizione dell’articolo 47, comma 8-bis. 6. La corte di giustizia tributaria non può pronunciarsi sulle richieste di cui al comma 1 se la parte istante non dimostra di avere depositato il ricorso per cassazione contro la sentenza.</w:t>
      </w:r>
    </w:p>
    <w:p w14:paraId="236263BB" w14:textId="77777777" w:rsidR="00B32EF2" w:rsidRDefault="00000000">
      <w:pPr>
        <w:spacing w:after="0" w:line="261" w:lineRule="auto"/>
        <w:ind w:left="12" w:right="3" w:hanging="10"/>
        <w:jc w:val="center"/>
      </w:pPr>
      <w:r>
        <w:rPr>
          <w:rFonts w:ascii="Arial" w:eastAsia="Arial" w:hAnsi="Arial" w:cs="Arial"/>
          <w:b/>
          <w:sz w:val="18"/>
        </w:rPr>
        <w:lastRenderedPageBreak/>
        <w:t>Articolo 63</w:t>
      </w:r>
    </w:p>
    <w:p w14:paraId="1098B6C8" w14:textId="77777777" w:rsidR="00B32EF2" w:rsidRDefault="00000000">
      <w:pPr>
        <w:spacing w:after="3" w:line="251" w:lineRule="auto"/>
        <w:ind w:left="2320" w:right="2311" w:hanging="10"/>
        <w:jc w:val="center"/>
      </w:pPr>
      <w:r>
        <w:rPr>
          <w:rFonts w:ascii="Arial" w:eastAsia="Arial" w:hAnsi="Arial" w:cs="Arial"/>
          <w:i/>
          <w:sz w:val="18"/>
        </w:rPr>
        <w:t>(articolo 118 TUGT)</w:t>
      </w:r>
    </w:p>
    <w:p w14:paraId="4DA8D2D3" w14:textId="77777777" w:rsidR="00B32EF2" w:rsidRDefault="00000000">
      <w:pPr>
        <w:spacing w:after="0" w:line="261" w:lineRule="auto"/>
        <w:ind w:left="12" w:right="3" w:hanging="10"/>
        <w:jc w:val="center"/>
      </w:pPr>
      <w:r>
        <w:rPr>
          <w:rFonts w:ascii="Arial" w:eastAsia="Arial" w:hAnsi="Arial" w:cs="Arial"/>
          <w:b/>
          <w:sz w:val="18"/>
        </w:rPr>
        <w:t xml:space="preserve">Giudizio di rinvio </w:t>
      </w:r>
    </w:p>
    <w:p w14:paraId="60ACBD05" w14:textId="77777777" w:rsidR="00B32EF2" w:rsidRDefault="00000000">
      <w:pPr>
        <w:numPr>
          <w:ilvl w:val="0"/>
          <w:numId w:val="115"/>
        </w:numPr>
        <w:spacing w:after="5" w:line="250" w:lineRule="auto"/>
        <w:ind w:hanging="10"/>
        <w:jc w:val="both"/>
      </w:pPr>
      <w:r>
        <w:rPr>
          <w:rFonts w:ascii="Arial" w:eastAsia="Arial" w:hAnsi="Arial" w:cs="Arial"/>
          <w:sz w:val="18"/>
        </w:rPr>
        <w:t xml:space="preserve">Quando la Corte di cassazione rinvia la causa alla corte di </w:t>
      </w:r>
      <w:proofErr w:type="spellStart"/>
      <w:r>
        <w:rPr>
          <w:rFonts w:ascii="Arial" w:eastAsia="Arial" w:hAnsi="Arial" w:cs="Arial"/>
          <w:sz w:val="18"/>
        </w:rPr>
        <w:t>giustiziatributaria</w:t>
      </w:r>
      <w:proofErr w:type="spellEnd"/>
      <w:r>
        <w:rPr>
          <w:rFonts w:ascii="Arial" w:eastAsia="Arial" w:hAnsi="Arial" w:cs="Arial"/>
          <w:sz w:val="18"/>
        </w:rPr>
        <w:t xml:space="preserve"> di primo grado o corte di giustizia tributaria di secondo grado la riassunzione deve essere fatta nei confronti di tutte le parti personalmente entro il termine perentorio di sei mesi dalla pubblicazione della sentenza nelle forme rispettivamente previste per i giudizi di primo e di secondo grado in quanto applicabili.</w:t>
      </w:r>
    </w:p>
    <w:p w14:paraId="5DDC56E2" w14:textId="77777777" w:rsidR="00B32EF2" w:rsidRDefault="00000000">
      <w:pPr>
        <w:numPr>
          <w:ilvl w:val="0"/>
          <w:numId w:val="115"/>
        </w:numPr>
        <w:spacing w:after="5" w:line="250" w:lineRule="auto"/>
        <w:ind w:hanging="10"/>
        <w:jc w:val="both"/>
      </w:pPr>
      <w:r>
        <w:rPr>
          <w:rFonts w:ascii="Arial" w:eastAsia="Arial" w:hAnsi="Arial" w:cs="Arial"/>
          <w:sz w:val="18"/>
        </w:rPr>
        <w:t xml:space="preserve">Se la riassunzione non avviene entro il termine di cui al comma </w:t>
      </w:r>
      <w:proofErr w:type="spellStart"/>
      <w:r>
        <w:rPr>
          <w:rFonts w:ascii="Arial" w:eastAsia="Arial" w:hAnsi="Arial" w:cs="Arial"/>
          <w:sz w:val="18"/>
        </w:rPr>
        <w:t>precedenteo</w:t>
      </w:r>
      <w:proofErr w:type="spellEnd"/>
      <w:r>
        <w:rPr>
          <w:rFonts w:ascii="Arial" w:eastAsia="Arial" w:hAnsi="Arial" w:cs="Arial"/>
          <w:sz w:val="18"/>
        </w:rPr>
        <w:t xml:space="preserve"> si avvera successivamente ad essa una causa di estinzione del giudizio di rinvio l’intero processo si estingue.</w:t>
      </w:r>
    </w:p>
    <w:p w14:paraId="68FE15C8" w14:textId="77777777" w:rsidR="00B32EF2" w:rsidRDefault="00000000">
      <w:pPr>
        <w:numPr>
          <w:ilvl w:val="0"/>
          <w:numId w:val="115"/>
        </w:numPr>
        <w:spacing w:after="5" w:line="250" w:lineRule="auto"/>
        <w:ind w:hanging="10"/>
        <w:jc w:val="both"/>
      </w:pPr>
      <w:r>
        <w:rPr>
          <w:rFonts w:ascii="Arial" w:eastAsia="Arial" w:hAnsi="Arial" w:cs="Arial"/>
          <w:sz w:val="18"/>
        </w:rPr>
        <w:t xml:space="preserve">In sede di rinvio si osservano le norme stabilite per il procedimento </w:t>
      </w:r>
      <w:proofErr w:type="spellStart"/>
      <w:r>
        <w:rPr>
          <w:rFonts w:ascii="Arial" w:eastAsia="Arial" w:hAnsi="Arial" w:cs="Arial"/>
          <w:sz w:val="18"/>
        </w:rPr>
        <w:t>davantialla</w:t>
      </w:r>
      <w:proofErr w:type="spellEnd"/>
      <w:r>
        <w:rPr>
          <w:rFonts w:ascii="Arial" w:eastAsia="Arial" w:hAnsi="Arial" w:cs="Arial"/>
          <w:sz w:val="18"/>
        </w:rPr>
        <w:t xml:space="preserve"> corte di giustizia tributaria di primo e secondo grado a cui il processo è stato rinviato. In ogni caso, a pena d’inammissibilità, deve essere prodotta copia autentica della sentenza di cassazione.</w:t>
      </w:r>
    </w:p>
    <w:p w14:paraId="76969942" w14:textId="77777777" w:rsidR="00B32EF2" w:rsidRDefault="00000000">
      <w:pPr>
        <w:numPr>
          <w:ilvl w:val="0"/>
          <w:numId w:val="115"/>
        </w:numPr>
        <w:spacing w:after="5" w:line="250" w:lineRule="auto"/>
        <w:ind w:hanging="10"/>
        <w:jc w:val="both"/>
      </w:pPr>
      <w:r>
        <w:rPr>
          <w:rFonts w:ascii="Arial" w:eastAsia="Arial" w:hAnsi="Arial" w:cs="Arial"/>
          <w:sz w:val="18"/>
        </w:rPr>
        <w:t xml:space="preserve">Le parti conservano la stessa posizione processuale che avevano </w:t>
      </w:r>
      <w:proofErr w:type="spellStart"/>
      <w:r>
        <w:rPr>
          <w:rFonts w:ascii="Arial" w:eastAsia="Arial" w:hAnsi="Arial" w:cs="Arial"/>
          <w:sz w:val="18"/>
        </w:rPr>
        <w:t>nelprocedimento</w:t>
      </w:r>
      <w:proofErr w:type="spellEnd"/>
      <w:r>
        <w:rPr>
          <w:rFonts w:ascii="Arial" w:eastAsia="Arial" w:hAnsi="Arial" w:cs="Arial"/>
          <w:sz w:val="18"/>
        </w:rPr>
        <w:t xml:space="preserve"> in cui è stata pronunciata la sentenza cassata e non possono formulare richieste diverse da quelle prese in tale procedimento, salvi gli adeguamenti imposti dalla sentenza di cassazione.</w:t>
      </w:r>
    </w:p>
    <w:p w14:paraId="0A825FA2" w14:textId="77777777" w:rsidR="00B32EF2" w:rsidRDefault="00000000">
      <w:pPr>
        <w:numPr>
          <w:ilvl w:val="0"/>
          <w:numId w:val="115"/>
        </w:numPr>
        <w:spacing w:after="5" w:line="250" w:lineRule="auto"/>
        <w:ind w:hanging="10"/>
        <w:jc w:val="both"/>
      </w:pPr>
      <w:r>
        <w:rPr>
          <w:rFonts w:ascii="Arial" w:eastAsia="Arial" w:hAnsi="Arial" w:cs="Arial"/>
          <w:sz w:val="18"/>
        </w:rPr>
        <w:t xml:space="preserve">Subito dopo il deposito dell’atto di riassunzione, la segreteria </w:t>
      </w:r>
      <w:proofErr w:type="spellStart"/>
      <w:r>
        <w:rPr>
          <w:rFonts w:ascii="Arial" w:eastAsia="Arial" w:hAnsi="Arial" w:cs="Arial"/>
          <w:sz w:val="18"/>
        </w:rPr>
        <w:t>dellacommissione</w:t>
      </w:r>
      <w:proofErr w:type="spellEnd"/>
      <w:r>
        <w:rPr>
          <w:rFonts w:ascii="Arial" w:eastAsia="Arial" w:hAnsi="Arial" w:cs="Arial"/>
          <w:sz w:val="18"/>
        </w:rPr>
        <w:t xml:space="preserve"> adita richiede alla cancelleria della Corte di cassazione la trasmissione del fascicolo del processo.</w:t>
      </w:r>
    </w:p>
    <w:p w14:paraId="469B77A2" w14:textId="77777777" w:rsidR="00B32EF2" w:rsidRDefault="00000000">
      <w:pPr>
        <w:spacing w:after="0" w:line="261" w:lineRule="auto"/>
        <w:ind w:left="12" w:right="3" w:hanging="10"/>
        <w:jc w:val="center"/>
      </w:pPr>
      <w:r>
        <w:rPr>
          <w:rFonts w:ascii="Arial" w:eastAsia="Arial" w:hAnsi="Arial" w:cs="Arial"/>
          <w:b/>
          <w:sz w:val="18"/>
        </w:rPr>
        <w:t xml:space="preserve">SEZIONE IV </w:t>
      </w:r>
    </w:p>
    <w:p w14:paraId="55495B04" w14:textId="77777777" w:rsidR="00B32EF2" w:rsidRDefault="00000000">
      <w:pPr>
        <w:spacing w:after="207" w:line="261" w:lineRule="auto"/>
        <w:ind w:left="12" w:right="3" w:hanging="10"/>
        <w:jc w:val="center"/>
      </w:pPr>
      <w:r>
        <w:rPr>
          <w:rFonts w:ascii="Arial" w:eastAsia="Arial" w:hAnsi="Arial" w:cs="Arial"/>
          <w:b/>
          <w:sz w:val="18"/>
        </w:rPr>
        <w:t xml:space="preserve"> LA REVOCAZIONE</w:t>
      </w:r>
    </w:p>
    <w:p w14:paraId="7A358822" w14:textId="77777777" w:rsidR="00B32EF2" w:rsidRDefault="00000000">
      <w:pPr>
        <w:spacing w:after="0" w:line="261" w:lineRule="auto"/>
        <w:ind w:left="12" w:right="3" w:hanging="10"/>
        <w:jc w:val="center"/>
      </w:pPr>
      <w:r>
        <w:rPr>
          <w:rFonts w:ascii="Arial" w:eastAsia="Arial" w:hAnsi="Arial" w:cs="Arial"/>
          <w:b/>
          <w:sz w:val="18"/>
        </w:rPr>
        <w:t>Articolo 64</w:t>
      </w:r>
    </w:p>
    <w:p w14:paraId="72B47ED4" w14:textId="77777777" w:rsidR="00B32EF2" w:rsidRDefault="00000000">
      <w:pPr>
        <w:spacing w:after="3" w:line="251" w:lineRule="auto"/>
        <w:ind w:left="2320" w:right="2311" w:hanging="10"/>
        <w:jc w:val="center"/>
      </w:pPr>
      <w:r>
        <w:rPr>
          <w:rFonts w:ascii="Arial" w:eastAsia="Arial" w:hAnsi="Arial" w:cs="Arial"/>
          <w:i/>
          <w:sz w:val="18"/>
        </w:rPr>
        <w:t>(articolo 120 TUGT)</w:t>
      </w:r>
    </w:p>
    <w:p w14:paraId="11727C3C" w14:textId="77777777" w:rsidR="00B32EF2" w:rsidRDefault="00000000">
      <w:pPr>
        <w:spacing w:after="0" w:line="261" w:lineRule="auto"/>
        <w:ind w:left="12" w:right="3" w:hanging="10"/>
        <w:jc w:val="center"/>
      </w:pPr>
      <w:r>
        <w:rPr>
          <w:rFonts w:ascii="Arial" w:eastAsia="Arial" w:hAnsi="Arial" w:cs="Arial"/>
          <w:b/>
          <w:sz w:val="18"/>
        </w:rPr>
        <w:t xml:space="preserve">Sentenze revocabili e motivi di revocazione </w:t>
      </w:r>
    </w:p>
    <w:p w14:paraId="7014CEF4" w14:textId="77777777" w:rsidR="00B32EF2" w:rsidRDefault="00000000">
      <w:pPr>
        <w:numPr>
          <w:ilvl w:val="0"/>
          <w:numId w:val="116"/>
        </w:numPr>
        <w:spacing w:after="5" w:line="250" w:lineRule="auto"/>
        <w:ind w:hanging="10"/>
        <w:jc w:val="both"/>
      </w:pPr>
      <w:r>
        <w:rPr>
          <w:rFonts w:ascii="Arial" w:eastAsia="Arial" w:hAnsi="Arial" w:cs="Arial"/>
          <w:sz w:val="18"/>
        </w:rPr>
        <w:t xml:space="preserve">Le sentenze pronunciate in grado d’appello o in unico grado dalle corti </w:t>
      </w:r>
      <w:proofErr w:type="spellStart"/>
      <w:r>
        <w:rPr>
          <w:rFonts w:ascii="Arial" w:eastAsia="Arial" w:hAnsi="Arial" w:cs="Arial"/>
          <w:sz w:val="18"/>
        </w:rPr>
        <w:t>digiustizia</w:t>
      </w:r>
      <w:proofErr w:type="spellEnd"/>
      <w:r>
        <w:rPr>
          <w:rFonts w:ascii="Arial" w:eastAsia="Arial" w:hAnsi="Arial" w:cs="Arial"/>
          <w:sz w:val="18"/>
        </w:rPr>
        <w:t xml:space="preserve"> tributaria di primo e secondo grado possono essere impugnate ai sensi dell’articolo 395 del codice di procedura civile.</w:t>
      </w:r>
    </w:p>
    <w:p w14:paraId="69545994" w14:textId="77777777" w:rsidR="00B32EF2" w:rsidRDefault="00000000">
      <w:pPr>
        <w:numPr>
          <w:ilvl w:val="0"/>
          <w:numId w:val="116"/>
        </w:numPr>
        <w:spacing w:after="5" w:line="250" w:lineRule="auto"/>
        <w:ind w:hanging="10"/>
        <w:jc w:val="both"/>
      </w:pPr>
      <w:r>
        <w:rPr>
          <w:rFonts w:ascii="Arial" w:eastAsia="Arial" w:hAnsi="Arial" w:cs="Arial"/>
          <w:sz w:val="18"/>
        </w:rPr>
        <w:t xml:space="preserve">Le sentenze per le quali è scaduto il termine per l’appello possono </w:t>
      </w:r>
      <w:proofErr w:type="spellStart"/>
      <w:r>
        <w:rPr>
          <w:rFonts w:ascii="Arial" w:eastAsia="Arial" w:hAnsi="Arial" w:cs="Arial"/>
          <w:sz w:val="18"/>
        </w:rPr>
        <w:t>essereimpugnate</w:t>
      </w:r>
      <w:proofErr w:type="spellEnd"/>
      <w:r>
        <w:rPr>
          <w:rFonts w:ascii="Arial" w:eastAsia="Arial" w:hAnsi="Arial" w:cs="Arial"/>
          <w:sz w:val="18"/>
        </w:rPr>
        <w:t xml:space="preserve"> per i motivi di cui ai numeri 1, 2, 3 e 6 dell’art. 395 del codice di procedura civile </w:t>
      </w:r>
      <w:proofErr w:type="spellStart"/>
      <w:r>
        <w:rPr>
          <w:rFonts w:ascii="Arial" w:eastAsia="Arial" w:hAnsi="Arial" w:cs="Arial"/>
          <w:sz w:val="18"/>
        </w:rPr>
        <w:t>purchè</w:t>
      </w:r>
      <w:proofErr w:type="spellEnd"/>
      <w:r>
        <w:rPr>
          <w:rFonts w:ascii="Arial" w:eastAsia="Arial" w:hAnsi="Arial" w:cs="Arial"/>
          <w:sz w:val="18"/>
        </w:rPr>
        <w:t xml:space="preserve"> la scoperta del dolo o della falsità dichiarata o il recupero del documento o il passaggio in giudicato della sentenza di cui al numero 6 dell’art. 395 del codice di procedura civile siano posteriori alla scadenza del termine suddetto.</w:t>
      </w:r>
    </w:p>
    <w:p w14:paraId="63FD752E" w14:textId="77777777" w:rsidR="00B32EF2" w:rsidRDefault="00000000">
      <w:pPr>
        <w:numPr>
          <w:ilvl w:val="0"/>
          <w:numId w:val="116"/>
        </w:numPr>
        <w:spacing w:after="243" w:line="250" w:lineRule="auto"/>
        <w:ind w:hanging="10"/>
        <w:jc w:val="both"/>
      </w:pPr>
      <w:r>
        <w:rPr>
          <w:rFonts w:ascii="Arial" w:eastAsia="Arial" w:hAnsi="Arial" w:cs="Arial"/>
          <w:sz w:val="18"/>
        </w:rPr>
        <w:t xml:space="preserve">Se i fatti menzionati nel comma precedente avvengono durante il </w:t>
      </w:r>
      <w:proofErr w:type="spellStart"/>
      <w:r>
        <w:rPr>
          <w:rFonts w:ascii="Arial" w:eastAsia="Arial" w:hAnsi="Arial" w:cs="Arial"/>
          <w:sz w:val="18"/>
        </w:rPr>
        <w:t>termineper</w:t>
      </w:r>
      <w:proofErr w:type="spellEnd"/>
      <w:r>
        <w:rPr>
          <w:rFonts w:ascii="Arial" w:eastAsia="Arial" w:hAnsi="Arial" w:cs="Arial"/>
          <w:sz w:val="18"/>
        </w:rPr>
        <w:t xml:space="preserve"> l’appello il termine stesso è prorogato dal giorno dell’avvenimento in modo da raggiungere i sessanta giorni da esso.</w:t>
      </w:r>
    </w:p>
    <w:p w14:paraId="0D854D91" w14:textId="77777777" w:rsidR="00B32EF2" w:rsidRDefault="00000000">
      <w:pPr>
        <w:pStyle w:val="Titolo3"/>
        <w:ind w:left="129" w:right="120"/>
      </w:pPr>
      <w:r>
        <w:lastRenderedPageBreak/>
        <w:t>NORME RICHIAMATE</w:t>
      </w:r>
    </w:p>
    <w:p w14:paraId="4DFD5DB6"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art. 395 c.p.c. “Casi di revocazione”</w:t>
      </w:r>
      <w:r>
        <w:rPr>
          <w:rFonts w:ascii="Arial" w:eastAsia="Arial" w:hAnsi="Arial" w:cs="Arial"/>
          <w:sz w:val="18"/>
        </w:rPr>
        <w:t xml:space="preserve"> </w:t>
      </w:r>
    </w:p>
    <w:p w14:paraId="0C00E523"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Le sentenze pronunciate in grado d’appello o in un unico grado, possono essere impugnate per revocazione: 1) se sono l’effetto del dolo di una delle parti in danno dell’altra; 2) se si è giudicato in base a prove riconosciute o comunque dichiarate false dopo la sentenza oppure che la parte soccombente ignorava essere state riconosciute o dichiarate tali prima della sentenza; 3) se dopo la sentenza sono stati trovati uno o più documenti decisivi che la parte non aveva potuto produrre in giudizio per causa di forza maggiore o per fatto dell’avversario; 4) se la sentenza è l’effetto di un errore di fatto risultante dagli atti o documenti della causa. Vi è questo errore quando la decisione è fondata sulla supposizione di un fatto la cui verità è incontrastabilmente esclusa, oppure quando è supposta l’inesistenza di un fatto la cui verità è positivamente stabilita, e tanto nell’uno quanto nell’altro caso se il fatto non costituì un punto controverso sul quale la sentenza ebbe a pronunciare; 5) se la sentenza è contraria ad altra precedente avente fra le parti autorità di cosa giudicata, purché non abbia pronunciato sulla relativa eccezione; 6) se la sentenza è effetto del dolo del giudice, accertato con sentenza passata in giudicato.</w:t>
      </w:r>
    </w:p>
    <w:tbl>
      <w:tblPr>
        <w:tblStyle w:val="TableGrid"/>
        <w:tblW w:w="6236" w:type="dxa"/>
        <w:tblInd w:w="1" w:type="dxa"/>
        <w:tblCellMar>
          <w:top w:w="0" w:type="dxa"/>
          <w:left w:w="123" w:type="dxa"/>
          <w:bottom w:w="0" w:type="dxa"/>
          <w:right w:w="123" w:type="dxa"/>
        </w:tblCellMar>
        <w:tblLook w:val="04A0" w:firstRow="1" w:lastRow="0" w:firstColumn="1" w:lastColumn="0" w:noHBand="0" w:noVBand="1"/>
      </w:tblPr>
      <w:tblGrid>
        <w:gridCol w:w="6236"/>
      </w:tblGrid>
      <w:tr w:rsidR="00B32EF2" w14:paraId="0CD736D2" w14:textId="77777777">
        <w:trPr>
          <w:trHeight w:val="3903"/>
        </w:trPr>
        <w:tc>
          <w:tcPr>
            <w:tcW w:w="6236" w:type="dxa"/>
            <w:tcBorders>
              <w:top w:val="single" w:sz="8" w:space="0" w:color="000000"/>
              <w:left w:val="single" w:sz="8" w:space="0" w:color="000000"/>
              <w:bottom w:val="single" w:sz="8" w:space="0" w:color="000000"/>
              <w:right w:val="single" w:sz="8" w:space="0" w:color="000000"/>
            </w:tcBorders>
            <w:vAlign w:val="center"/>
          </w:tcPr>
          <w:p w14:paraId="19633746" w14:textId="77777777" w:rsidR="00B32EF2" w:rsidRDefault="00000000">
            <w:pPr>
              <w:spacing w:after="0" w:line="250" w:lineRule="auto"/>
              <w:ind w:left="2516" w:hanging="2172"/>
            </w:pPr>
            <w:r>
              <w:rPr>
                <w:rFonts w:ascii="Arial" w:eastAsia="Arial" w:hAnsi="Arial" w:cs="Arial"/>
                <w:b/>
                <w:sz w:val="18"/>
              </w:rPr>
              <w:t>Per i giudizi instaurati  con ricorso notificato fino al 5.1.24 Articolo 65</w:t>
            </w:r>
          </w:p>
          <w:p w14:paraId="0E4C3DD1" w14:textId="77777777" w:rsidR="00B32EF2" w:rsidRDefault="00000000">
            <w:pPr>
              <w:spacing w:after="0"/>
              <w:jc w:val="center"/>
            </w:pPr>
            <w:r>
              <w:rPr>
                <w:rFonts w:ascii="Arial" w:eastAsia="Arial" w:hAnsi="Arial" w:cs="Arial"/>
                <w:i/>
                <w:sz w:val="18"/>
              </w:rPr>
              <w:t>(articolo 121 TUGT)</w:t>
            </w:r>
          </w:p>
          <w:p w14:paraId="1DEC360C" w14:textId="77777777" w:rsidR="00B32EF2" w:rsidRDefault="00000000">
            <w:pPr>
              <w:spacing w:after="0"/>
              <w:jc w:val="center"/>
            </w:pPr>
            <w:r>
              <w:rPr>
                <w:rFonts w:ascii="Arial" w:eastAsia="Arial" w:hAnsi="Arial" w:cs="Arial"/>
                <w:b/>
                <w:sz w:val="18"/>
              </w:rPr>
              <w:t xml:space="preserve">Proposizione della impugnazione </w:t>
            </w:r>
          </w:p>
          <w:p w14:paraId="09E229E7" w14:textId="2580DD50" w:rsidR="00B32EF2" w:rsidRDefault="00000000">
            <w:pPr>
              <w:numPr>
                <w:ilvl w:val="0"/>
                <w:numId w:val="219"/>
              </w:numPr>
              <w:spacing w:after="0" w:line="255" w:lineRule="auto"/>
              <w:jc w:val="both"/>
            </w:pPr>
            <w:r>
              <w:rPr>
                <w:rFonts w:ascii="Arial" w:eastAsia="Arial" w:hAnsi="Arial" w:cs="Arial"/>
                <w:sz w:val="18"/>
              </w:rPr>
              <w:t>Competente per la revocazione è la stessa corte di giustizia tributaria di</w:t>
            </w:r>
            <w:r w:rsidR="00C765E9">
              <w:rPr>
                <w:rFonts w:ascii="Arial" w:eastAsia="Arial" w:hAnsi="Arial" w:cs="Arial"/>
                <w:sz w:val="18"/>
              </w:rPr>
              <w:t xml:space="preserve"> </w:t>
            </w:r>
            <w:r>
              <w:rPr>
                <w:rFonts w:ascii="Arial" w:eastAsia="Arial" w:hAnsi="Arial" w:cs="Arial"/>
                <w:sz w:val="18"/>
              </w:rPr>
              <w:t>primo e secondo grado che ha pronunciato la sentenza impugnata.</w:t>
            </w:r>
          </w:p>
          <w:p w14:paraId="446E3798" w14:textId="3DA95DD1" w:rsidR="00B32EF2" w:rsidRDefault="00000000">
            <w:pPr>
              <w:numPr>
                <w:ilvl w:val="0"/>
                <w:numId w:val="219"/>
              </w:numPr>
              <w:spacing w:after="0" w:line="255" w:lineRule="auto"/>
              <w:jc w:val="both"/>
            </w:pPr>
            <w:r>
              <w:rPr>
                <w:rFonts w:ascii="Arial" w:eastAsia="Arial" w:hAnsi="Arial" w:cs="Arial"/>
                <w:sz w:val="18"/>
              </w:rPr>
              <w:t>A pena di inammissibilità il ricorso deve contenere gli elementi previsti</w:t>
            </w:r>
            <w:r w:rsidR="00C765E9">
              <w:rPr>
                <w:rFonts w:ascii="Arial" w:eastAsia="Arial" w:hAnsi="Arial" w:cs="Arial"/>
                <w:sz w:val="18"/>
              </w:rPr>
              <w:t xml:space="preserve"> </w:t>
            </w:r>
            <w:r>
              <w:rPr>
                <w:rFonts w:ascii="Arial" w:eastAsia="Arial" w:hAnsi="Arial" w:cs="Arial"/>
                <w:sz w:val="18"/>
              </w:rPr>
              <w:t xml:space="preserve">dall’art. 53, comma 1, e la specifica indicazione del motivo di revocazione e della prova dei fatti di cui ai numeri 1, 2, 3 e 6 dell’art. 395 del codice di procedura civile </w:t>
            </w:r>
            <w:proofErr w:type="spellStart"/>
            <w:r>
              <w:rPr>
                <w:rFonts w:ascii="Arial" w:eastAsia="Arial" w:hAnsi="Arial" w:cs="Arial"/>
                <w:sz w:val="18"/>
              </w:rPr>
              <w:t>nonchè</w:t>
            </w:r>
            <w:proofErr w:type="spellEnd"/>
            <w:r>
              <w:rPr>
                <w:rFonts w:ascii="Arial" w:eastAsia="Arial" w:hAnsi="Arial" w:cs="Arial"/>
                <w:sz w:val="18"/>
              </w:rPr>
              <w:t xml:space="preserve"> del giorno della scoperta o della falsità dichiarata o del recupero del documento. La prova della sentenza passata in giudicato che accerta il dolo del giudice deve essere data mediante la sua produzione in copia autentica.</w:t>
            </w:r>
          </w:p>
          <w:p w14:paraId="5357904B" w14:textId="77777777" w:rsidR="00B32EF2" w:rsidRDefault="00000000">
            <w:pPr>
              <w:numPr>
                <w:ilvl w:val="0"/>
                <w:numId w:val="219"/>
              </w:numPr>
              <w:spacing w:after="0" w:line="255" w:lineRule="auto"/>
              <w:jc w:val="both"/>
            </w:pPr>
            <w:r>
              <w:rPr>
                <w:rFonts w:ascii="Arial" w:eastAsia="Arial" w:hAnsi="Arial" w:cs="Arial"/>
                <w:sz w:val="18"/>
              </w:rPr>
              <w:t>Il ricorso per revocazione è proposto e depositato a norma dell’art. 53,comma 2.</w:t>
            </w:r>
          </w:p>
          <w:p w14:paraId="6147716C" w14:textId="77777777" w:rsidR="00B32EF2" w:rsidRDefault="00000000">
            <w:pPr>
              <w:spacing w:after="0"/>
              <w:jc w:val="both"/>
            </w:pPr>
            <w:r>
              <w:rPr>
                <w:rFonts w:ascii="Arial" w:eastAsia="Arial" w:hAnsi="Arial" w:cs="Arial"/>
                <w:sz w:val="18"/>
              </w:rPr>
              <w:t>3-bis. Le parti possono proporre istanze cautelari ai sensi delle disposizioni di cui all’articolo 52, in quanto compatibili.</w:t>
            </w:r>
          </w:p>
        </w:tc>
      </w:tr>
    </w:tbl>
    <w:p w14:paraId="375ED00F" w14:textId="77777777" w:rsidR="00B32EF2" w:rsidRDefault="00000000">
      <w:pPr>
        <w:spacing w:after="0" w:line="261" w:lineRule="auto"/>
        <w:ind w:left="12" w:right="3" w:hanging="10"/>
        <w:jc w:val="center"/>
      </w:pPr>
      <w:r>
        <w:rPr>
          <w:rFonts w:ascii="Arial" w:eastAsia="Arial" w:hAnsi="Arial" w:cs="Arial"/>
          <w:b/>
          <w:sz w:val="18"/>
        </w:rPr>
        <w:t>Articolo 65</w:t>
      </w:r>
    </w:p>
    <w:p w14:paraId="4B60AB03" w14:textId="77777777" w:rsidR="00B32EF2" w:rsidRDefault="00000000">
      <w:pPr>
        <w:spacing w:after="3" w:line="251" w:lineRule="auto"/>
        <w:ind w:left="2320" w:right="2311" w:hanging="10"/>
        <w:jc w:val="center"/>
      </w:pPr>
      <w:r>
        <w:rPr>
          <w:rFonts w:ascii="Arial" w:eastAsia="Arial" w:hAnsi="Arial" w:cs="Arial"/>
          <w:i/>
          <w:sz w:val="18"/>
        </w:rPr>
        <w:t>(articolo 121 TUGT)</w:t>
      </w:r>
    </w:p>
    <w:p w14:paraId="568D6A94" w14:textId="77777777" w:rsidR="00B32EF2" w:rsidRDefault="00000000">
      <w:pPr>
        <w:spacing w:after="0" w:line="261" w:lineRule="auto"/>
        <w:ind w:left="12" w:right="3" w:hanging="10"/>
        <w:jc w:val="center"/>
      </w:pPr>
      <w:r>
        <w:rPr>
          <w:rFonts w:ascii="Arial" w:eastAsia="Arial" w:hAnsi="Arial" w:cs="Arial"/>
          <w:b/>
          <w:sz w:val="18"/>
        </w:rPr>
        <w:t>Proposizione della impugnazione</w:t>
      </w:r>
    </w:p>
    <w:p w14:paraId="0A3E9D77" w14:textId="77777777" w:rsidR="00B32EF2" w:rsidRDefault="00000000">
      <w:pPr>
        <w:numPr>
          <w:ilvl w:val="0"/>
          <w:numId w:val="117"/>
        </w:numPr>
        <w:spacing w:after="5" w:line="250" w:lineRule="auto"/>
        <w:ind w:hanging="10"/>
        <w:jc w:val="both"/>
      </w:pPr>
      <w:r>
        <w:rPr>
          <w:rFonts w:ascii="Arial" w:eastAsia="Arial" w:hAnsi="Arial" w:cs="Arial"/>
          <w:sz w:val="18"/>
        </w:rPr>
        <w:t xml:space="preserve">Competente per la revocazione è la stessa corte di giustizia tributaria </w:t>
      </w:r>
      <w:proofErr w:type="spellStart"/>
      <w:r>
        <w:rPr>
          <w:rFonts w:ascii="Arial" w:eastAsia="Arial" w:hAnsi="Arial" w:cs="Arial"/>
          <w:sz w:val="18"/>
        </w:rPr>
        <w:t>diprimo</w:t>
      </w:r>
      <w:proofErr w:type="spellEnd"/>
      <w:r>
        <w:rPr>
          <w:rFonts w:ascii="Arial" w:eastAsia="Arial" w:hAnsi="Arial" w:cs="Arial"/>
          <w:sz w:val="18"/>
        </w:rPr>
        <w:t xml:space="preserve"> e secondo grado che ha pronunciato la sentenza impugnata.</w:t>
      </w:r>
    </w:p>
    <w:p w14:paraId="1F2B8EB6" w14:textId="77777777" w:rsidR="00B32EF2" w:rsidRDefault="00000000">
      <w:pPr>
        <w:numPr>
          <w:ilvl w:val="0"/>
          <w:numId w:val="117"/>
        </w:numPr>
        <w:spacing w:after="5" w:line="250" w:lineRule="auto"/>
        <w:ind w:hanging="10"/>
        <w:jc w:val="both"/>
      </w:pPr>
      <w:r>
        <w:rPr>
          <w:rFonts w:ascii="Arial" w:eastAsia="Arial" w:hAnsi="Arial" w:cs="Arial"/>
          <w:sz w:val="18"/>
        </w:rPr>
        <w:lastRenderedPageBreak/>
        <w:t xml:space="preserve">A pena di inammissibilità il ricorso deve contenere gli elementi </w:t>
      </w:r>
      <w:proofErr w:type="spellStart"/>
      <w:r>
        <w:rPr>
          <w:rFonts w:ascii="Arial" w:eastAsia="Arial" w:hAnsi="Arial" w:cs="Arial"/>
          <w:sz w:val="18"/>
        </w:rPr>
        <w:t>previstidall’art</w:t>
      </w:r>
      <w:proofErr w:type="spellEnd"/>
      <w:r>
        <w:rPr>
          <w:rFonts w:ascii="Arial" w:eastAsia="Arial" w:hAnsi="Arial" w:cs="Arial"/>
          <w:sz w:val="18"/>
        </w:rPr>
        <w:t xml:space="preserve">. 53, comma 1, e la specifica indicazione del motivo di revocazione e della prova dei fatti di cui ai numeri 1, 2, 3 e 6 dell’art. 395 del codice di procedura civile </w:t>
      </w:r>
      <w:proofErr w:type="spellStart"/>
      <w:r>
        <w:rPr>
          <w:rFonts w:ascii="Arial" w:eastAsia="Arial" w:hAnsi="Arial" w:cs="Arial"/>
          <w:sz w:val="18"/>
        </w:rPr>
        <w:t>nonchè</w:t>
      </w:r>
      <w:proofErr w:type="spellEnd"/>
      <w:r>
        <w:rPr>
          <w:rFonts w:ascii="Arial" w:eastAsia="Arial" w:hAnsi="Arial" w:cs="Arial"/>
          <w:sz w:val="18"/>
        </w:rPr>
        <w:t xml:space="preserve"> del giorno della scoperta o della falsità dichiarata o del recupero del documento. La prova della sentenza passata in giudicato che accerta il dolo del giudice deve essere data mediante la sua produzione in copia autentica.</w:t>
      </w:r>
    </w:p>
    <w:p w14:paraId="650EA399" w14:textId="77777777" w:rsidR="00B32EF2" w:rsidRDefault="00000000">
      <w:pPr>
        <w:numPr>
          <w:ilvl w:val="0"/>
          <w:numId w:val="117"/>
        </w:numPr>
        <w:spacing w:after="5" w:line="250" w:lineRule="auto"/>
        <w:ind w:hanging="10"/>
        <w:jc w:val="both"/>
      </w:pPr>
      <w:r>
        <w:rPr>
          <w:rFonts w:ascii="Arial" w:eastAsia="Arial" w:hAnsi="Arial" w:cs="Arial"/>
          <w:sz w:val="18"/>
        </w:rPr>
        <w:t>Il ricorso per revocazione è proposto e depositato a norma dell’art. 53,comma 2.</w:t>
      </w:r>
    </w:p>
    <w:p w14:paraId="7DA7095B" w14:textId="77777777" w:rsidR="00B32EF2" w:rsidRDefault="00000000">
      <w:pPr>
        <w:spacing w:after="284" w:line="250" w:lineRule="auto"/>
        <w:ind w:left="-4" w:hanging="10"/>
        <w:jc w:val="both"/>
      </w:pPr>
      <w:r>
        <w:rPr>
          <w:rFonts w:ascii="Arial" w:eastAsia="Arial" w:hAnsi="Arial" w:cs="Arial"/>
          <w:sz w:val="18"/>
        </w:rPr>
        <w:t>3-bis. Le parti possono proporre istanze cautelari ai sensi delle disposizioni di cui agli articoli 47 e 52, in quanto compatibili.</w:t>
      </w:r>
    </w:p>
    <w:p w14:paraId="0C1EF407" w14:textId="77777777" w:rsidR="00B32EF2" w:rsidRDefault="00000000">
      <w:pPr>
        <w:pStyle w:val="Titolo3"/>
        <w:ind w:left="129" w:right="60"/>
      </w:pPr>
      <w:r>
        <w:t>NORME RICHIAMATE</w:t>
      </w:r>
    </w:p>
    <w:p w14:paraId="1A846FB6"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60" w:hanging="10"/>
        <w:jc w:val="both"/>
      </w:pPr>
      <w:r>
        <w:rPr>
          <w:rFonts w:ascii="Arial" w:eastAsia="Arial" w:hAnsi="Arial" w:cs="Arial"/>
          <w:i/>
          <w:sz w:val="18"/>
        </w:rPr>
        <w:t xml:space="preserve">art. 395 c.p.c. “Casi di revocazione”. </w:t>
      </w:r>
    </w:p>
    <w:p w14:paraId="65BE5150" w14:textId="77777777" w:rsidR="00B32EF2" w:rsidRDefault="00000000">
      <w:pPr>
        <w:spacing w:after="0" w:line="261" w:lineRule="auto"/>
        <w:ind w:left="12" w:right="3" w:hanging="10"/>
        <w:jc w:val="center"/>
      </w:pPr>
      <w:r>
        <w:rPr>
          <w:rFonts w:ascii="Arial" w:eastAsia="Arial" w:hAnsi="Arial" w:cs="Arial"/>
          <w:b/>
          <w:sz w:val="18"/>
        </w:rPr>
        <w:t>Articolo 66</w:t>
      </w:r>
    </w:p>
    <w:p w14:paraId="51424CBE" w14:textId="77777777" w:rsidR="00B32EF2" w:rsidRDefault="00000000">
      <w:pPr>
        <w:spacing w:after="3" w:line="251" w:lineRule="auto"/>
        <w:ind w:left="2320" w:right="2311" w:hanging="10"/>
        <w:jc w:val="center"/>
      </w:pPr>
      <w:r>
        <w:rPr>
          <w:rFonts w:ascii="Arial" w:eastAsia="Arial" w:hAnsi="Arial" w:cs="Arial"/>
          <w:i/>
          <w:sz w:val="18"/>
        </w:rPr>
        <w:t xml:space="preserve">(articolo 122 TUGT) </w:t>
      </w:r>
      <w:r>
        <w:rPr>
          <w:rFonts w:ascii="Arial" w:eastAsia="Arial" w:hAnsi="Arial" w:cs="Arial"/>
          <w:b/>
          <w:sz w:val="18"/>
        </w:rPr>
        <w:t xml:space="preserve">Procedimento </w:t>
      </w:r>
    </w:p>
    <w:p w14:paraId="7786F754" w14:textId="77777777" w:rsidR="00B32EF2" w:rsidRDefault="00000000">
      <w:pPr>
        <w:spacing w:after="217" w:line="250" w:lineRule="auto"/>
        <w:ind w:left="-4" w:hanging="10"/>
        <w:jc w:val="both"/>
      </w:pPr>
      <w:r>
        <w:rPr>
          <w:rFonts w:ascii="Arial" w:eastAsia="Arial" w:hAnsi="Arial" w:cs="Arial"/>
          <w:sz w:val="18"/>
        </w:rPr>
        <w:t>1. Davanti  alla corte di giustizia tributaria di primo e secondo grado  adita  per la  revocazione   si  osservano  le  norme stabilite per il procedimento davanti ad essa  in  quanto  non derogate da quelle della presente sezione.</w:t>
      </w:r>
    </w:p>
    <w:p w14:paraId="0FCB3759" w14:textId="77777777" w:rsidR="00B32EF2" w:rsidRDefault="00000000">
      <w:pPr>
        <w:spacing w:after="0" w:line="261" w:lineRule="auto"/>
        <w:ind w:left="12" w:right="2" w:hanging="10"/>
        <w:jc w:val="center"/>
      </w:pPr>
      <w:r>
        <w:rPr>
          <w:rFonts w:ascii="Arial" w:eastAsia="Arial" w:hAnsi="Arial" w:cs="Arial"/>
          <w:b/>
          <w:sz w:val="18"/>
        </w:rPr>
        <w:t>Articolo 67</w:t>
      </w:r>
    </w:p>
    <w:p w14:paraId="0216FF1E" w14:textId="77777777" w:rsidR="00B32EF2" w:rsidRDefault="00000000">
      <w:pPr>
        <w:spacing w:after="3" w:line="251" w:lineRule="auto"/>
        <w:ind w:left="2320" w:right="2311" w:hanging="10"/>
        <w:jc w:val="center"/>
      </w:pPr>
      <w:r>
        <w:rPr>
          <w:rFonts w:ascii="Arial" w:eastAsia="Arial" w:hAnsi="Arial" w:cs="Arial"/>
          <w:i/>
          <w:sz w:val="18"/>
        </w:rPr>
        <w:t xml:space="preserve">(articolo 123 TUGT) </w:t>
      </w:r>
      <w:r>
        <w:rPr>
          <w:rFonts w:ascii="Arial" w:eastAsia="Arial" w:hAnsi="Arial" w:cs="Arial"/>
          <w:b/>
          <w:sz w:val="18"/>
        </w:rPr>
        <w:t xml:space="preserve">Decisione </w:t>
      </w:r>
    </w:p>
    <w:p w14:paraId="4745D4B3" w14:textId="1AEDF6FD" w:rsidR="00B32EF2" w:rsidRDefault="00000000">
      <w:pPr>
        <w:numPr>
          <w:ilvl w:val="0"/>
          <w:numId w:val="118"/>
        </w:numPr>
        <w:spacing w:after="3" w:line="252" w:lineRule="auto"/>
        <w:ind w:hanging="10"/>
      </w:pPr>
      <w:r>
        <w:rPr>
          <w:rFonts w:ascii="Arial" w:eastAsia="Arial" w:hAnsi="Arial" w:cs="Arial"/>
          <w:sz w:val="18"/>
        </w:rPr>
        <w:t>Ove ricorrano  i   motivi   di   cui   all’art.   395   del   codice   di  procedura</w:t>
      </w:r>
      <w:r w:rsidR="00C765E9">
        <w:rPr>
          <w:rFonts w:ascii="Arial" w:eastAsia="Arial" w:hAnsi="Arial" w:cs="Arial"/>
          <w:sz w:val="18"/>
        </w:rPr>
        <w:t xml:space="preserve"> </w:t>
      </w:r>
      <w:r>
        <w:rPr>
          <w:rFonts w:ascii="Arial" w:eastAsia="Arial" w:hAnsi="Arial" w:cs="Arial"/>
          <w:sz w:val="18"/>
        </w:rPr>
        <w:t>civile  la corte di giustizia tributaria di primo e secondo grado decide il merito della causa  e  detta ogni altro provvedimento conseguenziale.</w:t>
      </w:r>
    </w:p>
    <w:p w14:paraId="5CFDB6B6" w14:textId="5BB71D5A" w:rsidR="00B32EF2" w:rsidRDefault="00000000">
      <w:pPr>
        <w:numPr>
          <w:ilvl w:val="0"/>
          <w:numId w:val="118"/>
        </w:numPr>
        <w:spacing w:after="136" w:line="250" w:lineRule="auto"/>
        <w:ind w:hanging="10"/>
      </w:pPr>
      <w:r>
        <w:rPr>
          <w:rFonts w:ascii="Arial" w:eastAsia="Arial" w:hAnsi="Arial" w:cs="Arial"/>
          <w:sz w:val="18"/>
        </w:rPr>
        <w:t>Contro la sentenza che decide il giudizio di revocazione sono ammessi</w:t>
      </w:r>
      <w:r w:rsidR="00C765E9">
        <w:rPr>
          <w:rFonts w:ascii="Arial" w:eastAsia="Arial" w:hAnsi="Arial" w:cs="Arial"/>
          <w:sz w:val="18"/>
        </w:rPr>
        <w:t xml:space="preserve"> </w:t>
      </w:r>
      <w:r>
        <w:rPr>
          <w:rFonts w:ascii="Arial" w:eastAsia="Arial" w:hAnsi="Arial" w:cs="Arial"/>
          <w:sz w:val="18"/>
        </w:rPr>
        <w:t>i mezzi d’impugnazione ai quali era originariamente soggetta la sentenza impugnata per revocazione.</w:t>
      </w:r>
    </w:p>
    <w:p w14:paraId="0C57533D" w14:textId="77777777" w:rsidR="00B32EF2" w:rsidRDefault="00000000">
      <w:pPr>
        <w:pStyle w:val="Titolo3"/>
        <w:ind w:left="129" w:right="60"/>
      </w:pPr>
      <w:r>
        <w:t>NORME RICHIAMATE</w:t>
      </w:r>
    </w:p>
    <w:p w14:paraId="0D210CF3"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511" w:line="251" w:lineRule="auto"/>
        <w:ind w:left="129" w:right="60" w:hanging="10"/>
        <w:jc w:val="both"/>
      </w:pPr>
      <w:r>
        <w:rPr>
          <w:rFonts w:ascii="Arial" w:eastAsia="Arial" w:hAnsi="Arial" w:cs="Arial"/>
          <w:i/>
          <w:sz w:val="18"/>
        </w:rPr>
        <w:t>art. 395 c.p.c. “Casi di revocazione”</w:t>
      </w:r>
    </w:p>
    <w:p w14:paraId="47FA8C2F" w14:textId="77777777" w:rsidR="00B32EF2" w:rsidRDefault="00000000">
      <w:pPr>
        <w:spacing w:after="207" w:line="261" w:lineRule="auto"/>
        <w:ind w:left="12" w:right="3" w:hanging="10"/>
        <w:jc w:val="center"/>
      </w:pPr>
      <w:r>
        <w:rPr>
          <w:rFonts w:ascii="Arial" w:eastAsia="Arial" w:hAnsi="Arial" w:cs="Arial"/>
          <w:b/>
          <w:sz w:val="18"/>
        </w:rPr>
        <w:t>CAPO IV</w:t>
      </w:r>
    </w:p>
    <w:p w14:paraId="71E0D2F8" w14:textId="77777777" w:rsidR="00B32EF2" w:rsidRDefault="00000000">
      <w:pPr>
        <w:spacing w:after="0" w:line="261" w:lineRule="auto"/>
        <w:ind w:left="12" w:right="3" w:hanging="10"/>
        <w:jc w:val="center"/>
      </w:pPr>
      <w:r>
        <w:rPr>
          <w:rFonts w:ascii="Arial" w:eastAsia="Arial" w:hAnsi="Arial" w:cs="Arial"/>
          <w:b/>
          <w:sz w:val="18"/>
        </w:rPr>
        <w:t xml:space="preserve"> L’ESECUZIONE DELLE SENTENZE DELLE CORTI DI GIUSTIZIA </w:t>
      </w:r>
    </w:p>
    <w:p w14:paraId="590A6383" w14:textId="77777777" w:rsidR="00B32EF2" w:rsidRDefault="00000000">
      <w:pPr>
        <w:spacing w:after="207" w:line="261" w:lineRule="auto"/>
        <w:ind w:left="12" w:right="3" w:hanging="10"/>
        <w:jc w:val="center"/>
      </w:pPr>
      <w:r>
        <w:rPr>
          <w:rFonts w:ascii="Arial" w:eastAsia="Arial" w:hAnsi="Arial" w:cs="Arial"/>
          <w:b/>
          <w:sz w:val="18"/>
        </w:rPr>
        <w:t>TRIBUTARIA DI PRIMO E SECONDO GRADO</w:t>
      </w:r>
    </w:p>
    <w:p w14:paraId="7E987652" w14:textId="77777777" w:rsidR="00B32EF2" w:rsidRDefault="00000000">
      <w:pPr>
        <w:spacing w:after="0" w:line="261" w:lineRule="auto"/>
        <w:ind w:left="12" w:right="3" w:hanging="10"/>
        <w:jc w:val="center"/>
      </w:pPr>
      <w:r>
        <w:rPr>
          <w:rFonts w:ascii="Arial" w:eastAsia="Arial" w:hAnsi="Arial" w:cs="Arial"/>
          <w:b/>
          <w:sz w:val="18"/>
        </w:rPr>
        <w:t>Articolo 67- bis</w:t>
      </w:r>
    </w:p>
    <w:p w14:paraId="3A0030E9" w14:textId="77777777" w:rsidR="00B32EF2" w:rsidRDefault="00000000">
      <w:pPr>
        <w:spacing w:after="3" w:line="251" w:lineRule="auto"/>
        <w:ind w:left="2320" w:right="2311" w:hanging="10"/>
        <w:jc w:val="center"/>
      </w:pPr>
      <w:r>
        <w:rPr>
          <w:rFonts w:ascii="Arial" w:eastAsia="Arial" w:hAnsi="Arial" w:cs="Arial"/>
          <w:i/>
          <w:sz w:val="18"/>
        </w:rPr>
        <w:lastRenderedPageBreak/>
        <w:t>(articolo 125 TUGT)</w:t>
      </w:r>
    </w:p>
    <w:p w14:paraId="34611DB5" w14:textId="77777777" w:rsidR="00B32EF2" w:rsidRDefault="00000000">
      <w:pPr>
        <w:spacing w:after="0" w:line="261" w:lineRule="auto"/>
        <w:ind w:left="12" w:right="2" w:hanging="10"/>
        <w:jc w:val="center"/>
      </w:pPr>
      <w:r>
        <w:rPr>
          <w:rFonts w:ascii="Arial" w:eastAsia="Arial" w:hAnsi="Arial" w:cs="Arial"/>
          <w:b/>
          <w:sz w:val="18"/>
        </w:rPr>
        <w:t xml:space="preserve">Esecuzione provvisoria </w:t>
      </w:r>
    </w:p>
    <w:p w14:paraId="0CBD720A" w14:textId="77777777" w:rsidR="00B32EF2" w:rsidRDefault="00000000">
      <w:pPr>
        <w:spacing w:after="217" w:line="250" w:lineRule="auto"/>
        <w:ind w:left="-4" w:hanging="10"/>
        <w:jc w:val="both"/>
      </w:pPr>
      <w:r>
        <w:rPr>
          <w:rFonts w:ascii="Arial" w:eastAsia="Arial" w:hAnsi="Arial" w:cs="Arial"/>
          <w:sz w:val="18"/>
        </w:rPr>
        <w:t>1. Le sentenze emesse dalle commissioni tributarie sono esecutive secondo quanto previsto dal presente capo.</w:t>
      </w:r>
    </w:p>
    <w:p w14:paraId="5ACC8F78" w14:textId="77777777" w:rsidR="00B32EF2" w:rsidRDefault="00000000">
      <w:pPr>
        <w:spacing w:after="0" w:line="261" w:lineRule="auto"/>
        <w:ind w:left="12" w:right="2" w:hanging="10"/>
        <w:jc w:val="center"/>
      </w:pPr>
      <w:r>
        <w:rPr>
          <w:rFonts w:ascii="Arial" w:eastAsia="Arial" w:hAnsi="Arial" w:cs="Arial"/>
          <w:b/>
          <w:sz w:val="18"/>
        </w:rPr>
        <w:t>Articolo 68</w:t>
      </w:r>
    </w:p>
    <w:p w14:paraId="74A8E461" w14:textId="77777777" w:rsidR="00B32EF2" w:rsidRDefault="00000000">
      <w:pPr>
        <w:spacing w:after="3" w:line="251" w:lineRule="auto"/>
        <w:ind w:left="2320" w:right="2311" w:hanging="10"/>
        <w:jc w:val="center"/>
      </w:pPr>
      <w:r>
        <w:rPr>
          <w:rFonts w:ascii="Arial" w:eastAsia="Arial" w:hAnsi="Arial" w:cs="Arial"/>
          <w:i/>
          <w:sz w:val="18"/>
        </w:rPr>
        <w:t>(articolo 126 TUGT)</w:t>
      </w:r>
    </w:p>
    <w:p w14:paraId="0E4E4BC3" w14:textId="77777777" w:rsidR="00B32EF2" w:rsidRDefault="00000000">
      <w:pPr>
        <w:spacing w:after="0" w:line="261" w:lineRule="auto"/>
        <w:ind w:left="12" w:right="2" w:hanging="10"/>
        <w:jc w:val="center"/>
      </w:pPr>
      <w:r>
        <w:rPr>
          <w:rFonts w:ascii="Arial" w:eastAsia="Arial" w:hAnsi="Arial" w:cs="Arial"/>
          <w:b/>
          <w:sz w:val="18"/>
        </w:rPr>
        <w:t xml:space="preserve">Pagamento del tributo in pendenza del processo </w:t>
      </w:r>
    </w:p>
    <w:p w14:paraId="6CBD2851" w14:textId="77777777" w:rsidR="00B32EF2" w:rsidRDefault="00000000">
      <w:pPr>
        <w:spacing w:after="5" w:line="250" w:lineRule="auto"/>
        <w:ind w:left="-4" w:hanging="10"/>
        <w:jc w:val="both"/>
      </w:pPr>
      <w:r>
        <w:rPr>
          <w:rFonts w:ascii="Arial" w:eastAsia="Arial" w:hAnsi="Arial" w:cs="Arial"/>
          <w:sz w:val="18"/>
        </w:rPr>
        <w:t>1. Anche in deroga a quanto previsto nelle singole leggi d’imposta, nei casi in cui è prevista la riscossione frazionata del tributo oggetto di giudizio davanti alle commissioni, il tributo, con i relativi interessi previsti dalle leggi fiscali, deve essere pagato:</w:t>
      </w:r>
    </w:p>
    <w:p w14:paraId="2FC09946" w14:textId="77777777" w:rsidR="00B32EF2" w:rsidRDefault="00000000">
      <w:pPr>
        <w:numPr>
          <w:ilvl w:val="0"/>
          <w:numId w:val="119"/>
        </w:numPr>
        <w:spacing w:after="5" w:line="250" w:lineRule="auto"/>
        <w:ind w:hanging="10"/>
        <w:jc w:val="both"/>
      </w:pPr>
      <w:r>
        <w:rPr>
          <w:rFonts w:ascii="Arial" w:eastAsia="Arial" w:hAnsi="Arial" w:cs="Arial"/>
          <w:sz w:val="18"/>
        </w:rPr>
        <w:t xml:space="preserve">per i due terzi, dopo la sentenza della corte di giustizia tributaria di </w:t>
      </w:r>
      <w:proofErr w:type="spellStart"/>
      <w:r>
        <w:rPr>
          <w:rFonts w:ascii="Arial" w:eastAsia="Arial" w:hAnsi="Arial" w:cs="Arial"/>
          <w:sz w:val="18"/>
        </w:rPr>
        <w:t>primogradoche</w:t>
      </w:r>
      <w:proofErr w:type="spellEnd"/>
      <w:r>
        <w:rPr>
          <w:rFonts w:ascii="Arial" w:eastAsia="Arial" w:hAnsi="Arial" w:cs="Arial"/>
          <w:sz w:val="18"/>
        </w:rPr>
        <w:t xml:space="preserve"> respinge il ricorso;</w:t>
      </w:r>
    </w:p>
    <w:p w14:paraId="0AC4D100" w14:textId="77777777" w:rsidR="00B32EF2" w:rsidRDefault="00000000">
      <w:pPr>
        <w:numPr>
          <w:ilvl w:val="0"/>
          <w:numId w:val="119"/>
        </w:numPr>
        <w:spacing w:after="5" w:line="250" w:lineRule="auto"/>
        <w:ind w:hanging="10"/>
        <w:jc w:val="both"/>
      </w:pPr>
      <w:r>
        <w:rPr>
          <w:rFonts w:ascii="Arial" w:eastAsia="Arial" w:hAnsi="Arial" w:cs="Arial"/>
          <w:sz w:val="18"/>
        </w:rPr>
        <w:t xml:space="preserve">per l’ammontare risultante dalla sentenza della corte di giustizia </w:t>
      </w:r>
      <w:proofErr w:type="spellStart"/>
      <w:r>
        <w:rPr>
          <w:rFonts w:ascii="Arial" w:eastAsia="Arial" w:hAnsi="Arial" w:cs="Arial"/>
          <w:sz w:val="18"/>
        </w:rPr>
        <w:t>tributariadiprimo</w:t>
      </w:r>
      <w:proofErr w:type="spellEnd"/>
      <w:r>
        <w:rPr>
          <w:rFonts w:ascii="Arial" w:eastAsia="Arial" w:hAnsi="Arial" w:cs="Arial"/>
          <w:sz w:val="18"/>
        </w:rPr>
        <w:t xml:space="preserve"> grado, e comunque non oltre i due terzi, se la stessa accoglie parzialmente il ricorso;</w:t>
      </w:r>
    </w:p>
    <w:p w14:paraId="3B9293D0" w14:textId="77777777" w:rsidR="00B32EF2" w:rsidRDefault="00000000">
      <w:pPr>
        <w:numPr>
          <w:ilvl w:val="0"/>
          <w:numId w:val="119"/>
        </w:numPr>
        <w:spacing w:after="5" w:line="250" w:lineRule="auto"/>
        <w:ind w:hanging="10"/>
        <w:jc w:val="both"/>
      </w:pPr>
      <w:r>
        <w:rPr>
          <w:rFonts w:ascii="Arial" w:eastAsia="Arial" w:hAnsi="Arial" w:cs="Arial"/>
          <w:sz w:val="18"/>
        </w:rPr>
        <w:t xml:space="preserve">per il residuo ammontare determinato nella sentenza della corte di </w:t>
      </w:r>
      <w:proofErr w:type="spellStart"/>
      <w:r>
        <w:rPr>
          <w:rFonts w:ascii="Arial" w:eastAsia="Arial" w:hAnsi="Arial" w:cs="Arial"/>
          <w:sz w:val="18"/>
        </w:rPr>
        <w:t>giustiziatributaria</w:t>
      </w:r>
      <w:proofErr w:type="spellEnd"/>
      <w:r>
        <w:rPr>
          <w:rFonts w:ascii="Arial" w:eastAsia="Arial" w:hAnsi="Arial" w:cs="Arial"/>
          <w:sz w:val="18"/>
        </w:rPr>
        <w:t xml:space="preserve"> di secondo grado;</w:t>
      </w:r>
    </w:p>
    <w:p w14:paraId="013D6FDA" w14:textId="77777777" w:rsidR="00B32EF2" w:rsidRDefault="00000000">
      <w:pPr>
        <w:spacing w:after="5" w:line="250" w:lineRule="auto"/>
        <w:ind w:left="-4" w:hanging="10"/>
        <w:jc w:val="both"/>
      </w:pPr>
      <w:r>
        <w:rPr>
          <w:rFonts w:ascii="Arial" w:eastAsia="Arial" w:hAnsi="Arial" w:cs="Arial"/>
          <w:sz w:val="18"/>
        </w:rPr>
        <w:t xml:space="preserve">c-bis) per l’ammontare dovuto nella pendenza del giudizio di primo </w:t>
      </w:r>
      <w:proofErr w:type="spellStart"/>
      <w:r>
        <w:rPr>
          <w:rFonts w:ascii="Arial" w:eastAsia="Arial" w:hAnsi="Arial" w:cs="Arial"/>
          <w:sz w:val="18"/>
        </w:rPr>
        <w:t>gradodopo</w:t>
      </w:r>
      <w:proofErr w:type="spellEnd"/>
      <w:r>
        <w:rPr>
          <w:rFonts w:ascii="Arial" w:eastAsia="Arial" w:hAnsi="Arial" w:cs="Arial"/>
          <w:sz w:val="18"/>
        </w:rPr>
        <w:t xml:space="preserve"> la sentenza della Corte di cassazione di annullamento con rinvio e per l’intero importo indicato nell’atto in caso di mancata riassunzione.</w:t>
      </w:r>
    </w:p>
    <w:p w14:paraId="2CF8B724" w14:textId="77777777" w:rsidR="00B32EF2" w:rsidRDefault="00000000">
      <w:pPr>
        <w:spacing w:after="5" w:line="250" w:lineRule="auto"/>
        <w:ind w:left="-4" w:hanging="10"/>
        <w:jc w:val="both"/>
      </w:pPr>
      <w:r>
        <w:rPr>
          <w:rFonts w:ascii="Arial" w:eastAsia="Arial" w:hAnsi="Arial" w:cs="Arial"/>
          <w:sz w:val="18"/>
        </w:rPr>
        <w:t>Per le ipotesi indicate nelle precedenti lettere gli importi da versare vanno in ogni caso diminuiti di quanto già corrisposto.</w:t>
      </w:r>
    </w:p>
    <w:p w14:paraId="5C96BBB7" w14:textId="77777777" w:rsidR="00B32EF2" w:rsidRDefault="00000000">
      <w:pPr>
        <w:numPr>
          <w:ilvl w:val="0"/>
          <w:numId w:val="120"/>
        </w:numPr>
        <w:spacing w:after="5" w:line="250" w:lineRule="auto"/>
        <w:ind w:hanging="10"/>
        <w:jc w:val="both"/>
      </w:pPr>
      <w:r>
        <w:rPr>
          <w:rFonts w:ascii="Arial" w:eastAsia="Arial" w:hAnsi="Arial" w:cs="Arial"/>
          <w:sz w:val="18"/>
        </w:rPr>
        <w:t xml:space="preserve">Se il ricorso viene accolto, il tributo corrisposto in eccedenza rispetto a </w:t>
      </w:r>
      <w:proofErr w:type="spellStart"/>
      <w:r>
        <w:rPr>
          <w:rFonts w:ascii="Arial" w:eastAsia="Arial" w:hAnsi="Arial" w:cs="Arial"/>
          <w:sz w:val="18"/>
        </w:rPr>
        <w:t>quantostatuito</w:t>
      </w:r>
      <w:proofErr w:type="spellEnd"/>
      <w:r>
        <w:rPr>
          <w:rFonts w:ascii="Arial" w:eastAsia="Arial" w:hAnsi="Arial" w:cs="Arial"/>
          <w:sz w:val="18"/>
        </w:rPr>
        <w:t xml:space="preserve"> dalla sentenza della corte di giustizia tributaria, con i relativi interessi previsti dalle leggi fiscali, deve essere rimborsato d’ufficio entro novanta giorni dalla notificazione della sentenza. In caso di mancata esecuzione del rimborso il contribuente può richiedere l’ottemperanza a norma dell’articolo 70 alla corte di giustizia tributaria di primo </w:t>
      </w:r>
      <w:proofErr w:type="spellStart"/>
      <w:r>
        <w:rPr>
          <w:rFonts w:ascii="Arial" w:eastAsia="Arial" w:hAnsi="Arial" w:cs="Arial"/>
          <w:sz w:val="18"/>
        </w:rPr>
        <w:t>gradoovvero</w:t>
      </w:r>
      <w:proofErr w:type="spellEnd"/>
      <w:r>
        <w:rPr>
          <w:rFonts w:ascii="Arial" w:eastAsia="Arial" w:hAnsi="Arial" w:cs="Arial"/>
          <w:sz w:val="18"/>
        </w:rPr>
        <w:t>, se il giudizio è pendente nei gradi successivi, alla corte di giustizia tributaria di secondo grado. (1)</w:t>
      </w:r>
    </w:p>
    <w:p w14:paraId="1DAC4671" w14:textId="77777777" w:rsidR="00B32EF2" w:rsidRDefault="00000000">
      <w:pPr>
        <w:numPr>
          <w:ilvl w:val="0"/>
          <w:numId w:val="120"/>
        </w:numPr>
        <w:spacing w:after="5" w:line="250" w:lineRule="auto"/>
        <w:ind w:hanging="10"/>
        <w:jc w:val="both"/>
      </w:pPr>
      <w:r>
        <w:rPr>
          <w:rFonts w:ascii="Arial" w:eastAsia="Arial" w:hAnsi="Arial" w:cs="Arial"/>
          <w:sz w:val="18"/>
        </w:rPr>
        <w:t xml:space="preserve">Le imposte suppletive debbono essere corrisposte dopo l’ultima </w:t>
      </w:r>
      <w:proofErr w:type="spellStart"/>
      <w:r>
        <w:rPr>
          <w:rFonts w:ascii="Arial" w:eastAsia="Arial" w:hAnsi="Arial" w:cs="Arial"/>
          <w:sz w:val="18"/>
        </w:rPr>
        <w:t>sentenzanon</w:t>
      </w:r>
      <w:proofErr w:type="spellEnd"/>
      <w:r>
        <w:rPr>
          <w:rFonts w:ascii="Arial" w:eastAsia="Arial" w:hAnsi="Arial" w:cs="Arial"/>
          <w:sz w:val="18"/>
        </w:rPr>
        <w:t xml:space="preserve"> impugnata o impugnabile solo con ricorso in cassazione.</w:t>
      </w:r>
    </w:p>
    <w:p w14:paraId="75172EDF" w14:textId="77777777" w:rsidR="00B32EF2" w:rsidRDefault="00000000">
      <w:pPr>
        <w:spacing w:after="5" w:line="250" w:lineRule="auto"/>
        <w:ind w:left="-4" w:hanging="10"/>
        <w:jc w:val="both"/>
      </w:pPr>
      <w:r>
        <w:rPr>
          <w:rFonts w:ascii="Arial" w:eastAsia="Arial" w:hAnsi="Arial" w:cs="Arial"/>
          <w:sz w:val="18"/>
        </w:rPr>
        <w:t xml:space="preserve">3-bis. Il pagamento, in pendenza di processo, delle risorse proprie tradizionali di cui all’articolo 2, paragrafo 1, lettera a), della decisione 2007/436/CE, </w:t>
      </w:r>
      <w:proofErr w:type="spellStart"/>
      <w:r>
        <w:rPr>
          <w:rFonts w:ascii="Arial" w:eastAsia="Arial" w:hAnsi="Arial" w:cs="Arial"/>
          <w:sz w:val="18"/>
        </w:rPr>
        <w:t>Euratom</w:t>
      </w:r>
      <w:proofErr w:type="spellEnd"/>
      <w:r>
        <w:rPr>
          <w:rFonts w:ascii="Arial" w:eastAsia="Arial" w:hAnsi="Arial" w:cs="Arial"/>
          <w:sz w:val="18"/>
        </w:rPr>
        <w:t xml:space="preserve"> del Consiglio, del 7 giugno 2007, e dell’imposta sul valore aggiunto riscossa all’importazione resta disciplinato dal regolamento (CEE) n. 2913/92 del Consiglio, del 12 ottobre 1992, come riformato dal regolamento (UE) n. 952/2013 del Parlamento europeo e del Consiglio, del 9 ottobre 2013, e dalle altre disposizioni dell’Unione europea in materia.</w:t>
      </w:r>
    </w:p>
    <w:p w14:paraId="156E0857" w14:textId="77777777" w:rsidR="00B32EF2" w:rsidRDefault="00000000">
      <w:pPr>
        <w:spacing w:after="176" w:line="279" w:lineRule="auto"/>
        <w:ind w:left="-4" w:right="-13" w:hanging="10"/>
        <w:jc w:val="both"/>
      </w:pPr>
      <w:r>
        <w:rPr>
          <w:rFonts w:ascii="Arial" w:eastAsia="Arial" w:hAnsi="Arial" w:cs="Arial"/>
          <w:sz w:val="15"/>
        </w:rPr>
        <w:t>(1) L’art 16 del D.lgs. n. 81 del 12/06/2025 ha modificato il comma 2, primo periodo, del presente articolo sopprimendo le parole «di primo grado».</w:t>
      </w:r>
    </w:p>
    <w:p w14:paraId="3942B7AA" w14:textId="77777777" w:rsidR="00B32EF2" w:rsidRDefault="00000000">
      <w:pPr>
        <w:pStyle w:val="Titolo3"/>
        <w:ind w:left="129" w:right="24"/>
      </w:pPr>
      <w:r>
        <w:lastRenderedPageBreak/>
        <w:t>NORME RICHIAMATE</w:t>
      </w:r>
    </w:p>
    <w:p w14:paraId="4F8CC83A"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5" w:lineRule="auto"/>
        <w:ind w:left="129" w:right="24" w:hanging="10"/>
      </w:pPr>
      <w:r>
        <w:rPr>
          <w:rFonts w:ascii="Arial" w:eastAsia="Arial" w:hAnsi="Arial" w:cs="Arial"/>
          <w:i/>
          <w:sz w:val="18"/>
        </w:rPr>
        <w:t xml:space="preserve">art. 2 decisione 436 del 2007 “ Definizione di risorse proprie”  </w:t>
      </w:r>
    </w:p>
    <w:p w14:paraId="66EA403F"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269" w:line="251" w:lineRule="auto"/>
        <w:ind w:left="129" w:right="24" w:hanging="10"/>
        <w:jc w:val="both"/>
      </w:pPr>
      <w:r>
        <w:rPr>
          <w:rFonts w:ascii="Arial" w:eastAsia="Arial" w:hAnsi="Arial" w:cs="Arial"/>
          <w:i/>
          <w:sz w:val="18"/>
        </w:rPr>
        <w:t>Regolamento 2913/1992 : regolamento (CEE) del Consiglio che istituisce un codice doganale comunitario</w:t>
      </w:r>
      <w:r>
        <w:rPr>
          <w:rFonts w:ascii="Arial" w:eastAsia="Arial" w:hAnsi="Arial" w:cs="Arial"/>
          <w:sz w:val="18"/>
        </w:rPr>
        <w:t>.</w:t>
      </w:r>
    </w:p>
    <w:p w14:paraId="43AF8F4C" w14:textId="77777777" w:rsidR="00B32EF2" w:rsidRDefault="00000000">
      <w:pPr>
        <w:spacing w:after="4" w:line="269" w:lineRule="auto"/>
        <w:ind w:left="10" w:right="1" w:hanging="10"/>
        <w:jc w:val="center"/>
      </w:pPr>
      <w:r>
        <w:rPr>
          <w:rFonts w:ascii="Arial" w:eastAsia="Arial" w:hAnsi="Arial" w:cs="Arial"/>
          <w:b/>
          <w:sz w:val="18"/>
        </w:rPr>
        <w:t>Articolo 69</w:t>
      </w:r>
    </w:p>
    <w:p w14:paraId="41192B5B" w14:textId="77777777" w:rsidR="00B32EF2" w:rsidRDefault="00000000">
      <w:pPr>
        <w:spacing w:after="3" w:line="251" w:lineRule="auto"/>
        <w:ind w:left="2320" w:right="2311" w:hanging="10"/>
        <w:jc w:val="center"/>
      </w:pPr>
      <w:r>
        <w:rPr>
          <w:rFonts w:ascii="Arial" w:eastAsia="Arial" w:hAnsi="Arial" w:cs="Arial"/>
          <w:i/>
          <w:sz w:val="18"/>
        </w:rPr>
        <w:t>(articolo 127 TUGT)</w:t>
      </w:r>
    </w:p>
    <w:p w14:paraId="7DA1063D" w14:textId="77777777" w:rsidR="00B32EF2" w:rsidRDefault="00000000">
      <w:pPr>
        <w:spacing w:after="5" w:line="250" w:lineRule="auto"/>
        <w:ind w:left="-14" w:firstLine="248"/>
        <w:jc w:val="both"/>
      </w:pPr>
      <w:r>
        <w:rPr>
          <w:rFonts w:ascii="Arial" w:eastAsia="Arial" w:hAnsi="Arial" w:cs="Arial"/>
          <w:b/>
          <w:sz w:val="18"/>
        </w:rPr>
        <w:t xml:space="preserve">Esecuzione delle sentenze di condanna in favore del contribuente </w:t>
      </w:r>
      <w:r>
        <w:rPr>
          <w:rFonts w:ascii="Arial" w:eastAsia="Arial" w:hAnsi="Arial" w:cs="Arial"/>
          <w:sz w:val="18"/>
        </w:rPr>
        <w:t>1. Le sentenze di condanna al pagamento di somme in favore del contribuente e quelle emesse su ricorso avverso gli atti relativi alle operazioni catastali indicate nell’articolo 2, comma 2, sono immediatamente esecutive. Tuttavia il pagamento di somme dell’importo superiore a diecimila euro, diverse dalle spese di lite, può essere subordinato dal giudice, anche tenuto conto delle condizioni di solvibilità dell’istante, alla prestazione di idonea garanzia.</w:t>
      </w:r>
    </w:p>
    <w:p w14:paraId="25795D9B" w14:textId="77777777" w:rsidR="00B32EF2" w:rsidRDefault="00000000">
      <w:pPr>
        <w:numPr>
          <w:ilvl w:val="0"/>
          <w:numId w:val="121"/>
        </w:numPr>
        <w:spacing w:after="5" w:line="250" w:lineRule="auto"/>
        <w:ind w:hanging="10"/>
        <w:jc w:val="both"/>
      </w:pPr>
      <w:r>
        <w:rPr>
          <w:rFonts w:ascii="Arial" w:eastAsia="Arial" w:hAnsi="Arial" w:cs="Arial"/>
          <w:sz w:val="18"/>
        </w:rPr>
        <w:t xml:space="preserve">Con decreto del Ministro dell’economia e delle finanze emesso ai </w:t>
      </w:r>
      <w:proofErr w:type="spellStart"/>
      <w:r>
        <w:rPr>
          <w:rFonts w:ascii="Arial" w:eastAsia="Arial" w:hAnsi="Arial" w:cs="Arial"/>
          <w:sz w:val="18"/>
        </w:rPr>
        <w:t>sensidell’articolo</w:t>
      </w:r>
      <w:proofErr w:type="spellEnd"/>
      <w:r>
        <w:rPr>
          <w:rFonts w:ascii="Arial" w:eastAsia="Arial" w:hAnsi="Arial" w:cs="Arial"/>
          <w:sz w:val="18"/>
        </w:rPr>
        <w:t xml:space="preserve"> 17, comma 3, della legge 23 agosto 1988, n.  400, sono disciplinati il contenuto della garanzia sulla  base  di  quanto previsto dall’articolo 38-bis, comma 5, del  decreto  del  Presidente della Repubblica 26 ottobre 1972, n. 633, la sua  durata  </w:t>
      </w:r>
      <w:proofErr w:type="spellStart"/>
      <w:r>
        <w:rPr>
          <w:rFonts w:ascii="Arial" w:eastAsia="Arial" w:hAnsi="Arial" w:cs="Arial"/>
          <w:sz w:val="18"/>
        </w:rPr>
        <w:t>nonchè</w:t>
      </w:r>
      <w:proofErr w:type="spellEnd"/>
      <w:r>
        <w:rPr>
          <w:rFonts w:ascii="Arial" w:eastAsia="Arial" w:hAnsi="Arial" w:cs="Arial"/>
          <w:sz w:val="18"/>
        </w:rPr>
        <w:t xml:space="preserve">  il termine entro il quale può essere escussa,  a seguito  dell’inerzia del contribuente in ordine alla restituzione  delle  somme garantite protrattasi per un periodo di tre mesi.</w:t>
      </w:r>
    </w:p>
    <w:p w14:paraId="3C08B822" w14:textId="77777777" w:rsidR="00B32EF2" w:rsidRDefault="00000000">
      <w:pPr>
        <w:numPr>
          <w:ilvl w:val="0"/>
          <w:numId w:val="121"/>
        </w:numPr>
        <w:spacing w:after="5" w:line="250" w:lineRule="auto"/>
        <w:ind w:hanging="10"/>
        <w:jc w:val="both"/>
      </w:pPr>
      <w:r>
        <w:rPr>
          <w:rFonts w:ascii="Arial" w:eastAsia="Arial" w:hAnsi="Arial" w:cs="Arial"/>
          <w:sz w:val="18"/>
        </w:rPr>
        <w:t xml:space="preserve">I costi della garanzia,  anticipati  dal  contribuente,  sono  a carico della </w:t>
      </w:r>
      <w:proofErr w:type="spellStart"/>
      <w:r>
        <w:rPr>
          <w:rFonts w:ascii="Arial" w:eastAsia="Arial" w:hAnsi="Arial" w:cs="Arial"/>
          <w:sz w:val="18"/>
        </w:rPr>
        <w:t>partesoccombente</w:t>
      </w:r>
      <w:proofErr w:type="spellEnd"/>
      <w:r>
        <w:rPr>
          <w:rFonts w:ascii="Arial" w:eastAsia="Arial" w:hAnsi="Arial" w:cs="Arial"/>
          <w:sz w:val="18"/>
        </w:rPr>
        <w:t xml:space="preserve"> all’esito definitivo del giudizio.</w:t>
      </w:r>
    </w:p>
    <w:p w14:paraId="358CCC5D" w14:textId="77777777" w:rsidR="00B32EF2" w:rsidRDefault="00000000">
      <w:pPr>
        <w:numPr>
          <w:ilvl w:val="0"/>
          <w:numId w:val="121"/>
        </w:numPr>
        <w:spacing w:after="5" w:line="250" w:lineRule="auto"/>
        <w:ind w:hanging="10"/>
        <w:jc w:val="both"/>
      </w:pPr>
      <w:r>
        <w:rPr>
          <w:rFonts w:ascii="Arial" w:eastAsia="Arial" w:hAnsi="Arial" w:cs="Arial"/>
          <w:sz w:val="18"/>
        </w:rPr>
        <w:t xml:space="preserve">Il pagamento delle somme dovute a seguito  della  sentenza  </w:t>
      </w:r>
      <w:proofErr w:type="spellStart"/>
      <w:r>
        <w:rPr>
          <w:rFonts w:ascii="Arial" w:eastAsia="Arial" w:hAnsi="Arial" w:cs="Arial"/>
          <w:sz w:val="18"/>
        </w:rPr>
        <w:t>deveessere</w:t>
      </w:r>
      <w:proofErr w:type="spellEnd"/>
      <w:r>
        <w:rPr>
          <w:rFonts w:ascii="Arial" w:eastAsia="Arial" w:hAnsi="Arial" w:cs="Arial"/>
          <w:sz w:val="18"/>
        </w:rPr>
        <w:t xml:space="preserve"> eseguito entro novanta giorni dalla sua  notificazione  ovvero dalla presentazione della garanzia di cui al comma 2, se dovuta.</w:t>
      </w:r>
    </w:p>
    <w:p w14:paraId="7588E7B8" w14:textId="77777777" w:rsidR="00B32EF2" w:rsidRDefault="00000000">
      <w:pPr>
        <w:numPr>
          <w:ilvl w:val="0"/>
          <w:numId w:val="121"/>
        </w:numPr>
        <w:spacing w:after="148" w:line="250" w:lineRule="auto"/>
        <w:ind w:hanging="10"/>
        <w:jc w:val="both"/>
      </w:pPr>
      <w:r>
        <w:rPr>
          <w:rFonts w:ascii="Arial" w:eastAsia="Arial" w:hAnsi="Arial" w:cs="Arial"/>
          <w:sz w:val="18"/>
        </w:rPr>
        <w:t xml:space="preserve">In caso di mancata esecuzione  della  sentenza  il  contribuente </w:t>
      </w:r>
      <w:proofErr w:type="spellStart"/>
      <w:r>
        <w:rPr>
          <w:rFonts w:ascii="Arial" w:eastAsia="Arial" w:hAnsi="Arial" w:cs="Arial"/>
          <w:sz w:val="18"/>
        </w:rPr>
        <w:t>puòrichiedere</w:t>
      </w:r>
      <w:proofErr w:type="spellEnd"/>
      <w:r>
        <w:rPr>
          <w:rFonts w:ascii="Arial" w:eastAsia="Arial" w:hAnsi="Arial" w:cs="Arial"/>
          <w:sz w:val="18"/>
        </w:rPr>
        <w:t xml:space="preserve">  l’ottemperanza  a  norma  dell’articolo   70   alla corte di giustizia tributaria di primo grado ovvero, se il giudizio è pendente nei gradi successivi, alla corte di giustizia tributaria di secondo grado.</w:t>
      </w:r>
    </w:p>
    <w:p w14:paraId="202E792E" w14:textId="77777777" w:rsidR="00B32EF2" w:rsidRDefault="00000000">
      <w:pPr>
        <w:pStyle w:val="Titolo3"/>
        <w:ind w:left="129" w:right="60"/>
      </w:pPr>
      <w:r>
        <w:t>NORME RICHIAMATE</w:t>
      </w:r>
    </w:p>
    <w:p w14:paraId="31EB8C97"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55" w:line="251" w:lineRule="auto"/>
        <w:ind w:left="129" w:right="60" w:hanging="10"/>
        <w:jc w:val="both"/>
      </w:pPr>
      <w:r>
        <w:rPr>
          <w:rFonts w:ascii="Arial" w:eastAsia="Arial" w:hAnsi="Arial" w:cs="Arial"/>
          <w:i/>
          <w:sz w:val="18"/>
        </w:rPr>
        <w:t>art. 38 bis dpr. 633/1972 “Esecuzione dei rimborsi”</w:t>
      </w:r>
    </w:p>
    <w:p w14:paraId="347D3D25" w14:textId="77777777" w:rsidR="00B32EF2" w:rsidRDefault="00000000">
      <w:pPr>
        <w:spacing w:after="4" w:line="269" w:lineRule="auto"/>
        <w:ind w:left="10" w:right="1" w:hanging="10"/>
        <w:jc w:val="center"/>
      </w:pPr>
      <w:r>
        <w:rPr>
          <w:rFonts w:ascii="Arial" w:eastAsia="Arial" w:hAnsi="Arial" w:cs="Arial"/>
          <w:b/>
          <w:sz w:val="18"/>
        </w:rPr>
        <w:t>Articolo 69-bis</w:t>
      </w:r>
    </w:p>
    <w:p w14:paraId="439F8870" w14:textId="77777777" w:rsidR="00B32EF2" w:rsidRDefault="00000000">
      <w:pPr>
        <w:spacing w:after="0" w:line="261" w:lineRule="auto"/>
        <w:ind w:left="12" w:right="3" w:hanging="10"/>
        <w:jc w:val="center"/>
      </w:pPr>
      <w:r>
        <w:rPr>
          <w:rFonts w:ascii="Arial" w:eastAsia="Arial" w:hAnsi="Arial" w:cs="Arial"/>
          <w:b/>
          <w:sz w:val="18"/>
        </w:rPr>
        <w:t>Aggiornamento degli atti catastali</w:t>
      </w:r>
    </w:p>
    <w:p w14:paraId="5A41FBEA" w14:textId="77777777" w:rsidR="00B32EF2" w:rsidRDefault="00000000">
      <w:pPr>
        <w:spacing w:after="216" w:line="250" w:lineRule="auto"/>
        <w:ind w:left="-4" w:hanging="10"/>
        <w:jc w:val="both"/>
      </w:pPr>
      <w:r>
        <w:rPr>
          <w:rFonts w:ascii="Arial" w:eastAsia="Arial" w:hAnsi="Arial" w:cs="Arial"/>
          <w:sz w:val="18"/>
        </w:rPr>
        <w:t>Soppresso dal 01/06/2016</w:t>
      </w:r>
    </w:p>
    <w:p w14:paraId="306A27EF" w14:textId="77777777" w:rsidR="00B32EF2" w:rsidRDefault="00000000">
      <w:pPr>
        <w:spacing w:after="0" w:line="261" w:lineRule="auto"/>
        <w:ind w:left="12" w:right="3" w:hanging="10"/>
        <w:jc w:val="center"/>
      </w:pPr>
      <w:r>
        <w:rPr>
          <w:rFonts w:ascii="Arial" w:eastAsia="Arial" w:hAnsi="Arial" w:cs="Arial"/>
          <w:b/>
          <w:sz w:val="18"/>
        </w:rPr>
        <w:t>Articolo 70</w:t>
      </w:r>
    </w:p>
    <w:p w14:paraId="738AD330" w14:textId="77777777" w:rsidR="00B32EF2" w:rsidRDefault="00000000">
      <w:pPr>
        <w:spacing w:after="3" w:line="251" w:lineRule="auto"/>
        <w:ind w:left="2320" w:right="2311" w:hanging="10"/>
        <w:jc w:val="center"/>
      </w:pPr>
      <w:r>
        <w:rPr>
          <w:rFonts w:ascii="Arial" w:eastAsia="Arial" w:hAnsi="Arial" w:cs="Arial"/>
          <w:i/>
          <w:sz w:val="18"/>
        </w:rPr>
        <w:t>(articolo 128 TUGT)</w:t>
      </w:r>
    </w:p>
    <w:p w14:paraId="2FD4D0B3" w14:textId="77777777" w:rsidR="00B32EF2" w:rsidRDefault="00000000">
      <w:pPr>
        <w:spacing w:after="0" w:line="261" w:lineRule="auto"/>
        <w:ind w:left="12" w:right="3" w:hanging="10"/>
        <w:jc w:val="center"/>
      </w:pPr>
      <w:r>
        <w:rPr>
          <w:rFonts w:ascii="Arial" w:eastAsia="Arial" w:hAnsi="Arial" w:cs="Arial"/>
          <w:b/>
          <w:sz w:val="18"/>
        </w:rPr>
        <w:t xml:space="preserve">Giudizio di ottemperanza </w:t>
      </w:r>
    </w:p>
    <w:p w14:paraId="12572B09" w14:textId="77777777" w:rsidR="00B32EF2" w:rsidRDefault="00000000">
      <w:pPr>
        <w:numPr>
          <w:ilvl w:val="0"/>
          <w:numId w:val="122"/>
        </w:numPr>
        <w:spacing w:after="5" w:line="250" w:lineRule="auto"/>
        <w:ind w:hanging="10"/>
        <w:jc w:val="both"/>
      </w:pPr>
      <w:r>
        <w:rPr>
          <w:rFonts w:ascii="Arial" w:eastAsia="Arial" w:hAnsi="Arial" w:cs="Arial"/>
          <w:sz w:val="18"/>
        </w:rPr>
        <w:lastRenderedPageBreak/>
        <w:t xml:space="preserve">La  parte  che  vi  ha interesse, può  richiedere  l’ottemperanza  agli  </w:t>
      </w:r>
      <w:proofErr w:type="spellStart"/>
      <w:r>
        <w:rPr>
          <w:rFonts w:ascii="Arial" w:eastAsia="Arial" w:hAnsi="Arial" w:cs="Arial"/>
          <w:sz w:val="18"/>
        </w:rPr>
        <w:t>obblighiderivanti</w:t>
      </w:r>
      <w:proofErr w:type="spellEnd"/>
      <w:r>
        <w:rPr>
          <w:rFonts w:ascii="Arial" w:eastAsia="Arial" w:hAnsi="Arial" w:cs="Arial"/>
          <w:sz w:val="18"/>
        </w:rPr>
        <w:t xml:space="preserve">   dalla   sentenza   della corte di giustizia tributaria di primo e secondo grado  passata  in  giudicato  mediante  ricorso da depositare in  doppio   originale alla  segreteria   della corte di giustizia tributaria di primo grado,  qualora  la sentenza passata in giudicato sia stata da essa pronunciata, e in  ogni  altro caso alla segreteria della corte di giustizia tributaria di secondo grado.</w:t>
      </w:r>
    </w:p>
    <w:p w14:paraId="351AC11A" w14:textId="77777777" w:rsidR="00B32EF2" w:rsidRDefault="00000000">
      <w:pPr>
        <w:numPr>
          <w:ilvl w:val="0"/>
          <w:numId w:val="122"/>
        </w:numPr>
        <w:spacing w:after="5" w:line="250" w:lineRule="auto"/>
        <w:ind w:hanging="10"/>
        <w:jc w:val="both"/>
      </w:pPr>
      <w:r>
        <w:rPr>
          <w:rFonts w:ascii="Arial" w:eastAsia="Arial" w:hAnsi="Arial" w:cs="Arial"/>
          <w:sz w:val="18"/>
        </w:rPr>
        <w:t xml:space="preserve">Il ricorso è proponibile solo dopo la scadenza del termine entro il quale </w:t>
      </w:r>
      <w:proofErr w:type="spellStart"/>
      <w:r>
        <w:rPr>
          <w:rFonts w:ascii="Arial" w:eastAsia="Arial" w:hAnsi="Arial" w:cs="Arial"/>
          <w:sz w:val="18"/>
        </w:rPr>
        <w:t>èprescritto</w:t>
      </w:r>
      <w:proofErr w:type="spellEnd"/>
      <w:r>
        <w:rPr>
          <w:rFonts w:ascii="Arial" w:eastAsia="Arial" w:hAnsi="Arial" w:cs="Arial"/>
          <w:sz w:val="18"/>
        </w:rPr>
        <w:t xml:space="preserve"> dalla legge l’adempimento a carico dell’ente impositore, dell’agente della riscossione o del soggetto iscritto nell’albo di cui all’articolo 53 del decreto legislativo 15 dicembre 1997, n. 446, degli obblighi derivanti dalla sentenza o, in mancanza di tale termine, dopo trenta giorni dalla loro messa in mora a mezzo di ufficiale giudiziario ovvero a mezzo posta elettronica certificata ai sensi del codice dell’amministrazione digitale di cui al decreto legislativo 7 marzo 2005, n. 82, e fino a quando l’obbligo non sia estinto. (1)</w:t>
      </w:r>
    </w:p>
    <w:p w14:paraId="5E6ECB33" w14:textId="77777777" w:rsidR="00B32EF2" w:rsidRDefault="00000000">
      <w:pPr>
        <w:numPr>
          <w:ilvl w:val="0"/>
          <w:numId w:val="122"/>
        </w:numPr>
        <w:spacing w:after="5" w:line="250" w:lineRule="auto"/>
        <w:ind w:hanging="10"/>
        <w:jc w:val="both"/>
      </w:pPr>
      <w:r>
        <w:rPr>
          <w:rFonts w:ascii="Arial" w:eastAsia="Arial" w:hAnsi="Arial" w:cs="Arial"/>
          <w:sz w:val="18"/>
        </w:rPr>
        <w:t xml:space="preserve">Il ricorso indirizzato al presidente della commissione deve contenere </w:t>
      </w:r>
      <w:proofErr w:type="spellStart"/>
      <w:r>
        <w:rPr>
          <w:rFonts w:ascii="Arial" w:eastAsia="Arial" w:hAnsi="Arial" w:cs="Arial"/>
          <w:sz w:val="18"/>
        </w:rPr>
        <w:t>lasommaria</w:t>
      </w:r>
      <w:proofErr w:type="spellEnd"/>
      <w:r>
        <w:rPr>
          <w:rFonts w:ascii="Arial" w:eastAsia="Arial" w:hAnsi="Arial" w:cs="Arial"/>
          <w:sz w:val="18"/>
        </w:rPr>
        <w:t xml:space="preserve"> esposizione dei fatti che ne giustificano la proposizione con la precisa indicazione, a pena di inammissibilità, della sentenza passata in giudicato di cui si chiede l’ottemperanza, che deve essere prodotta in copia unitamente all’originale o copia autentica dell’atto di messa in mora notificato a norma del comma precedente, se necessario.</w:t>
      </w:r>
    </w:p>
    <w:p w14:paraId="5B764BAD" w14:textId="77777777" w:rsidR="00B32EF2" w:rsidRDefault="00000000">
      <w:pPr>
        <w:spacing w:after="5" w:line="250" w:lineRule="auto"/>
        <w:ind w:left="-4" w:hanging="10"/>
        <w:jc w:val="both"/>
      </w:pPr>
      <w:r>
        <w:rPr>
          <w:rFonts w:ascii="Arial" w:eastAsia="Arial" w:hAnsi="Arial" w:cs="Arial"/>
          <w:sz w:val="18"/>
        </w:rPr>
        <w:t>4.Uno dei due originali del ricorso è comunicato a cura della segreteria della commissione ai soggetti di cui al comma 2 obbligati a provvedere.</w:t>
      </w:r>
    </w:p>
    <w:p w14:paraId="6442181E" w14:textId="77777777" w:rsidR="00B32EF2" w:rsidRDefault="00000000">
      <w:pPr>
        <w:numPr>
          <w:ilvl w:val="0"/>
          <w:numId w:val="123"/>
        </w:numPr>
        <w:spacing w:after="5" w:line="250" w:lineRule="auto"/>
        <w:ind w:hanging="10"/>
        <w:jc w:val="both"/>
      </w:pPr>
      <w:r>
        <w:rPr>
          <w:rFonts w:ascii="Arial" w:eastAsia="Arial" w:hAnsi="Arial" w:cs="Arial"/>
          <w:sz w:val="18"/>
        </w:rPr>
        <w:t xml:space="preserve">Entro venti giorni dalla comunicazione l’ufficio può trasmettere le </w:t>
      </w:r>
      <w:proofErr w:type="spellStart"/>
      <w:r>
        <w:rPr>
          <w:rFonts w:ascii="Arial" w:eastAsia="Arial" w:hAnsi="Arial" w:cs="Arial"/>
          <w:sz w:val="18"/>
        </w:rPr>
        <w:t>proprieosservazioni</w:t>
      </w:r>
      <w:proofErr w:type="spellEnd"/>
      <w:r>
        <w:rPr>
          <w:rFonts w:ascii="Arial" w:eastAsia="Arial" w:hAnsi="Arial" w:cs="Arial"/>
          <w:sz w:val="18"/>
        </w:rPr>
        <w:t xml:space="preserve"> alla corte di giustizia tributaria di primo e secondo grado, allegando la documentazione dell’eventuale adempimento.</w:t>
      </w:r>
    </w:p>
    <w:p w14:paraId="56A422CB" w14:textId="77777777" w:rsidR="00B32EF2" w:rsidRDefault="00000000">
      <w:pPr>
        <w:numPr>
          <w:ilvl w:val="0"/>
          <w:numId w:val="123"/>
        </w:numPr>
        <w:spacing w:after="5" w:line="250" w:lineRule="auto"/>
        <w:ind w:hanging="10"/>
        <w:jc w:val="both"/>
      </w:pPr>
      <w:r>
        <w:rPr>
          <w:rFonts w:ascii="Arial" w:eastAsia="Arial" w:hAnsi="Arial" w:cs="Arial"/>
          <w:sz w:val="18"/>
        </w:rPr>
        <w:t xml:space="preserve">Il presidente della corte di giustizia tributaria di primo e secondo </w:t>
      </w:r>
      <w:proofErr w:type="spellStart"/>
      <w:r>
        <w:rPr>
          <w:rFonts w:ascii="Arial" w:eastAsia="Arial" w:hAnsi="Arial" w:cs="Arial"/>
          <w:sz w:val="18"/>
        </w:rPr>
        <w:t>grado,scaduto</w:t>
      </w:r>
      <w:proofErr w:type="spellEnd"/>
      <w:r>
        <w:rPr>
          <w:rFonts w:ascii="Arial" w:eastAsia="Arial" w:hAnsi="Arial" w:cs="Arial"/>
          <w:sz w:val="18"/>
        </w:rPr>
        <w:t xml:space="preserve"> il termine di cui al comma precedente, assegna il ricorso alla sezione che ha pronunciato la sentenza. Il presidente della sezione fissa il giorno per la trattazione del ricorso in camera di consiglio non oltre novanta giorni dal deposito del ricorso e ne viene data comunicazione alle parti almeno dieci giorni liberi prima a cura della segreteria.</w:t>
      </w:r>
    </w:p>
    <w:p w14:paraId="71D7B529" w14:textId="77777777" w:rsidR="00B32EF2" w:rsidRDefault="00000000">
      <w:pPr>
        <w:numPr>
          <w:ilvl w:val="0"/>
          <w:numId w:val="123"/>
        </w:numPr>
        <w:spacing w:after="5" w:line="250" w:lineRule="auto"/>
        <w:ind w:hanging="10"/>
        <w:jc w:val="both"/>
      </w:pPr>
      <w:r>
        <w:rPr>
          <w:rFonts w:ascii="Arial" w:eastAsia="Arial" w:hAnsi="Arial" w:cs="Arial"/>
          <w:sz w:val="18"/>
        </w:rPr>
        <w:t xml:space="preserve">Il collegio, sentite le parti in contraddittorio ed acquisita la </w:t>
      </w:r>
      <w:proofErr w:type="spellStart"/>
      <w:r>
        <w:rPr>
          <w:rFonts w:ascii="Arial" w:eastAsia="Arial" w:hAnsi="Arial" w:cs="Arial"/>
          <w:sz w:val="18"/>
        </w:rPr>
        <w:t>documentazionenecessaria</w:t>
      </w:r>
      <w:proofErr w:type="spellEnd"/>
      <w:r>
        <w:rPr>
          <w:rFonts w:ascii="Arial" w:eastAsia="Arial" w:hAnsi="Arial" w:cs="Arial"/>
          <w:sz w:val="18"/>
        </w:rPr>
        <w:t>, adotta con sentenza i provvedimenti indispensabili per l’ottemperanza in luogo dell’ufficio che li ha omessi e nelle forme amministrative per essi prescritti dalla legge, attenendosi agli obblighi risultanti espressamente dal dispositivo della sentenza e tenuto conto della relativa motivazione. Il collegio, se lo ritiene opportuno, può delegare un proprio componente o nominare un commissario al quale fissa un termine congruo per i necessari provvedimenti attuativi e determina il compenso a lui spettante secondo le disposizioni del Titolo VII del Capo IV del Testo unico delle disposizioni legislative e regolamentari in materia di spese di giustizia approvato con decreto del Presidente della Repubblica 30 maggio 2002, n. 115.</w:t>
      </w:r>
    </w:p>
    <w:p w14:paraId="7B4DE9EA" w14:textId="77777777" w:rsidR="00B32EF2" w:rsidRDefault="00000000">
      <w:pPr>
        <w:numPr>
          <w:ilvl w:val="0"/>
          <w:numId w:val="123"/>
        </w:numPr>
        <w:spacing w:after="5" w:line="250" w:lineRule="auto"/>
        <w:ind w:hanging="10"/>
        <w:jc w:val="both"/>
      </w:pPr>
      <w:r>
        <w:rPr>
          <w:rFonts w:ascii="Arial" w:eastAsia="Arial" w:hAnsi="Arial" w:cs="Arial"/>
          <w:sz w:val="18"/>
        </w:rPr>
        <w:lastRenderedPageBreak/>
        <w:t xml:space="preserve">Il collegio, eseguiti i provvedimenti di cui al comma precedente e </w:t>
      </w:r>
      <w:proofErr w:type="spellStart"/>
      <w:r>
        <w:rPr>
          <w:rFonts w:ascii="Arial" w:eastAsia="Arial" w:hAnsi="Arial" w:cs="Arial"/>
          <w:sz w:val="18"/>
        </w:rPr>
        <w:t>presoatto</w:t>
      </w:r>
      <w:proofErr w:type="spellEnd"/>
      <w:r>
        <w:rPr>
          <w:rFonts w:ascii="Arial" w:eastAsia="Arial" w:hAnsi="Arial" w:cs="Arial"/>
          <w:sz w:val="18"/>
        </w:rPr>
        <w:t xml:space="preserve"> di quelli emanati ed eseguiti dal componente delegato o dal commissario nominato, dichiara chiuso il procedimento con ordinanza.</w:t>
      </w:r>
    </w:p>
    <w:p w14:paraId="7713B84E" w14:textId="77777777" w:rsidR="00B32EF2" w:rsidRDefault="00000000">
      <w:pPr>
        <w:numPr>
          <w:ilvl w:val="0"/>
          <w:numId w:val="123"/>
        </w:numPr>
        <w:spacing w:after="5" w:line="250" w:lineRule="auto"/>
        <w:ind w:hanging="10"/>
        <w:jc w:val="both"/>
      </w:pPr>
      <w:r>
        <w:rPr>
          <w:rFonts w:ascii="Arial" w:eastAsia="Arial" w:hAnsi="Arial" w:cs="Arial"/>
          <w:sz w:val="18"/>
        </w:rPr>
        <w:t>Tutti i provvedimenti di cui al presente articolo sono immediatamente esecutivi.10. Contro la sentenza di cui al comma 7 è ammesso soltanto ricorso in cassazione per inosservanza delle norme sul procedimento.</w:t>
      </w:r>
    </w:p>
    <w:p w14:paraId="4A9283BE" w14:textId="77777777" w:rsidR="00B32EF2" w:rsidRDefault="00000000">
      <w:pPr>
        <w:spacing w:after="5" w:line="250" w:lineRule="auto"/>
        <w:ind w:left="-4" w:hanging="10"/>
        <w:jc w:val="both"/>
      </w:pPr>
      <w:r>
        <w:rPr>
          <w:rFonts w:ascii="Arial" w:eastAsia="Arial" w:hAnsi="Arial" w:cs="Arial"/>
          <w:sz w:val="18"/>
        </w:rPr>
        <w:t>10-bis. Per il pagamento di somme dell’importo fino a ventimila euro e comunque per il pagamento delle spese di giudizio, il ricorso è deciso dalla Commissione in composizione monocratica.</w:t>
      </w:r>
    </w:p>
    <w:p w14:paraId="71D4F027" w14:textId="77777777" w:rsidR="00B32EF2" w:rsidRDefault="00000000">
      <w:pPr>
        <w:spacing w:after="142" w:line="279" w:lineRule="auto"/>
        <w:ind w:left="-4" w:right="-13" w:hanging="10"/>
        <w:jc w:val="both"/>
      </w:pPr>
      <w:r>
        <w:rPr>
          <w:rFonts w:ascii="Arial" w:eastAsia="Arial" w:hAnsi="Arial" w:cs="Arial"/>
          <w:sz w:val="15"/>
        </w:rPr>
        <w:t xml:space="preserve">(1) L’art 16 del </w:t>
      </w:r>
      <w:proofErr w:type="spellStart"/>
      <w:r>
        <w:rPr>
          <w:rFonts w:ascii="Arial" w:eastAsia="Arial" w:hAnsi="Arial" w:cs="Arial"/>
          <w:sz w:val="15"/>
        </w:rPr>
        <w:t>D.lgs</w:t>
      </w:r>
      <w:proofErr w:type="spellEnd"/>
      <w:r>
        <w:rPr>
          <w:rFonts w:ascii="Arial" w:eastAsia="Arial" w:hAnsi="Arial" w:cs="Arial"/>
          <w:sz w:val="15"/>
        </w:rPr>
        <w:t xml:space="preserve"> n. 81 del 12/06/2025 ha inserito al comma 2 del presente articolo le parole «ovvero a mezzo posta elettronica certificata ai sensi del codice dell’amministrazione digitale di cui al decreto legislativo 7 marzo 2005, n. 82,».</w:t>
      </w:r>
    </w:p>
    <w:p w14:paraId="110E0A19" w14:textId="77777777" w:rsidR="00B32EF2" w:rsidRDefault="00000000">
      <w:pPr>
        <w:pStyle w:val="Titolo3"/>
        <w:ind w:left="129" w:right="60"/>
      </w:pPr>
      <w:r>
        <w:t>NORME RICHIAMATE</w:t>
      </w:r>
    </w:p>
    <w:p w14:paraId="62A6135B"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60" w:hanging="10"/>
        <w:jc w:val="both"/>
      </w:pPr>
      <w:r>
        <w:rPr>
          <w:rFonts w:ascii="Arial" w:eastAsia="Arial" w:hAnsi="Arial" w:cs="Arial"/>
          <w:i/>
          <w:sz w:val="18"/>
        </w:rPr>
        <w:t xml:space="preserve">art. 53 D.lgs. 446/1997 “Albo per l’accertamento e riscossione delle entrate degli enti locali” </w:t>
      </w:r>
    </w:p>
    <w:p w14:paraId="184185B1" w14:textId="77777777" w:rsidR="00B32EF2" w:rsidRDefault="00000000">
      <w:pPr>
        <w:spacing w:after="0" w:line="261" w:lineRule="auto"/>
        <w:ind w:left="12" w:right="3" w:hanging="10"/>
        <w:jc w:val="center"/>
      </w:pPr>
      <w:r>
        <w:rPr>
          <w:rFonts w:ascii="Arial" w:eastAsia="Arial" w:hAnsi="Arial" w:cs="Arial"/>
          <w:b/>
          <w:sz w:val="18"/>
        </w:rPr>
        <w:t xml:space="preserve">TITOLO III </w:t>
      </w:r>
    </w:p>
    <w:p w14:paraId="24B2A5E7" w14:textId="77777777" w:rsidR="00B32EF2" w:rsidRDefault="00000000">
      <w:pPr>
        <w:spacing w:after="207" w:line="261" w:lineRule="auto"/>
        <w:ind w:left="12" w:right="2" w:hanging="10"/>
        <w:jc w:val="center"/>
      </w:pPr>
      <w:r>
        <w:rPr>
          <w:rFonts w:ascii="Arial" w:eastAsia="Arial" w:hAnsi="Arial" w:cs="Arial"/>
          <w:b/>
          <w:sz w:val="18"/>
        </w:rPr>
        <w:t>DISPOSIZIONI FINALI E TRANSITORIE</w:t>
      </w:r>
    </w:p>
    <w:p w14:paraId="74935725" w14:textId="77777777" w:rsidR="00B32EF2" w:rsidRDefault="00000000">
      <w:pPr>
        <w:spacing w:after="0" w:line="261" w:lineRule="auto"/>
        <w:ind w:left="12" w:right="3" w:hanging="10"/>
        <w:jc w:val="center"/>
      </w:pPr>
      <w:r>
        <w:rPr>
          <w:rFonts w:ascii="Arial" w:eastAsia="Arial" w:hAnsi="Arial" w:cs="Arial"/>
          <w:b/>
          <w:sz w:val="18"/>
        </w:rPr>
        <w:t>Articolo 71</w:t>
      </w:r>
    </w:p>
    <w:p w14:paraId="53832A8A" w14:textId="77777777" w:rsidR="00B32EF2" w:rsidRDefault="00000000">
      <w:pPr>
        <w:spacing w:after="0" w:line="261" w:lineRule="auto"/>
        <w:ind w:left="12" w:right="3" w:hanging="10"/>
        <w:jc w:val="center"/>
      </w:pPr>
      <w:r>
        <w:rPr>
          <w:rFonts w:ascii="Arial" w:eastAsia="Arial" w:hAnsi="Arial" w:cs="Arial"/>
          <w:b/>
          <w:sz w:val="18"/>
        </w:rPr>
        <w:t>Norme abrogate</w:t>
      </w:r>
    </w:p>
    <w:p w14:paraId="6A03D2F6" w14:textId="77777777" w:rsidR="00B32EF2" w:rsidRDefault="00000000">
      <w:pPr>
        <w:spacing w:after="217" w:line="250" w:lineRule="auto"/>
        <w:ind w:left="-4" w:hanging="10"/>
        <w:jc w:val="both"/>
      </w:pPr>
      <w:r>
        <w:rPr>
          <w:rFonts w:ascii="Arial" w:eastAsia="Arial" w:hAnsi="Arial" w:cs="Arial"/>
          <w:sz w:val="18"/>
        </w:rPr>
        <w:t>1. Sono abrogati l’art. 288 del testo unico per la finanza locale 14 settembre 1931, n. 1175, l’articolo 1 e gli articoli da 15 a 45 del decreto del Presidente della Repubblica 26 ottobre 1972, n. 636 e successive modificazioni e integrazioni, l’art. 19, commi 4 e 5, e l’art. 20 del decreto del Presidente della Repubblica 26 ottobre 1972, n. 638, l’art. 24 del decreto del Presidente della Repubblica 26 ottobre 1972, n. 639, gli articoli 63, comma 5, e 68, comma 3, del decreto del Presidente della Repubblica 28 gennaio 1988, n. 43, l’art. 4, comma 8, del decreto-legge 2 marzo 1989, n. 66, convertito nella legge 24 aprile 1989, n. 144. 2. È inoltre abrogata ogni altra norma di legge non compatibile con le disposizioni del presente decreto.</w:t>
      </w:r>
    </w:p>
    <w:p w14:paraId="2FC1179C" w14:textId="77777777" w:rsidR="00B32EF2" w:rsidRDefault="00000000">
      <w:pPr>
        <w:spacing w:after="0" w:line="261" w:lineRule="auto"/>
        <w:ind w:left="12" w:right="3" w:hanging="10"/>
        <w:jc w:val="center"/>
      </w:pPr>
      <w:r>
        <w:rPr>
          <w:rFonts w:ascii="Arial" w:eastAsia="Arial" w:hAnsi="Arial" w:cs="Arial"/>
          <w:b/>
          <w:sz w:val="18"/>
        </w:rPr>
        <w:t>Articolo 72</w:t>
      </w:r>
    </w:p>
    <w:p w14:paraId="1DB39942" w14:textId="77777777" w:rsidR="00B32EF2" w:rsidRDefault="00000000">
      <w:pPr>
        <w:spacing w:after="0" w:line="261" w:lineRule="auto"/>
        <w:ind w:left="12" w:right="2" w:hanging="10"/>
        <w:jc w:val="center"/>
      </w:pPr>
      <w:r>
        <w:rPr>
          <w:rFonts w:ascii="Arial" w:eastAsia="Arial" w:hAnsi="Arial" w:cs="Arial"/>
          <w:b/>
          <w:sz w:val="18"/>
        </w:rPr>
        <w:t>Controversie pendenti davanti alle corti di giustizia tributaria di primo e secondo grado di primo e di secondo grado</w:t>
      </w:r>
    </w:p>
    <w:p w14:paraId="0E0B4DCC" w14:textId="77777777" w:rsidR="00B32EF2" w:rsidRDefault="00000000">
      <w:pPr>
        <w:numPr>
          <w:ilvl w:val="0"/>
          <w:numId w:val="124"/>
        </w:numPr>
        <w:spacing w:after="5" w:line="250" w:lineRule="auto"/>
        <w:ind w:hanging="10"/>
        <w:jc w:val="both"/>
      </w:pPr>
      <w:r>
        <w:rPr>
          <w:rFonts w:ascii="Arial" w:eastAsia="Arial" w:hAnsi="Arial" w:cs="Arial"/>
          <w:sz w:val="18"/>
        </w:rPr>
        <w:t xml:space="preserve">Le controversie pendenti dinanzi alle corti di giustizia tributaria di primo </w:t>
      </w:r>
      <w:proofErr w:type="spellStart"/>
      <w:r>
        <w:rPr>
          <w:rFonts w:ascii="Arial" w:eastAsia="Arial" w:hAnsi="Arial" w:cs="Arial"/>
          <w:sz w:val="18"/>
        </w:rPr>
        <w:t>esecondo</w:t>
      </w:r>
      <w:proofErr w:type="spellEnd"/>
      <w:r>
        <w:rPr>
          <w:rFonts w:ascii="Arial" w:eastAsia="Arial" w:hAnsi="Arial" w:cs="Arial"/>
          <w:sz w:val="18"/>
        </w:rPr>
        <w:t xml:space="preserve"> grado di primo e di secondo grado previste dal decreto del Presidente della Repubblica 26 ottobre 1972, n. 636, alla data d’insediamento delle commissioni tributarie provinciali e regionali, sono ad esse rispettivamente attribuite, tenuto conto, quanto alla competenza territoriale, delle rispettive sedi. La segreteria della commissione tributaria provinciale o regionale dà comunicazione alle parti della data di trattazione almeno trenta giorni liberi prima. La consegna o spedizione del ricorso o dell’atto di appello, </w:t>
      </w:r>
      <w:r>
        <w:rPr>
          <w:rFonts w:ascii="Arial" w:eastAsia="Arial" w:hAnsi="Arial" w:cs="Arial"/>
          <w:sz w:val="18"/>
        </w:rPr>
        <w:lastRenderedPageBreak/>
        <w:t>ai sensi degli articoli 17, comma primo, e 22, comma secondo, del decreto del Presidente della Repubblica 26 ottobre 1972, n. 636, equivale a costituzione in giudizio del ricorrente ai sensi degli articoli 22 e 53, comma 2. La parte resistente può effettuare la costituzione in giudizio entro il termine di cui all’articolo 32, comma 1.</w:t>
      </w:r>
    </w:p>
    <w:p w14:paraId="62B45643" w14:textId="77777777" w:rsidR="00B32EF2" w:rsidRDefault="00000000">
      <w:pPr>
        <w:spacing w:after="5" w:line="250" w:lineRule="auto"/>
        <w:ind w:left="-4" w:hanging="10"/>
        <w:jc w:val="both"/>
      </w:pPr>
      <w:r>
        <w:rPr>
          <w:rFonts w:ascii="Arial" w:eastAsia="Arial" w:hAnsi="Arial" w:cs="Arial"/>
          <w:sz w:val="18"/>
        </w:rPr>
        <w:t>1-bis. In deroga alle disposizioni del presente decreto, le controversie previste dal comma 1, pendenti alla data ivi indicata dinanzi alle corti di giustizia tributaria di primo e secondo grado di primo grado ed il cui valore, determinato ai sensi dell’articolo 12, comma 5, sia inferiore a cinque milioni di lire, sono trattate e decise in pubblica udienza da un giudice singolo, nominato per ciascun ricorso, ai sensi dell’articolo 30, comma 1, dal presidente della sezione alla quale il ricorso medesimo è stato assegnato. Il presidente, se non intende designare se stesso, può nominare giudice unico il vicepresidente od un componente della sezione appartenente ad una delle categorie di cui all’articolo 4, comma 1, lettera a), del decreto legislativo 31 dicembre 1992, n. 545, ovvero che sia in possesso di diploma di laurea in giurisprudenza o in economia e commercio ed abbia un’anzianità di servizio presso le corti di giustizia tributaria di primo e secondo grado di almeno dieci anni. Per la trattazione della controversia si applicano, in quanto compatibili, le disposizioni delle sezioni III e IV del Capo I del Titolo II del presente decreto, ad eccezione dell’articolo 33, intendendosi sostituito in ogni caso il giudice singolo al relatore e al collegio. Restano ferme tutte le altre disposizioni del presente decreto, comprese, con la medesima sostituzione, quelle del Capo II del Titolo II. Il tentativo di conciliazione, di cui all’articolo 48, comma 2, è obbligatorio se all’udienza sono presenti entrambe le parti. Le controversie di cui al presente comma sono trattate dal giudice singolo in udienze distinte da quelle collegiali.</w:t>
      </w:r>
    </w:p>
    <w:p w14:paraId="3B5E294C" w14:textId="77777777" w:rsidR="00B32EF2" w:rsidRDefault="00000000">
      <w:pPr>
        <w:numPr>
          <w:ilvl w:val="0"/>
          <w:numId w:val="124"/>
        </w:numPr>
        <w:spacing w:after="5" w:line="250" w:lineRule="auto"/>
        <w:ind w:hanging="10"/>
        <w:jc w:val="both"/>
      </w:pPr>
      <w:r>
        <w:rPr>
          <w:rFonts w:ascii="Arial" w:eastAsia="Arial" w:hAnsi="Arial" w:cs="Arial"/>
          <w:sz w:val="18"/>
        </w:rPr>
        <w:t xml:space="preserve">Se alla data indicata al comma 1 pendono termini per la proposizione </w:t>
      </w:r>
      <w:proofErr w:type="spellStart"/>
      <w:r>
        <w:rPr>
          <w:rFonts w:ascii="Arial" w:eastAsia="Arial" w:hAnsi="Arial" w:cs="Arial"/>
          <w:sz w:val="18"/>
        </w:rPr>
        <w:t>diricorsi</w:t>
      </w:r>
      <w:proofErr w:type="spellEnd"/>
      <w:r>
        <w:rPr>
          <w:rFonts w:ascii="Arial" w:eastAsia="Arial" w:hAnsi="Arial" w:cs="Arial"/>
          <w:sz w:val="18"/>
        </w:rPr>
        <w:t xml:space="preserve"> secondo le norme previgenti, detti ricorsi sono proposti alle corti di giustizia tributaria di primo grado entro i termini previsti dal presente decreto, che decorrono dalla suddetta data. Se alla data indicata al comma 1 pendono termini per impugnare decisioni delle corti di giustizia tributaria di primo e secondo grado di primo grado, dette impugnazioni sono proposte secondo le modalità e i termini previsti dal presente decreto, che decorrono dalla suddetta data.</w:t>
      </w:r>
    </w:p>
    <w:p w14:paraId="26632419" w14:textId="77777777" w:rsidR="00B32EF2" w:rsidRDefault="00000000">
      <w:pPr>
        <w:numPr>
          <w:ilvl w:val="0"/>
          <w:numId w:val="124"/>
        </w:numPr>
        <w:spacing w:after="5" w:line="250" w:lineRule="auto"/>
        <w:ind w:hanging="10"/>
        <w:jc w:val="both"/>
      </w:pPr>
      <w:r>
        <w:rPr>
          <w:rFonts w:ascii="Arial" w:eastAsia="Arial" w:hAnsi="Arial" w:cs="Arial"/>
          <w:sz w:val="18"/>
        </w:rPr>
        <w:t xml:space="preserve">Se i termini per il compimento di atti processuali diversi dai ricorsi </w:t>
      </w:r>
      <w:proofErr w:type="spellStart"/>
      <w:r>
        <w:rPr>
          <w:rFonts w:ascii="Arial" w:eastAsia="Arial" w:hAnsi="Arial" w:cs="Arial"/>
          <w:sz w:val="18"/>
        </w:rPr>
        <w:t>secondole</w:t>
      </w:r>
      <w:proofErr w:type="spellEnd"/>
      <w:r>
        <w:rPr>
          <w:rFonts w:ascii="Arial" w:eastAsia="Arial" w:hAnsi="Arial" w:cs="Arial"/>
          <w:sz w:val="18"/>
        </w:rPr>
        <w:t xml:space="preserve"> norme vigenti, alla data di cui ai commi 1 e 2, sono ancora pendenti, tali atti possono essere compiuti nei termini previsti dal presente decreto, che decorrono dalla suddetta data.</w:t>
      </w:r>
    </w:p>
    <w:p w14:paraId="446CA49B" w14:textId="77777777" w:rsidR="00B32EF2" w:rsidRDefault="00000000">
      <w:pPr>
        <w:numPr>
          <w:ilvl w:val="0"/>
          <w:numId w:val="124"/>
        </w:numPr>
        <w:spacing w:after="5" w:line="250" w:lineRule="auto"/>
        <w:ind w:hanging="10"/>
        <w:jc w:val="both"/>
      </w:pPr>
      <w:r>
        <w:rPr>
          <w:rFonts w:ascii="Arial" w:eastAsia="Arial" w:hAnsi="Arial" w:cs="Arial"/>
          <w:sz w:val="18"/>
        </w:rPr>
        <w:t xml:space="preserve">Le segreterie delle corti di giustizia tributaria di primo e secondo grado </w:t>
      </w:r>
      <w:proofErr w:type="spellStart"/>
      <w:r>
        <w:rPr>
          <w:rFonts w:ascii="Arial" w:eastAsia="Arial" w:hAnsi="Arial" w:cs="Arial"/>
          <w:sz w:val="18"/>
        </w:rPr>
        <w:t>diprimo</w:t>
      </w:r>
      <w:proofErr w:type="spellEnd"/>
      <w:r>
        <w:rPr>
          <w:rFonts w:ascii="Arial" w:eastAsia="Arial" w:hAnsi="Arial" w:cs="Arial"/>
          <w:sz w:val="18"/>
        </w:rPr>
        <w:t xml:space="preserve"> e di secondo grado indicate nel comma 1 provvedono a trasmettere i fascicoli relativi alle controversie pendenti alle segreterie delle commissioni provinciale o regionale rispettivamente competenti.</w:t>
      </w:r>
    </w:p>
    <w:p w14:paraId="16F399C4" w14:textId="77777777" w:rsidR="00B32EF2" w:rsidRDefault="00000000">
      <w:pPr>
        <w:numPr>
          <w:ilvl w:val="0"/>
          <w:numId w:val="124"/>
        </w:numPr>
        <w:spacing w:after="143" w:line="250" w:lineRule="auto"/>
        <w:ind w:hanging="10"/>
        <w:jc w:val="both"/>
      </w:pPr>
      <w:r>
        <w:rPr>
          <w:rFonts w:ascii="Arial" w:eastAsia="Arial" w:hAnsi="Arial" w:cs="Arial"/>
          <w:sz w:val="18"/>
        </w:rPr>
        <w:lastRenderedPageBreak/>
        <w:t xml:space="preserve">Le segreterie delle corti di giustizia tributaria di primo e secondo grado </w:t>
      </w:r>
      <w:proofErr w:type="spellStart"/>
      <w:r>
        <w:rPr>
          <w:rFonts w:ascii="Arial" w:eastAsia="Arial" w:hAnsi="Arial" w:cs="Arial"/>
          <w:sz w:val="18"/>
        </w:rPr>
        <w:t>diprimo</w:t>
      </w:r>
      <w:proofErr w:type="spellEnd"/>
      <w:r>
        <w:rPr>
          <w:rFonts w:ascii="Arial" w:eastAsia="Arial" w:hAnsi="Arial" w:cs="Arial"/>
          <w:sz w:val="18"/>
        </w:rPr>
        <w:t xml:space="preserve"> e di secondo grado indicate nel comma 1 continuano a funzionare, solo per gli adempimenti di cui al comma 4, anche oltre la data indicata nel comma precedente.</w:t>
      </w:r>
    </w:p>
    <w:p w14:paraId="1A5EA44F" w14:textId="77777777" w:rsidR="00B32EF2" w:rsidRDefault="00000000">
      <w:pPr>
        <w:pStyle w:val="Titolo3"/>
        <w:ind w:left="129" w:right="120"/>
      </w:pPr>
      <w:r>
        <w:t>NORME RICHIAMATE</w:t>
      </w:r>
    </w:p>
    <w:p w14:paraId="3BD235B4"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dpr. 636/72 “Revisione della disciplina del contenzioso tributario”.</w:t>
      </w:r>
    </w:p>
    <w:p w14:paraId="0A630D6A"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289" w:line="251" w:lineRule="auto"/>
        <w:ind w:left="129" w:right="120" w:hanging="10"/>
        <w:jc w:val="both"/>
      </w:pPr>
      <w:r>
        <w:rPr>
          <w:rFonts w:ascii="Arial" w:eastAsia="Arial" w:hAnsi="Arial" w:cs="Arial"/>
          <w:i/>
          <w:sz w:val="18"/>
        </w:rPr>
        <w:t xml:space="preserve">art 17 e 22 dpr. 636/92 Articoli abrogati art. 4 </w:t>
      </w:r>
      <w:proofErr w:type="spellStart"/>
      <w:r>
        <w:rPr>
          <w:rFonts w:ascii="Arial" w:eastAsia="Arial" w:hAnsi="Arial" w:cs="Arial"/>
          <w:i/>
          <w:sz w:val="18"/>
        </w:rPr>
        <w:t>D.Lgs.</w:t>
      </w:r>
      <w:proofErr w:type="spellEnd"/>
      <w:r>
        <w:rPr>
          <w:rFonts w:ascii="Arial" w:eastAsia="Arial" w:hAnsi="Arial" w:cs="Arial"/>
          <w:i/>
          <w:sz w:val="18"/>
        </w:rPr>
        <w:t xml:space="preserve"> 545/92 “I giudici delle corti di giustizia tributaria di primo grado</w:t>
      </w:r>
      <w:r>
        <w:rPr>
          <w:rFonts w:ascii="Arial" w:eastAsia="Arial" w:hAnsi="Arial" w:cs="Arial"/>
          <w:sz w:val="18"/>
        </w:rPr>
        <w:t>”</w:t>
      </w:r>
    </w:p>
    <w:p w14:paraId="150658E1" w14:textId="77777777" w:rsidR="00B32EF2" w:rsidRDefault="00000000">
      <w:pPr>
        <w:spacing w:after="0" w:line="261" w:lineRule="auto"/>
        <w:ind w:left="12" w:right="3" w:hanging="10"/>
        <w:jc w:val="center"/>
      </w:pPr>
      <w:r>
        <w:rPr>
          <w:rFonts w:ascii="Arial" w:eastAsia="Arial" w:hAnsi="Arial" w:cs="Arial"/>
          <w:b/>
          <w:sz w:val="18"/>
        </w:rPr>
        <w:t>Articolo 73</w:t>
      </w:r>
    </w:p>
    <w:p w14:paraId="2F8C5A26" w14:textId="77777777" w:rsidR="00B32EF2" w:rsidRDefault="00000000">
      <w:pPr>
        <w:spacing w:after="0" w:line="261" w:lineRule="auto"/>
        <w:ind w:left="12" w:right="3" w:hanging="10"/>
        <w:jc w:val="center"/>
      </w:pPr>
      <w:r>
        <w:rPr>
          <w:rFonts w:ascii="Arial" w:eastAsia="Arial" w:hAnsi="Arial" w:cs="Arial"/>
          <w:b/>
          <w:sz w:val="18"/>
        </w:rPr>
        <w:t>Istanza di trattazione</w:t>
      </w:r>
    </w:p>
    <w:p w14:paraId="366B364D" w14:textId="77777777" w:rsidR="00B32EF2" w:rsidRDefault="00000000">
      <w:pPr>
        <w:numPr>
          <w:ilvl w:val="0"/>
          <w:numId w:val="125"/>
        </w:numPr>
        <w:spacing w:after="5" w:line="250" w:lineRule="auto"/>
        <w:ind w:hanging="10"/>
        <w:jc w:val="both"/>
      </w:pPr>
      <w:r>
        <w:rPr>
          <w:rFonts w:ascii="Arial" w:eastAsia="Arial" w:hAnsi="Arial" w:cs="Arial"/>
          <w:sz w:val="18"/>
        </w:rPr>
        <w:t xml:space="preserve">Il  ricorrente  e  qualsiasi  altra  parte  nelle  controversie pendenti  </w:t>
      </w:r>
      <w:proofErr w:type="spellStart"/>
      <w:r>
        <w:rPr>
          <w:rFonts w:ascii="Arial" w:eastAsia="Arial" w:hAnsi="Arial" w:cs="Arial"/>
          <w:sz w:val="18"/>
        </w:rPr>
        <w:t>davantialle</w:t>
      </w:r>
      <w:proofErr w:type="spellEnd"/>
      <w:r>
        <w:rPr>
          <w:rFonts w:ascii="Arial" w:eastAsia="Arial" w:hAnsi="Arial" w:cs="Arial"/>
          <w:sz w:val="18"/>
        </w:rPr>
        <w:t xml:space="preserve"> corti di giustizia tributaria di primo e secondo grado sono  tenuti  a presentare entro  sei  mesi  dalla  data  di   cui  all’art.   72   apposita  istanza di  trattazione  alla  segreteria   delle corti di giustizia tributaria di primo e secondo grado competenti. </w:t>
      </w:r>
    </w:p>
    <w:p w14:paraId="4A0F0149" w14:textId="77777777" w:rsidR="00B32EF2" w:rsidRDefault="00000000">
      <w:pPr>
        <w:numPr>
          <w:ilvl w:val="0"/>
          <w:numId w:val="125"/>
        </w:numPr>
        <w:spacing w:after="5" w:line="250" w:lineRule="auto"/>
        <w:ind w:hanging="10"/>
        <w:jc w:val="both"/>
      </w:pPr>
      <w:r>
        <w:rPr>
          <w:rFonts w:ascii="Arial" w:eastAsia="Arial" w:hAnsi="Arial" w:cs="Arial"/>
          <w:sz w:val="18"/>
        </w:rPr>
        <w:t xml:space="preserve">L’istanza  di  trattazione  sottoscritta   dalla   parte   o   dal   suo  </w:t>
      </w:r>
      <w:proofErr w:type="spellStart"/>
      <w:r>
        <w:rPr>
          <w:rFonts w:ascii="Arial" w:eastAsia="Arial" w:hAnsi="Arial" w:cs="Arial"/>
          <w:sz w:val="18"/>
        </w:rPr>
        <w:t>precedentedifensore</w:t>
      </w:r>
      <w:proofErr w:type="spellEnd"/>
      <w:r>
        <w:rPr>
          <w:rFonts w:ascii="Arial" w:eastAsia="Arial" w:hAnsi="Arial" w:cs="Arial"/>
          <w:sz w:val="18"/>
        </w:rPr>
        <w:t>,   se  nominato,  deve  contenere  gli  estremi   della  controversia e del  procedimento  a  cui   si   riferisce   e   deve   essere  notificata,  spedita  o consegnata alla segreteria a norma dell’art. 20.</w:t>
      </w:r>
    </w:p>
    <w:p w14:paraId="3CB13B24" w14:textId="77777777" w:rsidR="00B32EF2" w:rsidRDefault="00000000">
      <w:pPr>
        <w:numPr>
          <w:ilvl w:val="0"/>
          <w:numId w:val="125"/>
        </w:numPr>
        <w:spacing w:after="5" w:line="250" w:lineRule="auto"/>
        <w:ind w:hanging="10"/>
        <w:jc w:val="both"/>
      </w:pPr>
      <w:r>
        <w:rPr>
          <w:rFonts w:ascii="Arial" w:eastAsia="Arial" w:hAnsi="Arial" w:cs="Arial"/>
          <w:sz w:val="18"/>
        </w:rPr>
        <w:t xml:space="preserve">Se nel termine di cui al comma 1 nessuna delle parti ha </w:t>
      </w:r>
      <w:proofErr w:type="spellStart"/>
      <w:r>
        <w:rPr>
          <w:rFonts w:ascii="Arial" w:eastAsia="Arial" w:hAnsi="Arial" w:cs="Arial"/>
          <w:sz w:val="18"/>
        </w:rPr>
        <w:t>notificato,spedito</w:t>
      </w:r>
      <w:proofErr w:type="spellEnd"/>
      <w:r>
        <w:rPr>
          <w:rFonts w:ascii="Arial" w:eastAsia="Arial" w:hAnsi="Arial" w:cs="Arial"/>
          <w:sz w:val="18"/>
        </w:rPr>
        <w:t xml:space="preserve"> o consegnato l’istanza di trattazione nelle forme indicate al comma precedente, il processo di primo grado o quello d’appello, a seconda dei casi, è dichiarato estinto con decreto del presidente della sezione, di cui viene data comunicazione alle parti a cura della segreteria.</w:t>
      </w:r>
    </w:p>
    <w:p w14:paraId="7636A3F3" w14:textId="77777777" w:rsidR="00B32EF2" w:rsidRDefault="00000000">
      <w:pPr>
        <w:numPr>
          <w:ilvl w:val="0"/>
          <w:numId w:val="125"/>
        </w:numPr>
        <w:spacing w:after="217" w:line="250" w:lineRule="auto"/>
        <w:ind w:hanging="10"/>
        <w:jc w:val="both"/>
      </w:pPr>
      <w:r>
        <w:rPr>
          <w:rFonts w:ascii="Arial" w:eastAsia="Arial" w:hAnsi="Arial" w:cs="Arial"/>
          <w:sz w:val="18"/>
        </w:rPr>
        <w:t xml:space="preserve">Contro il decreto di cui al comma precedente è ammesso reclamo al </w:t>
      </w:r>
      <w:proofErr w:type="spellStart"/>
      <w:r>
        <w:rPr>
          <w:rFonts w:ascii="Arial" w:eastAsia="Arial" w:hAnsi="Arial" w:cs="Arial"/>
          <w:sz w:val="18"/>
        </w:rPr>
        <w:t>collegionei</w:t>
      </w:r>
      <w:proofErr w:type="spellEnd"/>
      <w:r>
        <w:rPr>
          <w:rFonts w:ascii="Arial" w:eastAsia="Arial" w:hAnsi="Arial" w:cs="Arial"/>
          <w:sz w:val="18"/>
        </w:rPr>
        <w:t xml:space="preserve"> modi e termini previsti dall’art. 28.</w:t>
      </w:r>
    </w:p>
    <w:p w14:paraId="293C933F" w14:textId="77777777" w:rsidR="00B32EF2" w:rsidRDefault="00000000">
      <w:pPr>
        <w:spacing w:after="0" w:line="261" w:lineRule="auto"/>
        <w:ind w:left="12" w:right="3" w:hanging="10"/>
        <w:jc w:val="center"/>
      </w:pPr>
      <w:r>
        <w:rPr>
          <w:rFonts w:ascii="Arial" w:eastAsia="Arial" w:hAnsi="Arial" w:cs="Arial"/>
          <w:b/>
          <w:sz w:val="18"/>
        </w:rPr>
        <w:t>Articolo 74</w:t>
      </w:r>
    </w:p>
    <w:p w14:paraId="13E99601" w14:textId="77777777" w:rsidR="00B32EF2" w:rsidRDefault="00000000">
      <w:pPr>
        <w:spacing w:after="0" w:line="261" w:lineRule="auto"/>
        <w:ind w:left="12" w:right="3" w:hanging="10"/>
        <w:jc w:val="center"/>
      </w:pPr>
      <w:r>
        <w:rPr>
          <w:rFonts w:ascii="Arial" w:eastAsia="Arial" w:hAnsi="Arial" w:cs="Arial"/>
          <w:b/>
          <w:sz w:val="18"/>
        </w:rPr>
        <w:t>Controversie pendenti davanti alla corte di appello</w:t>
      </w:r>
    </w:p>
    <w:p w14:paraId="032C6E19" w14:textId="77777777" w:rsidR="00B32EF2" w:rsidRDefault="00000000">
      <w:pPr>
        <w:spacing w:after="182" w:line="250" w:lineRule="auto"/>
        <w:ind w:left="-4" w:hanging="10"/>
        <w:jc w:val="both"/>
      </w:pPr>
      <w:r>
        <w:rPr>
          <w:rFonts w:ascii="Arial" w:eastAsia="Arial" w:hAnsi="Arial" w:cs="Arial"/>
          <w:sz w:val="18"/>
        </w:rPr>
        <w:t>1. Alle controversie, che alla data di cui all’articolo 72 pendono davanti alla corte di appello o per le quali pende il termine per l’impugnativa davanti allo stesso organo, continuano ad applicarsi le disposizioni contenute nel decreto del Presidente della Repubblica 26 ottobre 1972, n. 636, e successive modificazioni e integrazioni.</w:t>
      </w:r>
    </w:p>
    <w:p w14:paraId="5A885E5E" w14:textId="77777777" w:rsidR="00B32EF2" w:rsidRDefault="00000000">
      <w:pPr>
        <w:pStyle w:val="Titolo3"/>
        <w:ind w:left="129" w:right="60"/>
      </w:pPr>
      <w:r>
        <w:t>NORME RICHIAMATE</w:t>
      </w:r>
    </w:p>
    <w:p w14:paraId="3C991936"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249" w:line="251" w:lineRule="auto"/>
        <w:ind w:left="129" w:right="60" w:hanging="10"/>
        <w:jc w:val="both"/>
      </w:pPr>
      <w:r>
        <w:rPr>
          <w:rFonts w:ascii="Arial" w:eastAsia="Arial" w:hAnsi="Arial" w:cs="Arial"/>
          <w:i/>
          <w:sz w:val="18"/>
        </w:rPr>
        <w:t>dpr. 636/72 “Revisione della disciplina del contenzioso tributario”.</w:t>
      </w:r>
    </w:p>
    <w:p w14:paraId="58690E06" w14:textId="77777777" w:rsidR="00B32EF2" w:rsidRDefault="00000000">
      <w:pPr>
        <w:spacing w:after="0" w:line="261" w:lineRule="auto"/>
        <w:ind w:left="12" w:right="3" w:hanging="10"/>
        <w:jc w:val="center"/>
      </w:pPr>
      <w:r>
        <w:rPr>
          <w:rFonts w:ascii="Arial" w:eastAsia="Arial" w:hAnsi="Arial" w:cs="Arial"/>
          <w:b/>
          <w:sz w:val="18"/>
        </w:rPr>
        <w:t>Articolo 75</w:t>
      </w:r>
    </w:p>
    <w:p w14:paraId="514BDB1D" w14:textId="77777777" w:rsidR="00B32EF2" w:rsidRDefault="00000000">
      <w:pPr>
        <w:spacing w:after="5" w:line="250" w:lineRule="auto"/>
        <w:ind w:left="-14" w:firstLine="186"/>
        <w:jc w:val="both"/>
      </w:pPr>
      <w:r>
        <w:rPr>
          <w:rFonts w:ascii="Arial" w:eastAsia="Arial" w:hAnsi="Arial" w:cs="Arial"/>
          <w:b/>
          <w:sz w:val="18"/>
        </w:rPr>
        <w:t xml:space="preserve">Controversie pendenti davanti alla Commissione tributaria centrale </w:t>
      </w:r>
      <w:r>
        <w:rPr>
          <w:rFonts w:ascii="Arial" w:eastAsia="Arial" w:hAnsi="Arial" w:cs="Arial"/>
          <w:sz w:val="18"/>
        </w:rPr>
        <w:t xml:space="preserve">1. Alle controversie che alla data di cui all’articolo 72 pendono davanti alla </w:t>
      </w:r>
      <w:r>
        <w:rPr>
          <w:rFonts w:ascii="Arial" w:eastAsia="Arial" w:hAnsi="Arial" w:cs="Arial"/>
          <w:sz w:val="18"/>
        </w:rPr>
        <w:lastRenderedPageBreak/>
        <w:t xml:space="preserve">commissione tributaria    centrale    o    per   le quali pende il termine per l’impugnativa davanti   allo stesso organo, </w:t>
      </w:r>
      <w:proofErr w:type="spellStart"/>
      <w:r>
        <w:rPr>
          <w:rFonts w:ascii="Arial" w:eastAsia="Arial" w:hAnsi="Arial" w:cs="Arial"/>
          <w:sz w:val="18"/>
        </w:rPr>
        <w:t>nonchè</w:t>
      </w:r>
      <w:proofErr w:type="spellEnd"/>
      <w:r>
        <w:rPr>
          <w:rFonts w:ascii="Arial" w:eastAsia="Arial" w:hAnsi="Arial" w:cs="Arial"/>
          <w:sz w:val="18"/>
        </w:rPr>
        <w:t xml:space="preserve"> alle controversie pendenti dinanzi alle corti di giustizia tributaria di secondo grado per le quali, alla predetta data, è  stato depositato il solo dispositivo della decisione, continuano ad applicarsi  le disposizioni   contenute   nel   decreto del Presidente della Repubblica 26  ottobre 1972, n. 636, e successive modificazioni e integrazioni. 2. Relativamente   alle  controversie pendenti o per le quali pende il termine alla data   di  entrata in vigore del presente decreto legislativo, il  ricorrente e qualsiasi altra parte sono tenuti, entro sei mesi dalla predetta  data, a    proporre alla   segreteria della commissione tributaria centrale  apposita istanza   di trattazione contenente gli estremi della controversia e  del procedimento. L’istanza potrà essere sottoscritta dalla parte o dal suo  precedente difensore, se   nominato,   e  deve essere notificata o spedita o  consegnata alla   segreteria della  commissione tributaria centrale nei modi  previsti dall’articolo   20;  in difetto, il giudizio davanti alla commissione  tributaria centrale   si   estingue.</w:t>
      </w:r>
    </w:p>
    <w:p w14:paraId="6621C6B1" w14:textId="77777777" w:rsidR="00B32EF2" w:rsidRDefault="00000000">
      <w:pPr>
        <w:spacing w:after="5" w:line="250" w:lineRule="auto"/>
        <w:ind w:left="-4" w:hanging="10"/>
        <w:jc w:val="both"/>
      </w:pPr>
      <w:r>
        <w:rPr>
          <w:rFonts w:ascii="Arial" w:eastAsia="Arial" w:hAnsi="Arial" w:cs="Arial"/>
          <w:sz w:val="18"/>
        </w:rPr>
        <w:t>L’estinzione è dichiarata dal presidente  della sezione, dopo aver verificato che non sia stata depositata in segreteria  l’istanza di   trasmissione   del   fascicolo alla cancelleria della corte di  cassazione a seguito della richiesta di esame a norma del comma seguente.</w:t>
      </w:r>
    </w:p>
    <w:p w14:paraId="38D0685E" w14:textId="77777777" w:rsidR="00B32EF2" w:rsidRDefault="00000000">
      <w:pPr>
        <w:spacing w:after="5" w:line="250" w:lineRule="auto"/>
        <w:ind w:left="-4" w:hanging="10"/>
        <w:jc w:val="both"/>
      </w:pPr>
      <w:r>
        <w:rPr>
          <w:rFonts w:ascii="Arial" w:eastAsia="Arial" w:hAnsi="Arial" w:cs="Arial"/>
          <w:sz w:val="18"/>
        </w:rPr>
        <w:t xml:space="preserve"> Contro il  decreto del Presidente, di cui viene data comunicazione alle parti,  è ammesso   reclamo al collegio nei modi e nei termini previsti dall’articolo  28.</w:t>
      </w:r>
    </w:p>
    <w:p w14:paraId="2E409F7D" w14:textId="77777777" w:rsidR="00B32EF2" w:rsidRDefault="00000000">
      <w:pPr>
        <w:numPr>
          <w:ilvl w:val="0"/>
          <w:numId w:val="126"/>
        </w:numPr>
        <w:spacing w:after="5" w:line="250" w:lineRule="auto"/>
        <w:ind w:hanging="201"/>
        <w:jc w:val="both"/>
      </w:pPr>
      <w:r>
        <w:rPr>
          <w:rFonts w:ascii="Arial" w:eastAsia="Arial" w:hAnsi="Arial" w:cs="Arial"/>
          <w:sz w:val="18"/>
        </w:rPr>
        <w:t xml:space="preserve">Le parti che hanno proposto ricorso alla Commissione centrale, </w:t>
      </w:r>
      <w:proofErr w:type="spellStart"/>
      <w:r>
        <w:rPr>
          <w:rFonts w:ascii="Arial" w:eastAsia="Arial" w:hAnsi="Arial" w:cs="Arial"/>
          <w:sz w:val="18"/>
        </w:rPr>
        <w:t>anzichèpresentare</w:t>
      </w:r>
      <w:proofErr w:type="spellEnd"/>
      <w:r>
        <w:rPr>
          <w:rFonts w:ascii="Arial" w:eastAsia="Arial" w:hAnsi="Arial" w:cs="Arial"/>
          <w:sz w:val="18"/>
        </w:rPr>
        <w:t xml:space="preserve"> l’istanza di trattazione di cui al comma precedente, possono chiedere nello stesso termine l’esame da parte della Corte di cassazione ai sensi dell’art. 360 del codice di procedura civile convertendo il ricorso alla Commissione tributaria centrale in ricorso per cassazione contro la decisione impugnata, osservate per il resto tutte le norme del codice di procedura civile per il procedimento davanti alla Corte di cassazione.</w:t>
      </w:r>
    </w:p>
    <w:p w14:paraId="003340E0" w14:textId="77777777" w:rsidR="00B32EF2" w:rsidRDefault="00000000">
      <w:pPr>
        <w:numPr>
          <w:ilvl w:val="0"/>
          <w:numId w:val="126"/>
        </w:numPr>
        <w:spacing w:after="5" w:line="250" w:lineRule="auto"/>
        <w:ind w:hanging="201"/>
        <w:jc w:val="both"/>
      </w:pPr>
      <w:r>
        <w:rPr>
          <w:rFonts w:ascii="Arial" w:eastAsia="Arial" w:hAnsi="Arial" w:cs="Arial"/>
          <w:sz w:val="18"/>
        </w:rPr>
        <w:t xml:space="preserve">Se non è stato richiesto l’esame da parte della Corte di cassazione </w:t>
      </w:r>
      <w:proofErr w:type="spellStart"/>
      <w:r>
        <w:rPr>
          <w:rFonts w:ascii="Arial" w:eastAsia="Arial" w:hAnsi="Arial" w:cs="Arial"/>
          <w:sz w:val="18"/>
        </w:rPr>
        <w:t>el’istanza</w:t>
      </w:r>
      <w:proofErr w:type="spellEnd"/>
      <w:r>
        <w:rPr>
          <w:rFonts w:ascii="Arial" w:eastAsia="Arial" w:hAnsi="Arial" w:cs="Arial"/>
          <w:sz w:val="18"/>
        </w:rPr>
        <w:t xml:space="preserve"> di   trattazione è presentata nei termini, il procedimento prosegue davanti alla Commissione tributaria centrale, che provvede alla sua definizione mediante    deposito della decisione entro i termini di cui  all’articolo 42, comma 3, del decreto legislativo 31 dicembre 1992, n. 545  applicando le   disposizioni vigenti   anteriormente alla data di entrata in  vigore del presente decreto. Le stesse disposizioni si applicano per i ricorsi  presentati alla Commissione tributaria centrale successivamente alla data di  entrata in vigore del presente decreto.</w:t>
      </w:r>
    </w:p>
    <w:p w14:paraId="494C8945" w14:textId="77777777" w:rsidR="00B32EF2" w:rsidRDefault="00000000">
      <w:pPr>
        <w:numPr>
          <w:ilvl w:val="0"/>
          <w:numId w:val="126"/>
        </w:numPr>
        <w:spacing w:after="5" w:line="250" w:lineRule="auto"/>
        <w:ind w:hanging="201"/>
        <w:jc w:val="both"/>
      </w:pPr>
      <w:r>
        <w:rPr>
          <w:rFonts w:ascii="Arial" w:eastAsia="Arial" w:hAnsi="Arial" w:cs="Arial"/>
          <w:sz w:val="18"/>
        </w:rPr>
        <w:t>(soppresso)</w:t>
      </w:r>
    </w:p>
    <w:p w14:paraId="183B093E" w14:textId="77777777" w:rsidR="00B32EF2" w:rsidRDefault="00000000">
      <w:pPr>
        <w:numPr>
          <w:ilvl w:val="0"/>
          <w:numId w:val="126"/>
        </w:numPr>
        <w:spacing w:after="167" w:line="250" w:lineRule="auto"/>
        <w:ind w:hanging="201"/>
        <w:jc w:val="both"/>
      </w:pPr>
      <w:r>
        <w:rPr>
          <w:rFonts w:ascii="Arial" w:eastAsia="Arial" w:hAnsi="Arial" w:cs="Arial"/>
          <w:sz w:val="18"/>
        </w:rPr>
        <w:t xml:space="preserve">La segreteria della Commissione tributaria centrale continua a </w:t>
      </w:r>
      <w:proofErr w:type="spellStart"/>
      <w:r>
        <w:rPr>
          <w:rFonts w:ascii="Arial" w:eastAsia="Arial" w:hAnsi="Arial" w:cs="Arial"/>
          <w:sz w:val="18"/>
        </w:rPr>
        <w:t>funzionareanche</w:t>
      </w:r>
      <w:proofErr w:type="spellEnd"/>
      <w:r>
        <w:rPr>
          <w:rFonts w:ascii="Arial" w:eastAsia="Arial" w:hAnsi="Arial" w:cs="Arial"/>
          <w:sz w:val="18"/>
        </w:rPr>
        <w:t xml:space="preserve"> oltre il termine di cui al comma 4 per trasmettere i fascicoli dei processi alla cancelleria della Corte di cassazione o alle corti di giustizia tributaria di primo e secondo grado.</w:t>
      </w:r>
    </w:p>
    <w:p w14:paraId="2BDE43FA" w14:textId="77777777" w:rsidR="00B32EF2" w:rsidRDefault="00000000">
      <w:pPr>
        <w:pStyle w:val="Titolo3"/>
        <w:ind w:left="129" w:right="120"/>
      </w:pPr>
      <w:r>
        <w:lastRenderedPageBreak/>
        <w:t>NORME RICHIAMATE</w:t>
      </w:r>
    </w:p>
    <w:p w14:paraId="08E286FF"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dpr. 636/72 “Revisione della disciplina del contenzioso tributario”.</w:t>
      </w:r>
    </w:p>
    <w:p w14:paraId="75618873"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art. 360 c.p.c. “Sentenze impugnabili e motivi di ricorso”</w:t>
      </w:r>
    </w:p>
    <w:p w14:paraId="39BC9D3D"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481" w:line="251" w:lineRule="auto"/>
        <w:ind w:left="129" w:right="120" w:hanging="10"/>
        <w:jc w:val="both"/>
      </w:pPr>
      <w:r>
        <w:rPr>
          <w:rFonts w:ascii="Arial" w:eastAsia="Arial" w:hAnsi="Arial" w:cs="Arial"/>
          <w:i/>
          <w:sz w:val="18"/>
        </w:rPr>
        <w:t xml:space="preserve">art. 42 </w:t>
      </w:r>
      <w:proofErr w:type="spellStart"/>
      <w:r>
        <w:rPr>
          <w:rFonts w:ascii="Arial" w:eastAsia="Arial" w:hAnsi="Arial" w:cs="Arial"/>
          <w:i/>
          <w:sz w:val="18"/>
        </w:rPr>
        <w:t>D.Lgs.</w:t>
      </w:r>
      <w:proofErr w:type="spellEnd"/>
      <w:r>
        <w:rPr>
          <w:rFonts w:ascii="Arial" w:eastAsia="Arial" w:hAnsi="Arial" w:cs="Arial"/>
          <w:i/>
          <w:sz w:val="18"/>
        </w:rPr>
        <w:t xml:space="preserve"> 545/92 “Insediamento delle corti di giustizia tributaria di primo e secondo grado”</w:t>
      </w:r>
    </w:p>
    <w:p w14:paraId="13E8F193" w14:textId="77777777" w:rsidR="00B32EF2" w:rsidRDefault="00000000">
      <w:pPr>
        <w:spacing w:after="0" w:line="261" w:lineRule="auto"/>
        <w:ind w:left="12" w:right="3" w:hanging="10"/>
        <w:jc w:val="center"/>
      </w:pPr>
      <w:r>
        <w:rPr>
          <w:rFonts w:ascii="Arial" w:eastAsia="Arial" w:hAnsi="Arial" w:cs="Arial"/>
          <w:b/>
          <w:sz w:val="18"/>
        </w:rPr>
        <w:t>Articolo 76</w:t>
      </w:r>
    </w:p>
    <w:p w14:paraId="6A8841A8" w14:textId="77777777" w:rsidR="00B32EF2" w:rsidRDefault="00000000">
      <w:pPr>
        <w:spacing w:after="0" w:line="261" w:lineRule="auto"/>
        <w:ind w:left="12" w:right="3" w:hanging="10"/>
        <w:jc w:val="center"/>
      </w:pPr>
      <w:r>
        <w:rPr>
          <w:rFonts w:ascii="Arial" w:eastAsia="Arial" w:hAnsi="Arial" w:cs="Arial"/>
          <w:b/>
          <w:sz w:val="18"/>
        </w:rPr>
        <w:t>Controversie in sede di rinvio</w:t>
      </w:r>
    </w:p>
    <w:p w14:paraId="084BBF26" w14:textId="77777777" w:rsidR="00B32EF2" w:rsidRDefault="00000000">
      <w:pPr>
        <w:numPr>
          <w:ilvl w:val="0"/>
          <w:numId w:val="127"/>
        </w:numPr>
        <w:spacing w:after="5" w:line="250" w:lineRule="auto"/>
        <w:ind w:hanging="10"/>
        <w:jc w:val="both"/>
      </w:pPr>
      <w:r>
        <w:rPr>
          <w:rFonts w:ascii="Arial" w:eastAsia="Arial" w:hAnsi="Arial" w:cs="Arial"/>
          <w:sz w:val="18"/>
        </w:rPr>
        <w:t xml:space="preserve">Se alla data prevista dall’art. 72, a seguito di  sentenza   della  </w:t>
      </w:r>
      <w:proofErr w:type="spellStart"/>
      <w:r>
        <w:rPr>
          <w:rFonts w:ascii="Arial" w:eastAsia="Arial" w:hAnsi="Arial" w:cs="Arial"/>
          <w:sz w:val="18"/>
        </w:rPr>
        <w:t>Cortedi</w:t>
      </w:r>
      <w:proofErr w:type="spellEnd"/>
      <w:r>
        <w:rPr>
          <w:rFonts w:ascii="Arial" w:eastAsia="Arial" w:hAnsi="Arial" w:cs="Arial"/>
          <w:sz w:val="18"/>
        </w:rPr>
        <w:t xml:space="preserve">  cassazione   o   di  corte  d’appello  o  a  seguito  di  decisione  della Commissione  tributaria  centrale  pendono  i  termini  per   la  riassunzione del  procedimento  di  rinvio  davanti alle corti di giustizia tributaria di primo e secondo grado,  detti   termini   decorrono   da  tale    data    e    la  riassunzione va  fatta  davanti  alla corte di giustizia tributaria di primo grado  o corte di giustizia tributaria di secondo grado competente.    </w:t>
      </w:r>
    </w:p>
    <w:p w14:paraId="5CF0C49C" w14:textId="2E835893" w:rsidR="00B32EF2" w:rsidRDefault="00000000">
      <w:pPr>
        <w:numPr>
          <w:ilvl w:val="0"/>
          <w:numId w:val="127"/>
        </w:numPr>
        <w:spacing w:after="5" w:line="250" w:lineRule="auto"/>
        <w:ind w:hanging="10"/>
        <w:jc w:val="both"/>
      </w:pPr>
      <w:r>
        <w:rPr>
          <w:rFonts w:ascii="Arial" w:eastAsia="Arial" w:hAnsi="Arial" w:cs="Arial"/>
          <w:sz w:val="18"/>
        </w:rPr>
        <w:t>Il termine per la riassunzione davanti alla corte d’appello non subisce</w:t>
      </w:r>
      <w:r w:rsidR="00C765E9">
        <w:rPr>
          <w:rFonts w:ascii="Arial" w:eastAsia="Arial" w:hAnsi="Arial" w:cs="Arial"/>
          <w:sz w:val="18"/>
        </w:rPr>
        <w:t xml:space="preserve"> </w:t>
      </w:r>
      <w:r>
        <w:rPr>
          <w:rFonts w:ascii="Arial" w:eastAsia="Arial" w:hAnsi="Arial" w:cs="Arial"/>
          <w:sz w:val="18"/>
        </w:rPr>
        <w:t>modifiche.</w:t>
      </w:r>
    </w:p>
    <w:p w14:paraId="1BB36A2B" w14:textId="7FE9BD11" w:rsidR="00B32EF2" w:rsidRDefault="00000000">
      <w:pPr>
        <w:numPr>
          <w:ilvl w:val="0"/>
          <w:numId w:val="127"/>
        </w:numPr>
        <w:spacing w:after="5" w:line="250" w:lineRule="auto"/>
        <w:ind w:hanging="10"/>
        <w:jc w:val="both"/>
      </w:pPr>
      <w:r>
        <w:rPr>
          <w:rFonts w:ascii="Arial" w:eastAsia="Arial" w:hAnsi="Arial" w:cs="Arial"/>
          <w:sz w:val="18"/>
        </w:rPr>
        <w:t>Se alla data prevista all’art. 72, a seguito di rinvio disposto dalla Corte di</w:t>
      </w:r>
      <w:r w:rsidR="00C765E9">
        <w:rPr>
          <w:rFonts w:ascii="Arial" w:eastAsia="Arial" w:hAnsi="Arial" w:cs="Arial"/>
          <w:sz w:val="18"/>
        </w:rPr>
        <w:t xml:space="preserve"> </w:t>
      </w:r>
      <w:r>
        <w:rPr>
          <w:rFonts w:ascii="Arial" w:eastAsia="Arial" w:hAnsi="Arial" w:cs="Arial"/>
          <w:sz w:val="18"/>
        </w:rPr>
        <w:t>cassazione, pende il termine per la riassunzione davanti alla Commissione tributaria centrale, detto termine decorre da tale data e la riassunzione va fatta davanti alla corte di giustizia tributaria di secondo grado competente.</w:t>
      </w:r>
    </w:p>
    <w:p w14:paraId="4CFCB0C3" w14:textId="450721D2" w:rsidR="00B32EF2" w:rsidRDefault="00000000">
      <w:pPr>
        <w:numPr>
          <w:ilvl w:val="0"/>
          <w:numId w:val="127"/>
        </w:numPr>
        <w:spacing w:after="217" w:line="250" w:lineRule="auto"/>
        <w:ind w:hanging="10"/>
        <w:jc w:val="both"/>
      </w:pPr>
      <w:r>
        <w:rPr>
          <w:rFonts w:ascii="Arial" w:eastAsia="Arial" w:hAnsi="Arial" w:cs="Arial"/>
          <w:sz w:val="18"/>
        </w:rPr>
        <w:t>Se la riassunzione non avviene nei termini, o si avvera successivamente ad</w:t>
      </w:r>
      <w:r w:rsidR="00C765E9">
        <w:rPr>
          <w:rFonts w:ascii="Arial" w:eastAsia="Arial" w:hAnsi="Arial" w:cs="Arial"/>
          <w:sz w:val="18"/>
        </w:rPr>
        <w:t xml:space="preserve"> </w:t>
      </w:r>
      <w:r>
        <w:rPr>
          <w:rFonts w:ascii="Arial" w:eastAsia="Arial" w:hAnsi="Arial" w:cs="Arial"/>
          <w:sz w:val="18"/>
        </w:rPr>
        <w:t>essa una causa di estinzione del giudizio di rinvio, l’intero processo si estingue. 5. Se alla data indicata nei commi precedenti pendono i giudizi di rinvio davanti alla corte di giustizia tributaria di primo o secondo grado si applicano le disposizioni di cui all’articolo 72, comma 4.</w:t>
      </w:r>
    </w:p>
    <w:p w14:paraId="15160B13" w14:textId="77777777" w:rsidR="00B32EF2" w:rsidRDefault="00000000">
      <w:pPr>
        <w:spacing w:after="0" w:line="261" w:lineRule="auto"/>
        <w:ind w:left="12" w:right="3" w:hanging="10"/>
        <w:jc w:val="center"/>
      </w:pPr>
      <w:r>
        <w:rPr>
          <w:rFonts w:ascii="Arial" w:eastAsia="Arial" w:hAnsi="Arial" w:cs="Arial"/>
          <w:b/>
          <w:sz w:val="18"/>
        </w:rPr>
        <w:t>Articolo 77</w:t>
      </w:r>
    </w:p>
    <w:p w14:paraId="09B39067" w14:textId="77777777" w:rsidR="00B32EF2" w:rsidRDefault="00000000">
      <w:pPr>
        <w:spacing w:after="0" w:line="261" w:lineRule="auto"/>
        <w:ind w:left="12" w:right="2" w:hanging="10"/>
        <w:jc w:val="center"/>
      </w:pPr>
      <w:r>
        <w:rPr>
          <w:rFonts w:ascii="Arial" w:eastAsia="Arial" w:hAnsi="Arial" w:cs="Arial"/>
          <w:b/>
          <w:sz w:val="18"/>
        </w:rPr>
        <w:t>Procedimento contenzioso amministrativo davanti all’intendenza di finanza o al Ministero delle finanze</w:t>
      </w:r>
    </w:p>
    <w:p w14:paraId="48B7713F" w14:textId="77777777" w:rsidR="00B32EF2" w:rsidRDefault="00000000">
      <w:pPr>
        <w:spacing w:after="217" w:line="250" w:lineRule="auto"/>
        <w:ind w:left="-4" w:hanging="10"/>
        <w:jc w:val="both"/>
      </w:pPr>
      <w:r>
        <w:rPr>
          <w:rFonts w:ascii="Arial" w:eastAsia="Arial" w:hAnsi="Arial" w:cs="Arial"/>
          <w:sz w:val="18"/>
        </w:rPr>
        <w:t>1. Le controversie relative ai tributi comunali e locali indicati nell’art. 2, lettera h), per le quali era previsto il ricorso all’intendente di finanza o al Ministro delle finanze, se non ancora definite alla data di insediamento delle nuove commissioni, continuano ad essere decise in sede amministrativa dai suddetti organi secondo le relative disposizioni, ancorché abrogate ai sensi dell’art. 71.</w:t>
      </w:r>
    </w:p>
    <w:p w14:paraId="40804FB5" w14:textId="77777777" w:rsidR="00B32EF2" w:rsidRDefault="00000000">
      <w:pPr>
        <w:spacing w:after="0" w:line="261" w:lineRule="auto"/>
        <w:ind w:left="12" w:right="3" w:hanging="10"/>
        <w:jc w:val="center"/>
      </w:pPr>
      <w:r>
        <w:rPr>
          <w:rFonts w:ascii="Arial" w:eastAsia="Arial" w:hAnsi="Arial" w:cs="Arial"/>
          <w:b/>
          <w:sz w:val="18"/>
        </w:rPr>
        <w:t>Articolo 78</w:t>
      </w:r>
    </w:p>
    <w:p w14:paraId="157EBA15" w14:textId="77777777" w:rsidR="00B32EF2" w:rsidRDefault="00000000">
      <w:pPr>
        <w:spacing w:after="0" w:line="261" w:lineRule="auto"/>
        <w:ind w:left="12" w:hanging="10"/>
        <w:jc w:val="center"/>
      </w:pPr>
      <w:r>
        <w:rPr>
          <w:rFonts w:ascii="Arial" w:eastAsia="Arial" w:hAnsi="Arial" w:cs="Arial"/>
          <w:b/>
          <w:sz w:val="18"/>
        </w:rPr>
        <w:t>Controversie già di competenza delle commissioni comunali per i tributi locali</w:t>
      </w:r>
    </w:p>
    <w:p w14:paraId="39B57D9D" w14:textId="73235BBD" w:rsidR="00B32EF2" w:rsidRDefault="00000000">
      <w:pPr>
        <w:numPr>
          <w:ilvl w:val="0"/>
          <w:numId w:val="128"/>
        </w:numPr>
        <w:spacing w:after="5" w:line="250" w:lineRule="auto"/>
        <w:ind w:hanging="10"/>
        <w:jc w:val="both"/>
      </w:pPr>
      <w:r>
        <w:rPr>
          <w:rFonts w:ascii="Arial" w:eastAsia="Arial" w:hAnsi="Arial" w:cs="Arial"/>
          <w:sz w:val="18"/>
        </w:rPr>
        <w:t>Le   controversie   già   di   competenza   in   primo   grado   delle  commissioni</w:t>
      </w:r>
      <w:r w:rsidR="00C765E9">
        <w:rPr>
          <w:rFonts w:ascii="Arial" w:eastAsia="Arial" w:hAnsi="Arial" w:cs="Arial"/>
          <w:sz w:val="18"/>
        </w:rPr>
        <w:t xml:space="preserve"> </w:t>
      </w:r>
      <w:r>
        <w:rPr>
          <w:rFonts w:ascii="Arial" w:eastAsia="Arial" w:hAnsi="Arial" w:cs="Arial"/>
          <w:sz w:val="18"/>
        </w:rPr>
        <w:t xml:space="preserve">comunali    per    i    tributi    locali,    se   alla    data  d’insediamento  </w:t>
      </w:r>
      <w:r>
        <w:rPr>
          <w:rFonts w:ascii="Arial" w:eastAsia="Arial" w:hAnsi="Arial" w:cs="Arial"/>
          <w:sz w:val="18"/>
        </w:rPr>
        <w:lastRenderedPageBreak/>
        <w:t>delle  nuove commissioni   pendono   davanti    all’autorità  giudiziaria ordinaria, i relativi giudizi proseguono in questa sede.</w:t>
      </w:r>
    </w:p>
    <w:p w14:paraId="02A0BC8A" w14:textId="77777777" w:rsidR="00B32EF2" w:rsidRDefault="00000000">
      <w:pPr>
        <w:numPr>
          <w:ilvl w:val="0"/>
          <w:numId w:val="128"/>
        </w:numPr>
        <w:spacing w:after="5" w:line="250" w:lineRule="auto"/>
        <w:ind w:hanging="10"/>
        <w:jc w:val="both"/>
      </w:pPr>
      <w:r>
        <w:rPr>
          <w:rFonts w:ascii="Arial" w:eastAsia="Arial" w:hAnsi="Arial" w:cs="Arial"/>
          <w:sz w:val="18"/>
        </w:rPr>
        <w:t xml:space="preserve">Le controversie di cui al comma 1, che alla data indicata non pendono </w:t>
      </w:r>
      <w:proofErr w:type="spellStart"/>
      <w:r>
        <w:rPr>
          <w:rFonts w:ascii="Arial" w:eastAsia="Arial" w:hAnsi="Arial" w:cs="Arial"/>
          <w:sz w:val="18"/>
        </w:rPr>
        <w:t>davantiall’autorità</w:t>
      </w:r>
      <w:proofErr w:type="spellEnd"/>
      <w:r>
        <w:rPr>
          <w:rFonts w:ascii="Arial" w:eastAsia="Arial" w:hAnsi="Arial" w:cs="Arial"/>
          <w:sz w:val="18"/>
        </w:rPr>
        <w:t xml:space="preserve"> giudiziaria ordinaria e non sono già state definite, qualunque sia il grado in cui si trovavano al momento della sentenza della Corte costituzionale 27 luglio 1989, n. 451(1), debbono essere riattivate da parte degli enti impositori interessati mediante trasmissione dei relativi atti e documenti alla corte di giustizia tributaria di primo grado competente entro il termine di mesi sei dalla data anzidetta; altrimenti ogni pretesa dell’ente impositore s’intende definitivamente abbandonata.</w:t>
      </w:r>
    </w:p>
    <w:p w14:paraId="6B6DBF11" w14:textId="77777777" w:rsidR="00B32EF2" w:rsidRDefault="00000000">
      <w:pPr>
        <w:spacing w:after="142" w:line="279" w:lineRule="auto"/>
        <w:ind w:left="-4" w:right="-13" w:hanging="10"/>
        <w:jc w:val="both"/>
      </w:pPr>
      <w:r>
        <w:rPr>
          <w:rFonts w:ascii="Arial" w:eastAsia="Arial" w:hAnsi="Arial" w:cs="Arial"/>
          <w:sz w:val="15"/>
        </w:rPr>
        <w:t xml:space="preserve">(1) Sent. Corte Cost. 451/89 : illegittimità costituzionale dell’art. 283 </w:t>
      </w:r>
      <w:proofErr w:type="spellStart"/>
      <w:r>
        <w:rPr>
          <w:rFonts w:ascii="Arial" w:eastAsia="Arial" w:hAnsi="Arial" w:cs="Arial"/>
          <w:sz w:val="15"/>
        </w:rPr>
        <w:t>r.d.</w:t>
      </w:r>
      <w:proofErr w:type="spellEnd"/>
      <w:r>
        <w:rPr>
          <w:rFonts w:ascii="Arial" w:eastAsia="Arial" w:hAnsi="Arial" w:cs="Arial"/>
          <w:sz w:val="15"/>
        </w:rPr>
        <w:t xml:space="preserve"> 14 settembre 1931 n. 1175 (Composizione della giunta provinciale amministrativa - sezione speciale per i tributi locali), come modificato dall’art. 14 d. lgs 26 marzo 1948, n. 261</w:t>
      </w:r>
    </w:p>
    <w:tbl>
      <w:tblPr>
        <w:tblStyle w:val="TableGrid"/>
        <w:tblW w:w="6236" w:type="dxa"/>
        <w:tblInd w:w="-9" w:type="dxa"/>
        <w:tblCellMar>
          <w:top w:w="123" w:type="dxa"/>
          <w:left w:w="123" w:type="dxa"/>
          <w:bottom w:w="0" w:type="dxa"/>
          <w:right w:w="124" w:type="dxa"/>
        </w:tblCellMar>
        <w:tblLook w:val="04A0" w:firstRow="1" w:lastRow="0" w:firstColumn="1" w:lastColumn="0" w:noHBand="0" w:noVBand="1"/>
      </w:tblPr>
      <w:tblGrid>
        <w:gridCol w:w="6236"/>
      </w:tblGrid>
      <w:tr w:rsidR="00B32EF2" w14:paraId="44B536F4" w14:textId="77777777">
        <w:trPr>
          <w:trHeight w:val="3631"/>
        </w:trPr>
        <w:tc>
          <w:tcPr>
            <w:tcW w:w="6236" w:type="dxa"/>
            <w:tcBorders>
              <w:top w:val="single" w:sz="8" w:space="0" w:color="000000"/>
              <w:left w:val="single" w:sz="8" w:space="0" w:color="000000"/>
              <w:bottom w:val="single" w:sz="8" w:space="0" w:color="000000"/>
              <w:right w:val="single" w:sz="8" w:space="0" w:color="000000"/>
            </w:tcBorders>
          </w:tcPr>
          <w:p w14:paraId="6C47CD36" w14:textId="77777777" w:rsidR="00B32EF2" w:rsidRDefault="00000000">
            <w:pPr>
              <w:spacing w:after="0" w:line="250" w:lineRule="auto"/>
              <w:ind w:left="2517" w:hanging="2204"/>
            </w:pPr>
            <w:r>
              <w:rPr>
                <w:rFonts w:ascii="Arial" w:eastAsia="Arial" w:hAnsi="Arial" w:cs="Arial"/>
                <w:b/>
                <w:sz w:val="18"/>
              </w:rPr>
              <w:t>Per i  giudizi instaurati  con ricorso notificato fino all'1.9.24 Articolo 79</w:t>
            </w:r>
          </w:p>
          <w:p w14:paraId="19987FE3" w14:textId="77777777" w:rsidR="00B32EF2" w:rsidRDefault="00000000">
            <w:pPr>
              <w:spacing w:after="0"/>
              <w:jc w:val="center"/>
            </w:pPr>
            <w:r>
              <w:rPr>
                <w:rFonts w:ascii="Arial" w:eastAsia="Arial" w:hAnsi="Arial" w:cs="Arial"/>
                <w:b/>
                <w:sz w:val="18"/>
              </w:rPr>
              <w:t xml:space="preserve">Norme transitorie e finali </w:t>
            </w:r>
          </w:p>
          <w:p w14:paraId="0A6EF744" w14:textId="77777777" w:rsidR="00B32EF2" w:rsidRDefault="00000000">
            <w:pPr>
              <w:spacing w:after="0"/>
              <w:jc w:val="center"/>
            </w:pPr>
            <w:r>
              <w:rPr>
                <w:rFonts w:ascii="Arial" w:eastAsia="Arial" w:hAnsi="Arial" w:cs="Arial"/>
                <w:i/>
                <w:sz w:val="18"/>
              </w:rPr>
              <w:t>(articolo 129 TUGT)</w:t>
            </w:r>
          </w:p>
          <w:p w14:paraId="5E10B056" w14:textId="77777777" w:rsidR="00B32EF2" w:rsidRDefault="00000000">
            <w:pPr>
              <w:numPr>
                <w:ilvl w:val="0"/>
                <w:numId w:val="220"/>
              </w:numPr>
              <w:spacing w:after="0" w:line="250" w:lineRule="auto"/>
              <w:jc w:val="both"/>
            </w:pPr>
            <w:r>
              <w:rPr>
                <w:rFonts w:ascii="Arial" w:eastAsia="Arial" w:hAnsi="Arial" w:cs="Arial"/>
                <w:sz w:val="18"/>
              </w:rPr>
              <w:t xml:space="preserve">Le disposizioni di cui agli articoli 57, comma 2, e 58, comma 1, non </w:t>
            </w:r>
            <w:proofErr w:type="spellStart"/>
            <w:r>
              <w:rPr>
                <w:rFonts w:ascii="Arial" w:eastAsia="Arial" w:hAnsi="Arial" w:cs="Arial"/>
                <w:sz w:val="18"/>
              </w:rPr>
              <w:t>siapplicano</w:t>
            </w:r>
            <w:proofErr w:type="spellEnd"/>
            <w:r>
              <w:rPr>
                <w:rFonts w:ascii="Arial" w:eastAsia="Arial" w:hAnsi="Arial" w:cs="Arial"/>
                <w:sz w:val="18"/>
              </w:rPr>
              <w:t xml:space="preserve"> ai giudizi già pendenti in grado d’appello davanti alla corte di giustizia tributaria di secondo grado e a quelli iniziati davanti alla corte di giustizia tributaria di secondo grado se il primo grado si è svolto sotto la disciplina della legge anteriore.</w:t>
            </w:r>
          </w:p>
          <w:p w14:paraId="4149BBC4" w14:textId="77777777" w:rsidR="00B32EF2" w:rsidRDefault="00000000">
            <w:pPr>
              <w:numPr>
                <w:ilvl w:val="0"/>
                <w:numId w:val="220"/>
              </w:numPr>
              <w:spacing w:after="0"/>
              <w:jc w:val="both"/>
            </w:pPr>
            <w:r>
              <w:rPr>
                <w:rFonts w:ascii="Arial" w:eastAsia="Arial" w:hAnsi="Arial" w:cs="Arial"/>
                <w:sz w:val="18"/>
              </w:rPr>
              <w:t xml:space="preserve">Nei giudizi davanti alla corte di giustizia tributaria di primo o secondo </w:t>
            </w:r>
            <w:proofErr w:type="spellStart"/>
            <w:r>
              <w:rPr>
                <w:rFonts w:ascii="Arial" w:eastAsia="Arial" w:hAnsi="Arial" w:cs="Arial"/>
                <w:sz w:val="18"/>
              </w:rPr>
              <w:t>gradoriguardanti</w:t>
            </w:r>
            <w:proofErr w:type="spellEnd"/>
            <w:r>
              <w:rPr>
                <w:rFonts w:ascii="Arial" w:eastAsia="Arial" w:hAnsi="Arial" w:cs="Arial"/>
                <w:sz w:val="18"/>
              </w:rPr>
              <w:t xml:space="preserve"> controversie già pendenti davanti ad altri organi giurisdizionali o amministrativi la regolarizzazione della costituzione delle parti secondo le nuove norme sulla assistenza tecnica è disposta, ove necessario, secondo le modalità e nel termine perentorio fissato dal presidente della sezione o dal collegio rispettivamente con decreto o con ordinanza da comunicare alle parti a cura della segreteria.</w:t>
            </w:r>
          </w:p>
        </w:tc>
      </w:tr>
    </w:tbl>
    <w:p w14:paraId="770A05EE" w14:textId="77777777" w:rsidR="00B32EF2" w:rsidRDefault="00000000">
      <w:pPr>
        <w:spacing w:after="4" w:line="269" w:lineRule="auto"/>
        <w:ind w:left="10" w:right="1" w:hanging="10"/>
        <w:jc w:val="center"/>
      </w:pPr>
      <w:r>
        <w:rPr>
          <w:rFonts w:ascii="Arial" w:eastAsia="Arial" w:hAnsi="Arial" w:cs="Arial"/>
          <w:b/>
          <w:sz w:val="18"/>
        </w:rPr>
        <w:t>Articolo 79</w:t>
      </w:r>
    </w:p>
    <w:p w14:paraId="56926CC0" w14:textId="77777777" w:rsidR="00B32EF2" w:rsidRDefault="00000000">
      <w:pPr>
        <w:spacing w:after="4" w:line="269" w:lineRule="auto"/>
        <w:ind w:left="10" w:right="1" w:hanging="10"/>
        <w:jc w:val="center"/>
      </w:pPr>
      <w:r>
        <w:rPr>
          <w:rFonts w:ascii="Arial" w:eastAsia="Arial" w:hAnsi="Arial" w:cs="Arial"/>
          <w:b/>
          <w:sz w:val="18"/>
        </w:rPr>
        <w:t>Norme transitorie e finali</w:t>
      </w:r>
    </w:p>
    <w:p w14:paraId="4A62F42A" w14:textId="77777777" w:rsidR="00B32EF2" w:rsidRDefault="00000000">
      <w:pPr>
        <w:numPr>
          <w:ilvl w:val="0"/>
          <w:numId w:val="129"/>
        </w:numPr>
        <w:spacing w:after="5" w:line="250" w:lineRule="auto"/>
        <w:ind w:hanging="10"/>
        <w:jc w:val="both"/>
      </w:pPr>
      <w:r>
        <w:rPr>
          <w:rFonts w:ascii="Arial" w:eastAsia="Arial" w:hAnsi="Arial" w:cs="Arial"/>
          <w:sz w:val="18"/>
        </w:rPr>
        <w:t xml:space="preserve">Le disposizioni di cui agli articoli 57, comma 2, e 58, comma 1, non </w:t>
      </w:r>
      <w:proofErr w:type="spellStart"/>
      <w:r>
        <w:rPr>
          <w:rFonts w:ascii="Arial" w:eastAsia="Arial" w:hAnsi="Arial" w:cs="Arial"/>
          <w:sz w:val="18"/>
        </w:rPr>
        <w:t>siapplicano</w:t>
      </w:r>
      <w:proofErr w:type="spellEnd"/>
      <w:r>
        <w:rPr>
          <w:rFonts w:ascii="Arial" w:eastAsia="Arial" w:hAnsi="Arial" w:cs="Arial"/>
          <w:sz w:val="18"/>
        </w:rPr>
        <w:t xml:space="preserve"> ai giudizi già pendenti in grado d’appello davanti alla corte di giustizia tributaria di secondo grado e a quelli iniziati davanti alla corte di giustizia tributaria di secondo grado se il primo grado si è svolto sotto la disciplina della legge anteriore.</w:t>
      </w:r>
    </w:p>
    <w:p w14:paraId="513DD71C" w14:textId="77777777" w:rsidR="00B32EF2" w:rsidRDefault="00000000">
      <w:pPr>
        <w:numPr>
          <w:ilvl w:val="0"/>
          <w:numId w:val="129"/>
        </w:numPr>
        <w:spacing w:after="5" w:line="250" w:lineRule="auto"/>
        <w:ind w:hanging="10"/>
        <w:jc w:val="both"/>
      </w:pPr>
      <w:r>
        <w:rPr>
          <w:rFonts w:ascii="Arial" w:eastAsia="Arial" w:hAnsi="Arial" w:cs="Arial"/>
          <w:sz w:val="18"/>
        </w:rPr>
        <w:t xml:space="preserve">Nei giudizi davanti alla corte di giustizia tributaria di primo e secondo </w:t>
      </w:r>
      <w:proofErr w:type="spellStart"/>
      <w:r>
        <w:rPr>
          <w:rFonts w:ascii="Arial" w:eastAsia="Arial" w:hAnsi="Arial" w:cs="Arial"/>
          <w:sz w:val="18"/>
        </w:rPr>
        <w:t>gradoriguardanti</w:t>
      </w:r>
      <w:proofErr w:type="spellEnd"/>
      <w:r>
        <w:rPr>
          <w:rFonts w:ascii="Arial" w:eastAsia="Arial" w:hAnsi="Arial" w:cs="Arial"/>
          <w:sz w:val="18"/>
        </w:rPr>
        <w:t xml:space="preserve"> controversie già pendenti davanti ad altri organi giurisdizionali o amministrativi la regolarizzazione della costituzione delle parti secondo le nuove norme sulla assistenza tecnica è disposta, ove necessario, secondo le modalità e nel termine perentorio fissato dal presidente della sezione o dal </w:t>
      </w:r>
      <w:r>
        <w:rPr>
          <w:rFonts w:ascii="Arial" w:eastAsia="Arial" w:hAnsi="Arial" w:cs="Arial"/>
          <w:sz w:val="18"/>
        </w:rPr>
        <w:lastRenderedPageBreak/>
        <w:t>collegio rispettivamente con decreto o con ordinanza da comunicare alle parti a cura della segreteria.</w:t>
      </w:r>
    </w:p>
    <w:p w14:paraId="4C721D92" w14:textId="77777777" w:rsidR="00B32EF2" w:rsidRDefault="00000000">
      <w:pPr>
        <w:spacing w:after="5" w:line="250" w:lineRule="auto"/>
        <w:ind w:left="-4" w:hanging="10"/>
        <w:jc w:val="both"/>
      </w:pPr>
      <w:r>
        <w:rPr>
          <w:rFonts w:ascii="Arial" w:eastAsia="Arial" w:hAnsi="Arial" w:cs="Arial"/>
          <w:sz w:val="18"/>
        </w:rPr>
        <w:t xml:space="preserve">2-bis. Con decreto del Ministro dell’economia e delle finanze, sentito il Consiglio di presidenza della giustizia tributaria e i consigli nazionali dei professionisti abilitati alla difesa davanti alle corti di giustizia tributaria, sono emanate le norme tecniche per il processo tributario telematico, </w:t>
      </w:r>
      <w:proofErr w:type="spellStart"/>
      <w:r>
        <w:rPr>
          <w:rFonts w:ascii="Arial" w:eastAsia="Arial" w:hAnsi="Arial" w:cs="Arial"/>
          <w:sz w:val="18"/>
        </w:rPr>
        <w:t>nonchè</w:t>
      </w:r>
      <w:proofErr w:type="spellEnd"/>
      <w:r>
        <w:rPr>
          <w:rFonts w:ascii="Arial" w:eastAsia="Arial" w:hAnsi="Arial" w:cs="Arial"/>
          <w:sz w:val="18"/>
        </w:rPr>
        <w:t xml:space="preserve"> approvati i modelli per la redazione degli atti processuali e per le deposizioni testimoniali, dei verbali e dei provvedimenti giurisdizionali. Il decreto indica altresì tutte le disposizioni tecnico-operative, anche di fonte regolamentare, adottate anteriormente alla data della sua adozione e che dalla medesima data restano abrogate.</w:t>
      </w:r>
    </w:p>
    <w:p w14:paraId="50E5400E" w14:textId="77777777" w:rsidR="00B32EF2" w:rsidRDefault="00000000">
      <w:pPr>
        <w:spacing w:after="5" w:line="250" w:lineRule="auto"/>
        <w:ind w:left="-4" w:hanging="10"/>
        <w:jc w:val="both"/>
      </w:pPr>
      <w:r>
        <w:rPr>
          <w:rFonts w:ascii="Arial" w:eastAsia="Arial" w:hAnsi="Arial" w:cs="Arial"/>
          <w:sz w:val="18"/>
        </w:rPr>
        <w:t>2-ter. Con il decreto di cui al comma 2-bis sono altresì stabilite, nei limiti delle risorse umane, strumentali e finanziarie disponibili a legislazione vigente, le regole tecnico-operative per lo svolgimento da remoto delle udienze e camere di consiglio.</w:t>
      </w:r>
    </w:p>
    <w:p w14:paraId="05D74702" w14:textId="77777777" w:rsidR="00B32EF2" w:rsidRDefault="00000000">
      <w:pPr>
        <w:spacing w:after="217" w:line="250" w:lineRule="auto"/>
        <w:ind w:left="-4" w:hanging="10"/>
        <w:jc w:val="both"/>
      </w:pPr>
      <w:r>
        <w:rPr>
          <w:rFonts w:ascii="Arial" w:eastAsia="Arial" w:hAnsi="Arial" w:cs="Arial"/>
          <w:sz w:val="18"/>
        </w:rPr>
        <w:t>2-quater. Nei casi eccezionali previsti dalle norme tecniche per il processo tributario telematico, e, fino al momento della loro individuazione, previa autorizzazione espressa del Presidente della corte di giustizia tributaria di primo o di secondo grado ovvero, in corso di causa, del relativo Presidente di sezione, il deposito delle notifiche, degli atti processuali, dei documenti, e dei provvedimenti giurisdizionali e le relative comunicazioni possono essere effettuate con modalità cartacea.</w:t>
      </w:r>
    </w:p>
    <w:p w14:paraId="2ECBDD1D" w14:textId="77777777" w:rsidR="00B32EF2" w:rsidRDefault="00000000">
      <w:pPr>
        <w:spacing w:after="0" w:line="261" w:lineRule="auto"/>
        <w:ind w:left="12" w:right="3" w:hanging="10"/>
        <w:jc w:val="center"/>
      </w:pPr>
      <w:r>
        <w:rPr>
          <w:rFonts w:ascii="Arial" w:eastAsia="Arial" w:hAnsi="Arial" w:cs="Arial"/>
          <w:b/>
          <w:sz w:val="18"/>
        </w:rPr>
        <w:t>Articolo 80</w:t>
      </w:r>
    </w:p>
    <w:p w14:paraId="5DEE5CA7" w14:textId="77777777" w:rsidR="00B32EF2" w:rsidRDefault="00000000">
      <w:pPr>
        <w:spacing w:after="0" w:line="261" w:lineRule="auto"/>
        <w:ind w:left="12" w:right="3" w:hanging="10"/>
        <w:jc w:val="center"/>
      </w:pPr>
      <w:r>
        <w:rPr>
          <w:rFonts w:ascii="Arial" w:eastAsia="Arial" w:hAnsi="Arial" w:cs="Arial"/>
          <w:b/>
          <w:sz w:val="18"/>
        </w:rPr>
        <w:t>Entrata in vigore</w:t>
      </w:r>
    </w:p>
    <w:p w14:paraId="1C655893" w14:textId="77777777" w:rsidR="00B32EF2" w:rsidRDefault="00000000">
      <w:pPr>
        <w:numPr>
          <w:ilvl w:val="0"/>
          <w:numId w:val="130"/>
        </w:numPr>
        <w:spacing w:after="5" w:line="250" w:lineRule="auto"/>
        <w:ind w:hanging="193"/>
        <w:jc w:val="both"/>
      </w:pPr>
      <w:r>
        <w:rPr>
          <w:rFonts w:ascii="Arial" w:eastAsia="Arial" w:hAnsi="Arial" w:cs="Arial"/>
          <w:sz w:val="18"/>
        </w:rPr>
        <w:t>Il presente decreto entra in vigore il 15 gennaio 1993.</w:t>
      </w:r>
    </w:p>
    <w:p w14:paraId="7703B413" w14:textId="77777777" w:rsidR="00B32EF2" w:rsidRDefault="00000000">
      <w:pPr>
        <w:numPr>
          <w:ilvl w:val="0"/>
          <w:numId w:val="130"/>
        </w:numPr>
        <w:spacing w:after="5" w:line="250" w:lineRule="auto"/>
        <w:ind w:hanging="193"/>
        <w:jc w:val="both"/>
      </w:pPr>
      <w:r>
        <w:rPr>
          <w:rFonts w:ascii="Arial" w:eastAsia="Arial" w:hAnsi="Arial" w:cs="Arial"/>
          <w:sz w:val="18"/>
        </w:rPr>
        <w:t xml:space="preserve">Le disposizioni del presente decreto hanno effetto dalla data di </w:t>
      </w:r>
      <w:proofErr w:type="spellStart"/>
      <w:r>
        <w:rPr>
          <w:rFonts w:ascii="Arial" w:eastAsia="Arial" w:hAnsi="Arial" w:cs="Arial"/>
          <w:sz w:val="18"/>
        </w:rPr>
        <w:t>insediamentodelle</w:t>
      </w:r>
      <w:proofErr w:type="spellEnd"/>
      <w:r>
        <w:rPr>
          <w:rFonts w:ascii="Arial" w:eastAsia="Arial" w:hAnsi="Arial" w:cs="Arial"/>
          <w:sz w:val="18"/>
        </w:rPr>
        <w:t xml:space="preserve"> corti di giustizia tributaria di primo e secondo grado. Il presente decreto, munito del sigillo dello Stato, sarà inserito nella Raccolta ufficiale degli atti normativi della Repubblica italiana. E’ fatto obbligo a chiunque spetti di osservarlo e di farlo osservare.</w:t>
      </w:r>
      <w:r>
        <w:br w:type="page"/>
      </w:r>
    </w:p>
    <w:p w14:paraId="64203157" w14:textId="77777777" w:rsidR="00B32EF2" w:rsidRDefault="00000000">
      <w:pPr>
        <w:spacing w:after="90"/>
        <w:ind w:right="1"/>
        <w:jc w:val="center"/>
      </w:pPr>
      <w:r>
        <w:rPr>
          <w:rFonts w:ascii="Arial" w:eastAsia="Arial" w:hAnsi="Arial" w:cs="Arial"/>
          <w:b/>
          <w:sz w:val="24"/>
        </w:rPr>
        <w:lastRenderedPageBreak/>
        <w:t>D.lgs. 31 dicembre 1992, n. 545</w:t>
      </w:r>
    </w:p>
    <w:p w14:paraId="4211BAEF" w14:textId="77777777" w:rsidR="00B32EF2" w:rsidRDefault="00000000">
      <w:pPr>
        <w:spacing w:after="0" w:line="261" w:lineRule="auto"/>
        <w:ind w:left="12" w:right="3" w:hanging="10"/>
        <w:jc w:val="center"/>
      </w:pPr>
      <w:r>
        <w:rPr>
          <w:rFonts w:ascii="Arial" w:eastAsia="Arial" w:hAnsi="Arial" w:cs="Arial"/>
          <w:b/>
          <w:sz w:val="18"/>
        </w:rPr>
        <w:t xml:space="preserve">CAPO I </w:t>
      </w:r>
    </w:p>
    <w:p w14:paraId="3D3D44FB" w14:textId="77777777" w:rsidR="00B32EF2" w:rsidRDefault="00000000">
      <w:pPr>
        <w:spacing w:after="164" w:line="261" w:lineRule="auto"/>
        <w:ind w:left="12" w:right="3" w:hanging="10"/>
        <w:jc w:val="center"/>
      </w:pPr>
      <w:r>
        <w:rPr>
          <w:rFonts w:ascii="Arial" w:eastAsia="Arial" w:hAnsi="Arial" w:cs="Arial"/>
          <w:b/>
          <w:sz w:val="18"/>
        </w:rPr>
        <w:t xml:space="preserve"> GLI ORGANI DELLA GIURISDIZIONE TRIBUTARIA </w:t>
      </w:r>
    </w:p>
    <w:p w14:paraId="728C2912" w14:textId="77777777" w:rsidR="00B32EF2" w:rsidRDefault="00000000">
      <w:pPr>
        <w:spacing w:after="0" w:line="261" w:lineRule="auto"/>
        <w:ind w:left="12" w:right="3" w:hanging="10"/>
        <w:jc w:val="center"/>
      </w:pPr>
      <w:r>
        <w:rPr>
          <w:rFonts w:ascii="Arial" w:eastAsia="Arial" w:hAnsi="Arial" w:cs="Arial"/>
          <w:b/>
          <w:sz w:val="18"/>
        </w:rPr>
        <w:t>Articolo 1</w:t>
      </w:r>
    </w:p>
    <w:p w14:paraId="06109A38" w14:textId="77777777" w:rsidR="00B32EF2" w:rsidRDefault="00000000">
      <w:pPr>
        <w:spacing w:after="3" w:line="251" w:lineRule="auto"/>
        <w:ind w:left="2320" w:right="2311" w:hanging="10"/>
        <w:jc w:val="center"/>
      </w:pPr>
      <w:r>
        <w:rPr>
          <w:rFonts w:ascii="Arial" w:eastAsia="Arial" w:hAnsi="Arial" w:cs="Arial"/>
          <w:i/>
          <w:sz w:val="18"/>
        </w:rPr>
        <w:t>(articolo 1 TUGT)</w:t>
      </w:r>
    </w:p>
    <w:p w14:paraId="45F9016D" w14:textId="77777777" w:rsidR="00B32EF2" w:rsidRDefault="00000000">
      <w:pPr>
        <w:spacing w:after="0" w:line="261" w:lineRule="auto"/>
        <w:ind w:left="12" w:right="3" w:hanging="10"/>
        <w:jc w:val="center"/>
      </w:pPr>
      <w:r>
        <w:rPr>
          <w:rFonts w:ascii="Arial" w:eastAsia="Arial" w:hAnsi="Arial" w:cs="Arial"/>
          <w:b/>
          <w:sz w:val="18"/>
        </w:rPr>
        <w:t xml:space="preserve">Le corti di giustizia tributaria di primo e secondo grado </w:t>
      </w:r>
    </w:p>
    <w:p w14:paraId="7CB89D71" w14:textId="77777777" w:rsidR="00B32EF2" w:rsidRDefault="00000000">
      <w:pPr>
        <w:numPr>
          <w:ilvl w:val="0"/>
          <w:numId w:val="131"/>
        </w:numPr>
        <w:spacing w:after="5" w:line="250" w:lineRule="auto"/>
        <w:ind w:hanging="10"/>
        <w:jc w:val="both"/>
      </w:pPr>
      <w:r>
        <w:rPr>
          <w:rFonts w:ascii="Arial" w:eastAsia="Arial" w:hAnsi="Arial" w:cs="Arial"/>
          <w:sz w:val="18"/>
        </w:rPr>
        <w:t>Gli organi di giurisdizione in materia tributaria previsti dal decreto del Presidente della Repubblica 26 ottobre 1972, n. 636,sono riordinati in corti di giustizia tributaria di primo grado, aventi sede nel capoluogo di ogni provincia, ed in corti di giustizia tributaria di secondo grado, aventi sede nel capoluogo di ogni regione. Fino al 31 dicembre 1996, sezioni delle corti di giustizia tributaria di primo e secondo grado possono essere ubicate, ove occorra, presso le sedi delle attuali corti di giustizia tributaria di primo e secondo grado. Entro il 31 dicembre 1993, con decreto del Ministro delle finanze, di concerto con il Ministro del Tesoro e con il Ministro di grazia e giustizia, in relazione alle esigenze di reperimento dei locali, sono individuate dette sezioni le quali costituiscono mera articolazione interna delle commissioni non rilevante ai fini della competenza e della validità degli atti processuali. Con decreto del presidente della corte di giustizia tributaria di primo e secondo grado sono determinati i criteri e le modalità di funzionamento delle sezioni.</w:t>
      </w:r>
    </w:p>
    <w:p w14:paraId="517CF900" w14:textId="77777777" w:rsidR="00B32EF2" w:rsidRDefault="00000000">
      <w:pPr>
        <w:spacing w:after="5" w:line="250" w:lineRule="auto"/>
        <w:ind w:left="-4" w:hanging="10"/>
        <w:jc w:val="both"/>
      </w:pPr>
      <w:r>
        <w:rPr>
          <w:rFonts w:ascii="Arial" w:eastAsia="Arial" w:hAnsi="Arial" w:cs="Arial"/>
          <w:sz w:val="18"/>
        </w:rPr>
        <w:t>1-bis. Nei comuni sedi di corte di appello, o di sezioni staccate di corte di appello ovvero di sezioni staccate di tribunali amministrativi regionali o comunque capoluoghi di provincia con oltre 120.000 abitanti alla data di entrata in vigore della presente disposizione distanti non meno di 100 chilometri dal comune capoluogo di regione, saranno istituite sezioni staccate delle corti di giustizia tributaria di secondo grado nei limiti numerici dei contingenti di personale già impiegato negli uffici di segreteria delle corti di giustizia tributaria di primo e secondo grado, senza incrementare il numero complessivo dei componenti delle medesime commissioni, con corrispondente adeguamento delle sedi delle sezioni esistenti e conseguente riduzione delle relative spese. L’istituzione delle sezioni staccate non deve comunque comportare maggiori oneri a carico del bilancio dello Stato.</w:t>
      </w:r>
    </w:p>
    <w:p w14:paraId="42696611" w14:textId="77777777" w:rsidR="00B32EF2" w:rsidRDefault="00000000">
      <w:pPr>
        <w:numPr>
          <w:ilvl w:val="0"/>
          <w:numId w:val="131"/>
        </w:numPr>
        <w:spacing w:after="5" w:line="250" w:lineRule="auto"/>
        <w:ind w:hanging="10"/>
        <w:jc w:val="both"/>
      </w:pPr>
      <w:r>
        <w:rPr>
          <w:rFonts w:ascii="Arial" w:eastAsia="Arial" w:hAnsi="Arial" w:cs="Arial"/>
          <w:sz w:val="18"/>
        </w:rPr>
        <w:t xml:space="preserve">In ciascuna delle province di Trento e di Bolzano la giurisdizione di cui </w:t>
      </w:r>
      <w:proofErr w:type="spellStart"/>
      <w:r>
        <w:rPr>
          <w:rFonts w:ascii="Arial" w:eastAsia="Arial" w:hAnsi="Arial" w:cs="Arial"/>
          <w:sz w:val="18"/>
        </w:rPr>
        <w:t>alcomma</w:t>
      </w:r>
      <w:proofErr w:type="spellEnd"/>
      <w:r>
        <w:rPr>
          <w:rFonts w:ascii="Arial" w:eastAsia="Arial" w:hAnsi="Arial" w:cs="Arial"/>
          <w:sz w:val="18"/>
        </w:rPr>
        <w:t xml:space="preserve"> 1 è esercitata da corti di giustizia tributaria di primo e secondo grado, aventi competenza sul territorio della provincia corrispondente, alle quali si applicano rispettivamente le disposizioni concernenti le corti di giustizia tributaria di primo e secondo grado compatibili con le norme di legge e dello statuto regionale che le riguardano.</w:t>
      </w:r>
    </w:p>
    <w:p w14:paraId="607D77AF" w14:textId="77777777" w:rsidR="00B32EF2" w:rsidRDefault="00000000">
      <w:pPr>
        <w:numPr>
          <w:ilvl w:val="0"/>
          <w:numId w:val="131"/>
        </w:numPr>
        <w:spacing w:after="5" w:line="250" w:lineRule="auto"/>
        <w:ind w:hanging="10"/>
        <w:jc w:val="both"/>
      </w:pPr>
      <w:r>
        <w:rPr>
          <w:rFonts w:ascii="Arial" w:eastAsia="Arial" w:hAnsi="Arial" w:cs="Arial"/>
          <w:sz w:val="18"/>
        </w:rPr>
        <w:t>Le corti di giustizia tributaria di primo e secondo grado, il numero delle relative sezioni e i corrispondenti organici sono indicati nelle tabelle A e B allegate al presente decreto.</w:t>
      </w:r>
    </w:p>
    <w:p w14:paraId="486568CA" w14:textId="77777777" w:rsidR="00B32EF2" w:rsidRDefault="00000000">
      <w:pPr>
        <w:numPr>
          <w:ilvl w:val="0"/>
          <w:numId w:val="131"/>
        </w:numPr>
        <w:spacing w:after="5" w:line="250" w:lineRule="auto"/>
        <w:ind w:hanging="10"/>
        <w:jc w:val="both"/>
      </w:pPr>
      <w:r>
        <w:rPr>
          <w:rFonts w:ascii="Arial" w:eastAsia="Arial" w:hAnsi="Arial" w:cs="Arial"/>
          <w:sz w:val="18"/>
        </w:rPr>
        <w:lastRenderedPageBreak/>
        <w:t xml:space="preserve">Il numero delle sezioni di ciascuna commissione può essere adeguato, </w:t>
      </w:r>
      <w:proofErr w:type="spellStart"/>
      <w:r>
        <w:rPr>
          <w:rFonts w:ascii="Arial" w:eastAsia="Arial" w:hAnsi="Arial" w:cs="Arial"/>
          <w:sz w:val="18"/>
        </w:rPr>
        <w:t>inrelazione</w:t>
      </w:r>
      <w:proofErr w:type="spellEnd"/>
      <w:r>
        <w:rPr>
          <w:rFonts w:ascii="Arial" w:eastAsia="Arial" w:hAnsi="Arial" w:cs="Arial"/>
          <w:sz w:val="18"/>
        </w:rPr>
        <w:t xml:space="preserve"> al flusso medio dei processi, con decreto del Ministro delle finanze di concerto con il Ministro del tesoro ed il Ministro di grazia e giustizia.</w:t>
      </w:r>
    </w:p>
    <w:p w14:paraId="7571DCA7" w14:textId="77777777" w:rsidR="00B32EF2" w:rsidRDefault="00000000">
      <w:pPr>
        <w:numPr>
          <w:ilvl w:val="0"/>
          <w:numId w:val="131"/>
        </w:numPr>
        <w:spacing w:after="199" w:line="250" w:lineRule="auto"/>
        <w:ind w:hanging="10"/>
        <w:jc w:val="both"/>
      </w:pPr>
      <w:r>
        <w:rPr>
          <w:rFonts w:ascii="Arial" w:eastAsia="Arial" w:hAnsi="Arial" w:cs="Arial"/>
          <w:sz w:val="18"/>
        </w:rPr>
        <w:t>Alla istituzione di nuove commissioni ed alle variazioni conseguenti, in relazione a mutamenti dell’assetto provinciale e regionale del territorio della Repubblica, si provvede con decreto del Ministro delle finanze di concerto con il Ministro del tesoro ed il Ministro di grazia e giustizia.</w:t>
      </w:r>
    </w:p>
    <w:p w14:paraId="2C2AF99E" w14:textId="77777777" w:rsidR="00B32EF2" w:rsidRDefault="00000000">
      <w:pPr>
        <w:spacing w:after="0" w:line="261" w:lineRule="auto"/>
        <w:ind w:left="12" w:right="3" w:hanging="10"/>
        <w:jc w:val="center"/>
      </w:pPr>
      <w:r>
        <w:rPr>
          <w:rFonts w:ascii="Arial" w:eastAsia="Arial" w:hAnsi="Arial" w:cs="Arial"/>
          <w:b/>
          <w:sz w:val="18"/>
        </w:rPr>
        <w:t>Articolo 1-</w:t>
      </w:r>
      <w:r>
        <w:rPr>
          <w:rFonts w:ascii="Arial" w:eastAsia="Arial" w:hAnsi="Arial" w:cs="Arial"/>
          <w:b/>
          <w:i/>
          <w:sz w:val="18"/>
        </w:rPr>
        <w:t>bis</w:t>
      </w:r>
    </w:p>
    <w:p w14:paraId="07B6DB1F" w14:textId="77777777" w:rsidR="00B32EF2" w:rsidRDefault="00000000">
      <w:pPr>
        <w:spacing w:after="3" w:line="251" w:lineRule="auto"/>
        <w:ind w:left="2320" w:right="2311" w:hanging="10"/>
        <w:jc w:val="center"/>
      </w:pPr>
      <w:r>
        <w:rPr>
          <w:rFonts w:ascii="Arial" w:eastAsia="Arial" w:hAnsi="Arial" w:cs="Arial"/>
          <w:i/>
          <w:sz w:val="18"/>
        </w:rPr>
        <w:t>(articolo 2 TUGT)</w:t>
      </w:r>
    </w:p>
    <w:p w14:paraId="0D00FAFF" w14:textId="77777777" w:rsidR="00B32EF2" w:rsidRDefault="00000000">
      <w:pPr>
        <w:spacing w:after="0" w:line="261" w:lineRule="auto"/>
        <w:ind w:left="12" w:right="2" w:hanging="10"/>
        <w:jc w:val="center"/>
      </w:pPr>
      <w:r>
        <w:rPr>
          <w:rFonts w:ascii="Arial" w:eastAsia="Arial" w:hAnsi="Arial" w:cs="Arial"/>
          <w:b/>
          <w:sz w:val="18"/>
        </w:rPr>
        <w:t xml:space="preserve"> La giurisdizione tributaria </w:t>
      </w:r>
    </w:p>
    <w:p w14:paraId="79A9CE18" w14:textId="77777777" w:rsidR="00B32EF2" w:rsidRDefault="00000000">
      <w:pPr>
        <w:numPr>
          <w:ilvl w:val="0"/>
          <w:numId w:val="132"/>
        </w:numPr>
        <w:spacing w:after="5" w:line="250" w:lineRule="auto"/>
        <w:ind w:hanging="10"/>
        <w:jc w:val="both"/>
      </w:pPr>
      <w:r>
        <w:rPr>
          <w:rFonts w:ascii="Arial" w:eastAsia="Arial" w:hAnsi="Arial" w:cs="Arial"/>
          <w:sz w:val="18"/>
        </w:rPr>
        <w:t xml:space="preserve">La giurisdizione tributaria è esercitata dai magistrati tributari e dai </w:t>
      </w:r>
      <w:proofErr w:type="spellStart"/>
      <w:r>
        <w:rPr>
          <w:rFonts w:ascii="Arial" w:eastAsia="Arial" w:hAnsi="Arial" w:cs="Arial"/>
          <w:sz w:val="18"/>
        </w:rPr>
        <w:t>giudicitributari</w:t>
      </w:r>
      <w:proofErr w:type="spellEnd"/>
      <w:r>
        <w:rPr>
          <w:rFonts w:ascii="Arial" w:eastAsia="Arial" w:hAnsi="Arial" w:cs="Arial"/>
          <w:sz w:val="18"/>
        </w:rPr>
        <w:t xml:space="preserve"> nominati presso le corti di giustizia tributaria di primo e secondo grado, presenti nel ruolo unico nazionale di cui all’articolo 4, comma 39-bis, della legge 12 novembre 2011, n. 183, alla data del 1° gennaio 2022.</w:t>
      </w:r>
    </w:p>
    <w:p w14:paraId="0254572C" w14:textId="77777777" w:rsidR="00B32EF2" w:rsidRDefault="00000000">
      <w:pPr>
        <w:numPr>
          <w:ilvl w:val="0"/>
          <w:numId w:val="132"/>
        </w:numPr>
        <w:spacing w:after="5" w:line="250" w:lineRule="auto"/>
        <w:ind w:hanging="10"/>
        <w:jc w:val="both"/>
      </w:pPr>
      <w:r>
        <w:rPr>
          <w:rFonts w:ascii="Arial" w:eastAsia="Arial" w:hAnsi="Arial" w:cs="Arial"/>
          <w:sz w:val="18"/>
        </w:rPr>
        <w:t xml:space="preserve">I magistrati tributari di cui al comma 1 sono reclutati secondo le </w:t>
      </w:r>
      <w:proofErr w:type="spellStart"/>
      <w:r>
        <w:rPr>
          <w:rFonts w:ascii="Arial" w:eastAsia="Arial" w:hAnsi="Arial" w:cs="Arial"/>
          <w:sz w:val="18"/>
        </w:rPr>
        <w:t>modalitàpreviste</w:t>
      </w:r>
      <w:proofErr w:type="spellEnd"/>
      <w:r>
        <w:rPr>
          <w:rFonts w:ascii="Arial" w:eastAsia="Arial" w:hAnsi="Arial" w:cs="Arial"/>
          <w:sz w:val="18"/>
        </w:rPr>
        <w:t xml:space="preserve"> dagli articoli da 4 a 4-quater.</w:t>
      </w:r>
    </w:p>
    <w:p w14:paraId="78A0EE8D" w14:textId="77777777" w:rsidR="00B32EF2" w:rsidRDefault="00000000">
      <w:pPr>
        <w:numPr>
          <w:ilvl w:val="0"/>
          <w:numId w:val="132"/>
        </w:numPr>
        <w:spacing w:after="224" w:line="250" w:lineRule="auto"/>
        <w:ind w:hanging="10"/>
        <w:jc w:val="both"/>
      </w:pPr>
      <w:r>
        <w:rPr>
          <w:rFonts w:ascii="Arial" w:eastAsia="Arial" w:hAnsi="Arial" w:cs="Arial"/>
          <w:sz w:val="18"/>
        </w:rPr>
        <w:t xml:space="preserve">L’organico dei magistrati tributari di cui al comma 2 è individuato in 448 </w:t>
      </w:r>
      <w:proofErr w:type="spellStart"/>
      <w:r>
        <w:rPr>
          <w:rFonts w:ascii="Arial" w:eastAsia="Arial" w:hAnsi="Arial" w:cs="Arial"/>
          <w:sz w:val="18"/>
        </w:rPr>
        <w:t>unitàpresso</w:t>
      </w:r>
      <w:proofErr w:type="spellEnd"/>
      <w:r>
        <w:rPr>
          <w:rFonts w:ascii="Arial" w:eastAsia="Arial" w:hAnsi="Arial" w:cs="Arial"/>
          <w:sz w:val="18"/>
        </w:rPr>
        <w:t xml:space="preserve"> le corti di giustizia tributaria di primo grado e 128 unità presso le corti di giustizia tributaria di secondo grado.</w:t>
      </w:r>
    </w:p>
    <w:p w14:paraId="50EC8093" w14:textId="77777777" w:rsidR="00B32EF2" w:rsidRDefault="00000000">
      <w:pPr>
        <w:spacing w:after="0" w:line="261" w:lineRule="auto"/>
        <w:ind w:left="12" w:right="2" w:hanging="10"/>
        <w:jc w:val="center"/>
      </w:pPr>
      <w:r>
        <w:rPr>
          <w:rFonts w:ascii="Arial" w:eastAsia="Arial" w:hAnsi="Arial" w:cs="Arial"/>
          <w:b/>
          <w:sz w:val="18"/>
        </w:rPr>
        <w:t>Articolo 2</w:t>
      </w:r>
    </w:p>
    <w:p w14:paraId="1C0D60CB" w14:textId="77777777" w:rsidR="00B32EF2" w:rsidRDefault="00000000">
      <w:pPr>
        <w:spacing w:after="3" w:line="251" w:lineRule="auto"/>
        <w:ind w:left="2320" w:right="2311" w:hanging="10"/>
        <w:jc w:val="center"/>
      </w:pPr>
      <w:r>
        <w:rPr>
          <w:rFonts w:ascii="Arial" w:eastAsia="Arial" w:hAnsi="Arial" w:cs="Arial"/>
          <w:i/>
          <w:sz w:val="18"/>
        </w:rPr>
        <w:t>(articolo 3 TUGT)</w:t>
      </w:r>
    </w:p>
    <w:p w14:paraId="484719F9" w14:textId="77777777" w:rsidR="00B32EF2" w:rsidRDefault="00000000">
      <w:pPr>
        <w:spacing w:after="0" w:line="261" w:lineRule="auto"/>
        <w:ind w:left="12" w:right="2" w:hanging="10"/>
        <w:jc w:val="center"/>
      </w:pPr>
      <w:r>
        <w:rPr>
          <w:rFonts w:ascii="Arial" w:eastAsia="Arial" w:hAnsi="Arial" w:cs="Arial"/>
          <w:b/>
          <w:sz w:val="18"/>
        </w:rPr>
        <w:t xml:space="preserve">La composizione delle corti di giustizia tributaria di primo e secondo grado </w:t>
      </w:r>
    </w:p>
    <w:p w14:paraId="6ABC3135" w14:textId="77777777" w:rsidR="00B32EF2" w:rsidRDefault="00000000">
      <w:pPr>
        <w:numPr>
          <w:ilvl w:val="0"/>
          <w:numId w:val="133"/>
        </w:numPr>
        <w:spacing w:after="5" w:line="250" w:lineRule="auto"/>
        <w:ind w:hanging="10"/>
        <w:jc w:val="both"/>
      </w:pPr>
      <w:r>
        <w:rPr>
          <w:rFonts w:ascii="Arial" w:eastAsia="Arial" w:hAnsi="Arial" w:cs="Arial"/>
          <w:sz w:val="18"/>
        </w:rPr>
        <w:t xml:space="preserve">A ciascuna delle corti di giustizia tributaria di primo e secondo grado </w:t>
      </w:r>
      <w:proofErr w:type="spellStart"/>
      <w:r>
        <w:rPr>
          <w:rFonts w:ascii="Arial" w:eastAsia="Arial" w:hAnsi="Arial" w:cs="Arial"/>
          <w:sz w:val="18"/>
        </w:rPr>
        <w:t>èpreposto</w:t>
      </w:r>
      <w:proofErr w:type="spellEnd"/>
      <w:r>
        <w:rPr>
          <w:rFonts w:ascii="Arial" w:eastAsia="Arial" w:hAnsi="Arial" w:cs="Arial"/>
          <w:sz w:val="18"/>
        </w:rPr>
        <w:t xml:space="preserve"> un presidente che presiede anche la prima sezione. L’incarico ha durata quadriennale a decorrere dalla data di esercizio effettivo delle funzioni ed è rinnovabile per una sola volta e per un uguale periodo, previa valutazione positiva da parte del Consiglio di presidenza della giustizia tributaria dell’attività svolta nel primo triennio del quadriennio iniziale. Il Consiglio di presidenza della giustizia tributaria stabilisce con proprio regolamento il procedimento e le modalità di tale valutazione, garantendo la previa interlocuzione con l’interessato. Il Presidente non può essere nominato tra soggetti che raggiungeranno l’età pensionabile entro i quattro anni successivi alla nomina.</w:t>
      </w:r>
    </w:p>
    <w:p w14:paraId="50B8B098" w14:textId="77777777" w:rsidR="00B32EF2" w:rsidRDefault="00000000">
      <w:pPr>
        <w:spacing w:after="5" w:line="250" w:lineRule="auto"/>
        <w:ind w:left="-4" w:hanging="10"/>
        <w:jc w:val="both"/>
      </w:pPr>
      <w:r>
        <w:rPr>
          <w:rFonts w:ascii="Arial" w:eastAsia="Arial" w:hAnsi="Arial" w:cs="Arial"/>
          <w:sz w:val="18"/>
        </w:rPr>
        <w:t>1-bis. A seguito di valutazione negativa da parte del Consiglio di presidenza della giustizia tributaria e comunque all’esito dell’ottavo anno di esercizio delle funzioni di cui al comma 1, il giudice tributario è riassegnato a sua richiesta, salvo tramutamento all’esercizio di funzioni analoghe o diverse all’incarico di presidente di sezione nella corte di giustizia tributaria di primo e secondo grado a cui era preposto ovvero in quella di precedente provenienza.</w:t>
      </w:r>
    </w:p>
    <w:p w14:paraId="585B981A" w14:textId="77777777" w:rsidR="00B32EF2" w:rsidRDefault="00000000">
      <w:pPr>
        <w:numPr>
          <w:ilvl w:val="0"/>
          <w:numId w:val="133"/>
        </w:numPr>
        <w:spacing w:after="5" w:line="250" w:lineRule="auto"/>
        <w:ind w:hanging="10"/>
        <w:jc w:val="both"/>
      </w:pPr>
      <w:r>
        <w:rPr>
          <w:rFonts w:ascii="Arial" w:eastAsia="Arial" w:hAnsi="Arial" w:cs="Arial"/>
          <w:sz w:val="18"/>
        </w:rPr>
        <w:lastRenderedPageBreak/>
        <w:t xml:space="preserve">Il presidente della commissione, in caso di assenza o di impedimento, </w:t>
      </w:r>
      <w:proofErr w:type="spellStart"/>
      <w:r>
        <w:rPr>
          <w:rFonts w:ascii="Arial" w:eastAsia="Arial" w:hAnsi="Arial" w:cs="Arial"/>
          <w:sz w:val="18"/>
        </w:rPr>
        <w:t>èsostituito</w:t>
      </w:r>
      <w:proofErr w:type="spellEnd"/>
      <w:r>
        <w:rPr>
          <w:rFonts w:ascii="Arial" w:eastAsia="Arial" w:hAnsi="Arial" w:cs="Arial"/>
          <w:sz w:val="18"/>
        </w:rPr>
        <w:t xml:space="preserve"> nelle funzioni non giurisdizionali dal presidente di sezione con maggiore anzianità nell’incarico subordinatamente d’età.</w:t>
      </w:r>
    </w:p>
    <w:p w14:paraId="4CE6F1F7" w14:textId="77777777" w:rsidR="00B32EF2" w:rsidRDefault="00000000">
      <w:pPr>
        <w:numPr>
          <w:ilvl w:val="0"/>
          <w:numId w:val="133"/>
        </w:numPr>
        <w:spacing w:after="5" w:line="250" w:lineRule="auto"/>
        <w:ind w:hanging="10"/>
        <w:jc w:val="both"/>
      </w:pPr>
      <w:r>
        <w:rPr>
          <w:rFonts w:ascii="Arial" w:eastAsia="Arial" w:hAnsi="Arial" w:cs="Arial"/>
          <w:sz w:val="18"/>
        </w:rPr>
        <w:t xml:space="preserve">Il presidente di commissione con oltre quindici sezioni può delegare </w:t>
      </w:r>
      <w:proofErr w:type="spellStart"/>
      <w:r>
        <w:rPr>
          <w:rFonts w:ascii="Arial" w:eastAsia="Arial" w:hAnsi="Arial" w:cs="Arial"/>
          <w:sz w:val="18"/>
        </w:rPr>
        <w:t>sueattribuzioni</w:t>
      </w:r>
      <w:proofErr w:type="spellEnd"/>
      <w:r>
        <w:rPr>
          <w:rFonts w:ascii="Arial" w:eastAsia="Arial" w:hAnsi="Arial" w:cs="Arial"/>
          <w:sz w:val="18"/>
        </w:rPr>
        <w:t xml:space="preserve"> non giurisdizionali ad uno o più presidenti di sezione con i criteri di cui al comma 2.</w:t>
      </w:r>
    </w:p>
    <w:p w14:paraId="52DD665F" w14:textId="77777777" w:rsidR="00B32EF2" w:rsidRDefault="00000000">
      <w:pPr>
        <w:numPr>
          <w:ilvl w:val="0"/>
          <w:numId w:val="133"/>
        </w:numPr>
        <w:spacing w:after="5" w:line="250" w:lineRule="auto"/>
        <w:ind w:hanging="10"/>
        <w:jc w:val="both"/>
      </w:pPr>
      <w:r>
        <w:rPr>
          <w:rFonts w:ascii="Arial" w:eastAsia="Arial" w:hAnsi="Arial" w:cs="Arial"/>
          <w:sz w:val="18"/>
        </w:rPr>
        <w:t xml:space="preserve">A ciascuna sezione è assegnato un presidente, un vice- presidente e </w:t>
      </w:r>
      <w:proofErr w:type="spellStart"/>
      <w:r>
        <w:rPr>
          <w:rFonts w:ascii="Arial" w:eastAsia="Arial" w:hAnsi="Arial" w:cs="Arial"/>
          <w:sz w:val="18"/>
        </w:rPr>
        <w:t>nonmeno</w:t>
      </w:r>
      <w:proofErr w:type="spellEnd"/>
      <w:r>
        <w:rPr>
          <w:rFonts w:ascii="Arial" w:eastAsia="Arial" w:hAnsi="Arial" w:cs="Arial"/>
          <w:sz w:val="18"/>
        </w:rPr>
        <w:t xml:space="preserve"> di due magistrati o giudici tributari.</w:t>
      </w:r>
    </w:p>
    <w:p w14:paraId="12AD3BF5" w14:textId="77777777" w:rsidR="00B32EF2" w:rsidRDefault="00000000">
      <w:pPr>
        <w:numPr>
          <w:ilvl w:val="0"/>
          <w:numId w:val="133"/>
        </w:numPr>
        <w:spacing w:after="5" w:line="250" w:lineRule="auto"/>
        <w:ind w:hanging="10"/>
        <w:jc w:val="both"/>
      </w:pPr>
      <w:r>
        <w:rPr>
          <w:rFonts w:ascii="Arial" w:eastAsia="Arial" w:hAnsi="Arial" w:cs="Arial"/>
          <w:sz w:val="18"/>
        </w:rPr>
        <w:t xml:space="preserve">Ogni collegio giudicante è presieduto dal presidente della sezione o </w:t>
      </w:r>
      <w:proofErr w:type="spellStart"/>
      <w:r>
        <w:rPr>
          <w:rFonts w:ascii="Arial" w:eastAsia="Arial" w:hAnsi="Arial" w:cs="Arial"/>
          <w:sz w:val="18"/>
        </w:rPr>
        <w:t>dalvicepresidente</w:t>
      </w:r>
      <w:proofErr w:type="spellEnd"/>
      <w:r>
        <w:rPr>
          <w:rFonts w:ascii="Arial" w:eastAsia="Arial" w:hAnsi="Arial" w:cs="Arial"/>
          <w:sz w:val="18"/>
        </w:rPr>
        <w:t xml:space="preserve"> e giudica con numero invariabile di tre votanti.</w:t>
      </w:r>
    </w:p>
    <w:p w14:paraId="1AE1D9A2" w14:textId="77777777" w:rsidR="00B32EF2" w:rsidRDefault="00000000">
      <w:pPr>
        <w:numPr>
          <w:ilvl w:val="0"/>
          <w:numId w:val="133"/>
        </w:numPr>
        <w:spacing w:after="223" w:line="252" w:lineRule="auto"/>
        <w:ind w:hanging="10"/>
        <w:jc w:val="both"/>
      </w:pPr>
      <w:r>
        <w:rPr>
          <w:rFonts w:ascii="Arial" w:eastAsia="Arial" w:hAnsi="Arial" w:cs="Arial"/>
          <w:sz w:val="18"/>
        </w:rPr>
        <w:t>Se in una sezione mancano i componenti necessari per costituire il collegio giudicante, il presidente della commissione designa i componenti di altre sezioni.</w:t>
      </w:r>
    </w:p>
    <w:p w14:paraId="6566D518" w14:textId="77777777" w:rsidR="00B32EF2" w:rsidRDefault="00000000">
      <w:pPr>
        <w:spacing w:after="0" w:line="261" w:lineRule="auto"/>
        <w:ind w:left="12" w:right="3" w:hanging="10"/>
        <w:jc w:val="center"/>
      </w:pPr>
      <w:r>
        <w:rPr>
          <w:rFonts w:ascii="Arial" w:eastAsia="Arial" w:hAnsi="Arial" w:cs="Arial"/>
          <w:b/>
          <w:sz w:val="18"/>
        </w:rPr>
        <w:t>Articolo 3</w:t>
      </w:r>
    </w:p>
    <w:p w14:paraId="3509F13B" w14:textId="77777777" w:rsidR="00B32EF2" w:rsidRDefault="00000000">
      <w:pPr>
        <w:spacing w:after="3" w:line="251" w:lineRule="auto"/>
        <w:ind w:left="2320" w:right="2311" w:hanging="10"/>
        <w:jc w:val="center"/>
      </w:pPr>
      <w:r>
        <w:rPr>
          <w:rFonts w:ascii="Arial" w:eastAsia="Arial" w:hAnsi="Arial" w:cs="Arial"/>
          <w:i/>
          <w:sz w:val="18"/>
        </w:rPr>
        <w:t>(articolo 4 TUGT)</w:t>
      </w:r>
    </w:p>
    <w:p w14:paraId="59783368" w14:textId="77777777" w:rsidR="00B32EF2" w:rsidRDefault="00000000">
      <w:pPr>
        <w:spacing w:after="0" w:line="261" w:lineRule="auto"/>
        <w:ind w:left="12" w:right="2" w:hanging="10"/>
        <w:jc w:val="center"/>
      </w:pPr>
      <w:r>
        <w:rPr>
          <w:rFonts w:ascii="Arial" w:eastAsia="Arial" w:hAnsi="Arial" w:cs="Arial"/>
          <w:b/>
          <w:sz w:val="18"/>
        </w:rPr>
        <w:t xml:space="preserve">I presidenti delle corti di giustizia tributaria di primo e secondo grado e delle sezioni </w:t>
      </w:r>
    </w:p>
    <w:p w14:paraId="735907DA" w14:textId="77777777" w:rsidR="00B32EF2" w:rsidRDefault="00000000">
      <w:pPr>
        <w:numPr>
          <w:ilvl w:val="0"/>
          <w:numId w:val="134"/>
        </w:numPr>
        <w:spacing w:after="5" w:line="250" w:lineRule="auto"/>
        <w:ind w:hanging="10"/>
        <w:jc w:val="both"/>
      </w:pPr>
      <w:r>
        <w:rPr>
          <w:rFonts w:ascii="Arial" w:eastAsia="Arial" w:hAnsi="Arial" w:cs="Arial"/>
          <w:sz w:val="18"/>
        </w:rPr>
        <w:t xml:space="preserve">I presidenti </w:t>
      </w:r>
      <w:proofErr w:type="spellStart"/>
      <w:r>
        <w:rPr>
          <w:rFonts w:ascii="Arial" w:eastAsia="Arial" w:hAnsi="Arial" w:cs="Arial"/>
          <w:sz w:val="18"/>
        </w:rPr>
        <w:t>dellecorti</w:t>
      </w:r>
      <w:proofErr w:type="spellEnd"/>
      <w:r>
        <w:rPr>
          <w:rFonts w:ascii="Arial" w:eastAsia="Arial" w:hAnsi="Arial" w:cs="Arial"/>
          <w:sz w:val="18"/>
        </w:rPr>
        <w:t xml:space="preserve"> di giustizia tributaria di primo grado sono nominati tra </w:t>
      </w:r>
      <w:proofErr w:type="spellStart"/>
      <w:r>
        <w:rPr>
          <w:rFonts w:ascii="Arial" w:eastAsia="Arial" w:hAnsi="Arial" w:cs="Arial"/>
          <w:sz w:val="18"/>
        </w:rPr>
        <w:t>imagistrati</w:t>
      </w:r>
      <w:proofErr w:type="spellEnd"/>
      <w:r>
        <w:rPr>
          <w:rFonts w:ascii="Arial" w:eastAsia="Arial" w:hAnsi="Arial" w:cs="Arial"/>
          <w:sz w:val="18"/>
        </w:rPr>
        <w:t xml:space="preserve"> tributari ovvero tra quelli ordinari, amministrativi, contabili o militari, in servizio o a riposo, secondo la graduatoria redatta sulla base delle disposizioni contenute nell’articolo 11.</w:t>
      </w:r>
    </w:p>
    <w:p w14:paraId="398F25B0" w14:textId="77777777" w:rsidR="00B32EF2" w:rsidRDefault="00000000">
      <w:pPr>
        <w:numPr>
          <w:ilvl w:val="0"/>
          <w:numId w:val="134"/>
        </w:numPr>
        <w:spacing w:after="5" w:line="250" w:lineRule="auto"/>
        <w:ind w:hanging="10"/>
        <w:jc w:val="both"/>
      </w:pPr>
      <w:r>
        <w:rPr>
          <w:rFonts w:ascii="Arial" w:eastAsia="Arial" w:hAnsi="Arial" w:cs="Arial"/>
          <w:sz w:val="18"/>
        </w:rPr>
        <w:t xml:space="preserve">I presidenti di sezione delle corti di giustizia tributaria di primo grado </w:t>
      </w:r>
      <w:proofErr w:type="spellStart"/>
      <w:r>
        <w:rPr>
          <w:rFonts w:ascii="Arial" w:eastAsia="Arial" w:hAnsi="Arial" w:cs="Arial"/>
          <w:sz w:val="18"/>
        </w:rPr>
        <w:t>sononominati</w:t>
      </w:r>
      <w:proofErr w:type="spellEnd"/>
      <w:r>
        <w:rPr>
          <w:rFonts w:ascii="Arial" w:eastAsia="Arial" w:hAnsi="Arial" w:cs="Arial"/>
          <w:sz w:val="18"/>
        </w:rPr>
        <w:t xml:space="preserve">  tra i magistrati tributari ovvero tra quelli ordinari, amministrativi, contabili o militari, in servizio o a riposo, secondo la graduatoria redatta sulla base delle disposizioni contenute nell’articolo 11. I vicepresidenti di sezione </w:t>
      </w:r>
      <w:proofErr w:type="spellStart"/>
      <w:r>
        <w:rPr>
          <w:rFonts w:ascii="Arial" w:eastAsia="Arial" w:hAnsi="Arial" w:cs="Arial"/>
          <w:sz w:val="18"/>
        </w:rPr>
        <w:t>dellcorti</w:t>
      </w:r>
      <w:proofErr w:type="spellEnd"/>
      <w:r>
        <w:rPr>
          <w:rFonts w:ascii="Arial" w:eastAsia="Arial" w:hAnsi="Arial" w:cs="Arial"/>
          <w:sz w:val="18"/>
        </w:rPr>
        <w:t xml:space="preserve"> di giustizia tributaria di primo grado sono nominati tra i magistrati di cui al comma 1, ovvero tra i componenti che abbiano esercitato, per almeno cinque anni le funzioni di giudice tributario, </w:t>
      </w:r>
      <w:proofErr w:type="spellStart"/>
      <w:r>
        <w:rPr>
          <w:rFonts w:ascii="Arial" w:eastAsia="Arial" w:hAnsi="Arial" w:cs="Arial"/>
          <w:sz w:val="18"/>
        </w:rPr>
        <w:t>purchè</w:t>
      </w:r>
      <w:proofErr w:type="spellEnd"/>
      <w:r>
        <w:rPr>
          <w:rFonts w:ascii="Arial" w:eastAsia="Arial" w:hAnsi="Arial" w:cs="Arial"/>
          <w:sz w:val="18"/>
        </w:rPr>
        <w:t xml:space="preserve"> in possesso del di- </w:t>
      </w:r>
      <w:proofErr w:type="spellStart"/>
      <w:r>
        <w:rPr>
          <w:rFonts w:ascii="Arial" w:eastAsia="Arial" w:hAnsi="Arial" w:cs="Arial"/>
          <w:sz w:val="18"/>
        </w:rPr>
        <w:t>ploma</w:t>
      </w:r>
      <w:proofErr w:type="spellEnd"/>
      <w:r>
        <w:rPr>
          <w:rFonts w:ascii="Arial" w:eastAsia="Arial" w:hAnsi="Arial" w:cs="Arial"/>
          <w:sz w:val="18"/>
        </w:rPr>
        <w:t xml:space="preserve"> di laurea in </w:t>
      </w:r>
      <w:proofErr w:type="spellStart"/>
      <w:r>
        <w:rPr>
          <w:rFonts w:ascii="Arial" w:eastAsia="Arial" w:hAnsi="Arial" w:cs="Arial"/>
          <w:sz w:val="18"/>
        </w:rPr>
        <w:t>giurispridenza</w:t>
      </w:r>
      <w:proofErr w:type="spellEnd"/>
      <w:r>
        <w:rPr>
          <w:rFonts w:ascii="Arial" w:eastAsia="Arial" w:hAnsi="Arial" w:cs="Arial"/>
          <w:sz w:val="18"/>
        </w:rPr>
        <w:t xml:space="preserve"> o in economia e commercio, secondo la graduatoria redatta sulla base delle disposizioni contenute nell’articolo 11.</w:t>
      </w:r>
    </w:p>
    <w:p w14:paraId="43A5B591" w14:textId="77777777" w:rsidR="00B32EF2" w:rsidRDefault="00000000">
      <w:pPr>
        <w:numPr>
          <w:ilvl w:val="0"/>
          <w:numId w:val="134"/>
        </w:numPr>
        <w:spacing w:after="5" w:line="250" w:lineRule="auto"/>
        <w:ind w:hanging="10"/>
        <w:jc w:val="both"/>
      </w:pPr>
      <w:r>
        <w:rPr>
          <w:rFonts w:ascii="Arial" w:eastAsia="Arial" w:hAnsi="Arial" w:cs="Arial"/>
          <w:sz w:val="18"/>
        </w:rPr>
        <w:t xml:space="preserve">I presidenti delle corti di giustizia tributaria di secondo grado sono </w:t>
      </w:r>
      <w:proofErr w:type="spellStart"/>
      <w:r>
        <w:rPr>
          <w:rFonts w:ascii="Arial" w:eastAsia="Arial" w:hAnsi="Arial" w:cs="Arial"/>
          <w:sz w:val="18"/>
        </w:rPr>
        <w:t>nominatitra</w:t>
      </w:r>
      <w:proofErr w:type="spellEnd"/>
      <w:r>
        <w:rPr>
          <w:rFonts w:ascii="Arial" w:eastAsia="Arial" w:hAnsi="Arial" w:cs="Arial"/>
          <w:sz w:val="18"/>
        </w:rPr>
        <w:t xml:space="preserve"> i magistrati tributari ovvero tra quelli ordinari, amministrativi, contabili o militari, in servizio o a riposo, secondo la graduatoria redatta sulla base delle disposizioni contenute nell’articolo 11.</w:t>
      </w:r>
    </w:p>
    <w:p w14:paraId="47335357" w14:textId="77777777" w:rsidR="00B32EF2" w:rsidRDefault="00000000">
      <w:pPr>
        <w:numPr>
          <w:ilvl w:val="0"/>
          <w:numId w:val="134"/>
        </w:numPr>
        <w:spacing w:after="166" w:line="250" w:lineRule="auto"/>
        <w:ind w:hanging="10"/>
        <w:jc w:val="both"/>
      </w:pPr>
      <w:r>
        <w:rPr>
          <w:rFonts w:ascii="Arial" w:eastAsia="Arial" w:hAnsi="Arial" w:cs="Arial"/>
          <w:sz w:val="18"/>
        </w:rPr>
        <w:t xml:space="preserve">I presidenti di sezione delle corti di giustizia tributaria di secondo grado </w:t>
      </w:r>
      <w:proofErr w:type="spellStart"/>
      <w:r>
        <w:rPr>
          <w:rFonts w:ascii="Arial" w:eastAsia="Arial" w:hAnsi="Arial" w:cs="Arial"/>
          <w:sz w:val="18"/>
        </w:rPr>
        <w:t>sononominati</w:t>
      </w:r>
      <w:proofErr w:type="spellEnd"/>
      <w:r>
        <w:rPr>
          <w:rFonts w:ascii="Arial" w:eastAsia="Arial" w:hAnsi="Arial" w:cs="Arial"/>
          <w:sz w:val="18"/>
        </w:rPr>
        <w:t xml:space="preserve"> tra i magistrati tributari ovvero tra quelli ordinari, amministrativi, contabili o militari, in servizio o a riposo, secondo la graduatoria redatta sulla base delle disposizioni contenute nell’articolo 11. I vicepresidenti di sezione delle corti di giustizia tributaria di secondo grado sono nominati tra i magistrati di cui al comma 3 ovvero tra i componenti che abbiano esercitato per almeno dieci anni le funzioni di giudice tributario regionale </w:t>
      </w:r>
      <w:proofErr w:type="spellStart"/>
      <w:r>
        <w:rPr>
          <w:rFonts w:ascii="Arial" w:eastAsia="Arial" w:hAnsi="Arial" w:cs="Arial"/>
          <w:sz w:val="18"/>
        </w:rPr>
        <w:t>purchè</w:t>
      </w:r>
      <w:proofErr w:type="spellEnd"/>
      <w:r>
        <w:rPr>
          <w:rFonts w:ascii="Arial" w:eastAsia="Arial" w:hAnsi="Arial" w:cs="Arial"/>
          <w:sz w:val="18"/>
        </w:rPr>
        <w:t xml:space="preserve"> in possesso del </w:t>
      </w:r>
      <w:r>
        <w:rPr>
          <w:rFonts w:ascii="Arial" w:eastAsia="Arial" w:hAnsi="Arial" w:cs="Arial"/>
          <w:sz w:val="18"/>
        </w:rPr>
        <w:lastRenderedPageBreak/>
        <w:t>diploma di laurea in giurisprudenza o in economia e commercio, secondo la graduatoria redatta sulla base delle disposizioni contenute nell’articolo 11.</w:t>
      </w:r>
    </w:p>
    <w:p w14:paraId="17111E61" w14:textId="77777777" w:rsidR="00B32EF2" w:rsidRDefault="00000000">
      <w:pPr>
        <w:spacing w:after="0" w:line="261" w:lineRule="auto"/>
        <w:ind w:left="12" w:right="3" w:hanging="10"/>
        <w:jc w:val="center"/>
      </w:pPr>
      <w:r>
        <w:rPr>
          <w:rFonts w:ascii="Arial" w:eastAsia="Arial" w:hAnsi="Arial" w:cs="Arial"/>
          <w:b/>
          <w:sz w:val="18"/>
        </w:rPr>
        <w:t>Articolo 4</w:t>
      </w:r>
    </w:p>
    <w:p w14:paraId="06C726B0" w14:textId="77777777" w:rsidR="00B32EF2" w:rsidRDefault="00000000">
      <w:pPr>
        <w:spacing w:after="3" w:line="251" w:lineRule="auto"/>
        <w:ind w:left="2320" w:right="2311" w:hanging="10"/>
        <w:jc w:val="center"/>
      </w:pPr>
      <w:r>
        <w:rPr>
          <w:rFonts w:ascii="Arial" w:eastAsia="Arial" w:hAnsi="Arial" w:cs="Arial"/>
          <w:i/>
          <w:sz w:val="18"/>
        </w:rPr>
        <w:t>(articolo 5 TUGT)</w:t>
      </w:r>
    </w:p>
    <w:p w14:paraId="2123F14D" w14:textId="77777777" w:rsidR="00B32EF2" w:rsidRDefault="00000000">
      <w:pPr>
        <w:spacing w:after="0" w:line="261" w:lineRule="auto"/>
        <w:ind w:left="12" w:right="3" w:hanging="10"/>
        <w:jc w:val="center"/>
      </w:pPr>
      <w:r>
        <w:rPr>
          <w:rFonts w:ascii="Arial" w:eastAsia="Arial" w:hAnsi="Arial" w:cs="Arial"/>
          <w:b/>
          <w:sz w:val="18"/>
        </w:rPr>
        <w:t xml:space="preserve">I giudici delle corti di giustizia tributaria di primo grado </w:t>
      </w:r>
    </w:p>
    <w:p w14:paraId="7AECD5C2" w14:textId="77777777" w:rsidR="00B32EF2" w:rsidRDefault="00000000">
      <w:pPr>
        <w:numPr>
          <w:ilvl w:val="0"/>
          <w:numId w:val="135"/>
        </w:numPr>
        <w:spacing w:after="5" w:line="250" w:lineRule="auto"/>
        <w:ind w:hanging="200"/>
        <w:jc w:val="both"/>
      </w:pPr>
      <w:r>
        <w:rPr>
          <w:rFonts w:ascii="Arial" w:eastAsia="Arial" w:hAnsi="Arial" w:cs="Arial"/>
          <w:sz w:val="18"/>
        </w:rPr>
        <w:t xml:space="preserve">La nomina a magistrato tributario si consegue mediante un concorso </w:t>
      </w:r>
      <w:proofErr w:type="spellStart"/>
      <w:r>
        <w:rPr>
          <w:rFonts w:ascii="Arial" w:eastAsia="Arial" w:hAnsi="Arial" w:cs="Arial"/>
          <w:sz w:val="18"/>
        </w:rPr>
        <w:t>peresami</w:t>
      </w:r>
      <w:proofErr w:type="spellEnd"/>
      <w:r>
        <w:rPr>
          <w:rFonts w:ascii="Arial" w:eastAsia="Arial" w:hAnsi="Arial" w:cs="Arial"/>
          <w:sz w:val="18"/>
        </w:rPr>
        <w:t xml:space="preserve"> bandito in relazione ai posti vacanti e a quelli che si renderanno vacanti nel quadriennio successivo, per i quali può essere attivata la procedura di reclutamento.</w:t>
      </w:r>
    </w:p>
    <w:p w14:paraId="6AD17BEB" w14:textId="77777777" w:rsidR="00B32EF2" w:rsidRDefault="00000000">
      <w:pPr>
        <w:numPr>
          <w:ilvl w:val="0"/>
          <w:numId w:val="135"/>
        </w:numPr>
        <w:spacing w:after="5" w:line="250" w:lineRule="auto"/>
        <w:ind w:hanging="200"/>
        <w:jc w:val="both"/>
      </w:pPr>
      <w:r>
        <w:rPr>
          <w:rFonts w:ascii="Arial" w:eastAsia="Arial" w:hAnsi="Arial" w:cs="Arial"/>
          <w:sz w:val="18"/>
        </w:rPr>
        <w:t>Il concorso per esami consiste in una prova scritta, effettuata con le procedure di cui</w:t>
      </w:r>
      <w:r>
        <w:rPr>
          <w:rFonts w:ascii="Times New Roman" w:eastAsia="Times New Roman" w:hAnsi="Times New Roman" w:cs="Times New Roman"/>
          <w:sz w:val="18"/>
        </w:rPr>
        <w:t xml:space="preserve"> </w:t>
      </w:r>
      <w:r>
        <w:rPr>
          <w:rFonts w:ascii="Arial" w:eastAsia="Arial" w:hAnsi="Arial" w:cs="Arial"/>
          <w:sz w:val="18"/>
        </w:rPr>
        <w:t>all’articolo 8 del regio decreto 15 ottobre 1925, n. 1860, e in una prova orale.</w:t>
      </w:r>
    </w:p>
    <w:p w14:paraId="018BDDBC" w14:textId="77777777" w:rsidR="00B32EF2" w:rsidRDefault="00000000">
      <w:pPr>
        <w:numPr>
          <w:ilvl w:val="0"/>
          <w:numId w:val="135"/>
        </w:numPr>
        <w:spacing w:after="5" w:line="250" w:lineRule="auto"/>
        <w:ind w:hanging="200"/>
        <w:jc w:val="both"/>
      </w:pPr>
      <w:r>
        <w:rPr>
          <w:rFonts w:ascii="Arial" w:eastAsia="Arial" w:hAnsi="Arial" w:cs="Arial"/>
          <w:sz w:val="18"/>
        </w:rPr>
        <w:t xml:space="preserve">La prova scritta ha la prevalente funzione di verificare la capacità di inquadramento logico sistematico del candidato e consiste nello svolgimento di due elaborati teorici rispettivamente vertenti sul diritto tributario e sul diritto civile o commerciale, </w:t>
      </w:r>
      <w:proofErr w:type="spellStart"/>
      <w:r>
        <w:rPr>
          <w:rFonts w:ascii="Arial" w:eastAsia="Arial" w:hAnsi="Arial" w:cs="Arial"/>
          <w:sz w:val="18"/>
        </w:rPr>
        <w:t>nonchè</w:t>
      </w:r>
      <w:proofErr w:type="spellEnd"/>
      <w:r>
        <w:rPr>
          <w:rFonts w:ascii="Arial" w:eastAsia="Arial" w:hAnsi="Arial" w:cs="Arial"/>
          <w:sz w:val="18"/>
        </w:rPr>
        <w:t xml:space="preserve"> in una prova teorico-pratica consistente nella redazione di una sentenza in materia tributaria.</w:t>
      </w:r>
    </w:p>
    <w:p w14:paraId="6DC63668" w14:textId="77777777" w:rsidR="00B32EF2" w:rsidRDefault="00000000">
      <w:pPr>
        <w:numPr>
          <w:ilvl w:val="0"/>
          <w:numId w:val="135"/>
        </w:numPr>
        <w:spacing w:after="5" w:line="250" w:lineRule="auto"/>
        <w:ind w:hanging="200"/>
        <w:jc w:val="both"/>
      </w:pPr>
      <w:r>
        <w:rPr>
          <w:rFonts w:ascii="Arial" w:eastAsia="Arial" w:hAnsi="Arial" w:cs="Arial"/>
          <w:sz w:val="18"/>
        </w:rPr>
        <w:t>La prova orale verte su:</w:t>
      </w:r>
    </w:p>
    <w:p w14:paraId="68222E10" w14:textId="77777777" w:rsidR="00B32EF2" w:rsidRDefault="00000000">
      <w:pPr>
        <w:numPr>
          <w:ilvl w:val="0"/>
          <w:numId w:val="136"/>
        </w:numPr>
        <w:spacing w:after="5" w:line="250" w:lineRule="auto"/>
        <w:ind w:hanging="208"/>
        <w:jc w:val="both"/>
      </w:pPr>
      <w:r>
        <w:rPr>
          <w:rFonts w:ascii="Arial" w:eastAsia="Arial" w:hAnsi="Arial" w:cs="Arial"/>
          <w:sz w:val="18"/>
        </w:rPr>
        <w:t>diritto tributario e diritto processuale tributario;</w:t>
      </w:r>
    </w:p>
    <w:p w14:paraId="024E11FA" w14:textId="77777777" w:rsidR="00B32EF2" w:rsidRDefault="00000000">
      <w:pPr>
        <w:numPr>
          <w:ilvl w:val="0"/>
          <w:numId w:val="136"/>
        </w:numPr>
        <w:spacing w:after="5" w:line="250" w:lineRule="auto"/>
        <w:ind w:hanging="208"/>
        <w:jc w:val="both"/>
      </w:pPr>
      <w:r>
        <w:rPr>
          <w:rFonts w:ascii="Arial" w:eastAsia="Arial" w:hAnsi="Arial" w:cs="Arial"/>
          <w:sz w:val="18"/>
        </w:rPr>
        <w:t>diritto civile e diritto processuale civile;</w:t>
      </w:r>
    </w:p>
    <w:p w14:paraId="08146875" w14:textId="77777777" w:rsidR="00B32EF2" w:rsidRDefault="00000000">
      <w:pPr>
        <w:numPr>
          <w:ilvl w:val="0"/>
          <w:numId w:val="136"/>
        </w:numPr>
        <w:spacing w:after="5" w:line="250" w:lineRule="auto"/>
        <w:ind w:hanging="208"/>
        <w:jc w:val="both"/>
      </w:pPr>
      <w:r>
        <w:rPr>
          <w:rFonts w:ascii="Arial" w:eastAsia="Arial" w:hAnsi="Arial" w:cs="Arial"/>
          <w:sz w:val="18"/>
        </w:rPr>
        <w:t>diritto penale tributario;</w:t>
      </w:r>
    </w:p>
    <w:p w14:paraId="11F812AC" w14:textId="77777777" w:rsidR="00B32EF2" w:rsidRDefault="00000000">
      <w:pPr>
        <w:numPr>
          <w:ilvl w:val="0"/>
          <w:numId w:val="136"/>
        </w:numPr>
        <w:spacing w:after="5" w:line="250" w:lineRule="auto"/>
        <w:ind w:hanging="208"/>
        <w:jc w:val="both"/>
      </w:pPr>
      <w:r>
        <w:rPr>
          <w:rFonts w:ascii="Arial" w:eastAsia="Arial" w:hAnsi="Arial" w:cs="Arial"/>
          <w:sz w:val="18"/>
        </w:rPr>
        <w:t>diritto costituzionale e diritto amministrativo;</w:t>
      </w:r>
    </w:p>
    <w:p w14:paraId="74F10380" w14:textId="77777777" w:rsidR="00B32EF2" w:rsidRDefault="00000000">
      <w:pPr>
        <w:numPr>
          <w:ilvl w:val="0"/>
          <w:numId w:val="136"/>
        </w:numPr>
        <w:spacing w:after="5" w:line="250" w:lineRule="auto"/>
        <w:ind w:hanging="208"/>
        <w:jc w:val="both"/>
      </w:pPr>
      <w:r>
        <w:rPr>
          <w:rFonts w:ascii="Arial" w:eastAsia="Arial" w:hAnsi="Arial" w:cs="Arial"/>
          <w:sz w:val="18"/>
        </w:rPr>
        <w:t>diritto commerciale;</w:t>
      </w:r>
    </w:p>
    <w:p w14:paraId="5D202AD7" w14:textId="77777777" w:rsidR="00B32EF2" w:rsidRDefault="00000000">
      <w:pPr>
        <w:numPr>
          <w:ilvl w:val="0"/>
          <w:numId w:val="136"/>
        </w:numPr>
        <w:spacing w:after="5" w:line="250" w:lineRule="auto"/>
        <w:ind w:hanging="208"/>
        <w:jc w:val="both"/>
      </w:pPr>
      <w:r>
        <w:rPr>
          <w:rFonts w:ascii="Arial" w:eastAsia="Arial" w:hAnsi="Arial" w:cs="Arial"/>
          <w:sz w:val="18"/>
        </w:rPr>
        <w:t>diritto dell’Unione europea;</w:t>
      </w:r>
    </w:p>
    <w:p w14:paraId="36185A8A" w14:textId="77777777" w:rsidR="00B32EF2" w:rsidRDefault="00000000">
      <w:pPr>
        <w:numPr>
          <w:ilvl w:val="0"/>
          <w:numId w:val="136"/>
        </w:numPr>
        <w:spacing w:after="5" w:line="250" w:lineRule="auto"/>
        <w:ind w:hanging="208"/>
        <w:jc w:val="both"/>
      </w:pPr>
      <w:r>
        <w:rPr>
          <w:rFonts w:ascii="Arial" w:eastAsia="Arial" w:hAnsi="Arial" w:cs="Arial"/>
          <w:sz w:val="18"/>
        </w:rPr>
        <w:t>soppressa;</w:t>
      </w:r>
    </w:p>
    <w:p w14:paraId="5F563134" w14:textId="77777777" w:rsidR="00B32EF2" w:rsidRDefault="00000000">
      <w:pPr>
        <w:numPr>
          <w:ilvl w:val="0"/>
          <w:numId w:val="136"/>
        </w:numPr>
        <w:spacing w:after="5" w:line="250" w:lineRule="auto"/>
        <w:ind w:hanging="208"/>
        <w:jc w:val="both"/>
      </w:pPr>
      <w:r>
        <w:rPr>
          <w:rFonts w:ascii="Arial" w:eastAsia="Arial" w:hAnsi="Arial" w:cs="Arial"/>
          <w:sz w:val="18"/>
        </w:rPr>
        <w:t>contabilità aziendale e bilancio;</w:t>
      </w:r>
    </w:p>
    <w:p w14:paraId="08AA8644" w14:textId="77777777" w:rsidR="00B32EF2" w:rsidRDefault="00000000">
      <w:pPr>
        <w:numPr>
          <w:ilvl w:val="0"/>
          <w:numId w:val="136"/>
        </w:numPr>
        <w:spacing w:after="5" w:line="250" w:lineRule="auto"/>
        <w:ind w:hanging="208"/>
        <w:jc w:val="both"/>
      </w:pPr>
      <w:r>
        <w:rPr>
          <w:rFonts w:ascii="Arial" w:eastAsia="Arial" w:hAnsi="Arial" w:cs="Arial"/>
          <w:sz w:val="18"/>
        </w:rPr>
        <w:t>elementi di informatica giuridica;</w:t>
      </w:r>
    </w:p>
    <w:p w14:paraId="10ED812C" w14:textId="77777777" w:rsidR="00B32EF2" w:rsidRDefault="00000000">
      <w:pPr>
        <w:spacing w:after="5" w:line="250" w:lineRule="auto"/>
        <w:ind w:left="-4" w:hanging="10"/>
        <w:jc w:val="both"/>
      </w:pPr>
      <w:r>
        <w:rPr>
          <w:rFonts w:ascii="Arial" w:eastAsia="Arial" w:hAnsi="Arial" w:cs="Arial"/>
          <w:sz w:val="18"/>
        </w:rPr>
        <w:t>l) colloquio in una lingua straniera, indicata dal candidato all’atto della domanda di partecipazione al concorso, scelta fra le seguenti: inglese, spagnolo, francese e tedesco.</w:t>
      </w:r>
    </w:p>
    <w:p w14:paraId="02813DBE" w14:textId="77777777" w:rsidR="00B32EF2" w:rsidRDefault="00000000">
      <w:pPr>
        <w:numPr>
          <w:ilvl w:val="0"/>
          <w:numId w:val="137"/>
        </w:numPr>
        <w:spacing w:after="5" w:line="250" w:lineRule="auto"/>
        <w:ind w:hanging="10"/>
        <w:jc w:val="both"/>
      </w:pPr>
      <w:r>
        <w:rPr>
          <w:rFonts w:ascii="Arial" w:eastAsia="Arial" w:hAnsi="Arial" w:cs="Arial"/>
          <w:sz w:val="18"/>
        </w:rPr>
        <w:t xml:space="preserve">Sono ammessi alla prova orale i candidati che ottengono un punteggio </w:t>
      </w:r>
      <w:proofErr w:type="spellStart"/>
      <w:r>
        <w:rPr>
          <w:rFonts w:ascii="Arial" w:eastAsia="Arial" w:hAnsi="Arial" w:cs="Arial"/>
          <w:sz w:val="18"/>
        </w:rPr>
        <w:t>noninferiore</w:t>
      </w:r>
      <w:proofErr w:type="spellEnd"/>
      <w:r>
        <w:rPr>
          <w:rFonts w:ascii="Arial" w:eastAsia="Arial" w:hAnsi="Arial" w:cs="Arial"/>
          <w:sz w:val="18"/>
        </w:rPr>
        <w:t xml:space="preserve"> a dodici ventesimi in ciascun elaborato della prova scritta. Conseguono l’idoneità i candidati che ottengono un punteggio non inferiore a sei decimi in ciascuna delle materie della prova orale di cui al comma 4, lettere da a) a i), e un giudizio di sufficienza nel colloquio nella lingua straniera prescelta, e comunque una votazione complessiva nelle due prove non inferiore a novanta punti. Non sono ammesse frazioni di punto. Agli effetti di cui all’articolo 3 della legge 7 agosto 1990, n. 241, il giudizio in ciascuna delle prove scritte e orali è motivato con l’indicazione del solo punteggio numerico e il giudizio di insufficienza è motivato con la sola formula “non idoneo”.</w:t>
      </w:r>
    </w:p>
    <w:p w14:paraId="332A63D0" w14:textId="77777777" w:rsidR="00B32EF2" w:rsidRDefault="00000000">
      <w:pPr>
        <w:numPr>
          <w:ilvl w:val="0"/>
          <w:numId w:val="137"/>
        </w:numPr>
        <w:spacing w:after="5" w:line="250" w:lineRule="auto"/>
        <w:ind w:hanging="10"/>
        <w:jc w:val="both"/>
      </w:pPr>
      <w:r>
        <w:rPr>
          <w:rFonts w:ascii="Arial" w:eastAsia="Arial" w:hAnsi="Arial" w:cs="Arial"/>
          <w:sz w:val="18"/>
        </w:rPr>
        <w:t xml:space="preserve">Con decreto del Ministro dell’economia e delle finanze, previa </w:t>
      </w:r>
      <w:proofErr w:type="spellStart"/>
      <w:r>
        <w:rPr>
          <w:rFonts w:ascii="Arial" w:eastAsia="Arial" w:hAnsi="Arial" w:cs="Arial"/>
          <w:sz w:val="18"/>
        </w:rPr>
        <w:t>deliberazioneconforme</w:t>
      </w:r>
      <w:proofErr w:type="spellEnd"/>
      <w:r>
        <w:rPr>
          <w:rFonts w:ascii="Arial" w:eastAsia="Arial" w:hAnsi="Arial" w:cs="Arial"/>
          <w:sz w:val="18"/>
        </w:rPr>
        <w:t xml:space="preserve"> del Consiglio di presidenza della giustizia tributaria, </w:t>
      </w:r>
      <w:r>
        <w:rPr>
          <w:rFonts w:ascii="Arial" w:eastAsia="Arial" w:hAnsi="Arial" w:cs="Arial"/>
          <w:sz w:val="18"/>
        </w:rPr>
        <w:lastRenderedPageBreak/>
        <w:t>terminata la valutazione degli elaborati scritti, sono nominati componenti della commissione esaminatrice docenti universitari delle lingue indicate dai candidati ammessi alla prova orale. I commissari così nominati partecipano in soprannumero ai lavori della commissione, ovvero delle sottocommissioni, qualora formate, limitatamente alle prove orali relative alla lingua straniera della quale sono docenti.</w:t>
      </w:r>
    </w:p>
    <w:p w14:paraId="7C43E878" w14:textId="77777777" w:rsidR="00B32EF2" w:rsidRDefault="00000000">
      <w:pPr>
        <w:numPr>
          <w:ilvl w:val="0"/>
          <w:numId w:val="137"/>
        </w:numPr>
        <w:spacing w:after="201" w:line="250" w:lineRule="auto"/>
        <w:ind w:hanging="10"/>
        <w:jc w:val="both"/>
      </w:pPr>
      <w:r>
        <w:rPr>
          <w:rFonts w:ascii="Arial" w:eastAsia="Arial" w:hAnsi="Arial" w:cs="Arial"/>
          <w:sz w:val="18"/>
        </w:rPr>
        <w:t xml:space="preserve">Per la copertura dei posti di magistrato tributario nella provincia di </w:t>
      </w:r>
      <w:proofErr w:type="spellStart"/>
      <w:r>
        <w:rPr>
          <w:rFonts w:ascii="Arial" w:eastAsia="Arial" w:hAnsi="Arial" w:cs="Arial"/>
          <w:sz w:val="18"/>
        </w:rPr>
        <w:t>Bolzanosi</w:t>
      </w:r>
      <w:proofErr w:type="spellEnd"/>
      <w:r>
        <w:rPr>
          <w:rFonts w:ascii="Arial" w:eastAsia="Arial" w:hAnsi="Arial" w:cs="Arial"/>
          <w:sz w:val="18"/>
        </w:rPr>
        <w:t xml:space="preserve"> applicano gli specifici requisiti previsti</w:t>
      </w:r>
      <w:r>
        <w:rPr>
          <w:rFonts w:ascii="Times New Roman" w:eastAsia="Times New Roman" w:hAnsi="Times New Roman" w:cs="Times New Roman"/>
          <w:sz w:val="18"/>
        </w:rPr>
        <w:t xml:space="preserve"> </w:t>
      </w:r>
      <w:r>
        <w:rPr>
          <w:rFonts w:ascii="Arial" w:eastAsia="Arial" w:hAnsi="Arial" w:cs="Arial"/>
          <w:sz w:val="18"/>
        </w:rPr>
        <w:t>dal decreto del Presidente della Repubblica 26 luglio 1976, n. 752, fermo restando, comunque, che il colloquio di cui al comma 4, lettera l), deve svolgersi in una lingua diversa rispetto a quella obbligatoria per il conseguimento dell’impiego.</w:t>
      </w:r>
    </w:p>
    <w:p w14:paraId="543A467E" w14:textId="77777777" w:rsidR="00B32EF2" w:rsidRDefault="00000000">
      <w:pPr>
        <w:pStyle w:val="Titolo3"/>
        <w:ind w:left="129" w:right="120"/>
      </w:pPr>
      <w:r>
        <w:t>NORME RICHIAMATE</w:t>
      </w:r>
    </w:p>
    <w:p w14:paraId="5AAF3633"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0" w:line="225" w:lineRule="auto"/>
        <w:ind w:left="129" w:right="120" w:hanging="10"/>
      </w:pPr>
      <w:r>
        <w:rPr>
          <w:rFonts w:ascii="Arial" w:eastAsia="Arial" w:hAnsi="Arial" w:cs="Arial"/>
          <w:i/>
          <w:sz w:val="18"/>
        </w:rPr>
        <w:t>art. 8 regio decreto 1860/1925 recante “Modificazioni al regolamento per il concorso di ammissione in magistratura contenuto nel R. decreto 19 luglio 1924, n. 1218”.</w:t>
      </w:r>
    </w:p>
    <w:p w14:paraId="0EBF27FC"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 xml:space="preserve">art. 3 L. 241/1990 “Motivazione del provvedimento” </w:t>
      </w:r>
    </w:p>
    <w:p w14:paraId="566D9FC6" w14:textId="77777777" w:rsidR="00B32EF2" w:rsidRDefault="00000000">
      <w:pPr>
        <w:numPr>
          <w:ilvl w:val="0"/>
          <w:numId w:val="138"/>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Ogni    provvedimento   amministrativo,   compresi   quelli   </w:t>
      </w:r>
      <w:proofErr w:type="spellStart"/>
      <w:r>
        <w:rPr>
          <w:rFonts w:ascii="Arial" w:eastAsia="Arial" w:hAnsi="Arial" w:cs="Arial"/>
          <w:i/>
          <w:sz w:val="18"/>
        </w:rPr>
        <w:t>concernentil’organizzazione</w:t>
      </w:r>
      <w:proofErr w:type="spellEnd"/>
      <w:r>
        <w:rPr>
          <w:rFonts w:ascii="Arial" w:eastAsia="Arial" w:hAnsi="Arial" w:cs="Arial"/>
          <w:i/>
          <w:sz w:val="18"/>
        </w:rPr>
        <w:t xml:space="preserve"> amministrativa,  lo  svolgimento  dei pubblici concorsi ed il  personale, deve  essere  motivato,  salvo che nelle ipotesi previste dal comma</w:t>
      </w:r>
    </w:p>
    <w:p w14:paraId="469755BB" w14:textId="77777777" w:rsidR="00B32EF2" w:rsidRDefault="00000000">
      <w:pPr>
        <w:numPr>
          <w:ilvl w:val="0"/>
          <w:numId w:val="138"/>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La   motivazione  deve  indicare  i  presupposti  di  fatto  e  le  </w:t>
      </w:r>
      <w:proofErr w:type="spellStart"/>
      <w:r>
        <w:rPr>
          <w:rFonts w:ascii="Arial" w:eastAsia="Arial" w:hAnsi="Arial" w:cs="Arial"/>
          <w:i/>
          <w:sz w:val="18"/>
        </w:rPr>
        <w:t>ragioniguiridiche</w:t>
      </w:r>
      <w:proofErr w:type="spellEnd"/>
      <w:r>
        <w:rPr>
          <w:rFonts w:ascii="Arial" w:eastAsia="Arial" w:hAnsi="Arial" w:cs="Arial"/>
          <w:i/>
          <w:sz w:val="18"/>
        </w:rPr>
        <w:t xml:space="preserve"> che  hanno  determinato  la  decisione  della  amministrazione, in relazione alle risultanze dell’istruttoria.</w:t>
      </w:r>
    </w:p>
    <w:p w14:paraId="36C0C8DE" w14:textId="77777777" w:rsidR="00B32EF2" w:rsidRDefault="00000000">
      <w:pPr>
        <w:numPr>
          <w:ilvl w:val="0"/>
          <w:numId w:val="138"/>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La  motivazione  non  è  richiesta per gli atti normativi e per quelli a contenuto generale.</w:t>
      </w:r>
    </w:p>
    <w:p w14:paraId="1CE6AFA3" w14:textId="77777777" w:rsidR="00B32EF2" w:rsidRDefault="00000000">
      <w:pPr>
        <w:numPr>
          <w:ilvl w:val="0"/>
          <w:numId w:val="138"/>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Se    le    ragioni    della    decisione   risultano   da   altro   atto dell’amministrazione richiamato   dalla   decisione   stessa,   insieme   alla  comunicazione di  quest’ultima  deve  essere  indicato  e  reso disponibile, a  norma della presente legge, anche l’atto cui essa si richiama.</w:t>
      </w:r>
    </w:p>
    <w:p w14:paraId="58ECC286" w14:textId="77777777" w:rsidR="00B32EF2" w:rsidRDefault="00000000">
      <w:pPr>
        <w:numPr>
          <w:ilvl w:val="0"/>
          <w:numId w:val="138"/>
        </w:numPr>
        <w:pBdr>
          <w:top w:val="single" w:sz="8" w:space="0" w:color="000000"/>
          <w:left w:val="single" w:sz="8" w:space="0" w:color="000000"/>
          <w:bottom w:val="single" w:sz="8" w:space="0" w:color="000000"/>
          <w:right w:val="single" w:sz="8" w:space="0" w:color="000000"/>
        </w:pBdr>
        <w:shd w:val="clear" w:color="auto" w:fill="C3C3C3"/>
        <w:spacing w:after="401" w:line="255" w:lineRule="auto"/>
        <w:ind w:right="120" w:hanging="10"/>
        <w:jc w:val="both"/>
      </w:pPr>
      <w:r>
        <w:rPr>
          <w:rFonts w:ascii="Arial" w:eastAsia="Arial" w:hAnsi="Arial" w:cs="Arial"/>
          <w:i/>
          <w:sz w:val="18"/>
        </w:rPr>
        <w:t xml:space="preserve">In  ogni  atto  notificato  al  destinatario  devono  essere  indicati il </w:t>
      </w:r>
      <w:proofErr w:type="spellStart"/>
      <w:r>
        <w:rPr>
          <w:rFonts w:ascii="Arial" w:eastAsia="Arial" w:hAnsi="Arial" w:cs="Arial"/>
          <w:i/>
          <w:sz w:val="18"/>
        </w:rPr>
        <w:t>terminee</w:t>
      </w:r>
      <w:proofErr w:type="spellEnd"/>
      <w:r>
        <w:rPr>
          <w:rFonts w:ascii="Arial" w:eastAsia="Arial" w:hAnsi="Arial" w:cs="Arial"/>
          <w:i/>
          <w:sz w:val="18"/>
        </w:rPr>
        <w:t xml:space="preserve"> l’autorità cui è possibile ricorrere.</w:t>
      </w:r>
    </w:p>
    <w:p w14:paraId="0DEF855F" w14:textId="77777777" w:rsidR="00B32EF2" w:rsidRDefault="00000000">
      <w:pPr>
        <w:spacing w:after="0" w:line="261" w:lineRule="auto"/>
        <w:ind w:left="12" w:right="3" w:hanging="10"/>
        <w:jc w:val="center"/>
      </w:pPr>
      <w:r>
        <w:rPr>
          <w:rFonts w:ascii="Arial" w:eastAsia="Arial" w:hAnsi="Arial" w:cs="Arial"/>
          <w:b/>
          <w:sz w:val="18"/>
        </w:rPr>
        <w:t>Articolo 4-</w:t>
      </w:r>
      <w:r>
        <w:rPr>
          <w:rFonts w:ascii="Arial" w:eastAsia="Arial" w:hAnsi="Arial" w:cs="Arial"/>
          <w:b/>
          <w:i/>
          <w:sz w:val="18"/>
        </w:rPr>
        <w:t>bis</w:t>
      </w:r>
    </w:p>
    <w:p w14:paraId="38DC3633" w14:textId="77777777" w:rsidR="00B32EF2" w:rsidRDefault="00000000">
      <w:pPr>
        <w:spacing w:after="3" w:line="251" w:lineRule="auto"/>
        <w:ind w:left="2320" w:right="2311" w:hanging="10"/>
        <w:jc w:val="center"/>
      </w:pPr>
      <w:r>
        <w:rPr>
          <w:rFonts w:ascii="Arial" w:eastAsia="Arial" w:hAnsi="Arial" w:cs="Arial"/>
          <w:i/>
          <w:sz w:val="18"/>
        </w:rPr>
        <w:t>(articolo 6 TUGT)</w:t>
      </w:r>
    </w:p>
    <w:p w14:paraId="73180E34" w14:textId="77777777" w:rsidR="00B32EF2" w:rsidRDefault="00000000">
      <w:pPr>
        <w:spacing w:after="0" w:line="261" w:lineRule="auto"/>
        <w:ind w:left="12" w:right="3" w:hanging="10"/>
        <w:jc w:val="center"/>
      </w:pPr>
      <w:r>
        <w:rPr>
          <w:rFonts w:ascii="Arial" w:eastAsia="Arial" w:hAnsi="Arial" w:cs="Arial"/>
          <w:b/>
          <w:sz w:val="18"/>
        </w:rPr>
        <w:t xml:space="preserve">Requisiti per l’ammissione al concorso per esami </w:t>
      </w:r>
    </w:p>
    <w:p w14:paraId="7CE5CC42" w14:textId="77777777" w:rsidR="00B32EF2" w:rsidRDefault="00000000">
      <w:pPr>
        <w:spacing w:after="5" w:line="250" w:lineRule="auto"/>
        <w:ind w:left="-4" w:hanging="10"/>
        <w:jc w:val="both"/>
      </w:pPr>
      <w:r>
        <w:rPr>
          <w:rFonts w:ascii="Arial" w:eastAsia="Arial" w:hAnsi="Arial" w:cs="Arial"/>
          <w:sz w:val="18"/>
        </w:rPr>
        <w:t xml:space="preserve">1. Al concorso per esami di cui all’articolo 4 sono ammessi i laureati che siano in possesso del diploma di laurea in giurisprudenza conseguito al termine di un corso universitario di durata non inferiore a quattro anni, ovvero del diploma di laurea magistrale in Scienze dell’economia (classe LM-56) o in Scienze economico-aziendali (classe LM-77) o di titoli degli ordinamenti previgenti a </w:t>
      </w:r>
      <w:r>
        <w:rPr>
          <w:rFonts w:ascii="Arial" w:eastAsia="Arial" w:hAnsi="Arial" w:cs="Arial"/>
          <w:sz w:val="18"/>
        </w:rPr>
        <w:lastRenderedPageBreak/>
        <w:t>questi equiparati. E’ necessaria, altresì, la sussistenza dei seguenti requisiti: a) essere cittadini italiani;</w:t>
      </w:r>
    </w:p>
    <w:p w14:paraId="16DA0B6C" w14:textId="77777777" w:rsidR="00B32EF2" w:rsidRDefault="00000000">
      <w:pPr>
        <w:numPr>
          <w:ilvl w:val="0"/>
          <w:numId w:val="139"/>
        </w:numPr>
        <w:spacing w:after="5" w:line="250" w:lineRule="auto"/>
        <w:ind w:hanging="201"/>
        <w:jc w:val="both"/>
      </w:pPr>
      <w:r>
        <w:rPr>
          <w:rFonts w:ascii="Arial" w:eastAsia="Arial" w:hAnsi="Arial" w:cs="Arial"/>
          <w:sz w:val="18"/>
        </w:rPr>
        <w:t>avere l’esercizio dei diritti civili;</w:t>
      </w:r>
    </w:p>
    <w:p w14:paraId="45F4E30F" w14:textId="77777777" w:rsidR="00B32EF2" w:rsidRDefault="00000000">
      <w:pPr>
        <w:numPr>
          <w:ilvl w:val="0"/>
          <w:numId w:val="139"/>
        </w:numPr>
        <w:spacing w:after="5" w:line="250" w:lineRule="auto"/>
        <w:ind w:hanging="201"/>
        <w:jc w:val="both"/>
      </w:pPr>
      <w:r>
        <w:rPr>
          <w:rFonts w:ascii="Arial" w:eastAsia="Arial" w:hAnsi="Arial" w:cs="Arial"/>
          <w:sz w:val="18"/>
        </w:rPr>
        <w:t>essere di condotta incensurabile;</w:t>
      </w:r>
    </w:p>
    <w:p w14:paraId="5EB79276" w14:textId="77777777" w:rsidR="00B32EF2" w:rsidRDefault="00000000">
      <w:pPr>
        <w:numPr>
          <w:ilvl w:val="0"/>
          <w:numId w:val="139"/>
        </w:numPr>
        <w:spacing w:after="5" w:line="250" w:lineRule="auto"/>
        <w:ind w:hanging="201"/>
        <w:jc w:val="both"/>
      </w:pPr>
      <w:r>
        <w:rPr>
          <w:rFonts w:ascii="Arial" w:eastAsia="Arial" w:hAnsi="Arial" w:cs="Arial"/>
          <w:sz w:val="18"/>
        </w:rPr>
        <w:t xml:space="preserve">non essere stati dichiarati per tre volte non idonei nel concorso per esami </w:t>
      </w:r>
      <w:proofErr w:type="spellStart"/>
      <w:r>
        <w:rPr>
          <w:rFonts w:ascii="Arial" w:eastAsia="Arial" w:hAnsi="Arial" w:cs="Arial"/>
          <w:sz w:val="18"/>
        </w:rPr>
        <w:t>dicui</w:t>
      </w:r>
      <w:proofErr w:type="spellEnd"/>
      <w:r>
        <w:rPr>
          <w:rFonts w:ascii="Arial" w:eastAsia="Arial" w:hAnsi="Arial" w:cs="Arial"/>
          <w:sz w:val="18"/>
        </w:rPr>
        <w:t xml:space="preserve"> all’articolo 4, alla data di scadenza del termine per la presentazione della domanda;</w:t>
      </w:r>
    </w:p>
    <w:p w14:paraId="437A94CE" w14:textId="77777777" w:rsidR="00B32EF2" w:rsidRDefault="00000000">
      <w:pPr>
        <w:numPr>
          <w:ilvl w:val="0"/>
          <w:numId w:val="139"/>
        </w:numPr>
        <w:spacing w:after="194" w:line="250" w:lineRule="auto"/>
        <w:ind w:hanging="201"/>
        <w:jc w:val="both"/>
      </w:pPr>
      <w:r>
        <w:rPr>
          <w:rFonts w:ascii="Arial" w:eastAsia="Arial" w:hAnsi="Arial" w:cs="Arial"/>
          <w:sz w:val="18"/>
        </w:rPr>
        <w:t>gli altri requisiti richiesti dalle leggi vigenti.</w:t>
      </w:r>
    </w:p>
    <w:p w14:paraId="50AB77CE" w14:textId="77777777" w:rsidR="00B32EF2" w:rsidRDefault="00000000">
      <w:pPr>
        <w:spacing w:after="0" w:line="261" w:lineRule="auto"/>
        <w:ind w:left="12" w:right="3" w:hanging="10"/>
        <w:jc w:val="center"/>
      </w:pPr>
      <w:r>
        <w:rPr>
          <w:rFonts w:ascii="Arial" w:eastAsia="Arial" w:hAnsi="Arial" w:cs="Arial"/>
          <w:b/>
          <w:sz w:val="18"/>
        </w:rPr>
        <w:t>Articolo 4-</w:t>
      </w:r>
      <w:r>
        <w:rPr>
          <w:rFonts w:ascii="Arial" w:eastAsia="Arial" w:hAnsi="Arial" w:cs="Arial"/>
          <w:b/>
          <w:i/>
          <w:sz w:val="18"/>
        </w:rPr>
        <w:t>ter</w:t>
      </w:r>
    </w:p>
    <w:p w14:paraId="5D1FF2ED" w14:textId="77777777" w:rsidR="00B32EF2" w:rsidRDefault="00000000">
      <w:pPr>
        <w:spacing w:after="3" w:line="251" w:lineRule="auto"/>
        <w:ind w:left="2320" w:right="2311" w:hanging="10"/>
        <w:jc w:val="center"/>
      </w:pPr>
      <w:r>
        <w:rPr>
          <w:rFonts w:ascii="Arial" w:eastAsia="Arial" w:hAnsi="Arial" w:cs="Arial"/>
          <w:i/>
          <w:sz w:val="18"/>
        </w:rPr>
        <w:t>(articolo 7 TUGT)</w:t>
      </w:r>
    </w:p>
    <w:p w14:paraId="2DB746D0" w14:textId="77777777" w:rsidR="00B32EF2" w:rsidRDefault="00000000">
      <w:pPr>
        <w:spacing w:after="0" w:line="261" w:lineRule="auto"/>
        <w:ind w:left="12" w:right="3" w:hanging="10"/>
        <w:jc w:val="center"/>
      </w:pPr>
      <w:r>
        <w:rPr>
          <w:rFonts w:ascii="Arial" w:eastAsia="Arial" w:hAnsi="Arial" w:cs="Arial"/>
          <w:b/>
          <w:sz w:val="18"/>
        </w:rPr>
        <w:t xml:space="preserve"> Indizione del concorso e svolgimento della prova scritta </w:t>
      </w:r>
    </w:p>
    <w:p w14:paraId="6B2475CC" w14:textId="77777777" w:rsidR="00B32EF2" w:rsidRDefault="00000000">
      <w:pPr>
        <w:numPr>
          <w:ilvl w:val="0"/>
          <w:numId w:val="140"/>
        </w:numPr>
        <w:spacing w:after="5" w:line="250" w:lineRule="auto"/>
        <w:ind w:hanging="10"/>
        <w:jc w:val="both"/>
      </w:pPr>
      <w:r>
        <w:rPr>
          <w:rFonts w:ascii="Arial" w:eastAsia="Arial" w:hAnsi="Arial" w:cs="Arial"/>
          <w:sz w:val="18"/>
        </w:rPr>
        <w:t xml:space="preserve">Il concorso per esami di cui all’articolo 4 si svolge con cadenza di </w:t>
      </w:r>
      <w:proofErr w:type="spellStart"/>
      <w:r>
        <w:rPr>
          <w:rFonts w:ascii="Arial" w:eastAsia="Arial" w:hAnsi="Arial" w:cs="Arial"/>
          <w:sz w:val="18"/>
        </w:rPr>
        <w:t>normaannuale</w:t>
      </w:r>
      <w:proofErr w:type="spellEnd"/>
      <w:r>
        <w:rPr>
          <w:rFonts w:ascii="Arial" w:eastAsia="Arial" w:hAnsi="Arial" w:cs="Arial"/>
          <w:sz w:val="18"/>
        </w:rPr>
        <w:t xml:space="preserve"> in una o più sedi stabilite con il decreto con il quale è bandito.</w:t>
      </w:r>
    </w:p>
    <w:p w14:paraId="70C803F3" w14:textId="77777777" w:rsidR="00B32EF2" w:rsidRDefault="00000000">
      <w:pPr>
        <w:numPr>
          <w:ilvl w:val="0"/>
          <w:numId w:val="140"/>
        </w:numPr>
        <w:spacing w:after="5" w:line="250" w:lineRule="auto"/>
        <w:ind w:hanging="10"/>
        <w:jc w:val="both"/>
      </w:pPr>
      <w:r>
        <w:rPr>
          <w:rFonts w:ascii="Arial" w:eastAsia="Arial" w:hAnsi="Arial" w:cs="Arial"/>
          <w:sz w:val="18"/>
        </w:rPr>
        <w:t>Il concorso è bandito con decreto del Ministro dell’economia e delle finanze, previa deliberazione conforme del Consiglio di presidenza della giustizia tributaria, che determina il numero dei posti messi a concorso. Con successivi decreti del Ministro dell’economia e delle finanze, da pubblicare nella Gazzetta Ufficiale, sono determinati il luogo e il calendario di svolgimento della prova scritta.</w:t>
      </w:r>
    </w:p>
    <w:p w14:paraId="444C7065" w14:textId="77777777" w:rsidR="00B32EF2" w:rsidRDefault="00000000">
      <w:pPr>
        <w:spacing w:after="5" w:line="250" w:lineRule="auto"/>
        <w:ind w:left="-4" w:hanging="10"/>
        <w:jc w:val="both"/>
      </w:pPr>
      <w:r>
        <w:rPr>
          <w:rFonts w:ascii="Arial" w:eastAsia="Arial" w:hAnsi="Arial" w:cs="Arial"/>
          <w:sz w:val="18"/>
        </w:rPr>
        <w:t>2-bis. La domanda di partecipazione al concorso per esami per magistrato tributario è presentata per via telematica al Ministero dell’economia e delle finanze secondo le modalità e nei termini stabiliti con il bando di concorso. Il Consiglio di presidenza della giustizia tributaria non ammette a partecipare al concorso i candidati le cui domande sono inviate in difformità da quanto stabilito nel bando di concorso. Il provvedimento di esclusione è comunicato agli interessati almeno trenta giorni prima dello svolgimento della prova scritta. 3. In considerazione del numero delle domande, la prova scritta può aver luogo contemporaneamente in Roma e in altre sedi, assicurando il collegamento a distanza della commissione esaminatrice con le diverse sedi.</w:t>
      </w:r>
    </w:p>
    <w:p w14:paraId="4380BAEB" w14:textId="77777777" w:rsidR="00B32EF2" w:rsidRDefault="00000000">
      <w:pPr>
        <w:numPr>
          <w:ilvl w:val="0"/>
          <w:numId w:val="141"/>
        </w:numPr>
        <w:spacing w:after="5" w:line="250" w:lineRule="auto"/>
        <w:ind w:hanging="10"/>
        <w:jc w:val="both"/>
      </w:pPr>
      <w:r>
        <w:rPr>
          <w:rFonts w:ascii="Arial" w:eastAsia="Arial" w:hAnsi="Arial" w:cs="Arial"/>
          <w:sz w:val="18"/>
        </w:rPr>
        <w:t xml:space="preserve">Ove la prova scritta abbia luogo contemporaneamente in più sedi, la commissione esaminatrice espleta le operazioni inerenti alla formulazione e alla scelta dei temi e presiede allo svolgimento delle prove presso la sede di svolgimento della prova in Roma. Presso le altre sedi le funzioni della commissione per il regolare espletamento delle prove scritte sono attribuite ad un comitato di vigilanza nominato con decreto del Ministro dell’economia e delle finanze, previa delibera del Consiglio di presidenza della giustizia tributaria, e composto da cinque magistrati scelti tra i magistrati tributari di cui all’articolo 1-bis, comma 2, ovvero tra quelli ordinari, amministrativi, contabili o militari, in servizio o a riposo presenti nella giurisdizione tributaria di cui all’articolo 1-bis, dei quali uno con anzianità di servizio non inferiore a otto anni con funzioni di presidente, coadiuvato da personale amministrativo dell’Area funzionari in servizio presso il Ministero dell’economia e delle finanze, come definita dal </w:t>
      </w:r>
      <w:r>
        <w:rPr>
          <w:rFonts w:ascii="Arial" w:eastAsia="Arial" w:hAnsi="Arial" w:cs="Arial"/>
          <w:sz w:val="18"/>
        </w:rPr>
        <w:lastRenderedPageBreak/>
        <w:t>contratto collettivo nazionale di lavoro del comparto Funzioni centrali, con funzioni di segreteria. Il comitato svolge la sua attività in ogni seduta con la presenza di non meno di tre componenti. In caso di assenza o impedimento, il presidente è sostituito dal magistrato più anziano. Si applica ai predetti magistrati la disciplina dell’esonero dalle funzioni giudiziarie o giurisdizionali limitatamente alla durata delle prove.</w:t>
      </w:r>
    </w:p>
    <w:p w14:paraId="3C8F9640" w14:textId="77777777" w:rsidR="00B32EF2" w:rsidRDefault="00000000">
      <w:pPr>
        <w:numPr>
          <w:ilvl w:val="0"/>
          <w:numId w:val="141"/>
        </w:numPr>
        <w:spacing w:after="173" w:line="250" w:lineRule="auto"/>
        <w:ind w:hanging="10"/>
        <w:jc w:val="both"/>
      </w:pPr>
      <w:r>
        <w:rPr>
          <w:rFonts w:ascii="Arial" w:eastAsia="Arial" w:hAnsi="Arial" w:cs="Arial"/>
          <w:sz w:val="18"/>
        </w:rPr>
        <w:t xml:space="preserve">Le spese per il concorso sono poste a carico del candidato nella </w:t>
      </w:r>
      <w:proofErr w:type="spellStart"/>
      <w:r>
        <w:rPr>
          <w:rFonts w:ascii="Arial" w:eastAsia="Arial" w:hAnsi="Arial" w:cs="Arial"/>
          <w:sz w:val="18"/>
        </w:rPr>
        <w:t>misuraforfettaria</w:t>
      </w:r>
      <w:proofErr w:type="spellEnd"/>
      <w:r>
        <w:rPr>
          <w:rFonts w:ascii="Arial" w:eastAsia="Arial" w:hAnsi="Arial" w:cs="Arial"/>
          <w:sz w:val="18"/>
        </w:rPr>
        <w:t xml:space="preserve"> di euro 50, da corrispondere al momento della presentazione della domanda, e sono reiscritte nell’apposito capitolo di spesa della missione “Giustizia tributaria” dello stato di previsione del Ministero dell’economia e delle finanze. Le modalità di versamento del contributo di cui al presente comma sono stabilite con decreto, avente natura non regolamentare, del Ministro dell’economia e delle finanze. Il contributo è aggiornato ogni tre anni, con le medesime modalità, sulla base della variazione dell’indice dei prezzi al consumo per le famiglie di operai e impiegati, rilevata dall’ISTAT.</w:t>
      </w:r>
    </w:p>
    <w:p w14:paraId="6B83D6A9" w14:textId="77777777" w:rsidR="00B32EF2" w:rsidRDefault="00000000">
      <w:pPr>
        <w:spacing w:after="0" w:line="261" w:lineRule="auto"/>
        <w:ind w:left="12" w:right="3" w:hanging="10"/>
        <w:jc w:val="center"/>
      </w:pPr>
      <w:r>
        <w:rPr>
          <w:rFonts w:ascii="Arial" w:eastAsia="Arial" w:hAnsi="Arial" w:cs="Arial"/>
          <w:b/>
          <w:sz w:val="18"/>
        </w:rPr>
        <w:t>Articolo 4 quater</w:t>
      </w:r>
    </w:p>
    <w:p w14:paraId="3BCF0130" w14:textId="77777777" w:rsidR="00B32EF2" w:rsidRDefault="00000000">
      <w:pPr>
        <w:spacing w:after="3" w:line="251" w:lineRule="auto"/>
        <w:ind w:left="2320" w:right="2311" w:hanging="10"/>
        <w:jc w:val="center"/>
      </w:pPr>
      <w:r>
        <w:rPr>
          <w:rFonts w:ascii="Arial" w:eastAsia="Arial" w:hAnsi="Arial" w:cs="Arial"/>
          <w:i/>
          <w:sz w:val="18"/>
        </w:rPr>
        <w:t>(articolo 8 TUGT)</w:t>
      </w:r>
    </w:p>
    <w:p w14:paraId="0F6D6894" w14:textId="77777777" w:rsidR="00B32EF2" w:rsidRDefault="00000000">
      <w:pPr>
        <w:spacing w:after="0" w:line="261" w:lineRule="auto"/>
        <w:ind w:left="12" w:right="2" w:hanging="10"/>
        <w:jc w:val="center"/>
      </w:pPr>
      <w:r>
        <w:rPr>
          <w:rFonts w:ascii="Arial" w:eastAsia="Arial" w:hAnsi="Arial" w:cs="Arial"/>
          <w:b/>
          <w:sz w:val="18"/>
        </w:rPr>
        <w:t xml:space="preserve">Commissione di concorso </w:t>
      </w:r>
    </w:p>
    <w:p w14:paraId="7351BCF2" w14:textId="77777777" w:rsidR="00B32EF2" w:rsidRDefault="00000000">
      <w:pPr>
        <w:numPr>
          <w:ilvl w:val="0"/>
          <w:numId w:val="142"/>
        </w:numPr>
        <w:spacing w:after="5" w:line="250" w:lineRule="auto"/>
        <w:ind w:hanging="10"/>
        <w:jc w:val="both"/>
      </w:pPr>
      <w:r>
        <w:rPr>
          <w:rFonts w:ascii="Arial" w:eastAsia="Arial" w:hAnsi="Arial" w:cs="Arial"/>
          <w:sz w:val="18"/>
        </w:rPr>
        <w:t>La commissione di concorso è nominata, entro il quindicesimo giorno antecedente l’inizio della prova scritta, con decreto del Ministro dell’economia e delle finanze, adottato previa delibera del Consiglio di presidenza della giustizia tributaria.</w:t>
      </w:r>
    </w:p>
    <w:p w14:paraId="21CA7F2F" w14:textId="77777777" w:rsidR="00B32EF2" w:rsidRDefault="00000000">
      <w:pPr>
        <w:numPr>
          <w:ilvl w:val="0"/>
          <w:numId w:val="142"/>
        </w:numPr>
        <w:spacing w:after="5" w:line="250" w:lineRule="auto"/>
        <w:ind w:hanging="10"/>
        <w:jc w:val="both"/>
      </w:pPr>
      <w:r>
        <w:rPr>
          <w:rFonts w:ascii="Arial" w:eastAsia="Arial" w:hAnsi="Arial" w:cs="Arial"/>
          <w:sz w:val="18"/>
        </w:rPr>
        <w:t xml:space="preserve">La commissione di concorso è composta dal presidente di una corte </w:t>
      </w:r>
      <w:proofErr w:type="spellStart"/>
      <w:r>
        <w:rPr>
          <w:rFonts w:ascii="Arial" w:eastAsia="Arial" w:hAnsi="Arial" w:cs="Arial"/>
          <w:sz w:val="18"/>
        </w:rPr>
        <w:t>digiustizia</w:t>
      </w:r>
      <w:proofErr w:type="spellEnd"/>
      <w:r>
        <w:rPr>
          <w:rFonts w:ascii="Arial" w:eastAsia="Arial" w:hAnsi="Arial" w:cs="Arial"/>
          <w:sz w:val="18"/>
        </w:rPr>
        <w:t xml:space="preserve"> tributaria di secondo grado, che la presiede, da venti magistrati scelti tra magistrati tributari, ordinari, amministrativi, contabili e militari con almeno quindici anni di anzianità, da quattro professori universitari di ruolo, di cui due titolari dell’insegnamento di diritto tributario, gli altri titolari di uno degli insegnamenti delle altre materie oggetto di esame, </w:t>
      </w:r>
      <w:proofErr w:type="spellStart"/>
      <w:r>
        <w:rPr>
          <w:rFonts w:ascii="Arial" w:eastAsia="Arial" w:hAnsi="Arial" w:cs="Arial"/>
          <w:sz w:val="18"/>
        </w:rPr>
        <w:t>nonchè</w:t>
      </w:r>
      <w:proofErr w:type="spellEnd"/>
      <w:r>
        <w:rPr>
          <w:rFonts w:ascii="Arial" w:eastAsia="Arial" w:hAnsi="Arial" w:cs="Arial"/>
          <w:sz w:val="18"/>
        </w:rPr>
        <w:t xml:space="preserve"> da due avvocati iscritti all’albo speciale dei patrocinanti dinanzi alle magistrature superiori, nominati su proposta del Consiglio nazionale forense e da due dottori commercialisti con almeno quindici anni di anzianità, nominati su proposta del Consiglio nazionale dei dottori commercialisti e degli esperti contabili. Ai professori universitari componenti della commissione si applicano, a loro richiesta, le disposizioni di cui all’articolo 13, secondo comma, del decreto del Presidente della Repubblica 11 luglio 1980, n. 382. Al presidente e ai magistrati componenti della commissione si applica la disciplina dell’esonero dalle funzioni giudiziarie o giurisdizionali, ai sensi del comma 9 del presente articolo. Non possono essere nominati componenti della commissione coloro che, nei dieci anni precedenti, hanno prestato, a qualsiasi titolo e modo, attività di docenza nelle scuole di preparazione al concorso per magistrato tributario, ordinario, amministrativo e contabile. Con il decreto di cui al comma 1 possono </w:t>
      </w:r>
      <w:r>
        <w:rPr>
          <w:rFonts w:ascii="Arial" w:eastAsia="Arial" w:hAnsi="Arial" w:cs="Arial"/>
          <w:sz w:val="18"/>
        </w:rPr>
        <w:lastRenderedPageBreak/>
        <w:t>essere nominati i commissari supplenti destinati a sostituire i titolari in caso di assenza o di impedimento.</w:t>
      </w:r>
    </w:p>
    <w:p w14:paraId="707DFDDF" w14:textId="77777777" w:rsidR="00B32EF2" w:rsidRDefault="00000000">
      <w:pPr>
        <w:numPr>
          <w:ilvl w:val="0"/>
          <w:numId w:val="142"/>
        </w:numPr>
        <w:spacing w:after="5" w:line="250" w:lineRule="auto"/>
        <w:ind w:hanging="10"/>
        <w:jc w:val="both"/>
      </w:pPr>
      <w:r>
        <w:rPr>
          <w:rFonts w:ascii="Arial" w:eastAsia="Arial" w:hAnsi="Arial" w:cs="Arial"/>
          <w:sz w:val="18"/>
        </w:rPr>
        <w:t>Nel caso in cui non sia possibile completare la composizione della commissione ai sensi del comma 2, il Consiglio di presidenza della giustizia tributaria nomina d’ufficio, come componenti, magistrati che non hanno prestato il loro consenso all’esonero dalle funzioni. Non possono essere nominati i magistrati che abbiano fatto parte della commissione in uno dei tre concorsi precedenti. 4. Nella seduta di cui all’articolo 8, sesto comma, del regio decreto 15 ottobre 1925, n. 1860, la commissione definisce i criteri per la valutazione omogenea degli elaborati scritti. I criteri per la valutazione delle prove orali sono definiti prima dell’inizio delle stesse. Alle sedute per la definizione dei suddetti criteri devono partecipare tutti i componenti della commissione, salvi i casi di forza maggiore e legittimo impedimento, la cui valutazione è rimessa al Consiglio di presidenza della giustizia tributaria. In caso di mancata partecipazione, senza adeguata giustificazione, a una di tali sedute o comunque a due sedute di seguito, il Consiglio di presidenza può deliberare la revoca del componente e la sua sostituzione con le modalità previste dal comma 1.</w:t>
      </w:r>
    </w:p>
    <w:p w14:paraId="2C813F03" w14:textId="77777777" w:rsidR="00B32EF2" w:rsidRDefault="00000000">
      <w:pPr>
        <w:numPr>
          <w:ilvl w:val="0"/>
          <w:numId w:val="143"/>
        </w:numPr>
        <w:spacing w:after="5" w:line="250" w:lineRule="auto"/>
        <w:ind w:hanging="10"/>
        <w:jc w:val="both"/>
      </w:pPr>
      <w:r>
        <w:rPr>
          <w:rFonts w:ascii="Arial" w:eastAsia="Arial" w:hAnsi="Arial" w:cs="Arial"/>
          <w:sz w:val="18"/>
        </w:rPr>
        <w:t>Il presidente della commissione e gli altri componenti possono essere nominati anche tra i magistrati a riposo da non più di due anni e tra i professori universitari a riposo da non più di due anni che, all’atto della cessazione dal servizio, erano in possesso dei requisiti per la nomina.</w:t>
      </w:r>
    </w:p>
    <w:p w14:paraId="755B1840" w14:textId="77777777" w:rsidR="00B32EF2" w:rsidRDefault="00000000">
      <w:pPr>
        <w:numPr>
          <w:ilvl w:val="0"/>
          <w:numId w:val="143"/>
        </w:numPr>
        <w:spacing w:after="5" w:line="250" w:lineRule="auto"/>
        <w:ind w:hanging="10"/>
        <w:jc w:val="both"/>
      </w:pPr>
      <w:r>
        <w:rPr>
          <w:rFonts w:ascii="Arial" w:eastAsia="Arial" w:hAnsi="Arial" w:cs="Arial"/>
          <w:sz w:val="18"/>
        </w:rPr>
        <w:t xml:space="preserve">In caso di assenza o impedimento del presidente della commissione, </w:t>
      </w:r>
      <w:proofErr w:type="spellStart"/>
      <w:r>
        <w:rPr>
          <w:rFonts w:ascii="Arial" w:eastAsia="Arial" w:hAnsi="Arial" w:cs="Arial"/>
          <w:sz w:val="18"/>
        </w:rPr>
        <w:t>lerelative</w:t>
      </w:r>
      <w:proofErr w:type="spellEnd"/>
      <w:r>
        <w:rPr>
          <w:rFonts w:ascii="Arial" w:eastAsia="Arial" w:hAnsi="Arial" w:cs="Arial"/>
          <w:sz w:val="18"/>
        </w:rPr>
        <w:t xml:space="preserve"> funzioni sono svolte dal magistrato con maggiore anzianità di servizio presente in ciascuna seduta.</w:t>
      </w:r>
    </w:p>
    <w:p w14:paraId="42BE3800" w14:textId="77777777" w:rsidR="00B32EF2" w:rsidRDefault="00000000">
      <w:pPr>
        <w:numPr>
          <w:ilvl w:val="0"/>
          <w:numId w:val="143"/>
        </w:numPr>
        <w:spacing w:after="5" w:line="250" w:lineRule="auto"/>
        <w:ind w:hanging="10"/>
        <w:jc w:val="both"/>
      </w:pPr>
      <w:r>
        <w:rPr>
          <w:rFonts w:ascii="Arial" w:eastAsia="Arial" w:hAnsi="Arial" w:cs="Arial"/>
          <w:sz w:val="18"/>
        </w:rPr>
        <w:t>Se i candidati che hanno portato a termine la prova scritta sono più di trecento, il presidente, dopo aver provveduto alla valutazione di almeno venti candidati in seduta plenaria con la partecipazione di tutti i componenti della commissione, forma per ogni seduta due sottocommissioni, a ciascuna delle quali assegna, secondo criteri obiettivi, la metà dei candidati da esaminare. Le sottocommissioni sono rispettivamente presiedute dal presidente o dal magistrato più anziano presenti, a loro volta sostituiti, in caso di assenza o impedimento, dai magistrati più anziani presenti, e assistite ciascuna da un segretario. La commissione delibera su ogni oggetto eccedente la competenza delle sottocommissioni. Per la valutazione degli elaborati scritti il presidente suddivide ciascuna sottocommissione in tre collegi, composti ciascuno di almeno tre componenti, presieduti dal presidente o dal magistrato più anziano. In caso di parità di voti, prevale quello di chi presiede. Ciascun collegio della medesima sottocommissione esamina gli elaborati di una delle materie oggetto della prova relativamente ad ogni candidato.</w:t>
      </w:r>
    </w:p>
    <w:p w14:paraId="16772F72" w14:textId="77777777" w:rsidR="00B32EF2" w:rsidRDefault="00000000">
      <w:pPr>
        <w:numPr>
          <w:ilvl w:val="0"/>
          <w:numId w:val="143"/>
        </w:numPr>
        <w:spacing w:after="5" w:line="250" w:lineRule="auto"/>
        <w:ind w:hanging="10"/>
        <w:jc w:val="both"/>
      </w:pPr>
      <w:r>
        <w:rPr>
          <w:rFonts w:ascii="Arial" w:eastAsia="Arial" w:hAnsi="Arial" w:cs="Arial"/>
          <w:sz w:val="18"/>
        </w:rPr>
        <w:t xml:space="preserve">Per i requisiti di ammissione, le procedure di concorso e i lavori della commissione e delle sottocommissioni, se istituite, si applicano, in quanto compatibili e per quanto non espressamente previsto nel presente decreto, le </w:t>
      </w:r>
      <w:r>
        <w:rPr>
          <w:rFonts w:ascii="Arial" w:eastAsia="Arial" w:hAnsi="Arial" w:cs="Arial"/>
          <w:sz w:val="18"/>
        </w:rPr>
        <w:lastRenderedPageBreak/>
        <w:t>disposizioni degli articoli 12, 13, 14, 15 e 16</w:t>
      </w:r>
      <w:r>
        <w:rPr>
          <w:rFonts w:ascii="Times New Roman" w:eastAsia="Times New Roman" w:hAnsi="Times New Roman" w:cs="Times New Roman"/>
          <w:sz w:val="18"/>
        </w:rPr>
        <w:t xml:space="preserve"> </w:t>
      </w:r>
      <w:r>
        <w:rPr>
          <w:rFonts w:ascii="Arial" w:eastAsia="Arial" w:hAnsi="Arial" w:cs="Arial"/>
          <w:sz w:val="18"/>
        </w:rPr>
        <w:t>del regio decreto 15 ottobre 1925, n. 1860, e del decreto legislativo 5 aprile 2006, n. 160.</w:t>
      </w:r>
    </w:p>
    <w:p w14:paraId="7563DAEA" w14:textId="77777777" w:rsidR="00B32EF2" w:rsidRDefault="00000000">
      <w:pPr>
        <w:numPr>
          <w:ilvl w:val="0"/>
          <w:numId w:val="143"/>
        </w:numPr>
        <w:spacing w:after="5" w:line="250" w:lineRule="auto"/>
        <w:ind w:hanging="10"/>
        <w:jc w:val="both"/>
      </w:pPr>
      <w:r>
        <w:rPr>
          <w:rFonts w:ascii="Arial" w:eastAsia="Arial" w:hAnsi="Arial" w:cs="Arial"/>
          <w:sz w:val="18"/>
        </w:rPr>
        <w:t xml:space="preserve">L’esonero dalle funzioni giudiziarie o giurisdizionali, deliberato dal </w:t>
      </w:r>
      <w:proofErr w:type="spellStart"/>
      <w:r>
        <w:rPr>
          <w:rFonts w:ascii="Arial" w:eastAsia="Arial" w:hAnsi="Arial" w:cs="Arial"/>
          <w:sz w:val="18"/>
        </w:rPr>
        <w:t>Consigliodi</w:t>
      </w:r>
      <w:proofErr w:type="spellEnd"/>
      <w:r>
        <w:rPr>
          <w:rFonts w:ascii="Arial" w:eastAsia="Arial" w:hAnsi="Arial" w:cs="Arial"/>
          <w:sz w:val="18"/>
        </w:rPr>
        <w:t xml:space="preserve"> presidenza della giustizia tributaria e dagli altri organi di autogoverno contestualmente alla nomina a componente della commissione, ha effetto dall’insediamento del magistrato sino alla formazione della graduatoria finale dei candidati.</w:t>
      </w:r>
    </w:p>
    <w:p w14:paraId="12D22D2F" w14:textId="77777777" w:rsidR="00B32EF2" w:rsidRDefault="00000000">
      <w:pPr>
        <w:numPr>
          <w:ilvl w:val="0"/>
          <w:numId w:val="143"/>
        </w:numPr>
        <w:spacing w:after="182" w:line="250" w:lineRule="auto"/>
        <w:ind w:hanging="10"/>
        <w:jc w:val="both"/>
      </w:pPr>
      <w:r>
        <w:rPr>
          <w:rFonts w:ascii="Arial" w:eastAsia="Arial" w:hAnsi="Arial" w:cs="Arial"/>
          <w:sz w:val="18"/>
        </w:rPr>
        <w:t xml:space="preserve">Le attività di segreteria della commissione e delle sottocommissioni </w:t>
      </w:r>
      <w:proofErr w:type="spellStart"/>
      <w:r>
        <w:rPr>
          <w:rFonts w:ascii="Arial" w:eastAsia="Arial" w:hAnsi="Arial" w:cs="Arial"/>
          <w:sz w:val="18"/>
        </w:rPr>
        <w:t>sonoesercitate</w:t>
      </w:r>
      <w:proofErr w:type="spellEnd"/>
      <w:r>
        <w:rPr>
          <w:rFonts w:ascii="Arial" w:eastAsia="Arial" w:hAnsi="Arial" w:cs="Arial"/>
          <w:sz w:val="18"/>
        </w:rPr>
        <w:t xml:space="preserve"> da personale amministrativo dell’Area funzionari in servizio presso il Ministero dell’economia e delle finanze, come definita dal contratto collettivo nazionale di lavoro del comparto Funzioni centrali, e sono coordinate dal titolare del competente ufficio del Dipartimento delle finanze del Ministero dell’economia e delle finanze.</w:t>
      </w:r>
    </w:p>
    <w:p w14:paraId="241C2663" w14:textId="77777777" w:rsidR="00B32EF2" w:rsidRDefault="00000000">
      <w:pPr>
        <w:pStyle w:val="Titolo3"/>
        <w:ind w:left="129" w:right="60"/>
      </w:pPr>
      <w:r>
        <w:t>NORME RICHIAMATE</w:t>
      </w:r>
    </w:p>
    <w:p w14:paraId="66F97449"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595" w:line="251" w:lineRule="auto"/>
        <w:ind w:left="129" w:right="60" w:hanging="10"/>
        <w:jc w:val="both"/>
      </w:pPr>
      <w:r>
        <w:rPr>
          <w:rFonts w:ascii="Arial" w:eastAsia="Arial" w:hAnsi="Arial" w:cs="Arial"/>
          <w:i/>
          <w:sz w:val="18"/>
        </w:rPr>
        <w:t xml:space="preserve">art. 13 d.P.R. 382/1980 “Aspettativa obbligatoria per situazioni di incompatibilità”: art. 8 d.P.R. 382/1980 “Inamovibilità e trasferimenti” </w:t>
      </w:r>
    </w:p>
    <w:p w14:paraId="0AEF09F0" w14:textId="77777777" w:rsidR="00B32EF2" w:rsidRDefault="00000000">
      <w:pPr>
        <w:spacing w:after="0" w:line="261" w:lineRule="auto"/>
        <w:ind w:left="12" w:right="3" w:hanging="10"/>
        <w:jc w:val="center"/>
      </w:pPr>
      <w:r>
        <w:rPr>
          <w:rFonts w:ascii="Arial" w:eastAsia="Arial" w:hAnsi="Arial" w:cs="Arial"/>
          <w:b/>
          <w:sz w:val="18"/>
        </w:rPr>
        <w:t xml:space="preserve">Articolo 4-quinquies </w:t>
      </w:r>
    </w:p>
    <w:p w14:paraId="0F5CE181" w14:textId="77777777" w:rsidR="00B32EF2" w:rsidRDefault="00000000">
      <w:pPr>
        <w:spacing w:after="3" w:line="251" w:lineRule="auto"/>
        <w:ind w:left="2320" w:right="2311" w:hanging="10"/>
        <w:jc w:val="center"/>
      </w:pPr>
      <w:r>
        <w:rPr>
          <w:rFonts w:ascii="Arial" w:eastAsia="Arial" w:hAnsi="Arial" w:cs="Arial"/>
          <w:i/>
          <w:sz w:val="18"/>
        </w:rPr>
        <w:t>(articolo 9 TUGT)</w:t>
      </w:r>
    </w:p>
    <w:p w14:paraId="7943D6DE" w14:textId="77777777" w:rsidR="00B32EF2" w:rsidRDefault="00000000">
      <w:pPr>
        <w:spacing w:after="0" w:line="261" w:lineRule="auto"/>
        <w:ind w:left="12" w:right="3" w:hanging="10"/>
        <w:jc w:val="center"/>
      </w:pPr>
      <w:r>
        <w:rPr>
          <w:rFonts w:ascii="Arial" w:eastAsia="Arial" w:hAnsi="Arial" w:cs="Arial"/>
          <w:b/>
          <w:sz w:val="18"/>
        </w:rPr>
        <w:t xml:space="preserve">Nomina e tirocinio del magistrato tributario </w:t>
      </w:r>
    </w:p>
    <w:p w14:paraId="3A970E04" w14:textId="77777777" w:rsidR="00B32EF2" w:rsidRDefault="00000000">
      <w:pPr>
        <w:spacing w:after="5" w:line="250" w:lineRule="auto"/>
        <w:ind w:left="-4" w:hanging="10"/>
        <w:jc w:val="both"/>
      </w:pPr>
      <w:r>
        <w:rPr>
          <w:rFonts w:ascii="Arial" w:eastAsia="Arial" w:hAnsi="Arial" w:cs="Arial"/>
          <w:sz w:val="18"/>
        </w:rPr>
        <w:t>01. I concorrenti dichiarati idonei all’esito del concorso per esami sono classificati secondo il punteggio complessivo conseguito e, nello stesso ordine, sono nominati, con decreto del Ministro dell’economia e delle finanze, magistrato tributario, nei limiti dei posti messi a concorso. I documenti comprovanti il possesso di titoli di preferenza, a parità di punteggio, ai fini della nomina, sono presentati, a pena di decadenza, entro il giorno di svolgimento della prova orale.</w:t>
      </w:r>
    </w:p>
    <w:p w14:paraId="50018399" w14:textId="77777777" w:rsidR="00B32EF2" w:rsidRDefault="00000000">
      <w:pPr>
        <w:numPr>
          <w:ilvl w:val="0"/>
          <w:numId w:val="144"/>
        </w:numPr>
        <w:spacing w:after="5" w:line="250" w:lineRule="auto"/>
        <w:ind w:hanging="10"/>
        <w:jc w:val="both"/>
      </w:pPr>
      <w:r>
        <w:rPr>
          <w:rFonts w:ascii="Arial" w:eastAsia="Arial" w:hAnsi="Arial" w:cs="Arial"/>
          <w:sz w:val="18"/>
        </w:rPr>
        <w:t xml:space="preserve">I magistrati tributari nominati a seguito del superamento del concorso di </w:t>
      </w:r>
      <w:proofErr w:type="spellStart"/>
      <w:r>
        <w:rPr>
          <w:rFonts w:ascii="Arial" w:eastAsia="Arial" w:hAnsi="Arial" w:cs="Arial"/>
          <w:sz w:val="18"/>
        </w:rPr>
        <w:t>cuiall’articolo</w:t>
      </w:r>
      <w:proofErr w:type="spellEnd"/>
      <w:r>
        <w:rPr>
          <w:rFonts w:ascii="Arial" w:eastAsia="Arial" w:hAnsi="Arial" w:cs="Arial"/>
          <w:sz w:val="18"/>
        </w:rPr>
        <w:t xml:space="preserve"> 4 svolgono un tirocinio formativo di almeno sei mesi presso le corti di giustizia tributaria con la partecipazione all’attività giurisdizionale relativa alle controversie rientranti nella rispettiva competenza in composizione collegiale. Con delibera del Consiglio di presidenza sono individuati i magistrati tributari affidatari presso i quali i magistrati tributari svolgono il tirocinio, le modalità di affidamento e i criteri per il conseguimento del giudizio di idoneità al conferimento delle funzioni giurisdizionali.</w:t>
      </w:r>
    </w:p>
    <w:p w14:paraId="65225DBF" w14:textId="77777777" w:rsidR="00B32EF2" w:rsidRDefault="00000000">
      <w:pPr>
        <w:numPr>
          <w:ilvl w:val="0"/>
          <w:numId w:val="144"/>
        </w:numPr>
        <w:spacing w:after="5" w:line="250" w:lineRule="auto"/>
        <w:ind w:hanging="10"/>
        <w:jc w:val="both"/>
      </w:pPr>
      <w:r>
        <w:rPr>
          <w:rFonts w:ascii="Arial" w:eastAsia="Arial" w:hAnsi="Arial" w:cs="Arial"/>
          <w:sz w:val="18"/>
        </w:rPr>
        <w:t xml:space="preserve">Il magistrato tributario in tirocinio valutato negativamente è ammesso </w:t>
      </w:r>
      <w:proofErr w:type="spellStart"/>
      <w:r>
        <w:rPr>
          <w:rFonts w:ascii="Arial" w:eastAsia="Arial" w:hAnsi="Arial" w:cs="Arial"/>
          <w:sz w:val="18"/>
        </w:rPr>
        <w:t>adun</w:t>
      </w:r>
      <w:proofErr w:type="spellEnd"/>
      <w:r>
        <w:rPr>
          <w:rFonts w:ascii="Arial" w:eastAsia="Arial" w:hAnsi="Arial" w:cs="Arial"/>
          <w:sz w:val="18"/>
        </w:rPr>
        <w:t xml:space="preserve"> nuovo periodo di tirocinio della durata di sei mesi. Al termine del secondo tirocinio e all’esito della relativa scheda valutativa redatta dal magistrato tributario affidatario, il Consiglio di presidenza della giustizia tributaria delibera </w:t>
      </w:r>
      <w:r>
        <w:rPr>
          <w:rFonts w:ascii="Arial" w:eastAsia="Arial" w:hAnsi="Arial" w:cs="Arial"/>
          <w:sz w:val="18"/>
        </w:rPr>
        <w:lastRenderedPageBreak/>
        <w:t>nuovamente; la seconda deliberazione negativa determina la cessazione del rapporto di impiego del magistrato tributario in tirocinio.</w:t>
      </w:r>
    </w:p>
    <w:p w14:paraId="72734811" w14:textId="77777777" w:rsidR="00B32EF2" w:rsidRDefault="00000000">
      <w:pPr>
        <w:spacing w:after="0" w:line="261" w:lineRule="auto"/>
        <w:ind w:left="12" w:right="3" w:hanging="10"/>
        <w:jc w:val="center"/>
      </w:pPr>
      <w:r>
        <w:rPr>
          <w:rFonts w:ascii="Arial" w:eastAsia="Arial" w:hAnsi="Arial" w:cs="Arial"/>
          <w:b/>
          <w:sz w:val="18"/>
        </w:rPr>
        <w:t xml:space="preserve">Articolo 5 </w:t>
      </w:r>
    </w:p>
    <w:p w14:paraId="4BA0B2A8" w14:textId="77777777" w:rsidR="00B32EF2" w:rsidRDefault="00000000">
      <w:pPr>
        <w:spacing w:after="3" w:line="251" w:lineRule="auto"/>
        <w:ind w:left="2320" w:right="2311" w:hanging="10"/>
        <w:jc w:val="center"/>
      </w:pPr>
      <w:r>
        <w:rPr>
          <w:rFonts w:ascii="Arial" w:eastAsia="Arial" w:hAnsi="Arial" w:cs="Arial"/>
          <w:i/>
          <w:sz w:val="18"/>
        </w:rPr>
        <w:t>(articolo 10 TUGT)</w:t>
      </w:r>
    </w:p>
    <w:p w14:paraId="6EF2A1E2" w14:textId="77777777" w:rsidR="00B32EF2" w:rsidRDefault="00000000">
      <w:pPr>
        <w:spacing w:after="0" w:line="261" w:lineRule="auto"/>
        <w:ind w:left="12" w:right="3" w:hanging="10"/>
        <w:jc w:val="center"/>
      </w:pPr>
      <w:r>
        <w:rPr>
          <w:rFonts w:ascii="Arial" w:eastAsia="Arial" w:hAnsi="Arial" w:cs="Arial"/>
          <w:b/>
          <w:sz w:val="18"/>
        </w:rPr>
        <w:t xml:space="preserve">I giudici delle corti di giustizia tributaria di secondo grado </w:t>
      </w:r>
    </w:p>
    <w:p w14:paraId="6D39468C" w14:textId="77777777" w:rsidR="00B32EF2" w:rsidRDefault="00000000">
      <w:pPr>
        <w:spacing w:after="263" w:line="250" w:lineRule="auto"/>
        <w:ind w:left="-4" w:hanging="10"/>
        <w:jc w:val="both"/>
      </w:pPr>
      <w:r>
        <w:rPr>
          <w:rFonts w:ascii="Arial" w:eastAsia="Arial" w:hAnsi="Arial" w:cs="Arial"/>
          <w:sz w:val="18"/>
        </w:rPr>
        <w:t>1. I giudici delle corti di giustizia tributaria di secondo grado sono nominati tra i magistrati tributari di cui all’articolo 1-bis, comma 2, e i giudici tributari presenti nel ruolo unico di cui all’articolo 1-bis, comma 1.</w:t>
      </w:r>
    </w:p>
    <w:p w14:paraId="495454FB" w14:textId="77777777" w:rsidR="00B32EF2" w:rsidRDefault="00000000">
      <w:pPr>
        <w:spacing w:after="0" w:line="261" w:lineRule="auto"/>
        <w:ind w:left="12" w:right="3" w:hanging="10"/>
        <w:jc w:val="center"/>
      </w:pPr>
      <w:r>
        <w:rPr>
          <w:rFonts w:ascii="Arial" w:eastAsia="Arial" w:hAnsi="Arial" w:cs="Arial"/>
          <w:b/>
          <w:sz w:val="18"/>
        </w:rPr>
        <w:t>Articolo  5-</w:t>
      </w:r>
      <w:r>
        <w:rPr>
          <w:rFonts w:ascii="Arial" w:eastAsia="Arial" w:hAnsi="Arial" w:cs="Arial"/>
          <w:b/>
          <w:i/>
          <w:sz w:val="18"/>
        </w:rPr>
        <w:t>bis</w:t>
      </w:r>
      <w:r>
        <w:rPr>
          <w:rFonts w:ascii="Arial" w:eastAsia="Arial" w:hAnsi="Arial" w:cs="Arial"/>
          <w:b/>
          <w:sz w:val="18"/>
        </w:rPr>
        <w:t xml:space="preserve"> </w:t>
      </w:r>
    </w:p>
    <w:p w14:paraId="434CFF38" w14:textId="77777777" w:rsidR="00B32EF2" w:rsidRDefault="00000000">
      <w:pPr>
        <w:spacing w:after="3" w:line="251" w:lineRule="auto"/>
        <w:ind w:left="2320" w:right="2311" w:hanging="10"/>
        <w:jc w:val="center"/>
      </w:pPr>
      <w:r>
        <w:rPr>
          <w:rFonts w:ascii="Arial" w:eastAsia="Arial" w:hAnsi="Arial" w:cs="Arial"/>
          <w:i/>
          <w:sz w:val="18"/>
        </w:rPr>
        <w:t>(articolo 11 TUGT)</w:t>
      </w:r>
    </w:p>
    <w:p w14:paraId="7BE7DF9B" w14:textId="77777777" w:rsidR="00B32EF2" w:rsidRDefault="00000000">
      <w:pPr>
        <w:spacing w:after="0" w:line="261" w:lineRule="auto"/>
        <w:ind w:left="12" w:right="2" w:hanging="10"/>
        <w:jc w:val="center"/>
      </w:pPr>
      <w:r>
        <w:rPr>
          <w:rFonts w:ascii="Arial" w:eastAsia="Arial" w:hAnsi="Arial" w:cs="Arial"/>
          <w:b/>
          <w:sz w:val="18"/>
        </w:rPr>
        <w:t xml:space="preserve">Formazione continua dei giudici e magistrati tributari </w:t>
      </w:r>
    </w:p>
    <w:p w14:paraId="097A3C77" w14:textId="77777777" w:rsidR="00B32EF2" w:rsidRDefault="00000000">
      <w:pPr>
        <w:spacing w:after="265" w:line="250" w:lineRule="auto"/>
        <w:ind w:left="-4" w:hanging="10"/>
        <w:jc w:val="both"/>
      </w:pPr>
      <w:r>
        <w:rPr>
          <w:rFonts w:ascii="Arial" w:eastAsia="Arial" w:hAnsi="Arial" w:cs="Arial"/>
          <w:sz w:val="18"/>
        </w:rPr>
        <w:t>Il Consiglio di presidenza della giustizia tributaria, con proprio regolamento, definisce i criteri e le modalità della formazione continua e dell’aggiornamento professionale dei giudici e dei magistrati tributari di cui all’articolo 1-bis, comma 1, mediante la frequenza di corsi periodici di carattere teorico-pratico organizzati e gestiti sulla base di apposita convenzione, prioritariamente, dalla Scuola nazionale dell’amministrazione con modalità separate e corsi distinti rispetto ai corsi di formazione destinati all’amministrazione finanziaria o, subordinatamente, dalle università accreditate ai sensi del decreto legislativo 27 gennaio 2012, n. 19. Agli oneri per la formazione di cui al primo periodo si provvede nell’ambito degli stanziamenti annuali dell’apposita voce di bilancio in favore dello stesso Consiglio e sulla base di un programma di formazione annuale, comunicato al Ministero dell’economia e delle finanze entro il mese di luglio dell’anno precedente lo svolgimento dei corsi medesimi.</w:t>
      </w:r>
    </w:p>
    <w:p w14:paraId="316E5E26" w14:textId="77777777" w:rsidR="00B32EF2" w:rsidRDefault="00000000">
      <w:pPr>
        <w:spacing w:after="0" w:line="261" w:lineRule="auto"/>
        <w:ind w:left="12" w:right="2" w:hanging="10"/>
        <w:jc w:val="center"/>
      </w:pPr>
      <w:r>
        <w:rPr>
          <w:rFonts w:ascii="Arial" w:eastAsia="Arial" w:hAnsi="Arial" w:cs="Arial"/>
          <w:b/>
          <w:sz w:val="18"/>
        </w:rPr>
        <w:t>Articolo 6</w:t>
      </w:r>
    </w:p>
    <w:p w14:paraId="721EA521" w14:textId="77777777" w:rsidR="00B32EF2" w:rsidRDefault="00000000">
      <w:pPr>
        <w:spacing w:after="3" w:line="251" w:lineRule="auto"/>
        <w:ind w:left="2320" w:right="2311" w:hanging="10"/>
        <w:jc w:val="center"/>
      </w:pPr>
      <w:r>
        <w:rPr>
          <w:rFonts w:ascii="Arial" w:eastAsia="Arial" w:hAnsi="Arial" w:cs="Arial"/>
          <w:i/>
          <w:sz w:val="18"/>
        </w:rPr>
        <w:t>(articolo 12 TUGT)</w:t>
      </w:r>
    </w:p>
    <w:p w14:paraId="1CB1CE37" w14:textId="77777777" w:rsidR="00B32EF2" w:rsidRDefault="00000000">
      <w:pPr>
        <w:spacing w:after="0" w:line="261" w:lineRule="auto"/>
        <w:ind w:left="12" w:right="2" w:hanging="10"/>
        <w:jc w:val="center"/>
      </w:pPr>
      <w:r>
        <w:rPr>
          <w:rFonts w:ascii="Arial" w:eastAsia="Arial" w:hAnsi="Arial" w:cs="Arial"/>
          <w:b/>
          <w:sz w:val="18"/>
        </w:rPr>
        <w:t xml:space="preserve">La formazione delle sezioni e dei collegi giudicanti </w:t>
      </w:r>
    </w:p>
    <w:p w14:paraId="6C40C4C2" w14:textId="77777777" w:rsidR="00B32EF2" w:rsidRDefault="00000000">
      <w:pPr>
        <w:numPr>
          <w:ilvl w:val="0"/>
          <w:numId w:val="145"/>
        </w:numPr>
        <w:spacing w:after="5" w:line="250" w:lineRule="auto"/>
        <w:ind w:hanging="10"/>
        <w:jc w:val="both"/>
      </w:pPr>
      <w:r>
        <w:rPr>
          <w:rFonts w:ascii="Arial" w:eastAsia="Arial" w:hAnsi="Arial" w:cs="Arial"/>
          <w:sz w:val="18"/>
        </w:rPr>
        <w:t xml:space="preserve">Con provvedimento del Consiglio di Presidenza della giustizia </w:t>
      </w:r>
      <w:proofErr w:type="spellStart"/>
      <w:r>
        <w:rPr>
          <w:rFonts w:ascii="Arial" w:eastAsia="Arial" w:hAnsi="Arial" w:cs="Arial"/>
          <w:sz w:val="18"/>
        </w:rPr>
        <w:t>tributariasono</w:t>
      </w:r>
      <w:proofErr w:type="spellEnd"/>
      <w:r>
        <w:rPr>
          <w:rFonts w:ascii="Arial" w:eastAsia="Arial" w:hAnsi="Arial" w:cs="Arial"/>
          <w:sz w:val="18"/>
        </w:rPr>
        <w:t xml:space="preserve"> istituite sezioni specializzate in relazione a questioni controverse individuate con il provvedimento stesso.</w:t>
      </w:r>
    </w:p>
    <w:p w14:paraId="0BC929D6" w14:textId="77777777" w:rsidR="00B32EF2" w:rsidRDefault="00000000">
      <w:pPr>
        <w:spacing w:after="5" w:line="250" w:lineRule="auto"/>
        <w:ind w:left="-4" w:hanging="10"/>
        <w:jc w:val="both"/>
      </w:pPr>
      <w:r>
        <w:rPr>
          <w:rFonts w:ascii="Arial" w:eastAsia="Arial" w:hAnsi="Arial" w:cs="Arial"/>
          <w:sz w:val="18"/>
        </w:rPr>
        <w:t>1-bis. I presidenti delle corti di giustizia tributaria di primo e secondo grado assegnano il ricorso ad una delle sezioni tenendo conto, preliminarmente, della specializzazione di cui al comma 1 e applicando successivamente i criteri cronologici e casuali. I presidenti delle corti di giustizia tributaria di primo grado assegnano il ricorso al giudice monocratico nei casi previsti dall’articolo 4-bis del decreto legislativo 31 dicembre 1992, n. 546.</w:t>
      </w:r>
    </w:p>
    <w:p w14:paraId="3F56A4D3" w14:textId="77777777" w:rsidR="00B32EF2" w:rsidRDefault="00000000">
      <w:pPr>
        <w:spacing w:after="5" w:line="250" w:lineRule="auto"/>
        <w:ind w:left="-4" w:hanging="10"/>
        <w:jc w:val="both"/>
      </w:pPr>
      <w:r>
        <w:rPr>
          <w:rFonts w:ascii="Arial" w:eastAsia="Arial" w:hAnsi="Arial" w:cs="Arial"/>
          <w:sz w:val="18"/>
        </w:rPr>
        <w:t>1-ter. Nel caso in cui il giudice, in composizione monocratica o collegiale, rilevi che la controversia ad esso assegnata avrebbe dovuto essere trattata dalla corte di giustizia tributaria in altra composizione, la rimette al presidente della sezione per il rinnovo dell’assegnazione.</w:t>
      </w:r>
    </w:p>
    <w:p w14:paraId="79FE0153" w14:textId="77777777" w:rsidR="00B32EF2" w:rsidRDefault="00000000">
      <w:pPr>
        <w:numPr>
          <w:ilvl w:val="0"/>
          <w:numId w:val="145"/>
        </w:numPr>
        <w:spacing w:after="5" w:line="250" w:lineRule="auto"/>
        <w:ind w:hanging="10"/>
        <w:jc w:val="both"/>
      </w:pPr>
      <w:r>
        <w:rPr>
          <w:rFonts w:ascii="Arial" w:eastAsia="Arial" w:hAnsi="Arial" w:cs="Arial"/>
          <w:sz w:val="18"/>
        </w:rPr>
        <w:lastRenderedPageBreak/>
        <w:t xml:space="preserve">Il presidente di ciascuna sezione, all’inizio di ogni anno, </w:t>
      </w:r>
      <w:proofErr w:type="spellStart"/>
      <w:r>
        <w:rPr>
          <w:rFonts w:ascii="Arial" w:eastAsia="Arial" w:hAnsi="Arial" w:cs="Arial"/>
          <w:sz w:val="18"/>
        </w:rPr>
        <w:t>stabilice</w:t>
      </w:r>
      <w:proofErr w:type="spellEnd"/>
      <w:r>
        <w:rPr>
          <w:rFonts w:ascii="Arial" w:eastAsia="Arial" w:hAnsi="Arial" w:cs="Arial"/>
          <w:sz w:val="18"/>
        </w:rPr>
        <w:t xml:space="preserve"> il calendario delle udienze ed, all’inizio di ogni trimestre, la composizione dei collegi giudicanti in base ai criteri di massima stabiliti dal consiglio di presidenza. Ciascun collegio giudicante ovvero ciascun giudice monocratico deve tenere udienza almeno una volta alla settimana;</w:t>
      </w:r>
    </w:p>
    <w:p w14:paraId="2085C2B8" w14:textId="77777777" w:rsidR="00B32EF2" w:rsidRDefault="00000000">
      <w:pPr>
        <w:numPr>
          <w:ilvl w:val="0"/>
          <w:numId w:val="145"/>
        </w:numPr>
        <w:spacing w:after="234" w:line="250" w:lineRule="auto"/>
        <w:ind w:hanging="10"/>
        <w:jc w:val="both"/>
      </w:pPr>
      <w:r>
        <w:rPr>
          <w:rFonts w:ascii="Arial" w:eastAsia="Arial" w:hAnsi="Arial" w:cs="Arial"/>
          <w:sz w:val="18"/>
        </w:rPr>
        <w:t xml:space="preserve">Il presidente della corte di giustizia tributaria di primo e secondo grado, </w:t>
      </w:r>
      <w:proofErr w:type="spellStart"/>
      <w:r>
        <w:rPr>
          <w:rFonts w:ascii="Arial" w:eastAsia="Arial" w:hAnsi="Arial" w:cs="Arial"/>
          <w:sz w:val="18"/>
        </w:rPr>
        <w:t>coldecreto</w:t>
      </w:r>
      <w:proofErr w:type="spellEnd"/>
      <w:r>
        <w:rPr>
          <w:rFonts w:ascii="Arial" w:eastAsia="Arial" w:hAnsi="Arial" w:cs="Arial"/>
          <w:sz w:val="18"/>
        </w:rPr>
        <w:t xml:space="preserve"> di cui al comma 1, indica una o più delle sezioni, che, nel periodo di sospensione feriale dei termini processuali, procedono all’esame delle domande di sospensione cautelare del provvedimento impugnato.</w:t>
      </w:r>
    </w:p>
    <w:p w14:paraId="468BC02B" w14:textId="77777777" w:rsidR="00B32EF2" w:rsidRDefault="00000000">
      <w:pPr>
        <w:pStyle w:val="Titolo3"/>
        <w:ind w:left="129" w:right="120"/>
      </w:pPr>
      <w:r>
        <w:t>NORME RICHIAMATE</w:t>
      </w:r>
    </w:p>
    <w:p w14:paraId="7A581BB7"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3" w:line="251" w:lineRule="auto"/>
        <w:ind w:left="129" w:right="120" w:hanging="10"/>
        <w:jc w:val="both"/>
      </w:pPr>
      <w:r>
        <w:rPr>
          <w:rFonts w:ascii="Arial" w:eastAsia="Arial" w:hAnsi="Arial" w:cs="Arial"/>
          <w:i/>
          <w:sz w:val="18"/>
        </w:rPr>
        <w:t>art. 4-bis D.lgs.546/92 “Competenza del giudice monocratico” 1. Le corti di giustizia tributaria di primo grado decidono in composizione monocratica le controversie di valore fino a 5.000 euro. Sono escluse le controversie di valore indeterminabile.</w:t>
      </w:r>
    </w:p>
    <w:p w14:paraId="212C437A" w14:textId="77777777" w:rsidR="00B32EF2" w:rsidRDefault="00000000">
      <w:pPr>
        <w:numPr>
          <w:ilvl w:val="0"/>
          <w:numId w:val="146"/>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Per valore della lite si intende quello determinato ai sensi dell’articolo12, comma 2. Si tiene conto anche dell’imposta virtuale calcolata a seguito delle rettifiche di perdita.</w:t>
      </w:r>
    </w:p>
    <w:p w14:paraId="3A256CDF" w14:textId="77777777" w:rsidR="00B32EF2" w:rsidRDefault="00000000">
      <w:pPr>
        <w:numPr>
          <w:ilvl w:val="0"/>
          <w:numId w:val="146"/>
        </w:numPr>
        <w:pBdr>
          <w:top w:val="single" w:sz="8" w:space="0" w:color="000000"/>
          <w:left w:val="single" w:sz="8" w:space="0" w:color="000000"/>
          <w:bottom w:val="single" w:sz="8" w:space="0" w:color="000000"/>
          <w:right w:val="single" w:sz="8" w:space="0" w:color="000000"/>
        </w:pBdr>
        <w:shd w:val="clear" w:color="auto" w:fill="C3C3C3"/>
        <w:spacing w:after="3" w:line="251" w:lineRule="auto"/>
        <w:ind w:right="120" w:hanging="10"/>
        <w:jc w:val="both"/>
      </w:pPr>
      <w:r>
        <w:rPr>
          <w:rFonts w:ascii="Arial" w:eastAsia="Arial" w:hAnsi="Arial" w:cs="Arial"/>
          <w:i/>
          <w:sz w:val="18"/>
        </w:rPr>
        <w:t xml:space="preserve">Nel procedimento davanti alla corte di giustizia tributaria di primo </w:t>
      </w:r>
      <w:proofErr w:type="spellStart"/>
      <w:r>
        <w:rPr>
          <w:rFonts w:ascii="Arial" w:eastAsia="Arial" w:hAnsi="Arial" w:cs="Arial"/>
          <w:i/>
          <w:sz w:val="18"/>
        </w:rPr>
        <w:t>gradoin</w:t>
      </w:r>
      <w:proofErr w:type="spellEnd"/>
      <w:r>
        <w:rPr>
          <w:rFonts w:ascii="Arial" w:eastAsia="Arial" w:hAnsi="Arial" w:cs="Arial"/>
          <w:i/>
          <w:sz w:val="18"/>
        </w:rPr>
        <w:t xml:space="preserve"> composizione monocratica si osservano, in quanto applicabili e ove non derogate dal presente decreto, le disposizioni ivi contenute relative ai </w:t>
      </w:r>
      <w:proofErr w:type="spellStart"/>
      <w:r>
        <w:rPr>
          <w:rFonts w:ascii="Arial" w:eastAsia="Arial" w:hAnsi="Arial" w:cs="Arial"/>
          <w:i/>
          <w:sz w:val="18"/>
        </w:rPr>
        <w:t>giudi</w:t>
      </w:r>
      <w:proofErr w:type="spellEnd"/>
      <w:r>
        <w:rPr>
          <w:rFonts w:ascii="Arial" w:eastAsia="Arial" w:hAnsi="Arial" w:cs="Arial"/>
          <w:sz w:val="28"/>
          <w:vertAlign w:val="superscript"/>
        </w:rPr>
        <w:t xml:space="preserve">. </w:t>
      </w:r>
      <w:r>
        <w:rPr>
          <w:rFonts w:ascii="Arial" w:eastAsia="Arial" w:hAnsi="Arial" w:cs="Arial"/>
          <w:i/>
          <w:sz w:val="18"/>
        </w:rPr>
        <w:t>zi in composizione collegiale.</w:t>
      </w:r>
    </w:p>
    <w:p w14:paraId="48CE80C7" w14:textId="77777777" w:rsidR="00B32EF2" w:rsidRDefault="00000000">
      <w:pPr>
        <w:spacing w:after="0" w:line="261" w:lineRule="auto"/>
        <w:ind w:left="12" w:right="3" w:hanging="10"/>
        <w:jc w:val="center"/>
      </w:pPr>
      <w:r>
        <w:rPr>
          <w:rFonts w:ascii="Arial" w:eastAsia="Arial" w:hAnsi="Arial" w:cs="Arial"/>
          <w:b/>
          <w:sz w:val="18"/>
        </w:rPr>
        <w:t xml:space="preserve">CAPO II </w:t>
      </w:r>
    </w:p>
    <w:p w14:paraId="352F1CFF" w14:textId="77777777" w:rsidR="00B32EF2" w:rsidRDefault="00000000">
      <w:pPr>
        <w:spacing w:after="164" w:line="261" w:lineRule="auto"/>
        <w:ind w:left="12" w:right="3" w:hanging="10"/>
        <w:jc w:val="center"/>
      </w:pPr>
      <w:r>
        <w:rPr>
          <w:rFonts w:ascii="Arial" w:eastAsia="Arial" w:hAnsi="Arial" w:cs="Arial"/>
          <w:b/>
          <w:sz w:val="18"/>
        </w:rPr>
        <w:t xml:space="preserve"> I COMPONENTI DELLA COMMISSIONI TRIBUTARIE </w:t>
      </w:r>
    </w:p>
    <w:p w14:paraId="6B784025" w14:textId="77777777" w:rsidR="00B32EF2" w:rsidRDefault="00000000">
      <w:pPr>
        <w:spacing w:after="0" w:line="261" w:lineRule="auto"/>
        <w:ind w:left="12" w:right="3" w:hanging="10"/>
        <w:jc w:val="center"/>
      </w:pPr>
      <w:r>
        <w:rPr>
          <w:rFonts w:ascii="Arial" w:eastAsia="Arial" w:hAnsi="Arial" w:cs="Arial"/>
          <w:b/>
          <w:sz w:val="18"/>
        </w:rPr>
        <w:t>Articolo 7</w:t>
      </w:r>
    </w:p>
    <w:p w14:paraId="7F41BFA7" w14:textId="77777777" w:rsidR="00B32EF2" w:rsidRDefault="00000000">
      <w:pPr>
        <w:spacing w:after="3" w:line="251" w:lineRule="auto"/>
        <w:ind w:left="2320" w:right="2311" w:hanging="10"/>
        <w:jc w:val="center"/>
      </w:pPr>
      <w:r>
        <w:rPr>
          <w:rFonts w:ascii="Arial" w:eastAsia="Arial" w:hAnsi="Arial" w:cs="Arial"/>
          <w:i/>
          <w:sz w:val="18"/>
        </w:rPr>
        <w:t>(articolo 13 TUGT)</w:t>
      </w:r>
    </w:p>
    <w:p w14:paraId="18625F62" w14:textId="77777777" w:rsidR="00B32EF2" w:rsidRDefault="00000000">
      <w:pPr>
        <w:spacing w:after="0" w:line="261" w:lineRule="auto"/>
        <w:ind w:left="12" w:right="3" w:hanging="10"/>
        <w:jc w:val="center"/>
      </w:pPr>
      <w:r>
        <w:rPr>
          <w:rFonts w:ascii="Arial" w:eastAsia="Arial" w:hAnsi="Arial" w:cs="Arial"/>
          <w:b/>
          <w:sz w:val="18"/>
        </w:rPr>
        <w:t xml:space="preserve">Requisiti generali </w:t>
      </w:r>
    </w:p>
    <w:p w14:paraId="10F1F3DE" w14:textId="77777777" w:rsidR="00B32EF2" w:rsidRDefault="00000000">
      <w:pPr>
        <w:spacing w:after="5" w:line="250" w:lineRule="auto"/>
        <w:ind w:left="-4" w:hanging="10"/>
        <w:jc w:val="both"/>
      </w:pPr>
      <w:r>
        <w:rPr>
          <w:rFonts w:ascii="Arial" w:eastAsia="Arial" w:hAnsi="Arial" w:cs="Arial"/>
          <w:sz w:val="18"/>
        </w:rPr>
        <w:t>1. I componenti delle corti di giustizia tributaria di primo e secondo grado debbono: a) essere cittadini italiani;</w:t>
      </w:r>
    </w:p>
    <w:p w14:paraId="2D254725" w14:textId="77777777" w:rsidR="00B32EF2" w:rsidRDefault="00000000">
      <w:pPr>
        <w:numPr>
          <w:ilvl w:val="0"/>
          <w:numId w:val="147"/>
        </w:numPr>
        <w:spacing w:after="5" w:line="250" w:lineRule="auto"/>
        <w:ind w:hanging="201"/>
        <w:jc w:val="both"/>
      </w:pPr>
      <w:r>
        <w:rPr>
          <w:rFonts w:ascii="Arial" w:eastAsia="Arial" w:hAnsi="Arial" w:cs="Arial"/>
          <w:sz w:val="18"/>
        </w:rPr>
        <w:t>avere l’esercizio dei diritti civili e politici;</w:t>
      </w:r>
    </w:p>
    <w:p w14:paraId="0A271276" w14:textId="77777777" w:rsidR="00B32EF2" w:rsidRDefault="00000000">
      <w:pPr>
        <w:numPr>
          <w:ilvl w:val="0"/>
          <w:numId w:val="147"/>
        </w:numPr>
        <w:spacing w:after="5" w:line="250" w:lineRule="auto"/>
        <w:ind w:hanging="201"/>
        <w:jc w:val="both"/>
      </w:pPr>
      <w:r>
        <w:rPr>
          <w:rFonts w:ascii="Arial" w:eastAsia="Arial" w:hAnsi="Arial" w:cs="Arial"/>
          <w:sz w:val="18"/>
        </w:rPr>
        <w:t>non aver riportato condanne per delitti comuni non colposi o per contravvenzioni a pena detentiva o per reati tributari e non essere stati sottoposti a misure di prevenzione o di sicurezza;</w:t>
      </w:r>
    </w:p>
    <w:p w14:paraId="17FBFF4D" w14:textId="77777777" w:rsidR="00B32EF2" w:rsidRDefault="00000000">
      <w:pPr>
        <w:numPr>
          <w:ilvl w:val="0"/>
          <w:numId w:val="147"/>
        </w:numPr>
        <w:spacing w:after="5" w:line="250" w:lineRule="auto"/>
        <w:ind w:hanging="201"/>
        <w:jc w:val="both"/>
      </w:pPr>
      <w:r>
        <w:rPr>
          <w:rFonts w:ascii="Arial" w:eastAsia="Arial" w:hAnsi="Arial" w:cs="Arial"/>
          <w:sz w:val="18"/>
        </w:rPr>
        <w:t xml:space="preserve">non avere superato, alla data di scadenza del termine stabilito nel bando </w:t>
      </w:r>
      <w:proofErr w:type="spellStart"/>
      <w:r>
        <w:rPr>
          <w:rFonts w:ascii="Arial" w:eastAsia="Arial" w:hAnsi="Arial" w:cs="Arial"/>
          <w:sz w:val="18"/>
        </w:rPr>
        <w:t>diconcorso</w:t>
      </w:r>
      <w:proofErr w:type="spellEnd"/>
      <w:r>
        <w:rPr>
          <w:rFonts w:ascii="Arial" w:eastAsia="Arial" w:hAnsi="Arial" w:cs="Arial"/>
          <w:sz w:val="18"/>
        </w:rPr>
        <w:t xml:space="preserve"> per la presentazione della domanda di ammissione, sessantasette anni di età;</w:t>
      </w:r>
    </w:p>
    <w:p w14:paraId="397DFCEC" w14:textId="77777777" w:rsidR="00B32EF2" w:rsidRDefault="00000000">
      <w:pPr>
        <w:numPr>
          <w:ilvl w:val="0"/>
          <w:numId w:val="147"/>
        </w:numPr>
        <w:spacing w:after="5" w:line="250" w:lineRule="auto"/>
        <w:ind w:hanging="201"/>
        <w:jc w:val="both"/>
      </w:pPr>
      <w:r>
        <w:rPr>
          <w:rFonts w:ascii="Arial" w:eastAsia="Arial" w:hAnsi="Arial" w:cs="Arial"/>
          <w:sz w:val="18"/>
        </w:rPr>
        <w:t>avere idoneità fisica e psichica;</w:t>
      </w:r>
    </w:p>
    <w:p w14:paraId="315CBC4E" w14:textId="77777777" w:rsidR="00B32EF2" w:rsidRDefault="00000000">
      <w:pPr>
        <w:spacing w:after="5" w:line="250" w:lineRule="auto"/>
        <w:ind w:left="-4" w:hanging="10"/>
        <w:jc w:val="both"/>
      </w:pPr>
      <w:r>
        <w:rPr>
          <w:rFonts w:ascii="Arial" w:eastAsia="Arial" w:hAnsi="Arial" w:cs="Arial"/>
          <w:sz w:val="18"/>
        </w:rPr>
        <w:t>e-bis) essere muniti di laurea magistrale o quadriennale in materie giuridiche o economico-aziendalistiche;</w:t>
      </w:r>
    </w:p>
    <w:p w14:paraId="4DB0DC9E" w14:textId="77777777" w:rsidR="00B32EF2" w:rsidRDefault="00000000">
      <w:pPr>
        <w:numPr>
          <w:ilvl w:val="0"/>
          <w:numId w:val="147"/>
        </w:numPr>
        <w:spacing w:after="173" w:line="250" w:lineRule="auto"/>
        <w:ind w:hanging="201"/>
        <w:jc w:val="both"/>
      </w:pPr>
      <w:r>
        <w:rPr>
          <w:rFonts w:ascii="Arial" w:eastAsia="Arial" w:hAnsi="Arial" w:cs="Arial"/>
          <w:sz w:val="18"/>
        </w:rPr>
        <w:t>(lettera abrogata, a decorrere dal 1° gennaio 2012,</w:t>
      </w:r>
      <w:r>
        <w:rPr>
          <w:rFonts w:ascii="Times New Roman" w:eastAsia="Times New Roman" w:hAnsi="Times New Roman" w:cs="Times New Roman"/>
          <w:sz w:val="18"/>
        </w:rPr>
        <w:t xml:space="preserve"> </w:t>
      </w:r>
      <w:r>
        <w:rPr>
          <w:rFonts w:ascii="Arial" w:eastAsia="Arial" w:hAnsi="Arial" w:cs="Arial"/>
          <w:sz w:val="18"/>
        </w:rPr>
        <w:t>, dall’art. 4, comma 40 legge 12 novembre 2011 n. 183).</w:t>
      </w:r>
    </w:p>
    <w:p w14:paraId="150C82E7" w14:textId="77777777" w:rsidR="00B32EF2" w:rsidRDefault="00000000">
      <w:pPr>
        <w:spacing w:after="0" w:line="261" w:lineRule="auto"/>
        <w:ind w:left="12" w:right="3" w:hanging="10"/>
        <w:jc w:val="center"/>
      </w:pPr>
      <w:r>
        <w:rPr>
          <w:rFonts w:ascii="Arial" w:eastAsia="Arial" w:hAnsi="Arial" w:cs="Arial"/>
          <w:b/>
          <w:sz w:val="18"/>
        </w:rPr>
        <w:lastRenderedPageBreak/>
        <w:t>Articolo 8</w:t>
      </w:r>
    </w:p>
    <w:p w14:paraId="1C0681CE" w14:textId="77777777" w:rsidR="00B32EF2" w:rsidRDefault="00000000">
      <w:pPr>
        <w:spacing w:after="3" w:line="251" w:lineRule="auto"/>
        <w:ind w:left="2320" w:right="2311" w:hanging="10"/>
        <w:jc w:val="center"/>
      </w:pPr>
      <w:r>
        <w:rPr>
          <w:rFonts w:ascii="Arial" w:eastAsia="Arial" w:hAnsi="Arial" w:cs="Arial"/>
          <w:i/>
          <w:sz w:val="18"/>
        </w:rPr>
        <w:t xml:space="preserve">(articolo 14 TUGT) </w:t>
      </w:r>
      <w:r>
        <w:rPr>
          <w:rFonts w:ascii="Arial" w:eastAsia="Arial" w:hAnsi="Arial" w:cs="Arial"/>
          <w:b/>
          <w:sz w:val="18"/>
        </w:rPr>
        <w:t xml:space="preserve">Incompatibilità </w:t>
      </w:r>
    </w:p>
    <w:p w14:paraId="40AE83EB" w14:textId="77777777" w:rsidR="00B32EF2" w:rsidRDefault="00000000">
      <w:pPr>
        <w:spacing w:after="5" w:line="250" w:lineRule="auto"/>
        <w:ind w:left="-4" w:hanging="10"/>
        <w:jc w:val="both"/>
      </w:pPr>
      <w:r>
        <w:rPr>
          <w:rFonts w:ascii="Arial" w:eastAsia="Arial" w:hAnsi="Arial" w:cs="Arial"/>
          <w:sz w:val="18"/>
        </w:rPr>
        <w:t>01. Ai magistrati tributari reclutati ai sensi dell’articolo 4 si applicano, in quanto compatibili, le disposizioni contenute nel titolo I, capo II, dell’ordinamento giudiziario, di cui al regio decreto 30 gennaio 1941, n. 12.</w:t>
      </w:r>
    </w:p>
    <w:p w14:paraId="02079E2D" w14:textId="77777777" w:rsidR="00B32EF2" w:rsidRDefault="00000000">
      <w:pPr>
        <w:spacing w:after="5" w:line="250" w:lineRule="auto"/>
        <w:ind w:left="-4" w:hanging="10"/>
        <w:jc w:val="both"/>
      </w:pPr>
      <w:r>
        <w:rPr>
          <w:rFonts w:ascii="Arial" w:eastAsia="Arial" w:hAnsi="Arial" w:cs="Arial"/>
          <w:sz w:val="18"/>
        </w:rPr>
        <w:t xml:space="preserve">1. Non possono essere componenti delle corti di giustizia tributaria di primo e secondo grado e, </w:t>
      </w:r>
      <w:proofErr w:type="spellStart"/>
      <w:r>
        <w:rPr>
          <w:rFonts w:ascii="Arial" w:eastAsia="Arial" w:hAnsi="Arial" w:cs="Arial"/>
          <w:sz w:val="18"/>
        </w:rPr>
        <w:t>finchè</w:t>
      </w:r>
      <w:proofErr w:type="spellEnd"/>
      <w:r>
        <w:rPr>
          <w:rFonts w:ascii="Arial" w:eastAsia="Arial" w:hAnsi="Arial" w:cs="Arial"/>
          <w:sz w:val="18"/>
        </w:rPr>
        <w:t xml:space="preserve"> permangono in attività di servizio o nell’esercizio delle rispettive funzioni o attività professionali:</w:t>
      </w:r>
    </w:p>
    <w:p w14:paraId="794BC29E" w14:textId="77777777" w:rsidR="00B32EF2" w:rsidRDefault="00000000">
      <w:pPr>
        <w:numPr>
          <w:ilvl w:val="0"/>
          <w:numId w:val="148"/>
        </w:numPr>
        <w:spacing w:after="5" w:line="250" w:lineRule="auto"/>
        <w:ind w:hanging="202"/>
        <w:jc w:val="both"/>
      </w:pPr>
      <w:r>
        <w:rPr>
          <w:rFonts w:ascii="Arial" w:eastAsia="Arial" w:hAnsi="Arial" w:cs="Arial"/>
          <w:sz w:val="18"/>
        </w:rPr>
        <w:t>i membri del Parlamento nazionale e del Parlamento europeo;</w:t>
      </w:r>
    </w:p>
    <w:p w14:paraId="6A760FEC" w14:textId="77777777" w:rsidR="00B32EF2" w:rsidRDefault="00000000">
      <w:pPr>
        <w:numPr>
          <w:ilvl w:val="0"/>
          <w:numId w:val="148"/>
        </w:numPr>
        <w:spacing w:after="5" w:line="250" w:lineRule="auto"/>
        <w:ind w:hanging="202"/>
        <w:jc w:val="both"/>
      </w:pPr>
      <w:r>
        <w:rPr>
          <w:rFonts w:ascii="Arial" w:eastAsia="Arial" w:hAnsi="Arial" w:cs="Arial"/>
          <w:sz w:val="18"/>
        </w:rPr>
        <w:t>i consiglieri regionali, provinciali, comunali e circoscrizionali e gli amministratori di altri enti che applicano tributi o hanno partecipazione al gettito dei tributi indicati</w:t>
      </w:r>
      <w:r>
        <w:rPr>
          <w:rFonts w:ascii="Times New Roman" w:eastAsia="Times New Roman" w:hAnsi="Times New Roman" w:cs="Times New Roman"/>
          <w:sz w:val="18"/>
        </w:rPr>
        <w:t xml:space="preserve"> </w:t>
      </w:r>
      <w:r>
        <w:rPr>
          <w:rFonts w:ascii="Arial" w:eastAsia="Arial" w:hAnsi="Arial" w:cs="Arial"/>
          <w:sz w:val="18"/>
        </w:rPr>
        <w:t xml:space="preserve">nell’art. 2 del decreto legislativo 31 dicembre 1992, n. 546, </w:t>
      </w:r>
      <w:proofErr w:type="spellStart"/>
      <w:r>
        <w:rPr>
          <w:rFonts w:ascii="Arial" w:eastAsia="Arial" w:hAnsi="Arial" w:cs="Arial"/>
          <w:sz w:val="18"/>
        </w:rPr>
        <w:t>nonchè</w:t>
      </w:r>
      <w:proofErr w:type="spellEnd"/>
      <w:r>
        <w:rPr>
          <w:rFonts w:ascii="Arial" w:eastAsia="Arial" w:hAnsi="Arial" w:cs="Arial"/>
          <w:sz w:val="18"/>
        </w:rPr>
        <w:t xml:space="preserve"> coloro che, come dipendenti di detti enti o come componenti di organi collegiali, concorrono all’accertamento dei tributi stessi;</w:t>
      </w:r>
    </w:p>
    <w:p w14:paraId="4E4DD07D" w14:textId="77777777" w:rsidR="00B32EF2" w:rsidRDefault="00000000">
      <w:pPr>
        <w:numPr>
          <w:ilvl w:val="0"/>
          <w:numId w:val="148"/>
        </w:numPr>
        <w:spacing w:after="5" w:line="250" w:lineRule="auto"/>
        <w:ind w:hanging="202"/>
        <w:jc w:val="both"/>
      </w:pPr>
      <w:r>
        <w:rPr>
          <w:rFonts w:ascii="Arial" w:eastAsia="Arial" w:hAnsi="Arial" w:cs="Arial"/>
          <w:sz w:val="18"/>
        </w:rPr>
        <w:t xml:space="preserve">i dipendenti dell’Amministrazione finanziaria che prestano servizio </w:t>
      </w:r>
      <w:proofErr w:type="spellStart"/>
      <w:r>
        <w:rPr>
          <w:rFonts w:ascii="Arial" w:eastAsia="Arial" w:hAnsi="Arial" w:cs="Arial"/>
          <w:sz w:val="18"/>
        </w:rPr>
        <w:t>pressogli</w:t>
      </w:r>
      <w:proofErr w:type="spellEnd"/>
      <w:r>
        <w:rPr>
          <w:rFonts w:ascii="Arial" w:eastAsia="Arial" w:hAnsi="Arial" w:cs="Arial"/>
          <w:sz w:val="18"/>
        </w:rPr>
        <w:t xml:space="preserve"> uffici delle Agenzie delle entrate, delle dogane e del territorio, di cui al decreto legislativo 30 luglio 1999, n. 300, e successive modificazioni; d) gli appartenenti al Corpo della Guardia di finanza;</w:t>
      </w:r>
    </w:p>
    <w:p w14:paraId="1A4419A3" w14:textId="77777777" w:rsidR="00B32EF2" w:rsidRDefault="00000000">
      <w:pPr>
        <w:numPr>
          <w:ilvl w:val="0"/>
          <w:numId w:val="149"/>
        </w:numPr>
        <w:spacing w:after="5" w:line="250" w:lineRule="auto"/>
        <w:ind w:hanging="10"/>
        <w:jc w:val="both"/>
      </w:pPr>
      <w:r>
        <w:rPr>
          <w:rFonts w:ascii="Arial" w:eastAsia="Arial" w:hAnsi="Arial" w:cs="Arial"/>
          <w:sz w:val="18"/>
        </w:rPr>
        <w:t>i soci, gli amministratori e i dipendenti delle società concessionarie del servizio di riscossione delle imposte o preposte alla gestione dell’anagrafe tributaria e di ogni altro servizio tecnico del Ministero delle finanze;</w:t>
      </w:r>
    </w:p>
    <w:p w14:paraId="41984DF8" w14:textId="77777777" w:rsidR="00B32EF2" w:rsidRDefault="00000000">
      <w:pPr>
        <w:numPr>
          <w:ilvl w:val="0"/>
          <w:numId w:val="149"/>
        </w:numPr>
        <w:spacing w:after="5" w:line="250" w:lineRule="auto"/>
        <w:ind w:hanging="10"/>
        <w:jc w:val="both"/>
      </w:pPr>
      <w:r>
        <w:rPr>
          <w:rFonts w:ascii="Arial" w:eastAsia="Arial" w:hAnsi="Arial" w:cs="Arial"/>
          <w:sz w:val="18"/>
        </w:rPr>
        <w:t>(lettera abrogata</w:t>
      </w:r>
      <w:r>
        <w:rPr>
          <w:rFonts w:ascii="Times New Roman" w:eastAsia="Times New Roman" w:hAnsi="Times New Roman" w:cs="Times New Roman"/>
          <w:sz w:val="18"/>
        </w:rPr>
        <w:t xml:space="preserve"> </w:t>
      </w:r>
      <w:r>
        <w:rPr>
          <w:rFonts w:ascii="Arial" w:eastAsia="Arial" w:hAnsi="Arial" w:cs="Arial"/>
          <w:sz w:val="18"/>
        </w:rPr>
        <w:t>dall’art. 39, comma 2, lett. c), n. 1) decreto-legge 6 luglio 2011 n. 98, convertito, con modificazioni, dalla legge 15 luglio 2011 n. 111); g) i prefetti;</w:t>
      </w:r>
    </w:p>
    <w:p w14:paraId="0AF3EF13" w14:textId="77777777" w:rsidR="00B32EF2" w:rsidRDefault="00000000">
      <w:pPr>
        <w:numPr>
          <w:ilvl w:val="0"/>
          <w:numId w:val="150"/>
        </w:numPr>
        <w:spacing w:after="5" w:line="250" w:lineRule="auto"/>
        <w:ind w:hanging="10"/>
        <w:jc w:val="both"/>
      </w:pPr>
      <w:r>
        <w:rPr>
          <w:rFonts w:ascii="Arial" w:eastAsia="Arial" w:hAnsi="Arial" w:cs="Arial"/>
          <w:sz w:val="18"/>
        </w:rPr>
        <w:t xml:space="preserve">coloro che ricoprono incarichi direttivi o esecutivi nei partiti o </w:t>
      </w:r>
      <w:proofErr w:type="spellStart"/>
      <w:r>
        <w:rPr>
          <w:rFonts w:ascii="Arial" w:eastAsia="Arial" w:hAnsi="Arial" w:cs="Arial"/>
          <w:sz w:val="18"/>
        </w:rPr>
        <w:t>movimentipolitici</w:t>
      </w:r>
      <w:proofErr w:type="spellEnd"/>
      <w:r>
        <w:rPr>
          <w:rFonts w:ascii="Arial" w:eastAsia="Arial" w:hAnsi="Arial" w:cs="Arial"/>
          <w:sz w:val="18"/>
        </w:rPr>
        <w:t>;</w:t>
      </w:r>
    </w:p>
    <w:p w14:paraId="4B27666C" w14:textId="77777777" w:rsidR="00B32EF2" w:rsidRDefault="00000000">
      <w:pPr>
        <w:numPr>
          <w:ilvl w:val="0"/>
          <w:numId w:val="150"/>
        </w:numPr>
        <w:spacing w:after="5" w:line="250" w:lineRule="auto"/>
        <w:ind w:hanging="10"/>
        <w:jc w:val="both"/>
      </w:pPr>
      <w:r>
        <w:rPr>
          <w:rFonts w:ascii="Arial" w:eastAsia="Arial" w:hAnsi="Arial" w:cs="Arial"/>
          <w:sz w:val="18"/>
        </w:rPr>
        <w:t xml:space="preserve">i) coloro che in qualsiasi forma, anche se in modo saltuario o </w:t>
      </w:r>
      <w:proofErr w:type="spellStart"/>
      <w:r>
        <w:rPr>
          <w:rFonts w:ascii="Arial" w:eastAsia="Arial" w:hAnsi="Arial" w:cs="Arial"/>
          <w:sz w:val="18"/>
        </w:rPr>
        <w:t>accessorioad</w:t>
      </w:r>
      <w:proofErr w:type="spellEnd"/>
      <w:r>
        <w:rPr>
          <w:rFonts w:ascii="Arial" w:eastAsia="Arial" w:hAnsi="Arial" w:cs="Arial"/>
          <w:sz w:val="18"/>
        </w:rPr>
        <w:t xml:space="preserve"> altra prestazione, direttamente o attraverso forme associative, esercitano l’attività di consulenza tributaria, detengono le scritture contabili e redigono i bilanci, ovvero svolgono attività di consulenza, assistenza o di rappresentanza, a qualsiasi titolo e anche nelle controversie di carattere tributario, di contribuenti singoli o associazioni di contribuenti, di società di riscossione dei tributi o di altri enti impositori;</w:t>
      </w:r>
    </w:p>
    <w:p w14:paraId="419111C1" w14:textId="77777777" w:rsidR="00B32EF2" w:rsidRDefault="00000000">
      <w:pPr>
        <w:numPr>
          <w:ilvl w:val="0"/>
          <w:numId w:val="151"/>
        </w:numPr>
        <w:spacing w:after="5" w:line="250" w:lineRule="auto"/>
        <w:ind w:hanging="148"/>
        <w:jc w:val="both"/>
      </w:pPr>
      <w:r>
        <w:rPr>
          <w:rFonts w:ascii="Arial" w:eastAsia="Arial" w:hAnsi="Arial" w:cs="Arial"/>
          <w:sz w:val="18"/>
        </w:rPr>
        <w:t>gli appartenenti alle Forze armate ed i funzionari civili dei Corpi di polizia;</w:t>
      </w:r>
    </w:p>
    <w:p w14:paraId="7562EEC1" w14:textId="77777777" w:rsidR="00B32EF2" w:rsidRDefault="00000000">
      <w:pPr>
        <w:numPr>
          <w:ilvl w:val="0"/>
          <w:numId w:val="151"/>
        </w:numPr>
        <w:spacing w:after="5" w:line="250" w:lineRule="auto"/>
        <w:ind w:hanging="148"/>
        <w:jc w:val="both"/>
      </w:pPr>
      <w:r>
        <w:rPr>
          <w:rFonts w:ascii="Arial" w:eastAsia="Arial" w:hAnsi="Arial" w:cs="Arial"/>
          <w:sz w:val="18"/>
        </w:rPr>
        <w:t>(lettera abrogata</w:t>
      </w:r>
      <w:r>
        <w:rPr>
          <w:rFonts w:ascii="Times New Roman" w:eastAsia="Times New Roman" w:hAnsi="Times New Roman" w:cs="Times New Roman"/>
          <w:sz w:val="18"/>
        </w:rPr>
        <w:t xml:space="preserve"> </w:t>
      </w:r>
      <w:r>
        <w:rPr>
          <w:rFonts w:ascii="Arial" w:eastAsia="Arial" w:hAnsi="Arial" w:cs="Arial"/>
          <w:sz w:val="18"/>
        </w:rPr>
        <w:t>dall’art. 39, comma 2, lett. c), n. 3) decreto-legge 6 luglio 2011 n. 98, convertito, con modificazioni, dalla legge 15 luglio 2011 n. 111); m-bis) coloro che sono iscritti in albi professionali, elenchi, ruoli e il personale dipendente individuati nell’articolo 12 del decreto legislativo 31 dicembre 1992, n. 546, e successive modificazioni, ed esercitano, anche in forma non individuale, le attività individuate nella lettera i).</w:t>
      </w:r>
    </w:p>
    <w:p w14:paraId="6F6E538D" w14:textId="77777777" w:rsidR="00B32EF2" w:rsidRDefault="00000000">
      <w:pPr>
        <w:spacing w:after="5" w:line="250" w:lineRule="auto"/>
        <w:ind w:left="-4" w:hanging="10"/>
        <w:jc w:val="both"/>
      </w:pPr>
      <w:r>
        <w:rPr>
          <w:rFonts w:ascii="Arial" w:eastAsia="Arial" w:hAnsi="Arial" w:cs="Arial"/>
          <w:sz w:val="18"/>
        </w:rPr>
        <w:t xml:space="preserve">1-bis Non possono essere componenti di corte di giustizia tributaria di primo grado i coniugi, i conviventi o i parenti fino al secondo grado o gli affini in primo </w:t>
      </w:r>
      <w:r>
        <w:rPr>
          <w:rFonts w:ascii="Arial" w:eastAsia="Arial" w:hAnsi="Arial" w:cs="Arial"/>
          <w:sz w:val="18"/>
        </w:rPr>
        <w:lastRenderedPageBreak/>
        <w:t>grado di coloro che, iscritti in albi professionali, esercitano, anche in forma non individuale, le attività individuate nella lettera i) del comma 1 nella regione e nelle province confinanti con la predetta regione dove ha sede la corte di giustizia tributaria di primo grado. Non possono, altresì, essere componenti delle corti di giustizia tributaria di secondo grado i coniugi, i conviventi o i parenti fino al secondo grado o gli affini in primo grado di coloro che, iscritti in albi professionali, esercitano, anche in forma non individuale, le attività individuate nella lettera i) del comma 1 nella regione dove ha sede la corte di giustizia tributaria di secondo grado ovvero nelle regioni con essa confinanti. All’accertamento della sussistenza delle cause di incompatibilità previste nei periodi che precedono provvede il Consiglio di Presidenza della giustizia tributaria.</w:t>
      </w:r>
    </w:p>
    <w:p w14:paraId="768848B9" w14:textId="77777777" w:rsidR="00B32EF2" w:rsidRDefault="00000000">
      <w:pPr>
        <w:numPr>
          <w:ilvl w:val="0"/>
          <w:numId w:val="152"/>
        </w:numPr>
        <w:spacing w:after="5" w:line="250" w:lineRule="auto"/>
        <w:ind w:hanging="10"/>
        <w:jc w:val="both"/>
      </w:pPr>
      <w:r>
        <w:rPr>
          <w:rFonts w:ascii="Arial" w:eastAsia="Arial" w:hAnsi="Arial" w:cs="Arial"/>
          <w:sz w:val="18"/>
        </w:rPr>
        <w:t xml:space="preserve">Non possono essere componenti dello stesso collegio giudicante i </w:t>
      </w:r>
      <w:proofErr w:type="spellStart"/>
      <w:r>
        <w:rPr>
          <w:rFonts w:ascii="Arial" w:eastAsia="Arial" w:hAnsi="Arial" w:cs="Arial"/>
          <w:sz w:val="18"/>
        </w:rPr>
        <w:t>coniugi,i</w:t>
      </w:r>
      <w:proofErr w:type="spellEnd"/>
      <w:r>
        <w:rPr>
          <w:rFonts w:ascii="Arial" w:eastAsia="Arial" w:hAnsi="Arial" w:cs="Arial"/>
          <w:sz w:val="18"/>
        </w:rPr>
        <w:t xml:space="preserve"> conviventi, </w:t>
      </w:r>
      <w:proofErr w:type="spellStart"/>
      <w:r>
        <w:rPr>
          <w:rFonts w:ascii="Arial" w:eastAsia="Arial" w:hAnsi="Arial" w:cs="Arial"/>
          <w:sz w:val="18"/>
        </w:rPr>
        <w:t>nonchè</w:t>
      </w:r>
      <w:proofErr w:type="spellEnd"/>
      <w:r>
        <w:rPr>
          <w:rFonts w:ascii="Arial" w:eastAsia="Arial" w:hAnsi="Arial" w:cs="Arial"/>
          <w:sz w:val="18"/>
        </w:rPr>
        <w:t xml:space="preserve"> i parenti ed affini entro il quarto grado.</w:t>
      </w:r>
    </w:p>
    <w:p w14:paraId="655ACED3" w14:textId="77777777" w:rsidR="00B32EF2" w:rsidRDefault="00000000">
      <w:pPr>
        <w:numPr>
          <w:ilvl w:val="0"/>
          <w:numId w:val="152"/>
        </w:numPr>
        <w:spacing w:after="5" w:line="250" w:lineRule="auto"/>
        <w:ind w:hanging="10"/>
        <w:jc w:val="both"/>
      </w:pPr>
      <w:r>
        <w:rPr>
          <w:rFonts w:ascii="Arial" w:eastAsia="Arial" w:hAnsi="Arial" w:cs="Arial"/>
          <w:sz w:val="18"/>
        </w:rPr>
        <w:t xml:space="preserve">Nessuno può essere componente di più corti di giustizia tributaria di </w:t>
      </w:r>
      <w:proofErr w:type="spellStart"/>
      <w:r>
        <w:rPr>
          <w:rFonts w:ascii="Arial" w:eastAsia="Arial" w:hAnsi="Arial" w:cs="Arial"/>
          <w:sz w:val="18"/>
        </w:rPr>
        <w:t>primoe</w:t>
      </w:r>
      <w:proofErr w:type="spellEnd"/>
      <w:r>
        <w:rPr>
          <w:rFonts w:ascii="Arial" w:eastAsia="Arial" w:hAnsi="Arial" w:cs="Arial"/>
          <w:sz w:val="18"/>
        </w:rPr>
        <w:t xml:space="preserve"> secondo grado.</w:t>
      </w:r>
    </w:p>
    <w:p w14:paraId="67BD6AF6" w14:textId="77777777" w:rsidR="00B32EF2" w:rsidRDefault="00000000">
      <w:pPr>
        <w:numPr>
          <w:ilvl w:val="0"/>
          <w:numId w:val="152"/>
        </w:numPr>
        <w:spacing w:after="5" w:line="250" w:lineRule="auto"/>
        <w:ind w:hanging="10"/>
        <w:jc w:val="both"/>
      </w:pPr>
      <w:r>
        <w:rPr>
          <w:rFonts w:ascii="Arial" w:eastAsia="Arial" w:hAnsi="Arial" w:cs="Arial"/>
          <w:sz w:val="18"/>
        </w:rPr>
        <w:t xml:space="preserve">I componenti delle corti di giustizia tributaria di primo e secondo grado, </w:t>
      </w:r>
      <w:proofErr w:type="spellStart"/>
      <w:r>
        <w:rPr>
          <w:rFonts w:ascii="Arial" w:eastAsia="Arial" w:hAnsi="Arial" w:cs="Arial"/>
          <w:sz w:val="18"/>
        </w:rPr>
        <w:t>chevengano</w:t>
      </w:r>
      <w:proofErr w:type="spellEnd"/>
      <w:r>
        <w:rPr>
          <w:rFonts w:ascii="Arial" w:eastAsia="Arial" w:hAnsi="Arial" w:cs="Arial"/>
          <w:sz w:val="18"/>
        </w:rPr>
        <w:t xml:space="preserve"> a trovarsi in una delle condizioni di cui al comma 1, lettere a) e b) o che siano nominati giudici costituzionali, sono sospesi dall’incarico fino alla data di cessazione dell’incompatibilità; successivamente alla suddetta data essi riassumono le rispettive funzioni anche in soprannumero presso la corte di giustizia tributaria di primo e secondo grado di appartenenza.</w:t>
      </w:r>
    </w:p>
    <w:p w14:paraId="68BD584D" w14:textId="77777777" w:rsidR="00B32EF2" w:rsidRDefault="00000000">
      <w:pPr>
        <w:spacing w:after="5" w:line="250" w:lineRule="auto"/>
        <w:ind w:left="-4" w:hanging="10"/>
        <w:jc w:val="both"/>
      </w:pPr>
      <w:r>
        <w:rPr>
          <w:rFonts w:ascii="Arial" w:eastAsia="Arial" w:hAnsi="Arial" w:cs="Arial"/>
          <w:sz w:val="18"/>
        </w:rPr>
        <w:t xml:space="preserve">Articolo 2 D.lgs. 546/1992 “Oggetto della giurisdizione tributaria”: 1. Appartengono alla giurisdizione tributaria tutte le controversie aventi ad oggetto i tributi di ogni genere e specie comunque denominati, compresi quelli regionali, provinciali e comunali e il contributo per il Servizio sanitario nazionale, le sovrimposte e le addizionali, le relative sanzioni </w:t>
      </w:r>
      <w:proofErr w:type="spellStart"/>
      <w:r>
        <w:rPr>
          <w:rFonts w:ascii="Arial" w:eastAsia="Arial" w:hAnsi="Arial" w:cs="Arial"/>
          <w:sz w:val="18"/>
        </w:rPr>
        <w:t>nonchè</w:t>
      </w:r>
      <w:proofErr w:type="spellEnd"/>
      <w:r>
        <w:rPr>
          <w:rFonts w:ascii="Arial" w:eastAsia="Arial" w:hAnsi="Arial" w:cs="Arial"/>
          <w:sz w:val="18"/>
        </w:rPr>
        <w:t xml:space="preserve"> gli interessi e ogni altro accessorio. Restano escluse dalla giurisdizione tributaria soltanto le controversie riguardanti gli atti della esecuzione forzata tributaria successivi alla notifica della cartella di pagamento e, ove previsto, dell’avviso di cui all’articolo 50 del decreto del Presidente della Repubblica 29 settembre 1973, n. 602, per le quali continuano ad applicarsi le disposizioni del medesimo decreto del Presidente della Repubblica (1).</w:t>
      </w:r>
    </w:p>
    <w:p w14:paraId="42F16241" w14:textId="77777777" w:rsidR="00B32EF2" w:rsidRDefault="00000000">
      <w:pPr>
        <w:numPr>
          <w:ilvl w:val="0"/>
          <w:numId w:val="153"/>
        </w:numPr>
        <w:spacing w:after="5" w:line="250" w:lineRule="auto"/>
        <w:ind w:hanging="10"/>
        <w:jc w:val="both"/>
      </w:pPr>
      <w:r>
        <w:rPr>
          <w:rFonts w:ascii="Arial" w:eastAsia="Arial" w:hAnsi="Arial" w:cs="Arial"/>
          <w:sz w:val="18"/>
        </w:rPr>
        <w:t xml:space="preserve">Appartengono altresì alla giurisdizione tributaria le controversie </w:t>
      </w:r>
      <w:proofErr w:type="spellStart"/>
      <w:r>
        <w:rPr>
          <w:rFonts w:ascii="Arial" w:eastAsia="Arial" w:hAnsi="Arial" w:cs="Arial"/>
          <w:sz w:val="18"/>
        </w:rPr>
        <w:t>promossedai</w:t>
      </w:r>
      <w:proofErr w:type="spellEnd"/>
      <w:r>
        <w:rPr>
          <w:rFonts w:ascii="Arial" w:eastAsia="Arial" w:hAnsi="Arial" w:cs="Arial"/>
          <w:sz w:val="18"/>
        </w:rPr>
        <w:t xml:space="preserve"> singoli possessori concernenti l’intestazione, la delimitazione, la figura, l’estensione, il classamento dei terreni e la ripartizione dell’estimo fra i compossessori a titolo di promiscuità di una stessa particella, </w:t>
      </w:r>
      <w:proofErr w:type="spellStart"/>
      <w:r>
        <w:rPr>
          <w:rFonts w:ascii="Arial" w:eastAsia="Arial" w:hAnsi="Arial" w:cs="Arial"/>
          <w:sz w:val="18"/>
        </w:rPr>
        <w:t>nonchè</w:t>
      </w:r>
      <w:proofErr w:type="spellEnd"/>
      <w:r>
        <w:rPr>
          <w:rFonts w:ascii="Arial" w:eastAsia="Arial" w:hAnsi="Arial" w:cs="Arial"/>
          <w:sz w:val="18"/>
        </w:rPr>
        <w:t xml:space="preserve"> le controversie concernenti la consistenza, il classamento delle singole unità immobiliari urbane e l’attribuzione della rendita catastale. Appartengono alla giurisdizione tributaria anche le controversie attinenti l’imposta o il canone comunale sulla pubblicità e il diritto sulle pubbliche affissioni.</w:t>
      </w:r>
    </w:p>
    <w:p w14:paraId="4153411D" w14:textId="77777777" w:rsidR="00B32EF2" w:rsidRDefault="00000000">
      <w:pPr>
        <w:numPr>
          <w:ilvl w:val="0"/>
          <w:numId w:val="153"/>
        </w:numPr>
        <w:spacing w:after="155" w:line="250" w:lineRule="auto"/>
        <w:ind w:hanging="10"/>
        <w:jc w:val="both"/>
      </w:pPr>
      <w:r>
        <w:rPr>
          <w:rFonts w:ascii="Arial" w:eastAsia="Arial" w:hAnsi="Arial" w:cs="Arial"/>
          <w:sz w:val="18"/>
        </w:rPr>
        <w:t xml:space="preserve">Il giudice tributario risolve in via incidentale ogni questione da cui </w:t>
      </w:r>
      <w:proofErr w:type="spellStart"/>
      <w:r>
        <w:rPr>
          <w:rFonts w:ascii="Arial" w:eastAsia="Arial" w:hAnsi="Arial" w:cs="Arial"/>
          <w:sz w:val="18"/>
        </w:rPr>
        <w:t>dipendela</w:t>
      </w:r>
      <w:proofErr w:type="spellEnd"/>
      <w:r>
        <w:rPr>
          <w:rFonts w:ascii="Arial" w:eastAsia="Arial" w:hAnsi="Arial" w:cs="Arial"/>
          <w:sz w:val="18"/>
        </w:rPr>
        <w:t xml:space="preserve"> decisione delle controversie rientranti nella propria giurisdizione, </w:t>
      </w:r>
      <w:r>
        <w:rPr>
          <w:rFonts w:ascii="Arial" w:eastAsia="Arial" w:hAnsi="Arial" w:cs="Arial"/>
          <w:sz w:val="18"/>
        </w:rPr>
        <w:lastRenderedPageBreak/>
        <w:t>fatta eccezione per le questioni in materia di querela di falso e sullo stato o la capacità delle persone, diversa dalla capacità di stare in giudizio.</w:t>
      </w:r>
    </w:p>
    <w:p w14:paraId="31F5C5C9" w14:textId="77777777" w:rsidR="00B32EF2" w:rsidRDefault="00000000">
      <w:pPr>
        <w:pStyle w:val="Titolo3"/>
        <w:ind w:left="129" w:right="60"/>
      </w:pPr>
      <w:r>
        <w:t>NORME RICHIAMATE</w:t>
      </w:r>
    </w:p>
    <w:p w14:paraId="3CB1781A" w14:textId="77777777" w:rsidR="00B32EF2" w:rsidRDefault="00000000">
      <w:pPr>
        <w:pBdr>
          <w:top w:val="single" w:sz="8" w:space="0" w:color="000000"/>
          <w:left w:val="single" w:sz="8" w:space="0" w:color="000000"/>
          <w:bottom w:val="single" w:sz="8" w:space="0" w:color="000000"/>
          <w:right w:val="single" w:sz="8" w:space="0" w:color="000000"/>
        </w:pBdr>
        <w:shd w:val="clear" w:color="auto" w:fill="C3C3C3"/>
        <w:spacing w:after="192" w:line="251" w:lineRule="auto"/>
        <w:ind w:left="129" w:right="60" w:hanging="10"/>
        <w:jc w:val="both"/>
      </w:pPr>
      <w:r>
        <w:rPr>
          <w:rFonts w:ascii="Arial" w:eastAsia="Arial" w:hAnsi="Arial" w:cs="Arial"/>
          <w:i/>
          <w:sz w:val="18"/>
        </w:rPr>
        <w:t xml:space="preserve">art. 12 </w:t>
      </w:r>
      <w:proofErr w:type="spellStart"/>
      <w:r>
        <w:rPr>
          <w:rFonts w:ascii="Arial" w:eastAsia="Arial" w:hAnsi="Arial" w:cs="Arial"/>
          <w:i/>
          <w:sz w:val="18"/>
        </w:rPr>
        <w:t>D.Lgs.</w:t>
      </w:r>
      <w:proofErr w:type="spellEnd"/>
      <w:r>
        <w:rPr>
          <w:rFonts w:ascii="Arial" w:eastAsia="Arial" w:hAnsi="Arial" w:cs="Arial"/>
          <w:i/>
          <w:sz w:val="18"/>
        </w:rPr>
        <w:t xml:space="preserve"> 546/1992 “Assistenza tecnica”</w:t>
      </w:r>
    </w:p>
    <w:p w14:paraId="7F594D3E" w14:textId="77777777" w:rsidR="00B32EF2" w:rsidRDefault="00000000">
      <w:pPr>
        <w:spacing w:after="4" w:line="269" w:lineRule="auto"/>
        <w:ind w:left="10" w:right="1" w:hanging="10"/>
        <w:jc w:val="center"/>
      </w:pPr>
      <w:r>
        <w:rPr>
          <w:rFonts w:ascii="Arial" w:eastAsia="Arial" w:hAnsi="Arial" w:cs="Arial"/>
          <w:b/>
          <w:sz w:val="18"/>
        </w:rPr>
        <w:t>Articolo 9</w:t>
      </w:r>
    </w:p>
    <w:p w14:paraId="1FF52E86" w14:textId="77777777" w:rsidR="00B32EF2" w:rsidRDefault="00000000">
      <w:pPr>
        <w:spacing w:after="3" w:line="251" w:lineRule="auto"/>
        <w:ind w:left="2320" w:right="2311" w:hanging="10"/>
        <w:jc w:val="center"/>
      </w:pPr>
      <w:r>
        <w:rPr>
          <w:rFonts w:ascii="Arial" w:eastAsia="Arial" w:hAnsi="Arial" w:cs="Arial"/>
          <w:i/>
          <w:sz w:val="18"/>
        </w:rPr>
        <w:t>(articolo 15 TUGT)</w:t>
      </w:r>
    </w:p>
    <w:p w14:paraId="1C068CD8" w14:textId="77777777" w:rsidR="00B32EF2" w:rsidRDefault="00000000">
      <w:pPr>
        <w:spacing w:after="0" w:line="261" w:lineRule="auto"/>
        <w:ind w:left="12" w:right="2" w:hanging="10"/>
        <w:jc w:val="center"/>
      </w:pPr>
      <w:r>
        <w:rPr>
          <w:rFonts w:ascii="Arial" w:eastAsia="Arial" w:hAnsi="Arial" w:cs="Arial"/>
          <w:b/>
          <w:sz w:val="18"/>
        </w:rPr>
        <w:t xml:space="preserve">Procedimenti di nomina dei componenti delle corti di giustizia tributaria di primo e secondo grado </w:t>
      </w:r>
    </w:p>
    <w:p w14:paraId="4255FCDB" w14:textId="77777777" w:rsidR="00B32EF2" w:rsidRDefault="00000000">
      <w:pPr>
        <w:numPr>
          <w:ilvl w:val="0"/>
          <w:numId w:val="154"/>
        </w:numPr>
        <w:spacing w:after="5" w:line="250" w:lineRule="auto"/>
        <w:ind w:hanging="10"/>
        <w:jc w:val="both"/>
      </w:pPr>
      <w:r>
        <w:rPr>
          <w:rFonts w:ascii="Arial" w:eastAsia="Arial" w:hAnsi="Arial" w:cs="Arial"/>
          <w:sz w:val="18"/>
        </w:rPr>
        <w:t xml:space="preserve">Alla prima e alle successive nomine dei magistrati tributari </w:t>
      </w:r>
      <w:proofErr w:type="spellStart"/>
      <w:r>
        <w:rPr>
          <w:rFonts w:ascii="Arial" w:eastAsia="Arial" w:hAnsi="Arial" w:cs="Arial"/>
          <w:sz w:val="18"/>
        </w:rPr>
        <w:t>nonchè</w:t>
      </w:r>
      <w:proofErr w:type="spellEnd"/>
      <w:r>
        <w:rPr>
          <w:rFonts w:ascii="Arial" w:eastAsia="Arial" w:hAnsi="Arial" w:cs="Arial"/>
          <w:sz w:val="18"/>
        </w:rPr>
        <w:t xml:space="preserve"> alle nomine dei giudici tributari di cui all’articolo 1-bis, comma 1, si provvede con decreto del Ministro dell’economia e delle finanze, previa deliberazione conforme del Consiglio di presidenza della giustizia tributaria.</w:t>
      </w:r>
    </w:p>
    <w:p w14:paraId="77D234D9" w14:textId="77777777" w:rsidR="00B32EF2" w:rsidRDefault="00000000">
      <w:pPr>
        <w:numPr>
          <w:ilvl w:val="0"/>
          <w:numId w:val="154"/>
        </w:numPr>
        <w:spacing w:after="5" w:line="250" w:lineRule="auto"/>
        <w:ind w:hanging="10"/>
        <w:jc w:val="both"/>
      </w:pPr>
      <w:r>
        <w:rPr>
          <w:rFonts w:ascii="Arial" w:eastAsia="Arial" w:hAnsi="Arial" w:cs="Arial"/>
          <w:sz w:val="18"/>
        </w:rPr>
        <w:t>Il consiglio di presidenza procede alle deliberazioni di cui al comma 1 relative alle nomine successive alla prima, sulla base di elenchi formati relativamente ad ogni corte di giustizia tributaria di primo e secondo grado e comprendenti tutti gli appartenenti alle categorie indicate negli articoli 3, 4 e 5 per il posto da conferire che hanno comunicato la propria disponibilità all’incarico e sono in possesso dei requisiti prescritti.</w:t>
      </w:r>
    </w:p>
    <w:p w14:paraId="56425A1F" w14:textId="77777777" w:rsidR="00B32EF2" w:rsidRDefault="00000000">
      <w:pPr>
        <w:spacing w:after="5" w:line="250" w:lineRule="auto"/>
        <w:ind w:left="-4" w:hanging="10"/>
        <w:jc w:val="both"/>
      </w:pPr>
      <w:r>
        <w:rPr>
          <w:rFonts w:ascii="Arial" w:eastAsia="Arial" w:hAnsi="Arial" w:cs="Arial"/>
          <w:sz w:val="18"/>
        </w:rPr>
        <w:t>2-bis. Per le corti di giustizia tributaria di primo e secondo grado regionali i posti da conferire sono attribuiti in modo da assicurare progressivamente la presenza in tali commissioni di due terzi dei giudici selezionati tra i magistrati ordinari, amministrativi, militari e contabili, in servizio o a riposo, ovvero gli avvocati dello Stato, a riposo.</w:t>
      </w:r>
    </w:p>
    <w:p w14:paraId="4A8849AD" w14:textId="77777777" w:rsidR="00B32EF2" w:rsidRDefault="00000000">
      <w:pPr>
        <w:numPr>
          <w:ilvl w:val="0"/>
          <w:numId w:val="154"/>
        </w:numPr>
        <w:spacing w:after="172" w:line="252" w:lineRule="auto"/>
        <w:ind w:hanging="10"/>
        <w:jc w:val="both"/>
      </w:pPr>
      <w:r>
        <w:rPr>
          <w:rFonts w:ascii="Arial" w:eastAsia="Arial" w:hAnsi="Arial" w:cs="Arial"/>
          <w:sz w:val="18"/>
        </w:rPr>
        <w:t>Abrogato.4. Abrogato. 5. Abrogato. 6. Abrogato.</w:t>
      </w:r>
    </w:p>
    <w:p w14:paraId="697F59B2" w14:textId="77777777" w:rsidR="00B32EF2" w:rsidRDefault="00000000">
      <w:pPr>
        <w:spacing w:after="0" w:line="261" w:lineRule="auto"/>
        <w:ind w:left="12" w:right="3" w:hanging="10"/>
        <w:jc w:val="center"/>
      </w:pPr>
      <w:r>
        <w:rPr>
          <w:rFonts w:ascii="Arial" w:eastAsia="Arial" w:hAnsi="Arial" w:cs="Arial"/>
          <w:b/>
          <w:sz w:val="18"/>
        </w:rPr>
        <w:t>Articolo 10</w:t>
      </w:r>
    </w:p>
    <w:p w14:paraId="55A0F86D" w14:textId="77777777" w:rsidR="00B32EF2" w:rsidRDefault="00000000">
      <w:pPr>
        <w:spacing w:after="3" w:line="251" w:lineRule="auto"/>
        <w:ind w:left="2320" w:right="2311" w:hanging="10"/>
        <w:jc w:val="center"/>
      </w:pPr>
      <w:r>
        <w:rPr>
          <w:rFonts w:ascii="Arial" w:eastAsia="Arial" w:hAnsi="Arial" w:cs="Arial"/>
          <w:i/>
          <w:sz w:val="18"/>
        </w:rPr>
        <w:t xml:space="preserve">(articolo 16 TUGT) </w:t>
      </w:r>
      <w:r>
        <w:rPr>
          <w:rFonts w:ascii="Arial" w:eastAsia="Arial" w:hAnsi="Arial" w:cs="Arial"/>
          <w:b/>
          <w:sz w:val="18"/>
        </w:rPr>
        <w:t xml:space="preserve">Giuramento </w:t>
      </w:r>
    </w:p>
    <w:p w14:paraId="1B67439E" w14:textId="77777777" w:rsidR="00B32EF2" w:rsidRDefault="00000000">
      <w:pPr>
        <w:numPr>
          <w:ilvl w:val="0"/>
          <w:numId w:val="155"/>
        </w:numPr>
        <w:spacing w:after="5" w:line="250" w:lineRule="auto"/>
        <w:ind w:hanging="10"/>
        <w:jc w:val="both"/>
      </w:pPr>
      <w:r>
        <w:rPr>
          <w:rFonts w:ascii="Arial" w:eastAsia="Arial" w:hAnsi="Arial" w:cs="Arial"/>
          <w:sz w:val="18"/>
        </w:rPr>
        <w:t xml:space="preserve">I componenti delle corti di giustizia tributaria di primo e secondo </w:t>
      </w:r>
      <w:proofErr w:type="spellStart"/>
      <w:r>
        <w:rPr>
          <w:rFonts w:ascii="Arial" w:eastAsia="Arial" w:hAnsi="Arial" w:cs="Arial"/>
          <w:sz w:val="18"/>
        </w:rPr>
        <w:t>grado,prima</w:t>
      </w:r>
      <w:proofErr w:type="spellEnd"/>
      <w:r>
        <w:rPr>
          <w:rFonts w:ascii="Arial" w:eastAsia="Arial" w:hAnsi="Arial" w:cs="Arial"/>
          <w:sz w:val="18"/>
        </w:rPr>
        <w:t xml:space="preserve"> dell’immissione nelle loro funzioni, prestano giuramento, pronunziando e sottoscrivendo la formula: “Giuro di essere fedele alla Repubblica italiana, di osservare lealmente le leggi dello Stato e di adempiere con coscienza ai doveri inerenti al mio ufficio”.</w:t>
      </w:r>
    </w:p>
    <w:p w14:paraId="6399CBF4" w14:textId="77777777" w:rsidR="00B32EF2" w:rsidRDefault="00000000">
      <w:pPr>
        <w:numPr>
          <w:ilvl w:val="0"/>
          <w:numId w:val="155"/>
        </w:numPr>
        <w:spacing w:after="5" w:line="250" w:lineRule="auto"/>
        <w:ind w:hanging="10"/>
        <w:jc w:val="both"/>
      </w:pPr>
      <w:r>
        <w:rPr>
          <w:rFonts w:ascii="Arial" w:eastAsia="Arial" w:hAnsi="Arial" w:cs="Arial"/>
          <w:sz w:val="18"/>
        </w:rPr>
        <w:t>I presidenti delle corti di giustizia tributaria di primo e secondo grado regionali prestano giuramento dinanzi al presidente del consiglio di presidenza.</w:t>
      </w:r>
    </w:p>
    <w:p w14:paraId="1E323B64" w14:textId="77777777" w:rsidR="00B32EF2" w:rsidRDefault="00000000">
      <w:pPr>
        <w:numPr>
          <w:ilvl w:val="0"/>
          <w:numId w:val="155"/>
        </w:numPr>
        <w:spacing w:after="5" w:line="250" w:lineRule="auto"/>
        <w:ind w:hanging="10"/>
        <w:jc w:val="both"/>
      </w:pPr>
      <w:r>
        <w:rPr>
          <w:rFonts w:ascii="Arial" w:eastAsia="Arial" w:hAnsi="Arial" w:cs="Arial"/>
          <w:sz w:val="18"/>
        </w:rPr>
        <w:t>I presidenti delle corti di giustizia tributaria di primo grado prestano giuramento dinanzi al presidente della commissione tributaria regionale nella cui circoscrizione ha sede la commissione cui sono destinati.</w:t>
      </w:r>
    </w:p>
    <w:p w14:paraId="081D2673" w14:textId="77777777" w:rsidR="00B32EF2" w:rsidRDefault="00000000">
      <w:pPr>
        <w:numPr>
          <w:ilvl w:val="0"/>
          <w:numId w:val="155"/>
        </w:numPr>
        <w:spacing w:after="5" w:line="250" w:lineRule="auto"/>
        <w:ind w:hanging="10"/>
        <w:jc w:val="both"/>
      </w:pPr>
      <w:r>
        <w:rPr>
          <w:rFonts w:ascii="Arial" w:eastAsia="Arial" w:hAnsi="Arial" w:cs="Arial"/>
          <w:sz w:val="18"/>
        </w:rPr>
        <w:t>I presidenti di sezione e gli altri componenti delle corti di giustizia tributaria di primo e secondo grado prestano giuramento dinanzi al presidente della commissione cui sono destinati.</w:t>
      </w:r>
    </w:p>
    <w:p w14:paraId="6158C951" w14:textId="77777777" w:rsidR="00B32EF2" w:rsidRDefault="00000000">
      <w:pPr>
        <w:numPr>
          <w:ilvl w:val="0"/>
          <w:numId w:val="155"/>
        </w:numPr>
        <w:spacing w:after="173" w:line="250" w:lineRule="auto"/>
        <w:ind w:hanging="10"/>
        <w:jc w:val="both"/>
      </w:pPr>
      <w:r>
        <w:rPr>
          <w:rFonts w:ascii="Arial" w:eastAsia="Arial" w:hAnsi="Arial" w:cs="Arial"/>
          <w:sz w:val="18"/>
        </w:rPr>
        <w:lastRenderedPageBreak/>
        <w:t>I verbali di giuramento sono conservati presso l’ufficio cui appartiene l’organo dinanzi al quale esso è stato prestato.</w:t>
      </w:r>
    </w:p>
    <w:p w14:paraId="26300377" w14:textId="77777777" w:rsidR="00B32EF2" w:rsidRDefault="00000000">
      <w:pPr>
        <w:spacing w:after="0" w:line="261" w:lineRule="auto"/>
        <w:ind w:left="12" w:right="3" w:hanging="10"/>
        <w:jc w:val="center"/>
      </w:pPr>
      <w:r>
        <w:rPr>
          <w:rFonts w:ascii="Arial" w:eastAsia="Arial" w:hAnsi="Arial" w:cs="Arial"/>
          <w:b/>
          <w:sz w:val="18"/>
        </w:rPr>
        <w:t>Articolo 11</w:t>
      </w:r>
    </w:p>
    <w:p w14:paraId="1B01BA4F" w14:textId="77777777" w:rsidR="00B32EF2" w:rsidRDefault="00000000">
      <w:pPr>
        <w:spacing w:after="3" w:line="251" w:lineRule="auto"/>
        <w:ind w:left="2320" w:right="2311" w:hanging="10"/>
        <w:jc w:val="center"/>
      </w:pPr>
      <w:r>
        <w:rPr>
          <w:rFonts w:ascii="Arial" w:eastAsia="Arial" w:hAnsi="Arial" w:cs="Arial"/>
          <w:i/>
          <w:sz w:val="18"/>
        </w:rPr>
        <w:t>(articolo 17 TUGT)</w:t>
      </w:r>
    </w:p>
    <w:p w14:paraId="2C552684" w14:textId="77777777" w:rsidR="00B32EF2" w:rsidRDefault="00000000">
      <w:pPr>
        <w:spacing w:after="5" w:line="250" w:lineRule="auto"/>
        <w:ind w:left="-14" w:firstLine="130"/>
        <w:jc w:val="both"/>
      </w:pPr>
      <w:r>
        <w:rPr>
          <w:rFonts w:ascii="Arial" w:eastAsia="Arial" w:hAnsi="Arial" w:cs="Arial"/>
          <w:b/>
          <w:sz w:val="18"/>
        </w:rPr>
        <w:t xml:space="preserve">Durata dell’incarico e assegnazione degli incarichi per trasferimento </w:t>
      </w:r>
      <w:r>
        <w:rPr>
          <w:rFonts w:ascii="Arial" w:eastAsia="Arial" w:hAnsi="Arial" w:cs="Arial"/>
          <w:sz w:val="18"/>
        </w:rPr>
        <w:t>1. La nomina dei giudici tributari presenti nel ruolo unico di cui all’articolo 4, comma 39-bis, della legge 12 novembre 2011, n. 183,alla data del 1° gennaio 2022, a una delle funzioni dei componenti delle corti di giustizia tributaria di primo e secondo grado non costituisce in nessun caso rapporto di pubblico impiego.</w:t>
      </w:r>
    </w:p>
    <w:p w14:paraId="59B36A2C" w14:textId="77777777" w:rsidR="00B32EF2" w:rsidRDefault="00000000">
      <w:pPr>
        <w:numPr>
          <w:ilvl w:val="0"/>
          <w:numId w:val="156"/>
        </w:numPr>
        <w:spacing w:after="5" w:line="250" w:lineRule="auto"/>
        <w:ind w:hanging="10"/>
        <w:jc w:val="both"/>
      </w:pPr>
      <w:r>
        <w:rPr>
          <w:rFonts w:ascii="Arial" w:eastAsia="Arial" w:hAnsi="Arial" w:cs="Arial"/>
          <w:sz w:val="18"/>
        </w:rPr>
        <w:t xml:space="preserve">I magistrati tributari di cui all’articolo 1-bis, comma 2, e i giudici tributari </w:t>
      </w:r>
      <w:proofErr w:type="spellStart"/>
      <w:r>
        <w:rPr>
          <w:rFonts w:ascii="Arial" w:eastAsia="Arial" w:hAnsi="Arial" w:cs="Arial"/>
          <w:sz w:val="18"/>
        </w:rPr>
        <w:t>delruolo</w:t>
      </w:r>
      <w:proofErr w:type="spellEnd"/>
      <w:r>
        <w:rPr>
          <w:rFonts w:ascii="Arial" w:eastAsia="Arial" w:hAnsi="Arial" w:cs="Arial"/>
          <w:sz w:val="18"/>
        </w:rPr>
        <w:t xml:space="preserve"> unico di cui al comma 1, indipendentemente dalle funzioni svolte, cessano dall’incarico, in ogni caso, al compimento del settantesimo anno di età.</w:t>
      </w:r>
    </w:p>
    <w:p w14:paraId="52FCFA1E" w14:textId="77777777" w:rsidR="00B32EF2" w:rsidRDefault="00000000">
      <w:pPr>
        <w:numPr>
          <w:ilvl w:val="0"/>
          <w:numId w:val="156"/>
        </w:numPr>
        <w:spacing w:after="5" w:line="250" w:lineRule="auto"/>
        <w:ind w:hanging="10"/>
        <w:jc w:val="both"/>
      </w:pPr>
      <w:r>
        <w:rPr>
          <w:rFonts w:ascii="Arial" w:eastAsia="Arial" w:hAnsi="Arial" w:cs="Arial"/>
          <w:sz w:val="18"/>
        </w:rPr>
        <w:t xml:space="preserve">I presidenti di sezione, i vice presidenti e i componenti delle corti di </w:t>
      </w:r>
      <w:proofErr w:type="spellStart"/>
      <w:r>
        <w:rPr>
          <w:rFonts w:ascii="Arial" w:eastAsia="Arial" w:hAnsi="Arial" w:cs="Arial"/>
          <w:sz w:val="18"/>
        </w:rPr>
        <w:t>giustiziatributaria</w:t>
      </w:r>
      <w:proofErr w:type="spellEnd"/>
      <w:r>
        <w:rPr>
          <w:rFonts w:ascii="Arial" w:eastAsia="Arial" w:hAnsi="Arial" w:cs="Arial"/>
          <w:sz w:val="18"/>
        </w:rPr>
        <w:t xml:space="preserve"> di primo e secondo grado non possono essere assegnati alla stessa sezione della medesima commissione per più di cinque anni consecutivi.</w:t>
      </w:r>
    </w:p>
    <w:p w14:paraId="4E142C76" w14:textId="77777777" w:rsidR="00B32EF2" w:rsidRDefault="00000000">
      <w:pPr>
        <w:numPr>
          <w:ilvl w:val="0"/>
          <w:numId w:val="156"/>
        </w:numPr>
        <w:spacing w:after="5" w:line="250" w:lineRule="auto"/>
        <w:ind w:hanging="10"/>
        <w:jc w:val="both"/>
      </w:pPr>
      <w:r>
        <w:rPr>
          <w:rFonts w:ascii="Arial" w:eastAsia="Arial" w:hAnsi="Arial" w:cs="Arial"/>
          <w:sz w:val="18"/>
        </w:rPr>
        <w:t>I componenti delle corti di giustizia tributaria di primo e secondo grado, indipendentemente dalla funzione o dall’incarico svolti, non possono concorrere all’assegnazione di altri incarichi prima di due anni dal giorno in cui sono stati immessi nelle funzioni dell’incarico ricoperto.</w:t>
      </w:r>
    </w:p>
    <w:p w14:paraId="76FA835B" w14:textId="77777777" w:rsidR="00B32EF2" w:rsidRDefault="00000000">
      <w:pPr>
        <w:spacing w:after="5" w:line="250" w:lineRule="auto"/>
        <w:ind w:left="-4" w:hanging="10"/>
        <w:jc w:val="both"/>
      </w:pPr>
      <w:r>
        <w:rPr>
          <w:rFonts w:ascii="Arial" w:eastAsia="Arial" w:hAnsi="Arial" w:cs="Arial"/>
          <w:sz w:val="18"/>
        </w:rPr>
        <w:t>4-bis. Ferme restando le modalità indicate nel comma 4-ter, l’assegnazione del medesimo incarico o di diverso incarico per trasferimento dei componenti delle corti di giustizia tributaria di primo e secondo grado in servizio è disposta, salvo giudizio di demerito, sulla base dei punteggi stabiliti dalla tabella F allegata al presente decreto. Il Consiglio di presidenza, in caso di vacanza nei posti di presidente, di presidente di sezione, di vice presidente e di componente presso una sede giudiziaria di corte di giustizia tributaria, provvede a bandire, almeno una volta l’anno e con priorità rispetto alle procedure concorsuali di cui all’articolo 4 e a quelle per diverso incarico, interpelli per il trasferimento di giudici che ricoprono la medesima funzione o una funzione superiore.</w:t>
      </w:r>
    </w:p>
    <w:p w14:paraId="038E27C2" w14:textId="77777777" w:rsidR="00B32EF2" w:rsidRDefault="00000000">
      <w:pPr>
        <w:spacing w:after="5" w:line="250" w:lineRule="auto"/>
        <w:ind w:left="-4" w:hanging="10"/>
        <w:jc w:val="both"/>
      </w:pPr>
      <w:r>
        <w:rPr>
          <w:rFonts w:ascii="Arial" w:eastAsia="Arial" w:hAnsi="Arial" w:cs="Arial"/>
          <w:sz w:val="18"/>
        </w:rPr>
        <w:t>4-ter. L’assegnazione degli incarichi è disposta nel rispetto delle seguenti modalità:</w:t>
      </w:r>
    </w:p>
    <w:p w14:paraId="7F97EDF4" w14:textId="77777777" w:rsidR="00B32EF2" w:rsidRDefault="00000000">
      <w:pPr>
        <w:numPr>
          <w:ilvl w:val="0"/>
          <w:numId w:val="157"/>
        </w:numPr>
        <w:spacing w:after="5" w:line="250" w:lineRule="auto"/>
        <w:ind w:hanging="10"/>
        <w:jc w:val="both"/>
      </w:pPr>
      <w:r>
        <w:rPr>
          <w:rFonts w:ascii="Arial" w:eastAsia="Arial" w:hAnsi="Arial" w:cs="Arial"/>
          <w:sz w:val="18"/>
        </w:rPr>
        <w:t>la vacanza nei posti di presidente, di presidente di sezione, di vice presidente delle corti di giustizia tributaria di primo e secondo grado e di componente delle corti di giustizia tributaria è portata dal Consiglio di presidenza a conoscenza di tutti i componenti delle corti di giustizia tributaria in servizio, a prescindere dalle funzioni svolte, con indicazione del termine entro il quale chi aspira all’incarico deve presentare domanda;</w:t>
      </w:r>
    </w:p>
    <w:p w14:paraId="0290977D" w14:textId="77777777" w:rsidR="00B32EF2" w:rsidRDefault="00000000">
      <w:pPr>
        <w:numPr>
          <w:ilvl w:val="0"/>
          <w:numId w:val="157"/>
        </w:numPr>
        <w:spacing w:after="5" w:line="250" w:lineRule="auto"/>
        <w:ind w:hanging="10"/>
        <w:jc w:val="both"/>
      </w:pPr>
      <w:r>
        <w:rPr>
          <w:rFonts w:ascii="Arial" w:eastAsia="Arial" w:hAnsi="Arial" w:cs="Arial"/>
          <w:sz w:val="18"/>
        </w:rPr>
        <w:t xml:space="preserve">alla nomina per ciascuno degli incarichi di cui alla lettera a) si procede </w:t>
      </w:r>
      <w:proofErr w:type="spellStart"/>
      <w:r>
        <w:rPr>
          <w:rFonts w:ascii="Arial" w:eastAsia="Arial" w:hAnsi="Arial" w:cs="Arial"/>
          <w:sz w:val="18"/>
        </w:rPr>
        <w:t>sullabase</w:t>
      </w:r>
      <w:proofErr w:type="spellEnd"/>
      <w:r>
        <w:rPr>
          <w:rFonts w:ascii="Arial" w:eastAsia="Arial" w:hAnsi="Arial" w:cs="Arial"/>
          <w:sz w:val="18"/>
        </w:rPr>
        <w:t xml:space="preserve"> di elenchi formati relativamente ad ogni corte di giustizia tributaria e comprendenti tutti gli appartenenti alle categorie indicate negli articoli 3, 4 e 5 per il posto da conferire, che hanno comunicato la propria disponibilità all’incarico e sono in possesso dei requisiti prescritti. Alla comunicazione di </w:t>
      </w:r>
      <w:r>
        <w:rPr>
          <w:rFonts w:ascii="Arial" w:eastAsia="Arial" w:hAnsi="Arial" w:cs="Arial"/>
          <w:sz w:val="18"/>
        </w:rPr>
        <w:lastRenderedPageBreak/>
        <w:t>disponibilità all’incarico deve essere allegata la documentazione circa l’appartenenza ad una delle categorie indicate negli articoli 3, 4 e 5 ed il possesso dei requisiti prescritti, nonché la dichiarazione di non essere in alcuna delle situazioni di incompatibilità indicate all’articolo 8. Le esclusioni dagli elenchi di coloro che hanno comunicato la propria disponibilità all’incarico, senza essere in possesso dei requisiti prescritti, sono deliberate dal Consiglio di presidenza;</w:t>
      </w:r>
    </w:p>
    <w:p w14:paraId="001054FB" w14:textId="77777777" w:rsidR="00B32EF2" w:rsidRDefault="00000000">
      <w:pPr>
        <w:numPr>
          <w:ilvl w:val="0"/>
          <w:numId w:val="157"/>
        </w:numPr>
        <w:spacing w:after="5" w:line="250" w:lineRule="auto"/>
        <w:ind w:hanging="10"/>
        <w:jc w:val="both"/>
      </w:pPr>
      <w:r>
        <w:rPr>
          <w:rFonts w:ascii="Arial" w:eastAsia="Arial" w:hAnsi="Arial" w:cs="Arial"/>
          <w:sz w:val="18"/>
        </w:rPr>
        <w:t>la scelta tra gli aspiranti è adottata dal Consiglio di presidenza, salvo giudizio di demerito del candidato, secondo i criteri di valutazione ed i punteggi stabiliti dalla tabella F e, nel caso di parità di punteggio, della maggiore anzianità anagrafica.</w:t>
      </w:r>
    </w:p>
    <w:p w14:paraId="0D98C801" w14:textId="77777777" w:rsidR="00B32EF2" w:rsidRDefault="00000000">
      <w:pPr>
        <w:spacing w:after="5" w:line="250" w:lineRule="auto"/>
        <w:ind w:left="-4" w:hanging="10"/>
        <w:jc w:val="both"/>
      </w:pPr>
      <w:r>
        <w:rPr>
          <w:rFonts w:ascii="Arial" w:eastAsia="Arial" w:hAnsi="Arial" w:cs="Arial"/>
          <w:sz w:val="18"/>
        </w:rPr>
        <w:t>5. Il Consiglio di presidenza della giustizia tributaria esprime giudizio di demerito ove ricorra una delle seguenti condizioni:</w:t>
      </w:r>
    </w:p>
    <w:p w14:paraId="393D75EC" w14:textId="77777777" w:rsidR="00B32EF2" w:rsidRDefault="00000000">
      <w:pPr>
        <w:numPr>
          <w:ilvl w:val="0"/>
          <w:numId w:val="158"/>
        </w:numPr>
        <w:spacing w:after="5" w:line="250" w:lineRule="auto"/>
        <w:ind w:hanging="10"/>
        <w:jc w:val="both"/>
      </w:pPr>
      <w:r>
        <w:rPr>
          <w:rFonts w:ascii="Arial" w:eastAsia="Arial" w:hAnsi="Arial" w:cs="Arial"/>
          <w:sz w:val="18"/>
        </w:rPr>
        <w:t xml:space="preserve">sanzione disciplinare irrogata al candidato nel quinquennio antecedente </w:t>
      </w:r>
      <w:proofErr w:type="spellStart"/>
      <w:r>
        <w:rPr>
          <w:rFonts w:ascii="Arial" w:eastAsia="Arial" w:hAnsi="Arial" w:cs="Arial"/>
          <w:sz w:val="18"/>
        </w:rPr>
        <w:t>ladata</w:t>
      </w:r>
      <w:proofErr w:type="spellEnd"/>
      <w:r>
        <w:rPr>
          <w:rFonts w:ascii="Arial" w:eastAsia="Arial" w:hAnsi="Arial" w:cs="Arial"/>
          <w:sz w:val="18"/>
        </w:rPr>
        <w:t xml:space="preserve"> di scadenza della domanda per l’incarico per il quale concorre;</w:t>
      </w:r>
    </w:p>
    <w:p w14:paraId="05E1A402" w14:textId="77777777" w:rsidR="00B32EF2" w:rsidRDefault="00000000">
      <w:pPr>
        <w:numPr>
          <w:ilvl w:val="0"/>
          <w:numId w:val="158"/>
        </w:numPr>
        <w:spacing w:after="5" w:line="250" w:lineRule="auto"/>
        <w:ind w:hanging="10"/>
        <w:jc w:val="both"/>
      </w:pPr>
      <w:r>
        <w:rPr>
          <w:rFonts w:ascii="Arial" w:eastAsia="Arial" w:hAnsi="Arial" w:cs="Arial"/>
          <w:sz w:val="18"/>
        </w:rPr>
        <w:t>rapporto annuo pari o superiore al 60 per cento tra il numero dei provvedimenti depositati oltre il termine di trenta giorni a decorrere dalla data di deliberazione e il totale dei provvedimenti depositati dal singolo candidato.</w:t>
      </w:r>
    </w:p>
    <w:p w14:paraId="3C5DA49D" w14:textId="77777777" w:rsidR="00B32EF2" w:rsidRDefault="00000000">
      <w:pPr>
        <w:spacing w:after="5" w:line="250" w:lineRule="auto"/>
        <w:ind w:left="-4" w:hanging="10"/>
        <w:jc w:val="both"/>
      </w:pPr>
      <w:r>
        <w:rPr>
          <w:rFonts w:ascii="Arial" w:eastAsia="Arial" w:hAnsi="Arial" w:cs="Arial"/>
          <w:sz w:val="18"/>
        </w:rPr>
        <w:t>5-bis. Nei casi di necessità di servizio, il Ministro dell’economia e delle finanze può disporre, su richiesta del Consiglio di presidenza della Giustizia Tributaria, l’anticipazione nell’assunzione delle funzioni.</w:t>
      </w:r>
    </w:p>
    <w:p w14:paraId="6F80E43D" w14:textId="77777777" w:rsidR="00B32EF2" w:rsidRDefault="00000000">
      <w:pPr>
        <w:spacing w:after="0" w:line="261" w:lineRule="auto"/>
        <w:ind w:left="12" w:right="3" w:hanging="10"/>
        <w:jc w:val="center"/>
      </w:pPr>
      <w:r>
        <w:rPr>
          <w:rFonts w:ascii="Arial" w:eastAsia="Arial" w:hAnsi="Arial" w:cs="Arial"/>
          <w:b/>
          <w:sz w:val="18"/>
        </w:rPr>
        <w:t>Articolo 12</w:t>
      </w:r>
    </w:p>
    <w:p w14:paraId="3EC0E3C2" w14:textId="77777777" w:rsidR="00B32EF2" w:rsidRDefault="00000000">
      <w:pPr>
        <w:spacing w:after="3" w:line="251" w:lineRule="auto"/>
        <w:ind w:left="2320" w:right="2311" w:hanging="10"/>
        <w:jc w:val="center"/>
      </w:pPr>
      <w:r>
        <w:rPr>
          <w:rFonts w:ascii="Arial" w:eastAsia="Arial" w:hAnsi="Arial" w:cs="Arial"/>
          <w:i/>
          <w:sz w:val="18"/>
        </w:rPr>
        <w:t>(articolo 18 TUGT)</w:t>
      </w:r>
    </w:p>
    <w:p w14:paraId="08EE5D06" w14:textId="77777777" w:rsidR="00B32EF2" w:rsidRDefault="00000000">
      <w:pPr>
        <w:spacing w:after="0" w:line="261" w:lineRule="auto"/>
        <w:ind w:left="12" w:right="2" w:hanging="10"/>
        <w:jc w:val="center"/>
      </w:pPr>
      <w:r>
        <w:rPr>
          <w:rFonts w:ascii="Arial" w:eastAsia="Arial" w:hAnsi="Arial" w:cs="Arial"/>
          <w:b/>
          <w:sz w:val="18"/>
        </w:rPr>
        <w:t xml:space="preserve">Decadenza dell’incarico </w:t>
      </w:r>
    </w:p>
    <w:p w14:paraId="3B7376F6" w14:textId="77777777" w:rsidR="00B32EF2" w:rsidRDefault="00000000">
      <w:pPr>
        <w:spacing w:after="5" w:line="250" w:lineRule="auto"/>
        <w:ind w:left="-4" w:hanging="10"/>
        <w:jc w:val="both"/>
      </w:pPr>
      <w:r>
        <w:rPr>
          <w:rFonts w:ascii="Arial" w:eastAsia="Arial" w:hAnsi="Arial" w:cs="Arial"/>
          <w:sz w:val="18"/>
        </w:rPr>
        <w:t>1. Decadono dall’incarico i componenti delle corti di giustizia tributaria di primo e secondo grado i quali:</w:t>
      </w:r>
    </w:p>
    <w:p w14:paraId="57A795A8" w14:textId="77777777" w:rsidR="00B32EF2" w:rsidRDefault="00000000">
      <w:pPr>
        <w:numPr>
          <w:ilvl w:val="0"/>
          <w:numId w:val="159"/>
        </w:numPr>
        <w:spacing w:after="5" w:line="250" w:lineRule="auto"/>
        <w:ind w:hanging="202"/>
        <w:jc w:val="both"/>
      </w:pPr>
      <w:r>
        <w:rPr>
          <w:rFonts w:ascii="Arial" w:eastAsia="Arial" w:hAnsi="Arial" w:cs="Arial"/>
          <w:sz w:val="18"/>
        </w:rPr>
        <w:t>perdono uno dei requisiti di cui all’art. 7;</w:t>
      </w:r>
    </w:p>
    <w:p w14:paraId="53252326" w14:textId="77777777" w:rsidR="00B32EF2" w:rsidRDefault="00000000">
      <w:pPr>
        <w:numPr>
          <w:ilvl w:val="0"/>
          <w:numId w:val="159"/>
        </w:numPr>
        <w:spacing w:after="5" w:line="250" w:lineRule="auto"/>
        <w:ind w:hanging="202"/>
        <w:jc w:val="both"/>
      </w:pPr>
      <w:r>
        <w:rPr>
          <w:rFonts w:ascii="Arial" w:eastAsia="Arial" w:hAnsi="Arial" w:cs="Arial"/>
          <w:sz w:val="18"/>
        </w:rPr>
        <w:t>incorrono in uno dei motivi di incompatibilità previsti dall’art. 8;</w:t>
      </w:r>
    </w:p>
    <w:p w14:paraId="52C24FD5" w14:textId="77777777" w:rsidR="00B32EF2" w:rsidRDefault="00000000">
      <w:pPr>
        <w:numPr>
          <w:ilvl w:val="0"/>
          <w:numId w:val="159"/>
        </w:numPr>
        <w:spacing w:after="5" w:line="250" w:lineRule="auto"/>
        <w:ind w:hanging="202"/>
        <w:jc w:val="both"/>
      </w:pPr>
      <w:r>
        <w:rPr>
          <w:rFonts w:ascii="Arial" w:eastAsia="Arial" w:hAnsi="Arial" w:cs="Arial"/>
          <w:sz w:val="18"/>
        </w:rPr>
        <w:t>cessano, se magistrati o altri dipendenti dell’amministrazione pubblica inattività di servizio, dall’impiego per causa diversa dal collocamento a riposo o da dimissioni volontarie, secondo i rispettivi ordinamenti;</w:t>
      </w:r>
    </w:p>
    <w:p w14:paraId="037D6EDB" w14:textId="77777777" w:rsidR="00B32EF2" w:rsidRDefault="00000000">
      <w:pPr>
        <w:numPr>
          <w:ilvl w:val="0"/>
          <w:numId w:val="159"/>
        </w:numPr>
        <w:spacing w:after="5" w:line="250" w:lineRule="auto"/>
        <w:ind w:hanging="202"/>
        <w:jc w:val="both"/>
      </w:pPr>
      <w:r>
        <w:rPr>
          <w:rFonts w:ascii="Arial" w:eastAsia="Arial" w:hAnsi="Arial" w:cs="Arial"/>
          <w:sz w:val="18"/>
        </w:rPr>
        <w:t>omettono, senza giustificato motivo, di assumere l’incarico entro trenta giorni dalla comunicazione del decreto di nomina;</w:t>
      </w:r>
    </w:p>
    <w:p w14:paraId="7E127E2E" w14:textId="77777777" w:rsidR="00B32EF2" w:rsidRDefault="00000000">
      <w:pPr>
        <w:numPr>
          <w:ilvl w:val="0"/>
          <w:numId w:val="159"/>
        </w:numPr>
        <w:spacing w:after="5" w:line="250" w:lineRule="auto"/>
        <w:ind w:hanging="202"/>
        <w:jc w:val="both"/>
      </w:pPr>
      <w:r>
        <w:rPr>
          <w:rFonts w:ascii="Arial" w:eastAsia="Arial" w:hAnsi="Arial" w:cs="Arial"/>
          <w:sz w:val="18"/>
        </w:rPr>
        <w:t>non partecipano, senza giustificato motivo, a tre sedute consecutive.</w:t>
      </w:r>
    </w:p>
    <w:p w14:paraId="267F9483" w14:textId="77777777" w:rsidR="00B32EF2" w:rsidRDefault="00000000">
      <w:pPr>
        <w:spacing w:after="138" w:line="250" w:lineRule="auto"/>
        <w:ind w:left="-4" w:hanging="10"/>
        <w:jc w:val="both"/>
      </w:pPr>
      <w:r>
        <w:rPr>
          <w:rFonts w:ascii="Arial" w:eastAsia="Arial" w:hAnsi="Arial" w:cs="Arial"/>
          <w:sz w:val="18"/>
        </w:rPr>
        <w:t>2. La decadenza è dichiarata con decreto del Ministro delle finanze previa deliberazione del consiglio di presidenza.</w:t>
      </w:r>
    </w:p>
    <w:p w14:paraId="07712B5A"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09" w:right="120" w:hanging="10"/>
        <w:jc w:val="center"/>
      </w:pPr>
      <w:r>
        <w:rPr>
          <w:rFonts w:ascii="Arial" w:eastAsia="Arial" w:hAnsi="Arial" w:cs="Arial"/>
          <w:b/>
          <w:sz w:val="18"/>
        </w:rPr>
        <w:t xml:space="preserve">Per i  giudizi instaurati  con ricorso notificato fino all'1.9.2024 </w:t>
      </w:r>
    </w:p>
    <w:p w14:paraId="1B98D34B"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09" w:right="120" w:hanging="10"/>
        <w:jc w:val="center"/>
      </w:pPr>
      <w:r>
        <w:rPr>
          <w:rFonts w:ascii="Arial" w:eastAsia="Arial" w:hAnsi="Arial" w:cs="Arial"/>
          <w:b/>
          <w:sz w:val="18"/>
        </w:rPr>
        <w:t>Articolo 13</w:t>
      </w:r>
    </w:p>
    <w:p w14:paraId="50EEB58B" w14:textId="77777777" w:rsidR="00B32EF2" w:rsidRDefault="00000000">
      <w:pPr>
        <w:pBdr>
          <w:top w:val="single" w:sz="8" w:space="0" w:color="000000"/>
          <w:left w:val="single" w:sz="8" w:space="0" w:color="000000"/>
          <w:bottom w:val="single" w:sz="8" w:space="0" w:color="000000"/>
          <w:right w:val="single" w:sz="8" w:space="0" w:color="000000"/>
        </w:pBdr>
        <w:spacing w:after="0"/>
        <w:ind w:left="109" w:right="120" w:hanging="10"/>
        <w:jc w:val="center"/>
      </w:pPr>
      <w:r>
        <w:rPr>
          <w:rFonts w:ascii="Arial" w:eastAsia="Arial" w:hAnsi="Arial" w:cs="Arial"/>
          <w:i/>
          <w:sz w:val="18"/>
        </w:rPr>
        <w:t>(articolo 19 TUGT)</w:t>
      </w:r>
    </w:p>
    <w:p w14:paraId="70B77268" w14:textId="77777777" w:rsidR="00B32EF2" w:rsidRDefault="00000000">
      <w:pPr>
        <w:pBdr>
          <w:top w:val="single" w:sz="8" w:space="0" w:color="000000"/>
          <w:left w:val="single" w:sz="8" w:space="0" w:color="000000"/>
          <w:bottom w:val="single" w:sz="8" w:space="0" w:color="000000"/>
          <w:right w:val="single" w:sz="8" w:space="0" w:color="000000"/>
        </w:pBdr>
        <w:spacing w:after="2" w:line="255" w:lineRule="auto"/>
        <w:ind w:left="109" w:right="120" w:hanging="10"/>
        <w:jc w:val="center"/>
      </w:pPr>
      <w:r>
        <w:rPr>
          <w:rFonts w:ascii="Arial" w:eastAsia="Arial" w:hAnsi="Arial" w:cs="Arial"/>
          <w:b/>
          <w:sz w:val="18"/>
        </w:rPr>
        <w:t xml:space="preserve">Trattamento economico dei giudici tributari </w:t>
      </w:r>
    </w:p>
    <w:p w14:paraId="48ACE29D" w14:textId="77777777" w:rsidR="00B32EF2" w:rsidRDefault="00000000">
      <w:pPr>
        <w:numPr>
          <w:ilvl w:val="0"/>
          <w:numId w:val="160"/>
        </w:numPr>
        <w:pBdr>
          <w:top w:val="single" w:sz="8" w:space="0" w:color="000000"/>
          <w:left w:val="single" w:sz="8" w:space="0" w:color="000000"/>
          <w:bottom w:val="single" w:sz="8" w:space="0" w:color="000000"/>
          <w:right w:val="single" w:sz="8" w:space="0" w:color="000000"/>
        </w:pBdr>
        <w:spacing w:after="0" w:line="250" w:lineRule="auto"/>
        <w:ind w:right="120" w:hanging="10"/>
        <w:jc w:val="both"/>
      </w:pPr>
      <w:r>
        <w:rPr>
          <w:rFonts w:ascii="Arial" w:eastAsia="Arial" w:hAnsi="Arial" w:cs="Arial"/>
          <w:sz w:val="18"/>
        </w:rPr>
        <w:lastRenderedPageBreak/>
        <w:t xml:space="preserve">Il Ministro delle finanze con proprio decreto di concerto con il Ministro </w:t>
      </w:r>
      <w:proofErr w:type="spellStart"/>
      <w:r>
        <w:rPr>
          <w:rFonts w:ascii="Arial" w:eastAsia="Arial" w:hAnsi="Arial" w:cs="Arial"/>
          <w:sz w:val="18"/>
        </w:rPr>
        <w:t>deltesoro</w:t>
      </w:r>
      <w:proofErr w:type="spellEnd"/>
      <w:r>
        <w:rPr>
          <w:rFonts w:ascii="Arial" w:eastAsia="Arial" w:hAnsi="Arial" w:cs="Arial"/>
          <w:sz w:val="18"/>
        </w:rPr>
        <w:t xml:space="preserve"> determina il compenso fisso mensile spettante ai componenti delle corti di giustizia tributarie di primo e secondo grado presenti nel ruolo unico di cui all’articolo 4, comma 39-bis, della legge 12 novembre 2011, n. 183.</w:t>
      </w:r>
    </w:p>
    <w:p w14:paraId="2B7E6AFE" w14:textId="77777777" w:rsidR="00B32EF2" w:rsidRDefault="00000000">
      <w:pPr>
        <w:numPr>
          <w:ilvl w:val="0"/>
          <w:numId w:val="160"/>
        </w:numPr>
        <w:pBdr>
          <w:top w:val="single" w:sz="8" w:space="0" w:color="000000"/>
          <w:left w:val="single" w:sz="8" w:space="0" w:color="000000"/>
          <w:bottom w:val="single" w:sz="8" w:space="0" w:color="000000"/>
          <w:right w:val="single" w:sz="8" w:space="0" w:color="000000"/>
        </w:pBdr>
        <w:spacing w:after="0" w:line="250" w:lineRule="auto"/>
        <w:ind w:right="120" w:hanging="10"/>
        <w:jc w:val="both"/>
      </w:pPr>
      <w:r>
        <w:rPr>
          <w:rFonts w:ascii="Arial" w:eastAsia="Arial" w:hAnsi="Arial" w:cs="Arial"/>
          <w:sz w:val="18"/>
        </w:rPr>
        <w:t>Con il decreto di cui al comma 1, oltre al compenso mensile viene determinato un compenso aggiuntivo per ogni ricorso definito, anche se riunito ad altri ricorsi, secondo criteri uniformi, che debbono tener conto delle funzioni e dell’apporto di attività di ciascuno alla trattazione della controversia, compresa la deliberazione e la redazione della sentenza, nonché, per i residenti in comuni diversi della stessa regione da quello in cui ha sede la commissione, delle spese sostenute per l’intervento alle sedute della commissione. Il compenso è liquidato in relazione ad ogni provvedimento emesso.</w:t>
      </w:r>
    </w:p>
    <w:p w14:paraId="2BDB5077" w14:textId="77777777" w:rsidR="00B32EF2" w:rsidRDefault="00000000">
      <w:pPr>
        <w:numPr>
          <w:ilvl w:val="0"/>
          <w:numId w:val="160"/>
        </w:numPr>
        <w:pBdr>
          <w:top w:val="single" w:sz="8" w:space="0" w:color="000000"/>
          <w:left w:val="single" w:sz="8" w:space="0" w:color="000000"/>
          <w:bottom w:val="single" w:sz="8" w:space="0" w:color="000000"/>
          <w:right w:val="single" w:sz="8" w:space="0" w:color="000000"/>
        </w:pBdr>
        <w:spacing w:after="0" w:line="250" w:lineRule="auto"/>
        <w:ind w:right="120" w:hanging="10"/>
        <w:jc w:val="both"/>
      </w:pPr>
      <w:r>
        <w:rPr>
          <w:rFonts w:ascii="Arial" w:eastAsia="Arial" w:hAnsi="Arial" w:cs="Arial"/>
          <w:sz w:val="18"/>
        </w:rPr>
        <w:t xml:space="preserve">La liquidazione dei compensi è disposta dalla direzione regionale </w:t>
      </w:r>
      <w:proofErr w:type="spellStart"/>
      <w:r>
        <w:rPr>
          <w:rFonts w:ascii="Arial" w:eastAsia="Arial" w:hAnsi="Arial" w:cs="Arial"/>
          <w:sz w:val="18"/>
        </w:rPr>
        <w:t>delleentrate</w:t>
      </w:r>
      <w:proofErr w:type="spellEnd"/>
      <w:r>
        <w:rPr>
          <w:rFonts w:ascii="Arial" w:eastAsia="Arial" w:hAnsi="Arial" w:cs="Arial"/>
          <w:sz w:val="18"/>
        </w:rPr>
        <w:t>, nella cui circoscrizione ha sede la corte di giustizia tributaria di primo e secondo grado di appartenenza ed i pagamenti relativi sono fatti dal dirigente responsabile della segreteria della commissione, quale funzionario delegato cui sono accreditati i fondi necessari.</w:t>
      </w:r>
    </w:p>
    <w:p w14:paraId="17AAB5EE" w14:textId="77777777" w:rsidR="00B32EF2" w:rsidRDefault="00000000">
      <w:pPr>
        <w:pBdr>
          <w:top w:val="single" w:sz="8" w:space="0" w:color="000000"/>
          <w:left w:val="single" w:sz="8" w:space="0" w:color="000000"/>
          <w:bottom w:val="single" w:sz="8" w:space="0" w:color="000000"/>
          <w:right w:val="single" w:sz="8" w:space="0" w:color="000000"/>
        </w:pBdr>
        <w:spacing w:after="0" w:line="250" w:lineRule="auto"/>
        <w:ind w:left="109" w:right="120" w:hanging="10"/>
        <w:jc w:val="both"/>
      </w:pPr>
      <w:r>
        <w:rPr>
          <w:rFonts w:ascii="Arial" w:eastAsia="Arial" w:hAnsi="Arial" w:cs="Arial"/>
          <w:sz w:val="18"/>
        </w:rPr>
        <w:t>3-bis. I compensi di cui ai commi 1, 2 e 3 sono cumulabili con i trattamenti pensionistici e di quiescenza comunque denominati.</w:t>
      </w:r>
    </w:p>
    <w:p w14:paraId="0B1236FE" w14:textId="77777777" w:rsidR="00B32EF2" w:rsidRDefault="00000000">
      <w:pPr>
        <w:pBdr>
          <w:top w:val="single" w:sz="8" w:space="0" w:color="000000"/>
          <w:left w:val="single" w:sz="8" w:space="0" w:color="000000"/>
          <w:bottom w:val="single" w:sz="8" w:space="0" w:color="000000"/>
          <w:right w:val="single" w:sz="8" w:space="0" w:color="000000"/>
        </w:pBdr>
        <w:spacing w:after="153" w:line="250" w:lineRule="auto"/>
        <w:ind w:left="109" w:right="120" w:hanging="10"/>
        <w:jc w:val="both"/>
      </w:pPr>
      <w:r>
        <w:rPr>
          <w:rFonts w:ascii="Arial" w:eastAsia="Arial" w:hAnsi="Arial" w:cs="Arial"/>
          <w:sz w:val="18"/>
        </w:rPr>
        <w:t>3-ter. I compensi di cui ai commi 1, 2 e 3 non possono superare in ogni caso l’importo di euro 72.000 lordi annui.</w:t>
      </w:r>
    </w:p>
    <w:p w14:paraId="54D46558" w14:textId="77777777" w:rsidR="00B32EF2" w:rsidRDefault="00000000">
      <w:pPr>
        <w:spacing w:after="0" w:line="261" w:lineRule="auto"/>
        <w:ind w:left="12" w:right="2" w:hanging="10"/>
        <w:jc w:val="center"/>
      </w:pPr>
      <w:r>
        <w:rPr>
          <w:rFonts w:ascii="Arial" w:eastAsia="Arial" w:hAnsi="Arial" w:cs="Arial"/>
          <w:b/>
          <w:sz w:val="18"/>
        </w:rPr>
        <w:t xml:space="preserve">  Articolo 13</w:t>
      </w:r>
    </w:p>
    <w:p w14:paraId="7340CE36" w14:textId="77777777" w:rsidR="00B32EF2" w:rsidRDefault="00000000">
      <w:pPr>
        <w:spacing w:after="3" w:line="251" w:lineRule="auto"/>
        <w:ind w:left="2320" w:right="2311" w:hanging="10"/>
        <w:jc w:val="center"/>
      </w:pPr>
      <w:r>
        <w:rPr>
          <w:rFonts w:ascii="Arial" w:eastAsia="Arial" w:hAnsi="Arial" w:cs="Arial"/>
          <w:i/>
          <w:sz w:val="18"/>
        </w:rPr>
        <w:t>(articolo 19 TUGT)</w:t>
      </w:r>
    </w:p>
    <w:p w14:paraId="1833E761" w14:textId="77777777" w:rsidR="00B32EF2" w:rsidRDefault="00000000">
      <w:pPr>
        <w:spacing w:after="0" w:line="261" w:lineRule="auto"/>
        <w:ind w:left="12" w:right="2" w:hanging="10"/>
        <w:jc w:val="center"/>
      </w:pPr>
      <w:r>
        <w:rPr>
          <w:rFonts w:ascii="Arial" w:eastAsia="Arial" w:hAnsi="Arial" w:cs="Arial"/>
          <w:b/>
          <w:sz w:val="18"/>
        </w:rPr>
        <w:t>Trattamento economico dei giudici tributari</w:t>
      </w:r>
    </w:p>
    <w:p w14:paraId="1A402E29" w14:textId="77777777" w:rsidR="00B32EF2" w:rsidRDefault="00000000">
      <w:pPr>
        <w:numPr>
          <w:ilvl w:val="0"/>
          <w:numId w:val="161"/>
        </w:numPr>
        <w:spacing w:after="5" w:line="250" w:lineRule="auto"/>
        <w:ind w:hanging="10"/>
        <w:jc w:val="both"/>
      </w:pPr>
      <w:r>
        <w:rPr>
          <w:rFonts w:ascii="Arial" w:eastAsia="Arial" w:hAnsi="Arial" w:cs="Arial"/>
          <w:sz w:val="18"/>
        </w:rPr>
        <w:t xml:space="preserve">Il Ministro delle finanze con proprio decreto di concerto con il Ministro </w:t>
      </w:r>
      <w:proofErr w:type="spellStart"/>
      <w:r>
        <w:rPr>
          <w:rFonts w:ascii="Arial" w:eastAsia="Arial" w:hAnsi="Arial" w:cs="Arial"/>
          <w:sz w:val="18"/>
        </w:rPr>
        <w:t>deltesoro</w:t>
      </w:r>
      <w:proofErr w:type="spellEnd"/>
      <w:r>
        <w:rPr>
          <w:rFonts w:ascii="Arial" w:eastAsia="Arial" w:hAnsi="Arial" w:cs="Arial"/>
          <w:sz w:val="18"/>
        </w:rPr>
        <w:t xml:space="preserve"> determina il compenso fisso mensile spettante ai componenti delle corti di giustizia tributarie di primo e secondo grado presenti nel ruolo unico di cui all’articolo 4, comma 39-bis, della legge 12 novembre 2011, n. 183.</w:t>
      </w:r>
    </w:p>
    <w:p w14:paraId="2B379E08" w14:textId="77777777" w:rsidR="00B32EF2" w:rsidRDefault="00000000">
      <w:pPr>
        <w:numPr>
          <w:ilvl w:val="0"/>
          <w:numId w:val="161"/>
        </w:numPr>
        <w:spacing w:after="5" w:line="250" w:lineRule="auto"/>
        <w:ind w:hanging="10"/>
        <w:jc w:val="both"/>
      </w:pPr>
      <w:r>
        <w:rPr>
          <w:rFonts w:ascii="Arial" w:eastAsia="Arial" w:hAnsi="Arial" w:cs="Arial"/>
          <w:sz w:val="18"/>
        </w:rPr>
        <w:t>Con il decreto di cui al comma 1, oltre al compenso mensile viene determinato un compenso aggiuntivo per ogni ricorso definito, anche se riunito ad altri ricorsi, secondo criteri uniformi, che debbono tener conto delle funzioni e dell’apporto di attività di ciascuno alla trattazione della controversia, compresa la deliberazione e la redazione della sentenza, nonché, per i residenti in comuni diversi della stessa regione da quello in cui ha sede la commissione, delle spese sostenute per l’intervento alle sedute della commissione. Il compenso è liquidato in relazione ad ogni provvedimento emesso.</w:t>
      </w:r>
    </w:p>
    <w:p w14:paraId="0FB66928" w14:textId="77777777" w:rsidR="00B32EF2" w:rsidRDefault="00000000">
      <w:pPr>
        <w:numPr>
          <w:ilvl w:val="0"/>
          <w:numId w:val="161"/>
        </w:numPr>
        <w:spacing w:after="5" w:line="250" w:lineRule="auto"/>
        <w:ind w:hanging="10"/>
        <w:jc w:val="both"/>
      </w:pPr>
      <w:r>
        <w:rPr>
          <w:rFonts w:ascii="Arial" w:eastAsia="Arial" w:hAnsi="Arial" w:cs="Arial"/>
          <w:sz w:val="18"/>
        </w:rPr>
        <w:t>La liquidazione dei compensi è disposta dalla direzione regionale delle entrate, nella cui circoscrizione ha sede la corte di giustizia tributaria di primo e secondo grado di appartenenza ed i pagamenti relativi sono fatti dal dirigente responsabile della segreteria della commissione, quale funzionario delegato cui sono accreditati i fondi necessari.</w:t>
      </w:r>
    </w:p>
    <w:p w14:paraId="63ECEB9C" w14:textId="77777777" w:rsidR="00B32EF2" w:rsidRDefault="00000000">
      <w:pPr>
        <w:spacing w:after="5" w:line="250" w:lineRule="auto"/>
        <w:ind w:left="-4" w:hanging="10"/>
        <w:jc w:val="both"/>
      </w:pPr>
      <w:r>
        <w:rPr>
          <w:rFonts w:ascii="Arial" w:eastAsia="Arial" w:hAnsi="Arial" w:cs="Arial"/>
          <w:sz w:val="18"/>
        </w:rPr>
        <w:lastRenderedPageBreak/>
        <w:t>3-bis. I compensi di cui ai commi 1, 2 e 3 sono cumulabili con i trattamenti pensionistici e di quiescenza comunque denominati.</w:t>
      </w:r>
    </w:p>
    <w:p w14:paraId="1317B5D6" w14:textId="77777777" w:rsidR="00B32EF2" w:rsidRDefault="00000000">
      <w:pPr>
        <w:spacing w:after="5" w:line="250" w:lineRule="auto"/>
        <w:ind w:left="-4" w:hanging="10"/>
        <w:jc w:val="both"/>
      </w:pPr>
      <w:r>
        <w:rPr>
          <w:rFonts w:ascii="Arial" w:eastAsia="Arial" w:hAnsi="Arial" w:cs="Arial"/>
          <w:sz w:val="18"/>
        </w:rPr>
        <w:t>3-ter. I compensi di cui ai commi 1, 2 e 3 non possono superare in ogni caso l’importo di euro 72.000 lordi annui.</w:t>
      </w:r>
    </w:p>
    <w:p w14:paraId="0FA79761" w14:textId="77777777" w:rsidR="00B32EF2" w:rsidRDefault="00000000">
      <w:pPr>
        <w:spacing w:after="199" w:line="250" w:lineRule="auto"/>
        <w:ind w:left="-4" w:hanging="10"/>
        <w:jc w:val="both"/>
      </w:pPr>
      <w:r>
        <w:rPr>
          <w:rFonts w:ascii="Arial" w:eastAsia="Arial" w:hAnsi="Arial" w:cs="Arial"/>
          <w:sz w:val="18"/>
        </w:rPr>
        <w:t xml:space="preserve">3-quater. Ai giudici che partecipano da remoto alla trattazione delle cause non spetta alcun trattamento di missione </w:t>
      </w:r>
      <w:proofErr w:type="spellStart"/>
      <w:r>
        <w:rPr>
          <w:rFonts w:ascii="Arial" w:eastAsia="Arial" w:hAnsi="Arial" w:cs="Arial"/>
          <w:sz w:val="18"/>
        </w:rPr>
        <w:t>nè</w:t>
      </w:r>
      <w:proofErr w:type="spellEnd"/>
      <w:r>
        <w:rPr>
          <w:rFonts w:ascii="Arial" w:eastAsia="Arial" w:hAnsi="Arial" w:cs="Arial"/>
          <w:sz w:val="18"/>
        </w:rPr>
        <w:t xml:space="preserve"> alcun rimborso spese.</w:t>
      </w:r>
    </w:p>
    <w:p w14:paraId="2B672667" w14:textId="77777777" w:rsidR="00B32EF2" w:rsidRDefault="00000000">
      <w:pPr>
        <w:spacing w:after="0" w:line="261" w:lineRule="auto"/>
        <w:ind w:left="12" w:right="3" w:hanging="10"/>
        <w:jc w:val="center"/>
      </w:pPr>
      <w:r>
        <w:rPr>
          <w:rFonts w:ascii="Arial" w:eastAsia="Arial" w:hAnsi="Arial" w:cs="Arial"/>
          <w:b/>
          <w:sz w:val="18"/>
        </w:rPr>
        <w:t>Articolo 13-</w:t>
      </w:r>
      <w:r>
        <w:rPr>
          <w:rFonts w:ascii="Arial" w:eastAsia="Arial" w:hAnsi="Arial" w:cs="Arial"/>
          <w:b/>
          <w:i/>
          <w:sz w:val="18"/>
        </w:rPr>
        <w:t>bis</w:t>
      </w:r>
    </w:p>
    <w:p w14:paraId="2F38FFCE" w14:textId="77777777" w:rsidR="00B32EF2" w:rsidRDefault="00000000">
      <w:pPr>
        <w:spacing w:after="3" w:line="251" w:lineRule="auto"/>
        <w:ind w:left="2320" w:right="2311" w:hanging="10"/>
        <w:jc w:val="center"/>
      </w:pPr>
      <w:r>
        <w:rPr>
          <w:rFonts w:ascii="Arial" w:eastAsia="Arial" w:hAnsi="Arial" w:cs="Arial"/>
          <w:i/>
          <w:sz w:val="18"/>
        </w:rPr>
        <w:t>(articolo 20 TUGT)</w:t>
      </w:r>
    </w:p>
    <w:p w14:paraId="38BA5921" w14:textId="77777777" w:rsidR="00B32EF2" w:rsidRDefault="00000000">
      <w:pPr>
        <w:spacing w:after="0" w:line="261" w:lineRule="auto"/>
        <w:ind w:left="12" w:right="2" w:hanging="10"/>
        <w:jc w:val="center"/>
      </w:pPr>
      <w:r>
        <w:rPr>
          <w:rFonts w:ascii="Arial" w:eastAsia="Arial" w:hAnsi="Arial" w:cs="Arial"/>
          <w:b/>
          <w:sz w:val="18"/>
        </w:rPr>
        <w:t xml:space="preserve">Trattamento economico dei magistrati tributari </w:t>
      </w:r>
    </w:p>
    <w:p w14:paraId="5FFA11EA" w14:textId="77777777" w:rsidR="00B32EF2" w:rsidRDefault="00000000">
      <w:pPr>
        <w:numPr>
          <w:ilvl w:val="0"/>
          <w:numId w:val="162"/>
        </w:numPr>
        <w:spacing w:after="5" w:line="250" w:lineRule="auto"/>
        <w:ind w:hanging="10"/>
        <w:jc w:val="both"/>
      </w:pPr>
      <w:r>
        <w:rPr>
          <w:rFonts w:ascii="Arial" w:eastAsia="Arial" w:hAnsi="Arial" w:cs="Arial"/>
          <w:sz w:val="18"/>
        </w:rPr>
        <w:t xml:space="preserve">Ai magistrati tributari reclutati per concorso, secondo le modalità di </w:t>
      </w:r>
      <w:proofErr w:type="spellStart"/>
      <w:r>
        <w:rPr>
          <w:rFonts w:ascii="Arial" w:eastAsia="Arial" w:hAnsi="Arial" w:cs="Arial"/>
          <w:sz w:val="18"/>
        </w:rPr>
        <w:t>cuiall’articolo</w:t>
      </w:r>
      <w:proofErr w:type="spellEnd"/>
      <w:r>
        <w:rPr>
          <w:rFonts w:ascii="Arial" w:eastAsia="Arial" w:hAnsi="Arial" w:cs="Arial"/>
          <w:sz w:val="18"/>
        </w:rPr>
        <w:t xml:space="preserve"> 4, si applicano le disposizioni in materia di trattamento economico previsto per i magistrati ordinari, in quanto compatibili.</w:t>
      </w:r>
    </w:p>
    <w:p w14:paraId="178E306D" w14:textId="77777777" w:rsidR="00B32EF2" w:rsidRDefault="00000000">
      <w:pPr>
        <w:numPr>
          <w:ilvl w:val="0"/>
          <w:numId w:val="162"/>
        </w:numPr>
        <w:spacing w:after="224" w:line="250" w:lineRule="auto"/>
        <w:ind w:hanging="10"/>
        <w:jc w:val="both"/>
      </w:pPr>
      <w:r>
        <w:rPr>
          <w:rFonts w:ascii="Arial" w:eastAsia="Arial" w:hAnsi="Arial" w:cs="Arial"/>
          <w:sz w:val="18"/>
        </w:rPr>
        <w:t>Gli stipendi del personale indicato nel comma 1 sono determinati, esclusivamente in base all’anzianità di servizio, nella misura prevista nella tabella F-bis allegata al presente decreto, con decorrenza dal 1° gennaio 2021 ai sensi del decreto del Presidente del Consiglio dei ministri 6 agosto 2021, pubblicato nella Gazzetta Ufficiale n. 229 del 24 settembre 2021, salva l’attribuzione dell’indennità integrativa speciale.</w:t>
      </w:r>
    </w:p>
    <w:p w14:paraId="44E48716" w14:textId="77777777" w:rsidR="00B32EF2" w:rsidRDefault="00000000">
      <w:pPr>
        <w:spacing w:after="0" w:line="261" w:lineRule="auto"/>
        <w:ind w:left="12" w:right="3" w:hanging="10"/>
        <w:jc w:val="center"/>
      </w:pPr>
      <w:r>
        <w:rPr>
          <w:rFonts w:ascii="Arial" w:eastAsia="Arial" w:hAnsi="Arial" w:cs="Arial"/>
          <w:b/>
          <w:sz w:val="18"/>
        </w:rPr>
        <w:t>Articolo 14</w:t>
      </w:r>
    </w:p>
    <w:p w14:paraId="0E1F2765" w14:textId="77777777" w:rsidR="00B32EF2" w:rsidRDefault="00000000">
      <w:pPr>
        <w:spacing w:after="3" w:line="251" w:lineRule="auto"/>
        <w:ind w:left="2320" w:right="2311" w:hanging="10"/>
        <w:jc w:val="center"/>
      </w:pPr>
      <w:r>
        <w:rPr>
          <w:rFonts w:ascii="Arial" w:eastAsia="Arial" w:hAnsi="Arial" w:cs="Arial"/>
          <w:i/>
          <w:sz w:val="18"/>
        </w:rPr>
        <w:t xml:space="preserve">(articolo 21 TUGT) </w:t>
      </w:r>
      <w:r>
        <w:rPr>
          <w:rFonts w:ascii="Arial" w:eastAsia="Arial" w:hAnsi="Arial" w:cs="Arial"/>
          <w:b/>
          <w:sz w:val="18"/>
        </w:rPr>
        <w:t xml:space="preserve">Responsabilità </w:t>
      </w:r>
    </w:p>
    <w:p w14:paraId="5C36FD58" w14:textId="77777777" w:rsidR="00B32EF2" w:rsidRDefault="00000000">
      <w:pPr>
        <w:spacing w:after="5" w:line="250" w:lineRule="auto"/>
        <w:ind w:left="-4" w:hanging="10"/>
        <w:jc w:val="both"/>
      </w:pPr>
      <w:r>
        <w:rPr>
          <w:rFonts w:ascii="Arial" w:eastAsia="Arial" w:hAnsi="Arial" w:cs="Arial"/>
          <w:sz w:val="18"/>
        </w:rPr>
        <w:t>1. Ai componenti delle corti di giustizia tributaria di primo e secondo grado si applicano le disposizioni della legge 13 aprile 1988, n. 117, concernente il risarcimento dei danni cagionati nell’esercizio delle funzioni giurisdizionali.</w:t>
      </w:r>
    </w:p>
    <w:p w14:paraId="44A206E3" w14:textId="77777777" w:rsidR="00B32EF2" w:rsidRDefault="00000000">
      <w:pPr>
        <w:spacing w:after="0" w:line="261" w:lineRule="auto"/>
        <w:ind w:left="12" w:right="3" w:hanging="10"/>
        <w:jc w:val="center"/>
      </w:pPr>
      <w:r>
        <w:rPr>
          <w:rFonts w:ascii="Arial" w:eastAsia="Arial" w:hAnsi="Arial" w:cs="Arial"/>
          <w:b/>
          <w:sz w:val="18"/>
        </w:rPr>
        <w:t>Articolo 15</w:t>
      </w:r>
    </w:p>
    <w:p w14:paraId="16EF1E37" w14:textId="77777777" w:rsidR="00B32EF2" w:rsidRDefault="00000000">
      <w:pPr>
        <w:spacing w:after="3" w:line="251" w:lineRule="auto"/>
        <w:ind w:left="2320" w:right="2311" w:hanging="10"/>
        <w:jc w:val="center"/>
      </w:pPr>
      <w:r>
        <w:rPr>
          <w:rFonts w:ascii="Arial" w:eastAsia="Arial" w:hAnsi="Arial" w:cs="Arial"/>
          <w:i/>
          <w:sz w:val="18"/>
        </w:rPr>
        <w:t>(articolo 22 TUGT)</w:t>
      </w:r>
    </w:p>
    <w:p w14:paraId="6E66DF19" w14:textId="77777777" w:rsidR="00B32EF2" w:rsidRDefault="00000000">
      <w:pPr>
        <w:spacing w:after="0" w:line="261" w:lineRule="auto"/>
        <w:ind w:left="12" w:right="2" w:hanging="10"/>
        <w:jc w:val="center"/>
      </w:pPr>
      <w:r>
        <w:rPr>
          <w:rFonts w:ascii="Arial" w:eastAsia="Arial" w:hAnsi="Arial" w:cs="Arial"/>
          <w:b/>
          <w:sz w:val="18"/>
        </w:rPr>
        <w:t xml:space="preserve">Vigilanza e sanzioni disciplinari </w:t>
      </w:r>
    </w:p>
    <w:p w14:paraId="7B89A7FB" w14:textId="77777777" w:rsidR="00B32EF2" w:rsidRDefault="00000000">
      <w:pPr>
        <w:numPr>
          <w:ilvl w:val="0"/>
          <w:numId w:val="163"/>
        </w:numPr>
        <w:spacing w:after="5" w:line="250" w:lineRule="auto"/>
        <w:ind w:hanging="202"/>
        <w:jc w:val="both"/>
      </w:pPr>
      <w:r>
        <w:rPr>
          <w:rFonts w:ascii="Arial" w:eastAsia="Arial" w:hAnsi="Arial" w:cs="Arial"/>
          <w:sz w:val="18"/>
        </w:rPr>
        <w:t>Il presidente di ciascuna corte di giustizia tributaria di primo e secondo grado esercita la vigilanza sugli altri componenti e sulla qualità e l’efficienza dei servizi di segreteria della propria commissione, al fine di segnalarne le risultanze al Dipartimento delle finanze del Ministero dell’economia e delle finanze per i provvedimenti di competenza. Il presidente di ciascuna corte di giustizia tributaria di secondo grado esercita la vigilanza sulla attività giurisdizionale delle corti di giustizia tributaria di primo grado aventi sede nella circoscrizione della stessa e sui loro componenti.</w:t>
      </w:r>
    </w:p>
    <w:p w14:paraId="6AFE4995" w14:textId="77777777" w:rsidR="00B32EF2" w:rsidRDefault="00000000">
      <w:pPr>
        <w:numPr>
          <w:ilvl w:val="0"/>
          <w:numId w:val="163"/>
        </w:numPr>
        <w:spacing w:after="5" w:line="250" w:lineRule="auto"/>
        <w:ind w:hanging="202"/>
        <w:jc w:val="both"/>
      </w:pPr>
      <w:r>
        <w:rPr>
          <w:rFonts w:ascii="Arial" w:eastAsia="Arial" w:hAnsi="Arial" w:cs="Arial"/>
          <w:sz w:val="18"/>
        </w:rPr>
        <w:t xml:space="preserve">I componenti delle corti di giustizia tributaria di primo e secondo grado, </w:t>
      </w:r>
      <w:proofErr w:type="spellStart"/>
      <w:r>
        <w:rPr>
          <w:rFonts w:ascii="Arial" w:eastAsia="Arial" w:hAnsi="Arial" w:cs="Arial"/>
          <w:sz w:val="18"/>
        </w:rPr>
        <w:t>percomportamenti</w:t>
      </w:r>
      <w:proofErr w:type="spellEnd"/>
      <w:r>
        <w:rPr>
          <w:rFonts w:ascii="Arial" w:eastAsia="Arial" w:hAnsi="Arial" w:cs="Arial"/>
          <w:sz w:val="18"/>
        </w:rPr>
        <w:t xml:space="preserve"> non conformi a doveri o alla dignità del proprio ufficio, sono soggetti alle sanzioni individuate nei commi da 3 a 7.</w:t>
      </w:r>
    </w:p>
    <w:p w14:paraId="3859CDA5" w14:textId="77777777" w:rsidR="00B32EF2" w:rsidRDefault="00000000">
      <w:pPr>
        <w:numPr>
          <w:ilvl w:val="0"/>
          <w:numId w:val="163"/>
        </w:numPr>
        <w:spacing w:after="5" w:line="250" w:lineRule="auto"/>
        <w:ind w:hanging="202"/>
        <w:jc w:val="both"/>
      </w:pPr>
      <w:r>
        <w:rPr>
          <w:rFonts w:ascii="Arial" w:eastAsia="Arial" w:hAnsi="Arial" w:cs="Arial"/>
          <w:sz w:val="18"/>
        </w:rPr>
        <w:t>Si applica la sanzione dell’ammonimento per lievi trasgressioni.</w:t>
      </w:r>
    </w:p>
    <w:p w14:paraId="6832F7CC" w14:textId="77777777" w:rsidR="00B32EF2" w:rsidRDefault="00000000">
      <w:pPr>
        <w:numPr>
          <w:ilvl w:val="0"/>
          <w:numId w:val="163"/>
        </w:numPr>
        <w:spacing w:after="5" w:line="250" w:lineRule="auto"/>
        <w:ind w:hanging="202"/>
        <w:jc w:val="both"/>
      </w:pPr>
      <w:r>
        <w:rPr>
          <w:rFonts w:ascii="Arial" w:eastAsia="Arial" w:hAnsi="Arial" w:cs="Arial"/>
          <w:sz w:val="18"/>
        </w:rPr>
        <w:t>Si applica la sanzione non inferiore alla censura, per:</w:t>
      </w:r>
    </w:p>
    <w:p w14:paraId="06594A8B" w14:textId="77777777" w:rsidR="00B32EF2" w:rsidRDefault="00000000">
      <w:pPr>
        <w:numPr>
          <w:ilvl w:val="0"/>
          <w:numId w:val="164"/>
        </w:numPr>
        <w:spacing w:after="5" w:line="250" w:lineRule="auto"/>
        <w:ind w:hanging="202"/>
        <w:jc w:val="both"/>
      </w:pPr>
      <w:r>
        <w:rPr>
          <w:rFonts w:ascii="Arial" w:eastAsia="Arial" w:hAnsi="Arial" w:cs="Arial"/>
          <w:sz w:val="18"/>
        </w:rPr>
        <w:lastRenderedPageBreak/>
        <w:t xml:space="preserve">i comportamenti che, violando i doveri di cui al comma 2, arrecano </w:t>
      </w:r>
      <w:proofErr w:type="spellStart"/>
      <w:r>
        <w:rPr>
          <w:rFonts w:ascii="Arial" w:eastAsia="Arial" w:hAnsi="Arial" w:cs="Arial"/>
          <w:sz w:val="18"/>
        </w:rPr>
        <w:t>ingiustodanno</w:t>
      </w:r>
      <w:proofErr w:type="spellEnd"/>
      <w:r>
        <w:rPr>
          <w:rFonts w:ascii="Arial" w:eastAsia="Arial" w:hAnsi="Arial" w:cs="Arial"/>
          <w:sz w:val="18"/>
        </w:rPr>
        <w:t xml:space="preserve"> o indebito vantaggio a una delle parti;</w:t>
      </w:r>
    </w:p>
    <w:p w14:paraId="2A8D6C85" w14:textId="77777777" w:rsidR="00B32EF2" w:rsidRDefault="00000000">
      <w:pPr>
        <w:numPr>
          <w:ilvl w:val="0"/>
          <w:numId w:val="164"/>
        </w:numPr>
        <w:spacing w:after="5" w:line="250" w:lineRule="auto"/>
        <w:ind w:hanging="202"/>
        <w:jc w:val="both"/>
      </w:pPr>
      <w:r>
        <w:rPr>
          <w:rFonts w:ascii="Arial" w:eastAsia="Arial" w:hAnsi="Arial" w:cs="Arial"/>
          <w:sz w:val="18"/>
        </w:rPr>
        <w:t>la consapevole inosservanza dell’obbligo di astensione nei casi previsti dalla legge;</w:t>
      </w:r>
    </w:p>
    <w:p w14:paraId="0E8902BC" w14:textId="77777777" w:rsidR="00B32EF2" w:rsidRDefault="00000000">
      <w:pPr>
        <w:numPr>
          <w:ilvl w:val="0"/>
          <w:numId w:val="164"/>
        </w:numPr>
        <w:spacing w:after="5" w:line="250" w:lineRule="auto"/>
        <w:ind w:hanging="202"/>
        <w:jc w:val="both"/>
      </w:pPr>
      <w:r>
        <w:rPr>
          <w:rFonts w:ascii="Arial" w:eastAsia="Arial" w:hAnsi="Arial" w:cs="Arial"/>
          <w:sz w:val="18"/>
        </w:rPr>
        <w:t xml:space="preserve">i comportamenti che, a causa dei rapporti comunque esistenti con i </w:t>
      </w:r>
      <w:proofErr w:type="spellStart"/>
      <w:r>
        <w:rPr>
          <w:rFonts w:ascii="Arial" w:eastAsia="Arial" w:hAnsi="Arial" w:cs="Arial"/>
          <w:sz w:val="18"/>
        </w:rPr>
        <w:t>soggetticoinvolti</w:t>
      </w:r>
      <w:proofErr w:type="spellEnd"/>
      <w:r>
        <w:rPr>
          <w:rFonts w:ascii="Arial" w:eastAsia="Arial" w:hAnsi="Arial" w:cs="Arial"/>
          <w:sz w:val="18"/>
        </w:rPr>
        <w:t xml:space="preserve"> nel procedimento ovvero a causa di avvenute interferenze, costituiscano violazione del dovere di imparzialità;</w:t>
      </w:r>
    </w:p>
    <w:p w14:paraId="393AA6A9" w14:textId="77777777" w:rsidR="00B32EF2" w:rsidRDefault="00000000">
      <w:pPr>
        <w:numPr>
          <w:ilvl w:val="0"/>
          <w:numId w:val="164"/>
        </w:numPr>
        <w:spacing w:after="5" w:line="250" w:lineRule="auto"/>
        <w:ind w:hanging="202"/>
        <w:jc w:val="both"/>
      </w:pPr>
      <w:r>
        <w:rPr>
          <w:rFonts w:ascii="Arial" w:eastAsia="Arial" w:hAnsi="Arial" w:cs="Arial"/>
          <w:sz w:val="18"/>
        </w:rPr>
        <w:t>i comportamenti abitualmente o gravemente scorretti nei confronti delle parti, dei loro difensori, o di chiunque abbia rapporti con il giudice nell’ambito della corte di giustizia tributaria di primo e secondo grado, ovvero nei confronti di altri giudici o di collaboratori;</w:t>
      </w:r>
    </w:p>
    <w:p w14:paraId="1A187C5C" w14:textId="77777777" w:rsidR="00B32EF2" w:rsidRDefault="00000000">
      <w:pPr>
        <w:numPr>
          <w:ilvl w:val="0"/>
          <w:numId w:val="164"/>
        </w:numPr>
        <w:spacing w:after="5" w:line="250" w:lineRule="auto"/>
        <w:ind w:hanging="202"/>
        <w:jc w:val="both"/>
      </w:pPr>
      <w:r>
        <w:rPr>
          <w:rFonts w:ascii="Arial" w:eastAsia="Arial" w:hAnsi="Arial" w:cs="Arial"/>
          <w:sz w:val="18"/>
        </w:rPr>
        <w:t>l’ingiustificata interferenza nell’attività giudiziaria di altro giudice;</w:t>
      </w:r>
    </w:p>
    <w:p w14:paraId="38679C88" w14:textId="77777777" w:rsidR="00B32EF2" w:rsidRDefault="00000000">
      <w:pPr>
        <w:numPr>
          <w:ilvl w:val="0"/>
          <w:numId w:val="164"/>
        </w:numPr>
        <w:spacing w:after="5" w:line="250" w:lineRule="auto"/>
        <w:ind w:hanging="202"/>
        <w:jc w:val="both"/>
      </w:pPr>
      <w:r>
        <w:rPr>
          <w:rFonts w:ascii="Arial" w:eastAsia="Arial" w:hAnsi="Arial" w:cs="Arial"/>
          <w:sz w:val="18"/>
        </w:rPr>
        <w:t xml:space="preserve">l’omessa comunicazione al Presidente della corte di giustizia tributaria </w:t>
      </w:r>
      <w:proofErr w:type="spellStart"/>
      <w:r>
        <w:rPr>
          <w:rFonts w:ascii="Arial" w:eastAsia="Arial" w:hAnsi="Arial" w:cs="Arial"/>
          <w:sz w:val="18"/>
        </w:rPr>
        <w:t>diprimo</w:t>
      </w:r>
      <w:proofErr w:type="spellEnd"/>
      <w:r>
        <w:rPr>
          <w:rFonts w:ascii="Arial" w:eastAsia="Arial" w:hAnsi="Arial" w:cs="Arial"/>
          <w:sz w:val="18"/>
        </w:rPr>
        <w:t xml:space="preserve"> e secondo grado da parte del giudice destinatario delle avvenute interferenze;</w:t>
      </w:r>
    </w:p>
    <w:p w14:paraId="79ECCF57" w14:textId="77777777" w:rsidR="00B32EF2" w:rsidRDefault="00000000">
      <w:pPr>
        <w:numPr>
          <w:ilvl w:val="0"/>
          <w:numId w:val="164"/>
        </w:numPr>
        <w:spacing w:after="5" w:line="250" w:lineRule="auto"/>
        <w:ind w:hanging="202"/>
        <w:jc w:val="both"/>
      </w:pPr>
      <w:r>
        <w:rPr>
          <w:rFonts w:ascii="Arial" w:eastAsia="Arial" w:hAnsi="Arial" w:cs="Arial"/>
          <w:sz w:val="18"/>
        </w:rPr>
        <w:t>il perseguimento di fini diversi da quelli di giustizia;</w:t>
      </w:r>
    </w:p>
    <w:p w14:paraId="0CDB36D1" w14:textId="77777777" w:rsidR="00B32EF2" w:rsidRDefault="00000000">
      <w:pPr>
        <w:numPr>
          <w:ilvl w:val="0"/>
          <w:numId w:val="164"/>
        </w:numPr>
        <w:spacing w:after="5" w:line="250" w:lineRule="auto"/>
        <w:ind w:hanging="202"/>
        <w:jc w:val="both"/>
      </w:pPr>
      <w:r>
        <w:rPr>
          <w:rFonts w:ascii="Arial" w:eastAsia="Arial" w:hAnsi="Arial" w:cs="Arial"/>
          <w:sz w:val="18"/>
        </w:rPr>
        <w:t>la scarsa laboriosità, se abituale;</w:t>
      </w:r>
    </w:p>
    <w:p w14:paraId="50D2AD4B" w14:textId="77777777" w:rsidR="00B32EF2" w:rsidRDefault="00000000">
      <w:pPr>
        <w:numPr>
          <w:ilvl w:val="0"/>
          <w:numId w:val="164"/>
        </w:numPr>
        <w:spacing w:after="5" w:line="250" w:lineRule="auto"/>
        <w:ind w:hanging="202"/>
        <w:jc w:val="both"/>
      </w:pPr>
      <w:r>
        <w:rPr>
          <w:rFonts w:ascii="Arial" w:eastAsia="Arial" w:hAnsi="Arial" w:cs="Arial"/>
          <w:sz w:val="18"/>
        </w:rPr>
        <w:t>la grave o abituale violazione del dovere di riservatezza;</w:t>
      </w:r>
    </w:p>
    <w:p w14:paraId="3D4EE705" w14:textId="77777777" w:rsidR="00B32EF2" w:rsidRDefault="00000000">
      <w:pPr>
        <w:numPr>
          <w:ilvl w:val="0"/>
          <w:numId w:val="165"/>
        </w:numPr>
        <w:spacing w:after="5" w:line="250" w:lineRule="auto"/>
        <w:ind w:hanging="148"/>
        <w:jc w:val="both"/>
      </w:pPr>
      <w:r>
        <w:rPr>
          <w:rFonts w:ascii="Arial" w:eastAsia="Arial" w:hAnsi="Arial" w:cs="Arial"/>
          <w:sz w:val="18"/>
        </w:rPr>
        <w:t>l’uso della qualità di giudice tributario al fine di conseguire vantaggi ingiusti;</w:t>
      </w:r>
    </w:p>
    <w:p w14:paraId="17017D51" w14:textId="77777777" w:rsidR="00B32EF2" w:rsidRDefault="00000000">
      <w:pPr>
        <w:numPr>
          <w:ilvl w:val="0"/>
          <w:numId w:val="165"/>
        </w:numPr>
        <w:spacing w:after="5" w:line="250" w:lineRule="auto"/>
        <w:ind w:hanging="148"/>
        <w:jc w:val="both"/>
      </w:pPr>
      <w:r>
        <w:rPr>
          <w:rFonts w:ascii="Arial" w:eastAsia="Arial" w:hAnsi="Arial" w:cs="Arial"/>
          <w:sz w:val="18"/>
        </w:rPr>
        <w:t>la reiterata e grave inosservanza delle norme regolamentari o delle disposizioni sul servizio adottate dagli organi competenti.</w:t>
      </w:r>
    </w:p>
    <w:p w14:paraId="2F313F61" w14:textId="77777777" w:rsidR="00B32EF2" w:rsidRDefault="00000000">
      <w:pPr>
        <w:spacing w:after="5" w:line="250" w:lineRule="auto"/>
        <w:ind w:left="-4" w:hanging="10"/>
        <w:jc w:val="both"/>
      </w:pPr>
      <w:r>
        <w:rPr>
          <w:rFonts w:ascii="Arial" w:eastAsia="Arial" w:hAnsi="Arial" w:cs="Arial"/>
          <w:sz w:val="18"/>
        </w:rPr>
        <w:t>5. Si applica la sanzione non inferiore alla sospensione dalle funzioni per un periodo da un mese a due anni, per:</w:t>
      </w:r>
    </w:p>
    <w:p w14:paraId="0F593380" w14:textId="77777777" w:rsidR="00B32EF2" w:rsidRDefault="00000000">
      <w:pPr>
        <w:numPr>
          <w:ilvl w:val="0"/>
          <w:numId w:val="166"/>
        </w:numPr>
        <w:spacing w:after="5" w:line="250" w:lineRule="auto"/>
        <w:ind w:hanging="10"/>
        <w:jc w:val="both"/>
      </w:pPr>
      <w:r>
        <w:rPr>
          <w:rFonts w:ascii="Arial" w:eastAsia="Arial" w:hAnsi="Arial" w:cs="Arial"/>
          <w:sz w:val="18"/>
        </w:rPr>
        <w:t xml:space="preserve">il reiterato o grave ritardo nel compimento degli atti relativi all’esercizio </w:t>
      </w:r>
      <w:proofErr w:type="spellStart"/>
      <w:r>
        <w:rPr>
          <w:rFonts w:ascii="Arial" w:eastAsia="Arial" w:hAnsi="Arial" w:cs="Arial"/>
          <w:sz w:val="18"/>
        </w:rPr>
        <w:t>dellefunzioni</w:t>
      </w:r>
      <w:proofErr w:type="spellEnd"/>
      <w:r>
        <w:rPr>
          <w:rFonts w:ascii="Arial" w:eastAsia="Arial" w:hAnsi="Arial" w:cs="Arial"/>
          <w:sz w:val="18"/>
        </w:rPr>
        <w:t>;</w:t>
      </w:r>
    </w:p>
    <w:p w14:paraId="6C195F02" w14:textId="77777777" w:rsidR="00B32EF2" w:rsidRDefault="00000000">
      <w:pPr>
        <w:numPr>
          <w:ilvl w:val="0"/>
          <w:numId w:val="166"/>
        </w:numPr>
        <w:spacing w:after="5" w:line="250" w:lineRule="auto"/>
        <w:ind w:hanging="10"/>
        <w:jc w:val="both"/>
      </w:pPr>
      <w:r>
        <w:rPr>
          <w:rFonts w:ascii="Arial" w:eastAsia="Arial" w:hAnsi="Arial" w:cs="Arial"/>
          <w:sz w:val="18"/>
        </w:rPr>
        <w:t xml:space="preserve">i comportamenti che, violando i doveri di cui al comma 2, arrecano grave </w:t>
      </w:r>
      <w:proofErr w:type="spellStart"/>
      <w:r>
        <w:rPr>
          <w:rFonts w:ascii="Arial" w:eastAsia="Arial" w:hAnsi="Arial" w:cs="Arial"/>
          <w:sz w:val="18"/>
        </w:rPr>
        <w:t>eingiusto</w:t>
      </w:r>
      <w:proofErr w:type="spellEnd"/>
      <w:r>
        <w:rPr>
          <w:rFonts w:ascii="Arial" w:eastAsia="Arial" w:hAnsi="Arial" w:cs="Arial"/>
          <w:sz w:val="18"/>
        </w:rPr>
        <w:t xml:space="preserve"> danno o indebito vantaggio a una delle parti;</w:t>
      </w:r>
    </w:p>
    <w:p w14:paraId="245EC1B2" w14:textId="77777777" w:rsidR="00B32EF2" w:rsidRDefault="00000000">
      <w:pPr>
        <w:numPr>
          <w:ilvl w:val="0"/>
          <w:numId w:val="166"/>
        </w:numPr>
        <w:spacing w:after="5" w:line="250" w:lineRule="auto"/>
        <w:ind w:hanging="10"/>
        <w:jc w:val="both"/>
      </w:pPr>
      <w:r>
        <w:rPr>
          <w:rFonts w:ascii="Arial" w:eastAsia="Arial" w:hAnsi="Arial" w:cs="Arial"/>
          <w:sz w:val="18"/>
        </w:rPr>
        <w:t xml:space="preserve">l’uso della qualità di giudice tributario al fine di conseguire vantaggi </w:t>
      </w:r>
      <w:proofErr w:type="spellStart"/>
      <w:r>
        <w:rPr>
          <w:rFonts w:ascii="Arial" w:eastAsia="Arial" w:hAnsi="Arial" w:cs="Arial"/>
          <w:sz w:val="18"/>
        </w:rPr>
        <w:t>ingiusti,se</w:t>
      </w:r>
      <w:proofErr w:type="spellEnd"/>
      <w:r>
        <w:rPr>
          <w:rFonts w:ascii="Arial" w:eastAsia="Arial" w:hAnsi="Arial" w:cs="Arial"/>
          <w:sz w:val="18"/>
        </w:rPr>
        <w:t xml:space="preserve"> abituale e grave;</w:t>
      </w:r>
    </w:p>
    <w:p w14:paraId="623987C7" w14:textId="77777777" w:rsidR="00B32EF2" w:rsidRDefault="00000000">
      <w:pPr>
        <w:numPr>
          <w:ilvl w:val="0"/>
          <w:numId w:val="166"/>
        </w:numPr>
        <w:spacing w:after="5" w:line="250" w:lineRule="auto"/>
        <w:ind w:hanging="10"/>
        <w:jc w:val="both"/>
      </w:pPr>
      <w:r>
        <w:rPr>
          <w:rFonts w:ascii="Arial" w:eastAsia="Arial" w:hAnsi="Arial" w:cs="Arial"/>
          <w:sz w:val="18"/>
        </w:rPr>
        <w:t>il frequentare persona che consti essere stata dichiarata delinquente abituale, professionale o per tendenza o aver subito condanna per delitti non colposi alla pena della reclusione superiore a tre anni o essere sottoposta ad una misura di prevenzione, salvo che sia intervenuta la riabilitazione, ovvero l’intrattenere rapporti consapevoli di affari con una di tali persone.</w:t>
      </w:r>
    </w:p>
    <w:p w14:paraId="541ACD63" w14:textId="77777777" w:rsidR="00B32EF2" w:rsidRDefault="00000000">
      <w:pPr>
        <w:numPr>
          <w:ilvl w:val="0"/>
          <w:numId w:val="167"/>
        </w:numPr>
        <w:spacing w:after="5" w:line="250" w:lineRule="auto"/>
        <w:ind w:hanging="10"/>
        <w:jc w:val="both"/>
      </w:pPr>
      <w:r>
        <w:rPr>
          <w:rFonts w:ascii="Arial" w:eastAsia="Arial" w:hAnsi="Arial" w:cs="Arial"/>
          <w:sz w:val="18"/>
        </w:rPr>
        <w:t xml:space="preserve">Si applica la sanzione dell’incapacità a esercitare un incarico direttivo </w:t>
      </w:r>
      <w:proofErr w:type="spellStart"/>
      <w:r>
        <w:rPr>
          <w:rFonts w:ascii="Arial" w:eastAsia="Arial" w:hAnsi="Arial" w:cs="Arial"/>
          <w:sz w:val="18"/>
        </w:rPr>
        <w:t>perl’interferenza</w:t>
      </w:r>
      <w:proofErr w:type="spellEnd"/>
      <w:r>
        <w:rPr>
          <w:rFonts w:ascii="Arial" w:eastAsia="Arial" w:hAnsi="Arial" w:cs="Arial"/>
          <w:sz w:val="18"/>
        </w:rPr>
        <w:t>, nell’attività di altro giudice tributario, da parte del presidente della commissione o della sezione, se ripetuta o grave.</w:t>
      </w:r>
    </w:p>
    <w:p w14:paraId="23461E9E" w14:textId="77777777" w:rsidR="00B32EF2" w:rsidRDefault="00000000">
      <w:pPr>
        <w:numPr>
          <w:ilvl w:val="0"/>
          <w:numId w:val="167"/>
        </w:numPr>
        <w:spacing w:after="173" w:line="250" w:lineRule="auto"/>
        <w:ind w:hanging="10"/>
        <w:jc w:val="both"/>
      </w:pPr>
      <w:r>
        <w:rPr>
          <w:rFonts w:ascii="Arial" w:eastAsia="Arial" w:hAnsi="Arial" w:cs="Arial"/>
          <w:sz w:val="18"/>
        </w:rPr>
        <w:t xml:space="preserve">Si applica la rimozione dall’incarico nei casi di recidiva in trasgressioni di </w:t>
      </w:r>
      <w:proofErr w:type="spellStart"/>
      <w:r>
        <w:rPr>
          <w:rFonts w:ascii="Arial" w:eastAsia="Arial" w:hAnsi="Arial" w:cs="Arial"/>
          <w:sz w:val="18"/>
        </w:rPr>
        <w:t>cuiai</w:t>
      </w:r>
      <w:proofErr w:type="spellEnd"/>
      <w:r>
        <w:rPr>
          <w:rFonts w:ascii="Arial" w:eastAsia="Arial" w:hAnsi="Arial" w:cs="Arial"/>
          <w:sz w:val="18"/>
        </w:rPr>
        <w:t xml:space="preserve"> commi 5 e 6.</w:t>
      </w:r>
    </w:p>
    <w:p w14:paraId="54114A18" w14:textId="77777777" w:rsidR="00B32EF2" w:rsidRDefault="00000000">
      <w:pPr>
        <w:spacing w:after="0" w:line="261" w:lineRule="auto"/>
        <w:ind w:left="12" w:right="3" w:hanging="10"/>
        <w:jc w:val="center"/>
      </w:pPr>
      <w:r>
        <w:rPr>
          <w:rFonts w:ascii="Arial" w:eastAsia="Arial" w:hAnsi="Arial" w:cs="Arial"/>
          <w:b/>
          <w:sz w:val="18"/>
        </w:rPr>
        <w:t>Articolo 16</w:t>
      </w:r>
    </w:p>
    <w:p w14:paraId="36546B7D" w14:textId="77777777" w:rsidR="00B32EF2" w:rsidRDefault="00000000">
      <w:pPr>
        <w:spacing w:after="3" w:line="251" w:lineRule="auto"/>
        <w:ind w:left="2320" w:right="2311" w:hanging="10"/>
        <w:jc w:val="center"/>
      </w:pPr>
      <w:r>
        <w:rPr>
          <w:rFonts w:ascii="Arial" w:eastAsia="Arial" w:hAnsi="Arial" w:cs="Arial"/>
          <w:i/>
          <w:sz w:val="18"/>
        </w:rPr>
        <w:t>(articolo 23 TUGT)</w:t>
      </w:r>
    </w:p>
    <w:p w14:paraId="5FAC5C0C" w14:textId="77777777" w:rsidR="00B32EF2" w:rsidRDefault="00000000">
      <w:pPr>
        <w:spacing w:after="0" w:line="261" w:lineRule="auto"/>
        <w:ind w:left="12" w:right="3" w:hanging="10"/>
        <w:jc w:val="center"/>
      </w:pPr>
      <w:r>
        <w:rPr>
          <w:rFonts w:ascii="Arial" w:eastAsia="Arial" w:hAnsi="Arial" w:cs="Arial"/>
          <w:b/>
          <w:sz w:val="18"/>
        </w:rPr>
        <w:t xml:space="preserve">Procedimento disciplinare </w:t>
      </w:r>
    </w:p>
    <w:p w14:paraId="725416B1" w14:textId="77777777" w:rsidR="00B32EF2" w:rsidRDefault="00000000">
      <w:pPr>
        <w:numPr>
          <w:ilvl w:val="0"/>
          <w:numId w:val="168"/>
        </w:numPr>
        <w:spacing w:after="5" w:line="250" w:lineRule="auto"/>
        <w:ind w:hanging="10"/>
        <w:jc w:val="both"/>
      </w:pPr>
      <w:r>
        <w:rPr>
          <w:rFonts w:ascii="Arial" w:eastAsia="Arial" w:hAnsi="Arial" w:cs="Arial"/>
          <w:sz w:val="18"/>
        </w:rPr>
        <w:lastRenderedPageBreak/>
        <w:t>Il procedimento disciplinare è promosso dal Presidente del Consiglio dei Ministri o dal presidente della corte di giustizia tributaria di secondo grado nella cui circoscrizione presta servizio l’incolpato.</w:t>
      </w:r>
    </w:p>
    <w:p w14:paraId="1EF77871" w14:textId="77777777" w:rsidR="00B32EF2" w:rsidRDefault="00000000">
      <w:pPr>
        <w:numPr>
          <w:ilvl w:val="0"/>
          <w:numId w:val="168"/>
        </w:numPr>
        <w:spacing w:after="5" w:line="250" w:lineRule="auto"/>
        <w:ind w:hanging="10"/>
        <w:jc w:val="both"/>
      </w:pPr>
      <w:r>
        <w:rPr>
          <w:rFonts w:ascii="Arial" w:eastAsia="Arial" w:hAnsi="Arial" w:cs="Arial"/>
          <w:sz w:val="18"/>
        </w:rPr>
        <w:t>Il consiglio di presidenza, nel termine di dieci giorni dalla richiesta di apertura del procedimento disciplinare, affida ad un suo componente l’incarico di procedere agli accertamenti preliminari da svolgersi entro trenta giorni.</w:t>
      </w:r>
    </w:p>
    <w:p w14:paraId="16D44F82" w14:textId="77777777" w:rsidR="00B32EF2" w:rsidRDefault="00000000">
      <w:pPr>
        <w:numPr>
          <w:ilvl w:val="0"/>
          <w:numId w:val="168"/>
        </w:numPr>
        <w:spacing w:after="5" w:line="250" w:lineRule="auto"/>
        <w:ind w:hanging="10"/>
        <w:jc w:val="both"/>
      </w:pPr>
      <w:r>
        <w:rPr>
          <w:rFonts w:ascii="Arial" w:eastAsia="Arial" w:hAnsi="Arial" w:cs="Arial"/>
          <w:sz w:val="18"/>
        </w:rPr>
        <w:t xml:space="preserve">Il consiglio di presidenza, sulla base delle risultanze emerse provvede </w:t>
      </w:r>
      <w:proofErr w:type="spellStart"/>
      <w:r>
        <w:rPr>
          <w:rFonts w:ascii="Arial" w:eastAsia="Arial" w:hAnsi="Arial" w:cs="Arial"/>
          <w:sz w:val="18"/>
        </w:rPr>
        <w:t>acontestare</w:t>
      </w:r>
      <w:proofErr w:type="spellEnd"/>
      <w:r>
        <w:rPr>
          <w:rFonts w:ascii="Arial" w:eastAsia="Arial" w:hAnsi="Arial" w:cs="Arial"/>
          <w:sz w:val="18"/>
        </w:rPr>
        <w:t xml:space="preserve"> i fatti all’incolpato con invito a presentare entro trenta giorni le sue giustificazioni, a seguito delle quali, se non ritiene di archiviare gli atti, incarica un proprio componente di procedere alla istruttoria, che deve essere conclusa entro novanta giorni col deposito degli atti relativi presso la segreteria. Di tali deliberazioni deve essere data immediata comunicazione all’incolpato.</w:t>
      </w:r>
    </w:p>
    <w:p w14:paraId="69FAFA80" w14:textId="77777777" w:rsidR="00B32EF2" w:rsidRDefault="00000000">
      <w:pPr>
        <w:numPr>
          <w:ilvl w:val="0"/>
          <w:numId w:val="168"/>
        </w:numPr>
        <w:spacing w:after="5" w:line="250" w:lineRule="auto"/>
        <w:ind w:hanging="10"/>
        <w:jc w:val="both"/>
      </w:pPr>
      <w:r>
        <w:rPr>
          <w:rFonts w:ascii="Arial" w:eastAsia="Arial" w:hAnsi="Arial" w:cs="Arial"/>
          <w:sz w:val="18"/>
        </w:rPr>
        <w:t xml:space="preserve">Il presidente del consiglio di presidenza, trascorso comunque il termine </w:t>
      </w:r>
      <w:proofErr w:type="spellStart"/>
      <w:r>
        <w:rPr>
          <w:rFonts w:ascii="Arial" w:eastAsia="Arial" w:hAnsi="Arial" w:cs="Arial"/>
          <w:sz w:val="18"/>
        </w:rPr>
        <w:t>dicui</w:t>
      </w:r>
      <w:proofErr w:type="spellEnd"/>
      <w:r>
        <w:rPr>
          <w:rFonts w:ascii="Arial" w:eastAsia="Arial" w:hAnsi="Arial" w:cs="Arial"/>
          <w:sz w:val="18"/>
        </w:rPr>
        <w:t xml:space="preserve"> al comma 3, fissa la data della discussione davanti allo stesso con decreto da notificare almeno quaranta giorni prima all’incolpato, il quale può prendere visione ed estrarre copia degli atti e depositare le sue difese non oltre dieci giorni prima della discussione.</w:t>
      </w:r>
    </w:p>
    <w:p w14:paraId="5C68FD41" w14:textId="77777777" w:rsidR="00B32EF2" w:rsidRDefault="00000000">
      <w:pPr>
        <w:numPr>
          <w:ilvl w:val="0"/>
          <w:numId w:val="168"/>
        </w:numPr>
        <w:spacing w:after="5" w:line="250" w:lineRule="auto"/>
        <w:ind w:hanging="10"/>
        <w:jc w:val="both"/>
      </w:pPr>
      <w:r>
        <w:rPr>
          <w:rFonts w:ascii="Arial" w:eastAsia="Arial" w:hAnsi="Arial" w:cs="Arial"/>
          <w:sz w:val="18"/>
        </w:rPr>
        <w:t>Nella seduta fissata per la discussione, il componente del consiglio di presidenza di cui al comma 3 svolge la relazione. L’incolpato ha per ultimo la parola e può farsi assistere da altro componente di corte di giustizia tributaria di primo e secondo grado.</w:t>
      </w:r>
    </w:p>
    <w:p w14:paraId="42C89103" w14:textId="77777777" w:rsidR="00B32EF2" w:rsidRDefault="00000000">
      <w:pPr>
        <w:numPr>
          <w:ilvl w:val="0"/>
          <w:numId w:val="168"/>
        </w:numPr>
        <w:spacing w:after="5" w:line="250" w:lineRule="auto"/>
        <w:ind w:hanging="10"/>
        <w:jc w:val="both"/>
      </w:pPr>
      <w:r>
        <w:rPr>
          <w:rFonts w:ascii="Arial" w:eastAsia="Arial" w:hAnsi="Arial" w:cs="Arial"/>
          <w:sz w:val="18"/>
        </w:rPr>
        <w:t xml:space="preserve">La sanzione disciplinare deliberata dal consiglio di presidenza è </w:t>
      </w:r>
      <w:proofErr w:type="spellStart"/>
      <w:r>
        <w:rPr>
          <w:rFonts w:ascii="Arial" w:eastAsia="Arial" w:hAnsi="Arial" w:cs="Arial"/>
          <w:sz w:val="18"/>
        </w:rPr>
        <w:t>applicatacon</w:t>
      </w:r>
      <w:proofErr w:type="spellEnd"/>
      <w:r>
        <w:rPr>
          <w:rFonts w:ascii="Arial" w:eastAsia="Arial" w:hAnsi="Arial" w:cs="Arial"/>
          <w:sz w:val="18"/>
        </w:rPr>
        <w:t xml:space="preserve"> decreto del Ministro delle finanze.</w:t>
      </w:r>
    </w:p>
    <w:p w14:paraId="236FF73C" w14:textId="77777777" w:rsidR="00B32EF2" w:rsidRDefault="00000000">
      <w:pPr>
        <w:numPr>
          <w:ilvl w:val="0"/>
          <w:numId w:val="168"/>
        </w:numPr>
        <w:spacing w:after="3" w:line="252" w:lineRule="auto"/>
        <w:ind w:hanging="10"/>
        <w:jc w:val="both"/>
      </w:pPr>
      <w:r>
        <w:rPr>
          <w:rFonts w:ascii="Arial" w:eastAsia="Arial" w:hAnsi="Arial" w:cs="Arial"/>
          <w:sz w:val="18"/>
        </w:rPr>
        <w:t>Per quanto non contemplato dalla presente legge si applicano le disposizioni sul procedimento disciplinare vigenti per i magistrati ordinari in quanto compatibili.</w:t>
      </w:r>
    </w:p>
    <w:p w14:paraId="196C75CB" w14:textId="77777777" w:rsidR="00B32EF2" w:rsidRDefault="00000000">
      <w:pPr>
        <w:spacing w:after="0" w:line="261" w:lineRule="auto"/>
        <w:ind w:left="12" w:right="3" w:hanging="10"/>
        <w:jc w:val="center"/>
      </w:pPr>
      <w:r>
        <w:rPr>
          <w:rFonts w:ascii="Arial" w:eastAsia="Arial" w:hAnsi="Arial" w:cs="Arial"/>
          <w:b/>
          <w:sz w:val="18"/>
        </w:rPr>
        <w:t xml:space="preserve">CAPO III </w:t>
      </w:r>
    </w:p>
    <w:p w14:paraId="70EF9AAD" w14:textId="77777777" w:rsidR="00B32EF2" w:rsidRDefault="00000000">
      <w:pPr>
        <w:spacing w:after="358" w:line="261" w:lineRule="auto"/>
        <w:ind w:left="12" w:right="3" w:hanging="10"/>
        <w:jc w:val="center"/>
      </w:pPr>
      <w:r>
        <w:rPr>
          <w:rFonts w:ascii="Arial" w:eastAsia="Arial" w:hAnsi="Arial" w:cs="Arial"/>
          <w:b/>
          <w:sz w:val="18"/>
        </w:rPr>
        <w:t xml:space="preserve">IL CONSIGLIO DI PRESIDENZA DELLA GIUSTIZIA TRIBUTARIA </w:t>
      </w:r>
    </w:p>
    <w:p w14:paraId="330DC5F3" w14:textId="77777777" w:rsidR="00B32EF2" w:rsidRDefault="00000000">
      <w:pPr>
        <w:spacing w:after="0" w:line="261" w:lineRule="auto"/>
        <w:ind w:left="12" w:right="3" w:hanging="10"/>
        <w:jc w:val="center"/>
      </w:pPr>
      <w:r>
        <w:rPr>
          <w:rFonts w:ascii="Arial" w:eastAsia="Arial" w:hAnsi="Arial" w:cs="Arial"/>
          <w:b/>
          <w:sz w:val="18"/>
        </w:rPr>
        <w:t>Articolo 17</w:t>
      </w:r>
    </w:p>
    <w:p w14:paraId="326FD2B8" w14:textId="77777777" w:rsidR="00B32EF2" w:rsidRDefault="00000000">
      <w:pPr>
        <w:spacing w:after="3" w:line="251" w:lineRule="auto"/>
        <w:ind w:left="2320" w:right="2312" w:hanging="10"/>
        <w:jc w:val="center"/>
      </w:pPr>
      <w:r>
        <w:rPr>
          <w:rFonts w:ascii="Arial" w:eastAsia="Arial" w:hAnsi="Arial" w:cs="Arial"/>
          <w:i/>
          <w:sz w:val="18"/>
        </w:rPr>
        <w:t xml:space="preserve">(articolo 24 TUGT) </w:t>
      </w:r>
      <w:r>
        <w:rPr>
          <w:rFonts w:ascii="Arial" w:eastAsia="Arial" w:hAnsi="Arial" w:cs="Arial"/>
          <w:b/>
          <w:sz w:val="18"/>
        </w:rPr>
        <w:t xml:space="preserve">Composizione </w:t>
      </w:r>
    </w:p>
    <w:p w14:paraId="06F3B5B6" w14:textId="77777777" w:rsidR="00B32EF2" w:rsidRDefault="00000000">
      <w:pPr>
        <w:numPr>
          <w:ilvl w:val="0"/>
          <w:numId w:val="169"/>
        </w:numPr>
        <w:spacing w:after="5" w:line="250" w:lineRule="auto"/>
        <w:ind w:hanging="200"/>
        <w:jc w:val="both"/>
      </w:pPr>
      <w:r>
        <w:rPr>
          <w:rFonts w:ascii="Arial" w:eastAsia="Arial" w:hAnsi="Arial" w:cs="Arial"/>
          <w:sz w:val="18"/>
        </w:rPr>
        <w:t xml:space="preserve">Il consiglio di presidenza della giustizia tributaria è costituito con </w:t>
      </w:r>
      <w:proofErr w:type="spellStart"/>
      <w:r>
        <w:rPr>
          <w:rFonts w:ascii="Arial" w:eastAsia="Arial" w:hAnsi="Arial" w:cs="Arial"/>
          <w:sz w:val="18"/>
        </w:rPr>
        <w:t>decretodel</w:t>
      </w:r>
      <w:proofErr w:type="spellEnd"/>
      <w:r>
        <w:rPr>
          <w:rFonts w:ascii="Arial" w:eastAsia="Arial" w:hAnsi="Arial" w:cs="Arial"/>
          <w:sz w:val="18"/>
        </w:rPr>
        <w:t xml:space="preserve"> Presidente della Repubblica, su proposta del Ministro delle finanze, ed ha sede in Roma presso il Ministero delle finanze.</w:t>
      </w:r>
    </w:p>
    <w:p w14:paraId="4E8ECAED" w14:textId="77777777" w:rsidR="00B32EF2" w:rsidRDefault="00000000">
      <w:pPr>
        <w:numPr>
          <w:ilvl w:val="0"/>
          <w:numId w:val="169"/>
        </w:numPr>
        <w:spacing w:after="5" w:line="250" w:lineRule="auto"/>
        <w:ind w:hanging="200"/>
        <w:jc w:val="both"/>
      </w:pPr>
      <w:r>
        <w:rPr>
          <w:rFonts w:ascii="Arial" w:eastAsia="Arial" w:hAnsi="Arial" w:cs="Arial"/>
          <w:sz w:val="18"/>
        </w:rPr>
        <w:t xml:space="preserve">Il consiglio di presidenza è composto da undici componenti eletti dai </w:t>
      </w:r>
      <w:proofErr w:type="spellStart"/>
      <w:r>
        <w:rPr>
          <w:rFonts w:ascii="Arial" w:eastAsia="Arial" w:hAnsi="Arial" w:cs="Arial"/>
          <w:sz w:val="18"/>
        </w:rPr>
        <w:t>giudicitributari</w:t>
      </w:r>
      <w:proofErr w:type="spellEnd"/>
      <w:r>
        <w:rPr>
          <w:rFonts w:ascii="Arial" w:eastAsia="Arial" w:hAnsi="Arial" w:cs="Arial"/>
          <w:sz w:val="18"/>
        </w:rPr>
        <w:t xml:space="preserve"> e da quattro componenti eletti dal Parlamento, due dalla Camera dei deputati e due dal Senato della Repubblica a maggioranza assoluta dei rispettivi componenti, tra i professori di università in materie giuridiche o i soggetti abilitati alla difesa dinanzi alle corti di giustizia tributaria di primo e secondo grado che risultino iscritti ai rispettivi albi professionali da </w:t>
      </w:r>
      <w:r>
        <w:rPr>
          <w:rFonts w:ascii="Arial" w:eastAsia="Arial" w:hAnsi="Arial" w:cs="Arial"/>
          <w:sz w:val="18"/>
        </w:rPr>
        <w:lastRenderedPageBreak/>
        <w:t>almeno dodici anni. 2-bis. Il Consiglio di Presidenza elegge nel suo seno un presidente tra i componenti eletti dal Parlamento.</w:t>
      </w:r>
    </w:p>
    <w:p w14:paraId="570BCEB2" w14:textId="77777777" w:rsidR="00B32EF2" w:rsidRDefault="00000000">
      <w:pPr>
        <w:spacing w:after="5" w:line="250" w:lineRule="auto"/>
        <w:ind w:left="-4" w:hanging="10"/>
        <w:jc w:val="both"/>
      </w:pPr>
      <w:r>
        <w:rPr>
          <w:rFonts w:ascii="Arial" w:eastAsia="Arial" w:hAnsi="Arial" w:cs="Arial"/>
          <w:sz w:val="18"/>
        </w:rPr>
        <w:t xml:space="preserve">2-ter. I componenti del consiglio di presidenza della giustizia tributaria eletti dal Parlamento, </w:t>
      </w:r>
      <w:proofErr w:type="spellStart"/>
      <w:r>
        <w:rPr>
          <w:rFonts w:ascii="Arial" w:eastAsia="Arial" w:hAnsi="Arial" w:cs="Arial"/>
          <w:sz w:val="18"/>
        </w:rPr>
        <w:t>finchè</w:t>
      </w:r>
      <w:proofErr w:type="spellEnd"/>
      <w:r>
        <w:rPr>
          <w:rFonts w:ascii="Arial" w:eastAsia="Arial" w:hAnsi="Arial" w:cs="Arial"/>
          <w:sz w:val="18"/>
        </w:rPr>
        <w:t xml:space="preserve"> sono in carica, non possono esercitare attività professionale in ambito tributario, </w:t>
      </w:r>
      <w:proofErr w:type="spellStart"/>
      <w:r>
        <w:rPr>
          <w:rFonts w:ascii="Arial" w:eastAsia="Arial" w:hAnsi="Arial" w:cs="Arial"/>
          <w:sz w:val="18"/>
        </w:rPr>
        <w:t>nè</w:t>
      </w:r>
      <w:proofErr w:type="spellEnd"/>
      <w:r>
        <w:rPr>
          <w:rFonts w:ascii="Arial" w:eastAsia="Arial" w:hAnsi="Arial" w:cs="Arial"/>
          <w:sz w:val="18"/>
        </w:rPr>
        <w:t xml:space="preserve"> alcuna altra attività suscettibile di interferire con le funzioni degli organi di giustizia tributaria.</w:t>
      </w:r>
    </w:p>
    <w:p w14:paraId="7B057261" w14:textId="77777777" w:rsidR="00B32EF2" w:rsidRDefault="00000000">
      <w:pPr>
        <w:numPr>
          <w:ilvl w:val="0"/>
          <w:numId w:val="169"/>
        </w:numPr>
        <w:spacing w:after="5" w:line="250" w:lineRule="auto"/>
        <w:ind w:hanging="200"/>
        <w:jc w:val="both"/>
      </w:pPr>
      <w:r>
        <w:rPr>
          <w:rFonts w:ascii="Arial" w:eastAsia="Arial" w:hAnsi="Arial" w:cs="Arial"/>
          <w:sz w:val="18"/>
        </w:rPr>
        <w:t xml:space="preserve">I componenti del consiglio di presidenza sono eletti da tutti i </w:t>
      </w:r>
      <w:proofErr w:type="spellStart"/>
      <w:r>
        <w:rPr>
          <w:rFonts w:ascii="Arial" w:eastAsia="Arial" w:hAnsi="Arial" w:cs="Arial"/>
          <w:sz w:val="18"/>
        </w:rPr>
        <w:t>componentidelle</w:t>
      </w:r>
      <w:proofErr w:type="spellEnd"/>
      <w:r>
        <w:rPr>
          <w:rFonts w:ascii="Arial" w:eastAsia="Arial" w:hAnsi="Arial" w:cs="Arial"/>
          <w:sz w:val="18"/>
        </w:rPr>
        <w:t xml:space="preserve"> corti di giustizia tributaria di primo e secondo grado con voto personale, diretto e segreto, e non sono rieleggibili.</w:t>
      </w:r>
    </w:p>
    <w:p w14:paraId="1B01ECC6" w14:textId="77777777" w:rsidR="00B32EF2" w:rsidRDefault="00000000">
      <w:pPr>
        <w:numPr>
          <w:ilvl w:val="0"/>
          <w:numId w:val="169"/>
        </w:numPr>
        <w:spacing w:after="194" w:line="250" w:lineRule="auto"/>
        <w:ind w:hanging="200"/>
        <w:jc w:val="both"/>
      </w:pPr>
      <w:r>
        <w:rPr>
          <w:rFonts w:ascii="Arial" w:eastAsia="Arial" w:hAnsi="Arial" w:cs="Arial"/>
          <w:sz w:val="18"/>
        </w:rPr>
        <w:t>(Comma abrogato).</w:t>
      </w:r>
    </w:p>
    <w:p w14:paraId="33E53362" w14:textId="77777777" w:rsidR="00B32EF2" w:rsidRDefault="00000000">
      <w:pPr>
        <w:spacing w:after="0" w:line="261" w:lineRule="auto"/>
        <w:ind w:left="12" w:right="3" w:hanging="10"/>
        <w:jc w:val="center"/>
      </w:pPr>
      <w:r>
        <w:rPr>
          <w:rFonts w:ascii="Arial" w:eastAsia="Arial" w:hAnsi="Arial" w:cs="Arial"/>
          <w:b/>
          <w:sz w:val="18"/>
        </w:rPr>
        <w:t>Articolo 18</w:t>
      </w:r>
    </w:p>
    <w:p w14:paraId="7AF10D11" w14:textId="77777777" w:rsidR="00B32EF2" w:rsidRDefault="00000000">
      <w:pPr>
        <w:spacing w:after="3" w:line="251" w:lineRule="auto"/>
        <w:ind w:left="2320" w:right="2312" w:hanging="10"/>
        <w:jc w:val="center"/>
      </w:pPr>
      <w:r>
        <w:rPr>
          <w:rFonts w:ascii="Arial" w:eastAsia="Arial" w:hAnsi="Arial" w:cs="Arial"/>
          <w:i/>
          <w:sz w:val="18"/>
        </w:rPr>
        <w:t xml:space="preserve"> (articolo 25 TUGT) </w:t>
      </w:r>
      <w:r>
        <w:rPr>
          <w:rFonts w:ascii="Arial" w:eastAsia="Arial" w:hAnsi="Arial" w:cs="Arial"/>
          <w:b/>
          <w:sz w:val="18"/>
        </w:rPr>
        <w:t xml:space="preserve">Durata </w:t>
      </w:r>
    </w:p>
    <w:p w14:paraId="0C8F368C" w14:textId="77777777" w:rsidR="00B32EF2" w:rsidRDefault="00000000">
      <w:pPr>
        <w:numPr>
          <w:ilvl w:val="0"/>
          <w:numId w:val="170"/>
        </w:numPr>
        <w:spacing w:after="5" w:line="250" w:lineRule="auto"/>
        <w:ind w:hanging="193"/>
        <w:jc w:val="both"/>
      </w:pPr>
      <w:r>
        <w:rPr>
          <w:rFonts w:ascii="Arial" w:eastAsia="Arial" w:hAnsi="Arial" w:cs="Arial"/>
          <w:sz w:val="18"/>
        </w:rPr>
        <w:t>Il consiglio di presidenza dura in carica per quattro anni.</w:t>
      </w:r>
    </w:p>
    <w:p w14:paraId="6D2C4597" w14:textId="77777777" w:rsidR="00B32EF2" w:rsidRDefault="00000000">
      <w:pPr>
        <w:numPr>
          <w:ilvl w:val="0"/>
          <w:numId w:val="170"/>
        </w:numPr>
        <w:spacing w:after="173" w:line="250" w:lineRule="auto"/>
        <w:ind w:hanging="193"/>
        <w:jc w:val="both"/>
      </w:pPr>
      <w:r>
        <w:rPr>
          <w:rFonts w:ascii="Arial" w:eastAsia="Arial" w:hAnsi="Arial" w:cs="Arial"/>
          <w:sz w:val="18"/>
        </w:rPr>
        <w:t xml:space="preserve">I componenti del consiglio di presidenza, che nel corso del </w:t>
      </w:r>
      <w:proofErr w:type="spellStart"/>
      <w:r>
        <w:rPr>
          <w:rFonts w:ascii="Arial" w:eastAsia="Arial" w:hAnsi="Arial" w:cs="Arial"/>
          <w:sz w:val="18"/>
        </w:rPr>
        <w:t>quadrienniocessano</w:t>
      </w:r>
      <w:proofErr w:type="spellEnd"/>
      <w:r>
        <w:rPr>
          <w:rFonts w:ascii="Arial" w:eastAsia="Arial" w:hAnsi="Arial" w:cs="Arial"/>
          <w:sz w:val="18"/>
        </w:rPr>
        <w:t xml:space="preserve"> per qualsiasi causa di farne parte o, se eletti in qualità di giudice, conseguono  la  nomina a presidente, sono sostituiti per il restante  periodo dal primo dei non eletti di corrispondente qualifica.</w:t>
      </w:r>
    </w:p>
    <w:p w14:paraId="56769C8D" w14:textId="77777777" w:rsidR="00B32EF2" w:rsidRDefault="00000000">
      <w:pPr>
        <w:spacing w:after="4" w:line="269" w:lineRule="auto"/>
        <w:ind w:left="10" w:right="2" w:hanging="10"/>
        <w:jc w:val="center"/>
      </w:pPr>
      <w:r>
        <w:rPr>
          <w:rFonts w:ascii="Arial" w:eastAsia="Arial" w:hAnsi="Arial" w:cs="Arial"/>
          <w:b/>
          <w:sz w:val="18"/>
        </w:rPr>
        <w:t>Articolo 19</w:t>
      </w:r>
    </w:p>
    <w:p w14:paraId="1F60C03D" w14:textId="77777777" w:rsidR="00B32EF2" w:rsidRDefault="00000000">
      <w:pPr>
        <w:spacing w:after="0" w:line="261" w:lineRule="auto"/>
        <w:ind w:left="12" w:right="4" w:hanging="10"/>
        <w:jc w:val="center"/>
      </w:pPr>
      <w:r>
        <w:rPr>
          <w:rFonts w:ascii="Arial" w:eastAsia="Arial" w:hAnsi="Arial" w:cs="Arial"/>
          <w:b/>
          <w:sz w:val="18"/>
        </w:rPr>
        <w:t>Il presidente</w:t>
      </w:r>
    </w:p>
    <w:p w14:paraId="5DBBB708" w14:textId="77777777" w:rsidR="00B32EF2" w:rsidRDefault="00000000">
      <w:pPr>
        <w:spacing w:after="0"/>
      </w:pPr>
      <w:r>
        <w:rPr>
          <w:rFonts w:ascii="Arial" w:eastAsia="Arial" w:hAnsi="Arial" w:cs="Arial"/>
          <w:i/>
          <w:sz w:val="18"/>
        </w:rPr>
        <w:t>Soppresso da: Legge del 21/11/2000 n. 342 Articolo 85</w:t>
      </w:r>
    </w:p>
    <w:p w14:paraId="056983B4" w14:textId="77777777" w:rsidR="00B32EF2" w:rsidRDefault="00000000">
      <w:pPr>
        <w:spacing w:after="173" w:line="250" w:lineRule="auto"/>
        <w:ind w:left="-4" w:hanging="10"/>
        <w:jc w:val="both"/>
      </w:pPr>
      <w:r>
        <w:rPr>
          <w:rFonts w:ascii="Arial" w:eastAsia="Arial" w:hAnsi="Arial" w:cs="Arial"/>
          <w:sz w:val="18"/>
        </w:rPr>
        <w:t>1. Il presidente del consiglio di presidenza è eletto dai suoi componenti fra i presidenti di commissione o di sezione che ne fanno parte. 2. Il presidente, in caso di assenza o impedimento, è sostituito dal componente del consiglio di presidenza con qualifica di presidente di commissione  o  di sezione che ha  riportato  più  voti  nella  nomina  a componente del consiglio di presidenza, o, a parità di voti, dal più anziano di età.</w:t>
      </w:r>
    </w:p>
    <w:p w14:paraId="3BEE430B" w14:textId="77777777" w:rsidR="00B32EF2" w:rsidRDefault="00000000">
      <w:pPr>
        <w:spacing w:after="0" w:line="261" w:lineRule="auto"/>
        <w:ind w:left="12" w:right="3" w:hanging="10"/>
        <w:jc w:val="center"/>
      </w:pPr>
      <w:r>
        <w:rPr>
          <w:rFonts w:ascii="Arial" w:eastAsia="Arial" w:hAnsi="Arial" w:cs="Arial"/>
          <w:b/>
          <w:sz w:val="18"/>
        </w:rPr>
        <w:t>Articolo 20</w:t>
      </w:r>
    </w:p>
    <w:p w14:paraId="3E8ECEBE" w14:textId="77777777" w:rsidR="00B32EF2" w:rsidRDefault="00000000">
      <w:pPr>
        <w:spacing w:after="3" w:line="251" w:lineRule="auto"/>
        <w:ind w:left="2320" w:right="2311" w:hanging="10"/>
        <w:jc w:val="center"/>
      </w:pPr>
      <w:r>
        <w:rPr>
          <w:rFonts w:ascii="Arial" w:eastAsia="Arial" w:hAnsi="Arial" w:cs="Arial"/>
          <w:i/>
          <w:sz w:val="18"/>
        </w:rPr>
        <w:t xml:space="preserve">(articolo 26 TUGT) </w:t>
      </w:r>
      <w:r>
        <w:rPr>
          <w:rFonts w:ascii="Arial" w:eastAsia="Arial" w:hAnsi="Arial" w:cs="Arial"/>
          <w:b/>
          <w:sz w:val="18"/>
        </w:rPr>
        <w:t xml:space="preserve">Ineleggibilità </w:t>
      </w:r>
    </w:p>
    <w:p w14:paraId="079E2F63" w14:textId="77777777" w:rsidR="00B32EF2" w:rsidRDefault="00000000">
      <w:pPr>
        <w:numPr>
          <w:ilvl w:val="0"/>
          <w:numId w:val="171"/>
        </w:numPr>
        <w:spacing w:after="3" w:line="252" w:lineRule="auto"/>
        <w:ind w:hanging="10"/>
      </w:pPr>
      <w:r>
        <w:rPr>
          <w:rFonts w:ascii="Arial" w:eastAsia="Arial" w:hAnsi="Arial" w:cs="Arial"/>
          <w:sz w:val="18"/>
        </w:rPr>
        <w:t xml:space="preserve">Non possono essere eletti al consiglio di presidenza, e sono altresì </w:t>
      </w:r>
      <w:proofErr w:type="spellStart"/>
      <w:r>
        <w:rPr>
          <w:rFonts w:ascii="Arial" w:eastAsia="Arial" w:hAnsi="Arial" w:cs="Arial"/>
          <w:sz w:val="18"/>
        </w:rPr>
        <w:t>esclusidal</w:t>
      </w:r>
      <w:proofErr w:type="spellEnd"/>
      <w:r>
        <w:rPr>
          <w:rFonts w:ascii="Arial" w:eastAsia="Arial" w:hAnsi="Arial" w:cs="Arial"/>
          <w:sz w:val="18"/>
        </w:rPr>
        <w:t xml:space="preserve"> voto, i componenti delle corti di giustizia tributaria di primo e secondo grado sottoposti, a seguito di giudizio disciplinare, ad una sanzione più grave dell’ammonimento.</w:t>
      </w:r>
    </w:p>
    <w:p w14:paraId="5A8C8CB4" w14:textId="77777777" w:rsidR="00B32EF2" w:rsidRDefault="00000000">
      <w:pPr>
        <w:numPr>
          <w:ilvl w:val="0"/>
          <w:numId w:val="171"/>
        </w:numPr>
        <w:spacing w:after="172" w:line="252" w:lineRule="auto"/>
        <w:ind w:hanging="10"/>
      </w:pPr>
      <w:r>
        <w:rPr>
          <w:rFonts w:ascii="Arial" w:eastAsia="Arial" w:hAnsi="Arial" w:cs="Arial"/>
          <w:sz w:val="18"/>
        </w:rPr>
        <w:t>Il componente di corte di giustizia tributaria di primo e secondo grado sottoposto alla sanzione della censura è eleggibile dopo tre anni dalla data del relativo provvedimento, se non gli è stata applicata altra sanzione disciplinare.</w:t>
      </w:r>
    </w:p>
    <w:p w14:paraId="5CFEC7E1" w14:textId="77777777" w:rsidR="00B32EF2" w:rsidRDefault="00000000">
      <w:pPr>
        <w:spacing w:after="0" w:line="261" w:lineRule="auto"/>
        <w:ind w:left="12" w:right="3" w:hanging="10"/>
        <w:jc w:val="center"/>
      </w:pPr>
      <w:r>
        <w:rPr>
          <w:rFonts w:ascii="Arial" w:eastAsia="Arial" w:hAnsi="Arial" w:cs="Arial"/>
          <w:b/>
          <w:sz w:val="18"/>
        </w:rPr>
        <w:t>Articolo 21</w:t>
      </w:r>
    </w:p>
    <w:p w14:paraId="3546F18F" w14:textId="77777777" w:rsidR="00B32EF2" w:rsidRDefault="00000000">
      <w:pPr>
        <w:spacing w:after="3" w:line="251" w:lineRule="auto"/>
        <w:ind w:left="2320" w:right="2311" w:hanging="10"/>
        <w:jc w:val="center"/>
      </w:pPr>
      <w:r>
        <w:rPr>
          <w:rFonts w:ascii="Arial" w:eastAsia="Arial" w:hAnsi="Arial" w:cs="Arial"/>
          <w:i/>
          <w:sz w:val="18"/>
        </w:rPr>
        <w:t>(articolo 27 TUGT)</w:t>
      </w:r>
    </w:p>
    <w:p w14:paraId="7DADC739" w14:textId="77777777" w:rsidR="00B32EF2" w:rsidRDefault="00000000">
      <w:pPr>
        <w:spacing w:after="0" w:line="261" w:lineRule="auto"/>
        <w:ind w:left="12" w:right="3" w:hanging="10"/>
        <w:jc w:val="center"/>
      </w:pPr>
      <w:r>
        <w:rPr>
          <w:rFonts w:ascii="Arial" w:eastAsia="Arial" w:hAnsi="Arial" w:cs="Arial"/>
          <w:b/>
          <w:sz w:val="18"/>
        </w:rPr>
        <w:lastRenderedPageBreak/>
        <w:t xml:space="preserve">Elezione del consiglio di presidenza </w:t>
      </w:r>
    </w:p>
    <w:p w14:paraId="0EC0D277" w14:textId="77777777" w:rsidR="00B32EF2" w:rsidRDefault="00000000">
      <w:pPr>
        <w:numPr>
          <w:ilvl w:val="0"/>
          <w:numId w:val="172"/>
        </w:numPr>
        <w:spacing w:after="5" w:line="250" w:lineRule="auto"/>
        <w:ind w:hanging="10"/>
        <w:jc w:val="both"/>
      </w:pPr>
      <w:r>
        <w:rPr>
          <w:rFonts w:ascii="Arial" w:eastAsia="Arial" w:hAnsi="Arial" w:cs="Arial"/>
          <w:sz w:val="18"/>
        </w:rPr>
        <w:t xml:space="preserve">Le elezioni del Consiglio di presidenza della giustizia tributaria hanno </w:t>
      </w:r>
      <w:proofErr w:type="spellStart"/>
      <w:r>
        <w:rPr>
          <w:rFonts w:ascii="Arial" w:eastAsia="Arial" w:hAnsi="Arial" w:cs="Arial"/>
          <w:sz w:val="18"/>
        </w:rPr>
        <w:t>luogoentro</w:t>
      </w:r>
      <w:proofErr w:type="spellEnd"/>
      <w:r>
        <w:rPr>
          <w:rFonts w:ascii="Arial" w:eastAsia="Arial" w:hAnsi="Arial" w:cs="Arial"/>
          <w:sz w:val="18"/>
        </w:rPr>
        <w:t xml:space="preserve"> quattro mesi dallo scadere del precedente Consiglio. Esse sono indette con provvedimento del Presidente del Consiglio di presidenza, da pubblicare nella Gazzetta Ufficiale della Repubblica Italiana almeno quarantacinque giorni prima della data stabilita per le elezioni. Esse si svolgono in un giorno festivo dalle ore 9 alle ore 21.</w:t>
      </w:r>
    </w:p>
    <w:p w14:paraId="1656E358" w14:textId="77777777" w:rsidR="00B32EF2" w:rsidRDefault="00000000">
      <w:pPr>
        <w:numPr>
          <w:ilvl w:val="0"/>
          <w:numId w:val="172"/>
        </w:numPr>
        <w:spacing w:after="5" w:line="250" w:lineRule="auto"/>
        <w:ind w:hanging="10"/>
        <w:jc w:val="both"/>
      </w:pPr>
      <w:r>
        <w:rPr>
          <w:rFonts w:ascii="Arial" w:eastAsia="Arial" w:hAnsi="Arial" w:cs="Arial"/>
          <w:sz w:val="18"/>
        </w:rPr>
        <w:t>Il Presidente del Consiglio di presidenza nomina, con propria delibera, l’ufficio centrale elettorale, che si insedia presso lo stesso Consiglio di presidenza, ed è costituito da un presidente di corte di giustizia tributaria di primo e secondo grado, che lo presiede, e da due giudici tributari. Con la stessa delibera sono nominati, altresì, i tre giudici supplenti, che sostituiscono i componenti effettivi in caso di loro assenza o impedimento.</w:t>
      </w:r>
    </w:p>
    <w:p w14:paraId="1E5C5EB8" w14:textId="77777777" w:rsidR="00B32EF2" w:rsidRDefault="00000000">
      <w:pPr>
        <w:spacing w:after="5" w:line="250" w:lineRule="auto"/>
        <w:ind w:left="-4" w:hanging="10"/>
        <w:jc w:val="both"/>
      </w:pPr>
      <w:r>
        <w:rPr>
          <w:rFonts w:ascii="Arial" w:eastAsia="Arial" w:hAnsi="Arial" w:cs="Arial"/>
          <w:sz w:val="18"/>
        </w:rPr>
        <w:t>2-bis. Le candidature devono essere presentate all’ufficio centrale elettorale, a mezzo plico raccomandato, almeno venticinque giorni prima delle elezioni mediante compilazione della apposita scheda di presentazione. Ciascun candidato è presentato da non meno di venti e da non oltre trenta giudici tributari. Le firme di presentazione possono essere apposte e depositate anche su più schede di presentazione, se i candidati raccolgono firme di presentazione in Commissioni diverse da quella di appartenenza.</w:t>
      </w:r>
    </w:p>
    <w:p w14:paraId="58AA71B7" w14:textId="77777777" w:rsidR="00B32EF2" w:rsidRDefault="00000000">
      <w:pPr>
        <w:spacing w:after="5" w:line="250" w:lineRule="auto"/>
        <w:ind w:left="-4" w:hanging="10"/>
        <w:jc w:val="both"/>
      </w:pPr>
      <w:r>
        <w:rPr>
          <w:rFonts w:ascii="Arial" w:eastAsia="Arial" w:hAnsi="Arial" w:cs="Arial"/>
          <w:sz w:val="18"/>
        </w:rPr>
        <w:t xml:space="preserve">2-ter. Nessuno può presentare più di un candidato </w:t>
      </w:r>
      <w:proofErr w:type="spellStart"/>
      <w:r>
        <w:rPr>
          <w:rFonts w:ascii="Arial" w:eastAsia="Arial" w:hAnsi="Arial" w:cs="Arial"/>
          <w:sz w:val="18"/>
        </w:rPr>
        <w:t>nè</w:t>
      </w:r>
      <w:proofErr w:type="spellEnd"/>
      <w:r>
        <w:rPr>
          <w:rFonts w:ascii="Arial" w:eastAsia="Arial" w:hAnsi="Arial" w:cs="Arial"/>
          <w:sz w:val="18"/>
        </w:rPr>
        <w:t xml:space="preserve"> essere, contemporaneamente, candidato e presentatore di se stesso. L’inosservanza delle disposizioni del presente comma determina la nullità di ogni firma di presentazione proposta dal medesimo soggetto.</w:t>
      </w:r>
    </w:p>
    <w:p w14:paraId="1DD94E27" w14:textId="77777777" w:rsidR="00B32EF2" w:rsidRDefault="00000000">
      <w:pPr>
        <w:spacing w:after="5" w:line="250" w:lineRule="auto"/>
        <w:ind w:left="-4" w:hanging="10"/>
        <w:jc w:val="both"/>
      </w:pPr>
      <w:r>
        <w:rPr>
          <w:rFonts w:ascii="Arial" w:eastAsia="Arial" w:hAnsi="Arial" w:cs="Arial"/>
          <w:sz w:val="18"/>
        </w:rPr>
        <w:t>2-quater. Nei dieci giorni successivi alla scadenza del termine di cui al comma 3, l’ufficio elettorale centrale accerta che nei confronti del candidato non sussistono le cause di ineleggibilità di cui all’articolo 20. Lo stesso Ufficio verifica, altresì, il rispetto delle disposizioni di cui ai commi 3 e 4, esclude, con provvedimento motivato, le candidature non presentate dal prescritto numero di presentatori ovvero quelle dei candidati ineleggibili, e trasmette immediatamente le candidature ammesse al Consiglio di presidenza della giustizia tributaria. L’elenco dei candidati è pubblicato sul sito istituzionale del Consiglio ed inviato dallo stesso per posta elettronica a tutti i componenti delle corti di giustizia tributaria di primo e secondo grado. Detto elenco è altresì affisso, a cura dei Presidenti di commissione, presso ciascuna corte di giustizia tributaria di primo e secondo grado.</w:t>
      </w:r>
    </w:p>
    <w:p w14:paraId="3497EB63" w14:textId="77777777" w:rsidR="00B32EF2" w:rsidRDefault="00000000">
      <w:pPr>
        <w:spacing w:after="5" w:line="250" w:lineRule="auto"/>
        <w:ind w:left="-4" w:hanging="10"/>
        <w:jc w:val="both"/>
      </w:pPr>
      <w:r>
        <w:rPr>
          <w:rFonts w:ascii="Arial" w:eastAsia="Arial" w:hAnsi="Arial" w:cs="Arial"/>
          <w:sz w:val="18"/>
        </w:rPr>
        <w:t xml:space="preserve">2-quinquies. Le operazioni elettorali si svolgono presso le sedi delle corti di giustizia tributaria di primo e secondo grado e presso ciascuna di queste sedi è istituito l’ufficio elettorale locale, che assicura l’espletamento delle operazioni di voto, composto dal presidente della commissione o da un suo delegato, che lo presiede, e da due giudici tributari, nominati dal presidente delle rispettive commissioni almeno venti giorni prima della data fissata per le elezioni. Sono nominati altresì tre supplenti, i quali sostituiscono i componenti effettivi in caso </w:t>
      </w:r>
      <w:r>
        <w:rPr>
          <w:rFonts w:ascii="Arial" w:eastAsia="Arial" w:hAnsi="Arial" w:cs="Arial"/>
          <w:sz w:val="18"/>
        </w:rPr>
        <w:lastRenderedPageBreak/>
        <w:t>di loro assenza o impedimento. Non possono far parte degli Uffici elettorali giudici tributari che abbiano riportato sanzioni disciplinari più gravi dell’ammonimento.</w:t>
      </w:r>
    </w:p>
    <w:p w14:paraId="432DF7CD" w14:textId="77777777" w:rsidR="00B32EF2" w:rsidRDefault="00000000">
      <w:pPr>
        <w:spacing w:after="5" w:line="250" w:lineRule="auto"/>
        <w:ind w:left="-4" w:hanging="10"/>
        <w:jc w:val="both"/>
      </w:pPr>
      <w:r>
        <w:rPr>
          <w:rFonts w:ascii="Arial" w:eastAsia="Arial" w:hAnsi="Arial" w:cs="Arial"/>
          <w:sz w:val="18"/>
        </w:rPr>
        <w:t>2-sexies. Gli uffici elettorali locali presiedono alle operazioni di voto che si svolgono presso di esse e provvedono allo scrutinio di tutte le schede elettorali, previa apertura delle urne e conteggio delle schede, determinando il totale dei voti validi e il totale delle preferenze per ciascun candidato. Le operazioni di scrutinio hanno inizio il giorno successivo a quello di voto e di esse, come pure delle contestazioni decise ai sensi dell’articolo 22, comma 4, si dà atto nel processo verbale.</w:t>
      </w:r>
    </w:p>
    <w:p w14:paraId="55884E36" w14:textId="77777777" w:rsidR="00B32EF2" w:rsidRDefault="00000000">
      <w:pPr>
        <w:spacing w:after="173" w:line="250" w:lineRule="auto"/>
        <w:ind w:left="-4" w:hanging="10"/>
        <w:jc w:val="both"/>
      </w:pPr>
      <w:r>
        <w:rPr>
          <w:rFonts w:ascii="Arial" w:eastAsia="Arial" w:hAnsi="Arial" w:cs="Arial"/>
          <w:sz w:val="18"/>
        </w:rPr>
        <w:t>2-septies. Con regolamento del Consiglio di Presidenza sono stabilite le disposizioni di attuazione del presente articolo.</w:t>
      </w:r>
    </w:p>
    <w:p w14:paraId="692D462E" w14:textId="77777777" w:rsidR="00B32EF2" w:rsidRDefault="00000000">
      <w:pPr>
        <w:spacing w:after="0" w:line="261" w:lineRule="auto"/>
        <w:ind w:left="12" w:right="3" w:hanging="10"/>
        <w:jc w:val="center"/>
      </w:pPr>
      <w:r>
        <w:rPr>
          <w:rFonts w:ascii="Arial" w:eastAsia="Arial" w:hAnsi="Arial" w:cs="Arial"/>
          <w:b/>
          <w:sz w:val="18"/>
        </w:rPr>
        <w:t>Articolo 22</w:t>
      </w:r>
    </w:p>
    <w:p w14:paraId="08EA4761" w14:textId="77777777" w:rsidR="00B32EF2" w:rsidRDefault="00000000">
      <w:pPr>
        <w:spacing w:after="3" w:line="251" w:lineRule="auto"/>
        <w:ind w:left="2320" w:right="2311" w:hanging="10"/>
        <w:jc w:val="center"/>
      </w:pPr>
      <w:r>
        <w:rPr>
          <w:rFonts w:ascii="Arial" w:eastAsia="Arial" w:hAnsi="Arial" w:cs="Arial"/>
          <w:i/>
          <w:sz w:val="18"/>
        </w:rPr>
        <w:t xml:space="preserve">(articolo 28 TUGT) </w:t>
      </w:r>
      <w:r>
        <w:rPr>
          <w:rFonts w:ascii="Arial" w:eastAsia="Arial" w:hAnsi="Arial" w:cs="Arial"/>
          <w:b/>
          <w:sz w:val="18"/>
        </w:rPr>
        <w:t xml:space="preserve">Votazioni </w:t>
      </w:r>
    </w:p>
    <w:p w14:paraId="1EC10099" w14:textId="77777777" w:rsidR="00B32EF2" w:rsidRDefault="00000000">
      <w:pPr>
        <w:numPr>
          <w:ilvl w:val="0"/>
          <w:numId w:val="173"/>
        </w:numPr>
        <w:spacing w:after="5" w:line="250" w:lineRule="auto"/>
        <w:ind w:hanging="10"/>
        <w:jc w:val="both"/>
      </w:pPr>
      <w:r>
        <w:rPr>
          <w:rFonts w:ascii="Arial" w:eastAsia="Arial" w:hAnsi="Arial" w:cs="Arial"/>
          <w:sz w:val="18"/>
        </w:rPr>
        <w:t>Ciascun elettore può esprimere il voto per non più di sei candidati. Le schede devono essere preventivamente controfirmate dai componenti dell’ufficio elettorale ed essere riconsegnate chiuse dall’elettore.</w:t>
      </w:r>
    </w:p>
    <w:p w14:paraId="6D40B570" w14:textId="77777777" w:rsidR="00B32EF2" w:rsidRDefault="00000000">
      <w:pPr>
        <w:numPr>
          <w:ilvl w:val="0"/>
          <w:numId w:val="173"/>
        </w:numPr>
        <w:spacing w:after="5" w:line="250" w:lineRule="auto"/>
        <w:ind w:hanging="10"/>
        <w:jc w:val="both"/>
      </w:pPr>
      <w:r>
        <w:rPr>
          <w:rFonts w:ascii="Arial" w:eastAsia="Arial" w:hAnsi="Arial" w:cs="Arial"/>
          <w:sz w:val="18"/>
        </w:rPr>
        <w:t xml:space="preserve">Il voto, personale, diretto e segreto, viene espresso presso la sede </w:t>
      </w:r>
      <w:proofErr w:type="spellStart"/>
      <w:r>
        <w:rPr>
          <w:rFonts w:ascii="Arial" w:eastAsia="Arial" w:hAnsi="Arial" w:cs="Arial"/>
          <w:sz w:val="18"/>
        </w:rPr>
        <w:t>dellacommissione</w:t>
      </w:r>
      <w:proofErr w:type="spellEnd"/>
      <w:r>
        <w:rPr>
          <w:rFonts w:ascii="Arial" w:eastAsia="Arial" w:hAnsi="Arial" w:cs="Arial"/>
          <w:sz w:val="18"/>
        </w:rPr>
        <w:t xml:space="preserve"> presso la quale è espletata la funzione giurisdizionale.</w:t>
      </w:r>
    </w:p>
    <w:p w14:paraId="667D6AF1" w14:textId="77777777" w:rsidR="00B32EF2" w:rsidRDefault="00000000">
      <w:pPr>
        <w:numPr>
          <w:ilvl w:val="0"/>
          <w:numId w:val="173"/>
        </w:numPr>
        <w:spacing w:after="5" w:line="250" w:lineRule="auto"/>
        <w:ind w:hanging="10"/>
        <w:jc w:val="both"/>
      </w:pPr>
      <w:r>
        <w:rPr>
          <w:rFonts w:ascii="Arial" w:eastAsia="Arial" w:hAnsi="Arial" w:cs="Arial"/>
          <w:sz w:val="18"/>
        </w:rPr>
        <w:t xml:space="preserve">Gli uffici elettorali locali presiedono alle operazioni di voto che si </w:t>
      </w:r>
      <w:proofErr w:type="spellStart"/>
      <w:r>
        <w:rPr>
          <w:rFonts w:ascii="Arial" w:eastAsia="Arial" w:hAnsi="Arial" w:cs="Arial"/>
          <w:sz w:val="18"/>
        </w:rPr>
        <w:t>svolgonopresso</w:t>
      </w:r>
      <w:proofErr w:type="spellEnd"/>
      <w:r>
        <w:rPr>
          <w:rFonts w:ascii="Arial" w:eastAsia="Arial" w:hAnsi="Arial" w:cs="Arial"/>
          <w:sz w:val="18"/>
        </w:rPr>
        <w:t xml:space="preserve"> di esse e provvedono allo scrutinio di tutte le schede elettorali, previa apertura delle urne e conteggio delle schede, determinando il totale dei voti validi e il totale delle preferenze per ciascun candidato. Le operazioni di scrutinio hanno inizio il giorno successivo a quello di voto e di esse, come pure delle contestazioni decise ai sensi del comma 4, si deve dare atto nel processo verbale delle operazioni.</w:t>
      </w:r>
    </w:p>
    <w:p w14:paraId="747C970F" w14:textId="77777777" w:rsidR="00B32EF2" w:rsidRDefault="00000000">
      <w:pPr>
        <w:numPr>
          <w:ilvl w:val="0"/>
          <w:numId w:val="173"/>
        </w:numPr>
        <w:spacing w:after="3" w:line="252" w:lineRule="auto"/>
        <w:ind w:hanging="10"/>
        <w:jc w:val="both"/>
      </w:pPr>
      <w:r>
        <w:rPr>
          <w:rFonts w:ascii="Arial" w:eastAsia="Arial" w:hAnsi="Arial" w:cs="Arial"/>
          <w:sz w:val="18"/>
        </w:rPr>
        <w:t xml:space="preserve">L’ufficio elettorale regionale decide a maggioranza sulle contestazioni </w:t>
      </w:r>
      <w:proofErr w:type="spellStart"/>
      <w:r>
        <w:rPr>
          <w:rFonts w:ascii="Arial" w:eastAsia="Arial" w:hAnsi="Arial" w:cs="Arial"/>
          <w:sz w:val="18"/>
        </w:rPr>
        <w:t>sortedurante</w:t>
      </w:r>
      <w:proofErr w:type="spellEnd"/>
      <w:r>
        <w:rPr>
          <w:rFonts w:ascii="Arial" w:eastAsia="Arial" w:hAnsi="Arial" w:cs="Arial"/>
          <w:sz w:val="18"/>
        </w:rPr>
        <w:t xml:space="preserve"> le operazioni di voto </w:t>
      </w:r>
      <w:proofErr w:type="spellStart"/>
      <w:r>
        <w:rPr>
          <w:rFonts w:ascii="Arial" w:eastAsia="Arial" w:hAnsi="Arial" w:cs="Arial"/>
          <w:sz w:val="18"/>
        </w:rPr>
        <w:t>nonchè</w:t>
      </w:r>
      <w:proofErr w:type="spellEnd"/>
      <w:r>
        <w:rPr>
          <w:rFonts w:ascii="Arial" w:eastAsia="Arial" w:hAnsi="Arial" w:cs="Arial"/>
          <w:sz w:val="18"/>
        </w:rPr>
        <w:t xml:space="preserve"> su quelle relative alla validità delle schede, dandone atto nel processo verbale delle operazioni.</w:t>
      </w:r>
    </w:p>
    <w:p w14:paraId="6ABC0FC9" w14:textId="77777777" w:rsidR="00B32EF2" w:rsidRDefault="00000000">
      <w:pPr>
        <w:numPr>
          <w:ilvl w:val="0"/>
          <w:numId w:val="173"/>
        </w:numPr>
        <w:spacing w:after="173" w:line="250" w:lineRule="auto"/>
        <w:ind w:hanging="10"/>
        <w:jc w:val="both"/>
      </w:pPr>
      <w:r>
        <w:rPr>
          <w:rFonts w:ascii="Arial" w:eastAsia="Arial" w:hAnsi="Arial" w:cs="Arial"/>
          <w:sz w:val="18"/>
        </w:rPr>
        <w:t>Al termine delle operazioni elettorali il verbale di scrutinio è trasmesso all’ufficio elettorale centrale che provvede alla proclamazione degli eletti.</w:t>
      </w:r>
    </w:p>
    <w:p w14:paraId="4BB67D3E" w14:textId="77777777" w:rsidR="00B32EF2" w:rsidRDefault="00000000">
      <w:pPr>
        <w:spacing w:after="0" w:line="261" w:lineRule="auto"/>
        <w:ind w:left="12" w:right="3" w:hanging="10"/>
        <w:jc w:val="center"/>
      </w:pPr>
      <w:r>
        <w:rPr>
          <w:rFonts w:ascii="Arial" w:eastAsia="Arial" w:hAnsi="Arial" w:cs="Arial"/>
          <w:b/>
          <w:sz w:val="18"/>
        </w:rPr>
        <w:t>Articolo 23</w:t>
      </w:r>
    </w:p>
    <w:p w14:paraId="32EF8A97" w14:textId="77777777" w:rsidR="00B32EF2" w:rsidRDefault="00000000">
      <w:pPr>
        <w:spacing w:after="3" w:line="251" w:lineRule="auto"/>
        <w:ind w:left="2320" w:right="2311" w:hanging="10"/>
        <w:jc w:val="center"/>
      </w:pPr>
      <w:r>
        <w:rPr>
          <w:rFonts w:ascii="Arial" w:eastAsia="Arial" w:hAnsi="Arial" w:cs="Arial"/>
          <w:i/>
          <w:sz w:val="18"/>
        </w:rPr>
        <w:t>(articolo 29 TUGT)</w:t>
      </w:r>
    </w:p>
    <w:p w14:paraId="2AA49F3E" w14:textId="77777777" w:rsidR="00B32EF2" w:rsidRDefault="00000000">
      <w:pPr>
        <w:spacing w:after="0" w:line="261" w:lineRule="auto"/>
        <w:ind w:left="12" w:right="3" w:hanging="10"/>
        <w:jc w:val="center"/>
      </w:pPr>
      <w:r>
        <w:rPr>
          <w:rFonts w:ascii="Arial" w:eastAsia="Arial" w:hAnsi="Arial" w:cs="Arial"/>
          <w:b/>
          <w:sz w:val="18"/>
        </w:rPr>
        <w:t xml:space="preserve">Proclamazione degli eletti. Reclami </w:t>
      </w:r>
    </w:p>
    <w:p w14:paraId="087DE5F1" w14:textId="77777777" w:rsidR="00B32EF2" w:rsidRDefault="00000000">
      <w:pPr>
        <w:numPr>
          <w:ilvl w:val="0"/>
          <w:numId w:val="174"/>
        </w:numPr>
        <w:spacing w:after="5" w:line="250" w:lineRule="auto"/>
        <w:ind w:hanging="10"/>
        <w:jc w:val="both"/>
      </w:pPr>
      <w:r>
        <w:rPr>
          <w:rFonts w:ascii="Arial" w:eastAsia="Arial" w:hAnsi="Arial" w:cs="Arial"/>
          <w:sz w:val="18"/>
        </w:rPr>
        <w:t>L’ufficio elettorale centrale proclama eletti coloro che, nell’ambito di ciascuna categoria di eleggibili, hanno riportato il maggior numero di voti. A parità di voti è eletto il più anziano di età. I nominativi degli eletti sono comunicati al Consiglio di Presidenza della giustizia tributaria e al Dipartimento delle finanze del Ministero dell’economia e delle finanze.</w:t>
      </w:r>
    </w:p>
    <w:p w14:paraId="60EB0EEA" w14:textId="77777777" w:rsidR="00B32EF2" w:rsidRDefault="00000000">
      <w:pPr>
        <w:numPr>
          <w:ilvl w:val="0"/>
          <w:numId w:val="174"/>
        </w:numPr>
        <w:spacing w:after="5" w:line="250" w:lineRule="auto"/>
        <w:ind w:hanging="10"/>
        <w:jc w:val="both"/>
      </w:pPr>
      <w:r>
        <w:rPr>
          <w:rFonts w:ascii="Arial" w:eastAsia="Arial" w:hAnsi="Arial" w:cs="Arial"/>
          <w:sz w:val="18"/>
        </w:rPr>
        <w:lastRenderedPageBreak/>
        <w:t xml:space="preserve">I reclami relativi alla eleggibilità e alle operazioni elettorali sono indirizzati </w:t>
      </w:r>
      <w:proofErr w:type="spellStart"/>
      <w:r>
        <w:rPr>
          <w:rFonts w:ascii="Arial" w:eastAsia="Arial" w:hAnsi="Arial" w:cs="Arial"/>
          <w:sz w:val="18"/>
        </w:rPr>
        <w:t>alconsiglio</w:t>
      </w:r>
      <w:proofErr w:type="spellEnd"/>
      <w:r>
        <w:rPr>
          <w:rFonts w:ascii="Arial" w:eastAsia="Arial" w:hAnsi="Arial" w:cs="Arial"/>
          <w:sz w:val="18"/>
        </w:rPr>
        <w:t xml:space="preserve"> di presidenza e debbono pervenire alla segreteria dello stesso entro il quindicesimo giorno successivo alla proclamazione dei risultati. Essi non hanno effetto sospensivo.</w:t>
      </w:r>
    </w:p>
    <w:p w14:paraId="34A801F9" w14:textId="77777777" w:rsidR="00B32EF2" w:rsidRDefault="00000000">
      <w:pPr>
        <w:numPr>
          <w:ilvl w:val="0"/>
          <w:numId w:val="174"/>
        </w:numPr>
        <w:spacing w:after="5" w:line="250" w:lineRule="auto"/>
        <w:ind w:hanging="10"/>
        <w:jc w:val="both"/>
      </w:pPr>
      <w:r>
        <w:rPr>
          <w:rFonts w:ascii="Arial" w:eastAsia="Arial" w:hAnsi="Arial" w:cs="Arial"/>
          <w:sz w:val="18"/>
        </w:rPr>
        <w:t>Il consiglio di presidenza decide sui reclami nella sua prima adunanza.3-bis. Nei quindici giorni successivi all’emanazione del decreto del Presidente della Repubblica, di cui all’articolo 17, comma 1, il Presidente in carica del Consiglio di presidenza della giustizia tributaria convoca per l’insediamento il Consiglio nella sua nuova composizione.</w:t>
      </w:r>
    </w:p>
    <w:p w14:paraId="2C607491" w14:textId="77777777" w:rsidR="00B32EF2" w:rsidRDefault="00000000">
      <w:pPr>
        <w:spacing w:after="173" w:line="250" w:lineRule="auto"/>
        <w:ind w:left="-4" w:hanging="10"/>
        <w:jc w:val="both"/>
      </w:pPr>
      <w:r>
        <w:rPr>
          <w:rFonts w:ascii="Arial" w:eastAsia="Arial" w:hAnsi="Arial" w:cs="Arial"/>
          <w:sz w:val="18"/>
        </w:rPr>
        <w:t>3-ter. Il Consiglio di Presidenza scade al termine del quadriennio e continua ad esercitare le proprie funzioni fino all’insediamento del nuovo Consiglio.</w:t>
      </w:r>
    </w:p>
    <w:p w14:paraId="0B64A09E" w14:textId="77777777" w:rsidR="00B32EF2" w:rsidRDefault="00000000">
      <w:pPr>
        <w:spacing w:after="0" w:line="261" w:lineRule="auto"/>
        <w:ind w:left="12" w:right="2" w:hanging="10"/>
        <w:jc w:val="center"/>
      </w:pPr>
      <w:r>
        <w:rPr>
          <w:rFonts w:ascii="Arial" w:eastAsia="Arial" w:hAnsi="Arial" w:cs="Arial"/>
          <w:b/>
          <w:sz w:val="18"/>
        </w:rPr>
        <w:t>Articolo 24</w:t>
      </w:r>
    </w:p>
    <w:p w14:paraId="2E727AE2" w14:textId="77777777" w:rsidR="00B32EF2" w:rsidRDefault="00000000">
      <w:pPr>
        <w:spacing w:after="3" w:line="251" w:lineRule="auto"/>
        <w:ind w:left="2320" w:right="2311" w:hanging="10"/>
        <w:jc w:val="center"/>
      </w:pPr>
      <w:r>
        <w:rPr>
          <w:rFonts w:ascii="Arial" w:eastAsia="Arial" w:hAnsi="Arial" w:cs="Arial"/>
          <w:i/>
          <w:sz w:val="18"/>
        </w:rPr>
        <w:t xml:space="preserve">(articolo 30 TUGT) </w:t>
      </w:r>
      <w:r>
        <w:rPr>
          <w:rFonts w:ascii="Arial" w:eastAsia="Arial" w:hAnsi="Arial" w:cs="Arial"/>
          <w:b/>
          <w:sz w:val="18"/>
        </w:rPr>
        <w:t xml:space="preserve">Attribuzioni </w:t>
      </w:r>
    </w:p>
    <w:p w14:paraId="78E0ED64" w14:textId="77777777" w:rsidR="00B32EF2" w:rsidRDefault="00000000">
      <w:pPr>
        <w:spacing w:after="5" w:line="250" w:lineRule="auto"/>
        <w:ind w:left="-4" w:hanging="10"/>
        <w:jc w:val="both"/>
      </w:pPr>
      <w:r>
        <w:rPr>
          <w:rFonts w:ascii="Arial" w:eastAsia="Arial" w:hAnsi="Arial" w:cs="Arial"/>
          <w:sz w:val="18"/>
        </w:rPr>
        <w:t>1. Il consiglio di presidenza:</w:t>
      </w:r>
    </w:p>
    <w:p w14:paraId="6800057E" w14:textId="77777777" w:rsidR="00B32EF2" w:rsidRDefault="00000000">
      <w:pPr>
        <w:numPr>
          <w:ilvl w:val="0"/>
          <w:numId w:val="175"/>
        </w:numPr>
        <w:spacing w:after="5" w:line="250" w:lineRule="auto"/>
        <w:ind w:hanging="201"/>
        <w:jc w:val="both"/>
      </w:pPr>
      <w:r>
        <w:rPr>
          <w:rFonts w:ascii="Arial" w:eastAsia="Arial" w:hAnsi="Arial" w:cs="Arial"/>
          <w:sz w:val="18"/>
        </w:rPr>
        <w:t xml:space="preserve">verifica i titoli di ammissione dei propri componenti e decide sui </w:t>
      </w:r>
      <w:proofErr w:type="spellStart"/>
      <w:r>
        <w:rPr>
          <w:rFonts w:ascii="Arial" w:eastAsia="Arial" w:hAnsi="Arial" w:cs="Arial"/>
          <w:sz w:val="18"/>
        </w:rPr>
        <w:t>reclamiattinenti</w:t>
      </w:r>
      <w:proofErr w:type="spellEnd"/>
      <w:r>
        <w:rPr>
          <w:rFonts w:ascii="Arial" w:eastAsia="Arial" w:hAnsi="Arial" w:cs="Arial"/>
          <w:sz w:val="18"/>
        </w:rPr>
        <w:t xml:space="preserve"> alle elezioni;</w:t>
      </w:r>
    </w:p>
    <w:p w14:paraId="63DFAFD4" w14:textId="77777777" w:rsidR="00B32EF2" w:rsidRDefault="00000000">
      <w:pPr>
        <w:numPr>
          <w:ilvl w:val="0"/>
          <w:numId w:val="175"/>
        </w:numPr>
        <w:spacing w:after="5" w:line="250" w:lineRule="auto"/>
        <w:ind w:hanging="201"/>
        <w:jc w:val="both"/>
      </w:pPr>
      <w:r>
        <w:rPr>
          <w:rFonts w:ascii="Arial" w:eastAsia="Arial" w:hAnsi="Arial" w:cs="Arial"/>
          <w:sz w:val="18"/>
        </w:rPr>
        <w:t>disciplina con regolamento interno il proprio funzionamento;</w:t>
      </w:r>
    </w:p>
    <w:p w14:paraId="176937ED" w14:textId="77777777" w:rsidR="00B32EF2" w:rsidRDefault="00000000">
      <w:pPr>
        <w:numPr>
          <w:ilvl w:val="0"/>
          <w:numId w:val="175"/>
        </w:numPr>
        <w:spacing w:after="5" w:line="250" w:lineRule="auto"/>
        <w:ind w:hanging="201"/>
        <w:jc w:val="both"/>
      </w:pPr>
      <w:r>
        <w:rPr>
          <w:rFonts w:ascii="Arial" w:eastAsia="Arial" w:hAnsi="Arial" w:cs="Arial"/>
          <w:sz w:val="18"/>
        </w:rPr>
        <w:t>delibera sulle nomine e su ogni altro provvedimento riguardante i componenti delle corti di giustizia tributaria di primo e secondo grado;</w:t>
      </w:r>
    </w:p>
    <w:p w14:paraId="3A9345C1" w14:textId="77777777" w:rsidR="00B32EF2" w:rsidRDefault="00000000">
      <w:pPr>
        <w:numPr>
          <w:ilvl w:val="0"/>
          <w:numId w:val="175"/>
        </w:numPr>
        <w:spacing w:after="5" w:line="250" w:lineRule="auto"/>
        <w:ind w:hanging="201"/>
        <w:jc w:val="both"/>
      </w:pPr>
      <w:r>
        <w:rPr>
          <w:rFonts w:ascii="Arial" w:eastAsia="Arial" w:hAnsi="Arial" w:cs="Arial"/>
          <w:sz w:val="18"/>
        </w:rPr>
        <w:t>formula al Ministro delle finanze proposte per l’adeguamento e l’ammodernamento delle strutture e dei servizi, sentiti i presidenti delle corti di giustizia tributaria di primo e secondo grado;</w:t>
      </w:r>
    </w:p>
    <w:p w14:paraId="3EE7E1F8" w14:textId="77777777" w:rsidR="00B32EF2" w:rsidRDefault="00000000">
      <w:pPr>
        <w:numPr>
          <w:ilvl w:val="0"/>
          <w:numId w:val="175"/>
        </w:numPr>
        <w:spacing w:after="5" w:line="250" w:lineRule="auto"/>
        <w:ind w:hanging="201"/>
        <w:jc w:val="both"/>
      </w:pPr>
      <w:r>
        <w:rPr>
          <w:rFonts w:ascii="Arial" w:eastAsia="Arial" w:hAnsi="Arial" w:cs="Arial"/>
          <w:sz w:val="18"/>
        </w:rPr>
        <w:t>predispone elementi per la redazione della relazione del Ministro delle finanze di cui all’art. 29, comma 2, anche in ordine alla produttività comparata delle commissioni;</w:t>
      </w:r>
    </w:p>
    <w:p w14:paraId="60D4AD4D" w14:textId="77777777" w:rsidR="00B32EF2" w:rsidRDefault="00000000">
      <w:pPr>
        <w:numPr>
          <w:ilvl w:val="0"/>
          <w:numId w:val="175"/>
        </w:numPr>
        <w:spacing w:after="5" w:line="250" w:lineRule="auto"/>
        <w:ind w:hanging="201"/>
        <w:jc w:val="both"/>
      </w:pPr>
      <w:r>
        <w:rPr>
          <w:rFonts w:ascii="Arial" w:eastAsia="Arial" w:hAnsi="Arial" w:cs="Arial"/>
          <w:sz w:val="18"/>
        </w:rPr>
        <w:t xml:space="preserve">stabilisce i criteri di massima per la formazione delle sezioni e dei </w:t>
      </w:r>
      <w:proofErr w:type="spellStart"/>
      <w:r>
        <w:rPr>
          <w:rFonts w:ascii="Arial" w:eastAsia="Arial" w:hAnsi="Arial" w:cs="Arial"/>
          <w:sz w:val="18"/>
        </w:rPr>
        <w:t>collegigiudicanti</w:t>
      </w:r>
      <w:proofErr w:type="spellEnd"/>
      <w:r>
        <w:rPr>
          <w:rFonts w:ascii="Arial" w:eastAsia="Arial" w:hAnsi="Arial" w:cs="Arial"/>
          <w:sz w:val="18"/>
        </w:rPr>
        <w:t>;</w:t>
      </w:r>
    </w:p>
    <w:p w14:paraId="5A094461" w14:textId="77777777" w:rsidR="00B32EF2" w:rsidRDefault="00000000">
      <w:pPr>
        <w:numPr>
          <w:ilvl w:val="0"/>
          <w:numId w:val="175"/>
        </w:numPr>
        <w:spacing w:after="5" w:line="250" w:lineRule="auto"/>
        <w:ind w:hanging="201"/>
        <w:jc w:val="both"/>
      </w:pPr>
      <w:r>
        <w:rPr>
          <w:rFonts w:ascii="Arial" w:eastAsia="Arial" w:hAnsi="Arial" w:cs="Arial"/>
          <w:sz w:val="18"/>
        </w:rPr>
        <w:t xml:space="preserve">stabilisce i criteri di massima per la ripartizione dei ricorsi nell’ambito </w:t>
      </w:r>
      <w:proofErr w:type="spellStart"/>
      <w:r>
        <w:rPr>
          <w:rFonts w:ascii="Arial" w:eastAsia="Arial" w:hAnsi="Arial" w:cs="Arial"/>
          <w:sz w:val="18"/>
        </w:rPr>
        <w:t>dellecorti</w:t>
      </w:r>
      <w:proofErr w:type="spellEnd"/>
      <w:r>
        <w:rPr>
          <w:rFonts w:ascii="Arial" w:eastAsia="Arial" w:hAnsi="Arial" w:cs="Arial"/>
          <w:sz w:val="18"/>
        </w:rPr>
        <w:t xml:space="preserve"> di giustizia tributaria di primo e secondo grado divise in sezioni;</w:t>
      </w:r>
    </w:p>
    <w:p w14:paraId="30911C2C" w14:textId="77777777" w:rsidR="00B32EF2" w:rsidRDefault="00000000">
      <w:pPr>
        <w:numPr>
          <w:ilvl w:val="0"/>
          <w:numId w:val="175"/>
        </w:numPr>
        <w:spacing w:after="5" w:line="250" w:lineRule="auto"/>
        <w:ind w:hanging="201"/>
        <w:jc w:val="both"/>
      </w:pPr>
      <w:r>
        <w:rPr>
          <w:rFonts w:ascii="Arial" w:eastAsia="Arial" w:hAnsi="Arial" w:cs="Arial"/>
          <w:sz w:val="18"/>
        </w:rPr>
        <w:t>assicura l’aggiornamento professionale dei giudici tributari attraverso l’organizzazione di corsi di formazione permanente, in sede centrale e decentrata;</w:t>
      </w:r>
    </w:p>
    <w:p w14:paraId="49F2A325" w14:textId="77777777" w:rsidR="00B32EF2" w:rsidRDefault="00000000">
      <w:pPr>
        <w:numPr>
          <w:ilvl w:val="0"/>
          <w:numId w:val="175"/>
        </w:numPr>
        <w:spacing w:after="5" w:line="250" w:lineRule="auto"/>
        <w:ind w:hanging="201"/>
        <w:jc w:val="both"/>
      </w:pPr>
      <w:r>
        <w:rPr>
          <w:rFonts w:ascii="Arial" w:eastAsia="Arial" w:hAnsi="Arial" w:cs="Arial"/>
          <w:sz w:val="18"/>
        </w:rPr>
        <w:t xml:space="preserve">esprime parere sugli schemi di regolamento e di convenzioni previsti </w:t>
      </w:r>
      <w:proofErr w:type="spellStart"/>
      <w:r>
        <w:rPr>
          <w:rFonts w:ascii="Arial" w:eastAsia="Arial" w:hAnsi="Arial" w:cs="Arial"/>
          <w:sz w:val="18"/>
        </w:rPr>
        <w:t>dalpresente</w:t>
      </w:r>
      <w:proofErr w:type="spellEnd"/>
      <w:r>
        <w:rPr>
          <w:rFonts w:ascii="Arial" w:eastAsia="Arial" w:hAnsi="Arial" w:cs="Arial"/>
          <w:sz w:val="18"/>
        </w:rPr>
        <w:t xml:space="preserve"> decreto o che comunque riguardano il funzionamento delle corti di giustizia tributaria di primo e secondo grado;</w:t>
      </w:r>
    </w:p>
    <w:p w14:paraId="7C699024" w14:textId="77777777" w:rsidR="00B32EF2" w:rsidRDefault="00000000">
      <w:pPr>
        <w:numPr>
          <w:ilvl w:val="0"/>
          <w:numId w:val="176"/>
        </w:numPr>
        <w:spacing w:after="5" w:line="250" w:lineRule="auto"/>
        <w:ind w:hanging="252"/>
        <w:jc w:val="both"/>
      </w:pPr>
      <w:r>
        <w:rPr>
          <w:rFonts w:ascii="Arial" w:eastAsia="Arial" w:hAnsi="Arial" w:cs="Arial"/>
          <w:sz w:val="18"/>
        </w:rPr>
        <w:t xml:space="preserve">esprime parere sulla ripartizione fra le corti di giustizia tributaria di primo </w:t>
      </w:r>
      <w:proofErr w:type="spellStart"/>
      <w:r>
        <w:rPr>
          <w:rFonts w:ascii="Arial" w:eastAsia="Arial" w:hAnsi="Arial" w:cs="Arial"/>
          <w:sz w:val="18"/>
        </w:rPr>
        <w:t>esecondo</w:t>
      </w:r>
      <w:proofErr w:type="spellEnd"/>
      <w:r>
        <w:rPr>
          <w:rFonts w:ascii="Arial" w:eastAsia="Arial" w:hAnsi="Arial" w:cs="Arial"/>
          <w:sz w:val="18"/>
        </w:rPr>
        <w:t xml:space="preserve"> grado dei fondi stanziati nel bilancio del Ministero delle finanze per le spese di loro funzionamento;</w:t>
      </w:r>
    </w:p>
    <w:p w14:paraId="78CB9CC7" w14:textId="77777777" w:rsidR="00B32EF2" w:rsidRDefault="00000000">
      <w:pPr>
        <w:numPr>
          <w:ilvl w:val="0"/>
          <w:numId w:val="176"/>
        </w:numPr>
        <w:spacing w:after="5" w:line="250" w:lineRule="auto"/>
        <w:ind w:hanging="252"/>
        <w:jc w:val="both"/>
      </w:pPr>
      <w:r>
        <w:rPr>
          <w:rFonts w:ascii="Arial" w:eastAsia="Arial" w:hAnsi="Arial" w:cs="Arial"/>
          <w:sz w:val="18"/>
        </w:rPr>
        <w:t>esprime parere sul decreto di cui all’articolo 13, comma 1;</w:t>
      </w:r>
    </w:p>
    <w:p w14:paraId="364A671E" w14:textId="77777777" w:rsidR="00B32EF2" w:rsidRDefault="00000000">
      <w:pPr>
        <w:spacing w:after="3" w:line="252" w:lineRule="auto"/>
        <w:ind w:left="-4" w:hanging="10"/>
      </w:pPr>
      <w:r>
        <w:rPr>
          <w:rFonts w:ascii="Arial" w:eastAsia="Arial" w:hAnsi="Arial" w:cs="Arial"/>
          <w:sz w:val="18"/>
        </w:rPr>
        <w:t xml:space="preserve">m-bis) dispone, in caso di necessità, l’applicazione di componenti presso altra corte di giustizia tributaria di primo e secondo grado o sezione staccata, </w:t>
      </w:r>
      <w:r>
        <w:rPr>
          <w:rFonts w:ascii="Arial" w:eastAsia="Arial" w:hAnsi="Arial" w:cs="Arial"/>
          <w:sz w:val="18"/>
        </w:rPr>
        <w:lastRenderedPageBreak/>
        <w:t>rientrante nello stesso ambito regionale, per la durata massima di un anno; n) delibera su ogni altra materia ad esso attribuita dalla legge.</w:t>
      </w:r>
    </w:p>
    <w:p w14:paraId="5F62C83B" w14:textId="77777777" w:rsidR="00B32EF2" w:rsidRDefault="00000000">
      <w:pPr>
        <w:spacing w:after="5" w:line="250" w:lineRule="auto"/>
        <w:ind w:left="-4" w:hanging="10"/>
        <w:jc w:val="both"/>
      </w:pPr>
      <w:r>
        <w:rPr>
          <w:rFonts w:ascii="Arial" w:eastAsia="Arial" w:hAnsi="Arial" w:cs="Arial"/>
          <w:sz w:val="18"/>
        </w:rPr>
        <w:t>2. Il consiglio di presidenza vigila sul funzionamento dell’attività giurisdizionale delle corti di giustizia tributaria di primo e secondo grado e può disporre ispezioni nei confronti del personale giudicante.</w:t>
      </w:r>
    </w:p>
    <w:p w14:paraId="6BA87392" w14:textId="77777777" w:rsidR="00B32EF2" w:rsidRDefault="00000000">
      <w:pPr>
        <w:spacing w:after="5" w:line="250" w:lineRule="auto"/>
        <w:ind w:left="-4" w:hanging="10"/>
        <w:jc w:val="both"/>
      </w:pPr>
      <w:r>
        <w:rPr>
          <w:rFonts w:ascii="Arial" w:eastAsia="Arial" w:hAnsi="Arial" w:cs="Arial"/>
          <w:sz w:val="18"/>
        </w:rPr>
        <w:t>2-bis. Al fine di garantire l’esercizio efficiente delle attribuzioni di cui al comma 2, presso il Consiglio di presidenza è istituito, con carattere di autonomia e indipendenza, l’Ufficio ispettivo, a cui sono assegnati sei magistrati o giudici tributari, tra i quali è nominato un direttore. L’Ufficio ispettivo può svolgere, col supporto della Direzione della giustizia tributaria del Dipartimento delle finanze, attività presso le corti di giustizia tributaria di primo e secondo grado, finalizzate alle verifiche di rispettiva competenza.</w:t>
      </w:r>
    </w:p>
    <w:p w14:paraId="386696B5" w14:textId="77777777" w:rsidR="00B32EF2" w:rsidRDefault="00000000">
      <w:pPr>
        <w:spacing w:after="173" w:line="250" w:lineRule="auto"/>
        <w:ind w:left="-4" w:hanging="10"/>
        <w:jc w:val="both"/>
      </w:pPr>
      <w:r>
        <w:rPr>
          <w:rFonts w:ascii="Arial" w:eastAsia="Arial" w:hAnsi="Arial" w:cs="Arial"/>
          <w:sz w:val="18"/>
        </w:rPr>
        <w:t>2-ter. I componenti dell’Ufficio ispettivo sono esonerati dall’esercizio delle funzioni giurisdizionali presso le corti di giustizia tributaria. Ai giudici tributari componenti dell’Ufficio è corrisposto un trattamento economico, sostitutivo di quello previsto dall’articolo 13, pari alla metà dell’ammontare più elevato corrisposto nello stesso periodo ai giudici tributari per l’incarico di presidente di corte di giustizia tributaria.</w:t>
      </w:r>
    </w:p>
    <w:p w14:paraId="52B08288" w14:textId="77777777" w:rsidR="00B32EF2" w:rsidRDefault="00000000">
      <w:pPr>
        <w:spacing w:after="0" w:line="261" w:lineRule="auto"/>
        <w:ind w:left="12" w:right="3" w:hanging="10"/>
        <w:jc w:val="center"/>
      </w:pPr>
      <w:r>
        <w:rPr>
          <w:rFonts w:ascii="Arial" w:eastAsia="Arial" w:hAnsi="Arial" w:cs="Arial"/>
          <w:b/>
          <w:sz w:val="18"/>
        </w:rPr>
        <w:t>Articolo 24 bis</w:t>
      </w:r>
    </w:p>
    <w:p w14:paraId="588C8102" w14:textId="77777777" w:rsidR="00B32EF2" w:rsidRDefault="00000000">
      <w:pPr>
        <w:spacing w:after="3" w:line="251" w:lineRule="auto"/>
        <w:ind w:left="2320" w:right="2311" w:hanging="10"/>
        <w:jc w:val="center"/>
      </w:pPr>
      <w:r>
        <w:rPr>
          <w:rFonts w:ascii="Arial" w:eastAsia="Arial" w:hAnsi="Arial" w:cs="Arial"/>
          <w:i/>
          <w:sz w:val="18"/>
        </w:rPr>
        <w:t>(articolo 31 TUGT)</w:t>
      </w:r>
    </w:p>
    <w:p w14:paraId="213E0F42" w14:textId="77777777" w:rsidR="00B32EF2" w:rsidRDefault="00000000">
      <w:pPr>
        <w:spacing w:after="4" w:line="269" w:lineRule="auto"/>
        <w:ind w:left="10" w:right="1" w:hanging="10"/>
        <w:jc w:val="center"/>
      </w:pPr>
      <w:r>
        <w:rPr>
          <w:rFonts w:ascii="Arial" w:eastAsia="Arial" w:hAnsi="Arial" w:cs="Arial"/>
          <w:b/>
          <w:sz w:val="18"/>
        </w:rPr>
        <w:t xml:space="preserve">Ufficio del massimario nazionale </w:t>
      </w:r>
    </w:p>
    <w:p w14:paraId="64DC0F2C" w14:textId="77777777" w:rsidR="00B32EF2" w:rsidRDefault="00000000">
      <w:pPr>
        <w:numPr>
          <w:ilvl w:val="0"/>
          <w:numId w:val="177"/>
        </w:numPr>
        <w:spacing w:after="5" w:line="250" w:lineRule="auto"/>
        <w:ind w:hanging="10"/>
        <w:jc w:val="both"/>
      </w:pPr>
      <w:r>
        <w:rPr>
          <w:rFonts w:ascii="Arial" w:eastAsia="Arial" w:hAnsi="Arial" w:cs="Arial"/>
          <w:sz w:val="18"/>
        </w:rPr>
        <w:t>E’ istituito presso il Consiglio di presidenza della giustizia tributaria l’</w:t>
      </w:r>
      <w:proofErr w:type="spellStart"/>
      <w:r>
        <w:rPr>
          <w:rFonts w:ascii="Arial" w:eastAsia="Arial" w:hAnsi="Arial" w:cs="Arial"/>
          <w:sz w:val="18"/>
        </w:rPr>
        <w:t>Ufficiodel</w:t>
      </w:r>
      <w:proofErr w:type="spellEnd"/>
      <w:r>
        <w:rPr>
          <w:rFonts w:ascii="Arial" w:eastAsia="Arial" w:hAnsi="Arial" w:cs="Arial"/>
          <w:sz w:val="18"/>
        </w:rPr>
        <w:t xml:space="preserve"> massimario nazionale, al quale sono assegnati un direttore, che ne è il responsabile, e quindici magistrati o giudici tributari.</w:t>
      </w:r>
    </w:p>
    <w:p w14:paraId="693EEDAA" w14:textId="77777777" w:rsidR="00B32EF2" w:rsidRDefault="00000000">
      <w:pPr>
        <w:numPr>
          <w:ilvl w:val="0"/>
          <w:numId w:val="177"/>
        </w:numPr>
        <w:spacing w:after="5" w:line="250" w:lineRule="auto"/>
        <w:ind w:hanging="10"/>
        <w:jc w:val="both"/>
      </w:pPr>
      <w:r>
        <w:rPr>
          <w:rFonts w:ascii="Arial" w:eastAsia="Arial" w:hAnsi="Arial" w:cs="Arial"/>
          <w:sz w:val="18"/>
        </w:rPr>
        <w:t xml:space="preserve">Il direttore, i magistrati e i giudici tributari assegnati all’Ufficio sono </w:t>
      </w:r>
      <w:proofErr w:type="spellStart"/>
      <w:r>
        <w:rPr>
          <w:rFonts w:ascii="Arial" w:eastAsia="Arial" w:hAnsi="Arial" w:cs="Arial"/>
          <w:sz w:val="18"/>
        </w:rPr>
        <w:t>nominaticon</w:t>
      </w:r>
      <w:proofErr w:type="spellEnd"/>
      <w:r>
        <w:rPr>
          <w:rFonts w:ascii="Arial" w:eastAsia="Arial" w:hAnsi="Arial" w:cs="Arial"/>
          <w:sz w:val="18"/>
        </w:rPr>
        <w:t xml:space="preserve"> delibera del Consiglio di presidenza tra i componenti delle corti di giustizia tributaria di primo e secondo grado. La nomina del direttore e dei componenti dell’ufficio è effettuata tra i candidati che hanno maturato non meno di sette anni di effettivo esercizio nelle funzioni giurisdizionali. L’incarico del direttore e dei componenti dell’Ufficio ha durata quinquennale e non è rinnovabile.</w:t>
      </w:r>
    </w:p>
    <w:p w14:paraId="2E307511" w14:textId="77777777" w:rsidR="00B32EF2" w:rsidRDefault="00000000">
      <w:pPr>
        <w:numPr>
          <w:ilvl w:val="0"/>
          <w:numId w:val="177"/>
        </w:numPr>
        <w:spacing w:after="5" w:line="250" w:lineRule="auto"/>
        <w:ind w:hanging="10"/>
        <w:jc w:val="both"/>
      </w:pPr>
      <w:r>
        <w:rPr>
          <w:rFonts w:ascii="Arial" w:eastAsia="Arial" w:hAnsi="Arial" w:cs="Arial"/>
          <w:sz w:val="18"/>
        </w:rPr>
        <w:t xml:space="preserve">L’Ufficio del massimario nazionale provvede a rilevare, classificare e </w:t>
      </w:r>
      <w:proofErr w:type="spellStart"/>
      <w:r>
        <w:rPr>
          <w:rFonts w:ascii="Arial" w:eastAsia="Arial" w:hAnsi="Arial" w:cs="Arial"/>
          <w:sz w:val="18"/>
        </w:rPr>
        <w:t>ordinarein</w:t>
      </w:r>
      <w:proofErr w:type="spellEnd"/>
      <w:r>
        <w:rPr>
          <w:rFonts w:ascii="Arial" w:eastAsia="Arial" w:hAnsi="Arial" w:cs="Arial"/>
          <w:sz w:val="18"/>
        </w:rPr>
        <w:t xml:space="preserve"> massime le decisioni delle corti di giustizia tributaria di secondo grado e le più significative tra quelle emesse dalle corti di giustizia tributaria di primo grado.</w:t>
      </w:r>
    </w:p>
    <w:p w14:paraId="1407CCA5" w14:textId="77777777" w:rsidR="00B32EF2" w:rsidRDefault="00000000">
      <w:pPr>
        <w:numPr>
          <w:ilvl w:val="0"/>
          <w:numId w:val="177"/>
        </w:numPr>
        <w:spacing w:after="5" w:line="250" w:lineRule="auto"/>
        <w:ind w:hanging="10"/>
        <w:jc w:val="both"/>
      </w:pPr>
      <w:r>
        <w:rPr>
          <w:rFonts w:ascii="Arial" w:eastAsia="Arial" w:hAnsi="Arial" w:cs="Arial"/>
          <w:sz w:val="18"/>
        </w:rPr>
        <w:t xml:space="preserve">Le massime delle decisioni di cui al comma 3 alimentano la banca dati </w:t>
      </w:r>
      <w:proofErr w:type="spellStart"/>
      <w:r>
        <w:rPr>
          <w:rFonts w:ascii="Arial" w:eastAsia="Arial" w:hAnsi="Arial" w:cs="Arial"/>
          <w:sz w:val="18"/>
        </w:rPr>
        <w:t>dellagiurisprudenza</w:t>
      </w:r>
      <w:proofErr w:type="spellEnd"/>
      <w:r>
        <w:rPr>
          <w:rFonts w:ascii="Arial" w:eastAsia="Arial" w:hAnsi="Arial" w:cs="Arial"/>
          <w:sz w:val="18"/>
        </w:rPr>
        <w:t xml:space="preserve"> tributaria di merito, gestita dal Ministero dell’economia e delle finanze.</w:t>
      </w:r>
    </w:p>
    <w:p w14:paraId="0A4283A7" w14:textId="77777777" w:rsidR="00B32EF2" w:rsidRDefault="00000000">
      <w:pPr>
        <w:numPr>
          <w:ilvl w:val="0"/>
          <w:numId w:val="177"/>
        </w:numPr>
        <w:spacing w:after="5" w:line="250" w:lineRule="auto"/>
        <w:ind w:hanging="10"/>
        <w:jc w:val="both"/>
      </w:pPr>
      <w:r>
        <w:rPr>
          <w:rFonts w:ascii="Arial" w:eastAsia="Arial" w:hAnsi="Arial" w:cs="Arial"/>
          <w:sz w:val="18"/>
        </w:rPr>
        <w:t>Mediante convenzione tra il Ministero dell’economia e delle finanze, il Consiglio di presidenza della giustizia tributaria e la Corte di cassazione sono stabilite le modalità per la consultazione della banca dati della giurisprudenza tributaria di merito da parte della Corte.</w:t>
      </w:r>
    </w:p>
    <w:p w14:paraId="34C14981" w14:textId="77777777" w:rsidR="00B32EF2" w:rsidRDefault="00000000">
      <w:pPr>
        <w:numPr>
          <w:ilvl w:val="0"/>
          <w:numId w:val="177"/>
        </w:numPr>
        <w:spacing w:after="5" w:line="250" w:lineRule="auto"/>
        <w:ind w:hanging="10"/>
        <w:jc w:val="both"/>
      </w:pPr>
      <w:r>
        <w:rPr>
          <w:rFonts w:ascii="Arial" w:eastAsia="Arial" w:hAnsi="Arial" w:cs="Arial"/>
          <w:sz w:val="18"/>
        </w:rPr>
        <w:lastRenderedPageBreak/>
        <w:t>L’Ufficio del massimario nazionale si avvale delle risorse previste nel contingente di cui all’articolo 32 e dei servizi informatici del sistema informativo della fiscalità del Ministero dell’economia e delle finanze.</w:t>
      </w:r>
    </w:p>
    <w:p w14:paraId="762D974D" w14:textId="77777777" w:rsidR="00B32EF2" w:rsidRDefault="00000000">
      <w:pPr>
        <w:numPr>
          <w:ilvl w:val="0"/>
          <w:numId w:val="177"/>
        </w:numPr>
        <w:spacing w:after="205" w:line="250" w:lineRule="auto"/>
        <w:ind w:hanging="10"/>
        <w:jc w:val="both"/>
      </w:pPr>
      <w:r>
        <w:rPr>
          <w:rFonts w:ascii="Arial" w:eastAsia="Arial" w:hAnsi="Arial" w:cs="Arial"/>
          <w:sz w:val="18"/>
        </w:rPr>
        <w:t>I componenti dell’Ufficio del massimario nazionale possono essere esonerati dall’esercizio delle funzioni giurisdizionali presso le corti di giustizia tributaria di primo e secondo grado. In caso di esonero, ai giudici tributari componenti dell’Ufficio è corrisposto un trattamento economico, sostitutivo di quello previsto dall’articolo 13, pari alla metà dell’ammontare più elevato corrisposto nello stesso periodo ai giudici tributari per l’incarico di presidente di corte di giustizia tributaria.</w:t>
      </w:r>
    </w:p>
    <w:p w14:paraId="4E126314" w14:textId="77777777" w:rsidR="00B32EF2" w:rsidRDefault="00000000">
      <w:pPr>
        <w:spacing w:after="0" w:line="261" w:lineRule="auto"/>
        <w:ind w:left="12" w:right="3" w:hanging="10"/>
        <w:jc w:val="center"/>
      </w:pPr>
      <w:r>
        <w:rPr>
          <w:rFonts w:ascii="Arial" w:eastAsia="Arial" w:hAnsi="Arial" w:cs="Arial"/>
          <w:b/>
          <w:sz w:val="18"/>
        </w:rPr>
        <w:t>Articolo 25</w:t>
      </w:r>
    </w:p>
    <w:p w14:paraId="326FC4B7" w14:textId="77777777" w:rsidR="00B32EF2" w:rsidRDefault="00000000">
      <w:pPr>
        <w:spacing w:after="3" w:line="251" w:lineRule="auto"/>
        <w:ind w:left="2320" w:right="2311" w:hanging="10"/>
        <w:jc w:val="center"/>
      </w:pPr>
      <w:r>
        <w:rPr>
          <w:rFonts w:ascii="Arial" w:eastAsia="Arial" w:hAnsi="Arial" w:cs="Arial"/>
          <w:i/>
          <w:sz w:val="18"/>
        </w:rPr>
        <w:t xml:space="preserve">(articolo 32 TUGT) </w:t>
      </w:r>
      <w:r>
        <w:rPr>
          <w:rFonts w:ascii="Arial" w:eastAsia="Arial" w:hAnsi="Arial" w:cs="Arial"/>
          <w:b/>
          <w:sz w:val="18"/>
        </w:rPr>
        <w:t xml:space="preserve">Convocazione </w:t>
      </w:r>
    </w:p>
    <w:p w14:paraId="04DA8124" w14:textId="77777777" w:rsidR="00B32EF2" w:rsidRDefault="00000000">
      <w:pPr>
        <w:spacing w:after="205" w:line="250" w:lineRule="auto"/>
        <w:ind w:left="-4" w:hanging="10"/>
        <w:jc w:val="both"/>
      </w:pPr>
      <w:r>
        <w:rPr>
          <w:rFonts w:ascii="Arial" w:eastAsia="Arial" w:hAnsi="Arial" w:cs="Arial"/>
          <w:sz w:val="18"/>
        </w:rPr>
        <w:t>1. Il consiglio di presidenza è convocato dal presidente o, in sua assenza, dal componente che lo sostituisce, di iniziativa propria o  su  richiesta  di almeno un terzo dei suoi componenti.</w:t>
      </w:r>
    </w:p>
    <w:p w14:paraId="4D9901B1" w14:textId="77777777" w:rsidR="00B32EF2" w:rsidRDefault="00000000">
      <w:pPr>
        <w:spacing w:after="0" w:line="261" w:lineRule="auto"/>
        <w:ind w:left="12" w:right="3" w:hanging="10"/>
        <w:jc w:val="center"/>
      </w:pPr>
      <w:r>
        <w:rPr>
          <w:rFonts w:ascii="Arial" w:eastAsia="Arial" w:hAnsi="Arial" w:cs="Arial"/>
          <w:b/>
          <w:sz w:val="18"/>
        </w:rPr>
        <w:t>Articolo 26</w:t>
      </w:r>
    </w:p>
    <w:p w14:paraId="01E2C550" w14:textId="77777777" w:rsidR="00B32EF2" w:rsidRDefault="00000000">
      <w:pPr>
        <w:spacing w:after="3" w:line="251" w:lineRule="auto"/>
        <w:ind w:left="2320" w:right="2311" w:hanging="10"/>
        <w:jc w:val="center"/>
      </w:pPr>
      <w:r>
        <w:rPr>
          <w:rFonts w:ascii="Arial" w:eastAsia="Arial" w:hAnsi="Arial" w:cs="Arial"/>
          <w:i/>
          <w:sz w:val="18"/>
        </w:rPr>
        <w:t xml:space="preserve">(articolo 33 TUGT) </w:t>
      </w:r>
      <w:r>
        <w:rPr>
          <w:rFonts w:ascii="Arial" w:eastAsia="Arial" w:hAnsi="Arial" w:cs="Arial"/>
          <w:b/>
          <w:sz w:val="18"/>
        </w:rPr>
        <w:t xml:space="preserve">Deliberazioni </w:t>
      </w:r>
    </w:p>
    <w:p w14:paraId="041B794A" w14:textId="77777777" w:rsidR="00C22059" w:rsidRDefault="00000000">
      <w:pPr>
        <w:spacing w:after="5" w:line="250" w:lineRule="auto"/>
        <w:ind w:left="-4" w:hanging="10"/>
        <w:jc w:val="both"/>
        <w:rPr>
          <w:rFonts w:ascii="Arial" w:eastAsia="Arial" w:hAnsi="Arial" w:cs="Arial"/>
          <w:sz w:val="18"/>
        </w:rPr>
      </w:pPr>
      <w:r>
        <w:rPr>
          <w:rFonts w:ascii="Arial" w:eastAsia="Arial" w:hAnsi="Arial" w:cs="Arial"/>
          <w:sz w:val="18"/>
        </w:rPr>
        <w:t xml:space="preserve">1. Il consiglio di presidenza delibera con la presenza di almeno quattro componenti. </w:t>
      </w:r>
    </w:p>
    <w:p w14:paraId="73B831A7" w14:textId="1DDEB6E7" w:rsidR="00B32EF2" w:rsidRDefault="00000000">
      <w:pPr>
        <w:spacing w:after="5" w:line="250" w:lineRule="auto"/>
        <w:ind w:left="-4" w:hanging="10"/>
        <w:jc w:val="both"/>
      </w:pPr>
      <w:r>
        <w:rPr>
          <w:rFonts w:ascii="Arial" w:eastAsia="Arial" w:hAnsi="Arial" w:cs="Arial"/>
          <w:sz w:val="18"/>
        </w:rPr>
        <w:t>2. Le deliberazioni sono adottate a maggioranza e a voto palese; in caso  di parità prevale il voto del presidente.</w:t>
      </w:r>
    </w:p>
    <w:p w14:paraId="7C55B839" w14:textId="77777777" w:rsidR="00B32EF2" w:rsidRDefault="00000000">
      <w:pPr>
        <w:spacing w:after="217" w:line="250" w:lineRule="auto"/>
        <w:ind w:left="-4" w:hanging="10"/>
        <w:jc w:val="both"/>
      </w:pPr>
      <w:r>
        <w:rPr>
          <w:rFonts w:ascii="Arial" w:eastAsia="Arial" w:hAnsi="Arial" w:cs="Arial"/>
          <w:sz w:val="18"/>
        </w:rPr>
        <w:t>3. Le deliberazioni sono adottate a scrutinio segreto, se riguardano persone o su richiesta di almeno due componenti presenti.</w:t>
      </w:r>
    </w:p>
    <w:p w14:paraId="7F894A7B" w14:textId="77777777" w:rsidR="00B32EF2" w:rsidRDefault="00000000">
      <w:pPr>
        <w:spacing w:after="0" w:line="261" w:lineRule="auto"/>
        <w:ind w:left="12" w:right="3" w:hanging="10"/>
        <w:jc w:val="center"/>
      </w:pPr>
      <w:r>
        <w:rPr>
          <w:rFonts w:ascii="Arial" w:eastAsia="Arial" w:hAnsi="Arial" w:cs="Arial"/>
          <w:b/>
          <w:sz w:val="18"/>
        </w:rPr>
        <w:t>Articolo 27</w:t>
      </w:r>
    </w:p>
    <w:p w14:paraId="50FB408D" w14:textId="77777777" w:rsidR="00B32EF2" w:rsidRDefault="00000000">
      <w:pPr>
        <w:spacing w:after="3" w:line="251" w:lineRule="auto"/>
        <w:ind w:left="2320" w:right="2311" w:hanging="10"/>
        <w:jc w:val="center"/>
      </w:pPr>
      <w:r>
        <w:rPr>
          <w:rFonts w:ascii="Arial" w:eastAsia="Arial" w:hAnsi="Arial" w:cs="Arial"/>
          <w:i/>
          <w:sz w:val="18"/>
        </w:rPr>
        <w:t>(articolo 34 TUGT)</w:t>
      </w:r>
    </w:p>
    <w:p w14:paraId="51E84267" w14:textId="251DE660" w:rsidR="00B32EF2" w:rsidRDefault="00000000">
      <w:pPr>
        <w:spacing w:after="0" w:line="261" w:lineRule="auto"/>
        <w:ind w:left="12" w:right="3" w:hanging="10"/>
        <w:jc w:val="center"/>
      </w:pPr>
      <w:r>
        <w:rPr>
          <w:rFonts w:ascii="Arial" w:eastAsia="Arial" w:hAnsi="Arial" w:cs="Arial"/>
          <w:b/>
          <w:sz w:val="18"/>
        </w:rPr>
        <w:t xml:space="preserve">Trattamento dei componenti del consiglio di presidenza </w:t>
      </w:r>
      <w:r w:rsidR="00C765E9">
        <w:rPr>
          <w:rFonts w:ascii="Arial" w:eastAsia="Arial" w:hAnsi="Arial" w:cs="Arial"/>
          <w:b/>
          <w:sz w:val="18"/>
        </w:rPr>
        <w:t>(1)</w:t>
      </w:r>
    </w:p>
    <w:p w14:paraId="069AEFDE" w14:textId="04484A3D" w:rsidR="00C22059" w:rsidRDefault="00C22059" w:rsidP="00C22059">
      <w:pPr>
        <w:spacing w:after="0" w:line="250" w:lineRule="auto"/>
        <w:jc w:val="both"/>
        <w:rPr>
          <w:rFonts w:ascii="Arial" w:eastAsia="Arial" w:hAnsi="Arial" w:cs="Arial"/>
          <w:sz w:val="18"/>
        </w:rPr>
      </w:pPr>
      <w:r w:rsidRPr="00C22059">
        <w:rPr>
          <w:rFonts w:ascii="Arial" w:eastAsia="Arial" w:hAnsi="Arial" w:cs="Arial"/>
          <w:sz w:val="18"/>
        </w:rPr>
        <w:t>1.</w:t>
      </w:r>
      <w:r>
        <w:rPr>
          <w:rFonts w:ascii="Arial" w:eastAsia="Arial" w:hAnsi="Arial" w:cs="Arial"/>
          <w:sz w:val="18"/>
        </w:rPr>
        <w:t xml:space="preserve"> </w:t>
      </w:r>
      <w:r w:rsidR="00000000" w:rsidRPr="00C22059">
        <w:rPr>
          <w:rFonts w:ascii="Arial" w:eastAsia="Arial" w:hAnsi="Arial" w:cs="Arial"/>
          <w:sz w:val="18"/>
        </w:rPr>
        <w:t>I componenti del consiglio di presidenza sono esonerati dalle funzioni proprie conservando la titolarità dell’ufficio ed il relativo trattamento economico ragguagliato, quanto alla parte variabile, a quella più elevata conferita nello stesso periodo ai presidenti di corte di giustizia tributaria di primo e secondo grado.</w:t>
      </w:r>
    </w:p>
    <w:p w14:paraId="147FA10E" w14:textId="77777777" w:rsidR="00C22059" w:rsidRPr="00C22059" w:rsidRDefault="00C22059" w:rsidP="00C22059">
      <w:pPr>
        <w:spacing w:after="0" w:line="250" w:lineRule="auto"/>
        <w:jc w:val="both"/>
        <w:rPr>
          <w:rFonts w:ascii="Arial" w:eastAsia="Arial" w:hAnsi="Arial" w:cs="Arial"/>
          <w:sz w:val="18"/>
        </w:rPr>
      </w:pPr>
      <w:r w:rsidRPr="00C22059">
        <w:rPr>
          <w:rFonts w:ascii="Arial" w:eastAsia="Arial" w:hAnsi="Arial" w:cs="Arial"/>
          <w:sz w:val="18"/>
        </w:rPr>
        <w:t xml:space="preserve">1-bis. Il trattamento economico dei componenti del consiglio di presidenza, anche se collocati in quiescenza, </w:t>
      </w:r>
      <w:proofErr w:type="spellStart"/>
      <w:r w:rsidRPr="00C22059">
        <w:rPr>
          <w:rFonts w:ascii="Arial" w:eastAsia="Arial" w:hAnsi="Arial" w:cs="Arial"/>
          <w:sz w:val="18"/>
        </w:rPr>
        <w:t>e'</w:t>
      </w:r>
      <w:proofErr w:type="spellEnd"/>
      <w:r w:rsidRPr="00C22059">
        <w:rPr>
          <w:rFonts w:ascii="Arial" w:eastAsia="Arial" w:hAnsi="Arial" w:cs="Arial"/>
          <w:sz w:val="18"/>
        </w:rPr>
        <w:t xml:space="preserve"> corrisposto:</w:t>
      </w:r>
    </w:p>
    <w:p w14:paraId="7F524C7B" w14:textId="77777777" w:rsidR="00C22059" w:rsidRPr="00C22059" w:rsidRDefault="00C22059" w:rsidP="00C22059">
      <w:pPr>
        <w:spacing w:after="0" w:line="250" w:lineRule="auto"/>
        <w:jc w:val="both"/>
        <w:rPr>
          <w:rFonts w:ascii="Arial" w:eastAsia="Arial" w:hAnsi="Arial" w:cs="Arial"/>
          <w:sz w:val="18"/>
        </w:rPr>
      </w:pPr>
      <w:r w:rsidRPr="00C22059">
        <w:rPr>
          <w:rFonts w:ascii="Arial" w:eastAsia="Arial" w:hAnsi="Arial" w:cs="Arial"/>
          <w:sz w:val="18"/>
        </w:rPr>
        <w:t>a) ai componenti eletti dai giudici tributari in misura pari all'importo previsto all'articolo 13, comma 3-ter;</w:t>
      </w:r>
    </w:p>
    <w:p w14:paraId="134D05F2" w14:textId="77777777" w:rsidR="00C22059" w:rsidRDefault="00C22059" w:rsidP="00C22059">
      <w:pPr>
        <w:spacing w:after="0" w:line="250" w:lineRule="auto"/>
        <w:jc w:val="both"/>
        <w:rPr>
          <w:rFonts w:ascii="Arial" w:eastAsia="Arial" w:hAnsi="Arial" w:cs="Arial"/>
          <w:sz w:val="18"/>
        </w:rPr>
      </w:pPr>
      <w:r w:rsidRPr="00C22059">
        <w:rPr>
          <w:rFonts w:ascii="Arial" w:eastAsia="Arial" w:hAnsi="Arial" w:cs="Arial"/>
          <w:sz w:val="18"/>
        </w:rPr>
        <w:t>b) ai componenti eletti dal Parlamento in misura pari all'importo dello stipendio del magistrato tributario dopo ventotto anni dalla nomina, individuato nella tabella F-bis, aumentato del 50 per cento per il presidente.</w:t>
      </w:r>
    </w:p>
    <w:p w14:paraId="20626DA1" w14:textId="348B1D11" w:rsidR="00C765E9" w:rsidRPr="00C22059" w:rsidRDefault="00C765E9" w:rsidP="00C22059">
      <w:pPr>
        <w:spacing w:after="0" w:line="250" w:lineRule="auto"/>
        <w:jc w:val="both"/>
        <w:rPr>
          <w:rFonts w:ascii="Arial" w:eastAsia="Arial" w:hAnsi="Arial" w:cs="Arial"/>
          <w:sz w:val="18"/>
        </w:rPr>
      </w:pPr>
      <w:r w:rsidRPr="00C765E9">
        <w:rPr>
          <w:rFonts w:ascii="Arial" w:eastAsia="Arial" w:hAnsi="Arial" w:cs="Arial"/>
          <w:sz w:val="18"/>
        </w:rPr>
        <w:lastRenderedPageBreak/>
        <w:t>1-ter. Resta fermo quanto previsto dall'articolo 1, comma 489, della legge 27 dicembre 2013, n. 147, e dagli articoli 14, comma 3, e 14.1, comma 3, del decreto-legge 28 gennaio 2019, n. 4, convertito, con modificazioni, dalla legge 28 marzo 2019, n. 26.</w:t>
      </w:r>
    </w:p>
    <w:p w14:paraId="564859CF" w14:textId="6B6ECCA7" w:rsidR="00B32EF2" w:rsidRPr="00C765E9" w:rsidRDefault="00C765E9" w:rsidP="00C765E9">
      <w:pPr>
        <w:spacing w:after="0" w:line="250" w:lineRule="auto"/>
        <w:ind w:left="-4" w:hanging="10"/>
        <w:jc w:val="both"/>
        <w:rPr>
          <w:rFonts w:ascii="Arial" w:eastAsia="Arial" w:hAnsi="Arial" w:cs="Arial"/>
          <w:sz w:val="18"/>
        </w:rPr>
      </w:pPr>
      <w:r w:rsidRPr="00C765E9">
        <w:rPr>
          <w:rFonts w:ascii="Arial" w:eastAsia="Arial" w:hAnsi="Arial" w:cs="Arial"/>
          <w:sz w:val="18"/>
        </w:rPr>
        <w:t>2.</w:t>
      </w:r>
      <w:r>
        <w:rPr>
          <w:rFonts w:ascii="Arial" w:eastAsia="Arial" w:hAnsi="Arial" w:cs="Arial"/>
          <w:sz w:val="18"/>
        </w:rPr>
        <w:t xml:space="preserve"> </w:t>
      </w:r>
      <w:r w:rsidR="00000000" w:rsidRPr="00C765E9">
        <w:rPr>
          <w:rFonts w:ascii="Arial" w:eastAsia="Arial" w:hAnsi="Arial" w:cs="Arial"/>
          <w:sz w:val="18"/>
        </w:rPr>
        <w:t>Ai componenti del consiglio di presidenza spetta, se con residenza fuori Roma, il trattamento di missione nella misura prevista per la qualifica rivestita e comunque non inferiore a quella prevista per il dirigente generale dello Stato, livello C.</w:t>
      </w:r>
    </w:p>
    <w:p w14:paraId="4BBED3E2" w14:textId="76ECBD34" w:rsidR="00C765E9" w:rsidRPr="00C765E9" w:rsidRDefault="00C765E9" w:rsidP="00C765E9">
      <w:pPr>
        <w:ind w:left="-4" w:hanging="10"/>
        <w:rPr>
          <w:rFonts w:ascii="Arial" w:hAnsi="Arial" w:cs="Arial"/>
          <w:sz w:val="16"/>
          <w:szCs w:val="16"/>
        </w:rPr>
      </w:pPr>
      <w:r w:rsidRPr="00C765E9">
        <w:rPr>
          <w:rFonts w:ascii="Arial" w:hAnsi="Arial" w:cs="Arial"/>
          <w:sz w:val="16"/>
          <w:szCs w:val="16"/>
        </w:rPr>
        <w:t xml:space="preserve">(1) </w:t>
      </w:r>
      <w:r w:rsidRPr="00C765E9">
        <w:rPr>
          <w:rFonts w:ascii="Arial" w:hAnsi="Arial" w:cs="Arial"/>
          <w:sz w:val="16"/>
          <w:szCs w:val="16"/>
        </w:rPr>
        <w:t>Modificato da: Legge del 30/12/2025 n. 199 Articolo 1-com149</w:t>
      </w:r>
      <w:r w:rsidRPr="00C765E9">
        <w:rPr>
          <w:rFonts w:ascii="Arial" w:hAnsi="Arial" w:cs="Arial"/>
          <w:sz w:val="16"/>
          <w:szCs w:val="16"/>
        </w:rPr>
        <w:t>; la legge è entrata in vigore il 01.01.2026.</w:t>
      </w:r>
    </w:p>
    <w:p w14:paraId="30AA45B9" w14:textId="77777777" w:rsidR="00B32EF2" w:rsidRDefault="00000000">
      <w:pPr>
        <w:spacing w:after="0" w:line="261" w:lineRule="auto"/>
        <w:ind w:left="12" w:right="3" w:hanging="10"/>
        <w:jc w:val="center"/>
      </w:pPr>
      <w:r>
        <w:rPr>
          <w:rFonts w:ascii="Arial" w:eastAsia="Arial" w:hAnsi="Arial" w:cs="Arial"/>
          <w:b/>
          <w:sz w:val="18"/>
        </w:rPr>
        <w:t>Articolo 28</w:t>
      </w:r>
    </w:p>
    <w:p w14:paraId="0F4196C9" w14:textId="77777777" w:rsidR="00B32EF2" w:rsidRDefault="00000000">
      <w:pPr>
        <w:spacing w:after="3" w:line="251" w:lineRule="auto"/>
        <w:ind w:left="2320" w:right="2311" w:hanging="10"/>
        <w:jc w:val="center"/>
      </w:pPr>
      <w:r>
        <w:rPr>
          <w:rFonts w:ascii="Arial" w:eastAsia="Arial" w:hAnsi="Arial" w:cs="Arial"/>
          <w:i/>
          <w:sz w:val="18"/>
        </w:rPr>
        <w:t>(articolo 35 TUGT)</w:t>
      </w:r>
    </w:p>
    <w:p w14:paraId="624268EC" w14:textId="77777777" w:rsidR="00B32EF2" w:rsidRDefault="00000000">
      <w:pPr>
        <w:spacing w:after="0" w:line="261" w:lineRule="auto"/>
        <w:ind w:left="12" w:right="3" w:hanging="10"/>
        <w:jc w:val="center"/>
      </w:pPr>
      <w:r>
        <w:rPr>
          <w:rFonts w:ascii="Arial" w:eastAsia="Arial" w:hAnsi="Arial" w:cs="Arial"/>
          <w:b/>
          <w:sz w:val="18"/>
        </w:rPr>
        <w:t xml:space="preserve">Scioglimento del consiglio di presidenza </w:t>
      </w:r>
    </w:p>
    <w:p w14:paraId="28BFFFA6" w14:textId="77777777" w:rsidR="00B32EF2" w:rsidRDefault="00000000">
      <w:pPr>
        <w:numPr>
          <w:ilvl w:val="0"/>
          <w:numId w:val="178"/>
        </w:numPr>
        <w:spacing w:after="5" w:line="250" w:lineRule="auto"/>
        <w:ind w:hanging="10"/>
        <w:jc w:val="both"/>
      </w:pPr>
      <w:r>
        <w:rPr>
          <w:rFonts w:ascii="Arial" w:eastAsia="Arial" w:hAnsi="Arial" w:cs="Arial"/>
          <w:sz w:val="18"/>
        </w:rPr>
        <w:t xml:space="preserve">Il  consiglio di presidenza, qualora ne sia impossibile il funzionamento, </w:t>
      </w:r>
      <w:proofErr w:type="spellStart"/>
      <w:r>
        <w:rPr>
          <w:rFonts w:ascii="Arial" w:eastAsia="Arial" w:hAnsi="Arial" w:cs="Arial"/>
          <w:sz w:val="18"/>
        </w:rPr>
        <w:t>èsciolto</w:t>
      </w:r>
      <w:proofErr w:type="spellEnd"/>
      <w:r>
        <w:rPr>
          <w:rFonts w:ascii="Arial" w:eastAsia="Arial" w:hAnsi="Arial" w:cs="Arial"/>
          <w:sz w:val="18"/>
        </w:rPr>
        <w:t xml:space="preserve"> con decreto del Presidente della Repubblica, su proposta del Ministro delle finanze, previa deliberazione del Consiglio dei Ministri.</w:t>
      </w:r>
    </w:p>
    <w:p w14:paraId="68BF5BF1" w14:textId="77777777" w:rsidR="00B32EF2" w:rsidRDefault="00000000">
      <w:pPr>
        <w:numPr>
          <w:ilvl w:val="0"/>
          <w:numId w:val="178"/>
        </w:numPr>
        <w:spacing w:after="217" w:line="250" w:lineRule="auto"/>
        <w:ind w:hanging="10"/>
        <w:jc w:val="both"/>
      </w:pPr>
      <w:r>
        <w:rPr>
          <w:rFonts w:ascii="Arial" w:eastAsia="Arial" w:hAnsi="Arial" w:cs="Arial"/>
          <w:sz w:val="18"/>
        </w:rPr>
        <w:t>Le  nuove   elezioni   sono   indette   entro  un  mese  dalla  data  di scioglimento ed hanno luogo entro il bimestre successivo.</w:t>
      </w:r>
    </w:p>
    <w:p w14:paraId="10372830" w14:textId="77777777" w:rsidR="00B32EF2" w:rsidRDefault="00000000">
      <w:pPr>
        <w:spacing w:after="4" w:line="269" w:lineRule="auto"/>
        <w:ind w:left="10" w:right="1" w:hanging="10"/>
        <w:jc w:val="center"/>
      </w:pPr>
      <w:r>
        <w:rPr>
          <w:rFonts w:ascii="Arial" w:eastAsia="Arial" w:hAnsi="Arial" w:cs="Arial"/>
          <w:b/>
          <w:sz w:val="18"/>
        </w:rPr>
        <w:t>Articolo 29</w:t>
      </w:r>
    </w:p>
    <w:p w14:paraId="2F0D61AD" w14:textId="77777777" w:rsidR="00B32EF2" w:rsidRDefault="00000000">
      <w:pPr>
        <w:spacing w:after="3" w:line="251" w:lineRule="auto"/>
        <w:ind w:left="2320" w:right="2311" w:hanging="10"/>
        <w:jc w:val="center"/>
      </w:pPr>
      <w:r>
        <w:rPr>
          <w:rFonts w:ascii="Arial" w:eastAsia="Arial" w:hAnsi="Arial" w:cs="Arial"/>
          <w:i/>
          <w:sz w:val="18"/>
        </w:rPr>
        <w:t>(articolo 36 TUGT)</w:t>
      </w:r>
    </w:p>
    <w:p w14:paraId="2F68F214" w14:textId="77777777" w:rsidR="00B32EF2" w:rsidRDefault="00000000">
      <w:pPr>
        <w:spacing w:after="0" w:line="261" w:lineRule="auto"/>
        <w:ind w:left="12" w:right="3" w:hanging="10"/>
        <w:jc w:val="center"/>
      </w:pPr>
      <w:r>
        <w:rPr>
          <w:rFonts w:ascii="Arial" w:eastAsia="Arial" w:hAnsi="Arial" w:cs="Arial"/>
          <w:b/>
          <w:sz w:val="18"/>
        </w:rPr>
        <w:t xml:space="preserve">Alta sorveglianza </w:t>
      </w:r>
    </w:p>
    <w:p w14:paraId="681BC700" w14:textId="77777777" w:rsidR="00B32EF2" w:rsidRDefault="00000000">
      <w:pPr>
        <w:numPr>
          <w:ilvl w:val="0"/>
          <w:numId w:val="179"/>
        </w:numPr>
        <w:spacing w:after="5" w:line="250" w:lineRule="auto"/>
        <w:ind w:hanging="10"/>
        <w:jc w:val="both"/>
      </w:pPr>
      <w:r>
        <w:rPr>
          <w:rFonts w:ascii="Arial" w:eastAsia="Arial" w:hAnsi="Arial" w:cs="Arial"/>
          <w:sz w:val="18"/>
        </w:rPr>
        <w:t xml:space="preserve">Il Presidente del Consiglio dei Ministri esercita l’alta sorveglianza sulle </w:t>
      </w:r>
      <w:proofErr w:type="spellStart"/>
      <w:r>
        <w:rPr>
          <w:rFonts w:ascii="Arial" w:eastAsia="Arial" w:hAnsi="Arial" w:cs="Arial"/>
          <w:sz w:val="18"/>
        </w:rPr>
        <w:t>cortidi</w:t>
      </w:r>
      <w:proofErr w:type="spellEnd"/>
      <w:r>
        <w:rPr>
          <w:rFonts w:ascii="Arial" w:eastAsia="Arial" w:hAnsi="Arial" w:cs="Arial"/>
          <w:sz w:val="18"/>
        </w:rPr>
        <w:t xml:space="preserve"> giustizia tributaria di primo e secondo grado e sui giudici tributari. Il Presidente del Consiglio dei Ministri e il Ministro delle finanze hanno facoltà di chiedere al consiglio di presidenza e ai presidenti delle commissioni informazioni circa il funzionamento della giustizia tributaria ed i servizi relativi e possono fare, al riguardo, le comunicazioni che ritengono opportune al consiglio di presidenza.</w:t>
      </w:r>
    </w:p>
    <w:p w14:paraId="0CAE2DC2" w14:textId="77777777" w:rsidR="00B32EF2" w:rsidRDefault="00000000">
      <w:pPr>
        <w:numPr>
          <w:ilvl w:val="0"/>
          <w:numId w:val="179"/>
        </w:numPr>
        <w:spacing w:after="195" w:line="250" w:lineRule="auto"/>
        <w:ind w:hanging="10"/>
        <w:jc w:val="both"/>
      </w:pPr>
      <w:r>
        <w:rPr>
          <w:rFonts w:ascii="Arial" w:eastAsia="Arial" w:hAnsi="Arial" w:cs="Arial"/>
          <w:sz w:val="18"/>
        </w:rPr>
        <w:t>Il Ministro dell’economia e delle finanze presenta entro il 30 ottobre di ciascun anno una relazione al Parlamento sullo stato della giustizia tributaria nell’anno precedente anche sulla base degli elementi predisposti dal Consiglio di presidenza, con particolare riguardo alla durata dei processi e all’efficacia degli istituti deflattivi del contenzioso.</w:t>
      </w:r>
    </w:p>
    <w:p w14:paraId="111E2E64" w14:textId="77777777" w:rsidR="00B32EF2" w:rsidRDefault="00000000">
      <w:pPr>
        <w:spacing w:after="4" w:line="269" w:lineRule="auto"/>
        <w:ind w:left="10" w:right="1" w:hanging="10"/>
        <w:jc w:val="center"/>
      </w:pPr>
      <w:r>
        <w:rPr>
          <w:rFonts w:ascii="Arial" w:eastAsia="Arial" w:hAnsi="Arial" w:cs="Arial"/>
          <w:b/>
          <w:sz w:val="18"/>
        </w:rPr>
        <w:t>Articolo 29 bis</w:t>
      </w:r>
    </w:p>
    <w:p w14:paraId="4DE66DAC" w14:textId="77777777" w:rsidR="00B32EF2" w:rsidRDefault="00000000">
      <w:pPr>
        <w:spacing w:after="3" w:line="251" w:lineRule="auto"/>
        <w:ind w:left="2320" w:right="2311" w:hanging="10"/>
        <w:jc w:val="center"/>
      </w:pPr>
      <w:r>
        <w:rPr>
          <w:rFonts w:ascii="Arial" w:eastAsia="Arial" w:hAnsi="Arial" w:cs="Arial"/>
          <w:i/>
          <w:sz w:val="18"/>
        </w:rPr>
        <w:t>(articolo 37 TUGT)</w:t>
      </w:r>
    </w:p>
    <w:p w14:paraId="1C0A33EE" w14:textId="77777777" w:rsidR="00B32EF2" w:rsidRDefault="00000000">
      <w:pPr>
        <w:spacing w:after="0" w:line="261" w:lineRule="auto"/>
        <w:ind w:left="401" w:right="392" w:hanging="10"/>
        <w:jc w:val="center"/>
      </w:pPr>
      <w:r>
        <w:rPr>
          <w:rFonts w:ascii="Arial" w:eastAsia="Arial" w:hAnsi="Arial" w:cs="Arial"/>
          <w:b/>
          <w:sz w:val="18"/>
        </w:rPr>
        <w:t xml:space="preserve">Autonomia contabile del Consiglio di presidenza della giustizia tributaria </w:t>
      </w:r>
    </w:p>
    <w:p w14:paraId="4E770023" w14:textId="77777777" w:rsidR="00B32EF2" w:rsidRDefault="00000000">
      <w:pPr>
        <w:spacing w:after="5" w:line="250" w:lineRule="auto"/>
        <w:ind w:left="-4" w:hanging="10"/>
        <w:jc w:val="both"/>
      </w:pPr>
      <w:r>
        <w:rPr>
          <w:rFonts w:ascii="Arial" w:eastAsia="Arial" w:hAnsi="Arial" w:cs="Arial"/>
          <w:sz w:val="18"/>
        </w:rPr>
        <w:t xml:space="preserve">1. Il   Consiglio di presidenza provvede all’autonoma gestione delle spese per il proprio   funzionamento,   nei  limiti del fondo stanziato a tale scopo nel bilancio dello Stato e iscritto con unico capitolo nello stato di previsione della spesa del </w:t>
      </w:r>
      <w:r>
        <w:rPr>
          <w:rFonts w:ascii="Arial" w:eastAsia="Arial" w:hAnsi="Arial" w:cs="Arial"/>
          <w:sz w:val="18"/>
        </w:rPr>
        <w:lastRenderedPageBreak/>
        <w:t>Ministero del tesoro, del bilancio e della  programmazione economica. La gestione si svolge in base al bilancio di previsione e  a rendiconto consuntivo soggetto al controllo della Corte dei conti. Il bilancio e il rendiconto sono pubblicati nella Gazzetta Ufficiale.</w:t>
      </w:r>
    </w:p>
    <w:p w14:paraId="464D0DEA" w14:textId="77777777" w:rsidR="00B32EF2" w:rsidRDefault="00000000">
      <w:pPr>
        <w:spacing w:after="0" w:line="261" w:lineRule="auto"/>
        <w:ind w:left="12" w:right="3" w:hanging="10"/>
        <w:jc w:val="center"/>
      </w:pPr>
      <w:r>
        <w:rPr>
          <w:rFonts w:ascii="Arial" w:eastAsia="Arial" w:hAnsi="Arial" w:cs="Arial"/>
          <w:b/>
          <w:sz w:val="18"/>
        </w:rPr>
        <w:t xml:space="preserve">CAPO IV </w:t>
      </w:r>
    </w:p>
    <w:p w14:paraId="151BA3A0" w14:textId="77777777" w:rsidR="00B32EF2" w:rsidRDefault="00000000">
      <w:pPr>
        <w:spacing w:after="358" w:line="261" w:lineRule="auto"/>
        <w:ind w:left="12" w:right="3" w:hanging="10"/>
        <w:jc w:val="center"/>
      </w:pPr>
      <w:r>
        <w:rPr>
          <w:rFonts w:ascii="Arial" w:eastAsia="Arial" w:hAnsi="Arial" w:cs="Arial"/>
          <w:b/>
          <w:sz w:val="18"/>
        </w:rPr>
        <w:t xml:space="preserve">GLI UFFICI DI SEGRETERIA </w:t>
      </w:r>
    </w:p>
    <w:p w14:paraId="6060EDE4" w14:textId="77777777" w:rsidR="00B32EF2" w:rsidRDefault="00000000">
      <w:pPr>
        <w:spacing w:after="0" w:line="261" w:lineRule="auto"/>
        <w:ind w:left="12" w:right="3" w:hanging="10"/>
        <w:jc w:val="center"/>
      </w:pPr>
      <w:r>
        <w:rPr>
          <w:rFonts w:ascii="Arial" w:eastAsia="Arial" w:hAnsi="Arial" w:cs="Arial"/>
          <w:b/>
          <w:sz w:val="18"/>
        </w:rPr>
        <w:t>Articolo 30</w:t>
      </w:r>
    </w:p>
    <w:p w14:paraId="01932996" w14:textId="77777777" w:rsidR="00B32EF2" w:rsidRDefault="00000000">
      <w:pPr>
        <w:spacing w:after="3" w:line="251" w:lineRule="auto"/>
        <w:ind w:left="2320" w:right="2311" w:hanging="10"/>
        <w:jc w:val="center"/>
      </w:pPr>
      <w:r>
        <w:rPr>
          <w:rFonts w:ascii="Arial" w:eastAsia="Arial" w:hAnsi="Arial" w:cs="Arial"/>
          <w:i/>
          <w:sz w:val="18"/>
        </w:rPr>
        <w:t>(articolo 38 TUGT)</w:t>
      </w:r>
    </w:p>
    <w:p w14:paraId="05AF063C" w14:textId="77777777" w:rsidR="00B32EF2" w:rsidRDefault="00000000">
      <w:pPr>
        <w:spacing w:after="4" w:line="269" w:lineRule="auto"/>
        <w:ind w:left="10" w:right="1" w:hanging="10"/>
        <w:jc w:val="center"/>
      </w:pPr>
      <w:r>
        <w:rPr>
          <w:rFonts w:ascii="Arial" w:eastAsia="Arial" w:hAnsi="Arial" w:cs="Arial"/>
          <w:b/>
          <w:sz w:val="18"/>
        </w:rPr>
        <w:t xml:space="preserve">Ufficio di segreteria del consiglio di presidenza </w:t>
      </w:r>
    </w:p>
    <w:p w14:paraId="268EDBC1" w14:textId="77777777" w:rsidR="00B32EF2" w:rsidRDefault="00000000">
      <w:pPr>
        <w:numPr>
          <w:ilvl w:val="0"/>
          <w:numId w:val="180"/>
        </w:numPr>
        <w:spacing w:after="5" w:line="250" w:lineRule="auto"/>
        <w:ind w:hanging="10"/>
        <w:jc w:val="both"/>
      </w:pPr>
      <w:r>
        <w:rPr>
          <w:rFonts w:ascii="Arial" w:eastAsia="Arial" w:hAnsi="Arial" w:cs="Arial"/>
          <w:sz w:val="18"/>
        </w:rPr>
        <w:t xml:space="preserve">Il consiglio di presidenza è assistito da un ufficio di segreteria, al quale vengono assegnati un primo dirigente, funzionari ed impiegati delle diverse qualifiche </w:t>
      </w:r>
      <w:proofErr w:type="spellStart"/>
      <w:r>
        <w:rPr>
          <w:rFonts w:ascii="Arial" w:eastAsia="Arial" w:hAnsi="Arial" w:cs="Arial"/>
          <w:sz w:val="18"/>
        </w:rPr>
        <w:t>unzionali</w:t>
      </w:r>
      <w:proofErr w:type="spellEnd"/>
      <w:r>
        <w:rPr>
          <w:rFonts w:ascii="Arial" w:eastAsia="Arial" w:hAnsi="Arial" w:cs="Arial"/>
          <w:sz w:val="18"/>
        </w:rPr>
        <w:t>, appartenenti al contingente di  cui all’art. 32, nei limiti fissati con decreto del Ministro delle finanze.</w:t>
      </w:r>
    </w:p>
    <w:p w14:paraId="519143AD" w14:textId="77777777" w:rsidR="00B32EF2" w:rsidRDefault="00000000">
      <w:pPr>
        <w:numPr>
          <w:ilvl w:val="0"/>
          <w:numId w:val="180"/>
        </w:numPr>
        <w:spacing w:after="262" w:line="250" w:lineRule="auto"/>
        <w:ind w:hanging="10"/>
        <w:jc w:val="both"/>
      </w:pPr>
      <w:r>
        <w:rPr>
          <w:rFonts w:ascii="Arial" w:eastAsia="Arial" w:hAnsi="Arial" w:cs="Arial"/>
          <w:sz w:val="18"/>
        </w:rPr>
        <w:t xml:space="preserve">L’ufficio di segreteria, per l’espletamento dei compiti affidatigli, può </w:t>
      </w:r>
      <w:proofErr w:type="spellStart"/>
      <w:r>
        <w:rPr>
          <w:rFonts w:ascii="Arial" w:eastAsia="Arial" w:hAnsi="Arial" w:cs="Arial"/>
          <w:sz w:val="18"/>
        </w:rPr>
        <w:t>avvalersidei</w:t>
      </w:r>
      <w:proofErr w:type="spellEnd"/>
      <w:r>
        <w:rPr>
          <w:rFonts w:ascii="Arial" w:eastAsia="Arial" w:hAnsi="Arial" w:cs="Arial"/>
          <w:sz w:val="18"/>
        </w:rPr>
        <w:t xml:space="preserve"> servizi di cui all’art. 36.</w:t>
      </w:r>
    </w:p>
    <w:p w14:paraId="4CDE261E" w14:textId="77777777" w:rsidR="00B32EF2" w:rsidRDefault="00000000">
      <w:pPr>
        <w:spacing w:after="0" w:line="261" w:lineRule="auto"/>
        <w:ind w:left="12" w:right="3" w:hanging="10"/>
        <w:jc w:val="center"/>
      </w:pPr>
      <w:r>
        <w:rPr>
          <w:rFonts w:ascii="Arial" w:eastAsia="Arial" w:hAnsi="Arial" w:cs="Arial"/>
          <w:b/>
          <w:sz w:val="18"/>
        </w:rPr>
        <w:t>Articolo 31</w:t>
      </w:r>
    </w:p>
    <w:p w14:paraId="01691C07" w14:textId="77777777" w:rsidR="00B32EF2" w:rsidRDefault="00000000">
      <w:pPr>
        <w:spacing w:after="3" w:line="251" w:lineRule="auto"/>
        <w:ind w:left="2320" w:right="2311" w:hanging="10"/>
        <w:jc w:val="center"/>
      </w:pPr>
      <w:r>
        <w:rPr>
          <w:rFonts w:ascii="Arial" w:eastAsia="Arial" w:hAnsi="Arial" w:cs="Arial"/>
          <w:i/>
          <w:sz w:val="18"/>
        </w:rPr>
        <w:t>(articolo 39 TUGT)</w:t>
      </w:r>
    </w:p>
    <w:p w14:paraId="3864E4D4" w14:textId="77777777" w:rsidR="00B32EF2" w:rsidRDefault="00000000">
      <w:pPr>
        <w:spacing w:after="4" w:line="269" w:lineRule="auto"/>
        <w:ind w:left="10" w:hanging="10"/>
        <w:jc w:val="center"/>
      </w:pPr>
      <w:r>
        <w:rPr>
          <w:rFonts w:ascii="Arial" w:eastAsia="Arial" w:hAnsi="Arial" w:cs="Arial"/>
          <w:b/>
          <w:sz w:val="18"/>
        </w:rPr>
        <w:t xml:space="preserve">Ufficio di segreteria delle corti di giustizia tributaria di primo e secondo grado </w:t>
      </w:r>
    </w:p>
    <w:p w14:paraId="11AB59E8" w14:textId="77777777" w:rsidR="00B32EF2" w:rsidRDefault="00000000">
      <w:pPr>
        <w:spacing w:after="264" w:line="250" w:lineRule="auto"/>
        <w:ind w:left="-4" w:hanging="10"/>
        <w:jc w:val="both"/>
      </w:pPr>
      <w:r>
        <w:rPr>
          <w:rFonts w:ascii="Arial" w:eastAsia="Arial" w:hAnsi="Arial" w:cs="Arial"/>
          <w:sz w:val="18"/>
        </w:rPr>
        <w:t xml:space="preserve">1. E’ istituito presso ogni corte di giustizia tributaria di primo e secondo grado un ufficio di segreteria con funzioni di assistenza e collaborazione nell’esercizio dell’attività giurisdizionale </w:t>
      </w:r>
      <w:proofErr w:type="spellStart"/>
      <w:r>
        <w:rPr>
          <w:rFonts w:ascii="Arial" w:eastAsia="Arial" w:hAnsi="Arial" w:cs="Arial"/>
          <w:sz w:val="18"/>
        </w:rPr>
        <w:t>nonchè</w:t>
      </w:r>
      <w:proofErr w:type="spellEnd"/>
      <w:r>
        <w:rPr>
          <w:rFonts w:ascii="Arial" w:eastAsia="Arial" w:hAnsi="Arial" w:cs="Arial"/>
          <w:sz w:val="18"/>
        </w:rPr>
        <w:t xml:space="preserve"> per lo svolgimento di ogni altra attività amministrativa attribuita alla stessa o ai suoi componenti.</w:t>
      </w:r>
    </w:p>
    <w:p w14:paraId="75A4E3C2" w14:textId="77777777" w:rsidR="00B32EF2" w:rsidRDefault="00000000">
      <w:pPr>
        <w:spacing w:after="0" w:line="261" w:lineRule="auto"/>
        <w:ind w:left="12" w:right="3" w:hanging="10"/>
        <w:jc w:val="center"/>
      </w:pPr>
      <w:r>
        <w:rPr>
          <w:rFonts w:ascii="Arial" w:eastAsia="Arial" w:hAnsi="Arial" w:cs="Arial"/>
          <w:b/>
          <w:sz w:val="18"/>
        </w:rPr>
        <w:t>Articolo 32</w:t>
      </w:r>
    </w:p>
    <w:p w14:paraId="51C27872" w14:textId="77777777" w:rsidR="00B32EF2" w:rsidRDefault="00000000">
      <w:pPr>
        <w:spacing w:after="3" w:line="251" w:lineRule="auto"/>
        <w:ind w:left="2320" w:right="2312" w:hanging="10"/>
        <w:jc w:val="center"/>
      </w:pPr>
      <w:r>
        <w:rPr>
          <w:rFonts w:ascii="Arial" w:eastAsia="Arial" w:hAnsi="Arial" w:cs="Arial"/>
          <w:i/>
          <w:sz w:val="18"/>
        </w:rPr>
        <w:t>(articolo 40 TUGT)</w:t>
      </w:r>
    </w:p>
    <w:p w14:paraId="2C9387B4" w14:textId="77777777" w:rsidR="00B32EF2" w:rsidRDefault="00000000">
      <w:pPr>
        <w:spacing w:after="4" w:line="269" w:lineRule="auto"/>
        <w:ind w:left="10" w:hanging="10"/>
        <w:jc w:val="center"/>
      </w:pPr>
      <w:r>
        <w:rPr>
          <w:rFonts w:ascii="Arial" w:eastAsia="Arial" w:hAnsi="Arial" w:cs="Arial"/>
          <w:b/>
          <w:sz w:val="18"/>
        </w:rPr>
        <w:t xml:space="preserve">Personale addetto agli uffici di segreteria delle corti di giustizia tributaria di primo e secondo grado </w:t>
      </w:r>
    </w:p>
    <w:p w14:paraId="32C9D983" w14:textId="77777777" w:rsidR="00B32EF2" w:rsidRDefault="00000000">
      <w:pPr>
        <w:numPr>
          <w:ilvl w:val="0"/>
          <w:numId w:val="181"/>
        </w:numPr>
        <w:spacing w:after="5" w:line="250" w:lineRule="auto"/>
        <w:ind w:hanging="10"/>
        <w:jc w:val="both"/>
      </w:pPr>
      <w:r>
        <w:rPr>
          <w:rFonts w:ascii="Arial" w:eastAsia="Arial" w:hAnsi="Arial" w:cs="Arial"/>
          <w:sz w:val="18"/>
        </w:rPr>
        <w:t xml:space="preserve">Agli uffici di segreteria delle corti di giustizia tributaria di primo e </w:t>
      </w:r>
      <w:proofErr w:type="spellStart"/>
      <w:r>
        <w:rPr>
          <w:rFonts w:ascii="Arial" w:eastAsia="Arial" w:hAnsi="Arial" w:cs="Arial"/>
          <w:sz w:val="18"/>
        </w:rPr>
        <w:t>secondogrado</w:t>
      </w:r>
      <w:proofErr w:type="spellEnd"/>
      <w:r>
        <w:rPr>
          <w:rFonts w:ascii="Arial" w:eastAsia="Arial" w:hAnsi="Arial" w:cs="Arial"/>
          <w:sz w:val="18"/>
        </w:rPr>
        <w:t xml:space="preserve"> sono addetti dipendenti del Ministero delle finanze compresi in un apposito contingente del personale indicato nell’art. 10 della legge 29 ottobre 1991, n. 358.</w:t>
      </w:r>
    </w:p>
    <w:p w14:paraId="04AA3742" w14:textId="77777777" w:rsidR="00B32EF2" w:rsidRDefault="00000000">
      <w:pPr>
        <w:numPr>
          <w:ilvl w:val="0"/>
          <w:numId w:val="181"/>
        </w:numPr>
        <w:spacing w:after="5" w:line="250" w:lineRule="auto"/>
        <w:ind w:hanging="10"/>
        <w:jc w:val="both"/>
      </w:pPr>
      <w:r>
        <w:rPr>
          <w:rFonts w:ascii="Arial" w:eastAsia="Arial" w:hAnsi="Arial" w:cs="Arial"/>
          <w:sz w:val="18"/>
        </w:rPr>
        <w:t xml:space="preserve">Il contingente del personale istituito a norma del comma 1 è costituito </w:t>
      </w:r>
      <w:proofErr w:type="spellStart"/>
      <w:r>
        <w:rPr>
          <w:rFonts w:ascii="Arial" w:eastAsia="Arial" w:hAnsi="Arial" w:cs="Arial"/>
          <w:sz w:val="18"/>
        </w:rPr>
        <w:t>conla</w:t>
      </w:r>
      <w:proofErr w:type="spellEnd"/>
      <w:r>
        <w:rPr>
          <w:rFonts w:ascii="Arial" w:eastAsia="Arial" w:hAnsi="Arial" w:cs="Arial"/>
          <w:sz w:val="18"/>
        </w:rPr>
        <w:t xml:space="preserve"> dotazione indicata, complessivamente, nella tabella C e, per ogni corte di giustizia tributaria di primo e secondo grado, nella tabella D. Il Ministro delle finanze di concerto con il Ministro del tesoro, con proprio decreto determina ogni anno le variazioni da apportare alle dotazioni del contingente in relazione alle variazioni del numero di sezioni e del flusso dei ricorsi presso ogni corte di giustizia tributaria di primo e secondo grado.</w:t>
      </w:r>
    </w:p>
    <w:p w14:paraId="11168917" w14:textId="77777777" w:rsidR="00B32EF2" w:rsidRDefault="00000000">
      <w:pPr>
        <w:spacing w:after="0" w:line="261" w:lineRule="auto"/>
        <w:ind w:left="12" w:right="3" w:hanging="10"/>
        <w:jc w:val="center"/>
      </w:pPr>
      <w:r>
        <w:rPr>
          <w:rFonts w:ascii="Arial" w:eastAsia="Arial" w:hAnsi="Arial" w:cs="Arial"/>
          <w:b/>
          <w:sz w:val="18"/>
        </w:rPr>
        <w:lastRenderedPageBreak/>
        <w:t>Articolo 33</w:t>
      </w:r>
    </w:p>
    <w:p w14:paraId="2895EDFB" w14:textId="77777777" w:rsidR="00B32EF2" w:rsidRDefault="00000000">
      <w:pPr>
        <w:spacing w:after="62" w:line="251" w:lineRule="auto"/>
        <w:ind w:left="2320" w:right="2311" w:hanging="10"/>
        <w:jc w:val="center"/>
      </w:pPr>
      <w:r>
        <w:rPr>
          <w:rFonts w:ascii="Arial" w:eastAsia="Arial" w:hAnsi="Arial" w:cs="Arial"/>
          <w:i/>
          <w:sz w:val="18"/>
        </w:rPr>
        <w:t>(articolo 41 TUGT)</w:t>
      </w:r>
    </w:p>
    <w:p w14:paraId="1AD7799F" w14:textId="77777777" w:rsidR="00B32EF2" w:rsidRDefault="00000000">
      <w:pPr>
        <w:spacing w:after="5" w:line="250" w:lineRule="auto"/>
        <w:ind w:left="-14" w:firstLine="404"/>
        <w:jc w:val="both"/>
      </w:pPr>
      <w:r>
        <w:rPr>
          <w:rFonts w:ascii="Arial" w:eastAsia="Arial" w:hAnsi="Arial" w:cs="Arial"/>
          <w:b/>
          <w:sz w:val="18"/>
        </w:rPr>
        <w:t xml:space="preserve">Trattamento economico del personale degli uffici di segreteria </w:t>
      </w:r>
      <w:r>
        <w:rPr>
          <w:rFonts w:ascii="Arial" w:eastAsia="Arial" w:hAnsi="Arial" w:cs="Arial"/>
          <w:sz w:val="18"/>
        </w:rPr>
        <w:t>1. Al personale addetto agli uffici di segreteria delle corti di giustizia tributaria di primo e secondo grado spetta il trattamento economico previsto per le rispettive qualifiche dalle disposizioni concernenti il personale del Ministero delle finanze.</w:t>
      </w:r>
    </w:p>
    <w:p w14:paraId="57618E85" w14:textId="77777777" w:rsidR="00B32EF2" w:rsidRDefault="00000000">
      <w:pPr>
        <w:numPr>
          <w:ilvl w:val="0"/>
          <w:numId w:val="182"/>
        </w:numPr>
        <w:spacing w:after="5" w:line="250" w:lineRule="auto"/>
        <w:ind w:hanging="10"/>
        <w:jc w:val="both"/>
      </w:pPr>
      <w:r>
        <w:rPr>
          <w:rFonts w:ascii="Arial" w:eastAsia="Arial" w:hAnsi="Arial" w:cs="Arial"/>
          <w:sz w:val="18"/>
        </w:rPr>
        <w:t xml:space="preserve">Al personale di cui al comma 1 è attribuito dalla data di entrata in </w:t>
      </w:r>
      <w:proofErr w:type="spellStart"/>
      <w:r>
        <w:rPr>
          <w:rFonts w:ascii="Arial" w:eastAsia="Arial" w:hAnsi="Arial" w:cs="Arial"/>
          <w:sz w:val="18"/>
        </w:rPr>
        <w:t>funzionedelle</w:t>
      </w:r>
      <w:proofErr w:type="spellEnd"/>
      <w:r>
        <w:rPr>
          <w:rFonts w:ascii="Arial" w:eastAsia="Arial" w:hAnsi="Arial" w:cs="Arial"/>
          <w:sz w:val="18"/>
        </w:rPr>
        <w:t xml:space="preserve"> nuove corti di giustizia tributaria di primo e secondo grado, se più favorevole, l’indennità prevista dalla legge 22 giugno 1988, n. 221, e con le modalità da essa stabilite in luogo dei compensi previsti dall’art. 4, commi 4, 5 e 6 del decreto-legge 19 dicembre 1984, n. 853, convertito con modificazioni dalla legge 17 febbraio 1985, n. 17, del compenso previsto dall’art. 10 del decreto del Presidente della Repubblica 25 giugno 1983, n. 344, </w:t>
      </w:r>
      <w:proofErr w:type="spellStart"/>
      <w:r>
        <w:rPr>
          <w:rFonts w:ascii="Arial" w:eastAsia="Arial" w:hAnsi="Arial" w:cs="Arial"/>
          <w:sz w:val="18"/>
        </w:rPr>
        <w:t>nonchè</w:t>
      </w:r>
      <w:proofErr w:type="spellEnd"/>
      <w:r>
        <w:rPr>
          <w:rFonts w:ascii="Arial" w:eastAsia="Arial" w:hAnsi="Arial" w:cs="Arial"/>
          <w:sz w:val="18"/>
        </w:rPr>
        <w:t xml:space="preserve"> di qualsiasi altro compenso o indennità incentivante la produttività.</w:t>
      </w:r>
    </w:p>
    <w:p w14:paraId="54A56247" w14:textId="77777777" w:rsidR="00B32EF2" w:rsidRDefault="00000000">
      <w:pPr>
        <w:numPr>
          <w:ilvl w:val="0"/>
          <w:numId w:val="182"/>
        </w:numPr>
        <w:spacing w:after="217" w:line="250" w:lineRule="auto"/>
        <w:ind w:hanging="10"/>
        <w:jc w:val="both"/>
      </w:pPr>
      <w:r>
        <w:rPr>
          <w:rFonts w:ascii="Arial" w:eastAsia="Arial" w:hAnsi="Arial" w:cs="Arial"/>
          <w:sz w:val="18"/>
        </w:rPr>
        <w:t>L’attribuzione dell’indennità di cui al comma 2, nei casi stabiliti dall’art. 2 della legge 22 giugno 1988, n. 221, è fatta con decreto del Ministro delle finanze, di concerto con il Ministro del tesoro.</w:t>
      </w:r>
    </w:p>
    <w:p w14:paraId="67B80F17" w14:textId="77777777" w:rsidR="00B32EF2" w:rsidRDefault="00000000">
      <w:pPr>
        <w:spacing w:after="0" w:line="261" w:lineRule="auto"/>
        <w:ind w:left="12" w:right="2" w:hanging="10"/>
        <w:jc w:val="center"/>
      </w:pPr>
      <w:r>
        <w:rPr>
          <w:rFonts w:ascii="Arial" w:eastAsia="Arial" w:hAnsi="Arial" w:cs="Arial"/>
          <w:b/>
          <w:sz w:val="18"/>
        </w:rPr>
        <w:t>Articolo 34</w:t>
      </w:r>
    </w:p>
    <w:p w14:paraId="1B27C245" w14:textId="77777777" w:rsidR="00B32EF2" w:rsidRDefault="00000000">
      <w:pPr>
        <w:spacing w:after="3" w:line="251" w:lineRule="auto"/>
        <w:ind w:left="2320" w:right="2311" w:hanging="10"/>
        <w:jc w:val="center"/>
      </w:pPr>
      <w:r>
        <w:rPr>
          <w:rFonts w:ascii="Arial" w:eastAsia="Arial" w:hAnsi="Arial" w:cs="Arial"/>
          <w:i/>
          <w:sz w:val="18"/>
        </w:rPr>
        <w:t>(articolo 42 TUGT)</w:t>
      </w:r>
    </w:p>
    <w:p w14:paraId="5F548D88" w14:textId="77777777" w:rsidR="00B32EF2" w:rsidRDefault="00000000">
      <w:pPr>
        <w:spacing w:after="0" w:line="261" w:lineRule="auto"/>
        <w:ind w:left="12" w:right="2" w:hanging="10"/>
        <w:jc w:val="center"/>
      </w:pPr>
      <w:r>
        <w:rPr>
          <w:rFonts w:ascii="Arial" w:eastAsia="Arial" w:hAnsi="Arial" w:cs="Arial"/>
          <w:b/>
          <w:sz w:val="18"/>
        </w:rPr>
        <w:t xml:space="preserve">Amministrazione del personale delle segreterie </w:t>
      </w:r>
    </w:p>
    <w:p w14:paraId="49C68AA6" w14:textId="77777777" w:rsidR="00B32EF2" w:rsidRDefault="00000000">
      <w:pPr>
        <w:spacing w:after="271" w:line="250" w:lineRule="auto"/>
        <w:ind w:left="-4" w:hanging="10"/>
        <w:jc w:val="both"/>
      </w:pPr>
      <w:r>
        <w:rPr>
          <w:rFonts w:ascii="Arial" w:eastAsia="Arial" w:hAnsi="Arial" w:cs="Arial"/>
          <w:sz w:val="18"/>
        </w:rPr>
        <w:t>1. Il  personale di cui all’art. 32 è amministrato secondo   le disposizioni  della legge 29 ottobre 1991, n. 358, e del suo regolamento di attuazione.</w:t>
      </w:r>
    </w:p>
    <w:p w14:paraId="60C1DFE3" w14:textId="77777777" w:rsidR="00B32EF2" w:rsidRDefault="00000000">
      <w:pPr>
        <w:spacing w:after="45" w:line="261" w:lineRule="auto"/>
        <w:ind w:left="12" w:right="3" w:hanging="10"/>
        <w:jc w:val="center"/>
      </w:pPr>
      <w:r>
        <w:rPr>
          <w:rFonts w:ascii="Arial" w:eastAsia="Arial" w:hAnsi="Arial" w:cs="Arial"/>
          <w:b/>
          <w:sz w:val="18"/>
        </w:rPr>
        <w:t>Articolo 35</w:t>
      </w:r>
    </w:p>
    <w:p w14:paraId="08B702A7" w14:textId="77777777" w:rsidR="00B32EF2" w:rsidRDefault="00000000">
      <w:pPr>
        <w:spacing w:after="52" w:line="251" w:lineRule="auto"/>
        <w:ind w:left="2320" w:right="2311" w:hanging="10"/>
        <w:jc w:val="center"/>
      </w:pPr>
      <w:r>
        <w:rPr>
          <w:rFonts w:ascii="Arial" w:eastAsia="Arial" w:hAnsi="Arial" w:cs="Arial"/>
          <w:i/>
          <w:sz w:val="18"/>
        </w:rPr>
        <w:t>(articolo 43 TUGT)</w:t>
      </w:r>
    </w:p>
    <w:p w14:paraId="6FED6575" w14:textId="77777777" w:rsidR="00B32EF2" w:rsidRDefault="00000000">
      <w:pPr>
        <w:spacing w:after="0" w:line="261" w:lineRule="auto"/>
        <w:ind w:left="12" w:right="2" w:hanging="10"/>
        <w:jc w:val="center"/>
      </w:pPr>
      <w:r>
        <w:rPr>
          <w:rFonts w:ascii="Arial" w:eastAsia="Arial" w:hAnsi="Arial" w:cs="Arial"/>
          <w:b/>
          <w:sz w:val="18"/>
        </w:rPr>
        <w:t xml:space="preserve">Attribuzioni del personale delle segreterie </w:t>
      </w:r>
    </w:p>
    <w:p w14:paraId="015A1A77" w14:textId="77777777" w:rsidR="00B32EF2" w:rsidRDefault="00000000">
      <w:pPr>
        <w:numPr>
          <w:ilvl w:val="0"/>
          <w:numId w:val="183"/>
        </w:numPr>
        <w:spacing w:after="5" w:line="250" w:lineRule="auto"/>
        <w:ind w:hanging="10"/>
        <w:jc w:val="both"/>
      </w:pPr>
      <w:r>
        <w:rPr>
          <w:rFonts w:ascii="Arial" w:eastAsia="Arial" w:hAnsi="Arial" w:cs="Arial"/>
          <w:sz w:val="18"/>
        </w:rPr>
        <w:t xml:space="preserve">I direttori delle segreterie delle corti di giustizia tributaria di primo e </w:t>
      </w:r>
      <w:proofErr w:type="spellStart"/>
      <w:r>
        <w:rPr>
          <w:rFonts w:ascii="Arial" w:eastAsia="Arial" w:hAnsi="Arial" w:cs="Arial"/>
          <w:sz w:val="18"/>
        </w:rPr>
        <w:t>secondogrado</w:t>
      </w:r>
      <w:proofErr w:type="spellEnd"/>
      <w:r>
        <w:rPr>
          <w:rFonts w:ascii="Arial" w:eastAsia="Arial" w:hAnsi="Arial" w:cs="Arial"/>
          <w:sz w:val="18"/>
        </w:rPr>
        <w:t xml:space="preserve"> e i funzionari con IX e VIII qualifica funzionale provvedono all’organizzazione tecnica del lavoro degli uffici di segreteria per adeguarne l’efficienza alle necessità del processo tributario; partecipano a commissioni di studio relative al funzionamento del contenzioso tributario istituite in seno all’Amministrazione finanziaria; vigilano sul restante personale assegnato alla segreteria.</w:t>
      </w:r>
    </w:p>
    <w:p w14:paraId="78B5FC80" w14:textId="77777777" w:rsidR="00B32EF2" w:rsidRDefault="00000000">
      <w:pPr>
        <w:numPr>
          <w:ilvl w:val="0"/>
          <w:numId w:val="183"/>
        </w:numPr>
        <w:spacing w:after="5" w:line="250" w:lineRule="auto"/>
        <w:ind w:hanging="10"/>
        <w:jc w:val="both"/>
      </w:pPr>
      <w:r>
        <w:rPr>
          <w:rFonts w:ascii="Arial" w:eastAsia="Arial" w:hAnsi="Arial" w:cs="Arial"/>
          <w:sz w:val="18"/>
        </w:rPr>
        <w:t xml:space="preserve">Gli impiegati con VII e VI qualifica funzionale assistono i collegi </w:t>
      </w:r>
      <w:proofErr w:type="spellStart"/>
      <w:r>
        <w:rPr>
          <w:rFonts w:ascii="Arial" w:eastAsia="Arial" w:hAnsi="Arial" w:cs="Arial"/>
          <w:sz w:val="18"/>
        </w:rPr>
        <w:t>giudicantinelle</w:t>
      </w:r>
      <w:proofErr w:type="spellEnd"/>
      <w:r>
        <w:rPr>
          <w:rFonts w:ascii="Arial" w:eastAsia="Arial" w:hAnsi="Arial" w:cs="Arial"/>
          <w:sz w:val="18"/>
        </w:rPr>
        <w:t xml:space="preserve"> udienze e controfirmano gli atti nei quali la legge richiede il loro intervento; ricevono gli atti del processo concernenti il loro ufficio; rilasciano le copie delle decisioni; svolgono compiti di carattere amministrativo e contabile e provvedono agli adempimenti che ad essi vengono affidati; possono, nel caso di assenza o vacanza, fare le veci dei funzionari della qualifica funzionale immediatamente superiore.</w:t>
      </w:r>
    </w:p>
    <w:p w14:paraId="78A4C052" w14:textId="77777777" w:rsidR="00B32EF2" w:rsidRDefault="00000000">
      <w:pPr>
        <w:numPr>
          <w:ilvl w:val="0"/>
          <w:numId w:val="183"/>
        </w:numPr>
        <w:spacing w:after="5" w:line="250" w:lineRule="auto"/>
        <w:ind w:hanging="10"/>
        <w:jc w:val="both"/>
      </w:pPr>
      <w:r>
        <w:rPr>
          <w:rFonts w:ascii="Arial" w:eastAsia="Arial" w:hAnsi="Arial" w:cs="Arial"/>
          <w:sz w:val="18"/>
        </w:rPr>
        <w:lastRenderedPageBreak/>
        <w:t>Gli impiegati con V e IV qualifica funzionale provvedono ai servizi di protocollazione, classificazione, copiatura, fotocopiatura, spedizione e ogni altra mansione inerente alla qualifica di appartenenza; sostituiscono in caso di assenza o impedimento gli impiegati della qualifica funzionale immediatamente superiore.</w:t>
      </w:r>
    </w:p>
    <w:p w14:paraId="6372FEE6" w14:textId="77777777" w:rsidR="00B32EF2" w:rsidRDefault="00000000">
      <w:pPr>
        <w:numPr>
          <w:ilvl w:val="0"/>
          <w:numId w:val="183"/>
        </w:numPr>
        <w:spacing w:after="5" w:line="250" w:lineRule="auto"/>
        <w:ind w:hanging="10"/>
        <w:jc w:val="both"/>
      </w:pPr>
      <w:r>
        <w:rPr>
          <w:rFonts w:ascii="Arial" w:eastAsia="Arial" w:hAnsi="Arial" w:cs="Arial"/>
          <w:sz w:val="18"/>
        </w:rPr>
        <w:t>Il personale ausiliario con III qualifica funzionale espleta servizi di anticamera, attività connesse e attività di ufficiale giudiziario in udienza.</w:t>
      </w:r>
    </w:p>
    <w:p w14:paraId="4DA9BA29" w14:textId="77777777" w:rsidR="00B32EF2" w:rsidRDefault="00000000">
      <w:pPr>
        <w:numPr>
          <w:ilvl w:val="0"/>
          <w:numId w:val="183"/>
        </w:numPr>
        <w:spacing w:after="5" w:line="250" w:lineRule="auto"/>
        <w:ind w:hanging="10"/>
        <w:jc w:val="both"/>
      </w:pPr>
      <w:r>
        <w:rPr>
          <w:rFonts w:ascii="Arial" w:eastAsia="Arial" w:hAnsi="Arial" w:cs="Arial"/>
          <w:sz w:val="18"/>
        </w:rPr>
        <w:t xml:space="preserve">Il personale della segreteria di cui ai commi 2 e 3 nell’espletamento </w:t>
      </w:r>
      <w:proofErr w:type="spellStart"/>
      <w:r>
        <w:rPr>
          <w:rFonts w:ascii="Arial" w:eastAsia="Arial" w:hAnsi="Arial" w:cs="Arial"/>
          <w:sz w:val="18"/>
        </w:rPr>
        <w:t>deipropri</w:t>
      </w:r>
      <w:proofErr w:type="spellEnd"/>
      <w:r>
        <w:rPr>
          <w:rFonts w:ascii="Arial" w:eastAsia="Arial" w:hAnsi="Arial" w:cs="Arial"/>
          <w:sz w:val="18"/>
        </w:rPr>
        <w:t xml:space="preserve"> compiti utilizza le procedure e le apparecchiature fornite per il funzionamento dei servizi automatizzati di cui all’art. 36.</w:t>
      </w:r>
      <w:r>
        <w:br w:type="page"/>
      </w:r>
    </w:p>
    <w:p w14:paraId="0357935C" w14:textId="77777777" w:rsidR="00B32EF2" w:rsidRDefault="00000000">
      <w:pPr>
        <w:spacing w:after="0" w:line="261" w:lineRule="auto"/>
        <w:ind w:left="12" w:right="3" w:hanging="10"/>
        <w:jc w:val="center"/>
      </w:pPr>
      <w:r>
        <w:rPr>
          <w:rFonts w:ascii="Arial" w:eastAsia="Arial" w:hAnsi="Arial" w:cs="Arial"/>
          <w:b/>
          <w:sz w:val="18"/>
        </w:rPr>
        <w:lastRenderedPageBreak/>
        <w:t xml:space="preserve">CAPO V </w:t>
      </w:r>
    </w:p>
    <w:p w14:paraId="51BCE971" w14:textId="77777777" w:rsidR="00B32EF2" w:rsidRDefault="00000000">
      <w:pPr>
        <w:spacing w:after="164" w:line="261" w:lineRule="auto"/>
        <w:ind w:left="12" w:right="3" w:hanging="10"/>
        <w:jc w:val="center"/>
      </w:pPr>
      <w:r>
        <w:rPr>
          <w:rFonts w:ascii="Arial" w:eastAsia="Arial" w:hAnsi="Arial" w:cs="Arial"/>
          <w:b/>
          <w:sz w:val="18"/>
        </w:rPr>
        <w:t xml:space="preserve"> I SERVIZI AMMINISTRATIVI DEL CONTENZIOSO </w:t>
      </w:r>
    </w:p>
    <w:p w14:paraId="575476A8" w14:textId="77777777" w:rsidR="00B32EF2" w:rsidRDefault="00000000">
      <w:pPr>
        <w:spacing w:after="0" w:line="261" w:lineRule="auto"/>
        <w:ind w:left="12" w:right="3" w:hanging="10"/>
        <w:jc w:val="center"/>
      </w:pPr>
      <w:r>
        <w:rPr>
          <w:rFonts w:ascii="Arial" w:eastAsia="Arial" w:hAnsi="Arial" w:cs="Arial"/>
          <w:b/>
          <w:sz w:val="18"/>
        </w:rPr>
        <w:t>Articolo 36</w:t>
      </w:r>
    </w:p>
    <w:p w14:paraId="5E58E65E" w14:textId="77777777" w:rsidR="00B32EF2" w:rsidRDefault="00000000">
      <w:pPr>
        <w:spacing w:after="0" w:line="261" w:lineRule="auto"/>
        <w:ind w:left="12" w:right="3" w:hanging="10"/>
        <w:jc w:val="center"/>
      </w:pPr>
      <w:r>
        <w:rPr>
          <w:rFonts w:ascii="Arial" w:eastAsia="Arial" w:hAnsi="Arial" w:cs="Arial"/>
          <w:b/>
          <w:sz w:val="18"/>
        </w:rPr>
        <w:t>Servizi automatizzati</w:t>
      </w:r>
    </w:p>
    <w:p w14:paraId="138A8E1A" w14:textId="77777777" w:rsidR="00B32EF2" w:rsidRDefault="00000000">
      <w:pPr>
        <w:numPr>
          <w:ilvl w:val="0"/>
          <w:numId w:val="184"/>
        </w:numPr>
        <w:spacing w:after="5" w:line="250" w:lineRule="auto"/>
        <w:ind w:hanging="187"/>
        <w:jc w:val="both"/>
      </w:pPr>
      <w:r>
        <w:rPr>
          <w:rFonts w:ascii="Arial" w:eastAsia="Arial" w:hAnsi="Arial" w:cs="Arial"/>
          <w:sz w:val="18"/>
        </w:rPr>
        <w:t xml:space="preserve">E’ istituito il servizio automatizzato per la gestione delle attività degli uffici </w:t>
      </w:r>
      <w:proofErr w:type="spellStart"/>
      <w:r>
        <w:rPr>
          <w:rFonts w:ascii="Arial" w:eastAsia="Arial" w:hAnsi="Arial" w:cs="Arial"/>
          <w:sz w:val="18"/>
        </w:rPr>
        <w:t>disegreteria</w:t>
      </w:r>
      <w:proofErr w:type="spellEnd"/>
      <w:r>
        <w:rPr>
          <w:rFonts w:ascii="Arial" w:eastAsia="Arial" w:hAnsi="Arial" w:cs="Arial"/>
          <w:sz w:val="18"/>
        </w:rPr>
        <w:t xml:space="preserve"> delle corti di giustizia tributaria di primo e secondo grado e del consiglio di presidenza e per le rilevazioni statistiche sull’andamento dei processi comprese la formazione e la tenuta dei ruoli.</w:t>
      </w:r>
    </w:p>
    <w:p w14:paraId="457A28C7" w14:textId="77777777" w:rsidR="00B32EF2" w:rsidRDefault="00000000">
      <w:pPr>
        <w:numPr>
          <w:ilvl w:val="0"/>
          <w:numId w:val="184"/>
        </w:numPr>
        <w:spacing w:after="3" w:line="252" w:lineRule="auto"/>
        <w:ind w:hanging="187"/>
        <w:jc w:val="both"/>
      </w:pPr>
      <w:r>
        <w:rPr>
          <w:rFonts w:ascii="Arial" w:eastAsia="Arial" w:hAnsi="Arial" w:cs="Arial"/>
          <w:sz w:val="18"/>
        </w:rPr>
        <w:t xml:space="preserve">Al servizio automatizzato di cui al comma 1 è preposto il centro </w:t>
      </w:r>
      <w:proofErr w:type="spellStart"/>
      <w:r>
        <w:rPr>
          <w:rFonts w:ascii="Arial" w:eastAsia="Arial" w:hAnsi="Arial" w:cs="Arial"/>
          <w:sz w:val="18"/>
        </w:rPr>
        <w:t>informativodel</w:t>
      </w:r>
      <w:proofErr w:type="spellEnd"/>
      <w:r>
        <w:rPr>
          <w:rFonts w:ascii="Arial" w:eastAsia="Arial" w:hAnsi="Arial" w:cs="Arial"/>
          <w:sz w:val="18"/>
        </w:rPr>
        <w:t xml:space="preserve"> dipartimento delle entrate di cui all’art. 49 del decreto del Presidente della Repubblica 27 marzo 1992, n. 287.</w:t>
      </w:r>
    </w:p>
    <w:p w14:paraId="7A7B3002" w14:textId="77777777" w:rsidR="00B32EF2" w:rsidRDefault="00000000">
      <w:pPr>
        <w:numPr>
          <w:ilvl w:val="0"/>
          <w:numId w:val="184"/>
        </w:numPr>
        <w:spacing w:after="216" w:line="250" w:lineRule="auto"/>
        <w:ind w:hanging="187"/>
        <w:jc w:val="both"/>
      </w:pPr>
      <w:r>
        <w:rPr>
          <w:rFonts w:ascii="Arial" w:eastAsia="Arial" w:hAnsi="Arial" w:cs="Arial"/>
          <w:sz w:val="18"/>
        </w:rPr>
        <w:t>Le modalità di gestione dei servizi automatizzati sono stabiliti con regolamento.</w:t>
      </w:r>
    </w:p>
    <w:p w14:paraId="62EDB522" w14:textId="77777777" w:rsidR="00B32EF2" w:rsidRDefault="00000000">
      <w:pPr>
        <w:spacing w:after="0" w:line="261" w:lineRule="auto"/>
        <w:ind w:left="12" w:right="3" w:hanging="10"/>
        <w:jc w:val="center"/>
      </w:pPr>
      <w:r>
        <w:rPr>
          <w:rFonts w:ascii="Arial" w:eastAsia="Arial" w:hAnsi="Arial" w:cs="Arial"/>
          <w:b/>
          <w:sz w:val="18"/>
        </w:rPr>
        <w:t>Articoli 37</w:t>
      </w:r>
    </w:p>
    <w:p w14:paraId="544AD5A8" w14:textId="77777777" w:rsidR="00B32EF2" w:rsidRDefault="00000000">
      <w:pPr>
        <w:spacing w:after="4" w:line="269" w:lineRule="auto"/>
        <w:ind w:left="10" w:right="1" w:hanging="10"/>
        <w:jc w:val="center"/>
      </w:pPr>
      <w:r>
        <w:rPr>
          <w:rFonts w:ascii="Arial" w:eastAsia="Arial" w:hAnsi="Arial" w:cs="Arial"/>
          <w:b/>
          <w:sz w:val="18"/>
        </w:rPr>
        <w:t>Attività di indirizzo agli uffici periferici</w:t>
      </w:r>
    </w:p>
    <w:p w14:paraId="55F374FB" w14:textId="77777777" w:rsidR="00B32EF2" w:rsidRDefault="00000000">
      <w:pPr>
        <w:numPr>
          <w:ilvl w:val="0"/>
          <w:numId w:val="185"/>
        </w:numPr>
        <w:spacing w:after="5" w:line="250" w:lineRule="auto"/>
        <w:ind w:hanging="10"/>
        <w:jc w:val="both"/>
      </w:pPr>
      <w:r>
        <w:rPr>
          <w:rFonts w:ascii="Arial" w:eastAsia="Arial" w:hAnsi="Arial" w:cs="Arial"/>
          <w:sz w:val="18"/>
        </w:rPr>
        <w:t>La direzione centrale per gli affari giuridici e per il contenzioso tributario presso il Dipartimento delle entrate del Ministero delle finanze cura la rilevazione e l’esame delle questioni di rilevante interesse o di ricorrente frequenza nelle controversie pendenti dinanzi alle corti di giustizia tributaria di primo e secondo grado sulla base di segnalazioni periodiche dei presidenti delle stesse.</w:t>
      </w:r>
    </w:p>
    <w:p w14:paraId="77DBB10C" w14:textId="77777777" w:rsidR="00B32EF2" w:rsidRDefault="00000000">
      <w:pPr>
        <w:numPr>
          <w:ilvl w:val="0"/>
          <w:numId w:val="185"/>
        </w:numPr>
        <w:spacing w:after="5" w:line="250" w:lineRule="auto"/>
        <w:ind w:hanging="10"/>
        <w:jc w:val="both"/>
      </w:pPr>
      <w:r>
        <w:rPr>
          <w:rFonts w:ascii="Arial" w:eastAsia="Arial" w:hAnsi="Arial" w:cs="Arial"/>
          <w:sz w:val="18"/>
        </w:rPr>
        <w:t>La direzione centrale di cui al comma 1, sentita quando occorre l’Avvocatura generale dello Stato, in particolare quando si tratti di questioni sulle quali non vi sia un univoco orientamento giurisprudenziale, formula e propone al Ministro indirizzi per gli uffici periferici ai fini della difesa dell’Amministrazione finanziaria, in ordine alle questioni rilevate ed esaminate, secondo criteri di uniforme e corretta interpretazione della legge.</w:t>
      </w:r>
    </w:p>
    <w:p w14:paraId="422420D4" w14:textId="77777777" w:rsidR="00B32EF2" w:rsidRDefault="00000000">
      <w:pPr>
        <w:numPr>
          <w:ilvl w:val="0"/>
          <w:numId w:val="185"/>
        </w:numPr>
        <w:spacing w:after="5" w:line="250" w:lineRule="auto"/>
        <w:ind w:hanging="10"/>
        <w:jc w:val="both"/>
      </w:pPr>
      <w:r>
        <w:rPr>
          <w:rFonts w:ascii="Arial" w:eastAsia="Arial" w:hAnsi="Arial" w:cs="Arial"/>
          <w:sz w:val="18"/>
        </w:rPr>
        <w:t xml:space="preserve">La direzione centrale di cui al comma 1, sulla base di relazioni </w:t>
      </w:r>
      <w:proofErr w:type="spellStart"/>
      <w:r>
        <w:rPr>
          <w:rFonts w:ascii="Arial" w:eastAsia="Arial" w:hAnsi="Arial" w:cs="Arial"/>
          <w:sz w:val="18"/>
        </w:rPr>
        <w:t>periodichedelle</w:t>
      </w:r>
      <w:proofErr w:type="spellEnd"/>
      <w:r>
        <w:rPr>
          <w:rFonts w:ascii="Arial" w:eastAsia="Arial" w:hAnsi="Arial" w:cs="Arial"/>
          <w:sz w:val="18"/>
        </w:rPr>
        <w:t xml:space="preserve"> direzioni regionali o compartimentali, esamina l’attività di rappresentanza e difesa degli uffici periferici dinanzi alle corti di giustizia tributaria di primo e secondo grado e, se necessario, impartisce le direttive del caso per la loro organizzazione.</w:t>
      </w:r>
    </w:p>
    <w:p w14:paraId="7F0C4E70" w14:textId="77777777" w:rsidR="00B32EF2" w:rsidRDefault="00000000">
      <w:pPr>
        <w:numPr>
          <w:ilvl w:val="0"/>
          <w:numId w:val="185"/>
        </w:numPr>
        <w:spacing w:after="5" w:line="250" w:lineRule="auto"/>
        <w:ind w:hanging="10"/>
        <w:jc w:val="both"/>
      </w:pPr>
      <w:r>
        <w:rPr>
          <w:rFonts w:ascii="Arial" w:eastAsia="Arial" w:hAnsi="Arial" w:cs="Arial"/>
          <w:sz w:val="18"/>
        </w:rPr>
        <w:t>Gli uffici periferici, sulla base degli indirizzi e delle direttive di cui ai commi 2 e 3, esercitano l’attività di rappresentanza e difesa dell’Amministrazione nelle controversie dinanzi alle corti di giustizia tributaria di primo e secondo grado e coordinano con gli uffici competenti dell’Avvocatura dello Stato le iniziative dirette a facilitare l’assistenza consultiva e il patrocinio in giudizio da parte della stessa.</w:t>
      </w:r>
    </w:p>
    <w:p w14:paraId="162A0E55" w14:textId="77777777" w:rsidR="00B32EF2" w:rsidRDefault="00000000">
      <w:pPr>
        <w:spacing w:after="5" w:line="250" w:lineRule="auto"/>
        <w:ind w:left="-4" w:hanging="10"/>
        <w:jc w:val="both"/>
      </w:pPr>
      <w:r>
        <w:rPr>
          <w:rFonts w:ascii="Arial" w:eastAsia="Arial" w:hAnsi="Arial" w:cs="Arial"/>
          <w:sz w:val="18"/>
        </w:rPr>
        <w:t xml:space="preserve">4-bis. Il dirigente dell’ufficio del Ministero delle finanze di cui all’articolo 11, comma 2, del decreto legislativo 31 dicembre 1992, n. 546, riguardante la capacità di stare in giudizio, stabilisce le condizioni necessarie per la </w:t>
      </w:r>
      <w:r>
        <w:rPr>
          <w:rFonts w:ascii="Arial" w:eastAsia="Arial" w:hAnsi="Arial" w:cs="Arial"/>
          <w:sz w:val="18"/>
        </w:rPr>
        <w:lastRenderedPageBreak/>
        <w:t>formulazione o l’accettazione della proposta di conciliazione di cui all’articolo 48 del citato decreto legislativo n. 546 del 1992.</w:t>
      </w:r>
    </w:p>
    <w:p w14:paraId="66749F3B" w14:textId="77777777" w:rsidR="00B32EF2" w:rsidRDefault="00000000">
      <w:pPr>
        <w:spacing w:after="0" w:line="261" w:lineRule="auto"/>
        <w:ind w:left="12" w:right="3" w:hanging="10"/>
        <w:jc w:val="center"/>
      </w:pPr>
      <w:r>
        <w:rPr>
          <w:rFonts w:ascii="Arial" w:eastAsia="Arial" w:hAnsi="Arial" w:cs="Arial"/>
          <w:b/>
          <w:sz w:val="18"/>
        </w:rPr>
        <w:t>Articolo 38</w:t>
      </w:r>
    </w:p>
    <w:p w14:paraId="230D77CC" w14:textId="77777777" w:rsidR="00B32EF2" w:rsidRDefault="00000000">
      <w:pPr>
        <w:spacing w:after="5" w:line="250" w:lineRule="auto"/>
        <w:ind w:left="-14" w:firstLine="528"/>
        <w:jc w:val="both"/>
      </w:pPr>
      <w:r>
        <w:rPr>
          <w:rFonts w:ascii="Arial" w:eastAsia="Arial" w:hAnsi="Arial" w:cs="Arial"/>
          <w:b/>
          <w:sz w:val="18"/>
        </w:rPr>
        <w:t xml:space="preserve">Rilevazione ed esame dei motivi di accoglimento dei ricorsi </w:t>
      </w:r>
      <w:r>
        <w:rPr>
          <w:rFonts w:ascii="Arial" w:eastAsia="Arial" w:hAnsi="Arial" w:cs="Arial"/>
          <w:sz w:val="18"/>
        </w:rPr>
        <w:t>1. La direzione centrale di cui all’art. 37, comma 1, rileva, sulla base di relazioni trimestrali delle direzioni regionali e compartimentali ed avvalendosi anche del servizio di cui all’art. 36, i motivi per i quali più frequentemente i ricorsi avverso atti degli uffici periferici sono accolti dalle corti di giustizia tributaria di primo e secondo grado; essa, in relazione ai motivi di accoglimento rilevati, elabora le direttive per gli uffici periferici e formula le conseguenti proposte al Ministro.</w:t>
      </w:r>
    </w:p>
    <w:p w14:paraId="56B98D06" w14:textId="77777777" w:rsidR="00B32EF2" w:rsidRDefault="00000000">
      <w:pPr>
        <w:spacing w:after="187" w:line="250" w:lineRule="auto"/>
        <w:ind w:left="-4" w:hanging="10"/>
        <w:jc w:val="both"/>
      </w:pPr>
      <w:r>
        <w:rPr>
          <w:rFonts w:ascii="Arial" w:eastAsia="Arial" w:hAnsi="Arial" w:cs="Arial"/>
          <w:sz w:val="18"/>
        </w:rPr>
        <w:t>2. La direzione centrale di cui all’art. 37, comma 1, in relazione alla rilevazione di cui al comma 1 ed anche avvalendosi di informazioni ed elementi acquisiti dall’ufficio per l’elaborazione di studi di politica tributaria e di analisi fiscali, formula le proposte di modifiche legislative ritenute necessarie e le trasmette all’ufficio del coordinamento legislativo.</w:t>
      </w:r>
    </w:p>
    <w:p w14:paraId="2763F6B3" w14:textId="77777777" w:rsidR="00B32EF2" w:rsidRDefault="00000000">
      <w:pPr>
        <w:spacing w:after="4" w:line="269" w:lineRule="auto"/>
        <w:ind w:left="10" w:right="1" w:hanging="10"/>
        <w:jc w:val="center"/>
      </w:pPr>
      <w:r>
        <w:rPr>
          <w:rFonts w:ascii="Arial" w:eastAsia="Arial" w:hAnsi="Arial" w:cs="Arial"/>
          <w:b/>
          <w:sz w:val="18"/>
        </w:rPr>
        <w:t>Articolo 39</w:t>
      </w:r>
    </w:p>
    <w:p w14:paraId="40FBEA7F" w14:textId="77777777" w:rsidR="00B32EF2" w:rsidRDefault="00000000">
      <w:pPr>
        <w:spacing w:after="0" w:line="261" w:lineRule="auto"/>
        <w:ind w:left="12" w:right="3" w:hanging="10"/>
        <w:jc w:val="center"/>
      </w:pPr>
      <w:r>
        <w:rPr>
          <w:rFonts w:ascii="Arial" w:eastAsia="Arial" w:hAnsi="Arial" w:cs="Arial"/>
          <w:b/>
          <w:sz w:val="18"/>
        </w:rPr>
        <w:t>Rilevazioni statistiche</w:t>
      </w:r>
    </w:p>
    <w:p w14:paraId="1B5FF031" w14:textId="77777777" w:rsidR="00B32EF2" w:rsidRDefault="00000000">
      <w:pPr>
        <w:spacing w:after="187" w:line="250" w:lineRule="auto"/>
        <w:ind w:left="-4" w:hanging="10"/>
        <w:jc w:val="both"/>
      </w:pPr>
      <w:r>
        <w:rPr>
          <w:rFonts w:ascii="Arial" w:eastAsia="Arial" w:hAnsi="Arial" w:cs="Arial"/>
          <w:sz w:val="18"/>
        </w:rPr>
        <w:t xml:space="preserve">1. La  direzione centrale di cui all’art. 37, comma 1, avvalendosi del servizio di cui all’art. 36, compie tutte le rilevazioni statistiche relative alle controversie pendenti, ai ricorsi proposti ogni anno, alle varie fasi  dei  processi in corso ed alla loro definizione, </w:t>
      </w:r>
      <w:proofErr w:type="spellStart"/>
      <w:r>
        <w:rPr>
          <w:rFonts w:ascii="Arial" w:eastAsia="Arial" w:hAnsi="Arial" w:cs="Arial"/>
          <w:sz w:val="18"/>
        </w:rPr>
        <w:t>nonchè</w:t>
      </w:r>
      <w:proofErr w:type="spellEnd"/>
      <w:r>
        <w:rPr>
          <w:rFonts w:ascii="Arial" w:eastAsia="Arial" w:hAnsi="Arial" w:cs="Arial"/>
          <w:sz w:val="18"/>
        </w:rPr>
        <w:t xml:space="preserve"> ai provvedimenti adottati. 2. Le  modalità  delle  rilevazioni  previste  dal  comma 1 e gli elementi che ne sono oggetto sono stabiliti con regolamento.</w:t>
      </w:r>
    </w:p>
    <w:p w14:paraId="4A8E4A69" w14:textId="77777777" w:rsidR="00B32EF2" w:rsidRDefault="00000000">
      <w:pPr>
        <w:spacing w:after="0" w:line="261" w:lineRule="auto"/>
        <w:ind w:left="12" w:right="3" w:hanging="10"/>
        <w:jc w:val="center"/>
      </w:pPr>
      <w:r>
        <w:rPr>
          <w:rFonts w:ascii="Arial" w:eastAsia="Arial" w:hAnsi="Arial" w:cs="Arial"/>
          <w:b/>
          <w:sz w:val="18"/>
        </w:rPr>
        <w:t>Articolo 40</w:t>
      </w:r>
    </w:p>
    <w:p w14:paraId="4FC98A57" w14:textId="77777777" w:rsidR="00B32EF2" w:rsidRDefault="00000000">
      <w:pPr>
        <w:spacing w:after="4" w:line="269" w:lineRule="auto"/>
        <w:ind w:left="10" w:right="1" w:hanging="10"/>
        <w:jc w:val="center"/>
      </w:pPr>
      <w:r>
        <w:rPr>
          <w:rFonts w:ascii="Arial" w:eastAsia="Arial" w:hAnsi="Arial" w:cs="Arial"/>
          <w:b/>
          <w:sz w:val="18"/>
        </w:rPr>
        <w:t>Ufficio del massimario</w:t>
      </w:r>
    </w:p>
    <w:p w14:paraId="01CD108A" w14:textId="77777777" w:rsidR="00B32EF2" w:rsidRDefault="00000000">
      <w:pPr>
        <w:numPr>
          <w:ilvl w:val="0"/>
          <w:numId w:val="186"/>
        </w:numPr>
        <w:spacing w:after="5" w:line="250" w:lineRule="auto"/>
        <w:ind w:hanging="10"/>
        <w:jc w:val="both"/>
      </w:pPr>
      <w:r>
        <w:rPr>
          <w:rFonts w:ascii="Arial" w:eastAsia="Arial" w:hAnsi="Arial" w:cs="Arial"/>
          <w:sz w:val="18"/>
        </w:rPr>
        <w:t xml:space="preserve">E’ istituito presso ciascuna corte di giustizia tributaria di secondo grado </w:t>
      </w:r>
      <w:proofErr w:type="spellStart"/>
      <w:r>
        <w:rPr>
          <w:rFonts w:ascii="Arial" w:eastAsia="Arial" w:hAnsi="Arial" w:cs="Arial"/>
          <w:sz w:val="18"/>
        </w:rPr>
        <w:t>unufficio</w:t>
      </w:r>
      <w:proofErr w:type="spellEnd"/>
      <w:r>
        <w:rPr>
          <w:rFonts w:ascii="Arial" w:eastAsia="Arial" w:hAnsi="Arial" w:cs="Arial"/>
          <w:sz w:val="18"/>
        </w:rPr>
        <w:t xml:space="preserve"> del massimario, che provvede a rilevare, classificare e ordinare in massime le decisioni della stessa e delle corti di giustizia tributaria di primo grado aventi sede nella sua circoscrizione.</w:t>
      </w:r>
    </w:p>
    <w:p w14:paraId="330024F2" w14:textId="77777777" w:rsidR="00B32EF2" w:rsidRDefault="00000000">
      <w:pPr>
        <w:numPr>
          <w:ilvl w:val="0"/>
          <w:numId w:val="186"/>
        </w:numPr>
        <w:spacing w:after="5" w:line="250" w:lineRule="auto"/>
        <w:ind w:hanging="10"/>
        <w:jc w:val="both"/>
      </w:pPr>
      <w:r>
        <w:rPr>
          <w:rFonts w:ascii="Arial" w:eastAsia="Arial" w:hAnsi="Arial" w:cs="Arial"/>
          <w:sz w:val="18"/>
        </w:rPr>
        <w:t xml:space="preserve">Alle esigenze del suindicato ufficio si provvede nell’ambito del </w:t>
      </w:r>
      <w:proofErr w:type="spellStart"/>
      <w:r>
        <w:rPr>
          <w:rFonts w:ascii="Arial" w:eastAsia="Arial" w:hAnsi="Arial" w:cs="Arial"/>
          <w:sz w:val="18"/>
        </w:rPr>
        <w:t>contingentedi</w:t>
      </w:r>
      <w:proofErr w:type="spellEnd"/>
      <w:r>
        <w:rPr>
          <w:rFonts w:ascii="Arial" w:eastAsia="Arial" w:hAnsi="Arial" w:cs="Arial"/>
          <w:sz w:val="18"/>
        </w:rPr>
        <w:t xml:space="preserve"> cui all’art. 32.</w:t>
      </w:r>
    </w:p>
    <w:p w14:paraId="27963534" w14:textId="77777777" w:rsidR="00B32EF2" w:rsidRDefault="00000000">
      <w:pPr>
        <w:numPr>
          <w:ilvl w:val="0"/>
          <w:numId w:val="186"/>
        </w:numPr>
        <w:spacing w:after="187" w:line="250" w:lineRule="auto"/>
        <w:ind w:hanging="10"/>
        <w:jc w:val="both"/>
      </w:pPr>
      <w:r>
        <w:rPr>
          <w:rFonts w:ascii="Arial" w:eastAsia="Arial" w:hAnsi="Arial" w:cs="Arial"/>
          <w:sz w:val="18"/>
        </w:rPr>
        <w:t xml:space="preserve">Le massime delle decisioni saranno utilizzate per alimentare la banca </w:t>
      </w:r>
      <w:proofErr w:type="spellStart"/>
      <w:r>
        <w:rPr>
          <w:rFonts w:ascii="Arial" w:eastAsia="Arial" w:hAnsi="Arial" w:cs="Arial"/>
          <w:sz w:val="18"/>
        </w:rPr>
        <w:t>datidel</w:t>
      </w:r>
      <w:proofErr w:type="spellEnd"/>
      <w:r>
        <w:rPr>
          <w:rFonts w:ascii="Arial" w:eastAsia="Arial" w:hAnsi="Arial" w:cs="Arial"/>
          <w:sz w:val="18"/>
        </w:rPr>
        <w:t xml:space="preserve"> servizio di documentazione tributaria gestita dal sistema centrale di elaborazione del Ministero delle finanze, al quale le commissioni sono collegate anche per accedere ad altri sistemi di documentazione giuridica e tributaria.</w:t>
      </w:r>
    </w:p>
    <w:p w14:paraId="4883DBD7" w14:textId="77777777" w:rsidR="00B32EF2" w:rsidRDefault="00000000">
      <w:pPr>
        <w:spacing w:after="0" w:line="261" w:lineRule="auto"/>
        <w:ind w:left="12" w:right="3" w:hanging="10"/>
        <w:jc w:val="center"/>
      </w:pPr>
      <w:r>
        <w:rPr>
          <w:rFonts w:ascii="Arial" w:eastAsia="Arial" w:hAnsi="Arial" w:cs="Arial"/>
          <w:b/>
          <w:sz w:val="18"/>
        </w:rPr>
        <w:t>Articolo 41</w:t>
      </w:r>
    </w:p>
    <w:p w14:paraId="059599AE" w14:textId="77777777" w:rsidR="00B32EF2" w:rsidRDefault="00000000">
      <w:pPr>
        <w:spacing w:after="0" w:line="261" w:lineRule="auto"/>
        <w:ind w:left="12" w:right="3" w:hanging="10"/>
        <w:jc w:val="center"/>
      </w:pPr>
      <w:r>
        <w:rPr>
          <w:rFonts w:ascii="Arial" w:eastAsia="Arial" w:hAnsi="Arial" w:cs="Arial"/>
          <w:b/>
          <w:sz w:val="18"/>
        </w:rPr>
        <w:t>Corsi di aggiornamento</w:t>
      </w:r>
    </w:p>
    <w:p w14:paraId="57356221" w14:textId="77777777" w:rsidR="00B32EF2" w:rsidRDefault="00000000">
      <w:pPr>
        <w:spacing w:after="5" w:line="250" w:lineRule="auto"/>
        <w:ind w:left="-4" w:hanging="10"/>
        <w:jc w:val="both"/>
      </w:pPr>
      <w:r>
        <w:rPr>
          <w:rFonts w:ascii="Arial" w:eastAsia="Arial" w:hAnsi="Arial" w:cs="Arial"/>
          <w:i/>
          <w:sz w:val="18"/>
        </w:rPr>
        <w:t xml:space="preserve">Soppresso dal 17/08/2023 da: Decreto-legge del 22/06/2023 n. 75 Articolo 1 ter </w:t>
      </w:r>
      <w:r>
        <w:rPr>
          <w:rFonts w:ascii="Arial" w:eastAsia="Arial" w:hAnsi="Arial" w:cs="Arial"/>
          <w:sz w:val="18"/>
        </w:rPr>
        <w:t xml:space="preserve">1. La scuola centrale tributaria, d’intesa con la direzione centrale di cui all’art. 37, comma 1, e il consiglio di presidenza della giustizia tributaria, organizza </w:t>
      </w:r>
      <w:r>
        <w:rPr>
          <w:rFonts w:ascii="Arial" w:eastAsia="Arial" w:hAnsi="Arial" w:cs="Arial"/>
          <w:sz w:val="18"/>
        </w:rPr>
        <w:lastRenderedPageBreak/>
        <w:t>ogni anno corsi di aggiornamento per i componenti delle corti di giustizia tributaria di primo grado concernenti la disciplina del processo in relazione al sistema normativo dei singoli tributi ed alle modificazioni sopravvenute.</w:t>
      </w:r>
    </w:p>
    <w:p w14:paraId="3602757D" w14:textId="77777777" w:rsidR="00B32EF2" w:rsidRDefault="00000000">
      <w:pPr>
        <w:spacing w:after="5" w:line="250" w:lineRule="auto"/>
        <w:ind w:left="-4" w:hanging="10"/>
        <w:jc w:val="both"/>
      </w:pPr>
      <w:r>
        <w:rPr>
          <w:rFonts w:ascii="Arial" w:eastAsia="Arial" w:hAnsi="Arial" w:cs="Arial"/>
          <w:sz w:val="18"/>
        </w:rPr>
        <w:t>2. Le modalità dei corsi di aggiornamento sono stabiliti con regolamento.</w:t>
      </w:r>
    </w:p>
    <w:p w14:paraId="17620CA9" w14:textId="77777777" w:rsidR="00B32EF2" w:rsidRDefault="00000000">
      <w:pPr>
        <w:spacing w:after="0" w:line="261" w:lineRule="auto"/>
        <w:ind w:left="12" w:right="3" w:hanging="10"/>
        <w:jc w:val="center"/>
      </w:pPr>
      <w:r>
        <w:rPr>
          <w:rFonts w:ascii="Arial" w:eastAsia="Arial" w:hAnsi="Arial" w:cs="Arial"/>
          <w:b/>
          <w:sz w:val="18"/>
        </w:rPr>
        <w:t xml:space="preserve">CAPO VI </w:t>
      </w:r>
    </w:p>
    <w:p w14:paraId="278C777A" w14:textId="77777777" w:rsidR="00B32EF2" w:rsidRDefault="00000000">
      <w:pPr>
        <w:spacing w:after="164" w:line="261" w:lineRule="auto"/>
        <w:ind w:left="12" w:right="2" w:hanging="10"/>
        <w:jc w:val="center"/>
      </w:pPr>
      <w:r>
        <w:rPr>
          <w:rFonts w:ascii="Arial" w:eastAsia="Arial" w:hAnsi="Arial" w:cs="Arial"/>
          <w:b/>
          <w:sz w:val="18"/>
        </w:rPr>
        <w:t xml:space="preserve"> DISPOSIZIONI FINALI E TRANSITORIE </w:t>
      </w:r>
    </w:p>
    <w:p w14:paraId="52D0531E" w14:textId="77777777" w:rsidR="00B32EF2" w:rsidRDefault="00000000">
      <w:pPr>
        <w:spacing w:after="0" w:line="261" w:lineRule="auto"/>
        <w:ind w:left="12" w:right="3" w:hanging="10"/>
        <w:jc w:val="center"/>
      </w:pPr>
      <w:r>
        <w:rPr>
          <w:rFonts w:ascii="Arial" w:eastAsia="Arial" w:hAnsi="Arial" w:cs="Arial"/>
          <w:b/>
          <w:sz w:val="18"/>
        </w:rPr>
        <w:t>Articolo 42</w:t>
      </w:r>
    </w:p>
    <w:p w14:paraId="1D1190E6" w14:textId="77777777" w:rsidR="00B32EF2" w:rsidRDefault="00000000">
      <w:pPr>
        <w:spacing w:after="0" w:line="261" w:lineRule="auto"/>
        <w:ind w:left="12" w:right="2" w:hanging="10"/>
        <w:jc w:val="center"/>
      </w:pPr>
      <w:r>
        <w:rPr>
          <w:rFonts w:ascii="Arial" w:eastAsia="Arial" w:hAnsi="Arial" w:cs="Arial"/>
          <w:b/>
          <w:sz w:val="18"/>
        </w:rPr>
        <w:t>Insediamento delle corti di giustizia tributaria di primo e secondo grado</w:t>
      </w:r>
    </w:p>
    <w:p w14:paraId="45F089B7" w14:textId="77777777" w:rsidR="00B32EF2" w:rsidRDefault="00000000">
      <w:pPr>
        <w:numPr>
          <w:ilvl w:val="0"/>
          <w:numId w:val="187"/>
        </w:numPr>
        <w:spacing w:after="5" w:line="250" w:lineRule="auto"/>
        <w:ind w:hanging="10"/>
        <w:jc w:val="both"/>
      </w:pPr>
      <w:r>
        <w:rPr>
          <w:rFonts w:ascii="Arial" w:eastAsia="Arial" w:hAnsi="Arial" w:cs="Arial"/>
          <w:sz w:val="18"/>
        </w:rPr>
        <w:t xml:space="preserve">Le corti di giustizia tributaria di primo e secondo grado sono insediate </w:t>
      </w:r>
      <w:proofErr w:type="spellStart"/>
      <w:r>
        <w:rPr>
          <w:rFonts w:ascii="Arial" w:eastAsia="Arial" w:hAnsi="Arial" w:cs="Arial"/>
          <w:sz w:val="18"/>
        </w:rPr>
        <w:t>inunica</w:t>
      </w:r>
      <w:proofErr w:type="spellEnd"/>
      <w:r>
        <w:rPr>
          <w:rFonts w:ascii="Arial" w:eastAsia="Arial" w:hAnsi="Arial" w:cs="Arial"/>
          <w:sz w:val="18"/>
        </w:rPr>
        <w:t xml:space="preserve"> data entro il 1° aprile 1996 con decreto del Ministro delle finanze pubblicato nella Gazzetta Ufficiale della Repubblica italiana almeno sessanta giorni prima.</w:t>
      </w:r>
    </w:p>
    <w:p w14:paraId="37E01A3B" w14:textId="77777777" w:rsidR="00B32EF2" w:rsidRDefault="00000000">
      <w:pPr>
        <w:numPr>
          <w:ilvl w:val="0"/>
          <w:numId w:val="187"/>
        </w:numPr>
        <w:spacing w:after="5" w:line="250" w:lineRule="auto"/>
        <w:ind w:hanging="10"/>
        <w:jc w:val="both"/>
      </w:pPr>
      <w:r>
        <w:rPr>
          <w:rFonts w:ascii="Arial" w:eastAsia="Arial" w:hAnsi="Arial" w:cs="Arial"/>
          <w:sz w:val="18"/>
        </w:rPr>
        <w:t xml:space="preserve">Dalla stessa data sono soppresse le corti di giustizia tributaria di primo </w:t>
      </w:r>
      <w:proofErr w:type="spellStart"/>
      <w:r>
        <w:rPr>
          <w:rFonts w:ascii="Arial" w:eastAsia="Arial" w:hAnsi="Arial" w:cs="Arial"/>
          <w:sz w:val="18"/>
        </w:rPr>
        <w:t>esecondo</w:t>
      </w:r>
      <w:proofErr w:type="spellEnd"/>
      <w:r>
        <w:rPr>
          <w:rFonts w:ascii="Arial" w:eastAsia="Arial" w:hAnsi="Arial" w:cs="Arial"/>
          <w:sz w:val="18"/>
        </w:rPr>
        <w:t xml:space="preserve"> grado previste dal decreto del Presidente della Repubblica 26 ottobre 1972, numero 636</w:t>
      </w:r>
    </w:p>
    <w:p w14:paraId="2B5B20BA" w14:textId="77777777" w:rsidR="00B32EF2" w:rsidRDefault="00000000">
      <w:pPr>
        <w:numPr>
          <w:ilvl w:val="0"/>
          <w:numId w:val="187"/>
        </w:numPr>
        <w:spacing w:after="5" w:line="250" w:lineRule="auto"/>
        <w:ind w:hanging="10"/>
        <w:jc w:val="both"/>
      </w:pPr>
      <w:r>
        <w:rPr>
          <w:rFonts w:ascii="Arial" w:eastAsia="Arial" w:hAnsi="Arial" w:cs="Arial"/>
          <w:sz w:val="18"/>
        </w:rPr>
        <w:t>La commissione tributaria centrale prevista dal decreto di cui al comma 2 è soppressa e cessa di funzionare, tenuto conto dei ricorsi pendenti, entro la data stabilita con decreto del Presidente del Consiglio dei ministri, su proposta del Ministro delle finanze.</w:t>
      </w:r>
    </w:p>
    <w:p w14:paraId="62034A7F" w14:textId="77777777" w:rsidR="00B32EF2" w:rsidRDefault="00000000">
      <w:pPr>
        <w:numPr>
          <w:ilvl w:val="0"/>
          <w:numId w:val="187"/>
        </w:numPr>
        <w:spacing w:after="217" w:line="250" w:lineRule="auto"/>
        <w:ind w:hanging="10"/>
        <w:jc w:val="both"/>
      </w:pPr>
      <w:r>
        <w:rPr>
          <w:rFonts w:ascii="Arial" w:eastAsia="Arial" w:hAnsi="Arial" w:cs="Arial"/>
          <w:sz w:val="18"/>
        </w:rPr>
        <w:t xml:space="preserve">Al reperimento delle sedi necessarie all’insediamento di cui al comma 1 </w:t>
      </w:r>
      <w:proofErr w:type="spellStart"/>
      <w:r>
        <w:rPr>
          <w:rFonts w:ascii="Arial" w:eastAsia="Arial" w:hAnsi="Arial" w:cs="Arial"/>
          <w:sz w:val="18"/>
        </w:rPr>
        <w:t>siapplicano</w:t>
      </w:r>
      <w:proofErr w:type="spellEnd"/>
      <w:r>
        <w:rPr>
          <w:rFonts w:ascii="Arial" w:eastAsia="Arial" w:hAnsi="Arial" w:cs="Arial"/>
          <w:sz w:val="18"/>
        </w:rPr>
        <w:t xml:space="preserve"> le disposizioni dell’art. 48 del decreto del Presidente della Repubblica 27 marzo 1992, n. 287.</w:t>
      </w:r>
    </w:p>
    <w:p w14:paraId="334DDC8E" w14:textId="77777777" w:rsidR="00B32EF2" w:rsidRDefault="00000000">
      <w:pPr>
        <w:spacing w:after="0" w:line="261" w:lineRule="auto"/>
        <w:ind w:left="12" w:right="2" w:hanging="10"/>
        <w:jc w:val="center"/>
      </w:pPr>
      <w:r>
        <w:rPr>
          <w:rFonts w:ascii="Arial" w:eastAsia="Arial" w:hAnsi="Arial" w:cs="Arial"/>
          <w:b/>
          <w:sz w:val="18"/>
        </w:rPr>
        <w:t>Articolo 43</w:t>
      </w:r>
    </w:p>
    <w:p w14:paraId="4D12F513" w14:textId="77777777" w:rsidR="00B32EF2" w:rsidRDefault="00000000">
      <w:pPr>
        <w:spacing w:after="0" w:line="261" w:lineRule="auto"/>
        <w:ind w:left="12" w:right="2" w:hanging="10"/>
        <w:jc w:val="center"/>
      </w:pPr>
      <w:r>
        <w:rPr>
          <w:rFonts w:ascii="Arial" w:eastAsia="Arial" w:hAnsi="Arial" w:cs="Arial"/>
          <w:b/>
          <w:sz w:val="18"/>
        </w:rPr>
        <w:t>Nomina dei primi componenti nelle corti di giustizia tributaria di primo e secondo grado</w:t>
      </w:r>
    </w:p>
    <w:p w14:paraId="6B50AA4C" w14:textId="77777777" w:rsidR="00B32EF2" w:rsidRDefault="00000000">
      <w:pPr>
        <w:spacing w:after="5" w:line="250" w:lineRule="auto"/>
        <w:ind w:left="-4" w:hanging="10"/>
        <w:jc w:val="both"/>
      </w:pPr>
      <w:r>
        <w:rPr>
          <w:rFonts w:ascii="Arial" w:eastAsia="Arial" w:hAnsi="Arial" w:cs="Arial"/>
          <w:sz w:val="18"/>
        </w:rPr>
        <w:t xml:space="preserve">1. I componenti delle corti di giustizia tributaria di primo e secondo grado e della commissione tributaria centrale, previste dal decreto del Presidente della Repubblica 26 ottobre 1972, n. 636, in possesso dei requisiti di cui agli articoli 3, 4 e 5, in relazione a ciascun incarico da conferire, sono nominati a domanda componenti delle corti di giustizia tributaria di primo e secondo grado con precedenza rispetto agli altri aspiranti e fino alla concorrenza dei posti disponibili, anche se hanno superato il limite di età di cui all’art. 7, comma 1, lettera d). 2. La domanda di nomina, con l’indicazione completa del posto o dei posti richiesti in ordine di preferenza (presidente di commissione, presidente di sezione, vicepresidente di sezione, giudice </w:t>
      </w:r>
      <w:proofErr w:type="spellStart"/>
      <w:r>
        <w:rPr>
          <w:rFonts w:ascii="Arial" w:eastAsia="Arial" w:hAnsi="Arial" w:cs="Arial"/>
          <w:sz w:val="18"/>
        </w:rPr>
        <w:t>tributariocorte</w:t>
      </w:r>
      <w:proofErr w:type="spellEnd"/>
      <w:r>
        <w:rPr>
          <w:rFonts w:ascii="Arial" w:eastAsia="Arial" w:hAnsi="Arial" w:cs="Arial"/>
          <w:sz w:val="18"/>
        </w:rPr>
        <w:t xml:space="preserve"> di giustizia tributaria di primo grado o di secondo grado, sede) è rivolta al Ministro delle finanze con le modalità ed entro i termini che saranno stabiliti con decreto dello stesso Ministro.</w:t>
      </w:r>
    </w:p>
    <w:p w14:paraId="10A221FE" w14:textId="77777777" w:rsidR="00B32EF2" w:rsidRDefault="00000000">
      <w:pPr>
        <w:numPr>
          <w:ilvl w:val="0"/>
          <w:numId w:val="188"/>
        </w:numPr>
        <w:spacing w:after="5" w:line="250" w:lineRule="auto"/>
        <w:ind w:hanging="199"/>
        <w:jc w:val="both"/>
      </w:pPr>
      <w:r>
        <w:rPr>
          <w:rFonts w:ascii="Arial" w:eastAsia="Arial" w:hAnsi="Arial" w:cs="Arial"/>
          <w:sz w:val="18"/>
        </w:rPr>
        <w:t xml:space="preserve">Sono formati, per ciascuna corte di giustizia tributaria di primo e </w:t>
      </w:r>
      <w:proofErr w:type="spellStart"/>
      <w:r>
        <w:rPr>
          <w:rFonts w:ascii="Arial" w:eastAsia="Arial" w:hAnsi="Arial" w:cs="Arial"/>
          <w:sz w:val="18"/>
        </w:rPr>
        <w:t>secondogrado</w:t>
      </w:r>
      <w:proofErr w:type="spellEnd"/>
      <w:r>
        <w:rPr>
          <w:rFonts w:ascii="Arial" w:eastAsia="Arial" w:hAnsi="Arial" w:cs="Arial"/>
          <w:sz w:val="18"/>
        </w:rPr>
        <w:t xml:space="preserve">, con l’applicazione dei criteri e dei punteggi di cui alla tabella F, distinti elenchi per la nomina a presidente di sezione, a vicepresidente di </w:t>
      </w:r>
      <w:r>
        <w:rPr>
          <w:rFonts w:ascii="Arial" w:eastAsia="Arial" w:hAnsi="Arial" w:cs="Arial"/>
          <w:sz w:val="18"/>
        </w:rPr>
        <w:lastRenderedPageBreak/>
        <w:t>sezione ed a giudice. A parità di punteggio prevale il candidato più anziano di età. Il periodo di esercizio delle funzioni nelle corti di giustizia tributaria di primo e secondo grado e nella commissione centrale è considerato a tutti gli effetti.</w:t>
      </w:r>
    </w:p>
    <w:p w14:paraId="36FED4D5" w14:textId="77777777" w:rsidR="00B32EF2" w:rsidRDefault="00000000">
      <w:pPr>
        <w:numPr>
          <w:ilvl w:val="0"/>
          <w:numId w:val="188"/>
        </w:numPr>
        <w:spacing w:after="5" w:line="250" w:lineRule="auto"/>
        <w:ind w:hanging="199"/>
        <w:jc w:val="both"/>
      </w:pPr>
      <w:r>
        <w:rPr>
          <w:rFonts w:ascii="Arial" w:eastAsia="Arial" w:hAnsi="Arial" w:cs="Arial"/>
          <w:sz w:val="18"/>
        </w:rPr>
        <w:t xml:space="preserve">I componenti delle corti di giustizia tributaria di primo e secondo grado </w:t>
      </w:r>
      <w:proofErr w:type="spellStart"/>
      <w:r>
        <w:rPr>
          <w:rFonts w:ascii="Arial" w:eastAsia="Arial" w:hAnsi="Arial" w:cs="Arial"/>
          <w:sz w:val="18"/>
        </w:rPr>
        <w:t>giàaventi</w:t>
      </w:r>
      <w:proofErr w:type="spellEnd"/>
      <w:r>
        <w:rPr>
          <w:rFonts w:ascii="Arial" w:eastAsia="Arial" w:hAnsi="Arial" w:cs="Arial"/>
          <w:sz w:val="18"/>
        </w:rPr>
        <w:t xml:space="preserve"> sede nella regione sono nominati componenti nelle corti di giustizia tributaria di primo e secondo grado rispettivamente provinciali e regionali costituite nella stessa regione con conferma del grado, della funzione e dell’incarico e con precedenza su ogni altro richiedente collocato negli elenchi di cui al comma 3, salva la precedenza eventualmente spettante nei gradi, nelle funzioni e negli incarichi al presidente, ai presidenti di sezione ed ai componenti della commissione tributaria centrale; dette precedenze vanno determinate in base ai punteggi previsti nelle tabelle E ed F. I componenti le corti di giustizia tributaria di primo e secondo grado, in possesso del diploma di laurea in giurisprudenza ovvero in economia e commercio, con un’anzianità di servizio, senza demerito, di almeno dieci anni per il primo grado e di quindici anni per il secondo grado, sono nominati, con l’applicazione dei criteri e dei punteggi di cui alla tabella F, nei limiti dei posti disponibili, rispettivamente vicepresidenti della corte di giustizia tributaria di primo grado e vicepresidenti della corte di giustizia tributaria di secondo grado.</w:t>
      </w:r>
    </w:p>
    <w:p w14:paraId="6937B4C3" w14:textId="77777777" w:rsidR="00B32EF2" w:rsidRDefault="00000000">
      <w:pPr>
        <w:numPr>
          <w:ilvl w:val="0"/>
          <w:numId w:val="188"/>
        </w:numPr>
        <w:spacing w:after="5" w:line="250" w:lineRule="auto"/>
        <w:ind w:hanging="199"/>
        <w:jc w:val="both"/>
      </w:pPr>
      <w:r>
        <w:rPr>
          <w:rFonts w:ascii="Arial" w:eastAsia="Arial" w:hAnsi="Arial" w:cs="Arial"/>
          <w:sz w:val="18"/>
        </w:rPr>
        <w:t xml:space="preserve">Sono formati, per le nomine di componenti nei posti rimasti disponibili </w:t>
      </w:r>
      <w:proofErr w:type="spellStart"/>
      <w:r>
        <w:rPr>
          <w:rFonts w:ascii="Arial" w:eastAsia="Arial" w:hAnsi="Arial" w:cs="Arial"/>
          <w:sz w:val="18"/>
        </w:rPr>
        <w:t>dopola</w:t>
      </w:r>
      <w:proofErr w:type="spellEnd"/>
      <w:r>
        <w:rPr>
          <w:rFonts w:ascii="Arial" w:eastAsia="Arial" w:hAnsi="Arial" w:cs="Arial"/>
          <w:sz w:val="18"/>
        </w:rPr>
        <w:t xml:space="preserve"> formazione degli elenchi di cui al comma 3, elenchi di coloro che hanno dichiarato la propria disponibilità secondo il procedimento previsto dall’art. 9, sostituita al consiglio di presidenza della giustizia tributaria la commissione di cui al comma 6.</w:t>
      </w:r>
    </w:p>
    <w:p w14:paraId="191E7E53" w14:textId="77777777" w:rsidR="00B32EF2" w:rsidRDefault="00000000">
      <w:pPr>
        <w:numPr>
          <w:ilvl w:val="0"/>
          <w:numId w:val="188"/>
        </w:numPr>
        <w:spacing w:after="5" w:line="250" w:lineRule="auto"/>
        <w:ind w:hanging="199"/>
        <w:jc w:val="both"/>
      </w:pPr>
      <w:r>
        <w:rPr>
          <w:rFonts w:ascii="Arial" w:eastAsia="Arial" w:hAnsi="Arial" w:cs="Arial"/>
          <w:sz w:val="18"/>
        </w:rPr>
        <w:t xml:space="preserve">Gli elenchi di cui ai commi 3 e 5 sono formati da una commissione </w:t>
      </w:r>
      <w:proofErr w:type="spellStart"/>
      <w:r>
        <w:rPr>
          <w:rFonts w:ascii="Arial" w:eastAsia="Arial" w:hAnsi="Arial" w:cs="Arial"/>
          <w:sz w:val="18"/>
        </w:rPr>
        <w:t>nominatadal</w:t>
      </w:r>
      <w:proofErr w:type="spellEnd"/>
      <w:r>
        <w:rPr>
          <w:rFonts w:ascii="Arial" w:eastAsia="Arial" w:hAnsi="Arial" w:cs="Arial"/>
          <w:sz w:val="18"/>
        </w:rPr>
        <w:t xml:space="preserve"> Ministro delle finanze, costituita da un presidente di sezione del Consiglio di Stato, che la presiede, da due magistrati ordinari con qualifica non inferiore a magistrato di cassazione, da due magistrati amministrativi e da due magistrati della Corte dei conti, con qualifica equiparata, e da due dirigenti generali del Ministero delle finanze. La commissione si avvale della Direzione centrale degli affari giuridici e del contenzioso del Ministero. Gli elenchi predetti sono approvati con decreto del Ministro delle finanze.</w:t>
      </w:r>
    </w:p>
    <w:p w14:paraId="41E0F5B1" w14:textId="77777777" w:rsidR="00B32EF2" w:rsidRDefault="00000000">
      <w:pPr>
        <w:numPr>
          <w:ilvl w:val="0"/>
          <w:numId w:val="188"/>
        </w:numPr>
        <w:spacing w:after="5" w:line="250" w:lineRule="auto"/>
        <w:ind w:hanging="199"/>
        <w:jc w:val="both"/>
      </w:pPr>
      <w:r>
        <w:rPr>
          <w:rFonts w:ascii="Arial" w:eastAsia="Arial" w:hAnsi="Arial" w:cs="Arial"/>
          <w:sz w:val="18"/>
        </w:rPr>
        <w:t xml:space="preserve">Le nomine dei componenti le corti di giustizia tributaria di primo e </w:t>
      </w:r>
      <w:proofErr w:type="spellStart"/>
      <w:r>
        <w:rPr>
          <w:rFonts w:ascii="Arial" w:eastAsia="Arial" w:hAnsi="Arial" w:cs="Arial"/>
          <w:sz w:val="18"/>
        </w:rPr>
        <w:t>secondogrado</w:t>
      </w:r>
      <w:proofErr w:type="spellEnd"/>
      <w:r>
        <w:rPr>
          <w:rFonts w:ascii="Arial" w:eastAsia="Arial" w:hAnsi="Arial" w:cs="Arial"/>
          <w:sz w:val="18"/>
        </w:rPr>
        <w:t xml:space="preserve"> nella prima applicazione del presente decreto sono disposte secondo l’ordine degli elenchi con decreto del Presidente della Repubblica su proposta del Ministro delle finanze.</w:t>
      </w:r>
    </w:p>
    <w:p w14:paraId="6E3E6256" w14:textId="77777777" w:rsidR="00B32EF2" w:rsidRDefault="00000000">
      <w:pPr>
        <w:numPr>
          <w:ilvl w:val="0"/>
          <w:numId w:val="188"/>
        </w:numPr>
        <w:spacing w:after="5" w:line="250" w:lineRule="auto"/>
        <w:ind w:hanging="199"/>
        <w:jc w:val="both"/>
      </w:pPr>
      <w:r>
        <w:rPr>
          <w:rFonts w:ascii="Arial" w:eastAsia="Arial" w:hAnsi="Arial" w:cs="Arial"/>
          <w:sz w:val="18"/>
        </w:rPr>
        <w:t>I componenti delle corti di giustizia tributaria di primo e secondo grado nominati secondo le disposizioni del presente articolo prestano giuramento dinanzi al presidente rispettivamente del tribunale e della corte di appello, nella cui circoscrizione la commissione relativa ha sede. Si applicano le disposizioni dell’art. 10, commi 1 e 5.</w:t>
      </w:r>
    </w:p>
    <w:p w14:paraId="6A4F71AE" w14:textId="77777777" w:rsidR="00B32EF2" w:rsidRDefault="00000000">
      <w:pPr>
        <w:spacing w:after="5" w:line="250" w:lineRule="auto"/>
        <w:ind w:left="-4" w:hanging="10"/>
        <w:jc w:val="both"/>
      </w:pPr>
      <w:r>
        <w:rPr>
          <w:rFonts w:ascii="Arial" w:eastAsia="Arial" w:hAnsi="Arial" w:cs="Arial"/>
          <w:sz w:val="18"/>
        </w:rPr>
        <w:lastRenderedPageBreak/>
        <w:t xml:space="preserve">8-bis. Fermo restando quanto previsto dall’articolo 24, il Consiglio di Presidenza della giustizia tributaria delibera su ogni provvedimento riguardante i componenti delle corti di giustizia tributaria di primo e secondo grado, </w:t>
      </w:r>
      <w:proofErr w:type="spellStart"/>
      <w:r>
        <w:rPr>
          <w:rFonts w:ascii="Arial" w:eastAsia="Arial" w:hAnsi="Arial" w:cs="Arial"/>
          <w:sz w:val="18"/>
        </w:rPr>
        <w:t>nonchè</w:t>
      </w:r>
      <w:proofErr w:type="spellEnd"/>
      <w:r>
        <w:rPr>
          <w:rFonts w:ascii="Arial" w:eastAsia="Arial" w:hAnsi="Arial" w:cs="Arial"/>
          <w:sz w:val="18"/>
        </w:rPr>
        <w:t xml:space="preserve"> su eventuali rettifiche degli elenchi di cui ai commi 3 e 5, relativamente al periodo di tempo intercorrente tra l’approvazione di detti elenchi e la data del suo insediamento.</w:t>
      </w:r>
    </w:p>
    <w:p w14:paraId="04C9048B" w14:textId="77777777" w:rsidR="00B32EF2" w:rsidRDefault="00000000">
      <w:pPr>
        <w:numPr>
          <w:ilvl w:val="0"/>
          <w:numId w:val="188"/>
        </w:numPr>
        <w:spacing w:after="5" w:line="250" w:lineRule="auto"/>
        <w:ind w:hanging="199"/>
        <w:jc w:val="both"/>
      </w:pPr>
      <w:r>
        <w:rPr>
          <w:rFonts w:ascii="Arial" w:eastAsia="Arial" w:hAnsi="Arial" w:cs="Arial"/>
          <w:sz w:val="18"/>
        </w:rPr>
        <w:t>(soppresso).</w:t>
      </w:r>
    </w:p>
    <w:p w14:paraId="2EC0044A" w14:textId="77777777" w:rsidR="00B32EF2" w:rsidRDefault="00000000">
      <w:pPr>
        <w:numPr>
          <w:ilvl w:val="0"/>
          <w:numId w:val="188"/>
        </w:numPr>
        <w:spacing w:after="217" w:line="250" w:lineRule="auto"/>
        <w:ind w:hanging="199"/>
        <w:jc w:val="both"/>
      </w:pPr>
      <w:r>
        <w:rPr>
          <w:rFonts w:ascii="Arial" w:eastAsia="Arial" w:hAnsi="Arial" w:cs="Arial"/>
          <w:sz w:val="18"/>
        </w:rPr>
        <w:t>Prima della costituzione del consiglio di presidenza della giustizia tributaria, le nomine dei giudici tributari sono effettuate secondo le disposizioni contenute nel decreto del Presidente della Repubblica 26 ottobre 1972, n. 636, con l’osservanza dei requisiti previsti dagli articoli 3, 4 e 5 del presente decreto legislativo; in tali ipotesi si applica il disposto del primo periodo del comma 4.</w:t>
      </w:r>
    </w:p>
    <w:p w14:paraId="177162C7" w14:textId="77777777" w:rsidR="00B32EF2" w:rsidRDefault="00000000">
      <w:pPr>
        <w:spacing w:after="0" w:line="261" w:lineRule="auto"/>
        <w:ind w:left="12" w:right="3" w:hanging="10"/>
        <w:jc w:val="center"/>
      </w:pPr>
      <w:r>
        <w:rPr>
          <w:rFonts w:ascii="Arial" w:eastAsia="Arial" w:hAnsi="Arial" w:cs="Arial"/>
          <w:b/>
          <w:sz w:val="18"/>
        </w:rPr>
        <w:t>Articolo 44</w:t>
      </w:r>
    </w:p>
    <w:p w14:paraId="73E7223D" w14:textId="77777777" w:rsidR="00B32EF2" w:rsidRDefault="00000000">
      <w:pPr>
        <w:spacing w:after="0" w:line="261" w:lineRule="auto"/>
        <w:ind w:left="12" w:right="2" w:hanging="10"/>
        <w:jc w:val="center"/>
      </w:pPr>
      <w:r>
        <w:rPr>
          <w:rFonts w:ascii="Arial" w:eastAsia="Arial" w:hAnsi="Arial" w:cs="Arial"/>
          <w:b/>
          <w:sz w:val="18"/>
        </w:rPr>
        <w:t>Nomina nelle corti di giustizia tributaria di primo e secondo grado dei componenti della commissione tributaria centrale</w:t>
      </w:r>
    </w:p>
    <w:p w14:paraId="051975F9" w14:textId="77777777" w:rsidR="00B32EF2" w:rsidRDefault="00000000">
      <w:pPr>
        <w:spacing w:after="215" w:line="252" w:lineRule="auto"/>
        <w:ind w:left="-4" w:hanging="10"/>
      </w:pPr>
      <w:r>
        <w:rPr>
          <w:rFonts w:ascii="Arial" w:eastAsia="Arial" w:hAnsi="Arial" w:cs="Arial"/>
          <w:sz w:val="18"/>
        </w:rPr>
        <w:t>1. Coloro che sono rimasti a comporre la commissione tributaria centrale fino alla cessazione dell’attività di tale organo, a partire da tale data entrano a far parte dell’ordinamento giudiziario tributario e sono nominati nelle corti di giustizia tributaria di primo e secondo grado, su loro domanda, con precedenza sugli altri aspiranti con i criteri di valutazione ed i punteggi di cui alla tabella F ed, a parità di punteggio, secondo la maggiore anzianità di età.</w:t>
      </w:r>
    </w:p>
    <w:p w14:paraId="3CCF9604" w14:textId="77777777" w:rsidR="00B32EF2" w:rsidRDefault="00000000">
      <w:pPr>
        <w:spacing w:after="0" w:line="261" w:lineRule="auto"/>
        <w:ind w:left="12" w:right="3" w:hanging="10"/>
        <w:jc w:val="center"/>
      </w:pPr>
      <w:r>
        <w:rPr>
          <w:rFonts w:ascii="Arial" w:eastAsia="Arial" w:hAnsi="Arial" w:cs="Arial"/>
          <w:b/>
          <w:sz w:val="18"/>
        </w:rPr>
        <w:t>Articolo 44 bis</w:t>
      </w:r>
    </w:p>
    <w:p w14:paraId="02BAF904" w14:textId="77777777" w:rsidR="00B32EF2" w:rsidRDefault="00000000">
      <w:pPr>
        <w:spacing w:after="4" w:line="269" w:lineRule="auto"/>
        <w:ind w:left="10" w:right="1" w:hanging="10"/>
        <w:jc w:val="center"/>
      </w:pPr>
      <w:r>
        <w:rPr>
          <w:rFonts w:ascii="Arial" w:eastAsia="Arial" w:hAnsi="Arial" w:cs="Arial"/>
          <w:b/>
          <w:sz w:val="18"/>
        </w:rPr>
        <w:t>Decisione di controversie pendenti al 1 aprile 1996</w:t>
      </w:r>
    </w:p>
    <w:p w14:paraId="59EFAE99" w14:textId="77777777" w:rsidR="00B32EF2" w:rsidRDefault="00000000">
      <w:pPr>
        <w:numPr>
          <w:ilvl w:val="0"/>
          <w:numId w:val="189"/>
        </w:numPr>
        <w:spacing w:after="5" w:line="250" w:lineRule="auto"/>
        <w:ind w:hanging="10"/>
        <w:jc w:val="both"/>
      </w:pPr>
      <w:r>
        <w:rPr>
          <w:rFonts w:ascii="Arial" w:eastAsia="Arial" w:hAnsi="Arial" w:cs="Arial"/>
          <w:sz w:val="18"/>
        </w:rPr>
        <w:t>In deroga all’articolo 2, comma 5, le controversie pendenti alla data del 1°aprile 1996 dinanzi alle corti di giustizia tributaria di primo grado, di valore inferiore a cinque milioni di lire, sono trattate e decise da un giudice singolo designato dal presidente della sezione fra i componenti della stessa.</w:t>
      </w:r>
    </w:p>
    <w:p w14:paraId="5B09FA80" w14:textId="77777777" w:rsidR="00B32EF2" w:rsidRDefault="00000000">
      <w:pPr>
        <w:numPr>
          <w:ilvl w:val="0"/>
          <w:numId w:val="189"/>
        </w:numPr>
        <w:spacing w:after="217" w:line="250" w:lineRule="auto"/>
        <w:ind w:hanging="10"/>
        <w:jc w:val="both"/>
      </w:pPr>
      <w:r>
        <w:rPr>
          <w:rFonts w:ascii="Arial" w:eastAsia="Arial" w:hAnsi="Arial" w:cs="Arial"/>
          <w:sz w:val="18"/>
        </w:rPr>
        <w:t xml:space="preserve">Oltre ai compensi fisso e aggiuntivo spettanti ai sensi dell’articolo 13, </w:t>
      </w:r>
      <w:proofErr w:type="spellStart"/>
      <w:r>
        <w:rPr>
          <w:rFonts w:ascii="Arial" w:eastAsia="Arial" w:hAnsi="Arial" w:cs="Arial"/>
          <w:sz w:val="18"/>
        </w:rPr>
        <w:t>algiudice</w:t>
      </w:r>
      <w:proofErr w:type="spellEnd"/>
      <w:r>
        <w:rPr>
          <w:rFonts w:ascii="Arial" w:eastAsia="Arial" w:hAnsi="Arial" w:cs="Arial"/>
          <w:sz w:val="18"/>
        </w:rPr>
        <w:t xml:space="preserve"> unico è dovuto, per ogni ricorso definito nella qualità, un compenso uguale a quello globalmente stabilito per le sentenze collegiali.</w:t>
      </w:r>
    </w:p>
    <w:p w14:paraId="28DBE5F4" w14:textId="77777777" w:rsidR="00B32EF2" w:rsidRDefault="00000000">
      <w:pPr>
        <w:spacing w:after="0" w:line="261" w:lineRule="auto"/>
        <w:ind w:left="12" w:right="3" w:hanging="10"/>
        <w:jc w:val="center"/>
      </w:pPr>
      <w:r>
        <w:rPr>
          <w:rFonts w:ascii="Arial" w:eastAsia="Arial" w:hAnsi="Arial" w:cs="Arial"/>
          <w:b/>
          <w:sz w:val="18"/>
        </w:rPr>
        <w:t>Articolo 44 ter</w:t>
      </w:r>
    </w:p>
    <w:p w14:paraId="1711993C" w14:textId="77777777" w:rsidR="00B32EF2" w:rsidRDefault="00000000">
      <w:pPr>
        <w:spacing w:after="4" w:line="269" w:lineRule="auto"/>
        <w:ind w:left="10" w:right="1" w:hanging="10"/>
        <w:jc w:val="center"/>
      </w:pPr>
      <w:r>
        <w:rPr>
          <w:rFonts w:ascii="Arial" w:eastAsia="Arial" w:hAnsi="Arial" w:cs="Arial"/>
          <w:b/>
          <w:sz w:val="18"/>
        </w:rPr>
        <w:t>Modifica delle tabelle</w:t>
      </w:r>
    </w:p>
    <w:p w14:paraId="1930533D" w14:textId="77777777" w:rsidR="00B32EF2" w:rsidRDefault="00000000">
      <w:pPr>
        <w:numPr>
          <w:ilvl w:val="0"/>
          <w:numId w:val="190"/>
        </w:numPr>
        <w:spacing w:after="217" w:line="250" w:lineRule="auto"/>
        <w:ind w:hanging="202"/>
        <w:jc w:val="both"/>
      </w:pPr>
      <w:r>
        <w:rPr>
          <w:rFonts w:ascii="Arial" w:eastAsia="Arial" w:hAnsi="Arial" w:cs="Arial"/>
          <w:sz w:val="18"/>
        </w:rPr>
        <w:t xml:space="preserve">I  criteri  di  valutazione  e  i  punteggi  di  cui  alle tabelle E ed F </w:t>
      </w:r>
      <w:proofErr w:type="spellStart"/>
      <w:r>
        <w:rPr>
          <w:rFonts w:ascii="Arial" w:eastAsia="Arial" w:hAnsi="Arial" w:cs="Arial"/>
          <w:sz w:val="18"/>
        </w:rPr>
        <w:t>allegateal</w:t>
      </w:r>
      <w:proofErr w:type="spellEnd"/>
      <w:r>
        <w:rPr>
          <w:rFonts w:ascii="Arial" w:eastAsia="Arial" w:hAnsi="Arial" w:cs="Arial"/>
          <w:sz w:val="18"/>
        </w:rPr>
        <w:t xml:space="preserve">   presente   decreto  sono  modificati,  su  conforme  parere  del consiglio di presidenza  della giustizia tributaria, con decreto del Ministro dell’economia e delle finanze.</w:t>
      </w:r>
    </w:p>
    <w:p w14:paraId="6DF606BA" w14:textId="77777777" w:rsidR="00B32EF2" w:rsidRDefault="00000000">
      <w:pPr>
        <w:spacing w:after="0" w:line="261" w:lineRule="auto"/>
        <w:ind w:left="12" w:right="2" w:hanging="10"/>
        <w:jc w:val="center"/>
      </w:pPr>
      <w:r>
        <w:rPr>
          <w:rFonts w:ascii="Arial" w:eastAsia="Arial" w:hAnsi="Arial" w:cs="Arial"/>
          <w:b/>
          <w:sz w:val="18"/>
        </w:rPr>
        <w:t>Articolo 45</w:t>
      </w:r>
    </w:p>
    <w:p w14:paraId="126CF6EC" w14:textId="77777777" w:rsidR="00B32EF2" w:rsidRDefault="00000000">
      <w:pPr>
        <w:spacing w:after="5" w:line="250" w:lineRule="auto"/>
        <w:ind w:left="-4" w:hanging="10"/>
        <w:jc w:val="both"/>
      </w:pPr>
      <w:r>
        <w:rPr>
          <w:rFonts w:ascii="Arial" w:eastAsia="Arial" w:hAnsi="Arial" w:cs="Arial"/>
          <w:b/>
          <w:sz w:val="18"/>
        </w:rPr>
        <w:lastRenderedPageBreak/>
        <w:t xml:space="preserve">Prima costituzione del consiglio di presidenza della giustizia tributaria </w:t>
      </w:r>
      <w:r>
        <w:rPr>
          <w:rFonts w:ascii="Arial" w:eastAsia="Arial" w:hAnsi="Arial" w:cs="Arial"/>
          <w:sz w:val="18"/>
        </w:rPr>
        <w:t>1. Nella prima applicazione del presente decreto il consiglio di presidenza è eletto da tutti i componenti delle corti di giustizia tributaria di primo e secondo grado nominati a norma dell’art. 43.</w:t>
      </w:r>
    </w:p>
    <w:p w14:paraId="79497E31" w14:textId="77777777" w:rsidR="00B32EF2" w:rsidRDefault="00000000">
      <w:pPr>
        <w:numPr>
          <w:ilvl w:val="0"/>
          <w:numId w:val="190"/>
        </w:numPr>
        <w:spacing w:after="5" w:line="250" w:lineRule="auto"/>
        <w:ind w:hanging="202"/>
        <w:jc w:val="both"/>
      </w:pPr>
      <w:r>
        <w:rPr>
          <w:rFonts w:ascii="Arial" w:eastAsia="Arial" w:hAnsi="Arial" w:cs="Arial"/>
          <w:sz w:val="18"/>
        </w:rPr>
        <w:t>Le elezioni hanno luogo entro il 31 dicembre 1996.</w:t>
      </w:r>
    </w:p>
    <w:p w14:paraId="137B226D" w14:textId="77777777" w:rsidR="00B32EF2" w:rsidRDefault="00000000">
      <w:pPr>
        <w:spacing w:after="0" w:line="261" w:lineRule="auto"/>
        <w:ind w:left="12" w:right="3" w:hanging="10"/>
        <w:jc w:val="center"/>
      </w:pPr>
      <w:r>
        <w:rPr>
          <w:rFonts w:ascii="Arial" w:eastAsia="Arial" w:hAnsi="Arial" w:cs="Arial"/>
          <w:b/>
          <w:sz w:val="18"/>
        </w:rPr>
        <w:t>Articolo 46</w:t>
      </w:r>
    </w:p>
    <w:p w14:paraId="75E4768D" w14:textId="77777777" w:rsidR="00B32EF2" w:rsidRDefault="00000000">
      <w:pPr>
        <w:spacing w:after="0" w:line="261" w:lineRule="auto"/>
        <w:ind w:left="12" w:right="2" w:hanging="10"/>
        <w:jc w:val="center"/>
      </w:pPr>
      <w:r>
        <w:rPr>
          <w:rFonts w:ascii="Arial" w:eastAsia="Arial" w:hAnsi="Arial" w:cs="Arial"/>
          <w:b/>
          <w:sz w:val="18"/>
        </w:rPr>
        <w:t>Personale addetto alle segreterie delle corti di giustizia tributaria di primo e secondo grado soppresse</w:t>
      </w:r>
    </w:p>
    <w:p w14:paraId="58A4FFF3" w14:textId="77777777" w:rsidR="00B32EF2" w:rsidRDefault="00000000">
      <w:pPr>
        <w:numPr>
          <w:ilvl w:val="0"/>
          <w:numId w:val="191"/>
        </w:numPr>
        <w:spacing w:after="5" w:line="250" w:lineRule="auto"/>
        <w:ind w:hanging="10"/>
        <w:jc w:val="both"/>
      </w:pPr>
      <w:r>
        <w:rPr>
          <w:rFonts w:ascii="Arial" w:eastAsia="Arial" w:hAnsi="Arial" w:cs="Arial"/>
          <w:sz w:val="18"/>
        </w:rPr>
        <w:t>Il personale in servizio alla data del 1° ottobre 1993 presso le segreterie delle corti di giustizia tributaria di primo e secondo grado previste dal decreto del Presidente della Repubblica 26 ottobre 1972, n. 636, è assegnato dalla stessa data al contingente di cui all’art. 32 e destinato alle corti di giustizia tributaria di primo e secondo grado nella cui circoscrizione è la residenza di ognuno nei limiti dei posti disponibili.</w:t>
      </w:r>
    </w:p>
    <w:p w14:paraId="4CFBE983" w14:textId="77777777" w:rsidR="00B32EF2" w:rsidRDefault="00000000">
      <w:pPr>
        <w:numPr>
          <w:ilvl w:val="0"/>
          <w:numId w:val="191"/>
        </w:numPr>
        <w:spacing w:after="5" w:line="250" w:lineRule="auto"/>
        <w:ind w:hanging="10"/>
        <w:jc w:val="both"/>
      </w:pPr>
      <w:r>
        <w:rPr>
          <w:rFonts w:ascii="Arial" w:eastAsia="Arial" w:hAnsi="Arial" w:cs="Arial"/>
          <w:sz w:val="18"/>
        </w:rPr>
        <w:t xml:space="preserve">Il personale in servizio alla data del 31 dicembre 1995 presso la </w:t>
      </w:r>
      <w:proofErr w:type="spellStart"/>
      <w:r>
        <w:rPr>
          <w:rFonts w:ascii="Arial" w:eastAsia="Arial" w:hAnsi="Arial" w:cs="Arial"/>
          <w:sz w:val="18"/>
        </w:rPr>
        <w:t>segreteriadella</w:t>
      </w:r>
      <w:proofErr w:type="spellEnd"/>
      <w:r>
        <w:rPr>
          <w:rFonts w:ascii="Arial" w:eastAsia="Arial" w:hAnsi="Arial" w:cs="Arial"/>
          <w:sz w:val="18"/>
        </w:rPr>
        <w:t xml:space="preserve"> commissione tributaria centrale prevista dal decreto del Presidente della Repubblica 26 ottobre 1972, n. 636, è assegnato dal 1° gennaio 1996 al contingente di cui all’art. 32 e destinato alle corti di giustizia tributaria di primo e secondo grado aventi sede in Roma.</w:t>
      </w:r>
    </w:p>
    <w:p w14:paraId="773A376E" w14:textId="77777777" w:rsidR="00B32EF2" w:rsidRDefault="00000000">
      <w:pPr>
        <w:numPr>
          <w:ilvl w:val="0"/>
          <w:numId w:val="191"/>
        </w:numPr>
        <w:spacing w:after="217" w:line="250" w:lineRule="auto"/>
        <w:ind w:hanging="10"/>
        <w:jc w:val="both"/>
      </w:pPr>
      <w:r>
        <w:rPr>
          <w:rFonts w:ascii="Arial" w:eastAsia="Arial" w:hAnsi="Arial" w:cs="Arial"/>
          <w:sz w:val="18"/>
        </w:rPr>
        <w:t xml:space="preserve">Al personale in servizio presso la segreteria della commissione </w:t>
      </w:r>
      <w:proofErr w:type="spellStart"/>
      <w:r>
        <w:rPr>
          <w:rFonts w:ascii="Arial" w:eastAsia="Arial" w:hAnsi="Arial" w:cs="Arial"/>
          <w:sz w:val="18"/>
        </w:rPr>
        <w:t>tributariacentrale</w:t>
      </w:r>
      <w:proofErr w:type="spellEnd"/>
      <w:r>
        <w:rPr>
          <w:rFonts w:ascii="Arial" w:eastAsia="Arial" w:hAnsi="Arial" w:cs="Arial"/>
          <w:sz w:val="18"/>
        </w:rPr>
        <w:t xml:space="preserve"> spetta, dalla data di entrata in funzione delle nuove corti di giustizia tributaria di primo e secondo grado e comunque nel limite del contingente di cui all’art. 32, fino alla cessazione dell’attività della stessa il trattamento economico previsto dall’art. 33.</w:t>
      </w:r>
    </w:p>
    <w:p w14:paraId="0F6D65EF" w14:textId="77777777" w:rsidR="00B32EF2" w:rsidRDefault="00000000">
      <w:pPr>
        <w:spacing w:after="0" w:line="261" w:lineRule="auto"/>
        <w:ind w:left="12" w:right="3" w:hanging="10"/>
        <w:jc w:val="center"/>
      </w:pPr>
      <w:r>
        <w:rPr>
          <w:rFonts w:ascii="Arial" w:eastAsia="Arial" w:hAnsi="Arial" w:cs="Arial"/>
          <w:b/>
          <w:sz w:val="18"/>
        </w:rPr>
        <w:t>Articolo 47</w:t>
      </w:r>
    </w:p>
    <w:p w14:paraId="72EC35BF" w14:textId="77777777" w:rsidR="00B32EF2" w:rsidRDefault="00000000">
      <w:pPr>
        <w:spacing w:after="0" w:line="261" w:lineRule="auto"/>
        <w:ind w:left="12" w:right="2" w:hanging="10"/>
        <w:jc w:val="center"/>
      </w:pPr>
      <w:r>
        <w:rPr>
          <w:rFonts w:ascii="Arial" w:eastAsia="Arial" w:hAnsi="Arial" w:cs="Arial"/>
          <w:b/>
          <w:sz w:val="18"/>
        </w:rPr>
        <w:t>Rinunzia all’assegnazione alle segreterie delle corti di giustizia tributaria di primo e secondo grado</w:t>
      </w:r>
    </w:p>
    <w:p w14:paraId="6AD6DBDE" w14:textId="77777777" w:rsidR="00B32EF2" w:rsidRDefault="00000000">
      <w:pPr>
        <w:numPr>
          <w:ilvl w:val="0"/>
          <w:numId w:val="192"/>
        </w:numPr>
        <w:spacing w:after="5" w:line="250" w:lineRule="auto"/>
        <w:ind w:hanging="10"/>
        <w:jc w:val="both"/>
      </w:pPr>
      <w:r>
        <w:rPr>
          <w:rFonts w:ascii="Arial" w:eastAsia="Arial" w:hAnsi="Arial" w:cs="Arial"/>
          <w:sz w:val="18"/>
        </w:rPr>
        <w:t xml:space="preserve">I dirigenti, il personale delle qualifiche ad esaurimento di ispettore </w:t>
      </w:r>
      <w:proofErr w:type="spellStart"/>
      <w:r>
        <w:rPr>
          <w:rFonts w:ascii="Arial" w:eastAsia="Arial" w:hAnsi="Arial" w:cs="Arial"/>
          <w:sz w:val="18"/>
        </w:rPr>
        <w:t>generaleo</w:t>
      </w:r>
      <w:proofErr w:type="spellEnd"/>
      <w:r>
        <w:rPr>
          <w:rFonts w:ascii="Arial" w:eastAsia="Arial" w:hAnsi="Arial" w:cs="Arial"/>
          <w:sz w:val="18"/>
        </w:rPr>
        <w:t xml:space="preserve"> equiparata e di direttore di divisione o equiparate e gli impiegati delle qualifiche funzionali, di ruolo e non di ruolo, compresi quelli provenienti dalle abolite imposte di consumo e quelli degli enti soppressi di cui al ruolo speciale istituito presso il Ministero delle finanze, comunque in servizio alla data di entrata in vigore del presente decreto presso le segreterie delle corti di giustizia tributaria di primo e secondo grado, hanno facoltà di rinunciare, entro e non oltre trenta giorni dalla stessa data, a prestare servizio presso le corti di giustizia tributaria di primo e secondo grado.</w:t>
      </w:r>
    </w:p>
    <w:p w14:paraId="4FBDBAAD" w14:textId="77777777" w:rsidR="00B32EF2" w:rsidRDefault="00000000">
      <w:pPr>
        <w:numPr>
          <w:ilvl w:val="0"/>
          <w:numId w:val="192"/>
        </w:numPr>
        <w:spacing w:after="217" w:line="250" w:lineRule="auto"/>
        <w:ind w:hanging="10"/>
        <w:jc w:val="both"/>
      </w:pPr>
      <w:r>
        <w:rPr>
          <w:rFonts w:ascii="Arial" w:eastAsia="Arial" w:hAnsi="Arial" w:cs="Arial"/>
          <w:sz w:val="18"/>
        </w:rPr>
        <w:t xml:space="preserve">Il personale, che si è avvalso della facoltà di cui al comma 1, </w:t>
      </w:r>
      <w:proofErr w:type="spellStart"/>
      <w:r>
        <w:rPr>
          <w:rFonts w:ascii="Arial" w:eastAsia="Arial" w:hAnsi="Arial" w:cs="Arial"/>
          <w:sz w:val="18"/>
        </w:rPr>
        <w:t>continuta</w:t>
      </w:r>
      <w:proofErr w:type="spellEnd"/>
      <w:r>
        <w:rPr>
          <w:rFonts w:ascii="Arial" w:eastAsia="Arial" w:hAnsi="Arial" w:cs="Arial"/>
          <w:sz w:val="18"/>
        </w:rPr>
        <w:t xml:space="preserve"> </w:t>
      </w:r>
      <w:proofErr w:type="spellStart"/>
      <w:r>
        <w:rPr>
          <w:rFonts w:ascii="Arial" w:eastAsia="Arial" w:hAnsi="Arial" w:cs="Arial"/>
          <w:sz w:val="18"/>
        </w:rPr>
        <w:t>aprestare</w:t>
      </w:r>
      <w:proofErr w:type="spellEnd"/>
      <w:r>
        <w:rPr>
          <w:rFonts w:ascii="Arial" w:eastAsia="Arial" w:hAnsi="Arial" w:cs="Arial"/>
          <w:sz w:val="18"/>
        </w:rPr>
        <w:t xml:space="preserve"> servizio presso gli uffici delle segreterie delle corti di giustizia tributaria di primo e secondo grado fino a quando i posti non saranno coperti con personale di corrispondente qualifica del contingente di cui all’art. 32.</w:t>
      </w:r>
    </w:p>
    <w:p w14:paraId="3CAF4F65" w14:textId="77777777" w:rsidR="00B32EF2" w:rsidRDefault="00000000">
      <w:pPr>
        <w:spacing w:after="0" w:line="261" w:lineRule="auto"/>
        <w:ind w:left="12" w:right="3" w:hanging="10"/>
        <w:jc w:val="center"/>
      </w:pPr>
      <w:r>
        <w:rPr>
          <w:rFonts w:ascii="Arial" w:eastAsia="Arial" w:hAnsi="Arial" w:cs="Arial"/>
          <w:b/>
          <w:sz w:val="18"/>
        </w:rPr>
        <w:t>Articolo 48</w:t>
      </w:r>
    </w:p>
    <w:p w14:paraId="2C85B9A6" w14:textId="77777777" w:rsidR="00B32EF2" w:rsidRDefault="00000000">
      <w:pPr>
        <w:spacing w:after="2" w:line="255" w:lineRule="auto"/>
        <w:ind w:left="163" w:hanging="10"/>
      </w:pPr>
      <w:r>
        <w:rPr>
          <w:rFonts w:ascii="Arial" w:eastAsia="Arial" w:hAnsi="Arial" w:cs="Arial"/>
          <w:b/>
          <w:sz w:val="18"/>
        </w:rPr>
        <w:lastRenderedPageBreak/>
        <w:t>Modalità particolari di inquadramento del personale delle segreterie</w:t>
      </w:r>
    </w:p>
    <w:p w14:paraId="212FD49F" w14:textId="77777777" w:rsidR="00B32EF2" w:rsidRDefault="00000000">
      <w:pPr>
        <w:spacing w:after="5" w:line="250" w:lineRule="auto"/>
        <w:ind w:left="-4" w:hanging="10"/>
        <w:jc w:val="both"/>
      </w:pPr>
      <w:r>
        <w:rPr>
          <w:rFonts w:ascii="Arial" w:eastAsia="Arial" w:hAnsi="Arial" w:cs="Arial"/>
          <w:sz w:val="18"/>
        </w:rPr>
        <w:t>1. Alla    copertura    dei    posti   disponibili    nelle    qualifiche dirigenziali  e  di quelli  rimasti  nelle  qualifiche  funzionali  dopo  gli inquadramenti di  cui  all’art. 46,  si  procede  nei  modi  previsti   dalle disposizioni   vigenti.</w:t>
      </w:r>
    </w:p>
    <w:p w14:paraId="42FC9DE5" w14:textId="77777777" w:rsidR="00B32EF2" w:rsidRDefault="00000000">
      <w:pPr>
        <w:spacing w:after="219" w:line="250" w:lineRule="auto"/>
        <w:ind w:left="-4" w:hanging="10"/>
        <w:jc w:val="both"/>
      </w:pPr>
      <w:r>
        <w:rPr>
          <w:rFonts w:ascii="Arial" w:eastAsia="Arial" w:hAnsi="Arial" w:cs="Arial"/>
          <w:sz w:val="18"/>
        </w:rPr>
        <w:t xml:space="preserve">E’ data tuttavia facoltà, in relazione alla necessità di urgente copertura dei posti delle qualifiche VI,  IV  e III,  di procedere  all’assunzione di idonei  nei  concorsi  ordinari  indetti  dal Ministero delle finanze nei cinque anni antecedenti all’entrata  in vigore del presente decreto,  sulla  base di  graduatorie uniche nazionali approvate con decreto  del  Ministro  delle  finanze,  e  di  indire  concorsi speciali da  espletarsi  secondo  le  disposizioni degli articoli 9, 10  e  11 della legge 4 agosto 1975, n. 397. 2. Gli  impiegati di VII qualifica funzionale, in possesso del diploma di laurea in giurisprudenza o scienze politiche  o   economia   e  commercio   od equipollenti,  che,  per  almeno  cinque anni, abbiano svolto   effettivamente e lodevolmente   funzioni    di    cancelliere,  coordinando   due   o  più sezioni, </w:t>
      </w:r>
      <w:proofErr w:type="spellStart"/>
      <w:r>
        <w:rPr>
          <w:rFonts w:ascii="Arial" w:eastAsia="Arial" w:hAnsi="Arial" w:cs="Arial"/>
          <w:sz w:val="18"/>
        </w:rPr>
        <w:t>purchè</w:t>
      </w:r>
      <w:proofErr w:type="spellEnd"/>
      <w:r>
        <w:rPr>
          <w:rFonts w:ascii="Arial" w:eastAsia="Arial" w:hAnsi="Arial" w:cs="Arial"/>
          <w:sz w:val="18"/>
        </w:rPr>
        <w:t xml:space="preserve"> risultanti da provvedimenti  formali  di  udienza   di   data anteriore all’entrata  in  vigore   del  presente  decreto,  sono  inquadrati nell’VIII qualifica funzionale.</w:t>
      </w:r>
    </w:p>
    <w:p w14:paraId="704234A1" w14:textId="77777777" w:rsidR="00B32EF2" w:rsidRDefault="00000000">
      <w:pPr>
        <w:spacing w:after="4" w:line="269" w:lineRule="auto"/>
        <w:ind w:left="10" w:right="1" w:hanging="10"/>
        <w:jc w:val="center"/>
      </w:pPr>
      <w:r>
        <w:rPr>
          <w:rFonts w:ascii="Arial" w:eastAsia="Arial" w:hAnsi="Arial" w:cs="Arial"/>
          <w:b/>
          <w:sz w:val="18"/>
        </w:rPr>
        <w:t>Articolo 49</w:t>
      </w:r>
    </w:p>
    <w:p w14:paraId="36E9E78B" w14:textId="77777777" w:rsidR="00B32EF2" w:rsidRDefault="00000000">
      <w:pPr>
        <w:spacing w:after="0" w:line="261" w:lineRule="auto"/>
        <w:ind w:left="12" w:right="3" w:hanging="10"/>
        <w:jc w:val="center"/>
      </w:pPr>
      <w:r>
        <w:rPr>
          <w:rFonts w:ascii="Arial" w:eastAsia="Arial" w:hAnsi="Arial" w:cs="Arial"/>
          <w:b/>
          <w:sz w:val="18"/>
        </w:rPr>
        <w:t>Norme abrogate</w:t>
      </w:r>
    </w:p>
    <w:p w14:paraId="46649E6E" w14:textId="77777777" w:rsidR="00B32EF2" w:rsidRDefault="00000000">
      <w:pPr>
        <w:numPr>
          <w:ilvl w:val="0"/>
          <w:numId w:val="193"/>
        </w:numPr>
        <w:spacing w:after="5" w:line="250" w:lineRule="auto"/>
        <w:ind w:hanging="10"/>
        <w:jc w:val="both"/>
      </w:pPr>
      <w:r>
        <w:rPr>
          <w:rFonts w:ascii="Arial" w:eastAsia="Arial" w:hAnsi="Arial" w:cs="Arial"/>
          <w:sz w:val="18"/>
        </w:rPr>
        <w:t xml:space="preserve">A decorrere dalla data di insediamento delle corti di giustizia tributaria </w:t>
      </w:r>
      <w:proofErr w:type="spellStart"/>
      <w:r>
        <w:rPr>
          <w:rFonts w:ascii="Arial" w:eastAsia="Arial" w:hAnsi="Arial" w:cs="Arial"/>
          <w:sz w:val="18"/>
        </w:rPr>
        <w:t>diprimo</w:t>
      </w:r>
      <w:proofErr w:type="spellEnd"/>
      <w:r>
        <w:rPr>
          <w:rFonts w:ascii="Arial" w:eastAsia="Arial" w:hAnsi="Arial" w:cs="Arial"/>
          <w:sz w:val="18"/>
        </w:rPr>
        <w:t xml:space="preserve"> e secondo grado sono abrogati gli articoli da 2 a 14 del decreto del Presidente della Repubblica 26 ottobre 1972, n. 636, salvo quanto disposto dal comma 2.</w:t>
      </w:r>
    </w:p>
    <w:p w14:paraId="1D1EC11F" w14:textId="77777777" w:rsidR="00B32EF2" w:rsidRDefault="00000000">
      <w:pPr>
        <w:numPr>
          <w:ilvl w:val="0"/>
          <w:numId w:val="193"/>
        </w:numPr>
        <w:spacing w:after="212" w:line="250" w:lineRule="auto"/>
        <w:ind w:hanging="10"/>
        <w:jc w:val="both"/>
      </w:pPr>
      <w:r>
        <w:rPr>
          <w:rFonts w:ascii="Arial" w:eastAsia="Arial" w:hAnsi="Arial" w:cs="Arial"/>
          <w:sz w:val="18"/>
        </w:rPr>
        <w:t xml:space="preserve">Gli articoli 4, 5, 6, 7, 8, 9, 10, 11, 12, quarto, 13, 13-bis e 14 del decreto </w:t>
      </w:r>
      <w:proofErr w:type="spellStart"/>
      <w:r>
        <w:rPr>
          <w:rFonts w:ascii="Arial" w:eastAsia="Arial" w:hAnsi="Arial" w:cs="Arial"/>
          <w:sz w:val="18"/>
        </w:rPr>
        <w:t>delPresidente</w:t>
      </w:r>
      <w:proofErr w:type="spellEnd"/>
      <w:r>
        <w:rPr>
          <w:rFonts w:ascii="Arial" w:eastAsia="Arial" w:hAnsi="Arial" w:cs="Arial"/>
          <w:sz w:val="18"/>
        </w:rPr>
        <w:t xml:space="preserve"> della Repubblica 26 ottobre 1972, n. 636, continuano ad applicarsi relativamente alla commissione tributaria centrale fino alla cessazione del suo funzionamento.</w:t>
      </w:r>
    </w:p>
    <w:p w14:paraId="3FE38FF6" w14:textId="77777777" w:rsidR="00B32EF2" w:rsidRDefault="00000000">
      <w:pPr>
        <w:spacing w:after="0" w:line="261" w:lineRule="auto"/>
        <w:ind w:left="12" w:right="3" w:hanging="10"/>
        <w:jc w:val="center"/>
      </w:pPr>
      <w:r>
        <w:rPr>
          <w:rFonts w:ascii="Arial" w:eastAsia="Arial" w:hAnsi="Arial" w:cs="Arial"/>
          <w:b/>
          <w:sz w:val="18"/>
        </w:rPr>
        <w:t>Articolo 50</w:t>
      </w:r>
    </w:p>
    <w:p w14:paraId="1816B812" w14:textId="77777777" w:rsidR="00B32EF2" w:rsidRDefault="00000000">
      <w:pPr>
        <w:spacing w:after="0" w:line="261" w:lineRule="auto"/>
        <w:ind w:left="12" w:right="3" w:hanging="10"/>
        <w:jc w:val="center"/>
      </w:pPr>
      <w:r>
        <w:rPr>
          <w:rFonts w:ascii="Arial" w:eastAsia="Arial" w:hAnsi="Arial" w:cs="Arial"/>
          <w:b/>
          <w:sz w:val="18"/>
        </w:rPr>
        <w:t>Regolamenti</w:t>
      </w:r>
    </w:p>
    <w:p w14:paraId="3AA04D00" w14:textId="77777777" w:rsidR="00B32EF2" w:rsidRDefault="00000000">
      <w:pPr>
        <w:spacing w:after="217" w:line="250" w:lineRule="auto"/>
        <w:ind w:left="-4" w:hanging="10"/>
        <w:jc w:val="both"/>
      </w:pPr>
      <w:r>
        <w:rPr>
          <w:rFonts w:ascii="Arial" w:eastAsia="Arial" w:hAnsi="Arial" w:cs="Arial"/>
          <w:sz w:val="18"/>
        </w:rPr>
        <w:t>1. I regolamenti previsti dal presente decreto sono emanati  entro  il  28 febbraio 1994.</w:t>
      </w:r>
    </w:p>
    <w:p w14:paraId="32B6D743" w14:textId="77777777" w:rsidR="00B32EF2" w:rsidRDefault="00000000">
      <w:pPr>
        <w:spacing w:after="2" w:line="255" w:lineRule="auto"/>
        <w:ind w:left="-14" w:right="2009" w:firstLine="2643"/>
      </w:pPr>
      <w:r>
        <w:rPr>
          <w:rFonts w:ascii="Arial" w:eastAsia="Arial" w:hAnsi="Arial" w:cs="Arial"/>
          <w:b/>
          <w:sz w:val="18"/>
        </w:rPr>
        <w:t>Articolo 51 Entrata in vigore Nota:</w:t>
      </w:r>
    </w:p>
    <w:p w14:paraId="2B6CEC26" w14:textId="77777777" w:rsidR="00B32EF2" w:rsidRDefault="00000000">
      <w:pPr>
        <w:spacing w:after="5" w:line="250" w:lineRule="auto"/>
        <w:ind w:left="-4" w:hanging="10"/>
        <w:jc w:val="both"/>
      </w:pPr>
      <w:r>
        <w:rPr>
          <w:rFonts w:ascii="Arial" w:eastAsia="Arial" w:hAnsi="Arial" w:cs="Arial"/>
          <w:sz w:val="18"/>
        </w:rPr>
        <w:t>Art. 11 dl 437/96 modificato allegato l. 556/1996.</w:t>
      </w:r>
    </w:p>
    <w:p w14:paraId="0CAC3A3C" w14:textId="77777777" w:rsidR="00B32EF2" w:rsidRDefault="00000000">
      <w:pPr>
        <w:numPr>
          <w:ilvl w:val="0"/>
          <w:numId w:val="194"/>
        </w:numPr>
        <w:spacing w:after="5" w:line="250" w:lineRule="auto"/>
        <w:ind w:hanging="193"/>
        <w:jc w:val="both"/>
      </w:pPr>
      <w:r>
        <w:rPr>
          <w:rFonts w:ascii="Arial" w:eastAsia="Arial" w:hAnsi="Arial" w:cs="Arial"/>
          <w:sz w:val="18"/>
        </w:rPr>
        <w:t>Il presente decreto entra in vigore il 15 gennaio 1993.</w:t>
      </w:r>
    </w:p>
    <w:p w14:paraId="4642CDC3" w14:textId="77777777" w:rsidR="00B32EF2" w:rsidRDefault="00000000">
      <w:pPr>
        <w:numPr>
          <w:ilvl w:val="0"/>
          <w:numId w:val="194"/>
        </w:numPr>
        <w:spacing w:after="5" w:line="250" w:lineRule="auto"/>
        <w:ind w:hanging="193"/>
        <w:jc w:val="both"/>
      </w:pPr>
      <w:r>
        <w:rPr>
          <w:rFonts w:ascii="Arial" w:eastAsia="Arial" w:hAnsi="Arial" w:cs="Arial"/>
          <w:sz w:val="18"/>
        </w:rPr>
        <w:t xml:space="preserve">Le disposizioni contenute nel capo II si applicano ai componenti delle </w:t>
      </w:r>
      <w:proofErr w:type="spellStart"/>
      <w:r>
        <w:rPr>
          <w:rFonts w:ascii="Arial" w:eastAsia="Arial" w:hAnsi="Arial" w:cs="Arial"/>
          <w:sz w:val="18"/>
        </w:rPr>
        <w:t>cortidi</w:t>
      </w:r>
      <w:proofErr w:type="spellEnd"/>
      <w:r>
        <w:rPr>
          <w:rFonts w:ascii="Arial" w:eastAsia="Arial" w:hAnsi="Arial" w:cs="Arial"/>
          <w:sz w:val="18"/>
        </w:rPr>
        <w:t xml:space="preserve"> giustizia tributaria di primo e secondo grado e quelle contenute nel capo IV hanno effetto dalla data di insediamento delle corti di giustizia tributaria di primo e secondo grado, salvo quelle di cui all’articolo 35 che hanno effetto a </w:t>
      </w:r>
      <w:r>
        <w:rPr>
          <w:rFonts w:ascii="Arial" w:eastAsia="Arial" w:hAnsi="Arial" w:cs="Arial"/>
          <w:sz w:val="18"/>
        </w:rPr>
        <w:lastRenderedPageBreak/>
        <w:t>decorrere dalla data di ultimazione delle procedure selettive previste dall’articolo 3, comma 205, della legge 28 dicembre 1995, n. 549.</w:t>
      </w:r>
    </w:p>
    <w:p w14:paraId="0BDC9400" w14:textId="77777777" w:rsidR="00B32EF2" w:rsidRDefault="00000000">
      <w:pPr>
        <w:spacing w:after="5" w:line="250" w:lineRule="auto"/>
        <w:ind w:left="-4" w:hanging="10"/>
        <w:jc w:val="both"/>
      </w:pPr>
      <w:r>
        <w:rPr>
          <w:rFonts w:ascii="Arial" w:eastAsia="Arial" w:hAnsi="Arial" w:cs="Arial"/>
          <w:sz w:val="18"/>
        </w:rPr>
        <w:t>Il presente decreto, munito del sigillo dello Stato, sarà inserito nella Raccolta ufficiale degli atti normativi della Repubblica italiana. E’ fatto obbligo a chiunque spetti di osservarlo e di farlo osservare.</w:t>
      </w:r>
    </w:p>
    <w:p w14:paraId="28267588" w14:textId="77777777" w:rsidR="00B32EF2" w:rsidRDefault="00000000">
      <w:pPr>
        <w:spacing w:after="0" w:line="250" w:lineRule="auto"/>
        <w:ind w:left="1817" w:right="1818" w:firstLine="550"/>
      </w:pPr>
      <w:r>
        <w:rPr>
          <w:rFonts w:ascii="Arial" w:eastAsia="Arial" w:hAnsi="Arial" w:cs="Arial"/>
          <w:b/>
        </w:rPr>
        <w:t>Qui terminano le raccolte normative dei</w:t>
      </w:r>
    </w:p>
    <w:p w14:paraId="6677985A" w14:textId="77777777" w:rsidR="00B32EF2" w:rsidRDefault="00000000">
      <w:pPr>
        <w:spacing w:after="0"/>
        <w:ind w:right="1"/>
        <w:jc w:val="center"/>
      </w:pPr>
      <w:r>
        <w:rPr>
          <w:rFonts w:ascii="Arial" w:eastAsia="Arial" w:hAnsi="Arial" w:cs="Arial"/>
          <w:b/>
        </w:rPr>
        <w:t>D.lgs. n. 546/1992 e n. 545/1992.</w:t>
      </w:r>
    </w:p>
    <w:p w14:paraId="151CAC82" w14:textId="77777777" w:rsidR="00B32EF2" w:rsidRDefault="00000000">
      <w:pPr>
        <w:spacing w:after="0" w:line="250" w:lineRule="auto"/>
        <w:ind w:left="1109" w:right="753" w:hanging="116"/>
      </w:pPr>
      <w:r>
        <w:rPr>
          <w:rFonts w:ascii="Arial" w:eastAsia="Arial" w:hAnsi="Arial" w:cs="Arial"/>
          <w:b/>
        </w:rPr>
        <w:t>Segue il Testo Unico Giustizia Tributaria in senso di lettura inverso del volume.</w:t>
      </w:r>
    </w:p>
    <w:p w14:paraId="0812BBB7" w14:textId="77777777" w:rsidR="00B32EF2" w:rsidRDefault="00B32EF2">
      <w:pPr>
        <w:sectPr w:rsidR="00B32EF2">
          <w:headerReference w:type="even" r:id="rId12"/>
          <w:headerReference w:type="default" r:id="rId13"/>
          <w:footerReference w:type="even" r:id="rId14"/>
          <w:footerReference w:type="default" r:id="rId15"/>
          <w:headerReference w:type="first" r:id="rId16"/>
          <w:footerReference w:type="first" r:id="rId17"/>
          <w:pgSz w:w="8504" w:h="11906"/>
          <w:pgMar w:top="1361" w:right="1132" w:bottom="1101" w:left="1133" w:header="720" w:footer="625" w:gutter="0"/>
          <w:cols w:space="720"/>
        </w:sectPr>
      </w:pPr>
    </w:p>
    <w:p w14:paraId="51B80FB4" w14:textId="77777777" w:rsidR="00B32EF2" w:rsidRDefault="00000000">
      <w:pPr>
        <w:spacing w:after="4291"/>
        <w:ind w:left="-1440" w:right="7064"/>
      </w:pPr>
      <w:r>
        <w:rPr>
          <w:noProof/>
        </w:rPr>
        <w:lastRenderedPageBreak/>
        <mc:AlternateContent>
          <mc:Choice Requires="wpg">
            <w:drawing>
              <wp:anchor distT="0" distB="0" distL="114300" distR="114300" simplePos="0" relativeHeight="251660288" behindDoc="0" locked="0" layoutInCell="1" allowOverlap="1" wp14:anchorId="5EE64F73" wp14:editId="4482D5E1">
                <wp:simplePos x="0" y="0"/>
                <wp:positionH relativeFrom="page">
                  <wp:posOffset>2599416</wp:posOffset>
                </wp:positionH>
                <wp:positionV relativeFrom="page">
                  <wp:posOffset>397149</wp:posOffset>
                </wp:positionV>
                <wp:extent cx="201168" cy="188456"/>
                <wp:effectExtent l="0" t="0" r="0" b="0"/>
                <wp:wrapTopAndBottom/>
                <wp:docPr id="198996" name="Group 198996"/>
                <wp:cNvGraphicFramePr/>
                <a:graphic xmlns:a="http://schemas.openxmlformats.org/drawingml/2006/main">
                  <a:graphicData uri="http://schemas.microsoft.com/office/word/2010/wordprocessingGroup">
                    <wpg:wgp>
                      <wpg:cNvGrpSpPr/>
                      <wpg:grpSpPr>
                        <a:xfrm>
                          <a:off x="0" y="0"/>
                          <a:ext cx="201168" cy="188456"/>
                          <a:chOff x="0" y="0"/>
                          <a:chExt cx="201168" cy="188456"/>
                        </a:xfrm>
                      </wpg:grpSpPr>
                      <wps:wsp>
                        <wps:cNvPr id="13958" name="Rectangle 13958"/>
                        <wps:cNvSpPr/>
                        <wps:spPr>
                          <a:xfrm rot="-10799999">
                            <a:off x="-66384" y="-62190"/>
                            <a:ext cx="267553" cy="250646"/>
                          </a:xfrm>
                          <a:prstGeom prst="rect">
                            <a:avLst/>
                          </a:prstGeom>
                          <a:ln>
                            <a:noFill/>
                          </a:ln>
                        </wps:spPr>
                        <wps:txbx>
                          <w:txbxContent>
                            <w:p w14:paraId="5B8153CE" w14:textId="77777777" w:rsidR="00B32EF2" w:rsidRDefault="00000000">
                              <w:r>
                                <w:rPr>
                                  <w:rFonts w:ascii="Times New Roman" w:eastAsia="Times New Roman" w:hAnsi="Times New Roman" w:cs="Times New Roman"/>
                                </w:rPr>
                                <w:t>107</w:t>
                              </w:r>
                            </w:p>
                          </w:txbxContent>
                        </wps:txbx>
                        <wps:bodyPr horzOverflow="overflow" vert="horz" lIns="0" tIns="0" rIns="0" bIns="0" rtlCol="0">
                          <a:noAutofit/>
                        </wps:bodyPr>
                      </wps:wsp>
                    </wpg:wgp>
                  </a:graphicData>
                </a:graphic>
              </wp:anchor>
            </w:drawing>
          </mc:Choice>
          <mc:Fallback>
            <w:pict>
              <v:group w14:anchorId="5EE64F73" id="Group 198996" o:spid="_x0000_s1026" style="position:absolute;left:0;text-align:left;margin-left:204.7pt;margin-top:31.25pt;width:15.85pt;height:14.85pt;z-index:251660288;mso-position-horizontal-relative:page;mso-position-vertical-relative:page" coordsize="201168,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uulFQIAAHcEAAAOAAAAZHJzL2Uyb0RvYy54bWyklMtu2zAQRfcF+g8E97YkPxRbsBwUTWMU&#10;KJogaT+ApqgHQHEIkrbkfn2HlOS0CdBF6gU9fGh479GMdrd9K8lZGNuAymkyjykRikPRqCqnP3/c&#10;zzaUWMdUwSQokdOLsPR2//HDrtOZWEANshCGYBJls07ntHZOZ1FkeS1aZueghcLNEkzLHE5NFRWG&#10;dZi9ldEijtOoA1NoA1xYi6t3wybdh/xlKbh7KEsrHJE5RW0ujCaMRz9G+x3LKsN03fBRBnuHipY1&#10;Ci+9prpjjpGTad6kahtuwELp5hzaCMqy4SJ4QDdJ/MrNwcBJBy9V1lX6ignRvuL07rT8+/lg9LN+&#10;NEii0xWyCDPvpS9N6/9RJekDsssVmegd4biIqpMU3zHHrWSzWa3TASmvkfubp3j95Z/PRdOl0V9S&#10;Oo3FYV/82//z/1wzLQJWm6H/R0OaAtUvt2s0oliLZfqEhcNUJQUZlgOccPqKymYWqU2ciAGsrVkS&#10;32z9L9TCyG2WpsvNihIkNEsXyXYsuivB9Ga9Xg4EF+s4XQWCVxIs08a6g4CW+CCnBqWF9Oz8zToU&#10;hkenI16NVH5UcN9IOez6FQQ6CfaR64/96OkIxQUR1GB+PWAjlxK6nMIYUd/beKnfpUR+VYjet9EU&#10;mCk4ToFx8jOEZhtkfDo5KJug01883DbqwXcaolDdwcjYib59/pyHUy/fi/1vAAAA//8DAFBLAwQU&#10;AAYACAAAACEAtnmpD+AAAAAJAQAADwAAAGRycy9kb3ducmV2LnhtbEyPQUvDQBCF74L/YRnBm90k&#10;psXGTEop6qkItkLpbZudJqHZ2ZDdJum/dz3pcXgf732TrybTioF611hGiGcRCOLS6oYrhO/9+9ML&#10;COcVa9VaJoQbOVgV93e5yrQd+YuGna9EKGGXKYTa+y6T0pU1GeVmtiMO2dn2Rvlw9pXUvRpDuWll&#10;EkULaVTDYaFWHW1qKi+7q0H4GNW4fo7fhu3lvLkd9/PPwzYmxMeHaf0KwtPk/2D41Q/qUASnk72y&#10;dqJFSKNlGlCERTIHEYA0jWMQJ4RlkoAscvn/g+IHAAD//wMAUEsBAi0AFAAGAAgAAAAhALaDOJL+&#10;AAAA4QEAABMAAAAAAAAAAAAAAAAAAAAAAFtDb250ZW50X1R5cGVzXS54bWxQSwECLQAUAAYACAAA&#10;ACEAOP0h/9YAAACUAQAACwAAAAAAAAAAAAAAAAAvAQAAX3JlbHMvLnJlbHNQSwECLQAUAAYACAAA&#10;ACEAiJbrpRUCAAB3BAAADgAAAAAAAAAAAAAAAAAuAgAAZHJzL2Uyb0RvYy54bWxQSwECLQAUAAYA&#10;CAAAACEAtnmpD+AAAAAJAQAADwAAAAAAAAAAAAAAAABvBAAAZHJzL2Rvd25yZXYueG1sUEsFBgAA&#10;AAAEAAQA8wAAAHwFAAAAAA==&#10;">
                <v:rect id="Rectangle 13958" o:spid="_x0000_s1027" style="position:absolute;left:-66384;top:-62190;width:267553;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J4yAAAAN4AAAAPAAAAZHJzL2Rvd25yZXYueG1sRI9Pb8Iw&#10;DMXvk/YdIk/iNtJt2sQ6ApqYED1wGX+kHa3GtN0aJ2oC7fj0+IDEzdZ7fu/n6XxwrTpRFxvPBp7G&#10;GSji0tuGKwO77fJxAiomZIutZzLwTxHms/u7KebW9/xNp02qlIRwzNFAnVLItY5lTQ7j2Adi0Q6+&#10;c5hk7SptO+wl3LX6OcvetMOGpaHGQIuayr/N0Rn4+eJQLHtdHs6LsP4tJu3quNsbM3oYPj9AJRrS&#10;zXy9Lqzgv7y/Cq+8IzPo2QUAAP//AwBQSwECLQAUAAYACAAAACEA2+H2y+4AAACFAQAAEwAAAAAA&#10;AAAAAAAAAAAAAAAAW0NvbnRlbnRfVHlwZXNdLnhtbFBLAQItABQABgAIAAAAIQBa9CxbvwAAABUB&#10;AAALAAAAAAAAAAAAAAAAAB8BAABfcmVscy8ucmVsc1BLAQItABQABgAIAAAAIQBxX/J4yAAAAN4A&#10;AAAPAAAAAAAAAAAAAAAAAAcCAABkcnMvZG93bnJldi54bWxQSwUGAAAAAAMAAwC3AAAA/AIAAAAA&#10;" filled="f" stroked="f">
                  <v:textbox inset="0,0,0,0">
                    <w:txbxContent>
                      <w:p w14:paraId="5B8153CE" w14:textId="77777777" w:rsidR="00B32EF2" w:rsidRDefault="00000000">
                        <w:r>
                          <w:rPr>
                            <w:rFonts w:ascii="Times New Roman" w:eastAsia="Times New Roman" w:hAnsi="Times New Roman" w:cs="Times New Roman"/>
                          </w:rPr>
                          <w:t>107</w:t>
                        </w:r>
                      </w:p>
                    </w:txbxContent>
                  </v:textbox>
                </v:rect>
                <w10:wrap type="topAndBottom" anchorx="page" anchory="page"/>
              </v:group>
            </w:pict>
          </mc:Fallback>
        </mc:AlternateContent>
      </w:r>
    </w:p>
    <w:p w14:paraId="1D3F5D63" w14:textId="77777777" w:rsidR="00B32EF2" w:rsidRDefault="00000000">
      <w:pPr>
        <w:spacing w:after="0"/>
        <w:ind w:left="558"/>
      </w:pPr>
      <w:r>
        <w:rPr>
          <w:noProof/>
        </w:rPr>
        <mc:AlternateContent>
          <mc:Choice Requires="wpg">
            <w:drawing>
              <wp:inline distT="0" distB="0" distL="0" distR="0" wp14:anchorId="6A53F02D" wp14:editId="3131ED94">
                <wp:extent cx="2823658" cy="801870"/>
                <wp:effectExtent l="0" t="0" r="0" b="0"/>
                <wp:docPr id="198997" name="Group 198997"/>
                <wp:cNvGraphicFramePr/>
                <a:graphic xmlns:a="http://schemas.openxmlformats.org/drawingml/2006/main">
                  <a:graphicData uri="http://schemas.microsoft.com/office/word/2010/wordprocessingGroup">
                    <wpg:wgp>
                      <wpg:cNvGrpSpPr/>
                      <wpg:grpSpPr>
                        <a:xfrm>
                          <a:off x="0" y="0"/>
                          <a:ext cx="2823658" cy="801870"/>
                          <a:chOff x="0" y="0"/>
                          <a:chExt cx="2823658" cy="801870"/>
                        </a:xfrm>
                      </wpg:grpSpPr>
                      <wps:wsp>
                        <wps:cNvPr id="13959" name="Rectangle 13959"/>
                        <wps:cNvSpPr/>
                        <wps:spPr>
                          <a:xfrm rot="-10799999">
                            <a:off x="781404" y="627228"/>
                            <a:ext cx="1041303" cy="174642"/>
                          </a:xfrm>
                          <a:prstGeom prst="rect">
                            <a:avLst/>
                          </a:prstGeom>
                          <a:ln>
                            <a:noFill/>
                          </a:ln>
                        </wps:spPr>
                        <wps:txbx>
                          <w:txbxContent>
                            <w:p w14:paraId="3B2353BD" w14:textId="77777777" w:rsidR="00B32EF2" w:rsidRDefault="00000000">
                              <w:r>
                                <w:rPr>
                                  <w:rFonts w:ascii="Arial" w:eastAsia="Arial" w:hAnsi="Arial" w:cs="Arial"/>
                                  <w:b/>
                                </w:rPr>
                                <w:t>Qui termina</w:t>
                              </w:r>
                            </w:p>
                          </w:txbxContent>
                        </wps:txbx>
                        <wps:bodyPr horzOverflow="overflow" vert="horz" lIns="0" tIns="0" rIns="0" bIns="0" rtlCol="0">
                          <a:noAutofit/>
                        </wps:bodyPr>
                      </wps:wsp>
                      <wps:wsp>
                        <wps:cNvPr id="13960" name="Rectangle 13960"/>
                        <wps:cNvSpPr/>
                        <wps:spPr>
                          <a:xfrm rot="-10799999">
                            <a:off x="58595" y="459588"/>
                            <a:ext cx="2199977" cy="174643"/>
                          </a:xfrm>
                          <a:prstGeom prst="rect">
                            <a:avLst/>
                          </a:prstGeom>
                          <a:ln>
                            <a:noFill/>
                          </a:ln>
                        </wps:spPr>
                        <wps:txbx>
                          <w:txbxContent>
                            <w:p w14:paraId="0566A9C3" w14:textId="77777777" w:rsidR="00B32EF2" w:rsidRDefault="00000000">
                              <w:r>
                                <w:rPr>
                                  <w:rFonts w:ascii="Arial" w:eastAsia="Arial" w:hAnsi="Arial" w:cs="Arial"/>
                                  <w:b/>
                                </w:rPr>
                                <w:t>la raccolta normativa del</w:t>
                              </w:r>
                            </w:p>
                          </w:txbxContent>
                        </wps:txbx>
                        <wps:bodyPr horzOverflow="overflow" vert="horz" lIns="0" tIns="0" rIns="0" bIns="0" rtlCol="0">
                          <a:noAutofit/>
                        </wps:bodyPr>
                      </wps:wsp>
                      <wps:wsp>
                        <wps:cNvPr id="13961" name="Rectangle 13961"/>
                        <wps:cNvSpPr/>
                        <wps:spPr>
                          <a:xfrm rot="-10799999">
                            <a:off x="-347629" y="291948"/>
                            <a:ext cx="2851934" cy="174643"/>
                          </a:xfrm>
                          <a:prstGeom prst="rect">
                            <a:avLst/>
                          </a:prstGeom>
                          <a:ln>
                            <a:noFill/>
                          </a:ln>
                        </wps:spPr>
                        <wps:txbx>
                          <w:txbxContent>
                            <w:p w14:paraId="5284990B" w14:textId="77777777" w:rsidR="00B32EF2" w:rsidRDefault="00000000">
                              <w:r>
                                <w:rPr>
                                  <w:rFonts w:ascii="Arial" w:eastAsia="Arial" w:hAnsi="Arial" w:cs="Arial"/>
                                  <w:b/>
                                </w:rPr>
                                <w:t>Testo Unico Giustizia Tributaria.</w:t>
                              </w:r>
                            </w:p>
                          </w:txbxContent>
                        </wps:txbx>
                        <wps:bodyPr horzOverflow="overflow" vert="horz" lIns="0" tIns="0" rIns="0" bIns="0" rtlCol="0">
                          <a:noAutofit/>
                        </wps:bodyPr>
                      </wps:wsp>
                      <wps:wsp>
                        <wps:cNvPr id="13962" name="Rectangle 13962"/>
                        <wps:cNvSpPr/>
                        <wps:spPr>
                          <a:xfrm rot="-10799999">
                            <a:off x="-931806" y="124308"/>
                            <a:ext cx="3755466" cy="174643"/>
                          </a:xfrm>
                          <a:prstGeom prst="rect">
                            <a:avLst/>
                          </a:prstGeom>
                          <a:ln>
                            <a:noFill/>
                          </a:ln>
                        </wps:spPr>
                        <wps:txbx>
                          <w:txbxContent>
                            <w:p w14:paraId="6F0E0860" w14:textId="77777777" w:rsidR="00B32EF2" w:rsidRDefault="00000000">
                              <w:r>
                                <w:rPr>
                                  <w:rFonts w:ascii="Arial" w:eastAsia="Arial" w:hAnsi="Arial" w:cs="Arial"/>
                                  <w:b/>
                                </w:rPr>
                                <w:t xml:space="preserve">Seguono i D.lgs. n. 546/1992 e n. 545/1992 </w:t>
                              </w:r>
                            </w:p>
                          </w:txbxContent>
                        </wps:txbx>
                        <wps:bodyPr horzOverflow="overflow" vert="horz" lIns="0" tIns="0" rIns="0" bIns="0" rtlCol="0">
                          <a:noAutofit/>
                        </wps:bodyPr>
                      </wps:wsp>
                      <wps:wsp>
                        <wps:cNvPr id="13963" name="Rectangle 13963"/>
                        <wps:cNvSpPr/>
                        <wps:spPr>
                          <a:xfrm rot="-10799999">
                            <a:off x="-681423" y="-43332"/>
                            <a:ext cx="3385499" cy="174643"/>
                          </a:xfrm>
                          <a:prstGeom prst="rect">
                            <a:avLst/>
                          </a:prstGeom>
                          <a:ln>
                            <a:noFill/>
                          </a:ln>
                        </wps:spPr>
                        <wps:txbx>
                          <w:txbxContent>
                            <w:p w14:paraId="06120486" w14:textId="77777777" w:rsidR="00B32EF2" w:rsidRDefault="00000000">
                              <w:r>
                                <w:rPr>
                                  <w:rFonts w:ascii="Arial" w:eastAsia="Arial" w:hAnsi="Arial" w:cs="Arial"/>
                                  <w:b/>
                                </w:rPr>
                                <w:t>in senso di lettura inverso del volume.</w:t>
                              </w:r>
                            </w:p>
                          </w:txbxContent>
                        </wps:txbx>
                        <wps:bodyPr horzOverflow="overflow" vert="horz" lIns="0" tIns="0" rIns="0" bIns="0" rtlCol="0">
                          <a:noAutofit/>
                        </wps:bodyPr>
                      </wps:wsp>
                    </wpg:wgp>
                  </a:graphicData>
                </a:graphic>
              </wp:inline>
            </w:drawing>
          </mc:Choice>
          <mc:Fallback>
            <w:pict>
              <v:group w14:anchorId="6A53F02D" id="Group 198997" o:spid="_x0000_s1028" style="width:222.35pt;height:63.15pt;mso-position-horizontal-relative:char;mso-position-vertical-relative:line" coordsize="28236,8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0nYxwIAABcMAAAOAAAAZHJzL2Uyb0RvYy54bWzkVttq3DAQfS/0H4TeN7Ys34k3lKYNhdKE&#10;pv0ArVe+gG0ZSYk3/fqO5Mumm6XQDSSF7IN2dPFodM4Zac4vdm2D7rlUtegyTM5cjHiXi23dlRn+&#10;+ePzKsZIadZtWSM6nuEHrvDF+v2786FPuScq0Wy5ROCkU+nQZ7jSuk8dR+UVb5k6Ez3vYLIQsmUa&#10;urJ0tpIN4L1tHM91Q2cQcttLkXOlYPRynMRr678oeK6vi0JxjZoMQ2zattK2G9M663OWlpL1VZ1P&#10;YbATomhZ3cGmi6tLphm6k/UTV22dS6FEoc9y0TqiKOqc2zPAaYh7cJorKe56e5YyHcp+gQmgPcDp&#10;ZLf5t/sr2d/2NxKQGPoSsLA9c5ZdIVvzD1GinYXsYYGM7zTKYdCLPRoGQHIOc7FL4mjCNK8A+Cef&#10;5dWnv3/ozNs6fwQz9CAPtUdAPQ+B24r13AKrUkDgRqJ6C+qlSZBg1LEWhPodpMO6suFoHLbw2NUL&#10;WCpVgNuMFJIC1LUibpSYn1XDhFwUE9/1MQKIQi/yvHiU3YwhcX1CXTpiSCI/9D2zYIGCpb1U+oqL&#10;FhkjwxJis/7Z/Velx6XzEhNO05m2E5/rphlnzQggOkdsLL3b7MZjm83MyEZsHwCKSshf15DSRSOG&#10;DIvJwibLYW8zi1HzpQMKTELNhpyNzWxI3XwUNu3GaD7caVHUNtz9blNYwO0Yw0uQHELcR0iG4QkI&#10;kMS/kxzEQRJYjn0w4gOOPQKaiKJHHNOX5NgKao/6G+CYHOeYPIvjFfWj0IM7AjLZS0jiH7IcBySh&#10;kOnmNrSZ/KIs283eFMvecZYXuZ+UyauEktgNLcvE86l7wDKNgsAPYf51WPZnCb+Z+xqexmP39SL3&#10;01gO4VX2wDWk6sqnlFrRsHR+lSmNAx/e8VdiOfhfWLaFGFSftiCZKmVT3j7u21d8X8+vfwMAAP//&#10;AwBQSwMEFAAGAAgAAAAhAO/i+XjcAAAABQEAAA8AAABkcnMvZG93bnJldi54bWxMj0FLw0AQhe+C&#10;/2EZwZvdpI1VYjalFPVUBFtBvE2TaRKanQ3ZbZL+e0cvenkwvMd732SrybZqoN43jg3EswgUceHK&#10;hisDH/uXu0dQPiCX2DomAxfysMqvrzJMSzfyOw27UCkpYZ+igTqELtXaFzVZ9DPXEYt3dL3FIGdf&#10;6bLHUcptq+dRtNQWG5aFGjva1FScdmdr4HXEcb2In4ft6bi5fO3v3z63MRlzezOtn0AFmsJfGH7w&#10;BR1yYTq4M5detQbkkfCr4iVJ8gDqIKH5cgE6z/R/+vwbAAD//wMAUEsBAi0AFAAGAAgAAAAhALaD&#10;OJL+AAAA4QEAABMAAAAAAAAAAAAAAAAAAAAAAFtDb250ZW50X1R5cGVzXS54bWxQSwECLQAUAAYA&#10;CAAAACEAOP0h/9YAAACUAQAACwAAAAAAAAAAAAAAAAAvAQAAX3JlbHMvLnJlbHNQSwECLQAUAAYA&#10;CAAAACEAT0NJ2McCAAAXDAAADgAAAAAAAAAAAAAAAAAuAgAAZHJzL2Uyb0RvYy54bWxQSwECLQAU&#10;AAYACAAAACEA7+L5eNwAAAAFAQAADwAAAAAAAAAAAAAAAAAhBQAAZHJzL2Rvd25yZXYueG1sUEsF&#10;BgAAAAAEAAQA8wAAACoGAAAAAA==&#10;">
                <v:rect id="Rectangle 13959" o:spid="_x0000_s1029" style="position:absolute;left:7814;top:6272;width:10413;height:17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1fjxQAAAN4AAAAPAAAAZHJzL2Rvd25yZXYueG1sRE9La8JA&#10;EL4X/A/LCN7qxkpFo6uIRZpDL/UBHofsmESzs0t2NWl/fbcgeJuP7zmLVWdqcafGV5YVjIYJCOLc&#10;6ooLBYf99nUKwgdkjbVlUvBDHlbL3ssCU21b/qb7LhQihrBPUUEZgkul9HlJBv3QOuLInW1jMETY&#10;FFI32MZwU8u3JJlIgxXHhhIdbUrKr7ubUXD6YJdtW5mffzfu65JN68/b4ajUoN+t5yACdeEpfrgz&#10;HeePZ+8z+H8n3iCXfwAAAP//AwBQSwECLQAUAAYACAAAACEA2+H2y+4AAACFAQAAEwAAAAAAAAAA&#10;AAAAAAAAAAAAW0NvbnRlbnRfVHlwZXNdLnhtbFBLAQItABQABgAIAAAAIQBa9CxbvwAAABUBAAAL&#10;AAAAAAAAAAAAAAAAAB8BAABfcmVscy8ucmVsc1BLAQItABQABgAIAAAAIQAeE1fjxQAAAN4AAAAP&#10;AAAAAAAAAAAAAAAAAAcCAABkcnMvZG93bnJldi54bWxQSwUGAAAAAAMAAwC3AAAA+QIAAAAA&#10;" filled="f" stroked="f">
                  <v:textbox inset="0,0,0,0">
                    <w:txbxContent>
                      <w:p w14:paraId="3B2353BD" w14:textId="77777777" w:rsidR="00B32EF2" w:rsidRDefault="00000000">
                        <w:r>
                          <w:rPr>
                            <w:rFonts w:ascii="Arial" w:eastAsia="Arial" w:hAnsi="Arial" w:cs="Arial"/>
                            <w:b/>
                          </w:rPr>
                          <w:t>Qui termina</w:t>
                        </w:r>
                      </w:p>
                    </w:txbxContent>
                  </v:textbox>
                </v:rect>
                <v:rect id="Rectangle 13960" o:spid="_x0000_s1030" style="position:absolute;left:585;top:4595;width:22000;height:1747;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TTDyAAAAN4AAAAPAAAAZHJzL2Rvd25yZXYueG1sRI9Pa8JA&#10;EMXvgt9hGaE33bQFsamrFIs0h178U+hxyI5J2uzskl1N2k/vHARvM8yb995vuR5cqy7UxcazgcdZ&#10;Boq49LbhysDxsJ0uQMWEbLH1TAb+KMJ6NR4tMbe+5x1d9qlSYsIxRwN1SiHXOpY1OYwzH4jldvKd&#10;wyRrV2nbYS/mrtVPWTbXDhuWhBoDbWoqf/dnZ+D7nUOx7XV5+t+Ez59i0X6cj1/GPEyGt1dQiYZ0&#10;F9++Cyv1n1/mAiA4MoNeXQEAAP//AwBQSwECLQAUAAYACAAAACEA2+H2y+4AAACFAQAAEwAAAAAA&#10;AAAAAAAAAAAAAAAAW0NvbnRlbnRfVHlwZXNdLnhtbFBLAQItABQABgAIAAAAIQBa9CxbvwAAABUB&#10;AAALAAAAAAAAAAAAAAAAAB8BAABfcmVscy8ucmVsc1BLAQItABQABgAIAAAAIQBBRTTDyAAAAN4A&#10;AAAPAAAAAAAAAAAAAAAAAAcCAABkcnMvZG93bnJldi54bWxQSwUGAAAAAAMAAwC3AAAA/AIAAAAA&#10;" filled="f" stroked="f">
                  <v:textbox inset="0,0,0,0">
                    <w:txbxContent>
                      <w:p w14:paraId="0566A9C3" w14:textId="77777777" w:rsidR="00B32EF2" w:rsidRDefault="00000000">
                        <w:r>
                          <w:rPr>
                            <w:rFonts w:ascii="Arial" w:eastAsia="Arial" w:hAnsi="Arial" w:cs="Arial"/>
                            <w:b/>
                          </w:rPr>
                          <w:t>la raccolta normativa del</w:t>
                        </w:r>
                      </w:p>
                    </w:txbxContent>
                  </v:textbox>
                </v:rect>
                <v:rect id="Rectangle 13961" o:spid="_x0000_s1031" style="position:absolute;left:-3476;top:2919;width:28519;height:17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ZFYxAAAAN4AAAAPAAAAZHJzL2Rvd25yZXYueG1sRE9Li8Iw&#10;EL4L+x/CLHhbU1cQrUZZXGR78LI+wOPQjG21mYQm2uqvNwsL3ubje8582Zla3KjxlWUFw0ECgji3&#10;uuJCwX63/piA8AFZY22ZFNzJw3Lx1ptjqm3Lv3TbhkLEEPYpKihDcKmUPi/JoB9YRxy5k20Mhgib&#10;QuoG2xhuavmZJGNpsOLYUKKjVUn5ZXs1Co7f7LJ1K/PTY+U252xS/1z3B6X6793XDESgLrzE/+5M&#10;x/mj6XgIf+/EG+TiCQAA//8DAFBLAQItABQABgAIAAAAIQDb4fbL7gAAAIUBAAATAAAAAAAAAAAA&#10;AAAAAAAAAABbQ29udGVudF9UeXBlc10ueG1sUEsBAi0AFAAGAAgAAAAhAFr0LFu/AAAAFQEAAAsA&#10;AAAAAAAAAAAAAAAAHwEAAF9yZWxzLy5yZWxzUEsBAi0AFAAGAAgAAAAhAC4JkVjEAAAA3gAAAA8A&#10;AAAAAAAAAAAAAAAABwIAAGRycy9kb3ducmV2LnhtbFBLBQYAAAAAAwADALcAAAD4AgAAAAA=&#10;" filled="f" stroked="f">
                  <v:textbox inset="0,0,0,0">
                    <w:txbxContent>
                      <w:p w14:paraId="5284990B" w14:textId="77777777" w:rsidR="00B32EF2" w:rsidRDefault="00000000">
                        <w:r>
                          <w:rPr>
                            <w:rFonts w:ascii="Arial" w:eastAsia="Arial" w:hAnsi="Arial" w:cs="Arial"/>
                            <w:b/>
                          </w:rPr>
                          <w:t>Testo Unico Giustizia Tributaria.</w:t>
                        </w:r>
                      </w:p>
                    </w:txbxContent>
                  </v:textbox>
                </v:rect>
                <v:rect id="Rectangle 13962" o:spid="_x0000_s1032" style="position:absolute;left:-9318;top:1243;width:37554;height:17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w8vxAAAAN4AAAAPAAAAZHJzL2Rvd25yZXYueG1sRE9Li8Iw&#10;EL4v+B/CCN7WdBVEq1EWF9ke9uILPA7N2FabSWiirf76jbCwt/n4nrNYdaYWd2p8ZVnBxzABQZxb&#10;XXGh4LDfvE9B+ICssbZMCh7kYbXsvS0w1bblLd13oRAxhH2KCsoQXCqlz0sy6IfWEUfubBuDIcKm&#10;kLrBNoabWo6SZCINVhwbSnS0Lim/7m5GwemLXbZpZX5+rt3PJZvW37fDUalBv/ucgwjUhX/xnzvT&#10;cf54NhnB6514g1z+AgAA//8DAFBLAQItABQABgAIAAAAIQDb4fbL7gAAAIUBAAATAAAAAAAAAAAA&#10;AAAAAAAAAABbQ29udGVudF9UeXBlc10ueG1sUEsBAi0AFAAGAAgAAAAhAFr0LFu/AAAAFQEAAAsA&#10;AAAAAAAAAAAAAAAAHwEAAF9yZWxzLy5yZWxzUEsBAi0AFAAGAAgAAAAhAN7bDy/EAAAA3gAAAA8A&#10;AAAAAAAAAAAAAAAABwIAAGRycy9kb3ducmV2LnhtbFBLBQYAAAAAAwADALcAAAD4AgAAAAA=&#10;" filled="f" stroked="f">
                  <v:textbox inset="0,0,0,0">
                    <w:txbxContent>
                      <w:p w14:paraId="6F0E0860" w14:textId="77777777" w:rsidR="00B32EF2" w:rsidRDefault="00000000">
                        <w:r>
                          <w:rPr>
                            <w:rFonts w:ascii="Arial" w:eastAsia="Arial" w:hAnsi="Arial" w:cs="Arial"/>
                            <w:b/>
                          </w:rPr>
                          <w:t xml:space="preserve">Seguono i D.lgs. n. 546/1992 e n. 545/1992 </w:t>
                        </w:r>
                      </w:p>
                    </w:txbxContent>
                  </v:textbox>
                </v:rect>
                <v:rect id="Rectangle 13963" o:spid="_x0000_s1033" style="position:absolute;left:-6814;top:-433;width:33854;height:17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6q0xAAAAN4AAAAPAAAAZHJzL2Rvd25yZXYueG1sRE9Li8Iw&#10;EL4v+B/CCN7WdFcQrUZZXMQe9uILPA7N2FabSWiirf76jbCwt/n4njNfdqYWd2p8ZVnBxzABQZxb&#10;XXGh4LBfv09A+ICssbZMCh7kYbnovc0x1bblLd13oRAxhH2KCsoQXCqlz0sy6IfWEUfubBuDIcKm&#10;kLrBNoabWn4myVgarDg2lOhoVVJ+3d2MgtM3u2zdyvz8XLmfSzapN7fDUalBv/uagQjUhX/xnzvT&#10;cf5oOh7B6514g1z8AgAA//8DAFBLAQItABQABgAIAAAAIQDb4fbL7gAAAIUBAAATAAAAAAAAAAAA&#10;AAAAAAAAAABbQ29udGVudF9UeXBlc10ueG1sUEsBAi0AFAAGAAgAAAAhAFr0LFu/AAAAFQEAAAsA&#10;AAAAAAAAAAAAAAAAHwEAAF9yZWxzLy5yZWxzUEsBAi0AFAAGAAgAAAAhALGXqrTEAAAA3gAAAA8A&#10;AAAAAAAAAAAAAAAABwIAAGRycy9kb3ducmV2LnhtbFBLBQYAAAAAAwADALcAAAD4AgAAAAA=&#10;" filled="f" stroked="f">
                  <v:textbox inset="0,0,0,0">
                    <w:txbxContent>
                      <w:p w14:paraId="06120486" w14:textId="77777777" w:rsidR="00B32EF2" w:rsidRDefault="00000000">
                        <w:r>
                          <w:rPr>
                            <w:rFonts w:ascii="Arial" w:eastAsia="Arial" w:hAnsi="Arial" w:cs="Arial"/>
                            <w:b/>
                          </w:rPr>
                          <w:t>in senso di lettura inverso del volume.</w:t>
                        </w:r>
                      </w:p>
                    </w:txbxContent>
                  </v:textbox>
                </v:rect>
                <w10:anchorlock/>
              </v:group>
            </w:pict>
          </mc:Fallback>
        </mc:AlternateContent>
      </w:r>
    </w:p>
    <w:p w14:paraId="22EE4F25" w14:textId="77777777" w:rsidR="00B32EF2" w:rsidRDefault="00000000">
      <w:pPr>
        <w:spacing w:after="0"/>
        <w:ind w:left="-356" w:right="-306"/>
      </w:pPr>
      <w:r>
        <w:rPr>
          <w:noProof/>
        </w:rPr>
        <w:lastRenderedPageBreak/>
        <mc:AlternateContent>
          <mc:Choice Requires="wpg">
            <w:drawing>
              <wp:inline distT="0" distB="0" distL="0" distR="0" wp14:anchorId="63740A93" wp14:editId="75C69200">
                <wp:extent cx="3991831" cy="6262854"/>
                <wp:effectExtent l="0" t="0" r="0" b="0"/>
                <wp:docPr id="198953" name="Group 198953"/>
                <wp:cNvGraphicFramePr/>
                <a:graphic xmlns:a="http://schemas.openxmlformats.org/drawingml/2006/main">
                  <a:graphicData uri="http://schemas.microsoft.com/office/word/2010/wordprocessingGroup">
                    <wpg:wgp>
                      <wpg:cNvGrpSpPr/>
                      <wpg:grpSpPr>
                        <a:xfrm>
                          <a:off x="0" y="0"/>
                          <a:ext cx="3991831" cy="6262854"/>
                          <a:chOff x="0" y="0"/>
                          <a:chExt cx="3991831" cy="6262854"/>
                        </a:xfrm>
                      </wpg:grpSpPr>
                      <wps:wsp>
                        <wps:cNvPr id="14016" name="Rectangle 14016"/>
                        <wps:cNvSpPr/>
                        <wps:spPr>
                          <a:xfrm rot="-10799999">
                            <a:off x="1844808" y="-62190"/>
                            <a:ext cx="267553" cy="250646"/>
                          </a:xfrm>
                          <a:prstGeom prst="rect">
                            <a:avLst/>
                          </a:prstGeom>
                          <a:ln>
                            <a:noFill/>
                          </a:ln>
                        </wps:spPr>
                        <wps:txbx>
                          <w:txbxContent>
                            <w:p w14:paraId="5F858A8F" w14:textId="77777777" w:rsidR="00B32EF2" w:rsidRDefault="00000000">
                              <w:r>
                                <w:rPr>
                                  <w:rFonts w:ascii="Times New Roman" w:eastAsia="Times New Roman" w:hAnsi="Times New Roman" w:cs="Times New Roman"/>
                                </w:rPr>
                                <w:t>106</w:t>
                              </w:r>
                            </w:p>
                          </w:txbxContent>
                        </wps:txbx>
                        <wps:bodyPr horzOverflow="overflow" vert="horz" lIns="0" tIns="0" rIns="0" bIns="0" rtlCol="0">
                          <a:noAutofit/>
                        </wps:bodyPr>
                      </wps:wsp>
                      <wps:wsp>
                        <wps:cNvPr id="14017" name="Rectangle 14017"/>
                        <wps:cNvSpPr/>
                        <wps:spPr>
                          <a:xfrm rot="-10799999">
                            <a:off x="-1317180" y="6119964"/>
                            <a:ext cx="5308960" cy="142890"/>
                          </a:xfrm>
                          <a:prstGeom prst="rect">
                            <a:avLst/>
                          </a:prstGeom>
                          <a:ln>
                            <a:noFill/>
                          </a:ln>
                        </wps:spPr>
                        <wps:txbx>
                          <w:txbxContent>
                            <w:p w14:paraId="1965C1BF" w14:textId="77777777" w:rsidR="00B32EF2" w:rsidRDefault="00000000">
                              <w:r>
                                <w:rPr>
                                  <w:rFonts w:ascii="Arial" w:eastAsia="Arial" w:hAnsi="Arial" w:cs="Arial"/>
                                  <w:sz w:val="18"/>
                                </w:rPr>
                                <w:t xml:space="preserve">espressa del Presidente della corte di giustizia tributaria di primo o di secondo </w:t>
                              </w:r>
                            </w:p>
                          </w:txbxContent>
                        </wps:txbx>
                        <wps:bodyPr horzOverflow="overflow" vert="horz" lIns="0" tIns="0" rIns="0" bIns="0" rtlCol="0">
                          <a:noAutofit/>
                        </wps:bodyPr>
                      </wps:wsp>
                      <wps:wsp>
                        <wps:cNvPr id="14018" name="Rectangle 14018"/>
                        <wps:cNvSpPr/>
                        <wps:spPr>
                          <a:xfrm rot="-10799999">
                            <a:off x="-1220405" y="5996634"/>
                            <a:ext cx="5212185" cy="142891"/>
                          </a:xfrm>
                          <a:prstGeom prst="rect">
                            <a:avLst/>
                          </a:prstGeom>
                          <a:ln>
                            <a:noFill/>
                          </a:ln>
                        </wps:spPr>
                        <wps:txbx>
                          <w:txbxContent>
                            <w:p w14:paraId="2EDA53A0" w14:textId="77777777" w:rsidR="00B32EF2" w:rsidRDefault="00000000">
                              <w:r>
                                <w:rPr>
                                  <w:rFonts w:ascii="Arial" w:eastAsia="Arial" w:hAnsi="Arial" w:cs="Arial"/>
                                  <w:sz w:val="18"/>
                                </w:rPr>
                                <w:t>grado ovvero, in corso di causa, del relativo Presidente di sezione, la noti</w:t>
                              </w:r>
                            </w:p>
                          </w:txbxContent>
                        </wps:txbx>
                        <wps:bodyPr horzOverflow="overflow" vert="horz" lIns="0" tIns="0" rIns="0" bIns="0" rtlCol="0">
                          <a:noAutofit/>
                        </wps:bodyPr>
                      </wps:wsp>
                      <wps:wsp>
                        <wps:cNvPr id="14019" name="Rectangle 14019"/>
                        <wps:cNvSpPr/>
                        <wps:spPr>
                          <a:xfrm rot="-10799999">
                            <a:off x="19181" y="5996635"/>
                            <a:ext cx="50622" cy="142890"/>
                          </a:xfrm>
                          <a:prstGeom prst="rect">
                            <a:avLst/>
                          </a:prstGeom>
                          <a:ln>
                            <a:noFill/>
                          </a:ln>
                        </wps:spPr>
                        <wps:txbx>
                          <w:txbxContent>
                            <w:p w14:paraId="52B3BD2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020" name="Rectangle 14020"/>
                        <wps:cNvSpPr/>
                        <wps:spPr>
                          <a:xfrm rot="-10799999">
                            <a:off x="-1317286" y="5873305"/>
                            <a:ext cx="5309066" cy="142889"/>
                          </a:xfrm>
                          <a:prstGeom prst="rect">
                            <a:avLst/>
                          </a:prstGeom>
                          <a:ln>
                            <a:noFill/>
                          </a:ln>
                        </wps:spPr>
                        <wps:txbx>
                          <w:txbxContent>
                            <w:p w14:paraId="39A1785C" w14:textId="77777777" w:rsidR="00B32EF2" w:rsidRDefault="00000000">
                              <w:r>
                                <w:rPr>
                                  <w:rFonts w:ascii="Arial" w:eastAsia="Arial" w:hAnsi="Arial" w:cs="Arial"/>
                                  <w:sz w:val="18"/>
                                </w:rPr>
                                <w:t xml:space="preserve">ficazione, il deposito delle notifiche, degli atti processuali, dei documenti, e </w:t>
                              </w:r>
                            </w:p>
                          </w:txbxContent>
                        </wps:txbx>
                        <wps:bodyPr horzOverflow="overflow" vert="horz" lIns="0" tIns="0" rIns="0" bIns="0" rtlCol="0">
                          <a:noAutofit/>
                        </wps:bodyPr>
                      </wps:wsp>
                      <wps:wsp>
                        <wps:cNvPr id="14021" name="Rectangle 14021"/>
                        <wps:cNvSpPr/>
                        <wps:spPr>
                          <a:xfrm rot="-10799999">
                            <a:off x="-1317226" y="5749976"/>
                            <a:ext cx="5309006" cy="142889"/>
                          </a:xfrm>
                          <a:prstGeom prst="rect">
                            <a:avLst/>
                          </a:prstGeom>
                          <a:ln>
                            <a:noFill/>
                          </a:ln>
                        </wps:spPr>
                        <wps:txbx>
                          <w:txbxContent>
                            <w:p w14:paraId="65A5C763" w14:textId="77777777" w:rsidR="00B32EF2" w:rsidRDefault="00000000">
                              <w:r>
                                <w:rPr>
                                  <w:rFonts w:ascii="Arial" w:eastAsia="Arial" w:hAnsi="Arial" w:cs="Arial"/>
                                  <w:sz w:val="18"/>
                                </w:rPr>
                                <w:t xml:space="preserve">dei provvedimenti giurisdizionali e le relative comunicazioni possono essere </w:t>
                              </w:r>
                            </w:p>
                          </w:txbxContent>
                        </wps:txbx>
                        <wps:bodyPr horzOverflow="overflow" vert="horz" lIns="0" tIns="0" rIns="0" bIns="0" rtlCol="0">
                          <a:noAutofit/>
                        </wps:bodyPr>
                      </wps:wsp>
                      <wps:wsp>
                        <wps:cNvPr id="14022" name="Rectangle 14022"/>
                        <wps:cNvSpPr/>
                        <wps:spPr>
                          <a:xfrm rot="-10799999">
                            <a:off x="1742582" y="5626646"/>
                            <a:ext cx="2249197" cy="142889"/>
                          </a:xfrm>
                          <a:prstGeom prst="rect">
                            <a:avLst/>
                          </a:prstGeom>
                          <a:ln>
                            <a:noFill/>
                          </a:ln>
                        </wps:spPr>
                        <wps:txbx>
                          <w:txbxContent>
                            <w:p w14:paraId="41EB9897" w14:textId="77777777" w:rsidR="00B32EF2" w:rsidRDefault="00000000">
                              <w:r>
                                <w:rPr>
                                  <w:rFonts w:ascii="Arial" w:eastAsia="Arial" w:hAnsi="Arial" w:cs="Arial"/>
                                  <w:sz w:val="18"/>
                                </w:rPr>
                                <w:t>effettuate con modalità cartacea.</w:t>
                              </w:r>
                            </w:p>
                          </w:txbxContent>
                        </wps:txbx>
                        <wps:bodyPr horzOverflow="overflow" vert="horz" lIns="0" tIns="0" rIns="0" bIns="0" rtlCol="0">
                          <a:noAutofit/>
                        </wps:bodyPr>
                      </wps:wsp>
                      <wps:wsp>
                        <wps:cNvPr id="198825" name="Rectangle 198825"/>
                        <wps:cNvSpPr/>
                        <wps:spPr>
                          <a:xfrm rot="-10799999">
                            <a:off x="2568941" y="5533724"/>
                            <a:ext cx="5301980" cy="119075"/>
                          </a:xfrm>
                          <a:prstGeom prst="rect">
                            <a:avLst/>
                          </a:prstGeom>
                          <a:ln>
                            <a:noFill/>
                          </a:ln>
                        </wps:spPr>
                        <wps:txbx>
                          <w:txbxContent>
                            <w:p w14:paraId="535953D8" w14:textId="77777777" w:rsidR="00B32EF2" w:rsidRDefault="00000000">
                              <w:r>
                                <w:rPr>
                                  <w:rFonts w:ascii="Arial" w:eastAsia="Arial" w:hAnsi="Arial" w:cs="Arial"/>
                                  <w:sz w:val="15"/>
                                </w:rPr>
                                <w:t>(1)</w:t>
                              </w:r>
                            </w:p>
                          </w:txbxContent>
                        </wps:txbx>
                        <wps:bodyPr horzOverflow="overflow" vert="horz" lIns="0" tIns="0" rIns="0" bIns="0" rtlCol="0">
                          <a:noAutofit/>
                        </wps:bodyPr>
                      </wps:wsp>
                      <wps:wsp>
                        <wps:cNvPr id="198826" name="Rectangle 198826"/>
                        <wps:cNvSpPr/>
                        <wps:spPr>
                          <a:xfrm rot="-10799999">
                            <a:off x="-1417509" y="5533724"/>
                            <a:ext cx="5301980" cy="119075"/>
                          </a:xfrm>
                          <a:prstGeom prst="rect">
                            <a:avLst/>
                          </a:prstGeom>
                          <a:ln>
                            <a:noFill/>
                          </a:ln>
                        </wps:spPr>
                        <wps:txbx>
                          <w:txbxContent>
                            <w:p w14:paraId="0466E709" w14:textId="77777777" w:rsidR="00B32EF2" w:rsidRDefault="00000000">
                              <w:r>
                                <w:rPr>
                                  <w:rFonts w:ascii="Arial" w:eastAsia="Arial" w:hAnsi="Arial" w:cs="Arial"/>
                                  <w:sz w:val="15"/>
                                </w:rPr>
                                <w:t xml:space="preserve"> L’art. 16 del D.lgs n. 81 del 12/06/2025 ha sostituito al comma 2 del presente articolo le </w:t>
                              </w:r>
                            </w:p>
                          </w:txbxContent>
                        </wps:txbx>
                        <wps:bodyPr horzOverflow="overflow" vert="horz" lIns="0" tIns="0" rIns="0" bIns="0" rtlCol="0">
                          <a:noAutofit/>
                        </wps:bodyPr>
                      </wps:wsp>
                      <wps:wsp>
                        <wps:cNvPr id="14024" name="Rectangle 14024"/>
                        <wps:cNvSpPr/>
                        <wps:spPr>
                          <a:xfrm rot="-10799999">
                            <a:off x="1949087" y="5410375"/>
                            <a:ext cx="2042693" cy="119074"/>
                          </a:xfrm>
                          <a:prstGeom prst="rect">
                            <a:avLst/>
                          </a:prstGeom>
                          <a:ln>
                            <a:noFill/>
                          </a:ln>
                        </wps:spPr>
                        <wps:txbx>
                          <w:txbxContent>
                            <w:p w14:paraId="4A3FD91F" w14:textId="77777777" w:rsidR="00B32EF2" w:rsidRDefault="00000000">
                              <w:r>
                                <w:rPr>
                                  <w:rFonts w:ascii="Arial" w:eastAsia="Arial" w:hAnsi="Arial" w:cs="Arial"/>
                                  <w:sz w:val="15"/>
                                </w:rPr>
                                <w:t>parole «comma 3» con «comma 1».</w:t>
                              </w:r>
                            </w:p>
                          </w:txbxContent>
                        </wps:txbx>
                        <wps:bodyPr horzOverflow="overflow" vert="horz" lIns="0" tIns="0" rIns="0" bIns="0" rtlCol="0">
                          <a:noAutofit/>
                        </wps:bodyPr>
                      </wps:wsp>
                      <wps:wsp>
                        <wps:cNvPr id="14025" name="Rectangle 14025"/>
                        <wps:cNvSpPr/>
                        <wps:spPr>
                          <a:xfrm rot="-10799999">
                            <a:off x="1581286" y="5030383"/>
                            <a:ext cx="691701" cy="142889"/>
                          </a:xfrm>
                          <a:prstGeom prst="rect">
                            <a:avLst/>
                          </a:prstGeom>
                          <a:ln>
                            <a:noFill/>
                          </a:ln>
                        </wps:spPr>
                        <wps:txbx>
                          <w:txbxContent>
                            <w:p w14:paraId="5EB085B8" w14:textId="77777777" w:rsidR="00B32EF2" w:rsidRDefault="00000000">
                              <w:r>
                                <w:rPr>
                                  <w:rFonts w:ascii="Arial" w:eastAsia="Arial" w:hAnsi="Arial" w:cs="Arial"/>
                                  <w:b/>
                                  <w:sz w:val="18"/>
                                </w:rPr>
                                <w:t>PARTE III</w:t>
                              </w:r>
                            </w:p>
                          </w:txbxContent>
                        </wps:txbx>
                        <wps:bodyPr horzOverflow="overflow" vert="horz" lIns="0" tIns="0" rIns="0" bIns="0" rtlCol="0">
                          <a:noAutofit/>
                        </wps:bodyPr>
                      </wps:wsp>
                      <wps:wsp>
                        <wps:cNvPr id="14026" name="Rectangle 14026"/>
                        <wps:cNvSpPr/>
                        <wps:spPr>
                          <a:xfrm rot="-10799999">
                            <a:off x="1020935" y="4907053"/>
                            <a:ext cx="1589009" cy="142889"/>
                          </a:xfrm>
                          <a:prstGeom prst="rect">
                            <a:avLst/>
                          </a:prstGeom>
                          <a:ln>
                            <a:noFill/>
                          </a:ln>
                        </wps:spPr>
                        <wps:txbx>
                          <w:txbxContent>
                            <w:p w14:paraId="633C7F7B" w14:textId="77777777" w:rsidR="00B32EF2" w:rsidRDefault="00000000">
                              <w:r>
                                <w:rPr>
                                  <w:rFonts w:ascii="Arial" w:eastAsia="Arial" w:hAnsi="Arial" w:cs="Arial"/>
                                  <w:b/>
                                  <w:sz w:val="18"/>
                                </w:rPr>
                                <w:t>DISPOSIZIONI FINALI</w:t>
                              </w:r>
                            </w:p>
                          </w:txbxContent>
                        </wps:txbx>
                        <wps:bodyPr horzOverflow="overflow" vert="horz" lIns="0" tIns="0" rIns="0" bIns="0" rtlCol="0">
                          <a:noAutofit/>
                        </wps:bodyPr>
                      </wps:wsp>
                      <wps:wsp>
                        <wps:cNvPr id="14027" name="Rectangle 14027"/>
                        <wps:cNvSpPr/>
                        <wps:spPr>
                          <a:xfrm rot="-10799999">
                            <a:off x="1609095" y="4660394"/>
                            <a:ext cx="644576" cy="142889"/>
                          </a:xfrm>
                          <a:prstGeom prst="rect">
                            <a:avLst/>
                          </a:prstGeom>
                          <a:ln>
                            <a:noFill/>
                          </a:ln>
                        </wps:spPr>
                        <wps:txbx>
                          <w:txbxContent>
                            <w:p w14:paraId="705C7ABF" w14:textId="77777777" w:rsidR="00B32EF2" w:rsidRDefault="00000000">
                              <w:r>
                                <w:rPr>
                                  <w:rFonts w:ascii="Arial" w:eastAsia="Arial" w:hAnsi="Arial" w:cs="Arial"/>
                                  <w:b/>
                                  <w:sz w:val="18"/>
                                </w:rPr>
                                <w:t>TITOLO I</w:t>
                              </w:r>
                            </w:p>
                          </w:txbxContent>
                        </wps:txbx>
                        <wps:bodyPr horzOverflow="overflow" vert="horz" lIns="0" tIns="0" rIns="0" bIns="0" rtlCol="0">
                          <a:noAutofit/>
                        </wps:bodyPr>
                      </wps:wsp>
                      <wps:wsp>
                        <wps:cNvPr id="14028" name="Rectangle 14028"/>
                        <wps:cNvSpPr/>
                        <wps:spPr>
                          <a:xfrm rot="-10799999">
                            <a:off x="994501" y="4537064"/>
                            <a:ext cx="1631331" cy="142889"/>
                          </a:xfrm>
                          <a:prstGeom prst="rect">
                            <a:avLst/>
                          </a:prstGeom>
                          <a:ln>
                            <a:noFill/>
                          </a:ln>
                        </wps:spPr>
                        <wps:txbx>
                          <w:txbxContent>
                            <w:p w14:paraId="26D2B5EC" w14:textId="77777777" w:rsidR="00B32EF2" w:rsidRDefault="00000000">
                              <w:r>
                                <w:rPr>
                                  <w:rFonts w:ascii="Arial" w:eastAsia="Arial" w:hAnsi="Arial" w:cs="Arial"/>
                                  <w:b/>
                                  <w:sz w:val="18"/>
                                </w:rPr>
                                <w:t xml:space="preserve"> DISPOSIZIONI FINALI</w:t>
                              </w:r>
                            </w:p>
                          </w:txbxContent>
                        </wps:txbx>
                        <wps:bodyPr horzOverflow="overflow" vert="horz" lIns="0" tIns="0" rIns="0" bIns="0" rtlCol="0">
                          <a:noAutofit/>
                        </wps:bodyPr>
                      </wps:wsp>
                      <wps:wsp>
                        <wps:cNvPr id="14029" name="Rectangle 14029"/>
                        <wps:cNvSpPr/>
                        <wps:spPr>
                          <a:xfrm rot="-10799999">
                            <a:off x="1457051" y="4290405"/>
                            <a:ext cx="890117" cy="142889"/>
                          </a:xfrm>
                          <a:prstGeom prst="rect">
                            <a:avLst/>
                          </a:prstGeom>
                          <a:ln>
                            <a:noFill/>
                          </a:ln>
                        </wps:spPr>
                        <wps:txbx>
                          <w:txbxContent>
                            <w:p w14:paraId="35C8C047" w14:textId="77777777" w:rsidR="00B32EF2" w:rsidRDefault="00000000">
                              <w:r>
                                <w:rPr>
                                  <w:rFonts w:ascii="Arial" w:eastAsia="Arial" w:hAnsi="Arial" w:cs="Arial"/>
                                  <w:b/>
                                  <w:sz w:val="18"/>
                                </w:rPr>
                                <w:t>Articolo 130</w:t>
                              </w:r>
                            </w:p>
                          </w:txbxContent>
                        </wps:txbx>
                        <wps:bodyPr horzOverflow="overflow" vert="horz" lIns="0" tIns="0" rIns="0" bIns="0" rtlCol="0">
                          <a:noAutofit/>
                        </wps:bodyPr>
                      </wps:wsp>
                      <wps:wsp>
                        <wps:cNvPr id="14030" name="Rectangle 14030"/>
                        <wps:cNvSpPr/>
                        <wps:spPr>
                          <a:xfrm rot="-10799999">
                            <a:off x="1448780" y="4167075"/>
                            <a:ext cx="903647" cy="142889"/>
                          </a:xfrm>
                          <a:prstGeom prst="rect">
                            <a:avLst/>
                          </a:prstGeom>
                          <a:ln>
                            <a:noFill/>
                          </a:ln>
                        </wps:spPr>
                        <wps:txbx>
                          <w:txbxContent>
                            <w:p w14:paraId="20BF7456" w14:textId="77777777" w:rsidR="00B32EF2" w:rsidRDefault="00000000">
                              <w:r>
                                <w:rPr>
                                  <w:rFonts w:ascii="Arial" w:eastAsia="Arial" w:hAnsi="Arial" w:cs="Arial"/>
                                  <w:b/>
                                  <w:sz w:val="18"/>
                                </w:rPr>
                                <w:t>Abrogazioni</w:t>
                              </w:r>
                            </w:p>
                          </w:txbxContent>
                        </wps:txbx>
                        <wps:bodyPr horzOverflow="overflow" vert="horz" lIns="0" tIns="0" rIns="0" bIns="0" rtlCol="0">
                          <a:noAutofit/>
                        </wps:bodyPr>
                      </wps:wsp>
                      <wps:wsp>
                        <wps:cNvPr id="198822" name="Rectangle 198822"/>
                        <wps:cNvSpPr/>
                        <wps:spPr>
                          <a:xfrm rot="-10799999">
                            <a:off x="2697430" y="4043745"/>
                            <a:ext cx="4960699" cy="142889"/>
                          </a:xfrm>
                          <a:prstGeom prst="rect">
                            <a:avLst/>
                          </a:prstGeom>
                          <a:ln>
                            <a:noFill/>
                          </a:ln>
                        </wps:spPr>
                        <wps:txbx>
                          <w:txbxContent>
                            <w:p w14:paraId="5ADBF472"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8824" name="Rectangle 198824"/>
                        <wps:cNvSpPr/>
                        <wps:spPr>
                          <a:xfrm rot="-10799999">
                            <a:off x="-997636" y="4043745"/>
                            <a:ext cx="4960700" cy="142889"/>
                          </a:xfrm>
                          <a:prstGeom prst="rect">
                            <a:avLst/>
                          </a:prstGeom>
                          <a:ln>
                            <a:noFill/>
                          </a:ln>
                        </wps:spPr>
                        <wps:txbx>
                          <w:txbxContent>
                            <w:p w14:paraId="2DD9642E" w14:textId="77777777" w:rsidR="00B32EF2" w:rsidRDefault="00000000">
                              <w:r>
                                <w:rPr>
                                  <w:rFonts w:ascii="Arial" w:eastAsia="Arial" w:hAnsi="Arial" w:cs="Arial"/>
                                  <w:sz w:val="18"/>
                                </w:rPr>
                                <w:t>. Dalla data di cui all’articolo 131 sono abrogate le seguenti disposizioni</w:t>
                              </w:r>
                            </w:p>
                          </w:txbxContent>
                        </wps:txbx>
                        <wps:bodyPr horzOverflow="overflow" vert="horz" lIns="0" tIns="0" rIns="0" bIns="0" rtlCol="0">
                          <a:noAutofit/>
                        </wps:bodyPr>
                      </wps:wsp>
                      <wps:wsp>
                        <wps:cNvPr id="198823" name="Rectangle 198823"/>
                        <wps:cNvSpPr/>
                        <wps:spPr>
                          <a:xfrm rot="-10799999">
                            <a:off x="-4666941" y="4043745"/>
                            <a:ext cx="4960700" cy="142889"/>
                          </a:xfrm>
                          <a:prstGeom prst="rect">
                            <a:avLst/>
                          </a:prstGeom>
                          <a:ln>
                            <a:noFill/>
                          </a:ln>
                        </wps:spPr>
                        <wps:txbx>
                          <w:txbxContent>
                            <w:p w14:paraId="79BAC04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032" name="Rectangle 14032"/>
                        <wps:cNvSpPr/>
                        <wps:spPr>
                          <a:xfrm rot="-10799999">
                            <a:off x="-1317113" y="3920415"/>
                            <a:ext cx="5308946" cy="142889"/>
                          </a:xfrm>
                          <a:prstGeom prst="rect">
                            <a:avLst/>
                          </a:prstGeom>
                          <a:ln>
                            <a:noFill/>
                          </a:ln>
                        </wps:spPr>
                        <wps:txbx>
                          <w:txbxContent>
                            <w:p w14:paraId="049B9B29" w14:textId="77777777" w:rsidR="00B32EF2" w:rsidRDefault="00000000">
                              <w:r>
                                <w:rPr>
                                  <w:rFonts w:ascii="Arial" w:eastAsia="Arial" w:hAnsi="Arial" w:cs="Arial"/>
                                  <w:sz w:val="18"/>
                                </w:rPr>
                                <w:t xml:space="preserve">a) l’articolo 59, commi 1 e 2, del decreto del Presidente della Repubblica 26 </w:t>
                              </w:r>
                            </w:p>
                          </w:txbxContent>
                        </wps:txbx>
                        <wps:bodyPr horzOverflow="overflow" vert="horz" lIns="0" tIns="0" rIns="0" bIns="0" rtlCol="0">
                          <a:noAutofit/>
                        </wps:bodyPr>
                      </wps:wsp>
                      <wps:wsp>
                        <wps:cNvPr id="14033" name="Rectangle 14033"/>
                        <wps:cNvSpPr/>
                        <wps:spPr>
                          <a:xfrm rot="-10799999">
                            <a:off x="2582767" y="3797086"/>
                            <a:ext cx="1409064" cy="142889"/>
                          </a:xfrm>
                          <a:prstGeom prst="rect">
                            <a:avLst/>
                          </a:prstGeom>
                          <a:ln>
                            <a:noFill/>
                          </a:ln>
                        </wps:spPr>
                        <wps:txbx>
                          <w:txbxContent>
                            <w:p w14:paraId="62C74BDC" w14:textId="77777777" w:rsidR="00B32EF2" w:rsidRDefault="00000000">
                              <w:r>
                                <w:rPr>
                                  <w:rFonts w:ascii="Arial" w:eastAsia="Arial" w:hAnsi="Arial" w:cs="Arial"/>
                                  <w:sz w:val="18"/>
                                </w:rPr>
                                <w:t>ottobre 1972, n. 633;</w:t>
                              </w:r>
                            </w:p>
                          </w:txbxContent>
                        </wps:txbx>
                        <wps:bodyPr horzOverflow="overflow" vert="horz" lIns="0" tIns="0" rIns="0" bIns="0" rtlCol="0">
                          <a:noAutofit/>
                        </wps:bodyPr>
                      </wps:wsp>
                      <wps:wsp>
                        <wps:cNvPr id="14034" name="Rectangle 14034"/>
                        <wps:cNvSpPr/>
                        <wps:spPr>
                          <a:xfrm rot="-10799999">
                            <a:off x="-1317188" y="3673756"/>
                            <a:ext cx="5309021" cy="142889"/>
                          </a:xfrm>
                          <a:prstGeom prst="rect">
                            <a:avLst/>
                          </a:prstGeom>
                          <a:ln>
                            <a:noFill/>
                          </a:ln>
                        </wps:spPr>
                        <wps:txbx>
                          <w:txbxContent>
                            <w:p w14:paraId="72FD7D56" w14:textId="77777777" w:rsidR="00B32EF2" w:rsidRDefault="00000000">
                              <w:r>
                                <w:rPr>
                                  <w:rFonts w:ascii="Arial" w:eastAsia="Arial" w:hAnsi="Arial" w:cs="Arial"/>
                                  <w:sz w:val="18"/>
                                </w:rPr>
                                <w:t xml:space="preserve">b) l’articolo 61, commi 1 e 2, e l’articolo 63, commi da 3 a 5, del decreto del </w:t>
                              </w:r>
                            </w:p>
                          </w:txbxContent>
                        </wps:txbx>
                        <wps:bodyPr horzOverflow="overflow" vert="horz" lIns="0" tIns="0" rIns="0" bIns="0" rtlCol="0">
                          <a:noAutofit/>
                        </wps:bodyPr>
                      </wps:wsp>
                      <wps:wsp>
                        <wps:cNvPr id="14035" name="Rectangle 14035"/>
                        <wps:cNvSpPr/>
                        <wps:spPr>
                          <a:xfrm rot="-10799999">
                            <a:off x="164129" y="3550426"/>
                            <a:ext cx="3827702" cy="142889"/>
                          </a:xfrm>
                          <a:prstGeom prst="rect">
                            <a:avLst/>
                          </a:prstGeom>
                          <a:ln>
                            <a:noFill/>
                          </a:ln>
                        </wps:spPr>
                        <wps:txbx>
                          <w:txbxContent>
                            <w:p w14:paraId="7D8D1777" w14:textId="77777777" w:rsidR="00B32EF2" w:rsidRDefault="00000000">
                              <w:r>
                                <w:rPr>
                                  <w:rFonts w:ascii="Arial" w:eastAsia="Arial" w:hAnsi="Arial" w:cs="Arial"/>
                                  <w:sz w:val="18"/>
                                </w:rPr>
                                <w:t xml:space="preserve">Presidente della Repubblica 29 settembre 1973, n. 600; </w:t>
                              </w:r>
                            </w:p>
                          </w:txbxContent>
                        </wps:txbx>
                        <wps:bodyPr horzOverflow="overflow" vert="horz" lIns="0" tIns="0" rIns="0" bIns="0" rtlCol="0">
                          <a:noAutofit/>
                        </wps:bodyPr>
                      </wps:wsp>
                      <wps:wsp>
                        <wps:cNvPr id="14036" name="Rectangle 14036"/>
                        <wps:cNvSpPr/>
                        <wps:spPr>
                          <a:xfrm rot="-10799999">
                            <a:off x="667769" y="3427097"/>
                            <a:ext cx="3324063" cy="142889"/>
                          </a:xfrm>
                          <a:prstGeom prst="rect">
                            <a:avLst/>
                          </a:prstGeom>
                          <a:ln>
                            <a:noFill/>
                          </a:ln>
                        </wps:spPr>
                        <wps:txbx>
                          <w:txbxContent>
                            <w:p w14:paraId="6D413723" w14:textId="77777777" w:rsidR="00B32EF2" w:rsidRDefault="00000000">
                              <w:r>
                                <w:rPr>
                                  <w:rFonts w:ascii="Arial" w:eastAsia="Arial" w:hAnsi="Arial" w:cs="Arial"/>
                                  <w:sz w:val="18"/>
                                </w:rPr>
                                <w:t>c) il decreto legislativo 31 dicembre 1992, n. 545;</w:t>
                              </w:r>
                            </w:p>
                          </w:txbxContent>
                        </wps:txbx>
                        <wps:bodyPr horzOverflow="overflow" vert="horz" lIns="0" tIns="0" rIns="0" bIns="0" rtlCol="0">
                          <a:noAutofit/>
                        </wps:bodyPr>
                      </wps:wsp>
                      <wps:wsp>
                        <wps:cNvPr id="14037" name="Rectangle 14037"/>
                        <wps:cNvSpPr/>
                        <wps:spPr>
                          <a:xfrm rot="-10799999">
                            <a:off x="654908" y="3303767"/>
                            <a:ext cx="3336924" cy="142889"/>
                          </a:xfrm>
                          <a:prstGeom prst="rect">
                            <a:avLst/>
                          </a:prstGeom>
                          <a:ln>
                            <a:noFill/>
                          </a:ln>
                        </wps:spPr>
                        <wps:txbx>
                          <w:txbxContent>
                            <w:p w14:paraId="187B5018" w14:textId="77777777" w:rsidR="00B32EF2" w:rsidRDefault="00000000">
                              <w:r>
                                <w:rPr>
                                  <w:rFonts w:ascii="Arial" w:eastAsia="Arial" w:hAnsi="Arial" w:cs="Arial"/>
                                  <w:sz w:val="18"/>
                                </w:rPr>
                                <w:t>d) il decreto legislativo 31 dicembre 1992, n. 546;</w:t>
                              </w:r>
                            </w:p>
                          </w:txbxContent>
                        </wps:txbx>
                        <wps:bodyPr horzOverflow="overflow" vert="horz" lIns="0" tIns="0" rIns="0" bIns="0" rtlCol="0">
                          <a:noAutofit/>
                        </wps:bodyPr>
                      </wps:wsp>
                      <wps:wsp>
                        <wps:cNvPr id="14038" name="Rectangle 14038"/>
                        <wps:cNvSpPr/>
                        <wps:spPr>
                          <a:xfrm rot="-10799999">
                            <a:off x="-686750" y="3180437"/>
                            <a:ext cx="4678583" cy="142889"/>
                          </a:xfrm>
                          <a:prstGeom prst="rect">
                            <a:avLst/>
                          </a:prstGeom>
                          <a:ln>
                            <a:noFill/>
                          </a:ln>
                        </wps:spPr>
                        <wps:txbx>
                          <w:txbxContent>
                            <w:p w14:paraId="51659697" w14:textId="77777777" w:rsidR="00B32EF2" w:rsidRDefault="00000000">
                              <w:r>
                                <w:rPr>
                                  <w:rFonts w:ascii="Arial" w:eastAsia="Arial" w:hAnsi="Arial" w:cs="Arial"/>
                                  <w:sz w:val="18"/>
                                </w:rPr>
                                <w:t>e) gli articoli 19 e 22 del decreto legislativo 18 dicembre 1997, n. 472;</w:t>
                              </w:r>
                            </w:p>
                          </w:txbxContent>
                        </wps:txbx>
                        <wps:bodyPr horzOverflow="overflow" vert="horz" lIns="0" tIns="0" rIns="0" bIns="0" rtlCol="0">
                          <a:noAutofit/>
                        </wps:bodyPr>
                      </wps:wsp>
                      <wps:wsp>
                        <wps:cNvPr id="14039" name="Rectangle 14039"/>
                        <wps:cNvSpPr/>
                        <wps:spPr>
                          <a:xfrm rot="-10799999">
                            <a:off x="-863761" y="3057108"/>
                            <a:ext cx="4855594" cy="142889"/>
                          </a:xfrm>
                          <a:prstGeom prst="rect">
                            <a:avLst/>
                          </a:prstGeom>
                          <a:ln>
                            <a:noFill/>
                          </a:ln>
                        </wps:spPr>
                        <wps:txbx>
                          <w:txbxContent>
                            <w:p w14:paraId="0DF252FA" w14:textId="77777777" w:rsidR="00B32EF2" w:rsidRDefault="00000000">
                              <w:r>
                                <w:rPr>
                                  <w:rFonts w:ascii="Arial" w:eastAsia="Arial" w:hAnsi="Arial" w:cs="Arial"/>
                                  <w:sz w:val="18"/>
                                </w:rPr>
                                <w:t>f) gli articoli 21-bis e 21-ter del decreto legislativo 10 marzo 2000, n. 74;</w:t>
                              </w:r>
                            </w:p>
                          </w:txbxContent>
                        </wps:txbx>
                        <wps:bodyPr horzOverflow="overflow" vert="horz" lIns="0" tIns="0" rIns="0" bIns="0" rtlCol="0">
                          <a:noAutofit/>
                        </wps:bodyPr>
                      </wps:wsp>
                      <wps:wsp>
                        <wps:cNvPr id="14040" name="Rectangle 14040"/>
                        <wps:cNvSpPr/>
                        <wps:spPr>
                          <a:xfrm rot="-10799999">
                            <a:off x="-599750" y="2933778"/>
                            <a:ext cx="4591582" cy="142889"/>
                          </a:xfrm>
                          <a:prstGeom prst="rect">
                            <a:avLst/>
                          </a:prstGeom>
                          <a:ln>
                            <a:noFill/>
                          </a:ln>
                        </wps:spPr>
                        <wps:txbx>
                          <w:txbxContent>
                            <w:p w14:paraId="77794C58" w14:textId="77777777" w:rsidR="00B32EF2" w:rsidRDefault="00000000">
                              <w:r>
                                <w:rPr>
                                  <w:rFonts w:ascii="Arial" w:eastAsia="Arial" w:hAnsi="Arial" w:cs="Arial"/>
                                  <w:sz w:val="18"/>
                                </w:rPr>
                                <w:t>g) l’articolo 4, comma 39-bis, della legge 12 novembre 2011, n. 183;</w:t>
                              </w:r>
                            </w:p>
                          </w:txbxContent>
                        </wps:txbx>
                        <wps:bodyPr horzOverflow="overflow" vert="horz" lIns="0" tIns="0" rIns="0" bIns="0" rtlCol="0">
                          <a:noAutofit/>
                        </wps:bodyPr>
                      </wps:wsp>
                      <wps:wsp>
                        <wps:cNvPr id="14041" name="Rectangle 14041"/>
                        <wps:cNvSpPr/>
                        <wps:spPr>
                          <a:xfrm rot="-10799999">
                            <a:off x="-922334" y="2810448"/>
                            <a:ext cx="4914166" cy="142889"/>
                          </a:xfrm>
                          <a:prstGeom prst="rect">
                            <a:avLst/>
                          </a:prstGeom>
                          <a:ln>
                            <a:noFill/>
                          </a:ln>
                        </wps:spPr>
                        <wps:txbx>
                          <w:txbxContent>
                            <w:p w14:paraId="6779B56F" w14:textId="77777777" w:rsidR="00B32EF2" w:rsidRDefault="00000000">
                              <w:r>
                                <w:rPr>
                                  <w:rFonts w:ascii="Arial" w:eastAsia="Arial" w:hAnsi="Arial" w:cs="Arial"/>
                                  <w:sz w:val="18"/>
                                </w:rPr>
                                <w:t>h) l’articolo 3 e l’articolo 8, comma 1, della legge 31 agosto 2022, n. 130;</w:t>
                              </w:r>
                            </w:p>
                          </w:txbxContent>
                        </wps:txbx>
                        <wps:bodyPr horzOverflow="overflow" vert="horz" lIns="0" tIns="0" rIns="0" bIns="0" rtlCol="0">
                          <a:noAutofit/>
                        </wps:bodyPr>
                      </wps:wsp>
                      <wps:wsp>
                        <wps:cNvPr id="14042" name="Rectangle 14042"/>
                        <wps:cNvSpPr/>
                        <wps:spPr>
                          <a:xfrm rot="-10799999">
                            <a:off x="-1220758" y="2687119"/>
                            <a:ext cx="5211334" cy="142889"/>
                          </a:xfrm>
                          <a:prstGeom prst="rect">
                            <a:avLst/>
                          </a:prstGeom>
                          <a:ln>
                            <a:noFill/>
                          </a:ln>
                        </wps:spPr>
                        <wps:txbx>
                          <w:txbxContent>
                            <w:p w14:paraId="7D077BE5" w14:textId="77777777" w:rsidR="00B32EF2" w:rsidRDefault="00000000">
                              <w:r>
                                <w:rPr>
                                  <w:rFonts w:ascii="Arial" w:eastAsia="Arial" w:hAnsi="Arial" w:cs="Arial"/>
                                  <w:sz w:val="18"/>
                                </w:rPr>
                                <w:t>i) l’articolo 3, comma 6, del decreto-legge 29 dicembre 2022, n. 198, converti</w:t>
                              </w:r>
                            </w:p>
                          </w:txbxContent>
                        </wps:txbx>
                        <wps:bodyPr horzOverflow="overflow" vert="horz" lIns="0" tIns="0" rIns="0" bIns="0" rtlCol="0">
                          <a:noAutofit/>
                        </wps:bodyPr>
                      </wps:wsp>
                      <wps:wsp>
                        <wps:cNvPr id="14043" name="Rectangle 14043"/>
                        <wps:cNvSpPr/>
                        <wps:spPr>
                          <a:xfrm rot="-10799999">
                            <a:off x="19233" y="2687119"/>
                            <a:ext cx="50622" cy="142889"/>
                          </a:xfrm>
                          <a:prstGeom prst="rect">
                            <a:avLst/>
                          </a:prstGeom>
                          <a:ln>
                            <a:noFill/>
                          </a:ln>
                        </wps:spPr>
                        <wps:txbx>
                          <w:txbxContent>
                            <w:p w14:paraId="77710F7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044" name="Rectangle 14044"/>
                        <wps:cNvSpPr/>
                        <wps:spPr>
                          <a:xfrm rot="-10799999">
                            <a:off x="114252" y="2563789"/>
                            <a:ext cx="3877579" cy="142889"/>
                          </a:xfrm>
                          <a:prstGeom prst="rect">
                            <a:avLst/>
                          </a:prstGeom>
                          <a:ln>
                            <a:noFill/>
                          </a:ln>
                        </wps:spPr>
                        <wps:txbx>
                          <w:txbxContent>
                            <w:p w14:paraId="7AB53169" w14:textId="77777777" w:rsidR="00B32EF2" w:rsidRDefault="00000000">
                              <w:r>
                                <w:rPr>
                                  <w:rFonts w:ascii="Arial" w:eastAsia="Arial" w:hAnsi="Arial" w:cs="Arial"/>
                                  <w:sz w:val="18"/>
                                </w:rPr>
                                <w:t>to, con modificazioni, dalla legge 24 febbraio 2023, n. 14;</w:t>
                              </w:r>
                            </w:p>
                          </w:txbxContent>
                        </wps:txbx>
                        <wps:bodyPr horzOverflow="overflow" vert="horz" lIns="0" tIns="0" rIns="0" bIns="0" rtlCol="0">
                          <a:noAutofit/>
                        </wps:bodyPr>
                      </wps:wsp>
                      <wps:wsp>
                        <wps:cNvPr id="14045" name="Rectangle 14045"/>
                        <wps:cNvSpPr/>
                        <wps:spPr>
                          <a:xfrm rot="-10799999">
                            <a:off x="-1317233" y="2440459"/>
                            <a:ext cx="5309066" cy="142889"/>
                          </a:xfrm>
                          <a:prstGeom prst="rect">
                            <a:avLst/>
                          </a:prstGeom>
                          <a:ln>
                            <a:noFill/>
                          </a:ln>
                        </wps:spPr>
                        <wps:txbx>
                          <w:txbxContent>
                            <w:p w14:paraId="61A43287" w14:textId="77777777" w:rsidR="00B32EF2" w:rsidRDefault="00000000">
                              <w:r>
                                <w:rPr>
                                  <w:rFonts w:ascii="Arial" w:eastAsia="Arial" w:hAnsi="Arial" w:cs="Arial"/>
                                  <w:sz w:val="18"/>
                                </w:rPr>
                                <w:t xml:space="preserve">l) l’articolo 1-ter, comma 5, e l’articolo 18 del decreto-legge 22 giugno 2023, n. </w:t>
                              </w:r>
                            </w:p>
                          </w:txbxContent>
                        </wps:txbx>
                        <wps:bodyPr horzOverflow="overflow" vert="horz" lIns="0" tIns="0" rIns="0" bIns="0" rtlCol="0">
                          <a:noAutofit/>
                        </wps:bodyPr>
                      </wps:wsp>
                      <wps:wsp>
                        <wps:cNvPr id="198821" name="Rectangle 198821"/>
                        <wps:cNvSpPr/>
                        <wps:spPr>
                          <a:xfrm rot="-10799999">
                            <a:off x="-575809" y="2317130"/>
                            <a:ext cx="4651675" cy="142889"/>
                          </a:xfrm>
                          <a:prstGeom prst="rect">
                            <a:avLst/>
                          </a:prstGeom>
                          <a:ln>
                            <a:noFill/>
                          </a:ln>
                        </wps:spPr>
                        <wps:txbx>
                          <w:txbxContent>
                            <w:p w14:paraId="1247BB86" w14:textId="77777777" w:rsidR="00B32EF2" w:rsidRDefault="00000000">
                              <w:r>
                                <w:rPr>
                                  <w:rFonts w:ascii="Arial" w:eastAsia="Arial" w:hAnsi="Arial" w:cs="Arial"/>
                                  <w:sz w:val="18"/>
                                </w:rPr>
                                <w:t xml:space="preserve">, convertito, con modificazioni, dalla legge 10 agosto 2023, n. </w:t>
                              </w:r>
                            </w:p>
                          </w:txbxContent>
                        </wps:txbx>
                        <wps:bodyPr horzOverflow="overflow" vert="horz" lIns="0" tIns="0" rIns="0" bIns="0" rtlCol="0">
                          <a:noAutofit/>
                        </wps:bodyPr>
                      </wps:wsp>
                      <wps:wsp>
                        <wps:cNvPr id="198819" name="Rectangle 198819"/>
                        <wps:cNvSpPr/>
                        <wps:spPr>
                          <a:xfrm rot="-10799999">
                            <a:off x="2712395" y="2317130"/>
                            <a:ext cx="4651675" cy="142889"/>
                          </a:xfrm>
                          <a:prstGeom prst="rect">
                            <a:avLst/>
                          </a:prstGeom>
                          <a:ln>
                            <a:noFill/>
                          </a:ln>
                        </wps:spPr>
                        <wps:txbx>
                          <w:txbxContent>
                            <w:p w14:paraId="291A7F0C" w14:textId="77777777" w:rsidR="00B32EF2" w:rsidRDefault="00000000">
                              <w:r>
                                <w:rPr>
                                  <w:rFonts w:ascii="Arial" w:eastAsia="Arial" w:hAnsi="Arial" w:cs="Arial"/>
                                  <w:sz w:val="18"/>
                                </w:rPr>
                                <w:t>75</w:t>
                              </w:r>
                            </w:p>
                          </w:txbxContent>
                        </wps:txbx>
                        <wps:bodyPr horzOverflow="overflow" vert="horz" lIns="0" tIns="0" rIns="0" bIns="0" rtlCol="0">
                          <a:noAutofit/>
                        </wps:bodyPr>
                      </wps:wsp>
                      <wps:wsp>
                        <wps:cNvPr id="198820" name="Rectangle 198820"/>
                        <wps:cNvSpPr/>
                        <wps:spPr>
                          <a:xfrm rot="-10799999">
                            <a:off x="-3947523" y="2317130"/>
                            <a:ext cx="4651675" cy="142889"/>
                          </a:xfrm>
                          <a:prstGeom prst="rect">
                            <a:avLst/>
                          </a:prstGeom>
                          <a:ln>
                            <a:noFill/>
                          </a:ln>
                        </wps:spPr>
                        <wps:txbx>
                          <w:txbxContent>
                            <w:p w14:paraId="31FA8271" w14:textId="77777777" w:rsidR="00B32EF2" w:rsidRDefault="00000000">
                              <w:r>
                                <w:rPr>
                                  <w:rFonts w:ascii="Arial" w:eastAsia="Arial" w:hAnsi="Arial" w:cs="Arial"/>
                                  <w:sz w:val="18"/>
                                </w:rPr>
                                <w:t>112.</w:t>
                              </w:r>
                            </w:p>
                          </w:txbxContent>
                        </wps:txbx>
                        <wps:bodyPr horzOverflow="overflow" vert="horz" lIns="0" tIns="0" rIns="0" bIns="0" rtlCol="0">
                          <a:noAutofit/>
                        </wps:bodyPr>
                      </wps:wsp>
                      <wps:wsp>
                        <wps:cNvPr id="198818" name="Rectangle 198818"/>
                        <wps:cNvSpPr/>
                        <wps:spPr>
                          <a:xfrm rot="-10799999">
                            <a:off x="-1381790" y="2193800"/>
                            <a:ext cx="5309066" cy="142889"/>
                          </a:xfrm>
                          <a:prstGeom prst="rect">
                            <a:avLst/>
                          </a:prstGeom>
                          <a:ln>
                            <a:noFill/>
                          </a:ln>
                        </wps:spPr>
                        <wps:txbx>
                          <w:txbxContent>
                            <w:p w14:paraId="0E6635FC" w14:textId="77777777" w:rsidR="00B32EF2" w:rsidRDefault="00000000">
                              <w:r>
                                <w:rPr>
                                  <w:rFonts w:ascii="Arial" w:eastAsia="Arial" w:hAnsi="Arial" w:cs="Arial"/>
                                  <w:sz w:val="18"/>
                                </w:rPr>
                                <w:t xml:space="preserve">. Restano abrogate le seguenti disposizioni: l’articolo 288 del testo unico per </w:t>
                              </w:r>
                            </w:p>
                          </w:txbxContent>
                        </wps:txbx>
                        <wps:bodyPr horzOverflow="overflow" vert="horz" lIns="0" tIns="0" rIns="0" bIns="0" rtlCol="0">
                          <a:noAutofit/>
                        </wps:bodyPr>
                      </wps:wsp>
                      <wps:wsp>
                        <wps:cNvPr id="198817" name="Rectangle 198817"/>
                        <wps:cNvSpPr/>
                        <wps:spPr>
                          <a:xfrm rot="-10799999">
                            <a:off x="2610993" y="2193800"/>
                            <a:ext cx="5309066" cy="142889"/>
                          </a:xfrm>
                          <a:prstGeom prst="rect">
                            <a:avLst/>
                          </a:prstGeom>
                          <a:ln>
                            <a:noFill/>
                          </a:ln>
                        </wps:spPr>
                        <wps:txbx>
                          <w:txbxContent>
                            <w:p w14:paraId="4BA96A9B"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4048" name="Rectangle 14048"/>
                        <wps:cNvSpPr/>
                        <wps:spPr>
                          <a:xfrm rot="-10799999">
                            <a:off x="-1219090" y="2070470"/>
                            <a:ext cx="5210923" cy="142889"/>
                          </a:xfrm>
                          <a:prstGeom prst="rect">
                            <a:avLst/>
                          </a:prstGeom>
                          <a:ln>
                            <a:noFill/>
                          </a:ln>
                        </wps:spPr>
                        <wps:txbx>
                          <w:txbxContent>
                            <w:p w14:paraId="63B6D51D" w14:textId="77777777" w:rsidR="00B32EF2" w:rsidRDefault="00000000">
                              <w:r>
                                <w:rPr>
                                  <w:rFonts w:ascii="Arial" w:eastAsia="Arial" w:hAnsi="Arial" w:cs="Arial"/>
                                  <w:sz w:val="18"/>
                                </w:rPr>
                                <w:t>la finanza locale 14 settembre 1931, n. 1175, il decreto del Presidente della Re</w:t>
                              </w:r>
                            </w:p>
                          </w:txbxContent>
                        </wps:txbx>
                        <wps:bodyPr horzOverflow="overflow" vert="horz" lIns="0" tIns="0" rIns="0" bIns="0" rtlCol="0">
                          <a:noAutofit/>
                        </wps:bodyPr>
                      </wps:wsp>
                      <wps:wsp>
                        <wps:cNvPr id="14049" name="Rectangle 14049"/>
                        <wps:cNvSpPr/>
                        <wps:spPr>
                          <a:xfrm rot="-10799999">
                            <a:off x="19233" y="2070471"/>
                            <a:ext cx="50622" cy="142889"/>
                          </a:xfrm>
                          <a:prstGeom prst="rect">
                            <a:avLst/>
                          </a:prstGeom>
                          <a:ln>
                            <a:noFill/>
                          </a:ln>
                        </wps:spPr>
                        <wps:txbx>
                          <w:txbxContent>
                            <w:p w14:paraId="3417FC0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050" name="Rectangle 14050"/>
                        <wps:cNvSpPr/>
                        <wps:spPr>
                          <a:xfrm rot="-10799999">
                            <a:off x="-1317127" y="1947141"/>
                            <a:ext cx="5308960" cy="142889"/>
                          </a:xfrm>
                          <a:prstGeom prst="rect">
                            <a:avLst/>
                          </a:prstGeom>
                          <a:ln>
                            <a:noFill/>
                          </a:ln>
                        </wps:spPr>
                        <wps:txbx>
                          <w:txbxContent>
                            <w:p w14:paraId="3D55CFE8" w14:textId="77777777" w:rsidR="00B32EF2" w:rsidRDefault="00000000">
                              <w:r>
                                <w:rPr>
                                  <w:rFonts w:ascii="Arial" w:eastAsia="Arial" w:hAnsi="Arial" w:cs="Arial"/>
                                  <w:sz w:val="18"/>
                                </w:rPr>
                                <w:t xml:space="preserve">pubblica 26 ottobre 1972, n. 636, l’articolo 19, commi 4 e 5, e l’articolo 20 del </w:t>
                              </w:r>
                            </w:p>
                          </w:txbxContent>
                        </wps:txbx>
                        <wps:bodyPr horzOverflow="overflow" vert="horz" lIns="0" tIns="0" rIns="0" bIns="0" rtlCol="0">
                          <a:noAutofit/>
                        </wps:bodyPr>
                      </wps:wsp>
                      <wps:wsp>
                        <wps:cNvPr id="14051" name="Rectangle 14051"/>
                        <wps:cNvSpPr/>
                        <wps:spPr>
                          <a:xfrm rot="-10799999">
                            <a:off x="-1317113" y="1823811"/>
                            <a:ext cx="5308946" cy="142889"/>
                          </a:xfrm>
                          <a:prstGeom prst="rect">
                            <a:avLst/>
                          </a:prstGeom>
                          <a:ln>
                            <a:noFill/>
                          </a:ln>
                        </wps:spPr>
                        <wps:txbx>
                          <w:txbxContent>
                            <w:p w14:paraId="7CDF8824" w14:textId="77777777" w:rsidR="00B32EF2" w:rsidRDefault="00000000">
                              <w:r>
                                <w:rPr>
                                  <w:rFonts w:ascii="Arial" w:eastAsia="Arial" w:hAnsi="Arial" w:cs="Arial"/>
                                  <w:sz w:val="18"/>
                                </w:rPr>
                                <w:t xml:space="preserve">decreto del Presidente della Repubblica 26 ottobre 1972, n. 638, l’articolo 24 </w:t>
                              </w:r>
                            </w:p>
                          </w:txbxContent>
                        </wps:txbx>
                        <wps:bodyPr horzOverflow="overflow" vert="horz" lIns="0" tIns="0" rIns="0" bIns="0" rtlCol="0">
                          <a:noAutofit/>
                        </wps:bodyPr>
                      </wps:wsp>
                      <wps:wsp>
                        <wps:cNvPr id="14052" name="Rectangle 14052"/>
                        <wps:cNvSpPr/>
                        <wps:spPr>
                          <a:xfrm rot="-10799999">
                            <a:off x="-1317082" y="1700481"/>
                            <a:ext cx="5308914" cy="142889"/>
                          </a:xfrm>
                          <a:prstGeom prst="rect">
                            <a:avLst/>
                          </a:prstGeom>
                          <a:ln>
                            <a:noFill/>
                          </a:ln>
                        </wps:spPr>
                        <wps:txbx>
                          <w:txbxContent>
                            <w:p w14:paraId="370FD082" w14:textId="77777777" w:rsidR="00B32EF2" w:rsidRDefault="00000000">
                              <w:r>
                                <w:rPr>
                                  <w:rFonts w:ascii="Arial" w:eastAsia="Arial" w:hAnsi="Arial" w:cs="Arial"/>
                                  <w:sz w:val="18"/>
                                </w:rPr>
                                <w:t xml:space="preserve">del decreto del Presidente della Repubblica 26 ottobre 1972, n. 639, gli articoli </w:t>
                              </w:r>
                            </w:p>
                          </w:txbxContent>
                        </wps:txbx>
                        <wps:bodyPr horzOverflow="overflow" vert="horz" lIns="0" tIns="0" rIns="0" bIns="0" rtlCol="0">
                          <a:noAutofit/>
                        </wps:bodyPr>
                      </wps:wsp>
                      <wps:wsp>
                        <wps:cNvPr id="198816" name="Rectangle 198816"/>
                        <wps:cNvSpPr/>
                        <wps:spPr>
                          <a:xfrm rot="-10799999">
                            <a:off x="-1447133" y="1577151"/>
                            <a:ext cx="5310252" cy="142889"/>
                          </a:xfrm>
                          <a:prstGeom prst="rect">
                            <a:avLst/>
                          </a:prstGeom>
                          <a:ln>
                            <a:noFill/>
                          </a:ln>
                        </wps:spPr>
                        <wps:txbx>
                          <w:txbxContent>
                            <w:p w14:paraId="57A08ECA" w14:textId="77777777" w:rsidR="00B32EF2" w:rsidRDefault="00000000">
                              <w:r>
                                <w:rPr>
                                  <w:rFonts w:ascii="Arial" w:eastAsia="Arial" w:hAnsi="Arial" w:cs="Arial"/>
                                  <w:sz w:val="18"/>
                                </w:rPr>
                                <w:t xml:space="preserve">, comma 5, e 68, comma 3, del decreto del Presidente della Repubblica 28 </w:t>
                              </w:r>
                            </w:p>
                          </w:txbxContent>
                        </wps:txbx>
                        <wps:bodyPr horzOverflow="overflow" vert="horz" lIns="0" tIns="0" rIns="0" bIns="0" rtlCol="0">
                          <a:noAutofit/>
                        </wps:bodyPr>
                      </wps:wsp>
                      <wps:wsp>
                        <wps:cNvPr id="198815" name="Rectangle 198815"/>
                        <wps:cNvSpPr/>
                        <wps:spPr>
                          <a:xfrm rot="-10799999">
                            <a:off x="2545331" y="1577152"/>
                            <a:ext cx="5310251" cy="142889"/>
                          </a:xfrm>
                          <a:prstGeom prst="rect">
                            <a:avLst/>
                          </a:prstGeom>
                          <a:ln>
                            <a:noFill/>
                          </a:ln>
                        </wps:spPr>
                        <wps:txbx>
                          <w:txbxContent>
                            <w:p w14:paraId="2B417AB9" w14:textId="77777777" w:rsidR="00B32EF2" w:rsidRDefault="00000000">
                              <w:r>
                                <w:rPr>
                                  <w:rFonts w:ascii="Arial" w:eastAsia="Arial" w:hAnsi="Arial" w:cs="Arial"/>
                                  <w:sz w:val="18"/>
                                </w:rPr>
                                <w:t>63</w:t>
                              </w:r>
                            </w:p>
                          </w:txbxContent>
                        </wps:txbx>
                        <wps:bodyPr horzOverflow="overflow" vert="horz" lIns="0" tIns="0" rIns="0" bIns="0" rtlCol="0">
                          <a:noAutofit/>
                        </wps:bodyPr>
                      </wps:wsp>
                      <wps:wsp>
                        <wps:cNvPr id="14054" name="Rectangle 14054"/>
                        <wps:cNvSpPr/>
                        <wps:spPr>
                          <a:xfrm rot="-10799999">
                            <a:off x="-1317249" y="1453822"/>
                            <a:ext cx="5309082" cy="142889"/>
                          </a:xfrm>
                          <a:prstGeom prst="rect">
                            <a:avLst/>
                          </a:prstGeom>
                          <a:ln>
                            <a:noFill/>
                          </a:ln>
                        </wps:spPr>
                        <wps:txbx>
                          <w:txbxContent>
                            <w:p w14:paraId="4D7E440E" w14:textId="77777777" w:rsidR="00B32EF2" w:rsidRDefault="00000000">
                              <w:r>
                                <w:rPr>
                                  <w:rFonts w:ascii="Arial" w:eastAsia="Arial" w:hAnsi="Arial" w:cs="Arial"/>
                                  <w:sz w:val="18"/>
                                </w:rPr>
                                <w:t xml:space="preserve">gennaio 1988, n. 43, l’articolo 4, comma 8, del decreto-legge 2 marzo 1989, n. </w:t>
                              </w:r>
                            </w:p>
                          </w:txbxContent>
                        </wps:txbx>
                        <wps:bodyPr horzOverflow="overflow" vert="horz" lIns="0" tIns="0" rIns="0" bIns="0" rtlCol="0">
                          <a:noAutofit/>
                        </wps:bodyPr>
                      </wps:wsp>
                      <wps:wsp>
                        <wps:cNvPr id="198812" name="Rectangle 198812"/>
                        <wps:cNvSpPr/>
                        <wps:spPr>
                          <a:xfrm rot="-10799999">
                            <a:off x="2722720" y="1330492"/>
                            <a:ext cx="4590716" cy="142889"/>
                          </a:xfrm>
                          <a:prstGeom prst="rect">
                            <a:avLst/>
                          </a:prstGeom>
                          <a:ln>
                            <a:noFill/>
                          </a:ln>
                        </wps:spPr>
                        <wps:txbx>
                          <w:txbxContent>
                            <w:p w14:paraId="740FA1B3" w14:textId="77777777" w:rsidR="00B32EF2" w:rsidRDefault="00000000">
                              <w:r>
                                <w:rPr>
                                  <w:rFonts w:ascii="Arial" w:eastAsia="Arial" w:hAnsi="Arial" w:cs="Arial"/>
                                  <w:sz w:val="18"/>
                                </w:rPr>
                                <w:t>66</w:t>
                              </w:r>
                            </w:p>
                          </w:txbxContent>
                        </wps:txbx>
                        <wps:bodyPr horzOverflow="overflow" vert="horz" lIns="0" tIns="0" rIns="0" bIns="0" rtlCol="0">
                          <a:noAutofit/>
                        </wps:bodyPr>
                      </wps:wsp>
                      <wps:wsp>
                        <wps:cNvPr id="198814" name="Rectangle 198814"/>
                        <wps:cNvSpPr/>
                        <wps:spPr>
                          <a:xfrm rot="-10799999">
                            <a:off x="-508369" y="1330492"/>
                            <a:ext cx="4590716" cy="142889"/>
                          </a:xfrm>
                          <a:prstGeom prst="rect">
                            <a:avLst/>
                          </a:prstGeom>
                          <a:ln>
                            <a:noFill/>
                          </a:ln>
                        </wps:spPr>
                        <wps:txbx>
                          <w:txbxContent>
                            <w:p w14:paraId="26CEB756" w14:textId="77777777" w:rsidR="00B32EF2" w:rsidRDefault="00000000">
                              <w:r>
                                <w:rPr>
                                  <w:rFonts w:ascii="Arial" w:eastAsia="Arial" w:hAnsi="Arial" w:cs="Arial"/>
                                  <w:sz w:val="18"/>
                                </w:rPr>
                                <w:t xml:space="preserve">, convertito, con modificazioni, dalla legge 24 aprile 1989, n. </w:t>
                              </w:r>
                            </w:p>
                          </w:txbxContent>
                        </wps:txbx>
                        <wps:bodyPr horzOverflow="overflow" vert="horz" lIns="0" tIns="0" rIns="0" bIns="0" rtlCol="0">
                          <a:noAutofit/>
                        </wps:bodyPr>
                      </wps:wsp>
                      <wps:wsp>
                        <wps:cNvPr id="198813" name="Rectangle 198813"/>
                        <wps:cNvSpPr/>
                        <wps:spPr>
                          <a:xfrm rot="-10799999">
                            <a:off x="-3829253" y="1330492"/>
                            <a:ext cx="4590716" cy="142889"/>
                          </a:xfrm>
                          <a:prstGeom prst="rect">
                            <a:avLst/>
                          </a:prstGeom>
                          <a:ln>
                            <a:noFill/>
                          </a:ln>
                        </wps:spPr>
                        <wps:txbx>
                          <w:txbxContent>
                            <w:p w14:paraId="628A3EB0" w14:textId="77777777" w:rsidR="00B32EF2" w:rsidRDefault="00000000">
                              <w:r>
                                <w:rPr>
                                  <w:rFonts w:ascii="Arial" w:eastAsia="Arial" w:hAnsi="Arial" w:cs="Arial"/>
                                  <w:sz w:val="18"/>
                                </w:rPr>
                                <w:t>144.</w:t>
                              </w:r>
                            </w:p>
                          </w:txbxContent>
                        </wps:txbx>
                        <wps:bodyPr horzOverflow="overflow" vert="horz" lIns="0" tIns="0" rIns="0" bIns="0" rtlCol="0">
                          <a:noAutofit/>
                        </wps:bodyPr>
                      </wps:wsp>
                      <wps:wsp>
                        <wps:cNvPr id="198810" name="Rectangle 198810"/>
                        <wps:cNvSpPr/>
                        <wps:spPr>
                          <a:xfrm rot="-10799999">
                            <a:off x="2635322" y="1207163"/>
                            <a:ext cx="5211014" cy="142890"/>
                          </a:xfrm>
                          <a:prstGeom prst="rect">
                            <a:avLst/>
                          </a:prstGeom>
                          <a:ln>
                            <a:noFill/>
                          </a:ln>
                        </wps:spPr>
                        <wps:txbx>
                          <w:txbxContent>
                            <w:p w14:paraId="7FA073E1"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98811" name="Rectangle 198811"/>
                        <wps:cNvSpPr/>
                        <wps:spPr>
                          <a:xfrm rot="-10799999">
                            <a:off x="-1283704" y="1207162"/>
                            <a:ext cx="5211014" cy="142890"/>
                          </a:xfrm>
                          <a:prstGeom prst="rect">
                            <a:avLst/>
                          </a:prstGeom>
                          <a:ln>
                            <a:noFill/>
                          </a:ln>
                        </wps:spPr>
                        <wps:txbx>
                          <w:txbxContent>
                            <w:p w14:paraId="5EAB1286" w14:textId="77777777" w:rsidR="00B32EF2" w:rsidRDefault="00000000">
                              <w:r>
                                <w:rPr>
                                  <w:rFonts w:ascii="Arial" w:eastAsia="Arial" w:hAnsi="Arial" w:cs="Arial"/>
                                  <w:sz w:val="18"/>
                                </w:rPr>
                                <w:t>. I riferimenti contenuti nelle norme vigenti a disposizioni abrogate dal pre</w:t>
                              </w:r>
                            </w:p>
                          </w:txbxContent>
                        </wps:txbx>
                        <wps:bodyPr horzOverflow="overflow" vert="horz" lIns="0" tIns="0" rIns="0" bIns="0" rtlCol="0">
                          <a:noAutofit/>
                        </wps:bodyPr>
                      </wps:wsp>
                      <wps:wsp>
                        <wps:cNvPr id="14057" name="Rectangle 14057"/>
                        <wps:cNvSpPr/>
                        <wps:spPr>
                          <a:xfrm rot="-10799999">
                            <a:off x="19233" y="1207163"/>
                            <a:ext cx="50622" cy="142889"/>
                          </a:xfrm>
                          <a:prstGeom prst="rect">
                            <a:avLst/>
                          </a:prstGeom>
                          <a:ln>
                            <a:noFill/>
                          </a:ln>
                        </wps:spPr>
                        <wps:txbx>
                          <w:txbxContent>
                            <w:p w14:paraId="6A989A5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058" name="Rectangle 14058"/>
                        <wps:cNvSpPr/>
                        <wps:spPr>
                          <a:xfrm rot="-10799999">
                            <a:off x="-1220611" y="1083833"/>
                            <a:ext cx="5212443" cy="142889"/>
                          </a:xfrm>
                          <a:prstGeom prst="rect">
                            <a:avLst/>
                          </a:prstGeom>
                          <a:ln>
                            <a:noFill/>
                          </a:ln>
                        </wps:spPr>
                        <wps:txbx>
                          <w:txbxContent>
                            <w:p w14:paraId="3CF43CA2" w14:textId="77777777" w:rsidR="00B32EF2" w:rsidRDefault="00000000">
                              <w:r>
                                <w:rPr>
                                  <w:rFonts w:ascii="Arial" w:eastAsia="Arial" w:hAnsi="Arial" w:cs="Arial"/>
                                  <w:sz w:val="18"/>
                                </w:rPr>
                                <w:t>sente testo unico si intendono effettuati agli istituti e alle previsioni corrispon</w:t>
                              </w:r>
                            </w:p>
                          </w:txbxContent>
                        </wps:txbx>
                        <wps:bodyPr horzOverflow="overflow" vert="horz" lIns="0" tIns="0" rIns="0" bIns="0" rtlCol="0">
                          <a:noAutofit/>
                        </wps:bodyPr>
                      </wps:wsp>
                      <wps:wsp>
                        <wps:cNvPr id="14059" name="Rectangle 14059"/>
                        <wps:cNvSpPr/>
                        <wps:spPr>
                          <a:xfrm rot="-10799999">
                            <a:off x="19233" y="1083833"/>
                            <a:ext cx="50622" cy="142889"/>
                          </a:xfrm>
                          <a:prstGeom prst="rect">
                            <a:avLst/>
                          </a:prstGeom>
                          <a:ln>
                            <a:noFill/>
                          </a:ln>
                        </wps:spPr>
                        <wps:txbx>
                          <w:txbxContent>
                            <w:p w14:paraId="6839ED9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060" name="Rectangle 14060"/>
                        <wps:cNvSpPr/>
                        <wps:spPr>
                          <a:xfrm rot="-10799999">
                            <a:off x="1328200" y="960503"/>
                            <a:ext cx="2663632" cy="142889"/>
                          </a:xfrm>
                          <a:prstGeom prst="rect">
                            <a:avLst/>
                          </a:prstGeom>
                          <a:ln>
                            <a:noFill/>
                          </a:ln>
                        </wps:spPr>
                        <wps:txbx>
                          <w:txbxContent>
                            <w:p w14:paraId="17D72660" w14:textId="77777777" w:rsidR="00B32EF2" w:rsidRDefault="00000000">
                              <w:r>
                                <w:rPr>
                                  <w:rFonts w:ascii="Arial" w:eastAsia="Arial" w:hAnsi="Arial" w:cs="Arial"/>
                                  <w:sz w:val="18"/>
                                </w:rPr>
                                <w:t>denti risultanti dal presente testo unico.</w:t>
                              </w:r>
                            </w:p>
                          </w:txbxContent>
                        </wps:txbx>
                        <wps:bodyPr horzOverflow="overflow" vert="horz" lIns="0" tIns="0" rIns="0" bIns="0" rtlCol="0">
                          <a:noAutofit/>
                        </wps:bodyPr>
                      </wps:wsp>
                      <wps:wsp>
                        <wps:cNvPr id="14061" name="Rectangle 14061"/>
                        <wps:cNvSpPr/>
                        <wps:spPr>
                          <a:xfrm rot="-10799999">
                            <a:off x="1460482" y="681154"/>
                            <a:ext cx="884629" cy="142889"/>
                          </a:xfrm>
                          <a:prstGeom prst="rect">
                            <a:avLst/>
                          </a:prstGeom>
                          <a:ln>
                            <a:noFill/>
                          </a:ln>
                        </wps:spPr>
                        <wps:txbx>
                          <w:txbxContent>
                            <w:p w14:paraId="65A29AAA" w14:textId="77777777" w:rsidR="00B32EF2" w:rsidRDefault="00000000">
                              <w:r>
                                <w:rPr>
                                  <w:rFonts w:ascii="Arial" w:eastAsia="Arial" w:hAnsi="Arial" w:cs="Arial"/>
                                  <w:b/>
                                  <w:sz w:val="18"/>
                                </w:rPr>
                                <w:t>Articolo 131</w:t>
                              </w:r>
                            </w:p>
                          </w:txbxContent>
                        </wps:txbx>
                        <wps:bodyPr horzOverflow="overflow" vert="horz" lIns="0" tIns="0" rIns="0" bIns="0" rtlCol="0">
                          <a:noAutofit/>
                        </wps:bodyPr>
                      </wps:wsp>
                      <wps:wsp>
                        <wps:cNvPr id="14062" name="Rectangle 14062"/>
                        <wps:cNvSpPr/>
                        <wps:spPr>
                          <a:xfrm rot="-10799999">
                            <a:off x="1480967" y="541479"/>
                            <a:ext cx="851915" cy="142889"/>
                          </a:xfrm>
                          <a:prstGeom prst="rect">
                            <a:avLst/>
                          </a:prstGeom>
                          <a:ln>
                            <a:noFill/>
                          </a:ln>
                        </wps:spPr>
                        <wps:txbx>
                          <w:txbxContent>
                            <w:p w14:paraId="66CD2F9B" w14:textId="77777777" w:rsidR="00B32EF2" w:rsidRDefault="00000000">
                              <w:r>
                                <w:rPr>
                                  <w:rFonts w:ascii="Arial" w:eastAsia="Arial" w:hAnsi="Arial" w:cs="Arial"/>
                                  <w:b/>
                                  <w:sz w:val="18"/>
                                </w:rPr>
                                <w:t>Decorrenza</w:t>
                              </w:r>
                            </w:p>
                          </w:txbxContent>
                        </wps:txbx>
                        <wps:bodyPr horzOverflow="overflow" vert="horz" lIns="0" tIns="0" rIns="0" bIns="0" rtlCol="0">
                          <a:noAutofit/>
                        </wps:bodyPr>
                      </wps:wsp>
                      <wps:wsp>
                        <wps:cNvPr id="198809" name="Rectangle 198809"/>
                        <wps:cNvSpPr/>
                        <wps:spPr>
                          <a:xfrm rot="-10799999">
                            <a:off x="-1376403" y="418149"/>
                            <a:ext cx="5309051" cy="142889"/>
                          </a:xfrm>
                          <a:prstGeom prst="rect">
                            <a:avLst/>
                          </a:prstGeom>
                          <a:ln>
                            <a:noFill/>
                          </a:ln>
                        </wps:spPr>
                        <wps:txbx>
                          <w:txbxContent>
                            <w:p w14:paraId="188AB09B" w14:textId="77777777" w:rsidR="00B32EF2" w:rsidRDefault="00000000">
                              <w:r>
                                <w:rPr>
                                  <w:rFonts w:ascii="Arial" w:eastAsia="Arial" w:hAnsi="Arial" w:cs="Arial"/>
                                  <w:sz w:val="18"/>
                                </w:rPr>
                                <w:t xml:space="preserve">. Le disposizioni del presente testo unico si applicano dal 1° gennaio 2026. </w:t>
                              </w:r>
                            </w:p>
                          </w:txbxContent>
                        </wps:txbx>
                        <wps:bodyPr horzOverflow="overflow" vert="horz" lIns="0" tIns="0" rIns="0" bIns="0" rtlCol="0">
                          <a:noAutofit/>
                        </wps:bodyPr>
                      </wps:wsp>
                      <wps:wsp>
                        <wps:cNvPr id="198808" name="Rectangle 198808"/>
                        <wps:cNvSpPr/>
                        <wps:spPr>
                          <a:xfrm rot="-10799999">
                            <a:off x="2610997" y="418150"/>
                            <a:ext cx="5309051" cy="142889"/>
                          </a:xfrm>
                          <a:prstGeom prst="rect">
                            <a:avLst/>
                          </a:prstGeom>
                          <a:ln>
                            <a:noFill/>
                          </a:ln>
                        </wps:spPr>
                        <wps:txbx>
                          <w:txbxContent>
                            <w:p w14:paraId="463A0E2E"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4064" name="Rectangle 14064"/>
                        <wps:cNvSpPr/>
                        <wps:spPr>
                          <a:xfrm rot="-10799999">
                            <a:off x="1137492" y="294820"/>
                            <a:ext cx="2854339" cy="142889"/>
                          </a:xfrm>
                          <a:prstGeom prst="rect">
                            <a:avLst/>
                          </a:prstGeom>
                          <a:ln>
                            <a:noFill/>
                          </a:ln>
                        </wps:spPr>
                        <wps:txbx>
                          <w:txbxContent>
                            <w:p w14:paraId="53E27A92" w14:textId="77777777" w:rsidR="00B32EF2" w:rsidRDefault="00000000">
                              <w:r>
                                <w:rPr>
                                  <w:rFonts w:ascii="Arial" w:eastAsia="Arial" w:hAnsi="Arial" w:cs="Arial"/>
                                  <w:sz w:val="18"/>
                                </w:rPr>
                                <w:t>Parte di provvedimento in formato grafico.</w:t>
                              </w:r>
                            </w:p>
                          </w:txbxContent>
                        </wps:txbx>
                        <wps:bodyPr horzOverflow="overflow" vert="horz" lIns="0" tIns="0" rIns="0" bIns="0" rtlCol="0">
                          <a:noAutofit/>
                        </wps:bodyPr>
                      </wps:wsp>
                    </wpg:wgp>
                  </a:graphicData>
                </a:graphic>
              </wp:inline>
            </w:drawing>
          </mc:Choice>
          <mc:Fallback>
            <w:pict>
              <v:group w14:anchorId="63740A93" id="Group 198953" o:spid="_x0000_s1034" style="width:314.3pt;height:493.15pt;mso-position-horizontal-relative:char;mso-position-vertical-relative:line" coordsize="39918,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PV+QkAAA91AAAOAAAAZHJzL2Uyb0RvYy54bWzkXdtuI7kRfQ+QfxD07jHvbBrjWQTZ7CBA&#10;kF1ksx+gkSVbgKQWWpqxJ1+fU2SLrQs3QZqAaITz4JEpudXk4SlWnSqyP/7wtllPvi26/ardPk75&#10;BzadLLbz9mm1fX6c/vbPn+6a6WR/mG2fZut2u3icfl/spz98+uMfPr7uHhaifWnXT4tugots9w+v&#10;u8fpy+Gwe7i/389fFpvZ/kO7W2zx5rLtNrMDfu2e75+62SuuvlnfC8bM/WvbPe26dr7Y79H6Y3hz&#10;+slff7lczA8/L5f7xWGyfpzi3g7+Z+d/fqGf958+zh6eu9nuZTXvb2M24i42s9UWXxov9ePsMJt8&#10;7VZXl9qs5l27b5eHD/N2c98ul6v5wvcBveHsojefu/brzvfl+eH1eReHCUN7MU6jLzv/+7fP3e7X&#10;3S8dRuJ194yx8L9RX96W3Yb+x11O3vyQfY9Dtng7TOZolM7xRvLpZI73jDCi0SoM6vwFI3/1d/OX&#10;v/yXv7w/fvH92e287jBB9sMY7PPG4NeX2W7hh3b/gDH4pZusnjB/FeNmOtnONpiq/8DkmW2f14tJ&#10;aPYD5D8dh2v/sMfIHcdq0rWYX3ecWUf//Hzox443SjUMXMAo3RnBXT/zjsMojNVahlEUmhllaBDj&#10;UMwedt3+8HnRbib04nHa4d789Wff/rY/hI8eP0K3s97Sz23702q9Du9SC0b0eMf06vD25c13238Z&#10;tXxpn75jKF7a7l8/g9TLdfv6OG37V1PiOb6b3p1O1n/dAgKi1PFFd3zx5fiiO6z/3Hrihbv509dD&#10;u1z52x2+rb8tYEsT8EYg2zTIlkadbgJT4n8H+Y5LbnmDMSEucO6c6blwhFlL1jiDDxBbuBJNmAe3&#10;wjl2rxqcwbgUmZtMnIVgimmPswbKRl7iLLjgDT4Qcea35HPsXjU4uzTOLgtnjqUNKxuoGkDWdLXZ&#10;QyQzM0KcQOxN+q2oHHtWC8QCVjNBZTRnm2zRYM0nlBsrJWh9jrJkjhl84Ejlxg/9rXDmsX/VAA3K&#10;pYD2FjRvbRaiB9oq56z3ek7oTECzckDH/lUDNIxnCmiRxWhuldANLk2ERkDSu9IDzkIoxx0cwEKE&#10;jt2rA2fXNAKO0BXQoT3HdgttGqf6BVpLacWlFyYZd+SOe6QRc1lv229muuVxIteDNMxnEukYYY4M&#10;rBS3msHJI1K/R6j9zBti2v//CBpcu0ZasUDB0as0d8qxBraZcFacycDYE+PNlDCuF0oQYTPrR/5m&#10;lPYGpCqcU7YbOMeBGEVorhsevW4mmWy8rRxwNo5b1quKpJPc2OmO5qoOyw08U4bbN+es0JwJ5mTQ&#10;SUBsyyBxngVXmAfwuWHXC/li1QliIi18ojkLZ4PQyfU4G8Oku/DEjFIa8VYpmKvTw0Ra90RzDszO&#10;KU1GGYuz0tIiS3HBZiO5POaCCljt+jSxtOwp4kCMW5zBVaZ7nIXzSveZ1YbN5rxYAD0ofrUszjIt&#10;faI5h80cGUnbJ6sUN7aPjgcfzDFpVDmYK9PDSA9JCWKhPQdoBExW0Rwiu82UtOpC4lZISRrkqwst&#10;z+h23706CE2IpqLn0J6D9B2p2hJ+1n9C2rKjInbzuEpUqIhBq0gqYnEoRq3Rd8oYcxQ/f5fUJaGu&#10;ThGTKeutGJqzKO1rSjhmETgtHeoO+IX19jUlqBcqZb2jElSH9QaiKUr75hygKWllTZA+pXWWISmN&#10;6w3uGIrQkIjGwlFGK4FC1HevGpxTizRwjpZtnOUORWKhFFAaC4n7AmgQ2jFRTPwctKBqgE5r3BAu&#10;cwjNjeKIxL3d1pryFud8luC7ZVg0CvE5akHVwJzWuOEv58BsjLWmh1kJy1BZcGa2pRSKmWPG6vYu&#10;d9SCqoE5LXHLPInbaMpMBjYjX0Ur9QXM0jgK68qwedCCqoE5LXHLaNbGrc6mQSV+0EokSrmhlpzj&#10;rIxtNLKVpXCuTBWDu5XWuNGcY7XvGgMOB40bJZ+Wg9tnfFaN1hpprFI4x6ixFj6rtMiN5iycUbl9&#10;5LNwqBGzlzhrhyR0MS8MsWTfvWpwBumuBDEoWNGwjbPbTgiJyIy8bdFwhtzGBZ8dR5KjmEoyBI3V&#10;4JyWw1Q0bONw5th6Y3VwxIRpLGrAzoHWgiMJXc5wx6CxGqDTcpiKlm0U0NyBz4HOSZTP997ctjxs&#10;iBirwRh8ShntPCmMo0ZEw0yQzdbwxwKKg+IpG2u1LZaXHCLGamBOC2EhXzy6qNdvi41sVljr9aXN&#10;LrvHaogZ6wCaEs0pLyy057nbWJv7On1Bm6GDLjFQWhmNUhNMs0IySYwaq0Ea/tG16QbSwW8aTWph&#10;uZB9yed7RHqIG6tBOrlDljidGUKjmtdqlG74dfodknoIHauBmqfETyJ1pvrJZcMtzqTwUHMnG9QK&#10;ncliPjdZLoweosd6oE6lMwjqvHyGMJw52khFzvd7RDqGj3UgDa84xWnfnOWR4SAS7M3oKY0tOMpe&#10;UlpgJpB5L+OSqRhDVgN0yiMD0NE3zRVMPMpeTx0cb5wpdXpYyW0FkyGArAVjSiEmBBM055GZ3C/a&#10;wwWrjb2yFpr21fp8fsDUjYGOtRTVAJ0KpHE2VGY647TqkzcCblkK6HJVn9gX0k/kaoBO5zOgX2Yz&#10;mvXHlWDLM7yAFNC8WD4j5NHq2fFOnnWqTiy050GtYLD7pAbX1vJgJE7WaIkN0ySIF/LEogNSB6cJ&#10;0pTgHdpzoBYa+2NpIywt0x5pbyUukcYHyiA9uCF1II31OJ3ACmfVjhZBQ2YDjrsHGpjTFj5MnFOg&#10;EXuVKy8Z3JA6gCbqptbp0J5FaSuEJYWVKI1TApW7QBpJLWZp6ShE6eiH1IN0itOEdFQURgXSd5o1&#10;qOV9v0hXpowRolCnrqLp0J7D6TvYayfo2O33Suo4k+shdUo4IajzlBNhpJYkgBHSqCDj2JFxvlCj&#10;bIydhlm3PZlbV1Y2RoimlJPQnkVqHCyGs2mwNkSoL1ZqqhAsCXV9GlkqhQWfPGpIo9bpoUIwTeiS&#10;gvfQtToMN8BMZ6/QnElmwfAkhUBm+GVNKJg/CbBw0r5CrWkptzv2rxqg09mrUNI3OpI+IXMS5aJk&#10;rkwXw3bVlBPmm3PIzKVALVIIoXHikGYXLhjO6paGTtEoE0Gj033vaqEy7X+7CqsAc17uiiuDLEZw&#10;tQ28vOPzoI6PzWgaZWhffCGUY+eqQTkliAHlKBiN877wOCvXH1eCk5oVyvTBnmFdbjSenlKsznfo&#10;XB0oI2yiqusrMof2HKMNidsa7ML1HpjC83BCmcoAtK8IpNMiC/G5PjWMjiFIIh190VGMDhWBobaE&#10;gA5JovcDdGVaGCx0St/2zTmExu5IPP0mLM/CYaG+KAekBzhK2nRfiM/vRgjzj5/EUzf9Yxj7J4TS&#10;Yz1Pf/fPLhyeY/rp3wAAAP//AwBQSwMEFAAGAAgAAAAhABgNBmzdAAAABQEAAA8AAABkcnMvZG93&#10;bnJldi54bWxMj0FLw0AQhe+C/2EZwZvdpMUQ02xKKeqpCLaC9DbNTpPQ7GzIbpP037t6qZeBx3u8&#10;902+mkwrBupdY1lBPItAEJdWN1wp+Nq/PaUgnEfW2FomBVdysCru73LMtB35k4adr0QoYZehgtr7&#10;LpPSlTUZdDPbEQfvZHuDPsi+krrHMZSbVs6jKJEGGw4LNXa0qak87y5GwfuI43oRvw7b82lzPeyf&#10;P763MSn1+DCtlyA8Tf4Whl/8gA5FYDraC2snWgXhEf93g5fM0wTEUcFLmixAFrn8T1/8AAAA//8D&#10;AFBLAQItABQABgAIAAAAIQC2gziS/gAAAOEBAAATAAAAAAAAAAAAAAAAAAAAAABbQ29udGVudF9U&#10;eXBlc10ueG1sUEsBAi0AFAAGAAgAAAAhADj9If/WAAAAlAEAAAsAAAAAAAAAAAAAAAAALwEAAF9y&#10;ZWxzLy5yZWxzUEsBAi0AFAAGAAgAAAAhAIg6w9X5CQAAD3UAAA4AAAAAAAAAAAAAAAAALgIAAGRy&#10;cy9lMm9Eb2MueG1sUEsBAi0AFAAGAAgAAAAhABgNBmzdAAAABQEAAA8AAAAAAAAAAAAAAAAAUwwA&#10;AGRycy9kb3ducmV2LnhtbFBLBQYAAAAABAAEAPMAAABdDQAAAAA=&#10;">
                <v:rect id="Rectangle 14016" o:spid="_x0000_s1035" style="position:absolute;left:18448;top:-621;width:2675;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i1kxQAAAN4AAAAPAAAAZHJzL2Rvd25yZXYueG1sRE9Na8JA&#10;EL0X+h+WKfRWN5YSQuoqYpHm4MXUQo9DdkxSs7NLdk1Sf70rCL3N433OYjWZTgzU+9aygvksAUFc&#10;Wd1yreDwtX3JQPiArLGzTAr+yMNq+fiwwFzbkfc0lKEWMYR9jgqaEFwupa8aMuhn1hFH7mh7gyHC&#10;vpa6xzGGm06+JkkqDbYcGxp0tGmoOpVno+Dng12xHWV1vGzc7rfIus/z4Vup56dp/Q4i0BT+xXd3&#10;oeP8t2Sewu2deINcXgEAAP//AwBQSwECLQAUAAYACAAAACEA2+H2y+4AAACFAQAAEwAAAAAAAAAA&#10;AAAAAAAAAAAAW0NvbnRlbnRfVHlwZXNdLnhtbFBLAQItABQABgAIAAAAIQBa9CxbvwAAABUBAAAL&#10;AAAAAAAAAAAAAAAAAB8BAABfcmVscy8ucmVsc1BLAQItABQABgAIAAAAIQCjFi1kxQAAAN4AAAAP&#10;AAAAAAAAAAAAAAAAAAcCAABkcnMvZG93bnJldi54bWxQSwUGAAAAAAMAAwC3AAAA+QIAAAAA&#10;" filled="f" stroked="f">
                  <v:textbox inset="0,0,0,0">
                    <w:txbxContent>
                      <w:p w14:paraId="5F858A8F" w14:textId="77777777" w:rsidR="00B32EF2" w:rsidRDefault="00000000">
                        <w:r>
                          <w:rPr>
                            <w:rFonts w:ascii="Times New Roman" w:eastAsia="Times New Roman" w:hAnsi="Times New Roman" w:cs="Times New Roman"/>
                          </w:rPr>
                          <w:t>106</w:t>
                        </w:r>
                      </w:p>
                    </w:txbxContent>
                  </v:textbox>
                </v:rect>
                <v:rect id="Rectangle 14017" o:spid="_x0000_s1036" style="position:absolute;left:-13171;top:61199;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oj/xAAAAN4AAAAPAAAAZHJzL2Rvd25yZXYueG1sRE9Na8JA&#10;EL0X+h+WKXirG4tYia4iFjGHXtQUehyyYxLNzi7Z1cT+elcoeJvH+5z5sjeNuFLra8sKRsMEBHFh&#10;dc2lgvyweZ+C8AFZY2OZFNzIw3Lx+jLHVNuOd3Tdh1LEEPYpKqhCcKmUvqjIoB9aRxy5o20Nhgjb&#10;UuoWuxhuGvmRJBNpsObYUKGjdUXFeX8xCn6/2GWbThbHv7X7PmXTZnvJf5QavPWrGYhAfXiK/92Z&#10;jvPHyegTHu/EG+TiDgAA//8DAFBLAQItABQABgAIAAAAIQDb4fbL7gAAAIUBAAATAAAAAAAAAAAA&#10;AAAAAAAAAABbQ29udGVudF9UeXBlc10ueG1sUEsBAi0AFAAGAAgAAAAhAFr0LFu/AAAAFQEAAAsA&#10;AAAAAAAAAAAAAAAAHwEAAF9yZWxzLy5yZWxzUEsBAi0AFAAGAAgAAAAhAMxaiP/EAAAA3gAAAA8A&#10;AAAAAAAAAAAAAAAABwIAAGRycy9kb3ducmV2LnhtbFBLBQYAAAAAAwADALcAAAD4AgAAAAA=&#10;" filled="f" stroked="f">
                  <v:textbox inset="0,0,0,0">
                    <w:txbxContent>
                      <w:p w14:paraId="1965C1BF" w14:textId="77777777" w:rsidR="00B32EF2" w:rsidRDefault="00000000">
                        <w:r>
                          <w:rPr>
                            <w:rFonts w:ascii="Arial" w:eastAsia="Arial" w:hAnsi="Arial" w:cs="Arial"/>
                            <w:sz w:val="18"/>
                          </w:rPr>
                          <w:t xml:space="preserve">espressa del Presidente della corte di giustizia tributaria di primo o di secondo </w:t>
                        </w:r>
                      </w:p>
                    </w:txbxContent>
                  </v:textbox>
                </v:rect>
                <v:rect id="Rectangle 14018" o:spid="_x0000_s1037" style="position:absolute;left:-12204;top:59966;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RyNxwAAAN4AAAAPAAAAZHJzL2Rvd25yZXYueG1sRI9Ba8JA&#10;EIXvhf6HZQre6sYiIqmriEXMoZeqhR6H7JikZmeX7Gpif33nIHib4b1575vFanCtulIXG88GJuMM&#10;FHHpbcOVgeNh+zoHFROyxdYzGbhRhNXy+WmBufU9f9F1nyolIRxzNFCnFHKtY1mTwzj2gVi0k+8c&#10;Jlm7StsOewl3rX7Lspl22LA01BhoU1N53l+cgZ8PDsW21+XpbxM+f4t5u7scv40ZvQzrd1CJhvQw&#10;368LK/jTbCK88o7MoJf/AAAA//8DAFBLAQItABQABgAIAAAAIQDb4fbL7gAAAIUBAAATAAAAAAAA&#10;AAAAAAAAAAAAAABbQ29udGVudF9UeXBlc10ueG1sUEsBAi0AFAAGAAgAAAAhAFr0LFu/AAAAFQEA&#10;AAsAAAAAAAAAAAAAAAAAHwEAAF9yZWxzLy5yZWxzUEsBAi0AFAAGAAgAAAAhAL3FHI3HAAAA3gAA&#10;AA8AAAAAAAAAAAAAAAAABwIAAGRycy9kb3ducmV2LnhtbFBLBQYAAAAAAwADALcAAAD7AgAAAAA=&#10;" filled="f" stroked="f">
                  <v:textbox inset="0,0,0,0">
                    <w:txbxContent>
                      <w:p w14:paraId="2EDA53A0" w14:textId="77777777" w:rsidR="00B32EF2" w:rsidRDefault="00000000">
                        <w:r>
                          <w:rPr>
                            <w:rFonts w:ascii="Arial" w:eastAsia="Arial" w:hAnsi="Arial" w:cs="Arial"/>
                            <w:sz w:val="18"/>
                          </w:rPr>
                          <w:t>grado ovvero, in corso di causa, del relativo Presidente di sezione, la noti</w:t>
                        </w:r>
                      </w:p>
                    </w:txbxContent>
                  </v:textbox>
                </v:rect>
                <v:rect id="Rectangle 14019" o:spid="_x0000_s1038" style="position:absolute;left:191;top:59966;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bkWxQAAAN4AAAAPAAAAZHJzL2Rvd25yZXYueG1sRE9La8JA&#10;EL4X+h+WKfSmG4sUjW5ELGIOvVRT6HHITh6anV2yq0n767sFobf5+J6z3oymEzfqfWtZwWyagCAu&#10;rW65VlCc9pMFCB+QNXaWScE3edhkjw9rTLUd+INux1CLGMI+RQVNCC6V0pcNGfRT64gjV9neYIiw&#10;r6XucYjhppMvSfIqDbYcGxp0tGuovByvRsHXG7t8P8iy+tm593O+6A7X4lOp56dxuwIRaAz/4rs7&#10;13H+PJkt4e+deIPMfgEAAP//AwBQSwECLQAUAAYACAAAACEA2+H2y+4AAACFAQAAEwAAAAAAAAAA&#10;AAAAAAAAAAAAW0NvbnRlbnRfVHlwZXNdLnhtbFBLAQItABQABgAIAAAAIQBa9CxbvwAAABUBAAAL&#10;AAAAAAAAAAAAAAAAAB8BAABfcmVscy8ucmVsc1BLAQItABQABgAIAAAAIQDSibkWxQAAAN4AAAAP&#10;AAAAAAAAAAAAAAAAAAcCAABkcnMvZG93bnJldi54bWxQSwUGAAAAAAMAAwC3AAAA+QIAAAAA&#10;" filled="f" stroked="f">
                  <v:textbox inset="0,0,0,0">
                    <w:txbxContent>
                      <w:p w14:paraId="52B3BD21" w14:textId="77777777" w:rsidR="00B32EF2" w:rsidRDefault="00000000">
                        <w:r>
                          <w:rPr>
                            <w:rFonts w:ascii="Arial" w:eastAsia="Arial" w:hAnsi="Arial" w:cs="Arial"/>
                            <w:sz w:val="18"/>
                          </w:rPr>
                          <w:t>-</w:t>
                        </w:r>
                      </w:p>
                    </w:txbxContent>
                  </v:textbox>
                </v:rect>
                <v:rect id="Rectangle 14020" o:spid="_x0000_s1039" style="position:absolute;left:-13172;top:58733;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9o2xwAAAN4AAAAPAAAAZHJzL2Rvd25yZXYueG1sRI9Pa8JA&#10;EMXvhX6HZQq91U2liKSuIhZpDl78U+hxyI5JanZ2ya4m9dM7B8HbDPPmvfebLQbXqgt1sfFs4H2U&#10;gSIuvW24MnDYr9+moGJCtth6JgP/FGExf36aYW59z1u67FKlxIRjjgbqlEKudSxrchhHPhDL7eg7&#10;h0nWrtK2w17MXavHWTbRDhuWhBoDrWoqT7uzM/D7xaFY97o8Xldh81dM2+/z4ceY15dh+Qkq0ZAe&#10;4vt3YaX+RzYWAMGRGfT8BgAA//8DAFBLAQItABQABgAIAAAAIQDb4fbL7gAAAIUBAAATAAAAAAAA&#10;AAAAAAAAAAAAAABbQ29udGVudF9UeXBlc10ueG1sUEsBAi0AFAAGAAgAAAAhAFr0LFu/AAAAFQEA&#10;AAsAAAAAAAAAAAAAAAAAHwEAAF9yZWxzLy5yZWxzUEsBAi0AFAAGAAgAAAAhAI3f2jbHAAAA3gAA&#10;AA8AAAAAAAAAAAAAAAAABwIAAGRycy9kb3ducmV2LnhtbFBLBQYAAAAAAwADALcAAAD7AgAAAAA=&#10;" filled="f" stroked="f">
                  <v:textbox inset="0,0,0,0">
                    <w:txbxContent>
                      <w:p w14:paraId="39A1785C" w14:textId="77777777" w:rsidR="00B32EF2" w:rsidRDefault="00000000">
                        <w:r>
                          <w:rPr>
                            <w:rFonts w:ascii="Arial" w:eastAsia="Arial" w:hAnsi="Arial" w:cs="Arial"/>
                            <w:sz w:val="18"/>
                          </w:rPr>
                          <w:t xml:space="preserve">ficazione, il deposito delle notifiche, degli atti processuali, dei documenti, e </w:t>
                        </w:r>
                      </w:p>
                    </w:txbxContent>
                  </v:textbox>
                </v:rect>
                <v:rect id="Rectangle 14021" o:spid="_x0000_s1040" style="position:absolute;left:-13172;top:57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3+twwAAAN4AAAAPAAAAZHJzL2Rvd25yZXYueG1sRE9Li8Iw&#10;EL4L+x/CLHjTVJFFukYRRexhL+sDPA7N2HZtJqGJtuuvN4LgbT6+58wWnanFjRpfWVYwGiYgiHOr&#10;Ky4UHPabwRSED8gaa8uk4J88LOYfvRmm2rb8S7ddKEQMYZ+igjIEl0rp85IM+qF1xJE728ZgiLAp&#10;pG6wjeGmluMk+ZIGK44NJTpalZRfdlej4LRml21amZ/vK/fzl03r7fVwVKr/2S2/QQTqwlv8cmc6&#10;zp8k4xE834k3yPkDAAD//wMAUEsBAi0AFAAGAAgAAAAhANvh9svuAAAAhQEAABMAAAAAAAAAAAAA&#10;AAAAAAAAAFtDb250ZW50X1R5cGVzXS54bWxQSwECLQAUAAYACAAAACEAWvQsW78AAAAVAQAACwAA&#10;AAAAAAAAAAAAAAAfAQAAX3JlbHMvLnJlbHNQSwECLQAUAAYACAAAACEA4pN/rcMAAADeAAAADwAA&#10;AAAAAAAAAAAAAAAHAgAAZHJzL2Rvd25yZXYueG1sUEsFBgAAAAADAAMAtwAAAPcCAAAAAA==&#10;" filled="f" stroked="f">
                  <v:textbox inset="0,0,0,0">
                    <w:txbxContent>
                      <w:p w14:paraId="65A5C763" w14:textId="77777777" w:rsidR="00B32EF2" w:rsidRDefault="00000000">
                        <w:r>
                          <w:rPr>
                            <w:rFonts w:ascii="Arial" w:eastAsia="Arial" w:hAnsi="Arial" w:cs="Arial"/>
                            <w:sz w:val="18"/>
                          </w:rPr>
                          <w:t xml:space="preserve">dei provvedimenti giurisdizionali e le relative comunicazioni possono essere </w:t>
                        </w:r>
                      </w:p>
                    </w:txbxContent>
                  </v:textbox>
                </v:rect>
                <v:rect id="Rectangle 14022" o:spid="_x0000_s1041" style="position:absolute;left:17425;top:56266;width:224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eHaxAAAAN4AAAAPAAAAZHJzL2Rvd25yZXYueG1sRE9Na8JA&#10;EL0L/odlhN5001CKpK5SFDGHXqoRehyyY5I2O7tkV5P6611B8DaP9zmL1WBacaHON5YVvM4SEMSl&#10;1Q1XCorDdjoH4QOyxtYyKfgnD6vleLTATNuev+myD5WIIewzVFCH4DIpfVmTQT+zjjhyJ9sZDBF2&#10;ldQd9jHctDJNkndpsOHYUKOjdU3l3/5sFPxs2OXbXpan69p9/ebzdncujkq9TIbPDxCBhvAUP9y5&#10;jvPfkjSF+zvxBrm8AQAA//8DAFBLAQItABQABgAIAAAAIQDb4fbL7gAAAIUBAAATAAAAAAAAAAAA&#10;AAAAAAAAAABbQ29udGVudF9UeXBlc10ueG1sUEsBAi0AFAAGAAgAAAAhAFr0LFu/AAAAFQEAAAsA&#10;AAAAAAAAAAAAAAAAHwEAAF9yZWxzLy5yZWxzUEsBAi0AFAAGAAgAAAAhABJB4drEAAAA3gAAAA8A&#10;AAAAAAAAAAAAAAAABwIAAGRycy9kb3ducmV2LnhtbFBLBQYAAAAAAwADALcAAAD4AgAAAAA=&#10;" filled="f" stroked="f">
                  <v:textbox inset="0,0,0,0">
                    <w:txbxContent>
                      <w:p w14:paraId="41EB9897" w14:textId="77777777" w:rsidR="00B32EF2" w:rsidRDefault="00000000">
                        <w:r>
                          <w:rPr>
                            <w:rFonts w:ascii="Arial" w:eastAsia="Arial" w:hAnsi="Arial" w:cs="Arial"/>
                            <w:sz w:val="18"/>
                          </w:rPr>
                          <w:t>effettuate con modalità cartacea.</w:t>
                        </w:r>
                      </w:p>
                    </w:txbxContent>
                  </v:textbox>
                </v:rect>
                <v:rect id="Rectangle 198825" o:spid="_x0000_s1042" style="position:absolute;left:25689;top:55337;width:53020;height:119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w/9xAAAAN8AAAAPAAAAZHJzL2Rvd25yZXYueG1sRE/LasJA&#10;FN0X/IfhCu7qRKElRkcRRZpFN/UBLi+ZaxLN3Bkyo4n9+k6h0OXhvBer3jTiQa2vLSuYjBMQxIXV&#10;NZcKjofdawrCB2SNjWVS8CQPq+XgZYGZth1/0WMfShFD2GeooArBZVL6oiKDfmwdceQutjUYImxL&#10;qVvsYrhp5DRJ3qXBmmNDhY42FRW3/d0oOG/Z5btOFpfvjfu85mnzcT+elBoN+/UcRKA+/Iv/3LmO&#10;82dpOn2D3z8RgFz+AAAA//8DAFBLAQItABQABgAIAAAAIQDb4fbL7gAAAIUBAAATAAAAAAAAAAAA&#10;AAAAAAAAAABbQ29udGVudF9UeXBlc10ueG1sUEsBAi0AFAAGAAgAAAAhAFr0LFu/AAAAFQEAAAsA&#10;AAAAAAAAAAAAAAAAHwEAAF9yZWxzLy5yZWxzUEsBAi0AFAAGAAgAAAAhAO8rD/3EAAAA3wAAAA8A&#10;AAAAAAAAAAAAAAAABwIAAGRycy9kb3ducmV2LnhtbFBLBQYAAAAAAwADALcAAAD4AgAAAAA=&#10;" filled="f" stroked="f">
                  <v:textbox inset="0,0,0,0">
                    <w:txbxContent>
                      <w:p w14:paraId="535953D8" w14:textId="77777777" w:rsidR="00B32EF2" w:rsidRDefault="00000000">
                        <w:r>
                          <w:rPr>
                            <w:rFonts w:ascii="Arial" w:eastAsia="Arial" w:hAnsi="Arial" w:cs="Arial"/>
                            <w:sz w:val="15"/>
                          </w:rPr>
                          <w:t>(1)</w:t>
                        </w:r>
                      </w:p>
                    </w:txbxContent>
                  </v:textbox>
                </v:rect>
                <v:rect id="Rectangle 198826" o:spid="_x0000_s1043" style="position:absolute;left:-14175;top:55337;width:53019;height:119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GKwwAAAN8AAAAPAAAAZHJzL2Rvd25yZXYueG1sRE/Pa8Iw&#10;FL4L/g/hDXbTdB6kdkYRRdaDl6mDHR/Ns+1sXkITbfWvNwPB48f3e77sTSOu1PrasoKPcQKCuLC6&#10;5lLB8bAdpSB8QNbYWCYFN/KwXAwHc8y07fibrvtQihjCPkMFVQguk9IXFRn0Y+uII3eyrcEQYVtK&#10;3WIXw00jJ0kylQZrjg0VOlpXVJz3F6Pgd8Mu33ayON3XbveXp83X5fij1Ptbv/oEEagPL/HTnes4&#10;f5amkyn8/4kA5OIBAAD//wMAUEsBAi0AFAAGAAgAAAAhANvh9svuAAAAhQEAABMAAAAAAAAAAAAA&#10;AAAAAAAAAFtDb250ZW50X1R5cGVzXS54bWxQSwECLQAUAAYACAAAACEAWvQsW78AAAAVAQAACwAA&#10;AAAAAAAAAAAAAAAfAQAAX3JlbHMvLnJlbHNQSwECLQAUAAYACAAAACEAH/mRisMAAADfAAAADwAA&#10;AAAAAAAAAAAAAAAHAgAAZHJzL2Rvd25yZXYueG1sUEsFBgAAAAADAAMAtwAAAPcCAAAAAA==&#10;" filled="f" stroked="f">
                  <v:textbox inset="0,0,0,0">
                    <w:txbxContent>
                      <w:p w14:paraId="0466E709" w14:textId="77777777" w:rsidR="00B32EF2" w:rsidRDefault="00000000">
                        <w:r>
                          <w:rPr>
                            <w:rFonts w:ascii="Arial" w:eastAsia="Arial" w:hAnsi="Arial" w:cs="Arial"/>
                            <w:sz w:val="15"/>
                          </w:rPr>
                          <w:t xml:space="preserve"> L’art. 16 del D.lgs n. 81 del 12/06/2025 ha sostituito al comma 2 del presente articolo le </w:t>
                        </w:r>
                      </w:p>
                    </w:txbxContent>
                  </v:textbox>
                </v:rect>
                <v:rect id="Rectangle 14024" o:spid="_x0000_s1044" style="position:absolute;left:19490;top:54103;width:20427;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Nw1wwAAAN4AAAAPAAAAZHJzL2Rvd25yZXYueG1sRE9Ni8Iw&#10;EL0L/ocwgjdNFRHpGmVRxB686Cp4HJqx7W4zCU20dX/9RhD2No/3Oct1Z2rxoMZXlhVMxgkI4tzq&#10;igsF56/daAHCB2SNtWVS8CQP61W/t8RU25aP9DiFQsQQ9ikqKENwqZQ+L8mgH1tHHLmbbQyGCJtC&#10;6gbbGG5qOU2SuTRYcWwo0dGmpPzndDcKrlt22a6V+e134w7f2aLe388XpYaD7vMDRKAu/Ivf7kzH&#10;+bNkOoPXO/EGufoDAAD//wMAUEsBAi0AFAAGAAgAAAAhANvh9svuAAAAhQEAABMAAAAAAAAAAAAA&#10;AAAAAAAAAFtDb250ZW50X1R5cGVzXS54bWxQSwECLQAUAAYACAAAACEAWvQsW78AAAAVAQAACwAA&#10;AAAAAAAAAAAAAAAfAQAAX3JlbHMvLnJlbHNQSwECLQAUAAYACAAAACEA8uTcNcMAAADeAAAADwAA&#10;AAAAAAAAAAAAAAAHAgAAZHJzL2Rvd25yZXYueG1sUEsFBgAAAAADAAMAtwAAAPcCAAAAAA==&#10;" filled="f" stroked="f">
                  <v:textbox inset="0,0,0,0">
                    <w:txbxContent>
                      <w:p w14:paraId="4A3FD91F" w14:textId="77777777" w:rsidR="00B32EF2" w:rsidRDefault="00000000">
                        <w:r>
                          <w:rPr>
                            <w:rFonts w:ascii="Arial" w:eastAsia="Arial" w:hAnsi="Arial" w:cs="Arial"/>
                            <w:sz w:val="15"/>
                          </w:rPr>
                          <w:t>parole «comma 3» con «comma 1».</w:t>
                        </w:r>
                      </w:p>
                    </w:txbxContent>
                  </v:textbox>
                </v:rect>
                <v:rect id="Rectangle 14025" o:spid="_x0000_s1045" style="position:absolute;left:15812;top:50303;width:69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HmuxQAAAN4AAAAPAAAAZHJzL2Rvd25yZXYueG1sRE9La8JA&#10;EL4X+h+WKfRWNxUrkrqRYhFz8KKm0OOQnTza7OySXU3qr+8Kgrf5+J6zXI2mE2fqfWtZweskAUFc&#10;Wt1yraA4bl4WIHxA1thZJgV/5GGVPT4sMdV24D2dD6EWMYR9igqaEFwqpS8bMugn1hFHrrK9wRBh&#10;X0vd4xDDTSenSTKXBluODQ06WjdU/h5ORsH3J7t8M8iyuqzd7idfdNtT8aXU89P48Q4i0Bju4ps7&#10;13H+LJm+wfWdeIPM/gEAAP//AwBQSwECLQAUAAYACAAAACEA2+H2y+4AAACFAQAAEwAAAAAAAAAA&#10;AAAAAAAAAAAAW0NvbnRlbnRfVHlwZXNdLnhtbFBLAQItABQABgAIAAAAIQBa9CxbvwAAABUBAAAL&#10;AAAAAAAAAAAAAAAAAB8BAABfcmVscy8ucmVsc1BLAQItABQABgAIAAAAIQCdqHmuxQAAAN4AAAAP&#10;AAAAAAAAAAAAAAAAAAcCAABkcnMvZG93bnJldi54bWxQSwUGAAAAAAMAAwC3AAAA+QIAAAAA&#10;" filled="f" stroked="f">
                  <v:textbox inset="0,0,0,0">
                    <w:txbxContent>
                      <w:p w14:paraId="5EB085B8" w14:textId="77777777" w:rsidR="00B32EF2" w:rsidRDefault="00000000">
                        <w:r>
                          <w:rPr>
                            <w:rFonts w:ascii="Arial" w:eastAsia="Arial" w:hAnsi="Arial" w:cs="Arial"/>
                            <w:b/>
                            <w:sz w:val="18"/>
                          </w:rPr>
                          <w:t>PARTE III</w:t>
                        </w:r>
                      </w:p>
                    </w:txbxContent>
                  </v:textbox>
                </v:rect>
                <v:rect id="Rectangle 14026" o:spid="_x0000_s1046" style="position:absolute;left:10209;top:49070;width:158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ufZxQAAAN4AAAAPAAAAZHJzL2Rvd25yZXYueG1sRE9Na8JA&#10;EL0L/Q/LFHrTTYMEia4iKWIOvdRa6HHIjkk0O7tk1yTtr+8WCr3N433OZjeZTgzU+9aygudFAoK4&#10;srrlWsH5/TBfgfABWWNnmRR8kYfd9mG2wVzbkd9oOIVaxBD2OSpoQnC5lL5qyKBfWEccuYvtDYYI&#10;+1rqHscYbjqZJkkmDbYcGxp0VDRU3U53o+DzhV15GGV1+S7c67Vcdcf7+UOpp8dpvwYRaAr/4j93&#10;qeP8ZZJm8PtOvEFufwAAAP//AwBQSwECLQAUAAYACAAAACEA2+H2y+4AAACFAQAAEwAAAAAAAAAA&#10;AAAAAAAAAAAAW0NvbnRlbnRfVHlwZXNdLnhtbFBLAQItABQABgAIAAAAIQBa9CxbvwAAABUBAAAL&#10;AAAAAAAAAAAAAAAAAB8BAABfcmVscy8ucmVsc1BLAQItABQABgAIAAAAIQBteufZxQAAAN4AAAAP&#10;AAAAAAAAAAAAAAAAAAcCAABkcnMvZG93bnJldi54bWxQSwUGAAAAAAMAAwC3AAAA+QIAAAAA&#10;" filled="f" stroked="f">
                  <v:textbox inset="0,0,0,0">
                    <w:txbxContent>
                      <w:p w14:paraId="633C7F7B" w14:textId="77777777" w:rsidR="00B32EF2" w:rsidRDefault="00000000">
                        <w:r>
                          <w:rPr>
                            <w:rFonts w:ascii="Arial" w:eastAsia="Arial" w:hAnsi="Arial" w:cs="Arial"/>
                            <w:b/>
                            <w:sz w:val="18"/>
                          </w:rPr>
                          <w:t>DISPOSIZIONI FINALI</w:t>
                        </w:r>
                      </w:p>
                    </w:txbxContent>
                  </v:textbox>
                </v:rect>
                <v:rect id="Rectangle 14027" o:spid="_x0000_s1047" style="position:absolute;left:16090;top:46603;width:64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kJCxQAAAN4AAAAPAAAAZHJzL2Rvd25yZXYueG1sRE9La8JA&#10;EL4X+h+WKfRWNxWpkrqRYhFz8KKm0OOQnTza7OySXU3qr+8Kgrf5+J6zXI2mE2fqfWtZweskAUFc&#10;Wt1yraA4bl4WIHxA1thZJgV/5GGVPT4sMdV24D2dD6EWMYR9igqaEFwqpS8bMugn1hFHrrK9wRBh&#10;X0vd4xDDTSenSfImDbYcGxp0tG6o/D2cjILvT3b5ZpBldVm73U++6Lan4kup56fx4x1EoDHcxTd3&#10;ruP8WTKdw/WdeIPM/gEAAP//AwBQSwECLQAUAAYACAAAACEA2+H2y+4AAACFAQAAEwAAAAAAAAAA&#10;AAAAAAAAAAAAW0NvbnRlbnRfVHlwZXNdLnhtbFBLAQItABQABgAIAAAAIQBa9CxbvwAAABUBAAAL&#10;AAAAAAAAAAAAAAAAAB8BAABfcmVscy8ucmVsc1BLAQItABQABgAIAAAAIQACNkJCxQAAAN4AAAAP&#10;AAAAAAAAAAAAAAAAAAcCAABkcnMvZG93bnJldi54bWxQSwUGAAAAAAMAAwC3AAAA+QIAAAAA&#10;" filled="f" stroked="f">
                  <v:textbox inset="0,0,0,0">
                    <w:txbxContent>
                      <w:p w14:paraId="705C7ABF" w14:textId="77777777" w:rsidR="00B32EF2" w:rsidRDefault="00000000">
                        <w:r>
                          <w:rPr>
                            <w:rFonts w:ascii="Arial" w:eastAsia="Arial" w:hAnsi="Arial" w:cs="Arial"/>
                            <w:b/>
                            <w:sz w:val="18"/>
                          </w:rPr>
                          <w:t>TITOLO I</w:t>
                        </w:r>
                      </w:p>
                    </w:txbxContent>
                  </v:textbox>
                </v:rect>
                <v:rect id="Rectangle 14028" o:spid="_x0000_s1048" style="position:absolute;left:9945;top:45370;width:163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YwxwAAAN4AAAAPAAAAZHJzL2Rvd25yZXYueG1sRI9Pa8JA&#10;EMXvhX6HZQq91U2liKSuIhZpDl78U+hxyI5JanZ2ya4m9dM7B8HbDO/Ne7+ZLQbXqgt1sfFs4H2U&#10;gSIuvW24MnDYr9+moGJCtth6JgP/FGExf36aYW59z1u67FKlJIRjjgbqlEKudSxrchhHPhCLdvSd&#10;wyRrV2nbYS/hrtXjLJtohw1LQ42BVjWVp93ZGfj94lCse10er6uw+Sum7ff58GPM68uw/ASVaEgP&#10;8/26sIL/kY2FV96RGfT8BgAA//8DAFBLAQItABQABgAIAAAAIQDb4fbL7gAAAIUBAAATAAAAAAAA&#10;AAAAAAAAAAAAAABbQ29udGVudF9UeXBlc10ueG1sUEsBAi0AFAAGAAgAAAAhAFr0LFu/AAAAFQEA&#10;AAsAAAAAAAAAAAAAAAAAHwEAAF9yZWxzLy5yZWxzUEsBAi0AFAAGAAgAAAAhAHOp1jDHAAAA3gAA&#10;AA8AAAAAAAAAAAAAAAAABwIAAGRycy9kb3ducmV2LnhtbFBLBQYAAAAAAwADALcAAAD7AgAAAAA=&#10;" filled="f" stroked="f">
                  <v:textbox inset="0,0,0,0">
                    <w:txbxContent>
                      <w:p w14:paraId="26D2B5EC" w14:textId="77777777" w:rsidR="00B32EF2" w:rsidRDefault="00000000">
                        <w:r>
                          <w:rPr>
                            <w:rFonts w:ascii="Arial" w:eastAsia="Arial" w:hAnsi="Arial" w:cs="Arial"/>
                            <w:b/>
                            <w:sz w:val="18"/>
                          </w:rPr>
                          <w:t xml:space="preserve"> DISPOSIZIONI FINALI</w:t>
                        </w:r>
                      </w:p>
                    </w:txbxContent>
                  </v:textbox>
                </v:rect>
                <v:rect id="Rectangle 14029" o:spid="_x0000_s1049" style="position:absolute;left:14570;top:42904;width:890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XOrxAAAAN4AAAAPAAAAZHJzL2Rvd25yZXYueG1sRE9Na8JA&#10;EL0L/Q/LFLzppiKiqasUi5hDL2oKPQ7ZMUmbnV2yq4n99a4geJvH+5zlujeNuFDra8sK3sYJCOLC&#10;6ppLBflxO5qD8AFZY2OZFFzJw3r1Mlhiqm3He7ocQiliCPsUFVQhuFRKX1Rk0I+tI47cybYGQ4Rt&#10;KXWLXQw3jZwkyUwarDk2VOhoU1HxdzgbBT+f7LJtJ4vT/8Z9/WbzZnfOv5UavvYf7yAC9eEpfrgz&#10;HedPk8kC7u/EG+TqBgAA//8DAFBLAQItABQABgAIAAAAIQDb4fbL7gAAAIUBAAATAAAAAAAAAAAA&#10;AAAAAAAAAABbQ29udGVudF9UeXBlc10ueG1sUEsBAi0AFAAGAAgAAAAhAFr0LFu/AAAAFQEAAAsA&#10;AAAAAAAAAAAAAAAAHwEAAF9yZWxzLy5yZWxzUEsBAi0AFAAGAAgAAAAhABzlc6vEAAAA3gAAAA8A&#10;AAAAAAAAAAAAAAAABwIAAGRycy9kb3ducmV2LnhtbFBLBQYAAAAAAwADALcAAAD4AgAAAAA=&#10;" filled="f" stroked="f">
                  <v:textbox inset="0,0,0,0">
                    <w:txbxContent>
                      <w:p w14:paraId="35C8C047" w14:textId="77777777" w:rsidR="00B32EF2" w:rsidRDefault="00000000">
                        <w:r>
                          <w:rPr>
                            <w:rFonts w:ascii="Arial" w:eastAsia="Arial" w:hAnsi="Arial" w:cs="Arial"/>
                            <w:b/>
                            <w:sz w:val="18"/>
                          </w:rPr>
                          <w:t>Articolo 130</w:t>
                        </w:r>
                      </w:p>
                    </w:txbxContent>
                  </v:textbox>
                </v:rect>
                <v:rect id="Rectangle 14030" o:spid="_x0000_s1050" style="position:absolute;left:14487;top:41670;width:90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kzrxwAAAN4AAAAPAAAAZHJzL2Rvd25yZXYueG1sRI9Ba8JA&#10;EIXvhf6HZQre6sZWiqSuIhZpDr1oLfQ4ZMckmp1dsquJ/fXOQehthnnz3vvmy8G16kJdbDwbmIwz&#10;UMSltw1XBvbfm+cZqJiQLbaeycCVIiwXjw9zzK3veUuXXaqUmHDM0UCdUsi1jmVNDuPYB2K5HXzn&#10;MMnaVdp22Iu5a/VLlr1phw1LQo2B1jWVp93ZGfj94FBsel0e/tbh61jM2s/z/seY0dOwegeVaEj/&#10;4vt3YaX+NHsVAMGRGfTiBgAA//8DAFBLAQItABQABgAIAAAAIQDb4fbL7gAAAIUBAAATAAAAAAAA&#10;AAAAAAAAAAAAAABbQ29udGVudF9UeXBlc10ueG1sUEsBAi0AFAAGAAgAAAAhAFr0LFu/AAAAFQEA&#10;AAsAAAAAAAAAAAAAAAAAHwEAAF9yZWxzLy5yZWxzUEsBAi0AFAAGAAgAAAAhAAgGTOvHAAAA3gAA&#10;AA8AAAAAAAAAAAAAAAAABwIAAGRycy9kb3ducmV2LnhtbFBLBQYAAAAAAwADALcAAAD7AgAAAAA=&#10;" filled="f" stroked="f">
                  <v:textbox inset="0,0,0,0">
                    <w:txbxContent>
                      <w:p w14:paraId="20BF7456" w14:textId="77777777" w:rsidR="00B32EF2" w:rsidRDefault="00000000">
                        <w:r>
                          <w:rPr>
                            <w:rFonts w:ascii="Arial" w:eastAsia="Arial" w:hAnsi="Arial" w:cs="Arial"/>
                            <w:b/>
                            <w:sz w:val="18"/>
                          </w:rPr>
                          <w:t>Abrogazioni</w:t>
                        </w:r>
                      </w:p>
                    </w:txbxContent>
                  </v:textbox>
                </v:rect>
                <v:rect id="Rectangle 198822" o:spid="_x0000_s1051" style="position:absolute;left:26974;top:40437;width:496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peJxAAAAN8AAAAPAAAAZHJzL2Rvd25yZXYueG1sRE/Pa8Iw&#10;FL4L/g/hCbtpuh5G15mWoYg97DKnsOOjebbdmpfQRNv515vBYMeP7/e6nEwvrjT4zrKCx1UCgri2&#10;uuNGwfFjt8xA+ICssbdMCn7IQ1nMZ2vMtR35na6H0IgYwj5HBW0ILpfS1y0Z9CvriCN3toPBEOHQ&#10;SD3gGMNNL9MkeZIGO44NLTratFR/Hy5GweeWXbUbZX2+bdzbV5X1+8vxpNTDYnp9ARFoCv/iP3el&#10;4/znLEtT+P0TAcjiDgAA//8DAFBLAQItABQABgAIAAAAIQDb4fbL7gAAAIUBAAATAAAAAAAAAAAA&#10;AAAAAAAAAABbQ29udGVudF9UeXBlc10ueG1sUEsBAi0AFAAGAAgAAAAhAFr0LFu/AAAAFQEAAAsA&#10;AAAAAAAAAAAAAAAAHwEAAF9yZWxzLy5yZWxzUEsBAi0AFAAGAAgAAAAhAGDCl4nEAAAA3wAAAA8A&#10;AAAAAAAAAAAAAAAABwIAAGRycy9kb3ducmV2LnhtbFBLBQYAAAAAAwADALcAAAD4AgAAAAA=&#10;" filled="f" stroked="f">
                  <v:textbox inset="0,0,0,0">
                    <w:txbxContent>
                      <w:p w14:paraId="5ADBF472" w14:textId="77777777" w:rsidR="00B32EF2" w:rsidRDefault="00000000">
                        <w:r>
                          <w:rPr>
                            <w:rFonts w:ascii="Arial" w:eastAsia="Arial" w:hAnsi="Arial" w:cs="Arial"/>
                            <w:sz w:val="18"/>
                          </w:rPr>
                          <w:t>1</w:t>
                        </w:r>
                      </w:p>
                    </w:txbxContent>
                  </v:textbox>
                </v:rect>
                <v:rect id="Rectangle 198824" o:spid="_x0000_s1052" style="position:absolute;left:-9976;top:40437;width:496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6pmxAAAAN8AAAAPAAAAZHJzL2Rvd25yZXYueG1sRE/LasJA&#10;FN0X/IfhCu7qRCklRkcRRZpFN/UBLi+ZaxLN3Bkyo4n9+k6h0OXhvBer3jTiQa2vLSuYjBMQxIXV&#10;NZcKjofdawrCB2SNjWVS8CQPq+XgZYGZth1/0WMfShFD2GeooArBZVL6oiKDfmwdceQutjUYImxL&#10;qVvsYrhp5DRJ3qXBmmNDhY42FRW3/d0oOG/Z5btOFpfvjfu85mnzcT+elBoN+/UcRKA+/Iv/3LmO&#10;82dpOn2D3z8RgFz+AAAA//8DAFBLAQItABQABgAIAAAAIQDb4fbL7gAAAIUBAAATAAAAAAAAAAAA&#10;AAAAAAAAAABbQ29udGVudF9UeXBlc10ueG1sUEsBAi0AFAAGAAgAAAAhAFr0LFu/AAAAFQEAAAsA&#10;AAAAAAAAAAAAAAAAHwEAAF9yZWxzLy5yZWxzUEsBAi0AFAAGAAgAAAAhAIBnqmbEAAAA3wAAAA8A&#10;AAAAAAAAAAAAAAAABwIAAGRycy9kb3ducmV2LnhtbFBLBQYAAAAAAwADALcAAAD4AgAAAAA=&#10;" filled="f" stroked="f">
                  <v:textbox inset="0,0,0,0">
                    <w:txbxContent>
                      <w:p w14:paraId="2DD9642E" w14:textId="77777777" w:rsidR="00B32EF2" w:rsidRDefault="00000000">
                        <w:r>
                          <w:rPr>
                            <w:rFonts w:ascii="Arial" w:eastAsia="Arial" w:hAnsi="Arial" w:cs="Arial"/>
                            <w:sz w:val="18"/>
                          </w:rPr>
                          <w:t>. Dalla data di cui all’articolo 131 sono abrogate le seguenti disposizioni</w:t>
                        </w:r>
                      </w:p>
                    </w:txbxContent>
                  </v:textbox>
                </v:rect>
                <v:rect id="Rectangle 198823" o:spid="_x0000_s1053" style="position:absolute;left:-46669;top:40437;width:496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jISxAAAAN8AAAAPAAAAZHJzL2Rvd25yZXYueG1sRE/LasJA&#10;FN0X/IfhCu7qRAslRkcRRZpFN/UBLi+ZaxLN3Bkyo4n9+k6h0OXhvBer3jTiQa2vLSuYjBMQxIXV&#10;NZcKjofdawrCB2SNjWVS8CQPq+XgZYGZth1/0WMfShFD2GeooArBZVL6oiKDfmwdceQutjUYImxL&#10;qVvsYrhp5DRJ3qXBmmNDhY42FRW3/d0oOG/Z5btOFpfvjfu85mnzcT+elBoN+/UcRKA+/Iv/3LmO&#10;82dpOn2D3z8RgFz+AAAA//8DAFBLAQItABQABgAIAAAAIQDb4fbL7gAAAIUBAAATAAAAAAAAAAAA&#10;AAAAAAAAAABbQ29udGVudF9UeXBlc10ueG1sUEsBAi0AFAAGAAgAAAAhAFr0LFu/AAAAFQEAAAsA&#10;AAAAAAAAAAAAAAAAHwEAAF9yZWxzLy5yZWxzUEsBAi0AFAAGAAgAAAAhAA+OMhLEAAAA3wAAAA8A&#10;AAAAAAAAAAAAAAAABwIAAGRycy9kb3ducmV2LnhtbFBLBQYAAAAAAwADALcAAAD4AgAAAAA=&#10;" filled="f" stroked="f">
                  <v:textbox inset="0,0,0,0">
                    <w:txbxContent>
                      <w:p w14:paraId="79BAC041" w14:textId="77777777" w:rsidR="00B32EF2" w:rsidRDefault="00000000">
                        <w:r>
                          <w:rPr>
                            <w:rFonts w:ascii="Arial" w:eastAsia="Arial" w:hAnsi="Arial" w:cs="Arial"/>
                            <w:sz w:val="18"/>
                          </w:rPr>
                          <w:t>:</w:t>
                        </w:r>
                      </w:p>
                    </w:txbxContent>
                  </v:textbox>
                </v:rect>
                <v:rect id="Rectangle 14032" o:spid="_x0000_s1054" style="position:absolute;left:-13171;top:3920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HcHxQAAAN4AAAAPAAAAZHJzL2Rvd25yZXYueG1sRE9La8JA&#10;EL4X+h+WKfRWN9UikrqRYhFz8KKm0OOQnTza7OySXU3qr+8Kgrf5+J6zXI2mE2fqfWtZweskAUFc&#10;Wt1yraA4bl4WIHxA1thZJgV/5GGVPT4sMdV24D2dD6EWMYR9igqaEFwqpS8bMugn1hFHrrK9wRBh&#10;X0vd4xDDTSenSTKXBluODQ06WjdU/h5ORsH3J7t8M8iyuqzd7idfdNtT8aXU89P48Q4i0Bju4ps7&#10;13H+WzKbwvWdeIPM/gEAAP//AwBQSwECLQAUAAYACAAAACEA2+H2y+4AAACFAQAAEwAAAAAAAAAA&#10;AAAAAAAAAAAAW0NvbnRlbnRfVHlwZXNdLnhtbFBLAQItABQABgAIAAAAIQBa9CxbvwAAABUBAAAL&#10;AAAAAAAAAAAAAAAAAB8BAABfcmVscy8ucmVsc1BLAQItABQABgAIAAAAIQCXmHcHxQAAAN4AAAAP&#10;AAAAAAAAAAAAAAAAAAcCAABkcnMvZG93bnJldi54bWxQSwUGAAAAAAMAAwC3AAAA+QIAAAAA&#10;" filled="f" stroked="f">
                  <v:textbox inset="0,0,0,0">
                    <w:txbxContent>
                      <w:p w14:paraId="049B9B29" w14:textId="77777777" w:rsidR="00B32EF2" w:rsidRDefault="00000000">
                        <w:r>
                          <w:rPr>
                            <w:rFonts w:ascii="Arial" w:eastAsia="Arial" w:hAnsi="Arial" w:cs="Arial"/>
                            <w:sz w:val="18"/>
                          </w:rPr>
                          <w:t xml:space="preserve">a) l’articolo 59, commi 1 e 2, del decreto del Presidente della Repubblica 26 </w:t>
                        </w:r>
                      </w:p>
                    </w:txbxContent>
                  </v:textbox>
                </v:rect>
                <v:rect id="Rectangle 14033" o:spid="_x0000_s1055" style="position:absolute;left:25827;top:37970;width:14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NKcxAAAAN4AAAAPAAAAZHJzL2Rvd25yZXYueG1sRE9Ni8Iw&#10;EL0L+x/CLHjTdFVEqlHERexhL7ou7HFoxrbaTEITbd1fbwRhb/N4n7NYdaYWN2p8ZVnBxzABQZxb&#10;XXGh4Pi9HcxA+ICssbZMCu7kYbV86y0w1bblPd0OoRAxhH2KCsoQXCqlz0sy6IfWEUfuZBuDIcKm&#10;kLrBNoabWo6SZCoNVhwbSnS0KSm/HK5Gwe8nu2zbyvz0t3Ff52xW767HH6X67916DiJQF/7FL3em&#10;4/xJMh7D8514g1w+AAAA//8DAFBLAQItABQABgAIAAAAIQDb4fbL7gAAAIUBAAATAAAAAAAAAAAA&#10;AAAAAAAAAABbQ29udGVudF9UeXBlc10ueG1sUEsBAi0AFAAGAAgAAAAhAFr0LFu/AAAAFQEAAAsA&#10;AAAAAAAAAAAAAAAAHwEAAF9yZWxzLy5yZWxzUEsBAi0AFAAGAAgAAAAhAPjU0pzEAAAA3gAAAA8A&#10;AAAAAAAAAAAAAAAABwIAAGRycy9kb3ducmV2LnhtbFBLBQYAAAAAAwADALcAAAD4AgAAAAA=&#10;" filled="f" stroked="f">
                  <v:textbox inset="0,0,0,0">
                    <w:txbxContent>
                      <w:p w14:paraId="62C74BDC" w14:textId="77777777" w:rsidR="00B32EF2" w:rsidRDefault="00000000">
                        <w:r>
                          <w:rPr>
                            <w:rFonts w:ascii="Arial" w:eastAsia="Arial" w:hAnsi="Arial" w:cs="Arial"/>
                            <w:sz w:val="18"/>
                          </w:rPr>
                          <w:t>ottobre 1972, n. 633;</w:t>
                        </w:r>
                      </w:p>
                    </w:txbxContent>
                  </v:textbox>
                </v:rect>
                <v:rect id="Rectangle 14034" o:spid="_x0000_s1056" style="position:absolute;left:-13171;top:3673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UroxQAAAN4AAAAPAAAAZHJzL2Rvd25yZXYueG1sRE9LawIx&#10;EL4L/Q9hCt402ypFVrNSLNI99OKj0OOwmX3YzSRsorv66xuh4G0+vues1oNpxYU631hW8DJNQBAX&#10;VjdcKTgetpMFCB+QNbaWScGVPKyzp9EKU2173tFlHyoRQ9inqKAOwaVS+qImg35qHXHkStsZDBF2&#10;ldQd9jHctPI1Sd6kwYZjQ42ONjUVv/uzUfDzwS7f9rIobxv3dcoX7ef5+K3U+Hl4X4IINISH+N+d&#10;6zh/nszmcH8n3iCzPwAAAP//AwBQSwECLQAUAAYACAAAACEA2+H2y+4AAACFAQAAEwAAAAAAAAAA&#10;AAAAAAAAAAAAW0NvbnRlbnRfVHlwZXNdLnhtbFBLAQItABQABgAIAAAAIQBa9CxbvwAAABUBAAAL&#10;AAAAAAAAAAAAAAAAAB8BAABfcmVscy8ucmVsc1BLAQItABQABgAIAAAAIQB3PUroxQAAAN4AAAAP&#10;AAAAAAAAAAAAAAAAAAcCAABkcnMvZG93bnJldi54bWxQSwUGAAAAAAMAAwC3AAAA+QIAAAAA&#10;" filled="f" stroked="f">
                  <v:textbox inset="0,0,0,0">
                    <w:txbxContent>
                      <w:p w14:paraId="72FD7D56" w14:textId="77777777" w:rsidR="00B32EF2" w:rsidRDefault="00000000">
                        <w:r>
                          <w:rPr>
                            <w:rFonts w:ascii="Arial" w:eastAsia="Arial" w:hAnsi="Arial" w:cs="Arial"/>
                            <w:sz w:val="18"/>
                          </w:rPr>
                          <w:t xml:space="preserve">b) l’articolo 61, commi 1 e 2, e l’articolo 63, commi da 3 a 5, del decreto del </w:t>
                        </w:r>
                      </w:p>
                    </w:txbxContent>
                  </v:textbox>
                </v:rect>
                <v:rect id="Rectangle 14035" o:spid="_x0000_s1057" style="position:absolute;left:1641;top:35504;width:382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e9zxQAAAN4AAAAPAAAAZHJzL2Rvd25yZXYueG1sRE9LawIx&#10;EL4L/Q9hCr252T4sshqlWMQ99KK14HHYzD50Mwmb6K799Y0g9DYf33Pmy8G04kKdbywreE5SEMSF&#10;1Q1XCvbf6/EUhA/IGlvLpOBKHpaLh9EcM2173tJlFyoRQ9hnqKAOwWVS+qImgz6xjjhype0Mhgi7&#10;SuoO+xhuWvmSpu/SYMOxoUZHq5qK0+5sFBw+2eXrXhbl78p9HfNpuznvf5R6ehw+ZiACDeFffHfn&#10;Os5/S18ncHsn3iAXfwAAAP//AwBQSwECLQAUAAYACAAAACEA2+H2y+4AAACFAQAAEwAAAAAAAAAA&#10;AAAAAAAAAAAAW0NvbnRlbnRfVHlwZXNdLnhtbFBLAQItABQABgAIAAAAIQBa9CxbvwAAABUBAAAL&#10;AAAAAAAAAAAAAAAAAB8BAABfcmVscy8ucmVsc1BLAQItABQABgAIAAAAIQAYce9zxQAAAN4AAAAP&#10;AAAAAAAAAAAAAAAAAAcCAABkcnMvZG93bnJldi54bWxQSwUGAAAAAAMAAwC3AAAA+QIAAAAA&#10;" filled="f" stroked="f">
                  <v:textbox inset="0,0,0,0">
                    <w:txbxContent>
                      <w:p w14:paraId="7D8D1777" w14:textId="77777777" w:rsidR="00B32EF2" w:rsidRDefault="00000000">
                        <w:r>
                          <w:rPr>
                            <w:rFonts w:ascii="Arial" w:eastAsia="Arial" w:hAnsi="Arial" w:cs="Arial"/>
                            <w:sz w:val="18"/>
                          </w:rPr>
                          <w:t xml:space="preserve">Presidente della Repubblica 29 settembre 1973, n. 600; </w:t>
                        </w:r>
                      </w:p>
                    </w:txbxContent>
                  </v:textbox>
                </v:rect>
                <v:rect id="Rectangle 14036" o:spid="_x0000_s1058" style="position:absolute;left:6677;top:34270;width:332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3EExQAAAN4AAAAPAAAAZHJzL2Rvd25yZXYueG1sRE9LawIx&#10;EL4L/Q9hCt4021pEVrNSLNI99KK10OOwmX3YzSRsorv6640g9DYf33NW68G04kydbywreJkmIIgL&#10;qxuuFBy+t5MFCB+QNbaWScGFPKyzp9EKU2173tF5HyoRQ9inqKAOwaVS+qImg35qHXHkStsZDBF2&#10;ldQd9jHctPI1SebSYMOxoUZHm5qKv/3JKPj9YJdve1mU1437OuaL9vN0+FFq/Dy8L0EEGsK/+OHO&#10;dZz/lszmcH8n3iCzGwAAAP//AwBQSwECLQAUAAYACAAAACEA2+H2y+4AAACFAQAAEwAAAAAAAAAA&#10;AAAAAAAAAAAAW0NvbnRlbnRfVHlwZXNdLnhtbFBLAQItABQABgAIAAAAIQBa9CxbvwAAABUBAAAL&#10;AAAAAAAAAAAAAAAAAB8BAABfcmVscy8ucmVsc1BLAQItABQABgAIAAAAIQDoo3EExQAAAN4AAAAP&#10;AAAAAAAAAAAAAAAAAAcCAABkcnMvZG93bnJldi54bWxQSwUGAAAAAAMAAwC3AAAA+QIAAAAA&#10;" filled="f" stroked="f">
                  <v:textbox inset="0,0,0,0">
                    <w:txbxContent>
                      <w:p w14:paraId="6D413723" w14:textId="77777777" w:rsidR="00B32EF2" w:rsidRDefault="00000000">
                        <w:r>
                          <w:rPr>
                            <w:rFonts w:ascii="Arial" w:eastAsia="Arial" w:hAnsi="Arial" w:cs="Arial"/>
                            <w:sz w:val="18"/>
                          </w:rPr>
                          <w:t>c) il decreto legislativo 31 dicembre 1992, n. 545;</w:t>
                        </w:r>
                      </w:p>
                    </w:txbxContent>
                  </v:textbox>
                </v:rect>
                <v:rect id="Rectangle 14037" o:spid="_x0000_s1059" style="position:absolute;left:6549;top:33037;width:333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9SfxQAAAN4AAAAPAAAAZHJzL2Rvd25yZXYueG1sRE9LawIx&#10;EL4L/Q9hCr252T6wshqlWMQ99KK14HHYzD50Mwmb6K799Y0g9DYf33Pmy8G04kKdbywreE5SEMSF&#10;1Q1XCvbf6/EUhA/IGlvLpOBKHpaLh9EcM2173tJlFyoRQ9hnqKAOwWVS+qImgz6xjjhype0Mhgi7&#10;SuoO+xhuWvmSphNpsOHYUKOjVU3FaXc2Cg6f7PJ1L4vyd+W+jvm03Zz3P0o9PQ4fMxCBhvAvvrtz&#10;Hee/pa/vcHsn3iAXfwAAAP//AwBQSwECLQAUAAYACAAAACEA2+H2y+4AAACFAQAAEwAAAAAAAAAA&#10;AAAAAAAAAAAAW0NvbnRlbnRfVHlwZXNdLnhtbFBLAQItABQABgAIAAAAIQBa9CxbvwAAABUBAAAL&#10;AAAAAAAAAAAAAAAAAB8BAABfcmVscy8ucmVsc1BLAQItABQABgAIAAAAIQCH79SfxQAAAN4AAAAP&#10;AAAAAAAAAAAAAAAAAAcCAABkcnMvZG93bnJldi54bWxQSwUGAAAAAAMAAwC3AAAA+QIAAAAA&#10;" filled="f" stroked="f">
                  <v:textbox inset="0,0,0,0">
                    <w:txbxContent>
                      <w:p w14:paraId="187B5018" w14:textId="77777777" w:rsidR="00B32EF2" w:rsidRDefault="00000000">
                        <w:r>
                          <w:rPr>
                            <w:rFonts w:ascii="Arial" w:eastAsia="Arial" w:hAnsi="Arial" w:cs="Arial"/>
                            <w:sz w:val="18"/>
                          </w:rPr>
                          <w:t>d) il decreto legislativo 31 dicembre 1992, n. 546;</w:t>
                        </w:r>
                      </w:p>
                    </w:txbxContent>
                  </v:textbox>
                </v:rect>
                <v:rect id="Rectangle 14038" o:spid="_x0000_s1060" style="position:absolute;left:-6867;top:31804;width:467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EDtxwAAAN4AAAAPAAAAZHJzL2Rvd25yZXYueG1sRI9Ba8JA&#10;EIXvhf6HZQre6sZWiqSuIhZpDr1oLfQ4ZMckmp1dsquJ/fXOQehthvfmvW/my8G16kJdbDwbmIwz&#10;UMSltw1XBvbfm+cZqJiQLbaeycCVIiwXjw9zzK3veUuXXaqUhHDM0UCdUsi1jmVNDuPYB2LRDr5z&#10;mGTtKm077CXctfoly960w4alocZA65rK0+7sDPx+cCg2vS4Pf+vwdSxm7ed5/2PM6GlYvYNKNKR/&#10;8/26sII/zV6FV96RGfTiBgAA//8DAFBLAQItABQABgAIAAAAIQDb4fbL7gAAAIUBAAATAAAAAAAA&#10;AAAAAAAAAAAAAABbQ29udGVudF9UeXBlc10ueG1sUEsBAi0AFAAGAAgAAAAhAFr0LFu/AAAAFQEA&#10;AAsAAAAAAAAAAAAAAAAAHwEAAF9yZWxzLy5yZWxzUEsBAi0AFAAGAAgAAAAhAPZwQO3HAAAA3gAA&#10;AA8AAAAAAAAAAAAAAAAABwIAAGRycy9kb3ducmV2LnhtbFBLBQYAAAAAAwADALcAAAD7AgAAAAA=&#10;" filled="f" stroked="f">
                  <v:textbox inset="0,0,0,0">
                    <w:txbxContent>
                      <w:p w14:paraId="51659697" w14:textId="77777777" w:rsidR="00B32EF2" w:rsidRDefault="00000000">
                        <w:r>
                          <w:rPr>
                            <w:rFonts w:ascii="Arial" w:eastAsia="Arial" w:hAnsi="Arial" w:cs="Arial"/>
                            <w:sz w:val="18"/>
                          </w:rPr>
                          <w:t>e) gli articoli 19 e 22 del decreto legislativo 18 dicembre 1997, n. 472;</w:t>
                        </w:r>
                      </w:p>
                    </w:txbxContent>
                  </v:textbox>
                </v:rect>
                <v:rect id="Rectangle 14039" o:spid="_x0000_s1061" style="position:absolute;left:-8637;top:30571;width:4855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V2xQAAAN4AAAAPAAAAZHJzL2Rvd25yZXYueG1sRE9La8JA&#10;EL4L/Q/LFHrTTa0UG12lKNIcvPgoeByyYxLNzi7Z1aT+elcoeJuP7znTeWdqcaXGV5YVvA8SEMS5&#10;1RUXCva7VX8MwgdkjbVlUvBHHuazl94UU21b3tB1GwoRQ9inqKAMwaVS+rwkg35gHXHkjrYxGCJs&#10;CqkbbGO4qeUwST6lwYpjQ4mOFiXl5+3FKDgs2WWrVubH28KtT9m4/rnsf5V6e+2+JyACdeEp/ndn&#10;Os4fJR9f8Hgn3iBndwAAAP//AwBQSwECLQAUAAYACAAAACEA2+H2y+4AAACFAQAAEwAAAAAAAAAA&#10;AAAAAAAAAAAAW0NvbnRlbnRfVHlwZXNdLnhtbFBLAQItABQABgAIAAAAIQBa9CxbvwAAABUBAAAL&#10;AAAAAAAAAAAAAAAAAB8BAABfcmVscy8ucmVsc1BLAQItABQABgAIAAAAIQCZPOV2xQAAAN4AAAAP&#10;AAAAAAAAAAAAAAAAAAcCAABkcnMvZG93bnJldi54bWxQSwUGAAAAAAMAAwC3AAAA+QIAAAAA&#10;" filled="f" stroked="f">
                  <v:textbox inset="0,0,0,0">
                    <w:txbxContent>
                      <w:p w14:paraId="0DF252FA" w14:textId="77777777" w:rsidR="00B32EF2" w:rsidRDefault="00000000">
                        <w:r>
                          <w:rPr>
                            <w:rFonts w:ascii="Arial" w:eastAsia="Arial" w:hAnsi="Arial" w:cs="Arial"/>
                            <w:sz w:val="18"/>
                          </w:rPr>
                          <w:t>f) gli articoli 21-bis e 21-ter del decreto legislativo 10 marzo 2000, n. 74;</w:t>
                        </w:r>
                      </w:p>
                    </w:txbxContent>
                  </v:textbox>
                </v:rect>
                <v:rect id="Rectangle 14040" o:spid="_x0000_s1062" style="position:absolute;left:-5997;top:29337;width:459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D+WxwAAAN4AAAAPAAAAZHJzL2Rvd25yZXYueG1sRI9Pa8JA&#10;EMXvQr/DMoXedFORIqmriEXMoRf/FHocsmOSmp1dsqtJ++mdQ8HbDPPmvfdbrAbXqht1sfFs4HWS&#10;gSIuvW24MnA6bsdzUDEhW2w9k4FfirBaPo0WmFvf855uh1QpMeGYo4E6pZBrHcuaHMaJD8RyO/vO&#10;YZK1q7TtsBdz1+pplr1phw1LQo2BNjWVl8PVGfj+4FBse12e/zbh86eYt7vr6cuYl+dh/Q4q0ZAe&#10;4v/vwkr9WTYTAMGRGfTyDgAA//8DAFBLAQItABQABgAIAAAAIQDb4fbL7gAAAIUBAAATAAAAAAAA&#10;AAAAAAAAAAAAAABbQ29udGVudF9UeXBlc10ueG1sUEsBAi0AFAAGAAgAAAAhAFr0LFu/AAAAFQEA&#10;AAsAAAAAAAAAAAAAAAAAHwEAAF9yZWxzLy5yZWxzUEsBAi0AFAAGAAgAAAAhAFAAP5bHAAAA3gAA&#10;AA8AAAAAAAAAAAAAAAAABwIAAGRycy9kb3ducmV2LnhtbFBLBQYAAAAAAwADALcAAAD7AgAAAAA=&#10;" filled="f" stroked="f">
                  <v:textbox inset="0,0,0,0">
                    <w:txbxContent>
                      <w:p w14:paraId="77794C58" w14:textId="77777777" w:rsidR="00B32EF2" w:rsidRDefault="00000000">
                        <w:r>
                          <w:rPr>
                            <w:rFonts w:ascii="Arial" w:eastAsia="Arial" w:hAnsi="Arial" w:cs="Arial"/>
                            <w:sz w:val="18"/>
                          </w:rPr>
                          <w:t>g) l’articolo 4, comma 39-bis, della legge 12 novembre 2011, n. 183;</w:t>
                        </w:r>
                      </w:p>
                    </w:txbxContent>
                  </v:textbox>
                </v:rect>
                <v:rect id="Rectangle 14041" o:spid="_x0000_s1063" style="position:absolute;left:-9223;top:28104;width:491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oNxQAAAN4AAAAPAAAAZHJzL2Rvd25yZXYueG1sRE9Na8JA&#10;EL0L/odlhN50YwkSoqsUizSHXkwt9DhkxyQ2O7tk1yTtr+8WCr3N433O7jCZTgzU+9aygvUqAUFc&#10;Wd1yreDydlpmIHxA1thZJgVf5OGwn892mGs78pmGMtQihrDPUUETgsul9FVDBv3KOuLIXW1vMETY&#10;11L3OMZw08nHJNlIgy3HhgYdHRuqPsu7UfDxzK44jbK6fh/d663Iupf75V2ph8X0tAURaAr/4j93&#10;oeP8NEnX8PtOvEHufwAAAP//AwBQSwECLQAUAAYACAAAACEA2+H2y+4AAACFAQAAEwAAAAAAAAAA&#10;AAAAAAAAAAAAW0NvbnRlbnRfVHlwZXNdLnhtbFBLAQItABQABgAIAAAAIQBa9CxbvwAAABUBAAAL&#10;AAAAAAAAAAAAAAAAAB8BAABfcmVscy8ucmVsc1BLAQItABQABgAIAAAAIQA/TJoNxQAAAN4AAAAP&#10;AAAAAAAAAAAAAAAAAAcCAABkcnMvZG93bnJldi54bWxQSwUGAAAAAAMAAwC3AAAA+QIAAAAA&#10;" filled="f" stroked="f">
                  <v:textbox inset="0,0,0,0">
                    <w:txbxContent>
                      <w:p w14:paraId="6779B56F" w14:textId="77777777" w:rsidR="00B32EF2" w:rsidRDefault="00000000">
                        <w:r>
                          <w:rPr>
                            <w:rFonts w:ascii="Arial" w:eastAsia="Arial" w:hAnsi="Arial" w:cs="Arial"/>
                            <w:sz w:val="18"/>
                          </w:rPr>
                          <w:t>h) l’articolo 3 e l’articolo 8, comma 1, della legge 31 agosto 2022, n. 130;</w:t>
                        </w:r>
                      </w:p>
                    </w:txbxContent>
                  </v:textbox>
                </v:rect>
                <v:rect id="Rectangle 14042" o:spid="_x0000_s1064" style="position:absolute;left:-12207;top:26871;width:521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gR6wwAAAN4AAAAPAAAAZHJzL2Rvd25yZXYueG1sRE9Ni8Iw&#10;EL0L/ocwgjdNFRHpGmVRxB686Cp4HJqx7W4zCU20dX/9RhD2No/3Oct1Z2rxoMZXlhVMxgkI4tzq&#10;igsF56/daAHCB2SNtWVS8CQP61W/t8RU25aP9DiFQsQQ9ikqKENwqZQ+L8mgH1tHHLmbbQyGCJtC&#10;6gbbGG5qOU2SuTRYcWwo0dGmpPzndDcKrlt22a6V+e134w7f2aLe388XpYaD7vMDRKAu/Ivf7kzH&#10;+bNkNoXXO/EGufoDAAD//wMAUEsBAi0AFAAGAAgAAAAhANvh9svuAAAAhQEAABMAAAAAAAAAAAAA&#10;AAAAAAAAAFtDb250ZW50X1R5cGVzXS54bWxQSwECLQAUAAYACAAAACEAWvQsW78AAAAVAQAACwAA&#10;AAAAAAAAAAAAAAAfAQAAX3JlbHMvLnJlbHNQSwECLQAUAAYACAAAACEAz54EesMAAADeAAAADwAA&#10;AAAAAAAAAAAAAAAHAgAAZHJzL2Rvd25yZXYueG1sUEsFBgAAAAADAAMAtwAAAPcCAAAAAA==&#10;" filled="f" stroked="f">
                  <v:textbox inset="0,0,0,0">
                    <w:txbxContent>
                      <w:p w14:paraId="7D077BE5" w14:textId="77777777" w:rsidR="00B32EF2" w:rsidRDefault="00000000">
                        <w:r>
                          <w:rPr>
                            <w:rFonts w:ascii="Arial" w:eastAsia="Arial" w:hAnsi="Arial" w:cs="Arial"/>
                            <w:sz w:val="18"/>
                          </w:rPr>
                          <w:t>i) l’articolo 3, comma 6, del decreto-legge 29 dicembre 2022, n. 198, converti</w:t>
                        </w:r>
                      </w:p>
                    </w:txbxContent>
                  </v:textbox>
                </v:rect>
                <v:rect id="Rectangle 14043" o:spid="_x0000_s1065" style="position:absolute;left:192;top:2687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qHhxQAAAN4AAAAPAAAAZHJzL2Rvd25yZXYueG1sRE9LawIx&#10;EL4L/Q9hCt402ypFVrNSLNI99OKj0OOwmX3YzSRsorv66xuh4G0+vues1oNpxYU631hW8DJNQBAX&#10;VjdcKTgetpMFCB+QNbaWScGVPKyzp9EKU2173tFlHyoRQ9inqKAOwaVS+qImg35qHXHkStsZDBF2&#10;ldQd9jHctPI1Sd6kwYZjQ42ONjUVv/uzUfDzwS7f9rIobxv3dcoX7ef5+K3U+Hl4X4IINISH+N+d&#10;6zh/nsxncH8n3iCzPwAAAP//AwBQSwECLQAUAAYACAAAACEA2+H2y+4AAACFAQAAEwAAAAAAAAAA&#10;AAAAAAAAAAAAW0NvbnRlbnRfVHlwZXNdLnhtbFBLAQItABQABgAIAAAAIQBa9CxbvwAAABUBAAAL&#10;AAAAAAAAAAAAAAAAAB8BAABfcmVscy8ucmVsc1BLAQItABQABgAIAAAAIQCg0qHhxQAAAN4AAAAP&#10;AAAAAAAAAAAAAAAAAAcCAABkcnMvZG93bnJldi54bWxQSwUGAAAAAAMAAwC3AAAA+QIAAAAA&#10;" filled="f" stroked="f">
                  <v:textbox inset="0,0,0,0">
                    <w:txbxContent>
                      <w:p w14:paraId="77710F77" w14:textId="77777777" w:rsidR="00B32EF2" w:rsidRDefault="00000000">
                        <w:r>
                          <w:rPr>
                            <w:rFonts w:ascii="Arial" w:eastAsia="Arial" w:hAnsi="Arial" w:cs="Arial"/>
                            <w:sz w:val="18"/>
                          </w:rPr>
                          <w:t>-</w:t>
                        </w:r>
                      </w:p>
                    </w:txbxContent>
                  </v:textbox>
                </v:rect>
                <v:rect id="Rectangle 14044" o:spid="_x0000_s1066" style="position:absolute;left:1142;top:25637;width:387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zmVxAAAAN4AAAAPAAAAZHJzL2Rvd25yZXYueG1sRE9Ni8Iw&#10;EL0v+B/CCN7WVCmLVKOIIvbgZV0Fj0MzttVmEppo6/76zcLC3ubxPmex6k0jntT62rKCyTgBQVxY&#10;XXOp4PS1e5+B8AFZY2OZFLzIw2o5eFtgpm3Hn/Q8hlLEEPYZKqhCcJmUvqjIoB9bRxy5q20Nhgjb&#10;UuoWuxhuGjlNkg9psObYUKGjTUXF/fgwCi5bdvmuk8X1e+MOt3zW7B+ns1KjYb+egwjUh3/xnzvX&#10;cX6apCn8vhNvkMsfAAAA//8DAFBLAQItABQABgAIAAAAIQDb4fbL7gAAAIUBAAATAAAAAAAAAAAA&#10;AAAAAAAAAABbQ29udGVudF9UeXBlc10ueG1sUEsBAi0AFAAGAAgAAAAhAFr0LFu/AAAAFQEAAAsA&#10;AAAAAAAAAAAAAAAAHwEAAF9yZWxzLy5yZWxzUEsBAi0AFAAGAAgAAAAhAC87OZXEAAAA3gAAAA8A&#10;AAAAAAAAAAAAAAAABwIAAGRycy9kb3ducmV2LnhtbFBLBQYAAAAAAwADALcAAAD4AgAAAAA=&#10;" filled="f" stroked="f">
                  <v:textbox inset="0,0,0,0">
                    <w:txbxContent>
                      <w:p w14:paraId="7AB53169" w14:textId="77777777" w:rsidR="00B32EF2" w:rsidRDefault="00000000">
                        <w:r>
                          <w:rPr>
                            <w:rFonts w:ascii="Arial" w:eastAsia="Arial" w:hAnsi="Arial" w:cs="Arial"/>
                            <w:sz w:val="18"/>
                          </w:rPr>
                          <w:t>to, con modificazioni, dalla legge 24 febbraio 2023, n. 14;</w:t>
                        </w:r>
                      </w:p>
                    </w:txbxContent>
                  </v:textbox>
                </v:rect>
                <v:rect id="Rectangle 14045" o:spid="_x0000_s1067" style="position:absolute;left:-13172;top:2440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5wOxAAAAN4AAAAPAAAAZHJzL2Rvd25yZXYueG1sRE9Ni8Iw&#10;EL0L+x/CLHjTdEVFqlHERexhL7ou7HFoxrbaTEITbd1fbwRhb/N4n7NYdaYWN2p8ZVnBxzABQZxb&#10;XXGh4Pi9HcxA+ICssbZMCu7kYbV86y0w1bblPd0OoRAxhH2KCsoQXCqlz0sy6IfWEUfuZBuDIcKm&#10;kLrBNoabWo6SZCoNVhwbSnS0KSm/HK5Gwe8nu2zbyvz0t3Ff52xW767HH6X67916DiJQF/7FL3em&#10;4/xxMp7A8514g1w+AAAA//8DAFBLAQItABQABgAIAAAAIQDb4fbL7gAAAIUBAAATAAAAAAAAAAAA&#10;AAAAAAAAAABbQ29udGVudF9UeXBlc10ueG1sUEsBAi0AFAAGAAgAAAAhAFr0LFu/AAAAFQEAAAsA&#10;AAAAAAAAAAAAAAAAHwEAAF9yZWxzLy5yZWxzUEsBAi0AFAAGAAgAAAAhAEB3nA7EAAAA3gAAAA8A&#10;AAAAAAAAAAAAAAAABwIAAGRycy9kb3ducmV2LnhtbFBLBQYAAAAAAwADALcAAAD4AgAAAAA=&#10;" filled="f" stroked="f">
                  <v:textbox inset="0,0,0,0">
                    <w:txbxContent>
                      <w:p w14:paraId="61A43287" w14:textId="77777777" w:rsidR="00B32EF2" w:rsidRDefault="00000000">
                        <w:r>
                          <w:rPr>
                            <w:rFonts w:ascii="Arial" w:eastAsia="Arial" w:hAnsi="Arial" w:cs="Arial"/>
                            <w:sz w:val="18"/>
                          </w:rPr>
                          <w:t xml:space="preserve">l) l’articolo 1-ter, comma 5, e l’articolo 18 del decreto-legge 22 giugno 2023, n. </w:t>
                        </w:r>
                      </w:p>
                    </w:txbxContent>
                  </v:textbox>
                </v:rect>
                <v:rect id="Rectangle 198821" o:spid="_x0000_s1068" style="position:absolute;left:-5758;top:23171;width:465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An+wwAAAN8AAAAPAAAAZHJzL2Rvd25yZXYueG1sRE/Pa8Iw&#10;FL4P/B/CE7zNVA/SVaOIIvawi87Bjo/m2Vabl9BE2+2vXwTB48f3e7HqTSPu1PrasoLJOAFBXFhd&#10;c6ng9LV7T0H4gKyxsUwKfsnDajl4W2CmbccHuh9DKWII+wwVVCG4TEpfVGTQj60jjtzZtgZDhG0p&#10;dYtdDDeNnCbJTBqsOTZU6GhTUXE93oyCny27fNfJ4vy3cZ+XPG32t9O3UqNhv56DCNSHl/jpznWc&#10;/5Gm0wk8/kQAcvkPAAD//wMAUEsBAi0AFAAGAAgAAAAhANvh9svuAAAAhQEAABMAAAAAAAAAAAAA&#10;AAAAAAAAAFtDb250ZW50X1R5cGVzXS54bWxQSwECLQAUAAYACAAAACEAWvQsW78AAAAVAQAACwAA&#10;AAAAAAAAAAAAAAAfAQAAX3JlbHMvLnJlbHNQSwECLQAUAAYACAAAACEAkBAJ/sMAAADfAAAADwAA&#10;AAAAAAAAAAAAAAAHAgAAZHJzL2Rvd25yZXYueG1sUEsFBgAAAAADAAMAtwAAAPcCAAAAAA==&#10;" filled="f" stroked="f">
                  <v:textbox inset="0,0,0,0">
                    <w:txbxContent>
                      <w:p w14:paraId="1247BB86" w14:textId="77777777" w:rsidR="00B32EF2" w:rsidRDefault="00000000">
                        <w:r>
                          <w:rPr>
                            <w:rFonts w:ascii="Arial" w:eastAsia="Arial" w:hAnsi="Arial" w:cs="Arial"/>
                            <w:sz w:val="18"/>
                          </w:rPr>
                          <w:t xml:space="preserve">, convertito, con modificazioni, dalla legge 10 agosto 2023, n. </w:t>
                        </w:r>
                      </w:p>
                    </w:txbxContent>
                  </v:textbox>
                </v:rect>
                <v:rect id="Rectangle 198819" o:spid="_x0000_s1069" style="position:absolute;left:27123;top:23171;width:465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s9FwwAAAN8AAAAPAAAAZHJzL2Rvd25yZXYueG1sRE/Pa8Iw&#10;FL4P/B/CE7zNVA9Sq1FEEXvwMudgx0fzbKvNS2iirf71y2Cw48f3e7nuTSMe1PrasoLJOAFBXFhd&#10;c6ng/Ll/T0H4gKyxsUwKnuRhvRq8LTHTtuMPepxCKWII+wwVVCG4TEpfVGTQj60jjtzFtgZDhG0p&#10;dYtdDDeNnCbJTBqsOTZU6GhbUXE73Y2C7x27fN/J4vLauuM1T5vD/fyl1GjYbxYgAvXhX/znznWc&#10;P0/TyRx+/0QAcvUDAAD//wMAUEsBAi0AFAAGAAgAAAAhANvh9svuAAAAhQEAABMAAAAAAAAAAAAA&#10;AAAAAAAAAFtDb250ZW50X1R5cGVzXS54bWxQSwECLQAUAAYACAAAACEAWvQsW78AAAAVAQAACwAA&#10;AAAAAAAAAAAAAAAfAQAAX3JlbHMvLnJlbHNQSwECLQAUAAYACAAAACEAoArPRcMAAADfAAAADwAA&#10;AAAAAAAAAAAAAAAHAgAAZHJzL2Rvd25yZXYueG1sUEsFBgAAAAADAAMAtwAAAPcCAAAAAA==&#10;" filled="f" stroked="f">
                  <v:textbox inset="0,0,0,0">
                    <w:txbxContent>
                      <w:p w14:paraId="291A7F0C" w14:textId="77777777" w:rsidR="00B32EF2" w:rsidRDefault="00000000">
                        <w:r>
                          <w:rPr>
                            <w:rFonts w:ascii="Arial" w:eastAsia="Arial" w:hAnsi="Arial" w:cs="Arial"/>
                            <w:sz w:val="18"/>
                          </w:rPr>
                          <w:t>75</w:t>
                        </w:r>
                      </w:p>
                    </w:txbxContent>
                  </v:textbox>
                </v:rect>
                <v:rect id="Rectangle 198820" o:spid="_x0000_s1070" style="position:absolute;left:-39475;top:23171;width:465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xlxAAAAN8AAAAPAAAAZHJzL2Rvd25yZXYueG1sRE87a8Mw&#10;EN4L/Q/iCt0auRmK40YJJSXUQ5e8IONhXWy31klYSuz21+eGQMaP7z1fjq5TF+pj69nA6yQDRVx5&#10;23JtYL9bv+SgYkK22HkmA38UYbl4fJhjYf3AG7psU60khGOBBpqUQqF1rBpyGCc+EAt38r3DJLCv&#10;te1xkHDX6WmWvWmHLUtDg4FWDVW/27MzcPzkUK4HXZ3+V+H7p8y7r/P+YMzz0/jxDirRmO7im7u0&#10;Mn+W51N5IH8EgF5cAQAA//8DAFBLAQItABQABgAIAAAAIQDb4fbL7gAAAIUBAAATAAAAAAAAAAAA&#10;AAAAAAAAAABbQ29udGVudF9UeXBlc10ueG1sUEsBAi0AFAAGAAgAAAAhAFr0LFu/AAAAFQEAAAsA&#10;AAAAAAAAAAAAAAAAHwEAAF9yZWxzLy5yZWxzUEsBAi0AFAAGAAgAAAAhAP9crGXEAAAA3wAAAA8A&#10;AAAAAAAAAAAAAAAABwIAAGRycy9kb3ducmV2LnhtbFBLBQYAAAAAAwADALcAAAD4AgAAAAA=&#10;" filled="f" stroked="f">
                  <v:textbox inset="0,0,0,0">
                    <w:txbxContent>
                      <w:p w14:paraId="31FA8271" w14:textId="77777777" w:rsidR="00B32EF2" w:rsidRDefault="00000000">
                        <w:r>
                          <w:rPr>
                            <w:rFonts w:ascii="Arial" w:eastAsia="Arial" w:hAnsi="Arial" w:cs="Arial"/>
                            <w:sz w:val="18"/>
                          </w:rPr>
                          <w:t>112.</w:t>
                        </w:r>
                      </w:p>
                    </w:txbxContent>
                  </v:textbox>
                </v:rect>
                <v:rect id="Rectangle 198818" o:spid="_x0000_s1071" style="position:absolute;left:-13817;top:21938;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mrexAAAAN8AAAAPAAAAZHJzL2Rvd25yZXYueG1sRE89b8Iw&#10;EN2R+A/WIXUDB4YqTTGoAqFm6AKlUsdTfCRp47MVG5L213NDpY5P73u9HV2nbtTH1rOB5SIDRVx5&#10;23Jt4Px+mOegYkK22HkmAz8UYbuZTtZYWD/wkW6nVCsJ4ViggSalUGgdq4YcxoUPxMJdfO8wCexr&#10;bXscJNx1epVlj9phy9LQYKBdQ9X36eoMfO45lIdBV5ffXXj7KvPu9Xr+MOZhNr48g0o0pn/xn7u0&#10;Mv8pz5cyWP4IAL25AwAA//8DAFBLAQItABQABgAIAAAAIQDb4fbL7gAAAIUBAAATAAAAAAAAAAAA&#10;AAAAAAAAAABbQ29udGVudF9UeXBlc10ueG1sUEsBAi0AFAAGAAgAAAAhAFr0LFu/AAAAFQEAAAsA&#10;AAAAAAAAAAAAAAAAHwEAAF9yZWxzLy5yZWxzUEsBAi0AFAAGAAgAAAAhAM9Gat7EAAAA3wAAAA8A&#10;AAAAAAAAAAAAAAAABwIAAGRycy9kb3ducmV2LnhtbFBLBQYAAAAAAwADALcAAAD4AgAAAAA=&#10;" filled="f" stroked="f">
                  <v:textbox inset="0,0,0,0">
                    <w:txbxContent>
                      <w:p w14:paraId="0E6635FC" w14:textId="77777777" w:rsidR="00B32EF2" w:rsidRDefault="00000000">
                        <w:r>
                          <w:rPr>
                            <w:rFonts w:ascii="Arial" w:eastAsia="Arial" w:hAnsi="Arial" w:cs="Arial"/>
                            <w:sz w:val="18"/>
                          </w:rPr>
                          <w:t xml:space="preserve">. Restano abrogate le seguenti disposizioni: l’articolo 288 del testo unico per </w:t>
                        </w:r>
                      </w:p>
                    </w:txbxContent>
                  </v:textbox>
                </v:rect>
                <v:rect id="Rectangle 198817" o:spid="_x0000_s1072" style="position:absolute;left:26109;top:21938;width:5309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6sxAAAAN8AAAAPAAAAZHJzL2Rvd25yZXYueG1sRE/Pa8Iw&#10;FL4P/B/CE7zNVA9bV40iiqwHL3MKHh/Ns602L6GJtvrXL4PBjh/f7/myN424U+trywom4wQEcWF1&#10;zaWCw/f2NQXhA7LGxjIpeJCH5WLwMsdM246/6L4PpYgh7DNUUIXgMil9UZFBP7aOOHJn2xoMEbal&#10;1C12Mdw0cpokb9JgzbGhQkfriorr/mYUnDbs8m0ni/Nz7XaXPG0+b4ejUqNhv5qBCNSHf/GfO9dx&#10;/keaTt7h908EIBc/AAAA//8DAFBLAQItABQABgAIAAAAIQDb4fbL7gAAAIUBAAATAAAAAAAAAAAA&#10;AAAAAAAAAABbQ29udGVudF9UeXBlc10ueG1sUEsBAi0AFAAGAAgAAAAhAFr0LFu/AAAAFQEAAAsA&#10;AAAAAAAAAAAAAAAAHwEAAF9yZWxzLy5yZWxzUEsBAi0AFAAGAAgAAAAhAL7Z/qzEAAAA3wAAAA8A&#10;AAAAAAAAAAAAAAAABwIAAGRycy9kb3ducmV2LnhtbFBLBQYAAAAAAwADALcAAAD4AgAAAAA=&#10;" filled="f" stroked="f">
                  <v:textbox inset="0,0,0,0">
                    <w:txbxContent>
                      <w:p w14:paraId="4BA96A9B" w14:textId="77777777" w:rsidR="00B32EF2" w:rsidRDefault="00000000">
                        <w:r>
                          <w:rPr>
                            <w:rFonts w:ascii="Arial" w:eastAsia="Arial" w:hAnsi="Arial" w:cs="Arial"/>
                            <w:sz w:val="18"/>
                          </w:rPr>
                          <w:t>2</w:t>
                        </w:r>
                      </w:p>
                    </w:txbxContent>
                  </v:textbox>
                </v:rect>
                <v:rect id="Rectangle 14048" o:spid="_x0000_s1073" style="position:absolute;left:-12190;top:20704;width:521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jOQxwAAAN4AAAAPAAAAZHJzL2Rvd25yZXYueG1sRI9Pa8JA&#10;EMXvQr/DMoXedFORIqmriEXMoRf/FHocsmOSmp1dsqtJ++mdQ8HbDO/Ne79ZrAbXqht1sfFs4HWS&#10;gSIuvW24MnA6bsdzUDEhW2w9k4FfirBaPo0WmFvf855uh1QpCeGYo4E6pZBrHcuaHMaJD8SinX3n&#10;MMnaVdp22Eu4a/U0y960w4alocZAm5rKy+HqDHx/cCi2vS7Pf5vw+VPM29319GXMy/OwfgeVaEgP&#10;8/91YQV/ls2EV96RGfTyDgAA//8DAFBLAQItABQABgAIAAAAIQDb4fbL7gAAAIUBAAATAAAAAAAA&#10;AAAAAAAAAAAAAABbQ29udGVudF9UeXBlc10ueG1sUEsBAi0AFAAGAAgAAAAhAFr0LFu/AAAAFQEA&#10;AAsAAAAAAAAAAAAAAAAAHwEAAF9yZWxzLy5yZWxzUEsBAi0AFAAGAAgAAAAhAK52M5DHAAAA3gAA&#10;AA8AAAAAAAAAAAAAAAAABwIAAGRycy9kb3ducmV2LnhtbFBLBQYAAAAAAwADALcAAAD7AgAAAAA=&#10;" filled="f" stroked="f">
                  <v:textbox inset="0,0,0,0">
                    <w:txbxContent>
                      <w:p w14:paraId="63B6D51D" w14:textId="77777777" w:rsidR="00B32EF2" w:rsidRDefault="00000000">
                        <w:r>
                          <w:rPr>
                            <w:rFonts w:ascii="Arial" w:eastAsia="Arial" w:hAnsi="Arial" w:cs="Arial"/>
                            <w:sz w:val="18"/>
                          </w:rPr>
                          <w:t>la finanza locale 14 settembre 1931, n. 1175, il decreto del Presidente della Re</w:t>
                        </w:r>
                      </w:p>
                    </w:txbxContent>
                  </v:textbox>
                </v:rect>
                <v:rect id="Rectangle 14049" o:spid="_x0000_s1074" style="position:absolute;left:192;top:2070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pYLxQAAAN4AAAAPAAAAZHJzL2Rvd25yZXYueG1sRE9LawIx&#10;EL4X/A9hhN40axGxW7MiinQPvdQqeBw2s4+6mYRNdLf99aYg9DYf33NW68G04kadbywrmE0TEMSF&#10;1Q1XCo5f+8kShA/IGlvLpOCHPKyz0dMKU217/qTbIVQihrBPUUEdgkul9EVNBv3UOuLIlbYzGCLs&#10;Kqk77GO4aeVLkiykwYZjQ42OtjUVl8PVKDjv2OX7Xhbl79Z9fOfL9v16PCn1PB42byACDeFf/HDn&#10;Os6fJ/NX+Hsn3iCzOwAAAP//AwBQSwECLQAUAAYACAAAACEA2+H2y+4AAACFAQAAEwAAAAAAAAAA&#10;AAAAAAAAAAAAW0NvbnRlbnRfVHlwZXNdLnhtbFBLAQItABQABgAIAAAAIQBa9CxbvwAAABUBAAAL&#10;AAAAAAAAAAAAAAAAAB8BAABfcmVscy8ucmVsc1BLAQItABQABgAIAAAAIQDBOpYLxQAAAN4AAAAP&#10;AAAAAAAAAAAAAAAAAAcCAABkcnMvZG93bnJldi54bWxQSwUGAAAAAAMAAwC3AAAA+QIAAAAA&#10;" filled="f" stroked="f">
                  <v:textbox inset="0,0,0,0">
                    <w:txbxContent>
                      <w:p w14:paraId="3417FC0D" w14:textId="77777777" w:rsidR="00B32EF2" w:rsidRDefault="00000000">
                        <w:r>
                          <w:rPr>
                            <w:rFonts w:ascii="Arial" w:eastAsia="Arial" w:hAnsi="Arial" w:cs="Arial"/>
                            <w:sz w:val="18"/>
                          </w:rPr>
                          <w:t>-</w:t>
                        </w:r>
                      </w:p>
                    </w:txbxContent>
                  </v:textbox>
                </v:rect>
                <v:rect id="Rectangle 14050" o:spid="_x0000_s1075" style="position:absolute;left:-13171;top:1947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alLxwAAAN4AAAAPAAAAZHJzL2Rvd25yZXYueG1sRI9Ba8JA&#10;EIXvhf6HZQre6sZSi6SuIhZpDr1oLfQ4ZMckmp1dsquJ/fXOQehthnnz3vvmy8G16kJdbDwbmIwz&#10;UMSltw1XBvbfm+cZqJiQLbaeycCVIiwXjw9zzK3veUuXXaqUmHDM0UCdUsi1jmVNDuPYB2K5HXzn&#10;MMnaVdp22Iu5a/VLlr1phw1LQo2B1jWVp93ZGfj94FBsel0e/tbh61jM2s/z/seY0dOwegeVaEj/&#10;4vt3YaX+azYVAMGRGfTiBgAA//8DAFBLAQItABQABgAIAAAAIQDb4fbL7gAAAIUBAAATAAAAAAAA&#10;AAAAAAAAAAAAAABbQ29udGVudF9UeXBlc10ueG1sUEsBAi0AFAAGAAgAAAAhAFr0LFu/AAAAFQEA&#10;AAsAAAAAAAAAAAAAAAAAHwEAAF9yZWxzLy5yZWxzUEsBAi0AFAAGAAgAAAAhANXZqUvHAAAA3gAA&#10;AA8AAAAAAAAAAAAAAAAABwIAAGRycy9kb3ducmV2LnhtbFBLBQYAAAAAAwADALcAAAD7AgAAAAA=&#10;" filled="f" stroked="f">
                  <v:textbox inset="0,0,0,0">
                    <w:txbxContent>
                      <w:p w14:paraId="3D55CFE8" w14:textId="77777777" w:rsidR="00B32EF2" w:rsidRDefault="00000000">
                        <w:r>
                          <w:rPr>
                            <w:rFonts w:ascii="Arial" w:eastAsia="Arial" w:hAnsi="Arial" w:cs="Arial"/>
                            <w:sz w:val="18"/>
                          </w:rPr>
                          <w:t xml:space="preserve">pubblica 26 ottobre 1972, n. 636, l’articolo 19, commi 4 e 5, e l’articolo 20 del </w:t>
                        </w:r>
                      </w:p>
                    </w:txbxContent>
                  </v:textbox>
                </v:rect>
                <v:rect id="Rectangle 14051" o:spid="_x0000_s1076" style="position:absolute;left:-13171;top:1823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QzQxAAAAN4AAAAPAAAAZHJzL2Rvd25yZXYueG1sRE9Na8JA&#10;EL0X+h+WKXirG4sWia4iFjGHXtQUehyyYxLNzi7Z1cT+elcoeJvH+5z5sjeNuFLra8sKRsMEBHFh&#10;dc2lgvyweZ+C8AFZY2OZFNzIw3Lx+jLHVNuOd3Tdh1LEEPYpKqhCcKmUvqjIoB9aRxy5o20Nhgjb&#10;UuoWuxhuGvmRJJ/SYM2xoUJH64qK8/5iFPx+scs2nSyOf2v3fcqmzfaS/yg1eOtXMxCB+vAU/7sz&#10;HeePk8kIHu/EG+TiDgAA//8DAFBLAQItABQABgAIAAAAIQDb4fbL7gAAAIUBAAATAAAAAAAAAAAA&#10;AAAAAAAAAABbQ29udGVudF9UeXBlc10ueG1sUEsBAi0AFAAGAAgAAAAhAFr0LFu/AAAAFQEAAAsA&#10;AAAAAAAAAAAAAAAAHwEAAF9yZWxzLy5yZWxzUEsBAi0AFAAGAAgAAAAhALqVDNDEAAAA3gAAAA8A&#10;AAAAAAAAAAAAAAAABwIAAGRycy9kb3ducmV2LnhtbFBLBQYAAAAAAwADALcAAAD4AgAAAAA=&#10;" filled="f" stroked="f">
                  <v:textbox inset="0,0,0,0">
                    <w:txbxContent>
                      <w:p w14:paraId="7CDF8824" w14:textId="77777777" w:rsidR="00B32EF2" w:rsidRDefault="00000000">
                        <w:r>
                          <w:rPr>
                            <w:rFonts w:ascii="Arial" w:eastAsia="Arial" w:hAnsi="Arial" w:cs="Arial"/>
                            <w:sz w:val="18"/>
                          </w:rPr>
                          <w:t xml:space="preserve">decreto del Presidente della Repubblica 26 ottobre 1972, n. 638, l’articolo 24 </w:t>
                        </w:r>
                      </w:p>
                    </w:txbxContent>
                  </v:textbox>
                </v:rect>
                <v:rect id="Rectangle 14052" o:spid="_x0000_s1077" style="position:absolute;left:-13170;top:17004;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5KnxQAAAN4AAAAPAAAAZHJzL2Rvd25yZXYueG1sRE9La8JA&#10;EL4X+h+WKfRWNxUrkrqRYhFz8KKm0OOQnTza7OySXU3qr+8Kgrf5+J6zXI2mE2fqfWtZweskAUFc&#10;Wt1yraA4bl4WIHxA1thZJgV/5GGVPT4sMdV24D2dD6EWMYR9igqaEFwqpS8bMugn1hFHrrK9wRBh&#10;X0vd4xDDTSenSTKXBluODQ06WjdU/h5ORsH3J7t8M8iyuqzd7idfdNtT8aXU89P48Q4i0Bju4ps7&#10;13H+LHmbwvWdeIPM/gEAAP//AwBQSwECLQAUAAYACAAAACEA2+H2y+4AAACFAQAAEwAAAAAAAAAA&#10;AAAAAAAAAAAAW0NvbnRlbnRfVHlwZXNdLnhtbFBLAQItABQABgAIAAAAIQBa9CxbvwAAABUBAAAL&#10;AAAAAAAAAAAAAAAAAB8BAABfcmVscy8ucmVsc1BLAQItABQABgAIAAAAIQBKR5KnxQAAAN4AAAAP&#10;AAAAAAAAAAAAAAAAAAcCAABkcnMvZG93bnJldi54bWxQSwUGAAAAAAMAAwC3AAAA+QIAAAAA&#10;" filled="f" stroked="f">
                  <v:textbox inset="0,0,0,0">
                    <w:txbxContent>
                      <w:p w14:paraId="370FD082" w14:textId="77777777" w:rsidR="00B32EF2" w:rsidRDefault="00000000">
                        <w:r>
                          <w:rPr>
                            <w:rFonts w:ascii="Arial" w:eastAsia="Arial" w:hAnsi="Arial" w:cs="Arial"/>
                            <w:sz w:val="18"/>
                          </w:rPr>
                          <w:t xml:space="preserve">del decreto del Presidente della Repubblica 26 ottobre 1972, n. 639, gli articoli </w:t>
                        </w:r>
                      </w:p>
                    </w:txbxContent>
                  </v:textbox>
                </v:rect>
                <v:rect id="Rectangle 198816" o:spid="_x0000_s1078" style="position:absolute;left:-14471;top:15771;width:531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Vs3xAAAAN8AAAAPAAAAZHJzL2Rvd25yZXYueG1sRE/LasJA&#10;FN0L/sNwhe50oguJqRMRRZpFN1ULXV4yN4+auTNkRpP26zuFQpeH897uRtOJB/W+taxguUhAEJdW&#10;t1wruF5O8xSED8gaO8uk4Is87PLpZIuZtgO/0eMcahFD2GeooAnBZVL6siGDfmEdceQq2xsMEfa1&#10;1D0OMdx0cpUka2mw5djQoKNDQ+XtfDcKPo7sitMgy+r74F4/i7R7uV/flXqajftnEIHG8C/+cxc6&#10;zt+k6XINv38iAJn/AAAA//8DAFBLAQItABQABgAIAAAAIQDb4fbL7gAAAIUBAAATAAAAAAAAAAAA&#10;AAAAAAAAAABbQ29udGVudF9UeXBlc10ueG1sUEsBAi0AFAAGAAgAAAAhAFr0LFu/AAAAFQEAAAsA&#10;AAAAAAAAAAAAAAAAHwEAAF9yZWxzLy5yZWxzUEsBAi0AFAAGAAgAAAAhANGVWzfEAAAA3wAAAA8A&#10;AAAAAAAAAAAAAAAABwIAAGRycy9kb3ducmV2LnhtbFBLBQYAAAAAAwADALcAAAD4AgAAAAA=&#10;" filled="f" stroked="f">
                  <v:textbox inset="0,0,0,0">
                    <w:txbxContent>
                      <w:p w14:paraId="57A08ECA" w14:textId="77777777" w:rsidR="00B32EF2" w:rsidRDefault="00000000">
                        <w:r>
                          <w:rPr>
                            <w:rFonts w:ascii="Arial" w:eastAsia="Arial" w:hAnsi="Arial" w:cs="Arial"/>
                            <w:sz w:val="18"/>
                          </w:rPr>
                          <w:t xml:space="preserve">, comma 5, e 68, comma 3, del decreto del Presidente della Repubblica 28 </w:t>
                        </w:r>
                      </w:p>
                    </w:txbxContent>
                  </v:textbox>
                </v:rect>
                <v:rect id="Rectangle 198815" o:spid="_x0000_s1079" style="position:absolute;left:25453;top:15771;width:531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8VAxAAAAN8AAAAPAAAAZHJzL2Rvd25yZXYueG1sRE/Pa8Iw&#10;FL4P/B/CE7zNVGGjq0YRRdaDlzkFj4/m2Vabl9BEW/3rl8Fgx4/v93zZm0bcqfW1ZQWTcQKCuLC6&#10;5lLB4Xv7moLwAVljY5kUPMjDcjF4mWOmbcdfdN+HUsQQ9hkqqEJwmZS+qMigH1tHHLmzbQ2GCNtS&#10;6ha7GG4aOU2Sd2mw5thQoaN1RcV1fzMKTht2+baTxfm5drtLnjaft8NRqdGwX81ABOrDv/jPnes4&#10;/yNNJ2/w+ycCkIsfAAAA//8DAFBLAQItABQABgAIAAAAIQDb4fbL7gAAAIUBAAATAAAAAAAAAAAA&#10;AAAAAAAAAABbQ29udGVudF9UeXBlc10ueG1sUEsBAi0AFAAGAAgAAAAhAFr0LFu/AAAAFQEAAAsA&#10;AAAAAAAAAAAAAAAAHwEAAF9yZWxzLy5yZWxzUEsBAi0AFAAGAAgAAAAhACFHxUDEAAAA3wAAAA8A&#10;AAAAAAAAAAAAAAAABwIAAGRycy9kb3ducmV2LnhtbFBLBQYAAAAAAwADALcAAAD4AgAAAAA=&#10;" filled="f" stroked="f">
                  <v:textbox inset="0,0,0,0">
                    <w:txbxContent>
                      <w:p w14:paraId="2B417AB9" w14:textId="77777777" w:rsidR="00B32EF2" w:rsidRDefault="00000000">
                        <w:r>
                          <w:rPr>
                            <w:rFonts w:ascii="Arial" w:eastAsia="Arial" w:hAnsi="Arial" w:cs="Arial"/>
                            <w:sz w:val="18"/>
                          </w:rPr>
                          <w:t>63</w:t>
                        </w:r>
                      </w:p>
                    </w:txbxContent>
                  </v:textbox>
                </v:rect>
                <v:rect id="Rectangle 14054" o:spid="_x0000_s1080" style="position:absolute;left:-13172;top:1453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q9IxAAAAN4AAAAPAAAAZHJzL2Rvd25yZXYueG1sRE9Ni8Iw&#10;EL0L+x/CLHjTdEVFqlHERexhL7ou7HFoxrbaTEITbd1fbwRhb/N4n7NYdaYWN2p8ZVnBxzABQZxb&#10;XXGh4Pi9HcxA+ICssbZMCu7kYbV86y0w1bblPd0OoRAxhH2KCsoQXCqlz0sy6IfWEUfuZBuDIcKm&#10;kLrBNoabWo6SZCoNVhwbSnS0KSm/HK5Gwe8nu2zbyvz0t3Ff52xW767HH6X67916DiJQF/7FL3em&#10;4/xxMhnD8514g1w+AAAA//8DAFBLAQItABQABgAIAAAAIQDb4fbL7gAAAIUBAAATAAAAAAAAAAAA&#10;AAAAAAAAAABbQ29udGVudF9UeXBlc10ueG1sUEsBAi0AFAAGAAgAAAAhAFr0LFu/AAAAFQEAAAsA&#10;AAAAAAAAAAAAAAAAHwEAAF9yZWxzLy5yZWxzUEsBAi0AFAAGAAgAAAAhAKrir0jEAAAA3gAAAA8A&#10;AAAAAAAAAAAAAAAABwIAAGRycy9kb3ducmV2LnhtbFBLBQYAAAAAAwADALcAAAD4AgAAAAA=&#10;" filled="f" stroked="f">
                  <v:textbox inset="0,0,0,0">
                    <w:txbxContent>
                      <w:p w14:paraId="4D7E440E" w14:textId="77777777" w:rsidR="00B32EF2" w:rsidRDefault="00000000">
                        <w:r>
                          <w:rPr>
                            <w:rFonts w:ascii="Arial" w:eastAsia="Arial" w:hAnsi="Arial" w:cs="Arial"/>
                            <w:sz w:val="18"/>
                          </w:rPr>
                          <w:t xml:space="preserve">gennaio 1988, n. 43, l’articolo 4, comma 8, del decreto-legge 2 marzo 1989, n. </w:t>
                        </w:r>
                      </w:p>
                    </w:txbxContent>
                  </v:textbox>
                </v:rect>
                <v:rect id="Rectangle 198812" o:spid="_x0000_s1081" style="position:absolute;left:27227;top:13304;width:459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l00wwAAAN8AAAAPAAAAZHJzL2Rvd25yZXYueG1sRE/Pa8Iw&#10;FL4P/B/CE7zNVA/SVaOIIvawi87Bjo/m2Vabl9BE2+2vXwTB48f3e7HqTSPu1PrasoLJOAFBXFhd&#10;c6ng9LV7T0H4gKyxsUwKfsnDajl4W2CmbccHuh9DKWII+wwVVCG4TEpfVGTQj60jjtzZtgZDhG0p&#10;dYtdDDeNnCbJTBqsOTZU6GhTUXE93oyCny27fNfJ4vy3cZ+XPG32t9O3UqNhv56DCNSHl/jpznWc&#10;/5Gmkyk8/kQAcvkPAAD//wMAUEsBAi0AFAAGAAgAAAAhANvh9svuAAAAhQEAABMAAAAAAAAAAAAA&#10;AAAAAAAAAFtDb250ZW50X1R5cGVzXS54bWxQSwECLQAUAAYACAAAACEAWvQsW78AAAAVAQAACwAA&#10;AAAAAAAAAAAAAAAfAQAAX3JlbHMvLnJlbHNQSwECLQAUAAYACAAAACEArq5dNMMAAADfAAAADwAA&#10;AAAAAAAAAAAAAAAHAgAAZHJzL2Rvd25yZXYueG1sUEsFBgAAAAADAAMAtwAAAPcCAAAAAA==&#10;" filled="f" stroked="f">
                  <v:textbox inset="0,0,0,0">
                    <w:txbxContent>
                      <w:p w14:paraId="740FA1B3" w14:textId="77777777" w:rsidR="00B32EF2" w:rsidRDefault="00000000">
                        <w:r>
                          <w:rPr>
                            <w:rFonts w:ascii="Arial" w:eastAsia="Arial" w:hAnsi="Arial" w:cs="Arial"/>
                            <w:sz w:val="18"/>
                          </w:rPr>
                          <w:t>66</w:t>
                        </w:r>
                      </w:p>
                    </w:txbxContent>
                  </v:textbox>
                </v:rect>
                <v:rect id="Rectangle 198814" o:spid="_x0000_s1082" style="position:absolute;left:-5083;top:13304;width:459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2DbxAAAAN8AAAAPAAAAZHJzL2Rvd25yZXYueG1sRE/Pa8Iw&#10;FL4P/B/CE7zNVBmjq0YRRdaDlzkFj4/m2Vabl9BEW/3rl8Fgx4/v93zZm0bcqfW1ZQWTcQKCuLC6&#10;5lLB4Xv7moLwAVljY5kUPMjDcjF4mWOmbcdfdN+HUsQQ9hkqqEJwmZS+qMigH1tHHLmzbQ2GCNtS&#10;6ha7GG4aOU2Sd2mw5thQoaN1RcV1fzMKTht2+baTxfm5drtLnjaft8NRqdGwX81ABOrDv/jPnes4&#10;/yNNJ2/w+ycCkIsfAAAA//8DAFBLAQItABQABgAIAAAAIQDb4fbL7gAAAIUBAAATAAAAAAAAAAAA&#10;AAAAAAAAAABbQ29udGVudF9UeXBlc10ueG1sUEsBAi0AFAAGAAgAAAAhAFr0LFu/AAAAFQEAAAsA&#10;AAAAAAAAAAAAAAAAHwEAAF9yZWxzLy5yZWxzUEsBAi0AFAAGAAgAAAAhAE4LYNvEAAAA3wAAAA8A&#10;AAAAAAAAAAAAAAAABwIAAGRycy9kb3ducmV2LnhtbFBLBQYAAAAAAwADALcAAAD4AgAAAAA=&#10;" filled="f" stroked="f">
                  <v:textbox inset="0,0,0,0">
                    <w:txbxContent>
                      <w:p w14:paraId="26CEB756" w14:textId="77777777" w:rsidR="00B32EF2" w:rsidRDefault="00000000">
                        <w:r>
                          <w:rPr>
                            <w:rFonts w:ascii="Arial" w:eastAsia="Arial" w:hAnsi="Arial" w:cs="Arial"/>
                            <w:sz w:val="18"/>
                          </w:rPr>
                          <w:t xml:space="preserve">, convertito, con modificazioni, dalla legge 24 aprile 1989, n. </w:t>
                        </w:r>
                      </w:p>
                    </w:txbxContent>
                  </v:textbox>
                </v:rect>
                <v:rect id="Rectangle 198813" o:spid="_x0000_s1083" style="position:absolute;left:-38292;top:13304;width:459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vivxAAAAN8AAAAPAAAAZHJzL2Rvd25yZXYueG1sRE/Pa8Iw&#10;FL4P/B/CE7zNVAejq0YRRdaDlzkFj4/m2Vabl9BEW/3rl8Fgx4/v93zZm0bcqfW1ZQWTcQKCuLC6&#10;5lLB4Xv7moLwAVljY5kUPMjDcjF4mWOmbcdfdN+HUsQQ9hkqqEJwmZS+qMigH1tHHLmzbQ2GCNtS&#10;6ha7GG4aOU2Sd2mw5thQoaN1RcV1fzMKTht2+baTxfm5drtLnjaft8NRqdGwX81ABOrDv/jPnes4&#10;/yNNJ2/w+ycCkIsfAAAA//8DAFBLAQItABQABgAIAAAAIQDb4fbL7gAAAIUBAAATAAAAAAAAAAAA&#10;AAAAAAAAAABbQ29udGVudF9UeXBlc10ueG1sUEsBAi0AFAAGAAgAAAAhAFr0LFu/AAAAFQEAAAsA&#10;AAAAAAAAAAAAAAAAHwEAAF9yZWxzLy5yZWxzUEsBAi0AFAAGAAgAAAAhAMHi+K/EAAAA3wAAAA8A&#10;AAAAAAAAAAAAAAAABwIAAGRycy9kb3ducmV2LnhtbFBLBQYAAAAAAwADALcAAAD4AgAAAAA=&#10;" filled="f" stroked="f">
                  <v:textbox inset="0,0,0,0">
                    <w:txbxContent>
                      <w:p w14:paraId="628A3EB0" w14:textId="77777777" w:rsidR="00B32EF2" w:rsidRDefault="00000000">
                        <w:r>
                          <w:rPr>
                            <w:rFonts w:ascii="Arial" w:eastAsia="Arial" w:hAnsi="Arial" w:cs="Arial"/>
                            <w:sz w:val="18"/>
                          </w:rPr>
                          <w:t>144.</w:t>
                        </w:r>
                      </w:p>
                    </w:txbxContent>
                  </v:textbox>
                </v:rect>
                <v:rect id="Rectangle 198810" o:spid="_x0000_s1084" style="position:absolute;left:26353;top:12071;width:52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GbYxAAAAN8AAAAPAAAAZHJzL2Rvd25yZXYueG1sRE89b8Iw&#10;EN2R+A/WIXUDB4YqTTGoAqFm6AKlUsdTfCRp47MVG5L213NDpY5P73u9HV2nbtTH1rOB5SIDRVx5&#10;23Jt4Px+mOegYkK22HkmAz8UYbuZTtZYWD/wkW6nVCsJ4ViggSalUGgdq4YcxoUPxMJdfO8wCexr&#10;bXscJNx1epVlj9phy9LQYKBdQ9X36eoMfO45lIdBV5ffXXj7KvPu9Xr+MOZhNr48g0o0pn/xn7u0&#10;Mv8pz5fyQP4IAL25AwAA//8DAFBLAQItABQABgAIAAAAIQDb4fbL7gAAAIUBAAATAAAAAAAAAAAA&#10;AAAAAAAAAABbQ29udGVudF9UeXBlc10ueG1sUEsBAi0AFAAGAAgAAAAhAFr0LFu/AAAAFQEAAAsA&#10;AAAAAAAAAAAAAAAAHwEAAF9yZWxzLy5yZWxzUEsBAi0AFAAGAAgAAAAhADEwZtjEAAAA3wAAAA8A&#10;AAAAAAAAAAAAAAAABwIAAGRycy9kb3ducmV2LnhtbFBLBQYAAAAAAwADALcAAAD4AgAAAAA=&#10;" filled="f" stroked="f">
                  <v:textbox inset="0,0,0,0">
                    <w:txbxContent>
                      <w:p w14:paraId="7FA073E1" w14:textId="77777777" w:rsidR="00B32EF2" w:rsidRDefault="00000000">
                        <w:r>
                          <w:rPr>
                            <w:rFonts w:ascii="Arial" w:eastAsia="Arial" w:hAnsi="Arial" w:cs="Arial"/>
                            <w:sz w:val="18"/>
                          </w:rPr>
                          <w:t>3</w:t>
                        </w:r>
                      </w:p>
                    </w:txbxContent>
                  </v:textbox>
                </v:rect>
                <v:rect id="Rectangle 198811" o:spid="_x0000_s1085" style="position:absolute;left:-12837;top:12071;width:52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MNDxAAAAN8AAAAPAAAAZHJzL2Rvd25yZXYueG1sRE/Pa8Iw&#10;FL4P/B/CE3abaT2MrjOKKGIPu+gUdnw0z7Zb8xKaaDv/eiMIHj++37PFYFpxoc43lhWkkwQEcWl1&#10;w5WCw/fmLQPhA7LG1jIp+CcPi/noZYa5tj3v6LIPlYgh7HNUUIfgcil9WZNBP7GOOHIn2xkMEXaV&#10;1B32Mdy0cpok79Jgw7GhRkermsq//dko+FmzKza9LE/Xlfv6LbJ2ez4clXodD8tPEIGG8BQ/3IWO&#10;8z+yLE3h/icCkPMbAAAA//8DAFBLAQItABQABgAIAAAAIQDb4fbL7gAAAIUBAAATAAAAAAAAAAAA&#10;AAAAAAAAAABbQ29udGVudF9UeXBlc10ueG1sUEsBAi0AFAAGAAgAAAAhAFr0LFu/AAAAFQEAAAsA&#10;AAAAAAAAAAAAAAAAHwEAAF9yZWxzLy5yZWxzUEsBAi0AFAAGAAgAAAAhAF58w0PEAAAA3wAAAA8A&#10;AAAAAAAAAAAAAAAABwIAAGRycy9kb3ducmV2LnhtbFBLBQYAAAAAAwADALcAAAD4AgAAAAA=&#10;" filled="f" stroked="f">
                  <v:textbox inset="0,0,0,0">
                    <w:txbxContent>
                      <w:p w14:paraId="5EAB1286" w14:textId="77777777" w:rsidR="00B32EF2" w:rsidRDefault="00000000">
                        <w:r>
                          <w:rPr>
                            <w:rFonts w:ascii="Arial" w:eastAsia="Arial" w:hAnsi="Arial" w:cs="Arial"/>
                            <w:sz w:val="18"/>
                          </w:rPr>
                          <w:t>. I riferimenti contenuti nelle norme vigenti a disposizioni abrogate dal pre</w:t>
                        </w:r>
                      </w:p>
                    </w:txbxContent>
                  </v:textbox>
                </v:rect>
                <v:rect id="Rectangle 14057" o:spid="_x0000_s1086" style="position:absolute;left:192;top:1207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DE/xQAAAN4AAAAPAAAAZHJzL2Rvd25yZXYueG1sRE9LawIx&#10;EL4L/Q9hCr252ZbWymqUYhH30IvWgsdhM/vQzSRsorv21zeC0Nt8fM+ZLwfTigt1vrGs4DlJQRAX&#10;VjdcKdh/r8dTED4ga2wtk4IreVguHkZzzLTteUuXXahEDGGfoYI6BJdJ6YuaDPrEOuLIlbYzGCLs&#10;Kqk77GO4aeVLmk6kwYZjQ42OVjUVp93ZKDh8ssvXvSzK35X7OubTdnPe/yj19Dh8zEAEGsK/+O7O&#10;dZz/mr69w+2deINc/AEAAP//AwBQSwECLQAUAAYACAAAACEA2+H2y+4AAACFAQAAEwAAAAAAAAAA&#10;AAAAAAAAAAAAW0NvbnRlbnRfVHlwZXNdLnhtbFBLAQItABQABgAIAAAAIQBa9CxbvwAAABUBAAAL&#10;AAAAAAAAAAAAAAAAAB8BAABfcmVscy8ucmVsc1BLAQItABQABgAIAAAAIQBaMDE/xQAAAN4AAAAP&#10;AAAAAAAAAAAAAAAAAAcCAABkcnMvZG93bnJldi54bWxQSwUGAAAAAAMAAwC3AAAA+QIAAAAA&#10;" filled="f" stroked="f">
                  <v:textbox inset="0,0,0,0">
                    <w:txbxContent>
                      <w:p w14:paraId="6A989A5F" w14:textId="77777777" w:rsidR="00B32EF2" w:rsidRDefault="00000000">
                        <w:r>
                          <w:rPr>
                            <w:rFonts w:ascii="Arial" w:eastAsia="Arial" w:hAnsi="Arial" w:cs="Arial"/>
                            <w:sz w:val="18"/>
                          </w:rPr>
                          <w:t>-</w:t>
                        </w:r>
                      </w:p>
                    </w:txbxContent>
                  </v:textbox>
                </v:rect>
                <v:rect id="Rectangle 14058" o:spid="_x0000_s1087" style="position:absolute;left:-12206;top:10838;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6VNxwAAAN4AAAAPAAAAZHJzL2Rvd25yZXYueG1sRI9Ba8JA&#10;EIXvhf6HZQre6sZSi6SuIhZpDr1oLfQ4ZMckmp1dsquJ/fXOQehthvfmvW/my8G16kJdbDwbmIwz&#10;UMSltw1XBvbfm+cZqJiQLbaeycCVIiwXjw9zzK3veUuXXaqUhHDM0UCdUsi1jmVNDuPYB2LRDr5z&#10;mGTtKm077CXctfoly960w4alocZA65rK0+7sDPx+cCg2vS4Pf+vwdSxm7ed5/2PM6GlYvYNKNKR/&#10;8/26sIL/mk2FV96RGfTiBgAA//8DAFBLAQItABQABgAIAAAAIQDb4fbL7gAAAIUBAAATAAAAAAAA&#10;AAAAAAAAAAAAAABbQ29udGVudF9UeXBlc10ueG1sUEsBAi0AFAAGAAgAAAAhAFr0LFu/AAAAFQEA&#10;AAsAAAAAAAAAAAAAAAAAHwEAAF9yZWxzLy5yZWxzUEsBAi0AFAAGAAgAAAAhACuvpU3HAAAA3gAA&#10;AA8AAAAAAAAAAAAAAAAABwIAAGRycy9kb3ducmV2LnhtbFBLBQYAAAAAAwADALcAAAD7AgAAAAA=&#10;" filled="f" stroked="f">
                  <v:textbox inset="0,0,0,0">
                    <w:txbxContent>
                      <w:p w14:paraId="3CF43CA2" w14:textId="77777777" w:rsidR="00B32EF2" w:rsidRDefault="00000000">
                        <w:r>
                          <w:rPr>
                            <w:rFonts w:ascii="Arial" w:eastAsia="Arial" w:hAnsi="Arial" w:cs="Arial"/>
                            <w:sz w:val="18"/>
                          </w:rPr>
                          <w:t>sente testo unico si intendono effettuati agli istituti e alle previsioni corrispon</w:t>
                        </w:r>
                      </w:p>
                    </w:txbxContent>
                  </v:textbox>
                </v:rect>
                <v:rect id="Rectangle 14059" o:spid="_x0000_s1088" style="position:absolute;left:192;top:1083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wDWxQAAAN4AAAAPAAAAZHJzL2Rvd25yZXYueG1sRE9La8JA&#10;EL4L/Q/LFHrTTaUWG12lKNIcvPgoeByyYxLNzi7Z1aT+elcoeJuP7znTeWdqcaXGV5YVvA8SEMS5&#10;1RUXCva7VX8MwgdkjbVlUvBHHuazl94UU21b3tB1GwoRQ9inqKAMwaVS+rwkg35gHXHkjrYxGCJs&#10;CqkbbGO4qeUwST6lwYpjQ4mOFiXl5+3FKDgs2WWrVubH28KtT9m4/rnsf5V6e+2+JyACdeEp/ndn&#10;Os7/SEZf8Hgn3iBndwAAAP//AwBQSwECLQAUAAYACAAAACEA2+H2y+4AAACFAQAAEwAAAAAAAAAA&#10;AAAAAAAAAAAAW0NvbnRlbnRfVHlwZXNdLnhtbFBLAQItABQABgAIAAAAIQBa9CxbvwAAABUBAAAL&#10;AAAAAAAAAAAAAAAAAB8BAABfcmVscy8ucmVsc1BLAQItABQABgAIAAAAIQBE4wDWxQAAAN4AAAAP&#10;AAAAAAAAAAAAAAAAAAcCAABkcnMvZG93bnJldi54bWxQSwUGAAAAAAMAAwC3AAAA+QIAAAAA&#10;" filled="f" stroked="f">
                  <v:textbox inset="0,0,0,0">
                    <w:txbxContent>
                      <w:p w14:paraId="6839ED94" w14:textId="77777777" w:rsidR="00B32EF2" w:rsidRDefault="00000000">
                        <w:r>
                          <w:rPr>
                            <w:rFonts w:ascii="Arial" w:eastAsia="Arial" w:hAnsi="Arial" w:cs="Arial"/>
                            <w:sz w:val="18"/>
                          </w:rPr>
                          <w:t>-</w:t>
                        </w:r>
                      </w:p>
                    </w:txbxContent>
                  </v:textbox>
                </v:rect>
                <v:rect id="Rectangle 14060" o:spid="_x0000_s1089" style="position:absolute;left:13282;top:9605;width:2663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WP2xwAAAN4AAAAPAAAAZHJzL2Rvd25yZXYueG1sRI9Pa8JA&#10;EMXvhX6HZQq91U1LEUldRSzSHLz4DzwO2TFJzc4u2dXEfvrOQfA2w7x57/2m88G16kpdbDwbeB9l&#10;oIhLbxuuDOx3q7cJqJiQLbaeycCNIsxnz09TzK3veUPXbaqUmHDM0UCdUsi1jmVNDuPIB2K5nXzn&#10;MMnaVdp22Iu5a/VHlo21w4YlocZAy5rK8/biDBy/ORSrXpenv2VY/xaT9ueyPxjz+jIsvkAlGtJD&#10;fP8urNT/zMYCIDgyg579AwAA//8DAFBLAQItABQABgAIAAAAIQDb4fbL7gAAAIUBAAATAAAAAAAA&#10;AAAAAAAAAAAAAABbQ29udGVudF9UeXBlc10ueG1sUEsBAi0AFAAGAAgAAAAhAFr0LFu/AAAAFQEA&#10;AAsAAAAAAAAAAAAAAAAAHwEAAF9yZWxzLy5yZWxzUEsBAi0AFAAGAAgAAAAhABu1Y/bHAAAA3gAA&#10;AA8AAAAAAAAAAAAAAAAABwIAAGRycy9kb3ducmV2LnhtbFBLBQYAAAAAAwADALcAAAD7AgAAAAA=&#10;" filled="f" stroked="f">
                  <v:textbox inset="0,0,0,0">
                    <w:txbxContent>
                      <w:p w14:paraId="17D72660" w14:textId="77777777" w:rsidR="00B32EF2" w:rsidRDefault="00000000">
                        <w:r>
                          <w:rPr>
                            <w:rFonts w:ascii="Arial" w:eastAsia="Arial" w:hAnsi="Arial" w:cs="Arial"/>
                            <w:sz w:val="18"/>
                          </w:rPr>
                          <w:t>denti risultanti dal presente testo unico.</w:t>
                        </w:r>
                      </w:p>
                    </w:txbxContent>
                  </v:textbox>
                </v:rect>
                <v:rect id="Rectangle 14061" o:spid="_x0000_s1090" style="position:absolute;left:14604;top:6811;width:88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ZtxQAAAN4AAAAPAAAAZHJzL2Rvd25yZXYueG1sRE9Na8JA&#10;EL0X+h+WKfRWN5YSQuoqYpHm4MXUQo9DdkxSs7NLdk1Sf70rCL3N433OYjWZTgzU+9aygvksAUFc&#10;Wd1yreDwtX3JQPiArLGzTAr+yMNq+fiwwFzbkfc0lKEWMYR9jgqaEFwupa8aMuhn1hFH7mh7gyHC&#10;vpa6xzGGm06+JkkqDbYcGxp0tGmoOpVno+Dng12xHWV1vGzc7rfIus/z4Vup56dp/Q4i0BT+xXd3&#10;oeP8tySdw+2deINcXgEAAP//AwBQSwECLQAUAAYACAAAACEA2+H2y+4AAACFAQAAEwAAAAAAAAAA&#10;AAAAAAAAAAAAW0NvbnRlbnRfVHlwZXNdLnhtbFBLAQItABQABgAIAAAAIQBa9CxbvwAAABUBAAAL&#10;AAAAAAAAAAAAAAAAAB8BAABfcmVscy8ucmVsc1BLAQItABQABgAIAAAAIQB0+cZtxQAAAN4AAAAP&#10;AAAAAAAAAAAAAAAAAAcCAABkcnMvZG93bnJldi54bWxQSwUGAAAAAAMAAwC3AAAA+QIAAAAA&#10;" filled="f" stroked="f">
                  <v:textbox inset="0,0,0,0">
                    <w:txbxContent>
                      <w:p w14:paraId="65A29AAA" w14:textId="77777777" w:rsidR="00B32EF2" w:rsidRDefault="00000000">
                        <w:r>
                          <w:rPr>
                            <w:rFonts w:ascii="Arial" w:eastAsia="Arial" w:hAnsi="Arial" w:cs="Arial"/>
                            <w:b/>
                            <w:sz w:val="18"/>
                          </w:rPr>
                          <w:t>Articolo 131</w:t>
                        </w:r>
                      </w:p>
                    </w:txbxContent>
                  </v:textbox>
                </v:rect>
                <v:rect id="Rectangle 14062" o:spid="_x0000_s1091" style="position:absolute;left:14809;top:5414;width:85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1gaxQAAAN4AAAAPAAAAZHJzL2Rvd25yZXYueG1sRE9Na8JA&#10;EL0L/Q/LFHrTTYMEia4iKWIOvdRa6HHIjkk0O7tk1yTtr+8WCr3N433OZjeZTgzU+9aygudFAoK4&#10;srrlWsH5/TBfgfABWWNnmRR8kYfd9mG2wVzbkd9oOIVaxBD2OSpoQnC5lL5qyKBfWEccuYvtDYYI&#10;+1rqHscYbjqZJkkmDbYcGxp0VDRU3U53o+DzhV15GGV1+S7c67Vcdcf7+UOpp8dpvwYRaAr/4j93&#10;qeP8ZZKl8PtOvEFufwAAAP//AwBQSwECLQAUAAYACAAAACEA2+H2y+4AAACFAQAAEwAAAAAAAAAA&#10;AAAAAAAAAAAAW0NvbnRlbnRfVHlwZXNdLnhtbFBLAQItABQABgAIAAAAIQBa9CxbvwAAABUBAAAL&#10;AAAAAAAAAAAAAAAAAB8BAABfcmVscy8ucmVsc1BLAQItABQABgAIAAAAIQCEK1gaxQAAAN4AAAAP&#10;AAAAAAAAAAAAAAAAAAcCAABkcnMvZG93bnJldi54bWxQSwUGAAAAAAMAAwC3AAAA+QIAAAAA&#10;" filled="f" stroked="f">
                  <v:textbox inset="0,0,0,0">
                    <w:txbxContent>
                      <w:p w14:paraId="66CD2F9B" w14:textId="77777777" w:rsidR="00B32EF2" w:rsidRDefault="00000000">
                        <w:r>
                          <w:rPr>
                            <w:rFonts w:ascii="Arial" w:eastAsia="Arial" w:hAnsi="Arial" w:cs="Arial"/>
                            <w:b/>
                            <w:sz w:val="18"/>
                          </w:rPr>
                          <w:t>Decorrenza</w:t>
                        </w:r>
                      </w:p>
                    </w:txbxContent>
                  </v:textbox>
                </v:rect>
                <v:rect id="Rectangle 198809" o:spid="_x0000_s1092" style="position:absolute;left:-13764;top:418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1mYwwAAAN8AAAAPAAAAZHJzL2Rvd25yZXYueG1sRE/Pa8Iw&#10;FL4P/B/CE7zNVA+jVqOIIuvBy5yCx0fzbKvNS2iirf71y2Cw48f3e7HqTSMe1PrasoLJOAFBXFhd&#10;c6ng+L17T0H4gKyxsUwKnuRhtRy8LTDTtuMvehxCKWII+wwVVCG4TEpfVGTQj60jjtzFtgZDhG0p&#10;dYtdDDeNnCbJhzRYc2yo0NGmouJ2uBsF5y27fNfJ4vLauP01T5vP+/Gk1GjYr+cgAvXhX/znznWc&#10;P0vTZAa/fyIAufwBAAD//wMAUEsBAi0AFAAGAAgAAAAhANvh9svuAAAAhQEAABMAAAAAAAAAAAAA&#10;AAAAAAAAAFtDb250ZW50X1R5cGVzXS54bWxQSwECLQAUAAYACAAAACEAWvQsW78AAAAVAQAACwAA&#10;AAAAAAAAAAAAAAAfAQAAX3JlbHMvLnJlbHNQSwECLQAUAAYACAAAACEAJdNZmMMAAADfAAAADwAA&#10;AAAAAAAAAAAAAAAHAgAAZHJzL2Rvd25yZXYueG1sUEsFBgAAAAADAAMAtwAAAPcCAAAAAA==&#10;" filled="f" stroked="f">
                  <v:textbox inset="0,0,0,0">
                    <w:txbxContent>
                      <w:p w14:paraId="188AB09B" w14:textId="77777777" w:rsidR="00B32EF2" w:rsidRDefault="00000000">
                        <w:r>
                          <w:rPr>
                            <w:rFonts w:ascii="Arial" w:eastAsia="Arial" w:hAnsi="Arial" w:cs="Arial"/>
                            <w:sz w:val="18"/>
                          </w:rPr>
                          <w:t xml:space="preserve">. Le disposizioni del presente testo unico si applicano dal 1° gennaio 2026. </w:t>
                        </w:r>
                      </w:p>
                    </w:txbxContent>
                  </v:textbox>
                </v:rect>
                <v:rect id="Rectangle 198808" o:spid="_x0000_s1093" style="position:absolute;left:26109;top:4181;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wDxAAAAN8AAAAPAAAAZHJzL2Rvd25yZXYueG1sRE89b8Iw&#10;EN0r9T9YV4mtOO2A0oBBFRUiQ5dSkBhP8ZEE4rMVGxL663tDpY5P73uxGl2nbtTH1rOBl2kGirjy&#10;tuXawP5785yDignZYueZDNwpwmr5+LDAwvqBv+i2S7WSEI4FGmhSCoXWsWrIYZz6QCzcyfcOk8C+&#10;1rbHQcJdp1+zbKYdtiwNDQZaN1Rddldn4PjBodwMujr9rMPnucy77XV/MGbyNL7PQSUa07/4z11a&#10;mf+W55kMlj8CQC9/AQAA//8DAFBLAQItABQABgAIAAAAIQDb4fbL7gAAAIUBAAATAAAAAAAAAAAA&#10;AAAAAAAAAABbQ29udGVudF9UeXBlc10ueG1sUEsBAi0AFAAGAAgAAAAhAFr0LFu/AAAAFQEAAAsA&#10;AAAAAAAAAAAAAAAAHwEAAF9yZWxzLy5yZWxzUEsBAi0AFAAGAAgAAAAhAEqf/APEAAAA3wAAAA8A&#10;AAAAAAAAAAAAAAAABwIAAGRycy9kb3ducmV2LnhtbFBLBQYAAAAAAwADALcAAAD4AgAAAAA=&#10;" filled="f" stroked="f">
                  <v:textbox inset="0,0,0,0">
                    <w:txbxContent>
                      <w:p w14:paraId="463A0E2E" w14:textId="77777777" w:rsidR="00B32EF2" w:rsidRDefault="00000000">
                        <w:r>
                          <w:rPr>
                            <w:rFonts w:ascii="Arial" w:eastAsia="Arial" w:hAnsi="Arial" w:cs="Arial"/>
                            <w:sz w:val="18"/>
                          </w:rPr>
                          <w:t>1</w:t>
                        </w:r>
                      </w:p>
                    </w:txbxContent>
                  </v:textbox>
                </v:rect>
                <v:rect id="Rectangle 14064" o:spid="_x0000_s1094" style="position:absolute;left:11374;top:2948;width:285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mX1wwAAAN4AAAAPAAAAZHJzL2Rvd25yZXYueG1sRE9Ni8Iw&#10;EL0L+x/CLOxN0xURqUYRF7EHL7oKHodmbKvNJDTRdv31RhD2No/3ObNFZ2pxp8ZXlhV8DxIQxLnV&#10;FRcKDr/r/gSED8gaa8uk4I88LOYfvRmm2ra8o/s+FCKGsE9RQRmCS6X0eUkG/cA64sidbWMwRNgU&#10;UjfYxnBTy2GSjKXBimNDiY5WJeXX/c0oOP2wy9atzM+Pldteskm9uR2OSn19dsspiEBd+Be/3ZmO&#10;80fJeASvd+INcv4EAAD//wMAUEsBAi0AFAAGAAgAAAAhANvh9svuAAAAhQEAABMAAAAAAAAAAAAA&#10;AAAAAAAAAFtDb250ZW50X1R5cGVzXS54bWxQSwECLQAUAAYACAAAACEAWvQsW78AAAAVAQAACwAA&#10;AAAAAAAAAAAAAAAfAQAAX3JlbHMvLnJlbHNQSwECLQAUAAYACAAAACEAZI5l9cMAAADeAAAADwAA&#10;AAAAAAAAAAAAAAAHAgAAZHJzL2Rvd25yZXYueG1sUEsFBgAAAAADAAMAtwAAAPcCAAAAAA==&#10;" filled="f" stroked="f">
                  <v:textbox inset="0,0,0,0">
                    <w:txbxContent>
                      <w:p w14:paraId="53E27A92" w14:textId="77777777" w:rsidR="00B32EF2" w:rsidRDefault="00000000">
                        <w:r>
                          <w:rPr>
                            <w:rFonts w:ascii="Arial" w:eastAsia="Arial" w:hAnsi="Arial" w:cs="Arial"/>
                            <w:sz w:val="18"/>
                          </w:rPr>
                          <w:t>Parte di provvedimento in formato grafico.</w:t>
                        </w:r>
                      </w:p>
                    </w:txbxContent>
                  </v:textbox>
                </v:rect>
                <w10:anchorlock/>
              </v:group>
            </w:pict>
          </mc:Fallback>
        </mc:AlternateContent>
      </w:r>
    </w:p>
    <w:p w14:paraId="2B5F106A" w14:textId="77777777" w:rsidR="00B32EF2" w:rsidRDefault="00000000">
      <w:pPr>
        <w:spacing w:after="0"/>
        <w:ind w:left="-356" w:right="-306"/>
      </w:pPr>
      <w:r>
        <w:rPr>
          <w:noProof/>
        </w:rPr>
        <w:lastRenderedPageBreak/>
        <mc:AlternateContent>
          <mc:Choice Requires="wpg">
            <w:drawing>
              <wp:inline distT="0" distB="0" distL="0" distR="0" wp14:anchorId="5DDBF9B7" wp14:editId="5B07DB16">
                <wp:extent cx="3991942" cy="6262854"/>
                <wp:effectExtent l="0" t="0" r="0" b="0"/>
                <wp:docPr id="198690" name="Group 198690"/>
                <wp:cNvGraphicFramePr/>
                <a:graphic xmlns:a="http://schemas.openxmlformats.org/drawingml/2006/main">
                  <a:graphicData uri="http://schemas.microsoft.com/office/word/2010/wordprocessingGroup">
                    <wpg:wgp>
                      <wpg:cNvGrpSpPr/>
                      <wpg:grpSpPr>
                        <a:xfrm>
                          <a:off x="0" y="0"/>
                          <a:ext cx="3991942" cy="6262854"/>
                          <a:chOff x="0" y="0"/>
                          <a:chExt cx="3991942" cy="6262854"/>
                        </a:xfrm>
                      </wpg:grpSpPr>
                      <wps:wsp>
                        <wps:cNvPr id="14086" name="Rectangle 14086"/>
                        <wps:cNvSpPr/>
                        <wps:spPr>
                          <a:xfrm rot="-10799999">
                            <a:off x="1844971" y="-62190"/>
                            <a:ext cx="267553" cy="250646"/>
                          </a:xfrm>
                          <a:prstGeom prst="rect">
                            <a:avLst/>
                          </a:prstGeom>
                          <a:ln>
                            <a:noFill/>
                          </a:ln>
                        </wps:spPr>
                        <wps:txbx>
                          <w:txbxContent>
                            <w:p w14:paraId="37F526C3" w14:textId="77777777" w:rsidR="00B32EF2" w:rsidRDefault="00000000">
                              <w:r>
                                <w:rPr>
                                  <w:rFonts w:ascii="Times New Roman" w:eastAsia="Times New Roman" w:hAnsi="Times New Roman" w:cs="Times New Roman"/>
                                </w:rPr>
                                <w:t>105</w:t>
                              </w:r>
                            </w:p>
                          </w:txbxContent>
                        </wps:txbx>
                        <wps:bodyPr horzOverflow="overflow" vert="horz" lIns="0" tIns="0" rIns="0" bIns="0" rtlCol="0">
                          <a:noAutofit/>
                        </wps:bodyPr>
                      </wps:wsp>
                      <wps:wsp>
                        <wps:cNvPr id="14088" name="Rectangle 14088"/>
                        <wps:cNvSpPr/>
                        <wps:spPr>
                          <a:xfrm rot="-10799999">
                            <a:off x="-1317093" y="6119964"/>
                            <a:ext cx="5309036" cy="142890"/>
                          </a:xfrm>
                          <a:prstGeom prst="rect">
                            <a:avLst/>
                          </a:prstGeom>
                          <a:ln>
                            <a:noFill/>
                          </a:ln>
                        </wps:spPr>
                        <wps:txbx>
                          <w:txbxContent>
                            <w:p w14:paraId="7BEF840C" w14:textId="77777777" w:rsidR="00B32EF2" w:rsidRDefault="00000000">
                              <w:r>
                                <w:rPr>
                                  <w:rFonts w:ascii="Arial" w:eastAsia="Arial" w:hAnsi="Arial" w:cs="Arial"/>
                                  <w:sz w:val="18"/>
                                </w:rPr>
                                <w:t xml:space="preserve">tazione del ricorso in camera di consiglio non oltre novanta giorni dal deposito </w:t>
                              </w:r>
                            </w:p>
                          </w:txbxContent>
                        </wps:txbx>
                        <wps:bodyPr horzOverflow="overflow" vert="horz" lIns="0" tIns="0" rIns="0" bIns="0" rtlCol="0">
                          <a:noAutofit/>
                        </wps:bodyPr>
                      </wps:wsp>
                      <wps:wsp>
                        <wps:cNvPr id="14089" name="Rectangle 14089"/>
                        <wps:cNvSpPr/>
                        <wps:spPr>
                          <a:xfrm rot="-10799999">
                            <a:off x="-1317047" y="5995490"/>
                            <a:ext cx="5308990" cy="142890"/>
                          </a:xfrm>
                          <a:prstGeom prst="rect">
                            <a:avLst/>
                          </a:prstGeom>
                          <a:ln>
                            <a:noFill/>
                          </a:ln>
                        </wps:spPr>
                        <wps:txbx>
                          <w:txbxContent>
                            <w:p w14:paraId="40980E22" w14:textId="77777777" w:rsidR="00B32EF2" w:rsidRDefault="00000000">
                              <w:r>
                                <w:rPr>
                                  <w:rFonts w:ascii="Arial" w:eastAsia="Arial" w:hAnsi="Arial" w:cs="Arial"/>
                                  <w:sz w:val="18"/>
                                </w:rPr>
                                <w:t xml:space="preserve">del ricorso e ne viene data comunicazione alle parti almeno dieci giorni liberi </w:t>
                              </w:r>
                            </w:p>
                          </w:txbxContent>
                        </wps:txbx>
                        <wps:bodyPr horzOverflow="overflow" vert="horz" lIns="0" tIns="0" rIns="0" bIns="0" rtlCol="0">
                          <a:noAutofit/>
                        </wps:bodyPr>
                      </wps:wsp>
                      <wps:wsp>
                        <wps:cNvPr id="14090" name="Rectangle 14090"/>
                        <wps:cNvSpPr/>
                        <wps:spPr>
                          <a:xfrm rot="-10799999">
                            <a:off x="1999353" y="5871019"/>
                            <a:ext cx="1992590" cy="142889"/>
                          </a:xfrm>
                          <a:prstGeom prst="rect">
                            <a:avLst/>
                          </a:prstGeom>
                          <a:ln>
                            <a:noFill/>
                          </a:ln>
                        </wps:spPr>
                        <wps:txbx>
                          <w:txbxContent>
                            <w:p w14:paraId="04D6C1A4" w14:textId="77777777" w:rsidR="00B32EF2" w:rsidRDefault="00000000">
                              <w:r>
                                <w:rPr>
                                  <w:rFonts w:ascii="Arial" w:eastAsia="Arial" w:hAnsi="Arial" w:cs="Arial"/>
                                  <w:sz w:val="18"/>
                                </w:rPr>
                                <w:t>prima a cura della segreteria.</w:t>
                              </w:r>
                            </w:p>
                          </w:txbxContent>
                        </wps:txbx>
                        <wps:bodyPr horzOverflow="overflow" vert="horz" lIns="0" tIns="0" rIns="0" bIns="0" rtlCol="0">
                          <a:noAutofit/>
                        </wps:bodyPr>
                      </wps:wsp>
                      <wps:wsp>
                        <wps:cNvPr id="198516" name="Rectangle 198516"/>
                        <wps:cNvSpPr/>
                        <wps:spPr>
                          <a:xfrm rot="-10799999">
                            <a:off x="2611116" y="5746546"/>
                            <a:ext cx="5309020" cy="142889"/>
                          </a:xfrm>
                          <a:prstGeom prst="rect">
                            <a:avLst/>
                          </a:prstGeom>
                          <a:ln>
                            <a:noFill/>
                          </a:ln>
                        </wps:spPr>
                        <wps:txbx>
                          <w:txbxContent>
                            <w:p w14:paraId="5AA28336"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198519" name="Rectangle 198519"/>
                        <wps:cNvSpPr/>
                        <wps:spPr>
                          <a:xfrm rot="-10799999">
                            <a:off x="-1369645" y="5746546"/>
                            <a:ext cx="5309021" cy="142889"/>
                          </a:xfrm>
                          <a:prstGeom prst="rect">
                            <a:avLst/>
                          </a:prstGeom>
                          <a:ln>
                            <a:noFill/>
                          </a:ln>
                        </wps:spPr>
                        <wps:txbx>
                          <w:txbxContent>
                            <w:p w14:paraId="6F6DDB0F" w14:textId="77777777" w:rsidR="00B32EF2" w:rsidRDefault="00000000">
                              <w:r>
                                <w:rPr>
                                  <w:rFonts w:ascii="Arial" w:eastAsia="Arial" w:hAnsi="Arial" w:cs="Arial"/>
                                  <w:sz w:val="18"/>
                                </w:rPr>
                                <w:t xml:space="preserve">. La corte di giustizia tributaria, sentite le parti in contraddittorio ed acquisita </w:t>
                              </w:r>
                            </w:p>
                          </w:txbxContent>
                        </wps:txbx>
                        <wps:bodyPr horzOverflow="overflow" vert="horz" lIns="0" tIns="0" rIns="0" bIns="0" rtlCol="0">
                          <a:noAutofit/>
                        </wps:bodyPr>
                      </wps:wsp>
                      <wps:wsp>
                        <wps:cNvPr id="14092" name="Rectangle 14092"/>
                        <wps:cNvSpPr/>
                        <wps:spPr>
                          <a:xfrm rot="-10799999">
                            <a:off x="-1223495" y="5622073"/>
                            <a:ext cx="5215438" cy="142889"/>
                          </a:xfrm>
                          <a:prstGeom prst="rect">
                            <a:avLst/>
                          </a:prstGeom>
                          <a:ln>
                            <a:noFill/>
                          </a:ln>
                        </wps:spPr>
                        <wps:txbx>
                          <w:txbxContent>
                            <w:p w14:paraId="306F890A" w14:textId="77777777" w:rsidR="00B32EF2" w:rsidRDefault="00000000">
                              <w:r>
                                <w:rPr>
                                  <w:rFonts w:ascii="Arial" w:eastAsia="Arial" w:hAnsi="Arial" w:cs="Arial"/>
                                  <w:sz w:val="18"/>
                                </w:rPr>
                                <w:t>la documentazione necessaria, adotta con sentenza i provvedimenti indispen</w:t>
                              </w:r>
                            </w:p>
                          </w:txbxContent>
                        </wps:txbx>
                        <wps:bodyPr horzOverflow="overflow" vert="horz" lIns="0" tIns="0" rIns="0" bIns="0" rtlCol="0">
                          <a:noAutofit/>
                        </wps:bodyPr>
                      </wps:wsp>
                      <wps:wsp>
                        <wps:cNvPr id="14093" name="Rectangle 14093"/>
                        <wps:cNvSpPr/>
                        <wps:spPr>
                          <a:xfrm rot="-10799999">
                            <a:off x="19344" y="5622073"/>
                            <a:ext cx="50622" cy="142889"/>
                          </a:xfrm>
                          <a:prstGeom prst="rect">
                            <a:avLst/>
                          </a:prstGeom>
                          <a:ln>
                            <a:noFill/>
                          </a:ln>
                        </wps:spPr>
                        <wps:txbx>
                          <w:txbxContent>
                            <w:p w14:paraId="24DE952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094" name="Rectangle 14094"/>
                        <wps:cNvSpPr/>
                        <wps:spPr>
                          <a:xfrm rot="-10799999">
                            <a:off x="-1223151" y="5497601"/>
                            <a:ext cx="5212808" cy="142889"/>
                          </a:xfrm>
                          <a:prstGeom prst="rect">
                            <a:avLst/>
                          </a:prstGeom>
                          <a:ln>
                            <a:noFill/>
                          </a:ln>
                        </wps:spPr>
                        <wps:txbx>
                          <w:txbxContent>
                            <w:p w14:paraId="4AC5A0C6" w14:textId="77777777" w:rsidR="00B32EF2" w:rsidRDefault="00000000">
                              <w:r>
                                <w:rPr>
                                  <w:rFonts w:ascii="Arial" w:eastAsia="Arial" w:hAnsi="Arial" w:cs="Arial"/>
                                  <w:sz w:val="18"/>
                                </w:rPr>
                                <w:t>sabili per l’ottemperanza in luogo dell’ufficio che li ha omessi e nelle forme ammi</w:t>
                              </w:r>
                            </w:p>
                          </w:txbxContent>
                        </wps:txbx>
                        <wps:bodyPr horzOverflow="overflow" vert="horz" lIns="0" tIns="0" rIns="0" bIns="0" rtlCol="0">
                          <a:noAutofit/>
                        </wps:bodyPr>
                      </wps:wsp>
                      <wps:wsp>
                        <wps:cNvPr id="14095" name="Rectangle 14095"/>
                        <wps:cNvSpPr/>
                        <wps:spPr>
                          <a:xfrm rot="-10799999">
                            <a:off x="19344" y="5497601"/>
                            <a:ext cx="50622" cy="142889"/>
                          </a:xfrm>
                          <a:prstGeom prst="rect">
                            <a:avLst/>
                          </a:prstGeom>
                          <a:ln>
                            <a:noFill/>
                          </a:ln>
                        </wps:spPr>
                        <wps:txbx>
                          <w:txbxContent>
                            <w:p w14:paraId="46B65BF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096" name="Rectangle 14096"/>
                        <wps:cNvSpPr/>
                        <wps:spPr>
                          <a:xfrm rot="-10799999">
                            <a:off x="-1223060" y="5373128"/>
                            <a:ext cx="5212717" cy="142889"/>
                          </a:xfrm>
                          <a:prstGeom prst="rect">
                            <a:avLst/>
                          </a:prstGeom>
                          <a:ln>
                            <a:noFill/>
                          </a:ln>
                        </wps:spPr>
                        <wps:txbx>
                          <w:txbxContent>
                            <w:p w14:paraId="5BEC23B6" w14:textId="77777777" w:rsidR="00B32EF2" w:rsidRDefault="00000000">
                              <w:r>
                                <w:rPr>
                                  <w:rFonts w:ascii="Arial" w:eastAsia="Arial" w:hAnsi="Arial" w:cs="Arial"/>
                                  <w:sz w:val="18"/>
                                </w:rPr>
                                <w:t>nistrative per essi prescritti dalla legge, attenendosi agli obblighi risultanti espres</w:t>
                              </w:r>
                            </w:p>
                          </w:txbxContent>
                        </wps:txbx>
                        <wps:bodyPr horzOverflow="overflow" vert="horz" lIns="0" tIns="0" rIns="0" bIns="0" rtlCol="0">
                          <a:noAutofit/>
                        </wps:bodyPr>
                      </wps:wsp>
                      <wps:wsp>
                        <wps:cNvPr id="14097" name="Rectangle 14097"/>
                        <wps:cNvSpPr/>
                        <wps:spPr>
                          <a:xfrm rot="-10799999">
                            <a:off x="19344" y="5373128"/>
                            <a:ext cx="50622" cy="142889"/>
                          </a:xfrm>
                          <a:prstGeom prst="rect">
                            <a:avLst/>
                          </a:prstGeom>
                          <a:ln>
                            <a:noFill/>
                          </a:ln>
                        </wps:spPr>
                        <wps:txbx>
                          <w:txbxContent>
                            <w:p w14:paraId="0C1BEC8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098" name="Rectangle 14098"/>
                        <wps:cNvSpPr/>
                        <wps:spPr>
                          <a:xfrm rot="-10799999">
                            <a:off x="-1316096" y="5248656"/>
                            <a:ext cx="5305753" cy="142889"/>
                          </a:xfrm>
                          <a:prstGeom prst="rect">
                            <a:avLst/>
                          </a:prstGeom>
                          <a:ln>
                            <a:noFill/>
                          </a:ln>
                        </wps:spPr>
                        <wps:txbx>
                          <w:txbxContent>
                            <w:p w14:paraId="634FBD42" w14:textId="77777777" w:rsidR="00B32EF2" w:rsidRDefault="00000000">
                              <w:r>
                                <w:rPr>
                                  <w:rFonts w:ascii="Arial" w:eastAsia="Arial" w:hAnsi="Arial" w:cs="Arial"/>
                                  <w:sz w:val="18"/>
                                </w:rPr>
                                <w:t xml:space="preserve">samente dal dispositivo della sentenza e tenuto conto della relativa motivazione. </w:t>
                              </w:r>
                            </w:p>
                          </w:txbxContent>
                        </wps:txbx>
                        <wps:bodyPr horzOverflow="overflow" vert="horz" lIns="0" tIns="0" rIns="0" bIns="0" rtlCol="0">
                          <a:noAutofit/>
                        </wps:bodyPr>
                      </wps:wsp>
                      <wps:wsp>
                        <wps:cNvPr id="14099" name="Rectangle 14099"/>
                        <wps:cNvSpPr/>
                        <wps:spPr>
                          <a:xfrm rot="-10799999">
                            <a:off x="-1316217" y="5124182"/>
                            <a:ext cx="5305873" cy="142889"/>
                          </a:xfrm>
                          <a:prstGeom prst="rect">
                            <a:avLst/>
                          </a:prstGeom>
                          <a:ln>
                            <a:noFill/>
                          </a:ln>
                        </wps:spPr>
                        <wps:txbx>
                          <w:txbxContent>
                            <w:p w14:paraId="32051F08" w14:textId="77777777" w:rsidR="00B32EF2" w:rsidRDefault="00000000">
                              <w:r>
                                <w:rPr>
                                  <w:rFonts w:ascii="Arial" w:eastAsia="Arial" w:hAnsi="Arial" w:cs="Arial"/>
                                  <w:sz w:val="18"/>
                                </w:rPr>
                                <w:t xml:space="preserve">La corte, se lo ritiene opportuno, può delegare un proprio componente o nominare </w:t>
                              </w:r>
                            </w:p>
                          </w:txbxContent>
                        </wps:txbx>
                        <wps:bodyPr horzOverflow="overflow" vert="horz" lIns="0" tIns="0" rIns="0" bIns="0" rtlCol="0">
                          <a:noAutofit/>
                        </wps:bodyPr>
                      </wps:wsp>
                      <wps:wsp>
                        <wps:cNvPr id="14100" name="Rectangle 14100"/>
                        <wps:cNvSpPr/>
                        <wps:spPr>
                          <a:xfrm rot="-10799999">
                            <a:off x="-1316202" y="4999711"/>
                            <a:ext cx="5305859" cy="142889"/>
                          </a:xfrm>
                          <a:prstGeom prst="rect">
                            <a:avLst/>
                          </a:prstGeom>
                          <a:ln>
                            <a:noFill/>
                          </a:ln>
                        </wps:spPr>
                        <wps:txbx>
                          <w:txbxContent>
                            <w:p w14:paraId="33E004F7" w14:textId="77777777" w:rsidR="00B32EF2" w:rsidRDefault="00000000">
                              <w:r>
                                <w:rPr>
                                  <w:rFonts w:ascii="Arial" w:eastAsia="Arial" w:hAnsi="Arial" w:cs="Arial"/>
                                  <w:sz w:val="18"/>
                                </w:rPr>
                                <w:t xml:space="preserve">un commissario al quale fissa un termine congruo per i necessari provvedimenti </w:t>
                              </w:r>
                            </w:p>
                          </w:txbxContent>
                        </wps:txbx>
                        <wps:bodyPr horzOverflow="overflow" vert="horz" lIns="0" tIns="0" rIns="0" bIns="0" rtlCol="0">
                          <a:noAutofit/>
                        </wps:bodyPr>
                      </wps:wsp>
                      <wps:wsp>
                        <wps:cNvPr id="14101" name="Rectangle 14101"/>
                        <wps:cNvSpPr/>
                        <wps:spPr>
                          <a:xfrm rot="-10799999">
                            <a:off x="-1316126" y="4875237"/>
                            <a:ext cx="5305783" cy="142889"/>
                          </a:xfrm>
                          <a:prstGeom prst="rect">
                            <a:avLst/>
                          </a:prstGeom>
                          <a:ln>
                            <a:noFill/>
                          </a:ln>
                        </wps:spPr>
                        <wps:txbx>
                          <w:txbxContent>
                            <w:p w14:paraId="7B66D0E8" w14:textId="77777777" w:rsidR="00B32EF2" w:rsidRDefault="00000000">
                              <w:r>
                                <w:rPr>
                                  <w:rFonts w:ascii="Arial" w:eastAsia="Arial" w:hAnsi="Arial" w:cs="Arial"/>
                                  <w:sz w:val="18"/>
                                </w:rPr>
                                <w:t xml:space="preserve">attuativi e determina il compenso a lui spettante secondo le disposizioni del Titolo </w:t>
                              </w:r>
                            </w:p>
                          </w:txbxContent>
                        </wps:txbx>
                        <wps:bodyPr horzOverflow="overflow" vert="horz" lIns="0" tIns="0" rIns="0" bIns="0" rtlCol="0">
                          <a:noAutofit/>
                        </wps:bodyPr>
                      </wps:wsp>
                      <wps:wsp>
                        <wps:cNvPr id="14102" name="Rectangle 14102"/>
                        <wps:cNvSpPr/>
                        <wps:spPr>
                          <a:xfrm rot="-10799999">
                            <a:off x="-1222983" y="4750765"/>
                            <a:ext cx="5212641" cy="142889"/>
                          </a:xfrm>
                          <a:prstGeom prst="rect">
                            <a:avLst/>
                          </a:prstGeom>
                          <a:ln>
                            <a:noFill/>
                          </a:ln>
                        </wps:spPr>
                        <wps:txbx>
                          <w:txbxContent>
                            <w:p w14:paraId="0F70387D" w14:textId="77777777" w:rsidR="00B32EF2" w:rsidRDefault="00000000">
                              <w:r>
                                <w:rPr>
                                  <w:rFonts w:ascii="Arial" w:eastAsia="Arial" w:hAnsi="Arial" w:cs="Arial"/>
                                  <w:sz w:val="18"/>
                                </w:rPr>
                                <w:t>VII del Capo IV del Testo unico delle disposizioni legislative e regolamentari in ma</w:t>
                              </w:r>
                            </w:p>
                          </w:txbxContent>
                        </wps:txbx>
                        <wps:bodyPr horzOverflow="overflow" vert="horz" lIns="0" tIns="0" rIns="0" bIns="0" rtlCol="0">
                          <a:noAutofit/>
                        </wps:bodyPr>
                      </wps:wsp>
                      <wps:wsp>
                        <wps:cNvPr id="14103" name="Rectangle 14103"/>
                        <wps:cNvSpPr/>
                        <wps:spPr>
                          <a:xfrm rot="-10799999">
                            <a:off x="19344" y="4750765"/>
                            <a:ext cx="50622" cy="142889"/>
                          </a:xfrm>
                          <a:prstGeom prst="rect">
                            <a:avLst/>
                          </a:prstGeom>
                          <a:ln>
                            <a:noFill/>
                          </a:ln>
                        </wps:spPr>
                        <wps:txbx>
                          <w:txbxContent>
                            <w:p w14:paraId="5F78EE9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104" name="Rectangle 14104"/>
                        <wps:cNvSpPr/>
                        <wps:spPr>
                          <a:xfrm rot="-10799999">
                            <a:off x="-1316111" y="4626292"/>
                            <a:ext cx="5305767" cy="142889"/>
                          </a:xfrm>
                          <a:prstGeom prst="rect">
                            <a:avLst/>
                          </a:prstGeom>
                          <a:ln>
                            <a:noFill/>
                          </a:ln>
                        </wps:spPr>
                        <wps:txbx>
                          <w:txbxContent>
                            <w:p w14:paraId="2B85159C" w14:textId="77777777" w:rsidR="00B32EF2" w:rsidRDefault="00000000">
                              <w:r>
                                <w:rPr>
                                  <w:rFonts w:ascii="Arial" w:eastAsia="Arial" w:hAnsi="Arial" w:cs="Arial"/>
                                  <w:sz w:val="18"/>
                                </w:rPr>
                                <w:t xml:space="preserve">teria di spese di giustizia approvato con decreto del Presidente della Repubblica </w:t>
                              </w:r>
                            </w:p>
                          </w:txbxContent>
                        </wps:txbx>
                        <wps:bodyPr horzOverflow="overflow" vert="horz" lIns="0" tIns="0" rIns="0" bIns="0" rtlCol="0">
                          <a:noAutofit/>
                        </wps:bodyPr>
                      </wps:wsp>
                      <wps:wsp>
                        <wps:cNvPr id="198512" name="Rectangle 198512"/>
                        <wps:cNvSpPr/>
                        <wps:spPr>
                          <a:xfrm rot="-10799999">
                            <a:off x="3475152" y="4501820"/>
                            <a:ext cx="1569824" cy="142889"/>
                          </a:xfrm>
                          <a:prstGeom prst="rect">
                            <a:avLst/>
                          </a:prstGeom>
                          <a:ln>
                            <a:noFill/>
                          </a:ln>
                        </wps:spPr>
                        <wps:txbx>
                          <w:txbxContent>
                            <w:p w14:paraId="6F489DBC" w14:textId="77777777" w:rsidR="00B32EF2" w:rsidRDefault="00000000">
                              <w:r>
                                <w:rPr>
                                  <w:rFonts w:ascii="Arial" w:eastAsia="Arial" w:hAnsi="Arial" w:cs="Arial"/>
                                  <w:sz w:val="18"/>
                                </w:rPr>
                                <w:t>30</w:t>
                              </w:r>
                            </w:p>
                          </w:txbxContent>
                        </wps:txbx>
                        <wps:bodyPr horzOverflow="overflow" vert="horz" lIns="0" tIns="0" rIns="0" bIns="0" rtlCol="0">
                          <a:noAutofit/>
                        </wps:bodyPr>
                      </wps:wsp>
                      <wps:wsp>
                        <wps:cNvPr id="198513" name="Rectangle 198513"/>
                        <wps:cNvSpPr/>
                        <wps:spPr>
                          <a:xfrm rot="-10799999">
                            <a:off x="1440647" y="4501820"/>
                            <a:ext cx="1569824" cy="142889"/>
                          </a:xfrm>
                          <a:prstGeom prst="rect">
                            <a:avLst/>
                          </a:prstGeom>
                          <a:ln>
                            <a:noFill/>
                          </a:ln>
                        </wps:spPr>
                        <wps:txbx>
                          <w:txbxContent>
                            <w:p w14:paraId="3019D442" w14:textId="77777777" w:rsidR="00B32EF2" w:rsidRDefault="00000000">
                              <w:r>
                                <w:rPr>
                                  <w:rFonts w:ascii="Arial" w:eastAsia="Arial" w:hAnsi="Arial" w:cs="Arial"/>
                                  <w:sz w:val="18"/>
                                </w:rPr>
                                <w:t>115.</w:t>
                              </w:r>
                            </w:p>
                          </w:txbxContent>
                        </wps:txbx>
                        <wps:bodyPr horzOverflow="overflow" vert="horz" lIns="0" tIns="0" rIns="0" bIns="0" rtlCol="0">
                          <a:noAutofit/>
                        </wps:bodyPr>
                      </wps:wsp>
                      <wps:wsp>
                        <wps:cNvPr id="198514" name="Rectangle 198514"/>
                        <wps:cNvSpPr/>
                        <wps:spPr>
                          <a:xfrm rot="-10799999">
                            <a:off x="2495967" y="4501820"/>
                            <a:ext cx="1569824" cy="142889"/>
                          </a:xfrm>
                          <a:prstGeom prst="rect">
                            <a:avLst/>
                          </a:prstGeom>
                          <a:ln>
                            <a:noFill/>
                          </a:ln>
                        </wps:spPr>
                        <wps:txbx>
                          <w:txbxContent>
                            <w:p w14:paraId="50F28702" w14:textId="77777777" w:rsidR="00B32EF2" w:rsidRDefault="00000000">
                              <w:r>
                                <w:rPr>
                                  <w:rFonts w:ascii="Arial" w:eastAsia="Arial" w:hAnsi="Arial" w:cs="Arial"/>
                                  <w:sz w:val="18"/>
                                </w:rPr>
                                <w:t xml:space="preserve"> maggio 2002, n. </w:t>
                              </w:r>
                            </w:p>
                          </w:txbxContent>
                        </wps:txbx>
                        <wps:bodyPr horzOverflow="overflow" vert="horz" lIns="0" tIns="0" rIns="0" bIns="0" rtlCol="0">
                          <a:noAutofit/>
                        </wps:bodyPr>
                      </wps:wsp>
                      <wps:wsp>
                        <wps:cNvPr id="198510" name="Rectangle 198510"/>
                        <wps:cNvSpPr/>
                        <wps:spPr>
                          <a:xfrm rot="-10799999">
                            <a:off x="2611908" y="4377347"/>
                            <a:ext cx="5305829" cy="142889"/>
                          </a:xfrm>
                          <a:prstGeom prst="rect">
                            <a:avLst/>
                          </a:prstGeom>
                          <a:ln>
                            <a:noFill/>
                          </a:ln>
                        </wps:spPr>
                        <wps:txbx>
                          <w:txbxContent>
                            <w:p w14:paraId="37064076" w14:textId="77777777" w:rsidR="00B32EF2" w:rsidRDefault="00000000">
                              <w:r>
                                <w:rPr>
                                  <w:rFonts w:ascii="Arial" w:eastAsia="Arial" w:hAnsi="Arial" w:cs="Arial"/>
                                  <w:sz w:val="18"/>
                                </w:rPr>
                                <w:t>8</w:t>
                              </w:r>
                            </w:p>
                          </w:txbxContent>
                        </wps:txbx>
                        <wps:bodyPr horzOverflow="overflow" vert="horz" lIns="0" tIns="0" rIns="0" bIns="0" rtlCol="0">
                          <a:noAutofit/>
                        </wps:bodyPr>
                      </wps:wsp>
                      <wps:wsp>
                        <wps:cNvPr id="198511" name="Rectangle 198511"/>
                        <wps:cNvSpPr/>
                        <wps:spPr>
                          <a:xfrm rot="-10799999">
                            <a:off x="-1378739" y="4377347"/>
                            <a:ext cx="5305829" cy="142889"/>
                          </a:xfrm>
                          <a:prstGeom prst="rect">
                            <a:avLst/>
                          </a:prstGeom>
                          <a:ln>
                            <a:noFill/>
                          </a:ln>
                        </wps:spPr>
                        <wps:txbx>
                          <w:txbxContent>
                            <w:p w14:paraId="0DFF5749" w14:textId="77777777" w:rsidR="00B32EF2" w:rsidRDefault="00000000">
                              <w:r>
                                <w:rPr>
                                  <w:rFonts w:ascii="Arial" w:eastAsia="Arial" w:hAnsi="Arial" w:cs="Arial"/>
                                  <w:sz w:val="18"/>
                                </w:rPr>
                                <w:t xml:space="preserve">. La corte di giustizia tributaria eseguiti i provvedimenti di cui al comma 7 e preso </w:t>
                              </w:r>
                            </w:p>
                          </w:txbxContent>
                        </wps:txbx>
                        <wps:bodyPr horzOverflow="overflow" vert="horz" lIns="0" tIns="0" rIns="0" bIns="0" rtlCol="0">
                          <a:noAutofit/>
                        </wps:bodyPr>
                      </wps:wsp>
                      <wps:wsp>
                        <wps:cNvPr id="14107" name="Rectangle 14107"/>
                        <wps:cNvSpPr/>
                        <wps:spPr>
                          <a:xfrm rot="-10799999">
                            <a:off x="-1316111" y="4252875"/>
                            <a:ext cx="5305767" cy="142889"/>
                          </a:xfrm>
                          <a:prstGeom prst="rect">
                            <a:avLst/>
                          </a:prstGeom>
                          <a:ln>
                            <a:noFill/>
                          </a:ln>
                        </wps:spPr>
                        <wps:txbx>
                          <w:txbxContent>
                            <w:p w14:paraId="6140F0D2" w14:textId="77777777" w:rsidR="00B32EF2" w:rsidRDefault="00000000">
                              <w:r>
                                <w:rPr>
                                  <w:rFonts w:ascii="Arial" w:eastAsia="Arial" w:hAnsi="Arial" w:cs="Arial"/>
                                  <w:sz w:val="18"/>
                                </w:rPr>
                                <w:t xml:space="preserve">atto di quelli emanati ed eseguiti dal componente delegato o dal commissario </w:t>
                              </w:r>
                            </w:p>
                          </w:txbxContent>
                        </wps:txbx>
                        <wps:bodyPr horzOverflow="overflow" vert="horz" lIns="0" tIns="0" rIns="0" bIns="0" rtlCol="0">
                          <a:noAutofit/>
                        </wps:bodyPr>
                      </wps:wsp>
                      <wps:wsp>
                        <wps:cNvPr id="14108" name="Rectangle 14108"/>
                        <wps:cNvSpPr/>
                        <wps:spPr>
                          <a:xfrm rot="-10799999">
                            <a:off x="279267" y="4128401"/>
                            <a:ext cx="3710389" cy="142889"/>
                          </a:xfrm>
                          <a:prstGeom prst="rect">
                            <a:avLst/>
                          </a:prstGeom>
                          <a:ln>
                            <a:noFill/>
                          </a:ln>
                        </wps:spPr>
                        <wps:txbx>
                          <w:txbxContent>
                            <w:p w14:paraId="6E5E1CCF" w14:textId="77777777" w:rsidR="00B32EF2" w:rsidRDefault="00000000">
                              <w:r>
                                <w:rPr>
                                  <w:rFonts w:ascii="Arial" w:eastAsia="Arial" w:hAnsi="Arial" w:cs="Arial"/>
                                  <w:sz w:val="18"/>
                                </w:rPr>
                                <w:t>nominato, dichiara chiuso il procedimento con ordinanza.</w:t>
                              </w:r>
                            </w:p>
                          </w:txbxContent>
                        </wps:txbx>
                        <wps:bodyPr horzOverflow="overflow" vert="horz" lIns="0" tIns="0" rIns="0" bIns="0" rtlCol="0">
                          <a:noAutofit/>
                        </wps:bodyPr>
                      </wps:wsp>
                      <wps:wsp>
                        <wps:cNvPr id="198508" name="Rectangle 198508"/>
                        <wps:cNvSpPr/>
                        <wps:spPr>
                          <a:xfrm rot="-10799999">
                            <a:off x="2622371" y="4003929"/>
                            <a:ext cx="5263658" cy="142889"/>
                          </a:xfrm>
                          <a:prstGeom prst="rect">
                            <a:avLst/>
                          </a:prstGeom>
                          <a:ln>
                            <a:noFill/>
                          </a:ln>
                        </wps:spPr>
                        <wps:txbx>
                          <w:txbxContent>
                            <w:p w14:paraId="07B321D3" w14:textId="77777777" w:rsidR="00B32EF2" w:rsidRDefault="00000000">
                              <w:r>
                                <w:rPr>
                                  <w:rFonts w:ascii="Arial" w:eastAsia="Arial" w:hAnsi="Arial" w:cs="Arial"/>
                                  <w:sz w:val="18"/>
                                </w:rPr>
                                <w:t>9</w:t>
                              </w:r>
                            </w:p>
                          </w:txbxContent>
                        </wps:txbx>
                        <wps:bodyPr horzOverflow="overflow" vert="horz" lIns="0" tIns="0" rIns="0" bIns="0" rtlCol="0">
                          <a:noAutofit/>
                        </wps:bodyPr>
                      </wps:wsp>
                      <wps:wsp>
                        <wps:cNvPr id="198509" name="Rectangle 198509"/>
                        <wps:cNvSpPr/>
                        <wps:spPr>
                          <a:xfrm rot="-10799999">
                            <a:off x="-1334855" y="4003929"/>
                            <a:ext cx="5263658" cy="142889"/>
                          </a:xfrm>
                          <a:prstGeom prst="rect">
                            <a:avLst/>
                          </a:prstGeom>
                          <a:ln>
                            <a:noFill/>
                          </a:ln>
                        </wps:spPr>
                        <wps:txbx>
                          <w:txbxContent>
                            <w:p w14:paraId="7B3675AE" w14:textId="77777777" w:rsidR="00B32EF2" w:rsidRDefault="00000000">
                              <w:r>
                                <w:rPr>
                                  <w:rFonts w:ascii="Arial" w:eastAsia="Arial" w:hAnsi="Arial" w:cs="Arial"/>
                                  <w:sz w:val="18"/>
                                </w:rPr>
                                <w:t>. Tutti i provvedimenti di cui al presente articolo sono immediatamente esecutivi.</w:t>
                              </w:r>
                            </w:p>
                          </w:txbxContent>
                        </wps:txbx>
                        <wps:bodyPr horzOverflow="overflow" vert="horz" lIns="0" tIns="0" rIns="0" bIns="0" rtlCol="0">
                          <a:noAutofit/>
                        </wps:bodyPr>
                      </wps:wsp>
                      <wps:wsp>
                        <wps:cNvPr id="198504" name="Rectangle 198504"/>
                        <wps:cNvSpPr/>
                        <wps:spPr>
                          <a:xfrm rot="-10799999">
                            <a:off x="2574142" y="3879456"/>
                            <a:ext cx="5212777" cy="142889"/>
                          </a:xfrm>
                          <a:prstGeom prst="rect">
                            <a:avLst/>
                          </a:prstGeom>
                          <a:ln>
                            <a:noFill/>
                          </a:ln>
                        </wps:spPr>
                        <wps:txbx>
                          <w:txbxContent>
                            <w:p w14:paraId="7FF352E4" w14:textId="77777777" w:rsidR="00B32EF2" w:rsidRDefault="00000000">
                              <w:r>
                                <w:rPr>
                                  <w:rFonts w:ascii="Arial" w:eastAsia="Arial" w:hAnsi="Arial" w:cs="Arial"/>
                                  <w:sz w:val="18"/>
                                </w:rPr>
                                <w:t>10</w:t>
                              </w:r>
                            </w:p>
                          </w:txbxContent>
                        </wps:txbx>
                        <wps:bodyPr horzOverflow="overflow" vert="horz" lIns="0" tIns="0" rIns="0" bIns="0" rtlCol="0">
                          <a:noAutofit/>
                        </wps:bodyPr>
                      </wps:wsp>
                      <wps:wsp>
                        <wps:cNvPr id="198507" name="Rectangle 198507"/>
                        <wps:cNvSpPr/>
                        <wps:spPr>
                          <a:xfrm rot="-10799999">
                            <a:off x="-1345170" y="3879456"/>
                            <a:ext cx="5212777" cy="142889"/>
                          </a:xfrm>
                          <a:prstGeom prst="rect">
                            <a:avLst/>
                          </a:prstGeom>
                          <a:ln>
                            <a:noFill/>
                          </a:ln>
                        </wps:spPr>
                        <wps:txbx>
                          <w:txbxContent>
                            <w:p w14:paraId="44E2B1BD" w14:textId="77777777" w:rsidR="00B32EF2" w:rsidRDefault="00000000">
                              <w:r>
                                <w:rPr>
                                  <w:rFonts w:ascii="Arial" w:eastAsia="Arial" w:hAnsi="Arial" w:cs="Arial"/>
                                  <w:sz w:val="18"/>
                                </w:rPr>
                                <w:t>. Contro la sentenza di cui al comma 7 è ammesso soltanto ricorso in cas</w:t>
                              </w:r>
                            </w:p>
                          </w:txbxContent>
                        </wps:txbx>
                        <wps:bodyPr horzOverflow="overflow" vert="horz" lIns="0" tIns="0" rIns="0" bIns="0" rtlCol="0">
                          <a:noAutofit/>
                        </wps:bodyPr>
                      </wps:wsp>
                      <wps:wsp>
                        <wps:cNvPr id="14111" name="Rectangle 14111"/>
                        <wps:cNvSpPr/>
                        <wps:spPr>
                          <a:xfrm rot="-10799999">
                            <a:off x="19344" y="3879456"/>
                            <a:ext cx="50622" cy="142889"/>
                          </a:xfrm>
                          <a:prstGeom prst="rect">
                            <a:avLst/>
                          </a:prstGeom>
                          <a:ln>
                            <a:noFill/>
                          </a:ln>
                        </wps:spPr>
                        <wps:txbx>
                          <w:txbxContent>
                            <w:p w14:paraId="1521EDE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112" name="Rectangle 14112"/>
                        <wps:cNvSpPr/>
                        <wps:spPr>
                          <a:xfrm rot="-10799999">
                            <a:off x="137834" y="3754984"/>
                            <a:ext cx="3854108" cy="142889"/>
                          </a:xfrm>
                          <a:prstGeom prst="rect">
                            <a:avLst/>
                          </a:prstGeom>
                          <a:ln>
                            <a:noFill/>
                          </a:ln>
                        </wps:spPr>
                        <wps:txbx>
                          <w:txbxContent>
                            <w:p w14:paraId="5298C45F" w14:textId="77777777" w:rsidR="00B32EF2" w:rsidRDefault="00000000">
                              <w:r>
                                <w:rPr>
                                  <w:rFonts w:ascii="Arial" w:eastAsia="Arial" w:hAnsi="Arial" w:cs="Arial"/>
                                  <w:sz w:val="18"/>
                                </w:rPr>
                                <w:t>sazione per inosservanza delle norme sul procedimento.</w:t>
                              </w:r>
                            </w:p>
                          </w:txbxContent>
                        </wps:txbx>
                        <wps:bodyPr horzOverflow="overflow" vert="horz" lIns="0" tIns="0" rIns="0" bIns="0" rtlCol="0">
                          <a:noAutofit/>
                        </wps:bodyPr>
                      </wps:wsp>
                      <wps:wsp>
                        <wps:cNvPr id="198498" name="Rectangle 198498"/>
                        <wps:cNvSpPr/>
                        <wps:spPr>
                          <a:xfrm rot="-10799999">
                            <a:off x="2556801" y="3630511"/>
                            <a:ext cx="5308974" cy="142889"/>
                          </a:xfrm>
                          <a:prstGeom prst="rect">
                            <a:avLst/>
                          </a:prstGeom>
                          <a:ln>
                            <a:noFill/>
                          </a:ln>
                        </wps:spPr>
                        <wps:txbx>
                          <w:txbxContent>
                            <w:p w14:paraId="58CF8560" w14:textId="77777777" w:rsidR="00B32EF2" w:rsidRDefault="00000000">
                              <w:r>
                                <w:rPr>
                                  <w:rFonts w:ascii="Arial" w:eastAsia="Arial" w:hAnsi="Arial" w:cs="Arial"/>
                                  <w:sz w:val="18"/>
                                </w:rPr>
                                <w:t>11</w:t>
                              </w:r>
                            </w:p>
                          </w:txbxContent>
                        </wps:txbx>
                        <wps:bodyPr horzOverflow="overflow" vert="horz" lIns="0" tIns="0" rIns="0" bIns="0" rtlCol="0">
                          <a:noAutofit/>
                        </wps:bodyPr>
                      </wps:wsp>
                      <wps:wsp>
                        <wps:cNvPr id="198499" name="Rectangle 198499"/>
                        <wps:cNvSpPr/>
                        <wps:spPr>
                          <a:xfrm rot="-10799999">
                            <a:off x="-1430555" y="3630511"/>
                            <a:ext cx="5308975" cy="142889"/>
                          </a:xfrm>
                          <a:prstGeom prst="rect">
                            <a:avLst/>
                          </a:prstGeom>
                          <a:ln>
                            <a:noFill/>
                          </a:ln>
                        </wps:spPr>
                        <wps:txbx>
                          <w:txbxContent>
                            <w:p w14:paraId="2943A098" w14:textId="77777777" w:rsidR="00B32EF2" w:rsidRDefault="00000000">
                              <w:r>
                                <w:rPr>
                                  <w:rFonts w:ascii="Arial" w:eastAsia="Arial" w:hAnsi="Arial" w:cs="Arial"/>
                                  <w:sz w:val="18"/>
                                </w:rPr>
                                <w:t xml:space="preserve">. Per il pagamento di somme dell’importo fino a 20.000 euro e comunque </w:t>
                              </w:r>
                            </w:p>
                          </w:txbxContent>
                        </wps:txbx>
                        <wps:bodyPr horzOverflow="overflow" vert="horz" lIns="0" tIns="0" rIns="0" bIns="0" rtlCol="0">
                          <a:noAutofit/>
                        </wps:bodyPr>
                      </wps:wsp>
                      <wps:wsp>
                        <wps:cNvPr id="14114" name="Rectangle 14114"/>
                        <wps:cNvSpPr/>
                        <wps:spPr>
                          <a:xfrm rot="-10799999">
                            <a:off x="-1220227" y="3506039"/>
                            <a:ext cx="5212170" cy="142889"/>
                          </a:xfrm>
                          <a:prstGeom prst="rect">
                            <a:avLst/>
                          </a:prstGeom>
                          <a:ln>
                            <a:noFill/>
                          </a:ln>
                        </wps:spPr>
                        <wps:txbx>
                          <w:txbxContent>
                            <w:p w14:paraId="7325195F" w14:textId="77777777" w:rsidR="00B32EF2" w:rsidRDefault="00000000">
                              <w:r>
                                <w:rPr>
                                  <w:rFonts w:ascii="Arial" w:eastAsia="Arial" w:hAnsi="Arial" w:cs="Arial"/>
                                  <w:sz w:val="18"/>
                                </w:rPr>
                                <w:t>per il pagamento delle spese di giudizio, il ricorso è deciso dalla corte in com</w:t>
                              </w:r>
                            </w:p>
                          </w:txbxContent>
                        </wps:txbx>
                        <wps:bodyPr horzOverflow="overflow" vert="horz" lIns="0" tIns="0" rIns="0" bIns="0" rtlCol="0">
                          <a:noAutofit/>
                        </wps:bodyPr>
                      </wps:wsp>
                      <wps:wsp>
                        <wps:cNvPr id="14115" name="Rectangle 14115"/>
                        <wps:cNvSpPr/>
                        <wps:spPr>
                          <a:xfrm rot="-10799999">
                            <a:off x="19344" y="3506038"/>
                            <a:ext cx="50622" cy="142889"/>
                          </a:xfrm>
                          <a:prstGeom prst="rect">
                            <a:avLst/>
                          </a:prstGeom>
                          <a:ln>
                            <a:noFill/>
                          </a:ln>
                        </wps:spPr>
                        <wps:txbx>
                          <w:txbxContent>
                            <w:p w14:paraId="6DB6776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116" name="Rectangle 14116"/>
                        <wps:cNvSpPr/>
                        <wps:spPr>
                          <a:xfrm rot="-10799999">
                            <a:off x="2411365" y="3381565"/>
                            <a:ext cx="1581606" cy="142889"/>
                          </a:xfrm>
                          <a:prstGeom prst="rect">
                            <a:avLst/>
                          </a:prstGeom>
                          <a:ln>
                            <a:noFill/>
                          </a:ln>
                        </wps:spPr>
                        <wps:txbx>
                          <w:txbxContent>
                            <w:p w14:paraId="4A3AAAC2" w14:textId="77777777" w:rsidR="00B32EF2" w:rsidRDefault="00000000">
                              <w:r>
                                <w:rPr>
                                  <w:rFonts w:ascii="Arial" w:eastAsia="Arial" w:hAnsi="Arial" w:cs="Arial"/>
                                  <w:sz w:val="18"/>
                                </w:rPr>
                                <w:t>posizione monocratica.</w:t>
                              </w:r>
                            </w:p>
                          </w:txbxContent>
                        </wps:txbx>
                        <wps:bodyPr horzOverflow="overflow" vert="horz" lIns="0" tIns="0" rIns="0" bIns="0" rtlCol="0">
                          <a:noAutofit/>
                        </wps:bodyPr>
                      </wps:wsp>
                      <wps:wsp>
                        <wps:cNvPr id="14117" name="Rectangle 14117"/>
                        <wps:cNvSpPr/>
                        <wps:spPr>
                          <a:xfrm rot="-10799999">
                            <a:off x="3941320" y="3257094"/>
                            <a:ext cx="50622" cy="142889"/>
                          </a:xfrm>
                          <a:prstGeom prst="rect">
                            <a:avLst/>
                          </a:prstGeom>
                          <a:ln>
                            <a:noFill/>
                          </a:ln>
                        </wps:spPr>
                        <wps:txbx>
                          <w:txbxContent>
                            <w:p w14:paraId="2018492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8497" name="Rectangle 198497"/>
                        <wps:cNvSpPr/>
                        <wps:spPr>
                          <a:xfrm rot="-10799999">
                            <a:off x="-1379369" y="3267332"/>
                            <a:ext cx="5257844" cy="119075"/>
                          </a:xfrm>
                          <a:prstGeom prst="rect">
                            <a:avLst/>
                          </a:prstGeom>
                          <a:ln>
                            <a:noFill/>
                          </a:ln>
                        </wps:spPr>
                        <wps:txbx>
                          <w:txbxContent>
                            <w:p w14:paraId="57249E39" w14:textId="77777777" w:rsidR="00B32EF2" w:rsidRDefault="00000000">
                              <w:r>
                                <w:rPr>
                                  <w:rFonts w:ascii="Arial" w:eastAsia="Arial" w:hAnsi="Arial" w:cs="Arial"/>
                                  <w:sz w:val="15"/>
                                </w:rPr>
                                <w:t xml:space="preserve"> L’art 16 del D.lgs n. 81 del 12/06/2025 ha inserito al comma 2 del presente articolo le parole </w:t>
                              </w:r>
                            </w:p>
                          </w:txbxContent>
                        </wps:txbx>
                        <wps:bodyPr horzOverflow="overflow" vert="horz" lIns="0" tIns="0" rIns="0" bIns="0" rtlCol="0">
                          <a:noAutofit/>
                        </wps:bodyPr>
                      </wps:wsp>
                      <wps:wsp>
                        <wps:cNvPr id="198496" name="Rectangle 198496"/>
                        <wps:cNvSpPr/>
                        <wps:spPr>
                          <a:xfrm rot="-10799999">
                            <a:off x="2576096" y="3267332"/>
                            <a:ext cx="5257844" cy="119075"/>
                          </a:xfrm>
                          <a:prstGeom prst="rect">
                            <a:avLst/>
                          </a:prstGeom>
                          <a:ln>
                            <a:noFill/>
                          </a:ln>
                        </wps:spPr>
                        <wps:txbx>
                          <w:txbxContent>
                            <w:p w14:paraId="769DBD96" w14:textId="77777777" w:rsidR="00B32EF2" w:rsidRDefault="00000000">
                              <w:r>
                                <w:rPr>
                                  <w:rFonts w:ascii="Arial" w:eastAsia="Arial" w:hAnsi="Arial" w:cs="Arial"/>
                                  <w:sz w:val="15"/>
                                </w:rPr>
                                <w:t>1)</w:t>
                              </w:r>
                            </w:p>
                          </w:txbxContent>
                        </wps:txbx>
                        <wps:bodyPr horzOverflow="overflow" vert="horz" lIns="0" tIns="0" rIns="0" bIns="0" rtlCol="0">
                          <a:noAutofit/>
                        </wps:bodyPr>
                      </wps:wsp>
                      <wps:wsp>
                        <wps:cNvPr id="14119" name="Rectangle 14119"/>
                        <wps:cNvSpPr/>
                        <wps:spPr>
                          <a:xfrm rot="-10799999">
                            <a:off x="-1309517" y="3142840"/>
                            <a:ext cx="5300472" cy="119075"/>
                          </a:xfrm>
                          <a:prstGeom prst="rect">
                            <a:avLst/>
                          </a:prstGeom>
                          <a:ln>
                            <a:noFill/>
                          </a:ln>
                        </wps:spPr>
                        <wps:txbx>
                          <w:txbxContent>
                            <w:p w14:paraId="540D9AE5" w14:textId="77777777" w:rsidR="00B32EF2" w:rsidRDefault="00000000">
                              <w:r>
                                <w:rPr>
                                  <w:rFonts w:ascii="Arial" w:eastAsia="Arial" w:hAnsi="Arial" w:cs="Arial"/>
                                  <w:sz w:val="15"/>
                                </w:rPr>
                                <w:t xml:space="preserve">«ovvero a mezzo posta elettronica certificata ai sensi del codice dell’amministrazione digitale </w:t>
                              </w:r>
                            </w:p>
                          </w:txbxContent>
                        </wps:txbx>
                        <wps:bodyPr horzOverflow="overflow" vert="horz" lIns="0" tIns="0" rIns="0" bIns="0" rtlCol="0">
                          <a:noAutofit/>
                        </wps:bodyPr>
                      </wps:wsp>
                      <wps:wsp>
                        <wps:cNvPr id="14120" name="Rectangle 14120"/>
                        <wps:cNvSpPr/>
                        <wps:spPr>
                          <a:xfrm rot="-10799999">
                            <a:off x="1224170" y="3018348"/>
                            <a:ext cx="2766784" cy="119074"/>
                          </a:xfrm>
                          <a:prstGeom prst="rect">
                            <a:avLst/>
                          </a:prstGeom>
                          <a:ln>
                            <a:noFill/>
                          </a:ln>
                        </wps:spPr>
                        <wps:txbx>
                          <w:txbxContent>
                            <w:p w14:paraId="6E70855B" w14:textId="77777777" w:rsidR="00B32EF2" w:rsidRDefault="00000000">
                              <w:r>
                                <w:rPr>
                                  <w:rFonts w:ascii="Arial" w:eastAsia="Arial" w:hAnsi="Arial" w:cs="Arial"/>
                                  <w:sz w:val="15"/>
                                </w:rPr>
                                <w:t>di cui al decreto legislativo 7 marzo 2005, n. 82,».</w:t>
                              </w:r>
                            </w:p>
                          </w:txbxContent>
                        </wps:txbx>
                        <wps:bodyPr horzOverflow="overflow" vert="horz" lIns="0" tIns="0" rIns="0" bIns="0" rtlCol="0">
                          <a:noAutofit/>
                        </wps:bodyPr>
                      </wps:wsp>
                      <wps:wsp>
                        <wps:cNvPr id="14121" name="Rectangle 14121"/>
                        <wps:cNvSpPr/>
                        <wps:spPr>
                          <a:xfrm rot="-10799999">
                            <a:off x="1456716" y="2165580"/>
                            <a:ext cx="890892" cy="142889"/>
                          </a:xfrm>
                          <a:prstGeom prst="rect">
                            <a:avLst/>
                          </a:prstGeom>
                          <a:ln>
                            <a:noFill/>
                          </a:ln>
                        </wps:spPr>
                        <wps:txbx>
                          <w:txbxContent>
                            <w:p w14:paraId="69157BD1" w14:textId="77777777" w:rsidR="00B32EF2" w:rsidRDefault="00000000">
                              <w:r>
                                <w:rPr>
                                  <w:rFonts w:ascii="Arial" w:eastAsia="Arial" w:hAnsi="Arial" w:cs="Arial"/>
                                  <w:b/>
                                  <w:sz w:val="18"/>
                                </w:rPr>
                                <w:t>Articolo 129</w:t>
                              </w:r>
                            </w:p>
                          </w:txbxContent>
                        </wps:txbx>
                        <wps:bodyPr horzOverflow="overflow" vert="horz" lIns="0" tIns="0" rIns="0" bIns="0" rtlCol="0">
                          <a:noAutofit/>
                        </wps:bodyPr>
                      </wps:wsp>
                      <wps:wsp>
                        <wps:cNvPr id="198491" name="Rectangle 198491"/>
                        <wps:cNvSpPr/>
                        <wps:spPr>
                          <a:xfrm rot="-10799999">
                            <a:off x="2222041" y="2042251"/>
                            <a:ext cx="1941039" cy="142889"/>
                          </a:xfrm>
                          <a:prstGeom prst="rect">
                            <a:avLst/>
                          </a:prstGeom>
                          <a:ln>
                            <a:noFill/>
                          </a:ln>
                        </wps:spPr>
                        <wps:txbx>
                          <w:txbxContent>
                            <w:p w14:paraId="2BC2DD3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8495" name="Rectangle 198495"/>
                        <wps:cNvSpPr/>
                        <wps:spPr>
                          <a:xfrm rot="-10799999">
                            <a:off x="1163875" y="2042250"/>
                            <a:ext cx="1941039" cy="142889"/>
                          </a:xfrm>
                          <a:prstGeom prst="rect">
                            <a:avLst/>
                          </a:prstGeom>
                          <a:ln>
                            <a:noFill/>
                          </a:ln>
                        </wps:spPr>
                        <wps:txbx>
                          <w:txbxContent>
                            <w:p w14:paraId="02F12A18" w14:textId="77777777" w:rsidR="00B32EF2" w:rsidRDefault="00000000">
                              <w:r>
                                <w:rPr>
                                  <w:rFonts w:ascii="Arial" w:eastAsia="Arial" w:hAnsi="Arial" w:cs="Arial"/>
                                  <w:i/>
                                  <w:sz w:val="18"/>
                                </w:rPr>
                                <w:t xml:space="preserve">articolo 79 D.lgs. n. </w:t>
                              </w:r>
                            </w:p>
                          </w:txbxContent>
                        </wps:txbx>
                        <wps:bodyPr horzOverflow="overflow" vert="horz" lIns="0" tIns="0" rIns="0" bIns="0" rtlCol="0">
                          <a:noAutofit/>
                        </wps:bodyPr>
                      </wps:wsp>
                      <wps:wsp>
                        <wps:cNvPr id="198493" name="Rectangle 198493"/>
                        <wps:cNvSpPr/>
                        <wps:spPr>
                          <a:xfrm rot="-10799999">
                            <a:off x="-260394" y="2042250"/>
                            <a:ext cx="1941039" cy="142889"/>
                          </a:xfrm>
                          <a:prstGeom prst="rect">
                            <a:avLst/>
                          </a:prstGeom>
                          <a:ln>
                            <a:noFill/>
                          </a:ln>
                        </wps:spPr>
                        <wps:txbx>
                          <w:txbxContent>
                            <w:p w14:paraId="0ED74C7E"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4123" name="Rectangle 14123"/>
                        <wps:cNvSpPr/>
                        <wps:spPr>
                          <a:xfrm rot="-10799999">
                            <a:off x="827531" y="1918921"/>
                            <a:ext cx="1872463" cy="142889"/>
                          </a:xfrm>
                          <a:prstGeom prst="rect">
                            <a:avLst/>
                          </a:prstGeom>
                          <a:ln>
                            <a:noFill/>
                          </a:ln>
                        </wps:spPr>
                        <wps:txbx>
                          <w:txbxContent>
                            <w:p w14:paraId="76E7D27C" w14:textId="77777777" w:rsidR="00B32EF2" w:rsidRDefault="00000000">
                              <w:r>
                                <w:rPr>
                                  <w:rFonts w:ascii="Arial" w:eastAsia="Arial" w:hAnsi="Arial" w:cs="Arial"/>
                                  <w:b/>
                                  <w:sz w:val="18"/>
                                </w:rPr>
                                <w:t xml:space="preserve">Norme transitorie e finali </w:t>
                              </w:r>
                            </w:p>
                          </w:txbxContent>
                        </wps:txbx>
                        <wps:bodyPr horzOverflow="overflow" vert="horz" lIns="0" tIns="0" rIns="0" bIns="0" rtlCol="0">
                          <a:noAutofit/>
                        </wps:bodyPr>
                      </wps:wsp>
                      <wps:wsp>
                        <wps:cNvPr id="198488" name="Rectangle 198488"/>
                        <wps:cNvSpPr/>
                        <wps:spPr>
                          <a:xfrm rot="-10799999">
                            <a:off x="2611878" y="1795591"/>
                            <a:ext cx="5305890" cy="142889"/>
                          </a:xfrm>
                          <a:prstGeom prst="rect">
                            <a:avLst/>
                          </a:prstGeom>
                          <a:ln>
                            <a:noFill/>
                          </a:ln>
                        </wps:spPr>
                        <wps:txbx>
                          <w:txbxContent>
                            <w:p w14:paraId="532C097B"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8489" name="Rectangle 198489"/>
                        <wps:cNvSpPr/>
                        <wps:spPr>
                          <a:xfrm rot="-10799999">
                            <a:off x="-1373145" y="1795591"/>
                            <a:ext cx="5305890" cy="142889"/>
                          </a:xfrm>
                          <a:prstGeom prst="rect">
                            <a:avLst/>
                          </a:prstGeom>
                          <a:ln>
                            <a:noFill/>
                          </a:ln>
                        </wps:spPr>
                        <wps:txbx>
                          <w:txbxContent>
                            <w:p w14:paraId="25349383" w14:textId="77777777" w:rsidR="00B32EF2" w:rsidRDefault="00000000">
                              <w:r>
                                <w:rPr>
                                  <w:rFonts w:ascii="Arial" w:eastAsia="Arial" w:hAnsi="Arial" w:cs="Arial"/>
                                  <w:sz w:val="18"/>
                                </w:rPr>
                                <w:t xml:space="preserve">. Con decreto del Ministro dell’economia e delle finanze, sentito il Consiglio di </w:t>
                              </w:r>
                            </w:p>
                          </w:txbxContent>
                        </wps:txbx>
                        <wps:bodyPr horzOverflow="overflow" vert="horz" lIns="0" tIns="0" rIns="0" bIns="0" rtlCol="0">
                          <a:noAutofit/>
                        </wps:bodyPr>
                      </wps:wsp>
                      <wps:wsp>
                        <wps:cNvPr id="14125" name="Rectangle 14125"/>
                        <wps:cNvSpPr/>
                        <wps:spPr>
                          <a:xfrm rot="-10799999">
                            <a:off x="-1316808" y="1672261"/>
                            <a:ext cx="5307136" cy="142889"/>
                          </a:xfrm>
                          <a:prstGeom prst="rect">
                            <a:avLst/>
                          </a:prstGeom>
                          <a:ln>
                            <a:noFill/>
                          </a:ln>
                        </wps:spPr>
                        <wps:txbx>
                          <w:txbxContent>
                            <w:p w14:paraId="7984E3F4" w14:textId="77777777" w:rsidR="00B32EF2" w:rsidRDefault="00000000">
                              <w:r>
                                <w:rPr>
                                  <w:rFonts w:ascii="Arial" w:eastAsia="Arial" w:hAnsi="Arial" w:cs="Arial"/>
                                  <w:sz w:val="18"/>
                                </w:rPr>
                                <w:t xml:space="preserve">presidenza della giustizia tributaria e i consigli nazionali dei professionisti abilitati </w:t>
                              </w:r>
                            </w:p>
                          </w:txbxContent>
                        </wps:txbx>
                        <wps:bodyPr horzOverflow="overflow" vert="horz" lIns="0" tIns="0" rIns="0" bIns="0" rtlCol="0">
                          <a:noAutofit/>
                        </wps:bodyPr>
                      </wps:wsp>
                      <wps:wsp>
                        <wps:cNvPr id="14126" name="Rectangle 14126"/>
                        <wps:cNvSpPr/>
                        <wps:spPr>
                          <a:xfrm rot="-10799999">
                            <a:off x="-1316216" y="1548931"/>
                            <a:ext cx="5305859" cy="142889"/>
                          </a:xfrm>
                          <a:prstGeom prst="rect">
                            <a:avLst/>
                          </a:prstGeom>
                          <a:ln>
                            <a:noFill/>
                          </a:ln>
                        </wps:spPr>
                        <wps:txbx>
                          <w:txbxContent>
                            <w:p w14:paraId="36B2DB4A" w14:textId="77777777" w:rsidR="00B32EF2" w:rsidRDefault="00000000">
                              <w:r>
                                <w:rPr>
                                  <w:rFonts w:ascii="Arial" w:eastAsia="Arial" w:hAnsi="Arial" w:cs="Arial"/>
                                  <w:sz w:val="18"/>
                                </w:rPr>
                                <w:t xml:space="preserve">alla difesa davanti alle corti di giustizia tributaria, sono emanate le norme tecniche </w:t>
                              </w:r>
                            </w:p>
                          </w:txbxContent>
                        </wps:txbx>
                        <wps:bodyPr horzOverflow="overflow" vert="horz" lIns="0" tIns="0" rIns="0" bIns="0" rtlCol="0">
                          <a:noAutofit/>
                        </wps:bodyPr>
                      </wps:wsp>
                      <wps:wsp>
                        <wps:cNvPr id="14127" name="Rectangle 14127"/>
                        <wps:cNvSpPr/>
                        <wps:spPr>
                          <a:xfrm rot="-10799999">
                            <a:off x="-1316277" y="1425602"/>
                            <a:ext cx="5305920" cy="142889"/>
                          </a:xfrm>
                          <a:prstGeom prst="rect">
                            <a:avLst/>
                          </a:prstGeom>
                          <a:ln>
                            <a:noFill/>
                          </a:ln>
                        </wps:spPr>
                        <wps:txbx>
                          <w:txbxContent>
                            <w:p w14:paraId="6283BA4B" w14:textId="77777777" w:rsidR="00B32EF2" w:rsidRDefault="00000000">
                              <w:r>
                                <w:rPr>
                                  <w:rFonts w:ascii="Arial" w:eastAsia="Arial" w:hAnsi="Arial" w:cs="Arial"/>
                                  <w:sz w:val="18"/>
                                </w:rPr>
                                <w:t xml:space="preserve">per il processo tributario telematico, nonché approvati i modelli per la redazione </w:t>
                              </w:r>
                            </w:p>
                          </w:txbxContent>
                        </wps:txbx>
                        <wps:bodyPr horzOverflow="overflow" vert="horz" lIns="0" tIns="0" rIns="0" bIns="0" rtlCol="0">
                          <a:noAutofit/>
                        </wps:bodyPr>
                      </wps:wsp>
                      <wps:wsp>
                        <wps:cNvPr id="14128" name="Rectangle 14128"/>
                        <wps:cNvSpPr/>
                        <wps:spPr>
                          <a:xfrm rot="-10799999">
                            <a:off x="-1222603" y="1302272"/>
                            <a:ext cx="5212245" cy="142889"/>
                          </a:xfrm>
                          <a:prstGeom prst="rect">
                            <a:avLst/>
                          </a:prstGeom>
                          <a:ln>
                            <a:noFill/>
                          </a:ln>
                        </wps:spPr>
                        <wps:txbx>
                          <w:txbxContent>
                            <w:p w14:paraId="67B42EBF" w14:textId="77777777" w:rsidR="00B32EF2" w:rsidRDefault="00000000">
                              <w:r>
                                <w:rPr>
                                  <w:rFonts w:ascii="Arial" w:eastAsia="Arial" w:hAnsi="Arial" w:cs="Arial"/>
                                  <w:sz w:val="18"/>
                                </w:rPr>
                                <w:t>degli atti processuali e per le deposizioni testimoniali, dei verbali e dei provvedi</w:t>
                              </w:r>
                            </w:p>
                          </w:txbxContent>
                        </wps:txbx>
                        <wps:bodyPr horzOverflow="overflow" vert="horz" lIns="0" tIns="0" rIns="0" bIns="0" rtlCol="0">
                          <a:noAutofit/>
                        </wps:bodyPr>
                      </wps:wsp>
                      <wps:wsp>
                        <wps:cNvPr id="14129" name="Rectangle 14129"/>
                        <wps:cNvSpPr/>
                        <wps:spPr>
                          <a:xfrm rot="-10799999">
                            <a:off x="19329" y="1302273"/>
                            <a:ext cx="50622" cy="142889"/>
                          </a:xfrm>
                          <a:prstGeom prst="rect">
                            <a:avLst/>
                          </a:prstGeom>
                          <a:ln>
                            <a:noFill/>
                          </a:ln>
                        </wps:spPr>
                        <wps:txbx>
                          <w:txbxContent>
                            <w:p w14:paraId="6819F84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130" name="Rectangle 14130"/>
                        <wps:cNvSpPr/>
                        <wps:spPr>
                          <a:xfrm rot="-10799999">
                            <a:off x="-1316368" y="1178942"/>
                            <a:ext cx="5306010" cy="142890"/>
                          </a:xfrm>
                          <a:prstGeom prst="rect">
                            <a:avLst/>
                          </a:prstGeom>
                          <a:ln>
                            <a:noFill/>
                          </a:ln>
                        </wps:spPr>
                        <wps:txbx>
                          <w:txbxContent>
                            <w:p w14:paraId="4012E5F7" w14:textId="77777777" w:rsidR="00B32EF2" w:rsidRDefault="00000000">
                              <w:r>
                                <w:rPr>
                                  <w:rFonts w:ascii="Arial" w:eastAsia="Arial" w:hAnsi="Arial" w:cs="Arial"/>
                                  <w:sz w:val="18"/>
                                </w:rPr>
                                <w:t xml:space="preserve">menti giurisdizionali. Il decreto indica altresì tutte le disposizioni tecnico-operative, </w:t>
                              </w:r>
                            </w:p>
                          </w:txbxContent>
                        </wps:txbx>
                        <wps:bodyPr horzOverflow="overflow" vert="horz" lIns="0" tIns="0" rIns="0" bIns="0" rtlCol="0">
                          <a:noAutofit/>
                        </wps:bodyPr>
                      </wps:wsp>
                      <wps:wsp>
                        <wps:cNvPr id="14131" name="Rectangle 14131"/>
                        <wps:cNvSpPr/>
                        <wps:spPr>
                          <a:xfrm rot="-10799999">
                            <a:off x="-1316171" y="1055613"/>
                            <a:ext cx="5305812" cy="142889"/>
                          </a:xfrm>
                          <a:prstGeom prst="rect">
                            <a:avLst/>
                          </a:prstGeom>
                          <a:ln>
                            <a:noFill/>
                          </a:ln>
                        </wps:spPr>
                        <wps:txbx>
                          <w:txbxContent>
                            <w:p w14:paraId="7E3FDC5D" w14:textId="77777777" w:rsidR="00B32EF2" w:rsidRDefault="00000000">
                              <w:r>
                                <w:rPr>
                                  <w:rFonts w:ascii="Arial" w:eastAsia="Arial" w:hAnsi="Arial" w:cs="Arial"/>
                                  <w:sz w:val="18"/>
                                </w:rPr>
                                <w:t xml:space="preserve">anche di fonte regolamentare, adottate anteriormente alla data della sua adozione </w:t>
                              </w:r>
                            </w:p>
                          </w:txbxContent>
                        </wps:txbx>
                        <wps:bodyPr horzOverflow="overflow" vert="horz" lIns="0" tIns="0" rIns="0" bIns="0" rtlCol="0">
                          <a:noAutofit/>
                        </wps:bodyPr>
                      </wps:wsp>
                      <wps:wsp>
                        <wps:cNvPr id="14132" name="Rectangle 14132"/>
                        <wps:cNvSpPr/>
                        <wps:spPr>
                          <a:xfrm rot="-10799999">
                            <a:off x="1039439" y="932283"/>
                            <a:ext cx="2950203" cy="142889"/>
                          </a:xfrm>
                          <a:prstGeom prst="rect">
                            <a:avLst/>
                          </a:prstGeom>
                          <a:ln>
                            <a:noFill/>
                          </a:ln>
                        </wps:spPr>
                        <wps:txbx>
                          <w:txbxContent>
                            <w:p w14:paraId="5ED6F5B4" w14:textId="77777777" w:rsidR="00B32EF2" w:rsidRDefault="00000000">
                              <w:r>
                                <w:rPr>
                                  <w:rFonts w:ascii="Arial" w:eastAsia="Arial" w:hAnsi="Arial" w:cs="Arial"/>
                                  <w:sz w:val="18"/>
                                </w:rPr>
                                <w:t>e che dalla medesima data restano abrogate.</w:t>
                              </w:r>
                            </w:p>
                          </w:txbxContent>
                        </wps:txbx>
                        <wps:bodyPr horzOverflow="overflow" vert="horz" lIns="0" tIns="0" rIns="0" bIns="0" rtlCol="0">
                          <a:noAutofit/>
                        </wps:bodyPr>
                      </wps:wsp>
                      <wps:wsp>
                        <wps:cNvPr id="198482" name="Rectangle 198482"/>
                        <wps:cNvSpPr/>
                        <wps:spPr>
                          <a:xfrm rot="-10799999">
                            <a:off x="2611885" y="808954"/>
                            <a:ext cx="5305859" cy="142889"/>
                          </a:xfrm>
                          <a:prstGeom prst="rect">
                            <a:avLst/>
                          </a:prstGeom>
                          <a:ln>
                            <a:noFill/>
                          </a:ln>
                        </wps:spPr>
                        <wps:txbx>
                          <w:txbxContent>
                            <w:p w14:paraId="5AF33A26"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98484" name="Rectangle 198484"/>
                        <wps:cNvSpPr/>
                        <wps:spPr>
                          <a:xfrm rot="-10799999">
                            <a:off x="-1378487" y="808954"/>
                            <a:ext cx="5305858" cy="142889"/>
                          </a:xfrm>
                          <a:prstGeom prst="rect">
                            <a:avLst/>
                          </a:prstGeom>
                          <a:ln>
                            <a:noFill/>
                          </a:ln>
                        </wps:spPr>
                        <wps:txbx>
                          <w:txbxContent>
                            <w:p w14:paraId="761FE8A4" w14:textId="77777777" w:rsidR="00B32EF2" w:rsidRDefault="00000000">
                              <w:r>
                                <w:rPr>
                                  <w:rFonts w:ascii="Arial" w:eastAsia="Arial" w:hAnsi="Arial" w:cs="Arial"/>
                                  <w:sz w:val="18"/>
                                </w:rPr>
                                <w:t xml:space="preserve">. Con il decreto di cui al comma 1 sono altresì stabilite, nei limiti delle risorse </w:t>
                              </w:r>
                            </w:p>
                          </w:txbxContent>
                        </wps:txbx>
                        <wps:bodyPr horzOverflow="overflow" vert="horz" lIns="0" tIns="0" rIns="0" bIns="0" rtlCol="0">
                          <a:noAutofit/>
                        </wps:bodyPr>
                      </wps:wsp>
                      <wps:wsp>
                        <wps:cNvPr id="14134" name="Rectangle 14134"/>
                        <wps:cNvSpPr/>
                        <wps:spPr>
                          <a:xfrm rot="-10799999">
                            <a:off x="-1223164" y="685624"/>
                            <a:ext cx="5213491" cy="142889"/>
                          </a:xfrm>
                          <a:prstGeom prst="rect">
                            <a:avLst/>
                          </a:prstGeom>
                          <a:ln>
                            <a:noFill/>
                          </a:ln>
                        </wps:spPr>
                        <wps:txbx>
                          <w:txbxContent>
                            <w:p w14:paraId="6DE4BCD6" w14:textId="77777777" w:rsidR="00B32EF2" w:rsidRDefault="00000000">
                              <w:r>
                                <w:rPr>
                                  <w:rFonts w:ascii="Arial" w:eastAsia="Arial" w:hAnsi="Arial" w:cs="Arial"/>
                                  <w:sz w:val="18"/>
                                </w:rPr>
                                <w:t>umane, strumentali e finanziarie disponibili a legislazione vigente, le regole tecni</w:t>
                              </w:r>
                            </w:p>
                          </w:txbxContent>
                        </wps:txbx>
                        <wps:bodyPr horzOverflow="overflow" vert="horz" lIns="0" tIns="0" rIns="0" bIns="0" rtlCol="0">
                          <a:noAutofit/>
                        </wps:bodyPr>
                      </wps:wsp>
                      <wps:wsp>
                        <wps:cNvPr id="14135" name="Rectangle 14135"/>
                        <wps:cNvSpPr/>
                        <wps:spPr>
                          <a:xfrm rot="-10799999">
                            <a:off x="19329" y="685624"/>
                            <a:ext cx="50622" cy="142889"/>
                          </a:xfrm>
                          <a:prstGeom prst="rect">
                            <a:avLst/>
                          </a:prstGeom>
                          <a:ln>
                            <a:noFill/>
                          </a:ln>
                        </wps:spPr>
                        <wps:txbx>
                          <w:txbxContent>
                            <w:p w14:paraId="143258D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136" name="Rectangle 14136"/>
                        <wps:cNvSpPr/>
                        <wps:spPr>
                          <a:xfrm rot="-10799999">
                            <a:off x="-1273940" y="562294"/>
                            <a:ext cx="5263582" cy="142889"/>
                          </a:xfrm>
                          <a:prstGeom prst="rect">
                            <a:avLst/>
                          </a:prstGeom>
                          <a:ln>
                            <a:noFill/>
                          </a:ln>
                        </wps:spPr>
                        <wps:txbx>
                          <w:txbxContent>
                            <w:p w14:paraId="586A6809" w14:textId="77777777" w:rsidR="00B32EF2" w:rsidRDefault="00000000">
                              <w:r>
                                <w:rPr>
                                  <w:rFonts w:ascii="Arial" w:eastAsia="Arial" w:hAnsi="Arial" w:cs="Arial"/>
                                  <w:sz w:val="18"/>
                                </w:rPr>
                                <w:t>co-operative per lo svolgimento da remoto delle udienze e camere di consiglio. (1)</w:t>
                              </w:r>
                            </w:p>
                          </w:txbxContent>
                        </wps:txbx>
                        <wps:bodyPr horzOverflow="overflow" vert="horz" lIns="0" tIns="0" rIns="0" bIns="0" rtlCol="0">
                          <a:noAutofit/>
                        </wps:bodyPr>
                      </wps:wsp>
                      <wps:wsp>
                        <wps:cNvPr id="198453" name="Rectangle 198453"/>
                        <wps:cNvSpPr/>
                        <wps:spPr>
                          <a:xfrm rot="-10799999">
                            <a:off x="2611097" y="438965"/>
                            <a:ext cx="5309036" cy="142889"/>
                          </a:xfrm>
                          <a:prstGeom prst="rect">
                            <a:avLst/>
                          </a:prstGeom>
                          <a:ln>
                            <a:noFill/>
                          </a:ln>
                        </wps:spPr>
                        <wps:txbx>
                          <w:txbxContent>
                            <w:p w14:paraId="1E0AE83E"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98471" name="Rectangle 198471"/>
                        <wps:cNvSpPr/>
                        <wps:spPr>
                          <a:xfrm rot="-10799999">
                            <a:off x="-1381630" y="438965"/>
                            <a:ext cx="5309036" cy="142889"/>
                          </a:xfrm>
                          <a:prstGeom prst="rect">
                            <a:avLst/>
                          </a:prstGeom>
                          <a:ln>
                            <a:noFill/>
                          </a:ln>
                        </wps:spPr>
                        <wps:txbx>
                          <w:txbxContent>
                            <w:p w14:paraId="729EB3C5" w14:textId="77777777" w:rsidR="00B32EF2" w:rsidRDefault="00000000">
                              <w:r>
                                <w:rPr>
                                  <w:rFonts w:ascii="Arial" w:eastAsia="Arial" w:hAnsi="Arial" w:cs="Arial"/>
                                  <w:sz w:val="18"/>
                                </w:rPr>
                                <w:t xml:space="preserve">. Nei casi eccezionali previsti dalle norme tecniche per il processo tributario </w:t>
                              </w:r>
                            </w:p>
                          </w:txbxContent>
                        </wps:txbx>
                        <wps:bodyPr horzOverflow="overflow" vert="horz" lIns="0" tIns="0" rIns="0" bIns="0" rtlCol="0">
                          <a:noAutofit/>
                        </wps:bodyPr>
                      </wps:wsp>
                      <wps:wsp>
                        <wps:cNvPr id="14138" name="Rectangle 14138"/>
                        <wps:cNvSpPr/>
                        <wps:spPr>
                          <a:xfrm rot="-10799999">
                            <a:off x="-1317107" y="315635"/>
                            <a:ext cx="5309036" cy="142889"/>
                          </a:xfrm>
                          <a:prstGeom prst="rect">
                            <a:avLst/>
                          </a:prstGeom>
                          <a:ln>
                            <a:noFill/>
                          </a:ln>
                        </wps:spPr>
                        <wps:txbx>
                          <w:txbxContent>
                            <w:p w14:paraId="7FB76C53" w14:textId="77777777" w:rsidR="00B32EF2" w:rsidRDefault="00000000">
                              <w:r>
                                <w:rPr>
                                  <w:rFonts w:ascii="Arial" w:eastAsia="Arial" w:hAnsi="Arial" w:cs="Arial"/>
                                  <w:sz w:val="18"/>
                                </w:rPr>
                                <w:t xml:space="preserve">telematico, e, fino al momento della loro individuazione, previa autorizzazione </w:t>
                              </w:r>
                            </w:p>
                          </w:txbxContent>
                        </wps:txbx>
                        <wps:bodyPr horzOverflow="overflow" vert="horz" lIns="0" tIns="0" rIns="0" bIns="0" rtlCol="0">
                          <a:noAutofit/>
                        </wps:bodyPr>
                      </wps:wsp>
                      <wps:wsp>
                        <wps:cNvPr id="207694" name="Shape 207694"/>
                        <wps:cNvSpPr/>
                        <wps:spPr>
                          <a:xfrm>
                            <a:off x="31942" y="2480201"/>
                            <a:ext cx="3960000" cy="518300"/>
                          </a:xfrm>
                          <a:custGeom>
                            <a:avLst/>
                            <a:gdLst/>
                            <a:ahLst/>
                            <a:cxnLst/>
                            <a:rect l="0" t="0" r="0" b="0"/>
                            <a:pathLst>
                              <a:path w="3960000" h="518300">
                                <a:moveTo>
                                  <a:pt x="0" y="0"/>
                                </a:moveTo>
                                <a:lnTo>
                                  <a:pt x="3960000" y="0"/>
                                </a:lnTo>
                                <a:lnTo>
                                  <a:pt x="3960000" y="518300"/>
                                </a:lnTo>
                                <a:lnTo>
                                  <a:pt x="0" y="518300"/>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4140" name="Rectangle 14140"/>
                        <wps:cNvSpPr/>
                        <wps:spPr>
                          <a:xfrm rot="-10799999">
                            <a:off x="2328926" y="2777264"/>
                            <a:ext cx="1585695" cy="142889"/>
                          </a:xfrm>
                          <a:prstGeom prst="rect">
                            <a:avLst/>
                          </a:prstGeom>
                          <a:ln>
                            <a:noFill/>
                          </a:ln>
                        </wps:spPr>
                        <wps:txbx>
                          <w:txbxContent>
                            <w:p w14:paraId="01D7384B"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4141" name="Rectangle 14141"/>
                        <wps:cNvSpPr/>
                        <wps:spPr>
                          <a:xfrm rot="-10799999">
                            <a:off x="-1186015" y="2645819"/>
                            <a:ext cx="5096179" cy="142889"/>
                          </a:xfrm>
                          <a:prstGeom prst="rect">
                            <a:avLst/>
                          </a:prstGeom>
                          <a:ln>
                            <a:noFill/>
                          </a:ln>
                        </wps:spPr>
                        <wps:txbx>
                          <w:txbxContent>
                            <w:p w14:paraId="1CFEE7B5" w14:textId="77777777" w:rsidR="00B32EF2" w:rsidRDefault="00000000">
                              <w:r>
                                <w:rPr>
                                  <w:rFonts w:ascii="Arial" w:eastAsia="Arial" w:hAnsi="Arial" w:cs="Arial"/>
                                  <w:i/>
                                  <w:sz w:val="18"/>
                                </w:rPr>
                                <w:t xml:space="preserve">art. 53 D.lgs. 446/1997 “Albo per l’accertamento e riscossione delle entrate </w:t>
                              </w:r>
                            </w:p>
                          </w:txbxContent>
                        </wps:txbx>
                        <wps:bodyPr horzOverflow="overflow" vert="horz" lIns="0" tIns="0" rIns="0" bIns="0" rtlCol="0">
                          <a:noAutofit/>
                        </wps:bodyPr>
                      </wps:wsp>
                      <wps:wsp>
                        <wps:cNvPr id="14142" name="Rectangle 14142"/>
                        <wps:cNvSpPr/>
                        <wps:spPr>
                          <a:xfrm rot="-10799999">
                            <a:off x="2804932" y="2514375"/>
                            <a:ext cx="1108660" cy="142889"/>
                          </a:xfrm>
                          <a:prstGeom prst="rect">
                            <a:avLst/>
                          </a:prstGeom>
                          <a:ln>
                            <a:noFill/>
                          </a:ln>
                        </wps:spPr>
                        <wps:txbx>
                          <w:txbxContent>
                            <w:p w14:paraId="2EE136DE" w14:textId="77777777" w:rsidR="00B32EF2" w:rsidRDefault="00000000">
                              <w:r>
                                <w:rPr>
                                  <w:rFonts w:ascii="Arial" w:eastAsia="Arial" w:hAnsi="Arial" w:cs="Arial"/>
                                  <w:i/>
                                  <w:sz w:val="18"/>
                                </w:rPr>
                                <w:t xml:space="preserve">degli enti locali” </w:t>
                              </w:r>
                            </w:p>
                          </w:txbxContent>
                        </wps:txbx>
                        <wps:bodyPr horzOverflow="overflow" vert="horz" lIns="0" tIns="0" rIns="0" bIns="0" rtlCol="0">
                          <a:noAutofit/>
                        </wps:bodyPr>
                      </wps:wsp>
                      <wps:wsp>
                        <wps:cNvPr id="14143" name="Shape 14143"/>
                        <wps:cNvSpPr/>
                        <wps:spPr>
                          <a:xfrm>
                            <a:off x="31941" y="2480203"/>
                            <a:ext cx="3960000" cy="518300"/>
                          </a:xfrm>
                          <a:custGeom>
                            <a:avLst/>
                            <a:gdLst/>
                            <a:ahLst/>
                            <a:cxnLst/>
                            <a:rect l="0" t="0" r="0" b="0"/>
                            <a:pathLst>
                              <a:path w="3960000" h="518300">
                                <a:moveTo>
                                  <a:pt x="0" y="518300"/>
                                </a:moveTo>
                                <a:lnTo>
                                  <a:pt x="3960000" y="518300"/>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DDBF9B7" id="Group 198690" o:spid="_x0000_s1095" style="width:314.35pt;height:493.15pt;mso-position-horizontal-relative:char;mso-position-vertical-relative:line" coordsize="39919,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57EnwwAAL6LAAAOAAAAZHJzL2Uyb0RvYy54bWzkXWuP27YS/X6B/gfB3zcrknoa2RRF0gYX&#10;uLgt+vgBWq/8AGTJkJ3s5v76e4aUKFnmNqlYmEaZALaXlimRhzNzZjgk337/sq+Cz2V73DX1w4K9&#10;CRdBWa+ap129eVj88ftPd9kiOJ6K+qmomrp8WHwpj4vv3333r7fPh2XJm21TPZVtgErq4/L58LDY&#10;nk6H5f39cbUt98XxTXMoa3y5btp9ccKf7eb+qS2eUfu+uudhmNw/N+3ToW1W5fGI0g/qy8U7Wf96&#10;Xa5OP6/Xx/IUVA8LPNtJvrby9ZFe79+9LZabtjhsd6vuMYoZT7EvdjVuqqv6UJyK4FO7u6hqv1u1&#10;zbFZn96smv19s17vVqVsA1rDwklrPrbNp4Nsy2b5vDnobkLXTvppdrWr/37+2B5+O/zSoieeDxv0&#10;hfyL2vKybvf0jqcMXmSXfdFdVr6cghUKRZ6zPOKLYIXvEp7wLI5Up6626PmL3622P37ll/f9je/P&#10;Huf5gAFyHPrgaNcHv22LQym79rhEH/zSBrsnjN8ozJJFUBd7DNVfMXiKelOVgSqWHSSv1t11XB7R&#10;c31fBW2D8XXHwjSnf3I8dH3HsijKU7YI0Et3CWd5N/L6buRJGsdC9SKPwyRKqBN1VxTLQ3s8fSyb&#10;fUAfHhYtnk3WX3z+z/GkLu0vocepanqtm592VaW+pRL0aP/E9On08vgim53Iu1HRY/P0BX2xbdr/&#10;/QypXlfN88Oi6T4tSNBxc/p2EVT/roEByVT/oe0/PPYf2lP1vpGSpx7nh0+nZr2TzzvcrXsugEsj&#10;8EooQy2ZUM6o2+khMCb+Osp3TLA0zIEjCQNjeZ50wtDjHIswDwWGGIkLi3imBsLVgE779nkDdG4G&#10;Ou87wgLoKJVAx3keR1OBBtBZjkJXQOuB7AvQ1NcGiVa4zJZoiHAuSDFDXOMsZSGTA6dY9gKNC3g8&#10;xjmTF1xNoPU49gPnPIuZyUCrchvdzaGvGdVNSKdREisTPCAtVTcfSfR1kU4lYxis5j/dRhOiJt2t&#10;ym2QhpVOYJjjr0ENttZb6StDzXrj5IdQR2EOB8KkvHnfETOtNOciyjugE87DVFCFI5nmLI4EuKAj&#10;oHX7vAEaptQEtMTFwkqLKFLibEQ5RKkzjHXTvMEYUJgwlq7QbIzvGISZxcqFBt9Ok1CqyTNh5lno&#10;Tph1+7wBGprVBHRspbVZroXZiLJTYdZN8wZjE9uGwdYRo/mWOUxApolti1QwLh3Wc2FOGRxsR5ZZ&#10;t88boNHXJmHWEaNZQI+E2YiyU2HWTfMGY3PUM9fBolkYU9QzIY0ghZlHWRJL6RkJswjjtA9vU9Tz&#10;yv6Ubp83QJs8Z2htHS2aDzQnpUxam/GIZdKBOQc6g5PlSmvr9nkCNAuNUU8qtoyQsISH8JkAdIQQ&#10;aMqmXBsSncUYZW7Mc6bb5w3QcHwuzTPi0fZAM65Ud5SlMRfSKJ5LdJo5k+hMt88boI2hMAZhtJNo&#10;znlOOJJEp3GYJtKVGQHNMQ4iZzFPZUn8CW9HLDSGwqjYBuiBcJtRdkm4Mfy6pnkjzMZQGAt1qGg+&#10;D8NklRJmSrpB/Bw9OxJmItyJM+850+3zA2iakzKpbVVuI84CUszijojFIQj3JHGIxUmecQwzR0TM&#10;s4AYIWrS26rcBmkWRUj7Ur5VdItIexYRI0RN2luV2yDNMSWZk3ImKnaLSHsWFyNETW60KrdCmnIA&#10;aUaKkBZpCm1+aacz7s6N9iwwRoia/GhVboM0YqApAl9A8lah9i80Bg1ripho7fY3cG8ecwRNLmXa&#10;IfceEh794N5wpI2zGlRsI9E8zZGUr+QZs5PRNNtAIBlUYB7DEfHOPQuMQUUbcVblVkAjOQhgKqTD&#10;UOSwx6hv5EzzRCSxs7wS5dv7ExkjRCFWF6pbldsgDSMtoixW+YDRLULtWYCMIH3Fx7IMkXGkcGOi&#10;WQq1yNI8upiSRrg7TaHf3cRNcv8iZKGJj9EIsCZkUYxVV7cLtWchskhGpi/Utyy20d7DzIZZoF3O&#10;bAzpcL6QbmO8GxjbTVOSFy1gEeBEixRJvmoiYaBiAquLJd93pLW1qvIDZvQ/csNMVIzKbYSZx3GS&#10;waWSSCeYrTIkmGR56mxeY2ieP0ibSTfSf6yQvmMR4O1It3gdarByR0Kt2+cH1FDSJs4ti21EmhZo&#10;hJyrkInAHgZwpaeONEP2IJiaG6BHWXHeIG1cocGYpqSzYqAjJiZhlqZgMNIoc7fcapQR5w3IxiUa&#10;tJbZRpyR3Yt1sipWIkSGPINJnJvFGdK+cW9X0qyppjdAmzxowKRZ6SxpFnnEBK1rJ9KNuEmoYhM3&#10;I8/excSw6u0Vzm0HNM1R5lj63iGdpEJM08YAPzYq6kQaU9dqbutam1mM8uL8EGnyr0zKW5VbaW+k&#10;//VLcgTmsW4Pak1B/IAaatrkX8liG6Ah1GGO+KcSalpbFU0yBLFvSRilCIVLO+1AqDUP8QVpMqaG&#10;+KdK3Zy9AB7uVaTj3MgExVTWuXvF0ySB+h4BLScZrqe9tXnyBmhTMlEEJ9eKeTNMVqXdTkScJXGs&#10;VjsNhAybxmW0Y4or4q1Df37gTNbYBLQqt1HeWJPDQ1pzA+qND5xjewvUNyCNrTWRZQLD4Qpqz2Jj&#10;BKkpZKLKbaCGO45pK+VOK6gnZto11EiB7drnj1SbM/kjbOBpA/Udp9An7LCW6luDWtsnP6CGRTYh&#10;LYttgM44NjVQ2pvlDCZ5qr2zlEcJbu1Iew+TsX7gDC2dvTJdiXIbpGlzyCxF3RBpluZxrNIvB0MN&#10;JyumvXydQa1Vlj9Qm/xpGgKas8wKh1KUTICC3zDWnuWOQU+bOJksthFqIM2QhNBJdZJySPk5/YZU&#10;p5gEcSfV3gXJaCsKU+hEx5DmyjT2M+lcauz4meUw2xg6E/3tbj+T0WSdH/obwmua5JDF1jKNxF6l&#10;vSMeJ2rjjHOkc4rQuSJl/kXJTJwMSNtRMko3IUdLIS0o8+RiNotCpjAdrpDWDfRGpk2UDEjbMTKk&#10;m9ASWaLeEmZJdUcC7TTdRJ0H4M/qHOQKmGc3UGytuEXSkTGWZnSo0NREY8vfkeJWKx2vNr0xTN/4&#10;Is4U2zCQMcWdZs9jSdrNugV3DKmhCXbUmCKN3CJ3ExzD/I03SKOzTUjrFKtZtJumLqJuTTx0OFf7&#10;Pw2am+dxyMmCOzLQyFLsVJYfOFNwxAS0KrfR3jI+lqmYCTxqnIdkkGiH7hXiv94hbUryJqR19GiW&#10;TFN4DJUoB+t1qGHHXQm1bp8fQg1CZkJaFtuItDpvAefXEfFOsjjBJmOob9DeMcedaWLcFdDeBceE&#10;OQyKYhugB/fKiLJT7wrhQK/0NqTWHABFsQ3GEGZsToTMQBJmiDK/yPHGHhcxkQNXwuxZVAyGmPbD&#10;v+DcqtwGaqJiIWWQA2kcbZVPl23IY+wczmkMYT8/7DMQJV/XhDTKbZAGFcMKHArH3CrUOu7nB9TQ&#10;3uZQN4otgUa8hPbPANA4AwuqmuobUbHpqcLXPV+DQoJd+7wAGucIJpTfpWRaniQedGVfhZlg684E&#10;F+rgdGCKM1MQCJlMSYo8CfFPmeQY+d7qUIdRvHP1SZ0JTnX254DjBPondSI4yrb9p9VL3X+kk8MD&#10;eSR3gKO8UX0rXx/pVQ6qQ3Gi31Gl9DHAAeD6UbZ07od8Evp6j4PBf2/khafJQe94yuHbqh5fpStD&#10;w+UtcW1/Rf9+kPWNrzzrgP6y/l1d3rGbcU/1F/Tv4wvP742HoNbKM9d1D6Bw3MdVTZ1BiBSHh8W6&#10;KtQR7PvdqWyDarfHBAVPCTL0o2zUxYnrx9OXqqQOq+pfyzXOXn+h+qjg2G4e31dt8LkgbOQ/db57&#10;ddgWXWlXb3dpdw/UQ79f46B3XSW7rPK9oP9dDd3F9LtyvcaA0L/sHmbVPY0aGxvZ6H6EoGX6R/LO&#10;TT38vm7qUt6EwsNda4fJEeoX+uuaR70zYr0X1hebQ0mYZkexucDZ7d3BGbSRFM5OoHYPOhnLY7E1&#10;t7vZxyFK74VOZkDURLNkMYCZDfQdMv8w76Rim0AZMxOS1gxIY7u6BEmBznwntYpzkLJ/+snQamM3&#10;k0jreP6s0CYOD0XqN3xgssjY/Bs7EE1EGlsPJXRooSMnWXgWxQbQ2kdWLIukXHfC6yCTHh6RLOgF&#10;TbLkrwfZ1RSDID3jGC/rdk/1jAnA7ZCss0f9FqZ19oOeDvXvl3Rr4DCKup1fqZjW9JpV1RxLRX2+&#10;kUpJuvRndErxIFVnVX8TnTJwn45O9dWYGJMVCbsJOgVitVk+bw6SFm7a4rDdrT4Up2L8t+zAZcmb&#10;bVM9le27/wMAAP//AwBQSwMEFAAGAAgAAAAhAAXws23dAAAABQEAAA8AAABkcnMvZG93bnJldi54&#10;bWxMj0FLw0AQhe+C/2EZwZvdpMWYptmUUtRTEWwF8TbNTpPQ7GzIbpP037t60cvA4z3e+yZfT6YV&#10;A/WusawgnkUgiEurG64UfBxeHlIQziNrbC2Tgis5WBe3Nzlm2o78TsPeVyKUsMtQQe19l0npypoM&#10;upntiIN3sr1BH2RfSd3jGMpNK+dRlEiDDYeFGjva1lSe9xej4HXEcbOIn4fd+bS9fh0e3z53MSl1&#10;fzdtViA8Tf4vDD/4AR2KwHS0F9ZOtArCI/73Bi+Zp08gjgqWabIAWeTyP33xDQAA//8DAFBLAQIt&#10;ABQABgAIAAAAIQC2gziS/gAAAOEBAAATAAAAAAAAAAAAAAAAAAAAAABbQ29udGVudF9UeXBlc10u&#10;eG1sUEsBAi0AFAAGAAgAAAAhADj9If/WAAAAlAEAAAsAAAAAAAAAAAAAAAAALwEAAF9yZWxzLy5y&#10;ZWxzUEsBAi0AFAAGAAgAAAAhAHZHnsSfDAAAvosAAA4AAAAAAAAAAAAAAAAALgIAAGRycy9lMm9E&#10;b2MueG1sUEsBAi0AFAAGAAgAAAAhAAXws23dAAAABQEAAA8AAAAAAAAAAAAAAAAA+Q4AAGRycy9k&#10;b3ducmV2LnhtbFBLBQYAAAAABAAEAPMAAAADEAAAAAA=&#10;">
                <v:rect id="Rectangle 14086" o:spid="_x0000_s1096" style="position:absolute;left:18449;top:-621;width:2676;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LjjxAAAAN4AAAAPAAAAZHJzL2Rvd25yZXYueG1sRE9Li8Iw&#10;EL4v+B/CCHtb0xWR0jXKoog9ePEFexyase1uMwlNtF1/vREEb/PxPWe26E0jrtT62rKCz1ECgriw&#10;uuZSwfGw/khB+ICssbFMCv7Jw2I+eJthpm3HO7ruQyliCPsMFVQhuExKX1Rk0I+sI47c2bYGQ4Rt&#10;KXWLXQw3jRwnyVQarDk2VOhoWVHxt78YBT8rdvm6k8X5tnTb3zxtNpfjSan3Yf/9BSJQH17ipzvX&#10;cf4kSafweCfeIOd3AAAA//8DAFBLAQItABQABgAIAAAAIQDb4fbL7gAAAIUBAAATAAAAAAAAAAAA&#10;AAAAAAAAAABbQ29udGVudF9UeXBlc10ueG1sUEsBAi0AFAAGAAgAAAAhAFr0LFu/AAAAFQEAAAsA&#10;AAAAAAAAAAAAAAAAHwEAAF9yZWxzLy5yZWxzUEsBAi0AFAAGAAgAAAAhAEscuOPEAAAA3gAAAA8A&#10;AAAAAAAAAAAAAAAABwIAAGRycy9kb3ducmV2LnhtbFBLBQYAAAAAAwADALcAAAD4AgAAAAA=&#10;" filled="f" stroked="f">
                  <v:textbox inset="0,0,0,0">
                    <w:txbxContent>
                      <w:p w14:paraId="37F526C3" w14:textId="77777777" w:rsidR="00B32EF2" w:rsidRDefault="00000000">
                        <w:r>
                          <w:rPr>
                            <w:rFonts w:ascii="Times New Roman" w:eastAsia="Times New Roman" w:hAnsi="Times New Roman" w:cs="Times New Roman"/>
                          </w:rPr>
                          <w:t>105</w:t>
                        </w:r>
                      </w:p>
                    </w:txbxContent>
                  </v:textbox>
                </v:rect>
                <v:rect id="Rectangle 14088" o:spid="_x0000_s1097" style="position:absolute;left:-13170;top:61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4kKxwAAAN4AAAAPAAAAZHJzL2Rvd25yZXYueG1sRI9Ba8JA&#10;EIXvhf6HZQre6qZFSoiuUixiDr3UKngcsmMSzc4u2dXE/vrOodDbDO/Ne98sVqPr1I362Ho28DLN&#10;QBFX3rZcG9h/b55zUDEhW+w8k4E7RVgtHx8WWFg/8BfddqlWEsKxQANNSqHQOlYNOYxTH4hFO/ne&#10;YZK1r7XtcZBw1+nXLHvTDluWhgYDrRuqLrurM3D84FBuBl2dftbh81zm3fa6PxgzeRrf56ASjenf&#10;/HddWsGfZbnwyjsyg17+AgAA//8DAFBLAQItABQABgAIAAAAIQDb4fbL7gAAAIUBAAATAAAAAAAA&#10;AAAAAAAAAAAAAABbQ29udGVudF9UeXBlc10ueG1sUEsBAi0AFAAGAAgAAAAhAFr0LFu/AAAAFQEA&#10;AAsAAAAAAAAAAAAAAAAAHwEAAF9yZWxzLy5yZWxzUEsBAi0AFAAGAAgAAAAhAFXPiQrHAAAA3gAA&#10;AA8AAAAAAAAAAAAAAAAABwIAAGRycy9kb3ducmV2LnhtbFBLBQYAAAAAAwADALcAAAD7AgAAAAA=&#10;" filled="f" stroked="f">
                  <v:textbox inset="0,0,0,0">
                    <w:txbxContent>
                      <w:p w14:paraId="7BEF840C" w14:textId="77777777" w:rsidR="00B32EF2" w:rsidRDefault="00000000">
                        <w:r>
                          <w:rPr>
                            <w:rFonts w:ascii="Arial" w:eastAsia="Arial" w:hAnsi="Arial" w:cs="Arial"/>
                            <w:sz w:val="18"/>
                          </w:rPr>
                          <w:t xml:space="preserve">tazione del ricorso in camera di consiglio non oltre novanta giorni dal deposito </w:t>
                        </w:r>
                      </w:p>
                    </w:txbxContent>
                  </v:textbox>
                </v:rect>
                <v:rect id="Rectangle 14089" o:spid="_x0000_s1098" style="position:absolute;left:-13170;top:5995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yyRxAAAAN4AAAAPAAAAZHJzL2Rvd25yZXYueG1sRE9La8JA&#10;EL4X/A/LCN7qpkUkTV2lWMQcvPgo9DhkxySanV2yq4n+elco9DYf33Nmi9404kqtry0reBsnIIgL&#10;q2suFRz2q9cUhA/IGhvLpOBGHhbzwcsMM2073tJ1F0oRQ9hnqKAKwWVS+qIig35sHXHkjrY1GCJs&#10;S6lb7GK4aeR7kkylwZpjQ4WOlhUV593FKPj9ZpevOlkc70u3OeVps74cfpQaDfuvTxCB+vAv/nPn&#10;Os6fJOkHPN+JN8j5AwAA//8DAFBLAQItABQABgAIAAAAIQDb4fbL7gAAAIUBAAATAAAAAAAAAAAA&#10;AAAAAAAAAABbQ29udGVudF9UeXBlc10ueG1sUEsBAi0AFAAGAAgAAAAhAFr0LFu/AAAAFQEAAAsA&#10;AAAAAAAAAAAAAAAAHwEAAF9yZWxzLy5yZWxzUEsBAi0AFAAGAAgAAAAhADqDLJHEAAAA3gAAAA8A&#10;AAAAAAAAAAAAAAAABwIAAGRycy9kb3ducmV2LnhtbFBLBQYAAAAAAwADALcAAAD4AgAAAAA=&#10;" filled="f" stroked="f">
                  <v:textbox inset="0,0,0,0">
                    <w:txbxContent>
                      <w:p w14:paraId="40980E22" w14:textId="77777777" w:rsidR="00B32EF2" w:rsidRDefault="00000000">
                        <w:r>
                          <w:rPr>
                            <w:rFonts w:ascii="Arial" w:eastAsia="Arial" w:hAnsi="Arial" w:cs="Arial"/>
                            <w:sz w:val="18"/>
                          </w:rPr>
                          <w:t xml:space="preserve">del ricorso e ne viene data comunicazione alle parti almeno dieci giorni liberi </w:t>
                        </w:r>
                      </w:p>
                    </w:txbxContent>
                  </v:textbox>
                </v:rect>
                <v:rect id="Rectangle 14090" o:spid="_x0000_s1099" style="position:absolute;left:19993;top:58710;width:199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BPRxwAAAN4AAAAPAAAAZHJzL2Rvd25yZXYueG1sRI9Ba8JA&#10;EIXvhf6HZQq91U1LKTa6ilikOfSiVfA4ZMckmp1dsqtJ++udg+Bthnnz3vum88G16kJdbDwbeB1l&#10;oIhLbxuuDGx/Vy9jUDEhW2w9k4E/ijCfPT5MMbe+5zVdNqlSYsIxRwN1SiHXOpY1OYwjH4jldvCd&#10;wyRrV2nbYS/mrtVvWfahHTYsCTUGWtZUnjZnZ2D/xaFY9bo8/C/Dz7EYt9/n7c6Y56dhMQGVaEh3&#10;8e27sFL/PfsUAMGRGfTsCgAA//8DAFBLAQItABQABgAIAAAAIQDb4fbL7gAAAIUBAAATAAAAAAAA&#10;AAAAAAAAAAAAAABbQ29udGVudF9UeXBlc10ueG1sUEsBAi0AFAAGAAgAAAAhAFr0LFu/AAAAFQEA&#10;AAsAAAAAAAAAAAAAAAAAHwEAAF9yZWxzLy5yZWxzUEsBAi0AFAAGAAgAAAAhAC5gE9HHAAAA3gAA&#10;AA8AAAAAAAAAAAAAAAAABwIAAGRycy9kb3ducmV2LnhtbFBLBQYAAAAAAwADALcAAAD7AgAAAAA=&#10;" filled="f" stroked="f">
                  <v:textbox inset="0,0,0,0">
                    <w:txbxContent>
                      <w:p w14:paraId="04D6C1A4" w14:textId="77777777" w:rsidR="00B32EF2" w:rsidRDefault="00000000">
                        <w:r>
                          <w:rPr>
                            <w:rFonts w:ascii="Arial" w:eastAsia="Arial" w:hAnsi="Arial" w:cs="Arial"/>
                            <w:sz w:val="18"/>
                          </w:rPr>
                          <w:t>prima a cura della segreteria.</w:t>
                        </w:r>
                      </w:p>
                    </w:txbxContent>
                  </v:textbox>
                </v:rect>
                <v:rect id="Rectangle 198516" o:spid="_x0000_s1100" style="position:absolute;left:26111;top:5746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aGAxAAAAN8AAAAPAAAAZHJzL2Rvd25yZXYueG1sRE/LasJA&#10;FN0X/IfhCu7qxIISo6OIIs2im/oAl5fMNYlm7gyZ0aT9+k6h0OXhvJfr3jTiSa2vLSuYjBMQxIXV&#10;NZcKTsf9awrCB2SNjWVS8EUe1qvByxIzbTv+pOchlCKGsM9QQRWCy6T0RUUG/dg64shdbWswRNiW&#10;UrfYxXDTyLckmUmDNceGCh1tKyruh4dRcNmxy/edLK7fW/dxy9Pm/XE6KzUa9psFiEB9+Bf/uXMd&#10;58/T6WQGv38iALn6AQAA//8DAFBLAQItABQABgAIAAAAIQDb4fbL7gAAAIUBAAATAAAAAAAAAAAA&#10;AAAAAAAAAABbQ29udGVudF9UeXBlc10ueG1sUEsBAi0AFAAGAAgAAAAhAFr0LFu/AAAAFQEAAAsA&#10;AAAAAAAAAAAAAAAAHwEAAF9yZWxzLy5yZWxzUEsBAi0AFAAGAAgAAAAhAIrloYDEAAAA3wAAAA8A&#10;AAAAAAAAAAAAAAAABwIAAGRycy9kb3ducmV2LnhtbFBLBQYAAAAAAwADALcAAAD4AgAAAAA=&#10;" filled="f" stroked="f">
                  <v:textbox inset="0,0,0,0">
                    <w:txbxContent>
                      <w:p w14:paraId="5AA28336" w14:textId="77777777" w:rsidR="00B32EF2" w:rsidRDefault="00000000">
                        <w:r>
                          <w:rPr>
                            <w:rFonts w:ascii="Arial" w:eastAsia="Arial" w:hAnsi="Arial" w:cs="Arial"/>
                            <w:sz w:val="18"/>
                          </w:rPr>
                          <w:t>7</w:t>
                        </w:r>
                      </w:p>
                    </w:txbxContent>
                  </v:textbox>
                </v:rect>
                <v:rect id="Rectangle 198519" o:spid="_x0000_s1101" style="position:absolute;left:-13696;top:5746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jXyxAAAAN8AAAAPAAAAZHJzL2Rvd25yZXYueG1sRE/LasJA&#10;FN0L/sNwBXc6sWCJ0VFEkWbRTX2Ay0vmmqTN3Bkyo0n79Z1CweXhvFeb3jTiQa2vLSuYTRMQxIXV&#10;NZcKzqfDJAXhA7LGxjIp+CYPm/VwsMJM244/6HEMpYgh7DNUUIXgMil9UZFBP7WOOHI32xoMEbal&#10;1C12Mdw08iVJXqXBmmNDhY52FRVfx7tRcN2zyw+dLG4/O/f+mafN2/18UWo86rdLEIH68BT/u3Md&#10;5y/S+WwBf38iALn+BQAA//8DAFBLAQItABQABgAIAAAAIQDb4fbL7gAAAIUBAAATAAAAAAAAAAAA&#10;AAAAAAAAAABbQ29udGVudF9UeXBlc10ueG1sUEsBAi0AFAAGAAgAAAAhAFr0LFu/AAAAFQEAAAsA&#10;AAAAAAAAAAAAAAAAHwEAAF9yZWxzLy5yZWxzUEsBAi0AFAAGAAgAAAAhAPt6NfLEAAAA3wAAAA8A&#10;AAAAAAAAAAAAAAAABwIAAGRycy9kb3ducmV2LnhtbFBLBQYAAAAAAwADALcAAAD4AgAAAAA=&#10;" filled="f" stroked="f">
                  <v:textbox inset="0,0,0,0">
                    <w:txbxContent>
                      <w:p w14:paraId="6F6DDB0F" w14:textId="77777777" w:rsidR="00B32EF2" w:rsidRDefault="00000000">
                        <w:r>
                          <w:rPr>
                            <w:rFonts w:ascii="Arial" w:eastAsia="Arial" w:hAnsi="Arial" w:cs="Arial"/>
                            <w:sz w:val="18"/>
                          </w:rPr>
                          <w:t xml:space="preserve">. La corte di giustizia tributaria, sentite le parti in contraddittorio ed acquisita </w:t>
                        </w:r>
                      </w:p>
                    </w:txbxContent>
                  </v:textbox>
                </v:rect>
                <v:rect id="Rectangle 14092" o:spid="_x0000_s1102" style="position:absolute;left:-12234;top:56220;width:521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9xAAAAN4AAAAPAAAAZHJzL2Rvd25yZXYueG1sRE9Na8JA&#10;EL0L/Q/LFLzppiKiqasUi5hDL2oKPQ7ZMUmbnV2yq4n99a4geJvH+5zlujeNuFDra8sK3sYJCOLC&#10;6ppLBflxO5qD8AFZY2OZFFzJw3r1Mlhiqm3He7ocQiliCPsUFVQhuFRKX1Rk0I+tI47cybYGQ4Rt&#10;KXWLXQw3jZwkyUwarDk2VOhoU1HxdzgbBT+f7LJtJ4vT/8Z9/WbzZnfOv5UavvYf7yAC9eEpfrgz&#10;HedPk8UE7u/EG+TqBgAA//8DAFBLAQItABQABgAIAAAAIQDb4fbL7gAAAIUBAAATAAAAAAAAAAAA&#10;AAAAAAAAAABbQ29udGVudF9UeXBlc10ueG1sUEsBAi0AFAAGAAgAAAAhAFr0LFu/AAAAFQEAAAsA&#10;AAAAAAAAAAAAAAAAHwEAAF9yZWxzLy5yZWxzUEsBAi0AFAAGAAgAAAAhALH+KD3EAAAA3gAAAA8A&#10;AAAAAAAAAAAAAAAABwIAAGRycy9kb3ducmV2LnhtbFBLBQYAAAAAAwADALcAAAD4AgAAAAA=&#10;" filled="f" stroked="f">
                  <v:textbox inset="0,0,0,0">
                    <w:txbxContent>
                      <w:p w14:paraId="306F890A" w14:textId="77777777" w:rsidR="00B32EF2" w:rsidRDefault="00000000">
                        <w:r>
                          <w:rPr>
                            <w:rFonts w:ascii="Arial" w:eastAsia="Arial" w:hAnsi="Arial" w:cs="Arial"/>
                            <w:sz w:val="18"/>
                          </w:rPr>
                          <w:t>la documentazione necessaria, adotta con sentenza i provvedimenti indispen</w:t>
                        </w:r>
                      </w:p>
                    </w:txbxContent>
                  </v:textbox>
                </v:rect>
                <v:rect id="Rectangle 14093" o:spid="_x0000_s1103" style="position:absolute;left:193;top:5622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o2mxQAAAN4AAAAPAAAAZHJzL2Rvd25yZXYueG1sRE9La8JA&#10;EL4L/Q/LFHrTTa0UG12lKNIcvPgoeByyYxLNzi7Z1aT+elcoeJuP7znTeWdqcaXGV5YVvA8SEMS5&#10;1RUXCva7VX8MwgdkjbVlUvBHHuazl94UU21b3tB1GwoRQ9inqKAMwaVS+rwkg35gHXHkjrYxGCJs&#10;CqkbbGO4qeUwST6lwYpjQ4mOFiXl5+3FKDgs2WWrVubH28KtT9m4/rnsf5V6e+2+JyACdeEp/ndn&#10;Os4fJV8f8Hgn3iBndwAAAP//AwBQSwECLQAUAAYACAAAACEA2+H2y+4AAACFAQAAEwAAAAAAAAAA&#10;AAAAAAAAAAAAW0NvbnRlbnRfVHlwZXNdLnhtbFBLAQItABQABgAIAAAAIQBa9CxbvwAAABUBAAAL&#10;AAAAAAAAAAAAAAAAAB8BAABfcmVscy8ucmVsc1BLAQItABQABgAIAAAAIQDeso2mxQAAAN4AAAAP&#10;AAAAAAAAAAAAAAAAAAcCAABkcnMvZG93bnJldi54bWxQSwUGAAAAAAMAAwC3AAAA+QIAAAAA&#10;" filled="f" stroked="f">
                  <v:textbox inset="0,0,0,0">
                    <w:txbxContent>
                      <w:p w14:paraId="24DE952D" w14:textId="77777777" w:rsidR="00B32EF2" w:rsidRDefault="00000000">
                        <w:r>
                          <w:rPr>
                            <w:rFonts w:ascii="Arial" w:eastAsia="Arial" w:hAnsi="Arial" w:cs="Arial"/>
                            <w:sz w:val="18"/>
                          </w:rPr>
                          <w:t>-</w:t>
                        </w:r>
                      </w:p>
                    </w:txbxContent>
                  </v:textbox>
                </v:rect>
                <v:rect id="Rectangle 14094" o:spid="_x0000_s1104" style="position:absolute;left:-12231;top:54976;width:5212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xXSxQAAAN4AAAAPAAAAZHJzL2Rvd25yZXYueG1sRE9LawIx&#10;EL4X/A9hhN40axGxW7MiinQPvdQqeBw2s4+6mYRNdLf99aYg9DYf33NW68G04kadbywrmE0TEMSF&#10;1Q1XCo5f+8kShA/IGlvLpOCHPKyz0dMKU217/qTbIVQihrBPUUEdgkul9EVNBv3UOuLIlbYzGCLs&#10;Kqk77GO4aeVLkiykwYZjQ42OtjUVl8PVKDjv2OX7Xhbl79Z9fOfL9v16PCn1PB42byACDeFf/HDn&#10;Os6fJ69z+Hsn3iCzOwAAAP//AwBQSwECLQAUAAYACAAAACEA2+H2y+4AAACFAQAAEwAAAAAAAAAA&#10;AAAAAAAAAAAAW0NvbnRlbnRfVHlwZXNdLnhtbFBLAQItABQABgAIAAAAIQBa9CxbvwAAABUBAAAL&#10;AAAAAAAAAAAAAAAAAB8BAABfcmVscy8ucmVsc1BLAQItABQABgAIAAAAIQBRWxXSxQAAAN4AAAAP&#10;AAAAAAAAAAAAAAAAAAcCAABkcnMvZG93bnJldi54bWxQSwUGAAAAAAMAAwC3AAAA+QIAAAAA&#10;" filled="f" stroked="f">
                  <v:textbox inset="0,0,0,0">
                    <w:txbxContent>
                      <w:p w14:paraId="4AC5A0C6" w14:textId="77777777" w:rsidR="00B32EF2" w:rsidRDefault="00000000">
                        <w:r>
                          <w:rPr>
                            <w:rFonts w:ascii="Arial" w:eastAsia="Arial" w:hAnsi="Arial" w:cs="Arial"/>
                            <w:sz w:val="18"/>
                          </w:rPr>
                          <w:t>sabili per l’ottemperanza in luogo dell’ufficio che li ha omessi e nelle forme ammi</w:t>
                        </w:r>
                      </w:p>
                    </w:txbxContent>
                  </v:textbox>
                </v:rect>
                <v:rect id="Rectangle 14095" o:spid="_x0000_s1105" style="position:absolute;left:193;top:54976;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BJxQAAAN4AAAAPAAAAZHJzL2Rvd25yZXYueG1sRE9La8JA&#10;EL4L/Q/LFHrTTaUWG12lKNIcvPgoeByyYxLNzi7Z1aT+elcoeJuP7znTeWdqcaXGV5YVvA8SEMS5&#10;1RUXCva7VX8MwgdkjbVlUvBHHuazl94UU21b3tB1GwoRQ9inqKAMwaVS+rwkg35gHXHkjrYxGCJs&#10;CqkbbGO4qeUwST6lwYpjQ4mOFiXl5+3FKDgs2WWrVubH28KtT9m4/rnsf5V6e+2+JyACdeEp/ndn&#10;Os7/SL5G8Hgn3iBndwAAAP//AwBQSwECLQAUAAYACAAAACEA2+H2y+4AAACFAQAAEwAAAAAAAAAA&#10;AAAAAAAAAAAAW0NvbnRlbnRfVHlwZXNdLnhtbFBLAQItABQABgAIAAAAIQBa9CxbvwAAABUBAAAL&#10;AAAAAAAAAAAAAAAAAB8BAABfcmVscy8ucmVsc1BLAQItABQABgAIAAAAIQA+F7BJxQAAAN4AAAAP&#10;AAAAAAAAAAAAAAAAAAcCAABkcnMvZG93bnJldi54bWxQSwUGAAAAAAMAAwC3AAAA+QIAAAAA&#10;" filled="f" stroked="f">
                  <v:textbox inset="0,0,0,0">
                    <w:txbxContent>
                      <w:p w14:paraId="46B65BF4" w14:textId="77777777" w:rsidR="00B32EF2" w:rsidRDefault="00000000">
                        <w:r>
                          <w:rPr>
                            <w:rFonts w:ascii="Arial" w:eastAsia="Arial" w:hAnsi="Arial" w:cs="Arial"/>
                            <w:sz w:val="18"/>
                          </w:rPr>
                          <w:t>-</w:t>
                        </w:r>
                      </w:p>
                    </w:txbxContent>
                  </v:textbox>
                </v:rect>
                <v:rect id="Rectangle 14096" o:spid="_x0000_s1106" style="position:absolute;left:-12230;top:53731;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S4+xQAAAN4AAAAPAAAAZHJzL2Rvd25yZXYueG1sRE9LawIx&#10;EL4X+h/CFLxptkVEV7NSLNI99OKj0OOwmX3YzSRsorv66xtB6G0+vues1oNpxYU631hW8DpJQBAX&#10;VjdcKTgetuM5CB+QNbaWScGVPKyz56cVptr2vKPLPlQihrBPUUEdgkul9EVNBv3EOuLIlbYzGCLs&#10;Kqk77GO4aeVbksykwYZjQ42ONjUVv/uzUfDzwS7f9rIobxv3dcrn7ef5+K3U6GV4X4IINIR/8cOd&#10;6zh/mixmcH8n3iCzPwAAAP//AwBQSwECLQAUAAYACAAAACEA2+H2y+4AAACFAQAAEwAAAAAAAAAA&#10;AAAAAAAAAAAAW0NvbnRlbnRfVHlwZXNdLnhtbFBLAQItABQABgAIAAAAIQBa9CxbvwAAABUBAAAL&#10;AAAAAAAAAAAAAAAAAB8BAABfcmVscy8ucmVsc1BLAQItABQABgAIAAAAIQDOxS4+xQAAAN4AAAAP&#10;AAAAAAAAAAAAAAAAAAcCAABkcnMvZG93bnJldi54bWxQSwUGAAAAAAMAAwC3AAAA+QIAAAAA&#10;" filled="f" stroked="f">
                  <v:textbox inset="0,0,0,0">
                    <w:txbxContent>
                      <w:p w14:paraId="5BEC23B6" w14:textId="77777777" w:rsidR="00B32EF2" w:rsidRDefault="00000000">
                        <w:r>
                          <w:rPr>
                            <w:rFonts w:ascii="Arial" w:eastAsia="Arial" w:hAnsi="Arial" w:cs="Arial"/>
                            <w:sz w:val="18"/>
                          </w:rPr>
                          <w:t>nistrative per essi prescritti dalla legge, attenendosi agli obblighi risultanti espres</w:t>
                        </w:r>
                      </w:p>
                    </w:txbxContent>
                  </v:textbox>
                </v:rect>
                <v:rect id="Rectangle 14097" o:spid="_x0000_s1107" style="position:absolute;left:193;top:5373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YulxQAAAN4AAAAPAAAAZHJzL2Rvd25yZXYueG1sRE9La8JA&#10;EL4L/Q/LFHrTTaVYG12lKNIcvPgoeByyYxLNzi7Z1aT+elcoeJuP7znTeWdqcaXGV5YVvA8SEMS5&#10;1RUXCva7VX8MwgdkjbVlUvBHHuazl94UU21b3tB1GwoRQ9inqKAMwaVS+rwkg35gHXHkjrYxGCJs&#10;CqkbbGO4qeUwSUbSYMWxoURHi5Ly8/ZiFByW7LJVK/PjbeHWp2xc/1z2v0q9vXbfExCBuvAU/7sz&#10;Hed/JF+f8Hgn3iBndwAAAP//AwBQSwECLQAUAAYACAAAACEA2+H2y+4AAACFAQAAEwAAAAAAAAAA&#10;AAAAAAAAAAAAW0NvbnRlbnRfVHlwZXNdLnhtbFBLAQItABQABgAIAAAAIQBa9CxbvwAAABUBAAAL&#10;AAAAAAAAAAAAAAAAAB8BAABfcmVscy8ucmVsc1BLAQItABQABgAIAAAAIQChiYulxQAAAN4AAAAP&#10;AAAAAAAAAAAAAAAAAAcCAABkcnMvZG93bnJldi54bWxQSwUGAAAAAAMAAwC3AAAA+QIAAAAA&#10;" filled="f" stroked="f">
                  <v:textbox inset="0,0,0,0">
                    <w:txbxContent>
                      <w:p w14:paraId="0C1BEC80" w14:textId="77777777" w:rsidR="00B32EF2" w:rsidRDefault="00000000">
                        <w:r>
                          <w:rPr>
                            <w:rFonts w:ascii="Arial" w:eastAsia="Arial" w:hAnsi="Arial" w:cs="Arial"/>
                            <w:sz w:val="18"/>
                          </w:rPr>
                          <w:t>-</w:t>
                        </w:r>
                      </w:p>
                    </w:txbxContent>
                  </v:textbox>
                </v:rect>
                <v:rect id="Rectangle 14098" o:spid="_x0000_s1108" style="position:absolute;left:-13160;top:52486;width:530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XxwAAAN4AAAAPAAAAZHJzL2Rvd25yZXYueG1sRI9Ba8JA&#10;EIXvhf6HZQq91U1LKTa6ilikOfSiVfA4ZMckmp1dsqtJ++udg+BthvfmvW+m88G16kJdbDwbeB1l&#10;oIhLbxuuDGx/Vy9jUDEhW2w9k4E/ijCfPT5MMbe+5zVdNqlSEsIxRwN1SiHXOpY1OYwjH4hFO/jO&#10;YZK1q7TtsJdw1+q3LPvQDhuWhhoDLWsqT5uzM7D/4lCsel0e/pfh51iM2+/zdmfM89OwmIBKNKS7&#10;+XZdWMF/zz6FV96RGfTsCgAA//8DAFBLAQItABQABgAIAAAAIQDb4fbL7gAAAIUBAAATAAAAAAAA&#10;AAAAAAAAAAAAAABbQ29udGVudF9UeXBlc10ueG1sUEsBAi0AFAAGAAgAAAAhAFr0LFu/AAAAFQEA&#10;AAsAAAAAAAAAAAAAAAAAHwEAAF9yZWxzLy5yZWxzUEsBAi0AFAAGAAgAAAAhANAWH9fHAAAA3gAA&#10;AA8AAAAAAAAAAAAAAAAABwIAAGRycy9kb3ducmV2LnhtbFBLBQYAAAAAAwADALcAAAD7AgAAAAA=&#10;" filled="f" stroked="f">
                  <v:textbox inset="0,0,0,0">
                    <w:txbxContent>
                      <w:p w14:paraId="634FBD42" w14:textId="77777777" w:rsidR="00B32EF2" w:rsidRDefault="00000000">
                        <w:r>
                          <w:rPr>
                            <w:rFonts w:ascii="Arial" w:eastAsia="Arial" w:hAnsi="Arial" w:cs="Arial"/>
                            <w:sz w:val="18"/>
                          </w:rPr>
                          <w:t xml:space="preserve">samente dal dispositivo della sentenza e tenuto conto della relativa motivazione. </w:t>
                        </w:r>
                      </w:p>
                    </w:txbxContent>
                  </v:textbox>
                </v:rect>
                <v:rect id="Rectangle 14099" o:spid="_x0000_s1109" style="position:absolute;left:-13162;top:51241;width:530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pMxQAAAN4AAAAPAAAAZHJzL2Rvd25yZXYueG1sRE9LawIx&#10;EL4L/Q9hCt402yJFV7NSLNI99KK10OOwmX3YzSRsorv6640g9DYf33NW68G04kydbywreJkmIIgL&#10;qxuuFBy+t5M5CB+QNbaWScGFPKyzp9EKU2173tF5HyoRQ9inqKAOwaVS+qImg35qHXHkStsZDBF2&#10;ldQd9jHctPI1Sd6kwYZjQ42ONjUVf/uTUfD7wS7f9rIorxv3dczn7efp8KPU+Hl4X4IINIR/8cOd&#10;6zh/liwWcH8n3iCzGwAAAP//AwBQSwECLQAUAAYACAAAACEA2+H2y+4AAACFAQAAEwAAAAAAAAAA&#10;AAAAAAAAAAAAW0NvbnRlbnRfVHlwZXNdLnhtbFBLAQItABQABgAIAAAAIQBa9CxbvwAAABUBAAAL&#10;AAAAAAAAAAAAAAAAAB8BAABfcmVscy8ucmVsc1BLAQItABQABgAIAAAAIQC/WrpMxQAAAN4AAAAP&#10;AAAAAAAAAAAAAAAAAAcCAABkcnMvZG93bnJldi54bWxQSwUGAAAAAAMAAwC3AAAA+QIAAAAA&#10;" filled="f" stroked="f">
                  <v:textbox inset="0,0,0,0">
                    <w:txbxContent>
                      <w:p w14:paraId="32051F08" w14:textId="77777777" w:rsidR="00B32EF2" w:rsidRDefault="00000000">
                        <w:r>
                          <w:rPr>
                            <w:rFonts w:ascii="Arial" w:eastAsia="Arial" w:hAnsi="Arial" w:cs="Arial"/>
                            <w:sz w:val="18"/>
                          </w:rPr>
                          <w:t xml:space="preserve">La corte, se lo ritiene opportuno, può delegare un proprio componente o nominare </w:t>
                        </w:r>
                      </w:p>
                    </w:txbxContent>
                  </v:textbox>
                </v:rect>
                <v:rect id="Rectangle 14100" o:spid="_x0000_s1110" style="position:absolute;left:-13162;top:49997;width:530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nLxwAAAN4AAAAPAAAAZHJzL2Rvd25yZXYueG1sRI9Ba8JA&#10;EIXvhf6HZQre6sYiIqmriEXMoZeqhR6H7JikZmeX7Gpif33nIHibYd68977FanCtulIXG88GJuMM&#10;FHHpbcOVgeNh+zoHFROyxdYzGbhRhNXy+WmBufU9f9F1nyolJhxzNFCnFHKtY1mTwzj2gVhuJ985&#10;TLJ2lbYd9mLuWv2WZTPtsGFJqDHQpqbyvL84Az8fHIptr8vT3yZ8/hbzdnc5fhszehnW76ASDekh&#10;vn8XVupPJ5kACI7MoJf/AAAA//8DAFBLAQItABQABgAIAAAAIQDb4fbL7gAAAIUBAAATAAAAAAAA&#10;AAAAAAAAAAAAAABbQ29udGVudF9UeXBlc10ueG1sUEsBAi0AFAAGAAgAAAAhAFr0LFu/AAAAFQEA&#10;AAsAAAAAAAAAAAAAAAAAHwEAAF9yZWxzLy5yZWxzUEsBAi0AFAAGAAgAAAAhALCLicvHAAAA3gAA&#10;AA8AAAAAAAAAAAAAAAAABwIAAGRycy9kb3ducmV2LnhtbFBLBQYAAAAAAwADALcAAAD7AgAAAAA=&#10;" filled="f" stroked="f">
                  <v:textbox inset="0,0,0,0">
                    <w:txbxContent>
                      <w:p w14:paraId="33E004F7" w14:textId="77777777" w:rsidR="00B32EF2" w:rsidRDefault="00000000">
                        <w:r>
                          <w:rPr>
                            <w:rFonts w:ascii="Arial" w:eastAsia="Arial" w:hAnsi="Arial" w:cs="Arial"/>
                            <w:sz w:val="18"/>
                          </w:rPr>
                          <w:t xml:space="preserve">un commissario al quale fissa un termine congruo per i necessari provvedimenti </w:t>
                        </w:r>
                      </w:p>
                    </w:txbxContent>
                  </v:textbox>
                </v:rect>
                <v:rect id="Rectangle 14101" o:spid="_x0000_s1111" style="position:absolute;left:-13161;top:48752;width:53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yxQxAAAAN4AAAAPAAAAZHJzL2Rvd25yZXYueG1sRE9Ni8Iw&#10;EL0v+B/CCN7WtIuIVKOIItvDXnQVPA7N2FabSWii7e6v3wjC3ubxPmex6k0jHtT62rKCdJyAIC6s&#10;rrlUcPzevc9A+ICssbFMCn7Iw2o5eFtgpm3He3ocQiliCPsMFVQhuExKX1Rk0I+tI47cxbYGQ4Rt&#10;KXWLXQw3jfxIkqk0WHNsqNDRpqLidrgbBectu3zXyeLyu3Ff13zWfN6PJ6VGw349BxGoD//ilzvX&#10;cf4kTVJ4vhNvkMs/AAAA//8DAFBLAQItABQABgAIAAAAIQDb4fbL7gAAAIUBAAATAAAAAAAAAAAA&#10;AAAAAAAAAABbQ29udGVudF9UeXBlc10ueG1sUEsBAi0AFAAGAAgAAAAhAFr0LFu/AAAAFQEAAAsA&#10;AAAAAAAAAAAAAAAAHwEAAF9yZWxzLy5yZWxzUEsBAi0AFAAGAAgAAAAhAN/HLFDEAAAA3gAAAA8A&#10;AAAAAAAAAAAAAAAABwIAAGRycy9kb3ducmV2LnhtbFBLBQYAAAAAAwADALcAAAD4AgAAAAA=&#10;" filled="f" stroked="f">
                  <v:textbox inset="0,0,0,0">
                    <w:txbxContent>
                      <w:p w14:paraId="7B66D0E8" w14:textId="77777777" w:rsidR="00B32EF2" w:rsidRDefault="00000000">
                        <w:r>
                          <w:rPr>
                            <w:rFonts w:ascii="Arial" w:eastAsia="Arial" w:hAnsi="Arial" w:cs="Arial"/>
                            <w:sz w:val="18"/>
                          </w:rPr>
                          <w:t xml:space="preserve">attuativi e determina il compenso a lui spettante secondo le disposizioni del Titolo </w:t>
                        </w:r>
                      </w:p>
                    </w:txbxContent>
                  </v:textbox>
                </v:rect>
                <v:rect id="Rectangle 14102" o:spid="_x0000_s1112" style="position:absolute;left:-12229;top:47507;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bInwwAAAN4AAAAPAAAAZHJzL2Rvd25yZXYueG1sRE9Li8Iw&#10;EL4L+x/CLHjTVJFFukYRRexhL+sDPA7N2HZtJqGJtuuvN4LgbT6+58wWnanFjRpfWVYwGiYgiHOr&#10;Ky4UHPabwRSED8gaa8uk4J88LOYfvRmm2rb8S7ddKEQMYZ+igjIEl0rp85IM+qF1xJE728ZgiLAp&#10;pG6wjeGmluMk+ZIGK44NJTpalZRfdlej4LRml21amZ/vK/fzl03r7fVwVKr/2S2/QQTqwlv8cmc6&#10;zp+MkjE834k3yPkDAAD//wMAUEsBAi0AFAAGAAgAAAAhANvh9svuAAAAhQEAABMAAAAAAAAAAAAA&#10;AAAAAAAAAFtDb250ZW50X1R5cGVzXS54bWxQSwECLQAUAAYACAAAACEAWvQsW78AAAAVAQAACwAA&#10;AAAAAAAAAAAAAAAfAQAAX3JlbHMvLnJlbHNQSwECLQAUAAYACAAAACEALxWyJ8MAAADeAAAADwAA&#10;AAAAAAAAAAAAAAAHAgAAZHJzL2Rvd25yZXYueG1sUEsFBgAAAAADAAMAtwAAAPcCAAAAAA==&#10;" filled="f" stroked="f">
                  <v:textbox inset="0,0,0,0">
                    <w:txbxContent>
                      <w:p w14:paraId="0F70387D" w14:textId="77777777" w:rsidR="00B32EF2" w:rsidRDefault="00000000">
                        <w:r>
                          <w:rPr>
                            <w:rFonts w:ascii="Arial" w:eastAsia="Arial" w:hAnsi="Arial" w:cs="Arial"/>
                            <w:sz w:val="18"/>
                          </w:rPr>
                          <w:t>VII del Capo IV del Testo unico delle disposizioni legislative e regolamentari in ma</w:t>
                        </w:r>
                      </w:p>
                    </w:txbxContent>
                  </v:textbox>
                </v:rect>
                <v:rect id="Rectangle 14103" o:spid="_x0000_s1113" style="position:absolute;left:193;top:4750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Re8xAAAAN4AAAAPAAAAZHJzL2Rvd25yZXYueG1sRE9Na8JA&#10;EL0X+h+WKXirG6sUia4iFjGHXtQUehyyYxLNzi7Z1cT+elcoeJvH+5z5sjeNuFLra8sKRsMEBHFh&#10;dc2lgvyweZ+C8AFZY2OZFNzIw3Lx+jLHVNuOd3Tdh1LEEPYpKqhCcKmUvqjIoB9aRxy5o20Nhgjb&#10;UuoWuxhuGvmRJJ/SYM2xoUJH64qK8/5iFPx+scs2nSyOf2v3fcqmzfaS/yg1eOtXMxCB+vAU/7sz&#10;HedPRskYHu/EG+TiDgAA//8DAFBLAQItABQABgAIAAAAIQDb4fbL7gAAAIUBAAATAAAAAAAAAAAA&#10;AAAAAAAAAABbQ29udGVudF9UeXBlc10ueG1sUEsBAi0AFAAGAAgAAAAhAFr0LFu/AAAAFQEAAAsA&#10;AAAAAAAAAAAAAAAAHwEAAF9yZWxzLy5yZWxzUEsBAi0AFAAGAAgAAAAhAEBZF7zEAAAA3gAAAA8A&#10;AAAAAAAAAAAAAAAABwIAAGRycy9kb3ducmV2LnhtbFBLBQYAAAAAAwADALcAAAD4AgAAAAA=&#10;" filled="f" stroked="f">
                  <v:textbox inset="0,0,0,0">
                    <w:txbxContent>
                      <w:p w14:paraId="5F78EE9C" w14:textId="77777777" w:rsidR="00B32EF2" w:rsidRDefault="00000000">
                        <w:r>
                          <w:rPr>
                            <w:rFonts w:ascii="Arial" w:eastAsia="Arial" w:hAnsi="Arial" w:cs="Arial"/>
                            <w:sz w:val="18"/>
                          </w:rPr>
                          <w:t>-</w:t>
                        </w:r>
                      </w:p>
                    </w:txbxContent>
                  </v:textbox>
                </v:rect>
                <v:rect id="Rectangle 14104" o:spid="_x0000_s1114" style="position:absolute;left:-13161;top:46262;width:53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I/IxQAAAN4AAAAPAAAAZHJzL2Rvd25yZXYueG1sRE9Na8JA&#10;EL0L/odlhN50YwkSoqsUizSHXkwt9DhkxyQ2O7tk1yTtr+8WCr3N433O7jCZTgzU+9aygvUqAUFc&#10;Wd1yreDydlpmIHxA1thZJgVf5OGwn892mGs78pmGMtQihrDPUUETgsul9FVDBv3KOuLIXW1vMETY&#10;11L3OMZw08nHJNlIgy3HhgYdHRuqPsu7UfDxzK44jbK6fh/d663Iupf75V2ph8X0tAURaAr/4j93&#10;oeP8dJ2k8PtOvEHufwAAAP//AwBQSwECLQAUAAYACAAAACEA2+H2y+4AAACFAQAAEwAAAAAAAAAA&#10;AAAAAAAAAAAAW0NvbnRlbnRfVHlwZXNdLnhtbFBLAQItABQABgAIAAAAIQBa9CxbvwAAABUBAAAL&#10;AAAAAAAAAAAAAAAAAB8BAABfcmVscy8ucmVsc1BLAQItABQABgAIAAAAIQDPsI/IxQAAAN4AAAAP&#10;AAAAAAAAAAAAAAAAAAcCAABkcnMvZG93bnJldi54bWxQSwUGAAAAAAMAAwC3AAAA+QIAAAAA&#10;" filled="f" stroked="f">
                  <v:textbox inset="0,0,0,0">
                    <w:txbxContent>
                      <w:p w14:paraId="2B85159C" w14:textId="77777777" w:rsidR="00B32EF2" w:rsidRDefault="00000000">
                        <w:r>
                          <w:rPr>
                            <w:rFonts w:ascii="Arial" w:eastAsia="Arial" w:hAnsi="Arial" w:cs="Arial"/>
                            <w:sz w:val="18"/>
                          </w:rPr>
                          <w:t xml:space="preserve">teria di spese di giustizia approvato con decreto del Presidente della Repubblica </w:t>
                        </w:r>
                      </w:p>
                    </w:txbxContent>
                  </v:textbox>
                </v:rect>
                <v:rect id="Rectangle 198512" o:spid="_x0000_s1115" style="position:absolute;left:34751;top:45018;width:156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qeDxAAAAN8AAAAPAAAAZHJzL2Rvd25yZXYueG1sRE/LasJA&#10;FN0L/sNwBXd1olCJqaOIIs2im/qALi+Za5I2c2fIjCb2651CweXhvJfr3jTiRq2vLSuYThIQxIXV&#10;NZcKTsf9SwrCB2SNjWVScCcP69VwsMRM244/6XYIpYgh7DNUUIXgMil9UZFBP7GOOHIX2xoMEbal&#10;1C12Mdw0cpYkc2mw5thQoaNtRcXP4WoUfO3Y5ftOFpffrfv4ztPm/Xo6KzUe9Zs3EIH68BT/u3Md&#10;5y/S1+kM/v5EAHL1AAAA//8DAFBLAQItABQABgAIAAAAIQDb4fbL7gAAAIUBAAATAAAAAAAAAAAA&#10;AAAAAAAAAABbQ29udGVudF9UeXBlc10ueG1sUEsBAi0AFAAGAAgAAAAhAFr0LFu/AAAAFQEAAAsA&#10;AAAAAAAAAAAAAAAAHwEAAF9yZWxzLy5yZWxzUEsBAi0AFAAGAAgAAAAhAPXep4PEAAAA3wAAAA8A&#10;AAAAAAAAAAAAAAAABwIAAGRycy9kb3ducmV2LnhtbFBLBQYAAAAAAwADALcAAAD4AgAAAAA=&#10;" filled="f" stroked="f">
                  <v:textbox inset="0,0,0,0">
                    <w:txbxContent>
                      <w:p w14:paraId="6F489DBC" w14:textId="77777777" w:rsidR="00B32EF2" w:rsidRDefault="00000000">
                        <w:r>
                          <w:rPr>
                            <w:rFonts w:ascii="Arial" w:eastAsia="Arial" w:hAnsi="Arial" w:cs="Arial"/>
                            <w:sz w:val="18"/>
                          </w:rPr>
                          <w:t>30</w:t>
                        </w:r>
                      </w:p>
                    </w:txbxContent>
                  </v:textbox>
                </v:rect>
                <v:rect id="Rectangle 198513" o:spid="_x0000_s1116" style="position:absolute;left:14406;top:45018;width:156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IYxQAAAN8AAAAPAAAAZHJzL2Rvd25yZXYueG1sRE/LasJA&#10;FN0X/IfhCu7qRKUlTR1FFGkWbuoDurxkrklq5s6QGU3ar3cKBZeH854ve9OIG7W+tqxgMk5AEBdW&#10;11wqOB62zykIH5A1NpZJwQ95WC4GT3PMtO34k277UIoYwj5DBVUILpPSFxUZ9GPriCN3tq3BEGFb&#10;St1iF8NNI6dJ8ioN1hwbKnS0rqi47K9GwdeGXb7tZHH+Xbvdd542H9fjSanRsF+9gwjUh4f4353r&#10;OP8tfZnM4O9PBCAXdwAAAP//AwBQSwECLQAUAAYACAAAACEA2+H2y+4AAACFAQAAEwAAAAAAAAAA&#10;AAAAAAAAAAAAW0NvbnRlbnRfVHlwZXNdLnhtbFBLAQItABQABgAIAAAAIQBa9CxbvwAAABUBAAAL&#10;AAAAAAAAAAAAAAAAAB8BAABfcmVscy8ucmVsc1BLAQItABQABgAIAAAAIQCakgIYxQAAAN8AAAAP&#10;AAAAAAAAAAAAAAAAAAcCAABkcnMvZG93bnJldi54bWxQSwUGAAAAAAMAAwC3AAAA+QIAAAAA&#10;" filled="f" stroked="f">
                  <v:textbox inset="0,0,0,0">
                    <w:txbxContent>
                      <w:p w14:paraId="3019D442" w14:textId="77777777" w:rsidR="00B32EF2" w:rsidRDefault="00000000">
                        <w:r>
                          <w:rPr>
                            <w:rFonts w:ascii="Arial" w:eastAsia="Arial" w:hAnsi="Arial" w:cs="Arial"/>
                            <w:sz w:val="18"/>
                          </w:rPr>
                          <w:t>115.</w:t>
                        </w:r>
                      </w:p>
                    </w:txbxContent>
                  </v:textbox>
                </v:rect>
                <v:rect id="Rectangle 198514" o:spid="_x0000_s1117" style="position:absolute;left:24959;top:45018;width:156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5psxQAAAN8AAAAPAAAAZHJzL2Rvd25yZXYueG1sRE/LasJA&#10;FN0X/IfhCu7qRLElTR1FFGkWbuoDurxkrklq5s6QGU3ar3cKBZeH854ve9OIG7W+tqxgMk5AEBdW&#10;11wqOB62zykIH5A1NpZJwQ95WC4GT3PMtO34k277UIoYwj5DBVUILpPSFxUZ9GPriCN3tq3BEGFb&#10;St1iF8NNI6dJ8ioN1hwbKnS0rqi47K9GwdeGXb7tZHH+Xbvdd542H9fjSanRsF+9gwjUh4f4353r&#10;OP8tfZnM4O9PBCAXdwAAAP//AwBQSwECLQAUAAYACAAAACEA2+H2y+4AAACFAQAAEwAAAAAAAAAA&#10;AAAAAAAAAAAAW0NvbnRlbnRfVHlwZXNdLnhtbFBLAQItABQABgAIAAAAIQBa9CxbvwAAABUBAAAL&#10;AAAAAAAAAAAAAAAAAB8BAABfcmVscy8ucmVsc1BLAQItABQABgAIAAAAIQAVe5psxQAAAN8AAAAP&#10;AAAAAAAAAAAAAAAAAAcCAABkcnMvZG93bnJldi54bWxQSwUGAAAAAAMAAwC3AAAA+QIAAAAA&#10;" filled="f" stroked="f">
                  <v:textbox inset="0,0,0,0">
                    <w:txbxContent>
                      <w:p w14:paraId="50F28702" w14:textId="77777777" w:rsidR="00B32EF2" w:rsidRDefault="00000000">
                        <w:r>
                          <w:rPr>
                            <w:rFonts w:ascii="Arial" w:eastAsia="Arial" w:hAnsi="Arial" w:cs="Arial"/>
                            <w:sz w:val="18"/>
                          </w:rPr>
                          <w:t xml:space="preserve"> maggio 2002, n. </w:t>
                        </w:r>
                      </w:p>
                    </w:txbxContent>
                  </v:textbox>
                </v:rect>
                <v:rect id="Rectangle 198510" o:spid="_x0000_s1118" style="position:absolute;left:26119;top:43773;width:530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JxvxQAAAN8AAAAPAAAAZHJzL2Rvd25yZXYueG1sRE9LS8NA&#10;EL4L/odlCt7spoKSxm5LqRRz8GIf4HHITpO02dklu22iv945CB4/vvdiNbpO3aiPrWcDs2kGirjy&#10;tuXawGG/fcxBxYRssfNMBr4pwmp5f7fAwvqBP+m2S7WSEI4FGmhSCoXWsWrIYZz6QCzcyfcOk8C+&#10;1rbHQcJdp5+y7EU7bFkaGgy0aai67K7OwNcbh3I76Or0swkf5zLv3q+HozEPk3H9CirRmP7Ff+7S&#10;yvx5/jyTB/JHAOjlLwAAAP//AwBQSwECLQAUAAYACAAAACEA2+H2y+4AAACFAQAAEwAAAAAAAAAA&#10;AAAAAAAAAAAAW0NvbnRlbnRfVHlwZXNdLnhtbFBLAQItABQABgAIAAAAIQBa9CxbvwAAABUBAAAL&#10;AAAAAAAAAAAAAAAAAB8BAABfcmVscy8ucmVsc1BLAQItABQABgAIAAAAIQBqQJxvxQAAAN8AAAAP&#10;AAAAAAAAAAAAAAAAAAcCAABkcnMvZG93bnJldi54bWxQSwUGAAAAAAMAAwC3AAAA+QIAAAAA&#10;" filled="f" stroked="f">
                  <v:textbox inset="0,0,0,0">
                    <w:txbxContent>
                      <w:p w14:paraId="37064076" w14:textId="77777777" w:rsidR="00B32EF2" w:rsidRDefault="00000000">
                        <w:r>
                          <w:rPr>
                            <w:rFonts w:ascii="Arial" w:eastAsia="Arial" w:hAnsi="Arial" w:cs="Arial"/>
                            <w:sz w:val="18"/>
                          </w:rPr>
                          <w:t>8</w:t>
                        </w:r>
                      </w:p>
                    </w:txbxContent>
                  </v:textbox>
                </v:rect>
                <v:rect id="Rectangle 198511" o:spid="_x0000_s1119" style="position:absolute;left:-13787;top:43773;width:53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Dn0xAAAAN8AAAAPAAAAZHJzL2Rvd25yZXYueG1sRE/Pa8Iw&#10;FL4L/g/hCbvNtAOl64wyHGIPXnQOdnw0z7Zb8xKaaDv/eiMMPH58vxerwbTiQp1vLCtIpwkI4tLq&#10;hisFx8/NcwbCB2SNrWVS8EceVsvxaIG5tj3v6XIIlYgh7HNUUIfgcil9WZNBP7WOOHIn2xkMEXaV&#10;1B32Mdy08iVJ5tJgw7GhRkfrmsrfw9ko+P5gV2x6WZ6ua7f7KbJ2ez5+KfU0Gd7fQAQawkP87y50&#10;nP+azdIU7n8iALm8AQAA//8DAFBLAQItABQABgAIAAAAIQDb4fbL7gAAAIUBAAATAAAAAAAAAAAA&#10;AAAAAAAAAABbQ29udGVudF9UeXBlc10ueG1sUEsBAi0AFAAGAAgAAAAhAFr0LFu/AAAAFQEAAAsA&#10;AAAAAAAAAAAAAAAAHwEAAF9yZWxzLy5yZWxzUEsBAi0AFAAGAAgAAAAhAAUMOfTEAAAA3wAAAA8A&#10;AAAAAAAAAAAAAAAABwIAAGRycy9kb3ducmV2LnhtbFBLBQYAAAAAAwADALcAAAD4AgAAAAA=&#10;" filled="f" stroked="f">
                  <v:textbox inset="0,0,0,0">
                    <w:txbxContent>
                      <w:p w14:paraId="0DFF5749" w14:textId="77777777" w:rsidR="00B32EF2" w:rsidRDefault="00000000">
                        <w:r>
                          <w:rPr>
                            <w:rFonts w:ascii="Arial" w:eastAsia="Arial" w:hAnsi="Arial" w:cs="Arial"/>
                            <w:sz w:val="18"/>
                          </w:rPr>
                          <w:t xml:space="preserve">. La corte di giustizia tributaria eseguiti i provvedimenti di cui al comma 7 e preso </w:t>
                        </w:r>
                      </w:p>
                    </w:txbxContent>
                  </v:textbox>
                </v:rect>
                <v:rect id="Rectangle 14107" o:spid="_x0000_s1120" style="position:absolute;left:-13161;top:42528;width:53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G/xAAAAN4AAAAPAAAAZHJzL2Rvd25yZXYueG1sRE9Na8JA&#10;EL0X+h+WKXirG4tYia4iFjGHXtQUehyyYxLNzi7Z1cT+elcoeJvH+5z5sjeNuFLra8sKRsMEBHFh&#10;dc2lgvyweZ+C8AFZY2OZFNzIw3Lx+jLHVNuOd3Tdh1LEEPYpKqhCcKmUvqjIoB9aRxy5o20Nhgjb&#10;UuoWuxhuGvmRJBNpsObYUKGjdUXFeX8xCn6/2GWbThbHv7X7PmXTZnvJf5QavPWrGYhAfXiK/92Z&#10;jvPHo+QTHu/EG+TiDgAA//8DAFBLAQItABQABgAIAAAAIQDb4fbL7gAAAIUBAAATAAAAAAAAAAAA&#10;AAAAAAAAAABbQ29udGVudF9UeXBlc10ueG1sUEsBAi0AFAAGAAgAAAAhAFr0LFu/AAAAFQEAAAsA&#10;AAAAAAAAAAAAAAAAHwEAAF9yZWxzLy5yZWxzUEsBAi0AFAAGAAgAAAAhAD9iEb/EAAAA3gAAAA8A&#10;AAAAAAAAAAAAAAAABwIAAGRycy9kb3ducmV2LnhtbFBLBQYAAAAAAwADALcAAAD4AgAAAAA=&#10;" filled="f" stroked="f">
                  <v:textbox inset="0,0,0,0">
                    <w:txbxContent>
                      <w:p w14:paraId="6140F0D2" w14:textId="77777777" w:rsidR="00B32EF2" w:rsidRDefault="00000000">
                        <w:r>
                          <w:rPr>
                            <w:rFonts w:ascii="Arial" w:eastAsia="Arial" w:hAnsi="Arial" w:cs="Arial"/>
                            <w:sz w:val="18"/>
                          </w:rPr>
                          <w:t xml:space="preserve">atto di quelli emanati ed eseguiti dal componente delegato o dal commissario </w:t>
                        </w:r>
                      </w:p>
                    </w:txbxContent>
                  </v:textbox>
                </v:rect>
                <v:rect id="Rectangle 14108" o:spid="_x0000_s1121" style="position:absolute;left:2792;top:41284;width:3710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XNxwAAAN4AAAAPAAAAZHJzL2Rvd25yZXYueG1sRI9Ba8JA&#10;EIXvhf6HZQre6sYiIqmriEXMoZeqhR6H7JikZmeX7Gpif33nIHib4b1575vFanCtulIXG88GJuMM&#10;FHHpbcOVgeNh+zoHFROyxdYzGbhRhNXy+WmBufU9f9F1nyolIRxzNFCnFHKtY1mTwzj2gVi0k+8c&#10;Jlm7StsOewl3rX7Lspl22LA01BhoU1N53l+cgZ8PDsW21+XpbxM+f4t5u7scv40ZvQzrd1CJhvQw&#10;368LK/jTSSa88o7MoJf/AAAA//8DAFBLAQItABQABgAIAAAAIQDb4fbL7gAAAIUBAAATAAAAAAAA&#10;AAAAAAAAAAAAAABbQ29udGVudF9UeXBlc10ueG1sUEsBAi0AFAAGAAgAAAAhAFr0LFu/AAAAFQEA&#10;AAsAAAAAAAAAAAAAAAAAHwEAAF9yZWxzLy5yZWxzUEsBAi0AFAAGAAgAAAAhAE79hc3HAAAA3gAA&#10;AA8AAAAAAAAAAAAAAAAABwIAAGRycy9kb3ducmV2LnhtbFBLBQYAAAAAAwADALcAAAD7AgAAAAA=&#10;" filled="f" stroked="f">
                  <v:textbox inset="0,0,0,0">
                    <w:txbxContent>
                      <w:p w14:paraId="6E5E1CCF" w14:textId="77777777" w:rsidR="00B32EF2" w:rsidRDefault="00000000">
                        <w:r>
                          <w:rPr>
                            <w:rFonts w:ascii="Arial" w:eastAsia="Arial" w:hAnsi="Arial" w:cs="Arial"/>
                            <w:sz w:val="18"/>
                          </w:rPr>
                          <w:t>nominato, dichiara chiuso il procedimento con ordinanza.</w:t>
                        </w:r>
                      </w:p>
                    </w:txbxContent>
                  </v:textbox>
                </v:rect>
                <v:rect id="Rectangle 198508" o:spid="_x0000_s1122" style="position:absolute;left:26223;top:40039;width:526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wa0xAAAAN8AAAAPAAAAZHJzL2Rvd25yZXYueG1sRE9LS8NA&#10;EL4L/odlBG92o6CksdsilWIOXvoQPA7ZaRLNzi7ZbZP213cOhR4/vvdsMbpOHamPrWcDz5MMFHHl&#10;bcu1gd129ZSDignZYueZDJwowmJ+fzfDwvqB13TcpFpJCMcCDTQphULrWDXkME58IBZu73uHSWBf&#10;a9vjIOGu0y9Z9qYdtiwNDQZaNlT9bw7OwO8nh3I16Gp/XobvvzLvvg67H2MeH8aPd1CJxnQTX92l&#10;lfnT/DWTwfJHAOj5BQAA//8DAFBLAQItABQABgAIAAAAIQDb4fbL7gAAAIUBAAATAAAAAAAAAAAA&#10;AAAAAAAAAABbQ29udGVudF9UeXBlc10ueG1sUEsBAi0AFAAGAAgAAAAhAFr0LFu/AAAAFQEAAAsA&#10;AAAAAAAAAAAAAAAAHwEAAF9yZWxzLy5yZWxzUEsBAi0AFAAGAAgAAAAhABHvBrTEAAAA3wAAAA8A&#10;AAAAAAAAAAAAAAAABwIAAGRycy9kb3ducmV2LnhtbFBLBQYAAAAAAwADALcAAAD4AgAAAAA=&#10;" filled="f" stroked="f">
                  <v:textbox inset="0,0,0,0">
                    <w:txbxContent>
                      <w:p w14:paraId="07B321D3" w14:textId="77777777" w:rsidR="00B32EF2" w:rsidRDefault="00000000">
                        <w:r>
                          <w:rPr>
                            <w:rFonts w:ascii="Arial" w:eastAsia="Arial" w:hAnsi="Arial" w:cs="Arial"/>
                            <w:sz w:val="18"/>
                          </w:rPr>
                          <w:t>9</w:t>
                        </w:r>
                      </w:p>
                    </w:txbxContent>
                  </v:textbox>
                </v:rect>
                <v:rect id="Rectangle 198509" o:spid="_x0000_s1123" style="position:absolute;left:-13348;top:40039;width:526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MvxAAAAN8AAAAPAAAAZHJzL2Rvd25yZXYueG1sRE/LasJA&#10;FN0X+g/DFdzViYISU0cpFjELNz4KXV4y1yRt5s6QGU30651CweXhvBer3jTiSq2vLSsYjxIQxIXV&#10;NZcKTsfNWwrCB2SNjWVScCMPq+XrywIzbTve0/UQShFD2GeooArBZVL6oiKDfmQdceTOtjUYImxL&#10;qVvsYrhp5CRJZtJgzbGhQkfriorfw8Uo+P5kl286WZzva7f7ydNmezl9KTUc9B/vIAL14Sn+d+c6&#10;zp+n02QOf38iALl8AAAA//8DAFBLAQItABQABgAIAAAAIQDb4fbL7gAAAIUBAAATAAAAAAAAAAAA&#10;AAAAAAAAAABbQ29udGVudF9UeXBlc10ueG1sUEsBAi0AFAAGAAgAAAAhAFr0LFu/AAAAFQEAAAsA&#10;AAAAAAAAAAAAAAAAHwEAAF9yZWxzLy5yZWxzUEsBAi0AFAAGAAgAAAAhAH6joy/EAAAA3wAAAA8A&#10;AAAAAAAAAAAAAAAABwIAAGRycy9kb3ducmV2LnhtbFBLBQYAAAAAAwADALcAAAD4AgAAAAA=&#10;" filled="f" stroked="f">
                  <v:textbox inset="0,0,0,0">
                    <w:txbxContent>
                      <w:p w14:paraId="7B3675AE" w14:textId="77777777" w:rsidR="00B32EF2" w:rsidRDefault="00000000">
                        <w:r>
                          <w:rPr>
                            <w:rFonts w:ascii="Arial" w:eastAsia="Arial" w:hAnsi="Arial" w:cs="Arial"/>
                            <w:sz w:val="18"/>
                          </w:rPr>
                          <w:t>. Tutti i provvedimenti di cui al presente articolo sono immediatamente esecutivi.</w:t>
                        </w:r>
                      </w:p>
                    </w:txbxContent>
                  </v:textbox>
                </v:rect>
                <v:rect id="Rectangle 198504" o:spid="_x0000_s1124" style="position:absolute;left:25741;top:38794;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yxxAAAAN8AAAAPAAAAZHJzL2Rvd25yZXYueG1sRE/Pa8Iw&#10;FL4L/g/hCbtpqmyjq0YRRezBy5wDj4/m2XZrXkITbd1fbwaDHT++34tVbxpxo9bXlhVMJwkI4sLq&#10;mksFp4/dOAXhA7LGxjIpuJOH1XI4WGCmbcfvdDuGUsQQ9hkqqEJwmZS+qMign1hHHLmLbQ2GCNtS&#10;6ha7GG4aOUuSV2mw5thQoaNNRcX38WoUnLfs8l0ni8vPxh2+8rTZX0+fSj2N+vUcRKA+/Iv/3LmO&#10;89/Sl+QZfv9EAHL5AAAA//8DAFBLAQItABQABgAIAAAAIQDb4fbL7gAAAIUBAAATAAAAAAAAAAAA&#10;AAAAAAAAAABbQ29udGVudF9UeXBlc10ueG1sUEsBAi0AFAAGAAgAAAAhAFr0LFu/AAAAFQEAAAsA&#10;AAAAAAAAAAAAAAAAHwEAAF9yZWxzLy5yZWxzUEsBAi0AFAAGAAgAAAAhAJCiDLHEAAAA3wAAAA8A&#10;AAAAAAAAAAAAAAAABwIAAGRycy9kb3ducmV2LnhtbFBLBQYAAAAAAwADALcAAAD4AgAAAAA=&#10;" filled="f" stroked="f">
                  <v:textbox inset="0,0,0,0">
                    <w:txbxContent>
                      <w:p w14:paraId="7FF352E4" w14:textId="77777777" w:rsidR="00B32EF2" w:rsidRDefault="00000000">
                        <w:r>
                          <w:rPr>
                            <w:rFonts w:ascii="Arial" w:eastAsia="Arial" w:hAnsi="Arial" w:cs="Arial"/>
                            <w:sz w:val="18"/>
                          </w:rPr>
                          <w:t>10</w:t>
                        </w:r>
                      </w:p>
                    </w:txbxContent>
                  </v:textbox>
                </v:rect>
                <v:rect id="Rectangle 198507" o:spid="_x0000_s1125" style="position:absolute;left:-13451;top:38794;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JLGxAAAAN8AAAAPAAAAZHJzL2Rvd25yZXYueG1sRE/Pa8Iw&#10;FL4L/g/hCbtpqrCtq0YRRezBy5wDj4/m2XZrXkITbd1fbwaDHT++34tVbxpxo9bXlhVMJwkI4sLq&#10;mksFp4/dOAXhA7LGxjIpuJOH1XI4WGCmbcfvdDuGUsQQ9hkqqEJwmZS+qMign1hHHLmLbQ2GCNtS&#10;6ha7GG4aOUuSF2mw5thQoaNNRcX38WoUnLfs8l0ni8vPxh2+8rTZX0+fSj2N+vUcRKA+/Iv/3LmO&#10;89/S5+QVfv9EAHL5AAAA//8DAFBLAQItABQABgAIAAAAIQDb4fbL7gAAAIUBAAATAAAAAAAAAAAA&#10;AAAAAAAAAABbQ29udGVudF9UeXBlc10ueG1sUEsBAi0AFAAGAAgAAAAhAFr0LFu/AAAAFQEAAAsA&#10;AAAAAAAAAAAAAAAAHwEAAF9yZWxzLy5yZWxzUEsBAi0AFAAGAAgAAAAhAGBwksbEAAAA3wAAAA8A&#10;AAAAAAAAAAAAAAAABwIAAGRycy9kb3ducmV2LnhtbFBLBQYAAAAAAwADALcAAAD4AgAAAAA=&#10;" filled="f" stroked="f">
                  <v:textbox inset="0,0,0,0">
                    <w:txbxContent>
                      <w:p w14:paraId="44E2B1BD" w14:textId="77777777" w:rsidR="00B32EF2" w:rsidRDefault="00000000">
                        <w:r>
                          <w:rPr>
                            <w:rFonts w:ascii="Arial" w:eastAsia="Arial" w:hAnsi="Arial" w:cs="Arial"/>
                            <w:sz w:val="18"/>
                          </w:rPr>
                          <w:t>. Contro la sentenza di cui al comma 7 è ammesso soltanto ricorso in cas</w:t>
                        </w:r>
                      </w:p>
                    </w:txbxContent>
                  </v:textbox>
                </v:rect>
                <v:rect id="Rectangle 14111" o:spid="_x0000_s1126" style="position:absolute;left:193;top:3879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rqNxAAAAN4AAAAPAAAAZHJzL2Rvd25yZXYueG1sRE9Ni8Iw&#10;EL0v+B/CCN7WtIuIVKOIItvDXnQVPA7N2FabSWii7e6v3wjC3ubxPmex6k0jHtT62rKCdJyAIC6s&#10;rrlUcPzevc9A+ICssbFMCn7Iw2o5eFtgpm3He3ocQiliCPsMFVQhuExKX1Rk0I+tI47cxbYGQ4Rt&#10;KXWLXQw3jfxIkqk0WHNsqNDRpqLidrgbBectu3zXyeLyu3Ff13zWfN6PJ6VGw349BxGoD//ilzvX&#10;cf4kTVN4vhNvkMs/AAAA//8DAFBLAQItABQABgAIAAAAIQDb4fbL7gAAAIUBAAATAAAAAAAAAAAA&#10;AAAAAAAAAABbQ29udGVudF9UeXBlc10ueG1sUEsBAi0AFAAGAAgAAAAhAFr0LFu/AAAAFQEAAAsA&#10;AAAAAAAAAAAAAAAAHwEAAF9yZWxzLy5yZWxzUEsBAi0AFAAGAAgAAAAhAFoeuo3EAAAA3gAAAA8A&#10;AAAAAAAAAAAAAAAABwIAAGRycy9kb3ducmV2LnhtbFBLBQYAAAAAAwADALcAAAD4AgAAAAA=&#10;" filled="f" stroked="f">
                  <v:textbox inset="0,0,0,0">
                    <w:txbxContent>
                      <w:p w14:paraId="1521EDE0" w14:textId="77777777" w:rsidR="00B32EF2" w:rsidRDefault="00000000">
                        <w:r>
                          <w:rPr>
                            <w:rFonts w:ascii="Arial" w:eastAsia="Arial" w:hAnsi="Arial" w:cs="Arial"/>
                            <w:sz w:val="18"/>
                          </w:rPr>
                          <w:t>-</w:t>
                        </w:r>
                      </w:p>
                    </w:txbxContent>
                  </v:textbox>
                </v:rect>
                <v:rect id="Rectangle 14112" o:spid="_x0000_s1127" style="position:absolute;left:1378;top:37549;width:385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CT6xAAAAN4AAAAPAAAAZHJzL2Rvd25yZXYueG1sRE9Na8JA&#10;EL0X/A/LCL3VTaSIpK4iiphDL9oIHofsmKRmZ5fsatL++q4g9DaP9zmL1WBacafON5YVpJMEBHFp&#10;dcOVguJr9zYH4QOyxtYyKfghD6vl6GWBmbY9H+h+DJWIIewzVFCH4DIpfVmTQT+xjjhyF9sZDBF2&#10;ldQd9jHctHKaJDNpsOHYUKOjTU3l9XgzCs5bdvmul+Xld+M+v/N5u78VJ6Vex8P6A0SgIfyLn+5c&#10;x/nvaTqFxzvxBrn8AwAA//8DAFBLAQItABQABgAIAAAAIQDb4fbL7gAAAIUBAAATAAAAAAAAAAAA&#10;AAAAAAAAAABbQ29udGVudF9UeXBlc10ueG1sUEsBAi0AFAAGAAgAAAAhAFr0LFu/AAAAFQEAAAsA&#10;AAAAAAAAAAAAAAAAHwEAAF9yZWxzLy5yZWxzUEsBAi0AFAAGAAgAAAAhAKrMJPrEAAAA3gAAAA8A&#10;AAAAAAAAAAAAAAAABwIAAGRycy9kb3ducmV2LnhtbFBLBQYAAAAAAwADALcAAAD4AgAAAAA=&#10;" filled="f" stroked="f">
                  <v:textbox inset="0,0,0,0">
                    <w:txbxContent>
                      <w:p w14:paraId="5298C45F" w14:textId="77777777" w:rsidR="00B32EF2" w:rsidRDefault="00000000">
                        <w:r>
                          <w:rPr>
                            <w:rFonts w:ascii="Arial" w:eastAsia="Arial" w:hAnsi="Arial" w:cs="Arial"/>
                            <w:sz w:val="18"/>
                          </w:rPr>
                          <w:t>sazione per inosservanza delle norme sul procedimento.</w:t>
                        </w:r>
                      </w:p>
                    </w:txbxContent>
                  </v:textbox>
                </v:rect>
                <v:rect id="Rectangle 198498" o:spid="_x0000_s1128" style="position:absolute;left:25568;top:3630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JyuxQAAAN8AAAAPAAAAZHJzL2Rvd25yZXYueG1sRE9Na8JA&#10;EL0X/A/LCL3VjaWUmLqKKNIceqla6HHIjklqdnbJribtr+8cCj0+3vdyPbpO3aiPrWcD81kGirjy&#10;tuXawOm4f8hBxYRssfNMBr4pwno1uVtiYf3A73Q7pFpJCMcCDTQphULrWDXkMM58IBbu7HuHSWBf&#10;a9vjIOGu049Z9qwdtiwNDQbaNlRdDldn4HPHodwPujr/bMPbV5l3r9fThzH303HzAirRmP7Ff+7S&#10;yvxF/rSQwfJHAOjVLwAAAP//AwBQSwECLQAUAAYACAAAACEA2+H2y+4AAACFAQAAEwAAAAAAAAAA&#10;AAAAAAAAAAAAW0NvbnRlbnRfVHlwZXNdLnhtbFBLAQItABQABgAIAAAAIQBa9CxbvwAAABUBAAAL&#10;AAAAAAAAAAAAAAAAAB8BAABfcmVscy8ucmVsc1BLAQItABQABgAIAAAAIQCPBJyuxQAAAN8AAAAP&#10;AAAAAAAAAAAAAAAAAAcCAABkcnMvZG93bnJldi54bWxQSwUGAAAAAAMAAwC3AAAA+QIAAAAA&#10;" filled="f" stroked="f">
                  <v:textbox inset="0,0,0,0">
                    <w:txbxContent>
                      <w:p w14:paraId="58CF8560" w14:textId="77777777" w:rsidR="00B32EF2" w:rsidRDefault="00000000">
                        <w:r>
                          <w:rPr>
                            <w:rFonts w:ascii="Arial" w:eastAsia="Arial" w:hAnsi="Arial" w:cs="Arial"/>
                            <w:sz w:val="18"/>
                          </w:rPr>
                          <w:t>11</w:t>
                        </w:r>
                      </w:p>
                    </w:txbxContent>
                  </v:textbox>
                </v:rect>
                <v:rect id="Rectangle 198499" o:spid="_x0000_s1129" style="position:absolute;left:-14305;top:3630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Dk1xAAAAN8AAAAPAAAAZHJzL2Rvd25yZXYueG1sRE/Pa8Iw&#10;FL4P/B/CE7zN1CGj7YwyFFkPu+gUPD6aZ9uteQlNtN3+eiMIO358vxerwbTiSp1vLCuYTRMQxKXV&#10;DVcKDl/b5xSED8gaW8uk4Jc8rJajpwXm2va8o+s+VCKGsM9RQR2Cy6X0ZU0G/dQ64sidbWcwRNhV&#10;UnfYx3DTypckeZUGG44NNTpa11T+7C9GwWnDrtj2sjz/rd3nd5G2H5fDUanJeHh/AxFoCP/ih7vQ&#10;cX6WzrMM7n8iALm8AQAA//8DAFBLAQItABQABgAIAAAAIQDb4fbL7gAAAIUBAAATAAAAAAAAAAAA&#10;AAAAAAAAAABbQ29udGVudF9UeXBlc10ueG1sUEsBAi0AFAAGAAgAAAAhAFr0LFu/AAAAFQEAAAsA&#10;AAAAAAAAAAAAAAAAHwEAAF9yZWxzLy5yZWxzUEsBAi0AFAAGAAgAAAAhAOBIOTXEAAAA3wAAAA8A&#10;AAAAAAAAAAAAAAAABwIAAGRycy9kb3ducmV2LnhtbFBLBQYAAAAAAwADALcAAAD4AgAAAAA=&#10;" filled="f" stroked="f">
                  <v:textbox inset="0,0,0,0">
                    <w:txbxContent>
                      <w:p w14:paraId="2943A098" w14:textId="77777777" w:rsidR="00B32EF2" w:rsidRDefault="00000000">
                        <w:r>
                          <w:rPr>
                            <w:rFonts w:ascii="Arial" w:eastAsia="Arial" w:hAnsi="Arial" w:cs="Arial"/>
                            <w:sz w:val="18"/>
                          </w:rPr>
                          <w:t xml:space="preserve">. Per il pagamento di somme dell’importo fino a 20.000 euro e comunque </w:t>
                        </w:r>
                      </w:p>
                    </w:txbxContent>
                  </v:textbox>
                </v:rect>
                <v:rect id="Rectangle 14114" o:spid="_x0000_s1130" style="position:absolute;left:-12202;top:35060;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RkVxAAAAN4AAAAPAAAAZHJzL2Rvd25yZXYueG1sRE9Na8JA&#10;EL0X/A/LCL3VTUREUlcRRZpDL9oIHofsmKRmZ5fsatL++q4g9DaP9znL9WBacafON5YVpJMEBHFp&#10;dcOVguJr/7YA4QOyxtYyKfghD+vV6GWJmbY9H+h+DJWIIewzVFCH4DIpfVmTQT+xjjhyF9sZDBF2&#10;ldQd9jHctHKaJHNpsOHYUKOjbU3l9XgzCs47dvm+l+Xld+s+v/NF+3ErTkq9jofNO4hAQ/gXP925&#10;jvNnaTqDxzvxBrn6AwAA//8DAFBLAQItABQABgAIAAAAIQDb4fbL7gAAAIUBAAATAAAAAAAAAAAA&#10;AAAAAAAAAABbQ29udGVudF9UeXBlc10ueG1sUEsBAi0AFAAGAAgAAAAhAFr0LFu/AAAAFQEAAAsA&#10;AAAAAAAAAAAAAAAAHwEAAF9yZWxzLy5yZWxzUEsBAi0AFAAGAAgAAAAhAEppGRXEAAAA3gAAAA8A&#10;AAAAAAAAAAAAAAAABwIAAGRycy9kb3ducmV2LnhtbFBLBQYAAAAAAwADALcAAAD4AgAAAAA=&#10;" filled="f" stroked="f">
                  <v:textbox inset="0,0,0,0">
                    <w:txbxContent>
                      <w:p w14:paraId="7325195F" w14:textId="77777777" w:rsidR="00B32EF2" w:rsidRDefault="00000000">
                        <w:r>
                          <w:rPr>
                            <w:rFonts w:ascii="Arial" w:eastAsia="Arial" w:hAnsi="Arial" w:cs="Arial"/>
                            <w:sz w:val="18"/>
                          </w:rPr>
                          <w:t>per il pagamento delle spese di giudizio, il ricorso è deciso dalla corte in com</w:t>
                        </w:r>
                      </w:p>
                    </w:txbxContent>
                  </v:textbox>
                </v:rect>
                <v:rect id="Rectangle 14115" o:spid="_x0000_s1131" style="position:absolute;left:193;top:3506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byOxAAAAN4AAAAPAAAAZHJzL2Rvd25yZXYueG1sRE9Na8JA&#10;EL0X/A/LCN7qJtIWia4iijQHL7UKHofsmESzs0t2NdFf3y0UepvH+5z5sjeNuFPra8sK0nECgriw&#10;uuZSweF7+zoF4QOyxsYyKXiQh+Vi8DLHTNuOv+i+D6WIIewzVFCF4DIpfVGRQT+2jjhyZ9saDBG2&#10;pdQtdjHcNHKSJB/SYM2xoUJH64qK6/5mFJw27PJtJ4vzc+12l3zafN4OR6VGw341AxGoD//iP3eu&#10;4/y3NH2H33fiDXLxAwAA//8DAFBLAQItABQABgAIAAAAIQDb4fbL7gAAAIUBAAATAAAAAAAAAAAA&#10;AAAAAAAAAABbQ29udGVudF9UeXBlc10ueG1sUEsBAi0AFAAGAAgAAAAhAFr0LFu/AAAAFQEAAAsA&#10;AAAAAAAAAAAAAAAAHwEAAF9yZWxzLy5yZWxzUEsBAi0AFAAGAAgAAAAhACUlvI7EAAAA3gAAAA8A&#10;AAAAAAAAAAAAAAAABwIAAGRycy9kb3ducmV2LnhtbFBLBQYAAAAAAwADALcAAAD4AgAAAAA=&#10;" filled="f" stroked="f">
                  <v:textbox inset="0,0,0,0">
                    <w:txbxContent>
                      <w:p w14:paraId="6DB67766" w14:textId="77777777" w:rsidR="00B32EF2" w:rsidRDefault="00000000">
                        <w:r>
                          <w:rPr>
                            <w:rFonts w:ascii="Arial" w:eastAsia="Arial" w:hAnsi="Arial" w:cs="Arial"/>
                            <w:sz w:val="18"/>
                          </w:rPr>
                          <w:t>-</w:t>
                        </w:r>
                      </w:p>
                    </w:txbxContent>
                  </v:textbox>
                </v:rect>
                <v:rect id="Rectangle 14116" o:spid="_x0000_s1132" style="position:absolute;left:24113;top:33815;width:158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yL5xQAAAN4AAAAPAAAAZHJzL2Rvd25yZXYueG1sRE9La8JA&#10;EL4L/odlhN50EykiqRsRRZpDL7Up9DhkJ4+anV2yq0n767uFQm/z8T1nt59ML+40+M6ygnSVgCCu&#10;rO64UVC+nZdbED4ga+wtk4Iv8rDP57MdZtqO/Er3S2hEDGGfoYI2BJdJ6auWDPqVdcSRq+1gMEQ4&#10;NFIPOMZw08t1kmykwY5jQ4uOji1V18vNKPg4sSvOo6zq76N7+Sy2/fOtfFfqYTEdnkAEmsK/+M9d&#10;6Dj/MU038PtOvEHmPwAAAP//AwBQSwECLQAUAAYACAAAACEA2+H2y+4AAACFAQAAEwAAAAAAAAAA&#10;AAAAAAAAAAAAW0NvbnRlbnRfVHlwZXNdLnhtbFBLAQItABQABgAIAAAAIQBa9CxbvwAAABUBAAAL&#10;AAAAAAAAAAAAAAAAAB8BAABfcmVscy8ucmVsc1BLAQItABQABgAIAAAAIQDV9yL5xQAAAN4AAAAP&#10;AAAAAAAAAAAAAAAAAAcCAABkcnMvZG93bnJldi54bWxQSwUGAAAAAAMAAwC3AAAA+QIAAAAA&#10;" filled="f" stroked="f">
                  <v:textbox inset="0,0,0,0">
                    <w:txbxContent>
                      <w:p w14:paraId="4A3AAAC2" w14:textId="77777777" w:rsidR="00B32EF2" w:rsidRDefault="00000000">
                        <w:r>
                          <w:rPr>
                            <w:rFonts w:ascii="Arial" w:eastAsia="Arial" w:hAnsi="Arial" w:cs="Arial"/>
                            <w:sz w:val="18"/>
                          </w:rPr>
                          <w:t>posizione monocratica.</w:t>
                        </w:r>
                      </w:p>
                    </w:txbxContent>
                  </v:textbox>
                </v:rect>
                <v:rect id="Rectangle 14117" o:spid="_x0000_s1133" style="position:absolute;left:39413;top:3257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4dixAAAAN4AAAAPAAAAZHJzL2Rvd25yZXYueG1sRE9Na8JA&#10;EL0X/A/LCN7qJlJaia4iijQHL7UKHofsmESzs0t2NdFf3y0UepvH+5z5sjeNuFPra8sK0nECgriw&#10;uuZSweF7+zoF4QOyxsYyKXiQh+Vi8DLHTNuOv+i+D6WIIewzVFCF4DIpfVGRQT+2jjhyZ9saDBG2&#10;pdQtdjHcNHKSJO/SYM2xoUJH64qK6/5mFJw27PJtJ4vzc+12l3zafN4OR6VGw341AxGoD//iP3eu&#10;4/y3NP2A33fiDXLxAwAA//8DAFBLAQItABQABgAIAAAAIQDb4fbL7gAAAIUBAAATAAAAAAAAAAAA&#10;AAAAAAAAAABbQ29udGVudF9UeXBlc10ueG1sUEsBAi0AFAAGAAgAAAAhAFr0LFu/AAAAFQEAAAsA&#10;AAAAAAAAAAAAAAAAHwEAAF9yZWxzLy5yZWxzUEsBAi0AFAAGAAgAAAAhALq7h2LEAAAA3gAAAA8A&#10;AAAAAAAAAAAAAAAABwIAAGRycy9kb3ducmV2LnhtbFBLBQYAAAAAAwADALcAAAD4AgAAAAA=&#10;" filled="f" stroked="f">
                  <v:textbox inset="0,0,0,0">
                    <w:txbxContent>
                      <w:p w14:paraId="20184929" w14:textId="77777777" w:rsidR="00B32EF2" w:rsidRDefault="00000000">
                        <w:r>
                          <w:rPr>
                            <w:rFonts w:ascii="Arial" w:eastAsia="Arial" w:hAnsi="Arial" w:cs="Arial"/>
                            <w:sz w:val="18"/>
                          </w:rPr>
                          <w:t>(</w:t>
                        </w:r>
                      </w:p>
                    </w:txbxContent>
                  </v:textbox>
                </v:rect>
                <v:rect id="Rectangle 198497" o:spid="_x0000_s1134" style="position:absolute;left:-13793;top:32673;width:52577;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cxQAAAN8AAAAPAAAAZHJzL2Rvd25yZXYueG1sRE/LasJA&#10;FN0X/IfhCu7qRJE2po4iijQLN/UBXV4y1yRt5s6QGU3ar3cKBZeH816setOIG7W+tqxgMk5AEBdW&#10;11wqOB13zykIH5A1NpZJwQ95WC0HTwvMtO34g26HUIoYwj5DBVUILpPSFxUZ9GPriCN3sa3BEGFb&#10;St1iF8NNI6dJ8iIN1hwbKnS0qaj4PlyNgs8tu3zXyeLyu3H7rzxt3q+ns1KjYb9+AxGoDw/xvzvX&#10;cf48nc1f4e9PBCCXdwAAAP//AwBQSwECLQAUAAYACAAAACEA2+H2y+4AAACFAQAAEwAAAAAAAAAA&#10;AAAAAAAAAAAAW0NvbnRlbnRfVHlwZXNdLnhtbFBLAQItABQABgAIAAAAIQBa9CxbvwAAABUBAAAL&#10;AAAAAAAAAAAAAAAAAB8BAABfcmVscy8ucmVsc1BLAQItABQABgAIAAAAIQD+mwjcxQAAAN8AAAAP&#10;AAAAAAAAAAAAAAAAAAcCAABkcnMvZG93bnJldi54bWxQSwUGAAAAAAMAAwC3AAAA+QIAAAAA&#10;" filled="f" stroked="f">
                  <v:textbox inset="0,0,0,0">
                    <w:txbxContent>
                      <w:p w14:paraId="57249E39" w14:textId="77777777" w:rsidR="00B32EF2" w:rsidRDefault="00000000">
                        <w:r>
                          <w:rPr>
                            <w:rFonts w:ascii="Arial" w:eastAsia="Arial" w:hAnsi="Arial" w:cs="Arial"/>
                            <w:sz w:val="15"/>
                          </w:rPr>
                          <w:t xml:space="preserve"> L’art 16 del D.lgs n. 81 del 12/06/2025 ha inserito al comma 2 del presente articolo le parole </w:t>
                        </w:r>
                      </w:p>
                    </w:txbxContent>
                  </v:textbox>
                </v:rect>
                <v:rect id="Rectangle 198496" o:spid="_x0000_s1135" style="position:absolute;left:25760;top:32673;width:52579;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61HxAAAAN8AAAAPAAAAZHJzL2Rvd25yZXYueG1sRE/Pa8Iw&#10;FL4L/g/hCd40VYbUziiiyHrYZc7Bjo/m2XZrXkITbd1fvwiCx4/v92rTm0ZcqfW1ZQWzaQKCuLC6&#10;5lLB6fMwSUH4gKyxsUwKbuRhsx4OVphp2/EHXY+hFDGEfYYKqhBcJqUvKjLop9YRR+5sW4MhwraU&#10;usUuhptGzpNkIQ3WHBsqdLSrqPg9XoyC7z27/NDJ4vy3c+8/edq8XU5fSo1H/fYVRKA+PMUPd67j&#10;/GX6slzA/U8EINf/AAAA//8DAFBLAQItABQABgAIAAAAIQDb4fbL7gAAAIUBAAATAAAAAAAAAAAA&#10;AAAAAAAAAABbQ29udGVudF9UeXBlc10ueG1sUEsBAi0AFAAGAAgAAAAhAFr0LFu/AAAAFQEAAAsA&#10;AAAAAAAAAAAAAAAAHwEAAF9yZWxzLy5yZWxzUEsBAi0AFAAGAAgAAAAhAJHXrUfEAAAA3wAAAA8A&#10;AAAAAAAAAAAAAAAABwIAAGRycy9kb3ducmV2LnhtbFBLBQYAAAAAAwADALcAAAD4AgAAAAA=&#10;" filled="f" stroked="f">
                  <v:textbox inset="0,0,0,0">
                    <w:txbxContent>
                      <w:p w14:paraId="769DBD96" w14:textId="77777777" w:rsidR="00B32EF2" w:rsidRDefault="00000000">
                        <w:r>
                          <w:rPr>
                            <w:rFonts w:ascii="Arial" w:eastAsia="Arial" w:hAnsi="Arial" w:cs="Arial"/>
                            <w:sz w:val="15"/>
                          </w:rPr>
                          <w:t>1)</w:t>
                        </w:r>
                      </w:p>
                    </w:txbxContent>
                  </v:textbox>
                </v:rect>
                <v:rect id="Rectangle 14119" o:spid="_x0000_s1136" style="position:absolute;left:-13095;top:31428;width:53004;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LaLxAAAAN4AAAAPAAAAZHJzL2Rvd25yZXYueG1sRE9Na8JA&#10;EL0X/A/LCL3VTaQUG11FFGkOXrQKHofsmESzs0t2Nam/visUepvH+5zZojeNuFPra8sK0lECgriw&#10;uuZSweF78zYB4QOyxsYyKfghD4v54GWGmbYd7+i+D6WIIewzVFCF4DIpfVGRQT+yjjhyZ9saDBG2&#10;pdQtdjHcNHKcJB/SYM2xoUJHq4qK6/5mFJzW7PJNJ4vzY+W2l3zSfN0OR6Veh/1yCiJQH/7Ff+5c&#10;x/nvafoJz3fiDXL+CwAA//8DAFBLAQItABQABgAIAAAAIQDb4fbL7gAAAIUBAAATAAAAAAAAAAAA&#10;AAAAAAAAAABbQ29udGVudF9UeXBlc10ueG1sUEsBAi0AFAAGAAgAAAAhAFr0LFu/AAAAFQEAAAsA&#10;AAAAAAAAAAAAAAAAHwEAAF9yZWxzLy5yZWxzUEsBAi0AFAAGAAgAAAAhAKRotovEAAAA3gAAAA8A&#10;AAAAAAAAAAAAAAAABwIAAGRycy9kb3ducmV2LnhtbFBLBQYAAAAAAwADALcAAAD4AgAAAAA=&#10;" filled="f" stroked="f">
                  <v:textbox inset="0,0,0,0">
                    <w:txbxContent>
                      <w:p w14:paraId="540D9AE5" w14:textId="77777777" w:rsidR="00B32EF2" w:rsidRDefault="00000000">
                        <w:r>
                          <w:rPr>
                            <w:rFonts w:ascii="Arial" w:eastAsia="Arial" w:hAnsi="Arial" w:cs="Arial"/>
                            <w:sz w:val="15"/>
                          </w:rPr>
                          <w:t xml:space="preserve">«ovvero a mezzo posta elettronica certificata ai sensi del codice dell’amministrazione digitale </w:t>
                        </w:r>
                      </w:p>
                    </w:txbxContent>
                  </v:textbox>
                </v:rect>
                <v:rect id="Rectangle 14120" o:spid="_x0000_s1137" style="position:absolute;left:12241;top:30183;width:27668;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tWrxwAAAN4AAAAPAAAAZHJzL2Rvd25yZXYueG1sRI9Pa8JA&#10;EMXvhX6HZYTe6kYpIqmriEWaQy/1D/Q4ZMckmp1dsqtJ++k7B8HbDPPmvfdbrAbXqht1sfFsYDLO&#10;QBGX3jZcGTjst69zUDEhW2w9k4FfirBaPj8tMLe+52+67VKlxIRjjgbqlEKudSxrchjHPhDL7eQ7&#10;h0nWrtK2w17MXaunWTbTDhuWhBoDbWoqL7urM/DzwaHY9ro8/W3C17mYt5/Xw9GYl9GwfgeVaEgP&#10;8f27sFL/bTIVAMGRGfTyHwAA//8DAFBLAQItABQABgAIAAAAIQDb4fbL7gAAAIUBAAATAAAAAAAA&#10;AAAAAAAAAAAAAABbQ29udGVudF9UeXBlc10ueG1sUEsBAi0AFAAGAAgAAAAhAFr0LFu/AAAAFQEA&#10;AAsAAAAAAAAAAAAAAAAAHwEAAF9yZWxzLy5yZWxzUEsBAi0AFAAGAAgAAAAhAPs+1avHAAAA3gAA&#10;AA8AAAAAAAAAAAAAAAAABwIAAGRycy9kb3ducmV2LnhtbFBLBQYAAAAAAwADALcAAAD7AgAAAAA=&#10;" filled="f" stroked="f">
                  <v:textbox inset="0,0,0,0">
                    <w:txbxContent>
                      <w:p w14:paraId="6E70855B" w14:textId="77777777" w:rsidR="00B32EF2" w:rsidRDefault="00000000">
                        <w:r>
                          <w:rPr>
                            <w:rFonts w:ascii="Arial" w:eastAsia="Arial" w:hAnsi="Arial" w:cs="Arial"/>
                            <w:sz w:val="15"/>
                          </w:rPr>
                          <w:t>di cui al decreto legislativo 7 marzo 2005, n. 82,».</w:t>
                        </w:r>
                      </w:p>
                    </w:txbxContent>
                  </v:textbox>
                </v:rect>
                <v:rect id="Rectangle 14121" o:spid="_x0000_s1138" style="position:absolute;left:14567;top:21655;width:89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nAwxAAAAN4AAAAPAAAAZHJzL2Rvd25yZXYueG1sRE9Na8JA&#10;EL0X/A/LCL3VTaSIpK4iiphDL9oIHofsmKRmZ5fsatL++q4g9DaP9zmL1WBacafON5YVpJMEBHFp&#10;dcOVguJr9zYH4QOyxtYyKfghD6vl6GWBmbY9H+h+DJWIIewzVFCH4DIpfVmTQT+xjjhyF9sZDBF2&#10;ldQd9jHctHKaJDNpsOHYUKOjTU3l9XgzCs5bdvmul+Xld+M+v/N5u78VJ6Vex8P6A0SgIfyLn+5c&#10;x/nv6TSFxzvxBrn8AwAA//8DAFBLAQItABQABgAIAAAAIQDb4fbL7gAAAIUBAAATAAAAAAAAAAAA&#10;AAAAAAAAAABbQ29udGVudF9UeXBlc10ueG1sUEsBAi0AFAAGAAgAAAAhAFr0LFu/AAAAFQEAAAsA&#10;AAAAAAAAAAAAAAAAHwEAAF9yZWxzLy5yZWxzUEsBAi0AFAAGAAgAAAAhAJRycDDEAAAA3gAAAA8A&#10;AAAAAAAAAAAAAAAABwIAAGRycy9kb3ducmV2LnhtbFBLBQYAAAAAAwADALcAAAD4AgAAAAA=&#10;" filled="f" stroked="f">
                  <v:textbox inset="0,0,0,0">
                    <w:txbxContent>
                      <w:p w14:paraId="69157BD1" w14:textId="77777777" w:rsidR="00B32EF2" w:rsidRDefault="00000000">
                        <w:r>
                          <w:rPr>
                            <w:rFonts w:ascii="Arial" w:eastAsia="Arial" w:hAnsi="Arial" w:cs="Arial"/>
                            <w:b/>
                            <w:sz w:val="18"/>
                          </w:rPr>
                          <w:t>Articolo 129</w:t>
                        </w:r>
                      </w:p>
                    </w:txbxContent>
                  </v:textbox>
                </v:rect>
                <v:rect id="Rectangle 198491" o:spid="_x0000_s1139" style="position:absolute;left:22220;top:20422;width:194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jUzxAAAAN8AAAAPAAAAZHJzL2Rvd25yZXYueG1sRE/LasJA&#10;FN0L/sNwBXc6sUiJ0VFEkWbRTX2Ay0vmmqTN3Bkyo0n79Z1CweXhvFeb3jTiQa2vLSuYTRMQxIXV&#10;NZcKzqfDJAXhA7LGxjIp+CYPm/VwsMJM244/6HEMpYgh7DNUUIXgMil9UZFBP7WOOHI32xoMEbal&#10;1C12Mdw08iVJXqXBmmNDhY52FRVfx7tRcN2zyw+dLG4/O/f+mafN2/18UWo86rdLEIH68BT/u3Md&#10;5y/S+WIGf38iALn+BQAA//8DAFBLAQItABQABgAIAAAAIQDb4fbL7gAAAIUBAAATAAAAAAAAAAAA&#10;AAAAAAAAAABbQ29udGVudF9UeXBlc10ueG1sUEsBAi0AFAAGAAgAAAAhAFr0LFu/AAAAFQEAAAsA&#10;AAAAAAAAAAAAAAAAHwEAAF9yZWxzLy5yZWxzUEsBAi0AFAAGAAgAAAAhAB4+NTPEAAAA3wAAAA8A&#10;AAAAAAAAAAAAAAAABwIAAGRycy9kb3ducmV2LnhtbFBLBQYAAAAAAwADALcAAAD4AgAAAAA=&#10;" filled="f" stroked="f">
                  <v:textbox inset="0,0,0,0">
                    <w:txbxContent>
                      <w:p w14:paraId="2BC2DD30" w14:textId="77777777" w:rsidR="00B32EF2" w:rsidRDefault="00000000">
                        <w:r>
                          <w:rPr>
                            <w:rFonts w:ascii="Arial" w:eastAsia="Arial" w:hAnsi="Arial" w:cs="Arial"/>
                            <w:i/>
                            <w:sz w:val="18"/>
                          </w:rPr>
                          <w:t>(</w:t>
                        </w:r>
                      </w:p>
                    </w:txbxContent>
                  </v:textbox>
                </v:rect>
                <v:rect id="Rectangle 198495" o:spid="_x0000_s1140" style="position:absolute;left:11638;top:20422;width:194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TMwxQAAAN8AAAAPAAAAZHJzL2Rvd25yZXYueG1sRE/LasJA&#10;FN0X/IfhCu7qRLElpo4iijQLN/UBXV4y1yRt5s6QGU3ar3cKBZeH816setOIG7W+tqxgMk5AEBdW&#10;11wqOB13zykIH5A1NpZJwQ95WC0HTwvMtO34g26HUIoYwj5DBVUILpPSFxUZ9GPriCN3sa3BEGFb&#10;St1iF8NNI6dJ8ioN1hwbKnS0qaj4PlyNgs8tu3zXyeLyu3H7rzxt3q+ns1KjYb9+AxGoDw/xvzvX&#10;cf48nc1f4O9PBCCXdwAAAP//AwBQSwECLQAUAAYACAAAACEA2+H2y+4AAACFAQAAEwAAAAAAAAAA&#10;AAAAAAAAAAAAW0NvbnRlbnRfVHlwZXNdLnhtbFBLAQItABQABgAIAAAAIQBa9CxbvwAAABUBAAAL&#10;AAAAAAAAAAAAAAAAAB8BAABfcmVscy8ucmVsc1BLAQItABQABgAIAAAAIQBhBTMwxQAAAN8AAAAP&#10;AAAAAAAAAAAAAAAAAAcCAABkcnMvZG93bnJldi54bWxQSwUGAAAAAAMAAwC3AAAA+QIAAAAA&#10;" filled="f" stroked="f">
                  <v:textbox inset="0,0,0,0">
                    <w:txbxContent>
                      <w:p w14:paraId="02F12A18" w14:textId="77777777" w:rsidR="00B32EF2" w:rsidRDefault="00000000">
                        <w:r>
                          <w:rPr>
                            <w:rFonts w:ascii="Arial" w:eastAsia="Arial" w:hAnsi="Arial" w:cs="Arial"/>
                            <w:i/>
                            <w:sz w:val="18"/>
                          </w:rPr>
                          <w:t xml:space="preserve">articolo 79 D.lgs. n. </w:t>
                        </w:r>
                      </w:p>
                    </w:txbxContent>
                  </v:textbox>
                </v:rect>
                <v:rect id="Rectangle 198493" o:spid="_x0000_s1141" style="position:absolute;left:-2603;top:20422;width:194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A7fxQAAAN8AAAAPAAAAZHJzL2Rvd25yZXYueG1sRE/LasJA&#10;FN0X/IfhCu7qRC0lpo4iijQLN/UBXV4y1yRt5s6QGU3ar3cKBZeH816setOIG7W+tqxgMk5AEBdW&#10;11wqOB13zykIH5A1NpZJwQ95WC0HTwvMtO34g26HUIoYwj5DBVUILpPSFxUZ9GPriCN3sa3BEGFb&#10;St1iF8NNI6dJ8ioN1hwbKnS0qaj4PlyNgs8tu3zXyeLyu3H7rzxt3q+ns1KjYb9+AxGoDw/xvzvX&#10;cf48fZnP4O9PBCCXdwAAAP//AwBQSwECLQAUAAYACAAAACEA2+H2y+4AAACFAQAAEwAAAAAAAAAA&#10;AAAAAAAAAAAAW0NvbnRlbnRfVHlwZXNdLnhtbFBLAQItABQABgAIAAAAIQBa9CxbvwAAABUBAAAL&#10;AAAAAAAAAAAAAAAAAB8BAABfcmVscy8ucmVsc1BLAQItABQABgAIAAAAIQCBoA7fxQAAAN8AAAAP&#10;AAAAAAAAAAAAAAAAAAcCAABkcnMvZG93bnJldi54bWxQSwUGAAAAAAMAAwC3AAAA+QIAAAAA&#10;" filled="f" stroked="f">
                  <v:textbox inset="0,0,0,0">
                    <w:txbxContent>
                      <w:p w14:paraId="0ED74C7E" w14:textId="77777777" w:rsidR="00B32EF2" w:rsidRDefault="00000000">
                        <w:r>
                          <w:rPr>
                            <w:rFonts w:ascii="Arial" w:eastAsia="Arial" w:hAnsi="Arial" w:cs="Arial"/>
                            <w:i/>
                            <w:sz w:val="18"/>
                          </w:rPr>
                          <w:t>546/92)</w:t>
                        </w:r>
                      </w:p>
                    </w:txbxContent>
                  </v:textbox>
                </v:rect>
                <v:rect id="Rectangle 14123" o:spid="_x0000_s1142" style="position:absolute;left:8275;top:19189;width:187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EvcxAAAAN4AAAAPAAAAZHJzL2Rvd25yZXYueG1sRE9Li8Iw&#10;EL4v+B/CCN7WVHdZpBpFFNkevKwP8Dg0Y1ttJqGJtvrrNwsL3ubje85s0Zla3KnxlWUFo2ECgji3&#10;uuJCwWG/eZ+A8AFZY22ZFDzIw2Lee5thqm3LP3TfhULEEPYpKihDcKmUPi/JoB9aRxy5s20Mhgib&#10;QuoG2xhuajlOki9psOLYUKKjVUn5dXczCk5rdtmmlfn5uXLbSzapv2+Ho1KDfrecggjUhZf4353p&#10;OP9zNP6Av3fiDXL+CwAA//8DAFBLAQItABQABgAIAAAAIQDb4fbL7gAAAIUBAAATAAAAAAAAAAAA&#10;AAAAAAAAAABbQ29udGVudF9UeXBlc10ueG1sUEsBAi0AFAAGAAgAAAAhAFr0LFu/AAAAFQEAAAsA&#10;AAAAAAAAAAAAAAAAHwEAAF9yZWxzLy5yZWxzUEsBAi0AFAAGAAgAAAAhAAvsS9zEAAAA3gAAAA8A&#10;AAAAAAAAAAAAAAAABwIAAGRycy9kb3ducmV2LnhtbFBLBQYAAAAAAwADALcAAAD4AgAAAAA=&#10;" filled="f" stroked="f">
                  <v:textbox inset="0,0,0,0">
                    <w:txbxContent>
                      <w:p w14:paraId="76E7D27C" w14:textId="77777777" w:rsidR="00B32EF2" w:rsidRDefault="00000000">
                        <w:r>
                          <w:rPr>
                            <w:rFonts w:ascii="Arial" w:eastAsia="Arial" w:hAnsi="Arial" w:cs="Arial"/>
                            <w:b/>
                            <w:sz w:val="18"/>
                          </w:rPr>
                          <w:t xml:space="preserve">Norme transitorie e finali </w:t>
                        </w:r>
                      </w:p>
                    </w:txbxContent>
                  </v:textbox>
                </v:rect>
                <v:rect id="Rectangle 198488" o:spid="_x0000_s1143" style="position:absolute;left:26118;top:17955;width:530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QpzxAAAAN8AAAAPAAAAZHJzL2Rvd25yZXYueG1sRE9Na8JA&#10;EL0L/Q/LFHrTTUuRNHWVYpHm4EVrocchOyZps7NLdjVpf71zEDw+3vdiNbpOnamPrWcDj7MMFHHl&#10;bcu1gcPnZpqDignZYueZDPxRhNXybrLAwvqBd3Tep1pJCMcCDTQphULrWDXkMM58IBbu6HuHSWBf&#10;a9vjIOGu009ZNtcOW5aGBgOtG6p+9ydn4PudQ7kZdHX8X4ftT5l3H6fDlzEP9+PbK6hEY7qJr+7S&#10;yvyX/DmXwfJHAOjlBQAA//8DAFBLAQItABQABgAIAAAAIQDb4fbL7gAAAIUBAAATAAAAAAAAAAAA&#10;AAAAAAAAAABbQ29udGVudF9UeXBlc10ueG1sUEsBAi0AFAAGAAgAAAAhAFr0LFu/AAAAFQEAAAsA&#10;AAAAAAAAAAAAAAAAHwEAAF9yZWxzLy5yZWxzUEsBAi0AFAAGAAgAAAAhAArdCnPEAAAA3wAAAA8A&#10;AAAAAAAAAAAAAAAABwIAAGRycy9kb3ducmV2LnhtbFBLBQYAAAAAAwADALcAAAD4AgAAAAA=&#10;" filled="f" stroked="f">
                  <v:textbox inset="0,0,0,0">
                    <w:txbxContent>
                      <w:p w14:paraId="532C097B" w14:textId="77777777" w:rsidR="00B32EF2" w:rsidRDefault="00000000">
                        <w:r>
                          <w:rPr>
                            <w:rFonts w:ascii="Arial" w:eastAsia="Arial" w:hAnsi="Arial" w:cs="Arial"/>
                            <w:sz w:val="18"/>
                          </w:rPr>
                          <w:t>1</w:t>
                        </w:r>
                      </w:p>
                    </w:txbxContent>
                  </v:textbox>
                </v:rect>
                <v:rect id="Rectangle 198489" o:spid="_x0000_s1144" style="position:absolute;left:-13731;top:17955;width:530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a/oxAAAAN8AAAAPAAAAZHJzL2Rvd25yZXYueG1sRE/LasJA&#10;FN0X+g/DFdzViSISU0cpFjELNz4KXV4y1yRt5s6QGU30651CweXhvBer3jTiSq2vLSsYjxIQxIXV&#10;NZcKTsfNWwrCB2SNjWVScCMPq+XrywIzbTve0/UQShFD2GeooArBZVL6oiKDfmQdceTOtjUYImxL&#10;qVvsYrhp5CRJZtJgzbGhQkfriorfw8Uo+P5kl286WZzva7f7ydNmezl9KTUc9B/vIAL14Sn+d+c6&#10;zp+n03QOf38iALl8AAAA//8DAFBLAQItABQABgAIAAAAIQDb4fbL7gAAAIUBAAATAAAAAAAAAAAA&#10;AAAAAAAAAABbQ29udGVudF9UeXBlc10ueG1sUEsBAi0AFAAGAAgAAAAhAFr0LFu/AAAAFQEAAAsA&#10;AAAAAAAAAAAAAAAAHwEAAF9yZWxzLy5yZWxzUEsBAi0AFAAGAAgAAAAhAGWRr+jEAAAA3wAAAA8A&#10;AAAAAAAAAAAAAAAABwIAAGRycy9kb3ducmV2LnhtbFBLBQYAAAAAAwADALcAAAD4AgAAAAA=&#10;" filled="f" stroked="f">
                  <v:textbox inset="0,0,0,0">
                    <w:txbxContent>
                      <w:p w14:paraId="25349383" w14:textId="77777777" w:rsidR="00B32EF2" w:rsidRDefault="00000000">
                        <w:r>
                          <w:rPr>
                            <w:rFonts w:ascii="Arial" w:eastAsia="Arial" w:hAnsi="Arial" w:cs="Arial"/>
                            <w:sz w:val="18"/>
                          </w:rPr>
                          <w:t xml:space="preserve">. Con decreto del Ministro dell’economia e delle finanze, sentito il Consiglio di </w:t>
                        </w:r>
                      </w:p>
                    </w:txbxContent>
                  </v:textbox>
                </v:rect>
                <v:rect id="Rectangle 14125" o:spid="_x0000_s1145" style="position:absolute;left:-13168;top:16722;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YzxAAAAN4AAAAPAAAAZHJzL2Rvd25yZXYueG1sRE9Li8Iw&#10;EL4v+B/CCN7WVNldpBpFFNkevKwP8Dg0Y1ttJqGJtvrrNwsL3ubje85s0Zla3KnxlWUFo2ECgji3&#10;uuJCwWG/eZ+A8AFZY22ZFDzIw2Lee5thqm3LP3TfhULEEPYpKihDcKmUPi/JoB9aRxy5s20Mhgib&#10;QuoG2xhuajlOki9psOLYUKKjVUn5dXczCk5rdtmmlfn5uXLbSzapv2+Ho1KDfrecggjUhZf4353p&#10;OP9jNP6Ev3fiDXL+CwAA//8DAFBLAQItABQABgAIAAAAIQDb4fbL7gAAAIUBAAATAAAAAAAAAAAA&#10;AAAAAAAAAABbQ29udGVudF9UeXBlc10ueG1sUEsBAi0AFAAGAAgAAAAhAFr0LFu/AAAAFQEAAAsA&#10;AAAAAAAAAAAAAAAAHwEAAF9yZWxzLy5yZWxzUEsBAi0AFAAGAAgAAAAhAOtJdjPEAAAA3gAAAA8A&#10;AAAAAAAAAAAAAAAABwIAAGRycy9kb3ducmV2LnhtbFBLBQYAAAAAAwADALcAAAD4AgAAAAA=&#10;" filled="f" stroked="f">
                  <v:textbox inset="0,0,0,0">
                    <w:txbxContent>
                      <w:p w14:paraId="7984E3F4" w14:textId="77777777" w:rsidR="00B32EF2" w:rsidRDefault="00000000">
                        <w:r>
                          <w:rPr>
                            <w:rFonts w:ascii="Arial" w:eastAsia="Arial" w:hAnsi="Arial" w:cs="Arial"/>
                            <w:sz w:val="18"/>
                          </w:rPr>
                          <w:t xml:space="preserve">presidenza della giustizia tributaria e i consigli nazionali dei professionisti abilitati </w:t>
                        </w:r>
                      </w:p>
                    </w:txbxContent>
                  </v:textbox>
                </v:rect>
                <v:rect id="Rectangle 14126" o:spid="_x0000_s1146" style="position:absolute;left:-13162;top:15489;width:530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hExAAAAN4AAAAPAAAAZHJzL2Rvd25yZXYueG1sRE9Li8Iw&#10;EL4v+B/CCN7WVFlEqlFEke3By/oAj0MzttVmEppoq79+s7DgbT6+58yXnanFgxpfWVYwGiYgiHOr&#10;Ky4UHA/bzykIH5A11pZJwZM8LBe9jzmm2rb8Q499KEQMYZ+igjIEl0rp85IM+qF1xJG72MZgiLAp&#10;pG6wjeGmluMkmUiDFceGEh2tS8pv+7tRcN6wy7atzC+vtdtds2n9fT+elBr0u9UMRKAuvMX/7kzH&#10;+V+j8QT+3ok3yMUvAAAA//8DAFBLAQItABQABgAIAAAAIQDb4fbL7gAAAIUBAAATAAAAAAAAAAAA&#10;AAAAAAAAAABbQ29udGVudF9UeXBlc10ueG1sUEsBAi0AFAAGAAgAAAAhAFr0LFu/AAAAFQEAAAsA&#10;AAAAAAAAAAAAAAAAHwEAAF9yZWxzLy5yZWxzUEsBAi0AFAAGAAgAAAAhABub6ETEAAAA3gAAAA8A&#10;AAAAAAAAAAAAAAAABwIAAGRycy9kb3ducmV2LnhtbFBLBQYAAAAAAwADALcAAAD4AgAAAAA=&#10;" filled="f" stroked="f">
                  <v:textbox inset="0,0,0,0">
                    <w:txbxContent>
                      <w:p w14:paraId="36B2DB4A" w14:textId="77777777" w:rsidR="00B32EF2" w:rsidRDefault="00000000">
                        <w:r>
                          <w:rPr>
                            <w:rFonts w:ascii="Arial" w:eastAsia="Arial" w:hAnsi="Arial" w:cs="Arial"/>
                            <w:sz w:val="18"/>
                          </w:rPr>
                          <w:t xml:space="preserve">alla difesa davanti alle corti di giustizia tributaria, sono emanate le norme tecniche </w:t>
                        </w:r>
                      </w:p>
                    </w:txbxContent>
                  </v:textbox>
                </v:rect>
                <v:rect id="Rectangle 14127" o:spid="_x0000_s1147" style="position:absolute;left:-13162;top:14256;width:5305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03fxAAAAN4AAAAPAAAAZHJzL2Rvd25yZXYueG1sRE9Li8Iw&#10;EL4v+B/CCN7WVFl2pRpFFNkevKwP8Dg0Y1ttJqGJtvrrNwsL3ubje85s0Zla3KnxlWUFo2ECgji3&#10;uuJCwWG/eZ+A8AFZY22ZFDzIw2Lee5thqm3LP3TfhULEEPYpKihDcKmUPi/JoB9aRxy5s20Mhgib&#10;QuoG2xhuajlOkk9psOLYUKKjVUn5dXczCk5rdtmmlfn5uXLbSzapv2+Ho1KDfrecggjUhZf4353p&#10;OP9jNP6Cv3fiDXL+CwAA//8DAFBLAQItABQABgAIAAAAIQDb4fbL7gAAAIUBAAATAAAAAAAAAAAA&#10;AAAAAAAAAABbQ29udGVudF9UeXBlc10ueG1sUEsBAi0AFAAGAAgAAAAhAFr0LFu/AAAAFQEAAAsA&#10;AAAAAAAAAAAAAAAAHwEAAF9yZWxzLy5yZWxzUEsBAi0AFAAGAAgAAAAhAHTXTd/EAAAA3gAAAA8A&#10;AAAAAAAAAAAAAAAABwIAAGRycy9kb3ducmV2LnhtbFBLBQYAAAAAAwADALcAAAD4AgAAAAA=&#10;" filled="f" stroked="f">
                  <v:textbox inset="0,0,0,0">
                    <w:txbxContent>
                      <w:p w14:paraId="6283BA4B" w14:textId="77777777" w:rsidR="00B32EF2" w:rsidRDefault="00000000">
                        <w:r>
                          <w:rPr>
                            <w:rFonts w:ascii="Arial" w:eastAsia="Arial" w:hAnsi="Arial" w:cs="Arial"/>
                            <w:sz w:val="18"/>
                          </w:rPr>
                          <w:t xml:space="preserve">per il processo tributario telematico, nonché approvati i modelli per la redazione </w:t>
                        </w:r>
                      </w:p>
                    </w:txbxContent>
                  </v:textbox>
                </v:rect>
                <v:rect id="Rectangle 14128" o:spid="_x0000_s1148" style="position:absolute;left:-12226;top:13022;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mtxwAAAN4AAAAPAAAAZHJzL2Rvd25yZXYueG1sRI9Pa8JA&#10;EMXvhX6HZYTe6kYpIqmriEWaQy/1D/Q4ZMckmp1dsqtJ++k7B8HbDO/Ne79ZrAbXqht1sfFsYDLO&#10;QBGX3jZcGTjst69zUDEhW2w9k4FfirBaPj8tMLe+52+67VKlJIRjjgbqlEKudSxrchjHPhCLdvKd&#10;wyRrV2nbYS/hrtXTLJtphw1LQ42BNjWVl93VGfj54FBse12e/jbh61zM28/r4WjMy2hYv4NKNKSH&#10;+X5dWMF/m0yFV96RGfTyHwAA//8DAFBLAQItABQABgAIAAAAIQDb4fbL7gAAAIUBAAATAAAAAAAA&#10;AAAAAAAAAAAAAABbQ29udGVudF9UeXBlc10ueG1sUEsBAi0AFAAGAAgAAAAhAFr0LFu/AAAAFQEA&#10;AAsAAAAAAAAAAAAAAAAAHwEAAF9yZWxzLy5yZWxzUEsBAi0AFAAGAAgAAAAhAAVI2a3HAAAA3gAA&#10;AA8AAAAAAAAAAAAAAAAABwIAAGRycy9kb3ducmV2LnhtbFBLBQYAAAAAAwADALcAAAD7AgAAAAA=&#10;" filled="f" stroked="f">
                  <v:textbox inset="0,0,0,0">
                    <w:txbxContent>
                      <w:p w14:paraId="67B42EBF" w14:textId="77777777" w:rsidR="00B32EF2" w:rsidRDefault="00000000">
                        <w:r>
                          <w:rPr>
                            <w:rFonts w:ascii="Arial" w:eastAsia="Arial" w:hAnsi="Arial" w:cs="Arial"/>
                            <w:sz w:val="18"/>
                          </w:rPr>
                          <w:t>degli atti processuali e per le deposizioni testimoniali, dei verbali e dei provvedi</w:t>
                        </w:r>
                      </w:p>
                    </w:txbxContent>
                  </v:textbox>
                </v:rect>
                <v:rect id="Rectangle 14129" o:spid="_x0000_s1149" style="position:absolute;left:193;top:1302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Hw2xAAAAN4AAAAPAAAAZHJzL2Rvd25yZXYueG1sRE9Li8Iw&#10;EL4L+x/CLHhbU2URrUZZXGR78LI+wOPQjG21mYQm2uqvNwsL3ubje8582Zla3KjxlWUFw0ECgji3&#10;uuJCwX63/piA8AFZY22ZFNzJw3Lx1ptjqm3Lv3TbhkLEEPYpKihDcKmUPi/JoB9YRxy5k20Mhgib&#10;QuoG2xhuajlKkrE0WHFsKNHRqqT8sr0aBcdvdtm6lfnpsXKbczapf677g1L99+5rBiJQF17if3em&#10;4/zP4WgKf+/EG+TiCQAA//8DAFBLAQItABQABgAIAAAAIQDb4fbL7gAAAIUBAAATAAAAAAAAAAAA&#10;AAAAAAAAAABbQ29udGVudF9UeXBlc10ueG1sUEsBAi0AFAAGAAgAAAAhAFr0LFu/AAAAFQEAAAsA&#10;AAAAAAAAAAAAAAAAHwEAAF9yZWxzLy5yZWxzUEsBAi0AFAAGAAgAAAAhAGoEfDbEAAAA3gAAAA8A&#10;AAAAAAAAAAAAAAAABwIAAGRycy9kb3ducmV2LnhtbFBLBQYAAAAAAwADALcAAAD4AgAAAAA=&#10;" filled="f" stroked="f">
                  <v:textbox inset="0,0,0,0">
                    <w:txbxContent>
                      <w:p w14:paraId="6819F841" w14:textId="77777777" w:rsidR="00B32EF2" w:rsidRDefault="00000000">
                        <w:r>
                          <w:rPr>
                            <w:rFonts w:ascii="Arial" w:eastAsia="Arial" w:hAnsi="Arial" w:cs="Arial"/>
                            <w:sz w:val="18"/>
                          </w:rPr>
                          <w:t>-</w:t>
                        </w:r>
                      </w:p>
                    </w:txbxContent>
                  </v:textbox>
                </v:rect>
                <v:rect id="Rectangle 14130" o:spid="_x0000_s1150" style="position:absolute;left:-13163;top:11789;width:530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N2yAAAAN4AAAAPAAAAZHJzL2Rvd25yZXYueG1sRI9Pa8JA&#10;EMXvhX6HZQq91Y2tFImuIhZpDr34p9DjkB2TaHZ2ya4m7ad3DkJvM8yb995vvhxcq67UxcazgfEo&#10;A0VcettwZeCw37xMQcWEbLH1TAZ+KcJy8fgwx9z6nrd03aVKiQnHHA3UKYVc61jW5DCOfCCW29F3&#10;DpOsXaVth72Yu1a/Ztm7dtiwJNQYaF1Ted5dnIGfDw7Fptfl8W8dvk7FtP28HL6NeX4aVjNQiYb0&#10;L75/F1bqT8ZvAiA4MoNe3AAAAP//AwBQSwECLQAUAAYACAAAACEA2+H2y+4AAACFAQAAEwAAAAAA&#10;AAAAAAAAAAAAAAAAW0NvbnRlbnRfVHlwZXNdLnhtbFBLAQItABQABgAIAAAAIQBa9CxbvwAAABUB&#10;AAALAAAAAAAAAAAAAAAAAB8BAABfcmVscy8ucmVsc1BLAQItABQABgAIAAAAIQB+50N2yAAAAN4A&#10;AAAPAAAAAAAAAAAAAAAAAAcCAABkcnMvZG93bnJldi54bWxQSwUGAAAAAAMAAwC3AAAA/AIAAAAA&#10;" filled="f" stroked="f">
                  <v:textbox inset="0,0,0,0">
                    <w:txbxContent>
                      <w:p w14:paraId="4012E5F7" w14:textId="77777777" w:rsidR="00B32EF2" w:rsidRDefault="00000000">
                        <w:r>
                          <w:rPr>
                            <w:rFonts w:ascii="Arial" w:eastAsia="Arial" w:hAnsi="Arial" w:cs="Arial"/>
                            <w:sz w:val="18"/>
                          </w:rPr>
                          <w:t xml:space="preserve">menti giurisdizionali. Il decreto indica altresì tutte le disposizioni tecnico-operative, </w:t>
                        </w:r>
                      </w:p>
                    </w:txbxContent>
                  </v:textbox>
                </v:rect>
                <v:rect id="Rectangle 14131" o:spid="_x0000_s1151" style="position:absolute;left:-13161;top:10556;width:53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btxAAAAN4AAAAPAAAAZHJzL2Rvd25yZXYueG1sRE9Na8JA&#10;EL0X/A/LCN7qJrYUia4iijQHL7UKHofsmESzs0t2NdFf3y0UepvH+5z5sjeNuFPra8sK0nECgriw&#10;uuZSweF7+zoF4QOyxsYyKXiQh+Vi8DLHTNuOv+i+D6WIIewzVFCF4DIpfVGRQT+2jjhyZ9saDBG2&#10;pdQtdjHcNHKSJB/SYM2xoUJH64qK6/5mFJw27PJtJ4vzc+12l3zafN4OR6VGw341AxGoD//iP3eu&#10;4/z39C2F33fiDXLxAwAA//8DAFBLAQItABQABgAIAAAAIQDb4fbL7gAAAIUBAAATAAAAAAAAAAAA&#10;AAAAAAAAAABbQ29udGVudF9UeXBlc10ueG1sUEsBAi0AFAAGAAgAAAAhAFr0LFu/AAAAFQEAAAsA&#10;AAAAAAAAAAAAAAAAHwEAAF9yZWxzLy5yZWxzUEsBAi0AFAAGAAgAAAAhABGr5u3EAAAA3gAAAA8A&#10;AAAAAAAAAAAAAAAABwIAAGRycy9kb3ducmV2LnhtbFBLBQYAAAAAAwADALcAAAD4AgAAAAA=&#10;" filled="f" stroked="f">
                  <v:textbox inset="0,0,0,0">
                    <w:txbxContent>
                      <w:p w14:paraId="7E3FDC5D" w14:textId="77777777" w:rsidR="00B32EF2" w:rsidRDefault="00000000">
                        <w:r>
                          <w:rPr>
                            <w:rFonts w:ascii="Arial" w:eastAsia="Arial" w:hAnsi="Arial" w:cs="Arial"/>
                            <w:sz w:val="18"/>
                          </w:rPr>
                          <w:t xml:space="preserve">anche di fonte regolamentare, adottate anteriormente alla data della sua adozione </w:t>
                        </w:r>
                      </w:p>
                    </w:txbxContent>
                  </v:textbox>
                </v:rect>
                <v:rect id="Rectangle 14132" o:spid="_x0000_s1152" style="position:absolute;left:10394;top:9322;width:295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iaxAAAAN4AAAAPAAAAZHJzL2Rvd25yZXYueG1sRE9Li8Iw&#10;EL4v+B/CCN7WVHdZpBpFFNkevKwP8Dg0Y1ttJqGJtvrrNwsL3ubje85s0Zla3KnxlWUFo2ECgji3&#10;uuJCwWG/eZ+A8AFZY22ZFDzIw2Lee5thqm3LP3TfhULEEPYpKihDcKmUPi/JoB9aRxy5s20Mhgib&#10;QuoG2xhuajlOki9psOLYUKKjVUn5dXczCk5rdtmmlfn5uXLbSzapv2+Ho1KDfrecggjUhZf4353p&#10;OP9z9DGGv3fiDXL+CwAA//8DAFBLAQItABQABgAIAAAAIQDb4fbL7gAAAIUBAAATAAAAAAAAAAAA&#10;AAAAAAAAAABbQ29udGVudF9UeXBlc10ueG1sUEsBAi0AFAAGAAgAAAAhAFr0LFu/AAAAFQEAAAsA&#10;AAAAAAAAAAAAAAAAHwEAAF9yZWxzLy5yZWxzUEsBAi0AFAAGAAgAAAAhAOF5eJrEAAAA3gAAAA8A&#10;AAAAAAAAAAAAAAAABwIAAGRycy9kb3ducmV2LnhtbFBLBQYAAAAAAwADALcAAAD4AgAAAAA=&#10;" filled="f" stroked="f">
                  <v:textbox inset="0,0,0,0">
                    <w:txbxContent>
                      <w:p w14:paraId="5ED6F5B4" w14:textId="77777777" w:rsidR="00B32EF2" w:rsidRDefault="00000000">
                        <w:r>
                          <w:rPr>
                            <w:rFonts w:ascii="Arial" w:eastAsia="Arial" w:hAnsi="Arial" w:cs="Arial"/>
                            <w:sz w:val="18"/>
                          </w:rPr>
                          <w:t>e che dalla medesima data restano abrogate.</w:t>
                        </w:r>
                      </w:p>
                    </w:txbxContent>
                  </v:textbox>
                </v:rect>
                <v:rect id="Rectangle 198482" o:spid="_x0000_s1153" style="position:absolute;left:26118;top:8089;width:530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T2ZxAAAAN8AAAAPAAAAZHJzL2Rvd25yZXYueG1sRE/LasJA&#10;FN0X/IfhCu7qRCklRkcRRZpFN/UBLi+ZaxLN3Bkyo4n9+k6h0OXhvBer3jTiQa2vLSuYjBMQxIXV&#10;NZcKjofdawrCB2SNjWVS8CQPq+XgZYGZth1/0WMfShFD2GeooArBZVL6oiKDfmwdceQutjUYImxL&#10;qVvsYrhp5DRJ3qXBmmNDhY42FRW3/d0oOG/Z5btOFpfvjfu85mnzcT+elBoN+/UcRKA+/Iv/3LmO&#10;82fpWzqF3z8RgFz+AAAA//8DAFBLAQItABQABgAIAAAAIQDb4fbL7gAAAIUBAAATAAAAAAAAAAAA&#10;AAAAAAAAAABbQ29udGVudF9UeXBlc10ueG1sUEsBAi0AFAAGAAgAAAAhAFr0LFu/AAAAFQEAAAsA&#10;AAAAAAAAAAAAAAAAHwEAAF9yZWxzLy5yZWxzUEsBAi0AFAAGAAgAAAAhAGs1PZnEAAAA3wAAAA8A&#10;AAAAAAAAAAAAAAAABwIAAGRycy9kb3ducmV2LnhtbFBLBQYAAAAAAwADALcAAAD4AgAAAAA=&#10;" filled="f" stroked="f">
                  <v:textbox inset="0,0,0,0">
                    <w:txbxContent>
                      <w:p w14:paraId="5AF33A26" w14:textId="77777777" w:rsidR="00B32EF2" w:rsidRDefault="00000000">
                        <w:r>
                          <w:rPr>
                            <w:rFonts w:ascii="Arial" w:eastAsia="Arial" w:hAnsi="Arial" w:cs="Arial"/>
                            <w:sz w:val="18"/>
                          </w:rPr>
                          <w:t>2</w:t>
                        </w:r>
                      </w:p>
                    </w:txbxContent>
                  </v:textbox>
                </v:rect>
                <v:rect id="Rectangle 198484" o:spid="_x0000_s1154" style="position:absolute;left:-13784;top:8089;width:53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AB2xAAAAN8AAAAPAAAAZHJzL2Rvd25yZXYueG1sRE/Pa8Iw&#10;FL4P/B/CE7zN1CGjq0YRRdaDlzkFj4/m2Vabl9BEW/3rl8Fgx4/v93zZm0bcqfW1ZQWTcQKCuLC6&#10;5lLB4Xv7moLwAVljY5kUPMjDcjF4mWOmbcdfdN+HUsQQ9hkqqEJwmZS+qMigH1tHHLmzbQ2GCNtS&#10;6ha7GG4a+ZYk79JgzbGhQkfriorr/mYUnDbs8m0ni/Nz7XaXPG0+b4ejUqNhv5qBCNSHf/GfO9dx&#10;/kc6Tafw+ycCkIsfAAAA//8DAFBLAQItABQABgAIAAAAIQDb4fbL7gAAAIUBAAATAAAAAAAAAAAA&#10;AAAAAAAAAABbQ29udGVudF9UeXBlc10ueG1sUEsBAi0AFAAGAAgAAAAhAFr0LFu/AAAAFQEAAAsA&#10;AAAAAAAAAAAAAAAAHwEAAF9yZWxzLy5yZWxzUEsBAi0AFAAGAAgAAAAhAIuQAHbEAAAA3wAAAA8A&#10;AAAAAAAAAAAAAAAABwIAAGRycy9kb3ducmV2LnhtbFBLBQYAAAAAAwADALcAAAD4AgAAAAA=&#10;" filled="f" stroked="f">
                  <v:textbox inset="0,0,0,0">
                    <w:txbxContent>
                      <w:p w14:paraId="761FE8A4" w14:textId="77777777" w:rsidR="00B32EF2" w:rsidRDefault="00000000">
                        <w:r>
                          <w:rPr>
                            <w:rFonts w:ascii="Arial" w:eastAsia="Arial" w:hAnsi="Arial" w:cs="Arial"/>
                            <w:sz w:val="18"/>
                          </w:rPr>
                          <w:t xml:space="preserve">. Con il decreto di cui al comma 1 sono altresì stabilite, nei limiti delle risorse </w:t>
                        </w:r>
                      </w:p>
                    </w:txbxContent>
                  </v:textbox>
                </v:rect>
                <v:rect id="Rectangle 14134" o:spid="_x0000_s1155" style="position:absolute;left:-12231;top:6856;width:521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EV1xAAAAN4AAAAPAAAAZHJzL2Rvd25yZXYueG1sRE9Li8Iw&#10;EL4v7H8Is+BtTV1FpBplcZHtwcv6AI9DM7bVZhKaaKu/3iwI3ubje85s0ZlaXKnxlWUFg34Cgji3&#10;uuJCwW67+pyA8AFZY22ZFNzIw2L+/jbDVNuW/+i6CYWIIexTVFCG4FIpfV6SQd+3jjhyR9sYDBE2&#10;hdQNtjHc1PIrScbSYMWxoURHy5Ly8+ZiFBx+2GWrVubH+9KtT9mk/r3s9kr1PrrvKYhAXXiJn+5M&#10;x/mjwXAE/+/EG+T8AQAA//8DAFBLAQItABQABgAIAAAAIQDb4fbL7gAAAIUBAAATAAAAAAAAAAAA&#10;AAAAAAAAAABbQ29udGVudF9UeXBlc10ueG1sUEsBAi0AFAAGAAgAAAAhAFr0LFu/AAAAFQEAAAsA&#10;AAAAAAAAAAAAAAAAHwEAAF9yZWxzLy5yZWxzUEsBAi0AFAAGAAgAAAAhAAHcRXXEAAAA3gAAAA8A&#10;AAAAAAAAAAAAAAAABwIAAGRycy9kb3ducmV2LnhtbFBLBQYAAAAAAwADALcAAAD4AgAAAAA=&#10;" filled="f" stroked="f">
                  <v:textbox inset="0,0,0,0">
                    <w:txbxContent>
                      <w:p w14:paraId="6DE4BCD6" w14:textId="77777777" w:rsidR="00B32EF2" w:rsidRDefault="00000000">
                        <w:r>
                          <w:rPr>
                            <w:rFonts w:ascii="Arial" w:eastAsia="Arial" w:hAnsi="Arial" w:cs="Arial"/>
                            <w:sz w:val="18"/>
                          </w:rPr>
                          <w:t>umane, strumentali e finanziarie disponibili a legislazione vigente, le regole tecni</w:t>
                        </w:r>
                      </w:p>
                    </w:txbxContent>
                  </v:textbox>
                </v:rect>
                <v:rect id="Rectangle 14135" o:spid="_x0000_s1156" style="position:absolute;left:193;top:685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ODuxQAAAN4AAAAPAAAAZHJzL2Rvd25yZXYueG1sRE9La8JA&#10;EL4X/A/LCN7qxlpFoquIRZpDL/UBHofsmESzs0t2NWl/fbcgeJuP7zmLVWdqcafGV5YVjIYJCOLc&#10;6ooLBYf99nUGwgdkjbVlUvBDHlbL3ssCU21b/qb7LhQihrBPUUEZgkul9HlJBv3QOuLInW1jMETY&#10;FFI32MZwU8u3JJlKgxXHhhIdbUrKr7ubUXD6YJdtW5mffzfu65LN6s/b4ajUoN+t5yACdeEpfrgz&#10;Hee/j8YT+H8n3iCXfwAAAP//AwBQSwECLQAUAAYACAAAACEA2+H2y+4AAACFAQAAEwAAAAAAAAAA&#10;AAAAAAAAAAAAW0NvbnRlbnRfVHlwZXNdLnhtbFBLAQItABQABgAIAAAAIQBa9CxbvwAAABUBAAAL&#10;AAAAAAAAAAAAAAAAAB8BAABfcmVscy8ucmVsc1BLAQItABQABgAIAAAAIQBukODuxQAAAN4AAAAP&#10;AAAAAAAAAAAAAAAAAAcCAABkcnMvZG93bnJldi54bWxQSwUGAAAAAAMAAwC3AAAA+QIAAAAA&#10;" filled="f" stroked="f">
                  <v:textbox inset="0,0,0,0">
                    <w:txbxContent>
                      <w:p w14:paraId="143258D8" w14:textId="77777777" w:rsidR="00B32EF2" w:rsidRDefault="00000000">
                        <w:r>
                          <w:rPr>
                            <w:rFonts w:ascii="Arial" w:eastAsia="Arial" w:hAnsi="Arial" w:cs="Arial"/>
                            <w:sz w:val="18"/>
                          </w:rPr>
                          <w:t>-</w:t>
                        </w:r>
                      </w:p>
                    </w:txbxContent>
                  </v:textbox>
                </v:rect>
                <v:rect id="Rectangle 14136" o:spid="_x0000_s1157" style="position:absolute;left:-12739;top:5622;width:526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n6ZxAAAAN4AAAAPAAAAZHJzL2Rvd25yZXYueG1sRE9Li8Iw&#10;EL4v7H8Is+BtTdVFpBplcRF72Isv8Dg0Y1ttJqGJtvrrzcKCt/n4njNbdKYWN2p8ZVnBoJ+AIM6t&#10;rrhQsN+tPicgfEDWWFsmBXfysJi/v80w1bblDd22oRAxhH2KCsoQXCqlz0sy6PvWEUfuZBuDIcKm&#10;kLrBNoabWg6TZCwNVhwbSnS0LCm/bK9GwfGHXbZqZX56LN3vOZvU6+v+oFTvo/ueggjUhZf4353p&#10;OP9rMBrD3zvxBjl/AgAA//8DAFBLAQItABQABgAIAAAAIQDb4fbL7gAAAIUBAAATAAAAAAAAAAAA&#10;AAAAAAAAAABbQ29udGVudF9UeXBlc10ueG1sUEsBAi0AFAAGAAgAAAAhAFr0LFu/AAAAFQEAAAsA&#10;AAAAAAAAAAAAAAAAHwEAAF9yZWxzLy5yZWxzUEsBAi0AFAAGAAgAAAAhAJ5CfpnEAAAA3gAAAA8A&#10;AAAAAAAAAAAAAAAABwIAAGRycy9kb3ducmV2LnhtbFBLBQYAAAAAAwADALcAAAD4AgAAAAA=&#10;" filled="f" stroked="f">
                  <v:textbox inset="0,0,0,0">
                    <w:txbxContent>
                      <w:p w14:paraId="586A6809" w14:textId="77777777" w:rsidR="00B32EF2" w:rsidRDefault="00000000">
                        <w:r>
                          <w:rPr>
                            <w:rFonts w:ascii="Arial" w:eastAsia="Arial" w:hAnsi="Arial" w:cs="Arial"/>
                            <w:sz w:val="18"/>
                          </w:rPr>
                          <w:t>co-operative per lo svolgimento da remoto delle udienze e camere di consiglio. (1)</w:t>
                        </w:r>
                      </w:p>
                    </w:txbxContent>
                  </v:textbox>
                </v:rect>
                <v:rect id="Rectangle 198453" o:spid="_x0000_s1158" style="position:absolute;left:26110;top:4389;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bRFxQAAAN8AAAAPAAAAZHJzL2Rvd25yZXYueG1sRE/LasJA&#10;FN0X+g/DLXRXJ7WtxOgoYpFm0Y0vcHnJXJPYzJ0hM5rUr3cKBZeH857Oe9OIC7W+tqzgdZCAIC6s&#10;rrlUsNuuXlIQPiBrbCyTgl/yMJ89Pkwx07bjNV02oRQxhH2GCqoQXCalLyoy6AfWEUfuaFuDIcK2&#10;lLrFLoabRg6TZCQN1hwbKnS0rKj42ZyNgsMnu3zVyeJ4XbrvU542X+fdXqnnp34xARGoD3fxvzvX&#10;cf44ff94g78/EYCc3QAAAP//AwBQSwECLQAUAAYACAAAACEA2+H2y+4AAACFAQAAEwAAAAAAAAAA&#10;AAAAAAAAAAAAW0NvbnRlbnRfVHlwZXNdLnhtbFBLAQItABQABgAIAAAAIQBa9CxbvwAAABUBAAAL&#10;AAAAAAAAAAAAAAAAAB8BAABfcmVscy8ucmVsc1BLAQItABQABgAIAAAAIQB6GbRFxQAAAN8AAAAP&#10;AAAAAAAAAAAAAAAAAAcCAABkcnMvZG93bnJldi54bWxQSwUGAAAAAAMAAwC3AAAA+QIAAAAA&#10;" filled="f" stroked="f">
                  <v:textbox inset="0,0,0,0">
                    <w:txbxContent>
                      <w:p w14:paraId="1E0AE83E" w14:textId="77777777" w:rsidR="00B32EF2" w:rsidRDefault="00000000">
                        <w:r>
                          <w:rPr>
                            <w:rFonts w:ascii="Arial" w:eastAsia="Arial" w:hAnsi="Arial" w:cs="Arial"/>
                            <w:sz w:val="18"/>
                          </w:rPr>
                          <w:t>3</w:t>
                        </w:r>
                      </w:p>
                    </w:txbxContent>
                  </v:textbox>
                </v:rect>
                <v:rect id="Rectangle 198471" o:spid="_x0000_s1159" style="position:absolute;left:-13816;top:438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PJxQAAAN8AAAAPAAAAZHJzL2Rvd25yZXYueG1sRE/LasJA&#10;FN0X/IfhCu7qRJE2TR1FFGkWbuoDurxkrklq5s6QGU3ar3cKBZeH854ve9OIG7W+tqxgMk5AEBdW&#10;11wqOB62zykIH5A1NpZJwQ95WC4GT3PMtO34k277UIoYwj5DBVUILpPSFxUZ9GPriCN3tq3BEGFb&#10;St1iF8NNI6dJ8iIN1hwbKnS0rqi47K9GwdeGXb7tZHH+Xbvdd542H9fjSanRsF+9gwjUh4f4353r&#10;OP8tnb1O4O9PBCAXdwAAAP//AwBQSwECLQAUAAYACAAAACEA2+H2y+4AAACFAQAAEwAAAAAAAAAA&#10;AAAAAAAAAAAAW0NvbnRlbnRfVHlwZXNdLnhtbFBLAQItABQABgAIAAAAIQBa9CxbvwAAABUBAAAL&#10;AAAAAAAAAAAAAAAAAB8BAABfcmVscy8ucmVsc1BLAQItABQABgAIAAAAIQCuMtPJxQAAAN8AAAAP&#10;AAAAAAAAAAAAAAAAAAcCAABkcnMvZG93bnJldi54bWxQSwUGAAAAAAMAAwC3AAAA+QIAAAAA&#10;" filled="f" stroked="f">
                  <v:textbox inset="0,0,0,0">
                    <w:txbxContent>
                      <w:p w14:paraId="729EB3C5" w14:textId="77777777" w:rsidR="00B32EF2" w:rsidRDefault="00000000">
                        <w:r>
                          <w:rPr>
                            <w:rFonts w:ascii="Arial" w:eastAsia="Arial" w:hAnsi="Arial" w:cs="Arial"/>
                            <w:sz w:val="18"/>
                          </w:rPr>
                          <w:t xml:space="preserve">. Nei casi eccezionali previsti dalle norme tecniche per il processo tributario </w:t>
                        </w:r>
                      </w:p>
                    </w:txbxContent>
                  </v:textbox>
                </v:rect>
                <v:rect id="Rectangle 14138" o:spid="_x0000_s1160" style="position:absolute;left:-13171;top:315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U9wyAAAAN4AAAAPAAAAZHJzL2Rvd25yZXYueG1sRI9Pa8JA&#10;EMXvhX6HZQq91Y2tFImuIhZpDr34p9DjkB2TaHZ2ya4m7ad3DkJvM7w37/1mvhxcq67UxcazgfEo&#10;A0VcettwZeCw37xMQcWEbLH1TAZ+KcJy8fgwx9z6nrd03aVKSQjHHA3UKYVc61jW5DCOfCAW7eg7&#10;h0nWrtK2w17CXatfs+xdO2xYGmoMtK6pPO8uzsDPB4di0+vy+LcOX6di2n5eDt/GPD8NqxmoREP6&#10;N9+vCyv4k/Gb8Mo7MoNe3AAAAP//AwBQSwECLQAUAAYACAAAACEA2+H2y+4AAACFAQAAEwAAAAAA&#10;AAAAAAAAAAAAAAAAW0NvbnRlbnRfVHlwZXNdLnhtbFBLAQItABQABgAIAAAAIQBa9CxbvwAAABUB&#10;AAALAAAAAAAAAAAAAAAAAB8BAABfcmVscy8ucmVsc1BLAQItABQABgAIAAAAIQCAkU9wyAAAAN4A&#10;AAAPAAAAAAAAAAAAAAAAAAcCAABkcnMvZG93bnJldi54bWxQSwUGAAAAAAMAAwC3AAAA/AIAAAAA&#10;" filled="f" stroked="f">
                  <v:textbox inset="0,0,0,0">
                    <w:txbxContent>
                      <w:p w14:paraId="7FB76C53" w14:textId="77777777" w:rsidR="00B32EF2" w:rsidRDefault="00000000">
                        <w:r>
                          <w:rPr>
                            <w:rFonts w:ascii="Arial" w:eastAsia="Arial" w:hAnsi="Arial" w:cs="Arial"/>
                            <w:sz w:val="18"/>
                          </w:rPr>
                          <w:t xml:space="preserve">telematico, e, fino al momento della loro individuazione, previa autorizzazione </w:t>
                        </w:r>
                      </w:p>
                    </w:txbxContent>
                  </v:textbox>
                </v:rect>
                <v:shape id="Shape 207694" o:spid="_x0000_s1161" style="position:absolute;left:319;top:24802;width:39600;height:5183;visibility:visible;mso-wrap-style:square;v-text-anchor:top" coordsize="3960000,5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OZ3yAAAAN8AAAAPAAAAZHJzL2Rvd25yZXYueG1sRI9PawIx&#10;FMTvgt8hvEIvollF/LMaRQptPVW0Hjw+N8/N0s3Lsknd1U9vhEKPw8z8hlmuW1uKK9W+cKxgOEhA&#10;EGdOF5wrOH6/92cgfEDWWDomBTfysF51O0tMtWt4T9dDyEWEsE9RgQmhSqX0mSGLfuAq4uhdXG0x&#10;RFnnUtfYRLgt5ShJJtJiwXHBYEVvhrKfw69VcP4I231pG2Ns7zS974anz/PXWKnXl3azABGoDf/h&#10;v/ZWKxgl08l8DM8/8QvI1QMAAP//AwBQSwECLQAUAAYACAAAACEA2+H2y+4AAACFAQAAEwAAAAAA&#10;AAAAAAAAAAAAAAAAW0NvbnRlbnRfVHlwZXNdLnhtbFBLAQItABQABgAIAAAAIQBa9CxbvwAAABUB&#10;AAALAAAAAAAAAAAAAAAAAB8BAABfcmVscy8ucmVsc1BLAQItABQABgAIAAAAIQCSvOZ3yAAAAN8A&#10;AAAPAAAAAAAAAAAAAAAAAAcCAABkcnMvZG93bnJldi54bWxQSwUGAAAAAAMAAwC3AAAA/AIAAAAA&#10;" path="m,l3960000,r,518300l,518300,,e" fillcolor="#c3c3c3" stroked="f" strokeweight="0">
                  <v:stroke miterlimit="83231f" joinstyle="miter"/>
                  <v:path arrowok="t" textboxrect="0,0,3960000,518300"/>
                </v:shape>
                <v:rect id="Rectangle 14140" o:spid="_x0000_s1162" style="position:absolute;left:23289;top:2777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TALxwAAAN4AAAAPAAAAZHJzL2Rvd25yZXYueG1sRI9Pa8JA&#10;EMXvhX6HZYTe6sYiIqmriEWaQy/1D/Q4ZMckmp1dsqtJ++k7B8HbDPPmvfdbrAbXqht1sfFsYDLO&#10;QBGX3jZcGTjst69zUDEhW2w9k4FfirBaPj8tMLe+52+67VKlxIRjjgbqlEKudSxrchjHPhDL7eQ7&#10;h0nWrtK2w17MXavfsmymHTYsCTUG2tRUXnZXZ+Dng0Ox7XV5+tuEr3Mxbz+vh6MxL6Nh/Q4q0ZAe&#10;4vt3YaX+dDIVAMGRGfTyHwAA//8DAFBLAQItABQABgAIAAAAIQDb4fbL7gAAAIUBAAATAAAAAAAA&#10;AAAAAAAAAAAAAABbQ29udGVudF9UeXBlc10ueG1sUEsBAi0AFAAGAAgAAAAhAFr0LFu/AAAAFQEA&#10;AAsAAAAAAAAAAAAAAAAAHwEAAF9yZWxzLy5yZWxzUEsBAi0AFAAGAAgAAAAhACbhMAvHAAAA3gAA&#10;AA8AAAAAAAAAAAAAAAAABwIAAGRycy9kb3ducmV2LnhtbFBLBQYAAAAAAwADALcAAAD7AgAAAAA=&#10;" filled="f" stroked="f">
                  <v:textbox inset="0,0,0,0">
                    <w:txbxContent>
                      <w:p w14:paraId="01D7384B" w14:textId="77777777" w:rsidR="00B32EF2" w:rsidRDefault="00000000">
                        <w:r>
                          <w:rPr>
                            <w:rFonts w:ascii="Arial" w:eastAsia="Arial" w:hAnsi="Arial" w:cs="Arial"/>
                            <w:b/>
                            <w:i/>
                            <w:sz w:val="18"/>
                          </w:rPr>
                          <w:t>NORME RICHIAMATE</w:t>
                        </w:r>
                      </w:p>
                    </w:txbxContent>
                  </v:textbox>
                </v:rect>
                <v:rect id="Rectangle 14141" o:spid="_x0000_s1163" style="position:absolute;left:-11860;top:26458;width:509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ZWQxQAAAN4AAAAPAAAAZHJzL2Rvd25yZXYueG1sRE9Ni8Iw&#10;EL0L+x/CLOxN05VFpGsUcRF78OIXeByase3aTEITbfXXG0GQd5nhzXtv3mTWmVpcqfGVZQXfgwQE&#10;cW51xYWC/W7ZH4PwAVljbZkU3MjDbPrRm2Cqbcsbum5DIaIJ+xQVlCG4VEqfl2TQD6wjjtzJNgZD&#10;XJtC6gbbaG5qOUySkTRYcUwo0dGipPy8vRgFxz922bKV+em+cOv/bFyvLvuDUl+f3fwXRKAuvI9f&#10;6kzH938i4FknziCnDwAAAP//AwBQSwECLQAUAAYACAAAACEA2+H2y+4AAACFAQAAEwAAAAAAAAAA&#10;AAAAAAAAAAAAW0NvbnRlbnRfVHlwZXNdLnhtbFBLAQItABQABgAIAAAAIQBa9CxbvwAAABUBAAAL&#10;AAAAAAAAAAAAAAAAAB8BAABfcmVscy8ucmVsc1BLAQItABQABgAIAAAAIQBJrZWQxQAAAN4AAAAP&#10;AAAAAAAAAAAAAAAAAAcCAABkcnMvZG93bnJldi54bWxQSwUGAAAAAAMAAwC3AAAA+QIAAAAA&#10;" filled="f" stroked="f">
                  <v:textbox inset="0,0,0,0">
                    <w:txbxContent>
                      <w:p w14:paraId="1CFEE7B5" w14:textId="77777777" w:rsidR="00B32EF2" w:rsidRDefault="00000000">
                        <w:r>
                          <w:rPr>
                            <w:rFonts w:ascii="Arial" w:eastAsia="Arial" w:hAnsi="Arial" w:cs="Arial"/>
                            <w:i/>
                            <w:sz w:val="18"/>
                          </w:rPr>
                          <w:t xml:space="preserve">art. 53 D.lgs. 446/1997 “Albo per l’accertamento e riscossione delle entrate </w:t>
                        </w:r>
                      </w:p>
                    </w:txbxContent>
                  </v:textbox>
                </v:rect>
                <v:rect id="Rectangle 14142" o:spid="_x0000_s1164" style="position:absolute;left:28049;top:25143;width:110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wvnxAAAAN4AAAAPAAAAZHJzL2Rvd25yZXYueG1sRE9Li8Iw&#10;EL4v+B/CCHtbU0UWqUYRRbYHL+sDPA7N2FabSWiirfvrN4LgbT6+58wWnanFnRpfWVYwHCQgiHOr&#10;Ky4UHPabrwkIH5A11pZJwYM8LOa9jxmm2rb8S/ddKEQMYZ+igjIEl0rp85IM+oF1xJE728ZgiLAp&#10;pG6wjeGmlqMk+ZYGK44NJTpalZRfdzej4LRml21amZ//Vm57ySb1z+1wVOqz3y2nIAJ14S1+uTMd&#10;54+H4xE834k3yPk/AAAA//8DAFBLAQItABQABgAIAAAAIQDb4fbL7gAAAIUBAAATAAAAAAAAAAAA&#10;AAAAAAAAAABbQ29udGVudF9UeXBlc10ueG1sUEsBAi0AFAAGAAgAAAAhAFr0LFu/AAAAFQEAAAsA&#10;AAAAAAAAAAAAAAAAHwEAAF9yZWxzLy5yZWxzUEsBAi0AFAAGAAgAAAAhALl/C+fEAAAA3gAAAA8A&#10;AAAAAAAAAAAAAAAABwIAAGRycy9kb3ducmV2LnhtbFBLBQYAAAAAAwADALcAAAD4AgAAAAA=&#10;" filled="f" stroked="f">
                  <v:textbox inset="0,0,0,0">
                    <w:txbxContent>
                      <w:p w14:paraId="2EE136DE" w14:textId="77777777" w:rsidR="00B32EF2" w:rsidRDefault="00000000">
                        <w:r>
                          <w:rPr>
                            <w:rFonts w:ascii="Arial" w:eastAsia="Arial" w:hAnsi="Arial" w:cs="Arial"/>
                            <w:i/>
                            <w:sz w:val="18"/>
                          </w:rPr>
                          <w:t xml:space="preserve">degli enti locali” </w:t>
                        </w:r>
                      </w:p>
                    </w:txbxContent>
                  </v:textbox>
                </v:rect>
                <v:shape id="Shape 14143" o:spid="_x0000_s1165" style="position:absolute;left:319;top:24802;width:39600;height:5183;visibility:visible;mso-wrap-style:square;v-text-anchor:top" coordsize="3960000,5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3XkxQAAAN4AAAAPAAAAZHJzL2Rvd25yZXYueG1sRE9Na8JA&#10;EL0X/A/LCL3VTVopEl1FSwvVHkSj9yE7JtHsbNjdavTXu4WCt3m8z5nMOtOIMzlfW1aQDhIQxIXV&#10;NZcKdvnXywiED8gaG8uk4EoeZtPe0wQzbS+8ofM2lCKGsM9QQRVCm0npi4oM+oFtiSN3sM5giNCV&#10;Uju8xHDTyNckeZcGa44NFbb0UVFx2v4aBT/HzfE6+lze3DrNSa+bxWqfd0o997v5GESgLjzE/+5v&#10;HecP0+Eb/L0Tb5DTOwAAAP//AwBQSwECLQAUAAYACAAAACEA2+H2y+4AAACFAQAAEwAAAAAAAAAA&#10;AAAAAAAAAAAAW0NvbnRlbnRfVHlwZXNdLnhtbFBLAQItABQABgAIAAAAIQBa9CxbvwAAABUBAAAL&#10;AAAAAAAAAAAAAAAAAB8BAABfcmVscy8ucmVsc1BLAQItABQABgAIAAAAIQAcU3XkxQAAAN4AAAAP&#10;AAAAAAAAAAAAAAAAAAcCAABkcnMvZG93bnJldi54bWxQSwUGAAAAAAMAAwC3AAAA+QIAAAAA&#10;" path="m,518300r3960000,l3960000,,,,,518300xe" filled="f" strokeweight="1pt">
                  <v:stroke miterlimit="1" joinstyle="miter"/>
                  <v:path arrowok="t" textboxrect="0,0,3960000,518300"/>
                </v:shape>
                <w10:anchorlock/>
              </v:group>
            </w:pict>
          </mc:Fallback>
        </mc:AlternateContent>
      </w:r>
    </w:p>
    <w:p w14:paraId="79058167" w14:textId="77777777" w:rsidR="00B32EF2" w:rsidRDefault="00000000">
      <w:pPr>
        <w:spacing w:after="0"/>
        <w:ind w:left="-356" w:right="-306"/>
      </w:pPr>
      <w:r>
        <w:rPr>
          <w:noProof/>
        </w:rPr>
        <w:lastRenderedPageBreak/>
        <mc:AlternateContent>
          <mc:Choice Requires="wpg">
            <w:drawing>
              <wp:inline distT="0" distB="0" distL="0" distR="0" wp14:anchorId="576CD3A0" wp14:editId="04FF8BE7">
                <wp:extent cx="3991870" cy="6262854"/>
                <wp:effectExtent l="0" t="0" r="0" b="0"/>
                <wp:docPr id="199928" name="Group 199928"/>
                <wp:cNvGraphicFramePr/>
                <a:graphic xmlns:a="http://schemas.openxmlformats.org/drawingml/2006/main">
                  <a:graphicData uri="http://schemas.microsoft.com/office/word/2010/wordprocessingGroup">
                    <wpg:wgp>
                      <wpg:cNvGrpSpPr/>
                      <wpg:grpSpPr>
                        <a:xfrm>
                          <a:off x="0" y="0"/>
                          <a:ext cx="3991870" cy="6262854"/>
                          <a:chOff x="0" y="0"/>
                          <a:chExt cx="3991870" cy="6262854"/>
                        </a:xfrm>
                      </wpg:grpSpPr>
                      <wps:wsp>
                        <wps:cNvPr id="14224" name="Rectangle 14224"/>
                        <wps:cNvSpPr/>
                        <wps:spPr>
                          <a:xfrm rot="-10799999">
                            <a:off x="1844786" y="-62190"/>
                            <a:ext cx="267553" cy="250646"/>
                          </a:xfrm>
                          <a:prstGeom prst="rect">
                            <a:avLst/>
                          </a:prstGeom>
                          <a:ln>
                            <a:noFill/>
                          </a:ln>
                        </wps:spPr>
                        <wps:txbx>
                          <w:txbxContent>
                            <w:p w14:paraId="2DC9FE54" w14:textId="77777777" w:rsidR="00B32EF2" w:rsidRDefault="00000000">
                              <w:r>
                                <w:rPr>
                                  <w:rFonts w:ascii="Times New Roman" w:eastAsia="Times New Roman" w:hAnsi="Times New Roman" w:cs="Times New Roman"/>
                                </w:rPr>
                                <w:t>104</w:t>
                              </w:r>
                            </w:p>
                          </w:txbxContent>
                        </wps:txbx>
                        <wps:bodyPr horzOverflow="overflow" vert="horz" lIns="0" tIns="0" rIns="0" bIns="0" rtlCol="0">
                          <a:noAutofit/>
                        </wps:bodyPr>
                      </wps:wsp>
                      <wps:wsp>
                        <wps:cNvPr id="14225" name="Rectangle 14225"/>
                        <wps:cNvSpPr/>
                        <wps:spPr>
                          <a:xfrm rot="-10799999">
                            <a:off x="-1317278" y="6119964"/>
                            <a:ext cx="5309036" cy="142890"/>
                          </a:xfrm>
                          <a:prstGeom prst="rect">
                            <a:avLst/>
                          </a:prstGeom>
                          <a:ln>
                            <a:noFill/>
                          </a:ln>
                        </wps:spPr>
                        <wps:txbx>
                          <w:txbxContent>
                            <w:p w14:paraId="4FA957A5" w14:textId="77777777" w:rsidR="00B32EF2" w:rsidRDefault="00000000">
                              <w:r>
                                <w:rPr>
                                  <w:rFonts w:ascii="Arial" w:eastAsia="Arial" w:hAnsi="Arial" w:cs="Arial"/>
                                  <w:sz w:val="18"/>
                                </w:rPr>
                                <w:t xml:space="preserve">la sua durata nonché il termine entro il quale può essere escussa, a seguito </w:t>
                              </w:r>
                            </w:p>
                          </w:txbxContent>
                        </wps:txbx>
                        <wps:bodyPr horzOverflow="overflow" vert="horz" lIns="0" tIns="0" rIns="0" bIns="0" rtlCol="0">
                          <a:noAutofit/>
                        </wps:bodyPr>
                      </wps:wsp>
                      <wps:wsp>
                        <wps:cNvPr id="14226" name="Rectangle 14226"/>
                        <wps:cNvSpPr/>
                        <wps:spPr>
                          <a:xfrm rot="-10799999">
                            <a:off x="-1317279" y="5996634"/>
                            <a:ext cx="5309036" cy="142891"/>
                          </a:xfrm>
                          <a:prstGeom prst="rect">
                            <a:avLst/>
                          </a:prstGeom>
                          <a:ln>
                            <a:noFill/>
                          </a:ln>
                        </wps:spPr>
                        <wps:txbx>
                          <w:txbxContent>
                            <w:p w14:paraId="063AFBAD" w14:textId="77777777" w:rsidR="00B32EF2" w:rsidRDefault="00000000">
                              <w:r>
                                <w:rPr>
                                  <w:rFonts w:ascii="Arial" w:eastAsia="Arial" w:hAnsi="Arial" w:cs="Arial"/>
                                  <w:sz w:val="18"/>
                                </w:rPr>
                                <w:t xml:space="preserve">dell’inerzia del contribuente in ordine alla restituzione delle somme garantite </w:t>
                              </w:r>
                            </w:p>
                          </w:txbxContent>
                        </wps:txbx>
                        <wps:bodyPr horzOverflow="overflow" vert="horz" lIns="0" tIns="0" rIns="0" bIns="0" rtlCol="0">
                          <a:noAutofit/>
                        </wps:bodyPr>
                      </wps:wsp>
                      <wps:wsp>
                        <wps:cNvPr id="14227" name="Rectangle 14227"/>
                        <wps:cNvSpPr/>
                        <wps:spPr>
                          <a:xfrm rot="-10799999">
                            <a:off x="1473728" y="5873305"/>
                            <a:ext cx="2518028" cy="142889"/>
                          </a:xfrm>
                          <a:prstGeom prst="rect">
                            <a:avLst/>
                          </a:prstGeom>
                          <a:ln>
                            <a:noFill/>
                          </a:ln>
                        </wps:spPr>
                        <wps:txbx>
                          <w:txbxContent>
                            <w:p w14:paraId="6931ACCE" w14:textId="77777777" w:rsidR="00B32EF2" w:rsidRDefault="00000000">
                              <w:r>
                                <w:rPr>
                                  <w:rFonts w:ascii="Arial" w:eastAsia="Arial" w:hAnsi="Arial" w:cs="Arial"/>
                                  <w:sz w:val="18"/>
                                </w:rPr>
                                <w:t>protrattasi per un periodo di tre mesi.</w:t>
                              </w:r>
                            </w:p>
                          </w:txbxContent>
                        </wps:txbx>
                        <wps:bodyPr horzOverflow="overflow" vert="horz" lIns="0" tIns="0" rIns="0" bIns="0" rtlCol="0">
                          <a:noAutofit/>
                        </wps:bodyPr>
                      </wps:wsp>
                      <wps:wsp>
                        <wps:cNvPr id="199918" name="Rectangle 199918"/>
                        <wps:cNvSpPr/>
                        <wps:spPr>
                          <a:xfrm rot="-10799999">
                            <a:off x="-1381771" y="5749976"/>
                            <a:ext cx="5309006" cy="142889"/>
                          </a:xfrm>
                          <a:prstGeom prst="rect">
                            <a:avLst/>
                          </a:prstGeom>
                          <a:ln>
                            <a:noFill/>
                          </a:ln>
                        </wps:spPr>
                        <wps:txbx>
                          <w:txbxContent>
                            <w:p w14:paraId="11378CCC" w14:textId="77777777" w:rsidR="00B32EF2" w:rsidRDefault="00000000">
                              <w:r>
                                <w:rPr>
                                  <w:rFonts w:ascii="Arial" w:eastAsia="Arial" w:hAnsi="Arial" w:cs="Arial"/>
                                  <w:sz w:val="18"/>
                                </w:rPr>
                                <w:t xml:space="preserve">. I costi della garanzia, anticipati dal contribuente, sono a carico della parte </w:t>
                              </w:r>
                            </w:p>
                          </w:txbxContent>
                        </wps:txbx>
                        <wps:bodyPr horzOverflow="overflow" vert="horz" lIns="0" tIns="0" rIns="0" bIns="0" rtlCol="0">
                          <a:noAutofit/>
                        </wps:bodyPr>
                      </wps:wsp>
                      <wps:wsp>
                        <wps:cNvPr id="199917" name="Rectangle 199917"/>
                        <wps:cNvSpPr/>
                        <wps:spPr>
                          <a:xfrm rot="-10799999">
                            <a:off x="2610934" y="5749976"/>
                            <a:ext cx="5309006" cy="142889"/>
                          </a:xfrm>
                          <a:prstGeom prst="rect">
                            <a:avLst/>
                          </a:prstGeom>
                          <a:ln>
                            <a:noFill/>
                          </a:ln>
                        </wps:spPr>
                        <wps:txbx>
                          <w:txbxContent>
                            <w:p w14:paraId="60BC0D0B"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4229" name="Rectangle 14229"/>
                        <wps:cNvSpPr/>
                        <wps:spPr>
                          <a:xfrm rot="-10799999">
                            <a:off x="1024041" y="5626646"/>
                            <a:ext cx="2967715" cy="142889"/>
                          </a:xfrm>
                          <a:prstGeom prst="rect">
                            <a:avLst/>
                          </a:prstGeom>
                          <a:ln>
                            <a:noFill/>
                          </a:ln>
                        </wps:spPr>
                        <wps:txbx>
                          <w:txbxContent>
                            <w:p w14:paraId="13C0AD73" w14:textId="77777777" w:rsidR="00B32EF2" w:rsidRDefault="00000000">
                              <w:r>
                                <w:rPr>
                                  <w:rFonts w:ascii="Arial" w:eastAsia="Arial" w:hAnsi="Arial" w:cs="Arial"/>
                                  <w:sz w:val="18"/>
                                </w:rPr>
                                <w:t>soccombente all’esito definitivo del giudizio.</w:t>
                              </w:r>
                            </w:p>
                          </w:txbxContent>
                        </wps:txbx>
                        <wps:bodyPr horzOverflow="overflow" vert="horz" lIns="0" tIns="0" rIns="0" bIns="0" rtlCol="0">
                          <a:noAutofit/>
                        </wps:bodyPr>
                      </wps:wsp>
                      <wps:wsp>
                        <wps:cNvPr id="199894" name="Rectangle 199894"/>
                        <wps:cNvSpPr/>
                        <wps:spPr>
                          <a:xfrm rot="-10799999">
                            <a:off x="2610942" y="5503316"/>
                            <a:ext cx="5308975" cy="142889"/>
                          </a:xfrm>
                          <a:prstGeom prst="rect">
                            <a:avLst/>
                          </a:prstGeom>
                          <a:ln>
                            <a:noFill/>
                          </a:ln>
                        </wps:spPr>
                        <wps:txbx>
                          <w:txbxContent>
                            <w:p w14:paraId="3DAA5DAE"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99895" name="Rectangle 199895"/>
                        <wps:cNvSpPr/>
                        <wps:spPr>
                          <a:xfrm rot="-10799999">
                            <a:off x="-1380357" y="5503316"/>
                            <a:ext cx="5308975" cy="142889"/>
                          </a:xfrm>
                          <a:prstGeom prst="rect">
                            <a:avLst/>
                          </a:prstGeom>
                          <a:ln>
                            <a:noFill/>
                          </a:ln>
                        </wps:spPr>
                        <wps:txbx>
                          <w:txbxContent>
                            <w:p w14:paraId="522EF504" w14:textId="77777777" w:rsidR="00B32EF2" w:rsidRDefault="00000000">
                              <w:r>
                                <w:rPr>
                                  <w:rFonts w:ascii="Arial" w:eastAsia="Arial" w:hAnsi="Arial" w:cs="Arial"/>
                                  <w:sz w:val="18"/>
                                </w:rPr>
                                <w:t xml:space="preserve">. Il pagamento delle somme dovute a seguito della sentenza deve essere </w:t>
                              </w:r>
                            </w:p>
                          </w:txbxContent>
                        </wps:txbx>
                        <wps:bodyPr horzOverflow="overflow" vert="horz" lIns="0" tIns="0" rIns="0" bIns="0" rtlCol="0">
                          <a:noAutofit/>
                        </wps:bodyPr>
                      </wps:wsp>
                      <wps:wsp>
                        <wps:cNvPr id="14231" name="Rectangle 14231"/>
                        <wps:cNvSpPr/>
                        <wps:spPr>
                          <a:xfrm rot="-10799999">
                            <a:off x="-1218665" y="5379987"/>
                            <a:ext cx="5210421" cy="142889"/>
                          </a:xfrm>
                          <a:prstGeom prst="rect">
                            <a:avLst/>
                          </a:prstGeom>
                          <a:ln>
                            <a:noFill/>
                          </a:ln>
                        </wps:spPr>
                        <wps:txbx>
                          <w:txbxContent>
                            <w:p w14:paraId="6D6CD4A7" w14:textId="77777777" w:rsidR="00B32EF2" w:rsidRDefault="00000000">
                              <w:r>
                                <w:rPr>
                                  <w:rFonts w:ascii="Arial" w:eastAsia="Arial" w:hAnsi="Arial" w:cs="Arial"/>
                                  <w:sz w:val="18"/>
                                </w:rPr>
                                <w:t>eseguito entro novanta giorni dalla sua notificazione ovvero dalla presentazio</w:t>
                              </w:r>
                            </w:p>
                          </w:txbxContent>
                        </wps:txbx>
                        <wps:bodyPr horzOverflow="overflow" vert="horz" lIns="0" tIns="0" rIns="0" bIns="0" rtlCol="0">
                          <a:noAutofit/>
                        </wps:bodyPr>
                      </wps:wsp>
                      <wps:wsp>
                        <wps:cNvPr id="14232" name="Rectangle 14232"/>
                        <wps:cNvSpPr/>
                        <wps:spPr>
                          <a:xfrm rot="-10799999">
                            <a:off x="19158" y="5379986"/>
                            <a:ext cx="50622" cy="142889"/>
                          </a:xfrm>
                          <a:prstGeom prst="rect">
                            <a:avLst/>
                          </a:prstGeom>
                          <a:ln>
                            <a:noFill/>
                          </a:ln>
                        </wps:spPr>
                        <wps:txbx>
                          <w:txbxContent>
                            <w:p w14:paraId="0AFE689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233" name="Rectangle 14233"/>
                        <wps:cNvSpPr/>
                        <wps:spPr>
                          <a:xfrm rot="-10799999">
                            <a:off x="794888" y="5256657"/>
                            <a:ext cx="3196869" cy="142889"/>
                          </a:xfrm>
                          <a:prstGeom prst="rect">
                            <a:avLst/>
                          </a:prstGeom>
                          <a:ln>
                            <a:noFill/>
                          </a:ln>
                        </wps:spPr>
                        <wps:txbx>
                          <w:txbxContent>
                            <w:p w14:paraId="43DA5B6E" w14:textId="77777777" w:rsidR="00B32EF2" w:rsidRDefault="00000000">
                              <w:r>
                                <w:rPr>
                                  <w:rFonts w:ascii="Arial" w:eastAsia="Arial" w:hAnsi="Arial" w:cs="Arial"/>
                                  <w:sz w:val="18"/>
                                </w:rPr>
                                <w:t>ne della garanzia di cui al comma 2, se dovuta.</w:t>
                              </w:r>
                            </w:p>
                          </w:txbxContent>
                        </wps:txbx>
                        <wps:bodyPr horzOverflow="overflow" vert="horz" lIns="0" tIns="0" rIns="0" bIns="0" rtlCol="0">
                          <a:noAutofit/>
                        </wps:bodyPr>
                      </wps:wsp>
                      <wps:wsp>
                        <wps:cNvPr id="199893" name="Rectangle 199893"/>
                        <wps:cNvSpPr/>
                        <wps:spPr>
                          <a:xfrm rot="-10799999">
                            <a:off x="-1283340" y="5133327"/>
                            <a:ext cx="5211273" cy="142889"/>
                          </a:xfrm>
                          <a:prstGeom prst="rect">
                            <a:avLst/>
                          </a:prstGeom>
                          <a:ln>
                            <a:noFill/>
                          </a:ln>
                        </wps:spPr>
                        <wps:txbx>
                          <w:txbxContent>
                            <w:p w14:paraId="2FFADF2E" w14:textId="77777777" w:rsidR="00B32EF2" w:rsidRDefault="00000000">
                              <w:r>
                                <w:rPr>
                                  <w:rFonts w:ascii="Arial" w:eastAsia="Arial" w:hAnsi="Arial" w:cs="Arial"/>
                                  <w:sz w:val="18"/>
                                </w:rPr>
                                <w:t>. In caso di mancata esecuzione della sentenza il contribuente può richiede</w:t>
                              </w:r>
                            </w:p>
                          </w:txbxContent>
                        </wps:txbx>
                        <wps:bodyPr horzOverflow="overflow" vert="horz" lIns="0" tIns="0" rIns="0" bIns="0" rtlCol="0">
                          <a:noAutofit/>
                        </wps:bodyPr>
                      </wps:wsp>
                      <wps:wsp>
                        <wps:cNvPr id="199892" name="Rectangle 199892"/>
                        <wps:cNvSpPr/>
                        <wps:spPr>
                          <a:xfrm rot="-10799999">
                            <a:off x="2635183" y="5133327"/>
                            <a:ext cx="5211273" cy="142889"/>
                          </a:xfrm>
                          <a:prstGeom prst="rect">
                            <a:avLst/>
                          </a:prstGeom>
                          <a:ln>
                            <a:noFill/>
                          </a:ln>
                        </wps:spPr>
                        <wps:txbx>
                          <w:txbxContent>
                            <w:p w14:paraId="223DD9FC"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14235" name="Rectangle 14235"/>
                        <wps:cNvSpPr/>
                        <wps:spPr>
                          <a:xfrm rot="-10799999">
                            <a:off x="19158" y="5133327"/>
                            <a:ext cx="50622" cy="142889"/>
                          </a:xfrm>
                          <a:prstGeom prst="rect">
                            <a:avLst/>
                          </a:prstGeom>
                          <a:ln>
                            <a:noFill/>
                          </a:ln>
                        </wps:spPr>
                        <wps:txbx>
                          <w:txbxContent>
                            <w:p w14:paraId="6EEDBB8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236" name="Rectangle 14236"/>
                        <wps:cNvSpPr/>
                        <wps:spPr>
                          <a:xfrm rot="-10799999">
                            <a:off x="-1317233" y="5009998"/>
                            <a:ext cx="5308990" cy="142889"/>
                          </a:xfrm>
                          <a:prstGeom prst="rect">
                            <a:avLst/>
                          </a:prstGeom>
                          <a:ln>
                            <a:noFill/>
                          </a:ln>
                        </wps:spPr>
                        <wps:txbx>
                          <w:txbxContent>
                            <w:p w14:paraId="0FF04DEA" w14:textId="77777777" w:rsidR="00B32EF2" w:rsidRDefault="00000000">
                              <w:r>
                                <w:rPr>
                                  <w:rFonts w:ascii="Arial" w:eastAsia="Arial" w:hAnsi="Arial" w:cs="Arial"/>
                                  <w:sz w:val="18"/>
                                </w:rPr>
                                <w:t xml:space="preserve">re l’ottemperanza a norma dell’articolo 128 alla corte di giustizia tributaria di </w:t>
                              </w:r>
                            </w:p>
                          </w:txbxContent>
                        </wps:txbx>
                        <wps:bodyPr horzOverflow="overflow" vert="horz" lIns="0" tIns="0" rIns="0" bIns="0" rtlCol="0">
                          <a:noAutofit/>
                        </wps:bodyPr>
                      </wps:wsp>
                      <wps:wsp>
                        <wps:cNvPr id="14237" name="Rectangle 14237"/>
                        <wps:cNvSpPr/>
                        <wps:spPr>
                          <a:xfrm rot="-10799999">
                            <a:off x="-1317279" y="4886668"/>
                            <a:ext cx="5309035" cy="142889"/>
                          </a:xfrm>
                          <a:prstGeom prst="rect">
                            <a:avLst/>
                          </a:prstGeom>
                          <a:ln>
                            <a:noFill/>
                          </a:ln>
                        </wps:spPr>
                        <wps:txbx>
                          <w:txbxContent>
                            <w:p w14:paraId="754A4ADC" w14:textId="77777777" w:rsidR="00B32EF2" w:rsidRDefault="00000000">
                              <w:r>
                                <w:rPr>
                                  <w:rFonts w:ascii="Arial" w:eastAsia="Arial" w:hAnsi="Arial" w:cs="Arial"/>
                                  <w:sz w:val="18"/>
                                </w:rPr>
                                <w:t xml:space="preserve">primo grado ovvero, se il giudizio è pendente nei gradi successivi, alla corte di </w:t>
                              </w:r>
                            </w:p>
                          </w:txbxContent>
                        </wps:txbx>
                        <wps:bodyPr horzOverflow="overflow" vert="horz" lIns="0" tIns="0" rIns="0" bIns="0" rtlCol="0">
                          <a:noAutofit/>
                        </wps:bodyPr>
                      </wps:wsp>
                      <wps:wsp>
                        <wps:cNvPr id="14238" name="Rectangle 14238"/>
                        <wps:cNvSpPr/>
                        <wps:spPr>
                          <a:xfrm rot="-10799999">
                            <a:off x="1524412" y="4763338"/>
                            <a:ext cx="2467344" cy="142889"/>
                          </a:xfrm>
                          <a:prstGeom prst="rect">
                            <a:avLst/>
                          </a:prstGeom>
                          <a:ln>
                            <a:noFill/>
                          </a:ln>
                        </wps:spPr>
                        <wps:txbx>
                          <w:txbxContent>
                            <w:p w14:paraId="6FF018F5" w14:textId="77777777" w:rsidR="00B32EF2" w:rsidRDefault="00000000">
                              <w:r>
                                <w:rPr>
                                  <w:rFonts w:ascii="Arial" w:eastAsia="Arial" w:hAnsi="Arial" w:cs="Arial"/>
                                  <w:sz w:val="18"/>
                                </w:rPr>
                                <w:t>giustizia tributaria di secondo grado.</w:t>
                              </w:r>
                            </w:p>
                          </w:txbxContent>
                        </wps:txbx>
                        <wps:bodyPr horzOverflow="overflow" vert="horz" lIns="0" tIns="0" rIns="0" bIns="0" rtlCol="0">
                          <a:noAutofit/>
                        </wps:bodyPr>
                      </wps:wsp>
                      <wps:wsp>
                        <wps:cNvPr id="14239" name="Rectangle 14239"/>
                        <wps:cNvSpPr/>
                        <wps:spPr>
                          <a:xfrm rot="-10799999">
                            <a:off x="1457318" y="4023245"/>
                            <a:ext cx="889661" cy="142889"/>
                          </a:xfrm>
                          <a:prstGeom prst="rect">
                            <a:avLst/>
                          </a:prstGeom>
                          <a:ln>
                            <a:noFill/>
                          </a:ln>
                        </wps:spPr>
                        <wps:txbx>
                          <w:txbxContent>
                            <w:p w14:paraId="6994C111" w14:textId="77777777" w:rsidR="00B32EF2" w:rsidRDefault="00000000">
                              <w:r>
                                <w:rPr>
                                  <w:rFonts w:ascii="Arial" w:eastAsia="Arial" w:hAnsi="Arial" w:cs="Arial"/>
                                  <w:b/>
                                  <w:sz w:val="18"/>
                                </w:rPr>
                                <w:t>Articolo 128</w:t>
                              </w:r>
                            </w:p>
                          </w:txbxContent>
                        </wps:txbx>
                        <wps:bodyPr horzOverflow="overflow" vert="horz" lIns="0" tIns="0" rIns="0" bIns="0" rtlCol="0">
                          <a:noAutofit/>
                        </wps:bodyPr>
                      </wps:wsp>
                      <wps:wsp>
                        <wps:cNvPr id="199890" name="Rectangle 199890"/>
                        <wps:cNvSpPr/>
                        <wps:spPr>
                          <a:xfrm rot="-10799999">
                            <a:off x="-257352" y="3899915"/>
                            <a:ext cx="1938683" cy="142889"/>
                          </a:xfrm>
                          <a:prstGeom prst="rect">
                            <a:avLst/>
                          </a:prstGeom>
                          <a:ln>
                            <a:noFill/>
                          </a:ln>
                        </wps:spPr>
                        <wps:txbx>
                          <w:txbxContent>
                            <w:p w14:paraId="72D8022E"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891" name="Rectangle 199891"/>
                        <wps:cNvSpPr/>
                        <wps:spPr>
                          <a:xfrm rot="-10799999">
                            <a:off x="1165145" y="3899915"/>
                            <a:ext cx="1938683" cy="142889"/>
                          </a:xfrm>
                          <a:prstGeom prst="rect">
                            <a:avLst/>
                          </a:prstGeom>
                          <a:ln>
                            <a:noFill/>
                          </a:ln>
                        </wps:spPr>
                        <wps:txbx>
                          <w:txbxContent>
                            <w:p w14:paraId="05334CC4" w14:textId="77777777" w:rsidR="00B32EF2" w:rsidRDefault="00000000">
                              <w:r>
                                <w:rPr>
                                  <w:rFonts w:ascii="Arial" w:eastAsia="Arial" w:hAnsi="Arial" w:cs="Arial"/>
                                  <w:i/>
                                  <w:sz w:val="18"/>
                                </w:rPr>
                                <w:t xml:space="preserve">articolo 70 D.lgs. n. </w:t>
                              </w:r>
                            </w:p>
                          </w:txbxContent>
                        </wps:txbx>
                        <wps:bodyPr horzOverflow="overflow" vert="horz" lIns="0" tIns="0" rIns="0" bIns="0" rtlCol="0">
                          <a:noAutofit/>
                        </wps:bodyPr>
                      </wps:wsp>
                      <wps:wsp>
                        <wps:cNvPr id="199889" name="Rectangle 199889"/>
                        <wps:cNvSpPr/>
                        <wps:spPr>
                          <a:xfrm rot="-10799999">
                            <a:off x="2221539" y="3899915"/>
                            <a:ext cx="1938683" cy="142889"/>
                          </a:xfrm>
                          <a:prstGeom prst="rect">
                            <a:avLst/>
                          </a:prstGeom>
                          <a:ln>
                            <a:noFill/>
                          </a:ln>
                        </wps:spPr>
                        <wps:txbx>
                          <w:txbxContent>
                            <w:p w14:paraId="6041BD9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241" name="Rectangle 14241"/>
                        <wps:cNvSpPr/>
                        <wps:spPr>
                          <a:xfrm rot="-10799999">
                            <a:off x="813091" y="3776585"/>
                            <a:ext cx="1895418" cy="142889"/>
                          </a:xfrm>
                          <a:prstGeom prst="rect">
                            <a:avLst/>
                          </a:prstGeom>
                          <a:ln>
                            <a:noFill/>
                          </a:ln>
                        </wps:spPr>
                        <wps:txbx>
                          <w:txbxContent>
                            <w:p w14:paraId="673400BD" w14:textId="77777777" w:rsidR="00B32EF2" w:rsidRDefault="00000000">
                              <w:r>
                                <w:rPr>
                                  <w:rFonts w:ascii="Arial" w:eastAsia="Arial" w:hAnsi="Arial" w:cs="Arial"/>
                                  <w:b/>
                                  <w:sz w:val="18"/>
                                </w:rPr>
                                <w:t xml:space="preserve">Giudizio di ottemperanza </w:t>
                              </w:r>
                            </w:p>
                          </w:txbxContent>
                        </wps:txbx>
                        <wps:bodyPr horzOverflow="overflow" vert="horz" lIns="0" tIns="0" rIns="0" bIns="0" rtlCol="0">
                          <a:noAutofit/>
                        </wps:bodyPr>
                      </wps:wsp>
                      <wps:wsp>
                        <wps:cNvPr id="199887" name="Rectangle 199887"/>
                        <wps:cNvSpPr/>
                        <wps:spPr>
                          <a:xfrm rot="-10799999">
                            <a:off x="2635041" y="3652114"/>
                            <a:ext cx="5212306" cy="142889"/>
                          </a:xfrm>
                          <a:prstGeom prst="rect">
                            <a:avLst/>
                          </a:prstGeom>
                          <a:ln>
                            <a:noFill/>
                          </a:ln>
                        </wps:spPr>
                        <wps:txbx>
                          <w:txbxContent>
                            <w:p w14:paraId="04A9F70F"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9888" name="Rectangle 199888"/>
                        <wps:cNvSpPr/>
                        <wps:spPr>
                          <a:xfrm rot="-10799999">
                            <a:off x="-1279619" y="3652114"/>
                            <a:ext cx="5212307" cy="142889"/>
                          </a:xfrm>
                          <a:prstGeom prst="rect">
                            <a:avLst/>
                          </a:prstGeom>
                          <a:ln>
                            <a:noFill/>
                          </a:ln>
                        </wps:spPr>
                        <wps:txbx>
                          <w:txbxContent>
                            <w:p w14:paraId="1641044C" w14:textId="77777777" w:rsidR="00B32EF2" w:rsidRDefault="00000000">
                              <w:r>
                                <w:rPr>
                                  <w:rFonts w:ascii="Arial" w:eastAsia="Arial" w:hAnsi="Arial" w:cs="Arial"/>
                                  <w:sz w:val="18"/>
                                </w:rPr>
                                <w:t>. La parte che vi ha interesse può richiedere l’ottemperanza agli obblighi deri</w:t>
                              </w:r>
                            </w:p>
                          </w:txbxContent>
                        </wps:txbx>
                        <wps:bodyPr horzOverflow="overflow" vert="horz" lIns="0" tIns="0" rIns="0" bIns="0" rtlCol="0">
                          <a:noAutofit/>
                        </wps:bodyPr>
                      </wps:wsp>
                      <wps:wsp>
                        <wps:cNvPr id="14243" name="Rectangle 14243"/>
                        <wps:cNvSpPr/>
                        <wps:spPr>
                          <a:xfrm rot="-10799999">
                            <a:off x="19272" y="3652113"/>
                            <a:ext cx="50622" cy="142889"/>
                          </a:xfrm>
                          <a:prstGeom prst="rect">
                            <a:avLst/>
                          </a:prstGeom>
                          <a:ln>
                            <a:noFill/>
                          </a:ln>
                        </wps:spPr>
                        <wps:txbx>
                          <w:txbxContent>
                            <w:p w14:paraId="7CE129A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244" name="Rectangle 14244"/>
                        <wps:cNvSpPr/>
                        <wps:spPr>
                          <a:xfrm rot="-10799999">
                            <a:off x="-1317164" y="3527640"/>
                            <a:ext cx="5309036" cy="142889"/>
                          </a:xfrm>
                          <a:prstGeom prst="rect">
                            <a:avLst/>
                          </a:prstGeom>
                          <a:ln>
                            <a:noFill/>
                          </a:ln>
                        </wps:spPr>
                        <wps:txbx>
                          <w:txbxContent>
                            <w:p w14:paraId="775330D5" w14:textId="77777777" w:rsidR="00B32EF2" w:rsidRDefault="00000000">
                              <w:r>
                                <w:rPr>
                                  <w:rFonts w:ascii="Arial" w:eastAsia="Arial" w:hAnsi="Arial" w:cs="Arial"/>
                                  <w:sz w:val="18"/>
                                </w:rPr>
                                <w:t xml:space="preserve">vanti dalla sentenza della corte di giustizia tributaria di primo e secondo grado </w:t>
                              </w:r>
                            </w:p>
                          </w:txbxContent>
                        </wps:txbx>
                        <wps:bodyPr horzOverflow="overflow" vert="horz" lIns="0" tIns="0" rIns="0" bIns="0" rtlCol="0">
                          <a:noAutofit/>
                        </wps:bodyPr>
                      </wps:wsp>
                      <wps:wsp>
                        <wps:cNvPr id="14245" name="Rectangle 14245"/>
                        <wps:cNvSpPr/>
                        <wps:spPr>
                          <a:xfrm rot="-10799999">
                            <a:off x="-1317164" y="3403168"/>
                            <a:ext cx="5309036" cy="142889"/>
                          </a:xfrm>
                          <a:prstGeom prst="rect">
                            <a:avLst/>
                          </a:prstGeom>
                          <a:ln>
                            <a:noFill/>
                          </a:ln>
                        </wps:spPr>
                        <wps:txbx>
                          <w:txbxContent>
                            <w:p w14:paraId="10E34BC6" w14:textId="77777777" w:rsidR="00B32EF2" w:rsidRDefault="00000000">
                              <w:r>
                                <w:rPr>
                                  <w:rFonts w:ascii="Arial" w:eastAsia="Arial" w:hAnsi="Arial" w:cs="Arial"/>
                                  <w:sz w:val="18"/>
                                </w:rPr>
                                <w:t xml:space="preserve">mediante ricorso da depositare in doppio originale alla segreteria della corte </w:t>
                              </w:r>
                            </w:p>
                          </w:txbxContent>
                        </wps:txbx>
                        <wps:bodyPr horzOverflow="overflow" vert="horz" lIns="0" tIns="0" rIns="0" bIns="0" rtlCol="0">
                          <a:noAutofit/>
                        </wps:bodyPr>
                      </wps:wsp>
                      <wps:wsp>
                        <wps:cNvPr id="14246" name="Rectangle 14246"/>
                        <wps:cNvSpPr/>
                        <wps:spPr>
                          <a:xfrm rot="-10799999">
                            <a:off x="-1218611" y="3278695"/>
                            <a:ext cx="5210482" cy="142889"/>
                          </a:xfrm>
                          <a:prstGeom prst="rect">
                            <a:avLst/>
                          </a:prstGeom>
                          <a:ln>
                            <a:noFill/>
                          </a:ln>
                        </wps:spPr>
                        <wps:txbx>
                          <w:txbxContent>
                            <w:p w14:paraId="47DA7FB0" w14:textId="77777777" w:rsidR="00B32EF2" w:rsidRDefault="00000000">
                              <w:r>
                                <w:rPr>
                                  <w:rFonts w:ascii="Arial" w:eastAsia="Arial" w:hAnsi="Arial" w:cs="Arial"/>
                                  <w:sz w:val="18"/>
                                </w:rPr>
                                <w:t>di giustizia tributaria di primo grado, qualora la sentenza sia stata da essa pro</w:t>
                              </w:r>
                            </w:p>
                          </w:txbxContent>
                        </wps:txbx>
                        <wps:bodyPr horzOverflow="overflow" vert="horz" lIns="0" tIns="0" rIns="0" bIns="0" rtlCol="0">
                          <a:noAutofit/>
                        </wps:bodyPr>
                      </wps:wsp>
                      <wps:wsp>
                        <wps:cNvPr id="14247" name="Rectangle 14247"/>
                        <wps:cNvSpPr/>
                        <wps:spPr>
                          <a:xfrm rot="-10799999">
                            <a:off x="19272" y="3278695"/>
                            <a:ext cx="50622" cy="142889"/>
                          </a:xfrm>
                          <a:prstGeom prst="rect">
                            <a:avLst/>
                          </a:prstGeom>
                          <a:ln>
                            <a:noFill/>
                          </a:ln>
                        </wps:spPr>
                        <wps:txbx>
                          <w:txbxContent>
                            <w:p w14:paraId="46FA46E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248" name="Rectangle 14248"/>
                        <wps:cNvSpPr/>
                        <wps:spPr>
                          <a:xfrm rot="-10799999">
                            <a:off x="-1317149" y="3154223"/>
                            <a:ext cx="5309021" cy="142889"/>
                          </a:xfrm>
                          <a:prstGeom prst="rect">
                            <a:avLst/>
                          </a:prstGeom>
                          <a:ln>
                            <a:noFill/>
                          </a:ln>
                        </wps:spPr>
                        <wps:txbx>
                          <w:txbxContent>
                            <w:p w14:paraId="4F7271AE" w14:textId="77777777" w:rsidR="00B32EF2" w:rsidRDefault="00000000">
                              <w:r>
                                <w:rPr>
                                  <w:rFonts w:ascii="Arial" w:eastAsia="Arial" w:hAnsi="Arial" w:cs="Arial"/>
                                  <w:sz w:val="18"/>
                                </w:rPr>
                                <w:t xml:space="preserve">nunciata, e in ogni altro caso alla segreteria della corte di giustizia tributaria di </w:t>
                              </w:r>
                            </w:p>
                          </w:txbxContent>
                        </wps:txbx>
                        <wps:bodyPr horzOverflow="overflow" vert="horz" lIns="0" tIns="0" rIns="0" bIns="0" rtlCol="0">
                          <a:noAutofit/>
                        </wps:bodyPr>
                      </wps:wsp>
                      <wps:wsp>
                        <wps:cNvPr id="14249" name="Rectangle 14249"/>
                        <wps:cNvSpPr/>
                        <wps:spPr>
                          <a:xfrm rot="-10799999">
                            <a:off x="2931243" y="3029750"/>
                            <a:ext cx="1061427" cy="142889"/>
                          </a:xfrm>
                          <a:prstGeom prst="rect">
                            <a:avLst/>
                          </a:prstGeom>
                          <a:ln>
                            <a:noFill/>
                          </a:ln>
                        </wps:spPr>
                        <wps:txbx>
                          <w:txbxContent>
                            <w:p w14:paraId="6DD948AF" w14:textId="77777777" w:rsidR="00B32EF2" w:rsidRDefault="00000000">
                              <w:r>
                                <w:rPr>
                                  <w:rFonts w:ascii="Arial" w:eastAsia="Arial" w:hAnsi="Arial" w:cs="Arial"/>
                                  <w:sz w:val="18"/>
                                </w:rPr>
                                <w:t>secondo grado.</w:t>
                              </w:r>
                            </w:p>
                          </w:txbxContent>
                        </wps:txbx>
                        <wps:bodyPr horzOverflow="overflow" vert="horz" lIns="0" tIns="0" rIns="0" bIns="0" rtlCol="0">
                          <a:noAutofit/>
                        </wps:bodyPr>
                      </wps:wsp>
                      <wps:wsp>
                        <wps:cNvPr id="199883" name="Rectangle 199883"/>
                        <wps:cNvSpPr/>
                        <wps:spPr>
                          <a:xfrm rot="-10799999">
                            <a:off x="-1381721" y="2905278"/>
                            <a:ext cx="5309036" cy="142889"/>
                          </a:xfrm>
                          <a:prstGeom prst="rect">
                            <a:avLst/>
                          </a:prstGeom>
                          <a:ln>
                            <a:noFill/>
                          </a:ln>
                        </wps:spPr>
                        <wps:txbx>
                          <w:txbxContent>
                            <w:p w14:paraId="2A577B6D" w14:textId="77777777" w:rsidR="00B32EF2" w:rsidRDefault="00000000">
                              <w:r>
                                <w:rPr>
                                  <w:rFonts w:ascii="Arial" w:eastAsia="Arial" w:hAnsi="Arial" w:cs="Arial"/>
                                  <w:sz w:val="18"/>
                                </w:rPr>
                                <w:t xml:space="preserve">. Il ricorso è proponibile solo dopo la scadenza del termine entro il quale è </w:t>
                              </w:r>
                            </w:p>
                          </w:txbxContent>
                        </wps:txbx>
                        <wps:bodyPr horzOverflow="overflow" vert="horz" lIns="0" tIns="0" rIns="0" bIns="0" rtlCol="0">
                          <a:noAutofit/>
                        </wps:bodyPr>
                      </wps:wsp>
                      <wps:wsp>
                        <wps:cNvPr id="199882" name="Rectangle 199882"/>
                        <wps:cNvSpPr/>
                        <wps:spPr>
                          <a:xfrm rot="-10799999">
                            <a:off x="2611040" y="2905278"/>
                            <a:ext cx="5309036" cy="142889"/>
                          </a:xfrm>
                          <a:prstGeom prst="rect">
                            <a:avLst/>
                          </a:prstGeom>
                          <a:ln>
                            <a:noFill/>
                          </a:ln>
                        </wps:spPr>
                        <wps:txbx>
                          <w:txbxContent>
                            <w:p w14:paraId="5DEC1D03"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4251" name="Rectangle 14251"/>
                        <wps:cNvSpPr/>
                        <wps:spPr>
                          <a:xfrm rot="-10799999">
                            <a:off x="-1317405" y="2780804"/>
                            <a:ext cx="5309963" cy="142889"/>
                          </a:xfrm>
                          <a:prstGeom prst="rect">
                            <a:avLst/>
                          </a:prstGeom>
                          <a:ln>
                            <a:noFill/>
                          </a:ln>
                        </wps:spPr>
                        <wps:txbx>
                          <w:txbxContent>
                            <w:p w14:paraId="1D3B0490" w14:textId="77777777" w:rsidR="00B32EF2" w:rsidRDefault="00000000">
                              <w:r>
                                <w:rPr>
                                  <w:rFonts w:ascii="Arial" w:eastAsia="Arial" w:hAnsi="Arial" w:cs="Arial"/>
                                  <w:sz w:val="18"/>
                                </w:rPr>
                                <w:t xml:space="preserve">prescritto dalla legge l’adempimento a carico dell’ente impositore, dell’agente </w:t>
                              </w:r>
                            </w:p>
                          </w:txbxContent>
                        </wps:txbx>
                        <wps:bodyPr horzOverflow="overflow" vert="horz" lIns="0" tIns="0" rIns="0" bIns="0" rtlCol="0">
                          <a:noAutofit/>
                        </wps:bodyPr>
                      </wps:wsp>
                      <wps:wsp>
                        <wps:cNvPr id="14252" name="Rectangle 14252"/>
                        <wps:cNvSpPr/>
                        <wps:spPr>
                          <a:xfrm rot="-10799999">
                            <a:off x="-1217935" y="2656332"/>
                            <a:ext cx="5206150" cy="142889"/>
                          </a:xfrm>
                          <a:prstGeom prst="rect">
                            <a:avLst/>
                          </a:prstGeom>
                          <a:ln>
                            <a:noFill/>
                          </a:ln>
                        </wps:spPr>
                        <wps:txbx>
                          <w:txbxContent>
                            <w:p w14:paraId="11C5DFC7" w14:textId="77777777" w:rsidR="00B32EF2" w:rsidRDefault="00000000">
                              <w:r>
                                <w:rPr>
                                  <w:rFonts w:ascii="Arial" w:eastAsia="Arial" w:hAnsi="Arial" w:cs="Arial"/>
                                  <w:sz w:val="18"/>
                                </w:rPr>
                                <w:t>della riscossione o del soggetto iscritto nell’albo di cui all’articolo 53 del decre</w:t>
                              </w:r>
                            </w:p>
                          </w:txbxContent>
                        </wps:txbx>
                        <wps:bodyPr horzOverflow="overflow" vert="horz" lIns="0" tIns="0" rIns="0" bIns="0" rtlCol="0">
                          <a:noAutofit/>
                        </wps:bodyPr>
                      </wps:wsp>
                      <wps:wsp>
                        <wps:cNvPr id="14253" name="Rectangle 14253"/>
                        <wps:cNvSpPr/>
                        <wps:spPr>
                          <a:xfrm rot="-10799999">
                            <a:off x="19272" y="2656332"/>
                            <a:ext cx="50622" cy="142889"/>
                          </a:xfrm>
                          <a:prstGeom prst="rect">
                            <a:avLst/>
                          </a:prstGeom>
                          <a:ln>
                            <a:noFill/>
                          </a:ln>
                        </wps:spPr>
                        <wps:txbx>
                          <w:txbxContent>
                            <w:p w14:paraId="3579324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254" name="Rectangle 14254"/>
                        <wps:cNvSpPr/>
                        <wps:spPr>
                          <a:xfrm rot="-10799999">
                            <a:off x="-1317164" y="2531859"/>
                            <a:ext cx="5309036" cy="142889"/>
                          </a:xfrm>
                          <a:prstGeom prst="rect">
                            <a:avLst/>
                          </a:prstGeom>
                          <a:ln>
                            <a:noFill/>
                          </a:ln>
                        </wps:spPr>
                        <wps:txbx>
                          <w:txbxContent>
                            <w:p w14:paraId="5CFBE377" w14:textId="77777777" w:rsidR="00B32EF2" w:rsidRDefault="00000000">
                              <w:r>
                                <w:rPr>
                                  <w:rFonts w:ascii="Arial" w:eastAsia="Arial" w:hAnsi="Arial" w:cs="Arial"/>
                                  <w:sz w:val="18"/>
                                </w:rPr>
                                <w:t xml:space="preserve">to legislativo 15 dicembre 1997, n. 446, degli obblighi derivanti dalla sentenza </w:t>
                              </w:r>
                            </w:p>
                          </w:txbxContent>
                        </wps:txbx>
                        <wps:bodyPr horzOverflow="overflow" vert="horz" lIns="0" tIns="0" rIns="0" bIns="0" rtlCol="0">
                          <a:noAutofit/>
                        </wps:bodyPr>
                      </wps:wsp>
                      <wps:wsp>
                        <wps:cNvPr id="14255" name="Rectangle 14255"/>
                        <wps:cNvSpPr/>
                        <wps:spPr>
                          <a:xfrm rot="-10799999">
                            <a:off x="-1317149" y="2407387"/>
                            <a:ext cx="5309021" cy="142889"/>
                          </a:xfrm>
                          <a:prstGeom prst="rect">
                            <a:avLst/>
                          </a:prstGeom>
                          <a:ln>
                            <a:noFill/>
                          </a:ln>
                        </wps:spPr>
                        <wps:txbx>
                          <w:txbxContent>
                            <w:p w14:paraId="59EA026F" w14:textId="77777777" w:rsidR="00B32EF2" w:rsidRDefault="00000000">
                              <w:r>
                                <w:rPr>
                                  <w:rFonts w:ascii="Arial" w:eastAsia="Arial" w:hAnsi="Arial" w:cs="Arial"/>
                                  <w:sz w:val="18"/>
                                </w:rPr>
                                <w:t xml:space="preserve">o, in mancanza di tale termine, dopo trenta giorni dalla loro messa in mora a </w:t>
                              </w:r>
                            </w:p>
                          </w:txbxContent>
                        </wps:txbx>
                        <wps:bodyPr horzOverflow="overflow" vert="horz" lIns="0" tIns="0" rIns="0" bIns="0" rtlCol="0">
                          <a:noAutofit/>
                        </wps:bodyPr>
                      </wps:wsp>
                      <wps:wsp>
                        <wps:cNvPr id="14256" name="Rectangle 14256"/>
                        <wps:cNvSpPr/>
                        <wps:spPr>
                          <a:xfrm rot="-10799999">
                            <a:off x="-1317134" y="2282914"/>
                            <a:ext cx="5309005" cy="142889"/>
                          </a:xfrm>
                          <a:prstGeom prst="rect">
                            <a:avLst/>
                          </a:prstGeom>
                          <a:ln>
                            <a:noFill/>
                          </a:ln>
                        </wps:spPr>
                        <wps:txbx>
                          <w:txbxContent>
                            <w:p w14:paraId="2EBA42B1" w14:textId="77777777" w:rsidR="00B32EF2" w:rsidRDefault="00000000">
                              <w:r>
                                <w:rPr>
                                  <w:rFonts w:ascii="Arial" w:eastAsia="Arial" w:hAnsi="Arial" w:cs="Arial"/>
                                  <w:sz w:val="18"/>
                                </w:rPr>
                                <w:t xml:space="preserve">mezzo di ufficiale giudiziario ovvero a mezzo posta elettronica certificata ai </w:t>
                              </w:r>
                            </w:p>
                          </w:txbxContent>
                        </wps:txbx>
                        <wps:bodyPr horzOverflow="overflow" vert="horz" lIns="0" tIns="0" rIns="0" bIns="0" rtlCol="0">
                          <a:noAutofit/>
                        </wps:bodyPr>
                      </wps:wsp>
                      <wps:wsp>
                        <wps:cNvPr id="14257" name="Rectangle 14257"/>
                        <wps:cNvSpPr/>
                        <wps:spPr>
                          <a:xfrm rot="-10799999">
                            <a:off x="-1317134" y="2158441"/>
                            <a:ext cx="5309005" cy="142889"/>
                          </a:xfrm>
                          <a:prstGeom prst="rect">
                            <a:avLst/>
                          </a:prstGeom>
                          <a:ln>
                            <a:noFill/>
                          </a:ln>
                        </wps:spPr>
                        <wps:txbx>
                          <w:txbxContent>
                            <w:p w14:paraId="3E5659C2" w14:textId="77777777" w:rsidR="00B32EF2" w:rsidRDefault="00000000">
                              <w:r>
                                <w:rPr>
                                  <w:rFonts w:ascii="Arial" w:eastAsia="Arial" w:hAnsi="Arial" w:cs="Arial"/>
                                  <w:sz w:val="18"/>
                                </w:rPr>
                                <w:t xml:space="preserve">sensi del codice dell’amministrazione digitale di cui al decreto legislativo 7 </w:t>
                              </w:r>
                            </w:p>
                          </w:txbxContent>
                        </wps:txbx>
                        <wps:bodyPr horzOverflow="overflow" vert="horz" lIns="0" tIns="0" rIns="0" bIns="0" rtlCol="0">
                          <a:noAutofit/>
                        </wps:bodyPr>
                      </wps:wsp>
                      <wps:wsp>
                        <wps:cNvPr id="14258" name="Rectangle 14258"/>
                        <wps:cNvSpPr/>
                        <wps:spPr>
                          <a:xfrm rot="-10799999">
                            <a:off x="-233208" y="2033969"/>
                            <a:ext cx="4225080" cy="142889"/>
                          </a:xfrm>
                          <a:prstGeom prst="rect">
                            <a:avLst/>
                          </a:prstGeom>
                          <a:ln>
                            <a:noFill/>
                          </a:ln>
                        </wps:spPr>
                        <wps:txbx>
                          <w:txbxContent>
                            <w:p w14:paraId="481C51C8" w14:textId="77777777" w:rsidR="00B32EF2" w:rsidRDefault="00000000">
                              <w:r>
                                <w:rPr>
                                  <w:rFonts w:ascii="Arial" w:eastAsia="Arial" w:hAnsi="Arial" w:cs="Arial"/>
                                  <w:sz w:val="18"/>
                                </w:rPr>
                                <w:t>marzo 2005, n. 82 e fino a quando l’obbligo non sia estinto. (1)</w:t>
                              </w:r>
                            </w:p>
                          </w:txbxContent>
                        </wps:txbx>
                        <wps:bodyPr horzOverflow="overflow" vert="horz" lIns="0" tIns="0" rIns="0" bIns="0" rtlCol="0">
                          <a:noAutofit/>
                        </wps:bodyPr>
                      </wps:wsp>
                      <wps:wsp>
                        <wps:cNvPr id="199881" name="Rectangle 199881"/>
                        <wps:cNvSpPr/>
                        <wps:spPr>
                          <a:xfrm rot="-10799999">
                            <a:off x="-1285093" y="1909496"/>
                            <a:ext cx="5212443" cy="142889"/>
                          </a:xfrm>
                          <a:prstGeom prst="rect">
                            <a:avLst/>
                          </a:prstGeom>
                          <a:ln>
                            <a:noFill/>
                          </a:ln>
                        </wps:spPr>
                        <wps:txbx>
                          <w:txbxContent>
                            <w:p w14:paraId="4BA60881" w14:textId="77777777" w:rsidR="00B32EF2" w:rsidRDefault="00000000">
                              <w:r>
                                <w:rPr>
                                  <w:rFonts w:ascii="Arial" w:eastAsia="Arial" w:hAnsi="Arial" w:cs="Arial"/>
                                  <w:sz w:val="18"/>
                                </w:rPr>
                                <w:t>. Il ricorso indirizzato al presidente della corte di giustizia tributaria deve con</w:t>
                              </w:r>
                            </w:p>
                          </w:txbxContent>
                        </wps:txbx>
                        <wps:bodyPr horzOverflow="overflow" vert="horz" lIns="0" tIns="0" rIns="0" bIns="0" rtlCol="0">
                          <a:noAutofit/>
                        </wps:bodyPr>
                      </wps:wsp>
                      <wps:wsp>
                        <wps:cNvPr id="199880" name="Rectangle 199880"/>
                        <wps:cNvSpPr/>
                        <wps:spPr>
                          <a:xfrm rot="-10799999">
                            <a:off x="2635007" y="1909496"/>
                            <a:ext cx="5212443" cy="142889"/>
                          </a:xfrm>
                          <a:prstGeom prst="rect">
                            <a:avLst/>
                          </a:prstGeom>
                          <a:ln>
                            <a:noFill/>
                          </a:ln>
                        </wps:spPr>
                        <wps:txbx>
                          <w:txbxContent>
                            <w:p w14:paraId="2EA5EC61"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4260" name="Rectangle 14260"/>
                        <wps:cNvSpPr/>
                        <wps:spPr>
                          <a:xfrm rot="-10799999">
                            <a:off x="19272" y="1909496"/>
                            <a:ext cx="50622" cy="142889"/>
                          </a:xfrm>
                          <a:prstGeom prst="rect">
                            <a:avLst/>
                          </a:prstGeom>
                          <a:ln>
                            <a:noFill/>
                          </a:ln>
                        </wps:spPr>
                        <wps:txbx>
                          <w:txbxContent>
                            <w:p w14:paraId="3848532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261" name="Rectangle 14261"/>
                        <wps:cNvSpPr/>
                        <wps:spPr>
                          <a:xfrm rot="-10799999">
                            <a:off x="-1317149" y="1785023"/>
                            <a:ext cx="5309020" cy="142889"/>
                          </a:xfrm>
                          <a:prstGeom prst="rect">
                            <a:avLst/>
                          </a:prstGeom>
                          <a:ln>
                            <a:noFill/>
                          </a:ln>
                        </wps:spPr>
                        <wps:txbx>
                          <w:txbxContent>
                            <w:p w14:paraId="47CD5835" w14:textId="77777777" w:rsidR="00B32EF2" w:rsidRDefault="00000000">
                              <w:r>
                                <w:rPr>
                                  <w:rFonts w:ascii="Arial" w:eastAsia="Arial" w:hAnsi="Arial" w:cs="Arial"/>
                                  <w:sz w:val="18"/>
                                </w:rPr>
                                <w:t xml:space="preserve">tenere la sommaria esposizione dei fatti che ne giustificano la proposizione </w:t>
                              </w:r>
                            </w:p>
                          </w:txbxContent>
                        </wps:txbx>
                        <wps:bodyPr horzOverflow="overflow" vert="horz" lIns="0" tIns="0" rIns="0" bIns="0" rtlCol="0">
                          <a:noAutofit/>
                        </wps:bodyPr>
                      </wps:wsp>
                      <wps:wsp>
                        <wps:cNvPr id="14262" name="Rectangle 14262"/>
                        <wps:cNvSpPr/>
                        <wps:spPr>
                          <a:xfrm rot="-10799999">
                            <a:off x="-1317165" y="1660551"/>
                            <a:ext cx="5309036" cy="142889"/>
                          </a:xfrm>
                          <a:prstGeom prst="rect">
                            <a:avLst/>
                          </a:prstGeom>
                          <a:ln>
                            <a:noFill/>
                          </a:ln>
                        </wps:spPr>
                        <wps:txbx>
                          <w:txbxContent>
                            <w:p w14:paraId="2A6AFBF6" w14:textId="77777777" w:rsidR="00B32EF2" w:rsidRDefault="00000000">
                              <w:r>
                                <w:rPr>
                                  <w:rFonts w:ascii="Arial" w:eastAsia="Arial" w:hAnsi="Arial" w:cs="Arial"/>
                                  <w:sz w:val="18"/>
                                </w:rPr>
                                <w:t xml:space="preserve">con la precisa indicazione, a pena di inammissibilità, della sentenza di cui si </w:t>
                              </w:r>
                            </w:p>
                          </w:txbxContent>
                        </wps:txbx>
                        <wps:bodyPr horzOverflow="overflow" vert="horz" lIns="0" tIns="0" rIns="0" bIns="0" rtlCol="0">
                          <a:noAutofit/>
                        </wps:bodyPr>
                      </wps:wsp>
                      <wps:wsp>
                        <wps:cNvPr id="14263" name="Rectangle 14263"/>
                        <wps:cNvSpPr/>
                        <wps:spPr>
                          <a:xfrm rot="-10799999">
                            <a:off x="-1220359" y="1536078"/>
                            <a:ext cx="5212231" cy="142889"/>
                          </a:xfrm>
                          <a:prstGeom prst="rect">
                            <a:avLst/>
                          </a:prstGeom>
                          <a:ln>
                            <a:noFill/>
                          </a:ln>
                        </wps:spPr>
                        <wps:txbx>
                          <w:txbxContent>
                            <w:p w14:paraId="6899F395" w14:textId="77777777" w:rsidR="00B32EF2" w:rsidRDefault="00000000">
                              <w:r>
                                <w:rPr>
                                  <w:rFonts w:ascii="Arial" w:eastAsia="Arial" w:hAnsi="Arial" w:cs="Arial"/>
                                  <w:sz w:val="18"/>
                                </w:rPr>
                                <w:t>chiede l’ottemperanza, che deve essere prodotta in copia unitamente all’origi</w:t>
                              </w:r>
                            </w:p>
                          </w:txbxContent>
                        </wps:txbx>
                        <wps:bodyPr horzOverflow="overflow" vert="horz" lIns="0" tIns="0" rIns="0" bIns="0" rtlCol="0">
                          <a:noAutofit/>
                        </wps:bodyPr>
                      </wps:wsp>
                      <wps:wsp>
                        <wps:cNvPr id="14264" name="Rectangle 14264"/>
                        <wps:cNvSpPr/>
                        <wps:spPr>
                          <a:xfrm rot="-10799999">
                            <a:off x="19272" y="1536078"/>
                            <a:ext cx="50622" cy="142889"/>
                          </a:xfrm>
                          <a:prstGeom prst="rect">
                            <a:avLst/>
                          </a:prstGeom>
                          <a:ln>
                            <a:noFill/>
                          </a:ln>
                        </wps:spPr>
                        <wps:txbx>
                          <w:txbxContent>
                            <w:p w14:paraId="4A662C4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265" name="Rectangle 14265"/>
                        <wps:cNvSpPr/>
                        <wps:spPr>
                          <a:xfrm rot="-10799999">
                            <a:off x="-1317135" y="1411605"/>
                            <a:ext cx="5309006" cy="142889"/>
                          </a:xfrm>
                          <a:prstGeom prst="rect">
                            <a:avLst/>
                          </a:prstGeom>
                          <a:ln>
                            <a:noFill/>
                          </a:ln>
                        </wps:spPr>
                        <wps:txbx>
                          <w:txbxContent>
                            <w:p w14:paraId="3447F525" w14:textId="77777777" w:rsidR="00B32EF2" w:rsidRDefault="00000000">
                              <w:r>
                                <w:rPr>
                                  <w:rFonts w:ascii="Arial" w:eastAsia="Arial" w:hAnsi="Arial" w:cs="Arial"/>
                                  <w:sz w:val="18"/>
                                </w:rPr>
                                <w:t xml:space="preserve">nale o copia autentica dell’atto di messa in mora notificato a norma del comma </w:t>
                              </w:r>
                            </w:p>
                          </w:txbxContent>
                        </wps:txbx>
                        <wps:bodyPr horzOverflow="overflow" vert="horz" lIns="0" tIns="0" rIns="0" bIns="0" rtlCol="0">
                          <a:noAutofit/>
                        </wps:bodyPr>
                      </wps:wsp>
                      <wps:wsp>
                        <wps:cNvPr id="199879" name="Rectangle 199879"/>
                        <wps:cNvSpPr/>
                        <wps:spPr>
                          <a:xfrm rot="-10799999">
                            <a:off x="2762535" y="1287133"/>
                            <a:ext cx="1165454" cy="142889"/>
                          </a:xfrm>
                          <a:prstGeom prst="rect">
                            <a:avLst/>
                          </a:prstGeom>
                          <a:ln>
                            <a:noFill/>
                          </a:ln>
                        </wps:spPr>
                        <wps:txbx>
                          <w:txbxContent>
                            <w:p w14:paraId="23B4635D" w14:textId="77777777" w:rsidR="00B32EF2" w:rsidRDefault="00000000">
                              <w:r>
                                <w:rPr>
                                  <w:rFonts w:ascii="Arial" w:eastAsia="Arial" w:hAnsi="Arial" w:cs="Arial"/>
                                  <w:sz w:val="18"/>
                                </w:rPr>
                                <w:t>, se necessario.</w:t>
                              </w:r>
                            </w:p>
                          </w:txbxContent>
                        </wps:txbx>
                        <wps:bodyPr horzOverflow="overflow" vert="horz" lIns="0" tIns="0" rIns="0" bIns="0" rtlCol="0">
                          <a:noAutofit/>
                        </wps:bodyPr>
                      </wps:wsp>
                      <wps:wsp>
                        <wps:cNvPr id="199878" name="Rectangle 199878"/>
                        <wps:cNvSpPr/>
                        <wps:spPr>
                          <a:xfrm rot="-10799999">
                            <a:off x="3639147" y="1287133"/>
                            <a:ext cx="1165454" cy="142889"/>
                          </a:xfrm>
                          <a:prstGeom prst="rect">
                            <a:avLst/>
                          </a:prstGeom>
                          <a:ln>
                            <a:noFill/>
                          </a:ln>
                        </wps:spPr>
                        <wps:txbx>
                          <w:txbxContent>
                            <w:p w14:paraId="7E3B2524"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99877" name="Rectangle 199877"/>
                        <wps:cNvSpPr/>
                        <wps:spPr>
                          <a:xfrm rot="-10799999">
                            <a:off x="-1380289" y="1162660"/>
                            <a:ext cx="5309021" cy="142890"/>
                          </a:xfrm>
                          <a:prstGeom prst="rect">
                            <a:avLst/>
                          </a:prstGeom>
                          <a:ln>
                            <a:noFill/>
                          </a:ln>
                        </wps:spPr>
                        <wps:txbx>
                          <w:txbxContent>
                            <w:p w14:paraId="0DC49710" w14:textId="77777777" w:rsidR="00B32EF2" w:rsidRDefault="00000000">
                              <w:r>
                                <w:rPr>
                                  <w:rFonts w:ascii="Arial" w:eastAsia="Arial" w:hAnsi="Arial" w:cs="Arial"/>
                                  <w:sz w:val="18"/>
                                </w:rPr>
                                <w:t xml:space="preserve">. Uno dei due originali del ricorso è comunicato a cura della segreteria della </w:t>
                              </w:r>
                            </w:p>
                          </w:txbxContent>
                        </wps:txbx>
                        <wps:bodyPr horzOverflow="overflow" vert="horz" lIns="0" tIns="0" rIns="0" bIns="0" rtlCol="0">
                          <a:noAutofit/>
                        </wps:bodyPr>
                      </wps:wsp>
                      <wps:wsp>
                        <wps:cNvPr id="199876" name="Rectangle 199876"/>
                        <wps:cNvSpPr/>
                        <wps:spPr>
                          <a:xfrm rot="-10799999">
                            <a:off x="2611043" y="1162660"/>
                            <a:ext cx="5309020" cy="142890"/>
                          </a:xfrm>
                          <a:prstGeom prst="rect">
                            <a:avLst/>
                          </a:prstGeom>
                          <a:ln>
                            <a:noFill/>
                          </a:ln>
                        </wps:spPr>
                        <wps:txbx>
                          <w:txbxContent>
                            <w:p w14:paraId="4802F95C"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4268" name="Rectangle 14268"/>
                        <wps:cNvSpPr/>
                        <wps:spPr>
                          <a:xfrm rot="-10799999">
                            <a:off x="-1274919" y="1038188"/>
                            <a:ext cx="5266790" cy="142889"/>
                          </a:xfrm>
                          <a:prstGeom prst="rect">
                            <a:avLst/>
                          </a:prstGeom>
                          <a:ln>
                            <a:noFill/>
                          </a:ln>
                        </wps:spPr>
                        <wps:txbx>
                          <w:txbxContent>
                            <w:p w14:paraId="68F5CCF8" w14:textId="77777777" w:rsidR="00B32EF2" w:rsidRDefault="00000000">
                              <w:r>
                                <w:rPr>
                                  <w:rFonts w:ascii="Arial" w:eastAsia="Arial" w:hAnsi="Arial" w:cs="Arial"/>
                                  <w:sz w:val="18"/>
                                </w:rPr>
                                <w:t>corte di giustizia tributaria ai soggetti di cui al comma 2 obbligati a provvedere.</w:t>
                              </w:r>
                            </w:p>
                          </w:txbxContent>
                        </wps:txbx>
                        <wps:bodyPr horzOverflow="overflow" vert="horz" lIns="0" tIns="0" rIns="0" bIns="0" rtlCol="0">
                          <a:noAutofit/>
                        </wps:bodyPr>
                      </wps:wsp>
                      <wps:wsp>
                        <wps:cNvPr id="199873" name="Rectangle 199873"/>
                        <wps:cNvSpPr/>
                        <wps:spPr>
                          <a:xfrm rot="-10799999">
                            <a:off x="2611043" y="913715"/>
                            <a:ext cx="5309020" cy="142889"/>
                          </a:xfrm>
                          <a:prstGeom prst="rect">
                            <a:avLst/>
                          </a:prstGeom>
                          <a:ln>
                            <a:noFill/>
                          </a:ln>
                        </wps:spPr>
                        <wps:txbx>
                          <w:txbxContent>
                            <w:p w14:paraId="018B95C7"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199874" name="Rectangle 199874"/>
                        <wps:cNvSpPr/>
                        <wps:spPr>
                          <a:xfrm rot="-10799999">
                            <a:off x="-1381546" y="913715"/>
                            <a:ext cx="5309021" cy="142889"/>
                          </a:xfrm>
                          <a:prstGeom prst="rect">
                            <a:avLst/>
                          </a:prstGeom>
                          <a:ln>
                            <a:noFill/>
                          </a:ln>
                        </wps:spPr>
                        <wps:txbx>
                          <w:txbxContent>
                            <w:p w14:paraId="39F62E17" w14:textId="77777777" w:rsidR="00B32EF2" w:rsidRDefault="00000000">
                              <w:r>
                                <w:rPr>
                                  <w:rFonts w:ascii="Arial" w:eastAsia="Arial" w:hAnsi="Arial" w:cs="Arial"/>
                                  <w:sz w:val="18"/>
                                </w:rPr>
                                <w:t xml:space="preserve">. Entro venti giorni dalla comunicazione l’ufficio può trasmettere le proprie </w:t>
                              </w:r>
                            </w:p>
                          </w:txbxContent>
                        </wps:txbx>
                        <wps:bodyPr horzOverflow="overflow" vert="horz" lIns="0" tIns="0" rIns="0" bIns="0" rtlCol="0">
                          <a:noAutofit/>
                        </wps:bodyPr>
                      </wps:wsp>
                      <wps:wsp>
                        <wps:cNvPr id="14270" name="Rectangle 14270"/>
                        <wps:cNvSpPr/>
                        <wps:spPr>
                          <a:xfrm rot="-10799999">
                            <a:off x="-1317135" y="789242"/>
                            <a:ext cx="5309006" cy="142889"/>
                          </a:xfrm>
                          <a:prstGeom prst="rect">
                            <a:avLst/>
                          </a:prstGeom>
                          <a:ln>
                            <a:noFill/>
                          </a:ln>
                        </wps:spPr>
                        <wps:txbx>
                          <w:txbxContent>
                            <w:p w14:paraId="6FDE45F4" w14:textId="77777777" w:rsidR="00B32EF2" w:rsidRDefault="00000000">
                              <w:r>
                                <w:rPr>
                                  <w:rFonts w:ascii="Arial" w:eastAsia="Arial" w:hAnsi="Arial" w:cs="Arial"/>
                                  <w:sz w:val="18"/>
                                </w:rPr>
                                <w:t xml:space="preserve">osservazioni alla corte di giustizia tributaria, allegando la documentazione </w:t>
                              </w:r>
                            </w:p>
                          </w:txbxContent>
                        </wps:txbx>
                        <wps:bodyPr horzOverflow="overflow" vert="horz" lIns="0" tIns="0" rIns="0" bIns="0" rtlCol="0">
                          <a:noAutofit/>
                        </wps:bodyPr>
                      </wps:wsp>
                      <wps:wsp>
                        <wps:cNvPr id="14271" name="Rectangle 14271"/>
                        <wps:cNvSpPr/>
                        <wps:spPr>
                          <a:xfrm rot="-10799999">
                            <a:off x="2051076" y="664770"/>
                            <a:ext cx="1941481" cy="142889"/>
                          </a:xfrm>
                          <a:prstGeom prst="rect">
                            <a:avLst/>
                          </a:prstGeom>
                          <a:ln>
                            <a:noFill/>
                          </a:ln>
                        </wps:spPr>
                        <wps:txbx>
                          <w:txbxContent>
                            <w:p w14:paraId="3FAABCBC" w14:textId="77777777" w:rsidR="00B32EF2" w:rsidRDefault="00000000">
                              <w:r>
                                <w:rPr>
                                  <w:rFonts w:ascii="Arial" w:eastAsia="Arial" w:hAnsi="Arial" w:cs="Arial"/>
                                  <w:sz w:val="18"/>
                                </w:rPr>
                                <w:t>dell’eventuale adempimento.</w:t>
                              </w:r>
                            </w:p>
                          </w:txbxContent>
                        </wps:txbx>
                        <wps:bodyPr horzOverflow="overflow" vert="horz" lIns="0" tIns="0" rIns="0" bIns="0" rtlCol="0">
                          <a:noAutofit/>
                        </wps:bodyPr>
                      </wps:wsp>
                      <wps:wsp>
                        <wps:cNvPr id="199872" name="Rectangle 199872"/>
                        <wps:cNvSpPr/>
                        <wps:spPr>
                          <a:xfrm rot="-10799999">
                            <a:off x="-1381516" y="540297"/>
                            <a:ext cx="5309082" cy="142889"/>
                          </a:xfrm>
                          <a:prstGeom prst="rect">
                            <a:avLst/>
                          </a:prstGeom>
                          <a:ln>
                            <a:noFill/>
                          </a:ln>
                        </wps:spPr>
                        <wps:txbx>
                          <w:txbxContent>
                            <w:p w14:paraId="5E0FF660" w14:textId="77777777" w:rsidR="00B32EF2" w:rsidRDefault="00000000">
                              <w:r>
                                <w:rPr>
                                  <w:rFonts w:ascii="Arial" w:eastAsia="Arial" w:hAnsi="Arial" w:cs="Arial"/>
                                  <w:sz w:val="18"/>
                                </w:rPr>
                                <w:t xml:space="preserve">. Il presidente della corte di giustizia tributaria di primo e secondo grado, </w:t>
                              </w:r>
                            </w:p>
                          </w:txbxContent>
                        </wps:txbx>
                        <wps:bodyPr horzOverflow="overflow" vert="horz" lIns="0" tIns="0" rIns="0" bIns="0" rtlCol="0">
                          <a:noAutofit/>
                        </wps:bodyPr>
                      </wps:wsp>
                      <wps:wsp>
                        <wps:cNvPr id="199871" name="Rectangle 199871"/>
                        <wps:cNvSpPr/>
                        <wps:spPr>
                          <a:xfrm rot="-10799999">
                            <a:off x="2611028" y="540297"/>
                            <a:ext cx="5309082" cy="142889"/>
                          </a:xfrm>
                          <a:prstGeom prst="rect">
                            <a:avLst/>
                          </a:prstGeom>
                          <a:ln>
                            <a:noFill/>
                          </a:ln>
                        </wps:spPr>
                        <wps:txbx>
                          <w:txbxContent>
                            <w:p w14:paraId="2FE3E492"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14273" name="Rectangle 14273"/>
                        <wps:cNvSpPr/>
                        <wps:spPr>
                          <a:xfrm rot="-10799999">
                            <a:off x="-1317149" y="415824"/>
                            <a:ext cx="5309021" cy="142889"/>
                          </a:xfrm>
                          <a:prstGeom prst="rect">
                            <a:avLst/>
                          </a:prstGeom>
                          <a:ln>
                            <a:noFill/>
                          </a:ln>
                        </wps:spPr>
                        <wps:txbx>
                          <w:txbxContent>
                            <w:p w14:paraId="1270CD82" w14:textId="77777777" w:rsidR="00B32EF2" w:rsidRDefault="00000000">
                              <w:r>
                                <w:rPr>
                                  <w:rFonts w:ascii="Arial" w:eastAsia="Arial" w:hAnsi="Arial" w:cs="Arial"/>
                                  <w:sz w:val="18"/>
                                </w:rPr>
                                <w:t xml:space="preserve">scaduto il termine di cui al comma 5, assegna il ricorso alla sezione che ha </w:t>
                              </w:r>
                            </w:p>
                          </w:txbxContent>
                        </wps:txbx>
                        <wps:bodyPr horzOverflow="overflow" vert="horz" lIns="0" tIns="0" rIns="0" bIns="0" rtlCol="0">
                          <a:noAutofit/>
                        </wps:bodyPr>
                      </wps:wsp>
                      <wps:wsp>
                        <wps:cNvPr id="14274" name="Rectangle 14274"/>
                        <wps:cNvSpPr/>
                        <wps:spPr>
                          <a:xfrm rot="-10799999">
                            <a:off x="-1223718" y="291351"/>
                            <a:ext cx="5215590" cy="142889"/>
                          </a:xfrm>
                          <a:prstGeom prst="rect">
                            <a:avLst/>
                          </a:prstGeom>
                          <a:ln>
                            <a:noFill/>
                          </a:ln>
                        </wps:spPr>
                        <wps:txbx>
                          <w:txbxContent>
                            <w:p w14:paraId="7598A7E4" w14:textId="77777777" w:rsidR="00B32EF2" w:rsidRDefault="00000000">
                              <w:r>
                                <w:rPr>
                                  <w:rFonts w:ascii="Arial" w:eastAsia="Arial" w:hAnsi="Arial" w:cs="Arial"/>
                                  <w:sz w:val="18"/>
                                </w:rPr>
                                <w:t>pronunciato la sentenza. Il presidente della sezione fissa il giorno per la trat</w:t>
                              </w:r>
                            </w:p>
                          </w:txbxContent>
                        </wps:txbx>
                        <wps:bodyPr horzOverflow="overflow" vert="horz" lIns="0" tIns="0" rIns="0" bIns="0" rtlCol="0">
                          <a:noAutofit/>
                        </wps:bodyPr>
                      </wps:wsp>
                      <wps:wsp>
                        <wps:cNvPr id="14275" name="Rectangle 14275"/>
                        <wps:cNvSpPr/>
                        <wps:spPr>
                          <a:xfrm rot="-10799999">
                            <a:off x="19272" y="291351"/>
                            <a:ext cx="50622" cy="142889"/>
                          </a:xfrm>
                          <a:prstGeom prst="rect">
                            <a:avLst/>
                          </a:prstGeom>
                          <a:ln>
                            <a:noFill/>
                          </a:ln>
                        </wps:spPr>
                        <wps:txbx>
                          <w:txbxContent>
                            <w:p w14:paraId="1AA4FAA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7700" name="Shape 207700"/>
                        <wps:cNvSpPr/>
                        <wps:spPr>
                          <a:xfrm>
                            <a:off x="31756" y="4307198"/>
                            <a:ext cx="3960000" cy="464299"/>
                          </a:xfrm>
                          <a:custGeom>
                            <a:avLst/>
                            <a:gdLst/>
                            <a:ahLst/>
                            <a:cxnLst/>
                            <a:rect l="0" t="0" r="0" b="0"/>
                            <a:pathLst>
                              <a:path w="3960000" h="464299">
                                <a:moveTo>
                                  <a:pt x="0" y="0"/>
                                </a:moveTo>
                                <a:lnTo>
                                  <a:pt x="3960000" y="0"/>
                                </a:lnTo>
                                <a:lnTo>
                                  <a:pt x="3960000" y="464299"/>
                                </a:lnTo>
                                <a:lnTo>
                                  <a:pt x="0" y="464299"/>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4277" name="Rectangle 14277"/>
                        <wps:cNvSpPr/>
                        <wps:spPr>
                          <a:xfrm rot="-10799999">
                            <a:off x="2328741" y="4550265"/>
                            <a:ext cx="1585695" cy="142889"/>
                          </a:xfrm>
                          <a:prstGeom prst="rect">
                            <a:avLst/>
                          </a:prstGeom>
                          <a:ln>
                            <a:noFill/>
                          </a:ln>
                        </wps:spPr>
                        <wps:txbx>
                          <w:txbxContent>
                            <w:p w14:paraId="568A67E5"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4278" name="Rectangle 14278"/>
                        <wps:cNvSpPr/>
                        <wps:spPr>
                          <a:xfrm rot="-10799999">
                            <a:off x="465812" y="4413104"/>
                            <a:ext cx="3447593" cy="142889"/>
                          </a:xfrm>
                          <a:prstGeom prst="rect">
                            <a:avLst/>
                          </a:prstGeom>
                          <a:ln>
                            <a:noFill/>
                          </a:ln>
                        </wps:spPr>
                        <wps:txbx>
                          <w:txbxContent>
                            <w:p w14:paraId="78509FA8" w14:textId="77777777" w:rsidR="00B32EF2" w:rsidRDefault="00000000">
                              <w:r>
                                <w:rPr>
                                  <w:rFonts w:ascii="Arial" w:eastAsia="Arial" w:hAnsi="Arial" w:cs="Arial"/>
                                  <w:i/>
                                  <w:sz w:val="18"/>
                                </w:rPr>
                                <w:t>art. 38 bis dpr. 633/1972 “Esecuzione dei rimborsi”</w:t>
                              </w:r>
                            </w:p>
                          </w:txbxContent>
                        </wps:txbx>
                        <wps:bodyPr horzOverflow="overflow" vert="horz" lIns="0" tIns="0" rIns="0" bIns="0" rtlCol="0">
                          <a:noAutofit/>
                        </wps:bodyPr>
                      </wps:wsp>
                      <wps:wsp>
                        <wps:cNvPr id="14279" name="Shape 14279"/>
                        <wps:cNvSpPr/>
                        <wps:spPr>
                          <a:xfrm>
                            <a:off x="31755" y="4307200"/>
                            <a:ext cx="3960000" cy="464299"/>
                          </a:xfrm>
                          <a:custGeom>
                            <a:avLst/>
                            <a:gdLst/>
                            <a:ahLst/>
                            <a:cxnLst/>
                            <a:rect l="0" t="0" r="0" b="0"/>
                            <a:pathLst>
                              <a:path w="3960000" h="464299">
                                <a:moveTo>
                                  <a:pt x="0" y="464299"/>
                                </a:moveTo>
                                <a:lnTo>
                                  <a:pt x="3960000" y="464299"/>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76CD3A0" id="Group 199928" o:spid="_x0000_s1166" style="width:314.3pt;height:493.15pt;mso-position-horizontal-relative:char;mso-position-vertical-relative:line" coordsize="39918,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E5/GAwAAA2IAAAOAAAAZHJzL2Uyb0RvYy54bWzkXduO27YWfT9A/8Hw+2REiqIkI5OiSNqg&#10;wMFp0csHaDzyBZAtQ3Yyk379WZukKFnmtKkUmAaYALaHlmhqL+77Jvn2+5ddNftcNsdtvX+YszfR&#10;fFbul/XTdr9+mP/5x0932Xx2PBX7p6Kq9+XD/Et5nH//7rv/vH0+LEpeb+rqqWxm6GR/XDwfHuab&#10;0+mwuL8/Ljflrji+qQ/lHl+u6mZXnPBns75/aopn9L6r7nkUyfvnunk6NPWyPB7R+kF/OX+n+l+t&#10;yuXpl9XqWJ5m1cMcYzup10a9PtLr/bu3xWLdFIfNdmmGUYwYxa7Y7vGjtqsPxamYfWq2F13ttsum&#10;Ptar05tlvbuvV6vtslTPgKdh0eBpPjb1p4N6lvXieX2wZAJpB3Qa3e3yf58/NoffD782oMTzYQ1a&#10;qL/oWV5WzY7eMcrZiyLZF0uy8uU0W6IxznOWpaDsEt9JLnmWCE3U5QaUv7hvufnxH+68b3/4/mw4&#10;zwdMkGNHg+M0Gvy+KQ6lIu1xARr82sy2T5i/gnMxn+2LHabqb5g8xX5dlTPdrAikrrbkOi6OoFxL&#10;q1lTY37dsSjN6Z+aD4Z2LBMizeR8BirdSc5yM/NaMnKZJkmsqciTSApJRLSkKBaH5nj6WNa7GX14&#10;mDcYm+q/+Pzf40lf2l5Cw6n29Lqvf9pWlf6WWkDRdsT06fTy+KIfO1aYUdtj/fQFxNjUzV+/gK1X&#10;Vf38MK/NpzlxOn6dvp3Pqp/3AIGYqv3QtB8e2w/NqXpfK9bT4/nh06lebdWAu18zAwO6NAWvBHPi&#10;hjkhutMgMCn+Pcx3LGYpTyHziBsYy3NpuKEFOomjPIoxEYhfMK8yPROuh7R9wGCQBrFdDK04bCrS&#10;uUI6Ac5S81CxeB1pdl2etg8YDNKpG+l0Ek8zkcYp1yydZGkcR4qFOqB5wrKILmhZOsuvC7R9vjCA&#10;hmploPYFT+v2ieI7Y2nKNFOnIs9TxUQd1kp8Rz3xfW2ss3Yuh4O1i6sJazvtR6lqLlmUQ2aTpk5u&#10;EmolRTorKQCbDNr0gqthkVtCjAKaRVxEwvA0PBRjW3c8zXMJnoc96El+C+ULhAN0nme5y8nS7VPk&#10;t+JpwTVPJ1Ecs0vxneWpR6iVCRgW1C5Hi6C2jsgoroanlUVxAt1A8vsmseZhqWrBYwhZh/xG8xSm&#10;vmOcZVJiGhHSMWIrmdL8nQBPOIsEx4/7EuBx+4BhGGVAGjLWhbSd8qN4muUsMX6WgnkovCPJ8bu+&#10;QA4uRBYjHukC2c72USCnucgygzJPwNcDZo5ZLjMJS9AXzlYvhcHMpIpdQOv2iYI7i2NYt0pwsziO&#10;+QBrCG7GUxP2pmDolb1pHWUPyxxzSW7Cepro5jJGFAxIko6+SahttCAMtoaOdhneqnkKU/d0tBNm&#10;vzo6sOgY0HQnN9A8BWSdxiL9T+wcRYi2Kcr2TO44ynKkrrxpaRsTCoadXWFQTAAr10ZZYyZhqdNY&#10;MMyklJdII2HpL2SSBBYdA6Su5IZqnsLTLOFCMB0bE6mENTYAmguZxgKBOU+Gd2LDBMGwtDveHVvZ&#10;NoqlmUjSmBJkkN0igqsuBvlKWNlS+ouWJNbSDANnMq6hKC88ad0+haXvOJAGOQnpGOoY4RNS+52W&#10;ZnmcSbLKfbG0DRWEA7UrBkpQW+k2jqmZTMDYNwx1YOExQIpghZOrdRCDogqjoOacswQ64Ha5OrAI&#10;meCUPb6Q36p5ivjOGGoB0TNJ7zSVSTaU3siRCVLkvqS3dSKDkd7ILF0CTaw+zcui6FhbghBLinoO&#10;q0I547HHsiIdhA8qEEo5iAueJqhtDGmU9Ea2Ms0lM+L7dawx0XyxtX3AMNgachoW8AXUqnmK+GY5&#10;T43trWBWtm5ne6OI32O2MrE+ZDAgu0qKALK1S0eyMwr6GYr4lZZOeCp1tVYP52FB/5VzWDK4+Bi5&#10;QS52tmbpN0BaRKgdGwTILpZuXBtp60IGw9Pu7EaXth2JNBUUMWN5Y7WO1LVoPZ6mgqIMwt2TipaB&#10;hcggpl2Gt2r+RiraCbNXFS0DC44BTZfJrZqngKxSWEwYi5slKBgfmmKkoj3WB+o1gOF4V4DUFRpT&#10;zVOQ5nnMlDFPEZOIo5B7sIqWRRJVRP5cKxSpmucLQ0OTu+zyrXT7FKipvBsrabWO5nkEy/vWrLEA&#10;o2OwiC4Mb8Lamiuj7DGs2oC5pcsEbxNqG/0Lg60FVrQ6kFbNE5mapQLLZ8mZBkNHWTSMg0JT5zCM&#10;vBnewcXGKH18wdNAehpL05qNNKeqIUJaJig3UR32XSzoauhvb0gHFyCj7UVcSFs3ZJTw7qKgbpi9&#10;uljYlyYoewx8646C6j15RqektYtloqA8QXWRji/32NlzFBRr9kND2h0FTawLMoqdz5xprJtO44vF&#10;dp6daeRcQkPaHQVNrAMyAWmzAQLnGc8vktKENFlrnqKgWBgUGtLuKGiXnf8GSGOJJeqAibID6e0T&#10;aZukC8bBcodCsfzVTPlxSHPY2RG6Jqsb2x/kWEd5BjRiowm8Ln8sbbVTGEBTcMTlSuv2SVAz7LSI&#10;DWwU1thOMBe50gc9pkZNkaDSB1/i2+qncLB+pc4bHDcFa1U+FkE3gK1vE+rgAmSounA5010xxij5&#10;3TnTbpj9OtNWN4XBzwJxaTfI1tccBfKZi8VSSHF3vtKjlg4uNoaCCyc7W19zAtJm5xomZZToNW49&#10;He05bNIppmB42h0F7YoxRiLNYW8jKKZUdBLL6CJdCWtMbZDkyRqDGWpMkGCQdodCu2KMUUj3VLQT&#10;Zq8qukvEBgOyOwraFWKMAlmraJO+YoIxiO5zR9r3PrAouwiKneEwp66aIt0+yblKJTIaOlMJnzrF&#10;ribnUAP9RFBexZfkDiw4RpC6omO6fQrUsYwR5DZ+9E1CHV54LHWFvAlqG1IYK8FpT3ZjkDHa9ndQ&#10;K6gkeL8o9MoHMeAwkOAkuCuRRVhbUozCWtePmUjo61D3/OlrQ23ncjBmmUuAI6BiQ0ijgKa1lSI3&#10;aytZhApRvViz50+Dz1OP21J1i0fDQJqY1+VQ6/YpurrP1DmLaX92dNdDWpUh9Hj6youx9M+FU9NP&#10;iLocat0+BWk4WxlWbUA3IL3xOtSIxXoywLW2CAdqrKBwZze6crqR4pvW0hpXK8WOo9ip/5KnPe6C&#10;0O3RE4b0BtDuDEdXTTcKaB4lOANPMzSO20j1vOlkN8sFE5QX98XQNqwfBs4ko10JDt0+XXbjlA2S&#10;3Ql2m8uVqdtBrbwsjytpUSBhni8cqF08TVDbDMA4pqZVOu0xaLeIdGBhMghvl+WtmieyNLS0WU4r&#10;UC2IA1EvtXQ/cHJly7s7OCYMlgaiLsNbNU8DGgnJ1GwUiupfbOA+ABr70CUenWld0BaU3e3OZuHA&#10;qilAdylLJ8peM5baXggGYx7BGLbOlTqDemba/hFhin6Y06ThR6H6n2wuEUcpG27OjrrfCP+0fS2k&#10;4DiLGt33zhheftKnSVOf7QnSOLv8SZ8ljbZN+2n5sm8/0pnTf3uM+qE40X3UKX2c4eRoO5QNxqpH&#10;Ql/vcKL0H7W68DQ4Ihyj7L6t9v2rbGd4cBXNx7XtFe37QfXXv/KMAO1l7bu+HKQiWvYp1V7Qvvcv&#10;PP9tDIKeVtHXUgCNfRpXeyIGIVLgjPtVVejDu3fbU9nMqu0OdZ1wugGZhslxVvfx9KUqiWDV/rdy&#10;hVO71YHs1HBs1o/vq2b2uaBzttU/fTJ4ddgUptX0ay5VQ1X90P0rHBFuu2Tq1rMu38f03/RgLqb7&#10;ytUKE8LeGek7l2Y0jXpcHFSPh36kV/1k9ib1y/W+u39f70t1EQkD87SdXKC76a+rnhHuzE1B79pw&#10;/jhDOkbq0ZxHKXByHdZN0nN3PhNsroS2JPLmHtsofTAGljtdoWu4aNqNAlpgS9d2w32Bg+GHi92x&#10;2X6aUAW/rzBIcGWeXQmJVr20WYwlwusYE3P2NK+uFSHNy7XE7ljX6h2C9EyfvKyaHfXT1wq3o3nP&#10;hvo16vfshlZHtu+XOrgV/+0V7fvrWhWUqupjqbXGV+pXpUP/Tsdq5aj7/Eod61CIRse23UADKmXW&#10;V6NGGY7TzDehY6Ft14vn9UHZCuumOGy2yw/Fqej/rXTyouT1pq6eyubd/wEAAP//AwBQSwMEFAAG&#10;AAgAAAAhABgNBmzdAAAABQEAAA8AAABkcnMvZG93bnJldi54bWxMj0FLw0AQhe+C/2EZwZvdpMUQ&#10;02xKKeqpCLaC9DbNTpPQ7GzIbpP037t6qZeBx3u8902+mkwrBupdY1lBPItAEJdWN1wp+Nq/PaUg&#10;nEfW2FomBVdysCru73LMtB35k4adr0QoYZehgtr7LpPSlTUZdDPbEQfvZHuDPsi+krrHMZSbVs6j&#10;KJEGGw4LNXa0qak87y5GwfuI43oRvw7b82lzPeyfP763MSn1+DCtlyA8Tf4Whl/8gA5FYDraC2sn&#10;WgXhEf93g5fM0wTEUcFLmixAFrn8T1/8AAAA//8DAFBLAQItABQABgAIAAAAIQC2gziS/gAAAOEB&#10;AAATAAAAAAAAAAAAAAAAAAAAAABbQ29udGVudF9UeXBlc10ueG1sUEsBAi0AFAAGAAgAAAAhADj9&#10;If/WAAAAlAEAAAsAAAAAAAAAAAAAAAAALwEAAF9yZWxzLy5yZWxzUEsBAi0AFAAGAAgAAAAhANQc&#10;Tn8YDAAADYgAAA4AAAAAAAAAAAAAAAAALgIAAGRycy9lMm9Eb2MueG1sUEsBAi0AFAAGAAgAAAAh&#10;ABgNBmzdAAAABQEAAA8AAAAAAAAAAAAAAAAAcg4AAGRycy9kb3ducmV2LnhtbFBLBQYAAAAABAAE&#10;APMAAAB8DwAAAAA=&#10;">
                <v:rect id="Rectangle 14224" o:spid="_x0000_s1167" style="position:absolute;left:18447;top:-621;width:2676;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LLUxAAAAN4AAAAPAAAAZHJzL2Rvd25yZXYueG1sRE9Na8JA&#10;EL0X/A/LFLzVTYMUSV1FFDEHL7URPA7ZMUnNzi7Z1UR/vVso9DaP9znz5WBacaPON5YVvE8SEMSl&#10;1Q1XCorv7dsMhA/IGlvLpOBOHpaL0cscM217/qLbIVQihrDPUEEdgsuk9GVNBv3EOuLInW1nMETY&#10;VVJ32Mdw08o0ST6kwYZjQ42O1jWVl8PVKDht2OXbXpbnx9rtf/JZu7sWR6XGr8PqE0SgIfyL/9y5&#10;jvOnaTqF33fiDXLxBAAA//8DAFBLAQItABQABgAIAAAAIQDb4fbL7gAAAIUBAAATAAAAAAAAAAAA&#10;AAAAAAAAAABbQ29udGVudF9UeXBlc10ueG1sUEsBAi0AFAAGAAgAAAAhAFr0LFu/AAAAFQEAAAsA&#10;AAAAAAAAAAAAAAAAHwEAAF9yZWxzLy5yZWxzUEsBAi0AFAAGAAgAAAAhAF8gstTEAAAA3gAAAA8A&#10;AAAAAAAAAAAAAAAABwIAAGRycy9kb3ducmV2LnhtbFBLBQYAAAAAAwADALcAAAD4AgAAAAA=&#10;" filled="f" stroked="f">
                  <v:textbox inset="0,0,0,0">
                    <w:txbxContent>
                      <w:p w14:paraId="2DC9FE54" w14:textId="77777777" w:rsidR="00B32EF2" w:rsidRDefault="00000000">
                        <w:r>
                          <w:rPr>
                            <w:rFonts w:ascii="Times New Roman" w:eastAsia="Times New Roman" w:hAnsi="Times New Roman" w:cs="Times New Roman"/>
                          </w:rPr>
                          <w:t>104</w:t>
                        </w:r>
                      </w:p>
                    </w:txbxContent>
                  </v:textbox>
                </v:rect>
                <v:rect id="Rectangle 14225" o:spid="_x0000_s1168" style="position:absolute;left:-13172;top:61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BdPxAAAAN4AAAAPAAAAZHJzL2Rvd25yZXYueG1sRE9Na8JA&#10;EL0X/A/LCN7qxtAWia4iijQHL7UKHofsmESzs0t2NdFf3y0UepvH+5z5sjeNuFPra8sKJuMEBHFh&#10;dc2lgsP39nUKwgdkjY1lUvAgD8vF4GWOmbYdf9F9H0oRQ9hnqKAKwWVS+qIig35sHXHkzrY1GCJs&#10;S6lb7GK4aWSaJB/SYM2xoUJH64qK6/5mFJw27PJtJ4vzc+12l3zafN4OR6VGw341AxGoD//iP3eu&#10;4/y3NH2H33fiDXLxAwAA//8DAFBLAQItABQABgAIAAAAIQDb4fbL7gAAAIUBAAATAAAAAAAAAAAA&#10;AAAAAAAAAABbQ29udGVudF9UeXBlc10ueG1sUEsBAi0AFAAGAAgAAAAhAFr0LFu/AAAAFQEAAAsA&#10;AAAAAAAAAAAAAAAAHwEAAF9yZWxzLy5yZWxzUEsBAi0AFAAGAAgAAAAhADBsF0/EAAAA3gAAAA8A&#10;AAAAAAAAAAAAAAAABwIAAGRycy9kb3ducmV2LnhtbFBLBQYAAAAAAwADALcAAAD4AgAAAAA=&#10;" filled="f" stroked="f">
                  <v:textbox inset="0,0,0,0">
                    <w:txbxContent>
                      <w:p w14:paraId="4FA957A5" w14:textId="77777777" w:rsidR="00B32EF2" w:rsidRDefault="00000000">
                        <w:r>
                          <w:rPr>
                            <w:rFonts w:ascii="Arial" w:eastAsia="Arial" w:hAnsi="Arial" w:cs="Arial"/>
                            <w:sz w:val="18"/>
                          </w:rPr>
                          <w:t xml:space="preserve">la sua durata nonché il termine entro il quale può essere escussa, a seguito </w:t>
                        </w:r>
                      </w:p>
                    </w:txbxContent>
                  </v:textbox>
                </v:rect>
                <v:rect id="Rectangle 14226" o:spid="_x0000_s1169" style="position:absolute;left:-13172;top:599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ok4xAAAAN4AAAAPAAAAZHJzL2Rvd25yZXYueG1sRE9Na8JA&#10;EL0L/odlCt500yAiqauIIubQS20Ej0N2TFKzs0t2NbG/vlso9DaP9zmrzWBa8aDON5YVvM4SEMSl&#10;1Q1XCorPw3QJwgdkja1lUvAkD5v1eLTCTNueP+hxCpWIIewzVFCH4DIpfVmTQT+zjjhyV9sZDBF2&#10;ldQd9jHctDJNkoU02HBsqNHRrqbydrobBZc9u/zQy/L6vXPvX/myPd6Ls1KTl2H7BiLQEP7Ff+5c&#10;x/nzNF3A7zvxBrn+AQAA//8DAFBLAQItABQABgAIAAAAIQDb4fbL7gAAAIUBAAATAAAAAAAAAAAA&#10;AAAAAAAAAABbQ29udGVudF9UeXBlc10ueG1sUEsBAi0AFAAGAAgAAAAhAFr0LFu/AAAAFQEAAAsA&#10;AAAAAAAAAAAAAAAAHwEAAF9yZWxzLy5yZWxzUEsBAi0AFAAGAAgAAAAhAMC+iTjEAAAA3gAAAA8A&#10;AAAAAAAAAAAAAAAABwIAAGRycy9kb3ducmV2LnhtbFBLBQYAAAAAAwADALcAAAD4AgAAAAA=&#10;" filled="f" stroked="f">
                  <v:textbox inset="0,0,0,0">
                    <w:txbxContent>
                      <w:p w14:paraId="063AFBAD" w14:textId="77777777" w:rsidR="00B32EF2" w:rsidRDefault="00000000">
                        <w:r>
                          <w:rPr>
                            <w:rFonts w:ascii="Arial" w:eastAsia="Arial" w:hAnsi="Arial" w:cs="Arial"/>
                            <w:sz w:val="18"/>
                          </w:rPr>
                          <w:t xml:space="preserve">dell’inerzia del contribuente in ordine alla restituzione delle somme garantite </w:t>
                        </w:r>
                      </w:p>
                    </w:txbxContent>
                  </v:textbox>
                </v:rect>
                <v:rect id="Rectangle 14227" o:spid="_x0000_s1170" style="position:absolute;left:14737;top:58733;width:2518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iyjxAAAAN4AAAAPAAAAZHJzL2Rvd25yZXYueG1sRE9Na8JA&#10;EL0X/A/LCN7qxlBaia4iijQHL7UKHofsmESzs0t2NdFf3y0UepvH+5z5sjeNuFPra8sKJuMEBHFh&#10;dc2lgsP39nUKwgdkjY1lUvAgD8vF4GWOmbYdf9F9H0oRQ9hnqKAKwWVS+qIig35sHXHkzrY1GCJs&#10;S6lb7GK4aWSaJO/SYM2xoUJH64qK6/5mFJw27PJtJ4vzc+12l3zafN4OR6VGw341AxGoD//iP3eu&#10;4/y3NP2A33fiDXLxAwAA//8DAFBLAQItABQABgAIAAAAIQDb4fbL7gAAAIUBAAATAAAAAAAAAAAA&#10;AAAAAAAAAABbQ29udGVudF9UeXBlc10ueG1sUEsBAi0AFAAGAAgAAAAhAFr0LFu/AAAAFQEAAAsA&#10;AAAAAAAAAAAAAAAAHwEAAF9yZWxzLy5yZWxzUEsBAi0AFAAGAAgAAAAhAK/yLKPEAAAA3gAAAA8A&#10;AAAAAAAAAAAAAAAABwIAAGRycy9kb3ducmV2LnhtbFBLBQYAAAAAAwADALcAAAD4AgAAAAA=&#10;" filled="f" stroked="f">
                  <v:textbox inset="0,0,0,0">
                    <w:txbxContent>
                      <w:p w14:paraId="6931ACCE" w14:textId="77777777" w:rsidR="00B32EF2" w:rsidRDefault="00000000">
                        <w:r>
                          <w:rPr>
                            <w:rFonts w:ascii="Arial" w:eastAsia="Arial" w:hAnsi="Arial" w:cs="Arial"/>
                            <w:sz w:val="18"/>
                          </w:rPr>
                          <w:t>protrattasi per un periodo di tre mesi.</w:t>
                        </w:r>
                      </w:p>
                    </w:txbxContent>
                  </v:textbox>
                </v:rect>
                <v:rect id="Rectangle 199918" o:spid="_x0000_s1171" style="position:absolute;left:-13817;top:57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J76xAAAAN8AAAAPAAAAZHJzL2Rvd25yZXYueG1sRE89b8Iw&#10;EN0r8R+sQ+pWHDpUJMUgBELN0KUUpI6n+EgC8dmKDUn763tDpY5P73u5Hl2n7tTH1rOB+SwDRVx5&#10;23Jt4Pi5f1qAignZYueZDHxThPVq8rDEwvqBP+h+SLWSEI4FGmhSCoXWsWrIYZz5QCzc2fcOk8C+&#10;1rbHQcJdp5+z7EU7bFkaGgy0bai6Hm7OwNeOQ7kfdHX+2Yb3S7no3m7HkzGP03HzCirRmP7Ff+7S&#10;yvw8z+cyWP4IAL36BQAA//8DAFBLAQItABQABgAIAAAAIQDb4fbL7gAAAIUBAAATAAAAAAAAAAAA&#10;AAAAAAAAAABbQ29udGVudF9UeXBlc10ueG1sUEsBAi0AFAAGAAgAAAAhAFr0LFu/AAAAFQEAAAsA&#10;AAAAAAAAAAAAAAAAHwEAAF9yZWxzLy5yZWxzUEsBAi0AFAAGAAgAAAAhAFF8nvrEAAAA3wAAAA8A&#10;AAAAAAAAAAAAAAAABwIAAGRycy9kb3ducmV2LnhtbFBLBQYAAAAAAwADALcAAAD4AgAAAAA=&#10;" filled="f" stroked="f">
                  <v:textbox inset="0,0,0,0">
                    <w:txbxContent>
                      <w:p w14:paraId="11378CCC" w14:textId="77777777" w:rsidR="00B32EF2" w:rsidRDefault="00000000">
                        <w:r>
                          <w:rPr>
                            <w:rFonts w:ascii="Arial" w:eastAsia="Arial" w:hAnsi="Arial" w:cs="Arial"/>
                            <w:sz w:val="18"/>
                          </w:rPr>
                          <w:t xml:space="preserve">. I costi della garanzia, anticipati dal contribuente, sono a carico della parte </w:t>
                        </w:r>
                      </w:p>
                    </w:txbxContent>
                  </v:textbox>
                </v:rect>
                <v:rect id="Rectangle 199917" o:spid="_x0000_s1172" style="position:absolute;left:26109;top:574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wqIxAAAAN8AAAAPAAAAZHJzL2Rvd25yZXYueG1sRE/LasJA&#10;FN0X/IfhCu7qxC6siY4iijSLbuoDXF4y1ySauTNkRpP26zuFgsvDeS9WvWnEg1pfW1YwGScgiAur&#10;ay4VHA+71xkIH5A1NpZJwTd5WC0HLwvMtO34ix77UIoYwj5DBVUILpPSFxUZ9GPriCN3sa3BEGFb&#10;St1iF8NNI9+SZCoN1hwbKnS0qai47e9GwXnLLt91srj8bNznNZ81H/fjSanRsF/PQQTqw1P87851&#10;nJ+m6eQd/v5EAHL5CwAA//8DAFBLAQItABQABgAIAAAAIQDb4fbL7gAAAIUBAAATAAAAAAAAAAAA&#10;AAAAAAAAAABbQ29udGVudF9UeXBlc10ueG1sUEsBAi0AFAAGAAgAAAAhAFr0LFu/AAAAFQEAAAsA&#10;AAAAAAAAAAAAAAAAHwEAAF9yZWxzLy5yZWxzUEsBAi0AFAAGAAgAAAAhACDjCojEAAAA3wAAAA8A&#10;AAAAAAAAAAAAAAAABwIAAGRycy9kb3ducmV2LnhtbFBLBQYAAAAAAwADALcAAAD4AgAAAAA=&#10;" filled="f" stroked="f">
                  <v:textbox inset="0,0,0,0">
                    <w:txbxContent>
                      <w:p w14:paraId="60BC0D0B" w14:textId="77777777" w:rsidR="00B32EF2" w:rsidRDefault="00000000">
                        <w:r>
                          <w:rPr>
                            <w:rFonts w:ascii="Arial" w:eastAsia="Arial" w:hAnsi="Arial" w:cs="Arial"/>
                            <w:sz w:val="18"/>
                          </w:rPr>
                          <w:t>3</w:t>
                        </w:r>
                      </w:p>
                    </w:txbxContent>
                  </v:textbox>
                </v:rect>
                <v:rect id="Rectangle 14229" o:spid="_x0000_s1173" style="position:absolute;left:10240;top:56266;width:296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1KxAAAAN4AAAAPAAAAZHJzL2Rvd25yZXYueG1sRE9Na8JA&#10;EL0X/A/LCN7qxlCKja4iijQHL7UKHofsmESzs0t2NdFf3y0UepvH+5z5sjeNuFPra8sKJuMEBHFh&#10;dc2lgsP39nUKwgdkjY1lUvAgD8vF4GWOmbYdf9F9H0oRQ9hnqKAKwWVS+qIig35sHXHkzrY1GCJs&#10;S6lb7GK4aWSaJO/SYM2xoUJH64qK6/5mFJw27PJtJ4vzc+12l3zafN4OR6VGw341AxGoD//iP3eu&#10;4/y3NP2A33fiDXLxAwAA//8DAFBLAQItABQABgAIAAAAIQDb4fbL7gAAAIUBAAATAAAAAAAAAAAA&#10;AAAAAAAAAABbQ29udGVudF9UeXBlc10ueG1sUEsBAi0AFAAGAAgAAAAhAFr0LFu/AAAAFQEAAAsA&#10;AAAAAAAAAAAAAAAAHwEAAF9yZWxzLy5yZWxzUEsBAi0AFAAGAAgAAAAhALEhHUrEAAAA3gAAAA8A&#10;AAAAAAAAAAAAAAAABwIAAGRycy9kb3ducmV2LnhtbFBLBQYAAAAAAwADALcAAAD4AgAAAAA=&#10;" filled="f" stroked="f">
                  <v:textbox inset="0,0,0,0">
                    <w:txbxContent>
                      <w:p w14:paraId="13C0AD73" w14:textId="77777777" w:rsidR="00B32EF2" w:rsidRDefault="00000000">
                        <w:r>
                          <w:rPr>
                            <w:rFonts w:ascii="Arial" w:eastAsia="Arial" w:hAnsi="Arial" w:cs="Arial"/>
                            <w:sz w:val="18"/>
                          </w:rPr>
                          <w:t>soccombente all’esito definitivo del giudizio.</w:t>
                        </w:r>
                      </w:p>
                    </w:txbxContent>
                  </v:textbox>
                </v:rect>
                <v:rect id="Rectangle 199894" o:spid="_x0000_s1174" style="position:absolute;left:26109;top:550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5g4xAAAAN8AAAAPAAAAZHJzL2Rvd25yZXYueG1sRE/Pa8Iw&#10;FL4P/B/CE7zN1CGj7YwyFFkPu+gUPD6aZ9uteQlNtN3+eiMIO358vxerwbTiSp1vLCuYTRMQxKXV&#10;DVcKDl/b5xSED8gaW8uk4Jc8rJajpwXm2va8o+s+VCKGsM9RQR2Cy6X0ZU0G/dQ64sidbWcwRNhV&#10;UnfYx3DTypckeZUGG44NNTpa11T+7C9GwWnDrtj2sjz/rd3nd5G2H5fDUanJeHh/AxFoCP/ih7vQ&#10;cX6Wpdkc7n8iALm8AQAA//8DAFBLAQItABQABgAIAAAAIQDb4fbL7gAAAIUBAAATAAAAAAAAAAAA&#10;AAAAAAAAAABbQ29udGVudF9UeXBlc10ueG1sUEsBAi0AFAAGAAgAAAAhAFr0LFu/AAAAFQEAAAsA&#10;AAAAAAAAAAAAAAAAHwEAAF9yZWxzLy5yZWxzUEsBAi0AFAAGAAgAAAAhAMsDmDjEAAAA3wAAAA8A&#10;AAAAAAAAAAAAAAAABwIAAGRycy9kb3ducmV2LnhtbFBLBQYAAAAAAwADALcAAAD4AgAAAAA=&#10;" filled="f" stroked="f">
                  <v:textbox inset="0,0,0,0">
                    <w:txbxContent>
                      <w:p w14:paraId="3DAA5DAE" w14:textId="77777777" w:rsidR="00B32EF2" w:rsidRDefault="00000000">
                        <w:r>
                          <w:rPr>
                            <w:rFonts w:ascii="Arial" w:eastAsia="Arial" w:hAnsi="Arial" w:cs="Arial"/>
                            <w:sz w:val="18"/>
                          </w:rPr>
                          <w:t>4</w:t>
                        </w:r>
                      </w:p>
                    </w:txbxContent>
                  </v:textbox>
                </v:rect>
                <v:rect id="Rectangle 199895" o:spid="_x0000_s1175" style="position:absolute;left:-13803;top:550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z2jxAAAAN8AAAAPAAAAZHJzL2Rvd25yZXYueG1sRE/Pa8Iw&#10;FL4P/B/CE7zN1IGj7YwyFFkPu+gUPD6aZ9uteQlNtN3+eiMIO358vxerwbTiSp1vLCuYTRMQxKXV&#10;DVcKDl/b5xSED8gaW8uk4Jc8rJajpwXm2va8o+s+VCKGsM9RQR2Cy6X0ZU0G/dQ64sidbWcwRNhV&#10;UnfYx3DTypckeZUGG44NNTpa11T+7C9GwWnDrtj2sjz/rd3nd5G2H5fDUanJeHh/AxFoCP/ih7vQ&#10;cX6Wpdkc7n8iALm8AQAA//8DAFBLAQItABQABgAIAAAAIQDb4fbL7gAAAIUBAAATAAAAAAAAAAAA&#10;AAAAAAAAAABbQ29udGVudF9UeXBlc10ueG1sUEsBAi0AFAAGAAgAAAAhAFr0LFu/AAAAFQEAAAsA&#10;AAAAAAAAAAAAAAAAHwEAAF9yZWxzLy5yZWxzUEsBAi0AFAAGAAgAAAAhAKRPPaPEAAAA3wAAAA8A&#10;AAAAAAAAAAAAAAAABwIAAGRycy9kb3ducmV2LnhtbFBLBQYAAAAAAwADALcAAAD4AgAAAAA=&#10;" filled="f" stroked="f">
                  <v:textbox inset="0,0,0,0">
                    <w:txbxContent>
                      <w:p w14:paraId="522EF504" w14:textId="77777777" w:rsidR="00B32EF2" w:rsidRDefault="00000000">
                        <w:r>
                          <w:rPr>
                            <w:rFonts w:ascii="Arial" w:eastAsia="Arial" w:hAnsi="Arial" w:cs="Arial"/>
                            <w:sz w:val="18"/>
                          </w:rPr>
                          <w:t xml:space="preserve">. Il pagamento delle somme dovute a seguito della sentenza deve essere </w:t>
                        </w:r>
                      </w:p>
                    </w:txbxContent>
                  </v:textbox>
                </v:rect>
                <v:rect id="Rectangle 14231" o:spid="_x0000_s1176" style="position:absolute;left:-12186;top:53799;width:521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oeRxAAAAN4AAAAPAAAAZHJzL2Rvd25yZXYueG1sRE9Li8Iw&#10;EL4v+B/CCN7WVHdZpBpFFNkevKwP8Dg0Y1ttJqGJtvrrNwsL3ubje85s0Zla3KnxlWUFo2ECgji3&#10;uuJCwWG/eZ+A8AFZY22ZFDzIw2Lee5thqm3LP3TfhULEEPYpKihDcKmUPi/JoB9aRxy5s20Mhgib&#10;QuoG2xhuajlOki9psOLYUKKjVUn5dXczCk5rdtmmlfn5uXLbSzapv2+Ho1KDfrecggjUhZf4353p&#10;OP9z/DGCv3fiDXL+CwAA//8DAFBLAQItABQABgAIAAAAIQDb4fbL7gAAAIUBAAATAAAAAAAAAAAA&#10;AAAAAAAAAABbQ29udGVudF9UeXBlc10ueG1sUEsBAi0AFAAGAAgAAAAhAFr0LFu/AAAAFQEAAAsA&#10;AAAAAAAAAAAAAAAAHwEAAF9yZWxzLy5yZWxzUEsBAi0AFAAGAAgAAAAhAMqOh5HEAAAA3gAAAA8A&#10;AAAAAAAAAAAAAAAABwIAAGRycy9kb3ducmV2LnhtbFBLBQYAAAAAAwADALcAAAD4AgAAAAA=&#10;" filled="f" stroked="f">
                  <v:textbox inset="0,0,0,0">
                    <w:txbxContent>
                      <w:p w14:paraId="6D6CD4A7" w14:textId="77777777" w:rsidR="00B32EF2" w:rsidRDefault="00000000">
                        <w:r>
                          <w:rPr>
                            <w:rFonts w:ascii="Arial" w:eastAsia="Arial" w:hAnsi="Arial" w:cs="Arial"/>
                            <w:sz w:val="18"/>
                          </w:rPr>
                          <w:t>eseguito entro novanta giorni dalla sua notificazione ovvero dalla presentazio</w:t>
                        </w:r>
                      </w:p>
                    </w:txbxContent>
                  </v:textbox>
                </v:rect>
                <v:rect id="Rectangle 14232" o:spid="_x0000_s1177" style="position:absolute;left:191;top:537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BnmxAAAAN4AAAAPAAAAZHJzL2Rvd25yZXYueG1sRE9Na8JA&#10;EL0X/A/LCN7qxrQUia4iijQHL7UKHofsmESzs0t2NdFf3y0UepvH+5z5sjeNuFPra8sKJuMEBHFh&#10;dc2lgsP39nUKwgdkjY1lUvAgD8vF4GWOmbYdf9F9H0oRQ9hnqKAKwWVS+qIig35sHXHkzrY1GCJs&#10;S6lb7GK4aWSaJB/SYM2xoUJH64qK6/5mFJw27PJtJ4vzc+12l3zafN4OR6VGw341AxGoD//iP3eu&#10;4/z39C2F33fiDXLxAwAA//8DAFBLAQItABQABgAIAAAAIQDb4fbL7gAAAIUBAAATAAAAAAAAAAAA&#10;AAAAAAAAAABbQ29udGVudF9UeXBlc10ueG1sUEsBAi0AFAAGAAgAAAAhAFr0LFu/AAAAFQEAAAsA&#10;AAAAAAAAAAAAAAAAHwEAAF9yZWxzLy5yZWxzUEsBAi0AFAAGAAgAAAAhADpcGebEAAAA3gAAAA8A&#10;AAAAAAAAAAAAAAAABwIAAGRycy9kb3ducmV2LnhtbFBLBQYAAAAAAwADALcAAAD4AgAAAAA=&#10;" filled="f" stroked="f">
                  <v:textbox inset="0,0,0,0">
                    <w:txbxContent>
                      <w:p w14:paraId="0AFE6897" w14:textId="77777777" w:rsidR="00B32EF2" w:rsidRDefault="00000000">
                        <w:r>
                          <w:rPr>
                            <w:rFonts w:ascii="Arial" w:eastAsia="Arial" w:hAnsi="Arial" w:cs="Arial"/>
                            <w:sz w:val="18"/>
                          </w:rPr>
                          <w:t>-</w:t>
                        </w:r>
                      </w:p>
                    </w:txbxContent>
                  </v:textbox>
                </v:rect>
                <v:rect id="Rectangle 14233" o:spid="_x0000_s1178" style="position:absolute;left:7948;top:52566;width:319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x9xAAAAN4AAAAPAAAAZHJzL2Rvd25yZXYueG1sRE9Ni8Iw&#10;EL0v+B/CCN7WVF0W6RpFFLEHL7ou7HFoxrbaTEITbfXXb4QFb/N4nzNbdKYWN2p8ZVnBaJiAIM6t&#10;rrhQcPzevE9B+ICssbZMCu7kYTHvvc0w1bblPd0OoRAxhH2KCsoQXCqlz0sy6IfWEUfuZBuDIcKm&#10;kLrBNoabWo6T5FMarDg2lOhoVVJ+OVyNgt81u2zTyvz0WLndOZvW2+vxR6lBv1t+gQjUhZf4353p&#10;OP9jPJnA8514g5z/AQAA//8DAFBLAQItABQABgAIAAAAIQDb4fbL7gAAAIUBAAATAAAAAAAAAAAA&#10;AAAAAAAAAABbQ29udGVudF9UeXBlc10ueG1sUEsBAi0AFAAGAAgAAAAhAFr0LFu/AAAAFQEAAAsA&#10;AAAAAAAAAAAAAAAAHwEAAF9yZWxzLy5yZWxzUEsBAi0AFAAGAAgAAAAhAFUQvH3EAAAA3gAAAA8A&#10;AAAAAAAAAAAAAAAABwIAAGRycy9kb3ducmV2LnhtbFBLBQYAAAAAAwADALcAAAD4AgAAAAA=&#10;" filled="f" stroked="f">
                  <v:textbox inset="0,0,0,0">
                    <w:txbxContent>
                      <w:p w14:paraId="43DA5B6E" w14:textId="77777777" w:rsidR="00B32EF2" w:rsidRDefault="00000000">
                        <w:r>
                          <w:rPr>
                            <w:rFonts w:ascii="Arial" w:eastAsia="Arial" w:hAnsi="Arial" w:cs="Arial"/>
                            <w:sz w:val="18"/>
                          </w:rPr>
                          <w:t>ne della garanzia di cui al comma 2, se dovuta.</w:t>
                        </w:r>
                      </w:p>
                    </w:txbxContent>
                  </v:textbox>
                </v:rect>
                <v:rect id="Rectangle 199893" o:spid="_x0000_s1179" style="position:absolute;left:-12833;top:51333;width:521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gBMxAAAAN8AAAAPAAAAZHJzL2Rvd25yZXYueG1sRE/Pa8Iw&#10;FL4P/B/CE7zN1Amj7YwyFFkPu+gUPD6aZ9uteQlNtN3+eiMIO358vxerwbTiSp1vLCuYTRMQxKXV&#10;DVcKDl/b5xSED8gaW8uk4Jc8rJajpwXm2va8o+s+VCKGsM9RQR2Cy6X0ZU0G/dQ64sidbWcwRNhV&#10;UnfYx3DTypckeZUGG44NNTpa11T+7C9GwWnDrtj2sjz/rd3nd5G2H5fDUanJeHh/AxFoCP/ih7vQ&#10;cX6Wpdkc7n8iALm8AQAA//8DAFBLAQItABQABgAIAAAAIQDb4fbL7gAAAIUBAAATAAAAAAAAAAAA&#10;AAAAAAAAAABbQ29udGVudF9UeXBlc10ueG1sUEsBAi0AFAAGAAgAAAAhAFr0LFu/AAAAFQEAAAsA&#10;AAAAAAAAAAAAAAAAHwEAAF9yZWxzLy5yZWxzUEsBAi0AFAAGAAgAAAAhAETqAEzEAAAA3wAAAA8A&#10;AAAAAAAAAAAAAAAABwIAAGRycy9kb3ducmV2LnhtbFBLBQYAAAAAAwADALcAAAD4AgAAAAA=&#10;" filled="f" stroked="f">
                  <v:textbox inset="0,0,0,0">
                    <w:txbxContent>
                      <w:p w14:paraId="2FFADF2E" w14:textId="77777777" w:rsidR="00B32EF2" w:rsidRDefault="00000000">
                        <w:r>
                          <w:rPr>
                            <w:rFonts w:ascii="Arial" w:eastAsia="Arial" w:hAnsi="Arial" w:cs="Arial"/>
                            <w:sz w:val="18"/>
                          </w:rPr>
                          <w:t>. In caso di mancata esecuzione della sentenza il contribuente può richiede</w:t>
                        </w:r>
                      </w:p>
                    </w:txbxContent>
                  </v:textbox>
                </v:rect>
                <v:rect id="Rectangle 199892" o:spid="_x0000_s1180" style="position:absolute;left:26351;top:51333;width:521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qXXxAAAAN8AAAAPAAAAZHJzL2Rvd25yZXYueG1sRE/Pa8Iw&#10;FL4P/B/CE3abqR5GW02LKLIedplzsOOjebbV5iU00Xb765fBYMeP7/emnEwv7jT4zrKC5SIBQVxb&#10;3XGj4PR+eEpB+ICssbdMCr7IQ1nMHjaYazvyG92PoRExhH2OCtoQXC6lr1sy6BfWEUfubAeDIcKh&#10;kXrAMYabXq6S5Fka7Dg2tOho11J9Pd6Mgs89u+owyvr8vXOvlyrtX26nD6Ue59N2DSLQFP7Ff+5K&#10;x/lZlmYr+P0TAcjiBwAA//8DAFBLAQItABQABgAIAAAAIQDb4fbL7gAAAIUBAAATAAAAAAAAAAAA&#10;AAAAAAAAAABbQ29udGVudF9UeXBlc10ueG1sUEsBAi0AFAAGAAgAAAAhAFr0LFu/AAAAFQEAAAsA&#10;AAAAAAAAAAAAAAAAHwEAAF9yZWxzLy5yZWxzUEsBAi0AFAAGAAgAAAAhACumpdfEAAAA3wAAAA8A&#10;AAAAAAAAAAAAAAAABwIAAGRycy9kb3ducmV2LnhtbFBLBQYAAAAAAwADALcAAAD4AgAAAAA=&#10;" filled="f" stroked="f">
                  <v:textbox inset="0,0,0,0">
                    <w:txbxContent>
                      <w:p w14:paraId="223DD9FC" w14:textId="77777777" w:rsidR="00B32EF2" w:rsidRDefault="00000000">
                        <w:r>
                          <w:rPr>
                            <w:rFonts w:ascii="Arial" w:eastAsia="Arial" w:hAnsi="Arial" w:cs="Arial"/>
                            <w:sz w:val="18"/>
                          </w:rPr>
                          <w:t>5</w:t>
                        </w:r>
                      </w:p>
                    </w:txbxContent>
                  </v:textbox>
                </v:rect>
                <v:rect id="Rectangle 14235" o:spid="_x0000_s1181" style="position:absolute;left:191;top:513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YGSxQAAAN4AAAAPAAAAZHJzL2Rvd25yZXYueG1sRE9La8JA&#10;EL4X/A/LCN7qplpFoqsUi5hDL/UBHofsmMRmZ5fsamJ/fbcgeJuP7zmLVWdqcaPGV5YVvA0TEMS5&#10;1RUXCg77zesMhA/IGmvLpOBOHlbL3ssCU21b/qbbLhQihrBPUUEZgkul9HlJBv3QOuLInW1jMETY&#10;FFI32MZwU8tRkkylwYpjQ4mO1iXlP7urUXD6ZJdtWpmff9fu65LN6u31cFRq0O8+5iACdeEpfrgz&#10;Hee/j8YT+H8n3iCXfwAAAP//AwBQSwECLQAUAAYACAAAACEA2+H2y+4AAACFAQAAEwAAAAAAAAAA&#10;AAAAAAAAAAAAW0NvbnRlbnRfVHlwZXNdLnhtbFBLAQItABQABgAIAAAAIQBa9CxbvwAAABUBAAAL&#10;AAAAAAAAAAAAAAAAAB8BAABfcmVscy8ucmVsc1BLAQItABQABgAIAAAAIQC1tYGSxQAAAN4AAAAP&#10;AAAAAAAAAAAAAAAAAAcCAABkcnMvZG93bnJldi54bWxQSwUGAAAAAAMAAwC3AAAA+QIAAAAA&#10;" filled="f" stroked="f">
                  <v:textbox inset="0,0,0,0">
                    <w:txbxContent>
                      <w:p w14:paraId="6EEDBB89" w14:textId="77777777" w:rsidR="00B32EF2" w:rsidRDefault="00000000">
                        <w:r>
                          <w:rPr>
                            <w:rFonts w:ascii="Arial" w:eastAsia="Arial" w:hAnsi="Arial" w:cs="Arial"/>
                            <w:sz w:val="18"/>
                          </w:rPr>
                          <w:t>-</w:t>
                        </w:r>
                      </w:p>
                    </w:txbxContent>
                  </v:textbox>
                </v:rect>
                <v:rect id="Rectangle 14236" o:spid="_x0000_s1182" style="position:absolute;left:-13172;top:500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x/lxAAAAN4AAAAPAAAAZHJzL2Rvd25yZXYueG1sRE9Ni8Iw&#10;EL0L/ocwgjdN1UWkaxRRxB72sq4Lexyasa02k9BEW/31m4UFb/N4n7Ncd6YWd2p8ZVnBZJyAIM6t&#10;rrhQcPrajxYgfEDWWFsmBQ/ysF71e0tMtW35k+7HUIgYwj5FBWUILpXS5yUZ9GPriCN3to3BEGFT&#10;SN1gG8NNLadJMpcGK44NJTralpRfjzej4GfHLtu3Mj8/t+7jki3qw+30rdRw0G3eQQTqwkv87850&#10;nP82nc3h7514g1z9AgAA//8DAFBLAQItABQABgAIAAAAIQDb4fbL7gAAAIUBAAATAAAAAAAAAAAA&#10;AAAAAAAAAABbQ29udGVudF9UeXBlc10ueG1sUEsBAi0AFAAGAAgAAAAhAFr0LFu/AAAAFQEAAAsA&#10;AAAAAAAAAAAAAAAAHwEAAF9yZWxzLy5yZWxzUEsBAi0AFAAGAAgAAAAhAEVnH+XEAAAA3gAAAA8A&#10;AAAAAAAAAAAAAAAABwIAAGRycy9kb3ducmV2LnhtbFBLBQYAAAAAAwADALcAAAD4AgAAAAA=&#10;" filled="f" stroked="f">
                  <v:textbox inset="0,0,0,0">
                    <w:txbxContent>
                      <w:p w14:paraId="0FF04DEA" w14:textId="77777777" w:rsidR="00B32EF2" w:rsidRDefault="00000000">
                        <w:r>
                          <w:rPr>
                            <w:rFonts w:ascii="Arial" w:eastAsia="Arial" w:hAnsi="Arial" w:cs="Arial"/>
                            <w:sz w:val="18"/>
                          </w:rPr>
                          <w:t xml:space="preserve">re l’ottemperanza a norma dell’articolo 128 alla corte di giustizia tributaria di </w:t>
                        </w:r>
                      </w:p>
                    </w:txbxContent>
                  </v:textbox>
                </v:rect>
                <v:rect id="Rectangle 14237" o:spid="_x0000_s1183" style="position:absolute;left:-13172;top:488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7p+xQAAAN4AAAAPAAAAZHJzL2Rvd25yZXYueG1sRE9La8JA&#10;EL4X/A/LCN7qplpUoqsUi5hDL/UBHofsmMRmZ5fsamJ/fbcgeJuP7zmLVWdqcaPGV5YVvA0TEMS5&#10;1RUXCg77zesMhA/IGmvLpOBOHlbL3ssCU21b/qbbLhQihrBPUUEZgkul9HlJBv3QOuLInW1jMETY&#10;FFI32MZwU8tRkkykwYpjQ4mO1iXlP7urUXD6ZJdtWpmff9fu65LN6u31cFRq0O8+5iACdeEpfrgz&#10;Hee/j8ZT+H8n3iCXfwAAAP//AwBQSwECLQAUAAYACAAAACEA2+H2y+4AAACFAQAAEwAAAAAAAAAA&#10;AAAAAAAAAAAAW0NvbnRlbnRfVHlwZXNdLnhtbFBLAQItABQABgAIAAAAIQBa9CxbvwAAABUBAAAL&#10;AAAAAAAAAAAAAAAAAB8BAABfcmVscy8ucmVsc1BLAQItABQABgAIAAAAIQAqK7p+xQAAAN4AAAAP&#10;AAAAAAAAAAAAAAAAAAcCAABkcnMvZG93bnJldi54bWxQSwUGAAAAAAMAAwC3AAAA+QIAAAAA&#10;" filled="f" stroked="f">
                  <v:textbox inset="0,0,0,0">
                    <w:txbxContent>
                      <w:p w14:paraId="754A4ADC" w14:textId="77777777" w:rsidR="00B32EF2" w:rsidRDefault="00000000">
                        <w:r>
                          <w:rPr>
                            <w:rFonts w:ascii="Arial" w:eastAsia="Arial" w:hAnsi="Arial" w:cs="Arial"/>
                            <w:sz w:val="18"/>
                          </w:rPr>
                          <w:t xml:space="preserve">primo grado ovvero, se il giudizio è pendente nei gradi successivi, alla corte di </w:t>
                        </w:r>
                      </w:p>
                    </w:txbxContent>
                  </v:textbox>
                </v:rect>
                <v:rect id="Rectangle 14238" o:spid="_x0000_s1184" style="position:absolute;left:15244;top:47633;width:246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C4MxwAAAN4AAAAPAAAAZHJzL2Rvd25yZXYueG1sRI9Ba8JA&#10;EIXvQv/DMoXedFMVkdRVikXMoZeqhR6H7Jikzc4u2dWk/fXOoeBthvfmvW9Wm8G16kpdbDwbeJ5k&#10;oIhLbxuuDJyOu/ESVEzIFlvPZOCXImzWD6MV5tb3/EHXQ6qUhHDM0UCdUsi1jmVNDuPEB2LRzr5z&#10;mGTtKm077CXctXqaZQvtsGFpqDHQtqby53BxBr7eOBS7Xpfnv214/y6W7f5y+jTm6XF4fQGVaEh3&#10;8/91YQV/Pp0Jr7wjM+j1DQAA//8DAFBLAQItABQABgAIAAAAIQDb4fbL7gAAAIUBAAATAAAAAAAA&#10;AAAAAAAAAAAAAABbQ29udGVudF9UeXBlc10ueG1sUEsBAi0AFAAGAAgAAAAhAFr0LFu/AAAAFQEA&#10;AAsAAAAAAAAAAAAAAAAAHwEAAF9yZWxzLy5yZWxzUEsBAi0AFAAGAAgAAAAhAFu0LgzHAAAA3gAA&#10;AA8AAAAAAAAAAAAAAAAABwIAAGRycy9kb3ducmV2LnhtbFBLBQYAAAAAAwADALcAAAD7AgAAAAA=&#10;" filled="f" stroked="f">
                  <v:textbox inset="0,0,0,0">
                    <w:txbxContent>
                      <w:p w14:paraId="6FF018F5" w14:textId="77777777" w:rsidR="00B32EF2" w:rsidRDefault="00000000">
                        <w:r>
                          <w:rPr>
                            <w:rFonts w:ascii="Arial" w:eastAsia="Arial" w:hAnsi="Arial" w:cs="Arial"/>
                            <w:sz w:val="18"/>
                          </w:rPr>
                          <w:t>giustizia tributaria di secondo grado.</w:t>
                        </w:r>
                      </w:p>
                    </w:txbxContent>
                  </v:textbox>
                </v:rect>
                <v:rect id="Rectangle 14239" o:spid="_x0000_s1185" style="position:absolute;left:14573;top:40232;width:88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uXxQAAAN4AAAAPAAAAZHJzL2Rvd25yZXYueG1sRE9Na8JA&#10;EL0L/Q/LFLzpRi1io6uIIs3BS62FHofsmESzs0t2NWl/vVsQvM3jfc5i1Zla3KjxlWUFo2ECgji3&#10;uuJCwfFrN5iB8AFZY22ZFPySh9XypbfAVNuWP+l2CIWIIexTVFCG4FIpfV6SQT+0jjhyJ9sYDBE2&#10;hdQNtjHc1HKcJFNpsOLYUKKjTUn55XA1Cn627LJdK/PT38btz9ms/rgev5Xqv3brOYhAXXiKH+5M&#10;x/lv48k7/L8Tb5DLOwAAAP//AwBQSwECLQAUAAYACAAAACEA2+H2y+4AAACFAQAAEwAAAAAAAAAA&#10;AAAAAAAAAAAAW0NvbnRlbnRfVHlwZXNdLnhtbFBLAQItABQABgAIAAAAIQBa9CxbvwAAABUBAAAL&#10;AAAAAAAAAAAAAAAAAB8BAABfcmVscy8ucmVsc1BLAQItABQABgAIAAAAIQA0+IuXxQAAAN4AAAAP&#10;AAAAAAAAAAAAAAAAAAcCAABkcnMvZG93bnJldi54bWxQSwUGAAAAAAMAAwC3AAAA+QIAAAAA&#10;" filled="f" stroked="f">
                  <v:textbox inset="0,0,0,0">
                    <w:txbxContent>
                      <w:p w14:paraId="6994C111" w14:textId="77777777" w:rsidR="00B32EF2" w:rsidRDefault="00000000">
                        <w:r>
                          <w:rPr>
                            <w:rFonts w:ascii="Arial" w:eastAsia="Arial" w:hAnsi="Arial" w:cs="Arial"/>
                            <w:b/>
                            <w:sz w:val="18"/>
                          </w:rPr>
                          <w:t>Articolo 128</w:t>
                        </w:r>
                      </w:p>
                    </w:txbxContent>
                  </v:textbox>
                </v:rect>
                <v:rect id="Rectangle 199890" o:spid="_x0000_s1186" style="position:absolute;left:-2573;top:38999;width:193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J47xAAAAN8AAAAPAAAAZHJzL2Rvd25yZXYueG1sRE89T8Mw&#10;EN2R+h+sQ+pGHRiqJNStqlYVGVgoRWI8xdckND5bsdsEfj03IDE+ve/VZnK9utEQO88GHhcZKOLa&#10;244bA6f3w0MOKiZki71nMvBNETbr2d0KS+tHfqPbMTVKQjiWaKBNKZRax7olh3HhA7FwZz84TAKH&#10;RtsBRwl3vX7KsqV22LE0tBho11J9OV6dgc89h+ow6vr8swuvX1Xev1xPH8bM76ftM6hEU/oX/7kr&#10;K/OLIi/kgfwRAHr9CwAA//8DAFBLAQItABQABgAIAAAAIQDb4fbL7gAAAIUBAAATAAAAAAAAAAAA&#10;AAAAAAAAAABbQ29udGVudF9UeXBlc10ueG1sUEsBAi0AFAAGAAgAAAAhAFr0LFu/AAAAFQEAAAsA&#10;AAAAAAAAAAAAAAAAHwEAAF9yZWxzLy5yZWxzUEsBAi0AFAAGAAgAAAAhALQ4njvEAAAA3wAAAA8A&#10;AAAAAAAAAAAAAAAABwIAAGRycy9kb3ducmV2LnhtbFBLBQYAAAAAAwADALcAAAD4AgAAAAA=&#10;" filled="f" stroked="f">
                  <v:textbox inset="0,0,0,0">
                    <w:txbxContent>
                      <w:p w14:paraId="72D8022E" w14:textId="77777777" w:rsidR="00B32EF2" w:rsidRDefault="00000000">
                        <w:r>
                          <w:rPr>
                            <w:rFonts w:ascii="Arial" w:eastAsia="Arial" w:hAnsi="Arial" w:cs="Arial"/>
                            <w:i/>
                            <w:sz w:val="18"/>
                          </w:rPr>
                          <w:t>546/92)</w:t>
                        </w:r>
                      </w:p>
                    </w:txbxContent>
                  </v:textbox>
                </v:rect>
                <v:rect id="Rectangle 199891" o:spid="_x0000_s1187" style="position:absolute;left:11651;top:38999;width:193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ugxAAAAN8AAAAPAAAAZHJzL2Rvd25yZXYueG1sRE/Pa8Iw&#10;FL4P/B/CE7zNVA+jrUYRRdaDlzkHOz6aZ1ttXkITbfWvXwaDHT++38v1YFpxp843lhXMpgkI4tLq&#10;hisFp8/9awrCB2SNrWVS8CAP69XoZYm5tj1/0P0YKhFD2OeooA7B5VL6siaDfmodceTOtjMYIuwq&#10;qTvsY7hp5TxJ3qTBhmNDjY62NZXX480o+N6xK/a9LM/PrTtcirR9v52+lJqMh80CRKAh/Iv/3IWO&#10;87MszWbw+ycCkKsfAAAA//8DAFBLAQItABQABgAIAAAAIQDb4fbL7gAAAIUBAAATAAAAAAAAAAAA&#10;AAAAAAAAAABbQ29udGVudF9UeXBlc10ueG1sUEsBAi0AFAAGAAgAAAAhAFr0LFu/AAAAFQEAAAsA&#10;AAAAAAAAAAAAAAAAHwEAAF9yZWxzLy5yZWxzUEsBAi0AFAAGAAgAAAAhANt0O6DEAAAA3wAAAA8A&#10;AAAAAAAAAAAAAAAABwIAAGRycy9kb3ducmV2LnhtbFBLBQYAAAAAAwADALcAAAD4AgAAAAA=&#10;" filled="f" stroked="f">
                  <v:textbox inset="0,0,0,0">
                    <w:txbxContent>
                      <w:p w14:paraId="05334CC4" w14:textId="77777777" w:rsidR="00B32EF2" w:rsidRDefault="00000000">
                        <w:r>
                          <w:rPr>
                            <w:rFonts w:ascii="Arial" w:eastAsia="Arial" w:hAnsi="Arial" w:cs="Arial"/>
                            <w:i/>
                            <w:sz w:val="18"/>
                          </w:rPr>
                          <w:t xml:space="preserve">articolo 70 D.lgs. n. </w:t>
                        </w:r>
                      </w:p>
                    </w:txbxContent>
                  </v:textbox>
                </v:rect>
                <v:rect id="Rectangle 199889" o:spid="_x0000_s1188" style="position:absolute;left:22215;top:38999;width:193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6F7xAAAAN8AAAAPAAAAZHJzL2Rvd25yZXYueG1sRE/LasJA&#10;FN0X+g/DLXRXJ3VRkugoRZFm4aY+wOUlc02imTtDZjSpX98RBJeH857OB9OKK3W+sazgc5SAIC6t&#10;brhSsNuuPlIQPiBrbC2Tgj/yMJ+9vkwx17bnX7puQiViCPscFdQhuFxKX9Zk0I+sI47c0XYGQ4Rd&#10;JXWHfQw3rRwnyZc02HBsqNHRoqbyvLkYBYclu2LVy/J4W7j1qUjbn8tur9T72/A9ARFoCE/xw13o&#10;OD/L0jSD+58IQM7+AQAA//8DAFBLAQItABQABgAIAAAAIQDb4fbL7gAAAIUBAAATAAAAAAAAAAAA&#10;AAAAAAAAAABbQ29udGVudF9UeXBlc10ueG1sUEsBAi0AFAAGAAgAAAAhAFr0LFu/AAAAFQEAAAsA&#10;AAAAAAAAAAAAAAAAHwEAAF9yZWxzLy5yZWxzUEsBAi0AFAAGAAgAAAAhAKDboXvEAAAA3wAAAA8A&#10;AAAAAAAAAAAAAAAABwIAAGRycy9kb3ducmV2LnhtbFBLBQYAAAAAAwADALcAAAD4AgAAAAA=&#10;" filled="f" stroked="f">
                  <v:textbox inset="0,0,0,0">
                    <w:txbxContent>
                      <w:p w14:paraId="6041BD99" w14:textId="77777777" w:rsidR="00B32EF2" w:rsidRDefault="00000000">
                        <w:r>
                          <w:rPr>
                            <w:rFonts w:ascii="Arial" w:eastAsia="Arial" w:hAnsi="Arial" w:cs="Arial"/>
                            <w:i/>
                            <w:sz w:val="18"/>
                          </w:rPr>
                          <w:t>(</w:t>
                        </w:r>
                      </w:p>
                    </w:txbxContent>
                  </v:textbox>
                </v:rect>
                <v:rect id="Rectangle 14241" o:spid="_x0000_s1189" style="position:absolute;left:8130;top:37765;width:189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PTsxAAAAN4AAAAPAAAAZHJzL2Rvd25yZXYueG1sRE9Li8Iw&#10;EL4v+B/CCHtbU0UWqUYRRbYHL+sDPA7N2FabSWiirfvrN4LgbT6+58wWnanFnRpfWVYwHCQgiHOr&#10;Ky4UHPabrwkIH5A11pZJwYM8LOa9jxmm2rb8S/ddKEQMYZ+igjIEl0rp85IM+oF1xJE728ZgiLAp&#10;pG6wjeGmlqMk+ZYGK44NJTpalZRfdzej4LRml21amZ//Vm57ySb1z+1wVOqz3y2nIAJ14S1+uTMd&#10;549H4yE834k3yPk/AAAA//8DAFBLAQItABQABgAIAAAAIQDb4fbL7gAAAIUBAAATAAAAAAAAAAAA&#10;AAAAAAAAAABbQ29udGVudF9UeXBlc10ueG1sUEsBAi0AFAAGAAgAAAAhAFr0LFu/AAAAFQEAAAsA&#10;AAAAAAAAAAAAAAAAHwEAAF9yZWxzLy5yZWxzUEsBAi0AFAAGAAgAAAAhAJKI9OzEAAAA3gAAAA8A&#10;AAAAAAAAAAAAAAAABwIAAGRycy9kb3ducmV2LnhtbFBLBQYAAAAAAwADALcAAAD4AgAAAAA=&#10;" filled="f" stroked="f">
                  <v:textbox inset="0,0,0,0">
                    <w:txbxContent>
                      <w:p w14:paraId="673400BD" w14:textId="77777777" w:rsidR="00B32EF2" w:rsidRDefault="00000000">
                        <w:r>
                          <w:rPr>
                            <w:rFonts w:ascii="Arial" w:eastAsia="Arial" w:hAnsi="Arial" w:cs="Arial"/>
                            <w:b/>
                            <w:sz w:val="18"/>
                          </w:rPr>
                          <w:t xml:space="preserve">Giudizio di ottemperanza </w:t>
                        </w:r>
                      </w:p>
                    </w:txbxContent>
                  </v:textbox>
                </v:rect>
                <v:rect id="Rectangle 199887" o:spid="_x0000_s1190" style="position:absolute;left:26350;top:36521;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CSxAAAAN8AAAAPAAAAZHJzL2Rvd25yZXYueG1sRE/LasJA&#10;FN0X+g/DFdzViS40po5SLGIWbnwUurxkrknazJ0hM5ro1zuFgsvDeS9WvWnElVpfW1YwHiUgiAur&#10;ay4VnI6btxSED8gaG8uk4EYeVsvXlwVm2na8p+shlCKGsM9QQRWCy6T0RUUG/cg64sidbWswRNiW&#10;UrfYxXDTyEmSTKXBmmNDhY7WFRW/h4tR8P3JLt90sjjf1273k6fN9nL6Umo46D/eQQTqw1P87851&#10;nD+fp+kM/v5EAHL5AAAA//8DAFBLAQItABQABgAIAAAAIQDb4fbL7gAAAIUBAAATAAAAAAAAAAAA&#10;AAAAAAAAAABbQ29udGVudF9UeXBlc10ueG1sUEsBAi0AFAAGAAgAAAAhAFr0LFu/AAAAFQEAAAsA&#10;AAAAAAAAAAAAAAAAHwEAAF9yZWxzLy5yZWxzUEsBAi0AFAAGAAgAAAAhAL4IkJLEAAAA3wAAAA8A&#10;AAAAAAAAAAAAAAAABwIAAGRycy9kb3ducmV2LnhtbFBLBQYAAAAAAwADALcAAAD4AgAAAAA=&#10;" filled="f" stroked="f">
                  <v:textbox inset="0,0,0,0">
                    <w:txbxContent>
                      <w:p w14:paraId="04A9F70F" w14:textId="77777777" w:rsidR="00B32EF2" w:rsidRDefault="00000000">
                        <w:r>
                          <w:rPr>
                            <w:rFonts w:ascii="Arial" w:eastAsia="Arial" w:hAnsi="Arial" w:cs="Arial"/>
                            <w:sz w:val="18"/>
                          </w:rPr>
                          <w:t>1</w:t>
                        </w:r>
                      </w:p>
                    </w:txbxContent>
                  </v:textbox>
                </v:rect>
                <v:rect id="Rectangle 199888" o:spid="_x0000_s1191" style="position:absolute;left:-12796;top:36521;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wTgxAAAAN8AAAAPAAAAZHJzL2Rvd25yZXYueG1sRE87a8Mw&#10;EN4L/Q/iCt0auRmK40YJJSXEQ5e8IONhXWy31klYSuz21/eGQMaP7z1fjq5TV+pj69nA6yQDRVx5&#10;23Jt4LBfv+SgYkK22HkmA78UYbl4fJhjYf3AW7ruUq0khGOBBpqUQqF1rBpyGCc+EAt39r3DJLCv&#10;te1xkHDX6WmWvWmHLUtDg4FWDVU/u4szcPrkUK4HXZ3/VuHru8y7zeVwNOb5afx4B5VoTHfxzV1a&#10;mT+b5bkMlj8CQC/+AQAA//8DAFBLAQItABQABgAIAAAAIQDb4fbL7gAAAIUBAAATAAAAAAAAAAAA&#10;AAAAAAAAAABbQ29udGVudF9UeXBlc10ueG1sUEsBAi0AFAAGAAgAAAAhAFr0LFu/AAAAFQEAAAsA&#10;AAAAAAAAAAAAAAAAHwEAAF9yZWxzLy5yZWxzUEsBAi0AFAAGAAgAAAAhAM+XBODEAAAA3wAAAA8A&#10;AAAAAAAAAAAAAAAABwIAAGRycy9kb3ducmV2LnhtbFBLBQYAAAAAAwADALcAAAD4AgAAAAA=&#10;" filled="f" stroked="f">
                  <v:textbox inset="0,0,0,0">
                    <w:txbxContent>
                      <w:p w14:paraId="1641044C" w14:textId="77777777" w:rsidR="00B32EF2" w:rsidRDefault="00000000">
                        <w:r>
                          <w:rPr>
                            <w:rFonts w:ascii="Arial" w:eastAsia="Arial" w:hAnsi="Arial" w:cs="Arial"/>
                            <w:sz w:val="18"/>
                          </w:rPr>
                          <w:t>. La parte che vi ha interesse può richiedere l’ottemperanza agli obblighi deri</w:t>
                        </w:r>
                      </w:p>
                    </w:txbxContent>
                  </v:textbox>
                </v:rect>
                <v:rect id="Rectangle 14243" o:spid="_x0000_s1192" style="position:absolute;left:192;top:3652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s8AxAAAAN4AAAAPAAAAZHJzL2Rvd25yZXYueG1sRE9Li8Iw&#10;EL4L/ocwgjdNfbBI1yiiiD3sZV0X9jg0Y1ttJqGJtvrrNwsL3ubje85y3Zla3KnxlWUFk3ECgji3&#10;uuJCwelrP1qA8AFZY22ZFDzIw3rV7y0x1bblT7ofQyFiCPsUFZQhuFRKn5dk0I+tI47c2TYGQ4RN&#10;IXWDbQw3tZwmyZs0WHFsKNHRtqT8erwZBT87dtm+lfn5uXUfl2xRH26nb6WGg27zDiJQF17if3em&#10;4/z5dD6Dv3fiDXL1CwAA//8DAFBLAQItABQABgAIAAAAIQDb4fbL7gAAAIUBAAATAAAAAAAAAAAA&#10;AAAAAAAAAABbQ29udGVudF9UeXBlc10ueG1sUEsBAi0AFAAGAAgAAAAhAFr0LFu/AAAAFQEAAAsA&#10;AAAAAAAAAAAAAAAAHwEAAF9yZWxzLy5yZWxzUEsBAi0AFAAGAAgAAAAhAA0WzwDEAAAA3gAAAA8A&#10;AAAAAAAAAAAAAAAABwIAAGRycy9kb3ducmV2LnhtbFBLBQYAAAAAAwADALcAAAD4AgAAAAA=&#10;" filled="f" stroked="f">
                  <v:textbox inset="0,0,0,0">
                    <w:txbxContent>
                      <w:p w14:paraId="7CE129A6" w14:textId="77777777" w:rsidR="00B32EF2" w:rsidRDefault="00000000">
                        <w:r>
                          <w:rPr>
                            <w:rFonts w:ascii="Arial" w:eastAsia="Arial" w:hAnsi="Arial" w:cs="Arial"/>
                            <w:sz w:val="18"/>
                          </w:rPr>
                          <w:t>-</w:t>
                        </w:r>
                      </w:p>
                    </w:txbxContent>
                  </v:textbox>
                </v:rect>
                <v:rect id="Rectangle 14244" o:spid="_x0000_s1193" style="position:absolute;left:-13171;top:3527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d0xAAAAN4AAAAPAAAAZHJzL2Rvd25yZXYueG1sRE9Na8JA&#10;EL0X/A/LFLzVTSUUSV1FFDEHL7URPA7ZMUnNzi7Z1UR/vVso9DaP9znz5WBacaPON5YVvE8SEMSl&#10;1Q1XCorv7dsMhA/IGlvLpOBOHpaL0cscM217/qLbIVQihrDPUEEdgsuk9GVNBv3EOuLInW1nMETY&#10;VVJ32Mdw08ppknxIgw3HhhodrWsqL4erUXDasMu3vSzPj7Xb/+SzdnctjkqNX4fVJ4hAQ/gX/7lz&#10;Heen0zSF33fiDXLxBAAA//8DAFBLAQItABQABgAIAAAAIQDb4fbL7gAAAIUBAAATAAAAAAAAAAAA&#10;AAAAAAAAAABbQ29udGVudF9UeXBlc10ueG1sUEsBAi0AFAAGAAgAAAAhAFr0LFu/AAAAFQEAAAsA&#10;AAAAAAAAAAAAAAAAHwEAAF9yZWxzLy5yZWxzUEsBAi0AFAAGAAgAAAAhAIL/V3TEAAAA3gAAAA8A&#10;AAAAAAAAAAAAAAAABwIAAGRycy9kb3ducmV2LnhtbFBLBQYAAAAAAwADALcAAAD4AgAAAAA=&#10;" filled="f" stroked="f">
                  <v:textbox inset="0,0,0,0">
                    <w:txbxContent>
                      <w:p w14:paraId="775330D5" w14:textId="77777777" w:rsidR="00B32EF2" w:rsidRDefault="00000000">
                        <w:r>
                          <w:rPr>
                            <w:rFonts w:ascii="Arial" w:eastAsia="Arial" w:hAnsi="Arial" w:cs="Arial"/>
                            <w:sz w:val="18"/>
                          </w:rPr>
                          <w:t xml:space="preserve">vanti dalla sentenza della corte di giustizia tributaria di primo e secondo grado </w:t>
                        </w:r>
                      </w:p>
                    </w:txbxContent>
                  </v:textbox>
                </v:rect>
                <v:rect id="Rectangle 14245" o:spid="_x0000_s1194" style="position:absolute;left:-13171;top:3403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LvxAAAAN4AAAAPAAAAZHJzL2Rvd25yZXYueG1sRE9Ni8Iw&#10;EL0v+B/CCN7WVHEX6RpFFLEHL7ou7HFoxrbaTEITbfXXb4QFb/N4nzNbdKYWN2p8ZVnBaJiAIM6t&#10;rrhQcPzevE9B+ICssbZMCu7kYTHvvc0w1bblPd0OoRAxhH2KCsoQXCqlz0sy6IfWEUfuZBuDIcKm&#10;kLrBNoabWo6T5FMarDg2lOhoVVJ+OVyNgt81u2zTyvz0WLndOZvW2+vxR6lBv1t+gQjUhZf4353p&#10;OH8ynnzA8514g5z/AQAA//8DAFBLAQItABQABgAIAAAAIQDb4fbL7gAAAIUBAAATAAAAAAAAAAAA&#10;AAAAAAAAAABbQ29udGVudF9UeXBlc10ueG1sUEsBAi0AFAAGAAgAAAAhAFr0LFu/AAAAFQEAAAsA&#10;AAAAAAAAAAAAAAAAHwEAAF9yZWxzLy5yZWxzUEsBAi0AFAAGAAgAAAAhAO2z8u/EAAAA3gAAAA8A&#10;AAAAAAAAAAAAAAAABwIAAGRycy9kb3ducmV2LnhtbFBLBQYAAAAAAwADALcAAAD4AgAAAAA=&#10;" filled="f" stroked="f">
                  <v:textbox inset="0,0,0,0">
                    <w:txbxContent>
                      <w:p w14:paraId="10E34BC6" w14:textId="77777777" w:rsidR="00B32EF2" w:rsidRDefault="00000000">
                        <w:r>
                          <w:rPr>
                            <w:rFonts w:ascii="Arial" w:eastAsia="Arial" w:hAnsi="Arial" w:cs="Arial"/>
                            <w:sz w:val="18"/>
                          </w:rPr>
                          <w:t xml:space="preserve">mediante ricorso da depositare in doppio originale alla segreteria della corte </w:t>
                        </w:r>
                      </w:p>
                    </w:txbxContent>
                  </v:textbox>
                </v:rect>
                <v:rect id="Rectangle 14246" o:spid="_x0000_s1195" style="position:absolute;left:-12186;top:32786;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WyYxAAAAN4AAAAPAAAAZHJzL2Rvd25yZXYueG1sRE9Li8Iw&#10;EL4v+B/CCN7WVBGRahRRxB72sj7A49CMbbWZhCbaur9+s7DgbT6+5yxWnanFkxpfWVYwGiYgiHOr&#10;Ky4UnI67zxkIH5A11pZJwYs8rJa9jwWm2rb8Tc9DKEQMYZ+igjIEl0rp85IM+qF1xJG72sZgiLAp&#10;pG6wjeGmluMkmUqDFceGEh1tSsrvh4dRcNmyy3atzK8/G/d1y2b1/nE6KzXod+s5iEBdeIv/3ZmO&#10;8yfjyRT+3ok3yOUvAAAA//8DAFBLAQItABQABgAIAAAAIQDb4fbL7gAAAIUBAAATAAAAAAAAAAAA&#10;AAAAAAAAAABbQ29udGVudF9UeXBlc10ueG1sUEsBAi0AFAAGAAgAAAAhAFr0LFu/AAAAFQEAAAsA&#10;AAAAAAAAAAAAAAAAHwEAAF9yZWxzLy5yZWxzUEsBAi0AFAAGAAgAAAAhAB1hbJjEAAAA3gAAAA8A&#10;AAAAAAAAAAAAAAAABwIAAGRycy9kb3ducmV2LnhtbFBLBQYAAAAAAwADALcAAAD4AgAAAAA=&#10;" filled="f" stroked="f">
                  <v:textbox inset="0,0,0,0">
                    <w:txbxContent>
                      <w:p w14:paraId="47DA7FB0" w14:textId="77777777" w:rsidR="00B32EF2" w:rsidRDefault="00000000">
                        <w:r>
                          <w:rPr>
                            <w:rFonts w:ascii="Arial" w:eastAsia="Arial" w:hAnsi="Arial" w:cs="Arial"/>
                            <w:sz w:val="18"/>
                          </w:rPr>
                          <w:t>di giustizia tributaria di primo grado, qualora la sentenza sia stata da essa pro</w:t>
                        </w:r>
                      </w:p>
                    </w:txbxContent>
                  </v:textbox>
                </v:rect>
                <v:rect id="Rectangle 14247" o:spid="_x0000_s1196" style="position:absolute;left:192;top:3278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ckDxAAAAN4AAAAPAAAAZHJzL2Rvd25yZXYueG1sRE9Ni8Iw&#10;EL0v+B/CCN7WVJFd6RpFFLEHL7ou7HFoxrbaTEITbfXXb4QFb/N4nzNbdKYWN2p8ZVnBaJiAIM6t&#10;rrhQcPzevE9B+ICssbZMCu7kYTHvvc0w1bblPd0OoRAxhH2KCsoQXCqlz0sy6IfWEUfuZBuDIcKm&#10;kLrBNoabWo6T5EMarDg2lOhoVVJ+OVyNgt81u2zTyvz0WLndOZvW2+vxR6lBv1t+gQjUhZf4353p&#10;OH8ynnzC8514g5z/AQAA//8DAFBLAQItABQABgAIAAAAIQDb4fbL7gAAAIUBAAATAAAAAAAAAAAA&#10;AAAAAAAAAABbQ29udGVudF9UeXBlc10ueG1sUEsBAi0AFAAGAAgAAAAhAFr0LFu/AAAAFQEAAAsA&#10;AAAAAAAAAAAAAAAAHwEAAF9yZWxzLy5yZWxzUEsBAi0AFAAGAAgAAAAhAHItyQPEAAAA3gAAAA8A&#10;AAAAAAAAAAAAAAAABwIAAGRycy9kb3ducmV2LnhtbFBLBQYAAAAAAwADALcAAAD4AgAAAAA=&#10;" filled="f" stroked="f">
                  <v:textbox inset="0,0,0,0">
                    <w:txbxContent>
                      <w:p w14:paraId="46FA46E9" w14:textId="77777777" w:rsidR="00B32EF2" w:rsidRDefault="00000000">
                        <w:r>
                          <w:rPr>
                            <w:rFonts w:ascii="Arial" w:eastAsia="Arial" w:hAnsi="Arial" w:cs="Arial"/>
                            <w:sz w:val="18"/>
                          </w:rPr>
                          <w:t>-</w:t>
                        </w:r>
                      </w:p>
                    </w:txbxContent>
                  </v:textbox>
                </v:rect>
                <v:rect id="Rectangle 14248" o:spid="_x0000_s1197" style="position:absolute;left:-13171;top:3154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1xxwAAAN4AAAAPAAAAZHJzL2Rvd25yZXYueG1sRI9Pa8JA&#10;EMXvBb/DMkJvdaNIkdRVxCLNoRf/QY9DdkzSZmeX7GrSfnrnUPA2w3vz3m+W68G16kZdbDwbmE4y&#10;UMSltw1XBk7H3csCVEzIFlvPZOCXIqxXo6cl5tb3vKfbIVVKQjjmaKBOKeRax7Imh3HiA7FoF985&#10;TLJ2lbYd9hLuWj3LslftsGFpqDHQtqby53B1Br7eORS7XpeXv234/C4W7cf1dDbmeTxs3kAlGtLD&#10;/H9dWMGfz+bCK+/IDHp1BwAA//8DAFBLAQItABQABgAIAAAAIQDb4fbL7gAAAIUBAAATAAAAAAAA&#10;AAAAAAAAAAAAAABbQ29udGVudF9UeXBlc10ueG1sUEsBAi0AFAAGAAgAAAAhAFr0LFu/AAAAFQEA&#10;AAsAAAAAAAAAAAAAAAAAHwEAAF9yZWxzLy5yZWxzUEsBAi0AFAAGAAgAAAAhAAOyXXHHAAAA3gAA&#10;AA8AAAAAAAAAAAAAAAAABwIAAGRycy9kb3ducmV2LnhtbFBLBQYAAAAAAwADALcAAAD7AgAAAAA=&#10;" filled="f" stroked="f">
                  <v:textbox inset="0,0,0,0">
                    <w:txbxContent>
                      <w:p w14:paraId="4F7271AE" w14:textId="77777777" w:rsidR="00B32EF2" w:rsidRDefault="00000000">
                        <w:r>
                          <w:rPr>
                            <w:rFonts w:ascii="Arial" w:eastAsia="Arial" w:hAnsi="Arial" w:cs="Arial"/>
                            <w:sz w:val="18"/>
                          </w:rPr>
                          <w:t xml:space="preserve">nunciata, e in ogni altro caso alla segreteria della corte di giustizia tributaria di </w:t>
                        </w:r>
                      </w:p>
                    </w:txbxContent>
                  </v:textbox>
                </v:rect>
                <v:rect id="Rectangle 14249" o:spid="_x0000_s1198" style="position:absolute;left:29312;top:30297;width:106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qxAAAAN4AAAAPAAAAZHJzL2Rvd25yZXYueG1sRE9Ni8Iw&#10;EL0v+B/CCN40VWRxu0YRRezBy6oLexyasa02k9BEW/31mwVhb/N4nzNfdqYWd2p8ZVnBeJSAIM6t&#10;rrhQcDpuhzMQPiBrrC2Tggd5WC56b3NMtW35i+6HUIgYwj5FBWUILpXS5yUZ9CPriCN3to3BEGFT&#10;SN1gG8NNLSdJ8i4NVhwbSnS0Lim/Hm5Gwc+GXbZtZX5+rt3+ks3q3e30rdSg360+QQTqwr/45c50&#10;nD+dTD/g7514g1z8AgAA//8DAFBLAQItABQABgAIAAAAIQDb4fbL7gAAAIUBAAATAAAAAAAAAAAA&#10;AAAAAAAAAABbQ29udGVudF9UeXBlc10ueG1sUEsBAi0AFAAGAAgAAAAhAFr0LFu/AAAAFQEAAAsA&#10;AAAAAAAAAAAAAAAAHwEAAF9yZWxzLy5yZWxzUEsBAi0AFAAGAAgAAAAhAGz++OrEAAAA3gAAAA8A&#10;AAAAAAAAAAAAAAAABwIAAGRycy9kb3ducmV2LnhtbFBLBQYAAAAAAwADALcAAAD4AgAAAAA=&#10;" filled="f" stroked="f">
                  <v:textbox inset="0,0,0,0">
                    <w:txbxContent>
                      <w:p w14:paraId="6DD948AF" w14:textId="77777777" w:rsidR="00B32EF2" w:rsidRDefault="00000000">
                        <w:r>
                          <w:rPr>
                            <w:rFonts w:ascii="Arial" w:eastAsia="Arial" w:hAnsi="Arial" w:cs="Arial"/>
                            <w:sz w:val="18"/>
                          </w:rPr>
                          <w:t>secondo grado.</w:t>
                        </w:r>
                      </w:p>
                    </w:txbxContent>
                  </v:textbox>
                </v:rect>
                <v:rect id="Rectangle 199883" o:spid="_x0000_s1199" style="position:absolute;left:-13817;top:2905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5aRxAAAAN8AAAAPAAAAZHJzL2Rvd25yZXYueG1sRE/LasJA&#10;FN0X+g/DFdzViQoSU0cpFjELNz4KXV4y1yRt5s6QGU30651CweXhvBer3jTiSq2vLSsYjxIQxIXV&#10;NZcKTsfNWwrCB2SNjWVScCMPq+XrywIzbTve0/UQShFD2GeooArBZVL6oiKDfmQdceTOtjUYImxL&#10;qVvsYrhp5CRJZtJgzbGhQkfriorfw8Uo+P5kl286WZzva7f7ydNmezl9KTUc9B/vIAL14Sn+d+c6&#10;zp/P03QKf38iALl8AAAA//8DAFBLAQItABQABgAIAAAAIQDb4fbL7gAAAIUBAAATAAAAAAAAAAAA&#10;AAAAAAAAAABbQ29udGVudF9UeXBlc10ueG1sUEsBAi0AFAAGAAgAAAAhAFr0LFu/AAAAFQEAAAsA&#10;AAAAAAAAAAAAAAAAHwEAAF9yZWxzLy5yZWxzUEsBAi0AFAAGAAgAAAAhAMEzlpHEAAAA3wAAAA8A&#10;AAAAAAAAAAAAAAAABwIAAGRycy9kb3ducmV2LnhtbFBLBQYAAAAAAwADALcAAAD4AgAAAAA=&#10;" filled="f" stroked="f">
                  <v:textbox inset="0,0,0,0">
                    <w:txbxContent>
                      <w:p w14:paraId="2A577B6D" w14:textId="77777777" w:rsidR="00B32EF2" w:rsidRDefault="00000000">
                        <w:r>
                          <w:rPr>
                            <w:rFonts w:ascii="Arial" w:eastAsia="Arial" w:hAnsi="Arial" w:cs="Arial"/>
                            <w:sz w:val="18"/>
                          </w:rPr>
                          <w:t xml:space="preserve">. Il ricorso è proponibile solo dopo la scadenza del termine entro il quale è </w:t>
                        </w:r>
                      </w:p>
                    </w:txbxContent>
                  </v:textbox>
                </v:rect>
                <v:rect id="Rectangle 199882" o:spid="_x0000_s1200" style="position:absolute;left:26110;top:2905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zMKxAAAAN8AAAAPAAAAZHJzL2Rvd25yZXYueG1sRE/Pa8Iw&#10;FL4P/B/CG3ib6TxI7YwiitjDLroKHh/Ns+1sXkITbd1fbwaDHT++34vVYFpxp843lhW8TxIQxKXV&#10;DVcKiq/dWwrCB2SNrWVS8CAPq+XoZYGZtj0f6H4MlYgh7DNUUIfgMil9WZNBP7GOOHIX2xkMEXaV&#10;1B32Mdy0cpokM2mw4dhQo6NNTeX1eDMKzlt2+a6X5eVn4z6/87Td34qTUuPXYf0BItAQ/sV/7lzH&#10;+fN5mk7h908EIJdPAAAA//8DAFBLAQItABQABgAIAAAAIQDb4fbL7gAAAIUBAAATAAAAAAAAAAAA&#10;AAAAAAAAAABbQ29udGVudF9UeXBlc10ueG1sUEsBAi0AFAAGAAgAAAAhAFr0LFu/AAAAFQEAAAsA&#10;AAAAAAAAAAAAAAAAHwEAAF9yZWxzLy5yZWxzUEsBAi0AFAAGAAgAAAAhAK5/MwrEAAAA3wAAAA8A&#10;AAAAAAAAAAAAAAAABwIAAGRycy9kb3ducmV2LnhtbFBLBQYAAAAAAwADALcAAAD4AgAAAAA=&#10;" filled="f" stroked="f">
                  <v:textbox inset="0,0,0,0">
                    <w:txbxContent>
                      <w:p w14:paraId="5DEC1D03" w14:textId="77777777" w:rsidR="00B32EF2" w:rsidRDefault="00000000">
                        <w:r>
                          <w:rPr>
                            <w:rFonts w:ascii="Arial" w:eastAsia="Arial" w:hAnsi="Arial" w:cs="Arial"/>
                            <w:sz w:val="18"/>
                          </w:rPr>
                          <w:t>2</w:t>
                        </w:r>
                      </w:p>
                    </w:txbxContent>
                  </v:textbox>
                </v:rect>
                <v:rect id="Rectangle 14251" o:spid="_x0000_s1201" style="position:absolute;left:-13174;top:27808;width:5309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WIxxAAAAN4AAAAPAAAAZHJzL2Rvd25yZXYueG1sRE9Li8Iw&#10;EL4v+B/CCN7WVNldpBpFFNkevKwP8Dg0Y1ttJqGJtvrrNwsL3ubje85s0Zla3KnxlWUFo2ECgji3&#10;uuJCwWG/eZ+A8AFZY22ZFDzIw2Lee5thqm3LP3TfhULEEPYpKihDcKmUPi/JoB9aRxy5s20Mhgib&#10;QuoG2xhuajlOki9psOLYUKKjVUn5dXczCk5rdtmmlfn5uXLbSzapv2+Ho1KDfrecggjUhZf4353p&#10;OP9j/DmCv3fiDXL+CwAA//8DAFBLAQItABQABgAIAAAAIQDb4fbL7gAAAIUBAAATAAAAAAAAAAAA&#10;AAAAAAAAAABbQ29udGVudF9UeXBlc10ueG1sUEsBAi0AFAAGAAgAAAAhAFr0LFu/AAAAFQEAAAsA&#10;AAAAAAAAAAAAAAAAHwEAAF9yZWxzLy5yZWxzUEsBAi0AFAAGAAgAAAAhABdRYjHEAAAA3gAAAA8A&#10;AAAAAAAAAAAAAAAABwIAAGRycy9kb3ducmV2LnhtbFBLBQYAAAAAAwADALcAAAD4AgAAAAA=&#10;" filled="f" stroked="f">
                  <v:textbox inset="0,0,0,0">
                    <w:txbxContent>
                      <w:p w14:paraId="1D3B0490" w14:textId="77777777" w:rsidR="00B32EF2" w:rsidRDefault="00000000">
                        <w:r>
                          <w:rPr>
                            <w:rFonts w:ascii="Arial" w:eastAsia="Arial" w:hAnsi="Arial" w:cs="Arial"/>
                            <w:sz w:val="18"/>
                          </w:rPr>
                          <w:t xml:space="preserve">prescritto dalla legge l’adempimento a carico dell’ente impositore, dell’agente </w:t>
                        </w:r>
                      </w:p>
                    </w:txbxContent>
                  </v:textbox>
                </v:rect>
                <v:rect id="Rectangle 14252" o:spid="_x0000_s1202" style="position:absolute;left:-12179;top:26563;width:520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xGxAAAAN4AAAAPAAAAZHJzL2Rvd25yZXYueG1sRE9Na8JA&#10;EL0X/A/LCN7qxtAWia4iijQHL7UKHofsmESzs0t2NdFf3y0UepvH+5z5sjeNuFPra8sKJuMEBHFh&#10;dc2lgsP39nUKwgdkjY1lUvAgD8vF4GWOmbYdf9F9H0oRQ9hnqKAKwWVS+qIig35sHXHkzrY1GCJs&#10;S6lb7GK4aWSaJB/SYM2xoUJH64qK6/5mFJw27PJtJ4vzc+12l3zafN4OR6VGw341AxGoD//iP3eu&#10;4/y39D2F33fiDXLxAwAA//8DAFBLAQItABQABgAIAAAAIQDb4fbL7gAAAIUBAAATAAAAAAAAAAAA&#10;AAAAAAAAAABbQ29udGVudF9UeXBlc10ueG1sUEsBAi0AFAAGAAgAAAAhAFr0LFu/AAAAFQEAAAsA&#10;AAAAAAAAAAAAAAAAHwEAAF9yZWxzLy5yZWxzUEsBAi0AFAAGAAgAAAAhAOeD/EbEAAAA3gAAAA8A&#10;AAAAAAAAAAAAAAAABwIAAGRycy9kb3ducmV2LnhtbFBLBQYAAAAAAwADALcAAAD4AgAAAAA=&#10;" filled="f" stroked="f">
                  <v:textbox inset="0,0,0,0">
                    <w:txbxContent>
                      <w:p w14:paraId="11C5DFC7" w14:textId="77777777" w:rsidR="00B32EF2" w:rsidRDefault="00000000">
                        <w:r>
                          <w:rPr>
                            <w:rFonts w:ascii="Arial" w:eastAsia="Arial" w:hAnsi="Arial" w:cs="Arial"/>
                            <w:sz w:val="18"/>
                          </w:rPr>
                          <w:t>della riscossione o del soggetto iscritto nell’albo di cui all’articolo 53 del decre</w:t>
                        </w:r>
                      </w:p>
                    </w:txbxContent>
                  </v:textbox>
                </v:rect>
                <v:rect id="Rectangle 14253" o:spid="_x0000_s1203" style="position:absolute;left:192;top:2656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1ndxQAAAN4AAAAPAAAAZHJzL2Rvd25yZXYueG1sRE9La8JA&#10;EL4X/A/LCN7qplpFoqsUi5hDL/UBHofsmMRmZ5fsamJ/fbcgeJuP7zmLVWdqcaPGV5YVvA0TEMS5&#10;1RUXCg77zesMhA/IGmvLpOBOHlbL3ssCU21b/qbbLhQihrBPUUEZgkul9HlJBv3QOuLInW1jMETY&#10;FFI32MZwU8tRkkylwYpjQ4mO1iXlP7urUXD6ZJdtWpmff9fu65LN6u31cFRq0O8+5iACdeEpfrgz&#10;Hee/jyZj+H8n3iCXfwAAAP//AwBQSwECLQAUAAYACAAAACEA2+H2y+4AAACFAQAAEwAAAAAAAAAA&#10;AAAAAAAAAAAAW0NvbnRlbnRfVHlwZXNdLnhtbFBLAQItABQABgAIAAAAIQBa9CxbvwAAABUBAAAL&#10;AAAAAAAAAAAAAAAAAB8BAABfcmVscy8ucmVsc1BLAQItABQABgAIAAAAIQCIz1ndxQAAAN4AAAAP&#10;AAAAAAAAAAAAAAAAAAcCAABkcnMvZG93bnJldi54bWxQSwUGAAAAAAMAAwC3AAAA+QIAAAAA&#10;" filled="f" stroked="f">
                  <v:textbox inset="0,0,0,0">
                    <w:txbxContent>
                      <w:p w14:paraId="3579324F" w14:textId="77777777" w:rsidR="00B32EF2" w:rsidRDefault="00000000">
                        <w:r>
                          <w:rPr>
                            <w:rFonts w:ascii="Arial" w:eastAsia="Arial" w:hAnsi="Arial" w:cs="Arial"/>
                            <w:sz w:val="18"/>
                          </w:rPr>
                          <w:t>-</w:t>
                        </w:r>
                      </w:p>
                    </w:txbxContent>
                  </v:textbox>
                </v:rect>
                <v:rect id="Rectangle 14254" o:spid="_x0000_s1204" style="position:absolute;left:-13171;top:2531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sGpxAAAAN4AAAAPAAAAZHJzL2Rvd25yZXYueG1sRE9Ni8Iw&#10;EL0v+B/CCN7WVHEX6RpFFLEHL7ou7HFoxrbaTEITbfXXb4QFb/N4nzNbdKYWN2p8ZVnBaJiAIM6t&#10;rrhQcPzevE9B+ICssbZMCu7kYTHvvc0w1bblPd0OoRAxhH2KCsoQXCqlz0sy6IfWEUfuZBuDIcKm&#10;kLrBNoabWo6T5FMarDg2lOhoVVJ+OVyNgt81u2zTyvz0WLndOZvW2+vxR6lBv1t+gQjUhZf4353p&#10;OH8y/pjA8514g5z/AQAA//8DAFBLAQItABQABgAIAAAAIQDb4fbL7gAAAIUBAAATAAAAAAAAAAAA&#10;AAAAAAAAAABbQ29udGVudF9UeXBlc10ueG1sUEsBAi0AFAAGAAgAAAAhAFr0LFu/AAAAFQEAAAsA&#10;AAAAAAAAAAAAAAAAHwEAAF9yZWxzLy5yZWxzUEsBAi0AFAAGAAgAAAAhAAcmwanEAAAA3gAAAA8A&#10;AAAAAAAAAAAAAAAABwIAAGRycy9kb3ducmV2LnhtbFBLBQYAAAAAAwADALcAAAD4AgAAAAA=&#10;" filled="f" stroked="f">
                  <v:textbox inset="0,0,0,0">
                    <w:txbxContent>
                      <w:p w14:paraId="5CFBE377" w14:textId="77777777" w:rsidR="00B32EF2" w:rsidRDefault="00000000">
                        <w:r>
                          <w:rPr>
                            <w:rFonts w:ascii="Arial" w:eastAsia="Arial" w:hAnsi="Arial" w:cs="Arial"/>
                            <w:sz w:val="18"/>
                          </w:rPr>
                          <w:t xml:space="preserve">to legislativo 15 dicembre 1997, n. 446, degli obblighi derivanti dalla sentenza </w:t>
                        </w:r>
                      </w:p>
                    </w:txbxContent>
                  </v:textbox>
                </v:rect>
                <v:rect id="Rectangle 14255" o:spid="_x0000_s1205" style="position:absolute;left:-13171;top:2407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mQyxAAAAN4AAAAPAAAAZHJzL2Rvd25yZXYueG1sRE9Ni8Iw&#10;EL0L/ocwgjdNFV2kaxRRxB72sq4Lexyasa02k9BEW/31m4UFb/N4n7Ncd6YWd2p8ZVnBZJyAIM6t&#10;rrhQcPrajxYgfEDWWFsmBQ/ysF71e0tMtW35k+7HUIgYwj5FBWUILpXS5yUZ9GPriCN3to3BEGFT&#10;SN1gG8NNLadJ8iYNVhwbSnS0LSm/Hm9Gwc+OXbZvZX5+bt3HJVvUh9vpW6nhoNu8gwjUhZf4353p&#10;OH82nc/h7514g1z9AgAA//8DAFBLAQItABQABgAIAAAAIQDb4fbL7gAAAIUBAAATAAAAAAAAAAAA&#10;AAAAAAAAAABbQ29udGVudF9UeXBlc10ueG1sUEsBAi0AFAAGAAgAAAAhAFr0LFu/AAAAFQEAAAsA&#10;AAAAAAAAAAAAAAAAHwEAAF9yZWxzLy5yZWxzUEsBAi0AFAAGAAgAAAAhAGhqZDLEAAAA3gAAAA8A&#10;AAAAAAAAAAAAAAAABwIAAGRycy9kb3ducmV2LnhtbFBLBQYAAAAAAwADALcAAAD4AgAAAAA=&#10;" filled="f" stroked="f">
                  <v:textbox inset="0,0,0,0">
                    <w:txbxContent>
                      <w:p w14:paraId="59EA026F" w14:textId="77777777" w:rsidR="00B32EF2" w:rsidRDefault="00000000">
                        <w:r>
                          <w:rPr>
                            <w:rFonts w:ascii="Arial" w:eastAsia="Arial" w:hAnsi="Arial" w:cs="Arial"/>
                            <w:sz w:val="18"/>
                          </w:rPr>
                          <w:t xml:space="preserve">o, in mancanza di tale termine, dopo trenta giorni dalla loro messa in mora a </w:t>
                        </w:r>
                      </w:p>
                    </w:txbxContent>
                  </v:textbox>
                </v:rect>
                <v:rect id="Rectangle 14256" o:spid="_x0000_s1206" style="position:absolute;left:-13171;top:2282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PpFxAAAAN4AAAAPAAAAZHJzL2Rvd25yZXYueG1sRE9Ni8Iw&#10;EL0L/ocwgjdNFVekaxRRxB72sq4Lexyasa02k9BEW/31m4UFb/N4n7Ncd6YWd2p8ZVnBZJyAIM6t&#10;rrhQcPrajxYgfEDWWFsmBQ/ysF71e0tMtW35k+7HUIgYwj5FBWUILpXS5yUZ9GPriCN3to3BEGFT&#10;SN1gG8NNLadJMpcGK44NJTralpRfjzej4GfHLtu3Mj8/t+7jki3qw+30rdRw0G3eQQTqwkv87850&#10;nD+bvs3h7514g1z9AgAA//8DAFBLAQItABQABgAIAAAAIQDb4fbL7gAAAIUBAAATAAAAAAAAAAAA&#10;AAAAAAAAAABbQ29udGVudF9UeXBlc10ueG1sUEsBAi0AFAAGAAgAAAAhAFr0LFu/AAAAFQEAAAsA&#10;AAAAAAAAAAAAAAAAHwEAAF9yZWxzLy5yZWxzUEsBAi0AFAAGAAgAAAAhAJi4+kXEAAAA3gAAAA8A&#10;AAAAAAAAAAAAAAAABwIAAGRycy9kb3ducmV2LnhtbFBLBQYAAAAAAwADALcAAAD4AgAAAAA=&#10;" filled="f" stroked="f">
                  <v:textbox inset="0,0,0,0">
                    <w:txbxContent>
                      <w:p w14:paraId="2EBA42B1" w14:textId="77777777" w:rsidR="00B32EF2" w:rsidRDefault="00000000">
                        <w:r>
                          <w:rPr>
                            <w:rFonts w:ascii="Arial" w:eastAsia="Arial" w:hAnsi="Arial" w:cs="Arial"/>
                            <w:sz w:val="18"/>
                          </w:rPr>
                          <w:t xml:space="preserve">mezzo di ufficiale giudiziario ovvero a mezzo posta elettronica certificata ai </w:t>
                        </w:r>
                      </w:p>
                    </w:txbxContent>
                  </v:textbox>
                </v:rect>
                <v:rect id="Rectangle 14257" o:spid="_x0000_s1207" style="position:absolute;left:-13171;top:2158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F/exQAAAN4AAAAPAAAAZHJzL2Rvd25yZXYueG1sRE9La8JA&#10;EL4X/A/LCN7qpmJVoqsUi5hDL/UBHofsmMRmZ5fsamJ/fbcgeJuP7zmLVWdqcaPGV5YVvA0TEMS5&#10;1RUXCg77zesMhA/IGmvLpOBOHlbL3ssCU21b/qbbLhQihrBPUUEZgkul9HlJBv3QOuLInW1jMETY&#10;FFI32MZwU8tRkkykwYpjQ4mO1iXlP7urUXD6ZJdtWpmff9fu65LN6u31cFRq0O8+5iACdeEpfrgz&#10;HeePR+9T+H8n3iCXfwAAAP//AwBQSwECLQAUAAYACAAAACEA2+H2y+4AAACFAQAAEwAAAAAAAAAA&#10;AAAAAAAAAAAAW0NvbnRlbnRfVHlwZXNdLnhtbFBLAQItABQABgAIAAAAIQBa9CxbvwAAABUBAAAL&#10;AAAAAAAAAAAAAAAAAB8BAABfcmVscy8ucmVsc1BLAQItABQABgAIAAAAIQD39F/exQAAAN4AAAAP&#10;AAAAAAAAAAAAAAAAAAcCAABkcnMvZG93bnJldi54bWxQSwUGAAAAAAMAAwC3AAAA+QIAAAAA&#10;" filled="f" stroked="f">
                  <v:textbox inset="0,0,0,0">
                    <w:txbxContent>
                      <w:p w14:paraId="3E5659C2" w14:textId="77777777" w:rsidR="00B32EF2" w:rsidRDefault="00000000">
                        <w:r>
                          <w:rPr>
                            <w:rFonts w:ascii="Arial" w:eastAsia="Arial" w:hAnsi="Arial" w:cs="Arial"/>
                            <w:sz w:val="18"/>
                          </w:rPr>
                          <w:t xml:space="preserve">sensi del codice dell’amministrazione digitale di cui al decreto legislativo 7 </w:t>
                        </w:r>
                      </w:p>
                    </w:txbxContent>
                  </v:textbox>
                </v:rect>
                <v:rect id="Rectangle 14258" o:spid="_x0000_s1208" style="position:absolute;left:-2332;top:20339;width:422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8usxwAAAN4AAAAPAAAAZHJzL2Rvd25yZXYueG1sRI9Ba8JA&#10;EIXvQv/DMoXedFNRkdRVikXMoZeqhR6H7Jikzc4u2dWk/fXOoeBthvfmvW9Wm8G16kpdbDwbeJ5k&#10;oIhLbxuuDJyOu/ESVEzIFlvPZOCXImzWD6MV5tb3/EHXQ6qUhHDM0UCdUsi1jmVNDuPEB2LRzr5z&#10;mGTtKm077CXctXqaZQvtsGFpqDHQtqby53BxBr7eOBS7Xpfnv214/y6W7f5y+jTm6XF4fQGVaEh3&#10;8/91YQV/Np0Lr7wjM+j1DQAA//8DAFBLAQItABQABgAIAAAAIQDb4fbL7gAAAIUBAAATAAAAAAAA&#10;AAAAAAAAAAAAAABbQ29udGVudF9UeXBlc10ueG1sUEsBAi0AFAAGAAgAAAAhAFr0LFu/AAAAFQEA&#10;AAsAAAAAAAAAAAAAAAAAHwEAAF9yZWxzLy5yZWxzUEsBAi0AFAAGAAgAAAAhAIZry6zHAAAA3gAA&#10;AA8AAAAAAAAAAAAAAAAABwIAAGRycy9kb3ducmV2LnhtbFBLBQYAAAAAAwADALcAAAD7AgAAAAA=&#10;" filled="f" stroked="f">
                  <v:textbox inset="0,0,0,0">
                    <w:txbxContent>
                      <w:p w14:paraId="481C51C8" w14:textId="77777777" w:rsidR="00B32EF2" w:rsidRDefault="00000000">
                        <w:r>
                          <w:rPr>
                            <w:rFonts w:ascii="Arial" w:eastAsia="Arial" w:hAnsi="Arial" w:cs="Arial"/>
                            <w:sz w:val="18"/>
                          </w:rPr>
                          <w:t>marzo 2005, n. 82 e fino a quando l’obbligo non sia estinto. (1)</w:t>
                        </w:r>
                      </w:p>
                    </w:txbxContent>
                  </v:textbox>
                </v:rect>
                <v:rect id="Rectangle 199881" o:spid="_x0000_s1209" style="position:absolute;left:-12850;top:19094;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a19wwAAAN8AAAAPAAAAZHJzL2Rvd25yZXYueG1sRE/Pa8Iw&#10;FL4P/B/CE7zNVA9Sq1FEEXvwMudgx0fzbKvNS2iirf71y2Cw48f3e7nuTSMe1PrasoLJOAFBXFhd&#10;c6ng/Ll/T0H4gKyxsUwKnuRhvRq8LTHTtuMPepxCKWII+wwVVCG4TEpfVGTQj60jjtzFtgZDhG0p&#10;dYtdDDeNnCbJTBqsOTZU6GhbUXE73Y2C7x27fN/J4vLauuM1T5vD/fyl1GjYbxYgAvXhX/znznWc&#10;P5+n6QR+/0QAcvUDAAD//wMAUEsBAi0AFAAGAAgAAAAhANvh9svuAAAAhQEAABMAAAAAAAAAAAAA&#10;AAAAAAAAAFtDb250ZW50X1R5cGVzXS54bWxQSwECLQAUAAYACAAAACEAWvQsW78AAAAVAQAACwAA&#10;AAAAAAAAAAAAAAAfAQAAX3JlbHMvLnJlbHNQSwECLQAUAAYACAAAACEAXq2tfcMAAADfAAAADwAA&#10;AAAAAAAAAAAAAAAHAgAAZHJzL2Rvd25yZXYueG1sUEsFBgAAAAADAAMAtwAAAPcCAAAAAA==&#10;" filled="f" stroked="f">
                  <v:textbox inset="0,0,0,0">
                    <w:txbxContent>
                      <w:p w14:paraId="4BA60881" w14:textId="77777777" w:rsidR="00B32EF2" w:rsidRDefault="00000000">
                        <w:r>
                          <w:rPr>
                            <w:rFonts w:ascii="Arial" w:eastAsia="Arial" w:hAnsi="Arial" w:cs="Arial"/>
                            <w:sz w:val="18"/>
                          </w:rPr>
                          <w:t>. Il ricorso indirizzato al presidente della corte di giustizia tributaria deve con</w:t>
                        </w:r>
                      </w:p>
                    </w:txbxContent>
                  </v:textbox>
                </v:rect>
                <v:rect id="Rectangle 199880" o:spid="_x0000_s1210" style="position:absolute;left:26350;top:19094;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QjmxAAAAN8AAAAPAAAAZHJzL2Rvd25yZXYueG1sRE87a8Mw&#10;EN4L/Q/iCt0auRmK40YJJSXEQ5e8IONhXWy31klYSuz21/eGQMaP7z1fjq5TV+pj69nA6yQDRVx5&#10;23Jt4LBfv+SgYkK22HkmA78UYbl4fJhjYf3AW7ruUq0khGOBBpqUQqF1rBpyGCc+EAt39r3DJLCv&#10;te1xkHDX6WmWvWmHLUtDg4FWDVU/u4szcPrkUK4HXZ3/VuHru8y7zeVwNOb5afx4B5VoTHfxzV1a&#10;mT+b5bk8kD8CQC/+AQAA//8DAFBLAQItABQABgAIAAAAIQDb4fbL7gAAAIUBAAATAAAAAAAAAAAA&#10;AAAAAAAAAABbQ29udGVudF9UeXBlc10ueG1sUEsBAi0AFAAGAAgAAAAhAFr0LFu/AAAAFQEAAAsA&#10;AAAAAAAAAAAAAAAAHwEAAF9yZWxzLy5yZWxzUEsBAi0AFAAGAAgAAAAhADHhCObEAAAA3wAAAA8A&#10;AAAAAAAAAAAAAAAABwIAAGRycy9kb3ducmV2LnhtbFBLBQYAAAAAAwADALcAAAD4AgAAAAA=&#10;" filled="f" stroked="f">
                  <v:textbox inset="0,0,0,0">
                    <w:txbxContent>
                      <w:p w14:paraId="2EA5EC61" w14:textId="77777777" w:rsidR="00B32EF2" w:rsidRDefault="00000000">
                        <w:r>
                          <w:rPr>
                            <w:rFonts w:ascii="Arial" w:eastAsia="Arial" w:hAnsi="Arial" w:cs="Arial"/>
                            <w:sz w:val="18"/>
                          </w:rPr>
                          <w:t>3</w:t>
                        </w:r>
                      </w:p>
                    </w:txbxContent>
                  </v:textbox>
                </v:rect>
                <v:rect id="Rectangle 14260" o:spid="_x0000_s1211" style="position:absolute;left:192;top:1909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Q0XxwAAAN4AAAAPAAAAZHJzL2Rvd25yZXYueG1sRI9Ba8JA&#10;EIXvQv/DMoXedFMpIqmrFIs0h16qEXocsmOSNju7ZFeT+uudQ8HbDPPmvfetNqPr1IX62Ho28DzL&#10;QBFX3rZcGygPu+kSVEzIFjvPZOCPImzWD5MV5tYP/EWXfaqVmHDM0UCTUsi1jlVDDuPMB2K5nXzv&#10;MMna19r2OIi56/Q8yxbaYcuS0GCgbUPV7/7sDHy/cyh2g65O1234/CmW3ce5PBrz9Di+vYJKNKa7&#10;+P+7sFL/Zb4QAMGRGfT6BgAA//8DAFBLAQItABQABgAIAAAAIQDb4fbL7gAAAIUBAAATAAAAAAAA&#10;AAAAAAAAAAAAAABbQ29udGVudF9UeXBlc10ueG1sUEsBAi0AFAAGAAgAAAAhAFr0LFu/AAAAFQEA&#10;AAsAAAAAAAAAAAAAAAAAHwEAAF9yZWxzLy5yZWxzUEsBAi0AFAAGAAgAAAAhALZxDRfHAAAA3gAA&#10;AA8AAAAAAAAAAAAAAAAABwIAAGRycy9kb3ducmV2LnhtbFBLBQYAAAAAAwADALcAAAD7AgAAAAA=&#10;" filled="f" stroked="f">
                  <v:textbox inset="0,0,0,0">
                    <w:txbxContent>
                      <w:p w14:paraId="3848532A" w14:textId="77777777" w:rsidR="00B32EF2" w:rsidRDefault="00000000">
                        <w:r>
                          <w:rPr>
                            <w:rFonts w:ascii="Arial" w:eastAsia="Arial" w:hAnsi="Arial" w:cs="Arial"/>
                            <w:sz w:val="18"/>
                          </w:rPr>
                          <w:t>-</w:t>
                        </w:r>
                      </w:p>
                    </w:txbxContent>
                  </v:textbox>
                </v:rect>
                <v:rect id="Rectangle 14261" o:spid="_x0000_s1212" style="position:absolute;left:-13171;top:1785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aiMxAAAAN4AAAAPAAAAZHJzL2Rvd25yZXYueG1sRE9Li8Iw&#10;EL4v+B/CCN7WVFlEqlFEke3By/oAj0MzttVmEppoq79+s7DgbT6+58yXnanFgxpfWVYwGiYgiHOr&#10;Ky4UHA/bzykIH5A11pZJwZM8LBe9jzmm2rb8Q499KEQMYZ+igjIEl0rp85IM+qF1xJG72MZgiLAp&#10;pG6wjeGmluMkmUiDFceGEh2tS8pv+7tRcN6wy7atzC+vtdtds2n9fT+elBr0u9UMRKAuvMX/7kzH&#10;+V/jyQj+3ok3yMUvAAAA//8DAFBLAQItABQABgAIAAAAIQDb4fbL7gAAAIUBAAATAAAAAAAAAAAA&#10;AAAAAAAAAABbQ29udGVudF9UeXBlc10ueG1sUEsBAi0AFAAGAAgAAAAhAFr0LFu/AAAAFQEAAAsA&#10;AAAAAAAAAAAAAAAAHwEAAF9yZWxzLy5yZWxzUEsBAi0AFAAGAAgAAAAhANk9qIzEAAAA3gAAAA8A&#10;AAAAAAAAAAAAAAAABwIAAGRycy9kb3ducmV2LnhtbFBLBQYAAAAAAwADALcAAAD4AgAAAAA=&#10;" filled="f" stroked="f">
                  <v:textbox inset="0,0,0,0">
                    <w:txbxContent>
                      <w:p w14:paraId="47CD5835" w14:textId="77777777" w:rsidR="00B32EF2" w:rsidRDefault="00000000">
                        <w:r>
                          <w:rPr>
                            <w:rFonts w:ascii="Arial" w:eastAsia="Arial" w:hAnsi="Arial" w:cs="Arial"/>
                            <w:sz w:val="18"/>
                          </w:rPr>
                          <w:t xml:space="preserve">tenere la sommaria esposizione dei fatti che ne giustificano la proposizione </w:t>
                        </w:r>
                      </w:p>
                    </w:txbxContent>
                  </v:textbox>
                </v:rect>
                <v:rect id="Rectangle 14262" o:spid="_x0000_s1213" style="position:absolute;left:-13171;top:1660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zb7xAAAAN4AAAAPAAAAZHJzL2Rvd25yZXYueG1sRE9Na8JA&#10;EL0L/odlCt500yAiqauIIubQS20Ej0N2TFKzs0t2NbG/vlso9DaP9zmrzWBa8aDON5YVvM4SEMSl&#10;1Q1XCorPw3QJwgdkja1lUvAkD5v1eLTCTNueP+hxCpWIIewzVFCH4DIpfVmTQT+zjjhyV9sZDBF2&#10;ldQd9jHctDJNkoU02HBsqNHRrqbydrobBZc9u/zQy/L6vXPvX/myPd6Ls1KTl2H7BiLQEP7Ff+5c&#10;x/nzdJHC7zvxBrn+AQAA//8DAFBLAQItABQABgAIAAAAIQDb4fbL7gAAAIUBAAATAAAAAAAAAAAA&#10;AAAAAAAAAABbQ29udGVudF9UeXBlc10ueG1sUEsBAi0AFAAGAAgAAAAhAFr0LFu/AAAAFQEAAAsA&#10;AAAAAAAAAAAAAAAAHwEAAF9yZWxzLy5yZWxzUEsBAi0AFAAGAAgAAAAhACnvNvvEAAAA3gAAAA8A&#10;AAAAAAAAAAAAAAAABwIAAGRycy9kb3ducmV2LnhtbFBLBQYAAAAAAwADALcAAAD4AgAAAAA=&#10;" filled="f" stroked="f">
                  <v:textbox inset="0,0,0,0">
                    <w:txbxContent>
                      <w:p w14:paraId="2A6AFBF6" w14:textId="77777777" w:rsidR="00B32EF2" w:rsidRDefault="00000000">
                        <w:r>
                          <w:rPr>
                            <w:rFonts w:ascii="Arial" w:eastAsia="Arial" w:hAnsi="Arial" w:cs="Arial"/>
                            <w:sz w:val="18"/>
                          </w:rPr>
                          <w:t xml:space="preserve">con la precisa indicazione, a pena di inammissibilità, della sentenza di cui si </w:t>
                        </w:r>
                      </w:p>
                    </w:txbxContent>
                  </v:textbox>
                </v:rect>
                <v:rect id="Rectangle 14263" o:spid="_x0000_s1214" style="position:absolute;left:-12203;top:15360;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5NgxAAAAN4AAAAPAAAAZHJzL2Rvd25yZXYueG1sRE9Ni8Iw&#10;EL0L/ocwgjdN1UWkaxRRxB72sq4Lexyasa02k9BEW/31m4UFb/N4n7Ncd6YWd2p8ZVnBZJyAIM6t&#10;rrhQcPrajxYgfEDWWFsmBQ/ysF71e0tMtW35k+7HUIgYwj5FBWUILpXS5yUZ9GPriCN3to3BEGFT&#10;SN1gG8NNLadJMpcGK44NJTralpRfjzej4GfHLtu3Mj8/t+7jki3qw+30rdRw0G3eQQTqwkv87850&#10;nP82nc/g7514g1z9AgAA//8DAFBLAQItABQABgAIAAAAIQDb4fbL7gAAAIUBAAATAAAAAAAAAAAA&#10;AAAAAAAAAABbQ29udGVudF9UeXBlc10ueG1sUEsBAi0AFAAGAAgAAAAhAFr0LFu/AAAAFQEAAAsA&#10;AAAAAAAAAAAAAAAAHwEAAF9yZWxzLy5yZWxzUEsBAi0AFAAGAAgAAAAhAEajk2DEAAAA3gAAAA8A&#10;AAAAAAAAAAAAAAAABwIAAGRycy9kb3ducmV2LnhtbFBLBQYAAAAAAwADALcAAAD4AgAAAAA=&#10;" filled="f" stroked="f">
                  <v:textbox inset="0,0,0,0">
                    <w:txbxContent>
                      <w:p w14:paraId="6899F395" w14:textId="77777777" w:rsidR="00B32EF2" w:rsidRDefault="00000000">
                        <w:r>
                          <w:rPr>
                            <w:rFonts w:ascii="Arial" w:eastAsia="Arial" w:hAnsi="Arial" w:cs="Arial"/>
                            <w:sz w:val="18"/>
                          </w:rPr>
                          <w:t>chiede l’ottemperanza, che deve essere prodotta in copia unitamente all’origi</w:t>
                        </w:r>
                      </w:p>
                    </w:txbxContent>
                  </v:textbox>
                </v:rect>
                <v:rect id="Rectangle 14264" o:spid="_x0000_s1215" style="position:absolute;left:192;top:1536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gsUxAAAAN4AAAAPAAAAZHJzL2Rvd25yZXYueG1sRE9Li8Iw&#10;EL4v+B/CCN7WVBGRahRRxB72sj7A49CMbbWZhCbaur9+s7DgbT6+5yxWnanFkxpfWVYwGiYgiHOr&#10;Ky4UnI67zxkIH5A11pZJwYs8rJa9jwWm2rb8Tc9DKEQMYZ+igjIEl0rp85IM+qF1xJG72sZgiLAp&#10;pG6wjeGmluMkmUqDFceGEh1tSsrvh4dRcNmyy3atzK8/G/d1y2b1/nE6KzXod+s5iEBdeIv/3ZmO&#10;8yfj6QT+3ok3yOUvAAAA//8DAFBLAQItABQABgAIAAAAIQDb4fbL7gAAAIUBAAATAAAAAAAAAAAA&#10;AAAAAAAAAABbQ29udGVudF9UeXBlc10ueG1sUEsBAi0AFAAGAAgAAAAhAFr0LFu/AAAAFQEAAAsA&#10;AAAAAAAAAAAAAAAAHwEAAF9yZWxzLy5yZWxzUEsBAi0AFAAGAAgAAAAhAMlKCxTEAAAA3gAAAA8A&#10;AAAAAAAAAAAAAAAABwIAAGRycy9kb3ducmV2LnhtbFBLBQYAAAAAAwADALcAAAD4AgAAAAA=&#10;" filled="f" stroked="f">
                  <v:textbox inset="0,0,0,0">
                    <w:txbxContent>
                      <w:p w14:paraId="4A662C4B" w14:textId="77777777" w:rsidR="00B32EF2" w:rsidRDefault="00000000">
                        <w:r>
                          <w:rPr>
                            <w:rFonts w:ascii="Arial" w:eastAsia="Arial" w:hAnsi="Arial" w:cs="Arial"/>
                            <w:sz w:val="18"/>
                          </w:rPr>
                          <w:t>-</w:t>
                        </w:r>
                      </w:p>
                    </w:txbxContent>
                  </v:textbox>
                </v:rect>
                <v:rect id="Rectangle 14265" o:spid="_x0000_s1216" style="position:absolute;left:-13171;top:14116;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q6PxAAAAN4AAAAPAAAAZHJzL2Rvd25yZXYueG1sRE9Ni8Iw&#10;EL0L/ocwgjdNFVekaxRRxB72sq4Lexyasa02k9BEW/31m4UFb/N4n7Ncd6YWd2p8ZVnBZJyAIM6t&#10;rrhQcPrajxYgfEDWWFsmBQ/ysF71e0tMtW35k+7HUIgYwj5FBWUILpXS5yUZ9GPriCN3to3BEGFT&#10;SN1gG8NNLadJMpcGK44NJTralpRfjzej4GfHLtu3Mj8/t+7jki3qw+30rdRw0G3eQQTqwkv87850&#10;nD+bzt/g7514g1z9AgAA//8DAFBLAQItABQABgAIAAAAIQDb4fbL7gAAAIUBAAATAAAAAAAAAAAA&#10;AAAAAAAAAABbQ29udGVudF9UeXBlc10ueG1sUEsBAi0AFAAGAAgAAAAhAFr0LFu/AAAAFQEAAAsA&#10;AAAAAAAAAAAAAAAAHwEAAF9yZWxzLy5yZWxzUEsBAi0AFAAGAAgAAAAhAKYGro/EAAAA3gAAAA8A&#10;AAAAAAAAAAAAAAAABwIAAGRycy9kb3ducmV2LnhtbFBLBQYAAAAAAwADALcAAAD4AgAAAAA=&#10;" filled="f" stroked="f">
                  <v:textbox inset="0,0,0,0">
                    <w:txbxContent>
                      <w:p w14:paraId="3447F525" w14:textId="77777777" w:rsidR="00B32EF2" w:rsidRDefault="00000000">
                        <w:r>
                          <w:rPr>
                            <w:rFonts w:ascii="Arial" w:eastAsia="Arial" w:hAnsi="Arial" w:cs="Arial"/>
                            <w:sz w:val="18"/>
                          </w:rPr>
                          <w:t xml:space="preserve">nale o copia autentica dell’atto di messa in mora notificato a norma del comma </w:t>
                        </w:r>
                      </w:p>
                    </w:txbxContent>
                  </v:textbox>
                </v:rect>
                <v:rect id="Rectangle 199879" o:spid="_x0000_s1217" style="position:absolute;left:27625;top:12871;width:116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tFcxAAAAN8AAAAPAAAAZHJzL2Rvd25yZXYueG1sRE/Pa8Iw&#10;FL4P/B/CE7zN1B1c2xllKLIedtEpeHw0z7Zb8xKaaLv99UYQdvz4fi9Wg2nFlTrfWFYwmyYgiEur&#10;G64UHL62zykIH5A1tpZJwS95WC1HTwvMte15R9d9qEQMYZ+jgjoEl0vpy5oM+ql1xJE7285giLCr&#10;pO6wj+GmlS9JMpcGG44NNTpa11T+7C9GwWnDrtj2sjz/rd3nd5G2H5fDUanJeHh/AxFoCP/ih7vQ&#10;cX6Wpa8Z3P9EAHJ5AwAA//8DAFBLAQItABQABgAIAAAAIQDb4fbL7gAAAIUBAAATAAAAAAAAAAAA&#10;AAAAAAAAAABbQ29udGVudF9UeXBlc10ueG1sUEsBAi0AFAAGAAgAAAAhAFr0LFu/AAAAFQEAAAsA&#10;AAAAAAAAAAAAAAAAHwEAAF9yZWxzLy5yZWxzUEsBAi0AFAAGAAgAAAAhAJUO0VzEAAAA3wAAAA8A&#10;AAAAAAAAAAAAAAAABwIAAGRycy9kb3ducmV2LnhtbFBLBQYAAAAAAwADALcAAAD4AgAAAAA=&#10;" filled="f" stroked="f">
                  <v:textbox inset="0,0,0,0">
                    <w:txbxContent>
                      <w:p w14:paraId="23B4635D" w14:textId="77777777" w:rsidR="00B32EF2" w:rsidRDefault="00000000">
                        <w:r>
                          <w:rPr>
                            <w:rFonts w:ascii="Arial" w:eastAsia="Arial" w:hAnsi="Arial" w:cs="Arial"/>
                            <w:sz w:val="18"/>
                          </w:rPr>
                          <w:t>, se necessario.</w:t>
                        </w:r>
                      </w:p>
                    </w:txbxContent>
                  </v:textbox>
                </v:rect>
                <v:rect id="Rectangle 199878" o:spid="_x0000_s1218" style="position:absolute;left:36391;top:12871;width:116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nTHxAAAAN8AAAAPAAAAZHJzL2Rvd25yZXYueG1sRE9NT8JA&#10;EL2b8B82Q+JNtnjQUlkIgRB78CJg4nHSHdpKd3bTXWj11zsHE48v73u5Hl2nbtTH1rOB+SwDRVx5&#10;23Jt4HTcP+SgYkK22HkmA98UYb2a3C2xsH7gd7odUq0khGOBBpqUQqF1rBpyGGc+EAt39r3DJLCv&#10;te1xkHDX6ccse9IOW5aGBgNtG6ouh6sz8LnjUO4HXZ1/tuHtq8y71+vpw5j76bh5AZVoTP/iP3dp&#10;Zf5ikT/LYPkjAPTqFwAA//8DAFBLAQItABQABgAIAAAAIQDb4fbL7gAAAIUBAAATAAAAAAAAAAAA&#10;AAAAAAAAAABbQ29udGVudF9UeXBlc10ueG1sUEsBAi0AFAAGAAgAAAAhAFr0LFu/AAAAFQEAAAsA&#10;AAAAAAAAAAAAAAAAHwEAAF9yZWxzLy5yZWxzUEsBAi0AFAAGAAgAAAAhAPpCdMfEAAAA3wAAAA8A&#10;AAAAAAAAAAAAAAAABwIAAGRycy9kb3ducmV2LnhtbFBLBQYAAAAAAwADALcAAAD4AgAAAAA=&#10;" filled="f" stroked="f">
                  <v:textbox inset="0,0,0,0">
                    <w:txbxContent>
                      <w:p w14:paraId="7E3B2524" w14:textId="77777777" w:rsidR="00B32EF2" w:rsidRDefault="00000000">
                        <w:r>
                          <w:rPr>
                            <w:rFonts w:ascii="Arial" w:eastAsia="Arial" w:hAnsi="Arial" w:cs="Arial"/>
                            <w:sz w:val="18"/>
                          </w:rPr>
                          <w:t>2</w:t>
                        </w:r>
                      </w:p>
                    </w:txbxContent>
                  </v:textbox>
                </v:rect>
                <v:rect id="Rectangle 199877" o:spid="_x0000_s1219" style="position:absolute;left:-13802;top:1162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C1xAAAAN8AAAAPAAAAZHJzL2Rvd25yZXYueG1sRE/Pa8Iw&#10;FL4L/g/hCd401cOsnVFEkfWwy5yDHR/Ns+3WvIQm2rq/fhEEjx/f79WmN424Uutrywpm0wQEcWF1&#10;zaWC0+dhkoLwAVljY5kU3MjDZj0crDDTtuMPuh5DKWII+wwVVCG4TEpfVGTQT60jjtzZtgZDhG0p&#10;dYtdDDeNnCfJizRYc2yo0NGuouL3eDEKvvfs8kMni/Pfzr3/5Gnzdjl9KTUe9dtXEIH68BQ/3LmO&#10;85fLdLGA+58IQK7/AQAA//8DAFBLAQItABQABgAIAAAAIQDb4fbL7gAAAIUBAAATAAAAAAAAAAAA&#10;AAAAAAAAAABbQ29udGVudF9UeXBlc10ueG1sUEsBAi0AFAAGAAgAAAAhAFr0LFu/AAAAFQEAAAsA&#10;AAAAAAAAAAAAAAAAHwEAAF9yZWxzLy5yZWxzUEsBAi0AFAAGAAgAAAAhAIvd4LXEAAAA3wAAAA8A&#10;AAAAAAAAAAAAAAAABwIAAGRycy9kb3ducmV2LnhtbFBLBQYAAAAAAwADALcAAAD4AgAAAAA=&#10;" filled="f" stroked="f">
                  <v:textbox inset="0,0,0,0">
                    <w:txbxContent>
                      <w:p w14:paraId="0DC49710" w14:textId="77777777" w:rsidR="00B32EF2" w:rsidRDefault="00000000">
                        <w:r>
                          <w:rPr>
                            <w:rFonts w:ascii="Arial" w:eastAsia="Arial" w:hAnsi="Arial" w:cs="Arial"/>
                            <w:sz w:val="18"/>
                          </w:rPr>
                          <w:t xml:space="preserve">. Uno dei due originali del ricorso è comunicato a cura della segreteria della </w:t>
                        </w:r>
                      </w:p>
                    </w:txbxContent>
                  </v:textbox>
                </v:rect>
                <v:rect id="Rectangle 199876" o:spid="_x0000_s1220" style="position:absolute;left:26110;top:1162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UUuxAAAAN8AAAAPAAAAZHJzL2Rvd25yZXYueG1sRE/LasJA&#10;FN0L/sNwhe500i5sjI5SLNIsuqkPcHnJXJO0mTtDZjTRr+8IgsvDeS9WvWnEhVpfW1bwOklAEBdW&#10;11wq2O824xSED8gaG8uk4EoeVsvhYIGZth3/0GUbShFD2GeooArBZVL6oiKDfmIdceROtjUYImxL&#10;qVvsYrhp5FuSTKXBmmNDhY7WFRV/27NRcPxkl286WZxua/f9m6fN13l/UOpl1H/MQQTqw1P8cOc6&#10;zp/N0vcp3P9EAHL5DwAA//8DAFBLAQItABQABgAIAAAAIQDb4fbL7gAAAIUBAAATAAAAAAAAAAAA&#10;AAAAAAAAAABbQ29udGVudF9UeXBlc10ueG1sUEsBAi0AFAAGAAgAAAAhAFr0LFu/AAAAFQEAAAsA&#10;AAAAAAAAAAAAAAAAHwEAAF9yZWxzLy5yZWxzUEsBAi0AFAAGAAgAAAAhAOSRRS7EAAAA3wAAAA8A&#10;AAAAAAAAAAAAAAAABwIAAGRycy9kb3ducmV2LnhtbFBLBQYAAAAAAwADALcAAAD4AgAAAAA=&#10;" filled="f" stroked="f">
                  <v:textbox inset="0,0,0,0">
                    <w:txbxContent>
                      <w:p w14:paraId="4802F95C" w14:textId="77777777" w:rsidR="00B32EF2" w:rsidRDefault="00000000">
                        <w:r>
                          <w:rPr>
                            <w:rFonts w:ascii="Arial" w:eastAsia="Arial" w:hAnsi="Arial" w:cs="Arial"/>
                            <w:sz w:val="18"/>
                          </w:rPr>
                          <w:t>4</w:t>
                        </w:r>
                      </w:p>
                    </w:txbxContent>
                  </v:textbox>
                </v:rect>
                <v:rect id="Rectangle 14268" o:spid="_x0000_s1221" style="position:absolute;left:-12749;top:10381;width:526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wERxwAAAN4AAAAPAAAAZHJzL2Rvd25yZXYueG1sRI9Ba8JA&#10;EIXvQv/DMoXedFMpIqmrFIs0h16qEXocsmOSNju7ZFeT+uudQ8HbDO/Ne9+sNqPr1IX62Ho28DzL&#10;QBFX3rZcGygPu+kSVEzIFjvPZOCPImzWD5MV5tYP/EWXfaqVhHDM0UCTUsi1jlVDDuPMB2LRTr53&#10;mGTta217HCTcdXqeZQvtsGVpaDDQtqHqd392Br7fORS7QVen6zZ8/hTL7uNcHo15ehzfXkElGtPd&#10;/H9dWMF/mS+EV96RGfT6BgAA//8DAFBLAQItABQABgAIAAAAIQDb4fbL7gAAAIUBAAATAAAAAAAA&#10;AAAAAAAAAAAAAABbQ29udGVudF9UeXBlc10ueG1sUEsBAi0AFAAGAAgAAAAhAFr0LFu/AAAAFQEA&#10;AAsAAAAAAAAAAAAAAAAAHwEAAF9yZWxzLy5yZWxzUEsBAi0AFAAGAAgAAAAhAEgHARHHAAAA3gAA&#10;AA8AAAAAAAAAAAAAAAAABwIAAGRycy9kb3ducmV2LnhtbFBLBQYAAAAAAwADALcAAAD7AgAAAAA=&#10;" filled="f" stroked="f">
                  <v:textbox inset="0,0,0,0">
                    <w:txbxContent>
                      <w:p w14:paraId="68F5CCF8" w14:textId="77777777" w:rsidR="00B32EF2" w:rsidRDefault="00000000">
                        <w:r>
                          <w:rPr>
                            <w:rFonts w:ascii="Arial" w:eastAsia="Arial" w:hAnsi="Arial" w:cs="Arial"/>
                            <w:sz w:val="18"/>
                          </w:rPr>
                          <w:t>corte di giustizia tributaria ai soggetti di cui al comma 2 obbligati a provvedere.</w:t>
                        </w:r>
                      </w:p>
                    </w:txbxContent>
                  </v:textbox>
                </v:rect>
                <v:rect id="Rectangle 199873" o:spid="_x0000_s1222" style="position:absolute;left:26110;top:913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ua2xQAAAN8AAAAPAAAAZHJzL2Rvd25yZXYueG1sRE/LasJA&#10;FN0X/IfhCu7qRIU2po4iijQLN/UBXV4y1yRt5s6QGU3ar3cKBZeH816setOIG7W+tqxgMk5AEBdW&#10;11wqOB13zykIH5A1NpZJwQ95WC0HTwvMtO34g26HUIoYwj5DBVUILpPSFxUZ9GPriCN3sa3BEGFb&#10;St1iF8NNI6dJ8iIN1hwbKnS0qaj4PlyNgs8tu3zXyeLyu3H7rzxt3q+ns1KjYb9+AxGoDw/xvzvX&#10;cf58nr7O4O9PBCCXdwAAAP//AwBQSwECLQAUAAYACAAAACEA2+H2y+4AAACFAQAAEwAAAAAAAAAA&#10;AAAAAAAAAAAAW0NvbnRlbnRfVHlwZXNdLnhtbFBLAQItABQABgAIAAAAIQBa9CxbvwAAABUBAAAL&#10;AAAAAAAAAAAAAAAAAB8BAABfcmVscy8ucmVsc1BLAQItABQABgAIAAAAIQD05ua2xQAAAN8AAAAP&#10;AAAAAAAAAAAAAAAAAAcCAABkcnMvZG93bnJldi54bWxQSwUGAAAAAAMAAwC3AAAA+QIAAAAA&#10;" filled="f" stroked="f">
                  <v:textbox inset="0,0,0,0">
                    <w:txbxContent>
                      <w:p w14:paraId="018B95C7" w14:textId="77777777" w:rsidR="00B32EF2" w:rsidRDefault="00000000">
                        <w:r>
                          <w:rPr>
                            <w:rFonts w:ascii="Arial" w:eastAsia="Arial" w:hAnsi="Arial" w:cs="Arial"/>
                            <w:sz w:val="18"/>
                          </w:rPr>
                          <w:t>5</w:t>
                        </w:r>
                      </w:p>
                    </w:txbxContent>
                  </v:textbox>
                </v:rect>
                <v:rect id="Rectangle 199874" o:spid="_x0000_s1223" style="position:absolute;left:-13815;top:913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37CxQAAAN8AAAAPAAAAZHJzL2Rvd25yZXYueG1sRE/LasJA&#10;FN0X/IfhCu7qRJE2po4iijQLN/UBXV4y1yRt5s6QGU3ar3cKBZeH816setOIG7W+tqxgMk5AEBdW&#10;11wqOB13zykIH5A1NpZJwQ95WC0HTwvMtO34g26HUIoYwj5DBVUILpPSFxUZ9GPriCN3sa3BEGFb&#10;St1iF8NNI6dJ8iIN1hwbKnS0qaj4PlyNgs8tu3zXyeLyu3H7rzxt3q+ns1KjYb9+AxGoDw/xvzvX&#10;cf58nr7O4O9PBCCXdwAAAP//AwBQSwECLQAUAAYACAAAACEA2+H2y+4AAACFAQAAEwAAAAAAAAAA&#10;AAAAAAAAAAAAW0NvbnRlbnRfVHlwZXNdLnhtbFBLAQItABQABgAIAAAAIQBa9CxbvwAAABUBAAAL&#10;AAAAAAAAAAAAAAAAAB8BAABfcmVscy8ucmVsc1BLAQItABQABgAIAAAAIQB7D37CxQAAAN8AAAAP&#10;AAAAAAAAAAAAAAAAAAcCAABkcnMvZG93bnJldi54bWxQSwUGAAAAAAMAAwC3AAAA+QIAAAAA&#10;" filled="f" stroked="f">
                  <v:textbox inset="0,0,0,0">
                    <w:txbxContent>
                      <w:p w14:paraId="39F62E17" w14:textId="77777777" w:rsidR="00B32EF2" w:rsidRDefault="00000000">
                        <w:r>
                          <w:rPr>
                            <w:rFonts w:ascii="Arial" w:eastAsia="Arial" w:hAnsi="Arial" w:cs="Arial"/>
                            <w:sz w:val="18"/>
                          </w:rPr>
                          <w:t xml:space="preserve">. Entro venti giorni dalla comunicazione l’ufficio può trasmettere le proprie </w:t>
                        </w:r>
                      </w:p>
                    </w:txbxContent>
                  </v:textbox>
                </v:rect>
                <v:rect id="Rectangle 14270" o:spid="_x0000_s1224" style="position:absolute;left:-13171;top:789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vKxwAAAN4AAAAPAAAAZHJzL2Rvd25yZXYueG1sRI9Ba8JA&#10;EIXvQv/DMoXedFMRldRVikXMoZeqhR6H7Jikzc4u2dWk/fXOoeBthnnz3vtWm8G16kpdbDwbeJ5k&#10;oIhLbxuuDJyOu/ESVEzIFlvPZOCXImzWD6MV5tb3/EHXQ6qUmHDM0UCdUsi1jmVNDuPEB2K5nX3n&#10;MMnaVdp22Iu5a/U0y+baYcOSUGOgbU3lz+HiDHy9cSh2vS7Pf9vw/l0s2/3l9GnM0+Pw+gIq0ZDu&#10;4v/vwkr92XQhAIIjM+j1DQAA//8DAFBLAQItABQABgAIAAAAIQDb4fbL7gAAAIUBAAATAAAAAAAA&#10;AAAAAAAAAAAAAABbQ29udGVudF9UeXBlc10ueG1sUEsBAi0AFAAGAAgAAAAhAFr0LFu/AAAAFQEA&#10;AAsAAAAAAAAAAAAAAAAAHwEAAF9yZWxzLy5yZWxzUEsBAi0AFAAGAAgAAAAhADOom8rHAAAA3gAA&#10;AA8AAAAAAAAAAAAAAAAABwIAAGRycy9kb3ducmV2LnhtbFBLBQYAAAAAAwADALcAAAD7AgAAAAA=&#10;" filled="f" stroked="f">
                  <v:textbox inset="0,0,0,0">
                    <w:txbxContent>
                      <w:p w14:paraId="6FDE45F4" w14:textId="77777777" w:rsidR="00B32EF2" w:rsidRDefault="00000000">
                        <w:r>
                          <w:rPr>
                            <w:rFonts w:ascii="Arial" w:eastAsia="Arial" w:hAnsi="Arial" w:cs="Arial"/>
                            <w:sz w:val="18"/>
                          </w:rPr>
                          <w:t xml:space="preserve">osservazioni alla corte di giustizia tributaria, allegando la documentazione </w:t>
                        </w:r>
                      </w:p>
                    </w:txbxContent>
                  </v:textbox>
                </v:rect>
                <v:rect id="Rectangle 14271" o:spid="_x0000_s1225" style="position:absolute;left:20510;top:6647;width:194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D5RxAAAAN4AAAAPAAAAZHJzL2Rvd25yZXYueG1sRE9Li8Iw&#10;EL4v+B/CCN7WVFl2pRpFFNkevKwP8Dg0Y1ttJqGJtvrrNwsL3ubje85s0Zla3KnxlWUFo2ECgji3&#10;uuJCwWG/eZ+A8AFZY22ZFDzIw2Lee5thqm3LP3TfhULEEPYpKihDcKmUPi/JoB9aRxy5s20Mhgib&#10;QuoG2xhuajlOkk9psOLYUKKjVUn5dXczCk5rdtmmlfn5uXLbSzapv2+Ho1KDfrecggjUhZf4353p&#10;OP9j/DWCv3fiDXL+CwAA//8DAFBLAQItABQABgAIAAAAIQDb4fbL7gAAAIUBAAATAAAAAAAAAAAA&#10;AAAAAAAAAABbQ29udGVudF9UeXBlc10ueG1sUEsBAi0AFAAGAAgAAAAhAFr0LFu/AAAAFQEAAAsA&#10;AAAAAAAAAAAAAAAAHwEAAF9yZWxzLy5yZWxzUEsBAi0AFAAGAAgAAAAhAFzkPlHEAAAA3gAAAA8A&#10;AAAAAAAAAAAAAAAABwIAAGRycy9kb3ducmV2LnhtbFBLBQYAAAAAAwADALcAAAD4AgAAAAA=&#10;" filled="f" stroked="f">
                  <v:textbox inset="0,0,0,0">
                    <w:txbxContent>
                      <w:p w14:paraId="3FAABCBC" w14:textId="77777777" w:rsidR="00B32EF2" w:rsidRDefault="00000000">
                        <w:r>
                          <w:rPr>
                            <w:rFonts w:ascii="Arial" w:eastAsia="Arial" w:hAnsi="Arial" w:cs="Arial"/>
                            <w:sz w:val="18"/>
                          </w:rPr>
                          <w:t>dell’eventuale adempimento.</w:t>
                        </w:r>
                      </w:p>
                    </w:txbxContent>
                  </v:textbox>
                </v:rect>
                <v:rect id="Rectangle 199872" o:spid="_x0000_s1226" style="position:absolute;left:-13815;top:540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kMtxAAAAN8AAAAPAAAAZHJzL2Rvd25yZXYueG1sRE/LasJA&#10;FN0L/sNwBXc6qQsbo6MUizSLbuoDXF4y1yRt5s6QGU3ar+8IgsvDea82vWnEjVpfW1bwMk1AEBdW&#10;11wqOB52kxSED8gaG8uk4Jc8bNbDwQozbTv+ots+lCKGsM9QQRWCy6T0RUUG/dQ64shdbGswRNiW&#10;UrfYxXDTyFmSzKXBmmNDhY62FRU/+6tRcH5nl+86WVz+tu7zO0+bj+vxpNR41L8tQQTqw1P8cOc6&#10;zl8s0tcZ3P9EAHL9DwAA//8DAFBLAQItABQABgAIAAAAIQDb4fbL7gAAAIUBAAATAAAAAAAAAAAA&#10;AAAAAAAAAABbQ29udGVudF9UeXBlc10ueG1sUEsBAi0AFAAGAAgAAAAhAFr0LFu/AAAAFQEAAAsA&#10;AAAAAAAAAAAAAAAAHwEAAF9yZWxzLy5yZWxzUEsBAi0AFAAGAAgAAAAhAJuqQy3EAAAA3wAAAA8A&#10;AAAAAAAAAAAAAAAABwIAAGRycy9kb3ducmV2LnhtbFBLBQYAAAAAAwADALcAAAD4AgAAAAA=&#10;" filled="f" stroked="f">
                  <v:textbox inset="0,0,0,0">
                    <w:txbxContent>
                      <w:p w14:paraId="5E0FF660" w14:textId="77777777" w:rsidR="00B32EF2" w:rsidRDefault="00000000">
                        <w:r>
                          <w:rPr>
                            <w:rFonts w:ascii="Arial" w:eastAsia="Arial" w:hAnsi="Arial" w:cs="Arial"/>
                            <w:sz w:val="18"/>
                          </w:rPr>
                          <w:t xml:space="preserve">. Il presidente della corte di giustizia tributaria di primo e secondo grado, </w:t>
                        </w:r>
                      </w:p>
                    </w:txbxContent>
                  </v:textbox>
                </v:rect>
                <v:rect id="Rectangle 199871" o:spid="_x0000_s1227" style="position:absolute;left:26110;top:5402;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N1axAAAAN8AAAAPAAAAZHJzL2Rvd25yZXYueG1sRE/LasJA&#10;FN0L/sNwBXc6sQsbo6OIIs2im/oAl5fMNUmbuTNkRpP26zuFgsvDea82vWnEg1pfW1YwmyYgiAur&#10;ay4VnE+HSQrCB2SNjWVS8E0eNuvhYIWZth1/0OMYShFD2GeooArBZVL6oiKDfmodceRutjUYImxL&#10;qVvsYrhp5EuSzKXBmmNDhY52FRVfx7tRcN2zyw+dLG4/O/f+mafN2/18UWo86rdLEIH68BT/u3Md&#10;5y8W6esM/v5EAHL9CwAA//8DAFBLAQItABQABgAIAAAAIQDb4fbL7gAAAIUBAAATAAAAAAAAAAAA&#10;AAAAAAAAAABbQ29udGVudF9UeXBlc10ueG1sUEsBAi0AFAAGAAgAAAAhAFr0LFu/AAAAFQEAAAsA&#10;AAAAAAAAAAAAAAAAHwEAAF9yZWxzLy5yZWxzUEsBAi0AFAAGAAgAAAAhAGt43VrEAAAA3wAAAA8A&#10;AAAAAAAAAAAAAAAABwIAAGRycy9kb3ducmV2LnhtbFBLBQYAAAAAAwADALcAAAD4AgAAAAA=&#10;" filled="f" stroked="f">
                  <v:textbox inset="0,0,0,0">
                    <w:txbxContent>
                      <w:p w14:paraId="2FE3E492" w14:textId="77777777" w:rsidR="00B32EF2" w:rsidRDefault="00000000">
                        <w:r>
                          <w:rPr>
                            <w:rFonts w:ascii="Arial" w:eastAsia="Arial" w:hAnsi="Arial" w:cs="Arial"/>
                            <w:sz w:val="18"/>
                          </w:rPr>
                          <w:t>6</w:t>
                        </w:r>
                      </w:p>
                    </w:txbxContent>
                  </v:textbox>
                </v:rect>
                <v:rect id="Rectangle 14273" o:spid="_x0000_s1228" style="position:absolute;left:-13171;top:415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W9xQAAAN4AAAAPAAAAZHJzL2Rvd25yZXYueG1sRE9La8JA&#10;EL4X/A/LCN7qplpUoqsUi5hDL/UBHofsmMRmZ5fsamJ/fbcgeJuP7zmLVWdqcaPGV5YVvA0TEMS5&#10;1RUXCg77zesMhA/IGmvLpOBOHlbL3ssCU21b/qbbLhQihrBPUUEZgkul9HlJBv3QOuLInW1jMETY&#10;FFI32MZwU8tRkkykwYpjQ4mO1iXlP7urUXD6ZJdtWpmff9fu65LN6u31cFRq0O8+5iACdeEpfrgz&#10;Hee/j6Zj+H8n3iCXfwAAAP//AwBQSwECLQAUAAYACAAAACEA2+H2y+4AAACFAQAAEwAAAAAAAAAA&#10;AAAAAAAAAAAAW0NvbnRlbnRfVHlwZXNdLnhtbFBLAQItABQABgAIAAAAIQBa9CxbvwAAABUBAAAL&#10;AAAAAAAAAAAAAAAAAB8BAABfcmVscy8ucmVsc1BLAQItABQABgAIAAAAIQDDegW9xQAAAN4AAAAP&#10;AAAAAAAAAAAAAAAAAAcCAABkcnMvZG93bnJldi54bWxQSwUGAAAAAAMAAwC3AAAA+QIAAAAA&#10;" filled="f" stroked="f">
                  <v:textbox inset="0,0,0,0">
                    <w:txbxContent>
                      <w:p w14:paraId="1270CD82" w14:textId="77777777" w:rsidR="00B32EF2" w:rsidRDefault="00000000">
                        <w:r>
                          <w:rPr>
                            <w:rFonts w:ascii="Arial" w:eastAsia="Arial" w:hAnsi="Arial" w:cs="Arial"/>
                            <w:sz w:val="18"/>
                          </w:rPr>
                          <w:t xml:space="preserve">scaduto il termine di cui al comma 5, assegna il ricorso alla sezione che ha </w:t>
                        </w:r>
                      </w:p>
                    </w:txbxContent>
                  </v:textbox>
                </v:rect>
                <v:rect id="Rectangle 14274" o:spid="_x0000_s1229" style="position:absolute;left:-12237;top:2913;width:521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3JxAAAAN4AAAAPAAAAZHJzL2Rvd25yZXYueG1sRE9Ni8Iw&#10;EL0v+B/CCN7WVJFd6RpFFLEHL7ou7HFoxrbaTEITbfXXb4QFb/N4nzNbdKYWN2p8ZVnBaJiAIM6t&#10;rrhQcPzevE9B+ICssbZMCu7kYTHvvc0w1bblPd0OoRAxhH2KCsoQXCqlz0sy6IfWEUfuZBuDIcKm&#10;kLrBNoabWo6T5EMarDg2lOhoVVJ+OVyNgt81u2zTyvz0WLndOZvW2+vxR6lBv1t+gQjUhZf4353p&#10;OH8y/pzA8514g5z/AQAA//8DAFBLAQItABQABgAIAAAAIQDb4fbL7gAAAIUBAAATAAAAAAAAAAAA&#10;AAAAAAAAAABbQ29udGVudF9UeXBlc10ueG1sUEsBAi0AFAAGAAgAAAAhAFr0LFu/AAAAFQEAAAsA&#10;AAAAAAAAAAAAAAAAHwEAAF9yZWxzLy5yZWxzUEsBAi0AFAAGAAgAAAAhAEyTncnEAAAA3gAAAA8A&#10;AAAAAAAAAAAAAAAABwIAAGRycy9kb3ducmV2LnhtbFBLBQYAAAAAAwADALcAAAD4AgAAAAA=&#10;" filled="f" stroked="f">
                  <v:textbox inset="0,0,0,0">
                    <w:txbxContent>
                      <w:p w14:paraId="7598A7E4" w14:textId="77777777" w:rsidR="00B32EF2" w:rsidRDefault="00000000">
                        <w:r>
                          <w:rPr>
                            <w:rFonts w:ascii="Arial" w:eastAsia="Arial" w:hAnsi="Arial" w:cs="Arial"/>
                            <w:sz w:val="18"/>
                          </w:rPr>
                          <w:t>pronunciato la sentenza. Il presidente della sezione fissa il giorno per la trat</w:t>
                        </w:r>
                      </w:p>
                    </w:txbxContent>
                  </v:textbox>
                </v:rect>
                <v:rect id="Rectangle 14275" o:spid="_x0000_s1230" style="position:absolute;left:192;top:291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zhSxQAAAN4AAAAPAAAAZHJzL2Rvd25yZXYueG1sRE9La8JA&#10;EL4X/A/LCN7qpmJVoqsUi5hDL/UBHofsmMRmZ5fsamJ/fbcgeJuP7zmLVWdqcaPGV5YVvA0TEMS5&#10;1RUXCg77zesMhA/IGmvLpOBOHlbL3ssCU21b/qbbLhQihrBPUUEZgkul9HlJBv3QOuLInW1jMETY&#10;FFI32MZwU8tRkkykwYpjQ4mO1iXlP7urUXD6ZJdtWpmff9fu65LN6u31cFRq0O8+5iACdeEpfrgz&#10;HeePR9N3+H8n3iCXfwAAAP//AwBQSwECLQAUAAYACAAAACEA2+H2y+4AAACFAQAAEwAAAAAAAAAA&#10;AAAAAAAAAAAAW0NvbnRlbnRfVHlwZXNdLnhtbFBLAQItABQABgAIAAAAIQBa9CxbvwAAABUBAAAL&#10;AAAAAAAAAAAAAAAAAB8BAABfcmVscy8ucmVsc1BLAQItABQABgAIAAAAIQAj3zhSxQAAAN4AAAAP&#10;AAAAAAAAAAAAAAAAAAcCAABkcnMvZG93bnJldi54bWxQSwUGAAAAAAMAAwC3AAAA+QIAAAAA&#10;" filled="f" stroked="f">
                  <v:textbox inset="0,0,0,0">
                    <w:txbxContent>
                      <w:p w14:paraId="1AA4FAA8" w14:textId="77777777" w:rsidR="00B32EF2" w:rsidRDefault="00000000">
                        <w:r>
                          <w:rPr>
                            <w:rFonts w:ascii="Arial" w:eastAsia="Arial" w:hAnsi="Arial" w:cs="Arial"/>
                            <w:sz w:val="18"/>
                          </w:rPr>
                          <w:t>-</w:t>
                        </w:r>
                      </w:p>
                    </w:txbxContent>
                  </v:textbox>
                </v:rect>
                <v:shape id="Shape 207700" o:spid="_x0000_s1231" style="position:absolute;left:317;top:43071;width:39600;height:4643;visibility:visible;mso-wrap-style:square;v-text-anchor:top" coordsize="3960000,464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5QWxgAAAN8AAAAPAAAAZHJzL2Rvd25yZXYueG1sRI9da8Iw&#10;FIbvhf2HcAa7kTVZJipdowyZMBAEnTe7O2vO2mJzUppY6783F4NdvrxfPMV6dK0YqA+NZwMvmQJB&#10;XHrbcGXg9LV9XoIIEdli65kM3CjAevUwKTC3/soHGo6xEmmEQ44G6hi7XMpQ1uQwZL4jTt6v7x3G&#10;JPtK2h6vady1Uis1lw4bTg81drSpqTwfL85A3GutPl53XlffNJynsxB+Tktjnh7H9zcQkcb4H/5r&#10;f1oDWi0WKhEknsQCcnUHAAD//wMAUEsBAi0AFAAGAAgAAAAhANvh9svuAAAAhQEAABMAAAAAAAAA&#10;AAAAAAAAAAAAAFtDb250ZW50X1R5cGVzXS54bWxQSwECLQAUAAYACAAAACEAWvQsW78AAAAVAQAA&#10;CwAAAAAAAAAAAAAAAAAfAQAAX3JlbHMvLnJlbHNQSwECLQAUAAYACAAAACEArj+UFsYAAADfAAAA&#10;DwAAAAAAAAAAAAAAAAAHAgAAZHJzL2Rvd25yZXYueG1sUEsFBgAAAAADAAMAtwAAAPoCAAAAAA==&#10;" path="m,l3960000,r,464299l,464299,,e" fillcolor="#c3c3c3" stroked="f" strokeweight="0">
                  <v:stroke miterlimit="83231f" joinstyle="miter"/>
                  <v:path arrowok="t" textboxrect="0,0,3960000,464299"/>
                </v:shape>
                <v:rect id="Rectangle 14277" o:spid="_x0000_s1232" style="position:absolute;left:23287;top:4550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O+xAAAAN4AAAAPAAAAZHJzL2Rvd25yZXYueG1sRE9Ni8Iw&#10;EL0L/ocwgjdNFVmlaxRRxB72sq4Lexyasa02k9BEW/31m4UFb/N4n7Ncd6YWd2p8ZVnBZJyAIM6t&#10;rrhQcPrajxYgfEDWWFsmBQ/ysF71e0tMtW35k+7HUIgYwj5FBWUILpXS5yUZ9GPriCN3to3BEGFT&#10;SN1gG8NNLadJ8iYNVhwbSnS0LSm/Hm9Gwc+OXbZvZX5+bt3HJVvUh9vpW6nhoNu8gwjUhZf4353p&#10;OH82nc/h7514g1z9AgAA//8DAFBLAQItABQABgAIAAAAIQDb4fbL7gAAAIUBAAATAAAAAAAAAAAA&#10;AAAAAAAAAABbQ29udGVudF9UeXBlc10ueG1sUEsBAi0AFAAGAAgAAAAhAFr0LFu/AAAAFQEAAAsA&#10;AAAAAAAAAAAAAAAAHwEAAF9yZWxzLy5yZWxzUEsBAi0AFAAGAAgAAAAhALxBA77EAAAA3gAAAA8A&#10;AAAAAAAAAAAAAAAABwIAAGRycy9kb3ducmV2LnhtbFBLBQYAAAAAAwADALcAAAD4AgAAAAA=&#10;" filled="f" stroked="f">
                  <v:textbox inset="0,0,0,0">
                    <w:txbxContent>
                      <w:p w14:paraId="568A67E5" w14:textId="77777777" w:rsidR="00B32EF2" w:rsidRDefault="00000000">
                        <w:r>
                          <w:rPr>
                            <w:rFonts w:ascii="Arial" w:eastAsia="Arial" w:hAnsi="Arial" w:cs="Arial"/>
                            <w:b/>
                            <w:i/>
                            <w:sz w:val="18"/>
                          </w:rPr>
                          <w:t>NORME RICHIAMATE</w:t>
                        </w:r>
                      </w:p>
                    </w:txbxContent>
                  </v:textbox>
                </v:rect>
                <v:rect id="Rectangle 14278" o:spid="_x0000_s1233" style="position:absolute;left:4658;top:44131;width:3447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pfMxwAAAN4AAAAPAAAAZHJzL2Rvd25yZXYueG1sRI9Ba8JA&#10;EIXvQv/DMoXedFMRldRVikXMoZeqhR6H7Jikzc4u2dWk/fXOoeBthvfmvW9Wm8G16kpdbDwbeJ5k&#10;oIhLbxuuDJyOu/ESVEzIFlvPZOCXImzWD6MV5tb3/EHXQ6qUhHDM0UCdUsi1jmVNDuPEB2LRzr5z&#10;mGTtKm077CXctXqaZXPtsGFpqDHQtqby53BxBr7eOBS7Xpfnv214/y6W7f5y+jTm6XF4fQGVaEh3&#10;8/91YQV/Nl0Ir7wjM+j1DQAA//8DAFBLAQItABQABgAIAAAAIQDb4fbL7gAAAIUBAAATAAAAAAAA&#10;AAAAAAAAAAAAAABbQ29udGVudF9UeXBlc10ueG1sUEsBAi0AFAAGAAgAAAAhAFr0LFu/AAAAFQEA&#10;AAsAAAAAAAAAAAAAAAAAHwEAAF9yZWxzLy5yZWxzUEsBAi0AFAAGAAgAAAAhAM3el8zHAAAA3gAA&#10;AA8AAAAAAAAAAAAAAAAABwIAAGRycy9kb3ducmV2LnhtbFBLBQYAAAAAAwADALcAAAD7AgAAAAA=&#10;" filled="f" stroked="f">
                  <v:textbox inset="0,0,0,0">
                    <w:txbxContent>
                      <w:p w14:paraId="78509FA8" w14:textId="77777777" w:rsidR="00B32EF2" w:rsidRDefault="00000000">
                        <w:r>
                          <w:rPr>
                            <w:rFonts w:ascii="Arial" w:eastAsia="Arial" w:hAnsi="Arial" w:cs="Arial"/>
                            <w:i/>
                            <w:sz w:val="18"/>
                          </w:rPr>
                          <w:t>art. 38 bis dpr. 633/1972 “Esecuzione dei rimborsi”</w:t>
                        </w:r>
                      </w:p>
                    </w:txbxContent>
                  </v:textbox>
                </v:rect>
                <v:shape id="Shape 14279" o:spid="_x0000_s1234" style="position:absolute;left:317;top:43072;width:39600;height:4642;visibility:visible;mso-wrap-style:square;v-text-anchor:top" coordsize="3960000,464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NxgAAAN4AAAAPAAAAZHJzL2Rvd25yZXYueG1sRE/fa8Iw&#10;EH4f7H8IN9jbTFfcnNUoYyAbThA7QR+P5NYWm0tpUq3+9UYY7O0+vp83nfe2FkdqfeVYwfMgAUGs&#10;nam4ULD9WTy9gfAB2WDtmBScycN8dn83xcy4E2/omIdCxBD2GSooQ2gyKb0uyaIfuIY4cr+utRgi&#10;bAtpWjzFcFvLNElepcWKY0OJDX2UpA95ZxWMq/Xy82V10Htdf3uZ7rp8demUenzo3ycgAvXhX/zn&#10;/jJx/jAdjeH2TrxBzq4AAAD//wMAUEsBAi0AFAAGAAgAAAAhANvh9svuAAAAhQEAABMAAAAAAAAA&#10;AAAAAAAAAAAAAFtDb250ZW50X1R5cGVzXS54bWxQSwECLQAUAAYACAAAACEAWvQsW78AAAAVAQAA&#10;CwAAAAAAAAAAAAAAAAAfAQAAX3JlbHMvLnJlbHNQSwECLQAUAAYACAAAACEAEpJ/zcYAAADeAAAA&#10;DwAAAAAAAAAAAAAAAAAHAgAAZHJzL2Rvd25yZXYueG1sUEsFBgAAAAADAAMAtwAAAPoCAAAAAA==&#10;" path="m,464299r3960000,l3960000,,,,,464299xe" filled="f" strokeweight="1pt">
                  <v:stroke miterlimit="1" joinstyle="miter"/>
                  <v:path arrowok="t" textboxrect="0,0,3960000,464299"/>
                </v:shape>
                <w10:anchorlock/>
              </v:group>
            </w:pict>
          </mc:Fallback>
        </mc:AlternateContent>
      </w:r>
    </w:p>
    <w:p w14:paraId="634256E2" w14:textId="77777777" w:rsidR="00B32EF2" w:rsidRDefault="00000000">
      <w:pPr>
        <w:spacing w:after="0"/>
        <w:ind w:left="-356" w:right="-306"/>
      </w:pPr>
      <w:r>
        <w:rPr>
          <w:noProof/>
        </w:rPr>
        <w:lastRenderedPageBreak/>
        <mc:AlternateContent>
          <mc:Choice Requires="wpg">
            <w:drawing>
              <wp:inline distT="0" distB="0" distL="0" distR="0" wp14:anchorId="5AA6CA2C" wp14:editId="4BA6EF19">
                <wp:extent cx="3991937" cy="6262854"/>
                <wp:effectExtent l="0" t="0" r="0" b="0"/>
                <wp:docPr id="199935" name="Group 199935"/>
                <wp:cNvGraphicFramePr/>
                <a:graphic xmlns:a="http://schemas.openxmlformats.org/drawingml/2006/main">
                  <a:graphicData uri="http://schemas.microsoft.com/office/word/2010/wordprocessingGroup">
                    <wpg:wgp>
                      <wpg:cNvGrpSpPr/>
                      <wpg:grpSpPr>
                        <a:xfrm>
                          <a:off x="0" y="0"/>
                          <a:ext cx="3991937" cy="6262854"/>
                          <a:chOff x="0" y="0"/>
                          <a:chExt cx="3991937" cy="6262854"/>
                        </a:xfrm>
                      </wpg:grpSpPr>
                      <wps:wsp>
                        <wps:cNvPr id="14305" name="Rectangle 14305"/>
                        <wps:cNvSpPr/>
                        <wps:spPr>
                          <a:xfrm rot="-10799999">
                            <a:off x="1844831" y="-62190"/>
                            <a:ext cx="267553" cy="250646"/>
                          </a:xfrm>
                          <a:prstGeom prst="rect">
                            <a:avLst/>
                          </a:prstGeom>
                          <a:ln>
                            <a:noFill/>
                          </a:ln>
                        </wps:spPr>
                        <wps:txbx>
                          <w:txbxContent>
                            <w:p w14:paraId="403B0094" w14:textId="77777777" w:rsidR="00B32EF2" w:rsidRDefault="00000000">
                              <w:r>
                                <w:rPr>
                                  <w:rFonts w:ascii="Times New Roman" w:eastAsia="Times New Roman" w:hAnsi="Times New Roman" w:cs="Times New Roman"/>
                                </w:rPr>
                                <w:t>103</w:t>
                              </w:r>
                            </w:p>
                          </w:txbxContent>
                        </wps:txbx>
                        <wps:bodyPr horzOverflow="overflow" vert="horz" lIns="0" tIns="0" rIns="0" bIns="0" rtlCol="0">
                          <a:noAutofit/>
                        </wps:bodyPr>
                      </wps:wsp>
                      <wps:wsp>
                        <wps:cNvPr id="14306" name="Rectangle 14306"/>
                        <wps:cNvSpPr/>
                        <wps:spPr>
                          <a:xfrm rot="-10799999">
                            <a:off x="-1316552" y="6119964"/>
                            <a:ext cx="5307212" cy="142890"/>
                          </a:xfrm>
                          <a:prstGeom prst="rect">
                            <a:avLst/>
                          </a:prstGeom>
                          <a:ln>
                            <a:noFill/>
                          </a:ln>
                        </wps:spPr>
                        <wps:txbx>
                          <w:txbxContent>
                            <w:p w14:paraId="2765B50B" w14:textId="77777777" w:rsidR="00B32EF2" w:rsidRDefault="00000000">
                              <w:r>
                                <w:rPr>
                                  <w:rFonts w:ascii="Arial" w:eastAsia="Arial" w:hAnsi="Arial" w:cs="Arial"/>
                                  <w:sz w:val="18"/>
                                </w:rPr>
                                <w:t xml:space="preserve">statuito dalla sentenza della corte di giustizia tributaria di, con i relativi interessi </w:t>
                              </w:r>
                            </w:p>
                          </w:txbxContent>
                        </wps:txbx>
                        <wps:bodyPr horzOverflow="overflow" vert="horz" lIns="0" tIns="0" rIns="0" bIns="0" rtlCol="0">
                          <a:noAutofit/>
                        </wps:bodyPr>
                      </wps:wsp>
                      <wps:wsp>
                        <wps:cNvPr id="14307" name="Rectangle 14307"/>
                        <wps:cNvSpPr/>
                        <wps:spPr>
                          <a:xfrm rot="-10799999">
                            <a:off x="-1316613" y="5996634"/>
                            <a:ext cx="5307272" cy="142891"/>
                          </a:xfrm>
                          <a:prstGeom prst="rect">
                            <a:avLst/>
                          </a:prstGeom>
                          <a:ln>
                            <a:noFill/>
                          </a:ln>
                        </wps:spPr>
                        <wps:txbx>
                          <w:txbxContent>
                            <w:p w14:paraId="23322CAC" w14:textId="77777777" w:rsidR="00B32EF2" w:rsidRDefault="00000000">
                              <w:r>
                                <w:rPr>
                                  <w:rFonts w:ascii="Arial" w:eastAsia="Arial" w:hAnsi="Arial" w:cs="Arial"/>
                                  <w:sz w:val="18"/>
                                </w:rPr>
                                <w:t xml:space="preserve">previsti dalle leggi fiscali, deve essere rimborsato d’ufficio entro novanta giorni </w:t>
                              </w:r>
                            </w:p>
                          </w:txbxContent>
                        </wps:txbx>
                        <wps:bodyPr horzOverflow="overflow" vert="horz" lIns="0" tIns="0" rIns="0" bIns="0" rtlCol="0">
                          <a:noAutofit/>
                        </wps:bodyPr>
                      </wps:wsp>
                      <wps:wsp>
                        <wps:cNvPr id="14308" name="Rectangle 14308"/>
                        <wps:cNvSpPr/>
                        <wps:spPr>
                          <a:xfrm rot="-10799999">
                            <a:off x="-1316522" y="5873305"/>
                            <a:ext cx="5307182" cy="142889"/>
                          </a:xfrm>
                          <a:prstGeom prst="rect">
                            <a:avLst/>
                          </a:prstGeom>
                          <a:ln>
                            <a:noFill/>
                          </a:ln>
                        </wps:spPr>
                        <wps:txbx>
                          <w:txbxContent>
                            <w:p w14:paraId="307ABF19" w14:textId="77777777" w:rsidR="00B32EF2" w:rsidRDefault="00000000">
                              <w:r>
                                <w:rPr>
                                  <w:rFonts w:ascii="Arial" w:eastAsia="Arial" w:hAnsi="Arial" w:cs="Arial"/>
                                  <w:sz w:val="18"/>
                                </w:rPr>
                                <w:t xml:space="preserve">dalla notificazione della sentenza. In caso di mancata esecuzione del rimborso </w:t>
                              </w:r>
                            </w:p>
                          </w:txbxContent>
                        </wps:txbx>
                        <wps:bodyPr horzOverflow="overflow" vert="horz" lIns="0" tIns="0" rIns="0" bIns="0" rtlCol="0">
                          <a:noAutofit/>
                        </wps:bodyPr>
                      </wps:wsp>
                      <wps:wsp>
                        <wps:cNvPr id="14309" name="Rectangle 14309"/>
                        <wps:cNvSpPr/>
                        <wps:spPr>
                          <a:xfrm rot="-10799999">
                            <a:off x="-1316536" y="5749976"/>
                            <a:ext cx="5307196" cy="142889"/>
                          </a:xfrm>
                          <a:prstGeom prst="rect">
                            <a:avLst/>
                          </a:prstGeom>
                          <a:ln>
                            <a:noFill/>
                          </a:ln>
                        </wps:spPr>
                        <wps:txbx>
                          <w:txbxContent>
                            <w:p w14:paraId="16AEC3F8" w14:textId="77777777" w:rsidR="00B32EF2" w:rsidRDefault="00000000">
                              <w:r>
                                <w:rPr>
                                  <w:rFonts w:ascii="Arial" w:eastAsia="Arial" w:hAnsi="Arial" w:cs="Arial"/>
                                  <w:sz w:val="18"/>
                                </w:rPr>
                                <w:t xml:space="preserve">il contribuente può richiedere l’ottemperanza a norma dell’articolo 128 alla corte </w:t>
                              </w:r>
                            </w:p>
                          </w:txbxContent>
                        </wps:txbx>
                        <wps:bodyPr horzOverflow="overflow" vert="horz" lIns="0" tIns="0" rIns="0" bIns="0" rtlCol="0">
                          <a:noAutofit/>
                        </wps:bodyPr>
                      </wps:wsp>
                      <wps:wsp>
                        <wps:cNvPr id="14310" name="Rectangle 14310"/>
                        <wps:cNvSpPr/>
                        <wps:spPr>
                          <a:xfrm rot="-10799999">
                            <a:off x="-1316567" y="5626646"/>
                            <a:ext cx="5307227" cy="142889"/>
                          </a:xfrm>
                          <a:prstGeom prst="rect">
                            <a:avLst/>
                          </a:prstGeom>
                          <a:ln>
                            <a:noFill/>
                          </a:ln>
                        </wps:spPr>
                        <wps:txbx>
                          <w:txbxContent>
                            <w:p w14:paraId="38BCEE5D" w14:textId="77777777" w:rsidR="00B32EF2" w:rsidRDefault="00000000">
                              <w:r>
                                <w:rPr>
                                  <w:rFonts w:ascii="Arial" w:eastAsia="Arial" w:hAnsi="Arial" w:cs="Arial"/>
                                  <w:sz w:val="18"/>
                                </w:rPr>
                                <w:t xml:space="preserve">di giustizia tributaria di primo grado ovvero, se il giudizio è pendente nei gradi </w:t>
                              </w:r>
                            </w:p>
                          </w:txbxContent>
                        </wps:txbx>
                        <wps:bodyPr horzOverflow="overflow" vert="horz" lIns="0" tIns="0" rIns="0" bIns="0" rtlCol="0">
                          <a:noAutofit/>
                        </wps:bodyPr>
                      </wps:wsp>
                      <wps:wsp>
                        <wps:cNvPr id="14311" name="Rectangle 14311"/>
                        <wps:cNvSpPr/>
                        <wps:spPr>
                          <a:xfrm rot="-10799999">
                            <a:off x="-209246" y="5503316"/>
                            <a:ext cx="4199906" cy="142889"/>
                          </a:xfrm>
                          <a:prstGeom prst="rect">
                            <a:avLst/>
                          </a:prstGeom>
                          <a:ln>
                            <a:noFill/>
                          </a:ln>
                        </wps:spPr>
                        <wps:txbx>
                          <w:txbxContent>
                            <w:p w14:paraId="04BA91B8" w14:textId="77777777" w:rsidR="00B32EF2" w:rsidRDefault="00000000">
                              <w:r>
                                <w:rPr>
                                  <w:rFonts w:ascii="Arial" w:eastAsia="Arial" w:hAnsi="Arial" w:cs="Arial"/>
                                  <w:sz w:val="18"/>
                                </w:rPr>
                                <w:t>successivi, alla corte di giustizia tributaria di secondo grado. (1)</w:t>
                              </w:r>
                            </w:p>
                          </w:txbxContent>
                        </wps:txbx>
                        <wps:bodyPr horzOverflow="overflow" vert="horz" lIns="0" tIns="0" rIns="0" bIns="0" rtlCol="0">
                          <a:noAutofit/>
                        </wps:bodyPr>
                      </wps:wsp>
                      <wps:wsp>
                        <wps:cNvPr id="199868" name="Rectangle 199868"/>
                        <wps:cNvSpPr/>
                        <wps:spPr>
                          <a:xfrm rot="-10799999">
                            <a:off x="2611002" y="5379987"/>
                            <a:ext cx="5308915" cy="142889"/>
                          </a:xfrm>
                          <a:prstGeom prst="rect">
                            <a:avLst/>
                          </a:prstGeom>
                          <a:ln>
                            <a:noFill/>
                          </a:ln>
                        </wps:spPr>
                        <wps:txbx>
                          <w:txbxContent>
                            <w:p w14:paraId="159BE2FB"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99869" name="Rectangle 199869"/>
                        <wps:cNvSpPr/>
                        <wps:spPr>
                          <a:xfrm rot="-10799999">
                            <a:off x="-1381634" y="5379987"/>
                            <a:ext cx="5308914" cy="142889"/>
                          </a:xfrm>
                          <a:prstGeom prst="rect">
                            <a:avLst/>
                          </a:prstGeom>
                          <a:ln>
                            <a:noFill/>
                          </a:ln>
                        </wps:spPr>
                        <wps:txbx>
                          <w:txbxContent>
                            <w:p w14:paraId="21F2CB65" w14:textId="77777777" w:rsidR="00B32EF2" w:rsidRDefault="00000000">
                              <w:r>
                                <w:rPr>
                                  <w:rFonts w:ascii="Arial" w:eastAsia="Arial" w:hAnsi="Arial" w:cs="Arial"/>
                                  <w:sz w:val="18"/>
                                </w:rPr>
                                <w:t xml:space="preserve">. Le imposte suppletive debbono essere corrisposte dopo l’ultima sentenza </w:t>
                              </w:r>
                            </w:p>
                          </w:txbxContent>
                        </wps:txbx>
                        <wps:bodyPr horzOverflow="overflow" vert="horz" lIns="0" tIns="0" rIns="0" bIns="0" rtlCol="0">
                          <a:noAutofit/>
                        </wps:bodyPr>
                      </wps:wsp>
                      <wps:wsp>
                        <wps:cNvPr id="14313" name="Rectangle 14313"/>
                        <wps:cNvSpPr/>
                        <wps:spPr>
                          <a:xfrm rot="-10799999">
                            <a:off x="-213909" y="5256657"/>
                            <a:ext cx="4205712" cy="142889"/>
                          </a:xfrm>
                          <a:prstGeom prst="rect">
                            <a:avLst/>
                          </a:prstGeom>
                          <a:ln>
                            <a:noFill/>
                          </a:ln>
                        </wps:spPr>
                        <wps:txbx>
                          <w:txbxContent>
                            <w:p w14:paraId="7274644A" w14:textId="77777777" w:rsidR="00B32EF2" w:rsidRDefault="00000000">
                              <w:r>
                                <w:rPr>
                                  <w:rFonts w:ascii="Arial" w:eastAsia="Arial" w:hAnsi="Arial" w:cs="Arial"/>
                                  <w:sz w:val="18"/>
                                </w:rPr>
                                <w:t xml:space="preserve">non impugnata o impugnabile solo con ricorso in cassazione. </w:t>
                              </w:r>
                            </w:p>
                          </w:txbxContent>
                        </wps:txbx>
                        <wps:bodyPr horzOverflow="overflow" vert="horz" lIns="0" tIns="0" rIns="0" bIns="0" rtlCol="0">
                          <a:noAutofit/>
                        </wps:bodyPr>
                      </wps:wsp>
                      <wps:wsp>
                        <wps:cNvPr id="199866" name="Rectangle 199866"/>
                        <wps:cNvSpPr/>
                        <wps:spPr>
                          <a:xfrm rot="-10799999">
                            <a:off x="2610618" y="5133327"/>
                            <a:ext cx="5310465" cy="142889"/>
                          </a:xfrm>
                          <a:prstGeom prst="rect">
                            <a:avLst/>
                          </a:prstGeom>
                          <a:ln>
                            <a:noFill/>
                          </a:ln>
                        </wps:spPr>
                        <wps:txbx>
                          <w:txbxContent>
                            <w:p w14:paraId="6D657D41"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99867" name="Rectangle 199867"/>
                        <wps:cNvSpPr/>
                        <wps:spPr>
                          <a:xfrm rot="-10799999">
                            <a:off x="-1380773" y="5133327"/>
                            <a:ext cx="5310465" cy="142889"/>
                          </a:xfrm>
                          <a:prstGeom prst="rect">
                            <a:avLst/>
                          </a:prstGeom>
                          <a:ln>
                            <a:noFill/>
                          </a:ln>
                        </wps:spPr>
                        <wps:txbx>
                          <w:txbxContent>
                            <w:p w14:paraId="652A8C0E" w14:textId="77777777" w:rsidR="00B32EF2" w:rsidRDefault="00000000">
                              <w:r>
                                <w:rPr>
                                  <w:rFonts w:ascii="Arial" w:eastAsia="Arial" w:hAnsi="Arial" w:cs="Arial"/>
                                  <w:sz w:val="18"/>
                                </w:rPr>
                                <w:t xml:space="preserve">. Il pagamento, in pendenza di processo, delle risorse proprie tradizionali di </w:t>
                              </w:r>
                            </w:p>
                          </w:txbxContent>
                        </wps:txbx>
                        <wps:bodyPr horzOverflow="overflow" vert="horz" lIns="0" tIns="0" rIns="0" bIns="0" rtlCol="0">
                          <a:noAutofit/>
                        </wps:bodyPr>
                      </wps:wsp>
                      <wps:wsp>
                        <wps:cNvPr id="14315" name="Rectangle 14315"/>
                        <wps:cNvSpPr/>
                        <wps:spPr>
                          <a:xfrm rot="-10799999">
                            <a:off x="-1220853" y="5009998"/>
                            <a:ext cx="5212656" cy="142889"/>
                          </a:xfrm>
                          <a:prstGeom prst="rect">
                            <a:avLst/>
                          </a:prstGeom>
                          <a:ln>
                            <a:noFill/>
                          </a:ln>
                        </wps:spPr>
                        <wps:txbx>
                          <w:txbxContent>
                            <w:p w14:paraId="73C9C635" w14:textId="77777777" w:rsidR="00B32EF2" w:rsidRDefault="00000000">
                              <w:r>
                                <w:rPr>
                                  <w:rFonts w:ascii="Arial" w:eastAsia="Arial" w:hAnsi="Arial" w:cs="Arial"/>
                                  <w:sz w:val="18"/>
                                </w:rPr>
                                <w:t>cui all’articolo 2, paragrafo 1, lettera a), della decisione 2020/2053/UE, Eu</w:t>
                              </w:r>
                            </w:p>
                          </w:txbxContent>
                        </wps:txbx>
                        <wps:bodyPr horzOverflow="overflow" vert="horz" lIns="0" tIns="0" rIns="0" bIns="0" rtlCol="0">
                          <a:noAutofit/>
                        </wps:bodyPr>
                      </wps:wsp>
                      <wps:wsp>
                        <wps:cNvPr id="14316" name="Rectangle 14316"/>
                        <wps:cNvSpPr/>
                        <wps:spPr>
                          <a:xfrm rot="-10799999">
                            <a:off x="19204" y="5009997"/>
                            <a:ext cx="50622" cy="142889"/>
                          </a:xfrm>
                          <a:prstGeom prst="rect">
                            <a:avLst/>
                          </a:prstGeom>
                          <a:ln>
                            <a:noFill/>
                          </a:ln>
                        </wps:spPr>
                        <wps:txbx>
                          <w:txbxContent>
                            <w:p w14:paraId="2479E6F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317" name="Rectangle 14317"/>
                        <wps:cNvSpPr/>
                        <wps:spPr>
                          <a:xfrm rot="-10799999">
                            <a:off x="-1317187" y="4886668"/>
                            <a:ext cx="5308990" cy="142889"/>
                          </a:xfrm>
                          <a:prstGeom prst="rect">
                            <a:avLst/>
                          </a:prstGeom>
                          <a:ln>
                            <a:noFill/>
                          </a:ln>
                        </wps:spPr>
                        <wps:txbx>
                          <w:txbxContent>
                            <w:p w14:paraId="06C3CF65" w14:textId="77777777" w:rsidR="00B32EF2" w:rsidRDefault="00000000">
                              <w:r>
                                <w:rPr>
                                  <w:rFonts w:ascii="Arial" w:eastAsia="Arial" w:hAnsi="Arial" w:cs="Arial"/>
                                  <w:sz w:val="18"/>
                                </w:rPr>
                                <w:t xml:space="preserve">ratom del Consiglio, del 14 dicembre 2020 e dell’imposta sul valore aggiunto </w:t>
                              </w:r>
                            </w:p>
                          </w:txbxContent>
                        </wps:txbx>
                        <wps:bodyPr horzOverflow="overflow" vert="horz" lIns="0" tIns="0" rIns="0" bIns="0" rtlCol="0">
                          <a:noAutofit/>
                        </wps:bodyPr>
                      </wps:wsp>
                      <wps:wsp>
                        <wps:cNvPr id="14318" name="Rectangle 14318"/>
                        <wps:cNvSpPr/>
                        <wps:spPr>
                          <a:xfrm rot="-10799999">
                            <a:off x="-1317203" y="4763338"/>
                            <a:ext cx="5309006" cy="142889"/>
                          </a:xfrm>
                          <a:prstGeom prst="rect">
                            <a:avLst/>
                          </a:prstGeom>
                          <a:ln>
                            <a:noFill/>
                          </a:ln>
                        </wps:spPr>
                        <wps:txbx>
                          <w:txbxContent>
                            <w:p w14:paraId="68283569" w14:textId="77777777" w:rsidR="00B32EF2" w:rsidRDefault="00000000">
                              <w:r>
                                <w:rPr>
                                  <w:rFonts w:ascii="Arial" w:eastAsia="Arial" w:hAnsi="Arial" w:cs="Arial"/>
                                  <w:sz w:val="18"/>
                                </w:rPr>
                                <w:t xml:space="preserve">riscossa all’importazione resta disciplinato dal regolamento (UE) n. 952/2013 </w:t>
                              </w:r>
                            </w:p>
                          </w:txbxContent>
                        </wps:txbx>
                        <wps:bodyPr horzOverflow="overflow" vert="horz" lIns="0" tIns="0" rIns="0" bIns="0" rtlCol="0">
                          <a:noAutofit/>
                        </wps:bodyPr>
                      </wps:wsp>
                      <wps:wsp>
                        <wps:cNvPr id="14319" name="Rectangle 14319"/>
                        <wps:cNvSpPr/>
                        <wps:spPr>
                          <a:xfrm rot="-10799999">
                            <a:off x="-1218664" y="4640009"/>
                            <a:ext cx="5210467" cy="142889"/>
                          </a:xfrm>
                          <a:prstGeom prst="rect">
                            <a:avLst/>
                          </a:prstGeom>
                          <a:ln>
                            <a:noFill/>
                          </a:ln>
                        </wps:spPr>
                        <wps:txbx>
                          <w:txbxContent>
                            <w:p w14:paraId="3625BF0B" w14:textId="77777777" w:rsidR="00B32EF2" w:rsidRDefault="00000000">
                              <w:r>
                                <w:rPr>
                                  <w:rFonts w:ascii="Arial" w:eastAsia="Arial" w:hAnsi="Arial" w:cs="Arial"/>
                                  <w:sz w:val="18"/>
                                </w:rPr>
                                <w:t>del Parlamento europeo e del Consiglio, del 9 ottobre 2013, e dalle altre dispo</w:t>
                              </w:r>
                            </w:p>
                          </w:txbxContent>
                        </wps:txbx>
                        <wps:bodyPr horzOverflow="overflow" vert="horz" lIns="0" tIns="0" rIns="0" bIns="0" rtlCol="0">
                          <a:noAutofit/>
                        </wps:bodyPr>
                      </wps:wsp>
                      <wps:wsp>
                        <wps:cNvPr id="14320" name="Rectangle 14320"/>
                        <wps:cNvSpPr/>
                        <wps:spPr>
                          <a:xfrm rot="-10799999">
                            <a:off x="19204" y="4640008"/>
                            <a:ext cx="50622" cy="142889"/>
                          </a:xfrm>
                          <a:prstGeom prst="rect">
                            <a:avLst/>
                          </a:prstGeom>
                          <a:ln>
                            <a:noFill/>
                          </a:ln>
                        </wps:spPr>
                        <wps:txbx>
                          <w:txbxContent>
                            <w:p w14:paraId="7A442E2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321" name="Rectangle 14321"/>
                        <wps:cNvSpPr/>
                        <wps:spPr>
                          <a:xfrm rot="-10799999">
                            <a:off x="1389647" y="4516679"/>
                            <a:ext cx="2602155" cy="142889"/>
                          </a:xfrm>
                          <a:prstGeom prst="rect">
                            <a:avLst/>
                          </a:prstGeom>
                          <a:ln>
                            <a:noFill/>
                          </a:ln>
                        </wps:spPr>
                        <wps:txbx>
                          <w:txbxContent>
                            <w:p w14:paraId="608DD1C8" w14:textId="77777777" w:rsidR="00B32EF2" w:rsidRDefault="00000000">
                              <w:r>
                                <w:rPr>
                                  <w:rFonts w:ascii="Arial" w:eastAsia="Arial" w:hAnsi="Arial" w:cs="Arial"/>
                                  <w:sz w:val="18"/>
                                </w:rPr>
                                <w:t>sizioni dell’Unione europea in materia.</w:t>
                              </w:r>
                            </w:p>
                          </w:txbxContent>
                        </wps:txbx>
                        <wps:bodyPr horzOverflow="overflow" vert="horz" lIns="0" tIns="0" rIns="0" bIns="0" rtlCol="0">
                          <a:noAutofit/>
                        </wps:bodyPr>
                      </wps:wsp>
                      <wps:wsp>
                        <wps:cNvPr id="199864" name="Rectangle 199864"/>
                        <wps:cNvSpPr/>
                        <wps:spPr>
                          <a:xfrm rot="-10799999">
                            <a:off x="2610972" y="4393349"/>
                            <a:ext cx="5309036" cy="142889"/>
                          </a:xfrm>
                          <a:prstGeom prst="rect">
                            <a:avLst/>
                          </a:prstGeom>
                          <a:ln>
                            <a:noFill/>
                          </a:ln>
                        </wps:spPr>
                        <wps:txbx>
                          <w:txbxContent>
                            <w:p w14:paraId="46665DF9"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199865" name="Rectangle 199865"/>
                        <wps:cNvSpPr/>
                        <wps:spPr>
                          <a:xfrm rot="-10799999">
                            <a:off x="-1381629" y="4393349"/>
                            <a:ext cx="5309036" cy="142889"/>
                          </a:xfrm>
                          <a:prstGeom prst="rect">
                            <a:avLst/>
                          </a:prstGeom>
                          <a:ln>
                            <a:noFill/>
                          </a:ln>
                        </wps:spPr>
                        <wps:txbx>
                          <w:txbxContent>
                            <w:p w14:paraId="2A535F42" w14:textId="77777777" w:rsidR="00B32EF2" w:rsidRDefault="00000000">
                              <w:r>
                                <w:rPr>
                                  <w:rFonts w:ascii="Arial" w:eastAsia="Arial" w:hAnsi="Arial" w:cs="Arial"/>
                                  <w:sz w:val="18"/>
                                </w:rPr>
                                <w:t xml:space="preserve">. Con riferimento all’esecuzione delle sanzioni, in caso di ricorso alle corti di </w:t>
                              </w:r>
                            </w:p>
                          </w:txbxContent>
                        </wps:txbx>
                        <wps:bodyPr horzOverflow="overflow" vert="horz" lIns="0" tIns="0" rIns="0" bIns="0" rtlCol="0">
                          <a:noAutofit/>
                        </wps:bodyPr>
                      </wps:wsp>
                      <wps:wsp>
                        <wps:cNvPr id="14323" name="Rectangle 14323"/>
                        <wps:cNvSpPr/>
                        <wps:spPr>
                          <a:xfrm rot="-10799999">
                            <a:off x="-1317233" y="4270019"/>
                            <a:ext cx="5309035" cy="142889"/>
                          </a:xfrm>
                          <a:prstGeom prst="rect">
                            <a:avLst/>
                          </a:prstGeom>
                          <a:ln>
                            <a:noFill/>
                          </a:ln>
                        </wps:spPr>
                        <wps:txbx>
                          <w:txbxContent>
                            <w:p w14:paraId="78F9276B" w14:textId="77777777" w:rsidR="00B32EF2" w:rsidRDefault="00000000">
                              <w:r>
                                <w:rPr>
                                  <w:rFonts w:ascii="Arial" w:eastAsia="Arial" w:hAnsi="Arial" w:cs="Arial"/>
                                  <w:sz w:val="18"/>
                                </w:rPr>
                                <w:t xml:space="preserve">giustizia tributaria, anche nei casi in cui non è prevista riscossione frazionata </w:t>
                              </w:r>
                            </w:p>
                          </w:txbxContent>
                        </wps:txbx>
                        <wps:bodyPr horzOverflow="overflow" vert="horz" lIns="0" tIns="0" rIns="0" bIns="0" rtlCol="0">
                          <a:noAutofit/>
                        </wps:bodyPr>
                      </wps:wsp>
                      <wps:wsp>
                        <wps:cNvPr id="14324" name="Rectangle 14324"/>
                        <wps:cNvSpPr/>
                        <wps:spPr>
                          <a:xfrm rot="-10799999">
                            <a:off x="495364" y="4146690"/>
                            <a:ext cx="3496437" cy="142889"/>
                          </a:xfrm>
                          <a:prstGeom prst="rect">
                            <a:avLst/>
                          </a:prstGeom>
                          <a:ln>
                            <a:noFill/>
                          </a:ln>
                        </wps:spPr>
                        <wps:txbx>
                          <w:txbxContent>
                            <w:p w14:paraId="48E3FF84" w14:textId="77777777" w:rsidR="00B32EF2" w:rsidRDefault="00000000">
                              <w:r>
                                <w:rPr>
                                  <w:rFonts w:ascii="Arial" w:eastAsia="Arial" w:hAnsi="Arial" w:cs="Arial"/>
                                  <w:sz w:val="18"/>
                                </w:rPr>
                                <w:t>si applicano le disposizioni dettate dai commi 1 e 2.</w:t>
                              </w:r>
                            </w:p>
                          </w:txbxContent>
                        </wps:txbx>
                        <wps:bodyPr horzOverflow="overflow" vert="horz" lIns="0" tIns="0" rIns="0" bIns="0" rtlCol="0">
                          <a:noAutofit/>
                        </wps:bodyPr>
                      </wps:wsp>
                      <wps:wsp>
                        <wps:cNvPr id="199862" name="Rectangle 199862"/>
                        <wps:cNvSpPr/>
                        <wps:spPr>
                          <a:xfrm rot="-10799999">
                            <a:off x="2635429" y="4023360"/>
                            <a:ext cx="5210467" cy="142889"/>
                          </a:xfrm>
                          <a:prstGeom prst="rect">
                            <a:avLst/>
                          </a:prstGeom>
                          <a:ln>
                            <a:noFill/>
                          </a:ln>
                        </wps:spPr>
                        <wps:txbx>
                          <w:txbxContent>
                            <w:p w14:paraId="1D8B0D69"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199863" name="Rectangle 199863"/>
                        <wps:cNvSpPr/>
                        <wps:spPr>
                          <a:xfrm rot="-10799999">
                            <a:off x="-1282969" y="4023360"/>
                            <a:ext cx="5210467" cy="142889"/>
                          </a:xfrm>
                          <a:prstGeom prst="rect">
                            <a:avLst/>
                          </a:prstGeom>
                          <a:ln>
                            <a:noFill/>
                          </a:ln>
                        </wps:spPr>
                        <wps:txbx>
                          <w:txbxContent>
                            <w:p w14:paraId="3E84C1B9" w14:textId="77777777" w:rsidR="00B32EF2" w:rsidRDefault="00000000">
                              <w:r>
                                <w:rPr>
                                  <w:rFonts w:ascii="Arial" w:eastAsia="Arial" w:hAnsi="Arial" w:cs="Arial"/>
                                  <w:sz w:val="18"/>
                                </w:rPr>
                                <w:t>. La corte di giustizia tributaria di secondo grado può sospendere l’esecuzio</w:t>
                              </w:r>
                            </w:p>
                          </w:txbxContent>
                        </wps:txbx>
                        <wps:bodyPr horzOverflow="overflow" vert="horz" lIns="0" tIns="0" rIns="0" bIns="0" rtlCol="0">
                          <a:noAutofit/>
                        </wps:bodyPr>
                      </wps:wsp>
                      <wps:wsp>
                        <wps:cNvPr id="14326" name="Rectangle 14326"/>
                        <wps:cNvSpPr/>
                        <wps:spPr>
                          <a:xfrm rot="-10799999">
                            <a:off x="19204" y="4023360"/>
                            <a:ext cx="50622" cy="142889"/>
                          </a:xfrm>
                          <a:prstGeom prst="rect">
                            <a:avLst/>
                          </a:prstGeom>
                          <a:ln>
                            <a:noFill/>
                          </a:ln>
                        </wps:spPr>
                        <wps:txbx>
                          <w:txbxContent>
                            <w:p w14:paraId="147F233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327" name="Rectangle 14327"/>
                        <wps:cNvSpPr/>
                        <wps:spPr>
                          <a:xfrm rot="-10799999">
                            <a:off x="-503855" y="3900030"/>
                            <a:ext cx="4495658" cy="142889"/>
                          </a:xfrm>
                          <a:prstGeom prst="rect">
                            <a:avLst/>
                          </a:prstGeom>
                          <a:ln>
                            <a:noFill/>
                          </a:ln>
                        </wps:spPr>
                        <wps:txbx>
                          <w:txbxContent>
                            <w:p w14:paraId="4AE2AA95" w14:textId="77777777" w:rsidR="00B32EF2" w:rsidRDefault="00000000">
                              <w:r>
                                <w:rPr>
                                  <w:rFonts w:ascii="Arial" w:eastAsia="Arial" w:hAnsi="Arial" w:cs="Arial"/>
                                  <w:sz w:val="18"/>
                                </w:rPr>
                                <w:t>ne applicando, in quanto compatibili, le previsioni dell’articolo 106.</w:t>
                              </w:r>
                            </w:p>
                          </w:txbxContent>
                        </wps:txbx>
                        <wps:bodyPr horzOverflow="overflow" vert="horz" lIns="0" tIns="0" rIns="0" bIns="0" rtlCol="0">
                          <a:noAutofit/>
                        </wps:bodyPr>
                      </wps:wsp>
                      <wps:wsp>
                        <wps:cNvPr id="199861" name="Rectangle 199861"/>
                        <wps:cNvSpPr/>
                        <wps:spPr>
                          <a:xfrm rot="-10799999">
                            <a:off x="-1369784" y="3776701"/>
                            <a:ext cx="5309021" cy="142889"/>
                          </a:xfrm>
                          <a:prstGeom prst="rect">
                            <a:avLst/>
                          </a:prstGeom>
                          <a:ln>
                            <a:noFill/>
                          </a:ln>
                        </wps:spPr>
                        <wps:txbx>
                          <w:txbxContent>
                            <w:p w14:paraId="2754E376" w14:textId="77777777" w:rsidR="00B32EF2" w:rsidRDefault="00000000">
                              <w:r>
                                <w:rPr>
                                  <w:rFonts w:ascii="Arial" w:eastAsia="Arial" w:hAnsi="Arial" w:cs="Arial"/>
                                  <w:sz w:val="18"/>
                                </w:rPr>
                                <w:t xml:space="preserve">. La sospensione deve essere concessa se viene prestata la garanzia di cui </w:t>
                              </w:r>
                            </w:p>
                          </w:txbxContent>
                        </wps:txbx>
                        <wps:bodyPr horzOverflow="overflow" vert="horz" lIns="0" tIns="0" rIns="0" bIns="0" rtlCol="0">
                          <a:noAutofit/>
                        </wps:bodyPr>
                      </wps:wsp>
                      <wps:wsp>
                        <wps:cNvPr id="199860" name="Rectangle 199860"/>
                        <wps:cNvSpPr/>
                        <wps:spPr>
                          <a:xfrm rot="-10799999">
                            <a:off x="2610976" y="3776701"/>
                            <a:ext cx="5309020" cy="142889"/>
                          </a:xfrm>
                          <a:prstGeom prst="rect">
                            <a:avLst/>
                          </a:prstGeom>
                          <a:ln>
                            <a:noFill/>
                          </a:ln>
                        </wps:spPr>
                        <wps:txbx>
                          <w:txbxContent>
                            <w:p w14:paraId="62F54ABE"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14329" name="Rectangle 14329"/>
                        <wps:cNvSpPr/>
                        <wps:spPr>
                          <a:xfrm rot="-10799999">
                            <a:off x="2985102" y="3653371"/>
                            <a:ext cx="1006700" cy="142889"/>
                          </a:xfrm>
                          <a:prstGeom prst="rect">
                            <a:avLst/>
                          </a:prstGeom>
                          <a:ln>
                            <a:noFill/>
                          </a:ln>
                        </wps:spPr>
                        <wps:txbx>
                          <w:txbxContent>
                            <w:p w14:paraId="1C36CCB8" w14:textId="77777777" w:rsidR="00B32EF2" w:rsidRDefault="00000000">
                              <w:r>
                                <w:rPr>
                                  <w:rFonts w:ascii="Arial" w:eastAsia="Arial" w:hAnsi="Arial" w:cs="Arial"/>
                                  <w:sz w:val="18"/>
                                </w:rPr>
                                <w:t>all’articolo 127.</w:t>
                              </w:r>
                            </w:p>
                          </w:txbxContent>
                        </wps:txbx>
                        <wps:bodyPr horzOverflow="overflow" vert="horz" lIns="0" tIns="0" rIns="0" bIns="0" rtlCol="0">
                          <a:noAutofit/>
                        </wps:bodyPr>
                      </wps:wsp>
                      <wps:wsp>
                        <wps:cNvPr id="199859" name="Rectangle 199859"/>
                        <wps:cNvSpPr/>
                        <wps:spPr>
                          <a:xfrm rot="-10799999">
                            <a:off x="-1382072" y="3530041"/>
                            <a:ext cx="5309021" cy="142889"/>
                          </a:xfrm>
                          <a:prstGeom prst="rect">
                            <a:avLst/>
                          </a:prstGeom>
                          <a:ln>
                            <a:noFill/>
                          </a:ln>
                        </wps:spPr>
                        <wps:txbx>
                          <w:txbxContent>
                            <w:p w14:paraId="429E3703" w14:textId="77777777" w:rsidR="00B32EF2" w:rsidRDefault="00000000">
                              <w:r>
                                <w:rPr>
                                  <w:rFonts w:ascii="Arial" w:eastAsia="Arial" w:hAnsi="Arial" w:cs="Arial"/>
                                  <w:sz w:val="18"/>
                                </w:rPr>
                                <w:t xml:space="preserve">. Se in esito alla sentenza di primo o di secondo grado la somma corrisposta </w:t>
                              </w:r>
                            </w:p>
                          </w:txbxContent>
                        </wps:txbx>
                        <wps:bodyPr horzOverflow="overflow" vert="horz" lIns="0" tIns="0" rIns="0" bIns="0" rtlCol="0">
                          <a:noAutofit/>
                        </wps:bodyPr>
                      </wps:wsp>
                      <wps:wsp>
                        <wps:cNvPr id="199858" name="Rectangle 199858"/>
                        <wps:cNvSpPr/>
                        <wps:spPr>
                          <a:xfrm rot="-10799999">
                            <a:off x="2610976" y="3530041"/>
                            <a:ext cx="5309020" cy="142889"/>
                          </a:xfrm>
                          <a:prstGeom prst="rect">
                            <a:avLst/>
                          </a:prstGeom>
                          <a:ln>
                            <a:noFill/>
                          </a:ln>
                        </wps:spPr>
                        <wps:txbx>
                          <w:txbxContent>
                            <w:p w14:paraId="0FBF3483" w14:textId="77777777" w:rsidR="00B32EF2" w:rsidRDefault="00000000">
                              <w:r>
                                <w:rPr>
                                  <w:rFonts w:ascii="Arial" w:eastAsia="Arial" w:hAnsi="Arial" w:cs="Arial"/>
                                  <w:sz w:val="18"/>
                                </w:rPr>
                                <w:t>8</w:t>
                              </w:r>
                            </w:p>
                          </w:txbxContent>
                        </wps:txbx>
                        <wps:bodyPr horzOverflow="overflow" vert="horz" lIns="0" tIns="0" rIns="0" bIns="0" rtlCol="0">
                          <a:noAutofit/>
                        </wps:bodyPr>
                      </wps:wsp>
                      <wps:wsp>
                        <wps:cNvPr id="14331" name="Rectangle 14331"/>
                        <wps:cNvSpPr/>
                        <wps:spPr>
                          <a:xfrm rot="-10799999">
                            <a:off x="-1317218" y="3406712"/>
                            <a:ext cx="5309021" cy="142889"/>
                          </a:xfrm>
                          <a:prstGeom prst="rect">
                            <a:avLst/>
                          </a:prstGeom>
                          <a:ln>
                            <a:noFill/>
                          </a:ln>
                        </wps:spPr>
                        <wps:txbx>
                          <w:txbxContent>
                            <w:p w14:paraId="17ECB073" w14:textId="77777777" w:rsidR="00B32EF2" w:rsidRDefault="00000000">
                              <w:r>
                                <w:rPr>
                                  <w:rFonts w:ascii="Arial" w:eastAsia="Arial" w:hAnsi="Arial" w:cs="Arial"/>
                                  <w:sz w:val="18"/>
                                </w:rPr>
                                <w:t xml:space="preserve">eccede quella che risulta dovuta, l’ufficio deve provvedere al rimborso ai sensi </w:t>
                              </w:r>
                            </w:p>
                          </w:txbxContent>
                        </wps:txbx>
                        <wps:bodyPr horzOverflow="overflow" vert="horz" lIns="0" tIns="0" rIns="0" bIns="0" rtlCol="0">
                          <a:noAutofit/>
                        </wps:bodyPr>
                      </wps:wsp>
                      <wps:wsp>
                        <wps:cNvPr id="14332" name="Rectangle 14332"/>
                        <wps:cNvSpPr/>
                        <wps:spPr>
                          <a:xfrm rot="-10799999">
                            <a:off x="3068803" y="3283382"/>
                            <a:ext cx="922999" cy="142889"/>
                          </a:xfrm>
                          <a:prstGeom prst="rect">
                            <a:avLst/>
                          </a:prstGeom>
                          <a:ln>
                            <a:noFill/>
                          </a:ln>
                        </wps:spPr>
                        <wps:txbx>
                          <w:txbxContent>
                            <w:p w14:paraId="3F97F6DE" w14:textId="77777777" w:rsidR="00B32EF2" w:rsidRDefault="00000000">
                              <w:r>
                                <w:rPr>
                                  <w:rFonts w:ascii="Arial" w:eastAsia="Arial" w:hAnsi="Arial" w:cs="Arial"/>
                                  <w:sz w:val="18"/>
                                </w:rPr>
                                <w:t>del comma 2.</w:t>
                              </w:r>
                            </w:p>
                          </w:txbxContent>
                        </wps:txbx>
                        <wps:bodyPr horzOverflow="overflow" vert="horz" lIns="0" tIns="0" rIns="0" bIns="0" rtlCol="0">
                          <a:noAutofit/>
                        </wps:bodyPr>
                      </wps:wsp>
                      <wps:wsp>
                        <wps:cNvPr id="199855" name="Rectangle 199855"/>
                        <wps:cNvSpPr/>
                        <wps:spPr>
                          <a:xfrm rot="-10799999">
                            <a:off x="2635422" y="3160052"/>
                            <a:ext cx="5210497" cy="142889"/>
                          </a:xfrm>
                          <a:prstGeom prst="rect">
                            <a:avLst/>
                          </a:prstGeom>
                          <a:ln>
                            <a:noFill/>
                          </a:ln>
                        </wps:spPr>
                        <wps:txbx>
                          <w:txbxContent>
                            <w:p w14:paraId="7D848A98" w14:textId="77777777" w:rsidR="00B32EF2" w:rsidRDefault="00000000">
                              <w:r>
                                <w:rPr>
                                  <w:rFonts w:ascii="Arial" w:eastAsia="Arial" w:hAnsi="Arial" w:cs="Arial"/>
                                  <w:sz w:val="18"/>
                                </w:rPr>
                                <w:t>9</w:t>
                              </w:r>
                            </w:p>
                          </w:txbxContent>
                        </wps:txbx>
                        <wps:bodyPr horzOverflow="overflow" vert="horz" lIns="0" tIns="0" rIns="0" bIns="0" rtlCol="0">
                          <a:noAutofit/>
                        </wps:bodyPr>
                      </wps:wsp>
                      <wps:wsp>
                        <wps:cNvPr id="199857" name="Rectangle 199857"/>
                        <wps:cNvSpPr/>
                        <wps:spPr>
                          <a:xfrm rot="-10799999">
                            <a:off x="-1281833" y="3160052"/>
                            <a:ext cx="5210497" cy="142889"/>
                          </a:xfrm>
                          <a:prstGeom prst="rect">
                            <a:avLst/>
                          </a:prstGeom>
                          <a:ln>
                            <a:noFill/>
                          </a:ln>
                        </wps:spPr>
                        <wps:txbx>
                          <w:txbxContent>
                            <w:p w14:paraId="235968D4" w14:textId="77777777" w:rsidR="00B32EF2" w:rsidRDefault="00000000">
                              <w:r>
                                <w:rPr>
                                  <w:rFonts w:ascii="Arial" w:eastAsia="Arial" w:hAnsi="Arial" w:cs="Arial"/>
                                  <w:sz w:val="18"/>
                                </w:rPr>
                                <w:t>. Le sanzioni accessorie sono eseguite quando il provvedimento di irrogazio</w:t>
                              </w:r>
                            </w:p>
                          </w:txbxContent>
                        </wps:txbx>
                        <wps:bodyPr horzOverflow="overflow" vert="horz" lIns="0" tIns="0" rIns="0" bIns="0" rtlCol="0">
                          <a:noAutofit/>
                        </wps:bodyPr>
                      </wps:wsp>
                      <wps:wsp>
                        <wps:cNvPr id="14334" name="Rectangle 14334"/>
                        <wps:cNvSpPr/>
                        <wps:spPr>
                          <a:xfrm rot="-10799999">
                            <a:off x="19204" y="3160052"/>
                            <a:ext cx="50622" cy="142889"/>
                          </a:xfrm>
                          <a:prstGeom prst="rect">
                            <a:avLst/>
                          </a:prstGeom>
                          <a:ln>
                            <a:noFill/>
                          </a:ln>
                        </wps:spPr>
                        <wps:txbx>
                          <w:txbxContent>
                            <w:p w14:paraId="7222B02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335" name="Rectangle 14335"/>
                        <wps:cNvSpPr/>
                        <wps:spPr>
                          <a:xfrm rot="-10799999">
                            <a:off x="2385585" y="3036723"/>
                            <a:ext cx="1606218" cy="142889"/>
                          </a:xfrm>
                          <a:prstGeom prst="rect">
                            <a:avLst/>
                          </a:prstGeom>
                          <a:ln>
                            <a:noFill/>
                          </a:ln>
                        </wps:spPr>
                        <wps:txbx>
                          <w:txbxContent>
                            <w:p w14:paraId="2D3F7591" w14:textId="77777777" w:rsidR="00B32EF2" w:rsidRDefault="00000000">
                              <w:r>
                                <w:rPr>
                                  <w:rFonts w:ascii="Arial" w:eastAsia="Arial" w:hAnsi="Arial" w:cs="Arial"/>
                                  <w:sz w:val="18"/>
                                </w:rPr>
                                <w:t>ne è divenuto definitivo.</w:t>
                              </w:r>
                            </w:p>
                          </w:txbxContent>
                        </wps:txbx>
                        <wps:bodyPr horzOverflow="overflow" vert="horz" lIns="0" tIns="0" rIns="0" bIns="0" rtlCol="0">
                          <a:noAutofit/>
                        </wps:bodyPr>
                      </wps:wsp>
                      <wps:wsp>
                        <wps:cNvPr id="199854" name="Rectangle 199854"/>
                        <wps:cNvSpPr/>
                        <wps:spPr>
                          <a:xfrm rot="-10799999">
                            <a:off x="-1334977" y="2943400"/>
                            <a:ext cx="5219472" cy="119075"/>
                          </a:xfrm>
                          <a:prstGeom prst="rect">
                            <a:avLst/>
                          </a:prstGeom>
                          <a:ln>
                            <a:noFill/>
                          </a:ln>
                        </wps:spPr>
                        <wps:txbx>
                          <w:txbxContent>
                            <w:p w14:paraId="437D5EE5" w14:textId="77777777" w:rsidR="00B32EF2" w:rsidRDefault="00000000">
                              <w:r>
                                <w:rPr>
                                  <w:rFonts w:ascii="Arial" w:eastAsia="Arial" w:hAnsi="Arial" w:cs="Arial"/>
                                  <w:sz w:val="15"/>
                                </w:rPr>
                                <w:t xml:space="preserve"> L’art 16 del D.lgs. n. 81 del 12/06/2025 ha modificato il comma 2, primo periodo, del pre</w:t>
                              </w:r>
                            </w:p>
                          </w:txbxContent>
                        </wps:txbx>
                        <wps:bodyPr horzOverflow="overflow" vert="horz" lIns="0" tIns="0" rIns="0" bIns="0" rtlCol="0">
                          <a:noAutofit/>
                        </wps:bodyPr>
                      </wps:wsp>
                      <wps:wsp>
                        <wps:cNvPr id="199853" name="Rectangle 199853"/>
                        <wps:cNvSpPr/>
                        <wps:spPr>
                          <a:xfrm rot="-10799999">
                            <a:off x="2589437" y="2943400"/>
                            <a:ext cx="5219471" cy="119075"/>
                          </a:xfrm>
                          <a:prstGeom prst="rect">
                            <a:avLst/>
                          </a:prstGeom>
                          <a:ln>
                            <a:noFill/>
                          </a:ln>
                        </wps:spPr>
                        <wps:txbx>
                          <w:txbxContent>
                            <w:p w14:paraId="26BB505C" w14:textId="77777777" w:rsidR="00B32EF2" w:rsidRDefault="00000000">
                              <w:r>
                                <w:rPr>
                                  <w:rFonts w:ascii="Arial" w:eastAsia="Arial" w:hAnsi="Arial" w:cs="Arial"/>
                                  <w:sz w:val="15"/>
                                </w:rPr>
                                <w:t>(1)</w:t>
                              </w:r>
                            </w:p>
                          </w:txbxContent>
                        </wps:txbx>
                        <wps:bodyPr horzOverflow="overflow" vert="horz" lIns="0" tIns="0" rIns="0" bIns="0" rtlCol="0">
                          <a:noAutofit/>
                        </wps:bodyPr>
                      </wps:wsp>
                      <wps:wsp>
                        <wps:cNvPr id="14337" name="Rectangle 14337"/>
                        <wps:cNvSpPr/>
                        <wps:spPr>
                          <a:xfrm rot="-10799999">
                            <a:off x="21316" y="2943400"/>
                            <a:ext cx="42185" cy="119074"/>
                          </a:xfrm>
                          <a:prstGeom prst="rect">
                            <a:avLst/>
                          </a:prstGeom>
                          <a:ln>
                            <a:noFill/>
                          </a:ln>
                        </wps:spPr>
                        <wps:txbx>
                          <w:txbxContent>
                            <w:p w14:paraId="4888807F" w14:textId="77777777" w:rsidR="00B32EF2" w:rsidRDefault="00000000">
                              <w:r>
                                <w:rPr>
                                  <w:rFonts w:ascii="Arial" w:eastAsia="Arial" w:hAnsi="Arial" w:cs="Arial"/>
                                  <w:sz w:val="15"/>
                                </w:rPr>
                                <w:t>-</w:t>
                              </w:r>
                            </w:p>
                          </w:txbxContent>
                        </wps:txbx>
                        <wps:bodyPr horzOverflow="overflow" vert="horz" lIns="0" tIns="0" rIns="0" bIns="0" rtlCol="0">
                          <a:noAutofit/>
                        </wps:bodyPr>
                      </wps:wsp>
                      <wps:wsp>
                        <wps:cNvPr id="14338" name="Rectangle 14338"/>
                        <wps:cNvSpPr/>
                        <wps:spPr>
                          <a:xfrm rot="-10799999">
                            <a:off x="861781" y="2840626"/>
                            <a:ext cx="3130020" cy="119074"/>
                          </a:xfrm>
                          <a:prstGeom prst="rect">
                            <a:avLst/>
                          </a:prstGeom>
                          <a:ln>
                            <a:noFill/>
                          </a:ln>
                        </wps:spPr>
                        <wps:txbx>
                          <w:txbxContent>
                            <w:p w14:paraId="6DA2656B" w14:textId="77777777" w:rsidR="00B32EF2" w:rsidRDefault="00000000">
                              <w:r>
                                <w:rPr>
                                  <w:rFonts w:ascii="Arial" w:eastAsia="Arial" w:hAnsi="Arial" w:cs="Arial"/>
                                  <w:sz w:val="15"/>
                                </w:rPr>
                                <w:t>sente articolo sopprimendo le parole «di primo grado».</w:t>
                              </w:r>
                            </w:p>
                          </w:txbxContent>
                        </wps:txbx>
                        <wps:bodyPr horzOverflow="overflow" vert="horz" lIns="0" tIns="0" rIns="0" bIns="0" rtlCol="0">
                          <a:noAutofit/>
                        </wps:bodyPr>
                      </wps:wsp>
                      <wps:wsp>
                        <wps:cNvPr id="14339" name="Rectangle 14339"/>
                        <wps:cNvSpPr/>
                        <wps:spPr>
                          <a:xfrm rot="-10799999">
                            <a:off x="1458163" y="1843874"/>
                            <a:ext cx="887168" cy="142889"/>
                          </a:xfrm>
                          <a:prstGeom prst="rect">
                            <a:avLst/>
                          </a:prstGeom>
                          <a:ln>
                            <a:noFill/>
                          </a:ln>
                        </wps:spPr>
                        <wps:txbx>
                          <w:txbxContent>
                            <w:p w14:paraId="144427D9" w14:textId="77777777" w:rsidR="00B32EF2" w:rsidRDefault="00000000">
                              <w:r>
                                <w:rPr>
                                  <w:rFonts w:ascii="Arial" w:eastAsia="Arial" w:hAnsi="Arial" w:cs="Arial"/>
                                  <w:b/>
                                  <w:sz w:val="18"/>
                                </w:rPr>
                                <w:t>Articolo 127</w:t>
                              </w:r>
                            </w:p>
                          </w:txbxContent>
                        </wps:txbx>
                        <wps:bodyPr horzOverflow="overflow" vert="horz" lIns="0" tIns="0" rIns="0" bIns="0" rtlCol="0">
                          <a:noAutofit/>
                        </wps:bodyPr>
                      </wps:wsp>
                      <wps:wsp>
                        <wps:cNvPr id="199849" name="Rectangle 199849"/>
                        <wps:cNvSpPr/>
                        <wps:spPr>
                          <a:xfrm rot="-10799999">
                            <a:off x="2222461" y="1720545"/>
                            <a:ext cx="1945371" cy="142889"/>
                          </a:xfrm>
                          <a:prstGeom prst="rect">
                            <a:avLst/>
                          </a:prstGeom>
                          <a:ln>
                            <a:noFill/>
                          </a:ln>
                        </wps:spPr>
                        <wps:txbx>
                          <w:txbxContent>
                            <w:p w14:paraId="046B7C2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9851" name="Rectangle 199851"/>
                        <wps:cNvSpPr/>
                        <wps:spPr>
                          <a:xfrm rot="-10799999">
                            <a:off x="1161037" y="1720544"/>
                            <a:ext cx="1945371" cy="142889"/>
                          </a:xfrm>
                          <a:prstGeom prst="rect">
                            <a:avLst/>
                          </a:prstGeom>
                          <a:ln>
                            <a:noFill/>
                          </a:ln>
                        </wps:spPr>
                        <wps:txbx>
                          <w:txbxContent>
                            <w:p w14:paraId="78F2B936" w14:textId="77777777" w:rsidR="00B32EF2" w:rsidRDefault="00000000">
                              <w:r>
                                <w:rPr>
                                  <w:rFonts w:ascii="Arial" w:eastAsia="Arial" w:hAnsi="Arial" w:cs="Arial"/>
                                  <w:i/>
                                  <w:sz w:val="18"/>
                                </w:rPr>
                                <w:t xml:space="preserve">articolo 69 D.lgs. n. </w:t>
                              </w:r>
                            </w:p>
                          </w:txbxContent>
                        </wps:txbx>
                        <wps:bodyPr horzOverflow="overflow" vert="horz" lIns="0" tIns="0" rIns="0" bIns="0" rtlCol="0">
                          <a:noAutofit/>
                        </wps:bodyPr>
                      </wps:wsp>
                      <wps:wsp>
                        <wps:cNvPr id="199850" name="Rectangle 199850"/>
                        <wps:cNvSpPr/>
                        <wps:spPr>
                          <a:xfrm rot="-10799999">
                            <a:off x="-266489" y="1720544"/>
                            <a:ext cx="1945372" cy="142889"/>
                          </a:xfrm>
                          <a:prstGeom prst="rect">
                            <a:avLst/>
                          </a:prstGeom>
                          <a:ln>
                            <a:noFill/>
                          </a:ln>
                        </wps:spPr>
                        <wps:txbx>
                          <w:txbxContent>
                            <w:p w14:paraId="3F9971CD"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4341" name="Rectangle 14341"/>
                        <wps:cNvSpPr/>
                        <wps:spPr>
                          <a:xfrm rot="-10799999">
                            <a:off x="-1056832" y="1597215"/>
                            <a:ext cx="4891607" cy="142889"/>
                          </a:xfrm>
                          <a:prstGeom prst="rect">
                            <a:avLst/>
                          </a:prstGeom>
                          <a:ln>
                            <a:noFill/>
                          </a:ln>
                        </wps:spPr>
                        <wps:txbx>
                          <w:txbxContent>
                            <w:p w14:paraId="7AD296F6" w14:textId="77777777" w:rsidR="00B32EF2" w:rsidRDefault="00000000">
                              <w:r>
                                <w:rPr>
                                  <w:rFonts w:ascii="Arial" w:eastAsia="Arial" w:hAnsi="Arial" w:cs="Arial"/>
                                  <w:b/>
                                  <w:sz w:val="18"/>
                                </w:rPr>
                                <w:t xml:space="preserve">Esecuzione delle sentenze di condanna in favore del contribuente </w:t>
                              </w:r>
                            </w:p>
                          </w:txbxContent>
                        </wps:txbx>
                        <wps:bodyPr horzOverflow="overflow" vert="horz" lIns="0" tIns="0" rIns="0" bIns="0" rtlCol="0">
                          <a:noAutofit/>
                        </wps:bodyPr>
                      </wps:wsp>
                      <wps:wsp>
                        <wps:cNvPr id="199848" name="Rectangle 199848"/>
                        <wps:cNvSpPr/>
                        <wps:spPr>
                          <a:xfrm rot="-10799999">
                            <a:off x="-1376252" y="1473885"/>
                            <a:ext cx="5309005" cy="142889"/>
                          </a:xfrm>
                          <a:prstGeom prst="rect">
                            <a:avLst/>
                          </a:prstGeom>
                          <a:ln>
                            <a:noFill/>
                          </a:ln>
                        </wps:spPr>
                        <wps:txbx>
                          <w:txbxContent>
                            <w:p w14:paraId="33B99215" w14:textId="77777777" w:rsidR="00B32EF2" w:rsidRDefault="00000000">
                              <w:r>
                                <w:rPr>
                                  <w:rFonts w:ascii="Arial" w:eastAsia="Arial" w:hAnsi="Arial" w:cs="Arial"/>
                                  <w:sz w:val="18"/>
                                </w:rPr>
                                <w:t xml:space="preserve">. Le sentenze di condanna al pagamento di somme in favore del contribuente </w:t>
                              </w:r>
                            </w:p>
                          </w:txbxContent>
                        </wps:txbx>
                        <wps:bodyPr horzOverflow="overflow" vert="horz" lIns="0" tIns="0" rIns="0" bIns="0" rtlCol="0">
                          <a:noAutofit/>
                        </wps:bodyPr>
                      </wps:wsp>
                      <wps:wsp>
                        <wps:cNvPr id="199847" name="Rectangle 199847"/>
                        <wps:cNvSpPr/>
                        <wps:spPr>
                          <a:xfrm rot="-10799999">
                            <a:off x="2611114" y="1473885"/>
                            <a:ext cx="5309005" cy="142889"/>
                          </a:xfrm>
                          <a:prstGeom prst="rect">
                            <a:avLst/>
                          </a:prstGeom>
                          <a:ln>
                            <a:noFill/>
                          </a:ln>
                        </wps:spPr>
                        <wps:txbx>
                          <w:txbxContent>
                            <w:p w14:paraId="5996E5AA"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4343" name="Rectangle 14343"/>
                        <wps:cNvSpPr/>
                        <wps:spPr>
                          <a:xfrm rot="-10799999">
                            <a:off x="-1317098" y="1350555"/>
                            <a:ext cx="5309036" cy="142889"/>
                          </a:xfrm>
                          <a:prstGeom prst="rect">
                            <a:avLst/>
                          </a:prstGeom>
                          <a:ln>
                            <a:noFill/>
                          </a:ln>
                        </wps:spPr>
                        <wps:txbx>
                          <w:txbxContent>
                            <w:p w14:paraId="42822C87" w14:textId="77777777" w:rsidR="00B32EF2" w:rsidRDefault="00000000">
                              <w:r>
                                <w:rPr>
                                  <w:rFonts w:ascii="Arial" w:eastAsia="Arial" w:hAnsi="Arial" w:cs="Arial"/>
                                  <w:sz w:val="18"/>
                                </w:rPr>
                                <w:t xml:space="preserve">e quelle emesse su ricorso avverso gli atti relativi alle operazioni catastali </w:t>
                              </w:r>
                            </w:p>
                          </w:txbxContent>
                        </wps:txbx>
                        <wps:bodyPr horzOverflow="overflow" vert="horz" lIns="0" tIns="0" rIns="0" bIns="0" rtlCol="0">
                          <a:noAutofit/>
                        </wps:bodyPr>
                      </wps:wsp>
                      <wps:wsp>
                        <wps:cNvPr id="14344" name="Rectangle 14344"/>
                        <wps:cNvSpPr/>
                        <wps:spPr>
                          <a:xfrm rot="-10799999">
                            <a:off x="-1317113" y="1227225"/>
                            <a:ext cx="5309051" cy="142890"/>
                          </a:xfrm>
                          <a:prstGeom prst="rect">
                            <a:avLst/>
                          </a:prstGeom>
                          <a:ln>
                            <a:noFill/>
                          </a:ln>
                        </wps:spPr>
                        <wps:txbx>
                          <w:txbxContent>
                            <w:p w14:paraId="082BA523" w14:textId="77777777" w:rsidR="00B32EF2" w:rsidRDefault="00000000">
                              <w:r>
                                <w:rPr>
                                  <w:rFonts w:ascii="Arial" w:eastAsia="Arial" w:hAnsi="Arial" w:cs="Arial"/>
                                  <w:sz w:val="18"/>
                                </w:rPr>
                                <w:t xml:space="preserve">indicate nell’articolo 46, comma 2, sono immediatamente esecutive. Tuttavia, </w:t>
                              </w:r>
                            </w:p>
                          </w:txbxContent>
                        </wps:txbx>
                        <wps:bodyPr horzOverflow="overflow" vert="horz" lIns="0" tIns="0" rIns="0" bIns="0" rtlCol="0">
                          <a:noAutofit/>
                        </wps:bodyPr>
                      </wps:wsp>
                      <wps:wsp>
                        <wps:cNvPr id="14345" name="Rectangle 14345"/>
                        <wps:cNvSpPr/>
                        <wps:spPr>
                          <a:xfrm rot="-10799999">
                            <a:off x="-1317098" y="1103896"/>
                            <a:ext cx="5309036" cy="142889"/>
                          </a:xfrm>
                          <a:prstGeom prst="rect">
                            <a:avLst/>
                          </a:prstGeom>
                          <a:ln>
                            <a:noFill/>
                          </a:ln>
                        </wps:spPr>
                        <wps:txbx>
                          <w:txbxContent>
                            <w:p w14:paraId="57CBA9C8" w14:textId="77777777" w:rsidR="00B32EF2" w:rsidRDefault="00000000">
                              <w:r>
                                <w:rPr>
                                  <w:rFonts w:ascii="Arial" w:eastAsia="Arial" w:hAnsi="Arial" w:cs="Arial"/>
                                  <w:sz w:val="18"/>
                                </w:rPr>
                                <w:t xml:space="preserve">il pagamento di somme dell’importo superiore a 10.000 euro, diverse dalle </w:t>
                              </w:r>
                            </w:p>
                          </w:txbxContent>
                        </wps:txbx>
                        <wps:bodyPr horzOverflow="overflow" vert="horz" lIns="0" tIns="0" rIns="0" bIns="0" rtlCol="0">
                          <a:noAutofit/>
                        </wps:bodyPr>
                      </wps:wsp>
                      <wps:wsp>
                        <wps:cNvPr id="14346" name="Rectangle 14346"/>
                        <wps:cNvSpPr/>
                        <wps:spPr>
                          <a:xfrm rot="-10799999">
                            <a:off x="-1317098" y="980566"/>
                            <a:ext cx="5309036" cy="142889"/>
                          </a:xfrm>
                          <a:prstGeom prst="rect">
                            <a:avLst/>
                          </a:prstGeom>
                          <a:ln>
                            <a:noFill/>
                          </a:ln>
                        </wps:spPr>
                        <wps:txbx>
                          <w:txbxContent>
                            <w:p w14:paraId="3AAE64F5" w14:textId="77777777" w:rsidR="00B32EF2" w:rsidRDefault="00000000">
                              <w:r>
                                <w:rPr>
                                  <w:rFonts w:ascii="Arial" w:eastAsia="Arial" w:hAnsi="Arial" w:cs="Arial"/>
                                  <w:sz w:val="18"/>
                                </w:rPr>
                                <w:t xml:space="preserve">spese di lite, può essere subordinato dal giudice, anche tenuto conto delle </w:t>
                              </w:r>
                            </w:p>
                          </w:txbxContent>
                        </wps:txbx>
                        <wps:bodyPr horzOverflow="overflow" vert="horz" lIns="0" tIns="0" rIns="0" bIns="0" rtlCol="0">
                          <a:noAutofit/>
                        </wps:bodyPr>
                      </wps:wsp>
                      <wps:wsp>
                        <wps:cNvPr id="14347" name="Rectangle 14347"/>
                        <wps:cNvSpPr/>
                        <wps:spPr>
                          <a:xfrm rot="-10799999">
                            <a:off x="-798743" y="857237"/>
                            <a:ext cx="4790681" cy="142889"/>
                          </a:xfrm>
                          <a:prstGeom prst="rect">
                            <a:avLst/>
                          </a:prstGeom>
                          <a:ln>
                            <a:noFill/>
                          </a:ln>
                        </wps:spPr>
                        <wps:txbx>
                          <w:txbxContent>
                            <w:p w14:paraId="47B3741B" w14:textId="77777777" w:rsidR="00B32EF2" w:rsidRDefault="00000000">
                              <w:r>
                                <w:rPr>
                                  <w:rFonts w:ascii="Arial" w:eastAsia="Arial" w:hAnsi="Arial" w:cs="Arial"/>
                                  <w:sz w:val="18"/>
                                </w:rPr>
                                <w:t>condizioni di solvibilità dell’istante, alla prestazione di idonea garanzia.</w:t>
                              </w:r>
                            </w:p>
                          </w:txbxContent>
                        </wps:txbx>
                        <wps:bodyPr horzOverflow="overflow" vert="horz" lIns="0" tIns="0" rIns="0" bIns="0" rtlCol="0">
                          <a:noAutofit/>
                        </wps:bodyPr>
                      </wps:wsp>
                      <wps:wsp>
                        <wps:cNvPr id="199844" name="Rectangle 199844"/>
                        <wps:cNvSpPr/>
                        <wps:spPr>
                          <a:xfrm rot="-10799999">
                            <a:off x="2611114" y="733907"/>
                            <a:ext cx="5309005" cy="142889"/>
                          </a:xfrm>
                          <a:prstGeom prst="rect">
                            <a:avLst/>
                          </a:prstGeom>
                          <a:ln>
                            <a:noFill/>
                          </a:ln>
                        </wps:spPr>
                        <wps:txbx>
                          <w:txbxContent>
                            <w:p w14:paraId="44E84CF6"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99845" name="Rectangle 199845"/>
                        <wps:cNvSpPr/>
                        <wps:spPr>
                          <a:xfrm rot="-10799999">
                            <a:off x="-1381624" y="733907"/>
                            <a:ext cx="5309005" cy="142889"/>
                          </a:xfrm>
                          <a:prstGeom prst="rect">
                            <a:avLst/>
                          </a:prstGeom>
                          <a:ln>
                            <a:noFill/>
                          </a:ln>
                        </wps:spPr>
                        <wps:txbx>
                          <w:txbxContent>
                            <w:p w14:paraId="2D3DD960" w14:textId="77777777" w:rsidR="00B32EF2" w:rsidRDefault="00000000">
                              <w:r>
                                <w:rPr>
                                  <w:rFonts w:ascii="Arial" w:eastAsia="Arial" w:hAnsi="Arial" w:cs="Arial"/>
                                  <w:sz w:val="18"/>
                                </w:rPr>
                                <w:t xml:space="preserve">. Con decreto del Ministro dell’economia e delle finanze adottato ai sensi </w:t>
                              </w:r>
                            </w:p>
                          </w:txbxContent>
                        </wps:txbx>
                        <wps:bodyPr horzOverflow="overflow" vert="horz" lIns="0" tIns="0" rIns="0" bIns="0" rtlCol="0">
                          <a:noAutofit/>
                        </wps:bodyPr>
                      </wps:wsp>
                      <wps:wsp>
                        <wps:cNvPr id="14349" name="Rectangle 14349"/>
                        <wps:cNvSpPr/>
                        <wps:spPr>
                          <a:xfrm rot="-10799999">
                            <a:off x="-1317098" y="610577"/>
                            <a:ext cx="5309035" cy="142889"/>
                          </a:xfrm>
                          <a:prstGeom prst="rect">
                            <a:avLst/>
                          </a:prstGeom>
                          <a:ln>
                            <a:noFill/>
                          </a:ln>
                        </wps:spPr>
                        <wps:txbx>
                          <w:txbxContent>
                            <w:p w14:paraId="10585D98" w14:textId="77777777" w:rsidR="00B32EF2" w:rsidRDefault="00000000">
                              <w:r>
                                <w:rPr>
                                  <w:rFonts w:ascii="Arial" w:eastAsia="Arial" w:hAnsi="Arial" w:cs="Arial"/>
                                  <w:sz w:val="18"/>
                                </w:rPr>
                                <w:t xml:space="preserve">dell’articolo 17, comma 3, della legge 23 agosto 1988, n. 400, sono disciplinati </w:t>
                              </w:r>
                            </w:p>
                          </w:txbxContent>
                        </wps:txbx>
                        <wps:bodyPr horzOverflow="overflow" vert="horz" lIns="0" tIns="0" rIns="0" bIns="0" rtlCol="0">
                          <a:noAutofit/>
                        </wps:bodyPr>
                      </wps:wsp>
                      <wps:wsp>
                        <wps:cNvPr id="14350" name="Rectangle 14350"/>
                        <wps:cNvSpPr/>
                        <wps:spPr>
                          <a:xfrm rot="-10799999">
                            <a:off x="-1317128" y="487248"/>
                            <a:ext cx="5309066" cy="142889"/>
                          </a:xfrm>
                          <a:prstGeom prst="rect">
                            <a:avLst/>
                          </a:prstGeom>
                          <a:ln>
                            <a:noFill/>
                          </a:ln>
                        </wps:spPr>
                        <wps:txbx>
                          <w:txbxContent>
                            <w:p w14:paraId="2F845D19" w14:textId="77777777" w:rsidR="00B32EF2" w:rsidRDefault="00000000">
                              <w:r>
                                <w:rPr>
                                  <w:rFonts w:ascii="Arial" w:eastAsia="Arial" w:hAnsi="Arial" w:cs="Arial"/>
                                  <w:sz w:val="18"/>
                                </w:rPr>
                                <w:t xml:space="preserve">il contenuto della garanzia sulla base di quanto previsto dall’articolo 38-bis, </w:t>
                              </w:r>
                            </w:p>
                          </w:txbxContent>
                        </wps:txbx>
                        <wps:bodyPr horzOverflow="overflow" vert="horz" lIns="0" tIns="0" rIns="0" bIns="0" rtlCol="0">
                          <a:noAutofit/>
                        </wps:bodyPr>
                      </wps:wsp>
                      <wps:wsp>
                        <wps:cNvPr id="14351" name="Rectangle 14351"/>
                        <wps:cNvSpPr/>
                        <wps:spPr>
                          <a:xfrm rot="-10799999">
                            <a:off x="-1317037" y="363918"/>
                            <a:ext cx="5308975" cy="142889"/>
                          </a:xfrm>
                          <a:prstGeom prst="rect">
                            <a:avLst/>
                          </a:prstGeom>
                          <a:ln>
                            <a:noFill/>
                          </a:ln>
                        </wps:spPr>
                        <wps:txbx>
                          <w:txbxContent>
                            <w:p w14:paraId="4E1BD1E9" w14:textId="77777777" w:rsidR="00B32EF2" w:rsidRDefault="00000000">
                              <w:r>
                                <w:rPr>
                                  <w:rFonts w:ascii="Arial" w:eastAsia="Arial" w:hAnsi="Arial" w:cs="Arial"/>
                                  <w:sz w:val="18"/>
                                </w:rPr>
                                <w:t xml:space="preserve">comma 5, del decreto del Presidente della Repubblica 26 ottobre 1972, n. 633, </w:t>
                              </w:r>
                            </w:p>
                          </w:txbxContent>
                        </wps:txbx>
                        <wps:bodyPr horzOverflow="overflow" vert="horz" lIns="0" tIns="0" rIns="0" bIns="0" rtlCol="0">
                          <a:noAutofit/>
                        </wps:bodyPr>
                      </wps:wsp>
                      <wps:wsp>
                        <wps:cNvPr id="207706" name="Shape 207706"/>
                        <wps:cNvSpPr/>
                        <wps:spPr>
                          <a:xfrm>
                            <a:off x="31802" y="2192203"/>
                            <a:ext cx="3960000" cy="635305"/>
                          </a:xfrm>
                          <a:custGeom>
                            <a:avLst/>
                            <a:gdLst/>
                            <a:ahLst/>
                            <a:cxnLst/>
                            <a:rect l="0" t="0" r="0" b="0"/>
                            <a:pathLst>
                              <a:path w="3960000" h="635305">
                                <a:moveTo>
                                  <a:pt x="0" y="0"/>
                                </a:moveTo>
                                <a:lnTo>
                                  <a:pt x="3960000" y="0"/>
                                </a:lnTo>
                                <a:lnTo>
                                  <a:pt x="3960000" y="635305"/>
                                </a:lnTo>
                                <a:lnTo>
                                  <a:pt x="0" y="635305"/>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4353" name="Rectangle 14353"/>
                        <wps:cNvSpPr/>
                        <wps:spPr>
                          <a:xfrm rot="-10799999">
                            <a:off x="2328786" y="2606264"/>
                            <a:ext cx="1585695" cy="142889"/>
                          </a:xfrm>
                          <a:prstGeom prst="rect">
                            <a:avLst/>
                          </a:prstGeom>
                          <a:ln>
                            <a:noFill/>
                          </a:ln>
                        </wps:spPr>
                        <wps:txbx>
                          <w:txbxContent>
                            <w:p w14:paraId="5F84AA68"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4354" name="Rectangle 14354"/>
                        <wps:cNvSpPr/>
                        <wps:spPr>
                          <a:xfrm rot="-10799999">
                            <a:off x="-299131" y="2474819"/>
                            <a:ext cx="4212584" cy="142889"/>
                          </a:xfrm>
                          <a:prstGeom prst="rect">
                            <a:avLst/>
                          </a:prstGeom>
                          <a:ln>
                            <a:noFill/>
                          </a:ln>
                        </wps:spPr>
                        <wps:txbx>
                          <w:txbxContent>
                            <w:p w14:paraId="7514219E" w14:textId="77777777" w:rsidR="00B32EF2" w:rsidRDefault="00000000">
                              <w:r>
                                <w:rPr>
                                  <w:rFonts w:ascii="Arial" w:eastAsia="Arial" w:hAnsi="Arial" w:cs="Arial"/>
                                  <w:i/>
                                  <w:sz w:val="18"/>
                                </w:rPr>
                                <w:t xml:space="preserve">art. 2 decisione 436 del 2007 “ Definizione di risorse proprie”  </w:t>
                              </w:r>
                            </w:p>
                          </w:txbxContent>
                        </wps:txbx>
                        <wps:bodyPr horzOverflow="overflow" vert="horz" lIns="0" tIns="0" rIns="0" bIns="0" rtlCol="0">
                          <a:noAutofit/>
                        </wps:bodyPr>
                      </wps:wsp>
                      <wps:wsp>
                        <wps:cNvPr id="14355" name="Rectangle 14355"/>
                        <wps:cNvSpPr/>
                        <wps:spPr>
                          <a:xfrm rot="-10799999">
                            <a:off x="-1192138" y="2343374"/>
                            <a:ext cx="5120106" cy="142889"/>
                          </a:xfrm>
                          <a:prstGeom prst="rect">
                            <a:avLst/>
                          </a:prstGeom>
                          <a:ln>
                            <a:noFill/>
                          </a:ln>
                        </wps:spPr>
                        <wps:txbx>
                          <w:txbxContent>
                            <w:p w14:paraId="51722624" w14:textId="77777777" w:rsidR="00B32EF2" w:rsidRDefault="00000000">
                              <w:r>
                                <w:rPr>
                                  <w:rFonts w:ascii="Arial" w:eastAsia="Arial" w:hAnsi="Arial" w:cs="Arial"/>
                                  <w:i/>
                                  <w:sz w:val="18"/>
                                </w:rPr>
                                <w:t xml:space="preserve">Regolamento 2913/1992: regolamento (CEE) del Consiglio che istituisce </w:t>
                              </w:r>
                            </w:p>
                          </w:txbxContent>
                        </wps:txbx>
                        <wps:bodyPr horzOverflow="overflow" vert="horz" lIns="0" tIns="0" rIns="0" bIns="0" rtlCol="0">
                          <a:noAutofit/>
                        </wps:bodyPr>
                      </wps:wsp>
                      <wps:wsp>
                        <wps:cNvPr id="14356" name="Rectangle 14356"/>
                        <wps:cNvSpPr/>
                        <wps:spPr>
                          <a:xfrm rot="-10799999">
                            <a:off x="1736343" y="2211929"/>
                            <a:ext cx="2177109" cy="142889"/>
                          </a:xfrm>
                          <a:prstGeom prst="rect">
                            <a:avLst/>
                          </a:prstGeom>
                          <a:ln>
                            <a:noFill/>
                          </a:ln>
                        </wps:spPr>
                        <wps:txbx>
                          <w:txbxContent>
                            <w:p w14:paraId="38030CEF" w14:textId="77777777" w:rsidR="00B32EF2" w:rsidRDefault="00000000">
                              <w:r>
                                <w:rPr>
                                  <w:rFonts w:ascii="Arial" w:eastAsia="Arial" w:hAnsi="Arial" w:cs="Arial"/>
                                  <w:i/>
                                  <w:sz w:val="18"/>
                                </w:rPr>
                                <w:t>un codice doganale comunitario</w:t>
                              </w:r>
                            </w:p>
                          </w:txbxContent>
                        </wps:txbx>
                        <wps:bodyPr horzOverflow="overflow" vert="horz" lIns="0" tIns="0" rIns="0" bIns="0" rtlCol="0">
                          <a:noAutofit/>
                        </wps:bodyPr>
                      </wps:wsp>
                      <wps:wsp>
                        <wps:cNvPr id="14357" name="Rectangle 14357"/>
                        <wps:cNvSpPr/>
                        <wps:spPr>
                          <a:xfrm rot="-10799999">
                            <a:off x="2236815" y="2211929"/>
                            <a:ext cx="42261" cy="142889"/>
                          </a:xfrm>
                          <a:prstGeom prst="rect">
                            <a:avLst/>
                          </a:prstGeom>
                          <a:ln>
                            <a:noFill/>
                          </a:ln>
                        </wps:spPr>
                        <wps:txbx>
                          <w:txbxContent>
                            <w:p w14:paraId="60ACF7D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358" name="Shape 14358"/>
                        <wps:cNvSpPr/>
                        <wps:spPr>
                          <a:xfrm>
                            <a:off x="31801" y="2192205"/>
                            <a:ext cx="3960000" cy="635305"/>
                          </a:xfrm>
                          <a:custGeom>
                            <a:avLst/>
                            <a:gdLst/>
                            <a:ahLst/>
                            <a:cxnLst/>
                            <a:rect l="0" t="0" r="0" b="0"/>
                            <a:pathLst>
                              <a:path w="3960000" h="635305">
                                <a:moveTo>
                                  <a:pt x="0" y="635305"/>
                                </a:moveTo>
                                <a:lnTo>
                                  <a:pt x="3960000" y="635305"/>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AA6CA2C" id="Group 199935" o:spid="_x0000_s1235" style="width:314.35pt;height:493.15pt;mso-position-horizontal-relative:char;mso-position-vertical-relative:line" coordsize="39919,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xOQwAAEWEAAAOAAAAZHJzL2Uyb0RvYy54bWzkXW2P27gR/l6g/8Hw983yRa9GNoci6QUF&#10;il5wd/0BWq/8AsiWISnZTX99nyEpytYyl1QqTOOYALtaWqIpPpyZZ4ZD8u1PL4dq8aVs2n19fFjy&#10;N2y5KI/r+ml/3D4s//37z3fZctF2xfGpqOpj+bD8WrbLn9799S9vn0+rUtS7unoqmwUqObar59PD&#10;ctd1p9X9fbvelYeifVOfyiM+3NTNoejwZ7O9f2qKZ9R+qO4FY8n9c908nZp6XbYtSj/oD5fvVP2b&#10;Tbnuftls2rJbVA9LtK1TPxv185F+3r97W6y2TXHa7demGcWEVhyK/RFfaqv6UHTF4nOzf1XVYb9u&#10;6rbedG/W9eG+3mz261K9A96Gs9HbfGzqzyf1LtvV8/ZkuwldO+qnydWu//XlY3P67fSpQU88n7bo&#10;C/UXvcvLpjnQb7Ry8aK67KvtsvKlW6xRKPOc5zJdLtb4LBGJyOJId+p6h55/9dx69/fvPHnff/H9&#10;RXOeTxgg7dAH7bw++G1XnErVte0KffCpWeyfMH4jyeLl4lgcMFR/xeApjtuqXOhi1UHqbttd7apF&#10;z/V9tWhqjK87ztKc/qnxYPqOZ1GUSb5coJfuEsFzM/L6bhRJGsdS96KIWRIl1Im2K4rVqWm7j2V9&#10;WNDFw7JB21T9xZd/tp2+tb+FmlMd6eex/nlfVfpTKkGP9i2mq+7l8UW9NgSJvo7KHuunr+iMXd38&#10;5xeI9aaqnx+WtblakqTj2+nT5aL6xxEgkFD1F01/8dhfNF31vlaip9vzt89dvdmrBg/fZhoGdHUb&#10;rgJz4oZZ9Ts1DYPif4f5jkuexLFQOCec53lipKEHOpYsFRw3kLzwSGR6JFwPaR4c0lBOLoFO+46Y&#10;jnTCIbLAMQbOiXQhnZ4jrbr+ekiL/gWDkWlwDRfSWd8R05GOhZbpOEslmQhoy2J1LtM8O0M6y+mG&#10;6yEt+xcMBuncjbTq95naW8IykEynUZ6nyhyMkM5xQ6+9r4200jGD5fzz22kOfuGQaRQbwjJDphNY&#10;BkIatNUQrkukhTC8luz0tZFWOiYopMGOXUhbwjINacFyATatgI6ZBD+7VN4RSFrOPIq0ZZxhKO88&#10;zxKXndblc4RagHAzZuy0hA+WKYp3IdNZzuHf+dLelnKGA7XLUBPUsy11xolxK7H+Nta4wRfWlnSG&#10;gXUkyRdy6W9LTifqby5zhlFEhlrESRKPhDoSLE7PHeprG2o7ksMAmoQX1vIV0rp8pv5mCYdtIKi5&#10;lBL0C/Wd62/OosSf/h5IZzhQu4InBLU1ZdOkmsuMpamJntwk1pZ2hoE19Lc78I3iOUJ9x4VgGYW2&#10;SaoZA9lWlvFMqhEOTWJ/BBy2w7xgMEi79DcGgPVEJsk0zwUzhEzBPFbeLKEYmic6BnISGsguzQ2Q&#10;ZytunnI4ViTOUQYqAGduZKRZBofaH9Lhhchc7jSQth7IJHGmqaxUMK24ozQBH3uNdI4ZeH9IW8sU&#10;jOJ2edNA2rogE5EWHIKsdXeURAzqeyTTgoi3v2DoYJlCQVq4w94onkPGBhOtYR4LtF8TbS1TMCC7&#10;I97Cuh6TxBmuFbIOjIWOeZKkI2kWCRM89uhGW8MUBtDkLkO5OiMmlqxMghoRb5ZTigGRMZlLGY2g&#10;RrZJzmhC0xfttpYpHKhdbjQNActWJkENOoaIt9CB0JvEerBNYWAdSeGOeKN4jpHWxFsa4i1SxjS/&#10;O4uYKKn2p8AHAxUM0i79jQEwT31HeSx72s2jJBknhUKdJ1GfW+shBwHxmqCCJqSlYUydhtp2xSTt&#10;LRIZR73yZkLKZJT/G3v2sAadFYZIE9Qu7a3L56lvkYkc89uKlN0k1lZrhYE19LQ74I3iOUifedNO&#10;mL1608LSzWBAdge89STy9JxQ5Ixl5CzDxUIiAmNypLkjWPEkRgjWk4s1DOIwgCYN7Yqb6PI58gzi&#10;neRppuOgMk2TlKlIzIh4g/16wzqwEBlh6gqE6vI5WOvICcwCifW3ofY3jSUCC5LBSLsnN1A8C+g8&#10;i7lJCpVJLGU6kmmkjELQPQJt3y8Y/R27kIZMo3wO1BQiE1hdp4UaoU8WjbBW4VCP+ltzh3CS+glT&#10;1+S0Lp+D9YX+/jbU/sQaa33N+4Uh1hFWVjhCJ6p4DtA6GmqyQmUEXa3ztW6HlEkbGgoGaVeQDEjb&#10;jpgUI5MsyTKTbyJFhnQTVd8AdC4Erar3Rb4RkQ9KoklJf2MuC+VzZFpHQ42d5gljWDCP+gakVTQ0&#10;95dvopdyh2WnXdETGgLW5Zwk1Ej/zThkWXOym8TajuVg1Ld7MmsY9JOQHqKhSCR2iLTXaChSIILS&#10;3TDGLtWtimdpboqFZiYaisSSVM8bDZob0GN3G3/RUMyWBgU0aWiXOOvyOVCDeGP+OdV5ZCKPwL1H&#10;kW9Y6TyyG5xgS6NUqdKrbXuh85HDstLfmLPE+po5WIs4A8DfhboPfHuA2kaGgjHSLj4G/W312yQj&#10;LWh/KsXFnBIdQXVDuauZLAJZTRRfTZ4jm9wcDMiu4BhAtrH/SSBjfizNIKuY2hAZIiZ6hnCw0Vip&#10;jW0S+tCYB5zDC425At7A2Wq1STjzKKZNEBTQ2F9QZlpeB6CzLOW014anmenIxoPCkGdwLuRfO9PH&#10;dF725CQEgX8RzXpDpGlRVhwppjUgDSIW08yWN6gt/wgG6hi97coURPkcKsY5cvoNFdNQKyN8Q1AH&#10;lj1GnhRspRNqS1gm6e872nYMu5UMUu2EGnFSXwo8uNAYJoxfIw3Xd55MY0fgOMkwPaKQjrFiR2+q&#10;MAg1hgEiJ6D8vpAOLD5GptrFvXX5HP2NsEmaCLMDMI9SmcGjQoUD1ioJgXaZ9oW1dSGDsdW0GtKl&#10;wFE+B2vacI5znS94m1BbRzIMqKGpXQEyVTwHaJWEwLBxjVLgMmaxngEdCbXHhZaDgxEM0q6wN5C2&#10;9HQaJ6NdL7jZ1htbF6VCJ9KPkCby36vvK2/gDjJqhnIwSLunsrQPPNmnvpRp+FxYNe8w1B5levAk&#10;g0HavU5HH4bx/0E6z8DFbw3owAJl0NIuQqaKZ5npFFv+EgNAmAyJK0JPlgyqO0qx0TNFxnvVfeWt&#10;QodZujAEmrwpl5XW5XOQPmfeOJABU1UO1e3Rx9JnIAU1NQ1z7PaxbBBpKiGjfS+0k3WTUNv3C0Oo&#10;oaVdkxyqeI5IX/AxxMBjpJ6gvkF7q7gJpTX50t6Bxcgi+LkOkVbFs4FGWqgy01GWCkTiXgNNe0z7&#10;AtpGhUKRaOdcFoCeG/aGL93PZclE5npHyguJznIkjXkDOqzwGNbGpbRdp46EqgMQF6bsu/JMitgc&#10;ZYiNRc16SuT/YXNnNfU7gCpzZP/26ymx7Yk5Lessi2j9WR9lSHX2xxfi4MwnfZAhynb91frl2F/S&#10;gYd/eIbnqejoOaqULhc4ttA2ZYejKXVL6OMDjjP8vVY3dqPzKdHK4dPqeH6XrQzOhQrB4N7+jv73&#10;SdV3fudFB/S39b/17VCyqPKHb7z8bjSC3lYdNmZ7AIXnfVwdqTMo36fAAaubqtAnRx72HU5erfYH&#10;5BTQLlNDxa8Oimy7r1VJHVYdfy03ODJSnQZKBW2zfXxfNYsvBR3yqP7pYymr064wpaTd0SRzq7pW&#10;9dDzG5xPaavk6tGLKt9L+m9qMDfTc6U62tU+yfSTa9Mafb4rTknFS/envKIF9iH1zfWxs88fcTat&#10;+hKi7OZtB/ZO7ae/rnpAJW2Z/mrOAjrZZlpMotMCK6vSzKQAUq72+HxKjvTuJPeok21OVDDG1+Ui&#10;A+iZgWyslUMsW+kWEaVRNt5EDrmeSPvFd3tiWXoHrEHI/vxH2TlX0wFo60BOkug7nDKLtF5NpwUm&#10;wOQ4DTDmdLS0Pz6NxDXDL4IRacuyLs6QxiEXpiMmIc1TkGgT3hSCYFe6cqBegqcpNoT1J9LBxbGx&#10;OtJppK0HOQloISTC1LDB4IVOoCOBAKg/mC0FCUaeba6Q9ppwHjz2tfiuLBPNPHOajDFWTpPS+YPk&#10;WpeBjPGFK/CyaQ5Uzzmhvx2n6aKpP+I5XTzQ+0H979fu0+CTaFfs8k7tOY3vWVd1WxJl/2HXSLk/&#10;f+Qeab9G11kdjTfQnj41+rx6l3vk8GWMe9RXA+dD+SHnHpDxY6Y5VTfhHsFR2q6etyfV/9umOO32&#10;6w9FV5z/rTpwVYp6V1dPZfPuvwAAAP//AwBQSwMEFAAGAAgAAAAhAAXws23dAAAABQEAAA8AAABk&#10;cnMvZG93bnJldi54bWxMj0FLw0AQhe+C/2EZwZvdpMWYptmUUtRTEWwF8TbNTpPQ7GzIbpP037t6&#10;0cvA4z3e+yZfT6YVA/WusawgnkUgiEurG64UfBxeHlIQziNrbC2Tgis5WBe3Nzlm2o78TsPeVyKU&#10;sMtQQe19l0npypoMupntiIN3sr1BH2RfSd3jGMpNK+dRlEiDDYeFGjva1lSe9xej4HXEcbOIn4fd&#10;+bS9fh0e3z53MSl1fzdtViA8Tf4vDD/4AR2KwHS0F9ZOtArCI/73Bi+Zp08gjgqWabIAWeTyP33x&#10;DQAA//8DAFBLAQItABQABgAIAAAAIQC2gziS/gAAAOEBAAATAAAAAAAAAAAAAAAAAAAAAABbQ29u&#10;dGVudF9UeXBlc10ueG1sUEsBAi0AFAAGAAgAAAAhADj9If/WAAAAlAEAAAsAAAAAAAAAAAAAAAAA&#10;LwEAAF9yZWxzLy5yZWxzUEsBAi0AFAAGAAgAAAAhABh5X7E5DAAARYQAAA4AAAAAAAAAAAAAAAAA&#10;LgIAAGRycy9lMm9Eb2MueG1sUEsBAi0AFAAGAAgAAAAhAAXws23dAAAABQEAAA8AAAAAAAAAAAAA&#10;AAAAkw4AAGRycy9kb3ducmV2LnhtbFBLBQYAAAAABAAEAPMAAACdDwAAAAA=&#10;">
                <v:rect id="Rectangle 14305" o:spid="_x0000_s1236" style="position:absolute;left:18448;top:-621;width:2675;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ESyxQAAAN4AAAAPAAAAZHJzL2Rvd25yZXYueG1sRE9LawIx&#10;EL4L/Q9hCr252T4sshqlWMQ99KK14HHYzD50Mwmb6K799Y0g9DYf33Pmy8G04kKdbywreE5SEMSF&#10;1Q1XCvbf6/EUhA/IGlvLpOBKHpaLh9EcM2173tJlFyoRQ9hnqKAOwWVS+qImgz6xjjhype0Mhgi7&#10;SuoO+xhuWvmSpu/SYMOxoUZHq5qK0+5sFBw+2eXrXhbl78p9HfNpuznvf5R6ehw+ZiACDeFffHfn&#10;Os5/e00ncHsn3iAXfwAAAP//AwBQSwECLQAUAAYACAAAACEA2+H2y+4AAACFAQAAEwAAAAAAAAAA&#10;AAAAAAAAAAAAW0NvbnRlbnRfVHlwZXNdLnhtbFBLAQItABQABgAIAAAAIQBa9CxbvwAAABUBAAAL&#10;AAAAAAAAAAAAAAAAAB8BAABfcmVscy8ucmVsc1BLAQItABQABgAIAAAAIQANOESyxQAAAN4AAAAP&#10;AAAAAAAAAAAAAAAAAAcCAABkcnMvZG93bnJldi54bWxQSwUGAAAAAAMAAwC3AAAA+QIAAAAA&#10;" filled="f" stroked="f">
                  <v:textbox inset="0,0,0,0">
                    <w:txbxContent>
                      <w:p w14:paraId="403B0094" w14:textId="77777777" w:rsidR="00B32EF2" w:rsidRDefault="00000000">
                        <w:r>
                          <w:rPr>
                            <w:rFonts w:ascii="Times New Roman" w:eastAsia="Times New Roman" w:hAnsi="Times New Roman" w:cs="Times New Roman"/>
                          </w:rPr>
                          <w:t>103</w:t>
                        </w:r>
                      </w:p>
                    </w:txbxContent>
                  </v:textbox>
                </v:rect>
                <v:rect id="Rectangle 14306" o:spid="_x0000_s1237" style="position:absolute;left:-13165;top:61199;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trFxQAAAN4AAAAPAAAAZHJzL2Rvd25yZXYueG1sRE9LawIx&#10;EL4L/Q9hCt4021pEVrNSLNI99KK10OOwmX3YzSRsorv6640g9DYf33NW68G04kydbywreJkmIIgL&#10;qxuuFBy+t5MFCB+QNbaWScGFPKyzp9EKU2173tF5HyoRQ9inqKAOwaVS+qImg35qHXHkStsZDBF2&#10;ldQd9jHctPI1SebSYMOxoUZHm5qKv/3JKPj9YJdve1mU1437OuaL9vN0+FFq/Dy8L0EEGsK/+OHO&#10;dZz/NkvmcH8n3iCzGwAAAP//AwBQSwECLQAUAAYACAAAACEA2+H2y+4AAACFAQAAEwAAAAAAAAAA&#10;AAAAAAAAAAAAW0NvbnRlbnRfVHlwZXNdLnhtbFBLAQItABQABgAIAAAAIQBa9CxbvwAAABUBAAAL&#10;AAAAAAAAAAAAAAAAAB8BAABfcmVscy8ucmVsc1BLAQItABQABgAIAAAAIQD96trFxQAAAN4AAAAP&#10;AAAAAAAAAAAAAAAAAAcCAABkcnMvZG93bnJldi54bWxQSwUGAAAAAAMAAwC3AAAA+QIAAAAA&#10;" filled="f" stroked="f">
                  <v:textbox inset="0,0,0,0">
                    <w:txbxContent>
                      <w:p w14:paraId="2765B50B" w14:textId="77777777" w:rsidR="00B32EF2" w:rsidRDefault="00000000">
                        <w:r>
                          <w:rPr>
                            <w:rFonts w:ascii="Arial" w:eastAsia="Arial" w:hAnsi="Arial" w:cs="Arial"/>
                            <w:sz w:val="18"/>
                          </w:rPr>
                          <w:t xml:space="preserve">statuito dalla sentenza della corte di giustizia tributaria di, con i relativi interessi </w:t>
                        </w:r>
                      </w:p>
                    </w:txbxContent>
                  </v:textbox>
                </v:rect>
                <v:rect id="Rectangle 14307" o:spid="_x0000_s1238" style="position:absolute;left:-13166;top:59966;width:530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n9exQAAAN4AAAAPAAAAZHJzL2Rvd25yZXYueG1sRE9LawIx&#10;EL4L/Q9hCr252T6wshqlWMQ99KK14HHYzD50Mwmb6K799Y0g9DYf33Pmy8G04kKdbywreE5SEMSF&#10;1Q1XCvbf6/EUhA/IGlvLpOBKHpaLh9EcM2173tJlFyoRQ9hnqKAOwWVS+qImgz6xjjhype0Mhgi7&#10;SuoO+xhuWvmSphNpsOHYUKOjVU3FaXc2Cg6f7PJ1L4vyd+W+jvm03Zz3P0o9PQ4fMxCBhvAvvrtz&#10;Hee/vabvcHsn3iAXfwAAAP//AwBQSwECLQAUAAYACAAAACEA2+H2y+4AAACFAQAAEwAAAAAAAAAA&#10;AAAAAAAAAAAAW0NvbnRlbnRfVHlwZXNdLnhtbFBLAQItABQABgAIAAAAIQBa9CxbvwAAABUBAAAL&#10;AAAAAAAAAAAAAAAAAB8BAABfcmVscy8ucmVsc1BLAQItABQABgAIAAAAIQCSpn9exQAAAN4AAAAP&#10;AAAAAAAAAAAAAAAAAAcCAABkcnMvZG93bnJldi54bWxQSwUGAAAAAAMAAwC3AAAA+QIAAAAA&#10;" filled="f" stroked="f">
                  <v:textbox inset="0,0,0,0">
                    <w:txbxContent>
                      <w:p w14:paraId="23322CAC" w14:textId="77777777" w:rsidR="00B32EF2" w:rsidRDefault="00000000">
                        <w:r>
                          <w:rPr>
                            <w:rFonts w:ascii="Arial" w:eastAsia="Arial" w:hAnsi="Arial" w:cs="Arial"/>
                            <w:sz w:val="18"/>
                          </w:rPr>
                          <w:t xml:space="preserve">previsti dalle leggi fiscali, deve essere rimborsato d’ufficio entro novanta giorni </w:t>
                        </w:r>
                      </w:p>
                    </w:txbxContent>
                  </v:textbox>
                </v:rect>
                <v:rect id="Rectangle 14308" o:spid="_x0000_s1239" style="position:absolute;left:-13165;top:58733;width:5307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ssxwAAAN4AAAAPAAAAZHJzL2Rvd25yZXYueG1sRI9Ba8JA&#10;EIXvhf6HZQre6sZWiqSuIhZpDr1oLfQ4ZMckmp1dsquJ/fXOQehthvfmvW/my8G16kJdbDwbmIwz&#10;UMSltw1XBvbfm+cZqJiQLbaeycCVIiwXjw9zzK3veUuXXaqUhHDM0UCdUsi1jmVNDuPYB2LRDr5z&#10;mGTtKm077CXctfoly960w4alocZA65rK0+7sDPx+cCg2vS4Pf+vwdSxm7ed5/2PM6GlYvYNKNKR/&#10;8/26sII/fc2EV96RGfTiBgAA//8DAFBLAQItABQABgAIAAAAIQDb4fbL7gAAAIUBAAATAAAAAAAA&#10;AAAAAAAAAAAAAABbQ29udGVudF9UeXBlc10ueG1sUEsBAi0AFAAGAAgAAAAhAFr0LFu/AAAAFQEA&#10;AAsAAAAAAAAAAAAAAAAAHwEAAF9yZWxzLy5yZWxzUEsBAi0AFAAGAAgAAAAhAOM56yzHAAAA3gAA&#10;AA8AAAAAAAAAAAAAAAAABwIAAGRycy9kb3ducmV2LnhtbFBLBQYAAAAAAwADALcAAAD7AgAAAAA=&#10;" filled="f" stroked="f">
                  <v:textbox inset="0,0,0,0">
                    <w:txbxContent>
                      <w:p w14:paraId="307ABF19" w14:textId="77777777" w:rsidR="00B32EF2" w:rsidRDefault="00000000">
                        <w:r>
                          <w:rPr>
                            <w:rFonts w:ascii="Arial" w:eastAsia="Arial" w:hAnsi="Arial" w:cs="Arial"/>
                            <w:sz w:val="18"/>
                          </w:rPr>
                          <w:t xml:space="preserve">dalla notificazione della sentenza. In caso di mancata esecuzione del rimborso </w:t>
                        </w:r>
                      </w:p>
                    </w:txbxContent>
                  </v:textbox>
                </v:rect>
                <v:rect id="Rectangle 14309" o:spid="_x0000_s1240" style="position:absolute;left:-13165;top:57499;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63xQAAAN4AAAAPAAAAZHJzL2Rvd25yZXYueG1sRE9La8JA&#10;EL4L/Q/LFHrTTa0UG12lKNIcvPgoeByyYxLNzi7Z1aT+elcoeJuP7znTeWdqcaXGV5YVvA8SEMS5&#10;1RUXCva7VX8MwgdkjbVlUvBHHuazl94UU21b3tB1GwoRQ9inqKAMwaVS+rwkg35gHXHkjrYxGCJs&#10;CqkbbGO4qeUwST6lwYpjQ4mOFiXl5+3FKDgs2WWrVubH28KtT9m4/rnsf5V6e+2+JyACdeEp/ndn&#10;Os4ffSRf8Hgn3iBndwAAAP//AwBQSwECLQAUAAYACAAAACEA2+H2y+4AAACFAQAAEwAAAAAAAAAA&#10;AAAAAAAAAAAAW0NvbnRlbnRfVHlwZXNdLnhtbFBLAQItABQABgAIAAAAIQBa9CxbvwAAABUBAAAL&#10;AAAAAAAAAAAAAAAAAB8BAABfcmVscy8ucmVsc1BLAQItABQABgAIAAAAIQCMdU63xQAAAN4AAAAP&#10;AAAAAAAAAAAAAAAAAAcCAABkcnMvZG93bnJldi54bWxQSwUGAAAAAAMAAwC3AAAA+QIAAAAA&#10;" filled="f" stroked="f">
                  <v:textbox inset="0,0,0,0">
                    <w:txbxContent>
                      <w:p w14:paraId="16AEC3F8" w14:textId="77777777" w:rsidR="00B32EF2" w:rsidRDefault="00000000">
                        <w:r>
                          <w:rPr>
                            <w:rFonts w:ascii="Arial" w:eastAsia="Arial" w:hAnsi="Arial" w:cs="Arial"/>
                            <w:sz w:val="18"/>
                          </w:rPr>
                          <w:t xml:space="preserve">il contribuente può richiedere l’ottemperanza a norma dell’articolo 128 alla corte </w:t>
                        </w:r>
                      </w:p>
                    </w:txbxContent>
                  </v:textbox>
                </v:rect>
                <v:rect id="Rectangle 14310" o:spid="_x0000_s1241" style="position:absolute;left:-13165;top:56266;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nH3yAAAAN4AAAAPAAAAZHJzL2Rvd25yZXYueG1sRI9Pa8JA&#10;EMXvhX6HZQq91Y2tFImuIhZpDr34p9DjkB2TaHZ2ya4m7ad3DkJvM8yb995vvhxcq67UxcazgfEo&#10;A0VcettwZeCw37xMQcWEbLH1TAZ+KcJy8fgwx9z6nrd03aVKiQnHHA3UKYVc61jW5DCOfCCW29F3&#10;DpOsXaVth72Yu1a/Ztm7dtiwJNQYaF1Ted5dnIGfDw7Fptfl8W8dvk7FtP28HL6NeX4aVjNQiYb0&#10;L75/F1bqT97GAiA4MoNe3AAAAP//AwBQSwECLQAUAAYACAAAACEA2+H2y+4AAACFAQAAEwAAAAAA&#10;AAAAAAAAAAAAAAAAW0NvbnRlbnRfVHlwZXNdLnhtbFBLAQItABQABgAIAAAAIQBa9CxbvwAAABUB&#10;AAALAAAAAAAAAAAAAAAAAB8BAABfcmVscy8ucmVsc1BLAQItABQABgAIAAAAIQCYlnH3yAAAAN4A&#10;AAAPAAAAAAAAAAAAAAAAAAcCAABkcnMvZG93bnJldi54bWxQSwUGAAAAAAMAAwC3AAAA/AIAAAAA&#10;" filled="f" stroked="f">
                  <v:textbox inset="0,0,0,0">
                    <w:txbxContent>
                      <w:p w14:paraId="38BCEE5D" w14:textId="77777777" w:rsidR="00B32EF2" w:rsidRDefault="00000000">
                        <w:r>
                          <w:rPr>
                            <w:rFonts w:ascii="Arial" w:eastAsia="Arial" w:hAnsi="Arial" w:cs="Arial"/>
                            <w:sz w:val="18"/>
                          </w:rPr>
                          <w:t xml:space="preserve">di giustizia tributaria di primo grado ovvero, se il giudizio è pendente nei gradi </w:t>
                        </w:r>
                      </w:p>
                    </w:txbxContent>
                  </v:textbox>
                </v:rect>
                <v:rect id="Rectangle 14311" o:spid="_x0000_s1242" style="position:absolute;left:-2092;top:55033;width:419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tRsxAAAAN4AAAAPAAAAZHJzL2Rvd25yZXYueG1sRE9Na8JA&#10;EL0X/A/LCN7qJrYUia4iijQHL7UKHofsmESzs0t2NdFf3y0UepvH+5z5sjeNuFPra8sK0nECgriw&#10;uuZSweF7+zoF4QOyxsYyKXiQh+Vi8DLHTNuOv+i+D6WIIewzVFCF4DIpfVGRQT+2jjhyZ9saDBG2&#10;pdQtdjHcNHKSJB/SYM2xoUJH64qK6/5mFJw27PJtJ4vzc+12l3zafN4OR6VGw341AxGoD//iP3eu&#10;4/z3tzSF33fiDXLxAwAA//8DAFBLAQItABQABgAIAAAAIQDb4fbL7gAAAIUBAAATAAAAAAAAAAAA&#10;AAAAAAAAAABbQ29udGVudF9UeXBlc10ueG1sUEsBAi0AFAAGAAgAAAAhAFr0LFu/AAAAFQEAAAsA&#10;AAAAAAAAAAAAAAAAHwEAAF9yZWxzLy5yZWxzUEsBAi0AFAAGAAgAAAAhAPfa1GzEAAAA3gAAAA8A&#10;AAAAAAAAAAAAAAAABwIAAGRycy9kb3ducmV2LnhtbFBLBQYAAAAAAwADALcAAAD4AgAAAAA=&#10;" filled="f" stroked="f">
                  <v:textbox inset="0,0,0,0">
                    <w:txbxContent>
                      <w:p w14:paraId="04BA91B8" w14:textId="77777777" w:rsidR="00B32EF2" w:rsidRDefault="00000000">
                        <w:r>
                          <w:rPr>
                            <w:rFonts w:ascii="Arial" w:eastAsia="Arial" w:hAnsi="Arial" w:cs="Arial"/>
                            <w:sz w:val="18"/>
                          </w:rPr>
                          <w:t>successivi, alla corte di giustizia tributaria di secondo grado. (1)</w:t>
                        </w:r>
                      </w:p>
                    </w:txbxContent>
                  </v:textbox>
                </v:rect>
                <v:rect id="Rectangle 199868" o:spid="_x0000_s1243" style="position:absolute;left:26110;top:537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axAAAAN8AAAAPAAAAZHJzL2Rvd25yZXYueG1sRE89b8Iw&#10;EN0r8R+sQ2IrThlQSDGoAiEydCkFqeMpPpK08dmKDUn763tDpY5P73u9HV2n7tTH1rOBp3kGirjy&#10;tuXawPn98JiDignZYueZDHxThO1m8rDGwvqB3+h+SrWSEI4FGmhSCoXWsWrIYZz7QCzc1fcOk8C+&#10;1rbHQcJdpxdZttQOW5aGBgPtGqq+Tjdn4GPPoTwMurr+7MLrZ5l3x9v5YsxsOr48g0o0pn/xn7u0&#10;Mn+1ypcyWP4IAL35BQAA//8DAFBLAQItABQABgAIAAAAIQDb4fbL7gAAAIUBAAATAAAAAAAAAAAA&#10;AAAAAAAAAABbQ29udGVudF9UeXBlc10ueG1sUEsBAi0AFAAGAAgAAAAhAFr0LFu/AAAAFQEAAAsA&#10;AAAAAAAAAAAAAAAAHwEAAF9yZWxzLy5yZWxzUEsBAi0AFAAGAAgAAAAhAH+b4hrEAAAA3wAAAA8A&#10;AAAAAAAAAAAAAAAABwIAAGRycy9kb3ducmV2LnhtbFBLBQYAAAAAAwADALcAAAD4AgAAAAA=&#10;" filled="f" stroked="f">
                  <v:textbox inset="0,0,0,0">
                    <w:txbxContent>
                      <w:p w14:paraId="159BE2FB" w14:textId="77777777" w:rsidR="00B32EF2" w:rsidRDefault="00000000">
                        <w:r>
                          <w:rPr>
                            <w:rFonts w:ascii="Arial" w:eastAsia="Arial" w:hAnsi="Arial" w:cs="Arial"/>
                            <w:sz w:val="18"/>
                          </w:rPr>
                          <w:t>3</w:t>
                        </w:r>
                      </w:p>
                    </w:txbxContent>
                  </v:textbox>
                </v:rect>
                <v:rect id="Rectangle 199869" o:spid="_x0000_s1244" style="position:absolute;left:-13816;top:53799;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0eBxAAAAN8AAAAPAAAAZHJzL2Rvd25yZXYueG1sRE/Pa8Iw&#10;FL4P/B/CE7zN1B2k7YwyFFkPXuYUPD6aZ9uteQlNtNW/fhGEHT++34vVYFpxpc43lhXMpgkI4tLq&#10;hisFh+/tawrCB2SNrWVScCMPq+XoZYG5tj1/0XUfKhFD2OeooA7B5VL6siaDfmodceTOtjMYIuwq&#10;qTvsY7hp5VuSzKXBhmNDjY7WNZW/+4tRcNqwK7a9LM/3tdv9FGn7eTkclZqMh493EIGG8C9+ugsd&#10;52dZOs/g8ScCkMs/AAAA//8DAFBLAQItABQABgAIAAAAIQDb4fbL7gAAAIUBAAATAAAAAAAAAAAA&#10;AAAAAAAAAABbQ29udGVudF9UeXBlc10ueG1sUEsBAi0AFAAGAAgAAAAhAFr0LFu/AAAAFQEAAAsA&#10;AAAAAAAAAAAAAAAAHwEAAF9yZWxzLy5yZWxzUEsBAi0AFAAGAAgAAAAhABDXR4HEAAAA3wAAAA8A&#10;AAAAAAAAAAAAAAAABwIAAGRycy9kb3ducmV2LnhtbFBLBQYAAAAAAwADALcAAAD4AgAAAAA=&#10;" filled="f" stroked="f">
                  <v:textbox inset="0,0,0,0">
                    <w:txbxContent>
                      <w:p w14:paraId="21F2CB65" w14:textId="77777777" w:rsidR="00B32EF2" w:rsidRDefault="00000000">
                        <w:r>
                          <w:rPr>
                            <w:rFonts w:ascii="Arial" w:eastAsia="Arial" w:hAnsi="Arial" w:cs="Arial"/>
                            <w:sz w:val="18"/>
                          </w:rPr>
                          <w:t xml:space="preserve">. Le imposte suppletive debbono essere corrisposte dopo l’ultima sentenza </w:t>
                        </w:r>
                      </w:p>
                    </w:txbxContent>
                  </v:textbox>
                </v:rect>
                <v:rect id="Rectangle 14313" o:spid="_x0000_s1245" style="position:absolute;left:-2139;top:52566;width:42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AxAAAAN4AAAAPAAAAZHJzL2Rvd25yZXYueG1sRE9Li8Iw&#10;EL4L+x/CLHjT1HURqUZZXGR78LI+wOPQjG21mYQm2uqv3ywI3ubje8582Zla3KjxlWUFo2ECgji3&#10;uuJCwX63HkxB+ICssbZMCu7kYbl4680x1bblX7ptQyFiCPsUFZQhuFRKn5dk0A+tI47cyTYGQ4RN&#10;IXWDbQw3tfxIkok0WHFsKNHRqqT8sr0aBcdvdtm6lfnpsXKbczatf677g1L99+5rBiJQF17ipzvT&#10;cf7neDSG/3fiDXLxBwAA//8DAFBLAQItABQABgAIAAAAIQDb4fbL7gAAAIUBAAATAAAAAAAAAAAA&#10;AAAAAAAAAABbQ29udGVudF9UeXBlc10ueG1sUEsBAi0AFAAGAAgAAAAhAFr0LFu/AAAAFQEAAAsA&#10;AAAAAAAAAAAAAAAAHwEAAF9yZWxzLy5yZWxzUEsBAi0AFAAGAAgAAAAhAGhE74DEAAAA3gAAAA8A&#10;AAAAAAAAAAAAAAAABwIAAGRycy9kb3ducmV2LnhtbFBLBQYAAAAAAwADALcAAAD4AgAAAAA=&#10;" filled="f" stroked="f">
                  <v:textbox inset="0,0,0,0">
                    <w:txbxContent>
                      <w:p w14:paraId="7274644A" w14:textId="77777777" w:rsidR="00B32EF2" w:rsidRDefault="00000000">
                        <w:r>
                          <w:rPr>
                            <w:rFonts w:ascii="Arial" w:eastAsia="Arial" w:hAnsi="Arial" w:cs="Arial"/>
                            <w:sz w:val="18"/>
                          </w:rPr>
                          <w:t xml:space="preserve">non impugnata o impugnabile solo con ricorso in cassazione. </w:t>
                        </w:r>
                      </w:p>
                    </w:txbxContent>
                  </v:textbox>
                </v:rect>
                <v:rect id="Rectangle 199866" o:spid="_x0000_s1246" style="position:absolute;left:26106;top:51333;width:53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PzxAAAAN8AAAAPAAAAZHJzL2Rvd25yZXYueG1sRE/LasJA&#10;FN0L/sNwBXc6sYsQU0cpijSLbnwUurxkrknazJ0hM5rYr3cKBZeH815tBtOKG3W+saxgMU9AEJdW&#10;N1wpOJ/2swyED8gaW8uk4E4eNuvxaIW5tj0f6HYMlYgh7HNUUIfgcil9WZNBP7eOOHIX2xkMEXaV&#10;1B32Mdy08iVJUmmw4dhQo6NtTeXP8WoUfO3YFftelpffrfv4LrL2/Xr+VGo6Gd5eQQQawlP87y50&#10;nL9cZmkKf38iALl+AAAA//8DAFBLAQItABQABgAIAAAAIQDb4fbL7gAAAIUBAAATAAAAAAAAAAAA&#10;AAAAAAAAAABbQ29udGVudF9UeXBlc10ueG1sUEsBAi0AFAAGAAgAAAAhAFr0LFu/AAAAFQEAAAsA&#10;AAAAAAAAAAAAAAAAHwEAAF9yZWxzLy5yZWxzUEsBAi0AFAAGAAgAAAAhAGFI0/PEAAAA3wAAAA8A&#10;AAAAAAAAAAAAAAAABwIAAGRycy9kb3ducmV2LnhtbFBLBQYAAAAAAwADALcAAAD4AgAAAAA=&#10;" filled="f" stroked="f">
                  <v:textbox inset="0,0,0,0">
                    <w:txbxContent>
                      <w:p w14:paraId="6D657D41" w14:textId="77777777" w:rsidR="00B32EF2" w:rsidRDefault="00000000">
                        <w:r>
                          <w:rPr>
                            <w:rFonts w:ascii="Arial" w:eastAsia="Arial" w:hAnsi="Arial" w:cs="Arial"/>
                            <w:sz w:val="18"/>
                          </w:rPr>
                          <w:t>4</w:t>
                        </w:r>
                      </w:p>
                    </w:txbxContent>
                  </v:textbox>
                </v:rect>
                <v:rect id="Rectangle 199867" o:spid="_x0000_s1247" style="position:absolute;left:-13807;top:51333;width:531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HZoxAAAAN8AAAAPAAAAZHJzL2Rvd25yZXYueG1sRE/LasJA&#10;FN0L/sNwhe500i5sjI5SLNIsuqkPcHnJXJO0mTtDZjTRr+8IgsvDeS9WvWnEhVpfW1bwOklAEBdW&#10;11wq2O824xSED8gaG8uk4EoeVsvhYIGZth3/0GUbShFD2GeooArBZVL6oiKDfmIdceROtjUYImxL&#10;qVvsYrhp5FuSTKXBmmNDhY7WFRV/27NRcPxkl286WZxua/f9m6fN13l/UOpl1H/MQQTqw1P8cOc6&#10;zp/N0uk73P9EAHL5DwAA//8DAFBLAQItABQABgAIAAAAIQDb4fbL7gAAAIUBAAATAAAAAAAAAAAA&#10;AAAAAAAAAABbQ29udGVudF9UeXBlc10ueG1sUEsBAi0AFAAGAAgAAAAhAFr0LFu/AAAAFQEAAAsA&#10;AAAAAAAAAAAAAAAAHwEAAF9yZWxzLy5yZWxzUEsBAi0AFAAGAAgAAAAhAA4EdmjEAAAA3wAAAA8A&#10;AAAAAAAAAAAAAAAABwIAAGRycy9kb3ducmV2LnhtbFBLBQYAAAAAAwADALcAAAD4AgAAAAA=&#10;" filled="f" stroked="f">
                  <v:textbox inset="0,0,0,0">
                    <w:txbxContent>
                      <w:p w14:paraId="652A8C0E" w14:textId="77777777" w:rsidR="00B32EF2" w:rsidRDefault="00000000">
                        <w:r>
                          <w:rPr>
                            <w:rFonts w:ascii="Arial" w:eastAsia="Arial" w:hAnsi="Arial" w:cs="Arial"/>
                            <w:sz w:val="18"/>
                          </w:rPr>
                          <w:t xml:space="preserve">. Il pagamento, in pendenza di processo, delle risorse proprie tradizionali di </w:t>
                        </w:r>
                      </w:p>
                    </w:txbxContent>
                  </v:textbox>
                </v:rect>
                <v:rect id="Rectangle 14315" o:spid="_x0000_s1248" style="position:absolute;left:-12208;top:50099;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dJvxQAAAN4AAAAPAAAAZHJzL2Rvd25yZXYueG1sRE9La8JA&#10;EL4X/A/LCN7qxlpFoquIRZpDL/UBHofsmESzs0t2NWl/fbcgeJuP7zmLVWdqcafGV5YVjIYJCOLc&#10;6ooLBYf99nUGwgdkjbVlUvBDHlbL3ssCU21b/qb7LhQihrBPUUEZgkul9HlJBv3QOuLInW1jMETY&#10;FFI32MZwU8u3JJlKgxXHhhIdbUrKr7ubUXD6YJdtW5mffzfu65LN6s/b4ajUoN+t5yACdeEpfrgz&#10;Hee/j0cT+H8n3iCXfwAAAP//AwBQSwECLQAUAAYACAAAACEA2+H2y+4AAACFAQAAEwAAAAAAAAAA&#10;AAAAAAAAAAAAW0NvbnRlbnRfVHlwZXNdLnhtbFBLAQItABQABgAIAAAAIQBa9CxbvwAAABUBAAAL&#10;AAAAAAAAAAAAAAAAAB8BAABfcmVscy8ucmVsc1BLAQItABQABgAIAAAAIQCI4dJvxQAAAN4AAAAP&#10;AAAAAAAAAAAAAAAAAAcCAABkcnMvZG93bnJldi54bWxQSwUGAAAAAAMAAwC3AAAA+QIAAAAA&#10;" filled="f" stroked="f">
                  <v:textbox inset="0,0,0,0">
                    <w:txbxContent>
                      <w:p w14:paraId="73C9C635" w14:textId="77777777" w:rsidR="00B32EF2" w:rsidRDefault="00000000">
                        <w:r>
                          <w:rPr>
                            <w:rFonts w:ascii="Arial" w:eastAsia="Arial" w:hAnsi="Arial" w:cs="Arial"/>
                            <w:sz w:val="18"/>
                          </w:rPr>
                          <w:t>cui all’articolo 2, paragrafo 1, lettera a), della decisione 2020/2053/UE, Eu</w:t>
                        </w:r>
                      </w:p>
                    </w:txbxContent>
                  </v:textbox>
                </v:rect>
                <v:rect id="Rectangle 14316" o:spid="_x0000_s1249" style="position:absolute;left:192;top:500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0wYxAAAAN4AAAAPAAAAZHJzL2Rvd25yZXYueG1sRE9Li8Iw&#10;EL4v7H8Is+BtTdVFpBplcRF72Isv8Dg0Y1ttJqGJtvrrzcKCt/n4njNbdKYWN2p8ZVnBoJ+AIM6t&#10;rrhQsN+tPicgfEDWWFsmBXfysJi/v80w1bblDd22oRAxhH2KCsoQXCqlz0sy6PvWEUfuZBuDIcKm&#10;kLrBNoabWg6TZCwNVhwbSnS0LCm/bK9GwfGHXbZqZX56LN3vOZvU6+v+oFTvo/ueggjUhZf4353p&#10;OP9rNBjD3zvxBjl/AgAA//8DAFBLAQItABQABgAIAAAAIQDb4fbL7gAAAIUBAAATAAAAAAAAAAAA&#10;AAAAAAAAAABbQ29udGVudF9UeXBlc10ueG1sUEsBAi0AFAAGAAgAAAAhAFr0LFu/AAAAFQEAAAsA&#10;AAAAAAAAAAAAAAAAHwEAAF9yZWxzLy5yZWxzUEsBAi0AFAAGAAgAAAAhAHgzTBjEAAAA3gAAAA8A&#10;AAAAAAAAAAAAAAAABwIAAGRycy9kb3ducmV2LnhtbFBLBQYAAAAAAwADALcAAAD4AgAAAAA=&#10;" filled="f" stroked="f">
                  <v:textbox inset="0,0,0,0">
                    <w:txbxContent>
                      <w:p w14:paraId="2479E6F3" w14:textId="77777777" w:rsidR="00B32EF2" w:rsidRDefault="00000000">
                        <w:r>
                          <w:rPr>
                            <w:rFonts w:ascii="Arial" w:eastAsia="Arial" w:hAnsi="Arial" w:cs="Arial"/>
                            <w:sz w:val="18"/>
                          </w:rPr>
                          <w:t>-</w:t>
                        </w:r>
                      </w:p>
                    </w:txbxContent>
                  </v:textbox>
                </v:rect>
                <v:rect id="Rectangle 14317" o:spid="_x0000_s1250" style="position:absolute;left:-13171;top:488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mDxQAAAN4AAAAPAAAAZHJzL2Rvd25yZXYueG1sRE9La8JA&#10;EL4X/A/LCN7qxlpUoquIRZpDL/UBHofsmESzs0t2NWl/fbcgeJuP7zmLVWdqcafGV5YVjIYJCOLc&#10;6ooLBYf99nUGwgdkjbVlUvBDHlbL3ssCU21b/qb7LhQihrBPUUEZgkul9HlJBv3QOuLInW1jMETY&#10;FFI32MZwU8u3JJlIgxXHhhIdbUrKr7ubUXD6YJdtW5mffzfu65LN6s/b4ajUoN+t5yACdeEpfrgz&#10;Hee/j0dT+H8n3iCXfwAAAP//AwBQSwECLQAUAAYACAAAACEA2+H2y+4AAACFAQAAEwAAAAAAAAAA&#10;AAAAAAAAAAAAW0NvbnRlbnRfVHlwZXNdLnhtbFBLAQItABQABgAIAAAAIQBa9CxbvwAAABUBAAAL&#10;AAAAAAAAAAAAAAAAAB8BAABfcmVscy8ucmVsc1BLAQItABQABgAIAAAAIQAXf+mDxQAAAN4AAAAP&#10;AAAAAAAAAAAAAAAAAAcCAABkcnMvZG93bnJldi54bWxQSwUGAAAAAAMAAwC3AAAA+QIAAAAA&#10;" filled="f" stroked="f">
                  <v:textbox inset="0,0,0,0">
                    <w:txbxContent>
                      <w:p w14:paraId="06C3CF65" w14:textId="77777777" w:rsidR="00B32EF2" w:rsidRDefault="00000000">
                        <w:r>
                          <w:rPr>
                            <w:rFonts w:ascii="Arial" w:eastAsia="Arial" w:hAnsi="Arial" w:cs="Arial"/>
                            <w:sz w:val="18"/>
                          </w:rPr>
                          <w:t xml:space="preserve">ratom del Consiglio, del 14 dicembre 2020 e dell’imposta sul valore aggiunto </w:t>
                        </w:r>
                      </w:p>
                    </w:txbxContent>
                  </v:textbox>
                </v:rect>
                <v:rect id="Rectangle 14318" o:spid="_x0000_s1251" style="position:absolute;left:-13172;top:476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H3xyAAAAN4AAAAPAAAAZHJzL2Rvd25yZXYueG1sRI9Pa8JA&#10;EMXvhX6HZQq91Y2tFImuIhZpDr34p9DjkB2TaHZ2ya4m7ad3DkJvM7w37/1mvhxcq67UxcazgfEo&#10;A0VcettwZeCw37xMQcWEbLH1TAZ+KcJy8fgwx9z6nrd03aVKSQjHHA3UKYVc61jW5DCOfCAW7eg7&#10;h0nWrtK2w17CXatfs+xdO2xYGmoMtK6pPO8uzsDPB4di0+vy+LcOX6di2n5eDt/GPD8NqxmoREP6&#10;N9+vCyv4k7ex8Mo7MoNe3AAAAP//AwBQSwECLQAUAAYACAAAACEA2+H2y+4AAACFAQAAEwAAAAAA&#10;AAAAAAAAAAAAAAAAW0NvbnRlbnRfVHlwZXNdLnhtbFBLAQItABQABgAIAAAAIQBa9CxbvwAAABUB&#10;AAALAAAAAAAAAAAAAAAAAB8BAABfcmVscy8ucmVsc1BLAQItABQABgAIAAAAIQBm4H3xyAAAAN4A&#10;AAAPAAAAAAAAAAAAAAAAAAcCAABkcnMvZG93bnJldi54bWxQSwUGAAAAAAMAAwC3AAAA/AIAAAAA&#10;" filled="f" stroked="f">
                  <v:textbox inset="0,0,0,0">
                    <w:txbxContent>
                      <w:p w14:paraId="68283569" w14:textId="77777777" w:rsidR="00B32EF2" w:rsidRDefault="00000000">
                        <w:r>
                          <w:rPr>
                            <w:rFonts w:ascii="Arial" w:eastAsia="Arial" w:hAnsi="Arial" w:cs="Arial"/>
                            <w:sz w:val="18"/>
                          </w:rPr>
                          <w:t xml:space="preserve">riscossa all’importazione resta disciplinato dal regolamento (UE) n. 952/2013 </w:t>
                        </w:r>
                      </w:p>
                    </w:txbxContent>
                  </v:textbox>
                </v:rect>
                <v:rect id="Rectangle 14319" o:spid="_x0000_s1252" style="position:absolute;left:-12186;top:46400;width:5210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NhqxQAAAN4AAAAPAAAAZHJzL2Rvd25yZXYueG1sRE9La8JA&#10;EL4X/A/LCN7qxlpEo6uIRZpDL/UBHofsmESzs0t2NWl/fbcgeJuP7zmLVWdqcafGV5YVjIYJCOLc&#10;6ooLBYf99nUKwgdkjbVlUvBDHlbL3ssCU21b/qb7LhQihrBPUUEZgkul9HlJBv3QOuLInW1jMETY&#10;FFI32MZwU8u3JJlIgxXHhhIdbUrKr7ubUXD6YJdtW5mffzfu65JN68/b4ajUoN+t5yACdeEpfrgz&#10;Hee/j0cz+H8n3iCXfwAAAP//AwBQSwECLQAUAAYACAAAACEA2+H2y+4AAACFAQAAEwAAAAAAAAAA&#10;AAAAAAAAAAAAW0NvbnRlbnRfVHlwZXNdLnhtbFBLAQItABQABgAIAAAAIQBa9CxbvwAAABUBAAAL&#10;AAAAAAAAAAAAAAAAAB8BAABfcmVscy8ucmVsc1BLAQItABQABgAIAAAAIQAJrNhqxQAAAN4AAAAP&#10;AAAAAAAAAAAAAAAAAAcCAABkcnMvZG93bnJldi54bWxQSwUGAAAAAAMAAwC3AAAA+QIAAAAA&#10;" filled="f" stroked="f">
                  <v:textbox inset="0,0,0,0">
                    <w:txbxContent>
                      <w:p w14:paraId="3625BF0B" w14:textId="77777777" w:rsidR="00B32EF2" w:rsidRDefault="00000000">
                        <w:r>
                          <w:rPr>
                            <w:rFonts w:ascii="Arial" w:eastAsia="Arial" w:hAnsi="Arial" w:cs="Arial"/>
                            <w:sz w:val="18"/>
                          </w:rPr>
                          <w:t>del Parlamento europeo e del Consiglio, del 9 ottobre 2013, e dalle altre dispo</w:t>
                        </w:r>
                      </w:p>
                    </w:txbxContent>
                  </v:textbox>
                </v:rect>
                <v:rect id="Rectangle 14320" o:spid="_x0000_s1253" style="position:absolute;left:192;top:4640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KxwAAAN4AAAAPAAAAZHJzL2Rvd25yZXYueG1sRI9Ba8JA&#10;EIXvQv/DMoXedFMVkdRVikXMoZeqhR6H7Jikzc4u2dWk/fXOoeBthnnz3vtWm8G16kpdbDwbeJ5k&#10;oIhLbxuuDJyOu/ESVEzIFlvPZOCXImzWD6MV5tb3/EHXQ6qUmHDM0UCdUsi1jmVNDuPEB2K5nX3n&#10;MMnaVdp22Iu5a/U0yxbaYcOSUGOgbU3lz+HiDHy9cSh2vS7Pf9vw/l0s2/3l9GnM0+Pw+gIq0ZDu&#10;4v/vwkr9+WwqAIIjM+j1DQAA//8DAFBLAQItABQABgAIAAAAIQDb4fbL7gAAAIUBAAATAAAAAAAA&#10;AAAAAAAAAAAAAABbQ29udGVudF9UeXBlc10ueG1sUEsBAi0AFAAGAAgAAAAhAFr0LFu/AAAAFQEA&#10;AAsAAAAAAAAAAAAAAAAAHwEAAF9yZWxzLy5yZWxzUEsBAi0AFAAGAAgAAAAhAFb6u0rHAAAA3gAA&#10;AA8AAAAAAAAAAAAAAAAABwIAAGRycy9kb3ducmV2LnhtbFBLBQYAAAAAAwADALcAAAD7AgAAAAA=&#10;" filled="f" stroked="f">
                  <v:textbox inset="0,0,0,0">
                    <w:txbxContent>
                      <w:p w14:paraId="7A442E26" w14:textId="77777777" w:rsidR="00B32EF2" w:rsidRDefault="00000000">
                        <w:r>
                          <w:rPr>
                            <w:rFonts w:ascii="Arial" w:eastAsia="Arial" w:hAnsi="Arial" w:cs="Arial"/>
                            <w:sz w:val="18"/>
                          </w:rPr>
                          <w:t>-</w:t>
                        </w:r>
                      </w:p>
                    </w:txbxContent>
                  </v:textbox>
                </v:rect>
                <v:rect id="Rectangle 14321" o:spid="_x0000_s1254" style="position:absolute;left:13896;top:45166;width:260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h7RxAAAAN4AAAAPAAAAZHJzL2Rvd25yZXYueG1sRE9Li8Iw&#10;EL4v+B/CCN7WVHdZpBpFFNkevKwP8Dg0Y1ttJqGJtvrrNwsL3ubje85s0Zla3KnxlWUFo2ECgji3&#10;uuJCwWG/eZ+A8AFZY22ZFDzIw2Lee5thqm3LP3TfhULEEPYpKihDcKmUPi/JoB9aRxy5s20Mhgib&#10;QuoG2xhuajlOki9psOLYUKKjVUn5dXczCk5rdtmmlfn5uXLbSzapv2+Ho1KDfrecggjUhZf4353p&#10;OP/zYzyCv3fiDXL+CwAA//8DAFBLAQItABQABgAIAAAAIQDb4fbL7gAAAIUBAAATAAAAAAAAAAAA&#10;AAAAAAAAAABbQ29udGVudF9UeXBlc10ueG1sUEsBAi0AFAAGAAgAAAAhAFr0LFu/AAAAFQEAAAsA&#10;AAAAAAAAAAAAAAAAHwEAAF9yZWxzLy5yZWxzUEsBAi0AFAAGAAgAAAAhADm2HtHEAAAA3gAAAA8A&#10;AAAAAAAAAAAAAAAABwIAAGRycy9kb3ducmV2LnhtbFBLBQYAAAAAAwADALcAAAD4AgAAAAA=&#10;" filled="f" stroked="f">
                  <v:textbox inset="0,0,0,0">
                    <w:txbxContent>
                      <w:p w14:paraId="608DD1C8" w14:textId="77777777" w:rsidR="00B32EF2" w:rsidRDefault="00000000">
                        <w:r>
                          <w:rPr>
                            <w:rFonts w:ascii="Arial" w:eastAsia="Arial" w:hAnsi="Arial" w:cs="Arial"/>
                            <w:sz w:val="18"/>
                          </w:rPr>
                          <w:t>sizioni dell’Unione europea in materia.</w:t>
                        </w:r>
                      </w:p>
                    </w:txbxContent>
                  </v:textbox>
                </v:rect>
                <v:rect id="Rectangle 199864" o:spid="_x0000_s1255" style="position:absolute;left:26109;top:43933;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fxAAAAN8AAAAPAAAAZHJzL2Rvd25yZXYueG1sRE/Pa8Iw&#10;FL4L/g/hCd40VYbUziiiyHrYZc7Bjo/m2XZrXkITbd1fvwiCx4/v92rTm0ZcqfW1ZQWzaQKCuLC6&#10;5lLB6fMwSUH4gKyxsUwKbuRhsx4OVphp2/EHXY+hFDGEfYYKqhBcJqUvKjLop9YRR+5sW4MhwraU&#10;usUuhptGzpNkIQ3WHBsqdLSrqPg9XoyC7z27/NDJ4vy3c+8/edq8XU5fSo1H/fYVRKA+PMUPd67j&#10;/OUyXbzA/U8EINf/AAAA//8DAFBLAQItABQABgAIAAAAIQDb4fbL7gAAAIUBAAATAAAAAAAAAAAA&#10;AAAAAAAAAABbQ29udGVudF9UeXBlc10ueG1sUEsBAi0AFAAGAAgAAAAhAFr0LFu/AAAAFQEAAAsA&#10;AAAAAAAAAAAAAAAAHwEAAF9yZWxzLy5yZWxzUEsBAi0AFAAGAAgAAAAhAP7W6B/EAAAA3wAAAA8A&#10;AAAAAAAAAAAAAAAABwIAAGRycy9kb3ducmV2LnhtbFBLBQYAAAAAAwADALcAAAD4AgAAAAA=&#10;" filled="f" stroked="f">
                  <v:textbox inset="0,0,0,0">
                    <w:txbxContent>
                      <w:p w14:paraId="46665DF9" w14:textId="77777777" w:rsidR="00B32EF2" w:rsidRDefault="00000000">
                        <w:r>
                          <w:rPr>
                            <w:rFonts w:ascii="Arial" w:eastAsia="Arial" w:hAnsi="Arial" w:cs="Arial"/>
                            <w:sz w:val="18"/>
                          </w:rPr>
                          <w:t>5</w:t>
                        </w:r>
                      </w:p>
                    </w:txbxContent>
                  </v:textbox>
                </v:rect>
                <v:rect id="Rectangle 199865" o:spid="_x0000_s1256" style="position:absolute;left:-13816;top:439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k2ExAAAAN8AAAAPAAAAZHJzL2Rvd25yZXYueG1sRE/Pa8Iw&#10;FL4L/g/hCd40VZjUziiiyHrYZc7Bjo/m2XZrXkITbd1fvwiCx4/v92rTm0ZcqfW1ZQWzaQKCuLC6&#10;5lLB6fMwSUH4gKyxsUwKbuRhsx4OVphp2/EHXY+hFDGEfYYKqhBcJqUvKjLop9YRR+5sW4MhwraU&#10;usUuhptGzpNkIQ3WHBsqdLSrqPg9XoyC7z27/NDJ4vy3c+8/edq8XU5fSo1H/fYVRKA+PMUPd67j&#10;/OUyXbzA/U8EINf/AAAA//8DAFBLAQItABQABgAIAAAAIQDb4fbL7gAAAIUBAAATAAAAAAAAAAAA&#10;AAAAAAAAAABbQ29udGVudF9UeXBlc10ueG1sUEsBAi0AFAAGAAgAAAAhAFr0LFu/AAAAFQEAAAsA&#10;AAAAAAAAAAAAAAAAHwEAAF9yZWxzLy5yZWxzUEsBAi0AFAAGAAgAAAAhAJGaTYTEAAAA3wAAAA8A&#10;AAAAAAAAAAAAAAAABwIAAGRycy9kb3ducmV2LnhtbFBLBQYAAAAAAwADALcAAAD4AgAAAAA=&#10;" filled="f" stroked="f">
                  <v:textbox inset="0,0,0,0">
                    <w:txbxContent>
                      <w:p w14:paraId="2A535F42" w14:textId="77777777" w:rsidR="00B32EF2" w:rsidRDefault="00000000">
                        <w:r>
                          <w:rPr>
                            <w:rFonts w:ascii="Arial" w:eastAsia="Arial" w:hAnsi="Arial" w:cs="Arial"/>
                            <w:sz w:val="18"/>
                          </w:rPr>
                          <w:t xml:space="preserve">. Con riferimento all’esecuzione delle sanzioni, in caso di ricorso alle corti di </w:t>
                        </w:r>
                      </w:p>
                    </w:txbxContent>
                  </v:textbox>
                </v:rect>
                <v:rect id="Rectangle 14323" o:spid="_x0000_s1257" style="position:absolute;left:-13172;top:427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CU9xAAAAN4AAAAPAAAAZHJzL2Rvd25yZXYueG1sRE9Ni8Iw&#10;EL0v+B/CCN7WVF0W6RpFFLEHL7ou7HFoxrbaTEITbfXXb4QFb/N4nzNbdKYWN2p8ZVnBaJiAIM6t&#10;rrhQcPzevE9B+ICssbZMCu7kYTHvvc0w1bblPd0OoRAxhH2KCsoQXCqlz0sy6IfWEUfuZBuDIcKm&#10;kLrBNoabWo6T5FMarDg2lOhoVVJ+OVyNgt81u2zTyvz0WLndOZvW2+vxR6lBv1t+gQjUhZf4353p&#10;OP9jMp7A8514g5z/AQAA//8DAFBLAQItABQABgAIAAAAIQDb4fbL7gAAAIUBAAATAAAAAAAAAAAA&#10;AAAAAAAAAABbQ29udGVudF9UeXBlc10ueG1sUEsBAi0AFAAGAAgAAAAhAFr0LFu/AAAAFQEAAAsA&#10;AAAAAAAAAAAAAAAAHwEAAF9yZWxzLy5yZWxzUEsBAi0AFAAGAAgAAAAhAKYoJT3EAAAA3gAAAA8A&#10;AAAAAAAAAAAAAAAABwIAAGRycy9kb3ducmV2LnhtbFBLBQYAAAAAAwADALcAAAD4AgAAAAA=&#10;" filled="f" stroked="f">
                  <v:textbox inset="0,0,0,0">
                    <w:txbxContent>
                      <w:p w14:paraId="78F9276B" w14:textId="77777777" w:rsidR="00B32EF2" w:rsidRDefault="00000000">
                        <w:r>
                          <w:rPr>
                            <w:rFonts w:ascii="Arial" w:eastAsia="Arial" w:hAnsi="Arial" w:cs="Arial"/>
                            <w:sz w:val="18"/>
                          </w:rPr>
                          <w:t xml:space="preserve">giustizia tributaria, anche nei casi in cui non è prevista riscossione frazionata </w:t>
                        </w:r>
                      </w:p>
                    </w:txbxContent>
                  </v:textbox>
                </v:rect>
                <v:rect id="Rectangle 14324" o:spid="_x0000_s1258" style="position:absolute;left:4953;top:41466;width:349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b1JxAAAAN4AAAAPAAAAZHJzL2Rvd25yZXYueG1sRE9Li8Iw&#10;EL4L/ocwgjdNfbBI1yiiiD3sZV0X9jg0Y1ttJqGJtvrrNwsL3ubje85y3Zla3KnxlWUFk3ECgji3&#10;uuJCwelrP1qA8AFZY22ZFDzIw3rV7y0x1bblT7ofQyFiCPsUFZQhuFRKn5dk0I+tI47c2TYGQ4RN&#10;IXWDbQw3tZwmyZs0WHFsKNHRtqT8erwZBT87dtm+lfn5uXUfl2xRH26nb6WGg27zDiJQF17if3em&#10;4/z5bDqHv3fiDXL1CwAA//8DAFBLAQItABQABgAIAAAAIQDb4fbL7gAAAIUBAAATAAAAAAAAAAAA&#10;AAAAAAAAAABbQ29udGVudF9UeXBlc10ueG1sUEsBAi0AFAAGAAgAAAAhAFr0LFu/AAAAFQEAAAsA&#10;AAAAAAAAAAAAAAAAHwEAAF9yZWxzLy5yZWxzUEsBAi0AFAAGAAgAAAAhACnBvUnEAAAA3gAAAA8A&#10;AAAAAAAAAAAAAAAABwIAAGRycy9kb3ducmV2LnhtbFBLBQYAAAAAAwADALcAAAD4AgAAAAA=&#10;" filled="f" stroked="f">
                  <v:textbox inset="0,0,0,0">
                    <w:txbxContent>
                      <w:p w14:paraId="48E3FF84" w14:textId="77777777" w:rsidR="00B32EF2" w:rsidRDefault="00000000">
                        <w:r>
                          <w:rPr>
                            <w:rFonts w:ascii="Arial" w:eastAsia="Arial" w:hAnsi="Arial" w:cs="Arial"/>
                            <w:sz w:val="18"/>
                          </w:rPr>
                          <w:t>si applicano le disposizioni dettate dai commi 1 e 2.</w:t>
                        </w:r>
                      </w:p>
                    </w:txbxContent>
                  </v:textbox>
                </v:rect>
                <v:rect id="Rectangle 199862" o:spid="_x0000_s1259" style="position:absolute;left:26354;top:40233;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9XwxAAAAN8AAAAPAAAAZHJzL2Rvd25yZXYueG1sRE/LisIw&#10;FN0P+A/hCrMbU11IrUYRRezCzfgAl5fm2namuQlNtB2/fjIw4PJw3otVbxrxoNbXlhWMRwkI4sLq&#10;mksF59PuIwXhA7LGxjIp+CEPq+XgbYGZth1/0uMYShFD2GeooArBZVL6oiKDfmQdceRutjUYImxL&#10;qVvsYrhp5CRJptJgzbGhQkebiorv490ouG7Z5btOFrfnxh2+8rTZ388Xpd6H/XoOIlAfXuJ/d67j&#10;/NksnU7g708EIJe/AAAA//8DAFBLAQItABQABgAIAAAAIQDb4fbL7gAAAIUBAAATAAAAAAAAAAAA&#10;AAAAAAAAAABbQ29udGVudF9UeXBlc10ueG1sUEsBAi0AFAAGAAgAAAAhAFr0LFu/AAAAFQEAAAsA&#10;AAAAAAAAAAAAAAAAHwEAAF9yZWxzLy5yZWxzUEsBAi0AFAAGAAgAAAAhAB5z1fDEAAAA3wAAAA8A&#10;AAAAAAAAAAAAAAAABwIAAGRycy9kb3ducmV2LnhtbFBLBQYAAAAAAwADALcAAAD4AgAAAAA=&#10;" filled="f" stroked="f">
                  <v:textbox inset="0,0,0,0">
                    <w:txbxContent>
                      <w:p w14:paraId="1D8B0D69" w14:textId="77777777" w:rsidR="00B32EF2" w:rsidRDefault="00000000">
                        <w:r>
                          <w:rPr>
                            <w:rFonts w:ascii="Arial" w:eastAsia="Arial" w:hAnsi="Arial" w:cs="Arial"/>
                            <w:sz w:val="18"/>
                          </w:rPr>
                          <w:t>6</w:t>
                        </w:r>
                      </w:p>
                    </w:txbxContent>
                  </v:textbox>
                </v:rect>
                <v:rect id="Rectangle 199863" o:spid="_x0000_s1260" style="position:absolute;left:-12829;top:40233;width:521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3BrxAAAAN8AAAAPAAAAZHJzL2Rvd25yZXYueG1sRE/Pa8Iw&#10;FL4L/g/hCd401YHUziiiyHrYZc7Bjo/m2XZrXkITbd1fvwiCx4/v92rTm0ZcqfW1ZQWzaQKCuLC6&#10;5lLB6fMwSUH4gKyxsUwKbuRhsx4OVphp2/EHXY+hFDGEfYYKqhBcJqUvKjLop9YRR+5sW4MhwraU&#10;usUuhptGzpNkIQ3WHBsqdLSrqPg9XoyC7z27/NDJ4vy3c+8/edq8XU5fSo1H/fYVRKA+PMUPd67j&#10;/OUyXbzA/U8EINf/AAAA//8DAFBLAQItABQABgAIAAAAIQDb4fbL7gAAAIUBAAATAAAAAAAAAAAA&#10;AAAAAAAAAABbQ29udGVudF9UeXBlc10ueG1sUEsBAi0AFAAGAAgAAAAhAFr0LFu/AAAAFQEAAAsA&#10;AAAAAAAAAAAAAAAAHwEAAF9yZWxzLy5yZWxzUEsBAi0AFAAGAAgAAAAhAHE/cGvEAAAA3wAAAA8A&#10;AAAAAAAAAAAAAAAABwIAAGRycy9kb3ducmV2LnhtbFBLBQYAAAAAAwADALcAAAD4AgAAAAA=&#10;" filled="f" stroked="f">
                  <v:textbox inset="0,0,0,0">
                    <w:txbxContent>
                      <w:p w14:paraId="3E84C1B9" w14:textId="77777777" w:rsidR="00B32EF2" w:rsidRDefault="00000000">
                        <w:r>
                          <w:rPr>
                            <w:rFonts w:ascii="Arial" w:eastAsia="Arial" w:hAnsi="Arial" w:cs="Arial"/>
                            <w:sz w:val="18"/>
                          </w:rPr>
                          <w:t>. La corte di giustizia tributaria di secondo grado può sospendere l’esecuzio</w:t>
                        </w:r>
                      </w:p>
                    </w:txbxContent>
                  </v:textbox>
                </v:rect>
                <v:rect id="Rectangle 14326" o:spid="_x0000_s1261" style="position:absolute;left:192;top:402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4alxAAAAN4AAAAPAAAAZHJzL2Rvd25yZXYueG1sRE9Ni8Iw&#10;EL0L/ocwgjdN1UWkaxRRxB72sq4Lexyasa02k9BEW/31m4UFb/N4n7Ncd6YWd2p8ZVnBZJyAIM6t&#10;rrhQcPrajxYgfEDWWFsmBQ/ysF71e0tMtW35k+7HUIgYwj5FBWUILpXS5yUZ9GPriCN3to3BEGFT&#10;SN1gG8NNLadJMpcGK44NJTralpRfjzej4GfHLtu3Mj8/t+7jki3qw+30rdRw0G3eQQTqwkv87850&#10;nP82m87h7514g1z9AgAA//8DAFBLAQItABQABgAIAAAAIQDb4fbL7gAAAIUBAAATAAAAAAAAAAAA&#10;AAAAAAAAAABbQ29udGVudF9UeXBlc10ueG1sUEsBAi0AFAAGAAgAAAAhAFr0LFu/AAAAFQEAAAsA&#10;AAAAAAAAAAAAAAAAHwEAAF9yZWxzLy5yZWxzUEsBAi0AFAAGAAgAAAAhALZfhqXEAAAA3gAAAA8A&#10;AAAAAAAAAAAAAAAABwIAAGRycy9kb3ducmV2LnhtbFBLBQYAAAAAAwADALcAAAD4AgAAAAA=&#10;" filled="f" stroked="f">
                  <v:textbox inset="0,0,0,0">
                    <w:txbxContent>
                      <w:p w14:paraId="147F233E" w14:textId="77777777" w:rsidR="00B32EF2" w:rsidRDefault="00000000">
                        <w:r>
                          <w:rPr>
                            <w:rFonts w:ascii="Arial" w:eastAsia="Arial" w:hAnsi="Arial" w:cs="Arial"/>
                            <w:sz w:val="18"/>
                          </w:rPr>
                          <w:t>-</w:t>
                        </w:r>
                      </w:p>
                    </w:txbxContent>
                  </v:textbox>
                </v:rect>
                <v:rect id="Rectangle 14327" o:spid="_x0000_s1262" style="position:absolute;left:-5038;top:39000;width:449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yM+xQAAAN4AAAAPAAAAZHJzL2Rvd25yZXYueG1sRE9La8JA&#10;EL4X/A/LCN7qplpUoqsUi5hDL/UBHofsmMRmZ5fsamJ/fbcgeJuP7zmLVWdqcaPGV5YVvA0TEMS5&#10;1RUXCg77zesMhA/IGmvLpOBOHlbL3ssCU21b/qbbLhQihrBPUUEZgkul9HlJBv3QOuLInW1jMETY&#10;FFI32MZwU8tRkkykwYpjQ4mO1iXlP7urUXD6ZJdtWpmff9fu65LN6u31cFRq0O8+5iACdeEpfrgz&#10;Hee/j0dT+H8n3iCXfwAAAP//AwBQSwECLQAUAAYACAAAACEA2+H2y+4AAACFAQAAEwAAAAAAAAAA&#10;AAAAAAAAAAAAW0NvbnRlbnRfVHlwZXNdLnhtbFBLAQItABQABgAIAAAAIQBa9CxbvwAAABUBAAAL&#10;AAAAAAAAAAAAAAAAAB8BAABfcmVscy8ucmVsc1BLAQItABQABgAIAAAAIQDZEyM+xQAAAN4AAAAP&#10;AAAAAAAAAAAAAAAAAAcCAABkcnMvZG93bnJldi54bWxQSwUGAAAAAAMAAwC3AAAA+QIAAAAA&#10;" filled="f" stroked="f">
                  <v:textbox inset="0,0,0,0">
                    <w:txbxContent>
                      <w:p w14:paraId="4AE2AA95" w14:textId="77777777" w:rsidR="00B32EF2" w:rsidRDefault="00000000">
                        <w:r>
                          <w:rPr>
                            <w:rFonts w:ascii="Arial" w:eastAsia="Arial" w:hAnsi="Arial" w:cs="Arial"/>
                            <w:sz w:val="18"/>
                          </w:rPr>
                          <w:t>ne applicando, in quanto compatibili, le previsioni dell’articolo 106.</w:t>
                        </w:r>
                      </w:p>
                    </w:txbxContent>
                  </v:textbox>
                </v:rect>
                <v:rect id="Rectangle 199861" o:spid="_x0000_s1263" style="position:absolute;left:-13697;top:37767;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UuHxAAAAN8AAAAPAAAAZHJzL2Rvd25yZXYueG1sRE/LasJA&#10;FN0X/IfhCt3ViV1IjE5EFGkW3dQquLxkbh6auTNkRpP26zuFQpeH815vRtOJB/W+taxgPktAEJdW&#10;t1wrOH0eXlIQPiBr7CyTgi/ysMknT2vMtB34gx7HUIsYwj5DBU0ILpPSlw0Z9DPriCNX2d5giLCv&#10;pe5xiOGmk69JspAGW44NDTraNVTejnej4LJnVxwGWVbfO/d+LdLu7X46K/U8HbcrEIHG8C/+cxc6&#10;zl8u08Ucfv9EADL/AQAA//8DAFBLAQItABQABgAIAAAAIQDb4fbL7gAAAIUBAAATAAAAAAAAAAAA&#10;AAAAAAAAAABbQ29udGVudF9UeXBlc10ueG1sUEsBAi0AFAAGAAgAAAAhAFr0LFu/AAAAFQEAAAsA&#10;AAAAAAAAAAAAAAAAHwEAAF9yZWxzLy5yZWxzUEsBAi0AFAAGAAgAAAAhAO6hS4fEAAAA3wAAAA8A&#10;AAAAAAAAAAAAAAAABwIAAGRycy9kb3ducmV2LnhtbFBLBQYAAAAAAwADALcAAAD4AgAAAAA=&#10;" filled="f" stroked="f">
                  <v:textbox inset="0,0,0,0">
                    <w:txbxContent>
                      <w:p w14:paraId="2754E376" w14:textId="77777777" w:rsidR="00B32EF2" w:rsidRDefault="00000000">
                        <w:r>
                          <w:rPr>
                            <w:rFonts w:ascii="Arial" w:eastAsia="Arial" w:hAnsi="Arial" w:cs="Arial"/>
                            <w:sz w:val="18"/>
                          </w:rPr>
                          <w:t xml:space="preserve">. La sospensione deve essere concessa se viene prestata la garanzia di cui </w:t>
                        </w:r>
                      </w:p>
                    </w:txbxContent>
                  </v:textbox>
                </v:rect>
                <v:rect id="Rectangle 199860" o:spid="_x0000_s1264" style="position:absolute;left:26109;top:37767;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e4cxAAAAN8AAAAPAAAAZHJzL2Rvd25yZXYueG1sRE89b8Iw&#10;EN0r8R+sQ2IrThlQSDGoAiEydCkFqeMpPpK08dmKDUn763tDpY5P73u9HV2n7tTH1rOBp3kGirjy&#10;tuXawPn98JiDignZYueZDHxThO1m8rDGwvqB3+h+SrWSEI4FGmhSCoXWsWrIYZz7QCzc1fcOk8C+&#10;1rbHQcJdpxdZttQOW5aGBgPtGqq+Tjdn4GPPoTwMurr+7MLrZ5l3x9v5YsxsOr48g0o0pn/xn7u0&#10;Mn+1ypfyQP4IAL35BQAA//8DAFBLAQItABQABgAIAAAAIQDb4fbL7gAAAIUBAAATAAAAAAAAAAAA&#10;AAAAAAAAAABbQ29udGVudF9UeXBlc10ueG1sUEsBAi0AFAAGAAgAAAAhAFr0LFu/AAAAFQEAAAsA&#10;AAAAAAAAAAAAAAAAHwEAAF9yZWxzLy5yZWxzUEsBAi0AFAAGAAgAAAAhAIHt7hzEAAAA3wAAAA8A&#10;AAAAAAAAAAAAAAAABwIAAGRycy9kb3ducmV2LnhtbFBLBQYAAAAAAwADALcAAAD4AgAAAAA=&#10;" filled="f" stroked="f">
                  <v:textbox inset="0,0,0,0">
                    <w:txbxContent>
                      <w:p w14:paraId="62F54ABE" w14:textId="77777777" w:rsidR="00B32EF2" w:rsidRDefault="00000000">
                        <w:r>
                          <w:rPr>
                            <w:rFonts w:ascii="Arial" w:eastAsia="Arial" w:hAnsi="Arial" w:cs="Arial"/>
                            <w:sz w:val="18"/>
                          </w:rPr>
                          <w:t>7</w:t>
                        </w:r>
                      </w:p>
                    </w:txbxContent>
                  </v:textbox>
                </v:rect>
                <v:rect id="Rectangle 14329" o:spid="_x0000_s1265" style="position:absolute;left:29851;top:36533;width:100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BLXxQAAAN4AAAAPAAAAZHJzL2Rvd25yZXYueG1sRE9Na8JA&#10;EL0L/Q/LFLzpRi1io6uIIs3BS62FHofsmESzs0t2NWl/vVsQvM3jfc5i1Zla3KjxlWUFo2ECgji3&#10;uuJCwfFrN5iB8AFZY22ZFPySh9XypbfAVNuWP+l2CIWIIexTVFCG4FIpfV6SQT+0jjhyJ9sYDBE2&#10;hdQNtjHc1HKcJFNpsOLYUKKjTUn55XA1Cn627LJdK/PT38btz9ms/rgev5Xqv3brOYhAXXiKH+5M&#10;x/lvk/E7/L8Tb5DLOwAAAP//AwBQSwECLQAUAAYACAAAACEA2+H2y+4AAACFAQAAEwAAAAAAAAAA&#10;AAAAAAAAAAAAW0NvbnRlbnRfVHlwZXNdLnhtbFBLAQItABQABgAIAAAAIQBa9CxbvwAAABUBAAAL&#10;AAAAAAAAAAAAAAAAAB8BAABfcmVscy8ucmVsc1BLAQItABQABgAIAAAAIQDHwBLXxQAAAN4AAAAP&#10;AAAAAAAAAAAAAAAAAAcCAABkcnMvZG93bnJldi54bWxQSwUGAAAAAAMAAwC3AAAA+QIAAAAA&#10;" filled="f" stroked="f">
                  <v:textbox inset="0,0,0,0">
                    <w:txbxContent>
                      <w:p w14:paraId="1C36CCB8" w14:textId="77777777" w:rsidR="00B32EF2" w:rsidRDefault="00000000">
                        <w:r>
                          <w:rPr>
                            <w:rFonts w:ascii="Arial" w:eastAsia="Arial" w:hAnsi="Arial" w:cs="Arial"/>
                            <w:sz w:val="18"/>
                          </w:rPr>
                          <w:t>all’articolo 127.</w:t>
                        </w:r>
                      </w:p>
                    </w:txbxContent>
                  </v:textbox>
                </v:rect>
                <v:rect id="Rectangle 199859" o:spid="_x0000_s1266" style="position:absolute;left:-13820;top:353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08xAAAAN8AAAAPAAAAZHJzL2Rvd25yZXYueG1sRE/Pa8Iw&#10;FL4P/B/CE7zN1IGj7YwyFFkPu+gUPD6aZ9uteQlNtN3+eiMIO358vxerwbTiSp1vLCuYTRMQxKXV&#10;DVcKDl/b5xSED8gaW8uk4Jc8rJajpwXm2va8o+s+VCKGsM9RQR2Cy6X0ZU0G/dQ64sidbWcwRNhV&#10;UnfYx3DTypckeZUGG44NNTpa11T+7C9GwWnDrtj2sjz/rd3nd5G2H5fDUanJeHh/AxFoCP/ih7vQ&#10;cX6WpfMM7n8iALm8AQAA//8DAFBLAQItABQABgAIAAAAIQDb4fbL7gAAAIUBAAATAAAAAAAAAAAA&#10;AAAAAAAAAABbQ29udGVudF9UeXBlc10ueG1sUEsBAi0AFAAGAAgAAAAhAFr0LFu/AAAAFQEAAAsA&#10;AAAAAAAAAAAAAAAAHwEAAF9yZWxzLy5yZWxzUEsBAi0AFAAGAAgAAAAhAN67jTzEAAAA3wAAAA8A&#10;AAAAAAAAAAAAAAAABwIAAGRycy9kb3ducmV2LnhtbFBLBQYAAAAAAwADALcAAAD4AgAAAAA=&#10;" filled="f" stroked="f">
                  <v:textbox inset="0,0,0,0">
                    <w:txbxContent>
                      <w:p w14:paraId="429E3703" w14:textId="77777777" w:rsidR="00B32EF2" w:rsidRDefault="00000000">
                        <w:r>
                          <w:rPr>
                            <w:rFonts w:ascii="Arial" w:eastAsia="Arial" w:hAnsi="Arial" w:cs="Arial"/>
                            <w:sz w:val="18"/>
                          </w:rPr>
                          <w:t xml:space="preserve">. Se in esito alla sentenza di primo o di secondo grado la somma corrisposta </w:t>
                        </w:r>
                      </w:p>
                    </w:txbxContent>
                  </v:textbox>
                </v:rect>
                <v:rect id="Rectangle 199858" o:spid="_x0000_s1267" style="position:absolute;left:26109;top:353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yinxQAAAN8AAAAPAAAAZHJzL2Rvd25yZXYueG1sRE9Na8JA&#10;EL0X/A/LCL3VjYWWmLqKKNIceqla6HHIjklqdnbJribtr+8cCj0+3vdyPbpO3aiPrWcD81kGirjy&#10;tuXawOm4f8hBxYRssfNMBr4pwno1uVtiYf3A73Q7pFpJCMcCDTQphULrWDXkMM58IBbu7HuHSWBf&#10;a9vjIOGu049Z9qwdtiwNDQbaNlRdDldn4HPHodwPujr/bMPbV5l3r9fThzH303HzAirRmP7Ff+7S&#10;yvzFIn+SwfJHAOjVLwAAAP//AwBQSwECLQAUAAYACAAAACEA2+H2y+4AAACFAQAAEwAAAAAAAAAA&#10;AAAAAAAAAAAAW0NvbnRlbnRfVHlwZXNdLnhtbFBLAQItABQABgAIAAAAIQBa9CxbvwAAABUBAAAL&#10;AAAAAAAAAAAAAAAAAB8BAABfcmVscy8ucmVsc1BLAQItABQABgAIAAAAIQCx9yinxQAAAN8AAAAP&#10;AAAAAAAAAAAAAAAAAAcCAABkcnMvZG93bnJldi54bWxQSwUGAAAAAAMAAwC3AAAA+QIAAAAA&#10;" filled="f" stroked="f">
                  <v:textbox inset="0,0,0,0">
                    <w:txbxContent>
                      <w:p w14:paraId="0FBF3483" w14:textId="77777777" w:rsidR="00B32EF2" w:rsidRDefault="00000000">
                        <w:r>
                          <w:rPr>
                            <w:rFonts w:ascii="Arial" w:eastAsia="Arial" w:hAnsi="Arial" w:cs="Arial"/>
                            <w:sz w:val="18"/>
                          </w:rPr>
                          <w:t>8</w:t>
                        </w:r>
                      </w:p>
                    </w:txbxContent>
                  </v:textbox>
                </v:rect>
                <v:rect id="Rectangle 14331" o:spid="_x0000_s1268" style="position:absolute;left:-13172;top:340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4gMxAAAAN4AAAAPAAAAZHJzL2Rvd25yZXYueG1sRE9Li8Iw&#10;EL4L+x/CLHjT1HURqUZZXGR78LI+wOPQjG21mYQm2uqv3ywI3ubje8582Zla3KjxlWUFo2ECgji3&#10;uuJCwX63HkxB+ICssbZMCu7kYbl4680x1bblX7ptQyFiCPsUFZQhuFRKn5dk0A+tI47cyTYGQ4RN&#10;IXWDbQw3tfxIkok0WHFsKNHRqqT8sr0aBcdvdtm6lfnpsXKbczatf677g1L99+5rBiJQF17ipzvT&#10;cf7neDyC/3fiDXLxBwAA//8DAFBLAQItABQABgAIAAAAIQDb4fbL7gAAAIUBAAATAAAAAAAAAAAA&#10;AAAAAAAAAABbQ29udGVudF9UeXBlc10ueG1sUEsBAi0AFAAGAAgAAAAhAFr0LFu/AAAAFQEAAAsA&#10;AAAAAAAAAAAAAAAAHwEAAF9yZWxzLy5yZWxzUEsBAi0AFAAGAAgAAAAhALxviAzEAAAA3gAAAA8A&#10;AAAAAAAAAAAAAAAABwIAAGRycy9kb3ducmV2LnhtbFBLBQYAAAAAAwADALcAAAD4AgAAAAA=&#10;" filled="f" stroked="f">
                  <v:textbox inset="0,0,0,0">
                    <w:txbxContent>
                      <w:p w14:paraId="17ECB073" w14:textId="77777777" w:rsidR="00B32EF2" w:rsidRDefault="00000000">
                        <w:r>
                          <w:rPr>
                            <w:rFonts w:ascii="Arial" w:eastAsia="Arial" w:hAnsi="Arial" w:cs="Arial"/>
                            <w:sz w:val="18"/>
                          </w:rPr>
                          <w:t xml:space="preserve">eccede quella che risulta dovuta, l’ufficio deve provvedere al rimborso ai sensi </w:t>
                        </w:r>
                      </w:p>
                    </w:txbxContent>
                  </v:textbox>
                </v:rect>
                <v:rect id="Rectangle 14332" o:spid="_x0000_s1269" style="position:absolute;left:30688;top:32833;width:92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RZ7xAAAAN4AAAAPAAAAZHJzL2Rvd25yZXYueG1sRE9Ni8Iw&#10;EL0v+B/CCN7WVF0W6RpFFLEHL7ou7HFoxrbaTEITbfXXb4QFb/N4nzNbdKYWN2p8ZVnBaJiAIM6t&#10;rrhQcPzevE9B+ICssbZMCu7kYTHvvc0w1bblPd0OoRAxhH2KCsoQXCqlz0sy6IfWEUfuZBuDIcKm&#10;kLrBNoabWo6T5FMarDg2lOhoVVJ+OVyNgt81u2zTyvz0WLndOZvW2+vxR6lBv1t+gQjUhZf4353p&#10;OP9jMhnD8514g5z/AQAA//8DAFBLAQItABQABgAIAAAAIQDb4fbL7gAAAIUBAAATAAAAAAAAAAAA&#10;AAAAAAAAAABbQ29udGVudF9UeXBlc10ueG1sUEsBAi0AFAAGAAgAAAAhAFr0LFu/AAAAFQEAAAsA&#10;AAAAAAAAAAAAAAAAHwEAAF9yZWxzLy5yZWxzUEsBAi0AFAAGAAgAAAAhAEy9FnvEAAAA3gAAAA8A&#10;AAAAAAAAAAAAAAAABwIAAGRycy9kb3ducmV2LnhtbFBLBQYAAAAAAwADALcAAAD4AgAAAAA=&#10;" filled="f" stroked="f">
                  <v:textbox inset="0,0,0,0">
                    <w:txbxContent>
                      <w:p w14:paraId="3F97F6DE" w14:textId="77777777" w:rsidR="00B32EF2" w:rsidRDefault="00000000">
                        <w:r>
                          <w:rPr>
                            <w:rFonts w:ascii="Arial" w:eastAsia="Arial" w:hAnsi="Arial" w:cs="Arial"/>
                            <w:sz w:val="18"/>
                          </w:rPr>
                          <w:t>del comma 2.</w:t>
                        </w:r>
                      </w:p>
                    </w:txbxContent>
                  </v:textbox>
                </v:rect>
                <v:rect id="Rectangle 199855" o:spid="_x0000_s1270" style="position:absolute;left:26354;top:31600;width:52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oc5xAAAAN8AAAAPAAAAZHJzL2Rvd25yZXYueG1sRE/LasJA&#10;FN0L/sNwhe500oIlRkcpFmkW3dQHuLxkrknazJ0hM5ro13cEweXhvBer3jTiQq2vLSt4nSQgiAur&#10;ay4V7HebcQrCB2SNjWVScCUPq+VwsMBM245/6LINpYgh7DNUUIXgMil9UZFBP7GOOHIn2xoMEbal&#10;1C12Mdw08i1J3qXBmmNDhY7WFRV/27NRcPxkl286WZxua/f9m6fN13l/UOpl1H/MQQTqw1P8cOc6&#10;zp/N0ukU7n8iALn8BwAA//8DAFBLAQItABQABgAIAAAAIQDb4fbL7gAAAIUBAAATAAAAAAAAAAAA&#10;AAAAAAAAAABbQ29udGVudF9UeXBlc10ueG1sUEsBAi0AFAAGAAgAAAAhAFr0LFu/AAAAFQEAAAsA&#10;AAAAAAAAAAAAAAAAHwEAAF9yZWxzLy5yZWxzUEsBAi0AFAAGAAgAAAAhAF/2hznEAAAA3wAAAA8A&#10;AAAAAAAAAAAAAAAABwIAAGRycy9kb3ducmV2LnhtbFBLBQYAAAAAAwADALcAAAD4AgAAAAA=&#10;" filled="f" stroked="f">
                  <v:textbox inset="0,0,0,0">
                    <w:txbxContent>
                      <w:p w14:paraId="7D848A98" w14:textId="77777777" w:rsidR="00B32EF2" w:rsidRDefault="00000000">
                        <w:r>
                          <w:rPr>
                            <w:rFonts w:ascii="Arial" w:eastAsia="Arial" w:hAnsi="Arial" w:cs="Arial"/>
                            <w:sz w:val="18"/>
                          </w:rPr>
                          <w:t>9</w:t>
                        </w:r>
                      </w:p>
                    </w:txbxContent>
                  </v:textbox>
                </v:rect>
                <v:rect id="Rectangle 199857" o:spid="_x0000_s1271" style="position:absolute;left:-12818;top:31600;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LzVxQAAAN8AAAAPAAAAZHJzL2Rvd25yZXYueG1sRE/LasJA&#10;FN0X/IfhCu7qRME2po4iijQLN/UBXV4y1yRt5s6QGU3ar3cKBZeH816setOIG7W+tqxgMk5AEBdW&#10;11wqOB13zykIH5A1NpZJwQ95WC0HTwvMtO34g26HUIoYwj5DBVUILpPSFxUZ9GPriCN3sa3BEGFb&#10;St1iF8NNI6dJ8iIN1hwbKnS0qaj4PlyNgs8tu3zXyeLyu3H7rzxt3q+ns1KjYb9+AxGoDw/xvzvX&#10;cf58ns5e4e9PBCCXdwAAAP//AwBQSwECLQAUAAYACAAAACEA2+H2y+4AAACFAQAAEwAAAAAAAAAA&#10;AAAAAAAAAAAAW0NvbnRlbnRfVHlwZXNdLnhtbFBLAQItABQABgAIAAAAIQBa9CxbvwAAABUBAAAL&#10;AAAAAAAAAAAAAAAAAB8BAABfcmVscy8ucmVsc1BLAQItABQABgAIAAAAIQDAaLzVxQAAAN8AAAAP&#10;AAAAAAAAAAAAAAAAAAcCAABkcnMvZG93bnJldi54bWxQSwUGAAAAAAMAAwC3AAAA+QIAAAAA&#10;" filled="f" stroked="f">
                  <v:textbox inset="0,0,0,0">
                    <w:txbxContent>
                      <w:p w14:paraId="235968D4" w14:textId="77777777" w:rsidR="00B32EF2" w:rsidRDefault="00000000">
                        <w:r>
                          <w:rPr>
                            <w:rFonts w:ascii="Arial" w:eastAsia="Arial" w:hAnsi="Arial" w:cs="Arial"/>
                            <w:sz w:val="18"/>
                          </w:rPr>
                          <w:t>. Le sanzioni accessorie sono eseguite quando il provvedimento di irrogazio</w:t>
                        </w:r>
                      </w:p>
                    </w:txbxContent>
                  </v:textbox>
                </v:rect>
                <v:rect id="Rectangle 14334" o:spid="_x0000_s1272" style="position:absolute;left:192;top:316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CuUxAAAAN4AAAAPAAAAZHJzL2Rvd25yZXYueG1sRE9Li8Iw&#10;EL4L/ocwgjdNfbBI1yiiiD3sZV0X9jg0Y1ttJqGJtvrrNwsL3ubje85y3Zla3KnxlWUFk3ECgji3&#10;uuJCwelrP1qA8AFZY22ZFDzIw3rV7y0x1bblT7ofQyFiCPsUFZQhuFRKn5dk0I+tI47c2TYGQ4RN&#10;IXWDbQw3tZwmyZs0WHFsKNHRtqT8erwZBT87dtm+lfn5uXUfl2xRH26nb6WGg27zDiJQF17if3em&#10;4/z5bDaHv3fiDXL1CwAA//8DAFBLAQItABQABgAIAAAAIQDb4fbL7gAAAIUBAAATAAAAAAAAAAAA&#10;AAAAAAAAAABbQ29udGVudF9UeXBlc10ueG1sUEsBAi0AFAAGAAgAAAAhAFr0LFu/AAAAFQEAAAsA&#10;AAAAAAAAAAAAAAAAHwEAAF9yZWxzLy5yZWxzUEsBAi0AFAAGAAgAAAAhAKwYK5TEAAAA3gAAAA8A&#10;AAAAAAAAAAAAAAAABwIAAGRycy9kb3ducmV2LnhtbFBLBQYAAAAAAwADALcAAAD4AgAAAAA=&#10;" filled="f" stroked="f">
                  <v:textbox inset="0,0,0,0">
                    <w:txbxContent>
                      <w:p w14:paraId="7222B023" w14:textId="77777777" w:rsidR="00B32EF2" w:rsidRDefault="00000000">
                        <w:r>
                          <w:rPr>
                            <w:rFonts w:ascii="Arial" w:eastAsia="Arial" w:hAnsi="Arial" w:cs="Arial"/>
                            <w:sz w:val="18"/>
                          </w:rPr>
                          <w:t>-</w:t>
                        </w:r>
                      </w:p>
                    </w:txbxContent>
                  </v:textbox>
                </v:rect>
                <v:rect id="Rectangle 14335" o:spid="_x0000_s1273" style="position:absolute;left:23855;top:30367;width:160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I4PxQAAAN4AAAAPAAAAZHJzL2Rvd25yZXYueG1sRE9La8JA&#10;EL4X/A/LCN7qprWKRFcpiphDL/UBHofsmMRmZ5fsamJ/fbcgeJuP7znzZWdqcaPGV5YVvA0TEMS5&#10;1RUXCg77zesUhA/IGmvLpOBOHpaL3sscU21b/qbbLhQihrBPUUEZgkul9HlJBv3QOuLInW1jMETY&#10;FFI32MZwU8v3JJlIgxXHhhIdrUrKf3ZXo+C0ZpdtWpmff1fu65JN6+31cFRq0O8+ZyACdeEpfrgz&#10;Hed/jEZj+H8n3iAXfwAAAP//AwBQSwECLQAUAAYACAAAACEA2+H2y+4AAACFAQAAEwAAAAAAAAAA&#10;AAAAAAAAAAAAW0NvbnRlbnRfVHlwZXNdLnhtbFBLAQItABQABgAIAAAAIQBa9CxbvwAAABUBAAAL&#10;AAAAAAAAAAAAAAAAAB8BAABfcmVscy8ucmVsc1BLAQItABQABgAIAAAAIQDDVI4PxQAAAN4AAAAP&#10;AAAAAAAAAAAAAAAAAAcCAABkcnMvZG93bnJldi54bWxQSwUGAAAAAAMAAwC3AAAA+QIAAAAA&#10;" filled="f" stroked="f">
                  <v:textbox inset="0,0,0,0">
                    <w:txbxContent>
                      <w:p w14:paraId="2D3F7591" w14:textId="77777777" w:rsidR="00B32EF2" w:rsidRDefault="00000000">
                        <w:r>
                          <w:rPr>
                            <w:rFonts w:ascii="Arial" w:eastAsia="Arial" w:hAnsi="Arial" w:cs="Arial"/>
                            <w:sz w:val="18"/>
                          </w:rPr>
                          <w:t>ne è divenuto definitivo.</w:t>
                        </w:r>
                      </w:p>
                    </w:txbxContent>
                  </v:textbox>
                </v:rect>
                <v:rect id="Rectangle 199854" o:spid="_x0000_s1274" style="position:absolute;left:-13349;top:29434;width:52193;height:119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iKixQAAAN8AAAAPAAAAZHJzL2Rvd25yZXYueG1sRE/LasJA&#10;FN0X/IfhCu7qRLElpo4iijQLN/UBXV4y1yRt5s6QGU3ar3cKBZeH816setOIG7W+tqxgMk5AEBdW&#10;11wqOB13zykIH5A1NpZJwQ95WC0HTwvMtO34g26HUIoYwj5DBVUILpPSFxUZ9GPriCN3sa3BEGFb&#10;St1iF8NNI6dJ8ioN1hwbKnS0qaj4PlyNgs8tu3zXyeLyu3H7rzxt3q+ns1KjYb9+AxGoDw/xvzvX&#10;cf58nr7M4O9PBCCXdwAAAP//AwBQSwECLQAUAAYACAAAACEA2+H2y+4AAACFAQAAEwAAAAAAAAAA&#10;AAAAAAAAAAAAW0NvbnRlbnRfVHlwZXNdLnhtbFBLAQItABQABgAIAAAAIQBa9CxbvwAAABUBAAAL&#10;AAAAAAAAAAAAAAAAAB8BAABfcmVscy8ucmVsc1BLAQItABQABgAIAAAAIQAwuiKixQAAAN8AAAAP&#10;AAAAAAAAAAAAAAAAAAcCAABkcnMvZG93bnJldi54bWxQSwUGAAAAAAMAAwC3AAAA+QIAAAAA&#10;" filled="f" stroked="f">
                  <v:textbox inset="0,0,0,0">
                    <w:txbxContent>
                      <w:p w14:paraId="437D5EE5" w14:textId="77777777" w:rsidR="00B32EF2" w:rsidRDefault="00000000">
                        <w:r>
                          <w:rPr>
                            <w:rFonts w:ascii="Arial" w:eastAsia="Arial" w:hAnsi="Arial" w:cs="Arial"/>
                            <w:sz w:val="15"/>
                          </w:rPr>
                          <w:t xml:space="preserve"> L’art 16 del D.lgs. n. 81 del 12/06/2025 ha modificato il comma 2, primo periodo, del pre</w:t>
                        </w:r>
                      </w:p>
                    </w:txbxContent>
                  </v:textbox>
                </v:rect>
                <v:rect id="Rectangle 199853" o:spid="_x0000_s1275" style="position:absolute;left:25894;top:29434;width:52195;height:119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rWxQAAAN8AAAAPAAAAZHJzL2Rvd25yZXYueG1sRE/LasJA&#10;FN0X/IfhCu7qRKUlpo4iijQLN/UBXV4y1yRt5s6QGU3ar3cKBZeH816setOIG7W+tqxgMk5AEBdW&#10;11wqOB13zykIH5A1NpZJwQ95WC0HTwvMtO34g26HUIoYwj5DBVUILpPSFxUZ9GPriCN3sa3BEGFb&#10;St1iF8NNI6dJ8ioN1hwbKnS0qaj4PlyNgs8tu3zXyeLyu3H7rzxt3q+ns1KjYb9+AxGoDw/xvzvX&#10;cf58nr7M4O9PBCCXdwAAAP//AwBQSwECLQAUAAYACAAAACEA2+H2y+4AAACFAQAAEwAAAAAAAAAA&#10;AAAAAAAAAAAAW0NvbnRlbnRfVHlwZXNdLnhtbFBLAQItABQABgAIAAAAIQBa9CxbvwAAABUBAAAL&#10;AAAAAAAAAAAAAAAAAB8BAABfcmVscy8ucmVsc1BLAQItABQABgAIAAAAIQC/U7rWxQAAAN8AAAAP&#10;AAAAAAAAAAAAAAAAAAcCAABkcnMvZG93bnJldi54bWxQSwUGAAAAAAMAAwC3AAAA+QIAAAAA&#10;" filled="f" stroked="f">
                  <v:textbox inset="0,0,0,0">
                    <w:txbxContent>
                      <w:p w14:paraId="26BB505C" w14:textId="77777777" w:rsidR="00B32EF2" w:rsidRDefault="00000000">
                        <w:r>
                          <w:rPr>
                            <w:rFonts w:ascii="Arial" w:eastAsia="Arial" w:hAnsi="Arial" w:cs="Arial"/>
                            <w:sz w:val="15"/>
                          </w:rPr>
                          <w:t>(1)</w:t>
                        </w:r>
                      </w:p>
                    </w:txbxContent>
                  </v:textbox>
                </v:rect>
                <v:rect id="Rectangle 14337" o:spid="_x0000_s1276" style="position:absolute;left:213;top:29434;width:422;height:119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rXjxQAAAN4AAAAPAAAAZHJzL2Rvd25yZXYueG1sRE9La8JA&#10;EL4X/A/LCN7qprWoRFcpiphDL/UBHofsmMRmZ5fsamJ/fbcgeJuP7znzZWdqcaPGV5YVvA0TEMS5&#10;1RUXCg77zesUhA/IGmvLpOBOHpaL3sscU21b/qbbLhQihrBPUUEZgkul9HlJBv3QOuLInW1jMETY&#10;FFI32MZwU8v3JBlLgxXHhhIdrUrKf3ZXo+C0ZpdtWpmff1fu65JN6+31cFRq0O8+ZyACdeEpfrgz&#10;Hed/jEYT+H8n3iAXfwAAAP//AwBQSwECLQAUAAYACAAAACEA2+H2y+4AAACFAQAAEwAAAAAAAAAA&#10;AAAAAAAAAAAAW0NvbnRlbnRfVHlwZXNdLnhtbFBLAQItABQABgAIAAAAIQBa9CxbvwAAABUBAAAL&#10;AAAAAAAAAAAAAAAAAB8BAABfcmVscy8ucmVsc1BLAQItABQABgAIAAAAIQBcyrXjxQAAAN4AAAAP&#10;AAAAAAAAAAAAAAAAAAcCAABkcnMvZG93bnJldi54bWxQSwUGAAAAAAMAAwC3AAAA+QIAAAAA&#10;" filled="f" stroked="f">
                  <v:textbox inset="0,0,0,0">
                    <w:txbxContent>
                      <w:p w14:paraId="4888807F" w14:textId="77777777" w:rsidR="00B32EF2" w:rsidRDefault="00000000">
                        <w:r>
                          <w:rPr>
                            <w:rFonts w:ascii="Arial" w:eastAsia="Arial" w:hAnsi="Arial" w:cs="Arial"/>
                            <w:sz w:val="15"/>
                          </w:rPr>
                          <w:t>-</w:t>
                        </w:r>
                      </w:p>
                    </w:txbxContent>
                  </v:textbox>
                </v:rect>
                <v:rect id="Rectangle 14338" o:spid="_x0000_s1277" style="position:absolute;left:8617;top:28406;width:31301;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SGRyAAAAN4AAAAPAAAAZHJzL2Rvd25yZXYueG1sRI9Pa8JA&#10;EMXvQr/DMgVvummVIqmrFIs0h178U+hxyI5J2uzskl1N7Kd3DkJvM7w37/1muR5cqy7Uxcazgadp&#10;Boq49LbhysDxsJ0sQMWEbLH1TAauFGG9ehgtMbe+5x1d9qlSEsIxRwN1SiHXOpY1OYxTH4hFO/nO&#10;YZK1q7TtsJdw1+rnLHvRDhuWhhoDbWoqf/dnZ+D7nUOx7XV5+tuEz59i0X6cj1/GjB+Ht1dQiYb0&#10;b75fF1bw57OZ8Mo7MoNe3QAAAP//AwBQSwECLQAUAAYACAAAACEA2+H2y+4AAACFAQAAEwAAAAAA&#10;AAAAAAAAAAAAAAAAW0NvbnRlbnRfVHlwZXNdLnhtbFBLAQItABQABgAIAAAAIQBa9CxbvwAAABUB&#10;AAALAAAAAAAAAAAAAAAAAB8BAABfcmVscy8ucmVsc1BLAQItABQABgAIAAAAIQAtVSGRyAAAAN4A&#10;AAAPAAAAAAAAAAAAAAAAAAcCAABkcnMvZG93bnJldi54bWxQSwUGAAAAAAMAAwC3AAAA/AIAAAAA&#10;" filled="f" stroked="f">
                  <v:textbox inset="0,0,0,0">
                    <w:txbxContent>
                      <w:p w14:paraId="6DA2656B" w14:textId="77777777" w:rsidR="00B32EF2" w:rsidRDefault="00000000">
                        <w:r>
                          <w:rPr>
                            <w:rFonts w:ascii="Arial" w:eastAsia="Arial" w:hAnsi="Arial" w:cs="Arial"/>
                            <w:sz w:val="15"/>
                          </w:rPr>
                          <w:t>sente articolo sopprimendo le parole «di primo grado».</w:t>
                        </w:r>
                      </w:p>
                    </w:txbxContent>
                  </v:textbox>
                </v:rect>
                <v:rect id="Rectangle 14339" o:spid="_x0000_s1278" style="position:absolute;left:14581;top:18438;width:88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YQKxQAAAN4AAAAPAAAAZHJzL2Rvd25yZXYueG1sRE9Na8JA&#10;EL0L/Q/LFLzpRi3FRlcRRczBS62FHofsmESzs0t2NbG/3i0UvM3jfc582Zla3KjxlWUFo2ECgji3&#10;uuJCwfFrO5iC8AFZY22ZFNzJw3Lx0ptjqm3Ln3Q7hELEEPYpKihDcKmUPi/JoB9aRxy5k20Mhgib&#10;QuoG2xhuajlOkndpsOLYUKKjdUn55XA1Cn427LJtK/PT79rtz9m03l2P30r1X7vVDESgLjzF/+5M&#10;x/lvk8kH/L0Tb5CLBwAAAP//AwBQSwECLQAUAAYACAAAACEA2+H2y+4AAACFAQAAEwAAAAAAAAAA&#10;AAAAAAAAAAAAW0NvbnRlbnRfVHlwZXNdLnhtbFBLAQItABQABgAIAAAAIQBa9CxbvwAAABUBAAAL&#10;AAAAAAAAAAAAAAAAAB8BAABfcmVscy8ucmVsc1BLAQItABQABgAIAAAAIQBCGYQKxQAAAN4AAAAP&#10;AAAAAAAAAAAAAAAAAAcCAABkcnMvZG93bnJldi54bWxQSwUGAAAAAAMAAwC3AAAA+QIAAAAA&#10;" filled="f" stroked="f">
                  <v:textbox inset="0,0,0,0">
                    <w:txbxContent>
                      <w:p w14:paraId="144427D9" w14:textId="77777777" w:rsidR="00B32EF2" w:rsidRDefault="00000000">
                        <w:r>
                          <w:rPr>
                            <w:rFonts w:ascii="Arial" w:eastAsia="Arial" w:hAnsi="Arial" w:cs="Arial"/>
                            <w:b/>
                            <w:sz w:val="18"/>
                          </w:rPr>
                          <w:t>Articolo 127</w:t>
                        </w:r>
                      </w:p>
                    </w:txbxContent>
                  </v:textbox>
                </v:rect>
                <v:rect id="Rectangle 199849" o:spid="_x0000_s1279" style="position:absolute;left:22224;top:17205;width:194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hvhxAAAAN8AAAAPAAAAZHJzL2Rvd25yZXYueG1sRE/Pa8Iw&#10;FL4P/B/CE7zN1CGj7YwyFFkPu+gUPD6aZ9uteQlNtN3+eiMIO358vxerwbTiSp1vLCuYTRMQxKXV&#10;DVcKDl/b5xSED8gaW8uk4Jc8rJajpwXm2va8o+s+VCKGsM9RQR2Cy6X0ZU0G/dQ64sidbWcwRNhV&#10;UnfYx3DTypckeZUGG44NNTpa11T+7C9GwWnDrtj2sjz/rd3nd5G2H5fDUanJeHh/AxFoCP/ih7vQ&#10;cX6WpfMM7n8iALm8AQAA//8DAFBLAQItABQABgAIAAAAIQDb4fbL7gAAAIUBAAATAAAAAAAAAAAA&#10;AAAAAAAAAABbQ29udGVudF9UeXBlc10ueG1sUEsBAi0AFAAGAAgAAAAhAFr0LFu/AAAAFQEAAAsA&#10;AAAAAAAAAAAAAAAAHwEAAF9yZWxzLy5yZWxzUEsBAi0AFAAGAAgAAAAhAFtiG+HEAAAA3wAAAA8A&#10;AAAAAAAAAAAAAAAABwIAAGRycy9kb3ducmV2LnhtbFBLBQYAAAAAAwADALcAAAD4AgAAAAA=&#10;" filled="f" stroked="f">
                  <v:textbox inset="0,0,0,0">
                    <w:txbxContent>
                      <w:p w14:paraId="046B7C24" w14:textId="77777777" w:rsidR="00B32EF2" w:rsidRDefault="00000000">
                        <w:r>
                          <w:rPr>
                            <w:rFonts w:ascii="Arial" w:eastAsia="Arial" w:hAnsi="Arial" w:cs="Arial"/>
                            <w:i/>
                            <w:sz w:val="18"/>
                          </w:rPr>
                          <w:t>(</w:t>
                        </w:r>
                      </w:p>
                    </w:txbxContent>
                  </v:textbox>
                </v:rect>
                <v:rect id="Rectangle 199851" o:spid="_x0000_s1280" style="position:absolute;left:11610;top:17205;width:194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YE6xAAAAN8AAAAPAAAAZHJzL2Rvd25yZXYueG1sRE/LasJA&#10;FN0L/sNwBXc6sWCJ0VFEkWbRTX2Ay0vmmqTN3Bkyo0n79Z1CweXhvFeb3jTiQa2vLSuYTRMQxIXV&#10;NZcKzqfDJAXhA7LGxjIp+CYPm/VwsMJM244/6HEMpYgh7DNUUIXgMil9UZFBP7WOOHI32xoMEbal&#10;1C12Mdw08iVJXqXBmmNDhY52FRVfx7tRcN2zyw+dLG4/O/f+mafN2/18UWo86rdLEIH68BT/u3Md&#10;5y8W6XwGf38iALn+BQAA//8DAFBLAQItABQABgAIAAAAIQDb4fbL7gAAAIUBAAATAAAAAAAAAAAA&#10;AAAAAAAAAABbQ29udGVudF9UeXBlc10ueG1sUEsBAi0AFAAGAAgAAAAhAFr0LFu/AAAAFQEAAAsA&#10;AAAAAAAAAAAAAAAAHwEAAF9yZWxzLy5yZWxzUEsBAi0AFAAGAAgAAAAhACDNgTrEAAAA3wAAAA8A&#10;AAAAAAAAAAAAAAAABwIAAGRycy9kb3ducmV2LnhtbFBLBQYAAAAAAwADALcAAAD4AgAAAAA=&#10;" filled="f" stroked="f">
                  <v:textbox inset="0,0,0,0">
                    <w:txbxContent>
                      <w:p w14:paraId="78F2B936" w14:textId="77777777" w:rsidR="00B32EF2" w:rsidRDefault="00000000">
                        <w:r>
                          <w:rPr>
                            <w:rFonts w:ascii="Arial" w:eastAsia="Arial" w:hAnsi="Arial" w:cs="Arial"/>
                            <w:i/>
                            <w:sz w:val="18"/>
                          </w:rPr>
                          <w:t xml:space="preserve">articolo 69 D.lgs. n. </w:t>
                        </w:r>
                      </w:p>
                    </w:txbxContent>
                  </v:textbox>
                </v:rect>
                <v:rect id="Rectangle 199850" o:spid="_x0000_s1281" style="position:absolute;left:-2664;top:17205;width:194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SShxQAAAN8AAAAPAAAAZHJzL2Rvd25yZXYueG1sRE9Na8JA&#10;EL0X/A/LCL3VjYWWmLqKKNIceqla6HHIjklqdnbJribtr+8cCj0+3vdyPbpO3aiPrWcD81kGirjy&#10;tuXawOm4f8hBxYRssfNMBr4pwno1uVtiYf3A73Q7pFpJCMcCDTQphULrWDXkMM58IBbu7HuHSWBf&#10;a9vjIOGu049Z9qwdtiwNDQbaNlRdDldn4HPHodwPujr/bMPbV5l3r9fThzH303HzAirRmP7Ff+7S&#10;yvzFIn+SB/JHAOjVLwAAAP//AwBQSwECLQAUAAYACAAAACEA2+H2y+4AAACFAQAAEwAAAAAAAAAA&#10;AAAAAAAAAAAAW0NvbnRlbnRfVHlwZXNdLnhtbFBLAQItABQABgAIAAAAIQBa9CxbvwAAABUBAAAL&#10;AAAAAAAAAAAAAAAAAB8BAABfcmVscy8ucmVsc1BLAQItABQABgAIAAAAIQBPgSShxQAAAN8AAAAP&#10;AAAAAAAAAAAAAAAAAAcCAABkcnMvZG93bnJldi54bWxQSwUGAAAAAAMAAwC3AAAA+QIAAAAA&#10;" filled="f" stroked="f">
                  <v:textbox inset="0,0,0,0">
                    <w:txbxContent>
                      <w:p w14:paraId="3F9971CD" w14:textId="77777777" w:rsidR="00B32EF2" w:rsidRDefault="00000000">
                        <w:r>
                          <w:rPr>
                            <w:rFonts w:ascii="Arial" w:eastAsia="Arial" w:hAnsi="Arial" w:cs="Arial"/>
                            <w:i/>
                            <w:sz w:val="18"/>
                          </w:rPr>
                          <w:t>546/92)</w:t>
                        </w:r>
                      </w:p>
                    </w:txbxContent>
                  </v:textbox>
                </v:rect>
                <v:rect id="Rectangle 14341" o:spid="_x0000_s1282" style="position:absolute;left:-10568;top:15972;width:489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ftxxAAAAN4AAAAPAAAAZHJzL2Rvd25yZXYueG1sRE9Li8Iw&#10;EL4v7H8Is+BtTV1FpBplcZHtwcv6AI9DM7bVZhKaaKu/3iwI3ubje85s0ZlaXKnxlWUFg34Cgji3&#10;uuJCwW67+pyA8AFZY22ZFNzIw2L+/jbDVNuW/+i6CYWIIexTVFCG4FIpfV6SQd+3jjhyR9sYDBE2&#10;hdQNtjHc1PIrScbSYMWxoURHy5Ly8+ZiFBx+2GWrVubH+9KtT9mk/r3s9kr1PrrvKYhAXXiJn+5M&#10;x/mj4WgA/+/EG+T8AQAA//8DAFBLAQItABQABgAIAAAAIQDb4fbL7gAAAIUBAAATAAAAAAAAAAAA&#10;AAAAAAAAAABbQ29udGVudF9UeXBlc10ueG1sUEsBAi0AFAAGAAgAAAAhAFr0LFu/AAAAFQEAAAsA&#10;AAAAAAAAAAAAAAAAHwEAAF9yZWxzLy5yZWxzUEsBAi0AFAAGAAgAAAAhAORp+3HEAAAA3gAAAA8A&#10;AAAAAAAAAAAAAAAABwIAAGRycy9kb3ducmV2LnhtbFBLBQYAAAAAAwADALcAAAD4AgAAAAA=&#10;" filled="f" stroked="f">
                  <v:textbox inset="0,0,0,0">
                    <w:txbxContent>
                      <w:p w14:paraId="7AD296F6" w14:textId="77777777" w:rsidR="00B32EF2" w:rsidRDefault="00000000">
                        <w:r>
                          <w:rPr>
                            <w:rFonts w:ascii="Arial" w:eastAsia="Arial" w:hAnsi="Arial" w:cs="Arial"/>
                            <w:b/>
                            <w:sz w:val="18"/>
                          </w:rPr>
                          <w:t xml:space="preserve">Esecuzione delle sentenze di condanna in favore del contribuente </w:t>
                        </w:r>
                      </w:p>
                    </w:txbxContent>
                  </v:textbox>
                </v:rect>
                <v:rect id="Rectangle 199848" o:spid="_x0000_s1283" style="position:absolute;left:-13762;top:1473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r56xQAAAN8AAAAPAAAAZHJzL2Rvd25yZXYueG1sRE9Na8JA&#10;EL0X/A/LCL3VjaWUmLqKKNIceqla6HHIjklqdnbJribtr+8cCj0+3vdyPbpO3aiPrWcD81kGirjy&#10;tuXawOm4f8hBxYRssfNMBr4pwno1uVtiYf3A73Q7pFpJCMcCDTQphULrWDXkMM58IBbu7HuHSWBf&#10;a9vjIOGu049Z9qwdtiwNDQbaNlRdDldn4HPHodwPujr/bMPbV5l3r9fThzH303HzAirRmP7Ff+7S&#10;yvzFIn+SwfJHAOjVLwAAAP//AwBQSwECLQAUAAYACAAAACEA2+H2y+4AAACFAQAAEwAAAAAAAAAA&#10;AAAAAAAAAAAAW0NvbnRlbnRfVHlwZXNdLnhtbFBLAQItABQABgAIAAAAIQBa9CxbvwAAABUBAAAL&#10;AAAAAAAAAAAAAAAAAB8BAABfcmVscy8ucmVsc1BLAQItABQABgAIAAAAIQA0Lr56xQAAAN8AAAAP&#10;AAAAAAAAAAAAAAAAAAcCAABkcnMvZG93bnJldi54bWxQSwUGAAAAAAMAAwC3AAAA+QIAAAAA&#10;" filled="f" stroked="f">
                  <v:textbox inset="0,0,0,0">
                    <w:txbxContent>
                      <w:p w14:paraId="33B99215" w14:textId="77777777" w:rsidR="00B32EF2" w:rsidRDefault="00000000">
                        <w:r>
                          <w:rPr>
                            <w:rFonts w:ascii="Arial" w:eastAsia="Arial" w:hAnsi="Arial" w:cs="Arial"/>
                            <w:sz w:val="18"/>
                          </w:rPr>
                          <w:t xml:space="preserve">. Le sentenze di condanna al pagamento di somme in favore del contribuente </w:t>
                        </w:r>
                      </w:p>
                    </w:txbxContent>
                  </v:textbox>
                </v:rect>
                <v:rect id="Rectangle 199847" o:spid="_x0000_s1284" style="position:absolute;left:26111;top:1473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SoIxQAAAN8AAAAPAAAAZHJzL2Rvd25yZXYueG1sRE/LasJA&#10;FN0X/IfhCu7qRJE2po4iijQLN/UBXV4y1yRt5s6QGU3ar3cKBZeH816setOIG7W+tqxgMk5AEBdW&#10;11wqOB13zykIH5A1NpZJwQ95WC0HTwvMtO34g26HUIoYwj5DBVUILpPSFxUZ9GPriCN3sa3BEGFb&#10;St1iF8NNI6dJ8iIN1hwbKnS0qaj4PlyNgs8tu3zXyeLyu3H7rzxt3q+ns1KjYb9+AxGoDw/xvzvX&#10;cf58ns5e4e9PBCCXdwAAAP//AwBQSwECLQAUAAYACAAAACEA2+H2y+4AAACFAQAAEwAAAAAAAAAA&#10;AAAAAAAAAAAAW0NvbnRlbnRfVHlwZXNdLnhtbFBLAQItABQABgAIAAAAIQBa9CxbvwAAABUBAAAL&#10;AAAAAAAAAAAAAAAAAB8BAABfcmVscy8ucmVsc1BLAQItABQABgAIAAAAIQBFsSoIxQAAAN8AAAAP&#10;AAAAAAAAAAAAAAAAAAcCAABkcnMvZG93bnJldi54bWxQSwUGAAAAAAMAAwC3AAAA+QIAAAAA&#10;" filled="f" stroked="f">
                  <v:textbox inset="0,0,0,0">
                    <w:txbxContent>
                      <w:p w14:paraId="5996E5AA" w14:textId="77777777" w:rsidR="00B32EF2" w:rsidRDefault="00000000">
                        <w:r>
                          <w:rPr>
                            <w:rFonts w:ascii="Arial" w:eastAsia="Arial" w:hAnsi="Arial" w:cs="Arial"/>
                            <w:sz w:val="18"/>
                          </w:rPr>
                          <w:t>1</w:t>
                        </w:r>
                      </w:p>
                    </w:txbxContent>
                  </v:textbox>
                </v:rect>
                <v:rect id="Rectangle 14343" o:spid="_x0000_s1285" style="position:absolute;left:-13170;top:1350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8CdxAAAAN4AAAAPAAAAZHJzL2Rvd25yZXYueG1sRE9Li8Iw&#10;EL4L/ocwgjdNfbBI1yiiiD3sZV0X9jg0Y1ttJqGJtvrrNwsL3ubje85y3Zla3KnxlWUFk3ECgji3&#10;uuJCwelrP1qA8AFZY22ZFDzIw3rV7y0x1bblT7ofQyFiCPsUFZQhuFRKn5dk0I+tI47c2TYGQ4RN&#10;IXWDbQw3tZwmyZs0WHFsKNHRtqT8erwZBT87dtm+lfn5uXUfl2xRH26nb6WGg27zDiJQF17if3em&#10;4/z5bD6Dv3fiDXL1CwAA//8DAFBLAQItABQABgAIAAAAIQDb4fbL7gAAAIUBAAATAAAAAAAAAAAA&#10;AAAAAAAAAABbQ29udGVudF9UeXBlc10ueG1sUEsBAi0AFAAGAAgAAAAhAFr0LFu/AAAAFQEAAAsA&#10;AAAAAAAAAAAAAAAAHwEAAF9yZWxzLy5yZWxzUEsBAi0AFAAGAAgAAAAhAHv3wJ3EAAAA3gAAAA8A&#10;AAAAAAAAAAAAAAAABwIAAGRycy9kb3ducmV2LnhtbFBLBQYAAAAAAwADALcAAAD4AgAAAAA=&#10;" filled="f" stroked="f">
                  <v:textbox inset="0,0,0,0">
                    <w:txbxContent>
                      <w:p w14:paraId="42822C87" w14:textId="77777777" w:rsidR="00B32EF2" w:rsidRDefault="00000000">
                        <w:r>
                          <w:rPr>
                            <w:rFonts w:ascii="Arial" w:eastAsia="Arial" w:hAnsi="Arial" w:cs="Arial"/>
                            <w:sz w:val="18"/>
                          </w:rPr>
                          <w:t xml:space="preserve">e quelle emesse su ricorso avverso gli atti relativi alle operazioni catastali </w:t>
                        </w:r>
                      </w:p>
                    </w:txbxContent>
                  </v:textbox>
                </v:rect>
                <v:rect id="Rectangle 14344" o:spid="_x0000_s1286" style="position:absolute;left:-13171;top:1227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ljpxAAAAN4AAAAPAAAAZHJzL2Rvd25yZXYueG1sRE9Na8JA&#10;EL0X+h+WEbzVjRpEUlcpFjEHL1ULPQ7ZMUmbnV2yq4n+ercgeJvH+5zFqjeNuFDra8sKxqMEBHFh&#10;dc2lguNh8zYH4QOyxsYyKbiSh9Xy9WWBmbYdf9FlH0oRQ9hnqKAKwWVS+qIig35kHXHkTrY1GCJs&#10;S6lb7GK4aeQkSWbSYM2xoUJH64qKv/3ZKPj5ZJdvOlmcbmu3+83nzfZ8/FZqOOg/3kEE6sNT/HDn&#10;Os5Pp2kK/+/EG+TyDgAA//8DAFBLAQItABQABgAIAAAAIQDb4fbL7gAAAIUBAAATAAAAAAAAAAAA&#10;AAAAAAAAAABbQ29udGVudF9UeXBlc10ueG1sUEsBAi0AFAAGAAgAAAAhAFr0LFu/AAAAFQEAAAsA&#10;AAAAAAAAAAAAAAAAHwEAAF9yZWxzLy5yZWxzUEsBAi0AFAAGAAgAAAAhAPQeWOnEAAAA3gAAAA8A&#10;AAAAAAAAAAAAAAAABwIAAGRycy9kb3ducmV2LnhtbFBLBQYAAAAAAwADALcAAAD4AgAAAAA=&#10;" filled="f" stroked="f">
                  <v:textbox inset="0,0,0,0">
                    <w:txbxContent>
                      <w:p w14:paraId="082BA523" w14:textId="77777777" w:rsidR="00B32EF2" w:rsidRDefault="00000000">
                        <w:r>
                          <w:rPr>
                            <w:rFonts w:ascii="Arial" w:eastAsia="Arial" w:hAnsi="Arial" w:cs="Arial"/>
                            <w:sz w:val="18"/>
                          </w:rPr>
                          <w:t xml:space="preserve">indicate nell’articolo 46, comma 2, sono immediatamente esecutive. Tuttavia, </w:t>
                        </w:r>
                      </w:p>
                    </w:txbxContent>
                  </v:textbox>
                </v:rect>
                <v:rect id="Rectangle 14345" o:spid="_x0000_s1287" style="position:absolute;left:-13170;top:1103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v1yxQAAAN4AAAAPAAAAZHJzL2Rvd25yZXYueG1sRE9La8JA&#10;EL4X/A/LCN7qpq2KRFcpFjGHXuoDPA7ZMYnNzi7Z1UR/fbcgeJuP7znzZWdqcaXGV5YVvA0TEMS5&#10;1RUXCva79esUhA/IGmvLpOBGHpaL3sscU21b/qHrNhQihrBPUUEZgkul9HlJBv3QOuLInWxjMETY&#10;FFI32MZwU8v3JJlIgxXHhhIdrUrKf7cXo+D4xS5btzI/3Vfu+5xN681lf1Bq0O8+ZyACdeEpfrgz&#10;HeePPkZj+H8n3iAXfwAAAP//AwBQSwECLQAUAAYACAAAACEA2+H2y+4AAACFAQAAEwAAAAAAAAAA&#10;AAAAAAAAAAAAW0NvbnRlbnRfVHlwZXNdLnhtbFBLAQItABQABgAIAAAAIQBa9CxbvwAAABUBAAAL&#10;AAAAAAAAAAAAAAAAAB8BAABfcmVscy8ucmVsc1BLAQItABQABgAIAAAAIQCbUv1yxQAAAN4AAAAP&#10;AAAAAAAAAAAAAAAAAAcCAABkcnMvZG93bnJldi54bWxQSwUGAAAAAAMAAwC3AAAA+QIAAAAA&#10;" filled="f" stroked="f">
                  <v:textbox inset="0,0,0,0">
                    <w:txbxContent>
                      <w:p w14:paraId="57CBA9C8" w14:textId="77777777" w:rsidR="00B32EF2" w:rsidRDefault="00000000">
                        <w:r>
                          <w:rPr>
                            <w:rFonts w:ascii="Arial" w:eastAsia="Arial" w:hAnsi="Arial" w:cs="Arial"/>
                            <w:sz w:val="18"/>
                          </w:rPr>
                          <w:t xml:space="preserve">il pagamento di somme dell’importo superiore a 10.000 euro, diverse dalle </w:t>
                        </w:r>
                      </w:p>
                    </w:txbxContent>
                  </v:textbox>
                </v:rect>
                <v:rect id="Rectangle 14346" o:spid="_x0000_s1288" style="position:absolute;left:-13170;top:980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GMFxAAAAN4AAAAPAAAAZHJzL2Rvd25yZXYueG1sRE9Ni8Iw&#10;EL0L/ocwgjdNdUWkaxRRZHvwsq4Lexyasa02k9BEW/31m4UFb/N4n7Ncd6YWd2p8ZVnBZJyAIM6t&#10;rrhQcPrajxYgfEDWWFsmBQ/ysF71e0tMtW35k+7HUIgYwj5FBWUILpXS5yUZ9GPriCN3to3BEGFT&#10;SN1gG8NNLadJMpcGK44NJTralpRfjzej4GfHLtu3Mj8/t+5wyRb1x+30rdRw0G3eQQTqwkv87850&#10;nD97m83h7514g1z9AgAA//8DAFBLAQItABQABgAIAAAAIQDb4fbL7gAAAIUBAAATAAAAAAAAAAAA&#10;AAAAAAAAAABbQ29udGVudF9UeXBlc10ueG1sUEsBAi0AFAAGAAgAAAAhAFr0LFu/AAAAFQEAAAsA&#10;AAAAAAAAAAAAAAAAHwEAAF9yZWxzLy5yZWxzUEsBAi0AFAAGAAgAAAAhAGuAYwXEAAAA3gAAAA8A&#10;AAAAAAAAAAAAAAAABwIAAGRycy9kb3ducmV2LnhtbFBLBQYAAAAAAwADALcAAAD4AgAAAAA=&#10;" filled="f" stroked="f">
                  <v:textbox inset="0,0,0,0">
                    <w:txbxContent>
                      <w:p w14:paraId="3AAE64F5" w14:textId="77777777" w:rsidR="00B32EF2" w:rsidRDefault="00000000">
                        <w:r>
                          <w:rPr>
                            <w:rFonts w:ascii="Arial" w:eastAsia="Arial" w:hAnsi="Arial" w:cs="Arial"/>
                            <w:sz w:val="18"/>
                          </w:rPr>
                          <w:t xml:space="preserve">spese di lite, può essere subordinato dal giudice, anche tenuto conto delle </w:t>
                        </w:r>
                      </w:p>
                    </w:txbxContent>
                  </v:textbox>
                </v:rect>
                <v:rect id="Rectangle 14347" o:spid="_x0000_s1289" style="position:absolute;left:-7987;top:8572;width:479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MaexQAAAN4AAAAPAAAAZHJzL2Rvd25yZXYueG1sRE9La8JA&#10;EL4X/A/LCN7qpq2oRFcpFjGHXuoDPA7ZMYnNzi7Z1UR/fbcgeJuP7znzZWdqcaXGV5YVvA0TEMS5&#10;1RUXCva79esUhA/IGmvLpOBGHpaL3sscU21b/qHrNhQihrBPUUEZgkul9HlJBv3QOuLInWxjMETY&#10;FFI32MZwU8v3JBlLgxXHhhIdrUrKf7cXo+D4xS5btzI/3Vfu+5xN681lf1Bq0O8+ZyACdeEpfrgz&#10;HeePPkYT+H8n3iAXfwAAAP//AwBQSwECLQAUAAYACAAAACEA2+H2y+4AAACFAQAAEwAAAAAAAAAA&#10;AAAAAAAAAAAAW0NvbnRlbnRfVHlwZXNdLnhtbFBLAQItABQABgAIAAAAIQBa9CxbvwAAABUBAAAL&#10;AAAAAAAAAAAAAAAAAB8BAABfcmVscy8ucmVsc1BLAQItABQABgAIAAAAIQAEzMaexQAAAN4AAAAP&#10;AAAAAAAAAAAAAAAAAAcCAABkcnMvZG93bnJldi54bWxQSwUGAAAAAAMAAwC3AAAA+QIAAAAA&#10;" filled="f" stroked="f">
                  <v:textbox inset="0,0,0,0">
                    <w:txbxContent>
                      <w:p w14:paraId="47B3741B" w14:textId="77777777" w:rsidR="00B32EF2" w:rsidRDefault="00000000">
                        <w:r>
                          <w:rPr>
                            <w:rFonts w:ascii="Arial" w:eastAsia="Arial" w:hAnsi="Arial" w:cs="Arial"/>
                            <w:sz w:val="18"/>
                          </w:rPr>
                          <w:t>condizioni di solvibilità dell’istante, alla prestazione di idonea garanzia.</w:t>
                        </w:r>
                      </w:p>
                    </w:txbxContent>
                  </v:textbox>
                </v:rect>
                <v:rect id="Rectangle 199844" o:spid="_x0000_s1290" style="position:absolute;left:26111;top:7339;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7R/xAAAAN8AAAAPAAAAZHJzL2Rvd25yZXYueG1sRE/LasJA&#10;FN0L/sNwhe500iIlRkcpFmkW3dQHuLxkrknazJ0hM5ro13cEweXhvBer3jTiQq2vLSt4nSQgiAur&#10;ay4V7HebcQrCB2SNjWVScCUPq+VwsMBM245/6LINpYgh7DNUUIXgMil9UZFBP7GOOHIn2xoMEbal&#10;1C12Mdw08i1J3qXBmmNDhY7WFRV/27NRcPxkl286WZxua/f9m6fN13l/UOpl1H/MQQTqw1P8cOc6&#10;zp/N0ukU7n8iALn8BwAA//8DAFBLAQItABQABgAIAAAAIQDb4fbL7gAAAIUBAAATAAAAAAAAAAAA&#10;AAAAAAAAAABbQ29udGVudF9UeXBlc10ueG1sUEsBAi0AFAAGAAgAAAAhAFr0LFu/AAAAFQEAAAsA&#10;AAAAAAAAAAAAAAAAHwEAAF9yZWxzLy5yZWxzUEsBAi0AFAAGAAgAAAAhALVjtH/EAAAA3wAAAA8A&#10;AAAAAAAAAAAAAAAABwIAAGRycy9kb3ducmV2LnhtbFBLBQYAAAAAAwADALcAAAD4AgAAAAA=&#10;" filled="f" stroked="f">
                  <v:textbox inset="0,0,0,0">
                    <w:txbxContent>
                      <w:p w14:paraId="44E84CF6" w14:textId="77777777" w:rsidR="00B32EF2" w:rsidRDefault="00000000">
                        <w:r>
                          <w:rPr>
                            <w:rFonts w:ascii="Arial" w:eastAsia="Arial" w:hAnsi="Arial" w:cs="Arial"/>
                            <w:sz w:val="18"/>
                          </w:rPr>
                          <w:t>2</w:t>
                        </w:r>
                      </w:p>
                    </w:txbxContent>
                  </v:textbox>
                </v:rect>
                <v:rect id="Rectangle 199845" o:spid="_x0000_s1291" style="position:absolute;left:-13816;top:7339;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xHkxQAAAN8AAAAPAAAAZHJzL2Rvd25yZXYueG1sRE/LasJA&#10;FN0X/IfhCu7qRLElpo4iijQLN/UBXV4y1yRt5s6QGU3ar3cKBZeH816setOIG7W+tqxgMk5AEBdW&#10;11wqOB13zykIH5A1NpZJwQ95WC0HTwvMtO34g26HUIoYwj5DBVUILpPSFxUZ9GPriCN3sa3BEGFb&#10;St1iF8NNI6dJ8ioN1hwbKnS0qaj4PlyNgs8tu3zXyeLyu3H7rzxt3q+ns1KjYb9+AxGoDw/xvzvX&#10;cf58ns5e4O9PBCCXdwAAAP//AwBQSwECLQAUAAYACAAAACEA2+H2y+4AAACFAQAAEwAAAAAAAAAA&#10;AAAAAAAAAAAAW0NvbnRlbnRfVHlwZXNdLnhtbFBLAQItABQABgAIAAAAIQBa9CxbvwAAABUBAAAL&#10;AAAAAAAAAAAAAAAAAB8BAABfcmVscy8ucmVsc1BLAQItABQABgAIAAAAIQDaLxHkxQAAAN8AAAAP&#10;AAAAAAAAAAAAAAAAAAcCAABkcnMvZG93bnJldi54bWxQSwUGAAAAAAMAAwC3AAAA+QIAAAAA&#10;" filled="f" stroked="f">
                  <v:textbox inset="0,0,0,0">
                    <w:txbxContent>
                      <w:p w14:paraId="2D3DD960" w14:textId="77777777" w:rsidR="00B32EF2" w:rsidRDefault="00000000">
                        <w:r>
                          <w:rPr>
                            <w:rFonts w:ascii="Arial" w:eastAsia="Arial" w:hAnsi="Arial" w:cs="Arial"/>
                            <w:sz w:val="18"/>
                          </w:rPr>
                          <w:t xml:space="preserve">. Con decreto del Ministro dell’economia e delle finanze adottato ai sensi </w:t>
                        </w:r>
                      </w:p>
                    </w:txbxContent>
                  </v:textbox>
                </v:rect>
                <v:rect id="Rectangle 14349" o:spid="_x0000_s1292" style="position:absolute;left:-13170;top:610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3xQAAAN4AAAAPAAAAZHJzL2Rvd25yZXYueG1sRE9La8JA&#10;EL4X+h+WKXirGx8UG11FFDEHL7UWehyyYxLNzi7Z1UR/vVsoeJuP7zmzRWdqcaXGV5YVDPoJCOLc&#10;6ooLBYfvzfsEhA/IGmvLpOBGHhbz15cZptq2/EXXfShEDGGfooIyBJdK6fOSDPq+dcSRO9rGYIiw&#10;KaRusI3hppbDJPmQBiuODSU6WpWUn/cXo+B3zS7btDI/3ldud8om9fZy+FGq99YtpyACdeEp/ndn&#10;Os4fj8af8PdOvEHOHwAAAP//AwBQSwECLQAUAAYACAAAACEA2+H2y+4AAACFAQAAEwAAAAAAAAAA&#10;AAAAAAAAAAAAW0NvbnRlbnRfVHlwZXNdLnhtbFBLAQItABQABgAIAAAAIQBa9CxbvwAAABUBAAAL&#10;AAAAAAAAAAAAAAAAAB8BAABfcmVscy8ucmVsc1BLAQItABQABgAIAAAAIQAaH/d3xQAAAN4AAAAP&#10;AAAAAAAAAAAAAAAAAAcCAABkcnMvZG93bnJldi54bWxQSwUGAAAAAAMAAwC3AAAA+QIAAAAA&#10;" filled="f" stroked="f">
                  <v:textbox inset="0,0,0,0">
                    <w:txbxContent>
                      <w:p w14:paraId="10585D98" w14:textId="77777777" w:rsidR="00B32EF2" w:rsidRDefault="00000000">
                        <w:r>
                          <w:rPr>
                            <w:rFonts w:ascii="Arial" w:eastAsia="Arial" w:hAnsi="Arial" w:cs="Arial"/>
                            <w:sz w:val="18"/>
                          </w:rPr>
                          <w:t xml:space="preserve">dell’articolo 17, comma 3, della legge 23 agosto 1988, n. 400, sono disciplinati </w:t>
                        </w:r>
                      </w:p>
                    </w:txbxContent>
                  </v:textbox>
                </v:rect>
                <v:rect id="Rectangle 14350" o:spid="_x0000_s1293" style="position:absolute;left:-13171;top:487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g3yAAAAN4AAAAPAAAAZHJzL2Rvd25yZXYueG1sRI9Pb8Iw&#10;DMXvk/YdIk/iNtL9Q6gjoIkJ0QOXAZN2tBrTdmucqAm049PjAxI3W35+7/1mi8G16kRdbDwbeBpn&#10;oIhLbxuuDOx3q8cpqJiQLbaeycA/RVjM7+9mmFvf8xedtqlSYsIxRwN1SiHXOpY1OYxjH4jldvCd&#10;wyRrV2nbYS/mrtXPWTbRDhuWhBoDLWsq/7ZHZ+Dnk0Ox6nV5OC/D5reYtuvj/tuY0cPw8Q4q0ZBu&#10;4ut3YaX+68ubAAiOzKDnFwAAAP//AwBQSwECLQAUAAYACAAAACEA2+H2y+4AAACFAQAAEwAAAAAA&#10;AAAAAAAAAAAAAAAAW0NvbnRlbnRfVHlwZXNdLnhtbFBLAQItABQABgAIAAAAIQBa9CxbvwAAABUB&#10;AAALAAAAAAAAAAAAAAAAAB8BAABfcmVscy8ucmVsc1BLAQItABQABgAIAAAAIQAO/Mg3yAAAAN4A&#10;AAAPAAAAAAAAAAAAAAAAAAcCAABkcnMvZG93bnJldi54bWxQSwUGAAAAAAMAAwC3AAAA/AIAAAAA&#10;" filled="f" stroked="f">
                  <v:textbox inset="0,0,0,0">
                    <w:txbxContent>
                      <w:p w14:paraId="2F845D19" w14:textId="77777777" w:rsidR="00B32EF2" w:rsidRDefault="00000000">
                        <w:r>
                          <w:rPr>
                            <w:rFonts w:ascii="Arial" w:eastAsia="Arial" w:hAnsi="Arial" w:cs="Arial"/>
                            <w:sz w:val="18"/>
                          </w:rPr>
                          <w:t xml:space="preserve">il contenuto della garanzia sulla base di quanto previsto dall’articolo 38-bis, </w:t>
                        </w:r>
                      </w:p>
                    </w:txbxContent>
                  </v:textbox>
                </v:rect>
                <v:rect id="Rectangle 14351" o:spid="_x0000_s1294" style="position:absolute;left:-13170;top:363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G2sxQAAAN4AAAAPAAAAZHJzL2Rvd25yZXYueG1sRE9La8JA&#10;EL4X/A/LCN7qxlpFoquIRZpDL/UBHofsmESzs0t2NWl/fbcgeJuP7zmLVWdqcafGV5YVjIYJCOLc&#10;6ooLBYf99nUGwgdkjbVlUvBDHlbL3ssCU21b/qb7LhQihrBPUUEZgkul9HlJBv3QOuLInW1jMETY&#10;FFI32MZwU8u3JJlKgxXHhhIdbUrKr7ubUXD6YJdtW5mffzfu65LN6s/b4ajUoN+t5yACdeEpfrgz&#10;Hee/jycj+H8n3iCXfwAAAP//AwBQSwECLQAUAAYACAAAACEA2+H2y+4AAACFAQAAEwAAAAAAAAAA&#10;AAAAAAAAAAAAW0NvbnRlbnRfVHlwZXNdLnhtbFBLAQItABQABgAIAAAAIQBa9CxbvwAAABUBAAAL&#10;AAAAAAAAAAAAAAAAAB8BAABfcmVscy8ucmVsc1BLAQItABQABgAIAAAAIQBhsG2sxQAAAN4AAAAP&#10;AAAAAAAAAAAAAAAAAAcCAABkcnMvZG93bnJldi54bWxQSwUGAAAAAAMAAwC3AAAA+QIAAAAA&#10;" filled="f" stroked="f">
                  <v:textbox inset="0,0,0,0">
                    <w:txbxContent>
                      <w:p w14:paraId="4E1BD1E9" w14:textId="77777777" w:rsidR="00B32EF2" w:rsidRDefault="00000000">
                        <w:r>
                          <w:rPr>
                            <w:rFonts w:ascii="Arial" w:eastAsia="Arial" w:hAnsi="Arial" w:cs="Arial"/>
                            <w:sz w:val="18"/>
                          </w:rPr>
                          <w:t xml:space="preserve">comma 5, del decreto del Presidente della Repubblica 26 ottobre 1972, n. 633, </w:t>
                        </w:r>
                      </w:p>
                    </w:txbxContent>
                  </v:textbox>
                </v:rect>
                <v:shape id="Shape 207706" o:spid="_x0000_s1295" style="position:absolute;left:318;top:21922;width:39600;height:6353;visibility:visible;mso-wrap-style:square;v-text-anchor:top" coordsize="3960000,6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WVLxwAAAN8AAAAPAAAAZHJzL2Rvd25yZXYueG1sRI9Ba8JA&#10;FITvBf/D8gRvdVehpkRXEUEpUoSoB4/P7DOJZt+G7Krx33cLhR6HmfmGmS06W4sHtb5yrGE0VCCI&#10;c2cqLjQcD+v3TxA+IBusHZOGF3lYzHtvM0yNe3JGj30oRISwT1FDGUKTSunzkiz6oWuIo3dxrcUQ&#10;ZVtI0+Izwm0tx0pNpMWK40KJDa1Kym/7u9XwHU7HzWFddbvz5qqyLNnu5MdW60G/W05BBOrCf/iv&#10;/WU0jFWSqAn8/olfQM5/AAAA//8DAFBLAQItABQABgAIAAAAIQDb4fbL7gAAAIUBAAATAAAAAAAA&#10;AAAAAAAAAAAAAABbQ29udGVudF9UeXBlc10ueG1sUEsBAi0AFAAGAAgAAAAhAFr0LFu/AAAAFQEA&#10;AAsAAAAAAAAAAAAAAAAAHwEAAF9yZWxzLy5yZWxzUEsBAi0AFAAGAAgAAAAhAN6VZUvHAAAA3wAA&#10;AA8AAAAAAAAAAAAAAAAABwIAAGRycy9kb3ducmV2LnhtbFBLBQYAAAAAAwADALcAAAD7AgAAAAA=&#10;" path="m,l3960000,r,635305l,635305,,e" fillcolor="#c3c3c3" stroked="f" strokeweight="0">
                  <v:stroke miterlimit="83231f" joinstyle="miter"/>
                  <v:path arrowok="t" textboxrect="0,0,3960000,635305"/>
                </v:shape>
                <v:rect id="Rectangle 14353" o:spid="_x0000_s1296" style="position:absolute;left:23287;top:2606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AxQAAAN4AAAAPAAAAZHJzL2Rvd25yZXYueG1sRE9La8JA&#10;EL4X/A/LCN7qprWKRFcpiphDL/UBHofsmMRmZ5fsamJ/fbcgeJuP7znzZWdqcaPGV5YVvA0TEMS5&#10;1RUXCg77zesUhA/IGmvLpOBOHpaL3sscU21b/qbbLhQihrBPUUEZgkul9HlJBv3QOuLInW1jMETY&#10;FFI32MZwU8v3JJlIgxXHhhIdrUrKf3ZXo+C0ZpdtWpmff1fu65JN6+31cFRq0O8+ZyACdeEpfrgz&#10;Hed/jMYj+H8n3iAXfwAAAP//AwBQSwECLQAUAAYACAAAACEA2+H2y+4AAACFAQAAEwAAAAAAAAAA&#10;AAAAAAAAAAAAW0NvbnRlbnRfVHlwZXNdLnhtbFBLAQItABQABgAIAAAAIQBa9CxbvwAAABUBAAAL&#10;AAAAAAAAAAAAAAAAAB8BAABfcmVscy8ucmVsc1BLAQItABQABgAIAAAAIQD+LlZAxQAAAN4AAAAP&#10;AAAAAAAAAAAAAAAAAAcCAABkcnMvZG93bnJldi54bWxQSwUGAAAAAAMAAwC3AAAA+QIAAAAA&#10;" filled="f" stroked="f">
                  <v:textbox inset="0,0,0,0">
                    <w:txbxContent>
                      <w:p w14:paraId="5F84AA68" w14:textId="77777777" w:rsidR="00B32EF2" w:rsidRDefault="00000000">
                        <w:r>
                          <w:rPr>
                            <w:rFonts w:ascii="Arial" w:eastAsia="Arial" w:hAnsi="Arial" w:cs="Arial"/>
                            <w:b/>
                            <w:i/>
                            <w:sz w:val="18"/>
                          </w:rPr>
                          <w:t>NORME RICHIAMATE</w:t>
                        </w:r>
                      </w:p>
                    </w:txbxContent>
                  </v:textbox>
                </v:rect>
                <v:rect id="Rectangle 14354" o:spid="_x0000_s1297" style="position:absolute;left:-2991;top:24748;width:4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840xQAAAN4AAAAPAAAAZHJzL2Rvd25yZXYueG1sRE9La8JA&#10;EL4X/A/LCN7qpq2KRFcpFjGHXuoDPA7ZMYnNzi7Z1UR/fbcgeJuP7znzZWdqcaXGV5YVvA0TEMS5&#10;1RUXCva79esUhA/IGmvLpOBGHpaL3sscU21b/qHrNhQihrBPUUEZgkul9HlJBv3QOuLInWxjMETY&#10;FFI32MZwU8v3JJlIgxXHhhIdrUrKf7cXo+D4xS5btzI/3Vfu+5xN681lf1Bq0O8+ZyACdeEpfrgz&#10;HeePPsYj+H8n3iAXfwAAAP//AwBQSwECLQAUAAYACAAAACEA2+H2y+4AAACFAQAAEwAAAAAAAAAA&#10;AAAAAAAAAAAAW0NvbnRlbnRfVHlwZXNdLnhtbFBLAQItABQABgAIAAAAIQBa9CxbvwAAABUBAAAL&#10;AAAAAAAAAAAAAAAAAB8BAABfcmVscy8ucmVsc1BLAQItABQABgAIAAAAIQBxx840xQAAAN4AAAAP&#10;AAAAAAAAAAAAAAAAAAcCAABkcnMvZG93bnJldi54bWxQSwUGAAAAAAMAAwC3AAAA+QIAAAAA&#10;" filled="f" stroked="f">
                  <v:textbox inset="0,0,0,0">
                    <w:txbxContent>
                      <w:p w14:paraId="7514219E" w14:textId="77777777" w:rsidR="00B32EF2" w:rsidRDefault="00000000">
                        <w:r>
                          <w:rPr>
                            <w:rFonts w:ascii="Arial" w:eastAsia="Arial" w:hAnsi="Arial" w:cs="Arial"/>
                            <w:i/>
                            <w:sz w:val="18"/>
                          </w:rPr>
                          <w:t xml:space="preserve">art. 2 decisione 436 del 2007 “ Definizione di risorse proprie”  </w:t>
                        </w:r>
                      </w:p>
                    </w:txbxContent>
                  </v:textbox>
                </v:rect>
                <v:rect id="Rectangle 14355" o:spid="_x0000_s1298" style="position:absolute;left:-11921;top:23433;width:512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2uvxQAAAN4AAAAPAAAAZHJzL2Rvd25yZXYueG1sRE9La8JA&#10;EL4L/odlBG+6aasi0VWKRcyhl/oAj0N2TGKzs0t2NbG/vlsoeJuP7znLdWdqcafGV5YVvIwTEMS5&#10;1RUXCo6H7WgOwgdkjbVlUvAgD+tVv7fEVNuWv+i+D4WIIexTVFCG4FIpfV6SQT+2jjhyF9sYDBE2&#10;hdQNtjHc1PI1SWbSYMWxoURHm5Ly7/3NKDh/sMu2rcwvPxv3ec3m9e52PCk1HHTvCxCBuvAU/7sz&#10;HedP3qZT+Hsn3iBXvwAAAP//AwBQSwECLQAUAAYACAAAACEA2+H2y+4AAACFAQAAEwAAAAAAAAAA&#10;AAAAAAAAAAAAW0NvbnRlbnRfVHlwZXNdLnhtbFBLAQItABQABgAIAAAAIQBa9CxbvwAAABUBAAAL&#10;AAAAAAAAAAAAAAAAAB8BAABfcmVscy8ucmVsc1BLAQItABQABgAIAAAAIQAei2uvxQAAAN4AAAAP&#10;AAAAAAAAAAAAAAAAAAcCAABkcnMvZG93bnJldi54bWxQSwUGAAAAAAMAAwC3AAAA+QIAAAAA&#10;" filled="f" stroked="f">
                  <v:textbox inset="0,0,0,0">
                    <w:txbxContent>
                      <w:p w14:paraId="51722624" w14:textId="77777777" w:rsidR="00B32EF2" w:rsidRDefault="00000000">
                        <w:r>
                          <w:rPr>
                            <w:rFonts w:ascii="Arial" w:eastAsia="Arial" w:hAnsi="Arial" w:cs="Arial"/>
                            <w:i/>
                            <w:sz w:val="18"/>
                          </w:rPr>
                          <w:t xml:space="preserve">Regolamento 2913/1992: regolamento (CEE) del Consiglio che istituisce </w:t>
                        </w:r>
                      </w:p>
                    </w:txbxContent>
                  </v:textbox>
                </v:rect>
                <v:rect id="Rectangle 14356" o:spid="_x0000_s1299" style="position:absolute;left:17363;top:22119;width:217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fXYxQAAAN4AAAAPAAAAZHJzL2Rvd25yZXYueG1sRE9La8JA&#10;EL4X/A/LCN7qxlpFoquIRZpDL/UBHofsmESzs0t2NWl/fbcgeJuP7zmLVWdqcafGV5YVjIYJCOLc&#10;6ooLBYf99nUGwgdkjbVlUvBDHlbL3ssCU21b/qb7LhQihrBPUUEZgkul9HlJBv3QOuLInW1jMETY&#10;FFI32MZwU8u3JJlKgxXHhhIdbUrKr7ubUXD6YJdtW5mffzfu65LN6s/b4ajUoN+t5yACdeEpfrgz&#10;Hee/jydT+H8n3iCXfwAAAP//AwBQSwECLQAUAAYACAAAACEA2+H2y+4AAACFAQAAEwAAAAAAAAAA&#10;AAAAAAAAAAAAW0NvbnRlbnRfVHlwZXNdLnhtbFBLAQItABQABgAIAAAAIQBa9CxbvwAAABUBAAAL&#10;AAAAAAAAAAAAAAAAAB8BAABfcmVscy8ucmVsc1BLAQItABQABgAIAAAAIQDuWfXYxQAAAN4AAAAP&#10;AAAAAAAAAAAAAAAAAAcCAABkcnMvZG93bnJldi54bWxQSwUGAAAAAAMAAwC3AAAA+QIAAAAA&#10;" filled="f" stroked="f">
                  <v:textbox inset="0,0,0,0">
                    <w:txbxContent>
                      <w:p w14:paraId="38030CEF" w14:textId="77777777" w:rsidR="00B32EF2" w:rsidRDefault="00000000">
                        <w:r>
                          <w:rPr>
                            <w:rFonts w:ascii="Arial" w:eastAsia="Arial" w:hAnsi="Arial" w:cs="Arial"/>
                            <w:i/>
                            <w:sz w:val="18"/>
                          </w:rPr>
                          <w:t>un codice doganale comunitario</w:t>
                        </w:r>
                      </w:p>
                    </w:txbxContent>
                  </v:textbox>
                </v:rect>
                <v:rect id="Rectangle 14357" o:spid="_x0000_s1300" style="position:absolute;left:22368;top:22119;width:4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VBDxQAAAN4AAAAPAAAAZHJzL2Rvd25yZXYueG1sRE9Na8JA&#10;EL0L/Q/LFHozG2ttJXWVokhz8KJV8DhkxyQ1O7tkV5P213cFobd5vM+ZLXrTiCu1vrasYJSkIIgL&#10;q2suFey/1sMpCB+QNTaWScEPeVjMHwYzzLTteEvXXShFDGGfoYIqBJdJ6YuKDPrEOuLInWxrMETY&#10;llK32MVw08jnNH2VBmuODRU6WlZUnHcXo+C4YpevO1mcfpdu851Pm8/L/qDU02P/8Q4iUB/+xXd3&#10;ruP8l/HkDW7vxBvk/A8AAP//AwBQSwECLQAUAAYACAAAACEA2+H2y+4AAACFAQAAEwAAAAAAAAAA&#10;AAAAAAAAAAAAW0NvbnRlbnRfVHlwZXNdLnhtbFBLAQItABQABgAIAAAAIQBa9CxbvwAAABUBAAAL&#10;AAAAAAAAAAAAAAAAAB8BAABfcmVscy8ucmVsc1BLAQItABQABgAIAAAAIQCBFVBDxQAAAN4AAAAP&#10;AAAAAAAAAAAAAAAAAAcCAABkcnMvZG93bnJldi54bWxQSwUGAAAAAAMAAwC3AAAA+QIAAAAA&#10;" filled="f" stroked="f">
                  <v:textbox inset="0,0,0,0">
                    <w:txbxContent>
                      <w:p w14:paraId="60ACF7D2" w14:textId="77777777" w:rsidR="00B32EF2" w:rsidRDefault="00000000">
                        <w:r>
                          <w:rPr>
                            <w:rFonts w:ascii="Arial" w:eastAsia="Arial" w:hAnsi="Arial" w:cs="Arial"/>
                            <w:sz w:val="18"/>
                          </w:rPr>
                          <w:t>.</w:t>
                        </w:r>
                      </w:p>
                    </w:txbxContent>
                  </v:textbox>
                </v:rect>
                <v:shape id="Shape 14358" o:spid="_x0000_s1301" style="position:absolute;left:318;top:21922;width:39600;height:6353;visibility:visible;mso-wrap-style:square;v-text-anchor:top" coordsize="3960000,6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fjxwAAAN4AAAAPAAAAZHJzL2Rvd25yZXYueG1sRI9Pa8Mw&#10;DMXvg34Ho8Juq7M/HSWrW0pHYZDT0sLoTcRaHBbLwXbTbJ9+Ogx2k3hP7/203k6+VyPF1AU2cL8o&#10;QBE3wXbcGjgdD3crUCkjW+wDk4FvSrDdzG7WWNpw5Xca69wqCeFUogGX81BqnRpHHtMiDMSifYbo&#10;McsaW20jXiXc9/qhKJ61x46lweFAe0fNV33xBpZ1VXXnqnZNiq/TGC8/p4/D0Zjb+bR7AZVpyv/m&#10;v+s3K/hPj0vhlXdkBr35BQAA//8DAFBLAQItABQABgAIAAAAIQDb4fbL7gAAAIUBAAATAAAAAAAA&#10;AAAAAAAAAAAAAABbQ29udGVudF9UeXBlc10ueG1sUEsBAi0AFAAGAAgAAAAhAFr0LFu/AAAAFQEA&#10;AAsAAAAAAAAAAAAAAAAAHwEAAF9yZWxzLy5yZWxzUEsBAi0AFAAGAAgAAAAhAJly9+PHAAAA3gAA&#10;AA8AAAAAAAAAAAAAAAAABwIAAGRycy9kb3ducmV2LnhtbFBLBQYAAAAAAwADALcAAAD7AgAAAAA=&#10;" path="m,635305r3960000,l3960000,,,,,635305xe" filled="f" strokeweight="1pt">
                  <v:stroke miterlimit="1" joinstyle="miter"/>
                  <v:path arrowok="t" textboxrect="0,0,3960000,635305"/>
                </v:shape>
                <w10:anchorlock/>
              </v:group>
            </w:pict>
          </mc:Fallback>
        </mc:AlternateContent>
      </w:r>
    </w:p>
    <w:p w14:paraId="030C0FB8" w14:textId="77777777" w:rsidR="00B32EF2" w:rsidRDefault="00000000">
      <w:pPr>
        <w:spacing w:after="0"/>
        <w:ind w:left="-357" w:right="-316"/>
      </w:pPr>
      <w:r>
        <w:rPr>
          <w:noProof/>
        </w:rPr>
        <w:lastRenderedPageBreak/>
        <mc:AlternateContent>
          <mc:Choice Requires="wpg">
            <w:drawing>
              <wp:inline distT="0" distB="0" distL="0" distR="0" wp14:anchorId="5E2F6840" wp14:editId="5BBF34BE">
                <wp:extent cx="3998483" cy="6262854"/>
                <wp:effectExtent l="0" t="0" r="0" b="0"/>
                <wp:docPr id="199751" name="Group 199751"/>
                <wp:cNvGraphicFramePr/>
                <a:graphic xmlns:a="http://schemas.openxmlformats.org/drawingml/2006/main">
                  <a:graphicData uri="http://schemas.microsoft.com/office/word/2010/wordprocessingGroup">
                    <wpg:wgp>
                      <wpg:cNvGrpSpPr/>
                      <wpg:grpSpPr>
                        <a:xfrm>
                          <a:off x="0" y="0"/>
                          <a:ext cx="3998483" cy="6262854"/>
                          <a:chOff x="0" y="0"/>
                          <a:chExt cx="3998483" cy="6262854"/>
                        </a:xfrm>
                      </wpg:grpSpPr>
                      <wps:wsp>
                        <wps:cNvPr id="14428" name="Rectangle 14428"/>
                        <wps:cNvSpPr/>
                        <wps:spPr>
                          <a:xfrm rot="-10799999">
                            <a:off x="1845162" y="-62190"/>
                            <a:ext cx="267553" cy="250646"/>
                          </a:xfrm>
                          <a:prstGeom prst="rect">
                            <a:avLst/>
                          </a:prstGeom>
                          <a:ln>
                            <a:noFill/>
                          </a:ln>
                        </wps:spPr>
                        <wps:txbx>
                          <w:txbxContent>
                            <w:p w14:paraId="72D68D44" w14:textId="77777777" w:rsidR="00B32EF2" w:rsidRDefault="00000000">
                              <w:r>
                                <w:rPr>
                                  <w:rFonts w:ascii="Times New Roman" w:eastAsia="Times New Roman" w:hAnsi="Times New Roman" w:cs="Times New Roman"/>
                                </w:rPr>
                                <w:t>102</w:t>
                              </w:r>
                            </w:p>
                          </w:txbxContent>
                        </wps:txbx>
                        <wps:bodyPr horzOverflow="overflow" vert="horz" lIns="0" tIns="0" rIns="0" bIns="0" rtlCol="0">
                          <a:noAutofit/>
                        </wps:bodyPr>
                      </wps:wsp>
                      <wps:wsp>
                        <wps:cNvPr id="14429" name="Rectangle 14429"/>
                        <wps:cNvSpPr/>
                        <wps:spPr>
                          <a:xfrm rot="-10799999">
                            <a:off x="2428847" y="6119964"/>
                            <a:ext cx="1563286" cy="142890"/>
                          </a:xfrm>
                          <a:prstGeom prst="rect">
                            <a:avLst/>
                          </a:prstGeom>
                          <a:ln>
                            <a:noFill/>
                          </a:ln>
                        </wps:spPr>
                        <wps:txbx>
                          <w:txbxContent>
                            <w:p w14:paraId="28778D60" w14:textId="77777777" w:rsidR="00B32EF2" w:rsidRDefault="00000000">
                              <w:r>
                                <w:rPr>
                                  <w:rFonts w:ascii="Arial" w:eastAsia="Arial" w:hAnsi="Arial" w:cs="Arial"/>
                                  <w:sz w:val="18"/>
                                </w:rPr>
                                <w:t>gnata per revocazione.</w:t>
                              </w:r>
                            </w:p>
                          </w:txbxContent>
                        </wps:txbx>
                        <wps:bodyPr horzOverflow="overflow" vert="horz" lIns="0" tIns="0" rIns="0" bIns="0" rtlCol="0">
                          <a:noAutofit/>
                        </wps:bodyPr>
                      </wps:wsp>
                      <wps:wsp>
                        <wps:cNvPr id="14430" name="Rectangle 14430"/>
                        <wps:cNvSpPr/>
                        <wps:spPr>
                          <a:xfrm rot="-10799999">
                            <a:off x="1618656" y="5379871"/>
                            <a:ext cx="629830" cy="142889"/>
                          </a:xfrm>
                          <a:prstGeom prst="rect">
                            <a:avLst/>
                          </a:prstGeom>
                          <a:ln>
                            <a:noFill/>
                          </a:ln>
                        </wps:spPr>
                        <wps:txbx>
                          <w:txbxContent>
                            <w:p w14:paraId="393F726C" w14:textId="77777777" w:rsidR="00B32EF2" w:rsidRDefault="00000000">
                              <w:r>
                                <w:rPr>
                                  <w:rFonts w:ascii="Arial" w:eastAsia="Arial" w:hAnsi="Arial" w:cs="Arial"/>
                                  <w:b/>
                                  <w:sz w:val="18"/>
                                </w:rPr>
                                <w:t>CAPO IV</w:t>
                              </w:r>
                            </w:p>
                          </w:txbxContent>
                        </wps:txbx>
                        <wps:bodyPr horzOverflow="overflow" vert="horz" lIns="0" tIns="0" rIns="0" bIns="0" rtlCol="0">
                          <a:noAutofit/>
                        </wps:bodyPr>
                      </wps:wsp>
                      <wps:wsp>
                        <wps:cNvPr id="14431" name="Rectangle 14431"/>
                        <wps:cNvSpPr/>
                        <wps:spPr>
                          <a:xfrm rot="-10799999">
                            <a:off x="-380436" y="5133212"/>
                            <a:ext cx="3833874" cy="142889"/>
                          </a:xfrm>
                          <a:prstGeom prst="rect">
                            <a:avLst/>
                          </a:prstGeom>
                          <a:ln>
                            <a:noFill/>
                          </a:ln>
                        </wps:spPr>
                        <wps:txbx>
                          <w:txbxContent>
                            <w:p w14:paraId="1BE3D1F7" w14:textId="77777777" w:rsidR="00B32EF2" w:rsidRDefault="00000000">
                              <w:r>
                                <w:rPr>
                                  <w:rFonts w:ascii="Arial" w:eastAsia="Arial" w:hAnsi="Arial" w:cs="Arial"/>
                                  <w:b/>
                                  <w:sz w:val="18"/>
                                </w:rPr>
                                <w:t xml:space="preserve"> L’ESECUZIONE DELLE SENTENZE DELLE CORTI DI</w:t>
                              </w:r>
                            </w:p>
                          </w:txbxContent>
                        </wps:txbx>
                        <wps:bodyPr horzOverflow="overflow" vert="horz" lIns="0" tIns="0" rIns="0" bIns="0" rtlCol="0">
                          <a:noAutofit/>
                        </wps:bodyPr>
                      </wps:wsp>
                      <wps:wsp>
                        <wps:cNvPr id="14432" name="Rectangle 14432"/>
                        <wps:cNvSpPr/>
                        <wps:spPr>
                          <a:xfrm rot="-10799999">
                            <a:off x="920229" y="5009882"/>
                            <a:ext cx="1751396" cy="142889"/>
                          </a:xfrm>
                          <a:prstGeom prst="rect">
                            <a:avLst/>
                          </a:prstGeom>
                          <a:ln>
                            <a:noFill/>
                          </a:ln>
                        </wps:spPr>
                        <wps:txbx>
                          <w:txbxContent>
                            <w:p w14:paraId="6543625C" w14:textId="77777777" w:rsidR="00B32EF2" w:rsidRDefault="00000000">
                              <w:r>
                                <w:rPr>
                                  <w:rFonts w:ascii="Arial" w:eastAsia="Arial" w:hAnsi="Arial" w:cs="Arial"/>
                                  <w:b/>
                                  <w:sz w:val="18"/>
                                </w:rPr>
                                <w:t>GIUSTIZIA TRIBUTARIA</w:t>
                              </w:r>
                            </w:p>
                          </w:txbxContent>
                        </wps:txbx>
                        <wps:bodyPr horzOverflow="overflow" vert="horz" lIns="0" tIns="0" rIns="0" bIns="0" rtlCol="0">
                          <a:noAutofit/>
                        </wps:bodyPr>
                      </wps:wsp>
                      <wps:wsp>
                        <wps:cNvPr id="14433" name="Rectangle 14433"/>
                        <wps:cNvSpPr/>
                        <wps:spPr>
                          <a:xfrm rot="-10799999">
                            <a:off x="1457133" y="4763223"/>
                            <a:ext cx="890451" cy="142889"/>
                          </a:xfrm>
                          <a:prstGeom prst="rect">
                            <a:avLst/>
                          </a:prstGeom>
                          <a:ln>
                            <a:noFill/>
                          </a:ln>
                        </wps:spPr>
                        <wps:txbx>
                          <w:txbxContent>
                            <w:p w14:paraId="4C70A8E0" w14:textId="77777777" w:rsidR="00B32EF2" w:rsidRDefault="00000000">
                              <w:r>
                                <w:rPr>
                                  <w:rFonts w:ascii="Arial" w:eastAsia="Arial" w:hAnsi="Arial" w:cs="Arial"/>
                                  <w:b/>
                                  <w:sz w:val="18"/>
                                </w:rPr>
                                <w:t>Articolo 124</w:t>
                              </w:r>
                            </w:p>
                          </w:txbxContent>
                        </wps:txbx>
                        <wps:bodyPr horzOverflow="overflow" vert="horz" lIns="0" tIns="0" rIns="0" bIns="0" rtlCol="0">
                          <a:noAutofit/>
                        </wps:bodyPr>
                      </wps:wsp>
                      <wps:wsp>
                        <wps:cNvPr id="199683" name="Rectangle 199683"/>
                        <wps:cNvSpPr/>
                        <wps:spPr>
                          <a:xfrm rot="-10799999">
                            <a:off x="2261718" y="4639893"/>
                            <a:ext cx="2250915" cy="142889"/>
                          </a:xfrm>
                          <a:prstGeom prst="rect">
                            <a:avLst/>
                          </a:prstGeom>
                          <a:ln>
                            <a:noFill/>
                          </a:ln>
                        </wps:spPr>
                        <wps:txbx>
                          <w:txbxContent>
                            <w:p w14:paraId="6786743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9684" name="Rectangle 199684"/>
                        <wps:cNvSpPr/>
                        <wps:spPr>
                          <a:xfrm rot="-10799999">
                            <a:off x="-626151" y="4639893"/>
                            <a:ext cx="2250915" cy="142889"/>
                          </a:xfrm>
                          <a:prstGeom prst="rect">
                            <a:avLst/>
                          </a:prstGeom>
                          <a:ln>
                            <a:noFill/>
                          </a:ln>
                        </wps:spPr>
                        <wps:txbx>
                          <w:txbxContent>
                            <w:p w14:paraId="0E686788" w14:textId="77777777" w:rsidR="00B32EF2" w:rsidRDefault="00000000">
                              <w:r>
                                <w:rPr>
                                  <w:rFonts w:ascii="Arial" w:eastAsia="Arial" w:hAnsi="Arial" w:cs="Arial"/>
                                  <w:i/>
                                  <w:sz w:val="18"/>
                                </w:rPr>
                                <w:t>74/2000)</w:t>
                              </w:r>
                            </w:p>
                          </w:txbxContent>
                        </wps:txbx>
                        <wps:bodyPr horzOverflow="overflow" vert="horz" lIns="0" tIns="0" rIns="0" bIns="0" rtlCol="0">
                          <a:noAutofit/>
                        </wps:bodyPr>
                      </wps:wsp>
                      <wps:wsp>
                        <wps:cNvPr id="199685" name="Rectangle 199685"/>
                        <wps:cNvSpPr/>
                        <wps:spPr>
                          <a:xfrm rot="-10799999">
                            <a:off x="1031106" y="4639893"/>
                            <a:ext cx="2250915" cy="142889"/>
                          </a:xfrm>
                          <a:prstGeom prst="rect">
                            <a:avLst/>
                          </a:prstGeom>
                          <a:ln>
                            <a:noFill/>
                          </a:ln>
                        </wps:spPr>
                        <wps:txbx>
                          <w:txbxContent>
                            <w:p w14:paraId="1B8AFA26" w14:textId="77777777" w:rsidR="00B32EF2" w:rsidRDefault="00000000">
                              <w:r>
                                <w:rPr>
                                  <w:rFonts w:ascii="Arial" w:eastAsia="Arial" w:hAnsi="Arial" w:cs="Arial"/>
                                  <w:i/>
                                  <w:sz w:val="18"/>
                                </w:rPr>
                                <w:t xml:space="preserve">articolo 21-ter D.lgs. n. </w:t>
                              </w:r>
                            </w:p>
                          </w:txbxContent>
                        </wps:txbx>
                        <wps:bodyPr horzOverflow="overflow" vert="horz" lIns="0" tIns="0" rIns="0" bIns="0" rtlCol="0">
                          <a:noAutofit/>
                        </wps:bodyPr>
                      </wps:wsp>
                      <wps:wsp>
                        <wps:cNvPr id="14435" name="Rectangle 14435"/>
                        <wps:cNvSpPr/>
                        <wps:spPr>
                          <a:xfrm rot="-10799999">
                            <a:off x="-1079578" y="4516564"/>
                            <a:ext cx="4928608" cy="142889"/>
                          </a:xfrm>
                          <a:prstGeom prst="rect">
                            <a:avLst/>
                          </a:prstGeom>
                          <a:ln>
                            <a:noFill/>
                          </a:ln>
                        </wps:spPr>
                        <wps:txbx>
                          <w:txbxContent>
                            <w:p w14:paraId="6D186F74" w14:textId="77777777" w:rsidR="00B32EF2" w:rsidRDefault="00000000">
                              <w:r>
                                <w:rPr>
                                  <w:rFonts w:ascii="Arial" w:eastAsia="Arial" w:hAnsi="Arial" w:cs="Arial"/>
                                  <w:b/>
                                  <w:sz w:val="18"/>
                                </w:rPr>
                                <w:t xml:space="preserve">Applicazione ed esecuzione delle sanzioni penali e amministrative </w:t>
                              </w:r>
                            </w:p>
                          </w:txbxContent>
                        </wps:txbx>
                        <wps:bodyPr horzOverflow="overflow" vert="horz" lIns="0" tIns="0" rIns="0" bIns="0" rtlCol="0">
                          <a:noAutofit/>
                        </wps:bodyPr>
                      </wps:wsp>
                      <wps:wsp>
                        <wps:cNvPr id="199681" name="Rectangle 199681"/>
                        <wps:cNvSpPr/>
                        <wps:spPr>
                          <a:xfrm rot="-10799999">
                            <a:off x="2611189" y="4393234"/>
                            <a:ext cx="5309037" cy="142889"/>
                          </a:xfrm>
                          <a:prstGeom prst="rect">
                            <a:avLst/>
                          </a:prstGeom>
                          <a:ln>
                            <a:noFill/>
                          </a:ln>
                        </wps:spPr>
                        <wps:txbx>
                          <w:txbxContent>
                            <w:p w14:paraId="7A0B6BB6"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9682" name="Rectangle 199682"/>
                        <wps:cNvSpPr/>
                        <wps:spPr>
                          <a:xfrm rot="-10799999">
                            <a:off x="-1376200" y="4393234"/>
                            <a:ext cx="5309036" cy="142889"/>
                          </a:xfrm>
                          <a:prstGeom prst="rect">
                            <a:avLst/>
                          </a:prstGeom>
                          <a:ln>
                            <a:noFill/>
                          </a:ln>
                        </wps:spPr>
                        <wps:txbx>
                          <w:txbxContent>
                            <w:p w14:paraId="07B8BC43" w14:textId="77777777" w:rsidR="00B32EF2" w:rsidRDefault="00000000">
                              <w:r>
                                <w:rPr>
                                  <w:rFonts w:ascii="Arial" w:eastAsia="Arial" w:hAnsi="Arial" w:cs="Arial"/>
                                  <w:sz w:val="18"/>
                                </w:rPr>
                                <w:t xml:space="preserve">. Quando, per lo stesso fatto è stata applicata, a carico del soggetto, una </w:t>
                              </w:r>
                            </w:p>
                          </w:txbxContent>
                        </wps:txbx>
                        <wps:bodyPr horzOverflow="overflow" vert="horz" lIns="0" tIns="0" rIns="0" bIns="0" rtlCol="0">
                          <a:noAutofit/>
                        </wps:bodyPr>
                      </wps:wsp>
                      <wps:wsp>
                        <wps:cNvPr id="14437" name="Rectangle 14437"/>
                        <wps:cNvSpPr/>
                        <wps:spPr>
                          <a:xfrm rot="-10799999">
                            <a:off x="-1220317" y="4269904"/>
                            <a:ext cx="5212337" cy="142889"/>
                          </a:xfrm>
                          <a:prstGeom prst="rect">
                            <a:avLst/>
                          </a:prstGeom>
                          <a:ln>
                            <a:noFill/>
                          </a:ln>
                        </wps:spPr>
                        <wps:txbx>
                          <w:txbxContent>
                            <w:p w14:paraId="0B56F174" w14:textId="77777777" w:rsidR="00B32EF2" w:rsidRDefault="00000000">
                              <w:r>
                                <w:rPr>
                                  <w:rFonts w:ascii="Arial" w:eastAsia="Arial" w:hAnsi="Arial" w:cs="Arial"/>
                                  <w:sz w:val="18"/>
                                </w:rPr>
                                <w:t>sanzione penale ovvero una sanzione amministrativa o una sanzione ammini</w:t>
                              </w:r>
                            </w:p>
                          </w:txbxContent>
                        </wps:txbx>
                        <wps:bodyPr horzOverflow="overflow" vert="horz" lIns="0" tIns="0" rIns="0" bIns="0" rtlCol="0">
                          <a:noAutofit/>
                        </wps:bodyPr>
                      </wps:wsp>
                      <wps:wsp>
                        <wps:cNvPr id="14438" name="Rectangle 14438"/>
                        <wps:cNvSpPr/>
                        <wps:spPr>
                          <a:xfrm rot="-10799999">
                            <a:off x="19421" y="4269905"/>
                            <a:ext cx="50622" cy="142889"/>
                          </a:xfrm>
                          <a:prstGeom prst="rect">
                            <a:avLst/>
                          </a:prstGeom>
                          <a:ln>
                            <a:noFill/>
                          </a:ln>
                        </wps:spPr>
                        <wps:txbx>
                          <w:txbxContent>
                            <w:p w14:paraId="50FEC8F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439" name="Rectangle 14439"/>
                        <wps:cNvSpPr/>
                        <wps:spPr>
                          <a:xfrm rot="-10799999">
                            <a:off x="-1316986" y="4146575"/>
                            <a:ext cx="5309006" cy="142889"/>
                          </a:xfrm>
                          <a:prstGeom prst="rect">
                            <a:avLst/>
                          </a:prstGeom>
                          <a:ln>
                            <a:noFill/>
                          </a:ln>
                        </wps:spPr>
                        <wps:txbx>
                          <w:txbxContent>
                            <w:p w14:paraId="5F284FBF" w14:textId="77777777" w:rsidR="00B32EF2" w:rsidRDefault="00000000">
                              <w:r>
                                <w:rPr>
                                  <w:rFonts w:ascii="Arial" w:eastAsia="Arial" w:hAnsi="Arial" w:cs="Arial"/>
                                  <w:sz w:val="18"/>
                                </w:rPr>
                                <w:t xml:space="preserve">strativa dipendente da reato, il giudice o l’autorità amministrativa, al momento </w:t>
                              </w:r>
                            </w:p>
                          </w:txbxContent>
                        </wps:txbx>
                        <wps:bodyPr horzOverflow="overflow" vert="horz" lIns="0" tIns="0" rIns="0" bIns="0" rtlCol="0">
                          <a:noAutofit/>
                        </wps:bodyPr>
                      </wps:wsp>
                      <wps:wsp>
                        <wps:cNvPr id="14440" name="Rectangle 14440"/>
                        <wps:cNvSpPr/>
                        <wps:spPr>
                          <a:xfrm rot="-10799999">
                            <a:off x="-1316986" y="4023245"/>
                            <a:ext cx="5309006" cy="142889"/>
                          </a:xfrm>
                          <a:prstGeom prst="rect">
                            <a:avLst/>
                          </a:prstGeom>
                          <a:ln>
                            <a:noFill/>
                          </a:ln>
                        </wps:spPr>
                        <wps:txbx>
                          <w:txbxContent>
                            <w:p w14:paraId="0AA563CA" w14:textId="77777777" w:rsidR="00B32EF2" w:rsidRDefault="00000000">
                              <w:r>
                                <w:rPr>
                                  <w:rFonts w:ascii="Arial" w:eastAsia="Arial" w:hAnsi="Arial" w:cs="Arial"/>
                                  <w:sz w:val="18"/>
                                </w:rPr>
                                <w:t xml:space="preserve">della determinazione delle sanzioni di propria competenza e al fine di ridurne </w:t>
                              </w:r>
                            </w:p>
                          </w:txbxContent>
                        </wps:txbx>
                        <wps:bodyPr horzOverflow="overflow" vert="horz" lIns="0" tIns="0" rIns="0" bIns="0" rtlCol="0">
                          <a:noAutofit/>
                        </wps:bodyPr>
                      </wps:wsp>
                      <wps:wsp>
                        <wps:cNvPr id="14441" name="Rectangle 14441"/>
                        <wps:cNvSpPr/>
                        <wps:spPr>
                          <a:xfrm rot="-10799999">
                            <a:off x="-1317016" y="3899915"/>
                            <a:ext cx="5309035" cy="142889"/>
                          </a:xfrm>
                          <a:prstGeom prst="rect">
                            <a:avLst/>
                          </a:prstGeom>
                          <a:ln>
                            <a:noFill/>
                          </a:ln>
                        </wps:spPr>
                        <wps:txbx>
                          <w:txbxContent>
                            <w:p w14:paraId="2E9130D4" w14:textId="77777777" w:rsidR="00B32EF2" w:rsidRDefault="00000000">
                              <w:r>
                                <w:rPr>
                                  <w:rFonts w:ascii="Arial" w:eastAsia="Arial" w:hAnsi="Arial" w:cs="Arial"/>
                                  <w:sz w:val="18"/>
                                </w:rPr>
                                <w:t xml:space="preserve">la relativa misura, tiene conto di quelle già irrogate con provvedimento o con </w:t>
                              </w:r>
                            </w:p>
                          </w:txbxContent>
                        </wps:txbx>
                        <wps:bodyPr horzOverflow="overflow" vert="horz" lIns="0" tIns="0" rIns="0" bIns="0" rtlCol="0">
                          <a:noAutofit/>
                        </wps:bodyPr>
                      </wps:wsp>
                      <wps:wsp>
                        <wps:cNvPr id="14442" name="Rectangle 14442"/>
                        <wps:cNvSpPr/>
                        <wps:spPr>
                          <a:xfrm rot="-10799999">
                            <a:off x="1748796" y="3776585"/>
                            <a:ext cx="2243223" cy="142889"/>
                          </a:xfrm>
                          <a:prstGeom prst="rect">
                            <a:avLst/>
                          </a:prstGeom>
                          <a:ln>
                            <a:noFill/>
                          </a:ln>
                        </wps:spPr>
                        <wps:txbx>
                          <w:txbxContent>
                            <w:p w14:paraId="25BF4D5A" w14:textId="77777777" w:rsidR="00B32EF2" w:rsidRDefault="00000000">
                              <w:r>
                                <w:rPr>
                                  <w:rFonts w:ascii="Arial" w:eastAsia="Arial" w:hAnsi="Arial" w:cs="Arial"/>
                                  <w:sz w:val="18"/>
                                </w:rPr>
                                <w:t>sentenza assunti in via definitiva.</w:t>
                              </w:r>
                            </w:p>
                          </w:txbxContent>
                        </wps:txbx>
                        <wps:bodyPr horzOverflow="overflow" vert="horz" lIns="0" tIns="0" rIns="0" bIns="0" rtlCol="0">
                          <a:noAutofit/>
                        </wps:bodyPr>
                      </wps:wsp>
                      <wps:wsp>
                        <wps:cNvPr id="14443" name="Rectangle 14443"/>
                        <wps:cNvSpPr/>
                        <wps:spPr>
                          <a:xfrm rot="-10799999">
                            <a:off x="1458059" y="3529926"/>
                            <a:ext cx="888840" cy="142889"/>
                          </a:xfrm>
                          <a:prstGeom prst="rect">
                            <a:avLst/>
                          </a:prstGeom>
                          <a:ln>
                            <a:noFill/>
                          </a:ln>
                        </wps:spPr>
                        <wps:txbx>
                          <w:txbxContent>
                            <w:p w14:paraId="2A5E5C2A" w14:textId="77777777" w:rsidR="00B32EF2" w:rsidRDefault="00000000">
                              <w:r>
                                <w:rPr>
                                  <w:rFonts w:ascii="Arial" w:eastAsia="Arial" w:hAnsi="Arial" w:cs="Arial"/>
                                  <w:b/>
                                  <w:sz w:val="18"/>
                                </w:rPr>
                                <w:t>Articolo 125</w:t>
                              </w:r>
                            </w:p>
                          </w:txbxContent>
                        </wps:txbx>
                        <wps:bodyPr horzOverflow="overflow" vert="horz" lIns="0" tIns="0" rIns="0" bIns="0" rtlCol="0">
                          <a:noAutofit/>
                        </wps:bodyPr>
                      </wps:wsp>
                      <wps:wsp>
                        <wps:cNvPr id="199678" name="Rectangle 199678"/>
                        <wps:cNvSpPr/>
                        <wps:spPr>
                          <a:xfrm rot="-10799999">
                            <a:off x="2252539" y="3406596"/>
                            <a:ext cx="2179649" cy="142889"/>
                          </a:xfrm>
                          <a:prstGeom prst="rect">
                            <a:avLst/>
                          </a:prstGeom>
                          <a:ln>
                            <a:noFill/>
                          </a:ln>
                        </wps:spPr>
                        <wps:txbx>
                          <w:txbxContent>
                            <w:p w14:paraId="5860367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9679" name="Rectangle 199679"/>
                        <wps:cNvSpPr/>
                        <wps:spPr>
                          <a:xfrm rot="-10799999">
                            <a:off x="-588707" y="3406596"/>
                            <a:ext cx="2179649" cy="142889"/>
                          </a:xfrm>
                          <a:prstGeom prst="rect">
                            <a:avLst/>
                          </a:prstGeom>
                          <a:ln>
                            <a:noFill/>
                          </a:ln>
                        </wps:spPr>
                        <wps:txbx>
                          <w:txbxContent>
                            <w:p w14:paraId="2A40CDD3"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680" name="Rectangle 199680"/>
                        <wps:cNvSpPr/>
                        <wps:spPr>
                          <a:xfrm rot="-10799999">
                            <a:off x="1014968" y="3406596"/>
                            <a:ext cx="2179648" cy="142889"/>
                          </a:xfrm>
                          <a:prstGeom prst="rect">
                            <a:avLst/>
                          </a:prstGeom>
                          <a:ln>
                            <a:noFill/>
                          </a:ln>
                        </wps:spPr>
                        <wps:txbx>
                          <w:txbxContent>
                            <w:p w14:paraId="0B17C309" w14:textId="77777777" w:rsidR="00B32EF2" w:rsidRDefault="00000000">
                              <w:r>
                                <w:rPr>
                                  <w:rFonts w:ascii="Arial" w:eastAsia="Arial" w:hAnsi="Arial" w:cs="Arial"/>
                                  <w:i/>
                                  <w:sz w:val="18"/>
                                </w:rPr>
                                <w:t xml:space="preserve">articolo 67 bis D.lgs. n. </w:t>
                              </w:r>
                            </w:p>
                          </w:txbxContent>
                        </wps:txbx>
                        <wps:bodyPr horzOverflow="overflow" vert="horz" lIns="0" tIns="0" rIns="0" bIns="0" rtlCol="0">
                          <a:noAutofit/>
                        </wps:bodyPr>
                      </wps:wsp>
                      <wps:wsp>
                        <wps:cNvPr id="14445" name="Rectangle 14445"/>
                        <wps:cNvSpPr/>
                        <wps:spPr>
                          <a:xfrm rot="-10799999">
                            <a:off x="885310" y="3283267"/>
                            <a:ext cx="1779914" cy="142889"/>
                          </a:xfrm>
                          <a:prstGeom prst="rect">
                            <a:avLst/>
                          </a:prstGeom>
                          <a:ln>
                            <a:noFill/>
                          </a:ln>
                        </wps:spPr>
                        <wps:txbx>
                          <w:txbxContent>
                            <w:p w14:paraId="43741F02" w14:textId="77777777" w:rsidR="00B32EF2" w:rsidRDefault="00000000">
                              <w:r>
                                <w:rPr>
                                  <w:rFonts w:ascii="Arial" w:eastAsia="Arial" w:hAnsi="Arial" w:cs="Arial"/>
                                  <w:b/>
                                  <w:sz w:val="18"/>
                                </w:rPr>
                                <w:t xml:space="preserve">Esecuzione provvisoria </w:t>
                              </w:r>
                            </w:p>
                          </w:txbxContent>
                        </wps:txbx>
                        <wps:bodyPr horzOverflow="overflow" vert="horz" lIns="0" tIns="0" rIns="0" bIns="0" rtlCol="0">
                          <a:noAutofit/>
                        </wps:bodyPr>
                      </wps:wsp>
                      <wps:wsp>
                        <wps:cNvPr id="199677" name="Rectangle 199677"/>
                        <wps:cNvSpPr/>
                        <wps:spPr>
                          <a:xfrm rot="-10799999">
                            <a:off x="-1376269" y="3159937"/>
                            <a:ext cx="5308990" cy="142889"/>
                          </a:xfrm>
                          <a:prstGeom prst="rect">
                            <a:avLst/>
                          </a:prstGeom>
                          <a:ln>
                            <a:noFill/>
                          </a:ln>
                        </wps:spPr>
                        <wps:txbx>
                          <w:txbxContent>
                            <w:p w14:paraId="318ED487" w14:textId="77777777" w:rsidR="00B32EF2" w:rsidRDefault="00000000">
                              <w:r>
                                <w:rPr>
                                  <w:rFonts w:ascii="Arial" w:eastAsia="Arial" w:hAnsi="Arial" w:cs="Arial"/>
                                  <w:sz w:val="18"/>
                                </w:rPr>
                                <w:t xml:space="preserve">. Le sentenze emesse dalle corti di giustizia tributaria di primo e secondo </w:t>
                              </w:r>
                            </w:p>
                          </w:txbxContent>
                        </wps:txbx>
                        <wps:bodyPr horzOverflow="overflow" vert="horz" lIns="0" tIns="0" rIns="0" bIns="0" rtlCol="0">
                          <a:noAutofit/>
                        </wps:bodyPr>
                      </wps:wsp>
                      <wps:wsp>
                        <wps:cNvPr id="199676" name="Rectangle 199676"/>
                        <wps:cNvSpPr/>
                        <wps:spPr>
                          <a:xfrm rot="-10799999">
                            <a:off x="2611086" y="3159937"/>
                            <a:ext cx="5308989" cy="142889"/>
                          </a:xfrm>
                          <a:prstGeom prst="rect">
                            <a:avLst/>
                          </a:prstGeom>
                          <a:ln>
                            <a:noFill/>
                          </a:ln>
                        </wps:spPr>
                        <wps:txbx>
                          <w:txbxContent>
                            <w:p w14:paraId="62445C47"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4447" name="Rectangle 14447"/>
                        <wps:cNvSpPr/>
                        <wps:spPr>
                          <a:xfrm rot="-10799999">
                            <a:off x="-488094" y="3036607"/>
                            <a:ext cx="4480000" cy="142889"/>
                          </a:xfrm>
                          <a:prstGeom prst="rect">
                            <a:avLst/>
                          </a:prstGeom>
                          <a:ln>
                            <a:noFill/>
                          </a:ln>
                        </wps:spPr>
                        <wps:txbx>
                          <w:txbxContent>
                            <w:p w14:paraId="364915B1" w14:textId="77777777" w:rsidR="00B32EF2" w:rsidRDefault="00000000">
                              <w:r>
                                <w:rPr>
                                  <w:rFonts w:ascii="Arial" w:eastAsia="Arial" w:hAnsi="Arial" w:cs="Arial"/>
                                  <w:sz w:val="18"/>
                                </w:rPr>
                                <w:t>grado sono esecutive secondo quanto previsto dal presente capo.</w:t>
                              </w:r>
                            </w:p>
                          </w:txbxContent>
                        </wps:txbx>
                        <wps:bodyPr horzOverflow="overflow" vert="horz" lIns="0" tIns="0" rIns="0" bIns="0" rtlCol="0">
                          <a:noAutofit/>
                        </wps:bodyPr>
                      </wps:wsp>
                      <wps:wsp>
                        <wps:cNvPr id="14448" name="Rectangle 14448"/>
                        <wps:cNvSpPr/>
                        <wps:spPr>
                          <a:xfrm rot="-10799999">
                            <a:off x="1457897" y="2789948"/>
                            <a:ext cx="887745" cy="142890"/>
                          </a:xfrm>
                          <a:prstGeom prst="rect">
                            <a:avLst/>
                          </a:prstGeom>
                          <a:ln>
                            <a:noFill/>
                          </a:ln>
                        </wps:spPr>
                        <wps:txbx>
                          <w:txbxContent>
                            <w:p w14:paraId="0EF899F6" w14:textId="77777777" w:rsidR="00B32EF2" w:rsidRDefault="00000000">
                              <w:r>
                                <w:rPr>
                                  <w:rFonts w:ascii="Arial" w:eastAsia="Arial" w:hAnsi="Arial" w:cs="Arial"/>
                                  <w:b/>
                                  <w:sz w:val="18"/>
                                </w:rPr>
                                <w:t>Articolo 126</w:t>
                              </w:r>
                            </w:p>
                          </w:txbxContent>
                        </wps:txbx>
                        <wps:bodyPr horzOverflow="overflow" vert="horz" lIns="0" tIns="0" rIns="0" bIns="0" rtlCol="0">
                          <a:noAutofit/>
                        </wps:bodyPr>
                      </wps:wsp>
                      <wps:wsp>
                        <wps:cNvPr id="199672" name="Rectangle 199672"/>
                        <wps:cNvSpPr/>
                        <wps:spPr>
                          <a:xfrm rot="-10799999">
                            <a:off x="2402113" y="2666619"/>
                            <a:ext cx="3350377" cy="142889"/>
                          </a:xfrm>
                          <a:prstGeom prst="rect">
                            <a:avLst/>
                          </a:prstGeom>
                          <a:ln>
                            <a:noFill/>
                          </a:ln>
                        </wps:spPr>
                        <wps:txbx>
                          <w:txbxContent>
                            <w:p w14:paraId="4988579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9674" name="Rectangle 199674"/>
                        <wps:cNvSpPr/>
                        <wps:spPr>
                          <a:xfrm rot="-10799999">
                            <a:off x="280145" y="2666618"/>
                            <a:ext cx="3350377" cy="142889"/>
                          </a:xfrm>
                          <a:prstGeom prst="rect">
                            <a:avLst/>
                          </a:prstGeom>
                          <a:ln>
                            <a:noFill/>
                          </a:ln>
                        </wps:spPr>
                        <wps:txbx>
                          <w:txbxContent>
                            <w:p w14:paraId="6BE8E7D2" w14:textId="77777777" w:rsidR="00B32EF2" w:rsidRDefault="00000000">
                              <w:r>
                                <w:rPr>
                                  <w:rFonts w:ascii="Arial" w:eastAsia="Arial" w:hAnsi="Arial" w:cs="Arial"/>
                                  <w:i/>
                                  <w:sz w:val="18"/>
                                </w:rPr>
                                <w:t xml:space="preserve">articoli 68 D.lgs. n. 546/92 e 19 D.lgs. n. </w:t>
                              </w:r>
                            </w:p>
                          </w:txbxContent>
                        </wps:txbx>
                        <wps:bodyPr horzOverflow="overflow" vert="horz" lIns="0" tIns="0" rIns="0" bIns="0" rtlCol="0">
                          <a:noAutofit/>
                        </wps:bodyPr>
                      </wps:wsp>
                      <wps:wsp>
                        <wps:cNvPr id="199673" name="Rectangle 199673"/>
                        <wps:cNvSpPr/>
                        <wps:spPr>
                          <a:xfrm rot="-10799999">
                            <a:off x="-2203776" y="2666618"/>
                            <a:ext cx="3350377" cy="142889"/>
                          </a:xfrm>
                          <a:prstGeom prst="rect">
                            <a:avLst/>
                          </a:prstGeom>
                          <a:ln>
                            <a:noFill/>
                          </a:ln>
                        </wps:spPr>
                        <wps:txbx>
                          <w:txbxContent>
                            <w:p w14:paraId="1893F521" w14:textId="77777777" w:rsidR="00B32EF2" w:rsidRDefault="00000000">
                              <w:r>
                                <w:rPr>
                                  <w:rFonts w:ascii="Arial" w:eastAsia="Arial" w:hAnsi="Arial" w:cs="Arial"/>
                                  <w:i/>
                                  <w:sz w:val="18"/>
                                </w:rPr>
                                <w:t>472/97)</w:t>
                              </w:r>
                            </w:p>
                          </w:txbxContent>
                        </wps:txbx>
                        <wps:bodyPr horzOverflow="overflow" vert="horz" lIns="0" tIns="0" rIns="0" bIns="0" rtlCol="0">
                          <a:noAutofit/>
                        </wps:bodyPr>
                      </wps:wsp>
                      <wps:wsp>
                        <wps:cNvPr id="14450" name="Rectangle 14450"/>
                        <wps:cNvSpPr/>
                        <wps:spPr>
                          <a:xfrm rot="-10799999">
                            <a:off x="-1003463" y="2543289"/>
                            <a:ext cx="4806431" cy="142889"/>
                          </a:xfrm>
                          <a:prstGeom prst="rect">
                            <a:avLst/>
                          </a:prstGeom>
                          <a:ln>
                            <a:noFill/>
                          </a:ln>
                        </wps:spPr>
                        <wps:txbx>
                          <w:txbxContent>
                            <w:p w14:paraId="61F25653" w14:textId="77777777" w:rsidR="00B32EF2" w:rsidRDefault="00000000">
                              <w:r>
                                <w:rPr>
                                  <w:rFonts w:ascii="Arial" w:eastAsia="Arial" w:hAnsi="Arial" w:cs="Arial"/>
                                  <w:b/>
                                  <w:sz w:val="18"/>
                                </w:rPr>
                                <w:t xml:space="preserve">Pagamento del tributo e delle sanzioni in pendenza del processo </w:t>
                              </w:r>
                            </w:p>
                          </w:txbxContent>
                        </wps:txbx>
                        <wps:bodyPr horzOverflow="overflow" vert="horz" lIns="0" tIns="0" rIns="0" bIns="0" rtlCol="0">
                          <a:noAutofit/>
                        </wps:bodyPr>
                      </wps:wsp>
                      <wps:wsp>
                        <wps:cNvPr id="199671" name="Rectangle 199671"/>
                        <wps:cNvSpPr/>
                        <wps:spPr>
                          <a:xfrm rot="-10799999">
                            <a:off x="-1374490" y="2419959"/>
                            <a:ext cx="5307212" cy="142889"/>
                          </a:xfrm>
                          <a:prstGeom prst="rect">
                            <a:avLst/>
                          </a:prstGeom>
                          <a:ln>
                            <a:noFill/>
                          </a:ln>
                        </wps:spPr>
                        <wps:txbx>
                          <w:txbxContent>
                            <w:p w14:paraId="2FF8E191" w14:textId="77777777" w:rsidR="00B32EF2" w:rsidRDefault="00000000">
                              <w:r>
                                <w:rPr>
                                  <w:rFonts w:ascii="Arial" w:eastAsia="Arial" w:hAnsi="Arial" w:cs="Arial"/>
                                  <w:sz w:val="18"/>
                                </w:rPr>
                                <w:t xml:space="preserve">. Anche in deroga a quanto previsto nelle singole leggi d’imposta, nei casi in </w:t>
                              </w:r>
                            </w:p>
                          </w:txbxContent>
                        </wps:txbx>
                        <wps:bodyPr horzOverflow="overflow" vert="horz" lIns="0" tIns="0" rIns="0" bIns="0" rtlCol="0">
                          <a:noAutofit/>
                        </wps:bodyPr>
                      </wps:wsp>
                      <wps:wsp>
                        <wps:cNvPr id="199670" name="Rectangle 199670"/>
                        <wps:cNvSpPr/>
                        <wps:spPr>
                          <a:xfrm rot="-10799999">
                            <a:off x="2611528" y="2419959"/>
                            <a:ext cx="5307212" cy="142889"/>
                          </a:xfrm>
                          <a:prstGeom prst="rect">
                            <a:avLst/>
                          </a:prstGeom>
                          <a:ln>
                            <a:noFill/>
                          </a:ln>
                        </wps:spPr>
                        <wps:txbx>
                          <w:txbxContent>
                            <w:p w14:paraId="5D81E567"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4452" name="Rectangle 14452"/>
                        <wps:cNvSpPr/>
                        <wps:spPr>
                          <a:xfrm rot="-10799999">
                            <a:off x="-1316327" y="2296629"/>
                            <a:ext cx="5307090" cy="142889"/>
                          </a:xfrm>
                          <a:prstGeom prst="rect">
                            <a:avLst/>
                          </a:prstGeom>
                          <a:ln>
                            <a:noFill/>
                          </a:ln>
                        </wps:spPr>
                        <wps:txbx>
                          <w:txbxContent>
                            <w:p w14:paraId="567162EB" w14:textId="77777777" w:rsidR="00B32EF2" w:rsidRDefault="00000000">
                              <w:r>
                                <w:rPr>
                                  <w:rFonts w:ascii="Arial" w:eastAsia="Arial" w:hAnsi="Arial" w:cs="Arial"/>
                                  <w:sz w:val="18"/>
                                </w:rPr>
                                <w:t xml:space="preserve">cui è prevista la riscossione frazionata del tributo oggetto di giudizio davanti </w:t>
                              </w:r>
                            </w:p>
                          </w:txbxContent>
                        </wps:txbx>
                        <wps:bodyPr horzOverflow="overflow" vert="horz" lIns="0" tIns="0" rIns="0" bIns="0" rtlCol="0">
                          <a:noAutofit/>
                        </wps:bodyPr>
                      </wps:wsp>
                      <wps:wsp>
                        <wps:cNvPr id="14453" name="Rectangle 14453"/>
                        <wps:cNvSpPr/>
                        <wps:spPr>
                          <a:xfrm rot="-10799999">
                            <a:off x="-1317252" y="2173300"/>
                            <a:ext cx="5308929" cy="142889"/>
                          </a:xfrm>
                          <a:prstGeom prst="rect">
                            <a:avLst/>
                          </a:prstGeom>
                          <a:ln>
                            <a:noFill/>
                          </a:ln>
                        </wps:spPr>
                        <wps:txbx>
                          <w:txbxContent>
                            <w:p w14:paraId="53342879" w14:textId="77777777" w:rsidR="00B32EF2" w:rsidRDefault="00000000">
                              <w:r>
                                <w:rPr>
                                  <w:rFonts w:ascii="Arial" w:eastAsia="Arial" w:hAnsi="Arial" w:cs="Arial"/>
                                  <w:sz w:val="18"/>
                                </w:rPr>
                                <w:t xml:space="preserve">alle corti di giustizia tributaria, il tributo, con i relativi interessi previsti dalle leggi </w:t>
                              </w:r>
                            </w:p>
                          </w:txbxContent>
                        </wps:txbx>
                        <wps:bodyPr horzOverflow="overflow" vert="horz" lIns="0" tIns="0" rIns="0" bIns="0" rtlCol="0">
                          <a:noAutofit/>
                        </wps:bodyPr>
                      </wps:wsp>
                      <wps:wsp>
                        <wps:cNvPr id="14454" name="Rectangle 14454"/>
                        <wps:cNvSpPr/>
                        <wps:spPr>
                          <a:xfrm rot="-10799999">
                            <a:off x="2177359" y="2049970"/>
                            <a:ext cx="1813404" cy="142889"/>
                          </a:xfrm>
                          <a:prstGeom prst="rect">
                            <a:avLst/>
                          </a:prstGeom>
                          <a:ln>
                            <a:noFill/>
                          </a:ln>
                        </wps:spPr>
                        <wps:txbx>
                          <w:txbxContent>
                            <w:p w14:paraId="3F65D589" w14:textId="77777777" w:rsidR="00B32EF2" w:rsidRDefault="00000000">
                              <w:r>
                                <w:rPr>
                                  <w:rFonts w:ascii="Arial" w:eastAsia="Arial" w:hAnsi="Arial" w:cs="Arial"/>
                                  <w:sz w:val="18"/>
                                </w:rPr>
                                <w:t>fiscali, deve essere pagato:</w:t>
                              </w:r>
                            </w:p>
                          </w:txbxContent>
                        </wps:txbx>
                        <wps:bodyPr horzOverflow="overflow" vert="horz" lIns="0" tIns="0" rIns="0" bIns="0" rtlCol="0">
                          <a:noAutofit/>
                        </wps:bodyPr>
                      </wps:wsp>
                      <wps:wsp>
                        <wps:cNvPr id="14455" name="Rectangle 14455"/>
                        <wps:cNvSpPr/>
                        <wps:spPr>
                          <a:xfrm rot="-10799999">
                            <a:off x="-1316479" y="1926640"/>
                            <a:ext cx="5307243" cy="142889"/>
                          </a:xfrm>
                          <a:prstGeom prst="rect">
                            <a:avLst/>
                          </a:prstGeom>
                          <a:ln>
                            <a:noFill/>
                          </a:ln>
                        </wps:spPr>
                        <wps:txbx>
                          <w:txbxContent>
                            <w:p w14:paraId="4B2A68FB" w14:textId="77777777" w:rsidR="00B32EF2" w:rsidRDefault="00000000">
                              <w:r>
                                <w:rPr>
                                  <w:rFonts w:ascii="Arial" w:eastAsia="Arial" w:hAnsi="Arial" w:cs="Arial"/>
                                  <w:sz w:val="18"/>
                                </w:rPr>
                                <w:t xml:space="preserve">a) per i due terzi, dopo la sentenza della corte di giustizia tributaria di primo </w:t>
                              </w:r>
                            </w:p>
                          </w:txbxContent>
                        </wps:txbx>
                        <wps:bodyPr horzOverflow="overflow" vert="horz" lIns="0" tIns="0" rIns="0" bIns="0" rtlCol="0">
                          <a:noAutofit/>
                        </wps:bodyPr>
                      </wps:wsp>
                      <wps:wsp>
                        <wps:cNvPr id="14456" name="Rectangle 14456"/>
                        <wps:cNvSpPr/>
                        <wps:spPr>
                          <a:xfrm rot="-10799999">
                            <a:off x="2058221" y="1803311"/>
                            <a:ext cx="1932542" cy="142889"/>
                          </a:xfrm>
                          <a:prstGeom prst="rect">
                            <a:avLst/>
                          </a:prstGeom>
                          <a:ln>
                            <a:noFill/>
                          </a:ln>
                        </wps:spPr>
                        <wps:txbx>
                          <w:txbxContent>
                            <w:p w14:paraId="66400DEB" w14:textId="77777777" w:rsidR="00B32EF2" w:rsidRDefault="00000000">
                              <w:r>
                                <w:rPr>
                                  <w:rFonts w:ascii="Arial" w:eastAsia="Arial" w:hAnsi="Arial" w:cs="Arial"/>
                                  <w:sz w:val="18"/>
                                </w:rPr>
                                <w:t>grado che respinge il ricorso;</w:t>
                              </w:r>
                            </w:p>
                          </w:txbxContent>
                        </wps:txbx>
                        <wps:bodyPr horzOverflow="overflow" vert="horz" lIns="0" tIns="0" rIns="0" bIns="0" rtlCol="0">
                          <a:noAutofit/>
                        </wps:bodyPr>
                      </wps:wsp>
                      <wps:wsp>
                        <wps:cNvPr id="14457" name="Rectangle 14457"/>
                        <wps:cNvSpPr/>
                        <wps:spPr>
                          <a:xfrm rot="-10799999">
                            <a:off x="-1316418" y="1679981"/>
                            <a:ext cx="5307182" cy="142889"/>
                          </a:xfrm>
                          <a:prstGeom prst="rect">
                            <a:avLst/>
                          </a:prstGeom>
                          <a:ln>
                            <a:noFill/>
                          </a:ln>
                        </wps:spPr>
                        <wps:txbx>
                          <w:txbxContent>
                            <w:p w14:paraId="645E7AFE" w14:textId="77777777" w:rsidR="00B32EF2" w:rsidRDefault="00000000">
                              <w:r>
                                <w:rPr>
                                  <w:rFonts w:ascii="Arial" w:eastAsia="Arial" w:hAnsi="Arial" w:cs="Arial"/>
                                  <w:sz w:val="18"/>
                                </w:rPr>
                                <w:t xml:space="preserve">b) per l’ammontare risultante dalla sentenza della corte di giustizia tributaria di </w:t>
                              </w:r>
                            </w:p>
                          </w:txbxContent>
                        </wps:txbx>
                        <wps:bodyPr horzOverflow="overflow" vert="horz" lIns="0" tIns="0" rIns="0" bIns="0" rtlCol="0">
                          <a:noAutofit/>
                        </wps:bodyPr>
                      </wps:wsp>
                      <wps:wsp>
                        <wps:cNvPr id="14458" name="Rectangle 14458"/>
                        <wps:cNvSpPr/>
                        <wps:spPr>
                          <a:xfrm rot="-10799999">
                            <a:off x="-1221437" y="1556651"/>
                            <a:ext cx="5212200" cy="142889"/>
                          </a:xfrm>
                          <a:prstGeom prst="rect">
                            <a:avLst/>
                          </a:prstGeom>
                          <a:ln>
                            <a:noFill/>
                          </a:ln>
                        </wps:spPr>
                        <wps:txbx>
                          <w:txbxContent>
                            <w:p w14:paraId="2226D835" w14:textId="77777777" w:rsidR="00B32EF2" w:rsidRDefault="00000000">
                              <w:r>
                                <w:rPr>
                                  <w:rFonts w:ascii="Arial" w:eastAsia="Arial" w:hAnsi="Arial" w:cs="Arial"/>
                                  <w:sz w:val="18"/>
                                </w:rPr>
                                <w:t>primo grado, e comunque non oltre i due terzi, se la stessa accoglie parzialmen</w:t>
                              </w:r>
                            </w:p>
                          </w:txbxContent>
                        </wps:txbx>
                        <wps:bodyPr horzOverflow="overflow" vert="horz" lIns="0" tIns="0" rIns="0" bIns="0" rtlCol="0">
                          <a:noAutofit/>
                        </wps:bodyPr>
                      </wps:wsp>
                      <wps:wsp>
                        <wps:cNvPr id="14459" name="Rectangle 14459"/>
                        <wps:cNvSpPr/>
                        <wps:spPr>
                          <a:xfrm rot="-10799999">
                            <a:off x="19307" y="1556652"/>
                            <a:ext cx="50622" cy="142889"/>
                          </a:xfrm>
                          <a:prstGeom prst="rect">
                            <a:avLst/>
                          </a:prstGeom>
                          <a:ln>
                            <a:noFill/>
                          </a:ln>
                        </wps:spPr>
                        <wps:txbx>
                          <w:txbxContent>
                            <w:p w14:paraId="2859BF3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460" name="Rectangle 14460"/>
                        <wps:cNvSpPr/>
                        <wps:spPr>
                          <a:xfrm rot="-10799999">
                            <a:off x="3181610" y="1433322"/>
                            <a:ext cx="809152" cy="142889"/>
                          </a:xfrm>
                          <a:prstGeom prst="rect">
                            <a:avLst/>
                          </a:prstGeom>
                          <a:ln>
                            <a:noFill/>
                          </a:ln>
                        </wps:spPr>
                        <wps:txbx>
                          <w:txbxContent>
                            <w:p w14:paraId="7B288A25" w14:textId="77777777" w:rsidR="00B32EF2" w:rsidRDefault="00000000">
                              <w:r>
                                <w:rPr>
                                  <w:rFonts w:ascii="Arial" w:eastAsia="Arial" w:hAnsi="Arial" w:cs="Arial"/>
                                  <w:sz w:val="18"/>
                                </w:rPr>
                                <w:t xml:space="preserve">te il ricorso; </w:t>
                              </w:r>
                            </w:p>
                          </w:txbxContent>
                        </wps:txbx>
                        <wps:bodyPr horzOverflow="overflow" vert="horz" lIns="0" tIns="0" rIns="0" bIns="0" rtlCol="0">
                          <a:noAutofit/>
                        </wps:bodyPr>
                      </wps:wsp>
                      <wps:wsp>
                        <wps:cNvPr id="14461" name="Rectangle 14461"/>
                        <wps:cNvSpPr/>
                        <wps:spPr>
                          <a:xfrm rot="-10799999">
                            <a:off x="-1316449" y="1309992"/>
                            <a:ext cx="5307212" cy="142889"/>
                          </a:xfrm>
                          <a:prstGeom prst="rect">
                            <a:avLst/>
                          </a:prstGeom>
                          <a:ln>
                            <a:noFill/>
                          </a:ln>
                        </wps:spPr>
                        <wps:txbx>
                          <w:txbxContent>
                            <w:p w14:paraId="456BC505" w14:textId="77777777" w:rsidR="00B32EF2" w:rsidRDefault="00000000">
                              <w:r>
                                <w:rPr>
                                  <w:rFonts w:ascii="Arial" w:eastAsia="Arial" w:hAnsi="Arial" w:cs="Arial"/>
                                  <w:sz w:val="18"/>
                                </w:rPr>
                                <w:t xml:space="preserve">c) per il residuo ammontare determinato nella sentenza della corte di giustizia </w:t>
                              </w:r>
                            </w:p>
                          </w:txbxContent>
                        </wps:txbx>
                        <wps:bodyPr horzOverflow="overflow" vert="horz" lIns="0" tIns="0" rIns="0" bIns="0" rtlCol="0">
                          <a:noAutofit/>
                        </wps:bodyPr>
                      </wps:wsp>
                      <wps:wsp>
                        <wps:cNvPr id="14462" name="Rectangle 14462"/>
                        <wps:cNvSpPr/>
                        <wps:spPr>
                          <a:xfrm rot="-10799999">
                            <a:off x="2123314" y="1186663"/>
                            <a:ext cx="1867447" cy="142889"/>
                          </a:xfrm>
                          <a:prstGeom prst="rect">
                            <a:avLst/>
                          </a:prstGeom>
                          <a:ln>
                            <a:noFill/>
                          </a:ln>
                        </wps:spPr>
                        <wps:txbx>
                          <w:txbxContent>
                            <w:p w14:paraId="01009F07" w14:textId="77777777" w:rsidR="00B32EF2" w:rsidRDefault="00000000">
                              <w:r>
                                <w:rPr>
                                  <w:rFonts w:ascii="Arial" w:eastAsia="Arial" w:hAnsi="Arial" w:cs="Arial"/>
                                  <w:sz w:val="18"/>
                                </w:rPr>
                                <w:t xml:space="preserve">tributaria di secondo grado; </w:t>
                              </w:r>
                            </w:p>
                          </w:txbxContent>
                        </wps:txbx>
                        <wps:bodyPr horzOverflow="overflow" vert="horz" lIns="0" tIns="0" rIns="0" bIns="0" rtlCol="0">
                          <a:noAutofit/>
                        </wps:bodyPr>
                      </wps:wsp>
                      <wps:wsp>
                        <wps:cNvPr id="14463" name="Rectangle 14463"/>
                        <wps:cNvSpPr/>
                        <wps:spPr>
                          <a:xfrm rot="-10799999">
                            <a:off x="-1316373" y="1063333"/>
                            <a:ext cx="5307136" cy="142889"/>
                          </a:xfrm>
                          <a:prstGeom prst="rect">
                            <a:avLst/>
                          </a:prstGeom>
                          <a:ln>
                            <a:noFill/>
                          </a:ln>
                        </wps:spPr>
                        <wps:txbx>
                          <w:txbxContent>
                            <w:p w14:paraId="57136384" w14:textId="77777777" w:rsidR="00B32EF2" w:rsidRDefault="00000000">
                              <w:r>
                                <w:rPr>
                                  <w:rFonts w:ascii="Arial" w:eastAsia="Arial" w:hAnsi="Arial" w:cs="Arial"/>
                                  <w:sz w:val="18"/>
                                </w:rPr>
                                <w:t xml:space="preserve">d) per l’ammontare dovuto nella pendenza del giudizio di primo grado dopo la </w:t>
                              </w:r>
                            </w:p>
                          </w:txbxContent>
                        </wps:txbx>
                        <wps:bodyPr horzOverflow="overflow" vert="horz" lIns="0" tIns="0" rIns="0" bIns="0" rtlCol="0">
                          <a:noAutofit/>
                        </wps:bodyPr>
                      </wps:wsp>
                      <wps:wsp>
                        <wps:cNvPr id="14464" name="Rectangle 14464"/>
                        <wps:cNvSpPr/>
                        <wps:spPr>
                          <a:xfrm rot="-10799999">
                            <a:off x="-1221011" y="940003"/>
                            <a:ext cx="5211774" cy="142889"/>
                          </a:xfrm>
                          <a:prstGeom prst="rect">
                            <a:avLst/>
                          </a:prstGeom>
                          <a:ln>
                            <a:noFill/>
                          </a:ln>
                        </wps:spPr>
                        <wps:txbx>
                          <w:txbxContent>
                            <w:p w14:paraId="5D7B746E" w14:textId="77777777" w:rsidR="00B32EF2" w:rsidRDefault="00000000">
                              <w:r>
                                <w:rPr>
                                  <w:rFonts w:ascii="Arial" w:eastAsia="Arial" w:hAnsi="Arial" w:cs="Arial"/>
                                  <w:sz w:val="18"/>
                                </w:rPr>
                                <w:t>sentenza della Corte di cassazione di annullamento con rinvio e per l’intero im</w:t>
                              </w:r>
                            </w:p>
                          </w:txbxContent>
                        </wps:txbx>
                        <wps:bodyPr horzOverflow="overflow" vert="horz" lIns="0" tIns="0" rIns="0" bIns="0" rtlCol="0">
                          <a:noAutofit/>
                        </wps:bodyPr>
                      </wps:wsp>
                      <wps:wsp>
                        <wps:cNvPr id="14465" name="Rectangle 14465"/>
                        <wps:cNvSpPr/>
                        <wps:spPr>
                          <a:xfrm rot="-10799999">
                            <a:off x="19307" y="940003"/>
                            <a:ext cx="50622" cy="142889"/>
                          </a:xfrm>
                          <a:prstGeom prst="rect">
                            <a:avLst/>
                          </a:prstGeom>
                          <a:ln>
                            <a:noFill/>
                          </a:ln>
                        </wps:spPr>
                        <wps:txbx>
                          <w:txbxContent>
                            <w:p w14:paraId="67622F5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466" name="Rectangle 14466"/>
                        <wps:cNvSpPr/>
                        <wps:spPr>
                          <a:xfrm rot="-10799999">
                            <a:off x="262192" y="816673"/>
                            <a:ext cx="3728570" cy="142889"/>
                          </a:xfrm>
                          <a:prstGeom prst="rect">
                            <a:avLst/>
                          </a:prstGeom>
                          <a:ln>
                            <a:noFill/>
                          </a:ln>
                        </wps:spPr>
                        <wps:txbx>
                          <w:txbxContent>
                            <w:p w14:paraId="2C92FD58" w14:textId="77777777" w:rsidR="00B32EF2" w:rsidRDefault="00000000">
                              <w:r>
                                <w:rPr>
                                  <w:rFonts w:ascii="Arial" w:eastAsia="Arial" w:hAnsi="Arial" w:cs="Arial"/>
                                  <w:sz w:val="18"/>
                                </w:rPr>
                                <w:t xml:space="preserve">porto indicato nell’atto in caso di mancata riassunzione. </w:t>
                              </w:r>
                            </w:p>
                          </w:txbxContent>
                        </wps:txbx>
                        <wps:bodyPr horzOverflow="overflow" vert="horz" lIns="0" tIns="0" rIns="0" bIns="0" rtlCol="0">
                          <a:noAutofit/>
                        </wps:bodyPr>
                      </wps:wsp>
                      <wps:wsp>
                        <wps:cNvPr id="14467" name="Rectangle 14467"/>
                        <wps:cNvSpPr/>
                        <wps:spPr>
                          <a:xfrm rot="-10799999">
                            <a:off x="-1316282" y="693344"/>
                            <a:ext cx="5307045" cy="142889"/>
                          </a:xfrm>
                          <a:prstGeom prst="rect">
                            <a:avLst/>
                          </a:prstGeom>
                          <a:ln>
                            <a:noFill/>
                          </a:ln>
                        </wps:spPr>
                        <wps:txbx>
                          <w:txbxContent>
                            <w:p w14:paraId="14E72661" w14:textId="77777777" w:rsidR="00B32EF2" w:rsidRDefault="00000000">
                              <w:r>
                                <w:rPr>
                                  <w:rFonts w:ascii="Arial" w:eastAsia="Arial" w:hAnsi="Arial" w:cs="Arial"/>
                                  <w:sz w:val="18"/>
                                </w:rPr>
                                <w:t xml:space="preserve">Per le ipotesi indicate nelle precedenti lettere gli importi da versare vanno in ogni </w:t>
                              </w:r>
                            </w:p>
                          </w:txbxContent>
                        </wps:txbx>
                        <wps:bodyPr horzOverflow="overflow" vert="horz" lIns="0" tIns="0" rIns="0" bIns="0" rtlCol="0">
                          <a:noAutofit/>
                        </wps:bodyPr>
                      </wps:wsp>
                      <wps:wsp>
                        <wps:cNvPr id="14468" name="Rectangle 14468"/>
                        <wps:cNvSpPr/>
                        <wps:spPr>
                          <a:xfrm rot="-10799999">
                            <a:off x="1318207" y="570014"/>
                            <a:ext cx="2672555" cy="142889"/>
                          </a:xfrm>
                          <a:prstGeom prst="rect">
                            <a:avLst/>
                          </a:prstGeom>
                          <a:ln>
                            <a:noFill/>
                          </a:ln>
                        </wps:spPr>
                        <wps:txbx>
                          <w:txbxContent>
                            <w:p w14:paraId="6A4ED6D7" w14:textId="77777777" w:rsidR="00B32EF2" w:rsidRDefault="00000000">
                              <w:r>
                                <w:rPr>
                                  <w:rFonts w:ascii="Arial" w:eastAsia="Arial" w:hAnsi="Arial" w:cs="Arial"/>
                                  <w:sz w:val="18"/>
                                </w:rPr>
                                <w:t xml:space="preserve">caso diminuiti di quanto già corrisposto. </w:t>
                              </w:r>
                            </w:p>
                          </w:txbxContent>
                        </wps:txbx>
                        <wps:bodyPr horzOverflow="overflow" vert="horz" lIns="0" tIns="0" rIns="0" bIns="0" rtlCol="0">
                          <a:noAutofit/>
                        </wps:bodyPr>
                      </wps:wsp>
                      <wps:wsp>
                        <wps:cNvPr id="199660" name="Rectangle 199660"/>
                        <wps:cNvSpPr/>
                        <wps:spPr>
                          <a:xfrm rot="-10799999">
                            <a:off x="-1378341" y="446684"/>
                            <a:ext cx="5300203" cy="142889"/>
                          </a:xfrm>
                          <a:prstGeom prst="rect">
                            <a:avLst/>
                          </a:prstGeom>
                          <a:ln>
                            <a:noFill/>
                          </a:ln>
                        </wps:spPr>
                        <wps:txbx>
                          <w:txbxContent>
                            <w:p w14:paraId="02700EC8" w14:textId="77777777" w:rsidR="00B32EF2" w:rsidRDefault="00000000">
                              <w:r>
                                <w:rPr>
                                  <w:rFonts w:ascii="Arial" w:eastAsia="Arial" w:hAnsi="Arial" w:cs="Arial"/>
                                  <w:sz w:val="18"/>
                                </w:rPr>
                                <w:t xml:space="preserve">. Se il ricorso viene accolto, il tributo corrisposto in eccedenza rispetto a quanto </w:t>
                              </w:r>
                            </w:p>
                          </w:txbxContent>
                        </wps:txbx>
                        <wps:bodyPr horzOverflow="overflow" vert="horz" lIns="0" tIns="0" rIns="0" bIns="0" rtlCol="0">
                          <a:noAutofit/>
                        </wps:bodyPr>
                      </wps:wsp>
                      <wps:wsp>
                        <wps:cNvPr id="199657" name="Rectangle 199657"/>
                        <wps:cNvSpPr/>
                        <wps:spPr>
                          <a:xfrm rot="-10799999">
                            <a:off x="2613266" y="446684"/>
                            <a:ext cx="5300204" cy="142889"/>
                          </a:xfrm>
                          <a:prstGeom prst="rect">
                            <a:avLst/>
                          </a:prstGeom>
                          <a:ln>
                            <a:noFill/>
                          </a:ln>
                        </wps:spPr>
                        <wps:txbx>
                          <w:txbxContent>
                            <w:p w14:paraId="6434F1FE"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7712" name="Shape 207712"/>
                        <wps:cNvSpPr/>
                        <wps:spPr>
                          <a:xfrm>
                            <a:off x="38483" y="5738195"/>
                            <a:ext cx="3960000" cy="383299"/>
                          </a:xfrm>
                          <a:custGeom>
                            <a:avLst/>
                            <a:gdLst/>
                            <a:ahLst/>
                            <a:cxnLst/>
                            <a:rect l="0" t="0" r="0" b="0"/>
                            <a:pathLst>
                              <a:path w="3960000" h="383299">
                                <a:moveTo>
                                  <a:pt x="0" y="0"/>
                                </a:moveTo>
                                <a:lnTo>
                                  <a:pt x="3960000" y="0"/>
                                </a:lnTo>
                                <a:lnTo>
                                  <a:pt x="3960000" y="383299"/>
                                </a:lnTo>
                                <a:lnTo>
                                  <a:pt x="0" y="383299"/>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4471" name="Rectangle 14471"/>
                        <wps:cNvSpPr/>
                        <wps:spPr>
                          <a:xfrm rot="-10799999">
                            <a:off x="2335467" y="5900265"/>
                            <a:ext cx="1585695" cy="142889"/>
                          </a:xfrm>
                          <a:prstGeom prst="rect">
                            <a:avLst/>
                          </a:prstGeom>
                          <a:ln>
                            <a:noFill/>
                          </a:ln>
                        </wps:spPr>
                        <wps:txbx>
                          <w:txbxContent>
                            <w:p w14:paraId="1EE138AA"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4472" name="Rectangle 14472"/>
                        <wps:cNvSpPr/>
                        <wps:spPr>
                          <a:xfrm rot="-10799999">
                            <a:off x="1452955" y="5776936"/>
                            <a:ext cx="2467178" cy="142889"/>
                          </a:xfrm>
                          <a:prstGeom prst="rect">
                            <a:avLst/>
                          </a:prstGeom>
                          <a:ln>
                            <a:noFill/>
                          </a:ln>
                        </wps:spPr>
                        <wps:txbx>
                          <w:txbxContent>
                            <w:p w14:paraId="73139AD5" w14:textId="77777777" w:rsidR="00B32EF2" w:rsidRDefault="00000000">
                              <w:r>
                                <w:rPr>
                                  <w:rFonts w:ascii="Arial" w:eastAsia="Arial" w:hAnsi="Arial" w:cs="Arial"/>
                                  <w:i/>
                                  <w:sz w:val="18"/>
                                </w:rPr>
                                <w:t>art. 395 c.p.c. “Casi di revocazione”.</w:t>
                              </w:r>
                            </w:p>
                          </w:txbxContent>
                        </wps:txbx>
                        <wps:bodyPr horzOverflow="overflow" vert="horz" lIns="0" tIns="0" rIns="0" bIns="0" rtlCol="0">
                          <a:noAutofit/>
                        </wps:bodyPr>
                      </wps:wsp>
                      <wps:wsp>
                        <wps:cNvPr id="14473" name="Shape 14473"/>
                        <wps:cNvSpPr/>
                        <wps:spPr>
                          <a:xfrm>
                            <a:off x="38482" y="5738198"/>
                            <a:ext cx="3960000" cy="383298"/>
                          </a:xfrm>
                          <a:custGeom>
                            <a:avLst/>
                            <a:gdLst/>
                            <a:ahLst/>
                            <a:cxnLst/>
                            <a:rect l="0" t="0" r="0" b="0"/>
                            <a:pathLst>
                              <a:path w="3960000" h="383298">
                                <a:moveTo>
                                  <a:pt x="0" y="383298"/>
                                </a:moveTo>
                                <a:lnTo>
                                  <a:pt x="3960000" y="383298"/>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E2F6840" id="Group 199751" o:spid="_x0000_s1302" style="width:314.85pt;height:493.15pt;mso-position-horizontal-relative:char;mso-position-vertical-relative:line" coordsize="39984,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DbIAsAABpxAAAOAAAAZHJzL2Uyb0RvYy54bWzkXetu47gZ/V+g72D4vyfiRRQVTGZRzHYH&#10;BYruYnf7AIojxwZky5A0k0yfvucjJcoXzmQqAWFQOkCi0DQt8fB8N34k3//0vK8WX8qm3dWHuyV7&#10;lywX5WFdP+wOj3fLf//5y0ovF21XHB6Kqj6Ud8uvZbv86cNf//L+6Xhb8npbVw9ls0Ajh/b26Xi3&#10;3Hbd8fbmpl1vy33RvquP5QFvbupmX3T4t3m8eWiKJ7S+r254kqibp7p5ODb1umxblP5s31x+MO1v&#10;NuW6+3WzactuUd0tcW+d+d2Y3/f0++bD++L2sSmO2926v41iwl3si90BX+qa+rnoisXnZnfV1H63&#10;buq23nTv1vX+pt5sduvSPAOehiUXT/OpqT8fzbM83j49Hl03oWsv+mlys+t/ffnUHP84/tagJ56O&#10;j+gL8x89y/Om2dNf3OXi2XTZV9dl5XO3WKNQ5LmWWiwXa7ynuOI6lbZT11v0/NXn1tu/v/DJm+GL&#10;b85u5+mIAdKOfdDO64M/tsWxNF3b3qIPfmsWuweMXyk5Buyh2GOo/o7BUxweq3Jhi00Hmdquu9rb&#10;Fj039NWiqTG+VizJcnqZ8dD3HdMyZYovF+illeIs70fe0I1cZWna9yJPEyUVdaLriuL22LTdp7Le&#10;L+jibtng3kz7xZd/tp2tOlSh26kO9PtQ/7KrKvsulaBHhzumq+75/tk8NlcGMyq7rx++ojO2dfOf&#10;X0HrTVU/3S3r/mpJTMe307vLRfWPA0AgUg0XzXBxP1w0XfWxNtSz9/O3z1292ZkbHr+tvzGgS0Pw&#10;lWDO/TDn1O90ExgU/zvMHMNHy8zArBjLc9uxxe2AM0uV4FpZujDUtgPh9YBOh+eLBWiBAerhM4rn&#10;AM0U0yoFjuBzKrJcZ4zaG4FWPNf01SQWCWdtBtbr4Wzkx0ix/39CC+bH2eAymdAroRMpepyZEJzx&#10;c5yFFkJnMhzQ2TCOoyE0tKiP0AaYyUDnPOEcOoH4nCS51hc4syxlIj8R3K9NaB0dzjCHfDiLoSMm&#10;aWgm0ww8NkDLDMqYm/ZGwQ2NDFMtHJ+dARIHn2EikfdwBbQtn6OiOVcsY7DmQWmpRK7zC6Q5DO2c&#10;pcGgzpwJEg/UUJReqJ3/MYnU8KgUI9K+WaidFRIP1CCWF2rngUyCmiWCscQaZG+T1c4OiQNqKYUP&#10;aVM8R3ybMEqa9fIbwZP00peWOTzpBBUC+ViZs0TiQJpUss/JsuVzsIb0ZgwGtZHfIhdc9DHEIWyS&#10;iiRPBOIqoaB2+ikeqH1uFkHt5Nsk+b1iIlMI3L+EdThPK3MKKg6sIalBrCtVbYrnkHrFOIeytsFQ&#10;yVUOx+o8dpIimiJCsjq+IJl/ckO44MIkTrNc8t74NjAbAo0eNaYzOIRJKNEdX4DMP7UhXGRhEsgQ&#10;3EzlNHVBThaTKrWC8gRnUtJkmodC2o3iWAS39M9toHie4D5FOuGCy0tGh0baDeVokPYZ3lJKF1eY&#10;zOksYZbTQmPOGuEwDJ0LTpODF4jT2g3laJD22d1Aep7ZzTKpM5q+gPAWWaZSfQE059LEwoMB7UZy&#10;NED7wt4A2kUVJlEa8xs6Sa0rLVKe59wYuSOjNV6kN0IR2o3jOHCGx0wxrCv3ypbPUdOYvuApjDpD&#10;aZmoFPQ+k92cgfESFUJB7UZyPFD7TG+C2hksk0i9SrXOEutJizcJdYTxMZ/tTfExZ7FMgpolTKKR&#10;l1gdLuptDYeYMovg/VzLbyhqY0FNTjjROhXMhkGRESiQAHouvVmGLFIWLrEInn6vneKR3r44KElv&#10;F0KaRGkb8la9pmZpniPmeaapMb0B5yugUeYeMB6s4Qt5jTI37CdhTTNZSR8kE9+Emqa6Qhll8QXJ&#10;fKyG+HZjfhLQK6l1kkM8k0OdCKVgnp1xWkqd4BUOaGdyxsFpIOrzs0xxr8gmAU0Jgzq3tjfHVY6v&#10;OQMapnlGJsJA6FfO6LdfF489RvrYFyKz5XOQ5jLhjNnUUK7wYoZCY+hEiBRJCBgKA9SvnAOcRxYj&#10;I0i/kTCI8llQa7hZ4CyEt0X6gtPBkY4wSuYLh9IIcFGkSeJ7RUkICHi/YazdA8aiqFNf6AT+9LzI&#10;CRIGE4GUUIt0iukMK55H+Q2LTElaJxRKfjuhFQfSxF7fvKUtnyO/yaWWkjxmkuASCy0x5XFmlcGl&#10;zmixVjCsXXQoHqx9tCas5/GaXOqUVmW/WahdyCAOqCGpfQa4KZ5JaoYFWb2rxXOFNbTXpEaOUThS&#10;u5hBNEj7rDIg7WyWaUYZcskyTF9aTrNMCARKLsW3zmk9ZihVHV2YDNt2XAdEgbSzWSYhjTnoTPTp&#10;CDyReW6VwWiTMc0woxlumgPbdPQyKxpK+6ezUmewTALapIdKzHOTmmbIOlE2C3FE2lhkyG4JROle&#10;xMQTKAN3fXMcpniOmuZJqnmf7810IrAe71x2MyzgSZGvFgzoyMJkQNQ/xYHiOUBbSvcrqBlyWHIs&#10;/7rU0lhhHRDpyMJkQNo/x4HieUiD0GYZEAnvNFUKi6nPkYYvbVZthbHHMMM2PGA0ahqq9GqCGgPA&#10;2SuT1DRkc59HZmE2BDrR0SGX6gi7PiwmDa18IRMpUTyHzgJGtepzi0Br7Fp0ATNmrhFSCaegnakZ&#10;C5mVLwwKnJ2lMonMVkFThi+JbazJQbb3hdgOGwUVWA3WD+RokAatPGIbWz/OYbRZKEvJgAQ0dp5T&#10;mOY4088oQ0A82NQ0KZXYgPZHxiwwk7NCDaUF5jwN0omC8L5AmtxoRjvShbLEnKkZDaX9kbFxz9SJ&#10;whs2dwLfmZDOJVLFLoFGMgoyi8IB7SzNaID2R8aUM1cmAT2a3F6Ug1rcMBJjE9v+mJhyhsokjLHv&#10;NWKehsowvfucldGtEhm2xUbkO5TMthG6qBwrf0TMLrKYp505Bbwgs1UuhDSzIyPQpJyxfWQ4oJ2Z&#10;GY3M9gfEsIJqjr2N+UnN+0AJiItkwXNzG6t1eIoZk2CEjiwchiwSb6jEls9BGgZ3pgX2USBKwyNX&#10;+gJqUDpBCmE4qN0EbByUBqTe6QxbPgdqJBJhmZ3NBP020uEMbrv3RjRaGvI1owQ9Gy0x53Es+rIX&#10;UaYtSvqTNYQ9fgTsTTOhWW6M9VEjY8/ucRkONmvHjggkyk824l9/tidrUJvDaRo4x+XBnquBsu1w&#10;tX4+DJd0/sZ3j5Q5Fh19jhqlywVO0XC3ssW1vRN6e4/TNf6sTcXu4rgU3OX4bnU4reUaw4MbIx51&#10;hxrD36Np77TmWQcM1Ya/tjqsVDT5wxXPvxs3QU9r+tf1AApP+7g6UGeQMVzgvJ9NVdiDTPa7DgcB&#10;Vbs9IlwcKnds+Orckrb7WpXUYdXh93KDE0zM4TRU0DaP9x+rZvGloDNHzMueklIdt0Vf2sPfVzW3&#10;atqhz29wXIprkpmPnjX5UdBP30JfmT5XmpOG3CcT+8l1fzf2uCEc2oOHHg4dQqe4D5lvrg+d+/wB&#10;RyWZLyFh0D/tKBdo+NJ/r3peijeRFxHHeRFsbP+XShjlNORSbB7Gra890pdhoxoFTgcztJxfGIf2&#10;BaJOJJ+df4TiF6Xy984/Qs5oTgazkdMZfCfTsSPQHMOA0U4pgcKa2Keyf75ogHYBbKt7ccjVj6y1&#10;IWF1onqtL2xVr/G5Rkid4iFIjUIxFSD5hoPFTtXC66pebST0qFyvdN9wq2OVczXpHu7y2YZqw99r&#10;JTxqNqvQz2ta/XtZZ13VbUmC/4cVrFGi31OyVjvaNj2Hg/mUrEcj9kp2aAYq7EqP9tpwmmp+E0rW&#10;nESHA/hM//eHBdIJf6f/G6U8Hmn44b8AAAD//wMAUEsDBBQABgAIAAAAIQAhKbQO3gAAAAUBAAAP&#10;AAAAZHJzL2Rvd25yZXYueG1sTI9Ba8JAEIXvhf6HZQq91U2UphqzEZG2JymoheJtzI5JMDsbsmsS&#10;/323vbSXgcd7vPdNthpNI3rqXG1ZQTyJQBAXVtdcKvg8vD3NQTiPrLGxTApu5GCV399lmGo78I76&#10;vS9FKGGXooLK+zaV0hUVGXQT2xIH72w7gz7IrpS6wyGUm0ZOoyiRBmsOCxW2tKmouOyvRsH7gMN6&#10;Fr/228t5czsenj++tjEp9fgwrpcgPI3+Lww/+AEd8sB0slfWTjQKwiP+9wYvmS5eQJwULObJDGSe&#10;yf/0+TcAAAD//wMAUEsBAi0AFAAGAAgAAAAhALaDOJL+AAAA4QEAABMAAAAAAAAAAAAAAAAAAAAA&#10;AFtDb250ZW50X1R5cGVzXS54bWxQSwECLQAUAAYACAAAACEAOP0h/9YAAACUAQAACwAAAAAAAAAA&#10;AAAAAAAvAQAAX3JlbHMvLnJlbHNQSwECLQAUAAYACAAAACEA2PmQ2yALAAAacQAADgAAAAAAAAAA&#10;AAAAAAAuAgAAZHJzL2Uyb0RvYy54bWxQSwECLQAUAAYACAAAACEAISm0Dt4AAAAFAQAADwAAAAAA&#10;AAAAAAAAAAB6DQAAZHJzL2Rvd25yZXYueG1sUEsFBgAAAAAEAAQA8wAAAIUOAAAAAA==&#10;">
                <v:rect id="Rectangle 14428" o:spid="_x0000_s1303" style="position:absolute;left:18451;top:-621;width:2676;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nopxwAAAN4AAAAPAAAAZHJzL2Rvd25yZXYueG1sRI9Pa8JA&#10;EMXvBb/DMkJvdaNIkdRVxCLNoRf/QY9DdkzSZmeX7GrSfnrnUPA2w3vz3m+W68G16kZdbDwbmE4y&#10;UMSltw1XBk7H3csCVEzIFlvPZOCXIqxXo6cl5tb3vKfbIVVKQjjmaKBOKeRax7Imh3HiA7FoF985&#10;TLJ2lbYd9hLuWj3LslftsGFpqDHQtqby53B1Br7eORS7XpeXv234/C4W7cf1dDbmeTxs3kAlGtLD&#10;/H9dWMGfz2fCK+/IDHp1BwAA//8DAFBLAQItABQABgAIAAAAIQDb4fbL7gAAAIUBAAATAAAAAAAA&#10;AAAAAAAAAAAAAABbQ29udGVudF9UeXBlc10ueG1sUEsBAi0AFAAGAAgAAAAhAFr0LFu/AAAAFQEA&#10;AAsAAAAAAAAAAAAAAAAAHwEAAF9yZWxzLy5yZWxzUEsBAi0AFAAGAAgAAAAhAGgmeinHAAAA3gAA&#10;AA8AAAAAAAAAAAAAAAAABwIAAGRycy9kb3ducmV2LnhtbFBLBQYAAAAAAwADALcAAAD7AgAAAAA=&#10;" filled="f" stroked="f">
                  <v:textbox inset="0,0,0,0">
                    <w:txbxContent>
                      <w:p w14:paraId="72D68D44" w14:textId="77777777" w:rsidR="00B32EF2" w:rsidRDefault="00000000">
                        <w:r>
                          <w:rPr>
                            <w:rFonts w:ascii="Times New Roman" w:eastAsia="Times New Roman" w:hAnsi="Times New Roman" w:cs="Times New Roman"/>
                          </w:rPr>
                          <w:t>102</w:t>
                        </w:r>
                      </w:p>
                    </w:txbxContent>
                  </v:textbox>
                </v:rect>
                <v:rect id="Rectangle 14429" o:spid="_x0000_s1304" style="position:absolute;left:24288;top:61199;width:156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t+yxAAAAN4AAAAPAAAAZHJzL2Rvd25yZXYueG1sRE9Ni8Iw&#10;EL0v+B/CCN40VWRxu0YRRezBy6oLexyasa02k9BEW/31mwVhb/N4nzNfdqYWd2p8ZVnBeJSAIM6t&#10;rrhQcDpuhzMQPiBrrC2Tggd5WC56b3NMtW35i+6HUIgYwj5FBWUILpXS5yUZ9CPriCN3to3BEGFT&#10;SN1gG8NNLSdJ8i4NVhwbSnS0Lim/Hm5Gwc+GXbZtZX5+rt3+ks3q3e30rdSg360+QQTqwr/45c50&#10;nD+dTj7g7514g1z8AgAA//8DAFBLAQItABQABgAIAAAAIQDb4fbL7gAAAIUBAAATAAAAAAAAAAAA&#10;AAAAAAAAAABbQ29udGVudF9UeXBlc10ueG1sUEsBAi0AFAAGAAgAAAAhAFr0LFu/AAAAFQEAAAsA&#10;AAAAAAAAAAAAAAAAHwEAAF9yZWxzLy5yZWxzUEsBAi0AFAAGAAgAAAAhAAdq37LEAAAA3gAAAA8A&#10;AAAAAAAAAAAAAAAABwIAAGRycy9kb3ducmV2LnhtbFBLBQYAAAAAAwADALcAAAD4AgAAAAA=&#10;" filled="f" stroked="f">
                  <v:textbox inset="0,0,0,0">
                    <w:txbxContent>
                      <w:p w14:paraId="28778D60" w14:textId="77777777" w:rsidR="00B32EF2" w:rsidRDefault="00000000">
                        <w:r>
                          <w:rPr>
                            <w:rFonts w:ascii="Arial" w:eastAsia="Arial" w:hAnsi="Arial" w:cs="Arial"/>
                            <w:sz w:val="18"/>
                          </w:rPr>
                          <w:t>gnata per revocazione.</w:t>
                        </w:r>
                      </w:p>
                    </w:txbxContent>
                  </v:textbox>
                </v:rect>
                <v:rect id="Rectangle 14430" o:spid="_x0000_s1305" style="position:absolute;left:16186;top:53798;width:62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eDyxwAAAN4AAAAPAAAAZHJzL2Rvd25yZXYueG1sRI9Ba8JA&#10;EIXvQv/DMoXedFMrIqmrFIuYg5eqhR6H7Jikzc4u2dWk/fXOoeBthnnz3vuW68G16kpdbDwbeJ5k&#10;oIhLbxuuDJyO2/ECVEzIFlvPZOCXIqxXD6Ml5tb3/EHXQ6qUmHDM0UCdUsi1jmVNDuPEB2K5nX3n&#10;MMnaVdp22Iu5a/U0y+baYcOSUGOgTU3lz+HiDHy9cyi2vS7Pf5uw/y4W7e5y+jTm6XF4ewWVaEh3&#10;8f93YaX+bPYiAIIjM+jVDQAA//8DAFBLAQItABQABgAIAAAAIQDb4fbL7gAAAIUBAAATAAAAAAAA&#10;AAAAAAAAAAAAAABbQ29udGVudF9UeXBlc10ueG1sUEsBAi0AFAAGAAgAAAAhAFr0LFu/AAAAFQEA&#10;AAsAAAAAAAAAAAAAAAAAHwEAAF9yZWxzLy5yZWxzUEsBAi0AFAAGAAgAAAAhABOJ4PLHAAAA3gAA&#10;AA8AAAAAAAAAAAAAAAAABwIAAGRycy9kb3ducmV2LnhtbFBLBQYAAAAAAwADALcAAAD7AgAAAAA=&#10;" filled="f" stroked="f">
                  <v:textbox inset="0,0,0,0">
                    <w:txbxContent>
                      <w:p w14:paraId="393F726C" w14:textId="77777777" w:rsidR="00B32EF2" w:rsidRDefault="00000000">
                        <w:r>
                          <w:rPr>
                            <w:rFonts w:ascii="Arial" w:eastAsia="Arial" w:hAnsi="Arial" w:cs="Arial"/>
                            <w:b/>
                            <w:sz w:val="18"/>
                          </w:rPr>
                          <w:t>CAPO IV</w:t>
                        </w:r>
                      </w:p>
                    </w:txbxContent>
                  </v:textbox>
                </v:rect>
                <v:rect id="Rectangle 14431" o:spid="_x0000_s1306" style="position:absolute;left:-3804;top:51332;width:383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UVpxAAAAN4AAAAPAAAAZHJzL2Rvd25yZXYueG1sRE9Li8Iw&#10;EL4v7H8Is+BtTV1FpBplcZHtwcv6AI9DM7bVZhKaaKu/3iwI3ubje85s0ZlaXKnxlWUFg34Cgji3&#10;uuJCwW67+pyA8AFZY22ZFNzIw2L+/jbDVNuW/+i6CYWIIexTVFCG4FIpfV6SQd+3jjhyR9sYDBE2&#10;hdQNtjHc1PIrScbSYMWxoURHy5Ly8+ZiFBx+2GWrVubH+9KtT9mk/r3s9kr1PrrvKYhAXXiJn+5M&#10;x/mj0XAA/+/EG+T8AQAA//8DAFBLAQItABQABgAIAAAAIQDb4fbL7gAAAIUBAAATAAAAAAAAAAAA&#10;AAAAAAAAAABbQ29udGVudF9UeXBlc10ueG1sUEsBAi0AFAAGAAgAAAAhAFr0LFu/AAAAFQEAAAsA&#10;AAAAAAAAAAAAAAAAHwEAAF9yZWxzLy5yZWxzUEsBAi0AFAAGAAgAAAAhAHzFRWnEAAAA3gAAAA8A&#10;AAAAAAAAAAAAAAAABwIAAGRycy9kb3ducmV2LnhtbFBLBQYAAAAAAwADALcAAAD4AgAAAAA=&#10;" filled="f" stroked="f">
                  <v:textbox inset="0,0,0,0">
                    <w:txbxContent>
                      <w:p w14:paraId="1BE3D1F7" w14:textId="77777777" w:rsidR="00B32EF2" w:rsidRDefault="00000000">
                        <w:r>
                          <w:rPr>
                            <w:rFonts w:ascii="Arial" w:eastAsia="Arial" w:hAnsi="Arial" w:cs="Arial"/>
                            <w:b/>
                            <w:sz w:val="18"/>
                          </w:rPr>
                          <w:t xml:space="preserve"> L’ESECUZIONE DELLE SENTENZE DELLE CORTI DI</w:t>
                        </w:r>
                      </w:p>
                    </w:txbxContent>
                  </v:textbox>
                </v:rect>
                <v:rect id="Rectangle 14432" o:spid="_x0000_s1307" style="position:absolute;left:9202;top:50098;width:175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9sexAAAAN4AAAAPAAAAZHJzL2Rvd25yZXYueG1sRE9Li8Iw&#10;EL4L/ocwgjdNfbBI1yiiiD3sZV0X9jg0Y1ttJqGJtvrrNwsL3ubje85y3Zla3KnxlWUFk3ECgji3&#10;uuJCwelrP1qA8AFZY22ZFDzIw3rV7y0x1bblT7ofQyFiCPsUFZQhuFRKn5dk0I+tI47c2TYGQ4RN&#10;IXWDbQw3tZwmyZs0WHFsKNHRtqT8erwZBT87dtm+lfn5uXUfl2xRH26nb6WGg27zDiJQF17if3em&#10;4/z5fDaFv3fiDXL1CwAA//8DAFBLAQItABQABgAIAAAAIQDb4fbL7gAAAIUBAAATAAAAAAAAAAAA&#10;AAAAAAAAAABbQ29udGVudF9UeXBlc10ueG1sUEsBAi0AFAAGAAgAAAAhAFr0LFu/AAAAFQEAAAsA&#10;AAAAAAAAAAAAAAAAHwEAAF9yZWxzLy5yZWxzUEsBAi0AFAAGAAgAAAAhAIwX2x7EAAAA3gAAAA8A&#10;AAAAAAAAAAAAAAAABwIAAGRycy9kb3ducmV2LnhtbFBLBQYAAAAAAwADALcAAAD4AgAAAAA=&#10;" filled="f" stroked="f">
                  <v:textbox inset="0,0,0,0">
                    <w:txbxContent>
                      <w:p w14:paraId="6543625C" w14:textId="77777777" w:rsidR="00B32EF2" w:rsidRDefault="00000000">
                        <w:r>
                          <w:rPr>
                            <w:rFonts w:ascii="Arial" w:eastAsia="Arial" w:hAnsi="Arial" w:cs="Arial"/>
                            <w:b/>
                            <w:sz w:val="18"/>
                          </w:rPr>
                          <w:t>GIUSTIZIA TRIBUTARIA</w:t>
                        </w:r>
                      </w:p>
                    </w:txbxContent>
                  </v:textbox>
                </v:rect>
                <v:rect id="Rectangle 14433" o:spid="_x0000_s1308" style="position:absolute;left:14571;top:47632;width:89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36FxAAAAN4AAAAPAAAAZHJzL2Rvd25yZXYueG1sRE9Li8Iw&#10;EL4L/ocwgjdNfbBI1yiiiD3sZV0X9jg0Y1ttJqGJtvrrNwsL3ubje85y3Zla3KnxlWUFk3ECgji3&#10;uuJCwelrP1qA8AFZY22ZFDzIw3rV7y0x1bblT7ofQyFiCPsUFZQhuFRKn5dk0I+tI47c2TYGQ4RN&#10;IXWDbQw3tZwmyZs0WHFsKNHRtqT8erwZBT87dtm+lfn5uXUfl2xRH26nb6WGg27zDiJQF17if3em&#10;4/z5fDaDv3fiDXL1CwAA//8DAFBLAQItABQABgAIAAAAIQDb4fbL7gAAAIUBAAATAAAAAAAAAAAA&#10;AAAAAAAAAABbQ29udGVudF9UeXBlc10ueG1sUEsBAi0AFAAGAAgAAAAhAFr0LFu/AAAAFQEAAAsA&#10;AAAAAAAAAAAAAAAAHwEAAF9yZWxzLy5yZWxzUEsBAi0AFAAGAAgAAAAhAONbfoXEAAAA3gAAAA8A&#10;AAAAAAAAAAAAAAAABwIAAGRycy9kb3ducmV2LnhtbFBLBQYAAAAAAwADALcAAAD4AgAAAAA=&#10;" filled="f" stroked="f">
                  <v:textbox inset="0,0,0,0">
                    <w:txbxContent>
                      <w:p w14:paraId="4C70A8E0" w14:textId="77777777" w:rsidR="00B32EF2" w:rsidRDefault="00000000">
                        <w:r>
                          <w:rPr>
                            <w:rFonts w:ascii="Arial" w:eastAsia="Arial" w:hAnsi="Arial" w:cs="Arial"/>
                            <w:b/>
                            <w:sz w:val="18"/>
                          </w:rPr>
                          <w:t>Articolo 124</w:t>
                        </w:r>
                      </w:p>
                    </w:txbxContent>
                  </v:textbox>
                </v:rect>
                <v:rect id="Rectangle 199683" o:spid="_x0000_s1309" style="position:absolute;left:22617;top:46398;width:225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g1axAAAAN8AAAAPAAAAZHJzL2Rvd25yZXYueG1sRE/Pa8Iw&#10;FL4L/g/hCd401YHUziiiyHrYZc7Bjo/m2XZrXkITbd1fvwiCx4/v92rTm0ZcqfW1ZQWzaQKCuLC6&#10;5lLB6fMwSUH4gKyxsUwKbuRhsx4OVphp2/EHXY+hFDGEfYYKqhBcJqUvKjLop9YRR+5sW4MhwraU&#10;usUuhptGzpNkIQ3WHBsqdLSrqPg9XoyC7z27/NDJ4vy3c+8/edq8XU5fSo1H/fYVRKA+PMUPd67j&#10;/OVykb7A/U8EINf/AAAA//8DAFBLAQItABQABgAIAAAAIQDb4fbL7gAAAIUBAAATAAAAAAAAAAAA&#10;AAAAAAAAAABbQ29udGVudF9UeXBlc10ueG1sUEsBAi0AFAAGAAgAAAAhAFr0LFu/AAAAFQEAAAsA&#10;AAAAAAAAAAAAAAAAHwEAAF9yZWxzLy5yZWxzUEsBAi0AFAAGAAgAAAAhAEFmDVrEAAAA3wAAAA8A&#10;AAAAAAAAAAAAAAAABwIAAGRycy9kb3ducmV2LnhtbFBLBQYAAAAAAwADALcAAAD4AgAAAAA=&#10;" filled="f" stroked="f">
                  <v:textbox inset="0,0,0,0">
                    <w:txbxContent>
                      <w:p w14:paraId="67867431" w14:textId="77777777" w:rsidR="00B32EF2" w:rsidRDefault="00000000">
                        <w:r>
                          <w:rPr>
                            <w:rFonts w:ascii="Arial" w:eastAsia="Arial" w:hAnsi="Arial" w:cs="Arial"/>
                            <w:i/>
                            <w:sz w:val="18"/>
                          </w:rPr>
                          <w:t>(</w:t>
                        </w:r>
                      </w:p>
                    </w:txbxContent>
                  </v:textbox>
                </v:rect>
                <v:rect id="Rectangle 199684" o:spid="_x0000_s1310" style="position:absolute;left:-6261;top:46398;width:225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5UuxAAAAN8AAAAPAAAAZHJzL2Rvd25yZXYueG1sRE/Pa8Iw&#10;FL4L/g/hCd40VYbUziiiyHrYZc7Bjo/m2XZrXkITbd1fvwiCx4/v92rTm0ZcqfW1ZQWzaQKCuLC6&#10;5lLB6fMwSUH4gKyxsUwKbuRhsx4OVphp2/EHXY+hFDGEfYYKqhBcJqUvKjLop9YRR+5sW4MhwraU&#10;usUuhptGzpNkIQ3WHBsqdLSrqPg9XoyC7z27/NDJ4vy3c+8/edq8XU5fSo1H/fYVRKA+PMUPd67j&#10;/OVykb7A/U8EINf/AAAA//8DAFBLAQItABQABgAIAAAAIQDb4fbL7gAAAIUBAAATAAAAAAAAAAAA&#10;AAAAAAAAAABbQ29udGVudF9UeXBlc10ueG1sUEsBAi0AFAAGAAgAAAAhAFr0LFu/AAAAFQEAAAsA&#10;AAAAAAAAAAAAAAAAHwEAAF9yZWxzLy5yZWxzUEsBAi0AFAAGAAgAAAAhAM6PlS7EAAAA3wAAAA8A&#10;AAAAAAAAAAAAAAAABwIAAGRycy9kb3ducmV2LnhtbFBLBQYAAAAAAwADALcAAAD4AgAAAAA=&#10;" filled="f" stroked="f">
                  <v:textbox inset="0,0,0,0">
                    <w:txbxContent>
                      <w:p w14:paraId="0E686788" w14:textId="77777777" w:rsidR="00B32EF2" w:rsidRDefault="00000000">
                        <w:r>
                          <w:rPr>
                            <w:rFonts w:ascii="Arial" w:eastAsia="Arial" w:hAnsi="Arial" w:cs="Arial"/>
                            <w:i/>
                            <w:sz w:val="18"/>
                          </w:rPr>
                          <w:t>74/2000)</w:t>
                        </w:r>
                      </w:p>
                    </w:txbxContent>
                  </v:textbox>
                </v:rect>
                <v:rect id="Rectangle 199685" o:spid="_x0000_s1311" style="position:absolute;left:10311;top:46398;width:225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zC1xAAAAN8AAAAPAAAAZHJzL2Rvd25yZXYueG1sRE/Pa8Iw&#10;FL4L/g/hCd40VZjUziiiyHrYZc7Bjo/m2XZrXkITbd1fvwiCx4/v92rTm0ZcqfW1ZQWzaQKCuLC6&#10;5lLB6fMwSUH4gKyxsUwKbuRhsx4OVphp2/EHXY+hFDGEfYYKqhBcJqUvKjLop9YRR+5sW4MhwraU&#10;usUuhptGzpNkIQ3WHBsqdLSrqPg9XoyC7z27/NDJ4vy3c+8/edq8XU5fSo1H/fYVRKA+PMUPd67j&#10;/OVykb7A/U8EINf/AAAA//8DAFBLAQItABQABgAIAAAAIQDb4fbL7gAAAIUBAAATAAAAAAAAAAAA&#10;AAAAAAAAAABbQ29udGVudF9UeXBlc10ueG1sUEsBAi0AFAAGAAgAAAAhAFr0LFu/AAAAFQEAAAsA&#10;AAAAAAAAAAAAAAAAHwEAAF9yZWxzLy5yZWxzUEsBAi0AFAAGAAgAAAAhAKHDMLXEAAAA3wAAAA8A&#10;AAAAAAAAAAAAAAAABwIAAGRycy9kb3ducmV2LnhtbFBLBQYAAAAAAwADALcAAAD4AgAAAAA=&#10;" filled="f" stroked="f">
                  <v:textbox inset="0,0,0,0">
                    <w:txbxContent>
                      <w:p w14:paraId="1B8AFA26" w14:textId="77777777" w:rsidR="00B32EF2" w:rsidRDefault="00000000">
                        <w:r>
                          <w:rPr>
                            <w:rFonts w:ascii="Arial" w:eastAsia="Arial" w:hAnsi="Arial" w:cs="Arial"/>
                            <w:i/>
                            <w:sz w:val="18"/>
                          </w:rPr>
                          <w:t xml:space="preserve">articolo 21-ter D.lgs. n. </w:t>
                        </w:r>
                      </w:p>
                    </w:txbxContent>
                  </v:textbox>
                </v:rect>
                <v:rect id="Rectangle 14435" o:spid="_x0000_s1312" style="position:absolute;left:-10795;top:45165;width:492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NqxQAAAN4AAAAPAAAAZHJzL2Rvd25yZXYueG1sRE9La8JA&#10;EL4X/A/LCN7qpq2KRFcpFjGHXuoDPA7ZMYnNzi7Z1UR/fbcgeJuP7znzZWdqcaXGV5YVvA0TEMS5&#10;1RUXCva79esUhA/IGmvLpOBGHpaL3sscU21b/qHrNhQihrBPUUEZgkul9HlJBv3QOuLInWxjMETY&#10;FFI32MZwU8v3JJlIgxXHhhIdrUrKf7cXo+D4xS5btzI/3Vfu+5xN681lf1Bq0O8+ZyACdeEpfrgz&#10;HeePRh9j+H8n3iAXfwAAAP//AwBQSwECLQAUAAYACAAAACEA2+H2y+4AAACFAQAAEwAAAAAAAAAA&#10;AAAAAAAAAAAAW0NvbnRlbnRfVHlwZXNdLnhtbFBLAQItABQABgAIAAAAIQBa9CxbvwAAABUBAAAL&#10;AAAAAAAAAAAAAAAAAB8BAABfcmVscy8ucmVsc1BLAQItABQABgAIAAAAIQAD/kNqxQAAAN4AAAAP&#10;AAAAAAAAAAAAAAAAAAcCAABkcnMvZG93bnJldi54bWxQSwUGAAAAAAMAAwC3AAAA+QIAAAAA&#10;" filled="f" stroked="f">
                  <v:textbox inset="0,0,0,0">
                    <w:txbxContent>
                      <w:p w14:paraId="6D186F74" w14:textId="77777777" w:rsidR="00B32EF2" w:rsidRDefault="00000000">
                        <w:r>
                          <w:rPr>
                            <w:rFonts w:ascii="Arial" w:eastAsia="Arial" w:hAnsi="Arial" w:cs="Arial"/>
                            <w:b/>
                            <w:sz w:val="18"/>
                          </w:rPr>
                          <w:t xml:space="preserve">Applicazione ed esecuzione delle sanzioni penali e amministrative </w:t>
                        </w:r>
                      </w:p>
                    </w:txbxContent>
                  </v:textbox>
                </v:rect>
                <v:rect id="Rectangle 199681" o:spid="_x0000_s1313" style="position:absolute;left:26111;top:43932;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a2xAAAAN8AAAAPAAAAZHJzL2Rvd25yZXYueG1sRE/LasJA&#10;FN0X/IfhCt3ViV1IjE5EFGkW3dQquLxkbh6auTNkRpP26zuFQpeH815vRtOJB/W+taxgPktAEJdW&#10;t1wrOH0eXlIQPiBr7CyTgi/ysMknT2vMtB34gx7HUIsYwj5DBU0ILpPSlw0Z9DPriCNX2d5giLCv&#10;pe5xiOGmk69JspAGW44NDTraNVTejnej4LJnVxwGWVbfO/d+LdLu7X46K/U8HbcrEIHG8C/+cxc6&#10;zl8uF+kcfv9EADL/AQAA//8DAFBLAQItABQABgAIAAAAIQDb4fbL7gAAAIUBAAATAAAAAAAAAAAA&#10;AAAAAAAAAABbQ29udGVudF9UeXBlc10ueG1sUEsBAi0AFAAGAAgAAAAhAFr0LFu/AAAAFQEAAAsA&#10;AAAAAAAAAAAAAAAAHwEAAF9yZWxzLy5yZWxzUEsBAi0AFAAGAAgAAAAhAN74NrbEAAAA3wAAAA8A&#10;AAAAAAAAAAAAAAAABwIAAGRycy9kb3ducmV2LnhtbFBLBQYAAAAAAwADALcAAAD4AgAAAAA=&#10;" filled="f" stroked="f">
                  <v:textbox inset="0,0,0,0">
                    <w:txbxContent>
                      <w:p w14:paraId="7A0B6BB6" w14:textId="77777777" w:rsidR="00B32EF2" w:rsidRDefault="00000000">
                        <w:r>
                          <w:rPr>
                            <w:rFonts w:ascii="Arial" w:eastAsia="Arial" w:hAnsi="Arial" w:cs="Arial"/>
                            <w:sz w:val="18"/>
                          </w:rPr>
                          <w:t>1</w:t>
                        </w:r>
                      </w:p>
                    </w:txbxContent>
                  </v:textbox>
                </v:rect>
                <v:rect id="Rectangle 199682" o:spid="_x0000_s1314" style="position:absolute;left:-13762;top:4393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qjBxAAAAN8AAAAPAAAAZHJzL2Rvd25yZXYueG1sRE/LisIw&#10;FN0P+A/hCrMbU11IrUYRRezCzfgAl5fm2namuQlNtB2/fjIw4PJw3otVbxrxoNbXlhWMRwkI4sLq&#10;mksF59PuIwXhA7LGxjIp+CEPq+XgbYGZth1/0uMYShFD2GeooArBZVL6oiKDfmQdceRutjUYImxL&#10;qVvsYrhp5CRJptJgzbGhQkebiorv490ouG7Z5btOFrfnxh2+8rTZ388Xpd6H/XoOIlAfXuJ/d67j&#10;/Nlsmk7g708EIJe/AAAA//8DAFBLAQItABQABgAIAAAAIQDb4fbL7gAAAIUBAAATAAAAAAAAAAAA&#10;AAAAAAAAAABbQ29udGVudF9UeXBlc10ueG1sUEsBAi0AFAAGAAgAAAAhAFr0LFu/AAAAFQEAAAsA&#10;AAAAAAAAAAAAAAAAHwEAAF9yZWxzLy5yZWxzUEsBAi0AFAAGAAgAAAAhAC4qqMHEAAAA3wAAAA8A&#10;AAAAAAAAAAAAAAAABwIAAGRycy9kb3ducmV2LnhtbFBLBQYAAAAAAwADALcAAAD4AgAAAAA=&#10;" filled="f" stroked="f">
                  <v:textbox inset="0,0,0,0">
                    <w:txbxContent>
                      <w:p w14:paraId="07B8BC43" w14:textId="77777777" w:rsidR="00B32EF2" w:rsidRDefault="00000000">
                        <w:r>
                          <w:rPr>
                            <w:rFonts w:ascii="Arial" w:eastAsia="Arial" w:hAnsi="Arial" w:cs="Arial"/>
                            <w:sz w:val="18"/>
                          </w:rPr>
                          <w:t xml:space="preserve">. Quando, per lo stesso fatto è stata applicata, a carico del soggetto, una </w:t>
                        </w:r>
                      </w:p>
                    </w:txbxContent>
                  </v:textbox>
                </v:rect>
                <v:rect id="Rectangle 14437" o:spid="_x0000_s1315" style="position:absolute;left:-12203;top:42699;width:5212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HiGxQAAAN4AAAAPAAAAZHJzL2Rvd25yZXYueG1sRE9La8JA&#10;EL4X/A/LCN7qpq2oRFcpFjGHXuoDPA7ZMYnNzi7Z1UR/fbcgeJuP7znzZWdqcaXGV5YVvA0TEMS5&#10;1RUXCva79esUhA/IGmvLpOBGHpaL3sscU21b/qHrNhQihrBPUUEZgkul9HlJBv3QOuLInWxjMETY&#10;FFI32MZwU8v3JBlLgxXHhhIdrUrKf7cXo+D4xS5btzI/3Vfu+5xN681lf1Bq0O8+ZyACdeEpfrgz&#10;HeePRh8T+H8n3iAXfwAAAP//AwBQSwECLQAUAAYACAAAACEA2+H2y+4AAACFAQAAEwAAAAAAAAAA&#10;AAAAAAAAAAAAW0NvbnRlbnRfVHlwZXNdLnhtbFBLAQItABQABgAIAAAAIQBa9CxbvwAAABUBAAAL&#10;AAAAAAAAAAAAAAAAAB8BAABfcmVscy8ucmVsc1BLAQItABQABgAIAAAAIQCcYHiGxQAAAN4AAAAP&#10;AAAAAAAAAAAAAAAAAAcCAABkcnMvZG93bnJldi54bWxQSwUGAAAAAAMAAwC3AAAA+QIAAAAA&#10;" filled="f" stroked="f">
                  <v:textbox inset="0,0,0,0">
                    <w:txbxContent>
                      <w:p w14:paraId="0B56F174" w14:textId="77777777" w:rsidR="00B32EF2" w:rsidRDefault="00000000">
                        <w:r>
                          <w:rPr>
                            <w:rFonts w:ascii="Arial" w:eastAsia="Arial" w:hAnsi="Arial" w:cs="Arial"/>
                            <w:sz w:val="18"/>
                          </w:rPr>
                          <w:t>sanzione penale ovvero una sanzione amministrativa o una sanzione ammini</w:t>
                        </w:r>
                      </w:p>
                    </w:txbxContent>
                  </v:textbox>
                </v:rect>
                <v:rect id="Rectangle 14438" o:spid="_x0000_s1316" style="position:absolute;left:194;top:42699;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0xwAAAN4AAAAPAAAAZHJzL2Rvd25yZXYueG1sRI9Ba8JA&#10;EIXvQv/DMoXedFMrIqmrFIuYg5eqhR6H7Jikzc4u2dWk/fXOoeBthvfmvW+W68G16kpdbDwbeJ5k&#10;oIhLbxuuDJyO2/ECVEzIFlvPZOCXIqxXD6Ml5tb3/EHXQ6qUhHDM0UCdUsi1jmVNDuPEB2LRzr5z&#10;mGTtKm077CXctXqaZXPtsGFpqDHQpqby53BxBr7eORTbXpfnv03YfxeLdnc5fRrz9Di8vYJKNKS7&#10;+f+6sII/m70Ir7wjM+jVDQAA//8DAFBLAQItABQABgAIAAAAIQDb4fbL7gAAAIUBAAATAAAAAAAA&#10;AAAAAAAAAAAAAABbQ29udGVudF9UeXBlc10ueG1sUEsBAi0AFAAGAAgAAAAhAFr0LFu/AAAAFQEA&#10;AAsAAAAAAAAAAAAAAAAAHwEAAF9yZWxzLy5yZWxzUEsBAi0AFAAGAAgAAAAhAO3/7PTHAAAA3gAA&#10;AA8AAAAAAAAAAAAAAAAABwIAAGRycy9kb3ducmV2LnhtbFBLBQYAAAAAAwADALcAAAD7AgAAAAA=&#10;" filled="f" stroked="f">
                  <v:textbox inset="0,0,0,0">
                    <w:txbxContent>
                      <w:p w14:paraId="50FEC8FA" w14:textId="77777777" w:rsidR="00B32EF2" w:rsidRDefault="00000000">
                        <w:r>
                          <w:rPr>
                            <w:rFonts w:ascii="Arial" w:eastAsia="Arial" w:hAnsi="Arial" w:cs="Arial"/>
                            <w:sz w:val="18"/>
                          </w:rPr>
                          <w:t>-</w:t>
                        </w:r>
                      </w:p>
                    </w:txbxContent>
                  </v:textbox>
                </v:rect>
                <v:rect id="Rectangle 14439" o:spid="_x0000_s1317" style="position:absolute;left:-13169;top:4146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0lvxQAAAN4AAAAPAAAAZHJzL2Rvd25yZXYueG1sRE9La8JA&#10;EL4X+h+WKXirGx8UG11FFDEHL7UWehyyYxLNzi7Z1UR/vVsoeJuP7zmzRWdqcaXGV5YVDPoJCOLc&#10;6ooLBYfvzfsEhA/IGmvLpOBGHhbz15cZptq2/EXXfShEDGGfooIyBJdK6fOSDPq+dcSRO9rGYIiw&#10;KaRusI3hppbDJPmQBiuODSU6WpWUn/cXo+B3zS7btDI/3ldud8om9fZy+FGq99YtpyACdeEp/ndn&#10;Os4fj0ef8PdOvEHOHwAAAP//AwBQSwECLQAUAAYACAAAACEA2+H2y+4AAACFAQAAEwAAAAAAAAAA&#10;AAAAAAAAAAAAW0NvbnRlbnRfVHlwZXNdLnhtbFBLAQItABQABgAIAAAAIQBa9CxbvwAAABUBAAAL&#10;AAAAAAAAAAAAAAAAAB8BAABfcmVscy8ucmVsc1BLAQItABQABgAIAAAAIQCCs0lvxQAAAN4AAAAP&#10;AAAAAAAAAAAAAAAAAAcCAABkcnMvZG93bnJldi54bWxQSwUGAAAAAAMAAwC3AAAA+QIAAAAA&#10;" filled="f" stroked="f">
                  <v:textbox inset="0,0,0,0">
                    <w:txbxContent>
                      <w:p w14:paraId="5F284FBF" w14:textId="77777777" w:rsidR="00B32EF2" w:rsidRDefault="00000000">
                        <w:r>
                          <w:rPr>
                            <w:rFonts w:ascii="Arial" w:eastAsia="Arial" w:hAnsi="Arial" w:cs="Arial"/>
                            <w:sz w:val="18"/>
                          </w:rPr>
                          <w:t xml:space="preserve">strativa dipendente da reato, il giudice o l’autorità amministrativa, al momento </w:t>
                        </w:r>
                      </w:p>
                    </w:txbxContent>
                  </v:textbox>
                </v:rect>
                <v:rect id="Rectangle 14440" o:spid="_x0000_s1318" style="position:absolute;left:-13169;top:4023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5OPxwAAAN4AAAAPAAAAZHJzL2Rvd25yZXYueG1sRI9Ba8JA&#10;EIXvhf6HZQq91U1LEImuIhZpDr1ULfQ4ZMckmp1dsqtJ++s7B8HbDPPmvfctVqPr1JX62Ho28DrJ&#10;QBFX3rZcGzjsty8zUDEhW+w8k4FfirBaPj4ssLB+4C+67lKtxIRjgQaalEKhdawachgnPhDL7eh7&#10;h0nWvta2x0HMXaffsmyqHbYsCQ0G2jRUnXcXZ+DnnUO5HXR1/NuEz1M56z4uh29jnp/G9RxUojHd&#10;xbfv0kr9PM8FQHBkBr38BwAA//8DAFBLAQItABQABgAIAAAAIQDb4fbL7gAAAIUBAAATAAAAAAAA&#10;AAAAAAAAAAAAAABbQ29udGVudF9UeXBlc10ueG1sUEsBAi0AFAAGAAgAAAAhAFr0LFu/AAAAFQEA&#10;AAsAAAAAAAAAAAAAAAAAHwEAAF9yZWxzLy5yZWxzUEsBAi0AFAAGAAgAAAAhAEuPk4/HAAAA3gAA&#10;AA8AAAAAAAAAAAAAAAAABwIAAGRycy9kb3ducmV2LnhtbFBLBQYAAAAAAwADALcAAAD7AgAAAAA=&#10;" filled="f" stroked="f">
                  <v:textbox inset="0,0,0,0">
                    <w:txbxContent>
                      <w:p w14:paraId="0AA563CA" w14:textId="77777777" w:rsidR="00B32EF2" w:rsidRDefault="00000000">
                        <w:r>
                          <w:rPr>
                            <w:rFonts w:ascii="Arial" w:eastAsia="Arial" w:hAnsi="Arial" w:cs="Arial"/>
                            <w:sz w:val="18"/>
                          </w:rPr>
                          <w:t xml:space="preserve">della determinazione delle sanzioni di propria competenza e al fine di ridurne </w:t>
                        </w:r>
                      </w:p>
                    </w:txbxContent>
                  </v:textbox>
                </v:rect>
                <v:rect id="Rectangle 14441" o:spid="_x0000_s1319" style="position:absolute;left:-13170;top:389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zYUxAAAAN4AAAAPAAAAZHJzL2Rvd25yZXYueG1sRE9Na8JA&#10;EL0L/Q/LFLzpRglFUlcRRczBS20Ej0N2TFKzs0t2NbG/vlso9DaP9znL9WBa8aDON5YVzKYJCOLS&#10;6oYrBcXnfrIA4QOyxtYyKXiSh/XqZbTETNueP+hxCpWIIewzVFCH4DIpfVmTQT+1jjhyV9sZDBF2&#10;ldQd9jHctHKeJG/SYMOxoUZH25rK2+luFFx27PJ9L8vr99Ydv/JFe7gXZ6XGr8PmHUSgIfyL/9y5&#10;jvPTNJ3B7zvxBrn6AQAA//8DAFBLAQItABQABgAIAAAAIQDb4fbL7gAAAIUBAAATAAAAAAAAAAAA&#10;AAAAAAAAAABbQ29udGVudF9UeXBlc10ueG1sUEsBAi0AFAAGAAgAAAAhAFr0LFu/AAAAFQEAAAsA&#10;AAAAAAAAAAAAAAAAHwEAAF9yZWxzLy5yZWxzUEsBAi0AFAAGAAgAAAAhACTDNhTEAAAA3gAAAA8A&#10;AAAAAAAAAAAAAAAABwIAAGRycy9kb3ducmV2LnhtbFBLBQYAAAAAAwADALcAAAD4AgAAAAA=&#10;" filled="f" stroked="f">
                  <v:textbox inset="0,0,0,0">
                    <w:txbxContent>
                      <w:p w14:paraId="2E9130D4" w14:textId="77777777" w:rsidR="00B32EF2" w:rsidRDefault="00000000">
                        <w:r>
                          <w:rPr>
                            <w:rFonts w:ascii="Arial" w:eastAsia="Arial" w:hAnsi="Arial" w:cs="Arial"/>
                            <w:sz w:val="18"/>
                          </w:rPr>
                          <w:t xml:space="preserve">la relativa misura, tiene conto di quelle già irrogate con provvedimento o con </w:t>
                        </w:r>
                      </w:p>
                    </w:txbxContent>
                  </v:textbox>
                </v:rect>
                <v:rect id="Rectangle 14442" o:spid="_x0000_s1320" style="position:absolute;left:17487;top:37765;width:224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ahjxAAAAN4AAAAPAAAAZHJzL2Rvd25yZXYueG1sRE9Na8JA&#10;EL0X/A/LFLzVTSUUSV1FFDEHL7URPA7ZMUnNzi7Z1UR/vVso9DaP9znz5WBacaPON5YVvE8SEMSl&#10;1Q1XCorv7dsMhA/IGlvLpOBOHpaL0cscM217/qLbIVQihrDPUEEdgsuk9GVNBv3EOuLInW1nMETY&#10;VVJ32Mdw08ppknxIgw3HhhodrWsqL4erUXDasMu3vSzPj7Xb/+SzdnctjkqNX4fVJ4hAQ/gX/7lz&#10;HeenaTqF33fiDXLxBAAA//8DAFBLAQItABQABgAIAAAAIQDb4fbL7gAAAIUBAAATAAAAAAAAAAAA&#10;AAAAAAAAAABbQ29udGVudF9UeXBlc10ueG1sUEsBAi0AFAAGAAgAAAAhAFr0LFu/AAAAFQEAAAsA&#10;AAAAAAAAAAAAAAAAHwEAAF9yZWxzLy5yZWxzUEsBAi0AFAAGAAgAAAAhANQRqGPEAAAA3gAAAA8A&#10;AAAAAAAAAAAAAAAABwIAAGRycy9kb3ducmV2LnhtbFBLBQYAAAAAAwADALcAAAD4AgAAAAA=&#10;" filled="f" stroked="f">
                  <v:textbox inset="0,0,0,0">
                    <w:txbxContent>
                      <w:p w14:paraId="25BF4D5A" w14:textId="77777777" w:rsidR="00B32EF2" w:rsidRDefault="00000000">
                        <w:r>
                          <w:rPr>
                            <w:rFonts w:ascii="Arial" w:eastAsia="Arial" w:hAnsi="Arial" w:cs="Arial"/>
                            <w:sz w:val="18"/>
                          </w:rPr>
                          <w:t>sentenza assunti in via definitiva.</w:t>
                        </w:r>
                      </w:p>
                    </w:txbxContent>
                  </v:textbox>
                </v:rect>
                <v:rect id="Rectangle 14443" o:spid="_x0000_s1321" style="position:absolute;left:14580;top:35299;width:88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Q34xAAAAN4AAAAPAAAAZHJzL2Rvd25yZXYueG1sRE9Na8JA&#10;EL0X+h+WEbzVjRpEUlcpFjEHL1ULPQ7ZMUmbnV2yq4n+ercgeJvH+5zFqjeNuFDra8sKxqMEBHFh&#10;dc2lguNh8zYH4QOyxsYyKbiSh9Xy9WWBmbYdf9FlH0oRQ9hnqKAKwWVS+qIig35kHXHkTrY1GCJs&#10;S6lb7GK4aeQkSWbSYM2xoUJH64qKv/3ZKPj5ZJdvOlmcbmu3+83nzfZ8/FZqOOg/3kEE6sNT/HDn&#10;Os5P03QK/+/EG+TyDgAA//8DAFBLAQItABQABgAIAAAAIQDb4fbL7gAAAIUBAAATAAAAAAAAAAAA&#10;AAAAAAAAAABbQ29udGVudF9UeXBlc10ueG1sUEsBAi0AFAAGAAgAAAAhAFr0LFu/AAAAFQEAAAsA&#10;AAAAAAAAAAAAAAAAHwEAAF9yZWxzLy5yZWxzUEsBAi0AFAAGAAgAAAAhALtdDfjEAAAA3gAAAA8A&#10;AAAAAAAAAAAAAAAABwIAAGRycy9kb3ducmV2LnhtbFBLBQYAAAAAAwADALcAAAD4AgAAAAA=&#10;" filled="f" stroked="f">
                  <v:textbox inset="0,0,0,0">
                    <w:txbxContent>
                      <w:p w14:paraId="2A5E5C2A" w14:textId="77777777" w:rsidR="00B32EF2" w:rsidRDefault="00000000">
                        <w:r>
                          <w:rPr>
                            <w:rFonts w:ascii="Arial" w:eastAsia="Arial" w:hAnsi="Arial" w:cs="Arial"/>
                            <w:b/>
                            <w:sz w:val="18"/>
                          </w:rPr>
                          <w:t>Articolo 125</w:t>
                        </w:r>
                      </w:p>
                    </w:txbxContent>
                  </v:textbox>
                </v:rect>
                <v:rect id="Rectangle 199678" o:spid="_x0000_s1322" style="position:absolute;left:22525;top:34065;width:217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8MxAAAAN8AAAAPAAAAZHJzL2Rvd25yZXYueG1sRE89b8Iw&#10;EN2R+h+sq9QNnHagkGJQRYWaoQuUSh1P8ZGkjc9WbEjg13MDEuPT+16sBteqE3Wx8WzgeZKBIi69&#10;bbgysP/ejGegYkK22HomA2eKsFo+jBaYW9/zlk67VCkJ4ZijgTqlkGsdy5ocxokPxMIdfOcwCewq&#10;bTvsJdy1+iXLptphw9JQY6B1TeX/7ugM/H5wKDa9Lg+Xdfj6K2bt53H/Y8zT4/D+BirRkO7im7uw&#10;Mn8+n77KYPkjAPTyCgAA//8DAFBLAQItABQABgAIAAAAIQDb4fbL7gAAAIUBAAATAAAAAAAAAAAA&#10;AAAAAAAAAABbQ29udGVudF9UeXBlc10ueG1sUEsBAi0AFAAGAAgAAAAhAFr0LFu/AAAAFQEAAAsA&#10;AAAAAAAAAAAAAAAAHwEAAF9yZWxzLy5yZWxzUEsBAi0AFAAGAAgAAAAhAHoX7wzEAAAA3wAAAA8A&#10;AAAAAAAAAAAAAAAABwIAAGRycy9kb3ducmV2LnhtbFBLBQYAAAAAAwADALcAAAD4AgAAAAA=&#10;" filled="f" stroked="f">
                  <v:textbox inset="0,0,0,0">
                    <w:txbxContent>
                      <w:p w14:paraId="58603674" w14:textId="77777777" w:rsidR="00B32EF2" w:rsidRDefault="00000000">
                        <w:r>
                          <w:rPr>
                            <w:rFonts w:ascii="Arial" w:eastAsia="Arial" w:hAnsi="Arial" w:cs="Arial"/>
                            <w:i/>
                            <w:sz w:val="18"/>
                          </w:rPr>
                          <w:t>(</w:t>
                        </w:r>
                      </w:p>
                    </w:txbxContent>
                  </v:textbox>
                </v:rect>
                <v:rect id="Rectangle 199679" o:spid="_x0000_s1323" style="position:absolute;left:-5887;top:34065;width:217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0qXxAAAAN8AAAAPAAAAZHJzL2Rvd25yZXYueG1sRE/Pa8Iw&#10;FL4L/g/hCd40nQe1nVGGIvbgZc7Bjo/m2Vabl9BE2+2vXwYDjx/f79WmN414UOtrywpepgkI4sLq&#10;mksF54/9ZAnCB2SNjWVS8E0eNuvhYIWZth2/0+MUShFD2GeooArBZVL6oiKDfmodceQutjUYImxL&#10;qVvsYrhp5CxJ5tJgzbGhQkfbiorb6W4UfO3Y5ftOFpefrTte82VzuJ8/lRqP+rdXEIH68BT/u3Md&#10;56fpfJHC358IQK5/AQAA//8DAFBLAQItABQABgAIAAAAIQDb4fbL7gAAAIUBAAATAAAAAAAAAAAA&#10;AAAAAAAAAABbQ29udGVudF9UeXBlc10ueG1sUEsBAi0AFAAGAAgAAAAhAFr0LFu/AAAAFQEAAAsA&#10;AAAAAAAAAAAAAAAAHwEAAF9yZWxzLy5yZWxzUEsBAi0AFAAGAAgAAAAhABVbSpfEAAAA3wAAAA8A&#10;AAAAAAAAAAAAAAAABwIAAGRycy9kb3ducmV2LnhtbFBLBQYAAAAAAwADALcAAAD4AgAAAAA=&#10;" filled="f" stroked="f">
                  <v:textbox inset="0,0,0,0">
                    <w:txbxContent>
                      <w:p w14:paraId="2A40CDD3" w14:textId="77777777" w:rsidR="00B32EF2" w:rsidRDefault="00000000">
                        <w:r>
                          <w:rPr>
                            <w:rFonts w:ascii="Arial" w:eastAsia="Arial" w:hAnsi="Arial" w:cs="Arial"/>
                            <w:i/>
                            <w:sz w:val="18"/>
                          </w:rPr>
                          <w:t>546/92)</w:t>
                        </w:r>
                      </w:p>
                    </w:txbxContent>
                  </v:textbox>
                </v:rect>
                <v:rect id="Rectangle 199680" o:spid="_x0000_s1324" style="position:absolute;left:10149;top:34065;width:217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MtxAAAAN8AAAAPAAAAZHJzL2Rvd25yZXYueG1sRE89b8Iw&#10;EN0r8R+sQ2IrThlQSDGoAiEydCkFqeMpPpK08dmKDUn763tDpY5P73u9HV2n7tTH1rOBp3kGirjy&#10;tuXawPn98JiDignZYueZDHxThO1m8rDGwvqB3+h+SrWSEI4FGmhSCoXWsWrIYZz7QCzc1fcOk8C+&#10;1rbHQcJdpxdZttQOW5aGBgPtGqq+Tjdn4GPPoTwMurr+7MLrZ5l3x9v5YsxsOr48g0o0pn/xn7u0&#10;Mn+1WubyQP4IAL35BQAA//8DAFBLAQItABQABgAIAAAAIQDb4fbL7gAAAIUBAAATAAAAAAAAAAAA&#10;AAAAAAAAAABbQ29udGVudF9UeXBlc10ueG1sUEsBAi0AFAAGAAgAAAAhAFr0LFu/AAAAFQEAAAsA&#10;AAAAAAAAAAAAAAAAHwEAAF9yZWxzLy5yZWxzUEsBAi0AFAAGAAgAAAAhALG0ky3EAAAA3wAAAA8A&#10;AAAAAAAAAAAAAAAABwIAAGRycy9kb3ducmV2LnhtbFBLBQYAAAAAAwADALcAAAD4AgAAAAA=&#10;" filled="f" stroked="f">
                  <v:textbox inset="0,0,0,0">
                    <w:txbxContent>
                      <w:p w14:paraId="0B17C309" w14:textId="77777777" w:rsidR="00B32EF2" w:rsidRDefault="00000000">
                        <w:r>
                          <w:rPr>
                            <w:rFonts w:ascii="Arial" w:eastAsia="Arial" w:hAnsi="Arial" w:cs="Arial"/>
                            <w:i/>
                            <w:sz w:val="18"/>
                          </w:rPr>
                          <w:t xml:space="preserve">articolo 67 bis D.lgs. n. </w:t>
                        </w:r>
                      </w:p>
                    </w:txbxContent>
                  </v:textbox>
                </v:rect>
                <v:rect id="Rectangle 14445" o:spid="_x0000_s1325" style="position:absolute;left:8853;top:32832;width:177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AXxAAAAN4AAAAPAAAAZHJzL2Rvd25yZXYueG1sRE9Na8JA&#10;EL0X/A/LCN7qxpIWia4iijQHL7UKHofsmESzs0t2NdFf3y0UepvH+5z5sjeNuFPra8sKJuMEBHFh&#10;dc2lgsP39nUKwgdkjY1lUvAgD8vF4GWOmbYdf9F9H0oRQ9hnqKAKwWVS+qIig35sHXHkzrY1GCJs&#10;S6lb7GK4aeRbknxIgzXHhgodrSsqrvubUXDasMu3nSzOz7XbXfJp83k7HJUaDfvVDESgPvyL/9y5&#10;jvPTNH2H33fiDXLxAwAA//8DAFBLAQItABQABgAIAAAAIQDb4fbL7gAAAIUBAAATAAAAAAAAAAAA&#10;AAAAAAAAAABbQ29udGVudF9UeXBlc10ueG1sUEsBAi0AFAAGAAgAAAAhAFr0LFu/AAAAFQEAAAsA&#10;AAAAAAAAAAAAAAAAHwEAAF9yZWxzLy5yZWxzUEsBAi0AFAAGAAgAAAAhAFv4MBfEAAAA3gAAAA8A&#10;AAAAAAAAAAAAAAAABwIAAGRycy9kb3ducmV2LnhtbFBLBQYAAAAAAwADALcAAAD4AgAAAAA=&#10;" filled="f" stroked="f">
                  <v:textbox inset="0,0,0,0">
                    <w:txbxContent>
                      <w:p w14:paraId="43741F02" w14:textId="77777777" w:rsidR="00B32EF2" w:rsidRDefault="00000000">
                        <w:r>
                          <w:rPr>
                            <w:rFonts w:ascii="Arial" w:eastAsia="Arial" w:hAnsi="Arial" w:cs="Arial"/>
                            <w:b/>
                            <w:sz w:val="18"/>
                          </w:rPr>
                          <w:t xml:space="preserve">Esecuzione provvisoria </w:t>
                        </w:r>
                      </w:p>
                    </w:txbxContent>
                  </v:textbox>
                </v:rect>
                <v:rect id="Rectangle 199677" o:spid="_x0000_s1326" style="position:absolute;left:-13762;top:315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Ht+xAAAAN8AAAAPAAAAZHJzL2Rvd25yZXYueG1sRE/LisIw&#10;FN0P+A/hCrMbU2fhoxpFFJku3Iyj4PLSXNtqcxOaaDt+/UQQZnk47/myM7W4U+MrywqGgwQEcW51&#10;xYWCw8/2YwLCB2SNtWVS8Eselove2xxTbVv+pvs+FCKGsE9RQRmCS6X0eUkG/cA64sidbWMwRNgU&#10;UjfYxnBTy88kGUmDFceGEh2tS8qv+5tRcNqwy7atzM+Ptdtdskn9dTsclXrvd6sZiEBd+Be/3JmO&#10;86fT0XgMzz8RgFz8AQAA//8DAFBLAQItABQABgAIAAAAIQDb4fbL7gAAAIUBAAATAAAAAAAAAAAA&#10;AAAAAAAAAABbQ29udGVudF9UeXBlc10ueG1sUEsBAi0AFAAGAAgAAAAhAFr0LFu/AAAAFQEAAAsA&#10;AAAAAAAAAAAAAAAAHwEAAF9yZWxzLy5yZWxzUEsBAi0AFAAGAAgAAAAhAAuIe37EAAAA3wAAAA8A&#10;AAAAAAAAAAAAAAAABwIAAGRycy9kb3ducmV2LnhtbFBLBQYAAAAAAwADALcAAAD4AgAAAAA=&#10;" filled="f" stroked="f">
                  <v:textbox inset="0,0,0,0">
                    <w:txbxContent>
                      <w:p w14:paraId="318ED487" w14:textId="77777777" w:rsidR="00B32EF2" w:rsidRDefault="00000000">
                        <w:r>
                          <w:rPr>
                            <w:rFonts w:ascii="Arial" w:eastAsia="Arial" w:hAnsi="Arial" w:cs="Arial"/>
                            <w:sz w:val="18"/>
                          </w:rPr>
                          <w:t xml:space="preserve">. Le sentenze emesse dalle corti di giustizia tributaria di primo e secondo </w:t>
                        </w:r>
                      </w:p>
                    </w:txbxContent>
                  </v:textbox>
                </v:rect>
                <v:rect id="Rectangle 199676" o:spid="_x0000_s1327" style="position:absolute;left:26110;top:315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N7lxAAAAN8AAAAPAAAAZHJzL2Rvd25yZXYueG1sRE/Pa8Iw&#10;FL4L/g/hCbtpOg9VO6MMRdaDF52DHR/Ns602L6GJtttfbwYDjx/f7+W6N424U+trywpeJwkI4sLq&#10;mksFp8/deA7CB2SNjWVS8EMe1qvhYImZth0f6H4MpYgh7DNUUIXgMil9UZFBP7GOOHJn2xoMEbal&#10;1C12Mdw0cpokqTRYc2yo0NGmouJ6vBkF31t2+a6Txfl34/aXfN583E5fSr2M+vc3EIH68BT/u3Md&#10;5y8W6SyFvz8RgFw9AAAA//8DAFBLAQItABQABgAIAAAAIQDb4fbL7gAAAIUBAAATAAAAAAAAAAAA&#10;AAAAAAAAAABbQ29udGVudF9UeXBlc10ueG1sUEsBAi0AFAAGAAgAAAAhAFr0LFu/AAAAFQEAAAsA&#10;AAAAAAAAAAAAAAAAHwEAAF9yZWxzLy5yZWxzUEsBAi0AFAAGAAgAAAAhAGTE3uXEAAAA3wAAAA8A&#10;AAAAAAAAAAAAAAAABwIAAGRycy9kb3ducmV2LnhtbFBLBQYAAAAAAwADALcAAAD4AgAAAAA=&#10;" filled="f" stroked="f">
                  <v:textbox inset="0,0,0,0">
                    <w:txbxContent>
                      <w:p w14:paraId="62445C47" w14:textId="77777777" w:rsidR="00B32EF2" w:rsidRDefault="00000000">
                        <w:r>
                          <w:rPr>
                            <w:rFonts w:ascii="Arial" w:eastAsia="Arial" w:hAnsi="Arial" w:cs="Arial"/>
                            <w:sz w:val="18"/>
                          </w:rPr>
                          <w:t>1</w:t>
                        </w:r>
                      </w:p>
                    </w:txbxContent>
                  </v:textbox>
                </v:rect>
                <v:rect id="Rectangle 14447" o:spid="_x0000_s1328" style="position:absolute;left:-4880;top:30366;width:4479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gv7xAAAAN4AAAAPAAAAZHJzL2Rvd25yZXYueG1sRE9Na8JA&#10;EL0X/A/LCN7qxhJaia4iijQHL7UKHofsmESzs0t2NdFf3y0UepvH+5z5sjeNuFPra8sKJuMEBHFh&#10;dc2lgsP39nUKwgdkjY1lUvAgD8vF4GWOmbYdf9F9H0oRQ9hnqKAKwWVS+qIig35sHXHkzrY1GCJs&#10;S6lb7GK4aeRbkrxLgzXHhgodrSsqrvubUXDasMu3nSzOz7XbXfJp83k7HJUaDfvVDESgPvyL/9y5&#10;jvPTNP2A33fiDXLxAwAA//8DAFBLAQItABQABgAIAAAAIQDb4fbL7gAAAIUBAAATAAAAAAAAAAAA&#10;AAAAAAAAAABbQ29udGVudF9UeXBlc10ueG1sUEsBAi0AFAAGAAgAAAAhAFr0LFu/AAAAFQEAAAsA&#10;AAAAAAAAAAAAAAAAHwEAAF9yZWxzLy5yZWxzUEsBAi0AFAAGAAgAAAAhAMRmC/vEAAAA3gAAAA8A&#10;AAAAAAAAAAAAAAAABwIAAGRycy9kb3ducmV2LnhtbFBLBQYAAAAAAwADALcAAAD4AgAAAAA=&#10;" filled="f" stroked="f">
                  <v:textbox inset="0,0,0,0">
                    <w:txbxContent>
                      <w:p w14:paraId="364915B1" w14:textId="77777777" w:rsidR="00B32EF2" w:rsidRDefault="00000000">
                        <w:r>
                          <w:rPr>
                            <w:rFonts w:ascii="Arial" w:eastAsia="Arial" w:hAnsi="Arial" w:cs="Arial"/>
                            <w:sz w:val="18"/>
                          </w:rPr>
                          <w:t>grado sono esecutive secondo quanto previsto dal presente capo.</w:t>
                        </w:r>
                      </w:p>
                    </w:txbxContent>
                  </v:textbox>
                </v:rect>
                <v:rect id="Rectangle 14448" o:spid="_x0000_s1329" style="position:absolute;left:14578;top:27899;width:88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JxwAAAN4AAAAPAAAAZHJzL2Rvd25yZXYueG1sRI9Ba8JA&#10;EIXvhf6HZQq91U1LEImuIhZpDr1ULfQ4ZMckmp1dsqtJ++s7B8HbDO/Ne98sVqPr1JX62Ho28DrJ&#10;QBFX3rZcGzjsty8zUDEhW+w8k4FfirBaPj4ssLB+4C+67lKtJIRjgQaalEKhdawachgnPhCLdvS9&#10;wyRrX2vb4yDhrtNvWTbVDluWhgYDbRqqzruLM/DzzqHcDro6/m3C56mcdR+Xw7cxz0/jeg4q0Zju&#10;5tt1aQU/z3PhlXdkBr38BwAA//8DAFBLAQItABQABgAIAAAAIQDb4fbL7gAAAIUBAAATAAAAAAAA&#10;AAAAAAAAAAAAAABbQ29udGVudF9UeXBlc10ueG1sUEsBAi0AFAAGAAgAAAAhAFr0LFu/AAAAFQEA&#10;AAsAAAAAAAAAAAAAAAAAHwEAAF9yZWxzLy5yZWxzUEsBAi0AFAAGAAgAAAAhALX5n4nHAAAA3gAA&#10;AA8AAAAAAAAAAAAAAAAABwIAAGRycy9kb3ducmV2LnhtbFBLBQYAAAAAAwADALcAAAD7AgAAAAA=&#10;" filled="f" stroked="f">
                  <v:textbox inset="0,0,0,0">
                    <w:txbxContent>
                      <w:p w14:paraId="0EF899F6" w14:textId="77777777" w:rsidR="00B32EF2" w:rsidRDefault="00000000">
                        <w:r>
                          <w:rPr>
                            <w:rFonts w:ascii="Arial" w:eastAsia="Arial" w:hAnsi="Arial" w:cs="Arial"/>
                            <w:b/>
                            <w:sz w:val="18"/>
                          </w:rPr>
                          <w:t>Articolo 126</w:t>
                        </w:r>
                      </w:p>
                    </w:txbxContent>
                  </v:textbox>
                </v:rect>
                <v:rect id="Rectangle 199672" o:spid="_x0000_s1330" style="position:absolute;left:24021;top:26666;width:335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jmxAAAAN8AAAAPAAAAZHJzL2Rvd25yZXYueG1sRE/LasJA&#10;FN0L/YfhCu50ogsfqaMUi5iFm2oKXV4y1yRt5s6QGU306zuFgsvDea+3vWnEjVpfW1YwnSQgiAur&#10;ay4V5Of9eAnCB2SNjWVScCcP283LYI2pth1/0O0UShFD2KeooArBpVL6oiKDfmIdceQutjUYImxL&#10;qVvsYrhp5CxJ5tJgzbGhQke7ioqf09Uo+Hpnl+07WVweO3f8zpbN4Zp/KjUa9m+vIAL14Sn+d2c6&#10;zl+t5osZ/P2JAOTmFwAA//8DAFBLAQItABQABgAIAAAAIQDb4fbL7gAAAIUBAAATAAAAAAAAAAAA&#10;AAAAAAAAAABbQ29udGVudF9UeXBlc10ueG1sUEsBAi0AFAAGAAgAAAAhAFr0LFu/AAAAFQEAAAsA&#10;AAAAAAAAAAAAAAAAHwEAAF9yZWxzLy5yZWxzUEsBAi0AFAAGAAgAAAAhABv/2ObEAAAA3wAAAA8A&#10;AAAAAAAAAAAAAAAABwIAAGRycy9kb3ducmV2LnhtbFBLBQYAAAAAAwADALcAAAD4AgAAAAA=&#10;" filled="f" stroked="f">
                  <v:textbox inset="0,0,0,0">
                    <w:txbxContent>
                      <w:p w14:paraId="49885792" w14:textId="77777777" w:rsidR="00B32EF2" w:rsidRDefault="00000000">
                        <w:r>
                          <w:rPr>
                            <w:rFonts w:ascii="Arial" w:eastAsia="Arial" w:hAnsi="Arial" w:cs="Arial"/>
                            <w:i/>
                            <w:sz w:val="18"/>
                          </w:rPr>
                          <w:t>(</w:t>
                        </w:r>
                      </w:p>
                    </w:txbxContent>
                  </v:textbox>
                </v:rect>
                <v:rect id="Rectangle 199674" o:spid="_x0000_s1331" style="position:absolute;left:2801;top:26666;width:335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uUJxQAAAN8AAAAPAAAAZHJzL2Rvd25yZXYueG1sRE/LasJA&#10;FN0L/sNwBXc6aSk+UkcpFjELNz4KXV4y1yRt5s6QGU3ar3cEweXhvBerztTiSo2vLCt4GScgiHOr&#10;Ky4UnI6b0QyED8gaa8uk4I88rJb93gJTbVve0/UQChFD2KeooAzBpVL6vCSDfmwdceTOtjEYImwK&#10;qRtsY7ip5WuSTKTBimNDiY7WJeW/h4tR8P3JLtu0Mj//r93uJ5vV28vpS6nhoPt4BxGoC0/xw53p&#10;OH8+n0zf4P4nApDLGwAAAP//AwBQSwECLQAUAAYACAAAACEA2+H2y+4AAACFAQAAEwAAAAAAAAAA&#10;AAAAAAAAAAAAW0NvbnRlbnRfVHlwZXNdLnhtbFBLAQItABQABgAIAAAAIQBa9CxbvwAAABUBAAAL&#10;AAAAAAAAAAAAAAAAAB8BAABfcmVscy8ucmVsc1BLAQItABQABgAIAAAAIQD7WuUJxQAAAN8AAAAP&#10;AAAAAAAAAAAAAAAAAAcCAABkcnMvZG93bnJldi54bWxQSwUGAAAAAAMAAwC3AAAA+QIAAAAA&#10;" filled="f" stroked="f">
                  <v:textbox inset="0,0,0,0">
                    <w:txbxContent>
                      <w:p w14:paraId="6BE8E7D2" w14:textId="77777777" w:rsidR="00B32EF2" w:rsidRDefault="00000000">
                        <w:r>
                          <w:rPr>
                            <w:rFonts w:ascii="Arial" w:eastAsia="Arial" w:hAnsi="Arial" w:cs="Arial"/>
                            <w:i/>
                            <w:sz w:val="18"/>
                          </w:rPr>
                          <w:t xml:space="preserve">articoli 68 D.lgs. n. 546/92 e 19 D.lgs. n. </w:t>
                        </w:r>
                      </w:p>
                    </w:txbxContent>
                  </v:textbox>
                </v:rect>
                <v:rect id="Rectangle 199673" o:spid="_x0000_s1332" style="position:absolute;left:-22037;top:26666;width:335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319xQAAAN8AAAAPAAAAZHJzL2Rvd25yZXYueG1sRE/LasJA&#10;FN0L/sNwBXc6aQs+UkcpFjELNz4KXV4y1yRt5s6QGU3ar3cEweXhvBerztTiSo2vLCt4GScgiHOr&#10;Ky4UnI6b0QyED8gaa8uk4I88rJb93gJTbVve0/UQChFD2KeooAzBpVL6vCSDfmwdceTOtjEYImwK&#10;qRtsY7ip5WuSTKTBimNDiY7WJeW/h4tR8P3JLtu0Mj//r93uJ5vV28vpS6nhoPt4BxGoC0/xw53p&#10;OH8+n0zf4P4nApDLGwAAAP//AwBQSwECLQAUAAYACAAAACEA2+H2y+4AAACFAQAAEwAAAAAAAAAA&#10;AAAAAAAAAAAAW0NvbnRlbnRfVHlwZXNdLnhtbFBLAQItABQABgAIAAAAIQBa9CxbvwAAABUBAAAL&#10;AAAAAAAAAAAAAAAAAB8BAABfcmVscy8ucmVsc1BLAQItABQABgAIAAAAIQB0s319xQAAAN8AAAAP&#10;AAAAAAAAAAAAAAAAAAcCAABkcnMvZG93bnJldi54bWxQSwUGAAAAAAMAAwC3AAAA+QIAAAAA&#10;" filled="f" stroked="f">
                  <v:textbox inset="0,0,0,0">
                    <w:txbxContent>
                      <w:p w14:paraId="1893F521" w14:textId="77777777" w:rsidR="00B32EF2" w:rsidRDefault="00000000">
                        <w:r>
                          <w:rPr>
                            <w:rFonts w:ascii="Arial" w:eastAsia="Arial" w:hAnsi="Arial" w:cs="Arial"/>
                            <w:i/>
                            <w:sz w:val="18"/>
                          </w:rPr>
                          <w:t>472/97)</w:t>
                        </w:r>
                      </w:p>
                    </w:txbxContent>
                  </v:textbox>
                </v:rect>
                <v:rect id="Rectangle 14450" o:spid="_x0000_s1333" style="position:absolute;left:-10034;top:25432;width:480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gVSyAAAAN4AAAAPAAAAZHJzL2Rvd25yZXYueG1sRI9Pa8JA&#10;EMXvQr/DMgVvumnRIqmrFIs0h178U+hxyI5J2uzskl1N7Kd3DkJvM8yb995vuR5cqy7Uxcazgadp&#10;Boq49LbhysDxsJ0sQMWEbLH1TAauFGG9ehgtMbe+5x1d9qlSYsIxRwN1SiHXOpY1OYxTH4jldvKd&#10;wyRrV2nbYS/mrtXPWfaiHTYsCTUG2tRU/u7PzsD3O4di2+vy9LcJnz/Fov04H7+MGT8Ob6+gEg3p&#10;X3z/LqzUn83mAiA4MoNe3QAAAP//AwBQSwECLQAUAAYACAAAACEA2+H2y+4AAACFAQAAEwAAAAAA&#10;AAAAAAAAAAAAAAAAW0NvbnRlbnRfVHlwZXNdLnhtbFBLAQItABQABgAIAAAAIQBa9CxbvwAAABUB&#10;AAALAAAAAAAAAAAAAAAAAB8BAABfcmVscy8ucmVsc1BLAQItABQABgAIAAAAIQDOVgVSyAAAAN4A&#10;AAAPAAAAAAAAAAAAAAAAAAcCAABkcnMvZG93bnJldi54bWxQSwUGAAAAAAMAAwC3AAAA/AIAAAAA&#10;" filled="f" stroked="f">
                  <v:textbox inset="0,0,0,0">
                    <w:txbxContent>
                      <w:p w14:paraId="61F25653" w14:textId="77777777" w:rsidR="00B32EF2" w:rsidRDefault="00000000">
                        <w:r>
                          <w:rPr>
                            <w:rFonts w:ascii="Arial" w:eastAsia="Arial" w:hAnsi="Arial" w:cs="Arial"/>
                            <w:b/>
                            <w:sz w:val="18"/>
                          </w:rPr>
                          <w:t xml:space="preserve">Pagamento del tributo e delle sanzioni in pendenza del processo </w:t>
                        </w:r>
                      </w:p>
                    </w:txbxContent>
                  </v:textbox>
                </v:rect>
                <v:rect id="Rectangle 199671" o:spid="_x0000_s1334" style="position:absolute;left:-13744;top:24199;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aRxAAAAN8AAAAPAAAAZHJzL2Rvd25yZXYueG1sRE/LisIw&#10;FN0L/kO4wuw01YWPahRRZLpwo+PALC/Nta02N6GJtjNfbwYGZnk479WmM7V4UuMrywrGowQEcW51&#10;xYWCy8dhOAfhA7LG2jIp+CYPm3W/t8JU25ZP9DyHQsQQ9ikqKENwqZQ+L8mgH1lHHLmrbQyGCJtC&#10;6gbbGG5qOUmSqTRYcWwo0dGupPx+fhgFX3t22aGV+fVn5463bF6/Py6fSr0Nuu0SRKAu/Iv/3JmO&#10;8xeL6WwMv38iALl+AQAA//8DAFBLAQItABQABgAIAAAAIQDb4fbL7gAAAIUBAAATAAAAAAAAAAAA&#10;AAAAAAAAAABbQ29udGVudF9UeXBlc10ueG1sUEsBAi0AFAAGAAgAAAAhAFr0LFu/AAAAFQEAAAsA&#10;AAAAAAAAAAAAAAAAHwEAAF9yZWxzLy5yZWxzUEsBAi0AFAAGAAgAAAAhAOstRpHEAAAA3wAAAA8A&#10;AAAAAAAAAAAAAAAABwIAAGRycy9kb3ducmV2LnhtbFBLBQYAAAAAAwADALcAAAD4AgAAAAA=&#10;" filled="f" stroked="f">
                  <v:textbox inset="0,0,0,0">
                    <w:txbxContent>
                      <w:p w14:paraId="2FF8E191" w14:textId="77777777" w:rsidR="00B32EF2" w:rsidRDefault="00000000">
                        <w:r>
                          <w:rPr>
                            <w:rFonts w:ascii="Arial" w:eastAsia="Arial" w:hAnsi="Arial" w:cs="Arial"/>
                            <w:sz w:val="18"/>
                          </w:rPr>
                          <w:t xml:space="preserve">. Anche in deroga a quanto previsto nelle singole leggi d’imposta, nei casi in </w:t>
                        </w:r>
                      </w:p>
                    </w:txbxContent>
                  </v:textbox>
                </v:rect>
                <v:rect id="Rectangle 199670" o:spid="_x0000_s1335" style="position:absolute;left:26115;top:24199;width:530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MKxAAAAN8AAAAPAAAAZHJzL2Rvd25yZXYueG1sRE89b8Iw&#10;EN2R+h+sq9QNnHagkGJQRYWaoQuUSh1P8ZGkjc9WbEjg13MDEuPT+16sBteqE3Wx8WzgeZKBIi69&#10;bbgysP/ejGegYkK22HomA2eKsFo+jBaYW9/zlk67VCkJ4ZijgTqlkGsdy5ocxokPxMIdfOcwCewq&#10;bTvsJdy1+iXLptphw9JQY6B1TeX/7ugM/H5wKDa9Lg+Xdfj6K2bt53H/Y8zT4/D+BirRkO7im7uw&#10;Mn8+n77KA/kjAPTyCgAA//8DAFBLAQItABQABgAIAAAAIQDb4fbL7gAAAIUBAAATAAAAAAAAAAAA&#10;AAAAAAAAAABbQ29udGVudF9UeXBlc10ueG1sUEsBAi0AFAAGAAgAAAAhAFr0LFu/AAAAFQEAAAsA&#10;AAAAAAAAAAAAAAAAHwEAAF9yZWxzLy5yZWxzUEsBAi0AFAAGAAgAAAAhAIRh4wrEAAAA3wAAAA8A&#10;AAAAAAAAAAAAAAAABwIAAGRycy9kb3ducmV2LnhtbFBLBQYAAAAAAwADALcAAAD4AgAAAAA=&#10;" filled="f" stroked="f">
                  <v:textbox inset="0,0,0,0">
                    <w:txbxContent>
                      <w:p w14:paraId="5D81E567" w14:textId="77777777" w:rsidR="00B32EF2" w:rsidRDefault="00000000">
                        <w:r>
                          <w:rPr>
                            <w:rFonts w:ascii="Arial" w:eastAsia="Arial" w:hAnsi="Arial" w:cs="Arial"/>
                            <w:sz w:val="18"/>
                          </w:rPr>
                          <w:t>1</w:t>
                        </w:r>
                      </w:p>
                    </w:txbxContent>
                  </v:textbox>
                </v:rect>
                <v:rect id="Rectangle 14452" o:spid="_x0000_s1336" style="position:absolute;left:-13163;top:22966;width:53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D6+xAAAAN4AAAAPAAAAZHJzL2Rvd25yZXYueG1sRE9Ni8Iw&#10;EL0v+B/CCN7WVHEX6RpFFLEHL7ou7HFoxrbaTEITbfXXb4QFb/N4nzNbdKYWN2p8ZVnBaJiAIM6t&#10;rrhQcPzevE9B+ICssbZMCu7kYTHvvc0w1bblPd0OoRAxhH2KCsoQXCqlz0sy6IfWEUfuZBuDIcKm&#10;kLrBNoabWo6T5FMarDg2lOhoVVJ+OVyNgt81u2zTyvz0WLndOZvW2+vxR6lBv1t+gQjUhZf4353p&#10;OH8y+RjD8514g5z/AQAA//8DAFBLAQItABQABgAIAAAAIQDb4fbL7gAAAIUBAAATAAAAAAAAAAAA&#10;AAAAAAAAAABbQ29udGVudF9UeXBlc10ueG1sUEsBAi0AFAAGAAgAAAAhAFr0LFu/AAAAFQEAAAsA&#10;AAAAAAAAAAAAAAAAHwEAAF9yZWxzLy5yZWxzUEsBAi0AFAAGAAgAAAAhAFHIPr7EAAAA3gAAAA8A&#10;AAAAAAAAAAAAAAAABwIAAGRycy9kb3ducmV2LnhtbFBLBQYAAAAAAwADALcAAAD4AgAAAAA=&#10;" filled="f" stroked="f">
                  <v:textbox inset="0,0,0,0">
                    <w:txbxContent>
                      <w:p w14:paraId="567162EB" w14:textId="77777777" w:rsidR="00B32EF2" w:rsidRDefault="00000000">
                        <w:r>
                          <w:rPr>
                            <w:rFonts w:ascii="Arial" w:eastAsia="Arial" w:hAnsi="Arial" w:cs="Arial"/>
                            <w:sz w:val="18"/>
                          </w:rPr>
                          <w:t xml:space="preserve">cui è prevista la riscossione frazionata del tributo oggetto di giudizio davanti </w:t>
                        </w:r>
                      </w:p>
                    </w:txbxContent>
                  </v:textbox>
                </v:rect>
                <v:rect id="Rectangle 14453" o:spid="_x0000_s1337" style="position:absolute;left:-13172;top:21733;width:5308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slxQAAAN4AAAAPAAAAZHJzL2Rvd25yZXYueG1sRE9La8JA&#10;EL4X/A/LCN7qpq2KRFcpFjGHXuoDPA7ZMYnNzi7Z1UR/fbcgeJuP7znzZWdqcaXGV5YVvA0TEMS5&#10;1RUXCva79esUhA/IGmvLpOBGHpaL3sscU21b/qHrNhQihrBPUUEZgkul9HlJBv3QOuLInWxjMETY&#10;FFI32MZwU8v3JJlIgxXHhhIdrUrKf7cXo+D4xS5btzI/3Vfu+5xN681lf1Bq0O8+ZyACdeEpfrgz&#10;HeePRuMP+H8n3iAXfwAAAP//AwBQSwECLQAUAAYACAAAACEA2+H2y+4AAACFAQAAEwAAAAAAAAAA&#10;AAAAAAAAAAAAW0NvbnRlbnRfVHlwZXNdLnhtbFBLAQItABQABgAIAAAAIQBa9CxbvwAAABUBAAAL&#10;AAAAAAAAAAAAAAAAAB8BAABfcmVscy8ucmVsc1BLAQItABQABgAIAAAAIQA+hJslxQAAAN4AAAAP&#10;AAAAAAAAAAAAAAAAAAcCAABkcnMvZG93bnJldi54bWxQSwUGAAAAAAMAAwC3AAAA+QIAAAAA&#10;" filled="f" stroked="f">
                  <v:textbox inset="0,0,0,0">
                    <w:txbxContent>
                      <w:p w14:paraId="53342879" w14:textId="77777777" w:rsidR="00B32EF2" w:rsidRDefault="00000000">
                        <w:r>
                          <w:rPr>
                            <w:rFonts w:ascii="Arial" w:eastAsia="Arial" w:hAnsi="Arial" w:cs="Arial"/>
                            <w:sz w:val="18"/>
                          </w:rPr>
                          <w:t xml:space="preserve">alle corti di giustizia tributaria, il tributo, con i relativi interessi previsti dalle leggi </w:t>
                        </w:r>
                      </w:p>
                    </w:txbxContent>
                  </v:textbox>
                </v:rect>
                <v:rect id="Rectangle 14454" o:spid="_x0000_s1338" style="position:absolute;left:21773;top:20499;width:181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QNRxAAAAN4AAAAPAAAAZHJzL2Rvd25yZXYueG1sRE9Na8JA&#10;EL0X/A/LCN7qxpIWia4iijQHL7UKHofsmESzs0t2NdFf3y0UepvH+5z5sjeNuFPra8sKJuMEBHFh&#10;dc2lgsP39nUKwgdkjY1lUvAgD8vF4GWOmbYdf9F9H0oRQ9hnqKAKwWVS+qIig35sHXHkzrY1GCJs&#10;S6lb7GK4aeRbknxIgzXHhgodrSsqrvubUXDasMu3nSzOz7XbXfJp83k7HJUaDfvVDESgPvyL/9y5&#10;jvPT9D2F33fiDXLxAwAA//8DAFBLAQItABQABgAIAAAAIQDb4fbL7gAAAIUBAAATAAAAAAAAAAAA&#10;AAAAAAAAAABbQ29udGVudF9UeXBlc10ueG1sUEsBAi0AFAAGAAgAAAAhAFr0LFu/AAAAFQEAAAsA&#10;AAAAAAAAAAAAAAAAHwEAAF9yZWxzLy5yZWxzUEsBAi0AFAAGAAgAAAAhALFtA1HEAAAA3gAAAA8A&#10;AAAAAAAAAAAAAAAABwIAAGRycy9kb3ducmV2LnhtbFBLBQYAAAAAAwADALcAAAD4AgAAAAA=&#10;" filled="f" stroked="f">
                  <v:textbox inset="0,0,0,0">
                    <w:txbxContent>
                      <w:p w14:paraId="3F65D589" w14:textId="77777777" w:rsidR="00B32EF2" w:rsidRDefault="00000000">
                        <w:r>
                          <w:rPr>
                            <w:rFonts w:ascii="Arial" w:eastAsia="Arial" w:hAnsi="Arial" w:cs="Arial"/>
                            <w:sz w:val="18"/>
                          </w:rPr>
                          <w:t>fiscali, deve essere pagato:</w:t>
                        </w:r>
                      </w:p>
                    </w:txbxContent>
                  </v:textbox>
                </v:rect>
                <v:rect id="Rectangle 14455" o:spid="_x0000_s1339" style="position:absolute;left:-13164;top:19266;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abKxAAAAN4AAAAPAAAAZHJzL2Rvd25yZXYueG1sRE9Ni8Iw&#10;EL0L/ocwgjdNFV2kaxRRxB72sq4Lexyasa02k9BEW/31m4UFb/N4n7Ncd6YWd2p8ZVnBZJyAIM6t&#10;rrhQcPrajxYgfEDWWFsmBQ/ysF71e0tMtW35k+7HUIgYwj5FBWUILpXS5yUZ9GPriCN3to3BEGFT&#10;SN1gG8NNLadJ8iYNVhwbSnS0LSm/Hm9Gwc+OXbZvZX5+bt3HJVvUh9vpW6nhoNu8gwjUhZf4353p&#10;OH82m8/h7514g1z9AgAA//8DAFBLAQItABQABgAIAAAAIQDb4fbL7gAAAIUBAAATAAAAAAAAAAAA&#10;AAAAAAAAAABbQ29udGVudF9UeXBlc10ueG1sUEsBAi0AFAAGAAgAAAAhAFr0LFu/AAAAFQEAAAsA&#10;AAAAAAAAAAAAAAAAHwEAAF9yZWxzLy5yZWxzUEsBAi0AFAAGAAgAAAAhAN4hpsrEAAAA3gAAAA8A&#10;AAAAAAAAAAAAAAAABwIAAGRycy9kb3ducmV2LnhtbFBLBQYAAAAAAwADALcAAAD4AgAAAAA=&#10;" filled="f" stroked="f">
                  <v:textbox inset="0,0,0,0">
                    <w:txbxContent>
                      <w:p w14:paraId="4B2A68FB" w14:textId="77777777" w:rsidR="00B32EF2" w:rsidRDefault="00000000">
                        <w:r>
                          <w:rPr>
                            <w:rFonts w:ascii="Arial" w:eastAsia="Arial" w:hAnsi="Arial" w:cs="Arial"/>
                            <w:sz w:val="18"/>
                          </w:rPr>
                          <w:t xml:space="preserve">a) per i due terzi, dopo la sentenza della corte di giustizia tributaria di primo </w:t>
                        </w:r>
                      </w:p>
                    </w:txbxContent>
                  </v:textbox>
                </v:rect>
                <v:rect id="Rectangle 14456" o:spid="_x0000_s1340" style="position:absolute;left:20582;top:18033;width:193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zi9xAAAAN4AAAAPAAAAZHJzL2Rvd25yZXYueG1sRE9Ni8Iw&#10;EL0L/ocwgjdNFVekaxRRxB72sq4Lexyasa02k9BEW/31m4UFb/N4n7Ncd6YWd2p8ZVnBZJyAIM6t&#10;rrhQcPrajxYgfEDWWFsmBQ/ysF71e0tMtW35k+7HUIgYwj5FBWUILpXS5yUZ9GPriCN3to3BEGFT&#10;SN1gG8NNLadJMpcGK44NJTralpRfjzej4GfHLtu3Mj8/t+7jki3qw+30rdRw0G3eQQTqwkv87850&#10;nD+bvc3h7514g1z9AgAA//8DAFBLAQItABQABgAIAAAAIQDb4fbL7gAAAIUBAAATAAAAAAAAAAAA&#10;AAAAAAAAAABbQ29udGVudF9UeXBlc10ueG1sUEsBAi0AFAAGAAgAAAAhAFr0LFu/AAAAFQEAAAsA&#10;AAAAAAAAAAAAAAAAHwEAAF9yZWxzLy5yZWxzUEsBAi0AFAAGAAgAAAAhAC7zOL3EAAAA3gAAAA8A&#10;AAAAAAAAAAAAAAAABwIAAGRycy9kb3ducmV2LnhtbFBLBQYAAAAAAwADALcAAAD4AgAAAAA=&#10;" filled="f" stroked="f">
                  <v:textbox inset="0,0,0,0">
                    <w:txbxContent>
                      <w:p w14:paraId="66400DEB" w14:textId="77777777" w:rsidR="00B32EF2" w:rsidRDefault="00000000">
                        <w:r>
                          <w:rPr>
                            <w:rFonts w:ascii="Arial" w:eastAsia="Arial" w:hAnsi="Arial" w:cs="Arial"/>
                            <w:sz w:val="18"/>
                          </w:rPr>
                          <w:t>grado che respinge il ricorso;</w:t>
                        </w:r>
                      </w:p>
                    </w:txbxContent>
                  </v:textbox>
                </v:rect>
                <v:rect id="Rectangle 14457" o:spid="_x0000_s1341" style="position:absolute;left:-13164;top:16799;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50mxQAAAN4AAAAPAAAAZHJzL2Rvd25yZXYueG1sRE9La8JA&#10;EL4X/A/LCN7qpsWqRFcpiphDL/UBHofsmMRmZ5fsamJ/fbcgeJuP7znzZWdqcaPGV5YVvA0TEMS5&#10;1RUXCg77zesUhA/IGmvLpOBOHpaL3sscU21b/qbbLhQihrBPUUEZgkul9HlJBv3QOuLInW1jMETY&#10;FFI32MZwU8v3JBlLgxXHhhIdrUrKf3ZXo+C0ZpdtWpmff1fu65JN6+31cFRq0O8+ZyACdeEpfrgz&#10;HeePRh8T+H8n3iAXfwAAAP//AwBQSwECLQAUAAYACAAAACEA2+H2y+4AAACFAQAAEwAAAAAAAAAA&#10;AAAAAAAAAAAAW0NvbnRlbnRfVHlwZXNdLnhtbFBLAQItABQABgAIAAAAIQBa9CxbvwAAABUBAAAL&#10;AAAAAAAAAAAAAAAAAB8BAABfcmVscy8ucmVsc1BLAQItABQABgAIAAAAIQBBv50mxQAAAN4AAAAP&#10;AAAAAAAAAAAAAAAAAAcCAABkcnMvZG93bnJldi54bWxQSwUGAAAAAAMAAwC3AAAA+QIAAAAA&#10;" filled="f" stroked="f">
                  <v:textbox inset="0,0,0,0">
                    <w:txbxContent>
                      <w:p w14:paraId="645E7AFE" w14:textId="77777777" w:rsidR="00B32EF2" w:rsidRDefault="00000000">
                        <w:r>
                          <w:rPr>
                            <w:rFonts w:ascii="Arial" w:eastAsia="Arial" w:hAnsi="Arial" w:cs="Arial"/>
                            <w:sz w:val="18"/>
                          </w:rPr>
                          <w:t xml:space="preserve">b) per l’ammontare risultante dalla sentenza della corte di giustizia tributaria di </w:t>
                        </w:r>
                      </w:p>
                    </w:txbxContent>
                  </v:textbox>
                </v:rect>
                <v:rect id="Rectangle 14458" o:spid="_x0000_s1342" style="position:absolute;left:-12214;top:15566;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lUyAAAAN4AAAAPAAAAZHJzL2Rvd25yZXYueG1sRI9Pa8JA&#10;EMXvQr/DMgVvumnRIqmrFIs0h178U+hxyI5J2uzskl1N7Kd3DkJvM7w37/1muR5cqy7Uxcazgadp&#10;Boq49LbhysDxsJ0sQMWEbLH1TAauFGG9ehgtMbe+5x1d9qlSEsIxRwN1SiHXOpY1OYxTH4hFO/nO&#10;YZK1q7TtsJdw1+rnLHvRDhuWhhoDbWoqf/dnZ+D7nUOx7XV5+tuEz59i0X6cj1/GjB+Ht1dQiYb0&#10;b75fF1bwZ7O58Mo7MoNe3QAAAP//AwBQSwECLQAUAAYACAAAACEA2+H2y+4AAACFAQAAEwAAAAAA&#10;AAAAAAAAAAAAAAAAW0NvbnRlbnRfVHlwZXNdLnhtbFBLAQItABQABgAIAAAAIQBa9CxbvwAAABUB&#10;AAALAAAAAAAAAAAAAAAAAB8BAABfcmVscy8ucmVsc1BLAQItABQABgAIAAAAIQAwIAlUyAAAAN4A&#10;AAAPAAAAAAAAAAAAAAAAAAcCAABkcnMvZG93bnJldi54bWxQSwUGAAAAAAMAAwC3AAAA/AIAAAAA&#10;" filled="f" stroked="f">
                  <v:textbox inset="0,0,0,0">
                    <w:txbxContent>
                      <w:p w14:paraId="2226D835" w14:textId="77777777" w:rsidR="00B32EF2" w:rsidRDefault="00000000">
                        <w:r>
                          <w:rPr>
                            <w:rFonts w:ascii="Arial" w:eastAsia="Arial" w:hAnsi="Arial" w:cs="Arial"/>
                            <w:sz w:val="18"/>
                          </w:rPr>
                          <w:t>primo grado, e comunque non oltre i due terzi, se la stessa accoglie parzialmen</w:t>
                        </w:r>
                      </w:p>
                    </w:txbxContent>
                  </v:textbox>
                </v:rect>
                <v:rect id="Rectangle 14459" o:spid="_x0000_s1343" style="position:absolute;left:193;top:155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KzPxQAAAN4AAAAPAAAAZHJzL2Rvd25yZXYueG1sRE9Na8JA&#10;EL0L/Q/LFLzpRrHFRlcRRczBS62FHofsmESzs0t2NbG/3i0UvM3jfc582Zla3KjxlWUFo2ECgji3&#10;uuJCwfFrO5iC8AFZY22ZFNzJw3Lx0ptjqm3Ln3Q7hELEEPYpKihDcKmUPi/JoB9aRxy5k20Mhgib&#10;QuoG2xhuajlOkndpsOLYUKKjdUn55XA1Cn427LJtK/PT79rtz9m03l2P30r1X7vVDESgLjzF/+5M&#10;x/mTydsH/L0Tb5CLBwAAAP//AwBQSwECLQAUAAYACAAAACEA2+H2y+4AAACFAQAAEwAAAAAAAAAA&#10;AAAAAAAAAAAAW0NvbnRlbnRfVHlwZXNdLnhtbFBLAQItABQABgAIAAAAIQBa9CxbvwAAABUBAAAL&#10;AAAAAAAAAAAAAAAAAB8BAABfcmVscy8ucmVsc1BLAQItABQABgAIAAAAIQBfbKzPxQAAAN4AAAAP&#10;AAAAAAAAAAAAAAAAAAcCAABkcnMvZG93bnJldi54bWxQSwUGAAAAAAMAAwC3AAAA+QIAAAAA&#10;" filled="f" stroked="f">
                  <v:textbox inset="0,0,0,0">
                    <w:txbxContent>
                      <w:p w14:paraId="2859BF36" w14:textId="77777777" w:rsidR="00B32EF2" w:rsidRDefault="00000000">
                        <w:r>
                          <w:rPr>
                            <w:rFonts w:ascii="Arial" w:eastAsia="Arial" w:hAnsi="Arial" w:cs="Arial"/>
                            <w:sz w:val="18"/>
                          </w:rPr>
                          <w:t>-</w:t>
                        </w:r>
                      </w:p>
                    </w:txbxContent>
                  </v:textbox>
                </v:rect>
                <v:rect id="Rectangle 14460" o:spid="_x0000_s1344" style="position:absolute;left:31816;top:14333;width:8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s/vxwAAAN4AAAAPAAAAZHJzL2Rvd25yZXYueG1sRI9Pa8JA&#10;EMXvhX6HZQq91U2LiKSuUizSHLz4D3ocsmOSNju7ZFcT/fTOQfA2w7x57/1mi8G16kxdbDwbeB9l&#10;oIhLbxuuDOx3q7cpqJiQLbaeycCFIizmz08zzK3veUPnbaqUmHDM0UCdUsi1jmVNDuPIB2K5HX3n&#10;MMnaVdp22Iu5a/VHlk20w4YlocZAy5rK/+3JGfj95lCsel0er8uw/ium7c9pfzDm9WX4+gSVaEgP&#10;8f27sFJ/PJ4IgODIDHp+AwAA//8DAFBLAQItABQABgAIAAAAIQDb4fbL7gAAAIUBAAATAAAAAAAA&#10;AAAAAAAAAAAAAABbQ29udGVudF9UeXBlc10ueG1sUEsBAi0AFAAGAAgAAAAhAFr0LFu/AAAAFQEA&#10;AAsAAAAAAAAAAAAAAAAAHwEAAF9yZWxzLy5yZWxzUEsBAi0AFAAGAAgAAAAhAAA6z+/HAAAA3gAA&#10;AA8AAAAAAAAAAAAAAAAABwIAAGRycy9kb3ducmV2LnhtbFBLBQYAAAAAAwADALcAAAD7AgAAAAA=&#10;" filled="f" stroked="f">
                  <v:textbox inset="0,0,0,0">
                    <w:txbxContent>
                      <w:p w14:paraId="7B288A25" w14:textId="77777777" w:rsidR="00B32EF2" w:rsidRDefault="00000000">
                        <w:r>
                          <w:rPr>
                            <w:rFonts w:ascii="Arial" w:eastAsia="Arial" w:hAnsi="Arial" w:cs="Arial"/>
                            <w:sz w:val="18"/>
                          </w:rPr>
                          <w:t xml:space="preserve">te il ricorso; </w:t>
                        </w:r>
                      </w:p>
                    </w:txbxContent>
                  </v:textbox>
                </v:rect>
                <v:rect id="Rectangle 14461" o:spid="_x0000_s1345" style="position:absolute;left:-13164;top:13099;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mp0wwAAAN4AAAAPAAAAZHJzL2Rvd25yZXYueG1sRE9Li8Iw&#10;EL4v+B/CCHtbUxcRqUYRRbaHvfgCj0MzttVmEppou/vrjSB4m4/vObNFZ2pxp8ZXlhUMBwkI4tzq&#10;igsFh/3mawLCB2SNtWVS8EceFvPexwxTbVve0n0XChFD2KeooAzBpVL6vCSDfmAdceTOtjEYImwK&#10;qRtsY7ip5XeSjKXBimNDiY5WJeXX3c0oOK3ZZZtW5uf/lfu9ZJP653Y4KvXZ75ZTEIG68Ba/3JmO&#10;80ej8RCe78Qb5PwBAAD//wMAUEsBAi0AFAAGAAgAAAAhANvh9svuAAAAhQEAABMAAAAAAAAAAAAA&#10;AAAAAAAAAFtDb250ZW50X1R5cGVzXS54bWxQSwECLQAUAAYACAAAACEAWvQsW78AAAAVAQAACwAA&#10;AAAAAAAAAAAAAAAfAQAAX3JlbHMvLnJlbHNQSwECLQAUAAYACAAAACEAb3ZqdMMAAADeAAAADwAA&#10;AAAAAAAAAAAAAAAHAgAAZHJzL2Rvd25yZXYueG1sUEsFBgAAAAADAAMAtwAAAPcCAAAAAA==&#10;" filled="f" stroked="f">
                  <v:textbox inset="0,0,0,0">
                    <w:txbxContent>
                      <w:p w14:paraId="456BC505" w14:textId="77777777" w:rsidR="00B32EF2" w:rsidRDefault="00000000">
                        <w:r>
                          <w:rPr>
                            <w:rFonts w:ascii="Arial" w:eastAsia="Arial" w:hAnsi="Arial" w:cs="Arial"/>
                            <w:sz w:val="18"/>
                          </w:rPr>
                          <w:t xml:space="preserve">c) per il residuo ammontare determinato nella sentenza della corte di giustizia </w:t>
                        </w:r>
                      </w:p>
                    </w:txbxContent>
                  </v:textbox>
                </v:rect>
                <v:rect id="Rectangle 14462" o:spid="_x0000_s1346" style="position:absolute;left:21233;top:11866;width:186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PQDxAAAAN4AAAAPAAAAZHJzL2Rvd25yZXYueG1sRE9Li8Iw&#10;EL4v+B/CCN7WVBGRahRRxB72sj7A49CMbbWZhCbaur9+s7DgbT6+5yxWnanFkxpfWVYwGiYgiHOr&#10;Ky4UnI67zxkIH5A11pZJwYs8rJa9jwWm2rb8Tc9DKEQMYZ+igjIEl0rp85IM+qF1xJG72sZgiLAp&#10;pG6wjeGmluMkmUqDFceGEh1tSsrvh4dRcNmyy3atzK8/G/d1y2b1/nE6KzXod+s5iEBdeIv/3ZmO&#10;8yeT6Rj+3ok3yOUvAAAA//8DAFBLAQItABQABgAIAAAAIQDb4fbL7gAAAIUBAAATAAAAAAAAAAAA&#10;AAAAAAAAAABbQ29udGVudF9UeXBlc10ueG1sUEsBAi0AFAAGAAgAAAAhAFr0LFu/AAAAFQEAAAsA&#10;AAAAAAAAAAAAAAAAHwEAAF9yZWxzLy5yZWxzUEsBAi0AFAAGAAgAAAAhAJ+k9APEAAAA3gAAAA8A&#10;AAAAAAAAAAAAAAAABwIAAGRycy9kb3ducmV2LnhtbFBLBQYAAAAAAwADALcAAAD4AgAAAAA=&#10;" filled="f" stroked="f">
                  <v:textbox inset="0,0,0,0">
                    <w:txbxContent>
                      <w:p w14:paraId="01009F07" w14:textId="77777777" w:rsidR="00B32EF2" w:rsidRDefault="00000000">
                        <w:r>
                          <w:rPr>
                            <w:rFonts w:ascii="Arial" w:eastAsia="Arial" w:hAnsi="Arial" w:cs="Arial"/>
                            <w:sz w:val="18"/>
                          </w:rPr>
                          <w:t xml:space="preserve">tributaria di secondo grado; </w:t>
                        </w:r>
                      </w:p>
                    </w:txbxContent>
                  </v:textbox>
                </v:rect>
                <v:rect id="Rectangle 14463" o:spid="_x0000_s1347" style="position:absolute;left:-13163;top:10633;width:53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FGYxAAAAN4AAAAPAAAAZHJzL2Rvd25yZXYueG1sRE9Ni8Iw&#10;EL0L/ocwgjdNdUWkaxRRZHvwsq4Lexyasa02k9BEW/31m4UFb/N4n7Ncd6YWd2p8ZVnBZJyAIM6t&#10;rrhQcPrajxYgfEDWWFsmBQ/ysF71e0tMtW35k+7HUIgYwj5FBWUILpXS5yUZ9GPriCN3to3BEGFT&#10;SN1gG8NNLadJMpcGK44NJTralpRfjzej4GfHLtu3Mj8/t+5wyRb1x+30rdRw0G3eQQTqwkv87850&#10;nD+bzd/g7514g1z9AgAA//8DAFBLAQItABQABgAIAAAAIQDb4fbL7gAAAIUBAAATAAAAAAAAAAAA&#10;AAAAAAAAAABbQ29udGVudF9UeXBlc10ueG1sUEsBAi0AFAAGAAgAAAAhAFr0LFu/AAAAFQEAAAsA&#10;AAAAAAAAAAAAAAAAHwEAAF9yZWxzLy5yZWxzUEsBAi0AFAAGAAgAAAAhAPDoUZjEAAAA3gAAAA8A&#10;AAAAAAAAAAAAAAAABwIAAGRycy9kb3ducmV2LnhtbFBLBQYAAAAAAwADALcAAAD4AgAAAAA=&#10;" filled="f" stroked="f">
                  <v:textbox inset="0,0,0,0">
                    <w:txbxContent>
                      <w:p w14:paraId="57136384" w14:textId="77777777" w:rsidR="00B32EF2" w:rsidRDefault="00000000">
                        <w:r>
                          <w:rPr>
                            <w:rFonts w:ascii="Arial" w:eastAsia="Arial" w:hAnsi="Arial" w:cs="Arial"/>
                            <w:sz w:val="18"/>
                          </w:rPr>
                          <w:t xml:space="preserve">d) per l’ammontare dovuto nella pendenza del giudizio di primo grado dopo la </w:t>
                        </w:r>
                      </w:p>
                    </w:txbxContent>
                  </v:textbox>
                </v:rect>
                <v:rect id="Rectangle 14464" o:spid="_x0000_s1348" style="position:absolute;left:-12210;top:9400;width:5211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nsxAAAAN4AAAAPAAAAZHJzL2Rvd25yZXYueG1sRE9Na8JA&#10;EL0L/odlCr3pphJEUlcRRcyhl2oEj0N2TFKzs0t2NWl/fbdQ8DaP9znL9WBa8aDON5YVvE0TEMSl&#10;1Q1XCorTfrIA4QOyxtYyKfgmD+vVeLTETNueP+lxDJWIIewzVFCH4DIpfVmTQT+1jjhyV9sZDBF2&#10;ldQd9jHctHKWJHNpsOHYUKOjbU3l7Xg3Ci47dvm+l+X1Z+s+vvJFe7gXZ6VeX4bNO4hAQ3iK/925&#10;jvPTdJ7C3zvxBrn6BQAA//8DAFBLAQItABQABgAIAAAAIQDb4fbL7gAAAIUBAAATAAAAAAAAAAAA&#10;AAAAAAAAAABbQ29udGVudF9UeXBlc10ueG1sUEsBAi0AFAAGAAgAAAAhAFr0LFu/AAAAFQEAAAsA&#10;AAAAAAAAAAAAAAAAHwEAAF9yZWxzLy5yZWxzUEsBAi0AFAAGAAgAAAAhAH8ByezEAAAA3gAAAA8A&#10;AAAAAAAAAAAAAAAABwIAAGRycy9kb3ducmV2LnhtbFBLBQYAAAAAAwADALcAAAD4AgAAAAA=&#10;" filled="f" stroked="f">
                  <v:textbox inset="0,0,0,0">
                    <w:txbxContent>
                      <w:p w14:paraId="5D7B746E" w14:textId="77777777" w:rsidR="00B32EF2" w:rsidRDefault="00000000">
                        <w:r>
                          <w:rPr>
                            <w:rFonts w:ascii="Arial" w:eastAsia="Arial" w:hAnsi="Arial" w:cs="Arial"/>
                            <w:sz w:val="18"/>
                          </w:rPr>
                          <w:t>sentenza della Corte di cassazione di annullamento con rinvio e per l’intero im</w:t>
                        </w:r>
                      </w:p>
                    </w:txbxContent>
                  </v:textbox>
                </v:rect>
                <v:rect id="Rectangle 14465" o:spid="_x0000_s1349" style="position:absolute;left:193;top:940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Wx3xAAAAN4AAAAPAAAAZHJzL2Rvd25yZXYueG1sRE9Ni8Iw&#10;EL0L/ocwgjdNFVekaxRRxB72sq4Lexyasa02k9BEW/31m4UFb/N4n7Ncd6YWd2p8ZVnBZJyAIM6t&#10;rrhQcPrajxYgfEDWWFsmBQ/ysF71e0tMtW35k+7HUIgYwj5FBWUILpXS5yUZ9GPriCN3to3BEGFT&#10;SN1gG8NNLadJMpcGK44NJTralpRfjzej4GfHLtu3Mj8/t+7jki3qw+30rdRw0G3eQQTqwkv87850&#10;nD+bzd/g7514g1z9AgAA//8DAFBLAQItABQABgAIAAAAIQDb4fbL7gAAAIUBAAATAAAAAAAAAAAA&#10;AAAAAAAAAABbQ29udGVudF9UeXBlc10ueG1sUEsBAi0AFAAGAAgAAAAhAFr0LFu/AAAAFQEAAAsA&#10;AAAAAAAAAAAAAAAAHwEAAF9yZWxzLy5yZWxzUEsBAi0AFAAGAAgAAAAhABBNbHfEAAAA3gAAAA8A&#10;AAAAAAAAAAAAAAAABwIAAGRycy9kb3ducmV2LnhtbFBLBQYAAAAAAwADALcAAAD4AgAAAAA=&#10;" filled="f" stroked="f">
                  <v:textbox inset="0,0,0,0">
                    <w:txbxContent>
                      <w:p w14:paraId="67622F5D" w14:textId="77777777" w:rsidR="00B32EF2" w:rsidRDefault="00000000">
                        <w:r>
                          <w:rPr>
                            <w:rFonts w:ascii="Arial" w:eastAsia="Arial" w:hAnsi="Arial" w:cs="Arial"/>
                            <w:sz w:val="18"/>
                          </w:rPr>
                          <w:t>-</w:t>
                        </w:r>
                      </w:p>
                    </w:txbxContent>
                  </v:textbox>
                </v:rect>
                <v:rect id="Rectangle 14466" o:spid="_x0000_s1350" style="position:absolute;left:2621;top:8166;width:372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IAxAAAAN4AAAAPAAAAZHJzL2Rvd25yZXYueG1sRE9Na8JA&#10;EL0X/A/LFLzVTYsESV1FFGkOXqoRPA7ZMUnNzi7Z1UR/fbdQ8DaP9znz5WBacaPON5YVvE8SEMSl&#10;1Q1XCorD9m0Gwgdkja1lUnAnD8vF6GWOmbY9f9NtHyoRQ9hnqKAOwWVS+rImg35iHXHkzrYzGCLs&#10;Kqk77GO4aeVHkqTSYMOxoUZH65rKy/5qFJw27PJtL8vzY+12P/ms/boWR6XGr8PqE0SgITzF/+5c&#10;x/nTaZrC3zvxBrn4BQAA//8DAFBLAQItABQABgAIAAAAIQDb4fbL7gAAAIUBAAATAAAAAAAAAAAA&#10;AAAAAAAAAABbQ29udGVudF9UeXBlc10ueG1sUEsBAi0AFAAGAAgAAAAhAFr0LFu/AAAAFQEAAAsA&#10;AAAAAAAAAAAAAAAAHwEAAF9yZWxzLy5yZWxzUEsBAi0AFAAGAAgAAAAhAOCf8gDEAAAA3gAAAA8A&#10;AAAAAAAAAAAAAAAABwIAAGRycy9kb3ducmV2LnhtbFBLBQYAAAAAAwADALcAAAD4AgAAAAA=&#10;" filled="f" stroked="f">
                  <v:textbox inset="0,0,0,0">
                    <w:txbxContent>
                      <w:p w14:paraId="2C92FD58" w14:textId="77777777" w:rsidR="00B32EF2" w:rsidRDefault="00000000">
                        <w:r>
                          <w:rPr>
                            <w:rFonts w:ascii="Arial" w:eastAsia="Arial" w:hAnsi="Arial" w:cs="Arial"/>
                            <w:sz w:val="18"/>
                          </w:rPr>
                          <w:t xml:space="preserve">porto indicato nell’atto in caso di mancata riassunzione. </w:t>
                        </w:r>
                      </w:p>
                    </w:txbxContent>
                  </v:textbox>
                </v:rect>
                <v:rect id="Rectangle 14467" o:spid="_x0000_s1351" style="position:absolute;left:-13162;top:6933;width:530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1ebxAAAAN4AAAAPAAAAZHJzL2Rvd25yZXYueG1sRE9Ni8Iw&#10;EL0L/ocwgjdNFXGlaxRRxB72sq4Lexyasa02k9BEW/31m4UFb/N4n7Ncd6YWd2p8ZVnBZJyAIM6t&#10;rrhQcPrajxYgfEDWWFsmBQ/ysF71e0tMtW35k+7HUIgYwj5FBWUILpXS5yUZ9GPriCN3to3BEGFT&#10;SN1gG8NNLadJMpcGK44NJTralpRfjzej4GfHLtu3Mj8/t+7jki3qw+30rdRw0G3eQQTqwkv87850&#10;nD+bzd/g7514g1z9AgAA//8DAFBLAQItABQABgAIAAAAIQDb4fbL7gAAAIUBAAATAAAAAAAAAAAA&#10;AAAAAAAAAABbQ29udGVudF9UeXBlc10ueG1sUEsBAi0AFAAGAAgAAAAhAFr0LFu/AAAAFQEAAAsA&#10;AAAAAAAAAAAAAAAAHwEAAF9yZWxzLy5yZWxzUEsBAi0AFAAGAAgAAAAhAI/TV5vEAAAA3gAAAA8A&#10;AAAAAAAAAAAAAAAABwIAAGRycy9kb3ducmV2LnhtbFBLBQYAAAAAAwADALcAAAD4AgAAAAA=&#10;" filled="f" stroked="f">
                  <v:textbox inset="0,0,0,0">
                    <w:txbxContent>
                      <w:p w14:paraId="14E72661" w14:textId="77777777" w:rsidR="00B32EF2" w:rsidRDefault="00000000">
                        <w:r>
                          <w:rPr>
                            <w:rFonts w:ascii="Arial" w:eastAsia="Arial" w:hAnsi="Arial" w:cs="Arial"/>
                            <w:sz w:val="18"/>
                          </w:rPr>
                          <w:t xml:space="preserve">Per le ipotesi indicate nelle precedenti lettere gli importi da versare vanno in ogni </w:t>
                        </w:r>
                      </w:p>
                    </w:txbxContent>
                  </v:textbox>
                </v:rect>
                <v:rect id="Rectangle 14468" o:spid="_x0000_s1352" style="position:absolute;left:13182;top:5700;width:267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PpxwAAAN4AAAAPAAAAZHJzL2Rvd25yZXYueG1sRI9Pa8JA&#10;EMXvhX6HZQq91U2LiKSuUizSHLz4D3ocsmOSNju7ZFcT/fTOQfA2w3vz3m9mi8G16kxdbDwbeB9l&#10;oIhLbxuuDOx3q7cpqJiQLbaeycCFIizmz08zzK3veUPnbaqUhHDM0UCdUsi1jmVNDuPIB2LRjr5z&#10;mGTtKm077CXctfojyybaYcPSUGOgZU3l//bkDPx+cyhWvS6P12VY/xXT9ue0Pxjz+jJ8fYJKNKSH&#10;+X5dWMEfjyfCK+/IDHp+AwAA//8DAFBLAQItABQABgAIAAAAIQDb4fbL7gAAAIUBAAATAAAAAAAA&#10;AAAAAAAAAAAAAABbQ29udGVudF9UeXBlc10ueG1sUEsBAi0AFAAGAAgAAAAhAFr0LFu/AAAAFQEA&#10;AAsAAAAAAAAAAAAAAAAAHwEAAF9yZWxzLy5yZWxzUEsBAi0AFAAGAAgAAAAhAP5Mw+nHAAAA3gAA&#10;AA8AAAAAAAAAAAAAAAAABwIAAGRycy9kb3ducmV2LnhtbFBLBQYAAAAAAwADALcAAAD7AgAAAAA=&#10;" filled="f" stroked="f">
                  <v:textbox inset="0,0,0,0">
                    <w:txbxContent>
                      <w:p w14:paraId="6A4ED6D7" w14:textId="77777777" w:rsidR="00B32EF2" w:rsidRDefault="00000000">
                        <w:r>
                          <w:rPr>
                            <w:rFonts w:ascii="Arial" w:eastAsia="Arial" w:hAnsi="Arial" w:cs="Arial"/>
                            <w:sz w:val="18"/>
                          </w:rPr>
                          <w:t xml:space="preserve">caso diminuiti di quanto già corrisposto. </w:t>
                        </w:r>
                      </w:p>
                    </w:txbxContent>
                  </v:textbox>
                </v:rect>
                <v:rect id="Rectangle 199660" o:spid="_x0000_s1353" style="position:absolute;left:-13783;top:4466;width:530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HXXxAAAAN8AAAAPAAAAZHJzL2Rvd25yZXYueG1sRE89b8Iw&#10;EN0r8R+sQ+pWHDpEkGIQokLN0KUUpI6n+EgC8dmKDUn763tDpY5P73u1GV2n7tTH1rOB+SwDRVx5&#10;23Jt4Pi5f1qAignZYueZDHxThM168rDCwvqBP+h+SLWSEI4FGmhSCoXWsWrIYZz5QCzc2fcOk8C+&#10;1rbHQcJdp5+zLNcOW5aGBgPtGqquh5sz8PXKodwPujr/7ML7pVx0b7fjyZjH6bh9AZVoTP/iP3dp&#10;Zf5ymefyQP4IAL3+BQAA//8DAFBLAQItABQABgAIAAAAIQDb4fbL7gAAAIUBAAATAAAAAAAAAAAA&#10;AAAAAAAAAABbQ29udGVudF9UeXBlc10ueG1sUEsBAi0AFAAGAAgAAAAhAFr0LFu/AAAAFQEAAAsA&#10;AAAAAAAAAAAAAAAAHwEAAF9yZWxzLy5yZWxzUEsBAi0AFAAGAAgAAAAhAAG4ddfEAAAA3wAAAA8A&#10;AAAAAAAAAAAAAAAABwIAAGRycy9kb3ducmV2LnhtbFBLBQYAAAAAAwADALcAAAD4AgAAAAA=&#10;" filled="f" stroked="f">
                  <v:textbox inset="0,0,0,0">
                    <w:txbxContent>
                      <w:p w14:paraId="02700EC8" w14:textId="77777777" w:rsidR="00B32EF2" w:rsidRDefault="00000000">
                        <w:r>
                          <w:rPr>
                            <w:rFonts w:ascii="Arial" w:eastAsia="Arial" w:hAnsi="Arial" w:cs="Arial"/>
                            <w:sz w:val="18"/>
                          </w:rPr>
                          <w:t xml:space="preserve">. Se il ricorso viene accolto, il tributo corrisposto in eccedenza rispetto a quanto </w:t>
                        </w:r>
                      </w:p>
                    </w:txbxContent>
                  </v:textbox>
                </v:rect>
                <v:rect id="Rectangle 199657" o:spid="_x0000_s1354" style="position:absolute;left:26132;top:4466;width:530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cexQAAAN8AAAAPAAAAZHJzL2Rvd25yZXYueG1sRE/LasJA&#10;FN0L/sNwBXc6aaE+UkcpFjELNz4KXV4y1yRt5s6QGU3ar3cEweXhvBerztTiSo2vLCt4GScgiHOr&#10;Ky4UnI6b0QyED8gaa8uk4I88rJb93gJTbVve0/UQChFD2KeooAzBpVL6vCSDfmwdceTOtjEYImwK&#10;qRtsY7ip5WuSTKTBimNDiY7WJeW/h4tR8P3JLtu0Mj//r93uJ5vV28vpS6nhoPt4BxGoC0/xw53p&#10;OH8+n7xN4f4nApDLGwAAAP//AwBQSwECLQAUAAYACAAAACEA2+H2y+4AAACFAQAAEwAAAAAAAAAA&#10;AAAAAAAAAAAAW0NvbnRlbnRfVHlwZXNdLnhtbFBLAQItABQABgAIAAAAIQBa9CxbvwAAABUBAAAL&#10;AAAAAAAAAAAAAAAAAB8BAABfcmVscy8ucmVsc1BLAQItABQABgAIAAAAIQBAPScexQAAAN8AAAAP&#10;AAAAAAAAAAAAAAAAAAcCAABkcnMvZG93bnJldi54bWxQSwUGAAAAAAMAAwC3AAAA+QIAAAAA&#10;" filled="f" stroked="f">
                  <v:textbox inset="0,0,0,0">
                    <w:txbxContent>
                      <w:p w14:paraId="6434F1FE" w14:textId="77777777" w:rsidR="00B32EF2" w:rsidRDefault="00000000">
                        <w:r>
                          <w:rPr>
                            <w:rFonts w:ascii="Arial" w:eastAsia="Arial" w:hAnsi="Arial" w:cs="Arial"/>
                            <w:sz w:val="18"/>
                          </w:rPr>
                          <w:t>2</w:t>
                        </w:r>
                      </w:p>
                    </w:txbxContent>
                  </v:textbox>
                </v:rect>
                <v:shape id="Shape 207712" o:spid="_x0000_s1355" style="position:absolute;left:384;top:57381;width:39600;height:3833;visibility:visible;mso-wrap-style:square;v-text-anchor:top" coordsize="3960000,38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4OJxQAAAN8AAAAPAAAAZHJzL2Rvd25yZXYueG1sRI9BawIx&#10;FITvhf6H8ARvNXEPa90aRUpbxItUe+jxsXndLG5eliTV9d8bQfA4zMw3zGI1uE6cKMTWs4bpRIEg&#10;rr1pudHwc/h8eQURE7LBzjNpuFCE1fL5aYGV8Wf+ptM+NSJDOFaowabUV1LG2pLDOPE9cfb+fHCY&#10;sgyNNAHPGe46WShVSoct5wWLPb1bqo/7f5cprWW82LKfh92wPSj8KH+/jlqPR8P6DUSiIT3C9/bG&#10;aCjUbDYt4PYnfwG5vAIAAP//AwBQSwECLQAUAAYACAAAACEA2+H2y+4AAACFAQAAEwAAAAAAAAAA&#10;AAAAAAAAAAAAW0NvbnRlbnRfVHlwZXNdLnhtbFBLAQItABQABgAIAAAAIQBa9CxbvwAAABUBAAAL&#10;AAAAAAAAAAAAAAAAAB8BAABfcmVscy8ucmVsc1BLAQItABQABgAIAAAAIQAh94OJxQAAAN8AAAAP&#10;AAAAAAAAAAAAAAAAAAcCAABkcnMvZG93bnJldi54bWxQSwUGAAAAAAMAAwC3AAAA+QIAAAAA&#10;" path="m,l3960000,r,383299l,383299,,e" fillcolor="#c3c3c3" stroked="f" strokeweight="0">
                  <v:stroke miterlimit="83231f" joinstyle="miter"/>
                  <v:path arrowok="t" textboxrect="0,0,3960000,383299"/>
                </v:shape>
                <v:rect id="Rectangle 14471" o:spid="_x0000_s1356" style="position:absolute;left:23354;top:5900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ypxAAAAN4AAAAPAAAAZHJzL2Rvd25yZXYueG1sRE9Li8Iw&#10;EL4L+x/CLHjT1EVWqUZZXGR78LI+wOPQjG21mYQm2uqv3ywI3ubje8582Zla3KjxlWUFo2ECgji3&#10;uuJCwX63HkxB+ICssbZMCu7kYbl4680x1bblX7ptQyFiCPsUFZQhuFRKn5dk0A+tI47cyTYGQ4RN&#10;IXWDbQw3tfxIkk9psOLYUKKjVUn5ZXs1Co7f7LJ1K/PTY+U252xa/1z3B6X6793XDESgLrzET3em&#10;4/zxeDKC/3fiDXLxBwAA//8DAFBLAQItABQABgAIAAAAIQDb4fbL7gAAAIUBAAATAAAAAAAAAAAA&#10;AAAAAAAAAABbQ29udGVudF9UeXBlc10ueG1sUEsBAi0AFAAGAAgAAAAhAFr0LFu/AAAAFQEAAAsA&#10;AAAAAAAAAAAAAAAAHwEAAF9yZWxzLy5yZWxzUEsBAi0AFAAGAAgAAAAhAOqv/KnEAAAA3gAAAA8A&#10;AAAAAAAAAAAAAAAABwIAAGRycy9kb3ducmV2LnhtbFBLBQYAAAAAAwADALcAAAD4AgAAAAA=&#10;" filled="f" stroked="f">
                  <v:textbox inset="0,0,0,0">
                    <w:txbxContent>
                      <w:p w14:paraId="1EE138AA" w14:textId="77777777" w:rsidR="00B32EF2" w:rsidRDefault="00000000">
                        <w:r>
                          <w:rPr>
                            <w:rFonts w:ascii="Arial" w:eastAsia="Arial" w:hAnsi="Arial" w:cs="Arial"/>
                            <w:b/>
                            <w:i/>
                            <w:sz w:val="18"/>
                          </w:rPr>
                          <w:t>NORME RICHIAMATE</w:t>
                        </w:r>
                      </w:p>
                    </w:txbxContent>
                  </v:textbox>
                </v:rect>
                <v:rect id="Rectangle 14472" o:spid="_x0000_s1357" style="position:absolute;left:14529;top:57769;width:246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LexAAAAN4AAAAPAAAAZHJzL2Rvd25yZXYueG1sRE9Ni8Iw&#10;EL0v+B/CCN7WVJFd6RpFFLEHL7ou7HFoxrbaTEITbfXXb4QFb/N4nzNbdKYWN2p8ZVnBaJiAIM6t&#10;rrhQcPzevE9B+ICssbZMCu7kYTHvvc0w1bblPd0OoRAxhH2KCsoQXCqlz0sy6IfWEUfuZBuDIcKm&#10;kLrBNoabWo6T5EMarDg2lOhoVVJ+OVyNgt81u2zTyvz0WLndOZvW2+vxR6lBv1t+gQjUhZf4353p&#10;OH8y+RzD8514g5z/AQAA//8DAFBLAQItABQABgAIAAAAIQDb4fbL7gAAAIUBAAATAAAAAAAAAAAA&#10;AAAAAAAAAABbQ29udGVudF9UeXBlc10ueG1sUEsBAi0AFAAGAAgAAAAhAFr0LFu/AAAAFQEAAAsA&#10;AAAAAAAAAAAAAAAAHwEAAF9yZWxzLy5yZWxzUEsBAi0AFAAGAAgAAAAhABp9Yt7EAAAA3gAAAA8A&#10;AAAAAAAAAAAAAAAABwIAAGRycy9kb3ducmV2LnhtbFBLBQYAAAAAAwADALcAAAD4AgAAAAA=&#10;" filled="f" stroked="f">
                  <v:textbox inset="0,0,0,0">
                    <w:txbxContent>
                      <w:p w14:paraId="73139AD5" w14:textId="77777777" w:rsidR="00B32EF2" w:rsidRDefault="00000000">
                        <w:r>
                          <w:rPr>
                            <w:rFonts w:ascii="Arial" w:eastAsia="Arial" w:hAnsi="Arial" w:cs="Arial"/>
                            <w:i/>
                            <w:sz w:val="18"/>
                          </w:rPr>
                          <w:t>art. 395 c.p.c. “Casi di revocazione”.</w:t>
                        </w:r>
                      </w:p>
                    </w:txbxContent>
                  </v:textbox>
                </v:rect>
                <v:shape id="Shape 14473" o:spid="_x0000_s1358" style="position:absolute;left:384;top:57381;width:39600;height:3833;visibility:visible;mso-wrap-style:square;v-text-anchor:top" coordsize="3960000,383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fppxwAAAN4AAAAPAAAAZHJzL2Rvd25yZXYueG1sRI/RasJA&#10;EEXfC/7DMoIvpW60oiXNKqIIxYdC1Q8YspNsanY2Zjcx/n23UOjbDPfOPXeyzWBr0VPrK8cKZtME&#10;BHHudMWlgsv58PIGwgdkjbVjUvAgD5v16CnDVLs7f1F/CqWIIexTVGBCaFIpfW7Iop+6hjhqhWst&#10;hri2pdQt3mO4reU8SZbSYsWRYLChnaH8euqsgr02y74rIvb6vV3Jz3B87o43pSbjYfsOItAQ/s1/&#10;1x861l8sVq/w+06cQa5/AAAA//8DAFBLAQItABQABgAIAAAAIQDb4fbL7gAAAIUBAAATAAAAAAAA&#10;AAAAAAAAAAAAAABbQ29udGVudF9UeXBlc10ueG1sUEsBAi0AFAAGAAgAAAAhAFr0LFu/AAAAFQEA&#10;AAsAAAAAAAAAAAAAAAAAHwEAAF9yZWxzLy5yZWxzUEsBAi0AFAAGAAgAAAAhAANd+mnHAAAA3gAA&#10;AA8AAAAAAAAAAAAAAAAABwIAAGRycy9kb3ducmV2LnhtbFBLBQYAAAAAAwADALcAAAD7AgAAAAA=&#10;" path="m,383298r3960000,l3960000,,,,,383298xe" filled="f" strokeweight="1pt">
                  <v:stroke miterlimit="1" joinstyle="miter"/>
                  <v:path arrowok="t" textboxrect="0,0,3960000,383298"/>
                </v:shape>
                <w10:anchorlock/>
              </v:group>
            </w:pict>
          </mc:Fallback>
        </mc:AlternateContent>
      </w:r>
    </w:p>
    <w:p w14:paraId="00C3C3BD" w14:textId="77777777" w:rsidR="00B32EF2" w:rsidRDefault="00000000">
      <w:pPr>
        <w:spacing w:after="0"/>
        <w:ind w:left="-356" w:right="-306"/>
      </w:pPr>
      <w:r>
        <w:rPr>
          <w:noProof/>
        </w:rPr>
        <w:lastRenderedPageBreak/>
        <mc:AlternateContent>
          <mc:Choice Requires="wpg">
            <w:drawing>
              <wp:inline distT="0" distB="0" distL="0" distR="0" wp14:anchorId="51574087" wp14:editId="1B535D47">
                <wp:extent cx="3992017" cy="6301621"/>
                <wp:effectExtent l="0" t="0" r="0" b="0"/>
                <wp:docPr id="199840" name="Group 199840"/>
                <wp:cNvGraphicFramePr/>
                <a:graphic xmlns:a="http://schemas.openxmlformats.org/drawingml/2006/main">
                  <a:graphicData uri="http://schemas.microsoft.com/office/word/2010/wordprocessingGroup">
                    <wpg:wgp>
                      <wpg:cNvGrpSpPr/>
                      <wpg:grpSpPr>
                        <a:xfrm>
                          <a:off x="0" y="0"/>
                          <a:ext cx="3992017" cy="6301621"/>
                          <a:chOff x="0" y="0"/>
                          <a:chExt cx="3992017" cy="6301621"/>
                        </a:xfrm>
                      </wpg:grpSpPr>
                      <wps:wsp>
                        <wps:cNvPr id="14493" name="Rectangle 14493"/>
                        <wps:cNvSpPr/>
                        <wps:spPr>
                          <a:xfrm rot="-10799999">
                            <a:off x="1844920" y="-62190"/>
                            <a:ext cx="267553" cy="250646"/>
                          </a:xfrm>
                          <a:prstGeom prst="rect">
                            <a:avLst/>
                          </a:prstGeom>
                          <a:ln>
                            <a:noFill/>
                          </a:ln>
                        </wps:spPr>
                        <wps:txbx>
                          <w:txbxContent>
                            <w:p w14:paraId="5CDCE0C7" w14:textId="77777777" w:rsidR="00B32EF2" w:rsidRDefault="00000000">
                              <w:r>
                                <w:rPr>
                                  <w:rFonts w:ascii="Times New Roman" w:eastAsia="Times New Roman" w:hAnsi="Times New Roman" w:cs="Times New Roman"/>
                                </w:rPr>
                                <w:t>101</w:t>
                              </w:r>
                            </w:p>
                          </w:txbxContent>
                        </wps:txbx>
                        <wps:bodyPr horzOverflow="overflow" vert="horz" lIns="0" tIns="0" rIns="0" bIns="0" rtlCol="0">
                          <a:noAutofit/>
                        </wps:bodyPr>
                      </wps:wsp>
                      <wps:wsp>
                        <wps:cNvPr id="14494" name="Rectangle 14494"/>
                        <wps:cNvSpPr/>
                        <wps:spPr>
                          <a:xfrm rot="-10799999">
                            <a:off x="1459272" y="4886478"/>
                            <a:ext cx="886712" cy="142889"/>
                          </a:xfrm>
                          <a:prstGeom prst="rect">
                            <a:avLst/>
                          </a:prstGeom>
                          <a:ln>
                            <a:noFill/>
                          </a:ln>
                        </wps:spPr>
                        <wps:txbx>
                          <w:txbxContent>
                            <w:p w14:paraId="69706B53" w14:textId="77777777" w:rsidR="00B32EF2" w:rsidRDefault="00000000">
                              <w:r>
                                <w:rPr>
                                  <w:rFonts w:ascii="Arial" w:eastAsia="Arial" w:hAnsi="Arial" w:cs="Arial"/>
                                  <w:b/>
                                  <w:sz w:val="18"/>
                                </w:rPr>
                                <w:t>Articolo 121</w:t>
                              </w:r>
                            </w:p>
                          </w:txbxContent>
                        </wps:txbx>
                        <wps:bodyPr horzOverflow="overflow" vert="horz" lIns="0" tIns="0" rIns="0" bIns="0" rtlCol="0">
                          <a:noAutofit/>
                        </wps:bodyPr>
                      </wps:wsp>
                      <wps:wsp>
                        <wps:cNvPr id="199652" name="Rectangle 199652"/>
                        <wps:cNvSpPr/>
                        <wps:spPr>
                          <a:xfrm rot="-10799999">
                            <a:off x="1161725" y="4763148"/>
                            <a:ext cx="1944308" cy="142889"/>
                          </a:xfrm>
                          <a:prstGeom prst="rect">
                            <a:avLst/>
                          </a:prstGeom>
                          <a:ln>
                            <a:noFill/>
                          </a:ln>
                        </wps:spPr>
                        <wps:txbx>
                          <w:txbxContent>
                            <w:p w14:paraId="53BD2FF3" w14:textId="77777777" w:rsidR="00B32EF2" w:rsidRDefault="00000000">
                              <w:r>
                                <w:rPr>
                                  <w:rFonts w:ascii="Arial" w:eastAsia="Arial" w:hAnsi="Arial" w:cs="Arial"/>
                                  <w:i/>
                                  <w:sz w:val="18"/>
                                </w:rPr>
                                <w:t xml:space="preserve">articolo 65 D.lgs. n. </w:t>
                              </w:r>
                            </w:p>
                          </w:txbxContent>
                        </wps:txbx>
                        <wps:bodyPr horzOverflow="overflow" vert="horz" lIns="0" tIns="0" rIns="0" bIns="0" rtlCol="0">
                          <a:noAutofit/>
                        </wps:bodyPr>
                      </wps:wsp>
                      <wps:wsp>
                        <wps:cNvPr id="199651" name="Rectangle 199651"/>
                        <wps:cNvSpPr/>
                        <wps:spPr>
                          <a:xfrm rot="-10799999">
                            <a:off x="-265000" y="4763148"/>
                            <a:ext cx="1944308" cy="142889"/>
                          </a:xfrm>
                          <a:prstGeom prst="rect">
                            <a:avLst/>
                          </a:prstGeom>
                          <a:ln>
                            <a:noFill/>
                          </a:ln>
                        </wps:spPr>
                        <wps:txbx>
                          <w:txbxContent>
                            <w:p w14:paraId="4A937151"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650" name="Rectangle 199650"/>
                        <wps:cNvSpPr/>
                        <wps:spPr>
                          <a:xfrm rot="-10799999">
                            <a:off x="2222350" y="4763148"/>
                            <a:ext cx="1944308" cy="142889"/>
                          </a:xfrm>
                          <a:prstGeom prst="rect">
                            <a:avLst/>
                          </a:prstGeom>
                          <a:ln>
                            <a:noFill/>
                          </a:ln>
                        </wps:spPr>
                        <wps:txbx>
                          <w:txbxContent>
                            <w:p w14:paraId="60F4F85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496" name="Rectangle 14496"/>
                        <wps:cNvSpPr/>
                        <wps:spPr>
                          <a:xfrm rot="-10799999">
                            <a:off x="434249" y="4639818"/>
                            <a:ext cx="2502552" cy="142889"/>
                          </a:xfrm>
                          <a:prstGeom prst="rect">
                            <a:avLst/>
                          </a:prstGeom>
                          <a:ln>
                            <a:noFill/>
                          </a:ln>
                        </wps:spPr>
                        <wps:txbx>
                          <w:txbxContent>
                            <w:p w14:paraId="5A22B1C9" w14:textId="77777777" w:rsidR="00B32EF2" w:rsidRDefault="00000000">
                              <w:r>
                                <w:rPr>
                                  <w:rFonts w:ascii="Arial" w:eastAsia="Arial" w:hAnsi="Arial" w:cs="Arial"/>
                                  <w:b/>
                                  <w:sz w:val="18"/>
                                </w:rPr>
                                <w:t xml:space="preserve">Proposizione della impugnazione </w:t>
                              </w:r>
                            </w:p>
                          </w:txbxContent>
                        </wps:txbx>
                        <wps:bodyPr horzOverflow="overflow" vert="horz" lIns="0" tIns="0" rIns="0" bIns="0" rtlCol="0">
                          <a:noAutofit/>
                        </wps:bodyPr>
                      </wps:wsp>
                      <wps:wsp>
                        <wps:cNvPr id="199647" name="Rectangle 199647"/>
                        <wps:cNvSpPr/>
                        <wps:spPr>
                          <a:xfrm rot="-10799999">
                            <a:off x="2611082" y="4516489"/>
                            <a:ext cx="5309005" cy="142889"/>
                          </a:xfrm>
                          <a:prstGeom prst="rect">
                            <a:avLst/>
                          </a:prstGeom>
                          <a:ln>
                            <a:noFill/>
                          </a:ln>
                        </wps:spPr>
                        <wps:txbx>
                          <w:txbxContent>
                            <w:p w14:paraId="4C10B442"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9648" name="Rectangle 199648"/>
                        <wps:cNvSpPr/>
                        <wps:spPr>
                          <a:xfrm rot="-10799999">
                            <a:off x="-1376285" y="4516489"/>
                            <a:ext cx="5309006" cy="142889"/>
                          </a:xfrm>
                          <a:prstGeom prst="rect">
                            <a:avLst/>
                          </a:prstGeom>
                          <a:ln>
                            <a:noFill/>
                          </a:ln>
                        </wps:spPr>
                        <wps:txbx>
                          <w:txbxContent>
                            <w:p w14:paraId="2AE8E079" w14:textId="77777777" w:rsidR="00B32EF2" w:rsidRDefault="00000000">
                              <w:r>
                                <w:rPr>
                                  <w:rFonts w:ascii="Arial" w:eastAsia="Arial" w:hAnsi="Arial" w:cs="Arial"/>
                                  <w:sz w:val="18"/>
                                </w:rPr>
                                <w:t xml:space="preserve">. Competente per la revocazione è la stessa corte di giustizia tributaria di </w:t>
                              </w:r>
                            </w:p>
                          </w:txbxContent>
                        </wps:txbx>
                        <wps:bodyPr horzOverflow="overflow" vert="horz" lIns="0" tIns="0" rIns="0" bIns="0" rtlCol="0">
                          <a:noAutofit/>
                        </wps:bodyPr>
                      </wps:wsp>
                      <wps:wsp>
                        <wps:cNvPr id="14498" name="Rectangle 14498"/>
                        <wps:cNvSpPr/>
                        <wps:spPr>
                          <a:xfrm rot="-10799999">
                            <a:off x="-561140" y="4393159"/>
                            <a:ext cx="4553046" cy="142889"/>
                          </a:xfrm>
                          <a:prstGeom prst="rect">
                            <a:avLst/>
                          </a:prstGeom>
                          <a:ln>
                            <a:noFill/>
                          </a:ln>
                        </wps:spPr>
                        <wps:txbx>
                          <w:txbxContent>
                            <w:p w14:paraId="48434831" w14:textId="77777777" w:rsidR="00B32EF2" w:rsidRDefault="00000000">
                              <w:r>
                                <w:rPr>
                                  <w:rFonts w:ascii="Arial" w:eastAsia="Arial" w:hAnsi="Arial" w:cs="Arial"/>
                                  <w:sz w:val="18"/>
                                </w:rPr>
                                <w:t>primo o secondo grado che ha pronunciato la sentenza impugnata.</w:t>
                              </w:r>
                            </w:p>
                          </w:txbxContent>
                        </wps:txbx>
                        <wps:bodyPr horzOverflow="overflow" vert="horz" lIns="0" tIns="0" rIns="0" bIns="0" rtlCol="0">
                          <a:noAutofit/>
                        </wps:bodyPr>
                      </wps:wsp>
                      <wps:wsp>
                        <wps:cNvPr id="199640" name="Rectangle 199640"/>
                        <wps:cNvSpPr/>
                        <wps:spPr>
                          <a:xfrm rot="-10799999">
                            <a:off x="2611074" y="4269829"/>
                            <a:ext cx="5309036" cy="142889"/>
                          </a:xfrm>
                          <a:prstGeom prst="rect">
                            <a:avLst/>
                          </a:prstGeom>
                          <a:ln>
                            <a:noFill/>
                          </a:ln>
                        </wps:spPr>
                        <wps:txbx>
                          <w:txbxContent>
                            <w:p w14:paraId="13C502D8"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99642" name="Rectangle 199642"/>
                        <wps:cNvSpPr/>
                        <wps:spPr>
                          <a:xfrm rot="-10799999">
                            <a:off x="-1381687" y="4269829"/>
                            <a:ext cx="5309036" cy="142889"/>
                          </a:xfrm>
                          <a:prstGeom prst="rect">
                            <a:avLst/>
                          </a:prstGeom>
                          <a:ln>
                            <a:noFill/>
                          </a:ln>
                        </wps:spPr>
                        <wps:txbx>
                          <w:txbxContent>
                            <w:p w14:paraId="2460D082" w14:textId="77777777" w:rsidR="00B32EF2" w:rsidRDefault="00000000">
                              <w:r>
                                <w:rPr>
                                  <w:rFonts w:ascii="Arial" w:eastAsia="Arial" w:hAnsi="Arial" w:cs="Arial"/>
                                  <w:sz w:val="18"/>
                                </w:rPr>
                                <w:t xml:space="preserve">. A pena di inammissibilità il ricorso deve contenere gli elementi previsti </w:t>
                              </w:r>
                            </w:p>
                          </w:txbxContent>
                        </wps:txbx>
                        <wps:bodyPr horzOverflow="overflow" vert="horz" lIns="0" tIns="0" rIns="0" bIns="0" rtlCol="0">
                          <a:noAutofit/>
                        </wps:bodyPr>
                      </wps:wsp>
                      <wps:wsp>
                        <wps:cNvPr id="14500" name="Rectangle 14500"/>
                        <wps:cNvSpPr/>
                        <wps:spPr>
                          <a:xfrm rot="-10799999">
                            <a:off x="-1317084" y="4146499"/>
                            <a:ext cx="5308990" cy="142889"/>
                          </a:xfrm>
                          <a:prstGeom prst="rect">
                            <a:avLst/>
                          </a:prstGeom>
                          <a:ln>
                            <a:noFill/>
                          </a:ln>
                        </wps:spPr>
                        <wps:txbx>
                          <w:txbxContent>
                            <w:p w14:paraId="7659AFE5" w14:textId="77777777" w:rsidR="00B32EF2" w:rsidRDefault="00000000">
                              <w:r>
                                <w:rPr>
                                  <w:rFonts w:ascii="Arial" w:eastAsia="Arial" w:hAnsi="Arial" w:cs="Arial"/>
                                  <w:sz w:val="18"/>
                                </w:rPr>
                                <w:t xml:space="preserve">dall’articolo 107, comma 1, e la specifica indicazione del motivo di revocazione </w:t>
                              </w:r>
                            </w:p>
                          </w:txbxContent>
                        </wps:txbx>
                        <wps:bodyPr horzOverflow="overflow" vert="horz" lIns="0" tIns="0" rIns="0" bIns="0" rtlCol="0">
                          <a:noAutofit/>
                        </wps:bodyPr>
                      </wps:wsp>
                      <wps:wsp>
                        <wps:cNvPr id="14501" name="Rectangle 14501"/>
                        <wps:cNvSpPr/>
                        <wps:spPr>
                          <a:xfrm rot="-10799999">
                            <a:off x="-1317145" y="4023170"/>
                            <a:ext cx="5309051" cy="142889"/>
                          </a:xfrm>
                          <a:prstGeom prst="rect">
                            <a:avLst/>
                          </a:prstGeom>
                          <a:ln>
                            <a:noFill/>
                          </a:ln>
                        </wps:spPr>
                        <wps:txbx>
                          <w:txbxContent>
                            <w:p w14:paraId="350F6717" w14:textId="77777777" w:rsidR="00B32EF2" w:rsidRDefault="00000000">
                              <w:r>
                                <w:rPr>
                                  <w:rFonts w:ascii="Arial" w:eastAsia="Arial" w:hAnsi="Arial" w:cs="Arial"/>
                                  <w:sz w:val="18"/>
                                </w:rPr>
                                <w:t xml:space="preserve">e della prova dei fatti di cui ai numeri 1, 2, 3 e 6 dell’articolo 395 del codice </w:t>
                              </w:r>
                            </w:p>
                          </w:txbxContent>
                        </wps:txbx>
                        <wps:bodyPr horzOverflow="overflow" vert="horz" lIns="0" tIns="0" rIns="0" bIns="0" rtlCol="0">
                          <a:noAutofit/>
                        </wps:bodyPr>
                      </wps:wsp>
                      <wps:wsp>
                        <wps:cNvPr id="14502" name="Rectangle 14502"/>
                        <wps:cNvSpPr/>
                        <wps:spPr>
                          <a:xfrm rot="-10799999">
                            <a:off x="-1317130" y="3899840"/>
                            <a:ext cx="5309036" cy="142889"/>
                          </a:xfrm>
                          <a:prstGeom prst="rect">
                            <a:avLst/>
                          </a:prstGeom>
                          <a:ln>
                            <a:noFill/>
                          </a:ln>
                        </wps:spPr>
                        <wps:txbx>
                          <w:txbxContent>
                            <w:p w14:paraId="3D64DF96" w14:textId="77777777" w:rsidR="00B32EF2" w:rsidRDefault="00000000">
                              <w:r>
                                <w:rPr>
                                  <w:rFonts w:ascii="Arial" w:eastAsia="Arial" w:hAnsi="Arial" w:cs="Arial"/>
                                  <w:sz w:val="18"/>
                                </w:rPr>
                                <w:t xml:space="preserve">di procedura civile nonché del giorno della scoperta o della falsità dichiarata </w:t>
                              </w:r>
                            </w:p>
                          </w:txbxContent>
                        </wps:txbx>
                        <wps:bodyPr horzOverflow="overflow" vert="horz" lIns="0" tIns="0" rIns="0" bIns="0" rtlCol="0">
                          <a:noAutofit/>
                        </wps:bodyPr>
                      </wps:wsp>
                      <wps:wsp>
                        <wps:cNvPr id="14503" name="Rectangle 14503"/>
                        <wps:cNvSpPr/>
                        <wps:spPr>
                          <a:xfrm rot="-10799999">
                            <a:off x="-1317115" y="3776510"/>
                            <a:ext cx="5309021" cy="142889"/>
                          </a:xfrm>
                          <a:prstGeom prst="rect">
                            <a:avLst/>
                          </a:prstGeom>
                          <a:ln>
                            <a:noFill/>
                          </a:ln>
                        </wps:spPr>
                        <wps:txbx>
                          <w:txbxContent>
                            <w:p w14:paraId="412F2138" w14:textId="77777777" w:rsidR="00B32EF2" w:rsidRDefault="00000000">
                              <w:r>
                                <w:rPr>
                                  <w:rFonts w:ascii="Arial" w:eastAsia="Arial" w:hAnsi="Arial" w:cs="Arial"/>
                                  <w:sz w:val="18"/>
                                </w:rPr>
                                <w:t xml:space="preserve">o del recupero del documento. La prova della sentenza passata in giudicato </w:t>
                              </w:r>
                            </w:p>
                          </w:txbxContent>
                        </wps:txbx>
                        <wps:bodyPr horzOverflow="overflow" vert="horz" lIns="0" tIns="0" rIns="0" bIns="0" rtlCol="0">
                          <a:noAutofit/>
                        </wps:bodyPr>
                      </wps:wsp>
                      <wps:wsp>
                        <wps:cNvPr id="14504" name="Rectangle 14504"/>
                        <wps:cNvSpPr/>
                        <wps:spPr>
                          <a:xfrm rot="-10799999">
                            <a:off x="-1317084" y="3653181"/>
                            <a:ext cx="5308990" cy="142889"/>
                          </a:xfrm>
                          <a:prstGeom prst="rect">
                            <a:avLst/>
                          </a:prstGeom>
                          <a:ln>
                            <a:noFill/>
                          </a:ln>
                        </wps:spPr>
                        <wps:txbx>
                          <w:txbxContent>
                            <w:p w14:paraId="2F550328" w14:textId="77777777" w:rsidR="00B32EF2" w:rsidRDefault="00000000">
                              <w:r>
                                <w:rPr>
                                  <w:rFonts w:ascii="Arial" w:eastAsia="Arial" w:hAnsi="Arial" w:cs="Arial"/>
                                  <w:sz w:val="18"/>
                                </w:rPr>
                                <w:t xml:space="preserve">che accerta il dolo del giudice deve essere data mediante la sua produzione </w:t>
                              </w:r>
                            </w:p>
                          </w:txbxContent>
                        </wps:txbx>
                        <wps:bodyPr horzOverflow="overflow" vert="horz" lIns="0" tIns="0" rIns="0" bIns="0" rtlCol="0">
                          <a:noAutofit/>
                        </wps:bodyPr>
                      </wps:wsp>
                      <wps:wsp>
                        <wps:cNvPr id="14505" name="Rectangle 14505"/>
                        <wps:cNvSpPr/>
                        <wps:spPr>
                          <a:xfrm rot="-10799999">
                            <a:off x="2750837" y="3529851"/>
                            <a:ext cx="1241068" cy="142889"/>
                          </a:xfrm>
                          <a:prstGeom prst="rect">
                            <a:avLst/>
                          </a:prstGeom>
                          <a:ln>
                            <a:noFill/>
                          </a:ln>
                        </wps:spPr>
                        <wps:txbx>
                          <w:txbxContent>
                            <w:p w14:paraId="63B566D1" w14:textId="77777777" w:rsidR="00B32EF2" w:rsidRDefault="00000000">
                              <w:r>
                                <w:rPr>
                                  <w:rFonts w:ascii="Arial" w:eastAsia="Arial" w:hAnsi="Arial" w:cs="Arial"/>
                                  <w:sz w:val="18"/>
                                </w:rPr>
                                <w:t>in copia autentica.</w:t>
                              </w:r>
                            </w:p>
                          </w:txbxContent>
                        </wps:txbx>
                        <wps:bodyPr horzOverflow="overflow" vert="horz" lIns="0" tIns="0" rIns="0" bIns="0" rtlCol="0">
                          <a:noAutofit/>
                        </wps:bodyPr>
                      </wps:wsp>
                      <wps:wsp>
                        <wps:cNvPr id="199633" name="Rectangle 199633"/>
                        <wps:cNvSpPr/>
                        <wps:spPr>
                          <a:xfrm rot="-10799999">
                            <a:off x="-1380956" y="3406521"/>
                            <a:ext cx="5307196" cy="142889"/>
                          </a:xfrm>
                          <a:prstGeom prst="rect">
                            <a:avLst/>
                          </a:prstGeom>
                          <a:ln>
                            <a:noFill/>
                          </a:ln>
                        </wps:spPr>
                        <wps:txbx>
                          <w:txbxContent>
                            <w:p w14:paraId="59C2D552" w14:textId="77777777" w:rsidR="00B32EF2" w:rsidRDefault="00000000">
                              <w:r>
                                <w:rPr>
                                  <w:rFonts w:ascii="Arial" w:eastAsia="Arial" w:hAnsi="Arial" w:cs="Arial"/>
                                  <w:sz w:val="18"/>
                                </w:rPr>
                                <w:t xml:space="preserve">. Il ricorso per revocazione è proposto e depositato a norma dell’articolo 107, </w:t>
                              </w:r>
                            </w:p>
                          </w:txbxContent>
                        </wps:txbx>
                        <wps:bodyPr horzOverflow="overflow" vert="horz" lIns="0" tIns="0" rIns="0" bIns="0" rtlCol="0">
                          <a:noAutofit/>
                        </wps:bodyPr>
                      </wps:wsp>
                      <wps:wsp>
                        <wps:cNvPr id="199632" name="Rectangle 199632"/>
                        <wps:cNvSpPr/>
                        <wps:spPr>
                          <a:xfrm rot="-10799999">
                            <a:off x="2611531" y="3406521"/>
                            <a:ext cx="5307196" cy="142889"/>
                          </a:xfrm>
                          <a:prstGeom prst="rect">
                            <a:avLst/>
                          </a:prstGeom>
                          <a:ln>
                            <a:noFill/>
                          </a:ln>
                        </wps:spPr>
                        <wps:txbx>
                          <w:txbxContent>
                            <w:p w14:paraId="6C119661"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4507" name="Rectangle 14507"/>
                        <wps:cNvSpPr/>
                        <wps:spPr>
                          <a:xfrm rot="-10799999">
                            <a:off x="3285074" y="3283192"/>
                            <a:ext cx="705687" cy="142889"/>
                          </a:xfrm>
                          <a:prstGeom prst="rect">
                            <a:avLst/>
                          </a:prstGeom>
                          <a:ln>
                            <a:noFill/>
                          </a:ln>
                        </wps:spPr>
                        <wps:txbx>
                          <w:txbxContent>
                            <w:p w14:paraId="4954D38F" w14:textId="77777777" w:rsidR="00B32EF2" w:rsidRDefault="00000000">
                              <w:r>
                                <w:rPr>
                                  <w:rFonts w:ascii="Arial" w:eastAsia="Arial" w:hAnsi="Arial" w:cs="Arial"/>
                                  <w:sz w:val="18"/>
                                </w:rPr>
                                <w:t xml:space="preserve">comma 2. </w:t>
                              </w:r>
                            </w:p>
                          </w:txbxContent>
                        </wps:txbx>
                        <wps:bodyPr horzOverflow="overflow" vert="horz" lIns="0" tIns="0" rIns="0" bIns="0" rtlCol="0">
                          <a:noAutofit/>
                        </wps:bodyPr>
                      </wps:wsp>
                      <wps:wsp>
                        <wps:cNvPr id="199631" name="Rectangle 199631"/>
                        <wps:cNvSpPr/>
                        <wps:spPr>
                          <a:xfrm rot="-10799999">
                            <a:off x="-1380148" y="3159862"/>
                            <a:ext cx="5308914" cy="142889"/>
                          </a:xfrm>
                          <a:prstGeom prst="rect">
                            <a:avLst/>
                          </a:prstGeom>
                          <a:ln>
                            <a:noFill/>
                          </a:ln>
                        </wps:spPr>
                        <wps:txbx>
                          <w:txbxContent>
                            <w:p w14:paraId="2B562667" w14:textId="77777777" w:rsidR="00B32EF2" w:rsidRDefault="00000000">
                              <w:r>
                                <w:rPr>
                                  <w:rFonts w:ascii="Arial" w:eastAsia="Arial" w:hAnsi="Arial" w:cs="Arial"/>
                                  <w:sz w:val="18"/>
                                </w:rPr>
                                <w:t xml:space="preserve">. Le parti possono proporre istanze cautelari ai sensi delle disposizioni di cui </w:t>
                              </w:r>
                            </w:p>
                          </w:txbxContent>
                        </wps:txbx>
                        <wps:bodyPr horzOverflow="overflow" vert="horz" lIns="0" tIns="0" rIns="0" bIns="0" rtlCol="0">
                          <a:noAutofit/>
                        </wps:bodyPr>
                      </wps:wsp>
                      <wps:wsp>
                        <wps:cNvPr id="199630" name="Rectangle 199630"/>
                        <wps:cNvSpPr/>
                        <wps:spPr>
                          <a:xfrm rot="-10799999">
                            <a:off x="2611104" y="3159862"/>
                            <a:ext cx="5308915" cy="142889"/>
                          </a:xfrm>
                          <a:prstGeom prst="rect">
                            <a:avLst/>
                          </a:prstGeom>
                          <a:ln>
                            <a:noFill/>
                          </a:ln>
                        </wps:spPr>
                        <wps:txbx>
                          <w:txbxContent>
                            <w:p w14:paraId="22244DCE"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4509" name="Rectangle 14509"/>
                        <wps:cNvSpPr/>
                        <wps:spPr>
                          <a:xfrm rot="-10799999">
                            <a:off x="1088463" y="3036532"/>
                            <a:ext cx="2903442" cy="142889"/>
                          </a:xfrm>
                          <a:prstGeom prst="rect">
                            <a:avLst/>
                          </a:prstGeom>
                          <a:ln>
                            <a:noFill/>
                          </a:ln>
                        </wps:spPr>
                        <wps:txbx>
                          <w:txbxContent>
                            <w:p w14:paraId="038A245B" w14:textId="77777777" w:rsidR="00B32EF2" w:rsidRDefault="00000000">
                              <w:r>
                                <w:rPr>
                                  <w:rFonts w:ascii="Arial" w:eastAsia="Arial" w:hAnsi="Arial" w:cs="Arial"/>
                                  <w:sz w:val="18"/>
                                </w:rPr>
                                <w:t>agli articoli 96 e 106, in quanto compatibili.</w:t>
                              </w:r>
                            </w:p>
                          </w:txbxContent>
                        </wps:txbx>
                        <wps:bodyPr horzOverflow="overflow" vert="horz" lIns="0" tIns="0" rIns="0" bIns="0" rtlCol="0">
                          <a:noAutofit/>
                        </wps:bodyPr>
                      </wps:wsp>
                      <wps:wsp>
                        <wps:cNvPr id="14510" name="Rectangle 14510"/>
                        <wps:cNvSpPr/>
                        <wps:spPr>
                          <a:xfrm rot="-10799999">
                            <a:off x="1456792" y="2731694"/>
                            <a:ext cx="890679" cy="142889"/>
                          </a:xfrm>
                          <a:prstGeom prst="rect">
                            <a:avLst/>
                          </a:prstGeom>
                          <a:ln>
                            <a:noFill/>
                          </a:ln>
                        </wps:spPr>
                        <wps:txbx>
                          <w:txbxContent>
                            <w:p w14:paraId="7A47B50B" w14:textId="77777777" w:rsidR="00B32EF2" w:rsidRDefault="00000000">
                              <w:r>
                                <w:rPr>
                                  <w:rFonts w:ascii="Arial" w:eastAsia="Arial" w:hAnsi="Arial" w:cs="Arial"/>
                                  <w:b/>
                                  <w:sz w:val="18"/>
                                </w:rPr>
                                <w:t>Articolo 122</w:t>
                              </w:r>
                            </w:p>
                          </w:txbxContent>
                        </wps:txbx>
                        <wps:bodyPr horzOverflow="overflow" vert="horz" lIns="0" tIns="0" rIns="0" bIns="0" rtlCol="0">
                          <a:noAutofit/>
                        </wps:bodyPr>
                      </wps:wsp>
                      <wps:wsp>
                        <wps:cNvPr id="199627" name="Rectangle 199627"/>
                        <wps:cNvSpPr/>
                        <wps:spPr>
                          <a:xfrm rot="-10799999">
                            <a:off x="-265498" y="2579332"/>
                            <a:ext cx="1944657" cy="142889"/>
                          </a:xfrm>
                          <a:prstGeom prst="rect">
                            <a:avLst/>
                          </a:prstGeom>
                          <a:ln>
                            <a:noFill/>
                          </a:ln>
                        </wps:spPr>
                        <wps:txbx>
                          <w:txbxContent>
                            <w:p w14:paraId="1B745035"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626" name="Rectangle 199626"/>
                        <wps:cNvSpPr/>
                        <wps:spPr>
                          <a:xfrm rot="-10799999">
                            <a:off x="2222378" y="2579333"/>
                            <a:ext cx="1944657" cy="142889"/>
                          </a:xfrm>
                          <a:prstGeom prst="rect">
                            <a:avLst/>
                          </a:prstGeom>
                          <a:ln>
                            <a:noFill/>
                          </a:ln>
                        </wps:spPr>
                        <wps:txbx>
                          <w:txbxContent>
                            <w:p w14:paraId="1F54DC4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9629" name="Rectangle 199629"/>
                        <wps:cNvSpPr/>
                        <wps:spPr>
                          <a:xfrm rot="-10799999">
                            <a:off x="1161491" y="2579332"/>
                            <a:ext cx="1944657" cy="142889"/>
                          </a:xfrm>
                          <a:prstGeom prst="rect">
                            <a:avLst/>
                          </a:prstGeom>
                          <a:ln>
                            <a:noFill/>
                          </a:ln>
                        </wps:spPr>
                        <wps:txbx>
                          <w:txbxContent>
                            <w:p w14:paraId="2E0F4A3D" w14:textId="77777777" w:rsidR="00B32EF2" w:rsidRDefault="00000000">
                              <w:r>
                                <w:rPr>
                                  <w:rFonts w:ascii="Arial" w:eastAsia="Arial" w:hAnsi="Arial" w:cs="Arial"/>
                                  <w:i/>
                                  <w:sz w:val="18"/>
                                </w:rPr>
                                <w:t xml:space="preserve">articolo 66 D.lgs. n. </w:t>
                              </w:r>
                            </w:p>
                          </w:txbxContent>
                        </wps:txbx>
                        <wps:bodyPr horzOverflow="overflow" vert="horz" lIns="0" tIns="0" rIns="0" bIns="0" rtlCol="0">
                          <a:noAutofit/>
                        </wps:bodyPr>
                      </wps:wsp>
                      <wps:wsp>
                        <wps:cNvPr id="14512" name="Rectangle 14512"/>
                        <wps:cNvSpPr/>
                        <wps:spPr>
                          <a:xfrm rot="-10799999">
                            <a:off x="1325137" y="2426970"/>
                            <a:ext cx="1074911" cy="142889"/>
                          </a:xfrm>
                          <a:prstGeom prst="rect">
                            <a:avLst/>
                          </a:prstGeom>
                          <a:ln>
                            <a:noFill/>
                          </a:ln>
                        </wps:spPr>
                        <wps:txbx>
                          <w:txbxContent>
                            <w:p w14:paraId="5FE84B98" w14:textId="77777777" w:rsidR="00B32EF2" w:rsidRDefault="00000000">
                              <w:r>
                                <w:rPr>
                                  <w:rFonts w:ascii="Arial" w:eastAsia="Arial" w:hAnsi="Arial" w:cs="Arial"/>
                                  <w:b/>
                                  <w:sz w:val="18"/>
                                </w:rPr>
                                <w:t xml:space="preserve">Procedimento </w:t>
                              </w:r>
                            </w:p>
                          </w:txbxContent>
                        </wps:txbx>
                        <wps:bodyPr horzOverflow="overflow" vert="horz" lIns="0" tIns="0" rIns="0" bIns="0" rtlCol="0">
                          <a:noAutofit/>
                        </wps:bodyPr>
                      </wps:wsp>
                      <wps:wsp>
                        <wps:cNvPr id="199625" name="Rectangle 199625"/>
                        <wps:cNvSpPr/>
                        <wps:spPr>
                          <a:xfrm rot="-10799999">
                            <a:off x="-1376474" y="2303641"/>
                            <a:ext cx="5309082" cy="142889"/>
                          </a:xfrm>
                          <a:prstGeom prst="rect">
                            <a:avLst/>
                          </a:prstGeom>
                          <a:ln>
                            <a:noFill/>
                          </a:ln>
                        </wps:spPr>
                        <wps:txbx>
                          <w:txbxContent>
                            <w:p w14:paraId="024F5522" w14:textId="77777777" w:rsidR="00B32EF2" w:rsidRDefault="00000000">
                              <w:r>
                                <w:rPr>
                                  <w:rFonts w:ascii="Arial" w:eastAsia="Arial" w:hAnsi="Arial" w:cs="Arial"/>
                                  <w:sz w:val="18"/>
                                </w:rPr>
                                <w:t xml:space="preserve">. Davanti alla corte di giustizia tributaria di primo e secondo grado adita per </w:t>
                              </w:r>
                            </w:p>
                          </w:txbxContent>
                        </wps:txbx>
                        <wps:bodyPr horzOverflow="overflow" vert="horz" lIns="0" tIns="0" rIns="0" bIns="0" rtlCol="0">
                          <a:noAutofit/>
                        </wps:bodyPr>
                      </wps:wsp>
                      <wps:wsp>
                        <wps:cNvPr id="199624" name="Rectangle 199624"/>
                        <wps:cNvSpPr/>
                        <wps:spPr>
                          <a:xfrm rot="-10799999">
                            <a:off x="2610949" y="2303641"/>
                            <a:ext cx="5309081" cy="142889"/>
                          </a:xfrm>
                          <a:prstGeom prst="rect">
                            <a:avLst/>
                          </a:prstGeom>
                          <a:ln>
                            <a:noFill/>
                          </a:ln>
                        </wps:spPr>
                        <wps:txbx>
                          <w:txbxContent>
                            <w:p w14:paraId="63A77D7A"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4514" name="Rectangle 14514"/>
                        <wps:cNvSpPr/>
                        <wps:spPr>
                          <a:xfrm rot="-10799999">
                            <a:off x="-1317244" y="2180311"/>
                            <a:ext cx="5309036" cy="142889"/>
                          </a:xfrm>
                          <a:prstGeom prst="rect">
                            <a:avLst/>
                          </a:prstGeom>
                          <a:ln>
                            <a:noFill/>
                          </a:ln>
                        </wps:spPr>
                        <wps:txbx>
                          <w:txbxContent>
                            <w:p w14:paraId="42CD154B" w14:textId="77777777" w:rsidR="00B32EF2" w:rsidRDefault="00000000">
                              <w:r>
                                <w:rPr>
                                  <w:rFonts w:ascii="Arial" w:eastAsia="Arial" w:hAnsi="Arial" w:cs="Arial"/>
                                  <w:sz w:val="18"/>
                                </w:rPr>
                                <w:t xml:space="preserve">la revocazione si osservano le norme stabilite per il procedimento davanti ad </w:t>
                              </w:r>
                            </w:p>
                          </w:txbxContent>
                        </wps:txbx>
                        <wps:bodyPr horzOverflow="overflow" vert="horz" lIns="0" tIns="0" rIns="0" bIns="0" rtlCol="0">
                          <a:noAutofit/>
                        </wps:bodyPr>
                      </wps:wsp>
                      <wps:wsp>
                        <wps:cNvPr id="14515" name="Rectangle 14515"/>
                        <wps:cNvSpPr/>
                        <wps:spPr>
                          <a:xfrm rot="-10799999">
                            <a:off x="-236799" y="2056981"/>
                            <a:ext cx="4228591" cy="142889"/>
                          </a:xfrm>
                          <a:prstGeom prst="rect">
                            <a:avLst/>
                          </a:prstGeom>
                          <a:ln>
                            <a:noFill/>
                          </a:ln>
                        </wps:spPr>
                        <wps:txbx>
                          <w:txbxContent>
                            <w:p w14:paraId="0A73B02E" w14:textId="77777777" w:rsidR="00B32EF2" w:rsidRDefault="00000000">
                              <w:r>
                                <w:rPr>
                                  <w:rFonts w:ascii="Arial" w:eastAsia="Arial" w:hAnsi="Arial" w:cs="Arial"/>
                                  <w:sz w:val="18"/>
                                </w:rPr>
                                <w:t>essa in quanto non derogate da quelle della presente sezione.</w:t>
                              </w:r>
                            </w:p>
                          </w:txbxContent>
                        </wps:txbx>
                        <wps:bodyPr horzOverflow="overflow" vert="horz" lIns="0" tIns="0" rIns="0" bIns="0" rtlCol="0">
                          <a:noAutofit/>
                        </wps:bodyPr>
                      </wps:wsp>
                      <wps:wsp>
                        <wps:cNvPr id="14516" name="Rectangle 14516"/>
                        <wps:cNvSpPr/>
                        <wps:spPr>
                          <a:xfrm rot="-10799999">
                            <a:off x="1457763" y="1294943"/>
                            <a:ext cx="889022" cy="142889"/>
                          </a:xfrm>
                          <a:prstGeom prst="rect">
                            <a:avLst/>
                          </a:prstGeom>
                          <a:ln>
                            <a:noFill/>
                          </a:ln>
                        </wps:spPr>
                        <wps:txbx>
                          <w:txbxContent>
                            <w:p w14:paraId="4795CA76" w14:textId="77777777" w:rsidR="00B32EF2" w:rsidRDefault="00000000">
                              <w:r>
                                <w:rPr>
                                  <w:rFonts w:ascii="Arial" w:eastAsia="Arial" w:hAnsi="Arial" w:cs="Arial"/>
                                  <w:b/>
                                  <w:sz w:val="18"/>
                                </w:rPr>
                                <w:t>Articolo 123</w:t>
                              </w:r>
                            </w:p>
                          </w:txbxContent>
                        </wps:txbx>
                        <wps:bodyPr horzOverflow="overflow" vert="horz" lIns="0" tIns="0" rIns="0" bIns="0" rtlCol="0">
                          <a:noAutofit/>
                        </wps:bodyPr>
                      </wps:wsp>
                      <wps:wsp>
                        <wps:cNvPr id="199623" name="Rectangle 199623"/>
                        <wps:cNvSpPr/>
                        <wps:spPr>
                          <a:xfrm rot="-10799999">
                            <a:off x="1163471" y="1142581"/>
                            <a:ext cx="1941420" cy="142889"/>
                          </a:xfrm>
                          <a:prstGeom prst="rect">
                            <a:avLst/>
                          </a:prstGeom>
                          <a:ln>
                            <a:noFill/>
                          </a:ln>
                        </wps:spPr>
                        <wps:txbx>
                          <w:txbxContent>
                            <w:p w14:paraId="00C4F58E" w14:textId="77777777" w:rsidR="00B32EF2" w:rsidRDefault="00000000">
                              <w:r>
                                <w:rPr>
                                  <w:rFonts w:ascii="Arial" w:eastAsia="Arial" w:hAnsi="Arial" w:cs="Arial"/>
                                  <w:i/>
                                  <w:sz w:val="18"/>
                                </w:rPr>
                                <w:t xml:space="preserve">articolo 67 D.lgs. n. </w:t>
                              </w:r>
                            </w:p>
                          </w:txbxContent>
                        </wps:txbx>
                        <wps:bodyPr horzOverflow="overflow" vert="horz" lIns="0" tIns="0" rIns="0" bIns="0" rtlCol="0">
                          <a:noAutofit/>
                        </wps:bodyPr>
                      </wps:wsp>
                      <wps:wsp>
                        <wps:cNvPr id="199622" name="Rectangle 199622"/>
                        <wps:cNvSpPr/>
                        <wps:spPr>
                          <a:xfrm rot="-10799999">
                            <a:off x="-261083" y="1142581"/>
                            <a:ext cx="1941420" cy="142889"/>
                          </a:xfrm>
                          <a:prstGeom prst="rect">
                            <a:avLst/>
                          </a:prstGeom>
                          <a:ln>
                            <a:noFill/>
                          </a:ln>
                        </wps:spPr>
                        <wps:txbx>
                          <w:txbxContent>
                            <w:p w14:paraId="512E97FA"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621" name="Rectangle 199621"/>
                        <wps:cNvSpPr/>
                        <wps:spPr>
                          <a:xfrm rot="-10799999">
                            <a:off x="2221924" y="1142581"/>
                            <a:ext cx="1941420" cy="142889"/>
                          </a:xfrm>
                          <a:prstGeom prst="rect">
                            <a:avLst/>
                          </a:prstGeom>
                          <a:ln>
                            <a:noFill/>
                          </a:ln>
                        </wps:spPr>
                        <wps:txbx>
                          <w:txbxContent>
                            <w:p w14:paraId="3ECBC61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518" name="Rectangle 14518"/>
                        <wps:cNvSpPr/>
                        <wps:spPr>
                          <a:xfrm rot="-10799999">
                            <a:off x="1511658" y="990219"/>
                            <a:ext cx="776148" cy="142889"/>
                          </a:xfrm>
                          <a:prstGeom prst="rect">
                            <a:avLst/>
                          </a:prstGeom>
                          <a:ln>
                            <a:noFill/>
                          </a:ln>
                        </wps:spPr>
                        <wps:txbx>
                          <w:txbxContent>
                            <w:p w14:paraId="370934AC" w14:textId="77777777" w:rsidR="00B32EF2" w:rsidRDefault="00000000">
                              <w:r>
                                <w:rPr>
                                  <w:rFonts w:ascii="Arial" w:eastAsia="Arial" w:hAnsi="Arial" w:cs="Arial"/>
                                  <w:b/>
                                  <w:sz w:val="18"/>
                                </w:rPr>
                                <w:t xml:space="preserve">Decisione </w:t>
                              </w:r>
                            </w:p>
                          </w:txbxContent>
                        </wps:txbx>
                        <wps:bodyPr horzOverflow="overflow" vert="horz" lIns="0" tIns="0" rIns="0" bIns="0" rtlCol="0">
                          <a:noAutofit/>
                        </wps:bodyPr>
                      </wps:wsp>
                      <wps:wsp>
                        <wps:cNvPr id="199619" name="Rectangle 199619"/>
                        <wps:cNvSpPr/>
                        <wps:spPr>
                          <a:xfrm rot="-10799999">
                            <a:off x="2611093" y="866890"/>
                            <a:ext cx="5308960" cy="142889"/>
                          </a:xfrm>
                          <a:prstGeom prst="rect">
                            <a:avLst/>
                          </a:prstGeom>
                          <a:ln>
                            <a:noFill/>
                          </a:ln>
                        </wps:spPr>
                        <wps:txbx>
                          <w:txbxContent>
                            <w:p w14:paraId="7E3D9B53"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9620" name="Rectangle 199620"/>
                        <wps:cNvSpPr/>
                        <wps:spPr>
                          <a:xfrm rot="-10799999">
                            <a:off x="-1376239" y="866890"/>
                            <a:ext cx="5308960" cy="142889"/>
                          </a:xfrm>
                          <a:prstGeom prst="rect">
                            <a:avLst/>
                          </a:prstGeom>
                          <a:ln>
                            <a:noFill/>
                          </a:ln>
                        </wps:spPr>
                        <wps:txbx>
                          <w:txbxContent>
                            <w:p w14:paraId="7994CE7E" w14:textId="77777777" w:rsidR="00B32EF2" w:rsidRDefault="00000000">
                              <w:r>
                                <w:rPr>
                                  <w:rFonts w:ascii="Arial" w:eastAsia="Arial" w:hAnsi="Arial" w:cs="Arial"/>
                                  <w:sz w:val="18"/>
                                </w:rPr>
                                <w:t xml:space="preserve">. Ove ricorrano i motivi di cui all’articolo 395 del codice di procedura civile </w:t>
                              </w:r>
                            </w:p>
                          </w:txbxContent>
                        </wps:txbx>
                        <wps:bodyPr horzOverflow="overflow" vert="horz" lIns="0" tIns="0" rIns="0" bIns="0" rtlCol="0">
                          <a:noAutofit/>
                        </wps:bodyPr>
                      </wps:wsp>
                      <wps:wsp>
                        <wps:cNvPr id="14520" name="Rectangle 14520"/>
                        <wps:cNvSpPr/>
                        <wps:spPr>
                          <a:xfrm rot="-10799999">
                            <a:off x="-1317130" y="743560"/>
                            <a:ext cx="5309035" cy="142889"/>
                          </a:xfrm>
                          <a:prstGeom prst="rect">
                            <a:avLst/>
                          </a:prstGeom>
                          <a:ln>
                            <a:noFill/>
                          </a:ln>
                        </wps:spPr>
                        <wps:txbx>
                          <w:txbxContent>
                            <w:p w14:paraId="31DA0905" w14:textId="77777777" w:rsidR="00B32EF2" w:rsidRDefault="00000000">
                              <w:r>
                                <w:rPr>
                                  <w:rFonts w:ascii="Arial" w:eastAsia="Arial" w:hAnsi="Arial" w:cs="Arial"/>
                                  <w:sz w:val="18"/>
                                </w:rPr>
                                <w:t xml:space="preserve">la corte di giustizia tributaria di primo e secondo grado decide il merito della </w:t>
                              </w:r>
                            </w:p>
                          </w:txbxContent>
                        </wps:txbx>
                        <wps:bodyPr horzOverflow="overflow" vert="horz" lIns="0" tIns="0" rIns="0" bIns="0" rtlCol="0">
                          <a:noAutofit/>
                        </wps:bodyPr>
                      </wps:wsp>
                      <wps:wsp>
                        <wps:cNvPr id="14521" name="Rectangle 14521"/>
                        <wps:cNvSpPr/>
                        <wps:spPr>
                          <a:xfrm rot="-10799999">
                            <a:off x="185622" y="620230"/>
                            <a:ext cx="3806283" cy="142889"/>
                          </a:xfrm>
                          <a:prstGeom prst="rect">
                            <a:avLst/>
                          </a:prstGeom>
                          <a:ln>
                            <a:noFill/>
                          </a:ln>
                        </wps:spPr>
                        <wps:txbx>
                          <w:txbxContent>
                            <w:p w14:paraId="442A6CAA" w14:textId="77777777" w:rsidR="00B32EF2" w:rsidRDefault="00000000">
                              <w:r>
                                <w:rPr>
                                  <w:rFonts w:ascii="Arial" w:eastAsia="Arial" w:hAnsi="Arial" w:cs="Arial"/>
                                  <w:sz w:val="18"/>
                                </w:rPr>
                                <w:t>causa e detta ogni altro provvedimento conseguenziale.</w:t>
                              </w:r>
                            </w:p>
                          </w:txbxContent>
                        </wps:txbx>
                        <wps:bodyPr horzOverflow="overflow" vert="horz" lIns="0" tIns="0" rIns="0" bIns="0" rtlCol="0">
                          <a:noAutofit/>
                        </wps:bodyPr>
                      </wps:wsp>
                      <wps:wsp>
                        <wps:cNvPr id="199618" name="Rectangle 199618"/>
                        <wps:cNvSpPr/>
                        <wps:spPr>
                          <a:xfrm rot="-10799999">
                            <a:off x="-1381687" y="496900"/>
                            <a:ext cx="5309036" cy="142889"/>
                          </a:xfrm>
                          <a:prstGeom prst="rect">
                            <a:avLst/>
                          </a:prstGeom>
                          <a:ln>
                            <a:noFill/>
                          </a:ln>
                        </wps:spPr>
                        <wps:txbx>
                          <w:txbxContent>
                            <w:p w14:paraId="1478063B" w14:textId="77777777" w:rsidR="00B32EF2" w:rsidRDefault="00000000">
                              <w:r>
                                <w:rPr>
                                  <w:rFonts w:ascii="Arial" w:eastAsia="Arial" w:hAnsi="Arial" w:cs="Arial"/>
                                  <w:sz w:val="18"/>
                                </w:rPr>
                                <w:t xml:space="preserve">. Contro la sentenza che decide il giudizio di revocazione sono ammessi i </w:t>
                              </w:r>
                            </w:p>
                          </w:txbxContent>
                        </wps:txbx>
                        <wps:bodyPr horzOverflow="overflow" vert="horz" lIns="0" tIns="0" rIns="0" bIns="0" rtlCol="0">
                          <a:noAutofit/>
                        </wps:bodyPr>
                      </wps:wsp>
                      <wps:wsp>
                        <wps:cNvPr id="199617" name="Rectangle 199617"/>
                        <wps:cNvSpPr/>
                        <wps:spPr>
                          <a:xfrm rot="-10799999">
                            <a:off x="2611074" y="496901"/>
                            <a:ext cx="5309037" cy="142889"/>
                          </a:xfrm>
                          <a:prstGeom prst="rect">
                            <a:avLst/>
                          </a:prstGeom>
                          <a:ln>
                            <a:noFill/>
                          </a:ln>
                        </wps:spPr>
                        <wps:txbx>
                          <w:txbxContent>
                            <w:p w14:paraId="4D26B472"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4523" name="Rectangle 14523"/>
                        <wps:cNvSpPr/>
                        <wps:spPr>
                          <a:xfrm rot="-10799999">
                            <a:off x="-1220720" y="373571"/>
                            <a:ext cx="5212625" cy="142889"/>
                          </a:xfrm>
                          <a:prstGeom prst="rect">
                            <a:avLst/>
                          </a:prstGeom>
                          <a:ln>
                            <a:noFill/>
                          </a:ln>
                        </wps:spPr>
                        <wps:txbx>
                          <w:txbxContent>
                            <w:p w14:paraId="59448FF2" w14:textId="77777777" w:rsidR="00B32EF2" w:rsidRDefault="00000000">
                              <w:r>
                                <w:rPr>
                                  <w:rFonts w:ascii="Arial" w:eastAsia="Arial" w:hAnsi="Arial" w:cs="Arial"/>
                                  <w:sz w:val="18"/>
                                </w:rPr>
                                <w:t>mezzi d’impugnazione ai quali era originariamente soggetta la sentenza impu</w:t>
                              </w:r>
                            </w:p>
                          </w:txbxContent>
                        </wps:txbx>
                        <wps:bodyPr horzOverflow="overflow" vert="horz" lIns="0" tIns="0" rIns="0" bIns="0" rtlCol="0">
                          <a:noAutofit/>
                        </wps:bodyPr>
                      </wps:wsp>
                      <wps:wsp>
                        <wps:cNvPr id="14524" name="Rectangle 14524"/>
                        <wps:cNvSpPr/>
                        <wps:spPr>
                          <a:xfrm rot="-10799999">
                            <a:off x="19306" y="373571"/>
                            <a:ext cx="50622" cy="142889"/>
                          </a:xfrm>
                          <a:prstGeom prst="rect">
                            <a:avLst/>
                          </a:prstGeom>
                          <a:ln>
                            <a:noFill/>
                          </a:ln>
                        </wps:spPr>
                        <wps:txbx>
                          <w:txbxContent>
                            <w:p w14:paraId="2FE0FDC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7718" name="Shape 207718"/>
                        <wps:cNvSpPr/>
                        <wps:spPr>
                          <a:xfrm>
                            <a:off x="31764" y="5228671"/>
                            <a:ext cx="3960254" cy="1072947"/>
                          </a:xfrm>
                          <a:custGeom>
                            <a:avLst/>
                            <a:gdLst/>
                            <a:ahLst/>
                            <a:cxnLst/>
                            <a:rect l="0" t="0" r="0" b="0"/>
                            <a:pathLst>
                              <a:path w="3960254" h="1072947">
                                <a:moveTo>
                                  <a:pt x="0" y="0"/>
                                </a:moveTo>
                                <a:lnTo>
                                  <a:pt x="3960254" y="0"/>
                                </a:lnTo>
                                <a:lnTo>
                                  <a:pt x="3960254" y="1072947"/>
                                </a:lnTo>
                                <a:lnTo>
                                  <a:pt x="0" y="1072947"/>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4526" name="Rectangle 14526"/>
                        <wps:cNvSpPr/>
                        <wps:spPr>
                          <a:xfrm rot="-10799999">
                            <a:off x="-1188061" y="6080310"/>
                            <a:ext cx="5103430" cy="142861"/>
                          </a:xfrm>
                          <a:prstGeom prst="rect">
                            <a:avLst/>
                          </a:prstGeom>
                          <a:ln>
                            <a:noFill/>
                          </a:ln>
                        </wps:spPr>
                        <wps:txbx>
                          <w:txbxContent>
                            <w:p w14:paraId="6D8E9298" w14:textId="77777777" w:rsidR="00B32EF2" w:rsidRDefault="00000000">
                              <w:r>
                                <w:rPr>
                                  <w:rFonts w:ascii="Arial" w:eastAsia="Arial" w:hAnsi="Arial" w:cs="Arial"/>
                                  <w:i/>
                                  <w:sz w:val="18"/>
                                </w:rPr>
                                <w:t xml:space="preserve">trastabilmente esclusa, oppure quando è supposta l’inesistenza di un fatto </w:t>
                              </w:r>
                            </w:p>
                          </w:txbxContent>
                        </wps:txbx>
                        <wps:bodyPr horzOverflow="overflow" vert="horz" lIns="0" tIns="0" rIns="0" bIns="0" rtlCol="0">
                          <a:noAutofit/>
                        </wps:bodyPr>
                      </wps:wsp>
                      <wps:wsp>
                        <wps:cNvPr id="14527" name="Rectangle 14527"/>
                        <wps:cNvSpPr/>
                        <wps:spPr>
                          <a:xfrm rot="-10799999">
                            <a:off x="-1186989" y="5943177"/>
                            <a:ext cx="5099159" cy="142861"/>
                          </a:xfrm>
                          <a:prstGeom prst="rect">
                            <a:avLst/>
                          </a:prstGeom>
                          <a:ln>
                            <a:noFill/>
                          </a:ln>
                        </wps:spPr>
                        <wps:txbx>
                          <w:txbxContent>
                            <w:p w14:paraId="78F12A1E" w14:textId="77777777" w:rsidR="00B32EF2" w:rsidRDefault="00000000">
                              <w:r>
                                <w:rPr>
                                  <w:rFonts w:ascii="Arial" w:eastAsia="Arial" w:hAnsi="Arial" w:cs="Arial"/>
                                  <w:i/>
                                  <w:sz w:val="18"/>
                                </w:rPr>
                                <w:t xml:space="preserve">la cui verità è positivamente stabilita, e tanto nell’uno quanto nell’altro caso </w:t>
                              </w:r>
                            </w:p>
                          </w:txbxContent>
                        </wps:txbx>
                        <wps:bodyPr horzOverflow="overflow" vert="horz" lIns="0" tIns="0" rIns="0" bIns="0" rtlCol="0">
                          <a:noAutofit/>
                        </wps:bodyPr>
                      </wps:wsp>
                      <wps:wsp>
                        <wps:cNvPr id="14528" name="Rectangle 14528"/>
                        <wps:cNvSpPr/>
                        <wps:spPr>
                          <a:xfrm rot="-10799999">
                            <a:off x="-1190279" y="5806045"/>
                            <a:ext cx="5112049" cy="142861"/>
                          </a:xfrm>
                          <a:prstGeom prst="rect">
                            <a:avLst/>
                          </a:prstGeom>
                          <a:ln>
                            <a:noFill/>
                          </a:ln>
                        </wps:spPr>
                        <wps:txbx>
                          <w:txbxContent>
                            <w:p w14:paraId="5EB08AA4" w14:textId="77777777" w:rsidR="00B32EF2" w:rsidRDefault="00000000">
                              <w:r>
                                <w:rPr>
                                  <w:rFonts w:ascii="Arial" w:eastAsia="Arial" w:hAnsi="Arial" w:cs="Arial"/>
                                  <w:i/>
                                  <w:sz w:val="18"/>
                                </w:rPr>
                                <w:t xml:space="preserve">se il fatto non costituì un punto controverso sul quale la sentenza ebbe a </w:t>
                              </w:r>
                            </w:p>
                          </w:txbxContent>
                        </wps:txbx>
                        <wps:bodyPr horzOverflow="overflow" vert="horz" lIns="0" tIns="0" rIns="0" bIns="0" rtlCol="0">
                          <a:noAutofit/>
                        </wps:bodyPr>
                      </wps:wsp>
                      <wps:wsp>
                        <wps:cNvPr id="14529" name="Rectangle 14529"/>
                        <wps:cNvSpPr/>
                        <wps:spPr>
                          <a:xfrm rot="-10799999">
                            <a:off x="-1186761" y="5668912"/>
                            <a:ext cx="5099159" cy="142861"/>
                          </a:xfrm>
                          <a:prstGeom prst="rect">
                            <a:avLst/>
                          </a:prstGeom>
                          <a:ln>
                            <a:noFill/>
                          </a:ln>
                        </wps:spPr>
                        <wps:txbx>
                          <w:txbxContent>
                            <w:p w14:paraId="2A02F1D0" w14:textId="77777777" w:rsidR="00B32EF2" w:rsidRDefault="00000000">
                              <w:r>
                                <w:rPr>
                                  <w:rFonts w:ascii="Arial" w:eastAsia="Arial" w:hAnsi="Arial" w:cs="Arial"/>
                                  <w:i/>
                                  <w:sz w:val="18"/>
                                </w:rPr>
                                <w:t xml:space="preserve">pronunciare; 5) se la sentenza è contraria ad altra precedente avente fra le </w:t>
                              </w:r>
                            </w:p>
                          </w:txbxContent>
                        </wps:txbx>
                        <wps:bodyPr horzOverflow="overflow" vert="horz" lIns="0" tIns="0" rIns="0" bIns="0" rtlCol="0">
                          <a:noAutofit/>
                        </wps:bodyPr>
                      </wps:wsp>
                      <wps:wsp>
                        <wps:cNvPr id="14530" name="Rectangle 14530"/>
                        <wps:cNvSpPr/>
                        <wps:spPr>
                          <a:xfrm rot="-10799999">
                            <a:off x="-1186639" y="5531779"/>
                            <a:ext cx="5099265" cy="142861"/>
                          </a:xfrm>
                          <a:prstGeom prst="rect">
                            <a:avLst/>
                          </a:prstGeom>
                          <a:ln>
                            <a:noFill/>
                          </a:ln>
                        </wps:spPr>
                        <wps:txbx>
                          <w:txbxContent>
                            <w:p w14:paraId="776549FF" w14:textId="77777777" w:rsidR="00B32EF2" w:rsidRDefault="00000000">
                              <w:r>
                                <w:rPr>
                                  <w:rFonts w:ascii="Arial" w:eastAsia="Arial" w:hAnsi="Arial" w:cs="Arial"/>
                                  <w:i/>
                                  <w:sz w:val="18"/>
                                </w:rPr>
                                <w:t xml:space="preserve">parti autorità di cosa giudicata, purché non abbia pronunciato sulla relativa </w:t>
                              </w:r>
                            </w:p>
                          </w:txbxContent>
                        </wps:txbx>
                        <wps:bodyPr horzOverflow="overflow" vert="horz" lIns="0" tIns="0" rIns="0" bIns="0" rtlCol="0">
                          <a:noAutofit/>
                        </wps:bodyPr>
                      </wps:wsp>
                      <wps:wsp>
                        <wps:cNvPr id="14531" name="Rectangle 14531"/>
                        <wps:cNvSpPr/>
                        <wps:spPr>
                          <a:xfrm rot="-10799999">
                            <a:off x="-1190246" y="5394647"/>
                            <a:ext cx="5113159" cy="142861"/>
                          </a:xfrm>
                          <a:prstGeom prst="rect">
                            <a:avLst/>
                          </a:prstGeom>
                          <a:ln>
                            <a:noFill/>
                          </a:ln>
                        </wps:spPr>
                        <wps:txbx>
                          <w:txbxContent>
                            <w:p w14:paraId="1145AF4E" w14:textId="77777777" w:rsidR="00B32EF2" w:rsidRDefault="00000000">
                              <w:r>
                                <w:rPr>
                                  <w:rFonts w:ascii="Arial" w:eastAsia="Arial" w:hAnsi="Arial" w:cs="Arial"/>
                                  <w:i/>
                                  <w:sz w:val="18"/>
                                </w:rPr>
                                <w:t xml:space="preserve">eccezione; 6) se la sentenza è effetto del dolo del giudice, accertato con </w:t>
                              </w:r>
                            </w:p>
                          </w:txbxContent>
                        </wps:txbx>
                        <wps:bodyPr horzOverflow="overflow" vert="horz" lIns="0" tIns="0" rIns="0" bIns="0" rtlCol="0">
                          <a:noAutofit/>
                        </wps:bodyPr>
                      </wps:wsp>
                      <wps:wsp>
                        <wps:cNvPr id="14532" name="Rectangle 14532"/>
                        <wps:cNvSpPr/>
                        <wps:spPr>
                          <a:xfrm rot="-10799999">
                            <a:off x="1811422" y="5257515"/>
                            <a:ext cx="2102119" cy="142860"/>
                          </a:xfrm>
                          <a:prstGeom prst="rect">
                            <a:avLst/>
                          </a:prstGeom>
                          <a:ln>
                            <a:noFill/>
                          </a:ln>
                        </wps:spPr>
                        <wps:txbx>
                          <w:txbxContent>
                            <w:p w14:paraId="24447F81" w14:textId="77777777" w:rsidR="00B32EF2" w:rsidRDefault="00000000">
                              <w:r>
                                <w:rPr>
                                  <w:rFonts w:ascii="Arial" w:eastAsia="Arial" w:hAnsi="Arial" w:cs="Arial"/>
                                  <w:i/>
                                  <w:sz w:val="18"/>
                                </w:rPr>
                                <w:t xml:space="preserve">sentenza passata in giudicato. </w:t>
                              </w:r>
                            </w:p>
                          </w:txbxContent>
                        </wps:txbx>
                        <wps:bodyPr horzOverflow="overflow" vert="horz" lIns="0" tIns="0" rIns="0" bIns="0" rtlCol="0">
                          <a:noAutofit/>
                        </wps:bodyPr>
                      </wps:wsp>
                      <wps:wsp>
                        <wps:cNvPr id="14533" name="Shape 14533"/>
                        <wps:cNvSpPr/>
                        <wps:spPr>
                          <a:xfrm>
                            <a:off x="31762" y="5228674"/>
                            <a:ext cx="3960254" cy="1072947"/>
                          </a:xfrm>
                          <a:custGeom>
                            <a:avLst/>
                            <a:gdLst/>
                            <a:ahLst/>
                            <a:cxnLst/>
                            <a:rect l="0" t="0" r="0" b="0"/>
                            <a:pathLst>
                              <a:path w="3960254" h="1072947">
                                <a:moveTo>
                                  <a:pt x="0" y="1072947"/>
                                </a:moveTo>
                                <a:lnTo>
                                  <a:pt x="3960254" y="1072947"/>
                                </a:lnTo>
                                <a:lnTo>
                                  <a:pt x="3960254" y="0"/>
                                </a:lnTo>
                                <a:lnTo>
                                  <a:pt x="0" y="0"/>
                                </a:lnTo>
                                <a:close/>
                              </a:path>
                            </a:pathLst>
                          </a:custGeom>
                          <a:ln w="12446" cap="flat">
                            <a:miter lim="100000"/>
                          </a:ln>
                        </wps:spPr>
                        <wps:style>
                          <a:lnRef idx="1">
                            <a:srgbClr val="000000"/>
                          </a:lnRef>
                          <a:fillRef idx="0">
                            <a:srgbClr val="000000">
                              <a:alpha val="0"/>
                            </a:srgbClr>
                          </a:fillRef>
                          <a:effectRef idx="0">
                            <a:scrgbClr r="0" g="0" b="0"/>
                          </a:effectRef>
                          <a:fontRef idx="none"/>
                        </wps:style>
                        <wps:bodyPr/>
                      </wps:wsp>
                      <wps:wsp>
                        <wps:cNvPr id="207719" name="Shape 207719"/>
                        <wps:cNvSpPr/>
                        <wps:spPr>
                          <a:xfrm>
                            <a:off x="31890" y="1616194"/>
                            <a:ext cx="3960000" cy="410299"/>
                          </a:xfrm>
                          <a:custGeom>
                            <a:avLst/>
                            <a:gdLst/>
                            <a:ahLst/>
                            <a:cxnLst/>
                            <a:rect l="0" t="0" r="0" b="0"/>
                            <a:pathLst>
                              <a:path w="3960000" h="410299">
                                <a:moveTo>
                                  <a:pt x="0" y="0"/>
                                </a:moveTo>
                                <a:lnTo>
                                  <a:pt x="3960000" y="0"/>
                                </a:lnTo>
                                <a:lnTo>
                                  <a:pt x="3960000" y="410299"/>
                                </a:lnTo>
                                <a:lnTo>
                                  <a:pt x="0" y="410299"/>
                                </a:lnTo>
                                <a:lnTo>
                                  <a:pt x="0" y="0"/>
                                </a:lnTo>
                              </a:path>
                            </a:pathLst>
                          </a:custGeom>
                          <a:ln w="0" cap="flat">
                            <a:miter lim="100000"/>
                          </a:ln>
                        </wps:spPr>
                        <wps:style>
                          <a:lnRef idx="0">
                            <a:srgbClr val="000000">
                              <a:alpha val="0"/>
                            </a:srgbClr>
                          </a:lnRef>
                          <a:fillRef idx="1">
                            <a:srgbClr val="C3C3C3"/>
                          </a:fillRef>
                          <a:effectRef idx="0">
                            <a:scrgbClr r="0" g="0" b="0"/>
                          </a:effectRef>
                          <a:fontRef idx="none"/>
                        </wps:style>
                        <wps:bodyPr/>
                      </wps:wsp>
                      <wps:wsp>
                        <wps:cNvPr id="14535" name="Rectangle 14535"/>
                        <wps:cNvSpPr/>
                        <wps:spPr>
                          <a:xfrm rot="-10799999">
                            <a:off x="2328875" y="1805264"/>
                            <a:ext cx="1585695" cy="142889"/>
                          </a:xfrm>
                          <a:prstGeom prst="rect">
                            <a:avLst/>
                          </a:prstGeom>
                          <a:ln>
                            <a:noFill/>
                          </a:ln>
                        </wps:spPr>
                        <wps:txbx>
                          <w:txbxContent>
                            <w:p w14:paraId="068836FA"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4536" name="Rectangle 14536"/>
                        <wps:cNvSpPr/>
                        <wps:spPr>
                          <a:xfrm rot="-10799999">
                            <a:off x="1404102" y="1652901"/>
                            <a:ext cx="2509439" cy="142889"/>
                          </a:xfrm>
                          <a:prstGeom prst="rect">
                            <a:avLst/>
                          </a:prstGeom>
                          <a:ln>
                            <a:noFill/>
                          </a:ln>
                        </wps:spPr>
                        <wps:txbx>
                          <w:txbxContent>
                            <w:p w14:paraId="676F7386" w14:textId="77777777" w:rsidR="00B32EF2" w:rsidRDefault="00000000">
                              <w:r>
                                <w:rPr>
                                  <w:rFonts w:ascii="Arial" w:eastAsia="Arial" w:hAnsi="Arial" w:cs="Arial"/>
                                  <w:i/>
                                  <w:sz w:val="18"/>
                                </w:rPr>
                                <w:t xml:space="preserve">art. 395 c.p.c. “Casi di revocazione”. </w:t>
                              </w:r>
                            </w:p>
                          </w:txbxContent>
                        </wps:txbx>
                        <wps:bodyPr horzOverflow="overflow" vert="horz" lIns="0" tIns="0" rIns="0" bIns="0" rtlCol="0">
                          <a:noAutofit/>
                        </wps:bodyPr>
                      </wps:wsp>
                      <wps:wsp>
                        <wps:cNvPr id="14537" name="Shape 14537"/>
                        <wps:cNvSpPr/>
                        <wps:spPr>
                          <a:xfrm>
                            <a:off x="31889" y="1616197"/>
                            <a:ext cx="3960000" cy="410299"/>
                          </a:xfrm>
                          <a:custGeom>
                            <a:avLst/>
                            <a:gdLst/>
                            <a:ahLst/>
                            <a:cxnLst/>
                            <a:rect l="0" t="0" r="0" b="0"/>
                            <a:pathLst>
                              <a:path w="3960000" h="410299">
                                <a:moveTo>
                                  <a:pt x="0" y="410299"/>
                                </a:moveTo>
                                <a:lnTo>
                                  <a:pt x="3960000" y="410299"/>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1574087" id="Group 199840" o:spid="_x0000_s1359" style="width:314.35pt;height:496.2pt;mso-position-horizontal-relative:char;mso-position-vertical-relative:line" coordsize="39920,63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lDrfwsAAHV4AAAOAAAAZHJzL2Uyb0RvYy54bWzsXe1u2zgW/b/AvoPg/2lEUtRH0HQw6OwU&#10;Cyx2BjOzD6A6cmxAtgxJbdJ9+j2XFClbZqaB1Amzw2mBxKElSr5H9+vw8vrtd4/7Ovpctd2uOdyu&#10;2Jt4FVWHdXO3O9zfrv7z249X+Srq+vJwV9bNobpdfam61Xfv/v63tw/Hm4o326a+q9oIkxy6m4fj&#10;7Wrb98eb6+tuva32ZfemOVYHvLlp2n3Z48/2/vquLR8w+76+5nGcXj807d2xbdZV12H0B/3m6p2a&#10;f7Op1v1Pm01X9VF9u8K99epnq35+pJ/X796WN/dtedzu1sNtlDPuYl/uDrioneqHsi+jT+3uYqr9&#10;bt02XbPp36yb/XWz2ezWlfoM+DQsnnyaD23z6ag+y/3Nw/3Rigminchp9rTrf3/+0B5/Pf7cQhIP&#10;x3vIQv1Fn+Vx0+7pN+4yelQi+2JFVj320RqDoihw49kqWuO9VMQs5UwLdb2F5C/OW2//8ZUzr82F&#10;r89u5+GIB6QbZdAtk8Gv2/JYKdF2N5DBz220u8PzmySFWEWHco9H9Rc8POXhvq4iPawEpI624upu&#10;OkjOyCpqGzxfVyzOCvqnnodBdizHzBwPIKR0BREVw5NnxMjTTEpcmaTIZZwmKQnRiqK8ObZd/6Fq&#10;9hG9uF21uDc1f/n5X12vDzWH0O3UB/p5aH7c1bV+l0YgUXPH9Kp//PioPrZgOV2Oxj42d18gjG3T&#10;/vcnqPWmbh5uV83wakWajqvTu6uo/ucBIJBSmRetefHRvGj7+n2jVE/fz/ef+mazUzc8Xm24MaCr&#10;7+FFYE7cMCdGEHgoZsCcyIJnXMGc5HmaZEqw5Y3BGWMZw/uEM0t4nhcvi7O63Cj5PzvORZFKSPtC&#10;n/X48MjPQ5qlLONSI52lgiUTpFmRJCKG9/MENYxNUCpNkLInoFYeiZ76WVBf8VTGsbbdyauE2n6+&#10;MKw3QQ04nFptn/pZUHP8EzQ3zPPrhJqHpdWImlIH0mp4iflORMKTQuOciiLXAdDopxGDcUmuw5f1&#10;FmHhDJVOkES4VBrjS5DmKWNxPoRkkqWJDrlGqKWIiziGJ/cFtQ05g7HeiJXcUNs0ZJb1vmIiS3k+&#10;BGVPYw2L4gtraZ7lMLCGnXZBrYaXKPWVhFYng58WhWBSJTajUifIpmMk0d6AVvl7UIkWweG03wtD&#10;MrLfGbJ1Csl4WuR8ArWy38Ij1NY/haHT5KqfyKkxvkirmchZmiMOeLVYWwcVBtYJEl+HVqvhhUiz&#10;LM4HrWZJmoAuxYSjAYdW5wVYUm8GPDCmDJC62BM1vBhplgwxWcwFcL9AuoiJuvEUkwnrn4LRaZf5&#10;BtKLrTfLGKRJ1ltAeXNEBFOdLmKPnloExpMBUudiFg0v12mmdVpkGYhXF9JYCPSm0/ZRDkannetZ&#10;MrbkwtyMevTTIpVYKBxWd82Clm8/LeyjHAzS0LuLPAuqbqmFWUjzTMa50KG3kLzI4ZHPjDfjCYtT&#10;f+tZwj7JYQCNNAvP9iXSenyh+c7jQiJjJkedxFginWANpc4YEe++QjL7LIeDtSsmI6ytJ5un1mBP&#10;YLVfMdSBEWUw1K51DjW8RKkFeG9Dk+G1YIV6cMaEOoulolZ8qXR4LBmp3YWjJpW2acgslcYqRx5T&#10;uYky32C+83QCtYrJGAJCX1gHxpIRpi6aTI8v0WpavGSI4b8CNSJCX1CHR5OhauBCq2G+rSBmKTWW&#10;qPMkRbxHIRk4Eqn9/mi+OZiThHh3T0BrLiecBa2EOA0X0JrqmF1MBio0zeCbCWieCZYWKq8Zgc6L&#10;GAf4w9k6p2BCb+4KyGC7Mb7EdlPZoFr+JqRlVoipSlOFaCpxcV8qbVOLcKBGTnthvAlqm4XMst6q&#10;bBCl3kqpFdSKlRqV2jvUgbFkBKnLT+vxJVrNUPedFDqhfp1aHRhPBkftok7U8CKgBZeoJ9M6TYUn&#10;03VLqkopmL81DqypDp8vHPPtor5Jp60oZplvVTeYDDVGnMLv5JIQLVQRqS9Xbf1TOFi7FrQIa2vf&#10;ZmGNjDouhsrv34Hao1rbqDMMqGGoXUir4SX2G0qNDVqJ5k44y2MBW40Jx6AMNJnXcgS9YyyolNpl&#10;v4H0QvPNBTJmvZmDg+XGbo5zoBMOcpxiNl/W23JDwai0K88C0NaNzbLd4E5QbKJJMsZhxZNJmoXt&#10;tDH3x5Fh41hwEdkTS9TcJpzzkGapSDKdZaHQn8upSiOhxrC/8lBdHRGO7abAy5Vm6fFFfpoisnxQ&#10;6lcJdYA0GTTPSZNZcniWVoMmw7K0jshep1ZbqxWMo3Zuz5JjP5BZQDMJmkxqPhRF/ED9PCCDF1cL&#10;2J7iMWlTyDBghpEGAk6N1sjMXs1Sm2upYw7WOPI0Rfh1DrSqREg9ummbWQSDNAVFTtttg9NZKq33&#10;1gqdZb1KqG1uEQbUiXQirYYXxWPEm5htHFkiJNTXQZv4KznBimlQWRYQdYVjangJ0CyXKqaH6U45&#10;NmZNYEaRGfbSw7T7ctLhFZEh6nKa7oXRGBUMjttqixTdLlwa7a/cW2/eDyqZpo6JLi+N8SU6reIx&#10;s1mekJ4woZry9ldyon1JOEjDSLsIMjW8BOcrxnmcUQAA6y0yIcGVYb6TtQ3OOC2L+rLeqWUKgonG&#10;3KtYC5crWSFiGOanUIaL9kd367LzYJQZCpeNHlr1j42Gsa+qMqnm0AkW0XWqKTCJZSl0Az1XXFGk&#10;6DyGA1TYBR0vdP+rk1aw60+6FSxNatq/ovHwnW4Ei7GtebV+PJiX1DD2d3sgH8uezqNJ6WWEtq/2&#10;XrZoVjrcCr2/Rz/Y3xp1ZD9p8IvbHN+tD6dH2dnwMKsABMeaI8zvo5rv9EhzXYj4yeO1GXz+kedX&#10;x7T0gdX8VggYPBVzfSB5EI9Rokf1pi518939rkfz6nq3h3x4Rj0izW1e9Nrt+i91RSKrD79UG3Td&#10;VQ2VaaBr7z++r9voc0l9ctU/3dm3Pm7LYXSYdzh0EAXmofM3aPFrp2Tq1LMp3wv6P8wwHEznVao7&#10;tj0z1meuh7vRLbLRaBof2jTKhlDsSerKzaG35x/Q3ltdhAzC8GlH20Byob/Q2vfFevxKVHVeBlnw&#10;vZYpmMmEsBy5kV6cSmMqLJjG0wy1+rQjxKRO2htCfKajtmnVHP0h3ZyxRAp5j8L/s3f5BaSucFoN&#10;D4KYjTSqCTTnJbHazDIVnp+EWXFRUO8xb0gHxmQDUleOrIYXIo1lCtp2Aeckod2xrq48QZoxHlPd&#10;mC+dDozJBqQQ9kWKrIYXIo2ga7DekpYsUD6MCU+Q9q3T1j2Fkjo5N08m4CqMG5tvvdHbV+s0NsFn&#10;0O8LpLFJx59OW7InGKTdTPbiHdH4Pg1O3T7JeosC7eSmfpphVcOnnw6MzIbyuqqF1PAS6432QygR&#10;wtQENLbfDKWjo/HmDNUGtNht3bTJyV4o9A6u1HNsUqMpERRpjj2Znjbc5HFPGBEDKTEiKqYdIbVs&#10;wP8dI3LOSDyHFzk/w7Ai5vclO2IebnOE+a2P1LzI9Jh13XQVlPD5vAdaP6lWyk9yH5q00HM6vmfI&#10;xX04iIqB+zDTuOiNgaSYx5iEw30oWtKGzydUpbVOz1RMKughW4tNjyghcigmMNO2Fs3BuO7hekJz&#10;nFJofzhTqW4FTOVwJ2RgRpVzKcT47rnakMFRk+GDT5Xn6SPPBGAOM79PL//sA8+v/Xx1JUS+paou&#10;UjpFdyqy8C+a0v2Nc1K4d8VgeEmoxNEFKs8wNalvHoP1nKgvkygAKU6ynxf+LjK9nzYklpJa3zoY&#10;DQwvARrfg0AmZbDToE2mi/74Lhtwlycx8UsDHdxaMG0b10CPMbHN9Z/regfeWbveST5rXRTFxGcO&#10;xaQ5r9P1nt3qc/zv2QnGm5rfYzz8PHf97eJhrPV9YycbajysvuQV322r8pHhe3jpy3NP/1Zrh+O3&#10;Bb/7HwAAAP//AwBQSwMEFAAGAAgAAAAhAIkTuvbeAAAABQEAAA8AAABkcnMvZG93bnJldi54bWxM&#10;j0FLw0AQhe+C/2EZwZvdJGptYzalFPVUCrZC6W2anSah2dmQ3Sbpv3f1opeBx3u89022GE0jeupc&#10;bVlBPIlAEBdW11wq+Nq9P8xAOI+ssbFMCq7kYJHf3mSYajvwJ/VbX4pQwi5FBZX3bSqlKyoy6Ca2&#10;JQ7eyXYGfZBdKXWHQyg3jUyiaCoN1hwWKmxpVVFx3l6Mgo8Bh+Vj/Navz6fV9bB73uzXMSl1fzcu&#10;X0F4Gv1fGH7wAzrkgeloL6ydaBSER/zvDd40mb2AOCqYz5MnkHkm/9Pn3wAAAP//AwBQSwECLQAU&#10;AAYACAAAACEAtoM4kv4AAADhAQAAEwAAAAAAAAAAAAAAAAAAAAAAW0NvbnRlbnRfVHlwZXNdLnht&#10;bFBLAQItABQABgAIAAAAIQA4/SH/1gAAAJQBAAALAAAAAAAAAAAAAAAAAC8BAABfcmVscy8ucmVs&#10;c1BLAQItABQABgAIAAAAIQCMNlDrfwsAAHV4AAAOAAAAAAAAAAAAAAAAAC4CAABkcnMvZTJvRG9j&#10;LnhtbFBLAQItABQABgAIAAAAIQCJE7r23gAAAAUBAAAPAAAAAAAAAAAAAAAAANkNAABkcnMvZG93&#10;bnJldi54bWxQSwUGAAAAAAQABADzAAAA5A4AAAAA&#10;">
                <v:rect id="Rectangle 14493" o:spid="_x0000_s1360" style="position:absolute;left:18449;top:-621;width:2675;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SG/xQAAAN4AAAAPAAAAZHJzL2Rvd25yZXYueG1sRE9La8JA&#10;EL4X+h+WKXirGx8UG11FFDEHL7UWehyyYxLNzi7Z1UR/vVsoeJuP7zmzRWdqcaXGV5YVDPoJCOLc&#10;6ooLBYfvzfsEhA/IGmvLpOBGHhbz15cZptq2/EXXfShEDGGfooIyBJdK6fOSDPq+dcSRO9rGYIiw&#10;KaRusI3hppbDJPmQBiuODSU6WpWUn/cXo+B3zS7btDI/3ldud8om9fZy+FGq99YtpyACdeEp/ndn&#10;Os4fjz9H8PdOvEHOHwAAAP//AwBQSwECLQAUAAYACAAAACEA2+H2y+4AAACFAQAAEwAAAAAAAAAA&#10;AAAAAAAAAAAAW0NvbnRlbnRfVHlwZXNdLnhtbFBLAQItABQABgAIAAAAIQBa9CxbvwAAABUBAAAL&#10;AAAAAAAAAAAAAAAAAB8BAABfcmVscy8ucmVsc1BLAQItABQABgAIAAAAIQDFPSG/xQAAAN4AAAAP&#10;AAAAAAAAAAAAAAAAAAcCAABkcnMvZG93bnJldi54bWxQSwUGAAAAAAMAAwC3AAAA+QIAAAAA&#10;" filled="f" stroked="f">
                  <v:textbox inset="0,0,0,0">
                    <w:txbxContent>
                      <w:p w14:paraId="5CDCE0C7" w14:textId="77777777" w:rsidR="00B32EF2" w:rsidRDefault="00000000">
                        <w:r>
                          <w:rPr>
                            <w:rFonts w:ascii="Times New Roman" w:eastAsia="Times New Roman" w:hAnsi="Times New Roman" w:cs="Times New Roman"/>
                          </w:rPr>
                          <w:t>101</w:t>
                        </w:r>
                      </w:p>
                    </w:txbxContent>
                  </v:textbox>
                </v:rect>
                <v:rect id="Rectangle 14494" o:spid="_x0000_s1361" style="position:absolute;left:14592;top:48864;width:88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LnLxAAAAN4AAAAPAAAAZHJzL2Rvd25yZXYueG1sRE9Na8JA&#10;EL0L/Q/LCN7qRgmiqasUi5iDl6qFHofsmKTNzi7Z1UR/vVsoeJvH+5zlujeNuFLra8sKJuMEBHFh&#10;dc2lgtNx+zoH4QOyxsYyKbiRh/XqZbDETNuOP+l6CKWIIewzVFCF4DIpfVGRQT+2jjhyZ9saDBG2&#10;pdQtdjHcNHKaJDNpsObYUKGjTUXF7+FiFHx/sMu3nSzO943b/+TzZnc5fSk1GvbvbyAC9eEp/nfn&#10;Os5P00UKf+/EG+TqAQAA//8DAFBLAQItABQABgAIAAAAIQDb4fbL7gAAAIUBAAATAAAAAAAAAAAA&#10;AAAAAAAAAABbQ29udGVudF9UeXBlc10ueG1sUEsBAi0AFAAGAAgAAAAhAFr0LFu/AAAAFQEAAAsA&#10;AAAAAAAAAAAAAAAAHwEAAF9yZWxzLy5yZWxzUEsBAi0AFAAGAAgAAAAhAErUucvEAAAA3gAAAA8A&#10;AAAAAAAAAAAAAAAABwIAAGRycy9kb3ducmV2LnhtbFBLBQYAAAAAAwADALcAAAD4AgAAAAA=&#10;" filled="f" stroked="f">
                  <v:textbox inset="0,0,0,0">
                    <w:txbxContent>
                      <w:p w14:paraId="69706B53" w14:textId="77777777" w:rsidR="00B32EF2" w:rsidRDefault="00000000">
                        <w:r>
                          <w:rPr>
                            <w:rFonts w:ascii="Arial" w:eastAsia="Arial" w:hAnsi="Arial" w:cs="Arial"/>
                            <w:b/>
                            <w:sz w:val="18"/>
                          </w:rPr>
                          <w:t>Articolo 121</w:t>
                        </w:r>
                      </w:p>
                    </w:txbxContent>
                  </v:textbox>
                </v:rect>
                <v:rect id="Rectangle 199652" o:spid="_x0000_s1362" style="position:absolute;left:11617;top:47631;width:194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SGxAAAAN8AAAAPAAAAZHJzL2Rvd25yZXYueG1sRE/Pa8Iw&#10;FL4P/B/CG3ib6QRFq1GGIvbgRafg8dE827rmJTTRVv96Mxjs+PH9ni87U4s7Nb6yrOBzkIAgzq2u&#10;uFBw/N58TED4gKyxtkwKHuRhuei9zTHVtuU93Q+hEDGEfYoKyhBcKqXPSzLoB9YRR+5iG4MhwqaQ&#10;usE2hptaDpNkLA1WHBtKdLQqKf853IyC85pdtmllfnmu3O6aTert7XhSqv/efc1ABOrCv/jPnek4&#10;fzodj4bw+ycCkIsXAAAA//8DAFBLAQItABQABgAIAAAAIQDb4fbL7gAAAIUBAAATAAAAAAAAAAAA&#10;AAAAAAAAAABbQ29udGVudF9UeXBlc10ueG1sUEsBAi0AFAAGAAgAAAAhAFr0LFu/AAAAFQEAAAsA&#10;AAAAAAAAAAAAAAAAHwEAAF9yZWxzLy5yZWxzUEsBAi0AFAAGAAgAAAAhAFBKhIbEAAAA3wAAAA8A&#10;AAAAAAAAAAAAAAAABwIAAGRycy9kb3ducmV2LnhtbFBLBQYAAAAAAwADALcAAAD4AgAAAAA=&#10;" filled="f" stroked="f">
                  <v:textbox inset="0,0,0,0">
                    <w:txbxContent>
                      <w:p w14:paraId="53BD2FF3" w14:textId="77777777" w:rsidR="00B32EF2" w:rsidRDefault="00000000">
                        <w:r>
                          <w:rPr>
                            <w:rFonts w:ascii="Arial" w:eastAsia="Arial" w:hAnsi="Arial" w:cs="Arial"/>
                            <w:i/>
                            <w:sz w:val="18"/>
                          </w:rPr>
                          <w:t xml:space="preserve">articolo 65 D.lgs. n. </w:t>
                        </w:r>
                      </w:p>
                    </w:txbxContent>
                  </v:textbox>
                </v:rect>
                <v:rect id="Rectangle 199651" o:spid="_x0000_s1363" style="position:absolute;left:-2650;top:47631;width:194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BrxxAAAAN8AAAAPAAAAZHJzL2Rvd25yZXYueG1sRE/Pa8Iw&#10;FL4P/B/CE3abqcJEq1FEkfXgRedgx0fzbKvNS2ii7fzrjSDs+PH9ni87U4sbNb6yrGA4SEAQ51ZX&#10;XCg4fm8/JiB8QNZYWyYFf+Rhuei9zTHVtuU93Q6hEDGEfYoKyhBcKqXPSzLoB9YRR+5kG4MhwqaQ&#10;usE2hptajpJkLA1WHBtKdLQuKb8crkbB74Zdtm1lfrqv3e6cTeqv6/FHqfd+t5qBCNSFf/HLnek4&#10;fzodfw7h+ScCkIsHAAAA//8DAFBLAQItABQABgAIAAAAIQDb4fbL7gAAAIUBAAATAAAAAAAAAAAA&#10;AAAAAAAAAABbQ29udGVudF9UeXBlc10ueG1sUEsBAi0AFAAGAAgAAAAhAFr0LFu/AAAAFQEAAAsA&#10;AAAAAAAAAAAAAAAAHwEAAF9yZWxzLy5yZWxzUEsBAi0AFAAGAAgAAAAhAKCYGvHEAAAA3wAAAA8A&#10;AAAAAAAAAAAAAAAABwIAAGRycy9kb3ducmV2LnhtbFBLBQYAAAAAAwADALcAAAD4AgAAAAA=&#10;" filled="f" stroked="f">
                  <v:textbox inset="0,0,0,0">
                    <w:txbxContent>
                      <w:p w14:paraId="4A937151" w14:textId="77777777" w:rsidR="00B32EF2" w:rsidRDefault="00000000">
                        <w:r>
                          <w:rPr>
                            <w:rFonts w:ascii="Arial" w:eastAsia="Arial" w:hAnsi="Arial" w:cs="Arial"/>
                            <w:i/>
                            <w:sz w:val="18"/>
                          </w:rPr>
                          <w:t>546/92)</w:t>
                        </w:r>
                      </w:p>
                    </w:txbxContent>
                  </v:textbox>
                </v:rect>
                <v:rect id="Rectangle 199650" o:spid="_x0000_s1364" style="position:absolute;left:22223;top:47631;width:194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L9qxQAAAN8AAAAPAAAAZHJzL2Rvd25yZXYueG1sRE9La8JA&#10;EL4L/Q/LFLzppoWKpq5SLNIceqkP6HHIjkna7OySXU3sr+8cBI8f33u5HlyrLtTFxrOBp2kGirj0&#10;tuHKwGG/ncxBxYRssfVMBq4UYb16GC0xt77nL7rsUqUkhGOOBuqUQq51LGtyGKc+EAt38p3DJLCr&#10;tO2wl3DX6ucsm2mHDUtDjYE2NZW/u7Mz8P3Oodj2ujz9bcLnTzFvP86HozHjx+HtFVSiId3FN3dh&#10;Zf5iMXuRB/JHAOjVPwAAAP//AwBQSwECLQAUAAYACAAAACEA2+H2y+4AAACFAQAAEwAAAAAAAAAA&#10;AAAAAAAAAAAAW0NvbnRlbnRfVHlwZXNdLnhtbFBLAQItABQABgAIAAAAIQBa9CxbvwAAABUBAAAL&#10;AAAAAAAAAAAAAAAAAB8BAABfcmVscy8ucmVsc1BLAQItABQABgAIAAAAIQDP1L9qxQAAAN8AAAAP&#10;AAAAAAAAAAAAAAAAAAcCAABkcnMvZG93bnJldi54bWxQSwUGAAAAAAMAAwC3AAAA+QIAAAAA&#10;" filled="f" stroked="f">
                  <v:textbox inset="0,0,0,0">
                    <w:txbxContent>
                      <w:p w14:paraId="60F4F859" w14:textId="77777777" w:rsidR="00B32EF2" w:rsidRDefault="00000000">
                        <w:r>
                          <w:rPr>
                            <w:rFonts w:ascii="Arial" w:eastAsia="Arial" w:hAnsi="Arial" w:cs="Arial"/>
                            <w:i/>
                            <w:sz w:val="18"/>
                          </w:rPr>
                          <w:t>(</w:t>
                        </w:r>
                      </w:p>
                    </w:txbxContent>
                  </v:textbox>
                </v:rect>
                <v:rect id="Rectangle 14496" o:spid="_x0000_s1365" style="position:absolute;left:4342;top:46398;width:25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oInxAAAAN4AAAAPAAAAZHJzL2Rvd25yZXYueG1sRE9Li8Iw&#10;EL4v+B/CCN7WdBcRrUZZXMQe9uILPA7N2FabSWiirf76jbCwt/n4njNfdqYWd2p8ZVnBxzABQZxb&#10;XXGh4LBfv09A+ICssbZMCh7kYbnovc0x1bblLd13oRAxhH2KCsoQXCqlz0sy6IfWEUfubBuDIcKm&#10;kLrBNoabWn4myVgarDg2lOhoVVJ+3d2MgtM3u2zdyvz8XLmfSzapN7fDUalBv/uagQjUhX/xnzvT&#10;cf5oNB3D6514g1z8AgAA//8DAFBLAQItABQABgAIAAAAIQDb4fbL7gAAAIUBAAATAAAAAAAAAAAA&#10;AAAAAAAAAABbQ29udGVudF9UeXBlc10ueG1sUEsBAi0AFAAGAAgAAAAhAFr0LFu/AAAAFQEAAAsA&#10;AAAAAAAAAAAAAAAAHwEAAF9yZWxzLy5yZWxzUEsBAi0AFAAGAAgAAAAhANVKgifEAAAA3gAAAA8A&#10;AAAAAAAAAAAAAAAABwIAAGRycy9kb3ducmV2LnhtbFBLBQYAAAAAAwADALcAAAD4AgAAAAA=&#10;" filled="f" stroked="f">
                  <v:textbox inset="0,0,0,0">
                    <w:txbxContent>
                      <w:p w14:paraId="5A22B1C9" w14:textId="77777777" w:rsidR="00B32EF2" w:rsidRDefault="00000000">
                        <w:r>
                          <w:rPr>
                            <w:rFonts w:ascii="Arial" w:eastAsia="Arial" w:hAnsi="Arial" w:cs="Arial"/>
                            <w:b/>
                            <w:sz w:val="18"/>
                          </w:rPr>
                          <w:t xml:space="preserve">Proposizione della impugnazione </w:t>
                        </w:r>
                      </w:p>
                    </w:txbxContent>
                  </v:textbox>
                </v:rect>
                <v:rect id="Rectangle 199647" o:spid="_x0000_s1366" style="position:absolute;left:26110;top:4516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LHDxQAAAN8AAAAPAAAAZHJzL2Rvd25yZXYueG1sRE/LasJA&#10;FN0L/sNwBXc6aSk+UkcpFjELNz4KXV4y1yRt5s6QGU3ar3cEweXhvBerztTiSo2vLCt4GScgiHOr&#10;Ky4UnI6b0QyED8gaa8uk4I88rJb93gJTbVve0/UQChFD2KeooAzBpVL6vCSDfmwdceTOtjEYImwK&#10;qRtsY7ip5WuSTKTBimNDiY7WJeW/h4tR8P3JLtu0Mj//r93uJ5vV28vpS6nhoPt4BxGoC0/xw53p&#10;OH8+n7xN4f4nApDLGwAAAP//AwBQSwECLQAUAAYACAAAACEA2+H2y+4AAACFAQAAEwAAAAAAAAAA&#10;AAAAAAAAAAAAW0NvbnRlbnRfVHlwZXNdLnhtbFBLAQItABQABgAIAAAAIQBa9CxbvwAAABUBAAAL&#10;AAAAAAAAAAAAAAAAAB8BAABfcmVscy8ucmVsc1BLAQItABQABgAIAAAAIQDF5LHDxQAAAN8AAAAP&#10;AAAAAAAAAAAAAAAAAAcCAABkcnMvZG93bnJldi54bWxQSwUGAAAAAAMAAwC3AAAA+QIAAAAA&#10;" filled="f" stroked="f">
                  <v:textbox inset="0,0,0,0">
                    <w:txbxContent>
                      <w:p w14:paraId="4C10B442" w14:textId="77777777" w:rsidR="00B32EF2" w:rsidRDefault="00000000">
                        <w:r>
                          <w:rPr>
                            <w:rFonts w:ascii="Arial" w:eastAsia="Arial" w:hAnsi="Arial" w:cs="Arial"/>
                            <w:sz w:val="18"/>
                          </w:rPr>
                          <w:t>1</w:t>
                        </w:r>
                      </w:p>
                    </w:txbxContent>
                  </v:textbox>
                </v:rect>
                <v:rect id="Rectangle 199648" o:spid="_x0000_s1367" style="position:absolute;left:-13762;top:4516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yWxxQAAAN8AAAAPAAAAZHJzL2Rvd25yZXYueG1sRE9La8JA&#10;EL4L/Q/LFLzppqWIpq5SLNIceqkP6HHIjkna7OySXU3sr+8cBI8f33u5HlyrLtTFxrOBp2kGirj0&#10;tuHKwGG/ncxBxYRssfVMBq4UYb16GC0xt77nL7rsUqUkhGOOBuqUQq51LGtyGKc+EAt38p3DJLCr&#10;tO2wl3DX6ucsm2mHDUtDjYE2NZW/u7Mz8P3Oodj2ujz9bcLnTzFvP86HozHjx+HtFVSiId3FN3dh&#10;Zf5iMXuRwfJHAOjVPwAAAP//AwBQSwECLQAUAAYACAAAACEA2+H2y+4AAACFAQAAEwAAAAAAAAAA&#10;AAAAAAAAAAAAW0NvbnRlbnRfVHlwZXNdLnhtbFBLAQItABQABgAIAAAAIQBa9CxbvwAAABUBAAAL&#10;AAAAAAAAAAAAAAAAAB8BAABfcmVscy8ucmVsc1BLAQItABQABgAIAAAAIQC0eyWxxQAAAN8AAAAP&#10;AAAAAAAAAAAAAAAAAAcCAABkcnMvZG93bnJldi54bWxQSwUGAAAAAAMAAwC3AAAA+QIAAAAA&#10;" filled="f" stroked="f">
                  <v:textbox inset="0,0,0,0">
                    <w:txbxContent>
                      <w:p w14:paraId="2AE8E079" w14:textId="77777777" w:rsidR="00B32EF2" w:rsidRDefault="00000000">
                        <w:r>
                          <w:rPr>
                            <w:rFonts w:ascii="Arial" w:eastAsia="Arial" w:hAnsi="Arial" w:cs="Arial"/>
                            <w:sz w:val="18"/>
                          </w:rPr>
                          <w:t xml:space="preserve">. Competente per la revocazione è la stessa corte di giustizia tributaria di </w:t>
                        </w:r>
                      </w:p>
                    </w:txbxContent>
                  </v:textbox>
                </v:rect>
                <v:rect id="Rectangle 14498" o:spid="_x0000_s1368" style="position:absolute;left:-5611;top:43931;width:455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bPOyAAAAN4AAAAPAAAAZHJzL2Rvd25yZXYueG1sRI9Pa8JA&#10;EMXvhX6HZQq91Y1Fik1dRSzSHHrxT6HHITsmabOzS3Y10U/vHARvM7w37/1mthhcq07UxcazgfEo&#10;A0VcettwZWC/W79MQcWEbLH1TAbOFGExf3yYYW59zxs6bVOlJIRjjgbqlEKudSxrchhHPhCLdvCd&#10;wyRrV2nbYS/hrtWvWfamHTYsDTUGWtVU/m+PzsDvJ4di3evycFmF779i2n4d9z/GPD8Nyw9QiYZ0&#10;N9+uCyv4k8m78Mo7MoOeXwEAAP//AwBQSwECLQAUAAYACAAAACEA2+H2y+4AAACFAQAAEwAAAAAA&#10;AAAAAAAAAAAAAAAAW0NvbnRlbnRfVHlwZXNdLnhtbFBLAQItABQABgAIAAAAIQBa9CxbvwAAABUB&#10;AAALAAAAAAAAAAAAAAAAAB8BAABfcmVscy8ucmVsc1BLAQItABQABgAIAAAAIQDLmbPOyAAAAN4A&#10;AAAPAAAAAAAAAAAAAAAAAAcCAABkcnMvZG93bnJldi54bWxQSwUGAAAAAAMAAwC3AAAA/AIAAAAA&#10;" filled="f" stroked="f">
                  <v:textbox inset="0,0,0,0">
                    <w:txbxContent>
                      <w:p w14:paraId="48434831" w14:textId="77777777" w:rsidR="00B32EF2" w:rsidRDefault="00000000">
                        <w:r>
                          <w:rPr>
                            <w:rFonts w:ascii="Arial" w:eastAsia="Arial" w:hAnsi="Arial" w:cs="Arial"/>
                            <w:sz w:val="18"/>
                          </w:rPr>
                          <w:t>primo o secondo grado che ha pronunciato la sentenza impugnata.</w:t>
                        </w:r>
                      </w:p>
                    </w:txbxContent>
                  </v:textbox>
                </v:rect>
                <v:rect id="Rectangle 199640" o:spid="_x0000_s1369" style="position:absolute;left:26110;top:42698;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Sm3xQAAAN8AAAAPAAAAZHJzL2Rvd25yZXYueG1sRE9La8JA&#10;EL4L/Q/LFLzppqWIpq5SLNIceqkP6HHIjkna7OySXU3sr+8cBI8f33u5HlyrLtTFxrOBp2kGirj0&#10;tuHKwGG/ncxBxYRssfVMBq4UYb16GC0xt77nL7rsUqUkhGOOBuqUQq51LGtyGKc+EAt38p3DJLCr&#10;tO2wl3DX6ucsm2mHDUtDjYE2NZW/u7Mz8P3Oodj2ujz9bcLnTzFvP86HozHjx+HtFVSiId3FN3dh&#10;Zf5iMXuRB/JHAOjVPwAAAP//AwBQSwECLQAUAAYACAAAACEA2+H2y+4AAACFAQAAEwAAAAAAAAAA&#10;AAAAAAAAAAAAW0NvbnRlbnRfVHlwZXNdLnhtbFBLAQItABQABgAIAAAAIQBa9CxbvwAAABUBAAAL&#10;AAAAAAAAAAAAAAAAAB8BAABfcmVscy8ucmVsc1BLAQItABQABgAIAAAAIQBKDSm3xQAAAN8AAAAP&#10;AAAAAAAAAAAAAAAAAAcCAABkcnMvZG93bnJldi54bWxQSwUGAAAAAAMAAwC3AAAA+QIAAAAA&#10;" filled="f" stroked="f">
                  <v:textbox inset="0,0,0,0">
                    <w:txbxContent>
                      <w:p w14:paraId="13C502D8" w14:textId="77777777" w:rsidR="00B32EF2" w:rsidRDefault="00000000">
                        <w:r>
                          <w:rPr>
                            <w:rFonts w:ascii="Arial" w:eastAsia="Arial" w:hAnsi="Arial" w:cs="Arial"/>
                            <w:sz w:val="18"/>
                          </w:rPr>
                          <w:t>2</w:t>
                        </w:r>
                      </w:p>
                    </w:txbxContent>
                  </v:textbox>
                </v:rect>
                <v:rect id="Rectangle 199642" o:spid="_x0000_s1370" style="position:absolute;left:-13816;top:4269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JbxAAAAN8AAAAPAAAAZHJzL2Rvd25yZXYueG1sRE/Pa8Iw&#10;FL4P/B/CG3ib6UREq1GGIvbgRafg8dE827rmJTTRVv96Mxjs+PH9ni87U4s7Nb6yrOBzkIAgzq2u&#10;uFBw/N58TED4gKyxtkwKHuRhuei9zTHVtuU93Q+hEDGEfYoKyhBcKqXPSzLoB9YRR+5iG4MhwqaQ&#10;usE2hptaDpNkLA1WHBtKdLQqKf853IyC85pdtmllfnmu3O6aTert7XhSqv/efc1ABOrCv/jPnek4&#10;fzodj4bw+ycCkIsXAAAA//8DAFBLAQItABQABgAIAAAAIQDb4fbL7gAAAIUBAAATAAAAAAAAAAAA&#10;AAAAAAAAAABbQ29udGVudF9UeXBlc10ueG1sUEsBAi0AFAAGAAgAAAAhAFr0LFu/AAAAFQEAAAsA&#10;AAAAAAAAAAAAAAAAHwEAAF9yZWxzLy5yZWxzUEsBAi0AFAAGAAgAAAAhANWTElvEAAAA3wAAAA8A&#10;AAAAAAAAAAAAAAAABwIAAGRycy9kb3ducmV2LnhtbFBLBQYAAAAAAwADALcAAAD4AgAAAAA=&#10;" filled="f" stroked="f">
                  <v:textbox inset="0,0,0,0">
                    <w:txbxContent>
                      <w:p w14:paraId="2460D082" w14:textId="77777777" w:rsidR="00B32EF2" w:rsidRDefault="00000000">
                        <w:r>
                          <w:rPr>
                            <w:rFonts w:ascii="Arial" w:eastAsia="Arial" w:hAnsi="Arial" w:cs="Arial"/>
                            <w:sz w:val="18"/>
                          </w:rPr>
                          <w:t xml:space="preserve">. A pena di inammissibilità il ricorso deve contenere gli elementi previsti </w:t>
                        </w:r>
                      </w:p>
                    </w:txbxContent>
                  </v:textbox>
                </v:rect>
                <v:rect id="Rectangle 14500" o:spid="_x0000_s1371" style="position:absolute;left:-13170;top:4146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CXSxwAAAN4AAAAPAAAAZHJzL2Rvd25yZXYueG1sRI9Ba8JA&#10;EIXvhf6HZQre6sZSi6SuIhZpDr1oLfQ4ZMckmp1dsquJ/fXOQehthnnz3vvmy8G16kJdbDwbmIwz&#10;UMSltw1XBvbfm+cZqJiQLbaeycCVIiwXjw9zzK3veUuXXaqUmHDM0UCdUsi1jmVNDuPYB2K5HXzn&#10;MMnaVdp22Iu5a/VLlr1phw1LQo2B1jWVp93ZGfj94FBsel0e/tbh61jM2s/z/seY0dOwegeVaEj/&#10;4vt3YaX+6zQTAMGRGfTiBgAA//8DAFBLAQItABQABgAIAAAAIQDb4fbL7gAAAIUBAAATAAAAAAAA&#10;AAAAAAAAAAAAAABbQ29udGVudF9UeXBlc10ueG1sUEsBAi0AFAAGAAgAAAAhAFr0LFu/AAAAFQEA&#10;AAsAAAAAAAAAAAAAAAAAHwEAAF9yZWxzLy5yZWxzUEsBAi0AFAAGAAgAAAAhAKsEJdLHAAAA3gAA&#10;AA8AAAAAAAAAAAAAAAAABwIAAGRycy9kb3ducmV2LnhtbFBLBQYAAAAAAwADALcAAAD7AgAAAAA=&#10;" filled="f" stroked="f">
                  <v:textbox inset="0,0,0,0">
                    <w:txbxContent>
                      <w:p w14:paraId="7659AFE5" w14:textId="77777777" w:rsidR="00B32EF2" w:rsidRDefault="00000000">
                        <w:r>
                          <w:rPr>
                            <w:rFonts w:ascii="Arial" w:eastAsia="Arial" w:hAnsi="Arial" w:cs="Arial"/>
                            <w:sz w:val="18"/>
                          </w:rPr>
                          <w:t xml:space="preserve">dall’articolo 107, comma 1, e la specifica indicazione del motivo di revocazione </w:t>
                        </w:r>
                      </w:p>
                    </w:txbxContent>
                  </v:textbox>
                </v:rect>
                <v:rect id="Rectangle 14501" o:spid="_x0000_s1372" style="position:absolute;left:-13171;top:4023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IBJxAAAAN4AAAAPAAAAZHJzL2Rvd25yZXYueG1sRE9Na8JA&#10;EL0X+h+WKXirG4sWia4iFjGHXtQUehyyYxLNzi7Z1cT+elcoeJvH+5z5sjeNuFLra8sKRsMEBHFh&#10;dc2lgvyweZ+C8AFZY2OZFNzIw3Lx+jLHVNuOd3Tdh1LEEPYpKqhCcKmUvqjIoB9aRxy5o20Nhgjb&#10;UuoWuxhuGvmRJJ/SYM2xoUJH64qK8/5iFPx+scs2nSyOf2v3fcqmzfaS/yg1eOtXMxCB+vAU/7sz&#10;HeePJ8kIHu/EG+TiDgAA//8DAFBLAQItABQABgAIAAAAIQDb4fbL7gAAAIUBAAATAAAAAAAAAAAA&#10;AAAAAAAAAABbQ29udGVudF9UeXBlc10ueG1sUEsBAi0AFAAGAAgAAAAhAFr0LFu/AAAAFQEAAAsA&#10;AAAAAAAAAAAAAAAAHwEAAF9yZWxzLy5yZWxzUEsBAi0AFAAGAAgAAAAhAMRIgEnEAAAA3gAAAA8A&#10;AAAAAAAAAAAAAAAABwIAAGRycy9kb3ducmV2LnhtbFBLBQYAAAAAAwADALcAAAD4AgAAAAA=&#10;" filled="f" stroked="f">
                  <v:textbox inset="0,0,0,0">
                    <w:txbxContent>
                      <w:p w14:paraId="350F6717" w14:textId="77777777" w:rsidR="00B32EF2" w:rsidRDefault="00000000">
                        <w:r>
                          <w:rPr>
                            <w:rFonts w:ascii="Arial" w:eastAsia="Arial" w:hAnsi="Arial" w:cs="Arial"/>
                            <w:sz w:val="18"/>
                          </w:rPr>
                          <w:t xml:space="preserve">e della prova dei fatti di cui ai numeri 1, 2, 3 e 6 dell’articolo 395 del codice </w:t>
                        </w:r>
                      </w:p>
                    </w:txbxContent>
                  </v:textbox>
                </v:rect>
                <v:rect id="Rectangle 14502" o:spid="_x0000_s1373" style="position:absolute;left:-13171;top:3899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h4+xQAAAN4AAAAPAAAAZHJzL2Rvd25yZXYueG1sRE9La8JA&#10;EL4X+h+WKfRWNxUrkrqRYhFz8KKm0OOQnTza7OySXU3qr+8Kgrf5+J6zXI2mE2fqfWtZweskAUFc&#10;Wt1yraA4bl4WIHxA1thZJgV/5GGVPT4sMdV24D2dD6EWMYR9igqaEFwqpS8bMugn1hFHrrK9wRBh&#10;X0vd4xDDTSenSTKXBluODQ06WjdU/h5ORsH3J7t8M8iyuqzd7idfdNtT8aXU89P48Q4i0Bju4ps7&#10;13H+7C2ZwvWdeIPM/gEAAP//AwBQSwECLQAUAAYACAAAACEA2+H2y+4AAACFAQAAEwAAAAAAAAAA&#10;AAAAAAAAAAAAW0NvbnRlbnRfVHlwZXNdLnhtbFBLAQItABQABgAIAAAAIQBa9CxbvwAAABUBAAAL&#10;AAAAAAAAAAAAAAAAAB8BAABfcmVscy8ucmVsc1BLAQItABQABgAIAAAAIQA0mh4+xQAAAN4AAAAP&#10;AAAAAAAAAAAAAAAAAAcCAABkcnMvZG93bnJldi54bWxQSwUGAAAAAAMAAwC3AAAA+QIAAAAA&#10;" filled="f" stroked="f">
                  <v:textbox inset="0,0,0,0">
                    <w:txbxContent>
                      <w:p w14:paraId="3D64DF96" w14:textId="77777777" w:rsidR="00B32EF2" w:rsidRDefault="00000000">
                        <w:r>
                          <w:rPr>
                            <w:rFonts w:ascii="Arial" w:eastAsia="Arial" w:hAnsi="Arial" w:cs="Arial"/>
                            <w:sz w:val="18"/>
                          </w:rPr>
                          <w:t xml:space="preserve">di procedura civile nonché del giorno della scoperta o della falsità dichiarata </w:t>
                        </w:r>
                      </w:p>
                    </w:txbxContent>
                  </v:textbox>
                </v:rect>
                <v:rect id="Rectangle 14503" o:spid="_x0000_s1374" style="position:absolute;left:-13171;top:37765;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rulxQAAAN4AAAAPAAAAZHJzL2Rvd25yZXYueG1sRE9LawIx&#10;EL4L/Q9hCr252T4sshqlWMQ99KK14HHYzD50Mwmb6K799Y0g9DYf33Pmy8G04kKdbywreE5SEMSF&#10;1Q1XCvbf6/EUhA/IGlvLpOBKHpaLh9EcM2173tJlFyoRQ9hnqKAOwWVS+qImgz6xjjhype0Mhgi7&#10;SuoO+xhuWvmSpu/SYMOxoUZHq5qK0+5sFBw+2eXrXhbl78p9HfNpuznvf5R6ehw+ZiACDeFffHfn&#10;Os5/m6SvcHsn3iAXfwAAAP//AwBQSwECLQAUAAYACAAAACEA2+H2y+4AAACFAQAAEwAAAAAAAAAA&#10;AAAAAAAAAAAAW0NvbnRlbnRfVHlwZXNdLnhtbFBLAQItABQABgAIAAAAIQBa9CxbvwAAABUBAAAL&#10;AAAAAAAAAAAAAAAAAB8BAABfcmVscy8ucmVsc1BLAQItABQABgAIAAAAIQBb1rulxQAAAN4AAAAP&#10;AAAAAAAAAAAAAAAAAAcCAABkcnMvZG93bnJldi54bWxQSwUGAAAAAAMAAwC3AAAA+QIAAAAA&#10;" filled="f" stroked="f">
                  <v:textbox inset="0,0,0,0">
                    <w:txbxContent>
                      <w:p w14:paraId="412F2138" w14:textId="77777777" w:rsidR="00B32EF2" w:rsidRDefault="00000000">
                        <w:r>
                          <w:rPr>
                            <w:rFonts w:ascii="Arial" w:eastAsia="Arial" w:hAnsi="Arial" w:cs="Arial"/>
                            <w:sz w:val="18"/>
                          </w:rPr>
                          <w:t xml:space="preserve">o del recupero del documento. La prova della sentenza passata in giudicato </w:t>
                        </w:r>
                      </w:p>
                    </w:txbxContent>
                  </v:textbox>
                </v:rect>
                <v:rect id="Rectangle 14504" o:spid="_x0000_s1375" style="position:absolute;left:-13170;top:3653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yPRxAAAAN4AAAAPAAAAZHJzL2Rvd25yZXYueG1sRE9Ni8Iw&#10;EL0L+x/CLHjTdEVFqlHERexhL7ou7HFoxrbaTEITbd1fbwRhb/N4n7NYdaYWN2p8ZVnBxzABQZxb&#10;XXGh4Pi9HcxA+ICssbZMCu7kYbV86y0w1bblPd0OoRAxhH2KCsoQXCqlz0sy6IfWEUfuZBuDIcKm&#10;kLrBNoabWo6SZCoNVhwbSnS0KSm/HK5Gwe8nu2zbyvz0t3Ff52xW767HH6X67916DiJQF/7FL3em&#10;4/zxJBnD8514g1w+AAAA//8DAFBLAQItABQABgAIAAAAIQDb4fbL7gAAAIUBAAATAAAAAAAAAAAA&#10;AAAAAAAAAABbQ29udGVudF9UeXBlc10ueG1sUEsBAi0AFAAGAAgAAAAhAFr0LFu/AAAAFQEAAAsA&#10;AAAAAAAAAAAAAAAAHwEAAF9yZWxzLy5yZWxzUEsBAi0AFAAGAAgAAAAhANQ/I9HEAAAA3gAAAA8A&#10;AAAAAAAAAAAAAAAABwIAAGRycy9kb3ducmV2LnhtbFBLBQYAAAAAAwADALcAAAD4AgAAAAA=&#10;" filled="f" stroked="f">
                  <v:textbox inset="0,0,0,0">
                    <w:txbxContent>
                      <w:p w14:paraId="2F550328" w14:textId="77777777" w:rsidR="00B32EF2" w:rsidRDefault="00000000">
                        <w:r>
                          <w:rPr>
                            <w:rFonts w:ascii="Arial" w:eastAsia="Arial" w:hAnsi="Arial" w:cs="Arial"/>
                            <w:sz w:val="18"/>
                          </w:rPr>
                          <w:t xml:space="preserve">che accerta il dolo del giudice deve essere data mediante la sua produzione </w:t>
                        </w:r>
                      </w:p>
                    </w:txbxContent>
                  </v:textbox>
                </v:rect>
                <v:rect id="Rectangle 14505" o:spid="_x0000_s1376" style="position:absolute;left:27508;top:35298;width:124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4ZKxQAAAN4AAAAPAAAAZHJzL2Rvd25yZXYueG1sRE9LawIx&#10;EL4L/Q9hCt4026JFVrNSLNI99OKj0OOwmX3YzSRsorv66xuh4G0+vues1oNpxYU631hW8DJNQBAX&#10;VjdcKTgetpMFCB+QNbaWScGVPKyzp9EKU2173tFlHyoRQ9inqKAOwaVS+qImg35qHXHkStsZDBF2&#10;ldQd9jHctPI1Sd6kwYZjQ42ONjUVv/uzUfDzwS7f9rIobxv3dcoX7ef5+K3U+Hl4X4IINISH+N+d&#10;6zh/Nk/mcH8n3iCzPwAAAP//AwBQSwECLQAUAAYACAAAACEA2+H2y+4AAACFAQAAEwAAAAAAAAAA&#10;AAAAAAAAAAAAW0NvbnRlbnRfVHlwZXNdLnhtbFBLAQItABQABgAIAAAAIQBa9CxbvwAAABUBAAAL&#10;AAAAAAAAAAAAAAAAAB8BAABfcmVscy8ucmVsc1BLAQItABQABgAIAAAAIQC7c4ZKxQAAAN4AAAAP&#10;AAAAAAAAAAAAAAAAAAcCAABkcnMvZG93bnJldi54bWxQSwUGAAAAAAMAAwC3AAAA+QIAAAAA&#10;" filled="f" stroked="f">
                  <v:textbox inset="0,0,0,0">
                    <w:txbxContent>
                      <w:p w14:paraId="63B566D1" w14:textId="77777777" w:rsidR="00B32EF2" w:rsidRDefault="00000000">
                        <w:r>
                          <w:rPr>
                            <w:rFonts w:ascii="Arial" w:eastAsia="Arial" w:hAnsi="Arial" w:cs="Arial"/>
                            <w:sz w:val="18"/>
                          </w:rPr>
                          <w:t>in copia autentica.</w:t>
                        </w:r>
                      </w:p>
                    </w:txbxContent>
                  </v:textbox>
                </v:rect>
                <v:rect id="Rectangle 199633" o:spid="_x0000_s1377" style="position:absolute;left:-13809;top:34065;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cS9xAAAAN8AAAAPAAAAZHJzL2Rvd25yZXYueG1sRE/Pa8Iw&#10;FL4P/B/CE3abqRNEq1FEkfXgZU7B46N5ttXmJTTRdv71iyDs+PH9ni87U4s7Nb6yrGA4SEAQ51ZX&#10;XCg4/Gw/JiB8QNZYWyYFv+Rhuei9zTHVtuVvuu9DIWII+xQVlCG4VEqfl2TQD6wjjtzZNgZDhE0h&#10;dYNtDDe1/EySsTRYcWwo0dG6pPy6vxkFpw27bNvK/PxYu90lm9Rft8NRqfd+t5qBCNSFf/HLnek4&#10;fzodj0bw/BMByMUfAAAA//8DAFBLAQItABQABgAIAAAAIQDb4fbL7gAAAIUBAAATAAAAAAAAAAAA&#10;AAAAAAAAAABbQ29udGVudF9UeXBlc10ueG1sUEsBAi0AFAAGAAgAAAAhAFr0LFu/AAAAFQEAAAsA&#10;AAAAAAAAAAAAAAAAHwEAAF9yZWxzLy5yZWxzUEsBAi0AFAAGAAgAAAAhAOLZxL3EAAAA3wAAAA8A&#10;AAAAAAAAAAAAAAAABwIAAGRycy9kb3ducmV2LnhtbFBLBQYAAAAAAwADALcAAAD4AgAAAAA=&#10;" filled="f" stroked="f">
                  <v:textbox inset="0,0,0,0">
                    <w:txbxContent>
                      <w:p w14:paraId="59C2D552" w14:textId="77777777" w:rsidR="00B32EF2" w:rsidRDefault="00000000">
                        <w:r>
                          <w:rPr>
                            <w:rFonts w:ascii="Arial" w:eastAsia="Arial" w:hAnsi="Arial" w:cs="Arial"/>
                            <w:sz w:val="18"/>
                          </w:rPr>
                          <w:t xml:space="preserve">. Il ricorso per revocazione è proposto e depositato a norma dell’articolo 107, </w:t>
                        </w:r>
                      </w:p>
                    </w:txbxContent>
                  </v:textbox>
                </v:rect>
                <v:rect id="Rectangle 199632" o:spid="_x0000_s1378" style="position:absolute;left:26115;top:34065;width:530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WEmxAAAAN8AAAAPAAAAZHJzL2Rvd25yZXYueG1sRE/Pa8Iw&#10;FL4P/B/CG3ib6RREq1GGIvbgRafg8dE827rmJTTRVv96Mxjs+PH9ni87U4s7Nb6yrOBzkIAgzq2u&#10;uFBw/N58TED4gKyxtkwKHuRhuei9zTHVtuU93Q+hEDGEfYoKyhBcKqXPSzLoB9YRR+5iG4MhwqaQ&#10;usE2hptaDpNkLA1WHBtKdLQqKf853IyC85pdtmllfnmu3O6aTert7XhSqv/efc1ABOrCv/jPnek4&#10;fzodj4bw+ycCkIsXAAAA//8DAFBLAQItABQABgAIAAAAIQDb4fbL7gAAAIUBAAATAAAAAAAAAAAA&#10;AAAAAAAAAABbQ29udGVudF9UeXBlc10ueG1sUEsBAi0AFAAGAAgAAAAhAFr0LFu/AAAAFQEAAAsA&#10;AAAAAAAAAAAAAAAAHwEAAF9yZWxzLy5yZWxzUEsBAi0AFAAGAAgAAAAhAI2VYSbEAAAA3wAAAA8A&#10;AAAAAAAAAAAAAAAABwIAAGRycy9kb3ducmV2LnhtbFBLBQYAAAAAAwADALcAAAD4AgAAAAA=&#10;" filled="f" stroked="f">
                  <v:textbox inset="0,0,0,0">
                    <w:txbxContent>
                      <w:p w14:paraId="6C119661" w14:textId="77777777" w:rsidR="00B32EF2" w:rsidRDefault="00000000">
                        <w:r>
                          <w:rPr>
                            <w:rFonts w:ascii="Arial" w:eastAsia="Arial" w:hAnsi="Arial" w:cs="Arial"/>
                            <w:sz w:val="18"/>
                          </w:rPr>
                          <w:t>3</w:t>
                        </w:r>
                      </w:p>
                    </w:txbxContent>
                  </v:textbox>
                </v:rect>
                <v:rect id="Rectangle 14507" o:spid="_x0000_s1379" style="position:absolute;left:32850;top:32831;width:7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b2mxQAAAN4AAAAPAAAAZHJzL2Rvd25yZXYueG1sRE9LawIx&#10;EL4L/Q9hCr252ZbWymqUYhH30IvWgsdhM/vQzSRsorv21zeC0Nt8fM+ZLwfTigt1vrGs4DlJQRAX&#10;VjdcKdh/r8dTED4ga2wtk4IreVguHkZzzLTteUuXXahEDGGfoYI6BJdJ6YuaDPrEOuLIlbYzGCLs&#10;Kqk77GO4aeVLmk6kwYZjQ42OVjUVp93ZKDh8ssvXvSzK35X7OubTdnPe/yj19Dh8zEAEGsK/+O7O&#10;dZz/+pa+w+2deINc/AEAAP//AwBQSwECLQAUAAYACAAAACEA2+H2y+4AAACFAQAAEwAAAAAAAAAA&#10;AAAAAAAAAAAAW0NvbnRlbnRfVHlwZXNdLnhtbFBLAQItABQABgAIAAAAIQBa9CxbvwAAABUBAAAL&#10;AAAAAAAAAAAAAAAAAB8BAABfcmVscy8ucmVsc1BLAQItABQABgAIAAAAIQAk7b2mxQAAAN4AAAAP&#10;AAAAAAAAAAAAAAAAAAcCAABkcnMvZG93bnJldi54bWxQSwUGAAAAAAMAAwC3AAAA+QIAAAAA&#10;" filled="f" stroked="f">
                  <v:textbox inset="0,0,0,0">
                    <w:txbxContent>
                      <w:p w14:paraId="4954D38F" w14:textId="77777777" w:rsidR="00B32EF2" w:rsidRDefault="00000000">
                        <w:r>
                          <w:rPr>
                            <w:rFonts w:ascii="Arial" w:eastAsia="Arial" w:hAnsi="Arial" w:cs="Arial"/>
                            <w:sz w:val="18"/>
                          </w:rPr>
                          <w:t xml:space="preserve">comma 2. </w:t>
                        </w:r>
                      </w:p>
                    </w:txbxContent>
                  </v:textbox>
                </v:rect>
                <v:rect id="Rectangle 199631" o:spid="_x0000_s1380" style="position:absolute;left:-13801;top:31598;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9RxAAAAN8AAAAPAAAAZHJzL2Rvd25yZXYueG1sRE/Pa8Iw&#10;FL4P/B/CE3abqQ5Eq1FEkfXgRedgx0fzbKvNS2ii7fzrjSDs+PH9ni87U4sbNb6yrGA4SEAQ51ZX&#10;XCg4fm8/JiB8QNZYWyYFf+Rhuei9zTHVtuU93Q6hEDGEfYoKyhBcKqXPSzLoB9YRR+5kG4MhwqaQ&#10;usE2hptajpJkLA1WHBtKdLQuKb8crkbB74Zdtm1lfrqv3e6cTeqv6/FHqfd+t5qBCNSFf/HLnek4&#10;fzodfw7h+ScCkIsHAAAA//8DAFBLAQItABQABgAIAAAAIQDb4fbL7gAAAIUBAAATAAAAAAAAAAAA&#10;AAAAAAAAAABbQ29udGVudF9UeXBlc10ueG1sUEsBAi0AFAAGAAgAAAAhAFr0LFu/AAAAFQEAAAsA&#10;AAAAAAAAAAAAAAAAHwEAAF9yZWxzLy5yZWxzUEsBAi0AFAAGAAgAAAAhAH1H/1HEAAAA3wAAAA8A&#10;AAAAAAAAAAAAAAAABwIAAGRycy9kb3ducmV2LnhtbFBLBQYAAAAAAwADALcAAAD4AgAAAAA=&#10;" filled="f" stroked="f">
                  <v:textbox inset="0,0,0,0">
                    <w:txbxContent>
                      <w:p w14:paraId="2B562667" w14:textId="77777777" w:rsidR="00B32EF2" w:rsidRDefault="00000000">
                        <w:r>
                          <w:rPr>
                            <w:rFonts w:ascii="Arial" w:eastAsia="Arial" w:hAnsi="Arial" w:cs="Arial"/>
                            <w:sz w:val="18"/>
                          </w:rPr>
                          <w:t xml:space="preserve">. Le parti possono proporre istanze cautelari ai sensi delle disposizioni di cui </w:t>
                        </w:r>
                      </w:p>
                    </w:txbxContent>
                  </v:textbox>
                </v:rect>
                <v:rect id="Rectangle 199630" o:spid="_x0000_s1381" style="position:absolute;left:26111;top:3159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1rKxQAAAN8AAAAPAAAAZHJzL2Rvd25yZXYueG1sRE9La8JA&#10;EL4L/Q/LFLzppi2Ipq5SLNIceqkP6HHIjkna7OySXU3sr+8cBI8f33u5HlyrLtTFxrOBp2kGirj0&#10;tuHKwGG/ncxBxYRssfVMBq4UYb16GC0xt77nL7rsUqUkhGOOBuqUQq51LGtyGKc+EAt38p3DJLCr&#10;tO2wl3DX6ucsm2mHDUtDjYE2NZW/u7Mz8P3Oodj2ujz9bcLnTzFvP86HozHjx+HtFVSiId3FN3dh&#10;Zf5iMXuRB/JHAOjVPwAAAP//AwBQSwECLQAUAAYACAAAACEA2+H2y+4AAACFAQAAEwAAAAAAAAAA&#10;AAAAAAAAAAAAW0NvbnRlbnRfVHlwZXNdLnhtbFBLAQItABQABgAIAAAAIQBa9CxbvwAAABUBAAAL&#10;AAAAAAAAAAAAAAAAAB8BAABfcmVscy8ucmVsc1BLAQItABQABgAIAAAAIQASC1rKxQAAAN8AAAAP&#10;AAAAAAAAAAAAAAAAAAcCAABkcnMvZG93bnJldi54bWxQSwUGAAAAAAMAAwC3AAAA+QIAAAAA&#10;" filled="f" stroked="f">
                  <v:textbox inset="0,0,0,0">
                    <w:txbxContent>
                      <w:p w14:paraId="22244DCE" w14:textId="77777777" w:rsidR="00B32EF2" w:rsidRDefault="00000000">
                        <w:r>
                          <w:rPr>
                            <w:rFonts w:ascii="Arial" w:eastAsia="Arial" w:hAnsi="Arial" w:cs="Arial"/>
                            <w:sz w:val="18"/>
                          </w:rPr>
                          <w:t>4</w:t>
                        </w:r>
                      </w:p>
                    </w:txbxContent>
                  </v:textbox>
                </v:rect>
                <v:rect id="Rectangle 14509" o:spid="_x0000_s1382" style="position:absolute;left:10884;top:30365;width:290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oxPxQAAAN4AAAAPAAAAZHJzL2Rvd25yZXYueG1sRE9La8JA&#10;EL4L/Q/LFHrTTaUWG12lKNIcvPgoeByyYxLNzi7Z1aT+elcoeJuP7znTeWdqcaXGV5YVvA8SEMS5&#10;1RUXCva7VX8MwgdkjbVlUvBHHuazl94UU21b3tB1GwoRQ9inqKAMwaVS+rwkg35gHXHkjrYxGCJs&#10;CqkbbGO4qeUwST6lwYpjQ4mOFiXl5+3FKDgs2WWrVubH28KtT9m4/rnsf5V6e+2+JyACdeEp/ndn&#10;Os7/GCVf8Hgn3iBndwAAAP//AwBQSwECLQAUAAYACAAAACEA2+H2y+4AAACFAQAAEwAAAAAAAAAA&#10;AAAAAAAAAAAAW0NvbnRlbnRfVHlwZXNdLnhtbFBLAQItABQABgAIAAAAIQBa9CxbvwAAABUBAAAL&#10;AAAAAAAAAAAAAAAAAB8BAABfcmVscy8ucmVsc1BLAQItABQABgAIAAAAIQA6PoxPxQAAAN4AAAAP&#10;AAAAAAAAAAAAAAAAAAcCAABkcnMvZG93bnJldi54bWxQSwUGAAAAAAMAAwC3AAAA+QIAAAAA&#10;" filled="f" stroked="f">
                  <v:textbox inset="0,0,0,0">
                    <w:txbxContent>
                      <w:p w14:paraId="038A245B" w14:textId="77777777" w:rsidR="00B32EF2" w:rsidRDefault="00000000">
                        <w:r>
                          <w:rPr>
                            <w:rFonts w:ascii="Arial" w:eastAsia="Arial" w:hAnsi="Arial" w:cs="Arial"/>
                            <w:sz w:val="18"/>
                          </w:rPr>
                          <w:t>agli articoli 96 e 106, in quanto compatibili.</w:t>
                        </w:r>
                      </w:p>
                    </w:txbxContent>
                  </v:textbox>
                </v:rect>
                <v:rect id="Rectangle 14510" o:spid="_x0000_s1383" style="position:absolute;left:14567;top:27316;width:89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bMPyAAAAN4AAAAPAAAAZHJzL2Rvd25yZXYueG1sRI9Pa8JA&#10;EMXvhX6HZQq91Y2lFomuIhZpDr34p9DjkB2TaHZ2ya4m7ad3DkJvM8yb995vvhxcq67UxcazgfEo&#10;A0VcettwZeCw37xMQcWEbLH1TAZ+KcJy8fgwx9z6nrd03aVKiQnHHA3UKYVc61jW5DCOfCCW29F3&#10;DpOsXaVth72Yu1a/Ztm7dtiwJNQYaF1Ted5dnIGfDw7Fptfl8W8dvk7FtP28HL6NeX4aVjNQiYb0&#10;L75/F1bqv03GAiA4MoNe3AAAAP//AwBQSwECLQAUAAYACAAAACEA2+H2y+4AAACFAQAAEwAAAAAA&#10;AAAAAAAAAAAAAAAAW0NvbnRlbnRfVHlwZXNdLnhtbFBLAQItABQABgAIAAAAIQBa9CxbvwAAABUB&#10;AAALAAAAAAAAAAAAAAAAAB8BAABfcmVscy8ucmVsc1BLAQItABQABgAIAAAAIQAu3bMPyAAAAN4A&#10;AAAPAAAAAAAAAAAAAAAAAAcCAABkcnMvZG93bnJldi54bWxQSwUGAAAAAAMAAwC3AAAA/AIAAAAA&#10;" filled="f" stroked="f">
                  <v:textbox inset="0,0,0,0">
                    <w:txbxContent>
                      <w:p w14:paraId="7A47B50B" w14:textId="77777777" w:rsidR="00B32EF2" w:rsidRDefault="00000000">
                        <w:r>
                          <w:rPr>
                            <w:rFonts w:ascii="Arial" w:eastAsia="Arial" w:hAnsi="Arial" w:cs="Arial"/>
                            <w:b/>
                            <w:sz w:val="18"/>
                          </w:rPr>
                          <w:t>Articolo 122</w:t>
                        </w:r>
                      </w:p>
                    </w:txbxContent>
                  </v:textbox>
                </v:rect>
                <v:rect id="Rectangle 199627" o:spid="_x0000_s1384" style="position:absolute;left:-2654;top:25793;width:194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1RjxAAAAN8AAAAPAAAAZHJzL2Rvd25yZXYueG1sRE/LasJA&#10;FN0L/YfhCu50ogsfqaMUi5iFm2oKXV4y1yRt5s6QGU306zuFgsvDea+3vWnEjVpfW1YwnSQgiAur&#10;ay4V5Of9eAnCB2SNjWVScCcP283LYI2pth1/0O0UShFD2KeooArBpVL6oiKDfmIdceQutjUYImxL&#10;qVvsYrhp5CxJ5tJgzbGhQke7ioqf09Uo+Hpnl+07WVweO3f8zpbN4Zp/KjUa9m+vIAL14Sn+d2c6&#10;zl+t5rMF/P2JAOTmFwAA//8DAFBLAQItABQABgAIAAAAIQDb4fbL7gAAAIUBAAATAAAAAAAAAAAA&#10;AAAAAAAAAABbQ29udGVudF9UeXBlc10ueG1sUEsBAi0AFAAGAAgAAAAhAFr0LFu/AAAAFQEAAAsA&#10;AAAAAAAAAAAAAAAAHwEAAF9yZWxzLy5yZWxzUEsBAi0AFAAGAAgAAAAhABg7VGPEAAAA3wAAAA8A&#10;AAAAAAAAAAAAAAAABwIAAGRycy9kb3ducmV2LnhtbFBLBQYAAAAAAwADALcAAAD4AgAAAAA=&#10;" filled="f" stroked="f">
                  <v:textbox inset="0,0,0,0">
                    <w:txbxContent>
                      <w:p w14:paraId="1B745035" w14:textId="77777777" w:rsidR="00B32EF2" w:rsidRDefault="00000000">
                        <w:r>
                          <w:rPr>
                            <w:rFonts w:ascii="Arial" w:eastAsia="Arial" w:hAnsi="Arial" w:cs="Arial"/>
                            <w:i/>
                            <w:sz w:val="18"/>
                          </w:rPr>
                          <w:t>546/92)</w:t>
                        </w:r>
                      </w:p>
                    </w:txbxContent>
                  </v:textbox>
                </v:rect>
                <v:rect id="Rectangle 199626" o:spid="_x0000_s1385" style="position:absolute;left:22223;top:25793;width:194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H4wwAAAN8AAAAPAAAAZHJzL2Rvd25yZXYueG1sRE/Pa8Iw&#10;FL4P/B/CE3ab6TwUrUYZitjDLjoFj4/m2Vabl9BE2+2vN4Kw48f3e77sTSPu1PrasoLPUQKCuLC6&#10;5lLB4WfzMQHhA7LGxjIp+CUPy8XgbY6Zth3v6L4PpYgh7DNUUIXgMil9UZFBP7KOOHJn2xoMEbal&#10;1C12Mdw0cpwkqTRYc2yo0NGqouK6vxkFpzW7fNPJ4vy3ct+XfNJsb4ejUu/D/msGIlAf/sUvd67j&#10;/Ok0Hafw/BMByMUDAAD//wMAUEsBAi0AFAAGAAgAAAAhANvh9svuAAAAhQEAABMAAAAAAAAAAAAA&#10;AAAAAAAAAFtDb250ZW50X1R5cGVzXS54bWxQSwECLQAUAAYACAAAACEAWvQsW78AAAAVAQAACwAA&#10;AAAAAAAAAAAAAAAfAQAAX3JlbHMvLnJlbHNQSwECLQAUAAYACAAAACEAd3fx+MMAAADfAAAADwAA&#10;AAAAAAAAAAAAAAAHAgAAZHJzL2Rvd25yZXYueG1sUEsFBgAAAAADAAMAtwAAAPcCAAAAAA==&#10;" filled="f" stroked="f">
                  <v:textbox inset="0,0,0,0">
                    <w:txbxContent>
                      <w:p w14:paraId="1F54DC41" w14:textId="77777777" w:rsidR="00B32EF2" w:rsidRDefault="00000000">
                        <w:r>
                          <w:rPr>
                            <w:rFonts w:ascii="Arial" w:eastAsia="Arial" w:hAnsi="Arial" w:cs="Arial"/>
                            <w:i/>
                            <w:sz w:val="18"/>
                          </w:rPr>
                          <w:t>(</w:t>
                        </w:r>
                      </w:p>
                    </w:txbxContent>
                  </v:textbox>
                </v:rect>
                <v:rect id="Rectangle 199629" o:spid="_x0000_s1386" style="position:absolute;left:11614;top:25793;width:194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GWKxAAAAN8AAAAPAAAAZHJzL2Rvd25yZXYueG1sRE/LisIw&#10;FN0P+A/hCrMbU12IrUYRRezCzfgAl5fm2namuQlNtB2/fjIw4PJw3otVbxrxoNbXlhWMRwkI4sLq&#10;mksF59PuYwbCB2SNjWVS8EMeVsvB2wIzbTv+pMcxlCKGsM9QQRWCy6T0RUUG/cg64sjdbGswRNiW&#10;UrfYxXDTyEmSTKXBmmNDhY42FRXfx7tRcN2yy3edLG7PjTt85bNmfz9flHof9us5iEB9eIn/3bmO&#10;89N0Oknh708EIJe/AAAA//8DAFBLAQItABQABgAIAAAAIQDb4fbL7gAAAIUBAAATAAAAAAAAAAAA&#10;AAAAAAAAAABbQ29udGVudF9UeXBlc10ueG1sUEsBAi0AFAAGAAgAAAAhAFr0LFu/AAAAFQEAAAsA&#10;AAAAAAAAAAAAAAAAHwEAAF9yZWxzLy5yZWxzUEsBAi0AFAAGAAgAAAAhAAboZYrEAAAA3wAAAA8A&#10;AAAAAAAAAAAAAAAABwIAAGRycy9kb3ducmV2LnhtbFBLBQYAAAAAAwADALcAAAD4AgAAAAA=&#10;" filled="f" stroked="f">
                  <v:textbox inset="0,0,0,0">
                    <w:txbxContent>
                      <w:p w14:paraId="2E0F4A3D" w14:textId="77777777" w:rsidR="00B32EF2" w:rsidRDefault="00000000">
                        <w:r>
                          <w:rPr>
                            <w:rFonts w:ascii="Arial" w:eastAsia="Arial" w:hAnsi="Arial" w:cs="Arial"/>
                            <w:i/>
                            <w:sz w:val="18"/>
                          </w:rPr>
                          <w:t xml:space="preserve">articolo 66 D.lgs. n. </w:t>
                        </w:r>
                      </w:p>
                    </w:txbxContent>
                  </v:textbox>
                </v:rect>
                <v:rect id="Rectangle 14512" o:spid="_x0000_s1387" style="position:absolute;left:13251;top:24269;width:107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4jjxAAAAN4AAAAPAAAAZHJzL2Rvd25yZXYueG1sRE9Li8Iw&#10;EL4v+B/CCN7WVNldpBpFFNkevKwP8Dg0Y1ttJqGJtvrrNwsL3ubje85s0Zla3KnxlWUFo2ECgji3&#10;uuJCwWG/eZ+A8AFZY22ZFDzIw2Lee5thqm3LP3TfhULEEPYpKihDcKmUPi/JoB9aRxy5s20Mhgib&#10;QuoG2xhuajlOki9psOLYUKKjVUn5dXczCk5rdtmmlfn5uXLbSzapv2+Ho1KDfrecggjUhZf4353p&#10;OP/jczSGv3fiDXL+CwAA//8DAFBLAQItABQABgAIAAAAIQDb4fbL7gAAAIUBAAATAAAAAAAAAAAA&#10;AAAAAAAAAABbQ29udGVudF9UeXBlc10ueG1sUEsBAi0AFAAGAAgAAAAhAFr0LFu/AAAAFQEAAAsA&#10;AAAAAAAAAAAAAAAAHwEAAF9yZWxzLy5yZWxzUEsBAi0AFAAGAAgAAAAhALFDiOPEAAAA3gAAAA8A&#10;AAAAAAAAAAAAAAAABwIAAGRycy9kb3ducmV2LnhtbFBLBQYAAAAAAwADALcAAAD4AgAAAAA=&#10;" filled="f" stroked="f">
                  <v:textbox inset="0,0,0,0">
                    <w:txbxContent>
                      <w:p w14:paraId="5FE84B98" w14:textId="77777777" w:rsidR="00B32EF2" w:rsidRDefault="00000000">
                        <w:r>
                          <w:rPr>
                            <w:rFonts w:ascii="Arial" w:eastAsia="Arial" w:hAnsi="Arial" w:cs="Arial"/>
                            <w:b/>
                            <w:sz w:val="18"/>
                          </w:rPr>
                          <w:t xml:space="preserve">Procedimento </w:t>
                        </w:r>
                      </w:p>
                    </w:txbxContent>
                  </v:textbox>
                </v:rect>
                <v:rect id="Rectangle 199625" o:spid="_x0000_s1388" style="position:absolute;left:-13764;top:2303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PxAAAAN8AAAAPAAAAZHJzL2Rvd25yZXYueG1sRE/Pa8Iw&#10;FL4P/B/CG3ib6QRFq1GGIvbgRafg8dE827rmJTTRVv96Mxjs+PH9ni87U4s7Nb6yrOBzkIAgzq2u&#10;uFBw/N58TED4gKyxtkwKHuRhuei9zTHVtuU93Q+hEDGEfYoKyhBcKqXPSzLoB9YRR+5iG4MhwqaQ&#10;usE2hptaDpNkLA1WHBtKdLQqKf853IyC85pdtmllfnmu3O6aTert7XhSqv/efc1ABOrCv/jPnek4&#10;fzodD0fw+ycCkIsXAAAA//8DAFBLAQItABQABgAIAAAAIQDb4fbL7gAAAIUBAAATAAAAAAAAAAAA&#10;AAAAAAAAAABbQ29udGVudF9UeXBlc10ueG1sUEsBAi0AFAAGAAgAAAAhAFr0LFu/AAAAFQEAAAsA&#10;AAAAAAAAAAAAAAAAHwEAAF9yZWxzLy5yZWxzUEsBAi0AFAAGAAgAAAAhAIelb4/EAAAA3wAAAA8A&#10;AAAAAAAAAAAAAAAABwIAAGRycy9kb3ducmV2LnhtbFBLBQYAAAAAAwADALcAAAD4AgAAAAA=&#10;" filled="f" stroked="f">
                  <v:textbox inset="0,0,0,0">
                    <w:txbxContent>
                      <w:p w14:paraId="024F5522" w14:textId="77777777" w:rsidR="00B32EF2" w:rsidRDefault="00000000">
                        <w:r>
                          <w:rPr>
                            <w:rFonts w:ascii="Arial" w:eastAsia="Arial" w:hAnsi="Arial" w:cs="Arial"/>
                            <w:sz w:val="18"/>
                          </w:rPr>
                          <w:t xml:space="preserve">. Davanti alla corte di giustizia tributaria di primo e secondo grado adita per </w:t>
                        </w:r>
                      </w:p>
                    </w:txbxContent>
                  </v:textbox>
                </v:rect>
                <v:rect id="Rectangle 199624" o:spid="_x0000_s1389" style="position:absolute;left:26109;top:23036;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coUxAAAAN8AAAAPAAAAZHJzL2Rvd25yZXYueG1sRE/Pa8Iw&#10;FL4P/B/CG3ib6UREq1GGIvbgRafg8dE827rmJTTRVv96Mxjs+PH9ni87U4s7Nb6yrOBzkIAgzq2u&#10;uFBw/N58TED4gKyxtkwKHuRhuei9zTHVtuU93Q+hEDGEfYoKyhBcKqXPSzLoB9YRR+5iG4MhwqaQ&#10;usE2hptaDpNkLA1WHBtKdLQqKf853IyC85pdtmllfnmu3O6aTert7XhSqv/efc1ABOrCv/jPnek4&#10;fzodD0fw+ycCkIsXAAAA//8DAFBLAQItABQABgAIAAAAIQDb4fbL7gAAAIUBAAATAAAAAAAAAAAA&#10;AAAAAAAAAABbQ29udGVudF9UeXBlc10ueG1sUEsBAi0AFAAGAAgAAAAhAFr0LFu/AAAAFQEAAAsA&#10;AAAAAAAAAAAAAAAAHwEAAF9yZWxzLy5yZWxzUEsBAi0AFAAGAAgAAAAhAOjpyhTEAAAA3wAAAA8A&#10;AAAAAAAAAAAAAAAABwIAAGRycy9kb3ducmV2LnhtbFBLBQYAAAAAAwADALcAAAD4AgAAAAA=&#10;" filled="f" stroked="f">
                  <v:textbox inset="0,0,0,0">
                    <w:txbxContent>
                      <w:p w14:paraId="63A77D7A" w14:textId="77777777" w:rsidR="00B32EF2" w:rsidRDefault="00000000">
                        <w:r>
                          <w:rPr>
                            <w:rFonts w:ascii="Arial" w:eastAsia="Arial" w:hAnsi="Arial" w:cs="Arial"/>
                            <w:sz w:val="18"/>
                          </w:rPr>
                          <w:t>1</w:t>
                        </w:r>
                      </w:p>
                    </w:txbxContent>
                  </v:textbox>
                </v:rect>
                <v:rect id="Rectangle 14514" o:spid="_x0000_s1390" style="position:absolute;left:-13172;top:2180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rUMxAAAAN4AAAAPAAAAZHJzL2Rvd25yZXYueG1sRE9Li8Iw&#10;EL4L+x/CLHjT1MUVqUZZXGR78LI+wOPQjG21mYQm2uqv3ywI3ubje8582Zla3KjxlWUFo2ECgji3&#10;uuJCwX63HkxB+ICssbZMCu7kYbl4680x1bblX7ptQyFiCPsUFZQhuFRKn5dk0A+tI47cyTYGQ4RN&#10;IXWDbQw3tfxIkok0WHFsKNHRqqT8sr0aBcdvdtm6lfnpsXKbczatf677g1L99+5rBiJQF17ipzvT&#10;cf74czSG/3fiDXLxBwAA//8DAFBLAQItABQABgAIAAAAIQDb4fbL7gAAAIUBAAATAAAAAAAAAAAA&#10;AAAAAAAAAABbQ29udGVudF9UeXBlc10ueG1sUEsBAi0AFAAGAAgAAAAhAFr0LFu/AAAAFQEAAAsA&#10;AAAAAAAAAAAAAAAAHwEAAF9yZWxzLy5yZWxzUEsBAi0AFAAGAAgAAAAhAFHmtQzEAAAA3gAAAA8A&#10;AAAAAAAAAAAAAAAABwIAAGRycy9kb3ducmV2LnhtbFBLBQYAAAAAAwADALcAAAD4AgAAAAA=&#10;" filled="f" stroked="f">
                  <v:textbox inset="0,0,0,0">
                    <w:txbxContent>
                      <w:p w14:paraId="42CD154B" w14:textId="77777777" w:rsidR="00B32EF2" w:rsidRDefault="00000000">
                        <w:r>
                          <w:rPr>
                            <w:rFonts w:ascii="Arial" w:eastAsia="Arial" w:hAnsi="Arial" w:cs="Arial"/>
                            <w:sz w:val="18"/>
                          </w:rPr>
                          <w:t xml:space="preserve">la revocazione si osservano le norme stabilite per il procedimento davanti ad </w:t>
                        </w:r>
                      </w:p>
                    </w:txbxContent>
                  </v:textbox>
                </v:rect>
                <v:rect id="Rectangle 14515" o:spid="_x0000_s1391" style="position:absolute;left:-2367;top:20569;width:422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CXxAAAAN4AAAAPAAAAZHJzL2Rvd25yZXYueG1sRE9Li8Iw&#10;EL4v7H8Is+BtTV1UpBplcZHtwcv6AI9DM7bVZhKaaKu/3iwI3ubje85s0ZlaXKnxlWUFg34Cgji3&#10;uuJCwW67+pyA8AFZY22ZFNzIw2L+/jbDVNuW/+i6CYWIIexTVFCG4FIpfV6SQd+3jjhyR9sYDBE2&#10;hdQNtjHc1PIrScbSYMWxoURHy5Ly8+ZiFBx+2GWrVubH+9KtT9mk/r3s9kr1PrrvKYhAXXiJn+5M&#10;x/nD0WAE/+/EG+T8AQAA//8DAFBLAQItABQABgAIAAAAIQDb4fbL7gAAAIUBAAATAAAAAAAAAAAA&#10;AAAAAAAAAABbQ29udGVudF9UeXBlc10ueG1sUEsBAi0AFAAGAAgAAAAhAFr0LFu/AAAAFQEAAAsA&#10;AAAAAAAAAAAAAAAAHwEAAF9yZWxzLy5yZWxzUEsBAi0AFAAGAAgAAAAhAD6qEJfEAAAA3gAAAA8A&#10;AAAAAAAAAAAAAAAABwIAAGRycy9kb3ducmV2LnhtbFBLBQYAAAAAAwADALcAAAD4AgAAAAA=&#10;" filled="f" stroked="f">
                  <v:textbox inset="0,0,0,0">
                    <w:txbxContent>
                      <w:p w14:paraId="0A73B02E" w14:textId="77777777" w:rsidR="00B32EF2" w:rsidRDefault="00000000">
                        <w:r>
                          <w:rPr>
                            <w:rFonts w:ascii="Arial" w:eastAsia="Arial" w:hAnsi="Arial" w:cs="Arial"/>
                            <w:sz w:val="18"/>
                          </w:rPr>
                          <w:t>essa in quanto non derogate da quelle della presente sezione.</w:t>
                        </w:r>
                      </w:p>
                    </w:txbxContent>
                  </v:textbox>
                </v:rect>
                <v:rect id="Rectangle 14516" o:spid="_x0000_s1392" style="position:absolute;left:14577;top:12949;width:88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I7gxAAAAN4AAAAPAAAAZHJzL2Rvd25yZXYueG1sRE9Li8Iw&#10;EL4v7H8Is+BtTRVXpBplcRF72Isv8Dg0Y1ttJqGJtvrrzcKCt/n4njNbdKYWN2p8ZVnBoJ+AIM6t&#10;rrhQsN+tPicgfEDWWFsmBXfysJi/v80w1bblDd22oRAxhH2KCsoQXCqlz0sy6PvWEUfuZBuDIcKm&#10;kLrBNoabWg6TZCwNVhwbSnS0LCm/bK9GwfGHXbZqZX56LN3vOZvU6+v+oFTvo/ueggjUhZf4353p&#10;OH/0NRjD3zvxBjl/AgAA//8DAFBLAQItABQABgAIAAAAIQDb4fbL7gAAAIUBAAATAAAAAAAAAAAA&#10;AAAAAAAAAABbQ29udGVudF9UeXBlc10ueG1sUEsBAi0AFAAGAAgAAAAhAFr0LFu/AAAAFQEAAAsA&#10;AAAAAAAAAAAAAAAAHwEAAF9yZWxzLy5yZWxzUEsBAi0AFAAGAAgAAAAhAM54juDEAAAA3gAAAA8A&#10;AAAAAAAAAAAAAAAABwIAAGRycy9kb3ducmV2LnhtbFBLBQYAAAAAAwADALcAAAD4AgAAAAA=&#10;" filled="f" stroked="f">
                  <v:textbox inset="0,0,0,0">
                    <w:txbxContent>
                      <w:p w14:paraId="4795CA76" w14:textId="77777777" w:rsidR="00B32EF2" w:rsidRDefault="00000000">
                        <w:r>
                          <w:rPr>
                            <w:rFonts w:ascii="Arial" w:eastAsia="Arial" w:hAnsi="Arial" w:cs="Arial"/>
                            <w:b/>
                            <w:sz w:val="18"/>
                          </w:rPr>
                          <w:t>Articolo 123</w:t>
                        </w:r>
                      </w:p>
                    </w:txbxContent>
                  </v:textbox>
                </v:rect>
                <v:rect id="Rectangle 199623" o:spid="_x0000_s1393" style="position:absolute;left:11634;top:11425;width:194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FJgxAAAAN8AAAAPAAAAZHJzL2Rvd25yZXYueG1sRE/Pa8Iw&#10;FL4P/B/CG3ib6RREq1GGIvbgRafg8dE827rmJTTRVv96Mxjs+PH9ni87U4s7Nb6yrOBzkIAgzq2u&#10;uFBw/N58TED4gKyxtkwKHuRhuei9zTHVtuU93Q+hEDGEfYoKyhBcKqXPSzLoB9YRR+5iG4MhwqaQ&#10;usE2hptaDpNkLA1WHBtKdLQqKf853IyC85pdtmllfnmu3O6aTert7XhSqv/efc1ABOrCv/jPnek4&#10;fzodD0fw+ycCkIsXAAAA//8DAFBLAQItABQABgAIAAAAIQDb4fbL7gAAAIUBAAATAAAAAAAAAAAA&#10;AAAAAAAAAABbQ29udGVudF9UeXBlc10ueG1sUEsBAi0AFAAGAAgAAAAhAFr0LFu/AAAAFQEAAAsA&#10;AAAAAAAAAAAAAAAAHwEAAF9yZWxzLy5yZWxzUEsBAi0AFAAGAAgAAAAhAGcAUmDEAAAA3wAAAA8A&#10;AAAAAAAAAAAAAAAABwIAAGRycy9kb3ducmV2LnhtbFBLBQYAAAAAAwADALcAAAD4AgAAAAA=&#10;" filled="f" stroked="f">
                  <v:textbox inset="0,0,0,0">
                    <w:txbxContent>
                      <w:p w14:paraId="00C4F58E" w14:textId="77777777" w:rsidR="00B32EF2" w:rsidRDefault="00000000">
                        <w:r>
                          <w:rPr>
                            <w:rFonts w:ascii="Arial" w:eastAsia="Arial" w:hAnsi="Arial" w:cs="Arial"/>
                            <w:i/>
                            <w:sz w:val="18"/>
                          </w:rPr>
                          <w:t xml:space="preserve">articolo 67 D.lgs. n. </w:t>
                        </w:r>
                      </w:p>
                    </w:txbxContent>
                  </v:textbox>
                </v:rect>
                <v:rect id="Rectangle 199622" o:spid="_x0000_s1394" style="position:absolute;left:-2610;top:11425;width:194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Pf7xQAAAN8AAAAPAAAAZHJzL2Rvd25yZXYueG1sRE/LasJA&#10;FN0L/YfhFrrTSbMQjU6kKGIW3dRGcHnJ3DzazJ0hM5q0X98pFLo8nPd2N5le3GnwnWUFz4sEBHFl&#10;dceNgvL9OF+B8AFZY2+ZFHyRh13+MNtipu3Ib3Q/h0bEEPYZKmhDcJmUvmrJoF9YRxy52g4GQ4RD&#10;I/WAYww3vUyTZCkNdhwbWnS0b6n6PN+MguuBXXEcZVV/793rR7HqT7fyotTT4/SyARFoCv/iP3eh&#10;4/z1epmm8PsnApD5DwAAAP//AwBQSwECLQAUAAYACAAAACEA2+H2y+4AAACFAQAAEwAAAAAAAAAA&#10;AAAAAAAAAAAAW0NvbnRlbnRfVHlwZXNdLnhtbFBLAQItABQABgAIAAAAIQBa9CxbvwAAABUBAAAL&#10;AAAAAAAAAAAAAAAAAB8BAABfcmVscy8ucmVsc1BLAQItABQABgAIAAAAIQAITPf7xQAAAN8AAAAP&#10;AAAAAAAAAAAAAAAAAAcCAABkcnMvZG93bnJldi54bWxQSwUGAAAAAAMAAwC3AAAA+QIAAAAA&#10;" filled="f" stroked="f">
                  <v:textbox inset="0,0,0,0">
                    <w:txbxContent>
                      <w:p w14:paraId="512E97FA" w14:textId="77777777" w:rsidR="00B32EF2" w:rsidRDefault="00000000">
                        <w:r>
                          <w:rPr>
                            <w:rFonts w:ascii="Arial" w:eastAsia="Arial" w:hAnsi="Arial" w:cs="Arial"/>
                            <w:i/>
                            <w:sz w:val="18"/>
                          </w:rPr>
                          <w:t>546/92)</w:t>
                        </w:r>
                      </w:p>
                    </w:txbxContent>
                  </v:textbox>
                </v:rect>
                <v:rect id="Rectangle 199621" o:spid="_x0000_s1395" style="position:absolute;left:22219;top:11425;width:194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mMwwAAAN8AAAAPAAAAZHJzL2Rvd25yZXYueG1sRE9Ni8Iw&#10;EL0v+B/CCN7WVA+i1SiiiD14WXVhj0MzttVmEppoq79+s7Dg8fG+F6vO1OJBja8sKxgNExDEudUV&#10;FwrOp93nFIQPyBpry6TgSR5Wy97HAlNtW/6ixzEUIoawT1FBGYJLpfR5SQb90DriyF1sYzBE2BRS&#10;N9jGcFPLcZJMpMGKY0OJjjYl5bfj3Sj42bLLdq3ML6+NO1yzab2/n7+VGvS79RxEoC68xf/uTMf5&#10;s9lkPIK/PxGAXP4CAAD//wMAUEsBAi0AFAAGAAgAAAAhANvh9svuAAAAhQEAABMAAAAAAAAAAAAA&#10;AAAAAAAAAFtDb250ZW50X1R5cGVzXS54bWxQSwECLQAUAAYACAAAACEAWvQsW78AAAAVAQAACwAA&#10;AAAAAAAAAAAAAAAfAQAAX3JlbHMvLnJlbHNQSwECLQAUAAYACAAAACEA+J5pjMMAAADfAAAADwAA&#10;AAAAAAAAAAAAAAAHAgAAZHJzL2Rvd25yZXYueG1sUEsFBgAAAAADAAMAtwAAAPcCAAAAAA==&#10;" filled="f" stroked="f">
                  <v:textbox inset="0,0,0,0">
                    <w:txbxContent>
                      <w:p w14:paraId="3ECBC612" w14:textId="77777777" w:rsidR="00B32EF2" w:rsidRDefault="00000000">
                        <w:r>
                          <w:rPr>
                            <w:rFonts w:ascii="Arial" w:eastAsia="Arial" w:hAnsi="Arial" w:cs="Arial"/>
                            <w:i/>
                            <w:sz w:val="18"/>
                          </w:rPr>
                          <w:t>(</w:t>
                        </w:r>
                      </w:p>
                    </w:txbxContent>
                  </v:textbox>
                </v:rect>
                <v:rect id="Rectangle 14518" o:spid="_x0000_s1396" style="position:absolute;left:15116;top:9902;width:77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78JyAAAAN4AAAAPAAAAZHJzL2Rvd25yZXYueG1sRI9Pa8JA&#10;EMXvhX6HZQq91Y2lFomuIhZpDr34p9DjkB2TaHZ2ya4m7ad3DkJvM7w37/1mvhxcq67UxcazgfEo&#10;A0VcettwZeCw37xMQcWEbLH1TAZ+KcJy8fgwx9z6nrd03aVKSQjHHA3UKYVc61jW5DCOfCAW7eg7&#10;h0nWrtK2w17CXatfs+xdO2xYGmoMtK6pPO8uzsDPB4di0+vy+LcOX6di2n5eDt/GPD8NqxmoREP6&#10;N9+vCyv4b5Ox8Mo7MoNe3AAAAP//AwBQSwECLQAUAAYACAAAACEA2+H2y+4AAACFAQAAEwAAAAAA&#10;AAAAAAAAAAAAAAAAW0NvbnRlbnRfVHlwZXNdLnhtbFBLAQItABQABgAIAAAAIQBa9CxbvwAAABUB&#10;AAALAAAAAAAAAAAAAAAAAB8BAABfcmVscy8ucmVsc1BLAQItABQABgAIAAAAIQDQq78JyAAAAN4A&#10;AAAPAAAAAAAAAAAAAAAAAAcCAABkcnMvZG93bnJldi54bWxQSwUGAAAAAAMAAwC3AAAA/AIAAAAA&#10;" filled="f" stroked="f">
                  <v:textbox inset="0,0,0,0">
                    <w:txbxContent>
                      <w:p w14:paraId="370934AC" w14:textId="77777777" w:rsidR="00B32EF2" w:rsidRDefault="00000000">
                        <w:r>
                          <w:rPr>
                            <w:rFonts w:ascii="Arial" w:eastAsia="Arial" w:hAnsi="Arial" w:cs="Arial"/>
                            <w:b/>
                            <w:sz w:val="18"/>
                          </w:rPr>
                          <w:t xml:space="preserve">Decisione </w:t>
                        </w:r>
                      </w:p>
                    </w:txbxContent>
                  </v:textbox>
                </v:rect>
                <v:rect id="Rectangle 199619" o:spid="_x0000_s1397" style="position:absolute;left:26110;top:866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K83xAAAAN8AAAAPAAAAZHJzL2Rvd25yZXYueG1sRE/LasJA&#10;FN0X/IfhCt3ViV2IiU5EFGkW3dQquLxkbh6auTNkRpP26zuFQpeH815vRtOJB/W+taxgPktAEJdW&#10;t1wrOH0eXpYgfEDW2FkmBV/kYZNPntaYaTvwBz2OoRYxhH2GCpoQXCalLxsy6GfWEUeusr3BEGFf&#10;S93jEMNNJ1+TZCENthwbGnS0a6i8He9GwWXPrjgMsqy+d+79Wiy7t/vprNTzdNyuQAQaw7/4z13o&#10;OD9NF/MUfv9EADL/AQAA//8DAFBLAQItABQABgAIAAAAIQDb4fbL7gAAAIUBAAATAAAAAAAAAAAA&#10;AAAAAAAAAABbQ29udGVudF9UeXBlc10ueG1sUEsBAi0AFAAGAAgAAAAhAFr0LFu/AAAAFQEAAAsA&#10;AAAAAAAAAAAAAAAAHwEAAF9yZWxzLy5yZWxzUEsBAi0AFAAGAAgAAAAhAMiErzfEAAAA3wAAAA8A&#10;AAAAAAAAAAAAAAAABwIAAGRycy9kb3ducmV2LnhtbFBLBQYAAAAAAwADALcAAAD4AgAAAAA=&#10;" filled="f" stroked="f">
                  <v:textbox inset="0,0,0,0">
                    <w:txbxContent>
                      <w:p w14:paraId="7E3D9B53" w14:textId="77777777" w:rsidR="00B32EF2" w:rsidRDefault="00000000">
                        <w:r>
                          <w:rPr>
                            <w:rFonts w:ascii="Arial" w:eastAsia="Arial" w:hAnsi="Arial" w:cs="Arial"/>
                            <w:sz w:val="18"/>
                          </w:rPr>
                          <w:t>1</w:t>
                        </w:r>
                      </w:p>
                    </w:txbxContent>
                  </v:textbox>
                </v:rect>
                <v:rect id="Rectangle 199620" o:spid="_x0000_s1398" style="position:absolute;left:-13762;top:866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swXxAAAAN8AAAAPAAAAZHJzL2Rvd25yZXYueG1sRE87b8Iw&#10;EN4r9T9YV6lbccqAIGAQokLN0KU8JMZTfCSB+GzFhqT99b2hEuOn771YDa5Vd+pi49nA+ygDRVx6&#10;23Bl4LDfvk1BxYRssfVMBn4owmr5/LTA3Pqev+m+S5WSEI45GqhTCrnWsazJYRz5QCzc2XcOk8Cu&#10;0rbDXsJdq8dZNtEOG5aGGgNtaiqvu5szcPrgUGx7XZ5/N+HrUkzbz9vhaMzry7Ceg0o0pIf4311Y&#10;mT+bTcbyQP4IAL38AwAA//8DAFBLAQItABQABgAIAAAAIQDb4fbL7gAAAIUBAAATAAAAAAAAAAAA&#10;AAAAAAAAAABbQ29udGVudF9UeXBlc10ueG1sUEsBAi0AFAAGAAgAAAAhAFr0LFu/AAAAFQEAAAsA&#10;AAAAAAAAAAAAAAAAHwEAAF9yZWxzLy5yZWxzUEsBAi0AFAAGAAgAAAAhAJfSzBfEAAAA3wAAAA8A&#10;AAAAAAAAAAAAAAAABwIAAGRycy9kb3ducmV2LnhtbFBLBQYAAAAAAwADALcAAAD4AgAAAAA=&#10;" filled="f" stroked="f">
                  <v:textbox inset="0,0,0,0">
                    <w:txbxContent>
                      <w:p w14:paraId="7994CE7E" w14:textId="77777777" w:rsidR="00B32EF2" w:rsidRDefault="00000000">
                        <w:r>
                          <w:rPr>
                            <w:rFonts w:ascii="Arial" w:eastAsia="Arial" w:hAnsi="Arial" w:cs="Arial"/>
                            <w:sz w:val="18"/>
                          </w:rPr>
                          <w:t xml:space="preserve">. Ove ricorrano i motivi di cui all’articolo 395 del codice di procedura civile </w:t>
                        </w:r>
                      </w:p>
                    </w:txbxContent>
                  </v:textbox>
                </v:rect>
                <v:rect id="Rectangle 14520" o:spid="_x0000_s1399" style="position:absolute;left:-13171;top:743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XmyxwAAAN4AAAAPAAAAZHJzL2Rvd25yZXYueG1sRI9Ba8JA&#10;EIXvQv/DMoXedFNRkdRVikXMoZeqhR6H7Jikzc4u2dWk/fXOoeBthnnz3vtWm8G16kpdbDwbeJ5k&#10;oIhLbxuuDJyOu/ESVEzIFlvPZOCXImzWD6MV5tb3/EHXQ6qUmHDM0UCdUsi1jmVNDuPEB2K5nX3n&#10;MMnaVdp22Iu5a/U0yxbaYcOSUGOgbU3lz+HiDHy9cSh2vS7Pf9vw/l0s2/3l9GnM0+Pw+gIq0ZDu&#10;4v/vwkr92XwqAIIjM+j1DQAA//8DAFBLAQItABQABgAIAAAAIQDb4fbL7gAAAIUBAAATAAAAAAAA&#10;AAAAAAAAAAAAAABbQ29udGVudF9UeXBlc10ueG1sUEsBAi0AFAAGAAgAAAAhAFr0LFu/AAAAFQEA&#10;AAsAAAAAAAAAAAAAAAAAHwEAAF9yZWxzLy5yZWxzUEsBAi0AFAAGAAgAAAAhAOCxebLHAAAA3gAA&#10;AA8AAAAAAAAAAAAAAAAABwIAAGRycy9kb3ducmV2LnhtbFBLBQYAAAAAAwADALcAAAD7AgAAAAA=&#10;" filled="f" stroked="f">
                  <v:textbox inset="0,0,0,0">
                    <w:txbxContent>
                      <w:p w14:paraId="31DA0905" w14:textId="77777777" w:rsidR="00B32EF2" w:rsidRDefault="00000000">
                        <w:r>
                          <w:rPr>
                            <w:rFonts w:ascii="Arial" w:eastAsia="Arial" w:hAnsi="Arial" w:cs="Arial"/>
                            <w:sz w:val="18"/>
                          </w:rPr>
                          <w:t xml:space="preserve">la corte di giustizia tributaria di primo e secondo grado decide il merito della </w:t>
                        </w:r>
                      </w:p>
                    </w:txbxContent>
                  </v:textbox>
                </v:rect>
                <v:rect id="Rectangle 14521" o:spid="_x0000_s1400" style="position:absolute;left:1856;top:6202;width:380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wpxAAAAN4AAAAPAAAAZHJzL2Rvd25yZXYueG1sRE9Li8Iw&#10;EL4v+B/CCN7WVNldpBpFFNkevKwP8Dg0Y1ttJqGJtvrrNwsL3ubje85s0Zla3KnxlWUFo2ECgji3&#10;uuJCwWG/eZ+A8AFZY22ZFDzIw2Lee5thqm3LP3TfhULEEPYpKihDcKmUPi/JoB9aRxy5s20Mhgib&#10;QuoG2xhuajlOki9psOLYUKKjVUn5dXczCk5rdtmmlfn5uXLbSzapv2+Ho1KDfrecggjUhZf4353p&#10;OP/jczyCv3fiDXL+CwAA//8DAFBLAQItABQABgAIAAAAIQDb4fbL7gAAAIUBAAATAAAAAAAAAAAA&#10;AAAAAAAAAABbQ29udGVudF9UeXBlc10ueG1sUEsBAi0AFAAGAAgAAAAhAFr0LFu/AAAAFQEAAAsA&#10;AAAAAAAAAAAAAAAAHwEAAF9yZWxzLy5yZWxzUEsBAi0AFAAGAAgAAAAhAI/93CnEAAAA3gAAAA8A&#10;AAAAAAAAAAAAAAAABwIAAGRycy9kb3ducmV2LnhtbFBLBQYAAAAAAwADALcAAAD4AgAAAAA=&#10;" filled="f" stroked="f">
                  <v:textbox inset="0,0,0,0">
                    <w:txbxContent>
                      <w:p w14:paraId="442A6CAA" w14:textId="77777777" w:rsidR="00B32EF2" w:rsidRDefault="00000000">
                        <w:r>
                          <w:rPr>
                            <w:rFonts w:ascii="Arial" w:eastAsia="Arial" w:hAnsi="Arial" w:cs="Arial"/>
                            <w:sz w:val="18"/>
                          </w:rPr>
                          <w:t>causa e detta ogni altro provvedimento conseguenziale.</w:t>
                        </w:r>
                      </w:p>
                    </w:txbxContent>
                  </v:textbox>
                </v:rect>
                <v:rect id="Rectangle 199618" o:spid="_x0000_s1401" style="position:absolute;left:-13816;top:4969;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qsxAAAAN8AAAAPAAAAZHJzL2Rvd25yZXYueG1sRE89b8Iw&#10;EN2R+h+sq8QGDh0QpBiEqBAZupSmUsdTfCQp8dmKDUn763tDpY5P73uzG12n7tTH1rOBxTwDRVx5&#10;23JtoHw/zlagYkK22HkmA98UYbd9mGwwt37gN7qfU60khGOOBpqUQq51rBpyGOc+EAt38b3DJLCv&#10;te1xkHDX6acsW2qHLUtDg4EODVXX880Z+HzhUBwHXV1+DuH1q1h1p1v5Ycz0cdw/g0o0pn/xn7uw&#10;Mn+9Xi5ksPwRAHr7CwAA//8DAFBLAQItABQABgAIAAAAIQDb4fbL7gAAAIUBAAATAAAAAAAAAAAA&#10;AAAAAAAAAABbQ29udGVudF9UeXBlc10ueG1sUEsBAi0AFAAGAAgAAAAhAFr0LFu/AAAAFQEAAAsA&#10;AAAAAAAAAAAAAAAAHwEAAF9yZWxzLy5yZWxzUEsBAi0AFAAGAAgAAAAhAKfICqzEAAAA3wAAAA8A&#10;AAAAAAAAAAAAAAAABwIAAGRycy9kb3ducmV2LnhtbFBLBQYAAAAAAwADALcAAAD4AgAAAAA=&#10;" filled="f" stroked="f">
                  <v:textbox inset="0,0,0,0">
                    <w:txbxContent>
                      <w:p w14:paraId="1478063B" w14:textId="77777777" w:rsidR="00B32EF2" w:rsidRDefault="00000000">
                        <w:r>
                          <w:rPr>
                            <w:rFonts w:ascii="Arial" w:eastAsia="Arial" w:hAnsi="Arial" w:cs="Arial"/>
                            <w:sz w:val="18"/>
                          </w:rPr>
                          <w:t xml:space="preserve">. Contro la sentenza che decide il giudizio di revocazione sono ammessi i </w:t>
                        </w:r>
                      </w:p>
                    </w:txbxContent>
                  </v:textbox>
                </v:rect>
                <v:rect id="Rectangle 199617" o:spid="_x0000_s1402" style="position:absolute;left:26110;top:4969;width:5309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7exAAAAN8AAAAPAAAAZHJzL2Rvd25yZXYueG1sRE/LisIw&#10;FN0L/kO4wuw01YWPahRRZLpwo+PALC/Nta02N6GJtjNfbwYGZnk479WmM7V4UuMrywrGowQEcW51&#10;xYWCy8dhOAfhA7LG2jIp+CYPm3W/t8JU25ZP9DyHQsQQ9ikqKENwqZQ+L8mgH1lHHLmrbQyGCJtC&#10;6gbbGG5qOUmSqTRYcWwo0dGupPx+fhgFX3t22aGV+fVn5463bF6/Py6fSr0Nuu0SRKAu/Iv/3JmO&#10;8xeL6XgGv38iALl+AQAA//8DAFBLAQItABQABgAIAAAAIQDb4fbL7gAAAIUBAAATAAAAAAAAAAAA&#10;AAAAAAAAAABbQ29udGVudF9UeXBlc10ueG1sUEsBAi0AFAAGAAgAAAAhAFr0LFu/AAAAFQEAAAsA&#10;AAAAAAAAAAAAAAAAHwEAAF9yZWxzLy5yZWxzUEsBAi0AFAAGAAgAAAAhANZXnt7EAAAA3wAAAA8A&#10;AAAAAAAAAAAAAAAABwIAAGRycy9kb3ducmV2LnhtbFBLBQYAAAAAAwADALcAAAD4AgAAAAA=&#10;" filled="f" stroked="f">
                  <v:textbox inset="0,0,0,0">
                    <w:txbxContent>
                      <w:p w14:paraId="4D26B472" w14:textId="77777777" w:rsidR="00B32EF2" w:rsidRDefault="00000000">
                        <w:r>
                          <w:rPr>
                            <w:rFonts w:ascii="Arial" w:eastAsia="Arial" w:hAnsi="Arial" w:cs="Arial"/>
                            <w:sz w:val="18"/>
                          </w:rPr>
                          <w:t>2</w:t>
                        </w:r>
                      </w:p>
                    </w:txbxContent>
                  </v:textbox>
                </v:rect>
                <v:rect id="Rectangle 14523" o:spid="_x0000_s1403" style="position:absolute;left:-12207;top:3735;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fFxQAAAN4AAAAPAAAAZHJzL2Rvd25yZXYueG1sRE9La8JA&#10;EL4X/A/LCN7qplpFoqsUi5hDL/UBHofsmMRmZ5fsamJ/fbcgeJuP7zmLVWdqcaPGV5YVvA0TEMS5&#10;1RUXCg77zesMhA/IGmvLpOBOHlbL3ssCU21b/qbbLhQihrBPUUEZgkul9HlJBv3QOuLInW1jMETY&#10;FFI32MZwU8tRkkylwYpjQ4mO1iXlP7urUXD6ZJdtWpmff9fu65LN6u31cFRq0O8+5iACdeEpfrgz&#10;Hee/T0Zj+H8n3iCXfwAAAP//AwBQSwECLQAUAAYACAAAACEA2+H2y+4AAACFAQAAEwAAAAAAAAAA&#10;AAAAAAAAAAAAW0NvbnRlbnRfVHlwZXNdLnhtbFBLAQItABQABgAIAAAAIQBa9CxbvwAAABUBAAAL&#10;AAAAAAAAAAAAAAAAAB8BAABfcmVscy8ucmVsc1BLAQItABQABgAIAAAAIQAQY+fFxQAAAN4AAAAP&#10;AAAAAAAAAAAAAAAAAAcCAABkcnMvZG93bnJldi54bWxQSwUGAAAAAAMAAwC3AAAA+QIAAAAA&#10;" filled="f" stroked="f">
                  <v:textbox inset="0,0,0,0">
                    <w:txbxContent>
                      <w:p w14:paraId="59448FF2" w14:textId="77777777" w:rsidR="00B32EF2" w:rsidRDefault="00000000">
                        <w:r>
                          <w:rPr>
                            <w:rFonts w:ascii="Arial" w:eastAsia="Arial" w:hAnsi="Arial" w:cs="Arial"/>
                            <w:sz w:val="18"/>
                          </w:rPr>
                          <w:t>mezzi d’impugnazione ai quali era originariamente soggetta la sentenza impu</w:t>
                        </w:r>
                      </w:p>
                    </w:txbxContent>
                  </v:textbox>
                </v:rect>
                <v:rect id="Rectangle 14524" o:spid="_x0000_s1404" style="position:absolute;left:193;top:373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n+xxAAAAN4AAAAPAAAAZHJzL2Rvd25yZXYueG1sRE9Ni8Iw&#10;EL0v+B/CCN7WVHEX6RpFFLEHL7ou7HFoxrbaTEITbfXXb4QFb/N4nzNbdKYWN2p8ZVnBaJiAIM6t&#10;rrhQcPzevE9B+ICssbZMCu7kYTHvvc0w1bblPd0OoRAxhH2KCsoQXCqlz0sy6IfWEUfuZBuDIcKm&#10;kLrBNoabWo6T5FMarDg2lOhoVVJ+OVyNgt81u2zTyvz0WLndOZvW2+vxR6lBv1t+gQjUhZf4353p&#10;OH/yMZ7A8514g5z/AQAA//8DAFBLAQItABQABgAIAAAAIQDb4fbL7gAAAIUBAAATAAAAAAAAAAAA&#10;AAAAAAAAAABbQ29udGVudF9UeXBlc10ueG1sUEsBAi0AFAAGAAgAAAAhAFr0LFu/AAAAFQEAAAsA&#10;AAAAAAAAAAAAAAAAHwEAAF9yZWxzLy5yZWxzUEsBAi0AFAAGAAgAAAAhAJ+Kf7HEAAAA3gAAAA8A&#10;AAAAAAAAAAAAAAAABwIAAGRycy9kb3ducmV2LnhtbFBLBQYAAAAAAwADALcAAAD4AgAAAAA=&#10;" filled="f" stroked="f">
                  <v:textbox inset="0,0,0,0">
                    <w:txbxContent>
                      <w:p w14:paraId="2FE0FDCE" w14:textId="77777777" w:rsidR="00B32EF2" w:rsidRDefault="00000000">
                        <w:r>
                          <w:rPr>
                            <w:rFonts w:ascii="Arial" w:eastAsia="Arial" w:hAnsi="Arial" w:cs="Arial"/>
                            <w:sz w:val="18"/>
                          </w:rPr>
                          <w:t>-</w:t>
                        </w:r>
                      </w:p>
                    </w:txbxContent>
                  </v:textbox>
                </v:rect>
                <v:shape id="Shape 207718" o:spid="_x0000_s1405" style="position:absolute;left:317;top:52286;width:39603;height:10730;visibility:visible;mso-wrap-style:square;v-text-anchor:top" coordsize="3960254,1072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aMawwAAAN8AAAAPAAAAZHJzL2Rvd25yZXYueG1sRE/LisIw&#10;FN0P+A/hCrMZNG0Xo1SjSEEUHwsf4PbSXNtic1OaTK1/bxYDLg/nPV/2phYdta6yrCAeRyCIc6sr&#10;LhRcL+vRFITzyBpry6TgRQ6Wi8HXHFNtn3yi7uwLEULYpaig9L5JpXR5SQbd2DbEgbvb1qAPsC2k&#10;bvEZwk0tkyj6lQYrDg0lNpSVlD/Of0aBPyRxVh9v+W5/22T8o63uDlulvof9agbCU+8/4n/3VitI&#10;oskkDoPDn/AF5OINAAD//wMAUEsBAi0AFAAGAAgAAAAhANvh9svuAAAAhQEAABMAAAAAAAAAAAAA&#10;AAAAAAAAAFtDb250ZW50X1R5cGVzXS54bWxQSwECLQAUAAYACAAAACEAWvQsW78AAAAVAQAACwAA&#10;AAAAAAAAAAAAAAAfAQAAX3JlbHMvLnJlbHNQSwECLQAUAAYACAAAACEAyi2jGsMAAADfAAAADwAA&#10;AAAAAAAAAAAAAAAHAgAAZHJzL2Rvd25yZXYueG1sUEsFBgAAAAADAAMAtwAAAPcCAAAAAA==&#10;" path="m,l3960254,r,1072947l,1072947,,e" fillcolor="#c3c3c3" stroked="f" strokeweight="0">
                  <v:stroke miterlimit="83231f" joinstyle="miter"/>
                  <v:path arrowok="t" textboxrect="0,0,3960254,1072947"/>
                </v:shape>
                <v:rect id="Rectangle 14526" o:spid="_x0000_s1406" style="position:absolute;left:-11880;top:60803;width:5103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RdxAAAAN4AAAAPAAAAZHJzL2Rvd25yZXYueG1sRE9Ni8Iw&#10;EL0L/ocwgjdNFVekaxRRxB72sq4Lexyasa02k9BEW/31m4UFb/N4n7Ncd6YWd2p8ZVnBZJyAIM6t&#10;rrhQcPrajxYgfEDWWFsmBQ/ysF71e0tMtW35k+7HUIgYwj5FBWUILpXS5yUZ9GPriCN3to3BEGFT&#10;SN1gG8NNLadJMpcGK44NJTralpRfjzej4GfHLtu3Mj8/t+7jki3qw+30rdRw0G3eQQTqwkv87850&#10;nD97m87h7514g1z9AgAA//8DAFBLAQItABQABgAIAAAAIQDb4fbL7gAAAIUBAAATAAAAAAAAAAAA&#10;AAAAAAAAAABbQ29udGVudF9UeXBlc10ueG1sUEsBAi0AFAAGAAgAAAAhAFr0LFu/AAAAFQEAAAsA&#10;AAAAAAAAAAAAAAAAHwEAAF9yZWxzLy5yZWxzUEsBAi0AFAAGAAgAAAAhAAAURF3EAAAA3gAAAA8A&#10;AAAAAAAAAAAAAAAABwIAAGRycy9kb3ducmV2LnhtbFBLBQYAAAAAAwADALcAAAD4AgAAAAA=&#10;" filled="f" stroked="f">
                  <v:textbox inset="0,0,0,0">
                    <w:txbxContent>
                      <w:p w14:paraId="6D8E9298" w14:textId="77777777" w:rsidR="00B32EF2" w:rsidRDefault="00000000">
                        <w:r>
                          <w:rPr>
                            <w:rFonts w:ascii="Arial" w:eastAsia="Arial" w:hAnsi="Arial" w:cs="Arial"/>
                            <w:i/>
                            <w:sz w:val="18"/>
                          </w:rPr>
                          <w:t xml:space="preserve">trastabilmente esclusa, oppure quando è supposta l’inesistenza di un fatto </w:t>
                        </w:r>
                      </w:p>
                    </w:txbxContent>
                  </v:textbox>
                </v:rect>
                <v:rect id="Rectangle 14527" o:spid="_x0000_s1407" style="position:absolute;left:-11869;top:59431;width:509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OHGxQAAAN4AAAAPAAAAZHJzL2Rvd25yZXYueG1sRE9La8JA&#10;EL4X/A/LCN7qpmJVoqsUi5hDL/UBHofsmMRmZ5fsamJ/fbcgeJuP7zmLVWdqcaPGV5YVvA0TEMS5&#10;1RUXCg77zesMhA/IGmvLpOBOHlbL3ssCU21b/qbbLhQihrBPUUEZgkul9HlJBv3QOuLInW1jMETY&#10;FFI32MZwU8tRkkykwYpjQ4mO1iXlP7urUXD6ZJdtWpmff9fu65LN6u31cFRq0O8+5iACdeEpfrgz&#10;HeeP30dT+H8n3iCXfwAAAP//AwBQSwECLQAUAAYACAAAACEA2+H2y+4AAACFAQAAEwAAAAAAAAAA&#10;AAAAAAAAAAAAW0NvbnRlbnRfVHlwZXNdLnhtbFBLAQItABQABgAIAAAAIQBa9CxbvwAAABUBAAAL&#10;AAAAAAAAAAAAAAAAAB8BAABfcmVscy8ucmVsc1BLAQItABQABgAIAAAAIQBvWOHGxQAAAN4AAAAP&#10;AAAAAAAAAAAAAAAAAAcCAABkcnMvZG93bnJldi54bWxQSwUGAAAAAAMAAwC3AAAA+QIAAAAA&#10;" filled="f" stroked="f">
                  <v:textbox inset="0,0,0,0">
                    <w:txbxContent>
                      <w:p w14:paraId="78F12A1E" w14:textId="77777777" w:rsidR="00B32EF2" w:rsidRDefault="00000000">
                        <w:r>
                          <w:rPr>
                            <w:rFonts w:ascii="Arial" w:eastAsia="Arial" w:hAnsi="Arial" w:cs="Arial"/>
                            <w:i/>
                            <w:sz w:val="18"/>
                          </w:rPr>
                          <w:t xml:space="preserve">la cui verità è positivamente stabilita, e tanto nell’uno quanto nell’altro caso </w:t>
                        </w:r>
                      </w:p>
                    </w:txbxContent>
                  </v:textbox>
                </v:rect>
                <v:rect id="Rectangle 14528" o:spid="_x0000_s1408" style="position:absolute;left:-11902;top:58060;width:511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3W0xwAAAN4AAAAPAAAAZHJzL2Rvd25yZXYueG1sRI9Ba8JA&#10;EIXvQv/DMoXedFNRkdRVikXMoZeqhR6H7Jikzc4u2dWk/fXOoeBthvfmvW9Wm8G16kpdbDwbeJ5k&#10;oIhLbxuuDJyOu/ESVEzIFlvPZOCXImzWD6MV5tb3/EHXQ6qUhHDM0UCdUsi1jmVNDuPEB2LRzr5z&#10;mGTtKm077CXctXqaZQvtsGFpqDHQtqby53BxBr7eOBS7Xpfnv214/y6W7f5y+jTm6XF4fQGVaEh3&#10;8/91YQV/Np8Kr7wjM+j1DQAA//8DAFBLAQItABQABgAIAAAAIQDb4fbL7gAAAIUBAAATAAAAAAAA&#10;AAAAAAAAAAAAAABbQ29udGVudF9UeXBlc10ueG1sUEsBAi0AFAAGAAgAAAAhAFr0LFu/AAAAFQEA&#10;AAsAAAAAAAAAAAAAAAAAHwEAAF9yZWxzLy5yZWxzUEsBAi0AFAAGAAgAAAAhAB7HdbTHAAAA3gAA&#10;AA8AAAAAAAAAAAAAAAAABwIAAGRycy9kb3ducmV2LnhtbFBLBQYAAAAAAwADALcAAAD7AgAAAAA=&#10;" filled="f" stroked="f">
                  <v:textbox inset="0,0,0,0">
                    <w:txbxContent>
                      <w:p w14:paraId="5EB08AA4" w14:textId="77777777" w:rsidR="00B32EF2" w:rsidRDefault="00000000">
                        <w:r>
                          <w:rPr>
                            <w:rFonts w:ascii="Arial" w:eastAsia="Arial" w:hAnsi="Arial" w:cs="Arial"/>
                            <w:i/>
                            <w:sz w:val="18"/>
                          </w:rPr>
                          <w:t xml:space="preserve">se il fatto non costituì un punto controverso sul quale la sentenza ebbe a </w:t>
                        </w:r>
                      </w:p>
                    </w:txbxContent>
                  </v:textbox>
                </v:rect>
                <v:rect id="Rectangle 14529" o:spid="_x0000_s1409" style="position:absolute;left:-11867;top:56689;width:509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9AvxQAAAN4AAAAPAAAAZHJzL2Rvd25yZXYueG1sRE9Na8JA&#10;EL0L/Q/LFLzpRrFio6uIIs3BS62FHofsmESzs0t2NWl/vVsQvM3jfc5i1Zla3KjxlWUFo2ECgji3&#10;uuJCwfFrN5iB8AFZY22ZFPySh9XypbfAVNuWP+l2CIWIIexTVFCG4FIpfV6SQT+0jjhyJ9sYDBE2&#10;hdQNtjHc1HKcJFNpsOLYUKKjTUn55XA1Cn627LJdK/PT38btz9ms/rgev5Xqv3brOYhAXXiKH+5M&#10;x/mTt/E7/L8Tb5DLOwAAAP//AwBQSwECLQAUAAYACAAAACEA2+H2y+4AAACFAQAAEwAAAAAAAAAA&#10;AAAAAAAAAAAAW0NvbnRlbnRfVHlwZXNdLnhtbFBLAQItABQABgAIAAAAIQBa9CxbvwAAABUBAAAL&#10;AAAAAAAAAAAAAAAAAB8BAABfcmVscy8ucmVsc1BLAQItABQABgAIAAAAIQBxi9AvxQAAAN4AAAAP&#10;AAAAAAAAAAAAAAAAAAcCAABkcnMvZG93bnJldi54bWxQSwUGAAAAAAMAAwC3AAAA+QIAAAAA&#10;" filled="f" stroked="f">
                  <v:textbox inset="0,0,0,0">
                    <w:txbxContent>
                      <w:p w14:paraId="2A02F1D0" w14:textId="77777777" w:rsidR="00B32EF2" w:rsidRDefault="00000000">
                        <w:r>
                          <w:rPr>
                            <w:rFonts w:ascii="Arial" w:eastAsia="Arial" w:hAnsi="Arial" w:cs="Arial"/>
                            <w:i/>
                            <w:sz w:val="18"/>
                          </w:rPr>
                          <w:t xml:space="preserve">pronunciare; 5) se la sentenza è contraria ad altra precedente avente fra le </w:t>
                        </w:r>
                      </w:p>
                    </w:txbxContent>
                  </v:textbox>
                </v:rect>
                <v:rect id="Rectangle 14530" o:spid="_x0000_s1410" style="position:absolute;left:-11866;top:55317;width:509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9vyAAAAN4AAAAPAAAAZHJzL2Rvd25yZXYueG1sRI9Pb8Iw&#10;DMXvk/YdIk/iNtL9Q6gjoIkJ0QOXAZN2tBrTdmucqAm049PjAxI3W35+7/1mi8G16kRdbDwbeBpn&#10;oIhLbxuuDOx3q8cpqJiQLbaeycA/RVjM7+9mmFvf8xedtqlSYsIxRwN1SiHXOpY1OYxjH4jldvCd&#10;wyRrV2nbYS/mrtXPWTbRDhuWhBoDLWsq/7ZHZ+Dnk0Ox6nV5OC/D5reYtuvj/tuY0cPw8Q4q0ZBu&#10;4ut3YaX+69uLAAiOzKDnFwAAAP//AwBQSwECLQAUAAYACAAAACEA2+H2y+4AAACFAQAAEwAAAAAA&#10;AAAAAAAAAAAAAAAAW0NvbnRlbnRfVHlwZXNdLnhtbFBLAQItABQABgAIAAAAIQBa9CxbvwAAABUB&#10;AAALAAAAAAAAAAAAAAAAAB8BAABfcmVscy8ucmVsc1BLAQItABQABgAIAAAAIQBlaO9vyAAAAN4A&#10;AAAPAAAAAAAAAAAAAAAAAAcCAABkcnMvZG93bnJldi54bWxQSwUGAAAAAAMAAwC3AAAA/AIAAAAA&#10;" filled="f" stroked="f">
                  <v:textbox inset="0,0,0,0">
                    <w:txbxContent>
                      <w:p w14:paraId="776549FF" w14:textId="77777777" w:rsidR="00B32EF2" w:rsidRDefault="00000000">
                        <w:r>
                          <w:rPr>
                            <w:rFonts w:ascii="Arial" w:eastAsia="Arial" w:hAnsi="Arial" w:cs="Arial"/>
                            <w:i/>
                            <w:sz w:val="18"/>
                          </w:rPr>
                          <w:t xml:space="preserve">parti autorità di cosa giudicata, purché non abbia pronunciato sulla relativa </w:t>
                        </w:r>
                      </w:p>
                    </w:txbxContent>
                  </v:textbox>
                </v:rect>
                <v:rect id="Rectangle 14531" o:spid="_x0000_s1411" style="position:absolute;left:-11902;top:53946;width:511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Er0xQAAAN4AAAAPAAAAZHJzL2Rvd25yZXYueG1sRE9La8JA&#10;EL4X/A/LCN7qxlpFoquIRZpDL/UBHofsmESzs0t2NWl/fbcgeJuP7zmLVWdqcafGV5YVjIYJCOLc&#10;6ooLBYf99nUGwgdkjbVlUvBDHlbL3ssCU21b/qb7LhQihrBPUUEZgkul9HlJBv3QOuLInW1jMETY&#10;FFI32MZwU8u3JJlKgxXHhhIdbUrKr7ubUXD6YJdtW5mffzfu65LN6s/b4ajUoN+t5yACdeEpfrgz&#10;Hee/T8Yj+H8n3iCXfwAAAP//AwBQSwECLQAUAAYACAAAACEA2+H2y+4AAACFAQAAEwAAAAAAAAAA&#10;AAAAAAAAAAAAW0NvbnRlbnRfVHlwZXNdLnhtbFBLAQItABQABgAIAAAAIQBa9CxbvwAAABUBAAAL&#10;AAAAAAAAAAAAAAAAAB8BAABfcmVscy8ucmVsc1BLAQItABQABgAIAAAAIQAKJEr0xQAAAN4AAAAP&#10;AAAAAAAAAAAAAAAAAAcCAABkcnMvZG93bnJldi54bWxQSwUGAAAAAAMAAwC3AAAA+QIAAAAA&#10;" filled="f" stroked="f">
                  <v:textbox inset="0,0,0,0">
                    <w:txbxContent>
                      <w:p w14:paraId="1145AF4E" w14:textId="77777777" w:rsidR="00B32EF2" w:rsidRDefault="00000000">
                        <w:r>
                          <w:rPr>
                            <w:rFonts w:ascii="Arial" w:eastAsia="Arial" w:hAnsi="Arial" w:cs="Arial"/>
                            <w:i/>
                            <w:sz w:val="18"/>
                          </w:rPr>
                          <w:t xml:space="preserve">eccezione; 6) se la sentenza è effetto del dolo del giudice, accertato con </w:t>
                        </w:r>
                      </w:p>
                    </w:txbxContent>
                  </v:textbox>
                </v:rect>
                <v:rect id="Rectangle 14532" o:spid="_x0000_s1412" style="position:absolute;left:18114;top:52575;width:2102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tSDxQAAAN4AAAAPAAAAZHJzL2Rvd25yZXYueG1sRE9La8JA&#10;EL4X/A/LCN7qplpFoqsUi5hDL/UBHofsmMRmZ5fsamJ/fbcgeJuP7zmLVWdqcaPGV5YVvA0TEMS5&#10;1RUXCg77zesMhA/IGmvLpOBOHlbL3ssCU21b/qbbLhQihrBPUUEZgkul9HlJBv3QOuLInW1jMETY&#10;FFI32MZwU8tRkkylwYpjQ4mO1iXlP7urUXD6ZJdtWpmff9fu65LN6u31cFRq0O8+5iACdeEpfrgz&#10;Hee/T8Yj+H8n3iCXfwAAAP//AwBQSwECLQAUAAYACAAAACEA2+H2y+4AAACFAQAAEwAAAAAAAAAA&#10;AAAAAAAAAAAAW0NvbnRlbnRfVHlwZXNdLnhtbFBLAQItABQABgAIAAAAIQBa9CxbvwAAABUBAAAL&#10;AAAAAAAAAAAAAAAAAB8BAABfcmVscy8ucmVsc1BLAQItABQABgAIAAAAIQD69tSDxQAAAN4AAAAP&#10;AAAAAAAAAAAAAAAAAAcCAABkcnMvZG93bnJldi54bWxQSwUGAAAAAAMAAwC3AAAA+QIAAAAA&#10;" filled="f" stroked="f">
                  <v:textbox inset="0,0,0,0">
                    <w:txbxContent>
                      <w:p w14:paraId="24447F81" w14:textId="77777777" w:rsidR="00B32EF2" w:rsidRDefault="00000000">
                        <w:r>
                          <w:rPr>
                            <w:rFonts w:ascii="Arial" w:eastAsia="Arial" w:hAnsi="Arial" w:cs="Arial"/>
                            <w:i/>
                            <w:sz w:val="18"/>
                          </w:rPr>
                          <w:t xml:space="preserve">sentenza passata in giudicato. </w:t>
                        </w:r>
                      </w:p>
                    </w:txbxContent>
                  </v:textbox>
                </v:rect>
                <v:shape id="Shape 14533" o:spid="_x0000_s1413" style="position:absolute;left:317;top:52286;width:39603;height:10730;visibility:visible;mso-wrap-style:square;v-text-anchor:top" coordsize="3960254,1072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jnwwAAAN4AAAAPAAAAZHJzL2Rvd25yZXYueG1sRE9Na8JA&#10;EL0X/A/LCF5K3WiqtNFVpFIovZl46HHMjkkwOxOyW43/vlso9DaP9znr7eBadaXeN8IGZtMEFHEp&#10;tuHKwLF4f3oB5QOyxVaYDNzJw3YzelhjZuXGB7rmoVIxhH2GBuoQukxrX9bk0E+lI47cWXqHIcK+&#10;0rbHWwx3rZ4nyVI7bDg21NjRW03lJf92BlJZnvKvz30ru0d6dchFcpLCmMl42K1ABRrCv/jP/WHj&#10;/OdFmsLvO/EGvfkBAAD//wMAUEsBAi0AFAAGAAgAAAAhANvh9svuAAAAhQEAABMAAAAAAAAAAAAA&#10;AAAAAAAAAFtDb250ZW50X1R5cGVzXS54bWxQSwECLQAUAAYACAAAACEAWvQsW78AAAAVAQAACwAA&#10;AAAAAAAAAAAAAAAfAQAAX3JlbHMvLnJlbHNQSwECLQAUAAYACAAAACEA4Kn458MAAADeAAAADwAA&#10;AAAAAAAAAAAAAAAHAgAAZHJzL2Rvd25yZXYueG1sUEsFBgAAAAADAAMAtwAAAPcCAAAAAA==&#10;" path="m,1072947r3960254,l3960254,,,,,1072947xe" filled="f" strokeweight=".98pt">
                  <v:stroke miterlimit="1" joinstyle="miter"/>
                  <v:path arrowok="t" textboxrect="0,0,3960254,1072947"/>
                </v:shape>
                <v:shape id="Shape 207719" o:spid="_x0000_s1414" style="position:absolute;left:318;top:16161;width:39600;height:4103;visibility:visible;mso-wrap-style:square;v-text-anchor:top" coordsize="3960000,41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CvlyAAAAN8AAAAPAAAAZHJzL2Rvd25yZXYueG1sRI9Ba8JA&#10;FITvgv9heYI3s9GDsamr1IAogoi2hfb2yL4mwezbmF01/vtuQehxmJlvmPmyM7W4UesqywrGUQyC&#10;OLe64kLBx/t6NAPhPLLG2jIpeJCD5aLfm2Oq7Z2PdDv5QgQIuxQVlN43qZQuL8mgi2xDHLwf2xr0&#10;QbaF1C3eA9zUchLHU2mw4rBQYkNZSfn5dDUKZon9/lztvy6XQ5348/aabXacKTUcdG+vIDx1/j/8&#10;bG+1gkmcJOMX+PsTvoBc/AIAAP//AwBQSwECLQAUAAYACAAAACEA2+H2y+4AAACFAQAAEwAAAAAA&#10;AAAAAAAAAAAAAAAAW0NvbnRlbnRfVHlwZXNdLnhtbFBLAQItABQABgAIAAAAIQBa9CxbvwAAABUB&#10;AAALAAAAAAAAAAAAAAAAAB8BAABfcmVscy8ucmVsc1BLAQItABQABgAIAAAAIQAWDCvlyAAAAN8A&#10;AAAPAAAAAAAAAAAAAAAAAAcCAABkcnMvZG93bnJldi54bWxQSwUGAAAAAAMAAwC3AAAA/AIAAAAA&#10;" path="m,l3960000,r,410299l,410299,,e" fillcolor="#c3c3c3" stroked="f" strokeweight="0">
                  <v:stroke miterlimit="1" joinstyle="miter"/>
                  <v:path arrowok="t" textboxrect="0,0,3960000,410299"/>
                </v:shape>
                <v:rect id="Rectangle 14535" o:spid="_x0000_s1415" style="position:absolute;left:23288;top:1805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0z3xQAAAN4AAAAPAAAAZHJzL2Rvd25yZXYueG1sRE9La8JA&#10;EL4L/odlBG+6aasi0VWKRcyhl/oAj0N2TGKzs0t2NbG/vlsoeJuP7znLdWdqcafGV5YVvIwTEMS5&#10;1RUXCo6H7WgOwgdkjbVlUvAgD+tVv7fEVNuWv+i+D4WIIexTVFCG4FIpfV6SQT+2jjhyF9sYDBE2&#10;hdQNtjHc1PI1SWbSYMWxoURHm5Ly7/3NKDh/sMu2rcwvPxv3ec3m9e52PCk1HHTvCxCBuvAU/7sz&#10;HedPpm9T+Hsn3iBXvwAAAP//AwBQSwECLQAUAAYACAAAACEA2+H2y+4AAACFAQAAEwAAAAAAAAAA&#10;AAAAAAAAAAAAW0NvbnRlbnRfVHlwZXNdLnhtbFBLAQItABQABgAIAAAAIQBa9CxbvwAAABUBAAAL&#10;AAAAAAAAAAAAAAAAAB8BAABfcmVscy8ucmVsc1BLAQItABQABgAIAAAAIQB1H0z3xQAAAN4AAAAP&#10;AAAAAAAAAAAAAAAAAAcCAABkcnMvZG93bnJldi54bWxQSwUGAAAAAAMAAwC3AAAA+QIAAAAA&#10;" filled="f" stroked="f">
                  <v:textbox inset="0,0,0,0">
                    <w:txbxContent>
                      <w:p w14:paraId="068836FA" w14:textId="77777777" w:rsidR="00B32EF2" w:rsidRDefault="00000000">
                        <w:r>
                          <w:rPr>
                            <w:rFonts w:ascii="Arial" w:eastAsia="Arial" w:hAnsi="Arial" w:cs="Arial"/>
                            <w:b/>
                            <w:i/>
                            <w:sz w:val="18"/>
                          </w:rPr>
                          <w:t>NORME RICHIAMATE</w:t>
                        </w:r>
                      </w:p>
                    </w:txbxContent>
                  </v:textbox>
                </v:rect>
                <v:rect id="Rectangle 14536" o:spid="_x0000_s1416" style="position:absolute;left:14041;top:16529;width:2509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dKAxQAAAN4AAAAPAAAAZHJzL2Rvd25yZXYueG1sRE9La8JA&#10;EL4X/A/LCN7qxlpFoquIRZpDL/UBHofsmESzs0t2NWl/fbcgeJuP7zmLVWdqcafGV5YVjIYJCOLc&#10;6ooLBYf99nUGwgdkjbVlUvBDHlbL3ssCU21b/qb7LhQihrBPUUEZgkul9HlJBv3QOuLInW1jMETY&#10;FFI32MZwU8u3JJlKgxXHhhIdbUrKr7ubUXD6YJdtW5mffzfu65LN6s/b4ajUoN+t5yACdeEpfrgz&#10;Hee/T8ZT+H8n3iCXfwAAAP//AwBQSwECLQAUAAYACAAAACEA2+H2y+4AAACFAQAAEwAAAAAAAAAA&#10;AAAAAAAAAAAAW0NvbnRlbnRfVHlwZXNdLnhtbFBLAQItABQABgAIAAAAIQBa9CxbvwAAABUBAAAL&#10;AAAAAAAAAAAAAAAAAB8BAABfcmVscy8ucmVsc1BLAQItABQABgAIAAAAIQCFzdKAxQAAAN4AAAAP&#10;AAAAAAAAAAAAAAAAAAcCAABkcnMvZG93bnJldi54bWxQSwUGAAAAAAMAAwC3AAAA+QIAAAAA&#10;" filled="f" stroked="f">
                  <v:textbox inset="0,0,0,0">
                    <w:txbxContent>
                      <w:p w14:paraId="676F7386" w14:textId="77777777" w:rsidR="00B32EF2" w:rsidRDefault="00000000">
                        <w:r>
                          <w:rPr>
                            <w:rFonts w:ascii="Arial" w:eastAsia="Arial" w:hAnsi="Arial" w:cs="Arial"/>
                            <w:i/>
                            <w:sz w:val="18"/>
                          </w:rPr>
                          <w:t xml:space="preserve">art. 395 c.p.c. “Casi di revocazione”. </w:t>
                        </w:r>
                      </w:p>
                    </w:txbxContent>
                  </v:textbox>
                </v:rect>
                <v:shape id="Shape 14537" o:spid="_x0000_s1417" style="position:absolute;left:318;top:16161;width:39600;height:4103;visibility:visible;mso-wrap-style:square;v-text-anchor:top" coordsize="3960000,41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3NCxQAAAN4AAAAPAAAAZHJzL2Rvd25yZXYueG1sRE9Na8JA&#10;EL0L/Q/LFLzpJlbbkrpKEdp6UdCWQm9DdkzSZGfD7mriv3cFwds83ufMl71pxImcrywrSMcJCOLc&#10;6ooLBT/fH6NXED4ga2wsk4IzeVguHgZzzLTteEenfShEDGGfoYIyhDaT0uclGfRj2xJH7mCdwRCh&#10;K6R22MVw08hJkjxLgxXHhhJbWpWU1/ujUVCn+W/V1NvP9Ovw323+kt6h2Sk1fOzf30AE6sNdfHOv&#10;dZw/nT29wPWdeINcXAAAAP//AwBQSwECLQAUAAYACAAAACEA2+H2y+4AAACFAQAAEwAAAAAAAAAA&#10;AAAAAAAAAAAAW0NvbnRlbnRfVHlwZXNdLnhtbFBLAQItABQABgAIAAAAIQBa9CxbvwAAABUBAAAL&#10;AAAAAAAAAAAAAAAAAB8BAABfcmVscy8ucmVsc1BLAQItABQABgAIAAAAIQCe93NCxQAAAN4AAAAP&#10;AAAAAAAAAAAAAAAAAAcCAABkcnMvZG93bnJldi54bWxQSwUGAAAAAAMAAwC3AAAA+QIAAAAA&#10;" path="m,410299r3960000,l3960000,,,,,410299xe" filled="f" strokeweight="1pt">
                  <v:stroke miterlimit="1" joinstyle="miter"/>
                  <v:path arrowok="t" textboxrect="0,0,3960000,410299"/>
                </v:shape>
                <w10:anchorlock/>
              </v:group>
            </w:pict>
          </mc:Fallback>
        </mc:AlternateContent>
      </w:r>
    </w:p>
    <w:p w14:paraId="7138DE7C" w14:textId="77777777" w:rsidR="00B32EF2" w:rsidRDefault="00000000">
      <w:pPr>
        <w:spacing w:after="0"/>
        <w:ind w:left="-356" w:right="-306"/>
      </w:pPr>
      <w:r>
        <w:rPr>
          <w:noProof/>
        </w:rPr>
        <w:lastRenderedPageBreak/>
        <mc:AlternateContent>
          <mc:Choice Requires="wpg">
            <w:drawing>
              <wp:inline distT="0" distB="0" distL="0" distR="0" wp14:anchorId="682E2549" wp14:editId="4D596013">
                <wp:extent cx="3992101" cy="6262854"/>
                <wp:effectExtent l="0" t="0" r="0" b="0"/>
                <wp:docPr id="199786" name="Group 199786"/>
                <wp:cNvGraphicFramePr/>
                <a:graphic xmlns:a="http://schemas.openxmlformats.org/drawingml/2006/main">
                  <a:graphicData uri="http://schemas.microsoft.com/office/word/2010/wordprocessingGroup">
                    <wpg:wgp>
                      <wpg:cNvGrpSpPr/>
                      <wpg:grpSpPr>
                        <a:xfrm>
                          <a:off x="0" y="0"/>
                          <a:ext cx="3992101" cy="6262854"/>
                          <a:chOff x="0" y="0"/>
                          <a:chExt cx="3992101" cy="6262854"/>
                        </a:xfrm>
                      </wpg:grpSpPr>
                      <wps:wsp>
                        <wps:cNvPr id="14613" name="Rectangle 14613"/>
                        <wps:cNvSpPr/>
                        <wps:spPr>
                          <a:xfrm rot="-10799999">
                            <a:off x="1845003" y="-62190"/>
                            <a:ext cx="267553" cy="250646"/>
                          </a:xfrm>
                          <a:prstGeom prst="rect">
                            <a:avLst/>
                          </a:prstGeom>
                          <a:ln>
                            <a:noFill/>
                          </a:ln>
                        </wps:spPr>
                        <wps:txbx>
                          <w:txbxContent>
                            <w:p w14:paraId="277FA236" w14:textId="77777777" w:rsidR="00B32EF2" w:rsidRDefault="00000000">
                              <w:r>
                                <w:rPr>
                                  <w:rFonts w:ascii="Times New Roman" w:eastAsia="Times New Roman" w:hAnsi="Times New Roman" w:cs="Times New Roman"/>
                                </w:rPr>
                                <w:t>100</w:t>
                              </w:r>
                            </w:p>
                          </w:txbxContent>
                        </wps:txbx>
                        <wps:bodyPr horzOverflow="overflow" vert="horz" lIns="0" tIns="0" rIns="0" bIns="0" rtlCol="0">
                          <a:noAutofit/>
                        </wps:bodyPr>
                      </wps:wsp>
                      <wps:wsp>
                        <wps:cNvPr id="14614" name="Rectangle 14614"/>
                        <wps:cNvSpPr/>
                        <wps:spPr>
                          <a:xfrm rot="-10799999">
                            <a:off x="-1317076" y="6119964"/>
                            <a:ext cx="5309050" cy="142890"/>
                          </a:xfrm>
                          <a:prstGeom prst="rect">
                            <a:avLst/>
                          </a:prstGeom>
                          <a:ln>
                            <a:noFill/>
                          </a:ln>
                        </wps:spPr>
                        <wps:txbx>
                          <w:txbxContent>
                            <w:p w14:paraId="25FD3F75" w14:textId="77777777" w:rsidR="00B32EF2" w:rsidRDefault="00000000">
                              <w:r>
                                <w:rPr>
                                  <w:rFonts w:ascii="Arial" w:eastAsia="Arial" w:hAnsi="Arial" w:cs="Arial"/>
                                  <w:sz w:val="18"/>
                                </w:rPr>
                                <w:t xml:space="preserve">processo tributario, ha, in questo, efficacia di giudicato, in ogni stato e grado, </w:t>
                              </w:r>
                            </w:p>
                          </w:txbxContent>
                        </wps:txbx>
                        <wps:bodyPr horzOverflow="overflow" vert="horz" lIns="0" tIns="0" rIns="0" bIns="0" rtlCol="0">
                          <a:noAutofit/>
                        </wps:bodyPr>
                      </wps:wsp>
                      <wps:wsp>
                        <wps:cNvPr id="14615" name="Rectangle 14615"/>
                        <wps:cNvSpPr/>
                        <wps:spPr>
                          <a:xfrm rot="-10799999">
                            <a:off x="2327183" y="5980289"/>
                            <a:ext cx="1664790" cy="142889"/>
                          </a:xfrm>
                          <a:prstGeom prst="rect">
                            <a:avLst/>
                          </a:prstGeom>
                          <a:ln>
                            <a:noFill/>
                          </a:ln>
                        </wps:spPr>
                        <wps:txbx>
                          <w:txbxContent>
                            <w:p w14:paraId="42CCE0DE" w14:textId="77777777" w:rsidR="00B32EF2" w:rsidRDefault="00000000">
                              <w:r>
                                <w:rPr>
                                  <w:rFonts w:ascii="Arial" w:eastAsia="Arial" w:hAnsi="Arial" w:cs="Arial"/>
                                  <w:sz w:val="18"/>
                                </w:rPr>
                                <w:t>quanto ai fatti medesimi.</w:t>
                              </w:r>
                            </w:p>
                          </w:txbxContent>
                        </wps:txbx>
                        <wps:bodyPr horzOverflow="overflow" vert="horz" lIns="0" tIns="0" rIns="0" bIns="0" rtlCol="0">
                          <a:noAutofit/>
                        </wps:bodyPr>
                      </wps:wsp>
                      <wps:wsp>
                        <wps:cNvPr id="199701" name="Rectangle 199701"/>
                        <wps:cNvSpPr/>
                        <wps:spPr>
                          <a:xfrm rot="-10799999">
                            <a:off x="2611155" y="5840615"/>
                            <a:ext cx="5308989" cy="142889"/>
                          </a:xfrm>
                          <a:prstGeom prst="rect">
                            <a:avLst/>
                          </a:prstGeom>
                          <a:ln>
                            <a:noFill/>
                          </a:ln>
                        </wps:spPr>
                        <wps:txbx>
                          <w:txbxContent>
                            <w:p w14:paraId="2670E004"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99702" name="Rectangle 199702"/>
                        <wps:cNvSpPr/>
                        <wps:spPr>
                          <a:xfrm rot="-10799999">
                            <a:off x="-1381572" y="5840615"/>
                            <a:ext cx="5308990" cy="142889"/>
                          </a:xfrm>
                          <a:prstGeom prst="rect">
                            <a:avLst/>
                          </a:prstGeom>
                          <a:ln>
                            <a:noFill/>
                          </a:ln>
                        </wps:spPr>
                        <wps:txbx>
                          <w:txbxContent>
                            <w:p w14:paraId="108007C5" w14:textId="77777777" w:rsidR="00B32EF2" w:rsidRDefault="00000000">
                              <w:r>
                                <w:rPr>
                                  <w:rFonts w:ascii="Arial" w:eastAsia="Arial" w:hAnsi="Arial" w:cs="Arial"/>
                                  <w:sz w:val="18"/>
                                </w:rPr>
                                <w:t xml:space="preserve">. La sentenza penale irrevocabile di cui al comma 1 può essere depositata </w:t>
                              </w:r>
                            </w:p>
                          </w:txbxContent>
                        </wps:txbx>
                        <wps:bodyPr horzOverflow="overflow" vert="horz" lIns="0" tIns="0" rIns="0" bIns="0" rtlCol="0">
                          <a:noAutofit/>
                        </wps:bodyPr>
                      </wps:wsp>
                      <wps:wsp>
                        <wps:cNvPr id="14617" name="Rectangle 14617"/>
                        <wps:cNvSpPr/>
                        <wps:spPr>
                          <a:xfrm rot="-10799999">
                            <a:off x="-1317047" y="5700940"/>
                            <a:ext cx="5309021" cy="142889"/>
                          </a:xfrm>
                          <a:prstGeom prst="rect">
                            <a:avLst/>
                          </a:prstGeom>
                          <a:ln>
                            <a:noFill/>
                          </a:ln>
                        </wps:spPr>
                        <wps:txbx>
                          <w:txbxContent>
                            <w:p w14:paraId="6F77B815" w14:textId="77777777" w:rsidR="00B32EF2" w:rsidRDefault="00000000">
                              <w:r>
                                <w:rPr>
                                  <w:rFonts w:ascii="Arial" w:eastAsia="Arial" w:hAnsi="Arial" w:cs="Arial"/>
                                  <w:sz w:val="18"/>
                                </w:rPr>
                                <w:t xml:space="preserve">anche nel giudizio di Cassazione fino a quindici giorni prima dell’udienza o </w:t>
                              </w:r>
                            </w:p>
                          </w:txbxContent>
                        </wps:txbx>
                        <wps:bodyPr horzOverflow="overflow" vert="horz" lIns="0" tIns="0" rIns="0" bIns="0" rtlCol="0">
                          <a:noAutofit/>
                        </wps:bodyPr>
                      </wps:wsp>
                      <wps:wsp>
                        <wps:cNvPr id="14618" name="Rectangle 14618"/>
                        <wps:cNvSpPr/>
                        <wps:spPr>
                          <a:xfrm rot="-10799999">
                            <a:off x="1484602" y="5561266"/>
                            <a:ext cx="2507371" cy="142889"/>
                          </a:xfrm>
                          <a:prstGeom prst="rect">
                            <a:avLst/>
                          </a:prstGeom>
                          <a:ln>
                            <a:noFill/>
                          </a:ln>
                        </wps:spPr>
                        <wps:txbx>
                          <w:txbxContent>
                            <w:p w14:paraId="015A946E" w14:textId="77777777" w:rsidR="00B32EF2" w:rsidRDefault="00000000">
                              <w:r>
                                <w:rPr>
                                  <w:rFonts w:ascii="Arial" w:eastAsia="Arial" w:hAnsi="Arial" w:cs="Arial"/>
                                  <w:sz w:val="18"/>
                                </w:rPr>
                                <w:t>dell’adunanza in camera di consiglio.</w:t>
                              </w:r>
                            </w:p>
                          </w:txbxContent>
                        </wps:txbx>
                        <wps:bodyPr horzOverflow="overflow" vert="horz" lIns="0" tIns="0" rIns="0" bIns="0" rtlCol="0">
                          <a:noAutofit/>
                        </wps:bodyPr>
                      </wps:wsp>
                      <wps:wsp>
                        <wps:cNvPr id="199700" name="Rectangle 199700"/>
                        <wps:cNvSpPr/>
                        <wps:spPr>
                          <a:xfrm rot="-10799999">
                            <a:off x="-1381401" y="5421592"/>
                            <a:ext cx="5308853" cy="142889"/>
                          </a:xfrm>
                          <a:prstGeom prst="rect">
                            <a:avLst/>
                          </a:prstGeom>
                          <a:ln>
                            <a:noFill/>
                          </a:ln>
                        </wps:spPr>
                        <wps:txbx>
                          <w:txbxContent>
                            <w:p w14:paraId="22EEDA10" w14:textId="77777777" w:rsidR="00B32EF2" w:rsidRDefault="00000000">
                              <w:r>
                                <w:rPr>
                                  <w:rFonts w:ascii="Arial" w:eastAsia="Arial" w:hAnsi="Arial" w:cs="Arial"/>
                                  <w:sz w:val="18"/>
                                </w:rPr>
                                <w:t xml:space="preserve">. Le disposizioni dei commi 1 e 2 si applicano, limitatamente alle ipotesi di </w:t>
                              </w:r>
                            </w:p>
                          </w:txbxContent>
                        </wps:txbx>
                        <wps:bodyPr horzOverflow="overflow" vert="horz" lIns="0" tIns="0" rIns="0" bIns="0" rtlCol="0">
                          <a:noAutofit/>
                        </wps:bodyPr>
                      </wps:wsp>
                      <wps:wsp>
                        <wps:cNvPr id="199699" name="Rectangle 199699"/>
                        <wps:cNvSpPr/>
                        <wps:spPr>
                          <a:xfrm rot="-10799999">
                            <a:off x="2611189" y="5421592"/>
                            <a:ext cx="5308854" cy="142889"/>
                          </a:xfrm>
                          <a:prstGeom prst="rect">
                            <a:avLst/>
                          </a:prstGeom>
                          <a:ln>
                            <a:noFill/>
                          </a:ln>
                        </wps:spPr>
                        <wps:txbx>
                          <w:txbxContent>
                            <w:p w14:paraId="1C66E236"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4620" name="Rectangle 14620"/>
                        <wps:cNvSpPr/>
                        <wps:spPr>
                          <a:xfrm rot="-10799999">
                            <a:off x="-1317577" y="5281916"/>
                            <a:ext cx="5310237" cy="142889"/>
                          </a:xfrm>
                          <a:prstGeom prst="rect">
                            <a:avLst/>
                          </a:prstGeom>
                          <a:ln>
                            <a:noFill/>
                          </a:ln>
                        </wps:spPr>
                        <wps:txbx>
                          <w:txbxContent>
                            <w:p w14:paraId="68672F9F" w14:textId="77777777" w:rsidR="00B32EF2" w:rsidRDefault="00000000">
                              <w:r>
                                <w:rPr>
                                  <w:rFonts w:ascii="Arial" w:eastAsia="Arial" w:hAnsi="Arial" w:cs="Arial"/>
                                  <w:sz w:val="18"/>
                                </w:rPr>
                                <w:t xml:space="preserve">sentenza di assoluzione perché il fatto non sussiste, anche nei confronti della </w:t>
                              </w:r>
                            </w:p>
                          </w:txbxContent>
                        </wps:txbx>
                        <wps:bodyPr horzOverflow="overflow" vert="horz" lIns="0" tIns="0" rIns="0" bIns="0" rtlCol="0">
                          <a:noAutofit/>
                        </wps:bodyPr>
                      </wps:wsp>
                      <wps:wsp>
                        <wps:cNvPr id="14621" name="Rectangle 14621"/>
                        <wps:cNvSpPr/>
                        <wps:spPr>
                          <a:xfrm rot="-10799999">
                            <a:off x="-1220484" y="5142242"/>
                            <a:ext cx="5212458" cy="142889"/>
                          </a:xfrm>
                          <a:prstGeom prst="rect">
                            <a:avLst/>
                          </a:prstGeom>
                          <a:ln>
                            <a:noFill/>
                          </a:ln>
                        </wps:spPr>
                        <wps:txbx>
                          <w:txbxContent>
                            <w:p w14:paraId="2214F786" w14:textId="77777777" w:rsidR="00B32EF2" w:rsidRDefault="00000000">
                              <w:r>
                                <w:rPr>
                                  <w:rFonts w:ascii="Arial" w:eastAsia="Arial" w:hAnsi="Arial" w:cs="Arial"/>
                                  <w:sz w:val="18"/>
                                </w:rPr>
                                <w:t>persona fisica nell’interesse della quale ha agito il dipendente, il rappresen</w:t>
                              </w:r>
                            </w:p>
                          </w:txbxContent>
                        </wps:txbx>
                        <wps:bodyPr horzOverflow="overflow" vert="horz" lIns="0" tIns="0" rIns="0" bIns="0" rtlCol="0">
                          <a:noAutofit/>
                        </wps:bodyPr>
                      </wps:wsp>
                      <wps:wsp>
                        <wps:cNvPr id="14622" name="Rectangle 14622"/>
                        <wps:cNvSpPr/>
                        <wps:spPr>
                          <a:xfrm rot="-10799999">
                            <a:off x="19375" y="5142242"/>
                            <a:ext cx="50622" cy="142889"/>
                          </a:xfrm>
                          <a:prstGeom prst="rect">
                            <a:avLst/>
                          </a:prstGeom>
                          <a:ln>
                            <a:noFill/>
                          </a:ln>
                        </wps:spPr>
                        <wps:txbx>
                          <w:txbxContent>
                            <w:p w14:paraId="5B1774B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623" name="Rectangle 14623"/>
                        <wps:cNvSpPr/>
                        <wps:spPr>
                          <a:xfrm rot="-10799999">
                            <a:off x="-1317076" y="5002567"/>
                            <a:ext cx="5309051" cy="142889"/>
                          </a:xfrm>
                          <a:prstGeom prst="rect">
                            <a:avLst/>
                          </a:prstGeom>
                          <a:ln>
                            <a:noFill/>
                          </a:ln>
                        </wps:spPr>
                        <wps:txbx>
                          <w:txbxContent>
                            <w:p w14:paraId="4D47D860" w14:textId="77777777" w:rsidR="00B32EF2" w:rsidRDefault="00000000">
                              <w:r>
                                <w:rPr>
                                  <w:rFonts w:ascii="Arial" w:eastAsia="Arial" w:hAnsi="Arial" w:cs="Arial"/>
                                  <w:sz w:val="18"/>
                                </w:rPr>
                                <w:t xml:space="preserve">tante legale o negoziale, ovvero nei confronti dell’ente e società, con o senza </w:t>
                              </w:r>
                            </w:p>
                          </w:txbxContent>
                        </wps:txbx>
                        <wps:bodyPr horzOverflow="overflow" vert="horz" lIns="0" tIns="0" rIns="0" bIns="0" rtlCol="0">
                          <a:noAutofit/>
                        </wps:bodyPr>
                      </wps:wsp>
                      <wps:wsp>
                        <wps:cNvPr id="14624" name="Rectangle 14624"/>
                        <wps:cNvSpPr/>
                        <wps:spPr>
                          <a:xfrm rot="-10799999">
                            <a:off x="-1220180" y="4862893"/>
                            <a:ext cx="5212154" cy="142889"/>
                          </a:xfrm>
                          <a:prstGeom prst="rect">
                            <a:avLst/>
                          </a:prstGeom>
                          <a:ln>
                            <a:noFill/>
                          </a:ln>
                        </wps:spPr>
                        <wps:txbx>
                          <w:txbxContent>
                            <w:p w14:paraId="61BE20A8" w14:textId="77777777" w:rsidR="00B32EF2" w:rsidRDefault="00000000">
                              <w:r>
                                <w:rPr>
                                  <w:rFonts w:ascii="Arial" w:eastAsia="Arial" w:hAnsi="Arial" w:cs="Arial"/>
                                  <w:sz w:val="18"/>
                                </w:rPr>
                                <w:t>personalità giuridica, nell’interesse dei quali ha agito il rappresentante o l’am</w:t>
                              </w:r>
                            </w:p>
                          </w:txbxContent>
                        </wps:txbx>
                        <wps:bodyPr horzOverflow="overflow" vert="horz" lIns="0" tIns="0" rIns="0" bIns="0" rtlCol="0">
                          <a:noAutofit/>
                        </wps:bodyPr>
                      </wps:wsp>
                      <wps:wsp>
                        <wps:cNvPr id="14625" name="Rectangle 14625"/>
                        <wps:cNvSpPr/>
                        <wps:spPr>
                          <a:xfrm rot="-10799999">
                            <a:off x="19375" y="4862893"/>
                            <a:ext cx="50622" cy="142889"/>
                          </a:xfrm>
                          <a:prstGeom prst="rect">
                            <a:avLst/>
                          </a:prstGeom>
                          <a:ln>
                            <a:noFill/>
                          </a:ln>
                        </wps:spPr>
                        <wps:txbx>
                          <w:txbxContent>
                            <w:p w14:paraId="19BDDFB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626" name="Rectangle 14626"/>
                        <wps:cNvSpPr/>
                        <wps:spPr>
                          <a:xfrm rot="-10799999">
                            <a:off x="-928166" y="4723218"/>
                            <a:ext cx="4920141" cy="142889"/>
                          </a:xfrm>
                          <a:prstGeom prst="rect">
                            <a:avLst/>
                          </a:prstGeom>
                          <a:ln>
                            <a:noFill/>
                          </a:ln>
                        </wps:spPr>
                        <wps:txbx>
                          <w:txbxContent>
                            <w:p w14:paraId="14855732" w14:textId="77777777" w:rsidR="00B32EF2" w:rsidRDefault="00000000">
                              <w:r>
                                <w:rPr>
                                  <w:rFonts w:ascii="Arial" w:eastAsia="Arial" w:hAnsi="Arial" w:cs="Arial"/>
                                  <w:sz w:val="18"/>
                                </w:rPr>
                                <w:t>ministratore anche di fatto, nonché nei confronti dei loro soci o associati.</w:t>
                              </w:r>
                            </w:p>
                          </w:txbxContent>
                        </wps:txbx>
                        <wps:bodyPr horzOverflow="overflow" vert="horz" lIns="0" tIns="0" rIns="0" bIns="0" rtlCol="0">
                          <a:noAutofit/>
                        </wps:bodyPr>
                      </wps:wsp>
                      <wps:wsp>
                        <wps:cNvPr id="14627" name="Rectangle 14627"/>
                        <wps:cNvSpPr/>
                        <wps:spPr>
                          <a:xfrm rot="-10799999">
                            <a:off x="1466781" y="4336770"/>
                            <a:ext cx="875614" cy="142889"/>
                          </a:xfrm>
                          <a:prstGeom prst="rect">
                            <a:avLst/>
                          </a:prstGeom>
                          <a:ln>
                            <a:noFill/>
                          </a:ln>
                        </wps:spPr>
                        <wps:txbx>
                          <w:txbxContent>
                            <w:p w14:paraId="66B36C80" w14:textId="77777777" w:rsidR="00B32EF2" w:rsidRDefault="00000000">
                              <w:r>
                                <w:rPr>
                                  <w:rFonts w:ascii="Arial" w:eastAsia="Arial" w:hAnsi="Arial" w:cs="Arial"/>
                                  <w:b/>
                                  <w:sz w:val="18"/>
                                </w:rPr>
                                <w:t>SEZIONE IV</w:t>
                              </w:r>
                            </w:p>
                          </w:txbxContent>
                        </wps:txbx>
                        <wps:bodyPr horzOverflow="overflow" vert="horz" lIns="0" tIns="0" rIns="0" bIns="0" rtlCol="0">
                          <a:noAutofit/>
                        </wps:bodyPr>
                      </wps:wsp>
                      <wps:wsp>
                        <wps:cNvPr id="14628" name="Rectangle 14628"/>
                        <wps:cNvSpPr/>
                        <wps:spPr>
                          <a:xfrm rot="-10799999">
                            <a:off x="1119774" y="4213441"/>
                            <a:ext cx="1428705" cy="142889"/>
                          </a:xfrm>
                          <a:prstGeom prst="rect">
                            <a:avLst/>
                          </a:prstGeom>
                          <a:ln>
                            <a:noFill/>
                          </a:ln>
                        </wps:spPr>
                        <wps:txbx>
                          <w:txbxContent>
                            <w:p w14:paraId="66741929" w14:textId="77777777" w:rsidR="00B32EF2" w:rsidRDefault="00000000">
                              <w:r>
                                <w:rPr>
                                  <w:rFonts w:ascii="Arial" w:eastAsia="Arial" w:hAnsi="Arial" w:cs="Arial"/>
                                  <w:b/>
                                  <w:sz w:val="18"/>
                                </w:rPr>
                                <w:t xml:space="preserve"> LA REVOCAZIONE</w:t>
                              </w:r>
                            </w:p>
                          </w:txbxContent>
                        </wps:txbx>
                        <wps:bodyPr horzOverflow="overflow" vert="horz" lIns="0" tIns="0" rIns="0" bIns="0" rtlCol="0">
                          <a:noAutofit/>
                        </wps:bodyPr>
                      </wps:wsp>
                      <wps:wsp>
                        <wps:cNvPr id="14629" name="Rectangle 14629"/>
                        <wps:cNvSpPr/>
                        <wps:spPr>
                          <a:xfrm rot="-10799999">
                            <a:off x="1457148" y="3843452"/>
                            <a:ext cx="890162" cy="142889"/>
                          </a:xfrm>
                          <a:prstGeom prst="rect">
                            <a:avLst/>
                          </a:prstGeom>
                          <a:ln>
                            <a:noFill/>
                          </a:ln>
                        </wps:spPr>
                        <wps:txbx>
                          <w:txbxContent>
                            <w:p w14:paraId="14EF1BFA" w14:textId="77777777" w:rsidR="00B32EF2" w:rsidRDefault="00000000">
                              <w:r>
                                <w:rPr>
                                  <w:rFonts w:ascii="Arial" w:eastAsia="Arial" w:hAnsi="Arial" w:cs="Arial"/>
                                  <w:b/>
                                  <w:sz w:val="18"/>
                                </w:rPr>
                                <w:t>Articolo 120</w:t>
                              </w:r>
                            </w:p>
                          </w:txbxContent>
                        </wps:txbx>
                        <wps:bodyPr horzOverflow="overflow" vert="horz" lIns="0" tIns="0" rIns="0" bIns="0" rtlCol="0">
                          <a:noAutofit/>
                        </wps:bodyPr>
                      </wps:wsp>
                      <wps:wsp>
                        <wps:cNvPr id="199698" name="Rectangle 199698"/>
                        <wps:cNvSpPr/>
                        <wps:spPr>
                          <a:xfrm rot="-10799999">
                            <a:off x="1161218" y="3720122"/>
                            <a:ext cx="1945114" cy="142889"/>
                          </a:xfrm>
                          <a:prstGeom prst="rect">
                            <a:avLst/>
                          </a:prstGeom>
                          <a:ln>
                            <a:noFill/>
                          </a:ln>
                        </wps:spPr>
                        <wps:txbx>
                          <w:txbxContent>
                            <w:p w14:paraId="09D9CE8D" w14:textId="77777777" w:rsidR="00B32EF2" w:rsidRDefault="00000000">
                              <w:r>
                                <w:rPr>
                                  <w:rFonts w:ascii="Arial" w:eastAsia="Arial" w:hAnsi="Arial" w:cs="Arial"/>
                                  <w:i/>
                                  <w:sz w:val="18"/>
                                </w:rPr>
                                <w:t xml:space="preserve">articolo 64 D.lgs. n. </w:t>
                              </w:r>
                            </w:p>
                          </w:txbxContent>
                        </wps:txbx>
                        <wps:bodyPr horzOverflow="overflow" vert="horz" lIns="0" tIns="0" rIns="0" bIns="0" rtlCol="0">
                          <a:noAutofit/>
                        </wps:bodyPr>
                      </wps:wsp>
                      <wps:wsp>
                        <wps:cNvPr id="199697" name="Rectangle 199697"/>
                        <wps:cNvSpPr/>
                        <wps:spPr>
                          <a:xfrm rot="-10799999">
                            <a:off x="-266114" y="3720121"/>
                            <a:ext cx="1945114" cy="142889"/>
                          </a:xfrm>
                          <a:prstGeom prst="rect">
                            <a:avLst/>
                          </a:prstGeom>
                          <a:ln>
                            <a:noFill/>
                          </a:ln>
                        </wps:spPr>
                        <wps:txbx>
                          <w:txbxContent>
                            <w:p w14:paraId="3A132365"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696" name="Rectangle 199696"/>
                        <wps:cNvSpPr/>
                        <wps:spPr>
                          <a:xfrm rot="-10799999">
                            <a:off x="2222448" y="3720122"/>
                            <a:ext cx="1945114" cy="142889"/>
                          </a:xfrm>
                          <a:prstGeom prst="rect">
                            <a:avLst/>
                          </a:prstGeom>
                          <a:ln>
                            <a:noFill/>
                          </a:ln>
                        </wps:spPr>
                        <wps:txbx>
                          <w:txbxContent>
                            <w:p w14:paraId="709FF07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631" name="Rectangle 14631"/>
                        <wps:cNvSpPr/>
                        <wps:spPr>
                          <a:xfrm rot="-10799999">
                            <a:off x="-21067" y="3596792"/>
                            <a:ext cx="3232259" cy="142889"/>
                          </a:xfrm>
                          <a:prstGeom prst="rect">
                            <a:avLst/>
                          </a:prstGeom>
                          <a:ln>
                            <a:noFill/>
                          </a:ln>
                        </wps:spPr>
                        <wps:txbx>
                          <w:txbxContent>
                            <w:p w14:paraId="013DCA2F" w14:textId="77777777" w:rsidR="00B32EF2" w:rsidRDefault="00000000">
                              <w:r>
                                <w:rPr>
                                  <w:rFonts w:ascii="Arial" w:eastAsia="Arial" w:hAnsi="Arial" w:cs="Arial"/>
                                  <w:b/>
                                  <w:sz w:val="18"/>
                                </w:rPr>
                                <w:t xml:space="preserve">Sentenze revocabili e motivi di revocazione </w:t>
                              </w:r>
                            </w:p>
                          </w:txbxContent>
                        </wps:txbx>
                        <wps:bodyPr horzOverflow="overflow" vert="horz" lIns="0" tIns="0" rIns="0" bIns="0" rtlCol="0">
                          <a:noAutofit/>
                        </wps:bodyPr>
                      </wps:wsp>
                      <wps:wsp>
                        <wps:cNvPr id="199694" name="Rectangle 199694"/>
                        <wps:cNvSpPr/>
                        <wps:spPr>
                          <a:xfrm rot="-10799999">
                            <a:off x="2611170" y="3473463"/>
                            <a:ext cx="5308929" cy="142889"/>
                          </a:xfrm>
                          <a:prstGeom prst="rect">
                            <a:avLst/>
                          </a:prstGeom>
                          <a:ln>
                            <a:noFill/>
                          </a:ln>
                        </wps:spPr>
                        <wps:txbx>
                          <w:txbxContent>
                            <w:p w14:paraId="2A5BD319"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9695" name="Rectangle 199695"/>
                        <wps:cNvSpPr/>
                        <wps:spPr>
                          <a:xfrm rot="-10799999">
                            <a:off x="-1376138" y="3473463"/>
                            <a:ext cx="5308929" cy="142889"/>
                          </a:xfrm>
                          <a:prstGeom prst="rect">
                            <a:avLst/>
                          </a:prstGeom>
                          <a:ln>
                            <a:noFill/>
                          </a:ln>
                        </wps:spPr>
                        <wps:txbx>
                          <w:txbxContent>
                            <w:p w14:paraId="60DAD014" w14:textId="77777777" w:rsidR="00B32EF2" w:rsidRDefault="00000000">
                              <w:r>
                                <w:rPr>
                                  <w:rFonts w:ascii="Arial" w:eastAsia="Arial" w:hAnsi="Arial" w:cs="Arial"/>
                                  <w:sz w:val="18"/>
                                </w:rPr>
                                <w:t xml:space="preserve">. Le sentenze pronunciate in grado d’appello o in unico grado dalle corti di </w:t>
                              </w:r>
                            </w:p>
                          </w:txbxContent>
                        </wps:txbx>
                        <wps:bodyPr horzOverflow="overflow" vert="horz" lIns="0" tIns="0" rIns="0" bIns="0" rtlCol="0">
                          <a:noAutofit/>
                        </wps:bodyPr>
                      </wps:wsp>
                      <wps:wsp>
                        <wps:cNvPr id="14633" name="Rectangle 14633"/>
                        <wps:cNvSpPr/>
                        <wps:spPr>
                          <a:xfrm rot="-10799999">
                            <a:off x="-1317046" y="3350133"/>
                            <a:ext cx="5309021" cy="142889"/>
                          </a:xfrm>
                          <a:prstGeom prst="rect">
                            <a:avLst/>
                          </a:prstGeom>
                          <a:ln>
                            <a:noFill/>
                          </a:ln>
                        </wps:spPr>
                        <wps:txbx>
                          <w:txbxContent>
                            <w:p w14:paraId="11B67EDD" w14:textId="77777777" w:rsidR="00B32EF2" w:rsidRDefault="00000000">
                              <w:r>
                                <w:rPr>
                                  <w:rFonts w:ascii="Arial" w:eastAsia="Arial" w:hAnsi="Arial" w:cs="Arial"/>
                                  <w:sz w:val="18"/>
                                </w:rPr>
                                <w:t xml:space="preserve">giustizia tributaria di primo e secondo grado possono essere impugnate ai </w:t>
                              </w:r>
                            </w:p>
                          </w:txbxContent>
                        </wps:txbx>
                        <wps:bodyPr horzOverflow="overflow" vert="horz" lIns="0" tIns="0" rIns="0" bIns="0" rtlCol="0">
                          <a:noAutofit/>
                        </wps:bodyPr>
                      </wps:wsp>
                      <wps:wsp>
                        <wps:cNvPr id="14634" name="Rectangle 14634"/>
                        <wps:cNvSpPr/>
                        <wps:spPr>
                          <a:xfrm rot="-10799999">
                            <a:off x="447940" y="3226803"/>
                            <a:ext cx="3544034" cy="142889"/>
                          </a:xfrm>
                          <a:prstGeom prst="rect">
                            <a:avLst/>
                          </a:prstGeom>
                          <a:ln>
                            <a:noFill/>
                          </a:ln>
                        </wps:spPr>
                        <wps:txbx>
                          <w:txbxContent>
                            <w:p w14:paraId="6D0726CD" w14:textId="77777777" w:rsidR="00B32EF2" w:rsidRDefault="00000000">
                              <w:r>
                                <w:rPr>
                                  <w:rFonts w:ascii="Arial" w:eastAsia="Arial" w:hAnsi="Arial" w:cs="Arial"/>
                                  <w:sz w:val="18"/>
                                </w:rPr>
                                <w:t>sensi dell’articolo 395 del codice di procedura civile.</w:t>
                              </w:r>
                            </w:p>
                          </w:txbxContent>
                        </wps:txbx>
                        <wps:bodyPr horzOverflow="overflow" vert="horz" lIns="0" tIns="0" rIns="0" bIns="0" rtlCol="0">
                          <a:noAutofit/>
                        </wps:bodyPr>
                      </wps:wsp>
                      <wps:wsp>
                        <wps:cNvPr id="199693" name="Rectangle 199693"/>
                        <wps:cNvSpPr/>
                        <wps:spPr>
                          <a:xfrm rot="-10799999">
                            <a:off x="-1381587" y="3103473"/>
                            <a:ext cx="5309005" cy="142889"/>
                          </a:xfrm>
                          <a:prstGeom prst="rect">
                            <a:avLst/>
                          </a:prstGeom>
                          <a:ln>
                            <a:noFill/>
                          </a:ln>
                        </wps:spPr>
                        <wps:txbx>
                          <w:txbxContent>
                            <w:p w14:paraId="335F6875" w14:textId="77777777" w:rsidR="00B32EF2" w:rsidRDefault="00000000">
                              <w:r>
                                <w:rPr>
                                  <w:rFonts w:ascii="Arial" w:eastAsia="Arial" w:hAnsi="Arial" w:cs="Arial"/>
                                  <w:sz w:val="18"/>
                                </w:rPr>
                                <w:t xml:space="preserve">. Le sentenze per le quali è scaduto il termine per l’appello possono essere </w:t>
                              </w:r>
                            </w:p>
                          </w:txbxContent>
                        </wps:txbx>
                        <wps:bodyPr horzOverflow="overflow" vert="horz" lIns="0" tIns="0" rIns="0" bIns="0" rtlCol="0">
                          <a:noAutofit/>
                        </wps:bodyPr>
                      </wps:wsp>
                      <wps:wsp>
                        <wps:cNvPr id="199692" name="Rectangle 199692"/>
                        <wps:cNvSpPr/>
                        <wps:spPr>
                          <a:xfrm rot="-10799999">
                            <a:off x="2611151" y="3103473"/>
                            <a:ext cx="5309005" cy="142889"/>
                          </a:xfrm>
                          <a:prstGeom prst="rect">
                            <a:avLst/>
                          </a:prstGeom>
                          <a:ln>
                            <a:noFill/>
                          </a:ln>
                        </wps:spPr>
                        <wps:txbx>
                          <w:txbxContent>
                            <w:p w14:paraId="53D6755B"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4636" name="Rectangle 14636"/>
                        <wps:cNvSpPr/>
                        <wps:spPr>
                          <a:xfrm rot="-10799999">
                            <a:off x="-1316985" y="2980144"/>
                            <a:ext cx="5308960" cy="142889"/>
                          </a:xfrm>
                          <a:prstGeom prst="rect">
                            <a:avLst/>
                          </a:prstGeom>
                          <a:ln>
                            <a:noFill/>
                          </a:ln>
                        </wps:spPr>
                        <wps:txbx>
                          <w:txbxContent>
                            <w:p w14:paraId="5909C369" w14:textId="77777777" w:rsidR="00B32EF2" w:rsidRDefault="00000000">
                              <w:r>
                                <w:rPr>
                                  <w:rFonts w:ascii="Arial" w:eastAsia="Arial" w:hAnsi="Arial" w:cs="Arial"/>
                                  <w:sz w:val="18"/>
                                </w:rPr>
                                <w:t xml:space="preserve">impugnate per i motivi di cui ai numeri 1, 2, 3 e 6 dell’articolo 395 del codice di </w:t>
                              </w:r>
                            </w:p>
                          </w:txbxContent>
                        </wps:txbx>
                        <wps:bodyPr horzOverflow="overflow" vert="horz" lIns="0" tIns="0" rIns="0" bIns="0" rtlCol="0">
                          <a:noAutofit/>
                        </wps:bodyPr>
                      </wps:wsp>
                      <wps:wsp>
                        <wps:cNvPr id="14637" name="Rectangle 14637"/>
                        <wps:cNvSpPr/>
                        <wps:spPr>
                          <a:xfrm rot="-10799999">
                            <a:off x="-1220711" y="2856814"/>
                            <a:ext cx="5212686" cy="142889"/>
                          </a:xfrm>
                          <a:prstGeom prst="rect">
                            <a:avLst/>
                          </a:prstGeom>
                          <a:ln>
                            <a:noFill/>
                          </a:ln>
                        </wps:spPr>
                        <wps:txbx>
                          <w:txbxContent>
                            <w:p w14:paraId="4DE94A7E" w14:textId="77777777" w:rsidR="00B32EF2" w:rsidRDefault="00000000">
                              <w:r>
                                <w:rPr>
                                  <w:rFonts w:ascii="Arial" w:eastAsia="Arial" w:hAnsi="Arial" w:cs="Arial"/>
                                  <w:sz w:val="18"/>
                                </w:rPr>
                                <w:t>procedura civile purché la scoperta del dolo o della falsità dichiarata o il recu</w:t>
                              </w:r>
                            </w:p>
                          </w:txbxContent>
                        </wps:txbx>
                        <wps:bodyPr horzOverflow="overflow" vert="horz" lIns="0" tIns="0" rIns="0" bIns="0" rtlCol="0">
                          <a:noAutofit/>
                        </wps:bodyPr>
                      </wps:wsp>
                      <wps:wsp>
                        <wps:cNvPr id="14638" name="Rectangle 14638"/>
                        <wps:cNvSpPr/>
                        <wps:spPr>
                          <a:xfrm rot="-10799999">
                            <a:off x="19376" y="2856814"/>
                            <a:ext cx="50622" cy="142889"/>
                          </a:xfrm>
                          <a:prstGeom prst="rect">
                            <a:avLst/>
                          </a:prstGeom>
                          <a:ln>
                            <a:noFill/>
                          </a:ln>
                        </wps:spPr>
                        <wps:txbx>
                          <w:txbxContent>
                            <w:p w14:paraId="4B8A871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639" name="Rectangle 14639"/>
                        <wps:cNvSpPr/>
                        <wps:spPr>
                          <a:xfrm rot="-10799999">
                            <a:off x="-1317000" y="2733484"/>
                            <a:ext cx="5308975" cy="142889"/>
                          </a:xfrm>
                          <a:prstGeom prst="rect">
                            <a:avLst/>
                          </a:prstGeom>
                          <a:ln>
                            <a:noFill/>
                          </a:ln>
                        </wps:spPr>
                        <wps:txbx>
                          <w:txbxContent>
                            <w:p w14:paraId="06698171" w14:textId="77777777" w:rsidR="00B32EF2" w:rsidRDefault="00000000">
                              <w:r>
                                <w:rPr>
                                  <w:rFonts w:ascii="Arial" w:eastAsia="Arial" w:hAnsi="Arial" w:cs="Arial"/>
                                  <w:sz w:val="18"/>
                                </w:rPr>
                                <w:t xml:space="preserve">pero del documento o il passaggio in giudicato della sentenza di cui al numero </w:t>
                              </w:r>
                            </w:p>
                          </w:txbxContent>
                        </wps:txbx>
                        <wps:bodyPr horzOverflow="overflow" vert="horz" lIns="0" tIns="0" rIns="0" bIns="0" rtlCol="0">
                          <a:noAutofit/>
                        </wps:bodyPr>
                      </wps:wsp>
                      <wps:wsp>
                        <wps:cNvPr id="199691" name="Rectangle 199691"/>
                        <wps:cNvSpPr/>
                        <wps:spPr>
                          <a:xfrm rot="-10799999">
                            <a:off x="-1380611" y="2610154"/>
                            <a:ext cx="5309036" cy="142889"/>
                          </a:xfrm>
                          <a:prstGeom prst="rect">
                            <a:avLst/>
                          </a:prstGeom>
                          <a:ln>
                            <a:noFill/>
                          </a:ln>
                        </wps:spPr>
                        <wps:txbx>
                          <w:txbxContent>
                            <w:p w14:paraId="056C0215" w14:textId="77777777" w:rsidR="00B32EF2" w:rsidRDefault="00000000">
                              <w:r>
                                <w:rPr>
                                  <w:rFonts w:ascii="Arial" w:eastAsia="Arial" w:hAnsi="Arial" w:cs="Arial"/>
                                  <w:sz w:val="18"/>
                                </w:rPr>
                                <w:t xml:space="preserve"> dell’articolo 395 del codice di procedura civile siano posteriori alla scadenza </w:t>
                              </w:r>
                            </w:p>
                          </w:txbxContent>
                        </wps:txbx>
                        <wps:bodyPr horzOverflow="overflow" vert="horz" lIns="0" tIns="0" rIns="0" bIns="0" rtlCol="0">
                          <a:noAutofit/>
                        </wps:bodyPr>
                      </wps:wsp>
                      <wps:wsp>
                        <wps:cNvPr id="199690" name="Rectangle 199690"/>
                        <wps:cNvSpPr/>
                        <wps:spPr>
                          <a:xfrm rot="-10799999">
                            <a:off x="2611143" y="2610154"/>
                            <a:ext cx="5309036" cy="142889"/>
                          </a:xfrm>
                          <a:prstGeom prst="rect">
                            <a:avLst/>
                          </a:prstGeom>
                          <a:ln>
                            <a:noFill/>
                          </a:ln>
                        </wps:spPr>
                        <wps:txbx>
                          <w:txbxContent>
                            <w:p w14:paraId="48B4B472"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14641" name="Rectangle 14641"/>
                        <wps:cNvSpPr/>
                        <wps:spPr>
                          <a:xfrm rot="-10799999">
                            <a:off x="2514699" y="2486825"/>
                            <a:ext cx="1477275" cy="142889"/>
                          </a:xfrm>
                          <a:prstGeom prst="rect">
                            <a:avLst/>
                          </a:prstGeom>
                          <a:ln>
                            <a:noFill/>
                          </a:ln>
                        </wps:spPr>
                        <wps:txbx>
                          <w:txbxContent>
                            <w:p w14:paraId="2F4D0C46" w14:textId="77777777" w:rsidR="00B32EF2" w:rsidRDefault="00000000">
                              <w:r>
                                <w:rPr>
                                  <w:rFonts w:ascii="Arial" w:eastAsia="Arial" w:hAnsi="Arial" w:cs="Arial"/>
                                  <w:sz w:val="18"/>
                                </w:rPr>
                                <w:t xml:space="preserve">del termine suddetto. </w:t>
                              </w:r>
                            </w:p>
                          </w:txbxContent>
                        </wps:txbx>
                        <wps:bodyPr horzOverflow="overflow" vert="horz" lIns="0" tIns="0" rIns="0" bIns="0" rtlCol="0">
                          <a:noAutofit/>
                        </wps:bodyPr>
                      </wps:wsp>
                      <wps:wsp>
                        <wps:cNvPr id="199689" name="Rectangle 199689"/>
                        <wps:cNvSpPr/>
                        <wps:spPr>
                          <a:xfrm rot="-10799999">
                            <a:off x="-1381568" y="2363495"/>
                            <a:ext cx="5309021" cy="142889"/>
                          </a:xfrm>
                          <a:prstGeom prst="rect">
                            <a:avLst/>
                          </a:prstGeom>
                          <a:ln>
                            <a:noFill/>
                          </a:ln>
                        </wps:spPr>
                        <wps:txbx>
                          <w:txbxContent>
                            <w:p w14:paraId="5E866166" w14:textId="77777777" w:rsidR="00B32EF2" w:rsidRDefault="00000000">
                              <w:r>
                                <w:rPr>
                                  <w:rFonts w:ascii="Arial" w:eastAsia="Arial" w:hAnsi="Arial" w:cs="Arial"/>
                                  <w:sz w:val="18"/>
                                </w:rPr>
                                <w:t xml:space="preserve">. Se i fatti menzionati nel comma 2 avvengono durante il termine per l’appello </w:t>
                              </w:r>
                            </w:p>
                          </w:txbxContent>
                        </wps:txbx>
                        <wps:bodyPr horzOverflow="overflow" vert="horz" lIns="0" tIns="0" rIns="0" bIns="0" rtlCol="0">
                          <a:noAutofit/>
                        </wps:bodyPr>
                      </wps:wsp>
                      <wps:wsp>
                        <wps:cNvPr id="199688" name="Rectangle 199688"/>
                        <wps:cNvSpPr/>
                        <wps:spPr>
                          <a:xfrm rot="-10799999">
                            <a:off x="2611147" y="2363495"/>
                            <a:ext cx="5309021" cy="142889"/>
                          </a:xfrm>
                          <a:prstGeom prst="rect">
                            <a:avLst/>
                          </a:prstGeom>
                          <a:ln>
                            <a:noFill/>
                          </a:ln>
                        </wps:spPr>
                        <wps:txbx>
                          <w:txbxContent>
                            <w:p w14:paraId="6EF15615"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4643" name="Rectangle 14643"/>
                        <wps:cNvSpPr/>
                        <wps:spPr>
                          <a:xfrm rot="-10799999">
                            <a:off x="-1220392" y="2240165"/>
                            <a:ext cx="5212368" cy="142889"/>
                          </a:xfrm>
                          <a:prstGeom prst="rect">
                            <a:avLst/>
                          </a:prstGeom>
                          <a:ln>
                            <a:noFill/>
                          </a:ln>
                        </wps:spPr>
                        <wps:txbx>
                          <w:txbxContent>
                            <w:p w14:paraId="46D63BE3" w14:textId="77777777" w:rsidR="00B32EF2" w:rsidRDefault="00000000">
                              <w:r>
                                <w:rPr>
                                  <w:rFonts w:ascii="Arial" w:eastAsia="Arial" w:hAnsi="Arial" w:cs="Arial"/>
                                  <w:sz w:val="18"/>
                                </w:rPr>
                                <w:t>il termine stesso è prorogato dal giorno dell’avvenimento in modo da raggiun</w:t>
                              </w:r>
                            </w:p>
                          </w:txbxContent>
                        </wps:txbx>
                        <wps:bodyPr horzOverflow="overflow" vert="horz" lIns="0" tIns="0" rIns="0" bIns="0" rtlCol="0">
                          <a:noAutofit/>
                        </wps:bodyPr>
                      </wps:wsp>
                      <wps:wsp>
                        <wps:cNvPr id="14644" name="Rectangle 14644"/>
                        <wps:cNvSpPr/>
                        <wps:spPr>
                          <a:xfrm rot="-10799999">
                            <a:off x="19376" y="2240165"/>
                            <a:ext cx="50622" cy="142889"/>
                          </a:xfrm>
                          <a:prstGeom prst="rect">
                            <a:avLst/>
                          </a:prstGeom>
                          <a:ln>
                            <a:noFill/>
                          </a:ln>
                        </wps:spPr>
                        <wps:txbx>
                          <w:txbxContent>
                            <w:p w14:paraId="3AA0347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645" name="Rectangle 14645"/>
                        <wps:cNvSpPr/>
                        <wps:spPr>
                          <a:xfrm rot="-10799999">
                            <a:off x="1905923" y="2100491"/>
                            <a:ext cx="2086050" cy="142889"/>
                          </a:xfrm>
                          <a:prstGeom prst="rect">
                            <a:avLst/>
                          </a:prstGeom>
                          <a:ln>
                            <a:noFill/>
                          </a:ln>
                        </wps:spPr>
                        <wps:txbx>
                          <w:txbxContent>
                            <w:p w14:paraId="3AF7F62E" w14:textId="77777777" w:rsidR="00B32EF2" w:rsidRDefault="00000000">
                              <w:r>
                                <w:rPr>
                                  <w:rFonts w:ascii="Arial" w:eastAsia="Arial" w:hAnsi="Arial" w:cs="Arial"/>
                                  <w:sz w:val="18"/>
                                </w:rPr>
                                <w:t>gere i sessanta giorni da esso.</w:t>
                              </w:r>
                            </w:p>
                          </w:txbxContent>
                        </wps:txbx>
                        <wps:bodyPr horzOverflow="overflow" vert="horz" lIns="0" tIns="0" rIns="0" bIns="0" rtlCol="0">
                          <a:noAutofit/>
                        </wps:bodyPr>
                      </wps:wsp>
                      <wps:wsp>
                        <wps:cNvPr id="207726" name="Shape 207726"/>
                        <wps:cNvSpPr/>
                        <wps:spPr>
                          <a:xfrm>
                            <a:off x="31847" y="354271"/>
                            <a:ext cx="3960254" cy="1762354"/>
                          </a:xfrm>
                          <a:custGeom>
                            <a:avLst/>
                            <a:gdLst/>
                            <a:ahLst/>
                            <a:cxnLst/>
                            <a:rect l="0" t="0" r="0" b="0"/>
                            <a:pathLst>
                              <a:path w="3960254" h="1762354">
                                <a:moveTo>
                                  <a:pt x="0" y="0"/>
                                </a:moveTo>
                                <a:lnTo>
                                  <a:pt x="3960254" y="0"/>
                                </a:lnTo>
                                <a:lnTo>
                                  <a:pt x="3960254" y="1762354"/>
                                </a:lnTo>
                                <a:lnTo>
                                  <a:pt x="0" y="1762354"/>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4647" name="Rectangle 14647"/>
                        <wps:cNvSpPr/>
                        <wps:spPr>
                          <a:xfrm rot="-10799999">
                            <a:off x="2328958" y="1895310"/>
                            <a:ext cx="1585695" cy="142861"/>
                          </a:xfrm>
                          <a:prstGeom prst="rect">
                            <a:avLst/>
                          </a:prstGeom>
                          <a:ln>
                            <a:noFill/>
                          </a:ln>
                        </wps:spPr>
                        <wps:txbx>
                          <w:txbxContent>
                            <w:p w14:paraId="452F51A6"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4648" name="Rectangle 14648"/>
                        <wps:cNvSpPr/>
                        <wps:spPr>
                          <a:xfrm rot="-10799999">
                            <a:off x="1488708" y="1758177"/>
                            <a:ext cx="2424915" cy="142861"/>
                          </a:xfrm>
                          <a:prstGeom prst="rect">
                            <a:avLst/>
                          </a:prstGeom>
                          <a:ln>
                            <a:noFill/>
                          </a:ln>
                        </wps:spPr>
                        <wps:txbx>
                          <w:txbxContent>
                            <w:p w14:paraId="3ED584F4" w14:textId="77777777" w:rsidR="00B32EF2" w:rsidRDefault="00000000">
                              <w:r>
                                <w:rPr>
                                  <w:rFonts w:ascii="Arial" w:eastAsia="Arial" w:hAnsi="Arial" w:cs="Arial"/>
                                  <w:i/>
                                  <w:sz w:val="18"/>
                                </w:rPr>
                                <w:t>art. 395 c.p.c. “Casi di revocazione”</w:t>
                              </w:r>
                            </w:p>
                          </w:txbxContent>
                        </wps:txbx>
                        <wps:bodyPr horzOverflow="overflow" vert="horz" lIns="0" tIns="0" rIns="0" bIns="0" rtlCol="0">
                          <a:noAutofit/>
                        </wps:bodyPr>
                      </wps:wsp>
                      <wps:wsp>
                        <wps:cNvPr id="14649" name="Rectangle 14649"/>
                        <wps:cNvSpPr/>
                        <wps:spPr>
                          <a:xfrm rot="-10799999">
                            <a:off x="2048117" y="1758177"/>
                            <a:ext cx="42261" cy="142861"/>
                          </a:xfrm>
                          <a:prstGeom prst="rect">
                            <a:avLst/>
                          </a:prstGeom>
                          <a:ln>
                            <a:noFill/>
                          </a:ln>
                        </wps:spPr>
                        <wps:txbx>
                          <w:txbxContent>
                            <w:p w14:paraId="45940A1B" w14:textId="77777777" w:rsidR="00B32EF2" w:rsidRDefault="00000000">
                              <w:r>
                                <w:rPr>
                                  <w:rFonts w:ascii="Arial" w:eastAsia="Arial" w:hAnsi="Arial" w:cs="Arial"/>
                                  <w:sz w:val="18"/>
                                </w:rPr>
                                <w:t xml:space="preserve"> </w:t>
                              </w:r>
                            </w:p>
                          </w:txbxContent>
                        </wps:txbx>
                        <wps:bodyPr horzOverflow="overflow" vert="horz" lIns="0" tIns="0" rIns="0" bIns="0" rtlCol="0">
                          <a:noAutofit/>
                        </wps:bodyPr>
                      </wps:wsp>
                      <wps:wsp>
                        <wps:cNvPr id="199686" name="Rectangle 199686"/>
                        <wps:cNvSpPr/>
                        <wps:spPr>
                          <a:xfrm rot="-10799999">
                            <a:off x="2585461" y="1621044"/>
                            <a:ext cx="5096771" cy="142861"/>
                          </a:xfrm>
                          <a:prstGeom prst="rect">
                            <a:avLst/>
                          </a:prstGeom>
                          <a:ln>
                            <a:noFill/>
                          </a:ln>
                        </wps:spPr>
                        <wps:txbx>
                          <w:txbxContent>
                            <w:p w14:paraId="557D161F"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199687" name="Rectangle 199687"/>
                        <wps:cNvSpPr/>
                        <wps:spPr>
                          <a:xfrm rot="-10799999">
                            <a:off x="-1245750" y="1621044"/>
                            <a:ext cx="5096772" cy="142861"/>
                          </a:xfrm>
                          <a:prstGeom prst="rect">
                            <a:avLst/>
                          </a:prstGeom>
                          <a:ln>
                            <a:noFill/>
                          </a:ln>
                        </wps:spPr>
                        <wps:txbx>
                          <w:txbxContent>
                            <w:p w14:paraId="6D6C2C96" w14:textId="77777777" w:rsidR="00B32EF2" w:rsidRDefault="00000000">
                              <w:r>
                                <w:rPr>
                                  <w:rFonts w:ascii="Arial" w:eastAsia="Arial" w:hAnsi="Arial" w:cs="Arial"/>
                                  <w:i/>
                                  <w:sz w:val="18"/>
                                </w:rPr>
                                <w:t xml:space="preserve">. Le sentenze pronunciate in grado d’appello o in un unico grado, possono </w:t>
                              </w:r>
                            </w:p>
                          </w:txbxContent>
                        </wps:txbx>
                        <wps:bodyPr horzOverflow="overflow" vert="horz" lIns="0" tIns="0" rIns="0" bIns="0" rtlCol="0">
                          <a:noAutofit/>
                        </wps:bodyPr>
                      </wps:wsp>
                      <wps:wsp>
                        <wps:cNvPr id="14651" name="Rectangle 14651"/>
                        <wps:cNvSpPr/>
                        <wps:spPr>
                          <a:xfrm rot="-10799999">
                            <a:off x="-1186064" y="1483911"/>
                            <a:ext cx="5097517" cy="142861"/>
                          </a:xfrm>
                          <a:prstGeom prst="rect">
                            <a:avLst/>
                          </a:prstGeom>
                          <a:ln>
                            <a:noFill/>
                          </a:ln>
                        </wps:spPr>
                        <wps:txbx>
                          <w:txbxContent>
                            <w:p w14:paraId="543B4BBA" w14:textId="77777777" w:rsidR="00B32EF2" w:rsidRDefault="00000000">
                              <w:r>
                                <w:rPr>
                                  <w:rFonts w:ascii="Arial" w:eastAsia="Arial" w:hAnsi="Arial" w:cs="Arial"/>
                                  <w:i/>
                                  <w:sz w:val="18"/>
                                </w:rPr>
                                <w:t xml:space="preserve">essere impugnate per revocazione: 1) se sono l’effetto del dolo di una delle </w:t>
                              </w:r>
                            </w:p>
                          </w:txbxContent>
                        </wps:txbx>
                        <wps:bodyPr horzOverflow="overflow" vert="horz" lIns="0" tIns="0" rIns="0" bIns="0" rtlCol="0">
                          <a:noAutofit/>
                        </wps:bodyPr>
                      </wps:wsp>
                      <wps:wsp>
                        <wps:cNvPr id="14652" name="Rectangle 14652"/>
                        <wps:cNvSpPr/>
                        <wps:spPr>
                          <a:xfrm rot="-10799999">
                            <a:off x="-1188072" y="1346779"/>
                            <a:ext cx="5105011" cy="142861"/>
                          </a:xfrm>
                          <a:prstGeom prst="rect">
                            <a:avLst/>
                          </a:prstGeom>
                          <a:ln>
                            <a:noFill/>
                          </a:ln>
                        </wps:spPr>
                        <wps:txbx>
                          <w:txbxContent>
                            <w:p w14:paraId="60FA54F2" w14:textId="77777777" w:rsidR="00B32EF2" w:rsidRDefault="00000000">
                              <w:r>
                                <w:rPr>
                                  <w:rFonts w:ascii="Arial" w:eastAsia="Arial" w:hAnsi="Arial" w:cs="Arial"/>
                                  <w:i/>
                                  <w:sz w:val="18"/>
                                </w:rPr>
                                <w:t xml:space="preserve">parti in danno dell’altra; 2) se si è giudicato in base a prove riconosciute o </w:t>
                              </w:r>
                            </w:p>
                          </w:txbxContent>
                        </wps:txbx>
                        <wps:bodyPr horzOverflow="overflow" vert="horz" lIns="0" tIns="0" rIns="0" bIns="0" rtlCol="0">
                          <a:noAutofit/>
                        </wps:bodyPr>
                      </wps:wsp>
                      <wps:wsp>
                        <wps:cNvPr id="14653" name="Rectangle 14653"/>
                        <wps:cNvSpPr/>
                        <wps:spPr>
                          <a:xfrm rot="-10799999">
                            <a:off x="-1089853" y="1209646"/>
                            <a:ext cx="5003478" cy="142861"/>
                          </a:xfrm>
                          <a:prstGeom prst="rect">
                            <a:avLst/>
                          </a:prstGeom>
                          <a:ln>
                            <a:noFill/>
                          </a:ln>
                        </wps:spPr>
                        <wps:txbx>
                          <w:txbxContent>
                            <w:p w14:paraId="6A128CEE" w14:textId="77777777" w:rsidR="00B32EF2" w:rsidRDefault="00000000">
                              <w:r>
                                <w:rPr>
                                  <w:rFonts w:ascii="Arial" w:eastAsia="Arial" w:hAnsi="Arial" w:cs="Arial"/>
                                  <w:i/>
                                  <w:sz w:val="18"/>
                                </w:rPr>
                                <w:t>comunque dichiarate false dopo la sentenza oppure che la parte soccom</w:t>
                              </w:r>
                            </w:p>
                          </w:txbxContent>
                        </wps:txbx>
                        <wps:bodyPr horzOverflow="overflow" vert="horz" lIns="0" tIns="0" rIns="0" bIns="0" rtlCol="0">
                          <a:noAutofit/>
                        </wps:bodyPr>
                      </wps:wsp>
                      <wps:wsp>
                        <wps:cNvPr id="14654" name="Rectangle 14654"/>
                        <wps:cNvSpPr/>
                        <wps:spPr>
                          <a:xfrm rot="-10799999">
                            <a:off x="97730" y="1209646"/>
                            <a:ext cx="50622" cy="142860"/>
                          </a:xfrm>
                          <a:prstGeom prst="rect">
                            <a:avLst/>
                          </a:prstGeom>
                          <a:ln>
                            <a:noFill/>
                          </a:ln>
                        </wps:spPr>
                        <wps:txbx>
                          <w:txbxContent>
                            <w:p w14:paraId="1E0B325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655" name="Rectangle 14655"/>
                        <wps:cNvSpPr/>
                        <wps:spPr>
                          <a:xfrm rot="-10799999">
                            <a:off x="-1090857" y="1072513"/>
                            <a:ext cx="5004481" cy="142861"/>
                          </a:xfrm>
                          <a:prstGeom prst="rect">
                            <a:avLst/>
                          </a:prstGeom>
                          <a:ln>
                            <a:noFill/>
                          </a:ln>
                        </wps:spPr>
                        <wps:txbx>
                          <w:txbxContent>
                            <w:p w14:paraId="69E1D3B3" w14:textId="77777777" w:rsidR="00B32EF2" w:rsidRDefault="00000000">
                              <w:r>
                                <w:rPr>
                                  <w:rFonts w:ascii="Arial" w:eastAsia="Arial" w:hAnsi="Arial" w:cs="Arial"/>
                                  <w:i/>
                                  <w:sz w:val="18"/>
                                </w:rPr>
                                <w:t>bente ignorava essere state riconosciute o dichiarate tali prima della sen</w:t>
                              </w:r>
                            </w:p>
                          </w:txbxContent>
                        </wps:txbx>
                        <wps:bodyPr horzOverflow="overflow" vert="horz" lIns="0" tIns="0" rIns="0" bIns="0" rtlCol="0">
                          <a:noAutofit/>
                        </wps:bodyPr>
                      </wps:wsp>
                      <wps:wsp>
                        <wps:cNvPr id="14656" name="Rectangle 14656"/>
                        <wps:cNvSpPr/>
                        <wps:spPr>
                          <a:xfrm rot="-10799999">
                            <a:off x="97730" y="1072513"/>
                            <a:ext cx="50622" cy="142861"/>
                          </a:xfrm>
                          <a:prstGeom prst="rect">
                            <a:avLst/>
                          </a:prstGeom>
                          <a:ln>
                            <a:noFill/>
                          </a:ln>
                        </wps:spPr>
                        <wps:txbx>
                          <w:txbxContent>
                            <w:p w14:paraId="2A17798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657" name="Rectangle 14657"/>
                        <wps:cNvSpPr/>
                        <wps:spPr>
                          <a:xfrm rot="-10799999">
                            <a:off x="-1185925" y="935380"/>
                            <a:ext cx="5095434" cy="142861"/>
                          </a:xfrm>
                          <a:prstGeom prst="rect">
                            <a:avLst/>
                          </a:prstGeom>
                          <a:ln>
                            <a:noFill/>
                          </a:ln>
                        </wps:spPr>
                        <wps:txbx>
                          <w:txbxContent>
                            <w:p w14:paraId="2D717930" w14:textId="77777777" w:rsidR="00B32EF2" w:rsidRDefault="00000000">
                              <w:r>
                                <w:rPr>
                                  <w:rFonts w:ascii="Arial" w:eastAsia="Arial" w:hAnsi="Arial" w:cs="Arial"/>
                                  <w:i/>
                                  <w:sz w:val="18"/>
                                </w:rPr>
                                <w:t xml:space="preserve">tenza; 3) se dopo la sentenza sono stati trovati uno o più documenti decisivi </w:t>
                              </w:r>
                            </w:p>
                          </w:txbxContent>
                        </wps:txbx>
                        <wps:bodyPr horzOverflow="overflow" vert="horz" lIns="0" tIns="0" rIns="0" bIns="0" rtlCol="0">
                          <a:noAutofit/>
                        </wps:bodyPr>
                      </wps:wsp>
                      <wps:wsp>
                        <wps:cNvPr id="14658" name="Rectangle 14658"/>
                        <wps:cNvSpPr/>
                        <wps:spPr>
                          <a:xfrm rot="-10799999">
                            <a:off x="-1090903" y="798248"/>
                            <a:ext cx="5004527" cy="142861"/>
                          </a:xfrm>
                          <a:prstGeom prst="rect">
                            <a:avLst/>
                          </a:prstGeom>
                          <a:ln>
                            <a:noFill/>
                          </a:ln>
                        </wps:spPr>
                        <wps:txbx>
                          <w:txbxContent>
                            <w:p w14:paraId="23BC9481" w14:textId="77777777" w:rsidR="00B32EF2" w:rsidRDefault="00000000">
                              <w:r>
                                <w:rPr>
                                  <w:rFonts w:ascii="Arial" w:eastAsia="Arial" w:hAnsi="Arial" w:cs="Arial"/>
                                  <w:i/>
                                  <w:sz w:val="18"/>
                                </w:rPr>
                                <w:t>che la parte non aveva potuto produrre in giudizio per causa di forza mag</w:t>
                              </w:r>
                            </w:p>
                          </w:txbxContent>
                        </wps:txbx>
                        <wps:bodyPr horzOverflow="overflow" vert="horz" lIns="0" tIns="0" rIns="0" bIns="0" rtlCol="0">
                          <a:noAutofit/>
                        </wps:bodyPr>
                      </wps:wsp>
                      <wps:wsp>
                        <wps:cNvPr id="14659" name="Rectangle 14659"/>
                        <wps:cNvSpPr/>
                        <wps:spPr>
                          <a:xfrm rot="-10799999">
                            <a:off x="97730" y="798248"/>
                            <a:ext cx="50622" cy="142861"/>
                          </a:xfrm>
                          <a:prstGeom prst="rect">
                            <a:avLst/>
                          </a:prstGeom>
                          <a:ln>
                            <a:noFill/>
                          </a:ln>
                        </wps:spPr>
                        <wps:txbx>
                          <w:txbxContent>
                            <w:p w14:paraId="6FB3441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660" name="Rectangle 14660"/>
                        <wps:cNvSpPr/>
                        <wps:spPr>
                          <a:xfrm rot="-10799999">
                            <a:off x="-1188417" y="661115"/>
                            <a:ext cx="5104555" cy="142861"/>
                          </a:xfrm>
                          <a:prstGeom prst="rect">
                            <a:avLst/>
                          </a:prstGeom>
                          <a:ln>
                            <a:noFill/>
                          </a:ln>
                        </wps:spPr>
                        <wps:txbx>
                          <w:txbxContent>
                            <w:p w14:paraId="7E9341AB" w14:textId="77777777" w:rsidR="00B32EF2" w:rsidRDefault="00000000">
                              <w:r>
                                <w:rPr>
                                  <w:rFonts w:ascii="Arial" w:eastAsia="Arial" w:hAnsi="Arial" w:cs="Arial"/>
                                  <w:i/>
                                  <w:sz w:val="18"/>
                                </w:rPr>
                                <w:t xml:space="preserve">giore o per fatto dell’avversario; 4) se la sentenza è l’effetto di un errore di </w:t>
                              </w:r>
                            </w:p>
                          </w:txbxContent>
                        </wps:txbx>
                        <wps:bodyPr horzOverflow="overflow" vert="horz" lIns="0" tIns="0" rIns="0" bIns="0" rtlCol="0">
                          <a:noAutofit/>
                        </wps:bodyPr>
                      </wps:wsp>
                      <wps:wsp>
                        <wps:cNvPr id="14661" name="Rectangle 14661"/>
                        <wps:cNvSpPr/>
                        <wps:spPr>
                          <a:xfrm rot="-10799999">
                            <a:off x="-1185533" y="523983"/>
                            <a:ext cx="5093671" cy="142861"/>
                          </a:xfrm>
                          <a:prstGeom prst="rect">
                            <a:avLst/>
                          </a:prstGeom>
                          <a:ln>
                            <a:noFill/>
                          </a:ln>
                        </wps:spPr>
                        <wps:txbx>
                          <w:txbxContent>
                            <w:p w14:paraId="4865EE63" w14:textId="77777777" w:rsidR="00B32EF2" w:rsidRDefault="00000000">
                              <w:r>
                                <w:rPr>
                                  <w:rFonts w:ascii="Arial" w:eastAsia="Arial" w:hAnsi="Arial" w:cs="Arial"/>
                                  <w:i/>
                                  <w:sz w:val="18"/>
                                </w:rPr>
                                <w:t xml:space="preserve">fatto risultante dagli atti o documenti della causa. Vi è questo errore quando </w:t>
                              </w:r>
                            </w:p>
                          </w:txbxContent>
                        </wps:txbx>
                        <wps:bodyPr horzOverflow="overflow" vert="horz" lIns="0" tIns="0" rIns="0" bIns="0" rtlCol="0">
                          <a:noAutofit/>
                        </wps:bodyPr>
                      </wps:wsp>
                      <wps:wsp>
                        <wps:cNvPr id="14662" name="Rectangle 14662"/>
                        <wps:cNvSpPr/>
                        <wps:spPr>
                          <a:xfrm rot="-10799999">
                            <a:off x="-1090355" y="386850"/>
                            <a:ext cx="5003980" cy="142862"/>
                          </a:xfrm>
                          <a:prstGeom prst="rect">
                            <a:avLst/>
                          </a:prstGeom>
                          <a:ln>
                            <a:noFill/>
                          </a:ln>
                        </wps:spPr>
                        <wps:txbx>
                          <w:txbxContent>
                            <w:p w14:paraId="3DFFFE55" w14:textId="77777777" w:rsidR="00B32EF2" w:rsidRDefault="00000000">
                              <w:r>
                                <w:rPr>
                                  <w:rFonts w:ascii="Arial" w:eastAsia="Arial" w:hAnsi="Arial" w:cs="Arial"/>
                                  <w:i/>
                                  <w:sz w:val="18"/>
                                </w:rPr>
                                <w:t>la decisione è fondata sulla supposizione di un fatto la cui verità è incon</w:t>
                              </w:r>
                            </w:p>
                          </w:txbxContent>
                        </wps:txbx>
                        <wps:bodyPr horzOverflow="overflow" vert="horz" lIns="0" tIns="0" rIns="0" bIns="0" rtlCol="0">
                          <a:noAutofit/>
                        </wps:bodyPr>
                      </wps:wsp>
                      <wps:wsp>
                        <wps:cNvPr id="14663" name="Rectangle 14663"/>
                        <wps:cNvSpPr/>
                        <wps:spPr>
                          <a:xfrm rot="-10799999">
                            <a:off x="97730" y="386850"/>
                            <a:ext cx="50622" cy="142861"/>
                          </a:xfrm>
                          <a:prstGeom prst="rect">
                            <a:avLst/>
                          </a:prstGeom>
                          <a:ln>
                            <a:noFill/>
                          </a:ln>
                        </wps:spPr>
                        <wps:txbx>
                          <w:txbxContent>
                            <w:p w14:paraId="6CE91FC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664" name="Shape 14664"/>
                        <wps:cNvSpPr/>
                        <wps:spPr>
                          <a:xfrm>
                            <a:off x="31845" y="354274"/>
                            <a:ext cx="3960254" cy="1762354"/>
                          </a:xfrm>
                          <a:custGeom>
                            <a:avLst/>
                            <a:gdLst/>
                            <a:ahLst/>
                            <a:cxnLst/>
                            <a:rect l="0" t="0" r="0" b="0"/>
                            <a:pathLst>
                              <a:path w="3960254" h="1762354">
                                <a:moveTo>
                                  <a:pt x="0" y="1762354"/>
                                </a:moveTo>
                                <a:lnTo>
                                  <a:pt x="3960254" y="1762354"/>
                                </a:lnTo>
                                <a:lnTo>
                                  <a:pt x="3960254" y="0"/>
                                </a:lnTo>
                                <a:lnTo>
                                  <a:pt x="0" y="0"/>
                                </a:lnTo>
                                <a:close/>
                              </a:path>
                            </a:pathLst>
                          </a:custGeom>
                          <a:ln w="12446"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82E2549" id="Group 199786" o:spid="_x0000_s1418" style="width:314.35pt;height:493.15pt;mso-position-horizontal-relative:char;mso-position-vertical-relative:line" coordsize="39921,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7IIqQsAAKN6AAAOAAAAZHJzL2Uyb0RvYy54bWzkXW1v4zYS/n7A/QfD37MRKVIvwWaLw/a6&#10;OOBwLdreD1AcOTYgS4ak3WTv198zJEXJNpvuSaiZHneBxKElSpqHM5x5OBy9/+7lUK2+lG23b+r7&#10;NXsXrVdlvWke9/XT/frfv/5wk61XXV/Uj0XV1OX9+mvZrb/78Ne/vH8+3pW82TXVY9mu0End3T0f&#10;79e7vj/e3d52m115KLp3zbGs8eW2aQ9Fjz/bp9vHtnhG74fqlkdRcvvctI/HttmUXYfW7/WX6w+q&#10;/+223PQ/brdd2a+q+zXurVc/W/XzgX7efnhf3D21xXG335jbKGbcxaHY17io7er7oi9Wn9v9RVeH&#10;/aZtumbbv9s0h9tmu91vSvUMeBoWnT3Np7b5fFTP8nT3/HS0YoJoz+Q0u9vNv758ao+/HH9qIYnn&#10;4xNkof6iZ3nZtgf6jbtcvSiRfbUiK1/61QaNcZ5zFrH1aoPvEp7wTAot1M0Okr84b7P7+++ceTtc&#10;+Pbkdp6PGCDdKINumQx+2RXHUom2u4MMfmpX+0eMX5GweL2qiwOG6s8YPEX9VJUr3awEpI624uru&#10;OkhukNWqbTC+bliU5vRPjQcjO5YJGUXoGlK6STjLzcgbxMiTVEp8TVLkMkpEQkK0oijujm3Xfyqb&#10;w4o+3K9b3Jvqv/jyz67Xhw6H0O1UNf2smx/2VaW/pRZIdLhj+tS/PLyox45TTpejtofm8SuEsWva&#10;//wItd5WzfP9ujGf1qTpuDp9u15V/6gBAinV8KEdPjwMH9q++tgo1dP387fPfbPdqxser2ZuDOjq&#10;e7gKzMINsxq8dGsYFP87zDcsZmmUJgrnhLE8T4w2DEDLOMojCaER0kzwTI+E6yEdB4e0dCMtB0HM&#10;QprHPGWZVmiZZxGApP6KuwFoliQiBbgWaH3A9YC2IzkMlc7zlKahC9Ot2411mwc1FJlJjCJorMxE&#10;lDA1dEaoodNZDni9QW2HcjhQ89+A2k5ks6CG/c6YxGz4OtY+1Vo5BuPcGcBMnTqghp+WLrLfeqYW&#10;6Ju0Oo2iXJy5ZGqm5sazpZn62gbcPmAYWg1IESte2G/VvMR8M5GJJDIqLRPGE6VCo/mGv53GqUeg&#10;s2EkhwE0zcjwiy6Q1u1LoFbmW5AbQEotOJO5mg9GrGmqzoZAy4dSKy8xHPONAAiBsAtral+CNSev&#10;jJyu16FGmDdEWle235maT8KBWiTcpdWqeQnQaqaWqZmpecZydmbAZcwiHuMAX0izYSSHYcABqSvS&#10;Us3LkOY8wmytdRrWmYtz880ZFxJugi+kbXgRDNKuQAtIW0HMirNYHqcmoHbCHNEFvIEcHEXG3Zw3&#10;mpep84QMBfvNZaJCmhNvDGSoP88bpsY8YDDq7Ka9uRXELHW+YTDcDA4POWMiwyJQrobOBGkYboaV&#10;IW86HRhFBgvtpr3RvESnR8Pthtmv4Q6OG+NYabqIo4G9FcQ8dc7hZYMlUdqcYqUDxAwGzajNIoe6&#10;C492OzhqjLtJUDQv0maRJGmm6RIRx0mannGgWQrCzKPVDowZg+a6KVA0L8IZK9FpquMqsGKxgO6e&#10;KDQxYWmEGcNXXGW5oGAcMRcrBvytIGZZbiZkCr5bWe44E7GQZwE00g1Y4i+00skO4XBiRH+6NFq3&#10;L1NprGTQggk8bqTvRPDAz1Q6F5J5tN15YKQYQeqapHX7EqhvsGKlkLRQn1tv31BbMigM602Quhxv&#10;3b4Eao5/YrDfb1KrLSUUBtQiid1UN5qXAH2DpFmwYcp6yzxJz9cpY0RdXPpLKcotIRQGzqS6LmpM&#10;ty9BWq1TIq5SUIs0xog6nahV9hj8Pl++d24ZoXCgdnFjBLUVxSzvGyuVKfLHjVP2JrG2xFAYWEPZ&#10;3EsbaF6i1CZ7TFNkcSwjpjscKTLf2WPwRc0DBoO0y35jANiZbJZOCyRxIzNQWW/Okwx7OCDXEedY&#10;ChHhGt6st2WGwsCZrLRLpXX7Qp1G7m9mnDIGUNMzrJVOe2TJxoypcLB2pR8Q1jbknKXVyimjhWcK&#10;qd8g1AIJkqGZb1dEDfNtPZZZQNNEDQpO55pw7NNhQs0HowFX7ncCC++H+qZs1dCQdtFkQNp6LDOR&#10;Rg5CyrROYxdqkoH8PJmqJXIQkgzDzBfS1maFYb4BqYv7Vs1LJmrKQdCetxtmnzkI8AWDU2f3Sla8&#10;bCVLR1i0TwBTNE/jmPJCT9WZdt1RFqEvdbaBRRjqTF6XiwvV7UsUGlhn2FVpTHeCcgJDDYFhM63y&#10;vOEKeMPaEkPhYA3Vu0gtIqytZzprmlaet9D7pvH5DUJtHc4woBYJJXJdIK2alyg1l6iaQXt/yH4j&#10;WTDTmYej481EmnKf9tv6m2EADd2l7VIXSOv2JVCT/WZwuDXWMSg3TaSPWHtmQ0UUHkuWuXxvwtqK&#10;YoH91iQZf5NQW78zDLWGoXbxoap5mVIjno7BsykDzsFTJMoJmig14umYtN6TA86sJxIM0u4lDk1p&#10;UVbdLJWexNNOmL3G04gKzCgOBmTX4jTU2YYgM0GOsBne+N0sioTOzxu1mUdZclKY6rrbpQULix0D&#10;V5mOuzdUNbqVaftdq03rj6auXIzCckMakUBFqlOKJM5R+MLuukoTjtVKOmJShGrzWdeVoz6HWnKo&#10;Yvioq8qhbTd82rzUw0eqPvdqQcVj0dN51Cl9XKGGnL2XHeqemVuh7w8oLvdro47sz6oF4jbHb6t6&#10;epTtDdGFmgZw7HDE8Puo+pseOVxXi2A4bvitj9eM07cfeXp13AY9sBKxFQIap2KuapIHrTgUKHi5&#10;rQpdye+w71EJs9ofIB+OChljxxeF+7r+a1WSyKr653KLEn6qOiM1dO3Tw8eqXX0pqOie+qfLBFbH&#10;XWFazQgwh6pbVf3Q+VvUC7RdMnXqSZcfY/pvejAH03mlKrVpz4z0mRtzN7reJqpW4qGHqpsQij1J&#10;Xbmpe3t+jVqh6iI0qZmnHbPGCT7666oFA0nNLmInmGUbRc4yy0jzy3La0I5xjGoWVMmAnns0y1iR&#10;lpSXZJ2sROk4pDdU5xzKPv4hlSEFymHifkbZ///Xm6L0WxfQy+Im7MrADhsDdCozhoIWJ0Cj1gHm&#10;ZI9AB0ZnQ3VdbIhqNiN+nkajggVDcTKl0S6gUdYCOuxNn60bGYY/TYyHK7NAty8CGpYZxck00KiI&#10;El1kFkRI7J7WFbu26Q6MySZIXZO0bl8CNeobYGMdVe2lafq3sZ5srLs21tYNCUOtRULZW45pGs3L&#10;kGYIg1G0WSEtsjjXBMTokMkIi85k3wfW69pIWz8kGKRdOYAYAJYwmDVP36B6XBaZUq/YEg1TrZjj&#10;CdIMfAitSvtCOjgmmwozunTaxiAzkabyzNQ3WW+OWVlX158gjdL8Ip0w2VfWaRTOM0YrGJ12M9ma&#10;nqJocxbSKHIQm0naDfNJWTEkfULqV4ukUTMvNJDdTDZKqS+bovEGhUyaCAsWXGqO4kSdsYnWn+Ee&#10;i+MFo86uEAtTtI1AlqqzG+ZTdb4uMTYWxwsGZFdwBZBt6DELZPLDsDIFU4HZOY8lUgHJPEy1OZeo&#10;ZOLNDRtr4wUDtJsBBU292G7n5h1IaZ4hKewc6Aj1avxFVmNpvGCAdjOgqDuwBOjRC3Oj7NVq2xkp&#10;FIxpa5MjptLO72xPW0XPwtDcVJ7m4p044EMlvTTHU/A8VsYLBmg3IaZD2UVA4810OniWPM7xzqvz&#10;6RmFAz0623ZWCgZoNx+Gsm5LrDZeW4jJ2bzmKka+NujuM6CRDkg1fq1GqwteL362s1IwQLvpMF1A&#10;ZrZGj9OzG2Wf0zPYGzOGg8HYEmE6BwybJvQrI1/HlwKkSQqYjp6Q3cVR5fNEa236k9LaP1MK2GkK&#10;1rckgp2eMaR1Db8v08EG/m84Yvg9TQQ7P2ZTNV0JCcPsfWOiF9YOwTe/kuyls7R0n463tLqSvRyZ&#10;WSbZa+gGqVQqq2qaz2WysualiL2JZC/1SmC8CVnJ37y1mV61PP0bn6fvlv7wXwAAAP//AwBQSwME&#10;FAAGAAgAAAAhAAXws23dAAAABQEAAA8AAABkcnMvZG93bnJldi54bWxMj0FLw0AQhe+C/2EZwZvd&#10;pMWYptmUUtRTEWwF8TbNTpPQ7GzIbpP037t60cvA4z3e+yZfT6YVA/WusawgnkUgiEurG64UfBxe&#10;HlIQziNrbC2Tgis5WBe3Nzlm2o78TsPeVyKUsMtQQe19l0npypoMupntiIN3sr1BH2RfSd3jGMpN&#10;K+dRlEiDDYeFGjva1lSe9xej4HXEcbOIn4fd+bS9fh0e3z53MSl1fzdtViA8Tf4vDD/4AR2KwHS0&#10;F9ZOtArCI/73Bi+Zp08gjgqWabIAWeTyP33xDQAA//8DAFBLAQItABQABgAIAAAAIQC2gziS/gAA&#10;AOEBAAATAAAAAAAAAAAAAAAAAAAAAABbQ29udGVudF9UeXBlc10ueG1sUEsBAi0AFAAGAAgAAAAh&#10;ADj9If/WAAAAlAEAAAsAAAAAAAAAAAAAAAAALwEAAF9yZWxzLy5yZWxzUEsBAi0AFAAGAAgAAAAh&#10;ALAXsgipCwAAo3oAAA4AAAAAAAAAAAAAAAAALgIAAGRycy9lMm9Eb2MueG1sUEsBAi0AFAAGAAgA&#10;AAAhAAXws23dAAAABQEAAA8AAAAAAAAAAAAAAAAAAw4AAGRycy9kb3ducmV2LnhtbFBLBQYAAAAA&#10;BAAEAPMAAAANDwAAAAA=&#10;">
                <v:rect id="Rectangle 14613" o:spid="_x0000_s1419" style="position:absolute;left:18450;top:-621;width:2675;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kwExAAAAN4AAAAPAAAAZHJzL2Rvd25yZXYueG1sRE9Li8Iw&#10;EL4v7H8Is+BtTdVFpBplcRF72Isv8Dg0Y1ttJqGJtvrrzcKCt/n4njNbdKYWN2p8ZVnBoJ+AIM6t&#10;rrhQsN+tPicgfEDWWFsmBXfysJi/v80w1bblDd22oRAxhH2KCsoQXCqlz0sy6PvWEUfuZBuDIcKm&#10;kLrBNoabWg6TZCwNVhwbSnS0LCm/bK9GwfGHXbZqZX56LN3vOZvU6+v+oFTvo/ueggjUhZf4353p&#10;OP9rPBjB3zvxBjl/AgAA//8DAFBLAQItABQABgAIAAAAIQDb4fbL7gAAAIUBAAATAAAAAAAAAAAA&#10;AAAAAAAAAABbQ29udGVudF9UeXBlc10ueG1sUEsBAi0AFAAGAAgAAAAhAFr0LFu/AAAAFQEAAAsA&#10;AAAAAAAAAAAAAAAAHwEAAF9yZWxzLy5yZWxzUEsBAi0AFAAGAAgAAAAhAAUqTATEAAAA3gAAAA8A&#10;AAAAAAAAAAAAAAAABwIAAGRycy9kb3ducmV2LnhtbFBLBQYAAAAAAwADALcAAAD4AgAAAAA=&#10;" filled="f" stroked="f">
                  <v:textbox inset="0,0,0,0">
                    <w:txbxContent>
                      <w:p w14:paraId="277FA236" w14:textId="77777777" w:rsidR="00B32EF2" w:rsidRDefault="00000000">
                        <w:r>
                          <w:rPr>
                            <w:rFonts w:ascii="Times New Roman" w:eastAsia="Times New Roman" w:hAnsi="Times New Roman" w:cs="Times New Roman"/>
                          </w:rPr>
                          <w:t>100</w:t>
                        </w:r>
                      </w:p>
                    </w:txbxContent>
                  </v:textbox>
                </v:rect>
                <v:rect id="Rectangle 14614" o:spid="_x0000_s1420" style="position:absolute;left:-13170;top:61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9RwwwAAAN4AAAAPAAAAZHJzL2Rvd25yZXYueG1sRE9Li8Iw&#10;EL4v+B/CCHtbUxcRqUYRRbaHvfgCj0MzttVmEppou/vrjSB4m4/vObNFZ2pxp8ZXlhUMBwkI4tzq&#10;igsFh/3mawLCB2SNtWVS8EceFvPexwxTbVve0n0XChFD2KeooAzBpVL6vCSDfmAdceTOtjEYImwK&#10;qRtsY7ip5XeSjKXBimNDiY5WJeXX3c0oOK3ZZZtW5uf/lfu9ZJP653Y4KvXZ75ZTEIG68Ba/3JmO&#10;80fj4Qie78Qb5PwBAAD//wMAUEsBAi0AFAAGAAgAAAAhANvh9svuAAAAhQEAABMAAAAAAAAAAAAA&#10;AAAAAAAAAFtDb250ZW50X1R5cGVzXS54bWxQSwECLQAUAAYACAAAACEAWvQsW78AAAAVAQAACwAA&#10;AAAAAAAAAAAAAAAfAQAAX3JlbHMvLnJlbHNQSwECLQAUAAYACAAAACEAisPUcMMAAADeAAAADwAA&#10;AAAAAAAAAAAAAAAHAgAAZHJzL2Rvd25yZXYueG1sUEsFBgAAAAADAAMAtwAAAPcCAAAAAA==&#10;" filled="f" stroked="f">
                  <v:textbox inset="0,0,0,0">
                    <w:txbxContent>
                      <w:p w14:paraId="25FD3F75" w14:textId="77777777" w:rsidR="00B32EF2" w:rsidRDefault="00000000">
                        <w:r>
                          <w:rPr>
                            <w:rFonts w:ascii="Arial" w:eastAsia="Arial" w:hAnsi="Arial" w:cs="Arial"/>
                            <w:sz w:val="18"/>
                          </w:rPr>
                          <w:t xml:space="preserve">processo tributario, ha, in questo, efficacia di giudicato, in ogni stato e grado, </w:t>
                        </w:r>
                      </w:p>
                    </w:txbxContent>
                  </v:textbox>
                </v:rect>
                <v:rect id="Rectangle 14615" o:spid="_x0000_s1421" style="position:absolute;left:23271;top:59802;width:166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3HrxAAAAN4AAAAPAAAAZHJzL2Rvd25yZXYueG1sRE9Li8Iw&#10;EL4v7H8Is+BtTRVXpBplcRF72Isv8Dg0Y1ttJqGJtvrrzcKCt/n4njNbdKYWN2p8ZVnBoJ+AIM6t&#10;rrhQsN+tPicgfEDWWFsmBXfysJi/v80w1bblDd22oRAxhH2KCsoQXCqlz0sy6PvWEUfuZBuDIcKm&#10;kLrBNoabWg6TZCwNVhwbSnS0LCm/bK9GwfGHXbZqZX56LN3vOZvU6+v+oFTvo/ueggjUhZf4353p&#10;OH80HnzB3zvxBjl/AgAA//8DAFBLAQItABQABgAIAAAAIQDb4fbL7gAAAIUBAAATAAAAAAAAAAAA&#10;AAAAAAAAAABbQ29udGVudF9UeXBlc10ueG1sUEsBAi0AFAAGAAgAAAAhAFr0LFu/AAAAFQEAAAsA&#10;AAAAAAAAAAAAAAAAHwEAAF9yZWxzLy5yZWxzUEsBAi0AFAAGAAgAAAAhAOWPcevEAAAA3gAAAA8A&#10;AAAAAAAAAAAAAAAABwIAAGRycy9kb3ducmV2LnhtbFBLBQYAAAAAAwADALcAAAD4AgAAAAA=&#10;" filled="f" stroked="f">
                  <v:textbox inset="0,0,0,0">
                    <w:txbxContent>
                      <w:p w14:paraId="42CCE0DE" w14:textId="77777777" w:rsidR="00B32EF2" w:rsidRDefault="00000000">
                        <w:r>
                          <w:rPr>
                            <w:rFonts w:ascii="Arial" w:eastAsia="Arial" w:hAnsi="Arial" w:cs="Arial"/>
                            <w:sz w:val="18"/>
                          </w:rPr>
                          <w:t>quanto ai fatti medesimi.</w:t>
                        </w:r>
                      </w:p>
                    </w:txbxContent>
                  </v:textbox>
                </v:rect>
                <v:rect id="Rectangle 199701" o:spid="_x0000_s1422" style="position:absolute;left:26111;top:5840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jpxxAAAAN8AAAAPAAAAZHJzL2Rvd25yZXYueG1sRE/LisIw&#10;FN0P+A/hCu7G1Fk4Wo0iikwXsxkf4PLSXNtqcxOaaKtfPxkYcHk47/myM7W4U+MrywpGwwQEcW51&#10;xYWCw377PgHhA7LG2jIpeJCH5aL3NsdU25Z/6L4LhYgh7FNUUIbgUil9XpJBP7SOOHJn2xgMETaF&#10;1A22MdzU8iNJxtJgxbGhREfrkvLr7mYUnDbssm0r8/Nz7b4v2aT+uh2OSg363WoGIlAXXuJ/d6bj&#10;/On0MxnB358IQC5+AQAA//8DAFBLAQItABQABgAIAAAAIQDb4fbL7gAAAIUBAAATAAAAAAAAAAAA&#10;AAAAAAAAAABbQ29udGVudF9UeXBlc10ueG1sUEsBAi0AFAAGAAgAAAAhAFr0LFu/AAAAFQEAAAsA&#10;AAAAAAAAAAAAAAAAHwEAAF9yZWxzLy5yZWxzUEsBAi0AFAAGAAgAAAAhAMXKOnHEAAAA3wAAAA8A&#10;AAAAAAAAAAAAAAAABwIAAGRycy9kb3ducmV2LnhtbFBLBQYAAAAAAwADALcAAAD4AgAAAAA=&#10;" filled="f" stroked="f">
                  <v:textbox inset="0,0,0,0">
                    <w:txbxContent>
                      <w:p w14:paraId="2670E004" w14:textId="77777777" w:rsidR="00B32EF2" w:rsidRDefault="00000000">
                        <w:r>
                          <w:rPr>
                            <w:rFonts w:ascii="Arial" w:eastAsia="Arial" w:hAnsi="Arial" w:cs="Arial"/>
                            <w:sz w:val="18"/>
                          </w:rPr>
                          <w:t>2</w:t>
                        </w:r>
                      </w:p>
                    </w:txbxContent>
                  </v:textbox>
                </v:rect>
                <v:rect id="Rectangle 199702" o:spid="_x0000_s1423" style="position:absolute;left:-13815;top:5840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KQGxAAAAN8AAAAPAAAAZHJzL2Rvd25yZXYueG1sRE/LisIw&#10;FN0L/kO4wuw0HRczWo0yKGIXsxkf4PLSXNtqcxOaaKtfPxkYcHk47/myM7W4U+MrywreRwkI4tzq&#10;igsFh/1mOAHhA7LG2jIpeJCH5aLfm2Oqbcs/dN+FQsQQ9ikqKENwqZQ+L8mgH1lHHLmzbQyGCJtC&#10;6gbbGG5qOU6SD2mw4thQoqNVSfl1dzMKTmt22aaV+fm5ct+XbFJvb4ejUm+D7msGIlAXXuJ/d6bj&#10;/On0MxnD358IQC5+AQAA//8DAFBLAQItABQABgAIAAAAIQDb4fbL7gAAAIUBAAATAAAAAAAAAAAA&#10;AAAAAAAAAABbQ29udGVudF9UeXBlc10ueG1sUEsBAi0AFAAGAAgAAAAhAFr0LFu/AAAAFQEAAAsA&#10;AAAAAAAAAAAAAAAAHwEAAF9yZWxzLy5yZWxzUEsBAi0AFAAGAAgAAAAhADUYpAbEAAAA3wAAAA8A&#10;AAAAAAAAAAAAAAAABwIAAGRycy9kb3ducmV2LnhtbFBLBQYAAAAAAwADALcAAAD4AgAAAAA=&#10;" filled="f" stroked="f">
                  <v:textbox inset="0,0,0,0">
                    <w:txbxContent>
                      <w:p w14:paraId="108007C5" w14:textId="77777777" w:rsidR="00B32EF2" w:rsidRDefault="00000000">
                        <w:r>
                          <w:rPr>
                            <w:rFonts w:ascii="Arial" w:eastAsia="Arial" w:hAnsi="Arial" w:cs="Arial"/>
                            <w:sz w:val="18"/>
                          </w:rPr>
                          <w:t xml:space="preserve">. La sentenza penale irrevocabile di cui al comma 1 può essere depositata </w:t>
                        </w:r>
                      </w:p>
                    </w:txbxContent>
                  </v:textbox>
                </v:rect>
                <v:rect id="Rectangle 14617" o:spid="_x0000_s1424" style="position:absolute;left:-13170;top:5700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UoHxAAAAN4AAAAPAAAAZHJzL2Rvd25yZXYueG1sRE9Li8Iw&#10;EL4v7H8Is+BtTV1EpRplcZHtwcv6AI9DM7bVZhKaaKu/3iwI3ubje85s0ZlaXKnxlWUFg34Cgji3&#10;uuJCwW67+pyA8AFZY22ZFNzIw2L+/jbDVNuW/+i6CYWIIexTVFCG4FIpfV6SQd+3jjhyR9sYDBE2&#10;hdQNtjHc1PIrSUbSYMWxoURHy5Ly8+ZiFBx+2GWrVubH+9KtT9mk/r3s9kr1PrrvKYhAXXiJn+5M&#10;x/nD0WAM/+/EG+T8AQAA//8DAFBLAQItABQABgAIAAAAIQDb4fbL7gAAAIUBAAATAAAAAAAAAAAA&#10;AAAAAAAAAABbQ29udGVudF9UeXBlc10ueG1sUEsBAi0AFAAGAAgAAAAhAFr0LFu/AAAAFQEAAAsA&#10;AAAAAAAAAAAAAAAAHwEAAF9yZWxzLy5yZWxzUEsBAi0AFAAGAAgAAAAhAHoRSgfEAAAA3gAAAA8A&#10;AAAAAAAAAAAAAAAABwIAAGRycy9kb3ducmV2LnhtbFBLBQYAAAAAAwADALcAAAD4AgAAAAA=&#10;" filled="f" stroked="f">
                  <v:textbox inset="0,0,0,0">
                    <w:txbxContent>
                      <w:p w14:paraId="6F77B815" w14:textId="77777777" w:rsidR="00B32EF2" w:rsidRDefault="00000000">
                        <w:r>
                          <w:rPr>
                            <w:rFonts w:ascii="Arial" w:eastAsia="Arial" w:hAnsi="Arial" w:cs="Arial"/>
                            <w:sz w:val="18"/>
                          </w:rPr>
                          <w:t xml:space="preserve">anche nel giudizio di Cassazione fino a quindici giorni prima dell’udienza o </w:t>
                        </w:r>
                      </w:p>
                    </w:txbxContent>
                  </v:textbox>
                </v:rect>
                <v:rect id="Rectangle 14618" o:spid="_x0000_s1425" style="position:absolute;left:14846;top:55612;width:250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t51xwAAAN4AAAAPAAAAZHJzL2Rvd25yZXYueG1sRI9Pa8JA&#10;EMXvhX6HZYTe6sZSRFJXEYs0h178Bz0O2TGJZmeX7GrSfvrOQfA2w3vz3m/my8G16kZdbDwbmIwz&#10;UMSltw1XBg77zesMVEzIFlvPZOCXIiwXz09zzK3veUu3XaqUhHDM0UCdUsi1jmVNDuPYB2LRTr5z&#10;mGTtKm077CXctfoty6baYcPSUGOgdU3lZXd1Bn4+ORSbXpenv3X4Phez9ut6OBrzMhpWH6ASDelh&#10;vl8XVvDfpxPhlXdkBr34BwAA//8DAFBLAQItABQABgAIAAAAIQDb4fbL7gAAAIUBAAATAAAAAAAA&#10;AAAAAAAAAAAAAABbQ29udGVudF9UeXBlc10ueG1sUEsBAi0AFAAGAAgAAAAhAFr0LFu/AAAAFQEA&#10;AAsAAAAAAAAAAAAAAAAAHwEAAF9yZWxzLy5yZWxzUEsBAi0AFAAGAAgAAAAhAAuO3nXHAAAA3gAA&#10;AA8AAAAAAAAAAAAAAAAABwIAAGRycy9kb3ducmV2LnhtbFBLBQYAAAAAAwADALcAAAD7AgAAAAA=&#10;" filled="f" stroked="f">
                  <v:textbox inset="0,0,0,0">
                    <w:txbxContent>
                      <w:p w14:paraId="015A946E" w14:textId="77777777" w:rsidR="00B32EF2" w:rsidRDefault="00000000">
                        <w:r>
                          <w:rPr>
                            <w:rFonts w:ascii="Arial" w:eastAsia="Arial" w:hAnsi="Arial" w:cs="Arial"/>
                            <w:sz w:val="18"/>
                          </w:rPr>
                          <w:t>dell’adunanza in camera di consiglio.</w:t>
                        </w:r>
                      </w:p>
                    </w:txbxContent>
                  </v:textbox>
                </v:rect>
                <v:rect id="Rectangle 199700" o:spid="_x0000_s1426" style="position:absolute;left:-13814;top:54215;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qxAAAAN8AAAAPAAAAZHJzL2Rvd25yZXYueG1sRE87b8Iw&#10;EN6R+h+sq9QNnHZoIWAQokLN0IVHpY6n+EgC8dmKDUn767mhUsdP33uxGlyrbtTFxrOB50kGirj0&#10;tuHKwPGwHU9BxYRssfVMBn4owmr5MFpgbn3PO7rtU6UkhGOOBuqUQq51LGtyGCc+EAt38p3DJLCr&#10;tO2wl3DX6pcse9UOG5aGGgNtaiov+6sz8P3Oodj2ujz9bsLnuZi2H9fjlzFPj8N6DirRkP7Ff+7C&#10;yvzZ7C2TB/JHAOjlHQAA//8DAFBLAQItABQABgAIAAAAIQDb4fbL7gAAAIUBAAATAAAAAAAAAAAA&#10;AAAAAAAAAABbQ29udGVudF9UeXBlc10ueG1sUEsBAi0AFAAGAAgAAAAhAFr0LFu/AAAAFQEAAAsA&#10;AAAAAAAAAAAAAAAAHwEAAF9yZWxzLy5yZWxzUEsBAi0AFAAGAAgAAAAhAKqGn+rEAAAA3wAAAA8A&#10;AAAAAAAAAAAAAAAABwIAAGRycy9kb3ducmV2LnhtbFBLBQYAAAAAAwADALcAAAD4AgAAAAA=&#10;" filled="f" stroked="f">
                  <v:textbox inset="0,0,0,0">
                    <w:txbxContent>
                      <w:p w14:paraId="22EEDA10" w14:textId="77777777" w:rsidR="00B32EF2" w:rsidRDefault="00000000">
                        <w:r>
                          <w:rPr>
                            <w:rFonts w:ascii="Arial" w:eastAsia="Arial" w:hAnsi="Arial" w:cs="Arial"/>
                            <w:sz w:val="18"/>
                          </w:rPr>
                          <w:t xml:space="preserve">. Le disposizioni dei commi 1 e 2 si applicano, limitatamente alle ipotesi di </w:t>
                        </w:r>
                      </w:p>
                    </w:txbxContent>
                  </v:textbox>
                </v:rect>
                <v:rect id="Rectangle 199699" o:spid="_x0000_s1427" style="position:absolute;left:26111;top:5421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6xtxAAAAN8AAAAPAAAAZHJzL2Rvd25yZXYueG1sRE/Pa8Iw&#10;FL4L/g/hDXbTdB7EdkYRRexhl2kFj4/m2XY2L6GJtttfvwwGHj++38v1YFrxoM43lhW8TRMQxKXV&#10;DVcKitN+sgDhA7LG1jIp+CYP69V4tMRM254/6XEMlYgh7DNUUIfgMil9WZNBP7WOOHJX2xkMEXaV&#10;1B32Mdy0cpYkc2mw4dhQo6NtTeXteDcKLjt2+b6X5fVn6z6+8kV7uBdnpV5fhs07iEBDeIr/3bmO&#10;89N0nqbw9ycCkKtfAAAA//8DAFBLAQItABQABgAIAAAAIQDb4fbL7gAAAIUBAAATAAAAAAAAAAAA&#10;AAAAAAAAAABbQ29udGVudF9UeXBlc10ueG1sUEsBAi0AFAAGAAgAAAAhAFr0LFu/AAAAFQEAAAsA&#10;AAAAAAAAAAAAAAAAHwEAAF9yZWxzLy5yZWxzUEsBAi0AFAAGAAgAAAAhAKVXrG3EAAAA3wAAAA8A&#10;AAAAAAAAAAAAAAAABwIAAGRycy9kb3ducmV2LnhtbFBLBQYAAAAAAwADALcAAAD4AgAAAAA=&#10;" filled="f" stroked="f">
                  <v:textbox inset="0,0,0,0">
                    <w:txbxContent>
                      <w:p w14:paraId="1C66E236" w14:textId="77777777" w:rsidR="00B32EF2" w:rsidRDefault="00000000">
                        <w:r>
                          <w:rPr>
                            <w:rFonts w:ascii="Arial" w:eastAsia="Arial" w:hAnsi="Arial" w:cs="Arial"/>
                            <w:sz w:val="18"/>
                          </w:rPr>
                          <w:t>3</w:t>
                        </w:r>
                      </w:p>
                    </w:txbxContent>
                  </v:textbox>
                </v:rect>
                <v:rect id="Rectangle 14620" o:spid="_x0000_s1428" style="position:absolute;left:-13175;top:52819;width:531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BjOxwAAAN4AAAAPAAAAZHJzL2Rvd25yZXYueG1sRI9Ba8JA&#10;EIXvQv/DMoXedFMpIqmrFIs0h16qEXocsmOSNju7ZFeT+uudQ8HbDPPmvfetNqPr1IX62Ho28DzL&#10;QBFX3rZcGygPu+kSVEzIFjvPZOCPImzWD5MV5tYP/EWXfaqVmHDM0UCTUsi1jlVDDuPMB2K5nXzv&#10;MMna19r2OIi56/Q8yxbaYcuS0GCgbUPV7/7sDHy/cyh2g65O1234/CmW3ce5PBrz9Di+vYJKNKa7&#10;+P+7sFL/ZTEXAMGRGfT6BgAA//8DAFBLAQItABQABgAIAAAAIQDb4fbL7gAAAIUBAAATAAAAAAAA&#10;AAAAAAAAAAAAAABbQ29udGVudF9UeXBlc10ueG1sUEsBAi0AFAAGAAgAAAAhAFr0LFu/AAAAFQEA&#10;AAsAAAAAAAAAAAAAAAAAHwEAAF9yZWxzLy5yZWxzUEsBAi0AFAAGAAgAAAAhADuUGM7HAAAA3gAA&#10;AA8AAAAAAAAAAAAAAAAABwIAAGRycy9kb3ducmV2LnhtbFBLBQYAAAAAAwADALcAAAD7AgAAAAA=&#10;" filled="f" stroked="f">
                  <v:textbox inset="0,0,0,0">
                    <w:txbxContent>
                      <w:p w14:paraId="68672F9F" w14:textId="77777777" w:rsidR="00B32EF2" w:rsidRDefault="00000000">
                        <w:r>
                          <w:rPr>
                            <w:rFonts w:ascii="Arial" w:eastAsia="Arial" w:hAnsi="Arial" w:cs="Arial"/>
                            <w:sz w:val="18"/>
                          </w:rPr>
                          <w:t xml:space="preserve">sentenza di assoluzione perché il fatto non sussiste, anche nei confronti della </w:t>
                        </w:r>
                      </w:p>
                    </w:txbxContent>
                  </v:textbox>
                </v:rect>
                <v:rect id="Rectangle 14621" o:spid="_x0000_s1429" style="position:absolute;left:-12204;top:51422;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L1VxAAAAN4AAAAPAAAAZHJzL2Rvd25yZXYueG1sRE9Li8Iw&#10;EL4v+B/CCN7WVFlEqlFEke3By/oAj0MzttVmEppoq79+s7DgbT6+58yXnanFgxpfWVYwGiYgiHOr&#10;Ky4UHA/bzykIH5A11pZJwZM8LBe9jzmm2rb8Q499KEQMYZ+igjIEl0rp85IM+qF1xJG72MZgiLAp&#10;pG6wjeGmluMkmUiDFceGEh2tS8pv+7tRcN6wy7atzC+vtdtds2n9fT+elBr0u9UMRKAuvMX/7kzH&#10;+V+T8Qj+3ok3yMUvAAAA//8DAFBLAQItABQABgAIAAAAIQDb4fbL7gAAAIUBAAATAAAAAAAAAAAA&#10;AAAAAAAAAABbQ29udGVudF9UeXBlc10ueG1sUEsBAi0AFAAGAAgAAAAhAFr0LFu/AAAAFQEAAAsA&#10;AAAAAAAAAAAAAAAAHwEAAF9yZWxzLy5yZWxzUEsBAi0AFAAGAAgAAAAhAFTYvVXEAAAA3gAAAA8A&#10;AAAAAAAAAAAAAAAABwIAAGRycy9kb3ducmV2LnhtbFBLBQYAAAAAAwADALcAAAD4AgAAAAA=&#10;" filled="f" stroked="f">
                  <v:textbox inset="0,0,0,0">
                    <w:txbxContent>
                      <w:p w14:paraId="2214F786" w14:textId="77777777" w:rsidR="00B32EF2" w:rsidRDefault="00000000">
                        <w:r>
                          <w:rPr>
                            <w:rFonts w:ascii="Arial" w:eastAsia="Arial" w:hAnsi="Arial" w:cs="Arial"/>
                            <w:sz w:val="18"/>
                          </w:rPr>
                          <w:t>persona fisica nell’interesse della quale ha agito il dipendente, il rappresen</w:t>
                        </w:r>
                      </w:p>
                    </w:txbxContent>
                  </v:textbox>
                </v:rect>
                <v:rect id="Rectangle 14622" o:spid="_x0000_s1430" style="position:absolute;left:193;top:5142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iMixAAAAN4AAAAPAAAAZHJzL2Rvd25yZXYueG1sRE9Na8JA&#10;EL0L/odlCt500yAiqauIIubQS20Ej0N2TFKzs0t2NbG/vlso9DaP9zmrzWBa8aDON5YVvM4SEMSl&#10;1Q1XCorPw3QJwgdkja1lUvAkD5v1eLTCTNueP+hxCpWIIewzVFCH4DIpfVmTQT+zjjhyV9sZDBF2&#10;ldQd9jHctDJNkoU02HBsqNHRrqbydrobBZc9u/zQy/L6vXPvX/myPd6Ls1KTl2H7BiLQEP7Ff+5c&#10;x/nzRZrC7zvxBrn+AQAA//8DAFBLAQItABQABgAIAAAAIQDb4fbL7gAAAIUBAAATAAAAAAAAAAAA&#10;AAAAAAAAAABbQ29udGVudF9UeXBlc10ueG1sUEsBAi0AFAAGAAgAAAAhAFr0LFu/AAAAFQEAAAsA&#10;AAAAAAAAAAAAAAAAHwEAAF9yZWxzLy5yZWxzUEsBAi0AFAAGAAgAAAAhAKQKIyLEAAAA3gAAAA8A&#10;AAAAAAAAAAAAAAAABwIAAGRycy9kb3ducmV2LnhtbFBLBQYAAAAAAwADALcAAAD4AgAAAAA=&#10;" filled="f" stroked="f">
                  <v:textbox inset="0,0,0,0">
                    <w:txbxContent>
                      <w:p w14:paraId="5B1774B5" w14:textId="77777777" w:rsidR="00B32EF2" w:rsidRDefault="00000000">
                        <w:r>
                          <w:rPr>
                            <w:rFonts w:ascii="Arial" w:eastAsia="Arial" w:hAnsi="Arial" w:cs="Arial"/>
                            <w:sz w:val="18"/>
                          </w:rPr>
                          <w:t>-</w:t>
                        </w:r>
                      </w:p>
                    </w:txbxContent>
                  </v:textbox>
                </v:rect>
                <v:rect id="Rectangle 14623" o:spid="_x0000_s1431" style="position:absolute;left:-13170;top:5002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oa5xAAAAN4AAAAPAAAAZHJzL2Rvd25yZXYueG1sRE9Ni8Iw&#10;EL0L/ocwgjdN1UWkaxRRxB72sq4Lexyasa02k9BEW/31m4UFb/N4n7Ncd6YWd2p8ZVnBZJyAIM6t&#10;rrhQcPrajxYgfEDWWFsmBQ/ysF71e0tMtW35k+7HUIgYwj5FBWUILpXS5yUZ9GPriCN3to3BEGFT&#10;SN1gG8NNLadJMpcGK44NJTralpRfjzej4GfHLtu3Mj8/t+7jki3qw+30rdRw0G3eQQTqwkv87850&#10;nP82n87g7514g1z9AgAA//8DAFBLAQItABQABgAIAAAAIQDb4fbL7gAAAIUBAAATAAAAAAAAAAAA&#10;AAAAAAAAAABbQ29udGVudF9UeXBlc10ueG1sUEsBAi0AFAAGAAgAAAAhAFr0LFu/AAAAFQEAAAsA&#10;AAAAAAAAAAAAAAAAHwEAAF9yZWxzLy5yZWxzUEsBAi0AFAAGAAgAAAAhAMtGhrnEAAAA3gAAAA8A&#10;AAAAAAAAAAAAAAAABwIAAGRycy9kb3ducmV2LnhtbFBLBQYAAAAAAwADALcAAAD4AgAAAAA=&#10;" filled="f" stroked="f">
                  <v:textbox inset="0,0,0,0">
                    <w:txbxContent>
                      <w:p w14:paraId="4D47D860" w14:textId="77777777" w:rsidR="00B32EF2" w:rsidRDefault="00000000">
                        <w:r>
                          <w:rPr>
                            <w:rFonts w:ascii="Arial" w:eastAsia="Arial" w:hAnsi="Arial" w:cs="Arial"/>
                            <w:sz w:val="18"/>
                          </w:rPr>
                          <w:t xml:space="preserve">tante legale o negoziale, ovvero nei confronti dell’ente e società, con o senza </w:t>
                        </w:r>
                      </w:p>
                    </w:txbxContent>
                  </v:textbox>
                </v:rect>
                <v:rect id="Rectangle 14624" o:spid="_x0000_s1432" style="position:absolute;left:-12201;top:48628;width:521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x7NxAAAAN4AAAAPAAAAZHJzL2Rvd25yZXYueG1sRE9Li8Iw&#10;EL4v+B/CCN7WVBGRahRRxB72sj7A49CMbbWZhCbaur9+s7DgbT6+5yxWnanFkxpfWVYwGiYgiHOr&#10;Ky4UnI67zxkIH5A11pZJwYs8rJa9jwWm2rb8Tc9DKEQMYZ+igjIEl0rp85IM+qF1xJG72sZgiLAp&#10;pG6wjeGmluMkmUqDFceGEh1tSsrvh4dRcNmyy3atzK8/G/d1y2b1/nE6KzXod+s5iEBdeIv/3ZmO&#10;8yfT8QT+3ok3yOUvAAAA//8DAFBLAQItABQABgAIAAAAIQDb4fbL7gAAAIUBAAATAAAAAAAAAAAA&#10;AAAAAAAAAABbQ29udGVudF9UeXBlc10ueG1sUEsBAi0AFAAGAAgAAAAhAFr0LFu/AAAAFQEAAAsA&#10;AAAAAAAAAAAAAAAAHwEAAF9yZWxzLy5yZWxzUEsBAi0AFAAGAAgAAAAhAESvHs3EAAAA3gAAAA8A&#10;AAAAAAAAAAAAAAAABwIAAGRycy9kb3ducmV2LnhtbFBLBQYAAAAAAwADALcAAAD4AgAAAAA=&#10;" filled="f" stroked="f">
                  <v:textbox inset="0,0,0,0">
                    <w:txbxContent>
                      <w:p w14:paraId="61BE20A8" w14:textId="77777777" w:rsidR="00B32EF2" w:rsidRDefault="00000000">
                        <w:r>
                          <w:rPr>
                            <w:rFonts w:ascii="Arial" w:eastAsia="Arial" w:hAnsi="Arial" w:cs="Arial"/>
                            <w:sz w:val="18"/>
                          </w:rPr>
                          <w:t>personalità giuridica, nell’interesse dei quali ha agito il rappresentante o l’am</w:t>
                        </w:r>
                      </w:p>
                    </w:txbxContent>
                  </v:textbox>
                </v:rect>
                <v:rect id="Rectangle 14625" o:spid="_x0000_s1433" style="position:absolute;left:193;top:4862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7tWxAAAAN4AAAAPAAAAZHJzL2Rvd25yZXYueG1sRE9Ni8Iw&#10;EL0L/ocwgjdNFVekaxRRxB72sq4Lexyasa02k9BEW/31m4UFb/N4n7Ncd6YWd2p8ZVnBZJyAIM6t&#10;rrhQcPrajxYgfEDWWFsmBQ/ysF71e0tMtW35k+7HUIgYwj5FBWUILpXS5yUZ9GPriCN3to3BEGFT&#10;SN1gG8NNLadJMpcGK44NJTralpRfjzej4GfHLtu3Mj8/t+7jki3qw+30rdRw0G3eQQTqwkv87850&#10;nD+bT9/g7514g1z9AgAA//8DAFBLAQItABQABgAIAAAAIQDb4fbL7gAAAIUBAAATAAAAAAAAAAAA&#10;AAAAAAAAAABbQ29udGVudF9UeXBlc10ueG1sUEsBAi0AFAAGAAgAAAAhAFr0LFu/AAAAFQEAAAsA&#10;AAAAAAAAAAAAAAAAHwEAAF9yZWxzLy5yZWxzUEsBAi0AFAAGAAgAAAAhACvju1bEAAAA3gAAAA8A&#10;AAAAAAAAAAAAAAAABwIAAGRycy9kb3ducmV2LnhtbFBLBQYAAAAAAwADALcAAAD4AgAAAAA=&#10;" filled="f" stroked="f">
                  <v:textbox inset="0,0,0,0">
                    <w:txbxContent>
                      <w:p w14:paraId="19BDDFB2" w14:textId="77777777" w:rsidR="00B32EF2" w:rsidRDefault="00000000">
                        <w:r>
                          <w:rPr>
                            <w:rFonts w:ascii="Arial" w:eastAsia="Arial" w:hAnsi="Arial" w:cs="Arial"/>
                            <w:sz w:val="18"/>
                          </w:rPr>
                          <w:t>-</w:t>
                        </w:r>
                      </w:p>
                    </w:txbxContent>
                  </v:textbox>
                </v:rect>
                <v:rect id="Rectangle 14626" o:spid="_x0000_s1434" style="position:absolute;left:-9281;top:47232;width:492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SUhxAAAAN4AAAAPAAAAZHJzL2Rvd25yZXYueG1sRE9Na8JA&#10;EL0X/A/LFLzVTaUESV1FFGkOXqoRPA7ZMUnNzi7Z1UR/fbdQ8DaP9znz5WBacaPON5YVvE8SEMSl&#10;1Q1XCorD9m0Gwgdkja1lUnAnD8vF6GWOmbY9f9NtHyoRQ9hnqKAOwWVS+rImg35iHXHkzrYzGCLs&#10;Kqk77GO4aeU0SVJpsOHYUKOjdU3lZX81Ck4bdvm2l+X5sXa7n3zWfl2Lo1Lj12H1CSLQEJ7if3eu&#10;4/yPdJrC3zvxBrn4BQAA//8DAFBLAQItABQABgAIAAAAIQDb4fbL7gAAAIUBAAATAAAAAAAAAAAA&#10;AAAAAAAAAABbQ29udGVudF9UeXBlc10ueG1sUEsBAi0AFAAGAAgAAAAhAFr0LFu/AAAAFQEAAAsA&#10;AAAAAAAAAAAAAAAAHwEAAF9yZWxzLy5yZWxzUEsBAi0AFAAGAAgAAAAhANsxJSHEAAAA3gAAAA8A&#10;AAAAAAAAAAAAAAAABwIAAGRycy9kb3ducmV2LnhtbFBLBQYAAAAAAwADALcAAAD4AgAAAAA=&#10;" filled="f" stroked="f">
                  <v:textbox inset="0,0,0,0">
                    <w:txbxContent>
                      <w:p w14:paraId="14855732" w14:textId="77777777" w:rsidR="00B32EF2" w:rsidRDefault="00000000">
                        <w:r>
                          <w:rPr>
                            <w:rFonts w:ascii="Arial" w:eastAsia="Arial" w:hAnsi="Arial" w:cs="Arial"/>
                            <w:sz w:val="18"/>
                          </w:rPr>
                          <w:t>ministratore anche di fatto, nonché nei confronti dei loro soci o associati.</w:t>
                        </w:r>
                      </w:p>
                    </w:txbxContent>
                  </v:textbox>
                </v:rect>
                <v:rect id="Rectangle 14627" o:spid="_x0000_s1435" style="position:absolute;left:14667;top:43367;width:87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YC6xAAAAN4AAAAPAAAAZHJzL2Rvd25yZXYueG1sRE9Ni8Iw&#10;EL0L/ocwgjdNFXGlaxRRxB72sq4Lexyasa02k9BEW/31m4UFb/N4n7Ncd6YWd2p8ZVnBZJyAIM6t&#10;rrhQcPrajxYgfEDWWFsmBQ/ysF71e0tMtW35k+7HUIgYwj5FBWUILpXS5yUZ9GPriCN3to3BEGFT&#10;SN1gG8NNLadJMpcGK44NJTralpRfjzej4GfHLtu3Mj8/t+7jki3qw+30rdRw0G3eQQTqwkv87850&#10;nD+bT9/g7514g1z9AgAA//8DAFBLAQItABQABgAIAAAAIQDb4fbL7gAAAIUBAAATAAAAAAAAAAAA&#10;AAAAAAAAAABbQ29udGVudF9UeXBlc10ueG1sUEsBAi0AFAAGAAgAAAAhAFr0LFu/AAAAFQEAAAsA&#10;AAAAAAAAAAAAAAAAHwEAAF9yZWxzLy5yZWxzUEsBAi0AFAAGAAgAAAAhALR9gLrEAAAA3gAAAA8A&#10;AAAAAAAAAAAAAAAABwIAAGRycy9kb3ducmV2LnhtbFBLBQYAAAAAAwADALcAAAD4AgAAAAA=&#10;" filled="f" stroked="f">
                  <v:textbox inset="0,0,0,0">
                    <w:txbxContent>
                      <w:p w14:paraId="66B36C80" w14:textId="77777777" w:rsidR="00B32EF2" w:rsidRDefault="00000000">
                        <w:r>
                          <w:rPr>
                            <w:rFonts w:ascii="Arial" w:eastAsia="Arial" w:hAnsi="Arial" w:cs="Arial"/>
                            <w:b/>
                            <w:sz w:val="18"/>
                          </w:rPr>
                          <w:t>SEZIONE IV</w:t>
                        </w:r>
                      </w:p>
                    </w:txbxContent>
                  </v:textbox>
                </v:rect>
                <v:rect id="Rectangle 14628" o:spid="_x0000_s1436" style="position:absolute;left:11197;top:42134;width:142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hTIxwAAAN4AAAAPAAAAZHJzL2Rvd25yZXYueG1sRI9Ba8JA&#10;EIXvQv/DMoXedFMpIqmrFIs0h16qEXocsmOSNju7ZFeT+uudQ8HbDO/Ne9+sNqPr1IX62Ho28DzL&#10;QBFX3rZcGygPu+kSVEzIFjvPZOCPImzWD5MV5tYP/EWXfaqVhHDM0UCTUsi1jlVDDuPMB2LRTr53&#10;mGTta217HCTcdXqeZQvtsGVpaDDQtqHqd392Br7fORS7QVen6zZ8/hTL7uNcHo15ehzfXkElGtPd&#10;/H9dWMF/WcyFV96RGfT6BgAA//8DAFBLAQItABQABgAIAAAAIQDb4fbL7gAAAIUBAAATAAAAAAAA&#10;AAAAAAAAAAAAAABbQ29udGVudF9UeXBlc10ueG1sUEsBAi0AFAAGAAgAAAAhAFr0LFu/AAAAFQEA&#10;AAsAAAAAAAAAAAAAAAAAHwEAAF9yZWxzLy5yZWxzUEsBAi0AFAAGAAgAAAAhAMXiFMjHAAAA3gAA&#10;AA8AAAAAAAAAAAAAAAAABwIAAGRycy9kb3ducmV2LnhtbFBLBQYAAAAAAwADALcAAAD7AgAAAAA=&#10;" filled="f" stroked="f">
                  <v:textbox inset="0,0,0,0">
                    <w:txbxContent>
                      <w:p w14:paraId="66741929" w14:textId="77777777" w:rsidR="00B32EF2" w:rsidRDefault="00000000">
                        <w:r>
                          <w:rPr>
                            <w:rFonts w:ascii="Arial" w:eastAsia="Arial" w:hAnsi="Arial" w:cs="Arial"/>
                            <w:b/>
                            <w:sz w:val="18"/>
                          </w:rPr>
                          <w:t xml:space="preserve"> LA REVOCAZIONE</w:t>
                        </w:r>
                      </w:p>
                    </w:txbxContent>
                  </v:textbox>
                </v:rect>
                <v:rect id="Rectangle 14629" o:spid="_x0000_s1437" style="position:absolute;left:14571;top:38434;width:89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FTxAAAAN4AAAAPAAAAZHJzL2Rvd25yZXYueG1sRE9Li8Iw&#10;EL4v+B/CCN7WdEVEq1EWF9ke9uILPA7N2FabSWiirf76jbCwt/n4nrNYdaYWd2p8ZVnBxzABQZxb&#10;XXGh4LDfvE9B+ICssbZMCh7kYbXsvS0w1bblLd13oRAxhH2KCsoQXCqlz0sy6IfWEUfubBuDIcKm&#10;kLrBNoabWo6SZCINVhwbSnS0Lim/7m5GwemLXbZpZX5+rt3PJZvW37fDUalBv/ucgwjUhX/xnzvT&#10;cf54MprB6514g1z+AgAA//8DAFBLAQItABQABgAIAAAAIQDb4fbL7gAAAIUBAAATAAAAAAAAAAAA&#10;AAAAAAAAAABbQ29udGVudF9UeXBlc10ueG1sUEsBAi0AFAAGAAgAAAAhAFr0LFu/AAAAFQEAAAsA&#10;AAAAAAAAAAAAAAAAHwEAAF9yZWxzLy5yZWxzUEsBAi0AFAAGAAgAAAAhAKqusVPEAAAA3gAAAA8A&#10;AAAAAAAAAAAAAAAABwIAAGRycy9kb3ducmV2LnhtbFBLBQYAAAAAAwADALcAAAD4AgAAAAA=&#10;" filled="f" stroked="f">
                  <v:textbox inset="0,0,0,0">
                    <w:txbxContent>
                      <w:p w14:paraId="14EF1BFA" w14:textId="77777777" w:rsidR="00B32EF2" w:rsidRDefault="00000000">
                        <w:r>
                          <w:rPr>
                            <w:rFonts w:ascii="Arial" w:eastAsia="Arial" w:hAnsi="Arial" w:cs="Arial"/>
                            <w:b/>
                            <w:sz w:val="18"/>
                          </w:rPr>
                          <w:t>Articolo 120</w:t>
                        </w:r>
                      </w:p>
                    </w:txbxContent>
                  </v:textbox>
                </v:rect>
                <v:rect id="Rectangle 199698" o:spid="_x0000_s1438" style="position:absolute;left:11612;top:37201;width:194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wn2xAAAAN8AAAAPAAAAZHJzL2Rvd25yZXYueG1sRE89b8Iw&#10;EN0r8R+sQ2IrThkQSTGoAiEydCkFqeMpPpK08dmKDUn763tDpY5P73u9HV2n7tTH1rOBp3kGirjy&#10;tuXawPn98LgCFROyxc4zGfimCNvN5GGNhfUDv9H9lGolIRwLNNCkFAqtY9WQwzj3gVi4q+8dJoF9&#10;rW2Pg4S7Ti+ybKkdtiwNDQbaNVR9nW7OwMeeQ3kYdHX92YXXz3LVHW/nizGz6fjyDCrRmP7Ff+7S&#10;yvw8X+YyWP4IAL35BQAA//8DAFBLAQItABQABgAIAAAAIQDb4fbL7gAAAIUBAAATAAAAAAAAAAAA&#10;AAAAAAAAAABbQ29udGVudF9UeXBlc10ueG1sUEsBAi0AFAAGAAgAAAAhAFr0LFu/AAAAFQEAAAsA&#10;AAAAAAAAAAAAAAAAHwEAAF9yZWxzLy5yZWxzUEsBAi0AFAAGAAgAAAAhAMobCfbEAAAA3wAAAA8A&#10;AAAAAAAAAAAAAAAABwIAAGRycy9kb3ducmV2LnhtbFBLBQYAAAAAAwADALcAAAD4AgAAAAA=&#10;" filled="f" stroked="f">
                  <v:textbox inset="0,0,0,0">
                    <w:txbxContent>
                      <w:p w14:paraId="09D9CE8D" w14:textId="77777777" w:rsidR="00B32EF2" w:rsidRDefault="00000000">
                        <w:r>
                          <w:rPr>
                            <w:rFonts w:ascii="Arial" w:eastAsia="Arial" w:hAnsi="Arial" w:cs="Arial"/>
                            <w:i/>
                            <w:sz w:val="18"/>
                          </w:rPr>
                          <w:t xml:space="preserve">articolo 64 D.lgs. n. </w:t>
                        </w:r>
                      </w:p>
                    </w:txbxContent>
                  </v:textbox>
                </v:rect>
                <v:rect id="Rectangle 199697" o:spid="_x0000_s1439" style="position:absolute;left:-2661;top:37201;width:194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2ExAAAAN8AAAAPAAAAZHJzL2Rvd25yZXYueG1sRE/Pa8Iw&#10;FL4L/g/hCd40nQe1nVGGIvbgZc7Bjo/m2Vabl9BE2+2vXwYDjx/f79WmN414UOtrywpepgkI4sLq&#10;mksF54/9ZAnCB2SNjWVS8E0eNuvhYIWZth2/0+MUShFD2GeooArBZVL6oiKDfmodceQutjUYImxL&#10;qVvsYrhp5CxJ5tJgzbGhQkfbiorb6W4UfO3Y5ftOFpefrTte82VzuJ8/lRqP+rdXEIH68BT/u3Md&#10;56fpPF3A358IQK5/AQAA//8DAFBLAQItABQABgAIAAAAIQDb4fbL7gAAAIUBAAATAAAAAAAAAAAA&#10;AAAAAAAAAABbQ29udGVudF9UeXBlc10ueG1sUEsBAi0AFAAGAAgAAAAhAFr0LFu/AAAAFQEAAAsA&#10;AAAAAAAAAAAAAAAAHwEAAF9yZWxzLy5yZWxzUEsBAi0AFAAGAAgAAAAhALuEnYTEAAAA3wAAAA8A&#10;AAAAAAAAAAAAAAAABwIAAGRycy9kb3ducmV2LnhtbFBLBQYAAAAAAwADALcAAAD4AgAAAAA=&#10;" filled="f" stroked="f">
                  <v:textbox inset="0,0,0,0">
                    <w:txbxContent>
                      <w:p w14:paraId="3A132365" w14:textId="77777777" w:rsidR="00B32EF2" w:rsidRDefault="00000000">
                        <w:r>
                          <w:rPr>
                            <w:rFonts w:ascii="Arial" w:eastAsia="Arial" w:hAnsi="Arial" w:cs="Arial"/>
                            <w:i/>
                            <w:sz w:val="18"/>
                          </w:rPr>
                          <w:t>546/92)</w:t>
                        </w:r>
                      </w:p>
                    </w:txbxContent>
                  </v:textbox>
                </v:rect>
                <v:rect id="Rectangle 199696" o:spid="_x0000_s1440" style="position:absolute;left:22224;top:37201;width:194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DgfxAAAAN8AAAAPAAAAZHJzL2Rvd25yZXYueG1sRE/Pa8Iw&#10;FL4P/B/CE3abqTsUW02LKLIedplzsOOjebbV5iU00Xb765fBYMeP7/emnEwv7jT4zrKC5SIBQVxb&#10;3XGj4PR+eFqB8AFZY2+ZFHyRh7KYPWww13bkN7ofQyNiCPscFbQhuFxKX7dk0C+sI47c2Q4GQ4RD&#10;I/WAYww3vXxOklQa7Dg2tOho11J9Pd6Mgs89u+owyvr8vXOvl2rVv9xOH0o9zqftGkSgKfyL/9yV&#10;jvOzLM1S+P0TAcjiBwAA//8DAFBLAQItABQABgAIAAAAIQDb4fbL7gAAAIUBAAATAAAAAAAAAAAA&#10;AAAAAAAAAABbQ29udGVudF9UeXBlc10ueG1sUEsBAi0AFAAGAAgAAAAhAFr0LFu/AAAAFQEAAAsA&#10;AAAAAAAAAAAAAAAAHwEAAF9yZWxzLy5yZWxzUEsBAi0AFAAGAAgAAAAhANTIOB/EAAAA3wAAAA8A&#10;AAAAAAAAAAAAAAAABwIAAGRycy9kb3ducmV2LnhtbFBLBQYAAAAAAwADALcAAAD4AgAAAAA=&#10;" filled="f" stroked="f">
                  <v:textbox inset="0,0,0,0">
                    <w:txbxContent>
                      <w:p w14:paraId="709FF073" w14:textId="77777777" w:rsidR="00B32EF2" w:rsidRDefault="00000000">
                        <w:r>
                          <w:rPr>
                            <w:rFonts w:ascii="Arial" w:eastAsia="Arial" w:hAnsi="Arial" w:cs="Arial"/>
                            <w:i/>
                            <w:sz w:val="18"/>
                          </w:rPr>
                          <w:t>(</w:t>
                        </w:r>
                      </w:p>
                    </w:txbxContent>
                  </v:textbox>
                </v:rect>
                <v:rect id="Rectangle 14631" o:spid="_x0000_s1441" style="position:absolute;left:-210;top:35967;width:323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SuIxAAAAN4AAAAPAAAAZHJzL2Rvd25yZXYueG1sRE9Li8Iw&#10;EL4v7H8Is+BtTdVFpBplcRF72Isv8Dg0Y1ttJqGJtvrrzcKCt/n4njNbdKYWN2p8ZVnBoJ+AIM6t&#10;rrhQsN+tPicgfEDWWFsmBXfysJi/v80w1bblDd22oRAxhH2KCsoQXCqlz0sy6PvWEUfuZBuDIcKm&#10;kLrBNoabWg6TZCwNVhwbSnS0LCm/bK9GwfGHXbZqZX56LN3vOZvU6+v+oFTvo/ueggjUhZf4353p&#10;OP9rPBrA3zvxBjl/AgAA//8DAFBLAQItABQABgAIAAAAIQDb4fbL7gAAAIUBAAATAAAAAAAAAAAA&#10;AAAAAAAAAABbQ29udGVudF9UeXBlc10ueG1sUEsBAi0AFAAGAAgAAAAhAFr0LFu/AAAAFQEAAAsA&#10;AAAAAAAAAAAAAAAAHwEAAF9yZWxzLy5yZWxzUEsBAi0AFAAGAAgAAAAhANEBK4jEAAAA3gAAAA8A&#10;AAAAAAAAAAAAAAAABwIAAGRycy9kb3ducmV2LnhtbFBLBQYAAAAAAwADALcAAAD4AgAAAAA=&#10;" filled="f" stroked="f">
                  <v:textbox inset="0,0,0,0">
                    <w:txbxContent>
                      <w:p w14:paraId="013DCA2F" w14:textId="77777777" w:rsidR="00B32EF2" w:rsidRDefault="00000000">
                        <w:r>
                          <w:rPr>
                            <w:rFonts w:ascii="Arial" w:eastAsia="Arial" w:hAnsi="Arial" w:cs="Arial"/>
                            <w:b/>
                            <w:sz w:val="18"/>
                          </w:rPr>
                          <w:t xml:space="preserve">Sentenze revocabili e motivi di revocazione </w:t>
                        </w:r>
                      </w:p>
                    </w:txbxContent>
                  </v:textbox>
                </v:rect>
                <v:rect id="Rectangle 199694" o:spid="_x0000_s1442" style="position:absolute;left:26111;top:347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gPzxAAAAN8AAAAPAAAAZHJzL2Rvd25yZXYueG1sRE/Pa8Iw&#10;FL4L/g/hCd40VYbYziiiyHrYZc7Bjo/m2XZrXkITbd1fvwiCx4/v92rTm0ZcqfW1ZQWzaQKCuLC6&#10;5lLB6fMwWYLwAVljY5kU3MjDZj0crDDTtuMPuh5DKWII+wwVVCG4TEpfVGTQT60jjtzZtgZDhG0p&#10;dYtdDDeNnCfJQhqsOTZU6GhXUfF7vBgF33t2+aGTxflv595/8mXzdjl9KTUe9dtXEIH68BQ/3LmO&#10;89N0kb7A/U8EINf/AAAA//8DAFBLAQItABQABgAIAAAAIQDb4fbL7gAAAIUBAAATAAAAAAAAAAAA&#10;AAAAAAAAAABbQ29udGVudF9UeXBlc10ueG1sUEsBAi0AFAAGAAgAAAAhAFr0LFu/AAAAFQEAAAsA&#10;AAAAAAAAAAAAAAAAHwEAAF9yZWxzLy5yZWxzUEsBAi0AFAAGAAgAAAAhAEtWA/PEAAAA3wAAAA8A&#10;AAAAAAAAAAAAAAAABwIAAGRycy9kb3ducmV2LnhtbFBLBQYAAAAAAwADALcAAAD4AgAAAAA=&#10;" filled="f" stroked="f">
                  <v:textbox inset="0,0,0,0">
                    <w:txbxContent>
                      <w:p w14:paraId="2A5BD319" w14:textId="77777777" w:rsidR="00B32EF2" w:rsidRDefault="00000000">
                        <w:r>
                          <w:rPr>
                            <w:rFonts w:ascii="Arial" w:eastAsia="Arial" w:hAnsi="Arial" w:cs="Arial"/>
                            <w:sz w:val="18"/>
                          </w:rPr>
                          <w:t>1</w:t>
                        </w:r>
                      </w:p>
                    </w:txbxContent>
                  </v:textbox>
                </v:rect>
                <v:rect id="Rectangle 199695" o:spid="_x0000_s1443" style="position:absolute;left:-13761;top:34734;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qZoxAAAAN8AAAAPAAAAZHJzL2Rvd25yZXYueG1sRE/Pa8Iw&#10;FL4L/g/hCd40VZjYziiiyHrYZc7Bjo/m2XZrXkITbd1fvwiCx4/v92rTm0ZcqfW1ZQWzaQKCuLC6&#10;5lLB6fMwWYLwAVljY5kU3MjDZj0crDDTtuMPuh5DKWII+wwVVCG4TEpfVGTQT60jjtzZtgZDhG0p&#10;dYtdDDeNnCfJQhqsOTZU6GhXUfF7vBgF33t2+aGTxflv595/8mXzdjl9KTUe9dtXEIH68BQ/3LmO&#10;89N0kb7A/U8EINf/AAAA//8DAFBLAQItABQABgAIAAAAIQDb4fbL7gAAAIUBAAATAAAAAAAAAAAA&#10;AAAAAAAAAABbQ29udGVudF9UeXBlc10ueG1sUEsBAi0AFAAGAAgAAAAhAFr0LFu/AAAAFQEAAAsA&#10;AAAAAAAAAAAAAAAAHwEAAF9yZWxzLy5yZWxzUEsBAi0AFAAGAAgAAAAhACQapmjEAAAA3wAAAA8A&#10;AAAAAAAAAAAAAAAABwIAAGRycy9kb3ducmV2LnhtbFBLBQYAAAAAAwADALcAAAD4AgAAAAA=&#10;" filled="f" stroked="f">
                  <v:textbox inset="0,0,0,0">
                    <w:txbxContent>
                      <w:p w14:paraId="60DAD014" w14:textId="77777777" w:rsidR="00B32EF2" w:rsidRDefault="00000000">
                        <w:r>
                          <w:rPr>
                            <w:rFonts w:ascii="Arial" w:eastAsia="Arial" w:hAnsi="Arial" w:cs="Arial"/>
                            <w:sz w:val="18"/>
                          </w:rPr>
                          <w:t xml:space="preserve">. Le sentenze pronunciate in grado d’appello o in unico grado dalle corti di </w:t>
                        </w:r>
                      </w:p>
                    </w:txbxContent>
                  </v:textbox>
                </v:rect>
                <v:rect id="Rectangle 14633" o:spid="_x0000_s1444" style="position:absolute;left:-13170;top:3350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xBkxAAAAN4AAAAPAAAAZHJzL2Rvd25yZXYueG1sRE9Ni8Iw&#10;EL0L/ocwgjdN1UWkaxRRxB72sq4Lexyasa02k9BEW/31m4UFb/N4n7Ncd6YWd2p8ZVnBZJyAIM6t&#10;rrhQcPrajxYgfEDWWFsmBQ/ysF71e0tMtW35k+7HUIgYwj5FBWUILpXS5yUZ9GPriCN3to3BEGFT&#10;SN1gG8NNLadJMpcGK44NJTralpRfjzej4GfHLtu3Mj8/t+7jki3qw+30rdRw0G3eQQTqwkv87850&#10;nP82n83g7514g1z9AgAA//8DAFBLAQItABQABgAIAAAAIQDb4fbL7gAAAIUBAAATAAAAAAAAAAAA&#10;AAAAAAAAAABbQ29udGVudF9UeXBlc10ueG1sUEsBAi0AFAAGAAgAAAAhAFr0LFu/AAAAFQEAAAsA&#10;AAAAAAAAAAAAAAAAHwEAAF9yZWxzLy5yZWxzUEsBAi0AFAAGAAgAAAAhAE6fEGTEAAAA3gAAAA8A&#10;AAAAAAAAAAAAAAAABwIAAGRycy9kb3ducmV2LnhtbFBLBQYAAAAAAwADALcAAAD4AgAAAAA=&#10;" filled="f" stroked="f">
                  <v:textbox inset="0,0,0,0">
                    <w:txbxContent>
                      <w:p w14:paraId="11B67EDD" w14:textId="77777777" w:rsidR="00B32EF2" w:rsidRDefault="00000000">
                        <w:r>
                          <w:rPr>
                            <w:rFonts w:ascii="Arial" w:eastAsia="Arial" w:hAnsi="Arial" w:cs="Arial"/>
                            <w:sz w:val="18"/>
                          </w:rPr>
                          <w:t xml:space="preserve">giustizia tributaria di primo e secondo grado possono essere impugnate ai </w:t>
                        </w:r>
                      </w:p>
                    </w:txbxContent>
                  </v:textbox>
                </v:rect>
                <v:rect id="Rectangle 14634" o:spid="_x0000_s1445" style="position:absolute;left:4479;top:32268;width:3544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ogQxAAAAN4AAAAPAAAAZHJzL2Rvd25yZXYueG1sRE9Ni8Iw&#10;EL0L/ocwgjdNdUWkaxRRZHvwsq4Lexyasa02k9BEW/31m4UFb/N4n7Ncd6YWd2p8ZVnBZJyAIM6t&#10;rrhQcPrajxYgfEDWWFsmBQ/ysF71e0tMtW35k+7HUIgYwj5FBWUILpXS5yUZ9GPriCN3to3BEGFT&#10;SN1gG8NNLadJMpcGK44NJTralpRfjzej4GfHLtu3Mj8/t+5wyRb1x+30rdRw0G3eQQTqwkv87850&#10;nD+bv83g7514g1z9AgAA//8DAFBLAQItABQABgAIAAAAIQDb4fbL7gAAAIUBAAATAAAAAAAAAAAA&#10;AAAAAAAAAABbQ29udGVudF9UeXBlc10ueG1sUEsBAi0AFAAGAAgAAAAhAFr0LFu/AAAAFQEAAAsA&#10;AAAAAAAAAAAAAAAAHwEAAF9yZWxzLy5yZWxzUEsBAi0AFAAGAAgAAAAhAMF2iBDEAAAA3gAAAA8A&#10;AAAAAAAAAAAAAAAABwIAAGRycy9kb3ducmV2LnhtbFBLBQYAAAAAAwADALcAAAD4AgAAAAA=&#10;" filled="f" stroked="f">
                  <v:textbox inset="0,0,0,0">
                    <w:txbxContent>
                      <w:p w14:paraId="6D0726CD" w14:textId="77777777" w:rsidR="00B32EF2" w:rsidRDefault="00000000">
                        <w:r>
                          <w:rPr>
                            <w:rFonts w:ascii="Arial" w:eastAsia="Arial" w:hAnsi="Arial" w:cs="Arial"/>
                            <w:sz w:val="18"/>
                          </w:rPr>
                          <w:t>sensi dell’articolo 395 del codice di procedura civile.</w:t>
                        </w:r>
                      </w:p>
                    </w:txbxContent>
                  </v:textbox>
                </v:rect>
                <v:rect id="Rectangle 199693" o:spid="_x0000_s1446" style="position:absolute;left:-13815;top:310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5uHxAAAAN8AAAAPAAAAZHJzL2Rvd25yZXYueG1sRE/Pa8Iw&#10;FL4L/g/hCd401YHYziiiyHrYZc7Bjo/m2XZrXkITbd1fvwiCx4/v92rTm0ZcqfW1ZQWzaQKCuLC6&#10;5lLB6fMwWYLwAVljY5kU3MjDZj0crDDTtuMPuh5DKWII+wwVVCG4TEpfVGTQT60jjtzZtgZDhG0p&#10;dYtdDDeNnCfJQhqsOTZU6GhXUfF7vBgF33t2+aGTxflv595/8mXzdjl9KTUe9dtXEIH68BQ/3LmO&#10;89N0kb7A/U8EINf/AAAA//8DAFBLAQItABQABgAIAAAAIQDb4fbL7gAAAIUBAAATAAAAAAAAAAAA&#10;AAAAAAAAAABbQ29udGVudF9UeXBlc10ueG1sUEsBAi0AFAAGAAgAAAAhAFr0LFu/AAAAFQEAAAsA&#10;AAAAAAAAAAAAAAAAHwEAAF9yZWxzLy5yZWxzUEsBAi0AFAAGAAgAAAAhAMS/m4fEAAAA3wAAAA8A&#10;AAAAAAAAAAAAAAAABwIAAGRycy9kb3ducmV2LnhtbFBLBQYAAAAAAwADALcAAAD4AgAAAAA=&#10;" filled="f" stroked="f">
                  <v:textbox inset="0,0,0,0">
                    <w:txbxContent>
                      <w:p w14:paraId="335F6875" w14:textId="77777777" w:rsidR="00B32EF2" w:rsidRDefault="00000000">
                        <w:r>
                          <w:rPr>
                            <w:rFonts w:ascii="Arial" w:eastAsia="Arial" w:hAnsi="Arial" w:cs="Arial"/>
                            <w:sz w:val="18"/>
                          </w:rPr>
                          <w:t xml:space="preserve">. Le sentenze per le quali è scaduto il termine per l’appello possono essere </w:t>
                        </w:r>
                      </w:p>
                    </w:txbxContent>
                  </v:textbox>
                </v:rect>
                <v:rect id="Rectangle 199692" o:spid="_x0000_s1447" style="position:absolute;left:26111;top:310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z4cxAAAAN8AAAAPAAAAZHJzL2Rvd25yZXYueG1sRE/LisIw&#10;FN0P+A/hCrMbU12IrUYRRezCzfgAl5fm2namuQlNtB2/fjIw4PJw3otVbxrxoNbXlhWMRwkI4sLq&#10;mksF59PuYwbCB2SNjWVS8EMeVsvB2wIzbTv+pMcxlCKGsM9QQRWCy6T0RUUG/cg64sjdbGswRNiW&#10;UrfYxXDTyEmSTKXBmmNDhY42FRXfx7tRcN2yy3edLG7PjTt85bNmfz9flHof9us5iEB9eIn/3bmO&#10;89N0mk7g708EIJe/AAAA//8DAFBLAQItABQABgAIAAAAIQDb4fbL7gAAAIUBAAATAAAAAAAAAAAA&#10;AAAAAAAAAABbQ29udGVudF9UeXBlc10ueG1sUEsBAi0AFAAGAAgAAAAhAFr0LFu/AAAAFQEAAAsA&#10;AAAAAAAAAAAAAAAAHwEAAF9yZWxzLy5yZWxzUEsBAi0AFAAGAAgAAAAhAKvzPhzEAAAA3wAAAA8A&#10;AAAAAAAAAAAAAAAABwIAAGRycy9kb3ducmV2LnhtbFBLBQYAAAAAAwADALcAAAD4AgAAAAA=&#10;" filled="f" stroked="f">
                  <v:textbox inset="0,0,0,0">
                    <w:txbxContent>
                      <w:p w14:paraId="53D6755B" w14:textId="77777777" w:rsidR="00B32EF2" w:rsidRDefault="00000000">
                        <w:r>
                          <w:rPr>
                            <w:rFonts w:ascii="Arial" w:eastAsia="Arial" w:hAnsi="Arial" w:cs="Arial"/>
                            <w:sz w:val="18"/>
                          </w:rPr>
                          <w:t>2</w:t>
                        </w:r>
                      </w:p>
                    </w:txbxContent>
                  </v:textbox>
                </v:rect>
                <v:rect id="Rectangle 14636" o:spid="_x0000_s1448" style="position:absolute;left:-13169;top:29801;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LP8xQAAAN4AAAAPAAAAZHJzL2Rvd25yZXYueG1sRE9La8JA&#10;EL4X+h+WEbzVjQ+CpK5SLGIOXnwUehyyY5I2O7tkVxP99W6h4G0+vucsVr1pxJVaX1tWMB4lIIgL&#10;q2suFZyOm7c5CB+QNTaWScGNPKyWry8LzLTteE/XQyhFDGGfoYIqBJdJ6YuKDPqRdcSRO9vWYIiw&#10;LaVusYvhppGTJEmlwZpjQ4WO1hUVv4eLUfD9yS7fdLI439du95PPm+3l9KXUcNB/vIMI1Ien+N+d&#10;6zh/lk5T+Hsn3iCXDwAAAP//AwBQSwECLQAUAAYACAAAACEA2+H2y+4AAACFAQAAEwAAAAAAAAAA&#10;AAAAAAAAAAAAW0NvbnRlbnRfVHlwZXNdLnhtbFBLAQItABQABgAIAAAAIQBa9CxbvwAAABUBAAAL&#10;AAAAAAAAAAAAAAAAAB8BAABfcmVscy8ucmVsc1BLAQItABQABgAIAAAAIQBe6LP8xQAAAN4AAAAP&#10;AAAAAAAAAAAAAAAAAAcCAABkcnMvZG93bnJldi54bWxQSwUGAAAAAAMAAwC3AAAA+QIAAAAA&#10;" filled="f" stroked="f">
                  <v:textbox inset="0,0,0,0">
                    <w:txbxContent>
                      <w:p w14:paraId="5909C369" w14:textId="77777777" w:rsidR="00B32EF2" w:rsidRDefault="00000000">
                        <w:r>
                          <w:rPr>
                            <w:rFonts w:ascii="Arial" w:eastAsia="Arial" w:hAnsi="Arial" w:cs="Arial"/>
                            <w:sz w:val="18"/>
                          </w:rPr>
                          <w:t xml:space="preserve">impugnate per i motivi di cui ai numeri 1, 2, 3 e 6 dell’articolo 395 del codice di </w:t>
                        </w:r>
                      </w:p>
                    </w:txbxContent>
                  </v:textbox>
                </v:rect>
                <v:rect id="Rectangle 14637" o:spid="_x0000_s1449" style="position:absolute;left:-12207;top:28568;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BZnxQAAAN4AAAAPAAAAZHJzL2Rvd25yZXYueG1sRE9La8JA&#10;EL4L/odlBG+6aSsq0VWKRcyhl/oAj0N2TGKzs0t2NbG/vlsoeJuP7znLdWdqcafGV5YVvIwTEMS5&#10;1RUXCo6H7WgOwgdkjbVlUvAgD+tVv7fEVNuWv+i+D4WIIexTVFCG4FIpfV6SQT+2jjhyF9sYDBE2&#10;hdQNtjHc1PI1SabSYMWxoURHm5Ly7/3NKDh/sMu2rcwvPxv3ec3m9e52PCk1HHTvCxCBuvAU/7sz&#10;HedPpm8z+Hsn3iBXvwAAAP//AwBQSwECLQAUAAYACAAAACEA2+H2y+4AAACFAQAAEwAAAAAAAAAA&#10;AAAAAAAAAAAAW0NvbnRlbnRfVHlwZXNdLnhtbFBLAQItABQABgAIAAAAIQBa9CxbvwAAABUBAAAL&#10;AAAAAAAAAAAAAAAAAB8BAABfcmVscy8ucmVsc1BLAQItABQABgAIAAAAIQAxpBZnxQAAAN4AAAAP&#10;AAAAAAAAAAAAAAAAAAcCAABkcnMvZG93bnJldi54bWxQSwUGAAAAAAMAAwC3AAAA+QIAAAAA&#10;" filled="f" stroked="f">
                  <v:textbox inset="0,0,0,0">
                    <w:txbxContent>
                      <w:p w14:paraId="4DE94A7E" w14:textId="77777777" w:rsidR="00B32EF2" w:rsidRDefault="00000000">
                        <w:r>
                          <w:rPr>
                            <w:rFonts w:ascii="Arial" w:eastAsia="Arial" w:hAnsi="Arial" w:cs="Arial"/>
                            <w:sz w:val="18"/>
                          </w:rPr>
                          <w:t>procedura civile purché la scoperta del dolo o della falsità dichiarata o il recu</w:t>
                        </w:r>
                      </w:p>
                    </w:txbxContent>
                  </v:textbox>
                </v:rect>
                <v:rect id="Rectangle 14638" o:spid="_x0000_s1450" style="position:absolute;left:193;top:2856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4IVyAAAAN4AAAAPAAAAZHJzL2Rvd25yZXYueG1sRI9Pa8JA&#10;EMXvQr/DMoXedFMrIqmrFIuYgxf/FHocsmOSNju7ZFeT9tM7h0JvM7w37/1muR5cq27UxcazgedJ&#10;Boq49LbhysD5tB0vQMWEbLH1TAZ+KMJ69TBaYm59zwe6HVOlJIRjjgbqlEKudSxrchgnPhCLdvGd&#10;wyRrV2nbYS/hrtXTLJtrhw1LQ42BNjWV38erM/D5zqHY9rq8/G7C/qtYtLvr+cOYp8fh7RVUoiH9&#10;m/+uCyv4s/mL8Mo7MoNe3QEAAP//AwBQSwECLQAUAAYACAAAACEA2+H2y+4AAACFAQAAEwAAAAAA&#10;AAAAAAAAAAAAAAAAW0NvbnRlbnRfVHlwZXNdLnhtbFBLAQItABQABgAIAAAAIQBa9CxbvwAAABUB&#10;AAALAAAAAAAAAAAAAAAAAB8BAABfcmVscy8ucmVsc1BLAQItABQABgAIAAAAIQBAO4IVyAAAAN4A&#10;AAAPAAAAAAAAAAAAAAAAAAcCAABkcnMvZG93bnJldi54bWxQSwUGAAAAAAMAAwC3AAAA/AIAAAAA&#10;" filled="f" stroked="f">
                  <v:textbox inset="0,0,0,0">
                    <w:txbxContent>
                      <w:p w14:paraId="4B8A8711" w14:textId="77777777" w:rsidR="00B32EF2" w:rsidRDefault="00000000">
                        <w:r>
                          <w:rPr>
                            <w:rFonts w:ascii="Arial" w:eastAsia="Arial" w:hAnsi="Arial" w:cs="Arial"/>
                            <w:sz w:val="18"/>
                          </w:rPr>
                          <w:t>-</w:t>
                        </w:r>
                      </w:p>
                    </w:txbxContent>
                  </v:textbox>
                </v:rect>
                <v:rect id="Rectangle 14639" o:spid="_x0000_s1451" style="position:absolute;left:-13170;top:273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yeOxQAAAN4AAAAPAAAAZHJzL2Rvd25yZXYueG1sRE9La8JA&#10;EL4X+h+WKXirGx+Ija4iiphDL7UWehyyYxLNzi7Z1UR/vVsoeJuP7znzZWdqcaXGV5YVDPoJCOLc&#10;6ooLBYfv7fsUhA/IGmvLpOBGHpaL15c5ptq2/EXXfShEDGGfooIyBJdK6fOSDPq+dcSRO9rGYIiw&#10;KaRusI3hppbDJJlIgxXHhhIdrUvKz/uLUfC7YZdtW5kf72v3ecqm9e5y+FGq99atZiACdeEp/ndn&#10;Os4fT0Yf8PdOvEEuHgAAAP//AwBQSwECLQAUAAYACAAAACEA2+H2y+4AAACFAQAAEwAAAAAAAAAA&#10;AAAAAAAAAAAAW0NvbnRlbnRfVHlwZXNdLnhtbFBLAQItABQABgAIAAAAIQBa9CxbvwAAABUBAAAL&#10;AAAAAAAAAAAAAAAAAB8BAABfcmVscy8ucmVsc1BLAQItABQABgAIAAAAIQAvdyeOxQAAAN4AAAAP&#10;AAAAAAAAAAAAAAAAAAcCAABkcnMvZG93bnJldi54bWxQSwUGAAAAAAMAAwC3AAAA+QIAAAAA&#10;" filled="f" stroked="f">
                  <v:textbox inset="0,0,0,0">
                    <w:txbxContent>
                      <w:p w14:paraId="06698171" w14:textId="77777777" w:rsidR="00B32EF2" w:rsidRDefault="00000000">
                        <w:r>
                          <w:rPr>
                            <w:rFonts w:ascii="Arial" w:eastAsia="Arial" w:hAnsi="Arial" w:cs="Arial"/>
                            <w:sz w:val="18"/>
                          </w:rPr>
                          <w:t xml:space="preserve">pero del documento o il passaggio in giudicato della sentenza di cui al numero </w:t>
                        </w:r>
                      </w:p>
                    </w:txbxContent>
                  </v:textbox>
                </v:rect>
                <v:rect id="Rectangle 199691" o:spid="_x0000_s1452" style="position:absolute;left:-13806;top:2610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aBrxAAAAN8AAAAPAAAAZHJzL2Rvd25yZXYueG1sRE/LasJA&#10;FN0X/IfhCt3ViV2IiU5EFGkW3dQquLxkbh6auTNkRpP26zuFQpeH815vRtOJB/W+taxgPktAEJdW&#10;t1wrOH0eXpYgfEDW2FkmBV/kYZNPntaYaTvwBz2OoRYxhH2GCpoQXCalLxsy6GfWEUeusr3BEGFf&#10;S93jEMNNJ1+TZCENthwbGnS0a6i8He9GwWXPrjgMsqy+d+79Wiy7t/vprNTzdNyuQAQaw7/4z13o&#10;OD9NF+kcfv9EADL/AQAA//8DAFBLAQItABQABgAIAAAAIQDb4fbL7gAAAIUBAAATAAAAAAAAAAAA&#10;AAAAAAAAAABbQ29udGVudF9UeXBlc10ueG1sUEsBAi0AFAAGAAgAAAAhAFr0LFu/AAAAFQEAAAsA&#10;AAAAAAAAAAAAAAAAHwEAAF9yZWxzLy5yZWxzUEsBAi0AFAAGAAgAAAAhAFshoGvEAAAA3wAAAA8A&#10;AAAAAAAAAAAAAAAABwIAAGRycy9kb3ducmV2LnhtbFBLBQYAAAAAAwADALcAAAD4AgAAAAA=&#10;" filled="f" stroked="f">
                  <v:textbox inset="0,0,0,0">
                    <w:txbxContent>
                      <w:p w14:paraId="056C0215" w14:textId="77777777" w:rsidR="00B32EF2" w:rsidRDefault="00000000">
                        <w:r>
                          <w:rPr>
                            <w:rFonts w:ascii="Arial" w:eastAsia="Arial" w:hAnsi="Arial" w:cs="Arial"/>
                            <w:sz w:val="18"/>
                          </w:rPr>
                          <w:t xml:space="preserve"> dell’articolo 395 del codice di procedura civile siano posteriori alla scadenza </w:t>
                        </w:r>
                      </w:p>
                    </w:txbxContent>
                  </v:textbox>
                </v:rect>
                <v:rect id="Rectangle 199690" o:spid="_x0000_s1453" style="position:absolute;left:26111;top:2610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QXwxAAAAN8AAAAPAAAAZHJzL2Rvd25yZXYueG1sRE89b8Iw&#10;EN0r8R+sQ2IrThkQSTGoAiEydCkFqeMpPpK08dmKDUn763tDpY5P73u9HV2n7tTH1rOBp3kGirjy&#10;tuXawPn98LgCFROyxc4zGfimCNvN5GGNhfUDv9H9lGolIRwLNNCkFAqtY9WQwzj3gVi4q+8dJoF9&#10;rW2Pg4S7Ti+ybKkdtiwNDQbaNVR9nW7OwMeeQ3kYdHX92YXXz3LVHW/nizGz6fjyDCrRmP7Ff+7S&#10;yvw8X+byQP4IAL35BQAA//8DAFBLAQItABQABgAIAAAAIQDb4fbL7gAAAIUBAAATAAAAAAAAAAAA&#10;AAAAAAAAAABbQ29udGVudF9UeXBlc10ueG1sUEsBAi0AFAAGAAgAAAAhAFr0LFu/AAAAFQEAAAsA&#10;AAAAAAAAAAAAAAAAHwEAAF9yZWxzLy5yZWxzUEsBAi0AFAAGAAgAAAAhADRtBfDEAAAA3wAAAA8A&#10;AAAAAAAAAAAAAAAABwIAAGRycy9kb3ducmV2LnhtbFBLBQYAAAAAAwADALcAAAD4AgAAAAA=&#10;" filled="f" stroked="f">
                  <v:textbox inset="0,0,0,0">
                    <w:txbxContent>
                      <w:p w14:paraId="48B4B472" w14:textId="77777777" w:rsidR="00B32EF2" w:rsidRDefault="00000000">
                        <w:r>
                          <w:rPr>
                            <w:rFonts w:ascii="Arial" w:eastAsia="Arial" w:hAnsi="Arial" w:cs="Arial"/>
                            <w:sz w:val="18"/>
                          </w:rPr>
                          <w:t>6</w:t>
                        </w:r>
                      </w:p>
                    </w:txbxContent>
                  </v:textbox>
                </v:rect>
                <v:rect id="Rectangle 14641" o:spid="_x0000_s1454" style="position:absolute;left:25146;top:24868;width:147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1j1wwAAAN4AAAAPAAAAZHJzL2Rvd25yZXYueG1sRE9Li8Iw&#10;EL4v+B/CCHtbUxcRqUYRRbaHvfgCj0MzttVmEppou/vrjSB4m4/vObNFZ2pxp8ZXlhUMBwkI4tzq&#10;igsFh/3mawLCB2SNtWVS8EceFvPexwxTbVve0n0XChFD2KeooAzBpVL6vCSDfmAdceTOtjEYImwK&#10;qRtsY7ip5XeSjKXBimNDiY5WJeXX3c0oOK3ZZZtW5uf/lfu9ZJP653Y4KvXZ75ZTEIG68Ba/3JmO&#10;80fj0RCe78Qb5PwBAAD//wMAUEsBAi0AFAAGAAgAAAAhANvh9svuAAAAhQEAABMAAAAAAAAAAAAA&#10;AAAAAAAAAFtDb250ZW50X1R5cGVzXS54bWxQSwECLQAUAAYACAAAACEAWvQsW78AAAAVAQAACwAA&#10;AAAAAAAAAAAAAAAfAQAAX3JlbHMvLnJlbHNQSwECLQAUAAYACAAAACEAiQdY9cMAAADeAAAADwAA&#10;AAAAAAAAAAAAAAAHAgAAZHJzL2Rvd25yZXYueG1sUEsFBgAAAAADAAMAtwAAAPcCAAAAAA==&#10;" filled="f" stroked="f">
                  <v:textbox inset="0,0,0,0">
                    <w:txbxContent>
                      <w:p w14:paraId="2F4D0C46" w14:textId="77777777" w:rsidR="00B32EF2" w:rsidRDefault="00000000">
                        <w:r>
                          <w:rPr>
                            <w:rFonts w:ascii="Arial" w:eastAsia="Arial" w:hAnsi="Arial" w:cs="Arial"/>
                            <w:sz w:val="18"/>
                          </w:rPr>
                          <w:t xml:space="preserve">del termine suddetto. </w:t>
                        </w:r>
                      </w:p>
                    </w:txbxContent>
                  </v:textbox>
                </v:rect>
                <v:rect id="Rectangle 199689" o:spid="_x0000_s1455" style="position:absolute;left:-13815;top:236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qwxAAAAN8AAAAPAAAAZHJzL2Rvd25yZXYueG1sRE/Pa8Iw&#10;FL4P/B/CE7zN1B2k7YwyFFkPXuYUPD6aZ9uteQlNtNW/fhGEHT++34vVYFpxpc43lhXMpgkI4tLq&#10;hisFh+/tawrCB2SNrWVScCMPq+XoZYG5tj1/0XUfKhFD2OeooA7B5VL6siaDfmodceTOtjMYIuwq&#10;qTvsY7hp5VuSzKXBhmNDjY7WNZW/+4tRcNqwK7a9LM/3tdv9FGn7eTkclZqMh493EIGG8C9+ugsd&#10;52fZPM3g8ScCkMs/AAAA//8DAFBLAQItABQABgAIAAAAIQDb4fbL7gAAAIUBAAATAAAAAAAAAAAA&#10;AAAAAAAAAABbQ29udGVudF9UeXBlc10ueG1sUEsBAi0AFAAGAAgAAAAhAFr0LFu/AAAAFQEAAAsA&#10;AAAAAAAAAAAAAAAAHwEAAF9yZWxzLy5yZWxzUEsBAi0AFAAGAAgAAAAhACCOOrDEAAAA3wAAAA8A&#10;AAAAAAAAAAAAAAAABwIAAGRycy9kb3ducmV2LnhtbFBLBQYAAAAAAwADALcAAAD4AgAAAAA=&#10;" filled="f" stroked="f">
                  <v:textbox inset="0,0,0,0">
                    <w:txbxContent>
                      <w:p w14:paraId="5E866166" w14:textId="77777777" w:rsidR="00B32EF2" w:rsidRDefault="00000000">
                        <w:r>
                          <w:rPr>
                            <w:rFonts w:ascii="Arial" w:eastAsia="Arial" w:hAnsi="Arial" w:cs="Arial"/>
                            <w:sz w:val="18"/>
                          </w:rPr>
                          <w:t xml:space="preserve">. Se i fatti menzionati nel comma 2 avvengono durante il termine per l’appello </w:t>
                        </w:r>
                      </w:p>
                    </w:txbxContent>
                  </v:textbox>
                </v:rect>
                <v:rect id="Rectangle 199688" o:spid="_x0000_s1456" style="position:absolute;left:26111;top:236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p8rxAAAAN8AAAAPAAAAZHJzL2Rvd25yZXYueG1sRE89b8Iw&#10;EN0r8R+sQ2IrThlQSDGoAiEydCkFqeMpPpK08dmKDUn763tDpY5P73u9HV2n7tTH1rOBp3kGirjy&#10;tuXawPn98JiDignZYueZDHxThO1m8rDGwvqB3+h+SrWSEI4FGmhSCoXWsWrIYZz7QCzc1fcOk8C+&#10;1rbHQcJdpxdZttQOW5aGBgPtGqq+Tjdn4GPPoTwMurr+7MLrZ5l3x9v5YsxsOr48g0o0pn/xn7u0&#10;Mn+1WuYyWP4IAL35BQAA//8DAFBLAQItABQABgAIAAAAIQDb4fbL7gAAAIUBAAATAAAAAAAAAAAA&#10;AAAAAAAAAABbQ29udGVudF9UeXBlc10ueG1sUEsBAi0AFAAGAAgAAAAhAFr0LFu/AAAAFQEAAAsA&#10;AAAAAAAAAAAAAAAAHwEAAF9yZWxzLy5yZWxzUEsBAi0AFAAGAAgAAAAhAE/CnyvEAAAA3wAAAA8A&#10;AAAAAAAAAAAAAAAABwIAAGRycy9kb3ducmV2LnhtbFBLBQYAAAAAAwADALcAAAD4AgAAAAA=&#10;" filled="f" stroked="f">
                  <v:textbox inset="0,0,0,0">
                    <w:txbxContent>
                      <w:p w14:paraId="6EF15615" w14:textId="77777777" w:rsidR="00B32EF2" w:rsidRDefault="00000000">
                        <w:r>
                          <w:rPr>
                            <w:rFonts w:ascii="Arial" w:eastAsia="Arial" w:hAnsi="Arial" w:cs="Arial"/>
                            <w:sz w:val="18"/>
                          </w:rPr>
                          <w:t>3</w:t>
                        </w:r>
                      </w:p>
                    </w:txbxContent>
                  </v:textbox>
                </v:rect>
                <v:rect id="Rectangle 14643" o:spid="_x0000_s1457" style="position:absolute;left:-12203;top:22401;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WMZxAAAAN4AAAAPAAAAZHJzL2Rvd25yZXYueG1sRE9Ni8Iw&#10;EL0L/ocwgjdNdUWkaxRRZHvwsq4Lexyasa02k9BEW/31m4UFb/N4n7Ncd6YWd2p8ZVnBZJyAIM6t&#10;rrhQcPrajxYgfEDWWFsmBQ/ysF71e0tMtW35k+7HUIgYwj5FBWUILpXS5yUZ9GPriCN3to3BEGFT&#10;SN1gG8NNLadJMpcGK44NJTralpRfjzej4GfHLtu3Mj8/t+5wyRb1x+30rdRw0G3eQQTqwkv87850&#10;nD+bz97g7514g1z9AgAA//8DAFBLAQItABQABgAIAAAAIQDb4fbL7gAAAIUBAAATAAAAAAAAAAAA&#10;AAAAAAAAAABbQ29udGVudF9UeXBlc10ueG1sUEsBAi0AFAAGAAgAAAAhAFr0LFu/AAAAFQEAAAsA&#10;AAAAAAAAAAAAAAAAHwEAAF9yZWxzLy5yZWxzUEsBAi0AFAAGAAgAAAAhABaZYxnEAAAA3gAAAA8A&#10;AAAAAAAAAAAAAAAABwIAAGRycy9kb3ducmV2LnhtbFBLBQYAAAAAAwADALcAAAD4AgAAAAA=&#10;" filled="f" stroked="f">
                  <v:textbox inset="0,0,0,0">
                    <w:txbxContent>
                      <w:p w14:paraId="46D63BE3" w14:textId="77777777" w:rsidR="00B32EF2" w:rsidRDefault="00000000">
                        <w:r>
                          <w:rPr>
                            <w:rFonts w:ascii="Arial" w:eastAsia="Arial" w:hAnsi="Arial" w:cs="Arial"/>
                            <w:sz w:val="18"/>
                          </w:rPr>
                          <w:t>il termine stesso è prorogato dal giorno dell’avvenimento in modo da raggiun</w:t>
                        </w:r>
                      </w:p>
                    </w:txbxContent>
                  </v:textbox>
                </v:rect>
                <v:rect id="Rectangle 14644" o:spid="_x0000_s1458" style="position:absolute;left:193;top:2240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PttxAAAAN4AAAAPAAAAZHJzL2Rvd25yZXYueG1sRE9Na8JA&#10;EL0L/odlCr3pphJEUlcRRcyhl2oEj0N2TFKzs0t2NWl/fbdQ8DaP9znL9WBa8aDON5YVvE0TEMSl&#10;1Q1XCorTfrIA4QOyxtYyKfgmD+vVeLTETNueP+lxDJWIIewzVFCH4DIpfVmTQT+1jjhyV9sZDBF2&#10;ldQd9jHctHKWJHNpsOHYUKOjbU3l7Xg3Ci47dvm+l+X1Z+s+vvJFe7gXZ6VeX4bNO4hAQ3iK/925&#10;jvPTeZrC3zvxBrn6BQAA//8DAFBLAQItABQABgAIAAAAIQDb4fbL7gAAAIUBAAATAAAAAAAAAAAA&#10;AAAAAAAAAABbQ29udGVudF9UeXBlc10ueG1sUEsBAi0AFAAGAAgAAAAhAFr0LFu/AAAAFQEAAAsA&#10;AAAAAAAAAAAAAAAAHwEAAF9yZWxzLy5yZWxzUEsBAi0AFAAGAAgAAAAhAJlw+23EAAAA3gAAAA8A&#10;AAAAAAAAAAAAAAAABwIAAGRycy9kb3ducmV2LnhtbFBLBQYAAAAAAwADALcAAAD4AgAAAAA=&#10;" filled="f" stroked="f">
                  <v:textbox inset="0,0,0,0">
                    <w:txbxContent>
                      <w:p w14:paraId="3AA0347C" w14:textId="77777777" w:rsidR="00B32EF2" w:rsidRDefault="00000000">
                        <w:r>
                          <w:rPr>
                            <w:rFonts w:ascii="Arial" w:eastAsia="Arial" w:hAnsi="Arial" w:cs="Arial"/>
                            <w:sz w:val="18"/>
                          </w:rPr>
                          <w:t>-</w:t>
                        </w:r>
                      </w:p>
                    </w:txbxContent>
                  </v:textbox>
                </v:rect>
                <v:rect id="Rectangle 14645" o:spid="_x0000_s1459" style="position:absolute;left:19059;top:21004;width:208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F72xAAAAN4AAAAPAAAAZHJzL2Rvd25yZXYueG1sRE9Ni8Iw&#10;EL0L/ocwgjdNFVekaxRRxB72sq4Lexyasa02k9BEW/31m4UFb/N4n7Ncd6YWd2p8ZVnBZJyAIM6t&#10;rrhQcPrajxYgfEDWWFsmBQ/ysF71e0tMtW35k+7HUIgYwj5FBWUILpXS5yUZ9GPriCN3to3BEGFT&#10;SN1gG8NNLadJMpcGK44NJTralpRfjzej4GfHLtu3Mj8/t+7jki3qw+30rdRw0G3eQQTqwkv87850&#10;nD+bz97g7514g1z9AgAA//8DAFBLAQItABQABgAIAAAAIQDb4fbL7gAAAIUBAAATAAAAAAAAAAAA&#10;AAAAAAAAAABbQ29udGVudF9UeXBlc10ueG1sUEsBAi0AFAAGAAgAAAAhAFr0LFu/AAAAFQEAAAsA&#10;AAAAAAAAAAAAAAAAHwEAAF9yZWxzLy5yZWxzUEsBAi0AFAAGAAgAAAAhAPY8XvbEAAAA3gAAAA8A&#10;AAAAAAAAAAAAAAAABwIAAGRycy9kb3ducmV2LnhtbFBLBQYAAAAAAwADALcAAAD4AgAAAAA=&#10;" filled="f" stroked="f">
                  <v:textbox inset="0,0,0,0">
                    <w:txbxContent>
                      <w:p w14:paraId="3AF7F62E" w14:textId="77777777" w:rsidR="00B32EF2" w:rsidRDefault="00000000">
                        <w:r>
                          <w:rPr>
                            <w:rFonts w:ascii="Arial" w:eastAsia="Arial" w:hAnsi="Arial" w:cs="Arial"/>
                            <w:sz w:val="18"/>
                          </w:rPr>
                          <w:t>gere i sessanta giorni da esso.</w:t>
                        </w:r>
                      </w:p>
                    </w:txbxContent>
                  </v:textbox>
                </v:rect>
                <v:shape id="Shape 207726" o:spid="_x0000_s1460" style="position:absolute;left:318;top:3542;width:39603;height:17624;visibility:visible;mso-wrap-style:square;v-text-anchor:top" coordsize="3960254,1762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gdCyAAAAN8AAAAPAAAAZHJzL2Rvd25yZXYueG1sRI9Pa8JA&#10;FMTvBb/D8oTedGMEU6KriGARWlqqHjw+ss/8Mfs2zW5M+u27BaHHYWZ+w6w2g6nFnVpXWlYwm0Yg&#10;iDOrS84VnE/7yQsI55E11pZJwQ852KxHTytMte35i+5Hn4sAYZeigsL7JpXSZQUZdFPbEAfvaluD&#10;Psg2l7rFPsBNLeMoWkiDJYeFAhvaFZTdjp1RcKlu++6TuvL1+33ev/mk+nBDpdTzeNguQXga/H/4&#10;0T5oBXGUJPEC/v6ELyDXvwAAAP//AwBQSwECLQAUAAYACAAAACEA2+H2y+4AAACFAQAAEwAAAAAA&#10;AAAAAAAAAAAAAAAAW0NvbnRlbnRfVHlwZXNdLnhtbFBLAQItABQABgAIAAAAIQBa9CxbvwAAABUB&#10;AAALAAAAAAAAAAAAAAAAAB8BAABfcmVscy8ucmVsc1BLAQItABQABgAIAAAAIQBFUgdCyAAAAN8A&#10;AAAPAAAAAAAAAAAAAAAAAAcCAABkcnMvZG93bnJldi54bWxQSwUGAAAAAAMAAwC3AAAA/AIAAAAA&#10;" path="m,l3960254,r,1762354l,1762354,,e" fillcolor="#c3c3c3" stroked="f" strokeweight="0">
                  <v:stroke miterlimit="83231f" joinstyle="miter"/>
                  <v:path arrowok="t" textboxrect="0,0,3960254,1762354"/>
                </v:shape>
                <v:rect id="Rectangle 14647" o:spid="_x0000_s1461" style="position:absolute;left:23289;top:18953;width:1585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mUaxAAAAN4AAAAPAAAAZHJzL2Rvd25yZXYueG1sRE9Ni8Iw&#10;EL0L/ocwgjdNFXGlaxRRxB72sq4Lexyasa02k9BEW/31m4UFb/N4n7Ncd6YWd2p8ZVnBZJyAIM6t&#10;rrhQcPrajxYgfEDWWFsmBQ/ysF71e0tMtW35k+7HUIgYwj5FBWUILpXS5yUZ9GPriCN3to3BEGFT&#10;SN1gG8NNLadJMpcGK44NJTralpRfjzej4GfHLtu3Mj8/t+7jki3qw+30rdRw0G3eQQTqwkv87850&#10;nD+bz97g7514g1z9AgAA//8DAFBLAQItABQABgAIAAAAIQDb4fbL7gAAAIUBAAATAAAAAAAAAAAA&#10;AAAAAAAAAABbQ29udGVudF9UeXBlc10ueG1sUEsBAi0AFAAGAAgAAAAhAFr0LFu/AAAAFQEAAAsA&#10;AAAAAAAAAAAAAAAAHwEAAF9yZWxzLy5yZWxzUEsBAi0AFAAGAAgAAAAhAGmiZRrEAAAA3gAAAA8A&#10;AAAAAAAAAAAAAAAABwIAAGRycy9kb3ducmV2LnhtbFBLBQYAAAAAAwADALcAAAD4AgAAAAA=&#10;" filled="f" stroked="f">
                  <v:textbox inset="0,0,0,0">
                    <w:txbxContent>
                      <w:p w14:paraId="452F51A6" w14:textId="77777777" w:rsidR="00B32EF2" w:rsidRDefault="00000000">
                        <w:r>
                          <w:rPr>
                            <w:rFonts w:ascii="Arial" w:eastAsia="Arial" w:hAnsi="Arial" w:cs="Arial"/>
                            <w:b/>
                            <w:i/>
                            <w:sz w:val="18"/>
                          </w:rPr>
                          <w:t>NORME RICHIAMATE</w:t>
                        </w:r>
                      </w:p>
                    </w:txbxContent>
                  </v:textbox>
                </v:rect>
                <v:rect id="Rectangle 14648" o:spid="_x0000_s1462" style="position:absolute;left:14887;top:17581;width:242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fFoxwAAAN4AAAAPAAAAZHJzL2Rvd25yZXYueG1sRI9Pa8JA&#10;EMXvhX6HZQq91U2LiKSuUizSHLz4D3ocsmOSNju7ZFcT/fTOQfA2w3vz3m9mi8G16kxdbDwbeB9l&#10;oIhLbxuuDOx3q7cpqJiQLbaeycCFIizmz08zzK3veUPnbaqUhHDM0UCdUsi1jmVNDuPIB2LRjr5z&#10;mGTtKm077CXctfojyybaYcPSUGOgZU3l//bkDPx+cyhWvS6P12VY/xXT9ue0Pxjz+jJ8fYJKNKSH&#10;+X5dWMEfT8bCK+/IDHp+AwAA//8DAFBLAQItABQABgAIAAAAIQDb4fbL7gAAAIUBAAATAAAAAAAA&#10;AAAAAAAAAAAAAABbQ29udGVudF9UeXBlc10ueG1sUEsBAi0AFAAGAAgAAAAhAFr0LFu/AAAAFQEA&#10;AAsAAAAAAAAAAAAAAAAAHwEAAF9yZWxzLy5yZWxzUEsBAi0AFAAGAAgAAAAhABg98WjHAAAA3gAA&#10;AA8AAAAAAAAAAAAAAAAABwIAAGRycy9kb3ducmV2LnhtbFBLBQYAAAAAAwADALcAAAD7AgAAAAA=&#10;" filled="f" stroked="f">
                  <v:textbox inset="0,0,0,0">
                    <w:txbxContent>
                      <w:p w14:paraId="3ED584F4" w14:textId="77777777" w:rsidR="00B32EF2" w:rsidRDefault="00000000">
                        <w:r>
                          <w:rPr>
                            <w:rFonts w:ascii="Arial" w:eastAsia="Arial" w:hAnsi="Arial" w:cs="Arial"/>
                            <w:i/>
                            <w:sz w:val="18"/>
                          </w:rPr>
                          <w:t>art. 395 c.p.c. “Casi di revocazione”</w:t>
                        </w:r>
                      </w:p>
                    </w:txbxContent>
                  </v:textbox>
                </v:rect>
                <v:rect id="Rectangle 14649" o:spid="_x0000_s1463" style="position:absolute;left:20481;top:17581;width:4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VTzxAAAAN4AAAAPAAAAZHJzL2Rvd25yZXYueG1sRE9Li8Iw&#10;EL4v+B/CCN7WdBcRrUZZXMQe9uILPA7N2FabSWiirf76jbCwt/n4njNfdqYWd2p8ZVnBxzABQZxb&#10;XXGh4LBfv09A+ICssbZMCh7kYbnovc0x1bblLd13oRAxhH2KCsoQXCqlz0sy6IfWEUfubBuDIcKm&#10;kLrBNoabWn4myVgarDg2lOhoVVJ+3d2MgtM3u2zdyvz8XLmfSzapN7fDUalBv/uagQjUhX/xnzvT&#10;cf5oPJrC6514g1z8AgAA//8DAFBLAQItABQABgAIAAAAIQDb4fbL7gAAAIUBAAATAAAAAAAAAAAA&#10;AAAAAAAAAABbQ29udGVudF9UeXBlc10ueG1sUEsBAi0AFAAGAAgAAAAhAFr0LFu/AAAAFQEAAAsA&#10;AAAAAAAAAAAAAAAAHwEAAF9yZWxzLy5yZWxzUEsBAi0AFAAGAAgAAAAhAHdxVPPEAAAA3gAAAA8A&#10;AAAAAAAAAAAAAAAABwIAAGRycy9kb3ducmV2LnhtbFBLBQYAAAAAAwADALcAAAD4AgAAAAA=&#10;" filled="f" stroked="f">
                  <v:textbox inset="0,0,0,0">
                    <w:txbxContent>
                      <w:p w14:paraId="45940A1B" w14:textId="77777777" w:rsidR="00B32EF2" w:rsidRDefault="00000000">
                        <w:r>
                          <w:rPr>
                            <w:rFonts w:ascii="Arial" w:eastAsia="Arial" w:hAnsi="Arial" w:cs="Arial"/>
                            <w:sz w:val="18"/>
                          </w:rPr>
                          <w:t xml:space="preserve"> </w:t>
                        </w:r>
                      </w:p>
                    </w:txbxContent>
                  </v:textbox>
                </v:rect>
                <v:rect id="Rectangle 199686" o:spid="_x0000_s1464" style="position:absolute;left:25854;top:16210;width:509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a7CxAAAAN8AAAAPAAAAZHJzL2Rvd25yZXYueG1sRE/LasJA&#10;FN0L/sNwBXc6sYsQU0cpijSLbnwUurxkrknazJ0hM5rYr3cKBZeH815tBtOKG3W+saxgMU9AEJdW&#10;N1wpOJ/2swyED8gaW8uk4E4eNuvxaIW5tj0f6HYMlYgh7HNUUIfgcil9WZNBP7eOOHIX2xkMEXaV&#10;1B32Mdy08iVJUmmw4dhQo6NtTeXP8WoUfO3YFftelpffrfv4LrL2/Xr+VGo6Gd5eQQQawlP87y50&#10;nL9cplkKf38iALl+AAAA//8DAFBLAQItABQABgAIAAAAIQDb4fbL7gAAAIUBAAATAAAAAAAAAAAA&#10;AAAAAAAAAABbQ29udGVudF9UeXBlc10ueG1sUEsBAi0AFAAGAAgAAAAhAFr0LFu/AAAAFQEAAAsA&#10;AAAAAAAAAAAAAAAAHwEAAF9yZWxzLy5yZWxzUEsBAi0AFAAGAAgAAAAhAFERrsLEAAAA3wAAAA8A&#10;AAAAAAAAAAAAAAAABwIAAGRycy9kb3ducmV2LnhtbFBLBQYAAAAAAwADALcAAAD4AgAAAAA=&#10;" filled="f" stroked="f">
                  <v:textbox inset="0,0,0,0">
                    <w:txbxContent>
                      <w:p w14:paraId="557D161F" w14:textId="77777777" w:rsidR="00B32EF2" w:rsidRDefault="00000000">
                        <w:r>
                          <w:rPr>
                            <w:rFonts w:ascii="Arial" w:eastAsia="Arial" w:hAnsi="Arial" w:cs="Arial"/>
                            <w:i/>
                            <w:sz w:val="18"/>
                          </w:rPr>
                          <w:t>1</w:t>
                        </w:r>
                      </w:p>
                    </w:txbxContent>
                  </v:textbox>
                </v:rect>
                <v:rect id="Rectangle 199687" o:spid="_x0000_s1465" style="position:absolute;left:-12457;top:16210;width:509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tZxAAAAN8AAAAPAAAAZHJzL2Rvd25yZXYueG1sRE/LasJA&#10;FN0L/sNwhe500i5sjI5SLNIsuqkPcHnJXJO0mTtDZjTRr+8IgsvDeS9WvWnEhVpfW1bwOklAEBdW&#10;11wq2O824xSED8gaG8uk4EoeVsvhYIGZth3/0GUbShFD2GeooArBZVL6oiKDfmIdceROtjUYImxL&#10;qVvsYrhp5FuSTKXBmmNDhY7WFRV/27NRcPxkl286WZxua/f9m6fN13l/UOpl1H/MQQTqw1P8cOc6&#10;zp/Npuk73P9EAHL5DwAA//8DAFBLAQItABQABgAIAAAAIQDb4fbL7gAAAIUBAAATAAAAAAAAAAAA&#10;AAAAAAAAAABbQ29udGVudF9UeXBlc10ueG1sUEsBAi0AFAAGAAgAAAAhAFr0LFu/AAAAFQEAAAsA&#10;AAAAAAAAAAAAAAAAHwEAAF9yZWxzLy5yZWxzUEsBAi0AFAAGAAgAAAAhAD5dC1nEAAAA3wAAAA8A&#10;AAAAAAAAAAAAAAAABwIAAGRycy9kb3ducmV2LnhtbFBLBQYAAAAAAwADALcAAAD4AgAAAAA=&#10;" filled="f" stroked="f">
                  <v:textbox inset="0,0,0,0">
                    <w:txbxContent>
                      <w:p w14:paraId="6D6C2C96" w14:textId="77777777" w:rsidR="00B32EF2" w:rsidRDefault="00000000">
                        <w:r>
                          <w:rPr>
                            <w:rFonts w:ascii="Arial" w:eastAsia="Arial" w:hAnsi="Arial" w:cs="Arial"/>
                            <w:i/>
                            <w:sz w:val="18"/>
                          </w:rPr>
                          <w:t xml:space="preserve">. Le sentenze pronunciate in grado d’appello o in un unico grado, possono </w:t>
                        </w:r>
                      </w:p>
                    </w:txbxContent>
                  </v:textbox>
                </v:rect>
                <v:rect id="Rectangle 14651" o:spid="_x0000_s1466" style="position:absolute;left:-11860;top:14839;width:5097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s4oxAAAAN4AAAAPAAAAZHJzL2Rvd25yZXYueG1sRE9Li8Iw&#10;EL4v7H8Is+BtTRVXpBplcRF72Isv8Dg0Y1ttJqGJtvrrzcKCt/n4njNbdKYWN2p8ZVnBoJ+AIM6t&#10;rrhQsN+tPicgfEDWWFsmBXfysJi/v80w1bblDd22oRAxhH2KCsoQXCqlz0sy6PvWEUfuZBuDIcKm&#10;kLrBNoabWg6TZCwNVhwbSnS0LCm/bK9GwfGHXbZqZX56LN3vOZvU6+v+oFTvo/ueggjUhZf4353p&#10;OH80/hrA3zvxBjl/AgAA//8DAFBLAQItABQABgAIAAAAIQDb4fbL7gAAAIUBAAATAAAAAAAAAAAA&#10;AAAAAAAAAABbQ29udGVudF9UeXBlc10ueG1sUEsBAi0AFAAGAAgAAAAhAFr0LFu/AAAAFQEAAAsA&#10;AAAAAAAAAAAAAAAAHwEAAF9yZWxzLy5yZWxzUEsBAi0AFAAGAAgAAAAhAAzezijEAAAA3gAAAA8A&#10;AAAAAAAAAAAAAAAABwIAAGRycy9kb3ducmV2LnhtbFBLBQYAAAAAAwADALcAAAD4AgAAAAA=&#10;" filled="f" stroked="f">
                  <v:textbox inset="0,0,0,0">
                    <w:txbxContent>
                      <w:p w14:paraId="543B4BBA" w14:textId="77777777" w:rsidR="00B32EF2" w:rsidRDefault="00000000">
                        <w:r>
                          <w:rPr>
                            <w:rFonts w:ascii="Arial" w:eastAsia="Arial" w:hAnsi="Arial" w:cs="Arial"/>
                            <w:i/>
                            <w:sz w:val="18"/>
                          </w:rPr>
                          <w:t xml:space="preserve">essere impugnate per revocazione: 1) se sono l’effetto del dolo di una delle </w:t>
                        </w:r>
                      </w:p>
                    </w:txbxContent>
                  </v:textbox>
                </v:rect>
                <v:rect id="Rectangle 14652" o:spid="_x0000_s1467" style="position:absolute;left:-11880;top:13467;width:510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FBfxAAAAN4AAAAPAAAAZHJzL2Rvd25yZXYueG1sRE9Ni8Iw&#10;EL0L/ocwgjdNFVekaxRRxB72sq4Lexyasa02k9BEW/31m4UFb/N4n7Ncd6YWd2p8ZVnBZJyAIM6t&#10;rrhQcPrajxYgfEDWWFsmBQ/ysF71e0tMtW35k+7HUIgYwj5FBWUILpXS5yUZ9GPriCN3to3BEGFT&#10;SN1gG8NNLadJMpcGK44NJTralpRfjzej4GfHLtu3Mj8/t+7jki3qw+30rdRw0G3eQQTqwkv87850&#10;nD+bv03h7514g1z9AgAA//8DAFBLAQItABQABgAIAAAAIQDb4fbL7gAAAIUBAAATAAAAAAAAAAAA&#10;AAAAAAAAAABbQ29udGVudF9UeXBlc10ueG1sUEsBAi0AFAAGAAgAAAAhAFr0LFu/AAAAFQEAAAsA&#10;AAAAAAAAAAAAAAAAHwEAAF9yZWxzLy5yZWxzUEsBAi0AFAAGAAgAAAAhAPwMUF/EAAAA3gAAAA8A&#10;AAAAAAAAAAAAAAAABwIAAGRycy9kb3ducmV2LnhtbFBLBQYAAAAAAwADALcAAAD4AgAAAAA=&#10;" filled="f" stroked="f">
                  <v:textbox inset="0,0,0,0">
                    <w:txbxContent>
                      <w:p w14:paraId="60FA54F2" w14:textId="77777777" w:rsidR="00B32EF2" w:rsidRDefault="00000000">
                        <w:r>
                          <w:rPr>
                            <w:rFonts w:ascii="Arial" w:eastAsia="Arial" w:hAnsi="Arial" w:cs="Arial"/>
                            <w:i/>
                            <w:sz w:val="18"/>
                          </w:rPr>
                          <w:t xml:space="preserve">parti in danno dell’altra; 2) se si è giudicato in base a prove riconosciute o </w:t>
                        </w:r>
                      </w:p>
                    </w:txbxContent>
                  </v:textbox>
                </v:rect>
                <v:rect id="Rectangle 14653" o:spid="_x0000_s1468" style="position:absolute;left:-10898;top:12096;width:500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PXExQAAAN4AAAAPAAAAZHJzL2Rvd25yZXYueG1sRE9La8JA&#10;EL4X/A/LCN7qxlpFoquIRZpDL/UBHofsmESzs0t2NWl/fbcgeJuP7zmLVWdqcafGV5YVjIYJCOLc&#10;6ooLBYf99nUGwgdkjbVlUvBDHlbL3ssCU21b/qb7LhQihrBPUUEZgkul9HlJBv3QOuLInW1jMETY&#10;FFI32MZwU8u3JJlKgxXHhhIdbUrKr7ubUXD6YJdtW5mffzfu65LN6s/b4ajUoN+t5yACdeEpfrgz&#10;Hee/Tydj+H8n3iCXfwAAAP//AwBQSwECLQAUAAYACAAAACEA2+H2y+4AAACFAQAAEwAAAAAAAAAA&#10;AAAAAAAAAAAAW0NvbnRlbnRfVHlwZXNdLnhtbFBLAQItABQABgAIAAAAIQBa9CxbvwAAABUBAAAL&#10;AAAAAAAAAAAAAAAAAB8BAABfcmVscy8ucmVsc1BLAQItABQABgAIAAAAIQCTQPXExQAAAN4AAAAP&#10;AAAAAAAAAAAAAAAAAAcCAABkcnMvZG93bnJldi54bWxQSwUGAAAAAAMAAwC3AAAA+QIAAAAA&#10;" filled="f" stroked="f">
                  <v:textbox inset="0,0,0,0">
                    <w:txbxContent>
                      <w:p w14:paraId="6A128CEE" w14:textId="77777777" w:rsidR="00B32EF2" w:rsidRDefault="00000000">
                        <w:r>
                          <w:rPr>
                            <w:rFonts w:ascii="Arial" w:eastAsia="Arial" w:hAnsi="Arial" w:cs="Arial"/>
                            <w:i/>
                            <w:sz w:val="18"/>
                          </w:rPr>
                          <w:t>comunque dichiarate false dopo la sentenza oppure che la parte soccom</w:t>
                        </w:r>
                      </w:p>
                    </w:txbxContent>
                  </v:textbox>
                </v:rect>
                <v:rect id="Rectangle 14654" o:spid="_x0000_s1469" style="position:absolute;left:977;top:1209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W2wxAAAAN4AAAAPAAAAZHJzL2Rvd25yZXYueG1sRE9Ni8Iw&#10;EL0L/ocwgjdNFVekaxRRxB72sq4Lexyasa02k9BEW/31m4UFb/N4n7Ncd6YWd2p8ZVnBZJyAIM6t&#10;rrhQcPrajxYgfEDWWFsmBQ/ysF71e0tMtW35k+7HUIgYwj5FBWUILpXS5yUZ9GPriCN3to3BEGFT&#10;SN1gG8NNLadJMpcGK44NJTralpRfjzej4GfHLtu3Mj8/t+7jki3qw+30rdRw0G3eQQTqwkv87850&#10;nD+bv83g7514g1z9AgAA//8DAFBLAQItABQABgAIAAAAIQDb4fbL7gAAAIUBAAATAAAAAAAAAAAA&#10;AAAAAAAAAABbQ29udGVudF9UeXBlc10ueG1sUEsBAi0AFAAGAAgAAAAhAFr0LFu/AAAAFQEAAAsA&#10;AAAAAAAAAAAAAAAAHwEAAF9yZWxzLy5yZWxzUEsBAi0AFAAGAAgAAAAhABypbbDEAAAA3gAAAA8A&#10;AAAAAAAAAAAAAAAABwIAAGRycy9kb3ducmV2LnhtbFBLBQYAAAAAAwADALcAAAD4AgAAAAA=&#10;" filled="f" stroked="f">
                  <v:textbox inset="0,0,0,0">
                    <w:txbxContent>
                      <w:p w14:paraId="1E0B3256" w14:textId="77777777" w:rsidR="00B32EF2" w:rsidRDefault="00000000">
                        <w:r>
                          <w:rPr>
                            <w:rFonts w:ascii="Arial" w:eastAsia="Arial" w:hAnsi="Arial" w:cs="Arial"/>
                            <w:i/>
                            <w:sz w:val="18"/>
                          </w:rPr>
                          <w:t>-</w:t>
                        </w:r>
                      </w:p>
                    </w:txbxContent>
                  </v:textbox>
                </v:rect>
                <v:rect id="Rectangle 14655" o:spid="_x0000_s1470" style="position:absolute;left:-10908;top:10725;width:5004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cgrxAAAAN4AAAAPAAAAZHJzL2Rvd25yZXYueG1sRE9Ni8Iw&#10;EL0L/ocwgjdNlVWkaxRRZHvwsq4Lexyasa02k9BEW/31m4UFb/N4n7Ncd6YWd2p8ZVnBZJyAIM6t&#10;rrhQcPrajxYgfEDWWFsmBQ/ysF71e0tMtW35k+7HUIgYwj5FBWUILpXS5yUZ9GPriCN3to3BEGFT&#10;SN1gG8NNLadJMpcGK44NJTralpRfjzej4GfHLtu3Mj8/t+5wyRb1x+30rdRw0G3eQQTqwkv87850&#10;nP82n83g7514g1z9AgAA//8DAFBLAQItABQABgAIAAAAIQDb4fbL7gAAAIUBAAATAAAAAAAAAAAA&#10;AAAAAAAAAABbQ29udGVudF9UeXBlc10ueG1sUEsBAi0AFAAGAAgAAAAhAFr0LFu/AAAAFQEAAAsA&#10;AAAAAAAAAAAAAAAAHwEAAF9yZWxzLy5yZWxzUEsBAi0AFAAGAAgAAAAhAHPlyCvEAAAA3gAAAA8A&#10;AAAAAAAAAAAAAAAABwIAAGRycy9kb3ducmV2LnhtbFBLBQYAAAAAAwADALcAAAD4AgAAAAA=&#10;" filled="f" stroked="f">
                  <v:textbox inset="0,0,0,0">
                    <w:txbxContent>
                      <w:p w14:paraId="69E1D3B3" w14:textId="77777777" w:rsidR="00B32EF2" w:rsidRDefault="00000000">
                        <w:r>
                          <w:rPr>
                            <w:rFonts w:ascii="Arial" w:eastAsia="Arial" w:hAnsi="Arial" w:cs="Arial"/>
                            <w:i/>
                            <w:sz w:val="18"/>
                          </w:rPr>
                          <w:t>bente ignorava essere state riconosciute o dichiarate tali prima della sen</w:t>
                        </w:r>
                      </w:p>
                    </w:txbxContent>
                  </v:textbox>
                </v:rect>
                <v:rect id="Rectangle 14656" o:spid="_x0000_s1471" style="position:absolute;left:977;top:10725;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1ZcxQAAAN4AAAAPAAAAZHJzL2Rvd25yZXYueG1sRE9La8JA&#10;EL4X+h+WEbzVjaJBUlcpFjEHLz4KPQ7ZMUmbnV2yq4n+erdQ8DYf33MWq9404kqtry0rGI8SEMSF&#10;1TWXCk7HzdschA/IGhvLpOBGHlbL15cFZtp2vKfrIZQihrDPUEEVgsuk9EVFBv3IOuLInW1rMETY&#10;llK32MVw08hJkqTSYM2xoUJH64qK38PFKPj+ZJdvOlmc72u3+8nnzfZy+lJqOOg/3kEE6sNT/O/O&#10;dZw/TWcp/L0Tb5DLBwAAAP//AwBQSwECLQAUAAYACAAAACEA2+H2y+4AAACFAQAAEwAAAAAAAAAA&#10;AAAAAAAAAAAAW0NvbnRlbnRfVHlwZXNdLnhtbFBLAQItABQABgAIAAAAIQBa9CxbvwAAABUBAAAL&#10;AAAAAAAAAAAAAAAAAB8BAABfcmVscy8ucmVsc1BLAQItABQABgAIAAAAIQCDN1ZcxQAAAN4AAAAP&#10;AAAAAAAAAAAAAAAAAAcCAABkcnMvZG93bnJldi54bWxQSwUGAAAAAAMAAwC3AAAA+QIAAAAA&#10;" filled="f" stroked="f">
                  <v:textbox inset="0,0,0,0">
                    <w:txbxContent>
                      <w:p w14:paraId="2A17798E" w14:textId="77777777" w:rsidR="00B32EF2" w:rsidRDefault="00000000">
                        <w:r>
                          <w:rPr>
                            <w:rFonts w:ascii="Arial" w:eastAsia="Arial" w:hAnsi="Arial" w:cs="Arial"/>
                            <w:i/>
                            <w:sz w:val="18"/>
                          </w:rPr>
                          <w:t>-</w:t>
                        </w:r>
                      </w:p>
                    </w:txbxContent>
                  </v:textbox>
                </v:rect>
                <v:rect id="Rectangle 14657" o:spid="_x0000_s1472" style="position:absolute;left:-11859;top:9353;width:509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PHxQAAAN4AAAAPAAAAZHJzL2Rvd25yZXYueG1sRE9La8JA&#10;EL4L/odlBG+6aakPoqsUi5hDL/UBHofsmMRmZ5fsamJ/fbdQ8DYf33OW687U4k6NrywreBknIIhz&#10;qysuFBwP29EchA/IGmvLpOBBHtarfm+JqbYtf9F9HwoRQ9inqKAMwaVS+rwkg35sHXHkLrYxGCJs&#10;CqkbbGO4qeVrkkylwYpjQ4mONiXl3/ubUXD+YJdtW5lffjbu85rN693teFJqOOjeFyACdeEp/ndn&#10;Os5/m05m8PdOvEGufgEAAP//AwBQSwECLQAUAAYACAAAACEA2+H2y+4AAACFAQAAEwAAAAAAAAAA&#10;AAAAAAAAAAAAW0NvbnRlbnRfVHlwZXNdLnhtbFBLAQItABQABgAIAAAAIQBa9CxbvwAAABUBAAAL&#10;AAAAAAAAAAAAAAAAAB8BAABfcmVscy8ucmVsc1BLAQItABQABgAIAAAAIQDse/PHxQAAAN4AAAAP&#10;AAAAAAAAAAAAAAAAAAcCAABkcnMvZG93bnJldi54bWxQSwUGAAAAAAMAAwC3AAAA+QIAAAAA&#10;" filled="f" stroked="f">
                  <v:textbox inset="0,0,0,0">
                    <w:txbxContent>
                      <w:p w14:paraId="2D717930" w14:textId="77777777" w:rsidR="00B32EF2" w:rsidRDefault="00000000">
                        <w:r>
                          <w:rPr>
                            <w:rFonts w:ascii="Arial" w:eastAsia="Arial" w:hAnsi="Arial" w:cs="Arial"/>
                            <w:i/>
                            <w:sz w:val="18"/>
                          </w:rPr>
                          <w:t xml:space="preserve">tenza; 3) se dopo la sentenza sono stati trovati uno o più documenti decisivi </w:t>
                        </w:r>
                      </w:p>
                    </w:txbxContent>
                  </v:textbox>
                </v:rect>
                <v:rect id="Rectangle 14658" o:spid="_x0000_s1473" style="position:absolute;left:-10909;top:7982;width:50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Ge1yAAAAN4AAAAPAAAAZHJzL2Rvd25yZXYueG1sRI9Pa8JA&#10;EMXvQr/DMoXedFOpIqmrFIuYgxf/FHocsmOSNju7ZFeT9tM7h0JvM7w37/1muR5cq27UxcazgedJ&#10;Boq49LbhysD5tB0vQMWEbLH1TAZ+KMJ69TBaYm59zwe6HVOlJIRjjgbqlEKudSxrchgnPhCLdvGd&#10;wyRrV2nbYS/hrtXTLJtrhw1LQ42BNjWV38erM/D5zqHY9rq8/G7C/qtYtLvr+cOYp8fh7RVUoiH9&#10;m/+uCyv4L/OZ8Mo7MoNe3QEAAP//AwBQSwECLQAUAAYACAAAACEA2+H2y+4AAACFAQAAEwAAAAAA&#10;AAAAAAAAAAAAAAAAW0NvbnRlbnRfVHlwZXNdLnhtbFBLAQItABQABgAIAAAAIQBa9CxbvwAAABUB&#10;AAALAAAAAAAAAAAAAAAAAB8BAABfcmVscy8ucmVsc1BLAQItABQABgAIAAAAIQCd5Ge1yAAAAN4A&#10;AAAPAAAAAAAAAAAAAAAAAAcCAABkcnMvZG93bnJldi54bWxQSwUGAAAAAAMAAwC3AAAA/AIAAAAA&#10;" filled="f" stroked="f">
                  <v:textbox inset="0,0,0,0">
                    <w:txbxContent>
                      <w:p w14:paraId="23BC9481" w14:textId="77777777" w:rsidR="00B32EF2" w:rsidRDefault="00000000">
                        <w:r>
                          <w:rPr>
                            <w:rFonts w:ascii="Arial" w:eastAsia="Arial" w:hAnsi="Arial" w:cs="Arial"/>
                            <w:i/>
                            <w:sz w:val="18"/>
                          </w:rPr>
                          <w:t>che la parte non aveva potuto produrre in giudizio per causa di forza mag</w:t>
                        </w:r>
                      </w:p>
                    </w:txbxContent>
                  </v:textbox>
                </v:rect>
                <v:rect id="Rectangle 14659" o:spid="_x0000_s1474" style="position:absolute;left:977;top:798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MIuxQAAAN4AAAAPAAAAZHJzL2Rvd25yZXYueG1sRE9Na8JA&#10;EL0X+h+WKXirG0XFRlcRRcyhl1oLPQ7ZMYlmZ5fsaqK/3i0UvM3jfc582ZlaXKnxlWUFg34Cgji3&#10;uuJCweF7+z4F4QOyxtoyKbiRh+Xi9WWOqbYtf9F1HwoRQ9inqKAMwaVS+rwkg75vHXHkjrYxGCJs&#10;CqkbbGO4qeUwSSbSYMWxoURH65Ly8/5iFPxu2GXbVubH+9p9nrJpvbscfpTqvXWrGYhAXXiK/92Z&#10;jvNHk/EH/L0Tb5CLBwAAAP//AwBQSwECLQAUAAYACAAAACEA2+H2y+4AAACFAQAAEwAAAAAAAAAA&#10;AAAAAAAAAAAAW0NvbnRlbnRfVHlwZXNdLnhtbFBLAQItABQABgAIAAAAIQBa9CxbvwAAABUBAAAL&#10;AAAAAAAAAAAAAAAAAB8BAABfcmVscy8ucmVsc1BLAQItABQABgAIAAAAIQDyqMIuxQAAAN4AAAAP&#10;AAAAAAAAAAAAAAAAAAcCAABkcnMvZG93bnJldi54bWxQSwUGAAAAAAMAAwC3AAAA+QIAAAAA&#10;" filled="f" stroked="f">
                  <v:textbox inset="0,0,0,0">
                    <w:txbxContent>
                      <w:p w14:paraId="6FB34410" w14:textId="77777777" w:rsidR="00B32EF2" w:rsidRDefault="00000000">
                        <w:r>
                          <w:rPr>
                            <w:rFonts w:ascii="Arial" w:eastAsia="Arial" w:hAnsi="Arial" w:cs="Arial"/>
                            <w:i/>
                            <w:sz w:val="18"/>
                          </w:rPr>
                          <w:t>-</w:t>
                        </w:r>
                      </w:p>
                    </w:txbxContent>
                  </v:textbox>
                </v:rect>
                <v:rect id="Rectangle 14660" o:spid="_x0000_s1475" style="position:absolute;left:-11884;top:6611;width:5104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EOyAAAAN4AAAAPAAAAZHJzL2Rvd25yZXYueG1sRI9Pa8Mw&#10;DMXvg30Ho8Fuq7MxQknrltJRlsMu/TPYUcRqkjaWTew22T79dCj0JqGn995vvhxdp67Ux9azgddJ&#10;Boq48rbl2sBhv3mZgooJ2WLnmQz8UoTl4vFhjoX1A2/puku1EhOOBRpoUgqF1rFqyGGc+EAst6Pv&#10;HSZZ+1rbHgcxd51+y7JcO2xZEhoMtG6oOu8uzsDPB4dyM+jq+LcOX6dy2n1eDt/GPD+NqxmoRGO6&#10;i2/fpZX673kuAIIjM+jFPwAAAP//AwBQSwECLQAUAAYACAAAACEA2+H2y+4AAACFAQAAEwAAAAAA&#10;AAAAAAAAAAAAAAAAW0NvbnRlbnRfVHlwZXNdLnhtbFBLAQItABQABgAIAAAAIQBa9CxbvwAAABUB&#10;AAALAAAAAAAAAAAAAAAAAB8BAABfcmVscy8ucmVsc1BLAQItABQABgAIAAAAIQCt/qEOyAAAAN4A&#10;AAAPAAAAAAAAAAAAAAAAAAcCAABkcnMvZG93bnJldi54bWxQSwUGAAAAAAMAAwC3AAAA/AIAAAAA&#10;" filled="f" stroked="f">
                  <v:textbox inset="0,0,0,0">
                    <w:txbxContent>
                      <w:p w14:paraId="7E9341AB" w14:textId="77777777" w:rsidR="00B32EF2" w:rsidRDefault="00000000">
                        <w:r>
                          <w:rPr>
                            <w:rFonts w:ascii="Arial" w:eastAsia="Arial" w:hAnsi="Arial" w:cs="Arial"/>
                            <w:i/>
                            <w:sz w:val="18"/>
                          </w:rPr>
                          <w:t xml:space="preserve">giore o per fatto dell’avversario; 4) se la sentenza è l’effetto di un errore di </w:t>
                        </w:r>
                      </w:p>
                    </w:txbxContent>
                  </v:textbox>
                </v:rect>
                <v:rect id="Rectangle 14661" o:spid="_x0000_s1476" style="position:absolute;left:-11855;top:5239;width:509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gSVxAAAAN4AAAAPAAAAZHJzL2Rvd25yZXYueG1sRE9Li8Iw&#10;EL4L/ocwwt40VZYiXaOIItvDXnws7HFoxrZrMwlNtN399UYQvM3H95zFqjeNuFHra8sKppMEBHFh&#10;dc2lgtNxN56D8AFZY2OZFPyRh9VyOFhgpm3He7odQiliCPsMFVQhuExKX1Rk0E+sI47c2bYGQ4Rt&#10;KXWLXQw3jZwlSSoN1hwbKnS0qai4HK5Gwc+WXb7rZHH+37iv33zefF5P30q9jfr1B4hAfXiJn+5c&#10;x/nvaTqFxzvxBrm8AwAA//8DAFBLAQItABQABgAIAAAAIQDb4fbL7gAAAIUBAAATAAAAAAAAAAAA&#10;AAAAAAAAAABbQ29udGVudF9UeXBlc10ueG1sUEsBAi0AFAAGAAgAAAAhAFr0LFu/AAAAFQEAAAsA&#10;AAAAAAAAAAAAAAAAHwEAAF9yZWxzLy5yZWxzUEsBAi0AFAAGAAgAAAAhAMKyBJXEAAAA3gAAAA8A&#10;AAAAAAAAAAAAAAAABwIAAGRycy9kb3ducmV2LnhtbFBLBQYAAAAAAwADALcAAAD4AgAAAAA=&#10;" filled="f" stroked="f">
                  <v:textbox inset="0,0,0,0">
                    <w:txbxContent>
                      <w:p w14:paraId="4865EE63" w14:textId="77777777" w:rsidR="00B32EF2" w:rsidRDefault="00000000">
                        <w:r>
                          <w:rPr>
                            <w:rFonts w:ascii="Arial" w:eastAsia="Arial" w:hAnsi="Arial" w:cs="Arial"/>
                            <w:i/>
                            <w:sz w:val="18"/>
                          </w:rPr>
                          <w:t xml:space="preserve">fatto risultante dagli atti o documenti della causa. Vi è questo errore quando </w:t>
                        </w:r>
                      </w:p>
                    </w:txbxContent>
                  </v:textbox>
                </v:rect>
                <v:rect id="Rectangle 14662" o:spid="_x0000_s1477" style="position:absolute;left:-10903;top:3868;width:500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rixAAAAN4AAAAPAAAAZHJzL2Rvd25yZXYueG1sRE9Na8JA&#10;EL0X/A/LFLzVTaUESV1FFGkOXqoRPA7ZMUnNzi7Z1UR/fbdQ8DaP9znz5WBacaPON5YVvE8SEMSl&#10;1Q1XCorD9m0Gwgdkja1lUnAnD8vF6GWOmbY9f9NtHyoRQ9hnqKAOwWVS+rImg35iHXHkzrYzGCLs&#10;Kqk77GO4aeU0SVJpsOHYUKOjdU3lZX81Ck4bdvm2l+X5sXa7n3zWfl2Lo1Lj12H1CSLQEJ7if3eu&#10;4/yPNJ3C3zvxBrn4BQAA//8DAFBLAQItABQABgAIAAAAIQDb4fbL7gAAAIUBAAATAAAAAAAAAAAA&#10;AAAAAAAAAABbQ29udGVudF9UeXBlc10ueG1sUEsBAi0AFAAGAAgAAAAhAFr0LFu/AAAAFQEAAAsA&#10;AAAAAAAAAAAAAAAAHwEAAF9yZWxzLy5yZWxzUEsBAi0AFAAGAAgAAAAhADJgmuLEAAAA3gAAAA8A&#10;AAAAAAAAAAAAAAAABwIAAGRycy9kb3ducmV2LnhtbFBLBQYAAAAAAwADALcAAAD4AgAAAAA=&#10;" filled="f" stroked="f">
                  <v:textbox inset="0,0,0,0">
                    <w:txbxContent>
                      <w:p w14:paraId="3DFFFE55" w14:textId="77777777" w:rsidR="00B32EF2" w:rsidRDefault="00000000">
                        <w:r>
                          <w:rPr>
                            <w:rFonts w:ascii="Arial" w:eastAsia="Arial" w:hAnsi="Arial" w:cs="Arial"/>
                            <w:i/>
                            <w:sz w:val="18"/>
                          </w:rPr>
                          <w:t>la decisione è fondata sulla supposizione di un fatto la cui verità è incon</w:t>
                        </w:r>
                      </w:p>
                    </w:txbxContent>
                  </v:textbox>
                </v:rect>
                <v:rect id="Rectangle 14663" o:spid="_x0000_s1478" style="position:absolute;left:977;top:386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D95xQAAAN4AAAAPAAAAZHJzL2Rvd25yZXYueG1sRE9La8JA&#10;EL4X+h+WEbzVjQ+CpK5SLGIOXnwUehyyY5I2O7tkVxP99W6h4G0+vucsVr1pxJVaX1tWMB4lIIgL&#10;q2suFZyOm7c5CB+QNTaWScGNPKyWry8LzLTteE/XQyhFDGGfoYIqBJdJ6YuKDPqRdcSRO9vWYIiw&#10;LaVusYvhppGTJEmlwZpjQ4WO1hUVv4eLUfD9yS7fdLI439du95PPm+3l9KXUcNB/vIMI1Ien+N+d&#10;6zh/lqZT+Hsn3iCXDwAAAP//AwBQSwECLQAUAAYACAAAACEA2+H2y+4AAACFAQAAEwAAAAAAAAAA&#10;AAAAAAAAAAAAW0NvbnRlbnRfVHlwZXNdLnhtbFBLAQItABQABgAIAAAAIQBa9CxbvwAAABUBAAAL&#10;AAAAAAAAAAAAAAAAAB8BAABfcmVscy8ucmVsc1BLAQItABQABgAIAAAAIQBdLD95xQAAAN4AAAAP&#10;AAAAAAAAAAAAAAAAAAcCAABkcnMvZG93bnJldi54bWxQSwUGAAAAAAMAAwC3AAAA+QIAAAAA&#10;" filled="f" stroked="f">
                  <v:textbox inset="0,0,0,0">
                    <w:txbxContent>
                      <w:p w14:paraId="6CE91FC6" w14:textId="77777777" w:rsidR="00B32EF2" w:rsidRDefault="00000000">
                        <w:r>
                          <w:rPr>
                            <w:rFonts w:ascii="Arial" w:eastAsia="Arial" w:hAnsi="Arial" w:cs="Arial"/>
                            <w:i/>
                            <w:sz w:val="18"/>
                          </w:rPr>
                          <w:t>-</w:t>
                        </w:r>
                      </w:p>
                    </w:txbxContent>
                  </v:textbox>
                </v:rect>
                <v:shape id="Shape 14664" o:spid="_x0000_s1479" style="position:absolute;left:318;top:3542;width:39602;height:17624;visibility:visible;mso-wrap-style:square;v-text-anchor:top" coordsize="3960254,1762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LyKxAAAAN4AAAAPAAAAZHJzL2Rvd25yZXYueG1sRE/basJA&#10;EH0X+g/LFHzTjUVCSd0EFQJFbGnTfsCQnVw0Oxuzq0n/vlso+DaHc51NNplO3GhwrWUFq2UEgri0&#10;uuVawfdXvngG4Tyyxs4yKfghB1n6MNtgou3In3QrfC1CCLsEFTTe94mUrmzIoFvanjhwlR0M+gCH&#10;WuoBxxBuOvkURbE02HJoaLCnfUPlubgaBW8nPHy075dqF5t8HPPtsbJVqdT8cdq+gPA0+bv43/2q&#10;w/x1HK/h751wg0x/AQAA//8DAFBLAQItABQABgAIAAAAIQDb4fbL7gAAAIUBAAATAAAAAAAAAAAA&#10;AAAAAAAAAABbQ29udGVudF9UeXBlc10ueG1sUEsBAi0AFAAGAAgAAAAhAFr0LFu/AAAAFQEAAAsA&#10;AAAAAAAAAAAAAAAAHwEAAF9yZWxzLy5yZWxzUEsBAi0AFAAGAAgAAAAhAJHYvIrEAAAA3gAAAA8A&#10;AAAAAAAAAAAAAAAABwIAAGRycy9kb3ducmV2LnhtbFBLBQYAAAAAAwADALcAAAD4AgAAAAA=&#10;" path="m,1762354r3960254,l3960254,,,,,1762354xe" filled="f" strokeweight=".98pt">
                  <v:stroke miterlimit="1" joinstyle="miter"/>
                  <v:path arrowok="t" textboxrect="0,0,3960254,1762354"/>
                </v:shape>
                <w10:anchorlock/>
              </v:group>
            </w:pict>
          </mc:Fallback>
        </mc:AlternateContent>
      </w:r>
    </w:p>
    <w:p w14:paraId="2DBC2E0F" w14:textId="77777777" w:rsidR="00B32EF2" w:rsidRDefault="00000000">
      <w:pPr>
        <w:spacing w:after="0"/>
        <w:ind w:left="-356" w:right="-306"/>
      </w:pPr>
      <w:r>
        <w:rPr>
          <w:noProof/>
        </w:rPr>
        <w:lastRenderedPageBreak/>
        <mc:AlternateContent>
          <mc:Choice Requires="wpg">
            <w:drawing>
              <wp:inline distT="0" distB="0" distL="0" distR="0" wp14:anchorId="78C78AB9" wp14:editId="1A21C289">
                <wp:extent cx="3992053" cy="6262854"/>
                <wp:effectExtent l="0" t="0" r="0" b="0"/>
                <wp:docPr id="199841" name="Group 199841"/>
                <wp:cNvGraphicFramePr/>
                <a:graphic xmlns:a="http://schemas.openxmlformats.org/drawingml/2006/main">
                  <a:graphicData uri="http://schemas.microsoft.com/office/word/2010/wordprocessingGroup">
                    <wpg:wgp>
                      <wpg:cNvGrpSpPr/>
                      <wpg:grpSpPr>
                        <a:xfrm>
                          <a:off x="0" y="0"/>
                          <a:ext cx="3992053" cy="6262854"/>
                          <a:chOff x="0" y="0"/>
                          <a:chExt cx="3992053" cy="6262854"/>
                        </a:xfrm>
                      </wpg:grpSpPr>
                      <wps:wsp>
                        <wps:cNvPr id="14684" name="Rectangle 14684"/>
                        <wps:cNvSpPr/>
                        <wps:spPr>
                          <a:xfrm rot="-10799999">
                            <a:off x="1900511" y="-62190"/>
                            <a:ext cx="178369" cy="250646"/>
                          </a:xfrm>
                          <a:prstGeom prst="rect">
                            <a:avLst/>
                          </a:prstGeom>
                          <a:ln>
                            <a:noFill/>
                          </a:ln>
                        </wps:spPr>
                        <wps:txbx>
                          <w:txbxContent>
                            <w:p w14:paraId="0D185359" w14:textId="77777777" w:rsidR="00B32EF2" w:rsidRDefault="00000000">
                              <w:r>
                                <w:rPr>
                                  <w:rFonts w:ascii="Times New Roman" w:eastAsia="Times New Roman" w:hAnsi="Times New Roman" w:cs="Times New Roman"/>
                                </w:rPr>
                                <w:t>99</w:t>
                              </w:r>
                            </w:p>
                          </w:txbxContent>
                        </wps:txbx>
                        <wps:bodyPr horzOverflow="overflow" vert="horz" lIns="0" tIns="0" rIns="0" bIns="0" rtlCol="0">
                          <a:noAutofit/>
                        </wps:bodyPr>
                      </wps:wsp>
                      <wps:wsp>
                        <wps:cNvPr id="14685" name="Rectangle 14685"/>
                        <wps:cNvSpPr/>
                        <wps:spPr>
                          <a:xfrm rot="-10799999">
                            <a:off x="-1274191" y="6119964"/>
                            <a:ext cx="5264874" cy="142890"/>
                          </a:xfrm>
                          <a:prstGeom prst="rect">
                            <a:avLst/>
                          </a:prstGeom>
                          <a:ln>
                            <a:noFill/>
                          </a:ln>
                        </wps:spPr>
                        <wps:txbx>
                          <w:txbxContent>
                            <w:p w14:paraId="794EFE47" w14:textId="77777777" w:rsidR="00B32EF2" w:rsidRDefault="00000000">
                              <w:r>
                                <w:rPr>
                                  <w:rFonts w:ascii="Arial" w:eastAsia="Arial" w:hAnsi="Arial" w:cs="Arial"/>
                                  <w:sz w:val="18"/>
                                </w:rPr>
                                <w:t>in tutto o in parte l’esecutività allo scopo di evitare un danno grave e irreparabile.</w:t>
                              </w:r>
                            </w:p>
                          </w:txbxContent>
                        </wps:txbx>
                        <wps:bodyPr horzOverflow="overflow" vert="horz" lIns="0" tIns="0" rIns="0" bIns="0" rtlCol="0">
                          <a:noAutofit/>
                        </wps:bodyPr>
                      </wps:wsp>
                      <wps:wsp>
                        <wps:cNvPr id="199783" name="Rectangle 199783"/>
                        <wps:cNvSpPr/>
                        <wps:spPr>
                          <a:xfrm rot="-10799999">
                            <a:off x="2611002" y="5996634"/>
                            <a:ext cx="5309006" cy="142891"/>
                          </a:xfrm>
                          <a:prstGeom prst="rect">
                            <a:avLst/>
                          </a:prstGeom>
                          <a:ln>
                            <a:noFill/>
                          </a:ln>
                        </wps:spPr>
                        <wps:txbx>
                          <w:txbxContent>
                            <w:p w14:paraId="044512E4"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99785" name="Rectangle 199785"/>
                        <wps:cNvSpPr/>
                        <wps:spPr>
                          <a:xfrm rot="-10799999">
                            <a:off x="-1381737" y="5996634"/>
                            <a:ext cx="5309006" cy="142891"/>
                          </a:xfrm>
                          <a:prstGeom prst="rect">
                            <a:avLst/>
                          </a:prstGeom>
                          <a:ln>
                            <a:noFill/>
                          </a:ln>
                        </wps:spPr>
                        <wps:txbx>
                          <w:txbxContent>
                            <w:p w14:paraId="387294AB" w14:textId="77777777" w:rsidR="00B32EF2" w:rsidRDefault="00000000">
                              <w:r>
                                <w:rPr>
                                  <w:rFonts w:ascii="Arial" w:eastAsia="Arial" w:hAnsi="Arial" w:cs="Arial"/>
                                  <w:sz w:val="18"/>
                                </w:rPr>
                                <w:t xml:space="preserve">. Il presidente fissa con decreto la trattazione della istanza di sospensione </w:t>
                              </w:r>
                            </w:p>
                          </w:txbxContent>
                        </wps:txbx>
                        <wps:bodyPr horzOverflow="overflow" vert="horz" lIns="0" tIns="0" rIns="0" bIns="0" rtlCol="0">
                          <a:noAutofit/>
                        </wps:bodyPr>
                      </wps:wsp>
                      <wps:wsp>
                        <wps:cNvPr id="14687" name="Rectangle 14687"/>
                        <wps:cNvSpPr/>
                        <wps:spPr>
                          <a:xfrm rot="-10799999">
                            <a:off x="-1317195" y="5873305"/>
                            <a:ext cx="5309021" cy="142889"/>
                          </a:xfrm>
                          <a:prstGeom prst="rect">
                            <a:avLst/>
                          </a:prstGeom>
                          <a:ln>
                            <a:noFill/>
                          </a:ln>
                        </wps:spPr>
                        <wps:txbx>
                          <w:txbxContent>
                            <w:p w14:paraId="04DFE695" w14:textId="77777777" w:rsidR="00B32EF2" w:rsidRDefault="00000000">
                              <w:r>
                                <w:rPr>
                                  <w:rFonts w:ascii="Arial" w:eastAsia="Arial" w:hAnsi="Arial" w:cs="Arial"/>
                                  <w:sz w:val="18"/>
                                </w:rPr>
                                <w:t xml:space="preserve">per la prima camera di consiglio utile, comunque non oltre il trentesimo giorno </w:t>
                              </w:r>
                            </w:p>
                          </w:txbxContent>
                        </wps:txbx>
                        <wps:bodyPr horzOverflow="overflow" vert="horz" lIns="0" tIns="0" rIns="0" bIns="0" rtlCol="0">
                          <a:noAutofit/>
                        </wps:bodyPr>
                      </wps:wsp>
                      <wps:wsp>
                        <wps:cNvPr id="14688" name="Rectangle 14688"/>
                        <wps:cNvSpPr/>
                        <wps:spPr>
                          <a:xfrm rot="-10799999">
                            <a:off x="-1218641" y="5749976"/>
                            <a:ext cx="5210467" cy="142889"/>
                          </a:xfrm>
                          <a:prstGeom prst="rect">
                            <a:avLst/>
                          </a:prstGeom>
                          <a:ln>
                            <a:noFill/>
                          </a:ln>
                        </wps:spPr>
                        <wps:txbx>
                          <w:txbxContent>
                            <w:p w14:paraId="674CECC7" w14:textId="77777777" w:rsidR="00B32EF2" w:rsidRDefault="00000000">
                              <w:r>
                                <w:rPr>
                                  <w:rFonts w:ascii="Arial" w:eastAsia="Arial" w:hAnsi="Arial" w:cs="Arial"/>
                                  <w:sz w:val="18"/>
                                </w:rPr>
                                <w:t>dalla presentazione della medesima istanza, disponendo che ne sia data co</w:t>
                              </w:r>
                            </w:p>
                          </w:txbxContent>
                        </wps:txbx>
                        <wps:bodyPr horzOverflow="overflow" vert="horz" lIns="0" tIns="0" rIns="0" bIns="0" rtlCol="0">
                          <a:noAutofit/>
                        </wps:bodyPr>
                      </wps:wsp>
                      <wps:wsp>
                        <wps:cNvPr id="14689" name="Rectangle 14689"/>
                        <wps:cNvSpPr/>
                        <wps:spPr>
                          <a:xfrm rot="-10799999">
                            <a:off x="19227" y="5749975"/>
                            <a:ext cx="50622" cy="142889"/>
                          </a:xfrm>
                          <a:prstGeom prst="rect">
                            <a:avLst/>
                          </a:prstGeom>
                          <a:ln>
                            <a:noFill/>
                          </a:ln>
                        </wps:spPr>
                        <wps:txbx>
                          <w:txbxContent>
                            <w:p w14:paraId="4A1D421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690" name="Rectangle 14690"/>
                        <wps:cNvSpPr/>
                        <wps:spPr>
                          <a:xfrm rot="-10799999">
                            <a:off x="283868" y="5626646"/>
                            <a:ext cx="3707957" cy="142889"/>
                          </a:xfrm>
                          <a:prstGeom prst="rect">
                            <a:avLst/>
                          </a:prstGeom>
                          <a:ln>
                            <a:noFill/>
                          </a:ln>
                        </wps:spPr>
                        <wps:txbx>
                          <w:txbxContent>
                            <w:p w14:paraId="0AEE5D35" w14:textId="77777777" w:rsidR="00B32EF2" w:rsidRDefault="00000000">
                              <w:r>
                                <w:rPr>
                                  <w:rFonts w:ascii="Arial" w:eastAsia="Arial" w:hAnsi="Arial" w:cs="Arial"/>
                                  <w:sz w:val="18"/>
                                </w:rPr>
                                <w:t xml:space="preserve">municazione alle parti almeno dieci giorni liberi prima. </w:t>
                              </w:r>
                            </w:p>
                          </w:txbxContent>
                        </wps:txbx>
                        <wps:bodyPr horzOverflow="overflow" vert="horz" lIns="0" tIns="0" rIns="0" bIns="0" rtlCol="0">
                          <a:noAutofit/>
                        </wps:bodyPr>
                      </wps:wsp>
                      <wps:wsp>
                        <wps:cNvPr id="199781" name="Rectangle 199781"/>
                        <wps:cNvSpPr/>
                        <wps:spPr>
                          <a:xfrm rot="-10799999">
                            <a:off x="2635452" y="5503316"/>
                            <a:ext cx="5210467" cy="142889"/>
                          </a:xfrm>
                          <a:prstGeom prst="rect">
                            <a:avLst/>
                          </a:prstGeom>
                          <a:ln>
                            <a:noFill/>
                          </a:ln>
                        </wps:spPr>
                        <wps:txbx>
                          <w:txbxContent>
                            <w:p w14:paraId="76C779F8"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99782" name="Rectangle 199782"/>
                        <wps:cNvSpPr/>
                        <wps:spPr>
                          <a:xfrm rot="-10799999">
                            <a:off x="-1283164" y="5503316"/>
                            <a:ext cx="5210467" cy="142889"/>
                          </a:xfrm>
                          <a:prstGeom prst="rect">
                            <a:avLst/>
                          </a:prstGeom>
                          <a:ln>
                            <a:noFill/>
                          </a:ln>
                        </wps:spPr>
                        <wps:txbx>
                          <w:txbxContent>
                            <w:p w14:paraId="3D9A2BAF" w14:textId="77777777" w:rsidR="00B32EF2" w:rsidRDefault="00000000">
                              <w:r>
                                <w:rPr>
                                  <w:rFonts w:ascii="Arial" w:eastAsia="Arial" w:hAnsi="Arial" w:cs="Arial"/>
                                  <w:sz w:val="18"/>
                                </w:rPr>
                                <w:t>. In caso di eccezionale urgenza il presidente può disporre con decreto mo</w:t>
                              </w:r>
                            </w:p>
                          </w:txbxContent>
                        </wps:txbx>
                        <wps:bodyPr horzOverflow="overflow" vert="horz" lIns="0" tIns="0" rIns="0" bIns="0" rtlCol="0">
                          <a:noAutofit/>
                        </wps:bodyPr>
                      </wps:wsp>
                      <wps:wsp>
                        <wps:cNvPr id="14692" name="Rectangle 14692"/>
                        <wps:cNvSpPr/>
                        <wps:spPr>
                          <a:xfrm rot="-10799999">
                            <a:off x="19227" y="5503316"/>
                            <a:ext cx="50622" cy="142889"/>
                          </a:xfrm>
                          <a:prstGeom prst="rect">
                            <a:avLst/>
                          </a:prstGeom>
                          <a:ln>
                            <a:noFill/>
                          </a:ln>
                        </wps:spPr>
                        <wps:txbx>
                          <w:txbxContent>
                            <w:p w14:paraId="07DD55D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693" name="Rectangle 14693"/>
                        <wps:cNvSpPr/>
                        <wps:spPr>
                          <a:xfrm rot="-10799999">
                            <a:off x="-1317180" y="5379987"/>
                            <a:ext cx="5309005" cy="142889"/>
                          </a:xfrm>
                          <a:prstGeom prst="rect">
                            <a:avLst/>
                          </a:prstGeom>
                          <a:ln>
                            <a:noFill/>
                          </a:ln>
                        </wps:spPr>
                        <wps:txbx>
                          <w:txbxContent>
                            <w:p w14:paraId="34163291" w14:textId="77777777" w:rsidR="00B32EF2" w:rsidRDefault="00000000">
                              <w:r>
                                <w:rPr>
                                  <w:rFonts w:ascii="Arial" w:eastAsia="Arial" w:hAnsi="Arial" w:cs="Arial"/>
                                  <w:sz w:val="18"/>
                                </w:rPr>
                                <w:t xml:space="preserve">tivato la sospensione dell’esecutività della sentenza fino alla pronuncia del </w:t>
                              </w:r>
                            </w:p>
                          </w:txbxContent>
                        </wps:txbx>
                        <wps:bodyPr horzOverflow="overflow" vert="horz" lIns="0" tIns="0" rIns="0" bIns="0" rtlCol="0">
                          <a:noAutofit/>
                        </wps:bodyPr>
                      </wps:wsp>
                      <wps:wsp>
                        <wps:cNvPr id="14694" name="Rectangle 14694"/>
                        <wps:cNvSpPr/>
                        <wps:spPr>
                          <a:xfrm rot="-10799999">
                            <a:off x="3382193" y="5256657"/>
                            <a:ext cx="610204" cy="142889"/>
                          </a:xfrm>
                          <a:prstGeom prst="rect">
                            <a:avLst/>
                          </a:prstGeom>
                          <a:ln>
                            <a:noFill/>
                          </a:ln>
                        </wps:spPr>
                        <wps:txbx>
                          <w:txbxContent>
                            <w:p w14:paraId="2BBB2543" w14:textId="77777777" w:rsidR="00B32EF2" w:rsidRDefault="00000000">
                              <w:r>
                                <w:rPr>
                                  <w:rFonts w:ascii="Arial" w:eastAsia="Arial" w:hAnsi="Arial" w:cs="Arial"/>
                                  <w:sz w:val="18"/>
                                </w:rPr>
                                <w:t xml:space="preserve">collegio. </w:t>
                              </w:r>
                            </w:p>
                          </w:txbxContent>
                        </wps:txbx>
                        <wps:bodyPr horzOverflow="overflow" vert="horz" lIns="0" tIns="0" rIns="0" bIns="0" rtlCol="0">
                          <a:noAutofit/>
                        </wps:bodyPr>
                      </wps:wsp>
                      <wps:wsp>
                        <wps:cNvPr id="199779" name="Rectangle 199779"/>
                        <wps:cNvSpPr/>
                        <wps:spPr>
                          <a:xfrm rot="-10799999">
                            <a:off x="2610999" y="5133327"/>
                            <a:ext cx="5309020" cy="142889"/>
                          </a:xfrm>
                          <a:prstGeom prst="rect">
                            <a:avLst/>
                          </a:prstGeom>
                          <a:ln>
                            <a:noFill/>
                          </a:ln>
                        </wps:spPr>
                        <wps:txbx>
                          <w:txbxContent>
                            <w:p w14:paraId="6F2AE92C"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99780" name="Rectangle 199780"/>
                        <wps:cNvSpPr/>
                        <wps:spPr>
                          <a:xfrm rot="-10799999">
                            <a:off x="-1380334" y="5133327"/>
                            <a:ext cx="5309021" cy="142889"/>
                          </a:xfrm>
                          <a:prstGeom prst="rect">
                            <a:avLst/>
                          </a:prstGeom>
                          <a:ln>
                            <a:noFill/>
                          </a:ln>
                        </wps:spPr>
                        <wps:txbx>
                          <w:txbxContent>
                            <w:p w14:paraId="23B53770" w14:textId="77777777" w:rsidR="00B32EF2" w:rsidRDefault="00000000">
                              <w:r>
                                <w:rPr>
                                  <w:rFonts w:ascii="Arial" w:eastAsia="Arial" w:hAnsi="Arial" w:cs="Arial"/>
                                  <w:sz w:val="18"/>
                                </w:rPr>
                                <w:t xml:space="preserve">. Il collegio, sentite le parti in camera di consiglio, provvede con ordinanza </w:t>
                              </w:r>
                            </w:p>
                          </w:txbxContent>
                        </wps:txbx>
                        <wps:bodyPr horzOverflow="overflow" vert="horz" lIns="0" tIns="0" rIns="0" bIns="0" rtlCol="0">
                          <a:noAutofit/>
                        </wps:bodyPr>
                      </wps:wsp>
                      <wps:wsp>
                        <wps:cNvPr id="14696" name="Rectangle 14696"/>
                        <wps:cNvSpPr/>
                        <wps:spPr>
                          <a:xfrm rot="-10799999">
                            <a:off x="2158126" y="5009998"/>
                            <a:ext cx="1833699" cy="142889"/>
                          </a:xfrm>
                          <a:prstGeom prst="rect">
                            <a:avLst/>
                          </a:prstGeom>
                          <a:ln>
                            <a:noFill/>
                          </a:ln>
                        </wps:spPr>
                        <wps:txbx>
                          <w:txbxContent>
                            <w:p w14:paraId="30EEF99D" w14:textId="77777777" w:rsidR="00B32EF2" w:rsidRDefault="00000000">
                              <w:r>
                                <w:rPr>
                                  <w:rFonts w:ascii="Arial" w:eastAsia="Arial" w:hAnsi="Arial" w:cs="Arial"/>
                                  <w:sz w:val="18"/>
                                </w:rPr>
                                <w:t xml:space="preserve">motivata non impugnabile. </w:t>
                              </w:r>
                            </w:p>
                          </w:txbxContent>
                        </wps:txbx>
                        <wps:bodyPr horzOverflow="overflow" vert="horz" lIns="0" tIns="0" rIns="0" bIns="0" rtlCol="0">
                          <a:noAutofit/>
                        </wps:bodyPr>
                      </wps:wsp>
                      <wps:wsp>
                        <wps:cNvPr id="199774" name="Rectangle 199774"/>
                        <wps:cNvSpPr/>
                        <wps:spPr>
                          <a:xfrm rot="-10799999">
                            <a:off x="2611463" y="4886668"/>
                            <a:ext cx="5307151" cy="142889"/>
                          </a:xfrm>
                          <a:prstGeom prst="rect">
                            <a:avLst/>
                          </a:prstGeom>
                          <a:ln>
                            <a:noFill/>
                          </a:ln>
                        </wps:spPr>
                        <wps:txbx>
                          <w:txbxContent>
                            <w:p w14:paraId="7A952CA7"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199775" name="Rectangle 199775"/>
                        <wps:cNvSpPr/>
                        <wps:spPr>
                          <a:xfrm rot="-10799999">
                            <a:off x="-1380865" y="4886668"/>
                            <a:ext cx="5307151" cy="142889"/>
                          </a:xfrm>
                          <a:prstGeom prst="rect">
                            <a:avLst/>
                          </a:prstGeom>
                          <a:ln>
                            <a:noFill/>
                          </a:ln>
                        </wps:spPr>
                        <wps:txbx>
                          <w:txbxContent>
                            <w:p w14:paraId="4FE00961" w14:textId="77777777" w:rsidR="00B32EF2" w:rsidRDefault="00000000">
                              <w:r>
                                <w:rPr>
                                  <w:rFonts w:ascii="Arial" w:eastAsia="Arial" w:hAnsi="Arial" w:cs="Arial"/>
                                  <w:sz w:val="18"/>
                                </w:rPr>
                                <w:t xml:space="preserve">. La sospensione può essere subordinata alla prestazione della garanzia di cui </w:t>
                              </w:r>
                            </w:p>
                          </w:txbxContent>
                        </wps:txbx>
                        <wps:bodyPr horzOverflow="overflow" vert="horz" lIns="0" tIns="0" rIns="0" bIns="0" rtlCol="0">
                          <a:noAutofit/>
                        </wps:bodyPr>
                      </wps:wsp>
                      <wps:wsp>
                        <wps:cNvPr id="14698" name="Rectangle 14698"/>
                        <wps:cNvSpPr/>
                        <wps:spPr>
                          <a:xfrm rot="-10799999">
                            <a:off x="-1183922" y="4763338"/>
                            <a:ext cx="5174605" cy="142889"/>
                          </a:xfrm>
                          <a:prstGeom prst="rect">
                            <a:avLst/>
                          </a:prstGeom>
                          <a:ln>
                            <a:noFill/>
                          </a:ln>
                        </wps:spPr>
                        <wps:txbx>
                          <w:txbxContent>
                            <w:p w14:paraId="5CECCEA5" w14:textId="77777777" w:rsidR="00B32EF2" w:rsidRDefault="00000000">
                              <w:r>
                                <w:rPr>
                                  <w:rFonts w:ascii="Arial" w:eastAsia="Arial" w:hAnsi="Arial" w:cs="Arial"/>
                                  <w:sz w:val="18"/>
                                </w:rPr>
                                <w:t xml:space="preserve">all’articolo 127 comma 2. Si applica la disposizione dell’articolo 96, comma 9. </w:t>
                              </w:r>
                            </w:p>
                          </w:txbxContent>
                        </wps:txbx>
                        <wps:bodyPr horzOverflow="overflow" vert="horz" lIns="0" tIns="0" rIns="0" bIns="0" rtlCol="0">
                          <a:noAutofit/>
                        </wps:bodyPr>
                      </wps:wsp>
                      <wps:wsp>
                        <wps:cNvPr id="199772" name="Rectangle 199772"/>
                        <wps:cNvSpPr/>
                        <wps:spPr>
                          <a:xfrm rot="-10799999">
                            <a:off x="2611002" y="4640009"/>
                            <a:ext cx="5309006" cy="142889"/>
                          </a:xfrm>
                          <a:prstGeom prst="rect">
                            <a:avLst/>
                          </a:prstGeom>
                          <a:ln>
                            <a:noFill/>
                          </a:ln>
                        </wps:spPr>
                        <wps:txbx>
                          <w:txbxContent>
                            <w:p w14:paraId="0C9A964D"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199773" name="Rectangle 199773"/>
                        <wps:cNvSpPr/>
                        <wps:spPr>
                          <a:xfrm rot="-10799999">
                            <a:off x="-1381485" y="4640009"/>
                            <a:ext cx="5309005" cy="142889"/>
                          </a:xfrm>
                          <a:prstGeom prst="rect">
                            <a:avLst/>
                          </a:prstGeom>
                          <a:ln>
                            <a:noFill/>
                          </a:ln>
                        </wps:spPr>
                        <wps:txbx>
                          <w:txbxContent>
                            <w:p w14:paraId="79E1B5EC" w14:textId="77777777" w:rsidR="00B32EF2" w:rsidRDefault="00000000">
                              <w:r>
                                <w:rPr>
                                  <w:rFonts w:ascii="Arial" w:eastAsia="Arial" w:hAnsi="Arial" w:cs="Arial"/>
                                  <w:sz w:val="18"/>
                                </w:rPr>
                                <w:t xml:space="preserve">. La corte di giustizia tributaria non può pronunciarsi sulle richieste di cui al </w:t>
                              </w:r>
                            </w:p>
                          </w:txbxContent>
                        </wps:txbx>
                        <wps:bodyPr horzOverflow="overflow" vert="horz" lIns="0" tIns="0" rIns="0" bIns="0" rtlCol="0">
                          <a:noAutofit/>
                        </wps:bodyPr>
                      </wps:wsp>
                      <wps:wsp>
                        <wps:cNvPr id="14700" name="Rectangle 14700"/>
                        <wps:cNvSpPr/>
                        <wps:spPr>
                          <a:xfrm rot="-10799999">
                            <a:off x="-1317210" y="4516679"/>
                            <a:ext cx="5309035" cy="142889"/>
                          </a:xfrm>
                          <a:prstGeom prst="rect">
                            <a:avLst/>
                          </a:prstGeom>
                          <a:ln>
                            <a:noFill/>
                          </a:ln>
                        </wps:spPr>
                        <wps:txbx>
                          <w:txbxContent>
                            <w:p w14:paraId="0A4604E8" w14:textId="77777777" w:rsidR="00B32EF2" w:rsidRDefault="00000000">
                              <w:r>
                                <w:rPr>
                                  <w:rFonts w:ascii="Arial" w:eastAsia="Arial" w:hAnsi="Arial" w:cs="Arial"/>
                                  <w:sz w:val="18"/>
                                </w:rPr>
                                <w:t xml:space="preserve">comma 1 se la parte istante non dimostra di avere depositato il ricorso per </w:t>
                              </w:r>
                            </w:p>
                          </w:txbxContent>
                        </wps:txbx>
                        <wps:bodyPr horzOverflow="overflow" vert="horz" lIns="0" tIns="0" rIns="0" bIns="0" rtlCol="0">
                          <a:noAutofit/>
                        </wps:bodyPr>
                      </wps:wsp>
                      <wps:wsp>
                        <wps:cNvPr id="14701" name="Rectangle 14701"/>
                        <wps:cNvSpPr/>
                        <wps:spPr>
                          <a:xfrm rot="-10799999">
                            <a:off x="1875492" y="4393349"/>
                            <a:ext cx="2116333" cy="142889"/>
                          </a:xfrm>
                          <a:prstGeom prst="rect">
                            <a:avLst/>
                          </a:prstGeom>
                          <a:ln>
                            <a:noFill/>
                          </a:ln>
                        </wps:spPr>
                        <wps:txbx>
                          <w:txbxContent>
                            <w:p w14:paraId="435E75E7" w14:textId="77777777" w:rsidR="00B32EF2" w:rsidRDefault="00000000">
                              <w:r>
                                <w:rPr>
                                  <w:rFonts w:ascii="Arial" w:eastAsia="Arial" w:hAnsi="Arial" w:cs="Arial"/>
                                  <w:sz w:val="18"/>
                                </w:rPr>
                                <w:t>cassazione contro la sentenza.</w:t>
                              </w:r>
                            </w:p>
                          </w:txbxContent>
                        </wps:txbx>
                        <wps:bodyPr horzOverflow="overflow" vert="horz" lIns="0" tIns="0" rIns="0" bIns="0" rtlCol="0">
                          <a:noAutofit/>
                        </wps:bodyPr>
                      </wps:wsp>
                      <wps:wsp>
                        <wps:cNvPr id="14702" name="Rectangle 14702"/>
                        <wps:cNvSpPr/>
                        <wps:spPr>
                          <a:xfrm rot="-10799999">
                            <a:off x="2066352" y="4143031"/>
                            <a:ext cx="277496" cy="142889"/>
                          </a:xfrm>
                          <a:prstGeom prst="rect">
                            <a:avLst/>
                          </a:prstGeom>
                          <a:ln>
                            <a:noFill/>
                          </a:ln>
                        </wps:spPr>
                        <wps:txbx>
                          <w:txbxContent>
                            <w:p w14:paraId="711BF8FC" w14:textId="77777777" w:rsidR="00B32EF2" w:rsidRDefault="00000000">
                              <w:r>
                                <w:rPr>
                                  <w:rFonts w:ascii="Arial" w:eastAsia="Arial" w:hAnsi="Arial" w:cs="Arial"/>
                                  <w:b/>
                                  <w:sz w:val="18"/>
                                </w:rPr>
                                <w:t>Arti</w:t>
                              </w:r>
                            </w:p>
                          </w:txbxContent>
                        </wps:txbx>
                        <wps:bodyPr horzOverflow="overflow" vert="horz" lIns="0" tIns="0" rIns="0" bIns="0" rtlCol="0">
                          <a:noAutofit/>
                        </wps:bodyPr>
                      </wps:wsp>
                      <wps:wsp>
                        <wps:cNvPr id="14703" name="Rectangle 14703"/>
                        <wps:cNvSpPr/>
                        <wps:spPr>
                          <a:xfrm rot="-10799999">
                            <a:off x="1535194" y="4143031"/>
                            <a:ext cx="591597" cy="142889"/>
                          </a:xfrm>
                          <a:prstGeom prst="rect">
                            <a:avLst/>
                          </a:prstGeom>
                          <a:ln>
                            <a:noFill/>
                          </a:ln>
                        </wps:spPr>
                        <wps:txbx>
                          <w:txbxContent>
                            <w:p w14:paraId="0246CA54" w14:textId="77777777" w:rsidR="00B32EF2" w:rsidRDefault="00000000">
                              <w:r>
                                <w:rPr>
                                  <w:rFonts w:ascii="Arial" w:eastAsia="Arial" w:hAnsi="Arial" w:cs="Arial"/>
                                  <w:b/>
                                  <w:sz w:val="18"/>
                                </w:rPr>
                                <w:t>colo 118</w:t>
                              </w:r>
                            </w:p>
                          </w:txbxContent>
                        </wps:txbx>
                        <wps:bodyPr horzOverflow="overflow" vert="horz" lIns="0" tIns="0" rIns="0" bIns="0" rtlCol="0">
                          <a:noAutofit/>
                        </wps:bodyPr>
                      </wps:wsp>
                      <wps:wsp>
                        <wps:cNvPr id="199770" name="Rectangle 199770"/>
                        <wps:cNvSpPr/>
                        <wps:spPr>
                          <a:xfrm rot="-10799999">
                            <a:off x="-265098" y="4016044"/>
                            <a:ext cx="1944384" cy="142889"/>
                          </a:xfrm>
                          <a:prstGeom prst="rect">
                            <a:avLst/>
                          </a:prstGeom>
                          <a:ln>
                            <a:noFill/>
                          </a:ln>
                        </wps:spPr>
                        <wps:txbx>
                          <w:txbxContent>
                            <w:p w14:paraId="73DE4440"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771" name="Rectangle 199771"/>
                        <wps:cNvSpPr/>
                        <wps:spPr>
                          <a:xfrm rot="-10799999">
                            <a:off x="1161685" y="4016044"/>
                            <a:ext cx="1944384" cy="142889"/>
                          </a:xfrm>
                          <a:prstGeom prst="rect">
                            <a:avLst/>
                          </a:prstGeom>
                          <a:ln>
                            <a:noFill/>
                          </a:ln>
                        </wps:spPr>
                        <wps:txbx>
                          <w:txbxContent>
                            <w:p w14:paraId="19F5F895" w14:textId="77777777" w:rsidR="00B32EF2" w:rsidRDefault="00000000">
                              <w:r>
                                <w:rPr>
                                  <w:rFonts w:ascii="Arial" w:eastAsia="Arial" w:hAnsi="Arial" w:cs="Arial"/>
                                  <w:i/>
                                  <w:sz w:val="18"/>
                                </w:rPr>
                                <w:t xml:space="preserve">articolo 63 D.lgs. n. </w:t>
                              </w:r>
                            </w:p>
                          </w:txbxContent>
                        </wps:txbx>
                        <wps:bodyPr horzOverflow="overflow" vert="horz" lIns="0" tIns="0" rIns="0" bIns="0" rtlCol="0">
                          <a:noAutofit/>
                        </wps:bodyPr>
                      </wps:wsp>
                      <wps:wsp>
                        <wps:cNvPr id="199769" name="Rectangle 199769"/>
                        <wps:cNvSpPr/>
                        <wps:spPr>
                          <a:xfrm rot="-10799999">
                            <a:off x="2222365" y="4016044"/>
                            <a:ext cx="1944384" cy="142889"/>
                          </a:xfrm>
                          <a:prstGeom prst="rect">
                            <a:avLst/>
                          </a:prstGeom>
                          <a:ln>
                            <a:noFill/>
                          </a:ln>
                        </wps:spPr>
                        <wps:txbx>
                          <w:txbxContent>
                            <w:p w14:paraId="2B86F5D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705" name="Rectangle 14705"/>
                        <wps:cNvSpPr/>
                        <wps:spPr>
                          <a:xfrm rot="-10799999">
                            <a:off x="1184842" y="3889057"/>
                            <a:ext cx="1299823" cy="142889"/>
                          </a:xfrm>
                          <a:prstGeom prst="rect">
                            <a:avLst/>
                          </a:prstGeom>
                          <a:ln>
                            <a:noFill/>
                          </a:ln>
                        </wps:spPr>
                        <wps:txbx>
                          <w:txbxContent>
                            <w:p w14:paraId="3E5956E2" w14:textId="77777777" w:rsidR="00B32EF2" w:rsidRDefault="00000000">
                              <w:r>
                                <w:rPr>
                                  <w:rFonts w:ascii="Arial" w:eastAsia="Arial" w:hAnsi="Arial" w:cs="Arial"/>
                                  <w:b/>
                                  <w:sz w:val="18"/>
                                </w:rPr>
                                <w:t xml:space="preserve">Giudizio di rinvio </w:t>
                              </w:r>
                            </w:p>
                          </w:txbxContent>
                        </wps:txbx>
                        <wps:bodyPr horzOverflow="overflow" vert="horz" lIns="0" tIns="0" rIns="0" bIns="0" rtlCol="0">
                          <a:noAutofit/>
                        </wps:bodyPr>
                      </wps:wsp>
                      <wps:wsp>
                        <wps:cNvPr id="199768" name="Rectangle 199768"/>
                        <wps:cNvSpPr/>
                        <wps:spPr>
                          <a:xfrm rot="-10799999">
                            <a:off x="-1280234" y="3765728"/>
                            <a:ext cx="5213447" cy="142889"/>
                          </a:xfrm>
                          <a:prstGeom prst="rect">
                            <a:avLst/>
                          </a:prstGeom>
                          <a:ln>
                            <a:noFill/>
                          </a:ln>
                        </wps:spPr>
                        <wps:txbx>
                          <w:txbxContent>
                            <w:p w14:paraId="7A161154" w14:textId="77777777" w:rsidR="00B32EF2" w:rsidRDefault="00000000">
                              <w:r>
                                <w:rPr>
                                  <w:rFonts w:ascii="Arial" w:eastAsia="Arial" w:hAnsi="Arial" w:cs="Arial"/>
                                  <w:sz w:val="18"/>
                                </w:rPr>
                                <w:t>. Quando la Corte di cassazione rinvia la causa alla corte di giustizia tributa</w:t>
                              </w:r>
                            </w:p>
                          </w:txbxContent>
                        </wps:txbx>
                        <wps:bodyPr horzOverflow="overflow" vert="horz" lIns="0" tIns="0" rIns="0" bIns="0" rtlCol="0">
                          <a:noAutofit/>
                        </wps:bodyPr>
                      </wps:wsp>
                      <wps:wsp>
                        <wps:cNvPr id="199767" name="Rectangle 199767"/>
                        <wps:cNvSpPr/>
                        <wps:spPr>
                          <a:xfrm rot="-10799999">
                            <a:off x="2634827" y="3765728"/>
                            <a:ext cx="5213446" cy="142889"/>
                          </a:xfrm>
                          <a:prstGeom prst="rect">
                            <a:avLst/>
                          </a:prstGeom>
                          <a:ln>
                            <a:noFill/>
                          </a:ln>
                        </wps:spPr>
                        <wps:txbx>
                          <w:txbxContent>
                            <w:p w14:paraId="11A71D7A"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4707" name="Rectangle 14707"/>
                        <wps:cNvSpPr/>
                        <wps:spPr>
                          <a:xfrm rot="-10799999">
                            <a:off x="19341" y="3765727"/>
                            <a:ext cx="50622" cy="142889"/>
                          </a:xfrm>
                          <a:prstGeom prst="rect">
                            <a:avLst/>
                          </a:prstGeom>
                          <a:ln>
                            <a:noFill/>
                          </a:ln>
                        </wps:spPr>
                        <wps:txbx>
                          <w:txbxContent>
                            <w:p w14:paraId="701C22F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708" name="Rectangle 14708"/>
                        <wps:cNvSpPr/>
                        <wps:spPr>
                          <a:xfrm rot="-10799999">
                            <a:off x="-1317066" y="3642398"/>
                            <a:ext cx="5309005" cy="142889"/>
                          </a:xfrm>
                          <a:prstGeom prst="rect">
                            <a:avLst/>
                          </a:prstGeom>
                          <a:ln>
                            <a:noFill/>
                          </a:ln>
                        </wps:spPr>
                        <wps:txbx>
                          <w:txbxContent>
                            <w:p w14:paraId="04BBA462" w14:textId="77777777" w:rsidR="00B32EF2" w:rsidRDefault="00000000">
                              <w:r>
                                <w:rPr>
                                  <w:rFonts w:ascii="Arial" w:eastAsia="Arial" w:hAnsi="Arial" w:cs="Arial"/>
                                  <w:sz w:val="18"/>
                                </w:rPr>
                                <w:t xml:space="preserve">ria di primo o di secondo grado la riassunzione deve essere fatta nei confronti </w:t>
                              </w:r>
                            </w:p>
                          </w:txbxContent>
                        </wps:txbx>
                        <wps:bodyPr horzOverflow="overflow" vert="horz" lIns="0" tIns="0" rIns="0" bIns="0" rtlCol="0">
                          <a:noAutofit/>
                        </wps:bodyPr>
                      </wps:wsp>
                      <wps:wsp>
                        <wps:cNvPr id="14709" name="Rectangle 14709"/>
                        <wps:cNvSpPr/>
                        <wps:spPr>
                          <a:xfrm rot="-10799999">
                            <a:off x="-1218831" y="3519068"/>
                            <a:ext cx="5210771" cy="142889"/>
                          </a:xfrm>
                          <a:prstGeom prst="rect">
                            <a:avLst/>
                          </a:prstGeom>
                          <a:ln>
                            <a:noFill/>
                          </a:ln>
                        </wps:spPr>
                        <wps:txbx>
                          <w:txbxContent>
                            <w:p w14:paraId="215BB494" w14:textId="77777777" w:rsidR="00B32EF2" w:rsidRDefault="00000000">
                              <w:r>
                                <w:rPr>
                                  <w:rFonts w:ascii="Arial" w:eastAsia="Arial" w:hAnsi="Arial" w:cs="Arial"/>
                                  <w:sz w:val="18"/>
                                </w:rPr>
                                <w:t>di tutte le parti personalmente entro il termine perentorio di sei mesi dalla pub</w:t>
                              </w:r>
                            </w:p>
                          </w:txbxContent>
                        </wps:txbx>
                        <wps:bodyPr horzOverflow="overflow" vert="horz" lIns="0" tIns="0" rIns="0" bIns="0" rtlCol="0">
                          <a:noAutofit/>
                        </wps:bodyPr>
                      </wps:wsp>
                      <wps:wsp>
                        <wps:cNvPr id="14710" name="Rectangle 14710"/>
                        <wps:cNvSpPr/>
                        <wps:spPr>
                          <a:xfrm rot="-10799999">
                            <a:off x="19341" y="3519068"/>
                            <a:ext cx="50622" cy="142889"/>
                          </a:xfrm>
                          <a:prstGeom prst="rect">
                            <a:avLst/>
                          </a:prstGeom>
                          <a:ln>
                            <a:noFill/>
                          </a:ln>
                        </wps:spPr>
                        <wps:txbx>
                          <w:txbxContent>
                            <w:p w14:paraId="578600A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711" name="Rectangle 14711"/>
                        <wps:cNvSpPr/>
                        <wps:spPr>
                          <a:xfrm rot="-10799999">
                            <a:off x="-1317081" y="3395739"/>
                            <a:ext cx="5309021" cy="142889"/>
                          </a:xfrm>
                          <a:prstGeom prst="rect">
                            <a:avLst/>
                          </a:prstGeom>
                          <a:ln>
                            <a:noFill/>
                          </a:ln>
                        </wps:spPr>
                        <wps:txbx>
                          <w:txbxContent>
                            <w:p w14:paraId="64748A74" w14:textId="77777777" w:rsidR="00B32EF2" w:rsidRDefault="00000000">
                              <w:r>
                                <w:rPr>
                                  <w:rFonts w:ascii="Arial" w:eastAsia="Arial" w:hAnsi="Arial" w:cs="Arial"/>
                                  <w:sz w:val="18"/>
                                </w:rPr>
                                <w:t xml:space="preserve">blicazione della sentenza nelle forme rispettivamente previste per i giudizi di </w:t>
                              </w:r>
                            </w:p>
                          </w:txbxContent>
                        </wps:txbx>
                        <wps:bodyPr horzOverflow="overflow" vert="horz" lIns="0" tIns="0" rIns="0" bIns="0" rtlCol="0">
                          <a:noAutofit/>
                        </wps:bodyPr>
                      </wps:wsp>
                      <wps:wsp>
                        <wps:cNvPr id="14712" name="Rectangle 14712"/>
                        <wps:cNvSpPr/>
                        <wps:spPr>
                          <a:xfrm rot="-10799999">
                            <a:off x="821735" y="3272409"/>
                            <a:ext cx="3170205" cy="142889"/>
                          </a:xfrm>
                          <a:prstGeom prst="rect">
                            <a:avLst/>
                          </a:prstGeom>
                          <a:ln>
                            <a:noFill/>
                          </a:ln>
                        </wps:spPr>
                        <wps:txbx>
                          <w:txbxContent>
                            <w:p w14:paraId="56236060" w14:textId="77777777" w:rsidR="00B32EF2" w:rsidRDefault="00000000">
                              <w:r>
                                <w:rPr>
                                  <w:rFonts w:ascii="Arial" w:eastAsia="Arial" w:hAnsi="Arial" w:cs="Arial"/>
                                  <w:sz w:val="18"/>
                                </w:rPr>
                                <w:t>primo e di secondo grado in quanto applicabili.</w:t>
                              </w:r>
                            </w:p>
                          </w:txbxContent>
                        </wps:txbx>
                        <wps:bodyPr horzOverflow="overflow" vert="horz" lIns="0" tIns="0" rIns="0" bIns="0" rtlCol="0">
                          <a:noAutofit/>
                        </wps:bodyPr>
                      </wps:wsp>
                      <wps:wsp>
                        <wps:cNvPr id="199766" name="Rectangle 199766"/>
                        <wps:cNvSpPr/>
                        <wps:spPr>
                          <a:xfrm rot="-10799999">
                            <a:off x="-1381637" y="3149079"/>
                            <a:ext cx="5309021" cy="142889"/>
                          </a:xfrm>
                          <a:prstGeom prst="rect">
                            <a:avLst/>
                          </a:prstGeom>
                          <a:ln>
                            <a:noFill/>
                          </a:ln>
                        </wps:spPr>
                        <wps:txbx>
                          <w:txbxContent>
                            <w:p w14:paraId="5E0E907D" w14:textId="77777777" w:rsidR="00B32EF2" w:rsidRDefault="00000000">
                              <w:r>
                                <w:rPr>
                                  <w:rFonts w:ascii="Arial" w:eastAsia="Arial" w:hAnsi="Arial" w:cs="Arial"/>
                                  <w:sz w:val="18"/>
                                </w:rPr>
                                <w:t xml:space="preserve">. Se la riassunzione non avviene entro il termine di cui al comma 1 o si avvera </w:t>
                              </w:r>
                            </w:p>
                          </w:txbxContent>
                        </wps:txbx>
                        <wps:bodyPr horzOverflow="overflow" vert="horz" lIns="0" tIns="0" rIns="0" bIns="0" rtlCol="0">
                          <a:noAutofit/>
                        </wps:bodyPr>
                      </wps:wsp>
                      <wps:wsp>
                        <wps:cNvPr id="199765" name="Rectangle 199765"/>
                        <wps:cNvSpPr/>
                        <wps:spPr>
                          <a:xfrm rot="-10799999">
                            <a:off x="2611112" y="3149079"/>
                            <a:ext cx="5309021" cy="142889"/>
                          </a:xfrm>
                          <a:prstGeom prst="rect">
                            <a:avLst/>
                          </a:prstGeom>
                          <a:ln>
                            <a:noFill/>
                          </a:ln>
                        </wps:spPr>
                        <wps:txbx>
                          <w:txbxContent>
                            <w:p w14:paraId="30DF693D"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4714" name="Rectangle 14714"/>
                        <wps:cNvSpPr/>
                        <wps:spPr>
                          <a:xfrm rot="-10799999">
                            <a:off x="-1317096" y="3025750"/>
                            <a:ext cx="5309036" cy="142889"/>
                          </a:xfrm>
                          <a:prstGeom prst="rect">
                            <a:avLst/>
                          </a:prstGeom>
                          <a:ln>
                            <a:noFill/>
                          </a:ln>
                        </wps:spPr>
                        <wps:txbx>
                          <w:txbxContent>
                            <w:p w14:paraId="5D6FFFE0" w14:textId="77777777" w:rsidR="00B32EF2" w:rsidRDefault="00000000">
                              <w:r>
                                <w:rPr>
                                  <w:rFonts w:ascii="Arial" w:eastAsia="Arial" w:hAnsi="Arial" w:cs="Arial"/>
                                  <w:sz w:val="18"/>
                                </w:rPr>
                                <w:t xml:space="preserve">successivamente ad essa una causa di estinzione del giudizio di rinvio l’intero </w:t>
                              </w:r>
                            </w:p>
                          </w:txbxContent>
                        </wps:txbx>
                        <wps:bodyPr horzOverflow="overflow" vert="horz" lIns="0" tIns="0" rIns="0" bIns="0" rtlCol="0">
                          <a:noAutofit/>
                        </wps:bodyPr>
                      </wps:wsp>
                      <wps:wsp>
                        <wps:cNvPr id="14715" name="Rectangle 14715"/>
                        <wps:cNvSpPr/>
                        <wps:spPr>
                          <a:xfrm rot="-10799999">
                            <a:off x="2544308" y="2902420"/>
                            <a:ext cx="1447631" cy="142889"/>
                          </a:xfrm>
                          <a:prstGeom prst="rect">
                            <a:avLst/>
                          </a:prstGeom>
                          <a:ln>
                            <a:noFill/>
                          </a:ln>
                        </wps:spPr>
                        <wps:txbx>
                          <w:txbxContent>
                            <w:p w14:paraId="2FF43864" w14:textId="77777777" w:rsidR="00B32EF2" w:rsidRDefault="00000000">
                              <w:r>
                                <w:rPr>
                                  <w:rFonts w:ascii="Arial" w:eastAsia="Arial" w:hAnsi="Arial" w:cs="Arial"/>
                                  <w:sz w:val="18"/>
                                </w:rPr>
                                <w:t>processo si estingue.</w:t>
                              </w:r>
                            </w:p>
                          </w:txbxContent>
                        </wps:txbx>
                        <wps:bodyPr horzOverflow="overflow" vert="horz" lIns="0" tIns="0" rIns="0" bIns="0" rtlCol="0">
                          <a:noAutofit/>
                        </wps:bodyPr>
                      </wps:wsp>
                      <wps:wsp>
                        <wps:cNvPr id="199762" name="Rectangle 199762"/>
                        <wps:cNvSpPr/>
                        <wps:spPr>
                          <a:xfrm rot="-10799999">
                            <a:off x="2610633" y="2779090"/>
                            <a:ext cx="5310952" cy="142889"/>
                          </a:xfrm>
                          <a:prstGeom prst="rect">
                            <a:avLst/>
                          </a:prstGeom>
                          <a:ln>
                            <a:noFill/>
                          </a:ln>
                        </wps:spPr>
                        <wps:txbx>
                          <w:txbxContent>
                            <w:p w14:paraId="4E8B21A4"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99764" name="Rectangle 199764"/>
                        <wps:cNvSpPr/>
                        <wps:spPr>
                          <a:xfrm rot="-10799999">
                            <a:off x="-1382287" y="2779090"/>
                            <a:ext cx="5310951" cy="142889"/>
                          </a:xfrm>
                          <a:prstGeom prst="rect">
                            <a:avLst/>
                          </a:prstGeom>
                          <a:ln>
                            <a:noFill/>
                          </a:ln>
                        </wps:spPr>
                        <wps:txbx>
                          <w:txbxContent>
                            <w:p w14:paraId="0A62FB2E" w14:textId="77777777" w:rsidR="00B32EF2" w:rsidRDefault="00000000">
                              <w:r>
                                <w:rPr>
                                  <w:rFonts w:ascii="Arial" w:eastAsia="Arial" w:hAnsi="Arial" w:cs="Arial"/>
                                  <w:sz w:val="18"/>
                                </w:rPr>
                                <w:t xml:space="preserve">. In sede di rinvio si osservano le norme stabilite per il procedimento davanti </w:t>
                              </w:r>
                            </w:p>
                          </w:txbxContent>
                        </wps:txbx>
                        <wps:bodyPr horzOverflow="overflow" vert="horz" lIns="0" tIns="0" rIns="0" bIns="0" rtlCol="0">
                          <a:noAutofit/>
                        </wps:bodyPr>
                      </wps:wsp>
                      <wps:wsp>
                        <wps:cNvPr id="14717" name="Rectangle 14717"/>
                        <wps:cNvSpPr/>
                        <wps:spPr>
                          <a:xfrm rot="-10799999">
                            <a:off x="-1317096" y="2655760"/>
                            <a:ext cx="5309036" cy="142889"/>
                          </a:xfrm>
                          <a:prstGeom prst="rect">
                            <a:avLst/>
                          </a:prstGeom>
                          <a:ln>
                            <a:noFill/>
                          </a:ln>
                        </wps:spPr>
                        <wps:txbx>
                          <w:txbxContent>
                            <w:p w14:paraId="5B5ABC01" w14:textId="77777777" w:rsidR="00B32EF2" w:rsidRDefault="00000000">
                              <w:r>
                                <w:rPr>
                                  <w:rFonts w:ascii="Arial" w:eastAsia="Arial" w:hAnsi="Arial" w:cs="Arial"/>
                                  <w:sz w:val="18"/>
                                </w:rPr>
                                <w:t xml:space="preserve">alla corte di giustizia tributaria di primo e secondo grado a cui il processo è </w:t>
                              </w:r>
                            </w:p>
                          </w:txbxContent>
                        </wps:txbx>
                        <wps:bodyPr horzOverflow="overflow" vert="horz" lIns="0" tIns="0" rIns="0" bIns="0" rtlCol="0">
                          <a:noAutofit/>
                        </wps:bodyPr>
                      </wps:wsp>
                      <wps:wsp>
                        <wps:cNvPr id="14718" name="Rectangle 14718"/>
                        <wps:cNvSpPr/>
                        <wps:spPr>
                          <a:xfrm rot="-10799999">
                            <a:off x="-1317019" y="2532430"/>
                            <a:ext cx="5308960" cy="142889"/>
                          </a:xfrm>
                          <a:prstGeom prst="rect">
                            <a:avLst/>
                          </a:prstGeom>
                          <a:ln>
                            <a:noFill/>
                          </a:ln>
                        </wps:spPr>
                        <wps:txbx>
                          <w:txbxContent>
                            <w:p w14:paraId="578C7BEC" w14:textId="77777777" w:rsidR="00B32EF2" w:rsidRDefault="00000000">
                              <w:r>
                                <w:rPr>
                                  <w:rFonts w:ascii="Arial" w:eastAsia="Arial" w:hAnsi="Arial" w:cs="Arial"/>
                                  <w:sz w:val="18"/>
                                </w:rPr>
                                <w:t xml:space="preserve">stato rinviato. In ogni caso, a pena d’inammissibilità, deve essere prodotta </w:t>
                              </w:r>
                            </w:p>
                          </w:txbxContent>
                        </wps:txbx>
                        <wps:bodyPr horzOverflow="overflow" vert="horz" lIns="0" tIns="0" rIns="0" bIns="0" rtlCol="0">
                          <a:noAutofit/>
                        </wps:bodyPr>
                      </wps:wsp>
                      <wps:wsp>
                        <wps:cNvPr id="14719" name="Rectangle 14719"/>
                        <wps:cNvSpPr/>
                        <wps:spPr>
                          <a:xfrm rot="-10799999">
                            <a:off x="860682" y="2409101"/>
                            <a:ext cx="3131256" cy="142889"/>
                          </a:xfrm>
                          <a:prstGeom prst="rect">
                            <a:avLst/>
                          </a:prstGeom>
                          <a:ln>
                            <a:noFill/>
                          </a:ln>
                        </wps:spPr>
                        <wps:txbx>
                          <w:txbxContent>
                            <w:p w14:paraId="616A3358" w14:textId="77777777" w:rsidR="00B32EF2" w:rsidRDefault="00000000">
                              <w:r>
                                <w:rPr>
                                  <w:rFonts w:ascii="Arial" w:eastAsia="Arial" w:hAnsi="Arial" w:cs="Arial"/>
                                  <w:sz w:val="18"/>
                                </w:rPr>
                                <w:t xml:space="preserve">copia autentica della sentenza di cassazione. </w:t>
                              </w:r>
                            </w:p>
                          </w:txbxContent>
                        </wps:txbx>
                        <wps:bodyPr horzOverflow="overflow" vert="horz" lIns="0" tIns="0" rIns="0" bIns="0" rtlCol="0">
                          <a:noAutofit/>
                        </wps:bodyPr>
                      </wps:wsp>
                      <wps:wsp>
                        <wps:cNvPr id="199761" name="Rectangle 199761"/>
                        <wps:cNvSpPr/>
                        <wps:spPr>
                          <a:xfrm rot="-10799999">
                            <a:off x="-1281650" y="2285771"/>
                            <a:ext cx="5210452" cy="142889"/>
                          </a:xfrm>
                          <a:prstGeom prst="rect">
                            <a:avLst/>
                          </a:prstGeom>
                          <a:ln>
                            <a:noFill/>
                          </a:ln>
                        </wps:spPr>
                        <wps:txbx>
                          <w:txbxContent>
                            <w:p w14:paraId="421CE594" w14:textId="77777777" w:rsidR="00B32EF2" w:rsidRDefault="00000000">
                              <w:r>
                                <w:rPr>
                                  <w:rFonts w:ascii="Arial" w:eastAsia="Arial" w:hAnsi="Arial" w:cs="Arial"/>
                                  <w:sz w:val="18"/>
                                </w:rPr>
                                <w:t>. Le parti conservano la stessa posizione processuale che avevano nel pro</w:t>
                              </w:r>
                            </w:p>
                          </w:txbxContent>
                        </wps:txbx>
                        <wps:bodyPr horzOverflow="overflow" vert="horz" lIns="0" tIns="0" rIns="0" bIns="0" rtlCol="0">
                          <a:noAutofit/>
                        </wps:bodyPr>
                      </wps:wsp>
                      <wps:wsp>
                        <wps:cNvPr id="199760" name="Rectangle 199760"/>
                        <wps:cNvSpPr/>
                        <wps:spPr>
                          <a:xfrm rot="-10799999">
                            <a:off x="2635569" y="2285771"/>
                            <a:ext cx="5210452" cy="142889"/>
                          </a:xfrm>
                          <a:prstGeom prst="rect">
                            <a:avLst/>
                          </a:prstGeom>
                          <a:ln>
                            <a:noFill/>
                          </a:ln>
                        </wps:spPr>
                        <wps:txbx>
                          <w:txbxContent>
                            <w:p w14:paraId="4229E9AC"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4721" name="Rectangle 14721"/>
                        <wps:cNvSpPr/>
                        <wps:spPr>
                          <a:xfrm rot="-10799999">
                            <a:off x="19341" y="2285771"/>
                            <a:ext cx="50622" cy="142889"/>
                          </a:xfrm>
                          <a:prstGeom prst="rect">
                            <a:avLst/>
                          </a:prstGeom>
                          <a:ln>
                            <a:noFill/>
                          </a:ln>
                        </wps:spPr>
                        <wps:txbx>
                          <w:txbxContent>
                            <w:p w14:paraId="6D2AA5B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722" name="Rectangle 14722"/>
                        <wps:cNvSpPr/>
                        <wps:spPr>
                          <a:xfrm rot="-10799999">
                            <a:off x="-1228864" y="2162441"/>
                            <a:ext cx="5220804" cy="142889"/>
                          </a:xfrm>
                          <a:prstGeom prst="rect">
                            <a:avLst/>
                          </a:prstGeom>
                          <a:ln>
                            <a:noFill/>
                          </a:ln>
                        </wps:spPr>
                        <wps:txbx>
                          <w:txbxContent>
                            <w:p w14:paraId="3308B0B2" w14:textId="77777777" w:rsidR="00B32EF2" w:rsidRDefault="00000000">
                              <w:r>
                                <w:rPr>
                                  <w:rFonts w:ascii="Arial" w:eastAsia="Arial" w:hAnsi="Arial" w:cs="Arial"/>
                                  <w:sz w:val="18"/>
                                </w:rPr>
                                <w:t>cedimento in cui è stata pronunciata la sentenza cassata e non possono for</w:t>
                              </w:r>
                            </w:p>
                          </w:txbxContent>
                        </wps:txbx>
                        <wps:bodyPr horzOverflow="overflow" vert="horz" lIns="0" tIns="0" rIns="0" bIns="0" rtlCol="0">
                          <a:noAutofit/>
                        </wps:bodyPr>
                      </wps:wsp>
                      <wps:wsp>
                        <wps:cNvPr id="14723" name="Rectangle 14723"/>
                        <wps:cNvSpPr/>
                        <wps:spPr>
                          <a:xfrm rot="-10799999">
                            <a:off x="19341" y="2162441"/>
                            <a:ext cx="50622" cy="142889"/>
                          </a:xfrm>
                          <a:prstGeom prst="rect">
                            <a:avLst/>
                          </a:prstGeom>
                          <a:ln>
                            <a:noFill/>
                          </a:ln>
                        </wps:spPr>
                        <wps:txbx>
                          <w:txbxContent>
                            <w:p w14:paraId="1DA1586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724" name="Rectangle 14724"/>
                        <wps:cNvSpPr/>
                        <wps:spPr>
                          <a:xfrm rot="-10799999">
                            <a:off x="-1220853" y="2039111"/>
                            <a:ext cx="5212793" cy="142889"/>
                          </a:xfrm>
                          <a:prstGeom prst="rect">
                            <a:avLst/>
                          </a:prstGeom>
                          <a:ln>
                            <a:noFill/>
                          </a:ln>
                        </wps:spPr>
                        <wps:txbx>
                          <w:txbxContent>
                            <w:p w14:paraId="25BB92AF" w14:textId="77777777" w:rsidR="00B32EF2" w:rsidRDefault="00000000">
                              <w:r>
                                <w:rPr>
                                  <w:rFonts w:ascii="Arial" w:eastAsia="Arial" w:hAnsi="Arial" w:cs="Arial"/>
                                  <w:sz w:val="18"/>
                                </w:rPr>
                                <w:t>mulare richieste diverse da quelle prese in tale procedimento, salvi gli adegua</w:t>
                              </w:r>
                            </w:p>
                          </w:txbxContent>
                        </wps:txbx>
                        <wps:bodyPr horzOverflow="overflow" vert="horz" lIns="0" tIns="0" rIns="0" bIns="0" rtlCol="0">
                          <a:noAutofit/>
                        </wps:bodyPr>
                      </wps:wsp>
                      <wps:wsp>
                        <wps:cNvPr id="14725" name="Rectangle 14725"/>
                        <wps:cNvSpPr/>
                        <wps:spPr>
                          <a:xfrm rot="-10799999">
                            <a:off x="19341" y="2039112"/>
                            <a:ext cx="50622" cy="142889"/>
                          </a:xfrm>
                          <a:prstGeom prst="rect">
                            <a:avLst/>
                          </a:prstGeom>
                          <a:ln>
                            <a:noFill/>
                          </a:ln>
                        </wps:spPr>
                        <wps:txbx>
                          <w:txbxContent>
                            <w:p w14:paraId="4A5EE92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726" name="Rectangle 14726"/>
                        <wps:cNvSpPr/>
                        <wps:spPr>
                          <a:xfrm rot="-10799999">
                            <a:off x="1034987" y="1915782"/>
                            <a:ext cx="2956952" cy="142889"/>
                          </a:xfrm>
                          <a:prstGeom prst="rect">
                            <a:avLst/>
                          </a:prstGeom>
                          <a:ln>
                            <a:noFill/>
                          </a:ln>
                        </wps:spPr>
                        <wps:txbx>
                          <w:txbxContent>
                            <w:p w14:paraId="01FF19BC" w14:textId="77777777" w:rsidR="00B32EF2" w:rsidRDefault="00000000">
                              <w:r>
                                <w:rPr>
                                  <w:rFonts w:ascii="Arial" w:eastAsia="Arial" w:hAnsi="Arial" w:cs="Arial"/>
                                  <w:sz w:val="18"/>
                                </w:rPr>
                                <w:t>menti imposti dalla sentenza di cassazione.</w:t>
                              </w:r>
                            </w:p>
                          </w:txbxContent>
                        </wps:txbx>
                        <wps:bodyPr horzOverflow="overflow" vert="horz" lIns="0" tIns="0" rIns="0" bIns="0" rtlCol="0">
                          <a:noAutofit/>
                        </wps:bodyPr>
                      </wps:wsp>
                      <wps:wsp>
                        <wps:cNvPr id="199758" name="Rectangle 199758"/>
                        <wps:cNvSpPr/>
                        <wps:spPr>
                          <a:xfrm rot="-10799999">
                            <a:off x="2611131" y="1792452"/>
                            <a:ext cx="5308946" cy="142889"/>
                          </a:xfrm>
                          <a:prstGeom prst="rect">
                            <a:avLst/>
                          </a:prstGeom>
                          <a:ln>
                            <a:noFill/>
                          </a:ln>
                        </wps:spPr>
                        <wps:txbx>
                          <w:txbxContent>
                            <w:p w14:paraId="16F72BF4"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199759" name="Rectangle 199759"/>
                        <wps:cNvSpPr/>
                        <wps:spPr>
                          <a:xfrm rot="-10799999">
                            <a:off x="-1381401" y="1792452"/>
                            <a:ext cx="5308946" cy="142889"/>
                          </a:xfrm>
                          <a:prstGeom prst="rect">
                            <a:avLst/>
                          </a:prstGeom>
                          <a:ln>
                            <a:noFill/>
                          </a:ln>
                        </wps:spPr>
                        <wps:txbx>
                          <w:txbxContent>
                            <w:p w14:paraId="64EA1B8B" w14:textId="77777777" w:rsidR="00B32EF2" w:rsidRDefault="00000000">
                              <w:r>
                                <w:rPr>
                                  <w:rFonts w:ascii="Arial" w:eastAsia="Arial" w:hAnsi="Arial" w:cs="Arial"/>
                                  <w:sz w:val="18"/>
                                </w:rPr>
                                <w:t xml:space="preserve">. Subito dopo il deposito dell’atto di riassunzione, la segreteria della corte di </w:t>
                              </w:r>
                            </w:p>
                          </w:txbxContent>
                        </wps:txbx>
                        <wps:bodyPr horzOverflow="overflow" vert="horz" lIns="0" tIns="0" rIns="0" bIns="0" rtlCol="0">
                          <a:noAutofit/>
                        </wps:bodyPr>
                      </wps:wsp>
                      <wps:wsp>
                        <wps:cNvPr id="14728" name="Rectangle 14728"/>
                        <wps:cNvSpPr/>
                        <wps:spPr>
                          <a:xfrm rot="-10799999">
                            <a:off x="-1317057" y="1669122"/>
                            <a:ext cx="5309568" cy="142889"/>
                          </a:xfrm>
                          <a:prstGeom prst="rect">
                            <a:avLst/>
                          </a:prstGeom>
                          <a:ln>
                            <a:noFill/>
                          </a:ln>
                        </wps:spPr>
                        <wps:txbx>
                          <w:txbxContent>
                            <w:p w14:paraId="2CE53E0B" w14:textId="77777777" w:rsidR="00B32EF2" w:rsidRDefault="00000000">
                              <w:r>
                                <w:rPr>
                                  <w:rFonts w:ascii="Arial" w:eastAsia="Arial" w:hAnsi="Arial" w:cs="Arial"/>
                                  <w:sz w:val="18"/>
                                </w:rPr>
                                <w:t xml:space="preserve">giustizia tributaria adita richiede alla cancelleria della Corte di cassazione la </w:t>
                              </w:r>
                            </w:p>
                          </w:txbxContent>
                        </wps:txbx>
                        <wps:bodyPr horzOverflow="overflow" vert="horz" lIns="0" tIns="0" rIns="0" bIns="0" rtlCol="0">
                          <a:noAutofit/>
                        </wps:bodyPr>
                      </wps:wsp>
                      <wps:wsp>
                        <wps:cNvPr id="14729" name="Rectangle 14729"/>
                        <wps:cNvSpPr/>
                        <wps:spPr>
                          <a:xfrm rot="-10799999">
                            <a:off x="1271589" y="1545793"/>
                            <a:ext cx="2720351" cy="142889"/>
                          </a:xfrm>
                          <a:prstGeom prst="rect">
                            <a:avLst/>
                          </a:prstGeom>
                          <a:ln>
                            <a:noFill/>
                          </a:ln>
                        </wps:spPr>
                        <wps:txbx>
                          <w:txbxContent>
                            <w:p w14:paraId="579B8E13" w14:textId="77777777" w:rsidR="00B32EF2" w:rsidRDefault="00000000">
                              <w:r>
                                <w:rPr>
                                  <w:rFonts w:ascii="Arial" w:eastAsia="Arial" w:hAnsi="Arial" w:cs="Arial"/>
                                  <w:sz w:val="18"/>
                                </w:rPr>
                                <w:t>trasmissione del fascicolo del processo.</w:t>
                              </w:r>
                            </w:p>
                          </w:txbxContent>
                        </wps:txbx>
                        <wps:bodyPr horzOverflow="overflow" vert="horz" lIns="0" tIns="0" rIns="0" bIns="0" rtlCol="0">
                          <a:noAutofit/>
                        </wps:bodyPr>
                      </wps:wsp>
                      <wps:wsp>
                        <wps:cNvPr id="14730" name="Rectangle 14730"/>
                        <wps:cNvSpPr/>
                        <wps:spPr>
                          <a:xfrm rot="-10799999">
                            <a:off x="1463414" y="1266443"/>
                            <a:ext cx="880205" cy="142889"/>
                          </a:xfrm>
                          <a:prstGeom prst="rect">
                            <a:avLst/>
                          </a:prstGeom>
                          <a:ln>
                            <a:noFill/>
                          </a:ln>
                        </wps:spPr>
                        <wps:txbx>
                          <w:txbxContent>
                            <w:p w14:paraId="5B6EC296" w14:textId="77777777" w:rsidR="00B32EF2" w:rsidRDefault="00000000">
                              <w:r>
                                <w:rPr>
                                  <w:rFonts w:ascii="Arial" w:eastAsia="Arial" w:hAnsi="Arial" w:cs="Arial"/>
                                  <w:b/>
                                  <w:sz w:val="18"/>
                                </w:rPr>
                                <w:t>Articolo 119</w:t>
                              </w:r>
                            </w:p>
                          </w:txbxContent>
                        </wps:txbx>
                        <wps:bodyPr horzOverflow="overflow" vert="horz" lIns="0" tIns="0" rIns="0" bIns="0" rtlCol="0">
                          <a:noAutofit/>
                        </wps:bodyPr>
                      </wps:wsp>
                      <wps:wsp>
                        <wps:cNvPr id="199757" name="Rectangle 199757"/>
                        <wps:cNvSpPr/>
                        <wps:spPr>
                          <a:xfrm rot="-10799999">
                            <a:off x="1019361" y="1126769"/>
                            <a:ext cx="2269552" cy="142889"/>
                          </a:xfrm>
                          <a:prstGeom prst="rect">
                            <a:avLst/>
                          </a:prstGeom>
                          <a:ln>
                            <a:noFill/>
                          </a:ln>
                        </wps:spPr>
                        <wps:txbx>
                          <w:txbxContent>
                            <w:p w14:paraId="02BFA2BF" w14:textId="77777777" w:rsidR="00B32EF2" w:rsidRDefault="00000000">
                              <w:r>
                                <w:rPr>
                                  <w:rFonts w:ascii="Arial" w:eastAsia="Arial" w:hAnsi="Arial" w:cs="Arial"/>
                                  <w:i/>
                                  <w:sz w:val="18"/>
                                </w:rPr>
                                <w:t xml:space="preserve">articolo 21-bis D.lgs. n. </w:t>
                              </w:r>
                            </w:p>
                          </w:txbxContent>
                        </wps:txbx>
                        <wps:bodyPr horzOverflow="overflow" vert="horz" lIns="0" tIns="0" rIns="0" bIns="0" rtlCol="0">
                          <a:noAutofit/>
                        </wps:bodyPr>
                      </wps:wsp>
                      <wps:wsp>
                        <wps:cNvPr id="199755" name="Rectangle 199755"/>
                        <wps:cNvSpPr/>
                        <wps:spPr>
                          <a:xfrm rot="-10799999">
                            <a:off x="2263985" y="1126769"/>
                            <a:ext cx="2269552" cy="142889"/>
                          </a:xfrm>
                          <a:prstGeom prst="rect">
                            <a:avLst/>
                          </a:prstGeom>
                          <a:ln>
                            <a:noFill/>
                          </a:ln>
                        </wps:spPr>
                        <wps:txbx>
                          <w:txbxContent>
                            <w:p w14:paraId="19760E1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9756" name="Rectangle 199756"/>
                        <wps:cNvSpPr/>
                        <wps:spPr>
                          <a:xfrm rot="-10799999">
                            <a:off x="-651910" y="1126769"/>
                            <a:ext cx="2269553" cy="142889"/>
                          </a:xfrm>
                          <a:prstGeom prst="rect">
                            <a:avLst/>
                          </a:prstGeom>
                          <a:ln>
                            <a:noFill/>
                          </a:ln>
                        </wps:spPr>
                        <wps:txbx>
                          <w:txbxContent>
                            <w:p w14:paraId="04402AB6" w14:textId="77777777" w:rsidR="00B32EF2" w:rsidRDefault="00000000">
                              <w:r>
                                <w:rPr>
                                  <w:rFonts w:ascii="Arial" w:eastAsia="Arial" w:hAnsi="Arial" w:cs="Arial"/>
                                  <w:i/>
                                  <w:sz w:val="18"/>
                                </w:rPr>
                                <w:t>74/2000)</w:t>
                              </w:r>
                            </w:p>
                          </w:txbxContent>
                        </wps:txbx>
                        <wps:bodyPr horzOverflow="overflow" vert="horz" lIns="0" tIns="0" rIns="0" bIns="0" rtlCol="0">
                          <a:noAutofit/>
                        </wps:bodyPr>
                      </wps:wsp>
                      <wps:wsp>
                        <wps:cNvPr id="14732" name="Rectangle 14732"/>
                        <wps:cNvSpPr/>
                        <wps:spPr>
                          <a:xfrm rot="-10799999">
                            <a:off x="-1208361" y="987095"/>
                            <a:ext cx="5134807" cy="142889"/>
                          </a:xfrm>
                          <a:prstGeom prst="rect">
                            <a:avLst/>
                          </a:prstGeom>
                          <a:ln>
                            <a:noFill/>
                          </a:ln>
                        </wps:spPr>
                        <wps:txbx>
                          <w:txbxContent>
                            <w:p w14:paraId="7571CBD3" w14:textId="77777777" w:rsidR="00B32EF2" w:rsidRDefault="00000000">
                              <w:r>
                                <w:rPr>
                                  <w:rFonts w:ascii="Arial" w:eastAsia="Arial" w:hAnsi="Arial" w:cs="Arial"/>
                                  <w:b/>
                                  <w:sz w:val="18"/>
                                </w:rPr>
                                <w:t xml:space="preserve">Efficacia delle sentenze penali nel processo tributario e nel processo </w:t>
                              </w:r>
                            </w:p>
                          </w:txbxContent>
                        </wps:txbx>
                        <wps:bodyPr horzOverflow="overflow" vert="horz" lIns="0" tIns="0" rIns="0" bIns="0" rtlCol="0">
                          <a:noAutofit/>
                        </wps:bodyPr>
                      </wps:wsp>
                      <wps:wsp>
                        <wps:cNvPr id="14733" name="Rectangle 14733"/>
                        <wps:cNvSpPr/>
                        <wps:spPr>
                          <a:xfrm rot="-10799999">
                            <a:off x="1323639" y="847420"/>
                            <a:ext cx="1077587" cy="142889"/>
                          </a:xfrm>
                          <a:prstGeom prst="rect">
                            <a:avLst/>
                          </a:prstGeom>
                          <a:ln>
                            <a:noFill/>
                          </a:ln>
                        </wps:spPr>
                        <wps:txbx>
                          <w:txbxContent>
                            <w:p w14:paraId="463421B8" w14:textId="77777777" w:rsidR="00B32EF2" w:rsidRDefault="00000000">
                              <w:r>
                                <w:rPr>
                                  <w:rFonts w:ascii="Arial" w:eastAsia="Arial" w:hAnsi="Arial" w:cs="Arial"/>
                                  <w:b/>
                                  <w:sz w:val="18"/>
                                </w:rPr>
                                <w:t xml:space="preserve">di Cassazione </w:t>
                              </w:r>
                            </w:p>
                          </w:txbxContent>
                        </wps:txbx>
                        <wps:bodyPr horzOverflow="overflow" vert="horz" lIns="0" tIns="0" rIns="0" bIns="0" rtlCol="0">
                          <a:noAutofit/>
                        </wps:bodyPr>
                      </wps:wsp>
                      <wps:wsp>
                        <wps:cNvPr id="199754" name="Rectangle 199754"/>
                        <wps:cNvSpPr/>
                        <wps:spPr>
                          <a:xfrm rot="-10799999">
                            <a:off x="-1279756" y="707746"/>
                            <a:ext cx="5212625" cy="142889"/>
                          </a:xfrm>
                          <a:prstGeom prst="rect">
                            <a:avLst/>
                          </a:prstGeom>
                          <a:ln>
                            <a:noFill/>
                          </a:ln>
                        </wps:spPr>
                        <wps:txbx>
                          <w:txbxContent>
                            <w:p w14:paraId="33994B34" w14:textId="77777777" w:rsidR="00B32EF2" w:rsidRDefault="00000000">
                              <w:r>
                                <w:rPr>
                                  <w:rFonts w:ascii="Arial" w:eastAsia="Arial" w:hAnsi="Arial" w:cs="Arial"/>
                                  <w:sz w:val="18"/>
                                </w:rPr>
                                <w:t>. La sentenza irrevocabile di assoluzione perché il fatto non sussiste o l’impu</w:t>
                              </w:r>
                            </w:p>
                          </w:txbxContent>
                        </wps:txbx>
                        <wps:bodyPr horzOverflow="overflow" vert="horz" lIns="0" tIns="0" rIns="0" bIns="0" rtlCol="0">
                          <a:noAutofit/>
                        </wps:bodyPr>
                      </wps:wsp>
                      <wps:wsp>
                        <wps:cNvPr id="199753" name="Rectangle 199753"/>
                        <wps:cNvSpPr/>
                        <wps:spPr>
                          <a:xfrm rot="-10799999">
                            <a:off x="2635144" y="707746"/>
                            <a:ext cx="5212625" cy="142889"/>
                          </a:xfrm>
                          <a:prstGeom prst="rect">
                            <a:avLst/>
                          </a:prstGeom>
                          <a:ln>
                            <a:noFill/>
                          </a:ln>
                        </wps:spPr>
                        <wps:txbx>
                          <w:txbxContent>
                            <w:p w14:paraId="25933BEE"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4735" name="Rectangle 14735"/>
                        <wps:cNvSpPr/>
                        <wps:spPr>
                          <a:xfrm rot="-10799999">
                            <a:off x="19455" y="707746"/>
                            <a:ext cx="50622" cy="142889"/>
                          </a:xfrm>
                          <a:prstGeom prst="rect">
                            <a:avLst/>
                          </a:prstGeom>
                          <a:ln>
                            <a:noFill/>
                          </a:ln>
                        </wps:spPr>
                        <wps:txbx>
                          <w:txbxContent>
                            <w:p w14:paraId="6206815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736" name="Rectangle 14736"/>
                        <wps:cNvSpPr/>
                        <wps:spPr>
                          <a:xfrm rot="-10799999">
                            <a:off x="-1316921" y="568071"/>
                            <a:ext cx="5308975" cy="142889"/>
                          </a:xfrm>
                          <a:prstGeom prst="rect">
                            <a:avLst/>
                          </a:prstGeom>
                          <a:ln>
                            <a:noFill/>
                          </a:ln>
                        </wps:spPr>
                        <wps:txbx>
                          <w:txbxContent>
                            <w:p w14:paraId="774F31C2" w14:textId="77777777" w:rsidR="00B32EF2" w:rsidRDefault="00000000">
                              <w:r>
                                <w:rPr>
                                  <w:rFonts w:ascii="Arial" w:eastAsia="Arial" w:hAnsi="Arial" w:cs="Arial"/>
                                  <w:sz w:val="18"/>
                                </w:rPr>
                                <w:t xml:space="preserve">tato non lo ha commesso, pronunciata in seguito a dibattimento nei confronti </w:t>
                              </w:r>
                            </w:p>
                          </w:txbxContent>
                        </wps:txbx>
                        <wps:bodyPr horzOverflow="overflow" vert="horz" lIns="0" tIns="0" rIns="0" bIns="0" rtlCol="0">
                          <a:noAutofit/>
                        </wps:bodyPr>
                      </wps:wsp>
                      <wps:wsp>
                        <wps:cNvPr id="14737" name="Rectangle 14737"/>
                        <wps:cNvSpPr/>
                        <wps:spPr>
                          <a:xfrm rot="-10799999">
                            <a:off x="-1316997" y="428397"/>
                            <a:ext cx="5309051" cy="142889"/>
                          </a:xfrm>
                          <a:prstGeom prst="rect">
                            <a:avLst/>
                          </a:prstGeom>
                          <a:ln>
                            <a:noFill/>
                          </a:ln>
                        </wps:spPr>
                        <wps:txbx>
                          <w:txbxContent>
                            <w:p w14:paraId="6C58FDD0" w14:textId="77777777" w:rsidR="00B32EF2" w:rsidRDefault="00000000">
                              <w:r>
                                <w:rPr>
                                  <w:rFonts w:ascii="Arial" w:eastAsia="Arial" w:hAnsi="Arial" w:cs="Arial"/>
                                  <w:sz w:val="18"/>
                                </w:rPr>
                                <w:t xml:space="preserve">del medesimo soggetto e sugli stessi fatti materiali oggetto di valutazione nel </w:t>
                              </w:r>
                            </w:p>
                          </w:txbxContent>
                        </wps:txbx>
                        <wps:bodyPr horzOverflow="overflow" vert="horz" lIns="0" tIns="0" rIns="0" bIns="0" rtlCol="0">
                          <a:noAutofit/>
                        </wps:bodyPr>
                      </wps:wsp>
                    </wpg:wgp>
                  </a:graphicData>
                </a:graphic>
              </wp:inline>
            </w:drawing>
          </mc:Choice>
          <mc:Fallback>
            <w:pict>
              <v:group w14:anchorId="78C78AB9" id="Group 199841" o:spid="_x0000_s1480" style="width:314.35pt;height:493.15pt;mso-position-horizontal-relative:char;mso-position-vertical-relative:line" coordsize="39920,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umZ0goAAJCGAAAOAAAAZHJzL2Uyb0RvYy54bWzkXWuP27gV/V6g/8Hw94n5lmRksiiablCg&#10;6C522x+gePwCbMuQnXjSX99zSZnyg0lRcTE0wHyYeOjElnh47uPcS+r9T6/bzejrvD2sm93zmL9j&#10;49F8N2te1rvl8/jf//r5qRyPDsd691Jvmt38efxtfhj/9OHPf3p/2k/nolk1m5d5O8KH7A7T0/55&#10;vDoe99PJ5DBbzbf14V2zn+/w5qJpt/URv7bLyUtbn/Dp281EMGYmp6Z92bfNbH44YPSje3P8wX7+&#10;YjGfHX9ZLA7z42jzPMa1He3P1v78TD8nH97X02Vb71frWXcZ9YCr2NbrHb7Uf9TH+liPvrTru4/a&#10;rmdtc2gWx3ezZjtpFov1bG7vAXfD2c3dfGqbL3t7L8vpabn304SpvZmnwR87++fXT+3+9/2vLWbi&#10;tF9iLuxvdC+vi3ZLf+MqR692yr75KZu/HkczDMqqEkzL8WiG94wwotTKTepshZm/+3+z1d/+x/+c&#10;nL94cnU5pz0WyKGfg0PcHPy+qvdzO7WHKebg13a0fsH6VaZU49Gu3mKp/obFU++Wm/nIDdsJsv/a&#10;T9dhesDMnedq1DZYX0+cFRX9seuhmzteMaY5H48wS09G4Fc3Sedp5EUpTeVmUWhmlKH3/VTU0317&#10;OH6aN9sRvXget7g2+/n1138cju6fnv8JXc5mRz93zc/rzca9SyOY0fMV06vj6+dXe9tKcvo6Gvvc&#10;vHzDZKya9j+/gNaLTXN6HjfdqzExHd9O745Hm7/vAAKR6vyiPb/4fH7RHjd/bSz13PX85cuxWazt&#10;Bfff1l0Y0HXX8CYw6zDM+jwRWBT/P8xPXBSKVw5nw3lVmY4NZ6C1MKossMaIL1yJ0q2Et0NanG8w&#10;D6SrCswKQO3Gu0U/CGsBfBkTltIaQBt5C7VkYL25gNqy7O2glvlBHWI1QR1La1nyQhYPjLVde71J&#10;zcCAA42Qny7Oi34QqZ+45AWvsIxgnnVZSMns0qmn3oATqwUs/NmAlxV949ux2i/lPAw4IjKkECGk&#10;y0ikBS+Ncq5aFwpWwsZcF0gLzpTBMkuFtL2erDiNCDiEtGUYTcQgTvNKiM50W5hvCc2MgBdPBbK3&#10;V7nQGQFvCGQXBw8GWZSyNDAUZLaRhnYJVE9mWSAr0wnJ7K1VHjhT0AXbesdmNx4Xd0utdBd3ayYl&#10;fzS77c1VPlADjiDUPtscZLmRTpeAF9ky0foRsVZWx8nJR1chqJXBcAypL3x0EOakPhpBYndveRAa&#10;aIYkEzscA7JLrkr4f6KzhEpa2uin99LaSibIvhJFY8qv4myQDsvdldcTBhluKUto3FhEBLTQxiDy&#10;wsrpgTacCXahgr5xEq3yk8aKUG6FaAzjMZyGCsqo1mGR5lJKpFpXSFtKC3A+FaX9Ss6D0hRghzIs&#10;Nx4DNcx3iXC7i8a+j3U6bUxlp41VKC/cBd5w1F46GmS+BdclF/hoMt+M+G2z195881KiXNnVK6mK&#10;9db2299fNqSmmuEd0mS/vX0bBjWqWMo4T63K0hiIKLf2u+A6IaczE8gI0u9UsTAebb9L42obj4l1&#10;ZiIZDHW4tuHs7WAx9InDQEP1tgZcFQZh2S2reaEMSlvJojIfdeZjwEPCCbHd55yDDfi5DUEZxeCu&#10;7wz4dRvCG/tqnZlERpCG5BM3HmvAuUIvA8VlP8A6Ha0RJ3Q3mAetVcFCuZYdjkSaFyg/O6Q1N8al&#10;6X0EbtNqmRBpb7WyQTpUzgLSfskPMt+8LLQiTZ0oLSuk1zfmW3BO/juZp0Zvb26UDjlqAO1X/CCg&#10;BUOHYFe2VFxJ5npue0YLpHKUzifSyVzbdkaVrIKFvDRw9gt+EM5cS80hn1tCh3DWFddVukYE7ZPI&#10;PAw3hV0hH+3Go5y0MJpRAkemm3HDlJViekZjGShJ+wlSUTpDlSzkpAnqSC/NDTfnwPshoc5PJaPt&#10;MiFBFOMxrBb4I88i2UNCnZtIVpBOdYc0HLX3ZMMcNS9ViYI/mW+JAga7rVFzgbqHSBh5+4Wcjaem&#10;Ds47pGG+XVEiQg8VJRNd5VIW6EYQt3qo4FKpdFGZyU8ko876INbelQ2itcA+rLLr9/4B1OkSLeND&#10;kTxoDUMdQtoOxzhq9Bd1uzcczLd9J0lbBo0XC7IBOWS6AbKPVgax2bYMQjlxXtooIW9bEVK3DKJ2&#10;nps+Fgq8gbQPVwYijf1Y6PZ2SENCYXedCBDEKZFLlU67rdw5KWRUgLhz0arA8B9kuIMwpzXcPqnI&#10;xXDTqRQhkH2YMpDO2EjLaAsQpVcSW6/kTWHDNYYmpHNm6hh4Gy5sYDiGzuj0LqgQSTiLQqjb/gNa&#10;BzgiJp3Z9vlEHoymdBnx0h2l3XgM0tQAjGIkonnCmqsKWypp6fSKd3JO+2gzH6xD4hhh7R3ZIPtN&#10;p5twMhgPC7UPN/OAGuY71AFshyNJDQNNhWdCmglduIatG1LLdIIJynfdDWaDdIjTQDqS0hrlSOTj&#10;BLTAGSYKu3KurDeHAmooA0tUr+yLdHkATVY6FJK58RhS064sdA05qLHFC0fWXEOtJbZtUTdKKqh9&#10;zJkP1CHzTVDHbeCgoEwIbKS1tP4+1glpnZ1CxsOCN4ZjSO200M5To/dEF65q9ECe2i/lPFgNlxxW&#10;vTEcjzR3u2qFlgJ++9Z+s7IC/Mnstw9FskE6rHoDpBikSwOZ22VZpJxw103cM1riPDrsn0+Hc2Yi&#10;GfljeMqgeBIriAqIJ8itrJ/GMcldT1qPtabz5lLGZN495cFpwjpU4HDjMaxGD4LW1J9GmdZDQu39&#10;Ux5QK2ymCbDaDscA3fcghGFOWsrqT/bIBuRQNg2QfbI5SArFKWQ44KA7hUxwI5Q7EOrScgtWJjzO&#10;Bgd+dKs4G6TDezfQrfkH0TkIc1I6o5aaG8ghxQR09lnmYDqzkh5ZQd6ZyQp1DprZSzrjGH86vSqR&#10;OIaEIDekw4K38FnmIKQvvLOF2U7rBcxp6exNVTY2O1SVBp19ijkMZIYts538iSdv6MKxp4dZVAjF&#10;E6ZV2ACWFZuRPumQKubGu6kYBLWtSXcdgryoBCXL14Yb5a0Kj85JZri9vcqD0wRpSBZz4zFQ21YT&#10;bKq0TvoxsfZmKw+sYahDrLbDkUij/4BOZkc4hoMuKmRbd6yGCceXpwrHMtPFAGmI1HY4BmkE1ThX&#10;0KliHEe4U4h9Zb7RPciweT4d0NmpYigr3WvdqnDVpsHb7ehAQRxx4RhNz2Jwx+32IVmJ3XgJO0Ld&#10;AVj5NPKTOw5VpN14FKUZciwqmJDtxomhhdt83SMtBGLvhMF3/1SRPLw0QRrKpd14DNRAEnuv8NkP&#10;C3Vm+hhBGsqo3XgM1E8G+3K6w8d+wOp0Aln/sIk8WA2PHK5sYDgKaI66xdl+Q0RBS+B1RKaxK76k&#10;7buJQm8XIebjqQF0uLCB4RigucSZJtiARca7VMV95y82VuJph+lwzlAjCxU3yHb7qRikkdETiJ1j&#10;ANTYeY9jfm8oLRCnQVhPRukMNbIQpwnqOFJTlwla9i2pHxLp7BQy2gZ51zoGm+6X/CBK4xg5ium/&#10;x+ekVSwcZNj5pWwisVDMDYz9Yh+EMfV24xlqLpOG2MncXpg+kcbOyhIWI53Zzk8bC0kmANqv+Aig&#10;6fxP8BkPTpGOQVdA4yiydCIonuryIIyenPbL6Wm5tw/XXrb1frWefayP9eXveH3aT+eiWTWbl3n7&#10;4b8AAAD//wMAUEsDBBQABgAIAAAAIQAF8LNt3QAAAAUBAAAPAAAAZHJzL2Rvd25yZXYueG1sTI9B&#10;S8NAEIXvgv9hGcGb3aTFmKbZlFLUUxFsBfE2zU6T0OxsyG6T9N+7etHLwOM93vsmX0+mFQP1rrGs&#10;IJ5FIIhLqxuuFHwcXh5SEM4ja2wtk4IrOVgXtzc5ZtqO/E7D3lcilLDLUEHtfZdJ6cqaDLqZ7YiD&#10;d7K9QR9kX0nd4xjKTSvnUZRIgw2HhRo72tZUnvcXo+B1xHGziJ+H3fm0vX4dHt8+dzEpdX83bVYg&#10;PE3+Lww/+AEdisB0tBfWTrQKwiP+9wYvmadPII4KlmmyAFnk8j998Q0AAP//AwBQSwECLQAUAAYA&#10;CAAAACEAtoM4kv4AAADhAQAAEwAAAAAAAAAAAAAAAAAAAAAAW0NvbnRlbnRfVHlwZXNdLnhtbFBL&#10;AQItABQABgAIAAAAIQA4/SH/1gAAAJQBAAALAAAAAAAAAAAAAAAAAC8BAABfcmVscy8ucmVsc1BL&#10;AQItABQABgAIAAAAIQDhxumZ0goAAJCGAAAOAAAAAAAAAAAAAAAAAC4CAABkcnMvZTJvRG9jLnht&#10;bFBLAQItABQABgAIAAAAIQAF8LNt3QAAAAUBAAAPAAAAAAAAAAAAAAAAACwNAABkcnMvZG93bnJl&#10;di54bWxQSwUGAAAAAAQABADzAAAANg4AAAAA&#10;">
                <v:rect id="Rectangle 14684" o:spid="_x0000_s1481" style="position:absolute;left:19005;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UH3xAAAAN4AAAAPAAAAZHJzL2Rvd25yZXYueG1sRE9Na8JA&#10;EL0X/A/LFLzVTYtISF1FFGkOXqoRPA7ZMUnNzi7Z1UR/fbdQ8DaP9znz5WBacaPON5YVvE8SEMSl&#10;1Q1XCorD9i0F4QOyxtYyKbiTh+Vi9DLHTNuev+m2D5WIIewzVFCH4DIpfVmTQT+xjjhyZ9sZDBF2&#10;ldQd9jHctPIjSWbSYMOxoUZH65rKy/5qFJw27PJtL8vzY+12P3nafl2Lo1Lj12H1CSLQEJ7if3eu&#10;4/zpLJ3C3zvxBrn4BQAA//8DAFBLAQItABQABgAIAAAAIQDb4fbL7gAAAIUBAAATAAAAAAAAAAAA&#10;AAAAAAAAAABbQ29udGVudF9UeXBlc10ueG1sUEsBAi0AFAAGAAgAAAAhAFr0LFu/AAAAFQEAAAsA&#10;AAAAAAAAAAAAAAAAHwEAAF9yZWxzLy5yZWxzUEsBAi0AFAAGAAgAAAAhAGLJQffEAAAA3gAAAA8A&#10;AAAAAAAAAAAAAAAABwIAAGRycy9kb3ducmV2LnhtbFBLBQYAAAAAAwADALcAAAD4AgAAAAA=&#10;" filled="f" stroked="f">
                  <v:textbox inset="0,0,0,0">
                    <w:txbxContent>
                      <w:p w14:paraId="0D185359" w14:textId="77777777" w:rsidR="00B32EF2" w:rsidRDefault="00000000">
                        <w:r>
                          <w:rPr>
                            <w:rFonts w:ascii="Times New Roman" w:eastAsia="Times New Roman" w:hAnsi="Times New Roman" w:cs="Times New Roman"/>
                          </w:rPr>
                          <w:t>99</w:t>
                        </w:r>
                      </w:p>
                    </w:txbxContent>
                  </v:textbox>
                </v:rect>
                <v:rect id="Rectangle 14685" o:spid="_x0000_s1482" style="position:absolute;left:-12741;top:61199;width:526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eRsxAAAAN4AAAAPAAAAZHJzL2Rvd25yZXYueG1sRE9Na8JA&#10;EL0X/A/LCN7qxmIlRFcRRZpDL7UKHofsmESzs0t2NdFf3y0UepvH+5zFqjeNuFPra8sKJuMEBHFh&#10;dc2lgsP37jUF4QOyxsYyKXiQh9Vy8LLATNuOv+i+D6WIIewzVFCF4DIpfVGRQT+2jjhyZ9saDBG2&#10;pdQtdjHcNPItSWbSYM2xoUJHm4qK6/5mFJy27PJdJ4vzc+M+L3nafNwOR6VGw349BxGoD//iP3eu&#10;4/zpLH2H33fiDXL5AwAA//8DAFBLAQItABQABgAIAAAAIQDb4fbL7gAAAIUBAAATAAAAAAAAAAAA&#10;AAAAAAAAAABbQ29udGVudF9UeXBlc10ueG1sUEsBAi0AFAAGAAgAAAAhAFr0LFu/AAAAFQEAAAsA&#10;AAAAAAAAAAAAAAAAHwEAAF9yZWxzLy5yZWxzUEsBAi0AFAAGAAgAAAAhAA2F5GzEAAAA3gAAAA8A&#10;AAAAAAAAAAAAAAAABwIAAGRycy9kb3ducmV2LnhtbFBLBQYAAAAAAwADALcAAAD4AgAAAAA=&#10;" filled="f" stroked="f">
                  <v:textbox inset="0,0,0,0">
                    <w:txbxContent>
                      <w:p w14:paraId="794EFE47" w14:textId="77777777" w:rsidR="00B32EF2" w:rsidRDefault="00000000">
                        <w:r>
                          <w:rPr>
                            <w:rFonts w:ascii="Arial" w:eastAsia="Arial" w:hAnsi="Arial" w:cs="Arial"/>
                            <w:sz w:val="18"/>
                          </w:rPr>
                          <w:t>in tutto o in parte l’esecutività allo scopo di evitare un danno grave e irreparabile.</w:t>
                        </w:r>
                      </w:p>
                    </w:txbxContent>
                  </v:textbox>
                </v:rect>
                <v:rect id="Rectangle 199783" o:spid="_x0000_s1483" style="position:absolute;left:26110;top:599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wLHxQAAAN8AAAAPAAAAZHJzL2Rvd25yZXYueG1sRE/LasJA&#10;FN0X/IfhCu7qRIU2po4iijQLN/UBXV4y1yRt5s6QGU3ar3cKBZeH816setOIG7W+tqxgMk5AEBdW&#10;11wqOB13zykIH5A1NpZJwQ95WC0HTwvMtO34g26HUIoYwj5DBVUILpPSFxUZ9GPriCN3sa3BEGFb&#10;St1iF8NNI6dJ8iIN1hwbKnS0qaj4PlyNgs8tu3zXyeLyu3H7rzxt3q+ns1KjYb9+AxGoDw/xvzvX&#10;cf58/prO4O9PBCCXdwAAAP//AwBQSwECLQAUAAYACAAAACEA2+H2y+4AAACFAQAAEwAAAAAAAAAA&#10;AAAAAAAAAAAAW0NvbnRlbnRfVHlwZXNdLnhtbFBLAQItABQABgAIAAAAIQBa9CxbvwAAABUBAAAL&#10;AAAAAAAAAAAAAAAAAB8BAABfcmVscy8ucmVsc1BLAQItABQABgAIAAAAIQA3hwLHxQAAAN8AAAAP&#10;AAAAAAAAAAAAAAAAAAcCAABkcnMvZG93bnJldi54bWxQSwUGAAAAAAMAAwC3AAAA+QIAAAAA&#10;" filled="f" stroked="f">
                  <v:textbox inset="0,0,0,0">
                    <w:txbxContent>
                      <w:p w14:paraId="044512E4" w14:textId="77777777" w:rsidR="00B32EF2" w:rsidRDefault="00000000">
                        <w:r>
                          <w:rPr>
                            <w:rFonts w:ascii="Arial" w:eastAsia="Arial" w:hAnsi="Arial" w:cs="Arial"/>
                            <w:sz w:val="18"/>
                          </w:rPr>
                          <w:t>2</w:t>
                        </w:r>
                      </w:p>
                    </w:txbxContent>
                  </v:textbox>
                </v:rect>
                <v:rect id="Rectangle 199785" o:spid="_x0000_s1484" style="position:absolute;left:-13817;top:599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j8oxQAAAN8AAAAPAAAAZHJzL2Rvd25yZXYueG1sRE/LasJA&#10;FN0X/IfhCu7qRME2po4iijQLN/UBXV4y1yRt5s6QGU3ar3cKBZeH816setOIG7W+tqxgMk5AEBdW&#10;11wqOB13zykIH5A1NpZJwQ95WC0HTwvMtO34g26HUIoYwj5DBVUILpPSFxUZ9GPriCN3sa3BEGFb&#10;St1iF8NNI6dJ8iIN1hwbKnS0qaj4PlyNgs8tu3zXyeLyu3H7rzxt3q+ns1KjYb9+AxGoDw/xvzvX&#10;cf58/prO4O9PBCCXdwAAAP//AwBQSwECLQAUAAYACAAAACEA2+H2y+4AAACFAQAAEwAAAAAAAAAA&#10;AAAAAAAAAAAAW0NvbnRlbnRfVHlwZXNdLnhtbFBLAQItABQABgAIAAAAIQBa9CxbvwAAABUBAAAL&#10;AAAAAAAAAAAAAAAAAB8BAABfcmVscy8ucmVsc1BLAQItABQABgAIAAAAIQDXIj8oxQAAAN8AAAAP&#10;AAAAAAAAAAAAAAAAAAcCAABkcnMvZG93bnJldi54bWxQSwUGAAAAAAMAAwC3AAAA+QIAAAAA&#10;" filled="f" stroked="f">
                  <v:textbox inset="0,0,0,0">
                    <w:txbxContent>
                      <w:p w14:paraId="387294AB" w14:textId="77777777" w:rsidR="00B32EF2" w:rsidRDefault="00000000">
                        <w:r>
                          <w:rPr>
                            <w:rFonts w:ascii="Arial" w:eastAsia="Arial" w:hAnsi="Arial" w:cs="Arial"/>
                            <w:sz w:val="18"/>
                          </w:rPr>
                          <w:t xml:space="preserve">. Il presidente fissa con decreto la trattazione della istanza di sospensione </w:t>
                        </w:r>
                      </w:p>
                    </w:txbxContent>
                  </v:textbox>
                </v:rect>
                <v:rect id="Rectangle 14687" o:spid="_x0000_s1485" style="position:absolute;left:-13171;top:58733;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9+AxAAAAN4AAAAPAAAAZHJzL2Rvd25yZXYueG1sRE9Na8JA&#10;EL0X/A/LCN7qxiI2RFcRRZpDL7UKHofsmESzs0t2NdFf3y0UepvH+5zFqjeNuFPra8sKJuMEBHFh&#10;dc2lgsP37jUF4QOyxsYyKXiQh9Vy8LLATNuOv+i+D6WIIewzVFCF4DIpfVGRQT+2jjhyZ9saDBG2&#10;pdQtdjHcNPItSWbSYM2xoUJHm4qK6/5mFJy27PJdJ4vzc+M+L3nafNwOR6VGw349BxGoD//iP3eu&#10;4/zpLH2H33fiDXL5AwAA//8DAFBLAQItABQABgAIAAAAIQDb4fbL7gAAAIUBAAATAAAAAAAAAAAA&#10;AAAAAAAAAABbQ29udGVudF9UeXBlc10ueG1sUEsBAi0AFAAGAAgAAAAhAFr0LFu/AAAAFQEAAAsA&#10;AAAAAAAAAAAAAAAAHwEAAF9yZWxzLy5yZWxzUEsBAi0AFAAGAAgAAAAhAJIb34DEAAAA3gAAAA8A&#10;AAAAAAAAAAAAAAAABwIAAGRycy9kb3ducmV2LnhtbFBLBQYAAAAAAwADALcAAAD4AgAAAAA=&#10;" filled="f" stroked="f">
                  <v:textbox inset="0,0,0,0">
                    <w:txbxContent>
                      <w:p w14:paraId="04DFE695" w14:textId="77777777" w:rsidR="00B32EF2" w:rsidRDefault="00000000">
                        <w:r>
                          <w:rPr>
                            <w:rFonts w:ascii="Arial" w:eastAsia="Arial" w:hAnsi="Arial" w:cs="Arial"/>
                            <w:sz w:val="18"/>
                          </w:rPr>
                          <w:t xml:space="preserve">per la prima camera di consiglio utile, comunque non oltre il trentesimo giorno </w:t>
                        </w:r>
                      </w:p>
                    </w:txbxContent>
                  </v:textbox>
                </v:rect>
                <v:rect id="Rectangle 14688" o:spid="_x0000_s1486" style="position:absolute;left:-12186;top:57499;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EvyyAAAAN4AAAAPAAAAZHJzL2Rvd25yZXYueG1sRI9Pa8Mw&#10;DMXvg30Ho8Fuq7MxSkjrltJRlsMu/TPYUcRqkjaWTew22T79dCj0JvGe3vtpvhxdp67Ux9azgddJ&#10;Boq48rbl2sBhv3nJQcWEbLHzTAZ+KcJy8fgwx8L6gbd03aVaSQjHAg00KYVC61g15DBOfCAW7eh7&#10;h0nWvta2x0HCXaffsmyqHbYsDQ0GWjdUnXcXZ+Dng0O5GXR1/FuHr1OZd5+Xw7cxz0/jagYq0Zju&#10;5tt1aQX/fZoLr7wjM+jFPwAAAP//AwBQSwECLQAUAAYACAAAACEA2+H2y+4AAACFAQAAEwAAAAAA&#10;AAAAAAAAAAAAAAAAW0NvbnRlbnRfVHlwZXNdLnhtbFBLAQItABQABgAIAAAAIQBa9CxbvwAAABUB&#10;AAALAAAAAAAAAAAAAAAAAB8BAABfcmVscy8ucmVsc1BLAQItABQABgAIAAAAIQDjhEvyyAAAAN4A&#10;AAAPAAAAAAAAAAAAAAAAAAcCAABkcnMvZG93bnJldi54bWxQSwUGAAAAAAMAAwC3AAAA/AIAAAAA&#10;" filled="f" stroked="f">
                  <v:textbox inset="0,0,0,0">
                    <w:txbxContent>
                      <w:p w14:paraId="674CECC7" w14:textId="77777777" w:rsidR="00B32EF2" w:rsidRDefault="00000000">
                        <w:r>
                          <w:rPr>
                            <w:rFonts w:ascii="Arial" w:eastAsia="Arial" w:hAnsi="Arial" w:cs="Arial"/>
                            <w:sz w:val="18"/>
                          </w:rPr>
                          <w:t>dalla presentazione della medesima istanza, disponendo che ne sia data co</w:t>
                        </w:r>
                      </w:p>
                    </w:txbxContent>
                  </v:textbox>
                </v:rect>
                <v:rect id="Rectangle 14689" o:spid="_x0000_s1487" style="position:absolute;left:192;top:574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O5pxAAAAN4AAAAPAAAAZHJzL2Rvd25yZXYueG1sRE9Na8JA&#10;EL0X/A/LCN7qxiKSRlcRRZpDL7UKHofsmESzs0t2NdFf3y0UepvH+5zFqjeNuFPra8sKJuMEBHFh&#10;dc2lgsP37jUF4QOyxsYyKXiQh9Vy8LLATNuOv+i+D6WIIewzVFCF4DIpfVGRQT+2jjhyZ9saDBG2&#10;pdQtdjHcNPItSWbSYM2xoUJHm4qK6/5mFJy27PJdJ4vzc+M+L3nafNwOR6VGw349BxGoD//iP3eu&#10;4/zpLH2H33fiDXL5AwAA//8DAFBLAQItABQABgAIAAAAIQDb4fbL7gAAAIUBAAATAAAAAAAAAAAA&#10;AAAAAAAAAABbQ29udGVudF9UeXBlc10ueG1sUEsBAi0AFAAGAAgAAAAhAFr0LFu/AAAAFQEAAAsA&#10;AAAAAAAAAAAAAAAAHwEAAF9yZWxzLy5yZWxzUEsBAi0AFAAGAAgAAAAhAIzI7mnEAAAA3gAAAA8A&#10;AAAAAAAAAAAAAAAABwIAAGRycy9kb3ducmV2LnhtbFBLBQYAAAAAAwADALcAAAD4AgAAAAA=&#10;" filled="f" stroked="f">
                  <v:textbox inset="0,0,0,0">
                    <w:txbxContent>
                      <w:p w14:paraId="4A1D421E" w14:textId="77777777" w:rsidR="00B32EF2" w:rsidRDefault="00000000">
                        <w:r>
                          <w:rPr>
                            <w:rFonts w:ascii="Arial" w:eastAsia="Arial" w:hAnsi="Arial" w:cs="Arial"/>
                            <w:sz w:val="18"/>
                          </w:rPr>
                          <w:t>-</w:t>
                        </w:r>
                      </w:p>
                    </w:txbxContent>
                  </v:textbox>
                </v:rect>
                <v:rect id="Rectangle 14690" o:spid="_x0000_s1488" style="position:absolute;left:2838;top:56266;width:370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9EpyAAAAN4AAAAPAAAAZHJzL2Rvd25yZXYueG1sRI9Pa8JA&#10;EMXvgt9hGaE33bQUsamrFIs0h178U+hxyI5J2uzskl1N2k/vHARvM8yb995vuR5cqy7UxcazgcdZ&#10;Boq49LbhysDxsJ0uQMWEbLH1TAb+KMJ6NR4tMbe+5x1d9qlSYsIxRwN1SiHXOpY1OYwzH4jldvKd&#10;wyRrV2nbYS/mrtVPWTbXDhuWhBoDbWoqf/dnZ+D7nUOx7XV5+t+Ez59i0X6cj1/GPEyGt1dQiYZ0&#10;F9++Cyv1n+cvAiA4MoNeXQEAAP//AwBQSwECLQAUAAYACAAAACEA2+H2y+4AAACFAQAAEwAAAAAA&#10;AAAAAAAAAAAAAAAAW0NvbnRlbnRfVHlwZXNdLnhtbFBLAQItABQABgAIAAAAIQBa9CxbvwAAABUB&#10;AAALAAAAAAAAAAAAAAAAAB8BAABfcmVscy8ucmVsc1BLAQItABQABgAIAAAAIQCYK9EpyAAAAN4A&#10;AAAPAAAAAAAAAAAAAAAAAAcCAABkcnMvZG93bnJldi54bWxQSwUGAAAAAAMAAwC3AAAA/AIAAAAA&#10;" filled="f" stroked="f">
                  <v:textbox inset="0,0,0,0">
                    <w:txbxContent>
                      <w:p w14:paraId="0AEE5D35" w14:textId="77777777" w:rsidR="00B32EF2" w:rsidRDefault="00000000">
                        <w:r>
                          <w:rPr>
                            <w:rFonts w:ascii="Arial" w:eastAsia="Arial" w:hAnsi="Arial" w:cs="Arial"/>
                            <w:sz w:val="18"/>
                          </w:rPr>
                          <w:t xml:space="preserve">municazione alle parti almeno dieci giorni liberi prima. </w:t>
                        </w:r>
                      </w:p>
                    </w:txbxContent>
                  </v:textbox>
                </v:rect>
                <v:rect id="Rectangle 199781" o:spid="_x0000_s1489" style="position:absolute;left:26354;top:55033;width:52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TkrxAAAAN8AAAAPAAAAZHJzL2Rvd25yZXYueG1sRE/LasJA&#10;FN0L/sNwBXc6sQsbo6OIIs2im/oAl5fMNUmbuTNkRpP26zuFgsvDea82vWnEg1pfW1YwmyYgiAur&#10;ay4VnE+HSQrCB2SNjWVS8E0eNuvhYIWZth1/0OMYShFD2GeooArBZVL6oiKDfmodceRutjUYImxL&#10;qVvsYrhp5EuSzKXBmmNDhY52FRVfx7tRcN2zyw+dLG4/O/f+mafN2/18UWo86rdLEIH68BT/u3Md&#10;5y8Wr+kM/v5EAHL9CwAA//8DAFBLAQItABQABgAIAAAAIQDb4fbL7gAAAIUBAAATAAAAAAAAAAAA&#10;AAAAAAAAAABbQ29udGVudF9UeXBlc10ueG1sUEsBAi0AFAAGAAgAAAAhAFr0LFu/AAAAFQEAAAsA&#10;AAAAAAAAAAAAAAAAHwEAAF9yZWxzLy5yZWxzUEsBAi0AFAAGAAgAAAAhAKgZOSvEAAAA3wAAAA8A&#10;AAAAAAAAAAAAAAAABwIAAGRycy9kb3ducmV2LnhtbFBLBQYAAAAAAwADALcAAAD4AgAAAAA=&#10;" filled="f" stroked="f">
                  <v:textbox inset="0,0,0,0">
                    <w:txbxContent>
                      <w:p w14:paraId="76C779F8" w14:textId="77777777" w:rsidR="00B32EF2" w:rsidRDefault="00000000">
                        <w:r>
                          <w:rPr>
                            <w:rFonts w:ascii="Arial" w:eastAsia="Arial" w:hAnsi="Arial" w:cs="Arial"/>
                            <w:sz w:val="18"/>
                          </w:rPr>
                          <w:t>3</w:t>
                        </w:r>
                      </w:p>
                    </w:txbxContent>
                  </v:textbox>
                </v:rect>
                <v:rect id="Rectangle 199782" o:spid="_x0000_s1490" style="position:absolute;left:-12831;top:55033;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6dcxAAAAN8AAAAPAAAAZHJzL2Rvd25yZXYueG1sRE/LasJA&#10;FN0L/sNwBXc6qQsbo6MUizSLbuoDXF4y1yRt5s6QGU3ar+8IgsvDea82vWnEjVpfW1bwMk1AEBdW&#10;11wqOB52kxSED8gaG8uk4Jc8bNbDwQozbTv+ots+lCKGsM9QQRWCy6T0RUUG/dQ64shdbGswRNiW&#10;UrfYxXDTyFmSzKXBmmNDhY62FRU/+6tRcH5nl+86WVz+tu7zO0+bj+vxpNR41L8tQQTqw1P8cOc6&#10;zl8sXtMZ3P9EAHL9DwAA//8DAFBLAQItABQABgAIAAAAIQDb4fbL7gAAAIUBAAATAAAAAAAAAAAA&#10;AAAAAAAAAABbQ29udGVudF9UeXBlc10ueG1sUEsBAi0AFAAGAAgAAAAhAFr0LFu/AAAAFQEAAAsA&#10;AAAAAAAAAAAAAAAAHwEAAF9yZWxzLy5yZWxzUEsBAi0AFAAGAAgAAAAhAFjLp1zEAAAA3wAAAA8A&#10;AAAAAAAAAAAAAAAABwIAAGRycy9kb3ducmV2LnhtbFBLBQYAAAAAAwADALcAAAD4AgAAAAA=&#10;" filled="f" stroked="f">
                  <v:textbox inset="0,0,0,0">
                    <w:txbxContent>
                      <w:p w14:paraId="3D9A2BAF" w14:textId="77777777" w:rsidR="00B32EF2" w:rsidRDefault="00000000">
                        <w:r>
                          <w:rPr>
                            <w:rFonts w:ascii="Arial" w:eastAsia="Arial" w:hAnsi="Arial" w:cs="Arial"/>
                            <w:sz w:val="18"/>
                          </w:rPr>
                          <w:t>. In caso di eccezionale urgenza il presidente può disporre con decreto mo</w:t>
                        </w:r>
                      </w:p>
                    </w:txbxContent>
                  </v:textbox>
                </v:rect>
                <v:rect id="Rectangle 14692" o:spid="_x0000_s1491" style="position:absolute;left:192;top:550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rFxAAAAN4AAAAPAAAAZHJzL2Rvd25yZXYueG1sRE9Li8Iw&#10;EL4v+B/CCN7WdEVEq1EWF9ke9uILPA7N2FabSWiirf76jbCwt/n4nrNYdaYWd2p8ZVnBxzABQZxb&#10;XXGh4LDfvE9B+ICssbZMCh7kYbXsvS0w1bblLd13oRAxhH2KCsoQXCqlz0sy6IfWEUfubBuDIcKm&#10;kLrBNoabWo6SZCINVhwbSnS0Lim/7m5GwemLXbZpZX5+rt3PJZvW37fDUalBv/ucgwjUhX/xnzvT&#10;cf54MhvB6514g1z+AgAA//8DAFBLAQItABQABgAIAAAAIQDb4fbL7gAAAIUBAAATAAAAAAAAAAAA&#10;AAAAAAAAAABbQ29udGVudF9UeXBlc10ueG1sUEsBAi0AFAAGAAgAAAAhAFr0LFu/AAAAFQEAAAsA&#10;AAAAAAAAAAAAAAAAHwEAAF9yZWxzLy5yZWxzUEsBAi0AFAAGAAgAAAAhAAe16sXEAAAA3gAAAA8A&#10;AAAAAAAAAAAAAAAABwIAAGRycy9kb3ducmV2LnhtbFBLBQYAAAAAAwADALcAAAD4AgAAAAA=&#10;" filled="f" stroked="f">
                  <v:textbox inset="0,0,0,0">
                    <w:txbxContent>
                      <w:p w14:paraId="07DD55DA" w14:textId="77777777" w:rsidR="00B32EF2" w:rsidRDefault="00000000">
                        <w:r>
                          <w:rPr>
                            <w:rFonts w:ascii="Arial" w:eastAsia="Arial" w:hAnsi="Arial" w:cs="Arial"/>
                            <w:sz w:val="18"/>
                          </w:rPr>
                          <w:t>-</w:t>
                        </w:r>
                      </w:p>
                    </w:txbxContent>
                  </v:textbox>
                </v:rect>
                <v:rect id="Rectangle 14693" o:spid="_x0000_s1492" style="position:absolute;left:-13171;top:537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9exQAAAN4AAAAPAAAAZHJzL2Rvd25yZXYueG1sRE9La8JA&#10;EL4X+h+WKXirGx+Ija4iiphDL7UWehyyYxLNzi7Z1UR/vVsoeJuP7znzZWdqcaXGV5YVDPoJCOLc&#10;6ooLBYfv7fsUhA/IGmvLpOBGHpaL15c5ptq2/EXXfShEDGGfooIyBJdK6fOSDPq+dcSRO9rGYIiw&#10;KaRusI3hppbDJJlIgxXHhhIdrUvKz/uLUfC7YZdtW5kf72v3ecqm9e5y+FGq99atZiACdeEp/ndn&#10;Os4fTz5G8PdOvEEuHgAAAP//AwBQSwECLQAUAAYACAAAACEA2+H2y+4AAACFAQAAEwAAAAAAAAAA&#10;AAAAAAAAAAAAW0NvbnRlbnRfVHlwZXNdLnhtbFBLAQItABQABgAIAAAAIQBa9CxbvwAAABUBAAAL&#10;AAAAAAAAAAAAAAAAAB8BAABfcmVscy8ucmVsc1BLAQItABQABgAIAAAAIQBo+U9exQAAAN4AAAAP&#10;AAAAAAAAAAAAAAAAAAcCAABkcnMvZG93bnJldi54bWxQSwUGAAAAAAMAAwC3AAAA+QIAAAAA&#10;" filled="f" stroked="f">
                  <v:textbox inset="0,0,0,0">
                    <w:txbxContent>
                      <w:p w14:paraId="34163291" w14:textId="77777777" w:rsidR="00B32EF2" w:rsidRDefault="00000000">
                        <w:r>
                          <w:rPr>
                            <w:rFonts w:ascii="Arial" w:eastAsia="Arial" w:hAnsi="Arial" w:cs="Arial"/>
                            <w:sz w:val="18"/>
                          </w:rPr>
                          <w:t xml:space="preserve">tivato la sospensione dell’esecutività della sentenza fino alla pronuncia del </w:t>
                        </w:r>
                      </w:p>
                    </w:txbxContent>
                  </v:textbox>
                </v:rect>
                <v:rect id="Rectangle 14694" o:spid="_x0000_s1493" style="position:absolute;left:33821;top:52566;width:61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NcqxAAAAN4AAAAPAAAAZHJzL2Rvd25yZXYueG1sRE9Li8Iw&#10;EL4v+B/CCN7WdBcRrUZZXMQe9uILPA7N2FabSWiirf76jbCwt/n4njNfdqYWd2p8ZVnBxzABQZxb&#10;XXGh4LBfv09A+ICssbZMCh7kYbnovc0x1bblLd13oRAxhH2KCsoQXCqlz0sy6IfWEUfubBuDIcKm&#10;kLrBNoabWn4myVgarDg2lOhoVVJ+3d2MgtM3u2zdyvz8XLmfSzapN7fDUalBv/uagQjUhX/xnzvT&#10;cf5oPB3B6514g1z8AgAA//8DAFBLAQItABQABgAIAAAAIQDb4fbL7gAAAIUBAAATAAAAAAAAAAAA&#10;AAAAAAAAAABbQ29udGVudF9UeXBlc10ueG1sUEsBAi0AFAAGAAgAAAAhAFr0LFu/AAAAFQEAAAsA&#10;AAAAAAAAAAAAAAAAHwEAAF9yZWxzLy5yZWxzUEsBAi0AFAAGAAgAAAAhAOcQ1yrEAAAA3gAAAA8A&#10;AAAAAAAAAAAAAAAABwIAAGRycy9kb3ducmV2LnhtbFBLBQYAAAAAAwADALcAAAD4AgAAAAA=&#10;" filled="f" stroked="f">
                  <v:textbox inset="0,0,0,0">
                    <w:txbxContent>
                      <w:p w14:paraId="2BBB2543" w14:textId="77777777" w:rsidR="00B32EF2" w:rsidRDefault="00000000">
                        <w:r>
                          <w:rPr>
                            <w:rFonts w:ascii="Arial" w:eastAsia="Arial" w:hAnsi="Arial" w:cs="Arial"/>
                            <w:sz w:val="18"/>
                          </w:rPr>
                          <w:t xml:space="preserve">collegio. </w:t>
                        </w:r>
                      </w:p>
                    </w:txbxContent>
                  </v:textbox>
                </v:rect>
                <v:rect id="Rectangle 199779" o:spid="_x0000_s1494" style="position:absolute;left:26109;top:51333;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kUKxAAAAN8AAAAPAAAAZHJzL2Rvd25yZXYueG1sRE/Pa8Iw&#10;FL4L/g/hCd401cO0nVFEkfWwy5yDHR/Ns+3WvIQm2rq/fhEEjx/f79WmN424Uutrywpm0wQEcWF1&#10;zaWC0+dhsgThA7LGxjIpuJGHzXo4WGGmbccfdD2GUsQQ9hkqqEJwmZS+qMign1pHHLmzbQ2GCNtS&#10;6ha7GG4aOU+SF2mw5thQoaNdRcXv8WIUfO/Z5YdOFue/nXv/yZfN2+X0pdR41G9fQQTqw1P8cOc6&#10;zk/TxSKF+58IQK7/AQAA//8DAFBLAQItABQABgAIAAAAIQDb4fbL7gAAAIUBAAATAAAAAAAAAAAA&#10;AAAAAAAAAABbQ29udGVudF9UeXBlc10ueG1sUEsBAi0AFAAGAAgAAAAhAFr0LFu/AAAAFQEAAAsA&#10;AAAAAAAAAAAAAAAAHwEAAF9yZWxzLy5yZWxzUEsBAi0AFAAGAAgAAAAhAGO6RQrEAAAA3wAAAA8A&#10;AAAAAAAAAAAAAAAABwIAAGRycy9kb3ducmV2LnhtbFBLBQYAAAAAAwADALcAAAD4AgAAAAA=&#10;" filled="f" stroked="f">
                  <v:textbox inset="0,0,0,0">
                    <w:txbxContent>
                      <w:p w14:paraId="6F2AE92C" w14:textId="77777777" w:rsidR="00B32EF2" w:rsidRDefault="00000000">
                        <w:r>
                          <w:rPr>
                            <w:rFonts w:ascii="Arial" w:eastAsia="Arial" w:hAnsi="Arial" w:cs="Arial"/>
                            <w:sz w:val="18"/>
                          </w:rPr>
                          <w:t>4</w:t>
                        </w:r>
                      </w:p>
                    </w:txbxContent>
                  </v:textbox>
                </v:rect>
                <v:rect id="Rectangle 199780" o:spid="_x0000_s1495" style="position:absolute;left:-13803;top:513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ZywxAAAAN8AAAAPAAAAZHJzL2Rvd25yZXYueG1sRE9NT8JA&#10;EL2b8B82Q+JNtnjQUlkIgRB78CJg4nHSHdpKd3bTXWj11zsHE48v73u5Hl2nbtTH1rOB+SwDRVx5&#10;23Jt4HTcP+SgYkK22HkmA98UYb2a3C2xsH7gd7odUq0khGOBBpqUQqF1rBpyGGc+EAt39r3DJLCv&#10;te1xkHDX6ccse9IOW5aGBgNtG6ouh6sz8LnjUO4HXZ1/tuHtq8y71+vpw5j76bh5AZVoTP/iP3dp&#10;Zf5i8ZzLA/kjAPTqFwAA//8DAFBLAQItABQABgAIAAAAIQDb4fbL7gAAAIUBAAATAAAAAAAAAAAA&#10;AAAAAAAAAABbQ29udGVudF9UeXBlc10ueG1sUEsBAi0AFAAGAAgAAAAhAFr0LFu/AAAAFQEAAAsA&#10;AAAAAAAAAAAAAAAAHwEAAF9yZWxzLy5yZWxzUEsBAi0AFAAGAAgAAAAhAMdVnLDEAAAA3wAAAA8A&#10;AAAAAAAAAAAAAAAABwIAAGRycy9kb3ducmV2LnhtbFBLBQYAAAAAAwADALcAAAD4AgAAAAA=&#10;" filled="f" stroked="f">
                  <v:textbox inset="0,0,0,0">
                    <w:txbxContent>
                      <w:p w14:paraId="23B53770" w14:textId="77777777" w:rsidR="00B32EF2" w:rsidRDefault="00000000">
                        <w:r>
                          <w:rPr>
                            <w:rFonts w:ascii="Arial" w:eastAsia="Arial" w:hAnsi="Arial" w:cs="Arial"/>
                            <w:sz w:val="18"/>
                          </w:rPr>
                          <w:t xml:space="preserve">. Il collegio, sentite le parti in camera di consiglio, provvede con ordinanza </w:t>
                        </w:r>
                      </w:p>
                    </w:txbxContent>
                  </v:textbox>
                </v:rect>
                <v:rect id="Rectangle 14696" o:spid="_x0000_s1496" style="position:absolute;left:21581;top:50099;width:183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uzGxAAAAN4AAAAPAAAAZHJzL2Rvd25yZXYueG1sRE9Na8JA&#10;EL0X/A/LCN7qxiLBRlcRRZpDL7UKHofsmESzs0t2NdFf3y0UepvH+5zFqjeNuFPra8sKJuMEBHFh&#10;dc2lgsP37nUGwgdkjY1lUvAgD6vl4GWBmbYdf9F9H0oRQ9hnqKAKwWVS+qIig35sHXHkzrY1GCJs&#10;S6lb7GK4aeRbkqTSYM2xoUJHm4qK6/5mFJy27PJdJ4vzc+M+L/ms+bgdjkqNhv16DiJQH/7Ff+5c&#10;x/nT9D2F33fiDXL5AwAA//8DAFBLAQItABQABgAIAAAAIQDb4fbL7gAAAIUBAAATAAAAAAAAAAAA&#10;AAAAAAAAAABbQ29udGVudF9UeXBlc10ueG1sUEsBAi0AFAAGAAgAAAAhAFr0LFu/AAAAFQEAAAsA&#10;AAAAAAAAAAAAAAAAHwEAAF9yZWxzLy5yZWxzUEsBAi0AFAAGAAgAAAAhAHiO7MbEAAAA3gAAAA8A&#10;AAAAAAAAAAAAAAAABwIAAGRycy9kb3ducmV2LnhtbFBLBQYAAAAAAwADALcAAAD4AgAAAAA=&#10;" filled="f" stroked="f">
                  <v:textbox inset="0,0,0,0">
                    <w:txbxContent>
                      <w:p w14:paraId="30EEF99D" w14:textId="77777777" w:rsidR="00B32EF2" w:rsidRDefault="00000000">
                        <w:r>
                          <w:rPr>
                            <w:rFonts w:ascii="Arial" w:eastAsia="Arial" w:hAnsi="Arial" w:cs="Arial"/>
                            <w:sz w:val="18"/>
                          </w:rPr>
                          <w:t xml:space="preserve">motivata non impugnabile. </w:t>
                        </w:r>
                      </w:p>
                    </w:txbxContent>
                  </v:textbox>
                </v:rect>
                <v:rect id="Rectangle 199774" o:spid="_x0000_s1497" style="position:absolute;left:26114;top:48866;width:530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qUxAAAAN8AAAAPAAAAZHJzL2Rvd25yZXYueG1sRE/LasJA&#10;FN0L/sNwBXc6aSlVU0cpFjELNz4KXV4y1yRt5s6QGU3q1zuC4PJw3vNlZ2pxocZXlhW8jBMQxLnV&#10;FRcKjof1aArCB2SNtWVS8E8elot+b46pti3v6LIPhYgh7FNUUIbgUil9XpJBP7aOOHIn2xgMETaF&#10;1A22MdzU8jVJ3qXBimNDiY5WJeV/+7NR8PPFLlu3Mj9dV277m03rzfn4rdRw0H1+gAjUhaf44c50&#10;nD+bTSZvcP8TAcjFDQAA//8DAFBLAQItABQABgAIAAAAIQDb4fbL7gAAAIUBAAATAAAAAAAAAAAA&#10;AAAAAAAAAABbQ29udGVudF9UeXBlc10ueG1sUEsBAi0AFAAGAAgAAAAhAFr0LFu/AAAAFQEAAAsA&#10;AAAAAAAAAAAAAAAAHwEAAF9yZWxzLy5yZWxzUEsBAi0AFAAGAAgAAAAhAI276pTEAAAA3wAAAA8A&#10;AAAAAAAAAAAAAAAABwIAAGRycy9kb3ducmV2LnhtbFBLBQYAAAAAAwADALcAAAD4AgAAAAA=&#10;" filled="f" stroked="f">
                  <v:textbox inset="0,0,0,0">
                    <w:txbxContent>
                      <w:p w14:paraId="7A952CA7" w14:textId="77777777" w:rsidR="00B32EF2" w:rsidRDefault="00000000">
                        <w:r>
                          <w:rPr>
                            <w:rFonts w:ascii="Arial" w:eastAsia="Arial" w:hAnsi="Arial" w:cs="Arial"/>
                            <w:sz w:val="18"/>
                          </w:rPr>
                          <w:t>5</w:t>
                        </w:r>
                      </w:p>
                    </w:txbxContent>
                  </v:textbox>
                </v:rect>
                <v:rect id="Rectangle 199775" o:spid="_x0000_s1498" style="position:absolute;left:-13808;top:48866;width:53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08PxAAAAN8AAAAPAAAAZHJzL2Rvd25yZXYueG1sRE/LasJA&#10;FN0L/sNwBXc6aaFVU0cpFjELNz4KXV4y1yRt5s6QGU3q1zuC4PJw3vNlZ2pxocZXlhW8jBMQxLnV&#10;FRcKjof1aArCB2SNtWVS8E8elot+b46pti3v6LIPhYgh7FNUUIbgUil9XpJBP7aOOHIn2xgMETaF&#10;1A22MdzU8jVJ3qXBimNDiY5WJeV/+7NR8PPFLlu3Mj9dV277m03rzfn4rdRw0H1+gAjUhaf44c50&#10;nD+bTSZvcP8TAcjFDQAA//8DAFBLAQItABQABgAIAAAAIQDb4fbL7gAAAIUBAAATAAAAAAAAAAAA&#10;AAAAAAAAAABbQ29udGVudF9UeXBlc10ueG1sUEsBAi0AFAAGAAgAAAAhAFr0LFu/AAAAFQEAAAsA&#10;AAAAAAAAAAAAAAAAHwEAAF9yZWxzLy5yZWxzUEsBAi0AFAAGAAgAAAAhAOL3Tw/EAAAA3wAAAA8A&#10;AAAAAAAAAAAAAAAABwIAAGRycy9kb3ducmV2LnhtbFBLBQYAAAAAAwADALcAAAD4AgAAAAA=&#10;" filled="f" stroked="f">
                  <v:textbox inset="0,0,0,0">
                    <w:txbxContent>
                      <w:p w14:paraId="4FE00961" w14:textId="77777777" w:rsidR="00B32EF2" w:rsidRDefault="00000000">
                        <w:r>
                          <w:rPr>
                            <w:rFonts w:ascii="Arial" w:eastAsia="Arial" w:hAnsi="Arial" w:cs="Arial"/>
                            <w:sz w:val="18"/>
                          </w:rPr>
                          <w:t xml:space="preserve">. La sospensione può essere subordinata alla prestazione della garanzia di cui </w:t>
                        </w:r>
                      </w:p>
                    </w:txbxContent>
                  </v:textbox>
                </v:rect>
                <v:rect id="Rectangle 14698" o:spid="_x0000_s1499" style="position:absolute;left:-11839;top:47633;width:517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d0vyAAAAN4AAAAPAAAAZHJzL2Rvd25yZXYueG1sRI9Pa8JA&#10;EMXvgt9hGaE33bQUsamrFIs0h178U+hxyI5J2uzskl1N2k/vHARvM7w37/1muR5cqy7UxcazgcdZ&#10;Boq49LbhysDxsJ0uQMWEbLH1TAb+KMJ6NR4tMbe+5x1d9qlSEsIxRwN1SiHXOpY1OYwzH4hFO/nO&#10;YZK1q7TtsJdw1+qnLJtrhw1LQ42BNjWVv/uzM/D9zqHY9ro8/W/C50+xaD/Oxy9jHibD2yuoREO6&#10;m2/XhRX85/mL8Mo7MoNeXQEAAP//AwBQSwECLQAUAAYACAAAACEA2+H2y+4AAACFAQAAEwAAAAAA&#10;AAAAAAAAAAAAAAAAW0NvbnRlbnRfVHlwZXNdLnhtbFBLAQItABQABgAIAAAAIQBa9CxbvwAAABUB&#10;AAALAAAAAAAAAAAAAAAAAB8BAABfcmVscy8ucmVsc1BLAQItABQABgAIAAAAIQBmXd0vyAAAAN4A&#10;AAAPAAAAAAAAAAAAAAAAAAcCAABkcnMvZG93bnJldi54bWxQSwUGAAAAAAMAAwC3AAAA/AIAAAAA&#10;" filled="f" stroked="f">
                  <v:textbox inset="0,0,0,0">
                    <w:txbxContent>
                      <w:p w14:paraId="5CECCEA5" w14:textId="77777777" w:rsidR="00B32EF2" w:rsidRDefault="00000000">
                        <w:r>
                          <w:rPr>
                            <w:rFonts w:ascii="Arial" w:eastAsia="Arial" w:hAnsi="Arial" w:cs="Arial"/>
                            <w:sz w:val="18"/>
                          </w:rPr>
                          <w:t xml:space="preserve">all’articolo 127 comma 2. Si applica la disposizione dell’articolo 96, comma 9. </w:t>
                        </w:r>
                      </w:p>
                    </w:txbxContent>
                  </v:textbox>
                </v:rect>
                <v:rect id="Rectangle 199772" o:spid="_x0000_s1500" style="position:absolute;left:26110;top:46400;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d7xAAAAN8AAAAPAAAAZHJzL2Rvd25yZXYueG1sRE/LisIw&#10;FN0P+A/hDrgb03HhoxplUMQu3OgouLw017ZOcxOaaKtfbwYGZnk47/myM7W4U+Mrywo+BwkI4tzq&#10;igsFx+/NxwSED8gaa8uk4EEelove2xxTbVve0/0QChFD2KeooAzBpVL6vCSDfmAdceQutjEYImwK&#10;qRtsY7ip5TBJRtJgxbGhREerkvKfw80oOK/ZZZtW5pfnyu2u2aTe3o4npfrv3dcMRKAu/Iv/3JmO&#10;86fT8XgIv38iALl4AQAA//8DAFBLAQItABQABgAIAAAAIQDb4fbL7gAAAIUBAAATAAAAAAAAAAAA&#10;AAAAAAAAAABbQ29udGVudF9UeXBlc10ueG1sUEsBAi0AFAAGAAgAAAAhAFr0LFu/AAAAFQEAAAsA&#10;AAAAAAAAAAAAAAAAHwEAAF9yZWxzLy5yZWxzUEsBAi0AFAAGAAgAAAAhAG0e13vEAAAA3wAAAA8A&#10;AAAAAAAAAAAAAAAABwIAAGRycy9kb3ducmV2LnhtbFBLBQYAAAAAAwADALcAAAD4AgAAAAA=&#10;" filled="f" stroked="f">
                  <v:textbox inset="0,0,0,0">
                    <w:txbxContent>
                      <w:p w14:paraId="0C9A964D" w14:textId="77777777" w:rsidR="00B32EF2" w:rsidRDefault="00000000">
                        <w:r>
                          <w:rPr>
                            <w:rFonts w:ascii="Arial" w:eastAsia="Arial" w:hAnsi="Arial" w:cs="Arial"/>
                            <w:sz w:val="18"/>
                          </w:rPr>
                          <w:t>6</w:t>
                        </w:r>
                      </w:p>
                    </w:txbxContent>
                  </v:textbox>
                </v:rect>
                <v:rect id="Rectangle 199773" o:spid="_x0000_s1501" style="position:absolute;left:-13814;top:46400;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LgxAAAAN8AAAAPAAAAZHJzL2Rvd25yZXYueG1sRE/LasJA&#10;FN0L/sNwBXc6aQtVU0cpFjELNz4KXV4y1yRt5s6QGU3q1zuC4PJw3vNlZ2pxocZXlhW8jBMQxLnV&#10;FRcKjof1aArCB2SNtWVS8E8elot+b46pti3v6LIPhYgh7FNUUIbgUil9XpJBP7aOOHIn2xgMETaF&#10;1A22MdzU8jVJ3qXBimNDiY5WJeV/+7NR8PPFLlu3Mj9dV277m03rzfn4rdRw0H1+gAjUhaf44c50&#10;nD+bTSZvcP8TAcjFDQAA//8DAFBLAQItABQABgAIAAAAIQDb4fbL7gAAAIUBAAATAAAAAAAAAAAA&#10;AAAAAAAAAABbQ29udGVudF9UeXBlc10ueG1sUEsBAi0AFAAGAAgAAAAhAFr0LFu/AAAAFQEAAAsA&#10;AAAAAAAAAAAAAAAAHwEAAF9yZWxzLy5yZWxzUEsBAi0AFAAGAAgAAAAhAAJScuDEAAAA3wAAAA8A&#10;AAAAAAAAAAAAAAAABwIAAGRycy9kb3ducmV2LnhtbFBLBQYAAAAAAwADALcAAAD4AgAAAAA=&#10;" filled="f" stroked="f">
                  <v:textbox inset="0,0,0,0">
                    <w:txbxContent>
                      <w:p w14:paraId="79E1B5EC" w14:textId="77777777" w:rsidR="00B32EF2" w:rsidRDefault="00000000">
                        <w:r>
                          <w:rPr>
                            <w:rFonts w:ascii="Arial" w:eastAsia="Arial" w:hAnsi="Arial" w:cs="Arial"/>
                            <w:sz w:val="18"/>
                          </w:rPr>
                          <w:t xml:space="preserve">. La corte di giustizia tributaria non può pronunciarsi sulle richieste di cui al </w:t>
                        </w:r>
                      </w:p>
                    </w:txbxContent>
                  </v:textbox>
                </v:rect>
                <v:rect id="Rectangle 14700" o:spid="_x0000_s1502" style="position:absolute;left:-13172;top:451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EszxwAAAN4AAAAPAAAAZHJzL2Rvd25yZXYueG1sRI9Ba8JA&#10;EIXvhf6HZQre6sZSrKSuIhZpDr1oLfQ4ZMckmp1dsquJ/fXOQehthnnz3vvmy8G16kJdbDwbmIwz&#10;UMSltw1XBvbfm+cZqJiQLbaeycCVIiwXjw9zzK3veUuXXaqUmHDM0UCdUsi1jmVNDuPYB2K5HXzn&#10;MMnaVdp22Iu5a/VLlk21w4YlocZA65rK0+7sDPx+cCg2vS4Pf+vwdSxm7ed5/2PM6GlYvYNKNKR/&#10;8f27sFL/9S0TAMGRGfTiBgAA//8DAFBLAQItABQABgAIAAAAIQDb4fbL7gAAAIUBAAATAAAAAAAA&#10;AAAAAAAAAAAAAABbQ29udGVudF9UeXBlc10ueG1sUEsBAi0AFAAGAAgAAAAhAFr0LFu/AAAAFQEA&#10;AAsAAAAAAAAAAAAAAAAAHwEAAF9yZWxzLy5yZWxzUEsBAi0AFAAGAAgAAAAhAAbASzPHAAAA3gAA&#10;AA8AAAAAAAAAAAAAAAAABwIAAGRycy9kb3ducmV2LnhtbFBLBQYAAAAAAwADALcAAAD7AgAAAAA=&#10;" filled="f" stroked="f">
                  <v:textbox inset="0,0,0,0">
                    <w:txbxContent>
                      <w:p w14:paraId="0A4604E8" w14:textId="77777777" w:rsidR="00B32EF2" w:rsidRDefault="00000000">
                        <w:r>
                          <w:rPr>
                            <w:rFonts w:ascii="Arial" w:eastAsia="Arial" w:hAnsi="Arial" w:cs="Arial"/>
                            <w:sz w:val="18"/>
                          </w:rPr>
                          <w:t xml:space="preserve">comma 1 se la parte istante non dimostra di avere depositato il ricorso per </w:t>
                        </w:r>
                      </w:p>
                    </w:txbxContent>
                  </v:textbox>
                </v:rect>
                <v:rect id="Rectangle 14701" o:spid="_x0000_s1503" style="position:absolute;left:18754;top:43933;width:211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6oxAAAAN4AAAAPAAAAZHJzL2Rvd25yZXYueG1sRE9Na8JA&#10;EL0X+h+WKXirG4tYia4iFjGHXtQUehyyYxLNzi7Z1cT+elcoeJvH+5z5sjeNuFLra8sKRsMEBHFh&#10;dc2lgvyweZ+C8AFZY2OZFNzIw3Lx+jLHVNuOd3Tdh1LEEPYpKqhCcKmUvqjIoB9aRxy5o20Nhgjb&#10;UuoWuxhuGvmRJBNpsObYUKGjdUXFeX8xCn6/2GWbThbHv7X7PmXTZnvJf5QavPWrGYhAfXiK/92Z&#10;jvPHn8kIHu/EG+TiDgAA//8DAFBLAQItABQABgAIAAAAIQDb4fbL7gAAAIUBAAATAAAAAAAAAAAA&#10;AAAAAAAAAABbQ29udGVudF9UeXBlc10ueG1sUEsBAi0AFAAGAAgAAAAhAFr0LFu/AAAAFQEAAAsA&#10;AAAAAAAAAAAAAAAAHwEAAF9yZWxzLy5yZWxzUEsBAi0AFAAGAAgAAAAhAGmM7qjEAAAA3gAAAA8A&#10;AAAAAAAAAAAAAAAABwIAAGRycy9kb3ducmV2LnhtbFBLBQYAAAAAAwADALcAAAD4AgAAAAA=&#10;" filled="f" stroked="f">
                  <v:textbox inset="0,0,0,0">
                    <w:txbxContent>
                      <w:p w14:paraId="435E75E7" w14:textId="77777777" w:rsidR="00B32EF2" w:rsidRDefault="00000000">
                        <w:r>
                          <w:rPr>
                            <w:rFonts w:ascii="Arial" w:eastAsia="Arial" w:hAnsi="Arial" w:cs="Arial"/>
                            <w:sz w:val="18"/>
                          </w:rPr>
                          <w:t>cassazione contro la sentenza.</w:t>
                        </w:r>
                      </w:p>
                    </w:txbxContent>
                  </v:textbox>
                </v:rect>
                <v:rect id="Rectangle 14702" o:spid="_x0000_s1504" style="position:absolute;left:20663;top:41430;width:27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nDfxQAAAN4AAAAPAAAAZHJzL2Rvd25yZXYueG1sRE9La8JA&#10;EL4X+h+WKfRWNxWpkrqRYhFz8KKm0OOQnTza7OySXU3qr+8Kgrf5+J6zXI2mE2fqfWtZweskAUFc&#10;Wt1yraA4bl4WIHxA1thZJgV/5GGVPT4sMdV24D2dD6EWMYR9igqaEFwqpS8bMugn1hFHrrK9wRBh&#10;X0vd4xDDTSenSfImDbYcGxp0tG6o/D2cjILvT3b5ZpBldVm73U++6Lan4kup56fx4x1EoDHcxTd3&#10;ruP82TyZwvWdeIPM/gEAAP//AwBQSwECLQAUAAYACAAAACEA2+H2y+4AAACFAQAAEwAAAAAAAAAA&#10;AAAAAAAAAAAAW0NvbnRlbnRfVHlwZXNdLnhtbFBLAQItABQABgAIAAAAIQBa9CxbvwAAABUBAAAL&#10;AAAAAAAAAAAAAAAAAB8BAABfcmVscy8ucmVsc1BLAQItABQABgAIAAAAIQCZXnDfxQAAAN4AAAAP&#10;AAAAAAAAAAAAAAAAAAcCAABkcnMvZG93bnJldi54bWxQSwUGAAAAAAMAAwC3AAAA+QIAAAAA&#10;" filled="f" stroked="f">
                  <v:textbox inset="0,0,0,0">
                    <w:txbxContent>
                      <w:p w14:paraId="711BF8FC" w14:textId="77777777" w:rsidR="00B32EF2" w:rsidRDefault="00000000">
                        <w:r>
                          <w:rPr>
                            <w:rFonts w:ascii="Arial" w:eastAsia="Arial" w:hAnsi="Arial" w:cs="Arial"/>
                            <w:b/>
                            <w:sz w:val="18"/>
                          </w:rPr>
                          <w:t>Arti</w:t>
                        </w:r>
                      </w:p>
                    </w:txbxContent>
                  </v:textbox>
                </v:rect>
                <v:rect id="Rectangle 14703" o:spid="_x0000_s1505" style="position:absolute;left:15351;top:41430;width:59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tVExQAAAN4AAAAPAAAAZHJzL2Rvd25yZXYueG1sRE9LawIx&#10;EL4L/Q9hCr252T6wshqlWMQ99KK14HHYzD50Mwmb6K799Y0g9DYf33Pmy8G04kKdbywreE5SEMSF&#10;1Q1XCvbf6/EUhA/IGlvLpOBKHpaLh9EcM2173tJlFyoRQ9hnqKAOwWVS+qImgz6xjjhype0Mhgi7&#10;SuoO+xhuWvmSphNpsOHYUKOjVU3FaXc2Cg6f7PJ1L4vyd+W+jvm03Zz3P0o9PQ4fMxCBhvAvvrtz&#10;Hee/vaevcHsn3iAXfwAAAP//AwBQSwECLQAUAAYACAAAACEA2+H2y+4AAACFAQAAEwAAAAAAAAAA&#10;AAAAAAAAAAAAW0NvbnRlbnRfVHlwZXNdLnhtbFBLAQItABQABgAIAAAAIQBa9CxbvwAAABUBAAAL&#10;AAAAAAAAAAAAAAAAAB8BAABfcmVscy8ucmVsc1BLAQItABQABgAIAAAAIQD2EtVExQAAAN4AAAAP&#10;AAAAAAAAAAAAAAAAAAcCAABkcnMvZG93bnJldi54bWxQSwUGAAAAAAMAAwC3AAAA+QIAAAAA&#10;" filled="f" stroked="f">
                  <v:textbox inset="0,0,0,0">
                    <w:txbxContent>
                      <w:p w14:paraId="0246CA54" w14:textId="77777777" w:rsidR="00B32EF2" w:rsidRDefault="00000000">
                        <w:r>
                          <w:rPr>
                            <w:rFonts w:ascii="Arial" w:eastAsia="Arial" w:hAnsi="Arial" w:cs="Arial"/>
                            <w:b/>
                            <w:sz w:val="18"/>
                          </w:rPr>
                          <w:t>colo 118</w:t>
                        </w:r>
                      </w:p>
                    </w:txbxContent>
                  </v:textbox>
                </v:rect>
                <v:rect id="Rectangle 199770" o:spid="_x0000_s1506" style="position:absolute;left:-2650;top:40160;width:194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OyXxQAAAN8AAAAPAAAAZHJzL2Rvd25yZXYueG1sRE87b8Iw&#10;EN6R+h+sq8QGTjsUSDGookLN0KU8pI6n+EjSxmcrNiT01/cGJMZP33u5HlyrLtTFxrOBp2kGirj0&#10;tuHKwGG/ncxBxYRssfVMBq4UYb16GC0xt77nL7rsUqUkhGOOBuqUQq51LGtyGKc+EAt38p3DJLCr&#10;tO2wl3DX6ucse9EOG5aGGgNtaip/d2dn4PudQ7HtdXn624TPn2LefpwPR2PGj8PbK6hEQ7qLb+7C&#10;yvzFYjaTB/JHAOjVPwAAAP//AwBQSwECLQAUAAYACAAAACEA2+H2y+4AAACFAQAAEwAAAAAAAAAA&#10;AAAAAAAAAAAAW0NvbnRlbnRfVHlwZXNdLnhtbFBLAQItABQABgAIAAAAIQBa9CxbvwAAABUBAAAL&#10;AAAAAAAAAAAAAAAAAB8BAABfcmVscy8ucmVsc1BLAQItABQABgAIAAAAIQDygOyXxQAAAN8AAAAP&#10;AAAAAAAAAAAAAAAAAAcCAABkcnMvZG93bnJldi54bWxQSwUGAAAAAAMAAwC3AAAA+QIAAAAA&#10;" filled="f" stroked="f">
                  <v:textbox inset="0,0,0,0">
                    <w:txbxContent>
                      <w:p w14:paraId="73DE4440" w14:textId="77777777" w:rsidR="00B32EF2" w:rsidRDefault="00000000">
                        <w:r>
                          <w:rPr>
                            <w:rFonts w:ascii="Arial" w:eastAsia="Arial" w:hAnsi="Arial" w:cs="Arial"/>
                            <w:i/>
                            <w:sz w:val="18"/>
                          </w:rPr>
                          <w:t>546/92)</w:t>
                        </w:r>
                      </w:p>
                    </w:txbxContent>
                  </v:textbox>
                </v:rect>
                <v:rect id="Rectangle 199771" o:spid="_x0000_s1507" style="position:absolute;left:11616;top:40160;width:194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EkMxAAAAN8AAAAPAAAAZHJzL2Rvd25yZXYueG1sRE/Pa8Iw&#10;FL4P/B/CE3abqR6mVqOIIuvBi87Bjo/m2Vabl9BE2/nXG0HY8eP7PV92phY3anxlWcFwkIAgzq2u&#10;uFBw/N5+TED4gKyxtkwK/sjDctF7m2Oqbct7uh1CIWII+xQVlCG4VEqfl2TQD6wjjtzJNgZDhE0h&#10;dYNtDDe1HCXJpzRYcWwo0dG6pPxyuBoFvxt22baV+em+drtzNqm/rscfpd773WoGIlAX/sUvd6bj&#10;/Ol0PB7C808EIBcPAAAA//8DAFBLAQItABQABgAIAAAAIQDb4fbL7gAAAIUBAAATAAAAAAAAAAAA&#10;AAAAAAAAAABbQ29udGVudF9UeXBlc10ueG1sUEsBAi0AFAAGAAgAAAAhAFr0LFu/AAAAFQEAAAsA&#10;AAAAAAAAAAAAAAAAHwEAAF9yZWxzLy5yZWxzUEsBAi0AFAAGAAgAAAAhAJ3MSQzEAAAA3wAAAA8A&#10;AAAAAAAAAAAAAAAABwIAAGRycy9kb3ducmV2LnhtbFBLBQYAAAAAAwADALcAAAD4AgAAAAA=&#10;" filled="f" stroked="f">
                  <v:textbox inset="0,0,0,0">
                    <w:txbxContent>
                      <w:p w14:paraId="19F5F895" w14:textId="77777777" w:rsidR="00B32EF2" w:rsidRDefault="00000000">
                        <w:r>
                          <w:rPr>
                            <w:rFonts w:ascii="Arial" w:eastAsia="Arial" w:hAnsi="Arial" w:cs="Arial"/>
                            <w:i/>
                            <w:sz w:val="18"/>
                          </w:rPr>
                          <w:t xml:space="preserve">articolo 63 D.lgs. n. </w:t>
                        </w:r>
                      </w:p>
                    </w:txbxContent>
                  </v:textbox>
                </v:rect>
                <v:rect id="Rectangle 199769" o:spid="_x0000_s1508" style="position:absolute;left:22223;top:40160;width:194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9PXxAAAAN8AAAAPAAAAZHJzL2Rvd25yZXYueG1sRE/Pa8Iw&#10;FL4L/g/hCd40nQe1nVGGIvbgZc7Bjo/m2Vabl9BE2+2vXwYDjx/f79WmN414UOtrywpepgkI4sLq&#10;mksF54/9ZAnCB2SNjWVS8E0eNuvhYIWZth2/0+MUShFD2GeooArBZVL6oiKDfmodceQutjUYImxL&#10;qVvsYrhp5CxJ5tJgzbGhQkfbiorb6W4UfO3Y5ftOFpefrTte82VzuJ8/lRqP+rdXEIH68BT/u3Md&#10;56fpYp7C358IQK5/AQAA//8DAFBLAQItABQABgAIAAAAIQDb4fbL7gAAAIUBAAATAAAAAAAAAAAA&#10;AAAAAAAAAABbQ29udGVudF9UeXBlc10ueG1sUEsBAi0AFAAGAAgAAAAhAFr0LFu/AAAAFQEAAAsA&#10;AAAAAAAAAAAAAAAAHwEAAF9yZWxzLy5yZWxzUEsBAi0AFAAGAAgAAAAhAOZj09fEAAAA3wAAAA8A&#10;AAAAAAAAAAAAAAAABwIAAGRycy9kb3ducmV2LnhtbFBLBQYAAAAAAwADALcAAAD4AgAAAAA=&#10;" filled="f" stroked="f">
                  <v:textbox inset="0,0,0,0">
                    <w:txbxContent>
                      <w:p w14:paraId="2B86F5D6" w14:textId="77777777" w:rsidR="00B32EF2" w:rsidRDefault="00000000">
                        <w:r>
                          <w:rPr>
                            <w:rFonts w:ascii="Arial" w:eastAsia="Arial" w:hAnsi="Arial" w:cs="Arial"/>
                            <w:i/>
                            <w:sz w:val="18"/>
                          </w:rPr>
                          <w:t>(</w:t>
                        </w:r>
                      </w:p>
                    </w:txbxContent>
                  </v:textbox>
                </v:rect>
                <v:rect id="Rectangle 14705" o:spid="_x0000_s1509" style="position:absolute;left:11848;top:38890;width:129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irxQAAAN4AAAAPAAAAZHJzL2Rvd25yZXYueG1sRE9LawIx&#10;EL4L/Q9hCr252ZbWymqUYhH30IvWgsdhM/vQzSRsorv21zeC0Nt8fM+ZLwfTigt1vrGs4DlJQRAX&#10;VjdcKdh/r8dTED4ga2wtk4IreVguHkZzzLTteUuXXahEDGGfoYI6BJdJ6YuaDPrEOuLIlbYzGCLs&#10;Kqk77GO4aeVLmk6kwYZjQ42OVjUVp93ZKDh8ssvXvSzK35X7OubTdnPe/yj19Dh8zEAEGsK/+O7O&#10;dZz/+p6+we2deINc/AEAAP//AwBQSwECLQAUAAYACAAAACEA2+H2y+4AAACFAQAAEwAAAAAAAAAA&#10;AAAAAAAAAAAAW0NvbnRlbnRfVHlwZXNdLnhtbFBLAQItABQABgAIAAAAIQBa9CxbvwAAABUBAAAL&#10;AAAAAAAAAAAAAAAAAB8BAABfcmVscy8ucmVsc1BLAQItABQABgAIAAAAIQAWt+irxQAAAN4AAAAP&#10;AAAAAAAAAAAAAAAAAAcCAABkcnMvZG93bnJldi54bWxQSwUGAAAAAAMAAwC3AAAA+QIAAAAA&#10;" filled="f" stroked="f">
                  <v:textbox inset="0,0,0,0">
                    <w:txbxContent>
                      <w:p w14:paraId="3E5956E2" w14:textId="77777777" w:rsidR="00B32EF2" w:rsidRDefault="00000000">
                        <w:r>
                          <w:rPr>
                            <w:rFonts w:ascii="Arial" w:eastAsia="Arial" w:hAnsi="Arial" w:cs="Arial"/>
                            <w:b/>
                            <w:sz w:val="18"/>
                          </w:rPr>
                          <w:t xml:space="preserve">Giudizio di rinvio </w:t>
                        </w:r>
                      </w:p>
                    </w:txbxContent>
                  </v:textbox>
                </v:rect>
                <v:rect id="Rectangle 199768" o:spid="_x0000_s1510" style="position:absolute;left:-12802;top:37657;width:521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3ZMxAAAAN8AAAAPAAAAZHJzL2Rvd25yZXYueG1sRE89b8Iw&#10;EN2R+h+sq9QNnHagkGJQRYWaoQuUSh1P8ZGkjc9WbEjg13MDEuPT+16sBteqE3Wx8WzgeZKBIi69&#10;bbgysP/ejGegYkK22HomA2eKsFo+jBaYW9/zlk67VCkJ4ZijgTqlkGsdy5ocxokPxMIdfOcwCewq&#10;bTvsJdy1+iXLptphw9JQY6B1TeX/7ugM/H5wKDa9Lg+Xdfj6K2bt53H/Y8zT4/D+BirRkO7im7uw&#10;Mn8+f53KYPkjAPTyCgAA//8DAFBLAQItABQABgAIAAAAIQDb4fbL7gAAAIUBAAATAAAAAAAAAAAA&#10;AAAAAAAAAABbQ29udGVudF9UeXBlc10ueG1sUEsBAi0AFAAGAAgAAAAhAFr0LFu/AAAAFQEAAAsA&#10;AAAAAAAAAAAAAAAAHwEAAF9yZWxzLy5yZWxzUEsBAi0AFAAGAAgAAAAhAIkvdkzEAAAA3wAAAA8A&#10;AAAAAAAAAAAAAAAABwIAAGRycy9kb3ducmV2LnhtbFBLBQYAAAAAAwADALcAAAD4AgAAAAA=&#10;" filled="f" stroked="f">
                  <v:textbox inset="0,0,0,0">
                    <w:txbxContent>
                      <w:p w14:paraId="7A161154" w14:textId="77777777" w:rsidR="00B32EF2" w:rsidRDefault="00000000">
                        <w:r>
                          <w:rPr>
                            <w:rFonts w:ascii="Arial" w:eastAsia="Arial" w:hAnsi="Arial" w:cs="Arial"/>
                            <w:sz w:val="18"/>
                          </w:rPr>
                          <w:t>. Quando la Corte di cassazione rinvia la causa alla corte di giustizia tributa</w:t>
                        </w:r>
                      </w:p>
                    </w:txbxContent>
                  </v:textbox>
                </v:rect>
                <v:rect id="Rectangle 199767" o:spid="_x0000_s1511" style="position:absolute;left:26348;top:37657;width:521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OI+xAAAAN8AAAAPAAAAZHJzL2Rvd25yZXYueG1sRE/LisIw&#10;FN0P+A/hCrMbU2fhoxpFFJku3Iyj4PLSXNtqcxOaaDt+/UQQZnk47/myM7W4U+MrywqGgwQEcW51&#10;xYWCw8/2YwLCB2SNtWVS8Eselove2xxTbVv+pvs+FCKGsE9RQRmCS6X0eUkG/cA64sidbWMwRNgU&#10;UjfYxnBTy88kGUmDFceGEh2tS8qv+5tRcNqwy7atzM+Ptdtdskn9dTsclXrvd6sZiEBd+Be/3JmO&#10;86fT8WgMzz8RgFz8AQAA//8DAFBLAQItABQABgAIAAAAIQDb4fbL7gAAAIUBAAATAAAAAAAAAAAA&#10;AAAAAAAAAABbQ29udGVudF9UeXBlc10ueG1sUEsBAi0AFAAGAAgAAAAhAFr0LFu/AAAAFQEAAAsA&#10;AAAAAAAAAAAAAAAAHwEAAF9yZWxzLy5yZWxzUEsBAi0AFAAGAAgAAAAhAPiw4j7EAAAA3wAAAA8A&#10;AAAAAAAAAAAAAAAABwIAAGRycy9kb3ducmV2LnhtbFBLBQYAAAAAAwADALcAAAD4AgAAAAA=&#10;" filled="f" stroked="f">
                  <v:textbox inset="0,0,0,0">
                    <w:txbxContent>
                      <w:p w14:paraId="11A71D7A" w14:textId="77777777" w:rsidR="00B32EF2" w:rsidRDefault="00000000">
                        <w:r>
                          <w:rPr>
                            <w:rFonts w:ascii="Arial" w:eastAsia="Arial" w:hAnsi="Arial" w:cs="Arial"/>
                            <w:sz w:val="18"/>
                          </w:rPr>
                          <w:t>1</w:t>
                        </w:r>
                      </w:p>
                    </w:txbxContent>
                  </v:textbox>
                </v:rect>
                <v:rect id="Rectangle 14707" o:spid="_x0000_s1512" style="position:absolute;left:193;top:3765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NHxQAAAN4AAAAPAAAAZHJzL2Rvd25yZXYueG1sRE9LawIx&#10;EL4L/Q9hCt402yJVVrNSLNI99KK10OOwmX3YzSRsorv6640g9DYf33NW68G04kydbywreJkmIIgL&#10;qxuuFBy+t5MFCB+QNbaWScGFPKyzp9EKU2173tF5HyoRQ9inqKAOwaVS+qImg35qHXHkStsZDBF2&#10;ldQd9jHctPI1Sd6kwYZjQ42ONjUVf/uTUfD7wS7f9rIorxv3dcwX7efp8KPU+Hl4X4IINIR/8cOd&#10;6zh/Nk/mcH8n3iCzGwAAAP//AwBQSwECLQAUAAYACAAAACEA2+H2y+4AAACFAQAAEwAAAAAAAAAA&#10;AAAAAAAAAAAAW0NvbnRlbnRfVHlwZXNdLnhtbFBLAQItABQABgAIAAAAIQBa9CxbvwAAABUBAAAL&#10;AAAAAAAAAAAAAAAAAB8BAABfcmVscy8ucmVsc1BLAQItABQABgAIAAAAIQCJKdNHxQAAAN4AAAAP&#10;AAAAAAAAAAAAAAAAAAcCAABkcnMvZG93bnJldi54bWxQSwUGAAAAAAMAAwC3AAAA+QIAAAAA&#10;" filled="f" stroked="f">
                  <v:textbox inset="0,0,0,0">
                    <w:txbxContent>
                      <w:p w14:paraId="701C22F5" w14:textId="77777777" w:rsidR="00B32EF2" w:rsidRDefault="00000000">
                        <w:r>
                          <w:rPr>
                            <w:rFonts w:ascii="Arial" w:eastAsia="Arial" w:hAnsi="Arial" w:cs="Arial"/>
                            <w:sz w:val="18"/>
                          </w:rPr>
                          <w:t>-</w:t>
                        </w:r>
                      </w:p>
                    </w:txbxContent>
                  </v:textbox>
                </v:rect>
                <v:rect id="Rectangle 14708" o:spid="_x0000_s1513" style="position:absolute;left:-13170;top:3642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kc1xwAAAN4AAAAPAAAAZHJzL2Rvd25yZXYueG1sRI9Ba8JA&#10;EIXvhf6HZQre6sZSrKSuIhZpDr1oLfQ4ZMckmp1dsquJ/fXOQehthvfmvW/my8G16kJdbDwbmIwz&#10;UMSltw1XBvbfm+cZqJiQLbaeycCVIiwXjw9zzK3veUuXXaqUhHDM0UCdUsi1jmVNDuPYB2LRDr5z&#10;mGTtKm077CXctfoly6baYcPSUGOgdU3laXd2Bn4/OBSbXpeHv3X4Ohaz9vO8/zFm9DSs3kElGtK/&#10;+X5dWMF/fcuEV96RGfTiBgAA//8DAFBLAQItABQABgAIAAAAIQDb4fbL7gAAAIUBAAATAAAAAAAA&#10;AAAAAAAAAAAAAABbQ29udGVudF9UeXBlc10ueG1sUEsBAi0AFAAGAAgAAAAhAFr0LFu/AAAAFQEA&#10;AAsAAAAAAAAAAAAAAAAAHwEAAF9yZWxzLy5yZWxzUEsBAi0AFAAGAAgAAAAhAPi2RzXHAAAA3gAA&#10;AA8AAAAAAAAAAAAAAAAABwIAAGRycy9kb3ducmV2LnhtbFBLBQYAAAAAAwADALcAAAD7AgAAAAA=&#10;" filled="f" stroked="f">
                  <v:textbox inset="0,0,0,0">
                    <w:txbxContent>
                      <w:p w14:paraId="04BBA462" w14:textId="77777777" w:rsidR="00B32EF2" w:rsidRDefault="00000000">
                        <w:r>
                          <w:rPr>
                            <w:rFonts w:ascii="Arial" w:eastAsia="Arial" w:hAnsi="Arial" w:cs="Arial"/>
                            <w:sz w:val="18"/>
                          </w:rPr>
                          <w:t xml:space="preserve">ria di primo o di secondo grado la riassunzione deve essere fatta nei confronti </w:t>
                        </w:r>
                      </w:p>
                    </w:txbxContent>
                  </v:textbox>
                </v:rect>
                <v:rect id="Rectangle 14709" o:spid="_x0000_s1514" style="position:absolute;left:-12188;top:35190;width:521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KuxQAAAN4AAAAPAAAAZHJzL2Rvd25yZXYueG1sRE9La8JA&#10;EL4L/Q/LFHrTTaVYG12lKNIcvPgoeByyYxLNzi7Z1aT+elcoeJuP7znTeWdqcaXGV5YVvA8SEMS5&#10;1RUXCva7VX8MwgdkjbVlUvBHHuazl94UU21b3tB1GwoRQ9inqKAMwaVS+rwkg35gHXHkjrYxGCJs&#10;CqkbbGO4qeUwSUbSYMWxoURHi5Ly8/ZiFByW7LJVK/PjbeHWp2xc/1z2v0q9vXbfExCBuvAU/7sz&#10;Hed/fCZf8Hgn3iBndwAAAP//AwBQSwECLQAUAAYACAAAACEA2+H2y+4AAACFAQAAEwAAAAAAAAAA&#10;AAAAAAAAAAAAW0NvbnRlbnRfVHlwZXNdLnhtbFBLAQItABQABgAIAAAAIQBa9CxbvwAAABUBAAAL&#10;AAAAAAAAAAAAAAAAAB8BAABfcmVscy8ucmVsc1BLAQItABQABgAIAAAAIQCX+uKuxQAAAN4AAAAP&#10;AAAAAAAAAAAAAAAAAAcCAABkcnMvZG93bnJldi54bWxQSwUGAAAAAAMAAwC3AAAA+QIAAAAA&#10;" filled="f" stroked="f">
                  <v:textbox inset="0,0,0,0">
                    <w:txbxContent>
                      <w:p w14:paraId="215BB494" w14:textId="77777777" w:rsidR="00B32EF2" w:rsidRDefault="00000000">
                        <w:r>
                          <w:rPr>
                            <w:rFonts w:ascii="Arial" w:eastAsia="Arial" w:hAnsi="Arial" w:cs="Arial"/>
                            <w:sz w:val="18"/>
                          </w:rPr>
                          <w:t>di tutte le parti personalmente entro il termine perentorio di sei mesi dalla pub</w:t>
                        </w:r>
                      </w:p>
                    </w:txbxContent>
                  </v:textbox>
                </v:rect>
                <v:rect id="Rectangle 14710" o:spid="_x0000_s1515" style="position:absolute;left:193;top:3519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d3uyAAAAN4AAAAPAAAAZHJzL2Rvd25yZXYueG1sRI9Pa8JA&#10;EMXvhX6HZQq91Y2lWImuIhZpDr34p9DjkB2TaHZ2ya4m7ad3DkJvM8yb995vvhxcq67UxcazgfEo&#10;A0VcettwZeCw37xMQcWEbLH1TAZ+KcJy8fgwx9z6nrd03aVKiQnHHA3UKYVc61jW5DCOfCCW29F3&#10;DpOsXaVth72Yu1a/ZtlEO2xYEmoMtK6pPO8uzsDPB4di0+vy+LcOX6di2n5eDt/GPD8NqxmoREP6&#10;F9+/Cyv1397HAiA4MoNe3AAAAP//AwBQSwECLQAUAAYACAAAACEA2+H2y+4AAACFAQAAEwAAAAAA&#10;AAAAAAAAAAAAAAAAW0NvbnRlbnRfVHlwZXNdLnhtbFBLAQItABQABgAIAAAAIQBa9CxbvwAAABUB&#10;AAALAAAAAAAAAAAAAAAAAB8BAABfcmVscy8ucmVsc1BLAQItABQABgAIAAAAIQCDGd3uyAAAAN4A&#10;AAAPAAAAAAAAAAAAAAAAAAcCAABkcnMvZG93bnJldi54bWxQSwUGAAAAAAMAAwC3AAAA/AIAAAAA&#10;" filled="f" stroked="f">
                  <v:textbox inset="0,0,0,0">
                    <w:txbxContent>
                      <w:p w14:paraId="578600AE" w14:textId="77777777" w:rsidR="00B32EF2" w:rsidRDefault="00000000">
                        <w:r>
                          <w:rPr>
                            <w:rFonts w:ascii="Arial" w:eastAsia="Arial" w:hAnsi="Arial" w:cs="Arial"/>
                            <w:sz w:val="18"/>
                          </w:rPr>
                          <w:t>-</w:t>
                        </w:r>
                      </w:p>
                    </w:txbxContent>
                  </v:textbox>
                </v:rect>
                <v:rect id="Rectangle 14711" o:spid="_x0000_s1516" style="position:absolute;left:-13170;top:3395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Xh1xAAAAN4AAAAPAAAAZHJzL2Rvd25yZXYueG1sRE9Na8JA&#10;EL0X/A/LCN7qJlJaia4iijQHL7UKHofsmESzs0t2NdFf3y0UepvH+5z5sjeNuFPra8sK0nECgriw&#10;uuZSweF7+zoF4QOyxsYyKXiQh+Vi8DLHTNuOv+i+D6WIIewzVFCF4DIpfVGRQT+2jjhyZ9saDBG2&#10;pdQtdjHcNHKSJO/SYM2xoUJH64qK6/5mFJw27PJtJ4vzc+12l3zafN4OR6VGw341AxGoD//iP3eu&#10;4/y3jzSF33fiDXLxAwAA//8DAFBLAQItABQABgAIAAAAIQDb4fbL7gAAAIUBAAATAAAAAAAAAAAA&#10;AAAAAAAAAABbQ29udGVudF9UeXBlc10ueG1sUEsBAi0AFAAGAAgAAAAhAFr0LFu/AAAAFQEAAAsA&#10;AAAAAAAAAAAAAAAAHwEAAF9yZWxzLy5yZWxzUEsBAi0AFAAGAAgAAAAhAOxVeHXEAAAA3gAAAA8A&#10;AAAAAAAAAAAAAAAABwIAAGRycy9kb3ducmV2LnhtbFBLBQYAAAAAAwADALcAAAD4AgAAAAA=&#10;" filled="f" stroked="f">
                  <v:textbox inset="0,0,0,0">
                    <w:txbxContent>
                      <w:p w14:paraId="64748A74" w14:textId="77777777" w:rsidR="00B32EF2" w:rsidRDefault="00000000">
                        <w:r>
                          <w:rPr>
                            <w:rFonts w:ascii="Arial" w:eastAsia="Arial" w:hAnsi="Arial" w:cs="Arial"/>
                            <w:sz w:val="18"/>
                          </w:rPr>
                          <w:t xml:space="preserve">blicazione della sentenza nelle forme rispettivamente previste per i giudizi di </w:t>
                        </w:r>
                      </w:p>
                    </w:txbxContent>
                  </v:textbox>
                </v:rect>
                <v:rect id="Rectangle 14712" o:spid="_x0000_s1517" style="position:absolute;left:8217;top:32724;width:3170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CxAAAAN4AAAAPAAAAZHJzL2Rvd25yZXYueG1sRE9Li8Iw&#10;EL4v+B/CCN7WVFl2pRpFFNkevKwP8Dg0Y1ttJqGJtvrrNwsL3ubje85s0Zla3KnxlWUFo2ECgji3&#10;uuJCwWG/eZ+A8AFZY22ZFDzIw2Lee5thqm3LP3TfhULEEPYpKihDcKmUPi/JoB9aRxy5s20Mhgib&#10;QuoG2xhuajlOkk9psOLYUKKjVUn5dXczCk5rdtmmlfn5uXLbSzapv2+Ho1KDfrecggjUhZf4353p&#10;OP/jazSGv3fiDXL+CwAA//8DAFBLAQItABQABgAIAAAAIQDb4fbL7gAAAIUBAAATAAAAAAAAAAAA&#10;AAAAAAAAAABbQ29udGVudF9UeXBlc10ueG1sUEsBAi0AFAAGAAgAAAAhAFr0LFu/AAAAFQEAAAsA&#10;AAAAAAAAAAAAAAAAHwEAAF9yZWxzLy5yZWxzUEsBAi0AFAAGAAgAAAAhAByH5gLEAAAA3gAAAA8A&#10;AAAAAAAAAAAAAAAABwIAAGRycy9kb3ducmV2LnhtbFBLBQYAAAAAAwADALcAAAD4AgAAAAA=&#10;" filled="f" stroked="f">
                  <v:textbox inset="0,0,0,0">
                    <w:txbxContent>
                      <w:p w14:paraId="56236060" w14:textId="77777777" w:rsidR="00B32EF2" w:rsidRDefault="00000000">
                        <w:r>
                          <w:rPr>
                            <w:rFonts w:ascii="Arial" w:eastAsia="Arial" w:hAnsi="Arial" w:cs="Arial"/>
                            <w:sz w:val="18"/>
                          </w:rPr>
                          <w:t>primo e di secondo grado in quanto applicabili.</w:t>
                        </w:r>
                      </w:p>
                    </w:txbxContent>
                  </v:textbox>
                </v:rect>
                <v:rect id="Rectangle 199766" o:spid="_x0000_s1518" style="position:absolute;left:-13816;top:3149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lxAAAAN8AAAAPAAAAZHJzL2Rvd25yZXYueG1sRE/Pa8Iw&#10;FL4L/g/hCbtpOg9VO6MMRdaDF52DHR/Ns602L6GJtttfbwYDjx/f7+W6N424U+trywpeJwkI4sLq&#10;mksFp8/deA7CB2SNjWVS8EMe1qvhYImZth0f6H4MpYgh7DNUUIXgMil9UZFBP7GOOHJn2xoMEbal&#10;1C12Mdw0cpokqTRYc2yo0NGmouJ6vBkF31t2+a6Txfl34/aXfN583E5fSr2M+vc3EIH68BT/u3Md&#10;5y8WszSFvz8RgFw9AAAA//8DAFBLAQItABQABgAIAAAAIQDb4fbL7gAAAIUBAAATAAAAAAAAAAAA&#10;AAAAAAAAAABbQ29udGVudF9UeXBlc10ueG1sUEsBAi0AFAAGAAgAAAAhAFr0LFu/AAAAFQEAAAsA&#10;AAAAAAAAAAAAAAAAHwEAAF9yZWxzLy5yZWxzUEsBAi0AFAAGAAgAAAAhAJf8R6XEAAAA3wAAAA8A&#10;AAAAAAAAAAAAAAAABwIAAGRycy9kb3ducmV2LnhtbFBLBQYAAAAAAwADALcAAAD4AgAAAAA=&#10;" filled="f" stroked="f">
                  <v:textbox inset="0,0,0,0">
                    <w:txbxContent>
                      <w:p w14:paraId="5E0E907D" w14:textId="77777777" w:rsidR="00B32EF2" w:rsidRDefault="00000000">
                        <w:r>
                          <w:rPr>
                            <w:rFonts w:ascii="Arial" w:eastAsia="Arial" w:hAnsi="Arial" w:cs="Arial"/>
                            <w:sz w:val="18"/>
                          </w:rPr>
                          <w:t xml:space="preserve">. Se la riassunzione non avviene entro il termine di cui al comma 1 o si avvera </w:t>
                        </w:r>
                      </w:p>
                    </w:txbxContent>
                  </v:textbox>
                </v:rect>
                <v:rect id="Rectangle 199765" o:spid="_x0000_s1519" style="position:absolute;left:26111;top:3149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nSxQAAAN8AAAAPAAAAZHJzL2Rvd25yZXYueG1sRE/LasJA&#10;FN0L/sNwBXc6aaE+UkcpFjELNz4KXV4y1yRt5s6QGU3ar3cEweXhvBerztTiSo2vLCt4GScgiHOr&#10;Ky4UnI6b0QyED8gaa8uk4I88rJb93gJTbVve0/UQChFD2KeooAzBpVL6vCSDfmwdceTOtjEYImwK&#10;qRtsY7ip5WuSTKTBimNDiY7WJeW/h4tR8P3JLtu0Mj//r93uJ5vV28vpS6nhoPt4BxGoC0/xw53p&#10;OH8+n07e4P4nApDLGwAAAP//AwBQSwECLQAUAAYACAAAACEA2+H2y+4AAACFAQAAEwAAAAAAAAAA&#10;AAAAAAAAAAAAW0NvbnRlbnRfVHlwZXNdLnhtbFBLAQItABQABgAIAAAAIQBa9CxbvwAAABUBAAAL&#10;AAAAAAAAAAAAAAAAAB8BAABfcmVscy8ucmVsc1BLAQItABQABgAIAAAAIQBnLtnSxQAAAN8AAAAP&#10;AAAAAAAAAAAAAAAAAAcCAABkcnMvZG93bnJldi54bWxQSwUGAAAAAAMAAwC3AAAA+QIAAAAA&#10;" filled="f" stroked="f">
                  <v:textbox inset="0,0,0,0">
                    <w:txbxContent>
                      <w:p w14:paraId="30DF693D" w14:textId="77777777" w:rsidR="00B32EF2" w:rsidRDefault="00000000">
                        <w:r>
                          <w:rPr>
                            <w:rFonts w:ascii="Arial" w:eastAsia="Arial" w:hAnsi="Arial" w:cs="Arial"/>
                            <w:sz w:val="18"/>
                          </w:rPr>
                          <w:t>2</w:t>
                        </w:r>
                      </w:p>
                    </w:txbxContent>
                  </v:textbox>
                </v:rect>
                <v:rect id="Rectangle 14714" o:spid="_x0000_s1520" style="position:absolute;left:-13170;top:3025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tvtxAAAAN4AAAAPAAAAZHJzL2Rvd25yZXYueG1sRE9Li8Iw&#10;EL4L+x/CLHjT1EVWqUZZXGR78LI+wOPQjG21mYQm2uqv3ywI3ubje8582Zla3KjxlWUFo2ECgji3&#10;uuJCwX63HkxB+ICssbZMCu7kYbl4680x1bblX7ptQyFiCPsUFZQhuFRKn5dk0A+tI47cyTYGQ4RN&#10;IXWDbQw3tfxIkk9psOLYUKKjVUn5ZXs1Co7f7LJ1K/PTY+U252xa/1z3B6X6793XDESgLrzET3em&#10;4/zxZDSG/3fiDXLxBwAA//8DAFBLAQItABQABgAIAAAAIQDb4fbL7gAAAIUBAAATAAAAAAAAAAAA&#10;AAAAAAAAAABbQ29udGVudF9UeXBlc10ueG1sUEsBAi0AFAAGAAgAAAAhAFr0LFu/AAAAFQEAAAsA&#10;AAAAAAAAAAAAAAAAHwEAAF9yZWxzLy5yZWxzUEsBAi0AFAAGAAgAAAAhAPwi2+3EAAAA3gAAAA8A&#10;AAAAAAAAAAAAAAAABwIAAGRycy9kb3ducmV2LnhtbFBLBQYAAAAAAwADALcAAAD4AgAAAAA=&#10;" filled="f" stroked="f">
                  <v:textbox inset="0,0,0,0">
                    <w:txbxContent>
                      <w:p w14:paraId="5D6FFFE0" w14:textId="77777777" w:rsidR="00B32EF2" w:rsidRDefault="00000000">
                        <w:r>
                          <w:rPr>
                            <w:rFonts w:ascii="Arial" w:eastAsia="Arial" w:hAnsi="Arial" w:cs="Arial"/>
                            <w:sz w:val="18"/>
                          </w:rPr>
                          <w:t xml:space="preserve">successivamente ad essa una causa di estinzione del giudizio di rinvio l’intero </w:t>
                        </w:r>
                      </w:p>
                    </w:txbxContent>
                  </v:textbox>
                </v:rect>
                <v:rect id="Rectangle 14715" o:spid="_x0000_s1521" style="position:absolute;left:25443;top:29024;width:144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n52xQAAAN4AAAAPAAAAZHJzL2Rvd25yZXYueG1sRE9La8JA&#10;EL4X/A/LCN7qxmJVoquIRZpDL/UBHofsmESzs0t2NWl/fbcgeJuP7zmLVWdqcafGV5YVjIYJCOLc&#10;6ooLBYf99nUGwgdkjbVlUvBDHlbL3ssCU21b/qb7LhQihrBPUUEZgkul9HlJBv3QOuLInW1jMETY&#10;FFI32MZwU8u3JJlIgxXHhhIdbUrKr7ubUXD6YJdtW5mffzfu65LN6s/b4ajUoN+t5yACdeEpfrgz&#10;HeePp6N3+H8n3iCXfwAAAP//AwBQSwECLQAUAAYACAAAACEA2+H2y+4AAACFAQAAEwAAAAAAAAAA&#10;AAAAAAAAAAAAW0NvbnRlbnRfVHlwZXNdLnhtbFBLAQItABQABgAIAAAAIQBa9CxbvwAAABUBAAAL&#10;AAAAAAAAAAAAAAAAAB8BAABfcmVscy8ucmVsc1BLAQItABQABgAIAAAAIQCTbn52xQAAAN4AAAAP&#10;AAAAAAAAAAAAAAAAAAcCAABkcnMvZG93bnJldi54bWxQSwUGAAAAAAMAAwC3AAAA+QIAAAAA&#10;" filled="f" stroked="f">
                  <v:textbox inset="0,0,0,0">
                    <w:txbxContent>
                      <w:p w14:paraId="2FF43864" w14:textId="77777777" w:rsidR="00B32EF2" w:rsidRDefault="00000000">
                        <w:r>
                          <w:rPr>
                            <w:rFonts w:ascii="Arial" w:eastAsia="Arial" w:hAnsi="Arial" w:cs="Arial"/>
                            <w:sz w:val="18"/>
                          </w:rPr>
                          <w:t>processo si estingue.</w:t>
                        </w:r>
                      </w:p>
                    </w:txbxContent>
                  </v:textbox>
                </v:rect>
                <v:rect id="Rectangle 199762" o:spid="_x0000_s1522" style="position:absolute;left:26106;top:27790;width:53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0GmxAAAAN8AAAAPAAAAZHJzL2Rvd25yZXYueG1sRE/LasJA&#10;FN0L/YfhCu50ogsfqaMUi5iFm2oKXV4y1yRt5s6QGU306zuFgsvDea+3vWnEjVpfW1YwnSQgiAur&#10;ay4V5Of9eAnCB2SNjWVScCcP283LYI2pth1/0O0UShFD2KeooArBpVL6oiKDfmIdceQutjUYImxL&#10;qVvsYrhp5CxJ5tJgzbGhQke7ioqf09Uo+Hpnl+07WVweO3f8zpbN4Zp/KjUa9m+vIAL14Sn+d2c6&#10;zl+tFvMZ/P2JAOTmFwAA//8DAFBLAQItABQABgAIAAAAIQDb4fbL7gAAAIUBAAATAAAAAAAAAAAA&#10;AAAAAAAAAABbQ29udGVudF9UeXBlc10ueG1sUEsBAi0AFAAGAAgAAAAhAFr0LFu/AAAAFQEAAAsA&#10;AAAAAAAAAAAAAAAAHwEAAF9yZWxzLy5yZWxzUEsBAi0AFAAGAAgAAAAhAOjHQabEAAAA3wAAAA8A&#10;AAAAAAAAAAAAAAAABwIAAGRycy9kb3ducmV2LnhtbFBLBQYAAAAAAwADALcAAAD4AgAAAAA=&#10;" filled="f" stroked="f">
                  <v:textbox inset="0,0,0,0">
                    <w:txbxContent>
                      <w:p w14:paraId="4E8B21A4" w14:textId="77777777" w:rsidR="00B32EF2" w:rsidRDefault="00000000">
                        <w:r>
                          <w:rPr>
                            <w:rFonts w:ascii="Arial" w:eastAsia="Arial" w:hAnsi="Arial" w:cs="Arial"/>
                            <w:sz w:val="18"/>
                          </w:rPr>
                          <w:t>3</w:t>
                        </w:r>
                      </w:p>
                    </w:txbxContent>
                  </v:textbox>
                </v:rect>
                <v:rect id="Rectangle 199764" o:spid="_x0000_s1523" style="position:absolute;left:-13822;top:27790;width:531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nxJxQAAAN8AAAAPAAAAZHJzL2Rvd25yZXYueG1sRE/LasJA&#10;FN0L/sNwBXc6aSk+UkcpFjELNz4KXV4y1yRt5s6QGU3ar3cEweXhvBerztTiSo2vLCt4GScgiHOr&#10;Ky4UnI6b0QyED8gaa8uk4I88rJb93gJTbVve0/UQChFD2KeooAzBpVL6vCSDfmwdceTOtjEYImwK&#10;qRtsY7ip5WuSTKTBimNDiY7WJeW/h4tR8P3JLtu0Mj//r93uJ5vV28vpS6nhoPt4BxGoC0/xw53p&#10;OH8+n07e4P4nApDLGwAAAP//AwBQSwECLQAUAAYACAAAACEA2+H2y+4AAACFAQAAEwAAAAAAAAAA&#10;AAAAAAAAAAAAW0NvbnRlbnRfVHlwZXNdLnhtbFBLAQItABQABgAIAAAAIQBa9CxbvwAAABUBAAAL&#10;AAAAAAAAAAAAAAAAAB8BAABfcmVscy8ucmVsc1BLAQItABQABgAIAAAAIQAIYnxJxQAAAN8AAAAP&#10;AAAAAAAAAAAAAAAAAAcCAABkcnMvZG93bnJldi54bWxQSwUGAAAAAAMAAwC3AAAA+QIAAAAA&#10;" filled="f" stroked="f">
                  <v:textbox inset="0,0,0,0">
                    <w:txbxContent>
                      <w:p w14:paraId="0A62FB2E" w14:textId="77777777" w:rsidR="00B32EF2" w:rsidRDefault="00000000">
                        <w:r>
                          <w:rPr>
                            <w:rFonts w:ascii="Arial" w:eastAsia="Arial" w:hAnsi="Arial" w:cs="Arial"/>
                            <w:sz w:val="18"/>
                          </w:rPr>
                          <w:t xml:space="preserve">. In sede di rinvio si osservano le norme stabilite per il procedimento davanti </w:t>
                        </w:r>
                      </w:p>
                    </w:txbxContent>
                  </v:textbox>
                </v:rect>
                <v:rect id="Rectangle 14717" o:spid="_x0000_s1524" style="position:absolute;left:-13170;top:2655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EWaxAAAAN4AAAAPAAAAZHJzL2Rvd25yZXYueG1sRE9Li8Iw&#10;EL4v7H8Is+BtTRVZpRplcRF72Isv8Dg0Y1ttJqGJtvrrzcKCt/n4njNbdKYWN2p8ZVnBoJ+AIM6t&#10;rrhQsN+tPicgfEDWWFsmBXfysJi/v80w1bblDd22oRAxhH2KCsoQXCqlz0sy6PvWEUfuZBuDIcKm&#10;kLrBNoabWg6T5EsarDg2lOhoWVJ+2V6NguMPu2zVyvz0WLrfczap19f9QaneR/c9BRGoCy/xvzvT&#10;cf5oPBjD3zvxBjl/AgAA//8DAFBLAQItABQABgAIAAAAIQDb4fbL7gAAAIUBAAATAAAAAAAAAAAA&#10;AAAAAAAAAABbQ29udGVudF9UeXBlc10ueG1sUEsBAi0AFAAGAAgAAAAhAFr0LFu/AAAAFQEAAAsA&#10;AAAAAAAAAAAAAAAAHwEAAF9yZWxzLy5yZWxzUEsBAi0AFAAGAAgAAAAhAAzwRZrEAAAA3gAAAA8A&#10;AAAAAAAAAAAAAAAABwIAAGRycy9kb3ducmV2LnhtbFBLBQYAAAAAAwADALcAAAD4AgAAAAA=&#10;" filled="f" stroked="f">
                  <v:textbox inset="0,0,0,0">
                    <w:txbxContent>
                      <w:p w14:paraId="5B5ABC01" w14:textId="77777777" w:rsidR="00B32EF2" w:rsidRDefault="00000000">
                        <w:r>
                          <w:rPr>
                            <w:rFonts w:ascii="Arial" w:eastAsia="Arial" w:hAnsi="Arial" w:cs="Arial"/>
                            <w:sz w:val="18"/>
                          </w:rPr>
                          <w:t xml:space="preserve">alla corte di giustizia tributaria di primo e secondo grado a cui il processo è </w:t>
                        </w:r>
                      </w:p>
                    </w:txbxContent>
                  </v:textbox>
                </v:rect>
                <v:rect id="Rectangle 14718" o:spid="_x0000_s1525" style="position:absolute;left:-13170;top:2532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9HoyAAAAN4AAAAPAAAAZHJzL2Rvd25yZXYueG1sRI9Pa8JA&#10;EMXvhX6HZQq91Y2lWImuIhZpDr34p9DjkB2TaHZ2ya4m7ad3DkJvM7w37/1mvhxcq67UxcazgfEo&#10;A0VcettwZeCw37xMQcWEbLH1TAZ+KcJy8fgwx9z6nrd03aVKSQjHHA3UKYVc61jW5DCOfCAW7eg7&#10;h0nWrtK2w17CXatfs2yiHTYsDTUGWtdUnncXZ+Dng0Ox6XV5/FuHr1MxbT8vh29jnp+G1QxUoiH9&#10;m+/XhRX8t/ex8Mo7MoNe3AAAAP//AwBQSwECLQAUAAYACAAAACEA2+H2y+4AAACFAQAAEwAAAAAA&#10;AAAAAAAAAAAAAAAAW0NvbnRlbnRfVHlwZXNdLnhtbFBLAQItABQABgAIAAAAIQBa9CxbvwAAABUB&#10;AAALAAAAAAAAAAAAAAAAAB8BAABfcmVscy8ucmVsc1BLAQItABQABgAIAAAAIQB9b9HoyAAAAN4A&#10;AAAPAAAAAAAAAAAAAAAAAAcCAABkcnMvZG93bnJldi54bWxQSwUGAAAAAAMAAwC3AAAA/AIAAAAA&#10;" filled="f" stroked="f">
                  <v:textbox inset="0,0,0,0">
                    <w:txbxContent>
                      <w:p w14:paraId="578C7BEC" w14:textId="77777777" w:rsidR="00B32EF2" w:rsidRDefault="00000000">
                        <w:r>
                          <w:rPr>
                            <w:rFonts w:ascii="Arial" w:eastAsia="Arial" w:hAnsi="Arial" w:cs="Arial"/>
                            <w:sz w:val="18"/>
                          </w:rPr>
                          <w:t xml:space="preserve">stato rinviato. In ogni caso, a pena d’inammissibilità, deve essere prodotta </w:t>
                        </w:r>
                      </w:p>
                    </w:txbxContent>
                  </v:textbox>
                </v:rect>
                <v:rect id="Rectangle 14719" o:spid="_x0000_s1526" style="position:absolute;left:8606;top:24091;width:3131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3RzxQAAAN4AAAAPAAAAZHJzL2Rvd25yZXYueG1sRE9La8JA&#10;EL4X/A/LCN7qxiJVo6uIRZpDL/UBHofsmESzs0t2NWl/fbcgeJuP7zmLVWdqcafGV5YVjIYJCOLc&#10;6ooLBYf99nUKwgdkjbVlUvBDHlbL3ssCU21b/qb7LhQihrBPUUEZgkul9HlJBv3QOuLInW1jMETY&#10;FFI32MZwU8u3JHmXBiuODSU62pSUX3c3o+D0wS7btjI//27c1yWb1p+3w1GpQb9bz0EE6sJT/HBn&#10;Os4fT0Yz+H8n3iCXfwAAAP//AwBQSwECLQAUAAYACAAAACEA2+H2y+4AAACFAQAAEwAAAAAAAAAA&#10;AAAAAAAAAAAAW0NvbnRlbnRfVHlwZXNdLnhtbFBLAQItABQABgAIAAAAIQBa9CxbvwAAABUBAAAL&#10;AAAAAAAAAAAAAAAAAB8BAABfcmVscy8ucmVsc1BLAQItABQABgAIAAAAIQASI3RzxQAAAN4AAAAP&#10;AAAAAAAAAAAAAAAAAAcCAABkcnMvZG93bnJldi54bWxQSwUGAAAAAAMAAwC3AAAA+QIAAAAA&#10;" filled="f" stroked="f">
                  <v:textbox inset="0,0,0,0">
                    <w:txbxContent>
                      <w:p w14:paraId="616A3358" w14:textId="77777777" w:rsidR="00B32EF2" w:rsidRDefault="00000000">
                        <w:r>
                          <w:rPr>
                            <w:rFonts w:ascii="Arial" w:eastAsia="Arial" w:hAnsi="Arial" w:cs="Arial"/>
                            <w:sz w:val="18"/>
                          </w:rPr>
                          <w:t xml:space="preserve">copia autentica della sentenza di cassazione. </w:t>
                        </w:r>
                      </w:p>
                    </w:txbxContent>
                  </v:textbox>
                </v:rect>
                <v:rect id="Rectangle 199761" o:spid="_x0000_s1527" style="position:absolute;left:-12816;top:22857;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d/RxAAAAN8AAAAPAAAAZHJzL2Rvd25yZXYueG1sRE/LisIw&#10;FN0L/kO4wuw01YWPahRRZLpwo+PALC/Nta02N6GJtjNfbwYGZnk479WmM7V4UuMrywrGowQEcW51&#10;xYWCy8dhOAfhA7LG2jIp+CYPm3W/t8JU25ZP9DyHQsQQ9ikqKENwqZQ+L8mgH1lHHLmrbQyGCJtC&#10;6gbbGG5qOUmSqTRYcWwo0dGupPx+fhgFX3t22aGV+fVn5463bF6/Py6fSr0Nuu0SRKAu/Iv/3JmO&#10;8xeL2XQMv38iALl+AQAA//8DAFBLAQItABQABgAIAAAAIQDb4fbL7gAAAIUBAAATAAAAAAAAAAAA&#10;AAAAAAAAAABbQ29udGVudF9UeXBlc10ueG1sUEsBAi0AFAAGAAgAAAAhAFr0LFu/AAAAFQEAAAsA&#10;AAAAAAAAAAAAAAAAHwEAAF9yZWxzLy5yZWxzUEsBAi0AFAAGAAgAAAAhABgV39HEAAAA3wAAAA8A&#10;AAAAAAAAAAAAAAAABwIAAGRycy9kb3ducmV2LnhtbFBLBQYAAAAAAwADALcAAAD4AgAAAAA=&#10;" filled="f" stroked="f">
                  <v:textbox inset="0,0,0,0">
                    <w:txbxContent>
                      <w:p w14:paraId="421CE594" w14:textId="77777777" w:rsidR="00B32EF2" w:rsidRDefault="00000000">
                        <w:r>
                          <w:rPr>
                            <w:rFonts w:ascii="Arial" w:eastAsia="Arial" w:hAnsi="Arial" w:cs="Arial"/>
                            <w:sz w:val="18"/>
                          </w:rPr>
                          <w:t>. Le parti conservano la stessa posizione processuale che avevano nel pro</w:t>
                        </w:r>
                      </w:p>
                    </w:txbxContent>
                  </v:textbox>
                </v:rect>
                <v:rect id="Rectangle 199760" o:spid="_x0000_s1528" style="position:absolute;left:26355;top:22857;width:52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XpKxAAAAN8AAAAPAAAAZHJzL2Rvd25yZXYueG1sRE89b8Iw&#10;EN2R+h+sq9QNnHagkGJQRYWaoQuUSh1P8ZGkjc9WbEjg13MDEuPT+16sBteqE3Wx8WzgeZKBIi69&#10;bbgysP/ejGegYkK22HomA2eKsFo+jBaYW9/zlk67VCkJ4ZijgTqlkGsdy5ocxokPxMIdfOcwCewq&#10;bTvsJdy1+iXLptphw9JQY6B1TeX/7ugM/H5wKDa9Lg+Xdfj6K2bt53H/Y8zT4/D+BirRkO7im7uw&#10;Mn8+f53KA/kjAPTyCgAA//8DAFBLAQItABQABgAIAAAAIQDb4fbL7gAAAIUBAAATAAAAAAAAAAAA&#10;AAAAAAAAAABbQ29udGVudF9UeXBlc10ueG1sUEsBAi0AFAAGAAgAAAAhAFr0LFu/AAAAFQEAAAsA&#10;AAAAAAAAAAAAAAAAHwEAAF9yZWxzLy5yZWxzUEsBAi0AFAAGAAgAAAAhAHdZekrEAAAA3wAAAA8A&#10;AAAAAAAAAAAAAAAABwIAAGRycy9kb3ducmV2LnhtbFBLBQYAAAAAAwADALcAAAD4AgAAAAA=&#10;" filled="f" stroked="f">
                  <v:textbox inset="0,0,0,0">
                    <w:txbxContent>
                      <w:p w14:paraId="4229E9AC" w14:textId="77777777" w:rsidR="00B32EF2" w:rsidRDefault="00000000">
                        <w:r>
                          <w:rPr>
                            <w:rFonts w:ascii="Arial" w:eastAsia="Arial" w:hAnsi="Arial" w:cs="Arial"/>
                            <w:sz w:val="18"/>
                          </w:rPr>
                          <w:t>4</w:t>
                        </w:r>
                      </w:p>
                    </w:txbxContent>
                  </v:textbox>
                </v:rect>
                <v:rect id="Rectangle 14721" o:spid="_x0000_s1529" style="position:absolute;left:193;top:2285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bLIxAAAAN4AAAAPAAAAZHJzL2Rvd25yZXYueG1sRE9Li8Iw&#10;EL4v+B/CCN7WVFl2pRpFFNkevKwP8Dg0Y1ttJqGJtvrrNwsL3ubje85s0Zla3KnxlWUFo2ECgji3&#10;uuJCwWG/eZ+A8AFZY22ZFDzIw2Lee5thqm3LP3TfhULEEPYpKihDcKmUPi/JoB9aRxy5s20Mhgib&#10;QuoG2xhuajlOkk9psOLYUKKjVUn5dXczCk5rdtmmlfn5uXLbSzapv2+Ho1KDfrecggjUhZf4353p&#10;OP/jazyCv3fiDXL+CwAA//8DAFBLAQItABQABgAIAAAAIQDb4fbL7gAAAIUBAAATAAAAAAAAAAAA&#10;AAAAAAAAAABbQ29udGVudF9UeXBlc10ueG1sUEsBAi0AFAAGAAgAAAAhAFr0LFu/AAAAFQEAAAsA&#10;AAAAAAAAAAAAAAAAHwEAAF9yZWxzLy5yZWxzUEsBAi0AFAAGAAgAAAAhACI5ssjEAAAA3gAAAA8A&#10;AAAAAAAAAAAAAAAABwIAAGRycy9kb3ducmV2LnhtbFBLBQYAAAAAAwADALcAAAD4AgAAAAA=&#10;" filled="f" stroked="f">
                  <v:textbox inset="0,0,0,0">
                    <w:txbxContent>
                      <w:p w14:paraId="6D2AA5B4" w14:textId="77777777" w:rsidR="00B32EF2" w:rsidRDefault="00000000">
                        <w:r>
                          <w:rPr>
                            <w:rFonts w:ascii="Arial" w:eastAsia="Arial" w:hAnsi="Arial" w:cs="Arial"/>
                            <w:sz w:val="18"/>
                          </w:rPr>
                          <w:t>-</w:t>
                        </w:r>
                      </w:p>
                    </w:txbxContent>
                  </v:textbox>
                </v:rect>
                <v:rect id="Rectangle 14722" o:spid="_x0000_s1530" style="position:absolute;left:-12288;top:21624;width:522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yy/xAAAAN4AAAAPAAAAZHJzL2Rvd25yZXYueG1sRE9Na8JA&#10;EL0X/A/LCN7qxlBaia4iijQHL7UKHofsmESzs0t2NdFf3y0UepvH+5z5sjeNuFPra8sKJuMEBHFh&#10;dc2lgsP39nUKwgdkjY1lUvAgD8vF4GWOmbYdf9F9H0oRQ9hnqKAKwWVS+qIig35sHXHkzrY1GCJs&#10;S6lb7GK4aWSaJO/SYM2xoUJH64qK6/5mFJw27PJtJ4vzc+12l3zafN4OR6VGw341AxGoD//iP3eu&#10;4/y3jzSF33fiDXLxAwAA//8DAFBLAQItABQABgAIAAAAIQDb4fbL7gAAAIUBAAATAAAAAAAAAAAA&#10;AAAAAAAAAABbQ29udGVudF9UeXBlc10ueG1sUEsBAi0AFAAGAAgAAAAhAFr0LFu/AAAAFQEAAAsA&#10;AAAAAAAAAAAAAAAAHwEAAF9yZWxzLy5yZWxzUEsBAi0AFAAGAAgAAAAhANLrLL/EAAAA3gAAAA8A&#10;AAAAAAAAAAAAAAAABwIAAGRycy9kb3ducmV2LnhtbFBLBQYAAAAAAwADALcAAAD4AgAAAAA=&#10;" filled="f" stroked="f">
                  <v:textbox inset="0,0,0,0">
                    <w:txbxContent>
                      <w:p w14:paraId="3308B0B2" w14:textId="77777777" w:rsidR="00B32EF2" w:rsidRDefault="00000000">
                        <w:r>
                          <w:rPr>
                            <w:rFonts w:ascii="Arial" w:eastAsia="Arial" w:hAnsi="Arial" w:cs="Arial"/>
                            <w:sz w:val="18"/>
                          </w:rPr>
                          <w:t>cedimento in cui è stata pronunciata la sentenza cassata e non possono for</w:t>
                        </w:r>
                      </w:p>
                    </w:txbxContent>
                  </v:textbox>
                </v:rect>
                <v:rect id="Rectangle 14723" o:spid="_x0000_s1531" style="position:absolute;left:193;top:2162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4kkxQAAAN4AAAAPAAAAZHJzL2Rvd25yZXYueG1sRE9La8JA&#10;EL4X/A/LCN7qplpUoqsUi5hDL/UBHofsmMRmZ5fsamJ/fbcgeJuP7zmLVWdqcaPGV5YVvA0TEMS5&#10;1RUXCg77zesMhA/IGmvLpOBOHlbL3ssCU21b/qbbLhQihrBPUUEZgkul9HlJBv3QOuLInW1jMETY&#10;FFI32MZwU8tRkkykwYpjQ4mO1iXlP7urUXD6ZJdtWpmff9fu65LN6u31cFRq0O8+5iACdeEpfrgz&#10;Hee/T0dj+H8n3iCXfwAAAP//AwBQSwECLQAUAAYACAAAACEA2+H2y+4AAACFAQAAEwAAAAAAAAAA&#10;AAAAAAAAAAAAW0NvbnRlbnRfVHlwZXNdLnhtbFBLAQItABQABgAIAAAAIQBa9CxbvwAAABUBAAAL&#10;AAAAAAAAAAAAAAAAAB8BAABfcmVscy8ucmVsc1BLAQItABQABgAIAAAAIQC9p4kkxQAAAN4AAAAP&#10;AAAAAAAAAAAAAAAAAAcCAABkcnMvZG93bnJldi54bWxQSwUGAAAAAAMAAwC3AAAA+QIAAAAA&#10;" filled="f" stroked="f">
                  <v:textbox inset="0,0,0,0">
                    <w:txbxContent>
                      <w:p w14:paraId="1DA15866" w14:textId="77777777" w:rsidR="00B32EF2" w:rsidRDefault="00000000">
                        <w:r>
                          <w:rPr>
                            <w:rFonts w:ascii="Arial" w:eastAsia="Arial" w:hAnsi="Arial" w:cs="Arial"/>
                            <w:sz w:val="18"/>
                          </w:rPr>
                          <w:t>-</w:t>
                        </w:r>
                      </w:p>
                    </w:txbxContent>
                  </v:textbox>
                </v:rect>
                <v:rect id="Rectangle 14724" o:spid="_x0000_s1532" style="position:absolute;left:-12208;top:20391;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hFQxAAAAN4AAAAPAAAAZHJzL2Rvd25yZXYueG1sRE9Ni8Iw&#10;EL0v+B/CCN7WVJFd6RpFFLEHL7ou7HFoxrbaTEITbfXXb4QFb/N4nzNbdKYWN2p8ZVnBaJiAIM6t&#10;rrhQcPzevE9B+ICssbZMCu7kYTHvvc0w1bblPd0OoRAxhH2KCsoQXCqlz0sy6IfWEUfuZBuDIcKm&#10;kLrBNoabWo6T5EMarDg2lOhoVVJ+OVyNgt81u2zTyvz0WLndOZvW2+vxR6lBv1t+gQjUhZf4353p&#10;OH/yOZ7A8514g5z/AQAA//8DAFBLAQItABQABgAIAAAAIQDb4fbL7gAAAIUBAAATAAAAAAAAAAAA&#10;AAAAAAAAAABbQ29udGVudF9UeXBlc10ueG1sUEsBAi0AFAAGAAgAAAAhAFr0LFu/AAAAFQEAAAsA&#10;AAAAAAAAAAAAAAAAHwEAAF9yZWxzLy5yZWxzUEsBAi0AFAAGAAgAAAAhADJOEVDEAAAA3gAAAA8A&#10;AAAAAAAAAAAAAAAABwIAAGRycy9kb3ducmV2LnhtbFBLBQYAAAAAAwADALcAAAD4AgAAAAA=&#10;" filled="f" stroked="f">
                  <v:textbox inset="0,0,0,0">
                    <w:txbxContent>
                      <w:p w14:paraId="25BB92AF" w14:textId="77777777" w:rsidR="00B32EF2" w:rsidRDefault="00000000">
                        <w:r>
                          <w:rPr>
                            <w:rFonts w:ascii="Arial" w:eastAsia="Arial" w:hAnsi="Arial" w:cs="Arial"/>
                            <w:sz w:val="18"/>
                          </w:rPr>
                          <w:t>mulare richieste diverse da quelle prese in tale procedimento, salvi gli adegua</w:t>
                        </w:r>
                      </w:p>
                    </w:txbxContent>
                  </v:textbox>
                </v:rect>
                <v:rect id="Rectangle 14725" o:spid="_x0000_s1533" style="position:absolute;left:193;top:2039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rTLxQAAAN4AAAAPAAAAZHJzL2Rvd25yZXYueG1sRE9La8JA&#10;EL4X/A/LCN7qpmJVoqsUi5hDL/UBHofsmMRmZ5fsamJ/fbcgeJuP7zmLVWdqcaPGV5YVvA0TEMS5&#10;1RUXCg77zesMhA/IGmvLpOBOHlbL3ssCU21b/qbbLhQihrBPUUEZgkul9HlJBv3QOuLInW1jMETY&#10;FFI32MZwU8tRkkykwYpjQ4mO1iXlP7urUXD6ZJdtWpmff9fu65LN6u31cFRq0O8+5iACdeEpfrgz&#10;HeePp6N3+H8n3iCXfwAAAP//AwBQSwECLQAUAAYACAAAACEA2+H2y+4AAACFAQAAEwAAAAAAAAAA&#10;AAAAAAAAAAAAW0NvbnRlbnRfVHlwZXNdLnhtbFBLAQItABQABgAIAAAAIQBa9CxbvwAAABUBAAAL&#10;AAAAAAAAAAAAAAAAAB8BAABfcmVscy8ucmVsc1BLAQItABQABgAIAAAAIQBdArTLxQAAAN4AAAAP&#10;AAAAAAAAAAAAAAAAAAcCAABkcnMvZG93bnJldi54bWxQSwUGAAAAAAMAAwC3AAAA+QIAAAAA&#10;" filled="f" stroked="f">
                  <v:textbox inset="0,0,0,0">
                    <w:txbxContent>
                      <w:p w14:paraId="4A5EE926" w14:textId="77777777" w:rsidR="00B32EF2" w:rsidRDefault="00000000">
                        <w:r>
                          <w:rPr>
                            <w:rFonts w:ascii="Arial" w:eastAsia="Arial" w:hAnsi="Arial" w:cs="Arial"/>
                            <w:sz w:val="18"/>
                          </w:rPr>
                          <w:t>-</w:t>
                        </w:r>
                      </w:p>
                    </w:txbxContent>
                  </v:textbox>
                </v:rect>
                <v:rect id="Rectangle 14726" o:spid="_x0000_s1534" style="position:absolute;left:10349;top:19157;width:295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Cq8xAAAAN4AAAAPAAAAZHJzL2Rvd25yZXYueG1sRE9Ni8Iw&#10;EL0L/ocwgjdNFXGlaxRRxB72sq4Lexyasa02k9BEW/31m4UFb/N4n7Ncd6YWd2p8ZVnBZJyAIM6t&#10;rrhQcPrajxYgfEDWWFsmBQ/ysF71e0tMtW35k+7HUIgYwj5FBWUILpXS5yUZ9GPriCN3to3BEGFT&#10;SN1gG8NNLadJMpcGK44NJTralpRfjzej4GfHLtu3Mj8/t+7jki3qw+30rdRw0G3eQQTqwkv87850&#10;nD97m87h7514g1z9AgAA//8DAFBLAQItABQABgAIAAAAIQDb4fbL7gAAAIUBAAATAAAAAAAAAAAA&#10;AAAAAAAAAABbQ29udGVudF9UeXBlc10ueG1sUEsBAi0AFAAGAAgAAAAhAFr0LFu/AAAAFQEAAAsA&#10;AAAAAAAAAAAAAAAAHwEAAF9yZWxzLy5yZWxzUEsBAi0AFAAGAAgAAAAhAK3QKrzEAAAA3gAAAA8A&#10;AAAAAAAAAAAAAAAABwIAAGRycy9kb3ducmV2LnhtbFBLBQYAAAAAAwADALcAAAD4AgAAAAA=&#10;" filled="f" stroked="f">
                  <v:textbox inset="0,0,0,0">
                    <w:txbxContent>
                      <w:p w14:paraId="01FF19BC" w14:textId="77777777" w:rsidR="00B32EF2" w:rsidRDefault="00000000">
                        <w:r>
                          <w:rPr>
                            <w:rFonts w:ascii="Arial" w:eastAsia="Arial" w:hAnsi="Arial" w:cs="Arial"/>
                            <w:sz w:val="18"/>
                          </w:rPr>
                          <w:t>menti imposti dalla sentenza di cassazione.</w:t>
                        </w:r>
                      </w:p>
                    </w:txbxContent>
                  </v:textbox>
                </v:rect>
                <v:rect id="Rectangle 199758" o:spid="_x0000_s1535" style="position:absolute;left:26111;top:1792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7zxxQAAAN8AAAAPAAAAZHJzL2Rvd25yZXYueG1sRE9LS8NA&#10;EL4L/odlBG92o6BNY7dFKsUceulD8Dhkp0k0O7tkt0301zuHQo8f33u+HF2nztTH1rOBx0kGirjy&#10;tuXawGG/fshBxYRssfNMBn4pwnJxezPHwvqBt3TepVpJCMcCDTQphULrWDXkME58IBbu6HuHSWBf&#10;a9vjIOGu009Z9qIdtiwNDQZaNVT97E7OwNc7h3I96Or4twqb7zLvPk6HT2Pu78a3V1CJxnQVX9yl&#10;lfmz2fRZBssfAaAX/wAAAP//AwBQSwECLQAUAAYACAAAACEA2+H2y+4AAACFAQAAEwAAAAAAAAAA&#10;AAAAAAAAAAAAW0NvbnRlbnRfVHlwZXNdLnhtbFBLAQItABQABgAIAAAAIQBa9CxbvwAAABUBAAAL&#10;AAAAAAAAAAAAAAAAAB8BAABfcmVscy8ucmVsc1BLAQItABQABgAIAAAAIQBHQ7zxxQAAAN8AAAAP&#10;AAAAAAAAAAAAAAAAAAcCAABkcnMvZG93bnJldi54bWxQSwUGAAAAAAMAAwC3AAAA+QIAAAAA&#10;" filled="f" stroked="f">
                  <v:textbox inset="0,0,0,0">
                    <w:txbxContent>
                      <w:p w14:paraId="16F72BF4" w14:textId="77777777" w:rsidR="00B32EF2" w:rsidRDefault="00000000">
                        <w:r>
                          <w:rPr>
                            <w:rFonts w:ascii="Arial" w:eastAsia="Arial" w:hAnsi="Arial" w:cs="Arial"/>
                            <w:sz w:val="18"/>
                          </w:rPr>
                          <w:t>5</w:t>
                        </w:r>
                      </w:p>
                    </w:txbxContent>
                  </v:textbox>
                </v:rect>
                <v:rect id="Rectangle 199759" o:spid="_x0000_s1536" style="position:absolute;left:-13814;top:1792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xlqxQAAAN8AAAAPAAAAZHJzL2Rvd25yZXYueG1sRE/LasJA&#10;FN0X/IfhCu7qRMHWpI4iijQLN/UBXV4y1yRt5s6QGU3ar3cKBZeH816setOIG7W+tqxgMk5AEBdW&#10;11wqOB13z3MQPiBrbCyTgh/ysFoOnhaYadvxB90OoRQxhH2GCqoQXCalLyoy6MfWEUfuYluDIcK2&#10;lLrFLoabRk6T5EUarDk2VOhoU1HxfbgaBZ9bdvmuk8Xld+P2X/m8eb+ezkqNhv36DUSgPjzE/+5c&#10;x/lp+jpL4e9PBCCXdwAAAP//AwBQSwECLQAUAAYACAAAACEA2+H2y+4AAACFAQAAEwAAAAAAAAAA&#10;AAAAAAAAAAAAW0NvbnRlbnRfVHlwZXNdLnhtbFBLAQItABQABgAIAAAAIQBa9CxbvwAAABUBAAAL&#10;AAAAAAAAAAAAAAAAAB8BAABfcmVscy8ucmVsc1BLAQItABQABgAIAAAAIQAoDxlqxQAAAN8AAAAP&#10;AAAAAAAAAAAAAAAAAAcCAABkcnMvZG93bnJldi54bWxQSwUGAAAAAAMAAwC3AAAA+QIAAAAA&#10;" filled="f" stroked="f">
                  <v:textbox inset="0,0,0,0">
                    <w:txbxContent>
                      <w:p w14:paraId="64EA1B8B" w14:textId="77777777" w:rsidR="00B32EF2" w:rsidRDefault="00000000">
                        <w:r>
                          <w:rPr>
                            <w:rFonts w:ascii="Arial" w:eastAsia="Arial" w:hAnsi="Arial" w:cs="Arial"/>
                            <w:sz w:val="18"/>
                          </w:rPr>
                          <w:t xml:space="preserve">. Subito dopo il deposito dell’atto di riassunzione, la segreteria della corte di </w:t>
                        </w:r>
                      </w:p>
                    </w:txbxContent>
                  </v:textbox>
                </v:rect>
                <v:rect id="Rectangle 14728" o:spid="_x0000_s1537" style="position:absolute;left:-13170;top:16691;width:530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xtVxwAAAN4AAAAPAAAAZHJzL2Rvd25yZXYueG1sRI9Ba8JA&#10;EIXvQv/DMoXedFMRldRVikXMoZeqhR6H7Jikzc4u2dWk/fXOoeBthvfmvW9Wm8G16kpdbDwbeJ5k&#10;oIhLbxuuDJyOu/ESVEzIFlvPZOCXImzWD6MV5tb3/EHXQ6qUhHDM0UCdUsi1jmVNDuPEB2LRzr5z&#10;mGTtKm077CXctXqaZXPtsGFpqDHQtqby53BxBr7eOBS7Xpfnv214/y6W7f5y+jTm6XF4fQGVaEh3&#10;8/91YQV/tpgKr7wjM+j1DQAA//8DAFBLAQItABQABgAIAAAAIQDb4fbL7gAAAIUBAAATAAAAAAAA&#10;AAAAAAAAAAAAAABbQ29udGVudF9UeXBlc10ueG1sUEsBAi0AFAAGAAgAAAAhAFr0LFu/AAAAFQEA&#10;AAsAAAAAAAAAAAAAAAAAHwEAAF9yZWxzLy5yZWxzUEsBAi0AFAAGAAgAAAAhALMDG1XHAAAA3gAA&#10;AA8AAAAAAAAAAAAAAAAABwIAAGRycy9kb3ducmV2LnhtbFBLBQYAAAAAAwADALcAAAD7AgAAAAA=&#10;" filled="f" stroked="f">
                  <v:textbox inset="0,0,0,0">
                    <w:txbxContent>
                      <w:p w14:paraId="2CE53E0B" w14:textId="77777777" w:rsidR="00B32EF2" w:rsidRDefault="00000000">
                        <w:r>
                          <w:rPr>
                            <w:rFonts w:ascii="Arial" w:eastAsia="Arial" w:hAnsi="Arial" w:cs="Arial"/>
                            <w:sz w:val="18"/>
                          </w:rPr>
                          <w:t xml:space="preserve">giustizia tributaria adita richiede alla cancelleria della Corte di cassazione la </w:t>
                        </w:r>
                      </w:p>
                    </w:txbxContent>
                  </v:textbox>
                </v:rect>
                <v:rect id="Rectangle 14729" o:spid="_x0000_s1538" style="position:absolute;left:12715;top:15457;width:272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77OxQAAAN4AAAAPAAAAZHJzL2Rvd25yZXYueG1sRE9Na8JA&#10;EL0L/Q/LFLzpRpFqo6uIIs3BS62FHofsmESzs0t2NWl/vVsQvM3jfc5i1Zla3KjxlWUFo2ECgji3&#10;uuJCwfFrN5iB8AFZY22ZFPySh9XypbfAVNuWP+l2CIWIIexTVFCG4FIpfV6SQT+0jjhyJ9sYDBE2&#10;hdQNtjHc1HKcJG/SYMWxoURHm5Lyy+FqFPxs2WW7Vuanv43bn7NZ/XE9fivVf+3WcxCBuvAUP9yZ&#10;jvMn0/E7/L8Tb5DLOwAAAP//AwBQSwECLQAUAAYACAAAACEA2+H2y+4AAACFAQAAEwAAAAAAAAAA&#10;AAAAAAAAAAAAW0NvbnRlbnRfVHlwZXNdLnhtbFBLAQItABQABgAIAAAAIQBa9CxbvwAAABUBAAAL&#10;AAAAAAAAAAAAAAAAAB8BAABfcmVscy8ucmVsc1BLAQItABQABgAIAAAAIQDcT77OxQAAAN4AAAAP&#10;AAAAAAAAAAAAAAAAAAcCAABkcnMvZG93bnJldi54bWxQSwUGAAAAAAMAAwC3AAAA+QIAAAAA&#10;" filled="f" stroked="f">
                  <v:textbox inset="0,0,0,0">
                    <w:txbxContent>
                      <w:p w14:paraId="579B8E13" w14:textId="77777777" w:rsidR="00B32EF2" w:rsidRDefault="00000000">
                        <w:r>
                          <w:rPr>
                            <w:rFonts w:ascii="Arial" w:eastAsia="Arial" w:hAnsi="Arial" w:cs="Arial"/>
                            <w:sz w:val="18"/>
                          </w:rPr>
                          <w:t>trasmissione del fascicolo del processo.</w:t>
                        </w:r>
                      </w:p>
                    </w:txbxContent>
                  </v:textbox>
                </v:rect>
                <v:rect id="Rectangle 14730" o:spid="_x0000_s1539" style="position:absolute;left:14634;top:12664;width:88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IGOyAAAAN4AAAAPAAAAZHJzL2Rvd25yZXYueG1sRI9Pb8Iw&#10;DMXvk/YdIk/iNtL90UAdAU1MiB64DJi0o9WYtlvjRE2gHZ8eH5C42fLze+83WwyuVSfqYuPZwNM4&#10;A0VcettwZWC/Wz1OQcWEbLH1TAb+KcJifn83w9z6nr/otE2VEhOOORqoUwq51rGsyWEc+0Ast4Pv&#10;HCZZu0rbDnsxd61+zrI37bBhSagx0LKm8m97dAZ+PjkUq16Xh/MybH6Labs+7r+NGT0MH++gEg3p&#10;Jr5+F1bqv05eBEBwZAY9vwAAAP//AwBQSwECLQAUAAYACAAAACEA2+H2y+4AAACFAQAAEwAAAAAA&#10;AAAAAAAAAAAAAAAAW0NvbnRlbnRfVHlwZXNdLnhtbFBLAQItABQABgAIAAAAIQBa9CxbvwAAABUB&#10;AAALAAAAAAAAAAAAAAAAAB8BAABfcmVscy8ucmVsc1BLAQItABQABgAIAAAAIQDIrIGOyAAAAN4A&#10;AAAPAAAAAAAAAAAAAAAAAAcCAABkcnMvZG93bnJldi54bWxQSwUGAAAAAAMAAwC3AAAA/AIAAAAA&#10;" filled="f" stroked="f">
                  <v:textbox inset="0,0,0,0">
                    <w:txbxContent>
                      <w:p w14:paraId="5B6EC296" w14:textId="77777777" w:rsidR="00B32EF2" w:rsidRDefault="00000000">
                        <w:r>
                          <w:rPr>
                            <w:rFonts w:ascii="Arial" w:eastAsia="Arial" w:hAnsi="Arial" w:cs="Arial"/>
                            <w:b/>
                            <w:sz w:val="18"/>
                          </w:rPr>
                          <w:t>Articolo 119</w:t>
                        </w:r>
                      </w:p>
                    </w:txbxContent>
                  </v:textbox>
                </v:rect>
                <v:rect id="Rectangle 199757" o:spid="_x0000_s1540" style="position:absolute;left:10193;top:11267;width:226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DxAAAAN8AAAAPAAAAZHJzL2Rvd25yZXYueG1sRE/LasJA&#10;FN0L/sNwBXc6aaFVU0cpFjELNz4KXV4y1yRt5s6QGU3q1zuC4PJw3vNlZ2pxocZXlhW8jBMQxLnV&#10;FRcKjof1aArCB2SNtWVS8E8elot+b46pti3v6LIPhYgh7FNUUIbgUil9XpJBP7aOOHIn2xgMETaF&#10;1A22MdzU8jVJ3qXBimNDiY5WJeV/+7NR8PPFLlu3Mj9dV277m03rzfn4rdRw0H1+gAjUhaf44c50&#10;nD+bTd4mcP8TAcjFDQAA//8DAFBLAQItABQABgAIAAAAIQDb4fbL7gAAAIUBAAATAAAAAAAAAAAA&#10;AAAAAAAAAABbQ29udGVudF9UeXBlc10ueG1sUEsBAi0AFAAGAAgAAAAhAFr0LFu/AAAAFQEAAAsA&#10;AAAAAAAAAAAAAAAAHwEAAF9yZWxzLy5yZWxzUEsBAi0AFAAGAAgAAAAhADbcKIPEAAAA3wAAAA8A&#10;AAAAAAAAAAAAAAAABwIAAGRycy9kb3ducmV2LnhtbFBLBQYAAAAAAwADALcAAAD4AgAAAAA=&#10;" filled="f" stroked="f">
                  <v:textbox inset="0,0,0,0">
                    <w:txbxContent>
                      <w:p w14:paraId="02BFA2BF" w14:textId="77777777" w:rsidR="00B32EF2" w:rsidRDefault="00000000">
                        <w:r>
                          <w:rPr>
                            <w:rFonts w:ascii="Arial" w:eastAsia="Arial" w:hAnsi="Arial" w:cs="Arial"/>
                            <w:i/>
                            <w:sz w:val="18"/>
                          </w:rPr>
                          <w:t xml:space="preserve">articolo 21-bis D.lgs. n. </w:t>
                        </w:r>
                      </w:p>
                    </w:txbxContent>
                  </v:textbox>
                </v:rect>
                <v:rect id="Rectangle 199755" o:spid="_x0000_s1541" style="position:absolute;left:22639;top:11267;width:226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hNvxAAAAN8AAAAPAAAAZHJzL2Rvd25yZXYueG1sRE/LasJA&#10;FN0L/sNwhe500oKv1FGKRcyiGx+FLi+Za5I2c2fIjCb69R1BcHk478WqM7W4UOMrywpeRwkI4tzq&#10;igsFx8NmOAPhA7LG2jIpuJKH1bLfW2Cqbcs7uuxDIWII+xQVlCG4VEqfl2TQj6wjjtzJNgZDhE0h&#10;dYNtDDe1fEuSiTRYcWwo0dG6pPxvfzYKfj7ZZZtW5qfb2n39ZrN6ez5+K/Uy6D7eQQTqwlP8cGc6&#10;zp/Pp+Mx3P9EAHL5DwAA//8DAFBLAQItABQABgAIAAAAIQDb4fbL7gAAAIUBAAATAAAAAAAAAAAA&#10;AAAAAAAAAABbQ29udGVudF9UeXBlc10ueG1sUEsBAi0AFAAGAAgAAAAhAFr0LFu/AAAAFQEAAAsA&#10;AAAAAAAAAAAAAAAAHwEAAF9yZWxzLy5yZWxzUEsBAi0AFAAGAAgAAAAhAKlCE2/EAAAA3wAAAA8A&#10;AAAAAAAAAAAAAAAABwIAAGRycy9kb3ducmV2LnhtbFBLBQYAAAAAAwADALcAAAD4AgAAAAA=&#10;" filled="f" stroked="f">
                  <v:textbox inset="0,0,0,0">
                    <w:txbxContent>
                      <w:p w14:paraId="19760E1B" w14:textId="77777777" w:rsidR="00B32EF2" w:rsidRDefault="00000000">
                        <w:r>
                          <w:rPr>
                            <w:rFonts w:ascii="Arial" w:eastAsia="Arial" w:hAnsi="Arial" w:cs="Arial"/>
                            <w:i/>
                            <w:sz w:val="18"/>
                          </w:rPr>
                          <w:t>(</w:t>
                        </w:r>
                      </w:p>
                    </w:txbxContent>
                  </v:textbox>
                </v:rect>
                <v:rect id="Rectangle 199756" o:spid="_x0000_s1542" style="position:absolute;left:-6519;top:11267;width:226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I0YxQAAAN8AAAAPAAAAZHJzL2Rvd25yZXYueG1sRE/LasJA&#10;FN0L/sNwBXc6aaE+UkcpFjELNz4KXV4y1yRt5s6QGU3ar3cEweXhvBerztTiSo2vLCt4GScgiHOr&#10;Ky4UnI6b0QyED8gaa8uk4I88rJb93gJTbVve0/UQChFD2KeooAzBpVL6vCSDfmwdceTOtjEYImwK&#10;qRtsY7ip5WuSTKTBimNDiY7WJeW/h4tR8P3JLtu0Mj//r93uJ5vV28vpS6nhoPt4BxGoC0/xw53p&#10;OH8+n75N4P4nApDLGwAAAP//AwBQSwECLQAUAAYACAAAACEA2+H2y+4AAACFAQAAEwAAAAAAAAAA&#10;AAAAAAAAAAAAW0NvbnRlbnRfVHlwZXNdLnhtbFBLAQItABQABgAIAAAAIQBa9CxbvwAAABUBAAAL&#10;AAAAAAAAAAAAAAAAAB8BAABfcmVscy8ucmVsc1BLAQItABQABgAIAAAAIQBZkI0YxQAAAN8AAAAP&#10;AAAAAAAAAAAAAAAAAAcCAABkcnMvZG93bnJldi54bWxQSwUGAAAAAAMAAwC3AAAA+QIAAAAA&#10;" filled="f" stroked="f">
                  <v:textbox inset="0,0,0,0">
                    <w:txbxContent>
                      <w:p w14:paraId="04402AB6" w14:textId="77777777" w:rsidR="00B32EF2" w:rsidRDefault="00000000">
                        <w:r>
                          <w:rPr>
                            <w:rFonts w:ascii="Arial" w:eastAsia="Arial" w:hAnsi="Arial" w:cs="Arial"/>
                            <w:i/>
                            <w:sz w:val="18"/>
                          </w:rPr>
                          <w:t>74/2000)</w:t>
                        </w:r>
                      </w:p>
                    </w:txbxContent>
                  </v:textbox>
                </v:rect>
                <v:rect id="Rectangle 14732" o:spid="_x0000_s1543" style="position:absolute;left:-12083;top:9870;width:513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pixQAAAN4AAAAPAAAAZHJzL2Rvd25yZXYueG1sRE9La8JA&#10;EL4X/A/LCN7qplpUoqsUi5hDL/UBHofsmMRmZ5fsamJ/fbcgeJuP7zmLVWdqcaPGV5YVvA0TEMS5&#10;1RUXCg77zesMhA/IGmvLpOBOHlbL3ssCU21b/qbbLhQihrBPUUEZgkul9HlJBv3QOuLInW1jMETY&#10;FFI32MZwU8tRkkykwYpjQ4mO1iXlP7urUXD6ZJdtWpmff9fu65LN6u31cFRq0O8+5iACdeEpfrgz&#10;Hee/T8cj+H8n3iCXfwAAAP//AwBQSwECLQAUAAYACAAAACEA2+H2y+4AAACFAQAAEwAAAAAAAAAA&#10;AAAAAAAAAAAAW0NvbnRlbnRfVHlwZXNdLnhtbFBLAQItABQABgAIAAAAIQBa9CxbvwAAABUBAAAL&#10;AAAAAAAAAAAAAAAAAB8BAABfcmVscy8ucmVsc1BLAQItABQABgAIAAAAIQBXMrpixQAAAN4AAAAP&#10;AAAAAAAAAAAAAAAAAAcCAABkcnMvZG93bnJldi54bWxQSwUGAAAAAAMAAwC3AAAA+QIAAAAA&#10;" filled="f" stroked="f">
                  <v:textbox inset="0,0,0,0">
                    <w:txbxContent>
                      <w:p w14:paraId="7571CBD3" w14:textId="77777777" w:rsidR="00B32EF2" w:rsidRDefault="00000000">
                        <w:r>
                          <w:rPr>
                            <w:rFonts w:ascii="Arial" w:eastAsia="Arial" w:hAnsi="Arial" w:cs="Arial"/>
                            <w:b/>
                            <w:sz w:val="18"/>
                          </w:rPr>
                          <w:t xml:space="preserve">Efficacia delle sentenze penali nel processo tributario e nel processo </w:t>
                        </w:r>
                      </w:p>
                    </w:txbxContent>
                  </v:textbox>
                </v:rect>
                <v:rect id="Rectangle 14733" o:spid="_x0000_s1544" style="position:absolute;left:13236;top:8474;width:107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h/5xQAAAN4AAAAPAAAAZHJzL2Rvd25yZXYueG1sRE9La8JA&#10;EL4X/A/LCN7qprWoRFcpiphDL/UBHofsmMRmZ5fsamJ/fbcgeJuP7znzZWdqcaPGV5YVvA0TEMS5&#10;1RUXCg77zesUhA/IGmvLpOBOHpaL3sscU21b/qbbLhQihrBPUUEZgkul9HlJBv3QOuLInW1jMETY&#10;FFI32MZwU8v3JBlLgxXHhhIdrUrKf3ZXo+C0ZpdtWpmff1fu65JN6+31cFRq0O8+ZyACdeEpfrgz&#10;Hed/TEYj+H8n3iAXfwAAAP//AwBQSwECLQAUAAYACAAAACEA2+H2y+4AAACFAQAAEwAAAAAAAAAA&#10;AAAAAAAAAAAAW0NvbnRlbnRfVHlwZXNdLnhtbFBLAQItABQABgAIAAAAIQBa9CxbvwAAABUBAAAL&#10;AAAAAAAAAAAAAAAAAB8BAABfcmVscy8ucmVsc1BLAQItABQABgAIAAAAIQA4fh/5xQAAAN4AAAAP&#10;AAAAAAAAAAAAAAAAAAcCAABkcnMvZG93bnJldi54bWxQSwUGAAAAAAMAAwC3AAAA+QIAAAAA&#10;" filled="f" stroked="f">
                  <v:textbox inset="0,0,0,0">
                    <w:txbxContent>
                      <w:p w14:paraId="463421B8" w14:textId="77777777" w:rsidR="00B32EF2" w:rsidRDefault="00000000">
                        <w:r>
                          <w:rPr>
                            <w:rFonts w:ascii="Arial" w:eastAsia="Arial" w:hAnsi="Arial" w:cs="Arial"/>
                            <w:b/>
                            <w:sz w:val="18"/>
                          </w:rPr>
                          <w:t xml:space="preserve">di Cassazione </w:t>
                        </w:r>
                      </w:p>
                    </w:txbxContent>
                  </v:textbox>
                </v:rect>
                <v:rect id="Rectangle 199754" o:spid="_x0000_s1545" style="position:absolute;left:-12797;top:7077;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rb0xQAAAN8AAAAPAAAAZHJzL2Rvd25yZXYueG1sRE/Pa8Iw&#10;FL4P9j+EN9htphPdajWKKLIevMw52PHRPNu65iU00Vb/eiMMdvz4fs8WvWnEmVpfW1bwOkhAEBdW&#10;11wq2H9tXlIQPiBrbCyTggt5WMwfH2aYadvxJ513oRQxhH2GCqoQXCalLyoy6AfWEUfuYFuDIcK2&#10;lLrFLoabRg6T5E0arDk2VOhoVVHxuzsZBT9rdvmmk8XhunLbY542H6f9t1LPT/1yCiJQH/7Ff+5c&#10;x/mTyft4BPc/EYCc3wAAAP//AwBQSwECLQAUAAYACAAAACEA2+H2y+4AAACFAQAAEwAAAAAAAAAA&#10;AAAAAAAAAAAAW0NvbnRlbnRfVHlwZXNdLnhtbFBLAQItABQABgAIAAAAIQBa9CxbvwAAABUBAAAL&#10;AAAAAAAAAAAAAAAAAB8BAABfcmVscy8ucmVsc1BLAQItABQABgAIAAAAIQDGDrb0xQAAAN8AAAAP&#10;AAAAAAAAAAAAAAAAAAcCAABkcnMvZG93bnJldi54bWxQSwUGAAAAAAMAAwC3AAAA+QIAAAAA&#10;" filled="f" stroked="f">
                  <v:textbox inset="0,0,0,0">
                    <w:txbxContent>
                      <w:p w14:paraId="33994B34" w14:textId="77777777" w:rsidR="00B32EF2" w:rsidRDefault="00000000">
                        <w:r>
                          <w:rPr>
                            <w:rFonts w:ascii="Arial" w:eastAsia="Arial" w:hAnsi="Arial" w:cs="Arial"/>
                            <w:sz w:val="18"/>
                          </w:rPr>
                          <w:t>. La sentenza irrevocabile di assoluzione perché il fatto non sussiste o l’impu</w:t>
                        </w:r>
                      </w:p>
                    </w:txbxContent>
                  </v:textbox>
                </v:rect>
                <v:rect id="Rectangle 199753" o:spid="_x0000_s1546" style="position:absolute;left:26351;top:7077;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y6AxQAAAN8AAAAPAAAAZHJzL2Rvd25yZXYueG1sRE/Pa8Iw&#10;FL4P9j+EN9htplPcajWKKLIevMw52PHRPNu65iU00Vb/eiMMdvz4fs8WvWnEmVpfW1bwOkhAEBdW&#10;11wq2H9tXlIQPiBrbCyTggt5WMwfH2aYadvxJ513oRQxhH2GCqoQXCalLyoy6AfWEUfuYFuDIcK2&#10;lLrFLoabRg6T5E0arDk2VOhoVVHxuzsZBT9rdvmmk8XhunLbY542H6f9t1LPT/1yCiJQH/7Ff+5c&#10;x/mTyft4BPc/EYCc3wAAAP//AwBQSwECLQAUAAYACAAAACEA2+H2y+4AAACFAQAAEwAAAAAAAAAA&#10;AAAAAAAAAAAAW0NvbnRlbnRfVHlwZXNdLnhtbFBLAQItABQABgAIAAAAIQBa9CxbvwAAABUBAAAL&#10;AAAAAAAAAAAAAAAAAB8BAABfcmVscy8ucmVsc1BLAQItABQABgAIAAAAIQBJ5y6AxQAAAN8AAAAP&#10;AAAAAAAAAAAAAAAAAAcCAABkcnMvZG93bnJldi54bWxQSwUGAAAAAAMAAwC3AAAA+QIAAAAA&#10;" filled="f" stroked="f">
                  <v:textbox inset="0,0,0,0">
                    <w:txbxContent>
                      <w:p w14:paraId="25933BEE" w14:textId="77777777" w:rsidR="00B32EF2" w:rsidRDefault="00000000">
                        <w:r>
                          <w:rPr>
                            <w:rFonts w:ascii="Arial" w:eastAsia="Arial" w:hAnsi="Arial" w:cs="Arial"/>
                            <w:sz w:val="18"/>
                          </w:rPr>
                          <w:t>1</w:t>
                        </w:r>
                      </w:p>
                    </w:txbxContent>
                  </v:textbox>
                </v:rect>
                <v:rect id="Rectangle 14735" o:spid="_x0000_s1547" style="position:absolute;left:194;top:707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yIWxQAAAN4AAAAPAAAAZHJzL2Rvd25yZXYueG1sRE9Na8JA&#10;EL0L/Q/LFHozG2ttJXWVokhz8KJV8DhkxyQ1O7tkV5P213cFobd5vM+ZLXrTiCu1vrasYJSkIIgL&#10;q2suFey/1sMpCB+QNTaWScEPeVjMHwYzzLTteEvXXShFDGGfoYIqBJdJ6YuKDPrEOuLInWxrMETY&#10;llK32MVw08jnNH2VBmuODRU6WlZUnHcXo+C4YpevO1mcfpdu851Pm8/L/qDU02P/8Q4iUB/+xXd3&#10;ruP8l7fxBG7vxBvk/A8AAP//AwBQSwECLQAUAAYACAAAACEA2+H2y+4AAACFAQAAEwAAAAAAAAAA&#10;AAAAAAAAAAAAW0NvbnRlbnRfVHlwZXNdLnhtbFBLAQItABQABgAIAAAAIQBa9CxbvwAAABUBAAAL&#10;AAAAAAAAAAAAAAAAAB8BAABfcmVscy8ucmVsc1BLAQItABQABgAIAAAAIQDY2yIWxQAAAN4AAAAP&#10;AAAAAAAAAAAAAAAAAAcCAABkcnMvZG93bnJldi54bWxQSwUGAAAAAAMAAwC3AAAA+QIAAAAA&#10;" filled="f" stroked="f">
                  <v:textbox inset="0,0,0,0">
                    <w:txbxContent>
                      <w:p w14:paraId="6206815E" w14:textId="77777777" w:rsidR="00B32EF2" w:rsidRDefault="00000000">
                        <w:r>
                          <w:rPr>
                            <w:rFonts w:ascii="Arial" w:eastAsia="Arial" w:hAnsi="Arial" w:cs="Arial"/>
                            <w:sz w:val="18"/>
                          </w:rPr>
                          <w:t>-</w:t>
                        </w:r>
                      </w:p>
                    </w:txbxContent>
                  </v:textbox>
                </v:rect>
                <v:rect id="Rectangle 14736" o:spid="_x0000_s1548" style="position:absolute;left:-13169;top:568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bxhxQAAAN4AAAAPAAAAZHJzL2Rvd25yZXYueG1sRE9La8JA&#10;EL4L/odlBG+6aSsq0VWKRcyhl/oAj0N2TGKzs0t2NbG/vlsoeJuP7znLdWdqcafGV5YVvIwTEMS5&#10;1RUXCo6H7WgOwgdkjbVlUvAgD+tVv7fEVNuWv+i+D4WIIexTVFCG4FIpfV6SQT+2jjhyF9sYDBE2&#10;hdQNtjHc1PI1SabSYMWxoURHm5Ly7/3NKDh/sMu2rcwvPxv3ec3m9e52PCk1HHTvCxCBuvAU/7sz&#10;HedPZm9T+Hsn3iBXvwAAAP//AwBQSwECLQAUAAYACAAAACEA2+H2y+4AAACFAQAAEwAAAAAAAAAA&#10;AAAAAAAAAAAAW0NvbnRlbnRfVHlwZXNdLnhtbFBLAQItABQABgAIAAAAIQBa9CxbvwAAABUBAAAL&#10;AAAAAAAAAAAAAAAAAB8BAABfcmVscy8ucmVsc1BLAQItABQABgAIAAAAIQAoCbxhxQAAAN4AAAAP&#10;AAAAAAAAAAAAAAAAAAcCAABkcnMvZG93bnJldi54bWxQSwUGAAAAAAMAAwC3AAAA+QIAAAAA&#10;" filled="f" stroked="f">
                  <v:textbox inset="0,0,0,0">
                    <w:txbxContent>
                      <w:p w14:paraId="774F31C2" w14:textId="77777777" w:rsidR="00B32EF2" w:rsidRDefault="00000000">
                        <w:r>
                          <w:rPr>
                            <w:rFonts w:ascii="Arial" w:eastAsia="Arial" w:hAnsi="Arial" w:cs="Arial"/>
                            <w:sz w:val="18"/>
                          </w:rPr>
                          <w:t xml:space="preserve">tato non lo ha commesso, pronunciata in seguito a dibattimento nei confronti </w:t>
                        </w:r>
                      </w:p>
                    </w:txbxContent>
                  </v:textbox>
                </v:rect>
                <v:rect id="Rectangle 14737" o:spid="_x0000_s1549" style="position:absolute;left:-13169;top:428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Rn6xQAAAN4AAAAPAAAAZHJzL2Rvd25yZXYueG1sRE9La8JA&#10;EL4X/A/LCN7qxlpUoquIRZpDL/UBHofsmESzs0t2NWl/fbcgeJuP7zmLVWdqcafGV5YVjIYJCOLc&#10;6ooLBYf99nUGwgdkjbVlUvBDHlbL3ssCU21b/qb7LhQihrBPUUEZgkul9HlJBv3QOuLInW1jMETY&#10;FFI32MZwU8u3JJlIgxXHhhIdbUrKr7ubUXD6YJdtW5mffzfu65LN6s/b4ajUoN+t5yACdeEpfrgz&#10;Hee/T8dT+H8n3iCXfwAAAP//AwBQSwECLQAUAAYACAAAACEA2+H2y+4AAACFAQAAEwAAAAAAAAAA&#10;AAAAAAAAAAAAW0NvbnRlbnRfVHlwZXNdLnhtbFBLAQItABQABgAIAAAAIQBa9CxbvwAAABUBAAAL&#10;AAAAAAAAAAAAAAAAAB8BAABfcmVscy8ucmVsc1BLAQItABQABgAIAAAAIQBHRRn6xQAAAN4AAAAP&#10;AAAAAAAAAAAAAAAAAAcCAABkcnMvZG93bnJldi54bWxQSwUGAAAAAAMAAwC3AAAA+QIAAAAA&#10;" filled="f" stroked="f">
                  <v:textbox inset="0,0,0,0">
                    <w:txbxContent>
                      <w:p w14:paraId="6C58FDD0" w14:textId="77777777" w:rsidR="00B32EF2" w:rsidRDefault="00000000">
                        <w:r>
                          <w:rPr>
                            <w:rFonts w:ascii="Arial" w:eastAsia="Arial" w:hAnsi="Arial" w:cs="Arial"/>
                            <w:sz w:val="18"/>
                          </w:rPr>
                          <w:t xml:space="preserve">del medesimo soggetto e sugli stessi fatti materiali oggetto di valutazione nel </w:t>
                        </w:r>
                      </w:p>
                    </w:txbxContent>
                  </v:textbox>
                </v:rect>
                <w10:anchorlock/>
              </v:group>
            </w:pict>
          </mc:Fallback>
        </mc:AlternateContent>
      </w:r>
    </w:p>
    <w:p w14:paraId="273FB537" w14:textId="77777777" w:rsidR="00B32EF2" w:rsidRDefault="00000000">
      <w:pPr>
        <w:spacing w:after="0"/>
        <w:ind w:left="-357" w:right="-306"/>
      </w:pPr>
      <w:r>
        <w:rPr>
          <w:noProof/>
        </w:rPr>
        <w:lastRenderedPageBreak/>
        <mc:AlternateContent>
          <mc:Choice Requires="wpg">
            <w:drawing>
              <wp:inline distT="0" distB="0" distL="0" distR="0" wp14:anchorId="1C30C7D4" wp14:editId="166EE37D">
                <wp:extent cx="3992076" cy="6262854"/>
                <wp:effectExtent l="0" t="0" r="0" b="0"/>
                <wp:docPr id="199919" name="Group 199919"/>
                <wp:cNvGraphicFramePr/>
                <a:graphic xmlns:a="http://schemas.openxmlformats.org/drawingml/2006/main">
                  <a:graphicData uri="http://schemas.microsoft.com/office/word/2010/wordprocessingGroup">
                    <wpg:wgp>
                      <wpg:cNvGrpSpPr/>
                      <wpg:grpSpPr>
                        <a:xfrm>
                          <a:off x="0" y="0"/>
                          <a:ext cx="3992076" cy="6262854"/>
                          <a:chOff x="0" y="0"/>
                          <a:chExt cx="3992076" cy="6262854"/>
                        </a:xfrm>
                      </wpg:grpSpPr>
                      <wps:wsp>
                        <wps:cNvPr id="14815" name="Rectangle 14815"/>
                        <wps:cNvSpPr/>
                        <wps:spPr>
                          <a:xfrm rot="-10799999">
                            <a:off x="1900762" y="-62190"/>
                            <a:ext cx="178369" cy="250646"/>
                          </a:xfrm>
                          <a:prstGeom prst="rect">
                            <a:avLst/>
                          </a:prstGeom>
                          <a:ln>
                            <a:noFill/>
                          </a:ln>
                        </wps:spPr>
                        <wps:txbx>
                          <w:txbxContent>
                            <w:p w14:paraId="0F791DF4" w14:textId="77777777" w:rsidR="00B32EF2" w:rsidRDefault="00000000">
                              <w:r>
                                <w:rPr>
                                  <w:rFonts w:ascii="Times New Roman" w:eastAsia="Times New Roman" w:hAnsi="Times New Roman" w:cs="Times New Roman"/>
                                </w:rPr>
                                <w:t>98</w:t>
                              </w:r>
                            </w:p>
                          </w:txbxContent>
                        </wps:txbx>
                        <wps:bodyPr horzOverflow="overflow" vert="horz" lIns="0" tIns="0" rIns="0" bIns="0" rtlCol="0">
                          <a:noAutofit/>
                        </wps:bodyPr>
                      </wps:wsp>
                      <wps:wsp>
                        <wps:cNvPr id="14816" name="Rectangle 14816"/>
                        <wps:cNvSpPr/>
                        <wps:spPr>
                          <a:xfrm rot="-10799999">
                            <a:off x="-213544" y="6119964"/>
                            <a:ext cx="4205621" cy="142890"/>
                          </a:xfrm>
                          <a:prstGeom prst="rect">
                            <a:avLst/>
                          </a:prstGeom>
                          <a:ln>
                            <a:noFill/>
                          </a:ln>
                        </wps:spPr>
                        <wps:txbx>
                          <w:txbxContent>
                            <w:p w14:paraId="7E33F937" w14:textId="77777777" w:rsidR="00B32EF2" w:rsidRDefault="00000000">
                              <w:r>
                                <w:rPr>
                                  <w:rFonts w:ascii="Arial" w:eastAsia="Arial" w:hAnsi="Arial" w:cs="Arial"/>
                                  <w:sz w:val="18"/>
                                </w:rPr>
                                <w:t>dell’articolo 360, primo comma, del codice di procedura civile.</w:t>
                              </w:r>
                            </w:p>
                          </w:txbxContent>
                        </wps:txbx>
                        <wps:bodyPr horzOverflow="overflow" vert="horz" lIns="0" tIns="0" rIns="0" bIns="0" rtlCol="0">
                          <a:noAutofit/>
                        </wps:bodyPr>
                      </wps:wsp>
                      <wps:wsp>
                        <wps:cNvPr id="199812" name="Rectangle 199812"/>
                        <wps:cNvSpPr/>
                        <wps:spPr>
                          <a:xfrm rot="-10799999">
                            <a:off x="-1381515" y="5996634"/>
                            <a:ext cx="5309036" cy="142891"/>
                          </a:xfrm>
                          <a:prstGeom prst="rect">
                            <a:avLst/>
                          </a:prstGeom>
                          <a:ln>
                            <a:noFill/>
                          </a:ln>
                        </wps:spPr>
                        <wps:txbx>
                          <w:txbxContent>
                            <w:p w14:paraId="558EC4A6" w14:textId="77777777" w:rsidR="00B32EF2" w:rsidRDefault="00000000">
                              <w:r>
                                <w:rPr>
                                  <w:rFonts w:ascii="Arial" w:eastAsia="Arial" w:hAnsi="Arial" w:cs="Arial"/>
                                  <w:sz w:val="18"/>
                                </w:rPr>
                                <w:t xml:space="preserve">. Al ricorso per cassazione ed al relativo procedimento si applicano le norme </w:t>
                              </w:r>
                            </w:p>
                          </w:txbxContent>
                        </wps:txbx>
                        <wps:bodyPr horzOverflow="overflow" vert="horz" lIns="0" tIns="0" rIns="0" bIns="0" rtlCol="0">
                          <a:noAutofit/>
                        </wps:bodyPr>
                      </wps:wsp>
                      <wps:wsp>
                        <wps:cNvPr id="199811" name="Rectangle 199811"/>
                        <wps:cNvSpPr/>
                        <wps:spPr>
                          <a:xfrm rot="-10799999">
                            <a:off x="2611247" y="5996634"/>
                            <a:ext cx="5309036" cy="142891"/>
                          </a:xfrm>
                          <a:prstGeom prst="rect">
                            <a:avLst/>
                          </a:prstGeom>
                          <a:ln>
                            <a:noFill/>
                          </a:ln>
                        </wps:spPr>
                        <wps:txbx>
                          <w:txbxContent>
                            <w:p w14:paraId="65704219"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4818" name="Rectangle 14818"/>
                        <wps:cNvSpPr/>
                        <wps:spPr>
                          <a:xfrm rot="-10799999">
                            <a:off x="-1219261" y="5873305"/>
                            <a:ext cx="5212367" cy="142889"/>
                          </a:xfrm>
                          <a:prstGeom prst="rect">
                            <a:avLst/>
                          </a:prstGeom>
                          <a:ln>
                            <a:noFill/>
                          </a:ln>
                        </wps:spPr>
                        <wps:txbx>
                          <w:txbxContent>
                            <w:p w14:paraId="2C3A872C" w14:textId="77777777" w:rsidR="00B32EF2" w:rsidRDefault="00000000">
                              <w:r>
                                <w:rPr>
                                  <w:rFonts w:ascii="Arial" w:eastAsia="Arial" w:hAnsi="Arial" w:cs="Arial"/>
                                  <w:sz w:val="18"/>
                                </w:rPr>
                                <w:t>dettate dal codice di procedura civile in quanto compatibili con quelle del pre</w:t>
                              </w:r>
                            </w:p>
                          </w:txbxContent>
                        </wps:txbx>
                        <wps:bodyPr horzOverflow="overflow" vert="horz" lIns="0" tIns="0" rIns="0" bIns="0" rtlCol="0">
                          <a:noAutofit/>
                        </wps:bodyPr>
                      </wps:wsp>
                      <wps:wsp>
                        <wps:cNvPr id="14819" name="Rectangle 14819"/>
                        <wps:cNvSpPr/>
                        <wps:spPr>
                          <a:xfrm rot="-10799999">
                            <a:off x="19478" y="5873305"/>
                            <a:ext cx="50622" cy="142889"/>
                          </a:xfrm>
                          <a:prstGeom prst="rect">
                            <a:avLst/>
                          </a:prstGeom>
                          <a:ln>
                            <a:noFill/>
                          </a:ln>
                        </wps:spPr>
                        <wps:txbx>
                          <w:txbxContent>
                            <w:p w14:paraId="7BB8A6C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820" name="Rectangle 14820"/>
                        <wps:cNvSpPr/>
                        <wps:spPr>
                          <a:xfrm rot="-10799999">
                            <a:off x="2792404" y="5749976"/>
                            <a:ext cx="1199673" cy="142889"/>
                          </a:xfrm>
                          <a:prstGeom prst="rect">
                            <a:avLst/>
                          </a:prstGeom>
                          <a:ln>
                            <a:noFill/>
                          </a:ln>
                        </wps:spPr>
                        <wps:txbx>
                          <w:txbxContent>
                            <w:p w14:paraId="4058234C" w14:textId="77777777" w:rsidR="00B32EF2" w:rsidRDefault="00000000">
                              <w:r>
                                <w:rPr>
                                  <w:rFonts w:ascii="Arial" w:eastAsia="Arial" w:hAnsi="Arial" w:cs="Arial"/>
                                  <w:sz w:val="18"/>
                                </w:rPr>
                                <w:t>sente testo unico.</w:t>
                              </w:r>
                            </w:p>
                          </w:txbxContent>
                        </wps:txbx>
                        <wps:bodyPr horzOverflow="overflow" vert="horz" lIns="0" tIns="0" rIns="0" bIns="0" rtlCol="0">
                          <a:noAutofit/>
                        </wps:bodyPr>
                      </wps:wsp>
                      <wps:wsp>
                        <wps:cNvPr id="199810" name="Rectangle 199810"/>
                        <wps:cNvSpPr/>
                        <wps:spPr>
                          <a:xfrm rot="-10799999">
                            <a:off x="-1381466" y="5626646"/>
                            <a:ext cx="5309021" cy="142889"/>
                          </a:xfrm>
                          <a:prstGeom prst="rect">
                            <a:avLst/>
                          </a:prstGeom>
                          <a:ln>
                            <a:noFill/>
                          </a:ln>
                        </wps:spPr>
                        <wps:txbx>
                          <w:txbxContent>
                            <w:p w14:paraId="406C2CCB" w14:textId="77777777" w:rsidR="00B32EF2" w:rsidRDefault="00000000">
                              <w:r>
                                <w:rPr>
                                  <w:rFonts w:ascii="Arial" w:eastAsia="Arial" w:hAnsi="Arial" w:cs="Arial"/>
                                  <w:sz w:val="18"/>
                                </w:rPr>
                                <w:t xml:space="preserve">. Sull’accordo delle parti la sentenza della corte di giustizia tributaria di primo </w:t>
                              </w:r>
                            </w:p>
                          </w:txbxContent>
                        </wps:txbx>
                        <wps:bodyPr horzOverflow="overflow" vert="horz" lIns="0" tIns="0" rIns="0" bIns="0" rtlCol="0">
                          <a:noAutofit/>
                        </wps:bodyPr>
                      </wps:wsp>
                      <wps:wsp>
                        <wps:cNvPr id="199809" name="Rectangle 199809"/>
                        <wps:cNvSpPr/>
                        <wps:spPr>
                          <a:xfrm rot="-10799999">
                            <a:off x="2611250" y="5626646"/>
                            <a:ext cx="5309020" cy="142889"/>
                          </a:xfrm>
                          <a:prstGeom prst="rect">
                            <a:avLst/>
                          </a:prstGeom>
                          <a:ln>
                            <a:noFill/>
                          </a:ln>
                        </wps:spPr>
                        <wps:txbx>
                          <w:txbxContent>
                            <w:p w14:paraId="2C362126"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4822" name="Rectangle 14822"/>
                        <wps:cNvSpPr/>
                        <wps:spPr>
                          <a:xfrm rot="-10799999">
                            <a:off x="-1316807" y="5503316"/>
                            <a:ext cx="5308884" cy="142889"/>
                          </a:xfrm>
                          <a:prstGeom prst="rect">
                            <a:avLst/>
                          </a:prstGeom>
                          <a:ln>
                            <a:noFill/>
                          </a:ln>
                        </wps:spPr>
                        <wps:txbx>
                          <w:txbxContent>
                            <w:p w14:paraId="79842019" w14:textId="77777777" w:rsidR="00B32EF2" w:rsidRDefault="00000000">
                              <w:r>
                                <w:rPr>
                                  <w:rFonts w:ascii="Arial" w:eastAsia="Arial" w:hAnsi="Arial" w:cs="Arial"/>
                                  <w:sz w:val="18"/>
                                </w:rPr>
                                <w:t xml:space="preserve">grado può essere impugnata con ricorso per cassazione a norma dell’articolo </w:t>
                              </w:r>
                            </w:p>
                          </w:txbxContent>
                        </wps:txbx>
                        <wps:bodyPr horzOverflow="overflow" vert="horz" lIns="0" tIns="0" rIns="0" bIns="0" rtlCol="0">
                          <a:noAutofit/>
                        </wps:bodyPr>
                      </wps:wsp>
                      <wps:wsp>
                        <wps:cNvPr id="199807" name="Rectangle 199807"/>
                        <wps:cNvSpPr/>
                        <wps:spPr>
                          <a:xfrm rot="-10799999">
                            <a:off x="2773843" y="5379987"/>
                            <a:ext cx="4120642" cy="142889"/>
                          </a:xfrm>
                          <a:prstGeom prst="rect">
                            <a:avLst/>
                          </a:prstGeom>
                          <a:ln>
                            <a:noFill/>
                          </a:ln>
                        </wps:spPr>
                        <wps:txbx>
                          <w:txbxContent>
                            <w:p w14:paraId="408E0925" w14:textId="77777777" w:rsidR="00B32EF2" w:rsidRDefault="00000000">
                              <w:r>
                                <w:rPr>
                                  <w:rFonts w:ascii="Arial" w:eastAsia="Arial" w:hAnsi="Arial" w:cs="Arial"/>
                                  <w:sz w:val="18"/>
                                </w:rPr>
                                <w:t>360</w:t>
                              </w:r>
                            </w:p>
                          </w:txbxContent>
                        </wps:txbx>
                        <wps:bodyPr horzOverflow="overflow" vert="horz" lIns="0" tIns="0" rIns="0" bIns="0" rtlCol="0">
                          <a:noAutofit/>
                        </wps:bodyPr>
                      </wps:wsp>
                      <wps:wsp>
                        <wps:cNvPr id="199808" name="Rectangle 199808"/>
                        <wps:cNvSpPr/>
                        <wps:spPr>
                          <a:xfrm rot="-10799999">
                            <a:off x="-324201" y="5379987"/>
                            <a:ext cx="4120642" cy="142889"/>
                          </a:xfrm>
                          <a:prstGeom prst="rect">
                            <a:avLst/>
                          </a:prstGeom>
                          <a:ln>
                            <a:noFill/>
                          </a:ln>
                        </wps:spPr>
                        <wps:txbx>
                          <w:txbxContent>
                            <w:p w14:paraId="713023D5" w14:textId="77777777" w:rsidR="00B32EF2" w:rsidRDefault="00000000">
                              <w:r>
                                <w:rPr>
                                  <w:rFonts w:ascii="Arial" w:eastAsia="Arial" w:hAnsi="Arial" w:cs="Arial"/>
                                  <w:sz w:val="18"/>
                                </w:rPr>
                                <w:t>, primo comma, numero 3, del codice di procedura civile.</w:t>
                              </w:r>
                            </w:p>
                          </w:txbxContent>
                        </wps:txbx>
                        <wps:bodyPr horzOverflow="overflow" vert="horz" lIns="0" tIns="0" rIns="0" bIns="0" rtlCol="0">
                          <a:noAutofit/>
                        </wps:bodyPr>
                      </wps:wsp>
                      <wps:wsp>
                        <wps:cNvPr id="14824" name="Rectangle 14824"/>
                        <wps:cNvSpPr/>
                        <wps:spPr>
                          <a:xfrm rot="-10799999">
                            <a:off x="1466287" y="1062761"/>
                            <a:ext cx="874611" cy="142889"/>
                          </a:xfrm>
                          <a:prstGeom prst="rect">
                            <a:avLst/>
                          </a:prstGeom>
                          <a:ln>
                            <a:noFill/>
                          </a:ln>
                        </wps:spPr>
                        <wps:txbx>
                          <w:txbxContent>
                            <w:p w14:paraId="2780C7EA" w14:textId="77777777" w:rsidR="00B32EF2" w:rsidRDefault="00000000">
                              <w:r>
                                <w:rPr>
                                  <w:rFonts w:ascii="Arial" w:eastAsia="Arial" w:hAnsi="Arial" w:cs="Arial"/>
                                  <w:b/>
                                  <w:sz w:val="18"/>
                                </w:rPr>
                                <w:t>Articolo 117</w:t>
                              </w:r>
                            </w:p>
                          </w:txbxContent>
                        </wps:txbx>
                        <wps:bodyPr horzOverflow="overflow" vert="horz" lIns="0" tIns="0" rIns="0" bIns="0" rtlCol="0">
                          <a:noAutofit/>
                        </wps:bodyPr>
                      </wps:wsp>
                      <wps:wsp>
                        <wps:cNvPr id="199793" name="Rectangle 199793"/>
                        <wps:cNvSpPr/>
                        <wps:spPr>
                          <a:xfrm rot="-10799999">
                            <a:off x="-609604" y="939431"/>
                            <a:ext cx="2194866" cy="142889"/>
                          </a:xfrm>
                          <a:prstGeom prst="rect">
                            <a:avLst/>
                          </a:prstGeom>
                          <a:ln>
                            <a:noFill/>
                          </a:ln>
                        </wps:spPr>
                        <wps:txbx>
                          <w:txbxContent>
                            <w:p w14:paraId="25BAD5A4"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792" name="Rectangle 199792"/>
                        <wps:cNvSpPr/>
                        <wps:spPr>
                          <a:xfrm rot="-10799999">
                            <a:off x="2254536" y="939431"/>
                            <a:ext cx="2194866" cy="142889"/>
                          </a:xfrm>
                          <a:prstGeom prst="rect">
                            <a:avLst/>
                          </a:prstGeom>
                          <a:ln>
                            <a:noFill/>
                          </a:ln>
                        </wps:spPr>
                        <wps:txbx>
                          <w:txbxContent>
                            <w:p w14:paraId="7A2FD19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9794" name="Rectangle 199794"/>
                        <wps:cNvSpPr/>
                        <wps:spPr>
                          <a:xfrm rot="-10799999">
                            <a:off x="1005512" y="939431"/>
                            <a:ext cx="2194866" cy="142889"/>
                          </a:xfrm>
                          <a:prstGeom prst="rect">
                            <a:avLst/>
                          </a:prstGeom>
                          <a:ln>
                            <a:noFill/>
                          </a:ln>
                        </wps:spPr>
                        <wps:txbx>
                          <w:txbxContent>
                            <w:p w14:paraId="6CDE45D9" w14:textId="77777777" w:rsidR="00B32EF2" w:rsidRDefault="00000000">
                              <w:r>
                                <w:rPr>
                                  <w:rFonts w:ascii="Arial" w:eastAsia="Arial" w:hAnsi="Arial" w:cs="Arial"/>
                                  <w:i/>
                                  <w:sz w:val="18"/>
                                </w:rPr>
                                <w:t xml:space="preserve">articolo 62-bis D.lgs. n. </w:t>
                              </w:r>
                            </w:p>
                          </w:txbxContent>
                        </wps:txbx>
                        <wps:bodyPr horzOverflow="overflow" vert="horz" lIns="0" tIns="0" rIns="0" bIns="0" rtlCol="0">
                          <a:noAutofit/>
                        </wps:bodyPr>
                      </wps:wsp>
                      <wps:wsp>
                        <wps:cNvPr id="14826" name="Rectangle 14826"/>
                        <wps:cNvSpPr/>
                        <wps:spPr>
                          <a:xfrm rot="-10799999">
                            <a:off x="-1192050" y="812444"/>
                            <a:ext cx="5108690" cy="142889"/>
                          </a:xfrm>
                          <a:prstGeom prst="rect">
                            <a:avLst/>
                          </a:prstGeom>
                          <a:ln>
                            <a:noFill/>
                          </a:ln>
                        </wps:spPr>
                        <wps:txbx>
                          <w:txbxContent>
                            <w:p w14:paraId="4605000E" w14:textId="77777777" w:rsidR="00B32EF2" w:rsidRDefault="00000000">
                              <w:r>
                                <w:rPr>
                                  <w:rFonts w:ascii="Arial" w:eastAsia="Arial" w:hAnsi="Arial" w:cs="Arial"/>
                                  <w:b/>
                                  <w:sz w:val="18"/>
                                </w:rPr>
                                <w:t xml:space="preserve">Provvedimenti sull’esecuzione provvisoria della sentenza impugnata </w:t>
                              </w:r>
                            </w:p>
                          </w:txbxContent>
                        </wps:txbx>
                        <wps:bodyPr horzOverflow="overflow" vert="horz" lIns="0" tIns="0" rIns="0" bIns="0" rtlCol="0">
                          <a:noAutofit/>
                        </wps:bodyPr>
                      </wps:wsp>
                      <wps:wsp>
                        <wps:cNvPr id="14827" name="Rectangle 14827"/>
                        <wps:cNvSpPr/>
                        <wps:spPr>
                          <a:xfrm rot="-10799999">
                            <a:off x="1272714" y="685457"/>
                            <a:ext cx="1159282" cy="142889"/>
                          </a:xfrm>
                          <a:prstGeom prst="rect">
                            <a:avLst/>
                          </a:prstGeom>
                          <a:ln>
                            <a:noFill/>
                          </a:ln>
                        </wps:spPr>
                        <wps:txbx>
                          <w:txbxContent>
                            <w:p w14:paraId="527FDF61" w14:textId="77777777" w:rsidR="00B32EF2" w:rsidRDefault="00000000">
                              <w:r>
                                <w:rPr>
                                  <w:rFonts w:ascii="Arial" w:eastAsia="Arial" w:hAnsi="Arial" w:cs="Arial"/>
                                  <w:b/>
                                  <w:sz w:val="18"/>
                                </w:rPr>
                                <w:t xml:space="preserve">per cassazione </w:t>
                              </w:r>
                            </w:p>
                          </w:txbxContent>
                        </wps:txbx>
                        <wps:bodyPr horzOverflow="overflow" vert="horz" lIns="0" tIns="0" rIns="0" bIns="0" rtlCol="0">
                          <a:noAutofit/>
                        </wps:bodyPr>
                      </wps:wsp>
                      <wps:wsp>
                        <wps:cNvPr id="199787" name="Rectangle 199787"/>
                        <wps:cNvSpPr/>
                        <wps:spPr>
                          <a:xfrm rot="-10799999">
                            <a:off x="2610537" y="562127"/>
                            <a:ext cx="5311893" cy="142889"/>
                          </a:xfrm>
                          <a:prstGeom prst="rect">
                            <a:avLst/>
                          </a:prstGeom>
                          <a:ln>
                            <a:noFill/>
                          </a:ln>
                        </wps:spPr>
                        <wps:txbx>
                          <w:txbxContent>
                            <w:p w14:paraId="179212D7"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9788" name="Rectangle 199788"/>
                        <wps:cNvSpPr/>
                        <wps:spPr>
                          <a:xfrm rot="-10799999">
                            <a:off x="-1377172" y="562127"/>
                            <a:ext cx="5311893" cy="142889"/>
                          </a:xfrm>
                          <a:prstGeom prst="rect">
                            <a:avLst/>
                          </a:prstGeom>
                          <a:ln>
                            <a:noFill/>
                          </a:ln>
                        </wps:spPr>
                        <wps:txbx>
                          <w:txbxContent>
                            <w:p w14:paraId="6E5EAF22" w14:textId="77777777" w:rsidR="00B32EF2" w:rsidRDefault="00000000">
                              <w:r>
                                <w:rPr>
                                  <w:rFonts w:ascii="Arial" w:eastAsia="Arial" w:hAnsi="Arial" w:cs="Arial"/>
                                  <w:sz w:val="18"/>
                                </w:rPr>
                                <w:t xml:space="preserve">. La parte che ha proposto ricorso per cassazione può chiedere alla corte di </w:t>
                              </w:r>
                            </w:p>
                          </w:txbxContent>
                        </wps:txbx>
                        <wps:bodyPr horzOverflow="overflow" vert="horz" lIns="0" tIns="0" rIns="0" bIns="0" rtlCol="0">
                          <a:noAutofit/>
                        </wps:bodyPr>
                      </wps:wsp>
                      <wps:wsp>
                        <wps:cNvPr id="14829" name="Rectangle 14829"/>
                        <wps:cNvSpPr/>
                        <wps:spPr>
                          <a:xfrm rot="-10799999">
                            <a:off x="-1316958" y="438797"/>
                            <a:ext cx="5309035" cy="142889"/>
                          </a:xfrm>
                          <a:prstGeom prst="rect">
                            <a:avLst/>
                          </a:prstGeom>
                          <a:ln>
                            <a:noFill/>
                          </a:ln>
                        </wps:spPr>
                        <wps:txbx>
                          <w:txbxContent>
                            <w:p w14:paraId="3CF5449E" w14:textId="77777777" w:rsidR="00B32EF2" w:rsidRDefault="00000000">
                              <w:r>
                                <w:rPr>
                                  <w:rFonts w:ascii="Arial" w:eastAsia="Arial" w:hAnsi="Arial" w:cs="Arial"/>
                                  <w:sz w:val="18"/>
                                </w:rPr>
                                <w:t xml:space="preserve">giustizia tributaria che ha pronunciato la sentenza impugnata di sospenderne </w:t>
                              </w:r>
                            </w:p>
                          </w:txbxContent>
                        </wps:txbx>
                        <wps:bodyPr horzOverflow="overflow" vert="horz" lIns="0" tIns="0" rIns="0" bIns="0" rtlCol="0">
                          <a:noAutofit/>
                        </wps:bodyPr>
                      </wps:wsp>
                      <wps:wsp>
                        <wps:cNvPr id="207736" name="Shape 207736"/>
                        <wps:cNvSpPr/>
                        <wps:spPr>
                          <a:xfrm>
                            <a:off x="32076" y="1404701"/>
                            <a:ext cx="3960000" cy="3984206"/>
                          </a:xfrm>
                          <a:custGeom>
                            <a:avLst/>
                            <a:gdLst/>
                            <a:ahLst/>
                            <a:cxnLst/>
                            <a:rect l="0" t="0" r="0" b="0"/>
                            <a:pathLst>
                              <a:path w="3960000" h="3984206">
                                <a:moveTo>
                                  <a:pt x="0" y="0"/>
                                </a:moveTo>
                                <a:lnTo>
                                  <a:pt x="3960000" y="0"/>
                                </a:lnTo>
                                <a:lnTo>
                                  <a:pt x="3960000" y="3984206"/>
                                </a:lnTo>
                                <a:lnTo>
                                  <a:pt x="0" y="3984206"/>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4831" name="Rectangle 14831"/>
                        <wps:cNvSpPr/>
                        <wps:spPr>
                          <a:xfrm rot="-10799999">
                            <a:off x="2329061" y="5167664"/>
                            <a:ext cx="1585695" cy="142889"/>
                          </a:xfrm>
                          <a:prstGeom prst="rect">
                            <a:avLst/>
                          </a:prstGeom>
                          <a:ln>
                            <a:noFill/>
                          </a:ln>
                        </wps:spPr>
                        <wps:txbx>
                          <w:txbxContent>
                            <w:p w14:paraId="0E370FD4"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4832" name="Rectangle 14832"/>
                        <wps:cNvSpPr/>
                        <wps:spPr>
                          <a:xfrm rot="-10799999">
                            <a:off x="74015" y="5030504"/>
                            <a:ext cx="3839711" cy="142889"/>
                          </a:xfrm>
                          <a:prstGeom prst="rect">
                            <a:avLst/>
                          </a:prstGeom>
                          <a:ln>
                            <a:noFill/>
                          </a:ln>
                        </wps:spPr>
                        <wps:txbx>
                          <w:txbxContent>
                            <w:p w14:paraId="15146A8F" w14:textId="77777777" w:rsidR="00B32EF2" w:rsidRDefault="00000000">
                              <w:r>
                                <w:rPr>
                                  <w:rFonts w:ascii="Arial" w:eastAsia="Arial" w:hAnsi="Arial" w:cs="Arial"/>
                                  <w:i/>
                                  <w:sz w:val="18"/>
                                </w:rPr>
                                <w:t xml:space="preserve">art. 360 c.p.c. “Sentenze impugnabili e motivi di ricorso” </w:t>
                              </w:r>
                            </w:p>
                          </w:txbxContent>
                        </wps:txbx>
                        <wps:bodyPr horzOverflow="overflow" vert="horz" lIns="0" tIns="0" rIns="0" bIns="0" rtlCol="0">
                          <a:noAutofit/>
                        </wps:bodyPr>
                      </wps:wsp>
                      <wps:wsp>
                        <wps:cNvPr id="199806" name="Rectangle 199806"/>
                        <wps:cNvSpPr/>
                        <wps:spPr>
                          <a:xfrm rot="-10799999">
                            <a:off x="-1251418" y="4893344"/>
                            <a:ext cx="5120031" cy="142889"/>
                          </a:xfrm>
                          <a:prstGeom prst="rect">
                            <a:avLst/>
                          </a:prstGeom>
                          <a:ln>
                            <a:noFill/>
                          </a:ln>
                        </wps:spPr>
                        <wps:txbx>
                          <w:txbxContent>
                            <w:p w14:paraId="3F36414D" w14:textId="77777777" w:rsidR="00B32EF2" w:rsidRDefault="00000000">
                              <w:r>
                                <w:rPr>
                                  <w:rFonts w:ascii="Arial" w:eastAsia="Arial" w:hAnsi="Arial" w:cs="Arial"/>
                                  <w:i/>
                                  <w:sz w:val="18"/>
                                </w:rPr>
                                <w:t xml:space="preserve">. Le sentenze pronunziate in grado d’appello o in unico grado possono </w:t>
                              </w:r>
                            </w:p>
                          </w:txbxContent>
                        </wps:txbx>
                        <wps:bodyPr horzOverflow="overflow" vert="horz" lIns="0" tIns="0" rIns="0" bIns="0" rtlCol="0">
                          <a:noAutofit/>
                        </wps:bodyPr>
                      </wps:wsp>
                      <wps:wsp>
                        <wps:cNvPr id="199805" name="Rectangle 199805"/>
                        <wps:cNvSpPr/>
                        <wps:spPr>
                          <a:xfrm rot="-10799999">
                            <a:off x="2579792" y="4893344"/>
                            <a:ext cx="5120031" cy="142889"/>
                          </a:xfrm>
                          <a:prstGeom prst="rect">
                            <a:avLst/>
                          </a:prstGeom>
                          <a:ln>
                            <a:noFill/>
                          </a:ln>
                        </wps:spPr>
                        <wps:txbx>
                          <w:txbxContent>
                            <w:p w14:paraId="3FE2C226"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14834" name="Rectangle 14834"/>
                        <wps:cNvSpPr/>
                        <wps:spPr>
                          <a:xfrm rot="-10799999">
                            <a:off x="-1191570" y="4756183"/>
                            <a:ext cx="5118784" cy="142889"/>
                          </a:xfrm>
                          <a:prstGeom prst="rect">
                            <a:avLst/>
                          </a:prstGeom>
                          <a:ln>
                            <a:noFill/>
                          </a:ln>
                        </wps:spPr>
                        <wps:txbx>
                          <w:txbxContent>
                            <w:p w14:paraId="022FD7F6" w14:textId="77777777" w:rsidR="00B32EF2" w:rsidRDefault="00000000">
                              <w:r>
                                <w:rPr>
                                  <w:rFonts w:ascii="Arial" w:eastAsia="Arial" w:hAnsi="Arial" w:cs="Arial"/>
                                  <w:i/>
                                  <w:sz w:val="18"/>
                                </w:rPr>
                                <w:t xml:space="preserve">essere impugnate con ricorso per cassazione: 1) per motivi attinenti alla </w:t>
                              </w:r>
                            </w:p>
                          </w:txbxContent>
                        </wps:txbx>
                        <wps:bodyPr horzOverflow="overflow" vert="horz" lIns="0" tIns="0" rIns="0" bIns="0" rtlCol="0">
                          <a:noAutofit/>
                        </wps:bodyPr>
                      </wps:wsp>
                      <wps:wsp>
                        <wps:cNvPr id="14835" name="Rectangle 14835"/>
                        <wps:cNvSpPr/>
                        <wps:spPr>
                          <a:xfrm rot="-10799999">
                            <a:off x="-1186910" y="4619023"/>
                            <a:ext cx="5102123" cy="142889"/>
                          </a:xfrm>
                          <a:prstGeom prst="rect">
                            <a:avLst/>
                          </a:prstGeom>
                          <a:ln>
                            <a:noFill/>
                          </a:ln>
                        </wps:spPr>
                        <wps:txbx>
                          <w:txbxContent>
                            <w:p w14:paraId="4A9146DE" w14:textId="77777777" w:rsidR="00B32EF2" w:rsidRDefault="00000000">
                              <w:r>
                                <w:rPr>
                                  <w:rFonts w:ascii="Arial" w:eastAsia="Arial" w:hAnsi="Arial" w:cs="Arial"/>
                                  <w:i/>
                                  <w:sz w:val="18"/>
                                </w:rPr>
                                <w:t xml:space="preserve">giurisdizione; 2) per violazione delle norme sulla competenza, quando non </w:t>
                              </w:r>
                            </w:p>
                          </w:txbxContent>
                        </wps:txbx>
                        <wps:bodyPr horzOverflow="overflow" vert="horz" lIns="0" tIns="0" rIns="0" bIns="0" rtlCol="0">
                          <a:noAutofit/>
                        </wps:bodyPr>
                      </wps:wsp>
                      <wps:wsp>
                        <wps:cNvPr id="14836" name="Rectangle 14836"/>
                        <wps:cNvSpPr/>
                        <wps:spPr>
                          <a:xfrm rot="-10799999">
                            <a:off x="-1090875" y="4481864"/>
                            <a:ext cx="5004603" cy="142889"/>
                          </a:xfrm>
                          <a:prstGeom prst="rect">
                            <a:avLst/>
                          </a:prstGeom>
                          <a:ln>
                            <a:noFill/>
                          </a:ln>
                        </wps:spPr>
                        <wps:txbx>
                          <w:txbxContent>
                            <w:p w14:paraId="586BA29F" w14:textId="77777777" w:rsidR="00B32EF2" w:rsidRDefault="00000000">
                              <w:r>
                                <w:rPr>
                                  <w:rFonts w:ascii="Arial" w:eastAsia="Arial" w:hAnsi="Arial" w:cs="Arial"/>
                                  <w:i/>
                                  <w:sz w:val="18"/>
                                </w:rPr>
                                <w:t>è prescritto il regolamento di competenza; 3) per violazione o falsa applica</w:t>
                              </w:r>
                            </w:p>
                          </w:txbxContent>
                        </wps:txbx>
                        <wps:bodyPr horzOverflow="overflow" vert="horz" lIns="0" tIns="0" rIns="0" bIns="0" rtlCol="0">
                          <a:noAutofit/>
                        </wps:bodyPr>
                      </wps:wsp>
                      <wps:wsp>
                        <wps:cNvPr id="14837" name="Rectangle 14837"/>
                        <wps:cNvSpPr/>
                        <wps:spPr>
                          <a:xfrm rot="-10799999">
                            <a:off x="97833" y="4481864"/>
                            <a:ext cx="50622" cy="142889"/>
                          </a:xfrm>
                          <a:prstGeom prst="rect">
                            <a:avLst/>
                          </a:prstGeom>
                          <a:ln>
                            <a:noFill/>
                          </a:ln>
                        </wps:spPr>
                        <wps:txbx>
                          <w:txbxContent>
                            <w:p w14:paraId="2CE7521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838" name="Rectangle 14838"/>
                        <wps:cNvSpPr/>
                        <wps:spPr>
                          <a:xfrm rot="-10799999">
                            <a:off x="-1186165" y="4344704"/>
                            <a:ext cx="5095206" cy="142889"/>
                          </a:xfrm>
                          <a:prstGeom prst="rect">
                            <a:avLst/>
                          </a:prstGeom>
                          <a:ln>
                            <a:noFill/>
                          </a:ln>
                        </wps:spPr>
                        <wps:txbx>
                          <w:txbxContent>
                            <w:p w14:paraId="1BDA2177" w14:textId="77777777" w:rsidR="00B32EF2" w:rsidRDefault="00000000">
                              <w:r>
                                <w:rPr>
                                  <w:rFonts w:ascii="Arial" w:eastAsia="Arial" w:hAnsi="Arial" w:cs="Arial"/>
                                  <w:i/>
                                  <w:sz w:val="18"/>
                                </w:rPr>
                                <w:t xml:space="preserve">zione di norme di diritto e dei contratti e accordi collettivi nazionali di lavoro; </w:t>
                              </w:r>
                            </w:p>
                          </w:txbxContent>
                        </wps:txbx>
                        <wps:bodyPr horzOverflow="overflow" vert="horz" lIns="0" tIns="0" rIns="0" bIns="0" rtlCol="0">
                          <a:noAutofit/>
                        </wps:bodyPr>
                      </wps:wsp>
                      <wps:wsp>
                        <wps:cNvPr id="199804" name="Rectangle 199804"/>
                        <wps:cNvSpPr/>
                        <wps:spPr>
                          <a:xfrm rot="-10799999">
                            <a:off x="-1287344" y="4207543"/>
                            <a:ext cx="5099675" cy="142889"/>
                          </a:xfrm>
                          <a:prstGeom prst="rect">
                            <a:avLst/>
                          </a:prstGeom>
                          <a:ln>
                            <a:noFill/>
                          </a:ln>
                        </wps:spPr>
                        <wps:txbx>
                          <w:txbxContent>
                            <w:p w14:paraId="04E24480" w14:textId="77777777" w:rsidR="00B32EF2" w:rsidRDefault="00000000">
                              <w:r>
                                <w:rPr>
                                  <w:rFonts w:ascii="Arial" w:eastAsia="Arial" w:hAnsi="Arial" w:cs="Arial"/>
                                  <w:i/>
                                  <w:sz w:val="18"/>
                                </w:rPr>
                                <w:t xml:space="preserve"> per nullità della sentenza o del procedimento; 5) per omesso esame circa </w:t>
                              </w:r>
                            </w:p>
                          </w:txbxContent>
                        </wps:txbx>
                        <wps:bodyPr horzOverflow="overflow" vert="horz" lIns="0" tIns="0" rIns="0" bIns="0" rtlCol="0">
                          <a:noAutofit/>
                        </wps:bodyPr>
                      </wps:wsp>
                      <wps:wsp>
                        <wps:cNvPr id="199803" name="Rectangle 199803"/>
                        <wps:cNvSpPr/>
                        <wps:spPr>
                          <a:xfrm rot="-10799999">
                            <a:off x="2547352" y="4207543"/>
                            <a:ext cx="5099675" cy="142889"/>
                          </a:xfrm>
                          <a:prstGeom prst="rect">
                            <a:avLst/>
                          </a:prstGeom>
                          <a:ln>
                            <a:noFill/>
                          </a:ln>
                        </wps:spPr>
                        <wps:txbx>
                          <w:txbxContent>
                            <w:p w14:paraId="4D593CE4"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14840" name="Rectangle 14840"/>
                        <wps:cNvSpPr/>
                        <wps:spPr>
                          <a:xfrm rot="-10799999">
                            <a:off x="-1144739" y="4070383"/>
                            <a:ext cx="5057323" cy="142889"/>
                          </a:xfrm>
                          <a:prstGeom prst="rect">
                            <a:avLst/>
                          </a:prstGeom>
                          <a:ln>
                            <a:noFill/>
                          </a:ln>
                        </wps:spPr>
                        <wps:txbx>
                          <w:txbxContent>
                            <w:p w14:paraId="56C47B11" w14:textId="77777777" w:rsidR="00B32EF2" w:rsidRDefault="00000000">
                              <w:r>
                                <w:rPr>
                                  <w:rFonts w:ascii="Arial" w:eastAsia="Arial" w:hAnsi="Arial" w:cs="Arial"/>
                                  <w:i/>
                                  <w:sz w:val="18"/>
                                </w:rPr>
                                <w:t>un fatto decisivo per il giudizio che è stato oggetto di discussione tra le parti.</w:t>
                              </w:r>
                            </w:p>
                          </w:txbxContent>
                        </wps:txbx>
                        <wps:bodyPr horzOverflow="overflow" vert="horz" lIns="0" tIns="0" rIns="0" bIns="0" rtlCol="0">
                          <a:noAutofit/>
                        </wps:bodyPr>
                      </wps:wsp>
                      <wps:wsp>
                        <wps:cNvPr id="199801" name="Rectangle 199801"/>
                        <wps:cNvSpPr/>
                        <wps:spPr>
                          <a:xfrm rot="-10799999">
                            <a:off x="2583044" y="3933223"/>
                            <a:ext cx="5106927" cy="142889"/>
                          </a:xfrm>
                          <a:prstGeom prst="rect">
                            <a:avLst/>
                          </a:prstGeom>
                          <a:ln>
                            <a:noFill/>
                          </a:ln>
                        </wps:spPr>
                        <wps:txbx>
                          <w:txbxContent>
                            <w:p w14:paraId="2F32F13A"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199802" name="Rectangle 199802"/>
                        <wps:cNvSpPr/>
                        <wps:spPr>
                          <a:xfrm rot="-10799999">
                            <a:off x="-1253470" y="3933223"/>
                            <a:ext cx="5106927" cy="142889"/>
                          </a:xfrm>
                          <a:prstGeom prst="rect">
                            <a:avLst/>
                          </a:prstGeom>
                          <a:ln>
                            <a:noFill/>
                          </a:ln>
                        </wps:spPr>
                        <wps:txbx>
                          <w:txbxContent>
                            <w:p w14:paraId="1C5FEEDB" w14:textId="77777777" w:rsidR="00B32EF2" w:rsidRDefault="00000000">
                              <w:r>
                                <w:rPr>
                                  <w:rFonts w:ascii="Arial" w:eastAsia="Arial" w:hAnsi="Arial" w:cs="Arial"/>
                                  <w:i/>
                                  <w:sz w:val="18"/>
                                </w:rPr>
                                <w:t xml:space="preserve">. Può inoltre essere impugnata con ricorso per cassazione una sentenza </w:t>
                              </w:r>
                            </w:p>
                          </w:txbxContent>
                        </wps:txbx>
                        <wps:bodyPr horzOverflow="overflow" vert="horz" lIns="0" tIns="0" rIns="0" bIns="0" rtlCol="0">
                          <a:noAutofit/>
                        </wps:bodyPr>
                      </wps:wsp>
                      <wps:wsp>
                        <wps:cNvPr id="14842" name="Rectangle 14842"/>
                        <wps:cNvSpPr/>
                        <wps:spPr>
                          <a:xfrm rot="-10799999">
                            <a:off x="-1090815" y="3796064"/>
                            <a:ext cx="5004542" cy="142889"/>
                          </a:xfrm>
                          <a:prstGeom prst="rect">
                            <a:avLst/>
                          </a:prstGeom>
                          <a:ln>
                            <a:noFill/>
                          </a:ln>
                        </wps:spPr>
                        <wps:txbx>
                          <w:txbxContent>
                            <w:p w14:paraId="6B76B63F" w14:textId="77777777" w:rsidR="00B32EF2" w:rsidRDefault="00000000">
                              <w:r>
                                <w:rPr>
                                  <w:rFonts w:ascii="Arial" w:eastAsia="Arial" w:hAnsi="Arial" w:cs="Arial"/>
                                  <w:i/>
                                  <w:sz w:val="18"/>
                                </w:rPr>
                                <w:t>appellabile del tribunale, se le parti sono d’accordo per omettere l’appel</w:t>
                              </w:r>
                            </w:p>
                          </w:txbxContent>
                        </wps:txbx>
                        <wps:bodyPr horzOverflow="overflow" vert="horz" lIns="0" tIns="0" rIns="0" bIns="0" rtlCol="0">
                          <a:noAutofit/>
                        </wps:bodyPr>
                      </wps:wsp>
                      <wps:wsp>
                        <wps:cNvPr id="14843" name="Rectangle 14843"/>
                        <wps:cNvSpPr/>
                        <wps:spPr>
                          <a:xfrm rot="-10799999">
                            <a:off x="97832" y="3796063"/>
                            <a:ext cx="50622" cy="142889"/>
                          </a:xfrm>
                          <a:prstGeom prst="rect">
                            <a:avLst/>
                          </a:prstGeom>
                          <a:ln>
                            <a:noFill/>
                          </a:ln>
                        </wps:spPr>
                        <wps:txbx>
                          <w:txbxContent>
                            <w:p w14:paraId="11C4A2D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844" name="Rectangle 14844"/>
                        <wps:cNvSpPr/>
                        <wps:spPr>
                          <a:xfrm rot="-10799999">
                            <a:off x="-1188520" y="3658904"/>
                            <a:ext cx="5107276" cy="142889"/>
                          </a:xfrm>
                          <a:prstGeom prst="rect">
                            <a:avLst/>
                          </a:prstGeom>
                          <a:ln>
                            <a:noFill/>
                          </a:ln>
                        </wps:spPr>
                        <wps:txbx>
                          <w:txbxContent>
                            <w:p w14:paraId="02958469" w14:textId="77777777" w:rsidR="00B32EF2" w:rsidRDefault="00000000">
                              <w:r>
                                <w:rPr>
                                  <w:rFonts w:ascii="Arial" w:eastAsia="Arial" w:hAnsi="Arial" w:cs="Arial"/>
                                  <w:i/>
                                  <w:sz w:val="18"/>
                                </w:rPr>
                                <w:t xml:space="preserve">lo; ma in tal caso l’impugnazione può proporsi soltanto a norma del primo </w:t>
                              </w:r>
                            </w:p>
                          </w:txbxContent>
                        </wps:txbx>
                        <wps:bodyPr horzOverflow="overflow" vert="horz" lIns="0" tIns="0" rIns="0" bIns="0" rtlCol="0">
                          <a:noAutofit/>
                        </wps:bodyPr>
                      </wps:wsp>
                      <wps:wsp>
                        <wps:cNvPr id="14845" name="Rectangle 14845"/>
                        <wps:cNvSpPr/>
                        <wps:spPr>
                          <a:xfrm rot="-10799999">
                            <a:off x="3023884" y="3521744"/>
                            <a:ext cx="889843" cy="142889"/>
                          </a:xfrm>
                          <a:prstGeom prst="rect">
                            <a:avLst/>
                          </a:prstGeom>
                          <a:ln>
                            <a:noFill/>
                          </a:ln>
                        </wps:spPr>
                        <wps:txbx>
                          <w:txbxContent>
                            <w:p w14:paraId="10E5D24C" w14:textId="77777777" w:rsidR="00B32EF2" w:rsidRDefault="00000000">
                              <w:r>
                                <w:rPr>
                                  <w:rFonts w:ascii="Arial" w:eastAsia="Arial" w:hAnsi="Arial" w:cs="Arial"/>
                                  <w:i/>
                                  <w:sz w:val="18"/>
                                </w:rPr>
                                <w:t>comma, n. 3.</w:t>
                              </w:r>
                            </w:p>
                          </w:txbxContent>
                        </wps:txbx>
                        <wps:bodyPr horzOverflow="overflow" vert="horz" lIns="0" tIns="0" rIns="0" bIns="0" rtlCol="0">
                          <a:noAutofit/>
                        </wps:bodyPr>
                      </wps:wsp>
                      <wps:wsp>
                        <wps:cNvPr id="199799" name="Rectangle 199799"/>
                        <wps:cNvSpPr/>
                        <wps:spPr>
                          <a:xfrm rot="-10799999">
                            <a:off x="2579306" y="3384584"/>
                            <a:ext cx="5121991" cy="142889"/>
                          </a:xfrm>
                          <a:prstGeom prst="rect">
                            <a:avLst/>
                          </a:prstGeom>
                          <a:ln>
                            <a:noFill/>
                          </a:ln>
                        </wps:spPr>
                        <wps:txbx>
                          <w:txbxContent>
                            <w:p w14:paraId="233AEBBD"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199800" name="Rectangle 199800"/>
                        <wps:cNvSpPr/>
                        <wps:spPr>
                          <a:xfrm rot="-10799999">
                            <a:off x="-1258591" y="3384584"/>
                            <a:ext cx="5121992" cy="142889"/>
                          </a:xfrm>
                          <a:prstGeom prst="rect">
                            <a:avLst/>
                          </a:prstGeom>
                          <a:ln>
                            <a:noFill/>
                          </a:ln>
                        </wps:spPr>
                        <wps:txbx>
                          <w:txbxContent>
                            <w:p w14:paraId="0E95F645" w14:textId="77777777" w:rsidR="00B32EF2" w:rsidRDefault="00000000">
                              <w:r>
                                <w:rPr>
                                  <w:rFonts w:ascii="Arial" w:eastAsia="Arial" w:hAnsi="Arial" w:cs="Arial"/>
                                  <w:i/>
                                  <w:sz w:val="18"/>
                                </w:rPr>
                                <w:t xml:space="preserve">. Non sono immediatamente impugnabili con ricorso per cassazione le </w:t>
                              </w:r>
                            </w:p>
                          </w:txbxContent>
                        </wps:txbx>
                        <wps:bodyPr horzOverflow="overflow" vert="horz" lIns="0" tIns="0" rIns="0" bIns="0" rtlCol="0">
                          <a:noAutofit/>
                        </wps:bodyPr>
                      </wps:wsp>
                      <wps:wsp>
                        <wps:cNvPr id="14847" name="Rectangle 14847"/>
                        <wps:cNvSpPr/>
                        <wps:spPr>
                          <a:xfrm rot="-10799999">
                            <a:off x="-1090435" y="3247424"/>
                            <a:ext cx="5004162" cy="142889"/>
                          </a:xfrm>
                          <a:prstGeom prst="rect">
                            <a:avLst/>
                          </a:prstGeom>
                          <a:ln>
                            <a:noFill/>
                          </a:ln>
                        </wps:spPr>
                        <wps:txbx>
                          <w:txbxContent>
                            <w:p w14:paraId="10E87EBA" w14:textId="77777777" w:rsidR="00B32EF2" w:rsidRDefault="00000000">
                              <w:r>
                                <w:rPr>
                                  <w:rFonts w:ascii="Arial" w:eastAsia="Arial" w:hAnsi="Arial" w:cs="Arial"/>
                                  <w:i/>
                                  <w:sz w:val="18"/>
                                </w:rPr>
                                <w:t>sentenze che decidono di questioni insorte senza definire, neppure parzial</w:t>
                              </w:r>
                            </w:p>
                          </w:txbxContent>
                        </wps:txbx>
                        <wps:bodyPr horzOverflow="overflow" vert="horz" lIns="0" tIns="0" rIns="0" bIns="0" rtlCol="0">
                          <a:noAutofit/>
                        </wps:bodyPr>
                      </wps:wsp>
                      <wps:wsp>
                        <wps:cNvPr id="14848" name="Rectangle 14848"/>
                        <wps:cNvSpPr/>
                        <wps:spPr>
                          <a:xfrm rot="-10799999">
                            <a:off x="97832" y="3247424"/>
                            <a:ext cx="50622" cy="142889"/>
                          </a:xfrm>
                          <a:prstGeom prst="rect">
                            <a:avLst/>
                          </a:prstGeom>
                          <a:ln>
                            <a:noFill/>
                          </a:ln>
                        </wps:spPr>
                        <wps:txbx>
                          <w:txbxContent>
                            <w:p w14:paraId="6AADC45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849" name="Rectangle 14849"/>
                        <wps:cNvSpPr/>
                        <wps:spPr>
                          <a:xfrm rot="-10799999">
                            <a:off x="-1089872" y="3110265"/>
                            <a:ext cx="5003599" cy="142889"/>
                          </a:xfrm>
                          <a:prstGeom prst="rect">
                            <a:avLst/>
                          </a:prstGeom>
                          <a:ln>
                            <a:noFill/>
                          </a:ln>
                        </wps:spPr>
                        <wps:txbx>
                          <w:txbxContent>
                            <w:p w14:paraId="324C5DAA" w14:textId="77777777" w:rsidR="00B32EF2" w:rsidRDefault="00000000">
                              <w:r>
                                <w:rPr>
                                  <w:rFonts w:ascii="Arial" w:eastAsia="Arial" w:hAnsi="Arial" w:cs="Arial"/>
                                  <w:i/>
                                  <w:sz w:val="18"/>
                                </w:rPr>
                                <w:t>mente, il giudizio. Il ricorso per cassazione avverso tali sentenze può esse</w:t>
                              </w:r>
                            </w:p>
                          </w:txbxContent>
                        </wps:txbx>
                        <wps:bodyPr horzOverflow="overflow" vert="horz" lIns="0" tIns="0" rIns="0" bIns="0" rtlCol="0">
                          <a:noAutofit/>
                        </wps:bodyPr>
                      </wps:wsp>
                      <wps:wsp>
                        <wps:cNvPr id="14850" name="Rectangle 14850"/>
                        <wps:cNvSpPr/>
                        <wps:spPr>
                          <a:xfrm rot="-10799999">
                            <a:off x="97832" y="3110264"/>
                            <a:ext cx="50622" cy="142889"/>
                          </a:xfrm>
                          <a:prstGeom prst="rect">
                            <a:avLst/>
                          </a:prstGeom>
                          <a:ln>
                            <a:noFill/>
                          </a:ln>
                        </wps:spPr>
                        <wps:txbx>
                          <w:txbxContent>
                            <w:p w14:paraId="699E2FA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851" name="Rectangle 14851"/>
                        <wps:cNvSpPr/>
                        <wps:spPr>
                          <a:xfrm rot="-10799999">
                            <a:off x="-1186371" y="2973105"/>
                            <a:ext cx="5098383" cy="142889"/>
                          </a:xfrm>
                          <a:prstGeom prst="rect">
                            <a:avLst/>
                          </a:prstGeom>
                          <a:ln>
                            <a:noFill/>
                          </a:ln>
                        </wps:spPr>
                        <wps:txbx>
                          <w:txbxContent>
                            <w:p w14:paraId="5BF7ABB1" w14:textId="77777777" w:rsidR="00B32EF2" w:rsidRDefault="00000000">
                              <w:r>
                                <w:rPr>
                                  <w:rFonts w:ascii="Arial" w:eastAsia="Arial" w:hAnsi="Arial" w:cs="Arial"/>
                                  <w:i/>
                                  <w:sz w:val="18"/>
                                </w:rPr>
                                <w:t xml:space="preserve">re proposto, senza necessità di riserva, allorché sia impugnata la sentenza </w:t>
                              </w:r>
                            </w:p>
                          </w:txbxContent>
                        </wps:txbx>
                        <wps:bodyPr horzOverflow="overflow" vert="horz" lIns="0" tIns="0" rIns="0" bIns="0" rtlCol="0">
                          <a:noAutofit/>
                        </wps:bodyPr>
                      </wps:wsp>
                      <wps:wsp>
                        <wps:cNvPr id="14852" name="Rectangle 14852"/>
                        <wps:cNvSpPr/>
                        <wps:spPr>
                          <a:xfrm rot="-10799999">
                            <a:off x="825445" y="2835945"/>
                            <a:ext cx="3088281" cy="142889"/>
                          </a:xfrm>
                          <a:prstGeom prst="rect">
                            <a:avLst/>
                          </a:prstGeom>
                          <a:ln>
                            <a:noFill/>
                          </a:ln>
                        </wps:spPr>
                        <wps:txbx>
                          <w:txbxContent>
                            <w:p w14:paraId="78AFA792" w14:textId="77777777" w:rsidR="00B32EF2" w:rsidRDefault="00000000">
                              <w:r>
                                <w:rPr>
                                  <w:rFonts w:ascii="Arial" w:eastAsia="Arial" w:hAnsi="Arial" w:cs="Arial"/>
                                  <w:i/>
                                  <w:sz w:val="18"/>
                                </w:rPr>
                                <w:t>che definisce, anche parzialmente, il giudizio.</w:t>
                              </w:r>
                            </w:p>
                          </w:txbxContent>
                        </wps:txbx>
                        <wps:bodyPr horzOverflow="overflow" vert="horz" lIns="0" tIns="0" rIns="0" bIns="0" rtlCol="0">
                          <a:noAutofit/>
                        </wps:bodyPr>
                      </wps:wsp>
                      <wps:wsp>
                        <wps:cNvPr id="199797" name="Rectangle 199797"/>
                        <wps:cNvSpPr/>
                        <wps:spPr>
                          <a:xfrm rot="-10799999">
                            <a:off x="2586303" y="2698785"/>
                            <a:ext cx="5093792" cy="142889"/>
                          </a:xfrm>
                          <a:prstGeom prst="rect">
                            <a:avLst/>
                          </a:prstGeom>
                          <a:ln>
                            <a:noFill/>
                          </a:ln>
                        </wps:spPr>
                        <wps:txbx>
                          <w:txbxContent>
                            <w:p w14:paraId="2963660E"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199798" name="Rectangle 199798"/>
                        <wps:cNvSpPr/>
                        <wps:spPr>
                          <a:xfrm rot="-10799999">
                            <a:off x="-1250268" y="2698784"/>
                            <a:ext cx="5093792" cy="142889"/>
                          </a:xfrm>
                          <a:prstGeom prst="rect">
                            <a:avLst/>
                          </a:prstGeom>
                          <a:ln>
                            <a:noFill/>
                          </a:ln>
                        </wps:spPr>
                        <wps:txbx>
                          <w:txbxContent>
                            <w:p w14:paraId="1E45EAED" w14:textId="77777777" w:rsidR="00B32EF2" w:rsidRDefault="00000000">
                              <w:r>
                                <w:rPr>
                                  <w:rFonts w:ascii="Arial" w:eastAsia="Arial" w:hAnsi="Arial" w:cs="Arial"/>
                                  <w:i/>
                                  <w:sz w:val="18"/>
                                </w:rPr>
                                <w:t xml:space="preserve">. Quando la pronuncia di appello conferma la decisione di primo grado per </w:t>
                              </w:r>
                            </w:p>
                          </w:txbxContent>
                        </wps:txbx>
                        <wps:bodyPr horzOverflow="overflow" vert="horz" lIns="0" tIns="0" rIns="0" bIns="0" rtlCol="0">
                          <a:noAutofit/>
                        </wps:bodyPr>
                      </wps:wsp>
                      <wps:wsp>
                        <wps:cNvPr id="14854" name="Rectangle 14854"/>
                        <wps:cNvSpPr/>
                        <wps:spPr>
                          <a:xfrm rot="-10799999">
                            <a:off x="-1191140" y="2561624"/>
                            <a:ext cx="5116869" cy="142889"/>
                          </a:xfrm>
                          <a:prstGeom prst="rect">
                            <a:avLst/>
                          </a:prstGeom>
                          <a:ln>
                            <a:noFill/>
                          </a:ln>
                        </wps:spPr>
                        <wps:txbx>
                          <w:txbxContent>
                            <w:p w14:paraId="1D43A4E5" w14:textId="77777777" w:rsidR="00B32EF2" w:rsidRDefault="00000000">
                              <w:r>
                                <w:rPr>
                                  <w:rFonts w:ascii="Arial" w:eastAsia="Arial" w:hAnsi="Arial" w:cs="Arial"/>
                                  <w:i/>
                                  <w:sz w:val="18"/>
                                </w:rPr>
                                <w:t xml:space="preserve">le stesse ragioni, inerenti ai medesimi fatti, poste a base della decisione </w:t>
                              </w:r>
                            </w:p>
                          </w:txbxContent>
                        </wps:txbx>
                        <wps:bodyPr horzOverflow="overflow" vert="horz" lIns="0" tIns="0" rIns="0" bIns="0" rtlCol="0">
                          <a:noAutofit/>
                        </wps:bodyPr>
                      </wps:wsp>
                      <wps:wsp>
                        <wps:cNvPr id="14855" name="Rectangle 14855"/>
                        <wps:cNvSpPr/>
                        <wps:spPr>
                          <a:xfrm rot="-10799999">
                            <a:off x="-1188329" y="2424465"/>
                            <a:ext cx="5107657" cy="142889"/>
                          </a:xfrm>
                          <a:prstGeom prst="rect">
                            <a:avLst/>
                          </a:prstGeom>
                          <a:ln>
                            <a:noFill/>
                          </a:ln>
                        </wps:spPr>
                        <wps:txbx>
                          <w:txbxContent>
                            <w:p w14:paraId="3E1951BD" w14:textId="77777777" w:rsidR="00B32EF2" w:rsidRDefault="00000000">
                              <w:r>
                                <w:rPr>
                                  <w:rFonts w:ascii="Arial" w:eastAsia="Arial" w:hAnsi="Arial" w:cs="Arial"/>
                                  <w:i/>
                                  <w:sz w:val="18"/>
                                </w:rPr>
                                <w:t xml:space="preserve">impugnata, il ricorso per cassazione può essere proposto esclusivamente </w:t>
                              </w:r>
                            </w:p>
                          </w:txbxContent>
                        </wps:txbx>
                        <wps:bodyPr horzOverflow="overflow" vert="horz" lIns="0" tIns="0" rIns="0" bIns="0" rtlCol="0">
                          <a:noAutofit/>
                        </wps:bodyPr>
                      </wps:wsp>
                      <wps:wsp>
                        <wps:cNvPr id="14856" name="Rectangle 14856"/>
                        <wps:cNvSpPr/>
                        <wps:spPr>
                          <a:xfrm rot="-10799999">
                            <a:off x="-1188161" y="2287305"/>
                            <a:ext cx="5104631" cy="142889"/>
                          </a:xfrm>
                          <a:prstGeom prst="rect">
                            <a:avLst/>
                          </a:prstGeom>
                          <a:ln>
                            <a:noFill/>
                          </a:ln>
                        </wps:spPr>
                        <wps:txbx>
                          <w:txbxContent>
                            <w:p w14:paraId="775614A7" w14:textId="77777777" w:rsidR="00B32EF2" w:rsidRDefault="00000000">
                              <w:r>
                                <w:rPr>
                                  <w:rFonts w:ascii="Arial" w:eastAsia="Arial" w:hAnsi="Arial" w:cs="Arial"/>
                                  <w:i/>
                                  <w:sz w:val="18"/>
                                </w:rPr>
                                <w:t xml:space="preserve">per i motivi di cui al primo comma, numeri 1), 2), 3) e 4). Tale disposizione </w:t>
                              </w:r>
                            </w:p>
                          </w:txbxContent>
                        </wps:txbx>
                        <wps:bodyPr horzOverflow="overflow" vert="horz" lIns="0" tIns="0" rIns="0" bIns="0" rtlCol="0">
                          <a:noAutofit/>
                        </wps:bodyPr>
                      </wps:wsp>
                      <wps:wsp>
                        <wps:cNvPr id="14857" name="Rectangle 14857"/>
                        <wps:cNvSpPr/>
                        <wps:spPr>
                          <a:xfrm rot="-10799999">
                            <a:off x="-1134657" y="2150145"/>
                            <a:ext cx="5048384" cy="142889"/>
                          </a:xfrm>
                          <a:prstGeom prst="rect">
                            <a:avLst/>
                          </a:prstGeom>
                          <a:ln>
                            <a:noFill/>
                          </a:ln>
                        </wps:spPr>
                        <wps:txbx>
                          <w:txbxContent>
                            <w:p w14:paraId="45B83BBA" w14:textId="77777777" w:rsidR="00B32EF2" w:rsidRDefault="00000000">
                              <w:r>
                                <w:rPr>
                                  <w:rFonts w:ascii="Arial" w:eastAsia="Arial" w:hAnsi="Arial" w:cs="Arial"/>
                                  <w:i/>
                                  <w:sz w:val="18"/>
                                </w:rPr>
                                <w:t>non si applica relativamente alle cause di cui all’articolo 70, primo comma.</w:t>
                              </w:r>
                            </w:p>
                          </w:txbxContent>
                        </wps:txbx>
                        <wps:bodyPr horzOverflow="overflow" vert="horz" lIns="0" tIns="0" rIns="0" bIns="0" rtlCol="0">
                          <a:noAutofit/>
                        </wps:bodyPr>
                      </wps:wsp>
                      <wps:wsp>
                        <wps:cNvPr id="199795" name="Rectangle 199795"/>
                        <wps:cNvSpPr/>
                        <wps:spPr>
                          <a:xfrm rot="-10799999">
                            <a:off x="2582599" y="2012985"/>
                            <a:ext cx="5108721" cy="142889"/>
                          </a:xfrm>
                          <a:prstGeom prst="rect">
                            <a:avLst/>
                          </a:prstGeom>
                          <a:ln>
                            <a:noFill/>
                          </a:ln>
                        </wps:spPr>
                        <wps:txbx>
                          <w:txbxContent>
                            <w:p w14:paraId="4BE9266D"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199796" name="Rectangle 199796"/>
                        <wps:cNvSpPr/>
                        <wps:spPr>
                          <a:xfrm rot="-10799999">
                            <a:off x="-1255264" y="2012985"/>
                            <a:ext cx="5108721" cy="142889"/>
                          </a:xfrm>
                          <a:prstGeom prst="rect">
                            <a:avLst/>
                          </a:prstGeom>
                          <a:ln>
                            <a:noFill/>
                          </a:ln>
                        </wps:spPr>
                        <wps:txbx>
                          <w:txbxContent>
                            <w:p w14:paraId="5FFC55C7" w14:textId="77777777" w:rsidR="00B32EF2" w:rsidRDefault="00000000">
                              <w:r>
                                <w:rPr>
                                  <w:rFonts w:ascii="Arial" w:eastAsia="Arial" w:hAnsi="Arial" w:cs="Arial"/>
                                  <w:i/>
                                  <w:sz w:val="18"/>
                                </w:rPr>
                                <w:t xml:space="preserve">. Le disposizioni di cui al primo, al terzo e al quarto comma si applicano </w:t>
                              </w:r>
                            </w:p>
                          </w:txbxContent>
                        </wps:txbx>
                        <wps:bodyPr horzOverflow="overflow" vert="horz" lIns="0" tIns="0" rIns="0" bIns="0" rtlCol="0">
                          <a:noAutofit/>
                        </wps:bodyPr>
                      </wps:wsp>
                      <wps:wsp>
                        <wps:cNvPr id="14859" name="Rectangle 14859"/>
                        <wps:cNvSpPr/>
                        <wps:spPr>
                          <a:xfrm rot="-10799999">
                            <a:off x="-1192597" y="1875825"/>
                            <a:ext cx="5122097" cy="142889"/>
                          </a:xfrm>
                          <a:prstGeom prst="rect">
                            <a:avLst/>
                          </a:prstGeom>
                          <a:ln>
                            <a:noFill/>
                          </a:ln>
                        </wps:spPr>
                        <wps:txbx>
                          <w:txbxContent>
                            <w:p w14:paraId="660D9413" w14:textId="77777777" w:rsidR="00B32EF2" w:rsidRDefault="00000000">
                              <w:r>
                                <w:rPr>
                                  <w:rFonts w:ascii="Arial" w:eastAsia="Arial" w:hAnsi="Arial" w:cs="Arial"/>
                                  <w:i/>
                                  <w:sz w:val="18"/>
                                </w:rPr>
                                <w:t xml:space="preserve">alle sentenze ed ai provvedimenti diversi dalla sentenza contro i quali è </w:t>
                              </w:r>
                            </w:p>
                          </w:txbxContent>
                        </wps:txbx>
                        <wps:bodyPr horzOverflow="overflow" vert="horz" lIns="0" tIns="0" rIns="0" bIns="0" rtlCol="0">
                          <a:noAutofit/>
                        </wps:bodyPr>
                      </wps:wsp>
                      <wps:wsp>
                        <wps:cNvPr id="14860" name="Rectangle 14860"/>
                        <wps:cNvSpPr/>
                        <wps:spPr>
                          <a:xfrm rot="-10799999">
                            <a:off x="-57557" y="1738665"/>
                            <a:ext cx="3971283" cy="142889"/>
                          </a:xfrm>
                          <a:prstGeom prst="rect">
                            <a:avLst/>
                          </a:prstGeom>
                          <a:ln>
                            <a:noFill/>
                          </a:ln>
                        </wps:spPr>
                        <wps:txbx>
                          <w:txbxContent>
                            <w:p w14:paraId="5CF026BD" w14:textId="77777777" w:rsidR="00B32EF2" w:rsidRDefault="00000000">
                              <w:r>
                                <w:rPr>
                                  <w:rFonts w:ascii="Arial" w:eastAsia="Arial" w:hAnsi="Arial" w:cs="Arial"/>
                                  <w:i/>
                                  <w:sz w:val="18"/>
                                </w:rPr>
                                <w:t>ammesso il ricorso per cassazione per violazione di legge.</w:t>
                              </w:r>
                            </w:p>
                          </w:txbxContent>
                        </wps:txbx>
                        <wps:bodyPr horzOverflow="overflow" vert="horz" lIns="0" tIns="0" rIns="0" bIns="0" rtlCol="0">
                          <a:noAutofit/>
                        </wps:bodyPr>
                      </wps:wsp>
                      <wps:wsp>
                        <wps:cNvPr id="14861" name="Rectangle 14861"/>
                        <wps:cNvSpPr/>
                        <wps:spPr>
                          <a:xfrm rot="-10799999">
                            <a:off x="2315004" y="1601506"/>
                            <a:ext cx="1598723" cy="142889"/>
                          </a:xfrm>
                          <a:prstGeom prst="rect">
                            <a:avLst/>
                          </a:prstGeom>
                          <a:ln>
                            <a:noFill/>
                          </a:ln>
                        </wps:spPr>
                        <wps:txbx>
                          <w:txbxContent>
                            <w:p w14:paraId="3563C4B9" w14:textId="77777777" w:rsidR="00B32EF2" w:rsidRDefault="00000000">
                              <w:r>
                                <w:rPr>
                                  <w:rFonts w:ascii="Arial" w:eastAsia="Arial" w:hAnsi="Arial" w:cs="Arial"/>
                                  <w:b/>
                                  <w:i/>
                                  <w:sz w:val="18"/>
                                </w:rPr>
                                <w:t xml:space="preserve">NORME COLLEGATE </w:t>
                              </w:r>
                            </w:p>
                          </w:txbxContent>
                        </wps:txbx>
                        <wps:bodyPr horzOverflow="overflow" vert="horz" lIns="0" tIns="0" rIns="0" bIns="0" rtlCol="0">
                          <a:noAutofit/>
                        </wps:bodyPr>
                      </wps:wsp>
                      <wps:wsp>
                        <wps:cNvPr id="14862" name="Rectangle 14862"/>
                        <wps:cNvSpPr/>
                        <wps:spPr>
                          <a:xfrm rot="-10799999">
                            <a:off x="-364392" y="1464346"/>
                            <a:ext cx="4278119" cy="142889"/>
                          </a:xfrm>
                          <a:prstGeom prst="rect">
                            <a:avLst/>
                          </a:prstGeom>
                          <a:ln>
                            <a:noFill/>
                          </a:ln>
                        </wps:spPr>
                        <wps:txbx>
                          <w:txbxContent>
                            <w:p w14:paraId="4C98B530" w14:textId="77777777" w:rsidR="00B32EF2" w:rsidRDefault="00000000">
                              <w:r>
                                <w:rPr>
                                  <w:rFonts w:ascii="Arial" w:eastAsia="Arial" w:hAnsi="Arial" w:cs="Arial"/>
                                  <w:i/>
                                  <w:sz w:val="18"/>
                                </w:rPr>
                                <w:t xml:space="preserve">artt. da 360 a 391-quater c.p.c. esclusi artt. 361-368-373 c.p.c </w:t>
                              </w:r>
                            </w:p>
                          </w:txbxContent>
                        </wps:txbx>
                        <wps:bodyPr horzOverflow="overflow" vert="horz" lIns="0" tIns="0" rIns="0" bIns="0" rtlCol="0">
                          <a:noAutofit/>
                        </wps:bodyPr>
                      </wps:wsp>
                      <wps:wsp>
                        <wps:cNvPr id="14863" name="Shape 14863"/>
                        <wps:cNvSpPr/>
                        <wps:spPr>
                          <a:xfrm>
                            <a:off x="32075" y="1404704"/>
                            <a:ext cx="3960000" cy="3984206"/>
                          </a:xfrm>
                          <a:custGeom>
                            <a:avLst/>
                            <a:gdLst/>
                            <a:ahLst/>
                            <a:cxnLst/>
                            <a:rect l="0" t="0" r="0" b="0"/>
                            <a:pathLst>
                              <a:path w="3960000" h="3984206">
                                <a:moveTo>
                                  <a:pt x="0" y="3984206"/>
                                </a:moveTo>
                                <a:lnTo>
                                  <a:pt x="3960000" y="3984206"/>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C30C7D4" id="Group 199919" o:spid="_x0000_s1550" style="width:314.35pt;height:493.15pt;mso-position-horizontal-relative:char;mso-position-vertical-relative:line" coordsize="39920,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CVjgsAAL16AAAOAAAAZHJzL2Uyb0RvYy54bWzkXW1v2zgS/n7A/QfD39OIpChSQdPFoXtb&#10;LHC4XezLD1AcOzYgW4akNun++nuGlCjbYl9WAkLj2AKJQ0s0NQ9nOPNwOH77w8u+XHxa182uOtwv&#10;2ZtkuVgfVtXj7vB0v/zzj59u9HLRtMXhsSirw/p++XndLH94989/vH0+3q15ta3Kx3W9QCeH5u75&#10;eL/ctu3x7va2WW3X+6J5Ux3XB7y5qep90eLP+un2sS6e0fu+vOVJkt0+V/Xjsa5W66ZB64/2zeU7&#10;0/9ms161v2w2zbpdlPdLjK01P2vz84F+3r57W9w91cVxu1t1wygmjGJf7A74UNfVj0VbLD7Wu1FX&#10;+92qrppq075ZVfvbarPZrdbmGfA0LLl4mg919fFonuXp7vnp6MQE0V7IaXK3q/9++lAffz/+WkMS&#10;z8cnyML8Rc/ysqn39BujXLwYkX12Ilu/tIsVGkWe80Rly8UK72U841qmVqirLSQ/um+1/fc37rzt&#10;P/j2bDjPR0yQZpBBM08Gv2+L49qItrmDDH6tF7tHzN9UM7lcHIo9pupvmDzF4alcL2yzEZC52omr&#10;uWsguV5Wi7rC/Lphicrpn5kPnexYnkBKfLmAlG4yjj+tkHoxMqVFllspcplkaUbvO1EUd8e6aT+s&#10;q/2CXtwva4zN9F98+k/T2kv7S2g45YF+HqqfdmVp36UWSLQfMb1qXx5ezGPLxAyH2h6qx88Qxraq&#10;//oFar0pq+f7ZdW9WpKm49Pp3eWi/PkAEEip+hd1/+Khf1G35fvKqJ4dz78+ttVmZwY8fFo3MKBL&#10;U/CVYMaU9cFs5E6DwKT4+zDfcCZkmhqYM8byPOuUocc55YkE/BZolnJtJ8LrAc1oXg2i/38HOs81&#10;g9aNkLbtnSimQc0EbAVZC6i0BNKZuMBaiiRPRGcaDdZG+K+HNY8Pa2iWF2s37SdhzaHLPFVXDLWI&#10;C2os0/ArR0ib5nlKjaUZaFuktRIikSTZ4q434JIzLjJMBfJ3SKl1The8nlIbIxOPAQekcIt8SBu5&#10;T16pWZ4qTCGy3V6Yk4xj3QgFspl0MYHM4UZ6QEbzHHXmKudpYt0xqdI8R6Byps3GRVMiHNDO3YzD&#10;7ya3y4e0bZ8D9Q25Y2kGb4tUGoFoF0KdWG5yx05d79e23Kqfy9FgnfhMN7BG+xysjTsmMY++DjUu&#10;CGW/df98cUCdalosffbbhSCT/G4oNct00jneMhH489yAI8bSWsPCh0LazeQ4kCblBRwjqG37LKVW&#10;SugUSzEptQCDpo29HOx3yjh4sXBOGRau7vnigdoXZBHUzr5NU2vBwYN1QdZVQu3ogjighv2GCR0p&#10;tWmeo9PkkHHoMek0Q0SlEFmjv0GntUpBrQSz3qAGI1NplcPCjoBGYIT2OUjfZEmedZFWLvJUXAAN&#10;WiXV5J0HWqeZe7w4NJoQ9blktn0O0pzLVBKrDZ2+SqQjI8gIUZ/xtu1zkGZJIiXtnlwr0vGxZFC7&#10;kfHGKu1YpGnuGFgwbEvaeBrbZSk2MDFvhlVaskRn2KgMZrzd88VhvIGoL8YyzbMUmiuumKVDM+Rp&#10;yIsIizGZcx0wwoqOIVPkHI80GqbbBr+TdzfAkCUIom0wjXwDzKdzjRaMaXIFQ7ljLoCMQ6MJUX8s&#10;Te1zdBoUmVJM2VWaUkuuDurIGDJYaR/rbZpnAs2yXNo9y1RolY90mtJNkI8SSKeHvboodBpZj4rC&#10;IGu9TTrhomv7JszkXHWJgcJmTxJBgp1KBVbszFALRNX4Z0EVuQZvZpyhk3yD1UebGUid9tmAyEN9&#10;tHmBaNv2r1Yvh/4l5Q9+NSX2WLR0H3VKLxfIAnRj2dJrOxR6f4/0wD8qc2V7ke+JYQ7vlofTq1xv&#10;eHTDrOLa/or+99H0d3pl/7kQ0hevt47s9195/unolh7Y9O+EgMZTMZcHkgehUiBleVMWNhdzv2uR&#10;y1zu9gCTK4KtH2aX4WiTRWlVb9rP5ZpEVh5+W2+QhGnya6mhqZ8e3pf14lNBaZPmn030LI/bomvt&#10;+u0u7USBfuj+DTI+XZfM3HrW5XtB/7seuovpvrVJlnZ3JvbOVTcamzGNvGM8dJ83DaG4m8wnV4fW&#10;3X9Atrf5kJOnHRIaSC7016umfIKTGvtaqbZUFY1mUvTEBc+TPmOIZQobz/TcQ/TEpJYw3OHscnRk&#10;tvAxXwDasb2TgFZp0md7JkgLA9l5BrPQIlcBuWzswGI8g4pFkNmLpXCs0LQ95fiCSUDfMC5ZSgmG&#10;WJpShEliTIjg6AmZk1CuVnRstkYeph9rRwJOwppL+NHElF8t1JHR2TDTPjbbNHf2bRLQNyA5mVTW&#10;N0yVzJg2SjSs0xKUiAqYSsLdTI4ifsKZKgpWR+SXaZ6JNNhqSjMknc5w1IqPkEYeIBqDmW+3PkWD&#10;tG+lBtJOEBN1GoyHVphFhDQl/1/63jjYlmZJQKQjY7QBqY/QNs1zdBr0qQCKX4Y5ZLY+dwxuNOrs&#10;47IBshPERHWGArOsU2c43eoyxpJJLokAC2a4I+OyKZbyeWO2fY5CI8bCsZvupCxITSWR+okOT9yx&#10;BGcqybYHirFEhOmeMLEjf4ywduHmJL1GwpASsouxrhLq6BiyFN7xCOlUo3meUjMYbYHtL1qoE5WA&#10;E7tUaqlEQM97oADjWKpJeX2st22fgzWXWiSd/RagyLgnyMpyymMJZb+d0YoHah/vTVA7aniS/SY+&#10;VMAZM2p9nVhHR5LRORifAZ+LNAXU3S4HDmZkOHBzacCTVAY8hAPKqLNacWg11mSfU2aa55hvCqit&#10;R2ZhHq3TIQPqgRaKBmRflAWQnV2baLiZ1giYreHOJIoNXaozalXhVE64RTo6fiz1c95onqPOAhy3&#10;OQYLxxuhFlOXO5YoU2IsSShnzDFDcWg0Hb7wZQHa9jlI04alIAqMkMaBWYkdK/R3wpswnLXKw+1N&#10;I/zrni8WqDXl542cMfK754bTCLIkQfl1rLGOB1LrgS+IA2usyP7tDTTPUWqUjMTSTNuhhDQqjaU4&#10;j3uu1djIYlQ/MhTS8VFk/j2O1K1kk1yyE7/bD3NIvxtxXVSmG+rsW6RN80x1hrvVncnASZuEY1Pr&#10;Up0FakaGU+fIyLFU0/HG0RptmucgfaLOBuaR1Q6qzmY08WSEAk0f122a54CM1DGdCWX9MJ4rgbN1&#10;l+qcY/M7XJrJED3G4ofRdqJPnd0KNml11tiqpAAdXhhHdlpu5TrEVlRsiutwsZWtCh6PRlO47HO4&#10;bfscnUZklQlKDCOoMyzWeqzSYEYDOtwuoohDpQlSn8dt2+dATdtX8MBsOr/FerRM52GxdjFFHFhj&#10;Rfbz3farIyYfxTI53jhGabUaKd7ZKIxmqCfYf89CgOrNiDe6qRwN0n6+W87ju8klwwaWzTRBMbk0&#10;HUVY2NnIUOAiFGGCeCM2pP053nJujjeQZt35Sk5JgyPnmyHHO+BhLAQdsSHt88lg1J3LMsn5hk4L&#10;qDH6Jp+MyYRdut84c4kwC0tHIBIUQUdUSJPv5TPftr0TxSSs4X5zw38R1Anj+cj9RskpFbBYt4yM&#10;ICNIffbbts+BmtxvyZFHZNT6KrGOjyfz097SeaeTlJrcb2i1NeA4S0k6TgZz4E9QTZAndEEoA+68&#10;zljc78xPe6N5lk5LJbuFmqFqd3bpfFMlBBBo4XB2Pmc0OPuZb1tveXJAzQXcMDoBhGWaZSh/YSsr&#10;DAqNgoFYpgMC7VzOaID2E99IDZil0CJLRVcGAUW7Uzji55Y75UrDvIfT6OgosgxaZXc4bG0xnJdH&#10;0zdBpuX2pLSY3cywpcUuWE9XVosW4/NqWf0Xv57WvLqi0mLng/2eAmPnd/Tlxfrf4zJjZnn8RoGx&#10;y2tWZdWsgc/3FxAzRcKgUl8sImarf9k+Pd/f6isi5qn41RUR67vx1Qnrqn1NKz12FUXEzJcF4zuS&#10;jfy773OmL2E+/dsUHRu+dfrd/wAAAP//AwBQSwMEFAAGAAgAAAAhAAXws23dAAAABQEAAA8AAABk&#10;cnMvZG93bnJldi54bWxMj0FLw0AQhe+C/2EZwZvdpMWYptmUUtRTEWwF8TbNTpPQ7GzIbpP037t6&#10;0cvA4z3e+yZfT6YVA/WusawgnkUgiEurG64UfBxeHlIQziNrbC2Tgis5WBe3Nzlm2o78TsPeVyKU&#10;sMtQQe19l0npypoMupntiIN3sr1BH2RfSd3jGMpNK+dRlEiDDYeFGjva1lSe9xej4HXEcbOIn4fd&#10;+bS9fh0e3z53MSl1fzdtViA8Tf4vDD/4AR2KwHS0F9ZOtArCI/73Bi+Zp08gjgqWabIAWeTyP33x&#10;DQAA//8DAFBLAQItABQABgAIAAAAIQC2gziS/gAAAOEBAAATAAAAAAAAAAAAAAAAAAAAAABbQ29u&#10;dGVudF9UeXBlc10ueG1sUEsBAi0AFAAGAAgAAAAhADj9If/WAAAAlAEAAAsAAAAAAAAAAAAAAAAA&#10;LwEAAF9yZWxzLy5yZWxzUEsBAi0AFAAGAAgAAAAhAFsKgJWOCwAAvXoAAA4AAAAAAAAAAAAAAAAA&#10;LgIAAGRycy9lMm9Eb2MueG1sUEsBAi0AFAAGAAgAAAAhAAXws23dAAAABQEAAA8AAAAAAAAAAAAA&#10;AAAA6A0AAGRycy9kb3ducmV2LnhtbFBLBQYAAAAABAAEAPMAAADyDgAAAAA=&#10;">
                <v:rect id="Rectangle 14815" o:spid="_x0000_s1551" style="position:absolute;left:19007;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uogxAAAAN4AAAAPAAAAZHJzL2Rvd25yZXYueG1sRE9Na8JA&#10;EL0X/A/LCN7qRmlLiK4iijQHL7UKHofsmESzs0t2NdFf3y0UepvH+5z5sjeNuFPra8sKJuMEBHFh&#10;dc2lgsP39jUF4QOyxsYyKXiQh+Vi8DLHTNuOv+i+D6WIIewzVFCF4DIpfVGRQT+2jjhyZ9saDBG2&#10;pdQtdjHcNHKaJB/SYM2xoUJH64qK6/5mFJw27PJtJ4vzc+12lzxtPm+Ho1KjYb+agQjUh3/xnzvX&#10;cf5bOnmH33fiDXLxAwAA//8DAFBLAQItABQABgAIAAAAIQDb4fbL7gAAAIUBAAATAAAAAAAAAAAA&#10;AAAAAAAAAABbQ29udGVudF9UeXBlc10ueG1sUEsBAi0AFAAGAAgAAAAhAFr0LFu/AAAAFQEAAAsA&#10;AAAAAAAAAAAAAAAAHwEAAF9yZWxzLy5yZWxzUEsBAi0AFAAGAAgAAAAhAGXa6iDEAAAA3gAAAA8A&#10;AAAAAAAAAAAAAAAABwIAAGRycy9kb3ducmV2LnhtbFBLBQYAAAAAAwADALcAAAD4AgAAAAA=&#10;" filled="f" stroked="f">
                  <v:textbox inset="0,0,0,0">
                    <w:txbxContent>
                      <w:p w14:paraId="0F791DF4" w14:textId="77777777" w:rsidR="00B32EF2" w:rsidRDefault="00000000">
                        <w:r>
                          <w:rPr>
                            <w:rFonts w:ascii="Times New Roman" w:eastAsia="Times New Roman" w:hAnsi="Times New Roman" w:cs="Times New Roman"/>
                          </w:rPr>
                          <w:t>98</w:t>
                        </w:r>
                      </w:p>
                    </w:txbxContent>
                  </v:textbox>
                </v:rect>
                <v:rect id="Rectangle 14816" o:spid="_x0000_s1552" style="position:absolute;left:-2135;top:61199;width:420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HRXxAAAAN4AAAAPAAAAZHJzL2Rvd25yZXYueG1sRE9Li8Iw&#10;EL4L/ocwwt40VRYpXaOIItvDXnws7HFoxrZrMwlNtN399UYQvM3H95zFqjeNuFHra8sKppMEBHFh&#10;dc2lgtNxN05B+ICssbFMCv7Iw2o5HCww07bjPd0OoRQxhH2GCqoQXCalLyoy6CfWEUfubFuDIcK2&#10;lLrFLoabRs6SZC4N1hwbKnS0qai4HK5Gwc+WXb7rZHH+37iv3zxtPq+nb6XeRv36A0SgPrzET3eu&#10;4/z3dDqHxzvxBrm8AwAA//8DAFBLAQItABQABgAIAAAAIQDb4fbL7gAAAIUBAAATAAAAAAAAAAAA&#10;AAAAAAAAAABbQ29udGVudF9UeXBlc10ueG1sUEsBAi0AFAAGAAgAAAAhAFr0LFu/AAAAFQEAAAsA&#10;AAAAAAAAAAAAAAAAHwEAAF9yZWxzLy5yZWxzUEsBAi0AFAAGAAgAAAAhAJUIdFfEAAAA3gAAAA8A&#10;AAAAAAAAAAAAAAAABwIAAGRycy9kb3ducmV2LnhtbFBLBQYAAAAAAwADALcAAAD4AgAAAAA=&#10;" filled="f" stroked="f">
                  <v:textbox inset="0,0,0,0">
                    <w:txbxContent>
                      <w:p w14:paraId="7E33F937" w14:textId="77777777" w:rsidR="00B32EF2" w:rsidRDefault="00000000">
                        <w:r>
                          <w:rPr>
                            <w:rFonts w:ascii="Arial" w:eastAsia="Arial" w:hAnsi="Arial" w:cs="Arial"/>
                            <w:sz w:val="18"/>
                          </w:rPr>
                          <w:t>dell’articolo 360, primo comma, del codice di procedura civile.</w:t>
                        </w:r>
                      </w:p>
                    </w:txbxContent>
                  </v:textbox>
                </v:rect>
                <v:rect id="Rectangle 199812" o:spid="_x0000_s1553" style="position:absolute;left:-13815;top:599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aaNxAAAAN8AAAAPAAAAZHJzL2Rvd25yZXYueG1sRE/LisIw&#10;FN0P+A/hDrgbU10MtRplUGS6cDM+wOWlubadaW5CE2316yeC4PJw3vNlbxpxpdbXlhWMRwkI4sLq&#10;mksFh/3mIwXhA7LGxjIpuJGH5WLwNsdM245/6LoLpYgh7DNUUIXgMil9UZFBP7KOOHJn2xoMEbal&#10;1C12Mdw0cpIkn9JgzbGhQkerioq/3cUoOK3Z5ZtOFuf7ym1/87T5vhyOSg3f+68ZiEB9eImf7lzH&#10;+dNpOp7A408EIBf/AAAA//8DAFBLAQItABQABgAIAAAAIQDb4fbL7gAAAIUBAAATAAAAAAAAAAAA&#10;AAAAAAAAAABbQ29udGVudF9UeXBlc10ueG1sUEsBAi0AFAAGAAgAAAAhAFr0LFu/AAAAFQEAAAsA&#10;AAAAAAAAAAAAAAAAHwEAAF9yZWxzLy5yZWxzUEsBAi0AFAAGAAgAAAAhAEZ1po3EAAAA3wAAAA8A&#10;AAAAAAAAAAAAAAAABwIAAGRycy9kb3ducmV2LnhtbFBLBQYAAAAAAwADALcAAAD4AgAAAAA=&#10;" filled="f" stroked="f">
                  <v:textbox inset="0,0,0,0">
                    <w:txbxContent>
                      <w:p w14:paraId="558EC4A6" w14:textId="77777777" w:rsidR="00B32EF2" w:rsidRDefault="00000000">
                        <w:r>
                          <w:rPr>
                            <w:rFonts w:ascii="Arial" w:eastAsia="Arial" w:hAnsi="Arial" w:cs="Arial"/>
                            <w:sz w:val="18"/>
                          </w:rPr>
                          <w:t xml:space="preserve">. Al ricorso per cassazione ed al relativo procedimento si applicano le norme </w:t>
                        </w:r>
                      </w:p>
                    </w:txbxContent>
                  </v:textbox>
                </v:rect>
                <v:rect id="Rectangle 199811" o:spid="_x0000_s1554" style="position:absolute;left:26112;top:599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zj6xAAAAN8AAAAPAAAAZHJzL2Rvd25yZXYueG1sRE/Pa8Iw&#10;FL4P/B/CE7zNtB5GraZlKLIedplzsOOjebZ1zUtooq3765fBYMeP7/e2nEwvbjT4zrKCdJmAIK6t&#10;7rhRcHo/PGYgfEDW2FsmBXfyUBazhy3m2o78RrdjaEQMYZ+jgjYEl0vp65YM+qV1xJE728FgiHBo&#10;pB5wjOGml6skeZIGO44NLTratVR/Ha9GweeeXXUYZX3+3rnXS5X1L9fTh1KL+fS8ARFoCv/iP3el&#10;4/z1OktT+P0TAcjiBwAA//8DAFBLAQItABQABgAIAAAAIQDb4fbL7gAAAIUBAAATAAAAAAAAAAAA&#10;AAAAAAAAAABbQ29udGVudF9UeXBlc10ueG1sUEsBAi0AFAAGAAgAAAAhAFr0LFu/AAAAFQEAAAsA&#10;AAAAAAAAAAAAAAAAHwEAAF9yZWxzLy5yZWxzUEsBAi0AFAAGAAgAAAAhALanOPrEAAAA3wAAAA8A&#10;AAAAAAAAAAAAAAAABwIAAGRycy9kb3ducmV2LnhtbFBLBQYAAAAAAwADALcAAAD4AgAAAAA=&#10;" filled="f" stroked="f">
                  <v:textbox inset="0,0,0,0">
                    <w:txbxContent>
                      <w:p w14:paraId="65704219" w14:textId="77777777" w:rsidR="00B32EF2" w:rsidRDefault="00000000">
                        <w:r>
                          <w:rPr>
                            <w:rFonts w:ascii="Arial" w:eastAsia="Arial" w:hAnsi="Arial" w:cs="Arial"/>
                            <w:sz w:val="18"/>
                          </w:rPr>
                          <w:t>2</w:t>
                        </w:r>
                      </w:p>
                    </w:txbxContent>
                  </v:textbox>
                </v:rect>
                <v:rect id="Rectangle 14818" o:spid="_x0000_s1555" style="position:absolute;left:-12192;top:58733;width:5212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0W+xwAAAN4AAAAPAAAAZHJzL2Rvd25yZXYueG1sRI9Ba8JA&#10;EIXvgv9hGaE33SilhNRViiLNoRethR6H7Jikzc4u2dWk/fXOodDbDO/Ne9+st6Pr1I362Ho2sFxk&#10;oIgrb1uuDZzfD/McVEzIFjvPZOCHImw308kaC+sHPtLtlGolIRwLNNCkFAqtY9WQw7jwgVi0i+8d&#10;Jln7WtseBwl3nV5l2ZN22LI0NBho11D1fbo6A597DuVh0NXldxfevsq8e72eP4x5mI0vz6ASjenf&#10;/HddWsF/zJfCK+/IDHpzBwAA//8DAFBLAQItABQABgAIAAAAIQDb4fbL7gAAAIUBAAATAAAAAAAA&#10;AAAAAAAAAAAAAABbQ29udGVudF9UeXBlc10ueG1sUEsBAi0AFAAGAAgAAAAhAFr0LFu/AAAAFQEA&#10;AAsAAAAAAAAAAAAAAAAAHwEAAF9yZWxzLy5yZWxzUEsBAi0AFAAGAAgAAAAhAIvbRb7HAAAA3gAA&#10;AA8AAAAAAAAAAAAAAAAABwIAAGRycy9kb3ducmV2LnhtbFBLBQYAAAAAAwADALcAAAD7AgAAAAA=&#10;" filled="f" stroked="f">
                  <v:textbox inset="0,0,0,0">
                    <w:txbxContent>
                      <w:p w14:paraId="2C3A872C" w14:textId="77777777" w:rsidR="00B32EF2" w:rsidRDefault="00000000">
                        <w:r>
                          <w:rPr>
                            <w:rFonts w:ascii="Arial" w:eastAsia="Arial" w:hAnsi="Arial" w:cs="Arial"/>
                            <w:sz w:val="18"/>
                          </w:rPr>
                          <w:t>dettate dal codice di procedura civile in quanto compatibili con quelle del pre</w:t>
                        </w:r>
                      </w:p>
                    </w:txbxContent>
                  </v:textbox>
                </v:rect>
                <v:rect id="Rectangle 14819" o:spid="_x0000_s1556" style="position:absolute;left:194;top:58733;width:5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AlxAAAAN4AAAAPAAAAZHJzL2Rvd25yZXYueG1sRE9Na8JA&#10;EL0X/A/LCN7qRiklja4iijQHL7UKHofsmESzs0t2NdFf3y0UepvH+5z5sjeNuFPra8sKJuMEBHFh&#10;dc2lgsP39jUF4QOyxsYyKXiQh+Vi8DLHTNuOv+i+D6WIIewzVFCF4DIpfVGRQT+2jjhyZ9saDBG2&#10;pdQtdjHcNHKaJO/SYM2xoUJH64qK6/5mFJw27PJtJ4vzc+12lzxtPm+Ho1KjYb+agQjUh3/xnzvX&#10;cf5bOvmA33fiDXLxAwAA//8DAFBLAQItABQABgAIAAAAIQDb4fbL7gAAAIUBAAATAAAAAAAAAAAA&#10;AAAAAAAAAABbQ29udGVudF9UeXBlc10ueG1sUEsBAi0AFAAGAAgAAAAhAFr0LFu/AAAAFQEAAAsA&#10;AAAAAAAAAAAAAAAAHwEAAF9yZWxzLy5yZWxzUEsBAi0AFAAGAAgAAAAhAOSX4CXEAAAA3gAAAA8A&#10;AAAAAAAAAAAAAAAABwIAAGRycy9kb3ducmV2LnhtbFBLBQYAAAAAAwADALcAAAD4AgAAAAA=&#10;" filled="f" stroked="f">
                  <v:textbox inset="0,0,0,0">
                    <w:txbxContent>
                      <w:p w14:paraId="7BB8A6CC" w14:textId="77777777" w:rsidR="00B32EF2" w:rsidRDefault="00000000">
                        <w:r>
                          <w:rPr>
                            <w:rFonts w:ascii="Arial" w:eastAsia="Arial" w:hAnsi="Arial" w:cs="Arial"/>
                            <w:sz w:val="18"/>
                          </w:rPr>
                          <w:t>-</w:t>
                        </w:r>
                      </w:p>
                    </w:txbxContent>
                  </v:textbox>
                </v:rect>
                <v:rect id="Rectangle 14820" o:spid="_x0000_s1557" style="position:absolute;left:27924;top:57499;width:119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YMFyAAAAN4AAAAPAAAAZHJzL2Rvd25yZXYueG1sRI9Pa8Mw&#10;DMXvg30Ho8Fuq7MyRkjrltJRlsMu/TPYUcRqkjaWTew22T59dRj0JqGn995vvhxdp67Ux9azgddJ&#10;Boq48rbl2sBhv3nJQcWEbLHzTAZ+KcJy8fgwx8L6gbd03aVaiQnHAg00KYVC61g15DBOfCCW29H3&#10;DpOsfa1tj4OYu05Ps+xdO2xZEhoMtG6oOu8uzsDPB4dyM+jq+LcOX6cy7z4vh29jnp/G1QxUojHd&#10;xf/fpZX6b/lUAARHZtCLGwAAAP//AwBQSwECLQAUAAYACAAAACEA2+H2y+4AAACFAQAAEwAAAAAA&#10;AAAAAAAAAAAAAAAAW0NvbnRlbnRfVHlwZXNdLnhtbFBLAQItABQABgAIAAAAIQBa9CxbvwAAABUB&#10;AAALAAAAAAAAAAAAAAAAAB8BAABfcmVscy8ucmVsc1BLAQItABQABgAIAAAAIQC7wYMFyAAAAN4A&#10;AAAPAAAAAAAAAAAAAAAAAAcCAABkcnMvZG93bnJldi54bWxQSwUGAAAAAAMAAwC3AAAA/AIAAAAA&#10;" filled="f" stroked="f">
                  <v:textbox inset="0,0,0,0">
                    <w:txbxContent>
                      <w:p w14:paraId="4058234C" w14:textId="77777777" w:rsidR="00B32EF2" w:rsidRDefault="00000000">
                        <w:r>
                          <w:rPr>
                            <w:rFonts w:ascii="Arial" w:eastAsia="Arial" w:hAnsi="Arial" w:cs="Arial"/>
                            <w:sz w:val="18"/>
                          </w:rPr>
                          <w:t>sente testo unico.</w:t>
                        </w:r>
                      </w:p>
                    </w:txbxContent>
                  </v:textbox>
                </v:rect>
                <v:rect id="Rectangle 199810" o:spid="_x0000_s1558" style="position:absolute;left:-13814;top:562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51hxAAAAN8AAAAPAAAAZHJzL2Rvd25yZXYueG1sRE89b8Iw&#10;EN0r8R+sQ+pWHDpUIcUgBELN0KUUpI6n+EgC8dmKDUn763tDpY5P73u5Hl2n7tTH1rOB+SwDRVx5&#10;23Jt4Pi5f8pBxYRssfNMBr4pwno1eVhiYf3AH3Q/pFpJCMcCDTQphULrWDXkMM58IBbu7HuHSWBf&#10;a9vjIOGu089Z9qIdtiwNDQbaNlRdDzdn4GvHodwPujr/bMP7pcy7t9vxZMzjdNy8gko0pn/xn7u0&#10;Mn+xyOfyQP4IAL36BQAA//8DAFBLAQItABQABgAIAAAAIQDb4fbL7gAAAIUBAAATAAAAAAAAAAAA&#10;AAAAAAAAAABbQ29udGVudF9UeXBlc10ueG1sUEsBAi0AFAAGAAgAAAAhAFr0LFu/AAAAFQEAAAsA&#10;AAAAAAAAAAAAAAAAHwEAAF9yZWxzLy5yZWxzUEsBAi0AFAAGAAgAAAAhANnrnWHEAAAA3wAAAA8A&#10;AAAAAAAAAAAAAAAABwIAAGRycy9kb3ducmV2LnhtbFBLBQYAAAAAAwADALcAAAD4AgAAAAA=&#10;" filled="f" stroked="f">
                  <v:textbox inset="0,0,0,0">
                    <w:txbxContent>
                      <w:p w14:paraId="406C2CCB" w14:textId="77777777" w:rsidR="00B32EF2" w:rsidRDefault="00000000">
                        <w:r>
                          <w:rPr>
                            <w:rFonts w:ascii="Arial" w:eastAsia="Arial" w:hAnsi="Arial" w:cs="Arial"/>
                            <w:sz w:val="18"/>
                          </w:rPr>
                          <w:t xml:space="preserve">. Sull’accordo delle parti la sentenza della corte di giustizia tributaria di primo </w:t>
                        </w:r>
                      </w:p>
                    </w:txbxContent>
                  </v:textbox>
                </v:rect>
                <v:rect id="Rectangle 199809" o:spid="_x0000_s1559" style="position:absolute;left:26112;top:562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KIhxAAAAN8AAAAPAAAAZHJzL2Rvd25yZXYueG1sRE/LasJA&#10;FN0X+g/DLXRXJ3VRkugoRZFm4aY+wOUlc02imTtDZjSpX98RBJeH857OB9OKK3W+sazgc5SAIC6t&#10;brhSsNuuPlIQPiBrbC2Tgj/yMJ+9vkwx17bnX7puQiViCPscFdQhuFxKX9Zk0I+sI47c0XYGQ4Rd&#10;JXWHfQw3rRwnyZc02HBsqNHRoqbyvLkYBYclu2LVy/J4W7j1qUjbn8tur9T72/A9ARFoCE/xw13o&#10;OD/L0iSD+58IQM7+AQAA//8DAFBLAQItABQABgAIAAAAIQDb4fbL7gAAAIUBAAATAAAAAAAAAAAA&#10;AAAAAAAAAABbQ29udGVudF9UeXBlc10ueG1sUEsBAi0AFAAGAAgAAAAhAFr0LFu/AAAAFQEAAAsA&#10;AAAAAAAAAAAAAAAAHwEAAF9yZWxzLy5yZWxzUEsBAi0AFAAGAAgAAAAhAM0IoiHEAAAA3wAAAA8A&#10;AAAAAAAAAAAAAAAABwIAAGRycy9kb3ducmV2LnhtbFBLBQYAAAAAAwADALcAAAD4AgAAAAA=&#10;" filled="f" stroked="f">
                  <v:textbox inset="0,0,0,0">
                    <w:txbxContent>
                      <w:p w14:paraId="2C362126" w14:textId="77777777" w:rsidR="00B32EF2" w:rsidRDefault="00000000">
                        <w:r>
                          <w:rPr>
                            <w:rFonts w:ascii="Arial" w:eastAsia="Arial" w:hAnsi="Arial" w:cs="Arial"/>
                            <w:sz w:val="18"/>
                          </w:rPr>
                          <w:t>3</w:t>
                        </w:r>
                      </w:p>
                    </w:txbxContent>
                  </v:textbox>
                </v:rect>
                <v:rect id="Rectangle 14822" o:spid="_x0000_s1560" style="position:absolute;left:-13168;top:55033;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7jpxQAAAN4AAAAPAAAAZHJzL2Rvd25yZXYueG1sRE9Na8JA&#10;EL0X/A/LCL3VTUORkLoJRRFz8KJV6HHIjkna7OySXU3sr+8WCr3N433OqpxML240+M6ygudFAoK4&#10;trrjRsHpffuUgfABWWNvmRTcyUNZzB5WmGs78oFux9CIGMI+RwVtCC6X0tctGfQL64gjd7GDwRDh&#10;0Eg94BjDTS/TJFlKgx3HhhYdrVuqv45Xo+Bjw67ajrK+fK/d/rPK+t31dFbqcT69vYIINIV/8Z+7&#10;0nH+S5am8PtOvEEWPwAAAP//AwBQSwECLQAUAAYACAAAACEA2+H2y+4AAACFAQAAEwAAAAAAAAAA&#10;AAAAAAAAAAAAW0NvbnRlbnRfVHlwZXNdLnhtbFBLAQItABQABgAIAAAAIQBa9CxbvwAAABUBAAAL&#10;AAAAAAAAAAAAAAAAAB8BAABfcmVscy8ucmVsc1BLAQItABQABgAIAAAAIQAkX7jpxQAAAN4AAAAP&#10;AAAAAAAAAAAAAAAAAAcCAABkcnMvZG93bnJldi54bWxQSwUGAAAAAAMAAwC3AAAA+QIAAAAA&#10;" filled="f" stroked="f">
                  <v:textbox inset="0,0,0,0">
                    <w:txbxContent>
                      <w:p w14:paraId="79842019" w14:textId="77777777" w:rsidR="00B32EF2" w:rsidRDefault="00000000">
                        <w:r>
                          <w:rPr>
                            <w:rFonts w:ascii="Arial" w:eastAsia="Arial" w:hAnsi="Arial" w:cs="Arial"/>
                            <w:sz w:val="18"/>
                          </w:rPr>
                          <w:t xml:space="preserve">grado può essere impugnata con ricorso per cassazione a norma dell’articolo </w:t>
                        </w:r>
                      </w:p>
                    </w:txbxContent>
                  </v:textbox>
                </v:rect>
                <v:rect id="Rectangle 199807" o:spid="_x0000_s1561" style="position:absolute;left:27738;top:53799;width:412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5PIxAAAAN8AAAAPAAAAZHJzL2Rvd25yZXYueG1sRE/LasJA&#10;FN0X+g/DFdzViS40po5SLGIWbnwUurxkrknazJ0hM5ro1zuFgsvDeS9WvWnElVpfW1YwHiUgiAur&#10;ay4VnI6btxSED8gaG8uk4EYeVsvXlwVm2na8p+shlCKGsM9QQRWCy6T0RUUG/cg64sidbWswRNiW&#10;UrfYxXDTyEmSTKXBmmNDhY7WFRW/h4tR8P3JLt90sjjf1273k6fN9nL6Umo46D/eQQTqw1P87851&#10;nD+fp8kM/v5EAHL5AAAA//8DAFBLAQItABQABgAIAAAAIQDb4fbL7gAAAIUBAAATAAAAAAAAAAAA&#10;AAAAAAAAAABbQ29udGVudF9UeXBlc10ueG1sUEsBAi0AFAAGAAgAAAAhAFr0LFu/AAAAFQEAAAsA&#10;AAAAAAAAAAAAAAAAHwEAAF9yZWxzLy5yZWxzUEsBAi0AFAAGAAgAAAAhANPbk8jEAAAA3wAAAA8A&#10;AAAAAAAAAAAAAAAABwIAAGRycy9kb3ducmV2LnhtbFBLBQYAAAAAAwADALcAAAD4AgAAAAA=&#10;" filled="f" stroked="f">
                  <v:textbox inset="0,0,0,0">
                    <w:txbxContent>
                      <w:p w14:paraId="408E0925" w14:textId="77777777" w:rsidR="00B32EF2" w:rsidRDefault="00000000">
                        <w:r>
                          <w:rPr>
                            <w:rFonts w:ascii="Arial" w:eastAsia="Arial" w:hAnsi="Arial" w:cs="Arial"/>
                            <w:sz w:val="18"/>
                          </w:rPr>
                          <w:t>360</w:t>
                        </w:r>
                      </w:p>
                    </w:txbxContent>
                  </v:textbox>
                </v:rect>
                <v:rect id="Rectangle 199808" o:spid="_x0000_s1562" style="position:absolute;left:-3242;top:53799;width:412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Ae6xAAAAN8AAAAPAAAAZHJzL2Rvd25yZXYueG1sRE87a8Mw&#10;EN4L/Q/iCt0auR2K40QJISXUQ5c8Ch0P62I7sU7CUmK3v743BDJ+fO/5cnSdulIfW88GXicZKOLK&#10;25ZrA4f95iUHFROyxc4zGfilCMvF48McC+sH3tJ1l2olIRwLNNCkFAqtY9WQwzjxgVi4o+8dJoF9&#10;rW2Pg4S7Tr9l2bt22LI0NBho3VB13l2cgZ8PDuVm0NXxbx2+TmXefV4O38Y8P42rGahEY7qLb+7S&#10;yvzpNM9ksPwRAHrxDwAA//8DAFBLAQItABQABgAIAAAAIQDb4fbL7gAAAIUBAAATAAAAAAAAAAAA&#10;AAAAAAAAAABbQ29udGVudF9UeXBlc10ueG1sUEsBAi0AFAAGAAgAAAAhAFr0LFu/AAAAFQEAAAsA&#10;AAAAAAAAAAAAAAAAHwEAAF9yZWxzLy5yZWxzUEsBAi0AFAAGAAgAAAAhAKJEB7rEAAAA3wAAAA8A&#10;AAAAAAAAAAAAAAAABwIAAGRycy9kb3ducmV2LnhtbFBLBQYAAAAAAwADALcAAAD4AgAAAAA=&#10;" filled="f" stroked="f">
                  <v:textbox inset="0,0,0,0">
                    <w:txbxContent>
                      <w:p w14:paraId="713023D5" w14:textId="77777777" w:rsidR="00B32EF2" w:rsidRDefault="00000000">
                        <w:r>
                          <w:rPr>
                            <w:rFonts w:ascii="Arial" w:eastAsia="Arial" w:hAnsi="Arial" w:cs="Arial"/>
                            <w:sz w:val="18"/>
                          </w:rPr>
                          <w:t>, primo comma, numero 3, del codice di procedura civile.</w:t>
                        </w:r>
                      </w:p>
                    </w:txbxContent>
                  </v:textbox>
                </v:rect>
                <v:rect id="Rectangle 14824" o:spid="_x0000_s1563" style="position:absolute;left:14662;top:10627;width:87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UGxAAAAN4AAAAPAAAAZHJzL2Rvd25yZXYueG1sRE9Na8JA&#10;EL0L/odlCt50U5ESUlcRRczBS20KPQ7ZMUnNzi7Z1UR/vVso9DaP9znL9WBacaPON5YVvM4SEMSl&#10;1Q1XCorP/TQF4QOyxtYyKbiTh/VqPFpipm3PH3Q7hUrEEPYZKqhDcJmUvqzJoJ9ZRxy5s+0Mhgi7&#10;SuoO+xhuWjlPkjdpsOHYUKOjbU3l5XQ1Cr537PJ9L8vzY+uOP3naHq7Fl1KTl2HzDiLQEP7Ff+5c&#10;x/mLdL6A33fiDXL1BAAA//8DAFBLAQItABQABgAIAAAAIQDb4fbL7gAAAIUBAAATAAAAAAAAAAAA&#10;AAAAAAAAAABbQ29udGVudF9UeXBlc10ueG1sUEsBAi0AFAAGAAgAAAAhAFr0LFu/AAAAFQEAAAsA&#10;AAAAAAAAAAAAAAAAHwEAAF9yZWxzLy5yZWxzUEsBAi0AFAAGAAgAAAAhAMT6hQbEAAAA3gAAAA8A&#10;AAAAAAAAAAAAAAAABwIAAGRycy9kb3ducmV2LnhtbFBLBQYAAAAAAwADALcAAAD4AgAAAAA=&#10;" filled="f" stroked="f">
                  <v:textbox inset="0,0,0,0">
                    <w:txbxContent>
                      <w:p w14:paraId="2780C7EA" w14:textId="77777777" w:rsidR="00B32EF2" w:rsidRDefault="00000000">
                        <w:r>
                          <w:rPr>
                            <w:rFonts w:ascii="Arial" w:eastAsia="Arial" w:hAnsi="Arial" w:cs="Arial"/>
                            <w:b/>
                            <w:sz w:val="18"/>
                          </w:rPr>
                          <w:t>Articolo 117</w:t>
                        </w:r>
                      </w:p>
                    </w:txbxContent>
                  </v:textbox>
                </v:rect>
                <v:rect id="Rectangle 199793" o:spid="_x0000_s1564" style="position:absolute;left:-6096;top:9394;width:219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pQaxQAAAN8AAAAPAAAAZHJzL2Rvd25yZXYueG1sRE/LasJA&#10;FN0X/IfhCu7qRIXWpI4iijQLN/UBXV4y1yRt5s6QGU3ar3cKBZeH816setOIG7W+tqxgMk5AEBdW&#10;11wqOB13z3MQPiBrbCyTgh/ysFoOnhaYadvxB90OoRQxhH2GCqoQXCalLyoy6MfWEUfuYluDIcK2&#10;lLrFLoabRk6T5EUarDk2VOhoU1HxfbgaBZ9bdvmuk8Xld+P2X/m8eb+ezkqNhv36DUSgPjzE/+5c&#10;x/lp+prO4O9PBCCXdwAAAP//AwBQSwECLQAUAAYACAAAACEA2+H2y+4AAACFAQAAEwAAAAAAAAAA&#10;AAAAAAAAAAAAW0NvbnRlbnRfVHlwZXNdLnhtbFBLAQItABQABgAIAAAAIQBa9CxbvwAAABUBAAAL&#10;AAAAAAAAAAAAAAAAAB8BAABfcmVscy8ucmVsc1BLAQItABQABgAIAAAAIQCyXpQaxQAAAN8AAAAP&#10;AAAAAAAAAAAAAAAAAAcCAABkcnMvZG93bnJldi54bWxQSwUGAAAAAAMAAwC3AAAA+QIAAAAA&#10;" filled="f" stroked="f">
                  <v:textbox inset="0,0,0,0">
                    <w:txbxContent>
                      <w:p w14:paraId="25BAD5A4" w14:textId="77777777" w:rsidR="00B32EF2" w:rsidRDefault="00000000">
                        <w:r>
                          <w:rPr>
                            <w:rFonts w:ascii="Arial" w:eastAsia="Arial" w:hAnsi="Arial" w:cs="Arial"/>
                            <w:i/>
                            <w:sz w:val="18"/>
                          </w:rPr>
                          <w:t>546/92)</w:t>
                        </w:r>
                      </w:p>
                    </w:txbxContent>
                  </v:textbox>
                </v:rect>
                <v:rect id="Rectangle 199792" o:spid="_x0000_s1565" style="position:absolute;left:22545;top:9394;width:219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jGBxAAAAN8AAAAPAAAAZHJzL2Rvd25yZXYueG1sRE/Pa8Iw&#10;FL4L/g/hCbtpOg/TdkYZitiDlzkHOz6aZ1ttXkITbfWvXwYDjx/f78WqN424UetrywpeJwkI4sLq&#10;mksFx6/teA7CB2SNjWVScCcPq+VwsMBM244/6XYIpYgh7DNUUIXgMil9UZFBP7GOOHIn2xoMEbal&#10;1C12Mdw0cpokb9JgzbGhQkfriorL4WoU/GzY5dtOFqfH2u3P+bzZXY/fSr2M+o93EIH68BT/u3Md&#10;56fpLJ3C358IQC5/AQAA//8DAFBLAQItABQABgAIAAAAIQDb4fbL7gAAAIUBAAATAAAAAAAAAAAA&#10;AAAAAAAAAABbQ29udGVudF9UeXBlc10ueG1sUEsBAi0AFAAGAAgAAAAhAFr0LFu/AAAAFQEAAAsA&#10;AAAAAAAAAAAAAAAAHwEAAF9yZWxzLy5yZWxzUEsBAi0AFAAGAAgAAAAhAN0SMYHEAAAA3wAAAA8A&#10;AAAAAAAAAAAAAAAABwIAAGRycy9kb3ducmV2LnhtbFBLBQYAAAAAAwADALcAAAD4AgAAAAA=&#10;" filled="f" stroked="f">
                  <v:textbox inset="0,0,0,0">
                    <w:txbxContent>
                      <w:p w14:paraId="7A2FD197" w14:textId="77777777" w:rsidR="00B32EF2" w:rsidRDefault="00000000">
                        <w:r>
                          <w:rPr>
                            <w:rFonts w:ascii="Arial" w:eastAsia="Arial" w:hAnsi="Arial" w:cs="Arial"/>
                            <w:i/>
                            <w:sz w:val="18"/>
                          </w:rPr>
                          <w:t>(</w:t>
                        </w:r>
                      </w:p>
                    </w:txbxContent>
                  </v:textbox>
                </v:rect>
                <v:rect id="Rectangle 199794" o:spid="_x0000_s1566" style="position:absolute;left:10055;top:9394;width:219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wxuxQAAAN8AAAAPAAAAZHJzL2Rvd25yZXYueG1sRE/LasJA&#10;FN0X/IfhCu7qRJHWpI4iijQLN/UBXV4y1yRt5s6QGU3ar3cKBZeH816setOIG7W+tqxgMk5AEBdW&#10;11wqOB13z3MQPiBrbCyTgh/ysFoOnhaYadvxB90OoRQxhH2GCqoQXCalLyoy6MfWEUfuYluDIcK2&#10;lLrFLoabRk6T5EUarDk2VOhoU1HxfbgaBZ9bdvmuk8Xld+P2X/m8eb+ezkqNhv36DUSgPjzE/+5c&#10;x/lp+prO4O9PBCCXdwAAAP//AwBQSwECLQAUAAYACAAAACEA2+H2y+4AAACFAQAAEwAAAAAAAAAA&#10;AAAAAAAAAAAAW0NvbnRlbnRfVHlwZXNdLnhtbFBLAQItABQABgAIAAAAIQBa9CxbvwAAABUBAAAL&#10;AAAAAAAAAAAAAAAAAB8BAABfcmVscy8ucmVsc1BLAQItABQABgAIAAAAIQA9twxuxQAAAN8AAAAP&#10;AAAAAAAAAAAAAAAAAAcCAABkcnMvZG93bnJldi54bWxQSwUGAAAAAAMAAwC3AAAA+QIAAAAA&#10;" filled="f" stroked="f">
                  <v:textbox inset="0,0,0,0">
                    <w:txbxContent>
                      <w:p w14:paraId="6CDE45D9" w14:textId="77777777" w:rsidR="00B32EF2" w:rsidRDefault="00000000">
                        <w:r>
                          <w:rPr>
                            <w:rFonts w:ascii="Arial" w:eastAsia="Arial" w:hAnsi="Arial" w:cs="Arial"/>
                            <w:i/>
                            <w:sz w:val="18"/>
                          </w:rPr>
                          <w:t xml:space="preserve">articolo 62-bis D.lgs. n. </w:t>
                        </w:r>
                      </w:p>
                    </w:txbxContent>
                  </v:textbox>
                </v:rect>
                <v:rect id="Rectangle 14826" o:spid="_x0000_s1567" style="position:absolute;left:-11920;top:8124;width:510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L7qxAAAAN4AAAAPAAAAZHJzL2Rvd25yZXYueG1sRE9Na8JA&#10;EL0X/A/LFLzVTaVISF1FFGkOXqoRPA7ZMUnNzi7Z1UR/fbdQ8DaP9znz5WBacaPON5YVvE8SEMSl&#10;1Q1XCorD9i0F4QOyxtYyKbiTh+Vi9DLHTNuev+m2D5WIIewzVFCH4DIpfVmTQT+xjjhyZ9sZDBF2&#10;ldQd9jHctHKaJDNpsOHYUKOjdU3lZX81Ck4bdvm2l+X5sXa7nzxtv67FUanx67D6BBFoCE/xvzvX&#10;cf5HOp3B3zvxBrn4BQAA//8DAFBLAQItABQABgAIAAAAIQDb4fbL7gAAAIUBAAATAAAAAAAAAAAA&#10;AAAAAAAAAABbQ29udGVudF9UeXBlc10ueG1sUEsBAi0AFAAGAAgAAAAhAFr0LFu/AAAAFQEAAAsA&#10;AAAAAAAAAAAAAAAAHwEAAF9yZWxzLy5yZWxzUEsBAi0AFAAGAAgAAAAhAFtkvurEAAAA3gAAAA8A&#10;AAAAAAAAAAAAAAAABwIAAGRycy9kb3ducmV2LnhtbFBLBQYAAAAAAwADALcAAAD4AgAAAAA=&#10;" filled="f" stroked="f">
                  <v:textbox inset="0,0,0,0">
                    <w:txbxContent>
                      <w:p w14:paraId="4605000E" w14:textId="77777777" w:rsidR="00B32EF2" w:rsidRDefault="00000000">
                        <w:r>
                          <w:rPr>
                            <w:rFonts w:ascii="Arial" w:eastAsia="Arial" w:hAnsi="Arial" w:cs="Arial"/>
                            <w:b/>
                            <w:sz w:val="18"/>
                          </w:rPr>
                          <w:t xml:space="preserve">Provvedimenti sull’esecuzione provvisoria della sentenza impugnata </w:t>
                        </w:r>
                      </w:p>
                    </w:txbxContent>
                  </v:textbox>
                </v:rect>
                <v:rect id="Rectangle 14827" o:spid="_x0000_s1568" style="position:absolute;left:12727;top:6854;width:115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BtxxQAAAN4AAAAPAAAAZHJzL2Rvd25yZXYueG1sRE9La8JA&#10;EL4X/A/LCN7qRiltiK4iijSHXuoDPA7ZMYlmZ5fsamJ/fbdQ8DYf33Pmy9404k6try0rmIwTEMSF&#10;1TWXCg777WsKwgdkjY1lUvAgD8vF4GWOmbYdf9N9F0oRQ9hnqKAKwWVS+qIig35sHXHkzrY1GCJs&#10;S6lb7GK4aeQ0Sd6lwZpjQ4WO1hUV193NKDht2OXbThbnn7X7uuRp83k7HJUaDfvVDESgPjzF/+5c&#10;x/lv6fQD/t6JN8jFLwAAAP//AwBQSwECLQAUAAYACAAAACEA2+H2y+4AAACFAQAAEwAAAAAAAAAA&#10;AAAAAAAAAAAAW0NvbnRlbnRfVHlwZXNdLnhtbFBLAQItABQABgAIAAAAIQBa9CxbvwAAABUBAAAL&#10;AAAAAAAAAAAAAAAAAB8BAABfcmVscy8ucmVsc1BLAQItABQABgAIAAAAIQA0KBtxxQAAAN4AAAAP&#10;AAAAAAAAAAAAAAAAAAcCAABkcnMvZG93bnJldi54bWxQSwUGAAAAAAMAAwC3AAAA+QIAAAAA&#10;" filled="f" stroked="f">
                  <v:textbox inset="0,0,0,0">
                    <w:txbxContent>
                      <w:p w14:paraId="527FDF61" w14:textId="77777777" w:rsidR="00B32EF2" w:rsidRDefault="00000000">
                        <w:r>
                          <w:rPr>
                            <w:rFonts w:ascii="Arial" w:eastAsia="Arial" w:hAnsi="Arial" w:cs="Arial"/>
                            <w:b/>
                            <w:sz w:val="18"/>
                          </w:rPr>
                          <w:t xml:space="preserve">per cassazione </w:t>
                        </w:r>
                      </w:p>
                    </w:txbxContent>
                  </v:textbox>
                </v:rect>
                <v:rect id="Rectangle 199787" o:spid="_x0000_s1569" style="position:absolute;left:26105;top:5621;width:531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ATExAAAAN8AAAAPAAAAZHJzL2Rvd25yZXYueG1sRE/Pa8Iw&#10;FL4L/g/hCd401cOsnVFEkfWwy5yDHR/Ns+3WvIQm2rq/fhEEjx/f79WmN424Uutrywpm0wQEcWF1&#10;zaWC0+dhkoLwAVljY5kU3MjDZj0crDDTtuMPuh5DKWII+wwVVCG4TEpfVGTQT60jjtzZtgZDhG0p&#10;dYtdDDeNnCfJizRYc2yo0NGuouL3eDEKvvfs8kMni/Pfzr3/5Gnzdjl9KTUe9dtXEIH68BQ/3LmO&#10;85fLRbqA+58IQK7/AQAA//8DAFBLAQItABQABgAIAAAAIQDb4fbL7gAAAIUBAAATAAAAAAAAAAAA&#10;AAAAAAAAAABbQ29udGVudF9UeXBlc10ueG1sUEsBAi0AFAAGAAgAAAAhAFr0LFu/AAAAFQEAAAsA&#10;AAAAAAAAAAAAAAAAHwEAAF9yZWxzLy5yZWxzUEsBAi0AFAAGAAgAAAAhAEi8BMTEAAAA3wAAAA8A&#10;AAAAAAAAAAAAAAAABwIAAGRycy9kb3ducmV2LnhtbFBLBQYAAAAAAwADALcAAAD4AgAAAAA=&#10;" filled="f" stroked="f">
                  <v:textbox inset="0,0,0,0">
                    <w:txbxContent>
                      <w:p w14:paraId="179212D7" w14:textId="77777777" w:rsidR="00B32EF2" w:rsidRDefault="00000000">
                        <w:r>
                          <w:rPr>
                            <w:rFonts w:ascii="Arial" w:eastAsia="Arial" w:hAnsi="Arial" w:cs="Arial"/>
                            <w:sz w:val="18"/>
                          </w:rPr>
                          <w:t>1</w:t>
                        </w:r>
                      </w:p>
                    </w:txbxContent>
                  </v:textbox>
                </v:rect>
                <v:rect id="Rectangle 199788" o:spid="_x0000_s1570" style="position:absolute;left:-13771;top:5621;width:531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5C2xAAAAN8AAAAPAAAAZHJzL2Rvd25yZXYueG1sRE9NT8JA&#10;EL2b8B82Q+JNtnjQUlkIgRB78CJg4nHSHdpKd3bTXWj11zsHE48v73u5Hl2nbtTH1rOB+SwDRVx5&#10;23Jt4HTcP+SgYkK22HkmA98UYb2a3C2xsH7gd7odUq0khGOBBpqUQqF1rBpyGGc+EAt39r3DJLCv&#10;te1xkHDX6ccse9IOW5aGBgNtG6ouh6sz8LnjUO4HXZ1/tuHtq8y71+vpw5j76bh5AZVoTP/iP3dp&#10;Zf5i8ZzLYPkjAPTqFwAA//8DAFBLAQItABQABgAIAAAAIQDb4fbL7gAAAIUBAAATAAAAAAAAAAAA&#10;AAAAAAAAAABbQ29udGVudF9UeXBlc10ueG1sUEsBAi0AFAAGAAgAAAAhAFr0LFu/AAAAFQEAAAsA&#10;AAAAAAAAAAAAAAAAHwEAAF9yZWxzLy5yZWxzUEsBAi0AFAAGAAgAAAAhADkjkLbEAAAA3wAAAA8A&#10;AAAAAAAAAAAAAAAABwIAAGRycy9kb3ducmV2LnhtbFBLBQYAAAAAAwADALcAAAD4AgAAAAA=&#10;" filled="f" stroked="f">
                  <v:textbox inset="0,0,0,0">
                    <w:txbxContent>
                      <w:p w14:paraId="6E5EAF22" w14:textId="77777777" w:rsidR="00B32EF2" w:rsidRDefault="00000000">
                        <w:r>
                          <w:rPr>
                            <w:rFonts w:ascii="Arial" w:eastAsia="Arial" w:hAnsi="Arial" w:cs="Arial"/>
                            <w:sz w:val="18"/>
                          </w:rPr>
                          <w:t xml:space="preserve">. La parte che ha proposto ricorso per cassazione può chiedere alla corte di </w:t>
                        </w:r>
                      </w:p>
                    </w:txbxContent>
                  </v:textbox>
                </v:rect>
                <v:rect id="Rectangle 14829" o:spid="_x0000_s1571" style="position:absolute;left:-13169;top:438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YxQAAAN4AAAAPAAAAZHJzL2Rvd25yZXYueG1sRE9La8JA&#10;EL4X/A/LCN7qRiklRlcRRZpDL/UBHofsmESzs0t2NbG/vlso9DYf33MWq9404kGtry0rmIwTEMSF&#10;1TWXCo6H3WsKwgdkjY1lUvAkD6vl4GWBmbYdf9FjH0oRQ9hnqKAKwWVS+qIig35sHXHkLrY1GCJs&#10;S6lb7GK4aeQ0Sd6lwZpjQ4WONhUVt/3dKDhv2eW7ThaX7437vOZp83E/npQaDfv1HESgPvyL/9y5&#10;jvPf0ukMft+JN8jlDwAAAP//AwBQSwECLQAUAAYACAAAACEA2+H2y+4AAACFAQAAEwAAAAAAAAAA&#10;AAAAAAAAAAAAW0NvbnRlbnRfVHlwZXNdLnhtbFBLAQItABQABgAIAAAAIQBa9CxbvwAAABUBAAAL&#10;AAAAAAAAAAAAAAAAAB8BAABfcmVscy8ucmVsc1BLAQItABQABgAIAAAAIQAq+yqYxQAAAN4AAAAP&#10;AAAAAAAAAAAAAAAAAAcCAABkcnMvZG93bnJldi54bWxQSwUGAAAAAAMAAwC3AAAA+QIAAAAA&#10;" filled="f" stroked="f">
                  <v:textbox inset="0,0,0,0">
                    <w:txbxContent>
                      <w:p w14:paraId="3CF5449E" w14:textId="77777777" w:rsidR="00B32EF2" w:rsidRDefault="00000000">
                        <w:r>
                          <w:rPr>
                            <w:rFonts w:ascii="Arial" w:eastAsia="Arial" w:hAnsi="Arial" w:cs="Arial"/>
                            <w:sz w:val="18"/>
                          </w:rPr>
                          <w:t xml:space="preserve">giustizia tributaria che ha pronunciato la sentenza impugnata di sospenderne </w:t>
                        </w:r>
                      </w:p>
                    </w:txbxContent>
                  </v:textbox>
                </v:rect>
                <v:shape id="Shape 207736" o:spid="_x0000_s1572" style="position:absolute;left:320;top:14047;width:39600;height:39842;visibility:visible;mso-wrap-style:square;v-text-anchor:top" coordsize="3960000,398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6+xwAAAN8AAAAPAAAAZHJzL2Rvd25yZXYueG1sRI9PawIx&#10;FMTvgt8hPMFbzaqgZWuU+g9aL9KttNfH5nV3MXlZkqjbb98IBY/DzPyGWaw6a8SVfGgcKxiPMhDE&#10;pdMNVwpOn/unZxAhIms0jknBLwVYLfu9Beba3fiDrkWsRIJwyFFBHWObSxnKmiyGkWuJk/fjvMWY&#10;pK+k9nhLcGvkJMtm0mLDaaHGljY1lefiYhV8mfL73R7OR9yw3+52Zn0q2rVSw0H3+gIiUhcf4f/2&#10;m1Ywyebz6Qzuf9IXkMs/AAAA//8DAFBLAQItABQABgAIAAAAIQDb4fbL7gAAAIUBAAATAAAAAAAA&#10;AAAAAAAAAAAAAABbQ29udGVudF9UeXBlc10ueG1sUEsBAi0AFAAGAAgAAAAhAFr0LFu/AAAAFQEA&#10;AAsAAAAAAAAAAAAAAAAAHwEAAF9yZWxzLy5yZWxzUEsBAi0AFAAGAAgAAAAhAAch/r7HAAAA3wAA&#10;AA8AAAAAAAAAAAAAAAAABwIAAGRycy9kb3ducmV2LnhtbFBLBQYAAAAAAwADALcAAAD7AgAAAAA=&#10;" path="m,l3960000,r,3984206l,3984206,,e" fillcolor="#c3c3c3" stroked="f" strokeweight="0">
                  <v:stroke miterlimit="83231f" joinstyle="miter"/>
                  <v:path arrowok="t" textboxrect="0,0,3960000,3984206"/>
                </v:shape>
                <v:rect id="Rectangle 14831" o:spid="_x0000_s1573" style="position:absolute;left:23290;top:51676;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BDxAAAAN4AAAAPAAAAZHJzL2Rvd25yZXYueG1sRE9Na8JA&#10;EL0X/A/LCN7qRltKiK4iijQHL7UKHofsmESzs0t2NdFf3y0UepvH+5z5sjeNuFPra8sKJuMEBHFh&#10;dc2lgsP39jUF4QOyxsYyKXiQh+Vi8DLHTNuOv+i+D6WIIewzVFCF4DIpfVGRQT+2jjhyZ9saDBG2&#10;pdQtdjHcNHKaJB/SYM2xoUJH64qK6/5mFJw27PJtJ4vzc+12lzxtPm+Ho1KjYb+agQjUh3/xnzvX&#10;cf57+jaB33fiDXLxAwAA//8DAFBLAQItABQABgAIAAAAIQDb4fbL7gAAAIUBAAATAAAAAAAAAAAA&#10;AAAAAAAAAABbQ29udGVudF9UeXBlc10ueG1sUEsBAi0AFAAGAAgAAAAhAFr0LFu/AAAAFQEAAAsA&#10;AAAAAAAAAAAAAAAAHwEAAF9yZWxzLy5yZWxzUEsBAi0AFAAGAAgAAAAhAFFUsEPEAAAA3gAAAA8A&#10;AAAAAAAAAAAAAAAABwIAAGRycy9kb3ducmV2LnhtbFBLBQYAAAAAAwADALcAAAD4AgAAAAA=&#10;" filled="f" stroked="f">
                  <v:textbox inset="0,0,0,0">
                    <w:txbxContent>
                      <w:p w14:paraId="0E370FD4" w14:textId="77777777" w:rsidR="00B32EF2" w:rsidRDefault="00000000">
                        <w:r>
                          <w:rPr>
                            <w:rFonts w:ascii="Arial" w:eastAsia="Arial" w:hAnsi="Arial" w:cs="Arial"/>
                            <w:b/>
                            <w:i/>
                            <w:sz w:val="18"/>
                          </w:rPr>
                          <w:t>NORME RICHIAMATE</w:t>
                        </w:r>
                      </w:p>
                    </w:txbxContent>
                  </v:textbox>
                </v:rect>
                <v:rect id="Rectangle 14832" o:spid="_x0000_s1574" style="position:absolute;left:740;top:50305;width:3839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40xQAAAN4AAAAPAAAAZHJzL2Rvd25yZXYueG1sRE9La8JA&#10;EL4X/A/LCN7qRltKiK4iijSHXuoDPA7ZMYlmZ5fsamJ/fbdQ8DYf33Pmy9404k6try0rmIwTEMSF&#10;1TWXCg777WsKwgdkjY1lUvAgD8vF4GWOmbYdf9N9F0oRQ9hnqKAKwWVS+qIig35sHXHkzrY1GCJs&#10;S6lb7GK4aeQ0ST6kwZpjQ4WO1hUV193NKDht2OXbThbnn7X7uuRp83k7HJUaDfvVDESgPjzF/+5c&#10;x/nv6dsU/t6JN8jFLwAAAP//AwBQSwECLQAUAAYACAAAACEA2+H2y+4AAACFAQAAEwAAAAAAAAAA&#10;AAAAAAAAAAAAW0NvbnRlbnRfVHlwZXNdLnhtbFBLAQItABQABgAIAAAAIQBa9CxbvwAAABUBAAAL&#10;AAAAAAAAAAAAAAAAAB8BAABfcmVscy8ucmVsc1BLAQItABQABgAIAAAAIQChhi40xQAAAN4AAAAP&#10;AAAAAAAAAAAAAAAAAAcCAABkcnMvZG93bnJldi54bWxQSwUGAAAAAAMAAwC3AAAA+QIAAAAA&#10;" filled="f" stroked="f">
                  <v:textbox inset="0,0,0,0">
                    <w:txbxContent>
                      <w:p w14:paraId="15146A8F" w14:textId="77777777" w:rsidR="00B32EF2" w:rsidRDefault="00000000">
                        <w:r>
                          <w:rPr>
                            <w:rFonts w:ascii="Arial" w:eastAsia="Arial" w:hAnsi="Arial" w:cs="Arial"/>
                            <w:i/>
                            <w:sz w:val="18"/>
                          </w:rPr>
                          <w:t xml:space="preserve">art. 360 c.p.c. “Sentenze impugnabili e motivi di ricorso” </w:t>
                        </w:r>
                      </w:p>
                    </w:txbxContent>
                  </v:textbox>
                </v:rect>
                <v:rect id="Rectangle 199806" o:spid="_x0000_s1575" style="position:absolute;left:-12514;top:48933;width:512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zZTxAAAAN8AAAAPAAAAZHJzL2Rvd25yZXYueG1sRE/Pa8Iw&#10;FL4P/B/CG3ib6XaQ2hlFFFkPXqYVPD6aZ9vZvIQm2upfvwwGHj++3/PlYFpxo843lhW8TxIQxKXV&#10;DVcKisP2LQXhA7LG1jIpuJOH5WL0MsdM256/6bYPlYgh7DNUUIfgMil9WZNBP7GOOHJn2xkMEXaV&#10;1B32Mdy08iNJptJgw7GhRkfrmsrL/moUnDbs8m0vy/Nj7XY/edp+XYujUuPXYfUJItAQnuJ/d67j&#10;/NksTabw9ycCkItfAAAA//8DAFBLAQItABQABgAIAAAAIQDb4fbL7gAAAIUBAAATAAAAAAAAAAAA&#10;AAAAAAAAAABbQ29udGVudF9UeXBlc10ueG1sUEsBAi0AFAAGAAgAAAAhAFr0LFu/AAAAFQEAAAsA&#10;AAAAAAAAAAAAAAAAHwEAAF9yZWxzLy5yZWxzUEsBAi0AFAAGAAgAAAAhALyXNlPEAAAA3wAAAA8A&#10;AAAAAAAAAAAAAAAABwIAAGRycy9kb3ducmV2LnhtbFBLBQYAAAAAAwADALcAAAD4AgAAAAA=&#10;" filled="f" stroked="f">
                  <v:textbox inset="0,0,0,0">
                    <w:txbxContent>
                      <w:p w14:paraId="3F36414D" w14:textId="77777777" w:rsidR="00B32EF2" w:rsidRDefault="00000000">
                        <w:r>
                          <w:rPr>
                            <w:rFonts w:ascii="Arial" w:eastAsia="Arial" w:hAnsi="Arial" w:cs="Arial"/>
                            <w:i/>
                            <w:sz w:val="18"/>
                          </w:rPr>
                          <w:t xml:space="preserve">. Le sentenze pronunziate in grado d’appello o in unico grado possono </w:t>
                        </w:r>
                      </w:p>
                    </w:txbxContent>
                  </v:textbox>
                </v:rect>
                <v:rect id="Rectangle 199805" o:spid="_x0000_s1576" style="position:absolute;left:25797;top:48933;width:512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agkxAAAAN8AAAAPAAAAZHJzL2Rvd25yZXYueG1sRE/LasJA&#10;FN0X+g/DFdzViYISU0cpFjELNz4KXV4y1yRt5s6QGU30651CweXhvBer3jTiSq2vLSsYjxIQxIXV&#10;NZcKTsfNWwrCB2SNjWVScCMPq+XrywIzbTve0/UQShFD2GeooArBZVL6oiKDfmQdceTOtjUYImxL&#10;qVvsYrhp5CRJZtJgzbGhQkfriorfw8Uo+P5kl286WZzva7f7ydNmezl9KTUc9B/vIAL14Sn+d+c6&#10;zp/P02QKf38iALl8AAAA//8DAFBLAQItABQABgAIAAAAIQDb4fbL7gAAAIUBAAATAAAAAAAAAAAA&#10;AAAAAAAAAABbQ29udGVudF9UeXBlc10ueG1sUEsBAi0AFAAGAAgAAAAhAFr0LFu/AAAAFQEAAAsA&#10;AAAAAAAAAAAAAAAAHwEAAF9yZWxzLy5yZWxzUEsBAi0AFAAGAAgAAAAhAExFqCTEAAAA3wAAAA8A&#10;AAAAAAAAAAAAAAAABwIAAGRycy9kb3ducmV2LnhtbFBLBQYAAAAAAwADALcAAAD4AgAAAAA=&#10;" filled="f" stroked="f">
                  <v:textbox inset="0,0,0,0">
                    <w:txbxContent>
                      <w:p w14:paraId="3FE2C226" w14:textId="77777777" w:rsidR="00B32EF2" w:rsidRDefault="00000000">
                        <w:r>
                          <w:rPr>
                            <w:rFonts w:ascii="Arial" w:eastAsia="Arial" w:hAnsi="Arial" w:cs="Arial"/>
                            <w:i/>
                            <w:sz w:val="18"/>
                          </w:rPr>
                          <w:t>1</w:t>
                        </w:r>
                      </w:p>
                    </w:txbxContent>
                  </v:textbox>
                </v:rect>
                <v:rect id="Rectangle 14834" o:spid="_x0000_s1577" style="position:absolute;left:-11915;top:47561;width:511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xPbxAAAAN4AAAAPAAAAZHJzL2Rvd25yZXYueG1sRE9Na8JA&#10;EL0X/A/LCN7qxiolRFcRRZpDL7UKHofsmESzs0t2NdFf3y0UepvH+5zFqjeNuFPra8sKJuMEBHFh&#10;dc2lgsP37jUF4QOyxsYyKXiQh9Vy8LLATNuOv+i+D6WIIewzVFCF4DIpfVGRQT+2jjhyZ9saDBG2&#10;pdQtdjHcNPItSd6lwZpjQ4WONhUV1/3NKDht2eW7Thbn58Z9XvK0+bgdjkqNhv16DiJQH/7Ff+5c&#10;x/mzdDqD33fiDXL5AwAA//8DAFBLAQItABQABgAIAAAAIQDb4fbL7gAAAIUBAAATAAAAAAAAAAAA&#10;AAAAAAAAAABbQ29udGVudF9UeXBlc10ueG1sUEsBAi0AFAAGAAgAAAAhAFr0LFu/AAAAFQEAAAsA&#10;AAAAAAAAAAAAAAAAHwEAAF9yZWxzLy5yZWxzUEsBAi0AFAAGAAgAAAAhAEEjE9vEAAAA3gAAAA8A&#10;AAAAAAAAAAAAAAAABwIAAGRycy9kb3ducmV2LnhtbFBLBQYAAAAAAwADALcAAAD4AgAAAAA=&#10;" filled="f" stroked="f">
                  <v:textbox inset="0,0,0,0">
                    <w:txbxContent>
                      <w:p w14:paraId="022FD7F6" w14:textId="77777777" w:rsidR="00B32EF2" w:rsidRDefault="00000000">
                        <w:r>
                          <w:rPr>
                            <w:rFonts w:ascii="Arial" w:eastAsia="Arial" w:hAnsi="Arial" w:cs="Arial"/>
                            <w:i/>
                            <w:sz w:val="18"/>
                          </w:rPr>
                          <w:t xml:space="preserve">essere impugnate con ricorso per cassazione: 1) per motivi attinenti alla </w:t>
                        </w:r>
                      </w:p>
                    </w:txbxContent>
                  </v:textbox>
                </v:rect>
                <v:rect id="Rectangle 14835" o:spid="_x0000_s1578" style="position:absolute;left:-11869;top:46190;width:510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7ZAxQAAAN4AAAAPAAAAZHJzL2Rvd25yZXYueG1sRE9Na8JA&#10;EL0X+h+WKXirm9YqIbpKsYg5eKlV8DhkxySanV2yq4n99W5B6G0e73Nmi9404kqtry0reBsmIIgL&#10;q2suFex+Vq8pCB+QNTaWScGNPCzmz08zzLTt+Juu21CKGMI+QwVVCC6T0hcVGfRD64gjd7StwRBh&#10;W0rdYhfDTSPfk2QiDdYcGyp0tKyoOG8vRsHhi12+6mRx/F26zSlPm/Vlt1dq8NJ/TkEE6sO/+OHO&#10;dZz/kY7G8PdOvEHO7wAAAP//AwBQSwECLQAUAAYACAAAACEA2+H2y+4AAACFAQAAEwAAAAAAAAAA&#10;AAAAAAAAAAAAW0NvbnRlbnRfVHlwZXNdLnhtbFBLAQItABQABgAIAAAAIQBa9CxbvwAAABUBAAAL&#10;AAAAAAAAAAAAAAAAAB8BAABfcmVscy8ucmVsc1BLAQItABQABgAIAAAAIQAub7ZAxQAAAN4AAAAP&#10;AAAAAAAAAAAAAAAAAAcCAABkcnMvZG93bnJldi54bWxQSwUGAAAAAAMAAwC3AAAA+QIAAAAA&#10;" filled="f" stroked="f">
                  <v:textbox inset="0,0,0,0">
                    <w:txbxContent>
                      <w:p w14:paraId="4A9146DE" w14:textId="77777777" w:rsidR="00B32EF2" w:rsidRDefault="00000000">
                        <w:r>
                          <w:rPr>
                            <w:rFonts w:ascii="Arial" w:eastAsia="Arial" w:hAnsi="Arial" w:cs="Arial"/>
                            <w:i/>
                            <w:sz w:val="18"/>
                          </w:rPr>
                          <w:t xml:space="preserve">giurisdizione; 2) per violazione delle norme sulla competenza, quando non </w:t>
                        </w:r>
                      </w:p>
                    </w:txbxContent>
                  </v:textbox>
                </v:rect>
                <v:rect id="Rectangle 14836" o:spid="_x0000_s1579" style="position:absolute;left:-10908;top:44818;width:50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g3xAAAAN4AAAAPAAAAZHJzL2Rvd25yZXYueG1sRE9Na8JA&#10;EL0X/A/LCN7qxlokRFcRRZpDL7UKHofsmESzs0t2NdFf3y0UepvH+5zFqjeNuFPra8sKJuMEBHFh&#10;dc2lgsP37jUF4QOyxsYyKXiQh9Vy8LLATNuOv+i+D6WIIewzVFCF4DIpfVGRQT+2jjhyZ9saDBG2&#10;pdQtdjHcNPItSWbSYM2xoUJHm4qK6/5mFJy27PJdJ4vzc+M+L3nafNwOR6VGw349BxGoD//iP3eu&#10;4/z3dDqD33fiDXL5AwAA//8DAFBLAQItABQABgAIAAAAIQDb4fbL7gAAAIUBAAATAAAAAAAAAAAA&#10;AAAAAAAAAABbQ29udGVudF9UeXBlc10ueG1sUEsBAi0AFAAGAAgAAAAhAFr0LFu/AAAAFQEAAAsA&#10;AAAAAAAAAAAAAAAAHwEAAF9yZWxzLy5yZWxzUEsBAi0AFAAGAAgAAAAhAN69KDfEAAAA3gAAAA8A&#10;AAAAAAAAAAAAAAAABwIAAGRycy9kb3ducmV2LnhtbFBLBQYAAAAAAwADALcAAAD4AgAAAAA=&#10;" filled="f" stroked="f">
                  <v:textbox inset="0,0,0,0">
                    <w:txbxContent>
                      <w:p w14:paraId="586BA29F" w14:textId="77777777" w:rsidR="00B32EF2" w:rsidRDefault="00000000">
                        <w:r>
                          <w:rPr>
                            <w:rFonts w:ascii="Arial" w:eastAsia="Arial" w:hAnsi="Arial" w:cs="Arial"/>
                            <w:i/>
                            <w:sz w:val="18"/>
                          </w:rPr>
                          <w:t>è prescritto il regolamento di competenza; 3) per violazione o falsa applica</w:t>
                        </w:r>
                      </w:p>
                    </w:txbxContent>
                  </v:textbox>
                </v:rect>
                <v:rect id="Rectangle 14837" o:spid="_x0000_s1580" style="position:absolute;left:978;top:4481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Y2sxQAAAN4AAAAPAAAAZHJzL2Rvd25yZXYueG1sRE9Na8JA&#10;EL0X+h+WKXirm9aiIbpKsYg5eKlV8DhkxySanV2yq4n99W5B6G0e73Nmi9404kqtry0reBsmIIgL&#10;q2suFex+Vq8pCB+QNTaWScGNPCzmz08zzLTt+Juu21CKGMI+QwVVCC6T0hcVGfRD64gjd7StwRBh&#10;W0rdYhfDTSPfk2QsDdYcGyp0tKyoOG8vRsHhi12+6mRx/F26zSlPm/Vlt1dq8NJ/TkEE6sO/+OHO&#10;dZz/kY4m8PdOvEHO7wAAAP//AwBQSwECLQAUAAYACAAAACEA2+H2y+4AAACFAQAAEwAAAAAAAAAA&#10;AAAAAAAAAAAAW0NvbnRlbnRfVHlwZXNdLnhtbFBLAQItABQABgAIAAAAIQBa9CxbvwAAABUBAAAL&#10;AAAAAAAAAAAAAAAAAB8BAABfcmVscy8ucmVsc1BLAQItABQABgAIAAAAIQCx8Y2sxQAAAN4AAAAP&#10;AAAAAAAAAAAAAAAAAAcCAABkcnMvZG93bnJldi54bWxQSwUGAAAAAAMAAwC3AAAA+QIAAAAA&#10;" filled="f" stroked="f">
                  <v:textbox inset="0,0,0,0">
                    <w:txbxContent>
                      <w:p w14:paraId="2CE75219" w14:textId="77777777" w:rsidR="00B32EF2" w:rsidRDefault="00000000">
                        <w:r>
                          <w:rPr>
                            <w:rFonts w:ascii="Arial" w:eastAsia="Arial" w:hAnsi="Arial" w:cs="Arial"/>
                            <w:i/>
                            <w:sz w:val="18"/>
                          </w:rPr>
                          <w:t>-</w:t>
                        </w:r>
                      </w:p>
                    </w:txbxContent>
                  </v:textbox>
                </v:rect>
                <v:rect id="Rectangle 14838" o:spid="_x0000_s1581" style="position:absolute;left:-11861;top:43447;width:5095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hneyAAAAN4AAAAPAAAAZHJzL2Rvd25yZXYueG1sRI9Pa8Mw&#10;DMXvg30Ho0Fvq7N1jJDVLaOjNIdd+g92FLGaZItlE7tNuk8/HQq7Sbyn936aL0fXqQv1sfVs4Gma&#10;gSKuvG25NnDYrx9zUDEhW+w8k4ErRVgu7u/mWFg/8JYuu1QrCeFYoIEmpVBoHauGHMapD8SinXzv&#10;MMna19r2OEi46/Rzlr1qhy1LQ4OBVg1VP7uzM/D1waFcD7o6/a7C53eZd5vz4WjM5GF8fwOVaEz/&#10;5tt1aQX/JZ8Jr7wjM+jFHwAAAP//AwBQSwECLQAUAAYACAAAACEA2+H2y+4AAACFAQAAEwAAAAAA&#10;AAAAAAAAAAAAAAAAW0NvbnRlbnRfVHlwZXNdLnhtbFBLAQItABQABgAIAAAAIQBa9CxbvwAAABUB&#10;AAALAAAAAAAAAAAAAAAAAB8BAABfcmVscy8ucmVsc1BLAQItABQABgAIAAAAIQDAbhneyAAAAN4A&#10;AAAPAAAAAAAAAAAAAAAAAAcCAABkcnMvZG93bnJldi54bWxQSwUGAAAAAAMAAwC3AAAA/AIAAAAA&#10;" filled="f" stroked="f">
                  <v:textbox inset="0,0,0,0">
                    <w:txbxContent>
                      <w:p w14:paraId="1BDA2177" w14:textId="77777777" w:rsidR="00B32EF2" w:rsidRDefault="00000000">
                        <w:r>
                          <w:rPr>
                            <w:rFonts w:ascii="Arial" w:eastAsia="Arial" w:hAnsi="Arial" w:cs="Arial"/>
                            <w:i/>
                            <w:sz w:val="18"/>
                          </w:rPr>
                          <w:t xml:space="preserve">zione di norme di diritto e dei contratti e accordi collettivi nazionali di lavoro; </w:t>
                        </w:r>
                      </w:p>
                    </w:txbxContent>
                  </v:textbox>
                </v:rect>
                <v:rect id="Rectangle 199804" o:spid="_x0000_s1582" style="position:absolute;left:-12873;top:42075;width:509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Q2/xAAAAN8AAAAPAAAAZHJzL2Rvd25yZXYueG1sRE/LasJA&#10;FN0X+g/DFdzViSISU0cpFjELNz4KXV4y1yRt5s6QGU30651CweXhvBer3jTiSq2vLSsYjxIQxIXV&#10;NZcKTsfNWwrCB2SNjWVScCMPq+XrywIzbTve0/UQShFD2GeooArBZVL6oiKDfmQdceTOtjUYImxL&#10;qVvsYrhp5CRJZtJgzbGhQkfriorfw8Uo+P5kl286WZzva7f7ydNmezl9KTUc9B/vIAL14Sn+d+c6&#10;zp/P02QKf38iALl8AAAA//8DAFBLAQItABQABgAIAAAAIQDb4fbL7gAAAIUBAAATAAAAAAAAAAAA&#10;AAAAAAAAAABbQ29udGVudF9UeXBlc10ueG1sUEsBAi0AFAAGAAgAAAAhAFr0LFu/AAAAFQEAAAsA&#10;AAAAAAAAAAAAAAAAHwEAAF9yZWxzLy5yZWxzUEsBAi0AFAAGAAgAAAAhACMJDb/EAAAA3wAAAA8A&#10;AAAAAAAAAAAAAAAABwIAAGRycy9kb3ducmV2LnhtbFBLBQYAAAAAAwADALcAAAD4AgAAAAA=&#10;" filled="f" stroked="f">
                  <v:textbox inset="0,0,0,0">
                    <w:txbxContent>
                      <w:p w14:paraId="04E24480" w14:textId="77777777" w:rsidR="00B32EF2" w:rsidRDefault="00000000">
                        <w:r>
                          <w:rPr>
                            <w:rFonts w:ascii="Arial" w:eastAsia="Arial" w:hAnsi="Arial" w:cs="Arial"/>
                            <w:i/>
                            <w:sz w:val="18"/>
                          </w:rPr>
                          <w:t xml:space="preserve"> per nullità della sentenza o del procedimento; 5) per omesso esame circa </w:t>
                        </w:r>
                      </w:p>
                    </w:txbxContent>
                  </v:textbox>
                </v:rect>
                <v:rect id="Rectangle 199803" o:spid="_x0000_s1583" style="position:absolute;left:25473;top:42075;width:509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JXLxAAAAN8AAAAPAAAAZHJzL2Rvd25yZXYueG1sRE/LasJA&#10;FN0X+g/DFdzViQoSU0cpFjELNz4KXV4y1yRt5s6QGU30651CweXhvBer3jTiSq2vLSsYjxIQxIXV&#10;NZcKTsfNWwrCB2SNjWVScCMPq+XrywIzbTve0/UQShFD2GeooArBZVL6oiKDfmQdceTOtjUYImxL&#10;qVvsYrhp5CRJZtJgzbGhQkfriorfw8Uo+P5kl286WZzva7f7ydNmezl9KTUc9B/vIAL14Sn+d+c6&#10;zp/P02QKf38iALl8AAAA//8DAFBLAQItABQABgAIAAAAIQDb4fbL7gAAAIUBAAATAAAAAAAAAAAA&#10;AAAAAAAAAABbQ29udGVudF9UeXBlc10ueG1sUEsBAi0AFAAGAAgAAAAhAFr0LFu/AAAAFQEAAAsA&#10;AAAAAAAAAAAAAAAAHwEAAF9yZWxzLy5yZWxzUEsBAi0AFAAGAAgAAAAhAKzglcvEAAAA3wAAAA8A&#10;AAAAAAAAAAAAAAAABwIAAGRycy9kb3ducmV2LnhtbFBLBQYAAAAAAwADALcAAAD4AgAAAAA=&#10;" filled="f" stroked="f">
                  <v:textbox inset="0,0,0,0">
                    <w:txbxContent>
                      <w:p w14:paraId="4D593CE4" w14:textId="77777777" w:rsidR="00B32EF2" w:rsidRDefault="00000000">
                        <w:r>
                          <w:rPr>
                            <w:rFonts w:ascii="Arial" w:eastAsia="Arial" w:hAnsi="Arial" w:cs="Arial"/>
                            <w:i/>
                            <w:sz w:val="18"/>
                          </w:rPr>
                          <w:t>4)</w:t>
                        </w:r>
                      </w:p>
                    </w:txbxContent>
                  </v:textbox>
                </v:rect>
                <v:rect id="Rectangle 14840" o:spid="_x0000_s1584" style="position:absolute;left:-11447;top:40703;width:505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malyAAAAN4AAAAPAAAAZHJzL2Rvd25yZXYueG1sRI9Pa8Mw&#10;DMXvg30Ho8Fuq7NRSsjqltFRlkMv/TPYUcRqki2WTew2WT99dSj0JqGn995vvhxdp87Ux9azgddJ&#10;Boq48rbl2sBhv37JQcWEbLHzTAb+KcJy8fgwx8L6gbd03qVaiQnHAg00KYVC61g15DBOfCCW29H3&#10;DpOsfa1tj4OYu06/ZdlMO2xZEhoMtGqo+tudnIGfTw7letDV8bIKm98y775Oh29jnp/Gj3dQicZ0&#10;F9++Syv1p/lUAARHZtCLKwAAAP//AwBQSwECLQAUAAYACAAAACEA2+H2y+4AAACFAQAAEwAAAAAA&#10;AAAAAAAAAAAAAAAAW0NvbnRlbnRfVHlwZXNdLnhtbFBLAQItABQABgAIAAAAIQBa9CxbvwAAABUB&#10;AAALAAAAAAAAAAAAAAAAAB8BAABfcmVscy8ucmVsc1BLAQItABQABgAIAAAAIQBmHmalyAAAAN4A&#10;AAAPAAAAAAAAAAAAAAAAAAcCAABkcnMvZG93bnJldi54bWxQSwUGAAAAAAMAAwC3AAAA/AIAAAAA&#10;" filled="f" stroked="f">
                  <v:textbox inset="0,0,0,0">
                    <w:txbxContent>
                      <w:p w14:paraId="56C47B11" w14:textId="77777777" w:rsidR="00B32EF2" w:rsidRDefault="00000000">
                        <w:r>
                          <w:rPr>
                            <w:rFonts w:ascii="Arial" w:eastAsia="Arial" w:hAnsi="Arial" w:cs="Arial"/>
                            <w:i/>
                            <w:sz w:val="18"/>
                          </w:rPr>
                          <w:t>un fatto decisivo per il giudizio che è stato oggetto di discussione tra le parti.</w:t>
                        </w:r>
                      </w:p>
                    </w:txbxContent>
                  </v:textbox>
                </v:rect>
                <v:rect id="Rectangle 199801" o:spid="_x0000_s1585" style="position:absolute;left:25830;top:39332;width:510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q4nxAAAAN8AAAAPAAAAZHJzL2Rvd25yZXYueG1sRE/LisIw&#10;FN0L/kO4wuw01cVQO0YRRaaL2fgYmOWlubYdm5vQRNuZrzeC4PJw3otVbxpxo9bXlhVMJwkI4sLq&#10;mksFp+NunILwAVljY5kU/JGH1XI4WGCmbcd7uh1CKWII+wwVVCG4TEpfVGTQT6wjjtzZtgZDhG0p&#10;dYtdDDeNnCXJuzRYc2yo0NGmouJyuBoFP1t2+a6Txfl/475+87T5vJ6+lXob9esPEIH68BI/3bmO&#10;8+fzNJnC408EIJd3AAAA//8DAFBLAQItABQABgAIAAAAIQDb4fbL7gAAAIUBAAATAAAAAAAAAAAA&#10;AAAAAAAAAABbQ29udGVudF9UeXBlc10ueG1sUEsBAi0AFAAGAAgAAAAhAFr0LFu/AAAAFQEAAAsA&#10;AAAAAAAAAAAAAAAAHwEAAF9yZWxzLy5yZWxzUEsBAi0AFAAGAAgAAAAhADN+rifEAAAA3wAAAA8A&#10;AAAAAAAAAAAAAAAABwIAAGRycy9kb3ducmV2LnhtbFBLBQYAAAAAAwADALcAAAD4AgAAAAA=&#10;" filled="f" stroked="f">
                  <v:textbox inset="0,0,0,0">
                    <w:txbxContent>
                      <w:p w14:paraId="2F32F13A" w14:textId="77777777" w:rsidR="00B32EF2" w:rsidRDefault="00000000">
                        <w:r>
                          <w:rPr>
                            <w:rFonts w:ascii="Arial" w:eastAsia="Arial" w:hAnsi="Arial" w:cs="Arial"/>
                            <w:i/>
                            <w:sz w:val="18"/>
                          </w:rPr>
                          <w:t>2</w:t>
                        </w:r>
                      </w:p>
                    </w:txbxContent>
                  </v:textbox>
                </v:rect>
                <v:rect id="Rectangle 199802" o:spid="_x0000_s1586" style="position:absolute;left:-12534;top:39332;width:510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BQxAAAAN8AAAAPAAAAZHJzL2Rvd25yZXYueG1sRE/Pa8Iw&#10;FL4P/B/CG3ib6TyM2hlFFFkPXqYVPD6aZ9vZvIQm2upfvwwGHj++3/PlYFpxo843lhW8TxIQxKXV&#10;DVcKisP2LQXhA7LG1jIpuJOH5WL0MsdM256/6bYPlYgh7DNUUIfgMil9WZNBP7GOOHJn2xkMEXaV&#10;1B32Mdy0cpokH9Jgw7GhRkfrmsrL/moUnDbs8m0vy/Nj7XY/edp+XYujUuPXYfUJItAQnuJ/d67j&#10;/NksTabw9ycCkItfAAAA//8DAFBLAQItABQABgAIAAAAIQDb4fbL7gAAAIUBAAATAAAAAAAAAAAA&#10;AAAAAAAAAABbQ29udGVudF9UeXBlc10ueG1sUEsBAi0AFAAGAAgAAAAhAFr0LFu/AAAAFQEAAAsA&#10;AAAAAAAAAAAAAAAAHwEAAF9yZWxzLy5yZWxzUEsBAi0AFAAGAAgAAAAhAMOsMFDEAAAA3wAAAA8A&#10;AAAAAAAAAAAAAAAABwIAAGRycy9kb3ducmV2LnhtbFBLBQYAAAAAAwADALcAAAD4AgAAAAA=&#10;" filled="f" stroked="f">
                  <v:textbox inset="0,0,0,0">
                    <w:txbxContent>
                      <w:p w14:paraId="1C5FEEDB" w14:textId="77777777" w:rsidR="00B32EF2" w:rsidRDefault="00000000">
                        <w:r>
                          <w:rPr>
                            <w:rFonts w:ascii="Arial" w:eastAsia="Arial" w:hAnsi="Arial" w:cs="Arial"/>
                            <w:i/>
                            <w:sz w:val="18"/>
                          </w:rPr>
                          <w:t xml:space="preserve">. Può inoltre essere impugnata con ricorso per cassazione una sentenza </w:t>
                        </w:r>
                      </w:p>
                    </w:txbxContent>
                  </v:textbox>
                </v:rect>
                <v:rect id="Rectangle 14842" o:spid="_x0000_s1587" style="position:absolute;left:-10908;top:37960;width:50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F1JxAAAAN4AAAAPAAAAZHJzL2Rvd25yZXYueG1sRE9Na8JA&#10;EL0L/odlCt50U5ESUlcRRczBS20KPQ7ZMUnNzi7Z1UR/vVso9DaP9znL9WBacaPON5YVvM4SEMSl&#10;1Q1XCorP/TQF4QOyxtYyKbiTh/VqPFpipm3PH3Q7hUrEEPYZKqhDcJmUvqzJoJ9ZRxy5s+0Mhgi7&#10;SuoO+xhuWjlPkjdpsOHYUKOjbU3l5XQ1Cr537PJ9L8vzY+uOP3naHq7Fl1KTl2HzDiLQEP7Ff+5c&#10;x/mLdDGH33fiDXL1BAAA//8DAFBLAQItABQABgAIAAAAIQDb4fbL7gAAAIUBAAATAAAAAAAAAAAA&#10;AAAAAAAAAABbQ29udGVudF9UeXBlc10ueG1sUEsBAi0AFAAGAAgAAAAhAFr0LFu/AAAAFQEAAAsA&#10;AAAAAAAAAAAAAAAAHwEAAF9yZWxzLy5yZWxzUEsBAi0AFAAGAAgAAAAhAPmAXUnEAAAA3gAAAA8A&#10;AAAAAAAAAAAAAAAABwIAAGRycy9kb3ducmV2LnhtbFBLBQYAAAAAAwADALcAAAD4AgAAAAA=&#10;" filled="f" stroked="f">
                  <v:textbox inset="0,0,0,0">
                    <w:txbxContent>
                      <w:p w14:paraId="6B76B63F" w14:textId="77777777" w:rsidR="00B32EF2" w:rsidRDefault="00000000">
                        <w:r>
                          <w:rPr>
                            <w:rFonts w:ascii="Arial" w:eastAsia="Arial" w:hAnsi="Arial" w:cs="Arial"/>
                            <w:i/>
                            <w:sz w:val="18"/>
                          </w:rPr>
                          <w:t>appellabile del tribunale, se le parti sono d’accordo per omettere l’appel</w:t>
                        </w:r>
                      </w:p>
                    </w:txbxContent>
                  </v:textbox>
                </v:rect>
                <v:rect id="Rectangle 14843" o:spid="_x0000_s1588" style="position:absolute;left:978;top:3796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PjSxAAAAN4AAAAPAAAAZHJzL2Rvd25yZXYueG1sRE9Na8JA&#10;EL0X/A/LCN7qxiolRFcRRZpDL7UKHofsmESzs0t2NdFf3y0UepvH+5zFqjeNuFPra8sKJuMEBHFh&#10;dc2lgsP37jUF4QOyxsYyKXiQh9Vy8LLATNuOv+i+D6WIIewzVFCF4DIpfVGRQT+2jjhyZ9saDBG2&#10;pdQtdjHcNPItSd6lwZpjQ4WONhUV1/3NKDht2eW7Thbn58Z9XvK0+bgdjkqNhv16DiJQH/7Ff+5c&#10;x/mzdDaF33fiDXL5AwAA//8DAFBLAQItABQABgAIAAAAIQDb4fbL7gAAAIUBAAATAAAAAAAAAAAA&#10;AAAAAAAAAABbQ29udGVudF9UeXBlc10ueG1sUEsBAi0AFAAGAAgAAAAhAFr0LFu/AAAAFQEAAAsA&#10;AAAAAAAAAAAAAAAAHwEAAF9yZWxzLy5yZWxzUEsBAi0AFAAGAAgAAAAhAJbM+NLEAAAA3gAAAA8A&#10;AAAAAAAAAAAAAAAABwIAAGRycy9kb3ducmV2LnhtbFBLBQYAAAAAAwADALcAAAD4AgAAAAA=&#10;" filled="f" stroked="f">
                  <v:textbox inset="0,0,0,0">
                    <w:txbxContent>
                      <w:p w14:paraId="11C4A2D1" w14:textId="77777777" w:rsidR="00B32EF2" w:rsidRDefault="00000000">
                        <w:r>
                          <w:rPr>
                            <w:rFonts w:ascii="Arial" w:eastAsia="Arial" w:hAnsi="Arial" w:cs="Arial"/>
                            <w:i/>
                            <w:sz w:val="18"/>
                          </w:rPr>
                          <w:t>-</w:t>
                        </w:r>
                      </w:p>
                    </w:txbxContent>
                  </v:textbox>
                </v:rect>
                <v:rect id="Rectangle 14844" o:spid="_x0000_s1589" style="position:absolute;left:-11885;top:36589;width:5107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WCmxAAAAN4AAAAPAAAAZHJzL2Rvd25yZXYueG1sRE9Na8JA&#10;EL0L/odlBG+6qQQJqasURcyhF61Cj0N2TNJmZ5fsalJ/vVso9DaP9zmrzWBacafON5YVvMwTEMSl&#10;1Q1XCs4f+1kGwgdkja1lUvBDHjbr8WiFubY9H+l+CpWIIexzVFCH4HIpfVmTQT+3jjhyV9sZDBF2&#10;ldQd9jHctHKRJEtpsOHYUKOjbU3l9+lmFHzu2BX7XpbXx9a9fxVZe7idL0pNJ8PbK4hAQ/gX/7kL&#10;HeenWZrC7zvxBrl+AgAA//8DAFBLAQItABQABgAIAAAAIQDb4fbL7gAAAIUBAAATAAAAAAAAAAAA&#10;AAAAAAAAAABbQ29udGVudF9UeXBlc10ueG1sUEsBAi0AFAAGAAgAAAAhAFr0LFu/AAAAFQEAAAsA&#10;AAAAAAAAAAAAAAAAHwEAAF9yZWxzLy5yZWxzUEsBAi0AFAAGAAgAAAAhABklYKbEAAAA3gAAAA8A&#10;AAAAAAAAAAAAAAAABwIAAGRycy9kb3ducmV2LnhtbFBLBQYAAAAAAwADALcAAAD4AgAAAAA=&#10;" filled="f" stroked="f">
                  <v:textbox inset="0,0,0,0">
                    <w:txbxContent>
                      <w:p w14:paraId="02958469" w14:textId="77777777" w:rsidR="00B32EF2" w:rsidRDefault="00000000">
                        <w:r>
                          <w:rPr>
                            <w:rFonts w:ascii="Arial" w:eastAsia="Arial" w:hAnsi="Arial" w:cs="Arial"/>
                            <w:i/>
                            <w:sz w:val="18"/>
                          </w:rPr>
                          <w:t xml:space="preserve">lo; ma in tal caso l’impugnazione può proporsi soltanto a norma del primo </w:t>
                        </w:r>
                      </w:p>
                    </w:txbxContent>
                  </v:textbox>
                </v:rect>
                <v:rect id="Rectangle 14845" o:spid="_x0000_s1590" style="position:absolute;left:30238;top:35217;width:88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U9xAAAAN4AAAAPAAAAZHJzL2Rvd25yZXYueG1sRE9Na8JA&#10;EL0X/A/LCN7qxmJLiK4iijQHL7UKHofsmESzs0t2NdFf3y0UepvH+5z5sjeNuFPra8sKJuMEBHFh&#10;dc2lgsP39jUF4QOyxsYyKXiQh+Vi8DLHTNuOv+i+D6WIIewzVFCF4DIpfVGRQT+2jjhyZ9saDBG2&#10;pdQtdjHcNPItST6kwZpjQ4WO1hUV1/3NKDht2OXbThbn59rtLnnafN4OR6VGw341AxGoD//iP3eu&#10;4/xpOn2H33fiDXLxAwAA//8DAFBLAQItABQABgAIAAAAIQDb4fbL7gAAAIUBAAATAAAAAAAAAAAA&#10;AAAAAAAAAABbQ29udGVudF9UeXBlc10ueG1sUEsBAi0AFAAGAAgAAAAhAFr0LFu/AAAAFQEAAAsA&#10;AAAAAAAAAAAAAAAAHwEAAF9yZWxzLy5yZWxzUEsBAi0AFAAGAAgAAAAhAHZpxT3EAAAA3gAAAA8A&#10;AAAAAAAAAAAAAAAABwIAAGRycy9kb3ducmV2LnhtbFBLBQYAAAAAAwADALcAAAD4AgAAAAA=&#10;" filled="f" stroked="f">
                  <v:textbox inset="0,0,0,0">
                    <w:txbxContent>
                      <w:p w14:paraId="10E5D24C" w14:textId="77777777" w:rsidR="00B32EF2" w:rsidRDefault="00000000">
                        <w:r>
                          <w:rPr>
                            <w:rFonts w:ascii="Arial" w:eastAsia="Arial" w:hAnsi="Arial" w:cs="Arial"/>
                            <w:i/>
                            <w:sz w:val="18"/>
                          </w:rPr>
                          <w:t>comma, n. 3.</w:t>
                        </w:r>
                      </w:p>
                    </w:txbxContent>
                  </v:textbox>
                </v:rect>
                <v:rect id="Rectangle 199799" o:spid="_x0000_s1591" style="position:absolute;left:25793;top:33845;width:512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qPwxAAAAN8AAAAPAAAAZHJzL2Rvd25yZXYueG1sRE/Pa8Iw&#10;FL4P/B/CE7zN1B2crUYRRdbDLnMKHh/Ns602L6GJtvrXL4PBjh/f78WqN424U+trywom4wQEcWF1&#10;zaWCw/fudQbCB2SNjWVS8CAPq+XgZYGZth1/0X0fShFD2GeooArBZVL6oiKDfmwdceTOtjUYImxL&#10;qVvsYrhp5FuSTKXBmmNDhY42FRXX/c0oOG3Z5btOFufnxn1e8lnzcTsclRoN+/UcRKA+/Iv/3LmO&#10;89P0PU3h908EIJc/AAAA//8DAFBLAQItABQABgAIAAAAIQDb4fbL7gAAAIUBAAATAAAAAAAAAAAA&#10;AAAAAAAAAABbQ29udGVudF9UeXBlc10ueG1sUEsBAi0AFAAGAAgAAAAhAFr0LFu/AAAAFQEAAAsA&#10;AAAAAAAAAAAAAAAAHwEAAF9yZWxzLy5yZWxzUEsBAi0AFAAGAAgAAAAhANO2o/DEAAAA3wAAAA8A&#10;AAAAAAAAAAAAAAAABwIAAGRycy9kb3ducmV2LnhtbFBLBQYAAAAAAwADALcAAAD4AgAAAAA=&#10;" filled="f" stroked="f">
                  <v:textbox inset="0,0,0,0">
                    <w:txbxContent>
                      <w:p w14:paraId="233AEBBD" w14:textId="77777777" w:rsidR="00B32EF2" w:rsidRDefault="00000000">
                        <w:r>
                          <w:rPr>
                            <w:rFonts w:ascii="Arial" w:eastAsia="Arial" w:hAnsi="Arial" w:cs="Arial"/>
                            <w:i/>
                            <w:sz w:val="18"/>
                          </w:rPr>
                          <w:t>3</w:t>
                        </w:r>
                      </w:p>
                    </w:txbxContent>
                  </v:textbox>
                </v:rect>
                <v:rect id="Rectangle 199800" o:spid="_x0000_s1592" style="position:absolute;left:-12585;top:33845;width:512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gu8xAAAAN8AAAAPAAAAZHJzL2Rvd25yZXYueG1sRE87a8Mw&#10;EN4L/Q/iCt0auR2K40QJISXUQ5c8Ch0P62I7sU7CUmK3v743BDJ+fO/5cnSdulIfW88GXicZKOLK&#10;25ZrA4f95iUHFROyxc4zGfilCMvF48McC+sH3tJ1l2olIRwLNNCkFAqtY9WQwzjxgVi4o+8dJoF9&#10;rW2Pg4S7Tr9l2bt22LI0NBho3VB13l2cgZ8PDuVm0NXxbx2+TmXefV4O38Y8P42rGahEY7qLb+7S&#10;yvzpNM/kgfwRAHrxDwAA//8DAFBLAQItABQABgAIAAAAIQDb4fbL7gAAAIUBAAATAAAAAAAAAAAA&#10;AAAAAAAAAABbQ29udGVudF9UeXBlc10ueG1sUEsBAi0AFAAGAAgAAAAhAFr0LFu/AAAAFQEAAAsA&#10;AAAAAAAAAAAAAAAAHwEAAF9yZWxzLy5yZWxzUEsBAi0AFAAGAAgAAAAhAFwyC7zEAAAA3wAAAA8A&#10;AAAAAAAAAAAAAAAABwIAAGRycy9kb3ducmV2LnhtbFBLBQYAAAAAAwADALcAAAD4AgAAAAA=&#10;" filled="f" stroked="f">
                  <v:textbox inset="0,0,0,0">
                    <w:txbxContent>
                      <w:p w14:paraId="0E95F645" w14:textId="77777777" w:rsidR="00B32EF2" w:rsidRDefault="00000000">
                        <w:r>
                          <w:rPr>
                            <w:rFonts w:ascii="Arial" w:eastAsia="Arial" w:hAnsi="Arial" w:cs="Arial"/>
                            <w:i/>
                            <w:sz w:val="18"/>
                          </w:rPr>
                          <w:t xml:space="preserve">. Non sono immediatamente impugnabili con ricorso per cassazione le </w:t>
                        </w:r>
                      </w:p>
                    </w:txbxContent>
                  </v:textbox>
                </v:rect>
                <v:rect id="Rectangle 14847" o:spid="_x0000_s1593" style="position:absolute;left:-10904;top:32474;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7RxAAAAN4AAAAPAAAAZHJzL2Rvd25yZXYueG1sRE9Na8JA&#10;EL0X/A/LCN7qxiJtiK4iijQHL7UKHofsmESzs0t2NdFf3y0UepvH+5z5sjeNuFPra8sKJuMEBHFh&#10;dc2lgsP39jUF4QOyxsYyKXiQh+Vi8DLHTNuOv+i+D6WIIewzVFCF4DIpfVGRQT+2jjhyZ9saDBG2&#10;pdQtdjHcNPItSd6lwZpjQ4WO1hUV1/3NKDht2OXbThbn59rtLnnafN4OR6VGw341AxGoD//iP3eu&#10;4/xpOv2A33fiDXLxAwAA//8DAFBLAQItABQABgAIAAAAIQDb4fbL7gAAAIUBAAATAAAAAAAAAAAA&#10;AAAAAAAAAABbQ29udGVudF9UeXBlc10ueG1sUEsBAi0AFAAGAAgAAAAhAFr0LFu/AAAAFQEAAAsA&#10;AAAAAAAAAAAAAAAAHwEAAF9yZWxzLy5yZWxzUEsBAi0AFAAGAAgAAAAhAOn3/tHEAAAA3gAAAA8A&#10;AAAAAAAAAAAAAAAABwIAAGRycy9kb3ducmV2LnhtbFBLBQYAAAAAAwADALcAAAD4AgAAAAA=&#10;" filled="f" stroked="f">
                  <v:textbox inset="0,0,0,0">
                    <w:txbxContent>
                      <w:p w14:paraId="10E87EBA" w14:textId="77777777" w:rsidR="00B32EF2" w:rsidRDefault="00000000">
                        <w:r>
                          <w:rPr>
                            <w:rFonts w:ascii="Arial" w:eastAsia="Arial" w:hAnsi="Arial" w:cs="Arial"/>
                            <w:i/>
                            <w:sz w:val="18"/>
                          </w:rPr>
                          <w:t>sentenze che decidono di questioni insorte senza definire, neppure parzial</w:t>
                        </w:r>
                      </w:p>
                    </w:txbxContent>
                  </v:textbox>
                </v:rect>
                <v:rect id="Rectangle 14848" o:spid="_x0000_s1594" style="position:absolute;left:978;top:3247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GqjyAAAAN4AAAAPAAAAZHJzL2Rvd25yZXYueG1sRI9Pa8Mw&#10;DMXvg30Ho8Fuq7NRSsjqltFRlkMv/TPYUcRqki2WTew2WT99dSj0JvGe3vtpvhxdp87Ux9azgddJ&#10;Boq48rbl2sBhv37JQcWEbLHzTAb+KcJy8fgwx8L6gbd03qVaSQjHAg00KYVC61g15DBOfCAW7eh7&#10;h0nWvta2x0HCXaffsmymHbYsDQ0GWjVU/e1OzsDPJ4dyPejqeFmFzW+Zd1+nw7cxz0/jxzuoRGO6&#10;m2/XpRX8aT4VXnlHZtCLKwAAAP//AwBQSwECLQAUAAYACAAAACEA2+H2y+4AAACFAQAAEwAAAAAA&#10;AAAAAAAAAAAAAAAAW0NvbnRlbnRfVHlwZXNdLnhtbFBLAQItABQABgAIAAAAIQBa9CxbvwAAABUB&#10;AAALAAAAAAAAAAAAAAAAAB8BAABfcmVscy8ucmVsc1BLAQItABQABgAIAAAAIQCYaGqjyAAAAN4A&#10;AAAPAAAAAAAAAAAAAAAAAAcCAABkcnMvZG93bnJldi54bWxQSwUGAAAAAAMAAwC3AAAA/AIAAAAA&#10;" filled="f" stroked="f">
                  <v:textbox inset="0,0,0,0">
                    <w:txbxContent>
                      <w:p w14:paraId="6AADC45C" w14:textId="77777777" w:rsidR="00B32EF2" w:rsidRDefault="00000000">
                        <w:r>
                          <w:rPr>
                            <w:rFonts w:ascii="Arial" w:eastAsia="Arial" w:hAnsi="Arial" w:cs="Arial"/>
                            <w:i/>
                            <w:sz w:val="18"/>
                          </w:rPr>
                          <w:t>-</w:t>
                        </w:r>
                      </w:p>
                    </w:txbxContent>
                  </v:textbox>
                </v:rect>
                <v:rect id="Rectangle 14849" o:spid="_x0000_s1595" style="position:absolute;left:-10898;top:31102;width:500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M84xAAAAN4AAAAPAAAAZHJzL2Rvd25yZXYueG1sRE9Na8JA&#10;EL0X/A/LCN7qxiIlja4iijQHL7UKHofsmESzs0t2NdFf3y0UepvH+5z5sjeNuFPra8sKJuMEBHFh&#10;dc2lgsP39jUF4QOyxsYyKXiQh+Vi8DLHTNuOv+i+D6WIIewzVFCF4DIpfVGRQT+2jjhyZ9saDBG2&#10;pdQtdjHcNPItSd6lwZpjQ4WO1hUV1/3NKDht2OXbThbn59rtLnnafN4OR6VGw341AxGoD//iP3eu&#10;4/xpOv2A33fiDXLxAwAA//8DAFBLAQItABQABgAIAAAAIQDb4fbL7gAAAIUBAAATAAAAAAAAAAAA&#10;AAAAAAAAAABbQ29udGVudF9UeXBlc10ueG1sUEsBAi0AFAAGAAgAAAAhAFr0LFu/AAAAFQEAAAsA&#10;AAAAAAAAAAAAAAAAHwEAAF9yZWxzLy5yZWxzUEsBAi0AFAAGAAgAAAAhAPckzzjEAAAA3gAAAA8A&#10;AAAAAAAAAAAAAAAABwIAAGRycy9kb3ducmV2LnhtbFBLBQYAAAAAAwADALcAAAD4AgAAAAA=&#10;" filled="f" stroked="f">
                  <v:textbox inset="0,0,0,0">
                    <w:txbxContent>
                      <w:p w14:paraId="324C5DAA" w14:textId="77777777" w:rsidR="00B32EF2" w:rsidRDefault="00000000">
                        <w:r>
                          <w:rPr>
                            <w:rFonts w:ascii="Arial" w:eastAsia="Arial" w:hAnsi="Arial" w:cs="Arial"/>
                            <w:i/>
                            <w:sz w:val="18"/>
                          </w:rPr>
                          <w:t>mente, il giudizio. Il ricorso per cassazione avverso tali sentenze può esse</w:t>
                        </w:r>
                      </w:p>
                    </w:txbxContent>
                  </v:textbox>
                </v:rect>
                <v:rect id="Rectangle 14850" o:spid="_x0000_s1596" style="position:absolute;left:978;top:3110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B4yAAAAN4AAAAPAAAAZHJzL2Rvd25yZXYueG1sRI9Pa8Mw&#10;DMXvg30Ho0Fvq7PRjZDVLaOjNIdd+g92FLGaZItlE7tNuk8/HQq7SejpvfebL0fXqQv1sfVs4Gma&#10;gSKuvG25NnDYrx9zUDEhW+w8k4ErRVgu7u/mWFg/8JYuu1QrMeFYoIEmpVBoHauGHMapD8RyO/ne&#10;YZK1r7XtcRBz1+nnLHvVDluWhAYDrRqqfnZnZ+Drg0O5HnR1+l2Fz+8y7zbnw9GYycP4/gYq0Zj+&#10;xbfv0kr9Wf4iAIIjM+jFHwAAAP//AwBQSwECLQAUAAYACAAAACEA2+H2y+4AAACFAQAAEwAAAAAA&#10;AAAAAAAAAAAAAAAAW0NvbnRlbnRfVHlwZXNdLnhtbFBLAQItABQABgAIAAAAIQBa9CxbvwAAABUB&#10;AAALAAAAAAAAAAAAAAAAAB8BAABfcmVscy8ucmVsc1BLAQItABQABgAIAAAAIQDjx/B4yAAAAN4A&#10;AAAPAAAAAAAAAAAAAAAAAAcCAABkcnMvZG93bnJldi54bWxQSwUGAAAAAAMAAwC3AAAA/AIAAAAA&#10;" filled="f" stroked="f">
                  <v:textbox inset="0,0,0,0">
                    <w:txbxContent>
                      <w:p w14:paraId="699E2FA6" w14:textId="77777777" w:rsidR="00B32EF2" w:rsidRDefault="00000000">
                        <w:r>
                          <w:rPr>
                            <w:rFonts w:ascii="Arial" w:eastAsia="Arial" w:hAnsi="Arial" w:cs="Arial"/>
                            <w:i/>
                            <w:sz w:val="18"/>
                          </w:rPr>
                          <w:t>-</w:t>
                        </w:r>
                      </w:p>
                    </w:txbxContent>
                  </v:textbox>
                </v:rect>
                <v:rect id="Rectangle 14851" o:spid="_x0000_s1597" style="position:absolute;left:-11863;top:29731;width:5098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1XjxAAAAN4AAAAPAAAAZHJzL2Rvd25yZXYueG1sRE9Na8JA&#10;EL0X/A/LCN7qRmlLiK4iijQHL7UKHofsmESzs0t2NdFf3y0UepvH+5z5sjeNuFPra8sKJuMEBHFh&#10;dc2lgsP39jUF4QOyxsYyKXiQh+Vi8DLHTNuOv+i+D6WIIewzVFCF4DIpfVGRQT+2jjhyZ9saDBG2&#10;pdQtdjHcNHKaJB/SYM2xoUJH64qK6/5mFJw27PJtJ4vzc+12lzxtPm+Ho1KjYb+agQjUh3/xnzvX&#10;cf5b+j6B33fiDXLxAwAA//8DAFBLAQItABQABgAIAAAAIQDb4fbL7gAAAIUBAAATAAAAAAAAAAAA&#10;AAAAAAAAAABbQ29udGVudF9UeXBlc10ueG1sUEsBAi0AFAAGAAgAAAAhAFr0LFu/AAAAFQEAAAsA&#10;AAAAAAAAAAAAAAAAHwEAAF9yZWxzLy5yZWxzUEsBAi0AFAAGAAgAAAAhAIyLVePEAAAA3gAAAA8A&#10;AAAAAAAAAAAAAAAABwIAAGRycy9kb3ducmV2LnhtbFBLBQYAAAAAAwADALcAAAD4AgAAAAA=&#10;" filled="f" stroked="f">
                  <v:textbox inset="0,0,0,0">
                    <w:txbxContent>
                      <w:p w14:paraId="5BF7ABB1" w14:textId="77777777" w:rsidR="00B32EF2" w:rsidRDefault="00000000">
                        <w:r>
                          <w:rPr>
                            <w:rFonts w:ascii="Arial" w:eastAsia="Arial" w:hAnsi="Arial" w:cs="Arial"/>
                            <w:i/>
                            <w:sz w:val="18"/>
                          </w:rPr>
                          <w:t xml:space="preserve">re proposto, senza necessità di riserva, allorché sia impugnata la sentenza </w:t>
                        </w:r>
                      </w:p>
                    </w:txbxContent>
                  </v:textbox>
                </v:rect>
                <v:rect id="Rectangle 14852" o:spid="_x0000_s1598" style="position:absolute;left:8254;top:28359;width:308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uUxQAAAN4AAAAPAAAAZHJzL2Rvd25yZXYueG1sRE9La8JA&#10;EL4X/A/LCN7qRmlLiK4iijSHXuoDPA7ZMYlmZ5fsamJ/fbdQ8DYf33Pmy9404k6try0rmIwTEMSF&#10;1TWXCg777WsKwgdkjY1lUvAgD8vF4GWOmbYdf9N9F0oRQ9hnqKAKwWVS+qIig35sHXHkzrY1GCJs&#10;S6lb7GK4aeQ0ST6kwZpjQ4WO1hUV193NKDht2OXbThbnn7X7uuRp83k7HJUaDfvVDESgPjzF/+5c&#10;x/lv6fsU/t6JN8jFLwAAAP//AwBQSwECLQAUAAYACAAAACEA2+H2y+4AAACFAQAAEwAAAAAAAAAA&#10;AAAAAAAAAAAAW0NvbnRlbnRfVHlwZXNdLnhtbFBLAQItABQABgAIAAAAIQBa9CxbvwAAABUBAAAL&#10;AAAAAAAAAAAAAAAAAB8BAABfcmVscy8ucmVsc1BLAQItABQABgAIAAAAIQB8WcuUxQAAAN4AAAAP&#10;AAAAAAAAAAAAAAAAAAcCAABkcnMvZG93bnJldi54bWxQSwUGAAAAAAMAAwC3AAAA+QIAAAAA&#10;" filled="f" stroked="f">
                  <v:textbox inset="0,0,0,0">
                    <w:txbxContent>
                      <w:p w14:paraId="78AFA792" w14:textId="77777777" w:rsidR="00B32EF2" w:rsidRDefault="00000000">
                        <w:r>
                          <w:rPr>
                            <w:rFonts w:ascii="Arial" w:eastAsia="Arial" w:hAnsi="Arial" w:cs="Arial"/>
                            <w:i/>
                            <w:sz w:val="18"/>
                          </w:rPr>
                          <w:t>che definisce, anche parzialmente, il giudizio.</w:t>
                        </w:r>
                      </w:p>
                    </w:txbxContent>
                  </v:textbox>
                </v:rect>
                <v:rect id="Rectangle 199797" o:spid="_x0000_s1599" style="position:absolute;left:25863;top:26987;width:509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ZIZxAAAAN8AAAAPAAAAZHJzL2Rvd25yZXYueG1sRE/Pa8Iw&#10;FL4L/g/hCd401cO0nVFEkfWwy5yDHR/Ns+3WvIQm2rq/fhEEjx/f79WmN424Uutrywpm0wQEcWF1&#10;zaWC0+dhsgThA7LGxjIpuJGHzXo4WGGmbccfdD2GUsQQ9hkqqEJwmZS+qMign1pHHLmzbQ2GCNtS&#10;6ha7GG4aOU+SF2mw5thQoaNdRcXv8WIUfO/Z5YdOFue/nXv/yZfN2+X0pdR41G9fQQTqw1P8cOc6&#10;zk/TRbqA+58IQK7/AQAA//8DAFBLAQItABQABgAIAAAAIQDb4fbL7gAAAIUBAAATAAAAAAAAAAAA&#10;AAAAAAAAAABbQ29udGVudF9UeXBlc10ueG1sUEsBAi0AFAAGAAgAAAAhAFr0LFu/AAAAFQEAAAsA&#10;AAAAAAAAAAAAAAAAHwEAAF9yZWxzLy5yZWxzUEsBAi0AFAAGAAgAAAAhAM1lkhnEAAAA3wAAAA8A&#10;AAAAAAAAAAAAAAAABwIAAGRycy9kb3ducmV2LnhtbFBLBQYAAAAAAwADALcAAAD4AgAAAAA=&#10;" filled="f" stroked="f">
                  <v:textbox inset="0,0,0,0">
                    <w:txbxContent>
                      <w:p w14:paraId="2963660E" w14:textId="77777777" w:rsidR="00B32EF2" w:rsidRDefault="00000000">
                        <w:r>
                          <w:rPr>
                            <w:rFonts w:ascii="Arial" w:eastAsia="Arial" w:hAnsi="Arial" w:cs="Arial"/>
                            <w:i/>
                            <w:sz w:val="18"/>
                          </w:rPr>
                          <w:t>4</w:t>
                        </w:r>
                      </w:p>
                    </w:txbxContent>
                  </v:textbox>
                </v:rect>
                <v:rect id="Rectangle 199798" o:spid="_x0000_s1600" style="position:absolute;left:-12502;top:26987;width:509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ZrxAAAAN8AAAAPAAAAZHJzL2Rvd25yZXYueG1sRE9NT8JA&#10;EL2b8B82Q+JNtnhQWlkIgRB78CJg4nHSHdpKd3bTXWj11zsHE48v73u5Hl2nbtTH1rOB+SwDRVx5&#10;23Jt4HTcPyxAxYRssfNMBr4pwno1uVtiYf3A73Q7pFpJCMcCDTQphULrWDXkMM58IBbu7HuHSWBf&#10;a9vjIOGu049Z9qQdtiwNDQbaNlRdDldn4HPHodwPujr/bMPbV7noXq+nD2Pup+PmBVSiMf2L/9yl&#10;lfl5/pzLYPkjAPTqFwAA//8DAFBLAQItABQABgAIAAAAIQDb4fbL7gAAAIUBAAATAAAAAAAAAAAA&#10;AAAAAAAAAABbQ29udGVudF9UeXBlc10ueG1sUEsBAi0AFAAGAAgAAAAhAFr0LFu/AAAAFQEAAAsA&#10;AAAAAAAAAAAAAAAAHwEAAF9yZWxzLy5yZWxzUEsBAi0AFAAGAAgAAAAhALz6BmvEAAAA3wAAAA8A&#10;AAAAAAAAAAAAAAAABwIAAGRycy9kb3ducmV2LnhtbFBLBQYAAAAAAwADALcAAAD4AgAAAAA=&#10;" filled="f" stroked="f">
                  <v:textbox inset="0,0,0,0">
                    <w:txbxContent>
                      <w:p w14:paraId="1E45EAED" w14:textId="77777777" w:rsidR="00B32EF2" w:rsidRDefault="00000000">
                        <w:r>
                          <w:rPr>
                            <w:rFonts w:ascii="Arial" w:eastAsia="Arial" w:hAnsi="Arial" w:cs="Arial"/>
                            <w:i/>
                            <w:sz w:val="18"/>
                          </w:rPr>
                          <w:t xml:space="preserve">. Quando la pronuncia di appello conferma la decisione di primo grado per </w:t>
                        </w:r>
                      </w:p>
                    </w:txbxContent>
                  </v:textbox>
                </v:rect>
                <v:rect id="Rectangle 14854" o:spid="_x0000_s1601" style="position:absolute;left:-11911;top:25616;width:511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Z7xAAAAN4AAAAPAAAAZHJzL2Rvd25yZXYueG1sRE9Na8JA&#10;EL0X/A/LCN7qxmJLiK4iijQHL7UKHofsmESzs0t2NdFf3y0UepvH+5z5sjeNuFPra8sKJuMEBHFh&#10;dc2lgsP39jUF4QOyxsYyKXiQh+Vi8DLHTNuOv+i+D6WIIewzVFCF4DIpfVGRQT+2jjhyZ9saDBG2&#10;pdQtdjHcNPItST6kwZpjQ4WO1hUV1/3NKDht2OXbThbn59rtLnnafN4OR6VGw341AxGoD//iP3eu&#10;4/xp+j6F33fiDXLxAwAA//8DAFBLAQItABQABgAIAAAAIQDb4fbL7gAAAIUBAAATAAAAAAAAAAAA&#10;AAAAAAAAAABbQ29udGVudF9UeXBlc10ueG1sUEsBAi0AFAAGAAgAAAAhAFr0LFu/AAAAFQEAAAsA&#10;AAAAAAAAAAAAAAAAHwEAAF9yZWxzLy5yZWxzUEsBAi0AFAAGAAgAAAAhAJz89nvEAAAA3gAAAA8A&#10;AAAAAAAAAAAAAAAABwIAAGRycy9kb3ducmV2LnhtbFBLBQYAAAAAAwADALcAAAD4AgAAAAA=&#10;" filled="f" stroked="f">
                  <v:textbox inset="0,0,0,0">
                    <w:txbxContent>
                      <w:p w14:paraId="1D43A4E5" w14:textId="77777777" w:rsidR="00B32EF2" w:rsidRDefault="00000000">
                        <w:r>
                          <w:rPr>
                            <w:rFonts w:ascii="Arial" w:eastAsia="Arial" w:hAnsi="Arial" w:cs="Arial"/>
                            <w:i/>
                            <w:sz w:val="18"/>
                          </w:rPr>
                          <w:t xml:space="preserve">le stesse ragioni, inerenti ai medesimi fatti, poste a base della decisione </w:t>
                        </w:r>
                      </w:p>
                    </w:txbxContent>
                  </v:textbox>
                </v:rect>
                <v:rect id="Rectangle 14855" o:spid="_x0000_s1602" style="position:absolute;left:-11883;top:24244;width:510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FPgxAAAAN4AAAAPAAAAZHJzL2Rvd25yZXYueG1sRE9Na8JA&#10;EL0X/A/LCN7qxqIlRFcRRZpDL7UKHofsmESzs0t2NdFf3y0UepvH+5zFqjeNuFPra8sKJuMEBHFh&#10;dc2lgsP37jUF4QOyxsYyKXiQh9Vy8LLATNuOv+i+D6WIIewzVFCF4DIpfVGRQT+2jjhyZ9saDBG2&#10;pdQtdjHcNPItSd6lwZpjQ4WONhUV1/3NKDht2eW7Thbn58Z9XvK0+bgdjkqNhv16DiJQH/7Ff+5c&#10;x/nTdDaD33fiDXL5AwAA//8DAFBLAQItABQABgAIAAAAIQDb4fbL7gAAAIUBAAATAAAAAAAAAAAA&#10;AAAAAAAAAABbQ29udGVudF9UeXBlc10ueG1sUEsBAi0AFAAGAAgAAAAhAFr0LFu/AAAAFQEAAAsA&#10;AAAAAAAAAAAAAAAAHwEAAF9yZWxzLy5yZWxzUEsBAi0AFAAGAAgAAAAhAPOwU+DEAAAA3gAAAA8A&#10;AAAAAAAAAAAAAAAABwIAAGRycy9kb3ducmV2LnhtbFBLBQYAAAAAAwADALcAAAD4AgAAAAA=&#10;" filled="f" stroked="f">
                  <v:textbox inset="0,0,0,0">
                    <w:txbxContent>
                      <w:p w14:paraId="3E1951BD" w14:textId="77777777" w:rsidR="00B32EF2" w:rsidRDefault="00000000">
                        <w:r>
                          <w:rPr>
                            <w:rFonts w:ascii="Arial" w:eastAsia="Arial" w:hAnsi="Arial" w:cs="Arial"/>
                            <w:i/>
                            <w:sz w:val="18"/>
                          </w:rPr>
                          <w:t xml:space="preserve">impugnata, il ricorso per cassazione può essere proposto esclusivamente </w:t>
                        </w:r>
                      </w:p>
                    </w:txbxContent>
                  </v:textbox>
                </v:rect>
                <v:rect id="Rectangle 14856" o:spid="_x0000_s1603" style="position:absolute;left:-11881;top:22873;width:5104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s2XxAAAAN4AAAAPAAAAZHJzL2Rvd25yZXYueG1sRE9Na8JA&#10;EL0X/A/LCN7qxmIlRFcRRZpDL7UKHofsmESzs0t2NdFf3y0UepvH+5zFqjeNuFPra8sKJuMEBHFh&#10;dc2lgsP37jUF4QOyxsYyKXiQh9Vy8LLATNuOv+i+D6WIIewzVFCF4DIpfVGRQT+2jjhyZ9saDBG2&#10;pdQtdjHcNPItSWbSYM2xoUJHm4qK6/5mFJy27PJdJ4vzc+M+L3nafNwOR6VGw349BxGoD//iP3eu&#10;4/xp+j6D33fiDXL5AwAA//8DAFBLAQItABQABgAIAAAAIQDb4fbL7gAAAIUBAAATAAAAAAAAAAAA&#10;AAAAAAAAAABbQ29udGVudF9UeXBlc10ueG1sUEsBAi0AFAAGAAgAAAAhAFr0LFu/AAAAFQEAAAsA&#10;AAAAAAAAAAAAAAAAHwEAAF9yZWxzLy5yZWxzUEsBAi0AFAAGAAgAAAAhAANizZfEAAAA3gAAAA8A&#10;AAAAAAAAAAAAAAAABwIAAGRycy9kb3ducmV2LnhtbFBLBQYAAAAAAwADALcAAAD4AgAAAAA=&#10;" filled="f" stroked="f">
                  <v:textbox inset="0,0,0,0">
                    <w:txbxContent>
                      <w:p w14:paraId="775614A7" w14:textId="77777777" w:rsidR="00B32EF2" w:rsidRDefault="00000000">
                        <w:r>
                          <w:rPr>
                            <w:rFonts w:ascii="Arial" w:eastAsia="Arial" w:hAnsi="Arial" w:cs="Arial"/>
                            <w:i/>
                            <w:sz w:val="18"/>
                          </w:rPr>
                          <w:t xml:space="preserve">per i motivi di cui al primo comma, numeri 1), 2), 3) e 4). Tale disposizione </w:t>
                        </w:r>
                      </w:p>
                    </w:txbxContent>
                  </v:textbox>
                </v:rect>
                <v:rect id="Rectangle 14857" o:spid="_x0000_s1604" style="position:absolute;left:-11346;top:21501;width:504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mgMxQAAAN4AAAAPAAAAZHJzL2Rvd25yZXYueG1sRE9Na8JA&#10;EL0X+h+WKXirmxarIbpKsYg5eKlV8DhkxySanV2yq4n99W5B6G0e73Nmi9404kqtry0reBsmIIgL&#10;q2suFex+Vq8pCB+QNTaWScGNPCzmz08zzLTt+Juu21CKGMI+QwVVCC6T0hcVGfRD64gjd7StwRBh&#10;W0rdYhfDTSPfk2QsDdYcGyp0tKyoOG8vRsHhi12+6mRx/F26zSlPm/Vlt1dq8NJ/TkEE6sO/+OHO&#10;dZw/Sj8m8PdOvEHO7wAAAP//AwBQSwECLQAUAAYACAAAACEA2+H2y+4AAACFAQAAEwAAAAAAAAAA&#10;AAAAAAAAAAAAW0NvbnRlbnRfVHlwZXNdLnhtbFBLAQItABQABgAIAAAAIQBa9CxbvwAAABUBAAAL&#10;AAAAAAAAAAAAAAAAAB8BAABfcmVscy8ucmVsc1BLAQItABQABgAIAAAAIQBsLmgMxQAAAN4AAAAP&#10;AAAAAAAAAAAAAAAAAAcCAABkcnMvZG93bnJldi54bWxQSwUGAAAAAAMAAwC3AAAA+QIAAAAA&#10;" filled="f" stroked="f">
                  <v:textbox inset="0,0,0,0">
                    <w:txbxContent>
                      <w:p w14:paraId="45B83BBA" w14:textId="77777777" w:rsidR="00B32EF2" w:rsidRDefault="00000000">
                        <w:r>
                          <w:rPr>
                            <w:rFonts w:ascii="Arial" w:eastAsia="Arial" w:hAnsi="Arial" w:cs="Arial"/>
                            <w:i/>
                            <w:sz w:val="18"/>
                          </w:rPr>
                          <w:t>non si applica relativamente alle cause di cui all’articolo 70, primo comma.</w:t>
                        </w:r>
                      </w:p>
                    </w:txbxContent>
                  </v:textbox>
                </v:rect>
                <v:rect id="Rectangle 199795" o:spid="_x0000_s1605" style="position:absolute;left:25825;top:20129;width:51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n1xQAAAN8AAAAPAAAAZHJzL2Rvd25yZXYueG1sRE/LasJA&#10;FN0X/IfhCu7qRMHWpI4iijQLN/UBXV4y1yRt5s6QGU3ar3cKBZeH816setOIG7W+tqxgMk5AEBdW&#10;11wqOB13z3MQPiBrbCyTgh/ysFoOnhaYadvxB90OoRQxhH2GCqoQXCalLyoy6MfWEUfuYluDIcK2&#10;lLrFLoabRk6T5EUarDk2VOhoU1HxfbgaBZ9bdvmuk8Xld+P2X/m8eb+ezkqNhv36DUSgPjzE/+5c&#10;x/lp+prO4O9PBCCXdwAAAP//AwBQSwECLQAUAAYACAAAACEA2+H2y+4AAACFAQAAEwAAAAAAAAAA&#10;AAAAAAAAAAAAW0NvbnRlbnRfVHlwZXNdLnhtbFBLAQItABQABgAIAAAAIQBa9CxbvwAAABUBAAAL&#10;AAAAAAAAAAAAAAAAAB8BAABfcmVscy8ucmVsc1BLAQItABQABgAIAAAAIQBS+6n1xQAAAN8AAAAP&#10;AAAAAAAAAAAAAAAAAAcCAABkcnMvZG93bnJldi54bWxQSwUGAAAAAAMAAwC3AAAA+QIAAAAA&#10;" filled="f" stroked="f">
                  <v:textbox inset="0,0,0,0">
                    <w:txbxContent>
                      <w:p w14:paraId="4BE9266D" w14:textId="77777777" w:rsidR="00B32EF2" w:rsidRDefault="00000000">
                        <w:r>
                          <w:rPr>
                            <w:rFonts w:ascii="Arial" w:eastAsia="Arial" w:hAnsi="Arial" w:cs="Arial"/>
                            <w:i/>
                            <w:sz w:val="18"/>
                          </w:rPr>
                          <w:t>5</w:t>
                        </w:r>
                      </w:p>
                    </w:txbxContent>
                  </v:textbox>
                </v:rect>
                <v:rect id="Rectangle 199796" o:spid="_x0000_s1606" style="position:absolute;left:-12552;top:20129;width:510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TeCxAAAAN8AAAAPAAAAZHJzL2Rvd25yZXYueG1sRE/Pa8Iw&#10;FL4L/g/hCd40nQe1nVGGIvbgZc7Bjo/m2Vabl9BE2+2vXwYDjx/f79WmN414UOtrywpepgkI4sLq&#10;mksF54/9ZAnCB2SNjWVS8E0eNuvhYIWZth2/0+MUShFD2GeooArBZVL6oiKDfmodceQutjUYImxL&#10;qVvsYrhp5CxJ5tJgzbGhQkfbiorb6W4UfO3Y5ftOFpefrTte82VzuJ8/lRqP+rdXEIH68BT/u3Md&#10;56fpIp3D358IQK5/AQAA//8DAFBLAQItABQABgAIAAAAIQDb4fbL7gAAAIUBAAATAAAAAAAAAAAA&#10;AAAAAAAAAABbQ29udGVudF9UeXBlc10ueG1sUEsBAi0AFAAGAAgAAAAhAFr0LFu/AAAAFQEAAAsA&#10;AAAAAAAAAAAAAAAAHwEAAF9yZWxzLy5yZWxzUEsBAi0AFAAGAAgAAAAhAKIpN4LEAAAA3wAAAA8A&#10;AAAAAAAAAAAAAAAABwIAAGRycy9kb3ducmV2LnhtbFBLBQYAAAAAAwADALcAAAD4AgAAAAA=&#10;" filled="f" stroked="f">
                  <v:textbox inset="0,0,0,0">
                    <w:txbxContent>
                      <w:p w14:paraId="5FFC55C7" w14:textId="77777777" w:rsidR="00B32EF2" w:rsidRDefault="00000000">
                        <w:r>
                          <w:rPr>
                            <w:rFonts w:ascii="Arial" w:eastAsia="Arial" w:hAnsi="Arial" w:cs="Arial"/>
                            <w:i/>
                            <w:sz w:val="18"/>
                          </w:rPr>
                          <w:t xml:space="preserve">. Le disposizioni di cui al primo, al terzo e al quarto comma si applicano </w:t>
                        </w:r>
                      </w:p>
                    </w:txbxContent>
                  </v:textbox>
                </v:rect>
                <v:rect id="Rectangle 14859" o:spid="_x0000_s1607" style="position:absolute;left:-11925;top:18758;width:512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nlxQAAAN4AAAAPAAAAZHJzL2Rvd25yZXYueG1sRE9Na8JA&#10;EL0L/odlhN50o7Qlja4iipiDl1oLHofsmKTNzi7Z1cT+erdQ6G0e73MWq9404katry0rmE4SEMSF&#10;1TWXCk4fu3EKwgdkjY1lUnAnD6vlcLDATNuO3+l2DKWIIewzVFCF4DIpfVGRQT+xjjhyF9saDBG2&#10;pdQtdjHcNHKWJK/SYM2xoUJHm4qK7+PVKDhv2eW7ThaXn407fOVps7+ePpV6GvXrOYhAffgX/7lz&#10;Hec/py9v8PtOvEEuHwAAAP//AwBQSwECLQAUAAYACAAAACEA2+H2y+4AAACFAQAAEwAAAAAAAAAA&#10;AAAAAAAAAAAAW0NvbnRlbnRfVHlwZXNdLnhtbFBLAQItABQABgAIAAAAIQBa9CxbvwAAABUBAAAL&#10;AAAAAAAAAAAAAAAAAB8BAABfcmVscy8ucmVsc1BLAQItABQABgAIAAAAIQBy/VnlxQAAAN4AAAAP&#10;AAAAAAAAAAAAAAAAAAcCAABkcnMvZG93bnJldi54bWxQSwUGAAAAAAMAAwC3AAAA+QIAAAAA&#10;" filled="f" stroked="f">
                  <v:textbox inset="0,0,0,0">
                    <w:txbxContent>
                      <w:p w14:paraId="660D9413" w14:textId="77777777" w:rsidR="00B32EF2" w:rsidRDefault="00000000">
                        <w:r>
                          <w:rPr>
                            <w:rFonts w:ascii="Arial" w:eastAsia="Arial" w:hAnsi="Arial" w:cs="Arial"/>
                            <w:i/>
                            <w:sz w:val="18"/>
                          </w:rPr>
                          <w:t xml:space="preserve">alle sentenze ed ai provvedimenti diversi dalla sentenza contro i quali è </w:t>
                        </w:r>
                      </w:p>
                    </w:txbxContent>
                  </v:textbox>
                </v:rect>
                <v:rect id="Rectangle 14860" o:spid="_x0000_s1608" style="position:absolute;left:-575;top:17386;width:397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zrFyAAAAN4AAAAPAAAAZHJzL2Rvd25yZXYueG1sRI9Pa8Mw&#10;DMXvg30Ho8Fuq7MxSkjrltJRlsMu/TPYUcRqkjaWTew22T79dCj0JqGn995vvhxdp67Ux9azgddJ&#10;Boq48rbl2sBhv3nJQcWEbLHzTAZ+KcJy8fgwx8L6gbd03aVaiQnHAg00KYVC61g15DBOfCCW29H3&#10;DpOsfa1tj4OYu06/ZdlUO2xZEhoMtG6oOu8uzsDPB4dyM+jq+LcOX6cy7z4vh29jnp/G1QxUojHd&#10;xbfv0kr993wqAIIjM+jFPwAAAP//AwBQSwECLQAUAAYACAAAACEA2+H2y+4AAACFAQAAEwAAAAAA&#10;AAAAAAAAAAAAAAAAW0NvbnRlbnRfVHlwZXNdLnhtbFBLAQItABQABgAIAAAAIQBa9CxbvwAAABUB&#10;AAALAAAAAAAAAAAAAAAAAB8BAABfcmVscy8ucmVsc1BLAQItABQABgAIAAAAIQAtqzrFyAAAAN4A&#10;AAAPAAAAAAAAAAAAAAAAAAcCAABkcnMvZG93bnJldi54bWxQSwUGAAAAAAMAAwC3AAAA/AIAAAAA&#10;" filled="f" stroked="f">
                  <v:textbox inset="0,0,0,0">
                    <w:txbxContent>
                      <w:p w14:paraId="5CF026BD" w14:textId="77777777" w:rsidR="00B32EF2" w:rsidRDefault="00000000">
                        <w:r>
                          <w:rPr>
                            <w:rFonts w:ascii="Arial" w:eastAsia="Arial" w:hAnsi="Arial" w:cs="Arial"/>
                            <w:i/>
                            <w:sz w:val="18"/>
                          </w:rPr>
                          <w:t>ammesso il ricorso per cassazione per violazione di legge.</w:t>
                        </w:r>
                      </w:p>
                    </w:txbxContent>
                  </v:textbox>
                </v:rect>
                <v:rect id="Rectangle 14861" o:spid="_x0000_s1609" style="position:absolute;left:23150;top:16015;width:1598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59exAAAAN4AAAAPAAAAZHJzL2Rvd25yZXYueG1sRE9Li8Iw&#10;EL4L/ocwwt40VRYpXaOIItvDXnws7HFoxrZrMwlNtN399UYQvM3H95zFqjeNuFHra8sKppMEBHFh&#10;dc2lgtNxN05B+ICssbFMCv7Iw2o5HCww07bjPd0OoRQxhH2GCqoQXCalLyoy6CfWEUfubFuDIcK2&#10;lLrFLoabRs6SZC4N1hwbKnS0qai4HK5Gwc+WXb7rZHH+37iv3zxtPq+nb6XeRv36A0SgPrzET3eu&#10;4/z3dD6FxzvxBrm8AwAA//8DAFBLAQItABQABgAIAAAAIQDb4fbL7gAAAIUBAAATAAAAAAAAAAAA&#10;AAAAAAAAAABbQ29udGVudF9UeXBlc10ueG1sUEsBAi0AFAAGAAgAAAAhAFr0LFu/AAAAFQEAAAsA&#10;AAAAAAAAAAAAAAAAHwEAAF9yZWxzLy5yZWxzUEsBAi0AFAAGAAgAAAAhAELnn17EAAAA3gAAAA8A&#10;AAAAAAAAAAAAAAAABwIAAGRycy9kb3ducmV2LnhtbFBLBQYAAAAAAwADALcAAAD4AgAAAAA=&#10;" filled="f" stroked="f">
                  <v:textbox inset="0,0,0,0">
                    <w:txbxContent>
                      <w:p w14:paraId="3563C4B9" w14:textId="77777777" w:rsidR="00B32EF2" w:rsidRDefault="00000000">
                        <w:r>
                          <w:rPr>
                            <w:rFonts w:ascii="Arial" w:eastAsia="Arial" w:hAnsi="Arial" w:cs="Arial"/>
                            <w:b/>
                            <w:i/>
                            <w:sz w:val="18"/>
                          </w:rPr>
                          <w:t xml:space="preserve">NORME COLLEGATE </w:t>
                        </w:r>
                      </w:p>
                    </w:txbxContent>
                  </v:textbox>
                </v:rect>
                <v:rect id="Rectangle 14862" o:spid="_x0000_s1610" style="position:absolute;left:-3643;top:14643;width:427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EpxAAAAN4AAAAPAAAAZHJzL2Rvd25yZXYueG1sRE9Na8JA&#10;EL0X/A/LFLzVTaVISF1FFGkOXqoRPA7ZMUnNzi7Z1UR/fbdQ8DaP9znz5WBacaPON5YVvE8SEMSl&#10;1Q1XCorD9i0F4QOyxtYyKbiTh+Vi9DLHTNuev+m2D5WIIewzVFCH4DIpfVmTQT+xjjhyZ9sZDBF2&#10;ldQd9jHctHKaJDNpsOHYUKOjdU3lZX81Ck4bdvm2l+X5sXa7nzxtv67FUanx67D6BBFoCE/xvzvX&#10;cf5HOpvC3zvxBrn4BQAA//8DAFBLAQItABQABgAIAAAAIQDb4fbL7gAAAIUBAAATAAAAAAAAAAAA&#10;AAAAAAAAAABbQ29udGVudF9UeXBlc10ueG1sUEsBAi0AFAAGAAgAAAAhAFr0LFu/AAAAFQEAAAsA&#10;AAAAAAAAAAAAAAAAHwEAAF9yZWxzLy5yZWxzUEsBAi0AFAAGAAgAAAAhALI1ASnEAAAA3gAAAA8A&#10;AAAAAAAAAAAAAAAABwIAAGRycy9kb3ducmV2LnhtbFBLBQYAAAAAAwADALcAAAD4AgAAAAA=&#10;" filled="f" stroked="f">
                  <v:textbox inset="0,0,0,0">
                    <w:txbxContent>
                      <w:p w14:paraId="4C98B530" w14:textId="77777777" w:rsidR="00B32EF2" w:rsidRDefault="00000000">
                        <w:r>
                          <w:rPr>
                            <w:rFonts w:ascii="Arial" w:eastAsia="Arial" w:hAnsi="Arial" w:cs="Arial"/>
                            <w:i/>
                            <w:sz w:val="18"/>
                          </w:rPr>
                          <w:t xml:space="preserve">artt. da 360 a 391-quater c.p.c. esclusi artt. 361-368-373 c.p.c </w:t>
                        </w:r>
                      </w:p>
                    </w:txbxContent>
                  </v:textbox>
                </v:rect>
                <v:shape id="Shape 14863" o:spid="_x0000_s1611" style="position:absolute;left:320;top:14047;width:39600;height:39842;visibility:visible;mso-wrap-style:square;v-text-anchor:top" coordsize="3960000,398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ttxQAAAN4AAAAPAAAAZHJzL2Rvd25yZXYueG1sRE9LawIx&#10;EL4L/Q9hCt406wOrq1FKoeKtqL30Nm7G3W13Jssm1eivbwqF3ubje85qE7lRF+p87cTAaJiBIimc&#10;raU08H58HcxB+YBisXFCBm7kYbN+6K0wt+4qe7ocQqlSiPgcDVQhtLnWvqiI0Q9dS5K4s+sYQ4Jd&#10;qW2H1xTOjR5n2Uwz1pIaKmzppaLi6/DNBj7aG4/e4tN+cbx/8jZueZKdxsb0H+PzElSgGP7Ff+6d&#10;TfOn89kEft9JN+j1DwAAAP//AwBQSwECLQAUAAYACAAAACEA2+H2y+4AAACFAQAAEwAAAAAAAAAA&#10;AAAAAAAAAAAAW0NvbnRlbnRfVHlwZXNdLnhtbFBLAQItABQABgAIAAAAIQBa9CxbvwAAABUBAAAL&#10;AAAAAAAAAAAAAAAAAB8BAABfcmVscy8ucmVsc1BLAQItABQABgAIAAAAIQCdNRttxQAAAN4AAAAP&#10;AAAAAAAAAAAAAAAAAAcCAABkcnMvZG93bnJldi54bWxQSwUGAAAAAAMAAwC3AAAA+QIAAAAA&#10;" path="m,3984206r3960000,l3960000,,,,,3984206xe" filled="f" strokeweight="1pt">
                  <v:stroke miterlimit="1" joinstyle="miter"/>
                  <v:path arrowok="t" textboxrect="0,0,3960000,3984206"/>
                </v:shape>
                <w10:anchorlock/>
              </v:group>
            </w:pict>
          </mc:Fallback>
        </mc:AlternateContent>
      </w:r>
    </w:p>
    <w:p w14:paraId="5217C88F" w14:textId="77777777" w:rsidR="00B32EF2" w:rsidRDefault="00000000">
      <w:pPr>
        <w:spacing w:after="608"/>
        <w:ind w:left="-356" w:right="-306"/>
      </w:pPr>
      <w:r>
        <w:rPr>
          <w:noProof/>
        </w:rPr>
        <w:lastRenderedPageBreak/>
        <mc:AlternateContent>
          <mc:Choice Requires="wpg">
            <w:drawing>
              <wp:inline distT="0" distB="0" distL="0" distR="0" wp14:anchorId="3719F339" wp14:editId="7994B01D">
                <wp:extent cx="3991756" cy="1553922"/>
                <wp:effectExtent l="0" t="0" r="0" b="0"/>
                <wp:docPr id="199896" name="Group 199896"/>
                <wp:cNvGraphicFramePr/>
                <a:graphic xmlns:a="http://schemas.openxmlformats.org/drawingml/2006/main">
                  <a:graphicData uri="http://schemas.microsoft.com/office/word/2010/wordprocessingGroup">
                    <wpg:wgp>
                      <wpg:cNvGrpSpPr/>
                      <wpg:grpSpPr>
                        <a:xfrm>
                          <a:off x="0" y="0"/>
                          <a:ext cx="3991756" cy="1553922"/>
                          <a:chOff x="0" y="0"/>
                          <a:chExt cx="3991756" cy="1553922"/>
                        </a:xfrm>
                      </wpg:grpSpPr>
                      <wps:wsp>
                        <wps:cNvPr id="14889" name="Rectangle 14889"/>
                        <wps:cNvSpPr/>
                        <wps:spPr>
                          <a:xfrm rot="-10799999">
                            <a:off x="1900556" y="-62190"/>
                            <a:ext cx="178369" cy="250646"/>
                          </a:xfrm>
                          <a:prstGeom prst="rect">
                            <a:avLst/>
                          </a:prstGeom>
                          <a:ln>
                            <a:noFill/>
                          </a:ln>
                        </wps:spPr>
                        <wps:txbx>
                          <w:txbxContent>
                            <w:p w14:paraId="58070BC6" w14:textId="77777777" w:rsidR="00B32EF2" w:rsidRDefault="00000000">
                              <w:r>
                                <w:rPr>
                                  <w:rFonts w:ascii="Times New Roman" w:eastAsia="Times New Roman" w:hAnsi="Times New Roman" w:cs="Times New Roman"/>
                                </w:rPr>
                                <w:t>97</w:t>
                              </w:r>
                            </w:p>
                          </w:txbxContent>
                        </wps:txbx>
                        <wps:bodyPr horzOverflow="overflow" vert="horz" lIns="0" tIns="0" rIns="0" bIns="0" rtlCol="0">
                          <a:noAutofit/>
                        </wps:bodyPr>
                      </wps:wsp>
                      <wps:wsp>
                        <wps:cNvPr id="14912" name="Rectangle 14912"/>
                        <wps:cNvSpPr/>
                        <wps:spPr>
                          <a:xfrm rot="-10799999">
                            <a:off x="1475277" y="1411033"/>
                            <a:ext cx="861644" cy="142889"/>
                          </a:xfrm>
                          <a:prstGeom prst="rect">
                            <a:avLst/>
                          </a:prstGeom>
                          <a:ln>
                            <a:noFill/>
                          </a:ln>
                        </wps:spPr>
                        <wps:txbx>
                          <w:txbxContent>
                            <w:p w14:paraId="508279E8" w14:textId="77777777" w:rsidR="00B32EF2" w:rsidRDefault="00000000">
                              <w:r>
                                <w:rPr>
                                  <w:rFonts w:ascii="Arial" w:eastAsia="Arial" w:hAnsi="Arial" w:cs="Arial"/>
                                  <w:b/>
                                  <w:sz w:val="18"/>
                                </w:rPr>
                                <w:t>SEZIONE III</w:t>
                              </w:r>
                            </w:p>
                          </w:txbxContent>
                        </wps:txbx>
                        <wps:bodyPr horzOverflow="overflow" vert="horz" lIns="0" tIns="0" rIns="0" bIns="0" rtlCol="0">
                          <a:noAutofit/>
                        </wps:bodyPr>
                      </wps:wsp>
                      <wps:wsp>
                        <wps:cNvPr id="14913" name="Rectangle 14913"/>
                        <wps:cNvSpPr/>
                        <wps:spPr>
                          <a:xfrm rot="-10799999">
                            <a:off x="542861" y="1287703"/>
                            <a:ext cx="2353787" cy="142889"/>
                          </a:xfrm>
                          <a:prstGeom prst="rect">
                            <a:avLst/>
                          </a:prstGeom>
                          <a:ln>
                            <a:noFill/>
                          </a:ln>
                        </wps:spPr>
                        <wps:txbx>
                          <w:txbxContent>
                            <w:p w14:paraId="6101B69E" w14:textId="77777777" w:rsidR="00B32EF2" w:rsidRDefault="00000000">
                              <w:r>
                                <w:rPr>
                                  <w:rFonts w:ascii="Arial" w:eastAsia="Arial" w:hAnsi="Arial" w:cs="Arial"/>
                                  <w:b/>
                                  <w:sz w:val="18"/>
                                </w:rPr>
                                <w:t xml:space="preserve"> IL RICORSO PER CASSAZIONE</w:t>
                              </w:r>
                            </w:p>
                          </w:txbxContent>
                        </wps:txbx>
                        <wps:bodyPr horzOverflow="overflow" vert="horz" lIns="0" tIns="0" rIns="0" bIns="0" rtlCol="0">
                          <a:noAutofit/>
                        </wps:bodyPr>
                      </wps:wsp>
                      <wps:wsp>
                        <wps:cNvPr id="14914" name="Rectangle 14914"/>
                        <wps:cNvSpPr/>
                        <wps:spPr>
                          <a:xfrm rot="-10799999">
                            <a:off x="1463972" y="917714"/>
                            <a:ext cx="877864" cy="142889"/>
                          </a:xfrm>
                          <a:prstGeom prst="rect">
                            <a:avLst/>
                          </a:prstGeom>
                          <a:ln>
                            <a:noFill/>
                          </a:ln>
                        </wps:spPr>
                        <wps:txbx>
                          <w:txbxContent>
                            <w:p w14:paraId="1D0390D9" w14:textId="77777777" w:rsidR="00B32EF2" w:rsidRDefault="00000000">
                              <w:r>
                                <w:rPr>
                                  <w:rFonts w:ascii="Arial" w:eastAsia="Arial" w:hAnsi="Arial" w:cs="Arial"/>
                                  <w:b/>
                                  <w:sz w:val="18"/>
                                </w:rPr>
                                <w:t>Articolo 116</w:t>
                              </w:r>
                            </w:p>
                          </w:txbxContent>
                        </wps:txbx>
                        <wps:bodyPr horzOverflow="overflow" vert="horz" lIns="0" tIns="0" rIns="0" bIns="0" rtlCol="0">
                          <a:noAutofit/>
                        </wps:bodyPr>
                      </wps:wsp>
                      <wps:wsp>
                        <wps:cNvPr id="199819" name="Rectangle 199819"/>
                        <wps:cNvSpPr/>
                        <wps:spPr>
                          <a:xfrm rot="-10799999">
                            <a:off x="-262631" y="794384"/>
                            <a:ext cx="1942545" cy="142889"/>
                          </a:xfrm>
                          <a:prstGeom prst="rect">
                            <a:avLst/>
                          </a:prstGeom>
                          <a:ln>
                            <a:noFill/>
                          </a:ln>
                        </wps:spPr>
                        <wps:txbx>
                          <w:txbxContent>
                            <w:p w14:paraId="0E1F6044"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820" name="Rectangle 199820"/>
                        <wps:cNvSpPr/>
                        <wps:spPr>
                          <a:xfrm rot="-10799999">
                            <a:off x="1162769" y="794385"/>
                            <a:ext cx="1942545" cy="142889"/>
                          </a:xfrm>
                          <a:prstGeom prst="rect">
                            <a:avLst/>
                          </a:prstGeom>
                          <a:ln>
                            <a:noFill/>
                          </a:ln>
                        </wps:spPr>
                        <wps:txbx>
                          <w:txbxContent>
                            <w:p w14:paraId="38E72893" w14:textId="77777777" w:rsidR="00B32EF2" w:rsidRDefault="00000000">
                              <w:r>
                                <w:rPr>
                                  <w:rFonts w:ascii="Arial" w:eastAsia="Arial" w:hAnsi="Arial" w:cs="Arial"/>
                                  <w:i/>
                                  <w:sz w:val="18"/>
                                </w:rPr>
                                <w:t xml:space="preserve">articolo 62 D.lgs. n. </w:t>
                              </w:r>
                            </w:p>
                          </w:txbxContent>
                        </wps:txbx>
                        <wps:bodyPr horzOverflow="overflow" vert="horz" lIns="0" tIns="0" rIns="0" bIns="0" rtlCol="0">
                          <a:noAutofit/>
                        </wps:bodyPr>
                      </wps:wsp>
                      <wps:wsp>
                        <wps:cNvPr id="199818" name="Rectangle 199818"/>
                        <wps:cNvSpPr/>
                        <wps:spPr>
                          <a:xfrm rot="-10799999">
                            <a:off x="2222067" y="794385"/>
                            <a:ext cx="1942545" cy="142889"/>
                          </a:xfrm>
                          <a:prstGeom prst="rect">
                            <a:avLst/>
                          </a:prstGeom>
                          <a:ln>
                            <a:noFill/>
                          </a:ln>
                        </wps:spPr>
                        <wps:txbx>
                          <w:txbxContent>
                            <w:p w14:paraId="4F37635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916" name="Rectangle 14916"/>
                        <wps:cNvSpPr/>
                        <wps:spPr>
                          <a:xfrm rot="-10799999">
                            <a:off x="1160031" y="671055"/>
                            <a:ext cx="1339424" cy="142889"/>
                          </a:xfrm>
                          <a:prstGeom prst="rect">
                            <a:avLst/>
                          </a:prstGeom>
                          <a:ln>
                            <a:noFill/>
                          </a:ln>
                        </wps:spPr>
                        <wps:txbx>
                          <w:txbxContent>
                            <w:p w14:paraId="3B0B0448" w14:textId="77777777" w:rsidR="00B32EF2" w:rsidRDefault="00000000">
                              <w:r>
                                <w:rPr>
                                  <w:rFonts w:ascii="Arial" w:eastAsia="Arial" w:hAnsi="Arial" w:cs="Arial"/>
                                  <w:b/>
                                  <w:sz w:val="18"/>
                                </w:rPr>
                                <w:t xml:space="preserve">Norme applicabili </w:t>
                              </w:r>
                            </w:p>
                          </w:txbxContent>
                        </wps:txbx>
                        <wps:bodyPr horzOverflow="overflow" vert="horz" lIns="0" tIns="0" rIns="0" bIns="0" rtlCol="0">
                          <a:noAutofit/>
                        </wps:bodyPr>
                      </wps:wsp>
                      <wps:wsp>
                        <wps:cNvPr id="199816" name="Rectangle 199816"/>
                        <wps:cNvSpPr/>
                        <wps:spPr>
                          <a:xfrm rot="-10799999">
                            <a:off x="2610926" y="547725"/>
                            <a:ext cx="5309036" cy="142889"/>
                          </a:xfrm>
                          <a:prstGeom prst="rect">
                            <a:avLst/>
                          </a:prstGeom>
                          <a:ln>
                            <a:noFill/>
                          </a:ln>
                        </wps:spPr>
                        <wps:txbx>
                          <w:txbxContent>
                            <w:p w14:paraId="6DD1EC1A"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9817" name="Rectangle 199817"/>
                        <wps:cNvSpPr/>
                        <wps:spPr>
                          <a:xfrm rot="-10799999">
                            <a:off x="-1376463" y="547725"/>
                            <a:ext cx="5309036" cy="142889"/>
                          </a:xfrm>
                          <a:prstGeom prst="rect">
                            <a:avLst/>
                          </a:prstGeom>
                          <a:ln>
                            <a:noFill/>
                          </a:ln>
                        </wps:spPr>
                        <wps:txbx>
                          <w:txbxContent>
                            <w:p w14:paraId="37449DDE" w14:textId="77777777" w:rsidR="00B32EF2" w:rsidRDefault="00000000">
                              <w:r>
                                <w:rPr>
                                  <w:rFonts w:ascii="Arial" w:eastAsia="Arial" w:hAnsi="Arial" w:cs="Arial"/>
                                  <w:sz w:val="18"/>
                                </w:rPr>
                                <w:t xml:space="preserve">. Avverso la sentenza della corte di giustizia tributaria di secondo grado può </w:t>
                              </w:r>
                            </w:p>
                          </w:txbxContent>
                        </wps:txbx>
                        <wps:bodyPr horzOverflow="overflow" vert="horz" lIns="0" tIns="0" rIns="0" bIns="0" rtlCol="0">
                          <a:noAutofit/>
                        </wps:bodyPr>
                      </wps:wsp>
                      <wps:wsp>
                        <wps:cNvPr id="14918" name="Rectangle 14918"/>
                        <wps:cNvSpPr/>
                        <wps:spPr>
                          <a:xfrm rot="-10799999">
                            <a:off x="-1317218" y="424395"/>
                            <a:ext cx="5308975" cy="142889"/>
                          </a:xfrm>
                          <a:prstGeom prst="rect">
                            <a:avLst/>
                          </a:prstGeom>
                          <a:ln>
                            <a:noFill/>
                          </a:ln>
                        </wps:spPr>
                        <wps:txbx>
                          <w:txbxContent>
                            <w:p w14:paraId="03701456" w14:textId="77777777" w:rsidR="00B32EF2" w:rsidRDefault="00000000">
                              <w:r>
                                <w:rPr>
                                  <w:rFonts w:ascii="Arial" w:eastAsia="Arial" w:hAnsi="Arial" w:cs="Arial"/>
                                  <w:sz w:val="18"/>
                                </w:rPr>
                                <w:t xml:space="preserve">essere proposto ricorso per cassazione per i motivi di cui ai numeri da 1 a 5 </w:t>
                              </w:r>
                            </w:p>
                          </w:txbxContent>
                        </wps:txbx>
                        <wps:bodyPr horzOverflow="overflow" vert="horz" lIns="0" tIns="0" rIns="0" bIns="0" rtlCol="0">
                          <a:noAutofit/>
                        </wps:bodyPr>
                      </wps:wsp>
                    </wpg:wgp>
                  </a:graphicData>
                </a:graphic>
              </wp:inline>
            </w:drawing>
          </mc:Choice>
          <mc:Fallback>
            <w:pict>
              <v:group w14:anchorId="3719F339" id="Group 199896" o:spid="_x0000_s1612" style="width:314.3pt;height:122.35pt;mso-position-horizontal-relative:char;mso-position-vertical-relative:line" coordsize="39917,15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s6CnAMAAKAXAAAOAAAAZHJzL2Uyb0RvYy54bWzkmN1umzAUx+8n7R0Q9ynYBhujptW0btWk&#10;aa3W7QEcAgEJMLJpSff0OzaBrEmkSYm2RCIXxNiJffz/nXP8cX27rkrnJVW6kPXcRVe+66R1IpdF&#10;vZq7P398nkWuo1tRL0Up63Tuvqbavb15/+66a+IUy1yWy1Q50Emt466Zu3nbNrHn6SRPK6GvZJPW&#10;0JhJVYkWXtXKWyrRQe9V6WHfp14n1bJRMkm1htq7vtG9sf1nWZq0D1mm09Yp5y7Y1tqnss+FeXo3&#10;1yJeKdHkRbIxQxxhRSWKGgYdu7oTrXCeVbHXVVUkSmqZtVeJrDyZZUWS2jnAbJC/M5t7JZ8bO5dV&#10;3K2aUSaQdkeno7tNvr3cq+apeVSgRNesQAv7ZuayzlRlvsFKZ20lex0lS9etk0Al4RyxkLpOAm0o&#10;DAnHuBc1yUH5vf8l+ae//NMbBvbemNM14CB6q4E+TYOnXDSplVbHoMGjcoolTCCIIu46tajAVb+D&#10;84h6VaZOX20Fsr8e5dKxBuUGrRwlwb9myGfcfKw/bLRD3PdDIxOoNKMYXnuRBhkRiwiFkY2KOPRp&#10;QE37KIWIG6Xb+1RWjinMXQW22f7Fy1fd9j8dfmLMKWvzrOXnoiz7VlMDig4Wm1K7XqzttMOQm+FM&#10;3UIuX0GMXKpfDxDWWSm7uSs3JddEOoxuWl2n/FIDBBNUQ0ENhcVQUG35UdrQ6+358NzKrLAGb0fb&#10;GAZ0exv+A2aO8CHMpnojBDjFEZgDFmLGLGYUIOQT8pZzRBENgk20BNh4W49niLUB4r/hTK3bbZWf&#10;AGdymLPlYoQ4inMI6CjqMeOIMX8HMyYhYRH4gc2KZ+CMBjeeTDxDUO2nbY6CQYijOKOAEs4gVUBa&#10;hnWO9d2JeEjbgD6iZwznMVtNAzPnETq0PPf1pyTuGaaYkj6iGQ9IZP1mCxrxAIdBeL6AHvPVZEhj&#10;2FnsRTSQhvpTSCNEMTNbLQhpSzo03V0Q6TFjTYY0gjPiIdJQfwppDB+f9puxiyRtPW9SmzE4AO2B&#10;Djiyh52jN2MQ0b6/yd2UIThn7UQ0IZC9z7hKj9ObTkQfAm1W6VGKo7ZjmCKf4/4UHQaM4R3SIfG5&#10;T6D9XNtuNiSs6ZCG/LoX0ob0KMVRpGeIMLgEgcMbLNMXiXpcm6aBGrL0oVXaVp+ySANoxLDpG0BD&#10;liZ8P6Yjzs64876YqzF7HwrXwPZecHNlbe6Z/3y3V2nbi/Wb3wAAAP//AwBQSwMEFAAGAAgAAAAh&#10;APvwkPjdAAAABQEAAA8AAABkcnMvZG93bnJldi54bWxMj0FLw0AQhe+C/2EZwZvdJNZYYjalFPVU&#10;BFuh9DbNTpPQ7GzIbpP037t60cvA4z3e+yZfTqYVA/WusawgnkUgiEurG64UfO3eHhYgnEfW2Fom&#10;BVdysCxub3LMtB35k4atr0QoYZehgtr7LpPSlTUZdDPbEQfvZHuDPsi+krrHMZSbViZRlEqDDYeF&#10;Gjta11Setxej4H3EcfUYvw6b82l9PeyePvabmJS6v5tWLyA8Tf4vDD/4AR2KwHS0F9ZOtArCI/73&#10;Bi9NFimIo4JkPn8GWeTyP33xDQAA//8DAFBLAQItABQABgAIAAAAIQC2gziS/gAAAOEBAAATAAAA&#10;AAAAAAAAAAAAAAAAAABbQ29udGVudF9UeXBlc10ueG1sUEsBAi0AFAAGAAgAAAAhADj9If/WAAAA&#10;lAEAAAsAAAAAAAAAAAAAAAAALwEAAF9yZWxzLy5yZWxzUEsBAi0AFAAGAAgAAAAhAJzazoKcAwAA&#10;oBcAAA4AAAAAAAAAAAAAAAAALgIAAGRycy9lMm9Eb2MueG1sUEsBAi0AFAAGAAgAAAAhAPvwkPjd&#10;AAAABQEAAA8AAAAAAAAAAAAAAAAA9gUAAGRycy9kb3ducmV2LnhtbFBLBQYAAAAABAAEAPMAAAAA&#10;BwAAAAA=&#10;">
                <v:rect id="Rectangle 14889" o:spid="_x0000_s1613" style="position:absolute;left:19005;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WixAAAAN4AAAAPAAAAZHJzL2Rvd25yZXYueG1sRE9La8JA&#10;EL4X/A/LCL3VjVJKjK4iijQHL/UBHofsmESzs0t2Nam/vlso9DYf33Pmy9404kGtry0rGI8SEMSF&#10;1TWXCo6H7VsKwgdkjY1lUvBNHpaLwcscM207/qLHPpQihrDPUEEVgsuk9EVFBv3IOuLIXWxrMETY&#10;llK32MVw08hJknxIgzXHhgodrSsqbvu7UXDesMu3nSwuz7XbXfO0+bwfT0q9DvvVDESgPvyL/9y5&#10;jvPf03QKv+/EG+TiBwAA//8DAFBLAQItABQABgAIAAAAIQDb4fbL7gAAAIUBAAATAAAAAAAAAAAA&#10;AAAAAAAAAABbQ29udGVudF9UeXBlc10ueG1sUEsBAi0AFAAGAAgAAAAhAFr0LFu/AAAAFQEAAAsA&#10;AAAAAAAAAAAAAAAAHwEAAF9yZWxzLy5yZWxzUEsBAi0AFAAGAAgAAAAhAAyddaLEAAAA3gAAAA8A&#10;AAAAAAAAAAAAAAAABwIAAGRycy9kb3ducmV2LnhtbFBLBQYAAAAAAwADALcAAAD4AgAAAAA=&#10;" filled="f" stroked="f">
                  <v:textbox inset="0,0,0,0">
                    <w:txbxContent>
                      <w:p w14:paraId="58070BC6" w14:textId="77777777" w:rsidR="00B32EF2" w:rsidRDefault="00000000">
                        <w:r>
                          <w:rPr>
                            <w:rFonts w:ascii="Times New Roman" w:eastAsia="Times New Roman" w:hAnsi="Times New Roman" w:cs="Times New Roman"/>
                          </w:rPr>
                          <w:t>97</w:t>
                        </w:r>
                      </w:p>
                    </w:txbxContent>
                  </v:textbox>
                </v:rect>
                <v:rect id="Rectangle 14912" o:spid="_x0000_s1614" style="position:absolute;left:14752;top:14110;width:86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n3JxAAAAN4AAAAPAAAAZHJzL2Rvd25yZXYueG1sRE9Li8Iw&#10;EL4L+x/CLHhbU2URrUZZXGR78LI+wOPQjG21mYQm2uqvNwsL3ubje8582Zla3KjxlWUFw0ECgji3&#10;uuJCwX63/piA8AFZY22ZFNzJw3Lx1ptjqm3Lv3TbhkLEEPYpKihDcKmUPi/JoB9YRxy5k20Mhgib&#10;QuoG2xhuajlKkrE0WHFsKNHRqqT8sr0aBcdvdtm6lfnpsXKbczapf677g1L99+5rBiJQF17if3em&#10;4/zP6XAEf+/EG+TiCQAA//8DAFBLAQItABQABgAIAAAAIQDb4fbL7gAAAIUBAAATAAAAAAAAAAAA&#10;AAAAAAAAAABbQ29udGVudF9UeXBlc10ueG1sUEsBAi0AFAAGAAgAAAAhAFr0LFu/AAAAFQEAAAsA&#10;AAAAAAAAAAAAAAAAHwEAAF9yZWxzLy5yZWxzUEsBAi0AFAAGAAgAAAAhAJzSfcnEAAAA3gAAAA8A&#10;AAAAAAAAAAAAAAAABwIAAGRycy9kb3ducmV2LnhtbFBLBQYAAAAAAwADALcAAAD4AgAAAAA=&#10;" filled="f" stroked="f">
                  <v:textbox inset="0,0,0,0">
                    <w:txbxContent>
                      <w:p w14:paraId="508279E8" w14:textId="77777777" w:rsidR="00B32EF2" w:rsidRDefault="00000000">
                        <w:r>
                          <w:rPr>
                            <w:rFonts w:ascii="Arial" w:eastAsia="Arial" w:hAnsi="Arial" w:cs="Arial"/>
                            <w:b/>
                            <w:sz w:val="18"/>
                          </w:rPr>
                          <w:t>SEZIONE III</w:t>
                        </w:r>
                      </w:p>
                    </w:txbxContent>
                  </v:textbox>
                </v:rect>
                <v:rect id="Rectangle 14913" o:spid="_x0000_s1615" style="position:absolute;left:5428;top:12877;width:2353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thSxQAAAN4AAAAPAAAAZHJzL2Rvd25yZXYueG1sRE9La8JA&#10;EL4X/A/LCN7qxlpEo6uIRZpDL/UBHofsmESzs0t2NWl/fbcgeJuP7zmLVWdqcafGV5YVjIYJCOLc&#10;6ooLBYf99nUKwgdkjbVlUvBDHlbL3ssCU21b/qb7LhQihrBPUUEZgkul9HlJBv3QOuLInW1jMETY&#10;FFI32MZwU8u3JJlIgxXHhhIdbUrKr7ubUXD6YJdtW5mffzfu65JN68/b4ajUoN+t5yACdeEpfrgz&#10;Hee/z0Zj+H8n3iCXfwAAAP//AwBQSwECLQAUAAYACAAAACEA2+H2y+4AAACFAQAAEwAAAAAAAAAA&#10;AAAAAAAAAAAAW0NvbnRlbnRfVHlwZXNdLnhtbFBLAQItABQABgAIAAAAIQBa9CxbvwAAABUBAAAL&#10;AAAAAAAAAAAAAAAAAB8BAABfcmVscy8ucmVsc1BLAQItABQABgAIAAAAIQDznthSxQAAAN4AAAAP&#10;AAAAAAAAAAAAAAAAAAcCAABkcnMvZG93bnJldi54bWxQSwUGAAAAAAMAAwC3AAAA+QIAAAAA&#10;" filled="f" stroked="f">
                  <v:textbox inset="0,0,0,0">
                    <w:txbxContent>
                      <w:p w14:paraId="6101B69E" w14:textId="77777777" w:rsidR="00B32EF2" w:rsidRDefault="00000000">
                        <w:r>
                          <w:rPr>
                            <w:rFonts w:ascii="Arial" w:eastAsia="Arial" w:hAnsi="Arial" w:cs="Arial"/>
                            <w:b/>
                            <w:sz w:val="18"/>
                          </w:rPr>
                          <w:t xml:space="preserve"> IL RICORSO PER CASSAZIONE</w:t>
                        </w:r>
                      </w:p>
                    </w:txbxContent>
                  </v:textbox>
                </v:rect>
                <v:rect id="Rectangle 14914" o:spid="_x0000_s1616" style="position:absolute;left:14639;top:9177;width:87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0AmxAAAAN4AAAAPAAAAZHJzL2Rvd25yZXYueG1sRE9Li8Iw&#10;EL4v7H8II3jT1EUW7RpFXGR78OIL9jg0Y1ttJqGJtvrrN4Kwt/n4njNbdKYWN2p8ZVnBaJiAIM6t&#10;rrhQcNivBxMQPiBrrC2Tgjt5WMzf32aYatvylm67UIgYwj5FBWUILpXS5yUZ9EPriCN3so3BEGFT&#10;SN1gG8NNLT+S5FMarDg2lOhoVVJ+2V2Ngt9vdtm6lfnpsXKbczapf66Ho1L9Xrf8AhGoC//ilzvT&#10;cf54OhrD8514g5z/AQAA//8DAFBLAQItABQABgAIAAAAIQDb4fbL7gAAAIUBAAATAAAAAAAAAAAA&#10;AAAAAAAAAABbQ29udGVudF9UeXBlc10ueG1sUEsBAi0AFAAGAAgAAAAhAFr0LFu/AAAAFQEAAAsA&#10;AAAAAAAAAAAAAAAAHwEAAF9yZWxzLy5yZWxzUEsBAi0AFAAGAAgAAAAhAHx3QCbEAAAA3gAAAA8A&#10;AAAAAAAAAAAAAAAABwIAAGRycy9kb3ducmV2LnhtbFBLBQYAAAAAAwADALcAAAD4AgAAAAA=&#10;" filled="f" stroked="f">
                  <v:textbox inset="0,0,0,0">
                    <w:txbxContent>
                      <w:p w14:paraId="1D0390D9" w14:textId="77777777" w:rsidR="00B32EF2" w:rsidRDefault="00000000">
                        <w:r>
                          <w:rPr>
                            <w:rFonts w:ascii="Arial" w:eastAsia="Arial" w:hAnsi="Arial" w:cs="Arial"/>
                            <w:b/>
                            <w:sz w:val="18"/>
                          </w:rPr>
                          <w:t>Articolo 116</w:t>
                        </w:r>
                      </w:p>
                    </w:txbxContent>
                  </v:textbox>
                </v:rect>
                <v:rect id="Rectangle 199819" o:spid="_x0000_s1617" style="position:absolute;left:-2626;top:7943;width:194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TT8xAAAAN8AAAAPAAAAZHJzL2Rvd25yZXYueG1sRE/Pa8Iw&#10;FL4P/B/CE7zNVA+jrUYRRdaDlzkHOz6aZ1ttXkITbfWvXwaDHT++38v1YFpxp843lhXMpgkI4tLq&#10;hisFp8/9awrCB2SNrWVS8CAP69XoZYm5tj1/0P0YKhFD2OeooA7B5VL6siaDfmodceTOtjMYIuwq&#10;qTvsY7hp5TxJ3qTBhmNDjY62NZXX480o+N6xK/a9LM/PrTtcirR9v52+lJqMh80CRKAh/Iv/3IWO&#10;87MsnWXw+ycCkKsfAAAA//8DAFBLAQItABQABgAIAAAAIQDb4fbL7gAAAIUBAAATAAAAAAAAAAAA&#10;AAAAAAAAAABbQ29udGVudF9UeXBlc10ueG1sUEsBAi0AFAAGAAgAAAAhAFr0LFu/AAAAFQEAAAsA&#10;AAAAAAAAAAAAAAAAHwEAAF9yZWxzLy5yZWxzUEsBAi0AFAAGAAgAAAAhAEjRNPzEAAAA3wAAAA8A&#10;AAAAAAAAAAAAAAAABwIAAGRycy9kb3ducmV2LnhtbFBLBQYAAAAAAwADALcAAAD4AgAAAAA=&#10;" filled="f" stroked="f">
                  <v:textbox inset="0,0,0,0">
                    <w:txbxContent>
                      <w:p w14:paraId="0E1F6044" w14:textId="77777777" w:rsidR="00B32EF2" w:rsidRDefault="00000000">
                        <w:r>
                          <w:rPr>
                            <w:rFonts w:ascii="Arial" w:eastAsia="Arial" w:hAnsi="Arial" w:cs="Arial"/>
                            <w:i/>
                            <w:sz w:val="18"/>
                          </w:rPr>
                          <w:t>546/92)</w:t>
                        </w:r>
                      </w:p>
                    </w:txbxContent>
                  </v:textbox>
                </v:rect>
                <v:rect id="Rectangle 199820" o:spid="_x0000_s1618" style="position:absolute;left:11627;top:7943;width:194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1fcxAAAAN8AAAAPAAAAZHJzL2Rvd25yZXYueG1sRE89b8Iw&#10;EN0r9T9YV6lbccpQhYBBFQiRoUspSIyn+EgC8dmKDUn763tDpY5P73uxGl2n7tTH1rOB10kGirjy&#10;tuXawOFr+5KDignZYueZDHxThNXy8WGBhfUDf9J9n2olIRwLNNCkFAqtY9WQwzjxgVi4s+8dJoF9&#10;rW2Pg4S7Tk+z7E07bFkaGgy0bqi67m/OwGnDodwOujr/rMPHpcy73e1wNOb5aXyfg0o0pn/xn7u0&#10;Mn82y6fyQP4IAL38BQAA//8DAFBLAQItABQABgAIAAAAIQDb4fbL7gAAAIUBAAATAAAAAAAAAAAA&#10;AAAAAAAAAABbQ29udGVudF9UeXBlc10ueG1sUEsBAi0AFAAGAAgAAAAhAFr0LFu/AAAAFQEAAAsA&#10;AAAAAAAAAAAAAAAAHwEAAF9yZWxzLy5yZWxzUEsBAi0AFAAGAAgAAAAhABeHV9zEAAAA3wAAAA8A&#10;AAAAAAAAAAAAAAAABwIAAGRycy9kb3ducmV2LnhtbFBLBQYAAAAAAwADALcAAAD4AgAAAAA=&#10;" filled="f" stroked="f">
                  <v:textbox inset="0,0,0,0">
                    <w:txbxContent>
                      <w:p w14:paraId="38E72893" w14:textId="77777777" w:rsidR="00B32EF2" w:rsidRDefault="00000000">
                        <w:r>
                          <w:rPr>
                            <w:rFonts w:ascii="Arial" w:eastAsia="Arial" w:hAnsi="Arial" w:cs="Arial"/>
                            <w:i/>
                            <w:sz w:val="18"/>
                          </w:rPr>
                          <w:t xml:space="preserve">articolo 62 D.lgs. n. </w:t>
                        </w:r>
                      </w:p>
                    </w:txbxContent>
                  </v:textbox>
                </v:rect>
                <v:rect id="Rectangle 199818" o:spid="_x0000_s1619" style="position:absolute;left:22220;top:7943;width:194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ZFnxAAAAN8AAAAPAAAAZHJzL2Rvd25yZXYueG1sRE89b8Iw&#10;EN0r8R+sQ+pWHDpUIcUgBELN0KUUpI6n+EgC8dmKDUn763tDpY5P73u5Hl2n7tTH1rOB+SwDRVx5&#10;23Jt4Pi5f8pBxYRssfNMBr4pwno1eVhiYf3AH3Q/pFpJCMcCDTQphULrWDXkMM58IBbu7HuHSWBf&#10;a9vjIOGu089Z9qIdtiwNDQbaNlRdDzdn4GvHodwPujr/bMP7pcy7t9vxZMzjdNy8gko0pn/xn7u0&#10;Mn+xyOcyWP4IAL36BQAA//8DAFBLAQItABQABgAIAAAAIQDb4fbL7gAAAIUBAAATAAAAAAAAAAAA&#10;AAAAAAAAAABbQ29udGVudF9UeXBlc10ueG1sUEsBAi0AFAAGAAgAAAAhAFr0LFu/AAAAFQEAAAsA&#10;AAAAAAAAAAAAAAAAHwEAAF9yZWxzLy5yZWxzUEsBAi0AFAAGAAgAAAAhACedkWfEAAAA3wAAAA8A&#10;AAAAAAAAAAAAAAAABwIAAGRycy9kb3ducmV2LnhtbFBLBQYAAAAAAwADALcAAAD4AgAAAAA=&#10;" filled="f" stroked="f">
                  <v:textbox inset="0,0,0,0">
                    <w:txbxContent>
                      <w:p w14:paraId="4F376356" w14:textId="77777777" w:rsidR="00B32EF2" w:rsidRDefault="00000000">
                        <w:r>
                          <w:rPr>
                            <w:rFonts w:ascii="Arial" w:eastAsia="Arial" w:hAnsi="Arial" w:cs="Arial"/>
                            <w:i/>
                            <w:sz w:val="18"/>
                          </w:rPr>
                          <w:t>(</w:t>
                        </w:r>
                      </w:p>
                    </w:txbxContent>
                  </v:textbox>
                </v:rect>
                <v:rect id="Rectangle 14916" o:spid="_x0000_s1620" style="position:absolute;left:11600;top:6710;width:133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XvKxAAAAN4AAAAPAAAAZHJzL2Rvd25yZXYueG1sRE9Li8Iw&#10;EL4L+x/CLHhbUxcRrUZZXGR78LI+wOPQjG21mYQm2uqvNwsL3ubje8582Zla3KjxlWUFw0ECgji3&#10;uuJCwX63/piA8AFZY22ZFNzJw3Lx1ptjqm3Lv3TbhkLEEPYpKihDcKmUPi/JoB9YRxy5k20Mhgib&#10;QuoG2xhuavmZJGNpsOLYUKKjVUn5ZXs1Co7f7LJ1K/PTY+U252xS/1z3B6X6793XDESgLrzE/+5M&#10;x/mj6XAMf+/EG+TiCQAA//8DAFBLAQItABQABgAIAAAAIQDb4fbL7gAAAIUBAAATAAAAAAAAAAAA&#10;AAAAAAAAAABbQ29udGVudF9UeXBlc10ueG1sUEsBAi0AFAAGAAgAAAAhAFr0LFu/AAAAFQEAAAsA&#10;AAAAAAAAAAAAAAAAHwEAAF9yZWxzLy5yZWxzUEsBAi0AFAAGAAgAAAAhAOPpe8rEAAAA3gAAAA8A&#10;AAAAAAAAAAAAAAAABwIAAGRycy9kb3ducmV2LnhtbFBLBQYAAAAAAwADALcAAAD4AgAAAAA=&#10;" filled="f" stroked="f">
                  <v:textbox inset="0,0,0,0">
                    <w:txbxContent>
                      <w:p w14:paraId="3B0B0448" w14:textId="77777777" w:rsidR="00B32EF2" w:rsidRDefault="00000000">
                        <w:r>
                          <w:rPr>
                            <w:rFonts w:ascii="Arial" w:eastAsia="Arial" w:hAnsi="Arial" w:cs="Arial"/>
                            <w:b/>
                            <w:sz w:val="18"/>
                          </w:rPr>
                          <w:t xml:space="preserve">Norme applicabili </w:t>
                        </w:r>
                      </w:p>
                    </w:txbxContent>
                  </v:textbox>
                </v:rect>
                <v:rect id="Rectangle 199816" o:spid="_x0000_s1621" style="position:absolute;left:26109;top:547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qCOxAAAAN8AAAAPAAAAZHJzL2Rvd25yZXYueG1sRE/LasJA&#10;FN0X/IfhCt3ViV1IjE5EFGkW3dQquLxkbh6auTNkRpP26zuFQpeH815vRtOJB/W+taxgPktAEJdW&#10;t1wrOH0eXlIQPiBr7CyTgi/ysMknT2vMtB34gx7HUIsYwj5DBU0ILpPSlw0Z9DPriCNX2d5giLCv&#10;pe5xiOGmk69JspAGW44NDTraNVTejnej4LJnVxwGWVbfO/d+LdLu7X46K/U8HbcrEIHG8C/+cxc6&#10;zl8u0/kCfv9EADL/AQAA//8DAFBLAQItABQABgAIAAAAIQDb4fbL7gAAAIUBAAATAAAAAAAAAAAA&#10;AAAAAAAAAABbQ29udGVudF9UeXBlc10ueG1sUEsBAi0AFAAGAAgAAAAhAFr0LFu/AAAAFQEAAAsA&#10;AAAAAAAAAAAAAAAAHwEAAF9yZWxzLy5yZWxzUEsBAi0AFAAGAAgAAAAhADlOoI7EAAAA3wAAAA8A&#10;AAAAAAAAAAAAAAAABwIAAGRycy9kb3ducmV2LnhtbFBLBQYAAAAAAwADALcAAAD4AgAAAAA=&#10;" filled="f" stroked="f">
                  <v:textbox inset="0,0,0,0">
                    <w:txbxContent>
                      <w:p w14:paraId="6DD1EC1A" w14:textId="77777777" w:rsidR="00B32EF2" w:rsidRDefault="00000000">
                        <w:r>
                          <w:rPr>
                            <w:rFonts w:ascii="Arial" w:eastAsia="Arial" w:hAnsi="Arial" w:cs="Arial"/>
                            <w:sz w:val="18"/>
                          </w:rPr>
                          <w:t>1</w:t>
                        </w:r>
                      </w:p>
                    </w:txbxContent>
                  </v:textbox>
                </v:rect>
                <v:rect id="Rectangle 199817" o:spid="_x0000_s1622" style="position:absolute;left:-13764;top:547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gUVxAAAAN8AAAAPAAAAZHJzL2Rvd25yZXYueG1sRE/LasJA&#10;FN0L/sNwBXc6sQsbo6OIIs2im/oAl5fMNUmbuTNkRpP26zuFgsvDea82vWnEg1pfW1YwmyYgiAur&#10;ay4VnE+HSQrCB2SNjWVS8E0eNuvhYIWZth1/0OMYShFD2GeooArBZVL6oiKDfmodceRutjUYImxL&#10;qVvsYrhp5EuSzKXBmmNDhY52FRVfx7tRcN2zyw+dLG4/O/f+mafN2/18UWo86rdLEIH68BT/u3Md&#10;5y8W6ewV/v5EAHL9CwAA//8DAFBLAQItABQABgAIAAAAIQDb4fbL7gAAAIUBAAATAAAAAAAAAAAA&#10;AAAAAAAAAABbQ29udGVudF9UeXBlc10ueG1sUEsBAi0AFAAGAAgAAAAhAFr0LFu/AAAAFQEAAAsA&#10;AAAAAAAAAAAAAAAAHwEAAF9yZWxzLy5yZWxzUEsBAi0AFAAGAAgAAAAhAFYCBRXEAAAA3wAAAA8A&#10;AAAAAAAAAAAAAAAABwIAAGRycy9kb3ducmV2LnhtbFBLBQYAAAAAAwADALcAAAD4AgAAAAA=&#10;" filled="f" stroked="f">
                  <v:textbox inset="0,0,0,0">
                    <w:txbxContent>
                      <w:p w14:paraId="37449DDE" w14:textId="77777777" w:rsidR="00B32EF2" w:rsidRDefault="00000000">
                        <w:r>
                          <w:rPr>
                            <w:rFonts w:ascii="Arial" w:eastAsia="Arial" w:hAnsi="Arial" w:cs="Arial"/>
                            <w:sz w:val="18"/>
                          </w:rPr>
                          <w:t xml:space="preserve">. Avverso la sentenza della corte di giustizia tributaria di secondo grado può </w:t>
                        </w:r>
                      </w:p>
                    </w:txbxContent>
                  </v:textbox>
                </v:rect>
                <v:rect id="Rectangle 14918" o:spid="_x0000_s1623" style="position:absolute;left:-13172;top:424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kojyAAAAN4AAAAPAAAAZHJzL2Rvd25yZXYueG1sRI9Pa8JA&#10;EMXvQr/DMoXedGMpxUZXKRZpDr34p+BxyI5JNDu7ZFeT9tM7h0JvM7w37/1msRpcq27Uxcazgekk&#10;A0VcettwZeCw34xnoGJCtth6JgM/FGG1fBgtMLe+5y3ddqlSEsIxRwN1SiHXOpY1OYwTH4hFO/nO&#10;YZK1q7TtsJdw1+rnLHvVDhuWhhoDrWsqL7urM3D84FBsel2eftfh61zM2s/r4duYp8fhfQ4q0ZD+&#10;zX/XhRX8l7ep8Mo7MoNe3gEAAP//AwBQSwECLQAUAAYACAAAACEA2+H2y+4AAACFAQAAEwAAAAAA&#10;AAAAAAAAAAAAAAAAW0NvbnRlbnRfVHlwZXNdLnhtbFBLAQItABQABgAIAAAAIQBa9CxbvwAAABUB&#10;AAALAAAAAAAAAAAAAAAAAB8BAABfcmVscy8ucmVsc1BLAQItABQABgAIAAAAIQD9OkojyAAAAN4A&#10;AAAPAAAAAAAAAAAAAAAAAAcCAABkcnMvZG93bnJldi54bWxQSwUGAAAAAAMAAwC3AAAA/AIAAAAA&#10;" filled="f" stroked="f">
                  <v:textbox inset="0,0,0,0">
                    <w:txbxContent>
                      <w:p w14:paraId="03701456" w14:textId="77777777" w:rsidR="00B32EF2" w:rsidRDefault="00000000">
                        <w:r>
                          <w:rPr>
                            <w:rFonts w:ascii="Arial" w:eastAsia="Arial" w:hAnsi="Arial" w:cs="Arial"/>
                            <w:sz w:val="18"/>
                          </w:rPr>
                          <w:t xml:space="preserve">essere proposto ricorso per cassazione per i motivi di cui ai numeri da 1 a 5 </w:t>
                        </w:r>
                      </w:p>
                    </w:txbxContent>
                  </v:textbox>
                </v:rect>
                <w10:anchorlock/>
              </v:group>
            </w:pict>
          </mc:Fallback>
        </mc:AlternateContent>
      </w:r>
    </w:p>
    <w:p w14:paraId="7575FE06" w14:textId="77777777" w:rsidR="00B32EF2" w:rsidRDefault="00000000">
      <w:pPr>
        <w:spacing w:after="0"/>
        <w:ind w:left="-356" w:right="-306"/>
      </w:pPr>
      <w:r>
        <w:rPr>
          <w:noProof/>
        </w:rPr>
        <w:lastRenderedPageBreak/>
        <mc:AlternateContent>
          <mc:Choice Requires="wpg">
            <w:drawing>
              <wp:inline distT="0" distB="0" distL="0" distR="0" wp14:anchorId="583543A4" wp14:editId="0E70D534">
                <wp:extent cx="3991768" cy="4322934"/>
                <wp:effectExtent l="0" t="0" r="0" b="0"/>
                <wp:docPr id="199897" name="Group 199897"/>
                <wp:cNvGraphicFramePr/>
                <a:graphic xmlns:a="http://schemas.openxmlformats.org/drawingml/2006/main">
                  <a:graphicData uri="http://schemas.microsoft.com/office/word/2010/wordprocessingGroup">
                    <wpg:wgp>
                      <wpg:cNvGrpSpPr/>
                      <wpg:grpSpPr>
                        <a:xfrm>
                          <a:off x="0" y="0"/>
                          <a:ext cx="3991768" cy="4322934"/>
                          <a:chOff x="0" y="0"/>
                          <a:chExt cx="3991768" cy="4322934"/>
                        </a:xfrm>
                      </wpg:grpSpPr>
                      <wps:wsp>
                        <wps:cNvPr id="14890" name="Rectangle 14890"/>
                        <wps:cNvSpPr/>
                        <wps:spPr>
                          <a:xfrm rot="-10799999">
                            <a:off x="-1218714" y="4180044"/>
                            <a:ext cx="5210482" cy="142890"/>
                          </a:xfrm>
                          <a:prstGeom prst="rect">
                            <a:avLst/>
                          </a:prstGeom>
                          <a:ln>
                            <a:noFill/>
                          </a:ln>
                        </wps:spPr>
                        <wps:txbx>
                          <w:txbxContent>
                            <w:p w14:paraId="1CC0BEED" w14:textId="77777777" w:rsidR="00B32EF2" w:rsidRDefault="00000000">
                              <w:r>
                                <w:rPr>
                                  <w:rFonts w:ascii="Arial" w:eastAsia="Arial" w:hAnsi="Arial" w:cs="Arial"/>
                                  <w:sz w:val="18"/>
                                </w:rPr>
                                <w:t>do grado decide nel merito previamente ordinando, ove occorra, la rinnovazio</w:t>
                              </w:r>
                            </w:p>
                          </w:txbxContent>
                        </wps:txbx>
                        <wps:bodyPr horzOverflow="overflow" vert="horz" lIns="0" tIns="0" rIns="0" bIns="0" rtlCol="0">
                          <a:noAutofit/>
                        </wps:bodyPr>
                      </wps:wsp>
                      <wps:wsp>
                        <wps:cNvPr id="14891" name="Rectangle 14891"/>
                        <wps:cNvSpPr/>
                        <wps:spPr>
                          <a:xfrm rot="-10799999">
                            <a:off x="19169" y="4180045"/>
                            <a:ext cx="50622" cy="142889"/>
                          </a:xfrm>
                          <a:prstGeom prst="rect">
                            <a:avLst/>
                          </a:prstGeom>
                          <a:ln>
                            <a:noFill/>
                          </a:ln>
                        </wps:spPr>
                        <wps:txbx>
                          <w:txbxContent>
                            <w:p w14:paraId="4543C3E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892" name="Rectangle 14892"/>
                        <wps:cNvSpPr/>
                        <wps:spPr>
                          <a:xfrm rot="-10799999">
                            <a:off x="1410516" y="4053056"/>
                            <a:ext cx="2581252" cy="142890"/>
                          </a:xfrm>
                          <a:prstGeom prst="rect">
                            <a:avLst/>
                          </a:prstGeom>
                          <a:ln>
                            <a:noFill/>
                          </a:ln>
                        </wps:spPr>
                        <wps:txbx>
                          <w:txbxContent>
                            <w:p w14:paraId="5352E4A2" w14:textId="77777777" w:rsidR="00B32EF2" w:rsidRDefault="00000000">
                              <w:r>
                                <w:rPr>
                                  <w:rFonts w:ascii="Arial" w:eastAsia="Arial" w:hAnsi="Arial" w:cs="Arial"/>
                                  <w:sz w:val="18"/>
                                </w:rPr>
                                <w:t>ne di atti nulli compiuti in primo grado.</w:t>
                              </w:r>
                            </w:p>
                          </w:txbxContent>
                        </wps:txbx>
                        <wps:bodyPr horzOverflow="overflow" vert="horz" lIns="0" tIns="0" rIns="0" bIns="0" rtlCol="0">
                          <a:noAutofit/>
                        </wps:bodyPr>
                      </wps:wsp>
                      <wps:wsp>
                        <wps:cNvPr id="199839" name="Rectangle 199839"/>
                        <wps:cNvSpPr/>
                        <wps:spPr>
                          <a:xfrm rot="-10799999">
                            <a:off x="-1285303" y="3926071"/>
                            <a:ext cx="5212549" cy="142889"/>
                          </a:xfrm>
                          <a:prstGeom prst="rect">
                            <a:avLst/>
                          </a:prstGeom>
                          <a:ln>
                            <a:noFill/>
                          </a:ln>
                        </wps:spPr>
                        <wps:txbx>
                          <w:txbxContent>
                            <w:p w14:paraId="34544168" w14:textId="77777777" w:rsidR="00B32EF2" w:rsidRDefault="00000000">
                              <w:r>
                                <w:rPr>
                                  <w:rFonts w:ascii="Arial" w:eastAsia="Arial" w:hAnsi="Arial" w:cs="Arial"/>
                                  <w:sz w:val="18"/>
                                </w:rPr>
                                <w:t>. Dopo che la sentenza di rimessione della causa al primo grado è formal</w:t>
                              </w:r>
                            </w:p>
                          </w:txbxContent>
                        </wps:txbx>
                        <wps:bodyPr horzOverflow="overflow" vert="horz" lIns="0" tIns="0" rIns="0" bIns="0" rtlCol="0">
                          <a:noAutofit/>
                        </wps:bodyPr>
                      </wps:wsp>
                      <wps:wsp>
                        <wps:cNvPr id="199838" name="Rectangle 199838"/>
                        <wps:cNvSpPr/>
                        <wps:spPr>
                          <a:xfrm rot="-10799999">
                            <a:off x="2634878" y="3926071"/>
                            <a:ext cx="5212550" cy="142889"/>
                          </a:xfrm>
                          <a:prstGeom prst="rect">
                            <a:avLst/>
                          </a:prstGeom>
                          <a:ln>
                            <a:noFill/>
                          </a:ln>
                        </wps:spPr>
                        <wps:txbx>
                          <w:txbxContent>
                            <w:p w14:paraId="7337228A"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4894" name="Rectangle 14894"/>
                        <wps:cNvSpPr/>
                        <wps:spPr>
                          <a:xfrm rot="-10799999">
                            <a:off x="19169" y="3926070"/>
                            <a:ext cx="50622" cy="142889"/>
                          </a:xfrm>
                          <a:prstGeom prst="rect">
                            <a:avLst/>
                          </a:prstGeom>
                          <a:ln>
                            <a:noFill/>
                          </a:ln>
                        </wps:spPr>
                        <wps:txbx>
                          <w:txbxContent>
                            <w:p w14:paraId="7B9C7ED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895" name="Rectangle 14895"/>
                        <wps:cNvSpPr/>
                        <wps:spPr>
                          <a:xfrm rot="-10799999">
                            <a:off x="-1317253" y="3799083"/>
                            <a:ext cx="5309021" cy="142889"/>
                          </a:xfrm>
                          <a:prstGeom prst="rect">
                            <a:avLst/>
                          </a:prstGeom>
                          <a:ln>
                            <a:noFill/>
                          </a:ln>
                        </wps:spPr>
                        <wps:txbx>
                          <w:txbxContent>
                            <w:p w14:paraId="73C7EA0B" w14:textId="77777777" w:rsidR="00B32EF2" w:rsidRDefault="00000000">
                              <w:r>
                                <w:rPr>
                                  <w:rFonts w:ascii="Arial" w:eastAsia="Arial" w:hAnsi="Arial" w:cs="Arial"/>
                                  <w:sz w:val="18"/>
                                </w:rPr>
                                <w:t xml:space="preserve">mente passata in giudicato, la segreteria della corte di giustizia tributaria di </w:t>
                              </w:r>
                            </w:p>
                          </w:txbxContent>
                        </wps:txbx>
                        <wps:bodyPr horzOverflow="overflow" vert="horz" lIns="0" tIns="0" rIns="0" bIns="0" rtlCol="0">
                          <a:noAutofit/>
                        </wps:bodyPr>
                      </wps:wsp>
                      <wps:wsp>
                        <wps:cNvPr id="14896" name="Rectangle 14896"/>
                        <wps:cNvSpPr/>
                        <wps:spPr>
                          <a:xfrm rot="-10799999">
                            <a:off x="-1317283" y="3672095"/>
                            <a:ext cx="5309051" cy="142889"/>
                          </a:xfrm>
                          <a:prstGeom prst="rect">
                            <a:avLst/>
                          </a:prstGeom>
                          <a:ln>
                            <a:noFill/>
                          </a:ln>
                        </wps:spPr>
                        <wps:txbx>
                          <w:txbxContent>
                            <w:p w14:paraId="300032A8" w14:textId="77777777" w:rsidR="00B32EF2" w:rsidRDefault="00000000">
                              <w:r>
                                <w:rPr>
                                  <w:rFonts w:ascii="Arial" w:eastAsia="Arial" w:hAnsi="Arial" w:cs="Arial"/>
                                  <w:sz w:val="18"/>
                                </w:rPr>
                                <w:t xml:space="preserve">secondo grado, nei successivi trenta giorni, trasmette d’ufficio il fascicolo del </w:t>
                              </w:r>
                            </w:p>
                          </w:txbxContent>
                        </wps:txbx>
                        <wps:bodyPr horzOverflow="overflow" vert="horz" lIns="0" tIns="0" rIns="0" bIns="0" rtlCol="0">
                          <a:noAutofit/>
                        </wps:bodyPr>
                      </wps:wsp>
                      <wps:wsp>
                        <wps:cNvPr id="14897" name="Rectangle 14897"/>
                        <wps:cNvSpPr/>
                        <wps:spPr>
                          <a:xfrm rot="-10799999">
                            <a:off x="-1317267" y="3545109"/>
                            <a:ext cx="5309035" cy="142889"/>
                          </a:xfrm>
                          <a:prstGeom prst="rect">
                            <a:avLst/>
                          </a:prstGeom>
                          <a:ln>
                            <a:noFill/>
                          </a:ln>
                        </wps:spPr>
                        <wps:txbx>
                          <w:txbxContent>
                            <w:p w14:paraId="3B73008B" w14:textId="77777777" w:rsidR="00B32EF2" w:rsidRDefault="00000000">
                              <w:r>
                                <w:rPr>
                                  <w:rFonts w:ascii="Arial" w:eastAsia="Arial" w:hAnsi="Arial" w:cs="Arial"/>
                                  <w:sz w:val="18"/>
                                </w:rPr>
                                <w:t xml:space="preserve">processo alla segreteria della corte di giustizia tributaria di primo grado, senza </w:t>
                              </w:r>
                            </w:p>
                          </w:txbxContent>
                        </wps:txbx>
                        <wps:bodyPr horzOverflow="overflow" vert="horz" lIns="0" tIns="0" rIns="0" bIns="0" rtlCol="0">
                          <a:noAutofit/>
                        </wps:bodyPr>
                      </wps:wsp>
                      <wps:wsp>
                        <wps:cNvPr id="14898" name="Rectangle 14898"/>
                        <wps:cNvSpPr/>
                        <wps:spPr>
                          <a:xfrm rot="-10799999">
                            <a:off x="924099" y="3418121"/>
                            <a:ext cx="3067668" cy="142889"/>
                          </a:xfrm>
                          <a:prstGeom prst="rect">
                            <a:avLst/>
                          </a:prstGeom>
                          <a:ln>
                            <a:noFill/>
                          </a:ln>
                        </wps:spPr>
                        <wps:txbx>
                          <w:txbxContent>
                            <w:p w14:paraId="0AD3C6A6" w14:textId="77777777" w:rsidR="00B32EF2" w:rsidRDefault="00000000">
                              <w:r>
                                <w:rPr>
                                  <w:rFonts w:ascii="Arial" w:eastAsia="Arial" w:hAnsi="Arial" w:cs="Arial"/>
                                  <w:sz w:val="18"/>
                                </w:rPr>
                                <w:t>necessità di riassunzione ad istanza di parte.</w:t>
                              </w:r>
                            </w:p>
                          </w:txbxContent>
                        </wps:txbx>
                        <wps:bodyPr horzOverflow="overflow" vert="horz" lIns="0" tIns="0" rIns="0" bIns="0" rtlCol="0">
                          <a:noAutofit/>
                        </wps:bodyPr>
                      </wps:wsp>
                      <wps:wsp>
                        <wps:cNvPr id="14899" name="Rectangle 14899"/>
                        <wps:cNvSpPr/>
                        <wps:spPr>
                          <a:xfrm rot="-10799999">
                            <a:off x="1464426" y="1321173"/>
                            <a:ext cx="878335" cy="142889"/>
                          </a:xfrm>
                          <a:prstGeom prst="rect">
                            <a:avLst/>
                          </a:prstGeom>
                          <a:ln>
                            <a:noFill/>
                          </a:ln>
                        </wps:spPr>
                        <wps:txbx>
                          <w:txbxContent>
                            <w:p w14:paraId="21A429F9" w14:textId="77777777" w:rsidR="00B32EF2" w:rsidRDefault="00000000">
                              <w:r>
                                <w:rPr>
                                  <w:rFonts w:ascii="Arial" w:eastAsia="Arial" w:hAnsi="Arial" w:cs="Arial"/>
                                  <w:b/>
                                  <w:sz w:val="18"/>
                                </w:rPr>
                                <w:t>Articolo 114</w:t>
                              </w:r>
                            </w:p>
                          </w:txbxContent>
                        </wps:txbx>
                        <wps:bodyPr horzOverflow="overflow" vert="horz" lIns="0" tIns="0" rIns="0" bIns="0" rtlCol="0">
                          <a:noAutofit/>
                        </wps:bodyPr>
                      </wps:wsp>
                      <wps:wsp>
                        <wps:cNvPr id="199832" name="Rectangle 199832"/>
                        <wps:cNvSpPr/>
                        <wps:spPr>
                          <a:xfrm rot="-10799999">
                            <a:off x="-266856" y="1197843"/>
                            <a:ext cx="1945615" cy="142889"/>
                          </a:xfrm>
                          <a:prstGeom prst="rect">
                            <a:avLst/>
                          </a:prstGeom>
                          <a:ln>
                            <a:noFill/>
                          </a:ln>
                        </wps:spPr>
                        <wps:txbx>
                          <w:txbxContent>
                            <w:p w14:paraId="1F720268"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833" name="Rectangle 199833"/>
                        <wps:cNvSpPr/>
                        <wps:spPr>
                          <a:xfrm rot="-10799999">
                            <a:off x="1160853" y="1197843"/>
                            <a:ext cx="1945615" cy="142889"/>
                          </a:xfrm>
                          <a:prstGeom prst="rect">
                            <a:avLst/>
                          </a:prstGeom>
                          <a:ln>
                            <a:noFill/>
                          </a:ln>
                        </wps:spPr>
                        <wps:txbx>
                          <w:txbxContent>
                            <w:p w14:paraId="05249F21" w14:textId="77777777" w:rsidR="00B32EF2" w:rsidRDefault="00000000">
                              <w:r>
                                <w:rPr>
                                  <w:rFonts w:ascii="Arial" w:eastAsia="Arial" w:hAnsi="Arial" w:cs="Arial"/>
                                  <w:i/>
                                  <w:sz w:val="18"/>
                                </w:rPr>
                                <w:t xml:space="preserve">articolo 60 D.lgs. n. </w:t>
                              </w:r>
                            </w:p>
                          </w:txbxContent>
                        </wps:txbx>
                        <wps:bodyPr horzOverflow="overflow" vert="horz" lIns="0" tIns="0" rIns="0" bIns="0" rtlCol="0">
                          <a:noAutofit/>
                        </wps:bodyPr>
                      </wps:wsp>
                      <wps:wsp>
                        <wps:cNvPr id="199831" name="Rectangle 199831"/>
                        <wps:cNvSpPr/>
                        <wps:spPr>
                          <a:xfrm rot="-10799999">
                            <a:off x="2222460" y="1197843"/>
                            <a:ext cx="1945615" cy="142889"/>
                          </a:xfrm>
                          <a:prstGeom prst="rect">
                            <a:avLst/>
                          </a:prstGeom>
                          <a:ln>
                            <a:noFill/>
                          </a:ln>
                        </wps:spPr>
                        <wps:txbx>
                          <w:txbxContent>
                            <w:p w14:paraId="4431E30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901" name="Rectangle 14901"/>
                        <wps:cNvSpPr/>
                        <wps:spPr>
                          <a:xfrm rot="-10799999">
                            <a:off x="-615646" y="1074513"/>
                            <a:ext cx="4184505" cy="142889"/>
                          </a:xfrm>
                          <a:prstGeom prst="rect">
                            <a:avLst/>
                          </a:prstGeom>
                          <a:ln>
                            <a:noFill/>
                          </a:ln>
                        </wps:spPr>
                        <wps:txbx>
                          <w:txbxContent>
                            <w:p w14:paraId="1A2B1095" w14:textId="77777777" w:rsidR="00B32EF2" w:rsidRDefault="00000000">
                              <w:r>
                                <w:rPr>
                                  <w:rFonts w:ascii="Arial" w:eastAsia="Arial" w:hAnsi="Arial" w:cs="Arial"/>
                                  <w:b/>
                                  <w:sz w:val="18"/>
                                </w:rPr>
                                <w:t xml:space="preserve">Non riproponibilità dell’appello dichiarato inammissibile </w:t>
                              </w:r>
                            </w:p>
                          </w:txbxContent>
                        </wps:txbx>
                        <wps:bodyPr horzOverflow="overflow" vert="horz" lIns="0" tIns="0" rIns="0" bIns="0" rtlCol="0">
                          <a:noAutofit/>
                        </wps:bodyPr>
                      </wps:wsp>
                      <wps:wsp>
                        <wps:cNvPr id="199827" name="Rectangle 199827"/>
                        <wps:cNvSpPr/>
                        <wps:spPr>
                          <a:xfrm rot="-10799999">
                            <a:off x="-1376451" y="951183"/>
                            <a:ext cx="5309035" cy="142889"/>
                          </a:xfrm>
                          <a:prstGeom prst="rect">
                            <a:avLst/>
                          </a:prstGeom>
                          <a:ln>
                            <a:noFill/>
                          </a:ln>
                        </wps:spPr>
                        <wps:txbx>
                          <w:txbxContent>
                            <w:p w14:paraId="719B1A90" w14:textId="77777777" w:rsidR="00B32EF2" w:rsidRDefault="00000000">
                              <w:r>
                                <w:rPr>
                                  <w:rFonts w:ascii="Arial" w:eastAsia="Arial" w:hAnsi="Arial" w:cs="Arial"/>
                                  <w:sz w:val="18"/>
                                </w:rPr>
                                <w:t xml:space="preserve">. L’appello dichiarato inammissibile non può essere riproposto anche se non </w:t>
                              </w:r>
                            </w:p>
                          </w:txbxContent>
                        </wps:txbx>
                        <wps:bodyPr horzOverflow="overflow" vert="horz" lIns="0" tIns="0" rIns="0" bIns="0" rtlCol="0">
                          <a:noAutofit/>
                        </wps:bodyPr>
                      </wps:wsp>
                      <wps:wsp>
                        <wps:cNvPr id="199826" name="Rectangle 199826"/>
                        <wps:cNvSpPr/>
                        <wps:spPr>
                          <a:xfrm rot="-10799999">
                            <a:off x="2610937" y="951183"/>
                            <a:ext cx="5309036" cy="142889"/>
                          </a:xfrm>
                          <a:prstGeom prst="rect">
                            <a:avLst/>
                          </a:prstGeom>
                          <a:ln>
                            <a:noFill/>
                          </a:ln>
                        </wps:spPr>
                        <wps:txbx>
                          <w:txbxContent>
                            <w:p w14:paraId="31C4A8B5"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4903" name="Rectangle 14903"/>
                        <wps:cNvSpPr/>
                        <wps:spPr>
                          <a:xfrm rot="-10799999">
                            <a:off x="1254133" y="827854"/>
                            <a:ext cx="2737634" cy="142890"/>
                          </a:xfrm>
                          <a:prstGeom prst="rect">
                            <a:avLst/>
                          </a:prstGeom>
                          <a:ln>
                            <a:noFill/>
                          </a:ln>
                        </wps:spPr>
                        <wps:txbx>
                          <w:txbxContent>
                            <w:p w14:paraId="02E99793" w14:textId="77777777" w:rsidR="00B32EF2" w:rsidRDefault="00000000">
                              <w:r>
                                <w:rPr>
                                  <w:rFonts w:ascii="Arial" w:eastAsia="Arial" w:hAnsi="Arial" w:cs="Arial"/>
                                  <w:sz w:val="18"/>
                                </w:rPr>
                                <w:t>è decorso il termine stabilito dalla legge.</w:t>
                              </w:r>
                            </w:p>
                          </w:txbxContent>
                        </wps:txbx>
                        <wps:bodyPr horzOverflow="overflow" vert="horz" lIns="0" tIns="0" rIns="0" bIns="0" rtlCol="0">
                          <a:noAutofit/>
                        </wps:bodyPr>
                      </wps:wsp>
                      <wps:wsp>
                        <wps:cNvPr id="14904" name="Rectangle 14904"/>
                        <wps:cNvSpPr/>
                        <wps:spPr>
                          <a:xfrm rot="-10799999">
                            <a:off x="1464304" y="581195"/>
                            <a:ext cx="878457" cy="142889"/>
                          </a:xfrm>
                          <a:prstGeom prst="rect">
                            <a:avLst/>
                          </a:prstGeom>
                          <a:ln>
                            <a:noFill/>
                          </a:ln>
                        </wps:spPr>
                        <wps:txbx>
                          <w:txbxContent>
                            <w:p w14:paraId="0780F0F0" w14:textId="77777777" w:rsidR="00B32EF2" w:rsidRDefault="00000000">
                              <w:r>
                                <w:rPr>
                                  <w:rFonts w:ascii="Arial" w:eastAsia="Arial" w:hAnsi="Arial" w:cs="Arial"/>
                                  <w:b/>
                                  <w:sz w:val="18"/>
                                </w:rPr>
                                <w:t>Articolo 115</w:t>
                              </w:r>
                            </w:p>
                          </w:txbxContent>
                        </wps:txbx>
                        <wps:bodyPr horzOverflow="overflow" vert="horz" lIns="0" tIns="0" rIns="0" bIns="0" rtlCol="0">
                          <a:noAutofit/>
                        </wps:bodyPr>
                      </wps:wsp>
                      <wps:wsp>
                        <wps:cNvPr id="199825" name="Rectangle 199825"/>
                        <wps:cNvSpPr/>
                        <wps:spPr>
                          <a:xfrm rot="-10799999">
                            <a:off x="1164997" y="457865"/>
                            <a:ext cx="1938957" cy="142889"/>
                          </a:xfrm>
                          <a:prstGeom prst="rect">
                            <a:avLst/>
                          </a:prstGeom>
                          <a:ln>
                            <a:noFill/>
                          </a:ln>
                        </wps:spPr>
                        <wps:txbx>
                          <w:txbxContent>
                            <w:p w14:paraId="5CEF213C" w14:textId="77777777" w:rsidR="00B32EF2" w:rsidRDefault="00000000">
                              <w:r>
                                <w:rPr>
                                  <w:rFonts w:ascii="Arial" w:eastAsia="Arial" w:hAnsi="Arial" w:cs="Arial"/>
                                  <w:i/>
                                  <w:sz w:val="18"/>
                                </w:rPr>
                                <w:t xml:space="preserve">articolo 61 D.lgs. n. </w:t>
                              </w:r>
                            </w:p>
                          </w:txbxContent>
                        </wps:txbx>
                        <wps:bodyPr horzOverflow="overflow" vert="horz" lIns="0" tIns="0" rIns="0" bIns="0" rtlCol="0">
                          <a:noAutofit/>
                        </wps:bodyPr>
                      </wps:wsp>
                      <wps:wsp>
                        <wps:cNvPr id="199823" name="Rectangle 199823"/>
                        <wps:cNvSpPr/>
                        <wps:spPr>
                          <a:xfrm rot="-10799999">
                            <a:off x="2221597" y="457865"/>
                            <a:ext cx="1938957" cy="142889"/>
                          </a:xfrm>
                          <a:prstGeom prst="rect">
                            <a:avLst/>
                          </a:prstGeom>
                          <a:ln>
                            <a:noFill/>
                          </a:ln>
                        </wps:spPr>
                        <wps:txbx>
                          <w:txbxContent>
                            <w:p w14:paraId="55639D1F"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9824" name="Rectangle 199824"/>
                        <wps:cNvSpPr/>
                        <wps:spPr>
                          <a:xfrm rot="-10799999">
                            <a:off x="-257706" y="457865"/>
                            <a:ext cx="1938957" cy="142889"/>
                          </a:xfrm>
                          <a:prstGeom prst="rect">
                            <a:avLst/>
                          </a:prstGeom>
                          <a:ln>
                            <a:noFill/>
                          </a:ln>
                        </wps:spPr>
                        <wps:txbx>
                          <w:txbxContent>
                            <w:p w14:paraId="45F735FE"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4906" name="Rectangle 14906"/>
                        <wps:cNvSpPr/>
                        <wps:spPr>
                          <a:xfrm rot="-10799999">
                            <a:off x="1160043" y="334535"/>
                            <a:ext cx="1339424" cy="142889"/>
                          </a:xfrm>
                          <a:prstGeom prst="rect">
                            <a:avLst/>
                          </a:prstGeom>
                          <a:ln>
                            <a:noFill/>
                          </a:ln>
                        </wps:spPr>
                        <wps:txbx>
                          <w:txbxContent>
                            <w:p w14:paraId="0688D497" w14:textId="77777777" w:rsidR="00B32EF2" w:rsidRDefault="00000000">
                              <w:r>
                                <w:rPr>
                                  <w:rFonts w:ascii="Arial" w:eastAsia="Arial" w:hAnsi="Arial" w:cs="Arial"/>
                                  <w:b/>
                                  <w:sz w:val="18"/>
                                </w:rPr>
                                <w:t xml:space="preserve">Norme applicabili </w:t>
                              </w:r>
                            </w:p>
                          </w:txbxContent>
                        </wps:txbx>
                        <wps:bodyPr horzOverflow="overflow" vert="horz" lIns="0" tIns="0" rIns="0" bIns="0" rtlCol="0">
                          <a:noAutofit/>
                        </wps:bodyPr>
                      </wps:wsp>
                      <wps:wsp>
                        <wps:cNvPr id="199822" name="Rectangle 199822"/>
                        <wps:cNvSpPr/>
                        <wps:spPr>
                          <a:xfrm rot="-10799999">
                            <a:off x="-1283284" y="211205"/>
                            <a:ext cx="5215514" cy="142889"/>
                          </a:xfrm>
                          <a:prstGeom prst="rect">
                            <a:avLst/>
                          </a:prstGeom>
                          <a:ln>
                            <a:noFill/>
                          </a:ln>
                        </wps:spPr>
                        <wps:txbx>
                          <w:txbxContent>
                            <w:p w14:paraId="09E32954" w14:textId="77777777" w:rsidR="00B32EF2" w:rsidRDefault="00000000">
                              <w:r>
                                <w:rPr>
                                  <w:rFonts w:ascii="Arial" w:eastAsia="Arial" w:hAnsi="Arial" w:cs="Arial"/>
                                  <w:sz w:val="18"/>
                                </w:rPr>
                                <w:t>. Nel procedimento d’appello si osservano in quanto applicabili le norme det</w:t>
                              </w:r>
                            </w:p>
                          </w:txbxContent>
                        </wps:txbx>
                        <wps:bodyPr horzOverflow="overflow" vert="horz" lIns="0" tIns="0" rIns="0" bIns="0" rtlCol="0">
                          <a:noAutofit/>
                        </wps:bodyPr>
                      </wps:wsp>
                      <wps:wsp>
                        <wps:cNvPr id="199821" name="Rectangle 199821"/>
                        <wps:cNvSpPr/>
                        <wps:spPr>
                          <a:xfrm rot="-10799999">
                            <a:off x="2634142" y="211206"/>
                            <a:ext cx="5215514" cy="142889"/>
                          </a:xfrm>
                          <a:prstGeom prst="rect">
                            <a:avLst/>
                          </a:prstGeom>
                          <a:ln>
                            <a:noFill/>
                          </a:ln>
                        </wps:spPr>
                        <wps:txbx>
                          <w:txbxContent>
                            <w:p w14:paraId="422F2B16"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4908" name="Rectangle 14908"/>
                        <wps:cNvSpPr/>
                        <wps:spPr>
                          <a:xfrm rot="-10799999">
                            <a:off x="19169" y="211206"/>
                            <a:ext cx="50622" cy="142889"/>
                          </a:xfrm>
                          <a:prstGeom prst="rect">
                            <a:avLst/>
                          </a:prstGeom>
                          <a:ln>
                            <a:noFill/>
                          </a:ln>
                        </wps:spPr>
                        <wps:txbx>
                          <w:txbxContent>
                            <w:p w14:paraId="33A9388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909" name="Rectangle 14909"/>
                        <wps:cNvSpPr/>
                        <wps:spPr>
                          <a:xfrm rot="-10799999">
                            <a:off x="-1218728" y="87876"/>
                            <a:ext cx="5210497" cy="142889"/>
                          </a:xfrm>
                          <a:prstGeom prst="rect">
                            <a:avLst/>
                          </a:prstGeom>
                          <a:ln>
                            <a:noFill/>
                          </a:ln>
                        </wps:spPr>
                        <wps:txbx>
                          <w:txbxContent>
                            <w:p w14:paraId="49205000" w14:textId="77777777" w:rsidR="00B32EF2" w:rsidRDefault="00000000">
                              <w:r>
                                <w:rPr>
                                  <w:rFonts w:ascii="Arial" w:eastAsia="Arial" w:hAnsi="Arial" w:cs="Arial"/>
                                  <w:sz w:val="18"/>
                                </w:rPr>
                                <w:t>tate per il procedimento di primo grado, se non sono incompatibili con le dispo</w:t>
                              </w:r>
                            </w:p>
                          </w:txbxContent>
                        </wps:txbx>
                        <wps:bodyPr horzOverflow="overflow" vert="horz" lIns="0" tIns="0" rIns="0" bIns="0" rtlCol="0">
                          <a:noAutofit/>
                        </wps:bodyPr>
                      </wps:wsp>
                      <wps:wsp>
                        <wps:cNvPr id="14910" name="Rectangle 14910"/>
                        <wps:cNvSpPr/>
                        <wps:spPr>
                          <a:xfrm rot="-10799999">
                            <a:off x="19169" y="87876"/>
                            <a:ext cx="50622" cy="142889"/>
                          </a:xfrm>
                          <a:prstGeom prst="rect">
                            <a:avLst/>
                          </a:prstGeom>
                          <a:ln>
                            <a:noFill/>
                          </a:ln>
                        </wps:spPr>
                        <wps:txbx>
                          <w:txbxContent>
                            <w:p w14:paraId="4C43315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4911" name="Rectangle 14911"/>
                        <wps:cNvSpPr/>
                        <wps:spPr>
                          <a:xfrm rot="-10799999">
                            <a:off x="1943448" y="-35453"/>
                            <a:ext cx="2048319" cy="142889"/>
                          </a:xfrm>
                          <a:prstGeom prst="rect">
                            <a:avLst/>
                          </a:prstGeom>
                          <a:ln>
                            <a:noFill/>
                          </a:ln>
                        </wps:spPr>
                        <wps:txbx>
                          <w:txbxContent>
                            <w:p w14:paraId="7973407B" w14:textId="77777777" w:rsidR="00B32EF2" w:rsidRDefault="00000000">
                              <w:r>
                                <w:rPr>
                                  <w:rFonts w:ascii="Arial" w:eastAsia="Arial" w:hAnsi="Arial" w:cs="Arial"/>
                                  <w:sz w:val="18"/>
                                </w:rPr>
                                <w:t>sizioni della presente sezione.</w:t>
                              </w:r>
                            </w:p>
                          </w:txbxContent>
                        </wps:txbx>
                        <wps:bodyPr horzOverflow="overflow" vert="horz" lIns="0" tIns="0" rIns="0" bIns="0" rtlCol="0">
                          <a:noAutofit/>
                        </wps:bodyPr>
                      </wps:wsp>
                      <wps:wsp>
                        <wps:cNvPr id="207744" name="Shape 207744"/>
                        <wps:cNvSpPr/>
                        <wps:spPr>
                          <a:xfrm>
                            <a:off x="31767" y="1611285"/>
                            <a:ext cx="3960000" cy="1787296"/>
                          </a:xfrm>
                          <a:custGeom>
                            <a:avLst/>
                            <a:gdLst/>
                            <a:ahLst/>
                            <a:cxnLst/>
                            <a:rect l="0" t="0" r="0" b="0"/>
                            <a:pathLst>
                              <a:path w="3960000" h="1787296">
                                <a:moveTo>
                                  <a:pt x="0" y="0"/>
                                </a:moveTo>
                                <a:lnTo>
                                  <a:pt x="3960000" y="0"/>
                                </a:lnTo>
                                <a:lnTo>
                                  <a:pt x="3960000" y="1787296"/>
                                </a:lnTo>
                                <a:lnTo>
                                  <a:pt x="0" y="1787296"/>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4920" name="Rectangle 14920"/>
                        <wps:cNvSpPr/>
                        <wps:spPr>
                          <a:xfrm rot="-10799999">
                            <a:off x="2314695" y="3177344"/>
                            <a:ext cx="1598723" cy="142889"/>
                          </a:xfrm>
                          <a:prstGeom prst="rect">
                            <a:avLst/>
                          </a:prstGeom>
                          <a:ln>
                            <a:noFill/>
                          </a:ln>
                        </wps:spPr>
                        <wps:txbx>
                          <w:txbxContent>
                            <w:p w14:paraId="5320BB66" w14:textId="77777777" w:rsidR="00B32EF2" w:rsidRDefault="00000000">
                              <w:r>
                                <w:rPr>
                                  <w:rFonts w:ascii="Arial" w:eastAsia="Arial" w:hAnsi="Arial" w:cs="Arial"/>
                                  <w:b/>
                                  <w:i/>
                                  <w:sz w:val="18"/>
                                </w:rPr>
                                <w:t xml:space="preserve">NORME COLLEGATE </w:t>
                              </w:r>
                            </w:p>
                          </w:txbxContent>
                        </wps:txbx>
                        <wps:bodyPr horzOverflow="overflow" vert="horz" lIns="0" tIns="0" rIns="0" bIns="0" rtlCol="0">
                          <a:noAutofit/>
                        </wps:bodyPr>
                      </wps:wsp>
                      <wps:wsp>
                        <wps:cNvPr id="14921" name="Rectangle 14921"/>
                        <wps:cNvSpPr/>
                        <wps:spPr>
                          <a:xfrm rot="-10799999">
                            <a:off x="922747" y="3040184"/>
                            <a:ext cx="2990670" cy="142889"/>
                          </a:xfrm>
                          <a:prstGeom prst="rect">
                            <a:avLst/>
                          </a:prstGeom>
                          <a:ln>
                            <a:noFill/>
                          </a:ln>
                        </wps:spPr>
                        <wps:txbx>
                          <w:txbxContent>
                            <w:p w14:paraId="16632249" w14:textId="77777777" w:rsidR="00B32EF2" w:rsidRDefault="00000000">
                              <w:r>
                                <w:rPr>
                                  <w:rFonts w:ascii="Arial" w:eastAsia="Arial" w:hAnsi="Arial" w:cs="Arial"/>
                                  <w:i/>
                                  <w:sz w:val="18"/>
                                </w:rPr>
                                <w:t xml:space="preserve">art. 101 c.p.c. “Principio del contraddittorio” </w:t>
                              </w:r>
                            </w:p>
                          </w:txbxContent>
                        </wps:txbx>
                        <wps:bodyPr horzOverflow="overflow" vert="horz" lIns="0" tIns="0" rIns="0" bIns="0" rtlCol="0">
                          <a:noAutofit/>
                        </wps:bodyPr>
                      </wps:wsp>
                      <wps:wsp>
                        <wps:cNvPr id="199836" name="Rectangle 199836"/>
                        <wps:cNvSpPr/>
                        <wps:spPr>
                          <a:xfrm rot="-10799999">
                            <a:off x="2583870" y="2903024"/>
                            <a:ext cx="5102352" cy="142889"/>
                          </a:xfrm>
                          <a:prstGeom prst="rect">
                            <a:avLst/>
                          </a:prstGeom>
                          <a:ln>
                            <a:noFill/>
                          </a:ln>
                        </wps:spPr>
                        <wps:txbx>
                          <w:txbxContent>
                            <w:p w14:paraId="1AFE625E"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199837" name="Rectangle 199837"/>
                        <wps:cNvSpPr/>
                        <wps:spPr>
                          <a:xfrm rot="-10799999">
                            <a:off x="-1247192" y="2903024"/>
                            <a:ext cx="5102351" cy="142889"/>
                          </a:xfrm>
                          <a:prstGeom prst="rect">
                            <a:avLst/>
                          </a:prstGeom>
                          <a:ln>
                            <a:noFill/>
                          </a:ln>
                        </wps:spPr>
                        <wps:txbx>
                          <w:txbxContent>
                            <w:p w14:paraId="0BC5030F" w14:textId="77777777" w:rsidR="00B32EF2" w:rsidRDefault="00000000">
                              <w:r>
                                <w:rPr>
                                  <w:rFonts w:ascii="Arial" w:eastAsia="Arial" w:hAnsi="Arial" w:cs="Arial"/>
                                  <w:i/>
                                  <w:sz w:val="18"/>
                                </w:rPr>
                                <w:t xml:space="preserve">. Il giudice, salvo che la legge disponga altrimenti, non può statuire sopra </w:t>
                              </w:r>
                            </w:p>
                          </w:txbxContent>
                        </wps:txbx>
                        <wps:bodyPr horzOverflow="overflow" vert="horz" lIns="0" tIns="0" rIns="0" bIns="0" rtlCol="0">
                          <a:noAutofit/>
                        </wps:bodyPr>
                      </wps:wsp>
                      <wps:wsp>
                        <wps:cNvPr id="14923" name="Rectangle 14923"/>
                        <wps:cNvSpPr/>
                        <wps:spPr>
                          <a:xfrm rot="-10799999">
                            <a:off x="-1098116" y="2765863"/>
                            <a:ext cx="5011535" cy="142889"/>
                          </a:xfrm>
                          <a:prstGeom prst="rect">
                            <a:avLst/>
                          </a:prstGeom>
                          <a:ln>
                            <a:noFill/>
                          </a:ln>
                        </wps:spPr>
                        <wps:txbx>
                          <w:txbxContent>
                            <w:p w14:paraId="169B8D53" w14:textId="77777777" w:rsidR="00B32EF2" w:rsidRDefault="00000000">
                              <w:r>
                                <w:rPr>
                                  <w:rFonts w:ascii="Arial" w:eastAsia="Arial" w:hAnsi="Arial" w:cs="Arial"/>
                                  <w:i/>
                                  <w:sz w:val="18"/>
                                </w:rPr>
                                <w:t>alcuna domanda, se la parte contro la quale è proposta non è stata regolar</w:t>
                              </w:r>
                            </w:p>
                          </w:txbxContent>
                        </wps:txbx>
                        <wps:bodyPr horzOverflow="overflow" vert="horz" lIns="0" tIns="0" rIns="0" bIns="0" rtlCol="0">
                          <a:noAutofit/>
                        </wps:bodyPr>
                      </wps:wsp>
                      <wps:wsp>
                        <wps:cNvPr id="14924" name="Rectangle 14924"/>
                        <wps:cNvSpPr/>
                        <wps:spPr>
                          <a:xfrm rot="-10799999">
                            <a:off x="97524" y="2765864"/>
                            <a:ext cx="50622" cy="142889"/>
                          </a:xfrm>
                          <a:prstGeom prst="rect">
                            <a:avLst/>
                          </a:prstGeom>
                          <a:ln>
                            <a:noFill/>
                          </a:ln>
                        </wps:spPr>
                        <wps:txbx>
                          <w:txbxContent>
                            <w:p w14:paraId="77A52A5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925" name="Rectangle 14925"/>
                        <wps:cNvSpPr/>
                        <wps:spPr>
                          <a:xfrm rot="-10799999">
                            <a:off x="1720953" y="2628704"/>
                            <a:ext cx="2192464" cy="142889"/>
                          </a:xfrm>
                          <a:prstGeom prst="rect">
                            <a:avLst/>
                          </a:prstGeom>
                          <a:ln>
                            <a:noFill/>
                          </a:ln>
                        </wps:spPr>
                        <wps:txbx>
                          <w:txbxContent>
                            <w:p w14:paraId="5FE75FC2" w14:textId="77777777" w:rsidR="00B32EF2" w:rsidRDefault="00000000">
                              <w:r>
                                <w:rPr>
                                  <w:rFonts w:ascii="Arial" w:eastAsia="Arial" w:hAnsi="Arial" w:cs="Arial"/>
                                  <w:i/>
                                  <w:sz w:val="18"/>
                                </w:rPr>
                                <w:t xml:space="preserve">mente citata e non è comparsa. </w:t>
                              </w:r>
                            </w:p>
                          </w:txbxContent>
                        </wps:txbx>
                        <wps:bodyPr horzOverflow="overflow" vert="horz" lIns="0" tIns="0" rIns="0" bIns="0" rtlCol="0">
                          <a:noAutofit/>
                        </wps:bodyPr>
                      </wps:wsp>
                      <wps:wsp>
                        <wps:cNvPr id="199835" name="Rectangle 199835"/>
                        <wps:cNvSpPr/>
                        <wps:spPr>
                          <a:xfrm rot="-10799999">
                            <a:off x="-1255664" y="2491544"/>
                            <a:ext cx="5114984" cy="142889"/>
                          </a:xfrm>
                          <a:prstGeom prst="rect">
                            <a:avLst/>
                          </a:prstGeom>
                          <a:ln>
                            <a:noFill/>
                          </a:ln>
                        </wps:spPr>
                        <wps:txbx>
                          <w:txbxContent>
                            <w:p w14:paraId="33B4CABE" w14:textId="77777777" w:rsidR="00B32EF2" w:rsidRDefault="00000000">
                              <w:r>
                                <w:rPr>
                                  <w:rFonts w:ascii="Arial" w:eastAsia="Arial" w:hAnsi="Arial" w:cs="Arial"/>
                                  <w:i/>
                                  <w:sz w:val="18"/>
                                </w:rPr>
                                <w:t xml:space="preserve">. Il giudice assicura il rispetto del contraddittorio e, quando accerta che </w:t>
                              </w:r>
                            </w:p>
                          </w:txbxContent>
                        </wps:txbx>
                        <wps:bodyPr horzOverflow="overflow" vert="horz" lIns="0" tIns="0" rIns="0" bIns="0" rtlCol="0">
                          <a:noAutofit/>
                        </wps:bodyPr>
                      </wps:wsp>
                      <wps:wsp>
                        <wps:cNvPr id="199834" name="Rectangle 199834"/>
                        <wps:cNvSpPr/>
                        <wps:spPr>
                          <a:xfrm rot="-10799999">
                            <a:off x="2580736" y="2491544"/>
                            <a:ext cx="5114984" cy="142889"/>
                          </a:xfrm>
                          <a:prstGeom prst="rect">
                            <a:avLst/>
                          </a:prstGeom>
                          <a:ln>
                            <a:noFill/>
                          </a:ln>
                        </wps:spPr>
                        <wps:txbx>
                          <w:txbxContent>
                            <w:p w14:paraId="6129CE35"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14927" name="Rectangle 14927"/>
                        <wps:cNvSpPr/>
                        <wps:spPr>
                          <a:xfrm rot="-10799999">
                            <a:off x="-1193439" y="2354384"/>
                            <a:ext cx="5125488" cy="142889"/>
                          </a:xfrm>
                          <a:prstGeom prst="rect">
                            <a:avLst/>
                          </a:prstGeom>
                          <a:ln>
                            <a:noFill/>
                          </a:ln>
                        </wps:spPr>
                        <wps:txbx>
                          <w:txbxContent>
                            <w:p w14:paraId="653AD2C1" w14:textId="77777777" w:rsidR="00B32EF2" w:rsidRDefault="00000000">
                              <w:r>
                                <w:rPr>
                                  <w:rFonts w:ascii="Arial" w:eastAsia="Arial" w:hAnsi="Arial" w:cs="Arial"/>
                                  <w:i/>
                                  <w:sz w:val="18"/>
                                </w:rPr>
                                <w:t xml:space="preserve">dalla sua violazione è derivata una lesione del diritto di difesa, adotta i </w:t>
                              </w:r>
                            </w:p>
                          </w:txbxContent>
                        </wps:txbx>
                        <wps:bodyPr horzOverflow="overflow" vert="horz" lIns="0" tIns="0" rIns="0" bIns="0" rtlCol="0">
                          <a:noAutofit/>
                        </wps:bodyPr>
                      </wps:wsp>
                      <wps:wsp>
                        <wps:cNvPr id="14928" name="Rectangle 14928"/>
                        <wps:cNvSpPr/>
                        <wps:spPr>
                          <a:xfrm rot="-10799999">
                            <a:off x="-1189018" y="2217223"/>
                            <a:ext cx="5107808" cy="142889"/>
                          </a:xfrm>
                          <a:prstGeom prst="rect">
                            <a:avLst/>
                          </a:prstGeom>
                          <a:ln>
                            <a:noFill/>
                          </a:ln>
                        </wps:spPr>
                        <wps:txbx>
                          <w:txbxContent>
                            <w:p w14:paraId="445EA398" w14:textId="77777777" w:rsidR="00B32EF2" w:rsidRDefault="00000000">
                              <w:r>
                                <w:rPr>
                                  <w:rFonts w:ascii="Arial" w:eastAsia="Arial" w:hAnsi="Arial" w:cs="Arial"/>
                                  <w:i/>
                                  <w:sz w:val="18"/>
                                </w:rPr>
                                <w:t xml:space="preserve">provvedimenti opportuni. Se ritiene di porre a fondamento della decisione </w:t>
                              </w:r>
                            </w:p>
                          </w:txbxContent>
                        </wps:txbx>
                        <wps:bodyPr horzOverflow="overflow" vert="horz" lIns="0" tIns="0" rIns="0" bIns="0" rtlCol="0">
                          <a:noAutofit/>
                        </wps:bodyPr>
                      </wps:wsp>
                      <wps:wsp>
                        <wps:cNvPr id="14929" name="Rectangle 14929"/>
                        <wps:cNvSpPr/>
                        <wps:spPr>
                          <a:xfrm rot="-10799999">
                            <a:off x="-1187260" y="2080063"/>
                            <a:ext cx="5100678" cy="142889"/>
                          </a:xfrm>
                          <a:prstGeom prst="rect">
                            <a:avLst/>
                          </a:prstGeom>
                          <a:ln>
                            <a:noFill/>
                          </a:ln>
                        </wps:spPr>
                        <wps:txbx>
                          <w:txbxContent>
                            <w:p w14:paraId="6C1B1724" w14:textId="77777777" w:rsidR="00B32EF2" w:rsidRDefault="00000000">
                              <w:r>
                                <w:rPr>
                                  <w:rFonts w:ascii="Arial" w:eastAsia="Arial" w:hAnsi="Arial" w:cs="Arial"/>
                                  <w:i/>
                                  <w:sz w:val="18"/>
                                </w:rPr>
                                <w:t xml:space="preserve">una questione rilevata d’ufficio, il giudice riserva la decisione, assegnando </w:t>
                              </w:r>
                            </w:p>
                          </w:txbxContent>
                        </wps:txbx>
                        <wps:bodyPr horzOverflow="overflow" vert="horz" lIns="0" tIns="0" rIns="0" bIns="0" rtlCol="0">
                          <a:noAutofit/>
                        </wps:bodyPr>
                      </wps:wsp>
                      <wps:wsp>
                        <wps:cNvPr id="14930" name="Rectangle 14930"/>
                        <wps:cNvSpPr/>
                        <wps:spPr>
                          <a:xfrm rot="-10799999">
                            <a:off x="-1090698" y="1942904"/>
                            <a:ext cx="5004116" cy="142889"/>
                          </a:xfrm>
                          <a:prstGeom prst="rect">
                            <a:avLst/>
                          </a:prstGeom>
                          <a:ln>
                            <a:noFill/>
                          </a:ln>
                        </wps:spPr>
                        <wps:txbx>
                          <w:txbxContent>
                            <w:p w14:paraId="365A9806" w14:textId="77777777" w:rsidR="00B32EF2" w:rsidRDefault="00000000">
                              <w:r>
                                <w:rPr>
                                  <w:rFonts w:ascii="Arial" w:eastAsia="Arial" w:hAnsi="Arial" w:cs="Arial"/>
                                  <w:i/>
                                  <w:sz w:val="18"/>
                                </w:rPr>
                                <w:t>alle parti, a pena di nullità, un termine, non inferiore a venti giorni e non su</w:t>
                              </w:r>
                            </w:p>
                          </w:txbxContent>
                        </wps:txbx>
                        <wps:bodyPr horzOverflow="overflow" vert="horz" lIns="0" tIns="0" rIns="0" bIns="0" rtlCol="0">
                          <a:noAutofit/>
                        </wps:bodyPr>
                      </wps:wsp>
                      <wps:wsp>
                        <wps:cNvPr id="14931" name="Rectangle 14931"/>
                        <wps:cNvSpPr/>
                        <wps:spPr>
                          <a:xfrm rot="-10799999">
                            <a:off x="97524" y="1942904"/>
                            <a:ext cx="50622" cy="142889"/>
                          </a:xfrm>
                          <a:prstGeom prst="rect">
                            <a:avLst/>
                          </a:prstGeom>
                          <a:ln>
                            <a:noFill/>
                          </a:ln>
                        </wps:spPr>
                        <wps:txbx>
                          <w:txbxContent>
                            <w:p w14:paraId="70980CF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4932" name="Rectangle 14932"/>
                        <wps:cNvSpPr/>
                        <wps:spPr>
                          <a:xfrm rot="-10799999">
                            <a:off x="-1185809" y="1805744"/>
                            <a:ext cx="5096027" cy="142889"/>
                          </a:xfrm>
                          <a:prstGeom prst="rect">
                            <a:avLst/>
                          </a:prstGeom>
                          <a:ln>
                            <a:noFill/>
                          </a:ln>
                        </wps:spPr>
                        <wps:txbx>
                          <w:txbxContent>
                            <w:p w14:paraId="15A68660" w14:textId="77777777" w:rsidR="00B32EF2" w:rsidRDefault="00000000">
                              <w:r>
                                <w:rPr>
                                  <w:rFonts w:ascii="Arial" w:eastAsia="Arial" w:hAnsi="Arial" w:cs="Arial"/>
                                  <w:i/>
                                  <w:sz w:val="18"/>
                                </w:rPr>
                                <w:t xml:space="preserve">periore a quaranta giorni dalla comunicazione, per il deposito in cancelleria </w:t>
                              </w:r>
                            </w:p>
                          </w:txbxContent>
                        </wps:txbx>
                        <wps:bodyPr horzOverflow="overflow" vert="horz" lIns="0" tIns="0" rIns="0" bIns="0" rtlCol="0">
                          <a:noAutofit/>
                        </wps:bodyPr>
                      </wps:wsp>
                      <wps:wsp>
                        <wps:cNvPr id="14933" name="Rectangle 14933"/>
                        <wps:cNvSpPr/>
                        <wps:spPr>
                          <a:xfrm rot="-10799999">
                            <a:off x="-359958" y="1668584"/>
                            <a:ext cx="4273376" cy="142889"/>
                          </a:xfrm>
                          <a:prstGeom prst="rect">
                            <a:avLst/>
                          </a:prstGeom>
                          <a:ln>
                            <a:noFill/>
                          </a:ln>
                        </wps:spPr>
                        <wps:txbx>
                          <w:txbxContent>
                            <w:p w14:paraId="669D02F0" w14:textId="77777777" w:rsidR="00B32EF2" w:rsidRDefault="00000000">
                              <w:r>
                                <w:rPr>
                                  <w:rFonts w:ascii="Arial" w:eastAsia="Arial" w:hAnsi="Arial" w:cs="Arial"/>
                                  <w:i/>
                                  <w:sz w:val="18"/>
                                </w:rPr>
                                <w:t>di memorie contenenti osservazioni sulla medesima questione.</w:t>
                              </w:r>
                            </w:p>
                          </w:txbxContent>
                        </wps:txbx>
                        <wps:bodyPr horzOverflow="overflow" vert="horz" lIns="0" tIns="0" rIns="0" bIns="0" rtlCol="0">
                          <a:noAutofit/>
                        </wps:bodyPr>
                      </wps:wsp>
                      <wps:wsp>
                        <wps:cNvPr id="14934" name="Shape 14934"/>
                        <wps:cNvSpPr/>
                        <wps:spPr>
                          <a:xfrm>
                            <a:off x="31766" y="1611289"/>
                            <a:ext cx="3960000" cy="1787296"/>
                          </a:xfrm>
                          <a:custGeom>
                            <a:avLst/>
                            <a:gdLst/>
                            <a:ahLst/>
                            <a:cxnLst/>
                            <a:rect l="0" t="0" r="0" b="0"/>
                            <a:pathLst>
                              <a:path w="3960000" h="1787296">
                                <a:moveTo>
                                  <a:pt x="0" y="1787296"/>
                                </a:moveTo>
                                <a:lnTo>
                                  <a:pt x="3960000" y="1787296"/>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3543A4" id="Group 199897" o:spid="_x0000_s1624" style="width:314.3pt;height:340.4pt;mso-position-horizontal-relative:char;mso-position-vertical-relative:line" coordsize="39917,43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6RhnQkAAN1fAAAOAAAAZHJzL2Uyb0RvYy54bWzkXG1v4zYS/l7g/oPh79mQFCmJxmaLw/a6&#10;KHBoi778AMWRYwOyZEjaTba//p4hJcqWmW5PAqIATABbHkkUNQ9nODOc4fvvn4/F6kteN4eqvFvz&#10;d2y9ystt9XAoH+/Wf/7x4026XjVtVj5kRVXmd+uvebP+/sO/vnv/dNrkotpXxUNer9BI2WyeTnfr&#10;fdueNre3zXafH7PmXXXKS5zcVfUxa/Gzfrx9qLMntH4sbgVj8e1TVT+c6mqbNw2oP9iT6w+m/d0u&#10;37a/7HZN3q6KuzX61prP2nze0+fth/fZ5rHOTvvDtutGNqEXx+xQ4qGuqR+yNlt9rg9XTR0P27pq&#10;ql37blsdb6vd7rDNzTvgbTgbvc2nuvp8Mu/yuHl6PDk2gbUjPk1udvvzl0/16ffTrzU48XR6BC/M&#10;L3qX5119pG/0cvVsWPbVsSx/bldbECOteRID5C3OyUgIHUnL1O0enL+6b7v/zzfuvO0ffHvRnacT&#10;Bkgz8KCZx4Pf99kpN6xtNuDBr/Xq8IDxK1ONUVJmRwzV3zB4svKxyFeWbBhkrnbsajYNONfzalVX&#10;GF83nCWa/sx46Hh3wwVPEy7XK2ITTxmTHZt6RirBmUyFZSSXgjqCJzpuZJtT3bSf8uq4ooO7dY3u&#10;mUdkX/7btPbS/hLqUVHSZ1n9eCgKe5YoYGrfaTpqn++fzZurxDyOaPfVw1fwY1/Vf/0Cyd4V1dPd&#10;uuqO1iTseDqdXa+Kn0rgQHLVH9T9wX1/ULfFx8pIn+3Pvz+31e5gOjw8resYAKZR+EpIcz/SnPhO&#10;ncC4+P+R5prH+gxmZaXBwcxicQZyql8XZPduwYAMZvvEWcwDWXKmeGxhZipiKr6EWaiUC3UG9GtL&#10;s3u/MIDWOo0gdVdIW/oceYbmTgFwZLCOtIhZYoQo2ziRFoBa4uk0BZLmfm2hjvqxHA7WMDi8WKc9&#10;KybpbhFHMk3QNoB8GWqF+W4pqI3RMEybAUzSMJmukIaV5hgxCehhkrYwd36Ak+hlJ2ljMgQFsvKD&#10;7BgxCeQbHvFEqE5zwyZnqdGUZ5o7YpoJmIFLibOxGoJCGjaTT5wdI2YgDXSN4o4TwfTY7Cak1YJI&#10;J/3EFMYcDQ2d+JF2jJiBdIy2aYpWUnFmPKiRTEdQKEvJtDNBgkHaZ4xhADhGTEJaC8kQQzE4I2CC&#10;+MmlhxWxOIn7wNMSVrcZd0Hpbp+DBZwdIybhzGUspbCuNI8E58lokoZBHi0oz2lgcTHymH0xE0uf&#10;5UkLyCsCJSTSnOsklSOkuZYq5sup7jSw6BhBCpvpyh6z9DlQcx4zRE3eMNQBxsd84W6C2o36Sfpb&#10;4E/GCIm8WakOLDwmNfMhbchzZPoGqjmWnfpmCUzvkfqGlSYVW1B9u5hQGJY3ZFf4nCxLnwU1j5IY&#10;ABuh1opzb+BkSaPMRYbCgdoXOSGo54VORAwPOrL+9MtI49kLudOpe70wkIaa9plkhjxHpGmJipO1&#10;h2kaaiNVo/QDkUDkkbrhcH7lBcvUxYWCwdm7sqGZm8UmmWPkTkdog3DGGjQfB0LhTUsFcV9KnF1Q&#10;KAyYSUH7FjcsfZZA81hqCrICaCCaxqOIN9dRqpdE2oWFwkHap7kJaeeBTBJpOFhcvWGk7UwRTiSU&#10;EPXpbkufI9M3QiUJsy7WW5Rp7UIFYcg0rC6f1W3Ic3Cm8BhD9JN0dxRJBU8KzQ1rWDDUtKQxttAs&#10;rcOLjlFSpi8QCvocpCl7LBKptcewuCEQH7mAGmm/SlFe8FJQu7kpDJEmJe0Lj1n6HKgpeQzrkEao&#10;DdLGcx2EenGknWMRBtLQ0t6FaSLPwXnIHfOivGjqmPX2wjHFgLF3UZrIczC25RrCZoLCZU6uZZlJ&#10;MsmX0trBRcW4tyxHgzwH50GWfSAvK8rBBcS4b16WGuR5EMtISivJN5QxNlq1Eqi6ivhy2ftDmlQQ&#10;07JgSYLSt87WNlV4q472TZTJRerq6ZDZ2yUB8hhWdTqyqiMNB4v1efrQ30IbjXlWTbf9bKvpqNG+&#10;gg7lmw+2lg60fX+0fS77Q6q5+9tK0lPW0n3UKB2uUDnn+rJH2kvXFTp/REndH5W5sh2VSaKbw9mi&#10;PL/KtQbX0eg+XNtf0X+fTHvnV/bPBYtfvL5bwr9gVt9i/21btldePh3N0gub9h0TQDxnc1ESPwiV&#10;DJW+uyKz9YvHQ4sS4OJwBH9EQrD13bwqV2zar0VOLCvK3/IdChdNWSoRmvrx/mNRr75kVGpo/mxx&#10;ZHHaZx21a7e7tGMF2qH7d6iSdE1yc+tFkx8j+u9a6C6m+3JTY+zuZPbObdcbW2iMcl28dF9uDKa4&#10;m8yTq7J195cokjYPIRuue9vBnCO+0K/XLJPUAn2/8owlkdEd6s20oGaElQqYqyYEwpMEOpraG9wl&#10;hDwhtoiRLGViOQsyCL3Mgah//rWJt5OB1kIk0i5TYF2KIUfkEmeBuowYxccL4Yx5oh/HYeCMQEfk&#10;C2pa+iyRVmmUEpKYmgSWsRkimBcijWR9EZ0Xxb5uoWSMvKju/cKBGpJ3pbwJauddTNLe8I9lwhEm&#10;/gbW0CjLqO+YubhtGFhDfftWHw15jlBjNwuNNAK7JiWSWKXxyIFSjHNawVgM6cAi2IDU+U/nW5QQ&#10;eQ7SOlHUMClvA/NYeS8ZDYmHrJhgxNmXNgLsjac72RpDQSxqI+3Ko4gFpusRzAJaHSlEy0mze78w&#10;gKa52Ie0pc+RZ8zRSsUEJYk04mhq7GIhsVdqWptcao4OLIpNmILbXntsnu7GdjMsIbP+zULt7M0w&#10;xBqK2md5G/I8oUZen6StbghphLOjsT+tKNM3Rbx7KaF2q6vBIO1fZsbq4UyksQUctwsXyABMhE0j&#10;HCJkcKeTlNa4l0I6vAiZf7FZOEZMdKaxNSD2lbIyzbA34JWLxUGjfYkWQnpYZQ1FpiN/0BvkeTKN&#10;XUhirPiR9ka1M6JkI/NbIS/QeNtLIR1YiExqlL9eW2SGPAfpwZl+AeYFd4GMeXCxMe+OBgDZMWKy&#10;4obhbY0x7OmqaGUbo+ZsimZYiCZLcClxDi425t3QAEg7RkxDOlJaq05v0y4WY6tbon4OBXTLAe38&#10;x2BmaOdJ2yQShDLsztN/Hxsj6TzLIbEus80hMVbcILsuf8LI7kVaRL8x9nlywxvKIbnM9vgnmSSX&#10;d/TZHv33dT7JkKJhc1Mur7SW7PiabVE1ObTjP88UMdkgEKkXs0Vsmodt07O5tS9bxJPa0WWL9M34&#10;EkK6tI5pOSZvIlvEbKaOPeQN/7v97mmT+vPfJrtk2JX/w/8AAAD//wMAUEsDBBQABgAIAAAAIQCh&#10;E0ie3AAAAAUBAAAPAAAAZHJzL2Rvd25yZXYueG1sTI9BS8NAEIXvgv9hGcGb3aRiCDGbUop6KoKt&#10;IN6myTQJzc6G7DZJ/72jF3sZ3vCG977JV7Pt1EiDbx0biBcRKOLSVS3XBj73rw8pKB+QK+wck4EL&#10;eVgVtzc5ZpWb+IPGXaiVhLDP0EATQp9p7cuGLPqF64nFO7rBYpB1qHU14CThttPLKEq0xZalocGe&#10;Ng2Vp93ZGnibcFo/xi/j9nTcXL73T+9f25iMub+b18+gAs3h/xh+8QUdCmE6uDNXXnUG5JHwN8VL&#10;lmkC6iAijVLQRa6v6YsfAAAA//8DAFBLAQItABQABgAIAAAAIQC2gziS/gAAAOEBAAATAAAAAAAA&#10;AAAAAAAAAAAAAABbQ29udGVudF9UeXBlc10ueG1sUEsBAi0AFAAGAAgAAAAhADj9If/WAAAAlAEA&#10;AAsAAAAAAAAAAAAAAAAALwEAAF9yZWxzLy5yZWxzUEsBAi0AFAAGAAgAAAAhABiLpGGdCQAA3V8A&#10;AA4AAAAAAAAAAAAAAAAALgIAAGRycy9lMm9Eb2MueG1sUEsBAi0AFAAGAAgAAAAhAKETSJ7cAAAA&#10;BQEAAA8AAAAAAAAAAAAAAAAA9wsAAGRycy9kb3ducmV2LnhtbFBLBQYAAAAABAAEAPMAAAAADQAA&#10;AAA=&#10;">
                <v:rect id="Rectangle 14890" o:spid="_x0000_s1625" style="position:absolute;left:-12187;top:41800;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kriyAAAAN4AAAAPAAAAZHJzL2Rvd25yZXYueG1sRI9Pa8Mw&#10;DMXvg30Ho8Fuq7MxRprVLaOjLIdd+mewo4jVJFssm9ht0n766lDoTUJP773fbDG6Th2pj61nA8+T&#10;DBRx5W3LtYHddvWUg4oJ2WLnmQycKMJifn83w8L6gdd03KRaiQnHAg00KYVC61g15DBOfCCW2973&#10;DpOsfa1tj4OYu06/ZNmbdtiyJDQYaNlQ9b85OAO/nxzK1aCr/XkZvv/KvPs67H6MeXwYP95BJRrT&#10;TXz9Lq3Uf82nAiA4MoOeXwAAAP//AwBQSwECLQAUAAYACAAAACEA2+H2y+4AAACFAQAAEwAAAAAA&#10;AAAAAAAAAAAAAAAAW0NvbnRlbnRfVHlwZXNdLnhtbFBLAQItABQABgAIAAAAIQBa9CxbvwAAABUB&#10;AAALAAAAAAAAAAAAAAAAAB8BAABfcmVscy8ucmVsc1BLAQItABQABgAIAAAAIQAYfkriyAAAAN4A&#10;AAAPAAAAAAAAAAAAAAAAAAcCAABkcnMvZG93bnJldi54bWxQSwUGAAAAAAMAAwC3AAAA/AIAAAAA&#10;" filled="f" stroked="f">
                  <v:textbox inset="0,0,0,0">
                    <w:txbxContent>
                      <w:p w14:paraId="1CC0BEED" w14:textId="77777777" w:rsidR="00B32EF2" w:rsidRDefault="00000000">
                        <w:r>
                          <w:rPr>
                            <w:rFonts w:ascii="Arial" w:eastAsia="Arial" w:hAnsi="Arial" w:cs="Arial"/>
                            <w:sz w:val="18"/>
                          </w:rPr>
                          <w:t>do grado decide nel merito previamente ordinando, ove occorra, la rinnovazio</w:t>
                        </w:r>
                      </w:p>
                    </w:txbxContent>
                  </v:textbox>
                </v:rect>
                <v:rect id="Rectangle 14891" o:spid="_x0000_s1626" style="position:absolute;left:191;top:418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u95xAAAAN4AAAAPAAAAZHJzL2Rvd25yZXYueG1sRE9Na8JA&#10;EL0X/A/LCN7qRiklja4iijQHL7UKHofsmESzs0t2NdFf3y0UepvH+5z5sjeNuFPra8sKJuMEBHFh&#10;dc2lgsP39jUF4QOyxsYyKXiQh+Vi8DLHTNuOv+i+D6WIIewzVFCF4DIpfVGRQT+2jjhyZ9saDBG2&#10;pdQtdjHcNHKaJO/SYM2xoUJH64qK6/5mFJw27PJtJ4vzc+12lzxtPm+Ho1KjYb+agQjUh3/xnzvX&#10;cf5b+jGB33fiDXLxAwAA//8DAFBLAQItABQABgAIAAAAIQDb4fbL7gAAAIUBAAATAAAAAAAAAAAA&#10;AAAAAAAAAABbQ29udGVudF9UeXBlc10ueG1sUEsBAi0AFAAGAAgAAAAhAFr0LFu/AAAAFQEAAAsA&#10;AAAAAAAAAAAAAAAAHwEAAF9yZWxzLy5yZWxzUEsBAi0AFAAGAAgAAAAhAHcy73nEAAAA3gAAAA8A&#10;AAAAAAAAAAAAAAAABwIAAGRycy9kb3ducmV2LnhtbFBLBQYAAAAAAwADALcAAAD4AgAAAAA=&#10;" filled="f" stroked="f">
                  <v:textbox inset="0,0,0,0">
                    <w:txbxContent>
                      <w:p w14:paraId="4543C3E2" w14:textId="77777777" w:rsidR="00B32EF2" w:rsidRDefault="00000000">
                        <w:r>
                          <w:rPr>
                            <w:rFonts w:ascii="Arial" w:eastAsia="Arial" w:hAnsi="Arial" w:cs="Arial"/>
                            <w:sz w:val="18"/>
                          </w:rPr>
                          <w:t>-</w:t>
                        </w:r>
                      </w:p>
                    </w:txbxContent>
                  </v:textbox>
                </v:rect>
                <v:rect id="Rectangle 14892" o:spid="_x0000_s1627" style="position:absolute;left:14105;top:40530;width:258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EOxQAAAN4AAAAPAAAAZHJzL2Rvd25yZXYueG1sRE9La8JA&#10;EL4X/A/LCN7qRiklRlcRRZpDL/UBHofsmESzs0t2NbG/vlso9DYf33MWq9404kGtry0rmIwTEMSF&#10;1TWXCo6H3WsKwgdkjY1lUvAkD6vl4GWBmbYdf9FjH0oRQ9hnqKAKwWVS+qIig35sHXHkLrY1GCJs&#10;S6lb7GK4aeQ0Sd6lwZpjQ4WONhUVt/3dKDhv2eW7ThaX7437vOZp83E/npQaDfv1HESgPvyL/9y5&#10;jvPf0tkUft+JN8jlDwAAAP//AwBQSwECLQAUAAYACAAAACEA2+H2y+4AAACFAQAAEwAAAAAAAAAA&#10;AAAAAAAAAAAAW0NvbnRlbnRfVHlwZXNdLnhtbFBLAQItABQABgAIAAAAIQBa9CxbvwAAABUBAAAL&#10;AAAAAAAAAAAAAAAAAB8BAABfcmVscy8ucmVsc1BLAQItABQABgAIAAAAIQCH4HEOxQAAAN4AAAAP&#10;AAAAAAAAAAAAAAAAAAcCAABkcnMvZG93bnJldi54bWxQSwUGAAAAAAMAAwC3AAAA+QIAAAAA&#10;" filled="f" stroked="f">
                  <v:textbox inset="0,0,0,0">
                    <w:txbxContent>
                      <w:p w14:paraId="5352E4A2" w14:textId="77777777" w:rsidR="00B32EF2" w:rsidRDefault="00000000">
                        <w:r>
                          <w:rPr>
                            <w:rFonts w:ascii="Arial" w:eastAsia="Arial" w:hAnsi="Arial" w:cs="Arial"/>
                            <w:sz w:val="18"/>
                          </w:rPr>
                          <w:t>ne di atti nulli compiuti in primo grado.</w:t>
                        </w:r>
                      </w:p>
                    </w:txbxContent>
                  </v:textbox>
                </v:rect>
                <v:rect id="Rectangle 199839" o:spid="_x0000_s1628" style="position:absolute;left:-12853;top:39260;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GicxAAAAN8AAAAPAAAAZHJzL2Rvd25yZXYueG1sRE/Pa8Iw&#10;FL4P/B/CE7zN1Amj7YwyFFkPu+gUPD6aZ9uteQlNtN3+eiMIO358vxerwbTiSp1vLCuYTRMQxKXV&#10;DVcKDl/b5xSED8gaW8uk4Jc8rJajpwXm2va8o+s+VCKGsM9RQR2Cy6X0ZU0G/dQ64sidbWcwRNhV&#10;UnfYx3DTypckeZUGG44NNTpa11T+7C9GwWnDrtj2sjz/rd3nd5G2H5fDUanJeHh/AxFoCP/ih7vQ&#10;cX6WpfMM7n8iALm8AQAA//8DAFBLAQItABQABgAIAAAAIQDb4fbL7gAAAIUBAAATAAAAAAAAAAAA&#10;AAAAAAAAAABbQ29udGVudF9UeXBlc10ueG1sUEsBAi0AFAAGAAgAAAAhAFr0LFu/AAAAFQEAAAsA&#10;AAAAAAAAAAAAAAAAHwEAAF9yZWxzLy5yZWxzUEsBAi0AFAAGAAgAAAAhAANkaJzEAAAA3wAAAA8A&#10;AAAAAAAAAAAAAAAABwIAAGRycy9kb3ducmV2LnhtbFBLBQYAAAAAAwADALcAAAD4AgAAAAA=&#10;" filled="f" stroked="f">
                  <v:textbox inset="0,0,0,0">
                    <w:txbxContent>
                      <w:p w14:paraId="34544168" w14:textId="77777777" w:rsidR="00B32EF2" w:rsidRDefault="00000000">
                        <w:r>
                          <w:rPr>
                            <w:rFonts w:ascii="Arial" w:eastAsia="Arial" w:hAnsi="Arial" w:cs="Arial"/>
                            <w:sz w:val="18"/>
                          </w:rPr>
                          <w:t>. Dopo che la sentenza di rimessione della causa al primo grado è formal</w:t>
                        </w:r>
                      </w:p>
                    </w:txbxContent>
                  </v:textbox>
                </v:rect>
                <v:rect id="Rectangle 199838" o:spid="_x0000_s1629" style="position:absolute;left:26348;top:39260;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M0HxQAAAN8AAAAPAAAAZHJzL2Rvd25yZXYueG1sRE9Na8JA&#10;EL0X/A/LCL3VjS2UmLqKKNIceqla6HHIjklqdnbJribtr+8cCj0+3vdyPbpO3aiPrWcD81kGirjy&#10;tuXawOm4f8hBxYRssfNMBr4pwno1uVtiYf3A73Q7pFpJCMcCDTQphULrWDXkMM58IBbu7HuHSWBf&#10;a9vjIOGu049Z9qwdtiwNDQbaNlRdDldn4HPHodwPujr/bMPbV5l3r9fThzH303HzAirRmP7Ff+7S&#10;yvzFIn+SwfJHAOjVLwAAAP//AwBQSwECLQAUAAYACAAAACEA2+H2y+4AAACFAQAAEwAAAAAAAAAA&#10;AAAAAAAAAAAAW0NvbnRlbnRfVHlwZXNdLnhtbFBLAQItABQABgAIAAAAIQBa9CxbvwAAABUBAAAL&#10;AAAAAAAAAAAAAAAAAB8BAABfcmVscy8ucmVsc1BLAQItABQABgAIAAAAIQBsKM0HxQAAAN8AAAAP&#10;AAAAAAAAAAAAAAAAAAcCAABkcnMvZG93bnJldi54bWxQSwUGAAAAAAMAAwC3AAAA+QIAAAAA&#10;" filled="f" stroked="f">
                  <v:textbox inset="0,0,0,0">
                    <w:txbxContent>
                      <w:p w14:paraId="7337228A" w14:textId="77777777" w:rsidR="00B32EF2" w:rsidRDefault="00000000">
                        <w:r>
                          <w:rPr>
                            <w:rFonts w:ascii="Arial" w:eastAsia="Arial" w:hAnsi="Arial" w:cs="Arial"/>
                            <w:sz w:val="18"/>
                          </w:rPr>
                          <w:t>3</w:t>
                        </w:r>
                      </w:p>
                    </w:txbxContent>
                  </v:textbox>
                </v:rect>
                <v:rect id="Rectangle 14894" o:spid="_x0000_s1630" style="position:absolute;left:191;top:3926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UzhxAAAAN4AAAAPAAAAZHJzL2Rvd25yZXYueG1sRE9Na8JA&#10;EL0X/A/LCN7qxiIlja4iijQHL7UKHofsmESzs0t2NdFf3y0UepvH+5z5sjeNuFPra8sKJuMEBHFh&#10;dc2lgsP39jUF4QOyxsYyKXiQh+Vi8DLHTNuOv+i+D6WIIewzVFCF4DIpfVGRQT+2jjhyZ9saDBG2&#10;pdQtdjHcNPItSd6lwZpjQ4WO1hUV1/3NKDht2OXbThbn59rtLnnafN4OR6VGw341AxGoD//iP3eu&#10;4/xp+jGF33fiDXLxAwAA//8DAFBLAQItABQABgAIAAAAIQDb4fbL7gAAAIUBAAATAAAAAAAAAAAA&#10;AAAAAAAAAABbQ29udGVudF9UeXBlc10ueG1sUEsBAi0AFAAGAAgAAAAhAFr0LFu/AAAAFQEAAAsA&#10;AAAAAAAAAAAAAAAAHwEAAF9yZWxzLy5yZWxzUEsBAi0AFAAGAAgAAAAhAGdFTOHEAAAA3gAAAA8A&#10;AAAAAAAAAAAAAAAABwIAAGRycy9kb3ducmV2LnhtbFBLBQYAAAAAAwADALcAAAD4AgAAAAA=&#10;" filled="f" stroked="f">
                  <v:textbox inset="0,0,0,0">
                    <w:txbxContent>
                      <w:p w14:paraId="7B9C7EDE" w14:textId="77777777" w:rsidR="00B32EF2" w:rsidRDefault="00000000">
                        <w:r>
                          <w:rPr>
                            <w:rFonts w:ascii="Arial" w:eastAsia="Arial" w:hAnsi="Arial" w:cs="Arial"/>
                            <w:sz w:val="18"/>
                          </w:rPr>
                          <w:t>-</w:t>
                        </w:r>
                      </w:p>
                    </w:txbxContent>
                  </v:textbox>
                </v:rect>
                <v:rect id="Rectangle 14895" o:spid="_x0000_s1631" style="position:absolute;left:-13172;top:3799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el6xQAAAN4AAAAPAAAAZHJzL2Rvd25yZXYueG1sRE9Na8JA&#10;EL0L/odlhN50o7Qlja4iipiDl1oLHofsmKTNzi7Z1cT+erdQ6G0e73MWq9404katry0rmE4SEMSF&#10;1TWXCk4fu3EKwgdkjY1lUnAnD6vlcLDATNuO3+l2DKWIIewzVFCF4DIpfVGRQT+xjjhyF9saDBG2&#10;pdQtdjHcNHKWJK/SYM2xoUJHm4qK7+PVKDhv2eW7ThaXn407fOVps7+ePpV6GvXrOYhAffgX/7lz&#10;Hec/p28v8PtOvEEuHwAAAP//AwBQSwECLQAUAAYACAAAACEA2+H2y+4AAACFAQAAEwAAAAAAAAAA&#10;AAAAAAAAAAAAW0NvbnRlbnRfVHlwZXNdLnhtbFBLAQItABQABgAIAAAAIQBa9CxbvwAAABUBAAAL&#10;AAAAAAAAAAAAAAAAAB8BAABfcmVscy8ucmVsc1BLAQItABQABgAIAAAAIQAICel6xQAAAN4AAAAP&#10;AAAAAAAAAAAAAAAAAAcCAABkcnMvZG93bnJldi54bWxQSwUGAAAAAAMAAwC3AAAA+QIAAAAA&#10;" filled="f" stroked="f">
                  <v:textbox inset="0,0,0,0">
                    <w:txbxContent>
                      <w:p w14:paraId="73C7EA0B" w14:textId="77777777" w:rsidR="00B32EF2" w:rsidRDefault="00000000">
                        <w:r>
                          <w:rPr>
                            <w:rFonts w:ascii="Arial" w:eastAsia="Arial" w:hAnsi="Arial" w:cs="Arial"/>
                            <w:sz w:val="18"/>
                          </w:rPr>
                          <w:t xml:space="preserve">mente passata in giudicato, la segreteria della corte di giustizia tributaria di </w:t>
                        </w:r>
                      </w:p>
                    </w:txbxContent>
                  </v:textbox>
                </v:rect>
                <v:rect id="Rectangle 14896" o:spid="_x0000_s1632" style="position:absolute;left:-13172;top:3672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3cNxAAAAN4AAAAPAAAAZHJzL2Rvd25yZXYueG1sRE9Na8JA&#10;EL0X/A/LCN7qxiKSRlcRRZpDL7UKHofsmESzs0t2NdFf3y0UepvH+5zFqjeNuFPra8sKJuMEBHFh&#10;dc2lgsP37jUF4QOyxsYyKXiQh9Vy8LLATNuOv+i+D6WIIewzVFCF4DIpfVGRQT+2jjhyZ9saDBG2&#10;pdQtdjHcNPItSWbSYM2xoUJHm4qK6/5mFJy27PJdJ4vzc+M+L3nafNwOR6VGw349BxGoD//iP3eu&#10;4/xp+j6D33fiDXL5AwAA//8DAFBLAQItABQABgAIAAAAIQDb4fbL7gAAAIUBAAATAAAAAAAAAAAA&#10;AAAAAAAAAABbQ29udGVudF9UeXBlc10ueG1sUEsBAi0AFAAGAAgAAAAhAFr0LFu/AAAAFQEAAAsA&#10;AAAAAAAAAAAAAAAAHwEAAF9yZWxzLy5yZWxzUEsBAi0AFAAGAAgAAAAhAPjbdw3EAAAA3gAAAA8A&#10;AAAAAAAAAAAAAAAABwIAAGRycy9kb3ducmV2LnhtbFBLBQYAAAAAAwADALcAAAD4AgAAAAA=&#10;" filled="f" stroked="f">
                  <v:textbox inset="0,0,0,0">
                    <w:txbxContent>
                      <w:p w14:paraId="300032A8" w14:textId="77777777" w:rsidR="00B32EF2" w:rsidRDefault="00000000">
                        <w:r>
                          <w:rPr>
                            <w:rFonts w:ascii="Arial" w:eastAsia="Arial" w:hAnsi="Arial" w:cs="Arial"/>
                            <w:sz w:val="18"/>
                          </w:rPr>
                          <w:t xml:space="preserve">secondo grado, nei successivi trenta giorni, trasmette d’ufficio il fascicolo del </w:t>
                        </w:r>
                      </w:p>
                    </w:txbxContent>
                  </v:textbox>
                </v:rect>
                <v:rect id="Rectangle 14897" o:spid="_x0000_s1633" style="position:absolute;left:-13172;top:35451;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9KWxQAAAN4AAAAPAAAAZHJzL2Rvd25yZXYueG1sRE9Na8JA&#10;EL0L/odlhN50o5Q2ja4iipiDl1oLHofsmKTNzi7Z1cT+erdQ6G0e73MWq9404katry0rmE4SEMSF&#10;1TWXCk4fu3EKwgdkjY1lUnAnD6vlcLDATNuO3+l2DKWIIewzVFCF4DIpfVGRQT+xjjhyF9saDBG2&#10;pdQtdjHcNHKWJC/SYM2xoUJHm4qK7+PVKDhv2eW7ThaXn407fOVps7+ePpV6GvXrOYhAffgX/7lz&#10;Hec/p2+v8PtOvEEuHwAAAP//AwBQSwECLQAUAAYACAAAACEA2+H2y+4AAACFAQAAEwAAAAAAAAAA&#10;AAAAAAAAAAAAW0NvbnRlbnRfVHlwZXNdLnhtbFBLAQItABQABgAIAAAAIQBa9CxbvwAAABUBAAAL&#10;AAAAAAAAAAAAAAAAAB8BAABfcmVscy8ucmVsc1BLAQItABQABgAIAAAAIQCXl9KWxQAAAN4AAAAP&#10;AAAAAAAAAAAAAAAAAAcCAABkcnMvZG93bnJldi54bWxQSwUGAAAAAAMAAwC3AAAA+QIAAAAA&#10;" filled="f" stroked="f">
                  <v:textbox inset="0,0,0,0">
                    <w:txbxContent>
                      <w:p w14:paraId="3B73008B" w14:textId="77777777" w:rsidR="00B32EF2" w:rsidRDefault="00000000">
                        <w:r>
                          <w:rPr>
                            <w:rFonts w:ascii="Arial" w:eastAsia="Arial" w:hAnsi="Arial" w:cs="Arial"/>
                            <w:sz w:val="18"/>
                          </w:rPr>
                          <w:t xml:space="preserve">processo alla segreteria della corte di giustizia tributaria di primo grado, senza </w:t>
                        </w:r>
                      </w:p>
                    </w:txbxContent>
                  </v:textbox>
                </v:rect>
                <v:rect id="Rectangle 14898" o:spid="_x0000_s1634" style="position:absolute;left:9240;top:34181;width:306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EbkyAAAAN4AAAAPAAAAZHJzL2Rvd25yZXYueG1sRI9Pa8Mw&#10;DMXvg30Ho8Fuq7MxRprVLaOjLIdd+mewo4jVJFssm9ht0n766lDoTeI9vffTbDG6Th2pj61nA8+T&#10;DBRx5W3LtYHddvWUg4oJ2WLnmQycKMJifn83w8L6gdd03KRaSQjHAg00KYVC61g15DBOfCAWbe97&#10;h0nWvta2x0HCXadfsuxNO2xZGhoMtGyo+t8cnIHfTw7latDV/rwM339l3n0ddj/GPD6MH++gEo3p&#10;Zr5el1bwX/Op8Mo7MoOeXwAAAP//AwBQSwECLQAUAAYACAAAACEA2+H2y+4AAACFAQAAEwAAAAAA&#10;AAAAAAAAAAAAAAAAW0NvbnRlbnRfVHlwZXNdLnhtbFBLAQItABQABgAIAAAAIQBa9CxbvwAAABUB&#10;AAALAAAAAAAAAAAAAAAAAB8BAABfcmVscy8ucmVsc1BLAQItABQABgAIAAAAIQDmCEbkyAAAAN4A&#10;AAAPAAAAAAAAAAAAAAAAAAcCAABkcnMvZG93bnJldi54bWxQSwUGAAAAAAMAAwC3AAAA/AIAAAAA&#10;" filled="f" stroked="f">
                  <v:textbox inset="0,0,0,0">
                    <w:txbxContent>
                      <w:p w14:paraId="0AD3C6A6" w14:textId="77777777" w:rsidR="00B32EF2" w:rsidRDefault="00000000">
                        <w:r>
                          <w:rPr>
                            <w:rFonts w:ascii="Arial" w:eastAsia="Arial" w:hAnsi="Arial" w:cs="Arial"/>
                            <w:sz w:val="18"/>
                          </w:rPr>
                          <w:t>necessità di riassunzione ad istanza di parte.</w:t>
                        </w:r>
                      </w:p>
                    </w:txbxContent>
                  </v:textbox>
                </v:rect>
                <v:rect id="Rectangle 14899" o:spid="_x0000_s1635" style="position:absolute;left:14644;top:13211;width:87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ON/xQAAAN4AAAAPAAAAZHJzL2Rvd25yZXYueG1sRE9La8JA&#10;EL4X+h+WEbzVjSISU1cpFjEHLz4KPQ7ZMUmbnV2yq4n+erdQ8DYf33MWq9404kqtry0rGI8SEMSF&#10;1TWXCk7HzVsKwgdkjY1lUnAjD6vl68sCM2073tP1EEoRQ9hnqKAKwWVS+qIig35kHXHkzrY1GCJs&#10;S6lb7GK4aeQkSWbSYM2xoUJH64qK38PFKPj+ZJdvOlmc72u3+8nTZns5fSk1HPQf7yAC9eEp/nfn&#10;Os6fpvM5/L0Tb5DLBwAAAP//AwBQSwECLQAUAAYACAAAACEA2+H2y+4AAACFAQAAEwAAAAAAAAAA&#10;AAAAAAAAAAAAW0NvbnRlbnRfVHlwZXNdLnhtbFBLAQItABQABgAIAAAAIQBa9CxbvwAAABUBAAAL&#10;AAAAAAAAAAAAAAAAAB8BAABfcmVscy8ucmVsc1BLAQItABQABgAIAAAAIQCJRON/xQAAAN4AAAAP&#10;AAAAAAAAAAAAAAAAAAcCAABkcnMvZG93bnJldi54bWxQSwUGAAAAAAMAAwC3AAAA+QIAAAAA&#10;" filled="f" stroked="f">
                  <v:textbox inset="0,0,0,0">
                    <w:txbxContent>
                      <w:p w14:paraId="21A429F9" w14:textId="77777777" w:rsidR="00B32EF2" w:rsidRDefault="00000000">
                        <w:r>
                          <w:rPr>
                            <w:rFonts w:ascii="Arial" w:eastAsia="Arial" w:hAnsi="Arial" w:cs="Arial"/>
                            <w:b/>
                            <w:sz w:val="18"/>
                          </w:rPr>
                          <w:t>Articolo 114</w:t>
                        </w:r>
                      </w:p>
                    </w:txbxContent>
                  </v:textbox>
                </v:rect>
                <v:rect id="Rectangle 199832" o:spid="_x0000_s1636" style="position:absolute;left:-2668;top:11978;width:194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rtxAAAAN8AAAAPAAAAZHJzL2Rvd25yZXYueG1sRE/LasJA&#10;FN0L/sNwBXc6qUKJ0VGKRZpFN/UBLi+Za5I2c2fIjCbt13cEweXhvFeb3jTiRq2vLSt4mSYgiAur&#10;ay4VHA+7SQrCB2SNjWVS8EseNuvhYIWZth1/0W0fShFD2GeooArBZVL6oiKDfmodceQutjUYImxL&#10;qVvsYrhp5CxJXqXBmmNDhY62FRU/+6tRcH5nl+86WVz+tu7zO0+bj+vxpNR41L8tQQTqw1P8cOc6&#10;zl8s0vkM7n8iALn+BwAA//8DAFBLAQItABQABgAIAAAAIQDb4fbL7gAAAIUBAAATAAAAAAAAAAAA&#10;AAAAAAAAAABbQ29udGVudF9UeXBlc10ueG1sUEsBAi0AFAAGAAgAAAAhAFr0LFu/AAAAFQEAAAsA&#10;AAAAAAAAAAAAAAAAHwEAAF9yZWxzLy5yZWxzUEsBAi0AFAAGAAgAAAAhAA3A+u3EAAAA3wAAAA8A&#10;AAAAAAAAAAAAAAAABwIAAGRycy9kb3ducmV2LnhtbFBLBQYAAAAAAwADALcAAAD4AgAAAAA=&#10;" filled="f" stroked="f">
                  <v:textbox inset="0,0,0,0">
                    <w:txbxContent>
                      <w:p w14:paraId="1F720268" w14:textId="77777777" w:rsidR="00B32EF2" w:rsidRDefault="00000000">
                        <w:r>
                          <w:rPr>
                            <w:rFonts w:ascii="Arial" w:eastAsia="Arial" w:hAnsi="Arial" w:cs="Arial"/>
                            <w:i/>
                            <w:sz w:val="18"/>
                          </w:rPr>
                          <w:t>546/92)</w:t>
                        </w:r>
                      </w:p>
                    </w:txbxContent>
                  </v:textbox>
                </v:rect>
                <v:rect id="Rectangle 199833" o:spid="_x0000_s1637" style="position:absolute;left:11608;top:11978;width:194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F92xAAAAN8AAAAPAAAAZHJzL2Rvd25yZXYueG1sRE/LasJA&#10;FN0L/sNwhe500golRkcpFmkW3dQHuLxkrknazJ0hM5ro13cEweXhvBer3jTiQq2vLSt4nSQgiAur&#10;ay4V7HebcQrCB2SNjWVScCUPq+VwsMBM245/6LINpYgh7DNUUIXgMil9UZFBP7GOOHIn2xoMEbal&#10;1C12Mdw08i1J3qXBmmNDhY7WFRV/27NRcPxkl286WZxua/f9m6fN13l/UOpl1H/MQQTqw1P8cOc6&#10;zp/N0ukU7n8iALn8BwAA//8DAFBLAQItABQABgAIAAAAIQDb4fbL7gAAAIUBAAATAAAAAAAAAAAA&#10;AAAAAAAAAABbQ29udGVudF9UeXBlc10ueG1sUEsBAi0AFAAGAAgAAAAhAFr0LFu/AAAAFQEAAAsA&#10;AAAAAAAAAAAAAAAAHwEAAF9yZWxzLy5yZWxzUEsBAi0AFAAGAAgAAAAhAGKMX3bEAAAA3wAAAA8A&#10;AAAAAAAAAAAAAAAABwIAAGRycy9kb3ducmV2LnhtbFBLBQYAAAAAAwADALcAAAD4AgAAAAA=&#10;" filled="f" stroked="f">
                  <v:textbox inset="0,0,0,0">
                    <w:txbxContent>
                      <w:p w14:paraId="05249F21" w14:textId="77777777" w:rsidR="00B32EF2" w:rsidRDefault="00000000">
                        <w:r>
                          <w:rPr>
                            <w:rFonts w:ascii="Arial" w:eastAsia="Arial" w:hAnsi="Arial" w:cs="Arial"/>
                            <w:i/>
                            <w:sz w:val="18"/>
                          </w:rPr>
                          <w:t xml:space="preserve">articolo 60 D.lgs. n. </w:t>
                        </w:r>
                      </w:p>
                    </w:txbxContent>
                  </v:textbox>
                </v:rect>
                <v:rect id="Rectangle 199831" o:spid="_x0000_s1638" style="position:absolute;left:22224;top:11978;width:194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mSaxAAAAN8AAAAPAAAAZHJzL2Rvd25yZXYueG1sRE/LasJA&#10;FN0L/sNwBXc6sUKJ0VFEkWbRTX2Ay0vmmqTN3Bkyo0n79Z1CweXhvFeb3jTiQa2vLSuYTRMQxIXV&#10;NZcKzqfDJAXhA7LGxjIp+CYPm/VwsMJM244/6HEMpYgh7DNUUIXgMil9UZFBP7WOOHI32xoMEbal&#10;1C12Mdw08iVJXqXBmmNDhY52FRVfx7tRcN2zyw+dLG4/O/f+mafN2/18UWo86rdLEIH68BT/u3Md&#10;5y8W6XwGf38iALn+BQAA//8DAFBLAQItABQABgAIAAAAIQDb4fbL7gAAAIUBAAATAAAAAAAAAAAA&#10;AAAAAAAAAABbQ29udGVudF9UeXBlc10ueG1sUEsBAi0AFAAGAAgAAAAhAFr0LFu/AAAAFQEAAAsA&#10;AAAAAAAAAAAAAAAAHwEAAF9yZWxzLy5yZWxzUEsBAi0AFAAGAAgAAAAhAP0SZJrEAAAA3wAAAA8A&#10;AAAAAAAAAAAAAAAABwIAAGRycy9kb3ducmV2LnhtbFBLBQYAAAAAAwADALcAAAD4AgAAAAA=&#10;" filled="f" stroked="f">
                  <v:textbox inset="0,0,0,0">
                    <w:txbxContent>
                      <w:p w14:paraId="4431E301" w14:textId="77777777" w:rsidR="00B32EF2" w:rsidRDefault="00000000">
                        <w:r>
                          <w:rPr>
                            <w:rFonts w:ascii="Arial" w:eastAsia="Arial" w:hAnsi="Arial" w:cs="Arial"/>
                            <w:i/>
                            <w:sz w:val="18"/>
                          </w:rPr>
                          <w:t>(</w:t>
                        </w:r>
                      </w:p>
                    </w:txbxContent>
                  </v:textbox>
                </v:rect>
                <v:rect id="Rectangle 14901" o:spid="_x0000_s1639" style="position:absolute;left:-6156;top:10745;width:418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XVjxQAAAN4AAAAPAAAAZHJzL2Rvd25yZXYueG1sRE9La8JA&#10;EL4X+h+WKfSmG4sUjW5ELGIOvVRT6HHITh6anV2yq0n767sFobf5+J6z3oymEzfqfWtZwWyagCAu&#10;rW65VlCc9pMFCB+QNXaWScE3edhkjw9rTLUd+INux1CLGMI+RQVNCC6V0pcNGfRT64gjV9neYIiw&#10;r6XucYjhppMvSfIqDbYcGxp0tGuovByvRsHXG7t8P8iy+tm593O+6A7X4lOp56dxuwIRaAz/4rs7&#10;13H+fJnM4O+deIPMfgEAAP//AwBQSwECLQAUAAYACAAAACEA2+H2y+4AAACFAQAAEwAAAAAAAAAA&#10;AAAAAAAAAAAAW0NvbnRlbnRfVHlwZXNdLnhtbFBLAQItABQABgAIAAAAIQBa9CxbvwAAABUBAAAL&#10;AAAAAAAAAAAAAAAAAB8BAABfcmVscy8ucmVsc1BLAQItABQABgAIAAAAIQDp2XVjxQAAAN4AAAAP&#10;AAAAAAAAAAAAAAAAAAcCAABkcnMvZG93bnJldi54bWxQSwUGAAAAAAMAAwC3AAAA+QIAAAAA&#10;" filled="f" stroked="f">
                  <v:textbox inset="0,0,0,0">
                    <w:txbxContent>
                      <w:p w14:paraId="1A2B1095" w14:textId="77777777" w:rsidR="00B32EF2" w:rsidRDefault="00000000">
                        <w:r>
                          <w:rPr>
                            <w:rFonts w:ascii="Arial" w:eastAsia="Arial" w:hAnsi="Arial" w:cs="Arial"/>
                            <w:b/>
                            <w:sz w:val="18"/>
                          </w:rPr>
                          <w:t xml:space="preserve">Non riproponibilità dell’appello dichiarato inammissibile </w:t>
                        </w:r>
                      </w:p>
                    </w:txbxContent>
                  </v:textbox>
                </v:rect>
                <v:rect id="Rectangle 199827" o:spid="_x0000_s1640" style="position:absolute;left:-13764;top:95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s+oxAAAAN8AAAAPAAAAZHJzL2Rvd25yZXYueG1sRE/LasJA&#10;FN0L/sNwBXc6qQsbo6MUizSLbuoDXF4y1yRt5s6QGU3ar+8IgsvDea82vWnEjVpfW1bwMk1AEBdW&#10;11wqOB52kxSED8gaG8uk4Jc8bNbDwQozbTv+ots+lCKGsM9QQRWCy6T0RUUG/dQ64shdbGswRNiW&#10;UrfYxXDTyFmSzKXBmmNDhY62FRU/+6tRcH5nl+86WVz+tu7zO0+bj+vxpNR41L8tQQTqw1P8cOc6&#10;zl8s0tkr3P9EAHL9DwAA//8DAFBLAQItABQABgAIAAAAIQDb4fbL7gAAAIUBAAATAAAAAAAAAAAA&#10;AAAAAAAAAABbQ29udGVudF9UeXBlc10ueG1sUEsBAi0AFAAGAAgAAAAhAFr0LFu/AAAAFQEAAAsA&#10;AAAAAAAAAAAAAAAAHwEAAF9yZWxzLy5yZWxzUEsBAi0AFAAGAAgAAAAhAJhuz6jEAAAA3wAAAA8A&#10;AAAAAAAAAAAAAAAABwIAAGRycy9kb3ducmV2LnhtbFBLBQYAAAAAAwADALcAAAD4AgAAAAA=&#10;" filled="f" stroked="f">
                  <v:textbox inset="0,0,0,0">
                    <w:txbxContent>
                      <w:p w14:paraId="719B1A90" w14:textId="77777777" w:rsidR="00B32EF2" w:rsidRDefault="00000000">
                        <w:r>
                          <w:rPr>
                            <w:rFonts w:ascii="Arial" w:eastAsia="Arial" w:hAnsi="Arial" w:cs="Arial"/>
                            <w:sz w:val="18"/>
                          </w:rPr>
                          <w:t xml:space="preserve">. L’appello dichiarato inammissibile non può essere riproposto anche se non </w:t>
                        </w:r>
                      </w:p>
                    </w:txbxContent>
                  </v:textbox>
                </v:rect>
                <v:rect id="Rectangle 199826" o:spid="_x0000_s1641" style="position:absolute;left:26109;top:951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mozxAAAAN8AAAAPAAAAZHJzL2Rvd25yZXYueG1sRE/LisIw&#10;FN0P+A/hCrMbU11IrUYRRezCzfgAl5fm2namuQlNtB2/fjIw4PJw3otVbxrxoNbXlhWMRwkI4sLq&#10;mksF59PuIwXhA7LGxjIp+CEPq+XgbYGZth1/0uMYShFD2GeooArBZVL6oiKDfmQdceRutjUYImxL&#10;qVvsYrhp5CRJptJgzbGhQkebiorv490ouG7Z5btOFrfnxh2+8rTZ388Xpd6H/XoOIlAfXuJ/d67j&#10;/NksnUzh708EIJe/AAAA//8DAFBLAQItABQABgAIAAAAIQDb4fbL7gAAAIUBAAATAAAAAAAAAAAA&#10;AAAAAAAAAABbQ29udGVudF9UeXBlc10ueG1sUEsBAi0AFAAGAAgAAAAhAFr0LFu/AAAAFQEAAAsA&#10;AAAAAAAAAAAAAAAAHwEAAF9yZWxzLy5yZWxzUEsBAi0AFAAGAAgAAAAhAPciajPEAAAA3wAAAA8A&#10;AAAAAAAAAAAAAAAABwIAAGRycy9kb3ducmV2LnhtbFBLBQYAAAAAAwADALcAAAD4AgAAAAA=&#10;" filled="f" stroked="f">
                  <v:textbox inset="0,0,0,0">
                    <w:txbxContent>
                      <w:p w14:paraId="31C4A8B5" w14:textId="77777777" w:rsidR="00B32EF2" w:rsidRDefault="00000000">
                        <w:r>
                          <w:rPr>
                            <w:rFonts w:ascii="Arial" w:eastAsia="Arial" w:hAnsi="Arial" w:cs="Arial"/>
                            <w:sz w:val="18"/>
                          </w:rPr>
                          <w:t>1</w:t>
                        </w:r>
                      </w:p>
                    </w:txbxContent>
                  </v:textbox>
                </v:rect>
                <v:rect id="Rectangle 14903" o:spid="_x0000_s1642" style="position:absolute;left:12541;top:8278;width:273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06PxQAAAN4AAAAPAAAAZHJzL2Rvd25yZXYueG1sRE9La8JA&#10;EL4L/Q/LFHrTTa0UG12lKNIcvPgoeByyYxLNzi7Z1aT+elcoeJuP7znTeWdqcaXGV5YVvA8SEMS5&#10;1RUXCva7VX8MwgdkjbVlUvBHHuazl94UU21b3tB1GwoRQ9inqKAMwaVS+rwkg35gHXHkjrYxGCJs&#10;CqkbbGO4qeUwST6lwYpjQ4mOFiXl5+3FKDgs2WWrVubH28KtT9m4/rnsf5V6e+2+JyACdeEp/ndn&#10;Os4ffSUf8Hgn3iBndwAAAP//AwBQSwECLQAUAAYACAAAACEA2+H2y+4AAACFAQAAEwAAAAAAAAAA&#10;AAAAAAAAAAAAW0NvbnRlbnRfVHlwZXNdLnhtbFBLAQItABQABgAIAAAAIQBa9CxbvwAAABUBAAAL&#10;AAAAAAAAAAAAAAAAAB8BAABfcmVscy8ucmVsc1BLAQItABQABgAIAAAAIQB2R06PxQAAAN4AAAAP&#10;AAAAAAAAAAAAAAAAAAcCAABkcnMvZG93bnJldi54bWxQSwUGAAAAAAMAAwC3AAAA+QIAAAAA&#10;" filled="f" stroked="f">
                  <v:textbox inset="0,0,0,0">
                    <w:txbxContent>
                      <w:p w14:paraId="02E99793" w14:textId="77777777" w:rsidR="00B32EF2" w:rsidRDefault="00000000">
                        <w:r>
                          <w:rPr>
                            <w:rFonts w:ascii="Arial" w:eastAsia="Arial" w:hAnsi="Arial" w:cs="Arial"/>
                            <w:sz w:val="18"/>
                          </w:rPr>
                          <w:t>è decorso il termine stabilito dalla legge.</w:t>
                        </w:r>
                      </w:p>
                    </w:txbxContent>
                  </v:textbox>
                </v:rect>
                <v:rect id="Rectangle 14904" o:spid="_x0000_s1643" style="position:absolute;left:14643;top:5811;width:87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tb7xQAAAN4AAAAPAAAAZHJzL2Rvd25yZXYueG1sRE9LawIx&#10;EL4X/A9hhN40axGxW7MiinQPvdQqeBw2s4+6mYRNdLf99aYg9DYf33NW68G04kadbywrmE0TEMSF&#10;1Q1XCo5f+8kShA/IGlvLpOCHPKyz0dMKU217/qTbIVQihrBPUUEdgkul9EVNBv3UOuLIlbYzGCLs&#10;Kqk77GO4aeVLkiykwYZjQ42OtjUVl8PVKDjv2OX7Xhbl79Z9fOfL9v16PCn1PB42byACDeFf/HDn&#10;Os6fvyZz+Hsn3iCzOwAAAP//AwBQSwECLQAUAAYACAAAACEA2+H2y+4AAACFAQAAEwAAAAAAAAAA&#10;AAAAAAAAAAAAW0NvbnRlbnRfVHlwZXNdLnhtbFBLAQItABQABgAIAAAAIQBa9CxbvwAAABUBAAAL&#10;AAAAAAAAAAAAAAAAAB8BAABfcmVscy8ucmVsc1BLAQItABQABgAIAAAAIQD5rtb7xQAAAN4AAAAP&#10;AAAAAAAAAAAAAAAAAAcCAABkcnMvZG93bnJldi54bWxQSwUGAAAAAAMAAwC3AAAA+QIAAAAA&#10;" filled="f" stroked="f">
                  <v:textbox inset="0,0,0,0">
                    <w:txbxContent>
                      <w:p w14:paraId="0780F0F0" w14:textId="77777777" w:rsidR="00B32EF2" w:rsidRDefault="00000000">
                        <w:r>
                          <w:rPr>
                            <w:rFonts w:ascii="Arial" w:eastAsia="Arial" w:hAnsi="Arial" w:cs="Arial"/>
                            <w:b/>
                            <w:sz w:val="18"/>
                          </w:rPr>
                          <w:t>Articolo 115</w:t>
                        </w:r>
                      </w:p>
                    </w:txbxContent>
                  </v:textbox>
                </v:rect>
                <v:rect id="Rectangle 199825" o:spid="_x0000_s1644" style="position:absolute;left:11649;top:4578;width:193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PRExAAAAN8AAAAPAAAAZHJzL2Rvd25yZXYueG1sRE/LasJA&#10;FN0L/sNwBXc6qWCJ0VGKRZpFN/UBLi+Za5I2c2fIjCbt13cEweXhvFeb3jTiRq2vLSt4mSYgiAur&#10;ay4VHA+7SQrCB2SNjWVS8EseNuvhYIWZth1/0W0fShFD2GeooArBZVL6oiKDfmodceQutjUYImxL&#10;qVvsYrhp5CxJXqXBmmNDhY62FRU/+6tRcH5nl+86WVz+tu7zO0+bj+vxpNR41L8tQQTqw1P8cOc6&#10;zl8s0tkc7n8iALn+BwAA//8DAFBLAQItABQABgAIAAAAIQDb4fbL7gAAAIUBAAATAAAAAAAAAAAA&#10;AAAAAAAAAABbQ29udGVudF9UeXBlc10ueG1sUEsBAi0AFAAGAAgAAAAhAFr0LFu/AAAAFQEAAAsA&#10;AAAAAAAAAAAAAAAAHwEAAF9yZWxzLy5yZWxzUEsBAi0AFAAGAAgAAAAhAAfw9ETEAAAA3wAAAA8A&#10;AAAAAAAAAAAAAAAABwIAAGRycy9kb3ducmV2LnhtbFBLBQYAAAAAAwADALcAAAD4AgAAAAA=&#10;" filled="f" stroked="f">
                  <v:textbox inset="0,0,0,0">
                    <w:txbxContent>
                      <w:p w14:paraId="5CEF213C" w14:textId="77777777" w:rsidR="00B32EF2" w:rsidRDefault="00000000">
                        <w:r>
                          <w:rPr>
                            <w:rFonts w:ascii="Arial" w:eastAsia="Arial" w:hAnsi="Arial" w:cs="Arial"/>
                            <w:i/>
                            <w:sz w:val="18"/>
                          </w:rPr>
                          <w:t xml:space="preserve">articolo 61 D.lgs. n. </w:t>
                        </w:r>
                      </w:p>
                    </w:txbxContent>
                  </v:textbox>
                </v:rect>
                <v:rect id="Rectangle 199823" o:spid="_x0000_s1645" style="position:absolute;left:22215;top:4578;width:193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cmrxAAAAN8AAAAPAAAAZHJzL2Rvd25yZXYueG1sRE/LasJA&#10;FN0L/sNwBXc6qUKJ0VGKRZpFN/UBLi+Za5I2c2fIjCbt13cEweXhvFeb3jTiRq2vLSt4mSYgiAur&#10;ay4VHA+7SQrCB2SNjWVS8EseNuvhYIWZth1/0W0fShFD2GeooArBZVL6oiKDfmodceQutjUYImxL&#10;qVvsYrhp5CxJXqXBmmNDhY62FRU/+6tRcH5nl+86WVz+tu7zO0+bj+vxpNR41L8tQQTqw1P8cOc6&#10;zl8s0tkc7n8iALn+BwAA//8DAFBLAQItABQABgAIAAAAIQDb4fbL7gAAAIUBAAATAAAAAAAAAAAA&#10;AAAAAAAAAABbQ29udGVudF9UeXBlc10ueG1sUEsBAi0AFAAGAAgAAAAhAFr0LFu/AAAAFQEAAAsA&#10;AAAAAAAAAAAAAAAAHwEAAF9yZWxzLy5yZWxzUEsBAi0AFAAGAAgAAAAhAOdVyavEAAAA3wAAAA8A&#10;AAAAAAAAAAAAAAAABwIAAGRycy9kb3ducmV2LnhtbFBLBQYAAAAAAwADALcAAAD4AgAAAAA=&#10;" filled="f" stroked="f">
                  <v:textbox inset="0,0,0,0">
                    <w:txbxContent>
                      <w:p w14:paraId="55639D1F" w14:textId="77777777" w:rsidR="00B32EF2" w:rsidRDefault="00000000">
                        <w:r>
                          <w:rPr>
                            <w:rFonts w:ascii="Arial" w:eastAsia="Arial" w:hAnsi="Arial" w:cs="Arial"/>
                            <w:i/>
                            <w:sz w:val="18"/>
                          </w:rPr>
                          <w:t>(</w:t>
                        </w:r>
                      </w:p>
                    </w:txbxContent>
                  </v:textbox>
                </v:rect>
                <v:rect id="Rectangle 199824" o:spid="_x0000_s1646" style="position:absolute;left:-2577;top:4578;width:193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FHfxAAAAN8AAAAPAAAAZHJzL2Rvd25yZXYueG1sRE/LasJA&#10;FN0L/sNwBXc6qUiJ0VGKRZpFN/UBLi+Za5I2c2fIjCbt13cEweXhvFeb3jTiRq2vLSt4mSYgiAur&#10;ay4VHA+7SQrCB2SNjWVS8EseNuvhYIWZth1/0W0fShFD2GeooArBZVL6oiKDfmodceQutjUYImxL&#10;qVvsYrhp5CxJXqXBmmNDhY62FRU/+6tRcH5nl+86WVz+tu7zO0+bj+vxpNR41L8tQQTqw1P8cOc6&#10;zl8s0tkc7n8iALn+BwAA//8DAFBLAQItABQABgAIAAAAIQDb4fbL7gAAAIUBAAATAAAAAAAAAAAA&#10;AAAAAAAAAABbQ29udGVudF9UeXBlc10ueG1sUEsBAi0AFAAGAAgAAAAhAFr0LFu/AAAAFQEAAAsA&#10;AAAAAAAAAAAAAAAAHwEAAF9yZWxzLy5yZWxzUEsBAi0AFAAGAAgAAAAhAGi8Ud/EAAAA3wAAAA8A&#10;AAAAAAAAAAAAAAAABwIAAGRycy9kb3ducmV2LnhtbFBLBQYAAAAAAwADALcAAAD4AgAAAAA=&#10;" filled="f" stroked="f">
                  <v:textbox inset="0,0,0,0">
                    <w:txbxContent>
                      <w:p w14:paraId="45F735FE" w14:textId="77777777" w:rsidR="00B32EF2" w:rsidRDefault="00000000">
                        <w:r>
                          <w:rPr>
                            <w:rFonts w:ascii="Arial" w:eastAsia="Arial" w:hAnsi="Arial" w:cs="Arial"/>
                            <w:i/>
                            <w:sz w:val="18"/>
                          </w:rPr>
                          <w:t>546/92)</w:t>
                        </w:r>
                      </w:p>
                    </w:txbxContent>
                  </v:textbox>
                </v:rect>
                <v:rect id="Rectangle 14906" o:spid="_x0000_s1647" style="position:absolute;left:11600;top:3345;width:133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O0XxQAAAN4AAAAPAAAAZHJzL2Rvd25yZXYueG1sRE9LawIx&#10;EL4X+h/CFLxptkVEV7NSLNI99OKj0OOwmX3YzSRsorv66xtB6G0+vues1oNpxYU631hW8DpJQBAX&#10;VjdcKTgetuM5CB+QNbaWScGVPKyz56cVptr2vKPLPlQihrBPUUEdgkul9EVNBv3EOuLIlbYzGCLs&#10;Kqk77GO4aeVbksykwYZjQ42ONjUVv/uzUfDzwS7f9rIobxv3dcrn7ef5+K3U6GV4X4IINIR/8cOd&#10;6zh/ukhmcH8n3iCzPwAAAP//AwBQSwECLQAUAAYACAAAACEA2+H2y+4AAACFAQAAEwAAAAAAAAAA&#10;AAAAAAAAAAAAW0NvbnRlbnRfVHlwZXNdLnhtbFBLAQItABQABgAIAAAAIQBa9CxbvwAAABUBAAAL&#10;AAAAAAAAAAAAAAAAAB8BAABfcmVscy8ucmVsc1BLAQItABQABgAIAAAAIQBmMO0XxQAAAN4AAAAP&#10;AAAAAAAAAAAAAAAAAAcCAABkcnMvZG93bnJldi54bWxQSwUGAAAAAAMAAwC3AAAA+QIAAAAA&#10;" filled="f" stroked="f">
                  <v:textbox inset="0,0,0,0">
                    <w:txbxContent>
                      <w:p w14:paraId="0688D497" w14:textId="77777777" w:rsidR="00B32EF2" w:rsidRDefault="00000000">
                        <w:r>
                          <w:rPr>
                            <w:rFonts w:ascii="Arial" w:eastAsia="Arial" w:hAnsi="Arial" w:cs="Arial"/>
                            <w:b/>
                            <w:sz w:val="18"/>
                          </w:rPr>
                          <w:t xml:space="preserve">Norme applicabili </w:t>
                        </w:r>
                      </w:p>
                    </w:txbxContent>
                  </v:textbox>
                </v:rect>
                <v:rect id="Rectangle 199822" o:spid="_x0000_s1648" style="position:absolute;left:-12832;top:2112;width:5215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wwxAAAAN8AAAAPAAAAZHJzL2Rvd25yZXYueG1sRE/Pa8Iw&#10;FL4P/B/CE7zN1B5G7YwyFFkPXqYOdnw0z7Zb8xKaaKt//SIIHj++34vVYFpxoc43lhXMpgkI4tLq&#10;hisFx8P2NQPhA7LG1jIpuJKH1XL0ssBc256/6LIPlYgh7HNUUIfgcil9WZNBP7WOOHIn2xkMEXaV&#10;1B32Mdy0Mk2SN2mw4dhQo6N1TeXf/mwU/GzYFdtelqfb2u1+i6z9PB+/lZqMh493EIGG8BQ/3IWO&#10;8+fzLE3h/icCkMt/AAAA//8DAFBLAQItABQABgAIAAAAIQDb4fbL7gAAAIUBAAATAAAAAAAAAAAA&#10;AAAAAAAAAABbQ29udGVudF9UeXBlc10ueG1sUEsBAi0AFAAGAAgAAAAhAFr0LFu/AAAAFQEAAAsA&#10;AAAAAAAAAAAAAAAAHwEAAF9yZWxzLy5yZWxzUEsBAi0AFAAGAAgAAAAhAIgZbDDEAAAA3wAAAA8A&#10;AAAAAAAAAAAAAAAABwIAAGRycy9kb3ducmV2LnhtbFBLBQYAAAAAAwADALcAAAD4AgAAAAA=&#10;" filled="f" stroked="f">
                  <v:textbox inset="0,0,0,0">
                    <w:txbxContent>
                      <w:p w14:paraId="09E32954" w14:textId="77777777" w:rsidR="00B32EF2" w:rsidRDefault="00000000">
                        <w:r>
                          <w:rPr>
                            <w:rFonts w:ascii="Arial" w:eastAsia="Arial" w:hAnsi="Arial" w:cs="Arial"/>
                            <w:sz w:val="18"/>
                          </w:rPr>
                          <w:t>. Nel procedimento d’appello si osservano in quanto applicabili le norme det</w:t>
                        </w:r>
                      </w:p>
                    </w:txbxContent>
                  </v:textbox>
                </v:rect>
                <v:rect id="Rectangle 199821" o:spid="_x0000_s1649" style="position:absolute;left:26341;top:2112;width:5215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JHxAAAAN8AAAAPAAAAZHJzL2Rvd25yZXYueG1sRE/LisIw&#10;FN0P+A/hDrgbU10MtRplUGS6cDM+wOWlubadaW5CE2316yeC4PJw3vNlbxpxpdbXlhWMRwkI4sLq&#10;mksFh/3mIwXhA7LGxjIpuJGH5WLwNsdM245/6LoLpYgh7DNUUIXgMil9UZFBP7KOOHJn2xoMEbal&#10;1C12Mdw0cpIkn9JgzbGhQkerioq/3cUoOK3Z5ZtOFuf7ym1/87T5vhyOSg3f+68ZiEB9eImf7lzH&#10;+dNpOhnD408EIBf/AAAA//8DAFBLAQItABQABgAIAAAAIQDb4fbL7gAAAIUBAAATAAAAAAAAAAAA&#10;AAAAAAAAAABbQ29udGVudF9UeXBlc10ueG1sUEsBAi0AFAAGAAgAAAAhAFr0LFu/AAAAFQEAAAsA&#10;AAAAAAAAAAAAAAAAHwEAAF9yZWxzLy5yZWxzUEsBAi0AFAAGAAgAAAAhAHjL8kfEAAAA3wAAAA8A&#10;AAAAAAAAAAAAAAAABwIAAGRycy9kb3ducmV2LnhtbFBLBQYAAAAAAwADALcAAAD4AgAAAAA=&#10;" filled="f" stroked="f">
                  <v:textbox inset="0,0,0,0">
                    <w:txbxContent>
                      <w:p w14:paraId="422F2B16" w14:textId="77777777" w:rsidR="00B32EF2" w:rsidRDefault="00000000">
                        <w:r>
                          <w:rPr>
                            <w:rFonts w:ascii="Arial" w:eastAsia="Arial" w:hAnsi="Arial" w:cs="Arial"/>
                            <w:sz w:val="18"/>
                          </w:rPr>
                          <w:t>1</w:t>
                        </w:r>
                      </w:p>
                    </w:txbxContent>
                  </v:textbox>
                </v:rect>
                <v:rect id="Rectangle 14908" o:spid="_x0000_s1650" style="position:absolute;left:191;top:2112;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9z+xwAAAN4AAAAPAAAAZHJzL2Rvd25yZXYueG1sRI9Ba8JA&#10;EIXvhf6HZQq91U1LKTa6ilikOfSiVfA4ZMckmp1dsqtJ++udg+BthvfmvW+m88G16kJdbDwbeB1l&#10;oIhLbxuuDGx/Vy9jUDEhW2w9k4E/ijCfPT5MMbe+5zVdNqlSEsIxRwN1SiHXOpY1OYwjH4hFO/jO&#10;YZK1q7TtsJdw1+q3LPvQDhuWhhoDLWsqT5uzM7D/4lCsel0e/pfh51iM2+/zdmfM89OwmIBKNKS7&#10;+XZdWMF//8yEV96RGfTsCgAA//8DAFBLAQItABQABgAIAAAAIQDb4fbL7gAAAIUBAAATAAAAAAAA&#10;AAAAAAAAAAAAAABbQ29udGVudF9UeXBlc10ueG1sUEsBAi0AFAAGAAgAAAAhAFr0LFu/AAAAFQEA&#10;AAsAAAAAAAAAAAAAAAAAHwEAAF9yZWxzLy5yZWxzUEsBAi0AFAAGAAgAAAAhAHjj3P7HAAAA3gAA&#10;AA8AAAAAAAAAAAAAAAAABwIAAGRycy9kb3ducmV2LnhtbFBLBQYAAAAAAwADALcAAAD7AgAAAAA=&#10;" filled="f" stroked="f">
                  <v:textbox inset="0,0,0,0">
                    <w:txbxContent>
                      <w:p w14:paraId="33A9388D" w14:textId="77777777" w:rsidR="00B32EF2" w:rsidRDefault="00000000">
                        <w:r>
                          <w:rPr>
                            <w:rFonts w:ascii="Arial" w:eastAsia="Arial" w:hAnsi="Arial" w:cs="Arial"/>
                            <w:sz w:val="18"/>
                          </w:rPr>
                          <w:t>-</w:t>
                        </w:r>
                      </w:p>
                    </w:txbxContent>
                  </v:textbox>
                </v:rect>
                <v:rect id="Rectangle 14909" o:spid="_x0000_s1651" style="position:absolute;left:-12187;top:878;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3llxQAAAN4AAAAPAAAAZHJzL2Rvd25yZXYueG1sRE9LawIx&#10;EL4L/Q9hCt402yJFV7NSLNI99KK10OOwmX3YzSRsorv6640g9DYf33NW68G04kydbywreJkmIIgL&#10;qxuuFBy+t5M5CB+QNbaWScGFPKyzp9EKU2173tF5HyoRQ9inqKAOwaVS+qImg35qHXHkStsZDBF2&#10;ldQd9jHctPI1Sd6kwYZjQ42ONjUVf/uTUfD7wS7f9rIorxv3dczn7efp8KPU+Hl4X4IINIR/8cOd&#10;6zh/tkgWcH8n3iCzGwAAAP//AwBQSwECLQAUAAYACAAAACEA2+H2y+4AAACFAQAAEwAAAAAAAAAA&#10;AAAAAAAAAAAAW0NvbnRlbnRfVHlwZXNdLnhtbFBLAQItABQABgAIAAAAIQBa9CxbvwAAABUBAAAL&#10;AAAAAAAAAAAAAAAAAB8BAABfcmVscy8ucmVsc1BLAQItABQABgAIAAAAIQAXr3llxQAAAN4AAAAP&#10;AAAAAAAAAAAAAAAAAAcCAABkcnMvZG93bnJldi54bWxQSwUGAAAAAAMAAwC3AAAA+QIAAAAA&#10;" filled="f" stroked="f">
                  <v:textbox inset="0,0,0,0">
                    <w:txbxContent>
                      <w:p w14:paraId="49205000" w14:textId="77777777" w:rsidR="00B32EF2" w:rsidRDefault="00000000">
                        <w:r>
                          <w:rPr>
                            <w:rFonts w:ascii="Arial" w:eastAsia="Arial" w:hAnsi="Arial" w:cs="Arial"/>
                            <w:sz w:val="18"/>
                          </w:rPr>
                          <w:t>tate per il procedimento di primo grado, se non sono incompatibili con le dispo</w:t>
                        </w:r>
                      </w:p>
                    </w:txbxContent>
                  </v:textbox>
                </v:rect>
                <v:rect id="Rectangle 14910" o:spid="_x0000_s1652" style="position:absolute;left:191;top:87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YlyAAAAN4AAAAPAAAAZHJzL2Rvd25yZXYueG1sRI9Pa8JA&#10;EMXvQr/DMoXedGMpxUZXKRZpDr34p+BxyI5JNDu7ZFeT9tM7h0JvM8yb995vsRpcq27Uxcazgekk&#10;A0VcettwZeCw34xnoGJCtth6JgM/FGG1fBgtMLe+5y3ddqlSYsIxRwN1SiHXOpY1OYwTH4jldvKd&#10;wyRrV2nbYS/mrtXPWfaqHTYsCTUGWtdUXnZXZ+D4waHY9Lo8/a7D17mYtZ/Xw7cxT4/D+xxUoiH9&#10;i/++Cyv1X96mAiA4MoNe3gEAAP//AwBQSwECLQAUAAYACAAAACEA2+H2y+4AAACFAQAAEwAAAAAA&#10;AAAAAAAAAAAAAAAAW0NvbnRlbnRfVHlwZXNdLnhtbFBLAQItABQABgAIAAAAIQBa9CxbvwAAABUB&#10;AAALAAAAAAAAAAAAAAAAAB8BAABfcmVscy8ucmVsc1BLAQItABQABgAIAAAAIQADTEYlyAAAAN4A&#10;AAAPAAAAAAAAAAAAAAAAAAcCAABkcnMvZG93bnJldi54bWxQSwUGAAAAAAMAAwC3AAAA/AIAAAAA&#10;" filled="f" stroked="f">
                  <v:textbox inset="0,0,0,0">
                    <w:txbxContent>
                      <w:p w14:paraId="4C43315D" w14:textId="77777777" w:rsidR="00B32EF2" w:rsidRDefault="00000000">
                        <w:r>
                          <w:rPr>
                            <w:rFonts w:ascii="Arial" w:eastAsia="Arial" w:hAnsi="Arial" w:cs="Arial"/>
                            <w:sz w:val="18"/>
                          </w:rPr>
                          <w:t>-</w:t>
                        </w:r>
                      </w:p>
                    </w:txbxContent>
                  </v:textbox>
                </v:rect>
                <v:rect id="Rectangle 14911" o:spid="_x0000_s1653" style="position:absolute;left:19434;top:-354;width:2048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OO+xAAAAN4AAAAPAAAAZHJzL2Rvd25yZXYueG1sRE9Na8JA&#10;EL0X/A/LCL3VTaQUG11FFGkOXrQKHofsmESzs0t2Nam/visUepvH+5zZojeNuFPra8sK0lECgriw&#10;uuZSweF78zYB4QOyxsYyKfghD4v54GWGmbYd7+i+D6WIIewzVFCF4DIpfVGRQT+yjjhyZ9saDBG2&#10;pdQtdjHcNHKcJB/SYM2xoUJHq4qK6/5mFJzW7PJNJ4vzY+W2l3zSfN0OR6Veh/1yCiJQH/7Ff+5c&#10;x/nvn2kKz3fiDXL+CwAA//8DAFBLAQItABQABgAIAAAAIQDb4fbL7gAAAIUBAAATAAAAAAAAAAAA&#10;AAAAAAAAAABbQ29udGVudF9UeXBlc10ueG1sUEsBAi0AFAAGAAgAAAAhAFr0LFu/AAAAFQEAAAsA&#10;AAAAAAAAAAAAAAAAHwEAAF9yZWxzLy5yZWxzUEsBAi0AFAAGAAgAAAAhAGwA477EAAAA3gAAAA8A&#10;AAAAAAAAAAAAAAAABwIAAGRycy9kb3ducmV2LnhtbFBLBQYAAAAAAwADALcAAAD4AgAAAAA=&#10;" filled="f" stroked="f">
                  <v:textbox inset="0,0,0,0">
                    <w:txbxContent>
                      <w:p w14:paraId="7973407B" w14:textId="77777777" w:rsidR="00B32EF2" w:rsidRDefault="00000000">
                        <w:r>
                          <w:rPr>
                            <w:rFonts w:ascii="Arial" w:eastAsia="Arial" w:hAnsi="Arial" w:cs="Arial"/>
                            <w:sz w:val="18"/>
                          </w:rPr>
                          <w:t>sizioni della presente sezione.</w:t>
                        </w:r>
                      </w:p>
                    </w:txbxContent>
                  </v:textbox>
                </v:rect>
                <v:shape id="Shape 207744" o:spid="_x0000_s1654" style="position:absolute;left:317;top:16112;width:39600;height:17873;visibility:visible;mso-wrap-style:square;v-text-anchor:top" coordsize="3960000,1787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4G1xAAAAN8AAAAPAAAAZHJzL2Rvd25yZXYueG1sRI9Bi8Iw&#10;FITvgv8hPMGbphbdajWKCIJHt7sevD2aZ1tsXkqTav33RljY4zDfzDCbXW9q8aDWVZYVzKYRCOLc&#10;6ooLBb8/x8kShPPIGmvLpOBFDnbb4WCDqbZP/qZH5gsRStilqKD0vkmldHlJBt3UNsTBu9nWoA+y&#10;LaRu8RnKTS3jKPqSBisOCyU2dCgpv2edUZB1Abvsz318n60S05nmqs8Lpcajfr8G4an3//Bf+qQV&#10;xFGSzOfw+RO+gNy+AQAA//8DAFBLAQItABQABgAIAAAAIQDb4fbL7gAAAIUBAAATAAAAAAAAAAAA&#10;AAAAAAAAAABbQ29udGVudF9UeXBlc10ueG1sUEsBAi0AFAAGAAgAAAAhAFr0LFu/AAAAFQEAAAsA&#10;AAAAAAAAAAAAAAAAHwEAAF9yZWxzLy5yZWxzUEsBAi0AFAAGAAgAAAAhABUDgbXEAAAA3wAAAA8A&#10;AAAAAAAAAAAAAAAABwIAAGRycy9kb3ducmV2LnhtbFBLBQYAAAAAAwADALcAAAD4AgAAAAA=&#10;" path="m,l3960000,r,1787296l,1787296,,e" fillcolor="#c3c3c3" stroked="f" strokeweight="0">
                  <v:stroke miterlimit="83231f" joinstyle="miter"/>
                  <v:path arrowok="t" textboxrect="0,0,3960000,1787296"/>
                </v:shape>
                <v:rect id="Rectangle 14920" o:spid="_x0000_s1655" style="position:absolute;left:23146;top:31773;width:159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IyYyAAAAN4AAAAPAAAAZHJzL2Rvd25yZXYueG1sRI9Pa8JA&#10;EMXvhX6HZQre6kaRYlNXEYs0h178U+hxyI5J2uzskl1N2k/vHARvM8yb995vsRpcqy7Uxcazgck4&#10;A0VcettwZeB42D7PQcWEbLH1TAb+KMJq+fiwwNz6nnd02adKiQnHHA3UKYVc61jW5DCOfSCW28l3&#10;DpOsXaVth72Yu1ZPs+xFO2xYEmoMtKmp/N2fnYHvdw7Fttfl6X8TPn+KeftxPn4ZM3oa1m+gEg3p&#10;Lr59F1bqz16nAiA4MoNeXgEAAP//AwBQSwECLQAUAAYACAAAACEA2+H2y+4AAACFAQAAEwAAAAAA&#10;AAAAAAAAAAAAAAAAW0NvbnRlbnRfVHlwZXNdLnhtbFBLAQItABQABgAIAAAAIQBa9CxbvwAAABUB&#10;AAALAAAAAAAAAAAAAAAAAB8BAABfcmVscy8ucmVsc1BLAQItABQABgAIAAAAIQDNIIyYyAAAAN4A&#10;AAAPAAAAAAAAAAAAAAAAAAcCAABkcnMvZG93bnJldi54bWxQSwUGAAAAAAMAAwC3AAAA/AIAAAAA&#10;" filled="f" stroked="f">
                  <v:textbox inset="0,0,0,0">
                    <w:txbxContent>
                      <w:p w14:paraId="5320BB66" w14:textId="77777777" w:rsidR="00B32EF2" w:rsidRDefault="00000000">
                        <w:r>
                          <w:rPr>
                            <w:rFonts w:ascii="Arial" w:eastAsia="Arial" w:hAnsi="Arial" w:cs="Arial"/>
                            <w:b/>
                            <w:i/>
                            <w:sz w:val="18"/>
                          </w:rPr>
                          <w:t xml:space="preserve">NORME COLLEGATE </w:t>
                        </w:r>
                      </w:p>
                    </w:txbxContent>
                  </v:textbox>
                </v:rect>
                <v:rect id="Rectangle 14921" o:spid="_x0000_s1656" style="position:absolute;left:9227;top:30401;width:299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CkDxAAAAN4AAAAPAAAAZHJzL2Rvd25yZXYueG1sRE9Li8Iw&#10;EL4L+x/CLHhbU2URrUZZXGR78LI+wOPQjG21mYQm2uqvNwsL3ubje8582Zla3KjxlWUFw0ECgji3&#10;uuJCwX63/piA8AFZY22ZFNzJw3Lx1ptjqm3Lv3TbhkLEEPYpKihDcKmUPi/JoB9YRxy5k20Mhgib&#10;QuoG2xhuajlKkrE0WHFsKNHRqqT8sr0aBcdvdtm6lfnpsXKbczapf677g1L99+5rBiJQF17if3em&#10;4/zP6WgIf+/EG+TiCQAA//8DAFBLAQItABQABgAIAAAAIQDb4fbL7gAAAIUBAAATAAAAAAAAAAAA&#10;AAAAAAAAAABbQ29udGVudF9UeXBlc10ueG1sUEsBAi0AFAAGAAgAAAAhAFr0LFu/AAAAFQEAAAsA&#10;AAAAAAAAAAAAAAAAHwEAAF9yZWxzLy5yZWxzUEsBAi0AFAAGAAgAAAAhAKJsKQPEAAAA3gAAAA8A&#10;AAAAAAAAAAAAAAAABwIAAGRycy9kb3ducmV2LnhtbFBLBQYAAAAAAwADALcAAAD4AgAAAAA=&#10;" filled="f" stroked="f">
                  <v:textbox inset="0,0,0,0">
                    <w:txbxContent>
                      <w:p w14:paraId="16632249" w14:textId="77777777" w:rsidR="00B32EF2" w:rsidRDefault="00000000">
                        <w:r>
                          <w:rPr>
                            <w:rFonts w:ascii="Arial" w:eastAsia="Arial" w:hAnsi="Arial" w:cs="Arial"/>
                            <w:i/>
                            <w:sz w:val="18"/>
                          </w:rPr>
                          <w:t xml:space="preserve">art. 101 c.p.c. “Principio del contraddittorio” </w:t>
                        </w:r>
                      </w:p>
                    </w:txbxContent>
                  </v:textbox>
                </v:rect>
                <v:rect id="Rectangle 199836" o:spid="_x0000_s1657" style="position:absolute;left:25838;top:29030;width:510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uxAAAAN8AAAAPAAAAZHJzL2Rvd25yZXYueG1sRE/Pa8Iw&#10;FL4L/g/hCd401YHUziiiyHrYZc7Bjo/m2XZrXkITbd1fvwiCx4/v92rTm0ZcqfW1ZQWzaQKCuLC6&#10;5lLB6fMwSUH4gKyxsUwKbuRhsx4OVphp2/EHXY+hFDGEfYYKqhBcJqUvKjLop9YRR+5sW4MhwraU&#10;usUuhptGzpNkIQ3WHBsqdLSrqPg9XoyC7z27/NDJ4vy3c+8/edq8XU5fSo1H/fYVRKA+PMUPd67j&#10;/OUyfVnA/U8EINf/AAAA//8DAFBLAQItABQABgAIAAAAIQDb4fbL7gAAAIUBAAATAAAAAAAAAAAA&#10;AAAAAAAAAABbQ29udGVudF9UeXBlc10ueG1sUEsBAi0AFAAGAAgAAAAhAFr0LFu/AAAAFQEAAAsA&#10;AAAAAAAAAAAAAAAAHwEAAF9yZWxzLy5yZWxzUEsBAi0AFAAGAAgAAAAhAHL7/O7EAAAA3wAAAA8A&#10;AAAAAAAAAAAAAAAABwIAAGRycy9kb3ducmV2LnhtbFBLBQYAAAAAAwADALcAAAD4AgAAAAA=&#10;" filled="f" stroked="f">
                  <v:textbox inset="0,0,0,0">
                    <w:txbxContent>
                      <w:p w14:paraId="1AFE625E" w14:textId="77777777" w:rsidR="00B32EF2" w:rsidRDefault="00000000">
                        <w:r>
                          <w:rPr>
                            <w:rFonts w:ascii="Arial" w:eastAsia="Arial" w:hAnsi="Arial" w:cs="Arial"/>
                            <w:i/>
                            <w:sz w:val="18"/>
                          </w:rPr>
                          <w:t>1</w:t>
                        </w:r>
                      </w:p>
                    </w:txbxContent>
                  </v:textbox>
                </v:rect>
                <v:rect id="Rectangle 199837" o:spid="_x0000_s1658" style="position:absolute;left:-12471;top:29030;width:510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1l1xQAAAN8AAAAPAAAAZHJzL2Rvd25yZXYueG1sRE/LasJA&#10;FN0X/IfhCu7qRIU2po4iijQLN/UBXV4y1yRt5s6QGU3ar3cKBZeH816setOIG7W+tqxgMk5AEBdW&#10;11wqOB13zykIH5A1NpZJwQ95WC0HTwvMtO34g26HUIoYwj5DBVUILpPSFxUZ9GPriCN3sa3BEGFb&#10;St1iF8NNI6dJ8iIN1hwbKnS0qaj4PlyNgs8tu3zXyeLyu3H7rzxt3q+ns1KjYb9+AxGoDw/xvzvX&#10;cf58ns5e4e9PBCCXdwAAAP//AwBQSwECLQAUAAYACAAAACEA2+H2y+4AAACFAQAAEwAAAAAAAAAA&#10;AAAAAAAAAAAAW0NvbnRlbnRfVHlwZXNdLnhtbFBLAQItABQABgAIAAAAIQBa9CxbvwAAABUBAAAL&#10;AAAAAAAAAAAAAAAAAB8BAABfcmVscy8ucmVsc1BLAQItABQABgAIAAAAIQAdt1l1xQAAAN8AAAAP&#10;AAAAAAAAAAAAAAAAAAcCAABkcnMvZG93bnJldi54bWxQSwUGAAAAAAMAAwC3AAAA+QIAAAAA&#10;" filled="f" stroked="f">
                  <v:textbox inset="0,0,0,0">
                    <w:txbxContent>
                      <w:p w14:paraId="0BC5030F" w14:textId="77777777" w:rsidR="00B32EF2" w:rsidRDefault="00000000">
                        <w:r>
                          <w:rPr>
                            <w:rFonts w:ascii="Arial" w:eastAsia="Arial" w:hAnsi="Arial" w:cs="Arial"/>
                            <w:i/>
                            <w:sz w:val="18"/>
                          </w:rPr>
                          <w:t xml:space="preserve">. Il giudice, salvo che la legge disponga altrimenti, non può statuire sopra </w:t>
                        </w:r>
                      </w:p>
                    </w:txbxContent>
                  </v:textbox>
                </v:rect>
                <v:rect id="Rectangle 14923" o:spid="_x0000_s1659" style="position:absolute;left:-10981;top:27658;width:501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hLvxQAAAN4AAAAPAAAAZHJzL2Rvd25yZXYueG1sRE9Na8JA&#10;EL0L/Q/LFLzpRi1io6uIIs3BS62FHofsmESzs0t2NWl/vVsQvM3jfc5i1Zla3KjxlWUFo2ECgji3&#10;uuJCwfFrN5iB8AFZY22ZFPySh9XypbfAVNuWP+l2CIWIIexTVFCG4FIpfV6SQT+0jjhyJ9sYDBE2&#10;hdQNtjHc1HKcJFNpsOLYUKKjTUn55XA1Cn627LJdK/PT38btz9ms/rgev5Xqv3brOYhAXXiKH+5M&#10;x/lv7+MJ/L8Tb5DLOwAAAP//AwBQSwECLQAUAAYACAAAACEA2+H2y+4AAACFAQAAEwAAAAAAAAAA&#10;AAAAAAAAAAAAW0NvbnRlbnRfVHlwZXNdLnhtbFBLAQItABQABgAIAAAAIQBa9CxbvwAAABUBAAAL&#10;AAAAAAAAAAAAAAAAAB8BAABfcmVscy8ucmVsc1BLAQItABQABgAIAAAAIQA98hLvxQAAAN4AAAAP&#10;AAAAAAAAAAAAAAAAAAcCAABkcnMvZG93bnJldi54bWxQSwUGAAAAAAMAAwC3AAAA+QIAAAAA&#10;" filled="f" stroked="f">
                  <v:textbox inset="0,0,0,0">
                    <w:txbxContent>
                      <w:p w14:paraId="169B8D53" w14:textId="77777777" w:rsidR="00B32EF2" w:rsidRDefault="00000000">
                        <w:r>
                          <w:rPr>
                            <w:rFonts w:ascii="Arial" w:eastAsia="Arial" w:hAnsi="Arial" w:cs="Arial"/>
                            <w:i/>
                            <w:sz w:val="18"/>
                          </w:rPr>
                          <w:t>alcuna domanda, se la parte contro la quale è proposta non è stata regolar</w:t>
                        </w:r>
                      </w:p>
                    </w:txbxContent>
                  </v:textbox>
                </v:rect>
                <v:rect id="Rectangle 14924" o:spid="_x0000_s1660" style="position:absolute;left:975;top:2765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4qbxAAAAN4AAAAPAAAAZHJzL2Rvd25yZXYueG1sRE9Ni8Iw&#10;EL0v+B/CCN40VWRxu0YRRezBy6oLexyasa02k9BEW/31mwVhb/N4nzNfdqYWd2p8ZVnBeJSAIM6t&#10;rrhQcDpuhzMQPiBrrC2Tggd5WC56b3NMtW35i+6HUIgYwj5FBWUILpXS5yUZ9CPriCN3to3BEGFT&#10;SN1gG8NNLSdJ8i4NVhwbSnS0Lim/Hm5Gwc+GXbZtZX5+rt3+ks3q3e30rdSg360+QQTqwr/45c50&#10;nD/9mEzh7514g1z8AgAA//8DAFBLAQItABQABgAIAAAAIQDb4fbL7gAAAIUBAAATAAAAAAAAAAAA&#10;AAAAAAAAAABbQ29udGVudF9UeXBlc10ueG1sUEsBAi0AFAAGAAgAAAAhAFr0LFu/AAAAFQEAAAsA&#10;AAAAAAAAAAAAAAAAHwEAAF9yZWxzLy5yZWxzUEsBAi0AFAAGAAgAAAAhALIbipvEAAAA3gAAAA8A&#10;AAAAAAAAAAAAAAAABwIAAGRycy9kb3ducmV2LnhtbFBLBQYAAAAAAwADALcAAAD4AgAAAAA=&#10;" filled="f" stroked="f">
                  <v:textbox inset="0,0,0,0">
                    <w:txbxContent>
                      <w:p w14:paraId="77A52A50" w14:textId="77777777" w:rsidR="00B32EF2" w:rsidRDefault="00000000">
                        <w:r>
                          <w:rPr>
                            <w:rFonts w:ascii="Arial" w:eastAsia="Arial" w:hAnsi="Arial" w:cs="Arial"/>
                            <w:i/>
                            <w:sz w:val="18"/>
                          </w:rPr>
                          <w:t>-</w:t>
                        </w:r>
                      </w:p>
                    </w:txbxContent>
                  </v:textbox>
                </v:rect>
                <v:rect id="Rectangle 14925" o:spid="_x0000_s1661" style="position:absolute;left:17209;top:26287;width:2192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8AxQAAAN4AAAAPAAAAZHJzL2Rvd25yZXYueG1sRE9Na8JA&#10;EL0L/Q/LFLzpRrFio6uIIs3BS62FHofsmESzs0t2NWl/vVsQvM3jfc5i1Zla3KjxlWUFo2ECgji3&#10;uuJCwfFrN5iB8AFZY22ZFPySh9XypbfAVNuWP+l2CIWIIexTVFCG4FIpfV6SQT+0jjhyJ9sYDBE2&#10;hdQNtjHc1HKcJFNpsOLYUKKjTUn55XA1Cn627LJdK/PT38btz9ms/rgev5Xqv3brOYhAXXiKH+5M&#10;x/mT9/Eb/L8Tb5DLOwAAAP//AwBQSwECLQAUAAYACAAAACEA2+H2y+4AAACFAQAAEwAAAAAAAAAA&#10;AAAAAAAAAAAAW0NvbnRlbnRfVHlwZXNdLnhtbFBLAQItABQABgAIAAAAIQBa9CxbvwAAABUBAAAL&#10;AAAAAAAAAAAAAAAAAB8BAABfcmVscy8ucmVsc1BLAQItABQABgAIAAAAIQDdVy8AxQAAAN4AAAAP&#10;AAAAAAAAAAAAAAAAAAcCAABkcnMvZG93bnJldi54bWxQSwUGAAAAAAMAAwC3AAAA+QIAAAAA&#10;" filled="f" stroked="f">
                  <v:textbox inset="0,0,0,0">
                    <w:txbxContent>
                      <w:p w14:paraId="5FE75FC2" w14:textId="77777777" w:rsidR="00B32EF2" w:rsidRDefault="00000000">
                        <w:r>
                          <w:rPr>
                            <w:rFonts w:ascii="Arial" w:eastAsia="Arial" w:hAnsi="Arial" w:cs="Arial"/>
                            <w:i/>
                            <w:sz w:val="18"/>
                          </w:rPr>
                          <w:t xml:space="preserve">mente citata e non è comparsa. </w:t>
                        </w:r>
                      </w:p>
                    </w:txbxContent>
                  </v:textbox>
                </v:rect>
                <v:rect id="Rectangle 199835" o:spid="_x0000_s1662" style="position:absolute;left:-12556;top:24915;width:511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WKZxQAAAN8AAAAPAAAAZHJzL2Rvd25yZXYueG1sRE/LasJA&#10;FN0X/IfhCu7qRKUlpo4iijQLN/UBXV4y1yRt5s6QGU3ar3cKBZeH816setOIG7W+tqxgMk5AEBdW&#10;11wqOB13zykIH5A1NpZJwQ95WC0HTwvMtO34g26HUIoYwj5DBVUILpPSFxUZ9GPriCN3sa3BEGFb&#10;St1iF8NNI6dJ8ioN1hwbKnS0qaj4PlyNgs8tu3zXyeLyu3H7rzxt3q+ns1KjYb9+AxGoDw/xvzvX&#10;cf58ns5e4O9PBCCXdwAAAP//AwBQSwECLQAUAAYACAAAACEA2+H2y+4AAACFAQAAEwAAAAAAAAAA&#10;AAAAAAAAAAAAW0NvbnRlbnRfVHlwZXNdLnhtbFBLAQItABQABgAIAAAAIQBa9CxbvwAAABUBAAAL&#10;AAAAAAAAAAAAAAAAAB8BAABfcmVscy8ucmVsc1BLAQItABQABgAIAAAAIQCCKWKZxQAAAN8AAAAP&#10;AAAAAAAAAAAAAAAAAAcCAABkcnMvZG93bnJldi54bWxQSwUGAAAAAAMAAwC3AAAA+QIAAAAA&#10;" filled="f" stroked="f">
                  <v:textbox inset="0,0,0,0">
                    <w:txbxContent>
                      <w:p w14:paraId="33B4CABE" w14:textId="77777777" w:rsidR="00B32EF2" w:rsidRDefault="00000000">
                        <w:r>
                          <w:rPr>
                            <w:rFonts w:ascii="Arial" w:eastAsia="Arial" w:hAnsi="Arial" w:cs="Arial"/>
                            <w:i/>
                            <w:sz w:val="18"/>
                          </w:rPr>
                          <w:t xml:space="preserve">. Il giudice assicura il rispetto del contraddittorio e, quando accerta che </w:t>
                        </w:r>
                      </w:p>
                    </w:txbxContent>
                  </v:textbox>
                </v:rect>
                <v:rect id="Rectangle 199834" o:spid="_x0000_s1663" style="position:absolute;left:25807;top:24915;width:511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ccCxQAAAN8AAAAPAAAAZHJzL2Rvd25yZXYueG1sRE/LasJA&#10;FN0X/IfhCu7qRC0lpo4iijQLN/UBXV4y1yRt5s6QGU3ar3cKBZeH816setOIG7W+tqxgMk5AEBdW&#10;11wqOB13zykIH5A1NpZJwQ95WC0HTwvMtO34g26HUIoYwj5DBVUILpPSFxUZ9GPriCN3sa3BEGFb&#10;St1iF8NNI6dJ8ioN1hwbKnS0qaj4PlyNgs8tu3zXyeLyu3H7rzxt3q+ns1KjYb9+AxGoDw/xvzvX&#10;cf58ns5e4O9PBCCXdwAAAP//AwBQSwECLQAUAAYACAAAACEA2+H2y+4AAACFAQAAEwAAAAAAAAAA&#10;AAAAAAAAAAAAW0NvbnRlbnRfVHlwZXNdLnhtbFBLAQItABQABgAIAAAAIQBa9CxbvwAAABUBAAAL&#10;AAAAAAAAAAAAAAAAAB8BAABfcmVscy8ucmVsc1BLAQItABQABgAIAAAAIQDtZccCxQAAAN8AAAAP&#10;AAAAAAAAAAAAAAAAAAcCAABkcnMvZG93bnJldi54bWxQSwUGAAAAAAMAAwC3AAAA+QIAAAAA&#10;" filled="f" stroked="f">
                  <v:textbox inset="0,0,0,0">
                    <w:txbxContent>
                      <w:p w14:paraId="6129CE35" w14:textId="77777777" w:rsidR="00B32EF2" w:rsidRDefault="00000000">
                        <w:r>
                          <w:rPr>
                            <w:rFonts w:ascii="Arial" w:eastAsia="Arial" w:hAnsi="Arial" w:cs="Arial"/>
                            <w:i/>
                            <w:sz w:val="18"/>
                          </w:rPr>
                          <w:t>2</w:t>
                        </w:r>
                      </w:p>
                    </w:txbxContent>
                  </v:textbox>
                </v:rect>
                <v:rect id="Rectangle 14927" o:spid="_x0000_s1664" style="position:absolute;left:-11934;top:23543;width:512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RTsxQAAAN4AAAAPAAAAZHJzL2Rvd25yZXYueG1sRE9Na8JA&#10;EL0L/Q/LFLzpRpFqo6uIIs3BS62FHofsmESzs0t2NWl/vVsQvM3jfc5i1Zla3KjxlWUFo2ECgji3&#10;uuJCwfFrN5iB8AFZY22ZFPySh9XypbfAVNuWP+l2CIWIIexTVFCG4FIpfV6SQT+0jjhyJ9sYDBE2&#10;hdQNtjHc1HKcJG/SYMWxoURHm5Lyy+FqFPxs2WW7Vuanv43bn7NZ/XE9fivVf+3WcxCBuvAUP9yZ&#10;jvMn7+Mp/L8Tb5DLOwAAAP//AwBQSwECLQAUAAYACAAAACEA2+H2y+4AAACFAQAAEwAAAAAAAAAA&#10;AAAAAAAAAAAAW0NvbnRlbnRfVHlwZXNdLnhtbFBLAQItABQABgAIAAAAIQBa9CxbvwAAABUBAAAL&#10;AAAAAAAAAAAAAAAAAB8BAABfcmVscy8ucmVsc1BLAQItABQABgAIAAAAIQBCyRTsxQAAAN4AAAAP&#10;AAAAAAAAAAAAAAAAAAcCAABkcnMvZG93bnJldi54bWxQSwUGAAAAAAMAAwC3AAAA+QIAAAAA&#10;" filled="f" stroked="f">
                  <v:textbox inset="0,0,0,0">
                    <w:txbxContent>
                      <w:p w14:paraId="653AD2C1" w14:textId="77777777" w:rsidR="00B32EF2" w:rsidRDefault="00000000">
                        <w:r>
                          <w:rPr>
                            <w:rFonts w:ascii="Arial" w:eastAsia="Arial" w:hAnsi="Arial" w:cs="Arial"/>
                            <w:i/>
                            <w:sz w:val="18"/>
                          </w:rPr>
                          <w:t xml:space="preserve">dalla sua violazione è derivata una lesione del diritto di difesa, adotta i </w:t>
                        </w:r>
                      </w:p>
                    </w:txbxContent>
                  </v:textbox>
                </v:rect>
                <v:rect id="Rectangle 14928" o:spid="_x0000_s1665" style="position:absolute;left:-11890;top:22172;width:510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oCeyAAAAN4AAAAPAAAAZHJzL2Rvd25yZXYueG1sRI9Pa8JA&#10;EMXvhX6HZQre6kaRYlNXEYs0h178U+hxyI5J2uzskl1N2k/vHARvM7w37/1msRpcqy7Uxcazgck4&#10;A0VcettwZeB42D7PQcWEbLH1TAb+KMJq+fiwwNz6nnd02adKSQjHHA3UKYVc61jW5DCOfSAW7eQ7&#10;h0nWrtK2w17CXaunWfaiHTYsDTUG2tRU/u7PzsD3O4di2+vy9L8Jnz/FvP04H7+MGT0N6zdQiYZ0&#10;N9+uCyv4s9ep8Mo7MoNeXgEAAP//AwBQSwECLQAUAAYACAAAACEA2+H2y+4AAACFAQAAEwAAAAAA&#10;AAAAAAAAAAAAAAAAW0NvbnRlbnRfVHlwZXNdLnhtbFBLAQItABQABgAIAAAAIQBa9CxbvwAAABUB&#10;AAALAAAAAAAAAAAAAAAAAB8BAABfcmVscy8ucmVsc1BLAQItABQABgAIAAAAIQAzVoCeyAAAAN4A&#10;AAAPAAAAAAAAAAAAAAAAAAcCAABkcnMvZG93bnJldi54bWxQSwUGAAAAAAMAAwC3AAAA/AIAAAAA&#10;" filled="f" stroked="f">
                  <v:textbox inset="0,0,0,0">
                    <w:txbxContent>
                      <w:p w14:paraId="445EA398" w14:textId="77777777" w:rsidR="00B32EF2" w:rsidRDefault="00000000">
                        <w:r>
                          <w:rPr>
                            <w:rFonts w:ascii="Arial" w:eastAsia="Arial" w:hAnsi="Arial" w:cs="Arial"/>
                            <w:i/>
                            <w:sz w:val="18"/>
                          </w:rPr>
                          <w:t xml:space="preserve">provvedimenti opportuni. Se ritiene di porre a fondamento della decisione </w:t>
                        </w:r>
                      </w:p>
                    </w:txbxContent>
                  </v:textbox>
                </v:rect>
                <v:rect id="Rectangle 14929" o:spid="_x0000_s1666" style="position:absolute;left:-11872;top:20800;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iUFxAAAAN4AAAAPAAAAZHJzL2Rvd25yZXYueG1sRE9Ni8Iw&#10;EL0L/ocwgjdNFVm0axRRxB72sq4Lexyasa02k9BEW/31m4UFb/N4n7Ncd6YWd2p8ZVnBZJyAIM6t&#10;rrhQcPraj+YgfEDWWFsmBQ/ysF71e0tMtW35k+7HUIgYwj5FBWUILpXS5yUZ9GPriCN3to3BEGFT&#10;SN1gG8NNLadJ8iYNVhwbSnS0LSm/Hm9Gwc+OXbZvZX5+bt3HJZvXh9vpW6nhoNu8gwjUhZf4353p&#10;OH+2mC7g7514g1z9AgAA//8DAFBLAQItABQABgAIAAAAIQDb4fbL7gAAAIUBAAATAAAAAAAAAAAA&#10;AAAAAAAAAABbQ29udGVudF9UeXBlc10ueG1sUEsBAi0AFAAGAAgAAAAhAFr0LFu/AAAAFQEAAAsA&#10;AAAAAAAAAAAAAAAAHwEAAF9yZWxzLy5yZWxzUEsBAi0AFAAGAAgAAAAhAFwaJQXEAAAA3gAAAA8A&#10;AAAAAAAAAAAAAAAABwIAAGRycy9kb3ducmV2LnhtbFBLBQYAAAAAAwADALcAAAD4AgAAAAA=&#10;" filled="f" stroked="f">
                  <v:textbox inset="0,0,0,0">
                    <w:txbxContent>
                      <w:p w14:paraId="6C1B1724" w14:textId="77777777" w:rsidR="00B32EF2" w:rsidRDefault="00000000">
                        <w:r>
                          <w:rPr>
                            <w:rFonts w:ascii="Arial" w:eastAsia="Arial" w:hAnsi="Arial" w:cs="Arial"/>
                            <w:i/>
                            <w:sz w:val="18"/>
                          </w:rPr>
                          <w:t xml:space="preserve">una questione rilevata d’ufficio, il giudice riserva la decisione, assegnando </w:t>
                        </w:r>
                      </w:p>
                    </w:txbxContent>
                  </v:textbox>
                </v:rect>
                <v:rect id="Rectangle 14930" o:spid="_x0000_s1667" style="position:absolute;left:-10906;top:19429;width:5004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pFyAAAAN4AAAAPAAAAZHJzL2Rvd25yZXYueG1sRI9Lb8Iw&#10;EITvlfofrK3ErTh9qKIpBlVUiBy4lIfU4ypekrTx2ooNSfn17AGJ2652dma+6XxwrTpRFxvPBp7G&#10;GSji0tuGKwO77fJxAiomZIutZzLwTxHms/u7KebW9/xNp02qlJhwzNFAnVLItY5lTQ7j2AdiuR18&#10;5zDJ2lXadtiLuWv1c5a9aYcNS0KNgRY1lX+bozPw88WhWPa6PJwXYf1bTNrVcbc3ZvQwfH6ASjSk&#10;m/j6XVip//r+IgCCIzPo2QUAAP//AwBQSwECLQAUAAYACAAAACEA2+H2y+4AAACFAQAAEwAAAAAA&#10;AAAAAAAAAAAAAAAAW0NvbnRlbnRfVHlwZXNdLnhtbFBLAQItABQABgAIAAAAIQBa9CxbvwAAABUB&#10;AAALAAAAAAAAAAAAAAAAAB8BAABfcmVscy8ucmVsc1BLAQItABQABgAIAAAAIQBI+RpFyAAAAN4A&#10;AAAPAAAAAAAAAAAAAAAAAAcCAABkcnMvZG93bnJldi54bWxQSwUGAAAAAAMAAwC3AAAA/AIAAAAA&#10;" filled="f" stroked="f">
                  <v:textbox inset="0,0,0,0">
                    <w:txbxContent>
                      <w:p w14:paraId="365A9806" w14:textId="77777777" w:rsidR="00B32EF2" w:rsidRDefault="00000000">
                        <w:r>
                          <w:rPr>
                            <w:rFonts w:ascii="Arial" w:eastAsia="Arial" w:hAnsi="Arial" w:cs="Arial"/>
                            <w:i/>
                            <w:sz w:val="18"/>
                          </w:rPr>
                          <w:t>alle parti, a pena di nullità, un termine, non inferiore a venti giorni e non su</w:t>
                        </w:r>
                      </w:p>
                    </w:txbxContent>
                  </v:textbox>
                </v:rect>
                <v:rect id="Rectangle 14931" o:spid="_x0000_s1668" style="position:absolute;left:975;top:19429;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b/exQAAAN4AAAAPAAAAZHJzL2Rvd25yZXYueG1sRE9La8JA&#10;EL4X/A/LCN7qxlpEo6uIRZpDL/UBHofsmESzs0t2NWl/fbcgeJuP7zmLVWdqcafGV5YVjIYJCOLc&#10;6ooLBYf99nUKwgdkjbVlUvBDHlbL3ssCU21b/qb7LhQihrBPUUEZgkul9HlJBv3QOuLInW1jMETY&#10;FFI32MZwU8u3JJlIgxXHhhIdbUrKr7ubUXD6YJdtW5mffzfu65JN68/b4ajUoN+t5yACdeEpfrgz&#10;Hee/z8Yj+H8n3iCXfwAAAP//AwBQSwECLQAUAAYACAAAACEA2+H2y+4AAACFAQAAEwAAAAAAAAAA&#10;AAAAAAAAAAAAW0NvbnRlbnRfVHlwZXNdLnhtbFBLAQItABQABgAIAAAAIQBa9CxbvwAAABUBAAAL&#10;AAAAAAAAAAAAAAAAAB8BAABfcmVscy8ucmVsc1BLAQItABQABgAIAAAAIQAntb/exQAAAN4AAAAP&#10;AAAAAAAAAAAAAAAAAAcCAABkcnMvZG93bnJldi54bWxQSwUGAAAAAAMAAwC3AAAA+QIAAAAA&#10;" filled="f" stroked="f">
                  <v:textbox inset="0,0,0,0">
                    <w:txbxContent>
                      <w:p w14:paraId="70980CFA" w14:textId="77777777" w:rsidR="00B32EF2" w:rsidRDefault="00000000">
                        <w:r>
                          <w:rPr>
                            <w:rFonts w:ascii="Arial" w:eastAsia="Arial" w:hAnsi="Arial" w:cs="Arial"/>
                            <w:i/>
                            <w:sz w:val="18"/>
                          </w:rPr>
                          <w:t>-</w:t>
                        </w:r>
                      </w:p>
                    </w:txbxContent>
                  </v:textbox>
                </v:rect>
                <v:rect id="Rectangle 14932" o:spid="_x0000_s1669" style="position:absolute;left:-11858;top:18057;width:509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yGpxQAAAN4AAAAPAAAAZHJzL2Rvd25yZXYueG1sRE9Na8JA&#10;EL0L/Q/LFLzpRi1io6uIIs3BS62FHofsmESzs0t2NWl/vVsQvM3jfc5i1Zla3KjxlWUFo2ECgji3&#10;uuJCwfFrN5iB8AFZY22ZFPySh9XypbfAVNuWP+l2CIWIIexTVFCG4FIpfV6SQT+0jjhyJ9sYDBE2&#10;hdQNtjHc1HKcJFNpsOLYUKKjTUn55XA1Cn627LJdK/PT38btz9ms/rgev5Xqv3brOYhAXXiKH+5M&#10;x/lv75Mx/L8Tb5DLOwAAAP//AwBQSwECLQAUAAYACAAAACEA2+H2y+4AAACFAQAAEwAAAAAAAAAA&#10;AAAAAAAAAAAAW0NvbnRlbnRfVHlwZXNdLnhtbFBLAQItABQABgAIAAAAIQBa9CxbvwAAABUBAAAL&#10;AAAAAAAAAAAAAAAAAB8BAABfcmVscy8ucmVsc1BLAQItABQABgAIAAAAIQDXZyGpxQAAAN4AAAAP&#10;AAAAAAAAAAAAAAAAAAcCAABkcnMvZG93bnJldi54bWxQSwUGAAAAAAMAAwC3AAAA+QIAAAAA&#10;" filled="f" stroked="f">
                  <v:textbox inset="0,0,0,0">
                    <w:txbxContent>
                      <w:p w14:paraId="15A68660" w14:textId="77777777" w:rsidR="00B32EF2" w:rsidRDefault="00000000">
                        <w:r>
                          <w:rPr>
                            <w:rFonts w:ascii="Arial" w:eastAsia="Arial" w:hAnsi="Arial" w:cs="Arial"/>
                            <w:i/>
                            <w:sz w:val="18"/>
                          </w:rPr>
                          <w:t xml:space="preserve">periore a quaranta giorni dalla comunicazione, per il deposito in cancelleria </w:t>
                        </w:r>
                      </w:p>
                    </w:txbxContent>
                  </v:textbox>
                </v:rect>
                <v:rect id="Rectangle 14933" o:spid="_x0000_s1670" style="position:absolute;left:-3599;top:16685;width:427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4QyxQAAAN4AAAAPAAAAZHJzL2Rvd25yZXYueG1sRE9Na8JA&#10;EL0L/Q/LFLzpRi3FRlcRRczBS62FHofsmESzs0t2NbG/3i0UvM3jfc582Zla3KjxlWUFo2ECgji3&#10;uuJCwfFrO5iC8AFZY22ZFNzJw3Lx0ptjqm3Ln3Q7hELEEPYpKihDcKmUPi/JoB9aRxy5k20Mhgib&#10;QuoG2xhuajlOkndpsOLYUKKjdUn55XA1Cn427LJtK/PT79rtz9m03l2P30r1X7vVDESgLjzF/+5M&#10;x/lvH5MJ/L0Tb5CLBwAAAP//AwBQSwECLQAUAAYACAAAACEA2+H2y+4AAACFAQAAEwAAAAAAAAAA&#10;AAAAAAAAAAAAW0NvbnRlbnRfVHlwZXNdLnhtbFBLAQItABQABgAIAAAAIQBa9CxbvwAAABUBAAAL&#10;AAAAAAAAAAAAAAAAAB8BAABfcmVscy8ucmVsc1BLAQItABQABgAIAAAAIQC4K4QyxQAAAN4AAAAP&#10;AAAAAAAAAAAAAAAAAAcCAABkcnMvZG93bnJldi54bWxQSwUGAAAAAAMAAwC3AAAA+QIAAAAA&#10;" filled="f" stroked="f">
                  <v:textbox inset="0,0,0,0">
                    <w:txbxContent>
                      <w:p w14:paraId="669D02F0" w14:textId="77777777" w:rsidR="00B32EF2" w:rsidRDefault="00000000">
                        <w:r>
                          <w:rPr>
                            <w:rFonts w:ascii="Arial" w:eastAsia="Arial" w:hAnsi="Arial" w:cs="Arial"/>
                            <w:i/>
                            <w:sz w:val="18"/>
                          </w:rPr>
                          <w:t>di memorie contenenti osservazioni sulla medesima questione.</w:t>
                        </w:r>
                      </w:p>
                    </w:txbxContent>
                  </v:textbox>
                </v:rect>
                <v:shape id="Shape 14934" o:spid="_x0000_s1671" style="position:absolute;left:317;top:16112;width:39600;height:17873;visibility:visible;mso-wrap-style:square;v-text-anchor:top" coordsize="3960000,1787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Go2xAAAAN4AAAAPAAAAZHJzL2Rvd25yZXYueG1sRE/bagIx&#10;EH0X/IcwQl9Es1YrdmsULYjXF20/YNiMu4ubyZKkuvr1jVDo2xzOdabzxlTiSs6XlhUM+gkI4szq&#10;knMF31+r3gSED8gaK8uk4E4e5rN2a4qptjc+0vUUchFD2KeooAihTqX0WUEGfd/WxJE7W2cwROhy&#10;qR3eYrip5GuSjKXBkmNDgTV9FpRdTj9GwWWZe7dLHnX1tpfb46S73m0OrNRLp1l8gAjUhH/xn3uj&#10;4/zR+3AEz3fiDXL2CwAA//8DAFBLAQItABQABgAIAAAAIQDb4fbL7gAAAIUBAAATAAAAAAAAAAAA&#10;AAAAAAAAAABbQ29udGVudF9UeXBlc10ueG1sUEsBAi0AFAAGAAgAAAAhAFr0LFu/AAAAFQEAAAsA&#10;AAAAAAAAAAAAAAAAHwEAAF9yZWxzLy5yZWxzUEsBAi0AFAAGAAgAAAAhAOA4ajbEAAAA3gAAAA8A&#10;AAAAAAAAAAAAAAAABwIAAGRycy9kb3ducmV2LnhtbFBLBQYAAAAAAwADALcAAAD4AgAAAAA=&#10;" path="m,1787296r3960000,l3960000,,,,,1787296xe" filled="f" strokeweight="1pt">
                  <v:stroke miterlimit="1" joinstyle="miter"/>
                  <v:path arrowok="t" textboxrect="0,0,3960000,1787296"/>
                </v:shape>
                <w10:anchorlock/>
              </v:group>
            </w:pict>
          </mc:Fallback>
        </mc:AlternateContent>
      </w:r>
    </w:p>
    <w:p w14:paraId="4A9F117B" w14:textId="77777777" w:rsidR="00B32EF2" w:rsidRDefault="00000000">
      <w:pPr>
        <w:spacing w:after="0"/>
        <w:ind w:left="-356" w:right="-306"/>
      </w:pPr>
      <w:r>
        <w:rPr>
          <w:noProof/>
        </w:rPr>
        <w:lastRenderedPageBreak/>
        <mc:AlternateContent>
          <mc:Choice Requires="wpg">
            <w:drawing>
              <wp:inline distT="0" distB="0" distL="0" distR="0" wp14:anchorId="19AFF194" wp14:editId="0DD36B66">
                <wp:extent cx="3991805" cy="6262854"/>
                <wp:effectExtent l="0" t="0" r="0" b="0"/>
                <wp:docPr id="199936" name="Group 199936"/>
                <wp:cNvGraphicFramePr/>
                <a:graphic xmlns:a="http://schemas.openxmlformats.org/drawingml/2006/main">
                  <a:graphicData uri="http://schemas.microsoft.com/office/word/2010/wordprocessingGroup">
                    <wpg:wgp>
                      <wpg:cNvGrpSpPr/>
                      <wpg:grpSpPr>
                        <a:xfrm>
                          <a:off x="0" y="0"/>
                          <a:ext cx="3991805" cy="6262854"/>
                          <a:chOff x="0" y="0"/>
                          <a:chExt cx="3991805" cy="6262854"/>
                        </a:xfrm>
                      </wpg:grpSpPr>
                      <wps:wsp>
                        <wps:cNvPr id="15012" name="Rectangle 15012"/>
                        <wps:cNvSpPr/>
                        <wps:spPr>
                          <a:xfrm rot="-10799999">
                            <a:off x="1900420" y="-62190"/>
                            <a:ext cx="178369" cy="250646"/>
                          </a:xfrm>
                          <a:prstGeom prst="rect">
                            <a:avLst/>
                          </a:prstGeom>
                          <a:ln>
                            <a:noFill/>
                          </a:ln>
                        </wps:spPr>
                        <wps:txbx>
                          <w:txbxContent>
                            <w:p w14:paraId="39A682A2" w14:textId="77777777" w:rsidR="00B32EF2" w:rsidRDefault="00000000">
                              <w:r>
                                <w:rPr>
                                  <w:rFonts w:ascii="Times New Roman" w:eastAsia="Times New Roman" w:hAnsi="Times New Roman" w:cs="Times New Roman"/>
                                </w:rPr>
                                <w:t>96</w:t>
                              </w:r>
                            </w:p>
                          </w:txbxContent>
                        </wps:txbx>
                        <wps:bodyPr horzOverflow="overflow" vert="horz" lIns="0" tIns="0" rIns="0" bIns="0" rtlCol="0">
                          <a:noAutofit/>
                        </wps:bodyPr>
                      </wps:wsp>
                      <wps:wsp>
                        <wps:cNvPr id="15014" name="Rectangle 15014"/>
                        <wps:cNvSpPr/>
                        <wps:spPr>
                          <a:xfrm rot="-10799999">
                            <a:off x="-1317240" y="6119964"/>
                            <a:ext cx="5308975" cy="142890"/>
                          </a:xfrm>
                          <a:prstGeom prst="rect">
                            <a:avLst/>
                          </a:prstGeom>
                          <a:ln>
                            <a:noFill/>
                          </a:ln>
                        </wps:spPr>
                        <wps:txbx>
                          <w:txbxContent>
                            <w:p w14:paraId="263A5698" w14:textId="77777777" w:rsidR="00B32EF2" w:rsidRDefault="00000000">
                              <w:r>
                                <w:rPr>
                                  <w:rFonts w:ascii="Arial" w:eastAsia="Arial" w:hAnsi="Arial" w:cs="Arial"/>
                                  <w:sz w:val="18"/>
                                </w:rPr>
                                <w:t xml:space="preserve">cisione della causa ovvero che la parte dimostri di non aver potuto proporli o </w:t>
                              </w:r>
                            </w:p>
                          </w:txbxContent>
                        </wps:txbx>
                        <wps:bodyPr horzOverflow="overflow" vert="horz" lIns="0" tIns="0" rIns="0" bIns="0" rtlCol="0">
                          <a:noAutofit/>
                        </wps:bodyPr>
                      </wps:wsp>
                      <wps:wsp>
                        <wps:cNvPr id="15015" name="Rectangle 15015"/>
                        <wps:cNvSpPr/>
                        <wps:spPr>
                          <a:xfrm rot="-10799999">
                            <a:off x="-743962" y="5996634"/>
                            <a:ext cx="4735697" cy="142891"/>
                          </a:xfrm>
                          <a:prstGeom prst="rect">
                            <a:avLst/>
                          </a:prstGeom>
                          <a:ln>
                            <a:noFill/>
                          </a:ln>
                        </wps:spPr>
                        <wps:txbx>
                          <w:txbxContent>
                            <w:p w14:paraId="7ABA3319" w14:textId="77777777" w:rsidR="00B32EF2" w:rsidRDefault="00000000">
                              <w:r>
                                <w:rPr>
                                  <w:rFonts w:ascii="Arial" w:eastAsia="Arial" w:hAnsi="Arial" w:cs="Arial"/>
                                  <w:sz w:val="18"/>
                                </w:rPr>
                                <w:t>produrli nel giudizio di primo grado per causa ad essa non imputabile.</w:t>
                              </w:r>
                            </w:p>
                          </w:txbxContent>
                        </wps:txbx>
                        <wps:bodyPr horzOverflow="overflow" vert="horz" lIns="0" tIns="0" rIns="0" bIns="0" rtlCol="0">
                          <a:noAutofit/>
                        </wps:bodyPr>
                      </wps:wsp>
                      <wps:wsp>
                        <wps:cNvPr id="199912" name="Rectangle 199912"/>
                        <wps:cNvSpPr/>
                        <wps:spPr>
                          <a:xfrm rot="-10799999">
                            <a:off x="2634595" y="5873305"/>
                            <a:ext cx="5213553" cy="142889"/>
                          </a:xfrm>
                          <a:prstGeom prst="rect">
                            <a:avLst/>
                          </a:prstGeom>
                          <a:ln>
                            <a:noFill/>
                          </a:ln>
                        </wps:spPr>
                        <wps:txbx>
                          <w:txbxContent>
                            <w:p w14:paraId="4F1DBC4C"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99913" name="Rectangle 199913"/>
                        <wps:cNvSpPr/>
                        <wps:spPr>
                          <a:xfrm rot="-10799999">
                            <a:off x="-1285369" y="5873305"/>
                            <a:ext cx="5213553" cy="142889"/>
                          </a:xfrm>
                          <a:prstGeom prst="rect">
                            <a:avLst/>
                          </a:prstGeom>
                          <a:ln>
                            <a:noFill/>
                          </a:ln>
                        </wps:spPr>
                        <wps:txbx>
                          <w:txbxContent>
                            <w:p w14:paraId="6067063C" w14:textId="77777777" w:rsidR="00B32EF2" w:rsidRDefault="00000000">
                              <w:r>
                                <w:rPr>
                                  <w:rFonts w:ascii="Arial" w:eastAsia="Arial" w:hAnsi="Arial" w:cs="Arial"/>
                                  <w:sz w:val="18"/>
                                </w:rPr>
                                <w:t>. Possono essere proposti motivi aggiunti qualora la parte venga a conoscen</w:t>
                              </w:r>
                            </w:p>
                          </w:txbxContent>
                        </wps:txbx>
                        <wps:bodyPr horzOverflow="overflow" vert="horz" lIns="0" tIns="0" rIns="0" bIns="0" rtlCol="0">
                          <a:noAutofit/>
                        </wps:bodyPr>
                      </wps:wsp>
                      <wps:wsp>
                        <wps:cNvPr id="15017" name="Rectangle 15017"/>
                        <wps:cNvSpPr/>
                        <wps:spPr>
                          <a:xfrm rot="-10799999">
                            <a:off x="19136" y="5873305"/>
                            <a:ext cx="50622" cy="142889"/>
                          </a:xfrm>
                          <a:prstGeom prst="rect">
                            <a:avLst/>
                          </a:prstGeom>
                          <a:ln>
                            <a:noFill/>
                          </a:ln>
                        </wps:spPr>
                        <wps:txbx>
                          <w:txbxContent>
                            <w:p w14:paraId="6CBFD3D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018" name="Rectangle 15018"/>
                        <wps:cNvSpPr/>
                        <wps:spPr>
                          <a:xfrm rot="-10799999">
                            <a:off x="-1317271" y="5749976"/>
                            <a:ext cx="5309005" cy="142889"/>
                          </a:xfrm>
                          <a:prstGeom prst="rect">
                            <a:avLst/>
                          </a:prstGeom>
                          <a:ln>
                            <a:noFill/>
                          </a:ln>
                        </wps:spPr>
                        <wps:txbx>
                          <w:txbxContent>
                            <w:p w14:paraId="00A38BBC" w14:textId="77777777" w:rsidR="00B32EF2" w:rsidRDefault="00000000">
                              <w:r>
                                <w:rPr>
                                  <w:rFonts w:ascii="Arial" w:eastAsia="Arial" w:hAnsi="Arial" w:cs="Arial"/>
                                  <w:sz w:val="18"/>
                                </w:rPr>
                                <w:t xml:space="preserve">za di documenti, non prodotti dalle altre parti nel giudizio di primo grado, da cui </w:t>
                              </w:r>
                            </w:p>
                          </w:txbxContent>
                        </wps:txbx>
                        <wps:bodyPr horzOverflow="overflow" vert="horz" lIns="0" tIns="0" rIns="0" bIns="0" rtlCol="0">
                          <a:noAutofit/>
                        </wps:bodyPr>
                      </wps:wsp>
                      <wps:wsp>
                        <wps:cNvPr id="15019" name="Rectangle 15019"/>
                        <wps:cNvSpPr/>
                        <wps:spPr>
                          <a:xfrm rot="-10799999">
                            <a:off x="539503" y="5626646"/>
                            <a:ext cx="3452230" cy="142889"/>
                          </a:xfrm>
                          <a:prstGeom prst="rect">
                            <a:avLst/>
                          </a:prstGeom>
                          <a:ln>
                            <a:noFill/>
                          </a:ln>
                        </wps:spPr>
                        <wps:txbx>
                          <w:txbxContent>
                            <w:p w14:paraId="7BEB51B2" w14:textId="77777777" w:rsidR="00B32EF2" w:rsidRDefault="00000000">
                              <w:r>
                                <w:rPr>
                                  <w:rFonts w:ascii="Arial" w:eastAsia="Arial" w:hAnsi="Arial" w:cs="Arial"/>
                                  <w:sz w:val="18"/>
                                </w:rPr>
                                <w:t>emergano vizi degli atti o provvedimenti impugnati.</w:t>
                              </w:r>
                            </w:p>
                          </w:txbxContent>
                        </wps:txbx>
                        <wps:bodyPr horzOverflow="overflow" vert="horz" lIns="0" tIns="0" rIns="0" bIns="0" rtlCol="0">
                          <a:noAutofit/>
                        </wps:bodyPr>
                      </wps:wsp>
                      <wps:wsp>
                        <wps:cNvPr id="199911" name="Rectangle 199911"/>
                        <wps:cNvSpPr/>
                        <wps:spPr>
                          <a:xfrm rot="-10799999">
                            <a:off x="-1381793" y="5503316"/>
                            <a:ext cx="5309005" cy="142889"/>
                          </a:xfrm>
                          <a:prstGeom prst="rect">
                            <a:avLst/>
                          </a:prstGeom>
                          <a:ln>
                            <a:noFill/>
                          </a:ln>
                        </wps:spPr>
                        <wps:txbx>
                          <w:txbxContent>
                            <w:p w14:paraId="51AADB8D" w14:textId="77777777" w:rsidR="00B32EF2" w:rsidRDefault="00000000">
                              <w:r>
                                <w:rPr>
                                  <w:rFonts w:ascii="Arial" w:eastAsia="Arial" w:hAnsi="Arial" w:cs="Arial"/>
                                  <w:sz w:val="18"/>
                                </w:rPr>
                                <w:t xml:space="preserve">. Non è mai consentito il deposito delle deleghe, delle procure e degli altri atti </w:t>
                              </w:r>
                            </w:p>
                          </w:txbxContent>
                        </wps:txbx>
                        <wps:bodyPr horzOverflow="overflow" vert="horz" lIns="0" tIns="0" rIns="0" bIns="0" rtlCol="0">
                          <a:noAutofit/>
                        </wps:bodyPr>
                      </wps:wsp>
                      <wps:wsp>
                        <wps:cNvPr id="199910" name="Rectangle 199910"/>
                        <wps:cNvSpPr/>
                        <wps:spPr>
                          <a:xfrm rot="-10799999">
                            <a:off x="2610912" y="5503316"/>
                            <a:ext cx="5309005" cy="142889"/>
                          </a:xfrm>
                          <a:prstGeom prst="rect">
                            <a:avLst/>
                          </a:prstGeom>
                          <a:ln>
                            <a:noFill/>
                          </a:ln>
                        </wps:spPr>
                        <wps:txbx>
                          <w:txbxContent>
                            <w:p w14:paraId="2ADFE994"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5021" name="Rectangle 15021"/>
                        <wps:cNvSpPr/>
                        <wps:spPr>
                          <a:xfrm rot="-10799999">
                            <a:off x="-1219219" y="5379987"/>
                            <a:ext cx="5210953" cy="142889"/>
                          </a:xfrm>
                          <a:prstGeom prst="rect">
                            <a:avLst/>
                          </a:prstGeom>
                          <a:ln>
                            <a:noFill/>
                          </a:ln>
                        </wps:spPr>
                        <wps:txbx>
                          <w:txbxContent>
                            <w:p w14:paraId="786FF6DA" w14:textId="77777777" w:rsidR="00B32EF2" w:rsidRDefault="00000000">
                              <w:r>
                                <w:rPr>
                                  <w:rFonts w:ascii="Arial" w:eastAsia="Arial" w:hAnsi="Arial" w:cs="Arial"/>
                                  <w:sz w:val="18"/>
                                </w:rPr>
                                <w:t>di conferimento di potere rilevanti ai fini della legittimità della sottoscrizione de</w:t>
                              </w:r>
                            </w:p>
                          </w:txbxContent>
                        </wps:txbx>
                        <wps:bodyPr horzOverflow="overflow" vert="horz" lIns="0" tIns="0" rIns="0" bIns="0" rtlCol="0">
                          <a:noAutofit/>
                        </wps:bodyPr>
                      </wps:wsp>
                      <wps:wsp>
                        <wps:cNvPr id="15022" name="Rectangle 15022"/>
                        <wps:cNvSpPr/>
                        <wps:spPr>
                          <a:xfrm rot="-10799999">
                            <a:off x="19135" y="5379986"/>
                            <a:ext cx="50622" cy="142889"/>
                          </a:xfrm>
                          <a:prstGeom prst="rect">
                            <a:avLst/>
                          </a:prstGeom>
                          <a:ln>
                            <a:noFill/>
                          </a:ln>
                        </wps:spPr>
                        <wps:txbx>
                          <w:txbxContent>
                            <w:p w14:paraId="00D58B4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023" name="Rectangle 15023"/>
                        <wps:cNvSpPr/>
                        <wps:spPr>
                          <a:xfrm rot="-10799999">
                            <a:off x="-1317256" y="5256657"/>
                            <a:ext cx="5308990" cy="142889"/>
                          </a:xfrm>
                          <a:prstGeom prst="rect">
                            <a:avLst/>
                          </a:prstGeom>
                          <a:ln>
                            <a:noFill/>
                          </a:ln>
                        </wps:spPr>
                        <wps:txbx>
                          <w:txbxContent>
                            <w:p w14:paraId="528D2039" w14:textId="77777777" w:rsidR="00B32EF2" w:rsidRDefault="00000000">
                              <w:r>
                                <w:rPr>
                                  <w:rFonts w:ascii="Arial" w:eastAsia="Arial" w:hAnsi="Arial" w:cs="Arial"/>
                                  <w:sz w:val="18"/>
                                </w:rPr>
                                <w:t xml:space="preserve">gli atti, delle notifiche dell’atto impugnato ovvero degli atti che ne costituiscono </w:t>
                              </w:r>
                            </w:p>
                          </w:txbxContent>
                        </wps:txbx>
                        <wps:bodyPr horzOverflow="overflow" vert="horz" lIns="0" tIns="0" rIns="0" bIns="0" rtlCol="0">
                          <a:noAutofit/>
                        </wps:bodyPr>
                      </wps:wsp>
                      <wps:wsp>
                        <wps:cNvPr id="15024" name="Rectangle 15024"/>
                        <wps:cNvSpPr/>
                        <wps:spPr>
                          <a:xfrm rot="-10799999">
                            <a:off x="-1317271" y="5133327"/>
                            <a:ext cx="5309006" cy="142889"/>
                          </a:xfrm>
                          <a:prstGeom prst="rect">
                            <a:avLst/>
                          </a:prstGeom>
                          <a:ln>
                            <a:noFill/>
                          </a:ln>
                        </wps:spPr>
                        <wps:txbx>
                          <w:txbxContent>
                            <w:p w14:paraId="041423A2" w14:textId="77777777" w:rsidR="00B32EF2" w:rsidRDefault="00000000">
                              <w:r>
                                <w:rPr>
                                  <w:rFonts w:ascii="Arial" w:eastAsia="Arial" w:hAnsi="Arial" w:cs="Arial"/>
                                  <w:sz w:val="18"/>
                                </w:rPr>
                                <w:t xml:space="preserve">presupposto di legittimità che possono essere prodotti in primo grado anche </w:t>
                              </w:r>
                            </w:p>
                          </w:txbxContent>
                        </wps:txbx>
                        <wps:bodyPr horzOverflow="overflow" vert="horz" lIns="0" tIns="0" rIns="0" bIns="0" rtlCol="0">
                          <a:noAutofit/>
                        </wps:bodyPr>
                      </wps:wsp>
                      <wps:wsp>
                        <wps:cNvPr id="15025" name="Rectangle 15025"/>
                        <wps:cNvSpPr/>
                        <wps:spPr>
                          <a:xfrm rot="-10799999">
                            <a:off x="1694833" y="5006339"/>
                            <a:ext cx="2296901" cy="142889"/>
                          </a:xfrm>
                          <a:prstGeom prst="rect">
                            <a:avLst/>
                          </a:prstGeom>
                          <a:ln>
                            <a:noFill/>
                          </a:ln>
                        </wps:spPr>
                        <wps:txbx>
                          <w:txbxContent>
                            <w:p w14:paraId="21DAC5BE" w14:textId="77777777" w:rsidR="00B32EF2" w:rsidRDefault="00000000">
                              <w:r>
                                <w:rPr>
                                  <w:rFonts w:ascii="Arial" w:eastAsia="Arial" w:hAnsi="Arial" w:cs="Arial"/>
                                  <w:sz w:val="18"/>
                                </w:rPr>
                                <w:t>ai sensi dell’articolo 58, comma 7.</w:t>
                              </w:r>
                            </w:p>
                          </w:txbxContent>
                        </wps:txbx>
                        <wps:bodyPr horzOverflow="overflow" vert="horz" lIns="0" tIns="0" rIns="0" bIns="0" rtlCol="0">
                          <a:noAutofit/>
                        </wps:bodyPr>
                      </wps:wsp>
                      <wps:wsp>
                        <wps:cNvPr id="199908" name="Rectangle 199908"/>
                        <wps:cNvSpPr/>
                        <wps:spPr>
                          <a:xfrm rot="-10799999">
                            <a:off x="2589667" y="4889120"/>
                            <a:ext cx="5218306" cy="119075"/>
                          </a:xfrm>
                          <a:prstGeom prst="rect">
                            <a:avLst/>
                          </a:prstGeom>
                          <a:ln>
                            <a:noFill/>
                          </a:ln>
                        </wps:spPr>
                        <wps:txbx>
                          <w:txbxContent>
                            <w:p w14:paraId="2D11384A" w14:textId="77777777" w:rsidR="00B32EF2" w:rsidRDefault="00000000">
                              <w:r>
                                <w:rPr>
                                  <w:rFonts w:ascii="Arial" w:eastAsia="Arial" w:hAnsi="Arial" w:cs="Arial"/>
                                  <w:sz w:val="15"/>
                                </w:rPr>
                                <w:t>(1)</w:t>
                              </w:r>
                            </w:p>
                          </w:txbxContent>
                        </wps:txbx>
                        <wps:bodyPr horzOverflow="overflow" vert="horz" lIns="0" tIns="0" rIns="0" bIns="0" rtlCol="0">
                          <a:noAutofit/>
                        </wps:bodyPr>
                      </wps:wsp>
                      <wps:wsp>
                        <wps:cNvPr id="199909" name="Rectangle 199909"/>
                        <wps:cNvSpPr/>
                        <wps:spPr>
                          <a:xfrm rot="-10799999">
                            <a:off x="-1335689" y="4889120"/>
                            <a:ext cx="5218306" cy="119075"/>
                          </a:xfrm>
                          <a:prstGeom prst="rect">
                            <a:avLst/>
                          </a:prstGeom>
                          <a:ln>
                            <a:noFill/>
                          </a:ln>
                        </wps:spPr>
                        <wps:txbx>
                          <w:txbxContent>
                            <w:p w14:paraId="5DCB5BBF" w14:textId="77777777" w:rsidR="00B32EF2" w:rsidRDefault="00000000">
                              <w:r>
                                <w:rPr>
                                  <w:rFonts w:ascii="Arial" w:eastAsia="Arial" w:hAnsi="Arial" w:cs="Arial"/>
                                  <w:sz w:val="15"/>
                                </w:rPr>
                                <w:t xml:space="preserve"> Si fa presente che la Corte Costituzionale con sentenza 36/2025 ha dichiarato l’illegittimi</w:t>
                              </w:r>
                            </w:p>
                          </w:txbxContent>
                        </wps:txbx>
                        <wps:bodyPr horzOverflow="overflow" vert="horz" lIns="0" tIns="0" rIns="0" bIns="0" rtlCol="0">
                          <a:noAutofit/>
                        </wps:bodyPr>
                      </wps:wsp>
                      <wps:wsp>
                        <wps:cNvPr id="15027" name="Rectangle 15027"/>
                        <wps:cNvSpPr/>
                        <wps:spPr>
                          <a:xfrm rot="-10799999">
                            <a:off x="21248" y="4889120"/>
                            <a:ext cx="42185" cy="119074"/>
                          </a:xfrm>
                          <a:prstGeom prst="rect">
                            <a:avLst/>
                          </a:prstGeom>
                          <a:ln>
                            <a:noFill/>
                          </a:ln>
                        </wps:spPr>
                        <wps:txbx>
                          <w:txbxContent>
                            <w:p w14:paraId="4C942F24" w14:textId="77777777" w:rsidR="00B32EF2" w:rsidRDefault="00000000">
                              <w:r>
                                <w:rPr>
                                  <w:rFonts w:ascii="Arial" w:eastAsia="Arial" w:hAnsi="Arial" w:cs="Arial"/>
                                  <w:sz w:val="15"/>
                                </w:rPr>
                                <w:t>-</w:t>
                              </w:r>
                            </w:p>
                          </w:txbxContent>
                        </wps:txbx>
                        <wps:bodyPr horzOverflow="overflow" vert="horz" lIns="0" tIns="0" rIns="0" bIns="0" rtlCol="0">
                          <a:noAutofit/>
                        </wps:bodyPr>
                      </wps:wsp>
                      <wps:wsp>
                        <wps:cNvPr id="15028" name="Rectangle 15028"/>
                        <wps:cNvSpPr/>
                        <wps:spPr>
                          <a:xfrm rot="-10799999">
                            <a:off x="-1310283" y="4762152"/>
                            <a:ext cx="5302018" cy="119075"/>
                          </a:xfrm>
                          <a:prstGeom prst="rect">
                            <a:avLst/>
                          </a:prstGeom>
                          <a:ln>
                            <a:noFill/>
                          </a:ln>
                        </wps:spPr>
                        <wps:txbx>
                          <w:txbxContent>
                            <w:p w14:paraId="3BFF8DD7" w14:textId="77777777" w:rsidR="00B32EF2" w:rsidRDefault="00000000">
                              <w:r>
                                <w:rPr>
                                  <w:rFonts w:ascii="Arial" w:eastAsia="Arial" w:hAnsi="Arial" w:cs="Arial"/>
                                  <w:sz w:val="15"/>
                                </w:rPr>
                                <w:t xml:space="preserve">tà costituzionale del comma 3 dell’articolo 58, del decreto legislativo numero 546 del 1992, </w:t>
                              </w:r>
                            </w:p>
                          </w:txbxContent>
                        </wps:txbx>
                        <wps:bodyPr horzOverflow="overflow" vert="horz" lIns="0" tIns="0" rIns="0" bIns="0" rtlCol="0">
                          <a:noAutofit/>
                        </wps:bodyPr>
                      </wps:wsp>
                      <wps:wsp>
                        <wps:cNvPr id="15029" name="Rectangle 15029"/>
                        <wps:cNvSpPr/>
                        <wps:spPr>
                          <a:xfrm rot="-10799999">
                            <a:off x="-1310270" y="4635184"/>
                            <a:ext cx="5302005" cy="119075"/>
                          </a:xfrm>
                          <a:prstGeom prst="rect">
                            <a:avLst/>
                          </a:prstGeom>
                          <a:ln>
                            <a:noFill/>
                          </a:ln>
                        </wps:spPr>
                        <wps:txbx>
                          <w:txbxContent>
                            <w:p w14:paraId="237087A0" w14:textId="77777777" w:rsidR="00B32EF2" w:rsidRDefault="00000000">
                              <w:r>
                                <w:rPr>
                                  <w:rFonts w:ascii="Arial" w:eastAsia="Arial" w:hAnsi="Arial" w:cs="Arial"/>
                                  <w:sz w:val="15"/>
                                </w:rPr>
                                <w:t xml:space="preserve">inserito dall’articolo 1, comma 1, lettera bb), del decreto legislativo numero 220 del 2023, </w:t>
                              </w:r>
                            </w:p>
                          </w:txbxContent>
                        </wps:txbx>
                        <wps:bodyPr horzOverflow="overflow" vert="horz" lIns="0" tIns="0" rIns="0" bIns="0" rtlCol="0">
                          <a:noAutofit/>
                        </wps:bodyPr>
                      </wps:wsp>
                      <wps:wsp>
                        <wps:cNvPr id="15030" name="Rectangle 15030"/>
                        <wps:cNvSpPr/>
                        <wps:spPr>
                          <a:xfrm rot="-10799999">
                            <a:off x="-1310245" y="4508215"/>
                            <a:ext cx="5301980" cy="119075"/>
                          </a:xfrm>
                          <a:prstGeom prst="rect">
                            <a:avLst/>
                          </a:prstGeom>
                          <a:ln>
                            <a:noFill/>
                          </a:ln>
                        </wps:spPr>
                        <wps:txbx>
                          <w:txbxContent>
                            <w:p w14:paraId="0AEFE930" w14:textId="77777777" w:rsidR="00B32EF2" w:rsidRDefault="00000000">
                              <w:r>
                                <w:rPr>
                                  <w:rFonts w:ascii="Arial" w:eastAsia="Arial" w:hAnsi="Arial" w:cs="Arial"/>
                                  <w:sz w:val="15"/>
                                </w:rPr>
                                <w:t xml:space="preserve">limitatamente alle parole «delle deleghe, delle procure e degli altri atti di conferimento di </w:t>
                              </w:r>
                            </w:p>
                          </w:txbxContent>
                        </wps:txbx>
                        <wps:bodyPr horzOverflow="overflow" vert="horz" lIns="0" tIns="0" rIns="0" bIns="0" rtlCol="0">
                          <a:noAutofit/>
                        </wps:bodyPr>
                      </wps:wsp>
                      <wps:wsp>
                        <wps:cNvPr id="15031" name="Rectangle 15031"/>
                        <wps:cNvSpPr/>
                        <wps:spPr>
                          <a:xfrm rot="-10799999">
                            <a:off x="-1310245" y="4381247"/>
                            <a:ext cx="5301980" cy="119075"/>
                          </a:xfrm>
                          <a:prstGeom prst="rect">
                            <a:avLst/>
                          </a:prstGeom>
                          <a:ln>
                            <a:noFill/>
                          </a:ln>
                        </wps:spPr>
                        <wps:txbx>
                          <w:txbxContent>
                            <w:p w14:paraId="71BBA6A4" w14:textId="77777777" w:rsidR="00B32EF2" w:rsidRDefault="00000000">
                              <w:r>
                                <w:rPr>
                                  <w:rFonts w:ascii="Arial" w:eastAsia="Arial" w:hAnsi="Arial" w:cs="Arial"/>
                                  <w:sz w:val="15"/>
                                </w:rPr>
                                <w:t xml:space="preserve">potere rilevanti ai fini della legittimità della sottoscrizione degli atti». La Corte ha osservato </w:t>
                              </w:r>
                            </w:p>
                          </w:txbxContent>
                        </wps:txbx>
                        <wps:bodyPr horzOverflow="overflow" vert="horz" lIns="0" tIns="0" rIns="0" bIns="0" rtlCol="0">
                          <a:noAutofit/>
                        </wps:bodyPr>
                      </wps:wsp>
                      <wps:wsp>
                        <wps:cNvPr id="15032" name="Rectangle 15032"/>
                        <wps:cNvSpPr/>
                        <wps:spPr>
                          <a:xfrm rot="-10799999">
                            <a:off x="-1310245" y="4254279"/>
                            <a:ext cx="5301980" cy="119075"/>
                          </a:xfrm>
                          <a:prstGeom prst="rect">
                            <a:avLst/>
                          </a:prstGeom>
                          <a:ln>
                            <a:noFill/>
                          </a:ln>
                        </wps:spPr>
                        <wps:txbx>
                          <w:txbxContent>
                            <w:p w14:paraId="3C443EDE" w14:textId="77777777" w:rsidR="00B32EF2" w:rsidRDefault="00000000">
                              <w:r>
                                <w:rPr>
                                  <w:rFonts w:ascii="Arial" w:eastAsia="Arial" w:hAnsi="Arial" w:cs="Arial"/>
                                  <w:sz w:val="15"/>
                                </w:rPr>
                                <w:t xml:space="preserve">che, rispetto alla regola generale dell’art. 58 comma 1, il divieto assoluto di produzione delle </w:t>
                              </w:r>
                            </w:p>
                          </w:txbxContent>
                        </wps:txbx>
                        <wps:bodyPr horzOverflow="overflow" vert="horz" lIns="0" tIns="0" rIns="0" bIns="0" rtlCol="0">
                          <a:noAutofit/>
                        </wps:bodyPr>
                      </wps:wsp>
                      <wps:wsp>
                        <wps:cNvPr id="15033" name="Rectangle 15033"/>
                        <wps:cNvSpPr/>
                        <wps:spPr>
                          <a:xfrm rot="-10799999">
                            <a:off x="-1310245" y="4127311"/>
                            <a:ext cx="5301980" cy="119075"/>
                          </a:xfrm>
                          <a:prstGeom prst="rect">
                            <a:avLst/>
                          </a:prstGeom>
                          <a:ln>
                            <a:noFill/>
                          </a:ln>
                        </wps:spPr>
                        <wps:txbx>
                          <w:txbxContent>
                            <w:p w14:paraId="4924FBC8" w14:textId="77777777" w:rsidR="00B32EF2" w:rsidRDefault="00000000">
                              <w:r>
                                <w:rPr>
                                  <w:rFonts w:ascii="Arial" w:eastAsia="Arial" w:hAnsi="Arial" w:cs="Arial"/>
                                  <w:sz w:val="15"/>
                                </w:rPr>
                                <w:t xml:space="preserve">deleghe, delle procure e degli altri atti di conferimento di potere di cui al comma 3, pur quando </w:t>
                              </w:r>
                            </w:p>
                          </w:txbxContent>
                        </wps:txbx>
                        <wps:bodyPr horzOverflow="overflow" vert="horz" lIns="0" tIns="0" rIns="0" bIns="0" rtlCol="0">
                          <a:noAutofit/>
                        </wps:bodyPr>
                      </wps:wsp>
                      <wps:wsp>
                        <wps:cNvPr id="15034" name="Rectangle 15034"/>
                        <wps:cNvSpPr/>
                        <wps:spPr>
                          <a:xfrm rot="-10799999">
                            <a:off x="-1229685" y="4000342"/>
                            <a:ext cx="5222563" cy="119075"/>
                          </a:xfrm>
                          <a:prstGeom prst="rect">
                            <a:avLst/>
                          </a:prstGeom>
                          <a:ln>
                            <a:noFill/>
                          </a:ln>
                        </wps:spPr>
                        <wps:txbx>
                          <w:txbxContent>
                            <w:p w14:paraId="52CDF25B" w14:textId="77777777" w:rsidR="00B32EF2" w:rsidRDefault="00000000">
                              <w:r>
                                <w:rPr>
                                  <w:rFonts w:ascii="Arial" w:eastAsia="Arial" w:hAnsi="Arial" w:cs="Arial"/>
                                  <w:sz w:val="15"/>
                                </w:rPr>
                                <w:t>ne sia stata incolpevolmente impossibile la produzione in primo grado, comprime ingiustifica</w:t>
                              </w:r>
                            </w:p>
                          </w:txbxContent>
                        </wps:txbx>
                        <wps:bodyPr horzOverflow="overflow" vert="horz" lIns="0" tIns="0" rIns="0" bIns="0" rtlCol="0">
                          <a:noAutofit/>
                        </wps:bodyPr>
                      </wps:wsp>
                      <wps:wsp>
                        <wps:cNvPr id="15035" name="Rectangle 15035"/>
                        <wps:cNvSpPr/>
                        <wps:spPr>
                          <a:xfrm rot="-10799999">
                            <a:off x="21248" y="4000343"/>
                            <a:ext cx="42185" cy="119074"/>
                          </a:xfrm>
                          <a:prstGeom prst="rect">
                            <a:avLst/>
                          </a:prstGeom>
                          <a:ln>
                            <a:noFill/>
                          </a:ln>
                        </wps:spPr>
                        <wps:txbx>
                          <w:txbxContent>
                            <w:p w14:paraId="7ED2BFE3" w14:textId="77777777" w:rsidR="00B32EF2" w:rsidRDefault="00000000">
                              <w:r>
                                <w:rPr>
                                  <w:rFonts w:ascii="Arial" w:eastAsia="Arial" w:hAnsi="Arial" w:cs="Arial"/>
                                  <w:sz w:val="15"/>
                                </w:rPr>
                                <w:t>-</w:t>
                              </w:r>
                            </w:p>
                          </w:txbxContent>
                        </wps:txbx>
                        <wps:bodyPr horzOverflow="overflow" vert="horz" lIns="0" tIns="0" rIns="0" bIns="0" rtlCol="0">
                          <a:noAutofit/>
                        </wps:bodyPr>
                      </wps:wsp>
                      <wps:wsp>
                        <wps:cNvPr id="15036" name="Rectangle 15036"/>
                        <wps:cNvSpPr/>
                        <wps:spPr>
                          <a:xfrm rot="-10799999">
                            <a:off x="-1310308" y="3873374"/>
                            <a:ext cx="5302043" cy="119075"/>
                          </a:xfrm>
                          <a:prstGeom prst="rect">
                            <a:avLst/>
                          </a:prstGeom>
                          <a:ln>
                            <a:noFill/>
                          </a:ln>
                        </wps:spPr>
                        <wps:txbx>
                          <w:txbxContent>
                            <w:p w14:paraId="225EF0A9" w14:textId="77777777" w:rsidR="00B32EF2" w:rsidRDefault="00000000">
                              <w:r>
                                <w:rPr>
                                  <w:rFonts w:ascii="Arial" w:eastAsia="Arial" w:hAnsi="Arial" w:cs="Arial"/>
                                  <w:sz w:val="15"/>
                                </w:rPr>
                                <w:t xml:space="preserve">bilmente il diritto alla prova, posto che in tali ipotesi il processo di appello costituisce la prima </w:t>
                              </w:r>
                            </w:p>
                          </w:txbxContent>
                        </wps:txbx>
                        <wps:bodyPr horzOverflow="overflow" vert="horz" lIns="0" tIns="0" rIns="0" bIns="0" rtlCol="0">
                          <a:noAutofit/>
                        </wps:bodyPr>
                      </wps:wsp>
                      <wps:wsp>
                        <wps:cNvPr id="15037" name="Rectangle 15037"/>
                        <wps:cNvSpPr/>
                        <wps:spPr>
                          <a:xfrm rot="-10799999">
                            <a:off x="-1310245" y="3746406"/>
                            <a:ext cx="5301980" cy="119075"/>
                          </a:xfrm>
                          <a:prstGeom prst="rect">
                            <a:avLst/>
                          </a:prstGeom>
                          <a:ln>
                            <a:noFill/>
                          </a:ln>
                        </wps:spPr>
                        <wps:txbx>
                          <w:txbxContent>
                            <w:p w14:paraId="417750DB" w14:textId="77777777" w:rsidR="00B32EF2" w:rsidRDefault="00000000">
                              <w:r>
                                <w:rPr>
                                  <w:rFonts w:ascii="Arial" w:eastAsia="Arial" w:hAnsi="Arial" w:cs="Arial"/>
                                  <w:sz w:val="15"/>
                                </w:rPr>
                                <w:t xml:space="preserve">e unica occasione per dedurre i mezzi istruttori che non siano stati introdotti in primo grado </w:t>
                              </w:r>
                            </w:p>
                          </w:txbxContent>
                        </wps:txbx>
                        <wps:bodyPr horzOverflow="overflow" vert="horz" lIns="0" tIns="0" rIns="0" bIns="0" rtlCol="0">
                          <a:noAutofit/>
                        </wps:bodyPr>
                      </wps:wsp>
                      <wps:wsp>
                        <wps:cNvPr id="15038" name="Rectangle 15038"/>
                        <wps:cNvSpPr/>
                        <wps:spPr>
                          <a:xfrm rot="-10799999">
                            <a:off x="1902828" y="3619438"/>
                            <a:ext cx="2088906" cy="119074"/>
                          </a:xfrm>
                          <a:prstGeom prst="rect">
                            <a:avLst/>
                          </a:prstGeom>
                          <a:ln>
                            <a:noFill/>
                          </a:ln>
                        </wps:spPr>
                        <wps:txbx>
                          <w:txbxContent>
                            <w:p w14:paraId="6DD0555D" w14:textId="77777777" w:rsidR="00B32EF2" w:rsidRDefault="00000000">
                              <w:r>
                                <w:rPr>
                                  <w:rFonts w:ascii="Arial" w:eastAsia="Arial" w:hAnsi="Arial" w:cs="Arial"/>
                                  <w:sz w:val="15"/>
                                </w:rPr>
                                <w:t xml:space="preserve">per causa non imputabile alla parte. </w:t>
                              </w:r>
                            </w:p>
                          </w:txbxContent>
                        </wps:txbx>
                        <wps:bodyPr horzOverflow="overflow" vert="horz" lIns="0" tIns="0" rIns="0" bIns="0" rtlCol="0">
                          <a:noAutofit/>
                        </wps:bodyPr>
                      </wps:wsp>
                      <wps:wsp>
                        <wps:cNvPr id="15039" name="Rectangle 15039"/>
                        <wps:cNvSpPr/>
                        <wps:spPr>
                          <a:xfrm rot="-10799999">
                            <a:off x="-1236656" y="3492470"/>
                            <a:ext cx="5225628" cy="119075"/>
                          </a:xfrm>
                          <a:prstGeom prst="rect">
                            <a:avLst/>
                          </a:prstGeom>
                          <a:ln>
                            <a:noFill/>
                          </a:ln>
                        </wps:spPr>
                        <wps:txbx>
                          <w:txbxContent>
                            <w:p w14:paraId="63CF626B" w14:textId="77777777" w:rsidR="00B32EF2" w:rsidRDefault="00000000">
                              <w:r>
                                <w:rPr>
                                  <w:rFonts w:ascii="Arial" w:eastAsia="Arial" w:hAnsi="Arial" w:cs="Arial"/>
                                  <w:sz w:val="15"/>
                                </w:rPr>
                                <w:t>Con la stessa sentenza, la Corte ha dichiarato costituzionalmente illegittimo il comma 2 dell’ar</w:t>
                              </w:r>
                            </w:p>
                          </w:txbxContent>
                        </wps:txbx>
                        <wps:bodyPr horzOverflow="overflow" vert="horz" lIns="0" tIns="0" rIns="0" bIns="0" rtlCol="0">
                          <a:noAutofit/>
                        </wps:bodyPr>
                      </wps:wsp>
                      <wps:wsp>
                        <wps:cNvPr id="15040" name="Rectangle 15040"/>
                        <wps:cNvSpPr/>
                        <wps:spPr>
                          <a:xfrm rot="-10799999">
                            <a:off x="21248" y="3492470"/>
                            <a:ext cx="42185" cy="119074"/>
                          </a:xfrm>
                          <a:prstGeom prst="rect">
                            <a:avLst/>
                          </a:prstGeom>
                          <a:ln>
                            <a:noFill/>
                          </a:ln>
                        </wps:spPr>
                        <wps:txbx>
                          <w:txbxContent>
                            <w:p w14:paraId="55D31E9D" w14:textId="77777777" w:rsidR="00B32EF2" w:rsidRDefault="00000000">
                              <w:r>
                                <w:rPr>
                                  <w:rFonts w:ascii="Arial" w:eastAsia="Arial" w:hAnsi="Arial" w:cs="Arial"/>
                                  <w:sz w:val="15"/>
                                </w:rPr>
                                <w:t>-</w:t>
                              </w:r>
                            </w:p>
                          </w:txbxContent>
                        </wps:txbx>
                        <wps:bodyPr horzOverflow="overflow" vert="horz" lIns="0" tIns="0" rIns="0" bIns="0" rtlCol="0">
                          <a:noAutofit/>
                        </wps:bodyPr>
                      </wps:wsp>
                      <wps:wsp>
                        <wps:cNvPr id="15041" name="Rectangle 15041"/>
                        <wps:cNvSpPr/>
                        <wps:spPr>
                          <a:xfrm rot="-10799999">
                            <a:off x="-1229373" y="3365502"/>
                            <a:ext cx="5220156" cy="119075"/>
                          </a:xfrm>
                          <a:prstGeom prst="rect">
                            <a:avLst/>
                          </a:prstGeom>
                          <a:ln>
                            <a:noFill/>
                          </a:ln>
                        </wps:spPr>
                        <wps:txbx>
                          <w:txbxContent>
                            <w:p w14:paraId="03876345" w14:textId="77777777" w:rsidR="00B32EF2" w:rsidRDefault="00000000">
                              <w:r>
                                <w:rPr>
                                  <w:rFonts w:ascii="Arial" w:eastAsia="Arial" w:hAnsi="Arial" w:cs="Arial"/>
                                  <w:sz w:val="15"/>
                                </w:rPr>
                                <w:t>ticolo 4, del decreto legislativo numero 220 del 2023 nella parte in cui prescrive che le modi</w:t>
                              </w:r>
                            </w:p>
                          </w:txbxContent>
                        </wps:txbx>
                        <wps:bodyPr horzOverflow="overflow" vert="horz" lIns="0" tIns="0" rIns="0" bIns="0" rtlCol="0">
                          <a:noAutofit/>
                        </wps:bodyPr>
                      </wps:wsp>
                      <wps:wsp>
                        <wps:cNvPr id="15042" name="Rectangle 15042"/>
                        <wps:cNvSpPr/>
                        <wps:spPr>
                          <a:xfrm rot="-10799999">
                            <a:off x="21248" y="3365501"/>
                            <a:ext cx="42185" cy="119074"/>
                          </a:xfrm>
                          <a:prstGeom prst="rect">
                            <a:avLst/>
                          </a:prstGeom>
                          <a:ln>
                            <a:noFill/>
                          </a:ln>
                        </wps:spPr>
                        <wps:txbx>
                          <w:txbxContent>
                            <w:p w14:paraId="742685C0" w14:textId="77777777" w:rsidR="00B32EF2" w:rsidRDefault="00000000">
                              <w:r>
                                <w:rPr>
                                  <w:rFonts w:ascii="Arial" w:eastAsia="Arial" w:hAnsi="Arial" w:cs="Arial"/>
                                  <w:sz w:val="15"/>
                                </w:rPr>
                                <w:t>-</w:t>
                              </w:r>
                            </w:p>
                          </w:txbxContent>
                        </wps:txbx>
                        <wps:bodyPr horzOverflow="overflow" vert="horz" lIns="0" tIns="0" rIns="0" bIns="0" rtlCol="0">
                          <a:noAutofit/>
                        </wps:bodyPr>
                      </wps:wsp>
                      <wps:wsp>
                        <wps:cNvPr id="15043" name="Rectangle 15043"/>
                        <wps:cNvSpPr/>
                        <wps:spPr>
                          <a:xfrm rot="-10799999">
                            <a:off x="-1309715" y="3238533"/>
                            <a:ext cx="5300498" cy="119075"/>
                          </a:xfrm>
                          <a:prstGeom prst="rect">
                            <a:avLst/>
                          </a:prstGeom>
                          <a:ln>
                            <a:noFill/>
                          </a:ln>
                        </wps:spPr>
                        <wps:txbx>
                          <w:txbxContent>
                            <w:p w14:paraId="0ADA5714" w14:textId="77777777" w:rsidR="00B32EF2" w:rsidRDefault="00000000">
                              <w:r>
                                <w:rPr>
                                  <w:rFonts w:ascii="Arial" w:eastAsia="Arial" w:hAnsi="Arial" w:cs="Arial"/>
                                  <w:sz w:val="15"/>
                                </w:rPr>
                                <w:t xml:space="preserve">fiche apportate dall’articolo 1, comma 1, lettera bb), dello stesso decreto legislativo numero </w:t>
                              </w:r>
                            </w:p>
                          </w:txbxContent>
                        </wps:txbx>
                        <wps:bodyPr horzOverflow="overflow" vert="horz" lIns="0" tIns="0" rIns="0" bIns="0" rtlCol="0">
                          <a:noAutofit/>
                        </wps:bodyPr>
                      </wps:wsp>
                      <wps:wsp>
                        <wps:cNvPr id="199906" name="Rectangle 199906"/>
                        <wps:cNvSpPr/>
                        <wps:spPr>
                          <a:xfrm rot="-10799999">
                            <a:off x="2515654" y="3111565"/>
                            <a:ext cx="5300434" cy="119075"/>
                          </a:xfrm>
                          <a:prstGeom prst="rect">
                            <a:avLst/>
                          </a:prstGeom>
                          <a:ln>
                            <a:noFill/>
                          </a:ln>
                        </wps:spPr>
                        <wps:txbx>
                          <w:txbxContent>
                            <w:p w14:paraId="677346DB" w14:textId="77777777" w:rsidR="00B32EF2" w:rsidRDefault="00000000">
                              <w:r>
                                <w:rPr>
                                  <w:rFonts w:ascii="Arial" w:eastAsia="Arial" w:hAnsi="Arial" w:cs="Arial"/>
                                  <w:sz w:val="15"/>
                                </w:rPr>
                                <w:t>220</w:t>
                              </w:r>
                            </w:p>
                          </w:txbxContent>
                        </wps:txbx>
                        <wps:bodyPr horzOverflow="overflow" vert="horz" lIns="0" tIns="0" rIns="0" bIns="0" rtlCol="0">
                          <a:noAutofit/>
                        </wps:bodyPr>
                      </wps:wsp>
                      <wps:wsp>
                        <wps:cNvPr id="199907" name="Rectangle 199907"/>
                        <wps:cNvSpPr/>
                        <wps:spPr>
                          <a:xfrm rot="-10799999">
                            <a:off x="-1469634" y="3111565"/>
                            <a:ext cx="5300434" cy="119075"/>
                          </a:xfrm>
                          <a:prstGeom prst="rect">
                            <a:avLst/>
                          </a:prstGeom>
                          <a:ln>
                            <a:noFill/>
                          </a:ln>
                        </wps:spPr>
                        <wps:txbx>
                          <w:txbxContent>
                            <w:p w14:paraId="5078ED66" w14:textId="77777777" w:rsidR="00B32EF2" w:rsidRDefault="00000000">
                              <w:r>
                                <w:rPr>
                                  <w:rFonts w:ascii="Arial" w:eastAsia="Arial" w:hAnsi="Arial" w:cs="Arial"/>
                                  <w:sz w:val="15"/>
                                </w:rPr>
                                <w:t xml:space="preserve"> del 2023 alla disciplina delle prove in appello dettata dall’articolo 58 del decreto legislativo </w:t>
                              </w:r>
                            </w:p>
                          </w:txbxContent>
                        </wps:txbx>
                        <wps:bodyPr horzOverflow="overflow" vert="horz" lIns="0" tIns="0" rIns="0" bIns="0" rtlCol="0">
                          <a:noAutofit/>
                        </wps:bodyPr>
                      </wps:wsp>
                      <wps:wsp>
                        <wps:cNvPr id="15045" name="Rectangle 15045"/>
                        <wps:cNvSpPr/>
                        <wps:spPr>
                          <a:xfrm rot="-10799999">
                            <a:off x="-1309652" y="2984597"/>
                            <a:ext cx="5300434" cy="119075"/>
                          </a:xfrm>
                          <a:prstGeom prst="rect">
                            <a:avLst/>
                          </a:prstGeom>
                          <a:ln>
                            <a:noFill/>
                          </a:ln>
                        </wps:spPr>
                        <wps:txbx>
                          <w:txbxContent>
                            <w:p w14:paraId="6AAF0E3D" w14:textId="77777777" w:rsidR="00B32EF2" w:rsidRDefault="00000000">
                              <w:r>
                                <w:rPr>
                                  <w:rFonts w:ascii="Arial" w:eastAsia="Arial" w:hAnsi="Arial" w:cs="Arial"/>
                                  <w:sz w:val="15"/>
                                </w:rPr>
                                <w:t xml:space="preserve">numero 546 del 1992 si applicano ai giudizi instaurati in secondo grado a decorrere dal giorno </w:t>
                              </w:r>
                            </w:p>
                          </w:txbxContent>
                        </wps:txbx>
                        <wps:bodyPr horzOverflow="overflow" vert="horz" lIns="0" tIns="0" rIns="0" bIns="0" rtlCol="0">
                          <a:noAutofit/>
                        </wps:bodyPr>
                      </wps:wsp>
                      <wps:wsp>
                        <wps:cNvPr id="15046" name="Rectangle 15046"/>
                        <wps:cNvSpPr/>
                        <wps:spPr>
                          <a:xfrm rot="-10799999">
                            <a:off x="-1230683" y="2857629"/>
                            <a:ext cx="5222132" cy="119075"/>
                          </a:xfrm>
                          <a:prstGeom prst="rect">
                            <a:avLst/>
                          </a:prstGeom>
                          <a:ln>
                            <a:noFill/>
                          </a:ln>
                        </wps:spPr>
                        <wps:txbx>
                          <w:txbxContent>
                            <w:p w14:paraId="2E2914C0" w14:textId="77777777" w:rsidR="00B32EF2" w:rsidRDefault="00000000">
                              <w:r>
                                <w:rPr>
                                  <w:rFonts w:ascii="Arial" w:eastAsia="Arial" w:hAnsi="Arial" w:cs="Arial"/>
                                  <w:sz w:val="15"/>
                                </w:rPr>
                                <w:t>successivo alla sua entrata in vigore, anziché ai giudizi di appello il cui primo grado sia instau</w:t>
                              </w:r>
                            </w:p>
                          </w:txbxContent>
                        </wps:txbx>
                        <wps:bodyPr horzOverflow="overflow" vert="horz" lIns="0" tIns="0" rIns="0" bIns="0" rtlCol="0">
                          <a:noAutofit/>
                        </wps:bodyPr>
                      </wps:wsp>
                      <wps:wsp>
                        <wps:cNvPr id="15047" name="Rectangle 15047"/>
                        <wps:cNvSpPr/>
                        <wps:spPr>
                          <a:xfrm rot="-10799999">
                            <a:off x="21248" y="2857628"/>
                            <a:ext cx="42185" cy="119074"/>
                          </a:xfrm>
                          <a:prstGeom prst="rect">
                            <a:avLst/>
                          </a:prstGeom>
                          <a:ln>
                            <a:noFill/>
                          </a:ln>
                        </wps:spPr>
                        <wps:txbx>
                          <w:txbxContent>
                            <w:p w14:paraId="253CE564" w14:textId="77777777" w:rsidR="00B32EF2" w:rsidRDefault="00000000">
                              <w:r>
                                <w:rPr>
                                  <w:rFonts w:ascii="Arial" w:eastAsia="Arial" w:hAnsi="Arial" w:cs="Arial"/>
                                  <w:sz w:val="15"/>
                                </w:rPr>
                                <w:t>-</w:t>
                              </w:r>
                            </w:p>
                          </w:txbxContent>
                        </wps:txbx>
                        <wps:bodyPr horzOverflow="overflow" vert="horz" lIns="0" tIns="0" rIns="0" bIns="0" rtlCol="0">
                          <a:noAutofit/>
                        </wps:bodyPr>
                      </wps:wsp>
                      <wps:wsp>
                        <wps:cNvPr id="15048" name="Rectangle 15048"/>
                        <wps:cNvSpPr/>
                        <wps:spPr>
                          <a:xfrm rot="-10799999">
                            <a:off x="-237157" y="2730660"/>
                            <a:ext cx="4227939" cy="119074"/>
                          </a:xfrm>
                          <a:prstGeom prst="rect">
                            <a:avLst/>
                          </a:prstGeom>
                          <a:ln>
                            <a:noFill/>
                          </a:ln>
                        </wps:spPr>
                        <wps:txbx>
                          <w:txbxContent>
                            <w:p w14:paraId="20456BC8" w14:textId="77777777" w:rsidR="00B32EF2" w:rsidRDefault="00000000">
                              <w:r>
                                <w:rPr>
                                  <w:rFonts w:ascii="Arial" w:eastAsia="Arial" w:hAnsi="Arial" w:cs="Arial"/>
                                  <w:sz w:val="15"/>
                                </w:rPr>
                                <w:t>rato successivamente all’entrata in vigore del medesimo decreto legislativo.</w:t>
                              </w:r>
                            </w:p>
                          </w:txbxContent>
                        </wps:txbx>
                        <wps:bodyPr horzOverflow="overflow" vert="horz" lIns="0" tIns="0" rIns="0" bIns="0" rtlCol="0">
                          <a:noAutofit/>
                        </wps:bodyPr>
                      </wps:wsp>
                      <wps:wsp>
                        <wps:cNvPr id="15049" name="Rectangle 15049"/>
                        <wps:cNvSpPr/>
                        <wps:spPr>
                          <a:xfrm rot="-10799999">
                            <a:off x="1464334" y="2473476"/>
                            <a:ext cx="878351" cy="142889"/>
                          </a:xfrm>
                          <a:prstGeom prst="rect">
                            <a:avLst/>
                          </a:prstGeom>
                          <a:ln>
                            <a:noFill/>
                          </a:ln>
                        </wps:spPr>
                        <wps:txbx>
                          <w:txbxContent>
                            <w:p w14:paraId="3D5D8936" w14:textId="77777777" w:rsidR="00B32EF2" w:rsidRDefault="00000000">
                              <w:r>
                                <w:rPr>
                                  <w:rFonts w:ascii="Arial" w:eastAsia="Arial" w:hAnsi="Arial" w:cs="Arial"/>
                                  <w:b/>
                                  <w:sz w:val="18"/>
                                </w:rPr>
                                <w:t>Articolo 113</w:t>
                              </w:r>
                            </w:p>
                          </w:txbxContent>
                        </wps:txbx>
                        <wps:bodyPr horzOverflow="overflow" vert="horz" lIns="0" tIns="0" rIns="0" bIns="0" rtlCol="0">
                          <a:noAutofit/>
                        </wps:bodyPr>
                      </wps:wsp>
                      <wps:wsp>
                        <wps:cNvPr id="199905" name="Rectangle 199905"/>
                        <wps:cNvSpPr/>
                        <wps:spPr>
                          <a:xfrm rot="-10799999">
                            <a:off x="1161869" y="2350147"/>
                            <a:ext cx="1943837" cy="142889"/>
                          </a:xfrm>
                          <a:prstGeom prst="rect">
                            <a:avLst/>
                          </a:prstGeom>
                          <a:ln>
                            <a:noFill/>
                          </a:ln>
                        </wps:spPr>
                        <wps:txbx>
                          <w:txbxContent>
                            <w:p w14:paraId="7E919524" w14:textId="77777777" w:rsidR="00B32EF2" w:rsidRDefault="00000000">
                              <w:r>
                                <w:rPr>
                                  <w:rFonts w:ascii="Arial" w:eastAsia="Arial" w:hAnsi="Arial" w:cs="Arial"/>
                                  <w:i/>
                                  <w:sz w:val="18"/>
                                </w:rPr>
                                <w:t xml:space="preserve">articolo 59 D.lgs. n. </w:t>
                              </w:r>
                            </w:p>
                          </w:txbxContent>
                        </wps:txbx>
                        <wps:bodyPr horzOverflow="overflow" vert="horz" lIns="0" tIns="0" rIns="0" bIns="0" rtlCol="0">
                          <a:noAutofit/>
                        </wps:bodyPr>
                      </wps:wsp>
                      <wps:wsp>
                        <wps:cNvPr id="199904" name="Rectangle 199904"/>
                        <wps:cNvSpPr/>
                        <wps:spPr>
                          <a:xfrm rot="-10799999">
                            <a:off x="-264502" y="2350147"/>
                            <a:ext cx="1943836" cy="142889"/>
                          </a:xfrm>
                          <a:prstGeom prst="rect">
                            <a:avLst/>
                          </a:prstGeom>
                          <a:ln>
                            <a:noFill/>
                          </a:ln>
                        </wps:spPr>
                        <wps:txbx>
                          <w:txbxContent>
                            <w:p w14:paraId="325E068B"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903" name="Rectangle 199903"/>
                        <wps:cNvSpPr/>
                        <wps:spPr>
                          <a:xfrm rot="-10799999">
                            <a:off x="2222138" y="2350147"/>
                            <a:ext cx="1943837" cy="142889"/>
                          </a:xfrm>
                          <a:prstGeom prst="rect">
                            <a:avLst/>
                          </a:prstGeom>
                          <a:ln>
                            <a:noFill/>
                          </a:ln>
                        </wps:spPr>
                        <wps:txbx>
                          <w:txbxContent>
                            <w:p w14:paraId="62D5AA2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051" name="Rectangle 15051"/>
                        <wps:cNvSpPr/>
                        <wps:spPr>
                          <a:xfrm rot="-10799999">
                            <a:off x="-712823" y="2226817"/>
                            <a:ext cx="4340584" cy="142889"/>
                          </a:xfrm>
                          <a:prstGeom prst="rect">
                            <a:avLst/>
                          </a:prstGeom>
                          <a:ln>
                            <a:noFill/>
                          </a:ln>
                        </wps:spPr>
                        <wps:txbx>
                          <w:txbxContent>
                            <w:p w14:paraId="7DFFC898" w14:textId="77777777" w:rsidR="00B32EF2" w:rsidRDefault="00000000">
                              <w:r>
                                <w:rPr>
                                  <w:rFonts w:ascii="Arial" w:eastAsia="Arial" w:hAnsi="Arial" w:cs="Arial"/>
                                  <w:b/>
                                  <w:sz w:val="18"/>
                                </w:rPr>
                                <w:t xml:space="preserve">Rimessione alla corte di giustizia tributaria di primo grado </w:t>
                              </w:r>
                            </w:p>
                          </w:txbxContent>
                        </wps:txbx>
                        <wps:bodyPr horzOverflow="overflow" vert="horz" lIns="0" tIns="0" rIns="0" bIns="0" rtlCol="0">
                          <a:noAutofit/>
                        </wps:bodyPr>
                      </wps:wsp>
                      <wps:wsp>
                        <wps:cNvPr id="199902" name="Rectangle 199902"/>
                        <wps:cNvSpPr/>
                        <wps:spPr>
                          <a:xfrm rot="-10799999">
                            <a:off x="-1376384" y="2099830"/>
                            <a:ext cx="5309006" cy="142889"/>
                          </a:xfrm>
                          <a:prstGeom prst="rect">
                            <a:avLst/>
                          </a:prstGeom>
                          <a:ln>
                            <a:noFill/>
                          </a:ln>
                        </wps:spPr>
                        <wps:txbx>
                          <w:txbxContent>
                            <w:p w14:paraId="42A6B978" w14:textId="77777777" w:rsidR="00B32EF2" w:rsidRDefault="00000000">
                              <w:r>
                                <w:rPr>
                                  <w:rFonts w:ascii="Arial" w:eastAsia="Arial" w:hAnsi="Arial" w:cs="Arial"/>
                                  <w:sz w:val="18"/>
                                </w:rPr>
                                <w:t xml:space="preserve">. La corte di giustizia tributaria di secondo grado rimette la causa alla corte </w:t>
                              </w:r>
                            </w:p>
                          </w:txbxContent>
                        </wps:txbx>
                        <wps:bodyPr horzOverflow="overflow" vert="horz" lIns="0" tIns="0" rIns="0" bIns="0" rtlCol="0">
                          <a:noAutofit/>
                        </wps:bodyPr>
                      </wps:wsp>
                      <wps:wsp>
                        <wps:cNvPr id="199901" name="Rectangle 199901"/>
                        <wps:cNvSpPr/>
                        <wps:spPr>
                          <a:xfrm rot="-10799999">
                            <a:off x="2610983" y="2099830"/>
                            <a:ext cx="5309005" cy="142889"/>
                          </a:xfrm>
                          <a:prstGeom prst="rect">
                            <a:avLst/>
                          </a:prstGeom>
                          <a:ln>
                            <a:noFill/>
                          </a:ln>
                        </wps:spPr>
                        <wps:txbx>
                          <w:txbxContent>
                            <w:p w14:paraId="79294FFD"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5053" name="Rectangle 15053"/>
                        <wps:cNvSpPr/>
                        <wps:spPr>
                          <a:xfrm rot="-10799999">
                            <a:off x="-1317214" y="1972842"/>
                            <a:ext cx="5309021" cy="142889"/>
                          </a:xfrm>
                          <a:prstGeom prst="rect">
                            <a:avLst/>
                          </a:prstGeom>
                          <a:ln>
                            <a:noFill/>
                          </a:ln>
                        </wps:spPr>
                        <wps:txbx>
                          <w:txbxContent>
                            <w:p w14:paraId="1AA42F04" w14:textId="77777777" w:rsidR="00B32EF2" w:rsidRDefault="00000000">
                              <w:r>
                                <w:rPr>
                                  <w:rFonts w:ascii="Arial" w:eastAsia="Arial" w:hAnsi="Arial" w:cs="Arial"/>
                                  <w:sz w:val="18"/>
                                </w:rPr>
                                <w:t xml:space="preserve">di giustizia tributaria di primo grado che ha emesso la sentenza impugnata nei </w:t>
                              </w:r>
                            </w:p>
                          </w:txbxContent>
                        </wps:txbx>
                        <wps:bodyPr horzOverflow="overflow" vert="horz" lIns="0" tIns="0" rIns="0" bIns="0" rtlCol="0">
                          <a:noAutofit/>
                        </wps:bodyPr>
                      </wps:wsp>
                      <wps:wsp>
                        <wps:cNvPr id="15054" name="Rectangle 15054"/>
                        <wps:cNvSpPr/>
                        <wps:spPr>
                          <a:xfrm rot="-10799999">
                            <a:off x="3051805" y="1845856"/>
                            <a:ext cx="940800" cy="142889"/>
                          </a:xfrm>
                          <a:prstGeom prst="rect">
                            <a:avLst/>
                          </a:prstGeom>
                          <a:ln>
                            <a:noFill/>
                          </a:ln>
                        </wps:spPr>
                        <wps:txbx>
                          <w:txbxContent>
                            <w:p w14:paraId="1B649993" w14:textId="77777777" w:rsidR="00B32EF2" w:rsidRDefault="00000000">
                              <w:r>
                                <w:rPr>
                                  <w:rFonts w:ascii="Arial" w:eastAsia="Arial" w:hAnsi="Arial" w:cs="Arial"/>
                                  <w:sz w:val="18"/>
                                </w:rPr>
                                <w:t>seguenti casi:</w:t>
                              </w:r>
                            </w:p>
                          </w:txbxContent>
                        </wps:txbx>
                        <wps:bodyPr horzOverflow="overflow" vert="horz" lIns="0" tIns="0" rIns="0" bIns="0" rtlCol="0">
                          <a:noAutofit/>
                        </wps:bodyPr>
                      </wps:wsp>
                      <wps:wsp>
                        <wps:cNvPr id="15055" name="Rectangle 15055"/>
                        <wps:cNvSpPr/>
                        <wps:spPr>
                          <a:xfrm rot="-10799999">
                            <a:off x="-1317454" y="1718868"/>
                            <a:ext cx="5310403" cy="142889"/>
                          </a:xfrm>
                          <a:prstGeom prst="rect">
                            <a:avLst/>
                          </a:prstGeom>
                          <a:ln>
                            <a:noFill/>
                          </a:ln>
                        </wps:spPr>
                        <wps:txbx>
                          <w:txbxContent>
                            <w:p w14:paraId="0E7883F9" w14:textId="77777777" w:rsidR="00B32EF2" w:rsidRDefault="00000000">
                              <w:r>
                                <w:rPr>
                                  <w:rFonts w:ascii="Arial" w:eastAsia="Arial" w:hAnsi="Arial" w:cs="Arial"/>
                                  <w:sz w:val="18"/>
                                </w:rPr>
                                <w:t xml:space="preserve">a) quando dichiara la competenza declinata o la giurisdizione negata dal </w:t>
                              </w:r>
                            </w:p>
                          </w:txbxContent>
                        </wps:txbx>
                        <wps:bodyPr horzOverflow="overflow" vert="horz" lIns="0" tIns="0" rIns="0" bIns="0" rtlCol="0">
                          <a:noAutofit/>
                        </wps:bodyPr>
                      </wps:wsp>
                      <wps:wsp>
                        <wps:cNvPr id="15056" name="Rectangle 15056"/>
                        <wps:cNvSpPr/>
                        <wps:spPr>
                          <a:xfrm rot="-10799999">
                            <a:off x="3013476" y="1591881"/>
                            <a:ext cx="980386" cy="142889"/>
                          </a:xfrm>
                          <a:prstGeom prst="rect">
                            <a:avLst/>
                          </a:prstGeom>
                          <a:ln>
                            <a:noFill/>
                          </a:ln>
                        </wps:spPr>
                        <wps:txbx>
                          <w:txbxContent>
                            <w:p w14:paraId="7957A92F" w14:textId="77777777" w:rsidR="00B32EF2" w:rsidRDefault="00000000">
                              <w:r>
                                <w:rPr>
                                  <w:rFonts w:ascii="Arial" w:eastAsia="Arial" w:hAnsi="Arial" w:cs="Arial"/>
                                  <w:sz w:val="18"/>
                                </w:rPr>
                                <w:t>primo giudice;</w:t>
                              </w:r>
                            </w:p>
                          </w:txbxContent>
                        </wps:txbx>
                        <wps:bodyPr horzOverflow="overflow" vert="horz" lIns="0" tIns="0" rIns="0" bIns="0" rtlCol="0">
                          <a:noAutofit/>
                        </wps:bodyPr>
                      </wps:wsp>
                      <wps:wsp>
                        <wps:cNvPr id="15057" name="Rectangle 15057"/>
                        <wps:cNvSpPr/>
                        <wps:spPr>
                          <a:xfrm rot="-10799999">
                            <a:off x="-1317215" y="1464894"/>
                            <a:ext cx="5309021" cy="142889"/>
                          </a:xfrm>
                          <a:prstGeom prst="rect">
                            <a:avLst/>
                          </a:prstGeom>
                          <a:ln>
                            <a:noFill/>
                          </a:ln>
                        </wps:spPr>
                        <wps:txbx>
                          <w:txbxContent>
                            <w:p w14:paraId="009CD9E8" w14:textId="77777777" w:rsidR="00B32EF2" w:rsidRDefault="00000000">
                              <w:r>
                                <w:rPr>
                                  <w:rFonts w:ascii="Arial" w:eastAsia="Arial" w:hAnsi="Arial" w:cs="Arial"/>
                                  <w:sz w:val="18"/>
                                </w:rPr>
                                <w:t xml:space="preserve">b) quando riconosce che nel giudizio di primo grado il contraddittorio non è </w:t>
                              </w:r>
                            </w:p>
                          </w:txbxContent>
                        </wps:txbx>
                        <wps:bodyPr horzOverflow="overflow" vert="horz" lIns="0" tIns="0" rIns="0" bIns="0" rtlCol="0">
                          <a:noAutofit/>
                        </wps:bodyPr>
                      </wps:wsp>
                      <wps:wsp>
                        <wps:cNvPr id="15058" name="Rectangle 15058"/>
                        <wps:cNvSpPr/>
                        <wps:spPr>
                          <a:xfrm rot="-10799999">
                            <a:off x="1252559" y="1337907"/>
                            <a:ext cx="2739246" cy="142889"/>
                          </a:xfrm>
                          <a:prstGeom prst="rect">
                            <a:avLst/>
                          </a:prstGeom>
                          <a:ln>
                            <a:noFill/>
                          </a:ln>
                        </wps:spPr>
                        <wps:txbx>
                          <w:txbxContent>
                            <w:p w14:paraId="32908121" w14:textId="77777777" w:rsidR="00B32EF2" w:rsidRDefault="00000000">
                              <w:r>
                                <w:rPr>
                                  <w:rFonts w:ascii="Arial" w:eastAsia="Arial" w:hAnsi="Arial" w:cs="Arial"/>
                                  <w:sz w:val="18"/>
                                </w:rPr>
                                <w:t>stato regolarmente costituito o integrato;</w:t>
                              </w:r>
                            </w:p>
                          </w:txbxContent>
                        </wps:txbx>
                        <wps:bodyPr horzOverflow="overflow" vert="horz" lIns="0" tIns="0" rIns="0" bIns="0" rtlCol="0">
                          <a:noAutofit/>
                        </wps:bodyPr>
                      </wps:wsp>
                      <wps:wsp>
                        <wps:cNvPr id="15059" name="Rectangle 15059"/>
                        <wps:cNvSpPr/>
                        <wps:spPr>
                          <a:xfrm rot="-10799999">
                            <a:off x="-1317276" y="1210919"/>
                            <a:ext cx="5309082" cy="142890"/>
                          </a:xfrm>
                          <a:prstGeom prst="rect">
                            <a:avLst/>
                          </a:prstGeom>
                          <a:ln>
                            <a:noFill/>
                          </a:ln>
                        </wps:spPr>
                        <wps:txbx>
                          <w:txbxContent>
                            <w:p w14:paraId="34A1A3D5" w14:textId="77777777" w:rsidR="00B32EF2" w:rsidRDefault="00000000">
                              <w:r>
                                <w:rPr>
                                  <w:rFonts w:ascii="Arial" w:eastAsia="Arial" w:hAnsi="Arial" w:cs="Arial"/>
                                  <w:sz w:val="18"/>
                                </w:rPr>
                                <w:t xml:space="preserve">c) quando riconosce che la sentenza impugnata, erroneamente giudicando, </w:t>
                              </w:r>
                            </w:p>
                          </w:txbxContent>
                        </wps:txbx>
                        <wps:bodyPr horzOverflow="overflow" vert="horz" lIns="0" tIns="0" rIns="0" bIns="0" rtlCol="0">
                          <a:noAutofit/>
                        </wps:bodyPr>
                      </wps:wsp>
                      <wps:wsp>
                        <wps:cNvPr id="15060" name="Rectangle 15060"/>
                        <wps:cNvSpPr/>
                        <wps:spPr>
                          <a:xfrm rot="-10799999">
                            <a:off x="-1317215" y="1083932"/>
                            <a:ext cx="5309021" cy="142889"/>
                          </a:xfrm>
                          <a:prstGeom prst="rect">
                            <a:avLst/>
                          </a:prstGeom>
                          <a:ln>
                            <a:noFill/>
                          </a:ln>
                        </wps:spPr>
                        <wps:txbx>
                          <w:txbxContent>
                            <w:p w14:paraId="65273E64" w14:textId="77777777" w:rsidR="00B32EF2" w:rsidRDefault="00000000">
                              <w:r>
                                <w:rPr>
                                  <w:rFonts w:ascii="Arial" w:eastAsia="Arial" w:hAnsi="Arial" w:cs="Arial"/>
                                  <w:sz w:val="18"/>
                                </w:rPr>
                                <w:t xml:space="preserve">ha dichiarato estinto il processo in sede di reclamo contro il provvedimento </w:t>
                              </w:r>
                            </w:p>
                          </w:txbxContent>
                        </wps:txbx>
                        <wps:bodyPr horzOverflow="overflow" vert="horz" lIns="0" tIns="0" rIns="0" bIns="0" rtlCol="0">
                          <a:noAutofit/>
                        </wps:bodyPr>
                      </wps:wsp>
                      <wps:wsp>
                        <wps:cNvPr id="15061" name="Rectangle 15061"/>
                        <wps:cNvSpPr/>
                        <wps:spPr>
                          <a:xfrm rot="-10799999">
                            <a:off x="3043923" y="956945"/>
                            <a:ext cx="948568" cy="142889"/>
                          </a:xfrm>
                          <a:prstGeom prst="rect">
                            <a:avLst/>
                          </a:prstGeom>
                          <a:ln>
                            <a:noFill/>
                          </a:ln>
                        </wps:spPr>
                        <wps:txbx>
                          <w:txbxContent>
                            <w:p w14:paraId="422CAE5F" w14:textId="77777777" w:rsidR="00B32EF2" w:rsidRDefault="00000000">
                              <w:r>
                                <w:rPr>
                                  <w:rFonts w:ascii="Arial" w:eastAsia="Arial" w:hAnsi="Arial" w:cs="Arial"/>
                                  <w:sz w:val="18"/>
                                </w:rPr>
                                <w:t>presidenziale;</w:t>
                              </w:r>
                            </w:p>
                          </w:txbxContent>
                        </wps:txbx>
                        <wps:bodyPr horzOverflow="overflow" vert="horz" lIns="0" tIns="0" rIns="0" bIns="0" rtlCol="0">
                          <a:noAutofit/>
                        </wps:bodyPr>
                      </wps:wsp>
                      <wps:wsp>
                        <wps:cNvPr id="15062" name="Rectangle 15062"/>
                        <wps:cNvSpPr/>
                        <wps:spPr>
                          <a:xfrm rot="-10799999">
                            <a:off x="-1317215" y="829958"/>
                            <a:ext cx="5309021" cy="142889"/>
                          </a:xfrm>
                          <a:prstGeom prst="rect">
                            <a:avLst/>
                          </a:prstGeom>
                          <a:ln>
                            <a:noFill/>
                          </a:ln>
                        </wps:spPr>
                        <wps:txbx>
                          <w:txbxContent>
                            <w:p w14:paraId="3D1BE63B" w14:textId="77777777" w:rsidR="00B32EF2" w:rsidRDefault="00000000">
                              <w:r>
                                <w:rPr>
                                  <w:rFonts w:ascii="Arial" w:eastAsia="Arial" w:hAnsi="Arial" w:cs="Arial"/>
                                  <w:sz w:val="18"/>
                                </w:rPr>
                                <w:t xml:space="preserve">d) quando riconosce che il collegio della corte di giustizia tributaria di primo </w:t>
                              </w:r>
                            </w:p>
                          </w:txbxContent>
                        </wps:txbx>
                        <wps:bodyPr horzOverflow="overflow" vert="horz" lIns="0" tIns="0" rIns="0" bIns="0" rtlCol="0">
                          <a:noAutofit/>
                        </wps:bodyPr>
                      </wps:wsp>
                      <wps:wsp>
                        <wps:cNvPr id="15063" name="Rectangle 15063"/>
                        <wps:cNvSpPr/>
                        <wps:spPr>
                          <a:xfrm rot="-10799999">
                            <a:off x="1240231" y="702971"/>
                            <a:ext cx="2751575" cy="142889"/>
                          </a:xfrm>
                          <a:prstGeom prst="rect">
                            <a:avLst/>
                          </a:prstGeom>
                          <a:ln>
                            <a:noFill/>
                          </a:ln>
                        </wps:spPr>
                        <wps:txbx>
                          <w:txbxContent>
                            <w:p w14:paraId="555F0FD8" w14:textId="77777777" w:rsidR="00B32EF2" w:rsidRDefault="00000000">
                              <w:r>
                                <w:rPr>
                                  <w:rFonts w:ascii="Arial" w:eastAsia="Arial" w:hAnsi="Arial" w:cs="Arial"/>
                                  <w:sz w:val="18"/>
                                </w:rPr>
                                <w:t>grado non era legittimamente composto;</w:t>
                              </w:r>
                            </w:p>
                          </w:txbxContent>
                        </wps:txbx>
                        <wps:bodyPr horzOverflow="overflow" vert="horz" lIns="0" tIns="0" rIns="0" bIns="0" rtlCol="0">
                          <a:noAutofit/>
                        </wps:bodyPr>
                      </wps:wsp>
                      <wps:wsp>
                        <wps:cNvPr id="15064" name="Rectangle 15064"/>
                        <wps:cNvSpPr/>
                        <wps:spPr>
                          <a:xfrm rot="-10799999">
                            <a:off x="-1273064" y="575983"/>
                            <a:ext cx="5260299" cy="142889"/>
                          </a:xfrm>
                          <a:prstGeom prst="rect">
                            <a:avLst/>
                          </a:prstGeom>
                          <a:ln>
                            <a:noFill/>
                          </a:ln>
                        </wps:spPr>
                        <wps:txbx>
                          <w:txbxContent>
                            <w:p w14:paraId="1B8B1955" w14:textId="77777777" w:rsidR="00B32EF2" w:rsidRDefault="00000000">
                              <w:r>
                                <w:rPr>
                                  <w:rFonts w:ascii="Arial" w:eastAsia="Arial" w:hAnsi="Arial" w:cs="Arial"/>
                                  <w:sz w:val="18"/>
                                </w:rPr>
                                <w:t>e) quando manca la sottoscrizione della sentenza da parte del giudice di primo grado.</w:t>
                              </w:r>
                            </w:p>
                          </w:txbxContent>
                        </wps:txbx>
                        <wps:bodyPr horzOverflow="overflow" vert="horz" lIns="0" tIns="0" rIns="0" bIns="0" rtlCol="0">
                          <a:noAutofit/>
                        </wps:bodyPr>
                      </wps:wsp>
                      <wps:wsp>
                        <wps:cNvPr id="199900" name="Rectangle 199900"/>
                        <wps:cNvSpPr/>
                        <wps:spPr>
                          <a:xfrm rot="-10799999">
                            <a:off x="-1285178" y="448996"/>
                            <a:ext cx="5212427" cy="142889"/>
                          </a:xfrm>
                          <a:prstGeom prst="rect">
                            <a:avLst/>
                          </a:prstGeom>
                          <a:ln>
                            <a:noFill/>
                          </a:ln>
                        </wps:spPr>
                        <wps:txbx>
                          <w:txbxContent>
                            <w:p w14:paraId="36EDD454" w14:textId="77777777" w:rsidR="00B32EF2" w:rsidRDefault="00000000">
                              <w:r>
                                <w:rPr>
                                  <w:rFonts w:ascii="Arial" w:eastAsia="Arial" w:hAnsi="Arial" w:cs="Arial"/>
                                  <w:sz w:val="18"/>
                                </w:rPr>
                                <w:t>. Al di fuori dei casi previsti al comma 1 la corte di giustizia tributaria di secon</w:t>
                              </w:r>
                            </w:p>
                          </w:txbxContent>
                        </wps:txbx>
                        <wps:bodyPr horzOverflow="overflow" vert="horz" lIns="0" tIns="0" rIns="0" bIns="0" rtlCol="0">
                          <a:noAutofit/>
                        </wps:bodyPr>
                      </wps:wsp>
                      <wps:wsp>
                        <wps:cNvPr id="199898" name="Rectangle 199898"/>
                        <wps:cNvSpPr/>
                        <wps:spPr>
                          <a:xfrm rot="-10799999">
                            <a:off x="2634945" y="448996"/>
                            <a:ext cx="5212427" cy="142889"/>
                          </a:xfrm>
                          <a:prstGeom prst="rect">
                            <a:avLst/>
                          </a:prstGeom>
                          <a:ln>
                            <a:noFill/>
                          </a:ln>
                        </wps:spPr>
                        <wps:txbx>
                          <w:txbxContent>
                            <w:p w14:paraId="1BF29BD6"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5066" name="Rectangle 15066"/>
                        <wps:cNvSpPr/>
                        <wps:spPr>
                          <a:xfrm rot="-10799999">
                            <a:off x="19207" y="448996"/>
                            <a:ext cx="50622" cy="142889"/>
                          </a:xfrm>
                          <a:prstGeom prst="rect">
                            <a:avLst/>
                          </a:prstGeom>
                          <a:ln>
                            <a:noFill/>
                          </a:ln>
                        </wps:spPr>
                        <wps:txbx>
                          <w:txbxContent>
                            <w:p w14:paraId="55C31483" w14:textId="77777777" w:rsidR="00B32EF2" w:rsidRDefault="00000000">
                              <w:r>
                                <w:rPr>
                                  <w:rFonts w:ascii="Arial" w:eastAsia="Arial" w:hAnsi="Arial" w:cs="Arial"/>
                                  <w:sz w:val="18"/>
                                </w:rPr>
                                <w:t>-</w:t>
                              </w:r>
                            </w:p>
                          </w:txbxContent>
                        </wps:txbx>
                        <wps:bodyPr horzOverflow="overflow" vert="horz" lIns="0" tIns="0" rIns="0" bIns="0" rtlCol="0">
                          <a:noAutofit/>
                        </wps:bodyPr>
                      </wps:wsp>
                    </wpg:wgp>
                  </a:graphicData>
                </a:graphic>
              </wp:inline>
            </w:drawing>
          </mc:Choice>
          <mc:Fallback>
            <w:pict>
              <v:group w14:anchorId="19AFF194" id="Group 199936" o:spid="_x0000_s1672" style="width:314.3pt;height:493.15pt;mso-position-horizontal-relative:char;mso-position-vertical-relative:line" coordsize="39918,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JBoIgoAABx5AAAOAAAAZHJzL2Uyb0RvYy54bWzkXe2O27YW/H+BvoPh/xuLnxKNbIqiH0GB&#10;4qa4vX0AxWvvGrAtQ3aymz5955AStbaZFqUK0wCLYuOlE1nmcA7nDA+pt9++bDeTz8v2sG5291P2&#10;pphOlrtF87DePd5Pf///T3fVdHI41ruHetPslvfTL8vD9Nt33/zn7fN+vuTNU7N5WLYTXGR3mD/v&#10;76dPx+N+PpsdFk/LbX140+yXO7y5atptfcSv7ePsoa2fcfXtZsaLQs+em/Zh3zaL5eGA1h/cm9N3&#10;9vqr1XJx/LBaHZbHyeZ+ins72p+t/fmRfs7eva3nj229f1ovutuoI+5iW693+FB/qR/qYz351K4v&#10;LrVdL9rm0KyObxbNdtasVuvF0n4HfBtWnH2b923zaW+/y+P8+XHvuwlde9ZP0Zdd/Pfz+3b/2/7X&#10;Fj3xvH9EX9jf6Lu8rNot/Ym7nLzYLvviu2z5cpws0CiMYVWhppMF3tNc80pJ16mLJ/T8xb9bPP34&#10;N/9y1n/w7OR2nvcYIIehDw7j+uC3p3q/tF17mKMPfm0n6weMX1UwPp3s6i2G6v8weOrd42Y5cc22&#10;g+zf9t11mB/Qc31fTdoG4+uOFaWh/+x46PqOmaKQHAMQvXSnOX51ndR3IysroY3rRa4KLTW977ui&#10;nu/bw/H9stlO6MX9tMW92evXn385HN1f7f8K3c5mRz93zU/rzca9Sy3o0f6O6dXx5eOL/dqaKfo4&#10;avvYPHxBZzw17R8fQOvVpnm+nzbdqykxHZ9O704nm593AIFI1b9o+xcf+xftcfN9Y6nn7ue7T8dm&#10;tbY3PHxad2NA193DVWCWYZjt4KVbw6D45zDfMcFKLh3OmjFjdMeGHmglisqUHV+Y5JUbCddD2g6s&#10;oe8zQBqdHSK0H/JxSJdSGI1YAUIrwKzFGdCyFEqb0lHaAs2uS+kyL0oj4AZDt2vvolsU1BzYKoNR&#10;RFBXpRCY7nC9eu45zZlQSgxQV+a6UFf5QY3eviA1QS36roiC+o5Bv9iJ+GaxtkMrq/iNGHoBNXSa&#10;j29RSDMMFf0XlC40R3AnUUux+8qEhlDMTY4hTQyB7CNbFMhOjpXM4VxKY0orf16FblFAmb+SY9dG&#10;2oqCrOiMLCeEtI9rUUgrYVSBOYHCNrLQLn8acMYMzrmALk/FaJ4Xo2kqBu0ugHbtY9QYOF2x0nRY&#10;A3TBbo3TXoPkkUwTpmBWEGs/kUWxmmtWWFVPtL5JqL1dkAfUquAhVtvmcaSGJYb/XQAX8M8qK++G&#10;AK44hkLCHIt7uyAbpMNGKGTxGKRJd3eptIX5PHan1d3ZmWM8lEeDzn4Ki4rbTnerLr/iSmt1Tmey&#10;QWF9JtNjPnvMhs5hw5v7GWwE0n2GxYQQ/BJpZFgYCqmUt08hs0E6bHgPM1gU0kwbWYlOdgNQIWzG&#10;NszQnBttCsiDVED7DDIPoCG7i5Br4trHzNFcVVjQgO0G2S3hfTHnRw1QQ4xVwnMai5lY0MIHXm0R&#10;C4l89/3ygTpkmxDUftRHsRozNZapYHrdLtbZOWSYQS+TaWgyL1mikOaMS4SLr1FagtK9DUqEtrLg&#10;eoT2SUUehAaaodBtm8dEbhLeuLSbpWWJQhNle/ZV6BYFCo3w4XaWThC6fWaRDdKhyA2kRwduIF26&#10;ShOphWLVWQECKk1QIPea01eepH1mkQvStL5w4YLCtvRqJSpwO05LZ5pIVVQgNcmfE04zU/XJdAJO&#10;Z+eNibALiubx0btHGsscXF4m02mRzs4gE2EXFM3/HtJcSV6eZdOI3mmR9mozm+gdtkJhefx7SDNe&#10;CqyL3lb0zs4gQ6lmcJ72giVyniYHjJIoyrGKohDyXHtzDi8cwyyV9vaSMxtOA42QIvOCJQrpV6m0&#10;hdlGiEGOpU2lUXzexatsQMbiQghkr1WiQLayG6tUls6Cyn6dJzLgbBMsmY7O0qvNbJAOO2PCa5V4&#10;pHknu4GylrC2b2qKdhNJTlWCImyPoXmMGENqzCty3jBDC82MdNcbKM0LLHecLGxc1wdFNMkteIfd&#10;Mbe4SCM+ktJcoOjAFSAIaZBI22lxQBrloCgUTeeDSi82cwnetCsuME0PeiUK6UGLBWFOrMW8zswG&#10;5LAxNkiVKJCxLYcbUbplDSE0akEvU6uCEd8TpVZuv25OMzQ0SZDO44yxV3S2MJ95JYnp7HVmNnQO&#10;e2KDTImkM3bdlFjFsDqMC2y5O0uhkVoV0iScnb3OzANpKiQJZdGufYzk5gphGUdCWKgZo18ucqtC&#10;kiOXKnJnZooRpKE02rWPgfqOSW1oH/zNYq2y88bI1QiJbi9M4wO4RmkJIc1Nhe3xlwuVSVmtsvPG&#10;oECDSI91QbFrUncFRdgbj5Ki84VKLGowWiVNFL9dgVNWyjsUvlXhagWiLZNBeTuYrQIa/JK0yhsb&#10;vzLzxahWMxS4vTCNC9xcQHdj/FDcLsFsfWaLSY5KBJhvA5uva4C6w8OyYnPYAJVelkYBDSkmRSfF&#10;YH4K1IKeyu4KB45hknQ4X/+EC+UFSD4JVkiKker2XRGHNNOsoqPjiNIC56Kc14zZZQ4skSWD2iuQ&#10;fKAOFZgQ1N70j4L6jmvUf3aq++tQ9y5oAlZnZpARpCGHzLWPyaUhqqGq3UrlbbLaC5E8WK0Kmi0D&#10;imzINOM4XeLIMdqFTeGbc42zTU4nanhjhUJtf7Lw7YVIHkATd0NLG659DKdRUVRqQVAS1gXOuHA7&#10;A4YkC7Z30r3SLhvIR30TpiFWu/YxWNuTa3rb5OtQQxJa2+T6U7XOziCjw2NC8dtbC3Hx2574yxyp&#10;mSl5dVH1S6SmY3NSIe1XZPMI4JipQ/LbNo+hNI59dSedI3pjs52qUG6A6w3R28iiKvpdWAkY7Qdy&#10;NjiHMmrgPC6hpsLfUnZLlqxkVaXPvFCFTbaShH8qRvs0Mhukw4sbjoHRlje2WFljjPQYU3iOQXVW&#10;boJNlaJKl067pfJ85BioG17acKdHReNsGU27Zi3QcEYrYxk0hG4rvFPO0Zl5ZEA6vL6B5jFzNOOK&#10;K+XMUJxsUlKpw8kcjUUPFAMnpHRmDhmADq9voHkM0I7SWNSwlKazIXF45AnSltJVvy4NOXblB204&#10;0ZBT8IZ7EEqwBlNhTILVBe+iEsbtvb6h4O2Hci5yDOZBEGnvKUQhLVAxZDor1ODZKahdOmE0zp/D&#10;UVXJVLfbQZIVoUM+KB5O5Q2FKJhP1FjFjXFz/u3wGadZdlNTNnwOW2PYqj5mjsbxJThIFqEC6VWJ&#10;845cvw448xK1wa8fhXXlZy+Ufhxng3PYGHPPKBuRXtlSImeBAlCsa5wGbsU14IcOTOSXYONQVoSm&#10;5YuQFnPtYyhtn4+EZxVaTkvk0ebMA8XJoByH2aSDOjNrDIuItE3mYl3DtY+Bmp56RhKMovdNIu1d&#10;3myid9gE1d47ipJjeO4C7Qf5GspJz+N3RYu3ILnts2jxCF57yHH3uGB6xu/r3+1jTIeHGr/7EwAA&#10;//8DAFBLAwQUAAYACAAAACEAGA0GbN0AAAAFAQAADwAAAGRycy9kb3ducmV2LnhtbEyPQUvDQBCF&#10;74L/YRnBm92kxRDTbEop6qkItoL0Ns1Ok9DsbMhuk/Tfu3qpl4HHe7z3Tb6aTCsG6l1jWUE8i0AQ&#10;l1Y3XCn42r89pSCcR9bYWiYFV3KwKu7vcsy0HfmThp2vRChhl6GC2vsuk9KVNRl0M9sRB+9ke4M+&#10;yL6SuscxlJtWzqMokQYbDgs1drSpqTzvLkbB+4jjehG/DtvzaXM97J8/vrcxKfX4MK2XIDxN/haG&#10;X/yADkVgOtoLaydaBeER/3eDl8zTBMRRwUuaLEAWufxPX/wAAAD//wMAUEsBAi0AFAAGAAgAAAAh&#10;ALaDOJL+AAAA4QEAABMAAAAAAAAAAAAAAAAAAAAAAFtDb250ZW50X1R5cGVzXS54bWxQSwECLQAU&#10;AAYACAAAACEAOP0h/9YAAACUAQAACwAAAAAAAAAAAAAAAAAvAQAAX3JlbHMvLnJlbHNQSwECLQAU&#10;AAYACAAAACEABQiQaCIKAAAceQAADgAAAAAAAAAAAAAAAAAuAgAAZHJzL2Uyb0RvYy54bWxQSwEC&#10;LQAUAAYACAAAACEAGA0GbN0AAAAFAQAADwAAAAAAAAAAAAAAAAB8DAAAZHJzL2Rvd25yZXYueG1s&#10;UEsFBgAAAAAEAAQA8wAAAIYNAAAAAA==&#10;">
                <v:rect id="Rectangle 15012" o:spid="_x0000_s1673" style="position:absolute;left:19004;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tDewwAAAN4AAAAPAAAAZHJzL2Rvd25yZXYueG1sRE9Li8Iw&#10;EL4L+x/CLHjTVMFFukYRRexhL+sDPA7N2HZtJqGJtuuvN4LgbT6+58wWnanFjRpfWVYwGiYgiHOr&#10;Ky4UHPabwRSED8gaa8uk4J88LOYfvRmm2rb8S7ddKEQMYZ+igjIEl0rp85IM+qF1xJE728ZgiLAp&#10;pG6wjeGmluMk+ZIGK44NJTpalZRfdlej4LRml21amZ/vK/fzl03r7fVwVKr/2S2/QQTqwlv8cmc6&#10;zp8kozE834k3yPkDAAD//wMAUEsBAi0AFAAGAAgAAAAhANvh9svuAAAAhQEAABMAAAAAAAAAAAAA&#10;AAAAAAAAAFtDb250ZW50X1R5cGVzXS54bWxQSwECLQAUAAYACAAAACEAWvQsW78AAAAVAQAACwAA&#10;AAAAAAAAAAAAAAAfAQAAX3JlbHMvLnJlbHNQSwECLQAUAAYACAAAACEANPbQ3sMAAADeAAAADwAA&#10;AAAAAAAAAAAAAAAHAgAAZHJzL2Rvd25yZXYueG1sUEsFBgAAAAADAAMAtwAAAPcCAAAAAA==&#10;" filled="f" stroked="f">
                  <v:textbox inset="0,0,0,0">
                    <w:txbxContent>
                      <w:p w14:paraId="39A682A2" w14:textId="77777777" w:rsidR="00B32EF2" w:rsidRDefault="00000000">
                        <w:r>
                          <w:rPr>
                            <w:rFonts w:ascii="Times New Roman" w:eastAsia="Times New Roman" w:hAnsi="Times New Roman" w:cs="Times New Roman"/>
                          </w:rPr>
                          <w:t>96</w:t>
                        </w:r>
                      </w:p>
                    </w:txbxContent>
                  </v:textbox>
                </v:rect>
                <v:rect id="Rectangle 15014" o:spid="_x0000_s1674" style="position:absolute;left:-13172;top:61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0xxAAAAN4AAAAPAAAAZHJzL2Rvd25yZXYueG1sRE9Na8JA&#10;EL0X+h+WKXirG4sWia4iFjGHXtQUehyyYxLNzi7Z1cT+elcoeJvH+5z5sjeNuFLra8sKRsMEBHFh&#10;dc2lgvyweZ+C8AFZY2OZFNzIw3Lx+jLHVNuOd3Tdh1LEEPYpKqhCcKmUvqjIoB9aRxy5o20Nhgjb&#10;UuoWuxhuGvmRJJ/SYM2xoUJH64qK8/5iFPx+scs2nSyOf2v3fcqmzfaS/yg1eOtXMxCB+vAU/7sz&#10;HedPktEYHu/EG+TiDgAA//8DAFBLAQItABQABgAIAAAAIQDb4fbL7gAAAIUBAAATAAAAAAAAAAAA&#10;AAAAAAAAAABbQ29udGVudF9UeXBlc10ueG1sUEsBAi0AFAAGAAgAAAAhAFr0LFu/AAAAFQEAAAsA&#10;AAAAAAAAAAAAAAAAHwEAAF9yZWxzLy5yZWxzUEsBAi0AFAAGAAgAAAAhANRT7THEAAAA3gAAAA8A&#10;AAAAAAAAAAAAAAAABwIAAGRycy9kb3ducmV2LnhtbFBLBQYAAAAAAwADALcAAAD4AgAAAAA=&#10;" filled="f" stroked="f">
                  <v:textbox inset="0,0,0,0">
                    <w:txbxContent>
                      <w:p w14:paraId="263A5698" w14:textId="77777777" w:rsidR="00B32EF2" w:rsidRDefault="00000000">
                        <w:r>
                          <w:rPr>
                            <w:rFonts w:ascii="Arial" w:eastAsia="Arial" w:hAnsi="Arial" w:cs="Arial"/>
                            <w:sz w:val="18"/>
                          </w:rPr>
                          <w:t xml:space="preserve">cisione della causa ovvero che la parte dimostri di non aver potuto proporli o </w:t>
                        </w:r>
                      </w:p>
                    </w:txbxContent>
                  </v:textbox>
                </v:rect>
                <v:rect id="Rectangle 15015" o:spid="_x0000_s1675" style="position:absolute;left:-7439;top:59966;width:473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0iqxQAAAN4AAAAPAAAAZHJzL2Rvd25yZXYueG1sRE9Na8JA&#10;EL0L/odlhN50YyESoqsUizSHXkwt9DhkxyQ2O7tk1yTtr+8WCr3N433O7jCZTgzU+9aygvUqAUFc&#10;Wd1yreDydlpmIHxA1thZJgVf5OGwn892mGs78pmGMtQihrDPUUETgsul9FVDBv3KOuLIXW1vMETY&#10;11L3OMZw08nHJNlIgy3HhgYdHRuqPsu7UfDxzK44jbK6fh/d663Iupf75V2ph8X0tAURaAr/4j93&#10;oeP8NFmn8PtOvEHufwAAAP//AwBQSwECLQAUAAYACAAAACEA2+H2y+4AAACFAQAAEwAAAAAAAAAA&#10;AAAAAAAAAAAAW0NvbnRlbnRfVHlwZXNdLnhtbFBLAQItABQABgAIAAAAIQBa9CxbvwAAABUBAAAL&#10;AAAAAAAAAAAAAAAAAB8BAABfcmVscy8ucmVsc1BLAQItABQABgAIAAAAIQC7H0iqxQAAAN4AAAAP&#10;AAAAAAAAAAAAAAAAAAcCAABkcnMvZG93bnJldi54bWxQSwUGAAAAAAMAAwC3AAAA+QIAAAAA&#10;" filled="f" stroked="f">
                  <v:textbox inset="0,0,0,0">
                    <w:txbxContent>
                      <w:p w14:paraId="7ABA3319" w14:textId="77777777" w:rsidR="00B32EF2" w:rsidRDefault="00000000">
                        <w:r>
                          <w:rPr>
                            <w:rFonts w:ascii="Arial" w:eastAsia="Arial" w:hAnsi="Arial" w:cs="Arial"/>
                            <w:sz w:val="18"/>
                          </w:rPr>
                          <w:t>produrli nel giudizio di primo grado per causa ad essa non imputabile.</w:t>
                        </w:r>
                      </w:p>
                    </w:txbxContent>
                  </v:textbox>
                </v:rect>
                <v:rect id="Rectangle 199912" o:spid="_x0000_s1676" style="position:absolute;left:26345;top:58733;width:5213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kQxAAAAN8AAAAPAAAAZHJzL2Rvd25yZXYueG1sRE/LisIw&#10;FN0P+A/hDrgbU10MthplUGS6cDM+wOWlubadaW5CE2316yeC4PJw3vNlbxpxpdbXlhWMRwkI4sLq&#10;mksFh/3mYwrCB2SNjWVScCMPy8XgbY6Zth3/0HUXShFD2GeooArBZVL6oiKDfmQdceTOtjUYImxL&#10;qVvsYrhp5CRJPqXBmmNDhY5WFRV/u4tRcFqzyzedLM73ldv+5tPm+3I4KjV8779mIAL14SV+unMd&#10;56dpOp7A408EIBf/AAAA//8DAFBLAQItABQABgAIAAAAIQDb4fbL7gAAAIUBAAATAAAAAAAAAAAA&#10;AAAAAAAAAABbQ29udGVudF9UeXBlc10ueG1sUEsBAi0AFAAGAAgAAAAhAFr0LFu/AAAAFQEAAAsA&#10;AAAAAAAAAAAAAAAAHwEAAF9yZWxzLy5yZWxzUEsBAi0AFAAGAAgAAAAhADCUqRDEAAAA3wAAAA8A&#10;AAAAAAAAAAAAAAAABwIAAGRycy9kb3ducmV2LnhtbFBLBQYAAAAAAwADALcAAAD4AgAAAAA=&#10;" filled="f" stroked="f">
                  <v:textbox inset="0,0,0,0">
                    <w:txbxContent>
                      <w:p w14:paraId="4F1DBC4C" w14:textId="77777777" w:rsidR="00B32EF2" w:rsidRDefault="00000000">
                        <w:r>
                          <w:rPr>
                            <w:rFonts w:ascii="Arial" w:eastAsia="Arial" w:hAnsi="Arial" w:cs="Arial"/>
                            <w:sz w:val="18"/>
                          </w:rPr>
                          <w:t>2</w:t>
                        </w:r>
                      </w:p>
                    </w:txbxContent>
                  </v:textbox>
                </v:rect>
                <v:rect id="Rectangle 199913" o:spid="_x0000_s1677" style="position:absolute;left:-12853;top:58733;width:5213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AyLxAAAAN8AAAAPAAAAZHJzL2Rvd25yZXYueG1sRE/LasJA&#10;FN0X/IfhCu7qxArFREcRRZpFN/UBLi+ZaxLN3Bkyo0n79Z1CweXhvBer3jTiQa2vLSuYjBMQxIXV&#10;NZcKjofd6wyED8gaG8uk4Js8rJaDlwVm2nb8RY99KEUMYZ+hgioEl0npi4oM+rF1xJG72NZgiLAt&#10;pW6xi+GmkW9J8i4N1hwbKnS0qai47e9GwXnLLt91srj8bNznNZ81H/fjSanRsF/PQQTqw1P87851&#10;nJ+m6WQKf38iALn8BQAA//8DAFBLAQItABQABgAIAAAAIQDb4fbL7gAAAIUBAAATAAAAAAAAAAAA&#10;AAAAAAAAAABbQ29udGVudF9UeXBlc10ueG1sUEsBAi0AFAAGAAgAAAAhAFr0LFu/AAAAFQEAAAsA&#10;AAAAAAAAAAAAAAAAHwEAAF9yZWxzLy5yZWxzUEsBAi0AFAAGAAgAAAAhAF/YDIvEAAAA3wAAAA8A&#10;AAAAAAAAAAAAAAAABwIAAGRycy9kb3ducmV2LnhtbFBLBQYAAAAAAwADALcAAAD4AgAAAAA=&#10;" filled="f" stroked="f">
                  <v:textbox inset="0,0,0,0">
                    <w:txbxContent>
                      <w:p w14:paraId="6067063C" w14:textId="77777777" w:rsidR="00B32EF2" w:rsidRDefault="00000000">
                        <w:r>
                          <w:rPr>
                            <w:rFonts w:ascii="Arial" w:eastAsia="Arial" w:hAnsi="Arial" w:cs="Arial"/>
                            <w:sz w:val="18"/>
                          </w:rPr>
                          <w:t>. Possono essere proposti motivi aggiunti qualora la parte venga a conoscen</w:t>
                        </w:r>
                      </w:p>
                    </w:txbxContent>
                  </v:textbox>
                </v:rect>
                <v:rect id="Rectangle 15017" o:spid="_x0000_s1678" style="position:absolute;left:191;top:58733;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XNGxAAAAN4AAAAPAAAAZHJzL2Rvd25yZXYueG1sRE9Na8JA&#10;EL0X+h+WKXirGwtaia4iFjGHXtQUehyyYxLNzi7Z1cT+elcoeJvH+5z5sjeNuFLra8sKRsMEBHFh&#10;dc2lgvyweZ+C8AFZY2OZFNzIw3Lx+jLHVNuOd3Tdh1LEEPYpKqhCcKmUvqjIoB9aRxy5o20Nhgjb&#10;UuoWuxhuGvmRJBNpsObYUKGjdUXFeX8xCn6/2GWbThbHv7X7PmXTZnvJf5QavPWrGYhAfXiK/92Z&#10;jvPHyegTHu/EG+TiDgAA//8DAFBLAQItABQABgAIAAAAIQDb4fbL7gAAAIUBAAATAAAAAAAAAAAA&#10;AAAAAAAAAABbQ29udGVudF9UeXBlc10ueG1sUEsBAi0AFAAGAAgAAAAhAFr0LFu/AAAAFQEAAAsA&#10;AAAAAAAAAAAAAAAAHwEAAF9yZWxzLy5yZWxzUEsBAi0AFAAGAAgAAAAhACSBc0bEAAAA3gAAAA8A&#10;AAAAAAAAAAAAAAAABwIAAGRycy9kb3ducmV2LnhtbFBLBQYAAAAAAwADALcAAAD4AgAAAAA=&#10;" filled="f" stroked="f">
                  <v:textbox inset="0,0,0,0">
                    <w:txbxContent>
                      <w:p w14:paraId="6CBFD3D2" w14:textId="77777777" w:rsidR="00B32EF2" w:rsidRDefault="00000000">
                        <w:r>
                          <w:rPr>
                            <w:rFonts w:ascii="Arial" w:eastAsia="Arial" w:hAnsi="Arial" w:cs="Arial"/>
                            <w:sz w:val="18"/>
                          </w:rPr>
                          <w:t>-</w:t>
                        </w:r>
                      </w:p>
                    </w:txbxContent>
                  </v:textbox>
                </v:rect>
                <v:rect id="Rectangle 15018" o:spid="_x0000_s1679" style="position:absolute;left:-13172;top:57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uc0xwAAAN4AAAAPAAAAZHJzL2Rvd25yZXYueG1sRI9Ba8JA&#10;EIXvhf6HZQre6saCIqmriEXMoZeqhR6H7JikZmeX7Gpif33nIHib4b1575vFanCtulIXG88GJuMM&#10;FHHpbcOVgeNh+zoHFROyxdYzGbhRhNXy+WmBufU9f9F1nyolIRxzNFCnFHKtY1mTwzj2gVi0k+8c&#10;Jlm7StsOewl3rX7Lspl22LA01BhoU1N53l+cgZ8PDsW21+XpbxM+f4t5u7scv40ZvQzrd1CJhvQw&#10;368LK/jTbCK88o7MoJf/AAAA//8DAFBLAQItABQABgAIAAAAIQDb4fbL7gAAAIUBAAATAAAAAAAA&#10;AAAAAAAAAAAAAABbQ29udGVudF9UeXBlc10ueG1sUEsBAi0AFAAGAAgAAAAhAFr0LFu/AAAAFQEA&#10;AAsAAAAAAAAAAAAAAAAAHwEAAF9yZWxzLy5yZWxzUEsBAi0AFAAGAAgAAAAhAFUe5zTHAAAA3gAA&#10;AA8AAAAAAAAAAAAAAAAABwIAAGRycy9kb3ducmV2LnhtbFBLBQYAAAAAAwADALcAAAD7AgAAAAA=&#10;" filled="f" stroked="f">
                  <v:textbox inset="0,0,0,0">
                    <w:txbxContent>
                      <w:p w14:paraId="00A38BBC" w14:textId="77777777" w:rsidR="00B32EF2" w:rsidRDefault="00000000">
                        <w:r>
                          <w:rPr>
                            <w:rFonts w:ascii="Arial" w:eastAsia="Arial" w:hAnsi="Arial" w:cs="Arial"/>
                            <w:sz w:val="18"/>
                          </w:rPr>
                          <w:t xml:space="preserve">za di documenti, non prodotti dalle altre parti nel giudizio di primo grado, da cui </w:t>
                        </w:r>
                      </w:p>
                    </w:txbxContent>
                  </v:textbox>
                </v:rect>
                <v:rect id="Rectangle 15019" o:spid="_x0000_s1680" style="position:absolute;left:5395;top:56266;width:345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kKvxQAAAN4AAAAPAAAAZHJzL2Rvd25yZXYueG1sRE9La8JA&#10;EL4X+h+WKfSmGwsWjW5ELGIOvVRT6HHITh6anV2yq0n767sFobf5+J6z3oymEzfqfWtZwWyagCAu&#10;rW65VlCc9pMFCB+QNXaWScE3edhkjw9rTLUd+INux1CLGMI+RQVNCC6V0pcNGfRT64gjV9neYIiw&#10;r6XucYjhppMvSfIqDbYcGxp0tGuovByvRsHXG7t8P8iy+tm593O+6A7X4lOp56dxuwIRaAz/4rs7&#10;13H+PJkt4e+deIPMfgEAAP//AwBQSwECLQAUAAYACAAAACEA2+H2y+4AAACFAQAAEwAAAAAAAAAA&#10;AAAAAAAAAAAAW0NvbnRlbnRfVHlwZXNdLnhtbFBLAQItABQABgAIAAAAIQBa9CxbvwAAABUBAAAL&#10;AAAAAAAAAAAAAAAAAB8BAABfcmVscy8ucmVsc1BLAQItABQABgAIAAAAIQA6UkKvxQAAAN4AAAAP&#10;AAAAAAAAAAAAAAAAAAcCAABkcnMvZG93bnJldi54bWxQSwUGAAAAAAMAAwC3AAAA+QIAAAAA&#10;" filled="f" stroked="f">
                  <v:textbox inset="0,0,0,0">
                    <w:txbxContent>
                      <w:p w14:paraId="7BEB51B2" w14:textId="77777777" w:rsidR="00B32EF2" w:rsidRDefault="00000000">
                        <w:r>
                          <w:rPr>
                            <w:rFonts w:ascii="Arial" w:eastAsia="Arial" w:hAnsi="Arial" w:cs="Arial"/>
                            <w:sz w:val="18"/>
                          </w:rPr>
                          <w:t>emergano vizi degli atti o provvedimenti impugnati.</w:t>
                        </w:r>
                      </w:p>
                    </w:txbxContent>
                  </v:textbox>
                </v:rect>
                <v:rect id="Rectangle 199911" o:spid="_x0000_s1681" style="position:absolute;left:-13817;top:550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jdnxAAAAN8AAAAPAAAAZHJzL2Rvd25yZXYueG1sRE/Pa8Iw&#10;FL4P9j+EN/A203oYtjOKKLIevOgc7Phonm1n8xKaaKt/vRGEHT++37PFYFpxoc43lhWk4wQEcWl1&#10;w5WCw/fmfQrCB2SNrWVScCUPi/nrywxzbXve0WUfKhFD2OeooA7B5VL6siaDfmwdceSOtjMYIuwq&#10;qTvsY7hp5SRJPqTBhmNDjY5WNZWn/dko+F2zKza9LI+3ldv+FdP263z4UWr0Niw/QQQawr/46S50&#10;nJ9lWZrC408EIOd3AAAA//8DAFBLAQItABQABgAIAAAAIQDb4fbL7gAAAIUBAAATAAAAAAAAAAAA&#10;AAAAAAAAAABbQ29udGVudF9UeXBlc10ueG1sUEsBAi0AFAAGAAgAAAAhAFr0LFu/AAAAFQEAAAsA&#10;AAAAAAAAAAAAAAAAHwEAAF9yZWxzLy5yZWxzUEsBAi0AFAAGAAgAAAAhAMBGN2fEAAAA3wAAAA8A&#10;AAAAAAAAAAAAAAAABwIAAGRycy9kb3ducmV2LnhtbFBLBQYAAAAAAwADALcAAAD4AgAAAAA=&#10;" filled="f" stroked="f">
                  <v:textbox inset="0,0,0,0">
                    <w:txbxContent>
                      <w:p w14:paraId="51AADB8D" w14:textId="77777777" w:rsidR="00B32EF2" w:rsidRDefault="00000000">
                        <w:r>
                          <w:rPr>
                            <w:rFonts w:ascii="Arial" w:eastAsia="Arial" w:hAnsi="Arial" w:cs="Arial"/>
                            <w:sz w:val="18"/>
                          </w:rPr>
                          <w:t xml:space="preserve">. Non è mai consentito il deposito delle deleghe, delle procure e degli altri atti </w:t>
                        </w:r>
                      </w:p>
                    </w:txbxContent>
                  </v:textbox>
                </v:rect>
                <v:rect id="Rectangle 199910" o:spid="_x0000_s1682" style="position:absolute;left:26109;top:550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pL8xAAAAN8AAAAPAAAAZHJzL2Rvd25yZXYueG1sRE89b8Iw&#10;EN0r8R+sQ+pWHDpUJMUgBELN0KUUpI6n+EgC8dmKDUn763tDpY5P73u5Hl2n7tTH1rOB+SwDRVx5&#10;23Jt4Pi5f1qAignZYueZDHxThPVq8rDEwvqBP+h+SLWSEI4FGmhSCoXWsWrIYZz5QCzc2fcOk8C+&#10;1rbHQcJdp5+z7EU7bFkaGgy0bai6Hm7OwNeOQ7kfdHX+2Yb3S7no3m7HkzGP03HzCirRmP7Ff+7S&#10;yvw8z+fyQP4IAL36BQAA//8DAFBLAQItABQABgAIAAAAIQDb4fbL7gAAAIUBAAATAAAAAAAAAAAA&#10;AAAAAAAAAABbQ29udGVudF9UeXBlc10ueG1sUEsBAi0AFAAGAAgAAAAhAFr0LFu/AAAAFQEAAAsA&#10;AAAAAAAAAAAAAAAAHwEAAF9yZWxzLy5yZWxzUEsBAi0AFAAGAAgAAAAhAK8KkvzEAAAA3wAAAA8A&#10;AAAAAAAAAAAAAAAABwIAAGRycy9kb3ducmV2LnhtbFBLBQYAAAAAAwADALcAAAD4AgAAAAA=&#10;" filled="f" stroked="f">
                  <v:textbox inset="0,0,0,0">
                    <w:txbxContent>
                      <w:p w14:paraId="2ADFE994" w14:textId="77777777" w:rsidR="00B32EF2" w:rsidRDefault="00000000">
                        <w:r>
                          <w:rPr>
                            <w:rFonts w:ascii="Arial" w:eastAsia="Arial" w:hAnsi="Arial" w:cs="Arial"/>
                            <w:sz w:val="18"/>
                          </w:rPr>
                          <w:t>3</w:t>
                        </w:r>
                      </w:p>
                    </w:txbxContent>
                  </v:textbox>
                </v:rect>
                <v:rect id="Rectangle 15021" o:spid="_x0000_s1683" style="position:absolute;left:-12192;top:53799;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QUwwAAAN4AAAAPAAAAZHJzL2Rvd25yZXYueG1sRE9Li8Iw&#10;EL4L+x/CLHjTVMFFukYRRexhL+sDPA7N2HZtJqGJtuuvN4LgbT6+58wWnanFjRpfWVYwGiYgiHOr&#10;Ky4UHPabwRSED8gaa8uk4J88LOYfvRmm2rb8S7ddKEQMYZ+igjIEl0rp85IM+qF1xJE728ZgiLAp&#10;pG6wjeGmluMk+ZIGK44NJTpalZRfdlej4LRml21amZ/vK/fzl03r7fVwVKr/2S2/QQTqwlv8cmc6&#10;zp8k4xE834k3yPkDAAD//wMAUEsBAi0AFAAGAAgAAAAhANvh9svuAAAAhQEAABMAAAAAAAAAAAAA&#10;AAAAAAAAAFtDb250ZW50X1R5cGVzXS54bWxQSwECLQAUAAYACAAAACEAWvQsW78AAAAVAQAACwAA&#10;AAAAAAAAAAAAAAAfAQAAX3JlbHMvLnJlbHNQSwECLQAUAAYACAAAACEACkiEFMMAAADeAAAADwAA&#10;AAAAAAAAAAAAAAAHAgAAZHJzL2Rvd25yZXYueG1sUEsFBgAAAAADAAMAtwAAAPcCAAAAAA==&#10;" filled="f" stroked="f">
                  <v:textbox inset="0,0,0,0">
                    <w:txbxContent>
                      <w:p w14:paraId="786FF6DA" w14:textId="77777777" w:rsidR="00B32EF2" w:rsidRDefault="00000000">
                        <w:r>
                          <w:rPr>
                            <w:rFonts w:ascii="Arial" w:eastAsia="Arial" w:hAnsi="Arial" w:cs="Arial"/>
                            <w:sz w:val="18"/>
                          </w:rPr>
                          <w:t>di conferimento di potere rilevanti ai fini della legittimità della sottoscrizione de</w:t>
                        </w:r>
                      </w:p>
                    </w:txbxContent>
                  </v:textbox>
                </v:rect>
                <v:rect id="Rectangle 15022" o:spid="_x0000_s1684" style="position:absolute;left:191;top:537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hpjxAAAAN4AAAAPAAAAZHJzL2Rvd25yZXYueG1sRE9Na8JA&#10;EL0L/odlhN5000CLpK5SFDGHXqoRehyyY5I2O7tkV5P6611B8DaP9zmL1WBacaHON5YVvM4SEMSl&#10;1Q1XCorDdjoH4QOyxtYyKfgnD6vleLTATNuev+myD5WIIewzVFCH4DIpfVmTQT+zjjhyJ9sZDBF2&#10;ldQd9jHctDJNkndpsOHYUKOjdU3l3/5sFPxs2OXbXpan69p9/ebzdncujkq9TIbPDxCBhvAUP9y5&#10;jvPfkjSF+zvxBrm8AQAA//8DAFBLAQItABQABgAIAAAAIQDb4fbL7gAAAIUBAAATAAAAAAAAAAAA&#10;AAAAAAAAAABbQ29udGVudF9UeXBlc10ueG1sUEsBAi0AFAAGAAgAAAAhAFr0LFu/AAAAFQEAAAsA&#10;AAAAAAAAAAAAAAAAHwEAAF9yZWxzLy5yZWxzUEsBAi0AFAAGAAgAAAAhAPqaGmPEAAAA3gAAAA8A&#10;AAAAAAAAAAAAAAAABwIAAGRycy9kb3ducmV2LnhtbFBLBQYAAAAAAwADALcAAAD4AgAAAAA=&#10;" filled="f" stroked="f">
                  <v:textbox inset="0,0,0,0">
                    <w:txbxContent>
                      <w:p w14:paraId="00D58B42" w14:textId="77777777" w:rsidR="00B32EF2" w:rsidRDefault="00000000">
                        <w:r>
                          <w:rPr>
                            <w:rFonts w:ascii="Arial" w:eastAsia="Arial" w:hAnsi="Arial" w:cs="Arial"/>
                            <w:sz w:val="18"/>
                          </w:rPr>
                          <w:t>-</w:t>
                        </w:r>
                      </w:p>
                    </w:txbxContent>
                  </v:textbox>
                </v:rect>
                <v:rect id="Rectangle 15023" o:spid="_x0000_s1685" style="position:absolute;left:-13172;top:525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r/4xQAAAN4AAAAPAAAAZHJzL2Rvd25yZXYueG1sRE9La8JA&#10;EL4X+h+WKfRWN1UqkrqRYhFz8KKm0OOQnTza7OySXU3qr+8Kgrf5+J6zXI2mE2fqfWtZweskAUFc&#10;Wt1yraA4bl4WIHxA1thZJgV/5GGVPT4sMdV24D2dD6EWMYR9igqaEFwqpS8bMugn1hFHrrK9wRBh&#10;X0vd4xDDTSenSTKXBluODQ06WjdU/h5ORsH3J7t8M8iyuqzd7idfdNtT8aXU89P48Q4i0Bju4ps7&#10;13H+WzKdwfWdeIPM/gEAAP//AwBQSwECLQAUAAYACAAAACEA2+H2y+4AAACFAQAAEwAAAAAAAAAA&#10;AAAAAAAAAAAAW0NvbnRlbnRfVHlwZXNdLnhtbFBLAQItABQABgAIAAAAIQBa9CxbvwAAABUBAAAL&#10;AAAAAAAAAAAAAAAAAB8BAABfcmVscy8ucmVsc1BLAQItABQABgAIAAAAIQCV1r/4xQAAAN4AAAAP&#10;AAAAAAAAAAAAAAAAAAcCAABkcnMvZG93bnJldi54bWxQSwUGAAAAAAMAAwC3AAAA+QIAAAAA&#10;" filled="f" stroked="f">
                  <v:textbox inset="0,0,0,0">
                    <w:txbxContent>
                      <w:p w14:paraId="528D2039" w14:textId="77777777" w:rsidR="00B32EF2" w:rsidRDefault="00000000">
                        <w:r>
                          <w:rPr>
                            <w:rFonts w:ascii="Arial" w:eastAsia="Arial" w:hAnsi="Arial" w:cs="Arial"/>
                            <w:sz w:val="18"/>
                          </w:rPr>
                          <w:t xml:space="preserve">gli atti, delle notifiche dell’atto impugnato ovvero degli atti che ne costituiscono </w:t>
                        </w:r>
                      </w:p>
                    </w:txbxContent>
                  </v:textbox>
                </v:rect>
                <v:rect id="Rectangle 15024" o:spid="_x0000_s1686" style="position:absolute;left:-13172;top:513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eMxQAAAN4AAAAPAAAAZHJzL2Rvd25yZXYueG1sRE9La8JA&#10;EL4X+h+WKfRWNxUrkrqRYhFz8KKm0OOQnTza7OySXU3qr+8Kgrf5+J6zXI2mE2fqfWtZweskAUFc&#10;Wt1yraA4bl4WIHxA1thZJgV/5GGVPT4sMdV24D2dD6EWMYR9igqaEFwqpS8bMugn1hFHrrK9wRBh&#10;X0vd4xDDTSenSTKXBluODQ06WjdU/h5ORsH3J7t8M8iyuqzd7idfdNtT8aXU89P48Q4i0Bju4ps7&#10;13H+WzKdwfWdeIPM/gEAAP//AwBQSwECLQAUAAYACAAAACEA2+H2y+4AAACFAQAAEwAAAAAAAAAA&#10;AAAAAAAAAAAAW0NvbnRlbnRfVHlwZXNdLnhtbFBLAQItABQABgAIAAAAIQBa9CxbvwAAABUBAAAL&#10;AAAAAAAAAAAAAAAAAB8BAABfcmVscy8ucmVsc1BLAQItABQABgAIAAAAIQAaPyeMxQAAAN4AAAAP&#10;AAAAAAAAAAAAAAAAAAcCAABkcnMvZG93bnJldi54bWxQSwUGAAAAAAMAAwC3AAAA+QIAAAAA&#10;" filled="f" stroked="f">
                  <v:textbox inset="0,0,0,0">
                    <w:txbxContent>
                      <w:p w14:paraId="041423A2" w14:textId="77777777" w:rsidR="00B32EF2" w:rsidRDefault="00000000">
                        <w:r>
                          <w:rPr>
                            <w:rFonts w:ascii="Arial" w:eastAsia="Arial" w:hAnsi="Arial" w:cs="Arial"/>
                            <w:sz w:val="18"/>
                          </w:rPr>
                          <w:t xml:space="preserve">presupposto di legittimità che possono essere prodotti in primo grado anche </w:t>
                        </w:r>
                      </w:p>
                    </w:txbxContent>
                  </v:textbox>
                </v:rect>
                <v:rect id="Rectangle 15025" o:spid="_x0000_s1687" style="position:absolute;left:16948;top:50063;width:229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4IXwwAAAN4AAAAPAAAAZHJzL2Rvd25yZXYueG1sRE9Ni8Iw&#10;EL0L/ocwgjdNFRTpGmVRxB686Cp4HJqx7W4zCU20dX/9RhD2No/3Oct1Z2rxoMZXlhVMxgkI4tzq&#10;igsF56/daAHCB2SNtWVS8CQP61W/t8RU25aP9DiFQsQQ9ikqKENwqZQ+L8mgH1tHHLmbbQyGCJtC&#10;6gbbGG5qOU2SuTRYcWwo0dGmpPzndDcKrlt22a6V+e134w7f2aLe388XpYaD7vMDRKAu/Ivf7kzH&#10;+bNkOoPXO/EGufoDAAD//wMAUEsBAi0AFAAGAAgAAAAhANvh9svuAAAAhQEAABMAAAAAAAAAAAAA&#10;AAAAAAAAAFtDb250ZW50X1R5cGVzXS54bWxQSwECLQAUAAYACAAAACEAWvQsW78AAAAVAQAACwAA&#10;AAAAAAAAAAAAAAAfAQAAX3JlbHMvLnJlbHNQSwECLQAUAAYACAAAACEAdXOCF8MAAADeAAAADwAA&#10;AAAAAAAAAAAAAAAHAgAAZHJzL2Rvd25yZXYueG1sUEsFBgAAAAADAAMAtwAAAPcCAAAAAA==&#10;" filled="f" stroked="f">
                  <v:textbox inset="0,0,0,0">
                    <w:txbxContent>
                      <w:p w14:paraId="21DAC5BE" w14:textId="77777777" w:rsidR="00B32EF2" w:rsidRDefault="00000000">
                        <w:r>
                          <w:rPr>
                            <w:rFonts w:ascii="Arial" w:eastAsia="Arial" w:hAnsi="Arial" w:cs="Arial"/>
                            <w:sz w:val="18"/>
                          </w:rPr>
                          <w:t>ai sensi dell’articolo 58, comma 7.</w:t>
                        </w:r>
                      </w:p>
                    </w:txbxContent>
                  </v:textbox>
                </v:rect>
                <v:rect id="Rectangle 199908" o:spid="_x0000_s1688" style="position:absolute;left:25896;top:48891;width:52183;height:119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QgnxAAAAN8AAAAPAAAAZHJzL2Rvd25yZXYueG1sRE87a8Mw&#10;EN4L/Q/iCt0auR1K7EQJISXUQ5c8Ch0P62I7sU7CUmK3v743BDJ+fO/5cnSdulIfW88GXicZKOLK&#10;25ZrA4f95mUKKiZki51nMvBLEZaLx4c5FtYPvKXrLtVKQjgWaKBJKRRax6ohh3HiA7FwR987TAL7&#10;WtseBwl3nX7LsnftsGVpaDDQuqHqvLs4Az8fHMrNoKvj3zp8ncpp93k5fBvz/DSuZqASjekuvrlL&#10;K/PzPM9ksPwRAHrxDwAA//8DAFBLAQItABQABgAIAAAAIQDb4fbL7gAAAIUBAAATAAAAAAAAAAAA&#10;AAAAAAAAAABbQ29udGVudF9UeXBlc10ueG1sUEsBAi0AFAAGAAgAAAAhAFr0LFu/AAAAFQEAAAsA&#10;AAAAAAAAAAAAAAAAHwEAAF9yZWxzLy5yZWxzUEsBAi0AFAAGAAgAAAAhANSlCCfEAAAA3wAAAA8A&#10;AAAAAAAAAAAAAAAABwIAAGRycy9kb3ducmV2LnhtbFBLBQYAAAAAAwADALcAAAD4AgAAAAA=&#10;" filled="f" stroked="f">
                  <v:textbox inset="0,0,0,0">
                    <w:txbxContent>
                      <w:p w14:paraId="2D11384A" w14:textId="77777777" w:rsidR="00B32EF2" w:rsidRDefault="00000000">
                        <w:r>
                          <w:rPr>
                            <w:rFonts w:ascii="Arial" w:eastAsia="Arial" w:hAnsi="Arial" w:cs="Arial"/>
                            <w:sz w:val="15"/>
                          </w:rPr>
                          <w:t>(1)</w:t>
                        </w:r>
                      </w:p>
                    </w:txbxContent>
                  </v:textbox>
                </v:rect>
                <v:rect id="Rectangle 199909" o:spid="_x0000_s1689" style="position:absolute;left:-13356;top:48891;width:52182;height:119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a28wwAAAN8AAAAPAAAAZHJzL2Rvd25yZXYueG1sRE/Pa8Iw&#10;FL4P/B/CE7zNVA/DVqOIIuvBy5yCx0fzbKvNS2iirf71y2Cw48f3e7HqTSMe1PrasoLJOAFBXFhd&#10;c6ng+L17n4HwAVljY5kUPMnDajl4W2Cmbcdf9DiEUsQQ9hkqqEJwmZS+qMigH1tHHLmLbQ2GCNtS&#10;6ha7GG4aOU2SD2mw5thQoaNNRcXtcDcKzlt2+a6TxeW1cftrPms+78eTUqNhv56DCNSHf/GfO9dx&#10;fpqmSQq/fyIAufwBAAD//wMAUEsBAi0AFAAGAAgAAAAhANvh9svuAAAAhQEAABMAAAAAAAAAAAAA&#10;AAAAAAAAAFtDb250ZW50X1R5cGVzXS54bWxQSwECLQAUAAYACAAAACEAWvQsW78AAAAVAQAACwAA&#10;AAAAAAAAAAAAAAAfAQAAX3JlbHMvLnJlbHNQSwECLQAUAAYACAAAACEAu+mtvMMAAADfAAAADwAA&#10;AAAAAAAAAAAAAAAHAgAAZHJzL2Rvd25yZXYueG1sUEsFBgAAAAADAAMAtwAAAPcCAAAAAA==&#10;" filled="f" stroked="f">
                  <v:textbox inset="0,0,0,0">
                    <w:txbxContent>
                      <w:p w14:paraId="5DCB5BBF" w14:textId="77777777" w:rsidR="00B32EF2" w:rsidRDefault="00000000">
                        <w:r>
                          <w:rPr>
                            <w:rFonts w:ascii="Arial" w:eastAsia="Arial" w:hAnsi="Arial" w:cs="Arial"/>
                            <w:sz w:val="15"/>
                          </w:rPr>
                          <w:t xml:space="preserve"> Si fa presente che la Corte Costituzionale con sentenza 36/2025 ha dichiarato l’illegittimi</w:t>
                        </w:r>
                      </w:p>
                    </w:txbxContent>
                  </v:textbox>
                </v:rect>
                <v:rect id="Rectangle 15027" o:spid="_x0000_s1690" style="position:absolute;left:212;top:48891;width:422;height:119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bn7xQAAAN4AAAAPAAAAZHJzL2Rvd25yZXYueG1sRE9La8JA&#10;EL4X+h+WKfRWNxWskrqRYhFz8KKm0OOQnTza7OySXU3qr+8Kgrf5+J6zXI2mE2fqfWtZweskAUFc&#10;Wt1yraA4bl4WIHxA1thZJgV/5GGVPT4sMdV24D2dD6EWMYR9igqaEFwqpS8bMugn1hFHrrK9wRBh&#10;X0vd4xDDTSenSfImDbYcGxp0tG6o/D2cjILvT3b5ZpBldVm73U++6Lan4kup56fx4x1EoDHcxTd3&#10;ruP8WTKdw/WdeIPM/gEAAP//AwBQSwECLQAUAAYACAAAACEA2+H2y+4AAACFAQAAEwAAAAAAAAAA&#10;AAAAAAAAAAAAW0NvbnRlbnRfVHlwZXNdLnhtbFBLAQItABQABgAIAAAAIQBa9CxbvwAAABUBAAAL&#10;AAAAAAAAAAAAAAAAAB8BAABfcmVscy8ucmVsc1BLAQItABQABgAIAAAAIQDq7bn7xQAAAN4AAAAP&#10;AAAAAAAAAAAAAAAAAAcCAABkcnMvZG93bnJldi54bWxQSwUGAAAAAAMAAwC3AAAA+QIAAAAA&#10;" filled="f" stroked="f">
                  <v:textbox inset="0,0,0,0">
                    <w:txbxContent>
                      <w:p w14:paraId="4C942F24" w14:textId="77777777" w:rsidR="00B32EF2" w:rsidRDefault="00000000">
                        <w:r>
                          <w:rPr>
                            <w:rFonts w:ascii="Arial" w:eastAsia="Arial" w:hAnsi="Arial" w:cs="Arial"/>
                            <w:sz w:val="15"/>
                          </w:rPr>
                          <w:t>-</w:t>
                        </w:r>
                      </w:p>
                    </w:txbxContent>
                  </v:textbox>
                </v:rect>
                <v:rect id="Rectangle 15028" o:spid="_x0000_s1691" style="position:absolute;left:-13102;top:47621;width:53019;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i2JxwAAAN4AAAAPAAAAZHJzL2Rvd25yZXYueG1sRI9Pa8JA&#10;EMXvhX6HZQq91U2FiqSuIhZpDl78U+hxyI5JanZ2ya4m9dM7B8HbDO/Ne7+ZLQbXqgt1sfFs4H2U&#10;gSIuvW24MnDYr9+moGJCtth6JgP/FGExf36aYW59z1u67FKlJIRjjgbqlEKudSxrchhHPhCLdvSd&#10;wyRrV2nbYS/hrtXjLJtohw1LQ42BVjWVp93ZGfj94lCse10er6uw+Sum7ff58GPM68uw/ASVaEgP&#10;8/26sIL/kY2FV96RGfT8BgAA//8DAFBLAQItABQABgAIAAAAIQDb4fbL7gAAAIUBAAATAAAAAAAA&#10;AAAAAAAAAAAAAABbQ29udGVudF9UeXBlc10ueG1sUEsBAi0AFAAGAAgAAAAhAFr0LFu/AAAAFQEA&#10;AAsAAAAAAAAAAAAAAAAAHwEAAF9yZWxzLy5yZWxzUEsBAi0AFAAGAAgAAAAhAJtyLYnHAAAA3gAA&#10;AA8AAAAAAAAAAAAAAAAABwIAAGRycy9kb3ducmV2LnhtbFBLBQYAAAAAAwADALcAAAD7AgAAAAA=&#10;" filled="f" stroked="f">
                  <v:textbox inset="0,0,0,0">
                    <w:txbxContent>
                      <w:p w14:paraId="3BFF8DD7" w14:textId="77777777" w:rsidR="00B32EF2" w:rsidRDefault="00000000">
                        <w:r>
                          <w:rPr>
                            <w:rFonts w:ascii="Arial" w:eastAsia="Arial" w:hAnsi="Arial" w:cs="Arial"/>
                            <w:sz w:val="15"/>
                          </w:rPr>
                          <w:t xml:space="preserve">tà costituzionale del comma 3 dell’articolo 58, del decreto legislativo numero 546 del 1992, </w:t>
                        </w:r>
                      </w:p>
                    </w:txbxContent>
                  </v:textbox>
                </v:rect>
                <v:rect id="Rectangle 15029" o:spid="_x0000_s1692" style="position:absolute;left:-13102;top:46351;width:53019;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ogSxAAAAN4AAAAPAAAAZHJzL2Rvd25yZXYueG1sRE9Na8JA&#10;EL0L/Q/LFLzppoKiqasUi5hDL2oKPQ7ZMUmbnV2yq4n99a4geJvH+5zlujeNuFDra8sK3sYJCOLC&#10;6ppLBflxO5qD8AFZY2OZFFzJw3r1Mlhiqm3He7ocQiliCPsUFVQhuFRKX1Rk0I+tI47cybYGQ4Rt&#10;KXWLXQw3jZwkyUwarDk2VOhoU1HxdzgbBT+f7LJtJ4vT/8Z9/WbzZnfOv5UavvYf7yAC9eEpfrgz&#10;HedPk8kC7u/EG+TqBgAA//8DAFBLAQItABQABgAIAAAAIQDb4fbL7gAAAIUBAAATAAAAAAAAAAAA&#10;AAAAAAAAAABbQ29udGVudF9UeXBlc10ueG1sUEsBAi0AFAAGAAgAAAAhAFr0LFu/AAAAFQEAAAsA&#10;AAAAAAAAAAAAAAAAHwEAAF9yZWxzLy5yZWxzUEsBAi0AFAAGAAgAAAAhAPQ+iBLEAAAA3gAAAA8A&#10;AAAAAAAAAAAAAAAABwIAAGRycy9kb3ducmV2LnhtbFBLBQYAAAAAAwADALcAAAD4AgAAAAA=&#10;" filled="f" stroked="f">
                  <v:textbox inset="0,0,0,0">
                    <w:txbxContent>
                      <w:p w14:paraId="237087A0" w14:textId="77777777" w:rsidR="00B32EF2" w:rsidRDefault="00000000">
                        <w:r>
                          <w:rPr>
                            <w:rFonts w:ascii="Arial" w:eastAsia="Arial" w:hAnsi="Arial" w:cs="Arial"/>
                            <w:sz w:val="15"/>
                          </w:rPr>
                          <w:t xml:space="preserve">inserito dall’articolo 1, comma 1, lettera bb), del decreto legislativo numero 220 del 2023, </w:t>
                        </w:r>
                      </w:p>
                    </w:txbxContent>
                  </v:textbox>
                </v:rect>
                <v:rect id="Rectangle 15030" o:spid="_x0000_s1693" style="position:absolute;left:-13102;top:45082;width:53019;height:119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bdSxwAAAN4AAAAPAAAAZHJzL2Rvd25yZXYueG1sRI9Ba8JA&#10;EIXvhf6HZQre6sYWi6SuIhZpDr1oLfQ4ZMckmp1dsquJ/fXOQehthnnz3vvmy8G16kJdbDwbmIwz&#10;UMSltw1XBvbfm+cZqJiQLbaeycCVIiwXjw9zzK3veUuXXaqUmHDM0UCdUsi1jmVNDuPYB2K5HXzn&#10;MMnaVdp22Iu5a/VLlr1phw1LQo2B1jWVp93ZGfj94FBsel0e/tbh61jM2s/z/seY0dOwegeVaEj/&#10;4vt3YaX+NHsVAMGRGfTiBgAA//8DAFBLAQItABQABgAIAAAAIQDb4fbL7gAAAIUBAAATAAAAAAAA&#10;AAAAAAAAAAAAAABbQ29udGVudF9UeXBlc10ueG1sUEsBAi0AFAAGAAgAAAAhAFr0LFu/AAAAFQEA&#10;AAsAAAAAAAAAAAAAAAAAHwEAAF9yZWxzLy5yZWxzUEsBAi0AFAAGAAgAAAAhAODdt1LHAAAA3gAA&#10;AA8AAAAAAAAAAAAAAAAABwIAAGRycy9kb3ducmV2LnhtbFBLBQYAAAAAAwADALcAAAD7AgAAAAA=&#10;" filled="f" stroked="f">
                  <v:textbox inset="0,0,0,0">
                    <w:txbxContent>
                      <w:p w14:paraId="0AEFE930" w14:textId="77777777" w:rsidR="00B32EF2" w:rsidRDefault="00000000">
                        <w:r>
                          <w:rPr>
                            <w:rFonts w:ascii="Arial" w:eastAsia="Arial" w:hAnsi="Arial" w:cs="Arial"/>
                            <w:sz w:val="15"/>
                          </w:rPr>
                          <w:t xml:space="preserve">limitatamente alle parole «delle deleghe, delle procure e degli altri atti di conferimento di </w:t>
                        </w:r>
                      </w:p>
                    </w:txbxContent>
                  </v:textbox>
                </v:rect>
                <v:rect id="Rectangle 15031" o:spid="_x0000_s1694" style="position:absolute;left:-13102;top:43812;width:53019;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RLJxAAAAN4AAAAPAAAAZHJzL2Rvd25yZXYueG1sRE9Na8JA&#10;EL0X+h+WKXirGysWia4iFjGHXtQUehyyYxLNzi7Z1cT+elcoeJvH+5z5sjeNuFLra8sKRsMEBHFh&#10;dc2lgvyweZ+C8AFZY2OZFNzIw3Lx+jLHVNuOd3Tdh1LEEPYpKqhCcKmUvqjIoB9aRxy5o20Nhgjb&#10;UuoWuxhuGvmRJJ/SYM2xoUJH64qK8/5iFPx+scs2nSyOf2v3fcqmzfaS/yg1eOtXMxCB+vAU/7sz&#10;HedPkvEIHu/EG+TiDgAA//8DAFBLAQItABQABgAIAAAAIQDb4fbL7gAAAIUBAAATAAAAAAAAAAAA&#10;AAAAAAAAAABbQ29udGVudF9UeXBlc10ueG1sUEsBAi0AFAAGAAgAAAAhAFr0LFu/AAAAFQEAAAsA&#10;AAAAAAAAAAAAAAAAHwEAAF9yZWxzLy5yZWxzUEsBAi0AFAAGAAgAAAAhAI+REsnEAAAA3gAAAA8A&#10;AAAAAAAAAAAAAAAABwIAAGRycy9kb3ducmV2LnhtbFBLBQYAAAAAAwADALcAAAD4AgAAAAA=&#10;" filled="f" stroked="f">
                  <v:textbox inset="0,0,0,0">
                    <w:txbxContent>
                      <w:p w14:paraId="71BBA6A4" w14:textId="77777777" w:rsidR="00B32EF2" w:rsidRDefault="00000000">
                        <w:r>
                          <w:rPr>
                            <w:rFonts w:ascii="Arial" w:eastAsia="Arial" w:hAnsi="Arial" w:cs="Arial"/>
                            <w:sz w:val="15"/>
                          </w:rPr>
                          <w:t xml:space="preserve">potere rilevanti ai fini della legittimità della sottoscrizione degli atti». La Corte ha osservato </w:t>
                        </w:r>
                      </w:p>
                    </w:txbxContent>
                  </v:textbox>
                </v:rect>
                <v:rect id="Rectangle 15032" o:spid="_x0000_s1695" style="position:absolute;left:-13102;top:42542;width:53019;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xQAAAN4AAAAPAAAAZHJzL2Rvd25yZXYueG1sRE9La8JA&#10;EL4X+h+WKfRWN1UqkrqRYhFz8KKm0OOQnTza7OySXU3qr+8Kgrf5+J6zXI2mE2fqfWtZweskAUFc&#10;Wt1yraA4bl4WIHxA1thZJgV/5GGVPT4sMdV24D2dD6EWMYR9igqaEFwqpS8bMugn1hFHrrK9wRBh&#10;X0vd4xDDTSenSTKXBluODQ06WjdU/h5ORsH3J7t8M8iyuqzd7idfdNtT8aXU89P48Q4i0Bju4ps7&#10;13H+WzKbwvWdeIPM/gEAAP//AwBQSwECLQAUAAYACAAAACEA2+H2y+4AAACFAQAAEwAAAAAAAAAA&#10;AAAAAAAAAAAAW0NvbnRlbnRfVHlwZXNdLnhtbFBLAQItABQABgAIAAAAIQBa9CxbvwAAABUBAAAL&#10;AAAAAAAAAAAAAAAAAB8BAABfcmVscy8ucmVsc1BLAQItABQABgAIAAAAIQB/Q4y+xQAAAN4AAAAP&#10;AAAAAAAAAAAAAAAAAAcCAABkcnMvZG93bnJldi54bWxQSwUGAAAAAAMAAwC3AAAA+QIAAAAA&#10;" filled="f" stroked="f">
                  <v:textbox inset="0,0,0,0">
                    <w:txbxContent>
                      <w:p w14:paraId="3C443EDE" w14:textId="77777777" w:rsidR="00B32EF2" w:rsidRDefault="00000000">
                        <w:r>
                          <w:rPr>
                            <w:rFonts w:ascii="Arial" w:eastAsia="Arial" w:hAnsi="Arial" w:cs="Arial"/>
                            <w:sz w:val="15"/>
                          </w:rPr>
                          <w:t xml:space="preserve">che, rispetto alla regola generale dell’art. 58 comma 1, il divieto assoluto di produzione delle </w:t>
                        </w:r>
                      </w:p>
                    </w:txbxContent>
                  </v:textbox>
                </v:rect>
                <v:rect id="Rectangle 15033" o:spid="_x0000_s1696" style="position:absolute;left:-13102;top:41273;width:53019;height:119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yklxAAAAN4AAAAPAAAAZHJzL2Rvd25yZXYueG1sRE9Ni8Iw&#10;EL0L+x/CLHjTdBVFqlHERexhL7ou7HFoxrbaTEITbd1fbwRhb/N4n7NYdaYWN2p8ZVnBxzABQZxb&#10;XXGh4Pi9HcxA+ICssbZMCu7kYbV86y0w1bblPd0OoRAxhH2KCsoQXCqlz0sy6IfWEUfuZBuDIcKm&#10;kLrBNoabWo6SZCoNVhwbSnS0KSm/HK5Gwe8nu2zbyvz0t3Ff52xW767HH6X67916DiJQF/7FL3em&#10;4/xJMh7D8514g1w+AAAA//8DAFBLAQItABQABgAIAAAAIQDb4fbL7gAAAIUBAAATAAAAAAAAAAAA&#10;AAAAAAAAAABbQ29udGVudF9UeXBlc10ueG1sUEsBAi0AFAAGAAgAAAAhAFr0LFu/AAAAFQEAAAsA&#10;AAAAAAAAAAAAAAAAHwEAAF9yZWxzLy5yZWxzUEsBAi0AFAAGAAgAAAAhABAPKSXEAAAA3gAAAA8A&#10;AAAAAAAAAAAAAAAABwIAAGRycy9kb3ducmV2LnhtbFBLBQYAAAAAAwADALcAAAD4AgAAAAA=&#10;" filled="f" stroked="f">
                  <v:textbox inset="0,0,0,0">
                    <w:txbxContent>
                      <w:p w14:paraId="4924FBC8" w14:textId="77777777" w:rsidR="00B32EF2" w:rsidRDefault="00000000">
                        <w:r>
                          <w:rPr>
                            <w:rFonts w:ascii="Arial" w:eastAsia="Arial" w:hAnsi="Arial" w:cs="Arial"/>
                            <w:sz w:val="15"/>
                          </w:rPr>
                          <w:t xml:space="preserve">deleghe, delle procure e degli altri atti di conferimento di potere di cui al comma 3, pur quando </w:t>
                        </w:r>
                      </w:p>
                    </w:txbxContent>
                  </v:textbox>
                </v:rect>
                <v:rect id="Rectangle 15034" o:spid="_x0000_s1697" style="position:absolute;left:-12296;top:40003;width:52224;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rFRxQAAAN4AAAAPAAAAZHJzL2Rvd25yZXYueG1sRE9LawIx&#10;EL4L/Q9hCr252T4sshqlWMQ99KK14HHYzD50Mwmb6K799Y0g9DYf33Pmy8G04kKdbywreE5SEMSF&#10;1Q1XCvbf6/EUhA/IGlvLpOBKHpaLh9EcM2173tJlFyoRQ9hnqKAOwWVS+qImgz6xjjhype0Mhgi7&#10;SuoO+xhuWvmSpu/SYMOxoUZHq5qK0+5sFBw+2eXrXhbl78p9HfNpuznvf5R6ehw+ZiACDeFffHfn&#10;Os6fpK9vcHsn3iAXfwAAAP//AwBQSwECLQAUAAYACAAAACEA2+H2y+4AAACFAQAAEwAAAAAAAAAA&#10;AAAAAAAAAAAAW0NvbnRlbnRfVHlwZXNdLnhtbFBLAQItABQABgAIAAAAIQBa9CxbvwAAABUBAAAL&#10;AAAAAAAAAAAAAAAAAB8BAABfcmVscy8ucmVsc1BLAQItABQABgAIAAAAIQCf5rFRxQAAAN4AAAAP&#10;AAAAAAAAAAAAAAAAAAcCAABkcnMvZG93bnJldi54bWxQSwUGAAAAAAMAAwC3AAAA+QIAAAAA&#10;" filled="f" stroked="f">
                  <v:textbox inset="0,0,0,0">
                    <w:txbxContent>
                      <w:p w14:paraId="52CDF25B" w14:textId="77777777" w:rsidR="00B32EF2" w:rsidRDefault="00000000">
                        <w:r>
                          <w:rPr>
                            <w:rFonts w:ascii="Arial" w:eastAsia="Arial" w:hAnsi="Arial" w:cs="Arial"/>
                            <w:sz w:val="15"/>
                          </w:rPr>
                          <w:t>ne sia stata incolpevolmente impossibile la produzione in primo grado, comprime ingiustifica</w:t>
                        </w:r>
                      </w:p>
                    </w:txbxContent>
                  </v:textbox>
                </v:rect>
                <v:rect id="Rectangle 15035" o:spid="_x0000_s1698" style="position:absolute;left:212;top:40003;width:422;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hTKxQAAAN4AAAAPAAAAZHJzL2Rvd25yZXYueG1sRE9LawIx&#10;EL4L/Q9hCt4024pFVrNSLNI99OKj0OOwmX3YzSRsorv66xuh4G0+vues1oNpxYU631hW8DJNQBAX&#10;VjdcKTgetpMFCB+QNbaWScGVPKyzp9EKU2173tFlHyoRQ9inqKAOwaVS+qImg35qHXHkStsZDBF2&#10;ldQd9jHctPI1Sd6kwYZjQ42ONjUVv/uzUfDzwS7f9rIobxv3dcoX7ef5+K3U+Hl4X4IINISH+N+d&#10;6zh/nszmcH8n3iCzPwAAAP//AwBQSwECLQAUAAYACAAAACEA2+H2y+4AAACFAQAAEwAAAAAAAAAA&#10;AAAAAAAAAAAAW0NvbnRlbnRfVHlwZXNdLnhtbFBLAQItABQABgAIAAAAIQBa9CxbvwAAABUBAAAL&#10;AAAAAAAAAAAAAAAAAB8BAABfcmVscy8ucmVsc1BLAQItABQABgAIAAAAIQDwqhTKxQAAAN4AAAAP&#10;AAAAAAAAAAAAAAAAAAcCAABkcnMvZG93bnJldi54bWxQSwUGAAAAAAMAAwC3AAAA+QIAAAAA&#10;" filled="f" stroked="f">
                  <v:textbox inset="0,0,0,0">
                    <w:txbxContent>
                      <w:p w14:paraId="7ED2BFE3" w14:textId="77777777" w:rsidR="00B32EF2" w:rsidRDefault="00000000">
                        <w:r>
                          <w:rPr>
                            <w:rFonts w:ascii="Arial" w:eastAsia="Arial" w:hAnsi="Arial" w:cs="Arial"/>
                            <w:sz w:val="15"/>
                          </w:rPr>
                          <w:t>-</w:t>
                        </w:r>
                      </w:p>
                    </w:txbxContent>
                  </v:textbox>
                </v:rect>
                <v:rect id="Rectangle 15036" o:spid="_x0000_s1699" style="position:absolute;left:-13103;top:38733;width:53020;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Iq9xQAAAN4AAAAPAAAAZHJzL2Rvd25yZXYueG1sRE9LawIx&#10;EL4L/Q9hCt4020pFVrNSLNI99KK10OOwmX3YzSRsorv6640g9DYf33NW68G04kydbywreJkmIIgL&#10;qxuuFBy+t5MFCB+QNbaWScGFPKyzp9EKU2173tF5HyoRQ9inqKAOwaVS+qImg35qHXHkStsZDBF2&#10;ldQd9jHctPI1SebSYMOxoUZHm5qKv/3JKPj9YJdve1mU1437OuaL9vN0+FFq/Dy8L0EEGsK/+OHO&#10;dZz/lszmcH8n3iCzGwAAAP//AwBQSwECLQAUAAYACAAAACEA2+H2y+4AAACFAQAAEwAAAAAAAAAA&#10;AAAAAAAAAAAAW0NvbnRlbnRfVHlwZXNdLnhtbFBLAQItABQABgAIAAAAIQBa9CxbvwAAABUBAAAL&#10;AAAAAAAAAAAAAAAAAB8BAABfcmVscy8ucmVsc1BLAQItABQABgAIAAAAIQAAeIq9xQAAAN4AAAAP&#10;AAAAAAAAAAAAAAAAAAcCAABkcnMvZG93bnJldi54bWxQSwUGAAAAAAMAAwC3AAAA+QIAAAAA&#10;" filled="f" stroked="f">
                  <v:textbox inset="0,0,0,0">
                    <w:txbxContent>
                      <w:p w14:paraId="225EF0A9" w14:textId="77777777" w:rsidR="00B32EF2" w:rsidRDefault="00000000">
                        <w:r>
                          <w:rPr>
                            <w:rFonts w:ascii="Arial" w:eastAsia="Arial" w:hAnsi="Arial" w:cs="Arial"/>
                            <w:sz w:val="15"/>
                          </w:rPr>
                          <w:t xml:space="preserve">bilmente il diritto alla prova, posto che in tali ipotesi il processo di appello costituisce la prima </w:t>
                        </w:r>
                      </w:p>
                    </w:txbxContent>
                  </v:textbox>
                </v:rect>
                <v:rect id="Rectangle 15037" o:spid="_x0000_s1700" style="position:absolute;left:-13102;top:37464;width:53019;height:119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C8mxQAAAN4AAAAPAAAAZHJzL2Rvd25yZXYueG1sRE9LawIx&#10;EL4L/Q9hCr252bbUymqUYhH30IvWgsdhM/vQzSRsorv21zeC0Nt8fM+ZLwfTigt1vrGs4DlJQRAX&#10;VjdcKdh/r8dTED4ga2wtk4IreVguHkZzzLTteUuXXahEDGGfoYI6BJdJ6YuaDPrEOuLIlbYzGCLs&#10;Kqk77GO4aeVLmk6kwYZjQ42OVjUVp93ZKDh8ssvXvSzK35X7OubTdnPe/yj19Dh8zEAEGsK/+O7O&#10;dZz/lr6+w+2deINc/AEAAP//AwBQSwECLQAUAAYACAAAACEA2+H2y+4AAACFAQAAEwAAAAAAAAAA&#10;AAAAAAAAAAAAW0NvbnRlbnRfVHlwZXNdLnhtbFBLAQItABQABgAIAAAAIQBa9CxbvwAAABUBAAAL&#10;AAAAAAAAAAAAAAAAAB8BAABfcmVscy8ucmVsc1BLAQItABQABgAIAAAAIQBvNC8mxQAAAN4AAAAP&#10;AAAAAAAAAAAAAAAAAAcCAABkcnMvZG93bnJldi54bWxQSwUGAAAAAAMAAwC3AAAA+QIAAAAA&#10;" filled="f" stroked="f">
                  <v:textbox inset="0,0,0,0">
                    <w:txbxContent>
                      <w:p w14:paraId="417750DB" w14:textId="77777777" w:rsidR="00B32EF2" w:rsidRDefault="00000000">
                        <w:r>
                          <w:rPr>
                            <w:rFonts w:ascii="Arial" w:eastAsia="Arial" w:hAnsi="Arial" w:cs="Arial"/>
                            <w:sz w:val="15"/>
                          </w:rPr>
                          <w:t xml:space="preserve">e unica occasione per dedurre i mezzi istruttori che non siano stati introdotti in primo grado </w:t>
                        </w:r>
                      </w:p>
                    </w:txbxContent>
                  </v:textbox>
                </v:rect>
                <v:rect id="Rectangle 15038" o:spid="_x0000_s1701" style="position:absolute;left:19028;top:36194;width:20889;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7tUxwAAAN4AAAAPAAAAZHJzL2Rvd25yZXYueG1sRI9Ba8JA&#10;EIXvhf6HZQre6sYWi6SuIhZpDr1oLfQ4ZMckmp1dsquJ/fXOQehthvfmvW/my8G16kJdbDwbmIwz&#10;UMSltw1XBvbfm+cZqJiQLbaeycCVIiwXjw9zzK3veUuXXaqUhHDM0UCdUsi1jmVNDuPYB2LRDr5z&#10;mGTtKm077CXctfoly960w4alocZA65rK0+7sDPx+cCg2vS4Pf+vwdSxm7ed5/2PM6GlYvYNKNKR/&#10;8/26sII/zV6FV96RGfTiBgAA//8DAFBLAQItABQABgAIAAAAIQDb4fbL7gAAAIUBAAATAAAAAAAA&#10;AAAAAAAAAAAAAABbQ29udGVudF9UeXBlc10ueG1sUEsBAi0AFAAGAAgAAAAhAFr0LFu/AAAAFQEA&#10;AAsAAAAAAAAAAAAAAAAAHwEAAF9yZWxzLy5yZWxzUEsBAi0AFAAGAAgAAAAhAB6ru1THAAAA3gAA&#10;AA8AAAAAAAAAAAAAAAAABwIAAGRycy9kb3ducmV2LnhtbFBLBQYAAAAAAwADALcAAAD7AgAAAAA=&#10;" filled="f" stroked="f">
                  <v:textbox inset="0,0,0,0">
                    <w:txbxContent>
                      <w:p w14:paraId="6DD0555D" w14:textId="77777777" w:rsidR="00B32EF2" w:rsidRDefault="00000000">
                        <w:r>
                          <w:rPr>
                            <w:rFonts w:ascii="Arial" w:eastAsia="Arial" w:hAnsi="Arial" w:cs="Arial"/>
                            <w:sz w:val="15"/>
                          </w:rPr>
                          <w:t xml:space="preserve">per causa non imputabile alla parte. </w:t>
                        </w:r>
                      </w:p>
                    </w:txbxContent>
                  </v:textbox>
                </v:rect>
                <v:rect id="Rectangle 15039" o:spid="_x0000_s1702" style="position:absolute;left:-12366;top:34924;width:52255;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x7PxQAAAN4AAAAPAAAAZHJzL2Rvd25yZXYueG1sRE9La8JA&#10;EL4L/Q/LFHrTTS0WG12lKNIcvPgoeByyYxLNzi7Z1aT+elcoeJuP7znTeWdqcaXGV5YVvA8SEMS5&#10;1RUXCva7VX8MwgdkjbVlUvBHHuazl94UU21b3tB1GwoRQ9inqKAMwaVS+rwkg35gHXHkjrYxGCJs&#10;CqkbbGO4qeUwST6lwYpjQ4mOFiXl5+3FKDgs2WWrVubH28KtT9m4/rnsf5V6e+2+JyACdeEp/ndn&#10;Os4fJR9f8Hgn3iBndwAAAP//AwBQSwECLQAUAAYACAAAACEA2+H2y+4AAACFAQAAEwAAAAAAAAAA&#10;AAAAAAAAAAAAW0NvbnRlbnRfVHlwZXNdLnhtbFBLAQItABQABgAIAAAAIQBa9CxbvwAAABUBAAAL&#10;AAAAAAAAAAAAAAAAAB8BAABfcmVscy8ucmVsc1BLAQItABQABgAIAAAAIQBx5x7PxQAAAN4AAAAP&#10;AAAAAAAAAAAAAAAAAAcCAABkcnMvZG93bnJldi54bWxQSwUGAAAAAAMAAwC3AAAA+QIAAAAA&#10;" filled="f" stroked="f">
                  <v:textbox inset="0,0,0,0">
                    <w:txbxContent>
                      <w:p w14:paraId="63CF626B" w14:textId="77777777" w:rsidR="00B32EF2" w:rsidRDefault="00000000">
                        <w:r>
                          <w:rPr>
                            <w:rFonts w:ascii="Arial" w:eastAsia="Arial" w:hAnsi="Arial" w:cs="Arial"/>
                            <w:sz w:val="15"/>
                          </w:rPr>
                          <w:t>Con la stessa sentenza, la Corte ha dichiarato costituzionalmente illegittimo il comma 2 dell’ar</w:t>
                        </w:r>
                      </w:p>
                    </w:txbxContent>
                  </v:textbox>
                </v:rect>
                <v:rect id="Rectangle 15040" o:spid="_x0000_s1703" style="position:absolute;left:212;top:34924;width:422;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8QvxwAAAN4AAAAPAAAAZHJzL2Rvd25yZXYueG1sRI9Ba8JA&#10;EIXvhf6HZQre6sZSi6SuIhZpDr1oLfQ4ZMckmp1dsquJ/fXOQehthnnz3vvmy8G16kJdbDwbmIwz&#10;UMSltw1XBvbfm+cZqJiQLbaeycCVIiwXjw9zzK3veUuXXaqUmHDM0UCdUsi1jmVNDuPYB2K5HXzn&#10;MMnaVdp22Iu5a/VLlr1phw1LQo2B1jWVp93ZGfj94FBsel0e/tbh61jM2s/z/seY0dOwegeVaEj/&#10;4vt3YaX+NHsVAMGRGfTiBgAA//8DAFBLAQItABQABgAIAAAAIQDb4fbL7gAAAIUBAAATAAAAAAAA&#10;AAAAAAAAAAAAAABbQ29udGVudF9UeXBlc10ueG1sUEsBAi0AFAAGAAgAAAAhAFr0LFu/AAAAFQEA&#10;AAsAAAAAAAAAAAAAAAAAHwEAAF9yZWxzLy5yZWxzUEsBAi0AFAAGAAgAAAAhALjbxC/HAAAA3gAA&#10;AA8AAAAAAAAAAAAAAAAABwIAAGRycy9kb3ducmV2LnhtbFBLBQYAAAAAAwADALcAAAD7AgAAAAA=&#10;" filled="f" stroked="f">
                  <v:textbox inset="0,0,0,0">
                    <w:txbxContent>
                      <w:p w14:paraId="55D31E9D" w14:textId="77777777" w:rsidR="00B32EF2" w:rsidRDefault="00000000">
                        <w:r>
                          <w:rPr>
                            <w:rFonts w:ascii="Arial" w:eastAsia="Arial" w:hAnsi="Arial" w:cs="Arial"/>
                            <w:sz w:val="15"/>
                          </w:rPr>
                          <w:t>-</w:t>
                        </w:r>
                      </w:p>
                    </w:txbxContent>
                  </v:textbox>
                </v:rect>
                <v:rect id="Rectangle 15041" o:spid="_x0000_s1704" style="position:absolute;left:-12293;top:33655;width:52200;height:119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2G0xAAAAN4AAAAPAAAAZHJzL2Rvd25yZXYueG1sRE9Na8JA&#10;EL0X+h+WKXirG4sWia4iFjGHXtQUehyyYxLNzi7Z1cT+elcoeJvH+5z5sjeNuFLra8sKRsMEBHFh&#10;dc2lgvyweZ+C8AFZY2OZFNzIw3Lx+jLHVNuOd3Tdh1LEEPYpKqhCcKmUvqjIoB9aRxy5o20Nhgjb&#10;UuoWuxhuGvmRJJ/SYM2xoUJH64qK8/5iFPx+scs2nSyOf2v3fcqmzfaS/yg1eOtXMxCB+vAU/7sz&#10;HedPkvEIHu/EG+TiDgAA//8DAFBLAQItABQABgAIAAAAIQDb4fbL7gAAAIUBAAATAAAAAAAAAAAA&#10;AAAAAAAAAABbQ29udGVudF9UeXBlc10ueG1sUEsBAi0AFAAGAAgAAAAhAFr0LFu/AAAAFQEAAAsA&#10;AAAAAAAAAAAAAAAAHwEAAF9yZWxzLy5yZWxzUEsBAi0AFAAGAAgAAAAhANeXYbTEAAAA3gAAAA8A&#10;AAAAAAAAAAAAAAAABwIAAGRycy9kb3ducmV2LnhtbFBLBQYAAAAAAwADALcAAAD4AgAAAAA=&#10;" filled="f" stroked="f">
                  <v:textbox inset="0,0,0,0">
                    <w:txbxContent>
                      <w:p w14:paraId="03876345" w14:textId="77777777" w:rsidR="00B32EF2" w:rsidRDefault="00000000">
                        <w:r>
                          <w:rPr>
                            <w:rFonts w:ascii="Arial" w:eastAsia="Arial" w:hAnsi="Arial" w:cs="Arial"/>
                            <w:sz w:val="15"/>
                          </w:rPr>
                          <w:t>ticolo 4, del decreto legislativo numero 220 del 2023 nella parte in cui prescrive che le modi</w:t>
                        </w:r>
                      </w:p>
                    </w:txbxContent>
                  </v:textbox>
                </v:rect>
                <v:rect id="Rectangle 15042" o:spid="_x0000_s1705" style="position:absolute;left:212;top:33655;width:422;height:119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DxQAAAN4AAAAPAAAAZHJzL2Rvd25yZXYueG1sRE9La8JA&#10;EL4X+h+WKfRWNxUrkrqRYhFz8KKm0OOQnTza7OySXU3qr+8Kgrf5+J6zXI2mE2fqfWtZweskAUFc&#10;Wt1yraA4bl4WIHxA1thZJgV/5GGVPT4sMdV24D2dD6EWMYR9igqaEFwqpS8bMugn1hFHrrK9wRBh&#10;X0vd4xDDTSenSTKXBluODQ06WjdU/h5ORsH3J7t8M8iyuqzd7idfdNtT8aXU89P48Q4i0Bju4ps7&#10;13H+WzKbwvWdeIPM/gEAAP//AwBQSwECLQAUAAYACAAAACEA2+H2y+4AAACFAQAAEwAAAAAAAAAA&#10;AAAAAAAAAAAAW0NvbnRlbnRfVHlwZXNdLnhtbFBLAQItABQABgAIAAAAIQBa9CxbvwAAABUBAAAL&#10;AAAAAAAAAAAAAAAAAB8BAABfcmVscy8ucmVsc1BLAQItABQABgAIAAAAIQAnRf/DxQAAAN4AAAAP&#10;AAAAAAAAAAAAAAAAAAcCAABkcnMvZG93bnJldi54bWxQSwUGAAAAAAMAAwC3AAAA+QIAAAAA&#10;" filled="f" stroked="f">
                  <v:textbox inset="0,0,0,0">
                    <w:txbxContent>
                      <w:p w14:paraId="742685C0" w14:textId="77777777" w:rsidR="00B32EF2" w:rsidRDefault="00000000">
                        <w:r>
                          <w:rPr>
                            <w:rFonts w:ascii="Arial" w:eastAsia="Arial" w:hAnsi="Arial" w:cs="Arial"/>
                            <w:sz w:val="15"/>
                          </w:rPr>
                          <w:t>-</w:t>
                        </w:r>
                      </w:p>
                    </w:txbxContent>
                  </v:textbox>
                </v:rect>
                <v:rect id="Rectangle 15043" o:spid="_x0000_s1706" style="position:absolute;left:-13097;top:32385;width:53004;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VpYxQAAAN4AAAAPAAAAZHJzL2Rvd25yZXYueG1sRE9LawIx&#10;EL4L/Q9hCr252T4sshqlWMQ99KK14HHYzD50Mwmb6K799Y0g9DYf33Pmy8G04kKdbywreE5SEMSF&#10;1Q1XCvbf6/EUhA/IGlvLpOBKHpaLh9EcM2173tJlFyoRQ9hnqKAOwWVS+qImgz6xjjhype0Mhgi7&#10;SuoO+xhuWvmSpu/SYMOxoUZHq5qK0+5sFBw+2eXrXhbl78p9HfNpuznvf5R6ehw+ZiACDeFffHfn&#10;Os6fpG+vcHsn3iAXfwAAAP//AwBQSwECLQAUAAYACAAAACEA2+H2y+4AAACFAQAAEwAAAAAAAAAA&#10;AAAAAAAAAAAAW0NvbnRlbnRfVHlwZXNdLnhtbFBLAQItABQABgAIAAAAIQBa9CxbvwAAABUBAAAL&#10;AAAAAAAAAAAAAAAAAB8BAABfcmVscy8ucmVsc1BLAQItABQABgAIAAAAIQBICVpYxQAAAN4AAAAP&#10;AAAAAAAAAAAAAAAAAAcCAABkcnMvZG93bnJldi54bWxQSwUGAAAAAAMAAwC3AAAA+QIAAAAA&#10;" filled="f" stroked="f">
                  <v:textbox inset="0,0,0,0">
                    <w:txbxContent>
                      <w:p w14:paraId="0ADA5714" w14:textId="77777777" w:rsidR="00B32EF2" w:rsidRDefault="00000000">
                        <w:r>
                          <w:rPr>
                            <w:rFonts w:ascii="Arial" w:eastAsia="Arial" w:hAnsi="Arial" w:cs="Arial"/>
                            <w:sz w:val="15"/>
                          </w:rPr>
                          <w:t xml:space="preserve">fiche apportate dall’articolo 1, comma 1, lettera bb), dello stesso decreto legislativo numero </w:t>
                        </w:r>
                      </w:p>
                    </w:txbxContent>
                  </v:textbox>
                </v:rect>
                <v:rect id="Rectangle 199906" o:spid="_x0000_s1707" style="position:absolute;left:25156;top:31115;width:53004;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jnOxAAAAN8AAAAPAAAAZHJzL2Rvd25yZXYueG1sRE/Pa8Iw&#10;FL4P/B/CG3ib6XYQ2xlFFFkPXqYVPD6aZ9vZvIQm2upfvwwGHj++3/PlYFpxo843lhW8TxIQxKXV&#10;DVcKisP2bQbCB2SNrWVScCcPy8XoZY6Ztj1/020fKhFD2GeooA7BZVL6siaDfmIdceTOtjMYIuwq&#10;qTvsY7hp5UeSTKXBhmNDjY7WNZWX/dUoOG3Y5dtelufH2u1+8ln7dS2OSo1fh9UniEBDeIr/3bmO&#10;89M0Tabw9ycCkItfAAAA//8DAFBLAQItABQABgAIAAAAIQDb4fbL7gAAAIUBAAATAAAAAAAAAAAA&#10;AAAAAAAAAABbQ29udGVudF9UeXBlc10ueG1sUEsBAi0AFAAGAAgAAAAhAFr0LFu/AAAAFQEAAAsA&#10;AAAAAAAAAAAAAAAAHwEAAF9yZWxzLy5yZWxzUEsBAi0AFAAGAAgAAAAhAMp2Oc7EAAAA3wAAAA8A&#10;AAAAAAAAAAAAAAAABwIAAGRycy9kb3ducmV2LnhtbFBLBQYAAAAAAwADALcAAAD4AgAAAAA=&#10;" filled="f" stroked="f">
                  <v:textbox inset="0,0,0,0">
                    <w:txbxContent>
                      <w:p w14:paraId="677346DB" w14:textId="77777777" w:rsidR="00B32EF2" w:rsidRDefault="00000000">
                        <w:r>
                          <w:rPr>
                            <w:rFonts w:ascii="Arial" w:eastAsia="Arial" w:hAnsi="Arial" w:cs="Arial"/>
                            <w:sz w:val="15"/>
                          </w:rPr>
                          <w:t>220</w:t>
                        </w:r>
                      </w:p>
                    </w:txbxContent>
                  </v:textbox>
                </v:rect>
                <v:rect id="Rectangle 199907" o:spid="_x0000_s1708" style="position:absolute;left:-14696;top:31115;width:53004;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pxVxAAAAN8AAAAPAAAAZHJzL2Rvd25yZXYueG1sRE/Pa8Iw&#10;FL4P/B/CE7zN1B2crUYRRdbDLnMKHh/Ns602L6GJtvrXL4PBjh/f78WqN424U+trywom4wQEcWF1&#10;zaWCw/fudQbCB2SNjWVS8CAPq+XgZYGZth1/0X0fShFD2GeooArBZVL6oiKDfmwdceTOtjUYImxL&#10;qVvsYrhp5FuSTKXBmmNDhY42FRXX/c0oOG3Z5btOFufnxn1e8lnzcTsclRoN+/UcRKA+/Iv/3LmO&#10;89M0Td7h908EIJc/AAAA//8DAFBLAQItABQABgAIAAAAIQDb4fbL7gAAAIUBAAATAAAAAAAAAAAA&#10;AAAAAAAAAABbQ29udGVudF9UeXBlc10ueG1sUEsBAi0AFAAGAAgAAAAhAFr0LFu/AAAAFQEAAAsA&#10;AAAAAAAAAAAAAAAAHwEAAF9yZWxzLy5yZWxzUEsBAi0AFAAGAAgAAAAhAKU6nFXEAAAA3wAAAA8A&#10;AAAAAAAAAAAAAAAABwIAAGRycy9kb3ducmV2LnhtbFBLBQYAAAAAAwADALcAAAD4AgAAAAA=&#10;" filled="f" stroked="f">
                  <v:textbox inset="0,0,0,0">
                    <w:txbxContent>
                      <w:p w14:paraId="5078ED66" w14:textId="77777777" w:rsidR="00B32EF2" w:rsidRDefault="00000000">
                        <w:r>
                          <w:rPr>
                            <w:rFonts w:ascii="Arial" w:eastAsia="Arial" w:hAnsi="Arial" w:cs="Arial"/>
                            <w:sz w:val="15"/>
                          </w:rPr>
                          <w:t xml:space="preserve"> del 2023 alla disciplina delle prove in appello dettata dall’articolo 58 del decreto legislativo </w:t>
                        </w:r>
                      </w:p>
                    </w:txbxContent>
                  </v:textbox>
                </v:rect>
                <v:rect id="Rectangle 15045" o:spid="_x0000_s1709" style="position:absolute;left:-13096;top:29845;width:53003;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Ge3xQAAAN4AAAAPAAAAZHJzL2Rvd25yZXYueG1sRE9LawIx&#10;EL4L/Q9hCt4026JFVrNSLNI99OKj0OOwmX3YzSRsorv66xuh4G0+vues1oNpxYU631hW8DJNQBAX&#10;VjdcKTgetpMFCB+QNbaWScGVPKyzp9EKU2173tFlHyoRQ9inqKAOwaVS+qImg35qHXHkStsZDBF2&#10;ldQd9jHctPI1Sd6kwYZjQ42ONjUVv/uzUfDzwS7f9rIobxv3dcoX7ef5+K3U+Hl4X4IINISH+N+d&#10;6zh/nszmcH8n3iCzPwAAAP//AwBQSwECLQAUAAYACAAAACEA2+H2y+4AAACFAQAAEwAAAAAAAAAA&#10;AAAAAAAAAAAAW0NvbnRlbnRfVHlwZXNdLnhtbFBLAQItABQABgAIAAAAIQBa9CxbvwAAABUBAAAL&#10;AAAAAAAAAAAAAAAAAB8BAABfcmVscy8ucmVsc1BLAQItABQABgAIAAAAIQCorGe3xQAAAN4AAAAP&#10;AAAAAAAAAAAAAAAAAAcCAABkcnMvZG93bnJldi54bWxQSwUGAAAAAAMAAwC3AAAA+QIAAAAA&#10;" filled="f" stroked="f">
                  <v:textbox inset="0,0,0,0">
                    <w:txbxContent>
                      <w:p w14:paraId="6AAF0E3D" w14:textId="77777777" w:rsidR="00B32EF2" w:rsidRDefault="00000000">
                        <w:r>
                          <w:rPr>
                            <w:rFonts w:ascii="Arial" w:eastAsia="Arial" w:hAnsi="Arial" w:cs="Arial"/>
                            <w:sz w:val="15"/>
                          </w:rPr>
                          <w:t xml:space="preserve">numero 546 del 1992 si applicano ai giudizi instaurati in secondo grado a decorrere dal giorno </w:t>
                        </w:r>
                      </w:p>
                    </w:txbxContent>
                  </v:textbox>
                </v:rect>
                <v:rect id="Rectangle 15046" o:spid="_x0000_s1710" style="position:absolute;left:-12306;top:28576;width:52220;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vnAxQAAAN4AAAAPAAAAZHJzL2Rvd25yZXYueG1sRE9LawIx&#10;EL4L/Q9hCt4022JFVrNSLNI99KK10OOwmX3YzSRsorv6640g9DYf33NW68G04kydbywreJkmIIgL&#10;qxuuFBy+t5MFCB+QNbaWScGFPKyzp9EKU2173tF5HyoRQ9inqKAOwaVS+qImg35qHXHkStsZDBF2&#10;ldQd9jHctPI1SebSYMOxoUZHm5qKv/3JKPj9YJdve1mU1437OuaL9vN0+FFq/Dy8L0EEGsK/+OHO&#10;dZz/lszmcH8n3iCzGwAAAP//AwBQSwECLQAUAAYACAAAACEA2+H2y+4AAACFAQAAEwAAAAAAAAAA&#10;AAAAAAAAAAAAW0NvbnRlbnRfVHlwZXNdLnhtbFBLAQItABQABgAIAAAAIQBa9CxbvwAAABUBAAAL&#10;AAAAAAAAAAAAAAAAAB8BAABfcmVscy8ucmVsc1BLAQItABQABgAIAAAAIQBYfvnAxQAAAN4AAAAP&#10;AAAAAAAAAAAAAAAAAAcCAABkcnMvZG93bnJldi54bWxQSwUGAAAAAAMAAwC3AAAA+QIAAAAA&#10;" filled="f" stroked="f">
                  <v:textbox inset="0,0,0,0">
                    <w:txbxContent>
                      <w:p w14:paraId="2E2914C0" w14:textId="77777777" w:rsidR="00B32EF2" w:rsidRDefault="00000000">
                        <w:r>
                          <w:rPr>
                            <w:rFonts w:ascii="Arial" w:eastAsia="Arial" w:hAnsi="Arial" w:cs="Arial"/>
                            <w:sz w:val="15"/>
                          </w:rPr>
                          <w:t>successivo alla sua entrata in vigore, anziché ai giudizi di appello il cui primo grado sia instau</w:t>
                        </w:r>
                      </w:p>
                    </w:txbxContent>
                  </v:textbox>
                </v:rect>
                <v:rect id="Rectangle 15047" o:spid="_x0000_s1711" style="position:absolute;left:212;top:28576;width:422;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lxbxQAAAN4AAAAPAAAAZHJzL2Rvd25yZXYueG1sRE9LawIx&#10;EL4L/Q9hCr252ZbWymqUYhH30IvWgsdhM/vQzSRsorv21zeC0Nt8fM+ZLwfTigt1vrGs4DlJQRAX&#10;VjdcKdh/r8dTED4ga2wtk4IreVguHkZzzLTteUuXXahEDGGfoYI6BJdJ6YuaDPrEOuLIlbYzGCLs&#10;Kqk77GO4aeVLmk6kwYZjQ42OVjUVp93ZKDh8ssvXvSzK35X7OubTdnPe/yj19Dh8zEAEGsK/+O7O&#10;dZz/lr6+w+2deINc/AEAAP//AwBQSwECLQAUAAYACAAAACEA2+H2y+4AAACFAQAAEwAAAAAAAAAA&#10;AAAAAAAAAAAAW0NvbnRlbnRfVHlwZXNdLnhtbFBLAQItABQABgAIAAAAIQBa9CxbvwAAABUBAAAL&#10;AAAAAAAAAAAAAAAAAB8BAABfcmVscy8ucmVsc1BLAQItABQABgAIAAAAIQA3MlxbxQAAAN4AAAAP&#10;AAAAAAAAAAAAAAAAAAcCAABkcnMvZG93bnJldi54bWxQSwUGAAAAAAMAAwC3AAAA+QIAAAAA&#10;" filled="f" stroked="f">
                  <v:textbox inset="0,0,0,0">
                    <w:txbxContent>
                      <w:p w14:paraId="253CE564" w14:textId="77777777" w:rsidR="00B32EF2" w:rsidRDefault="00000000">
                        <w:r>
                          <w:rPr>
                            <w:rFonts w:ascii="Arial" w:eastAsia="Arial" w:hAnsi="Arial" w:cs="Arial"/>
                            <w:sz w:val="15"/>
                          </w:rPr>
                          <w:t>-</w:t>
                        </w:r>
                      </w:p>
                    </w:txbxContent>
                  </v:textbox>
                </v:rect>
                <v:rect id="Rectangle 15048" o:spid="_x0000_s1712" style="position:absolute;left:-2371;top:27306;width:42278;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cgpxwAAAN4AAAAPAAAAZHJzL2Rvd25yZXYueG1sRI9Ba8JA&#10;EIXvhf6HZQre6sZSi6SuIhZpDr1oLfQ4ZMckmp1dsquJ/fXOQehthvfmvW/my8G16kJdbDwbmIwz&#10;UMSltw1XBvbfm+cZqJiQLbaeycCVIiwXjw9zzK3veUuXXaqUhHDM0UCdUsi1jmVNDuPYB2LRDr5z&#10;mGTtKm077CXctfoly960w4alocZA65rK0+7sDPx+cCg2vS4Pf+vwdSxm7ed5/2PM6GlYvYNKNKR/&#10;8/26sII/zV6FV96RGfTiBgAA//8DAFBLAQItABQABgAIAAAAIQDb4fbL7gAAAIUBAAATAAAAAAAA&#10;AAAAAAAAAAAAAABbQ29udGVudF9UeXBlc10ueG1sUEsBAi0AFAAGAAgAAAAhAFr0LFu/AAAAFQEA&#10;AAsAAAAAAAAAAAAAAAAAHwEAAF9yZWxzLy5yZWxzUEsBAi0AFAAGAAgAAAAhAEatyCnHAAAA3gAA&#10;AA8AAAAAAAAAAAAAAAAABwIAAGRycy9kb3ducmV2LnhtbFBLBQYAAAAAAwADALcAAAD7AgAAAAA=&#10;" filled="f" stroked="f">
                  <v:textbox inset="0,0,0,0">
                    <w:txbxContent>
                      <w:p w14:paraId="20456BC8" w14:textId="77777777" w:rsidR="00B32EF2" w:rsidRDefault="00000000">
                        <w:r>
                          <w:rPr>
                            <w:rFonts w:ascii="Arial" w:eastAsia="Arial" w:hAnsi="Arial" w:cs="Arial"/>
                            <w:sz w:val="15"/>
                          </w:rPr>
                          <w:t>rato successivamente all’entrata in vigore del medesimo decreto legislativo.</w:t>
                        </w:r>
                      </w:p>
                    </w:txbxContent>
                  </v:textbox>
                </v:rect>
                <v:rect id="Rectangle 15049" o:spid="_x0000_s1713" style="position:absolute;left:14643;top:24734;width:87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W2yxQAAAN4AAAAPAAAAZHJzL2Rvd25yZXYueG1sRE9La8JA&#10;EL4L/Q/LFHrTTaUWG12lKNIcvPgoeByyYxLNzi7Z1aT+elcoeJuP7znTeWdqcaXGV5YVvA8SEMS5&#10;1RUXCva7VX8MwgdkjbVlUvBHHuazl94UU21b3tB1GwoRQ9inqKAMwaVS+rwkg35gHXHkjrYxGCJs&#10;CqkbbGO4qeUwST6lwYpjQ4mOFiXl5+3FKDgs2WWrVubH28KtT9m4/rnsf5V6e+2+JyACdeEp/ndn&#10;Os4fJR9f8Hgn3iBndwAAAP//AwBQSwECLQAUAAYACAAAACEA2+H2y+4AAACFAQAAEwAAAAAAAAAA&#10;AAAAAAAAAAAAW0NvbnRlbnRfVHlwZXNdLnhtbFBLAQItABQABgAIAAAAIQBa9CxbvwAAABUBAAAL&#10;AAAAAAAAAAAAAAAAAB8BAABfcmVscy8ucmVsc1BLAQItABQABgAIAAAAIQAp4W2yxQAAAN4AAAAP&#10;AAAAAAAAAAAAAAAAAAcCAABkcnMvZG93bnJldi54bWxQSwUGAAAAAAMAAwC3AAAA+QIAAAAA&#10;" filled="f" stroked="f">
                  <v:textbox inset="0,0,0,0">
                    <w:txbxContent>
                      <w:p w14:paraId="3D5D8936" w14:textId="77777777" w:rsidR="00B32EF2" w:rsidRDefault="00000000">
                        <w:r>
                          <w:rPr>
                            <w:rFonts w:ascii="Arial" w:eastAsia="Arial" w:hAnsi="Arial" w:cs="Arial"/>
                            <w:b/>
                            <w:sz w:val="18"/>
                          </w:rPr>
                          <w:t>Articolo 113</w:t>
                        </w:r>
                      </w:p>
                    </w:txbxContent>
                  </v:textbox>
                </v:rect>
                <v:rect id="Rectangle 199905" o:spid="_x0000_s1714" style="position:absolute;left:11618;top:23501;width:194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Ke5xAAAAN8AAAAPAAAAZHJzL2Rvd25yZXYueG1sRE/Pa8Iw&#10;FL4P/B/CE7zN1IHDVqOIIuthlzkFj4/m2Vabl9BEW/3rl8Fgx4/v92LVm0bcqfW1ZQWTcQKCuLC6&#10;5lLB4Xv3OgPhA7LGxjIpeJCH1XLwssBM246/6L4PpYgh7DNUUIXgMil9UZFBP7aOOHJn2xoMEbal&#10;1C12Mdw08i1J3qXBmmNDhY42FRXX/c0oOG3Z5btOFufnxn1e8lnzcTsclRoN+/UcRKA+/Iv/3LmO&#10;89M0Tabw+ycCkMsfAAAA//8DAFBLAQItABQABgAIAAAAIQDb4fbL7gAAAIUBAAATAAAAAAAAAAAA&#10;AAAAAAAAAABbQ29udGVudF9UeXBlc10ueG1sUEsBAi0AFAAGAAgAAAAhAFr0LFu/AAAAFQEAAAsA&#10;AAAAAAAAAAAAAAAAHwEAAF9yZWxzLy5yZWxzUEsBAi0AFAAGAAgAAAAhADqkp7nEAAAA3wAAAA8A&#10;AAAAAAAAAAAAAAAABwIAAGRycy9kb3ducmV2LnhtbFBLBQYAAAAAAwADALcAAAD4AgAAAAA=&#10;" filled="f" stroked="f">
                  <v:textbox inset="0,0,0,0">
                    <w:txbxContent>
                      <w:p w14:paraId="7E919524" w14:textId="77777777" w:rsidR="00B32EF2" w:rsidRDefault="00000000">
                        <w:r>
                          <w:rPr>
                            <w:rFonts w:ascii="Arial" w:eastAsia="Arial" w:hAnsi="Arial" w:cs="Arial"/>
                            <w:i/>
                            <w:sz w:val="18"/>
                          </w:rPr>
                          <w:t xml:space="preserve">articolo 59 D.lgs. n. </w:t>
                        </w:r>
                      </w:p>
                    </w:txbxContent>
                  </v:textbox>
                </v:rect>
                <v:rect id="Rectangle 199904" o:spid="_x0000_s1715" style="position:absolute;left:-2645;top:23501;width:194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AIixAAAAN8AAAAPAAAAZHJzL2Rvd25yZXYueG1sRE/Pa8Iw&#10;FL4P/B/CE7zN1CHDVqOIIuthlzkFj4/m2Vabl9BEW/3rl8Fgx4/v92LVm0bcqfW1ZQWTcQKCuLC6&#10;5lLB4Xv3OgPhA7LGxjIpeJCH1XLwssBM246/6L4PpYgh7DNUUIXgMil9UZFBP7aOOHJn2xoMEbal&#10;1C12Mdw08i1J3qXBmmNDhY42FRXX/c0oOG3Z5btOFufnxn1e8lnzcTsclRoN+/UcRKA+/Iv/3LmO&#10;89M0Tabw+ycCkMsfAAAA//8DAFBLAQItABQABgAIAAAAIQDb4fbL7gAAAIUBAAATAAAAAAAAAAAA&#10;AAAAAAAAAABbQ29udGVudF9UeXBlc10ueG1sUEsBAi0AFAAGAAgAAAAhAFr0LFu/AAAAFQEAAAsA&#10;AAAAAAAAAAAAAAAAHwEAAF9yZWxzLy5yZWxzUEsBAi0AFAAGAAgAAAAhAFXoAiLEAAAA3wAAAA8A&#10;AAAAAAAAAAAAAAAABwIAAGRycy9kb3ducmV2LnhtbFBLBQYAAAAAAwADALcAAAD4AgAAAAA=&#10;" filled="f" stroked="f">
                  <v:textbox inset="0,0,0,0">
                    <w:txbxContent>
                      <w:p w14:paraId="325E068B" w14:textId="77777777" w:rsidR="00B32EF2" w:rsidRDefault="00000000">
                        <w:r>
                          <w:rPr>
                            <w:rFonts w:ascii="Arial" w:eastAsia="Arial" w:hAnsi="Arial" w:cs="Arial"/>
                            <w:i/>
                            <w:sz w:val="18"/>
                          </w:rPr>
                          <w:t>546/92)</w:t>
                        </w:r>
                      </w:p>
                    </w:txbxContent>
                  </v:textbox>
                </v:rect>
                <v:rect id="Rectangle 199903" o:spid="_x0000_s1716" style="position:absolute;left:22221;top:23501;width:194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ZpWxAAAAN8AAAAPAAAAZHJzL2Rvd25yZXYueG1sRE/Pa8Iw&#10;FL4P/B/CE7zN1AnDVqOIIuthlzkFj4/m2Vabl9BEW/3rl8Fgx4/v92LVm0bcqfW1ZQWTcQKCuLC6&#10;5lLB4Xv3OgPhA7LGxjIpeJCH1XLwssBM246/6L4PpYgh7DNUUIXgMil9UZFBP7aOOHJn2xoMEbal&#10;1C12Mdw08i1J3qXBmmNDhY42FRXX/c0oOG3Z5btOFufnxn1e8lnzcTsclRoN+/UcRKA+/Iv/3LmO&#10;89M0Tabw+ycCkMsfAAAA//8DAFBLAQItABQABgAIAAAAIQDb4fbL7gAAAIUBAAATAAAAAAAAAAAA&#10;AAAAAAAAAABbQ29udGVudF9UeXBlc10ueG1sUEsBAi0AFAAGAAgAAAAhAFr0LFu/AAAAFQEAAAsA&#10;AAAAAAAAAAAAAAAAHwEAAF9yZWxzLy5yZWxzUEsBAi0AFAAGAAgAAAAhANoBmlbEAAAA3wAAAA8A&#10;AAAAAAAAAAAAAAAABwIAAGRycy9kb3ducmV2LnhtbFBLBQYAAAAAAwADALcAAAD4AgAAAAA=&#10;" filled="f" stroked="f">
                  <v:textbox inset="0,0,0,0">
                    <w:txbxContent>
                      <w:p w14:paraId="62D5AA2B" w14:textId="77777777" w:rsidR="00B32EF2" w:rsidRDefault="00000000">
                        <w:r>
                          <w:rPr>
                            <w:rFonts w:ascii="Arial" w:eastAsia="Arial" w:hAnsi="Arial" w:cs="Arial"/>
                            <w:i/>
                            <w:sz w:val="18"/>
                          </w:rPr>
                          <w:t>(</w:t>
                        </w:r>
                      </w:p>
                    </w:txbxContent>
                  </v:textbox>
                </v:rect>
                <v:rect id="Rectangle 15051" o:spid="_x0000_s1717" style="position:absolute;left:-7128;top:22268;width:434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vdpxQAAAN4AAAAPAAAAZHJzL2Rvd25yZXYueG1sRE9Na8JA&#10;EL0L/odlhN50YyESoqsUizSHXkwt9DhkxyQ2O7tk1yTtr+8WCr3N433O7jCZTgzU+9aygvUqAUFc&#10;Wd1yreDydlpmIHxA1thZJgVf5OGwn892mGs78pmGMtQihrDPUUETgsul9FVDBv3KOuLIXW1vMETY&#10;11L3OMZw08nHJNlIgy3HhgYdHRuqPsu7UfDxzK44jbK6fh/d663Iupf75V2ph8X0tAURaAr/4j93&#10;oeP8NEnX8PtOvEHufwAAAP//AwBQSwECLQAUAAYACAAAACEA2+H2y+4AAACFAQAAEwAAAAAAAAAA&#10;AAAAAAAAAAAAW0NvbnRlbnRfVHlwZXNdLnhtbFBLAQItABQABgAIAAAAIQBa9CxbvwAAABUBAAAL&#10;AAAAAAAAAAAAAAAAAB8BAABfcmVscy8ucmVsc1BLAQItABQABgAIAAAAIQBSTvdpxQAAAN4AAAAP&#10;AAAAAAAAAAAAAAAAAAcCAABkcnMvZG93bnJldi54bWxQSwUGAAAAAAMAAwC3AAAA+QIAAAAA&#10;" filled="f" stroked="f">
                  <v:textbox inset="0,0,0,0">
                    <w:txbxContent>
                      <w:p w14:paraId="7DFFC898" w14:textId="77777777" w:rsidR="00B32EF2" w:rsidRDefault="00000000">
                        <w:r>
                          <w:rPr>
                            <w:rFonts w:ascii="Arial" w:eastAsia="Arial" w:hAnsi="Arial" w:cs="Arial"/>
                            <w:b/>
                            <w:sz w:val="18"/>
                          </w:rPr>
                          <w:t xml:space="preserve">Rimessione alla corte di giustizia tributaria di primo grado </w:t>
                        </w:r>
                      </w:p>
                    </w:txbxContent>
                  </v:textbox>
                </v:rect>
                <v:rect id="Rectangle 199902" o:spid="_x0000_s1718" style="position:absolute;left:-13763;top:2099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T/NxAAAAN8AAAAPAAAAZHJzL2Rvd25yZXYueG1sRE/Pa8Iw&#10;FL4P/B/CG3ib6TwM2xlFFFkPXqYVPD6aZ9vZvIQm2upfvwwGHj++3/PlYFpxo843lhW8TxIQxKXV&#10;DVcKisP2bQbCB2SNrWVScCcPy8XoZY6Ztj1/020fKhFD2GeooA7BZVL6siaDfmIdceTOtjMYIuwq&#10;qTvsY7hp5TRJPqTBhmNDjY7WNZWX/dUoOG3Y5dtelufH2u1+8ln7dS2OSo1fh9UniEBDeIr/3bmO&#10;89M0Tabw9ycCkItfAAAA//8DAFBLAQItABQABgAIAAAAIQDb4fbL7gAAAIUBAAATAAAAAAAAAAAA&#10;AAAAAAAAAABbQ29udGVudF9UeXBlc10ueG1sUEsBAi0AFAAGAAgAAAAhAFr0LFu/AAAAFQEAAAsA&#10;AAAAAAAAAAAAAAAAHwEAAF9yZWxzLy5yZWxzUEsBAi0AFAAGAAgAAAAhALVNP83EAAAA3wAAAA8A&#10;AAAAAAAAAAAAAAAABwIAAGRycy9kb3ducmV2LnhtbFBLBQYAAAAAAwADALcAAAD4AgAAAAA=&#10;" filled="f" stroked="f">
                  <v:textbox inset="0,0,0,0">
                    <w:txbxContent>
                      <w:p w14:paraId="42A6B978" w14:textId="77777777" w:rsidR="00B32EF2" w:rsidRDefault="00000000">
                        <w:r>
                          <w:rPr>
                            <w:rFonts w:ascii="Arial" w:eastAsia="Arial" w:hAnsi="Arial" w:cs="Arial"/>
                            <w:sz w:val="18"/>
                          </w:rPr>
                          <w:t xml:space="preserve">. La corte di giustizia tributaria di secondo grado rimette la causa alla corte </w:t>
                        </w:r>
                      </w:p>
                    </w:txbxContent>
                  </v:textbox>
                </v:rect>
                <v:rect id="Rectangle 199901" o:spid="_x0000_s1719" style="position:absolute;left:26109;top:2099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6G6xAAAAN8AAAAPAAAAZHJzL2Rvd25yZXYueG1sRE/LisIw&#10;FN0L/kO4wuw01cVgO0YRRaaL2fgYmOWlubYdm5vQRNuZrzeC4PJw3otVbxpxo9bXlhVMJwkI4sLq&#10;mksFp+NuPAfhA7LGxjIp+CMPq+VwsMBM2473dDuEUsQQ9hkqqEJwmZS+qMign1hHHLmzbQ2GCNtS&#10;6ha7GG4aOUuSd2mw5thQoaNNRcXlcDUKfrbs8l0ni/P/xn395vPm83r6Vupt1K8/QATqw0v8dOc6&#10;zk/TNJnC408EIJd3AAAA//8DAFBLAQItABQABgAIAAAAIQDb4fbL7gAAAIUBAAATAAAAAAAAAAAA&#10;AAAAAAAAAABbQ29udGVudF9UeXBlc10ueG1sUEsBAi0AFAAGAAgAAAAhAFr0LFu/AAAAFQEAAAsA&#10;AAAAAAAAAAAAAAAAHwEAAF9yZWxzLy5yZWxzUEsBAi0AFAAGAAgAAAAhAEWfobrEAAAA3wAAAA8A&#10;AAAAAAAAAAAAAAAABwIAAGRycy9kb3ducmV2LnhtbFBLBQYAAAAAAwADALcAAAD4AgAAAAA=&#10;" filled="f" stroked="f">
                  <v:textbox inset="0,0,0,0">
                    <w:txbxContent>
                      <w:p w14:paraId="79294FFD" w14:textId="77777777" w:rsidR="00B32EF2" w:rsidRDefault="00000000">
                        <w:r>
                          <w:rPr>
                            <w:rFonts w:ascii="Arial" w:eastAsia="Arial" w:hAnsi="Arial" w:cs="Arial"/>
                            <w:sz w:val="18"/>
                          </w:rPr>
                          <w:t>1</w:t>
                        </w:r>
                      </w:p>
                    </w:txbxContent>
                  </v:textbox>
                </v:rect>
                <v:rect id="Rectangle 15053" o:spid="_x0000_s1720" style="position:absolute;left:-13172;top:1972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MyFxQAAAN4AAAAPAAAAZHJzL2Rvd25yZXYueG1sRE9LawIx&#10;EL4L/Q9hCt4024pFVrNSLNI99OKj0OOwmX3YzSRsorv66xuh4G0+vues1oNpxYU631hW8DJNQBAX&#10;VjdcKTgetpMFCB+QNbaWScGVPKyzp9EKU2173tFlHyoRQ9inqKAOwaVS+qImg35qHXHkStsZDBF2&#10;ldQd9jHctPI1Sd6kwYZjQ42ONjUVv/uzUfDzwS7f9rIobxv3dcoX7ef5+K3U+Hl4X4IINISH+N+d&#10;6zh/nsxncH8n3iCzPwAAAP//AwBQSwECLQAUAAYACAAAACEA2+H2y+4AAACFAQAAEwAAAAAAAAAA&#10;AAAAAAAAAAAAW0NvbnRlbnRfVHlwZXNdLnhtbFBLAQItABQABgAIAAAAIQBa9CxbvwAAABUBAAAL&#10;AAAAAAAAAAAAAAAAAB8BAABfcmVscy8ucmVsc1BLAQItABQABgAIAAAAIQDN0MyFxQAAAN4AAAAP&#10;AAAAAAAAAAAAAAAAAAcCAABkcnMvZG93bnJldi54bWxQSwUGAAAAAAMAAwC3AAAA+QIAAAAA&#10;" filled="f" stroked="f">
                  <v:textbox inset="0,0,0,0">
                    <w:txbxContent>
                      <w:p w14:paraId="1AA42F04" w14:textId="77777777" w:rsidR="00B32EF2" w:rsidRDefault="00000000">
                        <w:r>
                          <w:rPr>
                            <w:rFonts w:ascii="Arial" w:eastAsia="Arial" w:hAnsi="Arial" w:cs="Arial"/>
                            <w:sz w:val="18"/>
                          </w:rPr>
                          <w:t xml:space="preserve">di giustizia tributaria di primo grado che ha emesso la sentenza impugnata nei </w:t>
                        </w:r>
                      </w:p>
                    </w:txbxContent>
                  </v:textbox>
                </v:rect>
                <v:rect id="Rectangle 15054" o:spid="_x0000_s1721" style="position:absolute;left:30518;top:18458;width:94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VTxxQAAAN4AAAAPAAAAZHJzL2Rvd25yZXYueG1sRE9LawIx&#10;EL4L/Q9hCt4026JFVrNSLNI99OKj0OOwmX3YzSRsorv66xuh4G0+vues1oNpxYU631hW8DJNQBAX&#10;VjdcKTgetpMFCB+QNbaWScGVPKyzp9EKU2173tFlHyoRQ9inqKAOwaVS+qImg35qHXHkStsZDBF2&#10;ldQd9jHctPI1Sd6kwYZjQ42ONjUVv/uzUfDzwS7f9rIobxv3dcoX7ef5+K3U+Hl4X4IINISH+N+d&#10;6zh/nsxncH8n3iCzPwAAAP//AwBQSwECLQAUAAYACAAAACEA2+H2y+4AAACFAQAAEwAAAAAAAAAA&#10;AAAAAAAAAAAAW0NvbnRlbnRfVHlwZXNdLnhtbFBLAQItABQABgAIAAAAIQBa9CxbvwAAABUBAAAL&#10;AAAAAAAAAAAAAAAAAB8BAABfcmVscy8ucmVsc1BLAQItABQABgAIAAAAIQBCOVTxxQAAAN4AAAAP&#10;AAAAAAAAAAAAAAAAAAcCAABkcnMvZG93bnJldi54bWxQSwUGAAAAAAMAAwC3AAAA+QIAAAAA&#10;" filled="f" stroked="f">
                  <v:textbox inset="0,0,0,0">
                    <w:txbxContent>
                      <w:p w14:paraId="1B649993" w14:textId="77777777" w:rsidR="00B32EF2" w:rsidRDefault="00000000">
                        <w:r>
                          <w:rPr>
                            <w:rFonts w:ascii="Arial" w:eastAsia="Arial" w:hAnsi="Arial" w:cs="Arial"/>
                            <w:sz w:val="18"/>
                          </w:rPr>
                          <w:t>seguenti casi:</w:t>
                        </w:r>
                      </w:p>
                    </w:txbxContent>
                  </v:textbox>
                </v:rect>
                <v:rect id="Rectangle 15055" o:spid="_x0000_s1722" style="position:absolute;left:-13174;top:17188;width:531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fFqxAAAAN4AAAAPAAAAZHJzL2Rvd25yZXYueG1sRE9Ni8Iw&#10;EL0v+B/CCN7WVKGLVKOIIvbgZV0Fj0MzttVmEppo6/76zcLC3ubxPmex6k0jntT62rKCyTgBQVxY&#10;XXOp4PS1e5+B8AFZY2OZFLzIw2o5eFtgpm3Hn/Q8hlLEEPYZKqhCcJmUvqjIoB9bRxy5q20Nhgjb&#10;UuoWuxhuGjlNkg9psObYUKGjTUXF/fgwCi5bdvmuk8X1e+MOt3zW7B+ns1KjYb+egwjUh3/xnzvX&#10;cX6apCn8vhNvkMsfAAAA//8DAFBLAQItABQABgAIAAAAIQDb4fbL7gAAAIUBAAATAAAAAAAAAAAA&#10;AAAAAAAAAABbQ29udGVudF9UeXBlc10ueG1sUEsBAi0AFAAGAAgAAAAhAFr0LFu/AAAAFQEAAAsA&#10;AAAAAAAAAAAAAAAAHwEAAF9yZWxzLy5yZWxzUEsBAi0AFAAGAAgAAAAhAC118WrEAAAA3gAAAA8A&#10;AAAAAAAAAAAAAAAABwIAAGRycy9kb3ducmV2LnhtbFBLBQYAAAAAAwADALcAAAD4AgAAAAA=&#10;" filled="f" stroked="f">
                  <v:textbox inset="0,0,0,0">
                    <w:txbxContent>
                      <w:p w14:paraId="0E7883F9" w14:textId="77777777" w:rsidR="00B32EF2" w:rsidRDefault="00000000">
                        <w:r>
                          <w:rPr>
                            <w:rFonts w:ascii="Arial" w:eastAsia="Arial" w:hAnsi="Arial" w:cs="Arial"/>
                            <w:sz w:val="18"/>
                          </w:rPr>
                          <w:t xml:space="preserve">a) quando dichiara la competenza declinata o la giurisdizione negata dal </w:t>
                        </w:r>
                      </w:p>
                    </w:txbxContent>
                  </v:textbox>
                </v:rect>
                <v:rect id="Rectangle 15056" o:spid="_x0000_s1723" style="position:absolute;left:30134;top:15918;width:98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28dwwAAAN4AAAAPAAAAZHJzL2Rvd25yZXYueG1sRE9Ni8Iw&#10;EL0L+x/CLOxN0xUUqUYRF7EHL7oKHodmbKvNJDTRdv31RhD2No/3ObNFZ2pxp8ZXlhV8DxIQxLnV&#10;FRcKDr/r/gSED8gaa8uk4I88LOYfvRmm2ra8o/s+FCKGsE9RQRmCS6X0eUkG/cA64sidbWMwRNgU&#10;UjfYxnBTy2GSjKXBimNDiY5WJeXX/c0oOP2wy9atzM+Pldteskm9uR2OSn19dsspiEBd+Be/3ZmO&#10;80fJaAyvd+INcv4EAAD//wMAUEsBAi0AFAAGAAgAAAAhANvh9svuAAAAhQEAABMAAAAAAAAAAAAA&#10;AAAAAAAAAFtDb250ZW50X1R5cGVzXS54bWxQSwECLQAUAAYACAAAACEAWvQsW78AAAAVAQAACwAA&#10;AAAAAAAAAAAAAAAfAQAAX3JlbHMvLnJlbHNQSwECLQAUAAYACAAAACEA3advHcMAAADeAAAADwAA&#10;AAAAAAAAAAAAAAAHAgAAZHJzL2Rvd25yZXYueG1sUEsFBgAAAAADAAMAtwAAAPcCAAAAAA==&#10;" filled="f" stroked="f">
                  <v:textbox inset="0,0,0,0">
                    <w:txbxContent>
                      <w:p w14:paraId="7957A92F" w14:textId="77777777" w:rsidR="00B32EF2" w:rsidRDefault="00000000">
                        <w:r>
                          <w:rPr>
                            <w:rFonts w:ascii="Arial" w:eastAsia="Arial" w:hAnsi="Arial" w:cs="Arial"/>
                            <w:sz w:val="18"/>
                          </w:rPr>
                          <w:t>primo giudice;</w:t>
                        </w:r>
                      </w:p>
                    </w:txbxContent>
                  </v:textbox>
                </v:rect>
                <v:rect id="Rectangle 15057" o:spid="_x0000_s1724" style="position:absolute;left:-13172;top:1464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8qGxAAAAN4AAAAPAAAAZHJzL2Rvd25yZXYueG1sRE9Li8Iw&#10;EL4L+x/CLHjTdAUfVKOIi9jDXnRd2OPQjG21mYQm2rq/3gjC3ubje85i1Zla3KjxlWUFH8MEBHFu&#10;dcWFguP3djAD4QOyxtoyKbiTh9XyrbfAVNuW93Q7hELEEPYpKihDcKmUPi/JoB9aRxy5k20Mhgib&#10;QuoG2xhuajlKkok0WHFsKNHRpqT8crgaBb+f7LJtK/PT38Z9nbNZvbsef5Tqv3frOYhAXfgXv9yZ&#10;jvPHyXgKz3fiDXL5AAAA//8DAFBLAQItABQABgAIAAAAIQDb4fbL7gAAAIUBAAATAAAAAAAAAAAA&#10;AAAAAAAAAABbQ29udGVudF9UeXBlc10ueG1sUEsBAi0AFAAGAAgAAAAhAFr0LFu/AAAAFQEAAAsA&#10;AAAAAAAAAAAAAAAAHwEAAF9yZWxzLy5yZWxzUEsBAi0AFAAGAAgAAAAhALLryobEAAAA3gAAAA8A&#10;AAAAAAAAAAAAAAAABwIAAGRycy9kb3ducmV2LnhtbFBLBQYAAAAAAwADALcAAAD4AgAAAAA=&#10;" filled="f" stroked="f">
                  <v:textbox inset="0,0,0,0">
                    <w:txbxContent>
                      <w:p w14:paraId="009CD9E8" w14:textId="77777777" w:rsidR="00B32EF2" w:rsidRDefault="00000000">
                        <w:r>
                          <w:rPr>
                            <w:rFonts w:ascii="Arial" w:eastAsia="Arial" w:hAnsi="Arial" w:cs="Arial"/>
                            <w:sz w:val="18"/>
                          </w:rPr>
                          <w:t xml:space="preserve">b) quando riconosce che nel giudizio di primo grado il contraddittorio non è </w:t>
                        </w:r>
                      </w:p>
                    </w:txbxContent>
                  </v:textbox>
                </v:rect>
                <v:rect id="Rectangle 15058" o:spid="_x0000_s1725" style="position:absolute;left:12525;top:13379;width:2739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F70xwAAAN4AAAAPAAAAZHJzL2Rvd25yZXYueG1sRI9Pa8JA&#10;EMXvQr/DMoXedFPBIqmriEXMoRf/FHocsmOSmp1dsqtJ++mdQ8HbDO/Ne79ZrAbXqht1sfFs4HWS&#10;gSIuvW24MnA6bsdzUDEhW2w9k4FfirBaPo0WmFvf855uh1QpCeGYo4E6pZBrHcuaHMaJD8SinX3n&#10;MMnaVdp22Eu4a/U0y960w4alocZAm5rKy+HqDHx/cCi2vS7Pf5vw+VPM29319GXMy/OwfgeVaEgP&#10;8/91YQV/ls2EV96RGfTyDgAA//8DAFBLAQItABQABgAIAAAAIQDb4fbL7gAAAIUBAAATAAAAAAAA&#10;AAAAAAAAAAAAAABbQ29udGVudF9UeXBlc10ueG1sUEsBAi0AFAAGAAgAAAAhAFr0LFu/AAAAFQEA&#10;AAsAAAAAAAAAAAAAAAAAHwEAAF9yZWxzLy5yZWxzUEsBAi0AFAAGAAgAAAAhAMN0XvTHAAAA3gAA&#10;AA8AAAAAAAAAAAAAAAAABwIAAGRycy9kb3ducmV2LnhtbFBLBQYAAAAAAwADALcAAAD7AgAAAAA=&#10;" filled="f" stroked="f">
                  <v:textbox inset="0,0,0,0">
                    <w:txbxContent>
                      <w:p w14:paraId="32908121" w14:textId="77777777" w:rsidR="00B32EF2" w:rsidRDefault="00000000">
                        <w:r>
                          <w:rPr>
                            <w:rFonts w:ascii="Arial" w:eastAsia="Arial" w:hAnsi="Arial" w:cs="Arial"/>
                            <w:sz w:val="18"/>
                          </w:rPr>
                          <w:t>stato regolarmente costituito o integrato;</w:t>
                        </w:r>
                      </w:p>
                    </w:txbxContent>
                  </v:textbox>
                </v:rect>
                <v:rect id="Rectangle 15059" o:spid="_x0000_s1726" style="position:absolute;left:-13172;top:1210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tvxQAAAN4AAAAPAAAAZHJzL2Rvd25yZXYueG1sRE9LawIx&#10;EL4X/A9hhN40a0GxW7MiinQPvdQqeBw2s4+6mYRNdLf99aYg9DYf33NW68G04kadbywrmE0TEMSF&#10;1Q1XCo5f+8kShA/IGlvLpOCHPKyz0dMKU217/qTbIVQihrBPUUEdgkul9EVNBv3UOuLIlbYzGCLs&#10;Kqk77GO4aeVLkiykwYZjQ42OtjUVl8PVKDjv2OX7Xhbl79Z9fOfL9v16PCn1PB42byACDeFf/HDn&#10;Os6fJ/NX+Hsn3iCzOwAAAP//AwBQSwECLQAUAAYACAAAACEA2+H2y+4AAACFAQAAEwAAAAAAAAAA&#10;AAAAAAAAAAAAW0NvbnRlbnRfVHlwZXNdLnhtbFBLAQItABQABgAIAAAAIQBa9CxbvwAAABUBAAAL&#10;AAAAAAAAAAAAAAAAAB8BAABfcmVscy8ucmVsc1BLAQItABQABgAIAAAAIQCsOPtvxQAAAN4AAAAP&#10;AAAAAAAAAAAAAAAAAAcCAABkcnMvZG93bnJldi54bWxQSwUGAAAAAAMAAwC3AAAA+QIAAAAA&#10;" filled="f" stroked="f">
                  <v:textbox inset="0,0,0,0">
                    <w:txbxContent>
                      <w:p w14:paraId="34A1A3D5" w14:textId="77777777" w:rsidR="00B32EF2" w:rsidRDefault="00000000">
                        <w:r>
                          <w:rPr>
                            <w:rFonts w:ascii="Arial" w:eastAsia="Arial" w:hAnsi="Arial" w:cs="Arial"/>
                            <w:sz w:val="18"/>
                          </w:rPr>
                          <w:t xml:space="preserve">c) quando riconosce che la sentenza impugnata, erroneamente giudicando, </w:t>
                        </w:r>
                      </w:p>
                    </w:txbxContent>
                  </v:textbox>
                </v:rect>
                <v:rect id="Rectangle 15060" o:spid="_x0000_s1727" style="position:absolute;left:-13172;top:1083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phPxwAAAN4AAAAPAAAAZHJzL2Rvd25yZXYueG1sRI9Pa8JA&#10;EMXvhX6HZQq91U0LFUldRSzSHLz4DzwO2TFJzc4u2dXEfvrOQfA2w7x57/2m88G16kpdbDwbeB9l&#10;oIhLbxuuDOx3q7cJqJiQLbaeycCNIsxnz09TzK3veUPXbaqUmHDM0UCdUsi1jmVNDuPIB2K5nXzn&#10;MMnaVdp22Iu5a/VHlo21w4YlocZAy5rK8/biDBy/ORSrXpenv2VY/xaT9ueyPxjz+jIsvkAlGtJD&#10;fP8urNT/zMYCIDgyg579AwAA//8DAFBLAQItABQABgAIAAAAIQDb4fbL7gAAAIUBAAATAAAAAAAA&#10;AAAAAAAAAAAAAABbQ29udGVudF9UeXBlc10ueG1sUEsBAi0AFAAGAAgAAAAhAFr0LFu/AAAAFQEA&#10;AAsAAAAAAAAAAAAAAAAAHwEAAF9yZWxzLy5yZWxzUEsBAi0AFAAGAAgAAAAhAPNumE/HAAAA3gAA&#10;AA8AAAAAAAAAAAAAAAAABwIAAGRycy9kb3ducmV2LnhtbFBLBQYAAAAAAwADALcAAAD7AgAAAAA=&#10;" filled="f" stroked="f">
                  <v:textbox inset="0,0,0,0">
                    <w:txbxContent>
                      <w:p w14:paraId="65273E64" w14:textId="77777777" w:rsidR="00B32EF2" w:rsidRDefault="00000000">
                        <w:r>
                          <w:rPr>
                            <w:rFonts w:ascii="Arial" w:eastAsia="Arial" w:hAnsi="Arial" w:cs="Arial"/>
                            <w:sz w:val="18"/>
                          </w:rPr>
                          <w:t xml:space="preserve">ha dichiarato estinto il processo in sede di reclamo contro il provvedimento </w:t>
                        </w:r>
                      </w:p>
                    </w:txbxContent>
                  </v:textbox>
                </v:rect>
                <v:rect id="Rectangle 15061" o:spid="_x0000_s1728" style="position:absolute;left:30439;top:9569;width:94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3UxQAAAN4AAAAPAAAAZHJzL2Rvd25yZXYueG1sRE9Na8JA&#10;EL0X+h+WKfRWNxYaQuoqYpHm4MXUQo9DdkxSs7NLdk1Sf70rCL3N433OYjWZTgzU+9aygvksAUFc&#10;Wd1yreDwtX3JQPiArLGzTAr+yMNq+fiwwFzbkfc0lKEWMYR9jgqaEFwupa8aMuhn1hFH7mh7gyHC&#10;vpa6xzGGm06+JkkqDbYcGxp0tGmoOpVno+Dng12xHWV1vGzc7rfIus/z4Vup56dp/Q4i0BT+xXd3&#10;oeP8tySdw+2deINcXgEAAP//AwBQSwECLQAUAAYACAAAACEA2+H2y+4AAACFAQAAEwAAAAAAAAAA&#10;AAAAAAAAAAAAW0NvbnRlbnRfVHlwZXNdLnhtbFBLAQItABQABgAIAAAAIQBa9CxbvwAAABUBAAAL&#10;AAAAAAAAAAAAAAAAAB8BAABfcmVscy8ucmVsc1BLAQItABQABgAIAAAAIQCcIj3UxQAAAN4AAAAP&#10;AAAAAAAAAAAAAAAAAAcCAABkcnMvZG93bnJldi54bWxQSwUGAAAAAAMAAwC3AAAA+QIAAAAA&#10;" filled="f" stroked="f">
                  <v:textbox inset="0,0,0,0">
                    <w:txbxContent>
                      <w:p w14:paraId="422CAE5F" w14:textId="77777777" w:rsidR="00B32EF2" w:rsidRDefault="00000000">
                        <w:r>
                          <w:rPr>
                            <w:rFonts w:ascii="Arial" w:eastAsia="Arial" w:hAnsi="Arial" w:cs="Arial"/>
                            <w:sz w:val="18"/>
                          </w:rPr>
                          <w:t>presidenziale;</w:t>
                        </w:r>
                      </w:p>
                    </w:txbxContent>
                  </v:textbox>
                </v:rect>
                <v:rect id="Rectangle 15062" o:spid="_x0000_s1729" style="position:absolute;left:-13172;top:82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KOjxQAAAN4AAAAPAAAAZHJzL2Rvd25yZXYueG1sRE9Na8JA&#10;EL0L/Q/LFHrTTQMGia4iKWIOvdRa6HHIjkk0O7tk1yTtr+8WCr3N433OZjeZTgzU+9aygudFAoK4&#10;srrlWsH5/TBfgfABWWNnmRR8kYfd9mG2wVzbkd9oOIVaxBD2OSpoQnC5lL5qyKBfWEccuYvtDYYI&#10;+1rqHscYbjqZJkkmDbYcGxp0VDRU3U53o+DzhV15GGV1+S7c67Vcdcf7+UOpp8dpvwYRaAr/4j93&#10;qeP8ZZKl8PtOvEFufwAAAP//AwBQSwECLQAUAAYACAAAACEA2+H2y+4AAACFAQAAEwAAAAAAAAAA&#10;AAAAAAAAAAAAW0NvbnRlbnRfVHlwZXNdLnhtbFBLAQItABQABgAIAAAAIQBa9CxbvwAAABUBAAAL&#10;AAAAAAAAAAAAAAAAAB8BAABfcmVscy8ucmVsc1BLAQItABQABgAIAAAAIQBs8KOjxQAAAN4AAAAP&#10;AAAAAAAAAAAAAAAAAAcCAABkcnMvZG93bnJldi54bWxQSwUGAAAAAAMAAwC3AAAA+QIAAAAA&#10;" filled="f" stroked="f">
                  <v:textbox inset="0,0,0,0">
                    <w:txbxContent>
                      <w:p w14:paraId="3D1BE63B" w14:textId="77777777" w:rsidR="00B32EF2" w:rsidRDefault="00000000">
                        <w:r>
                          <w:rPr>
                            <w:rFonts w:ascii="Arial" w:eastAsia="Arial" w:hAnsi="Arial" w:cs="Arial"/>
                            <w:sz w:val="18"/>
                          </w:rPr>
                          <w:t xml:space="preserve">d) quando riconosce che il collegio della corte di giustizia tributaria di primo </w:t>
                        </w:r>
                      </w:p>
                    </w:txbxContent>
                  </v:textbox>
                </v:rect>
                <v:rect id="Rectangle 15063" o:spid="_x0000_s1730" style="position:absolute;left:12402;top:7029;width:275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Y4xQAAAN4AAAAPAAAAZHJzL2Rvd25yZXYueG1sRE9LawIx&#10;EL4L/Q9hCt4020pFVrNSLNI99KK10OOwmX3YzSRsorv6640g9DYf33NW68G04kydbywreJkmIIgL&#10;qxuuFBy+t5MFCB+QNbaWScGFPKyzp9EKU2173tF5HyoRQ9inqKAOwaVS+qImg35qHXHkStsZDBF2&#10;ldQd9jHctPI1SebSYMOxoUZHm5qKv/3JKPj9YJdve1mU1437OuaL9vN0+FFq/Dy8L0EEGsK/+OHO&#10;dZz/lsxncH8n3iCzGwAAAP//AwBQSwECLQAUAAYACAAAACEA2+H2y+4AAACFAQAAEwAAAAAAAAAA&#10;AAAAAAAAAAAAW0NvbnRlbnRfVHlwZXNdLnhtbFBLAQItABQABgAIAAAAIQBa9CxbvwAAABUBAAAL&#10;AAAAAAAAAAAAAAAAAB8BAABfcmVscy8ucmVsc1BLAQItABQABgAIAAAAIQADvAY4xQAAAN4AAAAP&#10;AAAAAAAAAAAAAAAAAAcCAABkcnMvZG93bnJldi54bWxQSwUGAAAAAAMAAwC3AAAA+QIAAAAA&#10;" filled="f" stroked="f">
                  <v:textbox inset="0,0,0,0">
                    <w:txbxContent>
                      <w:p w14:paraId="555F0FD8" w14:textId="77777777" w:rsidR="00B32EF2" w:rsidRDefault="00000000">
                        <w:r>
                          <w:rPr>
                            <w:rFonts w:ascii="Arial" w:eastAsia="Arial" w:hAnsi="Arial" w:cs="Arial"/>
                            <w:sz w:val="18"/>
                          </w:rPr>
                          <w:t>grado non era legittimamente composto;</w:t>
                        </w:r>
                      </w:p>
                    </w:txbxContent>
                  </v:textbox>
                </v:rect>
                <v:rect id="Rectangle 15064" o:spid="_x0000_s1731" style="position:absolute;left:-12730;top:5759;width:526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Z5MxQAAAN4AAAAPAAAAZHJzL2Rvd25yZXYueG1sRE9LawIx&#10;EL4L/Q9hCt4022JFVrNSLNI99KK10OOwmX3YzSRsorv6640g9DYf33NW68G04kydbywreJkmIIgL&#10;qxuuFBy+t5MFCB+QNbaWScGFPKyzp9EKU2173tF5HyoRQ9inqKAOwaVS+qImg35qHXHkStsZDBF2&#10;ldQd9jHctPI1SebSYMOxoUZHm5qKv/3JKPj9YJdve1mU1437OuaL9vN0+FFq/Dy8L0EEGsK/+OHO&#10;dZz/lsxncH8n3iCzGwAAAP//AwBQSwECLQAUAAYACAAAACEA2+H2y+4AAACFAQAAEwAAAAAAAAAA&#10;AAAAAAAAAAAAW0NvbnRlbnRfVHlwZXNdLnhtbFBLAQItABQABgAIAAAAIQBa9CxbvwAAABUBAAAL&#10;AAAAAAAAAAAAAAAAAB8BAABfcmVscy8ucmVsc1BLAQItABQABgAIAAAAIQCMVZ5MxQAAAN4AAAAP&#10;AAAAAAAAAAAAAAAAAAcCAABkcnMvZG93bnJldi54bWxQSwUGAAAAAAMAAwC3AAAA+QIAAAAA&#10;" filled="f" stroked="f">
                  <v:textbox inset="0,0,0,0">
                    <w:txbxContent>
                      <w:p w14:paraId="1B8B1955" w14:textId="77777777" w:rsidR="00B32EF2" w:rsidRDefault="00000000">
                        <w:r>
                          <w:rPr>
                            <w:rFonts w:ascii="Arial" w:eastAsia="Arial" w:hAnsi="Arial" w:cs="Arial"/>
                            <w:sz w:val="18"/>
                          </w:rPr>
                          <w:t>e) quando manca la sottoscrizione della sentenza da parte del giudice di primo grado.</w:t>
                        </w:r>
                      </w:p>
                    </w:txbxContent>
                  </v:textbox>
                </v:rect>
                <v:rect id="Rectangle 199900" o:spid="_x0000_s1732" style="position:absolute;left:-12851;top:4489;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wQhxAAAAN8AAAAPAAAAZHJzL2Rvd25yZXYueG1sRE87a8Mw&#10;EN4L/Q/iCt0auR1K7EQJISXUQ5c8Ch0P62I7sU7CUmK3v743BDJ+fO/5cnSdulIfW88GXicZKOLK&#10;25ZrA4f95mUKKiZki51nMvBLEZaLx4c5FtYPvKXrLtVKQjgWaKBJKRRax6ohh3HiA7FwR987TAL7&#10;WtseBwl3nX7LsnftsGVpaDDQuqHqvLs4Az8fHMrNoKvj3zp8ncpp93k5fBvz/DSuZqASjekuvrlL&#10;K/PzPM/kgfwRAHrxDwAA//8DAFBLAQItABQABgAIAAAAIQDb4fbL7gAAAIUBAAATAAAAAAAAAAAA&#10;AAAAAAAAAABbQ29udGVudF9UeXBlc10ueG1sUEsBAi0AFAAGAAgAAAAhAFr0LFu/AAAAFQEAAAsA&#10;AAAAAAAAAAAAAAAAHwEAAF9yZWxzLy5yZWxzUEsBAi0AFAAGAAgAAAAhACrTBCHEAAAA3wAAAA8A&#10;AAAAAAAAAAAAAAAABwIAAGRycy9kb3ducmV2LnhtbFBLBQYAAAAAAwADALcAAAD4AgAAAAA=&#10;" filled="f" stroked="f">
                  <v:textbox inset="0,0,0,0">
                    <w:txbxContent>
                      <w:p w14:paraId="36EDD454" w14:textId="77777777" w:rsidR="00B32EF2" w:rsidRDefault="00000000">
                        <w:r>
                          <w:rPr>
                            <w:rFonts w:ascii="Arial" w:eastAsia="Arial" w:hAnsi="Arial" w:cs="Arial"/>
                            <w:sz w:val="18"/>
                          </w:rPr>
                          <w:t>. Al di fuori dei casi previsti al comma 1 la corte di giustizia tributaria di secon</w:t>
                        </w:r>
                      </w:p>
                    </w:txbxContent>
                  </v:textbox>
                </v:rect>
                <v:rect id="Rectangle 199898" o:spid="_x0000_s1733" style="position:absolute;left:26349;top:4489;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pI9xAAAAN8AAAAPAAAAZHJzL2Rvd25yZXYueG1sRE89T8Mw&#10;EN2R+h+sQ+pGHRiqJNStqlYVGVgoRWI8xdckND5bsdsEfj03IDE+ve/VZnK9utEQO88GHhcZKOLa&#10;244bA6f3w0MOKiZki71nMvBNETbr2d0KS+tHfqPbMTVKQjiWaKBNKZRax7olh3HhA7FwZz84TAKH&#10;RtsBRwl3vX7KsqV22LE0tBho11J9OV6dgc89h+ow6vr8swuvX1Xev1xPH8bM76ftM6hEU/oX/7kr&#10;K/OLIi9ksPwRAHr9CwAA//8DAFBLAQItABQABgAIAAAAIQDb4fbL7gAAAIUBAAATAAAAAAAAAAAA&#10;AAAAAAAAAABbQ29udGVudF9UeXBlc10ueG1sUEsBAi0AFAAGAAgAAAAhAFr0LFu/AAAAFQEAAAsA&#10;AAAAAAAAAAAAAAAAHwEAAF9yZWxzLy5yZWxzUEsBAi0AFAAGAAgAAAAhAEpOkj3EAAAA3wAAAA8A&#10;AAAAAAAAAAAAAAAABwIAAGRycy9kb3ducmV2LnhtbFBLBQYAAAAAAwADALcAAAD4AgAAAAA=&#10;" filled="f" stroked="f">
                  <v:textbox inset="0,0,0,0">
                    <w:txbxContent>
                      <w:p w14:paraId="1BF29BD6" w14:textId="77777777" w:rsidR="00B32EF2" w:rsidRDefault="00000000">
                        <w:r>
                          <w:rPr>
                            <w:rFonts w:ascii="Arial" w:eastAsia="Arial" w:hAnsi="Arial" w:cs="Arial"/>
                            <w:sz w:val="18"/>
                          </w:rPr>
                          <w:t>2</w:t>
                        </w:r>
                      </w:p>
                    </w:txbxContent>
                  </v:textbox>
                </v:rect>
                <v:rect id="Rectangle 15066" o:spid="_x0000_s1734" style="position:absolute;left:192;top:448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6WgxAAAAN4AAAAPAAAAZHJzL2Rvd25yZXYueG1sRE9Na8JA&#10;EL0L/odlhN50U6FBUlcpijQHL9oIPQ7ZMUmbnV2yq0n99a4g9DaP9znL9WBacaXON5YVvM4SEMSl&#10;1Q1XCoqv3XQBwgdkja1lUvBHHtar8WiJmbY9H+h6DJWIIewzVFCH4DIpfVmTQT+zjjhyZ9sZDBF2&#10;ldQd9jHctHKeJKk02HBsqNHRpqby93gxCr637PJdL8vzbeP2P/mi/bwUJ6VeJsPHO4hAQ/gXP925&#10;jvPfkjSFxzvxBrm6AwAA//8DAFBLAQItABQABgAIAAAAIQDb4fbL7gAAAIUBAAATAAAAAAAAAAAA&#10;AAAAAAAAAABbQ29udGVudF9UeXBlc10ueG1sUEsBAi0AFAAGAAgAAAAhAFr0LFu/AAAAFQEAAAsA&#10;AAAAAAAAAAAAAAAAHwEAAF9yZWxzLy5yZWxzUEsBAi0AFAAGAAgAAAAhABPLpaDEAAAA3gAAAA8A&#10;AAAAAAAAAAAAAAAABwIAAGRycy9kb3ducmV2LnhtbFBLBQYAAAAAAwADALcAAAD4AgAAAAA=&#10;" filled="f" stroked="f">
                  <v:textbox inset="0,0,0,0">
                    <w:txbxContent>
                      <w:p w14:paraId="55C31483" w14:textId="77777777" w:rsidR="00B32EF2" w:rsidRDefault="00000000">
                        <w:r>
                          <w:rPr>
                            <w:rFonts w:ascii="Arial" w:eastAsia="Arial" w:hAnsi="Arial" w:cs="Arial"/>
                            <w:sz w:val="18"/>
                          </w:rPr>
                          <w:t>-</w:t>
                        </w:r>
                      </w:p>
                    </w:txbxContent>
                  </v:textbox>
                </v:rect>
                <w10:anchorlock/>
              </v:group>
            </w:pict>
          </mc:Fallback>
        </mc:AlternateContent>
      </w:r>
    </w:p>
    <w:p w14:paraId="536E8BB3" w14:textId="77777777" w:rsidR="00B32EF2" w:rsidRDefault="00000000">
      <w:pPr>
        <w:spacing w:after="0"/>
        <w:ind w:left="-356" w:right="-306"/>
      </w:pPr>
      <w:r>
        <w:rPr>
          <w:noProof/>
        </w:rPr>
        <w:lastRenderedPageBreak/>
        <mc:AlternateContent>
          <mc:Choice Requires="wpg">
            <w:drawing>
              <wp:inline distT="0" distB="0" distL="0" distR="0" wp14:anchorId="02CBD71D" wp14:editId="610829B5">
                <wp:extent cx="3991996" cy="6262854"/>
                <wp:effectExtent l="0" t="0" r="0" b="0"/>
                <wp:docPr id="200042" name="Group 200042"/>
                <wp:cNvGraphicFramePr/>
                <a:graphic xmlns:a="http://schemas.openxmlformats.org/drawingml/2006/main">
                  <a:graphicData uri="http://schemas.microsoft.com/office/word/2010/wordprocessingGroup">
                    <wpg:wgp>
                      <wpg:cNvGrpSpPr/>
                      <wpg:grpSpPr>
                        <a:xfrm>
                          <a:off x="0" y="0"/>
                          <a:ext cx="3991996" cy="6262854"/>
                          <a:chOff x="0" y="0"/>
                          <a:chExt cx="3991996" cy="6262854"/>
                        </a:xfrm>
                      </wpg:grpSpPr>
                      <wps:wsp>
                        <wps:cNvPr id="15084" name="Rectangle 15084"/>
                        <wps:cNvSpPr/>
                        <wps:spPr>
                          <a:xfrm rot="-10799999">
                            <a:off x="1900453" y="-62190"/>
                            <a:ext cx="178369" cy="250646"/>
                          </a:xfrm>
                          <a:prstGeom prst="rect">
                            <a:avLst/>
                          </a:prstGeom>
                          <a:ln>
                            <a:noFill/>
                          </a:ln>
                        </wps:spPr>
                        <wps:txbx>
                          <w:txbxContent>
                            <w:p w14:paraId="0F293B80" w14:textId="77777777" w:rsidR="00B32EF2" w:rsidRDefault="00000000">
                              <w:r>
                                <w:rPr>
                                  <w:rFonts w:ascii="Times New Roman" w:eastAsia="Times New Roman" w:hAnsi="Times New Roman" w:cs="Times New Roman"/>
                                </w:rPr>
                                <w:t>95</w:t>
                              </w:r>
                            </w:p>
                          </w:txbxContent>
                        </wps:txbx>
                        <wps:bodyPr horzOverflow="overflow" vert="horz" lIns="0" tIns="0" rIns="0" bIns="0" rtlCol="0">
                          <a:noAutofit/>
                        </wps:bodyPr>
                      </wps:wsp>
                      <wps:wsp>
                        <wps:cNvPr id="15085" name="Rectangle 15085"/>
                        <wps:cNvSpPr/>
                        <wps:spPr>
                          <a:xfrm rot="-10799999">
                            <a:off x="-1317221" y="6119964"/>
                            <a:ext cx="5308989" cy="142890"/>
                          </a:xfrm>
                          <a:prstGeom prst="rect">
                            <a:avLst/>
                          </a:prstGeom>
                          <a:ln>
                            <a:noFill/>
                          </a:ln>
                        </wps:spPr>
                        <wps:txbx>
                          <w:txbxContent>
                            <w:p w14:paraId="0E2C97B8" w14:textId="77777777" w:rsidR="00B32EF2" w:rsidRDefault="00000000">
                              <w:r>
                                <w:rPr>
                                  <w:rFonts w:ascii="Arial" w:eastAsia="Arial" w:hAnsi="Arial" w:cs="Arial"/>
                                  <w:sz w:val="18"/>
                                </w:rPr>
                                <w:t xml:space="preserve">secondo grado a cui è diretto, dell’appellante e delle altre parti nei cui confronti </w:t>
                              </w:r>
                            </w:p>
                          </w:txbxContent>
                        </wps:txbx>
                        <wps:bodyPr horzOverflow="overflow" vert="horz" lIns="0" tIns="0" rIns="0" bIns="0" rtlCol="0">
                          <a:noAutofit/>
                        </wps:bodyPr>
                      </wps:wsp>
                      <wps:wsp>
                        <wps:cNvPr id="15086" name="Rectangle 15086"/>
                        <wps:cNvSpPr/>
                        <wps:spPr>
                          <a:xfrm rot="-10799999">
                            <a:off x="-1317070" y="5996634"/>
                            <a:ext cx="5308839" cy="142891"/>
                          </a:xfrm>
                          <a:prstGeom prst="rect">
                            <a:avLst/>
                          </a:prstGeom>
                          <a:ln>
                            <a:noFill/>
                          </a:ln>
                        </wps:spPr>
                        <wps:txbx>
                          <w:txbxContent>
                            <w:p w14:paraId="2A9601B4" w14:textId="77777777" w:rsidR="00B32EF2" w:rsidRDefault="00000000">
                              <w:r>
                                <w:rPr>
                                  <w:rFonts w:ascii="Arial" w:eastAsia="Arial" w:hAnsi="Arial" w:cs="Arial"/>
                                  <w:sz w:val="18"/>
                                </w:rPr>
                                <w:t xml:space="preserve">è proposto, gli estremi della sentenza impugnata, l’esposizione sommaria dei </w:t>
                              </w:r>
                            </w:p>
                          </w:txbxContent>
                        </wps:txbx>
                        <wps:bodyPr horzOverflow="overflow" vert="horz" lIns="0" tIns="0" rIns="0" bIns="0" rtlCol="0">
                          <a:noAutofit/>
                        </wps:bodyPr>
                      </wps:wsp>
                      <wps:wsp>
                        <wps:cNvPr id="15087" name="Rectangle 15087"/>
                        <wps:cNvSpPr/>
                        <wps:spPr>
                          <a:xfrm rot="-10799999">
                            <a:off x="-1317207" y="5873305"/>
                            <a:ext cx="5308975" cy="142889"/>
                          </a:xfrm>
                          <a:prstGeom prst="rect">
                            <a:avLst/>
                          </a:prstGeom>
                          <a:ln>
                            <a:noFill/>
                          </a:ln>
                        </wps:spPr>
                        <wps:txbx>
                          <w:txbxContent>
                            <w:p w14:paraId="4A1C15E3" w14:textId="77777777" w:rsidR="00B32EF2" w:rsidRDefault="00000000">
                              <w:r>
                                <w:rPr>
                                  <w:rFonts w:ascii="Arial" w:eastAsia="Arial" w:hAnsi="Arial" w:cs="Arial"/>
                                  <w:sz w:val="18"/>
                                </w:rPr>
                                <w:t xml:space="preserve">fatti, l’oggetto della domanda ed i motivi specifici dell’impugnazione. Il ricorso </w:t>
                              </w:r>
                            </w:p>
                          </w:txbxContent>
                        </wps:txbx>
                        <wps:bodyPr horzOverflow="overflow" vert="horz" lIns="0" tIns="0" rIns="0" bIns="0" rtlCol="0">
                          <a:noAutofit/>
                        </wps:bodyPr>
                      </wps:wsp>
                      <wps:wsp>
                        <wps:cNvPr id="15088" name="Rectangle 15088"/>
                        <wps:cNvSpPr/>
                        <wps:spPr>
                          <a:xfrm rot="-10799999">
                            <a:off x="-1219231" y="5749976"/>
                            <a:ext cx="5210999" cy="142889"/>
                          </a:xfrm>
                          <a:prstGeom prst="rect">
                            <a:avLst/>
                          </a:prstGeom>
                          <a:ln>
                            <a:noFill/>
                          </a:ln>
                        </wps:spPr>
                        <wps:txbx>
                          <w:txbxContent>
                            <w:p w14:paraId="095E0575" w14:textId="77777777" w:rsidR="00B32EF2" w:rsidRDefault="00000000">
                              <w:r>
                                <w:rPr>
                                  <w:rFonts w:ascii="Arial" w:eastAsia="Arial" w:hAnsi="Arial" w:cs="Arial"/>
                                  <w:sz w:val="18"/>
                                </w:rPr>
                                <w:t>in appello è inammissibile se manca o è assolutamente incerto uno degli ele</w:t>
                              </w:r>
                            </w:p>
                          </w:txbxContent>
                        </wps:txbx>
                        <wps:bodyPr horzOverflow="overflow" vert="horz" lIns="0" tIns="0" rIns="0" bIns="0" rtlCol="0">
                          <a:noAutofit/>
                        </wps:bodyPr>
                      </wps:wsp>
                      <wps:wsp>
                        <wps:cNvPr id="15089" name="Rectangle 15089"/>
                        <wps:cNvSpPr/>
                        <wps:spPr>
                          <a:xfrm rot="-10799999">
                            <a:off x="19169" y="5749975"/>
                            <a:ext cx="50622" cy="142889"/>
                          </a:xfrm>
                          <a:prstGeom prst="rect">
                            <a:avLst/>
                          </a:prstGeom>
                          <a:ln>
                            <a:noFill/>
                          </a:ln>
                        </wps:spPr>
                        <wps:txbx>
                          <w:txbxContent>
                            <w:p w14:paraId="702B199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090" name="Rectangle 15090"/>
                        <wps:cNvSpPr/>
                        <wps:spPr>
                          <a:xfrm rot="-10799999">
                            <a:off x="-1275007" y="5626646"/>
                            <a:ext cx="5266775" cy="142889"/>
                          </a:xfrm>
                          <a:prstGeom prst="rect">
                            <a:avLst/>
                          </a:prstGeom>
                          <a:ln>
                            <a:noFill/>
                          </a:ln>
                        </wps:spPr>
                        <wps:txbx>
                          <w:txbxContent>
                            <w:p w14:paraId="524ADD76" w14:textId="77777777" w:rsidR="00B32EF2" w:rsidRDefault="00000000">
                              <w:r>
                                <w:rPr>
                                  <w:rFonts w:ascii="Arial" w:eastAsia="Arial" w:hAnsi="Arial" w:cs="Arial"/>
                                  <w:sz w:val="18"/>
                                </w:rPr>
                                <w:t>menti sopra indicati o se non è sottoscritto a norma dell’articolo 64, comma 3.</w:t>
                              </w:r>
                            </w:p>
                          </w:txbxContent>
                        </wps:txbx>
                        <wps:bodyPr horzOverflow="overflow" vert="horz" lIns="0" tIns="0" rIns="0" bIns="0" rtlCol="0">
                          <a:noAutofit/>
                        </wps:bodyPr>
                      </wps:wsp>
                      <wps:wsp>
                        <wps:cNvPr id="199969" name="Rectangle 199969"/>
                        <wps:cNvSpPr/>
                        <wps:spPr>
                          <a:xfrm rot="-10799999">
                            <a:off x="-1381839" y="5503316"/>
                            <a:ext cx="5309051" cy="142889"/>
                          </a:xfrm>
                          <a:prstGeom prst="rect">
                            <a:avLst/>
                          </a:prstGeom>
                          <a:ln>
                            <a:noFill/>
                          </a:ln>
                        </wps:spPr>
                        <wps:txbx>
                          <w:txbxContent>
                            <w:p w14:paraId="43FAEBEF" w14:textId="77777777" w:rsidR="00B32EF2" w:rsidRDefault="00000000">
                              <w:r>
                                <w:rPr>
                                  <w:rFonts w:ascii="Arial" w:eastAsia="Arial" w:hAnsi="Arial" w:cs="Arial"/>
                                  <w:sz w:val="18"/>
                                </w:rPr>
                                <w:t xml:space="preserve">. Il ricorso in appello è proposto nelle forme di cui all’articolo 66, commi 1 e 2, </w:t>
                              </w:r>
                            </w:p>
                          </w:txbxContent>
                        </wps:txbx>
                        <wps:bodyPr horzOverflow="overflow" vert="horz" lIns="0" tIns="0" rIns="0" bIns="0" rtlCol="0">
                          <a:noAutofit/>
                        </wps:bodyPr>
                      </wps:wsp>
                      <wps:wsp>
                        <wps:cNvPr id="199968" name="Rectangle 199968"/>
                        <wps:cNvSpPr/>
                        <wps:spPr>
                          <a:xfrm rot="-10799999">
                            <a:off x="2610934" y="5503316"/>
                            <a:ext cx="5309051" cy="142889"/>
                          </a:xfrm>
                          <a:prstGeom prst="rect">
                            <a:avLst/>
                          </a:prstGeom>
                          <a:ln>
                            <a:noFill/>
                          </a:ln>
                        </wps:spPr>
                        <wps:txbx>
                          <w:txbxContent>
                            <w:p w14:paraId="276C8922"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5092" name="Rectangle 15092"/>
                        <wps:cNvSpPr/>
                        <wps:spPr>
                          <a:xfrm rot="-10799999">
                            <a:off x="-1317267" y="5379987"/>
                            <a:ext cx="5309035" cy="142889"/>
                          </a:xfrm>
                          <a:prstGeom prst="rect">
                            <a:avLst/>
                          </a:prstGeom>
                          <a:ln>
                            <a:noFill/>
                          </a:ln>
                        </wps:spPr>
                        <wps:txbx>
                          <w:txbxContent>
                            <w:p w14:paraId="640A6531" w14:textId="77777777" w:rsidR="00B32EF2" w:rsidRDefault="00000000">
                              <w:r>
                                <w:rPr>
                                  <w:rFonts w:ascii="Arial" w:eastAsia="Arial" w:hAnsi="Arial" w:cs="Arial"/>
                                  <w:sz w:val="18"/>
                                </w:rPr>
                                <w:t xml:space="preserve">nei confronti di tutte le parti che hanno partecipato al giudizio di primo grado e </w:t>
                              </w:r>
                            </w:p>
                          </w:txbxContent>
                        </wps:txbx>
                        <wps:bodyPr horzOverflow="overflow" vert="horz" lIns="0" tIns="0" rIns="0" bIns="0" rtlCol="0">
                          <a:noAutofit/>
                        </wps:bodyPr>
                      </wps:wsp>
                      <wps:wsp>
                        <wps:cNvPr id="15093" name="Rectangle 15093"/>
                        <wps:cNvSpPr/>
                        <wps:spPr>
                          <a:xfrm rot="-10799999">
                            <a:off x="-360369" y="5256657"/>
                            <a:ext cx="4352137" cy="142889"/>
                          </a:xfrm>
                          <a:prstGeom prst="rect">
                            <a:avLst/>
                          </a:prstGeom>
                          <a:ln>
                            <a:noFill/>
                          </a:ln>
                        </wps:spPr>
                        <wps:txbx>
                          <w:txbxContent>
                            <w:p w14:paraId="056FD443" w14:textId="77777777" w:rsidR="00B32EF2" w:rsidRDefault="00000000">
                              <w:r>
                                <w:rPr>
                                  <w:rFonts w:ascii="Arial" w:eastAsia="Arial" w:hAnsi="Arial" w:cs="Arial"/>
                                  <w:sz w:val="18"/>
                                </w:rPr>
                                <w:t>deve essere depositato a norma dell’articolo 68, commi 1, 2 e 3.</w:t>
                              </w:r>
                            </w:p>
                          </w:txbxContent>
                        </wps:txbx>
                        <wps:bodyPr horzOverflow="overflow" vert="horz" lIns="0" tIns="0" rIns="0" bIns="0" rtlCol="0">
                          <a:noAutofit/>
                        </wps:bodyPr>
                      </wps:wsp>
                      <wps:wsp>
                        <wps:cNvPr id="199966" name="Rectangle 199966"/>
                        <wps:cNvSpPr/>
                        <wps:spPr>
                          <a:xfrm rot="-10799999">
                            <a:off x="2634851" y="5133327"/>
                            <a:ext cx="5212656" cy="142889"/>
                          </a:xfrm>
                          <a:prstGeom prst="rect">
                            <a:avLst/>
                          </a:prstGeom>
                          <a:ln>
                            <a:noFill/>
                          </a:ln>
                        </wps:spPr>
                        <wps:txbx>
                          <w:txbxContent>
                            <w:p w14:paraId="51FF49E9"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99967" name="Rectangle 199967"/>
                        <wps:cNvSpPr/>
                        <wps:spPr>
                          <a:xfrm rot="-10799999">
                            <a:off x="-1285410" y="5133327"/>
                            <a:ext cx="5212656" cy="142889"/>
                          </a:xfrm>
                          <a:prstGeom prst="rect">
                            <a:avLst/>
                          </a:prstGeom>
                          <a:ln>
                            <a:noFill/>
                          </a:ln>
                        </wps:spPr>
                        <wps:txbx>
                          <w:txbxContent>
                            <w:p w14:paraId="624EBE15" w14:textId="77777777" w:rsidR="00B32EF2" w:rsidRDefault="00000000">
                              <w:r>
                                <w:rPr>
                                  <w:rFonts w:ascii="Arial" w:eastAsia="Arial" w:hAnsi="Arial" w:cs="Arial"/>
                                  <w:sz w:val="18"/>
                                </w:rPr>
                                <w:t>. Subito dopo il deposito del ricorso in appello, la segreteria della corte di giu</w:t>
                              </w:r>
                            </w:p>
                          </w:txbxContent>
                        </wps:txbx>
                        <wps:bodyPr horzOverflow="overflow" vert="horz" lIns="0" tIns="0" rIns="0" bIns="0" rtlCol="0">
                          <a:noAutofit/>
                        </wps:bodyPr>
                      </wps:wsp>
                      <wps:wsp>
                        <wps:cNvPr id="15095" name="Rectangle 15095"/>
                        <wps:cNvSpPr/>
                        <wps:spPr>
                          <a:xfrm rot="-10799999">
                            <a:off x="19169" y="5133327"/>
                            <a:ext cx="50622" cy="142889"/>
                          </a:xfrm>
                          <a:prstGeom prst="rect">
                            <a:avLst/>
                          </a:prstGeom>
                          <a:ln>
                            <a:noFill/>
                          </a:ln>
                        </wps:spPr>
                        <wps:txbx>
                          <w:txbxContent>
                            <w:p w14:paraId="65460E3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096" name="Rectangle 15096"/>
                        <wps:cNvSpPr/>
                        <wps:spPr>
                          <a:xfrm rot="-10799999">
                            <a:off x="-1317267" y="5009998"/>
                            <a:ext cx="5309035" cy="142889"/>
                          </a:xfrm>
                          <a:prstGeom prst="rect">
                            <a:avLst/>
                          </a:prstGeom>
                          <a:ln>
                            <a:noFill/>
                          </a:ln>
                        </wps:spPr>
                        <wps:txbx>
                          <w:txbxContent>
                            <w:p w14:paraId="56AD0717" w14:textId="77777777" w:rsidR="00B32EF2" w:rsidRDefault="00000000">
                              <w:r>
                                <w:rPr>
                                  <w:rFonts w:ascii="Arial" w:eastAsia="Arial" w:hAnsi="Arial" w:cs="Arial"/>
                                  <w:sz w:val="18"/>
                                </w:rPr>
                                <w:t xml:space="preserve">stizia tributaria di secondo grado chiede alla segreteria della corte di giustizia </w:t>
                              </w:r>
                            </w:p>
                          </w:txbxContent>
                        </wps:txbx>
                        <wps:bodyPr horzOverflow="overflow" vert="horz" lIns="0" tIns="0" rIns="0" bIns="0" rtlCol="0">
                          <a:noAutofit/>
                        </wps:bodyPr>
                      </wps:wsp>
                      <wps:wsp>
                        <wps:cNvPr id="15097" name="Rectangle 15097"/>
                        <wps:cNvSpPr/>
                        <wps:spPr>
                          <a:xfrm rot="-10799999">
                            <a:off x="-1317237" y="4886668"/>
                            <a:ext cx="5309006" cy="142889"/>
                          </a:xfrm>
                          <a:prstGeom prst="rect">
                            <a:avLst/>
                          </a:prstGeom>
                          <a:ln>
                            <a:noFill/>
                          </a:ln>
                        </wps:spPr>
                        <wps:txbx>
                          <w:txbxContent>
                            <w:p w14:paraId="606189EE" w14:textId="77777777" w:rsidR="00B32EF2" w:rsidRDefault="00000000">
                              <w:r>
                                <w:rPr>
                                  <w:rFonts w:ascii="Arial" w:eastAsia="Arial" w:hAnsi="Arial" w:cs="Arial"/>
                                  <w:sz w:val="18"/>
                                </w:rPr>
                                <w:t xml:space="preserve">tributaria di primo grado la trasmissione del fascicolo del processo, che deve </w:t>
                              </w:r>
                            </w:p>
                          </w:txbxContent>
                        </wps:txbx>
                        <wps:bodyPr horzOverflow="overflow" vert="horz" lIns="0" tIns="0" rIns="0" bIns="0" rtlCol="0">
                          <a:noAutofit/>
                        </wps:bodyPr>
                      </wps:wsp>
                      <wps:wsp>
                        <wps:cNvPr id="15098" name="Rectangle 15098"/>
                        <wps:cNvSpPr/>
                        <wps:spPr>
                          <a:xfrm rot="-10799999">
                            <a:off x="1152980" y="4763338"/>
                            <a:ext cx="2838788" cy="142889"/>
                          </a:xfrm>
                          <a:prstGeom prst="rect">
                            <a:avLst/>
                          </a:prstGeom>
                          <a:ln>
                            <a:noFill/>
                          </a:ln>
                        </wps:spPr>
                        <wps:txbx>
                          <w:txbxContent>
                            <w:p w14:paraId="1665B100" w14:textId="77777777" w:rsidR="00B32EF2" w:rsidRDefault="00000000">
                              <w:r>
                                <w:rPr>
                                  <w:rFonts w:ascii="Arial" w:eastAsia="Arial" w:hAnsi="Arial" w:cs="Arial"/>
                                  <w:sz w:val="18"/>
                                </w:rPr>
                                <w:t>contenere copia autentica della sentenza.</w:t>
                              </w:r>
                            </w:p>
                          </w:txbxContent>
                        </wps:txbx>
                        <wps:bodyPr horzOverflow="overflow" vert="horz" lIns="0" tIns="0" rIns="0" bIns="0" rtlCol="0">
                          <a:noAutofit/>
                        </wps:bodyPr>
                      </wps:wsp>
                      <wps:wsp>
                        <wps:cNvPr id="15099" name="Rectangle 15099"/>
                        <wps:cNvSpPr/>
                        <wps:spPr>
                          <a:xfrm rot="-10799999">
                            <a:off x="1456054" y="4516679"/>
                            <a:ext cx="891622" cy="142889"/>
                          </a:xfrm>
                          <a:prstGeom prst="rect">
                            <a:avLst/>
                          </a:prstGeom>
                          <a:ln>
                            <a:noFill/>
                          </a:ln>
                        </wps:spPr>
                        <wps:txbx>
                          <w:txbxContent>
                            <w:p w14:paraId="09C4BAA4" w14:textId="77777777" w:rsidR="00B32EF2" w:rsidRDefault="00000000">
                              <w:r>
                                <w:rPr>
                                  <w:rFonts w:ascii="Arial" w:eastAsia="Arial" w:hAnsi="Arial" w:cs="Arial"/>
                                  <w:b/>
                                  <w:sz w:val="18"/>
                                </w:rPr>
                                <w:t>Articolo 108</w:t>
                              </w:r>
                            </w:p>
                          </w:txbxContent>
                        </wps:txbx>
                        <wps:bodyPr horzOverflow="overflow" vert="horz" lIns="0" tIns="0" rIns="0" bIns="0" rtlCol="0">
                          <a:noAutofit/>
                        </wps:bodyPr>
                      </wps:wsp>
                      <wps:wsp>
                        <wps:cNvPr id="199965" name="Rectangle 199965"/>
                        <wps:cNvSpPr/>
                        <wps:spPr>
                          <a:xfrm rot="-10799999">
                            <a:off x="1160753" y="4393349"/>
                            <a:ext cx="1945600" cy="142889"/>
                          </a:xfrm>
                          <a:prstGeom prst="rect">
                            <a:avLst/>
                          </a:prstGeom>
                          <a:ln>
                            <a:noFill/>
                          </a:ln>
                        </wps:spPr>
                        <wps:txbx>
                          <w:txbxContent>
                            <w:p w14:paraId="31F0FCF8" w14:textId="77777777" w:rsidR="00B32EF2" w:rsidRDefault="00000000">
                              <w:r>
                                <w:rPr>
                                  <w:rFonts w:ascii="Arial" w:eastAsia="Arial" w:hAnsi="Arial" w:cs="Arial"/>
                                  <w:i/>
                                  <w:sz w:val="18"/>
                                </w:rPr>
                                <w:t xml:space="preserve">articolo 54 D.lgs. n. </w:t>
                              </w:r>
                            </w:p>
                          </w:txbxContent>
                        </wps:txbx>
                        <wps:bodyPr horzOverflow="overflow" vert="horz" lIns="0" tIns="0" rIns="0" bIns="0" rtlCol="0">
                          <a:noAutofit/>
                        </wps:bodyPr>
                      </wps:wsp>
                      <wps:wsp>
                        <wps:cNvPr id="199963" name="Rectangle 199963"/>
                        <wps:cNvSpPr/>
                        <wps:spPr>
                          <a:xfrm rot="-10799999">
                            <a:off x="2222349" y="4393349"/>
                            <a:ext cx="1945600" cy="142889"/>
                          </a:xfrm>
                          <a:prstGeom prst="rect">
                            <a:avLst/>
                          </a:prstGeom>
                          <a:ln>
                            <a:noFill/>
                          </a:ln>
                        </wps:spPr>
                        <wps:txbx>
                          <w:txbxContent>
                            <w:p w14:paraId="0D96AF6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9964" name="Rectangle 199964"/>
                        <wps:cNvSpPr/>
                        <wps:spPr>
                          <a:xfrm rot="-10799999">
                            <a:off x="-266944" y="4393348"/>
                            <a:ext cx="1945600" cy="142889"/>
                          </a:xfrm>
                          <a:prstGeom prst="rect">
                            <a:avLst/>
                          </a:prstGeom>
                          <a:ln>
                            <a:noFill/>
                          </a:ln>
                        </wps:spPr>
                        <wps:txbx>
                          <w:txbxContent>
                            <w:p w14:paraId="395B7CCD"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5101" name="Rectangle 15101"/>
                        <wps:cNvSpPr/>
                        <wps:spPr>
                          <a:xfrm rot="-10799999">
                            <a:off x="-427556" y="4270019"/>
                            <a:ext cx="3883143" cy="142889"/>
                          </a:xfrm>
                          <a:prstGeom prst="rect">
                            <a:avLst/>
                          </a:prstGeom>
                          <a:ln>
                            <a:noFill/>
                          </a:ln>
                        </wps:spPr>
                        <wps:txbx>
                          <w:txbxContent>
                            <w:p w14:paraId="050E01DF" w14:textId="77777777" w:rsidR="00B32EF2" w:rsidRDefault="00000000">
                              <w:r>
                                <w:rPr>
                                  <w:rFonts w:ascii="Arial" w:eastAsia="Arial" w:hAnsi="Arial" w:cs="Arial"/>
                                  <w:b/>
                                  <w:sz w:val="18"/>
                                </w:rPr>
                                <w:t xml:space="preserve">Controdeduzioni dell’appellato e appello incidentale </w:t>
                              </w:r>
                            </w:p>
                          </w:txbxContent>
                        </wps:txbx>
                        <wps:bodyPr horzOverflow="overflow" vert="horz" lIns="0" tIns="0" rIns="0" bIns="0" rtlCol="0">
                          <a:noAutofit/>
                        </wps:bodyPr>
                      </wps:wsp>
                      <wps:wsp>
                        <wps:cNvPr id="199961" name="Rectangle 199961"/>
                        <wps:cNvSpPr/>
                        <wps:spPr>
                          <a:xfrm rot="-10799999">
                            <a:off x="2610963" y="4146690"/>
                            <a:ext cx="5308930" cy="142889"/>
                          </a:xfrm>
                          <a:prstGeom prst="rect">
                            <a:avLst/>
                          </a:prstGeom>
                          <a:ln>
                            <a:noFill/>
                          </a:ln>
                        </wps:spPr>
                        <wps:txbx>
                          <w:txbxContent>
                            <w:p w14:paraId="63D07C65"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9962" name="Rectangle 199962"/>
                        <wps:cNvSpPr/>
                        <wps:spPr>
                          <a:xfrm rot="-10799999">
                            <a:off x="-1376345" y="4146690"/>
                            <a:ext cx="5308929" cy="142889"/>
                          </a:xfrm>
                          <a:prstGeom prst="rect">
                            <a:avLst/>
                          </a:prstGeom>
                          <a:ln>
                            <a:noFill/>
                          </a:ln>
                        </wps:spPr>
                        <wps:txbx>
                          <w:txbxContent>
                            <w:p w14:paraId="6DCB0EB8" w14:textId="77777777" w:rsidR="00B32EF2" w:rsidRDefault="00000000">
                              <w:r>
                                <w:rPr>
                                  <w:rFonts w:ascii="Arial" w:eastAsia="Arial" w:hAnsi="Arial" w:cs="Arial"/>
                                  <w:sz w:val="18"/>
                                </w:rPr>
                                <w:t xml:space="preserve">. Le parti diverse dall’appellante debbono costituirsi nei modi e termini di cui </w:t>
                              </w:r>
                            </w:p>
                          </w:txbxContent>
                        </wps:txbx>
                        <wps:bodyPr horzOverflow="overflow" vert="horz" lIns="0" tIns="0" rIns="0" bIns="0" rtlCol="0">
                          <a:noAutofit/>
                        </wps:bodyPr>
                      </wps:wsp>
                      <wps:wsp>
                        <wps:cNvPr id="15103" name="Rectangle 15103"/>
                        <wps:cNvSpPr/>
                        <wps:spPr>
                          <a:xfrm rot="-10799999">
                            <a:off x="-53747" y="4023360"/>
                            <a:ext cx="4045515" cy="142889"/>
                          </a:xfrm>
                          <a:prstGeom prst="rect">
                            <a:avLst/>
                          </a:prstGeom>
                          <a:ln>
                            <a:noFill/>
                          </a:ln>
                        </wps:spPr>
                        <wps:txbx>
                          <w:txbxContent>
                            <w:p w14:paraId="09741BCF" w14:textId="77777777" w:rsidR="00B32EF2" w:rsidRDefault="00000000">
                              <w:r>
                                <w:rPr>
                                  <w:rFonts w:ascii="Arial" w:eastAsia="Arial" w:hAnsi="Arial" w:cs="Arial"/>
                                  <w:sz w:val="18"/>
                                </w:rPr>
                                <w:t>all’articolo 69 depositando apposito atto di controdeduzioni.</w:t>
                              </w:r>
                            </w:p>
                          </w:txbxContent>
                        </wps:txbx>
                        <wps:bodyPr horzOverflow="overflow" vert="horz" lIns="0" tIns="0" rIns="0" bIns="0" rtlCol="0">
                          <a:noAutofit/>
                        </wps:bodyPr>
                      </wps:wsp>
                      <wps:wsp>
                        <wps:cNvPr id="199960" name="Rectangle 199960"/>
                        <wps:cNvSpPr/>
                        <wps:spPr>
                          <a:xfrm rot="-10799999">
                            <a:off x="-1381794" y="3900030"/>
                            <a:ext cx="5309005" cy="142889"/>
                          </a:xfrm>
                          <a:prstGeom prst="rect">
                            <a:avLst/>
                          </a:prstGeom>
                          <a:ln>
                            <a:noFill/>
                          </a:ln>
                        </wps:spPr>
                        <wps:txbx>
                          <w:txbxContent>
                            <w:p w14:paraId="41485FD2" w14:textId="77777777" w:rsidR="00B32EF2" w:rsidRDefault="00000000">
                              <w:r>
                                <w:rPr>
                                  <w:rFonts w:ascii="Arial" w:eastAsia="Arial" w:hAnsi="Arial" w:cs="Arial"/>
                                  <w:sz w:val="18"/>
                                </w:rPr>
                                <w:t xml:space="preserve">. Nello stesso atto depositato nei modi e termini di cui al comma 1 può essere </w:t>
                              </w:r>
                            </w:p>
                          </w:txbxContent>
                        </wps:txbx>
                        <wps:bodyPr horzOverflow="overflow" vert="horz" lIns="0" tIns="0" rIns="0" bIns="0" rtlCol="0">
                          <a:noAutofit/>
                        </wps:bodyPr>
                      </wps:wsp>
                      <wps:wsp>
                        <wps:cNvPr id="199959" name="Rectangle 199959"/>
                        <wps:cNvSpPr/>
                        <wps:spPr>
                          <a:xfrm rot="-10799999">
                            <a:off x="2610944" y="3900030"/>
                            <a:ext cx="5309005" cy="142889"/>
                          </a:xfrm>
                          <a:prstGeom prst="rect">
                            <a:avLst/>
                          </a:prstGeom>
                          <a:ln>
                            <a:noFill/>
                          </a:ln>
                        </wps:spPr>
                        <wps:txbx>
                          <w:txbxContent>
                            <w:p w14:paraId="1EE88930"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5105" name="Rectangle 15105"/>
                        <wps:cNvSpPr/>
                        <wps:spPr>
                          <a:xfrm rot="-10799999">
                            <a:off x="274036" y="3776701"/>
                            <a:ext cx="3717731" cy="142889"/>
                          </a:xfrm>
                          <a:prstGeom prst="rect">
                            <a:avLst/>
                          </a:prstGeom>
                          <a:ln>
                            <a:noFill/>
                          </a:ln>
                        </wps:spPr>
                        <wps:txbx>
                          <w:txbxContent>
                            <w:p w14:paraId="12473627" w14:textId="77777777" w:rsidR="00B32EF2" w:rsidRDefault="00000000">
                              <w:r>
                                <w:rPr>
                                  <w:rFonts w:ascii="Arial" w:eastAsia="Arial" w:hAnsi="Arial" w:cs="Arial"/>
                                  <w:sz w:val="18"/>
                                </w:rPr>
                                <w:t>proposto, a pena d’inammissibilità, appello incidentale.</w:t>
                              </w:r>
                            </w:p>
                          </w:txbxContent>
                        </wps:txbx>
                        <wps:bodyPr horzOverflow="overflow" vert="horz" lIns="0" tIns="0" rIns="0" bIns="0" rtlCol="0">
                          <a:noAutofit/>
                        </wps:bodyPr>
                      </wps:wsp>
                      <wps:wsp>
                        <wps:cNvPr id="15106" name="Rectangle 15106"/>
                        <wps:cNvSpPr/>
                        <wps:spPr>
                          <a:xfrm rot="-10799999">
                            <a:off x="1455644" y="3530041"/>
                            <a:ext cx="892260" cy="142889"/>
                          </a:xfrm>
                          <a:prstGeom prst="rect">
                            <a:avLst/>
                          </a:prstGeom>
                          <a:ln>
                            <a:noFill/>
                          </a:ln>
                        </wps:spPr>
                        <wps:txbx>
                          <w:txbxContent>
                            <w:p w14:paraId="67685AD4" w14:textId="77777777" w:rsidR="00B32EF2" w:rsidRDefault="00000000">
                              <w:r>
                                <w:rPr>
                                  <w:rFonts w:ascii="Arial" w:eastAsia="Arial" w:hAnsi="Arial" w:cs="Arial"/>
                                  <w:b/>
                                  <w:sz w:val="18"/>
                                </w:rPr>
                                <w:t>Articolo 109</w:t>
                              </w:r>
                            </w:p>
                          </w:txbxContent>
                        </wps:txbx>
                        <wps:bodyPr horzOverflow="overflow" vert="horz" lIns="0" tIns="0" rIns="0" bIns="0" rtlCol="0">
                          <a:noAutofit/>
                        </wps:bodyPr>
                      </wps:wsp>
                      <wps:wsp>
                        <wps:cNvPr id="199956" name="Rectangle 199956"/>
                        <wps:cNvSpPr/>
                        <wps:spPr>
                          <a:xfrm rot="-10799999">
                            <a:off x="2222154" y="3406712"/>
                            <a:ext cx="1944080" cy="142889"/>
                          </a:xfrm>
                          <a:prstGeom prst="rect">
                            <a:avLst/>
                          </a:prstGeom>
                          <a:ln>
                            <a:noFill/>
                          </a:ln>
                        </wps:spPr>
                        <wps:txbx>
                          <w:txbxContent>
                            <w:p w14:paraId="7DF233C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9957" name="Rectangle 199957"/>
                        <wps:cNvSpPr/>
                        <wps:spPr>
                          <a:xfrm rot="-10799999">
                            <a:off x="-264864" y="3406711"/>
                            <a:ext cx="1944080" cy="142889"/>
                          </a:xfrm>
                          <a:prstGeom prst="rect">
                            <a:avLst/>
                          </a:prstGeom>
                          <a:ln>
                            <a:noFill/>
                          </a:ln>
                        </wps:spPr>
                        <wps:txbx>
                          <w:txbxContent>
                            <w:p w14:paraId="36800927"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958" name="Rectangle 199958"/>
                        <wps:cNvSpPr/>
                        <wps:spPr>
                          <a:xfrm rot="-10799999">
                            <a:off x="1161690" y="3406712"/>
                            <a:ext cx="1944080" cy="142889"/>
                          </a:xfrm>
                          <a:prstGeom prst="rect">
                            <a:avLst/>
                          </a:prstGeom>
                          <a:ln>
                            <a:noFill/>
                          </a:ln>
                        </wps:spPr>
                        <wps:txbx>
                          <w:txbxContent>
                            <w:p w14:paraId="3B902604" w14:textId="77777777" w:rsidR="00B32EF2" w:rsidRDefault="00000000">
                              <w:r>
                                <w:rPr>
                                  <w:rFonts w:ascii="Arial" w:eastAsia="Arial" w:hAnsi="Arial" w:cs="Arial"/>
                                  <w:i/>
                                  <w:sz w:val="18"/>
                                </w:rPr>
                                <w:t xml:space="preserve">articolo 55 D.lgs. n. </w:t>
                              </w:r>
                            </w:p>
                          </w:txbxContent>
                        </wps:txbx>
                        <wps:bodyPr horzOverflow="overflow" vert="horz" lIns="0" tIns="0" rIns="0" bIns="0" rtlCol="0">
                          <a:noAutofit/>
                        </wps:bodyPr>
                      </wps:wsp>
                      <wps:wsp>
                        <wps:cNvPr id="15108" name="Rectangle 15108"/>
                        <wps:cNvSpPr/>
                        <wps:spPr>
                          <a:xfrm rot="-10799999">
                            <a:off x="728135" y="3283382"/>
                            <a:ext cx="2057881" cy="142889"/>
                          </a:xfrm>
                          <a:prstGeom prst="rect">
                            <a:avLst/>
                          </a:prstGeom>
                          <a:ln>
                            <a:noFill/>
                          </a:ln>
                        </wps:spPr>
                        <wps:txbx>
                          <w:txbxContent>
                            <w:p w14:paraId="789088AF" w14:textId="77777777" w:rsidR="00B32EF2" w:rsidRDefault="00000000">
                              <w:r>
                                <w:rPr>
                                  <w:rFonts w:ascii="Arial" w:eastAsia="Arial" w:hAnsi="Arial" w:cs="Arial"/>
                                  <w:b/>
                                  <w:sz w:val="18"/>
                                </w:rPr>
                                <w:t>Provvedimenti presidenziali</w:t>
                              </w:r>
                            </w:p>
                          </w:txbxContent>
                        </wps:txbx>
                        <wps:bodyPr horzOverflow="overflow" vert="horz" lIns="0" tIns="0" rIns="0" bIns="0" rtlCol="0">
                          <a:noAutofit/>
                        </wps:bodyPr>
                      </wps:wsp>
                      <wps:wsp>
                        <wps:cNvPr id="199954" name="Rectangle 199954"/>
                        <wps:cNvSpPr/>
                        <wps:spPr>
                          <a:xfrm rot="-10799999">
                            <a:off x="2610936" y="3160052"/>
                            <a:ext cx="5309036" cy="142889"/>
                          </a:xfrm>
                          <a:prstGeom prst="rect">
                            <a:avLst/>
                          </a:prstGeom>
                          <a:ln>
                            <a:noFill/>
                          </a:ln>
                        </wps:spPr>
                        <wps:txbx>
                          <w:txbxContent>
                            <w:p w14:paraId="1CC0EF49"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9955" name="Rectangle 199955"/>
                        <wps:cNvSpPr/>
                        <wps:spPr>
                          <a:xfrm rot="-10799999">
                            <a:off x="-1376452" y="3160052"/>
                            <a:ext cx="5309035" cy="142889"/>
                          </a:xfrm>
                          <a:prstGeom prst="rect">
                            <a:avLst/>
                          </a:prstGeom>
                          <a:ln>
                            <a:noFill/>
                          </a:ln>
                        </wps:spPr>
                        <wps:txbx>
                          <w:txbxContent>
                            <w:p w14:paraId="4DF1D7E1" w14:textId="77777777" w:rsidR="00B32EF2" w:rsidRDefault="00000000">
                              <w:r>
                                <w:rPr>
                                  <w:rFonts w:ascii="Arial" w:eastAsia="Arial" w:hAnsi="Arial" w:cs="Arial"/>
                                  <w:sz w:val="18"/>
                                </w:rPr>
                                <w:t xml:space="preserve">. Il presidente e i presidenti di sezione della corte di giustizia tributaria di </w:t>
                              </w:r>
                            </w:p>
                          </w:txbxContent>
                        </wps:txbx>
                        <wps:bodyPr horzOverflow="overflow" vert="horz" lIns="0" tIns="0" rIns="0" bIns="0" rtlCol="0">
                          <a:noAutofit/>
                        </wps:bodyPr>
                      </wps:wsp>
                      <wps:wsp>
                        <wps:cNvPr id="15110" name="Rectangle 15110"/>
                        <wps:cNvSpPr/>
                        <wps:spPr>
                          <a:xfrm rot="-10799999">
                            <a:off x="-1220507" y="3036723"/>
                            <a:ext cx="5212276" cy="142889"/>
                          </a:xfrm>
                          <a:prstGeom prst="rect">
                            <a:avLst/>
                          </a:prstGeom>
                          <a:ln>
                            <a:noFill/>
                          </a:ln>
                        </wps:spPr>
                        <wps:txbx>
                          <w:txbxContent>
                            <w:p w14:paraId="0EA03F61" w14:textId="77777777" w:rsidR="00B32EF2" w:rsidRDefault="00000000">
                              <w:r>
                                <w:rPr>
                                  <w:rFonts w:ascii="Arial" w:eastAsia="Arial" w:hAnsi="Arial" w:cs="Arial"/>
                                  <w:sz w:val="18"/>
                                </w:rPr>
                                <w:t>secondo grado hanno poteri corrispondenti a quelli del presidente e dei presi</w:t>
                              </w:r>
                            </w:p>
                          </w:txbxContent>
                        </wps:txbx>
                        <wps:bodyPr horzOverflow="overflow" vert="horz" lIns="0" tIns="0" rIns="0" bIns="0" rtlCol="0">
                          <a:noAutofit/>
                        </wps:bodyPr>
                      </wps:wsp>
                      <wps:wsp>
                        <wps:cNvPr id="15111" name="Rectangle 15111"/>
                        <wps:cNvSpPr/>
                        <wps:spPr>
                          <a:xfrm rot="-10799999">
                            <a:off x="19169" y="3036722"/>
                            <a:ext cx="50622" cy="142889"/>
                          </a:xfrm>
                          <a:prstGeom prst="rect">
                            <a:avLst/>
                          </a:prstGeom>
                          <a:ln>
                            <a:noFill/>
                          </a:ln>
                        </wps:spPr>
                        <wps:txbx>
                          <w:txbxContent>
                            <w:p w14:paraId="486F367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112" name="Rectangle 15112"/>
                        <wps:cNvSpPr/>
                        <wps:spPr>
                          <a:xfrm rot="-10799999">
                            <a:off x="-306053" y="2913393"/>
                            <a:ext cx="4297821" cy="142889"/>
                          </a:xfrm>
                          <a:prstGeom prst="rect">
                            <a:avLst/>
                          </a:prstGeom>
                          <a:ln>
                            <a:noFill/>
                          </a:ln>
                        </wps:spPr>
                        <wps:txbx>
                          <w:txbxContent>
                            <w:p w14:paraId="6DF620B7" w14:textId="77777777" w:rsidR="00B32EF2" w:rsidRDefault="00000000">
                              <w:r>
                                <w:rPr>
                                  <w:rFonts w:ascii="Arial" w:eastAsia="Arial" w:hAnsi="Arial" w:cs="Arial"/>
                                  <w:sz w:val="18"/>
                                </w:rPr>
                                <w:t>denti di sezione della corte di giustizia tributaria di primo grado.</w:t>
                              </w:r>
                            </w:p>
                          </w:txbxContent>
                        </wps:txbx>
                        <wps:bodyPr horzOverflow="overflow" vert="horz" lIns="0" tIns="0" rIns="0" bIns="0" rtlCol="0">
                          <a:noAutofit/>
                        </wps:bodyPr>
                      </wps:wsp>
                      <wps:wsp>
                        <wps:cNvPr id="15113" name="Rectangle 15113"/>
                        <wps:cNvSpPr/>
                        <wps:spPr>
                          <a:xfrm rot="-10799999">
                            <a:off x="1463400" y="2666733"/>
                            <a:ext cx="879932" cy="142889"/>
                          </a:xfrm>
                          <a:prstGeom prst="rect">
                            <a:avLst/>
                          </a:prstGeom>
                          <a:ln>
                            <a:noFill/>
                          </a:ln>
                        </wps:spPr>
                        <wps:txbx>
                          <w:txbxContent>
                            <w:p w14:paraId="637B75CE" w14:textId="77777777" w:rsidR="00B32EF2" w:rsidRDefault="00000000">
                              <w:r>
                                <w:rPr>
                                  <w:rFonts w:ascii="Arial" w:eastAsia="Arial" w:hAnsi="Arial" w:cs="Arial"/>
                                  <w:b/>
                                  <w:sz w:val="18"/>
                                </w:rPr>
                                <w:t>Articolo 110</w:t>
                              </w:r>
                            </w:p>
                          </w:txbxContent>
                        </wps:txbx>
                        <wps:bodyPr horzOverflow="overflow" vert="horz" lIns="0" tIns="0" rIns="0" bIns="0" rtlCol="0">
                          <a:noAutofit/>
                        </wps:bodyPr>
                      </wps:wsp>
                      <wps:wsp>
                        <wps:cNvPr id="199951" name="Rectangle 199951"/>
                        <wps:cNvSpPr/>
                        <wps:spPr>
                          <a:xfrm rot="-10799999">
                            <a:off x="2222142" y="2543403"/>
                            <a:ext cx="1943669" cy="142889"/>
                          </a:xfrm>
                          <a:prstGeom prst="rect">
                            <a:avLst/>
                          </a:prstGeom>
                          <a:ln>
                            <a:noFill/>
                          </a:ln>
                        </wps:spPr>
                        <wps:txbx>
                          <w:txbxContent>
                            <w:p w14:paraId="04D0863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9952" name="Rectangle 199952"/>
                        <wps:cNvSpPr/>
                        <wps:spPr>
                          <a:xfrm rot="-10799999">
                            <a:off x="-264247" y="2543403"/>
                            <a:ext cx="1943669" cy="142889"/>
                          </a:xfrm>
                          <a:prstGeom prst="rect">
                            <a:avLst/>
                          </a:prstGeom>
                          <a:ln>
                            <a:noFill/>
                          </a:ln>
                        </wps:spPr>
                        <wps:txbx>
                          <w:txbxContent>
                            <w:p w14:paraId="3077C8DE"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953" name="Rectangle 199953"/>
                        <wps:cNvSpPr/>
                        <wps:spPr>
                          <a:xfrm rot="-10799999">
                            <a:off x="1161999" y="2543403"/>
                            <a:ext cx="1943669" cy="142889"/>
                          </a:xfrm>
                          <a:prstGeom prst="rect">
                            <a:avLst/>
                          </a:prstGeom>
                          <a:ln>
                            <a:noFill/>
                          </a:ln>
                        </wps:spPr>
                        <wps:txbx>
                          <w:txbxContent>
                            <w:p w14:paraId="034E5188" w14:textId="77777777" w:rsidR="00B32EF2" w:rsidRDefault="00000000">
                              <w:r>
                                <w:rPr>
                                  <w:rFonts w:ascii="Arial" w:eastAsia="Arial" w:hAnsi="Arial" w:cs="Arial"/>
                                  <w:i/>
                                  <w:sz w:val="18"/>
                                </w:rPr>
                                <w:t xml:space="preserve">articolo 56 D.lgs. n. </w:t>
                              </w:r>
                            </w:p>
                          </w:txbxContent>
                        </wps:txbx>
                        <wps:bodyPr horzOverflow="overflow" vert="horz" lIns="0" tIns="0" rIns="0" bIns="0" rtlCol="0">
                          <a:noAutofit/>
                        </wps:bodyPr>
                      </wps:wsp>
                      <wps:wsp>
                        <wps:cNvPr id="15115" name="Rectangle 15115"/>
                        <wps:cNvSpPr/>
                        <wps:spPr>
                          <a:xfrm rot="-10799999">
                            <a:off x="208886" y="2420073"/>
                            <a:ext cx="2863567" cy="142889"/>
                          </a:xfrm>
                          <a:prstGeom prst="rect">
                            <a:avLst/>
                          </a:prstGeom>
                          <a:ln>
                            <a:noFill/>
                          </a:ln>
                        </wps:spPr>
                        <wps:txbx>
                          <w:txbxContent>
                            <w:p w14:paraId="39B1BE8D" w14:textId="77777777" w:rsidR="00B32EF2" w:rsidRDefault="00000000">
                              <w:r>
                                <w:rPr>
                                  <w:rFonts w:ascii="Arial" w:eastAsia="Arial" w:hAnsi="Arial" w:cs="Arial"/>
                                  <w:b/>
                                  <w:sz w:val="18"/>
                                </w:rPr>
                                <w:t xml:space="preserve">Questioni ed eccezioni non riproposte </w:t>
                              </w:r>
                            </w:p>
                          </w:txbxContent>
                        </wps:txbx>
                        <wps:bodyPr horzOverflow="overflow" vert="horz" lIns="0" tIns="0" rIns="0" bIns="0" rtlCol="0">
                          <a:noAutofit/>
                        </wps:bodyPr>
                      </wps:wsp>
                      <wps:wsp>
                        <wps:cNvPr id="199949" name="Rectangle 199949"/>
                        <wps:cNvSpPr/>
                        <wps:spPr>
                          <a:xfrm rot="-10799999">
                            <a:off x="2668485" y="2296744"/>
                            <a:ext cx="5077100" cy="142889"/>
                          </a:xfrm>
                          <a:prstGeom prst="rect">
                            <a:avLst/>
                          </a:prstGeom>
                          <a:ln>
                            <a:noFill/>
                          </a:ln>
                        </wps:spPr>
                        <wps:txbx>
                          <w:txbxContent>
                            <w:p w14:paraId="4830237C"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9950" name="Rectangle 199950"/>
                        <wps:cNvSpPr/>
                        <wps:spPr>
                          <a:xfrm rot="-10799999">
                            <a:off x="-1144517" y="2296744"/>
                            <a:ext cx="5077100" cy="142889"/>
                          </a:xfrm>
                          <a:prstGeom prst="rect">
                            <a:avLst/>
                          </a:prstGeom>
                          <a:ln>
                            <a:noFill/>
                          </a:ln>
                        </wps:spPr>
                        <wps:txbx>
                          <w:txbxContent>
                            <w:p w14:paraId="772B2921" w14:textId="77777777" w:rsidR="00B32EF2" w:rsidRDefault="00000000">
                              <w:r>
                                <w:rPr>
                                  <w:rFonts w:ascii="Arial" w:eastAsia="Arial" w:hAnsi="Arial" w:cs="Arial"/>
                                  <w:sz w:val="18"/>
                                </w:rPr>
                                <w:t>. Le questioni ed eccezioni non accolte nella sentenza della corte di giusti</w:t>
                              </w:r>
                            </w:p>
                          </w:txbxContent>
                        </wps:txbx>
                        <wps:bodyPr horzOverflow="overflow" vert="horz" lIns="0" tIns="0" rIns="0" bIns="0" rtlCol="0">
                          <a:noAutofit/>
                        </wps:bodyPr>
                      </wps:wsp>
                      <wps:wsp>
                        <wps:cNvPr id="15117" name="Rectangle 15117"/>
                        <wps:cNvSpPr/>
                        <wps:spPr>
                          <a:xfrm rot="-10799999">
                            <a:off x="120895" y="2296744"/>
                            <a:ext cx="50622" cy="142889"/>
                          </a:xfrm>
                          <a:prstGeom prst="rect">
                            <a:avLst/>
                          </a:prstGeom>
                          <a:ln>
                            <a:noFill/>
                          </a:ln>
                        </wps:spPr>
                        <wps:txbx>
                          <w:txbxContent>
                            <w:p w14:paraId="2014BFE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118" name="Rectangle 15118"/>
                        <wps:cNvSpPr/>
                        <wps:spPr>
                          <a:xfrm rot="-10799999">
                            <a:off x="-1058759" y="2173414"/>
                            <a:ext cx="5050528" cy="142889"/>
                          </a:xfrm>
                          <a:prstGeom prst="rect">
                            <a:avLst/>
                          </a:prstGeom>
                          <a:ln>
                            <a:noFill/>
                          </a:ln>
                        </wps:spPr>
                        <wps:txbx>
                          <w:txbxContent>
                            <w:p w14:paraId="79DD68BF" w14:textId="77777777" w:rsidR="00B32EF2" w:rsidRDefault="00000000">
                              <w:r>
                                <w:rPr>
                                  <w:rFonts w:ascii="Arial" w:eastAsia="Arial" w:hAnsi="Arial" w:cs="Arial"/>
                                  <w:sz w:val="18"/>
                                </w:rPr>
                                <w:t>zia tributaria di primo grado, che non sono specificamente riproposte in ap</w:t>
                              </w:r>
                            </w:p>
                          </w:txbxContent>
                        </wps:txbx>
                        <wps:bodyPr horzOverflow="overflow" vert="horz" lIns="0" tIns="0" rIns="0" bIns="0" rtlCol="0">
                          <a:noAutofit/>
                        </wps:bodyPr>
                      </wps:wsp>
                      <wps:wsp>
                        <wps:cNvPr id="15119" name="Rectangle 15119"/>
                        <wps:cNvSpPr/>
                        <wps:spPr>
                          <a:xfrm rot="-10799999">
                            <a:off x="139641" y="2173414"/>
                            <a:ext cx="50622" cy="142889"/>
                          </a:xfrm>
                          <a:prstGeom prst="rect">
                            <a:avLst/>
                          </a:prstGeom>
                          <a:ln>
                            <a:noFill/>
                          </a:ln>
                        </wps:spPr>
                        <wps:txbx>
                          <w:txbxContent>
                            <w:p w14:paraId="5FAC695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120" name="Rectangle 15120"/>
                        <wps:cNvSpPr/>
                        <wps:spPr>
                          <a:xfrm rot="-10799999">
                            <a:off x="2050484" y="2050085"/>
                            <a:ext cx="1941282" cy="142889"/>
                          </a:xfrm>
                          <a:prstGeom prst="rect">
                            <a:avLst/>
                          </a:prstGeom>
                          <a:ln>
                            <a:noFill/>
                          </a:ln>
                        </wps:spPr>
                        <wps:txbx>
                          <w:txbxContent>
                            <w:p w14:paraId="34AC04D0" w14:textId="77777777" w:rsidR="00B32EF2" w:rsidRDefault="00000000">
                              <w:r>
                                <w:rPr>
                                  <w:rFonts w:ascii="Arial" w:eastAsia="Arial" w:hAnsi="Arial" w:cs="Arial"/>
                                  <w:sz w:val="18"/>
                                </w:rPr>
                                <w:t>pello, s’intendono rinunciate.</w:t>
                              </w:r>
                            </w:p>
                          </w:txbxContent>
                        </wps:txbx>
                        <wps:bodyPr horzOverflow="overflow" vert="horz" lIns="0" tIns="0" rIns="0" bIns="0" rtlCol="0">
                          <a:noAutofit/>
                        </wps:bodyPr>
                      </wps:wsp>
                      <wps:wsp>
                        <wps:cNvPr id="15121" name="Rectangle 15121"/>
                        <wps:cNvSpPr/>
                        <wps:spPr>
                          <a:xfrm rot="-10799999">
                            <a:off x="1469933" y="1926755"/>
                            <a:ext cx="862541" cy="142889"/>
                          </a:xfrm>
                          <a:prstGeom prst="rect">
                            <a:avLst/>
                          </a:prstGeom>
                          <a:ln>
                            <a:noFill/>
                          </a:ln>
                        </wps:spPr>
                        <wps:txbx>
                          <w:txbxContent>
                            <w:p w14:paraId="57710662" w14:textId="77777777" w:rsidR="00B32EF2" w:rsidRDefault="00000000">
                              <w:r>
                                <w:rPr>
                                  <w:rFonts w:ascii="Arial" w:eastAsia="Arial" w:hAnsi="Arial" w:cs="Arial"/>
                                  <w:b/>
                                  <w:sz w:val="18"/>
                                </w:rPr>
                                <w:t>Articolo 111</w:t>
                              </w:r>
                            </w:p>
                          </w:txbxContent>
                        </wps:txbx>
                        <wps:bodyPr horzOverflow="overflow" vert="horz" lIns="0" tIns="0" rIns="0" bIns="0" rtlCol="0">
                          <a:noAutofit/>
                        </wps:bodyPr>
                      </wps:wsp>
                      <wps:wsp>
                        <wps:cNvPr id="199946" name="Rectangle 199946"/>
                        <wps:cNvSpPr/>
                        <wps:spPr>
                          <a:xfrm rot="-10799999">
                            <a:off x="2221927" y="1803425"/>
                            <a:ext cx="1941769" cy="142889"/>
                          </a:xfrm>
                          <a:prstGeom prst="rect">
                            <a:avLst/>
                          </a:prstGeom>
                          <a:ln>
                            <a:noFill/>
                          </a:ln>
                        </wps:spPr>
                        <wps:txbx>
                          <w:txbxContent>
                            <w:p w14:paraId="20A2991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9948" name="Rectangle 199948"/>
                        <wps:cNvSpPr/>
                        <wps:spPr>
                          <a:xfrm rot="-10799999">
                            <a:off x="1163201" y="1803425"/>
                            <a:ext cx="1941769" cy="142889"/>
                          </a:xfrm>
                          <a:prstGeom prst="rect">
                            <a:avLst/>
                          </a:prstGeom>
                          <a:ln>
                            <a:noFill/>
                          </a:ln>
                        </wps:spPr>
                        <wps:txbx>
                          <w:txbxContent>
                            <w:p w14:paraId="05CE0F27" w14:textId="77777777" w:rsidR="00B32EF2" w:rsidRDefault="00000000">
                              <w:r>
                                <w:rPr>
                                  <w:rFonts w:ascii="Arial" w:eastAsia="Arial" w:hAnsi="Arial" w:cs="Arial"/>
                                  <w:i/>
                                  <w:sz w:val="18"/>
                                </w:rPr>
                                <w:t xml:space="preserve">articolo 57 D.lgs. n. </w:t>
                              </w:r>
                            </w:p>
                          </w:txbxContent>
                        </wps:txbx>
                        <wps:bodyPr horzOverflow="overflow" vert="horz" lIns="0" tIns="0" rIns="0" bIns="0" rtlCol="0">
                          <a:noAutofit/>
                        </wps:bodyPr>
                      </wps:wsp>
                      <wps:wsp>
                        <wps:cNvPr id="199947" name="Rectangle 199947"/>
                        <wps:cNvSpPr/>
                        <wps:spPr>
                          <a:xfrm rot="-10799999">
                            <a:off x="-261616" y="1803425"/>
                            <a:ext cx="1941769" cy="142889"/>
                          </a:xfrm>
                          <a:prstGeom prst="rect">
                            <a:avLst/>
                          </a:prstGeom>
                          <a:ln>
                            <a:noFill/>
                          </a:ln>
                        </wps:spPr>
                        <wps:txbx>
                          <w:txbxContent>
                            <w:p w14:paraId="128ECF8C"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5123" name="Rectangle 15123"/>
                        <wps:cNvSpPr/>
                        <wps:spPr>
                          <a:xfrm rot="-10799999">
                            <a:off x="619729" y="1680095"/>
                            <a:ext cx="2205264" cy="142889"/>
                          </a:xfrm>
                          <a:prstGeom prst="rect">
                            <a:avLst/>
                          </a:prstGeom>
                          <a:ln>
                            <a:noFill/>
                          </a:ln>
                        </wps:spPr>
                        <wps:txbx>
                          <w:txbxContent>
                            <w:p w14:paraId="69AA2011" w14:textId="77777777" w:rsidR="00B32EF2" w:rsidRDefault="00000000">
                              <w:r>
                                <w:rPr>
                                  <w:rFonts w:ascii="Arial" w:eastAsia="Arial" w:hAnsi="Arial" w:cs="Arial"/>
                                  <w:b/>
                                  <w:sz w:val="18"/>
                                </w:rPr>
                                <w:t xml:space="preserve">Domande ed eccezioni nuove </w:t>
                              </w:r>
                            </w:p>
                          </w:txbxContent>
                        </wps:txbx>
                        <wps:bodyPr horzOverflow="overflow" vert="horz" lIns="0" tIns="0" rIns="0" bIns="0" rtlCol="0">
                          <a:noAutofit/>
                        </wps:bodyPr>
                      </wps:wsp>
                      <wps:wsp>
                        <wps:cNvPr id="199944" name="Rectangle 199944"/>
                        <wps:cNvSpPr/>
                        <wps:spPr>
                          <a:xfrm rot="-10799999">
                            <a:off x="2635168" y="1556766"/>
                            <a:ext cx="5211835" cy="142889"/>
                          </a:xfrm>
                          <a:prstGeom prst="rect">
                            <a:avLst/>
                          </a:prstGeom>
                          <a:ln>
                            <a:noFill/>
                          </a:ln>
                        </wps:spPr>
                        <wps:txbx>
                          <w:txbxContent>
                            <w:p w14:paraId="29EE0E43"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9945" name="Rectangle 199945"/>
                        <wps:cNvSpPr/>
                        <wps:spPr>
                          <a:xfrm rot="-10799999">
                            <a:off x="-1278120" y="1556766"/>
                            <a:ext cx="5211835" cy="142889"/>
                          </a:xfrm>
                          <a:prstGeom prst="rect">
                            <a:avLst/>
                          </a:prstGeom>
                          <a:ln>
                            <a:noFill/>
                          </a:ln>
                        </wps:spPr>
                        <wps:txbx>
                          <w:txbxContent>
                            <w:p w14:paraId="7647CAB5" w14:textId="77777777" w:rsidR="00B32EF2" w:rsidRDefault="00000000">
                              <w:r>
                                <w:rPr>
                                  <w:rFonts w:ascii="Arial" w:eastAsia="Arial" w:hAnsi="Arial" w:cs="Arial"/>
                                  <w:sz w:val="18"/>
                                </w:rPr>
                                <w:t>. Nel giudizio d’appello non possono proporsi domande nuove e, se propo</w:t>
                              </w:r>
                            </w:p>
                          </w:txbxContent>
                        </wps:txbx>
                        <wps:bodyPr horzOverflow="overflow" vert="horz" lIns="0" tIns="0" rIns="0" bIns="0" rtlCol="0">
                          <a:noAutofit/>
                        </wps:bodyPr>
                      </wps:wsp>
                      <wps:wsp>
                        <wps:cNvPr id="15125" name="Rectangle 15125"/>
                        <wps:cNvSpPr/>
                        <wps:spPr>
                          <a:xfrm rot="-10799999">
                            <a:off x="19283" y="1556766"/>
                            <a:ext cx="50622" cy="142889"/>
                          </a:xfrm>
                          <a:prstGeom prst="rect">
                            <a:avLst/>
                          </a:prstGeom>
                          <a:ln>
                            <a:noFill/>
                          </a:ln>
                        </wps:spPr>
                        <wps:txbx>
                          <w:txbxContent>
                            <w:p w14:paraId="016B6AE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126" name="Rectangle 15126"/>
                        <wps:cNvSpPr/>
                        <wps:spPr>
                          <a:xfrm rot="-10799999">
                            <a:off x="-1317154" y="1433436"/>
                            <a:ext cx="5309035" cy="142889"/>
                          </a:xfrm>
                          <a:prstGeom prst="rect">
                            <a:avLst/>
                          </a:prstGeom>
                          <a:ln>
                            <a:noFill/>
                          </a:ln>
                        </wps:spPr>
                        <wps:txbx>
                          <w:txbxContent>
                            <w:p w14:paraId="27180F2B" w14:textId="77777777" w:rsidR="00B32EF2" w:rsidRDefault="00000000">
                              <w:r>
                                <w:rPr>
                                  <w:rFonts w:ascii="Arial" w:eastAsia="Arial" w:hAnsi="Arial" w:cs="Arial"/>
                                  <w:sz w:val="18"/>
                                </w:rPr>
                                <w:t xml:space="preserve">ste, debbono essere dichiarate inammissibili d’ufficio. Possono tuttavia essere </w:t>
                              </w:r>
                            </w:p>
                          </w:txbxContent>
                        </wps:txbx>
                        <wps:bodyPr horzOverflow="overflow" vert="horz" lIns="0" tIns="0" rIns="0" bIns="0" rtlCol="0">
                          <a:noAutofit/>
                        </wps:bodyPr>
                      </wps:wsp>
                      <wps:wsp>
                        <wps:cNvPr id="15127" name="Rectangle 15127"/>
                        <wps:cNvSpPr/>
                        <wps:spPr>
                          <a:xfrm rot="-10799999">
                            <a:off x="131829" y="1310106"/>
                            <a:ext cx="3860051" cy="142889"/>
                          </a:xfrm>
                          <a:prstGeom prst="rect">
                            <a:avLst/>
                          </a:prstGeom>
                          <a:ln>
                            <a:noFill/>
                          </a:ln>
                        </wps:spPr>
                        <wps:txbx>
                          <w:txbxContent>
                            <w:p w14:paraId="7201D014" w14:textId="77777777" w:rsidR="00B32EF2" w:rsidRDefault="00000000">
                              <w:r>
                                <w:rPr>
                                  <w:rFonts w:ascii="Arial" w:eastAsia="Arial" w:hAnsi="Arial" w:cs="Arial"/>
                                  <w:sz w:val="18"/>
                                </w:rPr>
                                <w:t>chiesti gli interessi maturati dopo la sentenza impugnata.</w:t>
                              </w:r>
                            </w:p>
                          </w:txbxContent>
                        </wps:txbx>
                        <wps:bodyPr horzOverflow="overflow" vert="horz" lIns="0" tIns="0" rIns="0" bIns="0" rtlCol="0">
                          <a:noAutofit/>
                        </wps:bodyPr>
                      </wps:wsp>
                      <wps:wsp>
                        <wps:cNvPr id="199942" name="Rectangle 199942"/>
                        <wps:cNvSpPr/>
                        <wps:spPr>
                          <a:xfrm rot="-10799999">
                            <a:off x="2624286" y="1186777"/>
                            <a:ext cx="5255693" cy="142890"/>
                          </a:xfrm>
                          <a:prstGeom prst="rect">
                            <a:avLst/>
                          </a:prstGeom>
                          <a:ln>
                            <a:noFill/>
                          </a:ln>
                        </wps:spPr>
                        <wps:txbx>
                          <w:txbxContent>
                            <w:p w14:paraId="5812B3CB"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99943" name="Rectangle 199943"/>
                        <wps:cNvSpPr/>
                        <wps:spPr>
                          <a:xfrm rot="-10799999">
                            <a:off x="-1330653" y="1186776"/>
                            <a:ext cx="5255693" cy="142890"/>
                          </a:xfrm>
                          <a:prstGeom prst="rect">
                            <a:avLst/>
                          </a:prstGeom>
                          <a:ln>
                            <a:noFill/>
                          </a:ln>
                        </wps:spPr>
                        <wps:txbx>
                          <w:txbxContent>
                            <w:p w14:paraId="69227A53" w14:textId="77777777" w:rsidR="00B32EF2" w:rsidRDefault="00000000">
                              <w:r>
                                <w:rPr>
                                  <w:rFonts w:ascii="Arial" w:eastAsia="Arial" w:hAnsi="Arial" w:cs="Arial"/>
                                  <w:sz w:val="18"/>
                                </w:rPr>
                                <w:t>. Non possono proporsi nuove eccezioni che non siano rilevabili anche d’ufficio.</w:t>
                              </w:r>
                            </w:p>
                          </w:txbxContent>
                        </wps:txbx>
                        <wps:bodyPr horzOverflow="overflow" vert="horz" lIns="0" tIns="0" rIns="0" bIns="0" rtlCol="0">
                          <a:noAutofit/>
                        </wps:bodyPr>
                      </wps:wsp>
                      <wps:wsp>
                        <wps:cNvPr id="15129" name="Rectangle 15129"/>
                        <wps:cNvSpPr/>
                        <wps:spPr>
                          <a:xfrm rot="-10799999">
                            <a:off x="1464365" y="940117"/>
                            <a:ext cx="878624" cy="142889"/>
                          </a:xfrm>
                          <a:prstGeom prst="rect">
                            <a:avLst/>
                          </a:prstGeom>
                          <a:ln>
                            <a:noFill/>
                          </a:ln>
                        </wps:spPr>
                        <wps:txbx>
                          <w:txbxContent>
                            <w:p w14:paraId="3D33703A" w14:textId="77777777" w:rsidR="00B32EF2" w:rsidRDefault="00000000">
                              <w:r>
                                <w:rPr>
                                  <w:rFonts w:ascii="Arial" w:eastAsia="Arial" w:hAnsi="Arial" w:cs="Arial"/>
                                  <w:b/>
                                  <w:sz w:val="18"/>
                                </w:rPr>
                                <w:t>Articolo 112</w:t>
                              </w:r>
                            </w:p>
                          </w:txbxContent>
                        </wps:txbx>
                        <wps:bodyPr horzOverflow="overflow" vert="horz" lIns="0" tIns="0" rIns="0" bIns="0" rtlCol="0">
                          <a:noAutofit/>
                        </wps:bodyPr>
                      </wps:wsp>
                      <wps:wsp>
                        <wps:cNvPr id="199939" name="Rectangle 199939"/>
                        <wps:cNvSpPr/>
                        <wps:spPr>
                          <a:xfrm rot="-10799999">
                            <a:off x="2222355" y="816788"/>
                            <a:ext cx="1943731" cy="142889"/>
                          </a:xfrm>
                          <a:prstGeom prst="rect">
                            <a:avLst/>
                          </a:prstGeom>
                          <a:ln>
                            <a:noFill/>
                          </a:ln>
                        </wps:spPr>
                        <wps:txbx>
                          <w:txbxContent>
                            <w:p w14:paraId="3A7AFAD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9940" name="Rectangle 199940"/>
                        <wps:cNvSpPr/>
                        <wps:spPr>
                          <a:xfrm rot="-10799999">
                            <a:off x="-264138" y="816788"/>
                            <a:ext cx="1943730" cy="142889"/>
                          </a:xfrm>
                          <a:prstGeom prst="rect">
                            <a:avLst/>
                          </a:prstGeom>
                          <a:ln>
                            <a:noFill/>
                          </a:ln>
                        </wps:spPr>
                        <wps:txbx>
                          <w:txbxContent>
                            <w:p w14:paraId="0550E65B"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941" name="Rectangle 199941"/>
                        <wps:cNvSpPr/>
                        <wps:spPr>
                          <a:xfrm rot="-10799999">
                            <a:off x="1162154" y="816788"/>
                            <a:ext cx="1943731" cy="142889"/>
                          </a:xfrm>
                          <a:prstGeom prst="rect">
                            <a:avLst/>
                          </a:prstGeom>
                          <a:ln>
                            <a:noFill/>
                          </a:ln>
                        </wps:spPr>
                        <wps:txbx>
                          <w:txbxContent>
                            <w:p w14:paraId="5F4190FD" w14:textId="77777777" w:rsidR="00B32EF2" w:rsidRDefault="00000000">
                              <w:r>
                                <w:rPr>
                                  <w:rFonts w:ascii="Arial" w:eastAsia="Arial" w:hAnsi="Arial" w:cs="Arial"/>
                                  <w:i/>
                                  <w:sz w:val="18"/>
                                </w:rPr>
                                <w:t xml:space="preserve">articolo 58 D.lgs. n. </w:t>
                              </w:r>
                            </w:p>
                          </w:txbxContent>
                        </wps:txbx>
                        <wps:bodyPr horzOverflow="overflow" vert="horz" lIns="0" tIns="0" rIns="0" bIns="0" rtlCol="0">
                          <a:noAutofit/>
                        </wps:bodyPr>
                      </wps:wsp>
                      <wps:wsp>
                        <wps:cNvPr id="15131" name="Rectangle 15131"/>
                        <wps:cNvSpPr/>
                        <wps:spPr>
                          <a:xfrm rot="-10799999">
                            <a:off x="822196" y="693458"/>
                            <a:ext cx="1905984" cy="142889"/>
                          </a:xfrm>
                          <a:prstGeom prst="rect">
                            <a:avLst/>
                          </a:prstGeom>
                          <a:ln>
                            <a:noFill/>
                          </a:ln>
                        </wps:spPr>
                        <wps:txbx>
                          <w:txbxContent>
                            <w:p w14:paraId="2961A6E3" w14:textId="77777777" w:rsidR="00B32EF2" w:rsidRDefault="00000000">
                              <w:r>
                                <w:rPr>
                                  <w:rFonts w:ascii="Arial" w:eastAsia="Arial" w:hAnsi="Arial" w:cs="Arial"/>
                                  <w:b/>
                                  <w:sz w:val="18"/>
                                </w:rPr>
                                <w:t>Nuove prove in appello (1)</w:t>
                              </w:r>
                            </w:p>
                          </w:txbxContent>
                        </wps:txbx>
                        <wps:bodyPr horzOverflow="overflow" vert="horz" lIns="0" tIns="0" rIns="0" bIns="0" rtlCol="0">
                          <a:noAutofit/>
                        </wps:bodyPr>
                      </wps:wsp>
                      <wps:wsp>
                        <wps:cNvPr id="199937" name="Rectangle 199937"/>
                        <wps:cNvSpPr/>
                        <wps:spPr>
                          <a:xfrm rot="-10799999">
                            <a:off x="2611172" y="570128"/>
                            <a:ext cx="5309006" cy="142889"/>
                          </a:xfrm>
                          <a:prstGeom prst="rect">
                            <a:avLst/>
                          </a:prstGeom>
                          <a:ln>
                            <a:noFill/>
                          </a:ln>
                        </wps:spPr>
                        <wps:txbx>
                          <w:txbxContent>
                            <w:p w14:paraId="5C10A341"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9938" name="Rectangle 199938"/>
                        <wps:cNvSpPr/>
                        <wps:spPr>
                          <a:xfrm rot="-10799999">
                            <a:off x="-1376194" y="570128"/>
                            <a:ext cx="5309006" cy="142889"/>
                          </a:xfrm>
                          <a:prstGeom prst="rect">
                            <a:avLst/>
                          </a:prstGeom>
                          <a:ln>
                            <a:noFill/>
                          </a:ln>
                        </wps:spPr>
                        <wps:txbx>
                          <w:txbxContent>
                            <w:p w14:paraId="7AB6CEB9" w14:textId="77777777" w:rsidR="00B32EF2" w:rsidRDefault="00000000">
                              <w:r>
                                <w:rPr>
                                  <w:rFonts w:ascii="Arial" w:eastAsia="Arial" w:hAnsi="Arial" w:cs="Arial"/>
                                  <w:sz w:val="18"/>
                                </w:rPr>
                                <w:t xml:space="preserve">. Non sono ammessi nuovi mezzi di prova e non possono essere prodotti </w:t>
                              </w:r>
                            </w:p>
                          </w:txbxContent>
                        </wps:txbx>
                        <wps:bodyPr horzOverflow="overflow" vert="horz" lIns="0" tIns="0" rIns="0" bIns="0" rtlCol="0">
                          <a:noAutofit/>
                        </wps:bodyPr>
                      </wps:wsp>
                      <wps:wsp>
                        <wps:cNvPr id="15133" name="Rectangle 15133"/>
                        <wps:cNvSpPr/>
                        <wps:spPr>
                          <a:xfrm rot="-10799999">
                            <a:off x="-1219094" y="446798"/>
                            <a:ext cx="5211090" cy="142889"/>
                          </a:xfrm>
                          <a:prstGeom prst="rect">
                            <a:avLst/>
                          </a:prstGeom>
                          <a:ln>
                            <a:noFill/>
                          </a:ln>
                        </wps:spPr>
                        <wps:txbx>
                          <w:txbxContent>
                            <w:p w14:paraId="0662FC3D" w14:textId="77777777" w:rsidR="00B32EF2" w:rsidRDefault="00000000">
                              <w:r>
                                <w:rPr>
                                  <w:rFonts w:ascii="Arial" w:eastAsia="Arial" w:hAnsi="Arial" w:cs="Arial"/>
                                  <w:sz w:val="18"/>
                                </w:rPr>
                                <w:t>nuovi documenti, salvo che il collegio li ritenga indispensabili ai fini della de</w:t>
                              </w:r>
                            </w:p>
                          </w:txbxContent>
                        </wps:txbx>
                        <wps:bodyPr horzOverflow="overflow" vert="horz" lIns="0" tIns="0" rIns="0" bIns="0" rtlCol="0">
                          <a:noAutofit/>
                        </wps:bodyPr>
                      </wps:wsp>
                      <wps:wsp>
                        <wps:cNvPr id="15134" name="Rectangle 15134"/>
                        <wps:cNvSpPr/>
                        <wps:spPr>
                          <a:xfrm rot="-10799999">
                            <a:off x="19397" y="446798"/>
                            <a:ext cx="50622" cy="142889"/>
                          </a:xfrm>
                          <a:prstGeom prst="rect">
                            <a:avLst/>
                          </a:prstGeom>
                          <a:ln>
                            <a:noFill/>
                          </a:ln>
                        </wps:spPr>
                        <wps:txbx>
                          <w:txbxContent>
                            <w:p w14:paraId="4D7FC1D7" w14:textId="77777777" w:rsidR="00B32EF2" w:rsidRDefault="00000000">
                              <w:r>
                                <w:rPr>
                                  <w:rFonts w:ascii="Arial" w:eastAsia="Arial" w:hAnsi="Arial" w:cs="Arial"/>
                                  <w:sz w:val="18"/>
                                </w:rPr>
                                <w:t>-</w:t>
                              </w:r>
                            </w:p>
                          </w:txbxContent>
                        </wps:txbx>
                        <wps:bodyPr horzOverflow="overflow" vert="horz" lIns="0" tIns="0" rIns="0" bIns="0" rtlCol="0">
                          <a:noAutofit/>
                        </wps:bodyPr>
                      </wps:wsp>
                    </wpg:wgp>
                  </a:graphicData>
                </a:graphic>
              </wp:inline>
            </w:drawing>
          </mc:Choice>
          <mc:Fallback>
            <w:pict>
              <v:group w14:anchorId="02CBD71D" id="Group 200042" o:spid="_x0000_s1735" style="width:314.35pt;height:493.15pt;mso-position-horizontal-relative:char;mso-position-vertical-relative:line" coordsize="39919,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CkB+QoAAHqIAAAOAAAAZHJzL2Uyb0RvYy54bWzkXVuP27gZfS/Q/2D4fWJeJJIyMlkUTTco&#10;UHQXu+0PUDy+AbZlyE486a/v+UiZmpE5XVQEhgaYh4mHTmSLh+d8V1Iff3re7ybfl+1p2xwep/wD&#10;m06Wh0XztD2sH6f//tfPD2Y6OZ3rw1O9aw7Lx+mP5Wn606c//+nj5ThfimbT7J6W7QQXOZzml+Pj&#10;dHM+H+ez2WmxWe7r04fmuDzgzVXT7uszfm3Xs6e2vuDq+91MMKZml6Z9OrbNYnk6YfSze3P6yV5/&#10;tVouzr+sVqflebJ7nOK7ne3P1v78Sj9nnz7W83VbHzfbRfc16hHfYl9vD/hQf6nP9bmefGu3N5fa&#10;bxdtc2pW5w+LZj9rVqvtYmnvAXfD2eBuvrTNt6O9l/X8sj76acLUDuZp9GUX//z+pT3+fvy1xUxc&#10;jmvMhf2N7uV51e7pb3zLybOdsh9+ypbP58kCg7KqeFWp6WSB95RQwpSFm9TFBjN/8/8Wm7/9wf+c&#10;XT949urrXI5YIKd+Dk5xc/D7pj4u7dSe5piDX9vJ9gnrt2SmmE4O9R5L9Tcsnvqw3i0nbthOkP3X&#10;frpO8xNm7jpXk7bB+nrgTFf0x66Hbu54xVhRyukEs/SgBH51k3SdRq6NVJWbRVEyVSh6309FPT+2&#10;p/OXZbOf0IvHaYvvZq9ff//H6ez+6fWf0NfZHejnofl5u9u5d2kEM3r9xvTq/Pz12d620po+jsa+&#10;Nk8/MBmbpv3PL6D1atdcHqdN92pKTMen07vTye7vB4BApLq+aK8vvl5ftOfdXxtLPfd9/vLt3Ky2&#10;9gv3n9Z9MaDrvsO7wFyGYS6vE4FF8f/D/MAl10Jwi7PixIyODVegS8lMZTqkeSGMWwnvh7S53mA2&#10;SEOcQoS2DKNFOB5pprH6wegSOCsZQNrIl0jz9+V0lR3SOoy0F7fxSAuGaxPSRkvJrEjU81ec1hAU&#10;soHEafD7PdXbWGPS62kG6g2vMsRpL24jkYZhFtKpd6mLqtJWJF4gLTgjy54MaSshWSGNyQ4h7cVt&#10;FNK84uRtEaEtzENCMyVEOpBFbsINHygEsnONIky00CW7Cjdik86rfklnBdc3oXDLvJCGdBLtbvjs&#10;xrsIZBSh4Xgbbr0t4nTJpORD6ZasYiW0PZWRtu5hPtJNmIastBuPwVooGGF421a+7xJqH0TmEmNV&#10;sJY3rC4ZhmOAdtG06jxviayKsa78CwEnUsuEAu6DyGyQRg4rhLS3ZOPkWypm81+k3qJUqhwAXchS&#10;cImVkEq9fQyZB9Ck0qG8iRuPIbVAosSQHSaouZRSDKAG0EKVXUY5RTTtg8h8oA4lTghqv+rHsZpT&#10;NYB3ObK7xNqHkXlgDZMczntjOIbUL+LpIMxJ4+k+jMwG5JB0A3vvrYykMxU3ru4Yo0SYlcr7cceq&#10;7NJjVUi5gXSscBPS5G7BSBfGKIVQDvowQJqlM9J9ZJENp0PBNJD23sooTnNeigr1Awu0VnDHBkAL&#10;I402+OxEjnflA4tsgA5lyAC0d1XGAV2UiqE1wwJdcuQ97fV6RhukxBMmvasM02MhV4y87khfjCum&#10;u1aTQlZSFgOkeUVrAZxPRWl/f3lQmiANZU3ceIzbLfCH4LWkvkuovceZD9Sh/jGC2gvcKP1+QPmq&#10;Kjr9tlAPDHVyVnuXMw+oS86QxLpNhdJwDKcfClQtKf1FrrfQjPGBfEtjJC8gKKnk23uceQBN3A0h&#10;7cZjoLaFLDINBDUvQPBBV6htFpQJLbX3OfOBOlTJIqijS1mIrgp4fP8TawFbnobWEJqrbOWBNfQ7&#10;5JTZ4RhSP5RSF13mhAmJwtbrzEmBPvCSJytZ6t485YEzcRcKemOo3XgU0tRzohG4EqclGvwZpBoX&#10;7GNq6DeGE2LtRSsbrMtQ9gRYYzwGa2uqO/f7PqHOLU/GiVc3rIZ8++zCqDhL6AKdCI7SWqtOLntK&#10;S821phbhVGbah5F5UBqABotZNBxDaA4rrK6Ehk6zwoZtPdCmEoIMRyqc/TLOA2eS6BDQbjwGaUqS&#10;8S7zLQumNLdWsUcamZOCUQ0kFdR+JecDdahsSVD7JNIo8UaSrDBItFmHzEI9IHVyqP395QN1qG5J&#10;UPs00iioOVfYwgHSku99l6z295cH1DDUIaTtcIx8a2E4dfgSzihGSzNQb8FK1KcTOmQ+sMgDZ6Lu&#10;GyUOt/N/9H4d19ff+d4oYrJyALUNp8k5T2So0cnYreR8oA4FWbQEvHs6Sr3R2a9VAXwtrd/GOl3q&#10;hPsqTh5Yl5z6dAPxdL/oRyItoNDdJjyJ0Bp9ZYMkGfq9BTbaJmN1ZkkyIB0qZ9nhGEPd9wA7mIfi&#10;nbIHWPPs0mOIcoN09qt9HJ0lQxuZK1mKCr3erj+vD6YLUWlDB6CkstHZ5cewtINA+xU/CmiUoxFW&#10;ufgKrScKx168lm2D7XgSaywVzt4BycM+k88Vkm03HqPbNj9WOFdMlAVQHyCNpIlEb0I6qDPMj4XE&#10;m6COVG/kx0RXnL5PqDPMj4Xkm6CO1G/kx3AVG2DdJ9TZ5ceo6SMUYHlLNspQC2awQcfhXOBETD1Q&#10;b2GULGnTVipDnV9+jDqyb4AGGV0jfkR+TBlsnXZQC2zORfkShr/3vRFma56usV+LDPNjoaQJqbef&#10;ilGkfuC8KEru2sjEXWKdX34sVLNE1sS7LKOQ5tBv2pON8sYbOCfclYWjTPPKeAPOcBELwzExFs4E&#10;xsmR1JtGOHMt0e491O4S9Y5k+yy7rGw+x1MB6ZCVtsMxSHOJnT4I1N/GOSmfs8uOwSe59cVKqG4U&#10;n6mkUdBJ4QQzXjO4Za9cMeRMcPhJuvSY8EFFHukxIBrKjtnhKDoXCmlOl+/G2bAKW7NeA20Uout0&#10;6W6RX24MR+PfMpqiKz8Voxwx6hKscBYVUZobJgtHoT66IkrrhGlQd05WPhaaIA05Y248itRcSTxt&#10;446h9t5mHupNkIaiKzceAzU6QqlR8I6hziw9BoscSnjb4Rigke3WtHuS1FsZHE41sNPUhYLqR7I0&#10;qNsalpd6v9Em6NKWEWlQifNrYBkIamzi0DioEiunN9Q4QBJHQadrHcPuoG4l56PeodIGqbcPQ0b5&#10;ZA9caEOx2v1inV2CDG7xrfsN+Y5DGq636aKsIKWTNo+51pd8tBtohmIsOxxjo+153tetWDjCRKKv&#10;ZCDdac/zRl42L+kGpCG/2w7HII3HoJmrNyZxIo7brNmbaGmovT9d2gTeQXYm+o2WInR+xSCNJz7i&#10;gVddgMUNHqdi62E91DjOvVToEvX9B+6Qm/d64J12EpOPeJPXFYqw3HgM1JBvdP92zb9wsYH1UL5T&#10;Y+1rsXl43tDpcBELwzFIo/kXptlVpauCdTXuntM4ERa07yn9vs+70+6M2qwoTc+RDLUUYTwGaOr9&#10;lShpUHxluKKDfnG5Hmhq/U152kV/e3kQmkQ6VLB04zFI09Z4nFf0B0jjsxO1CeK2u9vLB+lQxZKQ&#10;9vmjUUkT7Iz3513cI6f728sDaTzkJgS0HY5htKGCpXO84V8X7jyFl9LNyopaFFIR2scVecAM4tID&#10;E4JG2rulowiNEhY8MLdBp8SBVOgSe2Wk3SlzWAmpkPY7FfJB+o3CdO+ZjkLabouHz2Wt9F1CnV1+&#10;jHp/bjhNzy27uisjgYZ2sw7oosDDGIacRg0LZ0em43RmCTIgGqpW2uEYI80rSY/oQXgVRDlpWaNv&#10;mEqt27PLcT2/rI+fPiItuG7r42a7+Fyf65e/4/XlOF+KZtPsnpbtp/8CAAD//wMAUEsDBBQABgAI&#10;AAAAIQAF8LNt3QAAAAUBAAAPAAAAZHJzL2Rvd25yZXYueG1sTI9BS8NAEIXvgv9hGcGb3aTFmKbZ&#10;lFLUUxFsBfE2zU6T0OxsyG6T9N+7etHLwOM93vsmX0+mFQP1rrGsIJ5FIIhLqxuuFHwcXh5SEM4j&#10;a2wtk4IrOVgXtzc5ZtqO/E7D3lcilLDLUEHtfZdJ6cqaDLqZ7YiDd7K9QR9kX0nd4xjKTSvnUZRI&#10;gw2HhRo72tZUnvcXo+B1xHGziJ+H3fm0vX4dHt8+dzEpdX83bVYgPE3+Lww/+AEdisB0tBfWTrQK&#10;wiP+9wYvmadPII4KlmmyAFnk8j998Q0AAP//AwBQSwECLQAUAAYACAAAACEAtoM4kv4AAADhAQAA&#10;EwAAAAAAAAAAAAAAAAAAAAAAW0NvbnRlbnRfVHlwZXNdLnhtbFBLAQItABQABgAIAAAAIQA4/SH/&#10;1gAAAJQBAAALAAAAAAAAAAAAAAAAAC8BAABfcmVscy8ucmVsc1BLAQItABQABgAIAAAAIQBXCCkB&#10;+QoAAHqIAAAOAAAAAAAAAAAAAAAAAC4CAABkcnMvZTJvRG9jLnhtbFBLAQItABQABgAIAAAAIQAF&#10;8LNt3QAAAAUBAAAPAAAAAAAAAAAAAAAAAFMNAABkcnMvZG93bnJldi54bWxQSwUGAAAAAAQABADz&#10;AAAAXQ4AAAAA&#10;">
                <v:rect id="Rectangle 15084" o:spid="_x0000_s1736"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i2xAAAAN4AAAAPAAAAZHJzL2Rvd25yZXYueG1sRE9Na8JA&#10;EL0X/A/LCN7qpkVLSF2lWMQcvGgt9DhkxySanV2yq4n+elcoeJvH+5zZojeNuFDra8sK3sYJCOLC&#10;6ppLBfuf1WsKwgdkjY1lUnAlD4v54GWGmbYdb+myC6WIIewzVFCF4DIpfVGRQT+2jjhyB9saDBG2&#10;pdQtdjHcNPI9ST6kwZpjQ4WOlhUVp93ZKPj7ZpevOlkcbku3OeZpsz7vf5UaDfuvTxCB+vAU/7tz&#10;HedPk3QCj3fiDXJ+BwAA//8DAFBLAQItABQABgAIAAAAIQDb4fbL7gAAAIUBAAATAAAAAAAAAAAA&#10;AAAAAAAAAABbQ29udGVudF9UeXBlc10ueG1sUEsBAi0AFAAGAAgAAAAhAFr0LFu/AAAAFQEAAAsA&#10;AAAAAAAAAAAAAAAAHwEAAF9yZWxzLy5yZWxzUEsBAi0AFAAGAAgAAAAhADxZeLbEAAAA3gAAAA8A&#10;AAAAAAAAAAAAAAAABwIAAGRycy9kb3ducmV2LnhtbFBLBQYAAAAAAwADALcAAAD4AgAAAAA=&#10;" filled="f" stroked="f">
                  <v:textbox inset="0,0,0,0">
                    <w:txbxContent>
                      <w:p w14:paraId="0F293B80" w14:textId="77777777" w:rsidR="00B32EF2" w:rsidRDefault="00000000">
                        <w:r>
                          <w:rPr>
                            <w:rFonts w:ascii="Times New Roman" w:eastAsia="Times New Roman" w:hAnsi="Times New Roman" w:cs="Times New Roman"/>
                          </w:rPr>
                          <w:t>95</w:t>
                        </w:r>
                      </w:p>
                    </w:txbxContent>
                  </v:textbox>
                </v:rect>
                <v:rect id="Rectangle 15085" o:spid="_x0000_s1737" style="position:absolute;left:-13172;top:61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d0txAAAAN4AAAAPAAAAZHJzL2Rvd25yZXYueG1sRE9La8JA&#10;EL4X/A/LCN7qpoISUjdSFDGHXrQKPQ7ZyaPNzi7Z1aT99V1B6G0+vuesN6PpxI1631pW8DJPQBCX&#10;VrdcKzh/7J9TED4ga+wsk4If8rDJJ09rzLQd+Ei3U6hFDGGfoYImBJdJ6cuGDPq5dcSRq2xvMETY&#10;11L3OMRw08lFkqykwZZjQ4OOtg2V36erUfC5Y1fsB1lWv1v3/lWk3eF6vig1m45vryACjeFf/HAX&#10;Os5fJukS7u/EG2T+BwAA//8DAFBLAQItABQABgAIAAAAIQDb4fbL7gAAAIUBAAATAAAAAAAAAAAA&#10;AAAAAAAAAABbQ29udGVudF9UeXBlc10ueG1sUEsBAi0AFAAGAAgAAAAhAFr0LFu/AAAAFQEAAAsA&#10;AAAAAAAAAAAAAAAAHwEAAF9yZWxzLy5yZWxzUEsBAi0AFAAGAAgAAAAhAFMV3S3EAAAA3gAAAA8A&#10;AAAAAAAAAAAAAAAABwIAAGRycy9kb3ducmV2LnhtbFBLBQYAAAAAAwADALcAAAD4AgAAAAA=&#10;" filled="f" stroked="f">
                  <v:textbox inset="0,0,0,0">
                    <w:txbxContent>
                      <w:p w14:paraId="0E2C97B8" w14:textId="77777777" w:rsidR="00B32EF2" w:rsidRDefault="00000000">
                        <w:r>
                          <w:rPr>
                            <w:rFonts w:ascii="Arial" w:eastAsia="Arial" w:hAnsi="Arial" w:cs="Arial"/>
                            <w:sz w:val="18"/>
                          </w:rPr>
                          <w:t xml:space="preserve">secondo grado a cui è diretto, dell’appellante e delle altre parti nei cui confronti </w:t>
                        </w:r>
                      </w:p>
                    </w:txbxContent>
                  </v:textbox>
                </v:rect>
                <v:rect id="Rectangle 15086" o:spid="_x0000_s1738" style="position:absolute;left:-13170;top:59966;width:530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0NaxAAAAN4AAAAPAAAAZHJzL2Rvd25yZXYueG1sRE9Li8Iw&#10;EL4v+B/CCHtb0xWU0jXKoog9ePEFexyase1uMwlNtF1/vREEb/PxPWe26E0jrtT62rKCz1ECgriw&#10;uuZSwfGw/khB+ICssbFMCv7Jw2I+eJthpm3HO7ruQyliCPsMFVQhuExKX1Rk0I+sI47c2bYGQ4Rt&#10;KXWLXQw3jRwnyVQarDk2VOhoWVHxt78YBT8rdvm6k8X5tnTb3zxtNpfjSan3Yf/9BSJQH17ipzvX&#10;cf4kSafweCfeIOd3AAAA//8DAFBLAQItABQABgAIAAAAIQDb4fbL7gAAAIUBAAATAAAAAAAAAAAA&#10;AAAAAAAAAABbQ29udGVudF9UeXBlc10ueG1sUEsBAi0AFAAGAAgAAAAhAFr0LFu/AAAAFQEAAAsA&#10;AAAAAAAAAAAAAAAAHwEAAF9yZWxzLy5yZWxzUEsBAi0AFAAGAAgAAAAhAKPHQ1rEAAAA3gAAAA8A&#10;AAAAAAAAAAAAAAAABwIAAGRycy9kb3ducmV2LnhtbFBLBQYAAAAAAwADALcAAAD4AgAAAAA=&#10;" filled="f" stroked="f">
                  <v:textbox inset="0,0,0,0">
                    <w:txbxContent>
                      <w:p w14:paraId="2A9601B4" w14:textId="77777777" w:rsidR="00B32EF2" w:rsidRDefault="00000000">
                        <w:r>
                          <w:rPr>
                            <w:rFonts w:ascii="Arial" w:eastAsia="Arial" w:hAnsi="Arial" w:cs="Arial"/>
                            <w:sz w:val="18"/>
                          </w:rPr>
                          <w:t xml:space="preserve">è proposto, gli estremi della sentenza impugnata, l’esposizione sommaria dei </w:t>
                        </w:r>
                      </w:p>
                    </w:txbxContent>
                  </v:textbox>
                </v:rect>
                <v:rect id="Rectangle 15087" o:spid="_x0000_s1739" style="position:absolute;left:-13172;top:58733;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bBxAAAAN4AAAAPAAAAZHJzL2Rvd25yZXYueG1sRE9Na8JA&#10;EL0X/A/LCN7qpgVtSF2lWMQcvGgt9DhkxySanV2yq4n+elcoeJvH+5zZojeNuFDra8sK3sYJCOLC&#10;6ppLBfuf1WsKwgdkjY1lUnAlD4v54GWGmbYdb+myC6WIIewzVFCF4DIpfVGRQT+2jjhyB9saDBG2&#10;pdQtdjHcNPI9SabSYM2xoUJHy4qK0+5sFPx9s8tXnSwOt6XbHPO0WZ/3v0qNhv3XJ4hAfXiK/925&#10;jvMnSfoBj3fiDXJ+BwAA//8DAFBLAQItABQABgAIAAAAIQDb4fbL7gAAAIUBAAATAAAAAAAAAAAA&#10;AAAAAAAAAABbQ29udGVudF9UeXBlc10ueG1sUEsBAi0AFAAGAAgAAAAhAFr0LFu/AAAAFQEAAAsA&#10;AAAAAAAAAAAAAAAAHwEAAF9yZWxzLy5yZWxzUEsBAi0AFAAGAAgAAAAhAMyL5sHEAAAA3gAAAA8A&#10;AAAAAAAAAAAAAAAABwIAAGRycy9kb3ducmV2LnhtbFBLBQYAAAAAAwADALcAAAD4AgAAAAA=&#10;" filled="f" stroked="f">
                  <v:textbox inset="0,0,0,0">
                    <w:txbxContent>
                      <w:p w14:paraId="4A1C15E3" w14:textId="77777777" w:rsidR="00B32EF2" w:rsidRDefault="00000000">
                        <w:r>
                          <w:rPr>
                            <w:rFonts w:ascii="Arial" w:eastAsia="Arial" w:hAnsi="Arial" w:cs="Arial"/>
                            <w:sz w:val="18"/>
                          </w:rPr>
                          <w:t xml:space="preserve">fatti, l’oggetto della domanda ed i motivi specifici dell’impugnazione. Il ricorso </w:t>
                        </w:r>
                      </w:p>
                    </w:txbxContent>
                  </v:textbox>
                </v:rect>
                <v:rect id="Rectangle 15088" o:spid="_x0000_s1740" style="position:absolute;left:-12192;top:57499;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HKzxwAAAN4AAAAPAAAAZHJzL2Rvd25yZXYueG1sRI9Ba8JA&#10;EIXvhf6HZQre6qYFS4iuUixiDr3UKngcsmMSzc4u2dXE/vrOodDbDO/Ne98sVqPr1I362Ho28DLN&#10;QBFX3rZcG9h/b55zUDEhW+w8k4E7RVgtHx8WWFg/8BfddqlWEsKxQANNSqHQOlYNOYxTH4hFO/ne&#10;YZK1r7XtcZBw1+nXLHvTDluWhgYDrRuqLrurM3D84FBuBl2dftbh81zm3fa6PxgzeRrf56ASjenf&#10;/HddWsGfZbnwyjsyg17+AgAA//8DAFBLAQItABQABgAIAAAAIQDb4fbL7gAAAIUBAAATAAAAAAAA&#10;AAAAAAAAAAAAAABbQ29udGVudF9UeXBlc10ueG1sUEsBAi0AFAAGAAgAAAAhAFr0LFu/AAAAFQEA&#10;AAsAAAAAAAAAAAAAAAAAHwEAAF9yZWxzLy5yZWxzUEsBAi0AFAAGAAgAAAAhAL0UcrPHAAAA3gAA&#10;AA8AAAAAAAAAAAAAAAAABwIAAGRycy9kb3ducmV2LnhtbFBLBQYAAAAAAwADALcAAAD7AgAAAAA=&#10;" filled="f" stroked="f">
                  <v:textbox inset="0,0,0,0">
                    <w:txbxContent>
                      <w:p w14:paraId="095E0575" w14:textId="77777777" w:rsidR="00B32EF2" w:rsidRDefault="00000000">
                        <w:r>
                          <w:rPr>
                            <w:rFonts w:ascii="Arial" w:eastAsia="Arial" w:hAnsi="Arial" w:cs="Arial"/>
                            <w:sz w:val="18"/>
                          </w:rPr>
                          <w:t>in appello è inammissibile se manca o è assolutamente incerto uno degli ele</w:t>
                        </w:r>
                      </w:p>
                    </w:txbxContent>
                  </v:textbox>
                </v:rect>
                <v:rect id="Rectangle 15089" o:spid="_x0000_s1741" style="position:absolute;left:191;top:574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NcoxAAAAN4AAAAPAAAAZHJzL2Rvd25yZXYueG1sRE9La8JA&#10;EL4X/A/LCN7qpgUlTV2lWMQcvPgo9DhkxySanV2yq4n+elco9DYf33Nmi9404kqtry0reBsnIIgL&#10;q2suFRz2q9cUhA/IGhvLpOBGHhbzwcsMM2073tJ1F0oRQ9hnqKAKwWVS+qIig35sHXHkjrY1GCJs&#10;S6lb7GK4aeR7kkylwZpjQ4WOlhUV593FKPj9ZpevOlkc70u3OeVps74cfpQaDfuvTxCB+vAv/nPn&#10;Os6fJOkHPN+JN8j5AwAA//8DAFBLAQItABQABgAIAAAAIQDb4fbL7gAAAIUBAAATAAAAAAAAAAAA&#10;AAAAAAAAAABbQ29udGVudF9UeXBlc10ueG1sUEsBAi0AFAAGAAgAAAAhAFr0LFu/AAAAFQEAAAsA&#10;AAAAAAAAAAAAAAAAHwEAAF9yZWxzLy5yZWxzUEsBAi0AFAAGAAgAAAAhANJY1yjEAAAA3gAAAA8A&#10;AAAAAAAAAAAAAAAABwIAAGRycy9kb3ducmV2LnhtbFBLBQYAAAAAAwADALcAAAD4AgAAAAA=&#10;" filled="f" stroked="f">
                  <v:textbox inset="0,0,0,0">
                    <w:txbxContent>
                      <w:p w14:paraId="702B1999" w14:textId="77777777" w:rsidR="00B32EF2" w:rsidRDefault="00000000">
                        <w:r>
                          <w:rPr>
                            <w:rFonts w:ascii="Arial" w:eastAsia="Arial" w:hAnsi="Arial" w:cs="Arial"/>
                            <w:sz w:val="18"/>
                          </w:rPr>
                          <w:t>-</w:t>
                        </w:r>
                      </w:p>
                    </w:txbxContent>
                  </v:textbox>
                </v:rect>
                <v:rect id="Rectangle 15090" o:spid="_x0000_s1742" style="position:absolute;left:-12750;top:56266;width:526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hoxwAAAN4AAAAPAAAAZHJzL2Rvd25yZXYueG1sRI9Ba8JA&#10;EIXvhf6HZQq91U0LLTa6ilikOfSiVfA4ZMckmp1dsqtJ++udg+Bthnnz3vum88G16kJdbDwbeB1l&#10;oIhLbxuuDGx/Vy9jUDEhW2w9k4E/ijCfPT5MMbe+5zVdNqlSYsIxRwN1SiHXOpY1OYwjH4jldvCd&#10;wyRrV2nbYS/mrtVvWfahHTYsCTUGWtZUnjZnZ2D/xaFY9bo8/C/Dz7EYt9/n7c6Y56dhMQGVaEh3&#10;8e27sFL/PfsUAMGRGfTsCgAA//8DAFBLAQItABQABgAIAAAAIQDb4fbL7gAAAIUBAAATAAAAAAAA&#10;AAAAAAAAAAAAAABbQ29udGVudF9UeXBlc10ueG1sUEsBAi0AFAAGAAgAAAAhAFr0LFu/AAAAFQEA&#10;AAsAAAAAAAAAAAAAAAAAHwEAAF9yZWxzLy5yZWxzUEsBAi0AFAAGAAgAAAAhAMa76GjHAAAA3gAA&#10;AA8AAAAAAAAAAAAAAAAABwIAAGRycy9kb3ducmV2LnhtbFBLBQYAAAAAAwADALcAAAD7AgAAAAA=&#10;" filled="f" stroked="f">
                  <v:textbox inset="0,0,0,0">
                    <w:txbxContent>
                      <w:p w14:paraId="524ADD76" w14:textId="77777777" w:rsidR="00B32EF2" w:rsidRDefault="00000000">
                        <w:r>
                          <w:rPr>
                            <w:rFonts w:ascii="Arial" w:eastAsia="Arial" w:hAnsi="Arial" w:cs="Arial"/>
                            <w:sz w:val="18"/>
                          </w:rPr>
                          <w:t>menti sopra indicati o se non è sottoscritto a norma dell’articolo 64, comma 3.</w:t>
                        </w:r>
                      </w:p>
                    </w:txbxContent>
                  </v:textbox>
                </v:rect>
                <v:rect id="Rectangle 199969" o:spid="_x0000_s1743" style="position:absolute;left:-13818;top:550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kgcxAAAAN8AAAAPAAAAZHJzL2Rvd25yZXYueG1sRE/Pa8Iw&#10;FL4L/g/hDXbTdB7EdkYRRexhl2kFj4/m2XY2L6GJtttfvwwGHj++38v1YFrxoM43lhW8TRMQxKXV&#10;DVcKitN+sgDhA7LG1jIp+CYP69V4tMRM254/6XEMlYgh7DNUUIfgMil9WZNBP7WOOHJX2xkMEXaV&#10;1B32Mdy0cpYkc2mw4dhQo6NtTeXteDcKLjt2+b6X5fVn6z6+8kV7uBdnpV5fhs07iEBDeIr/3bmO&#10;89M0nafw9ycCkKtfAAAA//8DAFBLAQItABQABgAIAAAAIQDb4fbL7gAAAIUBAAATAAAAAAAAAAAA&#10;AAAAAAAAAABbQ29udGVudF9UeXBlc10ueG1sUEsBAi0AFAAGAAgAAAAhAFr0LFu/AAAAFQEAAAsA&#10;AAAAAAAAAAAAAAAAHwEAAF9yZWxzLy5yZWxzUEsBAi0AFAAGAAgAAAAhAGY2SBzEAAAA3wAAAA8A&#10;AAAAAAAAAAAAAAAABwIAAGRycy9kb3ducmV2LnhtbFBLBQYAAAAAAwADALcAAAD4AgAAAAA=&#10;" filled="f" stroked="f">
                  <v:textbox inset="0,0,0,0">
                    <w:txbxContent>
                      <w:p w14:paraId="43FAEBEF" w14:textId="77777777" w:rsidR="00B32EF2" w:rsidRDefault="00000000">
                        <w:r>
                          <w:rPr>
                            <w:rFonts w:ascii="Arial" w:eastAsia="Arial" w:hAnsi="Arial" w:cs="Arial"/>
                            <w:sz w:val="18"/>
                          </w:rPr>
                          <w:t xml:space="preserve">. Il ricorso in appello è proposto nelle forme di cui all’articolo 66, commi 1 e 2, </w:t>
                        </w:r>
                      </w:p>
                    </w:txbxContent>
                  </v:textbox>
                </v:rect>
                <v:rect id="Rectangle 199968" o:spid="_x0000_s1744" style="position:absolute;left:26109;top:550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u2HxAAAAN8AAAAPAAAAZHJzL2Rvd25yZXYueG1sRE89b8Iw&#10;EN0r8R+sQ2IrThkQSTGoAiEydCkFqeMpPpK08dmKDUn763tDpY5P73u9HV2n7tTH1rOBp3kGirjy&#10;tuXawPn98LgCFROyxc4zGfimCNvN5GGNhfUDv9H9lGolIRwLNNCkFAqtY9WQwzj3gVi4q+8dJoF9&#10;rW2Pg4S7Ti+ybKkdtiwNDQbaNVR9nW7OwMeeQ3kYdHX92YXXz3LVHW/nizGz6fjyDCrRmP7Ff+7S&#10;yvw8z5cyWP4IAL35BQAA//8DAFBLAQItABQABgAIAAAAIQDb4fbL7gAAAIUBAAATAAAAAAAAAAAA&#10;AAAAAAAAAABbQ29udGVudF9UeXBlc10ueG1sUEsBAi0AFAAGAAgAAAAhAFr0LFu/AAAAFQEAAAsA&#10;AAAAAAAAAAAAAAAAHwEAAF9yZWxzLy5yZWxzUEsBAi0AFAAGAAgAAAAhAAl67YfEAAAA3wAAAA8A&#10;AAAAAAAAAAAAAAAABwIAAGRycy9kb3ducmV2LnhtbFBLBQYAAAAAAwADALcAAAD4AgAAAAA=&#10;" filled="f" stroked="f">
                  <v:textbox inset="0,0,0,0">
                    <w:txbxContent>
                      <w:p w14:paraId="276C8922" w14:textId="77777777" w:rsidR="00B32EF2" w:rsidRDefault="00000000">
                        <w:r>
                          <w:rPr>
                            <w:rFonts w:ascii="Arial" w:eastAsia="Arial" w:hAnsi="Arial" w:cs="Arial"/>
                            <w:sz w:val="18"/>
                          </w:rPr>
                          <w:t>2</w:t>
                        </w:r>
                      </w:p>
                    </w:txbxContent>
                  </v:textbox>
                </v:rect>
                <v:rect id="Rectangle 15092" o:spid="_x0000_s1745" style="position:absolute;left:-13172;top:537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dOExAAAAN4AAAAPAAAAZHJzL2Rvd25yZXYueG1sRE9Na8JA&#10;EL0L/Q/LFLzppoKiqasUi5hDL2oKPQ7ZMUmbnV2yq4n99a4geJvH+5zlujeNuFDra8sK3sYJCOLC&#10;6ppLBflxO5qD8AFZY2OZFFzJw3r1Mlhiqm3He7ocQiliCPsUFVQhuFRKX1Rk0I+tI47cybYGQ4Rt&#10;KXWLXQw3jZwkyUwarDk2VOhoU1HxdzgbBT+f7LJtJ4vT/8Z9/WbzZnfOv5UavvYf7yAC9eEpfrgz&#10;HedPk8UE7u/EG+TqBgAA//8DAFBLAQItABQABgAIAAAAIQDb4fbL7gAAAIUBAAATAAAAAAAAAAAA&#10;AAAAAAAAAABbQ29udGVudF9UeXBlc10ueG1sUEsBAi0AFAAGAAgAAAAhAFr0LFu/AAAAFQEAAAsA&#10;AAAAAAAAAAAAAAAAHwEAAF9yZWxzLy5yZWxzUEsBAi0AFAAGAAgAAAAhAFkl04TEAAAA3gAAAA8A&#10;AAAAAAAAAAAAAAAABwIAAGRycy9kb3ducmV2LnhtbFBLBQYAAAAAAwADALcAAAD4AgAAAAA=&#10;" filled="f" stroked="f">
                  <v:textbox inset="0,0,0,0">
                    <w:txbxContent>
                      <w:p w14:paraId="640A6531" w14:textId="77777777" w:rsidR="00B32EF2" w:rsidRDefault="00000000">
                        <w:r>
                          <w:rPr>
                            <w:rFonts w:ascii="Arial" w:eastAsia="Arial" w:hAnsi="Arial" w:cs="Arial"/>
                            <w:sz w:val="18"/>
                          </w:rPr>
                          <w:t xml:space="preserve">nei confronti di tutte le parti che hanno partecipato al giudizio di primo grado e </w:t>
                        </w:r>
                      </w:p>
                    </w:txbxContent>
                  </v:textbox>
                </v:rect>
                <v:rect id="Rectangle 15093" o:spid="_x0000_s1746" style="position:absolute;left:-3603;top:52566;width:435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XYfxQAAAN4AAAAPAAAAZHJzL2Rvd25yZXYueG1sRE9La8JA&#10;EL4L/Q/LFHrTTS0WG12lKNIcvPgoeByyYxLNzi7Z1aT+elcoeJuP7znTeWdqcaXGV5YVvA8SEMS5&#10;1RUXCva7VX8MwgdkjbVlUvBHHuazl94UU21b3tB1GwoRQ9inqKAMwaVS+rwkg35gHXHkjrYxGCJs&#10;CqkbbGO4qeUwST6lwYpjQ4mOFiXl5+3FKDgs2WWrVubH28KtT9m4/rnsf5V6e+2+JyACdeEp/ndn&#10;Os4fJV8f8Hgn3iBndwAAAP//AwBQSwECLQAUAAYACAAAACEA2+H2y+4AAACFAQAAEwAAAAAAAAAA&#10;AAAAAAAAAAAAW0NvbnRlbnRfVHlwZXNdLnhtbFBLAQItABQABgAIAAAAIQBa9CxbvwAAABUBAAAL&#10;AAAAAAAAAAAAAAAAAB8BAABfcmVscy8ucmVsc1BLAQItABQABgAIAAAAIQA2aXYfxQAAAN4AAAAP&#10;AAAAAAAAAAAAAAAAAAcCAABkcnMvZG93bnJldi54bWxQSwUGAAAAAAMAAwC3AAAA+QIAAAAA&#10;" filled="f" stroked="f">
                  <v:textbox inset="0,0,0,0">
                    <w:txbxContent>
                      <w:p w14:paraId="056FD443" w14:textId="77777777" w:rsidR="00B32EF2" w:rsidRDefault="00000000">
                        <w:r>
                          <w:rPr>
                            <w:rFonts w:ascii="Arial" w:eastAsia="Arial" w:hAnsi="Arial" w:cs="Arial"/>
                            <w:sz w:val="18"/>
                          </w:rPr>
                          <w:t>deve essere depositato a norma dell’articolo 68, commi 1, 2 e 3.</w:t>
                        </w:r>
                      </w:p>
                    </w:txbxContent>
                  </v:textbox>
                </v:rect>
                <v:rect id="Rectangle 199966" o:spid="_x0000_s1747" style="position:absolute;left:26348;top:51333;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dxuxAAAAN8AAAAPAAAAZHJzL2Rvd25yZXYueG1sRE/Pa8Iw&#10;FL4P/B/CE3abqTsUW02LKLIedplzsOOjebbV5iU00Xb765fBYMeP7/emnEwv7jT4zrKC5SIBQVxb&#10;3XGj4PR+eFqB8AFZY2+ZFHyRh7KYPWww13bkN7ofQyNiCPscFbQhuFxKX7dk0C+sI47c2Q4GQ4RD&#10;I/WAYww3vXxOklQa7Dg2tOho11J9Pd6Mgs89u+owyvr8vXOvl2rVv9xOH0o9zqftGkSgKfyL/9yV&#10;jvOzLEtT+P0TAcjiBwAA//8DAFBLAQItABQABgAIAAAAIQDb4fbL7gAAAIUBAAATAAAAAAAAAAAA&#10;AAAAAAAAAABbQ29udGVudF9UeXBlc10ueG1sUEsBAi0AFAAGAAgAAAAhAFr0LFu/AAAAFQEAAAsA&#10;AAAAAAAAAAAAAAAAHwEAAF9yZWxzLy5yZWxzUEsBAi0AFAAGAAgAAAAhABep3G7EAAAA3wAAAA8A&#10;AAAAAAAAAAAAAAAABwIAAGRycy9kb3ducmV2LnhtbFBLBQYAAAAAAwADALcAAAD4AgAAAAA=&#10;" filled="f" stroked="f">
                  <v:textbox inset="0,0,0,0">
                    <w:txbxContent>
                      <w:p w14:paraId="51FF49E9" w14:textId="77777777" w:rsidR="00B32EF2" w:rsidRDefault="00000000">
                        <w:r>
                          <w:rPr>
                            <w:rFonts w:ascii="Arial" w:eastAsia="Arial" w:hAnsi="Arial" w:cs="Arial"/>
                            <w:sz w:val="18"/>
                          </w:rPr>
                          <w:t>3</w:t>
                        </w:r>
                      </w:p>
                    </w:txbxContent>
                  </v:textbox>
                </v:rect>
                <v:rect id="Rectangle 199967" o:spid="_x0000_s1748" style="position:absolute;left:-12854;top:51333;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Xn1xAAAAN8AAAAPAAAAZHJzL2Rvd25yZXYueG1sRE/Pa8Iw&#10;FL4L/g/hCd40nQe1nVGGIvbgZc7Bjo/m2Vabl9BE2+2vXwYDjx/f79WmN414UOtrywpepgkI4sLq&#10;mksF54/9ZAnCB2SNjWVS8E0eNuvhYIWZth2/0+MUShFD2GeooArBZVL6oiKDfmodceQutjUYImxL&#10;qVvsYrhp5CxJ5tJgzbGhQkfbiorb6W4UfO3Y5ftOFpefrTte82VzuJ8/lRqP+rdXEIH68BT/u3Md&#10;56dpOl/A358IQK5/AQAA//8DAFBLAQItABQABgAIAAAAIQDb4fbL7gAAAIUBAAATAAAAAAAAAAAA&#10;AAAAAAAAAABbQ29udGVudF9UeXBlc10ueG1sUEsBAi0AFAAGAAgAAAAhAFr0LFu/AAAAFQEAAAsA&#10;AAAAAAAAAAAAAAAAHwEAAF9yZWxzLy5yZWxzUEsBAi0AFAAGAAgAAAAhAHjlefXEAAAA3wAAAA8A&#10;AAAAAAAAAAAAAAAABwIAAGRycy9kb3ducmV2LnhtbFBLBQYAAAAAAwADALcAAAD4AgAAAAA=&#10;" filled="f" stroked="f">
                  <v:textbox inset="0,0,0,0">
                    <w:txbxContent>
                      <w:p w14:paraId="624EBE15" w14:textId="77777777" w:rsidR="00B32EF2" w:rsidRDefault="00000000">
                        <w:r>
                          <w:rPr>
                            <w:rFonts w:ascii="Arial" w:eastAsia="Arial" w:hAnsi="Arial" w:cs="Arial"/>
                            <w:sz w:val="18"/>
                          </w:rPr>
                          <w:t>. Subito dopo il deposito del ricorso in appello, la segreteria della corte di giu</w:t>
                        </w:r>
                      </w:p>
                    </w:txbxContent>
                  </v:textbox>
                </v:rect>
                <v:rect id="Rectangle 15095" o:spid="_x0000_s1749" style="position:absolute;left:191;top:513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EvwxQAAAN4AAAAPAAAAZHJzL2Rvd25yZXYueG1sRE9LawIx&#10;EL4X/A9hhN40a0GxW7MiinQPvdQqeBw2s4+6mYRNdLf99aYg9DYf33NW68G04kadbywrmE0TEMSF&#10;1Q1XCo5f+8kShA/IGlvLpOCHPKyz0dMKU217/qTbIVQihrBPUUEdgkul9EVNBv3UOuLIlbYzGCLs&#10;Kqk77GO4aeVLkiykwYZjQ42OtjUVl8PVKDjv2OX7Xhbl79Z9fOfL9v16PCn1PB42byACDeFf/HDn&#10;Os6fJ69z+Hsn3iCzOwAAAP//AwBQSwECLQAUAAYACAAAACEA2+H2y+4AAACFAQAAEwAAAAAAAAAA&#10;AAAAAAAAAAAAW0NvbnRlbnRfVHlwZXNdLnhtbFBLAQItABQABgAIAAAAIQBa9CxbvwAAABUBAAAL&#10;AAAAAAAAAAAAAAAAAB8BAABfcmVscy8ucmVsc1BLAQItABQABgAIAAAAIQDWzEvwxQAAAN4AAAAP&#10;AAAAAAAAAAAAAAAAAAcCAABkcnMvZG93bnJldi54bWxQSwUGAAAAAAMAAwC3AAAA+QIAAAAA&#10;" filled="f" stroked="f">
                  <v:textbox inset="0,0,0,0">
                    <w:txbxContent>
                      <w:p w14:paraId="65460E3A" w14:textId="77777777" w:rsidR="00B32EF2" w:rsidRDefault="00000000">
                        <w:r>
                          <w:rPr>
                            <w:rFonts w:ascii="Arial" w:eastAsia="Arial" w:hAnsi="Arial" w:cs="Arial"/>
                            <w:sz w:val="18"/>
                          </w:rPr>
                          <w:t>-</w:t>
                        </w:r>
                      </w:p>
                    </w:txbxContent>
                  </v:textbox>
                </v:rect>
                <v:rect id="Rectangle 15096" o:spid="_x0000_s1750" style="position:absolute;left:-13172;top:500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tWHxQAAAN4AAAAPAAAAZHJzL2Rvd25yZXYueG1sRE9LawIx&#10;EL4X+h/CFLxptgVFV7NSLNI99OKj0OOwmX3YzSRsorv66xtB6G0+vues1oNpxYU631hW8DpJQBAX&#10;VjdcKTgetuM5CB+QNbaWScGVPKyz56cVptr2vKPLPlQihrBPUUEdgkul9EVNBv3EOuLIlbYzGCLs&#10;Kqk77GO4aeVbksykwYZjQ42ONjUVv/uzUfDzwS7f9rIobxv3dcrn7ef5+K3U6GV4X4IINIR/8cOd&#10;6zh/mixmcH8n3iCzPwAAAP//AwBQSwECLQAUAAYACAAAACEA2+H2y+4AAACFAQAAEwAAAAAAAAAA&#10;AAAAAAAAAAAAW0NvbnRlbnRfVHlwZXNdLnhtbFBLAQItABQABgAIAAAAIQBa9CxbvwAAABUBAAAL&#10;AAAAAAAAAAAAAAAAAB8BAABfcmVscy8ucmVsc1BLAQItABQABgAIAAAAIQAmHtWHxQAAAN4AAAAP&#10;AAAAAAAAAAAAAAAAAAcCAABkcnMvZG93bnJldi54bWxQSwUGAAAAAAMAAwC3AAAA+QIAAAAA&#10;" filled="f" stroked="f">
                  <v:textbox inset="0,0,0,0">
                    <w:txbxContent>
                      <w:p w14:paraId="56AD0717" w14:textId="77777777" w:rsidR="00B32EF2" w:rsidRDefault="00000000">
                        <w:r>
                          <w:rPr>
                            <w:rFonts w:ascii="Arial" w:eastAsia="Arial" w:hAnsi="Arial" w:cs="Arial"/>
                            <w:sz w:val="18"/>
                          </w:rPr>
                          <w:t xml:space="preserve">stizia tributaria di secondo grado chiede alla segreteria della corte di giustizia </w:t>
                        </w:r>
                      </w:p>
                    </w:txbxContent>
                  </v:textbox>
                </v:rect>
                <v:rect id="Rectangle 15097" o:spid="_x0000_s1751" style="position:absolute;left:-13172;top:488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nAcxQAAAN4AAAAPAAAAZHJzL2Rvd25yZXYueG1sRE9La8JA&#10;EL4L/Q/LFHrTTYVaG12lKNIcvPgoeByyYxLNzi7Z1aT+elcoeJuP7znTeWdqcaXGV5YVvA8SEMS5&#10;1RUXCva7VX8MwgdkjbVlUvBHHuazl94UU21b3tB1GwoRQ9inqKAMwaVS+rwkg35gHXHkjrYxGCJs&#10;CqkbbGO4qeUwSUbSYMWxoURHi5Ly8/ZiFByW7LJVK/PjbeHWp2xc/1z2v0q9vXbfExCBuvAU/7sz&#10;Hed/JF+f8Hgn3iBndwAAAP//AwBQSwECLQAUAAYACAAAACEA2+H2y+4AAACFAQAAEwAAAAAAAAAA&#10;AAAAAAAAAAAAW0NvbnRlbnRfVHlwZXNdLnhtbFBLAQItABQABgAIAAAAIQBa9CxbvwAAABUBAAAL&#10;AAAAAAAAAAAAAAAAAB8BAABfcmVscy8ucmVsc1BLAQItABQABgAIAAAAIQBJUnAcxQAAAN4AAAAP&#10;AAAAAAAAAAAAAAAAAAcCAABkcnMvZG93bnJldi54bWxQSwUGAAAAAAMAAwC3AAAA+QIAAAAA&#10;" filled="f" stroked="f">
                  <v:textbox inset="0,0,0,0">
                    <w:txbxContent>
                      <w:p w14:paraId="606189EE" w14:textId="77777777" w:rsidR="00B32EF2" w:rsidRDefault="00000000">
                        <w:r>
                          <w:rPr>
                            <w:rFonts w:ascii="Arial" w:eastAsia="Arial" w:hAnsi="Arial" w:cs="Arial"/>
                            <w:sz w:val="18"/>
                          </w:rPr>
                          <w:t xml:space="preserve">tributaria di primo grado la trasmissione del fascicolo del processo, che deve </w:t>
                        </w:r>
                      </w:p>
                    </w:txbxContent>
                  </v:textbox>
                </v:rect>
                <v:rect id="Rectangle 15098" o:spid="_x0000_s1752" style="position:absolute;left:11529;top:47633;width:283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eRuxwAAAN4AAAAPAAAAZHJzL2Rvd25yZXYueG1sRI9Ba8JA&#10;EIXvhf6HZQq91U0LLTa6ilikOfSiVfA4ZMckmp1dsqtJ++udg+BthvfmvW+m88G16kJdbDwbeB1l&#10;oIhLbxuuDGx/Vy9jUDEhW2w9k4E/ijCfPT5MMbe+5zVdNqlSEsIxRwN1SiHXOpY1OYwjH4hFO/jO&#10;YZK1q7TtsJdw1+q3LPvQDhuWhhoDLWsqT5uzM7D/4lCsel0e/pfh51iM2+/zdmfM89OwmIBKNKS7&#10;+XZdWMF/zz6FV96RGfTsCgAA//8DAFBLAQItABQABgAIAAAAIQDb4fbL7gAAAIUBAAATAAAAAAAA&#10;AAAAAAAAAAAAAABbQ29udGVudF9UeXBlc10ueG1sUEsBAi0AFAAGAAgAAAAhAFr0LFu/AAAAFQEA&#10;AAsAAAAAAAAAAAAAAAAAHwEAAF9yZWxzLy5yZWxzUEsBAi0AFAAGAAgAAAAhADjN5G7HAAAA3gAA&#10;AA8AAAAAAAAAAAAAAAAABwIAAGRycy9kb3ducmV2LnhtbFBLBQYAAAAAAwADALcAAAD7AgAAAAA=&#10;" filled="f" stroked="f">
                  <v:textbox inset="0,0,0,0">
                    <w:txbxContent>
                      <w:p w14:paraId="1665B100" w14:textId="77777777" w:rsidR="00B32EF2" w:rsidRDefault="00000000">
                        <w:r>
                          <w:rPr>
                            <w:rFonts w:ascii="Arial" w:eastAsia="Arial" w:hAnsi="Arial" w:cs="Arial"/>
                            <w:sz w:val="18"/>
                          </w:rPr>
                          <w:t>contenere copia autentica della sentenza.</w:t>
                        </w:r>
                      </w:p>
                    </w:txbxContent>
                  </v:textbox>
                </v:rect>
                <v:rect id="Rectangle 15099" o:spid="_x0000_s1753" style="position:absolute;left:14560;top:45166;width:89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UH1xQAAAN4AAAAPAAAAZHJzL2Rvd25yZXYueG1sRE9LawIx&#10;EL4L/Q9hCt4024JFV7NSLNI99KK10OOwmX3YzSRsorv6640g9DYf33NW68G04kydbywreJkmIIgL&#10;qxuuFBy+t5M5CB+QNbaWScGFPKyzp9EKU2173tF5HyoRQ9inqKAOwaVS+qImg35qHXHkStsZDBF2&#10;ldQd9jHctPI1Sd6kwYZjQ42ONjUVf/uTUfD7wS7f9rIorxv3dczn7efp8KPU+Hl4X4IINIR/8cOd&#10;6zh/liwWcH8n3iCzGwAAAP//AwBQSwECLQAUAAYACAAAACEA2+H2y+4AAACFAQAAEwAAAAAAAAAA&#10;AAAAAAAAAAAAW0NvbnRlbnRfVHlwZXNdLnhtbFBLAQItABQABgAIAAAAIQBa9CxbvwAAABUBAAAL&#10;AAAAAAAAAAAAAAAAAB8BAABfcmVscy8ucmVsc1BLAQItABQABgAIAAAAIQBXgUH1xQAAAN4AAAAP&#10;AAAAAAAAAAAAAAAAAAcCAABkcnMvZG93bnJldi54bWxQSwUGAAAAAAMAAwC3AAAA+QIAAAAA&#10;" filled="f" stroked="f">
                  <v:textbox inset="0,0,0,0">
                    <w:txbxContent>
                      <w:p w14:paraId="09C4BAA4" w14:textId="77777777" w:rsidR="00B32EF2" w:rsidRDefault="00000000">
                        <w:r>
                          <w:rPr>
                            <w:rFonts w:ascii="Arial" w:eastAsia="Arial" w:hAnsi="Arial" w:cs="Arial"/>
                            <w:b/>
                            <w:sz w:val="18"/>
                          </w:rPr>
                          <w:t>Articolo 108</w:t>
                        </w:r>
                      </w:p>
                    </w:txbxContent>
                  </v:textbox>
                </v:rect>
                <v:rect id="Rectangle 199965" o:spid="_x0000_s1754" style="position:absolute;left:11607;top:43933;width:194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0IZxAAAAN8AAAAPAAAAZHJzL2Rvd25yZXYueG1sRE/Pa8Iw&#10;FL4L/g/hCd40VZjYziiiyHrYZc7Bjo/m2XZrXkITbd1fvwiCx4/v92rTm0ZcqfW1ZQWzaQKCuLC6&#10;5lLB6fMwWYLwAVljY5kU3MjDZj0crDDTtuMPuh5DKWII+wwVVCG4TEpfVGTQT60jjtzZtgZDhG0p&#10;dYtdDDeNnCfJQhqsOTZU6GhXUfF7vBgF33t2+aGTxflv595/8mXzdjl9KTUe9dtXEIH68BQ/3LmO&#10;89M0XbzA/U8EINf/AAAA//8DAFBLAQItABQABgAIAAAAIQDb4fbL7gAAAIUBAAATAAAAAAAAAAAA&#10;AAAAAAAAAABbQ29udGVudF9UeXBlc10ueG1sUEsBAi0AFAAGAAgAAAAhAFr0LFu/AAAAFQEAAAsA&#10;AAAAAAAAAAAAAAAAHwEAAF9yZWxzLy5yZWxzUEsBAi0AFAAGAAgAAAAhAOd7QhnEAAAA3wAAAA8A&#10;AAAAAAAAAAAAAAAABwIAAGRycy9kb3ducmV2LnhtbFBLBQYAAAAAAwADALcAAAD4AgAAAAA=&#10;" filled="f" stroked="f">
                  <v:textbox inset="0,0,0,0">
                    <w:txbxContent>
                      <w:p w14:paraId="31F0FCF8" w14:textId="77777777" w:rsidR="00B32EF2" w:rsidRDefault="00000000">
                        <w:r>
                          <w:rPr>
                            <w:rFonts w:ascii="Arial" w:eastAsia="Arial" w:hAnsi="Arial" w:cs="Arial"/>
                            <w:i/>
                            <w:sz w:val="18"/>
                          </w:rPr>
                          <w:t xml:space="preserve">articolo 54 D.lgs. n. </w:t>
                        </w:r>
                      </w:p>
                    </w:txbxContent>
                  </v:textbox>
                </v:rect>
                <v:rect id="Rectangle 199963" o:spid="_x0000_s1755" style="position:absolute;left:22223;top:43933;width:194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n/2xAAAAN8AAAAPAAAAZHJzL2Rvd25yZXYueG1sRE/Pa8Iw&#10;FL4L/g/hCd401YHYziiiyHrYZc7Bjo/m2XZrXkITbd1fvwiCx4/v92rTm0ZcqfW1ZQWzaQKCuLC6&#10;5lLB6fMwWYLwAVljY5kU3MjDZj0crDDTtuMPuh5DKWII+wwVVCG4TEpfVGTQT60jjtzZtgZDhG0p&#10;dYtdDDeNnCfJQhqsOTZU6GhXUfF7vBgF33t2+aGTxflv595/8mXzdjl9KTUe9dtXEIH68BQ/3LmO&#10;89M0XbzA/U8EINf/AAAA//8DAFBLAQItABQABgAIAAAAIQDb4fbL7gAAAIUBAAATAAAAAAAAAAAA&#10;AAAAAAAAAABbQ29udGVudF9UeXBlc10ueG1sUEsBAi0AFAAGAAgAAAAhAFr0LFu/AAAAFQEAAAsA&#10;AAAAAAAAAAAAAAAAHwEAAF9yZWxzLy5yZWxzUEsBAi0AFAAGAAgAAAAhAAfef/bEAAAA3wAAAA8A&#10;AAAAAAAAAAAAAAAABwIAAGRycy9kb3ducmV2LnhtbFBLBQYAAAAAAwADALcAAAD4AgAAAAA=&#10;" filled="f" stroked="f">
                  <v:textbox inset="0,0,0,0">
                    <w:txbxContent>
                      <w:p w14:paraId="0D96AF6C" w14:textId="77777777" w:rsidR="00B32EF2" w:rsidRDefault="00000000">
                        <w:r>
                          <w:rPr>
                            <w:rFonts w:ascii="Arial" w:eastAsia="Arial" w:hAnsi="Arial" w:cs="Arial"/>
                            <w:i/>
                            <w:sz w:val="18"/>
                          </w:rPr>
                          <w:t>(</w:t>
                        </w:r>
                      </w:p>
                    </w:txbxContent>
                  </v:textbox>
                </v:rect>
                <v:rect id="Rectangle 199964" o:spid="_x0000_s1756" style="position:absolute;left:-2669;top:43933;width:194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eCxAAAAN8AAAAPAAAAZHJzL2Rvd25yZXYueG1sRE/Pa8Iw&#10;FL4L/g/hCd40VYbYziiiyHrYZc7Bjo/m2XZrXkITbd1fvwiCx4/v92rTm0ZcqfW1ZQWzaQKCuLC6&#10;5lLB6fMwWYLwAVljY5kU3MjDZj0crDDTtuMPuh5DKWII+wwVVCG4TEpfVGTQT60jjtzZtgZDhG0p&#10;dYtdDDeNnCfJQhqsOTZU6GhXUfF7vBgF33t2+aGTxflv595/8mXzdjl9KTUe9dtXEIH68BQ/3LmO&#10;89M0XbzA/U8EINf/AAAA//8DAFBLAQItABQABgAIAAAAIQDb4fbL7gAAAIUBAAATAAAAAAAAAAAA&#10;AAAAAAAAAABbQ29udGVudF9UeXBlc10ueG1sUEsBAi0AFAAGAAgAAAAhAFr0LFu/AAAAFQEAAAsA&#10;AAAAAAAAAAAAAAAAHwEAAF9yZWxzLy5yZWxzUEsBAi0AFAAGAAgAAAAhAIg354LEAAAA3wAAAA8A&#10;AAAAAAAAAAAAAAAABwIAAGRycy9kb3ducmV2LnhtbFBLBQYAAAAAAwADALcAAAD4AgAAAAA=&#10;" filled="f" stroked="f">
                  <v:textbox inset="0,0,0,0">
                    <w:txbxContent>
                      <w:p w14:paraId="395B7CCD" w14:textId="77777777" w:rsidR="00B32EF2" w:rsidRDefault="00000000">
                        <w:r>
                          <w:rPr>
                            <w:rFonts w:ascii="Arial" w:eastAsia="Arial" w:hAnsi="Arial" w:cs="Arial"/>
                            <w:i/>
                            <w:sz w:val="18"/>
                          </w:rPr>
                          <w:t>546/92)</w:t>
                        </w:r>
                      </w:p>
                    </w:txbxContent>
                  </v:textbox>
                </v:rect>
                <v:rect id="Rectangle 15101" o:spid="_x0000_s1757" style="position:absolute;left:-4275;top:42700;width:388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NfpxAAAAN4AAAAPAAAAZHJzL2Rvd25yZXYueG1sRE9Ni8Iw&#10;EL0v+B/CCN7WtAuKVKOIItvDXnQVPA7N2FabSWii7e6v3wjC3ubxPmex6k0jHtT62rKCdJyAIC6s&#10;rrlUcPzevc9A+ICssbFMCn7Iw2o5eFtgpm3He3ocQiliCPsMFVQhuExKX1Rk0I+tI47cxbYGQ4Rt&#10;KXWLXQw3jfxIkqk0WHNsqNDRpqLidrgbBectu3zXyeLyu3Ff13zWfN6PJ6VGw349BxGoD//ilzvX&#10;cf4kTVJ4vhNvkMs/AAAA//8DAFBLAQItABQABgAIAAAAIQDb4fbL7gAAAIUBAAATAAAAAAAAAAAA&#10;AAAAAAAAAABbQ29udGVudF9UeXBlc10ueG1sUEsBAi0AFAAGAAgAAAAhAFr0LFu/AAAAFQEAAAsA&#10;AAAAAAAAAAAAAAAAHwEAAF9yZWxzLy5yZWxzUEsBAi0AFAAGAAgAAAAhADcc1+nEAAAA3gAAAA8A&#10;AAAAAAAAAAAAAAAABwIAAGRycy9kb3ducmV2LnhtbFBLBQYAAAAAAwADALcAAAD4AgAAAAA=&#10;" filled="f" stroked="f">
                  <v:textbox inset="0,0,0,0">
                    <w:txbxContent>
                      <w:p w14:paraId="050E01DF" w14:textId="77777777" w:rsidR="00B32EF2" w:rsidRDefault="00000000">
                        <w:r>
                          <w:rPr>
                            <w:rFonts w:ascii="Arial" w:eastAsia="Arial" w:hAnsi="Arial" w:cs="Arial"/>
                            <w:b/>
                            <w:sz w:val="18"/>
                          </w:rPr>
                          <w:t xml:space="preserve">Controdeduzioni dell’appellato e appello incidentale </w:t>
                        </w:r>
                      </w:p>
                    </w:txbxContent>
                  </v:textbox>
                </v:rect>
                <v:rect id="Rectangle 199961" o:spid="_x0000_s1758" style="position:absolute;left:26109;top:414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EQaxAAAAN8AAAAPAAAAZHJzL2Rvd25yZXYueG1sRE/LasJA&#10;FN0X/IfhCt3ViV2IiU5EFGkW3dQquLxkbh6auTNkRpP26zuFQpeH815vRtOJB/W+taxgPktAEJdW&#10;t1wrOH0eXpYgfEDW2FkmBV/kYZNPntaYaTvwBz2OoRYxhH2GCpoQXCalLxsy6GfWEUeusr3BEGFf&#10;S93jEMNNJ1+TZCENthwbGnS0a6i8He9GwWXPrjgMsqy+d+79Wiy7t/vprNTzdNyuQAQaw7/4z13o&#10;OD9N08Ucfv9EADL/AQAA//8DAFBLAQItABQABgAIAAAAIQDb4fbL7gAAAIUBAAATAAAAAAAAAAAA&#10;AAAAAAAAAABbQ29udGVudF9UeXBlc10ueG1sUEsBAi0AFAAGAAgAAAAhAFr0LFu/AAAAFQEAAAsA&#10;AAAAAAAAAAAAAAAAHwEAAF9yZWxzLy5yZWxzUEsBAi0AFAAGAAgAAAAhAJhARBrEAAAA3wAAAA8A&#10;AAAAAAAAAAAAAAAABwIAAGRycy9kb3ducmV2LnhtbFBLBQYAAAAAAwADALcAAAD4AgAAAAA=&#10;" filled="f" stroked="f">
                  <v:textbox inset="0,0,0,0">
                    <w:txbxContent>
                      <w:p w14:paraId="63D07C65" w14:textId="77777777" w:rsidR="00B32EF2" w:rsidRDefault="00000000">
                        <w:r>
                          <w:rPr>
                            <w:rFonts w:ascii="Arial" w:eastAsia="Arial" w:hAnsi="Arial" w:cs="Arial"/>
                            <w:sz w:val="18"/>
                          </w:rPr>
                          <w:t>1</w:t>
                        </w:r>
                      </w:p>
                    </w:txbxContent>
                  </v:textbox>
                </v:rect>
                <v:rect id="Rectangle 199962" o:spid="_x0000_s1759" style="position:absolute;left:-13763;top:41466;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txAAAAN8AAAAPAAAAZHJzL2Rvd25yZXYueG1sRE/LisIw&#10;FN0P+A/hCrMbU12IrUYRRezCzfgAl5fm2namuQlNtB2/fjIw4PJw3otVbxrxoNbXlhWMRwkI4sLq&#10;mksF59PuYwbCB2SNjWVS8EMeVsvB2wIzbTv+pMcxlCKGsM9QQRWCy6T0RUUG/cg64sjdbGswRNiW&#10;UrfYxXDTyEmSTKXBmmNDhY42FRXfx7tRcN2yy3edLG7PjTt85bNmfz9flHof9us5iEB9eIn/3bmO&#10;89M0nU7g708EIJe/AAAA//8DAFBLAQItABQABgAIAAAAIQDb4fbL7gAAAIUBAAATAAAAAAAAAAAA&#10;AAAAAAAAAABbQ29udGVudF9UeXBlc10ueG1sUEsBAi0AFAAGAAgAAAAhAFr0LFu/AAAAFQEAAAsA&#10;AAAAAAAAAAAAAAAAHwEAAF9yZWxzLy5yZWxzUEsBAi0AFAAGAAgAAAAhAGiS2m3EAAAA3wAAAA8A&#10;AAAAAAAAAAAAAAAABwIAAGRycy9kb3ducmV2LnhtbFBLBQYAAAAAAwADALcAAAD4AgAAAAA=&#10;" filled="f" stroked="f">
                  <v:textbox inset="0,0,0,0">
                    <w:txbxContent>
                      <w:p w14:paraId="6DCB0EB8" w14:textId="77777777" w:rsidR="00B32EF2" w:rsidRDefault="00000000">
                        <w:r>
                          <w:rPr>
                            <w:rFonts w:ascii="Arial" w:eastAsia="Arial" w:hAnsi="Arial" w:cs="Arial"/>
                            <w:sz w:val="18"/>
                          </w:rPr>
                          <w:t xml:space="preserve">. Le parti diverse dall’appellante debbono costituirsi nei modi e termini di cui </w:t>
                        </w:r>
                      </w:p>
                    </w:txbxContent>
                  </v:textbox>
                </v:rect>
                <v:rect id="Rectangle 15103" o:spid="_x0000_s1760" style="position:absolute;left:-537;top:40233;width:404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wFxAAAAN4AAAAPAAAAZHJzL2Rvd25yZXYueG1sRE9Na8JA&#10;EL0X+h+WKXirGysWia4iFjGHXtQUehyyYxLNzi7Z1cT+elcoeJvH+5z5sjeNuFLra8sKRsMEBHFh&#10;dc2lgvyweZ+C8AFZY2OZFNzIw3Lx+jLHVNuOd3Tdh1LEEPYpKqhCcKmUvqjIoB9aRxy5o20Nhgjb&#10;UuoWuxhuGvmRJJ/SYM2xoUJH64qK8/5iFPx+scs2nSyOf2v3fcqmzfaS/yg1eOtXMxCB+vAU/7sz&#10;HedPRskYHu/EG+TiDgAA//8DAFBLAQItABQABgAIAAAAIQDb4fbL7gAAAIUBAAATAAAAAAAAAAAA&#10;AAAAAAAAAABbQ29udGVudF9UeXBlc10ueG1sUEsBAi0AFAAGAAgAAAAhAFr0LFu/AAAAFQEAAAsA&#10;AAAAAAAAAAAAAAAAHwEAAF9yZWxzLy5yZWxzUEsBAi0AFAAGAAgAAAAhAKiC7AXEAAAA3gAAAA8A&#10;AAAAAAAAAAAAAAAABwIAAGRycy9kb3ducmV2LnhtbFBLBQYAAAAAAwADALcAAAD4AgAAAAA=&#10;" filled="f" stroked="f">
                  <v:textbox inset="0,0,0,0">
                    <w:txbxContent>
                      <w:p w14:paraId="09741BCF" w14:textId="77777777" w:rsidR="00B32EF2" w:rsidRDefault="00000000">
                        <w:r>
                          <w:rPr>
                            <w:rFonts w:ascii="Arial" w:eastAsia="Arial" w:hAnsi="Arial" w:cs="Arial"/>
                            <w:sz w:val="18"/>
                          </w:rPr>
                          <w:t>all’articolo 69 depositando apposito atto di controdeduzioni.</w:t>
                        </w:r>
                      </w:p>
                    </w:txbxContent>
                  </v:textbox>
                </v:rect>
                <v:rect id="Rectangle 199960" o:spid="_x0000_s1761" style="position:absolute;left:-13817;top:390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OGBxAAAAN8AAAAPAAAAZHJzL2Rvd25yZXYueG1sRE89b8Iw&#10;EN0r8R+sQ2IrThkQSTGoAiEydCkFqeMpPpK08dmKDUn763tDpY5P73u9HV2n7tTH1rOBp3kGirjy&#10;tuXawPn98LgCFROyxc4zGfimCNvN5GGNhfUDv9H9lGolIRwLNNCkFAqtY9WQwzj3gVi4q+8dJoF9&#10;rW2Pg4S7Ti+ybKkdtiwNDQbaNVR9nW7OwMeeQ3kYdHX92YXXz3LVHW/nizGz6fjyDCrRmP7Ff+7S&#10;yvw8z5fyQP4IAL35BQAA//8DAFBLAQItABQABgAIAAAAIQDb4fbL7gAAAIUBAAATAAAAAAAAAAAA&#10;AAAAAAAAAABbQ29udGVudF9UeXBlc10ueG1sUEsBAi0AFAAGAAgAAAAhAFr0LFu/AAAAFQEAAAsA&#10;AAAAAAAAAAAAAAAAHwEAAF9yZWxzLy5yZWxzUEsBAi0AFAAGAAgAAAAhAPcM4YHEAAAA3wAAAA8A&#10;AAAAAAAAAAAAAAAABwIAAGRycy9kb3ducmV2LnhtbFBLBQYAAAAAAwADALcAAAD4AgAAAAA=&#10;" filled="f" stroked="f">
                  <v:textbox inset="0,0,0,0">
                    <w:txbxContent>
                      <w:p w14:paraId="41485FD2" w14:textId="77777777" w:rsidR="00B32EF2" w:rsidRDefault="00000000">
                        <w:r>
                          <w:rPr>
                            <w:rFonts w:ascii="Arial" w:eastAsia="Arial" w:hAnsi="Arial" w:cs="Arial"/>
                            <w:sz w:val="18"/>
                          </w:rPr>
                          <w:t xml:space="preserve">. Nello stesso atto depositato nei modi e termini di cui al comma 1 può essere </w:t>
                        </w:r>
                      </w:p>
                    </w:txbxContent>
                  </v:textbox>
                </v:rect>
                <v:rect id="Rectangle 199959" o:spid="_x0000_s1762" style="position:absolute;left:26109;top:390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oKhxAAAAN8AAAAPAAAAZHJzL2Rvd25yZXYueG1sRE/Pa8Iw&#10;FL4P/B/CE7zN1IHDVqOIIuthlzkFj4/m2Vabl9BEW/3rl8Fgx4/v92LVm0bcqfW1ZQWTcQKCuLC6&#10;5lLB4Xv3OgPhA7LGxjIpeJCH1XLwssBM246/6L4PpYgh7DNUUIXgMil9UZFBP7aOOHJn2xoMEbal&#10;1C12Mdw08i1J3qXBmmNDhY42FRXX/c0oOG3Z5btOFufnxn1e8lnzcTsclRoN+/UcRKA+/Iv/3LmO&#10;89M0nabw+ycCkMsfAAAA//8DAFBLAQItABQABgAIAAAAIQDb4fbL7gAAAIUBAAATAAAAAAAAAAAA&#10;AAAAAAAAAABbQ29udGVudF9UeXBlc10ueG1sUEsBAi0AFAAGAAgAAAAhAFr0LFu/AAAAFQEAAAsA&#10;AAAAAAAAAAAAAAAAHwEAAF9yZWxzLy5yZWxzUEsBAi0AFAAGAAgAAAAhAKhagqHEAAAA3wAAAA8A&#10;AAAAAAAAAAAAAAAABwIAAGRycy9kb3ducmV2LnhtbFBLBQYAAAAAAwADALcAAAD4AgAAAAA=&#10;" filled="f" stroked="f">
                  <v:textbox inset="0,0,0,0">
                    <w:txbxContent>
                      <w:p w14:paraId="1EE88930" w14:textId="77777777" w:rsidR="00B32EF2" w:rsidRDefault="00000000">
                        <w:r>
                          <w:rPr>
                            <w:rFonts w:ascii="Arial" w:eastAsia="Arial" w:hAnsi="Arial" w:cs="Arial"/>
                            <w:sz w:val="18"/>
                          </w:rPr>
                          <w:t>2</w:t>
                        </w:r>
                      </w:p>
                    </w:txbxContent>
                  </v:textbox>
                </v:rect>
                <v:rect id="Rectangle 15105" o:spid="_x0000_s1763" style="position:absolute;left:2740;top:37767;width:3717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9HqxQAAAN4AAAAPAAAAZHJzL2Rvd25yZXYueG1sRE9Na8JA&#10;EL0L/odlhN50YyESoqsUizSHXkwt9DhkxyQ2O7tk1yTtr+8WCr3N433O7jCZTgzU+9aygvUqAUFc&#10;Wd1yreDydlpmIHxA1thZJgVf5OGwn892mGs78pmGMtQihrDPUUETgsul9FVDBv3KOuLIXW1vMETY&#10;11L3OMZw08nHJNlIgy3HhgYdHRuqPsu7UfDxzK44jbK6fh/d663Iupf75V2ph8X0tAURaAr/4j93&#10;oeP8dJ2k8PtOvEHufwAAAP//AwBQSwECLQAUAAYACAAAACEA2+H2y+4AAACFAQAAEwAAAAAAAAAA&#10;AAAAAAAAAAAAW0NvbnRlbnRfVHlwZXNdLnhtbFBLAQItABQABgAIAAAAIQBa9CxbvwAAABUBAAAL&#10;AAAAAAAAAAAAAAAAAB8BAABfcmVscy8ucmVsc1BLAQItABQABgAIAAAAIQBIJ9HqxQAAAN4AAAAP&#10;AAAAAAAAAAAAAAAAAAcCAABkcnMvZG93bnJldi54bWxQSwUGAAAAAAMAAwC3AAAA+QIAAAAA&#10;" filled="f" stroked="f">
                  <v:textbox inset="0,0,0,0">
                    <w:txbxContent>
                      <w:p w14:paraId="12473627" w14:textId="77777777" w:rsidR="00B32EF2" w:rsidRDefault="00000000">
                        <w:r>
                          <w:rPr>
                            <w:rFonts w:ascii="Arial" w:eastAsia="Arial" w:hAnsi="Arial" w:cs="Arial"/>
                            <w:sz w:val="18"/>
                          </w:rPr>
                          <w:t>proposto, a pena d’inammissibilità, appello incidentale.</w:t>
                        </w:r>
                      </w:p>
                    </w:txbxContent>
                  </v:textbox>
                </v:rect>
                <v:rect id="Rectangle 15106" o:spid="_x0000_s1764" style="position:absolute;left:14556;top:35300;width:89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U+dxQAAAN4AAAAPAAAAZHJzL2Rvd25yZXYueG1sRE9Na8JA&#10;EL0X+h+WKfRWNxYaQuoqYpHm4MXUQo9DdkxSs7NLdk1Sf70rCL3N433OYjWZTgzU+9aygvksAUFc&#10;Wd1yreDwtX3JQPiArLGzTAr+yMNq+fiwwFzbkfc0lKEWMYR9jgqaEFwupa8aMuhn1hFH7mh7gyHC&#10;vpa6xzGGm06+JkkqDbYcGxp0tGmoOpVno+Dng12xHWV1vGzc7rfIus/z4Vup56dp/Q4i0BT+xXd3&#10;oeP8t3mSwu2deINcXgEAAP//AwBQSwECLQAUAAYACAAAACEA2+H2y+4AAACFAQAAEwAAAAAAAAAA&#10;AAAAAAAAAAAAW0NvbnRlbnRfVHlwZXNdLnhtbFBLAQItABQABgAIAAAAIQBa9CxbvwAAABUBAAAL&#10;AAAAAAAAAAAAAAAAAB8BAABfcmVscy8ucmVsc1BLAQItABQABgAIAAAAIQC49U+dxQAAAN4AAAAP&#10;AAAAAAAAAAAAAAAAAAcCAABkcnMvZG93bnJldi54bWxQSwUGAAAAAAMAAwC3AAAA+QIAAAAA&#10;" filled="f" stroked="f">
                  <v:textbox inset="0,0,0,0">
                    <w:txbxContent>
                      <w:p w14:paraId="67685AD4" w14:textId="77777777" w:rsidR="00B32EF2" w:rsidRDefault="00000000">
                        <w:r>
                          <w:rPr>
                            <w:rFonts w:ascii="Arial" w:eastAsia="Arial" w:hAnsi="Arial" w:cs="Arial"/>
                            <w:b/>
                            <w:sz w:val="18"/>
                          </w:rPr>
                          <w:t>Articolo 109</w:t>
                        </w:r>
                      </w:p>
                    </w:txbxContent>
                  </v:textbox>
                </v:rect>
                <v:rect id="Rectangle 199956" o:spid="_x0000_s1765" style="position:absolute;left:22221;top:34067;width:194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RbTxAAAAN8AAAAPAAAAZHJzL2Rvd25yZXYueG1sRE/Pa8Iw&#10;FL4L/g/hCd40VZjYziiiyHrYZc7Bjo/m2XZrXkITbd1fvwiCx4/v92rTm0ZcqfW1ZQWzaQKCuLC6&#10;5lLB6fMwWYLwAVljY5kU3MjDZj0crDDTtuMPuh5DKWII+wwVVCG4TEpfVGTQT60jjtzZtgZDhG0p&#10;dYtdDDeNnCfJQhqsOTZU6GhXUfF7vBgF33t2+aGTxflv595/8mXzdjl9KTUe9dtXEIH68BQ/3LmO&#10;89M0fVnA/U8EINf/AAAA//8DAFBLAQItABQABgAIAAAAIQDb4fbL7gAAAIUBAAATAAAAAAAAAAAA&#10;AAAAAAAAAABbQ29udGVudF9UeXBlc10ueG1sUEsBAi0AFAAGAAgAAAAhAFr0LFu/AAAAFQEAAAsA&#10;AAAAAAAAAAAAAAAAHwEAAF9yZWxzLy5yZWxzUEsBAi0AFAAGAAgAAAAhANnFFtPEAAAA3wAAAA8A&#10;AAAAAAAAAAAAAAAABwIAAGRycy9kb3ducmV2LnhtbFBLBQYAAAAAAwADALcAAAD4AgAAAAA=&#10;" filled="f" stroked="f">
                  <v:textbox inset="0,0,0,0">
                    <w:txbxContent>
                      <w:p w14:paraId="7DF233CD" w14:textId="77777777" w:rsidR="00B32EF2" w:rsidRDefault="00000000">
                        <w:r>
                          <w:rPr>
                            <w:rFonts w:ascii="Arial" w:eastAsia="Arial" w:hAnsi="Arial" w:cs="Arial"/>
                            <w:i/>
                            <w:sz w:val="18"/>
                          </w:rPr>
                          <w:t>(</w:t>
                        </w:r>
                      </w:p>
                    </w:txbxContent>
                  </v:textbox>
                </v:rect>
                <v:rect id="Rectangle 199957" o:spid="_x0000_s1766" style="position:absolute;left:-2648;top:34067;width:194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bNIxQAAAN8AAAAPAAAAZHJzL2Rvd25yZXYueG1sRE/LasJA&#10;FN0X/IfhCu7qRMHWpI4iijQLN/UBXV4y1yRt5s6QGU3ar3cKBZeH816setOIG7W+tqxgMk5AEBdW&#10;11wqOB13z3MQPiBrbCyTgh/ysFoOnhaYadvxB90OoRQxhH2GCqoQXCalLyoy6MfWEUfuYluDIcK2&#10;lLrFLoabRk6T5EUarDk2VOhoU1HxfbgaBZ9bdvmuk8Xld+P2X/m8eb+ezkqNhv36DUSgPjzE/+5c&#10;x/lpms5e4e9PBCCXdwAAAP//AwBQSwECLQAUAAYACAAAACEA2+H2y+4AAACFAQAAEwAAAAAAAAAA&#10;AAAAAAAAAAAAW0NvbnRlbnRfVHlwZXNdLnhtbFBLAQItABQABgAIAAAAIQBa9CxbvwAAABUBAAAL&#10;AAAAAAAAAAAAAAAAAB8BAABfcmVscy8ucmVsc1BLAQItABQABgAIAAAAIQC2ibNIxQAAAN8AAAAP&#10;AAAAAAAAAAAAAAAAAAcCAABkcnMvZG93bnJldi54bWxQSwUGAAAAAAMAAwC3AAAA+QIAAAAA&#10;" filled="f" stroked="f">
                  <v:textbox inset="0,0,0,0">
                    <w:txbxContent>
                      <w:p w14:paraId="36800927" w14:textId="77777777" w:rsidR="00B32EF2" w:rsidRDefault="00000000">
                        <w:r>
                          <w:rPr>
                            <w:rFonts w:ascii="Arial" w:eastAsia="Arial" w:hAnsi="Arial" w:cs="Arial"/>
                            <w:i/>
                            <w:sz w:val="18"/>
                          </w:rPr>
                          <w:t>546/92)</w:t>
                        </w:r>
                      </w:p>
                    </w:txbxContent>
                  </v:textbox>
                </v:rect>
                <v:rect id="Rectangle 199958" o:spid="_x0000_s1767" style="position:absolute;left:11616;top:34067;width:194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ic6xQAAAN8AAAAPAAAAZHJzL2Rvd25yZXYueG1sRE9Na8JA&#10;EL0X/A/LCL3VjYUWk7qKKNIceqla6HHIjklqdnbJribtr+8cCj0+3vdyPbpO3aiPrWcD81kGirjy&#10;tuXawOm4f1iAignZYueZDHxThPVqcrfEwvqB3+l2SLWSEI4FGmhSCoXWsWrIYZz5QCzc2fcOk8C+&#10;1rbHQcJdpx+z7Fk7bFkaGgy0bai6HK7OwOeOQ7kfdHX+2Ya3r3LRvV5PH8bcT8fNC6hEY/oX/7lL&#10;K/PzPH+SwfJHAOjVLwAAAP//AwBQSwECLQAUAAYACAAAACEA2+H2y+4AAACFAQAAEwAAAAAAAAAA&#10;AAAAAAAAAAAAW0NvbnRlbnRfVHlwZXNdLnhtbFBLAQItABQABgAIAAAAIQBa9CxbvwAAABUBAAAL&#10;AAAAAAAAAAAAAAAAAB8BAABfcmVscy8ucmVsc1BLAQItABQABgAIAAAAIQDHFic6xQAAAN8AAAAP&#10;AAAAAAAAAAAAAAAAAAcCAABkcnMvZG93bnJldi54bWxQSwUGAAAAAAMAAwC3AAAA+QIAAAAA&#10;" filled="f" stroked="f">
                  <v:textbox inset="0,0,0,0">
                    <w:txbxContent>
                      <w:p w14:paraId="3B902604" w14:textId="77777777" w:rsidR="00B32EF2" w:rsidRDefault="00000000">
                        <w:r>
                          <w:rPr>
                            <w:rFonts w:ascii="Arial" w:eastAsia="Arial" w:hAnsi="Arial" w:cs="Arial"/>
                            <w:i/>
                            <w:sz w:val="18"/>
                          </w:rPr>
                          <w:t xml:space="preserve">articolo 55 D.lgs. n. </w:t>
                        </w:r>
                      </w:p>
                    </w:txbxContent>
                  </v:textbox>
                </v:rect>
                <v:rect id="Rectangle 15108" o:spid="_x0000_s1768" style="position:absolute;left:7281;top:32833;width:205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n50xwAAAN4AAAAPAAAAZHJzL2Rvd25yZXYueG1sRI9Ba8JA&#10;EIXvhf6HZQre6saCIqmriEXMoZeqhR6H7JikZmeX7Gpif33nIHib4b1575vFanCtulIXG88GJuMM&#10;FHHpbcOVgeNh+zoHFROyxdYzGbhRhNXy+WmBufU9f9F1nyolIRxzNFCnFHKtY1mTwzj2gVi0k+8c&#10;Jlm7StsOewl3rX7Lspl22LA01BhoU1N53l+cgZ8PDsW21+XpbxM+f4t5u7scv40ZvQzrd1CJhvQw&#10;368LK/jTSSa88o7MoJf/AAAA//8DAFBLAQItABQABgAIAAAAIQDb4fbL7gAAAIUBAAATAAAAAAAA&#10;AAAAAAAAAAAAAABbQ29udGVudF9UeXBlc10ueG1sUEsBAi0AFAAGAAgAAAAhAFr0LFu/AAAAFQEA&#10;AAsAAAAAAAAAAAAAAAAAHwEAAF9yZWxzLy5yZWxzUEsBAi0AFAAGAAgAAAAhAKYmfnTHAAAA3gAA&#10;AA8AAAAAAAAAAAAAAAAABwIAAGRycy9kb3ducmV2LnhtbFBLBQYAAAAAAwADALcAAAD7AgAAAAA=&#10;" filled="f" stroked="f">
                  <v:textbox inset="0,0,0,0">
                    <w:txbxContent>
                      <w:p w14:paraId="789088AF" w14:textId="77777777" w:rsidR="00B32EF2" w:rsidRDefault="00000000">
                        <w:r>
                          <w:rPr>
                            <w:rFonts w:ascii="Arial" w:eastAsia="Arial" w:hAnsi="Arial" w:cs="Arial"/>
                            <w:b/>
                            <w:sz w:val="18"/>
                          </w:rPr>
                          <w:t>Provvedimenti presidenziali</w:t>
                        </w:r>
                      </w:p>
                    </w:txbxContent>
                  </v:textbox>
                </v:rect>
                <v:rect id="Rectangle 199954" o:spid="_x0000_s1769" style="position:absolute;left:26109;top:316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y0/xQAAAN8AAAAPAAAAZHJzL2Rvd25yZXYueG1sRE/LasJA&#10;FN0X/IfhCu7qRLHFpI4iijQLN/UBXV4y1yRt5s6QGU3ar3cKBZeH816setOIG7W+tqxgMk5AEBdW&#10;11wqOB13z3MQPiBrbCyTgh/ysFoOnhaYadvxB90OoRQxhH2GCqoQXCalLyoy6MfWEUfuYluDIcK2&#10;lLrFLoabRk6T5FUarDk2VOhoU1HxfbgaBZ9bdvmuk8Xld+P2X/m8eb+ezkqNhv36DUSgPjzE/+5c&#10;x/lpmr7M4O9PBCCXdwAAAP//AwBQSwECLQAUAAYACAAAACEA2+H2y+4AAACFAQAAEwAAAAAAAAAA&#10;AAAAAAAAAAAAW0NvbnRlbnRfVHlwZXNdLnhtbFBLAQItABQABgAIAAAAIQBa9CxbvwAAABUBAAAL&#10;AAAAAAAAAAAAAAAAAB8BAABfcmVscy8ucmVsc1BLAQItABQABgAIAAAAIQBGWy0/xQAAAN8AAAAP&#10;AAAAAAAAAAAAAAAAAAcCAABkcnMvZG93bnJldi54bWxQSwUGAAAAAAMAAwC3AAAA+QIAAAAA&#10;" filled="f" stroked="f">
                  <v:textbox inset="0,0,0,0">
                    <w:txbxContent>
                      <w:p w14:paraId="1CC0EF49" w14:textId="77777777" w:rsidR="00B32EF2" w:rsidRDefault="00000000">
                        <w:r>
                          <w:rPr>
                            <w:rFonts w:ascii="Arial" w:eastAsia="Arial" w:hAnsi="Arial" w:cs="Arial"/>
                            <w:sz w:val="18"/>
                          </w:rPr>
                          <w:t>1</w:t>
                        </w:r>
                      </w:p>
                    </w:txbxContent>
                  </v:textbox>
                </v:rect>
                <v:rect id="Rectangle 199955" o:spid="_x0000_s1770" style="position:absolute;left:-13764;top:316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4ikxAAAAN8AAAAPAAAAZHJzL2Rvd25yZXYueG1sRE/Pa8Iw&#10;FL4L/g/hCd40naDYzihDEXvwMudgx0fzbKvNS2ii7fbXL4OBx4/v92rTm0Y8qPW1ZQUv0wQEcWF1&#10;zaWC88d+sgThA7LGxjIp+CYPm/VwsMJM247f6XEKpYgh7DNUUIXgMil9UZFBP7WOOHIX2xoMEbal&#10;1C12Mdw0cpYkC2mw5thQoaNtRcXtdDcKvnbs8n0ni8vP1h2v+bI53M+fSo1H/dsriEB9eIr/3bmO&#10;89M0nc/h708EINe/AAAA//8DAFBLAQItABQABgAIAAAAIQDb4fbL7gAAAIUBAAATAAAAAAAAAAAA&#10;AAAAAAAAAABbQ29udGVudF9UeXBlc10ueG1sUEsBAi0AFAAGAAgAAAAhAFr0LFu/AAAAFQEAAAsA&#10;AAAAAAAAAAAAAAAAHwEAAF9yZWxzLy5yZWxzUEsBAi0AFAAGAAgAAAAhACkXiKTEAAAA3wAAAA8A&#10;AAAAAAAAAAAAAAAABwIAAGRycy9kb3ducmV2LnhtbFBLBQYAAAAAAwADALcAAAD4AgAAAAA=&#10;" filled="f" stroked="f">
                  <v:textbox inset="0,0,0,0">
                    <w:txbxContent>
                      <w:p w14:paraId="4DF1D7E1" w14:textId="77777777" w:rsidR="00B32EF2" w:rsidRDefault="00000000">
                        <w:r>
                          <w:rPr>
                            <w:rFonts w:ascii="Arial" w:eastAsia="Arial" w:hAnsi="Arial" w:cs="Arial"/>
                            <w:sz w:val="18"/>
                          </w:rPr>
                          <w:t xml:space="preserve">. Il presidente e i presidenti di sezione della corte di giustizia tributaria di </w:t>
                        </w:r>
                      </w:p>
                    </w:txbxContent>
                  </v:textbox>
                </v:rect>
                <v:rect id="Rectangle 15110" o:spid="_x0000_s1771" style="position:absolute;left:-12205;top:30367;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eSvyAAAAN4AAAAPAAAAZHJzL2Rvd25yZXYueG1sRI9Pa8Mw&#10;DMXvg30Ho8Fuq5PBRknrltJRlsMu/TPYUcRqkjaWTew22T59dRj0JqGn995vvhxdp67Ux9azgXyS&#10;gSKuvG25NnDYb16moGJCtth5JgO/FGG5eHyYY2H9wFu67lKtxIRjgQaalEKhdawachgnPhDL7eh7&#10;h0nWvta2x0HMXadfs+xdO2xZEhoMtG6oOu8uzsDPB4dyM+jq+LcOX6dy2n1eDt/GPD+NqxmoRGO6&#10;i/+/Syv13/JcAARHZtCLGwAAAP//AwBQSwECLQAUAAYACAAAACEA2+H2y+4AAACFAQAAEwAAAAAA&#10;AAAAAAAAAAAAAAAAW0NvbnRlbnRfVHlwZXNdLnhtbFBLAQItABQABgAIAAAAIQBa9CxbvwAAABUB&#10;AAALAAAAAAAAAAAAAAAAAB8BAABfcmVscy8ucmVsc1BLAQItABQABgAIAAAAIQDdieSvyAAAAN4A&#10;AAAPAAAAAAAAAAAAAAAAAAcCAABkcnMvZG93bnJldi54bWxQSwUGAAAAAAMAAwC3AAAA/AIAAAAA&#10;" filled="f" stroked="f">
                  <v:textbox inset="0,0,0,0">
                    <w:txbxContent>
                      <w:p w14:paraId="0EA03F61" w14:textId="77777777" w:rsidR="00B32EF2" w:rsidRDefault="00000000">
                        <w:r>
                          <w:rPr>
                            <w:rFonts w:ascii="Arial" w:eastAsia="Arial" w:hAnsi="Arial" w:cs="Arial"/>
                            <w:sz w:val="18"/>
                          </w:rPr>
                          <w:t>secondo grado hanno poteri corrispondenti a quelli del presidente e dei presi</w:t>
                        </w:r>
                      </w:p>
                    </w:txbxContent>
                  </v:textbox>
                </v:rect>
                <v:rect id="Rectangle 15111" o:spid="_x0000_s1772" style="position:absolute;left:191;top:303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UE0xAAAAN4AAAAPAAAAZHJzL2Rvd25yZXYueG1sRE9Ni8Iw&#10;EL0v+B/CCN7WtAuKVKOIItvDXnQVPA7N2FabSWii7e6v3wjC3ubxPmex6k0jHtT62rKCdJyAIC6s&#10;rrlUcPzevc9A+ICssbFMCn7Iw2o5eFtgpm3He3ocQiliCPsMFVQhuExKX1Rk0I+tI47cxbYGQ4Rt&#10;KXWLXQw3jfxIkqk0WHNsqNDRpqLidrgbBectu3zXyeLyu3Ff13zWfN6PJ6VGw349BxGoD//ilzvX&#10;cf4kTVN4vhNvkMs/AAAA//8DAFBLAQItABQABgAIAAAAIQDb4fbL7gAAAIUBAAATAAAAAAAAAAAA&#10;AAAAAAAAAABbQ29udGVudF9UeXBlc10ueG1sUEsBAi0AFAAGAAgAAAAhAFr0LFu/AAAAFQEAAAsA&#10;AAAAAAAAAAAAAAAAHwEAAF9yZWxzLy5yZWxzUEsBAi0AFAAGAAgAAAAhALLFQTTEAAAA3gAAAA8A&#10;AAAAAAAAAAAAAAAABwIAAGRycy9kb3ducmV2LnhtbFBLBQYAAAAAAwADALcAAAD4AgAAAAA=&#10;" filled="f" stroked="f">
                  <v:textbox inset="0,0,0,0">
                    <w:txbxContent>
                      <w:p w14:paraId="486F367E" w14:textId="77777777" w:rsidR="00B32EF2" w:rsidRDefault="00000000">
                        <w:r>
                          <w:rPr>
                            <w:rFonts w:ascii="Arial" w:eastAsia="Arial" w:hAnsi="Arial" w:cs="Arial"/>
                            <w:sz w:val="18"/>
                          </w:rPr>
                          <w:t>-</w:t>
                        </w:r>
                      </w:p>
                    </w:txbxContent>
                  </v:textbox>
                </v:rect>
                <v:rect id="Rectangle 15112" o:spid="_x0000_s1773" style="position:absolute;left:-3060;top:29133;width:429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99DxAAAAN4AAAAPAAAAZHJzL2Rvd25yZXYueG1sRE9Na8JA&#10;EL0X/A/LCL3VTYSKpK4iiphDL9oIHofsmKRmZ5fsatL++q4g9DaP9zmL1WBacafON5YVpJMEBHFp&#10;dcOVguJr9zYH4QOyxtYyKfghD6vl6GWBmbY9H+h+DJWIIewzVFCH4DIpfVmTQT+xjjhyF9sZDBF2&#10;ldQd9jHctHKaJDNpsOHYUKOjTU3l9XgzCs5bdvmul+Xld+M+v/N5u78VJ6Vex8P6A0SgIfyLn+5c&#10;x/nvaTqFxzvxBrn8AwAA//8DAFBLAQItABQABgAIAAAAIQDb4fbL7gAAAIUBAAATAAAAAAAAAAAA&#10;AAAAAAAAAABbQ29udGVudF9UeXBlc10ueG1sUEsBAi0AFAAGAAgAAAAhAFr0LFu/AAAAFQEAAAsA&#10;AAAAAAAAAAAAAAAAHwEAAF9yZWxzLy5yZWxzUEsBAi0AFAAGAAgAAAAhAEIX30PEAAAA3gAAAA8A&#10;AAAAAAAAAAAAAAAABwIAAGRycy9kb3ducmV2LnhtbFBLBQYAAAAAAwADALcAAAD4AgAAAAA=&#10;" filled="f" stroked="f">
                  <v:textbox inset="0,0,0,0">
                    <w:txbxContent>
                      <w:p w14:paraId="6DF620B7" w14:textId="77777777" w:rsidR="00B32EF2" w:rsidRDefault="00000000">
                        <w:r>
                          <w:rPr>
                            <w:rFonts w:ascii="Arial" w:eastAsia="Arial" w:hAnsi="Arial" w:cs="Arial"/>
                            <w:sz w:val="18"/>
                          </w:rPr>
                          <w:t>denti di sezione della corte di giustizia tributaria di primo grado.</w:t>
                        </w:r>
                      </w:p>
                    </w:txbxContent>
                  </v:textbox>
                </v:rect>
                <v:rect id="Rectangle 15113" o:spid="_x0000_s1774" style="position:absolute;left:14634;top:26667;width:87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3rYxAAAAN4AAAAPAAAAZHJzL2Rvd25yZXYueG1sRE9Na8JA&#10;EL0X/A/LCN7qJpYWia4iijQHL7UKHofsmESzs0t2NdFf3y0UepvH+5z5sjeNuFPra8sK0nECgriw&#10;uuZSweF7+zoF4QOyxsYyKXiQh+Vi8DLHTNuOv+i+D6WIIewzVFCF4DIpfVGRQT+2jjhyZ9saDBG2&#10;pdQtdjHcNHKSJB/SYM2xoUJH64qK6/5mFJw27PJtJ4vzc+12l3zafN4OR6VGw341AxGoD//iP3eu&#10;4/z3NH2D33fiDXLxAwAA//8DAFBLAQItABQABgAIAAAAIQDb4fbL7gAAAIUBAAATAAAAAAAAAAAA&#10;AAAAAAAAAABbQ29udGVudF9UeXBlc10ueG1sUEsBAi0AFAAGAAgAAAAhAFr0LFu/AAAAFQEAAAsA&#10;AAAAAAAAAAAAAAAAHwEAAF9yZWxzLy5yZWxzUEsBAi0AFAAGAAgAAAAhAC1betjEAAAA3gAAAA8A&#10;AAAAAAAAAAAAAAAABwIAAGRycy9kb3ducmV2LnhtbFBLBQYAAAAAAwADALcAAAD4AgAAAAA=&#10;" filled="f" stroked="f">
                  <v:textbox inset="0,0,0,0">
                    <w:txbxContent>
                      <w:p w14:paraId="637B75CE" w14:textId="77777777" w:rsidR="00B32EF2" w:rsidRDefault="00000000">
                        <w:r>
                          <w:rPr>
                            <w:rFonts w:ascii="Arial" w:eastAsia="Arial" w:hAnsi="Arial" w:cs="Arial"/>
                            <w:b/>
                            <w:sz w:val="18"/>
                          </w:rPr>
                          <w:t>Articolo 110</w:t>
                        </w:r>
                      </w:p>
                    </w:txbxContent>
                  </v:textbox>
                </v:rect>
                <v:rect id="Rectangle 199951" o:spid="_x0000_s1775" style="position:absolute;left:22221;top:25434;width:1943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6nxAAAAN8AAAAPAAAAZHJzL2Rvd25yZXYueG1sRE/LasJA&#10;FN0X/IfhCu7qxILFREcRRZpFN/UBLi+ZaxLN3Bkyo0n79Z1CweXhvBer3jTiQa2vLSuYjBMQxIXV&#10;NZcKjofd6wyED8gaG8uk4Js8rJaDlwVm2nb8RY99KEUMYZ+hgioEl0npi4oM+rF1xJG72NZgiLAt&#10;pW6xi+GmkW9J8i4N1hwbKnS0qai47e9GwXnLLt91srj8bNznNZ81H/fjSanRsF/PQQTqw1P87851&#10;nJ+m6XQCf38iALn8BQAA//8DAFBLAQItABQABgAIAAAAIQDb4fbL7gAAAIUBAAATAAAAAAAAAAAA&#10;AAAAAAAAAABbQ29udGVudF9UeXBlc10ueG1sUEsBAi0AFAAGAAgAAAAhAFr0LFu/AAAAFQEAAAsA&#10;AAAAAAAAAAAAAAAAHwEAAF9yZWxzLy5yZWxzUEsBAi0AFAAGAAgAAAAhAFYsjqfEAAAA3wAAAA8A&#10;AAAAAAAAAAAAAAAABwIAAGRycy9kb3ducmV2LnhtbFBLBQYAAAAAAwADALcAAAD4AgAAAAA=&#10;" filled="f" stroked="f">
                  <v:textbox inset="0,0,0,0">
                    <w:txbxContent>
                      <w:p w14:paraId="04D08634" w14:textId="77777777" w:rsidR="00B32EF2" w:rsidRDefault="00000000">
                        <w:r>
                          <w:rPr>
                            <w:rFonts w:ascii="Arial" w:eastAsia="Arial" w:hAnsi="Arial" w:cs="Arial"/>
                            <w:i/>
                            <w:sz w:val="18"/>
                          </w:rPr>
                          <w:t>(</w:t>
                        </w:r>
                      </w:p>
                    </w:txbxContent>
                  </v:textbox>
                </v:rect>
                <v:rect id="Rectangle 199952" o:spid="_x0000_s1776" style="position:absolute;left:-2642;top:25434;width:1943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DQxAAAAN8AAAAPAAAAZHJzL2Rvd25yZXYueG1sRE/Pa8Iw&#10;FL4L/g/hCbtpOmFiO6MMRezBy5yDHR/Ns602L6GJtvrXL4OBx4/v92LVm0bcqPW1ZQWvkwQEcWF1&#10;zaWC49d2PAfhA7LGxjIpuJOH1XI4WGCmbcefdDuEUsQQ9hkqqEJwmZS+qMign1hHHLmTbQ2GCNtS&#10;6ha7GG4aOU2SmTRYc2yo0NG6ouJyuBoFPxt2+baTxemxdvtzPm921+O3Ui+j/uMdRKA+PMX/7lzH&#10;+Wmavk3h708EIJe/AAAA//8DAFBLAQItABQABgAIAAAAIQDb4fbL7gAAAIUBAAATAAAAAAAAAAAA&#10;AAAAAAAAAABbQ29udGVudF9UeXBlc10ueG1sUEsBAi0AFAAGAAgAAAAhAFr0LFu/AAAAFQEAAAsA&#10;AAAAAAAAAAAAAAAAHwEAAF9yZWxzLy5yZWxzUEsBAi0AFAAGAAgAAAAhAKb+ENDEAAAA3wAAAA8A&#10;AAAAAAAAAAAAAAAABwIAAGRycy9kb3ducmV2LnhtbFBLBQYAAAAAAwADALcAAAD4AgAAAAA=&#10;" filled="f" stroked="f">
                  <v:textbox inset="0,0,0,0">
                    <w:txbxContent>
                      <w:p w14:paraId="3077C8DE" w14:textId="77777777" w:rsidR="00B32EF2" w:rsidRDefault="00000000">
                        <w:r>
                          <w:rPr>
                            <w:rFonts w:ascii="Arial" w:eastAsia="Arial" w:hAnsi="Arial" w:cs="Arial"/>
                            <w:i/>
                            <w:sz w:val="18"/>
                          </w:rPr>
                          <w:t>546/92)</w:t>
                        </w:r>
                      </w:p>
                    </w:txbxContent>
                  </v:textbox>
                </v:rect>
                <v:rect id="Rectangle 199953" o:spid="_x0000_s1777" style="position:absolute;left:11619;top:25434;width:1943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rVLxQAAAN8AAAAPAAAAZHJzL2Rvd25yZXYueG1sRE/LasJA&#10;FN0X/IfhCu7qRKXFpI4iijQLN/UBXV4y1yRt5s6QGU3ar3cKBZeH816setOIG7W+tqxgMk5AEBdW&#10;11wqOB13z3MQPiBrbCyTgh/ysFoOnhaYadvxB90OoRQxhH2GCqoQXCalLyoy6MfWEUfuYluDIcK2&#10;lLrFLoabRk6T5FUarDk2VOhoU1HxfbgaBZ9bdvmuk8Xld+P2X/m8eb+ezkqNhv36DUSgPjzE/+5c&#10;x/lpmr7M4O9PBCCXdwAAAP//AwBQSwECLQAUAAYACAAAACEA2+H2y+4AAACFAQAAEwAAAAAAAAAA&#10;AAAAAAAAAAAAW0NvbnRlbnRfVHlwZXNdLnhtbFBLAQItABQABgAIAAAAIQBa9CxbvwAAABUBAAAL&#10;AAAAAAAAAAAAAAAAAB8BAABfcmVscy8ucmVsc1BLAQItABQABgAIAAAAIQDJsrVLxQAAAN8AAAAP&#10;AAAAAAAAAAAAAAAAAAcCAABkcnMvZG93bnJldi54bWxQSwUGAAAAAAMAAwC3AAAA+QIAAAAA&#10;" filled="f" stroked="f">
                  <v:textbox inset="0,0,0,0">
                    <w:txbxContent>
                      <w:p w14:paraId="034E5188" w14:textId="77777777" w:rsidR="00B32EF2" w:rsidRDefault="00000000">
                        <w:r>
                          <w:rPr>
                            <w:rFonts w:ascii="Arial" w:eastAsia="Arial" w:hAnsi="Arial" w:cs="Arial"/>
                            <w:i/>
                            <w:sz w:val="18"/>
                          </w:rPr>
                          <w:t xml:space="preserve">articolo 56 D.lgs. n. </w:t>
                        </w:r>
                      </w:p>
                    </w:txbxContent>
                  </v:textbox>
                </v:rect>
                <v:rect id="Rectangle 15115" o:spid="_x0000_s1778" style="position:absolute;left:2088;top:24200;width:286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c3xAAAAN4AAAAPAAAAZHJzL2Rvd25yZXYueG1sRE9Na8JA&#10;EL0X/A/LCL3VTQRFUlcRRZpDL9oIHofsmKRmZ5fsatL++q4g9DaP9znL9WBacafON5YVpJMEBHFp&#10;dcOVguJr/7YA4QOyxtYyKfghD+vV6GWJmbY9H+h+DJWIIewzVFCH4DIpfVmTQT+xjjhyF9sZDBF2&#10;ldQd9jHctHKaJHNpsOHYUKOjbU3l9XgzCs47dvm+l+Xld+s+v/NF+3ErTkq9jofNO4hAQ/gXP925&#10;jvNnaTqDxzvxBrn6AwAA//8DAFBLAQItABQABgAIAAAAIQDb4fbL7gAAAIUBAAATAAAAAAAAAAAA&#10;AAAAAAAAAABbQ29udGVudF9UeXBlc10ueG1sUEsBAi0AFAAGAAgAAAAhAFr0LFu/AAAAFQEAAAsA&#10;AAAAAAAAAAAAAAAAHwEAAF9yZWxzLy5yZWxzUEsBAi0AFAAGAAgAAAAhAM3+RzfEAAAA3gAAAA8A&#10;AAAAAAAAAAAAAAAABwIAAGRycy9kb3ducmV2LnhtbFBLBQYAAAAAAwADALcAAAD4AgAAAAA=&#10;" filled="f" stroked="f">
                  <v:textbox inset="0,0,0,0">
                    <w:txbxContent>
                      <w:p w14:paraId="39B1BE8D" w14:textId="77777777" w:rsidR="00B32EF2" w:rsidRDefault="00000000">
                        <w:r>
                          <w:rPr>
                            <w:rFonts w:ascii="Arial" w:eastAsia="Arial" w:hAnsi="Arial" w:cs="Arial"/>
                            <w:b/>
                            <w:sz w:val="18"/>
                          </w:rPr>
                          <w:t xml:space="preserve">Questioni ed eccezioni non riproposte </w:t>
                        </w:r>
                      </w:p>
                    </w:txbxContent>
                  </v:textbox>
                </v:rect>
                <v:rect id="Rectangle 199949" o:spid="_x0000_s1779" style="position:absolute;left:26684;top:22967;width:507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R8xAAAAN8AAAAPAAAAZHJzL2Rvd25yZXYueG1sRE/Pa8Iw&#10;FL4P/B/CE7zN1CHDVqOIIuthlzkFj4/m2Vabl9BEW/3rl8Fgx4/v92LVm0bcqfW1ZQWTcQKCuLC6&#10;5lLB4Xv3OgPhA7LGxjIpeJCH1XLwssBM246/6L4PpYgh7DNUUIXgMil9UZFBP7aOOHJn2xoMEbal&#10;1C12Mdw08i1J3qXBmmNDhY42FRXX/c0oOG3Z5btOFufnxn1e8lnzcTsclRoN+/UcRKA+/Iv/3LmO&#10;89M0nabw+ycCkMsfAAAA//8DAFBLAQItABQABgAIAAAAIQDb4fbL7gAAAIUBAAATAAAAAAAAAAAA&#10;AAAAAAAAAABbQ29udGVudF9UeXBlc10ueG1sUEsBAi0AFAAGAAgAAAAhAFr0LFu/AAAAFQEAAAsA&#10;AAAAAAAAAAAAAAAAHwEAAF9yZWxzLy5yZWxzUEsBAi0AFAAGAAgAAAAhAC2DFHzEAAAA3wAAAA8A&#10;AAAAAAAAAAAAAAAABwIAAGRycy9kb3ducmV2LnhtbFBLBQYAAAAAAwADALcAAAD4AgAAAAA=&#10;" filled="f" stroked="f">
                  <v:textbox inset="0,0,0,0">
                    <w:txbxContent>
                      <w:p w14:paraId="4830237C" w14:textId="77777777" w:rsidR="00B32EF2" w:rsidRDefault="00000000">
                        <w:r>
                          <w:rPr>
                            <w:rFonts w:ascii="Arial" w:eastAsia="Arial" w:hAnsi="Arial" w:cs="Arial"/>
                            <w:sz w:val="18"/>
                          </w:rPr>
                          <w:t>1</w:t>
                        </w:r>
                      </w:p>
                    </w:txbxContent>
                  </v:textbox>
                </v:rect>
                <v:rect id="Rectangle 199950" o:spid="_x0000_s1780" style="position:absolute;left:-11445;top:22967;width:507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Cs8xQAAAN8AAAAPAAAAZHJzL2Rvd25yZXYueG1sRE9Na8JA&#10;EL0X/A/LCL3VjYUWk7qKKNIceqla6HHIjklqdnbJribtr+8cCj0+3vdyPbpO3aiPrWcD81kGirjy&#10;tuXawOm4f1iAignZYueZDHxThPVqcrfEwvqB3+l2SLWSEI4FGmhSCoXWsWrIYZz5QCzc2fcOk8C+&#10;1rbHQcJdpx+z7Fk7bFkaGgy0bai6HK7OwOeOQ7kfdHX+2Ya3r3LRvV5PH8bcT8fNC6hEY/oX/7lL&#10;K/PzPH+SB/JHAOjVLwAAAP//AwBQSwECLQAUAAYACAAAACEA2+H2y+4AAACFAQAAEwAAAAAAAAAA&#10;AAAAAAAAAAAAW0NvbnRlbnRfVHlwZXNdLnhtbFBLAQItABQABgAIAAAAIQBa9CxbvwAAABUBAAAL&#10;AAAAAAAAAAAAAAAAAB8BAABfcmVscy8ucmVsc1BLAQItABQABgAIAAAAIQA5YCs8xQAAAN8AAAAP&#10;AAAAAAAAAAAAAAAAAAcCAABkcnMvZG93bnJldi54bWxQSwUGAAAAAAMAAwC3AAAA+QIAAAAA&#10;" filled="f" stroked="f">
                  <v:textbox inset="0,0,0,0">
                    <w:txbxContent>
                      <w:p w14:paraId="772B2921" w14:textId="77777777" w:rsidR="00B32EF2" w:rsidRDefault="00000000">
                        <w:r>
                          <w:rPr>
                            <w:rFonts w:ascii="Arial" w:eastAsia="Arial" w:hAnsi="Arial" w:cs="Arial"/>
                            <w:sz w:val="18"/>
                          </w:rPr>
                          <w:t>. Le questioni ed eccezioni non accolte nella sentenza della corte di giusti</w:t>
                        </w:r>
                      </w:p>
                    </w:txbxContent>
                  </v:textbox>
                </v:rect>
                <v:rect id="Rectangle 15117" o:spid="_x0000_s1781" style="position:absolute;left:1208;top:2296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zbxAAAAN4AAAAPAAAAZHJzL2Rvd25yZXYueG1sRE9Na8JA&#10;EL0X/A/LCN7qJkJbia4iijQHL7UKHofsmESzs0t2NdFf3y0UepvH+5z5sjeNuFPra8sK0nECgriw&#10;uuZSweF7+zoF4QOyxsYyKXiQh+Vi8DLHTNuOv+i+D6WIIewzVFCF4DIpfVGRQT+2jjhyZ9saDBG2&#10;pdQtdjHcNHKSJO/SYM2xoUJH64qK6/5mFJw27PJtJ4vzc+12l3zafN4OR6VGw341AxGoD//iP3eu&#10;4/y3NP2A33fiDXLxAwAA//8DAFBLAQItABQABgAIAAAAIQDb4fbL7gAAAIUBAAATAAAAAAAAAAAA&#10;AAAAAAAAAABbQ29udGVudF9UeXBlc10ueG1sUEsBAi0AFAAGAAgAAAAhAFr0LFu/AAAAFQEAAAsA&#10;AAAAAAAAAAAAAAAAHwEAAF9yZWxzLy5yZWxzUEsBAi0AFAAGAAgAAAAhAFJgfNvEAAAA3gAAAA8A&#10;AAAAAAAAAAAAAAAABwIAAGRycy9kb3ducmV2LnhtbFBLBQYAAAAAAwADALcAAAD4AgAAAAA=&#10;" filled="f" stroked="f">
                  <v:textbox inset="0,0,0,0">
                    <w:txbxContent>
                      <w:p w14:paraId="2014BFE5" w14:textId="77777777" w:rsidR="00B32EF2" w:rsidRDefault="00000000">
                        <w:r>
                          <w:rPr>
                            <w:rFonts w:ascii="Arial" w:eastAsia="Arial" w:hAnsi="Arial" w:cs="Arial"/>
                            <w:sz w:val="18"/>
                          </w:rPr>
                          <w:t>-</w:t>
                        </w:r>
                      </w:p>
                    </w:txbxContent>
                  </v:textbox>
                </v:rect>
                <v:rect id="Rectangle 15118" o:spid="_x0000_s1782" style="position:absolute;left:-10587;top:21734;width:505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pyAAAAN4AAAAPAAAAZHJzL2Rvd25yZXYueG1sRI9Pa8Mw&#10;DMXvg30Ho8Fuq5PBRknrltJRlsMu/TPYUcRqkjaWTew22T59dRj0JvGe3vtpvhxdp67Ux9azgXyS&#10;gSKuvG25NnDYb16moGJCtth5JgO/FGG5eHyYY2H9wFu67lKtJIRjgQaalEKhdawachgnPhCLdvS9&#10;wyRrX2vb4yDhrtOvWfauHbYsDQ0GWjdUnXcXZ+Dng0O5GXR1/FuHr1M57T4vh29jnp/G1QxUojHd&#10;zf/XpRX8tzwXXnlHZtCLGwAAAP//AwBQSwECLQAUAAYACAAAACEA2+H2y+4AAACFAQAAEwAAAAAA&#10;AAAAAAAAAAAAAAAAW0NvbnRlbnRfVHlwZXNdLnhtbFBLAQItABQABgAIAAAAIQBa9CxbvwAAABUB&#10;AAALAAAAAAAAAAAAAAAAAB8BAABfcmVscy8ucmVsc1BLAQItABQABgAIAAAAIQAj/+ipyAAAAN4A&#10;AAAPAAAAAAAAAAAAAAAAAAcCAABkcnMvZG93bnJldi54bWxQSwUGAAAAAAMAAwC3AAAA/AIAAAAA&#10;" filled="f" stroked="f">
                  <v:textbox inset="0,0,0,0">
                    <w:txbxContent>
                      <w:p w14:paraId="79DD68BF" w14:textId="77777777" w:rsidR="00B32EF2" w:rsidRDefault="00000000">
                        <w:r>
                          <w:rPr>
                            <w:rFonts w:ascii="Arial" w:eastAsia="Arial" w:hAnsi="Arial" w:cs="Arial"/>
                            <w:sz w:val="18"/>
                          </w:rPr>
                          <w:t>zia tributaria di primo grado, che non sono specificamente riproposte in ap</w:t>
                        </w:r>
                      </w:p>
                    </w:txbxContent>
                  </v:textbox>
                </v:rect>
                <v:rect id="Rectangle 15119" o:spid="_x0000_s1783" style="position:absolute;left:1396;top:217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00yxAAAAN4AAAAPAAAAZHJzL2Rvd25yZXYueG1sRE9Na8JA&#10;EL0X/A/LCL3VTYQWG11FFGkOXrQKHofsmESzs0t2Nam/visUepvH+5zZojeNuFPra8sK0lECgriw&#10;uuZSweF78zYB4QOyxsYyKfghD4v54GWGmbYd7+i+D6WIIewzVFCF4DIpfVGRQT+yjjhyZ9saDBG2&#10;pdQtdjHcNHKcJB/SYM2xoUJHq4qK6/5mFJzW7PJNJ4vzY+W2l3zSfN0OR6Veh/1yCiJQH/7Ff+5c&#10;x/nvafoJz3fiDXL+CwAA//8DAFBLAQItABQABgAIAAAAIQDb4fbL7gAAAIUBAAATAAAAAAAAAAAA&#10;AAAAAAAAAABbQ29udGVudF9UeXBlc10ueG1sUEsBAi0AFAAGAAgAAAAhAFr0LFu/AAAAFQEAAAsA&#10;AAAAAAAAAAAAAAAAHwEAAF9yZWxzLy5yZWxzUEsBAi0AFAAGAAgAAAAhAEyzTTLEAAAA3gAAAA8A&#10;AAAAAAAAAAAAAAAABwIAAGRycy9kb3ducmV2LnhtbFBLBQYAAAAAAwADALcAAAD4AgAAAAA=&#10;" filled="f" stroked="f">
                  <v:textbox inset="0,0,0,0">
                    <w:txbxContent>
                      <w:p w14:paraId="5FAC695E" w14:textId="77777777" w:rsidR="00B32EF2" w:rsidRDefault="00000000">
                        <w:r>
                          <w:rPr>
                            <w:rFonts w:ascii="Arial" w:eastAsia="Arial" w:hAnsi="Arial" w:cs="Arial"/>
                            <w:sz w:val="18"/>
                          </w:rPr>
                          <w:t>-</w:t>
                        </w:r>
                      </w:p>
                    </w:txbxContent>
                  </v:textbox>
                </v:rect>
                <v:rect id="Rectangle 15120" o:spid="_x0000_s1784" style="position:absolute;left:20504;top:20500;width:194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S4SxwAAAN4AAAAPAAAAZHJzL2Rvd25yZXYueG1sRI9Pa8JA&#10;EMXvhX6HZYTe6kahIqmriEWaQy/1D/Q4ZMckmp1dsqtJ++k7B8HbDPPmvfdbrAbXqht1sfFsYDLO&#10;QBGX3jZcGTjst69zUDEhW2w9k4FfirBaPj8tMLe+52+67VKlxIRjjgbqlEKudSxrchjHPhDL7eQ7&#10;h0nWrtK2w17MXaunWTbTDhuWhBoDbWoqL7urM/DzwaHY9ro8/W3C17mYt5/Xw9GYl9GwfgeVaEgP&#10;8f27sFL/bTIVAMGRGfTyHwAA//8DAFBLAQItABQABgAIAAAAIQDb4fbL7gAAAIUBAAATAAAAAAAA&#10;AAAAAAAAAAAAAABbQ29udGVudF9UeXBlc10ueG1sUEsBAi0AFAAGAAgAAAAhAFr0LFu/AAAAFQEA&#10;AAsAAAAAAAAAAAAAAAAAHwEAAF9yZWxzLy5yZWxzUEsBAi0AFAAGAAgAAAAhABPlLhLHAAAA3gAA&#10;AA8AAAAAAAAAAAAAAAAABwIAAGRycy9kb3ducmV2LnhtbFBLBQYAAAAAAwADALcAAAD7AgAAAAA=&#10;" filled="f" stroked="f">
                  <v:textbox inset="0,0,0,0">
                    <w:txbxContent>
                      <w:p w14:paraId="34AC04D0" w14:textId="77777777" w:rsidR="00B32EF2" w:rsidRDefault="00000000">
                        <w:r>
                          <w:rPr>
                            <w:rFonts w:ascii="Arial" w:eastAsia="Arial" w:hAnsi="Arial" w:cs="Arial"/>
                            <w:sz w:val="18"/>
                          </w:rPr>
                          <w:t>pello, s’intendono rinunciate.</w:t>
                        </w:r>
                      </w:p>
                    </w:txbxContent>
                  </v:textbox>
                </v:rect>
                <v:rect id="Rectangle 15121" o:spid="_x0000_s1785" style="position:absolute;left:14699;top:19267;width:86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YuJxAAAAN4AAAAPAAAAZHJzL2Rvd25yZXYueG1sRE9Na8JA&#10;EL0X/A/LCL3VTYSKpK4iiphDL9oIHofsmKRmZ5fsatL++q4g9DaP9zmL1WBacafON5YVpJMEBHFp&#10;dcOVguJr9zYH4QOyxtYyKfghD6vl6GWBmbY9H+h+DJWIIewzVFCH4DIpfVmTQT+xjjhyF9sZDBF2&#10;ldQd9jHctHKaJDNpsOHYUKOjTU3l9XgzCs5bdvmul+Xld+M+v/N5u78VJ6Vex8P6A0SgIfyLn+5c&#10;x/nv6TSFxzvxBrn8AwAA//8DAFBLAQItABQABgAIAAAAIQDb4fbL7gAAAIUBAAATAAAAAAAAAAAA&#10;AAAAAAAAAABbQ29udGVudF9UeXBlc10ueG1sUEsBAi0AFAAGAAgAAAAhAFr0LFu/AAAAFQEAAAsA&#10;AAAAAAAAAAAAAAAAHwEAAF9yZWxzLy5yZWxzUEsBAi0AFAAGAAgAAAAhAHypi4nEAAAA3gAAAA8A&#10;AAAAAAAAAAAAAAAABwIAAGRycy9kb3ducmV2LnhtbFBLBQYAAAAAAwADALcAAAD4AgAAAAA=&#10;" filled="f" stroked="f">
                  <v:textbox inset="0,0,0,0">
                    <w:txbxContent>
                      <w:p w14:paraId="57710662" w14:textId="77777777" w:rsidR="00B32EF2" w:rsidRDefault="00000000">
                        <w:r>
                          <w:rPr>
                            <w:rFonts w:ascii="Arial" w:eastAsia="Arial" w:hAnsi="Arial" w:cs="Arial"/>
                            <w:b/>
                            <w:sz w:val="18"/>
                          </w:rPr>
                          <w:t>Articolo 111</w:t>
                        </w:r>
                      </w:p>
                    </w:txbxContent>
                  </v:textbox>
                </v:rect>
                <v:rect id="Rectangle 199946" o:spid="_x0000_s1786" style="position:absolute;left:22219;top:18034;width:194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IAOxAAAAN8AAAAPAAAAZHJzL2Rvd25yZXYueG1sRE/Pa8Iw&#10;FL4L/g/hCd40VYbYziiiyHrYZc7Bjo/m2XZrXkITbd1fvwiCx4/v92rTm0ZcqfW1ZQWzaQKCuLC6&#10;5lLB6fMwWYLwAVljY5kU3MjDZj0crDDTtuMPuh5DKWII+wwVVCG4TEpfVGTQT60jjtzZtgZDhG0p&#10;dYtdDDeNnCfJQhqsOTZU6GhXUfF7vBgF33t2+aGTxflv595/8mXzdjl9KTUe9dtXEIH68BQ/3LmO&#10;89M0fVnA/U8EINf/AAAA//8DAFBLAQItABQABgAIAAAAIQDb4fbL7gAAAIUBAAATAAAAAAAAAAAA&#10;AAAAAAAAAABbQ29udGVudF9UeXBlc10ueG1sUEsBAi0AFAAGAAgAAAAhAFr0LFu/AAAAFQEAAAsA&#10;AAAAAAAAAAAAAAAAHwEAAF9yZWxzLy5yZWxzUEsBAi0AFAAGAAgAAAAhAFwcgA7EAAAA3wAAAA8A&#10;AAAAAAAAAAAAAAAABwIAAGRycy9kb3ducmV2LnhtbFBLBQYAAAAAAwADALcAAAD4AgAAAAA=&#10;" filled="f" stroked="f">
                  <v:textbox inset="0,0,0,0">
                    <w:txbxContent>
                      <w:p w14:paraId="20A29911" w14:textId="77777777" w:rsidR="00B32EF2" w:rsidRDefault="00000000">
                        <w:r>
                          <w:rPr>
                            <w:rFonts w:ascii="Arial" w:eastAsia="Arial" w:hAnsi="Arial" w:cs="Arial"/>
                            <w:i/>
                            <w:sz w:val="18"/>
                          </w:rPr>
                          <w:t>(</w:t>
                        </w:r>
                      </w:p>
                    </w:txbxContent>
                  </v:textbox>
                </v:rect>
                <v:rect id="Rectangle 199948" o:spid="_x0000_s1787" style="position:absolute;left:11632;top:18034;width:194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7HnxQAAAN8AAAAPAAAAZHJzL2Rvd25yZXYueG1sRE9Na8JA&#10;EL0X/A/LCL3VjaUUk7qKKNIceqla6HHIjklqdnbJribtr+8cCj0+3vdyPbpO3aiPrWcD81kGirjy&#10;tuXawOm4f1iAignZYueZDHxThPVqcrfEwvqB3+l2SLWSEI4FGmhSCoXWsWrIYZz5QCzc2fcOk8C+&#10;1rbHQcJdpx+z7Fk7bFkaGgy0bai6HK7OwOeOQ7kfdHX+2Ya3r3LRvV5PH8bcT8fNC6hEY/oX/7lL&#10;K/PzPH+SwfJHAOjVLwAAAP//AwBQSwECLQAUAAYACAAAACEA2+H2y+4AAACFAQAAEwAAAAAAAAAA&#10;AAAAAAAAAAAAW0NvbnRlbnRfVHlwZXNdLnhtbFBLAQItABQABgAIAAAAIQBa9CxbvwAAABUBAAAL&#10;AAAAAAAAAAAAAAAAAB8BAABfcmVscy8ucmVsc1BLAQItABQABgAIAAAAIQBCz7HnxQAAAN8AAAAP&#10;AAAAAAAAAAAAAAAAAAcCAABkcnMvZG93bnJldi54bWxQSwUGAAAAAAMAAwC3AAAA+QIAAAAA&#10;" filled="f" stroked="f">
                  <v:textbox inset="0,0,0,0">
                    <w:txbxContent>
                      <w:p w14:paraId="05CE0F27" w14:textId="77777777" w:rsidR="00B32EF2" w:rsidRDefault="00000000">
                        <w:r>
                          <w:rPr>
                            <w:rFonts w:ascii="Arial" w:eastAsia="Arial" w:hAnsi="Arial" w:cs="Arial"/>
                            <w:i/>
                            <w:sz w:val="18"/>
                          </w:rPr>
                          <w:t xml:space="preserve">articolo 57 D.lgs. n. </w:t>
                        </w:r>
                      </w:p>
                    </w:txbxContent>
                  </v:textbox>
                </v:rect>
                <v:rect id="Rectangle 199947" o:spid="_x0000_s1788" style="position:absolute;left:-2616;top:18034;width:194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CWVxQAAAN8AAAAPAAAAZHJzL2Rvd25yZXYueG1sRE/LasJA&#10;FN0X/IfhCu7qRJHWpI4iijQLN/UBXV4y1yRt5s6QGU3ar3cKBZeH816setOIG7W+tqxgMk5AEBdW&#10;11wqOB13z3MQPiBrbCyTgh/ysFoOnhaYadvxB90OoRQxhH2GCqoQXCalLyoy6MfWEUfuYluDIcK2&#10;lLrFLoabRk6T5EUarDk2VOhoU1HxfbgaBZ9bdvmuk8Xld+P2X/m8eb+ezkqNhv36DUSgPjzE/+5c&#10;x/lpms5e4e9PBCCXdwAAAP//AwBQSwECLQAUAAYACAAAACEA2+H2y+4AAACFAQAAEwAAAAAAAAAA&#10;AAAAAAAAAAAAW0NvbnRlbnRfVHlwZXNdLnhtbFBLAQItABQABgAIAAAAIQBa9CxbvwAAABUBAAAL&#10;AAAAAAAAAAAAAAAAAB8BAABfcmVscy8ucmVsc1BLAQItABQABgAIAAAAIQAzUCWVxQAAAN8AAAAP&#10;AAAAAAAAAAAAAAAAAAcCAABkcnMvZG93bnJldi54bWxQSwUGAAAAAAMAAwC3AAAA+QIAAAAA&#10;" filled="f" stroked="f">
                  <v:textbox inset="0,0,0,0">
                    <w:txbxContent>
                      <w:p w14:paraId="128ECF8C" w14:textId="77777777" w:rsidR="00B32EF2" w:rsidRDefault="00000000">
                        <w:r>
                          <w:rPr>
                            <w:rFonts w:ascii="Arial" w:eastAsia="Arial" w:hAnsi="Arial" w:cs="Arial"/>
                            <w:i/>
                            <w:sz w:val="18"/>
                          </w:rPr>
                          <w:t>546/92)</w:t>
                        </w:r>
                      </w:p>
                    </w:txbxContent>
                  </v:textbox>
                </v:rect>
                <v:rect id="Rectangle 15123" o:spid="_x0000_s1789" style="position:absolute;left:6197;top:16800;width:220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7BlxAAAAN4AAAAPAAAAZHJzL2Rvd25yZXYueG1sRE9Li8Iw&#10;EL4v+B/CCN7WVJddpBpFFNkevKwP8Dg0Y1ttJqGJtvrrNwsL3ubje85s0Zla3KnxlWUFo2ECgji3&#10;uuJCwWG/eZ+A8AFZY22ZFDzIw2Lee5thqm3LP3TfhULEEPYpKihDcKmUPi/JoB9aRxy5s20Mhgib&#10;QuoG2xhuajlOki9psOLYUKKjVUn5dXczCk5rdtmmlfn5uXLbSzapv2+Ho1KDfrecggjUhZf4353p&#10;OP9zNP6Av3fiDXL+CwAA//8DAFBLAQItABQABgAIAAAAIQDb4fbL7gAAAIUBAAATAAAAAAAAAAAA&#10;AAAAAAAAAABbQ29udGVudF9UeXBlc10ueG1sUEsBAi0AFAAGAAgAAAAhAFr0LFu/AAAAFQEAAAsA&#10;AAAAAAAAAAAAAAAAHwEAAF9yZWxzLy5yZWxzUEsBAi0AFAAGAAgAAAAhAOM3sGXEAAAA3gAAAA8A&#10;AAAAAAAAAAAAAAAABwIAAGRycy9kb3ducmV2LnhtbFBLBQYAAAAAAwADALcAAAD4AgAAAAA=&#10;" filled="f" stroked="f">
                  <v:textbox inset="0,0,0,0">
                    <w:txbxContent>
                      <w:p w14:paraId="69AA2011" w14:textId="77777777" w:rsidR="00B32EF2" w:rsidRDefault="00000000">
                        <w:r>
                          <w:rPr>
                            <w:rFonts w:ascii="Arial" w:eastAsia="Arial" w:hAnsi="Arial" w:cs="Arial"/>
                            <w:b/>
                            <w:sz w:val="18"/>
                          </w:rPr>
                          <w:t xml:space="preserve">Domande ed eccezioni nuove </w:t>
                        </w:r>
                      </w:p>
                    </w:txbxContent>
                  </v:textbox>
                </v:rect>
                <v:rect id="Rectangle 199944" o:spid="_x0000_s1790" style="position:absolute;left:26351;top:15567;width:521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vixAAAAN8AAAAPAAAAZHJzL2Rvd25yZXYueG1sRE/Pa8Iw&#10;FL4L/g/hCd40nYjYzihDEXvwMudgx0fzbKvNS2ii7fbXL4OBx4/v92rTm0Y8qPW1ZQUv0wQEcWF1&#10;zaWC88d+sgThA7LGxjIp+CYPm/VwsMJM247f6XEKpYgh7DNUUIXgMil9UZFBP7WOOHIX2xoMEbal&#10;1C12Mdw0cpYkC2mw5thQoaNtRcXtdDcKvnbs8n0ni8vP1h2v+bI53M+fSo1H/dsriEB9eIr/3bmO&#10;89M0nc/h708EINe/AAAA//8DAFBLAQItABQABgAIAAAAIQDb4fbL7gAAAIUBAAATAAAAAAAAAAAA&#10;AAAAAAAAAABbQ29udGVudF9UeXBlc10ueG1sUEsBAi0AFAAGAAgAAAAhAFr0LFu/AAAAFQEAAAsA&#10;AAAAAAAAAAAAAAAAHwEAAF9yZWxzLy5yZWxzUEsBAi0AFAAGAAgAAAAhAMOCu+LEAAAA3wAAAA8A&#10;AAAAAAAAAAAAAAAABwIAAGRycy9kb3ducmV2LnhtbFBLBQYAAAAAAwADALcAAAD4AgAAAAA=&#10;" filled="f" stroked="f">
                  <v:textbox inset="0,0,0,0">
                    <w:txbxContent>
                      <w:p w14:paraId="29EE0E43" w14:textId="77777777" w:rsidR="00B32EF2" w:rsidRDefault="00000000">
                        <w:r>
                          <w:rPr>
                            <w:rFonts w:ascii="Arial" w:eastAsia="Arial" w:hAnsi="Arial" w:cs="Arial"/>
                            <w:sz w:val="18"/>
                          </w:rPr>
                          <w:t>1</w:t>
                        </w:r>
                      </w:p>
                    </w:txbxContent>
                  </v:textbox>
                </v:rect>
                <v:rect id="Rectangle 199945" o:spid="_x0000_s1791" style="position:absolute;left:-12781;top:15567;width:521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h55xQAAAN8AAAAPAAAAZHJzL2Rvd25yZXYueG1sRE/LasJA&#10;FN0X/IfhCu7qRLHFpI4iijQLN/UBXV4y1yRt5s6QGU3ar3cKBZeH816setOIG7W+tqxgMk5AEBdW&#10;11wqOB13z3MQPiBrbCyTgh/ysFoOnhaYadvxB90OoRQxhH2GCqoQXCalLyoy6MfWEUfuYluDIcK2&#10;lLrFLoabRk6T5FUarDk2VOhoU1HxfbgaBZ9bdvmuk8Xld+P2X/m8eb+ezkqNhv36DUSgPjzE/+5c&#10;x/lpms5e4O9PBCCXdwAAAP//AwBQSwECLQAUAAYACAAAACEA2+H2y+4AAACFAQAAEwAAAAAAAAAA&#10;AAAAAAAAAAAAW0NvbnRlbnRfVHlwZXNdLnhtbFBLAQItABQABgAIAAAAIQBa9CxbvwAAABUBAAAL&#10;AAAAAAAAAAAAAAAAAB8BAABfcmVscy8ucmVsc1BLAQItABQABgAIAAAAIQCszh55xQAAAN8AAAAP&#10;AAAAAAAAAAAAAAAAAAcCAABkcnMvZG93bnJldi54bWxQSwUGAAAAAAMAAwC3AAAA+QIAAAAA&#10;" filled="f" stroked="f">
                  <v:textbox inset="0,0,0,0">
                    <w:txbxContent>
                      <w:p w14:paraId="7647CAB5" w14:textId="77777777" w:rsidR="00B32EF2" w:rsidRDefault="00000000">
                        <w:r>
                          <w:rPr>
                            <w:rFonts w:ascii="Arial" w:eastAsia="Arial" w:hAnsi="Arial" w:cs="Arial"/>
                            <w:sz w:val="18"/>
                          </w:rPr>
                          <w:t>. Nel giudizio d’appello non possono proporsi domande nuove e, se propo</w:t>
                        </w:r>
                      </w:p>
                    </w:txbxContent>
                  </v:textbox>
                </v:rect>
                <v:rect id="Rectangle 15125" o:spid="_x0000_s1792" style="position:absolute;left:192;top:1556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o2KxAAAAN4AAAAPAAAAZHJzL2Rvd25yZXYueG1sRE9Li8Iw&#10;EL4v+B/CCHtbUwUXqUYRRbYHL+sDPA7N2FabSWiirfvrN4LgbT6+58wWnanFnRpfWVYwHCQgiHOr&#10;Ky4UHPabrwkIH5A11pZJwYM8LOa9jxmm2rb8S/ddKEQMYZ+igjIEl0rp85IM+oF1xJE728ZgiLAp&#10;pG6wjeGmlqMk+ZYGK44NJTpalZRfdzej4LRml21amZ//Vm57ySb1z+1wVOqz3y2nIAJ14S1+uTMd&#10;54+HozE834k3yPk/AAAA//8DAFBLAQItABQABgAIAAAAIQDb4fbL7gAAAIUBAAATAAAAAAAAAAAA&#10;AAAAAAAAAABbQ29udGVudF9UeXBlc10ueG1sUEsBAi0AFAAGAAgAAAAhAFr0LFu/AAAAFQEAAAsA&#10;AAAAAAAAAAAAAAAAHwEAAF9yZWxzLy5yZWxzUEsBAi0AFAAGAAgAAAAhAAOSjYrEAAAA3gAAAA8A&#10;AAAAAAAAAAAAAAAABwIAAGRycy9kb3ducmV2LnhtbFBLBQYAAAAAAwADALcAAAD4AgAAAAA=&#10;" filled="f" stroked="f">
                  <v:textbox inset="0,0,0,0">
                    <w:txbxContent>
                      <w:p w14:paraId="016B6AEE" w14:textId="77777777" w:rsidR="00B32EF2" w:rsidRDefault="00000000">
                        <w:r>
                          <w:rPr>
                            <w:rFonts w:ascii="Arial" w:eastAsia="Arial" w:hAnsi="Arial" w:cs="Arial"/>
                            <w:sz w:val="18"/>
                          </w:rPr>
                          <w:t>-</w:t>
                        </w:r>
                      </w:p>
                    </w:txbxContent>
                  </v:textbox>
                </v:rect>
                <v:rect id="Rectangle 15126" o:spid="_x0000_s1793" style="position:absolute;left:-13171;top:143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P9xAAAAN4AAAAPAAAAZHJzL2Rvd25yZXYueG1sRE9Li8Iw&#10;EL4v+B/CCN7WVGFFqlFEke3By/oAj0MzttVmEppoq79+s7DgbT6+58yXnanFgxpfWVYwGiYgiHOr&#10;Ky4UHA/bzykIH5A11pZJwZM8LBe9jzmm2rb8Q499KEQMYZ+igjIEl0rp85IM+qF1xJG72MZgiLAp&#10;pG6wjeGmluMkmUiDFceGEh2tS8pv+7tRcN6wy7atzC+vtdtds2n9fT+elBr0u9UMRKAuvMX/7kzH&#10;+V+j8QT+3ok3yMUvAAAA//8DAFBLAQItABQABgAIAAAAIQDb4fbL7gAAAIUBAAATAAAAAAAAAAAA&#10;AAAAAAAAAABbQ29udGVudF9UeXBlc10ueG1sUEsBAi0AFAAGAAgAAAAhAFr0LFu/AAAAFQEAAAsA&#10;AAAAAAAAAAAAAAAAHwEAAF9yZWxzLy5yZWxzUEsBAi0AFAAGAAgAAAAhAPNAE/3EAAAA3gAAAA8A&#10;AAAAAAAAAAAAAAAABwIAAGRycy9kb3ducmV2LnhtbFBLBQYAAAAAAwADALcAAAD4AgAAAAA=&#10;" filled="f" stroked="f">
                  <v:textbox inset="0,0,0,0">
                    <w:txbxContent>
                      <w:p w14:paraId="27180F2B" w14:textId="77777777" w:rsidR="00B32EF2" w:rsidRDefault="00000000">
                        <w:r>
                          <w:rPr>
                            <w:rFonts w:ascii="Arial" w:eastAsia="Arial" w:hAnsi="Arial" w:cs="Arial"/>
                            <w:sz w:val="18"/>
                          </w:rPr>
                          <w:t xml:space="preserve">ste, debbono essere dichiarate inammissibili d’ufficio. Possono tuttavia essere </w:t>
                        </w:r>
                      </w:p>
                    </w:txbxContent>
                  </v:textbox>
                </v:rect>
                <v:rect id="Rectangle 15127" o:spid="_x0000_s1794" style="position:absolute;left:1318;top:13101;width:3860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LZmxAAAAN4AAAAPAAAAZHJzL2Rvd25yZXYueG1sRE9Li8Iw&#10;EL4v+B/CCN7WVGF3pRpFFNkevKwP8Dg0Y1ttJqGJtvrrNwsL3ubje85s0Zla3KnxlWUFo2ECgji3&#10;uuJCwWG/eZ+A8AFZY22ZFDzIw2Lee5thqm3LP3TfhULEEPYpKihDcKmUPi/JoB9aRxy5s20Mhgib&#10;QuoG2xhuajlOkk9psOLYUKKjVUn5dXczCk5rdtmmlfn5uXLbSzapv2+Ho1KDfrecggjUhZf4353p&#10;OP9jNP6Cv3fiDXL+CwAA//8DAFBLAQItABQABgAIAAAAIQDb4fbL7gAAAIUBAAATAAAAAAAAAAAA&#10;AAAAAAAAAABbQ29udGVudF9UeXBlc10ueG1sUEsBAi0AFAAGAAgAAAAhAFr0LFu/AAAAFQEAAAsA&#10;AAAAAAAAAAAAAAAAHwEAAF9yZWxzLy5yZWxzUEsBAi0AFAAGAAgAAAAhAJwMtmbEAAAA3gAAAA8A&#10;AAAAAAAAAAAAAAAABwIAAGRycy9kb3ducmV2LnhtbFBLBQYAAAAAAwADALcAAAD4AgAAAAA=&#10;" filled="f" stroked="f">
                  <v:textbox inset="0,0,0,0">
                    <w:txbxContent>
                      <w:p w14:paraId="7201D014" w14:textId="77777777" w:rsidR="00B32EF2" w:rsidRDefault="00000000">
                        <w:r>
                          <w:rPr>
                            <w:rFonts w:ascii="Arial" w:eastAsia="Arial" w:hAnsi="Arial" w:cs="Arial"/>
                            <w:sz w:val="18"/>
                          </w:rPr>
                          <w:t>chiesti gli interessi maturati dopo la sentenza impugnata.</w:t>
                        </w:r>
                      </w:p>
                    </w:txbxContent>
                  </v:textbox>
                </v:rect>
                <v:rect id="Rectangle 199942" o:spid="_x0000_s1795" style="position:absolute;left:26242;top:11867;width:525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4YNxAAAAN8AAAAPAAAAZHJzL2Rvd25yZXYueG1sRE/Pa8Iw&#10;FL4L/g/hCbtpOhliO6MMRezBy5yDHR/Ns602L6GJtvrXL4OBx4/v92LVm0bcqPW1ZQWvkwQEcWF1&#10;zaWC49d2PAfhA7LGxjIpuJOH1XI4WGCmbcefdDuEUsQQ9hkqqEJwmZS+qMign1hHHLmTbQ2GCNtS&#10;6ha7GG4aOU2SmTRYc2yo0NG6ouJyuBoFPxt2+baTxemxdvtzPm921+O3Ui+j/uMdRKA+PMX/7lzH&#10;+Wmavk3h708EIJe/AAAA//8DAFBLAQItABQABgAIAAAAIQDb4fbL7gAAAIUBAAATAAAAAAAAAAAA&#10;AAAAAAAAAABbQ29udGVudF9UeXBlc10ueG1sUEsBAi0AFAAGAAgAAAAhAFr0LFu/AAAAFQEAAAsA&#10;AAAAAAAAAAAAAAAAHwEAAF9yZWxzLy5yZWxzUEsBAi0AFAAGAAgAAAAhACMnhg3EAAAA3wAAAA8A&#10;AAAAAAAAAAAAAAAABwIAAGRycy9kb3ducmV2LnhtbFBLBQYAAAAAAwADALcAAAD4AgAAAAA=&#10;" filled="f" stroked="f">
                  <v:textbox inset="0,0,0,0">
                    <w:txbxContent>
                      <w:p w14:paraId="5812B3CB" w14:textId="77777777" w:rsidR="00B32EF2" w:rsidRDefault="00000000">
                        <w:r>
                          <w:rPr>
                            <w:rFonts w:ascii="Arial" w:eastAsia="Arial" w:hAnsi="Arial" w:cs="Arial"/>
                            <w:sz w:val="18"/>
                          </w:rPr>
                          <w:t>2</w:t>
                        </w:r>
                      </w:p>
                    </w:txbxContent>
                  </v:textbox>
                </v:rect>
                <v:rect id="Rectangle 199943" o:spid="_x0000_s1796" style="position:absolute;left:-13306;top:11867;width:525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yOWxQAAAN8AAAAPAAAAZHJzL2Rvd25yZXYueG1sRE/LasJA&#10;FN0X/IfhCu7qRC3FpI4iijQLN/UBXV4y1yRt5s6QGU3ar3cKBZeH816setOIG7W+tqxgMk5AEBdW&#10;11wqOB13z3MQPiBrbCyTgh/ysFoOnhaYadvxB90OoRQxhH2GCqoQXCalLyoy6MfWEUfuYluDIcK2&#10;lLrFLoabRk6T5FUarDk2VOhoU1HxfbgaBZ9bdvmuk8Xld+P2X/m8eb+ezkqNhv36DUSgPjzE/+5c&#10;x/lpmr7M4O9PBCCXdwAAAP//AwBQSwECLQAUAAYACAAAACEA2+H2y+4AAACFAQAAEwAAAAAAAAAA&#10;AAAAAAAAAAAAW0NvbnRlbnRfVHlwZXNdLnhtbFBLAQItABQABgAIAAAAIQBa9CxbvwAAABUBAAAL&#10;AAAAAAAAAAAAAAAAAB8BAABfcmVscy8ucmVsc1BLAQItABQABgAIAAAAIQBMayOWxQAAAN8AAAAP&#10;AAAAAAAAAAAAAAAAAAcCAABkcnMvZG93bnJldi54bWxQSwUGAAAAAAMAAwC3AAAA+QIAAAAA&#10;" filled="f" stroked="f">
                  <v:textbox inset="0,0,0,0">
                    <w:txbxContent>
                      <w:p w14:paraId="69227A53" w14:textId="77777777" w:rsidR="00B32EF2" w:rsidRDefault="00000000">
                        <w:r>
                          <w:rPr>
                            <w:rFonts w:ascii="Arial" w:eastAsia="Arial" w:hAnsi="Arial" w:cs="Arial"/>
                            <w:sz w:val="18"/>
                          </w:rPr>
                          <w:t>. Non possono proporsi nuove eccezioni che non siano rilevabili anche d’ufficio.</w:t>
                        </w:r>
                      </w:p>
                    </w:txbxContent>
                  </v:textbox>
                </v:rect>
                <v:rect id="Rectangle 15129" o:spid="_x0000_s1797" style="position:absolute;left:14643;top:9401;width:87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4ePxAAAAN4AAAAPAAAAZHJzL2Rvd25yZXYueG1sRE9Li8Iw&#10;EL4L+x/CLHhbU4UVrUZZXGR78LI+wOPQjG21mYQm2uqvNwsL3ubje8582Zla3KjxlWUFw0ECgji3&#10;uuJCwX63/piA8AFZY22ZFNzJw3Lx1ptjqm3Lv3TbhkLEEPYpKihDcKmUPi/JoB9YRxy5k20Mhgib&#10;QuoG2xhuajlKkrE0WHFsKNHRqqT8sr0aBcdvdtm6lfnpsXKbczapf677g1L99+5rBiJQF17if3em&#10;4/zP4WgKf+/EG+TiCQAA//8DAFBLAQItABQABgAIAAAAIQDb4fbL7gAAAIUBAAATAAAAAAAAAAAA&#10;AAAAAAAAAABbQ29udGVudF9UeXBlc10ueG1sUEsBAi0AFAAGAAgAAAAhAFr0LFu/AAAAFQEAAAsA&#10;AAAAAAAAAAAAAAAAHwEAAF9yZWxzLy5yZWxzUEsBAi0AFAAGAAgAAAAhAILfh4/EAAAA3gAAAA8A&#10;AAAAAAAAAAAAAAAABwIAAGRycy9kb3ducmV2LnhtbFBLBQYAAAAAAwADALcAAAD4AgAAAAA=&#10;" filled="f" stroked="f">
                  <v:textbox inset="0,0,0,0">
                    <w:txbxContent>
                      <w:p w14:paraId="3D33703A" w14:textId="77777777" w:rsidR="00B32EF2" w:rsidRDefault="00000000">
                        <w:r>
                          <w:rPr>
                            <w:rFonts w:ascii="Arial" w:eastAsia="Arial" w:hAnsi="Arial" w:cs="Arial"/>
                            <w:b/>
                            <w:sz w:val="18"/>
                          </w:rPr>
                          <w:t>Articolo 112</w:t>
                        </w:r>
                      </w:p>
                    </w:txbxContent>
                  </v:textbox>
                </v:rect>
                <v:rect id="Rectangle 199939" o:spid="_x0000_s1798" style="position:absolute;left:22223;top:8167;width:194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WcBxAAAAN8AAAAPAAAAZHJzL2Rvd25yZXYueG1sRE/Pa8Iw&#10;FL4P/B/CE7zN1AnDVqOIIuthlzkFj4/m2Vabl9BEW/3rl8Fgx4/v92LVm0bcqfW1ZQWTcQKCuLC6&#10;5lLB4Xv3OgPhA7LGxjIpeJCH1XLwssBM246/6L4PpYgh7DNUUIXgMil9UZFBP7aOOHJn2xoMEbal&#10;1C12Mdw08i1J3qXBmmNDhY42FRXX/c0oOG3Z5btOFufnxn1e8lnzcTsclRoN+/UcRKA+/Iv/3LmO&#10;89M0nabw+ycCkMsfAAAA//8DAFBLAQItABQABgAIAAAAIQDb4fbL7gAAAIUBAAATAAAAAAAAAAAA&#10;AAAAAAAAAABbQ29udGVudF9UeXBlc10ueG1sUEsBAi0AFAAGAAgAAAAhAFr0LFu/AAAAFQEAAAsA&#10;AAAAAAAAAAAAAAAAHwEAAF9yZWxzLy5yZWxzUEsBAi0AFAAGAAgAAAAhAHWFZwHEAAAA3wAAAA8A&#10;AAAAAAAAAAAAAAAABwIAAGRycy9kb3ducmV2LnhtbFBLBQYAAAAAAwADALcAAAD4AgAAAAA=&#10;" filled="f" stroked="f">
                  <v:textbox inset="0,0,0,0">
                    <w:txbxContent>
                      <w:p w14:paraId="3A7AFADD" w14:textId="77777777" w:rsidR="00B32EF2" w:rsidRDefault="00000000">
                        <w:r>
                          <w:rPr>
                            <w:rFonts w:ascii="Arial" w:eastAsia="Arial" w:hAnsi="Arial" w:cs="Arial"/>
                            <w:i/>
                            <w:sz w:val="18"/>
                          </w:rPr>
                          <w:t>(</w:t>
                        </w:r>
                      </w:p>
                    </w:txbxContent>
                  </v:textbox>
                </v:rect>
                <v:rect id="Rectangle 199940" o:spid="_x0000_s1799" style="position:absolute;left:-2641;top:8167;width:194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b3hxQAAAN8AAAAPAAAAZHJzL2Rvd25yZXYueG1sRE9Na8JA&#10;EL0X/A/LCL3VjaUUk7qKKNIceqla6HHIjklqdnbJribtr+8cCj0+3vdyPbpO3aiPrWcD81kGirjy&#10;tuXawOm4f1iAignZYueZDHxThPVqcrfEwvqB3+l2SLWSEI4FGmhSCoXWsWrIYZz5QCzc2fcOk8C+&#10;1rbHQcJdpx+z7Fk7bFkaGgy0bai6HK7OwOeOQ7kfdHX+2Ya3r3LRvV5PH8bcT8fNC6hEY/oX/7lL&#10;K/PzPH+SB/JHAOjVLwAAAP//AwBQSwECLQAUAAYACAAAACEA2+H2y+4AAACFAQAAEwAAAAAAAAAA&#10;AAAAAAAAAAAAW0NvbnRlbnRfVHlwZXNdLnhtbFBLAQItABQABgAIAAAAIQBa9CxbvwAAABUBAAAL&#10;AAAAAAAAAAAAAAAAAB8BAABfcmVscy8ucmVsc1BLAQItABQABgAIAAAAIQC8ub3hxQAAAN8AAAAP&#10;AAAAAAAAAAAAAAAAAAcCAABkcnMvZG93bnJldi54bWxQSwUGAAAAAAMAAwC3AAAA+QIAAAAA&#10;" filled="f" stroked="f">
                  <v:textbox inset="0,0,0,0">
                    <w:txbxContent>
                      <w:p w14:paraId="0550E65B" w14:textId="77777777" w:rsidR="00B32EF2" w:rsidRDefault="00000000">
                        <w:r>
                          <w:rPr>
                            <w:rFonts w:ascii="Arial" w:eastAsia="Arial" w:hAnsi="Arial" w:cs="Arial"/>
                            <w:i/>
                            <w:sz w:val="18"/>
                          </w:rPr>
                          <w:t>546/92)</w:t>
                        </w:r>
                      </w:p>
                    </w:txbxContent>
                  </v:textbox>
                </v:rect>
                <v:rect id="Rectangle 199941" o:spid="_x0000_s1800" style="position:absolute;left:11621;top:8167;width:194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Rh6xAAAAN8AAAAPAAAAZHJzL2Rvd25yZXYueG1sRE/LasJA&#10;FN0X/IfhCu7qxCLFREcRRZpFN/UBLi+ZaxLN3Bkyo0n79Z1CweXhvBer3jTiQa2vLSuYjBMQxIXV&#10;NZcKjofd6wyED8gaG8uk4Js8rJaDlwVm2nb8RY99KEUMYZ+hgioEl0npi4oM+rF1xJG72NZgiLAt&#10;pW6xi+GmkW9J8i4N1hwbKnS0qai47e9GwXnLLt91srj8bNznNZ81H/fjSanRsF/PQQTqw1P87851&#10;nJ+m6XQCf38iALn8BQAA//8DAFBLAQItABQABgAIAAAAIQDb4fbL7gAAAIUBAAATAAAAAAAAAAAA&#10;AAAAAAAAAABbQ29udGVudF9UeXBlc10ueG1sUEsBAi0AFAAGAAgAAAAhAFr0LFu/AAAAFQEAAAsA&#10;AAAAAAAAAAAAAAAAHwEAAF9yZWxzLy5yZWxzUEsBAi0AFAAGAAgAAAAhANP1GHrEAAAA3wAAAA8A&#10;AAAAAAAAAAAAAAAABwIAAGRycy9kb3ducmV2LnhtbFBLBQYAAAAAAwADALcAAAD4AgAAAAA=&#10;" filled="f" stroked="f">
                  <v:textbox inset="0,0,0,0">
                    <w:txbxContent>
                      <w:p w14:paraId="5F4190FD" w14:textId="77777777" w:rsidR="00B32EF2" w:rsidRDefault="00000000">
                        <w:r>
                          <w:rPr>
                            <w:rFonts w:ascii="Arial" w:eastAsia="Arial" w:hAnsi="Arial" w:cs="Arial"/>
                            <w:i/>
                            <w:sz w:val="18"/>
                          </w:rPr>
                          <w:t xml:space="preserve">articolo 58 D.lgs. n. </w:t>
                        </w:r>
                      </w:p>
                    </w:txbxContent>
                  </v:textbox>
                </v:rect>
                <v:rect id="Rectangle 15131" o:spid="_x0000_s1801" style="position:absolute;left:8221;top:6934;width:190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B1UxAAAAN4AAAAPAAAAZHJzL2Rvd25yZXYueG1sRE9Na8JA&#10;EL0X/A/LCN7qJpYWia4iijQHL7UKHofsmESzs0t2NdFf3y0UepvH+5z5sjeNuFPra8sK0nECgriw&#10;uuZSweF7+zoF4QOyxsYyKXiQh+Vi8DLHTNuOv+i+D6WIIewzVFCF4DIpfVGRQT+2jjhyZ9saDBG2&#10;pdQtdjHcNHKSJB/SYM2xoUJH64qK6/5mFJw27PJtJ4vzc+12l3zafN4OR6VGw341AxGoD//iP3eu&#10;4/z39C2F33fiDXLxAwAA//8DAFBLAQItABQABgAIAAAAIQDb4fbL7gAAAIUBAAATAAAAAAAAAAAA&#10;AAAAAAAAAABbQ29udGVudF9UeXBlc10ueG1sUEsBAi0AFAAGAAgAAAAhAFr0LFu/AAAAFQEAAAsA&#10;AAAAAAAAAAAAAAAAHwEAAF9yZWxzLy5yZWxzUEsBAi0AFAAGAAgAAAAhAPlwHVTEAAAA3gAAAA8A&#10;AAAAAAAAAAAAAAAABwIAAGRycy9kb3ducmV2LnhtbFBLBQYAAAAAAwADALcAAAD4AgAAAAA=&#10;" filled="f" stroked="f">
                  <v:textbox inset="0,0,0,0">
                    <w:txbxContent>
                      <w:p w14:paraId="2961A6E3" w14:textId="77777777" w:rsidR="00B32EF2" w:rsidRDefault="00000000">
                        <w:r>
                          <w:rPr>
                            <w:rFonts w:ascii="Arial" w:eastAsia="Arial" w:hAnsi="Arial" w:cs="Arial"/>
                            <w:b/>
                            <w:sz w:val="18"/>
                          </w:rPr>
                          <w:t>Nuove prove in appello (1)</w:t>
                        </w:r>
                      </w:p>
                    </w:txbxContent>
                  </v:textbox>
                </v:rect>
                <v:rect id="Rectangle 199937" o:spid="_x0000_s1802" style="position:absolute;left:26111;top:570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boxQAAAN8AAAAPAAAAZHJzL2Rvd25yZXYueG1sRE/LasJA&#10;FN0X/IfhCu7qRIXWpI4iijQLN/UBXV4y1yRt5s6QGU3ar3cKBZeH816setOIG7W+tqxgMk5AEBdW&#10;11wqOB13z3MQPiBrbCyTgh/ysFoOnhaYadvxB90OoRQxhH2GCqoQXCalLyoy6MfWEUfuYluDIcK2&#10;lLrFLoabRk6T5EUarDk2VOhoU1HxfbgaBZ9bdvmuk8Xld+P2X/m8eb+ezkqNhv36DUSgPjzE/+5c&#10;x/lpms5e4e9PBCCXdwAAAP//AwBQSwECLQAUAAYACAAAACEA2+H2y+4AAACFAQAAEwAAAAAAAAAA&#10;AAAAAAAAAAAAW0NvbnRlbnRfVHlwZXNdLnhtbFBLAQItABQABgAIAAAAIQBa9CxbvwAAABUBAAAL&#10;AAAAAAAAAAAAAAAAAB8BAABfcmVscy8ucmVsc1BLAQItABQABgAIAAAAIQBrVlboxQAAAN8AAAAP&#10;AAAAAAAAAAAAAAAAAAcCAABkcnMvZG93bnJldi54bWxQSwUGAAAAAAMAAwC3AAAA+QIAAAAA&#10;" filled="f" stroked="f">
                  <v:textbox inset="0,0,0,0">
                    <w:txbxContent>
                      <w:p w14:paraId="5C10A341" w14:textId="77777777" w:rsidR="00B32EF2" w:rsidRDefault="00000000">
                        <w:r>
                          <w:rPr>
                            <w:rFonts w:ascii="Arial" w:eastAsia="Arial" w:hAnsi="Arial" w:cs="Arial"/>
                            <w:sz w:val="18"/>
                          </w:rPr>
                          <w:t>1</w:t>
                        </w:r>
                      </w:p>
                    </w:txbxContent>
                  </v:textbox>
                </v:rect>
                <v:rect id="Rectangle 199938" o:spid="_x0000_s1803" style="position:absolute;left:-13761;top:570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KaxQAAAN8AAAAPAAAAZHJzL2Rvd25yZXYueG1sRE9Na8JA&#10;EL0X/A/LCL3VjS0Uk7qKKNIceqla6HHIjklqdnbJribtr+8cCj0+3vdyPbpO3aiPrWcD81kGirjy&#10;tuXawOm4f1iAignZYueZDHxThPVqcrfEwvqB3+l2SLWSEI4FGmhSCoXWsWrIYZz5QCzc2fcOk8C+&#10;1rbHQcJdpx+z7Fk7bFkaGgy0bai6HK7OwOeOQ7kfdHX+2Ya3r3LRvV5PH8bcT8fNC6hEY/oX/7lL&#10;K/PzPH+SwfJHAOjVLwAAAP//AwBQSwECLQAUAAYACAAAACEA2+H2y+4AAACFAQAAEwAAAAAAAAAA&#10;AAAAAAAAAAAAW0NvbnRlbnRfVHlwZXNdLnhtbFBLAQItABQABgAIAAAAIQBa9CxbvwAAABUBAAAL&#10;AAAAAAAAAAAAAAAAAB8BAABfcmVscy8ucmVsc1BLAQItABQABgAIAAAAIQAaycKaxQAAAN8AAAAP&#10;AAAAAAAAAAAAAAAAAAcCAABkcnMvZG93bnJldi54bWxQSwUGAAAAAAMAAwC3AAAA+QIAAAAA&#10;" filled="f" stroked="f">
                  <v:textbox inset="0,0,0,0">
                    <w:txbxContent>
                      <w:p w14:paraId="7AB6CEB9" w14:textId="77777777" w:rsidR="00B32EF2" w:rsidRDefault="00000000">
                        <w:r>
                          <w:rPr>
                            <w:rFonts w:ascii="Arial" w:eastAsia="Arial" w:hAnsi="Arial" w:cs="Arial"/>
                            <w:sz w:val="18"/>
                          </w:rPr>
                          <w:t xml:space="preserve">. Non sono ammessi nuovi mezzi di prova e non possono essere prodotti </w:t>
                        </w:r>
                      </w:p>
                    </w:txbxContent>
                  </v:textbox>
                </v:rect>
                <v:rect id="Rectangle 15133" o:spid="_x0000_s1804" style="position:absolute;left:-12190;top:4467;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a4xAAAAN4AAAAPAAAAZHJzL2Rvd25yZXYueG1sRE9Li8Iw&#10;EL4L+x/CLHjT1JUVqUZZXGR78LI+wOPQjG21mYQm2uqv3ywI3ubje8582Zla3KjxlWUFo2ECgji3&#10;uuJCwX63HkxB+ICssbZMCu7kYbl4680x1bblX7ptQyFiCPsUFZQhuFRKn5dk0A+tI47cyTYGQ4RN&#10;IXWDbQw3tfxIkok0WHFsKNHRqqT8sr0aBcdvdtm6lfnpsXKbczatf677g1L99+5rBiJQF17ipzvT&#10;cf7naDyG/3fiDXLxBwAA//8DAFBLAQItABQABgAIAAAAIQDb4fbL7gAAAIUBAAATAAAAAAAAAAAA&#10;AAAAAAAAAABbQ29udGVudF9UeXBlc10ueG1sUEsBAi0AFAAGAAgAAAAhAFr0LFu/AAAAFQEAAAsA&#10;AAAAAAAAAAAAAAAAHwEAAF9yZWxzLy5yZWxzUEsBAi0AFAAGAAgAAAAhAGbuJrjEAAAA3gAAAA8A&#10;AAAAAAAAAAAAAAAABwIAAGRycy9kb3ducmV2LnhtbFBLBQYAAAAAAwADALcAAAD4AgAAAAA=&#10;" filled="f" stroked="f">
                  <v:textbox inset="0,0,0,0">
                    <w:txbxContent>
                      <w:p w14:paraId="0662FC3D" w14:textId="77777777" w:rsidR="00B32EF2" w:rsidRDefault="00000000">
                        <w:r>
                          <w:rPr>
                            <w:rFonts w:ascii="Arial" w:eastAsia="Arial" w:hAnsi="Arial" w:cs="Arial"/>
                            <w:sz w:val="18"/>
                          </w:rPr>
                          <w:t>nuovi documenti, salvo che il collegio li ritenga indispensabili ai fini della de</w:t>
                        </w:r>
                      </w:p>
                    </w:txbxContent>
                  </v:textbox>
                </v:rect>
                <v:rect id="Rectangle 15134" o:spid="_x0000_s1805" style="position:absolute;left:193;top:446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77MxQAAAN4AAAAPAAAAZHJzL2Rvd25yZXYueG1sRE9La8JA&#10;EL4X/A/LCN7qxlpFoquIRZpDL/UBHofsmESzs0t2NWl/fbcgeJuP7zmLVWdqcafGV5YVjIYJCOLc&#10;6ooLBYf99nUGwgdkjbVlUvBDHlbL3ssCU21b/qb7LhQihrBPUUEZgkul9HlJBv3QOuLInW1jMETY&#10;FFI32MZwU8u3JJlKgxXHhhIdbUrKr7ubUXD6YJdtW5mffzfu65LN6s/b4ajUoN+t5yACdeEpfrgz&#10;HedPRuN3+H8n3iCXfwAAAP//AwBQSwECLQAUAAYACAAAACEA2+H2y+4AAACFAQAAEwAAAAAAAAAA&#10;AAAAAAAAAAAAW0NvbnRlbnRfVHlwZXNdLnhtbFBLAQItABQABgAIAAAAIQBa9CxbvwAAABUBAAAL&#10;AAAAAAAAAAAAAAAAAB8BAABfcmVscy8ucmVsc1BLAQItABQABgAIAAAAIQDpB77MxQAAAN4AAAAP&#10;AAAAAAAAAAAAAAAAAAcCAABkcnMvZG93bnJldi54bWxQSwUGAAAAAAMAAwC3AAAA+QIAAAAA&#10;" filled="f" stroked="f">
                  <v:textbox inset="0,0,0,0">
                    <w:txbxContent>
                      <w:p w14:paraId="4D7FC1D7" w14:textId="77777777" w:rsidR="00B32EF2" w:rsidRDefault="00000000">
                        <w:r>
                          <w:rPr>
                            <w:rFonts w:ascii="Arial" w:eastAsia="Arial" w:hAnsi="Arial" w:cs="Arial"/>
                            <w:sz w:val="18"/>
                          </w:rPr>
                          <w:t>-</w:t>
                        </w:r>
                      </w:p>
                    </w:txbxContent>
                  </v:textbox>
                </v:rect>
                <w10:anchorlock/>
              </v:group>
            </w:pict>
          </mc:Fallback>
        </mc:AlternateContent>
      </w:r>
    </w:p>
    <w:p w14:paraId="52F24112" w14:textId="77777777" w:rsidR="00B32EF2" w:rsidRDefault="00000000">
      <w:pPr>
        <w:spacing w:after="0"/>
        <w:ind w:left="-356" w:right="-306"/>
      </w:pPr>
      <w:r>
        <w:rPr>
          <w:noProof/>
        </w:rPr>
        <w:lastRenderedPageBreak/>
        <mc:AlternateContent>
          <mc:Choice Requires="wpg">
            <w:drawing>
              <wp:inline distT="0" distB="0" distL="0" distR="0" wp14:anchorId="1134EB1D" wp14:editId="362C604C">
                <wp:extent cx="3991787" cy="6256497"/>
                <wp:effectExtent l="0" t="0" r="0" b="0"/>
                <wp:docPr id="200120" name="Group 200120"/>
                <wp:cNvGraphicFramePr/>
                <a:graphic xmlns:a="http://schemas.openxmlformats.org/drawingml/2006/main">
                  <a:graphicData uri="http://schemas.microsoft.com/office/word/2010/wordprocessingGroup">
                    <wpg:wgp>
                      <wpg:cNvGrpSpPr/>
                      <wpg:grpSpPr>
                        <a:xfrm>
                          <a:off x="0" y="0"/>
                          <a:ext cx="3991787" cy="6256497"/>
                          <a:chOff x="0" y="0"/>
                          <a:chExt cx="3991787" cy="6256497"/>
                        </a:xfrm>
                      </wpg:grpSpPr>
                      <wps:wsp>
                        <wps:cNvPr id="15218" name="Rectangle 15218"/>
                        <wps:cNvSpPr/>
                        <wps:spPr>
                          <a:xfrm rot="-10799999">
                            <a:off x="1900473" y="-62190"/>
                            <a:ext cx="178369" cy="250646"/>
                          </a:xfrm>
                          <a:prstGeom prst="rect">
                            <a:avLst/>
                          </a:prstGeom>
                          <a:ln>
                            <a:noFill/>
                          </a:ln>
                        </wps:spPr>
                        <wps:txbx>
                          <w:txbxContent>
                            <w:p w14:paraId="56D31536" w14:textId="77777777" w:rsidR="00B32EF2" w:rsidRDefault="00000000">
                              <w:r>
                                <w:rPr>
                                  <w:rFonts w:ascii="Times New Roman" w:eastAsia="Times New Roman" w:hAnsi="Times New Roman" w:cs="Times New Roman"/>
                                </w:rPr>
                                <w:t>94</w:t>
                              </w:r>
                            </w:p>
                          </w:txbxContent>
                        </wps:txbx>
                        <wps:bodyPr horzOverflow="overflow" vert="horz" lIns="0" tIns="0" rIns="0" bIns="0" rtlCol="0">
                          <a:noAutofit/>
                        </wps:bodyPr>
                      </wps:wsp>
                      <wps:wsp>
                        <wps:cNvPr id="15219" name="Rectangle 15219"/>
                        <wps:cNvSpPr/>
                        <wps:spPr>
                          <a:xfrm rot="-10799999">
                            <a:off x="1504446" y="4393081"/>
                            <a:ext cx="812952" cy="142889"/>
                          </a:xfrm>
                          <a:prstGeom prst="rect">
                            <a:avLst/>
                          </a:prstGeom>
                          <a:ln>
                            <a:noFill/>
                          </a:ln>
                        </wps:spPr>
                        <wps:txbx>
                          <w:txbxContent>
                            <w:p w14:paraId="3D0F6968" w14:textId="77777777" w:rsidR="00B32EF2" w:rsidRDefault="00000000">
                              <w:r>
                                <w:rPr>
                                  <w:rFonts w:ascii="Arial" w:eastAsia="Arial" w:hAnsi="Arial" w:cs="Arial"/>
                                  <w:b/>
                                  <w:sz w:val="18"/>
                                </w:rPr>
                                <w:t>SEZIONE II</w:t>
                              </w:r>
                            </w:p>
                          </w:txbxContent>
                        </wps:txbx>
                        <wps:bodyPr horzOverflow="overflow" vert="horz" lIns="0" tIns="0" rIns="0" bIns="0" rtlCol="0">
                          <a:noAutofit/>
                        </wps:bodyPr>
                      </wps:wsp>
                      <wps:wsp>
                        <wps:cNvPr id="15220" name="Rectangle 15220"/>
                        <wps:cNvSpPr/>
                        <wps:spPr>
                          <a:xfrm rot="-10799999">
                            <a:off x="-343001" y="4146422"/>
                            <a:ext cx="3773340" cy="142889"/>
                          </a:xfrm>
                          <a:prstGeom prst="rect">
                            <a:avLst/>
                          </a:prstGeom>
                          <a:ln>
                            <a:noFill/>
                          </a:ln>
                        </wps:spPr>
                        <wps:txbx>
                          <w:txbxContent>
                            <w:p w14:paraId="542739BA" w14:textId="77777777" w:rsidR="00B32EF2" w:rsidRDefault="00000000">
                              <w:r>
                                <w:rPr>
                                  <w:rFonts w:ascii="Arial" w:eastAsia="Arial" w:hAnsi="Arial" w:cs="Arial"/>
                                  <w:b/>
                                  <w:sz w:val="18"/>
                                </w:rPr>
                                <w:t>IL GIUDIZIO DI APPELLO DAVANTI ALLA CORTE DI</w:t>
                              </w:r>
                            </w:p>
                          </w:txbxContent>
                        </wps:txbx>
                        <wps:bodyPr horzOverflow="overflow" vert="horz" lIns="0" tIns="0" rIns="0" bIns="0" rtlCol="0">
                          <a:noAutofit/>
                        </wps:bodyPr>
                      </wps:wsp>
                      <wps:wsp>
                        <wps:cNvPr id="15221" name="Rectangle 15221"/>
                        <wps:cNvSpPr/>
                        <wps:spPr>
                          <a:xfrm rot="-10799999">
                            <a:off x="-100713" y="4023092"/>
                            <a:ext cx="3385204" cy="142889"/>
                          </a:xfrm>
                          <a:prstGeom prst="rect">
                            <a:avLst/>
                          </a:prstGeom>
                          <a:ln>
                            <a:noFill/>
                          </a:ln>
                        </wps:spPr>
                        <wps:txbx>
                          <w:txbxContent>
                            <w:p w14:paraId="1640E129" w14:textId="77777777" w:rsidR="00B32EF2" w:rsidRDefault="00000000">
                              <w:r>
                                <w:rPr>
                                  <w:rFonts w:ascii="Arial" w:eastAsia="Arial" w:hAnsi="Arial" w:cs="Arial"/>
                                  <w:b/>
                                  <w:sz w:val="18"/>
                                </w:rPr>
                                <w:t>GIUSTIZIA TRIBUTARIA DI SECONDO GRADO</w:t>
                              </w:r>
                            </w:p>
                          </w:txbxContent>
                        </wps:txbx>
                        <wps:bodyPr horzOverflow="overflow" vert="horz" lIns="0" tIns="0" rIns="0" bIns="0" rtlCol="0">
                          <a:noAutofit/>
                        </wps:bodyPr>
                      </wps:wsp>
                      <wps:wsp>
                        <wps:cNvPr id="15222" name="Rectangle 15222"/>
                        <wps:cNvSpPr/>
                        <wps:spPr>
                          <a:xfrm rot="-10799999">
                            <a:off x="1456193" y="3776433"/>
                            <a:ext cx="890466" cy="142889"/>
                          </a:xfrm>
                          <a:prstGeom prst="rect">
                            <a:avLst/>
                          </a:prstGeom>
                          <a:ln>
                            <a:noFill/>
                          </a:ln>
                        </wps:spPr>
                        <wps:txbx>
                          <w:txbxContent>
                            <w:p w14:paraId="7C3C21BB" w14:textId="77777777" w:rsidR="00B32EF2" w:rsidRDefault="00000000">
                              <w:r>
                                <w:rPr>
                                  <w:rFonts w:ascii="Arial" w:eastAsia="Arial" w:hAnsi="Arial" w:cs="Arial"/>
                                  <w:b/>
                                  <w:sz w:val="18"/>
                                </w:rPr>
                                <w:t>Articolo 106</w:t>
                              </w:r>
                            </w:p>
                          </w:txbxContent>
                        </wps:txbx>
                        <wps:bodyPr horzOverflow="overflow" vert="horz" lIns="0" tIns="0" rIns="0" bIns="0" rtlCol="0">
                          <a:noAutofit/>
                        </wps:bodyPr>
                      </wps:wsp>
                      <wps:wsp>
                        <wps:cNvPr id="199989" name="Rectangle 199989"/>
                        <wps:cNvSpPr/>
                        <wps:spPr>
                          <a:xfrm rot="-10799999">
                            <a:off x="2221888" y="3653103"/>
                            <a:ext cx="1940599" cy="142889"/>
                          </a:xfrm>
                          <a:prstGeom prst="rect">
                            <a:avLst/>
                          </a:prstGeom>
                          <a:ln>
                            <a:noFill/>
                          </a:ln>
                        </wps:spPr>
                        <wps:txbx>
                          <w:txbxContent>
                            <w:p w14:paraId="1D61F39F"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9990" name="Rectangle 199990"/>
                        <wps:cNvSpPr/>
                        <wps:spPr>
                          <a:xfrm rot="-10799999">
                            <a:off x="-259885" y="3653103"/>
                            <a:ext cx="1940598" cy="142889"/>
                          </a:xfrm>
                          <a:prstGeom prst="rect">
                            <a:avLst/>
                          </a:prstGeom>
                          <a:ln>
                            <a:noFill/>
                          </a:ln>
                        </wps:spPr>
                        <wps:txbx>
                          <w:txbxContent>
                            <w:p w14:paraId="143D9A1E"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991" name="Rectangle 199991"/>
                        <wps:cNvSpPr/>
                        <wps:spPr>
                          <a:xfrm rot="-10799999">
                            <a:off x="1164052" y="3653103"/>
                            <a:ext cx="1940599" cy="142889"/>
                          </a:xfrm>
                          <a:prstGeom prst="rect">
                            <a:avLst/>
                          </a:prstGeom>
                          <a:ln>
                            <a:noFill/>
                          </a:ln>
                        </wps:spPr>
                        <wps:txbx>
                          <w:txbxContent>
                            <w:p w14:paraId="4465D692" w14:textId="77777777" w:rsidR="00B32EF2" w:rsidRDefault="00000000">
                              <w:r>
                                <w:rPr>
                                  <w:rFonts w:ascii="Arial" w:eastAsia="Arial" w:hAnsi="Arial" w:cs="Arial"/>
                                  <w:i/>
                                  <w:sz w:val="18"/>
                                </w:rPr>
                                <w:t xml:space="preserve">articolo 52 D.lgs. n. </w:t>
                              </w:r>
                            </w:p>
                          </w:txbxContent>
                        </wps:txbx>
                        <wps:bodyPr horzOverflow="overflow" vert="horz" lIns="0" tIns="0" rIns="0" bIns="0" rtlCol="0">
                          <a:noAutofit/>
                        </wps:bodyPr>
                      </wps:wsp>
                      <wps:wsp>
                        <wps:cNvPr id="15224" name="Rectangle 15224"/>
                        <wps:cNvSpPr/>
                        <wps:spPr>
                          <a:xfrm rot="-10799999">
                            <a:off x="-1126766" y="3529773"/>
                            <a:ext cx="5003903" cy="142889"/>
                          </a:xfrm>
                          <a:prstGeom prst="rect">
                            <a:avLst/>
                          </a:prstGeom>
                          <a:ln>
                            <a:noFill/>
                          </a:ln>
                        </wps:spPr>
                        <wps:txbx>
                          <w:txbxContent>
                            <w:p w14:paraId="2BAE7DA9" w14:textId="77777777" w:rsidR="00B32EF2" w:rsidRDefault="00000000">
                              <w:r>
                                <w:rPr>
                                  <w:rFonts w:ascii="Arial" w:eastAsia="Arial" w:hAnsi="Arial" w:cs="Arial"/>
                                  <w:b/>
                                  <w:sz w:val="18"/>
                                </w:rPr>
                                <w:t xml:space="preserve">Giudice competente e provvedimenti sull’esecuzione provvisoria in </w:t>
                              </w:r>
                            </w:p>
                          </w:txbxContent>
                        </wps:txbx>
                        <wps:bodyPr horzOverflow="overflow" vert="horz" lIns="0" tIns="0" rIns="0" bIns="0" rtlCol="0">
                          <a:noAutofit/>
                        </wps:bodyPr>
                      </wps:wsp>
                      <wps:wsp>
                        <wps:cNvPr id="15225" name="Rectangle 15225"/>
                        <wps:cNvSpPr/>
                        <wps:spPr>
                          <a:xfrm rot="-10799999">
                            <a:off x="1629579" y="3406444"/>
                            <a:ext cx="587006" cy="142889"/>
                          </a:xfrm>
                          <a:prstGeom prst="rect">
                            <a:avLst/>
                          </a:prstGeom>
                          <a:ln>
                            <a:noFill/>
                          </a:ln>
                        </wps:spPr>
                        <wps:txbx>
                          <w:txbxContent>
                            <w:p w14:paraId="033075E1" w14:textId="77777777" w:rsidR="00B32EF2" w:rsidRDefault="00000000">
                              <w:r>
                                <w:rPr>
                                  <w:rFonts w:ascii="Arial" w:eastAsia="Arial" w:hAnsi="Arial" w:cs="Arial"/>
                                  <w:b/>
                                  <w:sz w:val="18"/>
                                </w:rPr>
                                <w:t xml:space="preserve">appello </w:t>
                              </w:r>
                            </w:p>
                          </w:txbxContent>
                        </wps:txbx>
                        <wps:bodyPr horzOverflow="overflow" vert="horz" lIns="0" tIns="0" rIns="0" bIns="0" rtlCol="0">
                          <a:noAutofit/>
                        </wps:bodyPr>
                      </wps:wsp>
                      <wps:wsp>
                        <wps:cNvPr id="199987" name="Rectangle 199987"/>
                        <wps:cNvSpPr/>
                        <wps:spPr>
                          <a:xfrm rot="-10799999">
                            <a:off x="2635342" y="3283114"/>
                            <a:ext cx="5210725" cy="142889"/>
                          </a:xfrm>
                          <a:prstGeom prst="rect">
                            <a:avLst/>
                          </a:prstGeom>
                          <a:ln>
                            <a:noFill/>
                          </a:ln>
                        </wps:spPr>
                        <wps:txbx>
                          <w:txbxContent>
                            <w:p w14:paraId="7115AD98"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9988" name="Rectangle 199988"/>
                        <wps:cNvSpPr/>
                        <wps:spPr>
                          <a:xfrm rot="-10799999">
                            <a:off x="-1278129" y="3283114"/>
                            <a:ext cx="5210725" cy="142889"/>
                          </a:xfrm>
                          <a:prstGeom prst="rect">
                            <a:avLst/>
                          </a:prstGeom>
                          <a:ln>
                            <a:noFill/>
                          </a:ln>
                        </wps:spPr>
                        <wps:txbx>
                          <w:txbxContent>
                            <w:p w14:paraId="1FC99602" w14:textId="77777777" w:rsidR="00B32EF2" w:rsidRDefault="00000000">
                              <w:r>
                                <w:rPr>
                                  <w:rFonts w:ascii="Arial" w:eastAsia="Arial" w:hAnsi="Arial" w:cs="Arial"/>
                                  <w:sz w:val="18"/>
                                </w:rPr>
                                <w:t>. La sentenza della corte di giustizia tributaria di primo grado può essere ap</w:t>
                              </w:r>
                            </w:p>
                          </w:txbxContent>
                        </wps:txbx>
                        <wps:bodyPr horzOverflow="overflow" vert="horz" lIns="0" tIns="0" rIns="0" bIns="0" rtlCol="0">
                          <a:noAutofit/>
                        </wps:bodyPr>
                      </wps:wsp>
                      <wps:wsp>
                        <wps:cNvPr id="15227" name="Rectangle 15227"/>
                        <wps:cNvSpPr/>
                        <wps:spPr>
                          <a:xfrm rot="-10799999">
                            <a:off x="19181" y="3283114"/>
                            <a:ext cx="50622" cy="142889"/>
                          </a:xfrm>
                          <a:prstGeom prst="rect">
                            <a:avLst/>
                          </a:prstGeom>
                          <a:ln>
                            <a:noFill/>
                          </a:ln>
                        </wps:spPr>
                        <wps:txbx>
                          <w:txbxContent>
                            <w:p w14:paraId="110BB47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228" name="Rectangle 15228"/>
                        <wps:cNvSpPr/>
                        <wps:spPr>
                          <a:xfrm rot="-10799999">
                            <a:off x="-1317210" y="3159784"/>
                            <a:ext cx="5308990" cy="142889"/>
                          </a:xfrm>
                          <a:prstGeom prst="rect">
                            <a:avLst/>
                          </a:prstGeom>
                          <a:ln>
                            <a:noFill/>
                          </a:ln>
                        </wps:spPr>
                        <wps:txbx>
                          <w:txbxContent>
                            <w:p w14:paraId="56DE78B7" w14:textId="77777777" w:rsidR="00B32EF2" w:rsidRDefault="00000000">
                              <w:r>
                                <w:rPr>
                                  <w:rFonts w:ascii="Arial" w:eastAsia="Arial" w:hAnsi="Arial" w:cs="Arial"/>
                                  <w:sz w:val="18"/>
                                </w:rPr>
                                <w:t xml:space="preserve">pellata alla corte di giustizia tributaria di secondo grado competente a norma </w:t>
                              </w:r>
                            </w:p>
                          </w:txbxContent>
                        </wps:txbx>
                        <wps:bodyPr horzOverflow="overflow" vert="horz" lIns="0" tIns="0" rIns="0" bIns="0" rtlCol="0">
                          <a:noAutofit/>
                        </wps:bodyPr>
                      </wps:wsp>
                      <wps:wsp>
                        <wps:cNvPr id="15229" name="Rectangle 15229"/>
                        <wps:cNvSpPr/>
                        <wps:spPr>
                          <a:xfrm rot="-10799999">
                            <a:off x="2241585" y="3036455"/>
                            <a:ext cx="1750195" cy="142889"/>
                          </a:xfrm>
                          <a:prstGeom prst="rect">
                            <a:avLst/>
                          </a:prstGeom>
                          <a:ln>
                            <a:noFill/>
                          </a:ln>
                        </wps:spPr>
                        <wps:txbx>
                          <w:txbxContent>
                            <w:p w14:paraId="71FD77F2" w14:textId="77777777" w:rsidR="00B32EF2" w:rsidRDefault="00000000">
                              <w:r>
                                <w:rPr>
                                  <w:rFonts w:ascii="Arial" w:eastAsia="Arial" w:hAnsi="Arial" w:cs="Arial"/>
                                  <w:sz w:val="18"/>
                                </w:rPr>
                                <w:t>dell’articolo 48, comma 2.</w:t>
                              </w:r>
                            </w:p>
                          </w:txbxContent>
                        </wps:txbx>
                        <wps:bodyPr horzOverflow="overflow" vert="horz" lIns="0" tIns="0" rIns="0" bIns="0" rtlCol="0">
                          <a:noAutofit/>
                        </wps:bodyPr>
                      </wps:wsp>
                      <wps:wsp>
                        <wps:cNvPr id="199986" name="Rectangle 199986"/>
                        <wps:cNvSpPr/>
                        <wps:spPr>
                          <a:xfrm rot="-10799999">
                            <a:off x="-1381797" y="2913125"/>
                            <a:ext cx="5309021" cy="142889"/>
                          </a:xfrm>
                          <a:prstGeom prst="rect">
                            <a:avLst/>
                          </a:prstGeom>
                          <a:ln>
                            <a:noFill/>
                          </a:ln>
                        </wps:spPr>
                        <wps:txbx>
                          <w:txbxContent>
                            <w:p w14:paraId="33153471" w14:textId="77777777" w:rsidR="00B32EF2" w:rsidRDefault="00000000">
                              <w:r>
                                <w:rPr>
                                  <w:rFonts w:ascii="Arial" w:eastAsia="Arial" w:hAnsi="Arial" w:cs="Arial"/>
                                  <w:sz w:val="18"/>
                                </w:rPr>
                                <w:t xml:space="preserve">. L’appellante può chiedere alla corte di giustizia tributaria di secondo grado </w:t>
                              </w:r>
                            </w:p>
                          </w:txbxContent>
                        </wps:txbx>
                        <wps:bodyPr horzOverflow="overflow" vert="horz" lIns="0" tIns="0" rIns="0" bIns="0" rtlCol="0">
                          <a:noAutofit/>
                        </wps:bodyPr>
                      </wps:wsp>
                      <wps:wsp>
                        <wps:cNvPr id="199985" name="Rectangle 199985"/>
                        <wps:cNvSpPr/>
                        <wps:spPr>
                          <a:xfrm rot="-10799999">
                            <a:off x="2610953" y="2913125"/>
                            <a:ext cx="5309020" cy="142889"/>
                          </a:xfrm>
                          <a:prstGeom prst="rect">
                            <a:avLst/>
                          </a:prstGeom>
                          <a:ln>
                            <a:noFill/>
                          </a:ln>
                        </wps:spPr>
                        <wps:txbx>
                          <w:txbxContent>
                            <w:p w14:paraId="6D05B7AA"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5231" name="Rectangle 15231"/>
                        <wps:cNvSpPr/>
                        <wps:spPr>
                          <a:xfrm rot="-10799999">
                            <a:off x="-1317256" y="2789795"/>
                            <a:ext cx="5309035" cy="142889"/>
                          </a:xfrm>
                          <a:prstGeom prst="rect">
                            <a:avLst/>
                          </a:prstGeom>
                          <a:ln>
                            <a:noFill/>
                          </a:ln>
                        </wps:spPr>
                        <wps:txbx>
                          <w:txbxContent>
                            <w:p w14:paraId="08043B31" w14:textId="77777777" w:rsidR="00B32EF2" w:rsidRDefault="00000000">
                              <w:r>
                                <w:rPr>
                                  <w:rFonts w:ascii="Arial" w:eastAsia="Arial" w:hAnsi="Arial" w:cs="Arial"/>
                                  <w:sz w:val="18"/>
                                </w:rPr>
                                <w:t xml:space="preserve">di sospendere in tutto o in parte l’esecutività della sentenza impugnata, se </w:t>
                              </w:r>
                            </w:p>
                          </w:txbxContent>
                        </wps:txbx>
                        <wps:bodyPr horzOverflow="overflow" vert="horz" lIns="0" tIns="0" rIns="0" bIns="0" rtlCol="0">
                          <a:noAutofit/>
                        </wps:bodyPr>
                      </wps:wsp>
                      <wps:wsp>
                        <wps:cNvPr id="15232" name="Rectangle 15232"/>
                        <wps:cNvSpPr/>
                        <wps:spPr>
                          <a:xfrm rot="-10799999">
                            <a:off x="1773441" y="2666466"/>
                            <a:ext cx="2218337" cy="142889"/>
                          </a:xfrm>
                          <a:prstGeom prst="rect">
                            <a:avLst/>
                          </a:prstGeom>
                          <a:ln>
                            <a:noFill/>
                          </a:ln>
                        </wps:spPr>
                        <wps:txbx>
                          <w:txbxContent>
                            <w:p w14:paraId="597B77A1" w14:textId="77777777" w:rsidR="00B32EF2" w:rsidRDefault="00000000">
                              <w:r>
                                <w:rPr>
                                  <w:rFonts w:ascii="Arial" w:eastAsia="Arial" w:hAnsi="Arial" w:cs="Arial"/>
                                  <w:sz w:val="18"/>
                                </w:rPr>
                                <w:t>sussistono gravi e fondati motivi.</w:t>
                              </w:r>
                            </w:p>
                          </w:txbxContent>
                        </wps:txbx>
                        <wps:bodyPr horzOverflow="overflow" vert="horz" lIns="0" tIns="0" rIns="0" bIns="0" rtlCol="0">
                          <a:noAutofit/>
                        </wps:bodyPr>
                      </wps:wsp>
                      <wps:wsp>
                        <wps:cNvPr id="199983" name="Rectangle 199983"/>
                        <wps:cNvSpPr/>
                        <wps:spPr>
                          <a:xfrm rot="-10799999">
                            <a:off x="2610950" y="2543136"/>
                            <a:ext cx="5309035" cy="142889"/>
                          </a:xfrm>
                          <a:prstGeom prst="rect">
                            <a:avLst/>
                          </a:prstGeom>
                          <a:ln>
                            <a:noFill/>
                          </a:ln>
                        </wps:spPr>
                        <wps:txbx>
                          <w:txbxContent>
                            <w:p w14:paraId="28D3EDA5"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99984" name="Rectangle 199984"/>
                        <wps:cNvSpPr/>
                        <wps:spPr>
                          <a:xfrm rot="-10799999">
                            <a:off x="-1381778" y="2543136"/>
                            <a:ext cx="5309035" cy="142889"/>
                          </a:xfrm>
                          <a:prstGeom prst="rect">
                            <a:avLst/>
                          </a:prstGeom>
                          <a:ln>
                            <a:noFill/>
                          </a:ln>
                        </wps:spPr>
                        <wps:txbx>
                          <w:txbxContent>
                            <w:p w14:paraId="5DE2814D" w14:textId="77777777" w:rsidR="00B32EF2" w:rsidRDefault="00000000">
                              <w:r>
                                <w:rPr>
                                  <w:rFonts w:ascii="Arial" w:eastAsia="Arial" w:hAnsi="Arial" w:cs="Arial"/>
                                  <w:sz w:val="18"/>
                                </w:rPr>
                                <w:t xml:space="preserve">. Il presidente fissa con decreto la trattazione della istanza di sospensione </w:t>
                              </w:r>
                            </w:p>
                          </w:txbxContent>
                        </wps:txbx>
                        <wps:bodyPr horzOverflow="overflow" vert="horz" lIns="0" tIns="0" rIns="0" bIns="0" rtlCol="0">
                          <a:noAutofit/>
                        </wps:bodyPr>
                      </wps:wsp>
                      <wps:wsp>
                        <wps:cNvPr id="15234" name="Rectangle 15234"/>
                        <wps:cNvSpPr/>
                        <wps:spPr>
                          <a:xfrm rot="-10799999">
                            <a:off x="-1230137" y="2419806"/>
                            <a:ext cx="5223176" cy="142889"/>
                          </a:xfrm>
                          <a:prstGeom prst="rect">
                            <a:avLst/>
                          </a:prstGeom>
                          <a:ln>
                            <a:noFill/>
                          </a:ln>
                        </wps:spPr>
                        <wps:txbx>
                          <w:txbxContent>
                            <w:p w14:paraId="40A5FF0C" w14:textId="77777777" w:rsidR="00B32EF2" w:rsidRDefault="00000000">
                              <w:r>
                                <w:rPr>
                                  <w:rFonts w:ascii="Arial" w:eastAsia="Arial" w:hAnsi="Arial" w:cs="Arial"/>
                                  <w:sz w:val="18"/>
                                </w:rPr>
                                <w:t>per la prima camera di consiglio utile e comunque non oltre il trentesimo gior</w:t>
                              </w:r>
                            </w:p>
                          </w:txbxContent>
                        </wps:txbx>
                        <wps:bodyPr horzOverflow="overflow" vert="horz" lIns="0" tIns="0" rIns="0" bIns="0" rtlCol="0">
                          <a:noAutofit/>
                        </wps:bodyPr>
                      </wps:wsp>
                      <wps:wsp>
                        <wps:cNvPr id="15235" name="Rectangle 15235"/>
                        <wps:cNvSpPr/>
                        <wps:spPr>
                          <a:xfrm rot="-10799999">
                            <a:off x="19181" y="2419807"/>
                            <a:ext cx="50622" cy="142889"/>
                          </a:xfrm>
                          <a:prstGeom prst="rect">
                            <a:avLst/>
                          </a:prstGeom>
                          <a:ln>
                            <a:noFill/>
                          </a:ln>
                        </wps:spPr>
                        <wps:txbx>
                          <w:txbxContent>
                            <w:p w14:paraId="29B79CD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236" name="Rectangle 15236"/>
                        <wps:cNvSpPr/>
                        <wps:spPr>
                          <a:xfrm rot="-10799999">
                            <a:off x="-1317226" y="2296477"/>
                            <a:ext cx="5309006" cy="142889"/>
                          </a:xfrm>
                          <a:prstGeom prst="rect">
                            <a:avLst/>
                          </a:prstGeom>
                          <a:ln>
                            <a:noFill/>
                          </a:ln>
                        </wps:spPr>
                        <wps:txbx>
                          <w:txbxContent>
                            <w:p w14:paraId="46F40CE0" w14:textId="77777777" w:rsidR="00B32EF2" w:rsidRDefault="00000000">
                              <w:r>
                                <w:rPr>
                                  <w:rFonts w:ascii="Arial" w:eastAsia="Arial" w:hAnsi="Arial" w:cs="Arial"/>
                                  <w:sz w:val="18"/>
                                </w:rPr>
                                <w:t xml:space="preserve">no dalla presentazione della medesima istanza, disponendo che ne sia data </w:t>
                              </w:r>
                            </w:p>
                          </w:txbxContent>
                        </wps:txbx>
                        <wps:bodyPr horzOverflow="overflow" vert="horz" lIns="0" tIns="0" rIns="0" bIns="0" rtlCol="0">
                          <a:noAutofit/>
                        </wps:bodyPr>
                      </wps:wsp>
                      <wps:wsp>
                        <wps:cNvPr id="15237" name="Rectangle 15237"/>
                        <wps:cNvSpPr/>
                        <wps:spPr>
                          <a:xfrm rot="-10799999">
                            <a:off x="-17159" y="2173147"/>
                            <a:ext cx="4008938" cy="142889"/>
                          </a:xfrm>
                          <a:prstGeom prst="rect">
                            <a:avLst/>
                          </a:prstGeom>
                          <a:ln>
                            <a:noFill/>
                          </a:ln>
                        </wps:spPr>
                        <wps:txbx>
                          <w:txbxContent>
                            <w:p w14:paraId="382D398C" w14:textId="77777777" w:rsidR="00B32EF2" w:rsidRDefault="00000000">
                              <w:r>
                                <w:rPr>
                                  <w:rFonts w:ascii="Arial" w:eastAsia="Arial" w:hAnsi="Arial" w:cs="Arial"/>
                                  <w:sz w:val="18"/>
                                </w:rPr>
                                <w:t xml:space="preserve">comunicazione alle parti almeno cinque giorni liberi prima. </w:t>
                              </w:r>
                            </w:p>
                          </w:txbxContent>
                        </wps:txbx>
                        <wps:bodyPr horzOverflow="overflow" vert="horz" lIns="0" tIns="0" rIns="0" bIns="0" rtlCol="0">
                          <a:noAutofit/>
                        </wps:bodyPr>
                      </wps:wsp>
                      <wps:wsp>
                        <wps:cNvPr id="199982" name="Rectangle 199982"/>
                        <wps:cNvSpPr/>
                        <wps:spPr>
                          <a:xfrm rot="-10799999">
                            <a:off x="-1380425" y="2049817"/>
                            <a:ext cx="5309066" cy="142889"/>
                          </a:xfrm>
                          <a:prstGeom prst="rect">
                            <a:avLst/>
                          </a:prstGeom>
                          <a:ln>
                            <a:noFill/>
                          </a:ln>
                        </wps:spPr>
                        <wps:txbx>
                          <w:txbxContent>
                            <w:p w14:paraId="7E8F4B94" w14:textId="77777777" w:rsidR="00B32EF2" w:rsidRDefault="00000000">
                              <w:r>
                                <w:rPr>
                                  <w:rFonts w:ascii="Arial" w:eastAsia="Arial" w:hAnsi="Arial" w:cs="Arial"/>
                                  <w:sz w:val="18"/>
                                </w:rPr>
                                <w:t xml:space="preserve">. In caso di eccezionale urgenza il presidente, previa delibazione del merito, </w:t>
                              </w:r>
                            </w:p>
                          </w:txbxContent>
                        </wps:txbx>
                        <wps:bodyPr horzOverflow="overflow" vert="horz" lIns="0" tIns="0" rIns="0" bIns="0" rtlCol="0">
                          <a:noAutofit/>
                        </wps:bodyPr>
                      </wps:wsp>
                      <wps:wsp>
                        <wps:cNvPr id="199981" name="Rectangle 199981"/>
                        <wps:cNvSpPr/>
                        <wps:spPr>
                          <a:xfrm rot="-10799999">
                            <a:off x="2610942" y="2049818"/>
                            <a:ext cx="5309066" cy="142889"/>
                          </a:xfrm>
                          <a:prstGeom prst="rect">
                            <a:avLst/>
                          </a:prstGeom>
                          <a:ln>
                            <a:noFill/>
                          </a:ln>
                        </wps:spPr>
                        <wps:txbx>
                          <w:txbxContent>
                            <w:p w14:paraId="4E4BAF0C"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5239" name="Rectangle 15239"/>
                        <wps:cNvSpPr/>
                        <wps:spPr>
                          <a:xfrm rot="-10799999">
                            <a:off x="-1220572" y="1926488"/>
                            <a:ext cx="5212351" cy="142889"/>
                          </a:xfrm>
                          <a:prstGeom prst="rect">
                            <a:avLst/>
                          </a:prstGeom>
                          <a:ln>
                            <a:noFill/>
                          </a:ln>
                        </wps:spPr>
                        <wps:txbx>
                          <w:txbxContent>
                            <w:p w14:paraId="05E3D420" w14:textId="77777777" w:rsidR="00B32EF2" w:rsidRDefault="00000000">
                              <w:r>
                                <w:rPr>
                                  <w:rFonts w:ascii="Arial" w:eastAsia="Arial" w:hAnsi="Arial" w:cs="Arial"/>
                                  <w:sz w:val="18"/>
                                </w:rPr>
                                <w:t>può disporre con decreto motivato la sospensione dell’esecutività della sen</w:t>
                              </w:r>
                            </w:p>
                          </w:txbxContent>
                        </wps:txbx>
                        <wps:bodyPr horzOverflow="overflow" vert="horz" lIns="0" tIns="0" rIns="0" bIns="0" rtlCol="0">
                          <a:noAutofit/>
                        </wps:bodyPr>
                      </wps:wsp>
                      <wps:wsp>
                        <wps:cNvPr id="15240" name="Rectangle 15240"/>
                        <wps:cNvSpPr/>
                        <wps:spPr>
                          <a:xfrm rot="-10799999">
                            <a:off x="19181" y="1926488"/>
                            <a:ext cx="50622" cy="142889"/>
                          </a:xfrm>
                          <a:prstGeom prst="rect">
                            <a:avLst/>
                          </a:prstGeom>
                          <a:ln>
                            <a:noFill/>
                          </a:ln>
                        </wps:spPr>
                        <wps:txbx>
                          <w:txbxContent>
                            <w:p w14:paraId="0AF8939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241" name="Rectangle 15241"/>
                        <wps:cNvSpPr/>
                        <wps:spPr>
                          <a:xfrm rot="-10799999">
                            <a:off x="1426353" y="1803158"/>
                            <a:ext cx="2565427" cy="142889"/>
                          </a:xfrm>
                          <a:prstGeom prst="rect">
                            <a:avLst/>
                          </a:prstGeom>
                          <a:ln>
                            <a:noFill/>
                          </a:ln>
                        </wps:spPr>
                        <wps:txbx>
                          <w:txbxContent>
                            <w:p w14:paraId="20A754AD" w14:textId="77777777" w:rsidR="00B32EF2" w:rsidRDefault="00000000">
                              <w:r>
                                <w:rPr>
                                  <w:rFonts w:ascii="Arial" w:eastAsia="Arial" w:hAnsi="Arial" w:cs="Arial"/>
                                  <w:sz w:val="18"/>
                                </w:rPr>
                                <w:t xml:space="preserve">tenza fino alla pronuncia del collegio. </w:t>
                              </w:r>
                            </w:p>
                          </w:txbxContent>
                        </wps:txbx>
                        <wps:bodyPr horzOverflow="overflow" vert="horz" lIns="0" tIns="0" rIns="0" bIns="0" rtlCol="0">
                          <a:noAutofit/>
                        </wps:bodyPr>
                      </wps:wsp>
                      <wps:wsp>
                        <wps:cNvPr id="199980" name="Rectangle 199980"/>
                        <wps:cNvSpPr/>
                        <wps:spPr>
                          <a:xfrm rot="-10799999">
                            <a:off x="-1283629" y="1679828"/>
                            <a:ext cx="5211013" cy="142889"/>
                          </a:xfrm>
                          <a:prstGeom prst="rect">
                            <a:avLst/>
                          </a:prstGeom>
                          <a:ln>
                            <a:noFill/>
                          </a:ln>
                        </wps:spPr>
                        <wps:txbx>
                          <w:txbxContent>
                            <w:p w14:paraId="10F7DFC5" w14:textId="77777777" w:rsidR="00B32EF2" w:rsidRDefault="00000000">
                              <w:r>
                                <w:rPr>
                                  <w:rFonts w:ascii="Arial" w:eastAsia="Arial" w:hAnsi="Arial" w:cs="Arial"/>
                                  <w:sz w:val="18"/>
                                </w:rPr>
                                <w:t>. Il collegio, sentite le parti in camera di consiglio e delibato il merito, provve</w:t>
                              </w:r>
                            </w:p>
                          </w:txbxContent>
                        </wps:txbx>
                        <wps:bodyPr horzOverflow="overflow" vert="horz" lIns="0" tIns="0" rIns="0" bIns="0" rtlCol="0">
                          <a:noAutofit/>
                        </wps:bodyPr>
                      </wps:wsp>
                      <wps:wsp>
                        <wps:cNvPr id="199979" name="Rectangle 199979"/>
                        <wps:cNvSpPr/>
                        <wps:spPr>
                          <a:xfrm rot="-10799999">
                            <a:off x="2635271" y="1679829"/>
                            <a:ext cx="5211013" cy="142889"/>
                          </a:xfrm>
                          <a:prstGeom prst="rect">
                            <a:avLst/>
                          </a:prstGeom>
                          <a:ln>
                            <a:noFill/>
                          </a:ln>
                        </wps:spPr>
                        <wps:txbx>
                          <w:txbxContent>
                            <w:p w14:paraId="719ABDFA"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15243" name="Rectangle 15243"/>
                        <wps:cNvSpPr/>
                        <wps:spPr>
                          <a:xfrm rot="-10799999">
                            <a:off x="19181" y="1679829"/>
                            <a:ext cx="50622" cy="142889"/>
                          </a:xfrm>
                          <a:prstGeom prst="rect">
                            <a:avLst/>
                          </a:prstGeom>
                          <a:ln>
                            <a:noFill/>
                          </a:ln>
                        </wps:spPr>
                        <wps:txbx>
                          <w:txbxContent>
                            <w:p w14:paraId="68D5C8C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244" name="Rectangle 15244"/>
                        <wps:cNvSpPr/>
                        <wps:spPr>
                          <a:xfrm rot="-10799999">
                            <a:off x="977668" y="1556499"/>
                            <a:ext cx="3014111" cy="142889"/>
                          </a:xfrm>
                          <a:prstGeom prst="rect">
                            <a:avLst/>
                          </a:prstGeom>
                          <a:ln>
                            <a:noFill/>
                          </a:ln>
                        </wps:spPr>
                        <wps:txbx>
                          <w:txbxContent>
                            <w:p w14:paraId="5E0F88F6" w14:textId="77777777" w:rsidR="00B32EF2" w:rsidRDefault="00000000">
                              <w:r>
                                <w:rPr>
                                  <w:rFonts w:ascii="Arial" w:eastAsia="Arial" w:hAnsi="Arial" w:cs="Arial"/>
                                  <w:sz w:val="18"/>
                                </w:rPr>
                                <w:t>de con ordinanza motivata non impugnabile.</w:t>
                              </w:r>
                            </w:p>
                          </w:txbxContent>
                        </wps:txbx>
                        <wps:bodyPr horzOverflow="overflow" vert="horz" lIns="0" tIns="0" rIns="0" bIns="0" rtlCol="0">
                          <a:noAutofit/>
                        </wps:bodyPr>
                      </wps:wsp>
                      <wps:wsp>
                        <wps:cNvPr id="199978" name="Rectangle 199978"/>
                        <wps:cNvSpPr/>
                        <wps:spPr>
                          <a:xfrm rot="-10799999">
                            <a:off x="-1380864" y="1433169"/>
                            <a:ext cx="5307196" cy="142889"/>
                          </a:xfrm>
                          <a:prstGeom prst="rect">
                            <a:avLst/>
                          </a:prstGeom>
                          <a:ln>
                            <a:noFill/>
                          </a:ln>
                        </wps:spPr>
                        <wps:txbx>
                          <w:txbxContent>
                            <w:p w14:paraId="28E1EF2B" w14:textId="77777777" w:rsidR="00B32EF2" w:rsidRDefault="00000000">
                              <w:r>
                                <w:rPr>
                                  <w:rFonts w:ascii="Arial" w:eastAsia="Arial" w:hAnsi="Arial" w:cs="Arial"/>
                                  <w:sz w:val="18"/>
                                </w:rPr>
                                <w:t xml:space="preserve">. La sospensione può essere subordinata alla prestazione della garanzia di cui </w:t>
                              </w:r>
                            </w:p>
                          </w:txbxContent>
                        </wps:txbx>
                        <wps:bodyPr horzOverflow="overflow" vert="horz" lIns="0" tIns="0" rIns="0" bIns="0" rtlCol="0">
                          <a:noAutofit/>
                        </wps:bodyPr>
                      </wps:wsp>
                      <wps:wsp>
                        <wps:cNvPr id="199977" name="Rectangle 199977"/>
                        <wps:cNvSpPr/>
                        <wps:spPr>
                          <a:xfrm rot="-10799999">
                            <a:off x="2611405" y="1433169"/>
                            <a:ext cx="5307196" cy="142889"/>
                          </a:xfrm>
                          <a:prstGeom prst="rect">
                            <a:avLst/>
                          </a:prstGeom>
                          <a:ln>
                            <a:noFill/>
                          </a:ln>
                        </wps:spPr>
                        <wps:txbx>
                          <w:txbxContent>
                            <w:p w14:paraId="00D36354"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15246" name="Rectangle 15246"/>
                        <wps:cNvSpPr/>
                        <wps:spPr>
                          <a:xfrm rot="-10799999">
                            <a:off x="-1183968" y="1309839"/>
                            <a:ext cx="5174605" cy="142889"/>
                          </a:xfrm>
                          <a:prstGeom prst="rect">
                            <a:avLst/>
                          </a:prstGeom>
                          <a:ln>
                            <a:noFill/>
                          </a:ln>
                        </wps:spPr>
                        <wps:txbx>
                          <w:txbxContent>
                            <w:p w14:paraId="4445C49B" w14:textId="77777777" w:rsidR="00B32EF2" w:rsidRDefault="00000000">
                              <w:r>
                                <w:rPr>
                                  <w:rFonts w:ascii="Arial" w:eastAsia="Arial" w:hAnsi="Arial" w:cs="Arial"/>
                                  <w:sz w:val="18"/>
                                </w:rPr>
                                <w:t xml:space="preserve">all’articolo 127 comma 2. Si applica la disposizione dell’articolo 96, comma 9. </w:t>
                              </w:r>
                            </w:p>
                          </w:txbxContent>
                        </wps:txbx>
                        <wps:bodyPr horzOverflow="overflow" vert="horz" lIns="0" tIns="0" rIns="0" bIns="0" rtlCol="0">
                          <a:noAutofit/>
                        </wps:bodyPr>
                      </wps:wsp>
                      <wps:wsp>
                        <wps:cNvPr id="199976" name="Rectangle 199976"/>
                        <wps:cNvSpPr/>
                        <wps:spPr>
                          <a:xfrm rot="-10799999">
                            <a:off x="-1369823" y="1186509"/>
                            <a:ext cx="5309036" cy="142890"/>
                          </a:xfrm>
                          <a:prstGeom prst="rect">
                            <a:avLst/>
                          </a:prstGeom>
                          <a:ln>
                            <a:noFill/>
                          </a:ln>
                        </wps:spPr>
                        <wps:txbx>
                          <w:txbxContent>
                            <w:p w14:paraId="2B10C66F" w14:textId="77777777" w:rsidR="00B32EF2" w:rsidRDefault="00000000">
                              <w:r>
                                <w:rPr>
                                  <w:rFonts w:ascii="Arial" w:eastAsia="Arial" w:hAnsi="Arial" w:cs="Arial"/>
                                  <w:sz w:val="18"/>
                                </w:rPr>
                                <w:t xml:space="preserve">. L’udienza di trattazione dell’istanza di sospensione non può in ogni caso </w:t>
                              </w:r>
                            </w:p>
                          </w:txbxContent>
                        </wps:txbx>
                        <wps:bodyPr horzOverflow="overflow" vert="horz" lIns="0" tIns="0" rIns="0" bIns="0" rtlCol="0">
                          <a:noAutofit/>
                        </wps:bodyPr>
                      </wps:wsp>
                      <wps:wsp>
                        <wps:cNvPr id="199975" name="Rectangle 199975"/>
                        <wps:cNvSpPr/>
                        <wps:spPr>
                          <a:xfrm rot="-10799999">
                            <a:off x="2610949" y="1186510"/>
                            <a:ext cx="5309036" cy="142890"/>
                          </a:xfrm>
                          <a:prstGeom prst="rect">
                            <a:avLst/>
                          </a:prstGeom>
                          <a:ln>
                            <a:noFill/>
                          </a:ln>
                        </wps:spPr>
                        <wps:txbx>
                          <w:txbxContent>
                            <w:p w14:paraId="40628C40"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15248" name="Rectangle 15248"/>
                        <wps:cNvSpPr/>
                        <wps:spPr>
                          <a:xfrm rot="-10799999">
                            <a:off x="-592901" y="1063180"/>
                            <a:ext cx="4584680" cy="142889"/>
                          </a:xfrm>
                          <a:prstGeom prst="rect">
                            <a:avLst/>
                          </a:prstGeom>
                          <a:ln>
                            <a:noFill/>
                          </a:ln>
                        </wps:spPr>
                        <wps:txbx>
                          <w:txbxContent>
                            <w:p w14:paraId="0A06D98A" w14:textId="77777777" w:rsidR="00B32EF2" w:rsidRDefault="00000000">
                              <w:r>
                                <w:rPr>
                                  <w:rFonts w:ascii="Arial" w:eastAsia="Arial" w:hAnsi="Arial" w:cs="Arial"/>
                                  <w:sz w:val="18"/>
                                </w:rPr>
                                <w:t>coincidere con l’udienza di trattazione del merito della controversia.</w:t>
                              </w:r>
                            </w:p>
                          </w:txbxContent>
                        </wps:txbx>
                        <wps:bodyPr horzOverflow="overflow" vert="horz" lIns="0" tIns="0" rIns="0" bIns="0" rtlCol="0">
                          <a:noAutofit/>
                        </wps:bodyPr>
                      </wps:wsp>
                      <wps:wsp>
                        <wps:cNvPr id="15249" name="Rectangle 15249"/>
                        <wps:cNvSpPr/>
                        <wps:spPr>
                          <a:xfrm rot="-10799999">
                            <a:off x="1458279" y="816521"/>
                            <a:ext cx="886894" cy="142889"/>
                          </a:xfrm>
                          <a:prstGeom prst="rect">
                            <a:avLst/>
                          </a:prstGeom>
                          <a:ln>
                            <a:noFill/>
                          </a:ln>
                        </wps:spPr>
                        <wps:txbx>
                          <w:txbxContent>
                            <w:p w14:paraId="3FC12A86" w14:textId="77777777" w:rsidR="00B32EF2" w:rsidRDefault="00000000">
                              <w:r>
                                <w:rPr>
                                  <w:rFonts w:ascii="Arial" w:eastAsia="Arial" w:hAnsi="Arial" w:cs="Arial"/>
                                  <w:b/>
                                  <w:sz w:val="18"/>
                                </w:rPr>
                                <w:t>Articolo 107</w:t>
                              </w:r>
                            </w:p>
                          </w:txbxContent>
                        </wps:txbx>
                        <wps:bodyPr horzOverflow="overflow" vert="horz" lIns="0" tIns="0" rIns="0" bIns="0" rtlCol="0">
                          <a:noAutofit/>
                        </wps:bodyPr>
                      </wps:wsp>
                      <wps:wsp>
                        <wps:cNvPr id="199974" name="Rectangle 199974"/>
                        <wps:cNvSpPr/>
                        <wps:spPr>
                          <a:xfrm rot="-10799999">
                            <a:off x="1161312" y="693191"/>
                            <a:ext cx="1944825" cy="142889"/>
                          </a:xfrm>
                          <a:prstGeom prst="rect">
                            <a:avLst/>
                          </a:prstGeom>
                          <a:ln>
                            <a:noFill/>
                          </a:ln>
                        </wps:spPr>
                        <wps:txbx>
                          <w:txbxContent>
                            <w:p w14:paraId="5AFA45C5" w14:textId="77777777" w:rsidR="00B32EF2" w:rsidRDefault="00000000">
                              <w:r>
                                <w:rPr>
                                  <w:rFonts w:ascii="Arial" w:eastAsia="Arial" w:hAnsi="Arial" w:cs="Arial"/>
                                  <w:i/>
                                  <w:sz w:val="18"/>
                                </w:rPr>
                                <w:t xml:space="preserve">articolo 53 D.lgs. n. </w:t>
                              </w:r>
                            </w:p>
                          </w:txbxContent>
                        </wps:txbx>
                        <wps:bodyPr horzOverflow="overflow" vert="horz" lIns="0" tIns="0" rIns="0" bIns="0" rtlCol="0">
                          <a:noAutofit/>
                        </wps:bodyPr>
                      </wps:wsp>
                      <wps:wsp>
                        <wps:cNvPr id="199973" name="Rectangle 199973"/>
                        <wps:cNvSpPr/>
                        <wps:spPr>
                          <a:xfrm rot="-10799999">
                            <a:off x="-265803" y="693191"/>
                            <a:ext cx="1944825" cy="142889"/>
                          </a:xfrm>
                          <a:prstGeom prst="rect">
                            <a:avLst/>
                          </a:prstGeom>
                          <a:ln>
                            <a:noFill/>
                          </a:ln>
                        </wps:spPr>
                        <wps:txbx>
                          <w:txbxContent>
                            <w:p w14:paraId="74F1B616"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9972" name="Rectangle 199972"/>
                        <wps:cNvSpPr/>
                        <wps:spPr>
                          <a:xfrm rot="-10799999">
                            <a:off x="2222324" y="693191"/>
                            <a:ext cx="1944825" cy="142889"/>
                          </a:xfrm>
                          <a:prstGeom prst="rect">
                            <a:avLst/>
                          </a:prstGeom>
                          <a:ln>
                            <a:noFill/>
                          </a:ln>
                        </wps:spPr>
                        <wps:txbx>
                          <w:txbxContent>
                            <w:p w14:paraId="6640820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251" name="Rectangle 15251"/>
                        <wps:cNvSpPr/>
                        <wps:spPr>
                          <a:xfrm rot="-10799999">
                            <a:off x="1117894" y="569861"/>
                            <a:ext cx="1406845" cy="142889"/>
                          </a:xfrm>
                          <a:prstGeom prst="rect">
                            <a:avLst/>
                          </a:prstGeom>
                          <a:ln>
                            <a:noFill/>
                          </a:ln>
                        </wps:spPr>
                        <wps:txbx>
                          <w:txbxContent>
                            <w:p w14:paraId="5B301CE8" w14:textId="77777777" w:rsidR="00B32EF2" w:rsidRDefault="00000000">
                              <w:r>
                                <w:rPr>
                                  <w:rFonts w:ascii="Arial" w:eastAsia="Arial" w:hAnsi="Arial" w:cs="Arial"/>
                                  <w:b/>
                                  <w:sz w:val="18"/>
                                </w:rPr>
                                <w:t xml:space="preserve">Forma dell’appello </w:t>
                              </w:r>
                            </w:p>
                          </w:txbxContent>
                        </wps:txbx>
                        <wps:bodyPr horzOverflow="overflow" vert="horz" lIns="0" tIns="0" rIns="0" bIns="0" rtlCol="0">
                          <a:noAutofit/>
                        </wps:bodyPr>
                      </wps:wsp>
                      <wps:wsp>
                        <wps:cNvPr id="199971" name="Rectangle 199971"/>
                        <wps:cNvSpPr/>
                        <wps:spPr>
                          <a:xfrm rot="-10799999">
                            <a:off x="-1376440" y="446531"/>
                            <a:ext cx="5309035" cy="142889"/>
                          </a:xfrm>
                          <a:prstGeom prst="rect">
                            <a:avLst/>
                          </a:prstGeom>
                          <a:ln>
                            <a:noFill/>
                          </a:ln>
                        </wps:spPr>
                        <wps:txbx>
                          <w:txbxContent>
                            <w:p w14:paraId="1231EBAC" w14:textId="77777777" w:rsidR="00B32EF2" w:rsidRDefault="00000000">
                              <w:r>
                                <w:rPr>
                                  <w:rFonts w:ascii="Arial" w:eastAsia="Arial" w:hAnsi="Arial" w:cs="Arial"/>
                                  <w:sz w:val="18"/>
                                </w:rPr>
                                <w:t xml:space="preserve">. Il ricorso in appello contiene l’indicazione della corte di giustizia tributaria di </w:t>
                              </w:r>
                            </w:p>
                          </w:txbxContent>
                        </wps:txbx>
                        <wps:bodyPr horzOverflow="overflow" vert="horz" lIns="0" tIns="0" rIns="0" bIns="0" rtlCol="0">
                          <a:noAutofit/>
                        </wps:bodyPr>
                      </wps:wsp>
                      <wps:wsp>
                        <wps:cNvPr id="199970" name="Rectangle 199970"/>
                        <wps:cNvSpPr/>
                        <wps:spPr>
                          <a:xfrm rot="-10799999">
                            <a:off x="2610948" y="446532"/>
                            <a:ext cx="5309036" cy="142889"/>
                          </a:xfrm>
                          <a:prstGeom prst="rect">
                            <a:avLst/>
                          </a:prstGeom>
                          <a:ln>
                            <a:noFill/>
                          </a:ln>
                        </wps:spPr>
                        <wps:txbx>
                          <w:txbxContent>
                            <w:p w14:paraId="29110D2D"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7756" name="Shape 207756"/>
                        <wps:cNvSpPr/>
                        <wps:spPr>
                          <a:xfrm>
                            <a:off x="31787" y="4766201"/>
                            <a:ext cx="3960000" cy="1490294"/>
                          </a:xfrm>
                          <a:custGeom>
                            <a:avLst/>
                            <a:gdLst/>
                            <a:ahLst/>
                            <a:cxnLst/>
                            <a:rect l="0" t="0" r="0" b="0"/>
                            <a:pathLst>
                              <a:path w="3960000" h="1490294">
                                <a:moveTo>
                                  <a:pt x="0" y="0"/>
                                </a:moveTo>
                                <a:lnTo>
                                  <a:pt x="3960000" y="0"/>
                                </a:lnTo>
                                <a:lnTo>
                                  <a:pt x="3960000" y="1490294"/>
                                </a:lnTo>
                                <a:lnTo>
                                  <a:pt x="0" y="1490294"/>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5254" name="Rectangle 15254"/>
                        <wps:cNvSpPr/>
                        <wps:spPr>
                          <a:xfrm rot="-10799999">
                            <a:off x="2152875" y="6035263"/>
                            <a:ext cx="1760562" cy="142891"/>
                          </a:xfrm>
                          <a:prstGeom prst="rect">
                            <a:avLst/>
                          </a:prstGeom>
                          <a:ln>
                            <a:noFill/>
                          </a:ln>
                        </wps:spPr>
                        <wps:txbx>
                          <w:txbxContent>
                            <w:p w14:paraId="5EE450F5" w14:textId="77777777" w:rsidR="00B32EF2" w:rsidRDefault="00000000">
                              <w:r>
                                <w:rPr>
                                  <w:rFonts w:ascii="Arial" w:eastAsia="Arial" w:hAnsi="Arial" w:cs="Arial"/>
                                  <w:i/>
                                  <w:sz w:val="18"/>
                                </w:rPr>
                                <w:t>o per fatto dell’avversario;</w:t>
                              </w:r>
                            </w:p>
                          </w:txbxContent>
                        </wps:txbx>
                        <wps:bodyPr horzOverflow="overflow" vert="horz" lIns="0" tIns="0" rIns="0" bIns="0" rtlCol="0">
                          <a:noAutofit/>
                        </wps:bodyPr>
                      </wps:wsp>
                      <wps:wsp>
                        <wps:cNvPr id="200016" name="Rectangle 200016"/>
                        <wps:cNvSpPr/>
                        <wps:spPr>
                          <a:xfrm rot="-10799999">
                            <a:off x="-1192648" y="5911934"/>
                            <a:ext cx="5005044" cy="142889"/>
                          </a:xfrm>
                          <a:prstGeom prst="rect">
                            <a:avLst/>
                          </a:prstGeom>
                          <a:ln>
                            <a:noFill/>
                          </a:ln>
                        </wps:spPr>
                        <wps:txbx>
                          <w:txbxContent>
                            <w:p w14:paraId="1973BE0A" w14:textId="77777777" w:rsidR="00B32EF2" w:rsidRDefault="00000000">
                              <w:r>
                                <w:rPr>
                                  <w:rFonts w:ascii="Arial" w:eastAsia="Arial" w:hAnsi="Arial" w:cs="Arial"/>
                                  <w:i/>
                                  <w:sz w:val="18"/>
                                </w:rPr>
                                <w:t xml:space="preserve"> se la sentenza è l’effetto di un errore di fatto risultante dagli atti o docu</w:t>
                              </w:r>
                            </w:p>
                          </w:txbxContent>
                        </wps:txbx>
                        <wps:bodyPr horzOverflow="overflow" vert="horz" lIns="0" tIns="0" rIns="0" bIns="0" rtlCol="0">
                          <a:noAutofit/>
                        </wps:bodyPr>
                      </wps:wsp>
                      <wps:wsp>
                        <wps:cNvPr id="200015" name="Rectangle 200015"/>
                        <wps:cNvSpPr/>
                        <wps:spPr>
                          <a:xfrm rot="-10799999">
                            <a:off x="2570543" y="5911934"/>
                            <a:ext cx="5005044" cy="142889"/>
                          </a:xfrm>
                          <a:prstGeom prst="rect">
                            <a:avLst/>
                          </a:prstGeom>
                          <a:ln>
                            <a:noFill/>
                          </a:ln>
                        </wps:spPr>
                        <wps:txbx>
                          <w:txbxContent>
                            <w:p w14:paraId="3BACBBF3"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15256" name="Rectangle 15256"/>
                        <wps:cNvSpPr/>
                        <wps:spPr>
                          <a:xfrm rot="-10799999">
                            <a:off x="97543" y="5911935"/>
                            <a:ext cx="50622" cy="142889"/>
                          </a:xfrm>
                          <a:prstGeom prst="rect">
                            <a:avLst/>
                          </a:prstGeom>
                          <a:ln>
                            <a:noFill/>
                          </a:ln>
                        </wps:spPr>
                        <wps:txbx>
                          <w:txbxContent>
                            <w:p w14:paraId="2F3EB44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257" name="Rectangle 15257"/>
                        <wps:cNvSpPr/>
                        <wps:spPr>
                          <a:xfrm rot="-10799999">
                            <a:off x="-1189542" y="5788605"/>
                            <a:ext cx="5109952" cy="142889"/>
                          </a:xfrm>
                          <a:prstGeom prst="rect">
                            <a:avLst/>
                          </a:prstGeom>
                          <a:ln>
                            <a:noFill/>
                          </a:ln>
                        </wps:spPr>
                        <wps:txbx>
                          <w:txbxContent>
                            <w:p w14:paraId="23291E2D" w14:textId="77777777" w:rsidR="00B32EF2" w:rsidRDefault="00000000">
                              <w:r>
                                <w:rPr>
                                  <w:rFonts w:ascii="Arial" w:eastAsia="Arial" w:hAnsi="Arial" w:cs="Arial"/>
                                  <w:i/>
                                  <w:sz w:val="18"/>
                                </w:rPr>
                                <w:t xml:space="preserve">menti della causa. Vi è questo errore quando la decisione è fondata sulla </w:t>
                              </w:r>
                            </w:p>
                          </w:txbxContent>
                        </wps:txbx>
                        <wps:bodyPr horzOverflow="overflow" vert="horz" lIns="0" tIns="0" rIns="0" bIns="0" rtlCol="0">
                          <a:noAutofit/>
                        </wps:bodyPr>
                      </wps:wsp>
                      <wps:wsp>
                        <wps:cNvPr id="15258" name="Rectangle 15258"/>
                        <wps:cNvSpPr/>
                        <wps:spPr>
                          <a:xfrm rot="-10799999">
                            <a:off x="-1187250" y="5665275"/>
                            <a:ext cx="5099887" cy="142889"/>
                          </a:xfrm>
                          <a:prstGeom prst="rect">
                            <a:avLst/>
                          </a:prstGeom>
                          <a:ln>
                            <a:noFill/>
                          </a:ln>
                        </wps:spPr>
                        <wps:txbx>
                          <w:txbxContent>
                            <w:p w14:paraId="2C824A8D" w14:textId="77777777" w:rsidR="00B32EF2" w:rsidRDefault="00000000">
                              <w:r>
                                <w:rPr>
                                  <w:rFonts w:ascii="Arial" w:eastAsia="Arial" w:hAnsi="Arial" w:cs="Arial"/>
                                  <w:i/>
                                  <w:sz w:val="18"/>
                                </w:rPr>
                                <w:t xml:space="preserve">supposizione di un fatto la cui verità è incontrastabilmente esclusa, oppure </w:t>
                              </w:r>
                            </w:p>
                          </w:txbxContent>
                        </wps:txbx>
                        <wps:bodyPr horzOverflow="overflow" vert="horz" lIns="0" tIns="0" rIns="0" bIns="0" rtlCol="0">
                          <a:noAutofit/>
                        </wps:bodyPr>
                      </wps:wsp>
                      <wps:wsp>
                        <wps:cNvPr id="15259" name="Rectangle 15259"/>
                        <wps:cNvSpPr/>
                        <wps:spPr>
                          <a:xfrm rot="-10799999">
                            <a:off x="-1090785" y="5541945"/>
                            <a:ext cx="5004223" cy="142889"/>
                          </a:xfrm>
                          <a:prstGeom prst="rect">
                            <a:avLst/>
                          </a:prstGeom>
                          <a:ln>
                            <a:noFill/>
                          </a:ln>
                        </wps:spPr>
                        <wps:txbx>
                          <w:txbxContent>
                            <w:p w14:paraId="56D1ABF0" w14:textId="77777777" w:rsidR="00B32EF2" w:rsidRDefault="00000000">
                              <w:r>
                                <w:rPr>
                                  <w:rFonts w:ascii="Arial" w:eastAsia="Arial" w:hAnsi="Arial" w:cs="Arial"/>
                                  <w:i/>
                                  <w:sz w:val="18"/>
                                </w:rPr>
                                <w:t>quando è supposta l’inesistenza di un fatto la cui verità è positivamente sta</w:t>
                              </w:r>
                            </w:p>
                          </w:txbxContent>
                        </wps:txbx>
                        <wps:bodyPr horzOverflow="overflow" vert="horz" lIns="0" tIns="0" rIns="0" bIns="0" rtlCol="0">
                          <a:noAutofit/>
                        </wps:bodyPr>
                      </wps:wsp>
                      <wps:wsp>
                        <wps:cNvPr id="15260" name="Rectangle 15260"/>
                        <wps:cNvSpPr/>
                        <wps:spPr>
                          <a:xfrm rot="-10799999">
                            <a:off x="97543" y="5541946"/>
                            <a:ext cx="50622" cy="142889"/>
                          </a:xfrm>
                          <a:prstGeom prst="rect">
                            <a:avLst/>
                          </a:prstGeom>
                          <a:ln>
                            <a:noFill/>
                          </a:ln>
                        </wps:spPr>
                        <wps:txbx>
                          <w:txbxContent>
                            <w:p w14:paraId="4626C8C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261" name="Rectangle 15261"/>
                        <wps:cNvSpPr/>
                        <wps:spPr>
                          <a:xfrm rot="-10799999">
                            <a:off x="-1186946" y="5418616"/>
                            <a:ext cx="5100040" cy="142889"/>
                          </a:xfrm>
                          <a:prstGeom prst="rect">
                            <a:avLst/>
                          </a:prstGeom>
                          <a:ln>
                            <a:noFill/>
                          </a:ln>
                        </wps:spPr>
                        <wps:txbx>
                          <w:txbxContent>
                            <w:p w14:paraId="45B28C41" w14:textId="77777777" w:rsidR="00B32EF2" w:rsidRDefault="00000000">
                              <w:r>
                                <w:rPr>
                                  <w:rFonts w:ascii="Arial" w:eastAsia="Arial" w:hAnsi="Arial" w:cs="Arial"/>
                                  <w:i/>
                                  <w:sz w:val="18"/>
                                </w:rPr>
                                <w:t xml:space="preserve">bilita, e tanto nell’uno quanto nell’altro caso se il fatto non costituì un punto </w:t>
                              </w:r>
                            </w:p>
                          </w:txbxContent>
                        </wps:txbx>
                        <wps:bodyPr horzOverflow="overflow" vert="horz" lIns="0" tIns="0" rIns="0" bIns="0" rtlCol="0">
                          <a:noAutofit/>
                        </wps:bodyPr>
                      </wps:wsp>
                      <wps:wsp>
                        <wps:cNvPr id="15262" name="Rectangle 15262"/>
                        <wps:cNvSpPr/>
                        <wps:spPr>
                          <a:xfrm rot="-10799999">
                            <a:off x="181947" y="5295286"/>
                            <a:ext cx="3731489" cy="142889"/>
                          </a:xfrm>
                          <a:prstGeom prst="rect">
                            <a:avLst/>
                          </a:prstGeom>
                          <a:ln>
                            <a:noFill/>
                          </a:ln>
                        </wps:spPr>
                        <wps:txbx>
                          <w:txbxContent>
                            <w:p w14:paraId="4A01498E" w14:textId="77777777" w:rsidR="00B32EF2" w:rsidRDefault="00000000">
                              <w:r>
                                <w:rPr>
                                  <w:rFonts w:ascii="Arial" w:eastAsia="Arial" w:hAnsi="Arial" w:cs="Arial"/>
                                  <w:i/>
                                  <w:sz w:val="18"/>
                                </w:rPr>
                                <w:t>controverso sul quale la sentenza ebbe a pronunciare ;</w:t>
                              </w:r>
                            </w:p>
                          </w:txbxContent>
                        </wps:txbx>
                        <wps:bodyPr horzOverflow="overflow" vert="horz" lIns="0" tIns="0" rIns="0" bIns="0" rtlCol="0">
                          <a:noAutofit/>
                        </wps:bodyPr>
                      </wps:wsp>
                      <wps:wsp>
                        <wps:cNvPr id="200010" name="Rectangle 200010"/>
                        <wps:cNvSpPr/>
                        <wps:spPr>
                          <a:xfrm rot="-10799999">
                            <a:off x="2546534" y="5171956"/>
                            <a:ext cx="5098718" cy="142889"/>
                          </a:xfrm>
                          <a:prstGeom prst="rect">
                            <a:avLst/>
                          </a:prstGeom>
                          <a:ln>
                            <a:noFill/>
                          </a:ln>
                        </wps:spPr>
                        <wps:txbx>
                          <w:txbxContent>
                            <w:p w14:paraId="0DA965C1"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200012" name="Rectangle 200012"/>
                        <wps:cNvSpPr/>
                        <wps:spPr>
                          <a:xfrm rot="-10799999">
                            <a:off x="-1288573" y="5171956"/>
                            <a:ext cx="5098718" cy="142889"/>
                          </a:xfrm>
                          <a:prstGeom prst="rect">
                            <a:avLst/>
                          </a:prstGeom>
                          <a:ln>
                            <a:noFill/>
                          </a:ln>
                        </wps:spPr>
                        <wps:txbx>
                          <w:txbxContent>
                            <w:p w14:paraId="4BFD3C10" w14:textId="77777777" w:rsidR="00B32EF2" w:rsidRDefault="00000000">
                              <w:r>
                                <w:rPr>
                                  <w:rFonts w:ascii="Arial" w:eastAsia="Arial" w:hAnsi="Arial" w:cs="Arial"/>
                                  <w:i/>
                                  <w:sz w:val="18"/>
                                </w:rPr>
                                <w:t xml:space="preserve"> se la sentenza è contraria ad altra precedente avente fra le parti autorità </w:t>
                              </w:r>
                            </w:p>
                          </w:txbxContent>
                        </wps:txbx>
                        <wps:bodyPr horzOverflow="overflow" vert="horz" lIns="0" tIns="0" rIns="0" bIns="0" rtlCol="0">
                          <a:noAutofit/>
                        </wps:bodyPr>
                      </wps:wsp>
                      <wps:wsp>
                        <wps:cNvPr id="15264" name="Rectangle 15264"/>
                        <wps:cNvSpPr/>
                        <wps:spPr>
                          <a:xfrm rot="-10799999">
                            <a:off x="-1023046" y="5048627"/>
                            <a:ext cx="4936483" cy="142889"/>
                          </a:xfrm>
                          <a:prstGeom prst="rect">
                            <a:avLst/>
                          </a:prstGeom>
                          <a:ln>
                            <a:noFill/>
                          </a:ln>
                        </wps:spPr>
                        <wps:txbx>
                          <w:txbxContent>
                            <w:p w14:paraId="13F670B1" w14:textId="77777777" w:rsidR="00B32EF2" w:rsidRDefault="00000000">
                              <w:r>
                                <w:rPr>
                                  <w:rFonts w:ascii="Arial" w:eastAsia="Arial" w:hAnsi="Arial" w:cs="Arial"/>
                                  <w:i/>
                                  <w:sz w:val="18"/>
                                </w:rPr>
                                <w:t>di cosa giudicata, purché non abbia pronunciato sulla relativa eccezione;</w:t>
                              </w:r>
                            </w:p>
                          </w:txbxContent>
                        </wps:txbx>
                        <wps:bodyPr horzOverflow="overflow" vert="horz" lIns="0" tIns="0" rIns="0" bIns="0" rtlCol="0">
                          <a:noAutofit/>
                        </wps:bodyPr>
                      </wps:wsp>
                      <wps:wsp>
                        <wps:cNvPr id="199992" name="Rectangle 199992"/>
                        <wps:cNvSpPr/>
                        <wps:spPr>
                          <a:xfrm rot="-10799999">
                            <a:off x="2539957" y="4925297"/>
                            <a:ext cx="5122828" cy="142889"/>
                          </a:xfrm>
                          <a:prstGeom prst="rect">
                            <a:avLst/>
                          </a:prstGeom>
                          <a:ln>
                            <a:noFill/>
                          </a:ln>
                        </wps:spPr>
                        <wps:txbx>
                          <w:txbxContent>
                            <w:p w14:paraId="784D861E" w14:textId="77777777" w:rsidR="00B32EF2" w:rsidRDefault="00000000">
                              <w:r>
                                <w:rPr>
                                  <w:rFonts w:ascii="Arial" w:eastAsia="Arial" w:hAnsi="Arial" w:cs="Arial"/>
                                  <w:i/>
                                  <w:sz w:val="18"/>
                                </w:rPr>
                                <w:t>6)</w:t>
                              </w:r>
                            </w:p>
                          </w:txbxContent>
                        </wps:txbx>
                        <wps:bodyPr horzOverflow="overflow" vert="horz" lIns="0" tIns="0" rIns="0" bIns="0" rtlCol="0">
                          <a:noAutofit/>
                        </wps:bodyPr>
                      </wps:wsp>
                      <wps:wsp>
                        <wps:cNvPr id="199993" name="Rectangle 199993"/>
                        <wps:cNvSpPr/>
                        <wps:spPr>
                          <a:xfrm rot="-10799999">
                            <a:off x="-1295447" y="4925297"/>
                            <a:ext cx="5122828" cy="142889"/>
                          </a:xfrm>
                          <a:prstGeom prst="rect">
                            <a:avLst/>
                          </a:prstGeom>
                          <a:ln>
                            <a:noFill/>
                          </a:ln>
                        </wps:spPr>
                        <wps:txbx>
                          <w:txbxContent>
                            <w:p w14:paraId="31EA2906" w14:textId="77777777" w:rsidR="00B32EF2" w:rsidRDefault="00000000">
                              <w:r>
                                <w:rPr>
                                  <w:rFonts w:ascii="Arial" w:eastAsia="Arial" w:hAnsi="Arial" w:cs="Arial"/>
                                  <w:i/>
                                  <w:sz w:val="18"/>
                                </w:rPr>
                                <w:t xml:space="preserve"> se la sentenza è effetto del dolo del giudice, accertato con sentenza </w:t>
                              </w:r>
                            </w:p>
                          </w:txbxContent>
                        </wps:txbx>
                        <wps:bodyPr horzOverflow="overflow" vert="horz" lIns="0" tIns="0" rIns="0" bIns="0" rtlCol="0">
                          <a:noAutofit/>
                        </wps:bodyPr>
                      </wps:wsp>
                      <wps:wsp>
                        <wps:cNvPr id="15266" name="Rectangle 15266"/>
                        <wps:cNvSpPr/>
                        <wps:spPr>
                          <a:xfrm rot="-10799999">
                            <a:off x="2512432" y="4801967"/>
                            <a:ext cx="1401691" cy="142889"/>
                          </a:xfrm>
                          <a:prstGeom prst="rect">
                            <a:avLst/>
                          </a:prstGeom>
                          <a:ln>
                            <a:noFill/>
                          </a:ln>
                        </wps:spPr>
                        <wps:txbx>
                          <w:txbxContent>
                            <w:p w14:paraId="207DB012" w14:textId="77777777" w:rsidR="00B32EF2" w:rsidRDefault="00000000">
                              <w:r>
                                <w:rPr>
                                  <w:rFonts w:ascii="Arial" w:eastAsia="Arial" w:hAnsi="Arial" w:cs="Arial"/>
                                  <w:i/>
                                  <w:sz w:val="18"/>
                                </w:rPr>
                                <w:t>passata in giudicato.</w:t>
                              </w:r>
                            </w:p>
                          </w:txbxContent>
                        </wps:txbx>
                        <wps:bodyPr horzOverflow="overflow" vert="horz" lIns="0" tIns="0" rIns="0" bIns="0" rtlCol="0">
                          <a:noAutofit/>
                        </wps:bodyPr>
                      </wps:wsp>
                      <wps:wsp>
                        <wps:cNvPr id="15267" name="Shape 15267"/>
                        <wps:cNvSpPr/>
                        <wps:spPr>
                          <a:xfrm>
                            <a:off x="31786" y="4766204"/>
                            <a:ext cx="3960000" cy="1490294"/>
                          </a:xfrm>
                          <a:custGeom>
                            <a:avLst/>
                            <a:gdLst/>
                            <a:ahLst/>
                            <a:cxnLst/>
                            <a:rect l="0" t="0" r="0" b="0"/>
                            <a:pathLst>
                              <a:path w="3960000" h="1490294">
                                <a:moveTo>
                                  <a:pt x="0" y="1490294"/>
                                </a:moveTo>
                                <a:lnTo>
                                  <a:pt x="3960000" y="1490294"/>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34EB1D" id="Group 200120" o:spid="_x0000_s1806" style="width:314.3pt;height:492.65pt;mso-position-horizontal-relative:char;mso-position-vertical-relative:line" coordsize="39917,62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32SgwAAGKCAAAOAAAAZHJzL2Uyb0RvYy54bWzkXWuP27gV/V6g/8Hw98mQFElJRiaLIuku&#10;ChTdxT5+gOKRH4BsGbKSmfTX91xSoiyb2QQSOpyWCTDjoWVZuof3dXh59faH50O1+Fw25319fFjy&#10;N2y5KI/r+nF/3D4s//j9x7tsuTi3xfGxqOpj+bD8Up6XP7z761/ePp1Wpah3dfVYNguc5HhePZ0e&#10;lru2Pa3u78/rXXkozm/qU3nEm5u6ORQt/my2949N8YSzH6p7wZi+f6qbx1NTr8vzGaMf7JvLd+b8&#10;m025bn/ebM5lu6gelri21vxszM+P9PP+3dtitW2K026/7i6jmHAVh2J/xJe6U30o2mLxqdnfnOqw&#10;Xzf1ud60b9b14b7ebPbr0twD7oazq7v5qak/ncy9bFdP25MTE0R7JafJp13/6/NPzem30y8NJPF0&#10;2kIW5i+6l+dNc6DfuMrFsxHZFyey8rldrDGY5DlPs3S5WOM9LZSWeWqFut5B8jefW+/+/o1P3vdf&#10;fD+6nKcTJsh5kMF5ngx+2xWn0oj2vIIMfmkW+0fMXyU4JuyxOGCq/orJUxy3Vbmww0ZA5mgnrvPq&#10;DMn1slo0NebXHWdpTv/MfOhkx3PGZJosF5DSnRb40wqpFyNkmOjcSlEopqWm950oitWpObc/lfVh&#10;QS8elg2uzZy/+PzPc2sP7Q+hy6mO9PNY/7ivKvsujUCi/RXTq/b547O57VQazGjsY/34BcLY1c2/&#10;f4Zab6r66WFZd6+WpOn4dnp3uaj+cQQIpFT9i6Z/8bF/0bTV+9qonr2ev31q683eXPDwbd2FAV2a&#10;gi8EM4TtgzknudNFYFJMgFkxKYEdwSyTPGEZH+OccZErYXHmUmSZ+b6Xwznrby8WnAXmpwdnDM/B&#10;+S6RCWPc4syllkKMcU7SNEkkvpvMYgig3TyOBmig4QPaKOBkhYYxZym3dlsykbD8GugkU4LJYEAr&#10;N5GjARrm0we0AWYy0FwqzXMLNJRXyyQZa3SWM6lh2QMptHLzOA6cET/BN94Cbcfn2G4hEONliPJg&#10;mROtEs6ukOa5ZArhWzCo3UyOBmqEw16obZg8WanvhMqzTH0LasyFUFptph7dXzxQ+/w0pUvOwE2L&#10;vLmG1sI1vFqtln3EGQfUSghERT5H7QQxCeg7zoVOyRMT0krkiLTHnloxluQw6sGUWkWHNEysD2kn&#10;iElIc41cOYUfJqAlOBFpZk6x6kkTlaVgAMPhbDiaqIw3EX03QFNI5vijSUgLnahEdsZbZAnn10gL&#10;kGoCsyyUn3b3F4fxJkh9PKgdnxN933GREglmtfpVYh0fR+bTavhvN+knKTXPOdhPY7y9MDMN0iyY&#10;QsfHj/n0GSC72T4J5Due8BTG2eLMVZ5m16YbJHhO+V0g063jI8h8vAmQdlN+EtII57nqc2mWaKlM&#10;dDdEYzxVjOfhfLR2CWQ8PhrBrzccc5HpJKih1BlPsY5LxlvkUHGEXnD6A9YKRDgTsO6hlDo+ioxU&#10;z4v1vCRLaM5yZXnvP4E6oP2OjCJTIvExZGZ4XuBNnlpZ3gQxeJ7CVt8qdRLQgDtiKA4DDkj9S1kY&#10;noM0ByMmpQ29hdaoJTHuYLDetACSJF3NToDFae1MVhxAU9YMC+u13s66TfLU1nrb6FsomfDkCmrj&#10;qEPqtItE4oHaR3vTFHDmbRLUNihL7brl68Ta8QVxYA377YPaDM+x36DIEsbJPlP4LXmegeQee2qB&#10;ICENx3xrRxpEg7Qv+gbSzpNN0umBIrMwGwUa/DTqQANSZChH7WZxNCD70mmA7HzYJJAtRSa6wFvk&#10;WqbXOFM2HXAhK42OIiPjehOOAWnnwSYinYIBtWabpwm3VdWDPksGKjQJV22SRsiQ+TIsCsbmpVgU&#10;jDFJC5LkopnMwZdduWjS6YD1gqm7wTisN2Hq403s+JxwzORY3eK0hdpEP4NamxwrJNQuh4wDathp&#10;/woHhucAjbhbMAXFIaXmudASa+BXcTdCc1TihqK9U5dCxoI0baHwOGoMz0F6iLv9MAeNu1OXU0QD&#10;ss9wK6RE80CWpqzIanPGEqxejrUZZLiSKHIIps0ur4gDaHLFPnW243P0GZYb2ye7oiKuU4R3V1hj&#10;XycHpxIOa5dZRIM1VW7emG5gjfE5WJNSC2QyxkkbqM35LsKx0FCbqfcUTU0/DLVvccMMzwH6wkl7&#10;YQ7rpN0kjkOfgaaf67Y12TTbJ1EmqN7XYJONMitqHnClzCDCJefhIm44rG4Ox4Ez2WdfoaAdn6PO&#10;hjLJNGYRZVfYXsktwXxhuBNstc3DrWrYvfrxGG7C1MeD2vE5WIMy4diN9Yqhjowdg/n2r23YPiOT&#10;zTc2Y2VJ3htwUJ74a5xkKZ5KTVMhUKUgCi+iM+A+qEmpXb45yVXDgGskVrZUELhrxa6xJs4bq2UO&#10;a7t998W6mwwVFvE4a9+6NGHtSKRJWFvO2y5lGahR4Q81GvnqsFC7+4sDahhwX1hmhud46juVi7xr&#10;ZMOZTrgNeAegpcqkJtomlP12RisaoH28CYB2GeckjUZ/k0x0m2kzrsGHjRU6y3SWIzgPBXOE/Jgv&#10;oSbT7RZ5pgHNNW3YMLG3zhOwKGOg0d1EZgG30to1tbiyLB8/Rki72HQS0ndCK6xrvF6kncWKw3QT&#10;ol8pNxmqMSYhjZZF2CtgqZPXqNNDm544kFaCigBuFjfM8JxoDEwnNuZYnBWSLbulcQjGQKroTIZL&#10;pocePXHgTBrtA9qOz0EayTR6zFF1A9hQdAxFG7Kxmw69ccP2OYzLTX9lcXooj51mvGmHJWVvPdKG&#10;exyU2iJ9wZq8cE9YND3sZnIUSi1YmtIuSGu9TRvoRTf2TYUmBqRr6Iz9F9QMhzDFChZ6d4/VF6Qo&#10;w78+n8JmaZh1nP+CC1t/sh2d6aR9F2f0D3+0/ZwxtutfrZ+P/Uvq+/ynrcxPRUufo5PSywW6N7tr&#10;2dHCi70Uev+Ats6/1+bI9qpPNy5zeLc6Xh7lzoZbN6QQju2P6H+fzPkuj+y/14qgP67/bY+3xvD7&#10;jxx/Oy6DbtiI2AkBg5diro4kD0KlQKv5TVXYHtqHfYse9NX+APkItJQaTnzTMvvcfqlKEll1/LXc&#10;oHm26YtOA+dm+/F91Sw+F9Tu2vyzDbqr067oRrsZ0B1qLtWchz6/Qadud0puPjo65fuE/ndn6A6m&#10;z5Wmyb37JLOfXHdXYzvdo188brrvdw+huA+Zb66Prfv8EV36zZeQ6e/udvACBB/99aKtupUvUUas&#10;NS9PFmjqnoEmJRXWDDUl2gh3sMvYYMWURkDfUyI2+oH0+r74fcP1/05PdmswBtn/n/dkx8McGHd2&#10;eei9341j5pEoJnlgrFKZal6DtcrxFzbu4YQD1mgZSJ3bB6xf2gfHRWcbTD0rF934HKyFShk2Qr9i&#10;qKMjtIdoa9BqGF8MzwEaS1wjmI0GXWp0yL2T9hko0dhuQtNXSWKG54BM9QU5irStOqdYpEApwdhy&#10;I7kK+USNPLpqT5TRe6kvJ4ipPjpDexqbAyiNBSq7hH2p0agf7580FKBriS1NjEqn/SuR2OI6T6dR&#10;JZJ2neSUQn8DMJpjncazkkB4h4rGMpsAxoQ0miT6dHronThJpy9ctIHZOPxLhQ7oojPL2EQFso/K&#10;Rt5rqCsSxCSQyUXrvHvmFWDGosU1zniGDgv3LKSMRVfsSayFZ3UKw3MMN9r55mhpQIQJ2u6DPbnC&#10;OaGWB/TQlp4wedkkmpbCu9uLhMgGYeKx2yaJNhTmZJ0Gt4YVqW4dkqMo3+Zql6YbLd/pSYmhoHbc&#10;XzxQe3TaQD1PqWnrZKa6J1OiWPsVYh0XN4ZcmjbJ+My3m/QTHTU9v6531Exm2jZ4H7Ra5mjrTJ0K&#10;Q2m1Y4Si0GqOMgIss99CbcfnuGqh8FxeomRofTIX9JScqxQLvS5ok3QwqOOr96SHC95oNUHtwpaJ&#10;ao1YTHZx2evE2jFDcag1DLhnHYvsurNvk5BG0Rm2WlsuVCJ/zfWVUqM8DJsqg22Wzex+oKhSasd6&#10;20ISAtlZtq+DTEuPF3UkmC1kp00dydXCpKuhsC75f6iOZFzH8T3VJONP9LUh/e/bmpKhTMPWp4yP&#10;tEzy9THrqj6X8KzfXy1iKkLgJ79aMWJLPew5PQ9Z91WMeMo7zFmGq0U9hinNuCwK6Uo7ptWZvIqK&#10;EdSObFdPWzzmHfLfNsVpt19/KNri8m9TYbIqRb2rq8eyefcfAAAA//8DAFBLAwQUAAYACAAAACEA&#10;0kCvw90AAAAFAQAADwAAAGRycy9kb3ducmV2LnhtbEyPQUvDQBCF74L/YRnBm92kpSGN2ZRS1FMR&#10;bAXpbZqdJqHZ2ZDdJum/d/Wil4HHe7z3Tb6eTCsG6l1jWUE8i0AQl1Y3XCn4PLw+pSCcR9bYWiYF&#10;N3KwLu7vcsy0HfmDhr2vRChhl6GC2vsuk9KVNRl0M9sRB+9se4M+yL6SuscxlJtWzqMokQYbDgs1&#10;drStqbzsr0bB24jjZhG/DLvLeXs7HpbvX7uYlHp8mDbPIDxN/i8MP/gBHYrAdLJX1k60CsIj/vcG&#10;L5mnCYiTglW6XIAscvmfvvgGAAD//wMAUEsBAi0AFAAGAAgAAAAhALaDOJL+AAAA4QEAABMAAAAA&#10;AAAAAAAAAAAAAAAAAFtDb250ZW50X1R5cGVzXS54bWxQSwECLQAUAAYACAAAACEAOP0h/9YAAACU&#10;AQAACwAAAAAAAAAAAAAAAAAvAQAAX3JlbHMvLnJlbHNQSwECLQAUAAYACAAAACEAa1Ud9koMAABi&#10;ggAADgAAAAAAAAAAAAAAAAAuAgAAZHJzL2Uyb0RvYy54bWxQSwECLQAUAAYACAAAACEA0kCvw90A&#10;AAAFAQAADwAAAAAAAAAAAAAAAACkDgAAZHJzL2Rvd25yZXYueG1sUEsFBgAAAAAEAAQA8wAAAK4P&#10;AAAAAA==&#10;">
                <v:rect id="Rectangle 15218" o:spid="_x0000_s1807"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onVxwAAAN4AAAAPAAAAZHJzL2Rvd25yZXYueG1sRI9Pa8JA&#10;EMXvhX6HZYTe6kahIqmriEWaQy/1D/Q4ZMckmp1dsqtJ++k7B8HbDO/Ne79ZrAbXqht1sfFsYDLO&#10;QBGX3jZcGTjst69zUDEhW2w9k4FfirBaPj8tMLe+52+67VKlJIRjjgbqlEKudSxrchjHPhCLdvKd&#10;wyRrV2nbYS/hrtXTLJtphw1LQ42BNjWVl93VGfj54FBse12e/jbh61zM28/r4WjMy2hYv4NKNKSH&#10;+X5dWMF/m06EV96RGfTyHwAA//8DAFBLAQItABQABgAIAAAAIQDb4fbL7gAAAIUBAAATAAAAAAAA&#10;AAAAAAAAAAAAAABbQ29udGVudF9UeXBlc10ueG1sUEsBAi0AFAAGAAgAAAAhAFr0LFu/AAAAFQEA&#10;AAsAAAAAAAAAAAAAAAAAHwEAAF9yZWxzLy5yZWxzUEsBAi0AFAAGAAgAAAAhAPjaidXHAAAA3gAA&#10;AA8AAAAAAAAAAAAAAAAABwIAAGRycy9kb3ducmV2LnhtbFBLBQYAAAAAAwADALcAAAD7AgAAAAA=&#10;" filled="f" stroked="f">
                  <v:textbox inset="0,0,0,0">
                    <w:txbxContent>
                      <w:p w14:paraId="56D31536" w14:textId="77777777" w:rsidR="00B32EF2" w:rsidRDefault="00000000">
                        <w:r>
                          <w:rPr>
                            <w:rFonts w:ascii="Times New Roman" w:eastAsia="Times New Roman" w:hAnsi="Times New Roman" w:cs="Times New Roman"/>
                          </w:rPr>
                          <w:t>94</w:t>
                        </w:r>
                      </w:p>
                    </w:txbxContent>
                  </v:textbox>
                </v:rect>
                <v:rect id="Rectangle 15219" o:spid="_x0000_s1808" style="position:absolute;left:15044;top:43930;width:81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ixOxAAAAN4AAAAPAAAAZHJzL2Rvd25yZXYueG1sRE9Li8Iw&#10;EL4L+x/CLHhbU4UVrUZZXGR78LI+wOPQjG21mYQm2uqvNwsL3ubje8582Zla3KjxlWUFw0ECgji3&#10;uuJCwX63/piA8AFZY22ZFNzJw3Lx1ptjqm3Lv3TbhkLEEPYpKihDcKmUPi/JoB9YRxy5k20Mhgib&#10;QuoG2xhuajlKkrE0WHFsKNHRqqT8sr0aBcdvdtm6lfnpsXKbczapf677g1L99+5rBiJQF17if3em&#10;4/zP0XAKf+/EG+TiCQAA//8DAFBLAQItABQABgAIAAAAIQDb4fbL7gAAAIUBAAATAAAAAAAAAAAA&#10;AAAAAAAAAABbQ29udGVudF9UeXBlc10ueG1sUEsBAi0AFAAGAAgAAAAhAFr0LFu/AAAAFQEAAAsA&#10;AAAAAAAAAAAAAAAAHwEAAF9yZWxzLy5yZWxzUEsBAi0AFAAGAAgAAAAhAJeWLE7EAAAA3gAAAA8A&#10;AAAAAAAAAAAAAAAABwIAAGRycy9kb3ducmV2LnhtbFBLBQYAAAAAAwADALcAAAD4AgAAAAA=&#10;" filled="f" stroked="f">
                  <v:textbox inset="0,0,0,0">
                    <w:txbxContent>
                      <w:p w14:paraId="3D0F6968" w14:textId="77777777" w:rsidR="00B32EF2" w:rsidRDefault="00000000">
                        <w:r>
                          <w:rPr>
                            <w:rFonts w:ascii="Arial" w:eastAsia="Arial" w:hAnsi="Arial" w:cs="Arial"/>
                            <w:b/>
                            <w:sz w:val="18"/>
                          </w:rPr>
                          <w:t>SEZIONE II</w:t>
                        </w:r>
                      </w:p>
                    </w:txbxContent>
                  </v:textbox>
                </v:rect>
                <v:rect id="Rectangle 15220" o:spid="_x0000_s1809" style="position:absolute;left:-3430;top:41464;width:377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E9uxwAAAN4AAAAPAAAAZHJzL2Rvd25yZXYueG1sRI9Ba8JA&#10;EIXvhf6HZQq91U0DFYmuIhZpDr1ULfQ4ZMckmp1dsqtJ++s7B8HbDPPmvfctVqPr1JX62Ho28DrJ&#10;QBFX3rZcGzjsty8zUDEhW+w8k4FfirBaPj4ssLB+4C+67lKtxIRjgQaalEKhdawachgnPhDL7eh7&#10;h0nWvta2x0HMXafzLJtqhy1LQoOBNg1V593FGfh551BuB10d/zbh81TOuo/L4duY56dxPQeVaEx3&#10;8e27tFL/Lc8FQHBkBr38BwAA//8DAFBLAQItABQABgAIAAAAIQDb4fbL7gAAAIUBAAATAAAAAAAA&#10;AAAAAAAAAAAAAABbQ29udGVudF9UeXBlc10ueG1sUEsBAi0AFAAGAAgAAAAhAFr0LFu/AAAAFQEA&#10;AAsAAAAAAAAAAAAAAAAAHwEAAF9yZWxzLy5yZWxzUEsBAi0AFAAGAAgAAAAhAMjAT27HAAAA3gAA&#10;AA8AAAAAAAAAAAAAAAAABwIAAGRycy9kb3ducmV2LnhtbFBLBQYAAAAAAwADALcAAAD7AgAAAAA=&#10;" filled="f" stroked="f">
                  <v:textbox inset="0,0,0,0">
                    <w:txbxContent>
                      <w:p w14:paraId="542739BA" w14:textId="77777777" w:rsidR="00B32EF2" w:rsidRDefault="00000000">
                        <w:r>
                          <w:rPr>
                            <w:rFonts w:ascii="Arial" w:eastAsia="Arial" w:hAnsi="Arial" w:cs="Arial"/>
                            <w:b/>
                            <w:sz w:val="18"/>
                          </w:rPr>
                          <w:t>IL GIUDIZIO DI APPELLO DAVANTI ALLA CORTE DI</w:t>
                        </w:r>
                      </w:p>
                    </w:txbxContent>
                  </v:textbox>
                </v:rect>
                <v:rect id="Rectangle 15221" o:spid="_x0000_s1810" style="position:absolute;left:-1007;top:40230;width:338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Or1xAAAAN4AAAAPAAAAZHJzL2Rvd25yZXYueG1sRE9Na8JA&#10;EL0X/A/LCL3VjYGKpK4iiphDL9oIHofsmKRmZ5fsatL++q4g9DaP9zmL1WBacafON5YVTCcJCOLS&#10;6oYrBcXX7m0Owgdkja1lUvBDHlbL0csCM217PtD9GCoRQ9hnqKAOwWVS+rImg35iHXHkLrYzGCLs&#10;Kqk77GO4aWWaJDNpsOHYUKOjTU3l9XgzCs5bdvmul+Xld+M+v/N5u78VJ6Vex8P6A0SgIfyLn+5c&#10;x/nvaTqFxzvxBrn8AwAA//8DAFBLAQItABQABgAIAAAAIQDb4fbL7gAAAIUBAAATAAAAAAAAAAAA&#10;AAAAAAAAAABbQ29udGVudF9UeXBlc10ueG1sUEsBAi0AFAAGAAgAAAAhAFr0LFu/AAAAFQEAAAsA&#10;AAAAAAAAAAAAAAAAHwEAAF9yZWxzLy5yZWxzUEsBAi0AFAAGAAgAAAAhAKeM6vXEAAAA3gAAAA8A&#10;AAAAAAAAAAAAAAAABwIAAGRycy9kb3ducmV2LnhtbFBLBQYAAAAAAwADALcAAAD4AgAAAAA=&#10;" filled="f" stroked="f">
                  <v:textbox inset="0,0,0,0">
                    <w:txbxContent>
                      <w:p w14:paraId="1640E129" w14:textId="77777777" w:rsidR="00B32EF2" w:rsidRDefault="00000000">
                        <w:r>
                          <w:rPr>
                            <w:rFonts w:ascii="Arial" w:eastAsia="Arial" w:hAnsi="Arial" w:cs="Arial"/>
                            <w:b/>
                            <w:sz w:val="18"/>
                          </w:rPr>
                          <w:t>GIUSTIZIA TRIBUTARIA DI SECONDO GRADO</w:t>
                        </w:r>
                      </w:p>
                    </w:txbxContent>
                  </v:textbox>
                </v:rect>
                <v:rect id="Rectangle 15222" o:spid="_x0000_s1811" style="position:absolute;left:14561;top:37764;width:89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SCxAAAAN4AAAAPAAAAZHJzL2Rvd25yZXYueG1sRE9Na8JA&#10;EL0L/odlhN5000CLpK5SFDGHXqoRehyyY5I2O7tkV5P6611B8DaP9zmL1WBacaHON5YVvM4SEMSl&#10;1Q1XCorDdjoH4QOyxtYyKfgnD6vleLTATNuev+myD5WIIewzVFCH4DIpfVmTQT+zjjhyJ9sZDBF2&#10;ldQd9jHctDJNkndpsOHYUKOjdU3l3/5sFPxs2OXbXpan69p9/ebzdncujkq9TIbPDxCBhvAUP9y5&#10;jvPf0jSF+zvxBrm8AQAA//8DAFBLAQItABQABgAIAAAAIQDb4fbL7gAAAIUBAAATAAAAAAAAAAAA&#10;AAAAAAAAAABbQ29udGVudF9UeXBlc10ueG1sUEsBAi0AFAAGAAgAAAAhAFr0LFu/AAAAFQEAAAsA&#10;AAAAAAAAAAAAAAAAHwEAAF9yZWxzLy5yZWxzUEsBAi0AFAAGAAgAAAAhAFdedILEAAAA3gAAAA8A&#10;AAAAAAAAAAAAAAAABwIAAGRycy9kb3ducmV2LnhtbFBLBQYAAAAAAwADALcAAAD4AgAAAAA=&#10;" filled="f" stroked="f">
                  <v:textbox inset="0,0,0,0">
                    <w:txbxContent>
                      <w:p w14:paraId="7C3C21BB" w14:textId="77777777" w:rsidR="00B32EF2" w:rsidRDefault="00000000">
                        <w:r>
                          <w:rPr>
                            <w:rFonts w:ascii="Arial" w:eastAsia="Arial" w:hAnsi="Arial" w:cs="Arial"/>
                            <w:b/>
                            <w:sz w:val="18"/>
                          </w:rPr>
                          <w:t>Articolo 106</w:t>
                        </w:r>
                      </w:p>
                    </w:txbxContent>
                  </v:textbox>
                </v:rect>
                <v:rect id="Rectangle 199989" o:spid="_x0000_s1812" style="position:absolute;left:22218;top:36531;width:194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q7mxAAAAN8AAAAPAAAAZHJzL2Rvd25yZXYueG1sRE/LasJA&#10;FN0L/YfhFrrTSV2UJDpKUaRZdOMLXF4y1yRt5s6QGU3ar3cEweXhvOfLwbTiSp1vLCt4nyQgiEur&#10;G64UHPabcQrCB2SNrWVS8EcelouX0RxzbXve0nUXKhFD2OeooA7B5VL6siaDfmIdceTOtjMYIuwq&#10;qTvsY7hp5TRJPqTBhmNDjY5WNZW/u4tRcFqzKza9LM//K/f9U6Tt1+VwVOrtdficgQg0hKf44S50&#10;nJ9lWZrB/U8EIBc3AAAA//8DAFBLAQItABQABgAIAAAAIQDb4fbL7gAAAIUBAAATAAAAAAAAAAAA&#10;AAAAAAAAAABbQ29udGVudF9UeXBlc10ueG1sUEsBAi0AFAAGAAgAAAAhAFr0LFu/AAAAFQEAAAsA&#10;AAAAAAAAAAAAAAAAHwEAAF9yZWxzLy5yZWxzUEsBAi0AFAAGAAgAAAAhANY6rubEAAAA3wAAAA8A&#10;AAAAAAAAAAAAAAAABwIAAGRycy9kb3ducmV2LnhtbFBLBQYAAAAAAwADALcAAAD4AgAAAAA=&#10;" filled="f" stroked="f">
                  <v:textbox inset="0,0,0,0">
                    <w:txbxContent>
                      <w:p w14:paraId="1D61F39F" w14:textId="77777777" w:rsidR="00B32EF2" w:rsidRDefault="00000000">
                        <w:r>
                          <w:rPr>
                            <w:rFonts w:ascii="Arial" w:eastAsia="Arial" w:hAnsi="Arial" w:cs="Arial"/>
                            <w:i/>
                            <w:sz w:val="18"/>
                          </w:rPr>
                          <w:t>(</w:t>
                        </w:r>
                      </w:p>
                    </w:txbxContent>
                  </v:textbox>
                </v:rect>
                <v:rect id="Rectangle 199990" o:spid="_x0000_s1813" style="position:absolute;left:-2598;top:36531;width:1940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ZGmxgAAAN8AAAAPAAAAZHJzL2Rvd25yZXYueG1sRI9Bb8Iw&#10;DIXvk/YfIk/iNlJ2mFghIMSE1gOXMZA4Wo1pC40TNYEWfv18mDTfPvm9Z7/5cnCtulEXG88GJuMM&#10;FHHpbcOVgf3P5nUKKiZki61nMnCnCMvF89Mcc+t7/qbbLlVKQjjmaKBOKeRax7Imh3HsA7HsTr5z&#10;mAS7StsOewl3rX7LsnftsGG5UGOgdU3lZXd1Bo6fHIpNr8vTYx2252Lafl33B2NGL8NqBirRkP7F&#10;f+7CyvsfMtJA+giAXvwCAAD//wMAUEsBAi0AFAAGAAgAAAAhANvh9svuAAAAhQEAABMAAAAAAAAA&#10;AAAAAAAAAAAAAFtDb250ZW50X1R5cGVzXS54bWxQSwECLQAUAAYACAAAACEAWvQsW78AAAAVAQAA&#10;CwAAAAAAAAAAAAAAAAAfAQAAX3JlbHMvLnJlbHNQSwECLQAUAAYACAAAACEAwtmRpsYAAADfAAAA&#10;DwAAAAAAAAAAAAAAAAAHAgAAZHJzL2Rvd25yZXYueG1sUEsFBgAAAAADAAMAtwAAAPoCAAAAAA==&#10;" filled="f" stroked="f">
                  <v:textbox inset="0,0,0,0">
                    <w:txbxContent>
                      <w:p w14:paraId="143D9A1E" w14:textId="77777777" w:rsidR="00B32EF2" w:rsidRDefault="00000000">
                        <w:r>
                          <w:rPr>
                            <w:rFonts w:ascii="Arial" w:eastAsia="Arial" w:hAnsi="Arial" w:cs="Arial"/>
                            <w:i/>
                            <w:sz w:val="18"/>
                          </w:rPr>
                          <w:t>546/92)</w:t>
                        </w:r>
                      </w:p>
                    </w:txbxContent>
                  </v:textbox>
                </v:rect>
                <v:rect id="Rectangle 199991" o:spid="_x0000_s1814" style="position:absolute;left:11640;top:36531;width:194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TQ9xwAAAN8AAAAPAAAAZHJzL2Rvd25yZXYueG1sRI9Ba8Mw&#10;DIXvg/4Ho0Fvq5MdSpfWLSMlLIde1rXQo4jVJFssm9hp0v36eTCYbh/v6elps5tMJ27U+9aygnSR&#10;gCCurG65VnD6KJ5WIHxA1thZJgV38rDbzh42mGk78jvdjqEWMYR9hgqaEFwmpa8aMugX1hFH7Wp7&#10;gyFiX0vd4xjDTSefk2QpDbYcLzToKG+o+joORsFlz64sRlldv3N3+CxX3dtwOis1f5xe1yACTeHf&#10;/Ldd6lj/JU4Kv/9EALn9AQAA//8DAFBLAQItABQABgAIAAAAIQDb4fbL7gAAAIUBAAATAAAAAAAA&#10;AAAAAAAAAAAAAABbQ29udGVudF9UeXBlc10ueG1sUEsBAi0AFAAGAAgAAAAhAFr0LFu/AAAAFQEA&#10;AAsAAAAAAAAAAAAAAAAAHwEAAF9yZWxzLy5yZWxzUEsBAi0AFAAGAAgAAAAhAK2VND3HAAAA3wAA&#10;AA8AAAAAAAAAAAAAAAAABwIAAGRycy9kb3ducmV2LnhtbFBLBQYAAAAAAwADALcAAAD7AgAAAAA=&#10;" filled="f" stroked="f">
                  <v:textbox inset="0,0,0,0">
                    <w:txbxContent>
                      <w:p w14:paraId="4465D692" w14:textId="77777777" w:rsidR="00B32EF2" w:rsidRDefault="00000000">
                        <w:r>
                          <w:rPr>
                            <w:rFonts w:ascii="Arial" w:eastAsia="Arial" w:hAnsi="Arial" w:cs="Arial"/>
                            <w:i/>
                            <w:sz w:val="18"/>
                          </w:rPr>
                          <w:t xml:space="preserve">articolo 52 D.lgs. n. </w:t>
                        </w:r>
                      </w:p>
                    </w:txbxContent>
                  </v:textbox>
                </v:rect>
                <v:rect id="Rectangle 15224" o:spid="_x0000_s1815" style="position:absolute;left:-11267;top:35297;width:500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ltxAAAAN4AAAAPAAAAZHJzL2Rvd25yZXYueG1sRE9Na8JA&#10;EL0X/A/LCN7qxtAWia4iijQHL7UKHofsmESzs0t2NdFf3y0UepvH+5z5sjeNuFPra8sKJuMEBHFh&#10;dc2lgsP39nUKwgdkjY1lUvAgD8vF4GWOmbYdf9F9H0oRQ9hnqKAKwWVS+qIig35sHXHkzrY1GCJs&#10;S6lb7GK4aWSaJB/SYM2xoUJH64qK6/5mFJw27PJtJ4vzc+12l3zafN4OR6VGw341AxGoD//iP3eu&#10;4/z3NH2D33fiDXLxAwAA//8DAFBLAQItABQABgAIAAAAIQDb4fbL7gAAAIUBAAATAAAAAAAAAAAA&#10;AAAAAAAAAABbQ29udGVudF9UeXBlc10ueG1sUEsBAi0AFAAGAAgAAAAhAFr0LFu/AAAAFQEAAAsA&#10;AAAAAAAAAAAAAAAAHwEAAF9yZWxzLy5yZWxzUEsBAi0AFAAGAAgAAAAhALf7SW3EAAAA3gAAAA8A&#10;AAAAAAAAAAAAAAAABwIAAGRycy9kb3ducmV2LnhtbFBLBQYAAAAAAwADALcAAAD4AgAAAAA=&#10;" filled="f" stroked="f">
                  <v:textbox inset="0,0,0,0">
                    <w:txbxContent>
                      <w:p w14:paraId="2BAE7DA9" w14:textId="77777777" w:rsidR="00B32EF2" w:rsidRDefault="00000000">
                        <w:r>
                          <w:rPr>
                            <w:rFonts w:ascii="Arial" w:eastAsia="Arial" w:hAnsi="Arial" w:cs="Arial"/>
                            <w:b/>
                            <w:sz w:val="18"/>
                          </w:rPr>
                          <w:t xml:space="preserve">Giudice competente e provvedimenti sull’esecuzione provvisoria in </w:t>
                        </w:r>
                      </w:p>
                    </w:txbxContent>
                  </v:textbox>
                </v:rect>
                <v:rect id="Rectangle 15225" o:spid="_x0000_s1816" style="position:absolute;left:16295;top:34064;width:58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z2xAAAAN4AAAAPAAAAZHJzL2Rvd25yZXYueG1sRE9Na8JA&#10;EL0X/A/LFLzVTQMWSV1FFDEHL7URPA7ZMUnNzi7Z1UR/vVso9DaP9znz5WBacaPON5YVvE8SEMSl&#10;1Q1XCorv7dsMhA/IGlvLpOBOHpaL0cscM217/qLbIVQihrDPUEEdgsuk9GVNBv3EOuLInW1nMETY&#10;VVJ32Mdw08o0ST6kwYZjQ42O1jWVl8PVKDht2OXbXpbnx9rtf/JZu7sWR6XGr8PqE0SgIfyL/9y5&#10;jvOnaTqF33fiDXLxBAAA//8DAFBLAQItABQABgAIAAAAIQDb4fbL7gAAAIUBAAATAAAAAAAAAAAA&#10;AAAAAAAAAABbQ29udGVudF9UeXBlc10ueG1sUEsBAi0AFAAGAAgAAAAhAFr0LFu/AAAAFQEAAAsA&#10;AAAAAAAAAAAAAAAAHwEAAF9yZWxzLy5yZWxzUEsBAi0AFAAGAAgAAAAhANi37PbEAAAA3gAAAA8A&#10;AAAAAAAAAAAAAAAABwIAAGRycy9kb3ducmV2LnhtbFBLBQYAAAAAAwADALcAAAD4AgAAAAA=&#10;" filled="f" stroked="f">
                  <v:textbox inset="0,0,0,0">
                    <w:txbxContent>
                      <w:p w14:paraId="033075E1" w14:textId="77777777" w:rsidR="00B32EF2" w:rsidRDefault="00000000">
                        <w:r>
                          <w:rPr>
                            <w:rFonts w:ascii="Arial" w:eastAsia="Arial" w:hAnsi="Arial" w:cs="Arial"/>
                            <w:b/>
                            <w:sz w:val="18"/>
                          </w:rPr>
                          <w:t xml:space="preserve">appello </w:t>
                        </w:r>
                      </w:p>
                    </w:txbxContent>
                  </v:textbox>
                </v:rect>
                <v:rect id="Rectangle 199987" o:spid="_x0000_s1817" style="position:absolute;left:26353;top:32831;width:521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Z8PxAAAAN8AAAAPAAAAZHJzL2Rvd25yZXYueG1sRE/Pa8Iw&#10;FL4P/B/CE7zN1B1c2xllKLIedtEpeHw0z7Zb8xKaaLv99UYQdvz4fi9Wg2nFlTrfWFYwmyYgiEur&#10;G64UHL62zykIH5A1tpZJwS95WC1HTwvMte15R9d9qEQMYZ+jgjoEl0vpy5oM+ql1xJE7285giLCr&#10;pO6wj+GmlS9JMpcGG44NNTpa11T+7C9GwWnDrtj2sjz/rd3nd5G2H5fDUanJeHh/AxFoCP/ih7vQ&#10;cX6WZekr3P9EAHJ5AwAA//8DAFBLAQItABQABgAIAAAAIQDb4fbL7gAAAIUBAAATAAAAAAAAAAAA&#10;AAAAAAAAAABbQ29udGVudF9UeXBlc10ueG1sUEsBAi0AFAAGAAgAAAAhAFr0LFu/AAAAFQEAAAsA&#10;AAAAAAAAAAAAAAAAHwEAAF9yZWxzLy5yZWxzUEsBAi0AFAAGAAgAAAAhAMjpnw/EAAAA3wAAAA8A&#10;AAAAAAAAAAAAAAAABwIAAGRycy9kb3ducmV2LnhtbFBLBQYAAAAAAwADALcAAAD4AgAAAAA=&#10;" filled="f" stroked="f">
                  <v:textbox inset="0,0,0,0">
                    <w:txbxContent>
                      <w:p w14:paraId="7115AD98" w14:textId="77777777" w:rsidR="00B32EF2" w:rsidRDefault="00000000">
                        <w:r>
                          <w:rPr>
                            <w:rFonts w:ascii="Arial" w:eastAsia="Arial" w:hAnsi="Arial" w:cs="Arial"/>
                            <w:sz w:val="18"/>
                          </w:rPr>
                          <w:t>1</w:t>
                        </w:r>
                      </w:p>
                    </w:txbxContent>
                  </v:textbox>
                </v:rect>
                <v:rect id="Rectangle 199988" o:spid="_x0000_s1818" style="position:absolute;left:-12781;top:32831;width:521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gt9xAAAAN8AAAAPAAAAZHJzL2Rvd25yZXYueG1sRE89T8Mw&#10;EN2R+h+sQ+pGHRiqJNStqlYVGVgoRWI8xdckND5bsdsEfj03IDE+ve/VZnK9utEQO88GHhcZKOLa&#10;244bA6f3w0MOKiZki71nMvBNETbr2d0KS+tHfqPbMTVKQjiWaKBNKZRax7olh3HhA7FwZz84TAKH&#10;RtsBRwl3vX7KsqV22LE0tBho11J9OV6dgc89h+ow6vr8swuvX1Xev1xPH8bM76ftM6hEU/oX/7kr&#10;K/OLoshlsPwRAHr9CwAA//8DAFBLAQItABQABgAIAAAAIQDb4fbL7gAAAIUBAAATAAAAAAAAAAAA&#10;AAAAAAAAAABbQ29udGVudF9UeXBlc10ueG1sUEsBAi0AFAAGAAgAAAAhAFr0LFu/AAAAFQEAAAsA&#10;AAAAAAAAAAAAAAAAHwEAAF9yZWxzLy5yZWxzUEsBAi0AFAAGAAgAAAAhALl2C33EAAAA3wAAAA8A&#10;AAAAAAAAAAAAAAAABwIAAGRycy9kb3ducmV2LnhtbFBLBQYAAAAAAwADALcAAAD4AgAAAAA=&#10;" filled="f" stroked="f">
                  <v:textbox inset="0,0,0,0">
                    <w:txbxContent>
                      <w:p w14:paraId="1FC99602" w14:textId="77777777" w:rsidR="00B32EF2" w:rsidRDefault="00000000">
                        <w:r>
                          <w:rPr>
                            <w:rFonts w:ascii="Arial" w:eastAsia="Arial" w:hAnsi="Arial" w:cs="Arial"/>
                            <w:sz w:val="18"/>
                          </w:rPr>
                          <w:t>. La sentenza della corte di giustizia tributaria di primo grado può essere ap</w:t>
                        </w:r>
                      </w:p>
                    </w:txbxContent>
                  </v:textbox>
                </v:rect>
                <v:rect id="Rectangle 15227" o:spid="_x0000_s1819" style="position:absolute;left:191;top:32831;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dcaxAAAAN4AAAAPAAAAZHJzL2Rvd25yZXYueG1sRE9Na8JA&#10;EL0X/A/LCN7qxkBbia4iijQHL7UKHofsmESzs0t2NdFf3y0UepvH+5z5sjeNuFPra8sKJuMEBHFh&#10;dc2lgsP39nUKwgdkjY1lUvAgD8vF4GWOmbYdf9F9H0oRQ9hnqKAKwWVS+qIig35sHXHkzrY1GCJs&#10;S6lb7GK4aWSaJO/SYM2xoUJH64qK6/5mFJw27PJtJ4vzc+12l3zafN4OR6VGw341AxGoD//iP3eu&#10;4/y3NP2A33fiDXLxAwAA//8DAFBLAQItABQABgAIAAAAIQDb4fbL7gAAAIUBAAATAAAAAAAAAAAA&#10;AAAAAAAAAABbQ29udGVudF9UeXBlc10ueG1sUEsBAi0AFAAGAAgAAAAhAFr0LFu/AAAAFQEAAAsA&#10;AAAAAAAAAAAAAAAAHwEAAF9yZWxzLy5yZWxzUEsBAi0AFAAGAAgAAAAhAEcp1xrEAAAA3gAAAA8A&#10;AAAAAAAAAAAAAAAABwIAAGRycy9kb3ducmV2LnhtbFBLBQYAAAAAAwADALcAAAD4AgAAAAA=&#10;" filled="f" stroked="f">
                  <v:textbox inset="0,0,0,0">
                    <w:txbxContent>
                      <w:p w14:paraId="110BB478" w14:textId="77777777" w:rsidR="00B32EF2" w:rsidRDefault="00000000">
                        <w:r>
                          <w:rPr>
                            <w:rFonts w:ascii="Arial" w:eastAsia="Arial" w:hAnsi="Arial" w:cs="Arial"/>
                            <w:sz w:val="18"/>
                          </w:rPr>
                          <w:t>-</w:t>
                        </w:r>
                      </w:p>
                    </w:txbxContent>
                  </v:textbox>
                </v:rect>
                <v:rect id="Rectangle 15228" o:spid="_x0000_s1820" style="position:absolute;left:-13172;top:3159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kNoxwAAAN4AAAAPAAAAZHJzL2Rvd25yZXYueG1sRI9Ba8JA&#10;EIXvhf6HZQq91U0DFYmuIhZpDr1ULfQ4ZMckmp1dsqtJ++s7B8HbDO/Ne98sVqPr1JX62Ho28DrJ&#10;QBFX3rZcGzjsty8zUDEhW+w8k4FfirBaPj4ssLB+4C+67lKtJIRjgQaalEKhdawachgnPhCLdvS9&#10;wyRrX2vb4yDhrtN5lk21w5alocFAm4aq8+7iDPy8cyi3g66Of5vweSpn3cfl8G3M89O4noNKNKa7&#10;+XZdWsF/y3PhlXdkBr38BwAA//8DAFBLAQItABQABgAIAAAAIQDb4fbL7gAAAIUBAAATAAAAAAAA&#10;AAAAAAAAAAAAAABbQ29udGVudF9UeXBlc10ueG1sUEsBAi0AFAAGAAgAAAAhAFr0LFu/AAAAFQEA&#10;AAsAAAAAAAAAAAAAAAAAHwEAAF9yZWxzLy5yZWxzUEsBAi0AFAAGAAgAAAAhADa2Q2jHAAAA3gAA&#10;AA8AAAAAAAAAAAAAAAAABwIAAGRycy9kb3ducmV2LnhtbFBLBQYAAAAAAwADALcAAAD7AgAAAAA=&#10;" filled="f" stroked="f">
                  <v:textbox inset="0,0,0,0">
                    <w:txbxContent>
                      <w:p w14:paraId="56DE78B7" w14:textId="77777777" w:rsidR="00B32EF2" w:rsidRDefault="00000000">
                        <w:r>
                          <w:rPr>
                            <w:rFonts w:ascii="Arial" w:eastAsia="Arial" w:hAnsi="Arial" w:cs="Arial"/>
                            <w:sz w:val="18"/>
                          </w:rPr>
                          <w:t xml:space="preserve">pellata alla corte di giustizia tributaria di secondo grado competente a norma </w:t>
                        </w:r>
                      </w:p>
                    </w:txbxContent>
                  </v:textbox>
                </v:rect>
                <v:rect id="Rectangle 15229" o:spid="_x0000_s1821" style="position:absolute;left:22415;top:30364;width:175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bzxAAAAN4AAAAPAAAAZHJzL2Rvd25yZXYueG1sRE9Na8JA&#10;EL0X/A/LCN7qxkCLja4iijQHL7UKHofsmESzs0t2NdFf3y0UepvH+5z5sjeNuFPra8sKJuMEBHFh&#10;dc2lgsP39nUKwgdkjY1lUvAgD8vF4GWOmbYdf9F9H0oRQ9hnqKAKwWVS+qIig35sHXHkzrY1GCJs&#10;S6lb7GK4aWSaJO/SYM2xoUJH64qK6/5mFJw27PJtJ4vzc+12l3zafN4OR6VGw341AxGoD//iP3eu&#10;4/y3NP2A33fiDXLxAwAA//8DAFBLAQItABQABgAIAAAAIQDb4fbL7gAAAIUBAAATAAAAAAAAAAAA&#10;AAAAAAAAAABbQ29udGVudF9UeXBlc10ueG1sUEsBAi0AFAAGAAgAAAAhAFr0LFu/AAAAFQEAAAsA&#10;AAAAAAAAAAAAAAAAHwEAAF9yZWxzLy5yZWxzUEsBAi0AFAAGAAgAAAAhAFn65vPEAAAA3gAAAA8A&#10;AAAAAAAAAAAAAAAABwIAAGRycy9kb3ducmV2LnhtbFBLBQYAAAAAAwADALcAAAD4AgAAAAA=&#10;" filled="f" stroked="f">
                  <v:textbox inset="0,0,0,0">
                    <w:txbxContent>
                      <w:p w14:paraId="71FD77F2" w14:textId="77777777" w:rsidR="00B32EF2" w:rsidRDefault="00000000">
                        <w:r>
                          <w:rPr>
                            <w:rFonts w:ascii="Arial" w:eastAsia="Arial" w:hAnsi="Arial" w:cs="Arial"/>
                            <w:sz w:val="18"/>
                          </w:rPr>
                          <w:t>dell’articolo 48, comma 2.</w:t>
                        </w:r>
                      </w:p>
                    </w:txbxContent>
                  </v:textbox>
                </v:rect>
                <v:rect id="Rectangle 199986" o:spid="_x0000_s1822" style="position:absolute;left:-13817;top:2913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qUxAAAAN8AAAAPAAAAZHJzL2Rvd25yZXYueG1sRE/Pa8Iw&#10;FL4P/B/CE7zN1B2k7YwyFFkPXuYUPD6aZ9uteQlNtNW/fhGEHT++34vVYFpxpc43lhXMpgkI4tLq&#10;hisFh+/tawrCB2SNrWVScCMPq+XoZYG5tj1/0XUfKhFD2OeooA7B5VL6siaDfmodceTOtjMYIuwq&#10;qTvsY7hp5VuSzKXBhmNDjY7WNZW/+4tRcNqwK7a9LM/3tdv9FGn7eTkclZqMh493EIGG8C9+ugsd&#10;52dZls7h8ScCkMs/AAAA//8DAFBLAQItABQABgAIAAAAIQDb4fbL7gAAAIUBAAATAAAAAAAAAAAA&#10;AAAAAAAAAABbQ29udGVudF9UeXBlc10ueG1sUEsBAi0AFAAGAAgAAAAhAFr0LFu/AAAAFQEAAAsA&#10;AAAAAAAAAAAAAAAAHwEAAF9yZWxzLy5yZWxzUEsBAi0AFAAGAAgAAAAhAKelOpTEAAAA3wAAAA8A&#10;AAAAAAAAAAAAAAAABwIAAGRycy9kb3ducmV2LnhtbFBLBQYAAAAAAwADALcAAAD4AgAAAAA=&#10;" filled="f" stroked="f">
                  <v:textbox inset="0,0,0,0">
                    <w:txbxContent>
                      <w:p w14:paraId="33153471" w14:textId="77777777" w:rsidR="00B32EF2" w:rsidRDefault="00000000">
                        <w:r>
                          <w:rPr>
                            <w:rFonts w:ascii="Arial" w:eastAsia="Arial" w:hAnsi="Arial" w:cs="Arial"/>
                            <w:sz w:val="18"/>
                          </w:rPr>
                          <w:t xml:space="preserve">. L’appellante può chiedere alla corte di giustizia tributaria di secondo grado </w:t>
                        </w:r>
                      </w:p>
                    </w:txbxContent>
                  </v:textbox>
                </v:rect>
                <v:rect id="Rectangle 199985" o:spid="_x0000_s1823" style="position:absolute;left:26109;top:2913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6TjxAAAAN8AAAAPAAAAZHJzL2Rvd25yZXYueG1sRE/Pa8Iw&#10;FL4P/B/CE7zN1IGj7YwyFFkPu+gUPD6aZ9uteQlNtN3+eiMIO358vxerwbTiSp1vLCuYTRMQxKXV&#10;DVcKDl/b5xSED8gaW8uk4Jc8rJajpwXm2va8o+s+VCKGsM9RQR2Cy6X0ZU0G/dQ64sidbWcwRNhV&#10;UnfYx3DTypckeZUGG44NNTpa11T+7C9GwWnDrtj2sjz/rd3nd5G2H5fDUanJeHh/AxFoCP/ih7vQ&#10;cX6WZekc7n8iALm8AQAA//8DAFBLAQItABQABgAIAAAAIQDb4fbL7gAAAIUBAAATAAAAAAAAAAAA&#10;AAAAAAAAAABbQ29udGVudF9UeXBlc10ueG1sUEsBAi0AFAAGAAgAAAAhAFr0LFu/AAAAFQEAAAsA&#10;AAAAAAAAAAAAAAAAHwEAAF9yZWxzLy5yZWxzUEsBAi0AFAAGAAgAAAAhAFd3pOPEAAAA3wAAAA8A&#10;AAAAAAAAAAAAAAAABwIAAGRycy9kb3ducmV2LnhtbFBLBQYAAAAAAwADALcAAAD4AgAAAAA=&#10;" filled="f" stroked="f">
                  <v:textbox inset="0,0,0,0">
                    <w:txbxContent>
                      <w:p w14:paraId="6D05B7AA" w14:textId="77777777" w:rsidR="00B32EF2" w:rsidRDefault="00000000">
                        <w:r>
                          <w:rPr>
                            <w:rFonts w:ascii="Arial" w:eastAsia="Arial" w:hAnsi="Arial" w:cs="Arial"/>
                            <w:sz w:val="18"/>
                          </w:rPr>
                          <w:t>2</w:t>
                        </w:r>
                      </w:p>
                    </w:txbxContent>
                  </v:textbox>
                </v:rect>
                <v:rect id="Rectangle 15231" o:spid="_x0000_s1824" style="position:absolute;left:-13172;top:2789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XwoxAAAAN4AAAAPAAAAZHJzL2Rvd25yZXYueG1sRE9Li8Iw&#10;EL4v+B/CCN7WVJddpBpFFNkevKwP8Dg0Y1ttJqGJtvrrNwsL3ubje85s0Zla3KnxlWUFo2ECgji3&#10;uuJCwWG/eZ+A8AFZY22ZFDzIw2Lee5thqm3LP3TfhULEEPYpKihDcKmUPi/JoB9aRxy5s20Mhgib&#10;QuoG2xhuajlOki9psOLYUKKjVUn5dXczCk5rdtmmlfn5uXLbSzapv2+Ho1KDfrecggjUhZf4353p&#10;OP9z/DGCv3fiDXL+CwAA//8DAFBLAQItABQABgAIAAAAIQDb4fbL7gAAAIUBAAATAAAAAAAAAAAA&#10;AAAAAAAAAABbQ29udGVudF9UeXBlc10ueG1sUEsBAi0AFAAGAAgAAAAhAFr0LFu/AAAAFQEAAAsA&#10;AAAAAAAAAAAAAAAAHwEAAF9yZWxzLy5yZWxzUEsBAi0AFAAGAAgAAAAhACJVfCjEAAAA3gAAAA8A&#10;AAAAAAAAAAAAAAAABwIAAGRycy9kb3ducmV2LnhtbFBLBQYAAAAAAwADALcAAAD4AgAAAAA=&#10;" filled="f" stroked="f">
                  <v:textbox inset="0,0,0,0">
                    <w:txbxContent>
                      <w:p w14:paraId="08043B31" w14:textId="77777777" w:rsidR="00B32EF2" w:rsidRDefault="00000000">
                        <w:r>
                          <w:rPr>
                            <w:rFonts w:ascii="Arial" w:eastAsia="Arial" w:hAnsi="Arial" w:cs="Arial"/>
                            <w:sz w:val="18"/>
                          </w:rPr>
                          <w:t xml:space="preserve">di sospendere in tutto o in parte l’esecutività della sentenza impugnata, se </w:t>
                        </w:r>
                      </w:p>
                    </w:txbxContent>
                  </v:textbox>
                </v:rect>
                <v:rect id="Rectangle 15232" o:spid="_x0000_s1825" style="position:absolute;left:17734;top:26664;width:221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JfxAAAAN4AAAAPAAAAZHJzL2Rvd25yZXYueG1sRE9Na8JA&#10;EL0X/A/LCN7qxpQWia4iijQHL7UKHofsmESzs0t2NdFf3y0UepvH+5z5sjeNuFPra8sKJuMEBHFh&#10;dc2lgsP39nUKwgdkjY1lUvAgD8vF4GWOmbYdf9F9H0oRQ9hnqKAKwWVS+qIig35sHXHkzrY1GCJs&#10;S6lb7GK4aWSaJB/SYM2xoUJH64qK6/5mFJw27PJtJ4vzc+12l3zafN4OR6VGw341AxGoD//iP3eu&#10;4/z39C2F33fiDXLxAwAA//8DAFBLAQItABQABgAIAAAAIQDb4fbL7gAAAIUBAAATAAAAAAAAAAAA&#10;AAAAAAAAAABbQ29udGVudF9UeXBlc10ueG1sUEsBAi0AFAAGAAgAAAAhAFr0LFu/AAAAFQEAAAsA&#10;AAAAAAAAAAAAAAAAHwEAAF9yZWxzLy5yZWxzUEsBAi0AFAAGAAgAAAAhANKH4l/EAAAA3gAAAA8A&#10;AAAAAAAAAAAAAAAABwIAAGRycy9kb3ducmV2LnhtbFBLBQYAAAAAAwADALcAAAD4AgAAAAA=&#10;" filled="f" stroked="f">
                  <v:textbox inset="0,0,0,0">
                    <w:txbxContent>
                      <w:p w14:paraId="597B77A1" w14:textId="77777777" w:rsidR="00B32EF2" w:rsidRDefault="00000000">
                        <w:r>
                          <w:rPr>
                            <w:rFonts w:ascii="Arial" w:eastAsia="Arial" w:hAnsi="Arial" w:cs="Arial"/>
                            <w:sz w:val="18"/>
                          </w:rPr>
                          <w:t>sussistono gravi e fondati motivi.</w:t>
                        </w:r>
                      </w:p>
                    </w:txbxContent>
                  </v:textbox>
                </v:rect>
                <v:rect id="Rectangle 199983" o:spid="_x0000_s1826" style="position:absolute;left:26109;top:2543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pkMxAAAAN8AAAAPAAAAZHJzL2Rvd25yZXYueG1sRE/Pa8Iw&#10;FL4P/B/CE7zN1Amj7YwyFFkPu+gUPD6aZ9uteQlNtN3+eiMIO358vxerwbTiSp1vLCuYTRMQxKXV&#10;DVcKDl/b5xSED8gaW8uk4Jc8rJajpwXm2va8o+s+VCKGsM9RQR2Cy6X0ZU0G/dQ64sidbWcwRNhV&#10;UnfYx3DTypckeZUGG44NNTpa11T+7C9GwWnDrtj2sjz/rd3nd5G2H5fDUanJeHh/AxFoCP/ih7vQ&#10;cX6WZekc7n8iALm8AQAA//8DAFBLAQItABQABgAIAAAAIQDb4fbL7gAAAIUBAAATAAAAAAAAAAAA&#10;AAAAAAAAAABbQ29udGVudF9UeXBlc10ueG1sUEsBAi0AFAAGAAgAAAAhAFr0LFu/AAAAFQEAAAsA&#10;AAAAAAAAAAAAAAAAHwEAAF9yZWxzLy5yZWxzUEsBAi0AFAAGAAgAAAAhALfSmQzEAAAA3wAAAA8A&#10;AAAAAAAAAAAAAAAABwIAAGRycy9kb3ducmV2LnhtbFBLBQYAAAAAAwADALcAAAD4AgAAAAA=&#10;" filled="f" stroked="f">
                  <v:textbox inset="0,0,0,0">
                    <w:txbxContent>
                      <w:p w14:paraId="28D3EDA5" w14:textId="77777777" w:rsidR="00B32EF2" w:rsidRDefault="00000000">
                        <w:r>
                          <w:rPr>
                            <w:rFonts w:ascii="Arial" w:eastAsia="Arial" w:hAnsi="Arial" w:cs="Arial"/>
                            <w:sz w:val="18"/>
                          </w:rPr>
                          <w:t>3</w:t>
                        </w:r>
                      </w:p>
                    </w:txbxContent>
                  </v:textbox>
                </v:rect>
                <v:rect id="Rectangle 199984" o:spid="_x0000_s1827" style="position:absolute;left:-13817;top:2543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wF4xAAAAN8AAAAPAAAAZHJzL2Rvd25yZXYueG1sRE/Pa8Iw&#10;FL4P/B/CE7zN1CGj7YwyFFkPu+gUPD6aZ9uteQlNtN3+eiMIO358vxerwbTiSp1vLCuYTRMQxKXV&#10;DVcKDl/b5xSED8gaW8uk4Jc8rJajpwXm2va8o+s+VCKGsM9RQR2Cy6X0ZU0G/dQ64sidbWcwRNhV&#10;UnfYx3DTypckeZUGG44NNTpa11T+7C9GwWnDrtj2sjz/rd3nd5G2H5fDUanJeHh/AxFoCP/ih7vQ&#10;cX6WZekc7n8iALm8AQAA//8DAFBLAQItABQABgAIAAAAIQDb4fbL7gAAAIUBAAATAAAAAAAAAAAA&#10;AAAAAAAAAABbQ29udGVudF9UeXBlc10ueG1sUEsBAi0AFAAGAAgAAAAhAFr0LFu/AAAAFQEAAAsA&#10;AAAAAAAAAAAAAAAAHwEAAF9yZWxzLy5yZWxzUEsBAi0AFAAGAAgAAAAhADg7AXjEAAAA3wAAAA8A&#10;AAAAAAAAAAAAAAAABwIAAGRycy9kb3ducmV2LnhtbFBLBQYAAAAAAwADALcAAAD4AgAAAAA=&#10;" filled="f" stroked="f">
                  <v:textbox inset="0,0,0,0">
                    <w:txbxContent>
                      <w:p w14:paraId="5DE2814D" w14:textId="77777777" w:rsidR="00B32EF2" w:rsidRDefault="00000000">
                        <w:r>
                          <w:rPr>
                            <w:rFonts w:ascii="Arial" w:eastAsia="Arial" w:hAnsi="Arial" w:cs="Arial"/>
                            <w:sz w:val="18"/>
                          </w:rPr>
                          <w:t xml:space="preserve">. Il presidente fissa con decreto la trattazione della istanza di sospensione </w:t>
                        </w:r>
                      </w:p>
                    </w:txbxContent>
                  </v:textbox>
                </v:rect>
                <v:rect id="Rectangle 15234" o:spid="_x0000_s1828" style="position:absolute;left:-12301;top:24198;width:5223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t+wxQAAAN4AAAAPAAAAZHJzL2Rvd25yZXYueG1sRE9La8JA&#10;EL4X/A/LCN7qplpFoqsUi5hDL/UBHofsmMRmZ5fsamJ/fbcgeJuP7zmLVWdqcaPGV5YVvA0TEMS5&#10;1RUXCg77zesMhA/IGmvLpOBOHlbL3ssCU21b/qbbLhQihrBPUUEZgkul9HlJBv3QOuLInW1jMETY&#10;FFI32MZwU8tRkkylwYpjQ4mO1iXlP7urUXD6ZJdtWpmff9fu65LN6u31cFRq0O8+5iACdeEpfrgz&#10;HedPRuN3+H8n3iCXfwAAAP//AwBQSwECLQAUAAYACAAAACEA2+H2y+4AAACFAQAAEwAAAAAAAAAA&#10;AAAAAAAAAAAAW0NvbnRlbnRfVHlwZXNdLnhtbFBLAQItABQABgAIAAAAIQBa9CxbvwAAABUBAAAL&#10;AAAAAAAAAAAAAAAAAB8BAABfcmVscy8ucmVsc1BLAQItABQABgAIAAAAIQAyIt+wxQAAAN4AAAAP&#10;AAAAAAAAAAAAAAAAAAcCAABkcnMvZG93bnJldi54bWxQSwUGAAAAAAMAAwC3AAAA+QIAAAAA&#10;" filled="f" stroked="f">
                  <v:textbox inset="0,0,0,0">
                    <w:txbxContent>
                      <w:p w14:paraId="40A5FF0C" w14:textId="77777777" w:rsidR="00B32EF2" w:rsidRDefault="00000000">
                        <w:r>
                          <w:rPr>
                            <w:rFonts w:ascii="Arial" w:eastAsia="Arial" w:hAnsi="Arial" w:cs="Arial"/>
                            <w:sz w:val="18"/>
                          </w:rPr>
                          <w:t>per la prima camera di consiglio utile e comunque non oltre il trentesimo gior</w:t>
                        </w:r>
                      </w:p>
                    </w:txbxContent>
                  </v:textbox>
                </v:rect>
                <v:rect id="Rectangle 15235" o:spid="_x0000_s1829" style="position:absolute;left:191;top:24198;width:5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orxAAAAN4AAAAPAAAAZHJzL2Rvd25yZXYueG1sRE9Ni8Iw&#10;EL0L/ocwgjdNVVykaxRRxB72sq4Lexyasa02k9BEW/31m4UFb/N4n7Ncd6YWd2p8ZVnBZJyAIM6t&#10;rrhQcPrajxYgfEDWWFsmBQ/ysF71e0tMtW35k+7HUIgYwj5FBWUILpXS5yUZ9GPriCN3to3BEGFT&#10;SN1gG8NNLadJ8iYNVhwbSnS0LSm/Hm9Gwc+OXbZvZX5+bt3HJVvUh9vpW6nhoNu8gwjUhZf4353p&#10;OH8+nc3h7514g1z9AgAA//8DAFBLAQItABQABgAIAAAAIQDb4fbL7gAAAIUBAAATAAAAAAAAAAAA&#10;AAAAAAAAAABbQ29udGVudF9UeXBlc10ueG1sUEsBAi0AFAAGAAgAAAAhAFr0LFu/AAAAFQEAAAsA&#10;AAAAAAAAAAAAAAAAHwEAAF9yZWxzLy5yZWxzUEsBAi0AFAAGAAgAAAAhAF1ueivEAAAA3gAAAA8A&#10;AAAAAAAAAAAAAAAABwIAAGRycy9kb3ducmV2LnhtbFBLBQYAAAAAAwADALcAAAD4AgAAAAA=&#10;" filled="f" stroked="f">
                  <v:textbox inset="0,0,0,0">
                    <w:txbxContent>
                      <w:p w14:paraId="29B79CD3" w14:textId="77777777" w:rsidR="00B32EF2" w:rsidRDefault="00000000">
                        <w:r>
                          <w:rPr>
                            <w:rFonts w:ascii="Arial" w:eastAsia="Arial" w:hAnsi="Arial" w:cs="Arial"/>
                            <w:sz w:val="18"/>
                          </w:rPr>
                          <w:t>-</w:t>
                        </w:r>
                      </w:p>
                    </w:txbxContent>
                  </v:textbox>
                </v:rect>
                <v:rect id="Rectangle 15236" o:spid="_x0000_s1830" style="position:absolute;left:-13172;top:2296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ORcxAAAAN4AAAAPAAAAZHJzL2Rvd25yZXYueG1sRE9Ni8Iw&#10;EL0L/ocwgjdNVVakaxRRxB72sq4Lexyasa02k9BEW/31m4UFb/N4n7Ncd6YWd2p8ZVnBZJyAIM6t&#10;rrhQcPrajxYgfEDWWFsmBQ/ysF71e0tMtW35k+7HUIgYwj5FBWUILpXS5yUZ9GPriCN3to3BEGFT&#10;SN1gG8NNLadJMpcGK44NJTralpRfjzej4GfHLtu3Mj8/t+7jki3qw+30rdRw0G3eQQTqwkv87850&#10;nP82nc3h7514g1z9AgAA//8DAFBLAQItABQABgAIAAAAIQDb4fbL7gAAAIUBAAATAAAAAAAAAAAA&#10;AAAAAAAAAABbQ29udGVudF9UeXBlc10ueG1sUEsBAi0AFAAGAAgAAAAhAFr0LFu/AAAAFQEAAAsA&#10;AAAAAAAAAAAAAAAAHwEAAF9yZWxzLy5yZWxzUEsBAi0AFAAGAAgAAAAhAK285FzEAAAA3gAAAA8A&#10;AAAAAAAAAAAAAAAABwIAAGRycy9kb3ducmV2LnhtbFBLBQYAAAAAAwADALcAAAD4AgAAAAA=&#10;" filled="f" stroked="f">
                  <v:textbox inset="0,0,0,0">
                    <w:txbxContent>
                      <w:p w14:paraId="46F40CE0" w14:textId="77777777" w:rsidR="00B32EF2" w:rsidRDefault="00000000">
                        <w:r>
                          <w:rPr>
                            <w:rFonts w:ascii="Arial" w:eastAsia="Arial" w:hAnsi="Arial" w:cs="Arial"/>
                            <w:sz w:val="18"/>
                          </w:rPr>
                          <w:t xml:space="preserve">no dalla presentazione della medesima istanza, disponendo che ne sia data </w:t>
                        </w:r>
                      </w:p>
                    </w:txbxContent>
                  </v:textbox>
                </v:rect>
                <v:rect id="Rectangle 15237" o:spid="_x0000_s1831" style="position:absolute;left:-171;top:21731;width:40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EHHxQAAAN4AAAAPAAAAZHJzL2Rvd25yZXYueG1sRE9La8JA&#10;EL4X/A/LCN7qpkpVoqsUi5hDL/UBHofsmMRmZ5fsamJ/fbcgeJuP7zmLVWdqcaPGV5YVvA0TEMS5&#10;1RUXCg77zesMhA/IGmvLpOBOHlbL3ssCU21b/qbbLhQihrBPUUEZgkul9HlJBv3QOuLInW1jMETY&#10;FFI32MZwU8tRkkykwYpjQ4mO1iXlP7urUXD6ZJdtWpmff9fu65LN6u31cFRq0O8+5iACdeEpfrgz&#10;Hee/j8ZT+H8n3iCXfwAAAP//AwBQSwECLQAUAAYACAAAACEA2+H2y+4AAACFAQAAEwAAAAAAAAAA&#10;AAAAAAAAAAAAW0NvbnRlbnRfVHlwZXNdLnhtbFBLAQItABQABgAIAAAAIQBa9CxbvwAAABUBAAAL&#10;AAAAAAAAAAAAAAAAAB8BAABfcmVscy8ucmVsc1BLAQItABQABgAIAAAAIQDC8EHHxQAAAN4AAAAP&#10;AAAAAAAAAAAAAAAAAAcCAABkcnMvZG93bnJldi54bWxQSwUGAAAAAAMAAwC3AAAA+QIAAAAA&#10;" filled="f" stroked="f">
                  <v:textbox inset="0,0,0,0">
                    <w:txbxContent>
                      <w:p w14:paraId="382D398C" w14:textId="77777777" w:rsidR="00B32EF2" w:rsidRDefault="00000000">
                        <w:r>
                          <w:rPr>
                            <w:rFonts w:ascii="Arial" w:eastAsia="Arial" w:hAnsi="Arial" w:cs="Arial"/>
                            <w:sz w:val="18"/>
                          </w:rPr>
                          <w:t xml:space="preserve">comunicazione alle parti almeno cinque giorni liberi prima. </w:t>
                        </w:r>
                      </w:p>
                    </w:txbxContent>
                  </v:textbox>
                </v:rect>
                <v:rect id="Rectangle 199982" o:spid="_x0000_s1832" style="position:absolute;left:-13804;top:2049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jyXxAAAAN8AAAAPAAAAZHJzL2Rvd25yZXYueG1sRE/Pa8Iw&#10;FL4P/B/CE3abqR5GW02LKLIedplzsOOjebbV5iU00Xb765fBYMeP7/emnEwv7jT4zrKC5SIBQVxb&#10;3XGj4PR+eEpB+ICssbdMCr7IQ1nMHjaYazvyG92PoRExhH2OCtoQXC6lr1sy6BfWEUfubAeDIcKh&#10;kXrAMYabXq6S5Fka7Dg2tOho11J9Pd6Mgs89u+owyvr8vXOvlyrtX26nD6Ue59N2DSLQFP7Ff+5K&#10;x/lZlqUr+P0TAcjiBwAA//8DAFBLAQItABQABgAIAAAAIQDb4fbL7gAAAIUBAAATAAAAAAAAAAAA&#10;AAAAAAAAAABbQ29udGVudF9UeXBlc10ueG1sUEsBAi0AFAAGAAgAAAAhAFr0LFu/AAAAFQEAAAsA&#10;AAAAAAAAAAAAAAAAHwEAAF9yZWxzLy5yZWxzUEsBAi0AFAAGAAgAAAAhANiePJfEAAAA3wAAAA8A&#10;AAAAAAAAAAAAAAAABwIAAGRycy9kb3ducmV2LnhtbFBLBQYAAAAAAwADALcAAAD4AgAAAAA=&#10;" filled="f" stroked="f">
                  <v:textbox inset="0,0,0,0">
                    <w:txbxContent>
                      <w:p w14:paraId="7E8F4B94" w14:textId="77777777" w:rsidR="00B32EF2" w:rsidRDefault="00000000">
                        <w:r>
                          <w:rPr>
                            <w:rFonts w:ascii="Arial" w:eastAsia="Arial" w:hAnsi="Arial" w:cs="Arial"/>
                            <w:sz w:val="18"/>
                          </w:rPr>
                          <w:t xml:space="preserve">. In caso di eccezionale urgenza il presidente, previa delibazione del merito, </w:t>
                        </w:r>
                      </w:p>
                    </w:txbxContent>
                  </v:textbox>
                </v:rect>
                <v:rect id="Rectangle 199981" o:spid="_x0000_s1833" style="position:absolute;left:26109;top:20498;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KLgxAAAAN8AAAAPAAAAZHJzL2Rvd25yZXYueG1sRE/Pa8Iw&#10;FL4P/B/CE7zNVA+jrUYRRdaDlzkHOz6aZ1ttXkITbfWvXwaDHT++38v1YFpxp843lhXMpgkI4tLq&#10;hisFp8/9awrCB2SNrWVS8CAP69XoZYm5tj1/0P0YKhFD2OeooA7B5VL6siaDfmodceTOtjMYIuwq&#10;qTvsY7hp5TxJ3qTBhmNDjY62NZXX480o+N6xK/a9LM/PrTtcirR9v52+lJqMh80CRKAh/Iv/3IWO&#10;87MsS2fw+ycCkKsfAAAA//8DAFBLAQItABQABgAIAAAAIQDb4fbL7gAAAIUBAAATAAAAAAAAAAAA&#10;AAAAAAAAAABbQ29udGVudF9UeXBlc10ueG1sUEsBAi0AFAAGAAgAAAAhAFr0LFu/AAAAFQEAAAsA&#10;AAAAAAAAAAAAAAAAHwEAAF9yZWxzLy5yZWxzUEsBAi0AFAAGAAgAAAAhAChMouDEAAAA3wAAAA8A&#10;AAAAAAAAAAAAAAAABwIAAGRycy9kb3ducmV2LnhtbFBLBQYAAAAAAwADALcAAAD4AgAAAAA=&#10;" filled="f" stroked="f">
                  <v:textbox inset="0,0,0,0">
                    <w:txbxContent>
                      <w:p w14:paraId="4E4BAF0C" w14:textId="77777777" w:rsidR="00B32EF2" w:rsidRDefault="00000000">
                        <w:r>
                          <w:rPr>
                            <w:rFonts w:ascii="Arial" w:eastAsia="Arial" w:hAnsi="Arial" w:cs="Arial"/>
                            <w:sz w:val="18"/>
                          </w:rPr>
                          <w:t>4</w:t>
                        </w:r>
                      </w:p>
                    </w:txbxContent>
                  </v:textbox>
                </v:rect>
                <v:rect id="Rectangle 15239" o:spid="_x0000_s1834" style="position:absolute;left:-12205;top:19264;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3AuxQAAAN4AAAAPAAAAZHJzL2Rvd25yZXYueG1sRE9Na8JA&#10;EL0L/Q/LFLzpRqVio6uIIs3BS62FHofsmESzs0t2NWl/vVsQvM3jfc5i1Zla3KjxlWUFo2ECgji3&#10;uuJCwfFrN5iB8AFZY22ZFPySh9XypbfAVNuWP+l2CIWIIexTVFCG4FIpfV6SQT+0jjhyJ9sYDBE2&#10;hdQNtjHc1HKcJFNpsOLYUKKjTUn55XA1Cn627LJdK/PT38btz9ms/rgev5Xqv3brOYhAXXiKH+5M&#10;x/lv48k7/L8Tb5DLOwAAAP//AwBQSwECLQAUAAYACAAAACEA2+H2y+4AAACFAQAAEwAAAAAAAAAA&#10;AAAAAAAAAAAAW0NvbnRlbnRfVHlwZXNdLnhtbFBLAQItABQABgAIAAAAIQBa9CxbvwAAABUBAAAL&#10;AAAAAAAAAAAAAAAAAB8BAABfcmVscy8ucmVsc1BLAQItABQABgAIAAAAIQDcI3AuxQAAAN4AAAAP&#10;AAAAAAAAAAAAAAAAAAcCAABkcnMvZG93bnJldi54bWxQSwUGAAAAAAMAAwC3AAAA+QIAAAAA&#10;" filled="f" stroked="f">
                  <v:textbox inset="0,0,0,0">
                    <w:txbxContent>
                      <w:p w14:paraId="05E3D420" w14:textId="77777777" w:rsidR="00B32EF2" w:rsidRDefault="00000000">
                        <w:r>
                          <w:rPr>
                            <w:rFonts w:ascii="Arial" w:eastAsia="Arial" w:hAnsi="Arial" w:cs="Arial"/>
                            <w:sz w:val="18"/>
                          </w:rPr>
                          <w:t>può disporre con decreto motivato la sospensione dell’esecutività della sen</w:t>
                        </w:r>
                      </w:p>
                    </w:txbxContent>
                  </v:textbox>
                </v:rect>
                <v:rect id="Rectangle 15240" o:spid="_x0000_s1835" style="position:absolute;left:191;top:19264;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6rOxwAAAN4AAAAPAAAAZHJzL2Rvd25yZXYueG1sRI9Ba8JA&#10;EIXvQv/DMoXedFNRkdRVikXMoZeqhR6H7Jikzc4u2dWk/fXOoeBthnnz3vtWm8G16kpdbDwbeJ5k&#10;oIhLbxuuDJyOu/ESVEzIFlvPZOCXImzWD6MV5tb3/EHXQ6qUmHDM0UCdUsi1jmVNDuPEB2K5nX3n&#10;MMnaVdp22Iu5a/U0yxbaYcOSUGOgbU3lz+HiDHy9cSh2vS7Pf9vw/l0s2/3l9GnM0+Pw+gIq0ZDu&#10;4v/vwkr9+XQmAIIjM+j1DQAA//8DAFBLAQItABQABgAIAAAAIQDb4fbL7gAAAIUBAAATAAAAAAAA&#10;AAAAAAAAAAAAAABbQ29udGVudF9UeXBlc10ueG1sUEsBAi0AFAAGAAgAAAAhAFr0LFu/AAAAFQEA&#10;AAsAAAAAAAAAAAAAAAAAHwEAAF9yZWxzLy5yZWxzUEsBAi0AFAAGAAgAAAAhABUfqs7HAAAA3gAA&#10;AA8AAAAAAAAAAAAAAAAABwIAAGRycy9kb3ducmV2LnhtbFBLBQYAAAAAAwADALcAAAD7AgAAAAA=&#10;" filled="f" stroked="f">
                  <v:textbox inset="0,0,0,0">
                    <w:txbxContent>
                      <w:p w14:paraId="0AF8939C" w14:textId="77777777" w:rsidR="00B32EF2" w:rsidRDefault="00000000">
                        <w:r>
                          <w:rPr>
                            <w:rFonts w:ascii="Arial" w:eastAsia="Arial" w:hAnsi="Arial" w:cs="Arial"/>
                            <w:sz w:val="18"/>
                          </w:rPr>
                          <w:t>-</w:t>
                        </w:r>
                      </w:p>
                    </w:txbxContent>
                  </v:textbox>
                </v:rect>
                <v:rect id="Rectangle 15241" o:spid="_x0000_s1836" style="position:absolute;left:14263;top:18031;width:256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w9VxAAAAN4AAAAPAAAAZHJzL2Rvd25yZXYueG1sRE9Li8Iw&#10;EL4v+B/CCN7WVNldpBpFFNkevKwP8Dg0Y1ttJqGJtvrrNwsL3ubje85s0Zla3KnxlWUFo2ECgji3&#10;uuJCwWG/eZ+A8AFZY22ZFDzIw2Lee5thqm3LP3TfhULEEPYpKihDcKmUPi/JoB9aRxy5s20Mhgib&#10;QuoG2xhuajlOki9psOLYUKKjVUn5dXczCk5rdtmmlfn5uXLbSzapv2+Ho1KDfrecggjUhZf4353p&#10;OP9z/DGCv3fiDXL+CwAA//8DAFBLAQItABQABgAIAAAAIQDb4fbL7gAAAIUBAAATAAAAAAAAAAAA&#10;AAAAAAAAAABbQ29udGVudF9UeXBlc10ueG1sUEsBAi0AFAAGAAgAAAAhAFr0LFu/AAAAFQEAAAsA&#10;AAAAAAAAAAAAAAAAHwEAAF9yZWxzLy5yZWxzUEsBAi0AFAAGAAgAAAAhAHpTD1XEAAAA3gAAAA8A&#10;AAAAAAAAAAAAAAAABwIAAGRycy9kb3ducmV2LnhtbFBLBQYAAAAAAwADALcAAAD4AgAAAAA=&#10;" filled="f" stroked="f">
                  <v:textbox inset="0,0,0,0">
                    <w:txbxContent>
                      <w:p w14:paraId="20A754AD" w14:textId="77777777" w:rsidR="00B32EF2" w:rsidRDefault="00000000">
                        <w:r>
                          <w:rPr>
                            <w:rFonts w:ascii="Arial" w:eastAsia="Arial" w:hAnsi="Arial" w:cs="Arial"/>
                            <w:sz w:val="18"/>
                          </w:rPr>
                          <w:t xml:space="preserve">tenza fino alla pronuncia del collegio. </w:t>
                        </w:r>
                      </w:p>
                    </w:txbxContent>
                  </v:textbox>
                </v:rect>
                <v:rect id="Rectangle 199980" o:spid="_x0000_s1837" style="position:absolute;left:-12836;top:16798;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Ad7xAAAAN8AAAAPAAAAZHJzL2Rvd25yZXYueG1sRE89T8Mw&#10;EN2R+h+sQ+pGHRiqJNStqlYVGVgoRWI8xdckND5bsdsEfj03IDE+ve/VZnK9utEQO88GHhcZKOLa&#10;244bA6f3w0MOKiZki71nMvBNETbr2d0KS+tHfqPbMTVKQjiWaKBNKZRax7olh3HhA7FwZz84TAKH&#10;RtsBRwl3vX7KsqV22LE0tBho11J9OV6dgc89h+ow6vr8swuvX1Xev1xPH8bM76ftM6hEU/oX/7kr&#10;K/OLosjlgfwRAHr9CwAA//8DAFBLAQItABQABgAIAAAAIQDb4fbL7gAAAIUBAAATAAAAAAAAAAAA&#10;AAAAAAAAAABbQ29udGVudF9UeXBlc10ueG1sUEsBAi0AFAAGAAgAAAAhAFr0LFu/AAAAFQEAAAsA&#10;AAAAAAAAAAAAAAAAHwEAAF9yZWxzLy5yZWxzUEsBAi0AFAAGAAgAAAAhAEcAB3vEAAAA3wAAAA8A&#10;AAAAAAAAAAAAAAAABwIAAGRycy9kb3ducmV2LnhtbFBLBQYAAAAAAwADALcAAAD4AgAAAAA=&#10;" filled="f" stroked="f">
                  <v:textbox inset="0,0,0,0">
                    <w:txbxContent>
                      <w:p w14:paraId="10F7DFC5" w14:textId="77777777" w:rsidR="00B32EF2" w:rsidRDefault="00000000">
                        <w:r>
                          <w:rPr>
                            <w:rFonts w:ascii="Arial" w:eastAsia="Arial" w:hAnsi="Arial" w:cs="Arial"/>
                            <w:sz w:val="18"/>
                          </w:rPr>
                          <w:t>. Il collegio, sentite le parti in camera di consiglio e delibato il merito, provve</w:t>
                        </w:r>
                      </w:p>
                    </w:txbxContent>
                  </v:textbox>
                </v:rect>
                <v:rect id="Rectangle 199979" o:spid="_x0000_s1838" style="position:absolute;left:26352;top:16798;width:52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97BxAAAAN8AAAAPAAAAZHJzL2Rvd25yZXYueG1sRE/Pa8Iw&#10;FL4P/B/CE7zN1B2crUYRRdbDLnMKHh/Ns602L6GJtvrXL4PBjh/f78WqN424U+trywom4wQEcWF1&#10;zaWCw/fudQbCB2SNjWVS8CAPq+XgZYGZth1/0X0fShFD2GeooArBZVL6oiKDfmwdceTOtjUYImxL&#10;qVvsYrhp5FuSTKXBmmNDhY42FRXX/c0oOG3Z5btOFufnxn1e8lnzcTsclRoN+/UcRKA+/Iv/3LmO&#10;89M0fU/h908EIJc/AAAA//8DAFBLAQItABQABgAIAAAAIQDb4fbL7gAAAIUBAAATAAAAAAAAAAAA&#10;AAAAAAAAAABbQ29udGVudF9UeXBlc10ueG1sUEsBAi0AFAAGAAgAAAAhAFr0LFu/AAAAFQEAAAsA&#10;AAAAAAAAAAAAAAAAHwEAAF9yZWxzLy5yZWxzUEsBAi0AFAAGAAgAAAAhAOPv3sHEAAAA3wAAAA8A&#10;AAAAAAAAAAAAAAAABwIAAGRycy9kb3ducmV2LnhtbFBLBQYAAAAAAwADALcAAAD4AgAAAAA=&#10;" filled="f" stroked="f">
                  <v:textbox inset="0,0,0,0">
                    <w:txbxContent>
                      <w:p w14:paraId="719ABDFA" w14:textId="77777777" w:rsidR="00B32EF2" w:rsidRDefault="00000000">
                        <w:r>
                          <w:rPr>
                            <w:rFonts w:ascii="Arial" w:eastAsia="Arial" w:hAnsi="Arial" w:cs="Arial"/>
                            <w:sz w:val="18"/>
                          </w:rPr>
                          <w:t>5</w:t>
                        </w:r>
                      </w:p>
                    </w:txbxContent>
                  </v:textbox>
                </v:rect>
                <v:rect id="Rectangle 15243" o:spid="_x0000_s1839" style="position:absolute;left:191;top:16798;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TS5xQAAAN4AAAAPAAAAZHJzL2Rvd25yZXYueG1sRE9La8JA&#10;EL4X/A/LCN7qplpFoqsUi5hDL/UBHofsmMRmZ5fsamJ/fbcgeJuP7zmLVWdqcaPGV5YVvA0TEMS5&#10;1RUXCg77zesMhA/IGmvLpOBOHlbL3ssCU21b/qbbLhQihrBPUUEZgkul9HlJBv3QOuLInW1jMETY&#10;FFI32MZwU8tRkkylwYpjQ4mO1iXlP7urUXD6ZJdtWpmff9fu65LN6u31cFRq0O8+5iACdeEpfrgz&#10;HedPRu9j+H8n3iCXfwAAAP//AwBQSwECLQAUAAYACAAAACEA2+H2y+4AAACFAQAAEwAAAAAAAAAA&#10;AAAAAAAAAAAAW0NvbnRlbnRfVHlwZXNdLnhtbFBLAQItABQABgAIAAAAIQBa9CxbvwAAABUBAAAL&#10;AAAAAAAAAAAAAAAAAB8BAABfcmVscy8ucmVsc1BLAQItABQABgAIAAAAIQDlzTS5xQAAAN4AAAAP&#10;AAAAAAAAAAAAAAAAAAcCAABkcnMvZG93bnJldi54bWxQSwUGAAAAAAMAAwC3AAAA+QIAAAAA&#10;" filled="f" stroked="f">
                  <v:textbox inset="0,0,0,0">
                    <w:txbxContent>
                      <w:p w14:paraId="68D5C8CF" w14:textId="77777777" w:rsidR="00B32EF2" w:rsidRDefault="00000000">
                        <w:r>
                          <w:rPr>
                            <w:rFonts w:ascii="Arial" w:eastAsia="Arial" w:hAnsi="Arial" w:cs="Arial"/>
                            <w:sz w:val="18"/>
                          </w:rPr>
                          <w:t>-</w:t>
                        </w:r>
                      </w:p>
                    </w:txbxContent>
                  </v:textbox>
                </v:rect>
                <v:rect id="Rectangle 15244" o:spid="_x0000_s1840" style="position:absolute;left:9776;top:15564;width:301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zNxAAAAN4AAAAPAAAAZHJzL2Rvd25yZXYueG1sRE9Ni8Iw&#10;EL0v+B/CCN7WVHEX6RpFFLEHL7ou7HFoxrbaTEITbfXXb4QFb/N4nzNbdKYWN2p8ZVnBaJiAIM6t&#10;rrhQcPzevE9B+ICssbZMCu7kYTHvvc0w1bblPd0OoRAxhH2KCsoQXCqlz0sy6IfWEUfuZBuDIcKm&#10;kLrBNoabWo6T5FMarDg2lOhoVVJ+OVyNgt81u2zTyvz0WLndOZvW2+vxR6lBv1t+gQjUhZf4353p&#10;OP9jPJnA8514g5z/AQAA//8DAFBLAQItABQABgAIAAAAIQDb4fbL7gAAAIUBAAATAAAAAAAAAAAA&#10;AAAAAAAAAABbQ29udGVudF9UeXBlc10ueG1sUEsBAi0AFAAGAAgAAAAhAFr0LFu/AAAAFQEAAAsA&#10;AAAAAAAAAAAAAAAAHwEAAF9yZWxzLy5yZWxzUEsBAi0AFAAGAAgAAAAhAGokrM3EAAAA3gAAAA8A&#10;AAAAAAAAAAAAAAAABwIAAGRycy9kb3ducmV2LnhtbFBLBQYAAAAAAwADALcAAAD4AgAAAAA=&#10;" filled="f" stroked="f">
                  <v:textbox inset="0,0,0,0">
                    <w:txbxContent>
                      <w:p w14:paraId="5E0F88F6" w14:textId="77777777" w:rsidR="00B32EF2" w:rsidRDefault="00000000">
                        <w:r>
                          <w:rPr>
                            <w:rFonts w:ascii="Arial" w:eastAsia="Arial" w:hAnsi="Arial" w:cs="Arial"/>
                            <w:sz w:val="18"/>
                          </w:rPr>
                          <w:t>de con ordinanza motivata non impugnabile.</w:t>
                        </w:r>
                      </w:p>
                    </w:txbxContent>
                  </v:textbox>
                </v:rect>
                <v:rect id="Rectangle 199978" o:spid="_x0000_s1841" style="position:absolute;left:-13808;top:14331;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3taxAAAAN8AAAAPAAAAZHJzL2Rvd25yZXYueG1sRE9NT8JA&#10;EL2b8B82Q+JNtnhQWlkIgRB78CJg4nHSHdpKd3bTXWj11zsHE48v73u5Hl2nbtTH1rOB+SwDRVx5&#10;23Jt4HTcPyxAxYRssfNMBr4pwno1uVtiYf3A73Q7pFpJCMcCDTQphULrWDXkMM58IBbu7HuHSWBf&#10;a9vjIOGu049Z9qQdtiwNDQbaNlRdDldn4HPHodwPujr/bMPbV7noXq+nD2Pup+PmBVSiMf2L/9yl&#10;lfl5nj/LYPkjAPTqFwAA//8DAFBLAQItABQABgAIAAAAIQDb4fbL7gAAAIUBAAATAAAAAAAAAAAA&#10;AAAAAAAAAABbQ29udGVudF9UeXBlc10ueG1sUEsBAi0AFAAGAAgAAAAhAFr0LFu/AAAAFQEAAAsA&#10;AAAAAAAAAAAAAAAAHwEAAF9yZWxzLy5yZWxzUEsBAi0AFAAGAAgAAAAhAIyje1rEAAAA3wAAAA8A&#10;AAAAAAAAAAAAAAAABwIAAGRycy9kb3ducmV2LnhtbFBLBQYAAAAAAwADALcAAAD4AgAAAAA=&#10;" filled="f" stroked="f">
                  <v:textbox inset="0,0,0,0">
                    <w:txbxContent>
                      <w:p w14:paraId="28E1EF2B" w14:textId="77777777" w:rsidR="00B32EF2" w:rsidRDefault="00000000">
                        <w:r>
                          <w:rPr>
                            <w:rFonts w:ascii="Arial" w:eastAsia="Arial" w:hAnsi="Arial" w:cs="Arial"/>
                            <w:sz w:val="18"/>
                          </w:rPr>
                          <w:t xml:space="preserve">. La sospensione può essere subordinata alla prestazione della garanzia di cui </w:t>
                        </w:r>
                      </w:p>
                    </w:txbxContent>
                  </v:textbox>
                </v:rect>
                <v:rect id="Rectangle 199977" o:spid="_x0000_s1842" style="position:absolute;left:26114;top:14331;width:530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O8oxAAAAN8AAAAPAAAAZHJzL2Rvd25yZXYueG1sRE/Pa8Iw&#10;FL4L/g/hCd401cO0nVFEkfWwy5yDHR/Ns+3WvIQm2rq/fhEEjx/f79WmN424Uutrywpm0wQEcWF1&#10;zaWC0+dhsgThA7LGxjIpuJGHzXo4WGGmbccfdD2GUsQQ9hkqqEJwmZS+qMign1pHHLmzbQ2GCNtS&#10;6ha7GG4aOU+SF2mw5thQoaNdRcXv8WIUfO/Z5YdOFue/nXv/yZfN2+X0pdR41G9fQQTqw1P8cOc6&#10;zk/TdLGA+58IQK7/AQAA//8DAFBLAQItABQABgAIAAAAIQDb4fbL7gAAAIUBAAATAAAAAAAAAAAA&#10;AAAAAAAAAABbQ29udGVudF9UeXBlc10ueG1sUEsBAi0AFAAGAAgAAAAhAFr0LFu/AAAAFQEAAAsA&#10;AAAAAAAAAAAAAAAAHwEAAF9yZWxzLy5yZWxzUEsBAi0AFAAGAAgAAAAhAP087yjEAAAA3wAAAA8A&#10;AAAAAAAAAAAAAAAABwIAAGRycy9kb3ducmV2LnhtbFBLBQYAAAAAAwADALcAAAD4AgAAAAA=&#10;" filled="f" stroked="f">
                  <v:textbox inset="0,0,0,0">
                    <w:txbxContent>
                      <w:p w14:paraId="00D36354" w14:textId="77777777" w:rsidR="00B32EF2" w:rsidRDefault="00000000">
                        <w:r>
                          <w:rPr>
                            <w:rFonts w:ascii="Arial" w:eastAsia="Arial" w:hAnsi="Arial" w:cs="Arial"/>
                            <w:sz w:val="18"/>
                          </w:rPr>
                          <w:t>6</w:t>
                        </w:r>
                      </w:p>
                    </w:txbxContent>
                  </v:textbox>
                </v:rect>
                <v:rect id="Rectangle 15246" o:spid="_x0000_s1843" style="position:absolute;left:-11839;top:13098;width:517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pchxAAAAN4AAAAPAAAAZHJzL2Rvd25yZXYueG1sRE9Ni8Iw&#10;EL0L/ocwgjdNFVekaxRRxB72sq4Lexyasa02k9BEW/31m4UFb/N4n7Ncd6YWd2p8ZVnBZJyAIM6t&#10;rrhQcPrajxYgfEDWWFsmBQ/ysF71e0tMtW35k+7HUIgYwj5FBWUILpXS5yUZ9GPriCN3to3BEGFT&#10;SN1gG8NNLadJMpcGK44NJTralpRfjzej4GfHLtu3Mj8/t+7jki3qw+30rdRw0G3eQQTqwkv87850&#10;nP82nc3h7514g1z9AgAA//8DAFBLAQItABQABgAIAAAAIQDb4fbL7gAAAIUBAAATAAAAAAAAAAAA&#10;AAAAAAAAAABbQ29udGVudF9UeXBlc10ueG1sUEsBAi0AFAAGAAgAAAAhAFr0LFu/AAAAFQEAAAsA&#10;AAAAAAAAAAAAAAAAHwEAAF9yZWxzLy5yZWxzUEsBAi0AFAAGAAgAAAAhAPW6lyHEAAAA3gAAAA8A&#10;AAAAAAAAAAAAAAAABwIAAGRycy9kb3ducmV2LnhtbFBLBQYAAAAAAwADALcAAAD4AgAAAAA=&#10;" filled="f" stroked="f">
                  <v:textbox inset="0,0,0,0">
                    <w:txbxContent>
                      <w:p w14:paraId="4445C49B" w14:textId="77777777" w:rsidR="00B32EF2" w:rsidRDefault="00000000">
                        <w:r>
                          <w:rPr>
                            <w:rFonts w:ascii="Arial" w:eastAsia="Arial" w:hAnsi="Arial" w:cs="Arial"/>
                            <w:sz w:val="18"/>
                          </w:rPr>
                          <w:t xml:space="preserve">all’articolo 127 comma 2. Si applica la disposizione dell’articolo 96, comma 9. </w:t>
                        </w:r>
                      </w:p>
                    </w:txbxContent>
                  </v:textbox>
                </v:rect>
                <v:rect id="Rectangle 199976" o:spid="_x0000_s1844" style="position:absolute;left:-13698;top:11865;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EqzxAAAAN8AAAAPAAAAZHJzL2Rvd25yZXYueG1sRE/Pa8Iw&#10;FL4L/g/hCd40nQe1nVGGIvbgZc7Bjo/m2Vabl9BE2+2vXwYDjx/f79WmN414UOtrywpepgkI4sLq&#10;mksF54/9ZAnCB2SNjWVS8E0eNuvhYIWZth2/0+MUShFD2GeooArBZVL6oiKDfmodceQutjUYImxL&#10;qVvsYrhp5CxJ5tJgzbGhQkfbiorb6W4UfO3Y5ftOFpefrTte82VzuJ8/lRqP+rdXEIH68BT/u3Md&#10;56dpupjD358IQK5/AQAA//8DAFBLAQItABQABgAIAAAAIQDb4fbL7gAAAIUBAAATAAAAAAAAAAAA&#10;AAAAAAAAAABbQ29udGVudF9UeXBlc10ueG1sUEsBAi0AFAAGAAgAAAAhAFr0LFu/AAAAFQEAAAsA&#10;AAAAAAAAAAAAAAAAHwEAAF9yZWxzLy5yZWxzUEsBAi0AFAAGAAgAAAAhAJJwSrPEAAAA3wAAAA8A&#10;AAAAAAAAAAAAAAAABwIAAGRycy9kb3ducmV2LnhtbFBLBQYAAAAAAwADALcAAAD4AgAAAAA=&#10;" filled="f" stroked="f">
                  <v:textbox inset="0,0,0,0">
                    <w:txbxContent>
                      <w:p w14:paraId="2B10C66F" w14:textId="77777777" w:rsidR="00B32EF2" w:rsidRDefault="00000000">
                        <w:r>
                          <w:rPr>
                            <w:rFonts w:ascii="Arial" w:eastAsia="Arial" w:hAnsi="Arial" w:cs="Arial"/>
                            <w:sz w:val="18"/>
                          </w:rPr>
                          <w:t xml:space="preserve">. L’udienza di trattazione dell’istanza di sospensione non può in ogni caso </w:t>
                        </w:r>
                      </w:p>
                    </w:txbxContent>
                  </v:textbox>
                </v:rect>
                <v:rect id="Rectangle 199975" o:spid="_x0000_s1845" style="position:absolute;left:26109;top:1186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tTExQAAAN8AAAAPAAAAZHJzL2Rvd25yZXYueG1sRE/LasJA&#10;FN0X/IfhCu7qRMHWpI4iijQLN/UBXV4y1yRt5s6QGU3ar3cKBZeH816setOIG7W+tqxgMk5AEBdW&#10;11wqOB13z3MQPiBrbCyTgh/ysFoOnhaYadvxB90OoRQxhH2GCqoQXCalLyoy6MfWEUfuYluDIcK2&#10;lLrFLoabRk6T5EUarDk2VOhoU1HxfbgaBZ9bdvmuk8Xld+P2X/m8eb+ezkqNhv36DUSgPjzE/+5c&#10;x/lpmr7O4O9PBCCXdwAAAP//AwBQSwECLQAUAAYACAAAACEA2+H2y+4AAACFAQAAEwAAAAAAAAAA&#10;AAAAAAAAAAAAW0NvbnRlbnRfVHlwZXNdLnhtbFBLAQItABQABgAIAAAAIQBa9CxbvwAAABUBAAAL&#10;AAAAAAAAAAAAAAAAAB8BAABfcmVscy8ucmVsc1BLAQItABQABgAIAAAAIQBiotTExQAAAN8AAAAP&#10;AAAAAAAAAAAAAAAAAAcCAABkcnMvZG93bnJldi54bWxQSwUGAAAAAAMAAwC3AAAA+QIAAAAA&#10;" filled="f" stroked="f">
                  <v:textbox inset="0,0,0,0">
                    <w:txbxContent>
                      <w:p w14:paraId="40628C40" w14:textId="77777777" w:rsidR="00B32EF2" w:rsidRDefault="00000000">
                        <w:r>
                          <w:rPr>
                            <w:rFonts w:ascii="Arial" w:eastAsia="Arial" w:hAnsi="Arial" w:cs="Arial"/>
                            <w:sz w:val="18"/>
                          </w:rPr>
                          <w:t>7</w:t>
                        </w:r>
                      </w:p>
                    </w:txbxContent>
                  </v:textbox>
                </v:rect>
                <v:rect id="Rectangle 15248" o:spid="_x0000_s1846" style="position:absolute;left:-5929;top:10631;width:458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bIxwAAAN4AAAAPAAAAZHJzL2Rvd25yZXYueG1sRI9Ba8JA&#10;EIXvQv/DMoXedFNRkdRVikXMoZeqhR6H7Jikzc4u2dWk/fXOoeBthvfmvW9Wm8G16kpdbDwbeJ5k&#10;oIhLbxuuDJyOu/ESVEzIFlvPZOCXImzWD6MV5tb3/EHXQ6qUhHDM0UCdUsi1jmVNDuPEB2LRzr5z&#10;mGTtKm077CXctXqaZQvtsGFpqDHQtqby53BxBr7eOBS7Xpfnv214/y6W7f5y+jTm6XF4fQGVaEh3&#10;8/91YQV/Pp0Jr7wjM+j1DQAA//8DAFBLAQItABQABgAIAAAAIQDb4fbL7gAAAIUBAAATAAAAAAAA&#10;AAAAAAAAAAAAAABbQ29udGVudF9UeXBlc10ueG1sUEsBAi0AFAAGAAgAAAAhAFr0LFu/AAAAFQEA&#10;AAsAAAAAAAAAAAAAAAAAHwEAAF9yZWxzLy5yZWxzUEsBAi0AFAAGAAgAAAAhAOtppsjHAAAA3gAA&#10;AA8AAAAAAAAAAAAAAAAABwIAAGRycy9kb3ducmV2LnhtbFBLBQYAAAAAAwADALcAAAD7AgAAAAA=&#10;" filled="f" stroked="f">
                  <v:textbox inset="0,0,0,0">
                    <w:txbxContent>
                      <w:p w14:paraId="0A06D98A" w14:textId="77777777" w:rsidR="00B32EF2" w:rsidRDefault="00000000">
                        <w:r>
                          <w:rPr>
                            <w:rFonts w:ascii="Arial" w:eastAsia="Arial" w:hAnsi="Arial" w:cs="Arial"/>
                            <w:sz w:val="18"/>
                          </w:rPr>
                          <w:t>coincidere con l’udienza di trattazione del merito della controversia.</w:t>
                        </w:r>
                      </w:p>
                    </w:txbxContent>
                  </v:textbox>
                </v:rect>
                <v:rect id="Rectangle 15249" o:spid="_x0000_s1847" style="position:absolute;left:14582;top:8165;width:88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QNTxQAAAN4AAAAPAAAAZHJzL2Rvd25yZXYueG1sRE9Na8JA&#10;EL0L/Q/LFLzpRrFio6uIIs3BS62FHofsmESzs0t2NWl/vVsQvM3jfc5i1Zla3KjxlWUFo2ECgji3&#10;uuJCwfFrN5iB8AFZY22ZFPySh9XypbfAVNuWP+l2CIWIIexTVFCG4FIpfV6SQT+0jjhyJ9sYDBE2&#10;hdQNtjHc1HKcJFNpsOLYUKKjTUn55XA1Cn627LJdK/PT38btz9ms/rgev5Xqv3brOYhAXXiKH+5M&#10;x/lv48k7/L8Tb5DLOwAAAP//AwBQSwECLQAUAAYACAAAACEA2+H2y+4AAACFAQAAEwAAAAAAAAAA&#10;AAAAAAAAAAAAW0NvbnRlbnRfVHlwZXNdLnhtbFBLAQItABQABgAIAAAAIQBa9CxbvwAAABUBAAAL&#10;AAAAAAAAAAAAAAAAAB8BAABfcmVscy8ucmVsc1BLAQItABQABgAIAAAAIQCEJQNTxQAAAN4AAAAP&#10;AAAAAAAAAAAAAAAAAAcCAABkcnMvZG93bnJldi54bWxQSwUGAAAAAAMAAwC3AAAA+QIAAAAA&#10;" filled="f" stroked="f">
                  <v:textbox inset="0,0,0,0">
                    <w:txbxContent>
                      <w:p w14:paraId="3FC12A86" w14:textId="77777777" w:rsidR="00B32EF2" w:rsidRDefault="00000000">
                        <w:r>
                          <w:rPr>
                            <w:rFonts w:ascii="Arial" w:eastAsia="Arial" w:hAnsi="Arial" w:cs="Arial"/>
                            <w:b/>
                            <w:sz w:val="18"/>
                          </w:rPr>
                          <w:t>Articolo 107</w:t>
                        </w:r>
                      </w:p>
                    </w:txbxContent>
                  </v:textbox>
                </v:rect>
                <v:rect id="Rectangle 199974" o:spid="_x0000_s1848" style="position:absolute;left:11613;top:6931;width:194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nFfxQAAAN8AAAAPAAAAZHJzL2Rvd25yZXYueG1sRE/LasJA&#10;FN0X/IfhCu7qRJHWpI4iijQLN/UBXV4y1yRt5s6QGU3ar3cKBZeH816setOIG7W+tqxgMk5AEBdW&#10;11wqOB13z3MQPiBrbCyTgh/ysFoOnhaYadvxB90OoRQxhH2GCqoQXCalLyoy6MfWEUfuYluDIcK2&#10;lLrFLoabRk6T5EUarDk2VOhoU1HxfbgaBZ9bdvmuk8Xld+P2X/m8eb+ezkqNhv36DUSgPjzE/+5c&#10;x/lpmr7O4O9PBCCXdwAAAP//AwBQSwECLQAUAAYACAAAACEA2+H2y+4AAACFAQAAEwAAAAAAAAAA&#10;AAAAAAAAAAAAW0NvbnRlbnRfVHlwZXNdLnhtbFBLAQItABQABgAIAAAAIQBa9CxbvwAAABUBAAAL&#10;AAAAAAAAAAAAAAAAAB8BAABfcmVscy8ucmVsc1BLAQItABQABgAIAAAAIQAN7nFfxQAAAN8AAAAP&#10;AAAAAAAAAAAAAAAAAAcCAABkcnMvZG93bnJldi54bWxQSwUGAAAAAAMAAwC3AAAA+QIAAAAA&#10;" filled="f" stroked="f">
                  <v:textbox inset="0,0,0,0">
                    <w:txbxContent>
                      <w:p w14:paraId="5AFA45C5" w14:textId="77777777" w:rsidR="00B32EF2" w:rsidRDefault="00000000">
                        <w:r>
                          <w:rPr>
                            <w:rFonts w:ascii="Arial" w:eastAsia="Arial" w:hAnsi="Arial" w:cs="Arial"/>
                            <w:i/>
                            <w:sz w:val="18"/>
                          </w:rPr>
                          <w:t xml:space="preserve">articolo 53 D.lgs. n. </w:t>
                        </w:r>
                      </w:p>
                    </w:txbxContent>
                  </v:textbox>
                </v:rect>
                <v:rect id="Rectangle 199973" o:spid="_x0000_s1849" style="position:absolute;left:-2658;top:6931;width:194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krxQAAAN8AAAAPAAAAZHJzL2Rvd25yZXYueG1sRE/LasJA&#10;FN0X/IfhCu7qRIXWpI4iijQLN/UBXV4y1yRt5s6QGU3ar3cKBZeH816setOIG7W+tqxgMk5AEBdW&#10;11wqOB13z3MQPiBrbCyTgh/ysFoOnhaYadvxB90OoRQxhH2GCqoQXCalLyoy6MfWEUfuYluDIcK2&#10;lLrFLoabRk6T5EUarDk2VOhoU1HxfbgaBZ9bdvmuk8Xld+P2X/m8eb+ezkqNhv36DUSgPjzE/+5c&#10;x/lpmr7O4O9PBCCXdwAAAP//AwBQSwECLQAUAAYACAAAACEA2+H2y+4AAACFAQAAEwAAAAAAAAAA&#10;AAAAAAAAAAAAW0NvbnRlbnRfVHlwZXNdLnhtbFBLAQItABQABgAIAAAAIQBa9CxbvwAAABUBAAAL&#10;AAAAAAAAAAAAAAAAAB8BAABfcmVscy8ucmVsc1BLAQItABQABgAIAAAAIQCCB+krxQAAAN8AAAAP&#10;AAAAAAAAAAAAAAAAAAcCAABkcnMvZG93bnJldi54bWxQSwUGAAAAAAMAAwC3AAAA+QIAAAAA&#10;" filled="f" stroked="f">
                  <v:textbox inset="0,0,0,0">
                    <w:txbxContent>
                      <w:p w14:paraId="74F1B616" w14:textId="77777777" w:rsidR="00B32EF2" w:rsidRDefault="00000000">
                        <w:r>
                          <w:rPr>
                            <w:rFonts w:ascii="Arial" w:eastAsia="Arial" w:hAnsi="Arial" w:cs="Arial"/>
                            <w:i/>
                            <w:sz w:val="18"/>
                          </w:rPr>
                          <w:t>546/92)</w:t>
                        </w:r>
                      </w:p>
                    </w:txbxContent>
                  </v:textbox>
                </v:rect>
                <v:rect id="Rectangle 199972" o:spid="_x0000_s1850" style="position:absolute;left:22223;top:6931;width:194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0ywxAAAAN8AAAAPAAAAZHJzL2Rvd25yZXYueG1sRE/Pa8Iw&#10;FL4L/g/hCbtpOg/TdkYZitiDlzkHOz6aZ1ttXkITbfWvXwYDjx/f78WqN424UetrywpeJwkI4sLq&#10;mksFx6/teA7CB2SNjWVScCcPq+VwsMBM244/6XYIpYgh7DNUUIXgMil9UZFBP7GOOHIn2xoMEbal&#10;1C12Mdw0cpokb9JgzbGhQkfriorL4WoU/GzY5dtOFqfH2u3P+bzZXY/fSr2M+o93EIH68BT/u3Md&#10;56dpOpvC358IQC5/AQAA//8DAFBLAQItABQABgAIAAAAIQDb4fbL7gAAAIUBAAATAAAAAAAAAAAA&#10;AAAAAAAAAABbQ29udGVudF9UeXBlc10ueG1sUEsBAi0AFAAGAAgAAAAhAFr0LFu/AAAAFQEAAAsA&#10;AAAAAAAAAAAAAAAAHwEAAF9yZWxzLy5yZWxzUEsBAi0AFAAGAAgAAAAhAO1LTLDEAAAA3wAAAA8A&#10;AAAAAAAAAAAAAAAABwIAAGRycy9kb3ducmV2LnhtbFBLBQYAAAAAAwADALcAAAD4AgAAAAA=&#10;" filled="f" stroked="f">
                  <v:textbox inset="0,0,0,0">
                    <w:txbxContent>
                      <w:p w14:paraId="66408205" w14:textId="77777777" w:rsidR="00B32EF2" w:rsidRDefault="00000000">
                        <w:r>
                          <w:rPr>
                            <w:rFonts w:ascii="Arial" w:eastAsia="Arial" w:hAnsi="Arial" w:cs="Arial"/>
                            <w:i/>
                            <w:sz w:val="18"/>
                          </w:rPr>
                          <w:t>(</w:t>
                        </w:r>
                      </w:p>
                    </w:txbxContent>
                  </v:textbox>
                </v:rect>
                <v:rect id="Rectangle 15251" o:spid="_x0000_s1851" style="position:absolute;left:11178;top:5698;width:140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IxAAAAN4AAAAPAAAAZHJzL2Rvd25yZXYueG1sRE9Li8Iw&#10;EL4v+B/CCHtbUwUXqUYRRbYHL+sDPA7N2FabSWiirfvrN4LgbT6+58wWnanFnRpfWVYwHCQgiHOr&#10;Ky4UHPabrwkIH5A11pZJwYM8LOa9jxmm2rb8S/ddKEQMYZ+igjIEl0rp85IM+oF1xJE728ZgiLAp&#10;pG6wjeGmlqMk+ZYGK44NJTpalZRfdzej4LRml21amZ//Vm57ySb1z+1wVOqz3y2nIAJ14S1+uTMd&#10;549H4yE834k3yPk/AAAA//8DAFBLAQItABQABgAIAAAAIQDb4fbL7gAAAIUBAAATAAAAAAAAAAAA&#10;AAAAAAAAAABbQ29udGVudF9UeXBlc10ueG1sUEsBAi0AFAAGAAgAAAAhAFr0LFu/AAAAFQEAAAsA&#10;AAAAAAAAAAAAAAAAHwEAAF9yZWxzLy5yZWxzUEsBAi0AFAAGAAgAAAAhAP+KmYjEAAAA3gAAAA8A&#10;AAAAAAAAAAAAAAAABwIAAGRycy9kb3ducmV2LnhtbFBLBQYAAAAAAwADALcAAAD4AgAAAAA=&#10;" filled="f" stroked="f">
                  <v:textbox inset="0,0,0,0">
                    <w:txbxContent>
                      <w:p w14:paraId="5B301CE8" w14:textId="77777777" w:rsidR="00B32EF2" w:rsidRDefault="00000000">
                        <w:r>
                          <w:rPr>
                            <w:rFonts w:ascii="Arial" w:eastAsia="Arial" w:hAnsi="Arial" w:cs="Arial"/>
                            <w:b/>
                            <w:sz w:val="18"/>
                          </w:rPr>
                          <w:t xml:space="preserve">Forma dell’appello </w:t>
                        </w:r>
                      </w:p>
                    </w:txbxContent>
                  </v:textbox>
                </v:rect>
                <v:rect id="Rectangle 199971" o:spid="_x0000_s1852" style="position:absolute;left:-13764;top:446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dLHxAAAAN8AAAAPAAAAZHJzL2Rvd25yZXYueG1sRE/LasJA&#10;FN0X/IfhCu7qxC6siY4iijSLbuoDXF4y1ySauTNkRpP26zuFgsvDeS9WvWnEg1pfW1YwGScgiAur&#10;ay4VHA+71xkIH5A1NpZJwTd5WC0HLwvMtO34ix77UIoYwj5DBVUILpPSFxUZ9GPriCN3sa3BEGFb&#10;St1iF8NNI9+SZCoN1hwbKnS0qai47e9GwXnLLt91srj8bNznNZ81H/fjSanRsF/PQQTqw1P87851&#10;nJ+m6fsE/v5EAHL5CwAA//8DAFBLAQItABQABgAIAAAAIQDb4fbL7gAAAIUBAAATAAAAAAAAAAAA&#10;AAAAAAAAAABbQ29udGVudF9UeXBlc10ueG1sUEsBAi0AFAAGAAgAAAAhAFr0LFu/AAAAFQEAAAsA&#10;AAAAAAAAAAAAAAAAHwEAAF9yZWxzLy5yZWxzUEsBAi0AFAAGAAgAAAAhAB2Z0sfEAAAA3wAAAA8A&#10;AAAAAAAAAAAAAAAABwIAAGRycy9kb3ducmV2LnhtbFBLBQYAAAAAAwADALcAAAD4AgAAAAA=&#10;" filled="f" stroked="f">
                  <v:textbox inset="0,0,0,0">
                    <w:txbxContent>
                      <w:p w14:paraId="1231EBAC" w14:textId="77777777" w:rsidR="00B32EF2" w:rsidRDefault="00000000">
                        <w:r>
                          <w:rPr>
                            <w:rFonts w:ascii="Arial" w:eastAsia="Arial" w:hAnsi="Arial" w:cs="Arial"/>
                            <w:sz w:val="18"/>
                          </w:rPr>
                          <w:t xml:space="preserve">. Il ricorso in appello contiene l’indicazione della corte di giustizia tributaria di </w:t>
                        </w:r>
                      </w:p>
                    </w:txbxContent>
                  </v:textbox>
                </v:rect>
                <v:rect id="Rectangle 199970" o:spid="_x0000_s1853" style="position:absolute;left:26109;top:446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XdcxAAAAN8AAAAPAAAAZHJzL2Rvd25yZXYueG1sRE9NT8JA&#10;EL2b8B82Q+JNtnhQWlkIgRB78CJg4nHSHdpKd3bTXWj11zsHE48v73u5Hl2nbtTH1rOB+SwDRVx5&#10;23Jt4HTcPyxAxYRssfNMBr4pwno1uVtiYf3A73Q7pFpJCMcCDTQphULrWDXkMM58IBbu7HuHSWBf&#10;a9vjIOGu049Z9qQdtiwNDQbaNlRdDldn4HPHodwPujr/bMPbV7noXq+nD2Pup+PmBVSiMf2L/9yl&#10;lfl5nj/LA/kjAPTqFwAA//8DAFBLAQItABQABgAIAAAAIQDb4fbL7gAAAIUBAAATAAAAAAAAAAAA&#10;AAAAAAAAAABbQ29udGVudF9UeXBlc10ueG1sUEsBAi0AFAAGAAgAAAAhAFr0LFu/AAAAFQEAAAsA&#10;AAAAAAAAAAAAAAAAHwEAAF9yZWxzLy5yZWxzUEsBAi0AFAAGAAgAAAAhAHLVd1zEAAAA3wAAAA8A&#10;AAAAAAAAAAAAAAAABwIAAGRycy9kb3ducmV2LnhtbFBLBQYAAAAAAwADALcAAAD4AgAAAAA=&#10;" filled="f" stroked="f">
                  <v:textbox inset="0,0,0,0">
                    <w:txbxContent>
                      <w:p w14:paraId="29110D2D" w14:textId="77777777" w:rsidR="00B32EF2" w:rsidRDefault="00000000">
                        <w:r>
                          <w:rPr>
                            <w:rFonts w:ascii="Arial" w:eastAsia="Arial" w:hAnsi="Arial" w:cs="Arial"/>
                            <w:sz w:val="18"/>
                          </w:rPr>
                          <w:t>1</w:t>
                        </w:r>
                      </w:p>
                    </w:txbxContent>
                  </v:textbox>
                </v:rect>
                <v:shape id="Shape 207756" o:spid="_x0000_s1854" style="position:absolute;left:317;top:47662;width:39600;height:14902;visibility:visible;mso-wrap-style:square;v-text-anchor:top" coordsize="3960000,149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5t/xgAAAN8AAAAPAAAAZHJzL2Rvd25yZXYueG1sRI9BawIx&#10;FITvQv9DeIXeNOmK2m6NUqrS4qlVodfH5nWzdPOyJqlu/70RCj0OM/MNM1/2rhUnCrHxrOF+pEAQ&#10;V940XGs47DfDBxAxIRtsPZOGX4qwXNwM5lgaf+YPOu1SLTKEY4kabEpdKWWsLDmMI98RZ+/LB4cp&#10;y1BLE/Cc4a6VhVJT6bDhvGCxoxdL1ffux2mIj2se2+PxPVjF/epzS5PXgrS+u+2fn0Ak6tN/+K/9&#10;ZjQUajabTOH6J38BubgAAAD//wMAUEsBAi0AFAAGAAgAAAAhANvh9svuAAAAhQEAABMAAAAAAAAA&#10;AAAAAAAAAAAAAFtDb250ZW50X1R5cGVzXS54bWxQSwECLQAUAAYACAAAACEAWvQsW78AAAAVAQAA&#10;CwAAAAAAAAAAAAAAAAAfAQAAX3JlbHMvLnJlbHNQSwECLQAUAAYACAAAACEAVVObf8YAAADfAAAA&#10;DwAAAAAAAAAAAAAAAAAHAgAAZHJzL2Rvd25yZXYueG1sUEsFBgAAAAADAAMAtwAAAPoCAAAAAA==&#10;" path="m,l3960000,r,1490294l,1490294,,e" fillcolor="#c3c3c3" stroked="f" strokeweight="0">
                  <v:stroke miterlimit="83231f" joinstyle="miter"/>
                  <v:path arrowok="t" textboxrect="0,0,3960000,1490294"/>
                </v:shape>
                <v:rect id="Rectangle 15254" o:spid="_x0000_s1855" style="position:absolute;left:21528;top:60352;width:176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oQxAAAAN4AAAAPAAAAZHJzL2Rvd25yZXYueG1sRE9Ni8Iw&#10;EL0L/ocwgjdNFV2kaxRRxB72sq4Lexyasa02k9BEW/31m4UFb/N4n7Ncd6YWd2p8ZVnBZJyAIM6t&#10;rrhQcPrajxYgfEDWWFsmBQ/ysF71e0tMtW35k+7HUIgYwj5FBWUILpXS5yUZ9GPriCN3to3BEGFT&#10;SN1gG8NNLadJ8iYNVhwbSnS0LSm/Hm9Gwc+OXbZvZX5+bt3HJVvUh9vpW6nhoNu8gwjUhZf4353p&#10;OH8+nc/g7514g1z9AgAA//8DAFBLAQItABQABgAIAAAAIQDb4fbL7gAAAIUBAAATAAAAAAAAAAAA&#10;AAAAAAAAAABbQ29udGVudF9UeXBlc10ueG1sUEsBAi0AFAAGAAgAAAAhAFr0LFu/AAAAFQEAAAsA&#10;AAAAAAAAAAAAAAAAHwEAAF9yZWxzLy5yZWxzUEsBAi0AFAAGAAgAAAAhAO/9OhDEAAAA3gAAAA8A&#10;AAAAAAAAAAAAAAAABwIAAGRycy9kb3ducmV2LnhtbFBLBQYAAAAAAwADALcAAAD4AgAAAAA=&#10;" filled="f" stroked="f">
                  <v:textbox inset="0,0,0,0">
                    <w:txbxContent>
                      <w:p w14:paraId="5EE450F5" w14:textId="77777777" w:rsidR="00B32EF2" w:rsidRDefault="00000000">
                        <w:r>
                          <w:rPr>
                            <w:rFonts w:ascii="Arial" w:eastAsia="Arial" w:hAnsi="Arial" w:cs="Arial"/>
                            <w:i/>
                            <w:sz w:val="18"/>
                          </w:rPr>
                          <w:t>o per fatto dell’avversario;</w:t>
                        </w:r>
                      </w:p>
                    </w:txbxContent>
                  </v:textbox>
                </v:rect>
                <v:rect id="Rectangle 200016" o:spid="_x0000_s1856" style="position:absolute;left:-11926;top:59119;width:500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mpFxQAAAN8AAAAPAAAAZHJzL2Rvd25yZXYueG1sRI9Pi8Iw&#10;FMTvC36H8ARva6oHkWoUUcQevKx/wOOjebbV5iU00VY//WZhweMwM79h5svO1OJJja8sKxgNExDE&#10;udUVFwpOx+33FIQPyBpry6TgRR6Wi97XHFNtW/6h5yEUIkLYp6igDMGlUvq8JIN+aB1x9K62MRii&#10;bAqpG2wj3NRynCQTabDiuFCio3VJ+f3wMAouG3bZtpX59b12+1s2rXeP01mpQb9bzUAE6sIn/N/O&#10;tIJITEYT+PsTv4Bc/AIAAP//AwBQSwECLQAUAAYACAAAACEA2+H2y+4AAACFAQAAEwAAAAAAAAAA&#10;AAAAAAAAAAAAW0NvbnRlbnRfVHlwZXNdLnhtbFBLAQItABQABgAIAAAAIQBa9CxbvwAAABUBAAAL&#10;AAAAAAAAAAAAAAAAAB8BAABfcmVscy8ucmVsc1BLAQItABQABgAIAAAAIQA6EmpFxQAAAN8AAAAP&#10;AAAAAAAAAAAAAAAAAAcCAABkcnMvZG93bnJldi54bWxQSwUGAAAAAAMAAwC3AAAA+QIAAAAA&#10;" filled="f" stroked="f">
                  <v:textbox inset="0,0,0,0">
                    <w:txbxContent>
                      <w:p w14:paraId="1973BE0A" w14:textId="77777777" w:rsidR="00B32EF2" w:rsidRDefault="00000000">
                        <w:r>
                          <w:rPr>
                            <w:rFonts w:ascii="Arial" w:eastAsia="Arial" w:hAnsi="Arial" w:cs="Arial"/>
                            <w:i/>
                            <w:sz w:val="18"/>
                          </w:rPr>
                          <w:t xml:space="preserve"> se la sentenza è l’effetto di un errore di fatto risultante dagli atti o docu</w:t>
                        </w:r>
                      </w:p>
                    </w:txbxContent>
                  </v:textbox>
                </v:rect>
                <v:rect id="Rectangle 200015" o:spid="_x0000_s1857" style="position:absolute;left:25705;top:59119;width:500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PQyxwAAAN8AAAAPAAAAZHJzL2Rvd25yZXYueG1sRI/NasMw&#10;EITvhb6D2EJvjexAS3CjhOJi4kMvzQ/0uFgb2621EpYcu3n6KBDIcZiZb5jlejKdOFHvW8sK0lkC&#10;griyuuVawX5XvCxA+ICssbNMCv7Jw3r1+LDETNuRv+m0DbWIEPYZKmhCcJmUvmrIoJ9ZRxy9o+0N&#10;hij7Wuoexwg3nZwnyZs02HJcaNBR3lD1tx2Mgp9PdmUxyup4zt3Xb7noNsP+oNTz0/TxDiLQFO7h&#10;W7vUCiIxSV/h+id+Abm6AAAA//8DAFBLAQItABQABgAIAAAAIQDb4fbL7gAAAIUBAAATAAAAAAAA&#10;AAAAAAAAAAAAAABbQ29udGVudF9UeXBlc10ueG1sUEsBAi0AFAAGAAgAAAAhAFr0LFu/AAAAFQEA&#10;AAsAAAAAAAAAAAAAAAAAHwEAAF9yZWxzLy5yZWxzUEsBAi0AFAAGAAgAAAAhAMrA9DLHAAAA3wAA&#10;AA8AAAAAAAAAAAAAAAAABwIAAGRycy9kb3ducmV2LnhtbFBLBQYAAAAAAwADALcAAAD7AgAAAAA=&#10;" filled="f" stroked="f">
                  <v:textbox inset="0,0,0,0">
                    <w:txbxContent>
                      <w:p w14:paraId="3BACBBF3" w14:textId="77777777" w:rsidR="00B32EF2" w:rsidRDefault="00000000">
                        <w:r>
                          <w:rPr>
                            <w:rFonts w:ascii="Arial" w:eastAsia="Arial" w:hAnsi="Arial" w:cs="Arial"/>
                            <w:i/>
                            <w:sz w:val="18"/>
                          </w:rPr>
                          <w:t>4)</w:t>
                        </w:r>
                      </w:p>
                    </w:txbxContent>
                  </v:textbox>
                </v:rect>
                <v:rect id="Rectangle 15256" o:spid="_x0000_s1858" style="position:absolute;left:975;top:5911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wH8xAAAAN4AAAAPAAAAZHJzL2Rvd25yZXYueG1sRE9Li8Iw&#10;EL4v+B/CCN7WVEGRahRRxB72sj7A49CMbbWZhCbaur9+s7DgbT6+5yxWnanFkxpfWVYwGiYgiHOr&#10;Ky4UnI67zxkIH5A11pZJwYs8rJa9jwWm2rb8Tc9DKEQMYZ+igjIEl0rp85IM+qF1xJG72sZgiLAp&#10;pG6wjeGmluMkmUqDFceGEh1tSsrvh4dRcNmyy3atzK8/G/d1y2b1/nE6KzXod+s5iEBdeIv/3ZmO&#10;8yfjyRT+3ok3yOUvAAAA//8DAFBLAQItABQABgAIAAAAIQDb4fbL7gAAAIUBAAATAAAAAAAAAAAA&#10;AAAAAAAAAABbQ29udGVudF9UeXBlc10ueG1sUEsBAi0AFAAGAAgAAAAhAFr0LFu/AAAAFQEAAAsA&#10;AAAAAAAAAAAAAAAAHwEAAF9yZWxzLy5yZWxzUEsBAi0AFAAGAAgAAAAhAHBjAfzEAAAA3gAAAA8A&#10;AAAAAAAAAAAAAAAABwIAAGRycy9kb3ducmV2LnhtbFBLBQYAAAAAAwADALcAAAD4AgAAAAA=&#10;" filled="f" stroked="f">
                  <v:textbox inset="0,0,0,0">
                    <w:txbxContent>
                      <w:p w14:paraId="2F3EB448" w14:textId="77777777" w:rsidR="00B32EF2" w:rsidRDefault="00000000">
                        <w:r>
                          <w:rPr>
                            <w:rFonts w:ascii="Arial" w:eastAsia="Arial" w:hAnsi="Arial" w:cs="Arial"/>
                            <w:i/>
                            <w:sz w:val="18"/>
                          </w:rPr>
                          <w:t>-</w:t>
                        </w:r>
                      </w:p>
                    </w:txbxContent>
                  </v:textbox>
                </v:rect>
                <v:rect id="Rectangle 15257" o:spid="_x0000_s1859" style="position:absolute;left:-11895;top:57886;width:5109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6RnxAAAAN4AAAAPAAAAZHJzL2Rvd25yZXYueG1sRE9Ni8Iw&#10;EL0v+B/CCN7WVMFd6RpFFLEHL7ou7HFoxrbaTEITbfXXb4QFb/N4nzNbdKYWN2p8ZVnBaJiAIM6t&#10;rrhQcPzevE9B+ICssbZMCu7kYTHvvc0w1bblPd0OoRAxhH2KCsoQXCqlz0sy6IfWEUfuZBuDIcKm&#10;kLrBNoabWo6T5EMarDg2lOhoVVJ+OVyNgt81u2zTyvz0WLndOZvW2+vxR6lBv1t+gQjUhZf4353p&#10;OH8ynnzC8514g5z/AQAA//8DAFBLAQItABQABgAIAAAAIQDb4fbL7gAAAIUBAAATAAAAAAAAAAAA&#10;AAAAAAAAAABbQ29udGVudF9UeXBlc10ueG1sUEsBAi0AFAAGAAgAAAAhAFr0LFu/AAAAFQEAAAsA&#10;AAAAAAAAAAAAAAAAHwEAAF9yZWxzLy5yZWxzUEsBAi0AFAAGAAgAAAAhAB8vpGfEAAAA3gAAAA8A&#10;AAAAAAAAAAAAAAAABwIAAGRycy9kb3ducmV2LnhtbFBLBQYAAAAAAwADALcAAAD4AgAAAAA=&#10;" filled="f" stroked="f">
                  <v:textbox inset="0,0,0,0">
                    <w:txbxContent>
                      <w:p w14:paraId="23291E2D" w14:textId="77777777" w:rsidR="00B32EF2" w:rsidRDefault="00000000">
                        <w:r>
                          <w:rPr>
                            <w:rFonts w:ascii="Arial" w:eastAsia="Arial" w:hAnsi="Arial" w:cs="Arial"/>
                            <w:i/>
                            <w:sz w:val="18"/>
                          </w:rPr>
                          <w:t xml:space="preserve">menti della causa. Vi è questo errore quando la decisione è fondata sulla </w:t>
                        </w:r>
                      </w:p>
                    </w:txbxContent>
                  </v:textbox>
                </v:rect>
                <v:rect id="Rectangle 15258" o:spid="_x0000_s1860" style="position:absolute;left:-11872;top:56652;width:509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DAVxwAAAN4AAAAPAAAAZHJzL2Rvd25yZXYueG1sRI9Pa8JA&#10;EMXvBb/DMkJvdaNgkdRVxCLNoRf/QY9DdkzSZmeX7GrSfnrnUPA2w3vz3m+W68G16kZdbDwbmE4y&#10;UMSltw1XBk7H3csCVEzIFlvPZOCXIqxXo6cl5tb3vKfbIVVKQjjmaKBOKeRax7Imh3HiA7FoF985&#10;TLJ2lbYd9hLuWj3LslftsGFpqDHQtqby53B1Br7eORS7XpeXv234/C4W7cf1dDbmeTxs3kAlGtLD&#10;/H9dWMGfz+bCK+/IDHp1BwAA//8DAFBLAQItABQABgAIAAAAIQDb4fbL7gAAAIUBAAATAAAAAAAA&#10;AAAAAAAAAAAAAABbQ29udGVudF9UeXBlc10ueG1sUEsBAi0AFAAGAAgAAAAhAFr0LFu/AAAAFQEA&#10;AAsAAAAAAAAAAAAAAAAAHwEAAF9yZWxzLy5yZWxzUEsBAi0AFAAGAAgAAAAhAG6wMBXHAAAA3gAA&#10;AA8AAAAAAAAAAAAAAAAABwIAAGRycy9kb3ducmV2LnhtbFBLBQYAAAAAAwADALcAAAD7AgAAAAA=&#10;" filled="f" stroked="f">
                  <v:textbox inset="0,0,0,0">
                    <w:txbxContent>
                      <w:p w14:paraId="2C824A8D" w14:textId="77777777" w:rsidR="00B32EF2" w:rsidRDefault="00000000">
                        <w:r>
                          <w:rPr>
                            <w:rFonts w:ascii="Arial" w:eastAsia="Arial" w:hAnsi="Arial" w:cs="Arial"/>
                            <w:i/>
                            <w:sz w:val="18"/>
                          </w:rPr>
                          <w:t xml:space="preserve">supposizione di un fatto la cui verità è incontrastabilmente esclusa, oppure </w:t>
                        </w:r>
                      </w:p>
                    </w:txbxContent>
                  </v:textbox>
                </v:rect>
                <v:rect id="Rectangle 15259" o:spid="_x0000_s1861" style="position:absolute;left:-10907;top:55419;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WOxAAAAN4AAAAPAAAAZHJzL2Rvd25yZXYueG1sRE9Ni8Iw&#10;EL0v+B/CCN40VXBxu0YRRezBy6oLexyasa02k9BEW/31mwVhb/N4nzNfdqYWd2p8ZVnBeJSAIM6t&#10;rrhQcDpuhzMQPiBrrC2Tggd5WC56b3NMtW35i+6HUIgYwj5FBWUILpXS5yUZ9CPriCN3to3BEGFT&#10;SN1gG8NNLSdJ8i4NVhwbSnS0Lim/Hm5Gwc+GXbZtZX5+rt3+ks3q3e30rdSg360+QQTqwr/45c50&#10;nD+dTD/g7514g1z8AgAA//8DAFBLAQItABQABgAIAAAAIQDb4fbL7gAAAIUBAAATAAAAAAAAAAAA&#10;AAAAAAAAAABbQ29udGVudF9UeXBlc10ueG1sUEsBAi0AFAAGAAgAAAAhAFr0LFu/AAAAFQEAAAsA&#10;AAAAAAAAAAAAAAAAHwEAAF9yZWxzLy5yZWxzUEsBAi0AFAAGAAgAAAAhAAH8lY7EAAAA3gAAAA8A&#10;AAAAAAAAAAAAAAAABwIAAGRycy9kb3ducmV2LnhtbFBLBQYAAAAAAwADALcAAAD4AgAAAAA=&#10;" filled="f" stroked="f">
                  <v:textbox inset="0,0,0,0">
                    <w:txbxContent>
                      <w:p w14:paraId="56D1ABF0" w14:textId="77777777" w:rsidR="00B32EF2" w:rsidRDefault="00000000">
                        <w:r>
                          <w:rPr>
                            <w:rFonts w:ascii="Arial" w:eastAsia="Arial" w:hAnsi="Arial" w:cs="Arial"/>
                            <w:i/>
                            <w:sz w:val="18"/>
                          </w:rPr>
                          <w:t>quando è supposta l’inesistenza di un fatto la cui verità è positivamente sta</w:t>
                        </w:r>
                      </w:p>
                    </w:txbxContent>
                  </v:textbox>
                </v:rect>
                <v:rect id="Rectangle 15260" o:spid="_x0000_s1862" style="position:absolute;left:975;top:5541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vauxwAAAN4AAAAPAAAAZHJzL2Rvd25yZXYueG1sRI9Ba8JA&#10;EIXvQv/DMoXedFOhIqmrFIs0h16qEXocsmOSNju7ZFeT+uudQ8HbDPPmvfetNqPr1IX62Ho28DzL&#10;QBFX3rZcGygPu+kSVEzIFjvPZOCPImzWD5MV5tYP/EWXfaqVmHDM0UCTUsi1jlVDDuPMB2K5nXzv&#10;MMna19r2OIi56/Q8yxbaYcuS0GCgbUPV7/7sDHy/cyh2g65O1234/CmW3ce5PBrz9Di+vYJKNKa7&#10;+P+7sFL/Zb4QAMGRGfT6BgAA//8DAFBLAQItABQABgAIAAAAIQDb4fbL7gAAAIUBAAATAAAAAAAA&#10;AAAAAAAAAAAAAABbQ29udGVudF9UeXBlc10ueG1sUEsBAi0AFAAGAAgAAAAhAFr0LFu/AAAAFQEA&#10;AAsAAAAAAAAAAAAAAAAAHwEAAF9yZWxzLy5yZWxzUEsBAi0AFAAGAAgAAAAhAF6q9q7HAAAA3gAA&#10;AA8AAAAAAAAAAAAAAAAABwIAAGRycy9kb3ducmV2LnhtbFBLBQYAAAAAAwADALcAAAD7AgAAAAA=&#10;" filled="f" stroked="f">
                  <v:textbox inset="0,0,0,0">
                    <w:txbxContent>
                      <w:p w14:paraId="4626C8C8" w14:textId="77777777" w:rsidR="00B32EF2" w:rsidRDefault="00000000">
                        <w:r>
                          <w:rPr>
                            <w:rFonts w:ascii="Arial" w:eastAsia="Arial" w:hAnsi="Arial" w:cs="Arial"/>
                            <w:i/>
                            <w:sz w:val="18"/>
                          </w:rPr>
                          <w:t>-</w:t>
                        </w:r>
                      </w:p>
                    </w:txbxContent>
                  </v:textbox>
                </v:rect>
                <v:rect id="Rectangle 15261" o:spid="_x0000_s1863" style="position:absolute;left:-11869;top:54186;width:509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lM1xAAAAN4AAAAPAAAAZHJzL2Rvd25yZXYueG1sRE9Li8Iw&#10;EL4v+B/CCN7WVGFFqlFEke3By/oAj0MzttVmEppoq79+s7DgbT6+58yXnanFgxpfWVYwGiYgiHOr&#10;Ky4UHA/bzykIH5A11pZJwZM8LBe9jzmm2rb8Q499KEQMYZ+igjIEl0rp85IM+qF1xJG72MZgiLAp&#10;pG6wjeGmluMkmUiDFceGEh2tS8pv+7tRcN6wy7atzC+vtdtds2n9fT+elBr0u9UMRKAuvMX/7kzH&#10;+V/jyQj+3ok3yMUvAAAA//8DAFBLAQItABQABgAIAAAAIQDb4fbL7gAAAIUBAAATAAAAAAAAAAAA&#10;AAAAAAAAAABbQ29udGVudF9UeXBlc10ueG1sUEsBAi0AFAAGAAgAAAAhAFr0LFu/AAAAFQEAAAsA&#10;AAAAAAAAAAAAAAAAHwEAAF9yZWxzLy5yZWxzUEsBAi0AFAAGAAgAAAAhADHmUzXEAAAA3gAAAA8A&#10;AAAAAAAAAAAAAAAABwIAAGRycy9kb3ducmV2LnhtbFBLBQYAAAAAAwADALcAAAD4AgAAAAA=&#10;" filled="f" stroked="f">
                  <v:textbox inset="0,0,0,0">
                    <w:txbxContent>
                      <w:p w14:paraId="45B28C41" w14:textId="77777777" w:rsidR="00B32EF2" w:rsidRDefault="00000000">
                        <w:r>
                          <w:rPr>
                            <w:rFonts w:ascii="Arial" w:eastAsia="Arial" w:hAnsi="Arial" w:cs="Arial"/>
                            <w:i/>
                            <w:sz w:val="18"/>
                          </w:rPr>
                          <w:t xml:space="preserve">bilita, e tanto nell’uno quanto nell’altro caso se il fatto non costituì un punto </w:t>
                        </w:r>
                      </w:p>
                    </w:txbxContent>
                  </v:textbox>
                </v:rect>
                <v:rect id="Rectangle 15262" o:spid="_x0000_s1864" style="position:absolute;left:1819;top:52952;width:373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M1CxAAAAN4AAAAPAAAAZHJzL2Rvd25yZXYueG1sRE9Na8JA&#10;EL0L/odlCt5004AiqauIIubQS20Ej0N2TFKzs0t2NbG/vlso9DaP9zmrzWBa8aDON5YVvM4SEMSl&#10;1Q1XCorPw3QJwgdkja1lUvAkD5v1eLTCTNueP+hxCpWIIewzVFCH4DIpfVmTQT+zjjhyV9sZDBF2&#10;ldQd9jHctDJNkoU02HBsqNHRrqbydrobBZc9u/zQy/L6vXPvX/myPd6Ls1KTl2H7BiLQEP7Ff+5c&#10;x/nzdJHC7zvxBrn+AQAA//8DAFBLAQItABQABgAIAAAAIQDb4fbL7gAAAIUBAAATAAAAAAAAAAAA&#10;AAAAAAAAAABbQ29udGVudF9UeXBlc10ueG1sUEsBAi0AFAAGAAgAAAAhAFr0LFu/AAAAFQEAAAsA&#10;AAAAAAAAAAAAAAAAHwEAAF9yZWxzLy5yZWxzUEsBAi0AFAAGAAgAAAAhAME0zULEAAAA3gAAAA8A&#10;AAAAAAAAAAAAAAAABwIAAGRycy9kb3ducmV2LnhtbFBLBQYAAAAAAwADALcAAAD4AgAAAAA=&#10;" filled="f" stroked="f">
                  <v:textbox inset="0,0,0,0">
                    <w:txbxContent>
                      <w:p w14:paraId="4A01498E" w14:textId="77777777" w:rsidR="00B32EF2" w:rsidRDefault="00000000">
                        <w:r>
                          <w:rPr>
                            <w:rFonts w:ascii="Arial" w:eastAsia="Arial" w:hAnsi="Arial" w:cs="Arial"/>
                            <w:i/>
                            <w:sz w:val="18"/>
                          </w:rPr>
                          <w:t>controverso sul quale la sentenza ebbe a pronunciare ;</w:t>
                        </w:r>
                      </w:p>
                    </w:txbxContent>
                  </v:textbox>
                </v:rect>
                <v:rect id="Rectangle 200010" o:spid="_x0000_s1865" style="position:absolute;left:25465;top:51719;width:509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1eqxgAAAN8AAAAPAAAAZHJzL2Rvd25yZXYueG1sRI9Na8JA&#10;EIbvhf6HZQre6sYeRFJXKRZpDl78gh6H7JhEs7NLdjXRX985FDwO77zPyzNfDq5VN+pi49nAZJyB&#10;Ii69bbgycNiv32egYkK22HomA3eKsFy8vswxt77nLd12qVIC4ZijgTqlkGsdy5ocxrEPxJKdfOcw&#10;ydlV2nbYC9y1+iPLptphw7JQY6BVTeVld3UGfr85FOtel6fHKmzOxaz9uR6Oxozehq9PUImG9Hz+&#10;bxfWgBCziRiIj7iAXvwBAAD//wMAUEsBAi0AFAAGAAgAAAAhANvh9svuAAAAhQEAABMAAAAAAAAA&#10;AAAAAAAAAAAAAFtDb250ZW50X1R5cGVzXS54bWxQSwECLQAUAAYACAAAACEAWvQsW78AAAAVAQAA&#10;CwAAAAAAAAAAAAAAAAAfAQAAX3JlbHMvLnJlbHNQSwECLQAUAAYACAAAACEA2rdXqsYAAADfAAAA&#10;DwAAAAAAAAAAAAAAAAAHAgAAZHJzL2Rvd25yZXYueG1sUEsFBgAAAAADAAMAtwAAAPoCAAAAAA==&#10;" filled="f" stroked="f">
                  <v:textbox inset="0,0,0,0">
                    <w:txbxContent>
                      <w:p w14:paraId="0DA965C1" w14:textId="77777777" w:rsidR="00B32EF2" w:rsidRDefault="00000000">
                        <w:r>
                          <w:rPr>
                            <w:rFonts w:ascii="Arial" w:eastAsia="Arial" w:hAnsi="Arial" w:cs="Arial"/>
                            <w:i/>
                            <w:sz w:val="18"/>
                          </w:rPr>
                          <w:t>5)</w:t>
                        </w:r>
                      </w:p>
                    </w:txbxContent>
                  </v:textbox>
                </v:rect>
                <v:rect id="Rectangle 200012" o:spid="_x0000_s1866" style="position:absolute;left:-12885;top:51719;width:509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WxGxQAAAN8AAAAPAAAAZHJzL2Rvd25yZXYueG1sRI9Pi8Iw&#10;FMTvC36H8ARva6oHkWoUUcQevKx/wOOjebbV5iU00VY//WZhweMwM79h5svO1OJJja8sKxgNExDE&#10;udUVFwpOx+33FIQPyBpry6TgRR6Wi97XHFNtW/6h5yEUIkLYp6igDMGlUvq8JIN+aB1x9K62MRii&#10;bAqpG2wj3NRynCQTabDiuFCio3VJ+f3wMAouG3bZtpX59b12+1s2rXeP01mpQb9bzUAE6sIn/N/O&#10;tIJITEZj+PsTv4Bc/AIAAP//AwBQSwECLQAUAAYACAAAACEA2+H2y+4AAACFAQAAEwAAAAAAAAAA&#10;AAAAAAAAAAAAW0NvbnRlbnRfVHlwZXNdLnhtbFBLAQItABQABgAIAAAAIQBa9CxbvwAAABUBAAAL&#10;AAAAAAAAAAAAAAAAAB8BAABfcmVscy8ucmVsc1BLAQItABQABgAIAAAAIQBFKWxGxQAAAN8AAAAP&#10;AAAAAAAAAAAAAAAAAAcCAABkcnMvZG93bnJldi54bWxQSwUGAAAAAAMAAwC3AAAA+QIAAAAA&#10;" filled="f" stroked="f">
                  <v:textbox inset="0,0,0,0">
                    <w:txbxContent>
                      <w:p w14:paraId="4BFD3C10" w14:textId="77777777" w:rsidR="00B32EF2" w:rsidRDefault="00000000">
                        <w:r>
                          <w:rPr>
                            <w:rFonts w:ascii="Arial" w:eastAsia="Arial" w:hAnsi="Arial" w:cs="Arial"/>
                            <w:i/>
                            <w:sz w:val="18"/>
                          </w:rPr>
                          <w:t xml:space="preserve"> se la sentenza è contraria ad altra precedente avente fra le parti autorità </w:t>
                        </w:r>
                      </w:p>
                    </w:txbxContent>
                  </v:textbox>
                </v:rect>
                <v:rect id="Rectangle 15264" o:spid="_x0000_s1867" style="position:absolute;left:-10230;top:50486;width:493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fCtxAAAAN4AAAAPAAAAZHJzL2Rvd25yZXYueG1sRE9Ni8Iw&#10;EL0L/ocwgjdNFVekaxRRxB72sq4Lexyasa02k9BEW/31m4UFb/N4n7Ncd6YWd2p8ZVnBZJyAIM6t&#10;rrhQcPrajxYgfEDWWFsmBQ/ysF71e0tMtW35k+7HUIgYwj5FBWUILpXS5yUZ9GPriCN3to3BEGFT&#10;SN1gG8NNLadJMpcGK44NJTralpRfjzej4GfHLtu3Mj8/t+7jki3qw+30rdRw0G3eQQTqwkv87850&#10;nP82nc/g7514g1z9AgAA//8DAFBLAQItABQABgAIAAAAIQDb4fbL7gAAAIUBAAATAAAAAAAAAAAA&#10;AAAAAAAAAABbQ29udGVudF9UeXBlc10ueG1sUEsBAi0AFAAGAAgAAAAhAFr0LFu/AAAAFQEAAAsA&#10;AAAAAAAAAAAAAAAAHwEAAF9yZWxzLy5yZWxzUEsBAi0AFAAGAAgAAAAhACGR8K3EAAAA3gAAAA8A&#10;AAAAAAAAAAAAAAAABwIAAGRycy9kb3ducmV2LnhtbFBLBQYAAAAAAwADALcAAAD4AgAAAAA=&#10;" filled="f" stroked="f">
                  <v:textbox inset="0,0,0,0">
                    <w:txbxContent>
                      <w:p w14:paraId="13F670B1" w14:textId="77777777" w:rsidR="00B32EF2" w:rsidRDefault="00000000">
                        <w:r>
                          <w:rPr>
                            <w:rFonts w:ascii="Arial" w:eastAsia="Arial" w:hAnsi="Arial" w:cs="Arial"/>
                            <w:i/>
                            <w:sz w:val="18"/>
                          </w:rPr>
                          <w:t>di cosa giudicata, purché non abbia pronunciato sulla relativa eccezione;</w:t>
                        </w:r>
                      </w:p>
                    </w:txbxContent>
                  </v:textbox>
                </v:rect>
                <v:rect id="Rectangle 199992" o:spid="_x0000_s1868" style="position:absolute;left:25399;top:49252;width:512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6pKxgAAAN8AAAAPAAAAZHJzL2Rvd25yZXYueG1sRI9Pi8Iw&#10;EMXvC36HMIK3NdWDaNcooog9ePEf7HFoxra7zSQ00db99BtBcG4/3ps3b+bLztTiTo2vLCsYDRMQ&#10;xLnVFRcKzqft5xSED8gaa8uk4EEelovexxxTbVs+0P0YChFD2KeooAzBpVL6vCSDfmgdcdSutjEY&#10;IjaF1A22MdzUcpwkE2mw4nihREfrkvLf480o+N6wy7atzK9/a7f/yab17na+KDXod6svEIG68Da/&#10;tjMd68/ijOH5TwSQi38AAAD//wMAUEsBAi0AFAAGAAgAAAAhANvh9svuAAAAhQEAABMAAAAAAAAA&#10;AAAAAAAAAAAAAFtDb250ZW50X1R5cGVzXS54bWxQSwECLQAUAAYACAAAACEAWvQsW78AAAAVAQAA&#10;CwAAAAAAAAAAAAAAAAAfAQAAX3JlbHMvLnJlbHNQSwECLQAUAAYACAAAACEAXUeqSsYAAADfAAAA&#10;DwAAAAAAAAAAAAAAAAAHAgAAZHJzL2Rvd25yZXYueG1sUEsFBgAAAAADAAMAtwAAAPoCAAAAAA==&#10;" filled="f" stroked="f">
                  <v:textbox inset="0,0,0,0">
                    <w:txbxContent>
                      <w:p w14:paraId="784D861E" w14:textId="77777777" w:rsidR="00B32EF2" w:rsidRDefault="00000000">
                        <w:r>
                          <w:rPr>
                            <w:rFonts w:ascii="Arial" w:eastAsia="Arial" w:hAnsi="Arial" w:cs="Arial"/>
                            <w:i/>
                            <w:sz w:val="18"/>
                          </w:rPr>
                          <w:t>6)</w:t>
                        </w:r>
                      </w:p>
                    </w:txbxContent>
                  </v:textbox>
                </v:rect>
                <v:rect id="Rectangle 199993" o:spid="_x0000_s1869" style="position:absolute;left:-12954;top:49252;width:512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w/RxgAAAN8AAAAPAAAAZHJzL2Rvd25yZXYueG1sRI9Pa8JA&#10;EMXvBb/DMkJvutGCaOoqokhz8OI/6HHIjkna7OySXU3qp3cFoXP78d68eTNfdqYWN2p8ZVnBaJiA&#10;IM6trrhQcDpuB1MQPiBrrC2Tgj/ysFz03uaYatvynm6HUIgYwj5FBWUILpXS5yUZ9EPriKN2sY3B&#10;ELEppG6wjeGmluMkmUiDFccLJTpal5T/Hq5GwfeGXbZtZX65r93uJ5vWX9fTWan3frf6BBGoC//m&#10;13amY/1ZnA94/hMB5OIBAAD//wMAUEsBAi0AFAAGAAgAAAAhANvh9svuAAAAhQEAABMAAAAAAAAA&#10;AAAAAAAAAAAAAFtDb250ZW50X1R5cGVzXS54bWxQSwECLQAUAAYACAAAACEAWvQsW78AAAAVAQAA&#10;CwAAAAAAAAAAAAAAAAAfAQAAX3JlbHMvLnJlbHNQSwECLQAUAAYACAAAACEAMgsP0cYAAADfAAAA&#10;DwAAAAAAAAAAAAAAAAAHAgAAZHJzL2Rvd25yZXYueG1sUEsFBgAAAAADAAMAtwAAAPoCAAAAAA==&#10;" filled="f" stroked="f">
                  <v:textbox inset="0,0,0,0">
                    <w:txbxContent>
                      <w:p w14:paraId="31EA2906" w14:textId="77777777" w:rsidR="00B32EF2" w:rsidRDefault="00000000">
                        <w:r>
                          <w:rPr>
                            <w:rFonts w:ascii="Arial" w:eastAsia="Arial" w:hAnsi="Arial" w:cs="Arial"/>
                            <w:i/>
                            <w:sz w:val="18"/>
                          </w:rPr>
                          <w:t xml:space="preserve"> se la sentenza è effetto del dolo del giudice, accertato con sentenza </w:t>
                        </w:r>
                      </w:p>
                    </w:txbxContent>
                  </v:textbox>
                </v:rect>
                <v:rect id="Rectangle 15266" o:spid="_x0000_s1870" style="position:absolute;left:25124;top:48019;width:140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tBxAAAAN4AAAAPAAAAZHJzL2Rvd25yZXYueG1sRE9Na8JA&#10;EL0X/A/LFLzVTYUGSV1FFGkOXqoRPA7ZMUnNzi7Z1UR/fbdQ8DaP9znz5WBacaPON5YVvE8SEMSl&#10;1Q1XCorD9m0Gwgdkja1lUnAnD8vF6GWOmbY9f9NtHyoRQ9hnqKAOwWVS+rImg35iHXHkzrYzGCLs&#10;Kqk77GO4aeU0SVJpsOHYUKOjdU3lZX81Ck4bdvm2l+X5sXa7n3zWfl2Lo1Lj12H1CSLQEJ7if3eu&#10;4/yPaZrC3zvxBrn4BQAA//8DAFBLAQItABQABgAIAAAAIQDb4fbL7gAAAIUBAAATAAAAAAAAAAAA&#10;AAAAAAAAAABbQ29udGVudF9UeXBlc10ueG1sUEsBAi0AFAAGAAgAAAAhAFr0LFu/AAAAFQEAAAsA&#10;AAAAAAAAAAAAAAAAHwEAAF9yZWxzLy5yZWxzUEsBAi0AFAAGAAgAAAAhAL4Py0HEAAAA3gAAAA8A&#10;AAAAAAAAAAAAAAAABwIAAGRycy9kb3ducmV2LnhtbFBLBQYAAAAAAwADALcAAAD4AgAAAAA=&#10;" filled="f" stroked="f">
                  <v:textbox inset="0,0,0,0">
                    <w:txbxContent>
                      <w:p w14:paraId="207DB012" w14:textId="77777777" w:rsidR="00B32EF2" w:rsidRDefault="00000000">
                        <w:r>
                          <w:rPr>
                            <w:rFonts w:ascii="Arial" w:eastAsia="Arial" w:hAnsi="Arial" w:cs="Arial"/>
                            <w:i/>
                            <w:sz w:val="18"/>
                          </w:rPr>
                          <w:t>passata in giudicato.</w:t>
                        </w:r>
                      </w:p>
                    </w:txbxContent>
                  </v:textbox>
                </v:rect>
                <v:shape id="Shape 15267" o:spid="_x0000_s1871" style="position:absolute;left:317;top:47662;width:39600;height:14902;visibility:visible;mso-wrap-style:square;v-text-anchor:top" coordsize="3960000,149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2UrwgAAAN4AAAAPAAAAZHJzL2Rvd25yZXYueG1sRE9NSwMx&#10;EL0L/ocwBW92tgWrrE1LEaR6kbqKXofNuFncTEISu9t/bwqCt3m8z1lvJzeoI8fUe9GwmFegWFpv&#10;euk0vL89Xt+BSpnE0OCFNZw4wXZzebGm2vhRXvnY5E6VEEk1abA5hxoxtZYdpbkPLIX78tFRLjB2&#10;aCKNJdwNuKyqFTrqpTRYCvxguf1ufpyGZmEpmuZ5DPmw/0A8fYYX3Gt9NZt296AyT/lf/Od+MmX+&#10;zXJ1C+d3yg24+QUAAP//AwBQSwECLQAUAAYACAAAACEA2+H2y+4AAACFAQAAEwAAAAAAAAAAAAAA&#10;AAAAAAAAW0NvbnRlbnRfVHlwZXNdLnhtbFBLAQItABQABgAIAAAAIQBa9CxbvwAAABUBAAALAAAA&#10;AAAAAAAAAAAAAB8BAABfcmVscy8ucmVsc1BLAQItABQABgAIAAAAIQBHt2UrwgAAAN4AAAAPAAAA&#10;AAAAAAAAAAAAAAcCAABkcnMvZG93bnJldi54bWxQSwUGAAAAAAMAAwC3AAAA9gIAAAAA&#10;" path="m,1490294r3960000,l3960000,,,,,1490294xe" filled="f" strokeweight="1pt">
                  <v:stroke miterlimit="1" joinstyle="miter"/>
                  <v:path arrowok="t" textboxrect="0,0,3960000,1490294"/>
                </v:shape>
                <w10:anchorlock/>
              </v:group>
            </w:pict>
          </mc:Fallback>
        </mc:AlternateContent>
      </w:r>
    </w:p>
    <w:p w14:paraId="32B730B9" w14:textId="77777777" w:rsidR="00B32EF2" w:rsidRDefault="00000000">
      <w:pPr>
        <w:spacing w:after="0"/>
        <w:ind w:left="-356" w:right="-316"/>
      </w:pPr>
      <w:r>
        <w:rPr>
          <w:noProof/>
        </w:rPr>
        <w:lastRenderedPageBreak/>
        <mc:AlternateContent>
          <mc:Choice Requires="wpg">
            <w:drawing>
              <wp:inline distT="0" distB="0" distL="0" distR="0" wp14:anchorId="5F771641" wp14:editId="769DA2DD">
                <wp:extent cx="3998025" cy="6262854"/>
                <wp:effectExtent l="0" t="0" r="0" b="0"/>
                <wp:docPr id="200174" name="Group 200174"/>
                <wp:cNvGraphicFramePr/>
                <a:graphic xmlns:a="http://schemas.openxmlformats.org/drawingml/2006/main">
                  <a:graphicData uri="http://schemas.microsoft.com/office/word/2010/wordprocessingGroup">
                    <wpg:wgp>
                      <wpg:cNvGrpSpPr/>
                      <wpg:grpSpPr>
                        <a:xfrm>
                          <a:off x="0" y="0"/>
                          <a:ext cx="3998025" cy="6262854"/>
                          <a:chOff x="0" y="0"/>
                          <a:chExt cx="3998025" cy="6262854"/>
                        </a:xfrm>
                      </wpg:grpSpPr>
                      <wps:wsp>
                        <wps:cNvPr id="15298" name="Rectangle 15298"/>
                        <wps:cNvSpPr/>
                        <wps:spPr>
                          <a:xfrm rot="-10799999">
                            <a:off x="1900361" y="-62190"/>
                            <a:ext cx="178369" cy="250646"/>
                          </a:xfrm>
                          <a:prstGeom prst="rect">
                            <a:avLst/>
                          </a:prstGeom>
                          <a:ln>
                            <a:noFill/>
                          </a:ln>
                        </wps:spPr>
                        <wps:txbx>
                          <w:txbxContent>
                            <w:p w14:paraId="57F55747" w14:textId="77777777" w:rsidR="00B32EF2" w:rsidRDefault="00000000">
                              <w:r>
                                <w:rPr>
                                  <w:rFonts w:ascii="Times New Roman" w:eastAsia="Times New Roman" w:hAnsi="Times New Roman" w:cs="Times New Roman"/>
                                </w:rPr>
                                <w:t>93</w:t>
                              </w:r>
                            </w:p>
                          </w:txbxContent>
                        </wps:txbx>
                        <wps:bodyPr horzOverflow="overflow" vert="horz" lIns="0" tIns="0" rIns="0" bIns="0" rtlCol="0">
                          <a:noAutofit/>
                        </wps:bodyPr>
                      </wps:wsp>
                      <wps:wsp>
                        <wps:cNvPr id="15299" name="Rectangle 15299"/>
                        <wps:cNvSpPr/>
                        <wps:spPr>
                          <a:xfrm rot="-10799999">
                            <a:off x="1625742" y="6119965"/>
                            <a:ext cx="620298" cy="142889"/>
                          </a:xfrm>
                          <a:prstGeom prst="rect">
                            <a:avLst/>
                          </a:prstGeom>
                          <a:ln>
                            <a:noFill/>
                          </a:ln>
                        </wps:spPr>
                        <wps:txbx>
                          <w:txbxContent>
                            <w:p w14:paraId="0A0945AA" w14:textId="77777777" w:rsidR="00B32EF2" w:rsidRDefault="00000000">
                              <w:r>
                                <w:rPr>
                                  <w:rFonts w:ascii="Arial" w:eastAsia="Arial" w:hAnsi="Arial" w:cs="Arial"/>
                                  <w:b/>
                                  <w:sz w:val="18"/>
                                </w:rPr>
                                <w:t>CAPO III</w:t>
                              </w:r>
                            </w:p>
                          </w:txbxContent>
                        </wps:txbx>
                        <wps:bodyPr horzOverflow="overflow" vert="horz" lIns="0" tIns="0" rIns="0" bIns="0" rtlCol="0">
                          <a:noAutofit/>
                        </wps:bodyPr>
                      </wps:wsp>
                      <wps:wsp>
                        <wps:cNvPr id="15300" name="Rectangle 15300"/>
                        <wps:cNvSpPr/>
                        <wps:spPr>
                          <a:xfrm rot="-10799999">
                            <a:off x="1118743" y="5996635"/>
                            <a:ext cx="1431107" cy="142890"/>
                          </a:xfrm>
                          <a:prstGeom prst="rect">
                            <a:avLst/>
                          </a:prstGeom>
                          <a:ln>
                            <a:noFill/>
                          </a:ln>
                        </wps:spPr>
                        <wps:txbx>
                          <w:txbxContent>
                            <w:p w14:paraId="56AC5789" w14:textId="77777777" w:rsidR="00B32EF2" w:rsidRDefault="00000000">
                              <w:r>
                                <w:rPr>
                                  <w:rFonts w:ascii="Arial" w:eastAsia="Arial" w:hAnsi="Arial" w:cs="Arial"/>
                                  <w:b/>
                                  <w:sz w:val="18"/>
                                </w:rPr>
                                <w:t xml:space="preserve"> LE IMPUGNAZIONI</w:t>
                              </w:r>
                            </w:p>
                          </w:txbxContent>
                        </wps:txbx>
                        <wps:bodyPr horzOverflow="overflow" vert="horz" lIns="0" tIns="0" rIns="0" bIns="0" rtlCol="0">
                          <a:noAutofit/>
                        </wps:bodyPr>
                      </wps:wsp>
                      <wps:wsp>
                        <wps:cNvPr id="15301" name="Rectangle 15301"/>
                        <wps:cNvSpPr/>
                        <wps:spPr>
                          <a:xfrm rot="-10799999">
                            <a:off x="1532675" y="5749976"/>
                            <a:ext cx="767544" cy="142889"/>
                          </a:xfrm>
                          <a:prstGeom prst="rect">
                            <a:avLst/>
                          </a:prstGeom>
                          <a:ln>
                            <a:noFill/>
                          </a:ln>
                        </wps:spPr>
                        <wps:txbx>
                          <w:txbxContent>
                            <w:p w14:paraId="21464F88" w14:textId="77777777" w:rsidR="00B32EF2" w:rsidRDefault="00000000">
                              <w:r>
                                <w:rPr>
                                  <w:rFonts w:ascii="Arial" w:eastAsia="Arial" w:hAnsi="Arial" w:cs="Arial"/>
                                  <w:b/>
                                  <w:sz w:val="18"/>
                                </w:rPr>
                                <w:t>SEZIONE I</w:t>
                              </w:r>
                            </w:p>
                          </w:txbxContent>
                        </wps:txbx>
                        <wps:bodyPr horzOverflow="overflow" vert="horz" lIns="0" tIns="0" rIns="0" bIns="0" rtlCol="0">
                          <a:noAutofit/>
                        </wps:bodyPr>
                      </wps:wsp>
                      <wps:wsp>
                        <wps:cNvPr id="15302" name="Rectangle 15302"/>
                        <wps:cNvSpPr/>
                        <wps:spPr>
                          <a:xfrm rot="-10799999">
                            <a:off x="430414" y="5626646"/>
                            <a:ext cx="2535146" cy="142889"/>
                          </a:xfrm>
                          <a:prstGeom prst="rect">
                            <a:avLst/>
                          </a:prstGeom>
                          <a:ln>
                            <a:noFill/>
                          </a:ln>
                        </wps:spPr>
                        <wps:txbx>
                          <w:txbxContent>
                            <w:p w14:paraId="5947740C" w14:textId="77777777" w:rsidR="00B32EF2" w:rsidRDefault="00000000">
                              <w:r>
                                <w:rPr>
                                  <w:rFonts w:ascii="Arial" w:eastAsia="Arial" w:hAnsi="Arial" w:cs="Arial"/>
                                  <w:b/>
                                  <w:sz w:val="18"/>
                                </w:rPr>
                                <w:t xml:space="preserve"> LE IMPUGNAZIONI IN GENERALE</w:t>
                              </w:r>
                            </w:p>
                          </w:txbxContent>
                        </wps:txbx>
                        <wps:bodyPr horzOverflow="overflow" vert="horz" lIns="0" tIns="0" rIns="0" bIns="0" rtlCol="0">
                          <a:noAutofit/>
                        </wps:bodyPr>
                      </wps:wsp>
                      <wps:wsp>
                        <wps:cNvPr id="15303" name="Rectangle 15303"/>
                        <wps:cNvSpPr/>
                        <wps:spPr>
                          <a:xfrm rot="-10799999">
                            <a:off x="1456942" y="5256657"/>
                            <a:ext cx="890254" cy="142889"/>
                          </a:xfrm>
                          <a:prstGeom prst="rect">
                            <a:avLst/>
                          </a:prstGeom>
                          <a:ln>
                            <a:noFill/>
                          </a:ln>
                        </wps:spPr>
                        <wps:txbx>
                          <w:txbxContent>
                            <w:p w14:paraId="0418FD90" w14:textId="77777777" w:rsidR="00B32EF2" w:rsidRDefault="00000000">
                              <w:r>
                                <w:rPr>
                                  <w:rFonts w:ascii="Arial" w:eastAsia="Arial" w:hAnsi="Arial" w:cs="Arial"/>
                                  <w:b/>
                                  <w:sz w:val="18"/>
                                </w:rPr>
                                <w:t>Articolo 103</w:t>
                              </w:r>
                            </w:p>
                          </w:txbxContent>
                        </wps:txbx>
                        <wps:bodyPr horzOverflow="overflow" vert="horz" lIns="0" tIns="0" rIns="0" bIns="0" rtlCol="0">
                          <a:noAutofit/>
                        </wps:bodyPr>
                      </wps:wsp>
                      <wps:wsp>
                        <wps:cNvPr id="200021" name="Rectangle 200021"/>
                        <wps:cNvSpPr/>
                        <wps:spPr>
                          <a:xfrm rot="-10799999">
                            <a:off x="-264111" y="5133326"/>
                            <a:ext cx="1943579" cy="142889"/>
                          </a:xfrm>
                          <a:prstGeom prst="rect">
                            <a:avLst/>
                          </a:prstGeom>
                          <a:ln>
                            <a:noFill/>
                          </a:ln>
                        </wps:spPr>
                        <wps:txbx>
                          <w:txbxContent>
                            <w:p w14:paraId="79C1905D"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020" name="Rectangle 200020"/>
                        <wps:cNvSpPr/>
                        <wps:spPr>
                          <a:xfrm rot="-10799999">
                            <a:off x="2222142" y="5133327"/>
                            <a:ext cx="1943578" cy="142889"/>
                          </a:xfrm>
                          <a:prstGeom prst="rect">
                            <a:avLst/>
                          </a:prstGeom>
                          <a:ln>
                            <a:noFill/>
                          </a:ln>
                        </wps:spPr>
                        <wps:txbx>
                          <w:txbxContent>
                            <w:p w14:paraId="6227710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022" name="Rectangle 200022"/>
                        <wps:cNvSpPr/>
                        <wps:spPr>
                          <a:xfrm rot="-10799999">
                            <a:off x="1162067" y="5133327"/>
                            <a:ext cx="1943578" cy="142889"/>
                          </a:xfrm>
                          <a:prstGeom prst="rect">
                            <a:avLst/>
                          </a:prstGeom>
                          <a:ln>
                            <a:noFill/>
                          </a:ln>
                        </wps:spPr>
                        <wps:txbx>
                          <w:txbxContent>
                            <w:p w14:paraId="74A110A3" w14:textId="77777777" w:rsidR="00B32EF2" w:rsidRDefault="00000000">
                              <w:r>
                                <w:rPr>
                                  <w:rFonts w:ascii="Arial" w:eastAsia="Arial" w:hAnsi="Arial" w:cs="Arial"/>
                                  <w:i/>
                                  <w:sz w:val="18"/>
                                </w:rPr>
                                <w:t xml:space="preserve">articolo 49 D.lgs. n. </w:t>
                              </w:r>
                            </w:p>
                          </w:txbxContent>
                        </wps:txbx>
                        <wps:bodyPr horzOverflow="overflow" vert="horz" lIns="0" tIns="0" rIns="0" bIns="0" rtlCol="0">
                          <a:noAutofit/>
                        </wps:bodyPr>
                      </wps:wsp>
                      <wps:wsp>
                        <wps:cNvPr id="15305" name="Rectangle 15305"/>
                        <wps:cNvSpPr/>
                        <wps:spPr>
                          <a:xfrm rot="-10799999">
                            <a:off x="494904" y="5009998"/>
                            <a:ext cx="2405047" cy="142889"/>
                          </a:xfrm>
                          <a:prstGeom prst="rect">
                            <a:avLst/>
                          </a:prstGeom>
                          <a:ln>
                            <a:noFill/>
                          </a:ln>
                        </wps:spPr>
                        <wps:txbx>
                          <w:txbxContent>
                            <w:p w14:paraId="6F4EB907" w14:textId="77777777" w:rsidR="00B32EF2" w:rsidRDefault="00000000">
                              <w:r>
                                <w:rPr>
                                  <w:rFonts w:ascii="Arial" w:eastAsia="Arial" w:hAnsi="Arial" w:cs="Arial"/>
                                  <w:b/>
                                  <w:sz w:val="18"/>
                                </w:rPr>
                                <w:t xml:space="preserve">Disposizioni generali applicabili </w:t>
                              </w:r>
                            </w:p>
                          </w:txbxContent>
                        </wps:txbx>
                        <wps:bodyPr horzOverflow="overflow" vert="horz" lIns="0" tIns="0" rIns="0" bIns="0" rtlCol="0">
                          <a:noAutofit/>
                        </wps:bodyPr>
                      </wps:wsp>
                      <wps:wsp>
                        <wps:cNvPr id="200019" name="Rectangle 200019"/>
                        <wps:cNvSpPr/>
                        <wps:spPr>
                          <a:xfrm rot="-10799999">
                            <a:off x="-1376459" y="4886668"/>
                            <a:ext cx="5309021" cy="142889"/>
                          </a:xfrm>
                          <a:prstGeom prst="rect">
                            <a:avLst/>
                          </a:prstGeom>
                          <a:ln>
                            <a:noFill/>
                          </a:ln>
                        </wps:spPr>
                        <wps:txbx>
                          <w:txbxContent>
                            <w:p w14:paraId="0FE0292B" w14:textId="77777777" w:rsidR="00B32EF2" w:rsidRDefault="00000000">
                              <w:r>
                                <w:rPr>
                                  <w:rFonts w:ascii="Arial" w:eastAsia="Arial" w:hAnsi="Arial" w:cs="Arial"/>
                                  <w:sz w:val="18"/>
                                </w:rPr>
                                <w:t xml:space="preserve">. Alle impugnazioni delle sentenze delle corti di giustizia tributaria di primo </w:t>
                              </w:r>
                            </w:p>
                          </w:txbxContent>
                        </wps:txbx>
                        <wps:bodyPr horzOverflow="overflow" vert="horz" lIns="0" tIns="0" rIns="0" bIns="0" rtlCol="0">
                          <a:noAutofit/>
                        </wps:bodyPr>
                      </wps:wsp>
                      <wps:wsp>
                        <wps:cNvPr id="200018" name="Rectangle 200018"/>
                        <wps:cNvSpPr/>
                        <wps:spPr>
                          <a:xfrm rot="-10799999">
                            <a:off x="2610918" y="4886668"/>
                            <a:ext cx="5309021" cy="142889"/>
                          </a:xfrm>
                          <a:prstGeom prst="rect">
                            <a:avLst/>
                          </a:prstGeom>
                          <a:ln>
                            <a:noFill/>
                          </a:ln>
                        </wps:spPr>
                        <wps:txbx>
                          <w:txbxContent>
                            <w:p w14:paraId="55B6C805"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5307" name="Rectangle 15307"/>
                        <wps:cNvSpPr/>
                        <wps:spPr>
                          <a:xfrm rot="-10799999">
                            <a:off x="-1317244" y="4763338"/>
                            <a:ext cx="5308990" cy="142889"/>
                          </a:xfrm>
                          <a:prstGeom prst="rect">
                            <a:avLst/>
                          </a:prstGeom>
                          <a:ln>
                            <a:noFill/>
                          </a:ln>
                        </wps:spPr>
                        <wps:txbx>
                          <w:txbxContent>
                            <w:p w14:paraId="6A61F6EA" w14:textId="77777777" w:rsidR="00B32EF2" w:rsidRDefault="00000000">
                              <w:r>
                                <w:rPr>
                                  <w:rFonts w:ascii="Arial" w:eastAsia="Arial" w:hAnsi="Arial" w:cs="Arial"/>
                                  <w:sz w:val="18"/>
                                </w:rPr>
                                <w:t xml:space="preserve">e secondo grado si applicano le disposizioni del libro II, titolo III, capo I, del </w:t>
                              </w:r>
                            </w:p>
                          </w:txbxContent>
                        </wps:txbx>
                        <wps:bodyPr horzOverflow="overflow" vert="horz" lIns="0" tIns="0" rIns="0" bIns="0" rtlCol="0">
                          <a:noAutofit/>
                        </wps:bodyPr>
                      </wps:wsp>
                      <wps:wsp>
                        <wps:cNvPr id="15308" name="Rectangle 15308"/>
                        <wps:cNvSpPr/>
                        <wps:spPr>
                          <a:xfrm rot="-10799999">
                            <a:off x="-1275090" y="4640009"/>
                            <a:ext cx="5266836" cy="142889"/>
                          </a:xfrm>
                          <a:prstGeom prst="rect">
                            <a:avLst/>
                          </a:prstGeom>
                          <a:ln>
                            <a:noFill/>
                          </a:ln>
                        </wps:spPr>
                        <wps:txbx>
                          <w:txbxContent>
                            <w:p w14:paraId="01AD5B63" w14:textId="77777777" w:rsidR="00B32EF2" w:rsidRDefault="00000000">
                              <w:r>
                                <w:rPr>
                                  <w:rFonts w:ascii="Arial" w:eastAsia="Arial" w:hAnsi="Arial" w:cs="Arial"/>
                                  <w:sz w:val="18"/>
                                </w:rPr>
                                <w:t>codice di procedura civile, fatto salvo quanto disposto nel presente testo unico.</w:t>
                              </w:r>
                            </w:p>
                          </w:txbxContent>
                        </wps:txbx>
                        <wps:bodyPr horzOverflow="overflow" vert="horz" lIns="0" tIns="0" rIns="0" bIns="0" rtlCol="0">
                          <a:noAutofit/>
                        </wps:bodyPr>
                      </wps:wsp>
                      <wps:wsp>
                        <wps:cNvPr id="15309" name="Rectangle 15309"/>
                        <wps:cNvSpPr/>
                        <wps:spPr>
                          <a:xfrm rot="-10799999">
                            <a:off x="1455645" y="4023245"/>
                            <a:ext cx="892352" cy="142889"/>
                          </a:xfrm>
                          <a:prstGeom prst="rect">
                            <a:avLst/>
                          </a:prstGeom>
                          <a:ln>
                            <a:noFill/>
                          </a:ln>
                        </wps:spPr>
                        <wps:txbx>
                          <w:txbxContent>
                            <w:p w14:paraId="3E1BC914" w14:textId="77777777" w:rsidR="00B32EF2" w:rsidRDefault="00000000">
                              <w:r>
                                <w:rPr>
                                  <w:rFonts w:ascii="Arial" w:eastAsia="Arial" w:hAnsi="Arial" w:cs="Arial"/>
                                  <w:b/>
                                  <w:sz w:val="18"/>
                                </w:rPr>
                                <w:t>Articolo 104</w:t>
                              </w:r>
                            </w:p>
                          </w:txbxContent>
                        </wps:txbx>
                        <wps:bodyPr horzOverflow="overflow" vert="horz" lIns="0" tIns="0" rIns="0" bIns="0" rtlCol="0">
                          <a:noAutofit/>
                        </wps:bodyPr>
                      </wps:wsp>
                      <wps:wsp>
                        <wps:cNvPr id="200017" name="Rectangle 200017"/>
                        <wps:cNvSpPr/>
                        <wps:spPr>
                          <a:xfrm rot="-10799999">
                            <a:off x="1161376" y="3899915"/>
                            <a:ext cx="1944612" cy="142889"/>
                          </a:xfrm>
                          <a:prstGeom prst="rect">
                            <a:avLst/>
                          </a:prstGeom>
                          <a:ln>
                            <a:noFill/>
                          </a:ln>
                        </wps:spPr>
                        <wps:txbx>
                          <w:txbxContent>
                            <w:p w14:paraId="05E2DEA5" w14:textId="77777777" w:rsidR="00B32EF2" w:rsidRDefault="00000000">
                              <w:r>
                                <w:rPr>
                                  <w:rFonts w:ascii="Arial" w:eastAsia="Arial" w:hAnsi="Arial" w:cs="Arial"/>
                                  <w:i/>
                                  <w:sz w:val="18"/>
                                </w:rPr>
                                <w:t xml:space="preserve">articolo 50 D.lgs. n. </w:t>
                              </w:r>
                            </w:p>
                          </w:txbxContent>
                        </wps:txbx>
                        <wps:bodyPr horzOverflow="overflow" vert="horz" lIns="0" tIns="0" rIns="0" bIns="0" rtlCol="0">
                          <a:noAutofit/>
                        </wps:bodyPr>
                      </wps:wsp>
                      <wps:wsp>
                        <wps:cNvPr id="200014" name="Rectangle 200014"/>
                        <wps:cNvSpPr/>
                        <wps:spPr>
                          <a:xfrm rot="-10799999">
                            <a:off x="-265578" y="3899915"/>
                            <a:ext cx="1944612" cy="142889"/>
                          </a:xfrm>
                          <a:prstGeom prst="rect">
                            <a:avLst/>
                          </a:prstGeom>
                          <a:ln>
                            <a:noFill/>
                          </a:ln>
                        </wps:spPr>
                        <wps:txbx>
                          <w:txbxContent>
                            <w:p w14:paraId="424EDF8C"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013" name="Rectangle 200013"/>
                        <wps:cNvSpPr/>
                        <wps:spPr>
                          <a:xfrm rot="-10799999">
                            <a:off x="2222228" y="3899915"/>
                            <a:ext cx="1944612" cy="142889"/>
                          </a:xfrm>
                          <a:prstGeom prst="rect">
                            <a:avLst/>
                          </a:prstGeom>
                          <a:ln>
                            <a:noFill/>
                          </a:ln>
                        </wps:spPr>
                        <wps:txbx>
                          <w:txbxContent>
                            <w:p w14:paraId="26FB456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311" name="Rectangle 15311"/>
                        <wps:cNvSpPr/>
                        <wps:spPr>
                          <a:xfrm rot="-10799999">
                            <a:off x="886743" y="3776585"/>
                            <a:ext cx="1777178" cy="142889"/>
                          </a:xfrm>
                          <a:prstGeom prst="rect">
                            <a:avLst/>
                          </a:prstGeom>
                          <a:ln>
                            <a:noFill/>
                          </a:ln>
                        </wps:spPr>
                        <wps:txbx>
                          <w:txbxContent>
                            <w:p w14:paraId="2C8A812D" w14:textId="77777777" w:rsidR="00B32EF2" w:rsidRDefault="00000000">
                              <w:r>
                                <w:rPr>
                                  <w:rFonts w:ascii="Arial" w:eastAsia="Arial" w:hAnsi="Arial" w:cs="Arial"/>
                                  <w:b/>
                                  <w:sz w:val="18"/>
                                </w:rPr>
                                <w:t xml:space="preserve">I mezzi d’impugnazione </w:t>
                              </w:r>
                            </w:p>
                          </w:txbxContent>
                        </wps:txbx>
                        <wps:bodyPr horzOverflow="overflow" vert="horz" lIns="0" tIns="0" rIns="0" bIns="0" rtlCol="0">
                          <a:noAutofit/>
                        </wps:bodyPr>
                      </wps:wsp>
                      <wps:wsp>
                        <wps:cNvPr id="200011" name="Rectangle 200011"/>
                        <wps:cNvSpPr/>
                        <wps:spPr>
                          <a:xfrm rot="-10799999">
                            <a:off x="-1376444" y="3653256"/>
                            <a:ext cx="5309006" cy="142889"/>
                          </a:xfrm>
                          <a:prstGeom prst="rect">
                            <a:avLst/>
                          </a:prstGeom>
                          <a:ln>
                            <a:noFill/>
                          </a:ln>
                        </wps:spPr>
                        <wps:txbx>
                          <w:txbxContent>
                            <w:p w14:paraId="50DB99D6" w14:textId="77777777" w:rsidR="00B32EF2" w:rsidRDefault="00000000">
                              <w:r>
                                <w:rPr>
                                  <w:rFonts w:ascii="Arial" w:eastAsia="Arial" w:hAnsi="Arial" w:cs="Arial"/>
                                  <w:sz w:val="18"/>
                                </w:rPr>
                                <w:t xml:space="preserve">. I mezzi per impugnare le sentenze delle corti di giustizia tributaria di primo </w:t>
                              </w:r>
                            </w:p>
                          </w:txbxContent>
                        </wps:txbx>
                        <wps:bodyPr horzOverflow="overflow" vert="horz" lIns="0" tIns="0" rIns="0" bIns="0" rtlCol="0">
                          <a:noAutofit/>
                        </wps:bodyPr>
                      </wps:wsp>
                      <wps:wsp>
                        <wps:cNvPr id="200009" name="Rectangle 200009"/>
                        <wps:cNvSpPr/>
                        <wps:spPr>
                          <a:xfrm rot="-10799999">
                            <a:off x="2610922" y="3653256"/>
                            <a:ext cx="5309005" cy="142889"/>
                          </a:xfrm>
                          <a:prstGeom prst="rect">
                            <a:avLst/>
                          </a:prstGeom>
                          <a:ln>
                            <a:noFill/>
                          </a:ln>
                        </wps:spPr>
                        <wps:txbx>
                          <w:txbxContent>
                            <w:p w14:paraId="68EA6379"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5313" name="Rectangle 15313"/>
                        <wps:cNvSpPr/>
                        <wps:spPr>
                          <a:xfrm rot="-10799999">
                            <a:off x="-1079532" y="3529926"/>
                            <a:ext cx="5071278" cy="142889"/>
                          </a:xfrm>
                          <a:prstGeom prst="rect">
                            <a:avLst/>
                          </a:prstGeom>
                          <a:ln>
                            <a:noFill/>
                          </a:ln>
                        </wps:spPr>
                        <wps:txbx>
                          <w:txbxContent>
                            <w:p w14:paraId="571DCA29" w14:textId="77777777" w:rsidR="00B32EF2" w:rsidRDefault="00000000">
                              <w:r>
                                <w:rPr>
                                  <w:rFonts w:ascii="Arial" w:eastAsia="Arial" w:hAnsi="Arial" w:cs="Arial"/>
                                  <w:sz w:val="18"/>
                                </w:rPr>
                                <w:t>e secondo grado sono l’appello, il ricorso per cassazione e la revocazione.</w:t>
                              </w:r>
                            </w:p>
                          </w:txbxContent>
                        </wps:txbx>
                        <wps:bodyPr horzOverflow="overflow" vert="horz" lIns="0" tIns="0" rIns="0" bIns="0" rtlCol="0">
                          <a:noAutofit/>
                        </wps:bodyPr>
                      </wps:wsp>
                      <wps:wsp>
                        <wps:cNvPr id="15314" name="Rectangle 15314"/>
                        <wps:cNvSpPr/>
                        <wps:spPr>
                          <a:xfrm rot="-10799999">
                            <a:off x="1456693" y="3283267"/>
                            <a:ext cx="890619" cy="142889"/>
                          </a:xfrm>
                          <a:prstGeom prst="rect">
                            <a:avLst/>
                          </a:prstGeom>
                          <a:ln>
                            <a:noFill/>
                          </a:ln>
                        </wps:spPr>
                        <wps:txbx>
                          <w:txbxContent>
                            <w:p w14:paraId="5D2C3643" w14:textId="77777777" w:rsidR="00B32EF2" w:rsidRDefault="00000000">
                              <w:r>
                                <w:rPr>
                                  <w:rFonts w:ascii="Arial" w:eastAsia="Arial" w:hAnsi="Arial" w:cs="Arial"/>
                                  <w:b/>
                                  <w:sz w:val="18"/>
                                </w:rPr>
                                <w:t>Articolo 105</w:t>
                              </w:r>
                            </w:p>
                          </w:txbxContent>
                        </wps:txbx>
                        <wps:bodyPr horzOverflow="overflow" vert="horz" lIns="0" tIns="0" rIns="0" bIns="0" rtlCol="0">
                          <a:noAutofit/>
                        </wps:bodyPr>
                      </wps:wsp>
                      <wps:wsp>
                        <wps:cNvPr id="200008" name="Rectangle 200008"/>
                        <wps:cNvSpPr/>
                        <wps:spPr>
                          <a:xfrm rot="-10799999">
                            <a:off x="1167190" y="3159937"/>
                            <a:ext cx="1935369" cy="142889"/>
                          </a:xfrm>
                          <a:prstGeom prst="rect">
                            <a:avLst/>
                          </a:prstGeom>
                          <a:ln>
                            <a:noFill/>
                          </a:ln>
                        </wps:spPr>
                        <wps:txbx>
                          <w:txbxContent>
                            <w:p w14:paraId="7290D9AD" w14:textId="77777777" w:rsidR="00B32EF2" w:rsidRDefault="00000000">
                              <w:r>
                                <w:rPr>
                                  <w:rFonts w:ascii="Arial" w:eastAsia="Arial" w:hAnsi="Arial" w:cs="Arial"/>
                                  <w:i/>
                                  <w:sz w:val="18"/>
                                </w:rPr>
                                <w:t xml:space="preserve">articolo 51 D.lgs. n. </w:t>
                              </w:r>
                            </w:p>
                          </w:txbxContent>
                        </wps:txbx>
                        <wps:bodyPr horzOverflow="overflow" vert="horz" lIns="0" tIns="0" rIns="0" bIns="0" rtlCol="0">
                          <a:noAutofit/>
                        </wps:bodyPr>
                      </wps:wsp>
                      <wps:wsp>
                        <wps:cNvPr id="200007" name="Rectangle 200007"/>
                        <wps:cNvSpPr/>
                        <wps:spPr>
                          <a:xfrm rot="-10799999">
                            <a:off x="-252815" y="3159937"/>
                            <a:ext cx="1935369" cy="142889"/>
                          </a:xfrm>
                          <a:prstGeom prst="rect">
                            <a:avLst/>
                          </a:prstGeom>
                          <a:ln>
                            <a:noFill/>
                          </a:ln>
                        </wps:spPr>
                        <wps:txbx>
                          <w:txbxContent>
                            <w:p w14:paraId="07B83C46"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006" name="Rectangle 200006"/>
                        <wps:cNvSpPr/>
                        <wps:spPr>
                          <a:xfrm rot="-10799999">
                            <a:off x="2221093" y="3159937"/>
                            <a:ext cx="1935369" cy="142889"/>
                          </a:xfrm>
                          <a:prstGeom prst="rect">
                            <a:avLst/>
                          </a:prstGeom>
                          <a:ln>
                            <a:noFill/>
                          </a:ln>
                        </wps:spPr>
                        <wps:txbx>
                          <w:txbxContent>
                            <w:p w14:paraId="3A8CCF0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316" name="Rectangle 15316"/>
                        <wps:cNvSpPr/>
                        <wps:spPr>
                          <a:xfrm rot="-10799999">
                            <a:off x="862670" y="3036607"/>
                            <a:ext cx="1815882" cy="142889"/>
                          </a:xfrm>
                          <a:prstGeom prst="rect">
                            <a:avLst/>
                          </a:prstGeom>
                          <a:ln>
                            <a:noFill/>
                          </a:ln>
                        </wps:spPr>
                        <wps:txbx>
                          <w:txbxContent>
                            <w:p w14:paraId="4B7FC7A7" w14:textId="77777777" w:rsidR="00B32EF2" w:rsidRDefault="00000000">
                              <w:r>
                                <w:rPr>
                                  <w:rFonts w:ascii="Arial" w:eastAsia="Arial" w:hAnsi="Arial" w:cs="Arial"/>
                                  <w:b/>
                                  <w:sz w:val="18"/>
                                </w:rPr>
                                <w:t xml:space="preserve">Termini d’impugnazione </w:t>
                              </w:r>
                            </w:p>
                          </w:txbxContent>
                        </wps:txbx>
                        <wps:bodyPr horzOverflow="overflow" vert="horz" lIns="0" tIns="0" rIns="0" bIns="0" rtlCol="0">
                          <a:noAutofit/>
                        </wps:bodyPr>
                      </wps:wsp>
                      <wps:wsp>
                        <wps:cNvPr id="200005" name="Rectangle 200005"/>
                        <wps:cNvSpPr/>
                        <wps:spPr>
                          <a:xfrm rot="-10799999">
                            <a:off x="-1376345" y="2913278"/>
                            <a:ext cx="5309021" cy="142889"/>
                          </a:xfrm>
                          <a:prstGeom prst="rect">
                            <a:avLst/>
                          </a:prstGeom>
                          <a:ln>
                            <a:noFill/>
                          </a:ln>
                        </wps:spPr>
                        <wps:txbx>
                          <w:txbxContent>
                            <w:p w14:paraId="2CD4123D" w14:textId="77777777" w:rsidR="00B32EF2" w:rsidRDefault="00000000">
                              <w:r>
                                <w:rPr>
                                  <w:rFonts w:ascii="Arial" w:eastAsia="Arial" w:hAnsi="Arial" w:cs="Arial"/>
                                  <w:sz w:val="18"/>
                                </w:rPr>
                                <w:t xml:space="preserve">. Se la legge non dispone diversamente il termine per impugnare la sentenza </w:t>
                              </w:r>
                            </w:p>
                          </w:txbxContent>
                        </wps:txbx>
                        <wps:bodyPr horzOverflow="overflow" vert="horz" lIns="0" tIns="0" rIns="0" bIns="0" rtlCol="0">
                          <a:noAutofit/>
                        </wps:bodyPr>
                      </wps:wsp>
                      <wps:wsp>
                        <wps:cNvPr id="200004" name="Rectangle 200004"/>
                        <wps:cNvSpPr/>
                        <wps:spPr>
                          <a:xfrm rot="-10799999">
                            <a:off x="2611033" y="2913278"/>
                            <a:ext cx="5309021" cy="142889"/>
                          </a:xfrm>
                          <a:prstGeom prst="rect">
                            <a:avLst/>
                          </a:prstGeom>
                          <a:ln>
                            <a:noFill/>
                          </a:ln>
                        </wps:spPr>
                        <wps:txbx>
                          <w:txbxContent>
                            <w:p w14:paraId="633D5997"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5318" name="Rectangle 15318"/>
                        <wps:cNvSpPr/>
                        <wps:spPr>
                          <a:xfrm rot="-10799999">
                            <a:off x="-1317160" y="2789948"/>
                            <a:ext cx="5309021" cy="142889"/>
                          </a:xfrm>
                          <a:prstGeom prst="rect">
                            <a:avLst/>
                          </a:prstGeom>
                          <a:ln>
                            <a:noFill/>
                          </a:ln>
                        </wps:spPr>
                        <wps:txbx>
                          <w:txbxContent>
                            <w:p w14:paraId="580F50F2" w14:textId="77777777" w:rsidR="00B32EF2" w:rsidRDefault="00000000">
                              <w:r>
                                <w:rPr>
                                  <w:rFonts w:ascii="Arial" w:eastAsia="Arial" w:hAnsi="Arial" w:cs="Arial"/>
                                  <w:sz w:val="18"/>
                                </w:rPr>
                                <w:t xml:space="preserve">della corte di giustizia tributaria di primo e secondo grado è di sessanta giorni, </w:t>
                              </w:r>
                            </w:p>
                          </w:txbxContent>
                        </wps:txbx>
                        <wps:bodyPr horzOverflow="overflow" vert="horz" lIns="0" tIns="0" rIns="0" bIns="0" rtlCol="0">
                          <a:noAutofit/>
                        </wps:bodyPr>
                      </wps:wsp>
                      <wps:wsp>
                        <wps:cNvPr id="15319" name="Rectangle 15319"/>
                        <wps:cNvSpPr/>
                        <wps:spPr>
                          <a:xfrm rot="-10799999">
                            <a:off x="-1317114" y="2666618"/>
                            <a:ext cx="5308975" cy="142889"/>
                          </a:xfrm>
                          <a:prstGeom prst="rect">
                            <a:avLst/>
                          </a:prstGeom>
                          <a:ln>
                            <a:noFill/>
                          </a:ln>
                        </wps:spPr>
                        <wps:txbx>
                          <w:txbxContent>
                            <w:p w14:paraId="6C394AAF" w14:textId="77777777" w:rsidR="00B32EF2" w:rsidRDefault="00000000">
                              <w:r>
                                <w:rPr>
                                  <w:rFonts w:ascii="Arial" w:eastAsia="Arial" w:hAnsi="Arial" w:cs="Arial"/>
                                  <w:sz w:val="18"/>
                                </w:rPr>
                                <w:t xml:space="preserve">decorrente dalla sua notificazione ad istanza di parte, salvo quanto disposto </w:t>
                              </w:r>
                            </w:p>
                          </w:txbxContent>
                        </wps:txbx>
                        <wps:bodyPr horzOverflow="overflow" vert="horz" lIns="0" tIns="0" rIns="0" bIns="0" rtlCol="0">
                          <a:noAutofit/>
                        </wps:bodyPr>
                      </wps:wsp>
                      <wps:wsp>
                        <wps:cNvPr id="15320" name="Rectangle 15320"/>
                        <wps:cNvSpPr/>
                        <wps:spPr>
                          <a:xfrm rot="-10799999">
                            <a:off x="2262172" y="2543289"/>
                            <a:ext cx="1729687" cy="142889"/>
                          </a:xfrm>
                          <a:prstGeom prst="rect">
                            <a:avLst/>
                          </a:prstGeom>
                          <a:ln>
                            <a:noFill/>
                          </a:ln>
                        </wps:spPr>
                        <wps:txbx>
                          <w:txbxContent>
                            <w:p w14:paraId="41CBBDAA" w14:textId="77777777" w:rsidR="00B32EF2" w:rsidRDefault="00000000">
                              <w:r>
                                <w:rPr>
                                  <w:rFonts w:ascii="Arial" w:eastAsia="Arial" w:hAnsi="Arial" w:cs="Arial"/>
                                  <w:sz w:val="18"/>
                                </w:rPr>
                                <w:t>dall’articolo 87, comma 3.</w:t>
                              </w:r>
                            </w:p>
                          </w:txbxContent>
                        </wps:txbx>
                        <wps:bodyPr horzOverflow="overflow" vert="horz" lIns="0" tIns="0" rIns="0" bIns="0" rtlCol="0">
                          <a:noAutofit/>
                        </wps:bodyPr>
                      </wps:wsp>
                      <wps:wsp>
                        <wps:cNvPr id="200003" name="Rectangle 200003"/>
                        <wps:cNvSpPr/>
                        <wps:spPr>
                          <a:xfrm rot="-10799999">
                            <a:off x="-1381671" y="2419959"/>
                            <a:ext cx="5308975" cy="142889"/>
                          </a:xfrm>
                          <a:prstGeom prst="rect">
                            <a:avLst/>
                          </a:prstGeom>
                          <a:ln>
                            <a:noFill/>
                          </a:ln>
                        </wps:spPr>
                        <wps:txbx>
                          <w:txbxContent>
                            <w:p w14:paraId="3D21DF6E" w14:textId="77777777" w:rsidR="00B32EF2" w:rsidRDefault="00000000">
                              <w:r>
                                <w:rPr>
                                  <w:rFonts w:ascii="Arial" w:eastAsia="Arial" w:hAnsi="Arial" w:cs="Arial"/>
                                  <w:sz w:val="18"/>
                                </w:rPr>
                                <w:t xml:space="preserve">. Nel caso di revocazione per i motivi di cui ai numeri 1, 2, 3 e 6 dell’articolo </w:t>
                              </w:r>
                            </w:p>
                          </w:txbxContent>
                        </wps:txbx>
                        <wps:bodyPr horzOverflow="overflow" vert="horz" lIns="0" tIns="0" rIns="0" bIns="0" rtlCol="0">
                          <a:noAutofit/>
                        </wps:bodyPr>
                      </wps:wsp>
                      <wps:wsp>
                        <wps:cNvPr id="200002" name="Rectangle 200002"/>
                        <wps:cNvSpPr/>
                        <wps:spPr>
                          <a:xfrm rot="-10799999">
                            <a:off x="2611044" y="2419959"/>
                            <a:ext cx="5308975" cy="142889"/>
                          </a:xfrm>
                          <a:prstGeom prst="rect">
                            <a:avLst/>
                          </a:prstGeom>
                          <a:ln>
                            <a:noFill/>
                          </a:ln>
                        </wps:spPr>
                        <wps:txbx>
                          <w:txbxContent>
                            <w:p w14:paraId="3036D2F5"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001" name="Rectangle 200001"/>
                        <wps:cNvSpPr/>
                        <wps:spPr>
                          <a:xfrm rot="-10799999">
                            <a:off x="-1512045" y="2296629"/>
                            <a:ext cx="5309036" cy="142889"/>
                          </a:xfrm>
                          <a:prstGeom prst="rect">
                            <a:avLst/>
                          </a:prstGeom>
                          <a:ln>
                            <a:noFill/>
                          </a:ln>
                        </wps:spPr>
                        <wps:txbx>
                          <w:txbxContent>
                            <w:p w14:paraId="595E653E" w14:textId="77777777" w:rsidR="00B32EF2" w:rsidRDefault="00000000">
                              <w:r>
                                <w:rPr>
                                  <w:rFonts w:ascii="Arial" w:eastAsia="Arial" w:hAnsi="Arial" w:cs="Arial"/>
                                  <w:sz w:val="18"/>
                                </w:rPr>
                                <w:t xml:space="preserve"> del codice di procedura civile il termine di sessanta giorni decorre dal </w:t>
                              </w:r>
                            </w:p>
                          </w:txbxContent>
                        </wps:txbx>
                        <wps:bodyPr horzOverflow="overflow" vert="horz" lIns="0" tIns="0" rIns="0" bIns="0" rtlCol="0">
                          <a:noAutofit/>
                        </wps:bodyPr>
                      </wps:wsp>
                      <wps:wsp>
                        <wps:cNvPr id="200000" name="Rectangle 200000"/>
                        <wps:cNvSpPr/>
                        <wps:spPr>
                          <a:xfrm rot="-10799999">
                            <a:off x="2479710" y="2296630"/>
                            <a:ext cx="5309036" cy="142889"/>
                          </a:xfrm>
                          <a:prstGeom prst="rect">
                            <a:avLst/>
                          </a:prstGeom>
                          <a:ln>
                            <a:noFill/>
                          </a:ln>
                        </wps:spPr>
                        <wps:txbx>
                          <w:txbxContent>
                            <w:p w14:paraId="756DBCF3" w14:textId="77777777" w:rsidR="00B32EF2" w:rsidRDefault="00000000">
                              <w:r>
                                <w:rPr>
                                  <w:rFonts w:ascii="Arial" w:eastAsia="Arial" w:hAnsi="Arial" w:cs="Arial"/>
                                  <w:sz w:val="18"/>
                                </w:rPr>
                                <w:t>395</w:t>
                              </w:r>
                            </w:p>
                          </w:txbxContent>
                        </wps:txbx>
                        <wps:bodyPr horzOverflow="overflow" vert="horz" lIns="0" tIns="0" rIns="0" bIns="0" rtlCol="0">
                          <a:noAutofit/>
                        </wps:bodyPr>
                      </wps:wsp>
                      <wps:wsp>
                        <wps:cNvPr id="15323" name="Rectangle 15323"/>
                        <wps:cNvSpPr/>
                        <wps:spPr>
                          <a:xfrm rot="-10799999">
                            <a:off x="-1317175" y="2173300"/>
                            <a:ext cx="5309036" cy="142889"/>
                          </a:xfrm>
                          <a:prstGeom prst="rect">
                            <a:avLst/>
                          </a:prstGeom>
                          <a:ln>
                            <a:noFill/>
                          </a:ln>
                        </wps:spPr>
                        <wps:txbx>
                          <w:txbxContent>
                            <w:p w14:paraId="4BD1E94B" w14:textId="77777777" w:rsidR="00B32EF2" w:rsidRDefault="00000000">
                              <w:r>
                                <w:rPr>
                                  <w:rFonts w:ascii="Arial" w:eastAsia="Arial" w:hAnsi="Arial" w:cs="Arial"/>
                                  <w:sz w:val="18"/>
                                </w:rPr>
                                <w:t xml:space="preserve">giorno in cui è stato scoperto il dolo o sono state dichiarate false le prove o è </w:t>
                              </w:r>
                            </w:p>
                          </w:txbxContent>
                        </wps:txbx>
                        <wps:bodyPr horzOverflow="overflow" vert="horz" lIns="0" tIns="0" rIns="0" bIns="0" rtlCol="0">
                          <a:noAutofit/>
                        </wps:bodyPr>
                      </wps:wsp>
                      <wps:wsp>
                        <wps:cNvPr id="15324" name="Rectangle 15324"/>
                        <wps:cNvSpPr/>
                        <wps:spPr>
                          <a:xfrm rot="-10799999">
                            <a:off x="-1317129" y="2049970"/>
                            <a:ext cx="5308989" cy="142889"/>
                          </a:xfrm>
                          <a:prstGeom prst="rect">
                            <a:avLst/>
                          </a:prstGeom>
                          <a:ln>
                            <a:noFill/>
                          </a:ln>
                        </wps:spPr>
                        <wps:txbx>
                          <w:txbxContent>
                            <w:p w14:paraId="5F2BFCDC" w14:textId="77777777" w:rsidR="00B32EF2" w:rsidRDefault="00000000">
                              <w:r>
                                <w:rPr>
                                  <w:rFonts w:ascii="Arial" w:eastAsia="Arial" w:hAnsi="Arial" w:cs="Arial"/>
                                  <w:sz w:val="18"/>
                                </w:rPr>
                                <w:t xml:space="preserve">stato recuperato il documento o è passata in giudicato la sentenza che accerta </w:t>
                              </w:r>
                            </w:p>
                          </w:txbxContent>
                        </wps:txbx>
                        <wps:bodyPr horzOverflow="overflow" vert="horz" lIns="0" tIns="0" rIns="0" bIns="0" rtlCol="0">
                          <a:noAutofit/>
                        </wps:bodyPr>
                      </wps:wsp>
                      <wps:wsp>
                        <wps:cNvPr id="15325" name="Rectangle 15325"/>
                        <wps:cNvSpPr/>
                        <wps:spPr>
                          <a:xfrm rot="-10799999">
                            <a:off x="2769430" y="1926641"/>
                            <a:ext cx="1222431" cy="142889"/>
                          </a:xfrm>
                          <a:prstGeom prst="rect">
                            <a:avLst/>
                          </a:prstGeom>
                          <a:ln>
                            <a:noFill/>
                          </a:ln>
                        </wps:spPr>
                        <wps:txbx>
                          <w:txbxContent>
                            <w:p w14:paraId="00721C1C" w14:textId="77777777" w:rsidR="00B32EF2" w:rsidRDefault="00000000">
                              <w:r>
                                <w:rPr>
                                  <w:rFonts w:ascii="Arial" w:eastAsia="Arial" w:hAnsi="Arial" w:cs="Arial"/>
                                  <w:sz w:val="18"/>
                                </w:rPr>
                                <w:t>il dolo del giudice.</w:t>
                              </w:r>
                            </w:p>
                          </w:txbxContent>
                        </wps:txbx>
                        <wps:bodyPr horzOverflow="overflow" vert="horz" lIns="0" tIns="0" rIns="0" bIns="0" rtlCol="0">
                          <a:noAutofit/>
                        </wps:bodyPr>
                      </wps:wsp>
                      <wps:wsp>
                        <wps:cNvPr id="207762" name="Shape 207762"/>
                        <wps:cNvSpPr/>
                        <wps:spPr>
                          <a:xfrm>
                            <a:off x="31675" y="4262201"/>
                            <a:ext cx="3960000" cy="368897"/>
                          </a:xfrm>
                          <a:custGeom>
                            <a:avLst/>
                            <a:gdLst/>
                            <a:ahLst/>
                            <a:cxnLst/>
                            <a:rect l="0" t="0" r="0" b="0"/>
                            <a:pathLst>
                              <a:path w="3960000" h="368897">
                                <a:moveTo>
                                  <a:pt x="0" y="0"/>
                                </a:moveTo>
                                <a:lnTo>
                                  <a:pt x="3960000" y="0"/>
                                </a:lnTo>
                                <a:lnTo>
                                  <a:pt x="3960000" y="368897"/>
                                </a:lnTo>
                                <a:lnTo>
                                  <a:pt x="0" y="368897"/>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5327" name="Rectangle 15327"/>
                        <wps:cNvSpPr/>
                        <wps:spPr>
                          <a:xfrm rot="-10799999">
                            <a:off x="2356509" y="4409865"/>
                            <a:ext cx="1557845" cy="142889"/>
                          </a:xfrm>
                          <a:prstGeom prst="rect">
                            <a:avLst/>
                          </a:prstGeom>
                          <a:ln>
                            <a:noFill/>
                          </a:ln>
                        </wps:spPr>
                        <wps:txbx>
                          <w:txbxContent>
                            <w:p w14:paraId="6BED1D1C" w14:textId="77777777" w:rsidR="00B32EF2" w:rsidRDefault="00000000">
                              <w:r>
                                <w:rPr>
                                  <w:rFonts w:ascii="Arial" w:eastAsia="Arial" w:hAnsi="Arial" w:cs="Arial"/>
                                  <w:b/>
                                  <w:i/>
                                  <w:sz w:val="18"/>
                                </w:rPr>
                                <w:t>NORME COLLEGATE</w:t>
                              </w:r>
                            </w:p>
                          </w:txbxContent>
                        </wps:txbx>
                        <wps:bodyPr horzOverflow="overflow" vert="horz" lIns="0" tIns="0" rIns="0" bIns="0" rtlCol="0">
                          <a:noAutofit/>
                        </wps:bodyPr>
                      </wps:wsp>
                      <wps:wsp>
                        <wps:cNvPr id="15328" name="Rectangle 15328"/>
                        <wps:cNvSpPr/>
                        <wps:spPr>
                          <a:xfrm rot="-10799999">
                            <a:off x="748775" y="4286535"/>
                            <a:ext cx="3164549" cy="142889"/>
                          </a:xfrm>
                          <a:prstGeom prst="rect">
                            <a:avLst/>
                          </a:prstGeom>
                          <a:ln>
                            <a:noFill/>
                          </a:ln>
                        </wps:spPr>
                        <wps:txbx>
                          <w:txbxContent>
                            <w:p w14:paraId="686E80C8" w14:textId="77777777" w:rsidR="00B32EF2" w:rsidRDefault="00000000">
                              <w:r>
                                <w:rPr>
                                  <w:rFonts w:ascii="Arial" w:eastAsia="Arial" w:hAnsi="Arial" w:cs="Arial"/>
                                  <w:i/>
                                  <w:sz w:val="18"/>
                                </w:rPr>
                                <w:t>artt. da 323 a 338 c.p.c. escluso art. 325 c.p.c.</w:t>
                              </w:r>
                            </w:p>
                          </w:txbxContent>
                        </wps:txbx>
                        <wps:bodyPr horzOverflow="overflow" vert="horz" lIns="0" tIns="0" rIns="0" bIns="0" rtlCol="0">
                          <a:noAutofit/>
                        </wps:bodyPr>
                      </wps:wsp>
                      <wps:wsp>
                        <wps:cNvPr id="15329" name="Shape 15329"/>
                        <wps:cNvSpPr/>
                        <wps:spPr>
                          <a:xfrm>
                            <a:off x="31674" y="4262204"/>
                            <a:ext cx="3960000" cy="368897"/>
                          </a:xfrm>
                          <a:custGeom>
                            <a:avLst/>
                            <a:gdLst/>
                            <a:ahLst/>
                            <a:cxnLst/>
                            <a:rect l="0" t="0" r="0" b="0"/>
                            <a:pathLst>
                              <a:path w="3960000" h="368897">
                                <a:moveTo>
                                  <a:pt x="0" y="368897"/>
                                </a:moveTo>
                                <a:lnTo>
                                  <a:pt x="3960000" y="368897"/>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07763" name="Shape 207763"/>
                        <wps:cNvSpPr/>
                        <wps:spPr>
                          <a:xfrm>
                            <a:off x="38025" y="473194"/>
                            <a:ext cx="3960000" cy="1409294"/>
                          </a:xfrm>
                          <a:custGeom>
                            <a:avLst/>
                            <a:gdLst/>
                            <a:ahLst/>
                            <a:cxnLst/>
                            <a:rect l="0" t="0" r="0" b="0"/>
                            <a:pathLst>
                              <a:path w="3960000" h="1409294">
                                <a:moveTo>
                                  <a:pt x="0" y="0"/>
                                </a:moveTo>
                                <a:lnTo>
                                  <a:pt x="3960000" y="0"/>
                                </a:lnTo>
                                <a:lnTo>
                                  <a:pt x="3960000" y="1409294"/>
                                </a:lnTo>
                                <a:lnTo>
                                  <a:pt x="0" y="1409294"/>
                                </a:lnTo>
                                <a:lnTo>
                                  <a:pt x="0" y="0"/>
                                </a:lnTo>
                              </a:path>
                            </a:pathLst>
                          </a:custGeom>
                          <a:ln w="0" cap="flat">
                            <a:miter lim="100000"/>
                          </a:ln>
                        </wps:spPr>
                        <wps:style>
                          <a:lnRef idx="0">
                            <a:srgbClr val="000000">
                              <a:alpha val="0"/>
                            </a:srgbClr>
                          </a:lnRef>
                          <a:fillRef idx="1">
                            <a:srgbClr val="C3C3C3"/>
                          </a:fillRef>
                          <a:effectRef idx="0">
                            <a:scrgbClr r="0" g="0" b="0"/>
                          </a:effectRef>
                          <a:fontRef idx="none"/>
                        </wps:style>
                        <wps:bodyPr/>
                      </wps:wsp>
                      <wps:wsp>
                        <wps:cNvPr id="15331" name="Rectangle 15331"/>
                        <wps:cNvSpPr/>
                        <wps:spPr>
                          <a:xfrm rot="-10799999">
                            <a:off x="2335009" y="1661263"/>
                            <a:ext cx="1585695" cy="142889"/>
                          </a:xfrm>
                          <a:prstGeom prst="rect">
                            <a:avLst/>
                          </a:prstGeom>
                          <a:ln>
                            <a:noFill/>
                          </a:ln>
                        </wps:spPr>
                        <wps:txbx>
                          <w:txbxContent>
                            <w:p w14:paraId="6BB1B18E"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5332" name="Rectangle 15332"/>
                        <wps:cNvSpPr/>
                        <wps:spPr>
                          <a:xfrm rot="-10799999">
                            <a:off x="1494759" y="1537934"/>
                            <a:ext cx="2424916" cy="142889"/>
                          </a:xfrm>
                          <a:prstGeom prst="rect">
                            <a:avLst/>
                          </a:prstGeom>
                          <a:ln>
                            <a:noFill/>
                          </a:ln>
                        </wps:spPr>
                        <wps:txbx>
                          <w:txbxContent>
                            <w:p w14:paraId="5762FD45" w14:textId="77777777" w:rsidR="00B32EF2" w:rsidRDefault="00000000">
                              <w:r>
                                <w:rPr>
                                  <w:rFonts w:ascii="Arial" w:eastAsia="Arial" w:hAnsi="Arial" w:cs="Arial"/>
                                  <w:i/>
                                  <w:sz w:val="18"/>
                                </w:rPr>
                                <w:t>art. 395 c.p.c. “Casi di revocazione”</w:t>
                              </w:r>
                            </w:p>
                          </w:txbxContent>
                        </wps:txbx>
                        <wps:bodyPr horzOverflow="overflow" vert="horz" lIns="0" tIns="0" rIns="0" bIns="0" rtlCol="0">
                          <a:noAutofit/>
                        </wps:bodyPr>
                      </wps:wsp>
                      <wps:wsp>
                        <wps:cNvPr id="15333" name="Rectangle 15333"/>
                        <wps:cNvSpPr/>
                        <wps:spPr>
                          <a:xfrm rot="-10799999">
                            <a:off x="-1181531" y="1414604"/>
                            <a:ext cx="5102807" cy="142889"/>
                          </a:xfrm>
                          <a:prstGeom prst="rect">
                            <a:avLst/>
                          </a:prstGeom>
                          <a:ln>
                            <a:noFill/>
                          </a:ln>
                        </wps:spPr>
                        <wps:txbx>
                          <w:txbxContent>
                            <w:p w14:paraId="5B48A7E8" w14:textId="77777777" w:rsidR="00B32EF2" w:rsidRDefault="00000000">
                              <w:r>
                                <w:rPr>
                                  <w:rFonts w:ascii="Arial" w:eastAsia="Arial" w:hAnsi="Arial" w:cs="Arial"/>
                                  <w:i/>
                                  <w:sz w:val="18"/>
                                </w:rPr>
                                <w:t xml:space="preserve"> Le sentenze pronunciate in grado d’appello o in un unico grado , possono </w:t>
                              </w:r>
                            </w:p>
                          </w:txbxContent>
                        </wps:txbx>
                        <wps:bodyPr horzOverflow="overflow" vert="horz" lIns="0" tIns="0" rIns="0" bIns="0" rtlCol="0">
                          <a:noAutofit/>
                        </wps:bodyPr>
                      </wps:wsp>
                      <wps:wsp>
                        <wps:cNvPr id="15334" name="Rectangle 15334"/>
                        <wps:cNvSpPr/>
                        <wps:spPr>
                          <a:xfrm rot="-10799999">
                            <a:off x="1529708" y="1291274"/>
                            <a:ext cx="2389967" cy="142889"/>
                          </a:xfrm>
                          <a:prstGeom prst="rect">
                            <a:avLst/>
                          </a:prstGeom>
                          <a:ln>
                            <a:noFill/>
                          </a:ln>
                        </wps:spPr>
                        <wps:txbx>
                          <w:txbxContent>
                            <w:p w14:paraId="7472E414" w14:textId="77777777" w:rsidR="00B32EF2" w:rsidRDefault="00000000">
                              <w:r>
                                <w:rPr>
                                  <w:rFonts w:ascii="Arial" w:eastAsia="Arial" w:hAnsi="Arial" w:cs="Arial"/>
                                  <w:i/>
                                  <w:sz w:val="18"/>
                                </w:rPr>
                                <w:t>essere impugnate per revocazione:</w:t>
                              </w:r>
                            </w:p>
                          </w:txbxContent>
                        </wps:txbx>
                        <wps:bodyPr horzOverflow="overflow" vert="horz" lIns="0" tIns="0" rIns="0" bIns="0" rtlCol="0">
                          <a:noAutofit/>
                        </wps:bodyPr>
                      </wps:wsp>
                      <wps:wsp>
                        <wps:cNvPr id="199999" name="Rectangle 199999"/>
                        <wps:cNvSpPr/>
                        <wps:spPr>
                          <a:xfrm rot="-10799999">
                            <a:off x="-473384" y="1167944"/>
                            <a:ext cx="4296088" cy="142890"/>
                          </a:xfrm>
                          <a:prstGeom prst="rect">
                            <a:avLst/>
                          </a:prstGeom>
                          <a:ln>
                            <a:noFill/>
                          </a:ln>
                        </wps:spPr>
                        <wps:txbx>
                          <w:txbxContent>
                            <w:p w14:paraId="2AEA2495" w14:textId="77777777" w:rsidR="00B32EF2" w:rsidRDefault="00000000">
                              <w:r>
                                <w:rPr>
                                  <w:rFonts w:ascii="Arial" w:eastAsia="Arial" w:hAnsi="Arial" w:cs="Arial"/>
                                  <w:i/>
                                  <w:sz w:val="18"/>
                                </w:rPr>
                                <w:t xml:space="preserve"> se sono l’effetto del dolo di una delle parti in danno dell’altra;</w:t>
                              </w:r>
                            </w:p>
                          </w:txbxContent>
                        </wps:txbx>
                        <wps:bodyPr horzOverflow="overflow" vert="horz" lIns="0" tIns="0" rIns="0" bIns="0" rtlCol="0">
                          <a:noAutofit/>
                        </wps:bodyPr>
                      </wps:wsp>
                      <wps:wsp>
                        <wps:cNvPr id="199998" name="Rectangle 199998"/>
                        <wps:cNvSpPr/>
                        <wps:spPr>
                          <a:xfrm rot="-10799999">
                            <a:off x="2756756" y="1167945"/>
                            <a:ext cx="4296088" cy="142890"/>
                          </a:xfrm>
                          <a:prstGeom prst="rect">
                            <a:avLst/>
                          </a:prstGeom>
                          <a:ln>
                            <a:noFill/>
                          </a:ln>
                        </wps:spPr>
                        <wps:txbx>
                          <w:txbxContent>
                            <w:p w14:paraId="18CFA741"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199996" name="Rectangle 199996"/>
                        <wps:cNvSpPr/>
                        <wps:spPr>
                          <a:xfrm rot="-10799999">
                            <a:off x="2548356" y="1044615"/>
                            <a:ext cx="5119787" cy="142889"/>
                          </a:xfrm>
                          <a:prstGeom prst="rect">
                            <a:avLst/>
                          </a:prstGeom>
                          <a:ln>
                            <a:noFill/>
                          </a:ln>
                        </wps:spPr>
                        <wps:txbx>
                          <w:txbxContent>
                            <w:p w14:paraId="2974EE7A"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199997" name="Rectangle 199997"/>
                        <wps:cNvSpPr/>
                        <wps:spPr>
                          <a:xfrm rot="-10799999">
                            <a:off x="-1286934" y="1044615"/>
                            <a:ext cx="5119787" cy="142889"/>
                          </a:xfrm>
                          <a:prstGeom prst="rect">
                            <a:avLst/>
                          </a:prstGeom>
                          <a:ln>
                            <a:noFill/>
                          </a:ln>
                        </wps:spPr>
                        <wps:txbx>
                          <w:txbxContent>
                            <w:p w14:paraId="053E423A" w14:textId="77777777" w:rsidR="00B32EF2" w:rsidRDefault="00000000">
                              <w:r>
                                <w:rPr>
                                  <w:rFonts w:ascii="Arial" w:eastAsia="Arial" w:hAnsi="Arial" w:cs="Arial"/>
                                  <w:i/>
                                  <w:sz w:val="18"/>
                                </w:rPr>
                                <w:t xml:space="preserve"> se si è giudicato in base a prove riconosciute o comunque dichiarate </w:t>
                              </w:r>
                            </w:p>
                          </w:txbxContent>
                        </wps:txbx>
                        <wps:bodyPr horzOverflow="overflow" vert="horz" lIns="0" tIns="0" rIns="0" bIns="0" rtlCol="0">
                          <a:noAutofit/>
                        </wps:bodyPr>
                      </wps:wsp>
                      <wps:wsp>
                        <wps:cNvPr id="15337" name="Rectangle 15337"/>
                        <wps:cNvSpPr/>
                        <wps:spPr>
                          <a:xfrm rot="-10799999">
                            <a:off x="-1182542" y="921285"/>
                            <a:ext cx="5107246" cy="142889"/>
                          </a:xfrm>
                          <a:prstGeom prst="rect">
                            <a:avLst/>
                          </a:prstGeom>
                          <a:ln>
                            <a:noFill/>
                          </a:ln>
                        </wps:spPr>
                        <wps:txbx>
                          <w:txbxContent>
                            <w:p w14:paraId="732C9D94" w14:textId="77777777" w:rsidR="00B32EF2" w:rsidRDefault="00000000">
                              <w:r>
                                <w:rPr>
                                  <w:rFonts w:ascii="Arial" w:eastAsia="Arial" w:hAnsi="Arial" w:cs="Arial"/>
                                  <w:i/>
                                  <w:sz w:val="18"/>
                                </w:rPr>
                                <w:t xml:space="preserve">false dopo la sentenza oppure che la parte soccombente ignorava essere </w:t>
                              </w:r>
                            </w:p>
                          </w:txbxContent>
                        </wps:txbx>
                        <wps:bodyPr horzOverflow="overflow" vert="horz" lIns="0" tIns="0" rIns="0" bIns="0" rtlCol="0">
                          <a:noAutofit/>
                        </wps:bodyPr>
                      </wps:wsp>
                      <wps:wsp>
                        <wps:cNvPr id="15338" name="Rectangle 15338"/>
                        <wps:cNvSpPr/>
                        <wps:spPr>
                          <a:xfrm rot="-10799999">
                            <a:off x="145088" y="797956"/>
                            <a:ext cx="3774587" cy="142889"/>
                          </a:xfrm>
                          <a:prstGeom prst="rect">
                            <a:avLst/>
                          </a:prstGeom>
                          <a:ln>
                            <a:noFill/>
                          </a:ln>
                        </wps:spPr>
                        <wps:txbx>
                          <w:txbxContent>
                            <w:p w14:paraId="2E363542" w14:textId="77777777" w:rsidR="00B32EF2" w:rsidRDefault="00000000">
                              <w:r>
                                <w:rPr>
                                  <w:rFonts w:ascii="Arial" w:eastAsia="Arial" w:hAnsi="Arial" w:cs="Arial"/>
                                  <w:i/>
                                  <w:sz w:val="18"/>
                                </w:rPr>
                                <w:t>state riconosciute o dichiarate tali prima della sentenza;</w:t>
                              </w:r>
                            </w:p>
                          </w:txbxContent>
                        </wps:txbx>
                        <wps:bodyPr horzOverflow="overflow" vert="horz" lIns="0" tIns="0" rIns="0" bIns="0" rtlCol="0">
                          <a:noAutofit/>
                        </wps:bodyPr>
                      </wps:wsp>
                      <wps:wsp>
                        <wps:cNvPr id="199995" name="Rectangle 199995"/>
                        <wps:cNvSpPr/>
                        <wps:spPr>
                          <a:xfrm rot="-10799999">
                            <a:off x="-1285016" y="674626"/>
                            <a:ext cx="5108097" cy="142889"/>
                          </a:xfrm>
                          <a:prstGeom prst="rect">
                            <a:avLst/>
                          </a:prstGeom>
                          <a:ln>
                            <a:noFill/>
                          </a:ln>
                        </wps:spPr>
                        <wps:txbx>
                          <w:txbxContent>
                            <w:p w14:paraId="2ADA0D5A" w14:textId="77777777" w:rsidR="00B32EF2" w:rsidRDefault="00000000">
                              <w:r>
                                <w:rPr>
                                  <w:rFonts w:ascii="Arial" w:eastAsia="Arial" w:hAnsi="Arial" w:cs="Arial"/>
                                  <w:i/>
                                  <w:sz w:val="18"/>
                                </w:rPr>
                                <w:t xml:space="preserve"> se dopo la sentenza sono stati trovati uno o più documenti decisivi che </w:t>
                              </w:r>
                            </w:p>
                          </w:txbxContent>
                        </wps:txbx>
                        <wps:bodyPr horzOverflow="overflow" vert="horz" lIns="0" tIns="0" rIns="0" bIns="0" rtlCol="0">
                          <a:noAutofit/>
                        </wps:bodyPr>
                      </wps:wsp>
                      <wps:wsp>
                        <wps:cNvPr id="199994" name="Rectangle 199994"/>
                        <wps:cNvSpPr/>
                        <wps:spPr>
                          <a:xfrm rot="-10799999">
                            <a:off x="2550399" y="674626"/>
                            <a:ext cx="5108097" cy="142889"/>
                          </a:xfrm>
                          <a:prstGeom prst="rect">
                            <a:avLst/>
                          </a:prstGeom>
                          <a:ln>
                            <a:noFill/>
                          </a:ln>
                        </wps:spPr>
                        <wps:txbx>
                          <w:txbxContent>
                            <w:p w14:paraId="2B1F47AD"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15340" name="Rectangle 15340"/>
                        <wps:cNvSpPr/>
                        <wps:spPr>
                          <a:xfrm rot="-10799999">
                            <a:off x="-1181561" y="551296"/>
                            <a:ext cx="5103065" cy="142889"/>
                          </a:xfrm>
                          <a:prstGeom prst="rect">
                            <a:avLst/>
                          </a:prstGeom>
                          <a:ln>
                            <a:noFill/>
                          </a:ln>
                        </wps:spPr>
                        <wps:txbx>
                          <w:txbxContent>
                            <w:p w14:paraId="20EF1469" w14:textId="77777777" w:rsidR="00B32EF2" w:rsidRDefault="00000000">
                              <w:r>
                                <w:rPr>
                                  <w:rFonts w:ascii="Arial" w:eastAsia="Arial" w:hAnsi="Arial" w:cs="Arial"/>
                                  <w:i/>
                                  <w:sz w:val="18"/>
                                </w:rPr>
                                <w:t xml:space="preserve">la parte non aveva potuto produrre in giudizio per causa di forza maggiore </w:t>
                              </w:r>
                            </w:p>
                          </w:txbxContent>
                        </wps:txbx>
                        <wps:bodyPr horzOverflow="overflow" vert="horz" lIns="0" tIns="0" rIns="0" bIns="0" rtlCol="0">
                          <a:noAutofit/>
                        </wps:bodyPr>
                      </wps:wsp>
                      <wps:wsp>
                        <wps:cNvPr id="15341" name="Shape 15341"/>
                        <wps:cNvSpPr/>
                        <wps:spPr>
                          <a:xfrm>
                            <a:off x="38024" y="473197"/>
                            <a:ext cx="3960000" cy="1409294"/>
                          </a:xfrm>
                          <a:custGeom>
                            <a:avLst/>
                            <a:gdLst/>
                            <a:ahLst/>
                            <a:cxnLst/>
                            <a:rect l="0" t="0" r="0" b="0"/>
                            <a:pathLst>
                              <a:path w="3960000" h="1409294">
                                <a:moveTo>
                                  <a:pt x="0" y="1409294"/>
                                </a:moveTo>
                                <a:lnTo>
                                  <a:pt x="3960000" y="1409294"/>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F771641" id="Group 200174" o:spid="_x0000_s1872" style="width:314.8pt;height:493.15pt;mso-position-horizontal-relative:char;mso-position-vertical-relative:line" coordsize="39980,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4iqhQsAAHd4AAAOAAAAZHJzL2Uyb0RvYy54bWzsXetu2zgW/r/AvoPh/2lEUqSkoOlg0dkp&#10;FljsDObyAKpjxwZky5DdJt2n3+8cUpStMJmMBETe4bRALFMSTfHjuR8evf/ucVvNvi6bw6be3c7F&#10;u2Q+W+4W9d1md387/+3XH67y+exwLHd3ZVXvlrfzb8vD/LsPf//b+4f9zVLW67q6WzYzdLI73Dzs&#10;b+fr43F/c319WKyX2/Lwrt4vdzi5qpttecTX5v76rikf0Pu2upZJYq4f6uZu39SL5eGA1u/tyfkH&#10;7n+1Wi6OP65Wh+VxVt3OMbYj/23472f6e/3hfXlz35T79WbhhlEOGMW23Ozwo76r78tjOfvSbJ50&#10;td0smvpQr47vFvX2ul6tNoslPwOeRiS9p/nU1F/2/Cz3Nw/3ez9NmNrePA3udvGfr5+a/S/7nxrM&#10;xMP+HnPB3+hZHlfNlj4xytkjT9k3P2XLx+NsgUZVFHki9Xy2wDkjjcx1aid1scbMP7lvsf7n79x5&#10;3f7w9dlwHvZYIIduDg7j5uCXdblf8tQebjAHPzWzzR3Wr5YFFuyu3GKp/ozFU+7uq+XMNvME8dV+&#10;ug43B8xcO1ezpsb6uhJJVtA/Xg9u7kSRJMqI+QyzdGUkvtpJaqdRZLkyhZ1FqROTGjrvp6K82TeH&#10;46dlvZ3Rwe28wdi4//Lrvw9He2l7CQ2n2tHfXf3DpqrsWWrBjLYjpqPj4+dHfuxc8HCo7XN99w2T&#10;sa6b//4Isl5V9cPtvHZHc6J0/Dqdnc+qf+0AAhFVe9C0B5/bg+ZYfayZ9Ox4/vHlWK82PODu19zA&#10;gC4twTeCGZMdgrmgeadBYFEMgNlInaWSYTZCFIXR5zgbmfAKI2oRqcxz/r23w1m0jxcJzirB+nyK&#10;MzWPwlmIPEsV46yBslE9nEWqBPiAJWgC2hL82wEt2+eLBmgw1xDQfsUPI2itpMkg3kCvoOyiyJgx&#10;lzct485wNk07nN+aoFV0OIO7hnD2C34QzqlKUgEYCWZoMU7+djBLrbSAUGY1ZwrGzUpVJzL/9AJa&#10;JeCuIZz9gh+Es0i1KZyA1lIbozMioA5oMGoJDXYynFmORIMzLLhEBhi3ax8joq+kSYWwGrcWSoGP&#10;nyMtilTpzOncU5A0jycuqAPKGEM9ThuT+AcALfdmqHtEbaGGYTeV2s3jiQvqgJhmqMfJaSFgQRno&#10;1SSoLxLqPDqFDNpxSFB7STZIUKdFWiROIUsSeFN4Xjs5LdNEJ+mJgfXWird3FERhYBHpioDLxLWP&#10;EtRCZSbV6Bw0nea5MaaHtVYJtDKI8onYt/TiKR6sA15Qxtqzt0FULY1ICoG+LxZq7y6IAmoB0gIP&#10;DbFvr7IMAvpKKJFJcowQ0pmB/v2UqPMCXrHJiNorItEgHaBpWgDjSPpKyEyDP1ukTQpBwaKxE9Ua&#10;/hREN6ZD2rsMokE6IKkJaa+zDKJp+E40BLUFOpFK4rjnO5FKQ++fSkzH5SNjcRxg3q59jEoGK4uU&#10;MkZagUsXooc0DOrUiAmh9sZFFCTNkEKW9uW0ax8DNdxkWmdWI7tMqONzk4mA65uh9oJsEP8mN5mU&#10;lwy11zmjoGpIZPJP94naNo+hadjQbXBaZZnReZ97Z1mGhJPpBLXXOKPAmUk3ALRrH4M0zCz4TpyZ&#10;pQyC1boX5WDfSTKh8u11zmiwhpr9hKgJ65HqN/tOpI1yvAC1S8WbIKCl4nKTEZ8OCGrbPI6okUAI&#10;UrbqNzISi37oUicZrO7pGLiKzktGuSEhQe1NzkEaGWUjmMKmkSmZU6pR36JODLndJ7KosQbdQo6H&#10;eYOq+kAz8/Y6yzCkhcko6ZfcoUogZVD1kBaF0j4DeArm7W2LeKB+xnkCj/go9i21zOEwuVyoPdOK&#10;B2oowEGq9s6FQVQNcxrxLMe/L5Kq4/KTke4VQNo2j6HpHDmhmePe2MdhLIvoQhwCBJ/n0/lDEV2J&#10;TlAH0k5YUPslP4ik2aJWLsohC6FIz8bcdlizRT1hNoLVHKJKJqNEoCD79pJsENawqEWiLPu+TKi9&#10;0hmFpCY+HVC/bfMY9s3ZCMJYBg6CLor00og6LjcZQRrwktnm8Ui7nRzIOzAGK6rPvvOCdvRMZFOn&#10;0XnJkD73hHsD6S6rbhjzxl5jpBixmYUdG3Cf9NJOcLIw+XQZomlcTjLWvQL+UNc+kqhz8p9YrFNs&#10;q0W26GURdYSOMpBeUCfzUzGMrEkncwEteZFQR+goeyZ4mXgONwjqK6GFTFpTC8zayKdkXcDcnk5W&#10;e/siCv2bWXVAWLv2MSxcplmRocoEOUUlQW2DhT2rekqovdsgCqhJ/woIa9s8Bmhrarkd81DQlCu1&#10;cEFIx+UrI0gD7hPbPB5psGym6YRqI7Bpc4Z0XkAtn8zU8oGcaGg64BQlpD1zGySoZYY982DYBLRA&#10;MgI2Vp+r3wKBEBQ8mQ7ouPxkMkFWn1e/uZLVzLX9LkGTJ9vVpEKsxPHpFLY0yo+dg6oKQ0lLFlRl&#10;UKqIyemkhM3ii61JRX22dahQAe3OVqRC27o9Wjzu2kOqXPViMbZ9eaT7qFM6nKH+lB/KGsd2JHR6&#10;i7pUv9Z84bFXaAyj7M5Wu9OrfGdYzcywcG17Rfu55/5OrzybgPay9tNebgnk1Ree/zYGQU/LNb/8&#10;DKDxdI6rHU0GIVKiUt6qKm0JsO3miBJ61WYL6pQZQYZVwA/1pOLX4fitWtKEVbuflyvU/uKybtRw&#10;aO4/f6ya2deSqnXxP1tfrNqvS9fq+nWXut9AP3T/CoXGfJeCbz3r8qOi/64HdzHdt+Qaff7OxN65&#10;cKOxhfpQ7g4P3Zbrw5P5m/iX693R379DkUH+EYqPuKftQiU0L/TtLSuNIYD01FAmnuyF0zCerLTB&#10;tivmyWmaFHm/0pigtH4yrqbyc0bn0abU+r5HhID2wmkQ0FmaZ55NA+V+pTFw8VSn0ylZmtlNR2N/&#10;/spEpPJanK3oJYz9Yn8eY+JVJ5IXOjkEkJW87Gbo9GYvd4h0z+RJW5HzVCpcjuQ9G+prxO/ZDa0w&#10;bT+fyuBOsFl5fn6lFb/9axZVfVhaefhK+coy9CUZa4XjH5KxAYHoZGzbTUiMOmE4TDLHI2NZ9fXO&#10;jBN12HtqX0eUto4tEWWG6ORLNCkgcKW9AtrIpETZDoW4S0dypwppSxHd2XO68dzmD+nD7e+26/d5&#10;inz9le1I7fgws6+k2Bc14gHUOoruWLNmvfQvjThcYlmRpyCgKHW7Cp6n1xdKLEulNO2xYS8F4v7S&#10;MP13YhUpeij+N51GrH24JBZ3FO1hCQE9LkQoUBsqc/WCoHtlherxapnKtKBE0IlMH9RAAFuMSSWm&#10;JLoQ0K+QwC9Q9BWqLANgG/cXqM9qkAiIme1IWotE5qdllt+4Cpj2DxgNSYdjCZYEackP4t1UYD9D&#10;IRrm3UjFlFkPaEm1Caju31QkzeOJh6Tp/QXezD15EYJtd9xtENRX0K5Vbq1f1BnJUEnknKZThIeT&#10;HGuhhfqNS6drHyyJg6YJ0pDnyraPgRqFoRBhgByGZWGh5qnt2PfkUEcWCiZIQ/tjbPsoqHWawyNt&#10;oUb+lulXDNJ4G0Y2YTamrfMdFwMPBR4I6nGRBxR8y7Fp2XHwi8Tae9zj4OBaYU9QUP8ei7TIkVpt&#10;c6wLCdx7/BvqN4o8Tmhoebd7NECHJDXw9yt+kE6GOgSscUFOI02v6NeQQRGhVE/Iu7Fxx8mmOGAm&#10;Hh1K5LHtY8Q08W6dkGsEUKNIFLa1nivfoOg8gYDwyvcbG9R4RVp0UIcsaoLam5yDaFpqneDlfJeL&#10;dHROMuz8CgnpbkPYIJytk8y9WlAjox4aPkioM7JA0ipBdshkJB2djwzpkQ5onyDQbQZ7HmQCrU0Q&#10;QCzSKtgci2Q1rkPUR+ysh+T/KBZ5Hgt8TUTy/I42ctl+/pUjMCpWeRE5AvyaV7zdlvMJ3Zt46fW5&#10;p985b697X/CH/wEAAP//AwBQSwMEFAAGAAgAAAAhADzUAQ/dAAAABQEAAA8AAABkcnMvZG93bnJl&#10;di54bWxMj0FrwkAQhe+F/odlCr3VTRSDptmIiPYkhWqh9DZmxySYnQ3ZNYn/3m0v7WXg8R7vfZOt&#10;RtOInjpXW1YQTyIQxIXVNZcKPo+7lwUI55E1NpZJwY0crPLHhwxTbQf+oP7gSxFK2KWooPK+TaV0&#10;RUUG3cS2xME7286gD7Irpe5wCOWmkdMoSqTBmsNChS1tKiouh6tR8DbgsJ7F235/OW9u38f5+9c+&#10;JqWen8b1KwhPo/8Lww9+QIc8MJ3slbUTjYLwiP+9wUumywTEScFykcxA5pn8T5/fAQAA//8DAFBL&#10;AQItABQABgAIAAAAIQC2gziS/gAAAOEBAAATAAAAAAAAAAAAAAAAAAAAAABbQ29udGVudF9UeXBl&#10;c10ueG1sUEsBAi0AFAAGAAgAAAAhADj9If/WAAAAlAEAAAsAAAAAAAAAAAAAAAAALwEAAF9yZWxz&#10;Ly5yZWxzUEsBAi0AFAAGAAgAAAAhAEcLiKqFCwAAd3gAAA4AAAAAAAAAAAAAAAAALgIAAGRycy9l&#10;Mm9Eb2MueG1sUEsBAi0AFAAGAAgAAAAhADzUAQ/dAAAABQEAAA8AAAAAAAAAAAAAAAAA3w0AAGRy&#10;cy9kb3ducmV2LnhtbFBLBQYAAAAABAAEAPMAAADpDgAAAAA=&#10;">
                <v:rect id="Rectangle 15298" o:spid="_x0000_s1873" style="position:absolute;left:19003;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YqPyAAAAN4AAAAPAAAAZHJzL2Rvd25yZXYueG1sRI9Pa8JA&#10;EMXvhX6HZQre6kbBYlNXEYs0h178U+hxyI5J2uzskl1N2k/vHARvM7w37/1msRpcqy7Uxcazgck4&#10;A0VcettwZeB42D7PQcWEbLH1TAb+KMJq+fiwwNz6nnd02adKSQjHHA3UKYVc61jW5DCOfSAW7eQ7&#10;h0nWrtK2w17CXaunWfaiHTYsDTUG2tRU/u7PzsD3O4di2+vy9L8Jnz/FvP04H7+MGT0N6zdQiYZ0&#10;N9+uCyv4s+mr8Mo7MoNeXgEAAP//AwBQSwECLQAUAAYACAAAACEA2+H2y+4AAACFAQAAEwAAAAAA&#10;AAAAAAAAAAAAAAAAW0NvbnRlbnRfVHlwZXNdLnhtbFBLAQItABQABgAIAAAAIQBa9CxbvwAAABUB&#10;AAALAAAAAAAAAAAAAAAAAB8BAABfcmVscy8ucmVsc1BLAQItABQABgAIAAAAIQCVCYqPyAAAAN4A&#10;AAAPAAAAAAAAAAAAAAAAAAcCAABkcnMvZG93bnJldi54bWxQSwUGAAAAAAMAAwC3AAAA/AIAAAAA&#10;" filled="f" stroked="f">
                  <v:textbox inset="0,0,0,0">
                    <w:txbxContent>
                      <w:p w14:paraId="57F55747" w14:textId="77777777" w:rsidR="00B32EF2" w:rsidRDefault="00000000">
                        <w:r>
                          <w:rPr>
                            <w:rFonts w:ascii="Times New Roman" w:eastAsia="Times New Roman" w:hAnsi="Times New Roman" w:cs="Times New Roman"/>
                          </w:rPr>
                          <w:t>93</w:t>
                        </w:r>
                      </w:p>
                    </w:txbxContent>
                  </v:textbox>
                </v:rect>
                <v:rect id="Rectangle 15299" o:spid="_x0000_s1874" style="position:absolute;left:16257;top:61199;width:62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S8UxAAAAN4AAAAPAAAAZHJzL2Rvd25yZXYueG1sRE9Ni8Iw&#10;EL0L/ocwgjdNFVy0axRRxB72sq4Lexyasa02k9BEW/31m4UFb/N4n7Ncd6YWd2p8ZVnBZJyAIM6t&#10;rrhQcPraj+YgfEDWWFsmBQ/ysF71e0tMtW35k+7HUIgYwj5FBWUILpXS5yUZ9GPriCN3to3BEGFT&#10;SN1gG8NNLadJ8iYNVhwbSnS0LSm/Hm9Gwc+OXbZvZX5+bt3HJZvXh9vpW6nhoNu8gwjUhZf4353p&#10;OH82XSzg7514g1z9AgAA//8DAFBLAQItABQABgAIAAAAIQDb4fbL7gAAAIUBAAATAAAAAAAAAAAA&#10;AAAAAAAAAABbQ29udGVudF9UeXBlc10ueG1sUEsBAi0AFAAGAAgAAAAhAFr0LFu/AAAAFQEAAAsA&#10;AAAAAAAAAAAAAAAAHwEAAF9yZWxzLy5yZWxzUEsBAi0AFAAGAAgAAAAhAPpFLxTEAAAA3gAAAA8A&#10;AAAAAAAAAAAAAAAABwIAAGRycy9kb3ducmV2LnhtbFBLBQYAAAAAAwADALcAAAD4AgAAAAA=&#10;" filled="f" stroked="f">
                  <v:textbox inset="0,0,0,0">
                    <w:txbxContent>
                      <w:p w14:paraId="0A0945AA" w14:textId="77777777" w:rsidR="00B32EF2" w:rsidRDefault="00000000">
                        <w:r>
                          <w:rPr>
                            <w:rFonts w:ascii="Arial" w:eastAsia="Arial" w:hAnsi="Arial" w:cs="Arial"/>
                            <w:b/>
                            <w:sz w:val="18"/>
                          </w:rPr>
                          <w:t>CAPO III</w:t>
                        </w:r>
                      </w:p>
                    </w:txbxContent>
                  </v:textbox>
                </v:rect>
                <v:rect id="Rectangle 15300" o:spid="_x0000_s1875" style="position:absolute;left:11187;top:59966;width:143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ByTxwAAAN4AAAAPAAAAZHJzL2Rvd25yZXYueG1sRI9Ba8JA&#10;EIXvhf6HZQre6sYWi6SuIhZpDr1oLfQ4ZMckmp1dsquJ/fXOQehthnnz3vvmy8G16kJdbDwbmIwz&#10;UMSltw1XBvbfm+cZqJiQLbaeycCVIiwXjw9zzK3veUuXXaqUmHDM0UCdUsi1jmVNDuPYB2K5HXzn&#10;MMnaVdp22Iu5a/VLlr1phw1LQo2B1jWVp93ZGfj94FBsel0e/tbh61jM2s/z/seY0dOwegeVaEj/&#10;4vt3YaX+9DUTAMGRGfTiBgAA//8DAFBLAQItABQABgAIAAAAIQDb4fbL7gAAAIUBAAATAAAAAAAA&#10;AAAAAAAAAAAAAABbQ29udGVudF9UeXBlc10ueG1sUEsBAi0AFAAGAAgAAAAhAFr0LFu/AAAAFQEA&#10;AAsAAAAAAAAAAAAAAAAAHwEAAF9yZWxzLy5yZWxzUEsBAi0AFAAGAAgAAAAhAPWUHJPHAAAA3gAA&#10;AA8AAAAAAAAAAAAAAAAABwIAAGRycy9kb3ducmV2LnhtbFBLBQYAAAAAAwADALcAAAD7AgAAAAA=&#10;" filled="f" stroked="f">
                  <v:textbox inset="0,0,0,0">
                    <w:txbxContent>
                      <w:p w14:paraId="56AC5789" w14:textId="77777777" w:rsidR="00B32EF2" w:rsidRDefault="00000000">
                        <w:r>
                          <w:rPr>
                            <w:rFonts w:ascii="Arial" w:eastAsia="Arial" w:hAnsi="Arial" w:cs="Arial"/>
                            <w:b/>
                            <w:sz w:val="18"/>
                          </w:rPr>
                          <w:t xml:space="preserve"> LE IMPUGNAZIONI</w:t>
                        </w:r>
                      </w:p>
                    </w:txbxContent>
                  </v:textbox>
                </v:rect>
                <v:rect id="Rectangle 15301" o:spid="_x0000_s1876" style="position:absolute;left:15326;top:57499;width:76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LkIxAAAAN4AAAAPAAAAZHJzL2Rvd25yZXYueG1sRE9Na8JA&#10;EL0X+h+WKXirGysWia4iFjGHXtQUehyyYxLNzi7Z1cT+elcoeJvH+5z5sjeNuFLra8sKRsMEBHFh&#10;dc2lgvyweZ+C8AFZY2OZFNzIw3Lx+jLHVNuOd3Tdh1LEEPYpKqhCcKmUvqjIoB9aRxy5o20Nhgjb&#10;UuoWuxhuGvmRJJ/SYM2xoUJH64qK8/5iFPx+scs2nSyOf2v3fcqmzfaS/yg1eOtXMxCB+vAU/7sz&#10;HedPxskIHu/EG+TiDgAA//8DAFBLAQItABQABgAIAAAAIQDb4fbL7gAAAIUBAAATAAAAAAAAAAAA&#10;AAAAAAAAAABbQ29udGVudF9UeXBlc10ueG1sUEsBAi0AFAAGAAgAAAAhAFr0LFu/AAAAFQEAAAsA&#10;AAAAAAAAAAAAAAAAHwEAAF9yZWxzLy5yZWxzUEsBAi0AFAAGAAgAAAAhAJrYuQjEAAAA3gAAAA8A&#10;AAAAAAAAAAAAAAAABwIAAGRycy9kb3ducmV2LnhtbFBLBQYAAAAAAwADALcAAAD4AgAAAAA=&#10;" filled="f" stroked="f">
                  <v:textbox inset="0,0,0,0">
                    <w:txbxContent>
                      <w:p w14:paraId="21464F88" w14:textId="77777777" w:rsidR="00B32EF2" w:rsidRDefault="00000000">
                        <w:r>
                          <w:rPr>
                            <w:rFonts w:ascii="Arial" w:eastAsia="Arial" w:hAnsi="Arial" w:cs="Arial"/>
                            <w:b/>
                            <w:sz w:val="18"/>
                          </w:rPr>
                          <w:t>SEZIONE I</w:t>
                        </w:r>
                      </w:p>
                    </w:txbxContent>
                  </v:textbox>
                </v:rect>
                <v:rect id="Rectangle 15302" o:spid="_x0000_s1877" style="position:absolute;left:4304;top:56266;width:253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id/xQAAAN4AAAAPAAAAZHJzL2Rvd25yZXYueG1sRE9La8JA&#10;EL4X+h+WKfRWN1UqkrqRYhFz8KKm0OOQnTza7OySXU3qr+8Kgrf5+J6zXI2mE2fqfWtZweskAUFc&#10;Wt1yraA4bl4WIHxA1thZJgV/5GGVPT4sMdV24D2dD6EWMYR9igqaEFwqpS8bMugn1hFHrrK9wRBh&#10;X0vd4xDDTSenSTKXBluODQ06WjdU/h5ORsH3J7t8M8iyuqzd7idfdNtT8aXU89P48Q4i0Bju4ps7&#10;13H+2yyZwvWdeIPM/gEAAP//AwBQSwECLQAUAAYACAAAACEA2+H2y+4AAACFAQAAEwAAAAAAAAAA&#10;AAAAAAAAAAAAW0NvbnRlbnRfVHlwZXNdLnhtbFBLAQItABQABgAIAAAAIQBa9CxbvwAAABUBAAAL&#10;AAAAAAAAAAAAAAAAAB8BAABfcmVscy8ucmVsc1BLAQItABQABgAIAAAAIQBqCid/xQAAAN4AAAAP&#10;AAAAAAAAAAAAAAAAAAcCAABkcnMvZG93bnJldi54bWxQSwUGAAAAAAMAAwC3AAAA+QIAAAAA&#10;" filled="f" stroked="f">
                  <v:textbox inset="0,0,0,0">
                    <w:txbxContent>
                      <w:p w14:paraId="5947740C" w14:textId="77777777" w:rsidR="00B32EF2" w:rsidRDefault="00000000">
                        <w:r>
                          <w:rPr>
                            <w:rFonts w:ascii="Arial" w:eastAsia="Arial" w:hAnsi="Arial" w:cs="Arial"/>
                            <w:b/>
                            <w:sz w:val="18"/>
                          </w:rPr>
                          <w:t xml:space="preserve"> LE IMPUGNAZIONI IN GENERALE</w:t>
                        </w:r>
                      </w:p>
                    </w:txbxContent>
                  </v:textbox>
                </v:rect>
                <v:rect id="Rectangle 15303" o:spid="_x0000_s1878" style="position:absolute;left:14569;top:52566;width:89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oLkxAAAAN4AAAAPAAAAZHJzL2Rvd25yZXYueG1sRE9Ni8Iw&#10;EL0L+x/CLHjTdBVFqlHERexhL7ou7HFoxrbaTEITbd1fbwRhb/N4n7NYdaYWN2p8ZVnBxzABQZxb&#10;XXGh4Pi9HcxA+ICssbZMCu7kYbV86y0w1bblPd0OoRAxhH2KCsoQXCqlz0sy6IfWEUfuZBuDIcKm&#10;kLrBNoabWo6SZCoNVhwbSnS0KSm/HK5Gwe8nu2zbyvz0t3Ff52xW767HH6X67916DiJQF/7FL3em&#10;4/zJOBnD8514g1w+AAAA//8DAFBLAQItABQABgAIAAAAIQDb4fbL7gAAAIUBAAATAAAAAAAAAAAA&#10;AAAAAAAAAABbQ29udGVudF9UeXBlc10ueG1sUEsBAi0AFAAGAAgAAAAhAFr0LFu/AAAAFQEAAAsA&#10;AAAAAAAAAAAAAAAAHwEAAF9yZWxzLy5yZWxzUEsBAi0AFAAGAAgAAAAhAAVGguTEAAAA3gAAAA8A&#10;AAAAAAAAAAAAAAAABwIAAGRycy9kb3ducmV2LnhtbFBLBQYAAAAAAwADALcAAAD4AgAAAAA=&#10;" filled="f" stroked="f">
                  <v:textbox inset="0,0,0,0">
                    <w:txbxContent>
                      <w:p w14:paraId="0418FD90" w14:textId="77777777" w:rsidR="00B32EF2" w:rsidRDefault="00000000">
                        <w:r>
                          <w:rPr>
                            <w:rFonts w:ascii="Arial" w:eastAsia="Arial" w:hAnsi="Arial" w:cs="Arial"/>
                            <w:b/>
                            <w:sz w:val="18"/>
                          </w:rPr>
                          <w:t>Articolo 103</w:t>
                        </w:r>
                      </w:p>
                    </w:txbxContent>
                  </v:textbox>
                </v:rect>
                <v:rect id="Rectangle 200021" o:spid="_x0000_s1879" style="position:absolute;left:-2641;top:51333;width:194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ziMxQAAAN8AAAAPAAAAZHJzL2Rvd25yZXYueG1sRI9Pi8Iw&#10;FMTvC36H8ARva6oHkWoUUcQevKx/wOOjebbV5iU00VY//WZhweMwM79h5svO1OJJja8sKxgNExDE&#10;udUVFwpOx+33FIQPyBpry6TgRR6Wi97XHFNtW/6h5yEUIkLYp6igDMGlUvq8JIN+aB1x9K62MRii&#10;bAqpG2wj3NRynCQTabDiuFCio3VJ+f3wMAouG3bZtpX59b12+1s2rXeP01mpQb9bzUAE6sIn/N/O&#10;tIJITMYj+PsTv4Bc/AIAAP//AwBQSwECLQAUAAYACAAAACEA2+H2y+4AAACFAQAAEwAAAAAAAAAA&#10;AAAAAAAAAAAAW0NvbnRlbnRfVHlwZXNdLnhtbFBLAQItABQABgAIAAAAIQBa9CxbvwAAABUBAAAL&#10;AAAAAAAAAAAAAAAAAB8BAABfcmVscy8ucmVsc1BLAQItABQABgAIAAAAIQB7lziMxQAAAN8AAAAP&#10;AAAAAAAAAAAAAAAAAAcCAABkcnMvZG93bnJldi54bWxQSwUGAAAAAAMAAwC3AAAA+QIAAAAA&#10;" filled="f" stroked="f">
                  <v:textbox inset="0,0,0,0">
                    <w:txbxContent>
                      <w:p w14:paraId="79C1905D" w14:textId="77777777" w:rsidR="00B32EF2" w:rsidRDefault="00000000">
                        <w:r>
                          <w:rPr>
                            <w:rFonts w:ascii="Arial" w:eastAsia="Arial" w:hAnsi="Arial" w:cs="Arial"/>
                            <w:i/>
                            <w:sz w:val="18"/>
                          </w:rPr>
                          <w:t>546/92)</w:t>
                        </w:r>
                      </w:p>
                    </w:txbxContent>
                  </v:textbox>
                </v:rect>
                <v:rect id="Rectangle 200020" o:spid="_x0000_s1880" style="position:absolute;left:22221;top:51333;width:194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50XxgAAAN8AAAAPAAAAZHJzL2Rvd25yZXYueG1sRI9Ba8JA&#10;EIXvhf6HZQRvdaOHItFVikWaQy9aBY9Ddkyi2dklu5ror+8cCj0Ob973+JbrwbXqTl1sPBuYTjJQ&#10;xKW3DVcGDj/btzmomJAttp7JwIMirFevL0vMre95R/d9qpRAOOZooE4p5FrHsiaHceIDsWRn3zlM&#10;cnaVth32AnetnmXZu3bYsCzUGGhTU3nd35yB0yeHYtvr8vzchO9LMW+/boejMePR8LEAlWhI/89/&#10;7cIaEGI2EwPxERfQq18AAAD//wMAUEsBAi0AFAAGAAgAAAAhANvh9svuAAAAhQEAABMAAAAAAAAA&#10;AAAAAAAAAAAAAFtDb250ZW50X1R5cGVzXS54bWxQSwECLQAUAAYACAAAACEAWvQsW78AAAAVAQAA&#10;CwAAAAAAAAAAAAAAAAAfAQAAX3JlbHMvLnJlbHNQSwECLQAUAAYACAAAACEAFNudF8YAAADfAAAA&#10;DwAAAAAAAAAAAAAAAAAHAgAAZHJzL2Rvd25yZXYueG1sUEsFBgAAAAADAAMAtwAAAPoCAAAAAA==&#10;" filled="f" stroked="f">
                  <v:textbox inset="0,0,0,0">
                    <w:txbxContent>
                      <w:p w14:paraId="62277105" w14:textId="77777777" w:rsidR="00B32EF2" w:rsidRDefault="00000000">
                        <w:r>
                          <w:rPr>
                            <w:rFonts w:ascii="Arial" w:eastAsia="Arial" w:hAnsi="Arial" w:cs="Arial"/>
                            <w:i/>
                            <w:sz w:val="18"/>
                          </w:rPr>
                          <w:t>(</w:t>
                        </w:r>
                      </w:p>
                    </w:txbxContent>
                  </v:textbox>
                </v:rect>
                <v:rect id="Rectangle 200022" o:spid="_x0000_s1881" style="position:absolute;left:11620;top:51333;width:194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ab7xQAAAN8AAAAPAAAAZHJzL2Rvd25yZXYueG1sRI9Bi8Iw&#10;FITvC/6H8ARva2oPItUooog9eFl1YY+P5tlWm5fQRFv99ZuFBY/DzHzDLFa9acSDWl9bVjAZJyCI&#10;C6trLhWcT7vPGQgfkDU2lknBkzysloOPBWbadvxFj2MoRYSwz1BBFYLLpPRFRQb92Dri6F1sazBE&#10;2ZZSt9hFuGlkmiRTabDmuFCho01Fxe14Nwp+tuzyXSeLy2vjDtd81uzv52+lRsN+PQcRqA/v8H87&#10;1woiMUlT+PsTv4Bc/gIAAP//AwBQSwECLQAUAAYACAAAACEA2+H2y+4AAACFAQAAEwAAAAAAAAAA&#10;AAAAAAAAAAAAW0NvbnRlbnRfVHlwZXNdLnhtbFBLAQItABQABgAIAAAAIQBa9CxbvwAAABUBAAAL&#10;AAAAAAAAAAAAAAAAAB8BAABfcmVscy8ucmVsc1BLAQItABQABgAIAAAAIQCLRab7xQAAAN8AAAAP&#10;AAAAAAAAAAAAAAAAAAcCAABkcnMvZG93bnJldi54bWxQSwUGAAAAAAMAAwC3AAAA+QIAAAAA&#10;" filled="f" stroked="f">
                  <v:textbox inset="0,0,0,0">
                    <w:txbxContent>
                      <w:p w14:paraId="74A110A3" w14:textId="77777777" w:rsidR="00B32EF2" w:rsidRDefault="00000000">
                        <w:r>
                          <w:rPr>
                            <w:rFonts w:ascii="Arial" w:eastAsia="Arial" w:hAnsi="Arial" w:cs="Arial"/>
                            <w:i/>
                            <w:sz w:val="18"/>
                          </w:rPr>
                          <w:t xml:space="preserve">articolo 49 D.lgs. n. </w:t>
                        </w:r>
                      </w:p>
                    </w:txbxContent>
                  </v:textbox>
                </v:rect>
                <v:rect id="Rectangle 15305" o:spid="_x0000_s1882" style="position:absolute;left:4949;top:50099;width:240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78LxQAAAN4AAAAPAAAAZHJzL2Rvd25yZXYueG1sRE9LawIx&#10;EL4L/Q9hCt4024pFVrNSLNI99OKj0OOwmX3YzSRsorv66xuh4G0+vues1oNpxYU631hW8DJNQBAX&#10;VjdcKTgetpMFCB+QNbaWScGVPKyzp9EKU2173tFlHyoRQ9inqKAOwaVS+qImg35qHXHkStsZDBF2&#10;ldQd9jHctPI1Sd6kwYZjQ42ONjUVv/uzUfDzwS7f9rIobxv3dcoX7ef5+K3U+Hl4X4IINISH+N+d&#10;6zh/PkvmcH8n3iCzPwAAAP//AwBQSwECLQAUAAYACAAAACEA2+H2y+4AAACFAQAAEwAAAAAAAAAA&#10;AAAAAAAAAAAAW0NvbnRlbnRfVHlwZXNdLnhtbFBLAQItABQABgAIAAAAIQBa9CxbvwAAABUBAAAL&#10;AAAAAAAAAAAAAAAAAB8BAABfcmVscy8ucmVsc1BLAQItABQABgAIAAAAIQDl478LxQAAAN4AAAAP&#10;AAAAAAAAAAAAAAAAAAcCAABkcnMvZG93bnJldi54bWxQSwUGAAAAAAMAAwC3AAAA+QIAAAAA&#10;" filled="f" stroked="f">
                  <v:textbox inset="0,0,0,0">
                    <w:txbxContent>
                      <w:p w14:paraId="6F4EB907" w14:textId="77777777" w:rsidR="00B32EF2" w:rsidRDefault="00000000">
                        <w:r>
                          <w:rPr>
                            <w:rFonts w:ascii="Arial" w:eastAsia="Arial" w:hAnsi="Arial" w:cs="Arial"/>
                            <w:b/>
                            <w:sz w:val="18"/>
                          </w:rPr>
                          <w:t xml:space="preserve">Disposizioni generali applicabili </w:t>
                        </w:r>
                      </w:p>
                    </w:txbxContent>
                  </v:textbox>
                </v:rect>
                <v:rect id="Rectangle 200019" o:spid="_x0000_s1883" style="position:absolute;left:-13764;top:488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f43xwAAAN8AAAAPAAAAZHJzL2Rvd25yZXYueG1sRI/NasMw&#10;EITvgb6D2EJviewcSuJGCcXFxIdemh/ocbE2tltrJSw5dvP0UaHQ4zAz3zCb3WQ6caXet5YVpIsE&#10;BHFldcu1gtOxmK9A+ICssbNMCn7Iw277MNtgpu3IH3Q9hFpECPsMFTQhuExKXzVk0C+sI47exfYG&#10;Q5R9LXWPY4SbTi6T5FkabDkuNOgob6j6PgxGwecbu7IYZXW55e79q1x1++F0VurpcXp9ARFoCv/h&#10;v3apFURikq7h90/8AnJ7BwAA//8DAFBLAQItABQABgAIAAAAIQDb4fbL7gAAAIUBAAATAAAAAAAA&#10;AAAAAAAAAAAAAABbQ29udGVudF9UeXBlc10ueG1sUEsBAi0AFAAGAAgAAAAhAFr0LFu/AAAAFQEA&#10;AAsAAAAAAAAAAAAAAAAAHwEAAF9yZWxzLy5yZWxzUEsBAi0AFAAGAAgAAAAhAEuN/jfHAAAA3wAA&#10;AA8AAAAAAAAAAAAAAAAABwIAAGRycy9kb3ducmV2LnhtbFBLBQYAAAAAAwADALcAAAD7AgAAAAA=&#10;" filled="f" stroked="f">
                  <v:textbox inset="0,0,0,0">
                    <w:txbxContent>
                      <w:p w14:paraId="0FE0292B" w14:textId="77777777" w:rsidR="00B32EF2" w:rsidRDefault="00000000">
                        <w:r>
                          <w:rPr>
                            <w:rFonts w:ascii="Arial" w:eastAsia="Arial" w:hAnsi="Arial" w:cs="Arial"/>
                            <w:sz w:val="18"/>
                          </w:rPr>
                          <w:t xml:space="preserve">. Alle impugnazioni delle sentenze delle corti di giustizia tributaria di primo </w:t>
                        </w:r>
                      </w:p>
                    </w:txbxContent>
                  </v:textbox>
                </v:rect>
                <v:rect id="Rectangle 200018" o:spid="_x0000_s1884" style="position:absolute;left:26109;top:488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VusxgAAAN8AAAAPAAAAZHJzL2Rvd25yZXYueG1sRI9Nb8Iw&#10;DIbvk/YfIk/iNlJ2QKgjoIkJrQcufEk7Wo1pC40TNYEWfv18mMTRev0+9jNfDq5VN+pi49nAZJyB&#10;Ii69bbgycNiv32egYkK22HomA3eKsFy8vswxt77nLd12qVIC4ZijgTqlkGsdy5ocxrEPxJKdfOcw&#10;ydhV2nbYC9y1+iPLptphw3KhxkCrmsrL7uoM/H5zKNa9Lk+PVdici1n7cz0cjRm9DV+foBIN6bn8&#10;3y6sASFmE3lYfMQF9OIPAAD//wMAUEsBAi0AFAAGAAgAAAAhANvh9svuAAAAhQEAABMAAAAAAAAA&#10;AAAAAAAAAAAAAFtDb250ZW50X1R5cGVzXS54bWxQSwECLQAUAAYACAAAACEAWvQsW78AAAAVAQAA&#10;CwAAAAAAAAAAAAAAAAAfAQAAX3JlbHMvLnJlbHNQSwECLQAUAAYACAAAACEAJMFbrMYAAADfAAAA&#10;DwAAAAAAAAAAAAAAAAAHAgAAZHJzL2Rvd25yZXYueG1sUEsFBgAAAAADAAMAtwAAAPoCAAAAAA==&#10;" filled="f" stroked="f">
                  <v:textbox inset="0,0,0,0">
                    <w:txbxContent>
                      <w:p w14:paraId="55B6C805" w14:textId="77777777" w:rsidR="00B32EF2" w:rsidRDefault="00000000">
                        <w:r>
                          <w:rPr>
                            <w:rFonts w:ascii="Arial" w:eastAsia="Arial" w:hAnsi="Arial" w:cs="Arial"/>
                            <w:sz w:val="18"/>
                          </w:rPr>
                          <w:t>1</w:t>
                        </w:r>
                      </w:p>
                    </w:txbxContent>
                  </v:textbox>
                </v:rect>
                <v:rect id="Rectangle 15307" o:spid="_x0000_s1885" style="position:absolute;left:-13172;top:476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YTnxQAAAN4AAAAPAAAAZHJzL2Rvd25yZXYueG1sRE9LawIx&#10;EL4L/Q9hCr252bbUymqUYhH30IvWgsdhM/vQzSRsorv21zeC0Nt8fM+ZLwfTigt1vrGs4DlJQRAX&#10;VjdcKdh/r8dTED4ga2wtk4IreVguHkZzzLTteUuXXahEDGGfoYI6BJdJ6YuaDPrEOuLIlbYzGCLs&#10;Kqk77GO4aeVLmk6kwYZjQ42OVjUVp93ZKDh8ssvXvSzK35X7OubTdnPe/yj19Dh8zEAEGsK/+O7O&#10;dZz/9pq+w+2deINc/AEAAP//AwBQSwECLQAUAAYACAAAACEA2+H2y+4AAACFAQAAEwAAAAAAAAAA&#10;AAAAAAAAAAAAW0NvbnRlbnRfVHlwZXNdLnhtbFBLAQItABQABgAIAAAAIQBa9CxbvwAAABUBAAAL&#10;AAAAAAAAAAAAAAAAAB8BAABfcmVscy8ucmVsc1BLAQItABQABgAIAAAAIQB6fYTnxQAAAN4AAAAP&#10;AAAAAAAAAAAAAAAAAAcCAABkcnMvZG93bnJldi54bWxQSwUGAAAAAAMAAwC3AAAA+QIAAAAA&#10;" filled="f" stroked="f">
                  <v:textbox inset="0,0,0,0">
                    <w:txbxContent>
                      <w:p w14:paraId="6A61F6EA" w14:textId="77777777" w:rsidR="00B32EF2" w:rsidRDefault="00000000">
                        <w:r>
                          <w:rPr>
                            <w:rFonts w:ascii="Arial" w:eastAsia="Arial" w:hAnsi="Arial" w:cs="Arial"/>
                            <w:sz w:val="18"/>
                          </w:rPr>
                          <w:t xml:space="preserve">e secondo grado si applicano le disposizioni del libro II, titolo III, capo I, del </w:t>
                        </w:r>
                      </w:p>
                    </w:txbxContent>
                  </v:textbox>
                </v:rect>
                <v:rect id="Rectangle 15308" o:spid="_x0000_s1886" style="position:absolute;left:-12750;top:46400;width:5266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hCVxwAAAN4AAAAPAAAAZHJzL2Rvd25yZXYueG1sRI9Ba8JA&#10;EIXvhf6HZQre6sYWi6SuIhZpDr1oLfQ4ZMckmp1dsquJ/fXOQehthvfmvW/my8G16kJdbDwbmIwz&#10;UMSltw1XBvbfm+cZqJiQLbaeycCVIiwXjw9zzK3veUuXXaqUhHDM0UCdUsi1jmVNDuPYB2LRDr5z&#10;mGTtKm077CXctfoly960w4alocZA65rK0+7sDPx+cCg2vS4Pf+vwdSxm7ed5/2PM6GlYvYNKNKR/&#10;8/26sII/fc2EV96RGfTiBgAA//8DAFBLAQItABQABgAIAAAAIQDb4fbL7gAAAIUBAAATAAAAAAAA&#10;AAAAAAAAAAAAAABbQ29udGVudF9UeXBlc10ueG1sUEsBAi0AFAAGAAgAAAAhAFr0LFu/AAAAFQEA&#10;AAsAAAAAAAAAAAAAAAAAHwEAAF9yZWxzLy5yZWxzUEsBAi0AFAAGAAgAAAAhAAviEJXHAAAA3gAA&#10;AA8AAAAAAAAAAAAAAAAABwIAAGRycy9kb3ducmV2LnhtbFBLBQYAAAAAAwADALcAAAD7AgAAAAA=&#10;" filled="f" stroked="f">
                  <v:textbox inset="0,0,0,0">
                    <w:txbxContent>
                      <w:p w14:paraId="01AD5B63" w14:textId="77777777" w:rsidR="00B32EF2" w:rsidRDefault="00000000">
                        <w:r>
                          <w:rPr>
                            <w:rFonts w:ascii="Arial" w:eastAsia="Arial" w:hAnsi="Arial" w:cs="Arial"/>
                            <w:sz w:val="18"/>
                          </w:rPr>
                          <w:t>codice di procedura civile, fatto salvo quanto disposto nel presente testo unico.</w:t>
                        </w:r>
                      </w:p>
                    </w:txbxContent>
                  </v:textbox>
                </v:rect>
                <v:rect id="Rectangle 15309" o:spid="_x0000_s1887" style="position:absolute;left:14556;top:40232;width:89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rUOxQAAAN4AAAAPAAAAZHJzL2Rvd25yZXYueG1sRE9La8JA&#10;EL4L/Q/LFHrTTS0WG12lKNIcvPgoeByyYxLNzi7Z1aT+elcoeJuP7znTeWdqcaXGV5YVvA8SEMS5&#10;1RUXCva7VX8MwgdkjbVlUvBHHuazl94UU21b3tB1GwoRQ9inqKAMwaVS+rwkg35gHXHkjrYxGCJs&#10;CqkbbGO4qeUwST6lwYpjQ4mOFiXl5+3FKDgs2WWrVubH28KtT9m4/rnsf5V6e+2+JyACdeEp/ndn&#10;Os4ffSRf8Hgn3iBndwAAAP//AwBQSwECLQAUAAYACAAAACEA2+H2y+4AAACFAQAAEwAAAAAAAAAA&#10;AAAAAAAAAAAAW0NvbnRlbnRfVHlwZXNdLnhtbFBLAQItABQABgAIAAAAIQBa9CxbvwAAABUBAAAL&#10;AAAAAAAAAAAAAAAAAB8BAABfcmVscy8ucmVsc1BLAQItABQABgAIAAAAIQBkrrUOxQAAAN4AAAAP&#10;AAAAAAAAAAAAAAAAAAcCAABkcnMvZG93bnJldi54bWxQSwUGAAAAAAMAAwC3AAAA+QIAAAAA&#10;" filled="f" stroked="f">
                  <v:textbox inset="0,0,0,0">
                    <w:txbxContent>
                      <w:p w14:paraId="3E1BC914" w14:textId="77777777" w:rsidR="00B32EF2" w:rsidRDefault="00000000">
                        <w:r>
                          <w:rPr>
                            <w:rFonts w:ascii="Arial" w:eastAsia="Arial" w:hAnsi="Arial" w:cs="Arial"/>
                            <w:b/>
                            <w:sz w:val="18"/>
                          </w:rPr>
                          <w:t>Articolo 104</w:t>
                        </w:r>
                      </w:p>
                    </w:txbxContent>
                  </v:textbox>
                </v:rect>
                <v:rect id="Rectangle 200017" o:spid="_x0000_s1888" style="position:absolute;left:11613;top:38999;width:194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s/exwAAAN8AAAAPAAAAZHJzL2Rvd25yZXYueG1sRI/NasMw&#10;EITvhb6D2EJvjewc2uBGCcXFxIdemh/ocbE2tltrJSw5dvP0USCQ4zAz3zDL9WQ6caLet5YVpLME&#10;BHFldcu1gv2ueFmA8AFZY2eZFPyTh/Xq8WGJmbYjf9NpG2oRIewzVNCE4DIpfdWQQT+zjjh6R9sb&#10;DFH2tdQ9jhFuOjlPkldpsOW40KCjvKHqbzsYBT+f7MpilNXxnLuv33LRbYb9Qannp+njHUSgKdzD&#10;t3apFURikr7B9U/8AnJ1AQAA//8DAFBLAQItABQABgAIAAAAIQDb4fbL7gAAAIUBAAATAAAAAAAA&#10;AAAAAAAAAAAAAABbQ29udGVudF9UeXBlc10ueG1sUEsBAi0AFAAGAAgAAAAhAFr0LFu/AAAAFQEA&#10;AAsAAAAAAAAAAAAAAAAAHwEAAF9yZWxzLy5yZWxzUEsBAi0AFAAGAAgAAAAhAFVez97HAAAA3wAA&#10;AA8AAAAAAAAAAAAAAAAABwIAAGRycy9kb3ducmV2LnhtbFBLBQYAAAAAAwADALcAAAD7AgAAAAA=&#10;" filled="f" stroked="f">
                  <v:textbox inset="0,0,0,0">
                    <w:txbxContent>
                      <w:p w14:paraId="05E2DEA5" w14:textId="77777777" w:rsidR="00B32EF2" w:rsidRDefault="00000000">
                        <w:r>
                          <w:rPr>
                            <w:rFonts w:ascii="Arial" w:eastAsia="Arial" w:hAnsi="Arial" w:cs="Arial"/>
                            <w:i/>
                            <w:sz w:val="18"/>
                          </w:rPr>
                          <w:t xml:space="preserve">articolo 50 D.lgs. n. </w:t>
                        </w:r>
                      </w:p>
                    </w:txbxContent>
                  </v:textbox>
                </v:rect>
                <v:rect id="Rectangle 200014" o:spid="_x0000_s1889" style="position:absolute;left:-2655;top:38999;width:194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FGpxwAAAN8AAAAPAAAAZHJzL2Rvd25yZXYueG1sRI/NasMw&#10;EITvhb6D2EJvjexQSnCjhOJi4kMvzQ/0uFgb2621EpYcu3n6KBDIcZiZb5jlejKdOFHvW8sK0lkC&#10;griyuuVawX5XvCxA+ICssbNMCv7Jw3r1+LDETNuRv+m0DbWIEPYZKmhCcJmUvmrIoJ9ZRxy9o+0N&#10;hij7Wuoexwg3nZwnyZs02HJcaNBR3lD1tx2Mgp9PdmUxyup4zt3Xb7noNsP+oNTz0/TxDiLQFO7h&#10;W7vUCiIxSV/h+id+Abm6AAAA//8DAFBLAQItABQABgAIAAAAIQDb4fbL7gAAAIUBAAATAAAAAAAA&#10;AAAAAAAAAAAAAABbQ29udGVudF9UeXBlc10ueG1sUEsBAi0AFAAGAAgAAAAhAFr0LFu/AAAAFQEA&#10;AAsAAAAAAAAAAAAAAAAAHwEAAF9yZWxzLy5yZWxzUEsBAi0AFAAGAAgAAAAhAKWMUanHAAAA3wAA&#10;AA8AAAAAAAAAAAAAAAAABwIAAGRycy9kb3ducmV2LnhtbFBLBQYAAAAAAwADALcAAAD7AgAAAAA=&#10;" filled="f" stroked="f">
                  <v:textbox inset="0,0,0,0">
                    <w:txbxContent>
                      <w:p w14:paraId="424EDF8C" w14:textId="77777777" w:rsidR="00B32EF2" w:rsidRDefault="00000000">
                        <w:r>
                          <w:rPr>
                            <w:rFonts w:ascii="Arial" w:eastAsia="Arial" w:hAnsi="Arial" w:cs="Arial"/>
                            <w:i/>
                            <w:sz w:val="18"/>
                          </w:rPr>
                          <w:t>546/92)</w:t>
                        </w:r>
                      </w:p>
                    </w:txbxContent>
                  </v:textbox>
                </v:rect>
                <v:rect id="Rectangle 200013" o:spid="_x0000_s1890" style="position:absolute;left:22222;top:38999;width:194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cndxwAAAN8AAAAPAAAAZHJzL2Rvd25yZXYueG1sRI/NasMw&#10;EITvhb6D2EJvjewUSnCjhOJi4kMvzQ/0uFgb2621EpYcu3n6KBDIcZiZb5jlejKdOFHvW8sK0lkC&#10;griyuuVawX5XvCxA+ICssbNMCv7Jw3r1+LDETNuRv+m0DbWIEPYZKmhCcJmUvmrIoJ9ZRxy9o+0N&#10;hij7Wuoexwg3nZwnyZs02HJcaNBR3lD1tx2Mgp9PdmUxyup4zt3Xb7noNsP+oNTz0/TxDiLQFO7h&#10;W7vUCiIxSV/h+id+Abm6AAAA//8DAFBLAQItABQABgAIAAAAIQDb4fbL7gAAAIUBAAATAAAAAAAA&#10;AAAAAAAAAAAAAABbQ29udGVudF9UeXBlc10ueG1sUEsBAi0AFAAGAAgAAAAhAFr0LFu/AAAAFQEA&#10;AAsAAAAAAAAAAAAAAAAAHwEAAF9yZWxzLy5yZWxzUEsBAi0AFAAGAAgAAAAhACplyd3HAAAA3wAA&#10;AA8AAAAAAAAAAAAAAAAABwIAAGRycy9kb3ducmV2LnhtbFBLBQYAAAAAAwADALcAAAD7AgAAAAA=&#10;" filled="f" stroked="f">
                  <v:textbox inset="0,0,0,0">
                    <w:txbxContent>
                      <w:p w14:paraId="26FB4564" w14:textId="77777777" w:rsidR="00B32EF2" w:rsidRDefault="00000000">
                        <w:r>
                          <w:rPr>
                            <w:rFonts w:ascii="Arial" w:eastAsia="Arial" w:hAnsi="Arial" w:cs="Arial"/>
                            <w:i/>
                            <w:sz w:val="18"/>
                          </w:rPr>
                          <w:t>(</w:t>
                        </w:r>
                      </w:p>
                    </w:txbxContent>
                  </v:textbox>
                </v:rect>
                <v:rect id="Rectangle 15311" o:spid="_x0000_s1891" style="position:absolute;left:8867;top:37765;width:177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S/VxAAAAN4AAAAPAAAAZHJzL2Rvd25yZXYueG1sRE9Na8JA&#10;EL0X/A/LCN7qJpYWia4iijQHL7UKHofsmESzs0t2NdFf3y0UepvH+5z5sjeNuFPra8sK0nECgriw&#10;uuZSweF7+zoF4QOyxsYyKXiQh+Vi8DLHTNuOv+i+D6WIIewzVFCF4DIpfVGRQT+2jjhyZ9saDBG2&#10;pdQtdjHcNHKSJB/SYM2xoUJH64qK6/5mFJw27PJtJ4vzc+12l3zafN4OR6VGw341AxGoD//iP3eu&#10;4/z3tzSF33fiDXLxAwAA//8DAFBLAQItABQABgAIAAAAIQDb4fbL7gAAAIUBAAATAAAAAAAAAAAA&#10;AAAAAAAAAABbQ29udGVudF9UeXBlc10ueG1sUEsBAi0AFAAGAAgAAAAhAFr0LFu/AAAAFQEAAAsA&#10;AAAAAAAAAAAAAAAAHwEAAF9yZWxzLy5yZWxzUEsBAi0AFAAGAAgAAAAhAB8BL9XEAAAA3gAAAA8A&#10;AAAAAAAAAAAAAAAABwIAAGRycy9kb3ducmV2LnhtbFBLBQYAAAAAAwADALcAAAD4AgAAAAA=&#10;" filled="f" stroked="f">
                  <v:textbox inset="0,0,0,0">
                    <w:txbxContent>
                      <w:p w14:paraId="2C8A812D" w14:textId="77777777" w:rsidR="00B32EF2" w:rsidRDefault="00000000">
                        <w:r>
                          <w:rPr>
                            <w:rFonts w:ascii="Arial" w:eastAsia="Arial" w:hAnsi="Arial" w:cs="Arial"/>
                            <w:b/>
                            <w:sz w:val="18"/>
                          </w:rPr>
                          <w:t xml:space="preserve">I mezzi d’impugnazione </w:t>
                        </w:r>
                      </w:p>
                    </w:txbxContent>
                  </v:textbox>
                </v:rect>
                <v:rect id="Rectangle 200011" o:spid="_x0000_s1892" style="position:absolute;left:-13764;top:3653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xxgAAAN8AAAAPAAAAZHJzL2Rvd25yZXYueG1sRI9Pi8Iw&#10;FMTvC36H8ARva1oPItUooog9eFn/gMdH82yrzUtoou3up98sLHgcZuY3zGLVm0a8qPW1ZQXpOAFB&#10;XFhdc6ngfNp9zkD4gKyxsUwKvsnDajn4WGCmbcdf9DqGUkQI+wwVVCG4TEpfVGTQj60jjt7NtgZD&#10;lG0pdYtdhJtGTpJkKg3WHBcqdLSpqHgcn0bBdcsu33WyuP1s3OGez5r983xRajTs13MQgfrwDv+3&#10;c60gEpM0hb8/8QvI5S8AAAD//wMAUEsBAi0AFAAGAAgAAAAhANvh9svuAAAAhQEAABMAAAAAAAAA&#10;AAAAAAAAAAAAAFtDb250ZW50X1R5cGVzXS54bWxQSwECLQAUAAYACAAAACEAWvQsW78AAAAVAQAA&#10;CwAAAAAAAAAAAAAAAAAfAQAAX3JlbHMvLnJlbHNQSwECLQAUAAYACAAAACEAtfvyMcYAAADfAAAA&#10;DwAAAAAAAAAAAAAAAAAHAgAAZHJzL2Rvd25yZXYueG1sUEsFBgAAAAADAAMAtwAAAPoCAAAAAA==&#10;" filled="f" stroked="f">
                  <v:textbox inset="0,0,0,0">
                    <w:txbxContent>
                      <w:p w14:paraId="50DB99D6" w14:textId="77777777" w:rsidR="00B32EF2" w:rsidRDefault="00000000">
                        <w:r>
                          <w:rPr>
                            <w:rFonts w:ascii="Arial" w:eastAsia="Arial" w:hAnsi="Arial" w:cs="Arial"/>
                            <w:sz w:val="18"/>
                          </w:rPr>
                          <w:t xml:space="preserve">. I mezzi per impugnare le sentenze delle corti di giustizia tributaria di primo </w:t>
                        </w:r>
                      </w:p>
                    </w:txbxContent>
                  </v:textbox>
                </v:rect>
                <v:rect id="Rectangle 200009" o:spid="_x0000_s1893" style="position:absolute;left:26109;top:3653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GjqxgAAAN8AAAAPAAAAZHJzL2Rvd25yZXYueG1sRI9BawIx&#10;FITvBf9DeIK3muhB7GoUUcQ99FJrocfH5rm7unkJm+hu++ubguBxmJlvmOW6t424UxtqxxomYwWC&#10;uHCm5lLD6XP/OgcRIrLBxjFp+KEA69XgZYmZcR1/0P0YS5EgHDLUUMXoMylDUZHFMHaeOHln11qM&#10;SbalNC12CW4bOVVqJi3WnBYq9LStqLgeb1bD9459vu9kcf7d+vdLPm8Ot9OX1qNhv1mAiNTHZ/jR&#10;zo2GRFTqDf7/pC8gV38AAAD//wMAUEsBAi0AFAAGAAgAAAAhANvh9svuAAAAhQEAABMAAAAAAAAA&#10;AAAAAAAAAAAAAFtDb250ZW50X1R5cGVzXS54bWxQSwECLQAUAAYACAAAACEAWvQsW78AAAAVAQAA&#10;CwAAAAAAAAAAAAAAAAAfAQAAX3JlbHMvLnJlbHNQSwECLQAUAAYACAAAACEAzlRo6sYAAADfAAAA&#10;DwAAAAAAAAAAAAAAAAAHAgAAZHJzL2Rvd25yZXYueG1sUEsFBgAAAAADAAMAtwAAAPoCAAAAAA==&#10;" filled="f" stroked="f">
                  <v:textbox inset="0,0,0,0">
                    <w:txbxContent>
                      <w:p w14:paraId="68EA6379" w14:textId="77777777" w:rsidR="00B32EF2" w:rsidRDefault="00000000">
                        <w:r>
                          <w:rPr>
                            <w:rFonts w:ascii="Arial" w:eastAsia="Arial" w:hAnsi="Arial" w:cs="Arial"/>
                            <w:sz w:val="18"/>
                          </w:rPr>
                          <w:t>1</w:t>
                        </w:r>
                      </w:p>
                    </w:txbxContent>
                  </v:textbox>
                </v:rect>
                <v:rect id="Rectangle 15313" o:spid="_x0000_s1894" style="position:absolute;left:-10795;top:35299;width:507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xQ5xAAAAN4AAAAPAAAAZHJzL2Rvd25yZXYueG1sRE9Li8Iw&#10;EL4L+x/CLHjT1JUVqUZZXGR78LI+wOPQjG21mYQm2uqv3ywI3ubje8582Zla3KjxlWUFo2ECgji3&#10;uuJCwX63HkxB+ICssbZMCu7kYbl4680x1bblX7ptQyFiCPsUFZQhuFRKn5dk0A+tI47cyTYGQ4RN&#10;IXWDbQw3tfxIkok0WHFsKNHRqqT8sr0aBcdvdtm6lfnpsXKbczatf677g1L99+5rBiJQF17ipzvT&#10;cf7neDSG/3fiDXLxBwAA//8DAFBLAQItABQABgAIAAAAIQDb4fbL7gAAAIUBAAATAAAAAAAAAAAA&#10;AAAAAAAAAABbQ29udGVudF9UeXBlc10ueG1sUEsBAi0AFAAGAAgAAAAhAFr0LFu/AAAAFQEAAAsA&#10;AAAAAAAAAAAAAAAAHwEAAF9yZWxzLy5yZWxzUEsBAi0AFAAGAAgAAAAhAICfFDnEAAAA3gAAAA8A&#10;AAAAAAAAAAAAAAAABwIAAGRycy9kb3ducmV2LnhtbFBLBQYAAAAAAwADALcAAAD4AgAAAAA=&#10;" filled="f" stroked="f">
                  <v:textbox inset="0,0,0,0">
                    <w:txbxContent>
                      <w:p w14:paraId="571DCA29" w14:textId="77777777" w:rsidR="00B32EF2" w:rsidRDefault="00000000">
                        <w:r>
                          <w:rPr>
                            <w:rFonts w:ascii="Arial" w:eastAsia="Arial" w:hAnsi="Arial" w:cs="Arial"/>
                            <w:sz w:val="18"/>
                          </w:rPr>
                          <w:t>e secondo grado sono l’appello, il ricorso per cassazione e la revocazione.</w:t>
                        </w:r>
                      </w:p>
                    </w:txbxContent>
                  </v:textbox>
                </v:rect>
                <v:rect id="Rectangle 15314" o:spid="_x0000_s1895" style="position:absolute;left:14566;top:32832;width:89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oxNxQAAAN4AAAAPAAAAZHJzL2Rvd25yZXYueG1sRE9La8JA&#10;EL4X/A/LCN7qxlpFoquIRZpDL/UBHofsmESzs0t2NWl/fbcgeJuP7zmLVWdqcafGV5YVjIYJCOLc&#10;6ooLBYf99nUGwgdkjbVlUvBDHlbL3ssCU21b/qb7LhQihrBPUUEZgkul9HlJBv3QOuLInW1jMETY&#10;FFI32MZwU8u3JJlKgxXHhhIdbUrKr7ubUXD6YJdtW5mffzfu65LN6s/b4ajUoN+t5yACdeEpfrgz&#10;HedPxqN3+H8n3iCXfwAAAP//AwBQSwECLQAUAAYACAAAACEA2+H2y+4AAACFAQAAEwAAAAAAAAAA&#10;AAAAAAAAAAAAW0NvbnRlbnRfVHlwZXNdLnhtbFBLAQItABQABgAIAAAAIQBa9CxbvwAAABUBAAAL&#10;AAAAAAAAAAAAAAAAAB8BAABfcmVscy8ucmVsc1BLAQItABQABgAIAAAAIQAPdoxNxQAAAN4AAAAP&#10;AAAAAAAAAAAAAAAAAAcCAABkcnMvZG93bnJldi54bWxQSwUGAAAAAAMAAwC3AAAA+QIAAAAA&#10;" filled="f" stroked="f">
                  <v:textbox inset="0,0,0,0">
                    <w:txbxContent>
                      <w:p w14:paraId="5D2C3643" w14:textId="77777777" w:rsidR="00B32EF2" w:rsidRDefault="00000000">
                        <w:r>
                          <w:rPr>
                            <w:rFonts w:ascii="Arial" w:eastAsia="Arial" w:hAnsi="Arial" w:cs="Arial"/>
                            <w:b/>
                            <w:sz w:val="18"/>
                          </w:rPr>
                          <w:t>Articolo 105</w:t>
                        </w:r>
                      </w:p>
                    </w:txbxContent>
                  </v:textbox>
                </v:rect>
                <v:rect id="Rectangle 200008" o:spid="_x0000_s1896" style="position:absolute;left:11671;top:31599;width:193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M1xxgAAAN8AAAAPAAAAZHJzL2Rvd25yZXYueG1sRI/BbsIw&#10;DIbvSHuHyJN2g2Q7TKgQEGJC62GXMSbtaDWmLTRO1ATa7enxAWlH6/f/2d9yPfpOXalPbWALzzMD&#10;irgKruXawuFrN52DShnZYReYLPxSgvXqYbLEwoWBP+m6z7USCKcCLTQ5x0LrVDXkMc1CJJbsGHqP&#10;Wca+1q7HQeC+0y/GvGqPLcuFBiNtG6rO+4u38PPGsdwNujr+bePHqZx375fDt7VPj+NmASrTmP+X&#10;7+3SWRCiMfKw+IgL6NUNAAD//wMAUEsBAi0AFAAGAAgAAAAhANvh9svuAAAAhQEAABMAAAAAAAAA&#10;AAAAAAAAAAAAAFtDb250ZW50X1R5cGVzXS54bWxQSwECLQAUAAYACAAAACEAWvQsW78AAAAVAQAA&#10;CwAAAAAAAAAAAAAAAAAfAQAAX3JlbHMvLnJlbHNQSwECLQAUAAYACAAAACEAoRjNccYAAADfAAAA&#10;DwAAAAAAAAAAAAAAAAAHAgAAZHJzL2Rvd25yZXYueG1sUEsFBgAAAAADAAMAtwAAAPoCAAAAAA==&#10;" filled="f" stroked="f">
                  <v:textbox inset="0,0,0,0">
                    <w:txbxContent>
                      <w:p w14:paraId="7290D9AD" w14:textId="77777777" w:rsidR="00B32EF2" w:rsidRDefault="00000000">
                        <w:r>
                          <w:rPr>
                            <w:rFonts w:ascii="Arial" w:eastAsia="Arial" w:hAnsi="Arial" w:cs="Arial"/>
                            <w:i/>
                            <w:sz w:val="18"/>
                          </w:rPr>
                          <w:t xml:space="preserve">articolo 51 D.lgs. n. </w:t>
                        </w:r>
                      </w:p>
                    </w:txbxContent>
                  </v:textbox>
                </v:rect>
                <v:rect id="Rectangle 200007" o:spid="_x0000_s1897" style="position:absolute;left:-2528;top:31599;width:193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1kDxgAAAN8AAAAPAAAAZHJzL2Rvd25yZXYueG1sRI9PawIx&#10;FMTvBb9DeAVvNakHK1ujiCLuoZf6Bzw+Ns/drZuXsInu1k9vCgWPw8z8hpktetuIG7WhdqzhfaRA&#10;EBfO1FxqOOw3b1MQISIbbByThl8KsJgPXmaYGdfxN912sRQJwiFDDVWMPpMyFBVZDCPniZN3dq3F&#10;mGRbStNil+C2kWOlJtJizWmhQk+riorL7mo1nNbs800ni/N95b9+8mmzvR6OWg9f++UniEh9fIb/&#10;27nRkIhKfcDfn/QF5PwBAAD//wMAUEsBAi0AFAAGAAgAAAAhANvh9svuAAAAhQEAABMAAAAAAAAA&#10;AAAAAAAAAAAAAFtDb250ZW50X1R5cGVzXS54bWxQSwECLQAUAAYACAAAACEAWvQsW78AAAAVAQAA&#10;CwAAAAAAAAAAAAAAAAAfAQAAX3JlbHMvLnJlbHNQSwECLQAUAAYACAAAACEA0IdZA8YAAADfAAAA&#10;DwAAAAAAAAAAAAAAAAAHAgAAZHJzL2Rvd25yZXYueG1sUEsFBgAAAAADAAMAtwAAAPoCAAAAAA==&#10;" filled="f" stroked="f">
                  <v:textbox inset="0,0,0,0">
                    <w:txbxContent>
                      <w:p w14:paraId="07B83C46" w14:textId="77777777" w:rsidR="00B32EF2" w:rsidRDefault="00000000">
                        <w:r>
                          <w:rPr>
                            <w:rFonts w:ascii="Arial" w:eastAsia="Arial" w:hAnsi="Arial" w:cs="Arial"/>
                            <w:i/>
                            <w:sz w:val="18"/>
                          </w:rPr>
                          <w:t>546/92)</w:t>
                        </w:r>
                      </w:p>
                    </w:txbxContent>
                  </v:textbox>
                </v:rect>
                <v:rect id="Rectangle 200006" o:spid="_x0000_s1898" style="position:absolute;left:22210;top:31599;width:193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YxQAAAN8AAAAPAAAAZHJzL2Rvd25yZXYueG1sRI9PawIx&#10;FMTvQr9DeEJvmtVDkdUoxSLdg5daBY+P5Lm7unkJm+yf9tM3hUKPw8z8htnsRtuIntpQO1awmGcg&#10;iLUzNZcKzp+H2QpEiMgGG8ek4IsC7LZPkw3mxg38Qf0pliJBOOSooIrR51IGXZHFMHeeOHk311qM&#10;SbalNC0OCW4bucyyF2mx5rRQoad9Rfpx6qyC6xv74jBIffve++O9WDXv3fmi1PN0fF2DiDTG//Bf&#10;uzAKEjEx4fdP+gJy+wMAAP//AwBQSwECLQAUAAYACAAAACEA2+H2y+4AAACFAQAAEwAAAAAAAAAA&#10;AAAAAAAAAAAAW0NvbnRlbnRfVHlwZXNdLnhtbFBLAQItABQABgAIAAAAIQBa9CxbvwAAABUBAAAL&#10;AAAAAAAAAAAAAAAAAB8BAABfcmVscy8ucmVsc1BLAQItABQABgAIAAAAIQC/y/yYxQAAAN8AAAAP&#10;AAAAAAAAAAAAAAAAAAcCAABkcnMvZG93bnJldi54bWxQSwUGAAAAAAMAAwC3AAAA+QIAAAAA&#10;" filled="f" stroked="f">
                  <v:textbox inset="0,0,0,0">
                    <w:txbxContent>
                      <w:p w14:paraId="3A8CCF04" w14:textId="77777777" w:rsidR="00B32EF2" w:rsidRDefault="00000000">
                        <w:r>
                          <w:rPr>
                            <w:rFonts w:ascii="Arial" w:eastAsia="Arial" w:hAnsi="Arial" w:cs="Arial"/>
                            <w:i/>
                            <w:sz w:val="18"/>
                          </w:rPr>
                          <w:t>(</w:t>
                        </w:r>
                      </w:p>
                    </w:txbxContent>
                  </v:textbox>
                </v:rect>
                <v:rect id="Rectangle 15316" o:spid="_x0000_s1899" style="position:absolute;left:8626;top:30366;width:1815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LehxAAAAN4AAAAPAAAAZHJzL2Rvd25yZXYueG1sRE9Li8Iw&#10;EL4v7H8Is+BtTVVWpBplcRF72Isv8Dg0Y1ttJqGJtvrrzcKCt/n4njNbdKYWN2p8ZVnBoJ+AIM6t&#10;rrhQsN+tPicgfEDWWFsmBXfysJi/v80w1bblDd22oRAxhH2KCsoQXCqlz0sy6PvWEUfuZBuDIcKm&#10;kLrBNoabWg6TZCwNVhwbSnS0LCm/bK9GwfGHXbZqZX56LN3vOZvU6+v+oFTvo/ueggjUhZf4353p&#10;OP9rNBjD3zvxBjl/AgAA//8DAFBLAQItABQABgAIAAAAIQDb4fbL7gAAAIUBAAATAAAAAAAAAAAA&#10;AAAAAAAAAABbQ29udGVudF9UeXBlc10ueG1sUEsBAi0AFAAGAAgAAAAhAFr0LFu/AAAAFQEAAAsA&#10;AAAAAAAAAAAAAAAAHwEAAF9yZWxzLy5yZWxzUEsBAi0AFAAGAAgAAAAhAJDot6HEAAAA3gAAAA8A&#10;AAAAAAAAAAAAAAAABwIAAGRycy9kb3ducmV2LnhtbFBLBQYAAAAAAwADALcAAAD4AgAAAAA=&#10;" filled="f" stroked="f">
                  <v:textbox inset="0,0,0,0">
                    <w:txbxContent>
                      <w:p w14:paraId="4B7FC7A7" w14:textId="77777777" w:rsidR="00B32EF2" w:rsidRDefault="00000000">
                        <w:r>
                          <w:rPr>
                            <w:rFonts w:ascii="Arial" w:eastAsia="Arial" w:hAnsi="Arial" w:cs="Arial"/>
                            <w:b/>
                            <w:sz w:val="18"/>
                          </w:rPr>
                          <w:t xml:space="preserve">Termini d’impugnazione </w:t>
                        </w:r>
                      </w:p>
                    </w:txbxContent>
                  </v:textbox>
                </v:rect>
                <v:rect id="Rectangle 200005" o:spid="_x0000_s1900" style="position:absolute;left:-13763;top:2913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WLvxgAAAN8AAAAPAAAAZHJzL2Rvd25yZXYueG1sRI9PawIx&#10;FMTvBb9DeAVvNalgka1RRBH30Ev9Ax4fm+fu1s1L2ER366c3hYLHYWZ+w8wWvW3EjdpQO9bwPlIg&#10;iAtnai41HPabtymIEJENNo5Jwy8FWMwHLzPMjOv4m267WIoE4ZChhipGn0kZiooshpHzxMk7u9Zi&#10;TLItpWmxS3DbyLFSH9JizWmhQk+riorL7mo1nNbs800ni/N95b9+8mmzvR6OWg9f++UniEh9fIb/&#10;27nRkIhKTeDvT/oCcv4AAAD//wMAUEsBAi0AFAAGAAgAAAAhANvh9svuAAAAhQEAABMAAAAAAAAA&#10;AAAAAAAAAAAAAFtDb250ZW50X1R5cGVzXS54bWxQSwECLQAUAAYACAAAACEAWvQsW78AAAAVAQAA&#10;CwAAAAAAAAAAAAAAAAAfAQAAX3JlbHMvLnJlbHNQSwECLQAUAAYACAAAACEATxli78YAAADfAAAA&#10;DwAAAAAAAAAAAAAAAAAHAgAAZHJzL2Rvd25yZXYueG1sUEsFBgAAAAADAAMAtwAAAPoCAAAAAA==&#10;" filled="f" stroked="f">
                  <v:textbox inset="0,0,0,0">
                    <w:txbxContent>
                      <w:p w14:paraId="2CD4123D" w14:textId="77777777" w:rsidR="00B32EF2" w:rsidRDefault="00000000">
                        <w:r>
                          <w:rPr>
                            <w:rFonts w:ascii="Arial" w:eastAsia="Arial" w:hAnsi="Arial" w:cs="Arial"/>
                            <w:sz w:val="18"/>
                          </w:rPr>
                          <w:t xml:space="preserve">. Se la legge non dispone diversamente il termine per impugnare la sentenza </w:t>
                        </w:r>
                      </w:p>
                    </w:txbxContent>
                  </v:textbox>
                </v:rect>
                <v:rect id="Rectangle 200004" o:spid="_x0000_s1901" style="position:absolute;left:26110;top:2913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cd0xgAAAN8AAAAPAAAAZHJzL2Rvd25yZXYueG1sRI9PawIx&#10;FMTvBb9DeAVvNalIka1RRBH30Ev9Ax4fm+fu1s1L2ER366c3hYLHYWZ+w8wWvW3EjdpQO9bwPlIg&#10;iAtnai41HPabtymIEJENNo5Jwy8FWMwHLzPMjOv4m267WIoE4ZChhipGn0kZiooshpHzxMk7u9Zi&#10;TLItpWmxS3DbyLFSH9JizWmhQk+riorL7mo1nNbs800ni/N95b9+8mmzvR6OWg9f++UniEh9fIb/&#10;27nRkIhKTeDvT/oCcv4AAAD//wMAUEsBAi0AFAAGAAgAAAAhANvh9svuAAAAhQEAABMAAAAAAAAA&#10;AAAAAAAAAAAAAFtDb250ZW50X1R5cGVzXS54bWxQSwECLQAUAAYACAAAACEAWvQsW78AAAAVAQAA&#10;CwAAAAAAAAAAAAAAAAAfAQAAX3JlbHMvLnJlbHNQSwECLQAUAAYACAAAACEAIFXHdMYAAADfAAAA&#10;DwAAAAAAAAAAAAAAAAAHAgAAZHJzL2Rvd25yZXYueG1sUEsFBgAAAAADAAMAtwAAAPoCAAAAAA==&#10;" filled="f" stroked="f">
                  <v:textbox inset="0,0,0,0">
                    <w:txbxContent>
                      <w:p w14:paraId="633D5997" w14:textId="77777777" w:rsidR="00B32EF2" w:rsidRDefault="00000000">
                        <w:r>
                          <w:rPr>
                            <w:rFonts w:ascii="Arial" w:eastAsia="Arial" w:hAnsi="Arial" w:cs="Arial"/>
                            <w:sz w:val="18"/>
                          </w:rPr>
                          <w:t>1</w:t>
                        </w:r>
                      </w:p>
                    </w:txbxContent>
                  </v:textbox>
                </v:rect>
                <v:rect id="Rectangle 15318" o:spid="_x0000_s1902" style="position:absolute;left:-13171;top:278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4ZIyAAAAN4AAAAPAAAAZHJzL2Rvd25yZXYueG1sRI9Pa8JA&#10;EMXvhX6HZQq91Y0tFomuIhZpDr34p9DjkB2TaHZ2ya4m7ad3DkJvM7w37/1mvhxcq67UxcazgfEo&#10;A0VcettwZeCw37xMQcWEbLH1TAZ+KcJy8fgwx9z6nrd03aVKSQjHHA3UKYVc61jW5DCOfCAW7eg7&#10;h0nWrtK2w17CXatfs+xdO2xYGmoMtK6pPO8uzsDPB4di0+vy+LcOX6di2n5eDt/GPD8NqxmoREP6&#10;N9+vCyv4k7ex8Mo7MoNe3AAAAP//AwBQSwECLQAUAAYACAAAACEA2+H2y+4AAACFAQAAEwAAAAAA&#10;AAAAAAAAAAAAAAAAW0NvbnRlbnRfVHlwZXNdLnhtbFBLAQItABQABgAIAAAAIQBa9CxbvwAAABUB&#10;AAALAAAAAAAAAAAAAAAAAB8BAABfcmVscy8ucmVsc1BLAQItABQABgAIAAAAIQCOO4ZIyAAAAN4A&#10;AAAPAAAAAAAAAAAAAAAAAAcCAABkcnMvZG93bnJldi54bWxQSwUGAAAAAAMAAwC3AAAA/AIAAAAA&#10;" filled="f" stroked="f">
                  <v:textbox inset="0,0,0,0">
                    <w:txbxContent>
                      <w:p w14:paraId="580F50F2" w14:textId="77777777" w:rsidR="00B32EF2" w:rsidRDefault="00000000">
                        <w:r>
                          <w:rPr>
                            <w:rFonts w:ascii="Arial" w:eastAsia="Arial" w:hAnsi="Arial" w:cs="Arial"/>
                            <w:sz w:val="18"/>
                          </w:rPr>
                          <w:t xml:space="preserve">della corte di giustizia tributaria di primo e secondo grado è di sessanta giorni, </w:t>
                        </w:r>
                      </w:p>
                    </w:txbxContent>
                  </v:textbox>
                </v:rect>
                <v:rect id="Rectangle 15319" o:spid="_x0000_s1903" style="position:absolute;left:-13171;top:266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yPTxQAAAN4AAAAPAAAAZHJzL2Rvd25yZXYueG1sRE9La8JA&#10;EL4X/A/LCN7qxkpFo6uIRZpDL/UBHofsmESzs0t2NWl/fbcgeJuP7zmLVWdqcafGV5YVjIYJCOLc&#10;6ooLBYf99nUKwgdkjbVlUvBDHlbL3ssCU21b/qb7LhQihrBPUUEZgkul9HlJBv3QOuLInW1jMETY&#10;FFI32MZwU8u3JJlIgxXHhhIdbUrKr7ubUXD6YJdtW5mffzfu65JN68/b4ajUoN+t5yACdeEpfrgz&#10;Hee/j0cz+H8n3iCXfwAAAP//AwBQSwECLQAUAAYACAAAACEA2+H2y+4AAACFAQAAEwAAAAAAAAAA&#10;AAAAAAAAAAAAW0NvbnRlbnRfVHlwZXNdLnhtbFBLAQItABQABgAIAAAAIQBa9CxbvwAAABUBAAAL&#10;AAAAAAAAAAAAAAAAAB8BAABfcmVscy8ucmVsc1BLAQItABQABgAIAAAAIQDhdyPTxQAAAN4AAAAP&#10;AAAAAAAAAAAAAAAAAAcCAABkcnMvZG93bnJldi54bWxQSwUGAAAAAAMAAwC3AAAA+QIAAAAA&#10;" filled="f" stroked="f">
                  <v:textbox inset="0,0,0,0">
                    <w:txbxContent>
                      <w:p w14:paraId="6C394AAF" w14:textId="77777777" w:rsidR="00B32EF2" w:rsidRDefault="00000000">
                        <w:r>
                          <w:rPr>
                            <w:rFonts w:ascii="Arial" w:eastAsia="Arial" w:hAnsi="Arial" w:cs="Arial"/>
                            <w:sz w:val="18"/>
                          </w:rPr>
                          <w:t xml:space="preserve">decorrente dalla sua notificazione ad istanza di parte, salvo quanto disposto </w:t>
                        </w:r>
                      </w:p>
                    </w:txbxContent>
                  </v:textbox>
                </v:rect>
                <v:rect id="Rectangle 15320" o:spid="_x0000_s1904" style="position:absolute;left:22621;top:25432;width:172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DzxwAAAN4AAAAPAAAAZHJzL2Rvd25yZXYueG1sRI9Ba8JA&#10;EIXvQv/DMoXedFNFkdRVikXMoZeqhR6H7Jikzc4u2dWk/fXOoeBthnnz3vtWm8G16kpdbDwbeJ5k&#10;oIhLbxuuDJyOu/ESVEzIFlvPZOCXImzWD6MV5tb3/EHXQ6qUmHDM0UCdUsi1jmVNDuPEB2K5nX3n&#10;MMnaVdp22Iu5a/U0yxbaYcOSUGOgbU3lz+HiDHy9cSh2vS7Pf9vw/l0s2/3l9GnM0+Pw+gIq0ZDu&#10;4v/vwkr9+WwqAIIjM+j1DQAA//8DAFBLAQItABQABgAIAAAAIQDb4fbL7gAAAIUBAAATAAAAAAAA&#10;AAAAAAAAAAAAAABbQ29udGVudF9UeXBlc10ueG1sUEsBAi0AFAAGAAgAAAAhAFr0LFu/AAAAFQEA&#10;AAsAAAAAAAAAAAAAAAAAHwEAAF9yZWxzLy5yZWxzUEsBAi0AFAAGAAgAAAAhAL4hQPPHAAAA3gAA&#10;AA8AAAAAAAAAAAAAAAAABwIAAGRycy9kb3ducmV2LnhtbFBLBQYAAAAAAwADALcAAAD7AgAAAAA=&#10;" filled="f" stroked="f">
                  <v:textbox inset="0,0,0,0">
                    <w:txbxContent>
                      <w:p w14:paraId="41CBBDAA" w14:textId="77777777" w:rsidR="00B32EF2" w:rsidRDefault="00000000">
                        <w:r>
                          <w:rPr>
                            <w:rFonts w:ascii="Arial" w:eastAsia="Arial" w:hAnsi="Arial" w:cs="Arial"/>
                            <w:sz w:val="18"/>
                          </w:rPr>
                          <w:t>dall’articolo 87, comma 3.</w:t>
                        </w:r>
                      </w:p>
                    </w:txbxContent>
                  </v:textbox>
                </v:rect>
                <v:rect id="Rectangle 200003" o:spid="_x0000_s1905" style="position:absolute;left:-13816;top:24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F8AxgAAAN8AAAAPAAAAZHJzL2Rvd25yZXYueG1sRI9PawIx&#10;FMTvBb9DeAVvNalCka1RRBH30Ev9Ax4fm+fu1s1L2ER366c3hYLHYWZ+w8wWvW3EjdpQO9bwPlIg&#10;iAtnai41HPabtymIEJENNo5Jwy8FWMwHLzPMjOv4m267WIoE4ZChhipGn0kZiooshpHzxMk7u9Zi&#10;TLItpWmxS3DbyLFSH9JizWmhQk+riorL7mo1nNbs800ni/N95b9+8mmzvR6OWg9f++UniEh9fIb/&#10;27nRkIhKTeDvT/oCcv4AAAD//wMAUEsBAi0AFAAGAAgAAAAhANvh9svuAAAAhQEAABMAAAAAAAAA&#10;AAAAAAAAAAAAAFtDb250ZW50X1R5cGVzXS54bWxQSwECLQAUAAYACAAAACEAWvQsW78AAAAVAQAA&#10;CwAAAAAAAAAAAAAAAAAfAQAAX3JlbHMvLnJlbHNQSwECLQAUAAYACAAAACEAr7xfAMYAAADfAAAA&#10;DwAAAAAAAAAAAAAAAAAHAgAAZHJzL2Rvd25yZXYueG1sUEsFBgAAAAADAAMAtwAAAPoCAAAAAA==&#10;" filled="f" stroked="f">
                  <v:textbox inset="0,0,0,0">
                    <w:txbxContent>
                      <w:p w14:paraId="3D21DF6E" w14:textId="77777777" w:rsidR="00B32EF2" w:rsidRDefault="00000000">
                        <w:r>
                          <w:rPr>
                            <w:rFonts w:ascii="Arial" w:eastAsia="Arial" w:hAnsi="Arial" w:cs="Arial"/>
                            <w:sz w:val="18"/>
                          </w:rPr>
                          <w:t xml:space="preserve">. Nel caso di revocazione per i motivi di cui ai numeri 1, 2, 3 e 6 dell’articolo </w:t>
                        </w:r>
                      </w:p>
                    </w:txbxContent>
                  </v:textbox>
                </v:rect>
                <v:rect id="Rectangle 200002" o:spid="_x0000_s1906" style="position:absolute;left:26110;top:241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PqbxgAAAN8AAAAPAAAAZHJzL2Rvd25yZXYueG1sRI9PawIx&#10;FMTvQr9DeIXeNKmHIqtRxCLuwUv9Ax4fm+fu6uYlbKK7+umbQsHjMDO/YWaL3jbiTm2oHWv4HCkQ&#10;xIUzNZcaDvv1cAIiRGSDjWPS8KAAi/nbYIaZcR3/0H0XS5EgHDLUUMXoMylDUZHFMHKeOHln11qM&#10;SbalNC12CW4bOVbqS1qsOS1U6GlVUXHd3ayG0zf7fN3J4vxc+e0lnzSb2+Go9cd7v5yCiNTHV/i/&#10;nRsNiajUGP7+pC8g578AAAD//wMAUEsBAi0AFAAGAAgAAAAhANvh9svuAAAAhQEAABMAAAAAAAAA&#10;AAAAAAAAAAAAAFtDb250ZW50X1R5cGVzXS54bWxQSwECLQAUAAYACAAAACEAWvQsW78AAAAVAQAA&#10;CwAAAAAAAAAAAAAAAAAfAQAAX3JlbHMvLnJlbHNQSwECLQAUAAYACAAAACEAwPD6m8YAAADfAAAA&#10;DwAAAAAAAAAAAAAAAAAHAgAAZHJzL2Rvd25yZXYueG1sUEsFBgAAAAADAAMAtwAAAPoCAAAAAA==&#10;" filled="f" stroked="f">
                  <v:textbox inset="0,0,0,0">
                    <w:txbxContent>
                      <w:p w14:paraId="3036D2F5" w14:textId="77777777" w:rsidR="00B32EF2" w:rsidRDefault="00000000">
                        <w:r>
                          <w:rPr>
                            <w:rFonts w:ascii="Arial" w:eastAsia="Arial" w:hAnsi="Arial" w:cs="Arial"/>
                            <w:sz w:val="18"/>
                          </w:rPr>
                          <w:t>2</w:t>
                        </w:r>
                      </w:p>
                    </w:txbxContent>
                  </v:textbox>
                </v:rect>
                <v:rect id="Rectangle 200001" o:spid="_x0000_s1907" style="position:absolute;left:-15120;top:229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TsxQAAAN8AAAAPAAAAZHJzL2Rvd25yZXYueG1sRI9BawIx&#10;FITvBf9DeIK3mtiDyGoUUcQ99FK10ONj89xd3byETXRXf31TKHgcZuYbZrHqbSPu1IbasYbJWIEg&#10;LpypudRwOu7eZyBCRDbYOCYNDwqwWg7eFpgZ1/EX3Q+xFAnCIUMNVYw+kzIUFVkMY+eJk3d2rcWY&#10;ZFtK02KX4LaRH0pNpcWa00KFnjYVFdfDzWr42bLPd50szs+N/7zks2Z/O31rPRr26zmISH18hf/b&#10;udGQiEpN4O9P+gJy+QsAAP//AwBQSwECLQAUAAYACAAAACEA2+H2y+4AAACFAQAAEwAAAAAAAAAA&#10;AAAAAAAAAAAAW0NvbnRlbnRfVHlwZXNdLnhtbFBLAQItABQABgAIAAAAIQBa9CxbvwAAABUBAAAL&#10;AAAAAAAAAAAAAAAAAB8BAABfcmVscy8ucmVsc1BLAQItABQABgAIAAAAIQAwImTsxQAAAN8AAAAP&#10;AAAAAAAAAAAAAAAAAAcCAABkcnMvZG93bnJldi54bWxQSwUGAAAAAAMAAwC3AAAA+QIAAAAA&#10;" filled="f" stroked="f">
                  <v:textbox inset="0,0,0,0">
                    <w:txbxContent>
                      <w:p w14:paraId="595E653E" w14:textId="77777777" w:rsidR="00B32EF2" w:rsidRDefault="00000000">
                        <w:r>
                          <w:rPr>
                            <w:rFonts w:ascii="Arial" w:eastAsia="Arial" w:hAnsi="Arial" w:cs="Arial"/>
                            <w:sz w:val="18"/>
                          </w:rPr>
                          <w:t xml:space="preserve"> del codice di procedura civile il termine di sessanta giorni decorre dal </w:t>
                        </w:r>
                      </w:p>
                    </w:txbxContent>
                  </v:textbox>
                </v:rect>
                <v:rect id="Rectangle 200000" o:spid="_x0000_s1908" style="position:absolute;left:24797;top:229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sF3xgAAAN8AAAAPAAAAZHJzL2Rvd25yZXYueG1sRI9NawIx&#10;EIbvQv9DGKE3zeqhyGqUYpHuwUutgschGXdXN5OwyX60v74pFDq3Yd73GZ7NbrSN6KkNtWMFi3kG&#10;glg7U3Op4Px5mK1AhIhssHFMCr4owG77NNlgbtzAH9SfYikShEOOCqoYfS5l0BVZDHPnidPt5lqL&#10;Ma1tKU2LQ4LbRi6z7EVarDl9qNDTviL9OHVWwfWNfXEYpL597/3xXqya9+58Uep5Or6uQUQa43/4&#10;r10YBYmYBn59kgvI7Q8AAAD//wMAUEsBAi0AFAAGAAgAAAAhANvh9svuAAAAhQEAABMAAAAAAAAA&#10;AAAAAAAAAAAAAFtDb250ZW50X1R5cGVzXS54bWxQSwECLQAUAAYACAAAACEAWvQsW78AAAAVAQAA&#10;CwAAAAAAAAAAAAAAAAAfAQAAX3JlbHMvLnJlbHNQSwECLQAUAAYACAAAACEAX27Bd8YAAADfAAAA&#10;DwAAAAAAAAAAAAAAAAAHAgAAZHJzL2Rvd25yZXYueG1sUEsFBgAAAAADAAMAtwAAAPoCAAAAAA==&#10;" filled="f" stroked="f">
                  <v:textbox inset="0,0,0,0">
                    <w:txbxContent>
                      <w:p w14:paraId="756DBCF3" w14:textId="77777777" w:rsidR="00B32EF2" w:rsidRDefault="00000000">
                        <w:r>
                          <w:rPr>
                            <w:rFonts w:ascii="Arial" w:eastAsia="Arial" w:hAnsi="Arial" w:cs="Arial"/>
                            <w:sz w:val="18"/>
                          </w:rPr>
                          <w:t>395</w:t>
                        </w:r>
                      </w:p>
                    </w:txbxContent>
                  </v:textbox>
                </v:rect>
                <v:rect id="Rectangle 15323" o:spid="_x0000_s1909" style="position:absolute;left:-13171;top:21733;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96ExAAAAN4AAAAPAAAAZHJzL2Rvd25yZXYueG1sRE9Ni8Iw&#10;EL0v+B/CCN7WVGUX6RpFFLEHL7ou7HFoxrbaTEITbfXXb4QFb/N4nzNbdKYWN2p8ZVnBaJiAIM6t&#10;rrhQcPzevE9B+ICssbZMCu7kYTHvvc0w1bblPd0OoRAxhH2KCsoQXCqlz0sy6IfWEUfuZBuDIcKm&#10;kLrBNoabWo6T5FMarDg2lOhoVVJ+OVyNgt81u2zTyvz0WLndOZvW2+vxR6lBv1t+gQjUhZf4353p&#10;OP9jMp7A8514g5z/AQAA//8DAFBLAQItABQABgAIAAAAIQDb4fbL7gAAAIUBAAATAAAAAAAAAAAA&#10;AAAAAAAAAABbQ29udGVudF9UeXBlc10ueG1sUEsBAi0AFAAGAAgAAAAhAFr0LFu/AAAAFQEAAAsA&#10;AAAAAAAAAAAAAAAAHwEAAF9yZWxzLy5yZWxzUEsBAi0AFAAGAAgAAAAhAE7z3oTEAAAA3gAAAA8A&#10;AAAAAAAAAAAAAAAABwIAAGRycy9kb3ducmV2LnhtbFBLBQYAAAAAAwADALcAAAD4AgAAAAA=&#10;" filled="f" stroked="f">
                  <v:textbox inset="0,0,0,0">
                    <w:txbxContent>
                      <w:p w14:paraId="4BD1E94B" w14:textId="77777777" w:rsidR="00B32EF2" w:rsidRDefault="00000000">
                        <w:r>
                          <w:rPr>
                            <w:rFonts w:ascii="Arial" w:eastAsia="Arial" w:hAnsi="Arial" w:cs="Arial"/>
                            <w:sz w:val="18"/>
                          </w:rPr>
                          <w:t xml:space="preserve">giorno in cui è stato scoperto il dolo o sono state dichiarate false le prove o è </w:t>
                        </w:r>
                      </w:p>
                    </w:txbxContent>
                  </v:textbox>
                </v:rect>
                <v:rect id="Rectangle 15324" o:spid="_x0000_s1910" style="position:absolute;left:-13171;top:20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kbwxQAAAN4AAAAPAAAAZHJzL2Rvd25yZXYueG1sRE9La8JA&#10;EL4X/A/LCN7qplpFoqsUi5hDL/UBHofsmMRmZ5fsamJ/fbcgeJuP7zmLVWdqcaPGV5YVvA0TEMS5&#10;1RUXCg77zesMhA/IGmvLpOBOHlbL3ssCU21b/qbbLhQihrBPUUEZgkul9HlJBv3QOuLInW1jMETY&#10;FFI32MZwU8tRkkylwYpjQ4mO1iXlP7urUXD6ZJdtWpmff9fu65LN6u31cFRq0O8+5iACdeEpfrgz&#10;HedPxqN3+H8n3iCXfwAAAP//AwBQSwECLQAUAAYACAAAACEA2+H2y+4AAACFAQAAEwAAAAAAAAAA&#10;AAAAAAAAAAAAW0NvbnRlbnRfVHlwZXNdLnhtbFBLAQItABQABgAIAAAAIQBa9CxbvwAAABUBAAAL&#10;AAAAAAAAAAAAAAAAAB8BAABfcmVscy8ucmVsc1BLAQItABQABgAIAAAAIQDBGkbwxQAAAN4AAAAP&#10;AAAAAAAAAAAAAAAAAAcCAABkcnMvZG93bnJldi54bWxQSwUGAAAAAAMAAwC3AAAA+QIAAAAA&#10;" filled="f" stroked="f">
                  <v:textbox inset="0,0,0,0">
                    <w:txbxContent>
                      <w:p w14:paraId="5F2BFCDC" w14:textId="77777777" w:rsidR="00B32EF2" w:rsidRDefault="00000000">
                        <w:r>
                          <w:rPr>
                            <w:rFonts w:ascii="Arial" w:eastAsia="Arial" w:hAnsi="Arial" w:cs="Arial"/>
                            <w:sz w:val="18"/>
                          </w:rPr>
                          <w:t xml:space="preserve">stato recuperato il documento o è passata in giudicato la sentenza che accerta </w:t>
                        </w:r>
                      </w:p>
                    </w:txbxContent>
                  </v:textbox>
                </v:rect>
                <v:rect id="Rectangle 15325" o:spid="_x0000_s1911" style="position:absolute;left:27694;top:19266;width:122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uNrxAAAAN4AAAAPAAAAZHJzL2Rvd25yZXYueG1sRE9Ni8Iw&#10;EL0L/ocwgjdNVVykaxRRxB72sq4Lexyasa02k9BEW/31m4UFb/N4n7Ncd6YWd2p8ZVnBZJyAIM6t&#10;rrhQcPrajxYgfEDWWFsmBQ/ysF71e0tMtW35k+7HUIgYwj5FBWUILpXS5yUZ9GPriCN3to3BEGFT&#10;SN1gG8NNLadJ8iYNVhwbSnS0LSm/Hm9Gwc+OXbZvZX5+bt3HJVvUh9vpW6nhoNu8gwjUhZf4353p&#10;OH8+m87h7514g1z9AgAA//8DAFBLAQItABQABgAIAAAAIQDb4fbL7gAAAIUBAAATAAAAAAAAAAAA&#10;AAAAAAAAAABbQ29udGVudF9UeXBlc10ueG1sUEsBAi0AFAAGAAgAAAAhAFr0LFu/AAAAFQEAAAsA&#10;AAAAAAAAAAAAAAAAHwEAAF9yZWxzLy5yZWxzUEsBAi0AFAAGAAgAAAAhAK5W42vEAAAA3gAAAA8A&#10;AAAAAAAAAAAAAAAABwIAAGRycy9kb3ducmV2LnhtbFBLBQYAAAAAAwADALcAAAD4AgAAAAA=&#10;" filled="f" stroked="f">
                  <v:textbox inset="0,0,0,0">
                    <w:txbxContent>
                      <w:p w14:paraId="00721C1C" w14:textId="77777777" w:rsidR="00B32EF2" w:rsidRDefault="00000000">
                        <w:r>
                          <w:rPr>
                            <w:rFonts w:ascii="Arial" w:eastAsia="Arial" w:hAnsi="Arial" w:cs="Arial"/>
                            <w:sz w:val="18"/>
                          </w:rPr>
                          <w:t>il dolo del giudice.</w:t>
                        </w:r>
                      </w:p>
                    </w:txbxContent>
                  </v:textbox>
                </v:rect>
                <v:shape id="Shape 207762" o:spid="_x0000_s1912" style="position:absolute;left:316;top:42622;width:39600;height:3688;visibility:visible;mso-wrap-style:square;v-text-anchor:top" coordsize="3960000,368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bMCxgAAAN8AAAAPAAAAZHJzL2Rvd25yZXYueG1sRI9Ba4NA&#10;FITvhf6H5RV6q6tSTLBugjQE0pKLJvT8cF/VxH0r7iax/74bKPQ4zMw3TLGezSCuNLnesoIkikEQ&#10;N1b33Co4HrYvSxDOI2scLJOCH3KwXj0+FJhre+OKrrVvRYCwy1FB5/2YS+majgy6yI7Ewfu2k0Ef&#10;5NRKPeEtwM0g0zjOpMGew0KHI7131Jzri1HgZLL9oK/m/PpZ7i3vhlN1khulnp/m8g2Ep9n/h//a&#10;O60gjReLLIX7n/AF5OoXAAD//wMAUEsBAi0AFAAGAAgAAAAhANvh9svuAAAAhQEAABMAAAAAAAAA&#10;AAAAAAAAAAAAAFtDb250ZW50X1R5cGVzXS54bWxQSwECLQAUAAYACAAAACEAWvQsW78AAAAVAQAA&#10;CwAAAAAAAAAAAAAAAAAfAQAAX3JlbHMvLnJlbHNQSwECLQAUAAYACAAAACEAhXWzAsYAAADfAAAA&#10;DwAAAAAAAAAAAAAAAAAHAgAAZHJzL2Rvd25yZXYueG1sUEsFBgAAAAADAAMAtwAAAPoCAAAAAA==&#10;" path="m,l3960000,r,368897l,368897,,e" fillcolor="#c3c3c3" stroked="f" strokeweight="0">
                  <v:stroke miterlimit="83231f" joinstyle="miter"/>
                  <v:path arrowok="t" textboxrect="0,0,3960000,368897"/>
                </v:shape>
                <v:rect id="Rectangle 15327" o:spid="_x0000_s1913" style="position:absolute;left:23565;top:44098;width:155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iHxQAAAN4AAAAPAAAAZHJzL2Rvd25yZXYueG1sRE9La8JA&#10;EL4X/A/LCN7qpkpVoqsUi5hDL/UBHofsmMRmZ5fsamJ/fbcgeJuP7zmLVWdqcaPGV5YVvA0TEMS5&#10;1RUXCg77zesMhA/IGmvLpOBOHlbL3ssCU21b/qbbLhQihrBPUUEZgkul9HlJBv3QOuLInW1jMETY&#10;FFI32MZwU8tRkkykwYpjQ4mO1iXlP7urUXD6ZJdtWpmff9fu65LN6u31cFRq0O8+5iACdeEpfrgz&#10;Hee/j0dT+H8n3iCXfwAAAP//AwBQSwECLQAUAAYACAAAACEA2+H2y+4AAACFAQAAEwAAAAAAAAAA&#10;AAAAAAAAAAAAW0NvbnRlbnRfVHlwZXNdLnhtbFBLAQItABQABgAIAAAAIQBa9CxbvwAAABUBAAAL&#10;AAAAAAAAAAAAAAAAAB8BAABfcmVscy8ucmVsc1BLAQItABQABgAIAAAAIQAxyNiHxQAAAN4AAAAP&#10;AAAAAAAAAAAAAAAAAAcCAABkcnMvZG93bnJldi54bWxQSwUGAAAAAAMAAwC3AAAA+QIAAAAA&#10;" filled="f" stroked="f">
                  <v:textbox inset="0,0,0,0">
                    <w:txbxContent>
                      <w:p w14:paraId="6BED1D1C" w14:textId="77777777" w:rsidR="00B32EF2" w:rsidRDefault="00000000">
                        <w:r>
                          <w:rPr>
                            <w:rFonts w:ascii="Arial" w:eastAsia="Arial" w:hAnsi="Arial" w:cs="Arial"/>
                            <w:b/>
                            <w:i/>
                            <w:sz w:val="18"/>
                          </w:rPr>
                          <w:t>NORME COLLEGATE</w:t>
                        </w:r>
                      </w:p>
                    </w:txbxContent>
                  </v:textbox>
                </v:rect>
                <v:rect id="Rectangle 15328" o:spid="_x0000_s1914" style="position:absolute;left:7487;top:42865;width:316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0z1xwAAAN4AAAAPAAAAZHJzL2Rvd25yZXYueG1sRI9Ba8JA&#10;EIXvQv/DMoXedFNFkdRVikXMoZeqhR6H7Jikzc4u2dWk/fXOoeBthvfmvW9Wm8G16kpdbDwbeJ5k&#10;oIhLbxuuDJyOu/ESVEzIFlvPZOCXImzWD6MV5tb3/EHXQ6qUhHDM0UCdUsi1jmVNDuPEB2LRzr5z&#10;mGTtKm077CXctXqaZQvtsGFpqDHQtqby53BxBr7eOBS7Xpfnv214/y6W7f5y+jTm6XF4fQGVaEh3&#10;8/91YQV/PpsKr7wjM+j1DQAA//8DAFBLAQItABQABgAIAAAAIQDb4fbL7gAAAIUBAAATAAAAAAAA&#10;AAAAAAAAAAAAAABbQ29udGVudF9UeXBlc10ueG1sUEsBAi0AFAAGAAgAAAAhAFr0LFu/AAAAFQEA&#10;AAsAAAAAAAAAAAAAAAAAHwEAAF9yZWxzLy5yZWxzUEsBAi0AFAAGAAgAAAAhAEBXTPXHAAAA3gAA&#10;AA8AAAAAAAAAAAAAAAAABwIAAGRycy9kb3ducmV2LnhtbFBLBQYAAAAAAwADALcAAAD7AgAAAAA=&#10;" filled="f" stroked="f">
                  <v:textbox inset="0,0,0,0">
                    <w:txbxContent>
                      <w:p w14:paraId="686E80C8" w14:textId="77777777" w:rsidR="00B32EF2" w:rsidRDefault="00000000">
                        <w:r>
                          <w:rPr>
                            <w:rFonts w:ascii="Arial" w:eastAsia="Arial" w:hAnsi="Arial" w:cs="Arial"/>
                            <w:i/>
                            <w:sz w:val="18"/>
                          </w:rPr>
                          <w:t>artt. da 323 a 338 c.p.c. escluso art. 325 c.p.c.</w:t>
                        </w:r>
                      </w:p>
                    </w:txbxContent>
                  </v:textbox>
                </v:rect>
                <v:shape id="Shape 15329" o:spid="_x0000_s1915" style="position:absolute;left:316;top:42622;width:39600;height:3689;visibility:visible;mso-wrap-style:square;v-text-anchor:top" coordsize="3960000,368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SPNwwAAAN4AAAAPAAAAZHJzL2Rvd25yZXYueG1sRE9Li8Iw&#10;EL4v+B/CCN40VXdFq1FEFPSy4uPgcWjGtraZlCZq/fcbQdjbfHzPmS0aU4oH1S63rKDfi0AQJ1bn&#10;nCo4nzbdMQjnkTWWlknBixws5q2vGcbaPvlAj6NPRQhhF6OCzPsqltIlGRl0PVsRB+5qa4M+wDqV&#10;usZnCDelHETRSBrMOTRkWNEqo6Q43o0Cbb6Hd/u7M8X60j+9bvtzmh8KpTrtZjkF4anx/+KPe6vD&#10;/J/hYALvd8INcv4HAAD//wMAUEsBAi0AFAAGAAgAAAAhANvh9svuAAAAhQEAABMAAAAAAAAAAAAA&#10;AAAAAAAAAFtDb250ZW50X1R5cGVzXS54bWxQSwECLQAUAAYACAAAACEAWvQsW78AAAAVAQAACwAA&#10;AAAAAAAAAAAAAAAfAQAAX3JlbHMvLnJlbHNQSwECLQAUAAYACAAAACEAKs0jzcMAAADeAAAADwAA&#10;AAAAAAAAAAAAAAAHAgAAZHJzL2Rvd25yZXYueG1sUEsFBgAAAAADAAMAtwAAAPcCAAAAAA==&#10;" path="m,368897r3960000,l3960000,,,,,368897xe" filled="f" strokeweight="1pt">
                  <v:stroke miterlimit="1" joinstyle="miter"/>
                  <v:path arrowok="t" textboxrect="0,0,3960000,368897"/>
                </v:shape>
                <v:shape id="Shape 207763" o:spid="_x0000_s1916" style="position:absolute;left:380;top:4731;width:39600;height:14093;visibility:visible;mso-wrap-style:square;v-text-anchor:top" coordsize="3960000,140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73myAAAAN8AAAAPAAAAZHJzL2Rvd25yZXYueG1sRI9PawIx&#10;FMTvQr9DeIXeNKkFt2yNIv0Dgie1h3p73Tw3oZuX7SbVrZ/eCILHYWZ+w0znvW/EgbroAmt4HCkQ&#10;xFUwjmsNn9uP4TOImJANNoFJwz9FmM/uBlMsTTjymg6bVIsM4ViiBptSW0oZK0se4yi0xNnbh85j&#10;yrKrpenwmOG+kWOlJtKj47xgsaVXS9XP5s9rKNT7zn0vq3q1s1/qtHCnffh90/rhvl+8gEjUp1v4&#10;2l4aDWNVFJMnuPzJX0DOzgAAAP//AwBQSwECLQAUAAYACAAAACEA2+H2y+4AAACFAQAAEwAAAAAA&#10;AAAAAAAAAAAAAAAAW0NvbnRlbnRfVHlwZXNdLnhtbFBLAQItABQABgAIAAAAIQBa9CxbvwAAABUB&#10;AAALAAAAAAAAAAAAAAAAAB8BAABfcmVscy8ucmVsc1BLAQItABQABgAIAAAAIQCAA73myAAAAN8A&#10;AAAPAAAAAAAAAAAAAAAAAAcCAABkcnMvZG93bnJldi54bWxQSwUGAAAAAAMAAwC3AAAA/AIAAAAA&#10;" path="m,l3960000,r,1409294l,1409294,,e" fillcolor="#c3c3c3" stroked="f" strokeweight="0">
                  <v:stroke miterlimit="1" joinstyle="miter"/>
                  <v:path arrowok="t" textboxrect="0,0,3960000,1409294"/>
                </v:shape>
                <v:rect id="Rectangle 15331" o:spid="_x0000_s1917" style="position:absolute;left:23350;top:1661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HO1xAAAAN4AAAAPAAAAZHJzL2Rvd25yZXYueG1sRE9Li8Iw&#10;EL4L+x/CLHjT1JUVqUZZXGR78LI+wOPQjG21mYQm2uqv3ywI3ubje8582Zla3KjxlWUFo2ECgji3&#10;uuJCwX63HkxB+ICssbZMCu7kYbl4680x1bblX7ptQyFiCPsUFZQhuFRKn5dk0A+tI47cyTYGQ4RN&#10;IXWDbQw3tfxIkok0WHFsKNHRqqT8sr0aBcdvdtm6lfnpsXKbczatf677g1L99+5rBiJQF17ipzvT&#10;cf7neDyC/3fiDXLxBwAA//8DAFBLAQItABQABgAIAAAAIQDb4fbL7gAAAIUBAAATAAAAAAAAAAAA&#10;AAAAAAAAAABbQ29udGVudF9UeXBlc10ueG1sUEsBAi0AFAAGAAgAAAAhAFr0LFu/AAAAFQEAAAsA&#10;AAAAAAAAAAAAAAAAHwEAAF9yZWxzLy5yZWxzUEsBAi0AFAAGAAgAAAAhAFS0c7XEAAAA3gAAAA8A&#10;AAAAAAAAAAAAAAAABwIAAGRycy9kb3ducmV2LnhtbFBLBQYAAAAAAwADALcAAAD4AgAAAAA=&#10;" filled="f" stroked="f">
                  <v:textbox inset="0,0,0,0">
                    <w:txbxContent>
                      <w:p w14:paraId="6BB1B18E" w14:textId="77777777" w:rsidR="00B32EF2" w:rsidRDefault="00000000">
                        <w:r>
                          <w:rPr>
                            <w:rFonts w:ascii="Arial" w:eastAsia="Arial" w:hAnsi="Arial" w:cs="Arial"/>
                            <w:b/>
                            <w:i/>
                            <w:sz w:val="18"/>
                          </w:rPr>
                          <w:t>NORME RICHIAMATE</w:t>
                        </w:r>
                      </w:p>
                    </w:txbxContent>
                  </v:textbox>
                </v:rect>
                <v:rect id="Rectangle 15332" o:spid="_x0000_s1918" style="position:absolute;left:14947;top:15379;width:242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u3CxAAAAN4AAAAPAAAAZHJzL2Rvd25yZXYueG1sRE9Ni8Iw&#10;EL0v+B/CCN7WVGUX6RpFFLEHL7ou7HFoxrbaTEITbfXXb4QFb/N4nzNbdKYWN2p8ZVnBaJiAIM6t&#10;rrhQcPzevE9B+ICssbZMCu7kYTHvvc0w1bblPd0OoRAxhH2KCsoQXCqlz0sy6IfWEUfuZBuDIcKm&#10;kLrBNoabWo6T5FMarDg2lOhoVVJ+OVyNgt81u2zTyvz0WLndOZvW2+vxR6lBv1t+gQjUhZf4353p&#10;OP9jMhnD8514g5z/AQAA//8DAFBLAQItABQABgAIAAAAIQDb4fbL7gAAAIUBAAATAAAAAAAAAAAA&#10;AAAAAAAAAABbQ29udGVudF9UeXBlc10ueG1sUEsBAi0AFAAGAAgAAAAhAFr0LFu/AAAAFQEAAAsA&#10;AAAAAAAAAAAAAAAAHwEAAF9yZWxzLy5yZWxzUEsBAi0AFAAGAAgAAAAhAKRm7cLEAAAA3gAAAA8A&#10;AAAAAAAAAAAAAAAABwIAAGRycy9kb3ducmV2LnhtbFBLBQYAAAAAAwADALcAAAD4AgAAAAA=&#10;" filled="f" stroked="f">
                  <v:textbox inset="0,0,0,0">
                    <w:txbxContent>
                      <w:p w14:paraId="5762FD45" w14:textId="77777777" w:rsidR="00B32EF2" w:rsidRDefault="00000000">
                        <w:r>
                          <w:rPr>
                            <w:rFonts w:ascii="Arial" w:eastAsia="Arial" w:hAnsi="Arial" w:cs="Arial"/>
                            <w:i/>
                            <w:sz w:val="18"/>
                          </w:rPr>
                          <w:t>art. 395 c.p.c. “Casi di revocazione”</w:t>
                        </w:r>
                      </w:p>
                    </w:txbxContent>
                  </v:textbox>
                </v:rect>
                <v:rect id="Rectangle 15333" o:spid="_x0000_s1919" style="position:absolute;left:-11815;top:14146;width:5102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khZxAAAAN4AAAAPAAAAZHJzL2Rvd25yZXYueG1sRE9Na8JA&#10;EL0X/A/LCN7qxoYWia4iijQHL7UKHofsmESzs0t2NdFf3y0UepvH+5z5sjeNuFPra8sKJuMEBHFh&#10;dc2lgsP39nUKwgdkjY1lUvAgD8vF4GWOmbYdf9F9H0oRQ9hnqKAKwWVS+qIig35sHXHkzrY1GCJs&#10;S6lb7GK4aeRbknxIgzXHhgodrSsqrvubUXDasMu3nSzOz7XbXfJp83k7HJUaDfvVDESgPvyL/9y5&#10;jvPf0zSF33fiDXLxAwAA//8DAFBLAQItABQABgAIAAAAIQDb4fbL7gAAAIUBAAATAAAAAAAAAAAA&#10;AAAAAAAAAABbQ29udGVudF9UeXBlc10ueG1sUEsBAi0AFAAGAAgAAAAhAFr0LFu/AAAAFQEAAAsA&#10;AAAAAAAAAAAAAAAAHwEAAF9yZWxzLy5yZWxzUEsBAi0AFAAGAAgAAAAhAMsqSFnEAAAA3gAAAA8A&#10;AAAAAAAAAAAAAAAABwIAAGRycy9kb3ducmV2LnhtbFBLBQYAAAAAAwADALcAAAD4AgAAAAA=&#10;" filled="f" stroked="f">
                  <v:textbox inset="0,0,0,0">
                    <w:txbxContent>
                      <w:p w14:paraId="5B48A7E8" w14:textId="77777777" w:rsidR="00B32EF2" w:rsidRDefault="00000000">
                        <w:r>
                          <w:rPr>
                            <w:rFonts w:ascii="Arial" w:eastAsia="Arial" w:hAnsi="Arial" w:cs="Arial"/>
                            <w:i/>
                            <w:sz w:val="18"/>
                          </w:rPr>
                          <w:t xml:space="preserve"> Le sentenze pronunciate in grado d’appello o in un unico grado , possono </w:t>
                        </w:r>
                      </w:p>
                    </w:txbxContent>
                  </v:textbox>
                </v:rect>
                <v:rect id="Rectangle 15334" o:spid="_x0000_s1920" style="position:absolute;left:15297;top:12912;width:238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9AtxQAAAN4AAAAPAAAAZHJzL2Rvd25yZXYueG1sRE9La8JA&#10;EL4X/A/LCN7qprWKRFcpiphDL/UBHofsmMRmZ5fsamJ/fbcgeJuP7znzZWdqcaPGV5YVvA0TEMS5&#10;1RUXCg77zesUhA/IGmvLpOBOHpaL3sscU21b/qbbLhQihrBPUUEZgkul9HlJBv3QOuLInW1jMETY&#10;FFI32MZwU8v3JJlIgxXHhhIdrUrKf3ZXo+C0ZpdtWpmff1fu65JN6+31cFRq0O8+ZyACdeEpfrgz&#10;HeePR6MP+H8n3iAXfwAAAP//AwBQSwECLQAUAAYACAAAACEA2+H2y+4AAACFAQAAEwAAAAAAAAAA&#10;AAAAAAAAAAAAW0NvbnRlbnRfVHlwZXNdLnhtbFBLAQItABQABgAIAAAAIQBa9CxbvwAAABUBAAAL&#10;AAAAAAAAAAAAAAAAAB8BAABfcmVscy8ucmVsc1BLAQItABQABgAIAAAAIQBEw9AtxQAAAN4AAAAP&#10;AAAAAAAAAAAAAAAAAAcCAABkcnMvZG93bnJldi54bWxQSwUGAAAAAAMAAwC3AAAA+QIAAAAA&#10;" filled="f" stroked="f">
                  <v:textbox inset="0,0,0,0">
                    <w:txbxContent>
                      <w:p w14:paraId="7472E414" w14:textId="77777777" w:rsidR="00B32EF2" w:rsidRDefault="00000000">
                        <w:r>
                          <w:rPr>
                            <w:rFonts w:ascii="Arial" w:eastAsia="Arial" w:hAnsi="Arial" w:cs="Arial"/>
                            <w:i/>
                            <w:sz w:val="18"/>
                          </w:rPr>
                          <w:t>essere impugnate per revocazione:</w:t>
                        </w:r>
                      </w:p>
                    </w:txbxContent>
                  </v:textbox>
                </v:rect>
                <v:rect id="Rectangle 199999" o:spid="_x0000_s1921" style="position:absolute;left:-4733;top:11679;width:429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zg7xQAAAN8AAAAPAAAAZHJzL2Rvd25yZXYueG1sRI9Pi8Iw&#10;EMXvgt8hjLA3Td3Dol2jiItsD178B3scmrGtNpPQRNv10xtBcG4/3ps3b2aLztTiRo2vLCsYjxIQ&#10;xLnVFRcKDvv1cALCB2SNtWVS8E8eFvN+b4apti1v6bYLhYgh7FNUUIbgUil9XpJBP7KOOGon2xgM&#10;EZtC6gbbGG5q+ZkkX9JgxfFCiY5WJeWX3dUo+Pthl61bmZ/uK7c5Z5P693o4KvUx6JbfIAJ14W1+&#10;bWc61p8+B57/RAA5fwAAAP//AwBQSwECLQAUAAYACAAAACEA2+H2y+4AAACFAQAAEwAAAAAAAAAA&#10;AAAAAAAAAAAAW0NvbnRlbnRfVHlwZXNdLnhtbFBLAQItABQABgAIAAAAIQBa9CxbvwAAABUBAAAL&#10;AAAAAAAAAAAAAAAAAB8BAABfcmVscy8ucmVsc1BLAQItABQABgAIAAAAIQBT4zg7xQAAAN8AAAAP&#10;AAAAAAAAAAAAAAAAAAcCAABkcnMvZG93bnJldi54bWxQSwUGAAAAAAMAAwC3AAAA+QIAAAAA&#10;" filled="f" stroked="f">
                  <v:textbox inset="0,0,0,0">
                    <w:txbxContent>
                      <w:p w14:paraId="2AEA2495" w14:textId="77777777" w:rsidR="00B32EF2" w:rsidRDefault="00000000">
                        <w:r>
                          <w:rPr>
                            <w:rFonts w:ascii="Arial" w:eastAsia="Arial" w:hAnsi="Arial" w:cs="Arial"/>
                            <w:i/>
                            <w:sz w:val="18"/>
                          </w:rPr>
                          <w:t xml:space="preserve"> se sono l’effetto del dolo di una delle parti in danno dell’altra;</w:t>
                        </w:r>
                      </w:p>
                    </w:txbxContent>
                  </v:textbox>
                </v:rect>
                <v:rect id="Rectangle 199998" o:spid="_x0000_s1922" style="position:absolute;left:27567;top:11679;width:429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52gxgAAAN8AAAAPAAAAZHJzL2Rvd25yZXYueG1sRI9Bb8Iw&#10;DIXvk/YfIk/iNlJ2mFghIMSE1gOXMZA4Wo1pC40TNYEWfv18mDTfPvm95+f5cnCtulEXG88GJuMM&#10;FHHpbcOVgf3P5nUKKiZki61nMnCnCMvF89Mcc+t7/qbbLlVKQjjmaKBOKeRax7Imh3HsA7HsTr5z&#10;mAS7StsOewl3rX7LsnftsGG5UGOgdU3lZXd1Bo6fHIpNr8vTYx2252Lafl33B2NGL8NqBirRkP7F&#10;f+7CSv0PGSks/wiAXvwCAAD//wMAUEsBAi0AFAAGAAgAAAAhANvh9svuAAAAhQEAABMAAAAAAAAA&#10;AAAAAAAAAAAAAFtDb250ZW50X1R5cGVzXS54bWxQSwECLQAUAAYACAAAACEAWvQsW78AAAAVAQAA&#10;CwAAAAAAAAAAAAAAAAAfAQAAX3JlbHMvLnJlbHNQSwECLQAUAAYACAAAACEAPK+doMYAAADfAAAA&#10;DwAAAAAAAAAAAAAAAAAHAgAAZHJzL2Rvd25yZXYueG1sUEsFBgAAAAADAAMAtwAAAPoCAAAAAA==&#10;" filled="f" stroked="f">
                  <v:textbox inset="0,0,0,0">
                    <w:txbxContent>
                      <w:p w14:paraId="18CFA741" w14:textId="77777777" w:rsidR="00B32EF2" w:rsidRDefault="00000000">
                        <w:r>
                          <w:rPr>
                            <w:rFonts w:ascii="Arial" w:eastAsia="Arial" w:hAnsi="Arial" w:cs="Arial"/>
                            <w:i/>
                            <w:sz w:val="18"/>
                          </w:rPr>
                          <w:t>1)</w:t>
                        </w:r>
                      </w:p>
                    </w:txbxContent>
                  </v:textbox>
                </v:rect>
                <v:rect id="Rectangle 199996" o:spid="_x0000_s1923" style="position:absolute;left:25483;top:10446;width:511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KxJxwAAAN8AAAAPAAAAZHJzL2Rvd25yZXYueG1sRI9Ba8Mw&#10;DIXvhf0Ho0FvrbMdSpbVLSMjNIdd1rWwo4jVJG0sm9hNsv76ejCYbh/v6elpvZ1MJwbqfWtZwdMy&#10;AUFcWd1yreDwVSxSED4ga+wsk4If8rDdPMzWmGk78icN+1CLGMI+QwVNCC6T0lcNGfRL64ijdrK9&#10;wRCxr6XucYzhppPPSbKSBluOFxp0lDdUXfZXo+D7nV1ZjLI63XL3cS7Tbnc9HJWaP05vryACTeHf&#10;/Ldd6lj/Jc4Kfv+JAHJzBwAA//8DAFBLAQItABQABgAIAAAAIQDb4fbL7gAAAIUBAAATAAAAAAAA&#10;AAAAAAAAAAAAAABbQ29udGVudF9UeXBlc10ueG1sUEsBAi0AFAAGAAgAAAAhAFr0LFu/AAAAFQEA&#10;AAsAAAAAAAAAAAAAAAAAHwEAAF9yZWxzLy5yZWxzUEsBAi0AFAAGAAgAAAAhACJ8rEnHAAAA3wAA&#10;AA8AAAAAAAAAAAAAAAAABwIAAGRycy9kb3ducmV2LnhtbFBLBQYAAAAAAwADALcAAAD7AgAAAAA=&#10;" filled="f" stroked="f">
                  <v:textbox inset="0,0,0,0">
                    <w:txbxContent>
                      <w:p w14:paraId="2974EE7A" w14:textId="77777777" w:rsidR="00B32EF2" w:rsidRDefault="00000000">
                        <w:r>
                          <w:rPr>
                            <w:rFonts w:ascii="Arial" w:eastAsia="Arial" w:hAnsi="Arial" w:cs="Arial"/>
                            <w:i/>
                            <w:sz w:val="18"/>
                          </w:rPr>
                          <w:t>2)</w:t>
                        </w:r>
                      </w:p>
                    </w:txbxContent>
                  </v:textbox>
                </v:rect>
                <v:rect id="Rectangle 199997" o:spid="_x0000_s1924" style="position:absolute;left:-12869;top:10446;width:511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nSxgAAAN8AAAAPAAAAZHJzL2Rvd25yZXYueG1sRI/NbsIw&#10;EITvlXgHa5F6AwcOBVIMQiDUHLjwJ/W4ipckbby2YkNSnh4jIXVvn2Z2dna+7EwtbtT4yrKC0TAB&#10;QZxbXXGh4HTcDqYgfEDWWFsmBX/kYbnovc0x1bblPd0OoRAxhH2KCsoQXCqlz0sy6IfWEUftYhuD&#10;IWJTSN1gG8NNLcdJ8iENVhwvlOhoXVL+e7gaBd8bdtm2lfnlvna7n2xaf11PZ6Xe+93qE0SgLvyb&#10;X9uZjvVncSbw/CcCyMUDAAD//wMAUEsBAi0AFAAGAAgAAAAhANvh9svuAAAAhQEAABMAAAAAAAAA&#10;AAAAAAAAAAAAAFtDb250ZW50X1R5cGVzXS54bWxQSwECLQAUAAYACAAAACEAWvQsW78AAAAVAQAA&#10;CwAAAAAAAAAAAAAAAAAfAQAAX3JlbHMvLnJlbHNQSwECLQAUAAYACAAAACEATTAJ0sYAAADfAAAA&#10;DwAAAAAAAAAAAAAAAAAHAgAAZHJzL2Rvd25yZXYueG1sUEsFBgAAAAADAAMAtwAAAPoCAAAAAA==&#10;" filled="f" stroked="f">
                  <v:textbox inset="0,0,0,0">
                    <w:txbxContent>
                      <w:p w14:paraId="053E423A" w14:textId="77777777" w:rsidR="00B32EF2" w:rsidRDefault="00000000">
                        <w:r>
                          <w:rPr>
                            <w:rFonts w:ascii="Arial" w:eastAsia="Arial" w:hAnsi="Arial" w:cs="Arial"/>
                            <w:i/>
                            <w:sz w:val="18"/>
                          </w:rPr>
                          <w:t xml:space="preserve"> se si è giudicato in base a prove riconosciute o comunque dichiarate </w:t>
                        </w:r>
                      </w:p>
                    </w:txbxContent>
                  </v:textbox>
                </v:rect>
                <v:rect id="Rectangle 15337" o:spid="_x0000_s1925" style="position:absolute;left:-11825;top:9212;width:510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U5axQAAAN4AAAAPAAAAZHJzL2Rvd25yZXYueG1sRE9La8JA&#10;EL4X/A/LCN7qppWqRFcpiphDL/UBHofsmMRmZ5fsamJ/fbcgeJuP7znzZWdqcaPGV5YVvA0TEMS5&#10;1RUXCg77zesUhA/IGmvLpOBOHpaL3sscU21b/qbbLhQihrBPUUEZgkul9HlJBv3QOuLInW1jMETY&#10;FFI32MZwU8v3JBlLgxXHhhIdrUrKf3ZXo+C0ZpdtWpmff1fu65JN6+31cFRq0O8+ZyACdeEpfrgz&#10;Hed/jEYT+H8n3iAXfwAAAP//AwBQSwECLQAUAAYACAAAACEA2+H2y+4AAACFAQAAEwAAAAAAAAAA&#10;AAAAAAAAAAAAW0NvbnRlbnRfVHlwZXNdLnhtbFBLAQItABQABgAIAAAAIQBa9CxbvwAAABUBAAAL&#10;AAAAAAAAAAAAAAAAAB8BAABfcmVscy8ucmVsc1BLAQItABQABgAIAAAAIQC0EU5axQAAAN4AAAAP&#10;AAAAAAAAAAAAAAAAAAcCAABkcnMvZG93bnJldi54bWxQSwUGAAAAAAMAAwC3AAAA+QIAAAAA&#10;" filled="f" stroked="f">
                  <v:textbox inset="0,0,0,0">
                    <w:txbxContent>
                      <w:p w14:paraId="732C9D94" w14:textId="77777777" w:rsidR="00B32EF2" w:rsidRDefault="00000000">
                        <w:r>
                          <w:rPr>
                            <w:rFonts w:ascii="Arial" w:eastAsia="Arial" w:hAnsi="Arial" w:cs="Arial"/>
                            <w:i/>
                            <w:sz w:val="18"/>
                          </w:rPr>
                          <w:t xml:space="preserve">false dopo la sentenza oppure che la parte soccombente ignorava essere </w:t>
                        </w:r>
                      </w:p>
                    </w:txbxContent>
                  </v:textbox>
                </v:rect>
                <v:rect id="Rectangle 15338" o:spid="_x0000_s1926" style="position:absolute;left:1450;top:7979;width:377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tooyAAAAN4AAAAPAAAAZHJzL2Rvd25yZXYueG1sRI9Pa8JA&#10;EMXvQr/DMgVvumnFIqmrFIs0h178U+hxyI5J2uzskl1N7Kd3DkJvM7w37/1muR5cqy7Uxcazgadp&#10;Boq49LbhysDxsJ0sQMWEbLH1TAauFGG9ehgtMbe+5x1d9qlSEsIxRwN1SiHXOpY1OYxTH4hFO/nO&#10;YZK1q7TtsJdw1+rnLHvRDhuWhhoDbWoqf/dnZ+D7nUOx7XV5+tuEz59i0X6cj1/GjB+Ht1dQiYb0&#10;b75fF1bw57OZ8Mo7MoNe3QAAAP//AwBQSwECLQAUAAYACAAAACEA2+H2y+4AAACFAQAAEwAAAAAA&#10;AAAAAAAAAAAAAAAAW0NvbnRlbnRfVHlwZXNdLnhtbFBLAQItABQABgAIAAAAIQBa9CxbvwAAABUB&#10;AAALAAAAAAAAAAAAAAAAAB8BAABfcmVscy8ucmVsc1BLAQItABQABgAIAAAAIQDFjtooyAAAAN4A&#10;AAAPAAAAAAAAAAAAAAAAAAcCAABkcnMvZG93bnJldi54bWxQSwUGAAAAAAMAAwC3AAAA/AIAAAAA&#10;" filled="f" stroked="f">
                  <v:textbox inset="0,0,0,0">
                    <w:txbxContent>
                      <w:p w14:paraId="2E363542" w14:textId="77777777" w:rsidR="00B32EF2" w:rsidRDefault="00000000">
                        <w:r>
                          <w:rPr>
                            <w:rFonts w:ascii="Arial" w:eastAsia="Arial" w:hAnsi="Arial" w:cs="Arial"/>
                            <w:i/>
                            <w:sz w:val="18"/>
                          </w:rPr>
                          <w:t>state riconosciute o dichiarate tali prima della sentenza;</w:t>
                        </w:r>
                      </w:p>
                    </w:txbxContent>
                  </v:textbox>
                </v:rect>
                <v:rect id="Rectangle 199995" o:spid="_x0000_s1927" style="position:absolute;left:-12850;top:6746;width:510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jI+xgAAAN8AAAAPAAAAZHJzL2Rvd25yZXYueG1sRI9Pa8JA&#10;EMXvBb/DMkJvulGoaOoqokhz8OI/6HHIjkna7OySXU3qp3cFoXP78d68eTNfdqYWN2p8ZVnBaJiA&#10;IM6trrhQcDpuB1MQPiBrrC2Tgj/ysFz03uaYatvynm6HUIgYwj5FBWUILpXS5yUZ9EPriKN2sY3B&#10;ELEppG6wjeGmluMkmUiDFccLJTpal5T/Hq5GwfeGXbZtZX65r93uJ5vWX9fTWan3frf6BBGoC//m&#10;13amY/1ZnA94/hMB5OIBAAD//wMAUEsBAi0AFAAGAAgAAAAhANvh9svuAAAAhQEAABMAAAAAAAAA&#10;AAAAAAAAAAAAAFtDb250ZW50X1R5cGVzXS54bWxQSwECLQAUAAYACAAAACEAWvQsW78AAAAVAQAA&#10;CwAAAAAAAAAAAAAAAAAfAQAAX3JlbHMvLnJlbHNQSwECLQAUAAYACAAAACEA0q4yPsYAAADfAAAA&#10;DwAAAAAAAAAAAAAAAAAHAgAAZHJzL2Rvd25yZXYueG1sUEsFBgAAAAADAAMAtwAAAPoCAAAAAA==&#10;" filled="f" stroked="f">
                  <v:textbox inset="0,0,0,0">
                    <w:txbxContent>
                      <w:p w14:paraId="2ADA0D5A" w14:textId="77777777" w:rsidR="00B32EF2" w:rsidRDefault="00000000">
                        <w:r>
                          <w:rPr>
                            <w:rFonts w:ascii="Arial" w:eastAsia="Arial" w:hAnsi="Arial" w:cs="Arial"/>
                            <w:i/>
                            <w:sz w:val="18"/>
                          </w:rPr>
                          <w:t xml:space="preserve"> se dopo la sentenza sono stati trovati uno o più documenti decisivi che </w:t>
                        </w:r>
                      </w:p>
                    </w:txbxContent>
                  </v:textbox>
                </v:rect>
                <v:rect id="Rectangle 199994" o:spid="_x0000_s1928" style="position:absolute;left:25503;top:6746;width:510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pelxgAAAN8AAAAPAAAAZHJzL2Rvd25yZXYueG1sRI9Pa8JA&#10;EMXvBb/DMkJvulGKaOoqokhz8OI/6HHIjkna7OySXU3qp3cFoXP78d68eTNfdqYWN2p8ZVnBaJiA&#10;IM6trrhQcDpuB1MQPiBrrC2Tgj/ysFz03uaYatvynm6HUIgYwj5FBWUILpXS5yUZ9EPriKN2sY3B&#10;ELEppG6wjeGmluMkmUiDFccLJTpal5T/Hq5GwfeGXbZtZX65r93uJ5vWX9fTWan3frf6BBGoC//m&#10;13amY/1ZnA94/hMB5OIBAAD//wMAUEsBAi0AFAAGAAgAAAAhANvh9svuAAAAhQEAABMAAAAAAAAA&#10;AAAAAAAAAAAAAFtDb250ZW50X1R5cGVzXS54bWxQSwECLQAUAAYACAAAACEAWvQsW78AAAAVAQAA&#10;CwAAAAAAAAAAAAAAAAAfAQAAX3JlbHMvLnJlbHNQSwECLQAUAAYACAAAACEAveKXpcYAAADfAAAA&#10;DwAAAAAAAAAAAAAAAAAHAgAAZHJzL2Rvd25yZXYueG1sUEsFBgAAAAADAAMAtwAAAPoCAAAAAA==&#10;" filled="f" stroked="f">
                  <v:textbox inset="0,0,0,0">
                    <w:txbxContent>
                      <w:p w14:paraId="2B1F47AD" w14:textId="77777777" w:rsidR="00B32EF2" w:rsidRDefault="00000000">
                        <w:r>
                          <w:rPr>
                            <w:rFonts w:ascii="Arial" w:eastAsia="Arial" w:hAnsi="Arial" w:cs="Arial"/>
                            <w:i/>
                            <w:sz w:val="18"/>
                          </w:rPr>
                          <w:t>3)</w:t>
                        </w:r>
                      </w:p>
                    </w:txbxContent>
                  </v:textbox>
                </v:rect>
                <v:rect id="Rectangle 15340" o:spid="_x0000_s1929" style="position:absolute;left:-11815;top:5512;width:510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VTyAAAAN4AAAAPAAAAZHJzL2Rvd25yZXYueG1sRI9Pb8Iw&#10;DMXvk/YdIk/iNtL9Q6gjoIkJ0QOXAZN2tBrTdmucqAm049PjAxI3W35+7/1mi8G16kRdbDwbeBpn&#10;oIhLbxuuDOx3q8cpqJiQLbaeycA/RVjM7+9mmFvf8xedtqlSYsIxRwN1SiHXOpY1OYxjH4jldvCd&#10;wyRrV2nbYS/mrtXPWTbRDhuWhBoDLWsq/7ZHZ+Dnk0Ox6nV5OC/D5reYtuvj/tuY0cPw8Q4q0ZBu&#10;4ut3YaX+28urAAiOzKDnFwAAAP//AwBQSwECLQAUAAYACAAAACEA2+H2y+4AAACFAQAAEwAAAAAA&#10;AAAAAAAAAAAAAAAAW0NvbnRlbnRfVHlwZXNdLnhtbFBLAQItABQABgAIAAAAIQBa9CxbvwAAABUB&#10;AAALAAAAAAAAAAAAAAAAAB8BAABfcmVscy8ucmVsc1BLAQItABQABgAIAAAAIQBj/qVTyAAAAN4A&#10;AAAPAAAAAAAAAAAAAAAAAAcCAABkcnMvZG93bnJldi54bWxQSwUGAAAAAAMAAwC3AAAA/AIAAAAA&#10;" filled="f" stroked="f">
                  <v:textbox inset="0,0,0,0">
                    <w:txbxContent>
                      <w:p w14:paraId="20EF1469" w14:textId="77777777" w:rsidR="00B32EF2" w:rsidRDefault="00000000">
                        <w:r>
                          <w:rPr>
                            <w:rFonts w:ascii="Arial" w:eastAsia="Arial" w:hAnsi="Arial" w:cs="Arial"/>
                            <w:i/>
                            <w:sz w:val="18"/>
                          </w:rPr>
                          <w:t xml:space="preserve">la parte non aveva potuto produrre in giudizio per causa di forza maggiore </w:t>
                        </w:r>
                      </w:p>
                    </w:txbxContent>
                  </v:textbox>
                </v:rect>
                <v:shape id="Shape 15341" o:spid="_x0000_s1930" style="position:absolute;left:380;top:4731;width:39600;height:14093;visibility:visible;mso-wrap-style:square;v-text-anchor:top" coordsize="3960000,140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6x0xgAAAN4AAAAPAAAAZHJzL2Rvd25yZXYueG1sRE9Na8JA&#10;EL0X/A/LFHopukmtRaKriCKVgmJjoR6H7DQJZmdDdtWkv74rCL3N433OdN6aSlyocaVlBfEgAkGc&#10;WV1yruDrsO6PQTiPrLGyTAo6cjCf9R6mmGh75U+6pD4XIYRdggoK7+tESpcVZNANbE0cuB/bGPQB&#10;NrnUDV5DuKnkSxS9SYMlh4YCa1oWlJ3Ss1Gw/5UH/RF3y1H8vnuW25XdfXdHpZ4e28UEhKfW/4vv&#10;7o0O80fD1xhu74Qb5OwPAAD//wMAUEsBAi0AFAAGAAgAAAAhANvh9svuAAAAhQEAABMAAAAAAAAA&#10;AAAAAAAAAAAAAFtDb250ZW50X1R5cGVzXS54bWxQSwECLQAUAAYACAAAACEAWvQsW78AAAAVAQAA&#10;CwAAAAAAAAAAAAAAAAAfAQAAX3JlbHMvLnJlbHNQSwECLQAUAAYACAAAACEA1QOsdMYAAADeAAAA&#10;DwAAAAAAAAAAAAAAAAAHAgAAZHJzL2Rvd25yZXYueG1sUEsFBgAAAAADAAMAtwAAAPoCAAAAAA==&#10;" path="m,1409294r3960000,l3960000,,,,,1409294xe" filled="f" strokeweight="1pt">
                  <v:stroke miterlimit="1" joinstyle="miter"/>
                  <v:path arrowok="t" textboxrect="0,0,3960000,1409294"/>
                </v:shape>
                <w10:anchorlock/>
              </v:group>
            </w:pict>
          </mc:Fallback>
        </mc:AlternateContent>
      </w:r>
    </w:p>
    <w:p w14:paraId="38D4F33D" w14:textId="77777777" w:rsidR="00B32EF2" w:rsidRDefault="00000000">
      <w:pPr>
        <w:spacing w:after="1993"/>
        <w:ind w:left="-1440" w:right="7064"/>
      </w:pPr>
      <w:r>
        <w:rPr>
          <w:noProof/>
        </w:rPr>
        <w:lastRenderedPageBreak/>
        <mc:AlternateContent>
          <mc:Choice Requires="wpg">
            <w:drawing>
              <wp:anchor distT="0" distB="0" distL="114300" distR="114300" simplePos="0" relativeHeight="251661312" behindDoc="0" locked="0" layoutInCell="1" allowOverlap="1" wp14:anchorId="187DDDAA" wp14:editId="2FAD9375">
                <wp:simplePos x="0" y="0"/>
                <wp:positionH relativeFrom="page">
                  <wp:posOffset>2632944</wp:posOffset>
                </wp:positionH>
                <wp:positionV relativeFrom="page">
                  <wp:posOffset>397149</wp:posOffset>
                </wp:positionV>
                <wp:extent cx="134112" cy="188456"/>
                <wp:effectExtent l="0" t="0" r="0" b="0"/>
                <wp:wrapTopAndBottom/>
                <wp:docPr id="200190" name="Group 200190"/>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15415" name="Rectangle 15415"/>
                        <wps:cNvSpPr/>
                        <wps:spPr>
                          <a:xfrm rot="-10799999">
                            <a:off x="-44256" y="-62190"/>
                            <a:ext cx="178369" cy="250646"/>
                          </a:xfrm>
                          <a:prstGeom prst="rect">
                            <a:avLst/>
                          </a:prstGeom>
                          <a:ln>
                            <a:noFill/>
                          </a:ln>
                        </wps:spPr>
                        <wps:txbx>
                          <w:txbxContent>
                            <w:p w14:paraId="7A503FAF" w14:textId="77777777" w:rsidR="00B32EF2" w:rsidRDefault="00000000">
                              <w:r>
                                <w:rPr>
                                  <w:rFonts w:ascii="Times New Roman" w:eastAsia="Times New Roman" w:hAnsi="Times New Roman" w:cs="Times New Roman"/>
                                </w:rPr>
                                <w:t>92</w:t>
                              </w:r>
                            </w:p>
                          </w:txbxContent>
                        </wps:txbx>
                        <wps:bodyPr horzOverflow="overflow" vert="horz" lIns="0" tIns="0" rIns="0" bIns="0" rtlCol="0">
                          <a:noAutofit/>
                        </wps:bodyPr>
                      </wps:wsp>
                    </wpg:wgp>
                  </a:graphicData>
                </a:graphic>
              </wp:anchor>
            </w:drawing>
          </mc:Choice>
          <mc:Fallback>
            <w:pict>
              <v:group w14:anchorId="187DDDAA" id="Group 200190" o:spid="_x0000_s1931" style="position:absolute;left:0;text-align:left;margin-left:207.3pt;margin-top:31.25pt;width:10.55pt;height:14.85pt;z-index:251661312;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HnGgIAAIAEAAAOAAAAZHJzL2Uyb0RvYy54bWyklNtu3CAQhu8r9R0Q97s+xOt4rfVGVdOs&#10;KlVNlLQPwGJ8kDAgYNfePn0HfNg2kXqR+gIPAx7++Zjx7m7oODozbVopChytQ4yYoLJsRV3gnz8e&#10;VhlGxhJREi4FK/CFGXy3//hh16ucxbKRvGQaQRBh8l4VuLFW5UFgaMM6YtZSMQGLldQdsTDVdVBq&#10;0kP0jgdxGKZBL3WptKTMGPDej4t47+NXFaP2saoMs4gXGLRZP2o/Ht0Y7HckrzVRTUsnGeQdKjrS&#10;Cjh0CXVPLEEn3b4J1bVUSyMru6ayC2RVtZT5HCCbKHyVzUHLk/K51HlfqwUToH3F6d1h6ffzQasX&#10;9aSBRK9qYOFnLpeh0p17g0o0eGSXBRkbLKLgjG6SKIoxorAUZVmySUektAHub76izZd/fhfMhwZ/&#10;SekVFIe55m/+L/+XhijmsZoc8n/SqC1B/SaJNhgJ0kGZPkPhEFFzhka3h+N3L6hMboDazAlpCbW1&#10;isLbrXt8LUzcVkkSAxYEhFZpHG2nolsI3mY36XYkGG/CNPEEFxIkV9rYA5MdckaBNUjz4cn5m7Eg&#10;DLbOW5waLtwo5EPL+bjqPAB0FuwsOxwHn3WWJu7CnO8oywuwaKT+9QgdXXHZF1hOFnZNDqe7VYz4&#10;VwF34PppNvRsHGdDW/5Z+q4b9Xw6WVm1XvD1tEkYXK63fJn7jKaWdH3059zvuv449r8BAAD//wMA&#10;UEsDBBQABgAIAAAAIQD34GMw4AAAAAkBAAAPAAAAZHJzL2Rvd25yZXYueG1sTI9BT4NAEIXvJv6H&#10;zZh4swsUUJGhaRr11DSxNTHepjAFUnaXsFug/971pMfJ+/LeN/lqVp0YebCt0QjhIgDBujRVq2uE&#10;z8PbwxMI60hX1BnNCFe2sCpub3LKKjPpDx73rha+RNuMEBrn+kxKWzasyC5Mz9pnJzMocv4calkN&#10;NPly1ckoCFKpqNV+oaGeNw2X5/1FIbxPNK2X4eu4PZ821+9Dsvvahox4fzevX0A4nt0fDL/6Xh0K&#10;73Q0F11Z0SHEYZx6FCGNEhAeiJfJI4gjwnMUgSxy+f+D4gcAAP//AwBQSwECLQAUAAYACAAAACEA&#10;toM4kv4AAADhAQAAEwAAAAAAAAAAAAAAAAAAAAAAW0NvbnRlbnRfVHlwZXNdLnhtbFBLAQItABQA&#10;BgAIAAAAIQA4/SH/1gAAAJQBAAALAAAAAAAAAAAAAAAAAC8BAABfcmVscy8ucmVsc1BLAQItABQA&#10;BgAIAAAAIQByTSHnGgIAAIAEAAAOAAAAAAAAAAAAAAAAAC4CAABkcnMvZTJvRG9jLnhtbFBLAQIt&#10;ABQABgAIAAAAIQD34GMw4AAAAAkBAAAPAAAAAAAAAAAAAAAAAHQEAABkcnMvZG93bnJldi54bWxQ&#10;SwUGAAAAAAQABADzAAAAgQUAAAAA&#10;">
                <v:rect id="Rectangle 15415" o:spid="_x0000_s1932"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OSzxAAAAN4AAAAPAAAAZHJzL2Rvd25yZXYueG1sRE9Li8Iw&#10;EL4v7H8Is+BtTV1UpBplcZHtwcv6AI9DM7bVZhKaaKu/3iwI3ubje85s0ZlaXKnxlWUFg34Cgji3&#10;uuJCwW67+pyA8AFZY22ZFNzIw2L+/jbDVNuW/+i6CYWIIexTVFCG4FIpfV6SQd+3jjhyR9sYDBE2&#10;hdQNtjHc1PIrScbSYMWxoURHy5Ly8+ZiFBx+2GWrVubH+9KtT9mk/r3s9kr1PrrvKYhAXXiJn+5M&#10;x/mj4WAE/+/EG+T8AQAA//8DAFBLAQItABQABgAIAAAAIQDb4fbL7gAAAIUBAAATAAAAAAAAAAAA&#10;AAAAAAAAAABbQ29udGVudF9UeXBlc10ueG1sUEsBAi0AFAAGAAgAAAAhAFr0LFu/AAAAFQEAAAsA&#10;AAAAAAAAAAAAAAAAHwEAAF9yZWxzLy5yZWxzUEsBAi0AFAAGAAgAAAAhAKCQ5LPEAAAA3gAAAA8A&#10;AAAAAAAAAAAAAAAABwIAAGRycy9kb3ducmV2LnhtbFBLBQYAAAAAAwADALcAAAD4AgAAAAA=&#10;" filled="f" stroked="f">
                  <v:textbox inset="0,0,0,0">
                    <w:txbxContent>
                      <w:p w14:paraId="7A503FAF" w14:textId="77777777" w:rsidR="00B32EF2" w:rsidRDefault="00000000">
                        <w:r>
                          <w:rPr>
                            <w:rFonts w:ascii="Times New Roman" w:eastAsia="Times New Roman" w:hAnsi="Times New Roman" w:cs="Times New Roman"/>
                          </w:rPr>
                          <w:t>92</w:t>
                        </w:r>
                      </w:p>
                    </w:txbxContent>
                  </v:textbox>
                </v:rect>
                <w10:wrap type="topAndBottom" anchorx="page" anchory="page"/>
              </v:group>
            </w:pict>
          </mc:Fallback>
        </mc:AlternateContent>
      </w:r>
    </w:p>
    <w:p w14:paraId="5C843051" w14:textId="77777777" w:rsidR="00B32EF2" w:rsidRDefault="00000000">
      <w:pPr>
        <w:spacing w:after="0"/>
        <w:ind w:left="-296" w:right="-316"/>
      </w:pPr>
      <w:r>
        <w:rPr>
          <w:noProof/>
        </w:rPr>
        <w:lastRenderedPageBreak/>
        <mc:AlternateContent>
          <mc:Choice Requires="wpg">
            <w:drawing>
              <wp:inline distT="0" distB="0" distL="0" distR="0" wp14:anchorId="30FEBB08" wp14:editId="3759FF58">
                <wp:extent cx="3960001" cy="4691307"/>
                <wp:effectExtent l="0" t="0" r="0" b="0"/>
                <wp:docPr id="200191" name="Group 200191"/>
                <wp:cNvGraphicFramePr/>
                <a:graphic xmlns:a="http://schemas.openxmlformats.org/drawingml/2006/main">
                  <a:graphicData uri="http://schemas.microsoft.com/office/word/2010/wordprocessingGroup">
                    <wpg:wgp>
                      <wpg:cNvGrpSpPr/>
                      <wpg:grpSpPr>
                        <a:xfrm>
                          <a:off x="0" y="0"/>
                          <a:ext cx="3960001" cy="4691307"/>
                          <a:chOff x="0" y="0"/>
                          <a:chExt cx="3960001" cy="4691307"/>
                        </a:xfrm>
                      </wpg:grpSpPr>
                      <wps:wsp>
                        <wps:cNvPr id="207772" name="Shape 207772"/>
                        <wps:cNvSpPr/>
                        <wps:spPr>
                          <a:xfrm>
                            <a:off x="1" y="0"/>
                            <a:ext cx="3960000" cy="4691304"/>
                          </a:xfrm>
                          <a:custGeom>
                            <a:avLst/>
                            <a:gdLst/>
                            <a:ahLst/>
                            <a:cxnLst/>
                            <a:rect l="0" t="0" r="0" b="0"/>
                            <a:pathLst>
                              <a:path w="3960000" h="4691304">
                                <a:moveTo>
                                  <a:pt x="0" y="0"/>
                                </a:moveTo>
                                <a:lnTo>
                                  <a:pt x="3960000" y="0"/>
                                </a:lnTo>
                                <a:lnTo>
                                  <a:pt x="3960000" y="4691304"/>
                                </a:lnTo>
                                <a:lnTo>
                                  <a:pt x="0" y="4691304"/>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5417" name="Rectangle 15417"/>
                        <wps:cNvSpPr/>
                        <wps:spPr>
                          <a:xfrm rot="-10799999">
                            <a:off x="2832494" y="4470064"/>
                            <a:ext cx="1050072" cy="142889"/>
                          </a:xfrm>
                          <a:prstGeom prst="rect">
                            <a:avLst/>
                          </a:prstGeom>
                          <a:ln>
                            <a:noFill/>
                          </a:ln>
                        </wps:spPr>
                        <wps:txbx>
                          <w:txbxContent>
                            <w:p w14:paraId="125C5BF1" w14:textId="77777777" w:rsidR="00B32EF2" w:rsidRDefault="00000000">
                              <w:r>
                                <w:rPr>
                                  <w:rFonts w:ascii="Arial" w:eastAsia="Arial" w:hAnsi="Arial" w:cs="Arial"/>
                                  <w:i/>
                                  <w:sz w:val="18"/>
                                </w:rPr>
                                <w:t>metà al doppio.</w:t>
                              </w:r>
                            </w:p>
                          </w:txbxContent>
                        </wps:txbx>
                        <wps:bodyPr horzOverflow="overflow" vert="horz" lIns="0" tIns="0" rIns="0" bIns="0" rtlCol="0">
                          <a:noAutofit/>
                        </wps:bodyPr>
                      </wps:wsp>
                      <wps:wsp>
                        <wps:cNvPr id="200063" name="Rectangle 200063"/>
                        <wps:cNvSpPr/>
                        <wps:spPr>
                          <a:xfrm rot="-10799999">
                            <a:off x="-1286558" y="4346736"/>
                            <a:ext cx="5113174" cy="142889"/>
                          </a:xfrm>
                          <a:prstGeom prst="rect">
                            <a:avLst/>
                          </a:prstGeom>
                          <a:ln>
                            <a:noFill/>
                          </a:ln>
                        </wps:spPr>
                        <wps:txbx>
                          <w:txbxContent>
                            <w:p w14:paraId="39D2BA98" w14:textId="77777777" w:rsidR="00B32EF2" w:rsidRDefault="00000000">
                              <w:r>
                                <w:rPr>
                                  <w:rFonts w:ascii="Arial" w:eastAsia="Arial" w:hAnsi="Arial" w:cs="Arial"/>
                                  <w:i/>
                                  <w:sz w:val="18"/>
                                </w:rPr>
                                <w:t xml:space="preserve">. Fuori dall’ipotesi di cui all’articolo 36, comma 12, sull’ammontare delle </w:t>
                              </w:r>
                            </w:p>
                          </w:txbxContent>
                        </wps:txbx>
                        <wps:bodyPr horzOverflow="overflow" vert="horz" lIns="0" tIns="0" rIns="0" bIns="0" rtlCol="0">
                          <a:noAutofit/>
                        </wps:bodyPr>
                      </wps:wsp>
                      <wps:wsp>
                        <wps:cNvPr id="200062" name="Rectangle 200062"/>
                        <wps:cNvSpPr/>
                        <wps:spPr>
                          <a:xfrm rot="-10799999">
                            <a:off x="2549418" y="4346736"/>
                            <a:ext cx="5113176" cy="142889"/>
                          </a:xfrm>
                          <a:prstGeom prst="rect">
                            <a:avLst/>
                          </a:prstGeom>
                          <a:ln>
                            <a:noFill/>
                          </a:ln>
                        </wps:spPr>
                        <wps:txbx>
                          <w:txbxContent>
                            <w:p w14:paraId="00959929" w14:textId="77777777" w:rsidR="00B32EF2" w:rsidRDefault="00000000">
                              <w:r>
                                <w:rPr>
                                  <w:rFonts w:ascii="Arial" w:eastAsia="Arial" w:hAnsi="Arial" w:cs="Arial"/>
                                  <w:i/>
                                  <w:sz w:val="18"/>
                                </w:rPr>
                                <w:t>9</w:t>
                              </w:r>
                            </w:p>
                          </w:txbxContent>
                        </wps:txbx>
                        <wps:bodyPr horzOverflow="overflow" vert="horz" lIns="0" tIns="0" rIns="0" bIns="0" rtlCol="0">
                          <a:noAutofit/>
                        </wps:bodyPr>
                      </wps:wsp>
                      <wps:wsp>
                        <wps:cNvPr id="15419" name="Rectangle 15419"/>
                        <wps:cNvSpPr/>
                        <wps:spPr>
                          <a:xfrm rot="-10799999">
                            <a:off x="-1120610" y="4223406"/>
                            <a:ext cx="5002261" cy="142889"/>
                          </a:xfrm>
                          <a:prstGeom prst="rect">
                            <a:avLst/>
                          </a:prstGeom>
                          <a:ln>
                            <a:noFill/>
                          </a:ln>
                        </wps:spPr>
                        <wps:txbx>
                          <w:txbxContent>
                            <w:p w14:paraId="4A8D7146" w14:textId="77777777" w:rsidR="00B32EF2" w:rsidRDefault="00000000">
                              <w:r>
                                <w:rPr>
                                  <w:rFonts w:ascii="Arial" w:eastAsia="Arial" w:hAnsi="Arial" w:cs="Arial"/>
                                  <w:i/>
                                  <w:sz w:val="18"/>
                                </w:rPr>
                                <w:t>eccedenze di credito risultanti dalla dichiarazione annuale dell’ente o so</w:t>
                              </w:r>
                            </w:p>
                          </w:txbxContent>
                        </wps:txbx>
                        <wps:bodyPr horzOverflow="overflow" vert="horz" lIns="0" tIns="0" rIns="0" bIns="0" rtlCol="0">
                          <a:noAutofit/>
                        </wps:bodyPr>
                      </wps:wsp>
                      <wps:wsp>
                        <wps:cNvPr id="15420" name="Rectangle 15420"/>
                        <wps:cNvSpPr/>
                        <wps:spPr>
                          <a:xfrm rot="-10799999">
                            <a:off x="65757" y="4223406"/>
                            <a:ext cx="50622" cy="142889"/>
                          </a:xfrm>
                          <a:prstGeom prst="rect">
                            <a:avLst/>
                          </a:prstGeom>
                          <a:ln>
                            <a:noFill/>
                          </a:ln>
                        </wps:spPr>
                        <wps:txbx>
                          <w:txbxContent>
                            <w:p w14:paraId="2C0C34D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421" name="Rectangle 15421"/>
                        <wps:cNvSpPr/>
                        <wps:spPr>
                          <a:xfrm rot="-10799999">
                            <a:off x="-1219921" y="4100077"/>
                            <a:ext cx="5102944" cy="142889"/>
                          </a:xfrm>
                          <a:prstGeom prst="rect">
                            <a:avLst/>
                          </a:prstGeom>
                          <a:ln>
                            <a:noFill/>
                          </a:ln>
                        </wps:spPr>
                        <wps:txbx>
                          <w:txbxContent>
                            <w:p w14:paraId="718CEA74" w14:textId="77777777" w:rsidR="00B32EF2" w:rsidRDefault="00000000">
                              <w:r>
                                <w:rPr>
                                  <w:rFonts w:ascii="Arial" w:eastAsia="Arial" w:hAnsi="Arial" w:cs="Arial"/>
                                  <w:i/>
                                  <w:sz w:val="18"/>
                                </w:rPr>
                                <w:t xml:space="preserve">cietà controllante ovvero delle società controllate, compensate in tutto o in </w:t>
                              </w:r>
                            </w:p>
                          </w:txbxContent>
                        </wps:txbx>
                        <wps:bodyPr horzOverflow="overflow" vert="horz" lIns="0" tIns="0" rIns="0" bIns="0" rtlCol="0">
                          <a:noAutofit/>
                        </wps:bodyPr>
                      </wps:wsp>
                      <wps:wsp>
                        <wps:cNvPr id="15422" name="Rectangle 15422"/>
                        <wps:cNvSpPr/>
                        <wps:spPr>
                          <a:xfrm rot="-10799999">
                            <a:off x="-1220218" y="3976747"/>
                            <a:ext cx="5105756" cy="142889"/>
                          </a:xfrm>
                          <a:prstGeom prst="rect">
                            <a:avLst/>
                          </a:prstGeom>
                          <a:ln>
                            <a:noFill/>
                          </a:ln>
                        </wps:spPr>
                        <wps:txbx>
                          <w:txbxContent>
                            <w:p w14:paraId="3A0A8446" w14:textId="77777777" w:rsidR="00B32EF2" w:rsidRDefault="00000000">
                              <w:r>
                                <w:rPr>
                                  <w:rFonts w:ascii="Arial" w:eastAsia="Arial" w:hAnsi="Arial" w:cs="Arial"/>
                                  <w:i/>
                                  <w:sz w:val="18"/>
                                </w:rPr>
                                <w:t xml:space="preserve">parte con somme che avrebbero dovuto essere versate dalle altre società </w:t>
                              </w:r>
                            </w:p>
                          </w:txbxContent>
                        </wps:txbx>
                        <wps:bodyPr horzOverflow="overflow" vert="horz" lIns="0" tIns="0" rIns="0" bIns="0" rtlCol="0">
                          <a:noAutofit/>
                        </wps:bodyPr>
                      </wps:wsp>
                      <wps:wsp>
                        <wps:cNvPr id="15423" name="Rectangle 15423"/>
                        <wps:cNvSpPr/>
                        <wps:spPr>
                          <a:xfrm rot="-10799999">
                            <a:off x="-1122130" y="3853417"/>
                            <a:ext cx="5003782" cy="142889"/>
                          </a:xfrm>
                          <a:prstGeom prst="rect">
                            <a:avLst/>
                          </a:prstGeom>
                          <a:ln>
                            <a:noFill/>
                          </a:ln>
                        </wps:spPr>
                        <wps:txbx>
                          <w:txbxContent>
                            <w:p w14:paraId="3A489237" w14:textId="77777777" w:rsidR="00B32EF2" w:rsidRDefault="00000000">
                              <w:r>
                                <w:rPr>
                                  <w:rFonts w:ascii="Arial" w:eastAsia="Arial" w:hAnsi="Arial" w:cs="Arial"/>
                                  <w:i/>
                                  <w:sz w:val="18"/>
                                </w:rPr>
                                <w:t>controllate o dall’ente o società controllante, di cui all’articolo 73, terzo com</w:t>
                              </w:r>
                            </w:p>
                          </w:txbxContent>
                        </wps:txbx>
                        <wps:bodyPr horzOverflow="overflow" vert="horz" lIns="0" tIns="0" rIns="0" bIns="0" rtlCol="0">
                          <a:noAutofit/>
                        </wps:bodyPr>
                      </wps:wsp>
                      <wps:wsp>
                        <wps:cNvPr id="15424" name="Rectangle 15424"/>
                        <wps:cNvSpPr/>
                        <wps:spPr>
                          <a:xfrm rot="-10799999">
                            <a:off x="65757" y="3853417"/>
                            <a:ext cx="50622" cy="142889"/>
                          </a:xfrm>
                          <a:prstGeom prst="rect">
                            <a:avLst/>
                          </a:prstGeom>
                          <a:ln>
                            <a:noFill/>
                          </a:ln>
                        </wps:spPr>
                        <wps:txbx>
                          <w:txbxContent>
                            <w:p w14:paraId="563B3B8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425" name="Rectangle 15425"/>
                        <wps:cNvSpPr/>
                        <wps:spPr>
                          <a:xfrm rot="-10799999">
                            <a:off x="-1218606" y="3730088"/>
                            <a:ext cx="5098429" cy="142889"/>
                          </a:xfrm>
                          <a:prstGeom prst="rect">
                            <a:avLst/>
                          </a:prstGeom>
                          <a:ln>
                            <a:noFill/>
                          </a:ln>
                        </wps:spPr>
                        <wps:txbx>
                          <w:txbxContent>
                            <w:p w14:paraId="4DE02476" w14:textId="77777777" w:rsidR="00B32EF2" w:rsidRDefault="00000000">
                              <w:r>
                                <w:rPr>
                                  <w:rFonts w:ascii="Arial" w:eastAsia="Arial" w:hAnsi="Arial" w:cs="Arial"/>
                                  <w:i/>
                                  <w:sz w:val="18"/>
                                </w:rPr>
                                <w:t xml:space="preserve">ma, del decreto del Presidente della Repubblica 26 ottobre 1972, n. 633, si </w:t>
                              </w:r>
                            </w:p>
                          </w:txbxContent>
                        </wps:txbx>
                        <wps:bodyPr horzOverflow="overflow" vert="horz" lIns="0" tIns="0" rIns="0" bIns="0" rtlCol="0">
                          <a:noAutofit/>
                        </wps:bodyPr>
                      </wps:wsp>
                      <wps:wsp>
                        <wps:cNvPr id="15426" name="Rectangle 15426"/>
                        <wps:cNvSpPr/>
                        <wps:spPr>
                          <a:xfrm rot="-10799999">
                            <a:off x="-1219789" y="3606758"/>
                            <a:ext cx="5103613" cy="142889"/>
                          </a:xfrm>
                          <a:prstGeom prst="rect">
                            <a:avLst/>
                          </a:prstGeom>
                          <a:ln>
                            <a:noFill/>
                          </a:ln>
                        </wps:spPr>
                        <wps:txbx>
                          <w:txbxContent>
                            <w:p w14:paraId="7A4FEE4B" w14:textId="77777777" w:rsidR="00B32EF2" w:rsidRDefault="00000000">
                              <w:r>
                                <w:rPr>
                                  <w:rFonts w:ascii="Arial" w:eastAsia="Arial" w:hAnsi="Arial" w:cs="Arial"/>
                                  <w:i/>
                                  <w:sz w:val="18"/>
                                </w:rPr>
                                <w:t xml:space="preserve">applica la sanzione di cui al comma 1 quando la garanzia di cui all’articolo </w:t>
                              </w:r>
                            </w:p>
                          </w:txbxContent>
                        </wps:txbx>
                        <wps:bodyPr horzOverflow="overflow" vert="horz" lIns="0" tIns="0" rIns="0" bIns="0" rtlCol="0">
                          <a:noAutofit/>
                        </wps:bodyPr>
                      </wps:wsp>
                      <wps:wsp>
                        <wps:cNvPr id="200061" name="Rectangle 200061"/>
                        <wps:cNvSpPr/>
                        <wps:spPr>
                          <a:xfrm rot="-10799999">
                            <a:off x="-1395723" y="3483428"/>
                            <a:ext cx="5100952" cy="142889"/>
                          </a:xfrm>
                          <a:prstGeom prst="rect">
                            <a:avLst/>
                          </a:prstGeom>
                          <a:ln>
                            <a:noFill/>
                          </a:ln>
                        </wps:spPr>
                        <wps:txbx>
                          <w:txbxContent>
                            <w:p w14:paraId="261C5B03" w14:textId="77777777" w:rsidR="00B32EF2" w:rsidRDefault="00000000">
                              <w:r>
                                <w:rPr>
                                  <w:rFonts w:ascii="Arial" w:eastAsia="Arial" w:hAnsi="Arial" w:cs="Arial"/>
                                  <w:i/>
                                  <w:sz w:val="18"/>
                                </w:rPr>
                                <w:t xml:space="preserve">bis del medesimo decreto è presentata oltre il termine di novanta giorni </w:t>
                              </w:r>
                            </w:p>
                          </w:txbxContent>
                        </wps:txbx>
                        <wps:bodyPr horzOverflow="overflow" vert="horz" lIns="0" tIns="0" rIns="0" bIns="0" rtlCol="0">
                          <a:noAutofit/>
                        </wps:bodyPr>
                      </wps:wsp>
                      <wps:wsp>
                        <wps:cNvPr id="200060" name="Rectangle 200060"/>
                        <wps:cNvSpPr/>
                        <wps:spPr>
                          <a:xfrm rot="-10799999">
                            <a:off x="2443272" y="3483428"/>
                            <a:ext cx="5100952" cy="142889"/>
                          </a:xfrm>
                          <a:prstGeom prst="rect">
                            <a:avLst/>
                          </a:prstGeom>
                          <a:ln>
                            <a:noFill/>
                          </a:ln>
                        </wps:spPr>
                        <wps:txbx>
                          <w:txbxContent>
                            <w:p w14:paraId="24785C68" w14:textId="77777777" w:rsidR="00B32EF2" w:rsidRDefault="00000000">
                              <w:r>
                                <w:rPr>
                                  <w:rFonts w:ascii="Arial" w:eastAsia="Arial" w:hAnsi="Arial" w:cs="Arial"/>
                                  <w:i/>
                                  <w:sz w:val="18"/>
                                </w:rPr>
                                <w:t>38-</w:t>
                              </w:r>
                            </w:p>
                          </w:txbxContent>
                        </wps:txbx>
                        <wps:bodyPr horzOverflow="overflow" vert="horz" lIns="0" tIns="0" rIns="0" bIns="0" rtlCol="0">
                          <a:noAutofit/>
                        </wps:bodyPr>
                      </wps:wsp>
                      <wps:wsp>
                        <wps:cNvPr id="15428" name="Rectangle 15428"/>
                        <wps:cNvSpPr/>
                        <wps:spPr>
                          <a:xfrm rot="-10799999">
                            <a:off x="-1055044" y="3360099"/>
                            <a:ext cx="4936696" cy="142889"/>
                          </a:xfrm>
                          <a:prstGeom prst="rect">
                            <a:avLst/>
                          </a:prstGeom>
                          <a:ln>
                            <a:noFill/>
                          </a:ln>
                        </wps:spPr>
                        <wps:txbx>
                          <w:txbxContent>
                            <w:p w14:paraId="4EE399FE" w14:textId="77777777" w:rsidR="00B32EF2" w:rsidRDefault="00000000">
                              <w:r>
                                <w:rPr>
                                  <w:rFonts w:ascii="Arial" w:eastAsia="Arial" w:hAnsi="Arial" w:cs="Arial"/>
                                  <w:i/>
                                  <w:sz w:val="18"/>
                                </w:rPr>
                                <w:t>dalla scadenza del termine di presentazione della dichiarazione annuale.</w:t>
                              </w:r>
                            </w:p>
                          </w:txbxContent>
                        </wps:txbx>
                        <wps:bodyPr horzOverflow="overflow" vert="horz" lIns="0" tIns="0" rIns="0" bIns="0" rtlCol="0">
                          <a:noAutofit/>
                        </wps:bodyPr>
                      </wps:wsp>
                      <wps:wsp>
                        <wps:cNvPr id="200059" name="Rectangle 200059"/>
                        <wps:cNvSpPr/>
                        <wps:spPr>
                          <a:xfrm rot="-10799999">
                            <a:off x="-1349492" y="3236769"/>
                            <a:ext cx="5122296" cy="142889"/>
                          </a:xfrm>
                          <a:prstGeom prst="rect">
                            <a:avLst/>
                          </a:prstGeom>
                          <a:ln>
                            <a:noFill/>
                          </a:ln>
                        </wps:spPr>
                        <wps:txbx>
                          <w:txbxContent>
                            <w:p w14:paraId="2E7244FD" w14:textId="77777777" w:rsidR="00B32EF2" w:rsidRDefault="00000000">
                              <w:r>
                                <w:rPr>
                                  <w:rFonts w:ascii="Arial" w:eastAsia="Arial" w:hAnsi="Arial" w:cs="Arial"/>
                                  <w:i/>
                                  <w:sz w:val="18"/>
                                </w:rPr>
                                <w:t xml:space="preserve">. Le sanzioni previste nel presente articolo non si applicano quando i </w:t>
                              </w:r>
                            </w:p>
                          </w:txbxContent>
                        </wps:txbx>
                        <wps:bodyPr horzOverflow="overflow" vert="horz" lIns="0" tIns="0" rIns="0" bIns="0" rtlCol="0">
                          <a:noAutofit/>
                        </wps:bodyPr>
                      </wps:wsp>
                      <wps:wsp>
                        <wps:cNvPr id="200058" name="Rectangle 200058"/>
                        <wps:cNvSpPr/>
                        <wps:spPr>
                          <a:xfrm rot="-10799999">
                            <a:off x="2486861" y="3236769"/>
                            <a:ext cx="5122296" cy="142889"/>
                          </a:xfrm>
                          <a:prstGeom prst="rect">
                            <a:avLst/>
                          </a:prstGeom>
                          <a:ln>
                            <a:noFill/>
                          </a:ln>
                        </wps:spPr>
                        <wps:txbx>
                          <w:txbxContent>
                            <w:p w14:paraId="130DCE3B" w14:textId="77777777" w:rsidR="00B32EF2" w:rsidRDefault="00000000">
                              <w:r>
                                <w:rPr>
                                  <w:rFonts w:ascii="Arial" w:eastAsia="Arial" w:hAnsi="Arial" w:cs="Arial"/>
                                  <w:i/>
                                  <w:sz w:val="18"/>
                                </w:rPr>
                                <w:t>10</w:t>
                              </w:r>
                            </w:p>
                          </w:txbxContent>
                        </wps:txbx>
                        <wps:bodyPr horzOverflow="overflow" vert="horz" lIns="0" tIns="0" rIns="0" bIns="0" rtlCol="0">
                          <a:noAutofit/>
                        </wps:bodyPr>
                      </wps:wsp>
                      <wps:wsp>
                        <wps:cNvPr id="15430" name="Rectangle 15430"/>
                        <wps:cNvSpPr/>
                        <wps:spPr>
                          <a:xfrm rot="-10799999">
                            <a:off x="-1218981" y="3113439"/>
                            <a:ext cx="5100634" cy="142889"/>
                          </a:xfrm>
                          <a:prstGeom prst="rect">
                            <a:avLst/>
                          </a:prstGeom>
                          <a:ln>
                            <a:noFill/>
                          </a:ln>
                        </wps:spPr>
                        <wps:txbx>
                          <w:txbxContent>
                            <w:p w14:paraId="7DEA169F" w14:textId="77777777" w:rsidR="00B32EF2" w:rsidRDefault="00000000">
                              <w:r>
                                <w:rPr>
                                  <w:rFonts w:ascii="Arial" w:eastAsia="Arial" w:hAnsi="Arial" w:cs="Arial"/>
                                  <w:i/>
                                  <w:sz w:val="18"/>
                                </w:rPr>
                                <w:t xml:space="preserve">versamenti sono stati tempestivamente eseguiti a ufficio o concessionario </w:t>
                              </w:r>
                            </w:p>
                          </w:txbxContent>
                        </wps:txbx>
                        <wps:bodyPr horzOverflow="overflow" vert="horz" lIns="0" tIns="0" rIns="0" bIns="0" rtlCol="0">
                          <a:noAutofit/>
                        </wps:bodyPr>
                      </wps:wsp>
                      <wps:wsp>
                        <wps:cNvPr id="15431" name="Rectangle 15431"/>
                        <wps:cNvSpPr/>
                        <wps:spPr>
                          <a:xfrm rot="-10799999">
                            <a:off x="1835612" y="2990109"/>
                            <a:ext cx="2046039" cy="142889"/>
                          </a:xfrm>
                          <a:prstGeom prst="rect">
                            <a:avLst/>
                          </a:prstGeom>
                          <a:ln>
                            <a:noFill/>
                          </a:ln>
                        </wps:spPr>
                        <wps:txbx>
                          <w:txbxContent>
                            <w:p w14:paraId="096EF127" w14:textId="77777777" w:rsidR="00B32EF2" w:rsidRDefault="00000000">
                              <w:r>
                                <w:rPr>
                                  <w:rFonts w:ascii="Arial" w:eastAsia="Arial" w:hAnsi="Arial" w:cs="Arial"/>
                                  <w:i/>
                                  <w:sz w:val="18"/>
                                </w:rPr>
                                <w:t>diverso da quello competente.</w:t>
                              </w:r>
                            </w:p>
                          </w:txbxContent>
                        </wps:txbx>
                        <wps:bodyPr horzOverflow="overflow" vert="horz" lIns="0" tIns="0" rIns="0" bIns="0" rtlCol="0">
                          <a:noAutofit/>
                        </wps:bodyPr>
                      </wps:wsp>
                      <wps:wsp>
                        <wps:cNvPr id="15432" name="Rectangle 15432"/>
                        <wps:cNvSpPr/>
                        <wps:spPr>
                          <a:xfrm rot="-10799999">
                            <a:off x="632959" y="2866780"/>
                            <a:ext cx="3248692" cy="142889"/>
                          </a:xfrm>
                          <a:prstGeom prst="rect">
                            <a:avLst/>
                          </a:prstGeom>
                          <a:ln>
                            <a:noFill/>
                          </a:ln>
                        </wps:spPr>
                        <wps:txbx>
                          <w:txbxContent>
                            <w:p w14:paraId="4F41B27C" w14:textId="77777777" w:rsidR="00B32EF2" w:rsidRDefault="00000000">
                              <w:r>
                                <w:rPr>
                                  <w:rFonts w:ascii="Arial" w:eastAsia="Arial" w:hAnsi="Arial" w:cs="Arial"/>
                                  <w:i/>
                                  <w:sz w:val="18"/>
                                </w:rPr>
                                <w:t>art. 8 D.lgs. 218/1997 “Adempimenti successivi”</w:t>
                              </w:r>
                            </w:p>
                          </w:txbxContent>
                        </wps:txbx>
                        <wps:bodyPr horzOverflow="overflow" vert="horz" lIns="0" tIns="0" rIns="0" bIns="0" rtlCol="0">
                          <a:noAutofit/>
                        </wps:bodyPr>
                      </wps:wsp>
                      <wps:wsp>
                        <wps:cNvPr id="200057" name="Rectangle 200057"/>
                        <wps:cNvSpPr/>
                        <wps:spPr>
                          <a:xfrm rot="-10799999">
                            <a:off x="-1180848" y="2743450"/>
                            <a:ext cx="5003098" cy="142889"/>
                          </a:xfrm>
                          <a:prstGeom prst="rect">
                            <a:avLst/>
                          </a:prstGeom>
                          <a:ln>
                            <a:noFill/>
                          </a:ln>
                        </wps:spPr>
                        <wps:txbx>
                          <w:txbxContent>
                            <w:p w14:paraId="2AE3A5E4" w14:textId="77777777" w:rsidR="00B32EF2" w:rsidRDefault="00000000">
                              <w:r>
                                <w:rPr>
                                  <w:rFonts w:ascii="Arial" w:eastAsia="Arial" w:hAnsi="Arial" w:cs="Arial"/>
                                  <w:i/>
                                  <w:sz w:val="18"/>
                                </w:rPr>
                                <w:t>. Il versamento delle somme dovute per effetto dell’accertamento con ade</w:t>
                              </w:r>
                            </w:p>
                          </w:txbxContent>
                        </wps:txbx>
                        <wps:bodyPr horzOverflow="overflow" vert="horz" lIns="0" tIns="0" rIns="0" bIns="0" rtlCol="0">
                          <a:noAutofit/>
                        </wps:bodyPr>
                      </wps:wsp>
                      <wps:wsp>
                        <wps:cNvPr id="200056" name="Rectangle 200056"/>
                        <wps:cNvSpPr/>
                        <wps:spPr>
                          <a:xfrm rot="-10799999">
                            <a:off x="2576730" y="2743450"/>
                            <a:ext cx="5003099" cy="142889"/>
                          </a:xfrm>
                          <a:prstGeom prst="rect">
                            <a:avLst/>
                          </a:prstGeom>
                          <a:ln>
                            <a:noFill/>
                          </a:ln>
                        </wps:spPr>
                        <wps:txbx>
                          <w:txbxContent>
                            <w:p w14:paraId="4EBF4E86"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15434" name="Rectangle 15434"/>
                        <wps:cNvSpPr/>
                        <wps:spPr>
                          <a:xfrm rot="-10799999">
                            <a:off x="65757" y="2743450"/>
                            <a:ext cx="50622" cy="142889"/>
                          </a:xfrm>
                          <a:prstGeom prst="rect">
                            <a:avLst/>
                          </a:prstGeom>
                          <a:ln>
                            <a:noFill/>
                          </a:ln>
                        </wps:spPr>
                        <wps:txbx>
                          <w:txbxContent>
                            <w:p w14:paraId="1EC4D68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435" name="Rectangle 15435"/>
                        <wps:cNvSpPr/>
                        <wps:spPr>
                          <a:xfrm rot="-10799999">
                            <a:off x="-1175841" y="2620120"/>
                            <a:ext cx="5056350" cy="142889"/>
                          </a:xfrm>
                          <a:prstGeom prst="rect">
                            <a:avLst/>
                          </a:prstGeom>
                          <a:ln>
                            <a:noFill/>
                          </a:ln>
                        </wps:spPr>
                        <wps:txbx>
                          <w:txbxContent>
                            <w:p w14:paraId="5E50E86D" w14:textId="77777777" w:rsidR="00B32EF2" w:rsidRDefault="00000000">
                              <w:r>
                                <w:rPr>
                                  <w:rFonts w:ascii="Arial" w:eastAsia="Arial" w:hAnsi="Arial" w:cs="Arial"/>
                                  <w:i/>
                                  <w:sz w:val="18"/>
                                </w:rPr>
                                <w:t>sione è eseguito entro venti giorni dalla redazione dell’atto di cui all’articolo 7.</w:t>
                              </w:r>
                            </w:p>
                          </w:txbxContent>
                        </wps:txbx>
                        <wps:bodyPr horzOverflow="overflow" vert="horz" lIns="0" tIns="0" rIns="0" bIns="0" rtlCol="0">
                          <a:noAutofit/>
                        </wps:bodyPr>
                      </wps:wsp>
                      <wps:wsp>
                        <wps:cNvPr id="200055" name="Rectangle 200055"/>
                        <wps:cNvSpPr/>
                        <wps:spPr>
                          <a:xfrm rot="-10799999">
                            <a:off x="-1186538" y="2496791"/>
                            <a:ext cx="5003462" cy="142889"/>
                          </a:xfrm>
                          <a:prstGeom prst="rect">
                            <a:avLst/>
                          </a:prstGeom>
                          <a:ln>
                            <a:noFill/>
                          </a:ln>
                        </wps:spPr>
                        <wps:txbx>
                          <w:txbxContent>
                            <w:p w14:paraId="2E8AB531" w14:textId="77777777" w:rsidR="00B32EF2" w:rsidRDefault="00000000">
                              <w:r>
                                <w:rPr>
                                  <w:rFonts w:ascii="Arial" w:eastAsia="Arial" w:hAnsi="Arial" w:cs="Arial"/>
                                  <w:i/>
                                  <w:sz w:val="18"/>
                                </w:rPr>
                                <w:t>. Le somme dovute possono essere versate anche ratealmente in un mas</w:t>
                              </w:r>
                            </w:p>
                          </w:txbxContent>
                        </wps:txbx>
                        <wps:bodyPr horzOverflow="overflow" vert="horz" lIns="0" tIns="0" rIns="0" bIns="0" rtlCol="0">
                          <a:noAutofit/>
                        </wps:bodyPr>
                      </wps:wsp>
                      <wps:wsp>
                        <wps:cNvPr id="200054" name="Rectangle 200054"/>
                        <wps:cNvSpPr/>
                        <wps:spPr>
                          <a:xfrm rot="-10799999">
                            <a:off x="2576640" y="2496791"/>
                            <a:ext cx="5003462" cy="142889"/>
                          </a:xfrm>
                          <a:prstGeom prst="rect">
                            <a:avLst/>
                          </a:prstGeom>
                          <a:ln>
                            <a:noFill/>
                          </a:ln>
                        </wps:spPr>
                        <wps:txbx>
                          <w:txbxContent>
                            <w:p w14:paraId="69A444CA"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15437" name="Rectangle 15437"/>
                        <wps:cNvSpPr/>
                        <wps:spPr>
                          <a:xfrm rot="-10799999">
                            <a:off x="65757" y="2496790"/>
                            <a:ext cx="50622" cy="142889"/>
                          </a:xfrm>
                          <a:prstGeom prst="rect">
                            <a:avLst/>
                          </a:prstGeom>
                          <a:ln>
                            <a:noFill/>
                          </a:ln>
                        </wps:spPr>
                        <wps:txbx>
                          <w:txbxContent>
                            <w:p w14:paraId="572D64D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438" name="Rectangle 15438"/>
                        <wps:cNvSpPr/>
                        <wps:spPr>
                          <a:xfrm rot="-10799999">
                            <a:off x="-1222411" y="2373461"/>
                            <a:ext cx="5112521" cy="142889"/>
                          </a:xfrm>
                          <a:prstGeom prst="rect">
                            <a:avLst/>
                          </a:prstGeom>
                          <a:ln>
                            <a:noFill/>
                          </a:ln>
                        </wps:spPr>
                        <wps:txbx>
                          <w:txbxContent>
                            <w:p w14:paraId="5735D391" w14:textId="77777777" w:rsidR="00B32EF2" w:rsidRDefault="00000000">
                              <w:r>
                                <w:rPr>
                                  <w:rFonts w:ascii="Arial" w:eastAsia="Arial" w:hAnsi="Arial" w:cs="Arial"/>
                                  <w:i/>
                                  <w:sz w:val="18"/>
                                </w:rPr>
                                <w:t xml:space="preserve">simo di otto rate trimestrali di pari importo o in un massimo di sedici rate </w:t>
                              </w:r>
                            </w:p>
                          </w:txbxContent>
                        </wps:txbx>
                        <wps:bodyPr horzOverflow="overflow" vert="horz" lIns="0" tIns="0" rIns="0" bIns="0" rtlCol="0">
                          <a:noAutofit/>
                        </wps:bodyPr>
                      </wps:wsp>
                      <wps:wsp>
                        <wps:cNvPr id="15439" name="Rectangle 15439"/>
                        <wps:cNvSpPr/>
                        <wps:spPr>
                          <a:xfrm rot="-10799999">
                            <a:off x="-1223902" y="2250131"/>
                            <a:ext cx="5119499" cy="142889"/>
                          </a:xfrm>
                          <a:prstGeom prst="rect">
                            <a:avLst/>
                          </a:prstGeom>
                          <a:ln>
                            <a:noFill/>
                          </a:ln>
                        </wps:spPr>
                        <wps:txbx>
                          <w:txbxContent>
                            <w:p w14:paraId="3B840AB2" w14:textId="77777777" w:rsidR="00B32EF2" w:rsidRDefault="00000000">
                              <w:r>
                                <w:rPr>
                                  <w:rFonts w:ascii="Arial" w:eastAsia="Arial" w:hAnsi="Arial" w:cs="Arial"/>
                                  <w:i/>
                                  <w:sz w:val="18"/>
                                </w:rPr>
                                <w:t xml:space="preserve">trimestrali se le somme dovute superano i cinquantamila euro. L’importo </w:t>
                              </w:r>
                            </w:p>
                          </w:txbxContent>
                        </wps:txbx>
                        <wps:bodyPr horzOverflow="overflow" vert="horz" lIns="0" tIns="0" rIns="0" bIns="0" rtlCol="0">
                          <a:noAutofit/>
                        </wps:bodyPr>
                      </wps:wsp>
                      <wps:wsp>
                        <wps:cNvPr id="15440" name="Rectangle 15440"/>
                        <wps:cNvSpPr/>
                        <wps:spPr>
                          <a:xfrm rot="-10799999">
                            <a:off x="-1223670" y="2126802"/>
                            <a:ext cx="5118009" cy="142889"/>
                          </a:xfrm>
                          <a:prstGeom prst="rect">
                            <a:avLst/>
                          </a:prstGeom>
                          <a:ln>
                            <a:noFill/>
                          </a:ln>
                        </wps:spPr>
                        <wps:txbx>
                          <w:txbxContent>
                            <w:p w14:paraId="00BE81F0" w14:textId="77777777" w:rsidR="00B32EF2" w:rsidRDefault="00000000">
                              <w:r>
                                <w:rPr>
                                  <w:rFonts w:ascii="Arial" w:eastAsia="Arial" w:hAnsi="Arial" w:cs="Arial"/>
                                  <w:i/>
                                  <w:sz w:val="18"/>
                                </w:rPr>
                                <w:t xml:space="preserve">della prima rata è versato entro il termine indicato nel comma 1. Le rate </w:t>
                              </w:r>
                            </w:p>
                          </w:txbxContent>
                        </wps:txbx>
                        <wps:bodyPr horzOverflow="overflow" vert="horz" lIns="0" tIns="0" rIns="0" bIns="0" rtlCol="0">
                          <a:noAutofit/>
                        </wps:bodyPr>
                      </wps:wsp>
                      <wps:wsp>
                        <wps:cNvPr id="15441" name="Rectangle 15441"/>
                        <wps:cNvSpPr/>
                        <wps:spPr>
                          <a:xfrm rot="-10799999">
                            <a:off x="-1122525" y="2003472"/>
                            <a:ext cx="5004177" cy="142889"/>
                          </a:xfrm>
                          <a:prstGeom prst="rect">
                            <a:avLst/>
                          </a:prstGeom>
                          <a:ln>
                            <a:noFill/>
                          </a:ln>
                        </wps:spPr>
                        <wps:txbx>
                          <w:txbxContent>
                            <w:p w14:paraId="2F75CFB5" w14:textId="77777777" w:rsidR="00B32EF2" w:rsidRDefault="00000000">
                              <w:r>
                                <w:rPr>
                                  <w:rFonts w:ascii="Arial" w:eastAsia="Arial" w:hAnsi="Arial" w:cs="Arial"/>
                                  <w:i/>
                                  <w:sz w:val="18"/>
                                </w:rPr>
                                <w:t>successive alla prima devono essere versate entro l’ultimo giorno di cia</w:t>
                              </w:r>
                            </w:p>
                          </w:txbxContent>
                        </wps:txbx>
                        <wps:bodyPr horzOverflow="overflow" vert="horz" lIns="0" tIns="0" rIns="0" bIns="0" rtlCol="0">
                          <a:noAutofit/>
                        </wps:bodyPr>
                      </wps:wsp>
                      <wps:wsp>
                        <wps:cNvPr id="15442" name="Rectangle 15442"/>
                        <wps:cNvSpPr/>
                        <wps:spPr>
                          <a:xfrm rot="-10799999">
                            <a:off x="65757" y="2003472"/>
                            <a:ext cx="50622" cy="142889"/>
                          </a:xfrm>
                          <a:prstGeom prst="rect">
                            <a:avLst/>
                          </a:prstGeom>
                          <a:ln>
                            <a:noFill/>
                          </a:ln>
                        </wps:spPr>
                        <wps:txbx>
                          <w:txbxContent>
                            <w:p w14:paraId="143B389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443" name="Rectangle 15443"/>
                        <wps:cNvSpPr/>
                        <wps:spPr>
                          <a:xfrm rot="-10799999">
                            <a:off x="-1224294" y="1880142"/>
                            <a:ext cx="5121262" cy="142889"/>
                          </a:xfrm>
                          <a:prstGeom prst="rect">
                            <a:avLst/>
                          </a:prstGeom>
                          <a:ln>
                            <a:noFill/>
                          </a:ln>
                        </wps:spPr>
                        <wps:txbx>
                          <w:txbxContent>
                            <w:p w14:paraId="3FBBA3B6" w14:textId="77777777" w:rsidR="00B32EF2" w:rsidRDefault="00000000">
                              <w:r>
                                <w:rPr>
                                  <w:rFonts w:ascii="Arial" w:eastAsia="Arial" w:hAnsi="Arial" w:cs="Arial"/>
                                  <w:i/>
                                  <w:sz w:val="18"/>
                                </w:rPr>
                                <w:t xml:space="preserve">scun trimestre. Sull’importo delle rate successive alla prima sono dovuti </w:t>
                              </w:r>
                            </w:p>
                          </w:txbxContent>
                        </wps:txbx>
                        <wps:bodyPr horzOverflow="overflow" vert="horz" lIns="0" tIns="0" rIns="0" bIns="0" rtlCol="0">
                          <a:noAutofit/>
                        </wps:bodyPr>
                      </wps:wsp>
                      <wps:wsp>
                        <wps:cNvPr id="15444" name="Rectangle 15444"/>
                        <wps:cNvSpPr/>
                        <wps:spPr>
                          <a:xfrm rot="-10799999">
                            <a:off x="-1221063" y="1756813"/>
                            <a:ext cx="5108888" cy="142889"/>
                          </a:xfrm>
                          <a:prstGeom prst="rect">
                            <a:avLst/>
                          </a:prstGeom>
                          <a:ln>
                            <a:noFill/>
                          </a:ln>
                        </wps:spPr>
                        <wps:txbx>
                          <w:txbxContent>
                            <w:p w14:paraId="1D19DA64" w14:textId="77777777" w:rsidR="00B32EF2" w:rsidRDefault="00000000">
                              <w:r>
                                <w:rPr>
                                  <w:rFonts w:ascii="Arial" w:eastAsia="Arial" w:hAnsi="Arial" w:cs="Arial"/>
                                  <w:i/>
                                  <w:sz w:val="18"/>
                                </w:rPr>
                                <w:t xml:space="preserve">gli interessi calcolati dal giorno successivo al termine di versamento della </w:t>
                              </w:r>
                            </w:p>
                          </w:txbxContent>
                        </wps:txbx>
                        <wps:bodyPr horzOverflow="overflow" vert="horz" lIns="0" tIns="0" rIns="0" bIns="0" rtlCol="0">
                          <a:noAutofit/>
                        </wps:bodyPr>
                      </wps:wsp>
                      <wps:wsp>
                        <wps:cNvPr id="15445" name="Rectangle 15445"/>
                        <wps:cNvSpPr/>
                        <wps:spPr>
                          <a:xfrm rot="-10799999">
                            <a:off x="3144860" y="1633483"/>
                            <a:ext cx="736791" cy="142889"/>
                          </a:xfrm>
                          <a:prstGeom prst="rect">
                            <a:avLst/>
                          </a:prstGeom>
                          <a:ln>
                            <a:noFill/>
                          </a:ln>
                        </wps:spPr>
                        <wps:txbx>
                          <w:txbxContent>
                            <w:p w14:paraId="29F319A6" w14:textId="77777777" w:rsidR="00B32EF2" w:rsidRDefault="00000000">
                              <w:r>
                                <w:rPr>
                                  <w:rFonts w:ascii="Arial" w:eastAsia="Arial" w:hAnsi="Arial" w:cs="Arial"/>
                                  <w:i/>
                                  <w:sz w:val="18"/>
                                </w:rPr>
                                <w:t>prima rata.</w:t>
                              </w:r>
                            </w:p>
                          </w:txbxContent>
                        </wps:txbx>
                        <wps:bodyPr horzOverflow="overflow" vert="horz" lIns="0" tIns="0" rIns="0" bIns="0" rtlCol="0">
                          <a:noAutofit/>
                        </wps:bodyPr>
                      </wps:wsp>
                      <wps:wsp>
                        <wps:cNvPr id="200053" name="Rectangle 200053"/>
                        <wps:cNvSpPr/>
                        <wps:spPr>
                          <a:xfrm rot="-10799999">
                            <a:off x="-1325471" y="1510153"/>
                            <a:ext cx="5101864" cy="142889"/>
                          </a:xfrm>
                          <a:prstGeom prst="rect">
                            <a:avLst/>
                          </a:prstGeom>
                          <a:ln>
                            <a:noFill/>
                          </a:ln>
                        </wps:spPr>
                        <wps:txbx>
                          <w:txbxContent>
                            <w:p w14:paraId="213535EF" w14:textId="77777777" w:rsidR="00B32EF2" w:rsidRDefault="00000000">
                              <w:r>
                                <w:rPr>
                                  <w:rFonts w:ascii="Arial" w:eastAsia="Arial" w:hAnsi="Arial" w:cs="Arial"/>
                                  <w:i/>
                                  <w:sz w:val="18"/>
                                </w:rPr>
                                <w:t xml:space="preserve">bis. Per il versamento delle somme dovute a seguito di un accertamento </w:t>
                              </w:r>
                            </w:p>
                          </w:txbxContent>
                        </wps:txbx>
                        <wps:bodyPr horzOverflow="overflow" vert="horz" lIns="0" tIns="0" rIns="0" bIns="0" rtlCol="0">
                          <a:noAutofit/>
                        </wps:bodyPr>
                      </wps:wsp>
                      <wps:wsp>
                        <wps:cNvPr id="200052" name="Rectangle 200052"/>
                        <wps:cNvSpPr/>
                        <wps:spPr>
                          <a:xfrm rot="-10799999">
                            <a:off x="2513647" y="1510153"/>
                            <a:ext cx="5101863" cy="142889"/>
                          </a:xfrm>
                          <a:prstGeom prst="rect">
                            <a:avLst/>
                          </a:prstGeom>
                          <a:ln>
                            <a:noFill/>
                          </a:ln>
                        </wps:spPr>
                        <wps:txbx>
                          <w:txbxContent>
                            <w:p w14:paraId="19F4F612"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15447" name="Rectangle 15447"/>
                        <wps:cNvSpPr/>
                        <wps:spPr>
                          <a:xfrm rot="-10799999">
                            <a:off x="-1122267" y="1386824"/>
                            <a:ext cx="5003919" cy="142889"/>
                          </a:xfrm>
                          <a:prstGeom prst="rect">
                            <a:avLst/>
                          </a:prstGeom>
                          <a:ln>
                            <a:noFill/>
                          </a:ln>
                        </wps:spPr>
                        <wps:txbx>
                          <w:txbxContent>
                            <w:p w14:paraId="018273AD" w14:textId="77777777" w:rsidR="00B32EF2" w:rsidRDefault="00000000">
                              <w:r>
                                <w:rPr>
                                  <w:rFonts w:ascii="Arial" w:eastAsia="Arial" w:hAnsi="Arial" w:cs="Arial"/>
                                  <w:i/>
                                  <w:sz w:val="18"/>
                                </w:rPr>
                                <w:t>con adesione conseguente alla definizione di atti di recupero non è possi</w:t>
                              </w:r>
                            </w:p>
                          </w:txbxContent>
                        </wps:txbx>
                        <wps:bodyPr horzOverflow="overflow" vert="horz" lIns="0" tIns="0" rIns="0" bIns="0" rtlCol="0">
                          <a:noAutofit/>
                        </wps:bodyPr>
                      </wps:wsp>
                      <wps:wsp>
                        <wps:cNvPr id="15448" name="Rectangle 15448"/>
                        <wps:cNvSpPr/>
                        <wps:spPr>
                          <a:xfrm rot="-10799999">
                            <a:off x="65757" y="1386823"/>
                            <a:ext cx="50622" cy="142889"/>
                          </a:xfrm>
                          <a:prstGeom prst="rect">
                            <a:avLst/>
                          </a:prstGeom>
                          <a:ln>
                            <a:noFill/>
                          </a:ln>
                        </wps:spPr>
                        <wps:txbx>
                          <w:txbxContent>
                            <w:p w14:paraId="7E9973C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449" name="Rectangle 15449"/>
                        <wps:cNvSpPr/>
                        <wps:spPr>
                          <a:xfrm rot="-10799999">
                            <a:off x="-1218392" y="1263494"/>
                            <a:ext cx="5098672" cy="142889"/>
                          </a:xfrm>
                          <a:prstGeom prst="rect">
                            <a:avLst/>
                          </a:prstGeom>
                          <a:ln>
                            <a:noFill/>
                          </a:ln>
                        </wps:spPr>
                        <wps:txbx>
                          <w:txbxContent>
                            <w:p w14:paraId="7AFD3B86" w14:textId="77777777" w:rsidR="00B32EF2" w:rsidRDefault="00000000">
                              <w:r>
                                <w:rPr>
                                  <w:rFonts w:ascii="Arial" w:eastAsia="Arial" w:hAnsi="Arial" w:cs="Arial"/>
                                  <w:i/>
                                  <w:sz w:val="18"/>
                                </w:rPr>
                                <w:t xml:space="preserve">bile avvalersi della rateazione e della compensazione prevista dall’ articolo </w:t>
                              </w:r>
                            </w:p>
                          </w:txbxContent>
                        </wps:txbx>
                        <wps:bodyPr horzOverflow="overflow" vert="horz" lIns="0" tIns="0" rIns="0" bIns="0" rtlCol="0">
                          <a:noAutofit/>
                        </wps:bodyPr>
                      </wps:wsp>
                      <wps:wsp>
                        <wps:cNvPr id="200050" name="Rectangle 200050"/>
                        <wps:cNvSpPr/>
                        <wps:spPr>
                          <a:xfrm rot="-10799999">
                            <a:off x="1015700" y="1140164"/>
                            <a:ext cx="2743593" cy="142889"/>
                          </a:xfrm>
                          <a:prstGeom prst="rect">
                            <a:avLst/>
                          </a:prstGeom>
                          <a:ln>
                            <a:noFill/>
                          </a:ln>
                        </wps:spPr>
                        <wps:txbx>
                          <w:txbxContent>
                            <w:p w14:paraId="68AA30FD" w14:textId="77777777" w:rsidR="00B32EF2" w:rsidRDefault="00000000">
                              <w:r>
                                <w:rPr>
                                  <w:rFonts w:ascii="Arial" w:eastAsia="Arial" w:hAnsi="Arial" w:cs="Arial"/>
                                  <w:i/>
                                  <w:sz w:val="18"/>
                                </w:rPr>
                                <w:t xml:space="preserve"> decreto legislativo 9 luglio 1997, 241. </w:t>
                              </w:r>
                            </w:p>
                          </w:txbxContent>
                        </wps:txbx>
                        <wps:bodyPr horzOverflow="overflow" vert="horz" lIns="0" tIns="0" rIns="0" bIns="0" rtlCol="0">
                          <a:noAutofit/>
                        </wps:bodyPr>
                      </wps:wsp>
                      <wps:wsp>
                        <wps:cNvPr id="200049" name="Rectangle 200049"/>
                        <wps:cNvSpPr/>
                        <wps:spPr>
                          <a:xfrm rot="-10799999">
                            <a:off x="3078553" y="1140164"/>
                            <a:ext cx="2743593" cy="142889"/>
                          </a:xfrm>
                          <a:prstGeom prst="rect">
                            <a:avLst/>
                          </a:prstGeom>
                          <a:ln>
                            <a:noFill/>
                          </a:ln>
                        </wps:spPr>
                        <wps:txbx>
                          <w:txbxContent>
                            <w:p w14:paraId="2B569EFF" w14:textId="77777777" w:rsidR="00B32EF2" w:rsidRDefault="00000000">
                              <w:r>
                                <w:rPr>
                                  <w:rFonts w:ascii="Arial" w:eastAsia="Arial" w:hAnsi="Arial" w:cs="Arial"/>
                                  <w:i/>
                                  <w:sz w:val="18"/>
                                </w:rPr>
                                <w:t>17</w:t>
                              </w:r>
                            </w:p>
                          </w:txbxContent>
                        </wps:txbx>
                        <wps:bodyPr horzOverflow="overflow" vert="horz" lIns="0" tIns="0" rIns="0" bIns="0" rtlCol="0">
                          <a:noAutofit/>
                        </wps:bodyPr>
                      </wps:wsp>
                      <wps:wsp>
                        <wps:cNvPr id="200046" name="Rectangle 200046"/>
                        <wps:cNvSpPr/>
                        <wps:spPr>
                          <a:xfrm rot="-10799999">
                            <a:off x="2576636" y="1016834"/>
                            <a:ext cx="5003478" cy="142889"/>
                          </a:xfrm>
                          <a:prstGeom prst="rect">
                            <a:avLst/>
                          </a:prstGeom>
                          <a:ln>
                            <a:noFill/>
                          </a:ln>
                        </wps:spPr>
                        <wps:txbx>
                          <w:txbxContent>
                            <w:p w14:paraId="6C0A5F9F"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0048" name="Rectangle 200048"/>
                        <wps:cNvSpPr/>
                        <wps:spPr>
                          <a:xfrm rot="-10799999">
                            <a:off x="-1188154" y="1016834"/>
                            <a:ext cx="5003478" cy="142889"/>
                          </a:xfrm>
                          <a:prstGeom prst="rect">
                            <a:avLst/>
                          </a:prstGeom>
                          <a:ln>
                            <a:noFill/>
                          </a:ln>
                        </wps:spPr>
                        <wps:txbx>
                          <w:txbxContent>
                            <w:p w14:paraId="484C602B" w14:textId="77777777" w:rsidR="00B32EF2" w:rsidRDefault="00000000">
                              <w:r>
                                <w:rPr>
                                  <w:rFonts w:ascii="Arial" w:eastAsia="Arial" w:hAnsi="Arial" w:cs="Arial"/>
                                  <w:i/>
                                  <w:sz w:val="18"/>
                                </w:rPr>
                                <w:t>. Entro dieci giorni dal versamento dell’intero importo o di quello della pri</w:t>
                              </w:r>
                            </w:p>
                          </w:txbxContent>
                        </wps:txbx>
                        <wps:bodyPr horzOverflow="overflow" vert="horz" lIns="0" tIns="0" rIns="0" bIns="0" rtlCol="0">
                          <a:noAutofit/>
                        </wps:bodyPr>
                      </wps:wsp>
                      <wps:wsp>
                        <wps:cNvPr id="15452" name="Rectangle 15452"/>
                        <wps:cNvSpPr/>
                        <wps:spPr>
                          <a:xfrm rot="-10799999">
                            <a:off x="65757" y="1016834"/>
                            <a:ext cx="50622" cy="142889"/>
                          </a:xfrm>
                          <a:prstGeom prst="rect">
                            <a:avLst/>
                          </a:prstGeom>
                          <a:ln>
                            <a:noFill/>
                          </a:ln>
                        </wps:spPr>
                        <wps:txbx>
                          <w:txbxContent>
                            <w:p w14:paraId="1778A44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453" name="Rectangle 15453"/>
                        <wps:cNvSpPr/>
                        <wps:spPr>
                          <a:xfrm rot="-10799999">
                            <a:off x="-1122510" y="893504"/>
                            <a:ext cx="5004162" cy="142889"/>
                          </a:xfrm>
                          <a:prstGeom prst="rect">
                            <a:avLst/>
                          </a:prstGeom>
                          <a:ln>
                            <a:noFill/>
                          </a:ln>
                        </wps:spPr>
                        <wps:txbx>
                          <w:txbxContent>
                            <w:p w14:paraId="23A45FB1" w14:textId="77777777" w:rsidR="00B32EF2" w:rsidRDefault="00000000">
                              <w:r>
                                <w:rPr>
                                  <w:rFonts w:ascii="Arial" w:eastAsia="Arial" w:hAnsi="Arial" w:cs="Arial"/>
                                  <w:i/>
                                  <w:sz w:val="18"/>
                                </w:rPr>
                                <w:t>ma rata il contribuente fa pervenire all’ufficio la quietanza dell’avvenuto pa</w:t>
                              </w:r>
                            </w:p>
                          </w:txbxContent>
                        </wps:txbx>
                        <wps:bodyPr horzOverflow="overflow" vert="horz" lIns="0" tIns="0" rIns="0" bIns="0" rtlCol="0">
                          <a:noAutofit/>
                        </wps:bodyPr>
                      </wps:wsp>
                      <wps:wsp>
                        <wps:cNvPr id="15454" name="Rectangle 15454"/>
                        <wps:cNvSpPr/>
                        <wps:spPr>
                          <a:xfrm rot="-10799999">
                            <a:off x="65757" y="893504"/>
                            <a:ext cx="50622" cy="142889"/>
                          </a:xfrm>
                          <a:prstGeom prst="rect">
                            <a:avLst/>
                          </a:prstGeom>
                          <a:ln>
                            <a:noFill/>
                          </a:ln>
                        </wps:spPr>
                        <wps:txbx>
                          <w:txbxContent>
                            <w:p w14:paraId="0395FE8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455" name="Rectangle 15455"/>
                        <wps:cNvSpPr/>
                        <wps:spPr>
                          <a:xfrm rot="-10799999">
                            <a:off x="-1218949" y="770174"/>
                            <a:ext cx="5101059" cy="142889"/>
                          </a:xfrm>
                          <a:prstGeom prst="rect">
                            <a:avLst/>
                          </a:prstGeom>
                          <a:ln>
                            <a:noFill/>
                          </a:ln>
                        </wps:spPr>
                        <wps:txbx>
                          <w:txbxContent>
                            <w:p w14:paraId="4EC58EBB" w14:textId="77777777" w:rsidR="00B32EF2" w:rsidRDefault="00000000">
                              <w:r>
                                <w:rPr>
                                  <w:rFonts w:ascii="Arial" w:eastAsia="Arial" w:hAnsi="Arial" w:cs="Arial"/>
                                  <w:i/>
                                  <w:sz w:val="18"/>
                                </w:rPr>
                                <w:t xml:space="preserve">gamento. L’ufficio, verificato l’avvenuto pagamento, rilascia al contribuente </w:t>
                              </w:r>
                            </w:p>
                          </w:txbxContent>
                        </wps:txbx>
                        <wps:bodyPr horzOverflow="overflow" vert="horz" lIns="0" tIns="0" rIns="0" bIns="0" rtlCol="0">
                          <a:noAutofit/>
                        </wps:bodyPr>
                      </wps:wsp>
                      <wps:wsp>
                        <wps:cNvPr id="15456" name="Rectangle 15456"/>
                        <wps:cNvSpPr/>
                        <wps:spPr>
                          <a:xfrm rot="-10799999">
                            <a:off x="797170" y="646845"/>
                            <a:ext cx="3084481" cy="142889"/>
                          </a:xfrm>
                          <a:prstGeom prst="rect">
                            <a:avLst/>
                          </a:prstGeom>
                          <a:ln>
                            <a:noFill/>
                          </a:ln>
                        </wps:spPr>
                        <wps:txbx>
                          <w:txbxContent>
                            <w:p w14:paraId="2FD375CF" w14:textId="77777777" w:rsidR="00B32EF2" w:rsidRDefault="00000000">
                              <w:r>
                                <w:rPr>
                                  <w:rFonts w:ascii="Arial" w:eastAsia="Arial" w:hAnsi="Arial" w:cs="Arial"/>
                                  <w:i/>
                                  <w:sz w:val="18"/>
                                </w:rPr>
                                <w:t>copia dell’atto di accertamento con adesione.</w:t>
                              </w:r>
                            </w:p>
                          </w:txbxContent>
                        </wps:txbx>
                        <wps:bodyPr horzOverflow="overflow" vert="horz" lIns="0" tIns="0" rIns="0" bIns="0" rtlCol="0">
                          <a:noAutofit/>
                        </wps:bodyPr>
                      </wps:wsp>
                      <wps:wsp>
                        <wps:cNvPr id="200043" name="Rectangle 200043"/>
                        <wps:cNvSpPr/>
                        <wps:spPr>
                          <a:xfrm rot="-10799999">
                            <a:off x="2576829" y="523515"/>
                            <a:ext cx="5002702" cy="142889"/>
                          </a:xfrm>
                          <a:prstGeom prst="rect">
                            <a:avLst/>
                          </a:prstGeom>
                          <a:ln>
                            <a:noFill/>
                          </a:ln>
                        </wps:spPr>
                        <wps:txbx>
                          <w:txbxContent>
                            <w:p w14:paraId="70AE8641"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200044" name="Rectangle 200044"/>
                        <wps:cNvSpPr/>
                        <wps:spPr>
                          <a:xfrm rot="-10799999">
                            <a:off x="-1186567" y="523515"/>
                            <a:ext cx="5002702" cy="142889"/>
                          </a:xfrm>
                          <a:prstGeom prst="rect">
                            <a:avLst/>
                          </a:prstGeom>
                          <a:ln>
                            <a:noFill/>
                          </a:ln>
                        </wps:spPr>
                        <wps:txbx>
                          <w:txbxContent>
                            <w:p w14:paraId="1AF12B06" w14:textId="77777777" w:rsidR="00B32EF2" w:rsidRDefault="00000000">
                              <w:r>
                                <w:rPr>
                                  <w:rFonts w:ascii="Arial" w:eastAsia="Arial" w:hAnsi="Arial" w:cs="Arial"/>
                                  <w:i/>
                                  <w:sz w:val="18"/>
                                </w:rPr>
                                <w:t>. Per le modalità di versamento delle somme dovute si applicano le dispo</w:t>
                              </w:r>
                            </w:p>
                          </w:txbxContent>
                        </wps:txbx>
                        <wps:bodyPr horzOverflow="overflow" vert="horz" lIns="0" tIns="0" rIns="0" bIns="0" rtlCol="0">
                          <a:noAutofit/>
                        </wps:bodyPr>
                      </wps:wsp>
                      <wps:wsp>
                        <wps:cNvPr id="15458" name="Rectangle 15458"/>
                        <wps:cNvSpPr/>
                        <wps:spPr>
                          <a:xfrm rot="-10799999">
                            <a:off x="65757" y="523515"/>
                            <a:ext cx="50622" cy="142889"/>
                          </a:xfrm>
                          <a:prstGeom prst="rect">
                            <a:avLst/>
                          </a:prstGeom>
                          <a:ln>
                            <a:noFill/>
                          </a:ln>
                        </wps:spPr>
                        <wps:txbx>
                          <w:txbxContent>
                            <w:p w14:paraId="40DA292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459" name="Rectangle 15459"/>
                        <wps:cNvSpPr/>
                        <wps:spPr>
                          <a:xfrm rot="-10799999">
                            <a:off x="-1223826" y="400185"/>
                            <a:ext cx="5119423" cy="142889"/>
                          </a:xfrm>
                          <a:prstGeom prst="rect">
                            <a:avLst/>
                          </a:prstGeom>
                          <a:ln>
                            <a:noFill/>
                          </a:ln>
                        </wps:spPr>
                        <wps:txbx>
                          <w:txbxContent>
                            <w:p w14:paraId="7313DE41" w14:textId="77777777" w:rsidR="00B32EF2" w:rsidRDefault="00000000">
                              <w:r>
                                <w:rPr>
                                  <w:rFonts w:ascii="Arial" w:eastAsia="Arial" w:hAnsi="Arial" w:cs="Arial"/>
                                  <w:i/>
                                  <w:sz w:val="18"/>
                                </w:rPr>
                                <w:t xml:space="preserve">sizioni di cui all’articolo 15-bis. In caso di inadempimento nei pagamenti </w:t>
                              </w:r>
                            </w:p>
                          </w:txbxContent>
                        </wps:txbx>
                        <wps:bodyPr horzOverflow="overflow" vert="horz" lIns="0" tIns="0" rIns="0" bIns="0" rtlCol="0">
                          <a:noAutofit/>
                        </wps:bodyPr>
                      </wps:wsp>
                      <wps:wsp>
                        <wps:cNvPr id="15460" name="Rectangle 15460"/>
                        <wps:cNvSpPr/>
                        <wps:spPr>
                          <a:xfrm rot="-10799999">
                            <a:off x="-1222232" y="276856"/>
                            <a:ext cx="5113828" cy="142889"/>
                          </a:xfrm>
                          <a:prstGeom prst="rect">
                            <a:avLst/>
                          </a:prstGeom>
                          <a:ln>
                            <a:noFill/>
                          </a:ln>
                        </wps:spPr>
                        <wps:txbx>
                          <w:txbxContent>
                            <w:p w14:paraId="7613C7AD" w14:textId="77777777" w:rsidR="00B32EF2" w:rsidRDefault="00000000">
                              <w:r>
                                <w:rPr>
                                  <w:rFonts w:ascii="Arial" w:eastAsia="Arial" w:hAnsi="Arial" w:cs="Arial"/>
                                  <w:i/>
                                  <w:sz w:val="18"/>
                                </w:rPr>
                                <w:t xml:space="preserve">rateali si applicano le disposizioni di cui all’articolo 15-ter del decreto del </w:t>
                              </w:r>
                            </w:p>
                          </w:txbxContent>
                        </wps:txbx>
                        <wps:bodyPr horzOverflow="overflow" vert="horz" lIns="0" tIns="0" rIns="0" bIns="0" rtlCol="0">
                          <a:noAutofit/>
                        </wps:bodyPr>
                      </wps:wsp>
                      <wps:wsp>
                        <wps:cNvPr id="15461" name="Rectangle 15461"/>
                        <wps:cNvSpPr/>
                        <wps:spPr>
                          <a:xfrm rot="-10799999">
                            <a:off x="92182" y="153526"/>
                            <a:ext cx="3789469" cy="142889"/>
                          </a:xfrm>
                          <a:prstGeom prst="rect">
                            <a:avLst/>
                          </a:prstGeom>
                          <a:ln>
                            <a:noFill/>
                          </a:ln>
                        </wps:spPr>
                        <wps:txbx>
                          <w:txbxContent>
                            <w:p w14:paraId="0540DA2A" w14:textId="77777777" w:rsidR="00B32EF2" w:rsidRDefault="00000000">
                              <w:r>
                                <w:rPr>
                                  <w:rFonts w:ascii="Arial" w:eastAsia="Arial" w:hAnsi="Arial" w:cs="Arial"/>
                                  <w:i/>
                                  <w:sz w:val="18"/>
                                </w:rPr>
                                <w:t>Presidente della Repubblica 29 settembre 1973, n. 602.</w:t>
                              </w:r>
                            </w:p>
                          </w:txbxContent>
                        </wps:txbx>
                        <wps:bodyPr horzOverflow="overflow" vert="horz" lIns="0" tIns="0" rIns="0" bIns="0" rtlCol="0">
                          <a:noAutofit/>
                        </wps:bodyPr>
                      </wps:wsp>
                      <wps:wsp>
                        <wps:cNvPr id="15462" name="Shape 15462"/>
                        <wps:cNvSpPr/>
                        <wps:spPr>
                          <a:xfrm>
                            <a:off x="0" y="2"/>
                            <a:ext cx="3960000" cy="4691304"/>
                          </a:xfrm>
                          <a:custGeom>
                            <a:avLst/>
                            <a:gdLst/>
                            <a:ahLst/>
                            <a:cxnLst/>
                            <a:rect l="0" t="0" r="0" b="0"/>
                            <a:pathLst>
                              <a:path w="3960000" h="4691304">
                                <a:moveTo>
                                  <a:pt x="0" y="4691304"/>
                                </a:moveTo>
                                <a:lnTo>
                                  <a:pt x="3960000" y="4691304"/>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FEBB08" id="Group 200191" o:spid="_x0000_s1933" style="width:311.8pt;height:369.4pt;mso-position-horizontal-relative:char;mso-position-vertical-relative:line" coordsize="39600,46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ezhgoAAARxAAAOAAAAZHJzL2Uyb0RvYy54bWzkXWtv2zgW/b7A/gfD39vwoafRdLDo7BQL&#10;LHYG8/gBiiPHBmTLkNUk3V+/515S9ItputJiGCxbIFFoiZbu4T33wSvyww/P22b2WHeHTbu7ncv3&#10;Yj6rd8v2frN7uJ3/8ftP74r57NBXu/uqaXf17fxrfZj/8PGvf/nwtF/Uql23zX3dzdDJ7rB42t/O&#10;132/X9zcHJbrelsd3rf7eocPV223rXr82T3c3HfVE3rfNjdKiOzmqe3u9127rA8HtP5oPpx/5P5X&#10;q3rZ/7xaHep+1tzOcW89/+z45x39vPn4oVo8dNV+vVna26hG3MW22uzwpa6rH6u+mn3pNlddbTfL&#10;rj20q/79st3etKvVZlnzM+BppLh4ms9d+2XPz/KweHrYOzFBtBdyGt3t8l+Pn7v9b/tfOkjiaf8A&#10;WfBf9CzPq25Lv3GXs2cW2Vcnsvq5ny3RqMtMCCHnsyU+S7JSapEboS7XkPzVdcv131+58mb44puz&#10;23naY4AcjjI4TJPBb+tqX7NoDwvI4Jdutrm/nSuR57maz3bVFmOVz5nZNhYPn+uEdVgcIDePpCCO&#10;lySFMXiUVEKScs9bLZZfDv3numWhV4//PPRmdN4PR9V6OFo+74bDDmP8m6N7X/V0Hd0nHc6eBtRw&#10;L+sBtIRH77Z9rH9v+cz+Ajrc5vHTZnd6lhkD6G14aJw7nDH83nN/p2eawTKIYDhv+G3ON31+/5ms&#10;z+7bcUAPzCJ2QkDjqZibHcmDUKnAPqum6o0gNj1oqdlswWkqxwi3SDU79EZD0SDPR/3XpiaRNbtf&#10;6xWGEasKNRy6h7tPTTd7rIh8+B93XjX7dWVbbb/2VL5V7oeuX22axnUp+dKzLj9p+m97sCfTdTXz&#10;nrtSmCuX9m4M+YFC8NADBUIo7iL+5nbXu+t3IG7+kpOnpcO79v4r0wYLBLpJBPInKKlME5kPOvor&#10;Rn+1e2jqmWl+VU1nXQsj8E6KvKR/LBtLcKrQKikTHsdJAtQzHp2QjaUsKVIhiB9IhWWiiqK00h+o&#10;ct8ZDZ7Rwe2cdNNAbrWZhqQ9heRMw6la7NqfgLShAs8A65/vnpmdiiylrzvKfrZuu3//DOu7alqM&#10;YigvH83JIOPb6dP5rPnHDlwJsPvhoBsO7oaDrm8+tWwhzf387UvfrjZEP4ytQdr+8ecBDfsuMn2N&#10;tG2fAvU7qSDNFM4JmS2dZLnOSLZHrFMptcwxGEJhzfcTF9bO8h61mrFWw7CHpX7B+n5LrVMotXwV&#10;6iwc1OwxRQM1EXV5rdWmeZpSSyUyaZ0GpXQiLpVaCKUy662GIPBiGMmGUv/PCRyQKqBhvOmjTpvm&#10;KUhnaZ7CBSDu9sOcqYBWmp2CmNRZQaN8IMthtI/ibdhoWZbUN+Es4QzkNrQc/LFUClUm4Wx0zmFB&#10;VEh7TDSp8zQLDaSVUNZE6zLP8uQaaah8OBOdu6EcDXF7HG9CmuNNGvIjdRpQS21MtC5STaHcud8t&#10;hM6LcOyN8M5apmiQBoH62JuD39FIH030CzCHNNG5G8XRgJz6QXYZhZHqDNbO4GWTida5FqJgD/ck&#10;jBZlkSi4+4HCaETwsakz0PCps8snjEa6zJHvYqQBeY7kyTlxS6EzCasRCmk3lKPQaU6MePxu224H&#10;/UisdZnmsPSMdVJoZDqvsBZlGtBIu8EcD9aeQJqxdjHIKKxVkmhFKW0i8DcJdXTJMSibl8Bd7mgU&#10;0JjxSFNBwTIhrTFri8mPMwJPSp1lZcAYyz1gNEqdevKgpNRon0jgSHmXVquVzvLsAusUYZgKibV7&#10;wHiw9qg1Y+2G/Si9VkmRFZTSJrV+i1AXzkBFATVyJJTe8HjgaJ6m1Ii1ysIijdnJRF8pNc2XhkuH&#10;4t7sA0aDtMcBpwHgBDFKpWWh00wa9lZlibqwC6CVSDIB9EOFWkjPxQY00PCptBPEKKAzrUpyAUDd&#10;KEfIckOVx+QJylGKjMx4oJC6iCtNxtbYU1lk26eRtyxEkZgiBJWj4iRla3DEGpVFGrmycFjHlShj&#10;TD2ZMts+BWuVYgLLTnF8A+qA9B1XpowMsn+KA81TgD5OcbwAc8gpjiKuFBmB7J/iQPMUkN9JiVR3&#10;YtxulaFKHyUt6PCUudNMg86DWem4MmTM0B6obftErFEVqq2VTsosL9mTP8VaoFg0oEfmkgVRhFiM&#10;qYe7bfsUrMlKZ4kpREDV9xuEOq4UGRG4x/c2zVOAPrHSDPMVe4e00qXLCUWhz4SmJw1qmqeATBVk&#10;KpHWSqMSIUFKFB2eMLeUKqViwkCxtLEkMdUKUoLKlzNxvDYqZ0JI61LY7JhKBV7TuEIakx/hwisk&#10;bOxQjkWnyYx6kEbzVJ3G1JU10VJlBVC/1OkC85jhdDqu/BhomuIgH9LTEt6IsRTIGU49ZUKRCEtM&#10;FeYJewuBSlH4B6HY22UKotFpf8Y7ceQ2ir1PnDE/zEGdMZcpiAZkf5F34nhtFMhkolHzaUpNZFEI&#10;vGl1SdwKfB4ujEblQ2wm2hNFE587XhuNtOR3dEHcyJNlBQpAL0w0SoJRFByMuONKjhGkntyYaZ7i&#10;jGmZYC7S+GIy01QqeA40XqCmbFkwnCNMjHnImxNjU9lbqzTBC0/kjEm8YifTC6iprcDaCMGwdhFk&#10;FHaaMfV4Y7Z9ilarVOoM79q9AnWwov7SLLwSU9aE0PBFWM6OjTTUlCDLLNIaJYOKLf9ZhKVLei8/&#10;TISFKqfoXDJ/JhRFIlNU+hhhSYb5krtFwAiL0nb22aJgbnK7/ElQNE8BGREWigRtgTciKU3LFqHD&#10;U3UuiyzcUkWlcE5IFEizLfZkQW37FKzJAcNaVMZGy0TIy1WpqPgkLQPaaBdDRgO1T6sJ6olqjbUT&#10;ixTeNrtjbxLquDJkDOkLRYKJSyGNcsi4/ABrjjHU0Gm8ZHlJ4JQGD5Y4Kc3SSdF43gy1xyGz7VMI&#10;HLMbRQFX4A1j7YKLKBgcWNC7y54oC81TkD7xvf0qHdT3dnFFNCB7EmSEvXNNRzG3may0q8wVJSo/&#10;r5k7keEmN0rztlA0zE2I+ic30Py/0WY/yiGVGcPPPlo0yuyf1kidRzpSmemlSnLnkezOc0ErvkKw&#10;J3E0wi96HTtUWgwlbbEB7XG4Scen+dt5mUtbSpQlWYFJsjOYNV7OSujd2kDZT7ztGRPM7FV7rLNt&#10;t6IYpdEUWBW04BQUOlU6lRdI4z07LOgerPQAGyTEh7THPDPS0+wzxVVZauc03iTU7vmiMdKeCJq4&#10;24Ueo1T6GFb5UQ7qiDn/IxqM/TMak5esQVl3oUxCLMGOMsUlb0tZ0uqjwSy08z9iAZqqfTw5EjRP&#10;sc/8pobSMMAw0Aq22jh2px43Ji5pDaxQrlh0yTBaPcgHtAs9RrE2Vu6mZXy5iEin0OxzhxtrSWJf&#10;n3AoO5MUjTq7lKfZ1wp2GUmqV1WZguGzDcD4mqO6ui2dSF3Pd2oaNsU53W/pDW1rdX6z37O51fkV&#10;w1ZVw+/rLa6YKbHlz3DG8Pt0c6vLc5ZNe6iBCu0U9H2bV/EGVVCkFzewwsTkf7uBlWe3Ke7leLfY&#10;HoqGxtkeVXanqXHbXr2JDax4zzlstcfyt9sC0l5+p3/zPkjHzQs//gcAAP//AwBQSwMEFAAGAAgA&#10;AAAhAIiEg0HdAAAABQEAAA8AAABkcnMvZG93bnJldi54bWxMj0FLw0AQhe+C/2EZwZvdpMEYYjal&#10;FPVUBFtBvE2z0yQ0Oxuy2yT9965e7GXg8R7vfVOsZtOJkQbXWlYQLyIQxJXVLdcKPvevDxkI55E1&#10;dpZJwYUcrMrbmwJzbSf+oHHnaxFK2OWooPG+z6V0VUMG3cL2xME72sGgD3KopR5wCuWmk8soSqXB&#10;lsNCgz1tGqpOu7NR8DbhtE7il3F7Om4u3/vH969tTErd383rZxCeZv8fhl/8gA5lYDrYM2snOgXh&#10;Ef93g5cukxTEQcFTkmUgy0Je05c/AAAA//8DAFBLAQItABQABgAIAAAAIQC2gziS/gAAAOEBAAAT&#10;AAAAAAAAAAAAAAAAAAAAAABbQ29udGVudF9UeXBlc10ueG1sUEsBAi0AFAAGAAgAAAAhADj9If/W&#10;AAAAlAEAAAsAAAAAAAAAAAAAAAAALwEAAF9yZWxzLy5yZWxzUEsBAi0AFAAGAAgAAAAhAM3E57OG&#10;CgAABHEAAA4AAAAAAAAAAAAAAAAALgIAAGRycy9lMm9Eb2MueG1sUEsBAi0AFAAGAAgAAAAhAIiE&#10;g0HdAAAABQEAAA8AAAAAAAAAAAAAAAAA4AwAAGRycy9kb3ducmV2LnhtbFBLBQYAAAAABAAEAPMA&#10;AADqDQAAAAA=&#10;">
                <v:shape id="Shape 207772" o:spid="_x0000_s1934" style="position:absolute;width:39600;height:46913;visibility:visible;mso-wrap-style:square;v-text-anchor:top" coordsize="3960000,469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cHgxwAAAN8AAAAPAAAAZHJzL2Rvd25yZXYueG1sRI/NasMw&#10;EITvhb6D2EBujRwf4uJGCSGlkFNKnVx6W6yN7MRauZb8kz59VSj0OMzMN8x6O9lGDNT52rGC5SIB&#10;QVw6XbNRcD69PT2D8AFZY+OYFNzJw3bz+LDGXLuRP2goghERwj5HBVUIbS6lLyuy6BeuJY7exXUW&#10;Q5SdkbrDMcJtI9MkWUmLNceFClvaV1Teit4qMK6xx9P18/w6fk3vlwKJvo+9UvPZtHsBEWgK/+G/&#10;9kErSJMsy1L4/RO/gNz8AAAA//8DAFBLAQItABQABgAIAAAAIQDb4fbL7gAAAIUBAAATAAAAAAAA&#10;AAAAAAAAAAAAAABbQ29udGVudF9UeXBlc10ueG1sUEsBAi0AFAAGAAgAAAAhAFr0LFu/AAAAFQEA&#10;AAsAAAAAAAAAAAAAAAAAHwEAAF9yZWxzLy5yZWxzUEsBAi0AFAAGAAgAAAAhAAHRweDHAAAA3wAA&#10;AA8AAAAAAAAAAAAAAAAABwIAAGRycy9kb3ducmV2LnhtbFBLBQYAAAAAAwADALcAAAD7AgAAAAA=&#10;" path="m,l3960000,r,4691304l,4691304,,e" fillcolor="#c3c3c3" stroked="f" strokeweight="0">
                  <v:stroke miterlimit="83231f" joinstyle="miter"/>
                  <v:path arrowok="t" textboxrect="0,0,3960000,4691304"/>
                </v:shape>
                <v:rect id="Rectangle 15417" o:spid="_x0000_s1935" style="position:absolute;left:28324;top:44700;width:105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9fxQAAAN4AAAAPAAAAZHJzL2Rvd25yZXYueG1sRE9La8JA&#10;EL4X/A/LCN7qxmJVoquIRZpDL/UBHofsmESzs0t2NWl/fbcgeJuP7zmLVWdqcafGV5YVjIYJCOLc&#10;6ooLBYf99nUGwgdkjbVlUvBDHlbL3ssCU21b/qb7LhQihrBPUUEZgkul9HlJBv3QOuLInW1jMETY&#10;FFI32MZwU8u3JJlIgxXHhhIdbUrKr7ubUXD6YJdtW5mffzfu65LN6s/b4ajUoN+t5yACdeEpfrgz&#10;Hee/j0dT+H8n3iCXfwAAAP//AwBQSwECLQAUAAYACAAAACEA2+H2y+4AAACFAQAAEwAAAAAAAAAA&#10;AAAAAAAAAAAAW0NvbnRlbnRfVHlwZXNdLnhtbFBLAQItABQABgAIAAAAIQBa9CxbvwAAABUBAAAL&#10;AAAAAAAAAAAAAAAAAB8BAABfcmVscy8ucmVsc1BLAQItABQABgAIAAAAIQA/Dt9fxQAAAN4AAAAP&#10;AAAAAAAAAAAAAAAAAAcCAABkcnMvZG93bnJldi54bWxQSwUGAAAAAAMAAwC3AAAA+QIAAAAA&#10;" filled="f" stroked="f">
                  <v:textbox inset="0,0,0,0">
                    <w:txbxContent>
                      <w:p w14:paraId="125C5BF1" w14:textId="77777777" w:rsidR="00B32EF2" w:rsidRDefault="00000000">
                        <w:r>
                          <w:rPr>
                            <w:rFonts w:ascii="Arial" w:eastAsia="Arial" w:hAnsi="Arial" w:cs="Arial"/>
                            <w:i/>
                            <w:sz w:val="18"/>
                          </w:rPr>
                          <w:t>metà al doppio.</w:t>
                        </w:r>
                      </w:p>
                    </w:txbxContent>
                  </v:textbox>
                </v:rect>
                <v:rect id="Rectangle 200063" o:spid="_x0000_s1936" style="position:absolute;left:-12865;top:43467;width:511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7qgxwAAAN8AAAAPAAAAZHJzL2Rvd25yZXYueG1sRI/NasMw&#10;EITvhb6D2EJutdwEQnCihJIQ4kMvTR3IcbE2tltrJSz5J336qlDocZiZb5jNbjKtGKjzjWUFL0kK&#10;gri0uuFKQfFxfF6B8AFZY2uZFNzJw277+LDBTNuR32k4h0pECPsMFdQhuExKX9Zk0CfWEUfvZjuD&#10;IcqukrrDMcJNK+dpupQGG44LNTra11R+nXuj4Hpglx9HWd6+9+7tM1+1p764KDV7ml7XIAJN4T/8&#10;1861gkhMlwv4/RO/gNz+AAAA//8DAFBLAQItABQABgAIAAAAIQDb4fbL7gAAAIUBAAATAAAAAAAA&#10;AAAAAAAAAAAAAABbQ29udGVudF9UeXBlc10ueG1sUEsBAi0AFAAGAAgAAAAhAFr0LFu/AAAAFQEA&#10;AAsAAAAAAAAAAAAAAAAAHwEAAF9yZWxzLy5yZWxzUEsBAi0AFAAGAAgAAAAhAHJjuqDHAAAA3wAA&#10;AA8AAAAAAAAAAAAAAAAABwIAAGRycy9kb3ducmV2LnhtbFBLBQYAAAAAAwADALcAAAD7AgAAAAA=&#10;" filled="f" stroked="f">
                  <v:textbox inset="0,0,0,0">
                    <w:txbxContent>
                      <w:p w14:paraId="39D2BA98" w14:textId="77777777" w:rsidR="00B32EF2" w:rsidRDefault="00000000">
                        <w:r>
                          <w:rPr>
                            <w:rFonts w:ascii="Arial" w:eastAsia="Arial" w:hAnsi="Arial" w:cs="Arial"/>
                            <w:i/>
                            <w:sz w:val="18"/>
                          </w:rPr>
                          <w:t xml:space="preserve">. Fuori dall’ipotesi di cui all’articolo 36, comma 12, sull’ammontare delle </w:t>
                        </w:r>
                      </w:p>
                    </w:txbxContent>
                  </v:textbox>
                </v:rect>
                <v:rect id="Rectangle 200062" o:spid="_x0000_s1937" style="position:absolute;left:25494;top:43467;width:511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x87xwAAAN8AAAAPAAAAZHJzL2Rvd25yZXYueG1sRI9Pa8JA&#10;FMTvhX6H5Qm91Y0egsSsUizSHHqpVfD4yL78abNvl+yaRD99VxB6HGbmN0y+nUwnBup9a1nBYp6A&#10;IC6tbrlWcPzev65A+ICssbNMCq7kYbt5fsox03bkLxoOoRYRwj5DBU0ILpPSlw0Z9HPriKNX2d5g&#10;iLKvpe5xjHDTyWWSpNJgy3GhQUe7hsrfw8UoOL+zK/ajLKvbzn3+FKvu43I8KfUym97WIAJN4T/8&#10;aBdaQSQm6RLuf+IXkJs/AAAA//8DAFBLAQItABQABgAIAAAAIQDb4fbL7gAAAIUBAAATAAAAAAAA&#10;AAAAAAAAAAAAAABbQ29udGVudF9UeXBlc10ueG1sUEsBAi0AFAAGAAgAAAAhAFr0LFu/AAAAFQEA&#10;AAsAAAAAAAAAAAAAAAAAHwEAAF9yZWxzLy5yZWxzUEsBAi0AFAAGAAgAAAAhAB0vHzvHAAAA3wAA&#10;AA8AAAAAAAAAAAAAAAAABwIAAGRycy9kb3ducmV2LnhtbFBLBQYAAAAAAwADALcAAAD7AgAAAAA=&#10;" filled="f" stroked="f">
                  <v:textbox inset="0,0,0,0">
                    <w:txbxContent>
                      <w:p w14:paraId="00959929" w14:textId="77777777" w:rsidR="00B32EF2" w:rsidRDefault="00000000">
                        <w:r>
                          <w:rPr>
                            <w:rFonts w:ascii="Arial" w:eastAsia="Arial" w:hAnsi="Arial" w:cs="Arial"/>
                            <w:i/>
                            <w:sz w:val="18"/>
                          </w:rPr>
                          <w:t>9</w:t>
                        </w:r>
                      </w:p>
                    </w:txbxContent>
                  </v:textbox>
                </v:rect>
                <v:rect id="Rectangle 15419" o:spid="_x0000_s1938" style="position:absolute;left:-11206;top:42234;width:5002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e62xQAAAN4AAAAPAAAAZHJzL2Rvd25yZXYueG1sRE9La8JA&#10;EL4X/A/LCN7qxmJFo6uIRZpDL/UBHofsmESzs0t2NWl/fbcgeJuP7zmLVWdqcafGV5YVjIYJCOLc&#10;6ooLBYf99nUKwgdkjbVlUvBDHlbL3ssCU21b/qb7LhQihrBPUUEZgkul9HlJBv3QOuLInW1jMETY&#10;FFI32MZwU8u3JJlIgxXHhhIdbUrKr7ubUXD6YJdtW5mffzfu65JN68/b4ajUoN+t5yACdeEpfrgz&#10;Hee/j0cz+H8n3iCXfwAAAP//AwBQSwECLQAUAAYACAAAACEA2+H2y+4AAACFAQAAEwAAAAAAAAAA&#10;AAAAAAAAAAAAW0NvbnRlbnRfVHlwZXNdLnhtbFBLAQItABQABgAIAAAAIQBa9CxbvwAAABUBAAAL&#10;AAAAAAAAAAAAAAAAAB8BAABfcmVscy8ucmVsc1BLAQItABQABgAIAAAAIQAh3e62xQAAAN4AAAAP&#10;AAAAAAAAAAAAAAAAAAcCAABkcnMvZG93bnJldi54bWxQSwUGAAAAAAMAAwC3AAAA+QIAAAAA&#10;" filled="f" stroked="f">
                  <v:textbox inset="0,0,0,0">
                    <w:txbxContent>
                      <w:p w14:paraId="4A8D7146" w14:textId="77777777" w:rsidR="00B32EF2" w:rsidRDefault="00000000">
                        <w:r>
                          <w:rPr>
                            <w:rFonts w:ascii="Arial" w:eastAsia="Arial" w:hAnsi="Arial" w:cs="Arial"/>
                            <w:i/>
                            <w:sz w:val="18"/>
                          </w:rPr>
                          <w:t>eccedenze di credito risultanti dalla dichiarazione annuale dell’ente o so</w:t>
                        </w:r>
                      </w:p>
                    </w:txbxContent>
                  </v:textbox>
                </v:rect>
                <v:rect id="Rectangle 15420" o:spid="_x0000_s1939" style="position:absolute;left:657;top:42234;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2WxwAAAN4AAAAPAAAAZHJzL2Rvd25yZXYueG1sRI9Ba8JA&#10;EIXvQv/DMoXedFNRkdRVikXMoZeqhR6H7Jikzc4u2dWk/fXOoeBthnnz3vtWm8G16kpdbDwbeJ5k&#10;oIhLbxuuDJyOu/ESVEzIFlvPZOCXImzWD6MV5tb3/EHXQ6qUmHDM0UCdUsi1jmVNDuPEB2K5nX3n&#10;MMnaVdp22Iu5a/U0yxbaYcOSUGOgbU3lz+HiDHy9cSh2vS7Pf9vw/l0s2/3l9GnM0+Pw+gIq0ZDu&#10;4v/vwkr9+WwqAIIjM+j1DQAA//8DAFBLAQItABQABgAIAAAAIQDb4fbL7gAAAIUBAAATAAAAAAAA&#10;AAAAAAAAAAAAAABbQ29udGVudF9UeXBlc10ueG1sUEsBAi0AFAAGAAgAAAAhAFr0LFu/AAAAFQEA&#10;AAsAAAAAAAAAAAAAAAAAHwEAAF9yZWxzLy5yZWxzUEsBAi0AFAAGAAgAAAAhAH6LjZbHAAAA3gAA&#10;AA8AAAAAAAAAAAAAAAAABwIAAGRycy9kb3ducmV2LnhtbFBLBQYAAAAAAwADALcAAAD7AgAAAAA=&#10;" filled="f" stroked="f">
                  <v:textbox inset="0,0,0,0">
                    <w:txbxContent>
                      <w:p w14:paraId="2C0C34D2" w14:textId="77777777" w:rsidR="00B32EF2" w:rsidRDefault="00000000">
                        <w:r>
                          <w:rPr>
                            <w:rFonts w:ascii="Arial" w:eastAsia="Arial" w:hAnsi="Arial" w:cs="Arial"/>
                            <w:i/>
                            <w:sz w:val="18"/>
                          </w:rPr>
                          <w:t>-</w:t>
                        </w:r>
                      </w:p>
                    </w:txbxContent>
                  </v:textbox>
                </v:rect>
                <v:rect id="Rectangle 15421" o:spid="_x0000_s1940" style="position:absolute;left:-12199;top:41000;width:510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ygNxAAAAN4AAAAPAAAAZHJzL2Rvd25yZXYueG1sRE9Li8Iw&#10;EL4v+B/CCN7WVNldpBpFFNkevKwP8Dg0Y1ttJqGJtvrrNwsL3ubje85s0Zla3KnxlWUFo2ECgji3&#10;uuJCwWG/eZ+A8AFZY22ZFDzIw2Lee5thqm3LP3TfhULEEPYpKihDcKmUPi/JoB9aRxy5s20Mhgib&#10;QuoG2xhuajlOki9psOLYUKKjVUn5dXczCk5rdtmmlfn5uXLbSzapv2+Ho1KDfrecggjUhZf4353p&#10;OP/zYzyCv3fiDXL+CwAA//8DAFBLAQItABQABgAIAAAAIQDb4fbL7gAAAIUBAAATAAAAAAAAAAAA&#10;AAAAAAAAAABbQ29udGVudF9UeXBlc10ueG1sUEsBAi0AFAAGAAgAAAAhAFr0LFu/AAAAFQEAAAsA&#10;AAAAAAAAAAAAAAAAHwEAAF9yZWxzLy5yZWxzUEsBAi0AFAAGAAgAAAAhABHHKA3EAAAA3gAAAA8A&#10;AAAAAAAAAAAAAAAABwIAAGRycy9kb3ducmV2LnhtbFBLBQYAAAAAAwADALcAAAD4AgAAAAA=&#10;" filled="f" stroked="f">
                  <v:textbox inset="0,0,0,0">
                    <w:txbxContent>
                      <w:p w14:paraId="718CEA74" w14:textId="77777777" w:rsidR="00B32EF2" w:rsidRDefault="00000000">
                        <w:r>
                          <w:rPr>
                            <w:rFonts w:ascii="Arial" w:eastAsia="Arial" w:hAnsi="Arial" w:cs="Arial"/>
                            <w:i/>
                            <w:sz w:val="18"/>
                          </w:rPr>
                          <w:t xml:space="preserve">cietà controllante ovvero delle società controllate, compensate in tutto o in </w:t>
                        </w:r>
                      </w:p>
                    </w:txbxContent>
                  </v:textbox>
                </v:rect>
                <v:rect id="Rectangle 15422" o:spid="_x0000_s1941" style="position:absolute;left:-12202;top:39767;width:51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bZ6xAAAAN4AAAAPAAAAZHJzL2Rvd25yZXYueG1sRE9Na8JA&#10;EL0X/A/LCN7qxtAWia4iijQHL7UKHofsmESzs0t2NdFf3y0UepvH+5z5sjeNuFPra8sKJuMEBHFh&#10;dc2lgsP39nUKwgdkjY1lUvAgD8vF4GWOmbYdf9F9H0oRQ9hnqKAKwWVS+qIig35sHXHkzrY1GCJs&#10;S6lb7GK4aWSaJB/SYM2xoUJH64qK6/5mFJw27PJtJ4vzc+12l3zafN4OR6VGw341AxGoD//iP3eu&#10;4/z3tzSF33fiDXLxAwAA//8DAFBLAQItABQABgAIAAAAIQDb4fbL7gAAAIUBAAATAAAAAAAAAAAA&#10;AAAAAAAAAABbQ29udGVudF9UeXBlc10ueG1sUEsBAi0AFAAGAAgAAAAhAFr0LFu/AAAAFQEAAAsA&#10;AAAAAAAAAAAAAAAAHwEAAF9yZWxzLy5yZWxzUEsBAi0AFAAGAAgAAAAhAOEVtnrEAAAA3gAAAA8A&#10;AAAAAAAAAAAAAAAABwIAAGRycy9kb3ducmV2LnhtbFBLBQYAAAAAAwADALcAAAD4AgAAAAA=&#10;" filled="f" stroked="f">
                  <v:textbox inset="0,0,0,0">
                    <w:txbxContent>
                      <w:p w14:paraId="3A0A8446" w14:textId="77777777" w:rsidR="00B32EF2" w:rsidRDefault="00000000">
                        <w:r>
                          <w:rPr>
                            <w:rFonts w:ascii="Arial" w:eastAsia="Arial" w:hAnsi="Arial" w:cs="Arial"/>
                            <w:i/>
                            <w:sz w:val="18"/>
                          </w:rPr>
                          <w:t xml:space="preserve">parte con somme che avrebbero dovuto essere versate dalle altre società </w:t>
                        </w:r>
                      </w:p>
                    </w:txbxContent>
                  </v:textbox>
                </v:rect>
                <v:rect id="Rectangle 15423" o:spid="_x0000_s1942" style="position:absolute;left:-11221;top:38534;width:500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RPhxQAAAN4AAAAPAAAAZHJzL2Rvd25yZXYueG1sRE9La8JA&#10;EL4X/A/LCN7qplpFoqsUi5hDL/UBHofsmMRmZ5fsamJ/fbcgeJuP7zmLVWdqcaPGV5YVvA0TEMS5&#10;1RUXCg77zesMhA/IGmvLpOBOHlbL3ssCU21b/qbbLhQihrBPUUEZgkul9HlJBv3QOuLInW1jMETY&#10;FFI32MZwU8tRkkylwYpjQ4mO1iXlP7urUXD6ZJdtWpmff9fu65LN6u31cFRq0O8+5iACdeEpfrgz&#10;HedP3kdj+H8n3iCXfwAAAP//AwBQSwECLQAUAAYACAAAACEA2+H2y+4AAACFAQAAEwAAAAAAAAAA&#10;AAAAAAAAAAAAW0NvbnRlbnRfVHlwZXNdLnhtbFBLAQItABQABgAIAAAAIQBa9CxbvwAAABUBAAAL&#10;AAAAAAAAAAAAAAAAAB8BAABfcmVscy8ucmVsc1BLAQItABQABgAIAAAAIQCOWRPhxQAAAN4AAAAP&#10;AAAAAAAAAAAAAAAAAAcCAABkcnMvZG93bnJldi54bWxQSwUGAAAAAAMAAwC3AAAA+QIAAAAA&#10;" filled="f" stroked="f">
                  <v:textbox inset="0,0,0,0">
                    <w:txbxContent>
                      <w:p w14:paraId="3A489237" w14:textId="77777777" w:rsidR="00B32EF2" w:rsidRDefault="00000000">
                        <w:r>
                          <w:rPr>
                            <w:rFonts w:ascii="Arial" w:eastAsia="Arial" w:hAnsi="Arial" w:cs="Arial"/>
                            <w:i/>
                            <w:sz w:val="18"/>
                          </w:rPr>
                          <w:t>controllate o dall’ente o società controllante, di cui all’articolo 73, terzo com</w:t>
                        </w:r>
                      </w:p>
                    </w:txbxContent>
                  </v:textbox>
                </v:rect>
                <v:rect id="Rectangle 15424" o:spid="_x0000_s1943" style="position:absolute;left:657;top:385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IuVxAAAAN4AAAAPAAAAZHJzL2Rvd25yZXYueG1sRE9Ni8Iw&#10;EL0v+B/CCN7WVHEX6RpFFLEHL7ou7HFoxrbaTEITbfXXb4QFb/N4nzNbdKYWN2p8ZVnBaJiAIM6t&#10;rrhQcPzevE9B+ICssbZMCu7kYTHvvc0w1bblPd0OoRAxhH2KCsoQXCqlz0sy6IfWEUfuZBuDIcKm&#10;kLrBNoabWo6T5FMarDg2lOhoVVJ+OVyNgt81u2zTyvz0WLndOZvW2+vxR6lBv1t+gQjUhZf4353p&#10;OP9jMp7A8514g5z/AQAA//8DAFBLAQItABQABgAIAAAAIQDb4fbL7gAAAIUBAAATAAAAAAAAAAAA&#10;AAAAAAAAAABbQ29udGVudF9UeXBlc10ueG1sUEsBAi0AFAAGAAgAAAAhAFr0LFu/AAAAFQEAAAsA&#10;AAAAAAAAAAAAAAAAHwEAAF9yZWxzLy5yZWxzUEsBAi0AFAAGAAgAAAAhAAGwi5XEAAAA3gAAAA8A&#10;AAAAAAAAAAAAAAAABwIAAGRycy9kb3ducmV2LnhtbFBLBQYAAAAAAwADALcAAAD4AgAAAAA=&#10;" filled="f" stroked="f">
                  <v:textbox inset="0,0,0,0">
                    <w:txbxContent>
                      <w:p w14:paraId="563B3B86" w14:textId="77777777" w:rsidR="00B32EF2" w:rsidRDefault="00000000">
                        <w:r>
                          <w:rPr>
                            <w:rFonts w:ascii="Arial" w:eastAsia="Arial" w:hAnsi="Arial" w:cs="Arial"/>
                            <w:i/>
                            <w:sz w:val="18"/>
                          </w:rPr>
                          <w:t>-</w:t>
                        </w:r>
                      </w:p>
                    </w:txbxContent>
                  </v:textbox>
                </v:rect>
                <v:rect id="Rectangle 15425" o:spid="_x0000_s1944" style="position:absolute;left:-12186;top:37300;width:509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4OxAAAAN4AAAAPAAAAZHJzL2Rvd25yZXYueG1sRE9Ni8Iw&#10;EL0L/ocwgjdNFV2kaxRRxB72sq4Lexyasa02k9BEW/31m4UFb/N4n7Ncd6YWd2p8ZVnBZJyAIM6t&#10;rrhQcPrajxYgfEDWWFsmBQ/ysF71e0tMtW35k+7HUIgYwj5FBWUILpXS5yUZ9GPriCN3to3BEGFT&#10;SN1gG8NNLadJ8iYNVhwbSnS0LSm/Hm9Gwc+OXbZvZX5+bt3HJVvUh9vpW6nhoNu8gwjUhZf4353p&#10;OH8+m87h7514g1z9AgAA//8DAFBLAQItABQABgAIAAAAIQDb4fbL7gAAAIUBAAATAAAAAAAAAAAA&#10;AAAAAAAAAABbQ29udGVudF9UeXBlc10ueG1sUEsBAi0AFAAGAAgAAAAhAFr0LFu/AAAAFQEAAAsA&#10;AAAAAAAAAAAAAAAAHwEAAF9yZWxzLy5yZWxzUEsBAi0AFAAGAAgAAAAhAG78Lg7EAAAA3gAAAA8A&#10;AAAAAAAAAAAAAAAABwIAAGRycy9kb3ducmV2LnhtbFBLBQYAAAAAAwADALcAAAD4AgAAAAA=&#10;" filled="f" stroked="f">
                  <v:textbox inset="0,0,0,0">
                    <w:txbxContent>
                      <w:p w14:paraId="4DE02476" w14:textId="77777777" w:rsidR="00B32EF2" w:rsidRDefault="00000000">
                        <w:r>
                          <w:rPr>
                            <w:rFonts w:ascii="Arial" w:eastAsia="Arial" w:hAnsi="Arial" w:cs="Arial"/>
                            <w:i/>
                            <w:sz w:val="18"/>
                          </w:rPr>
                          <w:t xml:space="preserve">ma, del decreto del Presidente della Repubblica 26 ottobre 1972, n. 633, si </w:t>
                        </w:r>
                      </w:p>
                    </w:txbxContent>
                  </v:textbox>
                </v:rect>
                <v:rect id="Rectangle 15426" o:spid="_x0000_s1945" style="position:absolute;left:-12197;top:36067;width:510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rB5xAAAAN4AAAAPAAAAZHJzL2Rvd25yZXYueG1sRE9Ni8Iw&#10;EL0L/ocwgjdNFVekaxRRxB72sq4Lexyasa02k9BEW/31m4UFb/N4n7Ncd6YWd2p8ZVnBZJyAIM6t&#10;rrhQcPrajxYgfEDWWFsmBQ/ysF71e0tMtW35k+7HUIgYwj5FBWUILpXS5yUZ9GPriCN3to3BEGFT&#10;SN1gG8NNLadJMpcGK44NJTralpRfjzej4GfHLtu3Mj8/t+7jki3qw+30rdRw0G3eQQTqwkv87850&#10;nP82m87h7514g1z9AgAA//8DAFBLAQItABQABgAIAAAAIQDb4fbL7gAAAIUBAAATAAAAAAAAAAAA&#10;AAAAAAAAAABbQ29udGVudF9UeXBlc10ueG1sUEsBAi0AFAAGAAgAAAAhAFr0LFu/AAAAFQEAAAsA&#10;AAAAAAAAAAAAAAAAHwEAAF9yZWxzLy5yZWxzUEsBAi0AFAAGAAgAAAAhAJ4usHnEAAAA3gAAAA8A&#10;AAAAAAAAAAAAAAAABwIAAGRycy9kb3ducmV2LnhtbFBLBQYAAAAAAwADALcAAAD4AgAAAAA=&#10;" filled="f" stroked="f">
                  <v:textbox inset="0,0,0,0">
                    <w:txbxContent>
                      <w:p w14:paraId="7A4FEE4B" w14:textId="77777777" w:rsidR="00B32EF2" w:rsidRDefault="00000000">
                        <w:r>
                          <w:rPr>
                            <w:rFonts w:ascii="Arial" w:eastAsia="Arial" w:hAnsi="Arial" w:cs="Arial"/>
                            <w:i/>
                            <w:sz w:val="18"/>
                          </w:rPr>
                          <w:t xml:space="preserve">applica la sanzione di cui al comma 1 quando la garanzia di cui all’articolo </w:t>
                        </w:r>
                      </w:p>
                    </w:txbxContent>
                  </v:textbox>
                </v:rect>
                <v:rect id="Rectangle 200061" o:spid="_x0000_s1946" style="position:absolute;left:-13957;top:34834;width:510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FMxQAAAN8AAAAPAAAAZHJzL2Rvd25yZXYueG1sRI9Pi8Iw&#10;FMTvC36H8ARva6oHkWoUUcQevKx/wOOjebbV5iU00VY//WZhweMwM79h5svO1OJJja8sKxgNExDE&#10;udUVFwpOx+33FIQPyBpry6TgRR6Wi97XHFNtW/6h5yEUIkLYp6igDMGlUvq8JIN+aB1x9K62MRii&#10;bAqpG2wj3NRynCQTabDiuFCio3VJ+f3wMAouG3bZtpX59b12+1s2rXeP01mpQb9bzUAE6sIn/N/O&#10;tIJITCYj+PsTv4Bc/AIAAP//AwBQSwECLQAUAAYACAAAACEA2+H2y+4AAACFAQAAEwAAAAAAAAAA&#10;AAAAAAAAAAAAW0NvbnRlbnRfVHlwZXNdLnhtbFBLAQItABQABgAIAAAAIQBa9CxbvwAAABUBAAAL&#10;AAAAAAAAAAAAAAAAAB8BAABfcmVscy8ucmVsc1BLAQItABQABgAIAAAAIQDt/YFMxQAAAN8AAAAP&#10;AAAAAAAAAAAAAAAAAAcCAABkcnMvZG93bnJldi54bWxQSwUGAAAAAAMAAwC3AAAA+QIAAAAA&#10;" filled="f" stroked="f">
                  <v:textbox inset="0,0,0,0">
                    <w:txbxContent>
                      <w:p w14:paraId="261C5B03" w14:textId="77777777" w:rsidR="00B32EF2" w:rsidRDefault="00000000">
                        <w:r>
                          <w:rPr>
                            <w:rFonts w:ascii="Arial" w:eastAsia="Arial" w:hAnsi="Arial" w:cs="Arial"/>
                            <w:i/>
                            <w:sz w:val="18"/>
                          </w:rPr>
                          <w:t xml:space="preserve">bis del medesimo decreto è presentata oltre il termine di novanta giorni </w:t>
                        </w:r>
                      </w:p>
                    </w:txbxContent>
                  </v:textbox>
                </v:rect>
                <v:rect id="Rectangle 200060" o:spid="_x0000_s1947" style="position:absolute;left:24432;top:34834;width:510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STXxgAAAN8AAAAPAAAAZHJzL2Rvd25yZXYueG1sRI9Ba8JA&#10;EIXvhf6HZQRvdWMPItFVikWaQy9aBY9Ddkyi2dklu5ror+8cCj0Ob973+JbrwbXqTl1sPBuYTjJQ&#10;xKW3DVcGDj/btzmomJAttp7JwIMirFevL0vMre95R/d9qpRAOOZooE4p5FrHsiaHceIDsWRn3zlM&#10;cnaVth32Anetfs+ymXbYsCzUGGhTU3nd35yB0yeHYtvr8vzchO9LMW+/boejMePR8LEAlWhI/89/&#10;7cIaEGI2EwPxERfQq18AAAD//wMAUEsBAi0AFAAGAAgAAAAhANvh9svuAAAAhQEAABMAAAAAAAAA&#10;AAAAAAAAAAAAAFtDb250ZW50X1R5cGVzXS54bWxQSwECLQAUAAYACAAAACEAWvQsW78AAAAVAQAA&#10;CwAAAAAAAAAAAAAAAAAfAQAAX3JlbHMvLnJlbHNQSwECLQAUAAYACAAAACEAgrEk18YAAADfAAAA&#10;DwAAAAAAAAAAAAAAAAAHAgAAZHJzL2Rvd25yZXYueG1sUEsFBgAAAAADAAMAtwAAAPoCAAAAAA==&#10;" filled="f" stroked="f">
                  <v:textbox inset="0,0,0,0">
                    <w:txbxContent>
                      <w:p w14:paraId="24785C68" w14:textId="77777777" w:rsidR="00B32EF2" w:rsidRDefault="00000000">
                        <w:r>
                          <w:rPr>
                            <w:rFonts w:ascii="Arial" w:eastAsia="Arial" w:hAnsi="Arial" w:cs="Arial"/>
                            <w:i/>
                            <w:sz w:val="18"/>
                          </w:rPr>
                          <w:t>38-</w:t>
                        </w:r>
                      </w:p>
                    </w:txbxContent>
                  </v:textbox>
                </v:rect>
                <v:rect id="Rectangle 15428" o:spid="_x0000_s1948" style="position:absolute;left:-10550;top:33600;width:493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QxwAAAN4AAAAPAAAAZHJzL2Rvd25yZXYueG1sRI9Ba8JA&#10;EIXvQv/DMoXedFNRkdRVikXMoZeqhR6H7Jikzc4u2dWk/fXOoeBthvfmvW9Wm8G16kpdbDwbeJ5k&#10;oIhLbxuuDJyOu/ESVEzIFlvPZOCXImzWD6MV5tb3/EHXQ6qUhHDM0UCdUsi1jmVNDuPEB2LRzr5z&#10;mGTtKm077CXctXqaZQvtsGFpqDHQtqby53BxBr7eOBS7Xpfnv214/y6W7f5y+jTm6XF4fQGVaEh3&#10;8/91YQV/PpsKr7wjM+j1DQAA//8DAFBLAQItABQABgAIAAAAIQDb4fbL7gAAAIUBAAATAAAAAAAA&#10;AAAAAAAAAAAAAABbQ29udGVudF9UeXBlc10ueG1sUEsBAi0AFAAGAAgAAAAhAFr0LFu/AAAAFQEA&#10;AAsAAAAAAAAAAAAAAAAAHwEAAF9yZWxzLy5yZWxzUEsBAi0AFAAGAAgAAAAhAID9gZDHAAAA3gAA&#10;AA8AAAAAAAAAAAAAAAAABwIAAGRycy9kb3ducmV2LnhtbFBLBQYAAAAAAwADALcAAAD7AgAAAAA=&#10;" filled="f" stroked="f">
                  <v:textbox inset="0,0,0,0">
                    <w:txbxContent>
                      <w:p w14:paraId="4EE399FE" w14:textId="77777777" w:rsidR="00B32EF2" w:rsidRDefault="00000000">
                        <w:r>
                          <w:rPr>
                            <w:rFonts w:ascii="Arial" w:eastAsia="Arial" w:hAnsi="Arial" w:cs="Arial"/>
                            <w:i/>
                            <w:sz w:val="18"/>
                          </w:rPr>
                          <w:t>dalla scadenza del termine di presentazione della dichiarazione annuale.</w:t>
                        </w:r>
                      </w:p>
                    </w:txbxContent>
                  </v:textbox>
                </v:rect>
                <v:rect id="Rectangle 200059" o:spid="_x0000_s1949" style="position:absolute;left:-13494;top:32367;width:512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0f3xgAAAN8AAAAPAAAAZHJzL2Rvd25yZXYueG1sRI9Pi8Iw&#10;FMTvC36H8IS9aaqwol2jiCLbgxf/wR4fzbPtbvMSmmi7fnojCHscZuY3zHzZmVrcqPGVZQWjYQKC&#10;OLe64kLB6bgdTEH4gKyxtkwK/sjDctF7m2Oqbct7uh1CISKEfYoKyhBcKqXPSzLoh9YRR+9iG4Mh&#10;yqaQusE2wk0tx0kykQYrjgslOlqXlP8erkbB94Zdtm1lfrmv3e4nm9Zf19NZqfd+t/oEEagL/+FX&#10;O9MKIjH5mMHzT/wCcvEAAAD//wMAUEsBAi0AFAAGAAgAAAAhANvh9svuAAAAhQEAABMAAAAAAAAA&#10;AAAAAAAAAAAAAFtDb250ZW50X1R5cGVzXS54bWxQSwECLQAUAAYACAAAACEAWvQsW78AAAAVAQAA&#10;CwAAAAAAAAAAAAAAAAAfAQAAX3JlbHMvLnJlbHNQSwECLQAUAAYACAAAACEA3edH98YAAADfAAAA&#10;DwAAAAAAAAAAAAAAAAAHAgAAZHJzL2Rvd25yZXYueG1sUEsFBgAAAAADAAMAtwAAAPoCAAAAAA==&#10;" filled="f" stroked="f">
                  <v:textbox inset="0,0,0,0">
                    <w:txbxContent>
                      <w:p w14:paraId="2E7244FD" w14:textId="77777777" w:rsidR="00B32EF2" w:rsidRDefault="00000000">
                        <w:r>
                          <w:rPr>
                            <w:rFonts w:ascii="Arial" w:eastAsia="Arial" w:hAnsi="Arial" w:cs="Arial"/>
                            <w:i/>
                            <w:sz w:val="18"/>
                          </w:rPr>
                          <w:t xml:space="preserve">. Le sanzioni previste nel presente articolo non si applicano quando i </w:t>
                        </w:r>
                      </w:p>
                    </w:txbxContent>
                  </v:textbox>
                </v:rect>
                <v:rect id="Rectangle 200058" o:spid="_x0000_s1950" style="position:absolute;left:24868;top:32367;width:512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JsxwAAAN8AAAAPAAAAZHJzL2Rvd25yZXYueG1sRI/BasJA&#10;EIbvQt9hmUJvumlBkdRVikXMoZfaCD0O2TGJZmeX7GrSPn3nIPQ4/PN/M99qM7pO3aiPrWcDz7MM&#10;FHHlbcu1gfJrN12CignZYueZDPxQhM36YbLC3PqBP+l2SLUSCMccDTQphVzrWDXkMM58IJbs5HuH&#10;Sca+1rbHQeCu0y9ZttAOW5YLDQbaNlRdDldn4PudQ7EbdHX63YaPc7Hs9tfyaMzT4/j2CirRmP6X&#10;7+3CGhBiNpeHxUdcQK//AAAA//8DAFBLAQItABQABgAIAAAAIQDb4fbL7gAAAIUBAAATAAAAAAAA&#10;AAAAAAAAAAAAAABbQ29udGVudF9UeXBlc10ueG1sUEsBAi0AFAAGAAgAAAAhAFr0LFu/AAAAFQEA&#10;AAsAAAAAAAAAAAAAAAAAHwEAAF9yZWxzLy5yZWxzUEsBAi0AFAAGAAgAAAAhALKr4mzHAAAA3wAA&#10;AA8AAAAAAAAAAAAAAAAABwIAAGRycy9kb3ducmV2LnhtbFBLBQYAAAAAAwADALcAAAD7AgAAAAA=&#10;" filled="f" stroked="f">
                  <v:textbox inset="0,0,0,0">
                    <w:txbxContent>
                      <w:p w14:paraId="130DCE3B" w14:textId="77777777" w:rsidR="00B32EF2" w:rsidRDefault="00000000">
                        <w:r>
                          <w:rPr>
                            <w:rFonts w:ascii="Arial" w:eastAsia="Arial" w:hAnsi="Arial" w:cs="Arial"/>
                            <w:i/>
                            <w:sz w:val="18"/>
                          </w:rPr>
                          <w:t>10</w:t>
                        </w:r>
                      </w:p>
                    </w:txbxContent>
                  </v:textbox>
                </v:rect>
                <v:rect id="Rectangle 15430" o:spid="_x0000_s1951" style="position:absolute;left:-12189;top:31134;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tLyAAAAN4AAAAPAAAAZHJzL2Rvd25yZXYueG1sRI9Pb8Iw&#10;DMXvk/YdIk/iNtL9Q6gjoIkJ0QOXAZN2tBrTdmucqAm049PjAxI3W35+7/1mi8G16kRdbDwbeBpn&#10;oIhLbxuuDOx3q8cpqJiQLbaeycA/RVjM7+9mmFvf8xedtqlSYsIxRwN1SiHXOpY1OYxjH4jldvCd&#10;wyRrV2nbYS/mrtXPWTbRDhuWhBoDLWsq/7ZHZ+Dnk0Ox6nV5OC/D5reYtuvj/tuY0cPw8Q4q0ZBu&#10;4ut3YaX+2+uLAAiOzKDnFwAAAP//AwBQSwECLQAUAAYACAAAACEA2+H2y+4AAACFAQAAEwAAAAAA&#10;AAAAAAAAAAAAAAAAW0NvbnRlbnRfVHlwZXNdLnhtbFBLAQItABQABgAIAAAAIQBa9CxbvwAAABUB&#10;AAALAAAAAAAAAAAAAAAAAB8BAABfcmVscy8ucmVsc1BLAQItABQABgAIAAAAIQD7UhtLyAAAAN4A&#10;AAAPAAAAAAAAAAAAAAAAAAcCAABkcnMvZG93bnJldi54bWxQSwUGAAAAAAMAAwC3AAAA/AIAAAAA&#10;" filled="f" stroked="f">
                  <v:textbox inset="0,0,0,0">
                    <w:txbxContent>
                      <w:p w14:paraId="7DEA169F" w14:textId="77777777" w:rsidR="00B32EF2" w:rsidRDefault="00000000">
                        <w:r>
                          <w:rPr>
                            <w:rFonts w:ascii="Arial" w:eastAsia="Arial" w:hAnsi="Arial" w:cs="Arial"/>
                            <w:i/>
                            <w:sz w:val="18"/>
                          </w:rPr>
                          <w:t xml:space="preserve">versamenti sono stati tempestivamente eseguiti a ufficio o concessionario </w:t>
                        </w:r>
                      </w:p>
                    </w:txbxContent>
                  </v:textbox>
                </v:rect>
                <v:rect id="Rectangle 15431" o:spid="_x0000_s1952" style="position:absolute;left:18356;top:29901;width:2046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r7QxQAAAN4AAAAPAAAAZHJzL2Rvd25yZXYueG1sRE9La8JA&#10;EL4X/A/LCN7qxlpFoquIRZpDL/UBHofsmESzs0t2NWl/fbcgeJuP7zmLVWdqcafGV5YVjIYJCOLc&#10;6ooLBYf99nUGwgdkjbVlUvBDHlbL3ssCU21b/qb7LhQihrBPUUEZgkul9HlJBv3QOuLInW1jMETY&#10;FFI32MZwU8u3JJlKgxXHhhIdbUrKr7ubUXD6YJdtW5mffzfu65LN6s/b4ajUoN+t5yACdeEpfrgz&#10;HedP3scj+H8n3iCXfwAAAP//AwBQSwECLQAUAAYACAAAACEA2+H2y+4AAACFAQAAEwAAAAAAAAAA&#10;AAAAAAAAAAAAW0NvbnRlbnRfVHlwZXNdLnhtbFBLAQItABQABgAIAAAAIQBa9CxbvwAAABUBAAAL&#10;AAAAAAAAAAAAAAAAAB8BAABfcmVscy8ucmVsc1BLAQItABQABgAIAAAAIQCUHr7QxQAAAN4AAAAP&#10;AAAAAAAAAAAAAAAAAAcCAABkcnMvZG93bnJldi54bWxQSwUGAAAAAAMAAwC3AAAA+QIAAAAA&#10;" filled="f" stroked="f">
                  <v:textbox inset="0,0,0,0">
                    <w:txbxContent>
                      <w:p w14:paraId="096EF127" w14:textId="77777777" w:rsidR="00B32EF2" w:rsidRDefault="00000000">
                        <w:r>
                          <w:rPr>
                            <w:rFonts w:ascii="Arial" w:eastAsia="Arial" w:hAnsi="Arial" w:cs="Arial"/>
                            <w:i/>
                            <w:sz w:val="18"/>
                          </w:rPr>
                          <w:t>diverso da quello competente.</w:t>
                        </w:r>
                      </w:p>
                    </w:txbxContent>
                  </v:textbox>
                </v:rect>
                <v:rect id="Rectangle 15432" o:spid="_x0000_s1953" style="position:absolute;left:6329;top:28667;width:324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CCnxQAAAN4AAAAPAAAAZHJzL2Rvd25yZXYueG1sRE9La8JA&#10;EL4X/A/LCN7qplpFoqsUi5hDL/UBHofsmMRmZ5fsamJ/fbcgeJuP7zmLVWdqcaPGV5YVvA0TEMS5&#10;1RUXCg77zesMhA/IGmvLpOBOHlbL3ssCU21b/qbbLhQihrBPUUEZgkul9HlJBv3QOuLInW1jMETY&#10;FFI32MZwU8tRkkylwYpjQ4mO1iXlP7urUXD6ZJdtWpmff9fu65LN6u31cFRq0O8+5iACdeEpfrgz&#10;HedP3scj+H8n3iCXfwAAAP//AwBQSwECLQAUAAYACAAAACEA2+H2y+4AAACFAQAAEwAAAAAAAAAA&#10;AAAAAAAAAAAAW0NvbnRlbnRfVHlwZXNdLnhtbFBLAQItABQABgAIAAAAIQBa9CxbvwAAABUBAAAL&#10;AAAAAAAAAAAAAAAAAB8BAABfcmVscy8ucmVsc1BLAQItABQABgAIAAAAIQBkzCCnxQAAAN4AAAAP&#10;AAAAAAAAAAAAAAAAAAcCAABkcnMvZG93bnJldi54bWxQSwUGAAAAAAMAAwC3AAAA+QIAAAAA&#10;" filled="f" stroked="f">
                  <v:textbox inset="0,0,0,0">
                    <w:txbxContent>
                      <w:p w14:paraId="4F41B27C" w14:textId="77777777" w:rsidR="00B32EF2" w:rsidRDefault="00000000">
                        <w:r>
                          <w:rPr>
                            <w:rFonts w:ascii="Arial" w:eastAsia="Arial" w:hAnsi="Arial" w:cs="Arial"/>
                            <w:i/>
                            <w:sz w:val="18"/>
                          </w:rPr>
                          <w:t>art. 8 D.lgs. 218/1997 “Adempimenti successivi”</w:t>
                        </w:r>
                      </w:p>
                    </w:txbxContent>
                  </v:textbox>
                </v:rect>
                <v:rect id="Rectangle 200057" o:spid="_x0000_s1954" style="position:absolute;left:-11808;top:27434;width:500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HYexgAAAN8AAAAPAAAAZHJzL2Rvd25yZXYueG1sRI9Pi8Iw&#10;FMTvgt8hPMGbpgrrStcoosj24GX9A3t8NM+2u81LaKKtfnqzsOBxmJnfMItVZ2pxo8ZXlhVMxgkI&#10;4tzqigsFp+NuNAfhA7LG2jIpuJOH1bLfW2CqbctfdDuEQkQI+xQVlCG4VEqfl2TQj60jjt7FNgZD&#10;lE0hdYNthJtaTpNkJg1WHBdKdLQpKf89XI2C7y27bNfK/PLYuP1PNq8/r6ezUsNBt/4AEagLr/B/&#10;O9MKIjF5e4e/P/ELyOUTAAD//wMAUEsBAi0AFAAGAAgAAAAhANvh9svuAAAAhQEAABMAAAAAAAAA&#10;AAAAAAAAAAAAAFtDb250ZW50X1R5cGVzXS54bWxQSwECLQAUAAYACAAAACEAWvQsW78AAAAVAQAA&#10;CwAAAAAAAAAAAAAAAAAfAQAAX3JlbHMvLnJlbHNQSwECLQAUAAYACAAAACEAwzR2HsYAAADfAAAA&#10;DwAAAAAAAAAAAAAAAAAHAgAAZHJzL2Rvd25yZXYueG1sUEsFBgAAAAADAAMAtwAAAPoCAAAAAA==&#10;" filled="f" stroked="f">
                  <v:textbox inset="0,0,0,0">
                    <w:txbxContent>
                      <w:p w14:paraId="2AE3A5E4" w14:textId="77777777" w:rsidR="00B32EF2" w:rsidRDefault="00000000">
                        <w:r>
                          <w:rPr>
                            <w:rFonts w:ascii="Arial" w:eastAsia="Arial" w:hAnsi="Arial" w:cs="Arial"/>
                            <w:i/>
                            <w:sz w:val="18"/>
                          </w:rPr>
                          <w:t>. Il versamento delle somme dovute per effetto dell’accertamento con ade</w:t>
                        </w:r>
                      </w:p>
                    </w:txbxContent>
                  </v:textbox>
                </v:rect>
                <v:rect id="Rectangle 200056" o:spid="_x0000_s1955" style="position:absolute;left:25767;top:27434;width:500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OFxwAAAN8AAAAPAAAAZHJzL2Rvd25yZXYueG1sRI/NasMw&#10;EITvhb6D2EJutdxAQnCihJIQ4kMvTR3IcbE2tltrJSz5J336qlDocZiZb5jNbjKtGKjzjWUFL0kK&#10;gri0uuFKQfFxfF6B8AFZY2uZFNzJw277+LDBTNuR32k4h0pECPsMFdQhuExKX9Zk0CfWEUfvZjuD&#10;IcqukrrDMcJNK+dpupQGG44LNTra11R+nXuj4Hpglx9HWd6+9+7tM1+1p764KDV7ml7XIAJN4T/8&#10;1861gkhMF0v4/RO/gNz+AAAA//8DAFBLAQItABQABgAIAAAAIQDb4fbL7gAAAIUBAAATAAAAAAAA&#10;AAAAAAAAAAAAAABbQ29udGVudF9UeXBlc10ueG1sUEsBAi0AFAAGAAgAAAAhAFr0LFu/AAAAFQEA&#10;AAsAAAAAAAAAAAAAAAAAHwEAAF9yZWxzLy5yZWxzUEsBAi0AFAAGAAgAAAAhAKx404XHAAAA3wAA&#10;AA8AAAAAAAAAAAAAAAAABwIAAGRycy9kb3ducmV2LnhtbFBLBQYAAAAAAwADALcAAAD7AgAAAAA=&#10;" filled="f" stroked="f">
                  <v:textbox inset="0,0,0,0">
                    <w:txbxContent>
                      <w:p w14:paraId="4EBF4E86" w14:textId="77777777" w:rsidR="00B32EF2" w:rsidRDefault="00000000">
                        <w:r>
                          <w:rPr>
                            <w:rFonts w:ascii="Arial" w:eastAsia="Arial" w:hAnsi="Arial" w:cs="Arial"/>
                            <w:i/>
                            <w:sz w:val="18"/>
                          </w:rPr>
                          <w:t>1</w:t>
                        </w:r>
                      </w:p>
                    </w:txbxContent>
                  </v:textbox>
                </v:rect>
                <v:rect id="Rectangle 15434" o:spid="_x0000_s1956" style="position:absolute;left:657;top:274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1IxQAAAN4AAAAPAAAAZHJzL2Rvd25yZXYueG1sRE9La8JA&#10;EL4X/A/LCN7qpq2KRFcpFjGHXuoDPA7ZMYnNzi7Z1UR/fbcgeJuP7znzZWdqcaXGV5YVvA0TEMS5&#10;1RUXCva79esUhA/IGmvLpOBGHpaL3sscU21b/qHrNhQihrBPUUEZgkul9HlJBv3QOuLInWxjMETY&#10;FFI32MZwU8v3JJlIgxXHhhIdrUrKf7cXo+D4xS5btzI/3Vfu+5xN681lf1Bq0O8+ZyACdeEpfrgz&#10;HeePRx8j+H8n3iAXfwAAAP//AwBQSwECLQAUAAYACAAAACEA2+H2y+4AAACFAQAAEwAAAAAAAAAA&#10;AAAAAAAAAAAAW0NvbnRlbnRfVHlwZXNdLnhtbFBLAQItABQABgAIAAAAIQBa9CxbvwAAABUBAAAL&#10;AAAAAAAAAAAAAAAAAB8BAABfcmVscy8ucmVsc1BLAQItABQABgAIAAAAIQCEaR1IxQAAAN4AAAAP&#10;AAAAAAAAAAAAAAAAAAcCAABkcnMvZG93bnJldi54bWxQSwUGAAAAAAMAAwC3AAAA+QIAAAAA&#10;" filled="f" stroked="f">
                  <v:textbox inset="0,0,0,0">
                    <w:txbxContent>
                      <w:p w14:paraId="1EC4D681" w14:textId="77777777" w:rsidR="00B32EF2" w:rsidRDefault="00000000">
                        <w:r>
                          <w:rPr>
                            <w:rFonts w:ascii="Arial" w:eastAsia="Arial" w:hAnsi="Arial" w:cs="Arial"/>
                            <w:i/>
                            <w:sz w:val="18"/>
                          </w:rPr>
                          <w:t>-</w:t>
                        </w:r>
                      </w:p>
                    </w:txbxContent>
                  </v:textbox>
                </v:rect>
                <v:rect id="Rectangle 15435" o:spid="_x0000_s1957" style="position:absolute;left:-11758;top:26201;width:505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bjTxQAAAN4AAAAPAAAAZHJzL2Rvd25yZXYueG1sRE9La8JA&#10;EL4L/odlBG+6aasi0VWKRcyhl/oAj0N2TGKzs0t2NbG/vlsoeJuP7znLdWdqcafGV5YVvIwTEMS5&#10;1RUXCo6H7WgOwgdkjbVlUvAgD+tVv7fEVNuWv+i+D4WIIexTVFCG4FIpfV6SQT+2jjhyF9sYDBE2&#10;hdQNtjHc1PI1SWbSYMWxoURHm5Ly7/3NKDh/sMu2rcwvPxv3ec3m9e52PCk1HHTvCxCBuvAU/7sz&#10;HedPJ29T+Hsn3iBXvwAAAP//AwBQSwECLQAUAAYACAAAACEA2+H2y+4AAACFAQAAEwAAAAAAAAAA&#10;AAAAAAAAAAAAW0NvbnRlbnRfVHlwZXNdLnhtbFBLAQItABQABgAIAAAAIQBa9CxbvwAAABUBAAAL&#10;AAAAAAAAAAAAAAAAAB8BAABfcmVscy8ucmVsc1BLAQItABQABgAIAAAAIQDrJbjTxQAAAN4AAAAP&#10;AAAAAAAAAAAAAAAAAAcCAABkcnMvZG93bnJldi54bWxQSwUGAAAAAAMAAwC3AAAA+QIAAAAA&#10;" filled="f" stroked="f">
                  <v:textbox inset="0,0,0,0">
                    <w:txbxContent>
                      <w:p w14:paraId="5E50E86D" w14:textId="77777777" w:rsidR="00B32EF2" w:rsidRDefault="00000000">
                        <w:r>
                          <w:rPr>
                            <w:rFonts w:ascii="Arial" w:eastAsia="Arial" w:hAnsi="Arial" w:cs="Arial"/>
                            <w:i/>
                            <w:sz w:val="18"/>
                          </w:rPr>
                          <w:t>sione è eseguito entro venti giorni dalla redazione dell’atto di cui all’articolo 7.</w:t>
                        </w:r>
                      </w:p>
                    </w:txbxContent>
                  </v:textbox>
                </v:rect>
                <v:rect id="Rectangle 200055" o:spid="_x0000_s1958" style="position:absolute;left:-11865;top:24967;width:500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3yxQAAAN8AAAAPAAAAZHJzL2Rvd25yZXYueG1sRI9Pi8Iw&#10;FMTvC36H8ARva+qCIl2jiIvYw178B3t8NM+22ryEJtqun94IgsdhZn7DzBadqcWNGl9ZVjAaJiCI&#10;c6srLhQc9uvPKQgfkDXWlknBP3lYzHsfM0y1bXlLt10oRISwT1FBGYJLpfR5SQb90Dri6J1sYzBE&#10;2RRSN9hGuKnlV5JMpMGK40KJjlYl5Zfd1Sj4+2GXrVuZn+4r93vOpvXmejgqNeh3y28QgbrwDr/a&#10;mVYQicl4DM8/8QvI+QMAAP//AwBQSwECLQAUAAYACAAAACEA2+H2y+4AAACFAQAAEwAAAAAAAAAA&#10;AAAAAAAAAAAAW0NvbnRlbnRfVHlwZXNdLnhtbFBLAQItABQABgAIAAAAIQBa9CxbvwAAABUBAAAL&#10;AAAAAAAAAAAAAAAAAB8BAABfcmVscy8ucmVsc1BLAQItABQABgAIAAAAIQBcqk3yxQAAAN8AAAAP&#10;AAAAAAAAAAAAAAAAAAcCAABkcnMvZG93bnJldi54bWxQSwUGAAAAAAMAAwC3AAAA+QIAAAAA&#10;" filled="f" stroked="f">
                  <v:textbox inset="0,0,0,0">
                    <w:txbxContent>
                      <w:p w14:paraId="2E8AB531" w14:textId="77777777" w:rsidR="00B32EF2" w:rsidRDefault="00000000">
                        <w:r>
                          <w:rPr>
                            <w:rFonts w:ascii="Arial" w:eastAsia="Arial" w:hAnsi="Arial" w:cs="Arial"/>
                            <w:i/>
                            <w:sz w:val="18"/>
                          </w:rPr>
                          <w:t>. Le somme dovute possono essere versate anche ratealmente in un mas</w:t>
                        </w:r>
                      </w:p>
                    </w:txbxContent>
                  </v:textbox>
                </v:rect>
                <v:rect id="Rectangle 200054" o:spid="_x0000_s1959" style="position:absolute;left:25766;top:24967;width:500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uhpxgAAAN8AAAAPAAAAZHJzL2Rvd25yZXYueG1sRI9Pi8Iw&#10;FMTvgt8hPMGbpsq6SNcoosj24GX9A3t8NM+2u81LaKKtfnqzsOBxmJnfMItVZ2pxo8ZXlhVMxgkI&#10;4tzqigsFp+NuNAfhA7LG2jIpuJOH1bLfW2CqbctfdDuEQkQI+xQVlCG4VEqfl2TQj60jjt7FNgZD&#10;lE0hdYNthJtaTpPkXRqsOC6U6GhTUv57uBoF31t22a6V+eWxcfufbF5/Xk9npYaDbv0BIlAXXuH/&#10;dqYVRGIye4O/P/ELyOUTAAD//wMAUEsBAi0AFAAGAAgAAAAhANvh9svuAAAAhQEAABMAAAAAAAAA&#10;AAAAAAAAAAAAAFtDb250ZW50X1R5cGVzXS54bWxQSwECLQAUAAYACAAAACEAWvQsW78AAAAVAQAA&#10;CwAAAAAAAAAAAAAAAAAfAQAAX3JlbHMvLnJlbHNQSwECLQAUAAYACAAAACEAM+boacYAAADfAAAA&#10;DwAAAAAAAAAAAAAAAAAHAgAAZHJzL2Rvd25yZXYueG1sUEsFBgAAAAADAAMAtwAAAPoCAAAAAA==&#10;" filled="f" stroked="f">
                  <v:textbox inset="0,0,0,0">
                    <w:txbxContent>
                      <w:p w14:paraId="69A444CA" w14:textId="77777777" w:rsidR="00B32EF2" w:rsidRDefault="00000000">
                        <w:r>
                          <w:rPr>
                            <w:rFonts w:ascii="Arial" w:eastAsia="Arial" w:hAnsi="Arial" w:cs="Arial"/>
                            <w:i/>
                            <w:sz w:val="18"/>
                          </w:rPr>
                          <w:t>2</w:t>
                        </w:r>
                      </w:p>
                    </w:txbxContent>
                  </v:textbox>
                </v:rect>
                <v:rect id="Rectangle 15437" o:spid="_x0000_s1960" style="position:absolute;left:657;top:249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4M/xQAAAN4AAAAPAAAAZHJzL2Rvd25yZXYueG1sRE9Na8JA&#10;EL0L/Q/LFHozG2ttJXWVokhz8KJV8DhkxyQ1O7tkV5P213cFobd5vM+ZLXrTiCu1vrasYJSkIIgL&#10;q2suFey/1sMpCB+QNTaWScEPeVjMHwYzzLTteEvXXShFDGGfoYIqBJdJ6YuKDPrEOuLInWxrMETY&#10;llK32MVw08jnNH2VBmuODRU6WlZUnHcXo+C4YpevO1mcfpdu851Pm8/L/qDU02P/8Q4iUB/+xXd3&#10;ruP8ycv4DW7vxBvk/A8AAP//AwBQSwECLQAUAAYACAAAACEA2+H2y+4AAACFAQAAEwAAAAAAAAAA&#10;AAAAAAAAAAAAW0NvbnRlbnRfVHlwZXNdLnhtbFBLAQItABQABgAIAAAAIQBa9CxbvwAAABUBAAAL&#10;AAAAAAAAAAAAAAAAAB8BAABfcmVscy8ucmVsc1BLAQItABQABgAIAAAAIQB0u4M/xQAAAN4AAAAP&#10;AAAAAAAAAAAAAAAAAAcCAABkcnMvZG93bnJldi54bWxQSwUGAAAAAAMAAwC3AAAA+QIAAAAA&#10;" filled="f" stroked="f">
                  <v:textbox inset="0,0,0,0">
                    <w:txbxContent>
                      <w:p w14:paraId="572D64DB" w14:textId="77777777" w:rsidR="00B32EF2" w:rsidRDefault="00000000">
                        <w:r>
                          <w:rPr>
                            <w:rFonts w:ascii="Arial" w:eastAsia="Arial" w:hAnsi="Arial" w:cs="Arial"/>
                            <w:i/>
                            <w:sz w:val="18"/>
                          </w:rPr>
                          <w:t>-</w:t>
                        </w:r>
                      </w:p>
                    </w:txbxContent>
                  </v:textbox>
                </v:rect>
                <v:rect id="Rectangle 15438" o:spid="_x0000_s1961" style="position:absolute;left:-12224;top:23734;width:51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BdNyAAAAN4AAAAPAAAAZHJzL2Rvd25yZXYueG1sRI9Pb8Iw&#10;DMXvk/YdIk/iNtL9Q6gjoIkJ0QOXAZN2tBrTdmucqAm049PjAxI3W+/5vZ9ni8G16kRdbDwbeBpn&#10;oIhLbxuuDOx3q8cpqJiQLbaeycA/RVjM7+9mmFvf8xedtqlSEsIxRwN1SiHXOpY1OYxjH4hFO/jO&#10;YZK1q7TtsJdw1+rnLJtohw1LQ42BljWVf9ujM/DzyaFY9bo8nJdh81tM2/Vx/23M6GH4eAeVaEg3&#10;8/W6sIL/9voivPKOzKDnFwAAAP//AwBQSwECLQAUAAYACAAAACEA2+H2y+4AAACFAQAAEwAAAAAA&#10;AAAAAAAAAAAAAAAAW0NvbnRlbnRfVHlwZXNdLnhtbFBLAQItABQABgAIAAAAIQBa9CxbvwAAABUB&#10;AAALAAAAAAAAAAAAAAAAAB8BAABfcmVscy8ucmVsc1BLAQItABQABgAIAAAAIQAFJBdNyAAAAN4A&#10;AAAPAAAAAAAAAAAAAAAAAAcCAABkcnMvZG93bnJldi54bWxQSwUGAAAAAAMAAwC3AAAA/AIAAAAA&#10;" filled="f" stroked="f">
                  <v:textbox inset="0,0,0,0">
                    <w:txbxContent>
                      <w:p w14:paraId="5735D391" w14:textId="77777777" w:rsidR="00B32EF2" w:rsidRDefault="00000000">
                        <w:r>
                          <w:rPr>
                            <w:rFonts w:ascii="Arial" w:eastAsia="Arial" w:hAnsi="Arial" w:cs="Arial"/>
                            <w:i/>
                            <w:sz w:val="18"/>
                          </w:rPr>
                          <w:t xml:space="preserve">simo di otto rate trimestrali di pari importo o in un massimo di sedici rate </w:t>
                        </w:r>
                      </w:p>
                    </w:txbxContent>
                  </v:textbox>
                </v:rect>
                <v:rect id="Rectangle 15439" o:spid="_x0000_s1962" style="position:absolute;left:-12239;top:22501;width:511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LLWxQAAAN4AAAAPAAAAZHJzL2Rvd25yZXYueG1sRE9Na8JA&#10;EL0X+h+WKXirm7ZWYuoqxSLm4EVrweOQHZO02dklu5ror3eFgrd5vM+ZznvTiBO1vras4GWYgCAu&#10;rK65VLD7Xj6nIHxA1thYJgVn8jCfPT5MMdO24w2dtqEUMYR9hgqqEFwmpS8qMuiH1hFH7mBbgyHC&#10;tpS6xS6Gm0a+JslYGqw5NlToaFFR8bc9GgX7L3b5spPF4bJw6988bVbH3Y9Sg6f+8wNEoD7cxf/u&#10;XMf576O3CdzeiTfI2RUAAP//AwBQSwECLQAUAAYACAAAACEA2+H2y+4AAACFAQAAEwAAAAAAAAAA&#10;AAAAAAAAAAAAW0NvbnRlbnRfVHlwZXNdLnhtbFBLAQItABQABgAIAAAAIQBa9CxbvwAAABUBAAAL&#10;AAAAAAAAAAAAAAAAAB8BAABfcmVscy8ucmVsc1BLAQItABQABgAIAAAAIQBqaLLWxQAAAN4AAAAP&#10;AAAAAAAAAAAAAAAAAAcCAABkcnMvZG93bnJldi54bWxQSwUGAAAAAAMAAwC3AAAA+QIAAAAA&#10;" filled="f" stroked="f">
                  <v:textbox inset="0,0,0,0">
                    <w:txbxContent>
                      <w:p w14:paraId="3B840AB2" w14:textId="77777777" w:rsidR="00B32EF2" w:rsidRDefault="00000000">
                        <w:r>
                          <w:rPr>
                            <w:rFonts w:ascii="Arial" w:eastAsia="Arial" w:hAnsi="Arial" w:cs="Arial"/>
                            <w:i/>
                            <w:sz w:val="18"/>
                          </w:rPr>
                          <w:t xml:space="preserve">trimestrali se le somme dovute superano i cinquantamila euro. L’importo </w:t>
                        </w:r>
                      </w:p>
                    </w:txbxContent>
                  </v:textbox>
                </v:rect>
                <v:rect id="Rectangle 15440" o:spid="_x0000_s1963" style="position:absolute;left:-12236;top:21268;width:5117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Gg2yAAAAN4AAAAPAAAAZHJzL2Rvd25yZXYueG1sRI9Pa8JA&#10;EMXvQr/DMgVvumnRIqmrFIs0h178U+hxyI5J2uzskl1N7Kd3DkJvM8yb995vuR5cqy7Uxcazgadp&#10;Boq49LbhysDxsJ0sQMWEbLH1TAauFGG9ehgtMbe+5x1d9qlSYsIxRwN1SiHXOpY1OYxTH4jldvKd&#10;wyRrV2nbYS/mrtXPWfaiHTYsCTUG2tRU/u7PzsD3O4di2+vy9LcJnz/Fov04H7+MGT8Ob6+gEg3p&#10;X3z/LqzUn89mAiA4MoNe3QAAAP//AwBQSwECLQAUAAYACAAAACEA2+H2y+4AAACFAQAAEwAAAAAA&#10;AAAAAAAAAAAAAAAAW0NvbnRlbnRfVHlwZXNdLnhtbFBLAQItABQABgAIAAAAIQBa9CxbvwAAABUB&#10;AAALAAAAAAAAAAAAAAAAAB8BAABfcmVscy8ucmVsc1BLAQItABQABgAIAAAAIQCjVGg2yAAAAN4A&#10;AAAPAAAAAAAAAAAAAAAAAAcCAABkcnMvZG93bnJldi54bWxQSwUGAAAAAAMAAwC3AAAA/AIAAAAA&#10;" filled="f" stroked="f">
                  <v:textbox inset="0,0,0,0">
                    <w:txbxContent>
                      <w:p w14:paraId="00BE81F0" w14:textId="77777777" w:rsidR="00B32EF2" w:rsidRDefault="00000000">
                        <w:r>
                          <w:rPr>
                            <w:rFonts w:ascii="Arial" w:eastAsia="Arial" w:hAnsi="Arial" w:cs="Arial"/>
                            <w:i/>
                            <w:sz w:val="18"/>
                          </w:rPr>
                          <w:t xml:space="preserve">della prima rata è versato entro il termine indicato nel comma 1. Le rate </w:t>
                        </w:r>
                      </w:p>
                    </w:txbxContent>
                  </v:textbox>
                </v:rect>
                <v:rect id="Rectangle 15441" o:spid="_x0000_s1964" style="position:absolute;left:-11225;top:20034;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M2txAAAAN4AAAAPAAAAZHJzL2Rvd25yZXYueG1sRE9Li8Iw&#10;EL4L+x/CLHjT1MUVqUZZXGR78LI+wOPQjG21mYQm2uqv3ywI3ubje8582Zla3KjxlWUFo2ECgji3&#10;uuJCwX63HkxB+ICssbZMCu7kYbl4680x1bblX7ptQyFiCPsUFZQhuFRKn5dk0A+tI47cyTYGQ4RN&#10;IXWDbQw3tfxIkok0WHFsKNHRqqT8sr0aBcdvdtm6lfnpsXKbczatf677g1L99+5rBiJQF17ipzvT&#10;cf7neDyC/3fiDXLxBwAA//8DAFBLAQItABQABgAIAAAAIQDb4fbL7gAAAIUBAAATAAAAAAAAAAAA&#10;AAAAAAAAAABbQ29udGVudF9UeXBlc10ueG1sUEsBAi0AFAAGAAgAAAAhAFr0LFu/AAAAFQEAAAsA&#10;AAAAAAAAAAAAAAAAHwEAAF9yZWxzLy5yZWxzUEsBAi0AFAAGAAgAAAAhAMwYza3EAAAA3gAAAA8A&#10;AAAAAAAAAAAAAAAABwIAAGRycy9kb3ducmV2LnhtbFBLBQYAAAAAAwADALcAAAD4AgAAAAA=&#10;" filled="f" stroked="f">
                  <v:textbox inset="0,0,0,0">
                    <w:txbxContent>
                      <w:p w14:paraId="2F75CFB5" w14:textId="77777777" w:rsidR="00B32EF2" w:rsidRDefault="00000000">
                        <w:r>
                          <w:rPr>
                            <w:rFonts w:ascii="Arial" w:eastAsia="Arial" w:hAnsi="Arial" w:cs="Arial"/>
                            <w:i/>
                            <w:sz w:val="18"/>
                          </w:rPr>
                          <w:t>successive alla prima devono essere versate entro l’ultimo giorno di cia</w:t>
                        </w:r>
                      </w:p>
                    </w:txbxContent>
                  </v:textbox>
                </v:rect>
                <v:rect id="Rectangle 15442" o:spid="_x0000_s1965" style="position:absolute;left:657;top:200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lPaxAAAAN4AAAAPAAAAZHJzL2Rvd25yZXYueG1sRE9Ni8Iw&#10;EL0v+B/CCN7WVHEX6RpFFLEHL7ou7HFoxrbaTEITbfXXb4QFb/N4nzNbdKYWN2p8ZVnBaJiAIM6t&#10;rrhQcPzevE9B+ICssbZMCu7kYTHvvc0w1bblPd0OoRAxhH2KCsoQXCqlz0sy6IfWEUfuZBuDIcKm&#10;kLrBNoabWo6T5FMarDg2lOhoVVJ+OVyNgt81u2zTyvz0WLndOZvW2+vxR6lBv1t+gQjUhZf4353p&#10;OP9jMhnD8514g5z/AQAA//8DAFBLAQItABQABgAIAAAAIQDb4fbL7gAAAIUBAAATAAAAAAAAAAAA&#10;AAAAAAAAAABbQ29udGVudF9UeXBlc10ueG1sUEsBAi0AFAAGAAgAAAAhAFr0LFu/AAAAFQEAAAsA&#10;AAAAAAAAAAAAAAAAHwEAAF9yZWxzLy5yZWxzUEsBAi0AFAAGAAgAAAAhADzKU9rEAAAA3gAAAA8A&#10;AAAAAAAAAAAAAAAABwIAAGRycy9kb3ducmV2LnhtbFBLBQYAAAAAAwADALcAAAD4AgAAAAA=&#10;" filled="f" stroked="f">
                  <v:textbox inset="0,0,0,0">
                    <w:txbxContent>
                      <w:p w14:paraId="143B389E" w14:textId="77777777" w:rsidR="00B32EF2" w:rsidRDefault="00000000">
                        <w:r>
                          <w:rPr>
                            <w:rFonts w:ascii="Arial" w:eastAsia="Arial" w:hAnsi="Arial" w:cs="Arial"/>
                            <w:i/>
                            <w:sz w:val="18"/>
                          </w:rPr>
                          <w:t>-</w:t>
                        </w:r>
                      </w:p>
                    </w:txbxContent>
                  </v:textbox>
                </v:rect>
                <v:rect id="Rectangle 15443" o:spid="_x0000_s1966" style="position:absolute;left:-12242;top:18801;width:512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vZBxQAAAN4AAAAPAAAAZHJzL2Rvd25yZXYueG1sRE9La8JA&#10;EL4X/A/LCN7qpq2KRFcpFjGHXuoDPA7ZMYnNzi7Z1UR/fbcgeJuP7znzZWdqcaXGV5YVvA0TEMS5&#10;1RUXCva79esUhA/IGmvLpOBGHpaL3sscU21b/qHrNhQihrBPUUEZgkul9HlJBv3QOuLInWxjMETY&#10;FFI32MZwU8v3JJlIgxXHhhIdrUrKf7cXo+D4xS5btzI/3Vfu+5xN681lf1Bq0O8+ZyACdeEpfrgz&#10;HeePR6MP+H8n3iAXfwAAAP//AwBQSwECLQAUAAYACAAAACEA2+H2y+4AAACFAQAAEwAAAAAAAAAA&#10;AAAAAAAAAAAAW0NvbnRlbnRfVHlwZXNdLnhtbFBLAQItABQABgAIAAAAIQBa9CxbvwAAABUBAAAL&#10;AAAAAAAAAAAAAAAAAB8BAABfcmVscy8ucmVsc1BLAQItABQABgAIAAAAIQBThvZBxQAAAN4AAAAP&#10;AAAAAAAAAAAAAAAAAAcCAABkcnMvZG93bnJldi54bWxQSwUGAAAAAAMAAwC3AAAA+QIAAAAA&#10;" filled="f" stroked="f">
                  <v:textbox inset="0,0,0,0">
                    <w:txbxContent>
                      <w:p w14:paraId="3FBBA3B6" w14:textId="77777777" w:rsidR="00B32EF2" w:rsidRDefault="00000000">
                        <w:r>
                          <w:rPr>
                            <w:rFonts w:ascii="Arial" w:eastAsia="Arial" w:hAnsi="Arial" w:cs="Arial"/>
                            <w:i/>
                            <w:sz w:val="18"/>
                          </w:rPr>
                          <w:t xml:space="preserve">scun trimestre. Sull’importo delle rate successive alla prima sono dovuti </w:t>
                        </w:r>
                      </w:p>
                    </w:txbxContent>
                  </v:textbox>
                </v:rect>
                <v:rect id="Rectangle 15444" o:spid="_x0000_s1967" style="position:absolute;left:-12210;top:17568;width:51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241xAAAAN4AAAAPAAAAZHJzL2Rvd25yZXYueG1sRE9Na8JA&#10;EL0X/A/LCN7qxpIWia4iijQHL7UKHofsmESzs0t2NdFf3y0UepvH+5z5sjeNuFPra8sKJuMEBHFh&#10;dc2lgsP39nUKwgdkjY1lUvAgD8vF4GWOmbYdf9F9H0oRQ9hnqKAKwWVS+qIig35sHXHkzrY1GCJs&#10;S6lb7GK4aeRbknxIgzXHhgodrSsqrvubUXDasMu3nSzOz7XbXfJp83k7HJUaDfvVDESgPvyL/9y5&#10;jvPf0zSF33fiDXLxAwAA//8DAFBLAQItABQABgAIAAAAIQDb4fbL7gAAAIUBAAATAAAAAAAAAAAA&#10;AAAAAAAAAABbQ29udGVudF9UeXBlc10ueG1sUEsBAi0AFAAGAAgAAAAhAFr0LFu/AAAAFQEAAAsA&#10;AAAAAAAAAAAAAAAAHwEAAF9yZWxzLy5yZWxzUEsBAi0AFAAGAAgAAAAhANxvbjXEAAAA3gAAAA8A&#10;AAAAAAAAAAAAAAAABwIAAGRycy9kb3ducmV2LnhtbFBLBQYAAAAAAwADALcAAAD4AgAAAAA=&#10;" filled="f" stroked="f">
                  <v:textbox inset="0,0,0,0">
                    <w:txbxContent>
                      <w:p w14:paraId="1D19DA64" w14:textId="77777777" w:rsidR="00B32EF2" w:rsidRDefault="00000000">
                        <w:r>
                          <w:rPr>
                            <w:rFonts w:ascii="Arial" w:eastAsia="Arial" w:hAnsi="Arial" w:cs="Arial"/>
                            <w:i/>
                            <w:sz w:val="18"/>
                          </w:rPr>
                          <w:t xml:space="preserve">gli interessi calcolati dal giorno successivo al termine di versamento della </w:t>
                        </w:r>
                      </w:p>
                    </w:txbxContent>
                  </v:textbox>
                </v:rect>
                <v:rect id="Rectangle 15445" o:spid="_x0000_s1968" style="position:absolute;left:31448;top:16334;width:73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8uuxAAAAN4AAAAPAAAAZHJzL2Rvd25yZXYueG1sRE9Ni8Iw&#10;EL0L/ocwgjdNFV2kaxRRxB72sq4Lexyasa02k9BEW/31m4UFb/N4n7Ncd6YWd2p8ZVnBZJyAIM6t&#10;rrhQcPrajxYgfEDWWFsmBQ/ysF71e0tMtW35k+7HUIgYwj5FBWUILpXS5yUZ9GPriCN3to3BEGFT&#10;SN1gG8NNLadJ8iYNVhwbSnS0LSm/Hm9Gwc+OXbZvZX5+bt3HJVvUh9vpW6nhoNu8gwjUhZf4353p&#10;OH8+m83h7514g1z9AgAA//8DAFBLAQItABQABgAIAAAAIQDb4fbL7gAAAIUBAAATAAAAAAAAAAAA&#10;AAAAAAAAAABbQ29udGVudF9UeXBlc10ueG1sUEsBAi0AFAAGAAgAAAAhAFr0LFu/AAAAFQEAAAsA&#10;AAAAAAAAAAAAAAAAHwEAAF9yZWxzLy5yZWxzUEsBAi0AFAAGAAgAAAAhALMjy67EAAAA3gAAAA8A&#10;AAAAAAAAAAAAAAAABwIAAGRycy9kb3ducmV2LnhtbFBLBQYAAAAAAwADALcAAAD4AgAAAAA=&#10;" filled="f" stroked="f">
                  <v:textbox inset="0,0,0,0">
                    <w:txbxContent>
                      <w:p w14:paraId="29F319A6" w14:textId="77777777" w:rsidR="00B32EF2" w:rsidRDefault="00000000">
                        <w:r>
                          <w:rPr>
                            <w:rFonts w:ascii="Arial" w:eastAsia="Arial" w:hAnsi="Arial" w:cs="Arial"/>
                            <w:i/>
                            <w:sz w:val="18"/>
                          </w:rPr>
                          <w:t>prima rata.</w:t>
                        </w:r>
                      </w:p>
                    </w:txbxContent>
                  </v:textbox>
                </v:rect>
                <v:rect id="Rectangle 200053" o:spid="_x0000_s1969" style="position:absolute;left:-13254;top:15101;width:510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3AdxgAAAN8AAAAPAAAAZHJzL2Rvd25yZXYueG1sRI9Pi8Iw&#10;FMTvgt8hPMGbprq4SNcoosj24GX9A3t8NM+2u81LaKKtfnqzsOBxmJnfMItVZ2pxo8ZXlhVMxgkI&#10;4tzqigsFp+NuNAfhA7LG2jIpuJOH1bLfW2CqbctfdDuEQkQI+xQVlCG4VEqfl2TQj60jjt7FNgZD&#10;lE0hdYNthJtaTpPkXRqsOC6U6GhTUv57uBoF31t22a6V+eWxcfufbF5/Xk9npYaDbv0BIlAXXuH/&#10;dqYVRGIye4O/P/ELyOUTAAD//wMAUEsBAi0AFAAGAAgAAAAhANvh9svuAAAAhQEAABMAAAAAAAAA&#10;AAAAAAAAAAAAAFtDb250ZW50X1R5cGVzXS54bWxQSwECLQAUAAYACAAAACEAWvQsW78AAAAVAQAA&#10;CwAAAAAAAAAAAAAAAAAfAQAAX3JlbHMvLnJlbHNQSwECLQAUAAYACAAAACEAvA9wHcYAAADfAAAA&#10;DwAAAAAAAAAAAAAAAAAHAgAAZHJzL2Rvd25yZXYueG1sUEsFBgAAAAADAAMAtwAAAPoCAAAAAA==&#10;" filled="f" stroked="f">
                  <v:textbox inset="0,0,0,0">
                    <w:txbxContent>
                      <w:p w14:paraId="213535EF" w14:textId="77777777" w:rsidR="00B32EF2" w:rsidRDefault="00000000">
                        <w:r>
                          <w:rPr>
                            <w:rFonts w:ascii="Arial" w:eastAsia="Arial" w:hAnsi="Arial" w:cs="Arial"/>
                            <w:i/>
                            <w:sz w:val="18"/>
                          </w:rPr>
                          <w:t xml:space="preserve">bis. Per il versamento delle somme dovute a seguito di un accertamento </w:t>
                        </w:r>
                      </w:p>
                    </w:txbxContent>
                  </v:textbox>
                </v:rect>
                <v:rect id="Rectangle 200052" o:spid="_x0000_s1970" style="position:absolute;left:25136;top:15101;width:510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9WGxQAAAN8AAAAPAAAAZHJzL2Rvd25yZXYueG1sRI9Pi8Iw&#10;FMTvgt8hPGFvmiqsSNco4iLbw178B3t8NM+22ryEJtqun94IgsdhZn7DzJedqcWNGl9ZVjAeJSCI&#10;c6srLhQc9pvhDIQPyBpry6TgnzwsF/3eHFNtW97SbRcKESHsU1RQhuBSKX1ekkE/so44eifbGAxR&#10;NoXUDbYRbmo5SZKpNFhxXCjR0bqk/LK7GgV/3+yyTSvz033tfs/ZrP65Ho5KfQy61ReIQF14h1/t&#10;TCuIxORzAs8/8QvIxQMAAP//AwBQSwECLQAUAAYACAAAACEA2+H2y+4AAACFAQAAEwAAAAAAAAAA&#10;AAAAAAAAAAAAW0NvbnRlbnRfVHlwZXNdLnhtbFBLAQItABQABgAIAAAAIQBa9CxbvwAAABUBAAAL&#10;AAAAAAAAAAAAAAAAAB8BAABfcmVscy8ucmVsc1BLAQItABQABgAIAAAAIQDTQ9WGxQAAAN8AAAAP&#10;AAAAAAAAAAAAAAAAAAcCAABkcnMvZG93bnJldi54bWxQSwUGAAAAAAMAAwC3AAAA+QIAAAAA&#10;" filled="f" stroked="f">
                  <v:textbox inset="0,0,0,0">
                    <w:txbxContent>
                      <w:p w14:paraId="19F4F612" w14:textId="77777777" w:rsidR="00B32EF2" w:rsidRDefault="00000000">
                        <w:r>
                          <w:rPr>
                            <w:rFonts w:ascii="Arial" w:eastAsia="Arial" w:hAnsi="Arial" w:cs="Arial"/>
                            <w:i/>
                            <w:sz w:val="18"/>
                          </w:rPr>
                          <w:t>2-</w:t>
                        </w:r>
                      </w:p>
                    </w:txbxContent>
                  </v:textbox>
                </v:rect>
                <v:rect id="Rectangle 15447" o:spid="_x0000_s1971" style="position:absolute;left:-11222;top:13868;width:500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fBCxQAAAN4AAAAPAAAAZHJzL2Rvd25yZXYueG1sRE9La8JA&#10;EL4X/A/LCN7qpsWqRFcpiphDL/UBHofsmMRmZ5fsamJ/fbcgeJuP7znzZWdqcaPGV5YVvA0TEMS5&#10;1RUXCg77zesUhA/IGmvLpOBOHpaL3sscU21b/qbbLhQihrBPUUEZgkul9HlJBv3QOuLInW1jMETY&#10;FFI32MZwU8v3JBlLgxXHhhIdrUrKf3ZXo+C0ZpdtWpmff1fu65JN6+31cFRq0O8+ZyACdeEpfrgz&#10;Hed/jEYT+H8n3iAXfwAAAP//AwBQSwECLQAUAAYACAAAACEA2+H2y+4AAACFAQAAEwAAAAAAAAAA&#10;AAAAAAAAAAAAW0NvbnRlbnRfVHlwZXNdLnhtbFBLAQItABQABgAIAAAAIQBa9CxbvwAAABUBAAAL&#10;AAAAAAAAAAAAAAAAAB8BAABfcmVscy8ucmVsc1BLAQItABQABgAIAAAAIQAsvfBCxQAAAN4AAAAP&#10;AAAAAAAAAAAAAAAAAAcCAABkcnMvZG93bnJldi54bWxQSwUGAAAAAAMAAwC3AAAA+QIAAAAA&#10;" filled="f" stroked="f">
                  <v:textbox inset="0,0,0,0">
                    <w:txbxContent>
                      <w:p w14:paraId="018273AD" w14:textId="77777777" w:rsidR="00B32EF2" w:rsidRDefault="00000000">
                        <w:r>
                          <w:rPr>
                            <w:rFonts w:ascii="Arial" w:eastAsia="Arial" w:hAnsi="Arial" w:cs="Arial"/>
                            <w:i/>
                            <w:sz w:val="18"/>
                          </w:rPr>
                          <w:t>con adesione conseguente alla definizione di atti di recupero non è possi</w:t>
                        </w:r>
                      </w:p>
                    </w:txbxContent>
                  </v:textbox>
                </v:rect>
                <v:rect id="Rectangle 15448" o:spid="_x0000_s1972" style="position:absolute;left:657;top:1386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mQwyAAAAN4AAAAPAAAAZHJzL2Rvd25yZXYueG1sRI9Pa8JA&#10;EMXvQr/DMgVvumnRIqmrFIs0h178U+hxyI5J2uzskl1N7Kd3DkJvM7w37/1muR5cqy7Uxcazgadp&#10;Boq49LbhysDxsJ0sQMWEbLH1TAauFGG9ehgtMbe+5x1d9qlSEsIxRwN1SiHXOpY1OYxTH4hFO/nO&#10;YZK1q7TtsJdw1+rnLHvRDhuWhhoDbWoqf/dnZ+D7nUOx7XV5+tuEz59i0X6cj1/GjB+Ht1dQiYb0&#10;b75fF1bw57OZ8Mo7MoNe3QAAAP//AwBQSwECLQAUAAYACAAAACEA2+H2y+4AAACFAQAAEwAAAAAA&#10;AAAAAAAAAAAAAAAAW0NvbnRlbnRfVHlwZXNdLnhtbFBLAQItABQABgAIAAAAIQBa9CxbvwAAABUB&#10;AAALAAAAAAAAAAAAAAAAAB8BAABfcmVscy8ucmVsc1BLAQItABQABgAIAAAAIQBdImQwyAAAAN4A&#10;AAAPAAAAAAAAAAAAAAAAAAcCAABkcnMvZG93bnJldi54bWxQSwUGAAAAAAMAAwC3AAAA/AIAAAAA&#10;" filled="f" stroked="f">
                  <v:textbox inset="0,0,0,0">
                    <w:txbxContent>
                      <w:p w14:paraId="7E9973CE" w14:textId="77777777" w:rsidR="00B32EF2" w:rsidRDefault="00000000">
                        <w:r>
                          <w:rPr>
                            <w:rFonts w:ascii="Arial" w:eastAsia="Arial" w:hAnsi="Arial" w:cs="Arial"/>
                            <w:i/>
                            <w:sz w:val="18"/>
                          </w:rPr>
                          <w:t>-</w:t>
                        </w:r>
                      </w:p>
                    </w:txbxContent>
                  </v:textbox>
                </v:rect>
                <v:rect id="Rectangle 15449" o:spid="_x0000_s1973" style="position:absolute;left:-12183;top:12634;width:509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sGrxQAAAN4AAAAPAAAAZHJzL2Rvd25yZXYueG1sRE9Na8JA&#10;EL0L/Q/LFLzpRrHFRlcRRczBS62FHofsmESzs0t2NbG/3i0UvM3jfc582Zla3KjxlWUFo2ECgji3&#10;uuJCwfFrO5iC8AFZY22ZFNzJw3Lx0ptjqm3Ln3Q7hELEEPYpKihDcKmUPi/JoB9aRxy5k20Mhgib&#10;QuoG2xhuajlOkndpsOLYUKKjdUn55XA1Cn427LJtK/PT79rtz9m03l2P30r1X7vVDESgLjzF/+5M&#10;x/lvk8kH/L0Tb5CLBwAAAP//AwBQSwECLQAUAAYACAAAACEA2+H2y+4AAACFAQAAEwAAAAAAAAAA&#10;AAAAAAAAAAAAW0NvbnRlbnRfVHlwZXNdLnhtbFBLAQItABQABgAIAAAAIQBa9CxbvwAAABUBAAAL&#10;AAAAAAAAAAAAAAAAAB8BAABfcmVscy8ucmVsc1BLAQItABQABgAIAAAAIQAybsGrxQAAAN4AAAAP&#10;AAAAAAAAAAAAAAAAAAcCAABkcnMvZG93bnJldi54bWxQSwUGAAAAAAMAAwC3AAAA+QIAAAAA&#10;" filled="f" stroked="f">
                  <v:textbox inset="0,0,0,0">
                    <w:txbxContent>
                      <w:p w14:paraId="7AFD3B86" w14:textId="77777777" w:rsidR="00B32EF2" w:rsidRDefault="00000000">
                        <w:r>
                          <w:rPr>
                            <w:rFonts w:ascii="Arial" w:eastAsia="Arial" w:hAnsi="Arial" w:cs="Arial"/>
                            <w:i/>
                            <w:sz w:val="18"/>
                          </w:rPr>
                          <w:t xml:space="preserve">bile avvalersi della rateazione e della compensazione prevista dall’ articolo </w:t>
                        </w:r>
                      </w:p>
                    </w:txbxContent>
                  </v:textbox>
                </v:rect>
                <v:rect id="Rectangle 200050" o:spid="_x0000_s1974" style="position:absolute;left:10157;top:11401;width:274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e5qxgAAAN8AAAAPAAAAZHJzL2Rvd25yZXYueG1sRI9Ba8JA&#10;EIXvQv/DMoXedNOCIqmrFIuYQy+1EXocsmMSzc4u2dWk/fWdg9Dj8OZ9j2+1GV2nbtTH1rOB51kG&#10;irjytuXaQPm1my5BxYRssfNMBn4owmb9MFlhbv3An3Q7pFoJhGOOBpqUQq51rBpyGGc+EEt28r3D&#10;JGdfa9vjIHDX6ZcsW2iHLctCg4G2DVWXw9UZ+H7nUOwGXZ1+t+HjXCy7/bU8GvP0OL69gko0pv/n&#10;e7uwBoSYzcVAfMQF9PoPAAD//wMAUEsBAi0AFAAGAAgAAAAhANvh9svuAAAAhQEAABMAAAAAAAAA&#10;AAAAAAAAAAAAAFtDb250ZW50X1R5cGVzXS54bWxQSwECLQAUAAYACAAAACEAWvQsW78AAAAVAQAA&#10;CwAAAAAAAAAAAAAAAAAfAQAAX3JlbHMvLnJlbHNQSwECLQAUAAYACAAAACEATN3uasYAAADfAAAA&#10;DwAAAAAAAAAAAAAAAAAHAgAAZHJzL2Rvd25yZXYueG1sUEsFBgAAAAADAAMAtwAAAPoCAAAAAA==&#10;" filled="f" stroked="f">
                  <v:textbox inset="0,0,0,0">
                    <w:txbxContent>
                      <w:p w14:paraId="68AA30FD" w14:textId="77777777" w:rsidR="00B32EF2" w:rsidRDefault="00000000">
                        <w:r>
                          <w:rPr>
                            <w:rFonts w:ascii="Arial" w:eastAsia="Arial" w:hAnsi="Arial" w:cs="Arial"/>
                            <w:i/>
                            <w:sz w:val="18"/>
                          </w:rPr>
                          <w:t xml:space="preserve"> decreto legislativo 9 luglio 1997, 241. </w:t>
                        </w:r>
                      </w:p>
                    </w:txbxContent>
                  </v:textbox>
                </v:rect>
                <v:rect id="Rectangle 200049" o:spid="_x0000_s1975" style="position:absolute;left:30785;top:11401;width:274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tEqxgAAAN8AAAAPAAAAZHJzL2Rvd25yZXYueG1sRI9Pi8Iw&#10;FMTvC36H8IS9aaosol2jiCLbgxf/wR4fzbPtbvMSmmi7fnojCHscZuY3zHzZmVrcqPGVZQWjYQKC&#10;OLe64kLB6bgdTEH4gKyxtkwK/sjDctF7m2Oqbct7uh1CISKEfYoKyhBcKqXPSzLoh9YRR+9iG4Mh&#10;yqaQusE2wk0tx0kykQYrjgslOlqXlP8erkbB94Zdtm1lfrmv3e4nm9Zf19NZqfd+t/oEEagL/+FX&#10;O9MKIjH5mMHzT/wCcvEAAAD//wMAUEsBAi0AFAAGAAgAAAAhANvh9svuAAAAhQEAABMAAAAAAAAA&#10;AAAAAAAAAAAAAFtDb250ZW50X1R5cGVzXS54bWxQSwECLQAUAAYACAAAACEAWvQsW78AAAAVAQAA&#10;CwAAAAAAAAAAAAAAAAAfAQAAX3JlbHMvLnJlbHNQSwECLQAUAAYACAAAACEAWD7RKsYAAADfAAAA&#10;DwAAAAAAAAAAAAAAAAAHAgAAZHJzL2Rvd25yZXYueG1sUEsFBgAAAAADAAMAtwAAAPoCAAAAAA==&#10;" filled="f" stroked="f">
                  <v:textbox inset="0,0,0,0">
                    <w:txbxContent>
                      <w:p w14:paraId="2B569EFF" w14:textId="77777777" w:rsidR="00B32EF2" w:rsidRDefault="00000000">
                        <w:r>
                          <w:rPr>
                            <w:rFonts w:ascii="Arial" w:eastAsia="Arial" w:hAnsi="Arial" w:cs="Arial"/>
                            <w:i/>
                            <w:sz w:val="18"/>
                          </w:rPr>
                          <w:t>17</w:t>
                        </w:r>
                      </w:p>
                    </w:txbxContent>
                  </v:textbox>
                </v:rect>
                <v:rect id="Rectangle 200046" o:spid="_x0000_s1976" style="position:absolute;left:25766;top:10168;width:500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UVYxwAAAN8AAAAPAAAAZHJzL2Rvd25yZXYueG1sRI/NasMw&#10;EITvhb6D2EJutdwQQnCihJIQ4kMvTR3IcbE2tltrJSz5J336qlDocZiZb5jNbjKtGKjzjWUFL0kK&#10;gri0uuFKQfFxfF6B8AFZY2uZFNzJw277+LDBTNuR32k4h0pECPsMFdQhuExKX9Zk0CfWEUfvZjuD&#10;IcqukrrDMcJNK+dpupQGG44LNTra11R+nXuj4Hpglx9HWd6+9+7tM1+1p764KDV7ml7XIAJN4T/8&#10;1861gkhMF0v4/RO/gNz+AAAA//8DAFBLAQItABQABgAIAAAAIQDb4fbL7gAAAIUBAAATAAAAAAAA&#10;AAAAAAAAAAAAAABbQ29udGVudF9UeXBlc10ueG1sUEsBAi0AFAAGAAgAAAAhAFr0LFu/AAAAFQEA&#10;AAsAAAAAAAAAAAAAAAAAHwEAAF9yZWxzLy5yZWxzUEsBAi0AFAAGAAgAAAAhACmhRVjHAAAA3wAA&#10;AA8AAAAAAAAAAAAAAAAABwIAAGRycy9kb3ducmV2LnhtbFBLBQYAAAAAAwADALcAAAD7AgAAAAA=&#10;" filled="f" stroked="f">
                  <v:textbox inset="0,0,0,0">
                    <w:txbxContent>
                      <w:p w14:paraId="6C0A5F9F" w14:textId="77777777" w:rsidR="00B32EF2" w:rsidRDefault="00000000">
                        <w:r>
                          <w:rPr>
                            <w:rFonts w:ascii="Arial" w:eastAsia="Arial" w:hAnsi="Arial" w:cs="Arial"/>
                            <w:i/>
                            <w:sz w:val="18"/>
                          </w:rPr>
                          <w:t>3</w:t>
                        </w:r>
                      </w:p>
                    </w:txbxContent>
                  </v:textbox>
                </v:rect>
                <v:rect id="Rectangle 200048" o:spid="_x0000_s1977" style="position:absolute;left:-11881;top:10168;width:500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nSxxwAAAN8AAAAPAAAAZHJzL2Rvd25yZXYueG1sRI/BasJA&#10;EIbvQt9hmUJvumkRkdRVikXMoZfaCD0O2TGJZmeX7GrSPn3nIPQ4/PN/M99qM7pO3aiPrWcDz7MM&#10;FHHlbcu1gfJrN12CignZYueZDPxQhM36YbLC3PqBP+l2SLUSCMccDTQphVzrWDXkMM58IJbs5HuH&#10;Sca+1rbHQeCu0y9ZttAOW5YLDQbaNlRdDldn4PudQ7EbdHX63YaPc7Hs9tfyaMzT4/j2CirRmP6X&#10;7+3CGhBiNpeHxUdcQK//AAAA//8DAFBLAQItABQABgAIAAAAIQDb4fbL7gAAAIUBAAATAAAAAAAA&#10;AAAAAAAAAAAAAABbQ29udGVudF9UeXBlc10ueG1sUEsBAi0AFAAGAAgAAAAhAFr0LFu/AAAAFQEA&#10;AAsAAAAAAAAAAAAAAAAAHwEAAF9yZWxzLy5yZWxzUEsBAi0AFAAGAAgAAAAhADdydLHHAAAA3wAA&#10;AA8AAAAAAAAAAAAAAAAABwIAAGRycy9kb3ducmV2LnhtbFBLBQYAAAAAAwADALcAAAD7AgAAAAA=&#10;" filled="f" stroked="f">
                  <v:textbox inset="0,0,0,0">
                    <w:txbxContent>
                      <w:p w14:paraId="484C602B" w14:textId="77777777" w:rsidR="00B32EF2" w:rsidRDefault="00000000">
                        <w:r>
                          <w:rPr>
                            <w:rFonts w:ascii="Arial" w:eastAsia="Arial" w:hAnsi="Arial" w:cs="Arial"/>
                            <w:i/>
                            <w:sz w:val="18"/>
                          </w:rPr>
                          <w:t>. Entro dieci giorni dal versamento dell’intero importo o di quello della pri</w:t>
                        </w:r>
                      </w:p>
                    </w:txbxContent>
                  </v:textbox>
                </v:rect>
                <v:rect id="Rectangle 15452" o:spid="_x0000_s1978" style="position:absolute;left:657;top:1016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8UHxAAAAN4AAAAPAAAAZHJzL2Rvd25yZXYueG1sRE9Ni8Iw&#10;EL0L/ocwgjdNFV2kaxRRxB72sq4Lexyasa02k9BEW/31m4UFb/N4n7Ncd6YWd2p8ZVnBZJyAIM6t&#10;rrhQcPrajxYgfEDWWFsmBQ/ysF71e0tMtW35k+7HUIgYwj5FBWUILpXS5yUZ9GPriCN3to3BEGFT&#10;SN1gG8NNLadJ8iYNVhwbSnS0LSm/Hm9Gwc+OXbZvZX5+bt3HJVvUh9vpW6nhoNu8gwjUhZf4353p&#10;OH8+m0/h7514g1z9AgAA//8DAFBLAQItABQABgAIAAAAIQDb4fbL7gAAAIUBAAATAAAAAAAAAAAA&#10;AAAAAAAAAABbQ29udGVudF9UeXBlc10ueG1sUEsBAi0AFAAGAAgAAAAhAFr0LFu/AAAAFQEAAAsA&#10;AAAAAAAAAAAAAAAAHwEAAF9yZWxzLy5yZWxzUEsBAi0AFAAGAAgAAAAhALkTxQfEAAAA3gAAAA8A&#10;AAAAAAAAAAAAAAAABwIAAGRycy9kb3ducmV2LnhtbFBLBQYAAAAAAwADALcAAAD4AgAAAAA=&#10;" filled="f" stroked="f">
                  <v:textbox inset="0,0,0,0">
                    <w:txbxContent>
                      <w:p w14:paraId="1778A441" w14:textId="77777777" w:rsidR="00B32EF2" w:rsidRDefault="00000000">
                        <w:r>
                          <w:rPr>
                            <w:rFonts w:ascii="Arial" w:eastAsia="Arial" w:hAnsi="Arial" w:cs="Arial"/>
                            <w:i/>
                            <w:sz w:val="18"/>
                          </w:rPr>
                          <w:t>-</w:t>
                        </w:r>
                      </w:p>
                    </w:txbxContent>
                  </v:textbox>
                </v:rect>
                <v:rect id="Rectangle 15453" o:spid="_x0000_s1979" style="position:absolute;left:-11225;top:8935;width:5004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2CcxQAAAN4AAAAPAAAAZHJzL2Rvd25yZXYueG1sRE9La8JA&#10;EL4L/odlBG+6aasi0VWKRcyhl/oAj0N2TGKzs0t2NbG/vlsoeJuP7znLdWdqcafGV5YVvIwTEMS5&#10;1RUXCo6H7WgOwgdkjbVlUvAgD+tVv7fEVNuWv+i+D4WIIexTVFCG4FIpfV6SQT+2jjhyF9sYDBE2&#10;hdQNtjHc1PI1SWbSYMWxoURHm5Ly7/3NKDh/sMu2rcwvPxv3ec3m9e52PCk1HHTvCxCBuvAU/7sz&#10;HedPJ9M3+Hsn3iBXvwAAAP//AwBQSwECLQAUAAYACAAAACEA2+H2y+4AAACFAQAAEwAAAAAAAAAA&#10;AAAAAAAAAAAAW0NvbnRlbnRfVHlwZXNdLnhtbFBLAQItABQABgAIAAAAIQBa9CxbvwAAABUBAAAL&#10;AAAAAAAAAAAAAAAAAB8BAABfcmVscy8ucmVsc1BLAQItABQABgAIAAAAIQDWX2CcxQAAAN4AAAAP&#10;AAAAAAAAAAAAAAAAAAcCAABkcnMvZG93bnJldi54bWxQSwUGAAAAAAMAAwC3AAAA+QIAAAAA&#10;" filled="f" stroked="f">
                  <v:textbox inset="0,0,0,0">
                    <w:txbxContent>
                      <w:p w14:paraId="23A45FB1" w14:textId="77777777" w:rsidR="00B32EF2" w:rsidRDefault="00000000">
                        <w:r>
                          <w:rPr>
                            <w:rFonts w:ascii="Arial" w:eastAsia="Arial" w:hAnsi="Arial" w:cs="Arial"/>
                            <w:i/>
                            <w:sz w:val="18"/>
                          </w:rPr>
                          <w:t>ma rata il contribuente fa pervenire all’ufficio la quietanza dell’avvenuto pa</w:t>
                        </w:r>
                      </w:p>
                    </w:txbxContent>
                  </v:textbox>
                </v:rect>
                <v:rect id="Rectangle 15454" o:spid="_x0000_s1980" style="position:absolute;left:657;top:8935;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vjoxAAAAN4AAAAPAAAAZHJzL2Rvd25yZXYueG1sRE9Ni8Iw&#10;EL0L/ocwgjdNFV2kaxRRxB72sq4Lexyasa02k9BEW/31m4UFb/N4n7Ncd6YWd2p8ZVnBZJyAIM6t&#10;rrhQcPrajxYgfEDWWFsmBQ/ysF71e0tMtW35k+7HUIgYwj5FBWUILpXS5yUZ9GPriCN3to3BEGFT&#10;SN1gG8NNLadJ8iYNVhwbSnS0LSm/Hm9Gwc+OXbZvZX5+bt3HJVvUh9vpW6nhoNu8gwjUhZf4353p&#10;OH8+m8/g7514g1z9AgAA//8DAFBLAQItABQABgAIAAAAIQDb4fbL7gAAAIUBAAATAAAAAAAAAAAA&#10;AAAAAAAAAABbQ29udGVudF9UeXBlc10ueG1sUEsBAi0AFAAGAAgAAAAhAFr0LFu/AAAAFQEAAAsA&#10;AAAAAAAAAAAAAAAAHwEAAF9yZWxzLy5yZWxzUEsBAi0AFAAGAAgAAAAhAFm2+OjEAAAA3gAAAA8A&#10;AAAAAAAAAAAAAAAABwIAAGRycy9kb3ducmV2LnhtbFBLBQYAAAAAAwADALcAAAD4AgAAAAA=&#10;" filled="f" stroked="f">
                  <v:textbox inset="0,0,0,0">
                    <w:txbxContent>
                      <w:p w14:paraId="0395FE83" w14:textId="77777777" w:rsidR="00B32EF2" w:rsidRDefault="00000000">
                        <w:r>
                          <w:rPr>
                            <w:rFonts w:ascii="Arial" w:eastAsia="Arial" w:hAnsi="Arial" w:cs="Arial"/>
                            <w:i/>
                            <w:sz w:val="18"/>
                          </w:rPr>
                          <w:t>-</w:t>
                        </w:r>
                      </w:p>
                    </w:txbxContent>
                  </v:textbox>
                </v:rect>
                <v:rect id="Rectangle 15455" o:spid="_x0000_s1981" style="position:absolute;left:-12189;top:7701;width:510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1zxAAAAN4AAAAPAAAAZHJzL2Rvd25yZXYueG1sRE9Na8JA&#10;EL0X+h+WEbzVjWJEUlcpFjEHL1ULPQ7ZMUmbnV2yq4n+ercgeJvH+5zFqjeNuFDra8sKxqMEBHFh&#10;dc2lguNh8zYH4QOyxsYyKbiSh9Xy9WWBmbYdf9FlH0oRQ9hnqKAKwWVS+qIig35kHXHkTrY1GCJs&#10;S6lb7GK4aeQkSWbSYM2xoUJH64qKv/3ZKPj5ZJdvOlmcbmu3+83nzfZ8/FZqOOg/3kEE6sNT/HDn&#10;Os5Pp2kK/+/EG+TyDgAA//8DAFBLAQItABQABgAIAAAAIQDb4fbL7gAAAIUBAAATAAAAAAAAAAAA&#10;AAAAAAAAAABbQ29udGVudF9UeXBlc10ueG1sUEsBAi0AFAAGAAgAAAAhAFr0LFu/AAAAFQEAAAsA&#10;AAAAAAAAAAAAAAAAHwEAAF9yZWxzLy5yZWxzUEsBAi0AFAAGAAgAAAAhADb6XXPEAAAA3gAAAA8A&#10;AAAAAAAAAAAAAAAABwIAAGRycy9kb3ducmV2LnhtbFBLBQYAAAAAAwADALcAAAD4AgAAAAA=&#10;" filled="f" stroked="f">
                  <v:textbox inset="0,0,0,0">
                    <w:txbxContent>
                      <w:p w14:paraId="4EC58EBB" w14:textId="77777777" w:rsidR="00B32EF2" w:rsidRDefault="00000000">
                        <w:r>
                          <w:rPr>
                            <w:rFonts w:ascii="Arial" w:eastAsia="Arial" w:hAnsi="Arial" w:cs="Arial"/>
                            <w:i/>
                            <w:sz w:val="18"/>
                          </w:rPr>
                          <w:t xml:space="preserve">gamento. L’ufficio, verificato l’avvenuto pagamento, rilascia al contribuente </w:t>
                        </w:r>
                      </w:p>
                    </w:txbxContent>
                  </v:textbox>
                </v:rect>
                <v:rect id="Rectangle 15456" o:spid="_x0000_s1982" style="position:absolute;left:7971;top:6468;width:308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MMExAAAAN4AAAAPAAAAZHJzL2Rvd25yZXYueG1sRE9Ni8Iw&#10;EL0L/ocwgjdNlVWkaxRRZHvwsq4Lexyasa02k9BEW/31m4UFb/N4n7Ncd6YWd2p8ZVnBZJyAIM6t&#10;rrhQcPrajxYgfEDWWFsmBQ/ysF71e0tMtW35k+7HUIgYwj5FBWUILpXS5yUZ9GPriCN3to3BEGFT&#10;SN1gG8NNLadJMpcGK44NJTralpRfjzej4GfHLtu3Mj8/t+5wyRb1x+30rdRw0G3eQQTqwkv87850&#10;nD97m83h7514g1z9AgAA//8DAFBLAQItABQABgAIAAAAIQDb4fbL7gAAAIUBAAATAAAAAAAAAAAA&#10;AAAAAAAAAABbQ29udGVudF9UeXBlc10ueG1sUEsBAi0AFAAGAAgAAAAhAFr0LFu/AAAAFQEAAAsA&#10;AAAAAAAAAAAAAAAAHwEAAF9yZWxzLy5yZWxzUEsBAi0AFAAGAAgAAAAhAMYowwTEAAAA3gAAAA8A&#10;AAAAAAAAAAAAAAAABwIAAGRycy9kb3ducmV2LnhtbFBLBQYAAAAAAwADALcAAAD4AgAAAAA=&#10;" filled="f" stroked="f">
                  <v:textbox inset="0,0,0,0">
                    <w:txbxContent>
                      <w:p w14:paraId="2FD375CF" w14:textId="77777777" w:rsidR="00B32EF2" w:rsidRDefault="00000000">
                        <w:r>
                          <w:rPr>
                            <w:rFonts w:ascii="Arial" w:eastAsia="Arial" w:hAnsi="Arial" w:cs="Arial"/>
                            <w:i/>
                            <w:sz w:val="18"/>
                          </w:rPr>
                          <w:t>copia dell’atto di accertamento con adesione.</w:t>
                        </w:r>
                      </w:p>
                    </w:txbxContent>
                  </v:textbox>
                </v:rect>
                <v:rect id="Rectangle 200043" o:spid="_x0000_s1983" style="position:absolute;left:25768;top:5235;width:500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ubAxgAAAN8AAAAPAAAAZHJzL2Rvd25yZXYueG1sRI9Pi8Iw&#10;FMTvgt8hPMGbprqySNcoosj24GX9A3t8NM+2u81LaKKtfnqzsOBxmJnfMItVZ2pxo8ZXlhVMxgkI&#10;4tzqigsFp+NuNAfhA7LG2jIpuJOH1bLfW2CqbctfdDuEQkQI+xQVlCG4VEqfl2TQj60jjt7FNgZD&#10;lE0hdYNthJtaTpPkXRqsOC6U6GhTUv57uBoF31t22a6V+eWxcfufbF5/Xk9npYaDbv0BIlAXXuH/&#10;dqYVRGIye4O/P/ELyOUTAAD//wMAUEsBAi0AFAAGAAgAAAAhANvh9svuAAAAhQEAABMAAAAAAAAA&#10;AAAAAAAAAAAAAFtDb250ZW50X1R5cGVzXS54bWxQSwECLQAUAAYACAAAACEAWvQsW78AAAAVAQAA&#10;CwAAAAAAAAAAAAAAAAAfAQAAX3JlbHMvLnJlbHNQSwECLQAUAAYACAAAACEAOdbmwMYAAADfAAAA&#10;DwAAAAAAAAAAAAAAAAAHAgAAZHJzL2Rvd25yZXYueG1sUEsFBgAAAAADAAMAtwAAAPoCAAAAAA==&#10;" filled="f" stroked="f">
                  <v:textbox inset="0,0,0,0">
                    <w:txbxContent>
                      <w:p w14:paraId="70AE8641" w14:textId="77777777" w:rsidR="00B32EF2" w:rsidRDefault="00000000">
                        <w:r>
                          <w:rPr>
                            <w:rFonts w:ascii="Arial" w:eastAsia="Arial" w:hAnsi="Arial" w:cs="Arial"/>
                            <w:i/>
                            <w:sz w:val="18"/>
                          </w:rPr>
                          <w:t>4</w:t>
                        </w:r>
                      </w:p>
                    </w:txbxContent>
                  </v:textbox>
                </v:rect>
                <v:rect id="Rectangle 200044" o:spid="_x0000_s1984" style="position:absolute;left:-11865;top:5235;width:50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360xQAAAN8AAAAPAAAAZHJzL2Rvd25yZXYueG1sRI9Pi8Iw&#10;FMTvC36H8ARva+oiIl2jiIvYw178B3t8NM+22ryEJtqun94IgsdhZn7DzBadqcWNGl9ZVjAaJiCI&#10;c6srLhQc9uvPKQgfkDXWlknBP3lYzHsfM0y1bXlLt10oRISwT1FBGYJLpfR5SQb90Dri6J1sYzBE&#10;2RRSN9hGuKnlV5JMpMGK40KJjlYl5Zfd1Sj4+2GXrVuZn+4r93vOpvXmejgqNeh3y28QgbrwDr/a&#10;mVYQicl4DM8/8QvI+QMAAP//AwBQSwECLQAUAAYACAAAACEA2+H2y+4AAACFAQAAEwAAAAAAAAAA&#10;AAAAAAAAAAAAW0NvbnRlbnRfVHlwZXNdLnhtbFBLAQItABQABgAIAAAAIQBa9CxbvwAAABUBAAAL&#10;AAAAAAAAAAAAAAAAAB8BAABfcmVscy8ucmVsc1BLAQItABQABgAIAAAAIQC2P360xQAAAN8AAAAP&#10;AAAAAAAAAAAAAAAAAAcCAABkcnMvZG93bnJldi54bWxQSwUGAAAAAAMAAwC3AAAA+QIAAAAA&#10;" filled="f" stroked="f">
                  <v:textbox inset="0,0,0,0">
                    <w:txbxContent>
                      <w:p w14:paraId="1AF12B06" w14:textId="77777777" w:rsidR="00B32EF2" w:rsidRDefault="00000000">
                        <w:r>
                          <w:rPr>
                            <w:rFonts w:ascii="Arial" w:eastAsia="Arial" w:hAnsi="Arial" w:cs="Arial"/>
                            <w:i/>
                            <w:sz w:val="18"/>
                          </w:rPr>
                          <w:t>. Per le modalità di versamento delle somme dovute si applicano le dispo</w:t>
                        </w:r>
                      </w:p>
                    </w:txbxContent>
                  </v:textbox>
                </v:rect>
                <v:rect id="Rectangle 15458" o:spid="_x0000_s1985" style="position:absolute;left:657;top:523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txwAAAN4AAAAPAAAAZHJzL2Rvd25yZXYueG1sRI9Ba8JA&#10;EIXvQv/DMoXedFOpIqmrFIuYg5eqhR6H7Jikzc4u2dWk/fXOoeBthvfmvW+W68G16kpdbDwbeJ5k&#10;oIhLbxuuDJyO2/ECVEzIFlvPZOCXIqxXD6Ml5tb3/EHXQ6qUhHDM0UCdUsi1jmVNDuPEB2LRzr5z&#10;mGTtKm077CXctXqaZXPtsGFpqDHQpqby53BxBr7eORTbXpfnv03YfxeLdnc5fRrz9Di8vYJKNKS7&#10;+f+6sII/e5kJr7wjM+jVDQAA//8DAFBLAQItABQABgAIAAAAIQDb4fbL7gAAAIUBAAATAAAAAAAA&#10;AAAAAAAAAAAAAABbQ29udGVudF9UeXBlc10ueG1sUEsBAi0AFAAGAAgAAAAhAFr0LFu/AAAAFQEA&#10;AAsAAAAAAAAAAAAAAAAAHwEAAF9yZWxzLy5yZWxzUEsBAi0AFAAGAAgAAAAhANj78u3HAAAA3gAA&#10;AA8AAAAAAAAAAAAAAAAABwIAAGRycy9kb3ducmV2LnhtbFBLBQYAAAAAAwADALcAAAD7AgAAAAA=&#10;" filled="f" stroked="f">
                  <v:textbox inset="0,0,0,0">
                    <w:txbxContent>
                      <w:p w14:paraId="40DA292E" w14:textId="77777777" w:rsidR="00B32EF2" w:rsidRDefault="00000000">
                        <w:r>
                          <w:rPr>
                            <w:rFonts w:ascii="Arial" w:eastAsia="Arial" w:hAnsi="Arial" w:cs="Arial"/>
                            <w:i/>
                            <w:sz w:val="18"/>
                          </w:rPr>
                          <w:t>-</w:t>
                        </w:r>
                      </w:p>
                    </w:txbxContent>
                  </v:textbox>
                </v:rect>
                <v:rect id="Rectangle 15459" o:spid="_x0000_s1986" style="position:absolute;left:-12238;top:4001;width:511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1d2xQAAAN4AAAAPAAAAZHJzL2Rvd25yZXYueG1sRE9Na8JA&#10;EL0X+h+WKXirG0WLja4iipiDl1oLPQ7ZMYlmZ5fsaqK/3i0UvM3jfc5s0ZlaXKnxlWUFg34Cgji3&#10;uuJCweF78z4B4QOyxtoyKbiRh8X89WWGqbYtf9F1HwoRQ9inqKAMwaVS+rwkg75vHXHkjrYxGCJs&#10;CqkbbGO4qeUwST6kwYpjQ4mOViXl5/3FKPhds8s2rcyP95XbnbJJvb0cfpTqvXXLKYhAXXiK/92Z&#10;jvPHo/En/L0Tb5DzBwAAAP//AwBQSwECLQAUAAYACAAAACEA2+H2y+4AAACFAQAAEwAAAAAAAAAA&#10;AAAAAAAAAAAAW0NvbnRlbnRfVHlwZXNdLnhtbFBLAQItABQABgAIAAAAIQBa9CxbvwAAABUBAAAL&#10;AAAAAAAAAAAAAAAAAB8BAABfcmVscy8ucmVsc1BLAQItABQABgAIAAAAIQC3t1d2xQAAAN4AAAAP&#10;AAAAAAAAAAAAAAAAAAcCAABkcnMvZG93bnJldi54bWxQSwUGAAAAAAMAAwC3AAAA+QIAAAAA&#10;" filled="f" stroked="f">
                  <v:textbox inset="0,0,0,0">
                    <w:txbxContent>
                      <w:p w14:paraId="7313DE41" w14:textId="77777777" w:rsidR="00B32EF2" w:rsidRDefault="00000000">
                        <w:r>
                          <w:rPr>
                            <w:rFonts w:ascii="Arial" w:eastAsia="Arial" w:hAnsi="Arial" w:cs="Arial"/>
                            <w:i/>
                            <w:sz w:val="18"/>
                          </w:rPr>
                          <w:t xml:space="preserve">sizioni di cui all’articolo 15-bis. In caso di inadempimento nei pagamenti </w:t>
                        </w:r>
                      </w:p>
                    </w:txbxContent>
                  </v:textbox>
                </v:rect>
                <v:rect id="Rectangle 15460" o:spid="_x0000_s1987" style="position:absolute;left:-12222;top:2768;width:511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TRWyAAAAN4AAAAPAAAAZHJzL2Rvd25yZXYueG1sRI9Pa8JA&#10;EMXvQr/DMoXedFOpIqmrFIuYgxf/FHocsmOSNju7ZFeT9tM7h0JvM8yb995vuR5cq27UxcazgedJ&#10;Boq49LbhysD5tB0vQMWEbLH1TAZ+KMJ69TBaYm59zwe6HVOlxIRjjgbqlEKudSxrchgnPhDL7eI7&#10;h0nWrtK2w17MXaunWTbXDhuWhBoDbWoqv49XZ+DznUOx7XV5+d2E/VexaHfX84cxT4/D2yuoREP6&#10;F/99F1bqz17mAiA4MoNe3QEAAP//AwBQSwECLQAUAAYACAAAACEA2+H2y+4AAACFAQAAEwAAAAAA&#10;AAAAAAAAAAAAAAAAW0NvbnRlbnRfVHlwZXNdLnhtbFBLAQItABQABgAIAAAAIQBa9CxbvwAAABUB&#10;AAALAAAAAAAAAAAAAAAAAB8BAABfcmVscy8ucmVsc1BLAQItABQABgAIAAAAIQDo4TRWyAAAAN4A&#10;AAAPAAAAAAAAAAAAAAAAAAcCAABkcnMvZG93bnJldi54bWxQSwUGAAAAAAMAAwC3AAAA/AIAAAAA&#10;" filled="f" stroked="f">
                  <v:textbox inset="0,0,0,0">
                    <w:txbxContent>
                      <w:p w14:paraId="7613C7AD" w14:textId="77777777" w:rsidR="00B32EF2" w:rsidRDefault="00000000">
                        <w:r>
                          <w:rPr>
                            <w:rFonts w:ascii="Arial" w:eastAsia="Arial" w:hAnsi="Arial" w:cs="Arial"/>
                            <w:i/>
                            <w:sz w:val="18"/>
                          </w:rPr>
                          <w:t xml:space="preserve">rateali si applicano le disposizioni di cui all’articolo 15-ter del decreto del </w:t>
                        </w:r>
                      </w:p>
                    </w:txbxContent>
                  </v:textbox>
                </v:rect>
                <v:rect id="Rectangle 15461" o:spid="_x0000_s1988" style="position:absolute;left:921;top:1535;width:378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ZHNxAAAAN4AAAAPAAAAZHJzL2Rvd25yZXYueG1sRE9Li8Iw&#10;EL4v7H8Is+BtTRVXpBplcRF72Isv8Dg0Y1ttJqGJtvrrzcKCt/n4njNbdKYWN2p8ZVnBoJ+AIM6t&#10;rrhQsN+tPicgfEDWWFsmBXfysJi/v80w1bblDd22oRAxhH2KCsoQXCqlz0sy6PvWEUfuZBuDIcKm&#10;kLrBNoabWg6TZCwNVhwbSnS0LCm/bK9GwfGHXbZqZX56LN3vOZvU6+v+oFTvo/ueggjUhZf4353p&#10;OP9rNB7A3zvxBjl/AgAA//8DAFBLAQItABQABgAIAAAAIQDb4fbL7gAAAIUBAAATAAAAAAAAAAAA&#10;AAAAAAAAAABbQ29udGVudF9UeXBlc10ueG1sUEsBAi0AFAAGAAgAAAAhAFr0LFu/AAAAFQEAAAsA&#10;AAAAAAAAAAAAAAAAHwEAAF9yZWxzLy5yZWxzUEsBAi0AFAAGAAgAAAAhAIetkc3EAAAA3gAAAA8A&#10;AAAAAAAAAAAAAAAABwIAAGRycy9kb3ducmV2LnhtbFBLBQYAAAAAAwADALcAAAD4AgAAAAA=&#10;" filled="f" stroked="f">
                  <v:textbox inset="0,0,0,0">
                    <w:txbxContent>
                      <w:p w14:paraId="0540DA2A" w14:textId="77777777" w:rsidR="00B32EF2" w:rsidRDefault="00000000">
                        <w:r>
                          <w:rPr>
                            <w:rFonts w:ascii="Arial" w:eastAsia="Arial" w:hAnsi="Arial" w:cs="Arial"/>
                            <w:i/>
                            <w:sz w:val="18"/>
                          </w:rPr>
                          <w:t>Presidente della Repubblica 29 settembre 1973, n. 602.</w:t>
                        </w:r>
                      </w:p>
                    </w:txbxContent>
                  </v:textbox>
                </v:rect>
                <v:shape id="Shape 15462" o:spid="_x0000_s1989" style="position:absolute;width:39600;height:46913;visibility:visible;mso-wrap-style:square;v-text-anchor:top" coordsize="3960000,469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C/nxAAAAN4AAAAPAAAAZHJzL2Rvd25yZXYueG1sRE9NawIx&#10;EL0X+h/CCL3VrFJFtkZpBUtvtqug3oZkurt0M1mS6K7+elMoeJvH+5z5sreNOJMPtWMFo2EGglg7&#10;U3OpYLddP89AhIhssHFMCi4UYLl4fJhjblzH33QuYilSCIccFVQxtrmUQVdkMQxdS5y4H+ctxgR9&#10;KY3HLoXbRo6zbCot1pwaKmxpVZH+LU5Wwdb6ev3+pY+H4rIp5LXbf2hipZ4G/dsriEh9vIv/3Z8m&#10;zZ+8TMfw9066QS5uAAAA//8DAFBLAQItABQABgAIAAAAIQDb4fbL7gAAAIUBAAATAAAAAAAAAAAA&#10;AAAAAAAAAABbQ29udGVudF9UeXBlc10ueG1sUEsBAi0AFAAGAAgAAAAhAFr0LFu/AAAAFQEAAAsA&#10;AAAAAAAAAAAAAAAAHwEAAF9yZWxzLy5yZWxzUEsBAi0AFAAGAAgAAAAhAPPUL+fEAAAA3gAAAA8A&#10;AAAAAAAAAAAAAAAABwIAAGRycy9kb3ducmV2LnhtbFBLBQYAAAAAAwADALcAAAD4AgAAAAA=&#10;" path="m,4691304r3960000,l3960000,,,,,4691304xe" filled="f" strokeweight="1pt">
                  <v:stroke miterlimit="1" joinstyle="miter"/>
                  <v:path arrowok="t" textboxrect="0,0,3960000,4691304"/>
                </v:shape>
                <w10:anchorlock/>
              </v:group>
            </w:pict>
          </mc:Fallback>
        </mc:AlternateContent>
      </w:r>
    </w:p>
    <w:p w14:paraId="563E865D" w14:textId="77777777" w:rsidR="00B32EF2" w:rsidRDefault="00000000">
      <w:pPr>
        <w:spacing w:after="0"/>
        <w:ind w:left="-296" w:right="-316"/>
      </w:pPr>
      <w:r>
        <w:rPr>
          <w:noProof/>
        </w:rPr>
        <w:lastRenderedPageBreak/>
        <mc:AlternateContent>
          <mc:Choice Requires="wpg">
            <w:drawing>
              <wp:inline distT="0" distB="0" distL="0" distR="0" wp14:anchorId="12A599DB" wp14:editId="760C1396">
                <wp:extent cx="3960001" cy="6256497"/>
                <wp:effectExtent l="0" t="0" r="0" b="0"/>
                <wp:docPr id="200176" name="Group 200176"/>
                <wp:cNvGraphicFramePr/>
                <a:graphic xmlns:a="http://schemas.openxmlformats.org/drawingml/2006/main">
                  <a:graphicData uri="http://schemas.microsoft.com/office/word/2010/wordprocessingGroup">
                    <wpg:wgp>
                      <wpg:cNvGrpSpPr/>
                      <wpg:grpSpPr>
                        <a:xfrm>
                          <a:off x="0" y="0"/>
                          <a:ext cx="3960001" cy="6256497"/>
                          <a:chOff x="0" y="0"/>
                          <a:chExt cx="3960001" cy="6256497"/>
                        </a:xfrm>
                      </wpg:grpSpPr>
                      <wps:wsp>
                        <wps:cNvPr id="15483" name="Rectangle 15483"/>
                        <wps:cNvSpPr/>
                        <wps:spPr>
                          <a:xfrm rot="-10799999">
                            <a:off x="1862337" y="-62190"/>
                            <a:ext cx="178369" cy="250646"/>
                          </a:xfrm>
                          <a:prstGeom prst="rect">
                            <a:avLst/>
                          </a:prstGeom>
                          <a:ln>
                            <a:noFill/>
                          </a:ln>
                        </wps:spPr>
                        <wps:txbx>
                          <w:txbxContent>
                            <w:p w14:paraId="695B7112" w14:textId="77777777" w:rsidR="00B32EF2" w:rsidRDefault="00000000">
                              <w:r>
                                <w:rPr>
                                  <w:rFonts w:ascii="Times New Roman" w:eastAsia="Times New Roman" w:hAnsi="Times New Roman" w:cs="Times New Roman"/>
                                </w:rPr>
                                <w:t>91</w:t>
                              </w:r>
                            </w:p>
                          </w:txbxContent>
                        </wps:txbx>
                        <wps:bodyPr horzOverflow="overflow" vert="horz" lIns="0" tIns="0" rIns="0" bIns="0" rtlCol="0">
                          <a:noAutofit/>
                        </wps:bodyPr>
                      </wps:wsp>
                      <wps:wsp>
                        <wps:cNvPr id="207776" name="Shape 207776"/>
                        <wps:cNvSpPr/>
                        <wps:spPr>
                          <a:xfrm>
                            <a:off x="1" y="473194"/>
                            <a:ext cx="3960000" cy="5783301"/>
                          </a:xfrm>
                          <a:custGeom>
                            <a:avLst/>
                            <a:gdLst/>
                            <a:ahLst/>
                            <a:cxnLst/>
                            <a:rect l="0" t="0" r="0" b="0"/>
                            <a:pathLst>
                              <a:path w="3960000" h="5783301">
                                <a:moveTo>
                                  <a:pt x="0" y="0"/>
                                </a:moveTo>
                                <a:lnTo>
                                  <a:pt x="3960000" y="0"/>
                                </a:lnTo>
                                <a:lnTo>
                                  <a:pt x="3960000" y="5783301"/>
                                </a:lnTo>
                                <a:lnTo>
                                  <a:pt x="0" y="5783301"/>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5485" name="Rectangle 15485"/>
                        <wps:cNvSpPr/>
                        <wps:spPr>
                          <a:xfrm rot="-10799999">
                            <a:off x="-1122829" y="6035263"/>
                            <a:ext cx="5004482" cy="142891"/>
                          </a:xfrm>
                          <a:prstGeom prst="rect">
                            <a:avLst/>
                          </a:prstGeom>
                          <a:ln>
                            <a:noFill/>
                          </a:ln>
                        </wps:spPr>
                        <wps:txbx>
                          <w:txbxContent>
                            <w:p w14:paraId="4C038A68" w14:textId="77777777" w:rsidR="00B32EF2" w:rsidRDefault="00000000">
                              <w:r>
                                <w:rPr>
                                  <w:rFonts w:ascii="Arial" w:eastAsia="Arial" w:hAnsi="Arial" w:cs="Arial"/>
                                  <w:i/>
                                  <w:sz w:val="18"/>
                                </w:rPr>
                                <w:t>art. 38 D.lgs. 173/2024 “Ritardati od omessi versamenti diretti e altre viola</w:t>
                              </w:r>
                            </w:p>
                          </w:txbxContent>
                        </wps:txbx>
                        <wps:bodyPr horzOverflow="overflow" vert="horz" lIns="0" tIns="0" rIns="0" bIns="0" rtlCol="0">
                          <a:noAutofit/>
                        </wps:bodyPr>
                      </wps:wsp>
                      <wps:wsp>
                        <wps:cNvPr id="15486" name="Rectangle 15486"/>
                        <wps:cNvSpPr/>
                        <wps:spPr>
                          <a:xfrm rot="-10799999">
                            <a:off x="65757" y="6035264"/>
                            <a:ext cx="50622" cy="142889"/>
                          </a:xfrm>
                          <a:prstGeom prst="rect">
                            <a:avLst/>
                          </a:prstGeom>
                          <a:ln>
                            <a:noFill/>
                          </a:ln>
                        </wps:spPr>
                        <wps:txbx>
                          <w:txbxContent>
                            <w:p w14:paraId="6DAADD4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487" name="Rectangle 15487"/>
                        <wps:cNvSpPr/>
                        <wps:spPr>
                          <a:xfrm rot="-10799999">
                            <a:off x="1519270" y="5911934"/>
                            <a:ext cx="2363409" cy="142889"/>
                          </a:xfrm>
                          <a:prstGeom prst="rect">
                            <a:avLst/>
                          </a:prstGeom>
                          <a:ln>
                            <a:noFill/>
                          </a:ln>
                        </wps:spPr>
                        <wps:txbx>
                          <w:txbxContent>
                            <w:p w14:paraId="2F5BFAC0" w14:textId="77777777" w:rsidR="00B32EF2" w:rsidRDefault="00000000">
                              <w:r>
                                <w:rPr>
                                  <w:rFonts w:ascii="Arial" w:eastAsia="Arial" w:hAnsi="Arial" w:cs="Arial"/>
                                  <w:i/>
                                  <w:sz w:val="18"/>
                                </w:rPr>
                                <w:t>zioni in materia di compensazione”</w:t>
                              </w:r>
                            </w:p>
                          </w:txbxContent>
                        </wps:txbx>
                        <wps:bodyPr horzOverflow="overflow" vert="horz" lIns="0" tIns="0" rIns="0" bIns="0" rtlCol="0">
                          <a:noAutofit/>
                        </wps:bodyPr>
                      </wps:wsp>
                      <wps:wsp>
                        <wps:cNvPr id="200041" name="Rectangle 200041"/>
                        <wps:cNvSpPr/>
                        <wps:spPr>
                          <a:xfrm rot="-10799999">
                            <a:off x="-1278341" y="5788605"/>
                            <a:ext cx="5099220" cy="142889"/>
                          </a:xfrm>
                          <a:prstGeom prst="rect">
                            <a:avLst/>
                          </a:prstGeom>
                          <a:ln>
                            <a:noFill/>
                          </a:ln>
                        </wps:spPr>
                        <wps:txbx>
                          <w:txbxContent>
                            <w:p w14:paraId="40EAFEF4" w14:textId="77777777" w:rsidR="00B32EF2" w:rsidRDefault="00000000">
                              <w:r>
                                <w:rPr>
                                  <w:rFonts w:ascii="Arial" w:eastAsia="Arial" w:hAnsi="Arial" w:cs="Arial"/>
                                  <w:i/>
                                  <w:sz w:val="18"/>
                                </w:rPr>
                                <w:t xml:space="preserve">. Chi non esegue, in tutto o in parte, alle prescritte scadenze, i versamenti </w:t>
                              </w:r>
                            </w:p>
                          </w:txbxContent>
                        </wps:txbx>
                        <wps:bodyPr horzOverflow="overflow" vert="horz" lIns="0" tIns="0" rIns="0" bIns="0" rtlCol="0">
                          <a:noAutofit/>
                        </wps:bodyPr>
                      </wps:wsp>
                      <wps:wsp>
                        <wps:cNvPr id="200040" name="Rectangle 200040"/>
                        <wps:cNvSpPr/>
                        <wps:spPr>
                          <a:xfrm rot="-10799999">
                            <a:off x="2552881" y="5788605"/>
                            <a:ext cx="5099220" cy="142889"/>
                          </a:xfrm>
                          <a:prstGeom prst="rect">
                            <a:avLst/>
                          </a:prstGeom>
                          <a:ln>
                            <a:noFill/>
                          </a:ln>
                        </wps:spPr>
                        <wps:txbx>
                          <w:txbxContent>
                            <w:p w14:paraId="4A602A26"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15489" name="Rectangle 15489"/>
                        <wps:cNvSpPr/>
                        <wps:spPr>
                          <a:xfrm rot="-10799999">
                            <a:off x="-1223848" y="5665275"/>
                            <a:ext cx="5120016" cy="142889"/>
                          </a:xfrm>
                          <a:prstGeom prst="rect">
                            <a:avLst/>
                          </a:prstGeom>
                          <a:ln>
                            <a:noFill/>
                          </a:ln>
                        </wps:spPr>
                        <wps:txbx>
                          <w:txbxContent>
                            <w:p w14:paraId="6B0FCFBC" w14:textId="77777777" w:rsidR="00B32EF2" w:rsidRDefault="00000000">
                              <w:r>
                                <w:rPr>
                                  <w:rFonts w:ascii="Arial" w:eastAsia="Arial" w:hAnsi="Arial" w:cs="Arial"/>
                                  <w:i/>
                                  <w:sz w:val="18"/>
                                </w:rPr>
                                <w:t xml:space="preserve">in acconto, i versamenti periodici, il versamento di conguaglio o a saldo </w:t>
                              </w:r>
                            </w:p>
                          </w:txbxContent>
                        </wps:txbx>
                        <wps:bodyPr horzOverflow="overflow" vert="horz" lIns="0" tIns="0" rIns="0" bIns="0" rtlCol="0">
                          <a:noAutofit/>
                        </wps:bodyPr>
                      </wps:wsp>
                      <wps:wsp>
                        <wps:cNvPr id="15490" name="Rectangle 15490"/>
                        <wps:cNvSpPr/>
                        <wps:spPr>
                          <a:xfrm rot="-10799999">
                            <a:off x="-1122951" y="5541945"/>
                            <a:ext cx="5004603" cy="142889"/>
                          </a:xfrm>
                          <a:prstGeom prst="rect">
                            <a:avLst/>
                          </a:prstGeom>
                          <a:ln>
                            <a:noFill/>
                          </a:ln>
                        </wps:spPr>
                        <wps:txbx>
                          <w:txbxContent>
                            <w:p w14:paraId="3D673676" w14:textId="77777777" w:rsidR="00B32EF2" w:rsidRDefault="00000000">
                              <w:r>
                                <w:rPr>
                                  <w:rFonts w:ascii="Arial" w:eastAsia="Arial" w:hAnsi="Arial" w:cs="Arial"/>
                                  <w:i/>
                                  <w:sz w:val="18"/>
                                </w:rPr>
                                <w:t>dell’imposta risultante dalla dichiarazione, detratto in questi casi l’ammon</w:t>
                              </w:r>
                            </w:p>
                          </w:txbxContent>
                        </wps:txbx>
                        <wps:bodyPr horzOverflow="overflow" vert="horz" lIns="0" tIns="0" rIns="0" bIns="0" rtlCol="0">
                          <a:noAutofit/>
                        </wps:bodyPr>
                      </wps:wsp>
                      <wps:wsp>
                        <wps:cNvPr id="15491" name="Rectangle 15491"/>
                        <wps:cNvSpPr/>
                        <wps:spPr>
                          <a:xfrm rot="-10799999">
                            <a:off x="65757" y="5541946"/>
                            <a:ext cx="50622" cy="142889"/>
                          </a:xfrm>
                          <a:prstGeom prst="rect">
                            <a:avLst/>
                          </a:prstGeom>
                          <a:ln>
                            <a:noFill/>
                          </a:ln>
                        </wps:spPr>
                        <wps:txbx>
                          <w:txbxContent>
                            <w:p w14:paraId="2EAA72B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492" name="Rectangle 15492"/>
                        <wps:cNvSpPr/>
                        <wps:spPr>
                          <a:xfrm rot="-10799999">
                            <a:off x="-1122267" y="5418616"/>
                            <a:ext cx="5003919" cy="142889"/>
                          </a:xfrm>
                          <a:prstGeom prst="rect">
                            <a:avLst/>
                          </a:prstGeom>
                          <a:ln>
                            <a:noFill/>
                          </a:ln>
                        </wps:spPr>
                        <wps:txbx>
                          <w:txbxContent>
                            <w:p w14:paraId="5E54B6EC" w14:textId="77777777" w:rsidR="00B32EF2" w:rsidRDefault="00000000">
                              <w:r>
                                <w:rPr>
                                  <w:rFonts w:ascii="Arial" w:eastAsia="Arial" w:hAnsi="Arial" w:cs="Arial"/>
                                  <w:i/>
                                  <w:sz w:val="18"/>
                                </w:rPr>
                                <w:t>tare dei versamenti periodici e in acconto, ancorché non effettuati, è sog</w:t>
                              </w:r>
                            </w:p>
                          </w:txbxContent>
                        </wps:txbx>
                        <wps:bodyPr horzOverflow="overflow" vert="horz" lIns="0" tIns="0" rIns="0" bIns="0" rtlCol="0">
                          <a:noAutofit/>
                        </wps:bodyPr>
                      </wps:wsp>
                      <wps:wsp>
                        <wps:cNvPr id="15493" name="Rectangle 15493"/>
                        <wps:cNvSpPr/>
                        <wps:spPr>
                          <a:xfrm rot="-10799999">
                            <a:off x="65757" y="5418616"/>
                            <a:ext cx="50622" cy="142889"/>
                          </a:xfrm>
                          <a:prstGeom prst="rect">
                            <a:avLst/>
                          </a:prstGeom>
                          <a:ln>
                            <a:noFill/>
                          </a:ln>
                        </wps:spPr>
                        <wps:txbx>
                          <w:txbxContent>
                            <w:p w14:paraId="0A7AC58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494" name="Rectangle 15494"/>
                        <wps:cNvSpPr/>
                        <wps:spPr>
                          <a:xfrm rot="-10799999">
                            <a:off x="-1223201" y="5295286"/>
                            <a:ext cx="5116626" cy="142889"/>
                          </a:xfrm>
                          <a:prstGeom prst="rect">
                            <a:avLst/>
                          </a:prstGeom>
                          <a:ln>
                            <a:noFill/>
                          </a:ln>
                        </wps:spPr>
                        <wps:txbx>
                          <w:txbxContent>
                            <w:p w14:paraId="207D6F96" w14:textId="77777777" w:rsidR="00B32EF2" w:rsidRDefault="00000000">
                              <w:r>
                                <w:rPr>
                                  <w:rFonts w:ascii="Arial" w:eastAsia="Arial" w:hAnsi="Arial" w:cs="Arial"/>
                                  <w:i/>
                                  <w:sz w:val="18"/>
                                </w:rPr>
                                <w:t xml:space="preserve">getto a sanzione amministrativa pari al 25 per cento di ogni importo non </w:t>
                              </w:r>
                            </w:p>
                          </w:txbxContent>
                        </wps:txbx>
                        <wps:bodyPr horzOverflow="overflow" vert="horz" lIns="0" tIns="0" rIns="0" bIns="0" rtlCol="0">
                          <a:noAutofit/>
                        </wps:bodyPr>
                      </wps:wsp>
                      <wps:wsp>
                        <wps:cNvPr id="15495" name="Rectangle 15495"/>
                        <wps:cNvSpPr/>
                        <wps:spPr>
                          <a:xfrm rot="-10799999">
                            <a:off x="-1224552" y="5171956"/>
                            <a:ext cx="5121977" cy="142889"/>
                          </a:xfrm>
                          <a:prstGeom prst="rect">
                            <a:avLst/>
                          </a:prstGeom>
                          <a:ln>
                            <a:noFill/>
                          </a:ln>
                        </wps:spPr>
                        <wps:txbx>
                          <w:txbxContent>
                            <w:p w14:paraId="1DAF006C" w14:textId="77777777" w:rsidR="00B32EF2" w:rsidRDefault="00000000">
                              <w:r>
                                <w:rPr>
                                  <w:rFonts w:ascii="Arial" w:eastAsia="Arial" w:hAnsi="Arial" w:cs="Arial"/>
                                  <w:i/>
                                  <w:sz w:val="18"/>
                                </w:rPr>
                                <w:t xml:space="preserve">versato, anche quando, in seguito alla correzione di errori materiali o di </w:t>
                              </w:r>
                            </w:p>
                          </w:txbxContent>
                        </wps:txbx>
                        <wps:bodyPr horzOverflow="overflow" vert="horz" lIns="0" tIns="0" rIns="0" bIns="0" rtlCol="0">
                          <a:noAutofit/>
                        </wps:bodyPr>
                      </wps:wsp>
                      <wps:wsp>
                        <wps:cNvPr id="15496" name="Rectangle 15496"/>
                        <wps:cNvSpPr/>
                        <wps:spPr>
                          <a:xfrm rot="-10799999">
                            <a:off x="-1221772" y="5048627"/>
                            <a:ext cx="5111882" cy="142889"/>
                          </a:xfrm>
                          <a:prstGeom prst="rect">
                            <a:avLst/>
                          </a:prstGeom>
                          <a:ln>
                            <a:noFill/>
                          </a:ln>
                        </wps:spPr>
                        <wps:txbx>
                          <w:txbxContent>
                            <w:p w14:paraId="44843925" w14:textId="77777777" w:rsidR="00B32EF2" w:rsidRDefault="00000000">
                              <w:r>
                                <w:rPr>
                                  <w:rFonts w:ascii="Arial" w:eastAsia="Arial" w:hAnsi="Arial" w:cs="Arial"/>
                                  <w:i/>
                                  <w:sz w:val="18"/>
                                </w:rPr>
                                <w:t xml:space="preserve">calcolo rilevati in sede di controllo della dichiarazione annuale, risulti una </w:t>
                              </w:r>
                            </w:p>
                          </w:txbxContent>
                        </wps:txbx>
                        <wps:bodyPr horzOverflow="overflow" vert="horz" lIns="0" tIns="0" rIns="0" bIns="0" rtlCol="0">
                          <a:noAutofit/>
                        </wps:bodyPr>
                      </wps:wsp>
                      <wps:wsp>
                        <wps:cNvPr id="15497" name="Rectangle 15497"/>
                        <wps:cNvSpPr/>
                        <wps:spPr>
                          <a:xfrm rot="-10799999">
                            <a:off x="-1125444" y="4925297"/>
                            <a:ext cx="5007096" cy="142889"/>
                          </a:xfrm>
                          <a:prstGeom prst="rect">
                            <a:avLst/>
                          </a:prstGeom>
                          <a:ln>
                            <a:noFill/>
                          </a:ln>
                        </wps:spPr>
                        <wps:txbx>
                          <w:txbxContent>
                            <w:p w14:paraId="1C4E11F8" w14:textId="77777777" w:rsidR="00B32EF2" w:rsidRDefault="00000000">
                              <w:r>
                                <w:rPr>
                                  <w:rFonts w:ascii="Arial" w:eastAsia="Arial" w:hAnsi="Arial" w:cs="Arial"/>
                                  <w:i/>
                                  <w:sz w:val="18"/>
                                </w:rPr>
                                <w:t>maggiore imposta o una minore eccedenza detraibile. Per i versamenti ef</w:t>
                              </w:r>
                            </w:p>
                          </w:txbxContent>
                        </wps:txbx>
                        <wps:bodyPr horzOverflow="overflow" vert="horz" lIns="0" tIns="0" rIns="0" bIns="0" rtlCol="0">
                          <a:noAutofit/>
                        </wps:bodyPr>
                      </wps:wsp>
                      <wps:wsp>
                        <wps:cNvPr id="15498" name="Rectangle 15498"/>
                        <wps:cNvSpPr/>
                        <wps:spPr>
                          <a:xfrm rot="-10799999">
                            <a:off x="65757" y="4925297"/>
                            <a:ext cx="50622" cy="142889"/>
                          </a:xfrm>
                          <a:prstGeom prst="rect">
                            <a:avLst/>
                          </a:prstGeom>
                          <a:ln>
                            <a:noFill/>
                          </a:ln>
                        </wps:spPr>
                        <wps:txbx>
                          <w:txbxContent>
                            <w:p w14:paraId="7058F88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499" name="Rectangle 15499"/>
                        <wps:cNvSpPr/>
                        <wps:spPr>
                          <a:xfrm rot="-10799999">
                            <a:off x="-1220772" y="4801967"/>
                            <a:ext cx="5106425" cy="142889"/>
                          </a:xfrm>
                          <a:prstGeom prst="rect">
                            <a:avLst/>
                          </a:prstGeom>
                          <a:ln>
                            <a:noFill/>
                          </a:ln>
                        </wps:spPr>
                        <wps:txbx>
                          <w:txbxContent>
                            <w:p w14:paraId="3E25CCBB" w14:textId="77777777" w:rsidR="00B32EF2" w:rsidRDefault="00000000">
                              <w:r>
                                <w:rPr>
                                  <w:rFonts w:ascii="Arial" w:eastAsia="Arial" w:hAnsi="Arial" w:cs="Arial"/>
                                  <w:i/>
                                  <w:sz w:val="18"/>
                                </w:rPr>
                                <w:t xml:space="preserve">fettuati con un ritardo non superiore a novanta giorni, la sanzione di cui al </w:t>
                              </w:r>
                            </w:p>
                          </w:txbxContent>
                        </wps:txbx>
                        <wps:bodyPr horzOverflow="overflow" vert="horz" lIns="0" tIns="0" rIns="0" bIns="0" rtlCol="0">
                          <a:noAutofit/>
                        </wps:bodyPr>
                      </wps:wsp>
                      <wps:wsp>
                        <wps:cNvPr id="15500" name="Rectangle 15500"/>
                        <wps:cNvSpPr/>
                        <wps:spPr>
                          <a:xfrm rot="-10799999">
                            <a:off x="-1219217" y="4678638"/>
                            <a:ext cx="5100983" cy="142889"/>
                          </a:xfrm>
                          <a:prstGeom prst="rect">
                            <a:avLst/>
                          </a:prstGeom>
                          <a:ln>
                            <a:noFill/>
                          </a:ln>
                        </wps:spPr>
                        <wps:txbx>
                          <w:txbxContent>
                            <w:p w14:paraId="704459A9" w14:textId="77777777" w:rsidR="00B32EF2" w:rsidRDefault="00000000">
                              <w:r>
                                <w:rPr>
                                  <w:rFonts w:ascii="Arial" w:eastAsia="Arial" w:hAnsi="Arial" w:cs="Arial"/>
                                  <w:i/>
                                  <w:sz w:val="18"/>
                                </w:rPr>
                                <w:t xml:space="preserve">primo periodo è ridotta alla metà. Salva l’applicazione dell’articolo 14, per i </w:t>
                              </w:r>
                            </w:p>
                          </w:txbxContent>
                        </wps:txbx>
                        <wps:bodyPr horzOverflow="overflow" vert="horz" lIns="0" tIns="0" rIns="0" bIns="0" rtlCol="0">
                          <a:noAutofit/>
                        </wps:bodyPr>
                      </wps:wsp>
                      <wps:wsp>
                        <wps:cNvPr id="15501" name="Rectangle 15501"/>
                        <wps:cNvSpPr/>
                        <wps:spPr>
                          <a:xfrm rot="-10799999">
                            <a:off x="-1123057" y="4555308"/>
                            <a:ext cx="5004709" cy="142889"/>
                          </a:xfrm>
                          <a:prstGeom prst="rect">
                            <a:avLst/>
                          </a:prstGeom>
                          <a:ln>
                            <a:noFill/>
                          </a:ln>
                        </wps:spPr>
                        <wps:txbx>
                          <w:txbxContent>
                            <w:p w14:paraId="29D231FD" w14:textId="77777777" w:rsidR="00B32EF2" w:rsidRDefault="00000000">
                              <w:r>
                                <w:rPr>
                                  <w:rFonts w:ascii="Arial" w:eastAsia="Arial" w:hAnsi="Arial" w:cs="Arial"/>
                                  <w:i/>
                                  <w:sz w:val="18"/>
                                </w:rPr>
                                <w:t>versamenti effettuati con un ritardo non superiore a quindici giorni, la san</w:t>
                              </w:r>
                            </w:p>
                          </w:txbxContent>
                        </wps:txbx>
                        <wps:bodyPr horzOverflow="overflow" vert="horz" lIns="0" tIns="0" rIns="0" bIns="0" rtlCol="0">
                          <a:noAutofit/>
                        </wps:bodyPr>
                      </wps:wsp>
                      <wps:wsp>
                        <wps:cNvPr id="15502" name="Rectangle 15502"/>
                        <wps:cNvSpPr/>
                        <wps:spPr>
                          <a:xfrm rot="-10799999">
                            <a:off x="65757" y="4555308"/>
                            <a:ext cx="50622" cy="142889"/>
                          </a:xfrm>
                          <a:prstGeom prst="rect">
                            <a:avLst/>
                          </a:prstGeom>
                          <a:ln>
                            <a:noFill/>
                          </a:ln>
                        </wps:spPr>
                        <wps:txbx>
                          <w:txbxContent>
                            <w:p w14:paraId="18350DC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503" name="Rectangle 15503"/>
                        <wps:cNvSpPr/>
                        <wps:spPr>
                          <a:xfrm rot="-10799999">
                            <a:off x="-1220719" y="4431978"/>
                            <a:ext cx="5106485" cy="142889"/>
                          </a:xfrm>
                          <a:prstGeom prst="rect">
                            <a:avLst/>
                          </a:prstGeom>
                          <a:ln>
                            <a:noFill/>
                          </a:ln>
                        </wps:spPr>
                        <wps:txbx>
                          <w:txbxContent>
                            <w:p w14:paraId="1311954A" w14:textId="77777777" w:rsidR="00B32EF2" w:rsidRDefault="00000000">
                              <w:r>
                                <w:rPr>
                                  <w:rFonts w:ascii="Arial" w:eastAsia="Arial" w:hAnsi="Arial" w:cs="Arial"/>
                                  <w:i/>
                                  <w:sz w:val="18"/>
                                </w:rPr>
                                <w:t xml:space="preserve">zione di cui al secondo periodo è ulteriormente ridotta a un importo pari a </w:t>
                              </w:r>
                            </w:p>
                          </w:txbxContent>
                        </wps:txbx>
                        <wps:bodyPr horzOverflow="overflow" vert="horz" lIns="0" tIns="0" rIns="0" bIns="0" rtlCol="0">
                          <a:noAutofit/>
                        </wps:bodyPr>
                      </wps:wsp>
                      <wps:wsp>
                        <wps:cNvPr id="15504" name="Rectangle 15504"/>
                        <wps:cNvSpPr/>
                        <wps:spPr>
                          <a:xfrm rot="-10799999">
                            <a:off x="780358" y="4308648"/>
                            <a:ext cx="3101294" cy="142889"/>
                          </a:xfrm>
                          <a:prstGeom prst="rect">
                            <a:avLst/>
                          </a:prstGeom>
                          <a:ln>
                            <a:noFill/>
                          </a:ln>
                        </wps:spPr>
                        <wps:txbx>
                          <w:txbxContent>
                            <w:p w14:paraId="19AC788B" w14:textId="77777777" w:rsidR="00B32EF2" w:rsidRDefault="00000000">
                              <w:r>
                                <w:rPr>
                                  <w:rFonts w:ascii="Arial" w:eastAsia="Arial" w:hAnsi="Arial" w:cs="Arial"/>
                                  <w:i/>
                                  <w:sz w:val="18"/>
                                </w:rPr>
                                <w:t>un quindicesimo per ciascun giorno di ritardo.</w:t>
                              </w:r>
                            </w:p>
                          </w:txbxContent>
                        </wps:txbx>
                        <wps:bodyPr horzOverflow="overflow" vert="horz" lIns="0" tIns="0" rIns="0" bIns="0" rtlCol="0">
                          <a:noAutofit/>
                        </wps:bodyPr>
                      </wps:wsp>
                      <wps:wsp>
                        <wps:cNvPr id="200039" name="Rectangle 200039"/>
                        <wps:cNvSpPr/>
                        <wps:spPr>
                          <a:xfrm rot="-10799999">
                            <a:off x="-1286625" y="4185319"/>
                            <a:ext cx="5113950" cy="142889"/>
                          </a:xfrm>
                          <a:prstGeom prst="rect">
                            <a:avLst/>
                          </a:prstGeom>
                          <a:ln>
                            <a:noFill/>
                          </a:ln>
                        </wps:spPr>
                        <wps:txbx>
                          <w:txbxContent>
                            <w:p w14:paraId="797176D4" w14:textId="77777777" w:rsidR="00B32EF2" w:rsidRDefault="00000000">
                              <w:r>
                                <w:rPr>
                                  <w:rFonts w:ascii="Arial" w:eastAsia="Arial" w:hAnsi="Arial" w:cs="Arial"/>
                                  <w:i/>
                                  <w:sz w:val="18"/>
                                </w:rPr>
                                <w:t xml:space="preserve">. La sanzione di cui al comma 1 si applica nei casi di liquidazione della </w:t>
                              </w:r>
                            </w:p>
                          </w:txbxContent>
                        </wps:txbx>
                        <wps:bodyPr horzOverflow="overflow" vert="horz" lIns="0" tIns="0" rIns="0" bIns="0" rtlCol="0">
                          <a:noAutofit/>
                        </wps:bodyPr>
                      </wps:wsp>
                      <wps:wsp>
                        <wps:cNvPr id="200038" name="Rectangle 200038"/>
                        <wps:cNvSpPr/>
                        <wps:spPr>
                          <a:xfrm rot="-10799999">
                            <a:off x="2549226" y="4185319"/>
                            <a:ext cx="5113950" cy="142889"/>
                          </a:xfrm>
                          <a:prstGeom prst="rect">
                            <a:avLst/>
                          </a:prstGeom>
                          <a:ln>
                            <a:noFill/>
                          </a:ln>
                        </wps:spPr>
                        <wps:txbx>
                          <w:txbxContent>
                            <w:p w14:paraId="45188C21"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15506" name="Rectangle 15506"/>
                        <wps:cNvSpPr/>
                        <wps:spPr>
                          <a:xfrm rot="-10799999">
                            <a:off x="-1121810" y="4061989"/>
                            <a:ext cx="5003462" cy="142889"/>
                          </a:xfrm>
                          <a:prstGeom prst="rect">
                            <a:avLst/>
                          </a:prstGeom>
                          <a:ln>
                            <a:noFill/>
                          </a:ln>
                        </wps:spPr>
                        <wps:txbx>
                          <w:txbxContent>
                            <w:p w14:paraId="681F64EB" w14:textId="77777777" w:rsidR="00B32EF2" w:rsidRDefault="00000000">
                              <w:r>
                                <w:rPr>
                                  <w:rFonts w:ascii="Arial" w:eastAsia="Arial" w:hAnsi="Arial" w:cs="Arial"/>
                                  <w:i/>
                                  <w:sz w:val="18"/>
                                </w:rPr>
                                <w:t>maggior imposta ai sensi degli articoli 36-bis e 36-ter del decreto del Pre</w:t>
                              </w:r>
                            </w:p>
                          </w:txbxContent>
                        </wps:txbx>
                        <wps:bodyPr horzOverflow="overflow" vert="horz" lIns="0" tIns="0" rIns="0" bIns="0" rtlCol="0">
                          <a:noAutofit/>
                        </wps:bodyPr>
                      </wps:wsp>
                      <wps:wsp>
                        <wps:cNvPr id="15507" name="Rectangle 15507"/>
                        <wps:cNvSpPr/>
                        <wps:spPr>
                          <a:xfrm rot="-10799999">
                            <a:off x="65757" y="4061989"/>
                            <a:ext cx="50622" cy="142889"/>
                          </a:xfrm>
                          <a:prstGeom prst="rect">
                            <a:avLst/>
                          </a:prstGeom>
                          <a:ln>
                            <a:noFill/>
                          </a:ln>
                        </wps:spPr>
                        <wps:txbx>
                          <w:txbxContent>
                            <w:p w14:paraId="2B6A4DA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508" name="Rectangle 15508"/>
                        <wps:cNvSpPr/>
                        <wps:spPr>
                          <a:xfrm rot="-10799999">
                            <a:off x="-1218686" y="3938659"/>
                            <a:ext cx="5099767" cy="142889"/>
                          </a:xfrm>
                          <a:prstGeom prst="rect">
                            <a:avLst/>
                          </a:prstGeom>
                          <a:ln>
                            <a:noFill/>
                          </a:ln>
                        </wps:spPr>
                        <wps:txbx>
                          <w:txbxContent>
                            <w:p w14:paraId="37C67B9C" w14:textId="77777777" w:rsidR="00B32EF2" w:rsidRDefault="00000000">
                              <w:r>
                                <w:rPr>
                                  <w:rFonts w:ascii="Arial" w:eastAsia="Arial" w:hAnsi="Arial" w:cs="Arial"/>
                                  <w:i/>
                                  <w:sz w:val="18"/>
                                </w:rPr>
                                <w:t xml:space="preserve">sidente della Repubblica 29 settembre 1973, n. 600, e ai sensi dell’articolo </w:t>
                              </w:r>
                            </w:p>
                          </w:txbxContent>
                        </wps:txbx>
                        <wps:bodyPr horzOverflow="overflow" vert="horz" lIns="0" tIns="0" rIns="0" bIns="0" rtlCol="0">
                          <a:noAutofit/>
                        </wps:bodyPr>
                      </wps:wsp>
                      <wps:wsp>
                        <wps:cNvPr id="200037" name="Rectangle 200037"/>
                        <wps:cNvSpPr/>
                        <wps:spPr>
                          <a:xfrm rot="-10799999">
                            <a:off x="-1127724" y="3815330"/>
                            <a:ext cx="5057885" cy="142889"/>
                          </a:xfrm>
                          <a:prstGeom prst="rect">
                            <a:avLst/>
                          </a:prstGeom>
                          <a:ln>
                            <a:noFill/>
                          </a:ln>
                        </wps:spPr>
                        <wps:txbx>
                          <w:txbxContent>
                            <w:p w14:paraId="70547AB7" w14:textId="77777777" w:rsidR="00B32EF2" w:rsidRDefault="00000000">
                              <w:r>
                                <w:rPr>
                                  <w:rFonts w:ascii="Arial" w:eastAsia="Arial" w:hAnsi="Arial" w:cs="Arial"/>
                                  <w:i/>
                                  <w:sz w:val="18"/>
                                </w:rPr>
                                <w:t xml:space="preserve">bis del decreto del Presidente della Repubblica 26 ottobre 1972, n. </w:t>
                              </w:r>
                            </w:p>
                          </w:txbxContent>
                        </wps:txbx>
                        <wps:bodyPr horzOverflow="overflow" vert="horz" lIns="0" tIns="0" rIns="0" bIns="0" rtlCol="0">
                          <a:noAutofit/>
                        </wps:bodyPr>
                      </wps:wsp>
                      <wps:wsp>
                        <wps:cNvPr id="200036" name="Rectangle 200036"/>
                        <wps:cNvSpPr/>
                        <wps:spPr>
                          <a:xfrm rot="-10799999">
                            <a:off x="-4749595" y="3815329"/>
                            <a:ext cx="5057885" cy="142889"/>
                          </a:xfrm>
                          <a:prstGeom prst="rect">
                            <a:avLst/>
                          </a:prstGeom>
                          <a:ln>
                            <a:noFill/>
                          </a:ln>
                        </wps:spPr>
                        <wps:txbx>
                          <w:txbxContent>
                            <w:p w14:paraId="0F6F2F76" w14:textId="77777777" w:rsidR="00B32EF2" w:rsidRDefault="00000000">
                              <w:r>
                                <w:rPr>
                                  <w:rFonts w:ascii="Arial" w:eastAsia="Arial" w:hAnsi="Arial" w:cs="Arial"/>
                                  <w:i/>
                                  <w:sz w:val="18"/>
                                </w:rPr>
                                <w:t>633.</w:t>
                              </w:r>
                            </w:p>
                          </w:txbxContent>
                        </wps:txbx>
                        <wps:bodyPr horzOverflow="overflow" vert="horz" lIns="0" tIns="0" rIns="0" bIns="0" rtlCol="0">
                          <a:noAutofit/>
                        </wps:bodyPr>
                      </wps:wsp>
                      <wps:wsp>
                        <wps:cNvPr id="200035" name="Rectangle 200035"/>
                        <wps:cNvSpPr/>
                        <wps:spPr>
                          <a:xfrm rot="-10799999">
                            <a:off x="2452986" y="3815330"/>
                            <a:ext cx="5057885" cy="142889"/>
                          </a:xfrm>
                          <a:prstGeom prst="rect">
                            <a:avLst/>
                          </a:prstGeom>
                          <a:ln>
                            <a:noFill/>
                          </a:ln>
                        </wps:spPr>
                        <wps:txbx>
                          <w:txbxContent>
                            <w:p w14:paraId="3B3313B6" w14:textId="77777777" w:rsidR="00B32EF2" w:rsidRDefault="00000000">
                              <w:r>
                                <w:rPr>
                                  <w:rFonts w:ascii="Arial" w:eastAsia="Arial" w:hAnsi="Arial" w:cs="Arial"/>
                                  <w:i/>
                                  <w:sz w:val="18"/>
                                </w:rPr>
                                <w:t>54-</w:t>
                              </w:r>
                            </w:p>
                          </w:txbxContent>
                        </wps:txbx>
                        <wps:bodyPr horzOverflow="overflow" vert="horz" lIns="0" tIns="0" rIns="0" bIns="0" rtlCol="0">
                          <a:noAutofit/>
                        </wps:bodyPr>
                      </wps:wsp>
                      <wps:wsp>
                        <wps:cNvPr id="200034" name="Rectangle 200034"/>
                        <wps:cNvSpPr/>
                        <wps:spPr>
                          <a:xfrm rot="-10799999">
                            <a:off x="-1285119" y="3692000"/>
                            <a:ext cx="5100557" cy="142889"/>
                          </a:xfrm>
                          <a:prstGeom prst="rect">
                            <a:avLst/>
                          </a:prstGeom>
                          <a:ln>
                            <a:noFill/>
                          </a:ln>
                        </wps:spPr>
                        <wps:txbx>
                          <w:txbxContent>
                            <w:p w14:paraId="4B76EB8E" w14:textId="77777777" w:rsidR="00B32EF2" w:rsidRDefault="00000000">
                              <w:r>
                                <w:rPr>
                                  <w:rFonts w:ascii="Arial" w:eastAsia="Arial" w:hAnsi="Arial" w:cs="Arial"/>
                                  <w:i/>
                                  <w:sz w:val="18"/>
                                </w:rPr>
                                <w:t xml:space="preserve">. Fuori dei casi di tributi iscritti a ruolo, la sanzione prevista al comma 1 si </w:t>
                              </w:r>
                            </w:p>
                          </w:txbxContent>
                        </wps:txbx>
                        <wps:bodyPr horzOverflow="overflow" vert="horz" lIns="0" tIns="0" rIns="0" bIns="0" rtlCol="0">
                          <a:noAutofit/>
                        </wps:bodyPr>
                      </wps:wsp>
                      <wps:wsp>
                        <wps:cNvPr id="200033" name="Rectangle 200033"/>
                        <wps:cNvSpPr/>
                        <wps:spPr>
                          <a:xfrm rot="-10799999">
                            <a:off x="2552549" y="3692000"/>
                            <a:ext cx="5100557" cy="142889"/>
                          </a:xfrm>
                          <a:prstGeom prst="rect">
                            <a:avLst/>
                          </a:prstGeom>
                          <a:ln>
                            <a:noFill/>
                          </a:ln>
                        </wps:spPr>
                        <wps:txbx>
                          <w:txbxContent>
                            <w:p w14:paraId="66D6B7D2"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15511" name="Rectangle 15511"/>
                        <wps:cNvSpPr/>
                        <wps:spPr>
                          <a:xfrm rot="-10799999">
                            <a:off x="-1220754" y="3568671"/>
                            <a:ext cx="5107778" cy="142889"/>
                          </a:xfrm>
                          <a:prstGeom prst="rect">
                            <a:avLst/>
                          </a:prstGeom>
                          <a:ln>
                            <a:noFill/>
                          </a:ln>
                        </wps:spPr>
                        <wps:txbx>
                          <w:txbxContent>
                            <w:p w14:paraId="5F46CBC6" w14:textId="77777777" w:rsidR="00B32EF2" w:rsidRDefault="00000000">
                              <w:r>
                                <w:rPr>
                                  <w:rFonts w:ascii="Arial" w:eastAsia="Arial" w:hAnsi="Arial" w:cs="Arial"/>
                                  <w:i/>
                                  <w:sz w:val="18"/>
                                </w:rPr>
                                <w:t xml:space="preserve">applica altresì in ogni ipotesi di mancato pagamento di un tributo o di una </w:t>
                              </w:r>
                            </w:p>
                          </w:txbxContent>
                        </wps:txbx>
                        <wps:bodyPr horzOverflow="overflow" vert="horz" lIns="0" tIns="0" rIns="0" bIns="0" rtlCol="0">
                          <a:noAutofit/>
                        </wps:bodyPr>
                      </wps:wsp>
                      <wps:wsp>
                        <wps:cNvPr id="15512" name="Rectangle 15512"/>
                        <wps:cNvSpPr/>
                        <wps:spPr>
                          <a:xfrm rot="-10799999">
                            <a:off x="1621372" y="3445341"/>
                            <a:ext cx="2260280" cy="142889"/>
                          </a:xfrm>
                          <a:prstGeom prst="rect">
                            <a:avLst/>
                          </a:prstGeom>
                          <a:ln>
                            <a:noFill/>
                          </a:ln>
                        </wps:spPr>
                        <wps:txbx>
                          <w:txbxContent>
                            <w:p w14:paraId="530271E4" w14:textId="77777777" w:rsidR="00B32EF2" w:rsidRDefault="00000000">
                              <w:r>
                                <w:rPr>
                                  <w:rFonts w:ascii="Arial" w:eastAsia="Arial" w:hAnsi="Arial" w:cs="Arial"/>
                                  <w:i/>
                                  <w:sz w:val="18"/>
                                </w:rPr>
                                <w:t>sua frazione nel termine previsto.</w:t>
                              </w:r>
                            </w:p>
                          </w:txbxContent>
                        </wps:txbx>
                        <wps:bodyPr horzOverflow="overflow" vert="horz" lIns="0" tIns="0" rIns="0" bIns="0" rtlCol="0">
                          <a:noAutofit/>
                        </wps:bodyPr>
                      </wps:wsp>
                      <wps:wsp>
                        <wps:cNvPr id="200031" name="Rectangle 200031"/>
                        <wps:cNvSpPr/>
                        <wps:spPr>
                          <a:xfrm rot="-10799999">
                            <a:off x="2547929" y="3322011"/>
                            <a:ext cx="5119178" cy="142889"/>
                          </a:xfrm>
                          <a:prstGeom prst="rect">
                            <a:avLst/>
                          </a:prstGeom>
                          <a:ln>
                            <a:noFill/>
                          </a:ln>
                        </wps:spPr>
                        <wps:txbx>
                          <w:txbxContent>
                            <w:p w14:paraId="3EC8E331"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200032" name="Rectangle 200032"/>
                        <wps:cNvSpPr/>
                        <wps:spPr>
                          <a:xfrm rot="-10799999">
                            <a:off x="-1289328" y="3322011"/>
                            <a:ext cx="5119179" cy="142889"/>
                          </a:xfrm>
                          <a:prstGeom prst="rect">
                            <a:avLst/>
                          </a:prstGeom>
                          <a:ln>
                            <a:noFill/>
                          </a:ln>
                        </wps:spPr>
                        <wps:txbx>
                          <w:txbxContent>
                            <w:p w14:paraId="6701850B" w14:textId="77777777" w:rsidR="00B32EF2" w:rsidRDefault="00000000">
                              <w:r>
                                <w:rPr>
                                  <w:rFonts w:ascii="Arial" w:eastAsia="Arial" w:hAnsi="Arial" w:cs="Arial"/>
                                  <w:i/>
                                  <w:sz w:val="18"/>
                                </w:rPr>
                                <w:t xml:space="preserve">. Salvo quanto previsto dal comma 6, si considerano inesistenti ovvero </w:t>
                              </w:r>
                            </w:p>
                          </w:txbxContent>
                        </wps:txbx>
                        <wps:bodyPr horzOverflow="overflow" vert="horz" lIns="0" tIns="0" rIns="0" bIns="0" rtlCol="0">
                          <a:noAutofit/>
                        </wps:bodyPr>
                      </wps:wsp>
                      <wps:wsp>
                        <wps:cNvPr id="15514" name="Rectangle 15514"/>
                        <wps:cNvSpPr/>
                        <wps:spPr>
                          <a:xfrm rot="-10799999">
                            <a:off x="-1125261" y="3198682"/>
                            <a:ext cx="5006913" cy="142889"/>
                          </a:xfrm>
                          <a:prstGeom prst="rect">
                            <a:avLst/>
                          </a:prstGeom>
                          <a:ln>
                            <a:noFill/>
                          </a:ln>
                        </wps:spPr>
                        <wps:txbx>
                          <w:txbxContent>
                            <w:p w14:paraId="5503017E" w14:textId="77777777" w:rsidR="00B32EF2" w:rsidRDefault="00000000">
                              <w:r>
                                <w:rPr>
                                  <w:rFonts w:ascii="Arial" w:eastAsia="Arial" w:hAnsi="Arial" w:cs="Arial"/>
                                  <w:i/>
                                  <w:sz w:val="18"/>
                                </w:rPr>
                                <w:t>non spettanti i crediti rispettivamente previsti dall’articolo 73, comma 1, let</w:t>
                              </w:r>
                            </w:p>
                          </w:txbxContent>
                        </wps:txbx>
                        <wps:bodyPr horzOverflow="overflow" vert="horz" lIns="0" tIns="0" rIns="0" bIns="0" rtlCol="0">
                          <a:noAutofit/>
                        </wps:bodyPr>
                      </wps:wsp>
                      <wps:wsp>
                        <wps:cNvPr id="15515" name="Rectangle 15515"/>
                        <wps:cNvSpPr/>
                        <wps:spPr>
                          <a:xfrm rot="-10799999">
                            <a:off x="65757" y="3198681"/>
                            <a:ext cx="50622" cy="142889"/>
                          </a:xfrm>
                          <a:prstGeom prst="rect">
                            <a:avLst/>
                          </a:prstGeom>
                          <a:ln>
                            <a:noFill/>
                          </a:ln>
                        </wps:spPr>
                        <wps:txbx>
                          <w:txbxContent>
                            <w:p w14:paraId="64886E0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516" name="Rectangle 15516"/>
                        <wps:cNvSpPr/>
                        <wps:spPr>
                          <a:xfrm rot="-10799999">
                            <a:off x="3106582" y="3075352"/>
                            <a:ext cx="775069" cy="142889"/>
                          </a:xfrm>
                          <a:prstGeom prst="rect">
                            <a:avLst/>
                          </a:prstGeom>
                          <a:ln>
                            <a:noFill/>
                          </a:ln>
                        </wps:spPr>
                        <wps:txbx>
                          <w:txbxContent>
                            <w:p w14:paraId="578A14C0" w14:textId="77777777" w:rsidR="00B32EF2" w:rsidRDefault="00000000">
                              <w:r>
                                <w:rPr>
                                  <w:rFonts w:ascii="Arial" w:eastAsia="Arial" w:hAnsi="Arial" w:cs="Arial"/>
                                  <w:i/>
                                  <w:sz w:val="18"/>
                                </w:rPr>
                                <w:t>tere l) e m).</w:t>
                              </w:r>
                            </w:p>
                          </w:txbxContent>
                        </wps:txbx>
                        <wps:bodyPr horzOverflow="overflow" vert="horz" lIns="0" tIns="0" rIns="0" bIns="0" rtlCol="0">
                          <a:noAutofit/>
                        </wps:bodyPr>
                      </wps:wsp>
                      <wps:wsp>
                        <wps:cNvPr id="200029" name="Rectangle 200029"/>
                        <wps:cNvSpPr/>
                        <wps:spPr>
                          <a:xfrm rot="-10799999">
                            <a:off x="2550418" y="2952022"/>
                            <a:ext cx="5109147" cy="142889"/>
                          </a:xfrm>
                          <a:prstGeom prst="rect">
                            <a:avLst/>
                          </a:prstGeom>
                          <a:ln>
                            <a:noFill/>
                          </a:ln>
                        </wps:spPr>
                        <wps:txbx>
                          <w:txbxContent>
                            <w:p w14:paraId="3DFBB5AF"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200030" name="Rectangle 200030"/>
                        <wps:cNvSpPr/>
                        <wps:spPr>
                          <a:xfrm rot="-10799999">
                            <a:off x="-1287536" y="2952022"/>
                            <a:ext cx="5109147" cy="142889"/>
                          </a:xfrm>
                          <a:prstGeom prst="rect">
                            <a:avLst/>
                          </a:prstGeom>
                          <a:ln>
                            <a:noFill/>
                          </a:ln>
                        </wps:spPr>
                        <wps:txbx>
                          <w:txbxContent>
                            <w:p w14:paraId="4FE1327D" w14:textId="77777777" w:rsidR="00B32EF2" w:rsidRDefault="00000000">
                              <w:r>
                                <w:rPr>
                                  <w:rFonts w:ascii="Arial" w:eastAsia="Arial" w:hAnsi="Arial" w:cs="Arial"/>
                                  <w:i/>
                                  <w:sz w:val="18"/>
                                </w:rPr>
                                <w:t xml:space="preserve">. Nel caso di utilizzo di un credito non spettante ai sensi dell’articolo 73, </w:t>
                              </w:r>
                            </w:p>
                          </w:txbxContent>
                        </wps:txbx>
                        <wps:bodyPr horzOverflow="overflow" vert="horz" lIns="0" tIns="0" rIns="0" bIns="0" rtlCol="0">
                          <a:noAutofit/>
                        </wps:bodyPr>
                      </wps:wsp>
                      <wps:wsp>
                        <wps:cNvPr id="15518" name="Rectangle 15518"/>
                        <wps:cNvSpPr/>
                        <wps:spPr>
                          <a:xfrm rot="-10799999">
                            <a:off x="-1122950" y="2828693"/>
                            <a:ext cx="5004603" cy="142889"/>
                          </a:xfrm>
                          <a:prstGeom prst="rect">
                            <a:avLst/>
                          </a:prstGeom>
                          <a:ln>
                            <a:noFill/>
                          </a:ln>
                        </wps:spPr>
                        <wps:txbx>
                          <w:txbxContent>
                            <w:p w14:paraId="6EEEBA55" w14:textId="77777777" w:rsidR="00B32EF2" w:rsidRDefault="00000000">
                              <w:r>
                                <w:rPr>
                                  <w:rFonts w:ascii="Arial" w:eastAsia="Arial" w:hAnsi="Arial" w:cs="Arial"/>
                                  <w:i/>
                                  <w:sz w:val="18"/>
                                </w:rPr>
                                <w:t>comma 1, lettera m), si applica, salvo diverse disposizioni speciali, la san</w:t>
                              </w:r>
                            </w:p>
                          </w:txbxContent>
                        </wps:txbx>
                        <wps:bodyPr horzOverflow="overflow" vert="horz" lIns="0" tIns="0" rIns="0" bIns="0" rtlCol="0">
                          <a:noAutofit/>
                        </wps:bodyPr>
                      </wps:wsp>
                      <wps:wsp>
                        <wps:cNvPr id="15519" name="Rectangle 15519"/>
                        <wps:cNvSpPr/>
                        <wps:spPr>
                          <a:xfrm rot="-10799999">
                            <a:off x="65757" y="2828692"/>
                            <a:ext cx="50622" cy="142889"/>
                          </a:xfrm>
                          <a:prstGeom prst="rect">
                            <a:avLst/>
                          </a:prstGeom>
                          <a:ln>
                            <a:noFill/>
                          </a:ln>
                        </wps:spPr>
                        <wps:txbx>
                          <w:txbxContent>
                            <w:p w14:paraId="60A7938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520" name="Rectangle 15520"/>
                        <wps:cNvSpPr/>
                        <wps:spPr>
                          <a:xfrm rot="-10799999">
                            <a:off x="-1123011" y="2705362"/>
                            <a:ext cx="5004663" cy="142889"/>
                          </a:xfrm>
                          <a:prstGeom prst="rect">
                            <a:avLst/>
                          </a:prstGeom>
                          <a:ln>
                            <a:noFill/>
                          </a:ln>
                        </wps:spPr>
                        <wps:txbx>
                          <w:txbxContent>
                            <w:p w14:paraId="00EBF86D" w14:textId="77777777" w:rsidR="00B32EF2" w:rsidRDefault="00000000">
                              <w:r>
                                <w:rPr>
                                  <w:rFonts w:ascii="Arial" w:eastAsia="Arial" w:hAnsi="Arial" w:cs="Arial"/>
                                  <w:i/>
                                  <w:sz w:val="18"/>
                                </w:rPr>
                                <w:t>zione pari al 25 per cento del credito utilizzato in compensazione. La san</w:t>
                              </w:r>
                            </w:p>
                          </w:txbxContent>
                        </wps:txbx>
                        <wps:bodyPr horzOverflow="overflow" vert="horz" lIns="0" tIns="0" rIns="0" bIns="0" rtlCol="0">
                          <a:noAutofit/>
                        </wps:bodyPr>
                      </wps:wsp>
                      <wps:wsp>
                        <wps:cNvPr id="15521" name="Rectangle 15521"/>
                        <wps:cNvSpPr/>
                        <wps:spPr>
                          <a:xfrm rot="-10799999">
                            <a:off x="65757" y="2705363"/>
                            <a:ext cx="50622" cy="142889"/>
                          </a:xfrm>
                          <a:prstGeom prst="rect">
                            <a:avLst/>
                          </a:prstGeom>
                          <a:ln>
                            <a:noFill/>
                          </a:ln>
                        </wps:spPr>
                        <wps:txbx>
                          <w:txbxContent>
                            <w:p w14:paraId="3A5B529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522" name="Rectangle 15522"/>
                        <wps:cNvSpPr/>
                        <wps:spPr>
                          <a:xfrm rot="-10799999">
                            <a:off x="-1220044" y="2582032"/>
                            <a:ext cx="5105011" cy="142889"/>
                          </a:xfrm>
                          <a:prstGeom prst="rect">
                            <a:avLst/>
                          </a:prstGeom>
                          <a:ln>
                            <a:noFill/>
                          </a:ln>
                        </wps:spPr>
                        <wps:txbx>
                          <w:txbxContent>
                            <w:p w14:paraId="0652A3B2" w14:textId="77777777" w:rsidR="00B32EF2" w:rsidRDefault="00000000">
                              <w:r>
                                <w:rPr>
                                  <w:rFonts w:ascii="Arial" w:eastAsia="Arial" w:hAnsi="Arial" w:cs="Arial"/>
                                  <w:i/>
                                  <w:sz w:val="18"/>
                                </w:rPr>
                                <w:t xml:space="preserve">zione di cui al primo periodo si applica anche quando il credito è utilizzato </w:t>
                              </w:r>
                            </w:p>
                          </w:txbxContent>
                        </wps:txbx>
                        <wps:bodyPr horzOverflow="overflow" vert="horz" lIns="0" tIns="0" rIns="0" bIns="0" rtlCol="0">
                          <a:noAutofit/>
                        </wps:bodyPr>
                      </wps:wsp>
                      <wps:wsp>
                        <wps:cNvPr id="15523" name="Rectangle 15523"/>
                        <wps:cNvSpPr/>
                        <wps:spPr>
                          <a:xfrm rot="-10799999">
                            <a:off x="-1223582" y="2458703"/>
                            <a:ext cx="5119408" cy="142889"/>
                          </a:xfrm>
                          <a:prstGeom prst="rect">
                            <a:avLst/>
                          </a:prstGeom>
                          <a:ln>
                            <a:noFill/>
                          </a:ln>
                        </wps:spPr>
                        <wps:txbx>
                          <w:txbxContent>
                            <w:p w14:paraId="659CDFF9" w14:textId="77777777" w:rsidR="00B32EF2" w:rsidRDefault="00000000">
                              <w:r>
                                <w:rPr>
                                  <w:rFonts w:ascii="Arial" w:eastAsia="Arial" w:hAnsi="Arial" w:cs="Arial"/>
                                  <w:i/>
                                  <w:sz w:val="18"/>
                                </w:rPr>
                                <w:t xml:space="preserve">in difetto dei prescritti adempimenti amministrativi non previsti a pena di </w:t>
                              </w:r>
                            </w:p>
                          </w:txbxContent>
                        </wps:txbx>
                        <wps:bodyPr horzOverflow="overflow" vert="horz" lIns="0" tIns="0" rIns="0" bIns="0" rtlCol="0">
                          <a:noAutofit/>
                        </wps:bodyPr>
                      </wps:wsp>
                      <wps:wsp>
                        <wps:cNvPr id="15524" name="Rectangle 15524"/>
                        <wps:cNvSpPr/>
                        <wps:spPr>
                          <a:xfrm rot="-10799999">
                            <a:off x="-1222381" y="2335373"/>
                            <a:ext cx="5115120" cy="142889"/>
                          </a:xfrm>
                          <a:prstGeom prst="rect">
                            <a:avLst/>
                          </a:prstGeom>
                          <a:ln>
                            <a:noFill/>
                          </a:ln>
                        </wps:spPr>
                        <wps:txbx>
                          <w:txbxContent>
                            <w:p w14:paraId="6CFBD8FF" w14:textId="77777777" w:rsidR="00B32EF2" w:rsidRDefault="00000000">
                              <w:r>
                                <w:rPr>
                                  <w:rFonts w:ascii="Arial" w:eastAsia="Arial" w:hAnsi="Arial" w:cs="Arial"/>
                                  <w:i/>
                                  <w:sz w:val="18"/>
                                </w:rPr>
                                <w:t xml:space="preserve">decadenza e le relative violazioni non sono state rimosse, entro i termini </w:t>
                              </w:r>
                            </w:p>
                          </w:txbxContent>
                        </wps:txbx>
                        <wps:bodyPr horzOverflow="overflow" vert="horz" lIns="0" tIns="0" rIns="0" bIns="0" rtlCol="0">
                          <a:noAutofit/>
                        </wps:bodyPr>
                      </wps:wsp>
                      <wps:wsp>
                        <wps:cNvPr id="15525" name="Rectangle 15525"/>
                        <wps:cNvSpPr/>
                        <wps:spPr>
                          <a:xfrm rot="-10799999">
                            <a:off x="2440907" y="2212044"/>
                            <a:ext cx="1440745" cy="142889"/>
                          </a:xfrm>
                          <a:prstGeom prst="rect">
                            <a:avLst/>
                          </a:prstGeom>
                          <a:ln>
                            <a:noFill/>
                          </a:ln>
                        </wps:spPr>
                        <wps:txbx>
                          <w:txbxContent>
                            <w:p w14:paraId="3D7391B3" w14:textId="77777777" w:rsidR="00B32EF2" w:rsidRDefault="00000000">
                              <w:r>
                                <w:rPr>
                                  <w:rFonts w:ascii="Arial" w:eastAsia="Arial" w:hAnsi="Arial" w:cs="Arial"/>
                                  <w:i/>
                                  <w:sz w:val="18"/>
                                </w:rPr>
                                <w:t>stabiliti dal comma 6.</w:t>
                              </w:r>
                            </w:p>
                          </w:txbxContent>
                        </wps:txbx>
                        <wps:bodyPr horzOverflow="overflow" vert="horz" lIns="0" tIns="0" rIns="0" bIns="0" rtlCol="0">
                          <a:noAutofit/>
                        </wps:bodyPr>
                      </wps:wsp>
                      <wps:wsp>
                        <wps:cNvPr id="200027" name="Rectangle 200027"/>
                        <wps:cNvSpPr/>
                        <wps:spPr>
                          <a:xfrm rot="-10799999">
                            <a:off x="2576569" y="2088714"/>
                            <a:ext cx="5003751" cy="142889"/>
                          </a:xfrm>
                          <a:prstGeom prst="rect">
                            <a:avLst/>
                          </a:prstGeom>
                          <a:ln>
                            <a:noFill/>
                          </a:ln>
                        </wps:spPr>
                        <wps:txbx>
                          <w:txbxContent>
                            <w:p w14:paraId="1CE0CBB6" w14:textId="77777777" w:rsidR="00B32EF2" w:rsidRDefault="00000000">
                              <w:r>
                                <w:rPr>
                                  <w:rFonts w:ascii="Arial" w:eastAsia="Arial" w:hAnsi="Arial" w:cs="Arial"/>
                                  <w:i/>
                                  <w:sz w:val="18"/>
                                </w:rPr>
                                <w:t>6</w:t>
                              </w:r>
                            </w:p>
                          </w:txbxContent>
                        </wps:txbx>
                        <wps:bodyPr horzOverflow="overflow" vert="horz" lIns="0" tIns="0" rIns="0" bIns="0" rtlCol="0">
                          <a:noAutofit/>
                        </wps:bodyPr>
                      </wps:wsp>
                      <wps:wsp>
                        <wps:cNvPr id="200028" name="Rectangle 200028"/>
                        <wps:cNvSpPr/>
                        <wps:spPr>
                          <a:xfrm rot="-10799999">
                            <a:off x="-1188622" y="2088714"/>
                            <a:ext cx="5003751" cy="142889"/>
                          </a:xfrm>
                          <a:prstGeom prst="rect">
                            <a:avLst/>
                          </a:prstGeom>
                          <a:ln>
                            <a:noFill/>
                          </a:ln>
                        </wps:spPr>
                        <wps:txbx>
                          <w:txbxContent>
                            <w:p w14:paraId="00C67C55" w14:textId="77777777" w:rsidR="00B32EF2" w:rsidRDefault="00000000">
                              <w:r>
                                <w:rPr>
                                  <w:rFonts w:ascii="Arial" w:eastAsia="Arial" w:hAnsi="Arial" w:cs="Arial"/>
                                  <w:i/>
                                  <w:sz w:val="18"/>
                                </w:rPr>
                                <w:t>. Si applica la sanzione di 250 euro quando il credito è utilizzato in com</w:t>
                              </w:r>
                            </w:p>
                          </w:txbxContent>
                        </wps:txbx>
                        <wps:bodyPr horzOverflow="overflow" vert="horz" lIns="0" tIns="0" rIns="0" bIns="0" rtlCol="0">
                          <a:noAutofit/>
                        </wps:bodyPr>
                      </wps:wsp>
                      <wps:wsp>
                        <wps:cNvPr id="15527" name="Rectangle 15527"/>
                        <wps:cNvSpPr/>
                        <wps:spPr>
                          <a:xfrm rot="-10799999">
                            <a:off x="65757" y="2088714"/>
                            <a:ext cx="50622" cy="142889"/>
                          </a:xfrm>
                          <a:prstGeom prst="rect">
                            <a:avLst/>
                          </a:prstGeom>
                          <a:ln>
                            <a:noFill/>
                          </a:ln>
                        </wps:spPr>
                        <wps:txbx>
                          <w:txbxContent>
                            <w:p w14:paraId="62D746A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528" name="Rectangle 15528"/>
                        <wps:cNvSpPr/>
                        <wps:spPr>
                          <a:xfrm rot="-10799999">
                            <a:off x="-1220315" y="1965384"/>
                            <a:ext cx="5106197" cy="142889"/>
                          </a:xfrm>
                          <a:prstGeom prst="rect">
                            <a:avLst/>
                          </a:prstGeom>
                          <a:ln>
                            <a:noFill/>
                          </a:ln>
                        </wps:spPr>
                        <wps:txbx>
                          <w:txbxContent>
                            <w:p w14:paraId="04652444" w14:textId="77777777" w:rsidR="00B32EF2" w:rsidRDefault="00000000">
                              <w:r>
                                <w:rPr>
                                  <w:rFonts w:ascii="Arial" w:eastAsia="Arial" w:hAnsi="Arial" w:cs="Arial"/>
                                  <w:i/>
                                  <w:sz w:val="18"/>
                                </w:rPr>
                                <w:t xml:space="preserve">pensazione in difetto dei prescritti adempimenti amministrativi di carattere </w:t>
                              </w:r>
                            </w:p>
                          </w:txbxContent>
                        </wps:txbx>
                        <wps:bodyPr horzOverflow="overflow" vert="horz" lIns="0" tIns="0" rIns="0" bIns="0" rtlCol="0">
                          <a:noAutofit/>
                        </wps:bodyPr>
                      </wps:wsp>
                      <wps:wsp>
                        <wps:cNvPr id="15529" name="Rectangle 15529"/>
                        <wps:cNvSpPr/>
                        <wps:spPr>
                          <a:xfrm rot="-10799999">
                            <a:off x="-1176537" y="1842054"/>
                            <a:ext cx="5058189" cy="142889"/>
                          </a:xfrm>
                          <a:prstGeom prst="rect">
                            <a:avLst/>
                          </a:prstGeom>
                          <a:ln>
                            <a:noFill/>
                          </a:ln>
                        </wps:spPr>
                        <wps:txbx>
                          <w:txbxContent>
                            <w:p w14:paraId="55A6B273" w14:textId="77777777" w:rsidR="00B32EF2" w:rsidRDefault="00000000">
                              <w:r>
                                <w:rPr>
                                  <w:rFonts w:ascii="Arial" w:eastAsia="Arial" w:hAnsi="Arial" w:cs="Arial"/>
                                  <w:i/>
                                  <w:sz w:val="18"/>
                                </w:rPr>
                                <w:t>strumentale, sempre che siano rispettante entrambe le seguenti condizioni:</w:t>
                              </w:r>
                            </w:p>
                          </w:txbxContent>
                        </wps:txbx>
                        <wps:bodyPr horzOverflow="overflow" vert="horz" lIns="0" tIns="0" rIns="0" bIns="0" rtlCol="0">
                          <a:noAutofit/>
                        </wps:bodyPr>
                      </wps:wsp>
                      <wps:wsp>
                        <wps:cNvPr id="15530" name="Rectangle 15530"/>
                        <wps:cNvSpPr/>
                        <wps:spPr>
                          <a:xfrm rot="-10799999">
                            <a:off x="-107479" y="1718725"/>
                            <a:ext cx="3989130" cy="142889"/>
                          </a:xfrm>
                          <a:prstGeom prst="rect">
                            <a:avLst/>
                          </a:prstGeom>
                          <a:ln>
                            <a:noFill/>
                          </a:ln>
                        </wps:spPr>
                        <wps:txbx>
                          <w:txbxContent>
                            <w:p w14:paraId="0A3FB04D" w14:textId="77777777" w:rsidR="00B32EF2" w:rsidRDefault="00000000">
                              <w:r>
                                <w:rPr>
                                  <w:rFonts w:ascii="Arial" w:eastAsia="Arial" w:hAnsi="Arial" w:cs="Arial"/>
                                  <w:i/>
                                  <w:sz w:val="18"/>
                                </w:rPr>
                                <w:t>a) gli adempimenti non siano previsti a pena di decadenza;</w:t>
                              </w:r>
                            </w:p>
                          </w:txbxContent>
                        </wps:txbx>
                        <wps:bodyPr horzOverflow="overflow" vert="horz" lIns="0" tIns="0" rIns="0" bIns="0" rtlCol="0">
                          <a:noAutofit/>
                        </wps:bodyPr>
                      </wps:wsp>
                      <wps:wsp>
                        <wps:cNvPr id="15531" name="Rectangle 15531"/>
                        <wps:cNvSpPr/>
                        <wps:spPr>
                          <a:xfrm rot="-10799999">
                            <a:off x="-1122844" y="1595395"/>
                            <a:ext cx="5004497" cy="142889"/>
                          </a:xfrm>
                          <a:prstGeom prst="rect">
                            <a:avLst/>
                          </a:prstGeom>
                          <a:ln>
                            <a:noFill/>
                          </a:ln>
                        </wps:spPr>
                        <wps:txbx>
                          <w:txbxContent>
                            <w:p w14:paraId="6BCBF361" w14:textId="77777777" w:rsidR="00B32EF2" w:rsidRDefault="00000000">
                              <w:r>
                                <w:rPr>
                                  <w:rFonts w:ascii="Arial" w:eastAsia="Arial" w:hAnsi="Arial" w:cs="Arial"/>
                                  <w:i/>
                                  <w:sz w:val="18"/>
                                </w:rPr>
                                <w:t>b) la violazione sia rimossa entro il termine di presentazione della dichiara</w:t>
                              </w:r>
                            </w:p>
                          </w:txbxContent>
                        </wps:txbx>
                        <wps:bodyPr horzOverflow="overflow" vert="horz" lIns="0" tIns="0" rIns="0" bIns="0" rtlCol="0">
                          <a:noAutofit/>
                        </wps:bodyPr>
                      </wps:wsp>
                      <wps:wsp>
                        <wps:cNvPr id="15532" name="Rectangle 15532"/>
                        <wps:cNvSpPr/>
                        <wps:spPr>
                          <a:xfrm rot="-10799999">
                            <a:off x="65757" y="1595395"/>
                            <a:ext cx="50622" cy="142889"/>
                          </a:xfrm>
                          <a:prstGeom prst="rect">
                            <a:avLst/>
                          </a:prstGeom>
                          <a:ln>
                            <a:noFill/>
                          </a:ln>
                        </wps:spPr>
                        <wps:txbx>
                          <w:txbxContent>
                            <w:p w14:paraId="0B70A2A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533" name="Rectangle 15533"/>
                        <wps:cNvSpPr/>
                        <wps:spPr>
                          <a:xfrm rot="-10799999">
                            <a:off x="-1120640" y="1472065"/>
                            <a:ext cx="5002293" cy="142889"/>
                          </a:xfrm>
                          <a:prstGeom prst="rect">
                            <a:avLst/>
                          </a:prstGeom>
                          <a:ln>
                            <a:noFill/>
                          </a:ln>
                        </wps:spPr>
                        <wps:txbx>
                          <w:txbxContent>
                            <w:p w14:paraId="0CA3C3B8" w14:textId="77777777" w:rsidR="00B32EF2" w:rsidRDefault="00000000">
                              <w:r>
                                <w:rPr>
                                  <w:rFonts w:ascii="Arial" w:eastAsia="Arial" w:hAnsi="Arial" w:cs="Arial"/>
                                  <w:i/>
                                  <w:sz w:val="18"/>
                                </w:rPr>
                                <w:t>zione annuale ai fini delle imposte sui redditi relativa all’anno di commissio</w:t>
                              </w:r>
                            </w:p>
                          </w:txbxContent>
                        </wps:txbx>
                        <wps:bodyPr horzOverflow="overflow" vert="horz" lIns="0" tIns="0" rIns="0" bIns="0" rtlCol="0">
                          <a:noAutofit/>
                        </wps:bodyPr>
                      </wps:wsp>
                      <wps:wsp>
                        <wps:cNvPr id="15534" name="Rectangle 15534"/>
                        <wps:cNvSpPr/>
                        <wps:spPr>
                          <a:xfrm rot="-10799999">
                            <a:off x="65757" y="1472066"/>
                            <a:ext cx="50622" cy="142889"/>
                          </a:xfrm>
                          <a:prstGeom prst="rect">
                            <a:avLst/>
                          </a:prstGeom>
                          <a:ln>
                            <a:noFill/>
                          </a:ln>
                        </wps:spPr>
                        <wps:txbx>
                          <w:txbxContent>
                            <w:p w14:paraId="45758FC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535" name="Rectangle 15535"/>
                        <wps:cNvSpPr/>
                        <wps:spPr>
                          <a:xfrm rot="-10799999">
                            <a:off x="-1218632" y="1348736"/>
                            <a:ext cx="5100056" cy="142889"/>
                          </a:xfrm>
                          <a:prstGeom prst="rect">
                            <a:avLst/>
                          </a:prstGeom>
                          <a:ln>
                            <a:noFill/>
                          </a:ln>
                        </wps:spPr>
                        <wps:txbx>
                          <w:txbxContent>
                            <w:p w14:paraId="47560A1C" w14:textId="77777777" w:rsidR="00B32EF2" w:rsidRDefault="00000000">
                              <w:r>
                                <w:rPr>
                                  <w:rFonts w:ascii="Arial" w:eastAsia="Arial" w:hAnsi="Arial" w:cs="Arial"/>
                                  <w:i/>
                                  <w:sz w:val="18"/>
                                </w:rPr>
                                <w:t xml:space="preserve">ne della violazione, ovvero, in assenza di una dichiarazione, entro un anno </w:t>
                              </w:r>
                            </w:p>
                          </w:txbxContent>
                        </wps:txbx>
                        <wps:bodyPr horzOverflow="overflow" vert="horz" lIns="0" tIns="0" rIns="0" bIns="0" rtlCol="0">
                          <a:noAutofit/>
                        </wps:bodyPr>
                      </wps:wsp>
                      <wps:wsp>
                        <wps:cNvPr id="15536" name="Rectangle 15536"/>
                        <wps:cNvSpPr/>
                        <wps:spPr>
                          <a:xfrm rot="-10799999">
                            <a:off x="726689" y="1225406"/>
                            <a:ext cx="3155991" cy="142889"/>
                          </a:xfrm>
                          <a:prstGeom prst="rect">
                            <a:avLst/>
                          </a:prstGeom>
                          <a:ln>
                            <a:noFill/>
                          </a:ln>
                        </wps:spPr>
                        <wps:txbx>
                          <w:txbxContent>
                            <w:p w14:paraId="74726C38" w14:textId="77777777" w:rsidR="00B32EF2" w:rsidRDefault="00000000">
                              <w:r>
                                <w:rPr>
                                  <w:rFonts w:ascii="Arial" w:eastAsia="Arial" w:hAnsi="Arial" w:cs="Arial"/>
                                  <w:i/>
                                  <w:sz w:val="18"/>
                                </w:rPr>
                                <w:t>dalla commissione della violazione medesima.</w:t>
                              </w:r>
                            </w:p>
                          </w:txbxContent>
                        </wps:txbx>
                        <wps:bodyPr horzOverflow="overflow" vert="horz" lIns="0" tIns="0" rIns="0" bIns="0" rtlCol="0">
                          <a:noAutofit/>
                        </wps:bodyPr>
                      </wps:wsp>
                      <wps:wsp>
                        <wps:cNvPr id="200026" name="Rectangle 200026"/>
                        <wps:cNvSpPr/>
                        <wps:spPr>
                          <a:xfrm rot="-10799999">
                            <a:off x="-1177948" y="1102076"/>
                            <a:ext cx="5004542" cy="142889"/>
                          </a:xfrm>
                          <a:prstGeom prst="rect">
                            <a:avLst/>
                          </a:prstGeom>
                          <a:ln>
                            <a:noFill/>
                          </a:ln>
                        </wps:spPr>
                        <wps:txbx>
                          <w:txbxContent>
                            <w:p w14:paraId="1763AE70" w14:textId="77777777" w:rsidR="00B32EF2" w:rsidRDefault="00000000">
                              <w:r>
                                <w:rPr>
                                  <w:rFonts w:ascii="Arial" w:eastAsia="Arial" w:hAnsi="Arial" w:cs="Arial"/>
                                  <w:i/>
                                  <w:sz w:val="18"/>
                                </w:rPr>
                                <w:t>. Nel caso di utilizzo di un credito inesistente ai sensi dell’articolo 73, com</w:t>
                              </w:r>
                            </w:p>
                          </w:txbxContent>
                        </wps:txbx>
                        <wps:bodyPr horzOverflow="overflow" vert="horz" lIns="0" tIns="0" rIns="0" bIns="0" rtlCol="0">
                          <a:noAutofit/>
                        </wps:bodyPr>
                      </wps:wsp>
                      <wps:wsp>
                        <wps:cNvPr id="200025" name="Rectangle 200025"/>
                        <wps:cNvSpPr/>
                        <wps:spPr>
                          <a:xfrm rot="-10799999">
                            <a:off x="2576372" y="1102076"/>
                            <a:ext cx="5004542" cy="142889"/>
                          </a:xfrm>
                          <a:prstGeom prst="rect">
                            <a:avLst/>
                          </a:prstGeom>
                          <a:ln>
                            <a:noFill/>
                          </a:ln>
                        </wps:spPr>
                        <wps:txbx>
                          <w:txbxContent>
                            <w:p w14:paraId="1E26CD32" w14:textId="77777777" w:rsidR="00B32EF2" w:rsidRDefault="00000000">
                              <w:r>
                                <w:rPr>
                                  <w:rFonts w:ascii="Arial" w:eastAsia="Arial" w:hAnsi="Arial" w:cs="Arial"/>
                                  <w:i/>
                                  <w:sz w:val="18"/>
                                </w:rPr>
                                <w:t>7</w:t>
                              </w:r>
                            </w:p>
                          </w:txbxContent>
                        </wps:txbx>
                        <wps:bodyPr horzOverflow="overflow" vert="horz" lIns="0" tIns="0" rIns="0" bIns="0" rtlCol="0">
                          <a:noAutofit/>
                        </wps:bodyPr>
                      </wps:wsp>
                      <wps:wsp>
                        <wps:cNvPr id="15538" name="Rectangle 15538"/>
                        <wps:cNvSpPr/>
                        <wps:spPr>
                          <a:xfrm rot="-10799999">
                            <a:off x="65757" y="1102077"/>
                            <a:ext cx="50622" cy="142889"/>
                          </a:xfrm>
                          <a:prstGeom prst="rect">
                            <a:avLst/>
                          </a:prstGeom>
                          <a:ln>
                            <a:noFill/>
                          </a:ln>
                        </wps:spPr>
                        <wps:txbx>
                          <w:txbxContent>
                            <w:p w14:paraId="3914DEC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539" name="Rectangle 15539"/>
                        <wps:cNvSpPr/>
                        <wps:spPr>
                          <a:xfrm rot="-10799999">
                            <a:off x="-1222251" y="978747"/>
                            <a:ext cx="5112475" cy="142889"/>
                          </a:xfrm>
                          <a:prstGeom prst="rect">
                            <a:avLst/>
                          </a:prstGeom>
                          <a:ln>
                            <a:noFill/>
                          </a:ln>
                        </wps:spPr>
                        <wps:txbx>
                          <w:txbxContent>
                            <w:p w14:paraId="20FCC045" w14:textId="77777777" w:rsidR="00B32EF2" w:rsidRDefault="00000000">
                              <w:r>
                                <w:rPr>
                                  <w:rFonts w:ascii="Arial" w:eastAsia="Arial" w:hAnsi="Arial" w:cs="Arial"/>
                                  <w:i/>
                                  <w:sz w:val="18"/>
                                </w:rPr>
                                <w:t xml:space="preserve">ma 1, lettera l), numero 1), si applica la sanzione pari al 70 per cento del </w:t>
                              </w:r>
                            </w:p>
                          </w:txbxContent>
                        </wps:txbx>
                        <wps:bodyPr horzOverflow="overflow" vert="horz" lIns="0" tIns="0" rIns="0" bIns="0" rtlCol="0">
                          <a:noAutofit/>
                        </wps:bodyPr>
                      </wps:wsp>
                      <wps:wsp>
                        <wps:cNvPr id="15540" name="Rectangle 15540"/>
                        <wps:cNvSpPr/>
                        <wps:spPr>
                          <a:xfrm rot="-10799999">
                            <a:off x="1455392" y="855417"/>
                            <a:ext cx="2427288" cy="142889"/>
                          </a:xfrm>
                          <a:prstGeom prst="rect">
                            <a:avLst/>
                          </a:prstGeom>
                          <a:ln>
                            <a:noFill/>
                          </a:ln>
                        </wps:spPr>
                        <wps:txbx>
                          <w:txbxContent>
                            <w:p w14:paraId="235F0C6C" w14:textId="77777777" w:rsidR="00B32EF2" w:rsidRDefault="00000000">
                              <w:r>
                                <w:rPr>
                                  <w:rFonts w:ascii="Arial" w:eastAsia="Arial" w:hAnsi="Arial" w:cs="Arial"/>
                                  <w:i/>
                                  <w:sz w:val="18"/>
                                </w:rPr>
                                <w:t>credito utilizzato in compensazione.</w:t>
                              </w:r>
                            </w:p>
                          </w:txbxContent>
                        </wps:txbx>
                        <wps:bodyPr horzOverflow="overflow" vert="horz" lIns="0" tIns="0" rIns="0" bIns="0" rtlCol="0">
                          <a:noAutofit/>
                        </wps:bodyPr>
                      </wps:wsp>
                      <wps:wsp>
                        <wps:cNvPr id="200024" name="Rectangle 200024"/>
                        <wps:cNvSpPr/>
                        <wps:spPr>
                          <a:xfrm rot="-10799999">
                            <a:off x="-1189292" y="732087"/>
                            <a:ext cx="5004237" cy="142889"/>
                          </a:xfrm>
                          <a:prstGeom prst="rect">
                            <a:avLst/>
                          </a:prstGeom>
                          <a:ln>
                            <a:noFill/>
                          </a:ln>
                        </wps:spPr>
                        <wps:txbx>
                          <w:txbxContent>
                            <w:p w14:paraId="25BF85FF" w14:textId="77777777" w:rsidR="00B32EF2" w:rsidRDefault="00000000">
                              <w:r>
                                <w:rPr>
                                  <w:rFonts w:ascii="Arial" w:eastAsia="Arial" w:hAnsi="Arial" w:cs="Arial"/>
                                  <w:i/>
                                  <w:sz w:val="18"/>
                                </w:rPr>
                                <w:t>. Nel caso di utilizzo di un credito inesistente ai sensi dell’articolo 73, com</w:t>
                              </w:r>
                            </w:p>
                          </w:txbxContent>
                        </wps:txbx>
                        <wps:bodyPr horzOverflow="overflow" vert="horz" lIns="0" tIns="0" rIns="0" bIns="0" rtlCol="0">
                          <a:noAutofit/>
                        </wps:bodyPr>
                      </wps:wsp>
                      <wps:wsp>
                        <wps:cNvPr id="200023" name="Rectangle 200023"/>
                        <wps:cNvSpPr/>
                        <wps:spPr>
                          <a:xfrm rot="-10799999">
                            <a:off x="2576448" y="732088"/>
                            <a:ext cx="5004238" cy="142889"/>
                          </a:xfrm>
                          <a:prstGeom prst="rect">
                            <a:avLst/>
                          </a:prstGeom>
                          <a:ln>
                            <a:noFill/>
                          </a:ln>
                        </wps:spPr>
                        <wps:txbx>
                          <w:txbxContent>
                            <w:p w14:paraId="50244A77" w14:textId="77777777" w:rsidR="00B32EF2" w:rsidRDefault="00000000">
                              <w:r>
                                <w:rPr>
                                  <w:rFonts w:ascii="Arial" w:eastAsia="Arial" w:hAnsi="Arial" w:cs="Arial"/>
                                  <w:i/>
                                  <w:sz w:val="18"/>
                                </w:rPr>
                                <w:t>8</w:t>
                              </w:r>
                            </w:p>
                          </w:txbxContent>
                        </wps:txbx>
                        <wps:bodyPr horzOverflow="overflow" vert="horz" lIns="0" tIns="0" rIns="0" bIns="0" rtlCol="0">
                          <a:noAutofit/>
                        </wps:bodyPr>
                      </wps:wsp>
                      <wps:wsp>
                        <wps:cNvPr id="15542" name="Rectangle 15542"/>
                        <wps:cNvSpPr/>
                        <wps:spPr>
                          <a:xfrm rot="-10799999">
                            <a:off x="65757" y="732087"/>
                            <a:ext cx="50622" cy="142889"/>
                          </a:xfrm>
                          <a:prstGeom prst="rect">
                            <a:avLst/>
                          </a:prstGeom>
                          <a:ln>
                            <a:noFill/>
                          </a:ln>
                        </wps:spPr>
                        <wps:txbx>
                          <w:txbxContent>
                            <w:p w14:paraId="6ED3C24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543" name="Rectangle 15543"/>
                        <wps:cNvSpPr/>
                        <wps:spPr>
                          <a:xfrm rot="-10799999">
                            <a:off x="-1218759" y="608758"/>
                            <a:ext cx="5098125" cy="142889"/>
                          </a:xfrm>
                          <a:prstGeom prst="rect">
                            <a:avLst/>
                          </a:prstGeom>
                          <a:ln>
                            <a:noFill/>
                          </a:ln>
                        </wps:spPr>
                        <wps:txbx>
                          <w:txbxContent>
                            <w:p w14:paraId="0E6FC644" w14:textId="77777777" w:rsidR="00B32EF2" w:rsidRDefault="00000000">
                              <w:r>
                                <w:rPr>
                                  <w:rFonts w:ascii="Arial" w:eastAsia="Arial" w:hAnsi="Arial" w:cs="Arial"/>
                                  <w:i/>
                                  <w:sz w:val="18"/>
                                </w:rPr>
                                <w:t xml:space="preserve">ma 1, lettera l), numero 2), la sanzione di cui al comma 7 è aumentata dalla </w:t>
                              </w:r>
                            </w:p>
                          </w:txbxContent>
                        </wps:txbx>
                        <wps:bodyPr horzOverflow="overflow" vert="horz" lIns="0" tIns="0" rIns="0" bIns="0" rtlCol="0">
                          <a:noAutofit/>
                        </wps:bodyPr>
                      </wps:wsp>
                      <wps:wsp>
                        <wps:cNvPr id="15544" name="Shape 15544"/>
                        <wps:cNvSpPr/>
                        <wps:spPr>
                          <a:xfrm>
                            <a:off x="0" y="473197"/>
                            <a:ext cx="3960000" cy="5783301"/>
                          </a:xfrm>
                          <a:custGeom>
                            <a:avLst/>
                            <a:gdLst/>
                            <a:ahLst/>
                            <a:cxnLst/>
                            <a:rect l="0" t="0" r="0" b="0"/>
                            <a:pathLst>
                              <a:path w="3960000" h="5783301">
                                <a:moveTo>
                                  <a:pt x="0" y="5783301"/>
                                </a:moveTo>
                                <a:lnTo>
                                  <a:pt x="3960000" y="5783301"/>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2A599DB" id="Group 200176" o:spid="_x0000_s1990" style="width:311.8pt;height:492.65pt;mso-position-horizontal-relative:char;mso-position-vertical-relative:line" coordsize="39600,62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bauQ0AAJmPAAAOAAAAZHJzL2Uyb0RvYy54bWzkXetupDga/b/SvgOq/z3BBnOJOj1ade+0&#10;VhrttObyAKRCXSQKENBJep9+z2cbQxFnVgJNO1p3SwlxGZfx8Xc7tj/e//h8qYLHsuvPTX23Yz+E&#10;u6Cs983DuT7e7f74/ad32S7oh6J+KKqmLu9238p+9+OHv//t/VN7W/Lm1FQPZRegkbq/fWrvdqdh&#10;aG9vbvr9qbwU/Q9NW9b48NB0l2LAn93x5qErntD6pbrhYZjcPDXdQ9s1+7LvUfpJfbj7INs/HMr9&#10;8Mvh0JdDUN3t0LdB/uzkz3v6efPhfXF77Ir2dN7rbhQrenEpzjW+1DT1qRiK4Gt3ftHU5bzvmr45&#10;DD/sm8tNczic96V8BjwNCxdP87lrvrbyWY63T8fWDBOGdjFOq5vd//vxc9f+1n7pMBJP7RFjIf+i&#10;Z3k+dBf6jV4Gz3LIvpkhK5+HYI/CKE/CMGS7YI/PEi6SOE/VoO5PGPkX9+1P//wfd96MX3xz1Z2n&#10;FhOkn8ag3zYGv52KtpRD299iDL50wfkB81fEWbQL6uKCqforJk9RH6syUMVygGRtM1z9bY+RG8cq&#10;6BrMr3csTHP6J+eDHjuWJTyK0l2AUXqXcJbrmTcOI0uzKMnVKHIRJnFCg2iGorhtu374XDaXgC7u&#10;dh36JtsvHn/uB1V1rELdqWr6WTc/natKfUolGNGxx3Q1PN8/y8fOWU5fR2X3zcM3DMap6f7zC8T6&#10;UDVPd7tGX+1I0vHt9OkuqP5VAwQSqvGiGy/ux4tuqD42UvRUf/7xdWgOZ9nh6dt0x4Cu6sNfDjMP&#10;0zRNRpzlVAh0mR4GTIlXQKbnGEGVcMZpxPJYzfkRTiUVGBqSCgFsI4iIwmEUqv1XBSi1N4II9fGg&#10;4ETZabzaP9fjJcH+p5qsLQa6jxqlywDgmb6cpq7Q5xeg+nsjaw4LMcW8mz6t6nkt09qoClB3rDH+&#10;bmV785rXQzDWG3+r+hitF4M11hh/z2tKCTLfjgt6YCkzZhBQOB/mqqbxIFQKWJpDVSgRupwHmKDq&#10;fIH88xTaTCNlkZh++FaVNGRV/Wt5gOxItUgFfXe8/1h1wWNBs13+U/JZtadCl+p2dVXZVdkO3X+A&#10;oJommbz1qsmPEf3XLejKdF8pbZy5M1R37nVvlKGDucBDj+YOg2Jukt/c1IO5v4aRll8iNYV62klQ&#10;aQbTX99PUknzilFQrxWyoH5Sb16X1T9RyO8Y4zzjULmYdEkYCZ7I0cXgaPskwjCOM65kmMU8y5ci&#10;PCrcv0YnczkPp8H/P9fJhLRRyddIS1u4GulEpEIZXgXzQlXD2PIZyJm0hJCRUU//xSDLOeUVyMDC&#10;5l9Jr3E1yEywHLpbmZCcsTxawMyjJIpD7WGRNH9voPmorjzxsKA9ERUskUbIRuXbNDeHQ0WNK3ch&#10;S0JpCuaaO8851Kf0vlxgLS2JN0ItMcVoW7E2RmyVleZCQFLfMtRSzXgDNRlp6NAl0qp4o1DzKItB&#10;FpFQJ4ng6VKoGeYZg4dAIZULoTb+phcKHJCCo7AhraiL1ZZaOt650DItYsTOS6RhIuCquUPa+Jve&#10;IG2x1DQBthnqyfEWEmY5rHMr7dTxNv6mNyAjyrEo7tw4pqsstBRnnqgACzBnCXQ0LMEc5zAigtGZ&#10;4s5Gd9MbpO0Udm7c0lVIz8TZDrNTcfaLwCblHNvF2Tikq0B+B1YswkqU8sN4Dvd7Kc6MJQl354dF&#10;JqLwRpztBGhuHNLVSMcIrxTSLGW5eIE01qlSaHZHHndk3A9vkLYToLkEZoPHzTlLU410CJqV6yVa&#10;Q3UzxrI51f2dybHI+CDeIG1nQdXa+QakGRdxDMuAGDnOueDjYrxBOgzTEPPJmUwbH8QbpMFp2Nxu&#10;45Wu0t6TM/YKzC6dMcW9+0SKYbOHFWTjla4CmZwx7FRQijvOQpYjzrqOrRi2inD4B65MtPFBPBFn&#10;LArbkKbijfQn1q+YiqLjJM2SSOqHWRTNwjCnvUmukDY+iDdIW0kxoTbybDLRUagXpOF/iyhcIg36&#10;EzbaHdK+MWMitDJjVLxFpmcm2g6zUxNt3A9vxNlKigmsM2wBWZloYjfJ446xEzBdijOZaNrD5Epx&#10;Gx/EG6StzJgItzFjaYZNYmp9MobOBqbXrljEQsaJlHOEc2w8EC9wpk0HkcXr1uUbZToDxQmRJZlm&#10;mYBUX2MtGIty4W6DybSDxh+sLWG0xNoYslUhFugSbBUCH/JmoTZOiBdQM4H9mPYIywQgq4CmdUqW&#10;McgsIR0mLFcc5yzCgkKJE7iCrhS48US8QdpKgorQBCCrkJ753XaYXfrd4Ga1afIGZIviJinfprfh&#10;d2OrAW0YhzhHeZQlYmmjwzxPaV+CK3H2ixqTttgiz7p8mz+GYzkpV6saUcYETlMt/DEQKpnDGEud&#10;1vOG8JaYWqy0Lt+EdZzGucDStpRrwhpHdNDg3Ew7xtpYJy80uMQUcCyXsHT5Fqx5jPXJUYW/SbE2&#10;NsofqC3ciYTa+C2rfDKY6wxBs6LJcNCZmlyINdY3BNHirsy1XzSZxNTCiOryTWKNTUWIqpUGf4tQ&#10;g7jRz+eFWMPZZvalLBRvAVpx30L7ZQLeeCobnNlqpEJIQYi7EmqcMvANaftSFjMs0ir1zZCxItL7&#10;EKI4FnT6DgM7AQ0KLeSZO0IU2xh9AlpqaYtM6/ItQg3Vneb6WHwUYf+JUhIT1GTGka3EnUz7RZNJ&#10;SC1Crcu3QE1OWR5xQEkcyutYw5Q7cspgW3wSa7LUFv9bFW9DGvtCeaJ29WM1C8yZVJgzqUYqrZy5&#10;214k/GLLCFJLUK2KtyA9kd8K5oWddpvsQh0w8IYmIzQtLJkq3gIythokgrbrk94OU4HkNdfuWJoC&#10;aIdq2z+KjDwmG0Wm2MvVuwWR/wDpMpSFpsNYIVLVYObM9DYLcxa7o02wI0bPZC9iael1WXYA6/It&#10;Qk3eGERZrWi9Taz9oshIT0PyllKtirchjX39cvsQ9DdykGWJOpk7k2rHGRAS/xgyi/4mpM2UX8Wb&#10;TN6YgnmpvJ2mHkM44JPqBpqUEsoizlOivVUg084ipPdUwRVykEGHv8AZCU2QXtBVGK3645PfzS3k&#10;GE0AM+VXIT0TZwmzZKLmWtvlziKVvtIrkC20GIEspW+1yy1XNZD5U0ZXHGFWqE4nz3BmIU4BYYY5&#10;YsUS71gxblmpJKQNFbxKnAlpbOlXcTQ2I2SpOgwyRxrZqbBTzRnS3rFitMvLZqLNlF+NNNLLaRMd&#10;RSJKl7qbIYOow5SRidnd7EUcTcJr5z9RvCW24jGSvGIDMVFjyHrBSZGjvUmkGSqkyDjnTKQ95MZe&#10;2RaqspCsNtRcpIkglpOgDrMsxdrJFdQ4lB2llGjQlZ32jxujxcSl+iZuDOVbpBohVoasNdpSv0ms&#10;DVHgjf62SDWpdaPfVlnqWYhlh9lliIX84noWewOyRZ4J5K3ijH0lES2AQnUjqYlA5t+F6sYKF45S&#10;O1PdaiObV8G0nQDduH4FxQ0jrd97xLKYh2pLx+SPiVBkjHJKOzLS2NXmmUzj8MwLGw2ZnvIqrlLc&#10;9NYr7BxTIp2yLFWO/AR0hAOXjL7bFdCGLPBFeSN/ohXobSQo0d080/wYw1EdnIRfKG+sXtFb4Jwh&#10;bcgCb5C2M6FTWsVVIj35Yq/A7NQXMzyBNyDbSdDI6LVVIJM4I0EN9DL5YnGKP16KM5ar3a1e4UV9&#10;vlloOwk6pVVchfRMnCXMclgn++x2ayDSDPsGsp3/jIxeWwUy1jRwLh6KX4pzFGcpdhRhZGc446Bd&#10;iJ2YzqyziR29Udz2TaAKmNX0Z8qThOImUtscpzaQNuUKZ8TXIscbPJzh7BcjJllOC9C6XCu3lTKN&#10;7N25fjcSYyFywi6wpldVihhC7yi2wskvn7S3xNSivnX5FqxpUWM8afc2oTbRozfq286BqgS9q9X3&#10;zBuTEi39n5mVdro1UJ0O8on+tKUSJFLMGLGVmpvjn37XGTKDgiG7NtI4TMljvOnOmeI2waMv0kyR&#10;7nKFEkBP2TNXAc2QyTnCm7TIG8vobWcLnHnMU7zI0h3OflFi0hBbgmhdvsVA01I0zkcrqFO8Kilb&#10;QE2+GKcVD1e+mAkgvRBpCamFGdPlW6AmXwxvgJdCLZGWkevcRhPSDoVaRgE+WWkKcWzK26zhrVLe&#10;kytml2eXNLfSLl5hbBFmMtDGU1mFseTFUuSIJAudQGmrg4tzYc4zHJJ3p7a9o8VoCVEJ82+noi0D&#10;Atm4Ka+DTFxmczgEz3c7tWgRp5R1/9qvjvIELKdebEa+QGSMlHHrTXH7fOgu1Mb+az98Lht5XTz+&#10;3A8wFcXt8WG8Kk7j1f65Hi+7cj8ElfzmQf7s5M97+invb4uB7qOm6DJ4ouykui8nvNlad4U+vzSP&#10;5e+NrDlMTzPWQGvo7FSnqud1TZuYzdd3jPXG361se15f9hRtjzXG36qmGtNlnX3V9KXqEj2W7Jt5&#10;VLQ1H8yqpqdGyk45/kV7tztUxbCTj3weyi6ozhd8TvhMX4MWScn17Zfuw3t5NXyrSrqnqn8tD8H5&#10;AXgz2UjfHe8/Vl3wWBAQ182gKt1zOFeVuSt89S6qWlTtqdBtEYR4GP0F8lq3RDXLwwHoL5vd696o&#10;iXC8mg5oy9wku9XU0/11U5fyC2dPO+l56gn99dS38up4+3SkK8zQrmhP5/2nYijmf8tatyVvTk31&#10;UHYf/gsAAP//AwBQSwMEFAAGAAgAAAAhABzue8jdAAAABQEAAA8AAABkcnMvZG93bnJldi54bWxM&#10;j0FLw0AQhe+C/2EZwZvdpKGhjdmUUtRTEWwF6W2anSah2dmQ3Sbpv3f1opeBx3u8902+nkwrBupd&#10;Y1lBPItAEJdWN1wp+Dy8Pi1BOI+ssbVMCm7kYF3c3+WYaTvyBw17X4lQwi5DBbX3XSalK2sy6Ga2&#10;Iw7e2fYGfZB9JXWPYyg3rZxHUSoNNhwWauxoW1N52V+NgrcRx00Svwy7y3l7Ox4W71+7mJR6fJg2&#10;zyA8Tf4vDD/4AR2KwHSyV9ZOtArCI/73Bi+dJymIk4LVcpGALHL5n774BgAA//8DAFBLAQItABQA&#10;BgAIAAAAIQC2gziS/gAAAOEBAAATAAAAAAAAAAAAAAAAAAAAAABbQ29udGVudF9UeXBlc10ueG1s&#10;UEsBAi0AFAAGAAgAAAAhADj9If/WAAAAlAEAAAsAAAAAAAAAAAAAAAAALwEAAF9yZWxzLy5yZWxz&#10;UEsBAi0AFAAGAAgAAAAhACf+Ztq5DQAAmY8AAA4AAAAAAAAAAAAAAAAALgIAAGRycy9lMm9Eb2Mu&#10;eG1sUEsBAi0AFAAGAAgAAAAhABzue8jdAAAABQEAAA8AAAAAAAAAAAAAAAAAExAAAGRycy9kb3du&#10;cmV2LnhtbFBLBQYAAAAABAAEAPMAAAAdEQAAAAA=&#10;">
                <v:rect id="Rectangle 15483" o:spid="_x0000_s1991" style="position:absolute;left:18623;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0zbxQAAAN4AAAAPAAAAZHJzL2Rvd25yZXYueG1sRE9Na8JA&#10;EL0X+h+WKXirm9YqIbpKsYg5eKlV8DhkxySanV2yq4n99W5B6G0e73Nmi9404kqtry0reBsmIIgL&#10;q2suFex+Vq8pCB+QNTaWScGNPCzmz08zzLTt+Juu21CKGMI+QwVVCC6T0hcVGfRD64gjd7StwRBh&#10;W0rdYhfDTSPfk2QiDdYcGyp0tKyoOG8vRsHhi12+6mRx/F26zSlPm/Vlt1dq8NJ/TkEE6sO/+OHO&#10;dZw//khH8PdOvEHO7wAAAP//AwBQSwECLQAUAAYACAAAACEA2+H2y+4AAACFAQAAEwAAAAAAAAAA&#10;AAAAAAAAAAAAW0NvbnRlbnRfVHlwZXNdLnhtbFBLAQItABQABgAIAAAAIQBa9CxbvwAAABUBAAAL&#10;AAAAAAAAAAAAAAAAAB8BAABfcmVscy8ucmVsc1BLAQItABQABgAIAAAAIQCoP0zbxQAAAN4AAAAP&#10;AAAAAAAAAAAAAAAAAAcCAABkcnMvZG93bnJldi54bWxQSwUGAAAAAAMAAwC3AAAA+QIAAAAA&#10;" filled="f" stroked="f">
                  <v:textbox inset="0,0,0,0">
                    <w:txbxContent>
                      <w:p w14:paraId="695B7112" w14:textId="77777777" w:rsidR="00B32EF2" w:rsidRDefault="00000000">
                        <w:r>
                          <w:rPr>
                            <w:rFonts w:ascii="Times New Roman" w:eastAsia="Times New Roman" w:hAnsi="Times New Roman" w:cs="Times New Roman"/>
                          </w:rPr>
                          <w:t>91</w:t>
                        </w:r>
                      </w:p>
                    </w:txbxContent>
                  </v:textbox>
                </v:rect>
                <v:shape id="Shape 207776" o:spid="_x0000_s1992" style="position:absolute;top:4731;width:39600;height:57833;visibility:visible;mso-wrap-style:square;v-text-anchor:top" coordsize="3960000,578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PHCxgAAAN8AAAAPAAAAZHJzL2Rvd25yZXYueG1sRI9Ra8Iw&#10;FIXfB/sP4Q58m+l8sKMzig4mRRiyuh9waa5tsbnJkqjVX78Igo+Hc853OLPFYHpxIh86ywrexhkI&#10;4trqjhsFv7uv13cQISJr7C2TggsFWMyfn2ZYaHvmHzpVsREJwqFABW2MrpAy1C0ZDGPriJO3t95g&#10;TNI3Uns8J7jp5STLptJgx2mhRUefLdWH6mgUXKvuz39vtO7d+rJxUparYVsqNXoZlh8gIg3xEb63&#10;S61gkuV5PoXbn/QF5PwfAAD//wMAUEsBAi0AFAAGAAgAAAAhANvh9svuAAAAhQEAABMAAAAAAAAA&#10;AAAAAAAAAAAAAFtDb250ZW50X1R5cGVzXS54bWxQSwECLQAUAAYACAAAACEAWvQsW78AAAAVAQAA&#10;CwAAAAAAAAAAAAAAAAAfAQAAX3JlbHMvLnJlbHNQSwECLQAUAAYACAAAACEAKEDxwsYAAADfAAAA&#10;DwAAAAAAAAAAAAAAAAAHAgAAZHJzL2Rvd25yZXYueG1sUEsFBgAAAAADAAMAtwAAAPoCAAAAAA==&#10;" path="m,l3960000,r,5783301l,5783301,,e" fillcolor="#c3c3c3" stroked="f" strokeweight="0">
                  <v:stroke miterlimit="83231f" joinstyle="miter"/>
                  <v:path arrowok="t" textboxrect="0,0,3960000,5783301"/>
                </v:shape>
                <v:rect id="Rectangle 15485" o:spid="_x0000_s1993" style="position:absolute;left:-11228;top:60352;width:50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E0xAAAAN4AAAAPAAAAZHJzL2Rvd25yZXYueG1sRE9Na8JA&#10;EL0X/A/LCN7qxqIlRFcRRZpDL7UKHofsmESzs0t2NdFf3y0UepvH+5zFqjeNuFPra8sKJuMEBHFh&#10;dc2lgsP37jUF4QOyxsYyKXiQh9Vy8LLATNuOv+i+D6WIIewzVFCF4DIpfVGRQT+2jjhyZ9saDBG2&#10;pdQtdjHcNPItSd6lwZpjQ4WONhUV1/3NKDht2eW7Thbn58Z9XvK0+bgdjkqNhv16DiJQH/7Ff+5c&#10;x/mzaTqD33fiDXL5AwAA//8DAFBLAQItABQABgAIAAAAIQDb4fbL7gAAAIUBAAATAAAAAAAAAAAA&#10;AAAAAAAAAABbQ29udGVudF9UeXBlc10ueG1sUEsBAi0AFAAGAAgAAAAhAFr0LFu/AAAAFQEAAAsA&#10;AAAAAAAAAAAAAAAAHwEAAF9yZWxzLy5yZWxzUEsBAi0AFAAGAAgAAAAhAEiacTTEAAAA3gAAAA8A&#10;AAAAAAAAAAAAAAAABwIAAGRycy9kb3ducmV2LnhtbFBLBQYAAAAAAwADALcAAAD4AgAAAAA=&#10;" filled="f" stroked="f">
                  <v:textbox inset="0,0,0,0">
                    <w:txbxContent>
                      <w:p w14:paraId="4C038A68" w14:textId="77777777" w:rsidR="00B32EF2" w:rsidRDefault="00000000">
                        <w:r>
                          <w:rPr>
                            <w:rFonts w:ascii="Arial" w:eastAsia="Arial" w:hAnsi="Arial" w:cs="Arial"/>
                            <w:i/>
                            <w:sz w:val="18"/>
                          </w:rPr>
                          <w:t>art. 38 D.lgs. 173/2024 “Ritardati od omessi versamenti diretti e altre viola</w:t>
                        </w:r>
                      </w:p>
                    </w:txbxContent>
                  </v:textbox>
                </v:rect>
                <v:rect id="Rectangle 15486" o:spid="_x0000_s1994" style="position:absolute;left:657;top:6035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O9DxAAAAN4AAAAPAAAAZHJzL2Rvd25yZXYueG1sRE9Na8JA&#10;EL0X/A/LCN7qxmIlRFcRRZpDL7UKHofsmESzs0t2NdFf3y0UepvH+5zFqjeNuFPra8sKJuMEBHFh&#10;dc2lgsP37jUF4QOyxsYyKXiQh9Vy8LLATNuOv+i+D6WIIewzVFCF4DIpfVGRQT+2jjhyZ9saDBG2&#10;pdQtdjHcNPItSWbSYM2xoUJHm4qK6/5mFJy27PJdJ4vzc+M+L3nafNwOR6VGw349BxGoD//iP3eu&#10;4/z3aTqD33fiDXL5AwAA//8DAFBLAQItABQABgAIAAAAIQDb4fbL7gAAAIUBAAATAAAAAAAAAAAA&#10;AAAAAAAAAABbQ29udGVudF9UeXBlc10ueG1sUEsBAi0AFAAGAAgAAAAhAFr0LFu/AAAAFQEAAAsA&#10;AAAAAAAAAAAAAAAAHwEAAF9yZWxzLy5yZWxzUEsBAi0AFAAGAAgAAAAhALhI70PEAAAA3gAAAA8A&#10;AAAAAAAAAAAAAAAABwIAAGRycy9kb3ducmV2LnhtbFBLBQYAAAAAAwADALcAAAD4AgAAAAA=&#10;" filled="f" stroked="f">
                  <v:textbox inset="0,0,0,0">
                    <w:txbxContent>
                      <w:p w14:paraId="6DAADD4B" w14:textId="77777777" w:rsidR="00B32EF2" w:rsidRDefault="00000000">
                        <w:r>
                          <w:rPr>
                            <w:rFonts w:ascii="Arial" w:eastAsia="Arial" w:hAnsi="Arial" w:cs="Arial"/>
                            <w:i/>
                            <w:sz w:val="18"/>
                          </w:rPr>
                          <w:t>-</w:t>
                        </w:r>
                      </w:p>
                    </w:txbxContent>
                  </v:textbox>
                </v:rect>
                <v:rect id="Rectangle 15487" o:spid="_x0000_s1995" style="position:absolute;left:15192;top:59119;width:236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ErYxQAAAN4AAAAPAAAAZHJzL2Rvd25yZXYueG1sRE9Na8JA&#10;EL0X+h+WKXirmxarIbpKsYg5eKlV8DhkxySanV2yq4n99W5B6G0e73Nmi9404kqtry0reBsmIIgL&#10;q2suFex+Vq8pCB+QNTaWScGNPCzmz08zzLTt+Juu21CKGMI+QwVVCC6T0hcVGfRD64gjd7StwRBh&#10;W0rdYhfDTSPfk2QsDdYcGyp0tKyoOG8vRsHhi12+6mRx/F26zSlPm/Vlt1dq8NJ/TkEE6sO/+OHO&#10;dZz/MUon8PdOvEHO7wAAAP//AwBQSwECLQAUAAYACAAAACEA2+H2y+4AAACFAQAAEwAAAAAAAAAA&#10;AAAAAAAAAAAAW0NvbnRlbnRfVHlwZXNdLnhtbFBLAQItABQABgAIAAAAIQBa9CxbvwAAABUBAAAL&#10;AAAAAAAAAAAAAAAAAB8BAABfcmVscy8ucmVsc1BLAQItABQABgAIAAAAIQDXBErYxQAAAN4AAAAP&#10;AAAAAAAAAAAAAAAAAAcCAABkcnMvZG93bnJldi54bWxQSwUGAAAAAAMAAwC3AAAA+QIAAAAA&#10;" filled="f" stroked="f">
                  <v:textbox inset="0,0,0,0">
                    <w:txbxContent>
                      <w:p w14:paraId="2F5BFAC0" w14:textId="77777777" w:rsidR="00B32EF2" w:rsidRDefault="00000000">
                        <w:r>
                          <w:rPr>
                            <w:rFonts w:ascii="Arial" w:eastAsia="Arial" w:hAnsi="Arial" w:cs="Arial"/>
                            <w:i/>
                            <w:sz w:val="18"/>
                          </w:rPr>
                          <w:t>zioni in materia di compensazione”</w:t>
                        </w:r>
                      </w:p>
                    </w:txbxContent>
                  </v:textbox>
                </v:rect>
                <v:rect id="Rectangle 200041" o:spid="_x0000_s1996" style="position:absolute;left:-12783;top:57886;width:5099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N0sxwAAAN8AAAAPAAAAZHJzL2Rvd25yZXYueG1sRI/NasMw&#10;EITvhb6D2EJvjexQSnCjhOJi4kMvzQ/0uFgb2621EpYcu3n6KBDIcZiZb5jlejKdOFHvW8sK0lkC&#10;griyuuVawX5XvCxA+ICssbNMCv7Jw3r1+LDETNuRv+m0DbWIEPYZKmhCcJmUvmrIoJ9ZRxy9o+0N&#10;hij7Wuoexwg3nZwnyZs02HJcaNBR3lD1tx2Mgp9PdmUxyup4zt3Xb7noNsP+oNTz0/TxDiLQFO7h&#10;W7vUCiIxeU3h+id+Abm6AAAA//8DAFBLAQItABQABgAIAAAAIQDb4fbL7gAAAIUBAAATAAAAAAAA&#10;AAAAAAAAAAAAAABbQ29udGVudF9UeXBlc10ueG1sUEsBAi0AFAAGAAgAAAAhAFr0LFu/AAAAFQEA&#10;AAsAAAAAAAAAAAAAAAAAHwEAAF9yZWxzLy5yZWxzUEsBAi0AFAAGAAgAAAAhAKZI3SzHAAAA3wAA&#10;AA8AAAAAAAAAAAAAAAAABwIAAGRycy9kb3ducmV2LnhtbFBLBQYAAAAAAwADALcAAAD7AgAAAAA=&#10;" filled="f" stroked="f">
                  <v:textbox inset="0,0,0,0">
                    <w:txbxContent>
                      <w:p w14:paraId="40EAFEF4" w14:textId="77777777" w:rsidR="00B32EF2" w:rsidRDefault="00000000">
                        <w:r>
                          <w:rPr>
                            <w:rFonts w:ascii="Arial" w:eastAsia="Arial" w:hAnsi="Arial" w:cs="Arial"/>
                            <w:i/>
                            <w:sz w:val="18"/>
                          </w:rPr>
                          <w:t xml:space="preserve">. Chi non esegue, in tutto o in parte, alle prescritte scadenze, i versamenti </w:t>
                        </w:r>
                      </w:p>
                    </w:txbxContent>
                  </v:textbox>
                </v:rect>
                <v:rect id="Rectangle 200040" o:spid="_x0000_s1997" style="position:absolute;left:25528;top:57886;width:5099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Hi3xgAAAN8AAAAPAAAAZHJzL2Rvd25yZXYueG1sRI9Ba8JA&#10;EIXvQv/DMoXedNMiIqmrFIuYQy+1EXocsmMSzc4u2dWk/fWdg9Dj8OZ9j2+1GV2nbtTH1rOB51kG&#10;irjytuXaQPm1my5BxYRssfNMBn4owmb9MFlhbv3An3Q7pFoJhGOOBpqUQq51rBpyGGc+EEt28r3D&#10;JGdfa9vjIHDX6ZcsW2iHLctCg4G2DVWXw9UZ+H7nUOwGXZ1+t+HjXCy7/bU8GvP0OL69gko0pv/n&#10;e7uwBoSYzcVAfMQF9PoPAAD//wMAUEsBAi0AFAAGAAgAAAAhANvh9svuAAAAhQEAABMAAAAAAAAA&#10;AAAAAAAAAAAAAFtDb250ZW50X1R5cGVzXS54bWxQSwECLQAUAAYACAAAACEAWvQsW78AAAAVAQAA&#10;CwAAAAAAAAAAAAAAAAAfAQAAX3JlbHMvLnJlbHNQSwECLQAUAAYACAAAACEAyQR4t8YAAADfAAAA&#10;DwAAAAAAAAAAAAAAAAAHAgAAZHJzL2Rvd25yZXYueG1sUEsFBgAAAAADAAMAtwAAAPoCAAAAAA==&#10;" filled="f" stroked="f">
                  <v:textbox inset="0,0,0,0">
                    <w:txbxContent>
                      <w:p w14:paraId="4A602A26" w14:textId="77777777" w:rsidR="00B32EF2" w:rsidRDefault="00000000">
                        <w:r>
                          <w:rPr>
                            <w:rFonts w:ascii="Arial" w:eastAsia="Arial" w:hAnsi="Arial" w:cs="Arial"/>
                            <w:i/>
                            <w:sz w:val="18"/>
                          </w:rPr>
                          <w:t>1</w:t>
                        </w:r>
                      </w:p>
                    </w:txbxContent>
                  </v:textbox>
                </v:rect>
                <v:rect id="Rectangle 15489" o:spid="_x0000_s1998" style="position:absolute;left:-12238;top:56652;width:511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3sxxQAAAN4AAAAPAAAAZHJzL2Rvd25yZXYueG1sRE9Na8JA&#10;EL0L/odlhN50o7Qlja4iipiDl1oLHofsmKTNzi7Z1cT+erdQ6G0e73MWq9404katry0rmE4SEMSF&#10;1TWXCk4fu3EKwgdkjY1lUnAnD6vlcLDATNuO3+l2DKWIIewzVFCF4DIpfVGRQT+xjjhyF9saDBG2&#10;pdQtdjHcNHKWJK/SYM2xoUJHm4qK7+PVKDhv2eW7ThaXn407fOVps7+ePpV6GvXrOYhAffgX/7lz&#10;Hee/PKdv8PtOvEEuHwAAAP//AwBQSwECLQAUAAYACAAAACEA2+H2y+4AAACFAQAAEwAAAAAAAAAA&#10;AAAAAAAAAAAAW0NvbnRlbnRfVHlwZXNdLnhtbFBLAQItABQABgAIAAAAIQBa9CxbvwAAABUBAAAL&#10;AAAAAAAAAAAAAAAAAB8BAABfcmVscy8ucmVsc1BLAQItABQABgAIAAAAIQDJ13sxxQAAAN4AAAAP&#10;AAAAAAAAAAAAAAAAAAcCAABkcnMvZG93bnJldi54bWxQSwUGAAAAAAMAAwC3AAAA+QIAAAAA&#10;" filled="f" stroked="f">
                  <v:textbox inset="0,0,0,0">
                    <w:txbxContent>
                      <w:p w14:paraId="6B0FCFBC" w14:textId="77777777" w:rsidR="00B32EF2" w:rsidRDefault="00000000">
                        <w:r>
                          <w:rPr>
                            <w:rFonts w:ascii="Arial" w:eastAsia="Arial" w:hAnsi="Arial" w:cs="Arial"/>
                            <w:i/>
                            <w:sz w:val="18"/>
                          </w:rPr>
                          <w:t xml:space="preserve">in acconto, i versamenti periodici, il versamento di conguaglio o a saldo </w:t>
                        </w:r>
                      </w:p>
                    </w:txbxContent>
                  </v:textbox>
                </v:rect>
                <v:rect id="Rectangle 15490" o:spid="_x0000_s1999" style="position:absolute;left:-11229;top:55419;width:50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ERxyAAAAN4AAAAPAAAAZHJzL2Rvd25yZXYueG1sRI9Pb8Iw&#10;DMXvk/YdIk/iNtJN28Q6ApqYED1wGX+kHa3GtN0aJ2oC7fj0+IDEzZaf33u/6XxwrTpRFxvPBp7G&#10;GSji0tuGKwO77fJxAiomZIutZzLwTxHms/u7KebW9/xNp02qlJhwzNFAnVLItY5lTQ7j2AdiuR18&#10;5zDJ2lXadtiLuWv1c5a9aYcNS0KNgRY1lX+bozPw88WhWPa6PJwXYf1bTNrVcbc3ZvQwfH6ASjSk&#10;m/j6XVip//ryLgCCIzPo2QUAAP//AwBQSwECLQAUAAYACAAAACEA2+H2y+4AAACFAQAAEwAAAAAA&#10;AAAAAAAAAAAAAAAAW0NvbnRlbnRfVHlwZXNdLnhtbFBLAQItABQABgAIAAAAIQBa9CxbvwAAABUB&#10;AAALAAAAAAAAAAAAAAAAAB8BAABfcmVscy8ucmVsc1BLAQItABQABgAIAAAAIQDdNERxyAAAAN4A&#10;AAAPAAAAAAAAAAAAAAAAAAcCAABkcnMvZG93bnJldi54bWxQSwUGAAAAAAMAAwC3AAAA/AIAAAAA&#10;" filled="f" stroked="f">
                  <v:textbox inset="0,0,0,0">
                    <w:txbxContent>
                      <w:p w14:paraId="3D673676" w14:textId="77777777" w:rsidR="00B32EF2" w:rsidRDefault="00000000">
                        <w:r>
                          <w:rPr>
                            <w:rFonts w:ascii="Arial" w:eastAsia="Arial" w:hAnsi="Arial" w:cs="Arial"/>
                            <w:i/>
                            <w:sz w:val="18"/>
                          </w:rPr>
                          <w:t>dell’imposta risultante dalla dichiarazione, detratto in questi casi l’ammon</w:t>
                        </w:r>
                      </w:p>
                    </w:txbxContent>
                  </v:textbox>
                </v:rect>
                <v:rect id="Rectangle 15491" o:spid="_x0000_s2000" style="position:absolute;left:657;top:5541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OHqxQAAAN4AAAAPAAAAZHJzL2Rvd25yZXYueG1sRE9La8JA&#10;EL4X/A/LCN7qxmJFo6uIRZpDL/UBHofsmESzs0t2NWl/fbcgeJuP7zmLVWdqcafGV5YVjIYJCOLc&#10;6ooLBYf99nUKwgdkjbVlUvBDHlbL3ssCU21b/qb7LhQihrBPUUEZgkul9HlJBv3QOuLInW1jMETY&#10;FFI32MZwU8u3JJlIgxXHhhIdbUrKr7ubUXD6YJdtW5mffzfu65JN68/b4ajUoN+t5yACdeEpfrgz&#10;Hee/j2cj+H8n3iCXfwAAAP//AwBQSwECLQAUAAYACAAAACEA2+H2y+4AAACFAQAAEwAAAAAAAAAA&#10;AAAAAAAAAAAAW0NvbnRlbnRfVHlwZXNdLnhtbFBLAQItABQABgAIAAAAIQBa9CxbvwAAABUBAAAL&#10;AAAAAAAAAAAAAAAAAB8BAABfcmVscy8ucmVsc1BLAQItABQABgAIAAAAIQCyeOHqxQAAAN4AAAAP&#10;AAAAAAAAAAAAAAAAAAcCAABkcnMvZG93bnJldi54bWxQSwUGAAAAAAMAAwC3AAAA+QIAAAAA&#10;" filled="f" stroked="f">
                  <v:textbox inset="0,0,0,0">
                    <w:txbxContent>
                      <w:p w14:paraId="2EAA72B2" w14:textId="77777777" w:rsidR="00B32EF2" w:rsidRDefault="00000000">
                        <w:r>
                          <w:rPr>
                            <w:rFonts w:ascii="Arial" w:eastAsia="Arial" w:hAnsi="Arial" w:cs="Arial"/>
                            <w:i/>
                            <w:sz w:val="18"/>
                          </w:rPr>
                          <w:t>-</w:t>
                        </w:r>
                      </w:p>
                    </w:txbxContent>
                  </v:textbox>
                </v:rect>
                <v:rect id="Rectangle 15492" o:spid="_x0000_s2001" style="position:absolute;left:-11222;top:54186;width:500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dxQAAAN4AAAAPAAAAZHJzL2Rvd25yZXYueG1sRE9Na8JA&#10;EL0L/Q/LFLzpRrFio6uIIs3BS62FHofsmESzs0t2NWl/vVsQvM3jfc5i1Zla3KjxlWUFo2ECgji3&#10;uuJCwfFrN5iB8AFZY22ZFPySh9XypbfAVNuWP+l2CIWIIexTVFCG4FIpfV6SQT+0jjhyJ9sYDBE2&#10;hdQNtjHc1HKcJFNpsOLYUKKjTUn55XA1Cn627LJdK/PT38btz9ms/rgev5Xqv3brOYhAXXiKH+5M&#10;x/lvk/cx/L8Tb5DLOwAAAP//AwBQSwECLQAUAAYACAAAACEA2+H2y+4AAACFAQAAEwAAAAAAAAAA&#10;AAAAAAAAAAAAW0NvbnRlbnRfVHlwZXNdLnhtbFBLAQItABQABgAIAAAAIQBa9CxbvwAAABUBAAAL&#10;AAAAAAAAAAAAAAAAAB8BAABfcmVscy8ucmVsc1BLAQItABQABgAIAAAAIQBCqn+dxQAAAN4AAAAP&#10;AAAAAAAAAAAAAAAAAAcCAABkcnMvZG93bnJldi54bWxQSwUGAAAAAAMAAwC3AAAA+QIAAAAA&#10;" filled="f" stroked="f">
                  <v:textbox inset="0,0,0,0">
                    <w:txbxContent>
                      <w:p w14:paraId="5E54B6EC" w14:textId="77777777" w:rsidR="00B32EF2" w:rsidRDefault="00000000">
                        <w:r>
                          <w:rPr>
                            <w:rFonts w:ascii="Arial" w:eastAsia="Arial" w:hAnsi="Arial" w:cs="Arial"/>
                            <w:i/>
                            <w:sz w:val="18"/>
                          </w:rPr>
                          <w:t>tare dei versamenti periodici e in acconto, ancorché non effettuati, è sog</w:t>
                        </w:r>
                      </w:p>
                    </w:txbxContent>
                  </v:textbox>
                </v:rect>
                <v:rect id="Rectangle 15493" o:spid="_x0000_s2002" style="position:absolute;left:657;top:5418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toGxQAAAN4AAAAPAAAAZHJzL2Rvd25yZXYueG1sRE9Na8JA&#10;EL0X+h+WKXirm7ZWYuoqxSLm4EVrweOQHZO02dklu5ror3eFgrd5vM+ZznvTiBO1vras4GWYgCAu&#10;rK65VLD7Xj6nIHxA1thYJgVn8jCfPT5MMdO24w2dtqEUMYR9hgqqEFwmpS8qMuiH1hFH7mBbgyHC&#10;tpS6xS6Gm0a+JslYGqw5NlToaFFR8bc9GgX7L3b5spPF4bJw6988bVbH3Y9Sg6f+8wNEoD7cxf/u&#10;XMf576PJG9zeiTfI2RUAAP//AwBQSwECLQAUAAYACAAAACEA2+H2y+4AAACFAQAAEwAAAAAAAAAA&#10;AAAAAAAAAAAAW0NvbnRlbnRfVHlwZXNdLnhtbFBLAQItABQABgAIAAAAIQBa9CxbvwAAABUBAAAL&#10;AAAAAAAAAAAAAAAAAB8BAABfcmVscy8ucmVsc1BLAQItABQABgAIAAAAIQAt5toGxQAAAN4AAAAP&#10;AAAAAAAAAAAAAAAAAAcCAABkcnMvZG93bnJldi54bWxQSwUGAAAAAAMAAwC3AAAA+QIAAAAA&#10;" filled="f" stroked="f">
                  <v:textbox inset="0,0,0,0">
                    <w:txbxContent>
                      <w:p w14:paraId="0A7AC584" w14:textId="77777777" w:rsidR="00B32EF2" w:rsidRDefault="00000000">
                        <w:r>
                          <w:rPr>
                            <w:rFonts w:ascii="Arial" w:eastAsia="Arial" w:hAnsi="Arial" w:cs="Arial"/>
                            <w:i/>
                            <w:sz w:val="18"/>
                          </w:rPr>
                          <w:t>-</w:t>
                        </w:r>
                      </w:p>
                    </w:txbxContent>
                  </v:textbox>
                </v:rect>
                <v:rect id="Rectangle 15494" o:spid="_x0000_s2003" style="position:absolute;left:-12232;top:52952;width:511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0JyxQAAAN4AAAAPAAAAZHJzL2Rvd25yZXYueG1sRE9Na8JA&#10;EL0L/Q/LFLzpRrHFRlcRRczBS62FHofsmESzs0t2NbG/3i0UvM3jfc582Zla3KjxlWUFo2ECgji3&#10;uuJCwfFrO5iC8AFZY22ZFNzJw3Lx0ptjqm3Ln3Q7hELEEPYpKihDcKmUPi/JoB9aRxy5k20Mhgib&#10;QuoG2xhuajlOkndpsOLYUKKjdUn55XA1Cn427LJtK/PT79rtz9m03l2P30r1X7vVDESgLjzF/+5M&#10;x/lvk48J/L0Tb5CLBwAAAP//AwBQSwECLQAUAAYACAAAACEA2+H2y+4AAACFAQAAEwAAAAAAAAAA&#10;AAAAAAAAAAAAW0NvbnRlbnRfVHlwZXNdLnhtbFBLAQItABQABgAIAAAAIQBa9CxbvwAAABUBAAAL&#10;AAAAAAAAAAAAAAAAAB8BAABfcmVscy8ucmVsc1BLAQItABQABgAIAAAAIQCiD0JyxQAAAN4AAAAP&#10;AAAAAAAAAAAAAAAAAAcCAABkcnMvZG93bnJldi54bWxQSwUGAAAAAAMAAwC3AAAA+QIAAAAA&#10;" filled="f" stroked="f">
                  <v:textbox inset="0,0,0,0">
                    <w:txbxContent>
                      <w:p w14:paraId="207D6F96" w14:textId="77777777" w:rsidR="00B32EF2" w:rsidRDefault="00000000">
                        <w:r>
                          <w:rPr>
                            <w:rFonts w:ascii="Arial" w:eastAsia="Arial" w:hAnsi="Arial" w:cs="Arial"/>
                            <w:i/>
                            <w:sz w:val="18"/>
                          </w:rPr>
                          <w:t xml:space="preserve">getto a sanzione amministrativa pari al 25 per cento di ogni importo non </w:t>
                        </w:r>
                      </w:p>
                    </w:txbxContent>
                  </v:textbox>
                </v:rect>
                <v:rect id="Rectangle 15495" o:spid="_x0000_s2004" style="position:absolute;left:-12245;top:51719;width:512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fpxQAAAN4AAAAPAAAAZHJzL2Rvd25yZXYueG1sRE9Na8JA&#10;EL0X+h+WKXirG0WLja4iipiDl1oLPQ7ZMYlmZ5fsaqK/3i0UvM3jfc5s0ZlaXKnxlWUFg34Cgji3&#10;uuJCweF78z4B4QOyxtoyKbiRh8X89WWGqbYtf9F1HwoRQ9inqKAMwaVS+rwkg75vHXHkjrYxGCJs&#10;CqkbbGO4qeUwST6kwYpjQ4mOViXl5/3FKPhds8s2rcyP95XbnbJJvb0cfpTqvXXLKYhAXXiK/92Z&#10;jvPHo88x/L0Tb5DzBwAAAP//AwBQSwECLQAUAAYACAAAACEA2+H2y+4AAACFAQAAEwAAAAAAAAAA&#10;AAAAAAAAAAAAW0NvbnRlbnRfVHlwZXNdLnhtbFBLAQItABQABgAIAAAAIQBa9CxbvwAAABUBAAAL&#10;AAAAAAAAAAAAAAAAAB8BAABfcmVscy8ucmVsc1BLAQItABQABgAIAAAAIQDNQ+fpxQAAAN4AAAAP&#10;AAAAAAAAAAAAAAAAAAcCAABkcnMvZG93bnJldi54bWxQSwUGAAAAAAMAAwC3AAAA+QIAAAAA&#10;" filled="f" stroked="f">
                  <v:textbox inset="0,0,0,0">
                    <w:txbxContent>
                      <w:p w14:paraId="1DAF006C" w14:textId="77777777" w:rsidR="00B32EF2" w:rsidRDefault="00000000">
                        <w:r>
                          <w:rPr>
                            <w:rFonts w:ascii="Arial" w:eastAsia="Arial" w:hAnsi="Arial" w:cs="Arial"/>
                            <w:i/>
                            <w:sz w:val="18"/>
                          </w:rPr>
                          <w:t xml:space="preserve">versato, anche quando, in seguito alla correzione di errori materiali o di </w:t>
                        </w:r>
                      </w:p>
                    </w:txbxContent>
                  </v:textbox>
                </v:rect>
                <v:rect id="Rectangle 15496" o:spid="_x0000_s2005" style="position:absolute;left:-12217;top:50486;width:511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XmexQAAAN4AAAAPAAAAZHJzL2Rvd25yZXYueG1sRE9Na8JA&#10;EL0X+h+WKXirG0XFRlcRRcyhl1oLPQ7ZMYlmZ5fsaqK/3i0UvM3jfc582ZlaXKnxlWUFg34Cgji3&#10;uuJCweF7+z4F4QOyxtoyKbiRh+Xi9WWOqbYtf9F1HwoRQ9inqKAMwaVS+rwkg75vHXHkjrYxGCJs&#10;CqkbbGO4qeUwSSbSYMWxoURH65Ly8/5iFPxu2GXbVubH+9p9nrJpvbscfpTqvXWrGYhAXXiK/92Z&#10;jvPHo48J/L0Tb5CLBwAAAP//AwBQSwECLQAUAAYACAAAACEA2+H2y+4AAACFAQAAEwAAAAAAAAAA&#10;AAAAAAAAAAAAW0NvbnRlbnRfVHlwZXNdLnhtbFBLAQItABQABgAIAAAAIQBa9CxbvwAAABUBAAAL&#10;AAAAAAAAAAAAAAAAAB8BAABfcmVscy8ucmVsc1BLAQItABQABgAIAAAAIQA9kXmexQAAAN4AAAAP&#10;AAAAAAAAAAAAAAAAAAcCAABkcnMvZG93bnJldi54bWxQSwUGAAAAAAMAAwC3AAAA+QIAAAAA&#10;" filled="f" stroked="f">
                  <v:textbox inset="0,0,0,0">
                    <w:txbxContent>
                      <w:p w14:paraId="44843925" w14:textId="77777777" w:rsidR="00B32EF2" w:rsidRDefault="00000000">
                        <w:r>
                          <w:rPr>
                            <w:rFonts w:ascii="Arial" w:eastAsia="Arial" w:hAnsi="Arial" w:cs="Arial"/>
                            <w:i/>
                            <w:sz w:val="18"/>
                          </w:rPr>
                          <w:t xml:space="preserve">calcolo rilevati in sede di controllo della dichiarazione annuale, risulti una </w:t>
                        </w:r>
                      </w:p>
                    </w:txbxContent>
                  </v:textbox>
                </v:rect>
                <v:rect id="Rectangle 15497" o:spid="_x0000_s2006" style="position:absolute;left:-11254;top:49252;width:50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dwFxQAAAN4AAAAPAAAAZHJzL2Rvd25yZXYueG1sRE9Na8JA&#10;EL0X+h+WKXirm5ZaY+oqxSLm4EVrweOQHZO02dklu5ror3eFgrd5vM+ZznvTiBO1vras4GWYgCAu&#10;rK65VLD7Xj6nIHxA1thYJgVn8jCfPT5MMdO24w2dtqEUMYR9hgqqEFwmpS8qMuiH1hFH7mBbgyHC&#10;tpS6xS6Gm0a+Jsm7NFhzbKjQ0aKi4m97NAr2X+zyZSeLw2Xh1r952qyOux+lBk/95weIQH24i//d&#10;uY7zR2+TMdzeiTfI2RUAAP//AwBQSwECLQAUAAYACAAAACEA2+H2y+4AAACFAQAAEwAAAAAAAAAA&#10;AAAAAAAAAAAAW0NvbnRlbnRfVHlwZXNdLnhtbFBLAQItABQABgAIAAAAIQBa9CxbvwAAABUBAAAL&#10;AAAAAAAAAAAAAAAAAB8BAABfcmVscy8ucmVsc1BLAQItABQABgAIAAAAIQBS3dwFxQAAAN4AAAAP&#10;AAAAAAAAAAAAAAAAAAcCAABkcnMvZG93bnJldi54bWxQSwUGAAAAAAMAAwC3AAAA+QIAAAAA&#10;" filled="f" stroked="f">
                  <v:textbox inset="0,0,0,0">
                    <w:txbxContent>
                      <w:p w14:paraId="1C4E11F8" w14:textId="77777777" w:rsidR="00B32EF2" w:rsidRDefault="00000000">
                        <w:r>
                          <w:rPr>
                            <w:rFonts w:ascii="Arial" w:eastAsia="Arial" w:hAnsi="Arial" w:cs="Arial"/>
                            <w:i/>
                            <w:sz w:val="18"/>
                          </w:rPr>
                          <w:t>maggiore imposta o una minore eccedenza detraibile. Per i versamenti ef</w:t>
                        </w:r>
                      </w:p>
                    </w:txbxContent>
                  </v:textbox>
                </v:rect>
                <v:rect id="Rectangle 15498" o:spid="_x0000_s2007" style="position:absolute;left:657;top:4925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h3yAAAAN4AAAAPAAAAZHJzL2Rvd25yZXYueG1sRI9Pb8Iw&#10;DMXvk/YdIk/iNtJN28Q6ApqYED1wGX+kHa3GtN0aJ2oC7fj0+IDEzdZ7fu/n6XxwrTpRFxvPBp7G&#10;GSji0tuGKwO77fJxAiomZIutZzLwTxHms/u7KebW9/xNp02qlIRwzNFAnVLItY5lTQ7j2Adi0Q6+&#10;c5hk7SptO+wl3LX6OcvetMOGpaHGQIuayr/N0Rn4+eJQLHtdHs6LsP4tJu3quNsbM3oYPj9AJRrS&#10;zXy9Lqzgv768C6+8IzPo2QUAAP//AwBQSwECLQAUAAYACAAAACEA2+H2y+4AAACFAQAAEwAAAAAA&#10;AAAAAAAAAAAAAAAAW0NvbnRlbnRfVHlwZXNdLnhtbFBLAQItABQABgAIAAAAIQBa9CxbvwAAABUB&#10;AAALAAAAAAAAAAAAAAAAAB8BAABfcmVscy8ucmVsc1BLAQItABQABgAIAAAAIQAjQkh3yAAAAN4A&#10;AAAPAAAAAAAAAAAAAAAAAAcCAABkcnMvZG93bnJldi54bWxQSwUGAAAAAAMAAwC3AAAA/AIAAAAA&#10;" filled="f" stroked="f">
                  <v:textbox inset="0,0,0,0">
                    <w:txbxContent>
                      <w:p w14:paraId="7058F884" w14:textId="77777777" w:rsidR="00B32EF2" w:rsidRDefault="00000000">
                        <w:r>
                          <w:rPr>
                            <w:rFonts w:ascii="Arial" w:eastAsia="Arial" w:hAnsi="Arial" w:cs="Arial"/>
                            <w:i/>
                            <w:sz w:val="18"/>
                          </w:rPr>
                          <w:t>-</w:t>
                        </w:r>
                      </w:p>
                    </w:txbxContent>
                  </v:textbox>
                </v:rect>
                <v:rect id="Rectangle 15499" o:spid="_x0000_s2008" style="position:absolute;left:-12207;top:48019;width:510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u3sxQAAAN4AAAAPAAAAZHJzL2Rvd25yZXYueG1sRE9La8JA&#10;EL4X/A/LCN7qxmJFo6uIRZpDL/UBHofsmESzs0t2NWl/fbcgeJuP7zmLVWdqcafGV5YVjIYJCOLc&#10;6ooLBYf99nUKwgdkjbVlUvBDHlbL3ssCU21b/qb7LhQihrBPUUEZgkul9HlJBv3QOuLInW1jMETY&#10;FFI32MZwU8u3JJlIgxXHhhIdbUrKr7ubUXD6YJdtW5mffzfu65JN68/b4ajUoN+t5yACdeEpfrgz&#10;Hee/j2cz+H8n3iCXfwAAAP//AwBQSwECLQAUAAYACAAAACEA2+H2y+4AAACFAQAAEwAAAAAAAAAA&#10;AAAAAAAAAAAAW0NvbnRlbnRfVHlwZXNdLnhtbFBLAQItABQABgAIAAAAIQBa9CxbvwAAABUBAAAL&#10;AAAAAAAAAAAAAAAAAB8BAABfcmVscy8ucmVsc1BLAQItABQABgAIAAAAIQBMDu3sxQAAAN4AAAAP&#10;AAAAAAAAAAAAAAAAAAcCAABkcnMvZG93bnJldi54bWxQSwUGAAAAAAMAAwC3AAAA+QIAAAAA&#10;" filled="f" stroked="f">
                  <v:textbox inset="0,0,0,0">
                    <w:txbxContent>
                      <w:p w14:paraId="3E25CCBB" w14:textId="77777777" w:rsidR="00B32EF2" w:rsidRDefault="00000000">
                        <w:r>
                          <w:rPr>
                            <w:rFonts w:ascii="Arial" w:eastAsia="Arial" w:hAnsi="Arial" w:cs="Arial"/>
                            <w:i/>
                            <w:sz w:val="18"/>
                          </w:rPr>
                          <w:t xml:space="preserve">fettuati con un ritardo non superiore a novanta giorni, la sanzione di cui al </w:t>
                        </w:r>
                      </w:p>
                    </w:txbxContent>
                  </v:textbox>
                </v:rect>
                <v:rect id="Rectangle 15500" o:spid="_x0000_s2009" style="position:absolute;left:-12192;top:46786;width:510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95rxwAAAN4AAAAPAAAAZHJzL2Rvd25yZXYueG1sRI9Pa8JA&#10;EMXvQr/DMoXedFPBIqmriEXMoRf/FHocsmOSmp1dsqtJ++mdQ8HbDPPmvfdbrAbXqht1sfFs4HWS&#10;gSIuvW24MnA6bsdzUDEhW2w9k4FfirBaPo0WmFvf855uh1QpMeGYo4E6pZBrHcuaHMaJD8RyO/vO&#10;YZK1q7TtsBdz1+pplr1phw1LQo2BNjWVl8PVGfj+4FBse12e/zbh86eYt7vr6cuYl+dh/Q4q0ZAe&#10;4v/vwkr92SwTAMGRGfTyDgAA//8DAFBLAQItABQABgAIAAAAIQDb4fbL7gAAAIUBAAATAAAAAAAA&#10;AAAAAAAAAAAAAABbQ29udGVudF9UeXBlc10ueG1sUEsBAi0AFAAGAAgAAAAhAFr0LFu/AAAAFQEA&#10;AAsAAAAAAAAAAAAAAAAAHwEAAF9yZWxzLy5yZWxzUEsBAi0AFAAGAAgAAAAhAEPf3mvHAAAA3gAA&#10;AA8AAAAAAAAAAAAAAAAABwIAAGRycy9kb3ducmV2LnhtbFBLBQYAAAAAAwADALcAAAD7AgAAAAA=&#10;" filled="f" stroked="f">
                  <v:textbox inset="0,0,0,0">
                    <w:txbxContent>
                      <w:p w14:paraId="704459A9" w14:textId="77777777" w:rsidR="00B32EF2" w:rsidRDefault="00000000">
                        <w:r>
                          <w:rPr>
                            <w:rFonts w:ascii="Arial" w:eastAsia="Arial" w:hAnsi="Arial" w:cs="Arial"/>
                            <w:i/>
                            <w:sz w:val="18"/>
                          </w:rPr>
                          <w:t xml:space="preserve">primo periodo è ridotta alla metà. Salva l’applicazione dell’articolo 14, per i </w:t>
                        </w:r>
                      </w:p>
                    </w:txbxContent>
                  </v:textbox>
                </v:rect>
                <v:rect id="Rectangle 15501" o:spid="_x0000_s2010" style="position:absolute;left:-11230;top:45553;width:5004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3vwxQAAAN4AAAAPAAAAZHJzL2Rvd25yZXYueG1sRE9Na8JA&#10;EL0L/odlhN50YyESoqsUizSHXkwt9DhkxyQ2O7tk1yTtr+8WCr3N433O7jCZTgzU+9aygvUqAUFc&#10;Wd1yreDydlpmIHxA1thZJgVf5OGwn892mGs78pmGMtQihrDPUUETgsul9FVDBv3KOuLIXW1vMETY&#10;11L3OMZw08nHJNlIgy3HhgYdHRuqPsu7UfDxzK44jbK6fh/d663Iupf75V2ph8X0tAURaAr/4j93&#10;oeP8NE3W8PtOvEHufwAAAP//AwBQSwECLQAUAAYACAAAACEA2+H2y+4AAACFAQAAEwAAAAAAAAAA&#10;AAAAAAAAAAAAW0NvbnRlbnRfVHlwZXNdLnhtbFBLAQItABQABgAIAAAAIQBa9CxbvwAAABUBAAAL&#10;AAAAAAAAAAAAAAAAAB8BAABfcmVscy8ucmVsc1BLAQItABQABgAIAAAAIQAsk3vwxQAAAN4AAAAP&#10;AAAAAAAAAAAAAAAAAAcCAABkcnMvZG93bnJldi54bWxQSwUGAAAAAAMAAwC3AAAA+QIAAAAA&#10;" filled="f" stroked="f">
                  <v:textbox inset="0,0,0,0">
                    <w:txbxContent>
                      <w:p w14:paraId="29D231FD" w14:textId="77777777" w:rsidR="00B32EF2" w:rsidRDefault="00000000">
                        <w:r>
                          <w:rPr>
                            <w:rFonts w:ascii="Arial" w:eastAsia="Arial" w:hAnsi="Arial" w:cs="Arial"/>
                            <w:i/>
                            <w:sz w:val="18"/>
                          </w:rPr>
                          <w:t>versamenti effettuati con un ritardo non superiore a quindici giorni, la san</w:t>
                        </w:r>
                      </w:p>
                    </w:txbxContent>
                  </v:textbox>
                </v:rect>
                <v:rect id="Rectangle 15502" o:spid="_x0000_s2011" style="position:absolute;left:657;top:45553;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eWHwwAAAN4AAAAPAAAAZHJzL2Rvd25yZXYueG1sRE9Ni8Iw&#10;EL0L/ocwgjdNFRTpGmVRxB686Cp4HJqx7W4zCU20dX/9RhD2No/3Oct1Z2rxoMZXlhVMxgkI4tzq&#10;igsF56/daAHCB2SNtWVS8CQP61W/t8RU25aP9DiFQsQQ9ikqKENwqZQ+L8mgH1tHHLmbbQyGCJtC&#10;6gbbGG5qOU2SuTRYcWwo0dGmpPzndDcKrlt22a6V+e134w7f2aLe388XpYaD7vMDRKAu/Ivf7kzH&#10;+bNZMoXXO/EGufoDAAD//wMAUEsBAi0AFAAGAAgAAAAhANvh9svuAAAAhQEAABMAAAAAAAAAAAAA&#10;AAAAAAAAAFtDb250ZW50X1R5cGVzXS54bWxQSwECLQAUAAYACAAAACEAWvQsW78AAAAVAQAACwAA&#10;AAAAAAAAAAAAAAAfAQAAX3JlbHMvLnJlbHNQSwECLQAUAAYACAAAACEA3EHlh8MAAADeAAAADwAA&#10;AAAAAAAAAAAAAAAHAgAAZHJzL2Rvd25yZXYueG1sUEsFBgAAAAADAAMAtwAAAPcCAAAAAA==&#10;" filled="f" stroked="f">
                  <v:textbox inset="0,0,0,0">
                    <w:txbxContent>
                      <w:p w14:paraId="18350DC3" w14:textId="77777777" w:rsidR="00B32EF2" w:rsidRDefault="00000000">
                        <w:r>
                          <w:rPr>
                            <w:rFonts w:ascii="Arial" w:eastAsia="Arial" w:hAnsi="Arial" w:cs="Arial"/>
                            <w:i/>
                            <w:sz w:val="18"/>
                          </w:rPr>
                          <w:t>-</w:t>
                        </w:r>
                      </w:p>
                    </w:txbxContent>
                  </v:textbox>
                </v:rect>
                <v:rect id="Rectangle 15503" o:spid="_x0000_s2012" style="position:absolute;left:-12207;top:44319;width:510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UAcxQAAAN4AAAAPAAAAZHJzL2Rvd25yZXYueG1sRE9LawIx&#10;EL4L/Q9hCt4024pFVrNSLNI99OKj0OOwmX3YzSRsorv66xuh4G0+vues1oNpxYU631hW8DJNQBAX&#10;VjdcKTgetpMFCB+QNbaWScGVPKyzp9EKU2173tFlHyoRQ9inqKAOwaVS+qImg35qHXHkStsZDBF2&#10;ldQd9jHctPI1Sd6kwYZjQ42ONjUVv/uzUfDzwS7f9rIobxv3dcoX7ef5+K3U+Hl4X4IINISH+N+d&#10;6zh/Pk9mcH8n3iCzPwAAAP//AwBQSwECLQAUAAYACAAAACEA2+H2y+4AAACFAQAAEwAAAAAAAAAA&#10;AAAAAAAAAAAAW0NvbnRlbnRfVHlwZXNdLnhtbFBLAQItABQABgAIAAAAIQBa9CxbvwAAABUBAAAL&#10;AAAAAAAAAAAAAAAAAB8BAABfcmVscy8ucmVsc1BLAQItABQABgAIAAAAIQCzDUAcxQAAAN4AAAAP&#10;AAAAAAAAAAAAAAAAAAcCAABkcnMvZG93bnJldi54bWxQSwUGAAAAAAMAAwC3AAAA+QIAAAAA&#10;" filled="f" stroked="f">
                  <v:textbox inset="0,0,0,0">
                    <w:txbxContent>
                      <w:p w14:paraId="1311954A" w14:textId="77777777" w:rsidR="00B32EF2" w:rsidRDefault="00000000">
                        <w:r>
                          <w:rPr>
                            <w:rFonts w:ascii="Arial" w:eastAsia="Arial" w:hAnsi="Arial" w:cs="Arial"/>
                            <w:i/>
                            <w:sz w:val="18"/>
                          </w:rPr>
                          <w:t xml:space="preserve">zione di cui al secondo periodo è ulteriormente ridotta a un importo pari a </w:t>
                        </w:r>
                      </w:p>
                    </w:txbxContent>
                  </v:textbox>
                </v:rect>
                <v:rect id="Rectangle 15504" o:spid="_x0000_s2013" style="position:absolute;left:7803;top:43086;width:310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NhoxQAAAN4AAAAPAAAAZHJzL2Rvd25yZXYueG1sRE9LawIx&#10;EL4L/Q9hCt4026JFVrNSLNI99OKj0OOwmX3YzSRsorv66xuh4G0+vues1oNpxYU631hW8DJNQBAX&#10;VjdcKTgetpMFCB+QNbaWScGVPKyzp9EKU2173tFlHyoRQ9inqKAOwaVS+qImg35qHXHkStsZDBF2&#10;ldQd9jHctPI1Sd6kwYZjQ42ONjUVv/uzUfDzwS7f9rIobxv3dcoX7ef5+K3U+Hl4X4IINISH+N+d&#10;6zh/Pk9mcH8n3iCzPwAAAP//AwBQSwECLQAUAAYACAAAACEA2+H2y+4AAACFAQAAEwAAAAAAAAAA&#10;AAAAAAAAAAAAW0NvbnRlbnRfVHlwZXNdLnhtbFBLAQItABQABgAIAAAAIQBa9CxbvwAAABUBAAAL&#10;AAAAAAAAAAAAAAAAAB8BAABfcmVscy8ucmVsc1BLAQItABQABgAIAAAAIQA85NhoxQAAAN4AAAAP&#10;AAAAAAAAAAAAAAAAAAcCAABkcnMvZG93bnJldi54bWxQSwUGAAAAAAMAAwC3AAAA+QIAAAAA&#10;" filled="f" stroked="f">
                  <v:textbox inset="0,0,0,0">
                    <w:txbxContent>
                      <w:p w14:paraId="19AC788B" w14:textId="77777777" w:rsidR="00B32EF2" w:rsidRDefault="00000000">
                        <w:r>
                          <w:rPr>
                            <w:rFonts w:ascii="Arial" w:eastAsia="Arial" w:hAnsi="Arial" w:cs="Arial"/>
                            <w:i/>
                            <w:sz w:val="18"/>
                          </w:rPr>
                          <w:t>un quindicesimo per ciascun giorno di ritardo.</w:t>
                        </w:r>
                      </w:p>
                    </w:txbxContent>
                  </v:textbox>
                </v:rect>
                <v:rect id="Rectangle 200039" o:spid="_x0000_s2014" style="position:absolute;left:-12866;top:41853;width:511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KJXxgAAAN8AAAAPAAAAZHJzL2Rvd25yZXYueG1sRI9Pi8Iw&#10;FMTvC36H8IS9aaoLol2jiCLbgxf/wR4fzbPtbvMSmmi7fnojCHscZuY3zHzZmVrcqPGVZQWjYQKC&#10;OLe64kLB6bgdTEH4gKyxtkwK/sjDctF7m2Oqbct7uh1CISKEfYoKyhBcKqXPSzLoh9YRR+9iG4Mh&#10;yqaQusE2wk0tx0kykQYrjgslOlqXlP8erkbB94Zdtm1lfrmv3e4nm9Zf19NZqfd+t/oEEagL/+FX&#10;O9MKIjH5mMHzT/wCcvEAAAD//wMAUEsBAi0AFAAGAAgAAAAhANvh9svuAAAAhQEAABMAAAAAAAAA&#10;AAAAAAAAAAAAAFtDb250ZW50X1R5cGVzXS54bWxQSwECLQAUAAYACAAAACEAWvQsW78AAAAVAQAA&#10;CwAAAAAAAAAAAAAAAAAfAQAAX3JlbHMvLnJlbHNQSwECLQAUAAYACAAAACEAADiiV8YAAADfAAAA&#10;DwAAAAAAAAAAAAAAAAAHAgAAZHJzL2Rvd25yZXYueG1sUEsFBgAAAAADAAMAtwAAAPoCAAAAAA==&#10;" filled="f" stroked="f">
                  <v:textbox inset="0,0,0,0">
                    <w:txbxContent>
                      <w:p w14:paraId="797176D4" w14:textId="77777777" w:rsidR="00B32EF2" w:rsidRDefault="00000000">
                        <w:r>
                          <w:rPr>
                            <w:rFonts w:ascii="Arial" w:eastAsia="Arial" w:hAnsi="Arial" w:cs="Arial"/>
                            <w:i/>
                            <w:sz w:val="18"/>
                          </w:rPr>
                          <w:t xml:space="preserve">. La sanzione di cui al comma 1 si applica nei casi di liquidazione della </w:t>
                        </w:r>
                      </w:p>
                    </w:txbxContent>
                  </v:textbox>
                </v:rect>
                <v:rect id="Rectangle 200038" o:spid="_x0000_s2015" style="position:absolute;left:25492;top:41853;width:511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AfMxwAAAN8AAAAPAAAAZHJzL2Rvd25yZXYueG1sRI/BasJA&#10;EIbvQt9hmUJvumkFkdRVikXMoZfaCD0O2TGJZmeX7GrSPn3nIPQ4/PN/M99qM7pO3aiPrWcDz7MM&#10;FHHlbcu1gfJrN12CignZYueZDPxQhM36YbLC3PqBP+l2SLUSCMccDTQphVzrWDXkMM58IJbs5HuH&#10;Sca+1rbHQeCu0y9ZttAOW5YLDQbaNlRdDldn4PudQ7EbdHX63YaPc7Hs9tfyaMzT4/j2CirRmP6X&#10;7+3CGhBiNpeHxUdcQK//AAAA//8DAFBLAQItABQABgAIAAAAIQDb4fbL7gAAAIUBAAATAAAAAAAA&#10;AAAAAAAAAAAAAABbQ29udGVudF9UeXBlc10ueG1sUEsBAi0AFAAGAAgAAAAhAFr0LFu/AAAAFQEA&#10;AAsAAAAAAAAAAAAAAAAAHwEAAF9yZWxzLy5yZWxzUEsBAi0AFAAGAAgAAAAhAG90B8zHAAAA3wAA&#10;AA8AAAAAAAAAAAAAAAAABwIAAGRycy9kb3ducmV2LnhtbFBLBQYAAAAAAwADALcAAAD7AgAAAAA=&#10;" filled="f" stroked="f">
                  <v:textbox inset="0,0,0,0">
                    <w:txbxContent>
                      <w:p w14:paraId="45188C21" w14:textId="77777777" w:rsidR="00B32EF2" w:rsidRDefault="00000000">
                        <w:r>
                          <w:rPr>
                            <w:rFonts w:ascii="Arial" w:eastAsia="Arial" w:hAnsi="Arial" w:cs="Arial"/>
                            <w:i/>
                            <w:sz w:val="18"/>
                          </w:rPr>
                          <w:t>2</w:t>
                        </w:r>
                      </w:p>
                    </w:txbxContent>
                  </v:textbox>
                </v:rect>
                <v:rect id="Rectangle 15506" o:spid="_x0000_s2016" style="position:absolute;left:-11218;top:40619;width:500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uOEwwAAAN4AAAAPAAAAZHJzL2Rvd25yZXYueG1sRE9Ni8Iw&#10;EL0L+x/CLOxN0xUUqUYRF7EHL7oKHodmbKvNJDTRdv31RhD2No/3ObNFZ2pxp8ZXlhV8DxIQxLnV&#10;FRcKDr/r/gSED8gaa8uk4I88LOYfvRmm2ra8o/s+FCKGsE9RQRmCS6X0eUkG/cA64sidbWMwRNgU&#10;UjfYxnBTy2GSjKXBimNDiY5WJeXX/c0oOP2wy9atzM+Pldteskm9uR2OSn19dsspiEBd+Be/3ZmO&#10;80ejZAyvd+INcv4EAAD//wMAUEsBAi0AFAAGAAgAAAAhANvh9svuAAAAhQEAABMAAAAAAAAAAAAA&#10;AAAAAAAAAFtDb250ZW50X1R5cGVzXS54bWxQSwECLQAUAAYACAAAACEAWvQsW78AAAAVAQAACwAA&#10;AAAAAAAAAAAAAAAfAQAAX3JlbHMvLnJlbHNQSwECLQAUAAYACAAAACEAo3rjhMMAAADeAAAADwAA&#10;AAAAAAAAAAAAAAAHAgAAZHJzL2Rvd25yZXYueG1sUEsFBgAAAAADAAMAtwAAAPcCAAAAAA==&#10;" filled="f" stroked="f">
                  <v:textbox inset="0,0,0,0">
                    <w:txbxContent>
                      <w:p w14:paraId="681F64EB" w14:textId="77777777" w:rsidR="00B32EF2" w:rsidRDefault="00000000">
                        <w:r>
                          <w:rPr>
                            <w:rFonts w:ascii="Arial" w:eastAsia="Arial" w:hAnsi="Arial" w:cs="Arial"/>
                            <w:i/>
                            <w:sz w:val="18"/>
                          </w:rPr>
                          <w:t>maggior imposta ai sensi degli articoli 36-bis e 36-ter del decreto del Pre</w:t>
                        </w:r>
                      </w:p>
                    </w:txbxContent>
                  </v:textbox>
                </v:rect>
                <v:rect id="Rectangle 15507" o:spid="_x0000_s2017" style="position:absolute;left:657;top:4061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kYfxAAAAN4AAAAPAAAAZHJzL2Rvd25yZXYueG1sRE9Li8Iw&#10;EL4L+x/CLHjTdAUfVKOIi9jDXnRd2OPQjG21mYQm2rq/3gjC3ubje85i1Zla3KjxlWUFH8MEBHFu&#10;dcWFguP3djAD4QOyxtoyKbiTh9XyrbfAVNuW93Q7hELEEPYpKihDcKmUPi/JoB9aRxy5k20Mhgib&#10;QuoG2xhuajlKkok0WHFsKNHRpqT8crgaBb+f7LJtK/PT38Z9nbNZvbsef5Tqv3frOYhAXfgXv9yZ&#10;jvPH42QKz3fiDXL5AAAA//8DAFBLAQItABQABgAIAAAAIQDb4fbL7gAAAIUBAAATAAAAAAAAAAAA&#10;AAAAAAAAAABbQ29udGVudF9UeXBlc10ueG1sUEsBAi0AFAAGAAgAAAAhAFr0LFu/AAAAFQEAAAsA&#10;AAAAAAAAAAAAAAAAHwEAAF9yZWxzLy5yZWxzUEsBAi0AFAAGAAgAAAAhAMw2Rh/EAAAA3gAAAA8A&#10;AAAAAAAAAAAAAAAABwIAAGRycy9kb3ducmV2LnhtbFBLBQYAAAAAAwADALcAAAD4AgAAAAA=&#10;" filled="f" stroked="f">
                  <v:textbox inset="0,0,0,0">
                    <w:txbxContent>
                      <w:p w14:paraId="2B6A4DAC" w14:textId="77777777" w:rsidR="00B32EF2" w:rsidRDefault="00000000">
                        <w:r>
                          <w:rPr>
                            <w:rFonts w:ascii="Arial" w:eastAsia="Arial" w:hAnsi="Arial" w:cs="Arial"/>
                            <w:i/>
                            <w:sz w:val="18"/>
                          </w:rPr>
                          <w:t>-</w:t>
                        </w:r>
                      </w:p>
                    </w:txbxContent>
                  </v:textbox>
                </v:rect>
                <v:rect id="Rectangle 15508" o:spid="_x0000_s2018" style="position:absolute;left:-12186;top:39386;width:509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dJtxwAAAN4AAAAPAAAAZHJzL2Rvd25yZXYueG1sRI9Pa8JA&#10;EMXvQr/DMoXedFPBIqmriEXMoRf/FHocsmOSmp1dsqtJ++mdQ8HbDO/Ne79ZrAbXqht1sfFs4HWS&#10;gSIuvW24MnA6bsdzUDEhW2w9k4FfirBaPo0WmFvf855uh1QpCeGYo4E6pZBrHcuaHMaJD8SinX3n&#10;MMnaVdp22Eu4a/U0y960w4alocZAm5rKy+HqDHx/cCi2vS7Pf5vw+VPM29319GXMy/OwfgeVaEgP&#10;8/91YQV/NsuEV96RGfTyDgAA//8DAFBLAQItABQABgAIAAAAIQDb4fbL7gAAAIUBAAATAAAAAAAA&#10;AAAAAAAAAAAAAABbQ29udGVudF9UeXBlc10ueG1sUEsBAi0AFAAGAAgAAAAhAFr0LFu/AAAAFQEA&#10;AAsAAAAAAAAAAAAAAAAAHwEAAF9yZWxzLy5yZWxzUEsBAi0AFAAGAAgAAAAhAL2p0m3HAAAA3gAA&#10;AA8AAAAAAAAAAAAAAAAABwIAAGRycy9kb3ducmV2LnhtbFBLBQYAAAAAAwADALcAAAD7AgAAAAA=&#10;" filled="f" stroked="f">
                  <v:textbox inset="0,0,0,0">
                    <w:txbxContent>
                      <w:p w14:paraId="37C67B9C" w14:textId="77777777" w:rsidR="00B32EF2" w:rsidRDefault="00000000">
                        <w:r>
                          <w:rPr>
                            <w:rFonts w:ascii="Arial" w:eastAsia="Arial" w:hAnsi="Arial" w:cs="Arial"/>
                            <w:i/>
                            <w:sz w:val="18"/>
                          </w:rPr>
                          <w:t xml:space="preserve">sidente della Repubblica 29 settembre 1973, n. 600, e ai sensi dell’articolo </w:t>
                        </w:r>
                      </w:p>
                    </w:txbxContent>
                  </v:textbox>
                </v:rect>
                <v:rect id="Rectangle 200037" o:spid="_x0000_s2019" style="position:absolute;left:-11277;top:38153;width:505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5O+xgAAAN8AAAAPAAAAZHJzL2Rvd25yZXYueG1sRI9Pi8Iw&#10;FMTvgt8hPMGbprrgStcoosj24GX9A3t8NM+2u81LaKKtfnqzsOBxmJnfMItVZ2pxo8ZXlhVMxgkI&#10;4tzqigsFp+NuNAfhA7LG2jIpuJOH1bLfW2CqbctfdDuEQkQI+xQVlCG4VEqfl2TQj60jjt7FNgZD&#10;lE0hdYNthJtaTpNkJg1WHBdKdLQpKf89XI2C7y27bNfK/PLYuP1PNq8/r6ezUsNBt/4AEagLr/B/&#10;O9MKIjF5e4e/P/ELyOUTAAD//wMAUEsBAi0AFAAGAAgAAAAhANvh9svuAAAAhQEAABMAAAAAAAAA&#10;AAAAAAAAAAAAAFtDb250ZW50X1R5cGVzXS54bWxQSwECLQAUAAYACAAAACEAWvQsW78AAAAVAQAA&#10;CwAAAAAAAAAAAAAAAAAfAQAAX3JlbHMvLnJlbHNQSwECLQAUAAYACAAAACEAHuuTvsYAAADfAAAA&#10;DwAAAAAAAAAAAAAAAAAHAgAAZHJzL2Rvd25yZXYueG1sUEsFBgAAAAADAAMAtwAAAPoCAAAAAA==&#10;" filled="f" stroked="f">
                  <v:textbox inset="0,0,0,0">
                    <w:txbxContent>
                      <w:p w14:paraId="70547AB7" w14:textId="77777777" w:rsidR="00B32EF2" w:rsidRDefault="00000000">
                        <w:r>
                          <w:rPr>
                            <w:rFonts w:ascii="Arial" w:eastAsia="Arial" w:hAnsi="Arial" w:cs="Arial"/>
                            <w:i/>
                            <w:sz w:val="18"/>
                          </w:rPr>
                          <w:t xml:space="preserve">bis del decreto del Presidente della Repubblica 26 ottobre 1972, n. </w:t>
                        </w:r>
                      </w:p>
                    </w:txbxContent>
                  </v:textbox>
                </v:rect>
                <v:rect id="Rectangle 200036" o:spid="_x0000_s2020" style="position:absolute;left:-47495;top:38153;width:505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YlxwAAAN8AAAAPAAAAZHJzL2Rvd25yZXYueG1sRI/NasMw&#10;EITvhb6D2EJutdwEQnCihJIQ4kMvTR3IcbE2tltrJSz5J336qlDocZiZb5jNbjKtGKjzjWUFL0kK&#10;gri0uuFKQfFxfF6B8AFZY2uZFNzJw277+LDBTNuR32k4h0pECPsMFdQhuExKX9Zk0CfWEUfvZjuD&#10;IcqukrrDMcJNK+dpupQGG44LNTra11R+nXuj4Hpglx9HWd6+9+7tM1+1p764KDV7ml7XIAJN4T/8&#10;1861gkhMF0v4/RO/gNz+AAAA//8DAFBLAQItABQABgAIAAAAIQDb4fbL7gAAAIUBAAATAAAAAAAA&#10;AAAAAAAAAAAAAABbQ29udGVudF9UeXBlc10ueG1sUEsBAi0AFAAGAAgAAAAhAFr0LFu/AAAAFQEA&#10;AAsAAAAAAAAAAAAAAAAAHwEAAF9yZWxzLy5yZWxzUEsBAi0AFAAGAAgAAAAhAHGnNiXHAAAA3wAA&#10;AA8AAAAAAAAAAAAAAAAABwIAAGRycy9kb3ducmV2LnhtbFBLBQYAAAAAAwADALcAAAD7AgAAAAA=&#10;" filled="f" stroked="f">
                  <v:textbox inset="0,0,0,0">
                    <w:txbxContent>
                      <w:p w14:paraId="0F6F2F76" w14:textId="77777777" w:rsidR="00B32EF2" w:rsidRDefault="00000000">
                        <w:r>
                          <w:rPr>
                            <w:rFonts w:ascii="Arial" w:eastAsia="Arial" w:hAnsi="Arial" w:cs="Arial"/>
                            <w:i/>
                            <w:sz w:val="18"/>
                          </w:rPr>
                          <w:t>633.</w:t>
                        </w:r>
                      </w:p>
                    </w:txbxContent>
                  </v:textbox>
                </v:rect>
                <v:rect id="Rectangle 200035" o:spid="_x0000_s2021" style="position:absolute;left:24529;top:38153;width:505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ahSxgAAAN8AAAAPAAAAZHJzL2Rvd25yZXYueG1sRI9Pi8Iw&#10;FMTvgt8hPMGbprq4SNcoosj24GX9A3t8NM+2u81LaKKtfnqzsOBxmJnfMItVZ2pxo8ZXlhVMxgkI&#10;4tzqigsFp+NuNAfhA7LG2jIpuJOH1bLfW2CqbctfdDuEQkQI+xQVlCG4VEqfl2TQj60jjt7FNgZD&#10;lE0hdYNthJtaTpPkXRqsOC6U6GhTUv57uBoF31t22a6V+eWxcfufbF5/Xk9npYaDbv0BIlAXXuH/&#10;dqYVRGLyNoO/P/ELyOUTAAD//wMAUEsBAi0AFAAGAAgAAAAhANvh9svuAAAAhQEAABMAAAAAAAAA&#10;AAAAAAAAAAAAAFtDb250ZW50X1R5cGVzXS54bWxQSwECLQAUAAYACAAAACEAWvQsW78AAAAVAQAA&#10;CwAAAAAAAAAAAAAAAAAfAQAAX3JlbHMvLnJlbHNQSwECLQAUAAYACAAAACEAgXWoUsYAAADfAAAA&#10;DwAAAAAAAAAAAAAAAAAHAgAAZHJzL2Rvd25yZXYueG1sUEsFBgAAAAADAAMAtwAAAPoCAAAAAA==&#10;" filled="f" stroked="f">
                  <v:textbox inset="0,0,0,0">
                    <w:txbxContent>
                      <w:p w14:paraId="3B3313B6" w14:textId="77777777" w:rsidR="00B32EF2" w:rsidRDefault="00000000">
                        <w:r>
                          <w:rPr>
                            <w:rFonts w:ascii="Arial" w:eastAsia="Arial" w:hAnsi="Arial" w:cs="Arial"/>
                            <w:i/>
                            <w:sz w:val="18"/>
                          </w:rPr>
                          <w:t>54-</w:t>
                        </w:r>
                      </w:p>
                    </w:txbxContent>
                  </v:textbox>
                </v:rect>
                <v:rect id="Rectangle 200034" o:spid="_x0000_s2022" style="position:absolute;left:-12851;top:36920;width:5100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Q3JxgAAAN8AAAAPAAAAZHJzL2Rvd25yZXYueG1sRI9Pi8Iw&#10;FMTvgt8hPMGbprqySNcoosj24GX9A3t8NM+2u81LaKKtfnqzsOBxmJnfMItVZ2pxo8ZXlhVMxgkI&#10;4tzqigsFp+NuNAfhA7LG2jIpuJOH1bLfW2CqbctfdDuEQkQI+xQVlCG4VEqfl2TQj60jjt7FNgZD&#10;lE0hdYNthJtaTpPkXRqsOC6U6GhTUv57uBoF31t22a6V+eWxcfufbF5/Xk9npYaDbv0BIlAXXuH/&#10;dqYVRGLyNoO/P/ELyOUTAAD//wMAUEsBAi0AFAAGAAgAAAAhANvh9svuAAAAhQEAABMAAAAAAAAA&#10;AAAAAAAAAAAAAFtDb250ZW50X1R5cGVzXS54bWxQSwECLQAUAAYACAAAACEAWvQsW78AAAAVAQAA&#10;CwAAAAAAAAAAAAAAAAAfAQAAX3JlbHMvLnJlbHNQSwECLQAUAAYACAAAACEA7jkNycYAAADfAAAA&#10;DwAAAAAAAAAAAAAAAAAHAgAAZHJzL2Rvd25yZXYueG1sUEsFBgAAAAADAAMAtwAAAPoCAAAAAA==&#10;" filled="f" stroked="f">
                  <v:textbox inset="0,0,0,0">
                    <w:txbxContent>
                      <w:p w14:paraId="4B76EB8E" w14:textId="77777777" w:rsidR="00B32EF2" w:rsidRDefault="00000000">
                        <w:r>
                          <w:rPr>
                            <w:rFonts w:ascii="Arial" w:eastAsia="Arial" w:hAnsi="Arial" w:cs="Arial"/>
                            <w:i/>
                            <w:sz w:val="18"/>
                          </w:rPr>
                          <w:t xml:space="preserve">. Fuori dei casi di tributi iscritti a ruolo, la sanzione prevista al comma 1 si </w:t>
                        </w:r>
                      </w:p>
                    </w:txbxContent>
                  </v:textbox>
                </v:rect>
                <v:rect id="Rectangle 200033" o:spid="_x0000_s2023" style="position:absolute;left:25525;top:36920;width:510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JW9xQAAAN8AAAAPAAAAZHJzL2Rvd25yZXYueG1sRI9Pi8Iw&#10;FMTvC36H8ARva+oKIl2jiIvYw178B3t8NM+22ryEJtqun94IgsdhZn7DzBadqcWNGl9ZVjAaJiCI&#10;c6srLhQc9uvPKQgfkDXWlknBP3lYzHsfM0y1bXlLt10oRISwT1FBGYJLpfR5SQb90Dri6J1sYzBE&#10;2RRSN9hGuKnlV5JMpMGK40KJjlYl5Zfd1Sj4+2GXrVuZn+4r93vOpvXmejgqNeh3y28QgbrwDr/a&#10;mVYQicl4DM8/8QvI+QMAAP//AwBQSwECLQAUAAYACAAAACEA2+H2y+4AAACFAQAAEwAAAAAAAAAA&#10;AAAAAAAAAAAAW0NvbnRlbnRfVHlwZXNdLnhtbFBLAQItABQABgAIAAAAIQBa9CxbvwAAABUBAAAL&#10;AAAAAAAAAAAAAAAAAB8BAABfcmVscy8ucmVsc1BLAQItABQABgAIAAAAIQBh0JW9xQAAAN8AAAAP&#10;AAAAAAAAAAAAAAAAAAcCAABkcnMvZG93bnJldi54bWxQSwUGAAAAAAMAAwC3AAAA+QIAAAAA&#10;" filled="f" stroked="f">
                  <v:textbox inset="0,0,0,0">
                    <w:txbxContent>
                      <w:p w14:paraId="66D6B7D2" w14:textId="77777777" w:rsidR="00B32EF2" w:rsidRDefault="00000000">
                        <w:r>
                          <w:rPr>
                            <w:rFonts w:ascii="Arial" w:eastAsia="Arial" w:hAnsi="Arial" w:cs="Arial"/>
                            <w:i/>
                            <w:sz w:val="18"/>
                          </w:rPr>
                          <w:t>3</w:t>
                        </w:r>
                      </w:p>
                    </w:txbxContent>
                  </v:textbox>
                </v:rect>
                <v:rect id="Rectangle 15511" o:spid="_x0000_s2024" style="position:absolute;left:-12207;top:35686;width:510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u0txAAAAN4AAAAPAAAAZHJzL2Rvd25yZXYueG1sRE9Na8JA&#10;EL0X/A/LCL3VTQRFUlcRRZpDL9oIHofsmKRmZ5fsatL++q4g9DaP9znL9WBacafON5YVpJMEBHFp&#10;dcOVguJr/7YA4QOyxtYyKfghD+vV6GWJmbY9H+h+DJWIIewzVFCH4DIpfVmTQT+xjjhyF9sZDBF2&#10;ldQd9jHctHKaJHNpsOHYUKOjbU3l9XgzCs47dvm+l+Xld+s+v/NF+3ErTkq9jofNO4hAQ/gXP925&#10;jvNnszSFxzvxBrn6AwAA//8DAFBLAQItABQABgAIAAAAIQDb4fbL7gAAAIUBAAATAAAAAAAAAAAA&#10;AAAAAAAAAABbQ29udGVudF9UeXBlc10ueG1sUEsBAi0AFAAGAAgAAAAhAFr0LFu/AAAAFQEAAAsA&#10;AAAAAAAAAAAAAAAAHwEAAF9yZWxzLy5yZWxzUEsBAi0AFAAGAAgAAAAhAKlK7S3EAAAA3gAAAA8A&#10;AAAAAAAAAAAAAAAABwIAAGRycy9kb3ducmV2LnhtbFBLBQYAAAAAAwADALcAAAD4AgAAAAA=&#10;" filled="f" stroked="f">
                  <v:textbox inset="0,0,0,0">
                    <w:txbxContent>
                      <w:p w14:paraId="5F46CBC6" w14:textId="77777777" w:rsidR="00B32EF2" w:rsidRDefault="00000000">
                        <w:r>
                          <w:rPr>
                            <w:rFonts w:ascii="Arial" w:eastAsia="Arial" w:hAnsi="Arial" w:cs="Arial"/>
                            <w:i/>
                            <w:sz w:val="18"/>
                          </w:rPr>
                          <w:t xml:space="preserve">applica altresì in ogni ipotesi di mancato pagamento di un tributo o di una </w:t>
                        </w:r>
                      </w:p>
                    </w:txbxContent>
                  </v:textbox>
                </v:rect>
                <v:rect id="Rectangle 15512" o:spid="_x0000_s2025" style="position:absolute;left:16213;top:34453;width:226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HNaxAAAAN4AAAAPAAAAZHJzL2Rvd25yZXYueG1sRE9Li8Iw&#10;EL4v+B/CCHtbUwUXqUYRRbYHL+sDPA7N2FabSWiirfvrN4LgbT6+58wWnanFnRpfWVYwHCQgiHOr&#10;Ky4UHPabrwkIH5A11pZJwYM8LOa9jxmm2rb8S/ddKEQMYZ+igjIEl0rp85IM+oF1xJE728ZgiLAp&#10;pG6wjeGmlqMk+ZYGK44NJTpalZRfdzej4LRml21amZ//Vm57ySb1z+1wVOqz3y2nIAJ14S1+uTMd&#10;54/HwxE834k3yPk/AAAA//8DAFBLAQItABQABgAIAAAAIQDb4fbL7gAAAIUBAAATAAAAAAAAAAAA&#10;AAAAAAAAAABbQ29udGVudF9UeXBlc10ueG1sUEsBAi0AFAAGAAgAAAAhAFr0LFu/AAAAFQEAAAsA&#10;AAAAAAAAAAAAAAAAHwEAAF9yZWxzLy5yZWxzUEsBAi0AFAAGAAgAAAAhAFmYc1rEAAAA3gAAAA8A&#10;AAAAAAAAAAAAAAAABwIAAGRycy9kb3ducmV2LnhtbFBLBQYAAAAAAwADALcAAAD4AgAAAAA=&#10;" filled="f" stroked="f">
                  <v:textbox inset="0,0,0,0">
                    <w:txbxContent>
                      <w:p w14:paraId="530271E4" w14:textId="77777777" w:rsidR="00B32EF2" w:rsidRDefault="00000000">
                        <w:r>
                          <w:rPr>
                            <w:rFonts w:ascii="Arial" w:eastAsia="Arial" w:hAnsi="Arial" w:cs="Arial"/>
                            <w:i/>
                            <w:sz w:val="18"/>
                          </w:rPr>
                          <w:t>sua frazione nel termine previsto.</w:t>
                        </w:r>
                      </w:p>
                    </w:txbxContent>
                  </v:textbox>
                </v:rect>
                <v:rect id="Rectangle 200031" o:spid="_x0000_s2026" style="position:absolute;left:25479;top:33220;width:511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5RxwAAAN8AAAAPAAAAZHJzL2Rvd25yZXYueG1sRI/NasMw&#10;EITvhb6D2EJvjewUSnCjhOJi4kMvzQ/0uFgb2621EpYcu3n6KBDIcZiZb5jlejKdOFHvW8sK0lkC&#10;griyuuVawX5XvCxA+ICssbNMCv7Jw3r1+LDETNuRv+m0DbWIEPYZKmhCcJmUvmrIoJ9ZRxy9o+0N&#10;hij7Wuoexwg3nZwnyZs02HJcaNBR3lD1tx2Mgp9PdmUxyup4zt3Xb7noNsP+oNTz0/TxDiLQFO7h&#10;W7vUCiIxeU3h+id+Abm6AAAA//8DAFBLAQItABQABgAIAAAAIQDb4fbL7gAAAIUBAAATAAAAAAAA&#10;AAAAAAAAAAAAAABbQ29udGVudF9UeXBlc10ueG1sUEsBAi0AFAAGAAgAAAAhAFr0LFu/AAAAFQEA&#10;AAsAAAAAAAAAAAAAAAAAHwEAAF9yZWxzLy5yZWxzUEsBAi0AFAAGAAgAAAAhAP5OrlHHAAAA3wAA&#10;AA8AAAAAAAAAAAAAAAAABwIAAGRycy9kb3ducmV2LnhtbFBLBQYAAAAAAwADALcAAAD7AgAAAAA=&#10;" filled="f" stroked="f">
                  <v:textbox inset="0,0,0,0">
                    <w:txbxContent>
                      <w:p w14:paraId="3EC8E331" w14:textId="77777777" w:rsidR="00B32EF2" w:rsidRDefault="00000000">
                        <w:r>
                          <w:rPr>
                            <w:rFonts w:ascii="Arial" w:eastAsia="Arial" w:hAnsi="Arial" w:cs="Arial"/>
                            <w:i/>
                            <w:sz w:val="18"/>
                          </w:rPr>
                          <w:t>4</w:t>
                        </w:r>
                      </w:p>
                    </w:txbxContent>
                  </v:textbox>
                </v:rect>
                <v:rect id="Rectangle 200032" o:spid="_x0000_s2027" style="position:absolute;left:-12893;top:33220;width:511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DAmxQAAAN8AAAAPAAAAZHJzL2Rvd25yZXYueG1sRI9Pi8Iw&#10;FMTvgt8hPGFvmuqCSNco4iLbw178B3t8NM+22ryEJtqun94IgsdhZn7DzJedqcWNGl9ZVjAeJSCI&#10;c6srLhQc9pvhDIQPyBpry6TgnzwsF/3eHFNtW97SbRcKESHsU1RQhuBSKX1ekkE/so44eifbGAxR&#10;NoXUDbYRbmo5SZKpNFhxXCjR0bqk/LK7GgV/3+yyTSvz033tfs/ZrP65Ho5KfQy61ReIQF14h1/t&#10;TCuIxORzAs8/8QvIxQMAAP//AwBQSwECLQAUAAYACAAAACEA2+H2y+4AAACFAQAAEwAAAAAAAAAA&#10;AAAAAAAAAAAAW0NvbnRlbnRfVHlwZXNdLnhtbFBLAQItABQABgAIAAAAIQBa9CxbvwAAABUBAAAL&#10;AAAAAAAAAAAAAAAAAB8BAABfcmVscy8ucmVsc1BLAQItABQABgAIAAAAIQAOnDAmxQAAAN8AAAAP&#10;AAAAAAAAAAAAAAAAAAcCAABkcnMvZG93bnJldi54bWxQSwUGAAAAAAMAAwC3AAAA+QIAAAAA&#10;" filled="f" stroked="f">
                  <v:textbox inset="0,0,0,0">
                    <w:txbxContent>
                      <w:p w14:paraId="6701850B" w14:textId="77777777" w:rsidR="00B32EF2" w:rsidRDefault="00000000">
                        <w:r>
                          <w:rPr>
                            <w:rFonts w:ascii="Arial" w:eastAsia="Arial" w:hAnsi="Arial" w:cs="Arial"/>
                            <w:i/>
                            <w:sz w:val="18"/>
                          </w:rPr>
                          <w:t xml:space="preserve">. Salvo quanto previsto dal comma 6, si considerano inesistenti ovvero </w:t>
                        </w:r>
                      </w:p>
                    </w:txbxContent>
                  </v:textbox>
                </v:rect>
                <v:rect id="Rectangle 15514" o:spid="_x0000_s2028" style="position:absolute;left:-11252;top:31986;width:500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U61xAAAAN4AAAAPAAAAZHJzL2Rvd25yZXYueG1sRE9Li8Iw&#10;EL4v7H8Is+BtTV1UpBplcZHtwcv6AI9DM7bVZhKaaKu/3iwI3ubje85s0ZlaXKnxlWUFg34Cgji3&#10;uuJCwW67+pyA8AFZY22ZFNzIw2L+/jbDVNuW/+i6CYWIIexTVFCG4FIpfV6SQd+3jjhyR9sYDBE2&#10;hdQNtjHc1PIrScbSYMWxoURHy5Ly8+ZiFBx+2GWrVubH+9KtT9mk/r3s9kr1PrrvKYhAXXiJn+5M&#10;x/mj0WAI/+/EG+T8AQAA//8DAFBLAQItABQABgAIAAAAIQDb4fbL7gAAAIUBAAATAAAAAAAAAAAA&#10;AAAAAAAAAABbQ29udGVudF9UeXBlc10ueG1sUEsBAi0AFAAGAAgAAAAhAFr0LFu/AAAAFQEAAAsA&#10;AAAAAAAAAAAAAAAAHwEAAF9yZWxzLy5yZWxzUEsBAi0AFAAGAAgAAAAhALk9TrXEAAAA3gAAAA8A&#10;AAAAAAAAAAAAAAAABwIAAGRycy9kb3ducmV2LnhtbFBLBQYAAAAAAwADALcAAAD4AgAAAAA=&#10;" filled="f" stroked="f">
                  <v:textbox inset="0,0,0,0">
                    <w:txbxContent>
                      <w:p w14:paraId="5503017E" w14:textId="77777777" w:rsidR="00B32EF2" w:rsidRDefault="00000000">
                        <w:r>
                          <w:rPr>
                            <w:rFonts w:ascii="Arial" w:eastAsia="Arial" w:hAnsi="Arial" w:cs="Arial"/>
                            <w:i/>
                            <w:sz w:val="18"/>
                          </w:rPr>
                          <w:t>non spettanti i crediti rispettivamente previsti dall’articolo 73, comma 1, let</w:t>
                        </w:r>
                      </w:p>
                    </w:txbxContent>
                  </v:textbox>
                </v:rect>
                <v:rect id="Rectangle 15515" o:spid="_x0000_s2029" style="position:absolute;left:657;top:3198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esuxAAAAN4AAAAPAAAAZHJzL2Rvd25yZXYueG1sRE9Na8JA&#10;EL0L/Q/LFLzpRiFFUlcRRczBS20Ej0N2TFKzs0t2NbG/vlso9DaP9znL9WBa8aDON5YVzKYJCOLS&#10;6oYrBcXnfrIA4QOyxtYyKXiSh/XqZbTETNueP+hxCpWIIewzVFCH4DIpfVmTQT+1jjhyV9sZDBF2&#10;ldQd9jHctHKeJG/SYMOxoUZH25rK2+luFFx27PJ9L8vr99Ydv/JFe7gXZ6XGr8PmHUSgIfyL/9y5&#10;jvPTdJbC7zvxBrn6AQAA//8DAFBLAQItABQABgAIAAAAIQDb4fbL7gAAAIUBAAATAAAAAAAAAAAA&#10;AAAAAAAAAABbQ29udGVudF9UeXBlc10ueG1sUEsBAi0AFAAGAAgAAAAhAFr0LFu/AAAAFQEAAAsA&#10;AAAAAAAAAAAAAAAAHwEAAF9yZWxzLy5yZWxzUEsBAi0AFAAGAAgAAAAhANZx6y7EAAAA3gAAAA8A&#10;AAAAAAAAAAAAAAAABwIAAGRycy9kb3ducmV2LnhtbFBLBQYAAAAAAwADALcAAAD4AgAAAAA=&#10;" filled="f" stroked="f">
                  <v:textbox inset="0,0,0,0">
                    <w:txbxContent>
                      <w:p w14:paraId="64886E0C" w14:textId="77777777" w:rsidR="00B32EF2" w:rsidRDefault="00000000">
                        <w:r>
                          <w:rPr>
                            <w:rFonts w:ascii="Arial" w:eastAsia="Arial" w:hAnsi="Arial" w:cs="Arial"/>
                            <w:i/>
                            <w:sz w:val="18"/>
                          </w:rPr>
                          <w:t>-</w:t>
                        </w:r>
                      </w:p>
                    </w:txbxContent>
                  </v:textbox>
                </v:rect>
                <v:rect id="Rectangle 15516" o:spid="_x0000_s2030" style="position:absolute;left:31065;top:30753;width:77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3VZwwAAAN4AAAAPAAAAZHJzL2Rvd25yZXYueG1sRE9Li8Iw&#10;EL4v+B/CCHtbUxcUqUYRRbaHvfgCj0MzttVmEppou/vrjSB4m4/vObNFZ2pxp8ZXlhUMBwkI4tzq&#10;igsFh/3mawLCB2SNtWVS8EceFvPexwxTbVve0n0XChFD2KeooAzBpVL6vCSDfmAdceTOtjEYImwK&#10;qRtsY7ip5XeSjKXBimNDiY5WJeXX3c0oOK3ZZZtW5uf/lfu9ZJP653Y4KvXZ75ZTEIG68Ba/3JmO&#10;80ej4Rie78Qb5PwBAAD//wMAUEsBAi0AFAAGAAgAAAAhANvh9svuAAAAhQEAABMAAAAAAAAAAAAA&#10;AAAAAAAAAFtDb250ZW50X1R5cGVzXS54bWxQSwECLQAUAAYACAAAACEAWvQsW78AAAAVAQAACwAA&#10;AAAAAAAAAAAAAAAfAQAAX3JlbHMvLnJlbHNQSwECLQAUAAYACAAAACEAJqN1WcMAAADeAAAADwAA&#10;AAAAAAAAAAAAAAAHAgAAZHJzL2Rvd25yZXYueG1sUEsFBgAAAAADAAMAtwAAAPcCAAAAAA==&#10;" filled="f" stroked="f">
                  <v:textbox inset="0,0,0,0">
                    <w:txbxContent>
                      <w:p w14:paraId="578A14C0" w14:textId="77777777" w:rsidR="00B32EF2" w:rsidRDefault="00000000">
                        <w:r>
                          <w:rPr>
                            <w:rFonts w:ascii="Arial" w:eastAsia="Arial" w:hAnsi="Arial" w:cs="Arial"/>
                            <w:i/>
                            <w:sz w:val="18"/>
                          </w:rPr>
                          <w:t>tere l) e m).</w:t>
                        </w:r>
                      </w:p>
                    </w:txbxContent>
                  </v:textbox>
                </v:rect>
                <v:rect id="Rectangle 200029" o:spid="_x0000_s2031" style="position:absolute;left:25504;top:29520;width:51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TSKxgAAAN8AAAAPAAAAZHJzL2Rvd25yZXYueG1sRI9Pi8Iw&#10;FMTvC36H8ARva6oH0WoUUcQe9rL+AY+P5tlWm5fQRNvdT79ZEDwOM/MbZrHqTC2e1PjKsoLRMAFB&#10;nFtdcaHgdNx9TkH4gKyxtkwKfsjDatn7WGCqbcvf9DyEQkQI+xQVlCG4VEqfl2TQD60jjt7VNgZD&#10;lE0hdYNthJtajpNkIg1WHBdKdLQpKb8fHkbBZcsu27Uyv/5u3Nctm9b7x+ms1KDfrecgAnXhHX61&#10;M60gEpPxDP7/xC8gl38AAAD//wMAUEsBAi0AFAAGAAgAAAAhANvh9svuAAAAhQEAABMAAAAAAAAA&#10;AAAAAAAAAAAAAFtDb250ZW50X1R5cGVzXS54bWxQSwECLQAUAAYACAAAACEAWvQsW78AAAAVAQAA&#10;CwAAAAAAAAAAAAAAAAAfAQAAX3JlbHMvLnJlbHNQSwECLQAUAAYACAAAACEAheE0isYAAADfAAAA&#10;DwAAAAAAAAAAAAAAAAAHAgAAZHJzL2Rvd25yZXYueG1sUEsFBgAAAAADAAMAtwAAAPoCAAAAAA==&#10;" filled="f" stroked="f">
                  <v:textbox inset="0,0,0,0">
                    <w:txbxContent>
                      <w:p w14:paraId="3DFBB5AF" w14:textId="77777777" w:rsidR="00B32EF2" w:rsidRDefault="00000000">
                        <w:r>
                          <w:rPr>
                            <w:rFonts w:ascii="Arial" w:eastAsia="Arial" w:hAnsi="Arial" w:cs="Arial"/>
                            <w:i/>
                            <w:sz w:val="18"/>
                          </w:rPr>
                          <w:t>5</w:t>
                        </w:r>
                      </w:p>
                    </w:txbxContent>
                  </v:textbox>
                </v:rect>
                <v:rect id="Rectangle 200030" o:spid="_x0000_s2032" style="position:absolute;left:-12875;top:29520;width:51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vKxgAAAN8AAAAPAAAAZHJzL2Rvd25yZXYueG1sRI9Ba8JA&#10;EIXvQv/DMoXedNMKIqmrFIuYQy+1EXocsmMSzc4u2dWk/fWdg9Dj8OZ9j2+1GV2nbtTH1rOB51kG&#10;irjytuXaQPm1my5BxYRssfNMBn4owmb9MFlhbv3An3Q7pFoJhGOOBpqUQq51rBpyGGc+EEt28r3D&#10;JGdfa9vjIHDX6ZcsW2iHLctCg4G2DVWXw9UZ+H7nUOwGXZ1+t+HjXCy7/bU8GvP0OL69gko0pv/n&#10;e7uwBoSYzcVAfMQF9PoPAAD//wMAUEsBAi0AFAAGAAgAAAAhANvh9svuAAAAhQEAABMAAAAAAAAA&#10;AAAAAAAAAAAAAFtDb250ZW50X1R5cGVzXS54bWxQSwECLQAUAAYACAAAACEAWvQsW78AAAAVAQAA&#10;CwAAAAAAAAAAAAAAAAAfAQAAX3JlbHMvLnJlbHNQSwECLQAUAAYACAAAACEAkQILysYAAADfAAAA&#10;DwAAAAAAAAAAAAAAAAAHAgAAZHJzL2Rvd25yZXYueG1sUEsFBgAAAAADAAMAtwAAAPoCAAAAAA==&#10;" filled="f" stroked="f">
                  <v:textbox inset="0,0,0,0">
                    <w:txbxContent>
                      <w:p w14:paraId="4FE1327D" w14:textId="77777777" w:rsidR="00B32EF2" w:rsidRDefault="00000000">
                        <w:r>
                          <w:rPr>
                            <w:rFonts w:ascii="Arial" w:eastAsia="Arial" w:hAnsi="Arial" w:cs="Arial"/>
                            <w:i/>
                            <w:sz w:val="18"/>
                          </w:rPr>
                          <w:t xml:space="preserve">. Nel caso di utilizzo di un credito non spettante ai sensi dell’articolo 73, </w:t>
                        </w:r>
                      </w:p>
                    </w:txbxContent>
                  </v:textbox>
                </v:rect>
                <v:rect id="Rectangle 15518" o:spid="_x0000_s2033" style="position:absolute;left:-11229;top:28286;width:50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ESwxwAAAN4AAAAPAAAAZHJzL2Rvd25yZXYueG1sRI9Pa8JA&#10;EMXvhX6HZYTe6saCIqmriEWaQy/1D/Q4ZMckmp1dsqtJ++k7B8HbDO/Ne79ZrAbXqht1sfFsYDLO&#10;QBGX3jZcGTjst69zUDEhW2w9k4FfirBaPj8tMLe+52+67VKlJIRjjgbqlEKudSxrchjHPhCLdvKd&#10;wyRrV2nbYS/hrtVvWTbTDhuWhhoDbWoqL7urM/DzwaHY9ro8/W3C17mYt5/Xw9GYl9GwfgeVaEgP&#10;8/26sII/nU6EV96RGfTyHwAA//8DAFBLAQItABQABgAIAAAAIQDb4fbL7gAAAIUBAAATAAAAAAAA&#10;AAAAAAAAAAAAAABbQ29udGVudF9UeXBlc10ueG1sUEsBAi0AFAAGAAgAAAAhAFr0LFu/AAAAFQEA&#10;AAsAAAAAAAAAAAAAAAAAHwEAAF9yZWxzLy5yZWxzUEsBAi0AFAAGAAgAAAAhADhwRLDHAAAA3gAA&#10;AA8AAAAAAAAAAAAAAAAABwIAAGRycy9kb3ducmV2LnhtbFBLBQYAAAAAAwADALcAAAD7AgAAAAA=&#10;" filled="f" stroked="f">
                  <v:textbox inset="0,0,0,0">
                    <w:txbxContent>
                      <w:p w14:paraId="6EEEBA55" w14:textId="77777777" w:rsidR="00B32EF2" w:rsidRDefault="00000000">
                        <w:r>
                          <w:rPr>
                            <w:rFonts w:ascii="Arial" w:eastAsia="Arial" w:hAnsi="Arial" w:cs="Arial"/>
                            <w:i/>
                            <w:sz w:val="18"/>
                          </w:rPr>
                          <w:t>comma 1, lettera m), si applica, salvo diverse disposizioni speciali, la san</w:t>
                        </w:r>
                      </w:p>
                    </w:txbxContent>
                  </v:textbox>
                </v:rect>
                <v:rect id="Rectangle 15519" o:spid="_x0000_s2034" style="position:absolute;left:657;top:2828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OErxAAAAN4AAAAPAAAAZHJzL2Rvd25yZXYueG1sRE9Li8Iw&#10;EL4v7H8II3jT1AUX7RpFXGR78OIL9jg0Y1ttJqGJtvrrN4Kwt/n4njNbdKYWN2p8ZVnBaJiAIM6t&#10;rrhQcNivBxMQPiBrrC2Tgjt5WMzf32aYatvylm67UIgYwj5FBWUILpXS5yUZ9EPriCN3so3BEGFT&#10;SN1gG8NNLT+S5FMarDg2lOhoVVJ+2V2Ngt9vdtm6lfnpsXKbczapf66Ho1L9Xrf8AhGoC//ilzvT&#10;cf54PJrC8514g5z/AQAA//8DAFBLAQItABQABgAIAAAAIQDb4fbL7gAAAIUBAAATAAAAAAAAAAAA&#10;AAAAAAAAAABbQ29udGVudF9UeXBlc10ueG1sUEsBAi0AFAAGAAgAAAAhAFr0LFu/AAAAFQEAAAsA&#10;AAAAAAAAAAAAAAAAHwEAAF9yZWxzLy5yZWxzUEsBAi0AFAAGAAgAAAAhAFc84SvEAAAA3gAAAA8A&#10;AAAAAAAAAAAAAAAABwIAAGRycy9kb3ducmV2LnhtbFBLBQYAAAAAAwADALcAAAD4AgAAAAA=&#10;" filled="f" stroked="f">
                  <v:textbox inset="0,0,0,0">
                    <w:txbxContent>
                      <w:p w14:paraId="60A79380" w14:textId="77777777" w:rsidR="00B32EF2" w:rsidRDefault="00000000">
                        <w:r>
                          <w:rPr>
                            <w:rFonts w:ascii="Arial" w:eastAsia="Arial" w:hAnsi="Arial" w:cs="Arial"/>
                            <w:i/>
                            <w:sz w:val="18"/>
                          </w:rPr>
                          <w:t>-</w:t>
                        </w:r>
                      </w:p>
                    </w:txbxContent>
                  </v:textbox>
                </v:rect>
                <v:rect id="Rectangle 15520" o:spid="_x0000_s2035" style="position:absolute;left:-11230;top:27053;width:500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oILxwAAAN4AAAAPAAAAZHJzL2Rvd25yZXYueG1sRI9Pa8JA&#10;EMXvBb/DMkJvdaNgkdRVxCLNoRf/QY9DdkzSZmeX7GrSfnrnUPA2w7x57/2W68G16kZdbDwbmE4y&#10;UMSltw1XBk7H3csCVEzIFlvPZOCXIqxXo6cl5tb3vKfbIVVKTDjmaKBOKeRax7Imh3HiA7HcLr5z&#10;mGTtKm077MXctXqWZa/aYcOSUGOgbU3lz+HqDHy9cyh2vS4vf9vw+V0s2o/r6WzM83jYvIFKNKSH&#10;+P+7sFJ/Pp8JgODIDHp1BwAA//8DAFBLAQItABQABgAIAAAAIQDb4fbL7gAAAIUBAAATAAAAAAAA&#10;AAAAAAAAAAAAAABbQ29udGVudF9UeXBlc10ueG1sUEsBAi0AFAAGAAgAAAAhAFr0LFu/AAAAFQEA&#10;AAsAAAAAAAAAAAAAAAAAHwEAAF9yZWxzLy5yZWxzUEsBAi0AFAAGAAgAAAAhAAhqggvHAAAA3gAA&#10;AA8AAAAAAAAAAAAAAAAABwIAAGRycy9kb3ducmV2LnhtbFBLBQYAAAAAAwADALcAAAD7AgAAAAA=&#10;" filled="f" stroked="f">
                  <v:textbox inset="0,0,0,0">
                    <w:txbxContent>
                      <w:p w14:paraId="00EBF86D" w14:textId="77777777" w:rsidR="00B32EF2" w:rsidRDefault="00000000">
                        <w:r>
                          <w:rPr>
                            <w:rFonts w:ascii="Arial" w:eastAsia="Arial" w:hAnsi="Arial" w:cs="Arial"/>
                            <w:i/>
                            <w:sz w:val="18"/>
                          </w:rPr>
                          <w:t>zione pari al 25 per cento del credito utilizzato in compensazione. La san</w:t>
                        </w:r>
                      </w:p>
                    </w:txbxContent>
                  </v:textbox>
                </v:rect>
                <v:rect id="Rectangle 15521" o:spid="_x0000_s2036" style="position:absolute;left:657;top:2705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ieQxAAAAN4AAAAPAAAAZHJzL2Rvd25yZXYueG1sRE9Li8Iw&#10;EL4v+B/CCHtbUwUXqUYRRbYHL+sDPA7N2FabSWiirfvrN4LgbT6+58wWnanFnRpfWVYwHCQgiHOr&#10;Ky4UHPabrwkIH5A11pZJwYM8LOa9jxmm2rb8S/ddKEQMYZ+igjIEl0rp85IM+oF1xJE728ZgiLAp&#10;pG6wjeGmlqMk+ZYGK44NJTpalZRfdzej4LRml21amZ//Vm57ySb1z+1wVOqz3y2nIAJ14S1+uTMd&#10;54/HoyE834k3yPk/AAAA//8DAFBLAQItABQABgAIAAAAIQDb4fbL7gAAAIUBAAATAAAAAAAAAAAA&#10;AAAAAAAAAABbQ29udGVudF9UeXBlc10ueG1sUEsBAi0AFAAGAAgAAAAhAFr0LFu/AAAAFQEAAAsA&#10;AAAAAAAAAAAAAAAAHwEAAF9yZWxzLy5yZWxzUEsBAi0AFAAGAAgAAAAhAGcmJ5DEAAAA3gAAAA8A&#10;AAAAAAAAAAAAAAAABwIAAGRycy9kb3ducmV2LnhtbFBLBQYAAAAAAwADALcAAAD4AgAAAAA=&#10;" filled="f" stroked="f">
                  <v:textbox inset="0,0,0,0">
                    <w:txbxContent>
                      <w:p w14:paraId="3A5B5292" w14:textId="77777777" w:rsidR="00B32EF2" w:rsidRDefault="00000000">
                        <w:r>
                          <w:rPr>
                            <w:rFonts w:ascii="Arial" w:eastAsia="Arial" w:hAnsi="Arial" w:cs="Arial"/>
                            <w:i/>
                            <w:sz w:val="18"/>
                          </w:rPr>
                          <w:t>-</w:t>
                        </w:r>
                      </w:p>
                    </w:txbxContent>
                  </v:textbox>
                </v:rect>
                <v:rect id="Rectangle 15522" o:spid="_x0000_s2037" style="position:absolute;left:-12200;top:25820;width:510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LnnxAAAAN4AAAAPAAAAZHJzL2Rvd25yZXYueG1sRE9Na8JA&#10;EL0X/A/LFLzVTQMWSV1FFDEHL7URPA7ZMUnNzi7Z1UR/vVso9DaP9znz5WBacaPON5YVvE8SEMSl&#10;1Q1XCorv7dsMhA/IGlvLpOBOHpaL0cscM217/qLbIVQihrDPUEEdgsuk9GVNBv3EOuLInW1nMETY&#10;VVJ32Mdw08o0ST6kwYZjQ42O1jWVl8PVKDht2OXbXpbnx9rtf/JZu7sWR6XGr8PqE0SgIfyL/9y5&#10;jvOn0zSF33fiDXLxBAAA//8DAFBLAQItABQABgAIAAAAIQDb4fbL7gAAAIUBAAATAAAAAAAAAAAA&#10;AAAAAAAAAABbQ29udGVudF9UeXBlc10ueG1sUEsBAi0AFAAGAAgAAAAhAFr0LFu/AAAAFQEAAAsA&#10;AAAAAAAAAAAAAAAAHwEAAF9yZWxzLy5yZWxzUEsBAi0AFAAGAAgAAAAhAJf0uefEAAAA3gAAAA8A&#10;AAAAAAAAAAAAAAAABwIAAGRycy9kb3ducmV2LnhtbFBLBQYAAAAAAwADALcAAAD4AgAAAAA=&#10;" filled="f" stroked="f">
                  <v:textbox inset="0,0,0,0">
                    <w:txbxContent>
                      <w:p w14:paraId="0652A3B2" w14:textId="77777777" w:rsidR="00B32EF2" w:rsidRDefault="00000000">
                        <w:r>
                          <w:rPr>
                            <w:rFonts w:ascii="Arial" w:eastAsia="Arial" w:hAnsi="Arial" w:cs="Arial"/>
                            <w:i/>
                            <w:sz w:val="18"/>
                          </w:rPr>
                          <w:t xml:space="preserve">zione di cui al primo periodo si applica anche quando il credito è utilizzato </w:t>
                        </w:r>
                      </w:p>
                    </w:txbxContent>
                  </v:textbox>
                </v:rect>
                <v:rect id="Rectangle 15523" o:spid="_x0000_s2038" style="position:absolute;left:-12235;top:24587;width:5119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Bx8xAAAAN4AAAAPAAAAZHJzL2Rvd25yZXYueG1sRE9Ni8Iw&#10;EL0L/ocwgjdNVVykaxRRxB72sq4Lexyasa02k9BEW/31m4UFb/N4n7Ncd6YWd2p8ZVnBZJyAIM6t&#10;rrhQcPrajxYgfEDWWFsmBQ/ysF71e0tMtW35k+7HUIgYwj5FBWUILpXS5yUZ9GPriCN3to3BEGFT&#10;SN1gG8NNLadJ8iYNVhwbSnS0LSm/Hm9Gwc+OXbZvZX5+bt3HJVvUh9vpW6nhoNu8gwjUhZf4353p&#10;OH8+n87g7514g1z9AgAA//8DAFBLAQItABQABgAIAAAAIQDb4fbL7gAAAIUBAAATAAAAAAAAAAAA&#10;AAAAAAAAAABbQ29udGVudF9UeXBlc10ueG1sUEsBAi0AFAAGAAgAAAAhAFr0LFu/AAAAFQEAAAsA&#10;AAAAAAAAAAAAAAAAHwEAAF9yZWxzLy5yZWxzUEsBAi0AFAAGAAgAAAAhAPi4HHzEAAAA3gAAAA8A&#10;AAAAAAAAAAAAAAAABwIAAGRycy9kb3ducmV2LnhtbFBLBQYAAAAAAwADALcAAAD4AgAAAAA=&#10;" filled="f" stroked="f">
                  <v:textbox inset="0,0,0,0">
                    <w:txbxContent>
                      <w:p w14:paraId="659CDFF9" w14:textId="77777777" w:rsidR="00B32EF2" w:rsidRDefault="00000000">
                        <w:r>
                          <w:rPr>
                            <w:rFonts w:ascii="Arial" w:eastAsia="Arial" w:hAnsi="Arial" w:cs="Arial"/>
                            <w:i/>
                            <w:sz w:val="18"/>
                          </w:rPr>
                          <w:t xml:space="preserve">in difetto dei prescritti adempimenti amministrativi non previsti a pena di </w:t>
                        </w:r>
                      </w:p>
                    </w:txbxContent>
                  </v:textbox>
                </v:rect>
                <v:rect id="Rectangle 15524" o:spid="_x0000_s2039" style="position:absolute;left:-12223;top:23353;width:511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YQIxAAAAN4AAAAPAAAAZHJzL2Rvd25yZXYueG1sRE9Ni8Iw&#10;EL0L/ocwgjdNFV2kaxRRxB72sq4Lexyasa02k9BEW/31m4UFb/N4n7Ncd6YWd2p8ZVnBZJyAIM6t&#10;rrhQcPrajxYgfEDWWFsmBQ/ysF71e0tMtW35k+7HUIgYwj5FBWUILpXS5yUZ9GPriCN3to3BEGFT&#10;SN1gG8NNLadJ8iYNVhwbSnS0LSm/Hm9Gwc+OXbZvZX5+bt3HJVvUh9vpW6nhoNu8gwjUhZf4353p&#10;OH8+n87g7514g1z9AgAA//8DAFBLAQItABQABgAIAAAAIQDb4fbL7gAAAIUBAAATAAAAAAAAAAAA&#10;AAAAAAAAAABbQ29udGVudF9UeXBlc10ueG1sUEsBAi0AFAAGAAgAAAAhAFr0LFu/AAAAFQEAAAsA&#10;AAAAAAAAAAAAAAAAHwEAAF9yZWxzLy5yZWxzUEsBAi0AFAAGAAgAAAAhAHdRhAjEAAAA3gAAAA8A&#10;AAAAAAAAAAAAAAAABwIAAGRycy9kb3ducmV2LnhtbFBLBQYAAAAAAwADALcAAAD4AgAAAAA=&#10;" filled="f" stroked="f">
                  <v:textbox inset="0,0,0,0">
                    <w:txbxContent>
                      <w:p w14:paraId="6CFBD8FF" w14:textId="77777777" w:rsidR="00B32EF2" w:rsidRDefault="00000000">
                        <w:r>
                          <w:rPr>
                            <w:rFonts w:ascii="Arial" w:eastAsia="Arial" w:hAnsi="Arial" w:cs="Arial"/>
                            <w:i/>
                            <w:sz w:val="18"/>
                          </w:rPr>
                          <w:t xml:space="preserve">decadenza e le relative violazioni non sono state rimosse, entro i termini </w:t>
                        </w:r>
                      </w:p>
                    </w:txbxContent>
                  </v:textbox>
                </v:rect>
                <v:rect id="Rectangle 15525" o:spid="_x0000_s2040" style="position:absolute;left:24409;top:22120;width:144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SGTxAAAAN4AAAAPAAAAZHJzL2Rvd25yZXYueG1sRE9Na8JA&#10;EL0X/A/LFLzVTYUUSV1FFDEHL7URPA7ZMUnNzi7Z1UR/vVso9DaP9znz5WBacaPON5YVvE8SEMSl&#10;1Q1XCorv7dsMhA/IGlvLpOBOHpaL0cscM217/qLbIVQihrDPUEEdgsuk9GVNBv3EOuLInW1nMETY&#10;VVJ32Mdw08ppknxIgw3HhhodrWsqL4erUXDasMu3vSzPj7Xb/+SzdnctjkqNX4fVJ4hAQ/gX/7lz&#10;Heen6TSF33fiDXLxBAAA//8DAFBLAQItABQABgAIAAAAIQDb4fbL7gAAAIUBAAATAAAAAAAAAAAA&#10;AAAAAAAAAABbQ29udGVudF9UeXBlc10ueG1sUEsBAi0AFAAGAAgAAAAhAFr0LFu/AAAAFQEAAAsA&#10;AAAAAAAAAAAAAAAAHwEAAF9yZWxzLy5yZWxzUEsBAi0AFAAGAAgAAAAhABgdIZPEAAAA3gAAAA8A&#10;AAAAAAAAAAAAAAAABwIAAGRycy9kb3ducmV2LnhtbFBLBQYAAAAAAwADALcAAAD4AgAAAAA=&#10;" filled="f" stroked="f">
                  <v:textbox inset="0,0,0,0">
                    <w:txbxContent>
                      <w:p w14:paraId="3D7391B3" w14:textId="77777777" w:rsidR="00B32EF2" w:rsidRDefault="00000000">
                        <w:r>
                          <w:rPr>
                            <w:rFonts w:ascii="Arial" w:eastAsia="Arial" w:hAnsi="Arial" w:cs="Arial"/>
                            <w:i/>
                            <w:sz w:val="18"/>
                          </w:rPr>
                          <w:t>stabiliti dal comma 6.</w:t>
                        </w:r>
                      </w:p>
                    </w:txbxContent>
                  </v:textbox>
                </v:rect>
                <v:rect id="Rectangle 200027" o:spid="_x0000_s2041" style="position:absolute;left:25765;top:20887;width:500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VjxgAAAN8AAAAPAAAAZHJzL2Rvd25yZXYueG1sRI9Pi8Iw&#10;FMTvgt8hPGFvmuphla5RxEW2h734D/b4aJ5ttXkJTbRdP70RBI/DzPyGmS87U4sbNb6yrGA8SkAQ&#10;51ZXXCg47DfDGQgfkDXWlknBP3lYLvq9Oabatryl2y4UIkLYp6igDMGlUvq8JIN+ZB1x9E62MRii&#10;bAqpG2wj3NRykiSf0mDFcaFER+uS8svuahT8fbPLNq3MT/e1+z1ns/rnejgq9THoVl8gAnXhHX61&#10;M60gEpPJFJ5/4heQiwcAAAD//wMAUEsBAi0AFAAGAAgAAAAhANvh9svuAAAAhQEAABMAAAAAAAAA&#10;AAAAAAAAAAAAAFtDb250ZW50X1R5cGVzXS54bWxQSwECLQAUAAYACAAAACEAWvQsW78AAAAVAQAA&#10;CwAAAAAAAAAAAAAAAAAfAQAAX3JlbHMvLnJlbHNQSwECLQAUAAYACAAAACEAmzIFY8YAAADfAAAA&#10;DwAAAAAAAAAAAAAAAAAHAgAAZHJzL2Rvd25yZXYueG1sUEsFBgAAAAADAAMAtwAAAPoCAAAAAA==&#10;" filled="f" stroked="f">
                  <v:textbox inset="0,0,0,0">
                    <w:txbxContent>
                      <w:p w14:paraId="1CE0CBB6" w14:textId="77777777" w:rsidR="00B32EF2" w:rsidRDefault="00000000">
                        <w:r>
                          <w:rPr>
                            <w:rFonts w:ascii="Arial" w:eastAsia="Arial" w:hAnsi="Arial" w:cs="Arial"/>
                            <w:i/>
                            <w:sz w:val="18"/>
                          </w:rPr>
                          <w:t>6</w:t>
                        </w:r>
                      </w:p>
                    </w:txbxContent>
                  </v:textbox>
                </v:rect>
                <v:rect id="Rectangle 200028" o:spid="_x0000_s2042" style="position:absolute;left:-11886;top:20887;width:500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ZERxgAAAN8AAAAPAAAAZHJzL2Rvd25yZXYueG1sRI/BbsIw&#10;DIbvk/YOkZG4jRQOEyoENDGh9bALDCSOVmPaQuNETaCFp58Pk3a0fv+f/S3Xg2vVnbrYeDYwnWSg&#10;iEtvG64MHH62b3NQMSFbbD2TgQdFWK9eX5aYW9/zju77VCmBcMzRQJ1SyLWOZU0O48QHYsnOvnOY&#10;ZOwqbTvsBe5aPcuyd+2wYblQY6BNTeV1f3MGTp8cim2vy/NzE74vxbz9uh2OxoxHw8cCVKIh/S//&#10;tQtrQIjZTB4WH3EBvfoFAAD//wMAUEsBAi0AFAAGAAgAAAAhANvh9svuAAAAhQEAABMAAAAAAAAA&#10;AAAAAAAAAAAAAFtDb250ZW50X1R5cGVzXS54bWxQSwECLQAUAAYACAAAACEAWvQsW78AAAAVAQAA&#10;CwAAAAAAAAAAAAAAAAAfAQAAX3JlbHMvLnJlbHNQSwECLQAUAAYACAAAACEA6q2REcYAAADfAAAA&#10;DwAAAAAAAAAAAAAAAAAHAgAAZHJzL2Rvd25yZXYueG1sUEsFBgAAAAADAAMAtwAAAPoCAAAAAA==&#10;" filled="f" stroked="f">
                  <v:textbox inset="0,0,0,0">
                    <w:txbxContent>
                      <w:p w14:paraId="00C67C55" w14:textId="77777777" w:rsidR="00B32EF2" w:rsidRDefault="00000000">
                        <w:r>
                          <w:rPr>
                            <w:rFonts w:ascii="Arial" w:eastAsia="Arial" w:hAnsi="Arial" w:cs="Arial"/>
                            <w:i/>
                            <w:sz w:val="18"/>
                          </w:rPr>
                          <w:t>. Si applica la sanzione di 250 euro quando il credito è utilizzato in com</w:t>
                        </w:r>
                      </w:p>
                    </w:txbxContent>
                  </v:textbox>
                </v:rect>
                <v:rect id="Rectangle 15527" o:spid="_x0000_s2043" style="position:absolute;left:657;top:2088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xp/xAAAAN4AAAAPAAAAZHJzL2Rvd25yZXYueG1sRE9Ni8Iw&#10;EL0v+B/CCN7WVMFd6RpFFLEHL7ou7HFoxrbaTEITbfXXb4QFb/N4nzNbdKYWN2p8ZVnBaJiAIM6t&#10;rrhQcPzevE9B+ICssbZMCu7kYTHvvc0w1bblPd0OoRAxhH2KCsoQXCqlz0sy6IfWEUfuZBuDIcKm&#10;kLrBNoabWo6T5EMarDg2lOhoVVJ+OVyNgt81u2zTyvz0WLndOZvW2+vxR6lBv1t+gQjUhZf4353p&#10;OH8yGX/C8514g5z/AQAA//8DAFBLAQItABQABgAIAAAAIQDb4fbL7gAAAIUBAAATAAAAAAAAAAAA&#10;AAAAAAAAAABbQ29udGVudF9UeXBlc10ueG1sUEsBAi0AFAAGAAgAAAAhAFr0LFu/AAAAFQEAAAsA&#10;AAAAAAAAAAAAAAAAHwEAAF9yZWxzLy5yZWxzUEsBAi0AFAAGAAgAAAAhAIeDGn/EAAAA3gAAAA8A&#10;AAAAAAAAAAAAAAAABwIAAGRycy9kb3ducmV2LnhtbFBLBQYAAAAAAwADALcAAAD4AgAAAAA=&#10;" filled="f" stroked="f">
                  <v:textbox inset="0,0,0,0">
                    <w:txbxContent>
                      <w:p w14:paraId="62D746AE" w14:textId="77777777" w:rsidR="00B32EF2" w:rsidRDefault="00000000">
                        <w:r>
                          <w:rPr>
                            <w:rFonts w:ascii="Arial" w:eastAsia="Arial" w:hAnsi="Arial" w:cs="Arial"/>
                            <w:i/>
                            <w:sz w:val="18"/>
                          </w:rPr>
                          <w:t>-</w:t>
                        </w:r>
                      </w:p>
                    </w:txbxContent>
                  </v:textbox>
                </v:rect>
                <v:rect id="Rectangle 15528" o:spid="_x0000_s2044" style="position:absolute;left:-12203;top:19653;width:510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I4NxwAAAN4AAAAPAAAAZHJzL2Rvd25yZXYueG1sRI9Pa8JA&#10;EMXvBb/DMkJvdaNgkdRVxCLNoRf/QY9DdkzSZmeX7GrSfnrnUPA2w3vz3m+W68G16kZdbDwbmE4y&#10;UMSltw1XBk7H3csCVEzIFlvPZOCXIqxXo6cl5tb3vKfbIVVKQjjmaKBOKeRax7Imh3HiA7FoF985&#10;TLJ2lbYd9hLuWj3LslftsGFpqDHQtqby53B1Br7eORS7XpeXv234/C4W7cf1dDbmeTxs3kAlGtLD&#10;/H9dWMGfz2fCK+/IDHp1BwAA//8DAFBLAQItABQABgAIAAAAIQDb4fbL7gAAAIUBAAATAAAAAAAA&#10;AAAAAAAAAAAAAABbQ29udGVudF9UeXBlc10ueG1sUEsBAi0AFAAGAAgAAAAhAFr0LFu/AAAAFQEA&#10;AAsAAAAAAAAAAAAAAAAAHwEAAF9yZWxzLy5yZWxzUEsBAi0AFAAGAAgAAAAhAPYcjg3HAAAA3gAA&#10;AA8AAAAAAAAAAAAAAAAABwIAAGRycy9kb3ducmV2LnhtbFBLBQYAAAAAAwADALcAAAD7AgAAAAA=&#10;" filled="f" stroked="f">
                  <v:textbox inset="0,0,0,0">
                    <w:txbxContent>
                      <w:p w14:paraId="04652444" w14:textId="77777777" w:rsidR="00B32EF2" w:rsidRDefault="00000000">
                        <w:r>
                          <w:rPr>
                            <w:rFonts w:ascii="Arial" w:eastAsia="Arial" w:hAnsi="Arial" w:cs="Arial"/>
                            <w:i/>
                            <w:sz w:val="18"/>
                          </w:rPr>
                          <w:t xml:space="preserve">pensazione in difetto dei prescritti adempimenti amministrativi di carattere </w:t>
                        </w:r>
                      </w:p>
                    </w:txbxContent>
                  </v:textbox>
                </v:rect>
                <v:rect id="Rectangle 15529" o:spid="_x0000_s2045" style="position:absolute;left:-11765;top:18420;width:505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CuWxAAAAN4AAAAPAAAAZHJzL2Rvd25yZXYueG1sRE9Ni8Iw&#10;EL0v+B/CCN40VXBxu0YRRezBy6oLexyasa02k9BEW/31mwVhb/N4nzNfdqYWd2p8ZVnBeJSAIM6t&#10;rrhQcDpuhzMQPiBrrC2Tggd5WC56b3NMtW35i+6HUIgYwj5FBWUILpXS5yUZ9CPriCN3to3BEGFT&#10;SN1gG8NNLSdJ8i4NVhwbSnS0Lim/Hm5Gwc+GXbZtZX5+rt3+ks3q3e30rdSg360+QQTqwr/45c50&#10;nD+dTj7g7514g1z8AgAA//8DAFBLAQItABQABgAIAAAAIQDb4fbL7gAAAIUBAAATAAAAAAAAAAAA&#10;AAAAAAAAAABbQ29udGVudF9UeXBlc10ueG1sUEsBAi0AFAAGAAgAAAAhAFr0LFu/AAAAFQEAAAsA&#10;AAAAAAAAAAAAAAAAHwEAAF9yZWxzLy5yZWxzUEsBAi0AFAAGAAgAAAAhAJlQK5bEAAAA3gAAAA8A&#10;AAAAAAAAAAAAAAAABwIAAGRycy9kb3ducmV2LnhtbFBLBQYAAAAAAwADALcAAAD4AgAAAAA=&#10;" filled="f" stroked="f">
                  <v:textbox inset="0,0,0,0">
                    <w:txbxContent>
                      <w:p w14:paraId="55A6B273" w14:textId="77777777" w:rsidR="00B32EF2" w:rsidRDefault="00000000">
                        <w:r>
                          <w:rPr>
                            <w:rFonts w:ascii="Arial" w:eastAsia="Arial" w:hAnsi="Arial" w:cs="Arial"/>
                            <w:i/>
                            <w:sz w:val="18"/>
                          </w:rPr>
                          <w:t>strumentale, sempre che siano rispettante entrambe le seguenti condizioni:</w:t>
                        </w:r>
                      </w:p>
                    </w:txbxContent>
                  </v:textbox>
                </v:rect>
                <v:rect id="Rectangle 15530" o:spid="_x0000_s2046" style="position:absolute;left:-1074;top:17187;width:398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TWxwAAAN4AAAAPAAAAZHJzL2Rvd25yZXYueG1sRI9Ba8JA&#10;EIXvQv/DMoXedFOLIqmrFIuYg5eqhR6H7Jikzc4u2dWk/fXOoeBthnnz3vuW68G16kpdbDwbeJ5k&#10;oIhLbxuuDJyO2/ECVEzIFlvPZOCXIqxXD6Ml5tb3/EHXQ6qUmHDM0UCdUsi1jmVNDuPEB2K5nX3n&#10;MMnaVdp22Iu5a/U0y+baYcOSUGOgTU3lz+HiDHy9cyi2vS7Pf5uw/y4W7e5y+jTm6XF4ewWVaEh3&#10;8f93YaX+bPYiAIIjM+jVDQAA//8DAFBLAQItABQABgAIAAAAIQDb4fbL7gAAAIUBAAATAAAAAAAA&#10;AAAAAAAAAAAAAABbQ29udGVudF9UeXBlc10ueG1sUEsBAi0AFAAGAAgAAAAhAFr0LFu/AAAAFQEA&#10;AAsAAAAAAAAAAAAAAAAAHwEAAF9yZWxzLy5yZWxzUEsBAi0AFAAGAAgAAAAhAI2zFNbHAAAA3gAA&#10;AA8AAAAAAAAAAAAAAAAABwIAAGRycy9kb3ducmV2LnhtbFBLBQYAAAAAAwADALcAAAD7AgAAAAA=&#10;" filled="f" stroked="f">
                  <v:textbox inset="0,0,0,0">
                    <w:txbxContent>
                      <w:p w14:paraId="0A3FB04D" w14:textId="77777777" w:rsidR="00B32EF2" w:rsidRDefault="00000000">
                        <w:r>
                          <w:rPr>
                            <w:rFonts w:ascii="Arial" w:eastAsia="Arial" w:hAnsi="Arial" w:cs="Arial"/>
                            <w:i/>
                            <w:sz w:val="18"/>
                          </w:rPr>
                          <w:t>a) gli adempimenti non siano previsti a pena di decadenza;</w:t>
                        </w:r>
                      </w:p>
                    </w:txbxContent>
                  </v:textbox>
                </v:rect>
                <v:rect id="Rectangle 15531" o:spid="_x0000_s2047" style="position:absolute;left:-11228;top:15953;width:50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FNxAAAAN4AAAAPAAAAZHJzL2Rvd25yZXYueG1sRE9Li8Iw&#10;EL4v7H8Is+BtTV1RpBplcZHtwcv6AI9DM7bVZhKaaKu/3iwI3ubje85s0ZlaXKnxlWUFg34Cgji3&#10;uuJCwW67+pyA8AFZY22ZFNzIw2L+/jbDVNuW/+i6CYWIIexTVFCG4FIpfV6SQd+3jjhyR9sYDBE2&#10;hdQNtjHc1PIrScbSYMWxoURHy5Ly8+ZiFBx+2GWrVubH+9KtT9mk/r3s9kr1PrrvKYhAXXiJn+5M&#10;x/mj0XAA/+/EG+T8AQAA//8DAFBLAQItABQABgAIAAAAIQDb4fbL7gAAAIUBAAATAAAAAAAAAAAA&#10;AAAAAAAAAABbQ29udGVudF9UeXBlc10ueG1sUEsBAi0AFAAGAAgAAAAhAFr0LFu/AAAAFQEAAAsA&#10;AAAAAAAAAAAAAAAAHwEAAF9yZWxzLy5yZWxzUEsBAi0AFAAGAAgAAAAhAOL/sU3EAAAA3gAAAA8A&#10;AAAAAAAAAAAAAAAABwIAAGRycy9kb3ducmV2LnhtbFBLBQYAAAAAAwADALcAAAD4AgAAAAA=&#10;" filled="f" stroked="f">
                  <v:textbox inset="0,0,0,0">
                    <w:txbxContent>
                      <w:p w14:paraId="6BCBF361" w14:textId="77777777" w:rsidR="00B32EF2" w:rsidRDefault="00000000">
                        <w:r>
                          <w:rPr>
                            <w:rFonts w:ascii="Arial" w:eastAsia="Arial" w:hAnsi="Arial" w:cs="Arial"/>
                            <w:i/>
                            <w:sz w:val="18"/>
                          </w:rPr>
                          <w:t>b) la violazione sia rimossa entro il termine di presentazione della dichiara</w:t>
                        </w:r>
                      </w:p>
                    </w:txbxContent>
                  </v:textbox>
                </v:rect>
                <v:rect id="Rectangle 15532" o:spid="_x0000_s2048" style="position:absolute;left:657;top:1595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S86xAAAAN4AAAAPAAAAZHJzL2Rvd25yZXYueG1sRE9Ni8Iw&#10;EL0L/ocwgjdNVVykaxRRxB72sq4Lexyasa02k9BEW/31m4UFb/N4n7Ncd6YWd2p8ZVnBZJyAIM6t&#10;rrhQcPrajxYgfEDWWFsmBQ/ysF71e0tMtW35k+7HUIgYwj5FBWUILpXS5yUZ9GPriCN3to3BEGFT&#10;SN1gG8NNLadJ8iYNVhwbSnS0LSm/Hm9Gwc+OXbZvZX5+bt3HJVvUh9vpW6nhoNu8gwjUhZf4353p&#10;OH8+n03h7514g1z9AgAA//8DAFBLAQItABQABgAIAAAAIQDb4fbL7gAAAIUBAAATAAAAAAAAAAAA&#10;AAAAAAAAAABbQ29udGVudF9UeXBlc10ueG1sUEsBAi0AFAAGAAgAAAAhAFr0LFu/AAAAFQEAAAsA&#10;AAAAAAAAAAAAAAAAHwEAAF9yZWxzLy5yZWxzUEsBAi0AFAAGAAgAAAAhABItLzrEAAAA3gAAAA8A&#10;AAAAAAAAAAAAAAAABwIAAGRycy9kb3ducmV2LnhtbFBLBQYAAAAAAwADALcAAAD4AgAAAAA=&#10;" filled="f" stroked="f">
                  <v:textbox inset="0,0,0,0">
                    <w:txbxContent>
                      <w:p w14:paraId="0B70A2A6" w14:textId="77777777" w:rsidR="00B32EF2" w:rsidRDefault="00000000">
                        <w:r>
                          <w:rPr>
                            <w:rFonts w:ascii="Arial" w:eastAsia="Arial" w:hAnsi="Arial" w:cs="Arial"/>
                            <w:i/>
                            <w:sz w:val="18"/>
                          </w:rPr>
                          <w:t>-</w:t>
                        </w:r>
                      </w:p>
                    </w:txbxContent>
                  </v:textbox>
                </v:rect>
                <v:rect id="Rectangle 15533" o:spid="_x0000_s2049" style="position:absolute;left:-11206;top:14720;width:500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YqhxAAAAN4AAAAPAAAAZHJzL2Rvd25yZXYueG1sRE9Ni8Iw&#10;EL0L/ocwgjdNVVykaxRRxB72sq4Lexyasa02k9BEW/31m4UFb/N4n7Ncd6YWd2p8ZVnBZJyAIM6t&#10;rrhQcPrajxYgfEDWWFsmBQ/ysF71e0tMtW35k+7HUIgYwj5FBWUILpXS5yUZ9GPriCN3to3BEGFT&#10;SN1gG8NNLadJ8iYNVhwbSnS0LSm/Hm9Gwc+OXbZvZX5+bt3HJVvUh9vpW6nhoNu8gwjUhZf4353p&#10;OH8+n83g7514g1z9AgAA//8DAFBLAQItABQABgAIAAAAIQDb4fbL7gAAAIUBAAATAAAAAAAAAAAA&#10;AAAAAAAAAABbQ29udGVudF9UeXBlc10ueG1sUEsBAi0AFAAGAAgAAAAhAFr0LFu/AAAAFQEAAAsA&#10;AAAAAAAAAAAAAAAAHwEAAF9yZWxzLy5yZWxzUEsBAi0AFAAGAAgAAAAhAH1hiqHEAAAA3gAAAA8A&#10;AAAAAAAAAAAAAAAABwIAAGRycy9kb3ducmV2LnhtbFBLBQYAAAAAAwADALcAAAD4AgAAAAA=&#10;" filled="f" stroked="f">
                  <v:textbox inset="0,0,0,0">
                    <w:txbxContent>
                      <w:p w14:paraId="0CA3C3B8" w14:textId="77777777" w:rsidR="00B32EF2" w:rsidRDefault="00000000">
                        <w:r>
                          <w:rPr>
                            <w:rFonts w:ascii="Arial" w:eastAsia="Arial" w:hAnsi="Arial" w:cs="Arial"/>
                            <w:i/>
                            <w:sz w:val="18"/>
                          </w:rPr>
                          <w:t>zione annuale ai fini delle imposte sui redditi relativa all’anno di commissio</w:t>
                        </w:r>
                      </w:p>
                    </w:txbxContent>
                  </v:textbox>
                </v:rect>
                <v:rect id="Rectangle 15534" o:spid="_x0000_s2050" style="position:absolute;left:657;top:1472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BLVxQAAAN4AAAAPAAAAZHJzL2Rvd25yZXYueG1sRE9La8JA&#10;EL4L/odlBG+6aasi0VWKRcyhl/oAj0N2TGKzs0t2NbG/vlsoeJuP7znLdWdqcafGV5YVvIwTEMS5&#10;1RUXCo6H7WgOwgdkjbVlUvAgD+tVv7fEVNuWv+i+D4WIIexTVFCG4FIpfV6SQT+2jjhyF9sYDBE2&#10;hdQNtjHc1PI1SWbSYMWxoURHm5Ly7/3NKDh/sMu2rcwvPxv3ec3m9e52PCk1HHTvCxCBuvAU/7sz&#10;HedPp28T+Hsn3iBXvwAAAP//AwBQSwECLQAUAAYACAAAACEA2+H2y+4AAACFAQAAEwAAAAAAAAAA&#10;AAAAAAAAAAAAW0NvbnRlbnRfVHlwZXNdLnhtbFBLAQItABQABgAIAAAAIQBa9CxbvwAAABUBAAAL&#10;AAAAAAAAAAAAAAAAAB8BAABfcmVscy8ucmVsc1BLAQItABQABgAIAAAAIQDyiBLVxQAAAN4AAAAP&#10;AAAAAAAAAAAAAAAAAAcCAABkcnMvZG93bnJldi54bWxQSwUGAAAAAAMAAwC3AAAA+QIAAAAA&#10;" filled="f" stroked="f">
                  <v:textbox inset="0,0,0,0">
                    <w:txbxContent>
                      <w:p w14:paraId="45758FC5" w14:textId="77777777" w:rsidR="00B32EF2" w:rsidRDefault="00000000">
                        <w:r>
                          <w:rPr>
                            <w:rFonts w:ascii="Arial" w:eastAsia="Arial" w:hAnsi="Arial" w:cs="Arial"/>
                            <w:i/>
                            <w:sz w:val="18"/>
                          </w:rPr>
                          <w:t>-</w:t>
                        </w:r>
                      </w:p>
                    </w:txbxContent>
                  </v:textbox>
                </v:rect>
                <v:rect id="Rectangle 15535" o:spid="_x0000_s2051" style="position:absolute;left:-12186;top:13487;width:510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LdOxAAAAN4AAAAPAAAAZHJzL2Rvd25yZXYueG1sRE9Na8JA&#10;EL0X+h+WEbzVjUpEUlcpFjEHL1ULPQ7ZMUmbnV2yq4n+ercgeJvH+5zFqjeNuFDra8sKxqMEBHFh&#10;dc2lguNh8zYH4QOyxsYyKbiSh9Xy9WWBmbYdf9FlH0oRQ9hnqKAKwWVS+qIig35kHXHkTrY1GCJs&#10;S6lb7GK4aeQkSWbSYM2xoUJH64qKv/3ZKPj5ZJdvOlmcbmu3+83nzfZ8/FZqOOg/3kEE6sNT/HDn&#10;Os5P02kK/+/EG+TyDgAA//8DAFBLAQItABQABgAIAAAAIQDb4fbL7gAAAIUBAAATAAAAAAAAAAAA&#10;AAAAAAAAAABbQ29udGVudF9UeXBlc10ueG1sUEsBAi0AFAAGAAgAAAAhAFr0LFu/AAAAFQEAAAsA&#10;AAAAAAAAAAAAAAAAHwEAAF9yZWxzLy5yZWxzUEsBAi0AFAAGAAgAAAAhAJ3Et07EAAAA3gAAAA8A&#10;AAAAAAAAAAAAAAAABwIAAGRycy9kb3ducmV2LnhtbFBLBQYAAAAAAwADALcAAAD4AgAAAAA=&#10;" filled="f" stroked="f">
                  <v:textbox inset="0,0,0,0">
                    <w:txbxContent>
                      <w:p w14:paraId="47560A1C" w14:textId="77777777" w:rsidR="00B32EF2" w:rsidRDefault="00000000">
                        <w:r>
                          <w:rPr>
                            <w:rFonts w:ascii="Arial" w:eastAsia="Arial" w:hAnsi="Arial" w:cs="Arial"/>
                            <w:i/>
                            <w:sz w:val="18"/>
                          </w:rPr>
                          <w:t xml:space="preserve">ne della violazione, ovvero, in assenza di una dichiarazione, entro un anno </w:t>
                        </w:r>
                      </w:p>
                    </w:txbxContent>
                  </v:textbox>
                </v:rect>
                <v:rect id="Rectangle 15536" o:spid="_x0000_s2052" style="position:absolute;left:7266;top:12254;width:3156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ik5xAAAAN4AAAAPAAAAZHJzL2Rvd25yZXYueG1sRE9Ni8Iw&#10;EL0L/ocwgjdNdVGkaxRRZHvwsq4Lexyasa02k9BEW/31m4UFb/N4n7Ncd6YWd2p8ZVnBZJyAIM6t&#10;rrhQcPrajxYgfEDWWFsmBQ/ysF71e0tMtW35k+7HUIgYwj5FBWUILpXS5yUZ9GPriCN3to3BEGFT&#10;SN1gG8NNLadJMpcGK44NJTralpRfjzej4GfHLtu3Mj8/t+5wyRb1x+30rdRw0G3eQQTqwkv87850&#10;nD+bvc3h7514g1z9AgAA//8DAFBLAQItABQABgAIAAAAIQDb4fbL7gAAAIUBAAATAAAAAAAAAAAA&#10;AAAAAAAAAABbQ29udGVudF9UeXBlc10ueG1sUEsBAi0AFAAGAAgAAAAhAFr0LFu/AAAAFQEAAAsA&#10;AAAAAAAAAAAAAAAAHwEAAF9yZWxzLy5yZWxzUEsBAi0AFAAGAAgAAAAhAG0WKTnEAAAA3gAAAA8A&#10;AAAAAAAAAAAAAAAABwIAAGRycy9kb3ducmV2LnhtbFBLBQYAAAAAAwADALcAAAD4AgAAAAA=&#10;" filled="f" stroked="f">
                  <v:textbox inset="0,0,0,0">
                    <w:txbxContent>
                      <w:p w14:paraId="74726C38" w14:textId="77777777" w:rsidR="00B32EF2" w:rsidRDefault="00000000">
                        <w:r>
                          <w:rPr>
                            <w:rFonts w:ascii="Arial" w:eastAsia="Arial" w:hAnsi="Arial" w:cs="Arial"/>
                            <w:i/>
                            <w:sz w:val="18"/>
                          </w:rPr>
                          <w:t>dalla commissione della violazione medesima.</w:t>
                        </w:r>
                      </w:p>
                    </w:txbxContent>
                  </v:textbox>
                </v:rect>
                <v:rect id="Rectangle 200026" o:spid="_x0000_s2053" style="position:absolute;left:-11779;top:11020;width:50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qD4xwAAAN8AAAAPAAAAZHJzL2Rvd25yZXYueG1sRI9Pa8JA&#10;FMTvhX6H5Qm91Y0egsSsUizSHHqpVfD4yL78abNvl+yaRD99VxB6HGbmN0y+nUwnBup9a1nBYp6A&#10;IC6tbrlWcPzev65A+ICssbNMCq7kYbt5fsox03bkLxoOoRYRwj5DBU0ILpPSlw0Z9HPriKNX2d5g&#10;iLKvpe5xjHDTyWWSpNJgy3GhQUe7hsrfw8UoOL+zK/ajLKvbzn3+FKvu43I8KfUym97WIAJN4T/8&#10;aBdaQSQmyxTuf+IXkJs/AAAA//8DAFBLAQItABQABgAIAAAAIQDb4fbL7gAAAIUBAAATAAAAAAAA&#10;AAAAAAAAAAAAAABbQ29udGVudF9UeXBlc10ueG1sUEsBAi0AFAAGAAgAAAAhAFr0LFu/AAAAFQEA&#10;AAsAAAAAAAAAAAAAAAAAHwEAAF9yZWxzLy5yZWxzUEsBAi0AFAAGAAgAAAAhAPR+oPjHAAAA3wAA&#10;AA8AAAAAAAAAAAAAAAAABwIAAGRycy9kb3ducmV2LnhtbFBLBQYAAAAAAwADALcAAAD7AgAAAAA=&#10;" filled="f" stroked="f">
                  <v:textbox inset="0,0,0,0">
                    <w:txbxContent>
                      <w:p w14:paraId="1763AE70" w14:textId="77777777" w:rsidR="00B32EF2" w:rsidRDefault="00000000">
                        <w:r>
                          <w:rPr>
                            <w:rFonts w:ascii="Arial" w:eastAsia="Arial" w:hAnsi="Arial" w:cs="Arial"/>
                            <w:i/>
                            <w:sz w:val="18"/>
                          </w:rPr>
                          <w:t>. Nel caso di utilizzo di un credito inesistente ai sensi dell’articolo 73, com</w:t>
                        </w:r>
                      </w:p>
                    </w:txbxContent>
                  </v:textbox>
                </v:rect>
                <v:rect id="Rectangle 200025" o:spid="_x0000_s2054" style="position:absolute;left:25763;top:11020;width:500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D6PxQAAAN8AAAAPAAAAZHJzL2Rvd25yZXYueG1sRI9Pi8Iw&#10;FMTvgt8hPGFvmiqsSNco4iLbw178B3t8NM+22ryEJtqun94IgsdhZn7DzJedqcWNGl9ZVjAeJSCI&#10;c6srLhQc9pvhDIQPyBpry6TgnzwsF/3eHFNtW97SbRcKESHsU1RQhuBSKX1ekkE/so44eifbGAxR&#10;NoXUDbYRbmo5SZKpNFhxXCjR0bqk/LK7GgV/3+yyTSvz033tfs/ZrP65Ho5KfQy61ReIQF14h1/t&#10;TCuIxGTyCc8/8QvIxQMAAP//AwBQSwECLQAUAAYACAAAACEA2+H2y+4AAACFAQAAEwAAAAAAAAAA&#10;AAAAAAAAAAAAW0NvbnRlbnRfVHlwZXNdLnhtbFBLAQItABQABgAIAAAAIQBa9CxbvwAAABUBAAAL&#10;AAAAAAAAAAAAAAAAAB8BAABfcmVscy8ucmVsc1BLAQItABQABgAIAAAAIQAErD6PxQAAAN8AAAAP&#10;AAAAAAAAAAAAAAAAAAcCAABkcnMvZG93bnJldi54bWxQSwUGAAAAAAMAAwC3AAAA+QIAAAAA&#10;" filled="f" stroked="f">
                  <v:textbox inset="0,0,0,0">
                    <w:txbxContent>
                      <w:p w14:paraId="1E26CD32" w14:textId="77777777" w:rsidR="00B32EF2" w:rsidRDefault="00000000">
                        <w:r>
                          <w:rPr>
                            <w:rFonts w:ascii="Arial" w:eastAsia="Arial" w:hAnsi="Arial" w:cs="Arial"/>
                            <w:i/>
                            <w:sz w:val="18"/>
                          </w:rPr>
                          <w:t>7</w:t>
                        </w:r>
                      </w:p>
                    </w:txbxContent>
                  </v:textbox>
                </v:rect>
                <v:rect id="Rectangle 15538" o:spid="_x0000_s2055" style="position:absolute;left:657;top:1102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RjQxwAAAN4AAAAPAAAAZHJzL2Rvd25yZXYueG1sRI9Ba8JA&#10;EIXvQv/DMoXedFOLIqmrFIuYg5eqhR6H7Jikzc4u2dWk/fXOoeBthvfmvW+W68G16kpdbDwbeJ5k&#10;oIhLbxuuDJyO2/ECVEzIFlvPZOCXIqxXD6Ml5tb3/EHXQ6qUhHDM0UCdUsi1jmVNDuPEB2LRzr5z&#10;mGTtKm077CXctXqaZXPtsGFpqDHQpqby53BxBr7eORTbXpfnv03YfxeLdnc5fRrz9Di8vYJKNKS7&#10;+f+6sII/m70Ir7wjM+jVDQAA//8DAFBLAQItABQABgAIAAAAIQDb4fbL7gAAAIUBAAATAAAAAAAA&#10;AAAAAAAAAAAAAABbQ29udGVudF9UeXBlc10ueG1sUEsBAi0AFAAGAAgAAAAhAFr0LFu/AAAAFQEA&#10;AAsAAAAAAAAAAAAAAAAAHwEAAF9yZWxzLy5yZWxzUEsBAi0AFAAGAAgAAAAhAHPFGNDHAAAA3gAA&#10;AA8AAAAAAAAAAAAAAAAABwIAAGRycy9kb3ducmV2LnhtbFBLBQYAAAAAAwADALcAAAD7AgAAAAA=&#10;" filled="f" stroked="f">
                  <v:textbox inset="0,0,0,0">
                    <w:txbxContent>
                      <w:p w14:paraId="3914DEC6" w14:textId="77777777" w:rsidR="00B32EF2" w:rsidRDefault="00000000">
                        <w:r>
                          <w:rPr>
                            <w:rFonts w:ascii="Arial" w:eastAsia="Arial" w:hAnsi="Arial" w:cs="Arial"/>
                            <w:i/>
                            <w:sz w:val="18"/>
                          </w:rPr>
                          <w:t>-</w:t>
                        </w:r>
                      </w:p>
                    </w:txbxContent>
                  </v:textbox>
                </v:rect>
                <v:rect id="Rectangle 15539" o:spid="_x0000_s2056" style="position:absolute;left:-12222;top:9787;width:51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b1LxQAAAN4AAAAPAAAAZHJzL2Rvd25yZXYueG1sRE9Na8JA&#10;EL0X+h+WKXirGxWLja4iipiDl1oLPQ7ZMYlmZ5fsaqK/3i0UvM3jfc5s0ZlaXKnxlWUFg34Cgji3&#10;uuJCweF78z4B4QOyxtoyKbiRh8X89WWGqbYtf9F1HwoRQ9inqKAMwaVS+rwkg75vHXHkjrYxGCJs&#10;CqkbbGO4qeUwST6kwYpjQ4mOViXl5/3FKPhds8s2rcyP95XbnbJJvb0cfpTqvXXLKYhAXXiK/92Z&#10;jvPH49En/L0Tb5DzBwAAAP//AwBQSwECLQAUAAYACAAAACEA2+H2y+4AAACFAQAAEwAAAAAAAAAA&#10;AAAAAAAAAAAAW0NvbnRlbnRfVHlwZXNdLnhtbFBLAQItABQABgAIAAAAIQBa9CxbvwAAABUBAAAL&#10;AAAAAAAAAAAAAAAAAB8BAABfcmVscy8ucmVsc1BLAQItABQABgAIAAAAIQAcib1LxQAAAN4AAAAP&#10;AAAAAAAAAAAAAAAAAAcCAABkcnMvZG93bnJldi54bWxQSwUGAAAAAAMAAwC3AAAA+QIAAAAA&#10;" filled="f" stroked="f">
                  <v:textbox inset="0,0,0,0">
                    <w:txbxContent>
                      <w:p w14:paraId="20FCC045" w14:textId="77777777" w:rsidR="00B32EF2" w:rsidRDefault="00000000">
                        <w:r>
                          <w:rPr>
                            <w:rFonts w:ascii="Arial" w:eastAsia="Arial" w:hAnsi="Arial" w:cs="Arial"/>
                            <w:i/>
                            <w:sz w:val="18"/>
                          </w:rPr>
                          <w:t xml:space="preserve">ma 1, lettera l), numero 1), si applica la sanzione pari al 70 per cento del </w:t>
                        </w:r>
                      </w:p>
                    </w:txbxContent>
                  </v:textbox>
                </v:rect>
                <v:rect id="Rectangle 15540" o:spid="_x0000_s2057" style="position:absolute;left:14553;top:8554;width:242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WerxwAAAN4AAAAPAAAAZHJzL2Rvd25yZXYueG1sRI9Ba8JA&#10;EIXvQv/DMoXedFOpIqmrFIuYg5eqhR6H7Jikzc4u2dWk/fXOoeBthnnz3vuW68G16kpdbDwbeJ5k&#10;oIhLbxuuDJyO2/ECVEzIFlvPZOCXIqxXD6Ml5tb3/EHXQ6qUmHDM0UCdUsi1jmVNDuPEB2K5nX3n&#10;MMnaVdp22Iu5a/U0y+baYcOSUGOgTU3lz+HiDHy9cyi2vS7Pf5uw/y4W7e5y+jTm6XF4ewWVaEh3&#10;8f93YaX+bPYiAIIjM+jVDQAA//8DAFBLAQItABQABgAIAAAAIQDb4fbL7gAAAIUBAAATAAAAAAAA&#10;AAAAAAAAAAAAAABbQ29udGVudF9UeXBlc10ueG1sUEsBAi0AFAAGAAgAAAAhAFr0LFu/AAAAFQEA&#10;AAsAAAAAAAAAAAAAAAAAHwEAAF9yZWxzLy5yZWxzUEsBAi0AFAAGAAgAAAAhANW1Z6vHAAAA3gAA&#10;AA8AAAAAAAAAAAAAAAAABwIAAGRycy9kb3ducmV2LnhtbFBLBQYAAAAAAwADALcAAAD7AgAAAAA=&#10;" filled="f" stroked="f">
                  <v:textbox inset="0,0,0,0">
                    <w:txbxContent>
                      <w:p w14:paraId="235F0C6C" w14:textId="77777777" w:rsidR="00B32EF2" w:rsidRDefault="00000000">
                        <w:r>
                          <w:rPr>
                            <w:rFonts w:ascii="Arial" w:eastAsia="Arial" w:hAnsi="Arial" w:cs="Arial"/>
                            <w:i/>
                            <w:sz w:val="18"/>
                          </w:rPr>
                          <w:t>credito utilizzato in compensazione.</w:t>
                        </w:r>
                      </w:p>
                    </w:txbxContent>
                  </v:textbox>
                </v:rect>
                <v:rect id="Rectangle 200024" o:spid="_x0000_s2058" style="position:absolute;left:-11892;top:7320;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JsUxQAAAN8AAAAPAAAAZHJzL2Rvd25yZXYueG1sRI9Pi8Iw&#10;FMTvgt8hPGFvmiqLSNco4iLbw178B3t8NM+22ryEJtqun94IgsdhZn7DzJedqcWNGl9ZVjAeJSCI&#10;c6srLhQc9pvhDIQPyBpry6TgnzwsF/3eHFNtW97SbRcKESHsU1RQhuBSKX1ekkE/so44eifbGAxR&#10;NoXUDbYRbmo5SZKpNFhxXCjR0bqk/LK7GgV/3+yyTSvz033tfs/ZrP65Ho5KfQy61ReIQF14h1/t&#10;TCuIxGTyCc8/8QvIxQMAAP//AwBQSwECLQAUAAYACAAAACEA2+H2y+4AAACFAQAAEwAAAAAAAAAA&#10;AAAAAAAAAAAAW0NvbnRlbnRfVHlwZXNdLnhtbFBLAQItABQABgAIAAAAIQBa9CxbvwAAABUBAAAL&#10;AAAAAAAAAAAAAAAAAB8BAABfcmVscy8ucmVsc1BLAQItABQABgAIAAAAIQBr4JsUxQAAAN8AAAAP&#10;AAAAAAAAAAAAAAAAAAcCAABkcnMvZG93bnJldi54bWxQSwUGAAAAAAMAAwC3AAAA+QIAAAAA&#10;" filled="f" stroked="f">
                  <v:textbox inset="0,0,0,0">
                    <w:txbxContent>
                      <w:p w14:paraId="25BF85FF" w14:textId="77777777" w:rsidR="00B32EF2" w:rsidRDefault="00000000">
                        <w:r>
                          <w:rPr>
                            <w:rFonts w:ascii="Arial" w:eastAsia="Arial" w:hAnsi="Arial" w:cs="Arial"/>
                            <w:i/>
                            <w:sz w:val="18"/>
                          </w:rPr>
                          <w:t>. Nel caso di utilizzo di un credito inesistente ai sensi dell’articolo 73, com</w:t>
                        </w:r>
                      </w:p>
                    </w:txbxContent>
                  </v:textbox>
                </v:rect>
                <v:rect id="Rectangle 200023" o:spid="_x0000_s2059" style="position:absolute;left:25764;top:7320;width:500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QNgxQAAAN8AAAAPAAAAZHJzL2Rvd25yZXYueG1sRI9Pi8Iw&#10;FMTvgt8hPGFvmuqCSNco4iLbw178B3t8NM+22ryEJtqun94IgsdhZn7DzJedqcWNGl9ZVjAeJSCI&#10;c6srLhQc9pvhDIQPyBpry6TgnzwsF/3eHFNtW97SbRcKESHsU1RQhuBSKX1ekkE/so44eifbGAxR&#10;NoXUDbYRbmo5SZKpNFhxXCjR0bqk/LK7GgV/3+yyTSvz033tfs/ZrP65Ho5KfQy61ReIQF14h1/t&#10;TCuIxGTyCc8/8QvIxQMAAP//AwBQSwECLQAUAAYACAAAACEA2+H2y+4AAACFAQAAEwAAAAAAAAAA&#10;AAAAAAAAAAAAW0NvbnRlbnRfVHlwZXNdLnhtbFBLAQItABQABgAIAAAAIQBa9CxbvwAAABUBAAAL&#10;AAAAAAAAAAAAAAAAAB8BAABfcmVscy8ucmVsc1BLAQItABQABgAIAAAAIQDkCQNgxQAAAN8AAAAP&#10;AAAAAAAAAAAAAAAAAAcCAABkcnMvZG93bnJldi54bWxQSwUGAAAAAAMAAwC3AAAA+QIAAAAA&#10;" filled="f" stroked="f">
                  <v:textbox inset="0,0,0,0">
                    <w:txbxContent>
                      <w:p w14:paraId="50244A77" w14:textId="77777777" w:rsidR="00B32EF2" w:rsidRDefault="00000000">
                        <w:r>
                          <w:rPr>
                            <w:rFonts w:ascii="Arial" w:eastAsia="Arial" w:hAnsi="Arial" w:cs="Arial"/>
                            <w:i/>
                            <w:sz w:val="18"/>
                          </w:rPr>
                          <w:t>8</w:t>
                        </w:r>
                      </w:p>
                    </w:txbxContent>
                  </v:textbox>
                </v:rect>
                <v:rect id="Rectangle 15542" o:spid="_x0000_s2060" style="position:absolute;left:657;top:732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1xHxAAAAN4AAAAPAAAAZHJzL2Rvd25yZXYueG1sRE9Ni8Iw&#10;EL0L/ocwgjdNFV2kaxRRxB72sq4Lexyasa02k9BEW/31m4UFb/N4n7Ncd6YWd2p8ZVnBZJyAIM6t&#10;rrhQcPrajxYgfEDWWFsmBQ/ysF71e0tMtW35k+7HUIgYwj5FBWUILpXS5yUZ9GPriCN3to3BEGFT&#10;SN1gG8NNLadJ8iYNVhwbSnS0LSm/Hm9Gwc+OXbZvZX5+bt3HJVvUh9vpW6nhoNu8gwjUhZf4353p&#10;OH8+n03h7514g1z9AgAA//8DAFBLAQItABQABgAIAAAAIQDb4fbL7gAAAIUBAAATAAAAAAAAAAAA&#10;AAAAAAAAAABbQ29udGVudF9UeXBlc10ueG1sUEsBAi0AFAAGAAgAAAAhAFr0LFu/AAAAFQEAAAsA&#10;AAAAAAAAAAAAAAAAHwEAAF9yZWxzLy5yZWxzUEsBAi0AFAAGAAgAAAAhAEorXEfEAAAA3gAAAA8A&#10;AAAAAAAAAAAAAAAABwIAAGRycy9kb3ducmV2LnhtbFBLBQYAAAAAAwADALcAAAD4AgAAAAA=&#10;" filled="f" stroked="f">
                  <v:textbox inset="0,0,0,0">
                    <w:txbxContent>
                      <w:p w14:paraId="6ED3C248" w14:textId="77777777" w:rsidR="00B32EF2" w:rsidRDefault="00000000">
                        <w:r>
                          <w:rPr>
                            <w:rFonts w:ascii="Arial" w:eastAsia="Arial" w:hAnsi="Arial" w:cs="Arial"/>
                            <w:i/>
                            <w:sz w:val="18"/>
                          </w:rPr>
                          <w:t>-</w:t>
                        </w:r>
                      </w:p>
                    </w:txbxContent>
                  </v:textbox>
                </v:rect>
                <v:rect id="Rectangle 15543" o:spid="_x0000_s2061" style="position:absolute;left:-12187;top:6087;width:509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ncxQAAAN4AAAAPAAAAZHJzL2Rvd25yZXYueG1sRE9La8JA&#10;EL4L/odlBG+6aasi0VWKRcyhl/oAj0N2TGKzs0t2NbG/vlsoeJuP7znLdWdqcafGV5YVvIwTEMS5&#10;1RUXCo6H7WgOwgdkjbVlUvAgD+tVv7fEVNuWv+i+D4WIIexTVFCG4FIpfV6SQT+2jjhyF9sYDBE2&#10;hdQNtjHc1PI1SWbSYMWxoURHm5Ly7/3NKDh/sMu2rcwvPxv3ec3m9e52PCk1HHTvCxCBuvAU/7sz&#10;HedPp5M3+Hsn3iBXvwAAAP//AwBQSwECLQAUAAYACAAAACEA2+H2y+4AAACFAQAAEwAAAAAAAAAA&#10;AAAAAAAAAAAAW0NvbnRlbnRfVHlwZXNdLnhtbFBLAQItABQABgAIAAAAIQBa9CxbvwAAABUBAAAL&#10;AAAAAAAAAAAAAAAAAB8BAABfcmVscy8ucmVsc1BLAQItABQABgAIAAAAIQAlZ/ncxQAAAN4AAAAP&#10;AAAAAAAAAAAAAAAAAAcCAABkcnMvZG93bnJldi54bWxQSwUGAAAAAAMAAwC3AAAA+QIAAAAA&#10;" filled="f" stroked="f">
                  <v:textbox inset="0,0,0,0">
                    <w:txbxContent>
                      <w:p w14:paraId="0E6FC644" w14:textId="77777777" w:rsidR="00B32EF2" w:rsidRDefault="00000000">
                        <w:r>
                          <w:rPr>
                            <w:rFonts w:ascii="Arial" w:eastAsia="Arial" w:hAnsi="Arial" w:cs="Arial"/>
                            <w:i/>
                            <w:sz w:val="18"/>
                          </w:rPr>
                          <w:t xml:space="preserve">ma 1, lettera l), numero 2), la sanzione di cui al comma 7 è aumentata dalla </w:t>
                        </w:r>
                      </w:p>
                    </w:txbxContent>
                  </v:textbox>
                </v:rect>
                <v:shape id="Shape 15544" o:spid="_x0000_s2062" style="position:absolute;top:4731;width:39600;height:57833;visibility:visible;mso-wrap-style:square;v-text-anchor:top" coordsize="3960000,578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bZRxQAAAN4AAAAPAAAAZHJzL2Rvd25yZXYueG1sRE/basJA&#10;EH0v+A/LFPpS6sZbkdRVJEQQlIq29XnITrPB7GzIbk38+65Q6NscznUWq97W4kqtrxwrGA0TEMSF&#10;0xWXCj4/Ni9zED4ga6wdk4IbeVgtBw8LTLXr+EjXUyhFDGGfogITQpNK6QtDFv3QNcSR+3atxRBh&#10;W0rdYhfDbS3HSfIqLVYcGww2lBkqLqcfqyCbn817d97llwPnyX7ylWf751ypp8d+/QYiUB/+xX/u&#10;rY7zZ7PpFO7vxBvk8hcAAP//AwBQSwECLQAUAAYACAAAACEA2+H2y+4AAACFAQAAEwAAAAAAAAAA&#10;AAAAAAAAAAAAW0NvbnRlbnRfVHlwZXNdLnhtbFBLAQItABQABgAIAAAAIQBa9CxbvwAAABUBAAAL&#10;AAAAAAAAAAAAAAAAAB8BAABfcmVscy8ucmVsc1BLAQItABQABgAIAAAAIQAhcbZRxQAAAN4AAAAP&#10;AAAAAAAAAAAAAAAAAAcCAABkcnMvZG93bnJldi54bWxQSwUGAAAAAAMAAwC3AAAA+QIAAAAA&#10;" path="m,5783301r3960000,l3960000,,,,,5783301xe" filled="f" strokeweight="1pt">
                  <v:stroke miterlimit="1" joinstyle="miter"/>
                  <v:path arrowok="t" textboxrect="0,0,3960000,5783301"/>
                </v:shape>
                <w10:anchorlock/>
              </v:group>
            </w:pict>
          </mc:Fallback>
        </mc:AlternateContent>
      </w:r>
    </w:p>
    <w:p w14:paraId="37B5900D" w14:textId="77777777" w:rsidR="00B32EF2" w:rsidRDefault="00000000">
      <w:pPr>
        <w:spacing w:after="0"/>
        <w:ind w:left="-356" w:right="-306"/>
      </w:pPr>
      <w:r>
        <w:rPr>
          <w:noProof/>
        </w:rPr>
        <w:lastRenderedPageBreak/>
        <mc:AlternateContent>
          <mc:Choice Requires="wpg">
            <w:drawing>
              <wp:inline distT="0" distB="0" distL="0" distR="0" wp14:anchorId="48586810" wp14:editId="029D1059">
                <wp:extent cx="3991802" cy="6262854"/>
                <wp:effectExtent l="0" t="0" r="0" b="0"/>
                <wp:docPr id="200184" name="Group 200184"/>
                <wp:cNvGraphicFramePr/>
                <a:graphic xmlns:a="http://schemas.openxmlformats.org/drawingml/2006/main">
                  <a:graphicData uri="http://schemas.microsoft.com/office/word/2010/wordprocessingGroup">
                    <wpg:wgp>
                      <wpg:cNvGrpSpPr/>
                      <wpg:grpSpPr>
                        <a:xfrm>
                          <a:off x="0" y="0"/>
                          <a:ext cx="3991802" cy="6262854"/>
                          <a:chOff x="0" y="0"/>
                          <a:chExt cx="3991802" cy="6262854"/>
                        </a:xfrm>
                      </wpg:grpSpPr>
                      <wps:wsp>
                        <wps:cNvPr id="15619" name="Rectangle 15619"/>
                        <wps:cNvSpPr/>
                        <wps:spPr>
                          <a:xfrm rot="-10799999">
                            <a:off x="1900488" y="-62190"/>
                            <a:ext cx="178369" cy="250646"/>
                          </a:xfrm>
                          <a:prstGeom prst="rect">
                            <a:avLst/>
                          </a:prstGeom>
                          <a:ln>
                            <a:noFill/>
                          </a:ln>
                        </wps:spPr>
                        <wps:txbx>
                          <w:txbxContent>
                            <w:p w14:paraId="6CC864E8" w14:textId="77777777" w:rsidR="00B32EF2" w:rsidRDefault="00000000">
                              <w:r>
                                <w:rPr>
                                  <w:rFonts w:ascii="Times New Roman" w:eastAsia="Times New Roman" w:hAnsi="Times New Roman" w:cs="Times New Roman"/>
                                </w:rPr>
                                <w:t>90</w:t>
                              </w:r>
                            </w:p>
                          </w:txbxContent>
                        </wps:txbx>
                        <wps:bodyPr horzOverflow="overflow" vert="horz" lIns="0" tIns="0" rIns="0" bIns="0" rtlCol="0">
                          <a:noAutofit/>
                        </wps:bodyPr>
                      </wps:wsp>
                      <wps:wsp>
                        <wps:cNvPr id="15620" name="Rectangle 15620"/>
                        <wps:cNvSpPr/>
                        <wps:spPr>
                          <a:xfrm rot="-10799999">
                            <a:off x="-1317172" y="6119964"/>
                            <a:ext cx="5308975" cy="142890"/>
                          </a:xfrm>
                          <a:prstGeom prst="rect">
                            <a:avLst/>
                          </a:prstGeom>
                          <a:ln>
                            <a:noFill/>
                          </a:ln>
                        </wps:spPr>
                        <wps:txbx>
                          <w:txbxContent>
                            <w:p w14:paraId="084C2F5A" w14:textId="77777777" w:rsidR="00B32EF2" w:rsidRDefault="00000000">
                              <w:r>
                                <w:rPr>
                                  <w:rFonts w:ascii="Arial" w:eastAsia="Arial" w:hAnsi="Arial" w:cs="Arial"/>
                                  <w:sz w:val="18"/>
                                </w:rPr>
                                <w:t xml:space="preserve">prima rata deve essere effettuato entro venti giorni dalla data di sottoscrizione </w:t>
                              </w:r>
                            </w:p>
                          </w:txbxContent>
                        </wps:txbx>
                        <wps:bodyPr horzOverflow="overflow" vert="horz" lIns="0" tIns="0" rIns="0" bIns="0" rtlCol="0">
                          <a:noAutofit/>
                        </wps:bodyPr>
                      </wps:wsp>
                      <wps:wsp>
                        <wps:cNvPr id="15621" name="Rectangle 15621"/>
                        <wps:cNvSpPr/>
                        <wps:spPr>
                          <a:xfrm rot="-10799999">
                            <a:off x="-1229017" y="5996634"/>
                            <a:ext cx="5220820" cy="142891"/>
                          </a:xfrm>
                          <a:prstGeom prst="rect">
                            <a:avLst/>
                          </a:prstGeom>
                          <a:ln>
                            <a:noFill/>
                          </a:ln>
                        </wps:spPr>
                        <wps:txbx>
                          <w:txbxContent>
                            <w:p w14:paraId="29C4E5F6" w14:textId="77777777" w:rsidR="00B32EF2" w:rsidRDefault="00000000">
                              <w:r>
                                <w:rPr>
                                  <w:rFonts w:ascii="Arial" w:eastAsia="Arial" w:hAnsi="Arial" w:cs="Arial"/>
                                  <w:sz w:val="18"/>
                                </w:rPr>
                                <w:t>dell’accordo conciliativo di cui all’articolo 99 o di redazione del processo ver</w:t>
                              </w:r>
                            </w:p>
                          </w:txbxContent>
                        </wps:txbx>
                        <wps:bodyPr horzOverflow="overflow" vert="horz" lIns="0" tIns="0" rIns="0" bIns="0" rtlCol="0">
                          <a:noAutofit/>
                        </wps:bodyPr>
                      </wps:wsp>
                      <wps:wsp>
                        <wps:cNvPr id="15622" name="Rectangle 15622"/>
                        <wps:cNvSpPr/>
                        <wps:spPr>
                          <a:xfrm rot="-10799999">
                            <a:off x="19204" y="5996635"/>
                            <a:ext cx="50622" cy="142890"/>
                          </a:xfrm>
                          <a:prstGeom prst="rect">
                            <a:avLst/>
                          </a:prstGeom>
                          <a:ln>
                            <a:noFill/>
                          </a:ln>
                        </wps:spPr>
                        <wps:txbx>
                          <w:txbxContent>
                            <w:p w14:paraId="5D7BF30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623" name="Rectangle 15623"/>
                        <wps:cNvSpPr/>
                        <wps:spPr>
                          <a:xfrm rot="-10799999">
                            <a:off x="1773585" y="5873305"/>
                            <a:ext cx="2218216" cy="142889"/>
                          </a:xfrm>
                          <a:prstGeom prst="rect">
                            <a:avLst/>
                          </a:prstGeom>
                          <a:ln>
                            <a:noFill/>
                          </a:ln>
                        </wps:spPr>
                        <wps:txbx>
                          <w:txbxContent>
                            <w:p w14:paraId="256F24C8" w14:textId="77777777" w:rsidR="00B32EF2" w:rsidRDefault="00000000">
                              <w:r>
                                <w:rPr>
                                  <w:rFonts w:ascii="Arial" w:eastAsia="Arial" w:hAnsi="Arial" w:cs="Arial"/>
                                  <w:sz w:val="18"/>
                                </w:rPr>
                                <w:t>bale di cui agli articoli 100 e 101.</w:t>
                              </w:r>
                            </w:p>
                          </w:txbxContent>
                        </wps:txbx>
                        <wps:bodyPr horzOverflow="overflow" vert="horz" lIns="0" tIns="0" rIns="0" bIns="0" rtlCol="0">
                          <a:noAutofit/>
                        </wps:bodyPr>
                      </wps:wsp>
                      <wps:wsp>
                        <wps:cNvPr id="200101" name="Rectangle 200101"/>
                        <wps:cNvSpPr/>
                        <wps:spPr>
                          <a:xfrm rot="-10799999">
                            <a:off x="-1381771" y="5749976"/>
                            <a:ext cx="5309051" cy="142889"/>
                          </a:xfrm>
                          <a:prstGeom prst="rect">
                            <a:avLst/>
                          </a:prstGeom>
                          <a:ln>
                            <a:noFill/>
                          </a:ln>
                        </wps:spPr>
                        <wps:txbx>
                          <w:txbxContent>
                            <w:p w14:paraId="21DCB161" w14:textId="77777777" w:rsidR="00B32EF2" w:rsidRDefault="00000000">
                              <w:r>
                                <w:rPr>
                                  <w:rFonts w:ascii="Arial" w:eastAsia="Arial" w:hAnsi="Arial" w:cs="Arial"/>
                                  <w:sz w:val="18"/>
                                </w:rPr>
                                <w:t xml:space="preserve">. In caso di mancato pagamento delle somme dovute o di una delle rate, </w:t>
                              </w:r>
                            </w:p>
                          </w:txbxContent>
                        </wps:txbx>
                        <wps:bodyPr horzOverflow="overflow" vert="horz" lIns="0" tIns="0" rIns="0" bIns="0" rtlCol="0">
                          <a:noAutofit/>
                        </wps:bodyPr>
                      </wps:wsp>
                      <wps:wsp>
                        <wps:cNvPr id="200100" name="Rectangle 200100"/>
                        <wps:cNvSpPr/>
                        <wps:spPr>
                          <a:xfrm rot="-10799999">
                            <a:off x="2610969" y="5749976"/>
                            <a:ext cx="5309051" cy="142889"/>
                          </a:xfrm>
                          <a:prstGeom prst="rect">
                            <a:avLst/>
                          </a:prstGeom>
                          <a:ln>
                            <a:noFill/>
                          </a:ln>
                        </wps:spPr>
                        <wps:txbx>
                          <w:txbxContent>
                            <w:p w14:paraId="184CC514"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5625" name="Rectangle 15625"/>
                        <wps:cNvSpPr/>
                        <wps:spPr>
                          <a:xfrm rot="-10799999">
                            <a:off x="-1220352" y="5626646"/>
                            <a:ext cx="5212154" cy="142889"/>
                          </a:xfrm>
                          <a:prstGeom prst="rect">
                            <a:avLst/>
                          </a:prstGeom>
                          <a:ln>
                            <a:noFill/>
                          </a:ln>
                        </wps:spPr>
                        <wps:txbx>
                          <w:txbxContent>
                            <w:p w14:paraId="03734582" w14:textId="77777777" w:rsidR="00B32EF2" w:rsidRDefault="00000000">
                              <w:r>
                                <w:rPr>
                                  <w:rFonts w:ascii="Arial" w:eastAsia="Arial" w:hAnsi="Arial" w:cs="Arial"/>
                                  <w:sz w:val="18"/>
                                </w:rPr>
                                <w:t>compresa la prima, entro il termine di pagamento della rata successiva, il com</w:t>
                              </w:r>
                            </w:p>
                          </w:txbxContent>
                        </wps:txbx>
                        <wps:bodyPr horzOverflow="overflow" vert="horz" lIns="0" tIns="0" rIns="0" bIns="0" rtlCol="0">
                          <a:noAutofit/>
                        </wps:bodyPr>
                      </wps:wsp>
                      <wps:wsp>
                        <wps:cNvPr id="15626" name="Rectangle 15626"/>
                        <wps:cNvSpPr/>
                        <wps:spPr>
                          <a:xfrm rot="-10799999">
                            <a:off x="19204" y="5626646"/>
                            <a:ext cx="50622" cy="142889"/>
                          </a:xfrm>
                          <a:prstGeom prst="rect">
                            <a:avLst/>
                          </a:prstGeom>
                          <a:ln>
                            <a:noFill/>
                          </a:ln>
                        </wps:spPr>
                        <wps:txbx>
                          <w:txbxContent>
                            <w:p w14:paraId="04A64A8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627" name="Rectangle 15627"/>
                        <wps:cNvSpPr/>
                        <wps:spPr>
                          <a:xfrm rot="-10799999">
                            <a:off x="-1317203" y="5503316"/>
                            <a:ext cx="5309005" cy="142889"/>
                          </a:xfrm>
                          <a:prstGeom prst="rect">
                            <a:avLst/>
                          </a:prstGeom>
                          <a:ln>
                            <a:noFill/>
                          </a:ln>
                        </wps:spPr>
                        <wps:txbx>
                          <w:txbxContent>
                            <w:p w14:paraId="6CF5ED3F" w14:textId="77777777" w:rsidR="00B32EF2" w:rsidRDefault="00000000">
                              <w:r>
                                <w:rPr>
                                  <w:rFonts w:ascii="Arial" w:eastAsia="Arial" w:hAnsi="Arial" w:cs="Arial"/>
                                  <w:sz w:val="18"/>
                                </w:rPr>
                                <w:t xml:space="preserve">petente ufficio provvede all’iscrizione a ruolo o, nei casi di cui all’articolo 29 </w:t>
                              </w:r>
                            </w:p>
                          </w:txbxContent>
                        </wps:txbx>
                        <wps:bodyPr horzOverflow="overflow" vert="horz" lIns="0" tIns="0" rIns="0" bIns="0" rtlCol="0">
                          <a:noAutofit/>
                        </wps:bodyPr>
                      </wps:wsp>
                      <wps:wsp>
                        <wps:cNvPr id="15628" name="Rectangle 15628"/>
                        <wps:cNvSpPr/>
                        <wps:spPr>
                          <a:xfrm rot="-10799999">
                            <a:off x="-1317279" y="5379987"/>
                            <a:ext cx="5309082" cy="142889"/>
                          </a:xfrm>
                          <a:prstGeom prst="rect">
                            <a:avLst/>
                          </a:prstGeom>
                          <a:ln>
                            <a:noFill/>
                          </a:ln>
                        </wps:spPr>
                        <wps:txbx>
                          <w:txbxContent>
                            <w:p w14:paraId="34D9FF73" w14:textId="77777777" w:rsidR="00B32EF2" w:rsidRDefault="00000000">
                              <w:r>
                                <w:rPr>
                                  <w:rFonts w:ascii="Arial" w:eastAsia="Arial" w:hAnsi="Arial" w:cs="Arial"/>
                                  <w:sz w:val="18"/>
                                </w:rPr>
                                <w:t xml:space="preserve">del decreto-legge 31 maggio 2010, n. 78, convertito, con modificazioni, dalla </w:t>
                              </w:r>
                            </w:p>
                          </w:txbxContent>
                        </wps:txbx>
                        <wps:bodyPr horzOverflow="overflow" vert="horz" lIns="0" tIns="0" rIns="0" bIns="0" rtlCol="0">
                          <a:noAutofit/>
                        </wps:bodyPr>
                      </wps:wsp>
                      <wps:wsp>
                        <wps:cNvPr id="15629" name="Rectangle 15629"/>
                        <wps:cNvSpPr/>
                        <wps:spPr>
                          <a:xfrm rot="-10799999">
                            <a:off x="-1317233" y="5256657"/>
                            <a:ext cx="5309035" cy="142889"/>
                          </a:xfrm>
                          <a:prstGeom prst="rect">
                            <a:avLst/>
                          </a:prstGeom>
                          <a:ln>
                            <a:noFill/>
                          </a:ln>
                        </wps:spPr>
                        <wps:txbx>
                          <w:txbxContent>
                            <w:p w14:paraId="1EE6E833" w14:textId="77777777" w:rsidR="00B32EF2" w:rsidRDefault="00000000">
                              <w:r>
                                <w:rPr>
                                  <w:rFonts w:ascii="Arial" w:eastAsia="Arial" w:hAnsi="Arial" w:cs="Arial"/>
                                  <w:sz w:val="18"/>
                                </w:rPr>
                                <w:t xml:space="preserve">legge 30 luglio 2010, n. 122, all’intimazione ad adempiere al pagamento delle </w:t>
                              </w:r>
                            </w:p>
                          </w:txbxContent>
                        </wps:txbx>
                        <wps:bodyPr horzOverflow="overflow" vert="horz" lIns="0" tIns="0" rIns="0" bIns="0" rtlCol="0">
                          <a:noAutofit/>
                        </wps:bodyPr>
                      </wps:wsp>
                      <wps:wsp>
                        <wps:cNvPr id="15630" name="Rectangle 15630"/>
                        <wps:cNvSpPr/>
                        <wps:spPr>
                          <a:xfrm rot="-10799999">
                            <a:off x="-1317233" y="5133327"/>
                            <a:ext cx="5309035" cy="142889"/>
                          </a:xfrm>
                          <a:prstGeom prst="rect">
                            <a:avLst/>
                          </a:prstGeom>
                          <a:ln>
                            <a:noFill/>
                          </a:ln>
                        </wps:spPr>
                        <wps:txbx>
                          <w:txbxContent>
                            <w:p w14:paraId="4EBB4E01" w14:textId="77777777" w:rsidR="00B32EF2" w:rsidRDefault="00000000">
                              <w:r>
                                <w:rPr>
                                  <w:rFonts w:ascii="Arial" w:eastAsia="Arial" w:hAnsi="Arial" w:cs="Arial"/>
                                  <w:sz w:val="18"/>
                                </w:rPr>
                                <w:t xml:space="preserve">residue somme dovute a titolo di imposta, interessi e sanzioni, nonché della </w:t>
                              </w:r>
                            </w:p>
                          </w:txbxContent>
                        </wps:txbx>
                        <wps:bodyPr horzOverflow="overflow" vert="horz" lIns="0" tIns="0" rIns="0" bIns="0" rtlCol="0">
                          <a:noAutofit/>
                        </wps:bodyPr>
                      </wps:wsp>
                      <wps:wsp>
                        <wps:cNvPr id="15631" name="Rectangle 15631"/>
                        <wps:cNvSpPr/>
                        <wps:spPr>
                          <a:xfrm rot="-10799999">
                            <a:off x="-1220534" y="5009998"/>
                            <a:ext cx="5212337" cy="142889"/>
                          </a:xfrm>
                          <a:prstGeom prst="rect">
                            <a:avLst/>
                          </a:prstGeom>
                          <a:ln>
                            <a:noFill/>
                          </a:ln>
                        </wps:spPr>
                        <wps:txbx>
                          <w:txbxContent>
                            <w:p w14:paraId="28E3F585" w14:textId="77777777" w:rsidR="00B32EF2" w:rsidRDefault="00000000">
                              <w:r>
                                <w:rPr>
                                  <w:rFonts w:ascii="Arial" w:eastAsia="Arial" w:hAnsi="Arial" w:cs="Arial"/>
                                  <w:sz w:val="18"/>
                                </w:rPr>
                                <w:t>sanzione di cui all’articolo 38 del testo unico delle sanzioni tributarie ammini</w:t>
                              </w:r>
                            </w:p>
                          </w:txbxContent>
                        </wps:txbx>
                        <wps:bodyPr horzOverflow="overflow" vert="horz" lIns="0" tIns="0" rIns="0" bIns="0" rtlCol="0">
                          <a:noAutofit/>
                        </wps:bodyPr>
                      </wps:wsp>
                      <wps:wsp>
                        <wps:cNvPr id="15632" name="Rectangle 15632"/>
                        <wps:cNvSpPr/>
                        <wps:spPr>
                          <a:xfrm rot="-10799999">
                            <a:off x="19204" y="5009997"/>
                            <a:ext cx="50622" cy="142889"/>
                          </a:xfrm>
                          <a:prstGeom prst="rect">
                            <a:avLst/>
                          </a:prstGeom>
                          <a:ln>
                            <a:noFill/>
                          </a:ln>
                        </wps:spPr>
                        <wps:txbx>
                          <w:txbxContent>
                            <w:p w14:paraId="045FD98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633" name="Rectangle 15633"/>
                        <wps:cNvSpPr/>
                        <wps:spPr>
                          <a:xfrm rot="-10799999">
                            <a:off x="-1317294" y="4886668"/>
                            <a:ext cx="5309097" cy="142889"/>
                          </a:xfrm>
                          <a:prstGeom prst="rect">
                            <a:avLst/>
                          </a:prstGeom>
                          <a:ln>
                            <a:noFill/>
                          </a:ln>
                        </wps:spPr>
                        <wps:txbx>
                          <w:txbxContent>
                            <w:p w14:paraId="779320ED" w14:textId="77777777" w:rsidR="00B32EF2" w:rsidRDefault="00000000">
                              <w:r>
                                <w:rPr>
                                  <w:rFonts w:ascii="Arial" w:eastAsia="Arial" w:hAnsi="Arial" w:cs="Arial"/>
                                  <w:sz w:val="18"/>
                                </w:rPr>
                                <w:t xml:space="preserve">strative e penali, aumentata della metà e applicata sul residuo importo dovuto </w:t>
                              </w:r>
                            </w:p>
                          </w:txbxContent>
                        </wps:txbx>
                        <wps:bodyPr horzOverflow="overflow" vert="horz" lIns="0" tIns="0" rIns="0" bIns="0" rtlCol="0">
                          <a:noAutofit/>
                        </wps:bodyPr>
                      </wps:wsp>
                      <wps:wsp>
                        <wps:cNvPr id="15634" name="Rectangle 15634"/>
                        <wps:cNvSpPr/>
                        <wps:spPr>
                          <a:xfrm rot="-10799999">
                            <a:off x="2710556" y="4763338"/>
                            <a:ext cx="1281246" cy="142889"/>
                          </a:xfrm>
                          <a:prstGeom prst="rect">
                            <a:avLst/>
                          </a:prstGeom>
                          <a:ln>
                            <a:noFill/>
                          </a:ln>
                        </wps:spPr>
                        <wps:txbx>
                          <w:txbxContent>
                            <w:p w14:paraId="10F2EA08" w14:textId="77777777" w:rsidR="00B32EF2" w:rsidRDefault="00000000">
                              <w:r>
                                <w:rPr>
                                  <w:rFonts w:ascii="Arial" w:eastAsia="Arial" w:hAnsi="Arial" w:cs="Arial"/>
                                  <w:sz w:val="18"/>
                                </w:rPr>
                                <w:t xml:space="preserve">a titolo di imposta. </w:t>
                              </w:r>
                            </w:p>
                          </w:txbxContent>
                        </wps:txbx>
                        <wps:bodyPr horzOverflow="overflow" vert="horz" lIns="0" tIns="0" rIns="0" bIns="0" rtlCol="0">
                          <a:noAutofit/>
                        </wps:bodyPr>
                      </wps:wsp>
                      <wps:wsp>
                        <wps:cNvPr id="200099" name="Rectangle 200099"/>
                        <wps:cNvSpPr/>
                        <wps:spPr>
                          <a:xfrm rot="-10799999">
                            <a:off x="-1283460" y="4640009"/>
                            <a:ext cx="5212124" cy="142889"/>
                          </a:xfrm>
                          <a:prstGeom prst="rect">
                            <a:avLst/>
                          </a:prstGeom>
                          <a:ln>
                            <a:noFill/>
                          </a:ln>
                        </wps:spPr>
                        <wps:txbx>
                          <w:txbxContent>
                            <w:p w14:paraId="3D544BEB" w14:textId="77777777" w:rsidR="00B32EF2" w:rsidRDefault="00000000">
                              <w:r>
                                <w:rPr>
                                  <w:rFonts w:ascii="Arial" w:eastAsia="Arial" w:hAnsi="Arial" w:cs="Arial"/>
                                  <w:sz w:val="18"/>
                                </w:rPr>
                                <w:t>. Per il versamento rateale delle somme dovute si applicano, in quanto com</w:t>
                              </w:r>
                            </w:p>
                          </w:txbxContent>
                        </wps:txbx>
                        <wps:bodyPr horzOverflow="overflow" vert="horz" lIns="0" tIns="0" rIns="0" bIns="0" rtlCol="0">
                          <a:noAutofit/>
                        </wps:bodyPr>
                      </wps:wsp>
                      <wps:wsp>
                        <wps:cNvPr id="200098" name="Rectangle 200098"/>
                        <wps:cNvSpPr/>
                        <wps:spPr>
                          <a:xfrm rot="-10799999">
                            <a:off x="2635018" y="4640009"/>
                            <a:ext cx="5212124" cy="142889"/>
                          </a:xfrm>
                          <a:prstGeom prst="rect">
                            <a:avLst/>
                          </a:prstGeom>
                          <a:ln>
                            <a:noFill/>
                          </a:ln>
                        </wps:spPr>
                        <wps:txbx>
                          <w:txbxContent>
                            <w:p w14:paraId="7357738A"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5636" name="Rectangle 15636"/>
                        <wps:cNvSpPr/>
                        <wps:spPr>
                          <a:xfrm rot="-10799999">
                            <a:off x="19204" y="4640008"/>
                            <a:ext cx="50622" cy="142889"/>
                          </a:xfrm>
                          <a:prstGeom prst="rect">
                            <a:avLst/>
                          </a:prstGeom>
                          <a:ln>
                            <a:noFill/>
                          </a:ln>
                        </wps:spPr>
                        <wps:txbx>
                          <w:txbxContent>
                            <w:p w14:paraId="618C63A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637" name="Rectangle 15637"/>
                        <wps:cNvSpPr/>
                        <wps:spPr>
                          <a:xfrm rot="-10799999">
                            <a:off x="-1317294" y="4516679"/>
                            <a:ext cx="5309097" cy="142889"/>
                          </a:xfrm>
                          <a:prstGeom prst="rect">
                            <a:avLst/>
                          </a:prstGeom>
                          <a:ln>
                            <a:noFill/>
                          </a:ln>
                        </wps:spPr>
                        <wps:txbx>
                          <w:txbxContent>
                            <w:p w14:paraId="22D784A5" w14:textId="77777777" w:rsidR="00B32EF2" w:rsidRDefault="00000000">
                              <w:r>
                                <w:rPr>
                                  <w:rFonts w:ascii="Arial" w:eastAsia="Arial" w:hAnsi="Arial" w:cs="Arial"/>
                                  <w:sz w:val="18"/>
                                </w:rPr>
                                <w:t xml:space="preserve">patibili, le disposizioni previste per l’accertamento con adesione dall’articolo 8 </w:t>
                              </w:r>
                            </w:p>
                          </w:txbxContent>
                        </wps:txbx>
                        <wps:bodyPr horzOverflow="overflow" vert="horz" lIns="0" tIns="0" rIns="0" bIns="0" rtlCol="0">
                          <a:noAutofit/>
                        </wps:bodyPr>
                      </wps:wsp>
                      <wps:wsp>
                        <wps:cNvPr id="15638" name="Rectangle 15638"/>
                        <wps:cNvSpPr/>
                        <wps:spPr>
                          <a:xfrm rot="-10799999">
                            <a:off x="895783" y="4393349"/>
                            <a:ext cx="3096019" cy="142889"/>
                          </a:xfrm>
                          <a:prstGeom prst="rect">
                            <a:avLst/>
                          </a:prstGeom>
                          <a:ln>
                            <a:noFill/>
                          </a:ln>
                        </wps:spPr>
                        <wps:txbx>
                          <w:txbxContent>
                            <w:p w14:paraId="7A9C4B62" w14:textId="77777777" w:rsidR="00B32EF2" w:rsidRDefault="00000000">
                              <w:r>
                                <w:rPr>
                                  <w:rFonts w:ascii="Arial" w:eastAsia="Arial" w:hAnsi="Arial" w:cs="Arial"/>
                                  <w:sz w:val="18"/>
                                </w:rPr>
                                <w:t>del decreto legislativo 19 giugno 1997, n. 218.</w:t>
                              </w:r>
                            </w:p>
                          </w:txbxContent>
                        </wps:txbx>
                        <wps:bodyPr horzOverflow="overflow" vert="horz" lIns="0" tIns="0" rIns="0" bIns="0" rtlCol="0">
                          <a:noAutofit/>
                        </wps:bodyPr>
                      </wps:wsp>
                      <wps:wsp>
                        <wps:cNvPr id="207782" name="Shape 207782"/>
                        <wps:cNvSpPr/>
                        <wps:spPr>
                          <a:xfrm>
                            <a:off x="31802" y="473194"/>
                            <a:ext cx="3960000" cy="3839299"/>
                          </a:xfrm>
                          <a:custGeom>
                            <a:avLst/>
                            <a:gdLst/>
                            <a:ahLst/>
                            <a:cxnLst/>
                            <a:rect l="0" t="0" r="0" b="0"/>
                            <a:pathLst>
                              <a:path w="3960000" h="3839299">
                                <a:moveTo>
                                  <a:pt x="0" y="0"/>
                                </a:moveTo>
                                <a:lnTo>
                                  <a:pt x="3960000" y="0"/>
                                </a:lnTo>
                                <a:lnTo>
                                  <a:pt x="3960000" y="3839299"/>
                                </a:lnTo>
                                <a:lnTo>
                                  <a:pt x="0" y="3839299"/>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5640" name="Rectangle 15640"/>
                        <wps:cNvSpPr/>
                        <wps:spPr>
                          <a:xfrm rot="-10799999">
                            <a:off x="2328786" y="4091263"/>
                            <a:ext cx="1585695" cy="142889"/>
                          </a:xfrm>
                          <a:prstGeom prst="rect">
                            <a:avLst/>
                          </a:prstGeom>
                          <a:ln>
                            <a:noFill/>
                          </a:ln>
                        </wps:spPr>
                        <wps:txbx>
                          <w:txbxContent>
                            <w:p w14:paraId="2CA92DD4"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5641" name="Rectangle 15641"/>
                        <wps:cNvSpPr/>
                        <wps:spPr>
                          <a:xfrm rot="-10799999">
                            <a:off x="-1114895" y="3967934"/>
                            <a:ext cx="5028348" cy="142889"/>
                          </a:xfrm>
                          <a:prstGeom prst="rect">
                            <a:avLst/>
                          </a:prstGeom>
                          <a:ln>
                            <a:noFill/>
                          </a:ln>
                        </wps:spPr>
                        <wps:txbx>
                          <w:txbxContent>
                            <w:p w14:paraId="1F35B429" w14:textId="77777777" w:rsidR="00B32EF2" w:rsidRDefault="00000000">
                              <w:r>
                                <w:rPr>
                                  <w:rFonts w:ascii="Arial" w:eastAsia="Arial" w:hAnsi="Arial" w:cs="Arial"/>
                                  <w:i/>
                                  <w:sz w:val="18"/>
                                </w:rPr>
                                <w:t>art. 29 D.L. 78/2010 “Concentrazione della riscossione nell’accertamento”</w:t>
                              </w:r>
                            </w:p>
                          </w:txbxContent>
                        </wps:txbx>
                        <wps:bodyPr horzOverflow="overflow" vert="horz" lIns="0" tIns="0" rIns="0" bIns="0" rtlCol="0">
                          <a:noAutofit/>
                        </wps:bodyPr>
                      </wps:wsp>
                      <wps:wsp>
                        <wps:cNvPr id="200095" name="Rectangle 200095"/>
                        <wps:cNvSpPr/>
                        <wps:spPr>
                          <a:xfrm rot="-10799999">
                            <a:off x="-1246351" y="3844604"/>
                            <a:ext cx="5098687" cy="142889"/>
                          </a:xfrm>
                          <a:prstGeom prst="rect">
                            <a:avLst/>
                          </a:prstGeom>
                          <a:ln>
                            <a:noFill/>
                          </a:ln>
                        </wps:spPr>
                        <wps:txbx>
                          <w:txbxContent>
                            <w:p w14:paraId="34956632" w14:textId="77777777" w:rsidR="00B32EF2" w:rsidRDefault="00000000">
                              <w:r>
                                <w:rPr>
                                  <w:rFonts w:ascii="Arial" w:eastAsia="Arial" w:hAnsi="Arial" w:cs="Arial"/>
                                  <w:i/>
                                  <w:sz w:val="18"/>
                                </w:rPr>
                                <w:t xml:space="preserve">. Le attività di riscossione relative agli atti indicati nella seguente lettera a) </w:t>
                              </w:r>
                            </w:p>
                          </w:txbxContent>
                        </wps:txbx>
                        <wps:bodyPr horzOverflow="overflow" vert="horz" lIns="0" tIns="0" rIns="0" bIns="0" rtlCol="0">
                          <a:noAutofit/>
                        </wps:bodyPr>
                      </wps:wsp>
                      <wps:wsp>
                        <wps:cNvPr id="200094" name="Rectangle 200094"/>
                        <wps:cNvSpPr/>
                        <wps:spPr>
                          <a:xfrm rot="-10799999">
                            <a:off x="2584814" y="3844604"/>
                            <a:ext cx="5098687" cy="142889"/>
                          </a:xfrm>
                          <a:prstGeom prst="rect">
                            <a:avLst/>
                          </a:prstGeom>
                          <a:ln>
                            <a:noFill/>
                          </a:ln>
                        </wps:spPr>
                        <wps:txbx>
                          <w:txbxContent>
                            <w:p w14:paraId="24FC92F8"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15643" name="Rectangle 15643"/>
                        <wps:cNvSpPr/>
                        <wps:spPr>
                          <a:xfrm rot="-10799999">
                            <a:off x="-1189048" y="3721274"/>
                            <a:ext cx="5109359" cy="142889"/>
                          </a:xfrm>
                          <a:prstGeom prst="rect">
                            <a:avLst/>
                          </a:prstGeom>
                          <a:ln>
                            <a:noFill/>
                          </a:ln>
                        </wps:spPr>
                        <wps:txbx>
                          <w:txbxContent>
                            <w:p w14:paraId="5759AD58" w14:textId="77777777" w:rsidR="00B32EF2" w:rsidRDefault="00000000">
                              <w:r>
                                <w:rPr>
                                  <w:rFonts w:ascii="Arial" w:eastAsia="Arial" w:hAnsi="Arial" w:cs="Arial"/>
                                  <w:i/>
                                  <w:sz w:val="18"/>
                                </w:rPr>
                                <w:t xml:space="preserve">emessi a partire dal 1 ottobre 2011 e relativi ai periodi d’imposta in corso </w:t>
                              </w:r>
                            </w:p>
                          </w:txbxContent>
                        </wps:txbx>
                        <wps:bodyPr horzOverflow="overflow" vert="horz" lIns="0" tIns="0" rIns="0" bIns="0" rtlCol="0">
                          <a:noAutofit/>
                        </wps:bodyPr>
                      </wps:wsp>
                      <wps:wsp>
                        <wps:cNvPr id="15644" name="Rectangle 15644"/>
                        <wps:cNvSpPr/>
                        <wps:spPr>
                          <a:xfrm rot="-10799999">
                            <a:off x="-1188807" y="3597944"/>
                            <a:ext cx="5108203" cy="142889"/>
                          </a:xfrm>
                          <a:prstGeom prst="rect">
                            <a:avLst/>
                          </a:prstGeom>
                          <a:ln>
                            <a:noFill/>
                          </a:ln>
                        </wps:spPr>
                        <wps:txbx>
                          <w:txbxContent>
                            <w:p w14:paraId="2D04FD4A" w14:textId="77777777" w:rsidR="00B32EF2" w:rsidRDefault="00000000">
                              <w:r>
                                <w:rPr>
                                  <w:rFonts w:ascii="Arial" w:eastAsia="Arial" w:hAnsi="Arial" w:cs="Arial"/>
                                  <w:i/>
                                  <w:sz w:val="18"/>
                                </w:rPr>
                                <w:t xml:space="preserve">alla data del 31 dicembre 2007 e successivi, sono potenziate mediante le </w:t>
                              </w:r>
                            </w:p>
                          </w:txbxContent>
                        </wps:txbx>
                        <wps:bodyPr horzOverflow="overflow" vert="horz" lIns="0" tIns="0" rIns="0" bIns="0" rtlCol="0">
                          <a:noAutofit/>
                        </wps:bodyPr>
                      </wps:wsp>
                      <wps:wsp>
                        <wps:cNvPr id="15645" name="Rectangle 15645"/>
                        <wps:cNvSpPr/>
                        <wps:spPr>
                          <a:xfrm rot="-10799999">
                            <a:off x="2453782" y="3474615"/>
                            <a:ext cx="1460356" cy="142889"/>
                          </a:xfrm>
                          <a:prstGeom prst="rect">
                            <a:avLst/>
                          </a:prstGeom>
                          <a:ln>
                            <a:noFill/>
                          </a:ln>
                        </wps:spPr>
                        <wps:txbx>
                          <w:txbxContent>
                            <w:p w14:paraId="47294E2D" w14:textId="77777777" w:rsidR="00B32EF2" w:rsidRDefault="00000000">
                              <w:r>
                                <w:rPr>
                                  <w:rFonts w:ascii="Arial" w:eastAsia="Arial" w:hAnsi="Arial" w:cs="Arial"/>
                                  <w:i/>
                                  <w:sz w:val="18"/>
                                </w:rPr>
                                <w:t>seguenti disposizioni:</w:t>
                              </w:r>
                            </w:p>
                          </w:txbxContent>
                        </wps:txbx>
                        <wps:bodyPr horzOverflow="overflow" vert="horz" lIns="0" tIns="0" rIns="0" bIns="0" rtlCol="0">
                          <a:noAutofit/>
                        </wps:bodyPr>
                      </wps:wsp>
                      <wps:wsp>
                        <wps:cNvPr id="15646" name="Rectangle 15646"/>
                        <wps:cNvSpPr/>
                        <wps:spPr>
                          <a:xfrm rot="-10799999">
                            <a:off x="-1187256" y="3351285"/>
                            <a:ext cx="5100709" cy="142889"/>
                          </a:xfrm>
                          <a:prstGeom prst="rect">
                            <a:avLst/>
                          </a:prstGeom>
                          <a:ln>
                            <a:noFill/>
                          </a:ln>
                        </wps:spPr>
                        <wps:txbx>
                          <w:txbxContent>
                            <w:p w14:paraId="6C55DB9F" w14:textId="77777777" w:rsidR="00B32EF2" w:rsidRDefault="00000000">
                              <w:r>
                                <w:rPr>
                                  <w:rFonts w:ascii="Arial" w:eastAsia="Arial" w:hAnsi="Arial" w:cs="Arial"/>
                                  <w:i/>
                                  <w:sz w:val="18"/>
                                </w:rPr>
                                <w:t xml:space="preserve">a) l’avviso di accertamento emesso dall’Agenzia delle Entrate ai fini delle </w:t>
                              </w:r>
                            </w:p>
                          </w:txbxContent>
                        </wps:txbx>
                        <wps:bodyPr horzOverflow="overflow" vert="horz" lIns="0" tIns="0" rIns="0" bIns="0" rtlCol="0">
                          <a:noAutofit/>
                        </wps:bodyPr>
                      </wps:wsp>
                      <wps:wsp>
                        <wps:cNvPr id="15647" name="Rectangle 15647"/>
                        <wps:cNvSpPr/>
                        <wps:spPr>
                          <a:xfrm rot="-10799999">
                            <a:off x="-1090360" y="3227955"/>
                            <a:ext cx="5003812" cy="142889"/>
                          </a:xfrm>
                          <a:prstGeom prst="rect">
                            <a:avLst/>
                          </a:prstGeom>
                          <a:ln>
                            <a:noFill/>
                          </a:ln>
                        </wps:spPr>
                        <wps:txbx>
                          <w:txbxContent>
                            <w:p w14:paraId="4316D0D8" w14:textId="77777777" w:rsidR="00B32EF2" w:rsidRDefault="00000000">
                              <w:r>
                                <w:rPr>
                                  <w:rFonts w:ascii="Arial" w:eastAsia="Arial" w:hAnsi="Arial" w:cs="Arial"/>
                                  <w:i/>
                                  <w:sz w:val="18"/>
                                </w:rPr>
                                <w:t>imposte sui redditi, dell’imposta regionale sulle attività produttive e dell’im</w:t>
                              </w:r>
                            </w:p>
                          </w:txbxContent>
                        </wps:txbx>
                        <wps:bodyPr horzOverflow="overflow" vert="horz" lIns="0" tIns="0" rIns="0" bIns="0" rtlCol="0">
                          <a:noAutofit/>
                        </wps:bodyPr>
                      </wps:wsp>
                      <wps:wsp>
                        <wps:cNvPr id="15648" name="Rectangle 15648"/>
                        <wps:cNvSpPr/>
                        <wps:spPr>
                          <a:xfrm rot="-10799999">
                            <a:off x="97558" y="3227956"/>
                            <a:ext cx="50622" cy="142889"/>
                          </a:xfrm>
                          <a:prstGeom prst="rect">
                            <a:avLst/>
                          </a:prstGeom>
                          <a:ln>
                            <a:noFill/>
                          </a:ln>
                        </wps:spPr>
                        <wps:txbx>
                          <w:txbxContent>
                            <w:p w14:paraId="64A5B80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649" name="Rectangle 15649"/>
                        <wps:cNvSpPr/>
                        <wps:spPr>
                          <a:xfrm rot="-10799999">
                            <a:off x="-1090709" y="3104626"/>
                            <a:ext cx="5004162" cy="142889"/>
                          </a:xfrm>
                          <a:prstGeom prst="rect">
                            <a:avLst/>
                          </a:prstGeom>
                          <a:ln>
                            <a:noFill/>
                          </a:ln>
                        </wps:spPr>
                        <wps:txbx>
                          <w:txbxContent>
                            <w:p w14:paraId="7FE3612D" w14:textId="77777777" w:rsidR="00B32EF2" w:rsidRDefault="00000000">
                              <w:r>
                                <w:rPr>
                                  <w:rFonts w:ascii="Arial" w:eastAsia="Arial" w:hAnsi="Arial" w:cs="Arial"/>
                                  <w:i/>
                                  <w:sz w:val="18"/>
                                </w:rPr>
                                <w:t>posta sul valore aggiunto ed il connesso provvedimento di irrogazione del</w:t>
                              </w:r>
                            </w:p>
                          </w:txbxContent>
                        </wps:txbx>
                        <wps:bodyPr horzOverflow="overflow" vert="horz" lIns="0" tIns="0" rIns="0" bIns="0" rtlCol="0">
                          <a:noAutofit/>
                        </wps:bodyPr>
                      </wps:wsp>
                      <wps:wsp>
                        <wps:cNvPr id="15650" name="Rectangle 15650"/>
                        <wps:cNvSpPr/>
                        <wps:spPr>
                          <a:xfrm rot="-10799999">
                            <a:off x="97558" y="3104626"/>
                            <a:ext cx="50622" cy="142889"/>
                          </a:xfrm>
                          <a:prstGeom prst="rect">
                            <a:avLst/>
                          </a:prstGeom>
                          <a:ln>
                            <a:noFill/>
                          </a:ln>
                        </wps:spPr>
                        <wps:txbx>
                          <w:txbxContent>
                            <w:p w14:paraId="06EDFEA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651" name="Rectangle 15651"/>
                        <wps:cNvSpPr/>
                        <wps:spPr>
                          <a:xfrm rot="-10799999">
                            <a:off x="-1191497" y="2981296"/>
                            <a:ext cx="5117294" cy="142889"/>
                          </a:xfrm>
                          <a:prstGeom prst="rect">
                            <a:avLst/>
                          </a:prstGeom>
                          <a:ln>
                            <a:noFill/>
                          </a:ln>
                        </wps:spPr>
                        <wps:txbx>
                          <w:txbxContent>
                            <w:p w14:paraId="4BC2226C" w14:textId="77777777" w:rsidR="00B32EF2" w:rsidRDefault="00000000">
                              <w:r>
                                <w:rPr>
                                  <w:rFonts w:ascii="Arial" w:eastAsia="Arial" w:hAnsi="Arial" w:cs="Arial"/>
                                  <w:i/>
                                  <w:sz w:val="18"/>
                                </w:rPr>
                                <w:t xml:space="preserve">le sanzioni, devono contenere anche l’intimazione ad adempiere, entro il </w:t>
                              </w:r>
                            </w:p>
                          </w:txbxContent>
                        </wps:txbx>
                        <wps:bodyPr horzOverflow="overflow" vert="horz" lIns="0" tIns="0" rIns="0" bIns="0" rtlCol="0">
                          <a:noAutofit/>
                        </wps:bodyPr>
                      </wps:wsp>
                      <wps:wsp>
                        <wps:cNvPr id="15652" name="Rectangle 15652"/>
                        <wps:cNvSpPr/>
                        <wps:spPr>
                          <a:xfrm rot="-10799999">
                            <a:off x="-1186550" y="2857966"/>
                            <a:ext cx="5099660" cy="142889"/>
                          </a:xfrm>
                          <a:prstGeom prst="rect">
                            <a:avLst/>
                          </a:prstGeom>
                          <a:ln>
                            <a:noFill/>
                          </a:ln>
                        </wps:spPr>
                        <wps:txbx>
                          <w:txbxContent>
                            <w:p w14:paraId="726CCB12" w14:textId="77777777" w:rsidR="00B32EF2" w:rsidRDefault="00000000">
                              <w:r>
                                <w:rPr>
                                  <w:rFonts w:ascii="Arial" w:eastAsia="Arial" w:hAnsi="Arial" w:cs="Arial"/>
                                  <w:i/>
                                  <w:sz w:val="18"/>
                                </w:rPr>
                                <w:t xml:space="preserve">termine di presentazione del ricorso, all’obbligo di pagamento degli importi </w:t>
                              </w:r>
                            </w:p>
                          </w:txbxContent>
                        </wps:txbx>
                        <wps:bodyPr horzOverflow="overflow" vert="horz" lIns="0" tIns="0" rIns="0" bIns="0" rtlCol="0">
                          <a:noAutofit/>
                        </wps:bodyPr>
                      </wps:wsp>
                      <wps:wsp>
                        <wps:cNvPr id="15653" name="Rectangle 15653"/>
                        <wps:cNvSpPr/>
                        <wps:spPr>
                          <a:xfrm rot="-10799999">
                            <a:off x="-1188488" y="2734637"/>
                            <a:ext cx="5104798" cy="142889"/>
                          </a:xfrm>
                          <a:prstGeom prst="rect">
                            <a:avLst/>
                          </a:prstGeom>
                          <a:ln>
                            <a:noFill/>
                          </a:ln>
                        </wps:spPr>
                        <wps:txbx>
                          <w:txbxContent>
                            <w:p w14:paraId="5E888653" w14:textId="77777777" w:rsidR="00B32EF2" w:rsidRDefault="00000000">
                              <w:r>
                                <w:rPr>
                                  <w:rFonts w:ascii="Arial" w:eastAsia="Arial" w:hAnsi="Arial" w:cs="Arial"/>
                                  <w:i/>
                                  <w:sz w:val="18"/>
                                </w:rPr>
                                <w:t xml:space="preserve">negli stessi indicati, ovvero, in caso di tempestiva proposizione del ricorso </w:t>
                              </w:r>
                            </w:p>
                          </w:txbxContent>
                        </wps:txbx>
                        <wps:bodyPr horzOverflow="overflow" vert="horz" lIns="0" tIns="0" rIns="0" bIns="0" rtlCol="0">
                          <a:noAutofit/>
                        </wps:bodyPr>
                      </wps:wsp>
                      <wps:wsp>
                        <wps:cNvPr id="15654" name="Rectangle 15654"/>
                        <wps:cNvSpPr/>
                        <wps:spPr>
                          <a:xfrm rot="-10799999">
                            <a:off x="-1188321" y="2611307"/>
                            <a:ext cx="5107261" cy="142889"/>
                          </a:xfrm>
                          <a:prstGeom prst="rect">
                            <a:avLst/>
                          </a:prstGeom>
                          <a:ln>
                            <a:noFill/>
                          </a:ln>
                        </wps:spPr>
                        <wps:txbx>
                          <w:txbxContent>
                            <w:p w14:paraId="372E8535" w14:textId="77777777" w:rsidR="00B32EF2" w:rsidRDefault="00000000">
                              <w:r>
                                <w:rPr>
                                  <w:rFonts w:ascii="Arial" w:eastAsia="Arial" w:hAnsi="Arial" w:cs="Arial"/>
                                  <w:i/>
                                  <w:sz w:val="18"/>
                                </w:rPr>
                                <w:t xml:space="preserve">ed a titolo provvisorio, degli importi stabiliti dall’articolo 15 del decreto del </w:t>
                              </w:r>
                            </w:p>
                          </w:txbxContent>
                        </wps:txbx>
                        <wps:bodyPr horzOverflow="overflow" vert="horz" lIns="0" tIns="0" rIns="0" bIns="0" rtlCol="0">
                          <a:noAutofit/>
                        </wps:bodyPr>
                      </wps:wsp>
                      <wps:wsp>
                        <wps:cNvPr id="15655" name="Rectangle 15655"/>
                        <wps:cNvSpPr/>
                        <wps:spPr>
                          <a:xfrm rot="-10799999">
                            <a:off x="-1190800" y="2487977"/>
                            <a:ext cx="5115683" cy="142889"/>
                          </a:xfrm>
                          <a:prstGeom prst="rect">
                            <a:avLst/>
                          </a:prstGeom>
                          <a:ln>
                            <a:noFill/>
                          </a:ln>
                        </wps:spPr>
                        <wps:txbx>
                          <w:txbxContent>
                            <w:p w14:paraId="6CAE8AF3" w14:textId="77777777" w:rsidR="00B32EF2" w:rsidRDefault="00000000">
                              <w:r>
                                <w:rPr>
                                  <w:rFonts w:ascii="Arial" w:eastAsia="Arial" w:hAnsi="Arial" w:cs="Arial"/>
                                  <w:i/>
                                  <w:sz w:val="18"/>
                                </w:rPr>
                                <w:t xml:space="preserve">Presidente della Repubblica 29 settembre 1973, n. 602. L’intimazione ad </w:t>
                              </w:r>
                            </w:p>
                          </w:txbxContent>
                        </wps:txbx>
                        <wps:bodyPr horzOverflow="overflow" vert="horz" lIns="0" tIns="0" rIns="0" bIns="0" rtlCol="0">
                          <a:noAutofit/>
                        </wps:bodyPr>
                      </wps:wsp>
                      <wps:wsp>
                        <wps:cNvPr id="15656" name="Rectangle 15656"/>
                        <wps:cNvSpPr/>
                        <wps:spPr>
                          <a:xfrm rot="-10799999">
                            <a:off x="-1187181" y="2364648"/>
                            <a:ext cx="5100634" cy="142889"/>
                          </a:xfrm>
                          <a:prstGeom prst="rect">
                            <a:avLst/>
                          </a:prstGeom>
                          <a:ln>
                            <a:noFill/>
                          </a:ln>
                        </wps:spPr>
                        <wps:txbx>
                          <w:txbxContent>
                            <w:p w14:paraId="791FB7FA" w14:textId="77777777" w:rsidR="00B32EF2" w:rsidRDefault="00000000">
                              <w:r>
                                <w:rPr>
                                  <w:rFonts w:ascii="Arial" w:eastAsia="Arial" w:hAnsi="Arial" w:cs="Arial"/>
                                  <w:i/>
                                  <w:sz w:val="18"/>
                                </w:rPr>
                                <w:t xml:space="preserve">adempiere al pagamento è altresì contenuta nei successivi atti da notificare </w:t>
                              </w:r>
                            </w:p>
                          </w:txbxContent>
                        </wps:txbx>
                        <wps:bodyPr horzOverflow="overflow" vert="horz" lIns="0" tIns="0" rIns="0" bIns="0" rtlCol="0">
                          <a:noAutofit/>
                        </wps:bodyPr>
                      </wps:wsp>
                      <wps:wsp>
                        <wps:cNvPr id="15657" name="Rectangle 15657"/>
                        <wps:cNvSpPr/>
                        <wps:spPr>
                          <a:xfrm rot="-10799999">
                            <a:off x="-1188316" y="2241318"/>
                            <a:ext cx="5106456" cy="142889"/>
                          </a:xfrm>
                          <a:prstGeom prst="rect">
                            <a:avLst/>
                          </a:prstGeom>
                          <a:ln>
                            <a:noFill/>
                          </a:ln>
                        </wps:spPr>
                        <wps:txbx>
                          <w:txbxContent>
                            <w:p w14:paraId="04B8BCD5" w14:textId="77777777" w:rsidR="00B32EF2" w:rsidRDefault="00000000">
                              <w:r>
                                <w:rPr>
                                  <w:rFonts w:ascii="Arial" w:eastAsia="Arial" w:hAnsi="Arial" w:cs="Arial"/>
                                  <w:i/>
                                  <w:sz w:val="18"/>
                                </w:rPr>
                                <w:t xml:space="preserve">al contribuente, anche mediante raccomandata con avviso di ricevimento, </w:t>
                              </w:r>
                            </w:p>
                          </w:txbxContent>
                        </wps:txbx>
                        <wps:bodyPr horzOverflow="overflow" vert="horz" lIns="0" tIns="0" rIns="0" bIns="0" rtlCol="0">
                          <a:noAutofit/>
                        </wps:bodyPr>
                      </wps:wsp>
                      <wps:wsp>
                        <wps:cNvPr id="15658" name="Rectangle 15658"/>
                        <wps:cNvSpPr/>
                        <wps:spPr>
                          <a:xfrm rot="-10799999">
                            <a:off x="-1089569" y="2117988"/>
                            <a:ext cx="5003021" cy="142889"/>
                          </a:xfrm>
                          <a:prstGeom prst="rect">
                            <a:avLst/>
                          </a:prstGeom>
                          <a:ln>
                            <a:noFill/>
                          </a:ln>
                        </wps:spPr>
                        <wps:txbx>
                          <w:txbxContent>
                            <w:p w14:paraId="72E2E56E" w14:textId="77777777" w:rsidR="00B32EF2" w:rsidRDefault="00000000">
                              <w:r>
                                <w:rPr>
                                  <w:rFonts w:ascii="Arial" w:eastAsia="Arial" w:hAnsi="Arial" w:cs="Arial"/>
                                  <w:i/>
                                  <w:sz w:val="18"/>
                                </w:rPr>
                                <w:t>in tutti i casi in cui siano rideterminati gli importi dovuti in base agli avvi</w:t>
                              </w:r>
                            </w:p>
                          </w:txbxContent>
                        </wps:txbx>
                        <wps:bodyPr horzOverflow="overflow" vert="horz" lIns="0" tIns="0" rIns="0" bIns="0" rtlCol="0">
                          <a:noAutofit/>
                        </wps:bodyPr>
                      </wps:wsp>
                      <wps:wsp>
                        <wps:cNvPr id="15659" name="Rectangle 15659"/>
                        <wps:cNvSpPr/>
                        <wps:spPr>
                          <a:xfrm rot="-10799999">
                            <a:off x="97558" y="2117989"/>
                            <a:ext cx="50622" cy="142889"/>
                          </a:xfrm>
                          <a:prstGeom prst="rect">
                            <a:avLst/>
                          </a:prstGeom>
                          <a:ln>
                            <a:noFill/>
                          </a:ln>
                        </wps:spPr>
                        <wps:txbx>
                          <w:txbxContent>
                            <w:p w14:paraId="65E3E76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660" name="Rectangle 15660"/>
                        <wps:cNvSpPr/>
                        <wps:spPr>
                          <a:xfrm rot="-10799999">
                            <a:off x="-1187195" y="1994659"/>
                            <a:ext cx="5100648" cy="142889"/>
                          </a:xfrm>
                          <a:prstGeom prst="rect">
                            <a:avLst/>
                          </a:prstGeom>
                          <a:ln>
                            <a:noFill/>
                          </a:ln>
                        </wps:spPr>
                        <wps:txbx>
                          <w:txbxContent>
                            <w:p w14:paraId="2D81220C" w14:textId="77777777" w:rsidR="00B32EF2" w:rsidRDefault="00000000">
                              <w:r>
                                <w:rPr>
                                  <w:rFonts w:ascii="Arial" w:eastAsia="Arial" w:hAnsi="Arial" w:cs="Arial"/>
                                  <w:i/>
                                  <w:sz w:val="18"/>
                                </w:rPr>
                                <w:t xml:space="preserve">si di accertamento ai fini delle imposte sui redditi, dell’imposta regionale </w:t>
                              </w:r>
                            </w:p>
                          </w:txbxContent>
                        </wps:txbx>
                        <wps:bodyPr horzOverflow="overflow" vert="horz" lIns="0" tIns="0" rIns="0" bIns="0" rtlCol="0">
                          <a:noAutofit/>
                        </wps:bodyPr>
                      </wps:wsp>
                      <wps:wsp>
                        <wps:cNvPr id="15661" name="Rectangle 15661"/>
                        <wps:cNvSpPr/>
                        <wps:spPr>
                          <a:xfrm rot="-10799999">
                            <a:off x="-1191775" y="1871329"/>
                            <a:ext cx="5119058" cy="142889"/>
                          </a:xfrm>
                          <a:prstGeom prst="rect">
                            <a:avLst/>
                          </a:prstGeom>
                          <a:ln>
                            <a:noFill/>
                          </a:ln>
                        </wps:spPr>
                        <wps:txbx>
                          <w:txbxContent>
                            <w:p w14:paraId="0AB0B464" w14:textId="77777777" w:rsidR="00B32EF2" w:rsidRDefault="00000000">
                              <w:r>
                                <w:rPr>
                                  <w:rFonts w:ascii="Arial" w:eastAsia="Arial" w:hAnsi="Arial" w:cs="Arial"/>
                                  <w:i/>
                                  <w:sz w:val="18"/>
                                </w:rPr>
                                <w:t xml:space="preserve">sulle attività produttive e dell’imposta sul valore aggiunto ed ai connessi </w:t>
                              </w:r>
                            </w:p>
                          </w:txbxContent>
                        </wps:txbx>
                        <wps:bodyPr horzOverflow="overflow" vert="horz" lIns="0" tIns="0" rIns="0" bIns="0" rtlCol="0">
                          <a:noAutofit/>
                        </wps:bodyPr>
                      </wps:wsp>
                      <wps:wsp>
                        <wps:cNvPr id="15662" name="Rectangle 15662"/>
                        <wps:cNvSpPr/>
                        <wps:spPr>
                          <a:xfrm rot="-10799999">
                            <a:off x="-1189046" y="1747999"/>
                            <a:ext cx="5107185" cy="142889"/>
                          </a:xfrm>
                          <a:prstGeom prst="rect">
                            <a:avLst/>
                          </a:prstGeom>
                          <a:ln>
                            <a:noFill/>
                          </a:ln>
                        </wps:spPr>
                        <wps:txbx>
                          <w:txbxContent>
                            <w:p w14:paraId="389E7770" w14:textId="77777777" w:rsidR="00B32EF2" w:rsidRDefault="00000000">
                              <w:r>
                                <w:rPr>
                                  <w:rFonts w:ascii="Arial" w:eastAsia="Arial" w:hAnsi="Arial" w:cs="Arial"/>
                                  <w:i/>
                                  <w:sz w:val="18"/>
                                </w:rPr>
                                <w:t xml:space="preserve">provvedimenti di irrogazione delle sanzioni ai sensi dell’articolo 8, comma </w:t>
                              </w:r>
                            </w:p>
                          </w:txbxContent>
                        </wps:txbx>
                        <wps:bodyPr horzOverflow="overflow" vert="horz" lIns="0" tIns="0" rIns="0" bIns="0" rtlCol="0">
                          <a:noAutofit/>
                        </wps:bodyPr>
                      </wps:wsp>
                      <wps:wsp>
                        <wps:cNvPr id="200093" name="Rectangle 200093"/>
                        <wps:cNvSpPr/>
                        <wps:spPr>
                          <a:xfrm rot="-10799999">
                            <a:off x="-1296225" y="1624669"/>
                            <a:ext cx="5095161" cy="142889"/>
                          </a:xfrm>
                          <a:prstGeom prst="rect">
                            <a:avLst/>
                          </a:prstGeom>
                          <a:ln>
                            <a:noFill/>
                          </a:ln>
                        </wps:spPr>
                        <wps:txbx>
                          <w:txbxContent>
                            <w:p w14:paraId="127740EA" w14:textId="77777777" w:rsidR="00B32EF2" w:rsidRDefault="00000000">
                              <w:r>
                                <w:rPr>
                                  <w:rFonts w:ascii="Arial" w:eastAsia="Arial" w:hAnsi="Arial" w:cs="Arial"/>
                                  <w:i/>
                                  <w:sz w:val="18"/>
                                </w:rPr>
                                <w:t xml:space="preserve">bis del decreto legislativo 19 giugno 1997, n. 218, dell’articolo 48, comma </w:t>
                              </w:r>
                            </w:p>
                          </w:txbxContent>
                        </wps:txbx>
                        <wps:bodyPr horzOverflow="overflow" vert="horz" lIns="0" tIns="0" rIns="0" bIns="0" rtlCol="0">
                          <a:noAutofit/>
                        </wps:bodyPr>
                      </wps:wsp>
                      <wps:wsp>
                        <wps:cNvPr id="200092" name="Rectangle 200092"/>
                        <wps:cNvSpPr/>
                        <wps:spPr>
                          <a:xfrm rot="-10799999">
                            <a:off x="2542654" y="1624670"/>
                            <a:ext cx="5095161" cy="142889"/>
                          </a:xfrm>
                          <a:prstGeom prst="rect">
                            <a:avLst/>
                          </a:prstGeom>
                          <a:ln>
                            <a:noFill/>
                          </a:ln>
                        </wps:spPr>
                        <wps:txbx>
                          <w:txbxContent>
                            <w:p w14:paraId="5BAF6383"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0090" name="Rectangle 200090"/>
                        <wps:cNvSpPr/>
                        <wps:spPr>
                          <a:xfrm rot="-10799999">
                            <a:off x="-1298413" y="1501340"/>
                            <a:ext cx="5103521" cy="142889"/>
                          </a:xfrm>
                          <a:prstGeom prst="rect">
                            <a:avLst/>
                          </a:prstGeom>
                          <a:ln>
                            <a:noFill/>
                          </a:ln>
                        </wps:spPr>
                        <wps:txbx>
                          <w:txbxContent>
                            <w:p w14:paraId="1FA6E43C" w14:textId="77777777" w:rsidR="00B32EF2" w:rsidRDefault="00000000">
                              <w:r>
                                <w:rPr>
                                  <w:rFonts w:ascii="Arial" w:eastAsia="Arial" w:hAnsi="Arial" w:cs="Arial"/>
                                  <w:i/>
                                  <w:sz w:val="18"/>
                                </w:rPr>
                                <w:t xml:space="preserve">bis, e dell’articolo 68 del decreto legislativo 31 dicembre 1992, n. 546, e </w:t>
                              </w:r>
                            </w:p>
                          </w:txbxContent>
                        </wps:txbx>
                        <wps:bodyPr horzOverflow="overflow" vert="horz" lIns="0" tIns="0" rIns="0" bIns="0" rtlCol="0">
                          <a:noAutofit/>
                        </wps:bodyPr>
                      </wps:wsp>
                      <wps:wsp>
                        <wps:cNvPr id="200089" name="Rectangle 200089"/>
                        <wps:cNvSpPr/>
                        <wps:spPr>
                          <a:xfrm rot="-10799999">
                            <a:off x="2540580" y="1501340"/>
                            <a:ext cx="5103521" cy="142889"/>
                          </a:xfrm>
                          <a:prstGeom prst="rect">
                            <a:avLst/>
                          </a:prstGeom>
                          <a:ln>
                            <a:noFill/>
                          </a:ln>
                        </wps:spPr>
                        <wps:txbx>
                          <w:txbxContent>
                            <w:p w14:paraId="5BA3662A"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15665" name="Rectangle 15665"/>
                        <wps:cNvSpPr/>
                        <wps:spPr>
                          <a:xfrm rot="-10799999">
                            <a:off x="-1187644" y="1378010"/>
                            <a:ext cx="5104069" cy="142889"/>
                          </a:xfrm>
                          <a:prstGeom prst="rect">
                            <a:avLst/>
                          </a:prstGeom>
                          <a:ln>
                            <a:noFill/>
                          </a:ln>
                        </wps:spPr>
                        <wps:txbx>
                          <w:txbxContent>
                            <w:p w14:paraId="7752E0CE" w14:textId="77777777" w:rsidR="00B32EF2" w:rsidRDefault="00000000">
                              <w:r>
                                <w:rPr>
                                  <w:rFonts w:ascii="Arial" w:eastAsia="Arial" w:hAnsi="Arial" w:cs="Arial"/>
                                  <w:i/>
                                  <w:sz w:val="18"/>
                                </w:rPr>
                                <w:t xml:space="preserve">dell’articolo 19 del decreto legislativo 18 dicembre 1997, n. 472, nonchè in </w:t>
                              </w:r>
                            </w:p>
                          </w:txbxContent>
                        </wps:txbx>
                        <wps:bodyPr horzOverflow="overflow" vert="horz" lIns="0" tIns="0" rIns="0" bIns="0" rtlCol="0">
                          <a:noAutofit/>
                        </wps:bodyPr>
                      </wps:wsp>
                      <wps:wsp>
                        <wps:cNvPr id="15666" name="Rectangle 15666"/>
                        <wps:cNvSpPr/>
                        <wps:spPr>
                          <a:xfrm rot="-10799999">
                            <a:off x="-1187196" y="1254680"/>
                            <a:ext cx="5100648" cy="142889"/>
                          </a:xfrm>
                          <a:prstGeom prst="rect">
                            <a:avLst/>
                          </a:prstGeom>
                          <a:ln>
                            <a:noFill/>
                          </a:ln>
                        </wps:spPr>
                        <wps:txbx>
                          <w:txbxContent>
                            <w:p w14:paraId="79B5D4F7" w14:textId="77777777" w:rsidR="00B32EF2" w:rsidRDefault="00000000">
                              <w:r>
                                <w:rPr>
                                  <w:rFonts w:ascii="Arial" w:eastAsia="Arial" w:hAnsi="Arial" w:cs="Arial"/>
                                  <w:i/>
                                  <w:sz w:val="18"/>
                                </w:rPr>
                                <w:t xml:space="preserve">caso di definitività dell’atto di accertamento impugnato. In tali ultimi casi il </w:t>
                              </w:r>
                            </w:p>
                          </w:txbxContent>
                        </wps:txbx>
                        <wps:bodyPr horzOverflow="overflow" vert="horz" lIns="0" tIns="0" rIns="0" bIns="0" rtlCol="0">
                          <a:noAutofit/>
                        </wps:bodyPr>
                      </wps:wsp>
                      <wps:wsp>
                        <wps:cNvPr id="15667" name="Rectangle 15667"/>
                        <wps:cNvSpPr/>
                        <wps:spPr>
                          <a:xfrm rot="-10799999">
                            <a:off x="-1190960" y="1131351"/>
                            <a:ext cx="5115500" cy="142889"/>
                          </a:xfrm>
                          <a:prstGeom prst="rect">
                            <a:avLst/>
                          </a:prstGeom>
                          <a:ln>
                            <a:noFill/>
                          </a:ln>
                        </wps:spPr>
                        <wps:txbx>
                          <w:txbxContent>
                            <w:p w14:paraId="6376BDBD" w14:textId="77777777" w:rsidR="00B32EF2" w:rsidRDefault="00000000">
                              <w:r>
                                <w:rPr>
                                  <w:rFonts w:ascii="Arial" w:eastAsia="Arial" w:hAnsi="Arial" w:cs="Arial"/>
                                  <w:i/>
                                  <w:sz w:val="18"/>
                                </w:rPr>
                                <w:t xml:space="preserve">versamento delle somme dovute deve avvenire entro sessanta giorni dal </w:t>
                              </w:r>
                            </w:p>
                          </w:txbxContent>
                        </wps:txbx>
                        <wps:bodyPr horzOverflow="overflow" vert="horz" lIns="0" tIns="0" rIns="0" bIns="0" rtlCol="0">
                          <a:noAutofit/>
                        </wps:bodyPr>
                      </wps:wsp>
                      <wps:wsp>
                        <wps:cNvPr id="15668" name="Rectangle 15668"/>
                        <wps:cNvSpPr/>
                        <wps:spPr>
                          <a:xfrm rot="-10799999">
                            <a:off x="-1190741" y="1008021"/>
                            <a:ext cx="5114938" cy="142889"/>
                          </a:xfrm>
                          <a:prstGeom prst="rect">
                            <a:avLst/>
                          </a:prstGeom>
                          <a:ln>
                            <a:noFill/>
                          </a:ln>
                        </wps:spPr>
                        <wps:txbx>
                          <w:txbxContent>
                            <w:p w14:paraId="5B2C77FD" w14:textId="77777777" w:rsidR="00B32EF2" w:rsidRDefault="00000000">
                              <w:r>
                                <w:rPr>
                                  <w:rFonts w:ascii="Arial" w:eastAsia="Arial" w:hAnsi="Arial" w:cs="Arial"/>
                                  <w:i/>
                                  <w:sz w:val="18"/>
                                </w:rPr>
                                <w:t xml:space="preserve">ricevimento della raccomandata; la sanzione amministrativa prevista dall’ </w:t>
                              </w:r>
                            </w:p>
                          </w:txbxContent>
                        </wps:txbx>
                        <wps:bodyPr horzOverflow="overflow" vert="horz" lIns="0" tIns="0" rIns="0" bIns="0" rtlCol="0">
                          <a:noAutofit/>
                        </wps:bodyPr>
                      </wps:wsp>
                      <wps:wsp>
                        <wps:cNvPr id="15669" name="Rectangle 15669"/>
                        <wps:cNvSpPr/>
                        <wps:spPr>
                          <a:xfrm rot="-10799999">
                            <a:off x="-1187894" y="884692"/>
                            <a:ext cx="5104890" cy="142889"/>
                          </a:xfrm>
                          <a:prstGeom prst="rect">
                            <a:avLst/>
                          </a:prstGeom>
                          <a:ln>
                            <a:noFill/>
                          </a:ln>
                        </wps:spPr>
                        <wps:txbx>
                          <w:txbxContent>
                            <w:p w14:paraId="3A64A57F" w14:textId="77777777" w:rsidR="00B32EF2" w:rsidRDefault="00000000">
                              <w:r>
                                <w:rPr>
                                  <w:rFonts w:ascii="Arial" w:eastAsia="Arial" w:hAnsi="Arial" w:cs="Arial"/>
                                  <w:i/>
                                  <w:sz w:val="18"/>
                                </w:rPr>
                                <w:t xml:space="preserve">articolo 13 del decreto legislativo 18 dicembre 1997, n. 471, non si applica </w:t>
                              </w:r>
                            </w:p>
                          </w:txbxContent>
                        </wps:txbx>
                        <wps:bodyPr horzOverflow="overflow" vert="horz" lIns="0" tIns="0" rIns="0" bIns="0" rtlCol="0">
                          <a:noAutofit/>
                        </wps:bodyPr>
                      </wps:wsp>
                      <wps:wsp>
                        <wps:cNvPr id="15670" name="Rectangle 15670"/>
                        <wps:cNvSpPr/>
                        <wps:spPr>
                          <a:xfrm rot="-10799999">
                            <a:off x="-1187162" y="761362"/>
                            <a:ext cx="5102214" cy="142889"/>
                          </a:xfrm>
                          <a:prstGeom prst="rect">
                            <a:avLst/>
                          </a:prstGeom>
                          <a:ln>
                            <a:noFill/>
                          </a:ln>
                        </wps:spPr>
                        <wps:txbx>
                          <w:txbxContent>
                            <w:p w14:paraId="73AD2ADC" w14:textId="77777777" w:rsidR="00B32EF2" w:rsidRDefault="00000000">
                              <w:r>
                                <w:rPr>
                                  <w:rFonts w:ascii="Arial" w:eastAsia="Arial" w:hAnsi="Arial" w:cs="Arial"/>
                                  <w:i/>
                                  <w:sz w:val="18"/>
                                </w:rPr>
                                <w:t xml:space="preserve">nei casi di omesso, carente o tardivo versamento delle somme dovute, nei </w:t>
                              </w:r>
                            </w:p>
                          </w:txbxContent>
                        </wps:txbx>
                        <wps:bodyPr horzOverflow="overflow" vert="horz" lIns="0" tIns="0" rIns="0" bIns="0" rtlCol="0">
                          <a:noAutofit/>
                        </wps:bodyPr>
                      </wps:wsp>
                      <wps:wsp>
                        <wps:cNvPr id="15671" name="Rectangle 15671"/>
                        <wps:cNvSpPr/>
                        <wps:spPr>
                          <a:xfrm rot="-10799999">
                            <a:off x="-529941" y="638032"/>
                            <a:ext cx="4443394" cy="142889"/>
                          </a:xfrm>
                          <a:prstGeom prst="rect">
                            <a:avLst/>
                          </a:prstGeom>
                          <a:ln>
                            <a:noFill/>
                          </a:ln>
                        </wps:spPr>
                        <wps:txbx>
                          <w:txbxContent>
                            <w:p w14:paraId="4C8A2672" w14:textId="77777777" w:rsidR="00B32EF2" w:rsidRDefault="00000000">
                              <w:r>
                                <w:rPr>
                                  <w:rFonts w:ascii="Arial" w:eastAsia="Arial" w:hAnsi="Arial" w:cs="Arial"/>
                                  <w:i/>
                                  <w:sz w:val="18"/>
                                </w:rPr>
                                <w:t>termini di cui ai periodi precedenti, sulla base degli atti ivi indicati;</w:t>
                              </w:r>
                            </w:p>
                          </w:txbxContent>
                        </wps:txbx>
                        <wps:bodyPr horzOverflow="overflow" vert="horz" lIns="0" tIns="0" rIns="0" bIns="0" rtlCol="0">
                          <a:noAutofit/>
                        </wps:bodyPr>
                      </wps:wsp>
                      <wps:wsp>
                        <wps:cNvPr id="15672" name="Rectangle 15672"/>
                        <wps:cNvSpPr/>
                        <wps:spPr>
                          <a:xfrm rot="-10799999">
                            <a:off x="3588185" y="514703"/>
                            <a:ext cx="322752" cy="142889"/>
                          </a:xfrm>
                          <a:prstGeom prst="rect">
                            <a:avLst/>
                          </a:prstGeom>
                          <a:ln>
                            <a:noFill/>
                          </a:ln>
                        </wps:spPr>
                        <wps:txbx>
                          <w:txbxContent>
                            <w:p w14:paraId="583549EE" w14:textId="77777777" w:rsidR="00B32EF2" w:rsidRDefault="00000000">
                              <w:r>
                                <w:rPr>
                                  <w:rFonts w:ascii="Arial" w:eastAsia="Arial" w:hAnsi="Arial" w:cs="Arial"/>
                                  <w:i/>
                                  <w:sz w:val="18"/>
                                </w:rPr>
                                <w:t>b) …</w:t>
                              </w:r>
                            </w:p>
                          </w:txbxContent>
                        </wps:txbx>
                        <wps:bodyPr horzOverflow="overflow" vert="horz" lIns="0" tIns="0" rIns="0" bIns="0" rtlCol="0">
                          <a:noAutofit/>
                        </wps:bodyPr>
                      </wps:wsp>
                      <wps:wsp>
                        <wps:cNvPr id="15673" name="Shape 15673"/>
                        <wps:cNvSpPr/>
                        <wps:spPr>
                          <a:xfrm>
                            <a:off x="31801" y="473197"/>
                            <a:ext cx="3960000" cy="3839299"/>
                          </a:xfrm>
                          <a:custGeom>
                            <a:avLst/>
                            <a:gdLst/>
                            <a:ahLst/>
                            <a:cxnLst/>
                            <a:rect l="0" t="0" r="0" b="0"/>
                            <a:pathLst>
                              <a:path w="3960000" h="3839299">
                                <a:moveTo>
                                  <a:pt x="0" y="3839299"/>
                                </a:moveTo>
                                <a:lnTo>
                                  <a:pt x="3960000" y="3839299"/>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8586810" id="Group 200184" o:spid="_x0000_s2063" style="width:314.3pt;height:493.15pt;mso-position-horizontal-relative:char;mso-position-vertical-relative:line" coordsize="39918,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U4gQsAAPF4AAAOAAAAZHJzL2Uyb0RvYy54bWzkXW2P27gR/l6g/8Hw983yRRKlRTaHItcL&#10;ChS9w738AK1XXhuQLUNSspv++j5DSpQs85rULJYLMAHWMi1R1Dyc4fDhcPT+h5dDvfpStd2+Od6v&#10;+Tu2XlXHTfO4Pz7dr//4/aebfL3q+vL4WNbNsbpff6269Q8f/vqX98+nu0o0u6Z+rNoVKjl2d8+n&#10;+/Wu7093t7fdZlcdyu5dc6qO+HHbtIeyx9f26faxLZ9R+6G+FYxlt89N+3hqm03VdSj90fy4/qDr&#10;326rTf/zdttV/aq+X6Ntvf7b6r8P9Pf2w/vy7qktT7v9ZmhGeUUrDuX+iJvaqn4s+3L1ud1fVHXY&#10;b9qma7b9u01zuG222/2m0s+Ap+Fs8TSf2ubzST/L093z08mKCaJdyOnqajf/+vKpPf12+qWFJJ5P&#10;T5CF/kbP8rJtD/SJVq5etMi+WpFVL/1qg0JZFDxnYr3a4LdMZCJPEyPUzQ6Sv7hus/v7N668HW98&#10;e9ac5xM6SDfJoPOTwW+78lRp0XZ3kMEv7Wr/iP6bZrxYr47lAV31V3Se8vhUVytTrAWkz7bi6u46&#10;SG6U1apt0L9uOFMF/dP9YZAdLxhLcugCpHSTCXw1QhrFyFUuM9yZpChSliUZ/W5FUd6d2q7/VDWH&#10;FR3cr1u0Tddffvln15tTx1OoOfWR/h6bn/Z1bX6lEkh0bDEd9S8PL/qxi7yg21HZQ/P4FcLYNe2/&#10;f4Zab+vm+X7dDEdr0nTcnX5dr+p/HAECKdV40I4HD+NB29cfG616pj1/+9w3271u8HS3oWFA17Th&#10;NWAWaLcDZhQPgkCn+N9hvuGSK66gDqQNnBdFNmjDCHQqWV6o1CDNE5GbnvBqSJvbTbKPAGnuRpp7&#10;Ii1EwbjSSKfAOZNLpIVgOXUz0mmNtL7j6yFtHzAanYbeuXRaeCHNC8GSGcwp1VbeWYVmmRiGvxDq&#10;bJ8tGpClG2TpB7JSMs1hlqGraa6kZAuYheC54NmkzWbIfD1tts8XBdBw7TlzGO6h3HOMzrlSqJyw&#10;VklRKO1szVRasoKlOGG03K+NtR5JohmjNaYOd2wo98FaZJwV5Fe/Wai1mYkGakykBIysa5C2grjS&#10;8Ya3JVPjeOMm2TCDmim14IJjbhpMqbWRiQppjJYupK0grkJ65o45YT53x17bcqvRC4lilCZ1xgzI&#10;BbIVxFUg63k0FNoY7pRJCdfr3O2mMRpOWjB1zqNDGuyVC2krCA+k1TBESzBnue46M8NNSOezKdZr&#10;63R83JibAhVWEB5Iy0GnRZplqQtpGUynOWOW/YvFfEuH3w2rjmIft9uY7xFqLqXEMHFpvoNCHR07&#10;Jh3TaYLaCuJKrYbjnYL71FMsxrDuoQeEmf2G4y0l3IQws2lodXQcmXQToSj20eqZ561xXqp0SM8b&#10;KMdFkJHmuplQFPugbGx3YRQaS5ZZli0VmhyyIqRCx8WPEdSAw+F7myUn4hSust1CcZammKWDHUsU&#10;+pNcIM1FzgWWosOZbssKReGQgfHEAHoJ9VDup9Yil0kGd4/AzhK608IlI4JMBCPIYMEtMRQP2I45&#10;tQbbb1ItMpkybqJN3ijW2nmIiQ2VbjYUxT5qPflkBueFAUck0Xxx+nWZE2i07cZRaDQN1G46FMU+&#10;KJ/7ZCnPMhBmqHA2yQruk1lyKBqoHbabeoDt81f5ZHmRIhTQjNKykDJZAA2cM0YxiqFm09xSQ1EA&#10;LZhSRD4b71tHja6Gsm9qNCnoEP8pTZCsdrQlx+zqTHslMCXyUYMqc1kIeIE4YxZdsvls4j+pzjHm&#10;E9HGjyb6E2W78WjzchwPKUr0vwY+n8qerqNK6XCFWE/blh2Oh6bQ7wcEgf7e6DP7RVQvmjn9Wh/n&#10;Z9na8OS64+Dc8Yzx86Trm5853teIYDxv/DTnG0/2+888vzuaQQ+sRWyFgMK5mOsjyYNQKRGYvq1L&#10;E3F72PeIWK/3B0T1CUWwjc28CLDt+q91RSKrj79WW4Ta6ihqKujap4ePdbv6UlJwrP5nwnnr064c&#10;Sod6h1N1U3U9dP0Wcb22Sq4vPavyo6T/Qw3DyXRdpUPi7ZXMXLkZWmPi4hFdjoceo+MhFHuRvnNz&#10;7O31R8T065uQJzc87eTUkVzo26sG9iZou2OqjGI0h1pzlVkWUuQqH6bKrODwsKm+aQDmiB7LioBr&#10;F9zyuFHYZYy0iZvQRrEP0jec8wSjsB6CYZRUYViWCeqU0VQao3+wIdjyuFFArSfEwGOp1UO5H9ig&#10;tySF+mF8knkCgmQxNKesyDMsSYcD29K58YDtYDs12Jb3vc6Gp3mSc0Nsv1Gs7QNGgTXZcPcaBor9&#10;1JpjXw2ZaFJrBVpTLdUacaEyDTmNiovZJqgdWm2KfaHOcwYDTVCnhSpwH1Q4G645bcNBPws2XFuK&#10;LxqtdozWBLXt89fZ7ySVei5OSCcqybiub0KaY/iWtJ4VDGlL80WDtJvVNttXr55twQfPFSLEjFLD&#10;P8Ou4gulZgorWOGgtjRfNFC7qe3E9vmrlBq7pQsmh3VJKYQq0iXUCO3AMnRAqKOjtslzWs62yH7b&#10;Pn8V1Nj2nA4umcZ5GdEddq0KO3UHPyQahXZEGhDKtrtfhbJWaG2aaZjmLMEujYXtRioEngVUaGEZ&#10;oligTt2kKIp9fO+ZQrtxDrr4jIXvyBSaeCyH2UaxD8pwxgqeULwfFFoUGIqLpUJzpLygiMFQfrew&#10;dEE0Cm2XJM+y1GADpCfUeZaSsSCo81QhrQVVOE2xQIeiDCcEgzo6iix1U2Qo9oUadKjxx4RCaKCJ&#10;UZlBDZuuEMwfDmpLF0Sj1W6KzGTU8ppN5xJOj9ZqZCWSoMvOtRopq7BVPiDU2szQE0YDtZsiM5Nf&#10;H6ixV5IiSciAJ7kq1AXUcPEpwCiYAbd8QTRQuzky0Fu+BlzxfNBqiXwHZnp+ZsCZ3jkQDGrLF0QD&#10;tZsjMxtdfbQ6z2kHvNZqkSDJnJbsGdRg13FCMKgtaRAN1G6ODAyXn1YjPSACiQzUmFcVcNHOx2rQ&#10;oYwG81BQT3uDo4HaTZRh+dgH6ok9ERpnXdtMpcPSodO24FhQplmtgz1BsQ/KeimLD+FkyAeaZKbb&#10;zICmnU/EuAdTaEsaRAM1zKcL6v8DUaYotyucbyxgcmkyZsyhRuJfWgMJBrUlDaKB2k2UYfnBV6sR&#10;YGQ8Mq7Ak5iA/TnUDN45+kIwqOMiynR8oIMpG8r9wAbjLShvHel1hohR+GeocAY2K7ApK6RPFhdV&#10;pkF1KPZQ7gO2SBORUZrAEWulx/+3hLXlDaKw4RpTh2s2lPtgfYOlrByzaQM2dkxLs0tkBjanpJIh&#10;FTsutoxAxSblC+dsKPcBG4oN18swo/xtYm2pgygUGzx05ibBUeyDtJ5y6XBjsuEIGUUq6cV4jaUt&#10;Nr5ug7K2v/bGeGmpg2igdpPgZn3ZixlVHPEIeriGimfQcPSdMwsednY9bTyMBmo3CZ7ZoezKuDLM&#10;nbFP2kANCpy2bS2g5ohdwAmhplzTzsNooHaT4CZjmI9WF0zR9k4y4PAIiO9eQp0UyLQQDmrLH0QD&#10;tcMtoyHcjmTXajX2VQ/Z5vI8yQot2DP7jd24IZU6OsoMM94LBxxIm4mwj1KDEqWwXyi1yrg0FNwZ&#10;0njJSsAoQrNxjB4wFp2ml6A4eHAUe/nfKdKXDNYb6XCYSTs6AZ0kiZQhw0WnfWjRAO0gy0il7Sh2&#10;lfHGG5NyzXFDo1OeKJOCdQKatvPQKzmC+WNxMWUEqGXATaYiU/RNZaYJ0yxRkXG8EoVERYvoMZuk&#10;hyA9z70zvix0nkHnDSUqOm/s96QrOr9iTD40fl4mLdITzz9Nb2TmLctzNnXTVYDn+9MR6ZRDUKk/&#10;TUlkcgmZOh3v/HSlJHLkDxpSEo3VIOEP9ZGzrEND7qDrEhm9iZRE+gWzeK+ulv/wDmB6ce/8u05h&#10;NL2p+MN/AAAA//8DAFBLAwQUAAYACAAAACEAGA0GbN0AAAAFAQAADwAAAGRycy9kb3ducmV2Lnht&#10;bEyPQUvDQBCF74L/YRnBm92kxRDTbEop6qkItoL0Ns1Ok9DsbMhuk/Tfu3qpl4HHe7z3Tb6aTCsG&#10;6l1jWUE8i0AQl1Y3XCn42r89pSCcR9bYWiYFV3KwKu7vcsy0HfmThp2vRChhl6GC2vsuk9KVNRl0&#10;M9sRB+9ke4M+yL6SuscxlJtWzqMokQYbDgs1drSpqTzvLkbB+4jjehG/DtvzaXM97J8/vrcxKfX4&#10;MK2XIDxN/haGX/yADkVgOtoLaydaBeER/3eDl8zTBMRRwUuaLEAWufxPX/wAAAD//wMAUEsBAi0A&#10;FAAGAAgAAAAhALaDOJL+AAAA4QEAABMAAAAAAAAAAAAAAAAAAAAAAFtDb250ZW50X1R5cGVzXS54&#10;bWxQSwECLQAUAAYACAAAACEAOP0h/9YAAACUAQAACwAAAAAAAAAAAAAAAAAvAQAAX3JlbHMvLnJl&#10;bHNQSwECLQAUAAYACAAAACEAPsvFOIELAADxeAAADgAAAAAAAAAAAAAAAAAuAgAAZHJzL2Uyb0Rv&#10;Yy54bWxQSwECLQAUAAYACAAAACEAGA0GbN0AAAAFAQAADwAAAAAAAAAAAAAAAADbDQAAZHJzL2Rv&#10;d25yZXYueG1sUEsFBgAAAAAEAAQA8wAAAOUOAAAAAA==&#10;">
                <v:rect id="Rectangle 15619" o:spid="_x0000_s2064"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YBXxAAAAN4AAAAPAAAAZHJzL2Rvd25yZXYueG1sRE9Li8Iw&#10;EL4L+x/CLHhbUxcUrUZZXGR78LI+wOPQjG21mYQm2uqvNwsL3ubje8582Zla3KjxlWUFw0ECgji3&#10;uuJCwX63/piA8AFZY22ZFNzJw3Lx1ptjqm3Lv3TbhkLEEPYpKihDcKmUPi/JoB9YRxy5k20Mhgib&#10;QuoG2xhuavmZJGNpsOLYUKKjVUn5ZXs1Co7f7LJ1K/PTY+U252xS/1z3B6X6793XDESgLrzE/+5M&#10;x/mj8XAKf+/EG+TiCQAA//8DAFBLAQItABQABgAIAAAAIQDb4fbL7gAAAIUBAAATAAAAAAAAAAAA&#10;AAAAAAAAAABbQ29udGVudF9UeXBlc10ueG1sUEsBAi0AFAAGAAgAAAAhAFr0LFu/AAAAFQEAAAsA&#10;AAAAAAAAAAAAAAAAHwEAAF9yZWxzLy5yZWxzUEsBAi0AFAAGAAgAAAAhAIwZgFfEAAAA3gAAAA8A&#10;AAAAAAAAAAAAAAAABwIAAGRycy9kb3ducmV2LnhtbFBLBQYAAAAAAwADALcAAAD4AgAAAAA=&#10;" filled="f" stroked="f">
                  <v:textbox inset="0,0,0,0">
                    <w:txbxContent>
                      <w:p w14:paraId="6CC864E8" w14:textId="77777777" w:rsidR="00B32EF2" w:rsidRDefault="00000000">
                        <w:r>
                          <w:rPr>
                            <w:rFonts w:ascii="Times New Roman" w:eastAsia="Times New Roman" w:hAnsi="Times New Roman" w:cs="Times New Roman"/>
                          </w:rPr>
                          <w:t>90</w:t>
                        </w:r>
                      </w:p>
                    </w:txbxContent>
                  </v:textbox>
                </v:rect>
                <v:rect id="Rectangle 15620" o:spid="_x0000_s2065" style="position:absolute;left:-13171;top:61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3xwAAAN4AAAAPAAAAZHJzL2Rvd25yZXYueG1sRI9Ba8JA&#10;EIXvQv/DMoXedFOhIqmrFIs0h16qEXocsmOSNju7ZFeT+uudQ8HbDPPmvfetNqPr1IX62Ho28DzL&#10;QBFX3rZcGygPu+kSVEzIFjvPZOCPImzWD5MV5tYP/EWXfaqVmHDM0UCTUsi1jlVDDuPMB2K5nXzv&#10;MMna19r2OIi56/Q8yxbaYcuS0GCgbUPV7/7sDHy/cyh2g65O1234/CmW3ce5PBrz9Di+vYJKNKa7&#10;+P+7sFL/ZTEXAMGRGfT6BgAA//8DAFBLAQItABQABgAIAAAAIQDb4fbL7gAAAIUBAAATAAAAAAAA&#10;AAAAAAAAAAAAAABbQ29udGVudF9UeXBlc10ueG1sUEsBAi0AFAAGAAgAAAAhAFr0LFu/AAAAFQEA&#10;AAsAAAAAAAAAAAAAAAAAHwEAAF9yZWxzLy5yZWxzUEsBAi0AFAAGAAgAAAAhANNP43fHAAAA3gAA&#10;AA8AAAAAAAAAAAAAAAAABwIAAGRycy9kb3ducmV2LnhtbFBLBQYAAAAAAwADALcAAAD7AgAAAAA=&#10;" filled="f" stroked="f">
                  <v:textbox inset="0,0,0,0">
                    <w:txbxContent>
                      <w:p w14:paraId="084C2F5A" w14:textId="77777777" w:rsidR="00B32EF2" w:rsidRDefault="00000000">
                        <w:r>
                          <w:rPr>
                            <w:rFonts w:ascii="Arial" w:eastAsia="Arial" w:hAnsi="Arial" w:cs="Arial"/>
                            <w:sz w:val="18"/>
                          </w:rPr>
                          <w:t xml:space="preserve">prima rata deve essere effettuato entro venti giorni dalla data di sottoscrizione </w:t>
                        </w:r>
                      </w:p>
                    </w:txbxContent>
                  </v:textbox>
                </v:rect>
                <v:rect id="Rectangle 15621" o:spid="_x0000_s2066" style="position:absolute;left:-12290;top:59966;width:522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0bsxAAAAN4AAAAPAAAAZHJzL2Rvd25yZXYueG1sRE9Li8Iw&#10;EL4v+B/CCN7WVGFFqlFEke3By/oAj0MzttVmEppoq79+s7DgbT6+58yXnanFgxpfWVYwGiYgiHOr&#10;Ky4UHA/bzykIH5A11pZJwZM8LBe9jzmm2rb8Q499KEQMYZ+igjIEl0rp85IM+qF1xJG72MZgiLAp&#10;pG6wjeGmluMkmUiDFceGEh2tS8pv+7tRcN6wy7atzC+vtdtds2n9fT+elBr0u9UMRKAuvMX/7kzH&#10;+V+T8Qj+3ok3yMUvAAAA//8DAFBLAQItABQABgAIAAAAIQDb4fbL7gAAAIUBAAATAAAAAAAAAAAA&#10;AAAAAAAAAABbQ29udGVudF9UeXBlc10ueG1sUEsBAi0AFAAGAAgAAAAhAFr0LFu/AAAAFQEAAAsA&#10;AAAAAAAAAAAAAAAAHwEAAF9yZWxzLy5yZWxzUEsBAi0AFAAGAAgAAAAhALwDRuzEAAAA3gAAAA8A&#10;AAAAAAAAAAAAAAAABwIAAGRycy9kb3ducmV2LnhtbFBLBQYAAAAAAwADALcAAAD4AgAAAAA=&#10;" filled="f" stroked="f">
                  <v:textbox inset="0,0,0,0">
                    <w:txbxContent>
                      <w:p w14:paraId="29C4E5F6" w14:textId="77777777" w:rsidR="00B32EF2" w:rsidRDefault="00000000">
                        <w:r>
                          <w:rPr>
                            <w:rFonts w:ascii="Arial" w:eastAsia="Arial" w:hAnsi="Arial" w:cs="Arial"/>
                            <w:sz w:val="18"/>
                          </w:rPr>
                          <w:t>dell’accordo conciliativo di cui all’articolo 99 o di redazione del processo ver</w:t>
                        </w:r>
                      </w:p>
                    </w:txbxContent>
                  </v:textbox>
                </v:rect>
                <v:rect id="Rectangle 15622" o:spid="_x0000_s2067" style="position:absolute;left:192;top:599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dibxAAAAN4AAAAPAAAAZHJzL2Rvd25yZXYueG1sRE9Na8JA&#10;EL0L/odlCt5004AiqauIIubQS20Ej0N2TFKzs0t2NbG/vlso9DaP9zmrzWBa8aDON5YVvM4SEMSl&#10;1Q1XCorPw3QJwgdkja1lUvAkD5v1eLTCTNueP+hxCpWIIewzVFCH4DIpfVmTQT+zjjhyV9sZDBF2&#10;ldQd9jHctDJNkoU02HBsqNHRrqbydrobBZc9u/zQy/L6vXPvX/myPd6Ls1KTl2H7BiLQEP7Ff+5c&#10;x/nzRZrC7zvxBrn+AQAA//8DAFBLAQItABQABgAIAAAAIQDb4fbL7gAAAIUBAAATAAAAAAAAAAAA&#10;AAAAAAAAAABbQ29udGVudF9UeXBlc10ueG1sUEsBAi0AFAAGAAgAAAAhAFr0LFu/AAAAFQEAAAsA&#10;AAAAAAAAAAAAAAAAHwEAAF9yZWxzLy5yZWxzUEsBAi0AFAAGAAgAAAAhAEzR2JvEAAAA3gAAAA8A&#10;AAAAAAAAAAAAAAAABwIAAGRycy9kb3ducmV2LnhtbFBLBQYAAAAAAwADALcAAAD4AgAAAAA=&#10;" filled="f" stroked="f">
                  <v:textbox inset="0,0,0,0">
                    <w:txbxContent>
                      <w:p w14:paraId="5D7BF304" w14:textId="77777777" w:rsidR="00B32EF2" w:rsidRDefault="00000000">
                        <w:r>
                          <w:rPr>
                            <w:rFonts w:ascii="Arial" w:eastAsia="Arial" w:hAnsi="Arial" w:cs="Arial"/>
                            <w:sz w:val="18"/>
                          </w:rPr>
                          <w:t>-</w:t>
                        </w:r>
                      </w:p>
                    </w:txbxContent>
                  </v:textbox>
                </v:rect>
                <v:rect id="Rectangle 15623" o:spid="_x0000_s2068" style="position:absolute;left:17735;top:58733;width:2218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X0AxAAAAN4AAAAPAAAAZHJzL2Rvd25yZXYueG1sRE9Ni8Iw&#10;EL0L/ocwgjdNVVakaxRRxB72sq4Lexyasa02k9BEW/31m4UFb/N4n7Ncd6YWd2p8ZVnBZJyAIM6t&#10;rrhQcPrajxYgfEDWWFsmBQ/ysF71e0tMtW35k+7HUIgYwj5FBWUILpXS5yUZ9GPriCN3to3BEGFT&#10;SN1gG8NNLadJMpcGK44NJTralpRfjzej4GfHLtu3Mj8/t+7jki3qw+30rdRw0G3eQQTqwkv87850&#10;nP82n87g7514g1z9AgAA//8DAFBLAQItABQABgAIAAAAIQDb4fbL7gAAAIUBAAATAAAAAAAAAAAA&#10;AAAAAAAAAABbQ29udGVudF9UeXBlc10ueG1sUEsBAi0AFAAGAAgAAAAhAFr0LFu/AAAAFQEAAAsA&#10;AAAAAAAAAAAAAAAAHwEAAF9yZWxzLy5yZWxzUEsBAi0AFAAGAAgAAAAhACOdfQDEAAAA3gAAAA8A&#10;AAAAAAAAAAAAAAAABwIAAGRycy9kb3ducmV2LnhtbFBLBQYAAAAAAwADALcAAAD4AgAAAAA=&#10;" filled="f" stroked="f">
                  <v:textbox inset="0,0,0,0">
                    <w:txbxContent>
                      <w:p w14:paraId="256F24C8" w14:textId="77777777" w:rsidR="00B32EF2" w:rsidRDefault="00000000">
                        <w:r>
                          <w:rPr>
                            <w:rFonts w:ascii="Arial" w:eastAsia="Arial" w:hAnsi="Arial" w:cs="Arial"/>
                            <w:sz w:val="18"/>
                          </w:rPr>
                          <w:t>bale di cui agli articoli 100 e 101.</w:t>
                        </w:r>
                      </w:p>
                    </w:txbxContent>
                  </v:textbox>
                </v:rect>
                <v:rect id="Rectangle 200101" o:spid="_x0000_s2069" style="position:absolute;left:-13817;top:57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2txxgAAAN8AAAAPAAAAZHJzL2Rvd25yZXYueG1sRI9Pi8Iw&#10;FMTvC36H8ARva1oPItUooog9eFn/gMdH82yrzUtoou3up98sLHgcZuY3zGLVm0a8qPW1ZQXpOAFB&#10;XFhdc6ngfNp9zkD4gKyxsUwKvsnDajn4WGCmbcdf9DqGUkQI+wwVVCG4TEpfVGTQj60jjt7NtgZD&#10;lG0pdYtdhJtGTpJkKg3WHBcqdLSpqHgcn0bBdcsu33WyuP1s3OGez5r983xRajTs13MQgfrwDv+3&#10;c60gEtMkhb8/8QvI5S8AAAD//wMAUEsBAi0AFAAGAAgAAAAhANvh9svuAAAAhQEAABMAAAAAAAAA&#10;AAAAAAAAAAAAAFtDb250ZW50X1R5cGVzXS54bWxQSwECLQAUAAYACAAAACEAWvQsW78AAAAVAQAA&#10;CwAAAAAAAAAAAAAAAAAfAQAAX3JlbHMvLnJlbHNQSwECLQAUAAYACAAAACEARsNrccYAAADfAAAA&#10;DwAAAAAAAAAAAAAAAAAHAgAAZHJzL2Rvd25yZXYueG1sUEsFBgAAAAADAAMAtwAAAPoCAAAAAA==&#10;" filled="f" stroked="f">
                  <v:textbox inset="0,0,0,0">
                    <w:txbxContent>
                      <w:p w14:paraId="21DCB161" w14:textId="77777777" w:rsidR="00B32EF2" w:rsidRDefault="00000000">
                        <w:r>
                          <w:rPr>
                            <w:rFonts w:ascii="Arial" w:eastAsia="Arial" w:hAnsi="Arial" w:cs="Arial"/>
                            <w:sz w:val="18"/>
                          </w:rPr>
                          <w:t xml:space="preserve">. In caso di mancato pagamento delle somme dovute o di una delle rate, </w:t>
                        </w:r>
                      </w:p>
                    </w:txbxContent>
                  </v:textbox>
                </v:rect>
                <v:rect id="Rectangle 200100" o:spid="_x0000_s2070" style="position:absolute;left:26109;top:57499;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87qxgAAAN8AAAAPAAAAZHJzL2Rvd25yZXYueG1sRI9Na8JA&#10;EIbvhf6HZQre6sYeRFJXKRZpDl78gh6H7JhEs7NLdjXRX985FDwO77zPyzNfDq5VN+pi49nAZJyB&#10;Ii69bbgycNiv32egYkK22HomA3eKsFy8vswxt77nLd12qVIC4ZijgTqlkGsdy5ocxrEPxJKdfOcw&#10;ydlV2nbYC9y1+iPLptphw7JQY6BVTeVld3UGfr85FOtel6fHKmzOxaz9uR6Oxozehq9PUImG9Hz+&#10;bxfWgBAnmRiIj7iAXvwBAAD//wMAUEsBAi0AFAAGAAgAAAAhANvh9svuAAAAhQEAABMAAAAAAAAA&#10;AAAAAAAAAAAAAFtDb250ZW50X1R5cGVzXS54bWxQSwECLQAUAAYACAAAACEAWvQsW78AAAAVAQAA&#10;CwAAAAAAAAAAAAAAAAAfAQAAX3JlbHMvLnJlbHNQSwECLQAUAAYACAAAACEAKY/O6sYAAADfAAAA&#10;DwAAAAAAAAAAAAAAAAAHAgAAZHJzL2Rvd25yZXYueG1sUEsFBgAAAAADAAMAtwAAAPoCAAAAAA==&#10;" filled="f" stroked="f">
                  <v:textbox inset="0,0,0,0">
                    <w:txbxContent>
                      <w:p w14:paraId="184CC514" w14:textId="77777777" w:rsidR="00B32EF2" w:rsidRDefault="00000000">
                        <w:r>
                          <w:rPr>
                            <w:rFonts w:ascii="Arial" w:eastAsia="Arial" w:hAnsi="Arial" w:cs="Arial"/>
                            <w:sz w:val="18"/>
                          </w:rPr>
                          <w:t>3</w:t>
                        </w:r>
                      </w:p>
                    </w:txbxContent>
                  </v:textbox>
                </v:rect>
                <v:rect id="Rectangle 15625" o:spid="_x0000_s2071" style="position:absolute;left:-12203;top:56266;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EDvxAAAAN4AAAAPAAAAZHJzL2Rvd25yZXYueG1sRE9Li8Iw&#10;EL4v+B/CCN7WVEGRahRRxB72sj7A49CMbbWZhCbaur9+s7DgbT6+5yxWnanFkxpfWVYwGiYgiHOr&#10;Ky4UnI67zxkIH5A11pZJwYs8rJa9jwWm2rb8Tc9DKEQMYZ+igjIEl0rp85IM+qF1xJG72sZgiLAp&#10;pG6wjeGmluMkmUqDFceGEh1tSsrvh4dRcNmyy3atzK8/G/d1y2b1/nE6KzXod+s5iEBdeIv/3ZmO&#10;8yfT8QT+3ok3yOUvAAAA//8DAFBLAQItABQABgAIAAAAIQDb4fbL7gAAAIUBAAATAAAAAAAAAAAA&#10;AAAAAAAAAABbQ29udGVudF9UeXBlc10ueG1sUEsBAi0AFAAGAAgAAAAhAFr0LFu/AAAAFQEAAAsA&#10;AAAAAAAAAAAAAAAAHwEAAF9yZWxzLy5yZWxzUEsBAi0AFAAGAAgAAAAhAMM4QO/EAAAA3gAAAA8A&#10;AAAAAAAAAAAAAAAABwIAAGRycy9kb3ducmV2LnhtbFBLBQYAAAAAAwADALcAAAD4AgAAAAA=&#10;" filled="f" stroked="f">
                  <v:textbox inset="0,0,0,0">
                    <w:txbxContent>
                      <w:p w14:paraId="03734582" w14:textId="77777777" w:rsidR="00B32EF2" w:rsidRDefault="00000000">
                        <w:r>
                          <w:rPr>
                            <w:rFonts w:ascii="Arial" w:eastAsia="Arial" w:hAnsi="Arial" w:cs="Arial"/>
                            <w:sz w:val="18"/>
                          </w:rPr>
                          <w:t>compresa la prima, entro il termine di pagamento della rata successiva, il com</w:t>
                        </w:r>
                      </w:p>
                    </w:txbxContent>
                  </v:textbox>
                </v:rect>
                <v:rect id="Rectangle 15626" o:spid="_x0000_s2072" style="position:absolute;left:192;top:562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t6YxAAAAN4AAAAPAAAAZHJzL2Rvd25yZXYueG1sRE9Na8JA&#10;EL0X/A/LFLzVTYUGSV1FFGkOXqoRPA7ZMUnNzi7Z1UR/fbdQ8DaP9znz5WBacaPON5YVvE8SEMSl&#10;1Q1XCorD9m0Gwgdkja1lUnAnD8vF6GWOmbY9f9NtHyoRQ9hnqKAOwWVS+rImg35iHXHkzrYzGCLs&#10;Kqk77GO4aeU0SVJpsOHYUKOjdU3lZX81Ck4bdvm2l+X5sXa7n3zWfl2Lo1Lj12H1CSLQEJ7if3eu&#10;4/yPdJrC3zvxBrn4BQAA//8DAFBLAQItABQABgAIAAAAIQDb4fbL7gAAAIUBAAATAAAAAAAAAAAA&#10;AAAAAAAAAABbQ29udGVudF9UeXBlc10ueG1sUEsBAi0AFAAGAAgAAAAhAFr0LFu/AAAAFQEAAAsA&#10;AAAAAAAAAAAAAAAAHwEAAF9yZWxzLy5yZWxzUEsBAi0AFAAGAAgAAAAhADPq3pjEAAAA3gAAAA8A&#10;AAAAAAAAAAAAAAAABwIAAGRycy9kb3ducmV2LnhtbFBLBQYAAAAAAwADALcAAAD4AgAAAAA=&#10;" filled="f" stroked="f">
                  <v:textbox inset="0,0,0,0">
                    <w:txbxContent>
                      <w:p w14:paraId="04A64A85" w14:textId="77777777" w:rsidR="00B32EF2" w:rsidRDefault="00000000">
                        <w:r>
                          <w:rPr>
                            <w:rFonts w:ascii="Arial" w:eastAsia="Arial" w:hAnsi="Arial" w:cs="Arial"/>
                            <w:sz w:val="18"/>
                          </w:rPr>
                          <w:t>-</w:t>
                        </w:r>
                      </w:p>
                    </w:txbxContent>
                  </v:textbox>
                </v:rect>
                <v:rect id="Rectangle 15627" o:spid="_x0000_s2073" style="position:absolute;left:-13172;top:550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nsDxAAAAN4AAAAPAAAAZHJzL2Rvd25yZXYueG1sRE9Ni8Iw&#10;EL0L/ocwgjdNFXSlaxRRxB72sq4Lexyasa02k9BEW/31m4UFb/N4n7Ncd6YWd2p8ZVnBZJyAIM6t&#10;rrhQcPrajxYgfEDWWFsmBQ/ysF71e0tMtW35k+7HUIgYwj5FBWUILpXS5yUZ9GPriCN3to3BEGFT&#10;SN1gG8NNLadJMpcGK44NJTralpRfjzej4GfHLtu3Mj8/t+7jki3qw+30rdRw0G3eQQTqwkv87850&#10;nD+bT9/g7514g1z9AgAA//8DAFBLAQItABQABgAIAAAAIQDb4fbL7gAAAIUBAAATAAAAAAAAAAAA&#10;AAAAAAAAAABbQ29udGVudF9UeXBlc10ueG1sUEsBAi0AFAAGAAgAAAAhAFr0LFu/AAAAFQEAAAsA&#10;AAAAAAAAAAAAAAAAHwEAAF9yZWxzLy5yZWxzUEsBAi0AFAAGAAgAAAAhAFymewPEAAAA3gAAAA8A&#10;AAAAAAAAAAAAAAAABwIAAGRycy9kb3ducmV2LnhtbFBLBQYAAAAAAwADALcAAAD4AgAAAAA=&#10;" filled="f" stroked="f">
                  <v:textbox inset="0,0,0,0">
                    <w:txbxContent>
                      <w:p w14:paraId="6CF5ED3F" w14:textId="77777777" w:rsidR="00B32EF2" w:rsidRDefault="00000000">
                        <w:r>
                          <w:rPr>
                            <w:rFonts w:ascii="Arial" w:eastAsia="Arial" w:hAnsi="Arial" w:cs="Arial"/>
                            <w:sz w:val="18"/>
                          </w:rPr>
                          <w:t xml:space="preserve">petente ufficio provvede all’iscrizione a ruolo o, nei casi di cui all’articolo 29 </w:t>
                        </w:r>
                      </w:p>
                    </w:txbxContent>
                  </v:textbox>
                </v:rect>
                <v:rect id="Rectangle 15628" o:spid="_x0000_s2074" style="position:absolute;left:-13172;top:537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e9xxwAAAN4AAAAPAAAAZHJzL2Rvd25yZXYueG1sRI9Ba8JA&#10;EIXvQv/DMoXedFOhIqmrFIs0h16qEXocsmOSNju7ZFeT+uudQ8HbDO/Ne9+sNqPr1IX62Ho28DzL&#10;QBFX3rZcGygPu+kSVEzIFjvPZOCPImzWD5MV5tYP/EWXfaqVhHDM0UCTUsi1jlVDDuPMB2LRTr53&#10;mGTta217HCTcdXqeZQvtsGVpaDDQtqHqd392Br7fORS7QVen6zZ8/hTL7uNcHo15ehzfXkElGtPd&#10;/H9dWMF/WcyFV96RGfT6BgAA//8DAFBLAQItABQABgAIAAAAIQDb4fbL7gAAAIUBAAATAAAAAAAA&#10;AAAAAAAAAAAAAABbQ29udGVudF9UeXBlc10ueG1sUEsBAi0AFAAGAAgAAAAhAFr0LFu/AAAAFQEA&#10;AAsAAAAAAAAAAAAAAAAAHwEAAF9yZWxzLy5yZWxzUEsBAi0AFAAGAAgAAAAhAC0573HHAAAA3gAA&#10;AA8AAAAAAAAAAAAAAAAABwIAAGRycy9kb3ducmV2LnhtbFBLBQYAAAAAAwADALcAAAD7AgAAAAA=&#10;" filled="f" stroked="f">
                  <v:textbox inset="0,0,0,0">
                    <w:txbxContent>
                      <w:p w14:paraId="34D9FF73" w14:textId="77777777" w:rsidR="00B32EF2" w:rsidRDefault="00000000">
                        <w:r>
                          <w:rPr>
                            <w:rFonts w:ascii="Arial" w:eastAsia="Arial" w:hAnsi="Arial" w:cs="Arial"/>
                            <w:sz w:val="18"/>
                          </w:rPr>
                          <w:t xml:space="preserve">del decreto-legge 31 maggio 2010, n. 78, convertito, con modificazioni, dalla </w:t>
                        </w:r>
                      </w:p>
                    </w:txbxContent>
                  </v:textbox>
                </v:rect>
                <v:rect id="Rectangle 15629" o:spid="_x0000_s2075" style="position:absolute;left:-13172;top:525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UrqxAAAAN4AAAAPAAAAZHJzL2Rvd25yZXYueG1sRE9Li8Iw&#10;EL4v+B/CCN7WdAVFq1EWF9ke9uILPA7N2FabSWiirf76jbCwt/n4nrNYdaYWd2p8ZVnBxzABQZxb&#10;XXGh4LDfvE9B+ICssbZMCh7kYbXsvS0w1bblLd13oRAxhH2KCsoQXCqlz0sy6IfWEUfubBuDIcKm&#10;kLrBNoabWo6SZCINVhwbSnS0Lim/7m5GwemLXbZpZX5+rt3PJZvW37fDUalBv/ucgwjUhX/xnzvT&#10;cf54MprB6514g1z+AgAA//8DAFBLAQItABQABgAIAAAAIQDb4fbL7gAAAIUBAAATAAAAAAAAAAAA&#10;AAAAAAAAAABbQ29udGVudF9UeXBlc10ueG1sUEsBAi0AFAAGAAgAAAAhAFr0LFu/AAAAFQEAAAsA&#10;AAAAAAAAAAAAAAAAHwEAAF9yZWxzLy5yZWxzUEsBAi0AFAAGAAgAAAAhAEJ1SurEAAAA3gAAAA8A&#10;AAAAAAAAAAAAAAAABwIAAGRycy9kb3ducmV2LnhtbFBLBQYAAAAAAwADALcAAAD4AgAAAAA=&#10;" filled="f" stroked="f">
                  <v:textbox inset="0,0,0,0">
                    <w:txbxContent>
                      <w:p w14:paraId="1EE6E833" w14:textId="77777777" w:rsidR="00B32EF2" w:rsidRDefault="00000000">
                        <w:r>
                          <w:rPr>
                            <w:rFonts w:ascii="Arial" w:eastAsia="Arial" w:hAnsi="Arial" w:cs="Arial"/>
                            <w:sz w:val="18"/>
                          </w:rPr>
                          <w:t xml:space="preserve">legge 30 luglio 2010, n. 122, all’intimazione ad adempiere al pagamento delle </w:t>
                        </w:r>
                      </w:p>
                    </w:txbxContent>
                  </v:textbox>
                </v:rect>
                <v:rect id="Rectangle 15630" o:spid="_x0000_s2076" style="position:absolute;left:-13172;top:513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nWqyAAAAN4AAAAPAAAAZHJzL2Rvd25yZXYueG1sRI9Pa8JA&#10;EMXvQr/DMoXedFOLIqmrFIuYgxf/FHocsmOSNju7ZFeT9tM7h0JvM8yb995vuR5cq27UxcazgedJ&#10;Boq49LbhysD5tB0vQMWEbLH1TAZ+KMJ69TBaYm59zwe6HVOlxIRjjgbqlEKudSxrchgnPhDL7eI7&#10;h0nWrtK2w17MXaunWTbXDhuWhBoDbWoqv49XZ+DznUOx7XV5+d2E/VexaHfX84cxT4/D2yuoREP6&#10;F/99F1bqz+YvAiA4MoNe3QEAAP//AwBQSwECLQAUAAYACAAAACEA2+H2y+4AAACFAQAAEwAAAAAA&#10;AAAAAAAAAAAAAAAAW0NvbnRlbnRfVHlwZXNdLnhtbFBLAQItABQABgAIAAAAIQBa9CxbvwAAABUB&#10;AAALAAAAAAAAAAAAAAAAAB8BAABfcmVscy8ucmVsc1BLAQItABQABgAIAAAAIQBWlnWqyAAAAN4A&#10;AAAPAAAAAAAAAAAAAAAAAAcCAABkcnMvZG93bnJldi54bWxQSwUGAAAAAAMAAwC3AAAA/AIAAAAA&#10;" filled="f" stroked="f">
                  <v:textbox inset="0,0,0,0">
                    <w:txbxContent>
                      <w:p w14:paraId="4EBB4E01" w14:textId="77777777" w:rsidR="00B32EF2" w:rsidRDefault="00000000">
                        <w:r>
                          <w:rPr>
                            <w:rFonts w:ascii="Arial" w:eastAsia="Arial" w:hAnsi="Arial" w:cs="Arial"/>
                            <w:sz w:val="18"/>
                          </w:rPr>
                          <w:t xml:space="preserve">residue somme dovute a titolo di imposta, interessi e sanzioni, nonché della </w:t>
                        </w:r>
                      </w:p>
                    </w:txbxContent>
                  </v:textbox>
                </v:rect>
                <v:rect id="Rectangle 15631" o:spid="_x0000_s2077" style="position:absolute;left:-12205;top:50099;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tAxxAAAAN4AAAAPAAAAZHJzL2Rvd25yZXYueG1sRE9Li8Iw&#10;EL4v7H8Is+BtTVVWpBplcRF72Isv8Dg0Y1ttJqGJtvrrzcKCt/n4njNbdKYWN2p8ZVnBoJ+AIM6t&#10;rrhQsN+tPicgfEDWWFsmBXfysJi/v80w1bblDd22oRAxhH2KCsoQXCqlz0sy6PvWEUfuZBuDIcKm&#10;kLrBNoabWg6TZCwNVhwbSnS0LCm/bK9GwfGHXbZqZX56LN3vOZvU6+v+oFTvo/ueggjUhZf4353p&#10;OP9rPBrA3zvxBjl/AgAA//8DAFBLAQItABQABgAIAAAAIQDb4fbL7gAAAIUBAAATAAAAAAAAAAAA&#10;AAAAAAAAAABbQ29udGVudF9UeXBlc10ueG1sUEsBAi0AFAAGAAgAAAAhAFr0LFu/AAAAFQEAAAsA&#10;AAAAAAAAAAAAAAAAHwEAAF9yZWxzLy5yZWxzUEsBAi0AFAAGAAgAAAAhADna0DHEAAAA3gAAAA8A&#10;AAAAAAAAAAAAAAAABwIAAGRycy9kb3ducmV2LnhtbFBLBQYAAAAAAwADALcAAAD4AgAAAAA=&#10;" filled="f" stroked="f">
                  <v:textbox inset="0,0,0,0">
                    <w:txbxContent>
                      <w:p w14:paraId="28E3F585" w14:textId="77777777" w:rsidR="00B32EF2" w:rsidRDefault="00000000">
                        <w:r>
                          <w:rPr>
                            <w:rFonts w:ascii="Arial" w:eastAsia="Arial" w:hAnsi="Arial" w:cs="Arial"/>
                            <w:sz w:val="18"/>
                          </w:rPr>
                          <w:t>sanzione di cui all’articolo 38 del testo unico delle sanzioni tributarie ammini</w:t>
                        </w:r>
                      </w:p>
                    </w:txbxContent>
                  </v:textbox>
                </v:rect>
                <v:rect id="Rectangle 15632" o:spid="_x0000_s2078" style="position:absolute;left:192;top:500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E5GxAAAAN4AAAAPAAAAZHJzL2Rvd25yZXYueG1sRE9Ni8Iw&#10;EL0L/ocwgjdNVVakaxRRxB72sq4Lexyasa02k9BEW/31m4UFb/N4n7Ncd6YWd2p8ZVnBZJyAIM6t&#10;rrhQcPrajxYgfEDWWFsmBQ/ysF71e0tMtW35k+7HUIgYwj5FBWUILpXS5yUZ9GPriCN3to3BEGFT&#10;SN1gG8NNLadJMpcGK44NJTralpRfjzej4GfHLtu3Mj8/t+7jki3qw+30rdRw0G3eQQTqwkv87850&#10;nP82n03h7514g1z9AgAA//8DAFBLAQItABQABgAIAAAAIQDb4fbL7gAAAIUBAAATAAAAAAAAAAAA&#10;AAAAAAAAAABbQ29udGVudF9UeXBlc10ueG1sUEsBAi0AFAAGAAgAAAAhAFr0LFu/AAAAFQEAAAsA&#10;AAAAAAAAAAAAAAAAHwEAAF9yZWxzLy5yZWxzUEsBAi0AFAAGAAgAAAAhAMkITkbEAAAA3gAAAA8A&#10;AAAAAAAAAAAAAAAABwIAAGRycy9kb3ducmV2LnhtbFBLBQYAAAAAAwADALcAAAD4AgAAAAA=&#10;" filled="f" stroked="f">
                  <v:textbox inset="0,0,0,0">
                    <w:txbxContent>
                      <w:p w14:paraId="045FD988" w14:textId="77777777" w:rsidR="00B32EF2" w:rsidRDefault="00000000">
                        <w:r>
                          <w:rPr>
                            <w:rFonts w:ascii="Arial" w:eastAsia="Arial" w:hAnsi="Arial" w:cs="Arial"/>
                            <w:sz w:val="18"/>
                          </w:rPr>
                          <w:t>-</w:t>
                        </w:r>
                      </w:p>
                    </w:txbxContent>
                  </v:textbox>
                </v:rect>
                <v:rect id="Rectangle 15633" o:spid="_x0000_s2079" style="position:absolute;left:-13172;top:488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OvdxAAAAN4AAAAPAAAAZHJzL2Rvd25yZXYueG1sRE9Ni8Iw&#10;EL0L/ocwgjdNVVakaxRRxB72sq4Lexyasa02k9BEW/31m4UFb/N4n7Ncd6YWd2p8ZVnBZJyAIM6t&#10;rrhQcPrajxYgfEDWWFsmBQ/ysF71e0tMtW35k+7HUIgYwj5FBWUILpXS5yUZ9GPriCN3to3BEGFT&#10;SN1gG8NNLadJMpcGK44NJTralpRfjzej4GfHLtu3Mj8/t+7jki3qw+30rdRw0G3eQQTqwkv87850&#10;nP82n83g7514g1z9AgAA//8DAFBLAQItABQABgAIAAAAIQDb4fbL7gAAAIUBAAATAAAAAAAAAAAA&#10;AAAAAAAAAABbQ29udGVudF9UeXBlc10ueG1sUEsBAi0AFAAGAAgAAAAhAFr0LFu/AAAAFQEAAAsA&#10;AAAAAAAAAAAAAAAAHwEAAF9yZWxzLy5yZWxzUEsBAi0AFAAGAAgAAAAhAKZE693EAAAA3gAAAA8A&#10;AAAAAAAAAAAAAAAABwIAAGRycy9kb3ducmV2LnhtbFBLBQYAAAAAAwADALcAAAD4AgAAAAA=&#10;" filled="f" stroked="f">
                  <v:textbox inset="0,0,0,0">
                    <w:txbxContent>
                      <w:p w14:paraId="779320ED" w14:textId="77777777" w:rsidR="00B32EF2" w:rsidRDefault="00000000">
                        <w:r>
                          <w:rPr>
                            <w:rFonts w:ascii="Arial" w:eastAsia="Arial" w:hAnsi="Arial" w:cs="Arial"/>
                            <w:sz w:val="18"/>
                          </w:rPr>
                          <w:t xml:space="preserve">strative e penali, aumentata della metà e applicata sul residuo importo dovuto </w:t>
                        </w:r>
                      </w:p>
                    </w:txbxContent>
                  </v:textbox>
                </v:rect>
                <v:rect id="Rectangle 15634" o:spid="_x0000_s2080" style="position:absolute;left:27105;top:47633;width:128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XOpxQAAAN4AAAAPAAAAZHJzL2Rvd25yZXYueG1sRE9La8JA&#10;EL4X/A/LCN7qxlpFoquIRZpDL/UBHofsmESzs0t2NWl/fbcgeJuP7zmLVWdqcafGV5YVjIYJCOLc&#10;6ooLBYf99nUGwgdkjbVlUvBDHlbL3ssCU21b/qb7LhQihrBPUUEZgkul9HlJBv3QOuLInW1jMETY&#10;FFI32MZwU8u3JJlKgxXHhhIdbUrKr7ubUXD6YJdtW5mffzfu65LN6s/b4ajUoN+t5yACdeEpfrgz&#10;HedPpuN3+H8n3iCXfwAAAP//AwBQSwECLQAUAAYACAAAACEA2+H2y+4AAACFAQAAEwAAAAAAAAAA&#10;AAAAAAAAAAAAW0NvbnRlbnRfVHlwZXNdLnhtbFBLAQItABQABgAIAAAAIQBa9CxbvwAAABUBAAAL&#10;AAAAAAAAAAAAAAAAAB8BAABfcmVscy8ucmVsc1BLAQItABQABgAIAAAAIQAprXOpxQAAAN4AAAAP&#10;AAAAAAAAAAAAAAAAAAcCAABkcnMvZG93bnJldi54bWxQSwUGAAAAAAMAAwC3AAAA+QIAAAAA&#10;" filled="f" stroked="f">
                  <v:textbox inset="0,0,0,0">
                    <w:txbxContent>
                      <w:p w14:paraId="10F2EA08" w14:textId="77777777" w:rsidR="00B32EF2" w:rsidRDefault="00000000">
                        <w:r>
                          <w:rPr>
                            <w:rFonts w:ascii="Arial" w:eastAsia="Arial" w:hAnsi="Arial" w:cs="Arial"/>
                            <w:sz w:val="18"/>
                          </w:rPr>
                          <w:t xml:space="preserve">a titolo di imposta. </w:t>
                        </w:r>
                      </w:p>
                    </w:txbxContent>
                  </v:textbox>
                </v:rect>
                <v:rect id="Rectangle 200099" o:spid="_x0000_s2081" style="position:absolute;left:-12834;top:46400;width:5212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v1txwAAAN8AAAAPAAAAZHJzL2Rvd25yZXYueG1sRI/NasMw&#10;EITvhb6D2EJutdwcQuJECSUhxIdemjqQ42JtbLfWSljyT/r0VaHQ4zAz3zCb3WRaMVDnG8sKXpIU&#10;BHFpdcOVguLj+LwE4QOyxtYyKbiTh9328WGDmbYjv9NwDpWIEPYZKqhDcJmUvqzJoE+sI47ezXYG&#10;Q5RdJXWHY4SbVs7TdCENNhwXanS0r6n8OvdGwfXALj+Osrx9793bZ75sT31xUWr2NL2uQQSawn/4&#10;r51rBZGYrlbw+yd+Abn9AQAA//8DAFBLAQItABQABgAIAAAAIQDb4fbL7gAAAIUBAAATAAAAAAAA&#10;AAAAAAAAAAAAAABbQ29udGVudF9UeXBlc10ueG1sUEsBAi0AFAAGAAgAAAAhAFr0LFu/AAAAFQEA&#10;AAsAAAAAAAAAAAAAAAAAHwEAAF9yZWxzLy5yZWxzUEsBAi0AFAAGAAgAAAAhACZe/W3HAAAA3wAA&#10;AA8AAAAAAAAAAAAAAAAABwIAAGRycy9kb3ducmV2LnhtbFBLBQYAAAAAAwADALcAAAD7AgAAAAA=&#10;" filled="f" stroked="f">
                  <v:textbox inset="0,0,0,0">
                    <w:txbxContent>
                      <w:p w14:paraId="3D544BEB" w14:textId="77777777" w:rsidR="00B32EF2" w:rsidRDefault="00000000">
                        <w:r>
                          <w:rPr>
                            <w:rFonts w:ascii="Arial" w:eastAsia="Arial" w:hAnsi="Arial" w:cs="Arial"/>
                            <w:sz w:val="18"/>
                          </w:rPr>
                          <w:t>. Per il versamento rateale delle somme dovute si applicano, in quanto com</w:t>
                        </w:r>
                      </w:p>
                    </w:txbxContent>
                  </v:textbox>
                </v:rect>
                <v:rect id="Rectangle 200098" o:spid="_x0000_s2082" style="position:absolute;left:26350;top:46400;width:5212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lj2xwAAAN8AAAAPAAAAZHJzL2Rvd25yZXYueG1sRI/BbsIw&#10;DIbvSLxDZKTdIB2HiXUENIHQetgFBtKOVmPaQuNETaDdnh4fJu1o/f4/+1uuB9eqO3Wx8WzgeZaB&#10;Ii69bbgycPzaTRegYkK22HomAz8UYb0aj5aYW9/znu6HVCmBcMzRQJ1SyLWOZU0O48wHYsnOvnOY&#10;ZOwqbTvsBe5aPc+yF+2wYblQY6BNTeX1cHMGvrccil2vy/PvJnxeikX7cTuejHmaDO9voBIN6X/5&#10;r11YA0LMXuVh8REX0KsHAAAA//8DAFBLAQItABQABgAIAAAAIQDb4fbL7gAAAIUBAAATAAAAAAAA&#10;AAAAAAAAAAAAAABbQ29udGVudF9UeXBlc10ueG1sUEsBAi0AFAAGAAgAAAAhAFr0LFu/AAAAFQEA&#10;AAsAAAAAAAAAAAAAAAAAHwEAAF9yZWxzLy5yZWxzUEsBAi0AFAAGAAgAAAAhAEkSWPbHAAAA3wAA&#10;AA8AAAAAAAAAAAAAAAAABwIAAGRycy9kb3ducmV2LnhtbFBLBQYAAAAAAwADALcAAAD7AgAAAAA=&#10;" filled="f" stroked="f">
                  <v:textbox inset="0,0,0,0">
                    <w:txbxContent>
                      <w:p w14:paraId="7357738A" w14:textId="77777777" w:rsidR="00B32EF2" w:rsidRDefault="00000000">
                        <w:r>
                          <w:rPr>
                            <w:rFonts w:ascii="Arial" w:eastAsia="Arial" w:hAnsi="Arial" w:cs="Arial"/>
                            <w:sz w:val="18"/>
                          </w:rPr>
                          <w:t>4</w:t>
                        </w:r>
                      </w:p>
                    </w:txbxContent>
                  </v:textbox>
                </v:rect>
                <v:rect id="Rectangle 15636" o:spid="_x0000_s2083" style="position:absolute;left:192;top:4640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0hFxQAAAN4AAAAPAAAAZHJzL2Rvd25yZXYueG1sRE9La8JA&#10;EL4X+h+WEbzVjYpBUlcpFjEHLz4KPQ7ZMUmbnV2yq4n+erdQ8DYf33MWq9404kqtry0rGI8SEMSF&#10;1TWXCk7HzdschA/IGhvLpOBGHlbL15cFZtp2vKfrIZQihrDPUEEVgsuk9EVFBv3IOuLInW1rMETY&#10;llK32MVw08hJkqTSYM2xoUJH64qK38PFKPj+ZJdvOlmc72u3+8nnzfZy+lJqOOg/3kEE6sNT/O/O&#10;dZw/S6cp/L0Tb5DLBwAAAP//AwBQSwECLQAUAAYACAAAACEA2+H2y+4AAACFAQAAEwAAAAAAAAAA&#10;AAAAAAAAAAAAW0NvbnRlbnRfVHlwZXNdLnhtbFBLAQItABQABgAIAAAAIQBa9CxbvwAAABUBAAAL&#10;AAAAAAAAAAAAAAAAAB8BAABfcmVscy8ucmVsc1BLAQItABQABgAIAAAAIQC2M0hFxQAAAN4AAAAP&#10;AAAAAAAAAAAAAAAAAAcCAABkcnMvZG93bnJldi54bWxQSwUGAAAAAAMAAwC3AAAA+QIAAAAA&#10;" filled="f" stroked="f">
                  <v:textbox inset="0,0,0,0">
                    <w:txbxContent>
                      <w:p w14:paraId="618C63A4" w14:textId="77777777" w:rsidR="00B32EF2" w:rsidRDefault="00000000">
                        <w:r>
                          <w:rPr>
                            <w:rFonts w:ascii="Arial" w:eastAsia="Arial" w:hAnsi="Arial" w:cs="Arial"/>
                            <w:sz w:val="18"/>
                          </w:rPr>
                          <w:t>-</w:t>
                        </w:r>
                      </w:p>
                    </w:txbxContent>
                  </v:textbox>
                </v:rect>
                <v:rect id="Rectangle 15637" o:spid="_x0000_s2084" style="position:absolute;left:-13172;top:451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3exQAAAN4AAAAPAAAAZHJzL2Rvd25yZXYueG1sRE9La8JA&#10;EL4L/odlBG+6aYsPoqsUi5hDL/UBHofsmMRmZ5fsamJ/fbdQ8DYf33OW687U4k6NrywreBknIIhz&#10;qysuFBwP29EchA/IGmvLpOBBHtarfm+JqbYtf9F9HwoRQ9inqKAMwaVS+rwkg35sHXHkLrYxGCJs&#10;CqkbbGO4qeVrkkylwYpjQ4mONiXl3/ubUXD+YJdtW5lffjbu85rN693teFJqOOjeFyACdeEp/ndn&#10;Os6fTN9m8PdOvEGufgEAAP//AwBQSwECLQAUAAYACAAAACEA2+H2y+4AAACFAQAAEwAAAAAAAAAA&#10;AAAAAAAAAAAAW0NvbnRlbnRfVHlwZXNdLnhtbFBLAQItABQABgAIAAAAIQBa9CxbvwAAABUBAAAL&#10;AAAAAAAAAAAAAAAAAB8BAABfcmVscy8ucmVsc1BLAQItABQABgAIAAAAIQDZf+3exQAAAN4AAAAP&#10;AAAAAAAAAAAAAAAAAAcCAABkcnMvZG93bnJldi54bWxQSwUGAAAAAAMAAwC3AAAA+QIAAAAA&#10;" filled="f" stroked="f">
                  <v:textbox inset="0,0,0,0">
                    <w:txbxContent>
                      <w:p w14:paraId="22D784A5" w14:textId="77777777" w:rsidR="00B32EF2" w:rsidRDefault="00000000">
                        <w:r>
                          <w:rPr>
                            <w:rFonts w:ascii="Arial" w:eastAsia="Arial" w:hAnsi="Arial" w:cs="Arial"/>
                            <w:sz w:val="18"/>
                          </w:rPr>
                          <w:t xml:space="preserve">patibili, le disposizioni previste per l’accertamento con adesione dall’articolo 8 </w:t>
                        </w:r>
                      </w:p>
                    </w:txbxContent>
                  </v:textbox>
                </v:rect>
                <v:rect id="Rectangle 15638" o:spid="_x0000_s2085" style="position:absolute;left:8957;top:43933;width:309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HmsyAAAAN4AAAAPAAAAZHJzL2Rvd25yZXYueG1sRI9Pa8JA&#10;EMXvQr/DMoXedFOLIqmrFIuYgxf/FHocsmOSNju7ZFeT9tM7h0JvM7w37/1muR5cq27UxcazgedJ&#10;Boq49LbhysD5tB0vQMWEbLH1TAZ+KMJ69TBaYm59zwe6HVOlJIRjjgbqlEKudSxrchgnPhCLdvGd&#10;wyRrV2nbYS/hrtXTLJtrhw1LQ42BNjWV38erM/D5zqHY9rq8/G7C/qtYtLvr+cOYp8fh7RVUoiH9&#10;m/+uCyv4s/mL8Mo7MoNe3QEAAP//AwBQSwECLQAUAAYACAAAACEA2+H2y+4AAACFAQAAEwAAAAAA&#10;AAAAAAAAAAAAAAAAW0NvbnRlbnRfVHlwZXNdLnhtbFBLAQItABQABgAIAAAAIQBa9CxbvwAAABUB&#10;AAALAAAAAAAAAAAAAAAAAB8BAABfcmVscy8ucmVsc1BLAQItABQABgAIAAAAIQCo4HmsyAAAAN4A&#10;AAAPAAAAAAAAAAAAAAAAAAcCAABkcnMvZG93bnJldi54bWxQSwUGAAAAAAMAAwC3AAAA/AIAAAAA&#10;" filled="f" stroked="f">
                  <v:textbox inset="0,0,0,0">
                    <w:txbxContent>
                      <w:p w14:paraId="7A9C4B62" w14:textId="77777777" w:rsidR="00B32EF2" w:rsidRDefault="00000000">
                        <w:r>
                          <w:rPr>
                            <w:rFonts w:ascii="Arial" w:eastAsia="Arial" w:hAnsi="Arial" w:cs="Arial"/>
                            <w:sz w:val="18"/>
                          </w:rPr>
                          <w:t>del decreto legislativo 19 giugno 1997, n. 218.</w:t>
                        </w:r>
                      </w:p>
                    </w:txbxContent>
                  </v:textbox>
                </v:rect>
                <v:shape id="Shape 207782" o:spid="_x0000_s2086" style="position:absolute;left:318;top:4731;width:39600;height:38393;visibility:visible;mso-wrap-style:square;v-text-anchor:top" coordsize="3960000,3839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U3nxwAAAN8AAAAPAAAAZHJzL2Rvd25yZXYueG1sRI9BawIx&#10;FITvBf9DeEJvNetSqq5GEWlLD+2hKnh9JM/s4uZlTVJ3+++bQqHHYWa+YVabwbXiRiE2nhVMJwUI&#10;Yu1Nw1bB8fDyMAcRE7LB1jMp+KYIm/XoboWV8T1/0m2frMgQjhUqqFPqKimjrslhnPiOOHtnHxym&#10;LIOVJmCf4a6VZVE8SYcN54UaO9rVpC/7L6egjVP7rPXrddEES9v+9PF+eExK3Y+H7RJEoiH9h//a&#10;b0ZBWcxm8xJ+/+QvINc/AAAA//8DAFBLAQItABQABgAIAAAAIQDb4fbL7gAAAIUBAAATAAAAAAAA&#10;AAAAAAAAAAAAAABbQ29udGVudF9UeXBlc10ueG1sUEsBAi0AFAAGAAgAAAAhAFr0LFu/AAAAFQEA&#10;AAsAAAAAAAAAAAAAAAAAHwEAAF9yZWxzLy5yZWxzUEsBAi0AFAAGAAgAAAAhADnhTefHAAAA3wAA&#10;AA8AAAAAAAAAAAAAAAAABwIAAGRycy9kb3ducmV2LnhtbFBLBQYAAAAAAwADALcAAAD7AgAAAAA=&#10;" path="m,l3960000,r,3839299l,3839299,,e" fillcolor="#c3c3c3" stroked="f" strokeweight="0">
                  <v:stroke miterlimit="83231f" joinstyle="miter"/>
                  <v:path arrowok="t" textboxrect="0,0,3960000,3839299"/>
                </v:shape>
                <v:rect id="Rectangle 15640" o:spid="_x0000_s2087" style="position:absolute;left:23287;top:4091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AbXyAAAAN4AAAAPAAAAZHJzL2Rvd25yZXYueG1sRI9Pa8JA&#10;EMXvQr/DMoXedFOpIqmrFIuYgxf/FHocsmOSNju7ZFeT9tM7h0JvM8yb995vuR5cq27UxcazgedJ&#10;Boq49LbhysD5tB0vQMWEbLH1TAZ+KMJ69TBaYm59zwe6HVOlxIRjjgbqlEKudSxrchgnPhDL7eI7&#10;h0nWrtK2w17MXaunWTbXDhuWhBoDbWoqv49XZ+DznUOx7XV5+d2E/VexaHfX84cxT4/D2yuoREP6&#10;F/99F1bqz+YvAiA4MoNe3QEAAP//AwBQSwECLQAUAAYACAAAACEA2+H2y+4AAACFAQAAEwAAAAAA&#10;AAAAAAAAAAAAAAAAW0NvbnRlbnRfVHlwZXNdLnhtbFBLAQItABQABgAIAAAAIQBa9CxbvwAAABUB&#10;AAALAAAAAAAAAAAAAAAAAB8BAABfcmVscy8ucmVsc1BLAQItABQABgAIAAAAIQAOkAbXyAAAAN4A&#10;AAAPAAAAAAAAAAAAAAAAAAcCAABkcnMvZG93bnJldi54bWxQSwUGAAAAAAMAAwC3AAAA/AIAAAAA&#10;" filled="f" stroked="f">
                  <v:textbox inset="0,0,0,0">
                    <w:txbxContent>
                      <w:p w14:paraId="2CA92DD4" w14:textId="77777777" w:rsidR="00B32EF2" w:rsidRDefault="00000000">
                        <w:r>
                          <w:rPr>
                            <w:rFonts w:ascii="Arial" w:eastAsia="Arial" w:hAnsi="Arial" w:cs="Arial"/>
                            <w:b/>
                            <w:i/>
                            <w:sz w:val="18"/>
                          </w:rPr>
                          <w:t>NORME RICHIAMATE</w:t>
                        </w:r>
                      </w:p>
                    </w:txbxContent>
                  </v:textbox>
                </v:rect>
                <v:rect id="Rectangle 15641" o:spid="_x0000_s2088" style="position:absolute;left:-11148;top:39679;width:502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KNMxAAAAN4AAAAPAAAAZHJzL2Rvd25yZXYueG1sRE9Li8Iw&#10;EL4v7H8Is+BtTRVXpBplcRF72Isv8Dg0Y1ttJqGJtvrrzcKCt/n4njNbdKYWN2p8ZVnBoJ+AIM6t&#10;rrhQsN+tPicgfEDWWFsmBXfysJi/v80w1bblDd22oRAxhH2KCsoQXCqlz0sy6PvWEUfuZBuDIcKm&#10;kLrBNoabWg6TZCwNVhwbSnS0LCm/bK9GwfGHXbZqZX56LN3vOZvU6+v+oFTvo/ueggjUhZf4353p&#10;OP9rPBrA3zvxBjl/AgAA//8DAFBLAQItABQABgAIAAAAIQDb4fbL7gAAAIUBAAATAAAAAAAAAAAA&#10;AAAAAAAAAABbQ29udGVudF9UeXBlc10ueG1sUEsBAi0AFAAGAAgAAAAhAFr0LFu/AAAAFQEAAAsA&#10;AAAAAAAAAAAAAAAAHwEAAF9yZWxzLy5yZWxzUEsBAi0AFAAGAAgAAAAhAGHco0zEAAAA3gAAAA8A&#10;AAAAAAAAAAAAAAAABwIAAGRycy9kb3ducmV2LnhtbFBLBQYAAAAAAwADALcAAAD4AgAAAAA=&#10;" filled="f" stroked="f">
                  <v:textbox inset="0,0,0,0">
                    <w:txbxContent>
                      <w:p w14:paraId="1F35B429" w14:textId="77777777" w:rsidR="00B32EF2" w:rsidRDefault="00000000">
                        <w:r>
                          <w:rPr>
                            <w:rFonts w:ascii="Arial" w:eastAsia="Arial" w:hAnsi="Arial" w:cs="Arial"/>
                            <w:i/>
                            <w:sz w:val="18"/>
                          </w:rPr>
                          <w:t>art. 29 D.L. 78/2010 “Concentrazione della riscossione nell’accertamento”</w:t>
                        </w:r>
                      </w:p>
                    </w:txbxContent>
                  </v:textbox>
                </v:rect>
                <v:rect id="Rectangle 200095" o:spid="_x0000_s2089" style="position:absolute;left:-12463;top:38446;width:5098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doxgAAAN8AAAAPAAAAZHJzL2Rvd25yZXYueG1sRI9Pi8Iw&#10;FMTvC36H8IS9aaqwol2jiCLbgxf/wR4fzbPtbvMSmmi7fnojCHscZuY3zHzZmVrcqPGVZQWjYQKC&#10;OLe64kLB6bgdTEH4gKyxtkwK/sjDctF7m2Oqbct7uh1CISKEfYoKyhBcKqXPSzLoh9YRR+9iG4Mh&#10;yqaQusE2wk0tx0kykQYrjgslOlqXlP8erkbB94Zdtm1lfrmv3e4nm9Zf19NZqfd+t/oEEagL/+FX&#10;O9MKIjGZfcDzT/wCcvEAAAD//wMAUEsBAi0AFAAGAAgAAAAhANvh9svuAAAAhQEAABMAAAAAAAAA&#10;AAAAAAAAAAAAAFtDb250ZW50X1R5cGVzXS54bWxQSwECLQAUAAYACAAAACEAWvQsW78AAAAVAQAA&#10;CwAAAAAAAAAAAAAAAAAfAQAAX3JlbHMvLnJlbHNQSwECLQAUAAYACAAAACEApxP3aMYAAADfAAAA&#10;DwAAAAAAAAAAAAAAAAAHAgAAZHJzL2Rvd25yZXYueG1sUEsFBgAAAAADAAMAtwAAAPoCAAAAAA==&#10;" filled="f" stroked="f">
                  <v:textbox inset="0,0,0,0">
                    <w:txbxContent>
                      <w:p w14:paraId="34956632" w14:textId="77777777" w:rsidR="00B32EF2" w:rsidRDefault="00000000">
                        <w:r>
                          <w:rPr>
                            <w:rFonts w:ascii="Arial" w:eastAsia="Arial" w:hAnsi="Arial" w:cs="Arial"/>
                            <w:i/>
                            <w:sz w:val="18"/>
                          </w:rPr>
                          <w:t xml:space="preserve">. Le attività di riscossione relative agli atti indicati nella seguente lettera a) </w:t>
                        </w:r>
                      </w:p>
                    </w:txbxContent>
                  </v:textbox>
                </v:rect>
                <v:rect id="Rectangle 200094" o:spid="_x0000_s2090" style="position:absolute;left:25848;top:38446;width:5098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1LzxgAAAN8AAAAPAAAAZHJzL2Rvd25yZXYueG1sRI9Pi8Iw&#10;FMTvC36H8IS9aaosol2jiCLbgxf/wR4fzbPtbvMSmmi7fnojCHscZuY3zHzZmVrcqPGVZQWjYQKC&#10;OLe64kLB6bgdTEH4gKyxtkwK/sjDctF7m2Oqbct7uh1CISKEfYoKyhBcKqXPSzLoh9YRR+9iG4Mh&#10;yqaQusE2wk0tx0kykQYrjgslOlqXlP8erkbB94Zdtm1lfrmv3e4nm9Zf19NZqfd+t/oEEagL/+FX&#10;O9MKIjGZfcDzT/wCcvEAAAD//wMAUEsBAi0AFAAGAAgAAAAhANvh9svuAAAAhQEAABMAAAAAAAAA&#10;AAAAAAAAAAAAAFtDb250ZW50X1R5cGVzXS54bWxQSwECLQAUAAYACAAAACEAWvQsW78AAAAVAQAA&#10;CwAAAAAAAAAAAAAAAAAfAQAAX3JlbHMvLnJlbHNQSwECLQAUAAYACAAAACEAyF9S88YAAADfAAAA&#10;DwAAAAAAAAAAAAAAAAAHAgAAZHJzL2Rvd25yZXYueG1sUEsFBgAAAAADAAMAtwAAAPoCAAAAAA==&#10;" filled="f" stroked="f">
                  <v:textbox inset="0,0,0,0">
                    <w:txbxContent>
                      <w:p w14:paraId="24FC92F8" w14:textId="77777777" w:rsidR="00B32EF2" w:rsidRDefault="00000000">
                        <w:r>
                          <w:rPr>
                            <w:rFonts w:ascii="Arial" w:eastAsia="Arial" w:hAnsi="Arial" w:cs="Arial"/>
                            <w:i/>
                            <w:sz w:val="18"/>
                          </w:rPr>
                          <w:t>1</w:t>
                        </w:r>
                      </w:p>
                    </w:txbxContent>
                  </v:textbox>
                </v:rect>
                <v:rect id="Rectangle 15643" o:spid="_x0000_s2091" style="position:absolute;left:-11890;top:37212;width:510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igxQAAAN4AAAAPAAAAZHJzL2Rvd25yZXYueG1sRE9La8JA&#10;EL4X/A/LCN7qxlpFoquIRZpDL/UBHofsmESzs0t2NWl/fbcgeJuP7zmLVWdqcafGV5YVjIYJCOLc&#10;6ooLBYf99nUGwgdkjbVlUvBDHlbL3ssCU21b/qb7LhQihrBPUUEZgkul9HlJBv3QOuLInW1jMETY&#10;FFI32MZwU8u3JJlKgxXHhhIdbUrKr7ubUXD6YJdtW5mffzfu65LN6s/b4ajUoN+t5yACdeEpfrgz&#10;HedPpu9j+H8n3iCXfwAAAP//AwBQSwECLQAUAAYACAAAACEA2+H2y+4AAACFAQAAEwAAAAAAAAAA&#10;AAAAAAAAAAAAW0NvbnRlbnRfVHlwZXNdLnhtbFBLAQItABQABgAIAAAAIQBa9CxbvwAAABUBAAAL&#10;AAAAAAAAAAAAAAAAAB8BAABfcmVscy8ucmVsc1BLAQItABQABgAIAAAAIQD+QpigxQAAAN4AAAAP&#10;AAAAAAAAAAAAAAAAAAcCAABkcnMvZG93bnJldi54bWxQSwUGAAAAAAMAAwC3AAAA+QIAAAAA&#10;" filled="f" stroked="f">
                  <v:textbox inset="0,0,0,0">
                    <w:txbxContent>
                      <w:p w14:paraId="5759AD58" w14:textId="77777777" w:rsidR="00B32EF2" w:rsidRDefault="00000000">
                        <w:r>
                          <w:rPr>
                            <w:rFonts w:ascii="Arial" w:eastAsia="Arial" w:hAnsi="Arial" w:cs="Arial"/>
                            <w:i/>
                            <w:sz w:val="18"/>
                          </w:rPr>
                          <w:t xml:space="preserve">emessi a partire dal 1 ottobre 2011 e relativi ai periodi d’imposta in corso </w:t>
                        </w:r>
                      </w:p>
                    </w:txbxContent>
                  </v:textbox>
                </v:rect>
                <v:rect id="Rectangle 15644" o:spid="_x0000_s2092" style="position:absolute;left:-11888;top:35979;width:510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DUxAAAAN4AAAAPAAAAZHJzL2Rvd25yZXYueG1sRE9Ni8Iw&#10;EL0L/ocwgjdNFVekaxRRxB72sq4Lexyasa02k9BEW/31m4UFb/N4n7Ncd6YWd2p8ZVnBZJyAIM6t&#10;rrhQcPrajxYgfEDWWFsmBQ/ysF71e0tMtW35k+7HUIgYwj5FBWUILpXS5yUZ9GPriCN3to3BEGFT&#10;SN1gG8NNLadJMpcGK44NJTralpRfjzej4GfHLtu3Mj8/t+7jki3qw+30rdRw0G3eQQTqwkv87850&#10;nP82n83g7514g1z9AgAA//8DAFBLAQItABQABgAIAAAAIQDb4fbL7gAAAIUBAAATAAAAAAAAAAAA&#10;AAAAAAAAAABbQ29udGVudF9UeXBlc10ueG1sUEsBAi0AFAAGAAgAAAAhAFr0LFu/AAAAFQEAAAsA&#10;AAAAAAAAAAAAAAAAHwEAAF9yZWxzLy5yZWxzUEsBAi0AFAAGAAgAAAAhAHGrANTEAAAA3gAAAA8A&#10;AAAAAAAAAAAAAAAABwIAAGRycy9kb3ducmV2LnhtbFBLBQYAAAAAAwADALcAAAD4AgAAAAA=&#10;" filled="f" stroked="f">
                  <v:textbox inset="0,0,0,0">
                    <w:txbxContent>
                      <w:p w14:paraId="2D04FD4A" w14:textId="77777777" w:rsidR="00B32EF2" w:rsidRDefault="00000000">
                        <w:r>
                          <w:rPr>
                            <w:rFonts w:ascii="Arial" w:eastAsia="Arial" w:hAnsi="Arial" w:cs="Arial"/>
                            <w:i/>
                            <w:sz w:val="18"/>
                          </w:rPr>
                          <w:t xml:space="preserve">alla data del 31 dicembre 2007 e successivi, sono potenziate mediante le </w:t>
                        </w:r>
                      </w:p>
                    </w:txbxContent>
                  </v:textbox>
                </v:rect>
                <v:rect id="Rectangle 15645" o:spid="_x0000_s2093" style="position:absolute;left:24537;top:34746;width:146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6VPxAAAAN4AAAAPAAAAZHJzL2Rvd25yZXYueG1sRE9Ni8Iw&#10;EL0L/ocwgjdNlVWkaxRRZHvwsq4Lexyasa02k9BEW/31m4UFb/N4n7Ncd6YWd2p8ZVnBZJyAIM6t&#10;rrhQcPrajxYgfEDWWFsmBQ/ysF71e0tMtW35k+7HUIgYwj5FBWUILpXS5yUZ9GPriCN3to3BEGFT&#10;SN1gG8NNLadJMpcGK44NJTralpRfjzej4GfHLtu3Mj8/t+5wyRb1x+30rdRw0G3eQQTqwkv87850&#10;nD+bv83g7514g1z9AgAA//8DAFBLAQItABQABgAIAAAAIQDb4fbL7gAAAIUBAAATAAAAAAAAAAAA&#10;AAAAAAAAAABbQ29udGVudF9UeXBlc10ueG1sUEsBAi0AFAAGAAgAAAAhAFr0LFu/AAAAFQEAAAsA&#10;AAAAAAAAAAAAAAAAHwEAAF9yZWxzLy5yZWxzUEsBAi0AFAAGAAgAAAAhAB7npU/EAAAA3gAAAA8A&#10;AAAAAAAAAAAAAAAABwIAAGRycy9kb3ducmV2LnhtbFBLBQYAAAAAAwADALcAAAD4AgAAAAA=&#10;" filled="f" stroked="f">
                  <v:textbox inset="0,0,0,0">
                    <w:txbxContent>
                      <w:p w14:paraId="47294E2D" w14:textId="77777777" w:rsidR="00B32EF2" w:rsidRDefault="00000000">
                        <w:r>
                          <w:rPr>
                            <w:rFonts w:ascii="Arial" w:eastAsia="Arial" w:hAnsi="Arial" w:cs="Arial"/>
                            <w:i/>
                            <w:sz w:val="18"/>
                          </w:rPr>
                          <w:t>seguenti disposizioni:</w:t>
                        </w:r>
                      </w:p>
                    </w:txbxContent>
                  </v:textbox>
                </v:rect>
                <v:rect id="Rectangle 15646" o:spid="_x0000_s2094" style="position:absolute;left:-11872;top:33512;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Ts4xQAAAN4AAAAPAAAAZHJzL2Rvd25yZXYueG1sRE9La8JA&#10;EL4X+h+WEbzVjaJBUlcpFjEHLz4KPQ7ZMUmbnV2yq4n+erdQ8DYf33MWq9404kqtry0rGI8SEMSF&#10;1TWXCk7HzdschA/IGhvLpOBGHlbL15cFZtp2vKfrIZQihrDPUEEVgsuk9EVFBv3IOuLInW1rMETY&#10;llK32MVw08hJkqTSYM2xoUJH64qK38PFKPj+ZJdvOlmc72u3+8nnzfZy+lJqOOg/3kEE6sNT/O/O&#10;dZw/S6cp/L0Tb5DLBwAAAP//AwBQSwECLQAUAAYACAAAACEA2+H2y+4AAACFAQAAEwAAAAAAAAAA&#10;AAAAAAAAAAAAW0NvbnRlbnRfVHlwZXNdLnhtbFBLAQItABQABgAIAAAAIQBa9CxbvwAAABUBAAAL&#10;AAAAAAAAAAAAAAAAAB8BAABfcmVscy8ucmVsc1BLAQItABQABgAIAAAAIQDuNTs4xQAAAN4AAAAP&#10;AAAAAAAAAAAAAAAAAAcCAABkcnMvZG93bnJldi54bWxQSwUGAAAAAAMAAwC3AAAA+QIAAAAA&#10;" filled="f" stroked="f">
                  <v:textbox inset="0,0,0,0">
                    <w:txbxContent>
                      <w:p w14:paraId="6C55DB9F" w14:textId="77777777" w:rsidR="00B32EF2" w:rsidRDefault="00000000">
                        <w:r>
                          <w:rPr>
                            <w:rFonts w:ascii="Arial" w:eastAsia="Arial" w:hAnsi="Arial" w:cs="Arial"/>
                            <w:i/>
                            <w:sz w:val="18"/>
                          </w:rPr>
                          <w:t xml:space="preserve">a) l’avviso di accertamento emesso dall’Agenzia delle Entrate ai fini delle </w:t>
                        </w:r>
                      </w:p>
                    </w:txbxContent>
                  </v:textbox>
                </v:rect>
                <v:rect id="Rectangle 15647" o:spid="_x0000_s2095" style="position:absolute;left:-10903;top:32279;width:500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Z6jxQAAAN4AAAAPAAAAZHJzL2Rvd25yZXYueG1sRE9La8JA&#10;EL4L/odlBG+6aakPoqsUi5hDL/UBHofsmMRmZ5fsamJ/fbdQ8DYf33OW687U4k6NrywreBknIIhz&#10;qysuFBwP29EchA/IGmvLpOBBHtarfm+JqbYtf9F9HwoRQ9inqKAMwaVS+rwkg35sHXHkLrYxGCJs&#10;CqkbbGO4qeVrkkylwYpjQ4mONiXl3/ubUXD+YJdtW5lffjbu85rN693teFJqOOjeFyACdeEp/ndn&#10;Os6fTN9m8PdOvEGufgEAAP//AwBQSwECLQAUAAYACAAAACEA2+H2y+4AAACFAQAAEwAAAAAAAAAA&#10;AAAAAAAAAAAAW0NvbnRlbnRfVHlwZXNdLnhtbFBLAQItABQABgAIAAAAIQBa9CxbvwAAABUBAAAL&#10;AAAAAAAAAAAAAAAAAB8BAABfcmVscy8ucmVsc1BLAQItABQABgAIAAAAIQCBeZ6jxQAAAN4AAAAP&#10;AAAAAAAAAAAAAAAAAAcCAABkcnMvZG93bnJldi54bWxQSwUGAAAAAAMAAwC3AAAA+QIAAAAA&#10;" filled="f" stroked="f">
                  <v:textbox inset="0,0,0,0">
                    <w:txbxContent>
                      <w:p w14:paraId="4316D0D8" w14:textId="77777777" w:rsidR="00B32EF2" w:rsidRDefault="00000000">
                        <w:r>
                          <w:rPr>
                            <w:rFonts w:ascii="Arial" w:eastAsia="Arial" w:hAnsi="Arial" w:cs="Arial"/>
                            <w:i/>
                            <w:sz w:val="18"/>
                          </w:rPr>
                          <w:t>imposte sui redditi, dell’imposta regionale sulle attività produttive e dell’im</w:t>
                        </w:r>
                      </w:p>
                    </w:txbxContent>
                  </v:textbox>
                </v:rect>
                <v:rect id="Rectangle 15648" o:spid="_x0000_s2096" style="position:absolute;left:975;top:3227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grRyAAAAN4AAAAPAAAAZHJzL2Rvd25yZXYueG1sRI9Pa8JA&#10;EMXvQr/DMoXedFOpIqmrFIuYgxf/FHocsmOSNju7ZFeT9tM7h0JvM7w37/1muR5cq27UxcazgedJ&#10;Boq49LbhysD5tB0vQMWEbLH1TAZ+KMJ69TBaYm59zwe6HVOlJIRjjgbqlEKudSxrchgnPhCLdvGd&#10;wyRrV2nbYS/hrtXTLJtrhw1LQ42BNjWV38erM/D5zqHY9rq8/G7C/qtYtLvr+cOYp8fh7RVUoiH9&#10;m/+uCyv4s/mL8Mo7MoNe3QEAAP//AwBQSwECLQAUAAYACAAAACEA2+H2y+4AAACFAQAAEwAAAAAA&#10;AAAAAAAAAAAAAAAAW0NvbnRlbnRfVHlwZXNdLnhtbFBLAQItABQABgAIAAAAIQBa9CxbvwAAABUB&#10;AAALAAAAAAAAAAAAAAAAAB8BAABfcmVscy8ucmVsc1BLAQItABQABgAIAAAAIQDw5grRyAAAAN4A&#10;AAAPAAAAAAAAAAAAAAAAAAcCAABkcnMvZG93bnJldi54bWxQSwUGAAAAAAMAAwC3AAAA/AIAAAAA&#10;" filled="f" stroked="f">
                  <v:textbox inset="0,0,0,0">
                    <w:txbxContent>
                      <w:p w14:paraId="64A5B800" w14:textId="77777777" w:rsidR="00B32EF2" w:rsidRDefault="00000000">
                        <w:r>
                          <w:rPr>
                            <w:rFonts w:ascii="Arial" w:eastAsia="Arial" w:hAnsi="Arial" w:cs="Arial"/>
                            <w:i/>
                            <w:sz w:val="18"/>
                          </w:rPr>
                          <w:t>-</w:t>
                        </w:r>
                      </w:p>
                    </w:txbxContent>
                  </v:textbox>
                </v:rect>
                <v:rect id="Rectangle 15649" o:spid="_x0000_s2097" style="position:absolute;left:-10907;top:31046;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q9KxQAAAN4AAAAPAAAAZHJzL2Rvd25yZXYueG1sRE9Na8JA&#10;EL0X+h+WKXirG0XFRlcRRcyhl1oLPQ7ZMYlmZ5fsaqK/3i0UvM3jfc582ZlaXKnxlWUFg34Cgji3&#10;uuJCweF7+z4F4QOyxtoyKbiRh+Xi9WWOqbYtf9F1HwoRQ9inqKAMwaVS+rwkg75vHXHkjrYxGCJs&#10;CqkbbGO4qeUwSSbSYMWxoURH65Ly8/5iFPxu2GXbVubH+9p9nrJpvbscfpTqvXWrGYhAXXiK/92Z&#10;jvPHk9EH/L0Tb5CLBwAAAP//AwBQSwECLQAUAAYACAAAACEA2+H2y+4AAACFAQAAEwAAAAAAAAAA&#10;AAAAAAAAAAAAW0NvbnRlbnRfVHlwZXNdLnhtbFBLAQItABQABgAIAAAAIQBa9CxbvwAAABUBAAAL&#10;AAAAAAAAAAAAAAAAAB8BAABfcmVscy8ucmVsc1BLAQItABQABgAIAAAAIQCfqq9KxQAAAN4AAAAP&#10;AAAAAAAAAAAAAAAAAAcCAABkcnMvZG93bnJldi54bWxQSwUGAAAAAAMAAwC3AAAA+QIAAAAA&#10;" filled="f" stroked="f">
                  <v:textbox inset="0,0,0,0">
                    <w:txbxContent>
                      <w:p w14:paraId="7FE3612D" w14:textId="77777777" w:rsidR="00B32EF2" w:rsidRDefault="00000000">
                        <w:r>
                          <w:rPr>
                            <w:rFonts w:ascii="Arial" w:eastAsia="Arial" w:hAnsi="Arial" w:cs="Arial"/>
                            <w:i/>
                            <w:sz w:val="18"/>
                          </w:rPr>
                          <w:t>posta sul valore aggiunto ed il connesso provvedimento di irrogazione del</w:t>
                        </w:r>
                      </w:p>
                    </w:txbxContent>
                  </v:textbox>
                </v:rect>
                <v:rect id="Rectangle 15650" o:spid="_x0000_s2098" style="position:absolute;left:975;top:3104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ZAKxwAAAN4AAAAPAAAAZHJzL2Rvd25yZXYueG1sRI9Pa8JA&#10;EMXvhX6HZQq91U0LiqSuUizSHLz4D3ocsmOSNju7ZFcT/fTOQfA2w7x57/1mi8G16kxdbDwbeB9l&#10;oIhLbxuuDOx3q7cpqJiQLbaeycCFIizmz08zzK3veUPnbaqUmHDM0UCdUsi1jmVNDuPIB2K5HX3n&#10;MMnaVdp22Iu5a/VHlk20w4YlocZAy5rK/+3JGfj95lCsel0er8uw/ium7c9pfzDm9WX4+gSVaEgP&#10;8f27sFJ/PBkLgODIDHp+AwAA//8DAFBLAQItABQABgAIAAAAIQDb4fbL7gAAAIUBAAATAAAAAAAA&#10;AAAAAAAAAAAAAABbQ29udGVudF9UeXBlc10ueG1sUEsBAi0AFAAGAAgAAAAhAFr0LFu/AAAAFQEA&#10;AAsAAAAAAAAAAAAAAAAAHwEAAF9yZWxzLy5yZWxzUEsBAi0AFAAGAAgAAAAhAItJkArHAAAA3gAA&#10;AA8AAAAAAAAAAAAAAAAABwIAAGRycy9kb3ducmV2LnhtbFBLBQYAAAAAAwADALcAAAD7AgAAAAA=&#10;" filled="f" stroked="f">
                  <v:textbox inset="0,0,0,0">
                    <w:txbxContent>
                      <w:p w14:paraId="06EDFEAA" w14:textId="77777777" w:rsidR="00B32EF2" w:rsidRDefault="00000000">
                        <w:r>
                          <w:rPr>
                            <w:rFonts w:ascii="Arial" w:eastAsia="Arial" w:hAnsi="Arial" w:cs="Arial"/>
                            <w:i/>
                            <w:sz w:val="18"/>
                          </w:rPr>
                          <w:t>-</w:t>
                        </w:r>
                      </w:p>
                    </w:txbxContent>
                  </v:textbox>
                </v:rect>
                <v:rect id="Rectangle 15651" o:spid="_x0000_s2099" style="position:absolute;left:-11914;top:29812;width:511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TWRwwAAAN4AAAAPAAAAZHJzL2Rvd25yZXYueG1sRE9Li8Iw&#10;EL4v+B/CCHtbUxcUqUYRRbaHvfgCj0MzttVmEppou/vrjSB4m4/vObNFZ2pxp8ZXlhUMBwkI4tzq&#10;igsFh/3mawLCB2SNtWVS8EceFvPexwxTbVve0n0XChFD2KeooAzBpVL6vCSDfmAdceTOtjEYImwK&#10;qRtsY7ip5XeSjKXBimNDiY5WJeXX3c0oOK3ZZZtW5uf/lfu9ZJP653Y4KvXZ75ZTEIG68Ba/3JmO&#10;80fj0RCe78Qb5PwBAAD//wMAUEsBAi0AFAAGAAgAAAAhANvh9svuAAAAhQEAABMAAAAAAAAAAAAA&#10;AAAAAAAAAFtDb250ZW50X1R5cGVzXS54bWxQSwECLQAUAAYACAAAACEAWvQsW78AAAAVAQAACwAA&#10;AAAAAAAAAAAAAAAfAQAAX3JlbHMvLnJlbHNQSwECLQAUAAYACAAAACEA5AU1kcMAAADeAAAADwAA&#10;AAAAAAAAAAAAAAAHAgAAZHJzL2Rvd25yZXYueG1sUEsFBgAAAAADAAMAtwAAAPcCAAAAAA==&#10;" filled="f" stroked="f">
                  <v:textbox inset="0,0,0,0">
                    <w:txbxContent>
                      <w:p w14:paraId="4BC2226C" w14:textId="77777777" w:rsidR="00B32EF2" w:rsidRDefault="00000000">
                        <w:r>
                          <w:rPr>
                            <w:rFonts w:ascii="Arial" w:eastAsia="Arial" w:hAnsi="Arial" w:cs="Arial"/>
                            <w:i/>
                            <w:sz w:val="18"/>
                          </w:rPr>
                          <w:t xml:space="preserve">le sanzioni, devono contenere anche l’intimazione ad adempiere, entro il </w:t>
                        </w:r>
                      </w:p>
                    </w:txbxContent>
                  </v:textbox>
                </v:rect>
                <v:rect id="Rectangle 15652" o:spid="_x0000_s2100" style="position:absolute;left:-11865;top:28579;width:509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6vmxAAAAN4AAAAPAAAAZHJzL2Rvd25yZXYueG1sRE9Li8Iw&#10;EL4v+B/CCN7WVEGRahRRxB72sj7A49CMbbWZhCbaur9+s7DgbT6+5yxWnanFkxpfWVYwGiYgiHOr&#10;Ky4UnI67zxkIH5A11pZJwYs8rJa9jwWm2rb8Tc9DKEQMYZ+igjIEl0rp85IM+qF1xJG72sZgiLAp&#10;pG6wjeGmluMkmUqDFceGEh1tSsrvh4dRcNmyy3atzK8/G/d1y2b1/nE6KzXod+s5iEBdeIv/3ZmO&#10;8yfTyRj+3ok3yOUvAAAA//8DAFBLAQItABQABgAIAAAAIQDb4fbL7gAAAIUBAAATAAAAAAAAAAAA&#10;AAAAAAAAAABbQ29udGVudF9UeXBlc10ueG1sUEsBAi0AFAAGAAgAAAAhAFr0LFu/AAAAFQEAAAsA&#10;AAAAAAAAAAAAAAAAHwEAAF9yZWxzLy5yZWxzUEsBAi0AFAAGAAgAAAAhABTXq+bEAAAA3gAAAA8A&#10;AAAAAAAAAAAAAAAABwIAAGRycy9kb3ducmV2LnhtbFBLBQYAAAAAAwADALcAAAD4AgAAAAA=&#10;" filled="f" stroked="f">
                  <v:textbox inset="0,0,0,0">
                    <w:txbxContent>
                      <w:p w14:paraId="726CCB12" w14:textId="77777777" w:rsidR="00B32EF2" w:rsidRDefault="00000000">
                        <w:r>
                          <w:rPr>
                            <w:rFonts w:ascii="Arial" w:eastAsia="Arial" w:hAnsi="Arial" w:cs="Arial"/>
                            <w:i/>
                            <w:sz w:val="18"/>
                          </w:rPr>
                          <w:t xml:space="preserve">termine di presentazione del ricorso, all’obbligo di pagamento degli importi </w:t>
                        </w:r>
                      </w:p>
                    </w:txbxContent>
                  </v:textbox>
                </v:rect>
                <v:rect id="Rectangle 15653" o:spid="_x0000_s2101" style="position:absolute;left:-11884;top:27346;width:510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w59xAAAAN4AAAAPAAAAZHJzL2Rvd25yZXYueG1sRE9Ni8Iw&#10;EL0L/ocwgjdNdVGkaxRRZHvwsq4Lexyasa02k9BEW/31m4UFb/N4n7Ncd6YWd2p8ZVnBZJyAIM6t&#10;rrhQcPrajxYgfEDWWFsmBQ/ysF71e0tMtW35k+7HUIgYwj5FBWUILpXS5yUZ9GPriCN3to3BEGFT&#10;SN1gG8NNLadJMpcGK44NJTralpRfjzej4GfHLtu3Mj8/t+5wyRb1x+30rdRw0G3eQQTqwkv87850&#10;nD+bz97g7514g1z9AgAA//8DAFBLAQItABQABgAIAAAAIQDb4fbL7gAAAIUBAAATAAAAAAAAAAAA&#10;AAAAAAAAAABbQ29udGVudF9UeXBlc10ueG1sUEsBAi0AFAAGAAgAAAAhAFr0LFu/AAAAFQEAAAsA&#10;AAAAAAAAAAAAAAAAHwEAAF9yZWxzLy5yZWxzUEsBAi0AFAAGAAgAAAAhAHubDn3EAAAA3gAAAA8A&#10;AAAAAAAAAAAAAAAABwIAAGRycy9kb3ducmV2LnhtbFBLBQYAAAAAAwADALcAAAD4AgAAAAA=&#10;" filled="f" stroked="f">
                  <v:textbox inset="0,0,0,0">
                    <w:txbxContent>
                      <w:p w14:paraId="5E888653" w14:textId="77777777" w:rsidR="00B32EF2" w:rsidRDefault="00000000">
                        <w:r>
                          <w:rPr>
                            <w:rFonts w:ascii="Arial" w:eastAsia="Arial" w:hAnsi="Arial" w:cs="Arial"/>
                            <w:i/>
                            <w:sz w:val="18"/>
                          </w:rPr>
                          <w:t xml:space="preserve">negli stessi indicati, ovvero, in caso di tempestiva proposizione del ricorso </w:t>
                        </w:r>
                      </w:p>
                    </w:txbxContent>
                  </v:textbox>
                </v:rect>
                <v:rect id="Rectangle 15654" o:spid="_x0000_s2102" style="position:absolute;left:-11883;top:26113;width:5107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pYJxAAAAN4AAAAPAAAAZHJzL2Rvd25yZXYueG1sRE9Ni8Iw&#10;EL0L/ocwgjdNlVWkaxRRZHvwsq4Lexyasa02k9BEW/31m4UFb/N4n7Ncd6YWd2p8ZVnBZJyAIM6t&#10;rrhQcPrajxYgfEDWWFsmBQ/ysF71e0tMtW35k+7HUIgYwj5FBWUILpXS5yUZ9GPriCN3to3BEGFT&#10;SN1gG8NNLadJMpcGK44NJTralpRfjzej4GfHLtu3Mj8/t+5wyRb1x+30rdRw0G3eQQTqwkv87850&#10;nD+bz97g7514g1z9AgAA//8DAFBLAQItABQABgAIAAAAIQDb4fbL7gAAAIUBAAATAAAAAAAAAAAA&#10;AAAAAAAAAABbQ29udGVudF9UeXBlc10ueG1sUEsBAi0AFAAGAAgAAAAhAFr0LFu/AAAAFQEAAAsA&#10;AAAAAAAAAAAAAAAAHwEAAF9yZWxzLy5yZWxzUEsBAi0AFAAGAAgAAAAhAPRylgnEAAAA3gAAAA8A&#10;AAAAAAAAAAAAAAAABwIAAGRycy9kb3ducmV2LnhtbFBLBQYAAAAAAwADALcAAAD4AgAAAAA=&#10;" filled="f" stroked="f">
                  <v:textbox inset="0,0,0,0">
                    <w:txbxContent>
                      <w:p w14:paraId="372E8535" w14:textId="77777777" w:rsidR="00B32EF2" w:rsidRDefault="00000000">
                        <w:r>
                          <w:rPr>
                            <w:rFonts w:ascii="Arial" w:eastAsia="Arial" w:hAnsi="Arial" w:cs="Arial"/>
                            <w:i/>
                            <w:sz w:val="18"/>
                          </w:rPr>
                          <w:t xml:space="preserve">ed a titolo provvisorio, degli importi stabiliti dall’articolo 15 del decreto del </w:t>
                        </w:r>
                      </w:p>
                    </w:txbxContent>
                  </v:textbox>
                </v:rect>
                <v:rect id="Rectangle 15655" o:spid="_x0000_s2103" style="position:absolute;left:-11908;top:24879;width:511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jOSxAAAAN4AAAAPAAAAZHJzL2Rvd25yZXYueG1sRE9Na8JA&#10;EL0L/odlCr3ppkJEUlcRRcyhl2oEj0N2TFKzs0t2NWl/fbdQ8DaP9znL9WBa8aDON5YVvE0TEMSl&#10;1Q1XCorTfrIA4QOyxtYyKfgmD+vVeLTETNueP+lxDJWIIewzVFCH4DIpfVmTQT+1jjhyV9sZDBF2&#10;ldQd9jHctHKWJHNpsOHYUKOjbU3l7Xg3Ci47dvm+l+X1Z+s+vvJFe7gXZ6VeX4bNO4hAQ3iK/925&#10;jvPTeZrC3zvxBrn6BQAA//8DAFBLAQItABQABgAIAAAAIQDb4fbL7gAAAIUBAAATAAAAAAAAAAAA&#10;AAAAAAAAAABbQ29udGVudF9UeXBlc10ueG1sUEsBAi0AFAAGAAgAAAAhAFr0LFu/AAAAFQEAAAsA&#10;AAAAAAAAAAAAAAAAHwEAAF9yZWxzLy5yZWxzUEsBAi0AFAAGAAgAAAAhAJs+M5LEAAAA3gAAAA8A&#10;AAAAAAAAAAAAAAAABwIAAGRycy9kb3ducmV2LnhtbFBLBQYAAAAAAwADALcAAAD4AgAAAAA=&#10;" filled="f" stroked="f">
                  <v:textbox inset="0,0,0,0">
                    <w:txbxContent>
                      <w:p w14:paraId="6CAE8AF3" w14:textId="77777777" w:rsidR="00B32EF2" w:rsidRDefault="00000000">
                        <w:r>
                          <w:rPr>
                            <w:rFonts w:ascii="Arial" w:eastAsia="Arial" w:hAnsi="Arial" w:cs="Arial"/>
                            <w:i/>
                            <w:sz w:val="18"/>
                          </w:rPr>
                          <w:t xml:space="preserve">Presidente della Repubblica 29 settembre 1973, n. 602. L’intimazione ad </w:t>
                        </w:r>
                      </w:p>
                    </w:txbxContent>
                  </v:textbox>
                </v:rect>
                <v:rect id="Rectangle 15656" o:spid="_x0000_s2104" style="position:absolute;left:-11871;top:23646;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K3lxAAAAN4AAAAPAAAAZHJzL2Rvd25yZXYueG1sRE9Na8JA&#10;EL0X/A/LFLzVTQsGSV1FFGkOXqoRPA7ZMUnNzi7Z1UR/fbdQ8DaP9znz5WBacaPON5YVvE8SEMSl&#10;1Q1XCorD9m0Gwgdkja1lUnAnD8vF6GWOmbY9f9NtHyoRQ9hnqKAOwWVS+rImg35iHXHkzrYzGCLs&#10;Kqk77GO4aeVHkqTSYMOxoUZH65rKy/5qFJw27PJtL8vzY+12P/ms/boWR6XGr8PqE0SgITzF/+5c&#10;x/nTdJrC3zvxBrn4BQAA//8DAFBLAQItABQABgAIAAAAIQDb4fbL7gAAAIUBAAATAAAAAAAAAAAA&#10;AAAAAAAAAABbQ29udGVudF9UeXBlc10ueG1sUEsBAi0AFAAGAAgAAAAhAFr0LFu/AAAAFQEAAAsA&#10;AAAAAAAAAAAAAAAAHwEAAF9yZWxzLy5yZWxzUEsBAi0AFAAGAAgAAAAhAGvsreXEAAAA3gAAAA8A&#10;AAAAAAAAAAAAAAAABwIAAGRycy9kb3ducmV2LnhtbFBLBQYAAAAAAwADALcAAAD4AgAAAAA=&#10;" filled="f" stroked="f">
                  <v:textbox inset="0,0,0,0">
                    <w:txbxContent>
                      <w:p w14:paraId="791FB7FA" w14:textId="77777777" w:rsidR="00B32EF2" w:rsidRDefault="00000000">
                        <w:r>
                          <w:rPr>
                            <w:rFonts w:ascii="Arial" w:eastAsia="Arial" w:hAnsi="Arial" w:cs="Arial"/>
                            <w:i/>
                            <w:sz w:val="18"/>
                          </w:rPr>
                          <w:t xml:space="preserve">adempiere al pagamento è altresì contenuta nei successivi atti da notificare </w:t>
                        </w:r>
                      </w:p>
                    </w:txbxContent>
                  </v:textbox>
                </v:rect>
                <v:rect id="Rectangle 15657" o:spid="_x0000_s2105" style="position:absolute;left:-11883;top:22413;width:510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Ah+xAAAAN4AAAAPAAAAZHJzL2Rvd25yZXYueG1sRE9Ni8Iw&#10;EL0L/ocwgjdNFXSlaxRRxB72sq4Lexyasa02k9BEW/31m4UFb/N4n7Ncd6YWd2p8ZVnBZJyAIM6t&#10;rrhQcPrajxYgfEDWWFsmBQ/ysF71e0tMtW35k+7HUIgYwj5FBWUILpXS5yUZ9GPriCN3to3BEGFT&#10;SN1gG8NNLadJMpcGK44NJTralpRfjzej4GfHLtu3Mj8/t+7jki3qw+30rdRw0G3eQQTqwkv87850&#10;nD+bz97g7514g1z9AgAA//8DAFBLAQItABQABgAIAAAAIQDb4fbL7gAAAIUBAAATAAAAAAAAAAAA&#10;AAAAAAAAAABbQ29udGVudF9UeXBlc10ueG1sUEsBAi0AFAAGAAgAAAAhAFr0LFu/AAAAFQEAAAsA&#10;AAAAAAAAAAAAAAAAHwEAAF9yZWxzLy5yZWxzUEsBAi0AFAAGAAgAAAAhAASgCH7EAAAA3gAAAA8A&#10;AAAAAAAAAAAAAAAABwIAAGRycy9kb3ducmV2LnhtbFBLBQYAAAAAAwADALcAAAD4AgAAAAA=&#10;" filled="f" stroked="f">
                  <v:textbox inset="0,0,0,0">
                    <w:txbxContent>
                      <w:p w14:paraId="04B8BCD5" w14:textId="77777777" w:rsidR="00B32EF2" w:rsidRDefault="00000000">
                        <w:r>
                          <w:rPr>
                            <w:rFonts w:ascii="Arial" w:eastAsia="Arial" w:hAnsi="Arial" w:cs="Arial"/>
                            <w:i/>
                            <w:sz w:val="18"/>
                          </w:rPr>
                          <w:t xml:space="preserve">al contribuente, anche mediante raccomandata con avviso di ricevimento, </w:t>
                        </w:r>
                      </w:p>
                    </w:txbxContent>
                  </v:textbox>
                </v:rect>
                <v:rect id="Rectangle 15658" o:spid="_x0000_s2106" style="position:absolute;left:-10895;top:21179;width:500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5wMxwAAAN4AAAAPAAAAZHJzL2Rvd25yZXYueG1sRI9Pa8JA&#10;EMXvhX6HZQq91U0LiqSuUizSHLz4D3ocsmOSNju7ZFcT/fTOQfA2w3vz3m9mi8G16kxdbDwbeB9l&#10;oIhLbxuuDOx3q7cpqJiQLbaeycCFIizmz08zzK3veUPnbaqUhHDM0UCdUsi1jmVNDuPIB2LRjr5z&#10;mGTtKm077CXctfojyybaYcPSUGOgZU3l//bkDPx+cyhWvS6P12VY/xXT9ue0Pxjz+jJ8fYJKNKSH&#10;+X5dWMEfT8bCK+/IDHp+AwAA//8DAFBLAQItABQABgAIAAAAIQDb4fbL7gAAAIUBAAATAAAAAAAA&#10;AAAAAAAAAAAAAABbQ29udGVudF9UeXBlc10ueG1sUEsBAi0AFAAGAAgAAAAhAFr0LFu/AAAAFQEA&#10;AAsAAAAAAAAAAAAAAAAAHwEAAF9yZWxzLy5yZWxzUEsBAi0AFAAGAAgAAAAhAHU/nAzHAAAA3gAA&#10;AA8AAAAAAAAAAAAAAAAABwIAAGRycy9kb3ducmV2LnhtbFBLBQYAAAAAAwADALcAAAD7AgAAAAA=&#10;" filled="f" stroked="f">
                  <v:textbox inset="0,0,0,0">
                    <w:txbxContent>
                      <w:p w14:paraId="72E2E56E" w14:textId="77777777" w:rsidR="00B32EF2" w:rsidRDefault="00000000">
                        <w:r>
                          <w:rPr>
                            <w:rFonts w:ascii="Arial" w:eastAsia="Arial" w:hAnsi="Arial" w:cs="Arial"/>
                            <w:i/>
                            <w:sz w:val="18"/>
                          </w:rPr>
                          <w:t>in tutti i casi in cui siano rideterminati gli importi dovuti in base agli avvi</w:t>
                        </w:r>
                      </w:p>
                    </w:txbxContent>
                  </v:textbox>
                </v:rect>
                <v:rect id="Rectangle 15659" o:spid="_x0000_s2107" style="position:absolute;left:975;top:2117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zmXxAAAAN4AAAAPAAAAZHJzL2Rvd25yZXYueG1sRE9Li8Iw&#10;EL4v+B/CCN7WdBcUrUZZXMQe9uILPA7N2FabSWiirf76jbCwt/n4njNfdqYWd2p8ZVnBxzABQZxb&#10;XXGh4LBfv09A+ICssbZMCh7kYbnovc0x1bblLd13oRAxhH2KCsoQXCqlz0sy6IfWEUfubBuDIcKm&#10;kLrBNoabWn4myVgarDg2lOhoVVJ+3d2MgtM3u2zdyvz8XLmfSzapN7fDUalBv/uagQjUhX/xnzvT&#10;cf5oPJrC6514g1z8AgAA//8DAFBLAQItABQABgAIAAAAIQDb4fbL7gAAAIUBAAATAAAAAAAAAAAA&#10;AAAAAAAAAABbQ29udGVudF9UeXBlc10ueG1sUEsBAi0AFAAGAAgAAAAhAFr0LFu/AAAAFQEAAAsA&#10;AAAAAAAAAAAAAAAAHwEAAF9yZWxzLy5yZWxzUEsBAi0AFAAGAAgAAAAhABpzOZfEAAAA3gAAAA8A&#10;AAAAAAAAAAAAAAAABwIAAGRycy9kb3ducmV2LnhtbFBLBQYAAAAAAwADALcAAAD4AgAAAAA=&#10;" filled="f" stroked="f">
                  <v:textbox inset="0,0,0,0">
                    <w:txbxContent>
                      <w:p w14:paraId="65E3E763" w14:textId="77777777" w:rsidR="00B32EF2" w:rsidRDefault="00000000">
                        <w:r>
                          <w:rPr>
                            <w:rFonts w:ascii="Arial" w:eastAsia="Arial" w:hAnsi="Arial" w:cs="Arial"/>
                            <w:i/>
                            <w:sz w:val="18"/>
                          </w:rPr>
                          <w:t>-</w:t>
                        </w:r>
                      </w:p>
                    </w:txbxContent>
                  </v:textbox>
                </v:rect>
                <v:rect id="Rectangle 15660" o:spid="_x0000_s2108" style="position:absolute;left:-11871;top:19946;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Vq3yAAAAN4AAAAPAAAAZHJzL2Rvd25yZXYueG1sRI9Pa8Mw&#10;DMXvg30Ho8Fuq7PBQknrltJRlsMu/TPYUcRqkjaWTew22T79dCj0JqGn995vvhxdp67Ux9azgddJ&#10;Boq48rbl2sBhv3mZgooJ2WLnmQz8UoTl4vFhjoX1A2/puku1EhOOBRpoUgqF1rFqyGGc+EAst6Pv&#10;HSZZ+1rbHgcxd51+y7JcO2xZEhoMtG6oOu8uzsDPB4dyM+jq+LcOX6dy2n1eDt/GPD+NqxmoRGO6&#10;i2/fpZX673kuAIIjM+jFPwAAAP//AwBQSwECLQAUAAYACAAAACEA2+H2y+4AAACFAQAAEwAAAAAA&#10;AAAAAAAAAAAAAAAAW0NvbnRlbnRfVHlwZXNdLnhtbFBLAQItABQABgAIAAAAIQBa9CxbvwAAABUB&#10;AAALAAAAAAAAAAAAAAAAAB8BAABfcmVscy8ucmVsc1BLAQItABQABgAIAAAAIQBFJVq3yAAAAN4A&#10;AAAPAAAAAAAAAAAAAAAAAAcCAABkcnMvZG93bnJldi54bWxQSwUGAAAAAAMAAwC3AAAA/AIAAAAA&#10;" filled="f" stroked="f">
                  <v:textbox inset="0,0,0,0">
                    <w:txbxContent>
                      <w:p w14:paraId="2D81220C" w14:textId="77777777" w:rsidR="00B32EF2" w:rsidRDefault="00000000">
                        <w:r>
                          <w:rPr>
                            <w:rFonts w:ascii="Arial" w:eastAsia="Arial" w:hAnsi="Arial" w:cs="Arial"/>
                            <w:i/>
                            <w:sz w:val="18"/>
                          </w:rPr>
                          <w:t xml:space="preserve">si di accertamento ai fini delle imposte sui redditi, dell’imposta regionale </w:t>
                        </w:r>
                      </w:p>
                    </w:txbxContent>
                  </v:textbox>
                </v:rect>
                <v:rect id="Rectangle 15661" o:spid="_x0000_s2109" style="position:absolute;left:-11917;top:18713;width:511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f8sxAAAAN4AAAAPAAAAZHJzL2Rvd25yZXYueG1sRE9Li8Iw&#10;EL4L/ocwwt40VdgiXaOIItvDXnws7HFoxrZrMwlNtN399UYQvM3H95zFqjeNuFHra8sKppMEBHFh&#10;dc2lgtNxN56D8AFZY2OZFPyRh9VyOFhgpm3He7odQiliCPsMFVQhuExKX1Rk0E+sI47c2bYGQ4Rt&#10;KXWLXQw3jZwlSSoN1hwbKnS0qai4HK5Gwc+WXb7rZHH+37iv33zefF5P30q9jfr1B4hAfXiJn+5c&#10;x/nvaTqFxzvxBrm8AwAA//8DAFBLAQItABQABgAIAAAAIQDb4fbL7gAAAIUBAAATAAAAAAAAAAAA&#10;AAAAAAAAAABbQ29udGVudF9UeXBlc10ueG1sUEsBAi0AFAAGAAgAAAAhAFr0LFu/AAAAFQEAAAsA&#10;AAAAAAAAAAAAAAAAHwEAAF9yZWxzLy5yZWxzUEsBAi0AFAAGAAgAAAAhACpp/yzEAAAA3gAAAA8A&#10;AAAAAAAAAAAAAAAABwIAAGRycy9kb3ducmV2LnhtbFBLBQYAAAAAAwADALcAAAD4AgAAAAA=&#10;" filled="f" stroked="f">
                  <v:textbox inset="0,0,0,0">
                    <w:txbxContent>
                      <w:p w14:paraId="0AB0B464" w14:textId="77777777" w:rsidR="00B32EF2" w:rsidRDefault="00000000">
                        <w:r>
                          <w:rPr>
                            <w:rFonts w:ascii="Arial" w:eastAsia="Arial" w:hAnsi="Arial" w:cs="Arial"/>
                            <w:i/>
                            <w:sz w:val="18"/>
                          </w:rPr>
                          <w:t xml:space="preserve">sulle attività produttive e dell’imposta sul valore aggiunto ed ai connessi </w:t>
                        </w:r>
                      </w:p>
                    </w:txbxContent>
                  </v:textbox>
                </v:rect>
                <v:rect id="Rectangle 15662" o:spid="_x0000_s2110" style="position:absolute;left:-11890;top:17479;width:51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2FbxAAAAN4AAAAPAAAAZHJzL2Rvd25yZXYueG1sRE9Na8JA&#10;EL0X/A/LFLzVTYUGSV1FFGkOXqoRPA7ZMUnNzi7Z1UR/fbdQ8DaP9znz5WBacaPON5YVvE8SEMSl&#10;1Q1XCorD9m0Gwgdkja1lUnAnD8vF6GWOmbY9f9NtHyoRQ9hnqKAOwWVS+rImg35iHXHkzrYzGCLs&#10;Kqk77GO4aeU0SVJpsOHYUKOjdU3lZX81Ck4bdvm2l+X5sXa7n3zWfl2Lo1Lj12H1CSLQEJ7if3eu&#10;4/yPNJ3C3zvxBrn4BQAA//8DAFBLAQItABQABgAIAAAAIQDb4fbL7gAAAIUBAAATAAAAAAAAAAAA&#10;AAAAAAAAAABbQ29udGVudF9UeXBlc10ueG1sUEsBAi0AFAAGAAgAAAAhAFr0LFu/AAAAFQEAAAsA&#10;AAAAAAAAAAAAAAAAHwEAAF9yZWxzLy5yZWxzUEsBAi0AFAAGAAgAAAAhANq7YVvEAAAA3gAAAA8A&#10;AAAAAAAAAAAAAAAABwIAAGRycy9kb3ducmV2LnhtbFBLBQYAAAAAAwADALcAAAD4AgAAAAA=&#10;" filled="f" stroked="f">
                  <v:textbox inset="0,0,0,0">
                    <w:txbxContent>
                      <w:p w14:paraId="389E7770" w14:textId="77777777" w:rsidR="00B32EF2" w:rsidRDefault="00000000">
                        <w:r>
                          <w:rPr>
                            <w:rFonts w:ascii="Arial" w:eastAsia="Arial" w:hAnsi="Arial" w:cs="Arial"/>
                            <w:i/>
                            <w:sz w:val="18"/>
                          </w:rPr>
                          <w:t xml:space="preserve">provvedimenti di irrogazione delle sanzioni ai sensi dell’articolo 8, comma </w:t>
                        </w:r>
                      </w:p>
                    </w:txbxContent>
                  </v:textbox>
                </v:rect>
                <v:rect id="Rectangle 200093" o:spid="_x0000_s2111" style="position:absolute;left:-12962;top:16246;width:509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qHxgAAAN8AAAAPAAAAZHJzL2Rvd25yZXYueG1sRI9Pi8Iw&#10;FMTvC36H8IS9aaoLol2jiCLbgxf/wR4fzbPtbvMSmmi7fnojCHscZuY3zHzZmVrcqPGVZQWjYQKC&#10;OLe64kLB6bgdTEH4gKyxtkwK/sjDctF7m2Oqbct7uh1CISKEfYoKyhBcKqXPSzLoh9YRR+9iG4Mh&#10;yqaQusE2wk0tx0kykQYrjgslOlqXlP8erkbB94Zdtm1lfrmv3e4nm9Zf19NZqfd+t/oEEagL/+FX&#10;O9MKIjGZfcDzT/wCcvEAAAD//wMAUEsBAi0AFAAGAAgAAAAhANvh9svuAAAAhQEAABMAAAAAAAAA&#10;AAAAAAAAAAAAAFtDb250ZW50X1R5cGVzXS54bWxQSwECLQAUAAYACAAAACEAWvQsW78AAAAVAQAA&#10;CwAAAAAAAAAAAAAAAAAfAQAAX3JlbHMvLnJlbHNQSwECLQAUAAYACAAAACEAR7bKh8YAAADfAAAA&#10;DwAAAAAAAAAAAAAAAAAHAgAAZHJzL2Rvd25yZXYueG1sUEsFBgAAAAADAAMAtwAAAPoCAAAAAA==&#10;" filled="f" stroked="f">
                  <v:textbox inset="0,0,0,0">
                    <w:txbxContent>
                      <w:p w14:paraId="127740EA" w14:textId="77777777" w:rsidR="00B32EF2" w:rsidRDefault="00000000">
                        <w:r>
                          <w:rPr>
                            <w:rFonts w:ascii="Arial" w:eastAsia="Arial" w:hAnsi="Arial" w:cs="Arial"/>
                            <w:i/>
                            <w:sz w:val="18"/>
                          </w:rPr>
                          <w:t xml:space="preserve">bis del decreto legislativo 19 giugno 1997, n. 218, dell’articolo 48, comma </w:t>
                        </w:r>
                      </w:p>
                    </w:txbxContent>
                  </v:textbox>
                </v:rect>
                <v:rect id="Rectangle 200092" o:spid="_x0000_s2112" style="position:absolute;left:25426;top:16246;width:509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8cxgAAAN8AAAAPAAAAZHJzL2Rvd25yZXYueG1sRI9Pi8Iw&#10;FMTvC36H8ARva6oH0WoUUcQe9rL+AY+P5tlWm5fQRNvdT79ZEDwOM/MbZrHqTC2e1PjKsoLRMAFB&#10;nFtdcaHgdNx9TkH4gKyxtkwKfsjDatn7WGCqbcvf9DyEQkQI+xQVlCG4VEqfl2TQD60jjt7VNgZD&#10;lE0hdYNthJtajpNkIg1WHBdKdLQpKb8fHkbBZcsu27Uyv/5u3Nctm9b7x+ms1KDfrecgAnXhHX61&#10;M60gEpPZGP7/xC8gl38AAAD//wMAUEsBAi0AFAAGAAgAAAAhANvh9svuAAAAhQEAABMAAAAAAAAA&#10;AAAAAAAAAAAAAFtDb250ZW50X1R5cGVzXS54bWxQSwECLQAUAAYACAAAACEAWvQsW78AAAAVAQAA&#10;CwAAAAAAAAAAAAAAAAAfAQAAX3JlbHMvLnJlbHNQSwECLQAUAAYACAAAACEAKPpvHMYAAADfAAAA&#10;DwAAAAAAAAAAAAAAAAAHAgAAZHJzL2Rvd25yZXYueG1sUEsFBgAAAAADAAMAtwAAAPoCAAAAAA==&#10;" filled="f" stroked="f">
                  <v:textbox inset="0,0,0,0">
                    <w:txbxContent>
                      <w:p w14:paraId="5BAF6383" w14:textId="77777777" w:rsidR="00B32EF2" w:rsidRDefault="00000000">
                        <w:r>
                          <w:rPr>
                            <w:rFonts w:ascii="Arial" w:eastAsia="Arial" w:hAnsi="Arial" w:cs="Arial"/>
                            <w:i/>
                            <w:sz w:val="18"/>
                          </w:rPr>
                          <w:t>3-</w:t>
                        </w:r>
                      </w:p>
                    </w:txbxContent>
                  </v:textbox>
                </v:rect>
                <v:rect id="Rectangle 200090" o:spid="_x0000_s2113" style="position:absolute;left:-12984;top:15013;width:510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FTwxgAAAN8AAAAPAAAAZHJzL2Rvd25yZXYueG1sRI9Ba8JA&#10;EIXvgv9hGaE33dRDsamrFEWaQy9ahR6H7JhEs7NLdjVpf71zKPQ4vHnf41uuB9eqO3Wx8WzgeZaB&#10;Ii69bbgycPzaTRegYkK22HomAz8UYb0aj5aYW9/znu6HVCmBcMzRQJ1SyLWOZU0O48wHYsnOvnOY&#10;5OwqbTvsBe5aPc+yF+2wYVmoMdCmpvJ6uDkD31sOxa7X5fl3Ez4vxaL9uB1PxjxNhvc3UImG9P/8&#10;1y6sASFmr2IgPuICevUAAAD//wMAUEsBAi0AFAAGAAgAAAAhANvh9svuAAAAhQEAABMAAAAAAAAA&#10;AAAAAAAAAAAAAFtDb250ZW50X1R5cGVzXS54bWxQSwECLQAUAAYACAAAACEAWvQsW78AAAAVAQAA&#10;CwAAAAAAAAAAAAAAAAAfAQAAX3JlbHMvLnJlbHNQSwECLQAUAAYACAAAACEAt2RU8MYAAADfAAAA&#10;DwAAAAAAAAAAAAAAAAAHAgAAZHJzL2Rvd25yZXYueG1sUEsFBgAAAAADAAMAtwAAAPoCAAAAAA==&#10;" filled="f" stroked="f">
                  <v:textbox inset="0,0,0,0">
                    <w:txbxContent>
                      <w:p w14:paraId="1FA6E43C" w14:textId="77777777" w:rsidR="00B32EF2" w:rsidRDefault="00000000">
                        <w:r>
                          <w:rPr>
                            <w:rFonts w:ascii="Arial" w:eastAsia="Arial" w:hAnsi="Arial" w:cs="Arial"/>
                            <w:i/>
                            <w:sz w:val="18"/>
                          </w:rPr>
                          <w:t xml:space="preserve">bis, e dell’articolo 68 del decreto legislativo 31 dicembre 1992, n. 546, e </w:t>
                        </w:r>
                      </w:p>
                    </w:txbxContent>
                  </v:textbox>
                </v:rect>
                <v:rect id="Rectangle 200089" o:spid="_x0000_s2114" style="position:absolute;left:25405;top:15013;width:510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2uwxgAAAN8AAAAPAAAAZHJzL2Rvd25yZXYueG1sRI9Pi8Iw&#10;FMTvwn6H8Bb2punuYanVKOIi28Ne/AceH82zrTYvoYm266c3guBxmJnfMNN5bxpxpdbXlhV8jhIQ&#10;xIXVNZcKdtvVMAXhA7LGxjIp+CcP89nbYIqZth2v6boJpYgQ9hkqqEJwmZS+qMigH1lHHL2jbQ2G&#10;KNtS6ha7CDeN/EqSb2mw5rhQoaNlRcV5czEKDj/s8lUni+Nt6f5Oedr8XnZ7pT7e+8UERKA+vMLP&#10;dq4VRGKSjuHxJ34BObsDAAD//wMAUEsBAi0AFAAGAAgAAAAhANvh9svuAAAAhQEAABMAAAAAAAAA&#10;AAAAAAAAAAAAAFtDb250ZW50X1R5cGVzXS54bWxQSwECLQAUAAYACAAAACEAWvQsW78AAAAVAQAA&#10;CwAAAAAAAAAAAAAAAAAfAQAAX3JlbHMvLnJlbHNQSwECLQAUAAYACAAAACEAo4drsMYAAADfAAAA&#10;DwAAAAAAAAAAAAAAAAAHAgAAZHJzL2Rvd25yZXYueG1sUEsFBgAAAAADAAMAtwAAAPoCAAAAAA==&#10;" filled="f" stroked="f">
                  <v:textbox inset="0,0,0,0">
                    <w:txbxContent>
                      <w:p w14:paraId="5BA3662A" w14:textId="77777777" w:rsidR="00B32EF2" w:rsidRDefault="00000000">
                        <w:r>
                          <w:rPr>
                            <w:rFonts w:ascii="Arial" w:eastAsia="Arial" w:hAnsi="Arial" w:cs="Arial"/>
                            <w:i/>
                            <w:sz w:val="18"/>
                          </w:rPr>
                          <w:t>3-</w:t>
                        </w:r>
                      </w:p>
                    </w:txbxContent>
                  </v:textbox>
                </v:rect>
                <v:rect id="Rectangle 15665" o:spid="_x0000_s2115" style="position:absolute;left:-11876;top:13780;width:5104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vkvxAAAAN4AAAAPAAAAZHJzL2Rvd25yZXYueG1sRE9Na8JA&#10;EL0X/A/LFLzVTQsGSV1FFGkOXqoRPA7ZMUnNzi7Z1UR/fbdQ8DaP9znz5WBacaPON5YVvE8SEMSl&#10;1Q1XCorD9m0Gwgdkja1lUnAnD8vF6GWOmbY9f9NtHyoRQ9hnqKAOwWVS+rImg35iHXHkzrYzGCLs&#10;Kqk77GO4aeVHkqTSYMOxoUZH65rKy/5qFJw27PJtL8vzY+12P/ms/boWR6XGr8PqE0SgITzF/+5c&#10;x/nTNJ3C3zvxBrn4BQAA//8DAFBLAQItABQABgAIAAAAIQDb4fbL7gAAAIUBAAATAAAAAAAAAAAA&#10;AAAAAAAAAABbQ29udGVudF9UeXBlc10ueG1sUEsBAi0AFAAGAAgAAAAhAFr0LFu/AAAAFQEAAAsA&#10;AAAAAAAAAAAAAAAAHwEAAF9yZWxzLy5yZWxzUEsBAi0AFAAGAAgAAAAhAFVS+S/EAAAA3gAAAA8A&#10;AAAAAAAAAAAAAAAABwIAAGRycy9kb3ducmV2LnhtbFBLBQYAAAAAAwADALcAAAD4AgAAAAA=&#10;" filled="f" stroked="f">
                  <v:textbox inset="0,0,0,0">
                    <w:txbxContent>
                      <w:p w14:paraId="7752E0CE" w14:textId="77777777" w:rsidR="00B32EF2" w:rsidRDefault="00000000">
                        <w:r>
                          <w:rPr>
                            <w:rFonts w:ascii="Arial" w:eastAsia="Arial" w:hAnsi="Arial" w:cs="Arial"/>
                            <w:i/>
                            <w:sz w:val="18"/>
                          </w:rPr>
                          <w:t xml:space="preserve">dell’articolo 19 del decreto legislativo 18 dicembre 1997, n. 472, nonchè in </w:t>
                        </w:r>
                      </w:p>
                    </w:txbxContent>
                  </v:textbox>
                </v:rect>
                <v:rect id="Rectangle 15666" o:spid="_x0000_s2116" style="position:absolute;left:-11871;top:12546;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GdYxAAAAN4AAAAPAAAAZHJzL2Rvd25yZXYueG1sRE9Na8JA&#10;EL0L/odlhN50U6FBUlcpijQHL9oIPQ7ZMUmbnV2yq0n99a4g9DaP9znL9WBacaXON5YVvM4SEMSl&#10;1Q1XCoqv3XQBwgdkja1lUvBHHtar8WiJmbY9H+h6DJWIIewzVFCH4DIpfVmTQT+zjjhyZ9sZDBF2&#10;ldQd9jHctHKeJKk02HBsqNHRpqby93gxCr637PJdL8vzbeP2P/mi/bwUJ6VeJsPHO4hAQ/gXP925&#10;jvPf0jSFxzvxBrm6AwAA//8DAFBLAQItABQABgAIAAAAIQDb4fbL7gAAAIUBAAATAAAAAAAAAAAA&#10;AAAAAAAAAABbQ29udGVudF9UeXBlc10ueG1sUEsBAi0AFAAGAAgAAAAhAFr0LFu/AAAAFQEAAAsA&#10;AAAAAAAAAAAAAAAAHwEAAF9yZWxzLy5yZWxzUEsBAi0AFAAGAAgAAAAhAKWAZ1jEAAAA3gAAAA8A&#10;AAAAAAAAAAAAAAAABwIAAGRycy9kb3ducmV2LnhtbFBLBQYAAAAAAwADALcAAAD4AgAAAAA=&#10;" filled="f" stroked="f">
                  <v:textbox inset="0,0,0,0">
                    <w:txbxContent>
                      <w:p w14:paraId="79B5D4F7" w14:textId="77777777" w:rsidR="00B32EF2" w:rsidRDefault="00000000">
                        <w:r>
                          <w:rPr>
                            <w:rFonts w:ascii="Arial" w:eastAsia="Arial" w:hAnsi="Arial" w:cs="Arial"/>
                            <w:i/>
                            <w:sz w:val="18"/>
                          </w:rPr>
                          <w:t xml:space="preserve">caso di definitività dell’atto di accertamento impugnato. In tali ultimi casi il </w:t>
                        </w:r>
                      </w:p>
                    </w:txbxContent>
                  </v:textbox>
                </v:rect>
                <v:rect id="Rectangle 15667" o:spid="_x0000_s2117" style="position:absolute;left:-11909;top:11313;width:511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LDxAAAAN4AAAAPAAAAZHJzL2Rvd25yZXYueG1sRE9Na8JA&#10;EL0X+h+WEbzVjYJRUlcpFjEHL1ULPQ7ZMUmbnV2yq4n+ercgeJvH+5zFqjeNuFDra8sKxqMEBHFh&#10;dc2lguNh8zYH4QOyxsYyKbiSh9Xy9WWBmbYdf9FlH0oRQ9hnqKAKwWVS+qIig35kHXHkTrY1GCJs&#10;S6lb7GK4aeQkSVJpsObYUKGjdUXF3/5sFPx8sss3nSxOt7Xb/ebzZns+fis1HPQf7yAC9eEpfrhz&#10;HedP03QG/+/EG+TyDgAA//8DAFBLAQItABQABgAIAAAAIQDb4fbL7gAAAIUBAAATAAAAAAAAAAAA&#10;AAAAAAAAAABbQ29udGVudF9UeXBlc10ueG1sUEsBAi0AFAAGAAgAAAAhAFr0LFu/AAAAFQEAAAsA&#10;AAAAAAAAAAAAAAAAHwEAAF9yZWxzLy5yZWxzUEsBAi0AFAAGAAgAAAAhAMrMwsPEAAAA3gAAAA8A&#10;AAAAAAAAAAAAAAAABwIAAGRycy9kb3ducmV2LnhtbFBLBQYAAAAAAwADALcAAAD4AgAAAAA=&#10;" filled="f" stroked="f">
                  <v:textbox inset="0,0,0,0">
                    <w:txbxContent>
                      <w:p w14:paraId="6376BDBD" w14:textId="77777777" w:rsidR="00B32EF2" w:rsidRDefault="00000000">
                        <w:r>
                          <w:rPr>
                            <w:rFonts w:ascii="Arial" w:eastAsia="Arial" w:hAnsi="Arial" w:cs="Arial"/>
                            <w:i/>
                            <w:sz w:val="18"/>
                          </w:rPr>
                          <w:t xml:space="preserve">versamento delle somme dovute deve avvenire entro sessanta giorni dal </w:t>
                        </w:r>
                      </w:p>
                    </w:txbxContent>
                  </v:textbox>
                </v:rect>
                <v:rect id="Rectangle 15668" o:spid="_x0000_s2118" style="position:absolute;left:-11907;top:10080;width:511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1axyAAAAN4AAAAPAAAAZHJzL2Rvd25yZXYueG1sRI9Pa8Mw&#10;DMXvg30Ho8Fuq7PBQknrltJRlsMu/TPYUcRqkjaWTew22T79dCj0JvGe3vtpvhxdp67Ux9azgddJ&#10;Boq48rbl2sBhv3mZgooJ2WLnmQz8UoTl4vFhjoX1A2/puku1khCOBRpoUgqF1rFqyGGc+EAs2tH3&#10;DpOsfa1tj4OEu06/ZVmuHbYsDQ0GWjdUnXcXZ+Dng0O5GXR1/FuHr1M57T4vh29jnp/G1QxUojHd&#10;zbfr0gr+e54Lr7wjM+jFPwAAAP//AwBQSwECLQAUAAYACAAAACEA2+H2y+4AAACFAQAAEwAAAAAA&#10;AAAAAAAAAAAAAAAAW0NvbnRlbnRfVHlwZXNdLnhtbFBLAQItABQABgAIAAAAIQBa9CxbvwAAABUB&#10;AAALAAAAAAAAAAAAAAAAAB8BAABfcmVscy8ucmVsc1BLAQItABQABgAIAAAAIQC7U1axyAAAAN4A&#10;AAAPAAAAAAAAAAAAAAAAAAcCAABkcnMvZG93bnJldi54bWxQSwUGAAAAAAMAAwC3AAAA/AIAAAAA&#10;" filled="f" stroked="f">
                  <v:textbox inset="0,0,0,0">
                    <w:txbxContent>
                      <w:p w14:paraId="5B2C77FD" w14:textId="77777777" w:rsidR="00B32EF2" w:rsidRDefault="00000000">
                        <w:r>
                          <w:rPr>
                            <w:rFonts w:ascii="Arial" w:eastAsia="Arial" w:hAnsi="Arial" w:cs="Arial"/>
                            <w:i/>
                            <w:sz w:val="18"/>
                          </w:rPr>
                          <w:t xml:space="preserve">ricevimento della raccomandata; la sanzione amministrativa prevista dall’ </w:t>
                        </w:r>
                      </w:p>
                    </w:txbxContent>
                  </v:textbox>
                </v:rect>
                <v:rect id="Rectangle 15669" o:spid="_x0000_s2119" style="position:absolute;left:-11878;top:8846;width:510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MqxAAAAN4AAAAPAAAAZHJzL2Rvd25yZXYueG1sRE9Na8JA&#10;EL0X/A/LCN7qxoLBRlcRRZpDL7UKHofsmESzs0t2NdFf3y0UepvH+5zFqjeNuFPra8sKJuMEBHFh&#10;dc2lgsP37nUGwgdkjY1lUvAgD6vl4GWBmbYdf9F9H0oRQ9hnqKAKwWVS+qIig35sHXHkzrY1GCJs&#10;S6lb7GK4aeRbkqTSYM2xoUJHm4qK6/5mFJy27PJdJ4vzc+M+L/ms+bgdjkqNhv16DiJQH/7Ff+5c&#10;x/nTNH2H33fiDXL5AwAA//8DAFBLAQItABQABgAIAAAAIQDb4fbL7gAAAIUBAAATAAAAAAAAAAAA&#10;AAAAAAAAAABbQ29udGVudF9UeXBlc10ueG1sUEsBAi0AFAAGAAgAAAAhAFr0LFu/AAAAFQEAAAsA&#10;AAAAAAAAAAAAAAAAHwEAAF9yZWxzLy5yZWxzUEsBAi0AFAAGAAgAAAAhANQf8yrEAAAA3gAAAA8A&#10;AAAAAAAAAAAAAAAABwIAAGRycy9kb3ducmV2LnhtbFBLBQYAAAAAAwADALcAAAD4AgAAAAA=&#10;" filled="f" stroked="f">
                  <v:textbox inset="0,0,0,0">
                    <w:txbxContent>
                      <w:p w14:paraId="3A64A57F" w14:textId="77777777" w:rsidR="00B32EF2" w:rsidRDefault="00000000">
                        <w:r>
                          <w:rPr>
                            <w:rFonts w:ascii="Arial" w:eastAsia="Arial" w:hAnsi="Arial" w:cs="Arial"/>
                            <w:i/>
                            <w:sz w:val="18"/>
                          </w:rPr>
                          <w:t xml:space="preserve">articolo 13 del decreto legislativo 18 dicembre 1997, n. 471, non si applica </w:t>
                        </w:r>
                      </w:p>
                    </w:txbxContent>
                  </v:textbox>
                </v:rect>
                <v:rect id="Rectangle 15670" o:spid="_x0000_s2120" style="position:absolute;left:-11871;top:7613;width:510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xqxwAAAN4AAAAPAAAAZHJzL2Rvd25yZXYueG1sRI9Ba8JA&#10;EIXvQv/DMoXedFOhKqmrFIuYg5eqhR6H7Jikzc4u2dWk/fXOoeBthnnz3vuW68G16kpdbDwbeJ5k&#10;oIhLbxuuDJyO2/ECVEzIFlvPZOCXIqxXD6Ml5tb3/EHXQ6qUmHDM0UCdUsi1jmVNDuPEB2K5nX3n&#10;MMnaVdp22Iu5a/U0y2baYcOSUGOgTU3lz+HiDHy9cyi2vS7Pf5uw/y4W7e5y+jTm6XF4ewWVaEh3&#10;8f93YaX+y2wuAIIjM+jVDQAA//8DAFBLAQItABQABgAIAAAAIQDb4fbL7gAAAIUBAAATAAAAAAAA&#10;AAAAAAAAAAAAAABbQ29udGVudF9UeXBlc10ueG1sUEsBAi0AFAAGAAgAAAAhAFr0LFu/AAAAFQEA&#10;AAsAAAAAAAAAAAAAAAAAHwEAAF9yZWxzLy5yZWxzUEsBAi0AFAAGAAgAAAAhAMD8zGrHAAAA3gAA&#10;AA8AAAAAAAAAAAAAAAAABwIAAGRycy9kb3ducmV2LnhtbFBLBQYAAAAAAwADALcAAAD7AgAAAAA=&#10;" filled="f" stroked="f">
                  <v:textbox inset="0,0,0,0">
                    <w:txbxContent>
                      <w:p w14:paraId="73AD2ADC" w14:textId="77777777" w:rsidR="00B32EF2" w:rsidRDefault="00000000">
                        <w:r>
                          <w:rPr>
                            <w:rFonts w:ascii="Arial" w:eastAsia="Arial" w:hAnsi="Arial" w:cs="Arial"/>
                            <w:i/>
                            <w:sz w:val="18"/>
                          </w:rPr>
                          <w:t xml:space="preserve">nei casi di omesso, carente o tardivo versamento delle somme dovute, nei </w:t>
                        </w:r>
                      </w:p>
                    </w:txbxContent>
                  </v:textbox>
                </v:rect>
                <v:rect id="Rectangle 15671" o:spid="_x0000_s2121" style="position:absolute;left:-5299;top:6380;width:444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GnxxAAAAN4AAAAPAAAAZHJzL2Rvd25yZXYueG1sRE9Li8Iw&#10;EL4v7H8Is+BtTV3wQTXK4iLbg5f1AR6HZmyrzSQ00VZ/vVkQvM3H95zZojO1uFLjK8sKBv0EBHFu&#10;dcWFgt129TkB4QOyxtoyKbiRh8X8/W2GqbYt/9F1EwoRQ9inqKAMwaVS+rwkg75vHXHkjrYxGCJs&#10;CqkbbGO4qeVXkoykwYpjQ4mOliXl583FKDj8sMtWrcyP96Vbn7JJ/XvZ7ZXqfXTfUxCBuvASP92Z&#10;jvOHo/EA/t+JN8j5AwAA//8DAFBLAQItABQABgAIAAAAIQDb4fbL7gAAAIUBAAATAAAAAAAAAAAA&#10;AAAAAAAAAABbQ29udGVudF9UeXBlc10ueG1sUEsBAi0AFAAGAAgAAAAhAFr0LFu/AAAAFQEAAAsA&#10;AAAAAAAAAAAAAAAAHwEAAF9yZWxzLy5yZWxzUEsBAi0AFAAGAAgAAAAhAK+wafHEAAAA3gAAAA8A&#10;AAAAAAAAAAAAAAAABwIAAGRycy9kb3ducmV2LnhtbFBLBQYAAAAAAwADALcAAAD4AgAAAAA=&#10;" filled="f" stroked="f">
                  <v:textbox inset="0,0,0,0">
                    <w:txbxContent>
                      <w:p w14:paraId="4C8A2672" w14:textId="77777777" w:rsidR="00B32EF2" w:rsidRDefault="00000000">
                        <w:r>
                          <w:rPr>
                            <w:rFonts w:ascii="Arial" w:eastAsia="Arial" w:hAnsi="Arial" w:cs="Arial"/>
                            <w:i/>
                            <w:sz w:val="18"/>
                          </w:rPr>
                          <w:t>termini di cui ai periodi precedenti, sulla base degli atti ivi indicati;</w:t>
                        </w:r>
                      </w:p>
                    </w:txbxContent>
                  </v:textbox>
                </v:rect>
                <v:rect id="Rectangle 15672" o:spid="_x0000_s2122" style="position:absolute;left:35881;top:5147;width:322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veGxAAAAN4AAAAPAAAAZHJzL2Rvd25yZXYueG1sRE9Ni8Iw&#10;EL0L/ocwgjdNFXSlaxRRxB72sq4Lexyasa02k9BEW/31m4UFb/N4n7Ncd6YWd2p8ZVnBZJyAIM6t&#10;rrhQcPrajxYgfEDWWFsmBQ/ysF71e0tMtW35k+7HUIgYwj5FBWUILpXS5yUZ9GPriCN3to3BEGFT&#10;SN1gG8NNLadJMpcGK44NJTralpRfjzej4GfHLtu3Mj8/t+7jki3qw+30rdRw0G3eQQTqwkv87850&#10;nD+bv03h7514g1z9AgAA//8DAFBLAQItABQABgAIAAAAIQDb4fbL7gAAAIUBAAATAAAAAAAAAAAA&#10;AAAAAAAAAABbQ29udGVudF9UeXBlc10ueG1sUEsBAi0AFAAGAAgAAAAhAFr0LFu/AAAAFQEAAAsA&#10;AAAAAAAAAAAAAAAAHwEAAF9yZWxzLy5yZWxzUEsBAi0AFAAGAAgAAAAhAF9i94bEAAAA3gAAAA8A&#10;AAAAAAAAAAAAAAAABwIAAGRycy9kb3ducmV2LnhtbFBLBQYAAAAAAwADALcAAAD4AgAAAAA=&#10;" filled="f" stroked="f">
                  <v:textbox inset="0,0,0,0">
                    <w:txbxContent>
                      <w:p w14:paraId="583549EE" w14:textId="77777777" w:rsidR="00B32EF2" w:rsidRDefault="00000000">
                        <w:r>
                          <w:rPr>
                            <w:rFonts w:ascii="Arial" w:eastAsia="Arial" w:hAnsi="Arial" w:cs="Arial"/>
                            <w:i/>
                            <w:sz w:val="18"/>
                          </w:rPr>
                          <w:t>b) …</w:t>
                        </w:r>
                      </w:p>
                    </w:txbxContent>
                  </v:textbox>
                </v:rect>
                <v:shape id="Shape 15673" o:spid="_x0000_s2123" style="position:absolute;left:318;top:4731;width:39600;height:38393;visibility:visible;mso-wrap-style:square;v-text-anchor:top" coordsize="3960000,3839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5wXwgAAAN4AAAAPAAAAZHJzL2Rvd25yZXYueG1sRE9Ni8Iw&#10;EL0L+x/CLHjTdBVdqUZZFhb1pq6Cx7GZbcs2k5Kktf57Iwje5vE+Z7HqTCVacr60rOBjmIAgzqwu&#10;OVdw/P0ZzED4gKyxskwKbuRhtXzrLTDV9sp7ag8hFzGEfYoKihDqVEqfFWTQD21NHLk/6wyGCF0u&#10;tcNrDDeVHCXJVBosOTYUWNN3Qdn/oTEKqltzck272Z1H1mxzvXa1dxel+u/d1xxEoC68xE/3Rsf5&#10;k+nnGB7vxBvk8g4AAP//AwBQSwECLQAUAAYACAAAACEA2+H2y+4AAACFAQAAEwAAAAAAAAAAAAAA&#10;AAAAAAAAW0NvbnRlbnRfVHlwZXNdLnhtbFBLAQItABQABgAIAAAAIQBa9CxbvwAAABUBAAALAAAA&#10;AAAAAAAAAAAAAB8BAABfcmVscy8ucmVsc1BLAQItABQABgAIAAAAIQDGI5wXwgAAAN4AAAAPAAAA&#10;AAAAAAAAAAAAAAcCAABkcnMvZG93bnJldi54bWxQSwUGAAAAAAMAAwC3AAAA9gIAAAAA&#10;" path="m,3839299r3960000,l3960000,,,,,3839299xe" filled="f" strokeweight="1pt">
                  <v:stroke miterlimit="1" joinstyle="miter"/>
                  <v:path arrowok="t" textboxrect="0,0,3960000,3839299"/>
                </v:shape>
                <w10:anchorlock/>
              </v:group>
            </w:pict>
          </mc:Fallback>
        </mc:AlternateContent>
      </w:r>
    </w:p>
    <w:p w14:paraId="4B641CA3" w14:textId="77777777" w:rsidR="00B32EF2" w:rsidRDefault="00000000">
      <w:pPr>
        <w:spacing w:after="0"/>
        <w:ind w:left="-356" w:right="-306"/>
      </w:pPr>
      <w:r>
        <w:rPr>
          <w:noProof/>
        </w:rPr>
        <w:lastRenderedPageBreak/>
        <mc:AlternateContent>
          <mc:Choice Requires="wpg">
            <w:drawing>
              <wp:inline distT="0" distB="0" distL="0" distR="0" wp14:anchorId="5E88D456" wp14:editId="4246D550">
                <wp:extent cx="3991870" cy="6262854"/>
                <wp:effectExtent l="0" t="0" r="0" b="0"/>
                <wp:docPr id="200185" name="Group 200185"/>
                <wp:cNvGraphicFramePr/>
                <a:graphic xmlns:a="http://schemas.openxmlformats.org/drawingml/2006/main">
                  <a:graphicData uri="http://schemas.microsoft.com/office/word/2010/wordprocessingGroup">
                    <wpg:wgp>
                      <wpg:cNvGrpSpPr/>
                      <wpg:grpSpPr>
                        <a:xfrm>
                          <a:off x="0" y="0"/>
                          <a:ext cx="3991870" cy="6262854"/>
                          <a:chOff x="0" y="0"/>
                          <a:chExt cx="3991870" cy="6262854"/>
                        </a:xfrm>
                      </wpg:grpSpPr>
                      <wps:wsp>
                        <wps:cNvPr id="15686" name="Rectangle 15686"/>
                        <wps:cNvSpPr/>
                        <wps:spPr>
                          <a:xfrm rot="-10799999">
                            <a:off x="1900524" y="-62190"/>
                            <a:ext cx="178369" cy="250646"/>
                          </a:xfrm>
                          <a:prstGeom prst="rect">
                            <a:avLst/>
                          </a:prstGeom>
                          <a:ln>
                            <a:noFill/>
                          </a:ln>
                        </wps:spPr>
                        <wps:txbx>
                          <w:txbxContent>
                            <w:p w14:paraId="3F6D5C3F" w14:textId="77777777" w:rsidR="00B32EF2" w:rsidRDefault="00000000">
                              <w:r>
                                <w:rPr>
                                  <w:rFonts w:ascii="Times New Roman" w:eastAsia="Times New Roman" w:hAnsi="Times New Roman" w:cs="Times New Roman"/>
                                </w:rPr>
                                <w:t>89</w:t>
                              </w:r>
                            </w:p>
                          </w:txbxContent>
                        </wps:txbx>
                        <wps:bodyPr horzOverflow="overflow" vert="horz" lIns="0" tIns="0" rIns="0" bIns="0" rtlCol="0">
                          <a:noAutofit/>
                        </wps:bodyPr>
                      </wps:wsp>
                      <wps:wsp>
                        <wps:cNvPr id="15687" name="Rectangle 15687"/>
                        <wps:cNvSpPr/>
                        <wps:spPr>
                          <a:xfrm rot="-10799999">
                            <a:off x="1455588" y="6119965"/>
                            <a:ext cx="892534" cy="142889"/>
                          </a:xfrm>
                          <a:prstGeom prst="rect">
                            <a:avLst/>
                          </a:prstGeom>
                          <a:ln>
                            <a:noFill/>
                          </a:ln>
                        </wps:spPr>
                        <wps:txbx>
                          <w:txbxContent>
                            <w:p w14:paraId="70F538FF" w14:textId="77777777" w:rsidR="00B32EF2" w:rsidRDefault="00000000">
                              <w:r>
                                <w:rPr>
                                  <w:rFonts w:ascii="Arial" w:eastAsia="Arial" w:hAnsi="Arial" w:cs="Arial"/>
                                  <w:b/>
                                  <w:sz w:val="18"/>
                                </w:rPr>
                                <w:t>Articolo 100</w:t>
                              </w:r>
                            </w:p>
                          </w:txbxContent>
                        </wps:txbx>
                        <wps:bodyPr horzOverflow="overflow" vert="horz" lIns="0" tIns="0" rIns="0" bIns="0" rtlCol="0">
                          <a:noAutofit/>
                        </wps:bodyPr>
                      </wps:wsp>
                      <wps:wsp>
                        <wps:cNvPr id="200169" name="Rectangle 200169"/>
                        <wps:cNvSpPr/>
                        <wps:spPr>
                          <a:xfrm rot="-10799999">
                            <a:off x="-620090" y="5996635"/>
                            <a:ext cx="2202300" cy="142890"/>
                          </a:xfrm>
                          <a:prstGeom prst="rect">
                            <a:avLst/>
                          </a:prstGeom>
                          <a:ln>
                            <a:noFill/>
                          </a:ln>
                        </wps:spPr>
                        <wps:txbx>
                          <w:txbxContent>
                            <w:p w14:paraId="16DE0030"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170" name="Rectangle 200170"/>
                        <wps:cNvSpPr/>
                        <wps:spPr>
                          <a:xfrm rot="-10799999">
                            <a:off x="1000615" y="5996635"/>
                            <a:ext cx="2202300" cy="142890"/>
                          </a:xfrm>
                          <a:prstGeom prst="rect">
                            <a:avLst/>
                          </a:prstGeom>
                          <a:ln>
                            <a:noFill/>
                          </a:ln>
                        </wps:spPr>
                        <wps:txbx>
                          <w:txbxContent>
                            <w:p w14:paraId="3FB51500" w14:textId="77777777" w:rsidR="00B32EF2" w:rsidRDefault="00000000">
                              <w:r>
                                <w:rPr>
                                  <w:rFonts w:ascii="Arial" w:eastAsia="Arial" w:hAnsi="Arial" w:cs="Arial"/>
                                  <w:i/>
                                  <w:sz w:val="18"/>
                                </w:rPr>
                                <w:t xml:space="preserve">articolo 48-bis D.lgs. n. </w:t>
                              </w:r>
                            </w:p>
                          </w:txbxContent>
                        </wps:txbx>
                        <wps:bodyPr horzOverflow="overflow" vert="horz" lIns="0" tIns="0" rIns="0" bIns="0" rtlCol="0">
                          <a:noAutofit/>
                        </wps:bodyPr>
                      </wps:wsp>
                      <wps:wsp>
                        <wps:cNvPr id="200168" name="Rectangle 200168"/>
                        <wps:cNvSpPr/>
                        <wps:spPr>
                          <a:xfrm rot="-10799999">
                            <a:off x="2255228" y="5996635"/>
                            <a:ext cx="2202300" cy="142890"/>
                          </a:xfrm>
                          <a:prstGeom prst="rect">
                            <a:avLst/>
                          </a:prstGeom>
                          <a:ln>
                            <a:noFill/>
                          </a:ln>
                        </wps:spPr>
                        <wps:txbx>
                          <w:txbxContent>
                            <w:p w14:paraId="356396CF"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689" name="Rectangle 15689"/>
                        <wps:cNvSpPr/>
                        <wps:spPr>
                          <a:xfrm rot="-10799999">
                            <a:off x="843183" y="5873305"/>
                            <a:ext cx="1847153" cy="142889"/>
                          </a:xfrm>
                          <a:prstGeom prst="rect">
                            <a:avLst/>
                          </a:prstGeom>
                          <a:ln>
                            <a:noFill/>
                          </a:ln>
                        </wps:spPr>
                        <wps:txbx>
                          <w:txbxContent>
                            <w:p w14:paraId="54CE1F6C" w14:textId="77777777" w:rsidR="00B32EF2" w:rsidRDefault="00000000">
                              <w:r>
                                <w:rPr>
                                  <w:rFonts w:ascii="Arial" w:eastAsia="Arial" w:hAnsi="Arial" w:cs="Arial"/>
                                  <w:b/>
                                  <w:sz w:val="18"/>
                                </w:rPr>
                                <w:t xml:space="preserve">Conciliazione in udienza </w:t>
                              </w:r>
                            </w:p>
                          </w:txbxContent>
                        </wps:txbx>
                        <wps:bodyPr horzOverflow="overflow" vert="horz" lIns="0" tIns="0" rIns="0" bIns="0" rtlCol="0">
                          <a:noAutofit/>
                        </wps:bodyPr>
                      </wps:wsp>
                      <wps:wsp>
                        <wps:cNvPr id="200167" name="Rectangle 200167"/>
                        <wps:cNvSpPr/>
                        <wps:spPr>
                          <a:xfrm rot="-10799999">
                            <a:off x="-1280178" y="5749976"/>
                            <a:ext cx="5212853" cy="142889"/>
                          </a:xfrm>
                          <a:prstGeom prst="rect">
                            <a:avLst/>
                          </a:prstGeom>
                          <a:ln>
                            <a:noFill/>
                          </a:ln>
                        </wps:spPr>
                        <wps:txbx>
                          <w:txbxContent>
                            <w:p w14:paraId="269FF29A" w14:textId="77777777" w:rsidR="00B32EF2" w:rsidRDefault="00000000">
                              <w:r>
                                <w:rPr>
                                  <w:rFonts w:ascii="Arial" w:eastAsia="Arial" w:hAnsi="Arial" w:cs="Arial"/>
                                  <w:sz w:val="18"/>
                                </w:rPr>
                                <w:t>. Ciascuna parte entro il termine di cui all’articolo 80, comma 2, può presenta</w:t>
                              </w:r>
                            </w:p>
                          </w:txbxContent>
                        </wps:txbx>
                        <wps:bodyPr horzOverflow="overflow" vert="horz" lIns="0" tIns="0" rIns="0" bIns="0" rtlCol="0">
                          <a:noAutofit/>
                        </wps:bodyPr>
                      </wps:wsp>
                      <wps:wsp>
                        <wps:cNvPr id="200166" name="Rectangle 200166"/>
                        <wps:cNvSpPr/>
                        <wps:spPr>
                          <a:xfrm rot="-10799999">
                            <a:off x="2634905" y="5749976"/>
                            <a:ext cx="5212853" cy="142889"/>
                          </a:xfrm>
                          <a:prstGeom prst="rect">
                            <a:avLst/>
                          </a:prstGeom>
                          <a:ln>
                            <a:noFill/>
                          </a:ln>
                        </wps:spPr>
                        <wps:txbx>
                          <w:txbxContent>
                            <w:p w14:paraId="4385841E"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5691" name="Rectangle 15691"/>
                        <wps:cNvSpPr/>
                        <wps:spPr>
                          <a:xfrm rot="-10799999">
                            <a:off x="19272" y="5749975"/>
                            <a:ext cx="50622" cy="142889"/>
                          </a:xfrm>
                          <a:prstGeom prst="rect">
                            <a:avLst/>
                          </a:prstGeom>
                          <a:ln>
                            <a:noFill/>
                          </a:ln>
                        </wps:spPr>
                        <wps:txbx>
                          <w:txbxContent>
                            <w:p w14:paraId="156D04B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692" name="Rectangle 15692"/>
                        <wps:cNvSpPr/>
                        <wps:spPr>
                          <a:xfrm rot="-10799999">
                            <a:off x="-453058" y="5626646"/>
                            <a:ext cx="4444929" cy="142889"/>
                          </a:xfrm>
                          <a:prstGeom prst="rect">
                            <a:avLst/>
                          </a:prstGeom>
                          <a:ln>
                            <a:noFill/>
                          </a:ln>
                        </wps:spPr>
                        <wps:txbx>
                          <w:txbxContent>
                            <w:p w14:paraId="5298BC66" w14:textId="77777777" w:rsidR="00B32EF2" w:rsidRDefault="00000000">
                              <w:r>
                                <w:rPr>
                                  <w:rFonts w:ascii="Arial" w:eastAsia="Arial" w:hAnsi="Arial" w:cs="Arial"/>
                                  <w:sz w:val="18"/>
                                </w:rPr>
                                <w:t>re istanza per la conciliazione totale o parziale della controversia.</w:t>
                              </w:r>
                            </w:p>
                          </w:txbxContent>
                        </wps:txbx>
                        <wps:bodyPr horzOverflow="overflow" vert="horz" lIns="0" tIns="0" rIns="0" bIns="0" rtlCol="0">
                          <a:noAutofit/>
                        </wps:bodyPr>
                      </wps:wsp>
                      <wps:wsp>
                        <wps:cNvPr id="200164" name="Rectangle 200164"/>
                        <wps:cNvSpPr/>
                        <wps:spPr>
                          <a:xfrm rot="-10799999">
                            <a:off x="2634656" y="5503316"/>
                            <a:ext cx="5213858" cy="142889"/>
                          </a:xfrm>
                          <a:prstGeom prst="rect">
                            <a:avLst/>
                          </a:prstGeom>
                          <a:ln>
                            <a:noFill/>
                          </a:ln>
                        </wps:spPr>
                        <wps:txbx>
                          <w:txbxContent>
                            <w:p w14:paraId="00C0E92A"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165" name="Rectangle 200165"/>
                        <wps:cNvSpPr/>
                        <wps:spPr>
                          <a:xfrm rot="-10799999">
                            <a:off x="-1285536" y="5503316"/>
                            <a:ext cx="5213857" cy="142889"/>
                          </a:xfrm>
                          <a:prstGeom prst="rect">
                            <a:avLst/>
                          </a:prstGeom>
                          <a:ln>
                            <a:noFill/>
                          </a:ln>
                        </wps:spPr>
                        <wps:txbx>
                          <w:txbxContent>
                            <w:p w14:paraId="1A81D487" w14:textId="77777777" w:rsidR="00B32EF2" w:rsidRDefault="00000000">
                              <w:r>
                                <w:rPr>
                                  <w:rFonts w:ascii="Arial" w:eastAsia="Arial" w:hAnsi="Arial" w:cs="Arial"/>
                                  <w:sz w:val="18"/>
                                </w:rPr>
                                <w:t>. All’udienza la corte di giustizia tributaria, se sussistono le condizioni di am</w:t>
                              </w:r>
                            </w:p>
                          </w:txbxContent>
                        </wps:txbx>
                        <wps:bodyPr horzOverflow="overflow" vert="horz" lIns="0" tIns="0" rIns="0" bIns="0" rtlCol="0">
                          <a:noAutofit/>
                        </wps:bodyPr>
                      </wps:wsp>
                      <wps:wsp>
                        <wps:cNvPr id="15694" name="Rectangle 15694"/>
                        <wps:cNvSpPr/>
                        <wps:spPr>
                          <a:xfrm rot="-10799999">
                            <a:off x="19272" y="5503316"/>
                            <a:ext cx="50622" cy="142889"/>
                          </a:xfrm>
                          <a:prstGeom prst="rect">
                            <a:avLst/>
                          </a:prstGeom>
                          <a:ln>
                            <a:noFill/>
                          </a:ln>
                        </wps:spPr>
                        <wps:txbx>
                          <w:txbxContent>
                            <w:p w14:paraId="31BCEAF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695" name="Rectangle 15695"/>
                        <wps:cNvSpPr/>
                        <wps:spPr>
                          <a:xfrm rot="-10799999">
                            <a:off x="-1316897" y="5379987"/>
                            <a:ext cx="5309340" cy="142889"/>
                          </a:xfrm>
                          <a:prstGeom prst="rect">
                            <a:avLst/>
                          </a:prstGeom>
                          <a:ln>
                            <a:noFill/>
                          </a:ln>
                        </wps:spPr>
                        <wps:txbx>
                          <w:txbxContent>
                            <w:p w14:paraId="756CA497" w14:textId="77777777" w:rsidR="00B32EF2" w:rsidRDefault="00000000">
                              <w:r>
                                <w:rPr>
                                  <w:rFonts w:ascii="Arial" w:eastAsia="Arial" w:hAnsi="Arial" w:cs="Arial"/>
                                  <w:sz w:val="18"/>
                                </w:rPr>
                                <w:t xml:space="preserve">missibilità, invita le parti alla conciliazione rinviando eventualmente la causa </w:t>
                              </w:r>
                            </w:p>
                          </w:txbxContent>
                        </wps:txbx>
                        <wps:bodyPr horzOverflow="overflow" vert="horz" lIns="0" tIns="0" rIns="0" bIns="0" rtlCol="0">
                          <a:noAutofit/>
                        </wps:bodyPr>
                      </wps:wsp>
                      <wps:wsp>
                        <wps:cNvPr id="15696" name="Rectangle 15696"/>
                        <wps:cNvSpPr/>
                        <wps:spPr>
                          <a:xfrm rot="-10799999">
                            <a:off x="-937574" y="5256657"/>
                            <a:ext cx="4929445" cy="142889"/>
                          </a:xfrm>
                          <a:prstGeom prst="rect">
                            <a:avLst/>
                          </a:prstGeom>
                          <a:ln>
                            <a:noFill/>
                          </a:ln>
                        </wps:spPr>
                        <wps:txbx>
                          <w:txbxContent>
                            <w:p w14:paraId="052A680F" w14:textId="77777777" w:rsidR="00B32EF2" w:rsidRDefault="00000000">
                              <w:r>
                                <w:rPr>
                                  <w:rFonts w:ascii="Arial" w:eastAsia="Arial" w:hAnsi="Arial" w:cs="Arial"/>
                                  <w:sz w:val="18"/>
                                </w:rPr>
                                <w:t xml:space="preserve">alla successiva udienza per il perfezionamento dell’accordo conciliativo. </w:t>
                              </w:r>
                            </w:p>
                          </w:txbxContent>
                        </wps:txbx>
                        <wps:bodyPr horzOverflow="overflow" vert="horz" lIns="0" tIns="0" rIns="0" bIns="0" rtlCol="0">
                          <a:noAutofit/>
                        </wps:bodyPr>
                      </wps:wsp>
                      <wps:wsp>
                        <wps:cNvPr id="200162" name="Rectangle 200162"/>
                        <wps:cNvSpPr/>
                        <wps:spPr>
                          <a:xfrm rot="-10799999">
                            <a:off x="2611037" y="5133327"/>
                            <a:ext cx="5309051" cy="142889"/>
                          </a:xfrm>
                          <a:prstGeom prst="rect">
                            <a:avLst/>
                          </a:prstGeom>
                          <a:ln>
                            <a:noFill/>
                          </a:ln>
                        </wps:spPr>
                        <wps:txbx>
                          <w:txbxContent>
                            <w:p w14:paraId="1BD790B2"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0163" name="Rectangle 200163"/>
                        <wps:cNvSpPr/>
                        <wps:spPr>
                          <a:xfrm rot="-10799999">
                            <a:off x="-1381713" y="5133327"/>
                            <a:ext cx="5309051" cy="142889"/>
                          </a:xfrm>
                          <a:prstGeom prst="rect">
                            <a:avLst/>
                          </a:prstGeom>
                          <a:ln>
                            <a:noFill/>
                          </a:ln>
                        </wps:spPr>
                        <wps:txbx>
                          <w:txbxContent>
                            <w:p w14:paraId="447D6C3D" w14:textId="77777777" w:rsidR="00B32EF2" w:rsidRDefault="00000000">
                              <w:r>
                                <w:rPr>
                                  <w:rFonts w:ascii="Arial" w:eastAsia="Arial" w:hAnsi="Arial" w:cs="Arial"/>
                                  <w:sz w:val="18"/>
                                </w:rPr>
                                <w:t xml:space="preserve">. La conciliazione si perfeziona con la redazione del processo verbale nel </w:t>
                              </w:r>
                            </w:p>
                          </w:txbxContent>
                        </wps:txbx>
                        <wps:bodyPr horzOverflow="overflow" vert="horz" lIns="0" tIns="0" rIns="0" bIns="0" rtlCol="0">
                          <a:noAutofit/>
                        </wps:bodyPr>
                      </wps:wsp>
                      <wps:wsp>
                        <wps:cNvPr id="15698" name="Rectangle 15698"/>
                        <wps:cNvSpPr/>
                        <wps:spPr>
                          <a:xfrm rot="-10799999">
                            <a:off x="-1317225" y="5009998"/>
                            <a:ext cx="5309097" cy="142889"/>
                          </a:xfrm>
                          <a:prstGeom prst="rect">
                            <a:avLst/>
                          </a:prstGeom>
                          <a:ln>
                            <a:noFill/>
                          </a:ln>
                        </wps:spPr>
                        <wps:txbx>
                          <w:txbxContent>
                            <w:p w14:paraId="28C305DF" w14:textId="77777777" w:rsidR="00B32EF2" w:rsidRDefault="00000000">
                              <w:r>
                                <w:rPr>
                                  <w:rFonts w:ascii="Arial" w:eastAsia="Arial" w:hAnsi="Arial" w:cs="Arial"/>
                                  <w:sz w:val="18"/>
                                </w:rPr>
                                <w:t xml:space="preserve">quale sono indicate le somme dovute con i termini e le modalità di pagamento. </w:t>
                              </w:r>
                            </w:p>
                          </w:txbxContent>
                        </wps:txbx>
                        <wps:bodyPr horzOverflow="overflow" vert="horz" lIns="0" tIns="0" rIns="0" bIns="0" rtlCol="0">
                          <a:noAutofit/>
                        </wps:bodyPr>
                      </wps:wsp>
                      <wps:wsp>
                        <wps:cNvPr id="15699" name="Rectangle 15699"/>
                        <wps:cNvSpPr/>
                        <wps:spPr>
                          <a:xfrm rot="-10799999">
                            <a:off x="-1317135" y="4886668"/>
                            <a:ext cx="5309006" cy="142889"/>
                          </a:xfrm>
                          <a:prstGeom prst="rect">
                            <a:avLst/>
                          </a:prstGeom>
                          <a:ln>
                            <a:noFill/>
                          </a:ln>
                        </wps:spPr>
                        <wps:txbx>
                          <w:txbxContent>
                            <w:p w14:paraId="0ED30A28" w14:textId="77777777" w:rsidR="00B32EF2" w:rsidRDefault="00000000">
                              <w:r>
                                <w:rPr>
                                  <w:rFonts w:ascii="Arial" w:eastAsia="Arial" w:hAnsi="Arial" w:cs="Arial"/>
                                  <w:sz w:val="18"/>
                                </w:rPr>
                                <w:t xml:space="preserve">Il processo verbale costituisce titolo per la riscossione delle somme dovute </w:t>
                              </w:r>
                            </w:p>
                          </w:txbxContent>
                        </wps:txbx>
                        <wps:bodyPr horzOverflow="overflow" vert="horz" lIns="0" tIns="0" rIns="0" bIns="0" rtlCol="0">
                          <a:noAutofit/>
                        </wps:bodyPr>
                      </wps:wsp>
                      <wps:wsp>
                        <wps:cNvPr id="15700" name="Rectangle 15700"/>
                        <wps:cNvSpPr/>
                        <wps:spPr>
                          <a:xfrm rot="-10799999">
                            <a:off x="-1057714" y="4763338"/>
                            <a:ext cx="5049585" cy="142889"/>
                          </a:xfrm>
                          <a:prstGeom prst="rect">
                            <a:avLst/>
                          </a:prstGeom>
                          <a:ln>
                            <a:noFill/>
                          </a:ln>
                        </wps:spPr>
                        <wps:txbx>
                          <w:txbxContent>
                            <w:p w14:paraId="20753599" w14:textId="77777777" w:rsidR="00B32EF2" w:rsidRDefault="00000000">
                              <w:r>
                                <w:rPr>
                                  <w:rFonts w:ascii="Arial" w:eastAsia="Arial" w:hAnsi="Arial" w:cs="Arial"/>
                                  <w:sz w:val="18"/>
                                </w:rPr>
                                <w:t>all’ente impositore e per il pagamento delle somme dovute al contribuente.</w:t>
                              </w:r>
                            </w:p>
                          </w:txbxContent>
                        </wps:txbx>
                        <wps:bodyPr horzOverflow="overflow" vert="horz" lIns="0" tIns="0" rIns="0" bIns="0" rtlCol="0">
                          <a:noAutofit/>
                        </wps:bodyPr>
                      </wps:wsp>
                      <wps:wsp>
                        <wps:cNvPr id="200160" name="Rectangle 200160"/>
                        <wps:cNvSpPr/>
                        <wps:spPr>
                          <a:xfrm rot="-10799999">
                            <a:off x="2611048" y="4640009"/>
                            <a:ext cx="5309006" cy="142889"/>
                          </a:xfrm>
                          <a:prstGeom prst="rect">
                            <a:avLst/>
                          </a:prstGeom>
                          <a:ln>
                            <a:noFill/>
                          </a:ln>
                        </wps:spPr>
                        <wps:txbx>
                          <w:txbxContent>
                            <w:p w14:paraId="521673B6"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0161" name="Rectangle 200161"/>
                        <wps:cNvSpPr/>
                        <wps:spPr>
                          <a:xfrm rot="-10799999">
                            <a:off x="-1380286" y="4640009"/>
                            <a:ext cx="5309005" cy="142889"/>
                          </a:xfrm>
                          <a:prstGeom prst="rect">
                            <a:avLst/>
                          </a:prstGeom>
                          <a:ln>
                            <a:noFill/>
                          </a:ln>
                        </wps:spPr>
                        <wps:txbx>
                          <w:txbxContent>
                            <w:p w14:paraId="44081298" w14:textId="77777777" w:rsidR="00B32EF2" w:rsidRDefault="00000000">
                              <w:r>
                                <w:rPr>
                                  <w:rFonts w:ascii="Arial" w:eastAsia="Arial" w:hAnsi="Arial" w:cs="Arial"/>
                                  <w:sz w:val="18"/>
                                </w:rPr>
                                <w:t xml:space="preserve">. La corte di giustizia tributaria dichiara con sentenza l’estinzione del giudizio </w:t>
                              </w:r>
                            </w:p>
                          </w:txbxContent>
                        </wps:txbx>
                        <wps:bodyPr horzOverflow="overflow" vert="horz" lIns="0" tIns="0" rIns="0" bIns="0" rtlCol="0">
                          <a:noAutofit/>
                        </wps:bodyPr>
                      </wps:wsp>
                      <wps:wsp>
                        <wps:cNvPr id="15702" name="Rectangle 15702"/>
                        <wps:cNvSpPr/>
                        <wps:spPr>
                          <a:xfrm rot="-10799999">
                            <a:off x="927714" y="4516679"/>
                            <a:ext cx="3064156" cy="142889"/>
                          </a:xfrm>
                          <a:prstGeom prst="rect">
                            <a:avLst/>
                          </a:prstGeom>
                          <a:ln>
                            <a:noFill/>
                          </a:ln>
                        </wps:spPr>
                        <wps:txbx>
                          <w:txbxContent>
                            <w:p w14:paraId="0EA08EF6" w14:textId="77777777" w:rsidR="00B32EF2" w:rsidRDefault="00000000">
                              <w:r>
                                <w:rPr>
                                  <w:rFonts w:ascii="Arial" w:eastAsia="Arial" w:hAnsi="Arial" w:cs="Arial"/>
                                  <w:sz w:val="18"/>
                                </w:rPr>
                                <w:t>per cessazione della materia del contendere.</w:t>
                              </w:r>
                            </w:p>
                          </w:txbxContent>
                        </wps:txbx>
                        <wps:bodyPr horzOverflow="overflow" vert="horz" lIns="0" tIns="0" rIns="0" bIns="0" rtlCol="0">
                          <a:noAutofit/>
                        </wps:bodyPr>
                      </wps:wsp>
                      <wps:wsp>
                        <wps:cNvPr id="15703" name="Rectangle 15703"/>
                        <wps:cNvSpPr/>
                        <wps:spPr>
                          <a:xfrm rot="-10799999">
                            <a:off x="1458403" y="4270019"/>
                            <a:ext cx="888004" cy="142889"/>
                          </a:xfrm>
                          <a:prstGeom prst="rect">
                            <a:avLst/>
                          </a:prstGeom>
                          <a:ln>
                            <a:noFill/>
                          </a:ln>
                        </wps:spPr>
                        <wps:txbx>
                          <w:txbxContent>
                            <w:p w14:paraId="4E939CB8" w14:textId="77777777" w:rsidR="00B32EF2" w:rsidRDefault="00000000">
                              <w:r>
                                <w:rPr>
                                  <w:rFonts w:ascii="Arial" w:eastAsia="Arial" w:hAnsi="Arial" w:cs="Arial"/>
                                  <w:b/>
                                  <w:sz w:val="18"/>
                                </w:rPr>
                                <w:t>Articolo 101</w:t>
                              </w:r>
                            </w:p>
                          </w:txbxContent>
                        </wps:txbx>
                        <wps:bodyPr horzOverflow="overflow" vert="horz" lIns="0" tIns="0" rIns="0" bIns="0" rtlCol="0">
                          <a:noAutofit/>
                        </wps:bodyPr>
                      </wps:wsp>
                      <wps:wsp>
                        <wps:cNvPr id="200154" name="Rectangle 200154"/>
                        <wps:cNvSpPr/>
                        <wps:spPr>
                          <a:xfrm rot="-10799999">
                            <a:off x="2270350" y="4146690"/>
                            <a:ext cx="2320555" cy="142889"/>
                          </a:xfrm>
                          <a:prstGeom prst="rect">
                            <a:avLst/>
                          </a:prstGeom>
                          <a:ln>
                            <a:noFill/>
                          </a:ln>
                        </wps:spPr>
                        <wps:txbx>
                          <w:txbxContent>
                            <w:p w14:paraId="07D3300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155" name="Rectangle 200155"/>
                        <wps:cNvSpPr/>
                        <wps:spPr>
                          <a:xfrm rot="-10799999">
                            <a:off x="-782796" y="4146689"/>
                            <a:ext cx="2320555" cy="142889"/>
                          </a:xfrm>
                          <a:prstGeom prst="rect">
                            <a:avLst/>
                          </a:prstGeom>
                          <a:ln>
                            <a:noFill/>
                          </a:ln>
                        </wps:spPr>
                        <wps:txbx>
                          <w:txbxContent>
                            <w:p w14:paraId="7EE06AF1"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158" name="Rectangle 200158"/>
                        <wps:cNvSpPr/>
                        <wps:spPr>
                          <a:xfrm rot="-10799999">
                            <a:off x="926822" y="4146690"/>
                            <a:ext cx="2320555" cy="142889"/>
                          </a:xfrm>
                          <a:prstGeom prst="rect">
                            <a:avLst/>
                          </a:prstGeom>
                          <a:ln>
                            <a:noFill/>
                          </a:ln>
                        </wps:spPr>
                        <wps:txbx>
                          <w:txbxContent>
                            <w:p w14:paraId="27297348" w14:textId="77777777" w:rsidR="00B32EF2" w:rsidRDefault="00000000">
                              <w:r>
                                <w:rPr>
                                  <w:rFonts w:ascii="Arial" w:eastAsia="Arial" w:hAnsi="Arial" w:cs="Arial"/>
                                  <w:i/>
                                  <w:sz w:val="18"/>
                                </w:rPr>
                                <w:t xml:space="preserve">articolo 48-bis.1 D.lgs. n. </w:t>
                              </w:r>
                            </w:p>
                          </w:txbxContent>
                        </wps:txbx>
                        <wps:bodyPr horzOverflow="overflow" vert="horz" lIns="0" tIns="0" rIns="0" bIns="0" rtlCol="0">
                          <a:noAutofit/>
                        </wps:bodyPr>
                      </wps:wsp>
                      <wps:wsp>
                        <wps:cNvPr id="15705" name="Rectangle 15705"/>
                        <wps:cNvSpPr/>
                        <wps:spPr>
                          <a:xfrm rot="-10799999">
                            <a:off x="-593770" y="4023360"/>
                            <a:ext cx="4149815" cy="142889"/>
                          </a:xfrm>
                          <a:prstGeom prst="rect">
                            <a:avLst/>
                          </a:prstGeom>
                          <a:ln>
                            <a:noFill/>
                          </a:ln>
                        </wps:spPr>
                        <wps:txbx>
                          <w:txbxContent>
                            <w:p w14:paraId="17B06C61" w14:textId="77777777" w:rsidR="00B32EF2" w:rsidRDefault="00000000">
                              <w:r>
                                <w:rPr>
                                  <w:rFonts w:ascii="Arial" w:eastAsia="Arial" w:hAnsi="Arial" w:cs="Arial"/>
                                  <w:b/>
                                  <w:sz w:val="18"/>
                                </w:rPr>
                                <w:t xml:space="preserve">Conciliazione proposta dalla corte di giustizia tributaria </w:t>
                              </w:r>
                            </w:p>
                          </w:txbxContent>
                        </wps:txbx>
                        <wps:bodyPr horzOverflow="overflow" vert="horz" lIns="0" tIns="0" rIns="0" bIns="0" rtlCol="0">
                          <a:noAutofit/>
                        </wps:bodyPr>
                      </wps:wsp>
                      <wps:wsp>
                        <wps:cNvPr id="200151" name="Rectangle 200151"/>
                        <wps:cNvSpPr/>
                        <wps:spPr>
                          <a:xfrm rot="-10799999">
                            <a:off x="2611033" y="3900030"/>
                            <a:ext cx="5309066" cy="142889"/>
                          </a:xfrm>
                          <a:prstGeom prst="rect">
                            <a:avLst/>
                          </a:prstGeom>
                          <a:ln>
                            <a:noFill/>
                          </a:ln>
                        </wps:spPr>
                        <wps:txbx>
                          <w:txbxContent>
                            <w:p w14:paraId="6F38337E"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152" name="Rectangle 200152"/>
                        <wps:cNvSpPr/>
                        <wps:spPr>
                          <a:xfrm rot="-10799999">
                            <a:off x="-1376391" y="3900030"/>
                            <a:ext cx="5309066" cy="142889"/>
                          </a:xfrm>
                          <a:prstGeom prst="rect">
                            <a:avLst/>
                          </a:prstGeom>
                          <a:ln>
                            <a:noFill/>
                          </a:ln>
                        </wps:spPr>
                        <wps:txbx>
                          <w:txbxContent>
                            <w:p w14:paraId="0A598598" w14:textId="77777777" w:rsidR="00B32EF2" w:rsidRDefault="00000000">
                              <w:r>
                                <w:rPr>
                                  <w:rFonts w:ascii="Arial" w:eastAsia="Arial" w:hAnsi="Arial" w:cs="Arial"/>
                                  <w:sz w:val="18"/>
                                </w:rPr>
                                <w:t xml:space="preserve">. La corte di giustizia tributaria, ove possibile, può formulare alle parti una </w:t>
                              </w:r>
                            </w:p>
                          </w:txbxContent>
                        </wps:txbx>
                        <wps:bodyPr horzOverflow="overflow" vert="horz" lIns="0" tIns="0" rIns="0" bIns="0" rtlCol="0">
                          <a:noAutofit/>
                        </wps:bodyPr>
                      </wps:wsp>
                      <wps:wsp>
                        <wps:cNvPr id="15707" name="Rectangle 15707"/>
                        <wps:cNvSpPr/>
                        <wps:spPr>
                          <a:xfrm rot="-10799999">
                            <a:off x="-1317134" y="3776701"/>
                            <a:ext cx="5309005" cy="142889"/>
                          </a:xfrm>
                          <a:prstGeom prst="rect">
                            <a:avLst/>
                          </a:prstGeom>
                          <a:ln>
                            <a:noFill/>
                          </a:ln>
                        </wps:spPr>
                        <wps:txbx>
                          <w:txbxContent>
                            <w:p w14:paraId="2EDA8F3E" w14:textId="77777777" w:rsidR="00B32EF2" w:rsidRDefault="00000000">
                              <w:r>
                                <w:rPr>
                                  <w:rFonts w:ascii="Arial" w:eastAsia="Arial" w:hAnsi="Arial" w:cs="Arial"/>
                                  <w:sz w:val="18"/>
                                </w:rPr>
                                <w:t xml:space="preserve">proposta conciliativa, avuto riguardo all’oggetto del giudizio e ai precedenti </w:t>
                              </w:r>
                            </w:p>
                          </w:txbxContent>
                        </wps:txbx>
                        <wps:bodyPr horzOverflow="overflow" vert="horz" lIns="0" tIns="0" rIns="0" bIns="0" rtlCol="0">
                          <a:noAutofit/>
                        </wps:bodyPr>
                      </wps:wsp>
                      <wps:wsp>
                        <wps:cNvPr id="15708" name="Rectangle 15708"/>
                        <wps:cNvSpPr/>
                        <wps:spPr>
                          <a:xfrm rot="-10799999">
                            <a:off x="2832605" y="3653371"/>
                            <a:ext cx="1159951" cy="142889"/>
                          </a:xfrm>
                          <a:prstGeom prst="rect">
                            <a:avLst/>
                          </a:prstGeom>
                          <a:ln>
                            <a:noFill/>
                          </a:ln>
                        </wps:spPr>
                        <wps:txbx>
                          <w:txbxContent>
                            <w:p w14:paraId="0D866C2F" w14:textId="77777777" w:rsidR="00B32EF2" w:rsidRDefault="00000000">
                              <w:r>
                                <w:rPr>
                                  <w:rFonts w:ascii="Arial" w:eastAsia="Arial" w:hAnsi="Arial" w:cs="Arial"/>
                                  <w:sz w:val="18"/>
                                </w:rPr>
                                <w:t>giurisprudenziali.</w:t>
                              </w:r>
                            </w:p>
                          </w:txbxContent>
                        </wps:txbx>
                        <wps:bodyPr horzOverflow="overflow" vert="horz" lIns="0" tIns="0" rIns="0" bIns="0" rtlCol="0">
                          <a:noAutofit/>
                        </wps:bodyPr>
                      </wps:wsp>
                      <wps:wsp>
                        <wps:cNvPr id="200149" name="Rectangle 200149"/>
                        <wps:cNvSpPr/>
                        <wps:spPr>
                          <a:xfrm rot="-10799999">
                            <a:off x="-1381732" y="3530041"/>
                            <a:ext cx="5309036" cy="142889"/>
                          </a:xfrm>
                          <a:prstGeom prst="rect">
                            <a:avLst/>
                          </a:prstGeom>
                          <a:ln>
                            <a:noFill/>
                          </a:ln>
                        </wps:spPr>
                        <wps:txbx>
                          <w:txbxContent>
                            <w:p w14:paraId="4DA3BD98" w14:textId="77777777" w:rsidR="00B32EF2" w:rsidRDefault="00000000">
                              <w:r>
                                <w:rPr>
                                  <w:rFonts w:ascii="Arial" w:eastAsia="Arial" w:hAnsi="Arial" w:cs="Arial"/>
                                  <w:sz w:val="18"/>
                                </w:rPr>
                                <w:t xml:space="preserve">. La proposta può essere formulata in udienza o fuori udienza. Se è formulata </w:t>
                              </w:r>
                            </w:p>
                          </w:txbxContent>
                        </wps:txbx>
                        <wps:bodyPr horzOverflow="overflow" vert="horz" lIns="0" tIns="0" rIns="0" bIns="0" rtlCol="0">
                          <a:noAutofit/>
                        </wps:bodyPr>
                      </wps:wsp>
                      <wps:wsp>
                        <wps:cNvPr id="200148" name="Rectangle 200148"/>
                        <wps:cNvSpPr/>
                        <wps:spPr>
                          <a:xfrm rot="-10799999">
                            <a:off x="2611040" y="3530041"/>
                            <a:ext cx="5309036" cy="142889"/>
                          </a:xfrm>
                          <a:prstGeom prst="rect">
                            <a:avLst/>
                          </a:prstGeom>
                          <a:ln>
                            <a:noFill/>
                          </a:ln>
                        </wps:spPr>
                        <wps:txbx>
                          <w:txbxContent>
                            <w:p w14:paraId="1EEA5180"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5710" name="Rectangle 15710"/>
                        <wps:cNvSpPr/>
                        <wps:spPr>
                          <a:xfrm rot="-10799999">
                            <a:off x="-1317164" y="3406712"/>
                            <a:ext cx="5309036" cy="142889"/>
                          </a:xfrm>
                          <a:prstGeom prst="rect">
                            <a:avLst/>
                          </a:prstGeom>
                          <a:ln>
                            <a:noFill/>
                          </a:ln>
                        </wps:spPr>
                        <wps:txbx>
                          <w:txbxContent>
                            <w:p w14:paraId="6449DA9C" w14:textId="77777777" w:rsidR="00B32EF2" w:rsidRDefault="00000000">
                              <w:r>
                                <w:rPr>
                                  <w:rFonts w:ascii="Arial" w:eastAsia="Arial" w:hAnsi="Arial" w:cs="Arial"/>
                                  <w:sz w:val="18"/>
                                </w:rPr>
                                <w:t xml:space="preserve">fuori udienza, è comunicata alle parti. Se è formulata in udienza, è comunicata </w:t>
                              </w:r>
                            </w:p>
                          </w:txbxContent>
                        </wps:txbx>
                        <wps:bodyPr horzOverflow="overflow" vert="horz" lIns="0" tIns="0" rIns="0" bIns="0" rtlCol="0">
                          <a:noAutofit/>
                        </wps:bodyPr>
                      </wps:wsp>
                      <wps:wsp>
                        <wps:cNvPr id="15711" name="Rectangle 15711"/>
                        <wps:cNvSpPr/>
                        <wps:spPr>
                          <a:xfrm rot="-10799999">
                            <a:off x="-379252" y="3283382"/>
                            <a:ext cx="4371124" cy="142889"/>
                          </a:xfrm>
                          <a:prstGeom prst="rect">
                            <a:avLst/>
                          </a:prstGeom>
                          <a:ln>
                            <a:noFill/>
                          </a:ln>
                        </wps:spPr>
                        <wps:txbx>
                          <w:txbxContent>
                            <w:p w14:paraId="463A7C91" w14:textId="77777777" w:rsidR="00B32EF2" w:rsidRDefault="00000000">
                              <w:r>
                                <w:rPr>
                                  <w:rFonts w:ascii="Arial" w:eastAsia="Arial" w:hAnsi="Arial" w:cs="Arial"/>
                                  <w:sz w:val="18"/>
                                </w:rPr>
                                <w:t xml:space="preserve">alle parti non comparse con la fissazione di una nuova udienza. </w:t>
                              </w:r>
                            </w:p>
                          </w:txbxContent>
                        </wps:txbx>
                        <wps:bodyPr horzOverflow="overflow" vert="horz" lIns="0" tIns="0" rIns="0" bIns="0" rtlCol="0">
                          <a:noAutofit/>
                        </wps:bodyPr>
                      </wps:wsp>
                      <wps:wsp>
                        <wps:cNvPr id="200146" name="Rectangle 200146"/>
                        <wps:cNvSpPr/>
                        <wps:spPr>
                          <a:xfrm rot="-10799999">
                            <a:off x="2611033" y="3160052"/>
                            <a:ext cx="5309066" cy="142889"/>
                          </a:xfrm>
                          <a:prstGeom prst="rect">
                            <a:avLst/>
                          </a:prstGeom>
                          <a:ln>
                            <a:noFill/>
                          </a:ln>
                        </wps:spPr>
                        <wps:txbx>
                          <w:txbxContent>
                            <w:p w14:paraId="6D6D9007"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0147" name="Rectangle 200147"/>
                        <wps:cNvSpPr/>
                        <wps:spPr>
                          <a:xfrm rot="-10799999">
                            <a:off x="-1381728" y="3160052"/>
                            <a:ext cx="5309066" cy="142889"/>
                          </a:xfrm>
                          <a:prstGeom prst="rect">
                            <a:avLst/>
                          </a:prstGeom>
                          <a:ln>
                            <a:noFill/>
                          </a:ln>
                        </wps:spPr>
                        <wps:txbx>
                          <w:txbxContent>
                            <w:p w14:paraId="40A47CB0" w14:textId="77777777" w:rsidR="00B32EF2" w:rsidRDefault="00000000">
                              <w:r>
                                <w:rPr>
                                  <w:rFonts w:ascii="Arial" w:eastAsia="Arial" w:hAnsi="Arial" w:cs="Arial"/>
                                  <w:sz w:val="18"/>
                                </w:rPr>
                                <w:t xml:space="preserve">. La causa, se richiesto da una delle parti, può essere rinviata alla successiva </w:t>
                              </w:r>
                            </w:p>
                          </w:txbxContent>
                        </wps:txbx>
                        <wps:bodyPr horzOverflow="overflow" vert="horz" lIns="0" tIns="0" rIns="0" bIns="0" rtlCol="0">
                          <a:noAutofit/>
                        </wps:bodyPr>
                      </wps:wsp>
                      <wps:wsp>
                        <wps:cNvPr id="15713" name="Rectangle 15713"/>
                        <wps:cNvSpPr/>
                        <wps:spPr>
                          <a:xfrm rot="-10799999">
                            <a:off x="-1317164" y="3036723"/>
                            <a:ext cx="5309036" cy="142889"/>
                          </a:xfrm>
                          <a:prstGeom prst="rect">
                            <a:avLst/>
                          </a:prstGeom>
                          <a:ln>
                            <a:noFill/>
                          </a:ln>
                        </wps:spPr>
                        <wps:txbx>
                          <w:txbxContent>
                            <w:p w14:paraId="01C23BC0" w14:textId="77777777" w:rsidR="00B32EF2" w:rsidRDefault="00000000">
                              <w:r>
                                <w:rPr>
                                  <w:rFonts w:ascii="Arial" w:eastAsia="Arial" w:hAnsi="Arial" w:cs="Arial"/>
                                  <w:sz w:val="18"/>
                                </w:rPr>
                                <w:t xml:space="preserve">udienza per il perfezionamento dell’accordo conciliativo. Ove l’accordo non si </w:t>
                              </w:r>
                            </w:p>
                          </w:txbxContent>
                        </wps:txbx>
                        <wps:bodyPr horzOverflow="overflow" vert="horz" lIns="0" tIns="0" rIns="0" bIns="0" rtlCol="0">
                          <a:noAutofit/>
                        </wps:bodyPr>
                      </wps:wsp>
                      <wps:wsp>
                        <wps:cNvPr id="15714" name="Rectangle 15714"/>
                        <wps:cNvSpPr/>
                        <wps:spPr>
                          <a:xfrm rot="-10799999">
                            <a:off x="-870168" y="2913393"/>
                            <a:ext cx="4862039" cy="142889"/>
                          </a:xfrm>
                          <a:prstGeom prst="rect">
                            <a:avLst/>
                          </a:prstGeom>
                          <a:ln>
                            <a:noFill/>
                          </a:ln>
                        </wps:spPr>
                        <wps:txbx>
                          <w:txbxContent>
                            <w:p w14:paraId="6D683386" w14:textId="77777777" w:rsidR="00B32EF2" w:rsidRDefault="00000000">
                              <w:r>
                                <w:rPr>
                                  <w:rFonts w:ascii="Arial" w:eastAsia="Arial" w:hAnsi="Arial" w:cs="Arial"/>
                                  <w:sz w:val="18"/>
                                </w:rPr>
                                <w:t xml:space="preserve">perfezioni, si procede nella stessa udienza alla trattazione della causa. </w:t>
                              </w:r>
                            </w:p>
                          </w:txbxContent>
                        </wps:txbx>
                        <wps:bodyPr horzOverflow="overflow" vert="horz" lIns="0" tIns="0" rIns="0" bIns="0" rtlCol="0">
                          <a:noAutofit/>
                        </wps:bodyPr>
                      </wps:wsp>
                      <wps:wsp>
                        <wps:cNvPr id="200144" name="Rectangle 200144"/>
                        <wps:cNvSpPr/>
                        <wps:spPr>
                          <a:xfrm rot="-10799999">
                            <a:off x="2636712" y="2790063"/>
                            <a:ext cx="5205571" cy="142889"/>
                          </a:xfrm>
                          <a:prstGeom prst="rect">
                            <a:avLst/>
                          </a:prstGeom>
                          <a:ln>
                            <a:noFill/>
                          </a:ln>
                        </wps:spPr>
                        <wps:txbx>
                          <w:txbxContent>
                            <w:p w14:paraId="3DD7AF06"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0145" name="Rectangle 200145"/>
                        <wps:cNvSpPr/>
                        <wps:spPr>
                          <a:xfrm rot="-10799999">
                            <a:off x="-1283366" y="2790063"/>
                            <a:ext cx="5205572" cy="142889"/>
                          </a:xfrm>
                          <a:prstGeom prst="rect">
                            <a:avLst/>
                          </a:prstGeom>
                          <a:ln>
                            <a:noFill/>
                          </a:ln>
                        </wps:spPr>
                        <wps:txbx>
                          <w:txbxContent>
                            <w:p w14:paraId="54D59B76" w14:textId="77777777" w:rsidR="00B32EF2" w:rsidRDefault="00000000">
                              <w:r>
                                <w:rPr>
                                  <w:rFonts w:ascii="Arial" w:eastAsia="Arial" w:hAnsi="Arial" w:cs="Arial"/>
                                  <w:sz w:val="18"/>
                                </w:rPr>
                                <w:t>. La conciliazione si perfeziona con la redazione del processo verbale, nel qua</w:t>
                              </w:r>
                            </w:p>
                          </w:txbxContent>
                        </wps:txbx>
                        <wps:bodyPr horzOverflow="overflow" vert="horz" lIns="0" tIns="0" rIns="0" bIns="0" rtlCol="0">
                          <a:noAutofit/>
                        </wps:bodyPr>
                      </wps:wsp>
                      <wps:wsp>
                        <wps:cNvPr id="15716" name="Rectangle 15716"/>
                        <wps:cNvSpPr/>
                        <wps:spPr>
                          <a:xfrm rot="-10799999">
                            <a:off x="19272" y="2790063"/>
                            <a:ext cx="50622" cy="142889"/>
                          </a:xfrm>
                          <a:prstGeom prst="rect">
                            <a:avLst/>
                          </a:prstGeom>
                          <a:ln>
                            <a:noFill/>
                          </a:ln>
                        </wps:spPr>
                        <wps:txbx>
                          <w:txbxContent>
                            <w:p w14:paraId="74388E0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717" name="Rectangle 15717"/>
                        <wps:cNvSpPr/>
                        <wps:spPr>
                          <a:xfrm rot="-10799999">
                            <a:off x="-1316346" y="2666733"/>
                            <a:ext cx="5307074" cy="142889"/>
                          </a:xfrm>
                          <a:prstGeom prst="rect">
                            <a:avLst/>
                          </a:prstGeom>
                          <a:ln>
                            <a:noFill/>
                          </a:ln>
                        </wps:spPr>
                        <wps:txbx>
                          <w:txbxContent>
                            <w:p w14:paraId="7C9079C8" w14:textId="77777777" w:rsidR="00B32EF2" w:rsidRDefault="00000000">
                              <w:r>
                                <w:rPr>
                                  <w:rFonts w:ascii="Arial" w:eastAsia="Arial" w:hAnsi="Arial" w:cs="Arial"/>
                                  <w:sz w:val="18"/>
                                </w:rPr>
                                <w:t xml:space="preserve">le sono indicati le somme dovute nonché i termini e le modalità di pagamento. Il </w:t>
                              </w:r>
                            </w:p>
                          </w:txbxContent>
                        </wps:txbx>
                        <wps:bodyPr horzOverflow="overflow" vert="horz" lIns="0" tIns="0" rIns="0" bIns="0" rtlCol="0">
                          <a:noAutofit/>
                        </wps:bodyPr>
                      </wps:wsp>
                      <wps:wsp>
                        <wps:cNvPr id="15718" name="Rectangle 15718"/>
                        <wps:cNvSpPr/>
                        <wps:spPr>
                          <a:xfrm rot="-10799999">
                            <a:off x="-1221379" y="2543403"/>
                            <a:ext cx="5212108" cy="142889"/>
                          </a:xfrm>
                          <a:prstGeom prst="rect">
                            <a:avLst/>
                          </a:prstGeom>
                          <a:ln>
                            <a:noFill/>
                          </a:ln>
                        </wps:spPr>
                        <wps:txbx>
                          <w:txbxContent>
                            <w:p w14:paraId="18B6FEBD" w14:textId="77777777" w:rsidR="00B32EF2" w:rsidRDefault="00000000">
                              <w:r>
                                <w:rPr>
                                  <w:rFonts w:ascii="Arial" w:eastAsia="Arial" w:hAnsi="Arial" w:cs="Arial"/>
                                  <w:sz w:val="18"/>
                                </w:rPr>
                                <w:t>processo verbale costituisce titolo per la riscossione delle somme dovute all’en</w:t>
                              </w:r>
                            </w:p>
                          </w:txbxContent>
                        </wps:txbx>
                        <wps:bodyPr horzOverflow="overflow" vert="horz" lIns="0" tIns="0" rIns="0" bIns="0" rtlCol="0">
                          <a:noAutofit/>
                        </wps:bodyPr>
                      </wps:wsp>
                      <wps:wsp>
                        <wps:cNvPr id="15719" name="Rectangle 15719"/>
                        <wps:cNvSpPr/>
                        <wps:spPr>
                          <a:xfrm rot="-10799999">
                            <a:off x="19272" y="2543403"/>
                            <a:ext cx="50622" cy="142889"/>
                          </a:xfrm>
                          <a:prstGeom prst="rect">
                            <a:avLst/>
                          </a:prstGeom>
                          <a:ln>
                            <a:noFill/>
                          </a:ln>
                        </wps:spPr>
                        <wps:txbx>
                          <w:txbxContent>
                            <w:p w14:paraId="13304AF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720" name="Rectangle 15720"/>
                        <wps:cNvSpPr/>
                        <wps:spPr>
                          <a:xfrm rot="-10799999">
                            <a:off x="-646064" y="2420073"/>
                            <a:ext cx="4636793" cy="142889"/>
                          </a:xfrm>
                          <a:prstGeom prst="rect">
                            <a:avLst/>
                          </a:prstGeom>
                          <a:ln>
                            <a:noFill/>
                          </a:ln>
                        </wps:spPr>
                        <wps:txbx>
                          <w:txbxContent>
                            <w:p w14:paraId="4F7D8283" w14:textId="77777777" w:rsidR="00B32EF2" w:rsidRDefault="00000000">
                              <w:r>
                                <w:rPr>
                                  <w:rFonts w:ascii="Arial" w:eastAsia="Arial" w:hAnsi="Arial" w:cs="Arial"/>
                                  <w:sz w:val="18"/>
                                </w:rPr>
                                <w:t xml:space="preserve">te impositore e per il pagamento delle somme dovute al contribuente. </w:t>
                              </w:r>
                            </w:p>
                          </w:txbxContent>
                        </wps:txbx>
                        <wps:bodyPr horzOverflow="overflow" vert="horz" lIns="0" tIns="0" rIns="0" bIns="0" rtlCol="0">
                          <a:noAutofit/>
                        </wps:bodyPr>
                      </wps:wsp>
                      <wps:wsp>
                        <wps:cNvPr id="200141" name="Rectangle 200141"/>
                        <wps:cNvSpPr/>
                        <wps:spPr>
                          <a:xfrm rot="-10799999">
                            <a:off x="2634976" y="2296744"/>
                            <a:ext cx="5212565" cy="142889"/>
                          </a:xfrm>
                          <a:prstGeom prst="rect">
                            <a:avLst/>
                          </a:prstGeom>
                          <a:ln>
                            <a:noFill/>
                          </a:ln>
                        </wps:spPr>
                        <wps:txbx>
                          <w:txbxContent>
                            <w:p w14:paraId="5C460560"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00142" name="Rectangle 200142"/>
                        <wps:cNvSpPr/>
                        <wps:spPr>
                          <a:xfrm rot="-10799999">
                            <a:off x="-1285101" y="2296744"/>
                            <a:ext cx="5212565" cy="142889"/>
                          </a:xfrm>
                          <a:prstGeom prst="rect">
                            <a:avLst/>
                          </a:prstGeom>
                          <a:ln>
                            <a:noFill/>
                          </a:ln>
                        </wps:spPr>
                        <wps:txbx>
                          <w:txbxContent>
                            <w:p w14:paraId="62C4A76E" w14:textId="77777777" w:rsidR="00B32EF2" w:rsidRDefault="00000000">
                              <w:r>
                                <w:rPr>
                                  <w:rFonts w:ascii="Arial" w:eastAsia="Arial" w:hAnsi="Arial" w:cs="Arial"/>
                                  <w:sz w:val="18"/>
                                </w:rPr>
                                <w:t>. Il giudice dichiara con sentenza l’estinzione del giudizio per cessazione del</w:t>
                              </w:r>
                            </w:p>
                          </w:txbxContent>
                        </wps:txbx>
                        <wps:bodyPr horzOverflow="overflow" vert="horz" lIns="0" tIns="0" rIns="0" bIns="0" rtlCol="0">
                          <a:noAutofit/>
                        </wps:bodyPr>
                      </wps:wsp>
                      <wps:wsp>
                        <wps:cNvPr id="15722" name="Rectangle 15722"/>
                        <wps:cNvSpPr/>
                        <wps:spPr>
                          <a:xfrm rot="-10799999">
                            <a:off x="19272" y="2296744"/>
                            <a:ext cx="50622" cy="142889"/>
                          </a:xfrm>
                          <a:prstGeom prst="rect">
                            <a:avLst/>
                          </a:prstGeom>
                          <a:ln>
                            <a:noFill/>
                          </a:ln>
                        </wps:spPr>
                        <wps:txbx>
                          <w:txbxContent>
                            <w:p w14:paraId="262612F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723" name="Rectangle 15723"/>
                        <wps:cNvSpPr/>
                        <wps:spPr>
                          <a:xfrm rot="-10799999">
                            <a:off x="2173845" y="2173414"/>
                            <a:ext cx="1818026" cy="142889"/>
                          </a:xfrm>
                          <a:prstGeom prst="rect">
                            <a:avLst/>
                          </a:prstGeom>
                          <a:ln>
                            <a:noFill/>
                          </a:ln>
                        </wps:spPr>
                        <wps:txbx>
                          <w:txbxContent>
                            <w:p w14:paraId="0CD87BE7" w14:textId="77777777" w:rsidR="00B32EF2" w:rsidRDefault="00000000">
                              <w:r>
                                <w:rPr>
                                  <w:rFonts w:ascii="Arial" w:eastAsia="Arial" w:hAnsi="Arial" w:cs="Arial"/>
                                  <w:sz w:val="18"/>
                                </w:rPr>
                                <w:t xml:space="preserve">la materia del contendere. </w:t>
                              </w:r>
                            </w:p>
                          </w:txbxContent>
                        </wps:txbx>
                        <wps:bodyPr horzOverflow="overflow" vert="horz" lIns="0" tIns="0" rIns="0" bIns="0" rtlCol="0">
                          <a:noAutofit/>
                        </wps:bodyPr>
                      </wps:wsp>
                      <wps:wsp>
                        <wps:cNvPr id="200139" name="Rectangle 200139"/>
                        <wps:cNvSpPr/>
                        <wps:spPr>
                          <a:xfrm rot="-10799999">
                            <a:off x="2611052" y="2050085"/>
                            <a:ext cx="5308989" cy="142889"/>
                          </a:xfrm>
                          <a:prstGeom prst="rect">
                            <a:avLst/>
                          </a:prstGeom>
                          <a:ln>
                            <a:noFill/>
                          </a:ln>
                        </wps:spPr>
                        <wps:txbx>
                          <w:txbxContent>
                            <w:p w14:paraId="3042070B"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00140" name="Rectangle 200140"/>
                        <wps:cNvSpPr/>
                        <wps:spPr>
                          <a:xfrm rot="-10799999">
                            <a:off x="-1381435" y="2050084"/>
                            <a:ext cx="5308989" cy="142889"/>
                          </a:xfrm>
                          <a:prstGeom prst="rect">
                            <a:avLst/>
                          </a:prstGeom>
                          <a:ln>
                            <a:noFill/>
                          </a:ln>
                        </wps:spPr>
                        <wps:txbx>
                          <w:txbxContent>
                            <w:p w14:paraId="71DD6A74" w14:textId="77777777" w:rsidR="00B32EF2" w:rsidRDefault="00000000">
                              <w:r>
                                <w:rPr>
                                  <w:rFonts w:ascii="Arial" w:eastAsia="Arial" w:hAnsi="Arial" w:cs="Arial"/>
                                  <w:sz w:val="18"/>
                                </w:rPr>
                                <w:t xml:space="preserve">. La proposta di conciliazione non può costituire motivo di ricusazione o </w:t>
                              </w:r>
                            </w:p>
                          </w:txbxContent>
                        </wps:txbx>
                        <wps:bodyPr horzOverflow="overflow" vert="horz" lIns="0" tIns="0" rIns="0" bIns="0" rtlCol="0">
                          <a:noAutofit/>
                        </wps:bodyPr>
                      </wps:wsp>
                      <wps:wsp>
                        <wps:cNvPr id="15725" name="Rectangle 15725"/>
                        <wps:cNvSpPr/>
                        <wps:spPr>
                          <a:xfrm rot="-10799999">
                            <a:off x="2428705" y="1926755"/>
                            <a:ext cx="1563166" cy="142889"/>
                          </a:xfrm>
                          <a:prstGeom prst="rect">
                            <a:avLst/>
                          </a:prstGeom>
                          <a:ln>
                            <a:noFill/>
                          </a:ln>
                        </wps:spPr>
                        <wps:txbx>
                          <w:txbxContent>
                            <w:p w14:paraId="6CD249D1" w14:textId="77777777" w:rsidR="00B32EF2" w:rsidRDefault="00000000">
                              <w:r>
                                <w:rPr>
                                  <w:rFonts w:ascii="Arial" w:eastAsia="Arial" w:hAnsi="Arial" w:cs="Arial"/>
                                  <w:sz w:val="18"/>
                                </w:rPr>
                                <w:t>astensione del giudice.</w:t>
                              </w:r>
                            </w:p>
                          </w:txbxContent>
                        </wps:txbx>
                        <wps:bodyPr horzOverflow="overflow" vert="horz" lIns="0" tIns="0" rIns="0" bIns="0" rtlCol="0">
                          <a:noAutofit/>
                        </wps:bodyPr>
                      </wps:wsp>
                      <wps:wsp>
                        <wps:cNvPr id="15726" name="Rectangle 15726"/>
                        <wps:cNvSpPr/>
                        <wps:spPr>
                          <a:xfrm rot="-10799999">
                            <a:off x="1457091" y="1680095"/>
                            <a:ext cx="890117" cy="142889"/>
                          </a:xfrm>
                          <a:prstGeom prst="rect">
                            <a:avLst/>
                          </a:prstGeom>
                          <a:ln>
                            <a:noFill/>
                          </a:ln>
                        </wps:spPr>
                        <wps:txbx>
                          <w:txbxContent>
                            <w:p w14:paraId="323EAE04" w14:textId="77777777" w:rsidR="00B32EF2" w:rsidRDefault="00000000">
                              <w:r>
                                <w:rPr>
                                  <w:rFonts w:ascii="Arial" w:eastAsia="Arial" w:hAnsi="Arial" w:cs="Arial"/>
                                  <w:b/>
                                  <w:sz w:val="18"/>
                                </w:rPr>
                                <w:t>Articolo 102</w:t>
                              </w:r>
                            </w:p>
                          </w:txbxContent>
                        </wps:txbx>
                        <wps:bodyPr horzOverflow="overflow" vert="horz" lIns="0" tIns="0" rIns="0" bIns="0" rtlCol="0">
                          <a:noAutofit/>
                        </wps:bodyPr>
                      </wps:wsp>
                      <wps:wsp>
                        <wps:cNvPr id="200134" name="Rectangle 200134"/>
                        <wps:cNvSpPr/>
                        <wps:spPr>
                          <a:xfrm rot="-10799999">
                            <a:off x="2252881" y="1556766"/>
                            <a:ext cx="2183662" cy="142889"/>
                          </a:xfrm>
                          <a:prstGeom prst="rect">
                            <a:avLst/>
                          </a:prstGeom>
                          <a:ln>
                            <a:noFill/>
                          </a:ln>
                        </wps:spPr>
                        <wps:txbx>
                          <w:txbxContent>
                            <w:p w14:paraId="7732B10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136" name="Rectangle 200136"/>
                        <wps:cNvSpPr/>
                        <wps:spPr>
                          <a:xfrm rot="-10799999">
                            <a:off x="-594399" y="1556766"/>
                            <a:ext cx="2183662" cy="142889"/>
                          </a:xfrm>
                          <a:prstGeom prst="rect">
                            <a:avLst/>
                          </a:prstGeom>
                          <a:ln>
                            <a:noFill/>
                          </a:ln>
                        </wps:spPr>
                        <wps:txbx>
                          <w:txbxContent>
                            <w:p w14:paraId="016FA472"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137" name="Rectangle 200137"/>
                        <wps:cNvSpPr/>
                        <wps:spPr>
                          <a:xfrm rot="-10799999">
                            <a:off x="1012292" y="1556766"/>
                            <a:ext cx="2183662" cy="142889"/>
                          </a:xfrm>
                          <a:prstGeom prst="rect">
                            <a:avLst/>
                          </a:prstGeom>
                          <a:ln>
                            <a:noFill/>
                          </a:ln>
                        </wps:spPr>
                        <wps:txbx>
                          <w:txbxContent>
                            <w:p w14:paraId="4B15D55C" w14:textId="77777777" w:rsidR="00B32EF2" w:rsidRDefault="00000000">
                              <w:r>
                                <w:rPr>
                                  <w:rFonts w:ascii="Arial" w:eastAsia="Arial" w:hAnsi="Arial" w:cs="Arial"/>
                                  <w:i/>
                                  <w:sz w:val="18"/>
                                </w:rPr>
                                <w:t xml:space="preserve">articolo 48-ter D.lgs. n. </w:t>
                              </w:r>
                            </w:p>
                          </w:txbxContent>
                        </wps:txbx>
                        <wps:bodyPr horzOverflow="overflow" vert="horz" lIns="0" tIns="0" rIns="0" bIns="0" rtlCol="0">
                          <a:noAutofit/>
                        </wps:bodyPr>
                      </wps:wsp>
                      <wps:wsp>
                        <wps:cNvPr id="15728" name="Rectangle 15728"/>
                        <wps:cNvSpPr/>
                        <wps:spPr>
                          <a:xfrm rot="-10799999">
                            <a:off x="-124145" y="1433436"/>
                            <a:ext cx="3397184" cy="142889"/>
                          </a:xfrm>
                          <a:prstGeom prst="rect">
                            <a:avLst/>
                          </a:prstGeom>
                          <a:ln>
                            <a:noFill/>
                          </a:ln>
                        </wps:spPr>
                        <wps:txbx>
                          <w:txbxContent>
                            <w:p w14:paraId="6798C63F" w14:textId="77777777" w:rsidR="00B32EF2" w:rsidRDefault="00000000">
                              <w:r>
                                <w:rPr>
                                  <w:rFonts w:ascii="Arial" w:eastAsia="Arial" w:hAnsi="Arial" w:cs="Arial"/>
                                  <w:b/>
                                  <w:sz w:val="18"/>
                                </w:rPr>
                                <w:t xml:space="preserve">Definizione e pagamento delle somme dovute </w:t>
                              </w:r>
                            </w:p>
                          </w:txbxContent>
                        </wps:txbx>
                        <wps:bodyPr horzOverflow="overflow" vert="horz" lIns="0" tIns="0" rIns="0" bIns="0" rtlCol="0">
                          <a:noAutofit/>
                        </wps:bodyPr>
                      </wps:wsp>
                      <wps:wsp>
                        <wps:cNvPr id="200132" name="Rectangle 200132"/>
                        <wps:cNvSpPr/>
                        <wps:spPr>
                          <a:xfrm rot="-10799999">
                            <a:off x="2610926" y="1310107"/>
                            <a:ext cx="5309036" cy="142889"/>
                          </a:xfrm>
                          <a:prstGeom prst="rect">
                            <a:avLst/>
                          </a:prstGeom>
                          <a:ln>
                            <a:noFill/>
                          </a:ln>
                        </wps:spPr>
                        <wps:txbx>
                          <w:txbxContent>
                            <w:p w14:paraId="20195E4F"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133" name="Rectangle 200133"/>
                        <wps:cNvSpPr/>
                        <wps:spPr>
                          <a:xfrm rot="-10799999">
                            <a:off x="-1376475" y="1310106"/>
                            <a:ext cx="5309036" cy="142889"/>
                          </a:xfrm>
                          <a:prstGeom prst="rect">
                            <a:avLst/>
                          </a:prstGeom>
                          <a:ln>
                            <a:noFill/>
                          </a:ln>
                        </wps:spPr>
                        <wps:txbx>
                          <w:txbxContent>
                            <w:p w14:paraId="29AD6A4B" w14:textId="77777777" w:rsidR="00B32EF2" w:rsidRDefault="00000000">
                              <w:r>
                                <w:rPr>
                                  <w:rFonts w:ascii="Arial" w:eastAsia="Arial" w:hAnsi="Arial" w:cs="Arial"/>
                                  <w:sz w:val="18"/>
                                </w:rPr>
                                <w:t xml:space="preserve">. Le sanzioni amministrative si applicano nella misura del quaranta per cento </w:t>
                              </w:r>
                            </w:p>
                          </w:txbxContent>
                        </wps:txbx>
                        <wps:bodyPr horzOverflow="overflow" vert="horz" lIns="0" tIns="0" rIns="0" bIns="0" rtlCol="0">
                          <a:noAutofit/>
                        </wps:bodyPr>
                      </wps:wsp>
                      <wps:wsp>
                        <wps:cNvPr id="15730" name="Rectangle 15730"/>
                        <wps:cNvSpPr/>
                        <wps:spPr>
                          <a:xfrm rot="-10799999">
                            <a:off x="-1317279" y="1186776"/>
                            <a:ext cx="5309036" cy="142890"/>
                          </a:xfrm>
                          <a:prstGeom prst="rect">
                            <a:avLst/>
                          </a:prstGeom>
                          <a:ln>
                            <a:noFill/>
                          </a:ln>
                        </wps:spPr>
                        <wps:txbx>
                          <w:txbxContent>
                            <w:p w14:paraId="5C4E768B" w14:textId="77777777" w:rsidR="00B32EF2" w:rsidRDefault="00000000">
                              <w:r>
                                <w:rPr>
                                  <w:rFonts w:ascii="Arial" w:eastAsia="Arial" w:hAnsi="Arial" w:cs="Arial"/>
                                  <w:sz w:val="18"/>
                                </w:rPr>
                                <w:t xml:space="preserve">del minimo previsto dalla legge, in caso di perfezionamento della conciliazione </w:t>
                              </w:r>
                            </w:p>
                          </w:txbxContent>
                        </wps:txbx>
                        <wps:bodyPr horzOverflow="overflow" vert="horz" lIns="0" tIns="0" rIns="0" bIns="0" rtlCol="0">
                          <a:noAutofit/>
                        </wps:bodyPr>
                      </wps:wsp>
                      <wps:wsp>
                        <wps:cNvPr id="15731" name="Rectangle 15731"/>
                        <wps:cNvSpPr/>
                        <wps:spPr>
                          <a:xfrm rot="-10799999">
                            <a:off x="-1317249" y="1063447"/>
                            <a:ext cx="5309005" cy="142889"/>
                          </a:xfrm>
                          <a:prstGeom prst="rect">
                            <a:avLst/>
                          </a:prstGeom>
                          <a:ln>
                            <a:noFill/>
                          </a:ln>
                        </wps:spPr>
                        <wps:txbx>
                          <w:txbxContent>
                            <w:p w14:paraId="681902F2" w14:textId="77777777" w:rsidR="00B32EF2" w:rsidRDefault="00000000">
                              <w:r>
                                <w:rPr>
                                  <w:rFonts w:ascii="Arial" w:eastAsia="Arial" w:hAnsi="Arial" w:cs="Arial"/>
                                  <w:sz w:val="18"/>
                                </w:rPr>
                                <w:t xml:space="preserve">nel corso del primo grado di giudizio e nella misura del cinquanta per cento del </w:t>
                              </w:r>
                            </w:p>
                          </w:txbxContent>
                        </wps:txbx>
                        <wps:bodyPr horzOverflow="overflow" vert="horz" lIns="0" tIns="0" rIns="0" bIns="0" rtlCol="0">
                          <a:noAutofit/>
                        </wps:bodyPr>
                      </wps:wsp>
                      <wps:wsp>
                        <wps:cNvPr id="15732" name="Rectangle 15732"/>
                        <wps:cNvSpPr/>
                        <wps:spPr>
                          <a:xfrm rot="-10799999">
                            <a:off x="-1317279" y="940117"/>
                            <a:ext cx="5309036" cy="142889"/>
                          </a:xfrm>
                          <a:prstGeom prst="rect">
                            <a:avLst/>
                          </a:prstGeom>
                          <a:ln>
                            <a:noFill/>
                          </a:ln>
                        </wps:spPr>
                        <wps:txbx>
                          <w:txbxContent>
                            <w:p w14:paraId="78A4FF2D" w14:textId="77777777" w:rsidR="00B32EF2" w:rsidRDefault="00000000">
                              <w:r>
                                <w:rPr>
                                  <w:rFonts w:ascii="Arial" w:eastAsia="Arial" w:hAnsi="Arial" w:cs="Arial"/>
                                  <w:sz w:val="18"/>
                                </w:rPr>
                                <w:t xml:space="preserve">minimo previsto dalla legge, in caso di perfezionamento nel corso del secondo </w:t>
                              </w:r>
                            </w:p>
                          </w:txbxContent>
                        </wps:txbx>
                        <wps:bodyPr horzOverflow="overflow" vert="horz" lIns="0" tIns="0" rIns="0" bIns="0" rtlCol="0">
                          <a:noAutofit/>
                        </wps:bodyPr>
                      </wps:wsp>
                      <wps:wsp>
                        <wps:cNvPr id="15733" name="Rectangle 15733"/>
                        <wps:cNvSpPr/>
                        <wps:spPr>
                          <a:xfrm rot="-10799999">
                            <a:off x="-1218914" y="816788"/>
                            <a:ext cx="5204842" cy="142889"/>
                          </a:xfrm>
                          <a:prstGeom prst="rect">
                            <a:avLst/>
                          </a:prstGeom>
                          <a:ln>
                            <a:noFill/>
                          </a:ln>
                        </wps:spPr>
                        <wps:txbx>
                          <w:txbxContent>
                            <w:p w14:paraId="28B34298" w14:textId="77777777" w:rsidR="00B32EF2" w:rsidRDefault="00000000">
                              <w:r>
                                <w:rPr>
                                  <w:rFonts w:ascii="Arial" w:eastAsia="Arial" w:hAnsi="Arial" w:cs="Arial"/>
                                  <w:sz w:val="18"/>
                                </w:rPr>
                                <w:t>grado di giudizio e nella misura del sessanta per cento del minimo previsto dal</w:t>
                              </w:r>
                            </w:p>
                          </w:txbxContent>
                        </wps:txbx>
                        <wps:bodyPr horzOverflow="overflow" vert="horz" lIns="0" tIns="0" rIns="0" bIns="0" rtlCol="0">
                          <a:noAutofit/>
                        </wps:bodyPr>
                      </wps:wsp>
                      <wps:wsp>
                        <wps:cNvPr id="15734" name="Rectangle 15734"/>
                        <wps:cNvSpPr/>
                        <wps:spPr>
                          <a:xfrm rot="-10799999">
                            <a:off x="19158" y="816788"/>
                            <a:ext cx="50622" cy="142889"/>
                          </a:xfrm>
                          <a:prstGeom prst="rect">
                            <a:avLst/>
                          </a:prstGeom>
                          <a:ln>
                            <a:noFill/>
                          </a:ln>
                        </wps:spPr>
                        <wps:txbx>
                          <w:txbxContent>
                            <w:p w14:paraId="494E77E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735" name="Rectangle 15735"/>
                        <wps:cNvSpPr/>
                        <wps:spPr>
                          <a:xfrm rot="-10799999">
                            <a:off x="-1317264" y="693458"/>
                            <a:ext cx="5309021" cy="142889"/>
                          </a:xfrm>
                          <a:prstGeom prst="rect">
                            <a:avLst/>
                          </a:prstGeom>
                          <a:ln>
                            <a:noFill/>
                          </a:ln>
                        </wps:spPr>
                        <wps:txbx>
                          <w:txbxContent>
                            <w:p w14:paraId="621D6338" w14:textId="77777777" w:rsidR="00B32EF2" w:rsidRDefault="00000000">
                              <w:r>
                                <w:rPr>
                                  <w:rFonts w:ascii="Arial" w:eastAsia="Arial" w:hAnsi="Arial" w:cs="Arial"/>
                                  <w:sz w:val="18"/>
                                </w:rPr>
                                <w:t xml:space="preserve">la legge in caso di perfezionamento della conciliazione nel corso del giudizio </w:t>
                              </w:r>
                            </w:p>
                          </w:txbxContent>
                        </wps:txbx>
                        <wps:bodyPr horzOverflow="overflow" vert="horz" lIns="0" tIns="0" rIns="0" bIns="0" rtlCol="0">
                          <a:noAutofit/>
                        </wps:bodyPr>
                      </wps:wsp>
                      <wps:wsp>
                        <wps:cNvPr id="15736" name="Rectangle 15736"/>
                        <wps:cNvSpPr/>
                        <wps:spPr>
                          <a:xfrm rot="-10799999">
                            <a:off x="2982639" y="570128"/>
                            <a:ext cx="1009117" cy="142889"/>
                          </a:xfrm>
                          <a:prstGeom prst="rect">
                            <a:avLst/>
                          </a:prstGeom>
                          <a:ln>
                            <a:noFill/>
                          </a:ln>
                        </wps:spPr>
                        <wps:txbx>
                          <w:txbxContent>
                            <w:p w14:paraId="3481B735" w14:textId="77777777" w:rsidR="00B32EF2" w:rsidRDefault="00000000">
                              <w:r>
                                <w:rPr>
                                  <w:rFonts w:ascii="Arial" w:eastAsia="Arial" w:hAnsi="Arial" w:cs="Arial"/>
                                  <w:sz w:val="18"/>
                                </w:rPr>
                                <w:t>di Cassazione.</w:t>
                              </w:r>
                            </w:p>
                          </w:txbxContent>
                        </wps:txbx>
                        <wps:bodyPr horzOverflow="overflow" vert="horz" lIns="0" tIns="0" rIns="0" bIns="0" rtlCol="0">
                          <a:noAutofit/>
                        </wps:bodyPr>
                      </wps:wsp>
                      <wps:wsp>
                        <wps:cNvPr id="200130" name="Rectangle 200130"/>
                        <wps:cNvSpPr/>
                        <wps:spPr>
                          <a:xfrm rot="-10799999">
                            <a:off x="2610938" y="446798"/>
                            <a:ext cx="5308990" cy="142889"/>
                          </a:xfrm>
                          <a:prstGeom prst="rect">
                            <a:avLst/>
                          </a:prstGeom>
                          <a:ln>
                            <a:noFill/>
                          </a:ln>
                        </wps:spPr>
                        <wps:txbx>
                          <w:txbxContent>
                            <w:p w14:paraId="0E9159F2"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131" name="Rectangle 200131"/>
                        <wps:cNvSpPr/>
                        <wps:spPr>
                          <a:xfrm rot="-10799999">
                            <a:off x="-1381801" y="446798"/>
                            <a:ext cx="5308990" cy="142889"/>
                          </a:xfrm>
                          <a:prstGeom prst="rect">
                            <a:avLst/>
                          </a:prstGeom>
                          <a:ln>
                            <a:noFill/>
                          </a:ln>
                        </wps:spPr>
                        <wps:txbx>
                          <w:txbxContent>
                            <w:p w14:paraId="68015760" w14:textId="77777777" w:rsidR="00B32EF2" w:rsidRDefault="00000000">
                              <w:r>
                                <w:rPr>
                                  <w:rFonts w:ascii="Arial" w:eastAsia="Arial" w:hAnsi="Arial" w:cs="Arial"/>
                                  <w:sz w:val="18"/>
                                </w:rPr>
                                <w:t xml:space="preserve">. Il versamento delle somme dovute ovvero, in caso di rateizzazione, della </w:t>
                              </w:r>
                            </w:p>
                          </w:txbxContent>
                        </wps:txbx>
                        <wps:bodyPr horzOverflow="overflow" vert="horz" lIns="0" tIns="0" rIns="0" bIns="0" rtlCol="0">
                          <a:noAutofit/>
                        </wps:bodyPr>
                      </wps:wsp>
                    </wpg:wgp>
                  </a:graphicData>
                </a:graphic>
              </wp:inline>
            </w:drawing>
          </mc:Choice>
          <mc:Fallback>
            <w:pict>
              <v:group w14:anchorId="5E88D456" id="Group 200185" o:spid="_x0000_s2124" style="width:314.3pt;height:493.15pt;mso-position-horizontal-relative:char;mso-position-vertical-relative:line" coordsize="39918,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2H07goAAM+IAAAOAAAAZHJzL2Uyb0RvYy54bWzkXd2O27gZvS/QdzB8PzH/RFFGJoui6QYF&#10;iu5it30AxWN7DHgsQ3biSZ++5yNlesxhNoAIDI1lLhz5s0eWeHi+f1Lvf3p+2k6+LvvDptvdT/k7&#10;Np0sd4vuYbNb30//+5+f78x0cji2u4d22+2W99Nvy8P0pw9//cv7036+FN1jt31Y9hOcZHeYn/b3&#10;08fjcT+fzQ6Lx+VTe3jX7Zc7fLjq+qf2iLf9evbQtyec/Wk7E4zp2anrH/Z9t1geDpB+dB9OP9jz&#10;r1bLxfGX1eqwPE6291Nc29G+9vb1M73OPrxv5+u+3T9uFsNltCOu4qnd7PCj/lQf22M7+dJvXp3q&#10;abPou0O3Or5bdE+zbrXaLJb2HnA3nAV386nvvuztvaznp/XeDxOGNhin0add/Pvrp37/+/7XHiNx&#10;2q8xFvYd3cvzqn+i/3GVk2c7ZN/8kC2fj5MFhLJpuKkxsgt8poUWplJuUBePGPlXf7d4/McP/nJ2&#10;/uHZ1eWc9pggh8sYHNLG4PfHdr+0Q3uYYwx+7SebB8zfShs9nezaJ0zV3zB52t16u5w4sR0g+20/&#10;XIf5ASN3HqtJ32F+3XFWN/TPzodh7HjDWCXUdIJRutMCb90gnYeR10bqxo2iqJhWmj73Q9HO9/3h&#10;+GnZPU3o4H7a49rs+duv/zoc3VfPX6HL2e7oddf9vNlu3ackwYier5iOjs+fn91tM1XT75Hwc/fw&#10;DaPx2PX/+wW8Xm270/20G46mRHX8PH06nWz/uQMKxKrzQX8++Hw+6I/bv3eWe+6C/vbl2K029oov&#10;vzZcGeB11/AmONdxnP1AYFaMwFlVVWWg84gNnDeNrq6BNo2oJOYB0YUrYUzzxkCbooCGieDEq5DR&#10;g3yY86OgBo0ZA48J6gpAaxlALQQTkg2qkbB2pH9DUtu5daHZn5zUhClZohjWkKdgzRlcDV7dMNaV&#10;v8EiFLjlL9RsDGvtVdwoXgtRVUI4FX6bvK74eTIXgTV5XxEV7sQprDZKciMdqU0tJQsUODeq5hW+&#10;kMtYV6IooC2pI27ZIE+B+o4LA+swsLpWTVNbD7udnz3wSuArWcGW5YEdibUs2BYbclzGaXAtVQMy&#10;W8/sNrG2MXIxnhlUdcNfG2snTqE1b0QtXuAcKHAE0gIfZ1Pf9nKKQhmjHbpkhLK3Y6P4fKcq2OZB&#10;dyPHNGRHLrpb4V8jhvRJjqi68gqrCI/M6mgkMUKoB3kKowV0t8ZwWt1dMSn5azstDU2GbKz2GaJy&#10;sIYtjWLtFdw4XpPHVckfgg2XMBvYPpYsAmzS1RFeO3EKrV8Y6iipMxvqshJlBGeE0U6cgvIdh7o2&#10;DfhKOVGJMoixyvJiqWHIG6le5ETfOv+ty8qTEaaRIMuJk6BuZF3VrqBViUrrKkCaHDKlMM1yqW5d&#10;VpbM+l4R93uQp2AtUMlicmA1l1KKAGtiNUNWMh/WPsAowkxbTJGXjPpkPo000ieThtd8yIreJtj+&#10;DosAm3Q1wp0QaydOoTVZ6xrVDmetUcuEuaYU5LW1ZmTOs+nw8vJk8UoHukmSoeYoUJNjpozR2hXJ&#10;AqgZXIVsUPtYshBW19Qa8JrVJE6DmlV1zZ1npmoNcx2ymqmmMjk9swKzZRGsrRVPA9t6ZsplRpVW&#10;6FKweuKWaF1gtixS6rBY+4BktGfGBLUnkg7/Ptg5iV1atqxmkYiLVyRO0eGoankNXnGt64DVEg2i&#10;8P8yGmvvjhRjrCPhFgHtY5FRnOaqMgrnsJQWMP08QNoYwxhseS6v7NI3VwTQpKbRv/7KLRvkKZwW&#10;gFeiS89CzZXWYQu4kIKheTgj1t4+lYM1hjt0wS3WPhgZReu72oia8q5kqQlrl+W+uGX5sfYGqhys&#10;I0kUi7V3WkZh3QhtqMnkDPXt0dqbqCKgJqMcYbUTpyjwuwolD+ovJ6TR2S9dKelCajC9MdQkns1Y&#10;l5Uts+T9Tqx1aZEeRWpX8XB+mcTSLSZtnH7B2lY8dEYPvPYWqghWW6wjsdYgT+I1l8iSUX8iiH2j&#10;YJeVMCNdjaJD6Jg5cSLUVNtyuVEoc10z6/MGvCb7kU2Hl5UvI0wjfpkTp0AtjBR66AGXupKyDpDm&#10;HIt7ctassRhhuMFiNLiKFLdIg0OegjUKmahZS+eES5hmpgKwrbmmRsNstPZ3WA7YEV5bsP28H++a&#10;UQcZWeubxNr4mk4RWENX80h1y4kTaQ1rrQdrrZiuuc1aBNY6J61NWSkzwjQScDlxEtToFRVY7WhJ&#10;DdMtTYC0gv3mtH9GLgXuLqiYtTxWUcNehj74IE/B+iq25pr2RSHrH7A6Z2yNNcHDDRahwC2mkXhr&#10;kKdg7TyzYTE9esNvEeyykmakq+OlTIgToX5hrZnUtbAnDHid1VqXlTMjqCO1TCdOghobfmGdh7XW&#10;okGPcBMgrQz2xpEZ12OiS6Y4DR6B2mpwr99GhltgMvxu8sxQ08Q2OAHWFVWtkVzJ55mVlTGzmEYK&#10;XIM8iddYj4mylqtb/wHYmA3Z3HCfPCjCNSNdHfHCnTgF6st6zDjOeddjunaJYoItgjPifztxCsp2&#10;PSbW0zvtjaZ/bHL0KtZCrSVjXO3aJYqCOpIXJai9Zhtlp7HBkUAhEz4XGepKYZFtCDU2OOJUbMml&#10;u1FiLckpI0wj9Q4nTmH1C90dxTmv7r7s9VKKhRbx7DfEKSjfYZcbtHk7Pit4d3XAZ6XhmSPyysdn&#10;e0HFqG7rYEey34M8BWva9IY2pLO6WzS6VjZoe5E6ge6usJVwPqx9FFkEqy2mCHOi6W/fOjvWUJuK&#10;o+/khsEuLk9GDbwh1jDUEKfQ+oWhjpI6s6EuK0dGcMYT3y5PTXZsFKEFWk8MbXRCjjeO0QZ8HWNx&#10;ww0T0O7ZHO/yMmSUfA4JTUod8hRG29rlUKdG3pMxLKPG+V4YaslMQ7sVZ8Pah5HlGOqI/20NeKID&#10;Tl1latgzwYEdEBvdR5nB9rO5CLBJhUcy306cRGs8nMGuGoEKh9HWNZbhXdEai21Rvc6nwvH8gbPe&#10;KgZpjHaowQlp77WMMtZYcFuzodcfJUzslxAgjYd0cErGZtLfFBgMM7kIoK1N/k7lEn36SaRGQ5lB&#10;gx75ZbyqdA3+XpFaYPN/rfMVs/hll4BysI6w2s6BNFpjbZ7Ck8huGevykmW0Y2CowS3WPhwZp8IZ&#10;Sh3IMt8wr73iKoLXZJXjNS2IUzQ4aloIpl1kDU9cKjSPXWlwdB6hbpavesmxwGi4wSKQtuyNpMoG&#10;eQrWiKwZPG/Hagk3CCsAr7DOvYSHY3O84rCOJMws1t6YjdLgaEuotcIKZqvCLdgBsfOD7W1UEcSG&#10;CscK91fW2olTaE0dKDVajBzU3Ggsuv0Br9/4KYnUElESrwnTSBXTidOhpiWeFHChT1S5h8peJUfp&#10;MbgZg+vi8mW0KDb0wQnqtMLWFasbZTMmmDoB0hlb/bFfeXGkjthqQjrVVCNL0gy7yRquazzb+Bpp&#10;wZRRGZMoWJBYmvqO5MsIaR91jnLKeMOHR2xFYc5aq8bSz+JAjhc63DOmR9eqneIeuso0nsQCyK/p&#10;TE9yEPAPcuW/L6vQinG8IylRorMPN0fRWTQGXWXOGUPJAys7roFGRanJWuhwXRJFdQ/GQiwbTntn&#10;ZRzUlDrBJu/kdyuFntAAalumRlSVj9MFZskiIZaF2nsro6CG/qZmIlfUuk2svdrKrb9np/16flrv&#10;P7yftfN13+4fN4uP7bF9+R7Hp/18KbrHbvuw7D/8HwAA//8DAFBLAwQUAAYACAAAACEAGA0GbN0A&#10;AAAFAQAADwAAAGRycy9kb3ducmV2LnhtbEyPQUvDQBCF74L/YRnBm92kxRDTbEop6qkItoL0Ns1O&#10;k9DsbMhuk/Tfu3qpl4HHe7z3Tb6aTCsG6l1jWUE8i0AQl1Y3XCn42r89pSCcR9bYWiYFV3KwKu7v&#10;csy0HfmThp2vRChhl6GC2vsuk9KVNRl0M9sRB+9ke4M+yL6SuscxlJtWzqMokQYbDgs1drSpqTzv&#10;LkbB+4jjehG/DtvzaXM97J8/vrcxKfX4MK2XIDxN/haGX/yADkVgOtoLaydaBeER/3eDl8zTBMRR&#10;wUuaLEAWufxPX/wAAAD//wMAUEsBAi0AFAAGAAgAAAAhALaDOJL+AAAA4QEAABMAAAAAAAAAAAAA&#10;AAAAAAAAAFtDb250ZW50X1R5cGVzXS54bWxQSwECLQAUAAYACAAAACEAOP0h/9YAAACUAQAACwAA&#10;AAAAAAAAAAAAAAAvAQAAX3JlbHMvLnJlbHNQSwECLQAUAAYACAAAACEAT29h9O4KAADPiAAADgAA&#10;AAAAAAAAAAAAAAAuAgAAZHJzL2Uyb0RvYy54bWxQSwECLQAUAAYACAAAACEAGA0GbN0AAAAFAQAA&#10;DwAAAAAAAAAAAAAAAABIDQAAZHJzL2Rvd25yZXYueG1sUEsFBgAAAAAEAAQA8wAAAFIOAAAAAA==&#10;">
                <v:rect id="Rectangle 15686" o:spid="_x0000_s2125" style="position:absolute;left:19005;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IGixAAAAN4AAAAPAAAAZHJzL2Rvd25yZXYueG1sRE9Na8JA&#10;EL0X/A/LCN7qRsEQoquIIubQS62CxyE7Jmmzs0t2NbG/vlso9DaP9zmrzWBa8aDON5YVzKYJCOLS&#10;6oYrBeePw2sGwgdkja1lUvAkD5v16GWFubY9v9PjFCoRQ9jnqKAOweVS+rImg35qHXHkbrYzGCLs&#10;Kqk77GO4aeU8SVJpsOHYUKOjXU3l1+luFFz37IpDL8vb9869fRZZe7yfL0pNxsN2CSLQEP7Ff+5C&#10;x/mLNEvh9514g1z/AAAA//8DAFBLAQItABQABgAIAAAAIQDb4fbL7gAAAIUBAAATAAAAAAAAAAAA&#10;AAAAAAAAAABbQ29udGVudF9UeXBlc10ueG1sUEsBAi0AFAAGAAgAAAAhAFr0LFu/AAAAFQEAAAsA&#10;AAAAAAAAAAAAAAAAHwEAAF9yZWxzLy5yZWxzUEsBAi0AFAAGAAgAAAAhABWMgaLEAAAA3gAAAA8A&#10;AAAAAAAAAAAAAAAABwIAAGRycy9kb3ducmV2LnhtbFBLBQYAAAAAAwADALcAAAD4AgAAAAA=&#10;" filled="f" stroked="f">
                  <v:textbox inset="0,0,0,0">
                    <w:txbxContent>
                      <w:p w14:paraId="3F6D5C3F" w14:textId="77777777" w:rsidR="00B32EF2" w:rsidRDefault="00000000">
                        <w:r>
                          <w:rPr>
                            <w:rFonts w:ascii="Times New Roman" w:eastAsia="Times New Roman" w:hAnsi="Times New Roman" w:cs="Times New Roman"/>
                          </w:rPr>
                          <w:t>89</w:t>
                        </w:r>
                      </w:p>
                    </w:txbxContent>
                  </v:textbox>
                </v:rect>
                <v:rect id="Rectangle 15687" o:spid="_x0000_s2126" style="position:absolute;left:14555;top:61199;width:89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CQ5xAAAAN4AAAAPAAAAZHJzL2Rvd25yZXYueG1sRE9Na8JA&#10;EL0X/A/LCN7qxoI2RFcRRZpDL7UKHofsmESzs0t2NdFf3y0UepvH+5zFqjeNuFPra8sKJuMEBHFh&#10;dc2lgsP37jUF4QOyxsYyKXiQh9Vy8LLATNuOv+i+D6WIIewzVFCF4DIpfVGRQT+2jjhyZ9saDBG2&#10;pdQtdjHcNPItSWbSYM2xoUJHm4qK6/5mFJy27PJdJ4vzc+M+L3nafNwOR6VGw349BxGoD//iP3eu&#10;4/zpLH2H33fiDXL5AwAA//8DAFBLAQItABQABgAIAAAAIQDb4fbL7gAAAIUBAAATAAAAAAAAAAAA&#10;AAAAAAAAAABbQ29udGVudF9UeXBlc10ueG1sUEsBAi0AFAAGAAgAAAAhAFr0LFu/AAAAFQEAAAsA&#10;AAAAAAAAAAAAAAAAHwEAAF9yZWxzLy5yZWxzUEsBAi0AFAAGAAgAAAAhAHrAJDnEAAAA3gAAAA8A&#10;AAAAAAAAAAAAAAAABwIAAGRycy9kb3ducmV2LnhtbFBLBQYAAAAAAwADALcAAAD4AgAAAAA=&#10;" filled="f" stroked="f">
                  <v:textbox inset="0,0,0,0">
                    <w:txbxContent>
                      <w:p w14:paraId="70F538FF" w14:textId="77777777" w:rsidR="00B32EF2" w:rsidRDefault="00000000">
                        <w:r>
                          <w:rPr>
                            <w:rFonts w:ascii="Arial" w:eastAsia="Arial" w:hAnsi="Arial" w:cs="Arial"/>
                            <w:b/>
                            <w:sz w:val="18"/>
                          </w:rPr>
                          <w:t>Articolo 100</w:t>
                        </w:r>
                      </w:p>
                    </w:txbxContent>
                  </v:textbox>
                </v:rect>
                <v:rect id="Rectangle 200169" o:spid="_x0000_s2127" style="position:absolute;left:-6200;top:59966;width:220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LXxgAAAN8AAAAPAAAAZHJzL2Rvd25yZXYueG1sRI9Pi8Iw&#10;FMTvgt8hPGFvmroH0WqUxUW2h734Dzw+mmdbt3kJTbRdP70RBI/DzPyGWaw6U4sbNb6yrGA8SkAQ&#10;51ZXXCg47DfDKQgfkDXWlknBP3lYLfu9Babatryl2y4UIkLYp6igDMGlUvq8JIN+ZB1x9M62MRii&#10;bAqpG2wj3NTyM0km0mDFcaFER+uS8r/d1Sg4fbPLNq3Mz/e1+71k0/rnejgq9THovuYgAnXhHX61&#10;M60gEseTGTz/xC8glw8AAAD//wMAUEsBAi0AFAAGAAgAAAAhANvh9svuAAAAhQEAABMAAAAAAAAA&#10;AAAAAAAAAAAAAFtDb250ZW50X1R5cGVzXS54bWxQSwECLQAUAAYACAAAACEAWvQsW78AAAAVAQAA&#10;CwAAAAAAAAAAAAAAAAAfAQAAX3JlbHMvLnJlbHNQSwECLQAUAAYACAAAACEAZWqC18YAAADfAAAA&#10;DwAAAAAAAAAAAAAAAAAHAgAAZHJzL2Rvd25yZXYueG1sUEsFBgAAAAADAAMAtwAAAPoCAAAAAA==&#10;" filled="f" stroked="f">
                  <v:textbox inset="0,0,0,0">
                    <w:txbxContent>
                      <w:p w14:paraId="16DE0030" w14:textId="77777777" w:rsidR="00B32EF2" w:rsidRDefault="00000000">
                        <w:r>
                          <w:rPr>
                            <w:rFonts w:ascii="Arial" w:eastAsia="Arial" w:hAnsi="Arial" w:cs="Arial"/>
                            <w:i/>
                            <w:sz w:val="18"/>
                          </w:rPr>
                          <w:t>546/92)</w:t>
                        </w:r>
                      </w:p>
                    </w:txbxContent>
                  </v:textbox>
                </v:rect>
                <v:rect id="Rectangle 200170" o:spid="_x0000_s2128" style="position:absolute;left:10006;top:59966;width:220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b2XxgAAAN8AAAAPAAAAZHJzL2Rvd25yZXYueG1sRI9Ba8JA&#10;EIXvhf6HZQre6sYeVFJXEYuYQy9VCz0O2TFJzc4u2dXE/vrOQfA4vHnf41usBteqK3Wx8WxgMs5A&#10;EZfeNlwZOB62r3NQMSFbbD2TgRtFWC2fnxaYW9/zF133qVIC4ZijgTqlkGsdy5ocxrEPxJKdfOcw&#10;ydlV2nbYC9y1+i3Lptphw7JQY6BNTeV5f3EGfj44FNtel6e/Tfj8Lebt7nL8Nmb0MqzfQSUa0uP5&#10;3i6sASFOZmIgPuICevkPAAD//wMAUEsBAi0AFAAGAAgAAAAhANvh9svuAAAAhQEAABMAAAAAAAAA&#10;AAAAAAAAAAAAAFtDb250ZW50X1R5cGVzXS54bWxQSwECLQAUAAYACAAAACEAWvQsW78AAAAVAQAA&#10;CwAAAAAAAAAAAAAAAAAfAQAAX3JlbHMvLnJlbHNQSwECLQAUAAYACAAAACEAcYm9l8YAAADfAAAA&#10;DwAAAAAAAAAAAAAAAAAHAgAAZHJzL2Rvd25yZXYueG1sUEsFBgAAAAADAAMAtwAAAPoCAAAAAA==&#10;" filled="f" stroked="f">
                  <v:textbox inset="0,0,0,0">
                    <w:txbxContent>
                      <w:p w14:paraId="3FB51500" w14:textId="77777777" w:rsidR="00B32EF2" w:rsidRDefault="00000000">
                        <w:r>
                          <w:rPr>
                            <w:rFonts w:ascii="Arial" w:eastAsia="Arial" w:hAnsi="Arial" w:cs="Arial"/>
                            <w:i/>
                            <w:sz w:val="18"/>
                          </w:rPr>
                          <w:t xml:space="preserve">articolo 48-bis D.lgs. n. </w:t>
                        </w:r>
                      </w:p>
                    </w:txbxContent>
                  </v:textbox>
                </v:rect>
                <v:rect id="Rectangle 200168" o:spid="_x0000_s2129" style="position:absolute;left:22552;top:59966;width:220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idMxgAAAN8AAAAPAAAAZHJzL2Rvd25yZXYueG1sRI/BbsIw&#10;DIbvSHuHyJN2gxQOCHUEhJjQeuAyBhJHqzFtR+NETaDdnh4fkHa0fv+f/S3Xg2vVnbrYeDYwnWSg&#10;iEtvG64MHL934wWomJAttp7JwC9FWK9eRkvMre/5i+6HVCmBcMzRQJ1SyLWOZU0O48QHYskuvnOY&#10;ZOwqbTvsBe5aPcuyuXbYsFyoMdC2pvJ6uDkD5w8Oxa7X5eVvG/Y/xaL9vB1Pxry9Dpt3UImG9L/8&#10;bBfWgBCnc3lYfMQF9OoBAAD//wMAUEsBAi0AFAAGAAgAAAAhANvh9svuAAAAhQEAABMAAAAAAAAA&#10;AAAAAAAAAAAAAFtDb250ZW50X1R5cGVzXS54bWxQSwECLQAUAAYACAAAACEAWvQsW78AAAAVAQAA&#10;CwAAAAAAAAAAAAAAAAAfAQAAX3JlbHMvLnJlbHNQSwECLQAUAAYACAAAACEACiYnTMYAAADfAAAA&#10;DwAAAAAAAAAAAAAAAAAHAgAAZHJzL2Rvd25yZXYueG1sUEsFBgAAAAADAAMAtwAAAPoCAAAAAA==&#10;" filled="f" stroked="f">
                  <v:textbox inset="0,0,0,0">
                    <w:txbxContent>
                      <w:p w14:paraId="356396CF" w14:textId="77777777" w:rsidR="00B32EF2" w:rsidRDefault="00000000">
                        <w:r>
                          <w:rPr>
                            <w:rFonts w:ascii="Arial" w:eastAsia="Arial" w:hAnsi="Arial" w:cs="Arial"/>
                            <w:i/>
                            <w:sz w:val="18"/>
                          </w:rPr>
                          <w:t>(</w:t>
                        </w:r>
                      </w:p>
                    </w:txbxContent>
                  </v:textbox>
                </v:rect>
                <v:rect id="Rectangle 15689" o:spid="_x0000_s2130" style="position:absolute;left:8431;top:58733;width:1847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XQxAAAAN4AAAAPAAAAZHJzL2Rvd25yZXYueG1sRE9Na8JA&#10;EL0X/A/LCN7qxoKSRlcRRZpDL7UKHofsmESzs0t2NdFf3y0UepvH+5zFqjeNuFPra8sKJuMEBHFh&#10;dc2lgsP37jUF4QOyxsYyKXiQh9Vy8LLATNuOv+i+D6WIIewzVFCF4DIpfVGRQT+2jjhyZ9saDBG2&#10;pdQtdjHcNPItSWbSYM2xoUJHm4qK6/5mFJy27PJdJ4vzc+M+L3nafNwOR6VGw349BxGoD//iP3eu&#10;4/zpLH2H33fiDXL5AwAA//8DAFBLAQItABQABgAIAAAAIQDb4fbL7gAAAIUBAAATAAAAAAAAAAAA&#10;AAAAAAAAAABbQ29udGVudF9UeXBlc10ueG1sUEsBAi0AFAAGAAgAAAAhAFr0LFu/AAAAFQEAAAsA&#10;AAAAAAAAAAAAAAAAHwEAAF9yZWxzLy5yZWxzUEsBAi0AFAAGAAgAAAAhAGQTFdDEAAAA3gAAAA8A&#10;AAAAAAAAAAAAAAAABwIAAGRycy9kb3ducmV2LnhtbFBLBQYAAAAAAwADALcAAAD4AgAAAAA=&#10;" filled="f" stroked="f">
                  <v:textbox inset="0,0,0,0">
                    <w:txbxContent>
                      <w:p w14:paraId="54CE1F6C" w14:textId="77777777" w:rsidR="00B32EF2" w:rsidRDefault="00000000">
                        <w:r>
                          <w:rPr>
                            <w:rFonts w:ascii="Arial" w:eastAsia="Arial" w:hAnsi="Arial" w:cs="Arial"/>
                            <w:b/>
                            <w:sz w:val="18"/>
                          </w:rPr>
                          <w:t xml:space="preserve">Conciliazione in udienza </w:t>
                        </w:r>
                      </w:p>
                    </w:txbxContent>
                  </v:textbox>
                </v:rect>
                <v:rect id="Rectangle 200167" o:spid="_x0000_s2131" style="position:absolute;left:-12801;top:57499;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bM+xwAAAN8AAAAPAAAAZHJzL2Rvd25yZXYueG1sRI9Ba8JA&#10;FITvgv9heUJvurGHGKKrFIs0h15MLfT4yD6T2OzbJbsmaX99t1DocZiZb5jdYTKdGKj3rWUF61UC&#10;griyuuVaweXttMxA+ICssbNMCr7Iw2E/n+0w13bkMw1lqEWEsM9RQROCy6X0VUMG/co64uhdbW8w&#10;RNnXUvc4Rrjp5GOSpNJgy3GhQUfHhqrP8m4UfDyzK06jrK7fR/d6K7Lu5X55V+phMT1tQQSawn/4&#10;r11oBZG4Tjfw+yd+Abn/AQAA//8DAFBLAQItABQABgAIAAAAIQDb4fbL7gAAAIUBAAATAAAAAAAA&#10;AAAAAAAAAAAAAABbQ29udGVudF9UeXBlc10ueG1sUEsBAi0AFAAGAAgAAAAhAFr0LFu/AAAAFQEA&#10;AAsAAAAAAAAAAAAAAAAAHwEAAF9yZWxzLy5yZWxzUEsBAi0AFAAGAAgAAAAhAHu5sz7HAAAA3wAA&#10;AA8AAAAAAAAAAAAAAAAABwIAAGRycy9kb3ducmV2LnhtbFBLBQYAAAAAAwADALcAAAD7AgAAAAA=&#10;" filled="f" stroked="f">
                  <v:textbox inset="0,0,0,0">
                    <w:txbxContent>
                      <w:p w14:paraId="269FF29A" w14:textId="77777777" w:rsidR="00B32EF2" w:rsidRDefault="00000000">
                        <w:r>
                          <w:rPr>
                            <w:rFonts w:ascii="Arial" w:eastAsia="Arial" w:hAnsi="Arial" w:cs="Arial"/>
                            <w:sz w:val="18"/>
                          </w:rPr>
                          <w:t>. Ciascuna parte entro il termine di cui all’articolo 80, comma 2, può presenta</w:t>
                        </w:r>
                      </w:p>
                    </w:txbxContent>
                  </v:textbox>
                </v:rect>
                <v:rect id="Rectangle 200166" o:spid="_x0000_s2132" style="position:absolute;left:26349;top:57499;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RalxgAAAN8AAAAPAAAAZHJzL2Rvd25yZXYueG1sRI9Pi8Iw&#10;FMTvC36H8IS9rakeilSjiCL2sJf1D3h8NM+22ryEJtrqp98sLHgcZuY3zHzZm0Y8qPW1ZQXjUQKC&#10;uLC65lLB8bD9moLwAVljY5kUPMnDcjH4mGOmbcc/9NiHUkQI+wwVVCG4TEpfVGTQj6wjjt7FtgZD&#10;lG0pdYtdhJtGTpIklQZrjgsVOlpXVNz2d6PgvGGXbztZXF5r933Np83ufjwp9TnsVzMQgfrwDv+3&#10;c60gEsdpCn9/4heQi18AAAD//wMAUEsBAi0AFAAGAAgAAAAhANvh9svuAAAAhQEAABMAAAAAAAAA&#10;AAAAAAAAAAAAAFtDb250ZW50X1R5cGVzXS54bWxQSwECLQAUAAYACAAAACEAWvQsW78AAAAVAQAA&#10;CwAAAAAAAAAAAAAAAAAfAQAAX3JlbHMvLnJlbHNQSwECLQAUAAYACAAAACEAFPUWpcYAAADfAAAA&#10;DwAAAAAAAAAAAAAAAAAHAgAAZHJzL2Rvd25yZXYueG1sUEsFBgAAAAADAAMAtwAAAPoCAAAAAA==&#10;" filled="f" stroked="f">
                  <v:textbox inset="0,0,0,0">
                    <w:txbxContent>
                      <w:p w14:paraId="4385841E" w14:textId="77777777" w:rsidR="00B32EF2" w:rsidRDefault="00000000">
                        <w:r>
                          <w:rPr>
                            <w:rFonts w:ascii="Arial" w:eastAsia="Arial" w:hAnsi="Arial" w:cs="Arial"/>
                            <w:sz w:val="18"/>
                          </w:rPr>
                          <w:t>1</w:t>
                        </w:r>
                      </w:p>
                    </w:txbxContent>
                  </v:textbox>
                </v:rect>
                <v:rect id="Rectangle 15691" o:spid="_x0000_s2133" style="position:absolute;left:192;top:574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I8LxAAAAN4AAAAPAAAAZHJzL2Rvd25yZXYueG1sRE9Li8Iw&#10;EL4L+x/CLHhbUxcUrUZZXGR78LI+wOPQjG21mYQm2uqvNwsL3ubje8582Zla3KjxlWUFw0ECgji3&#10;uuJCwX63/piA8AFZY22ZFNzJw3Lx1ptjqm3Lv3TbhkLEEPYpKihDcKmUPi/JoB9YRxy5k20Mhgib&#10;QuoG2xhuavmZJGNpsOLYUKKjVUn5ZXs1Co7f7LJ1K/PTY+U252xS/1z3B6X6793XDESgLrzE/+5M&#10;x/mj8XQIf+/EG+TiCQAA//8DAFBLAQItABQABgAIAAAAIQDb4fbL7gAAAIUBAAATAAAAAAAAAAAA&#10;AAAAAAAAAABbQ29udGVudF9UeXBlc10ueG1sUEsBAi0AFAAGAAgAAAAhAFr0LFu/AAAAFQEAAAsA&#10;AAAAAAAAAAAAAAAAHwEAAF9yZWxzLy5yZWxzUEsBAi0AFAAGAAgAAAAhAB+8jwvEAAAA3gAAAA8A&#10;AAAAAAAAAAAAAAAABwIAAGRycy9kb3ducmV2LnhtbFBLBQYAAAAAAwADALcAAAD4AgAAAAA=&#10;" filled="f" stroked="f">
                  <v:textbox inset="0,0,0,0">
                    <w:txbxContent>
                      <w:p w14:paraId="156D04BB" w14:textId="77777777" w:rsidR="00B32EF2" w:rsidRDefault="00000000">
                        <w:r>
                          <w:rPr>
                            <w:rFonts w:ascii="Arial" w:eastAsia="Arial" w:hAnsi="Arial" w:cs="Arial"/>
                            <w:sz w:val="18"/>
                          </w:rPr>
                          <w:t>-</w:t>
                        </w:r>
                      </w:p>
                    </w:txbxContent>
                  </v:textbox>
                </v:rect>
                <v:rect id="Rectangle 15692" o:spid="_x0000_s2134" style="position:absolute;left:-4530;top:56266;width:444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hF8xAAAAN4AAAAPAAAAZHJzL2Rvd25yZXYueG1sRE9Li8Iw&#10;EL4v+B/CCN7WdAVFq1EWF9ke9uILPA7N2FabSWiirf76jbCwt/n4nrNYdaYWd2p8ZVnBxzABQZxb&#10;XXGh4LDfvE9B+ICssbZMCh7kYbXsvS0w1bblLd13oRAxhH2KCsoQXCqlz0sy6IfWEUfubBuDIcKm&#10;kLrBNoabWo6SZCINVhwbSnS0Lim/7m5GwemLXbZpZX5+rt3PJZvW37fDUalBv/ucgwjUhX/xnzvT&#10;cf54MhvB6514g1z+AgAA//8DAFBLAQItABQABgAIAAAAIQDb4fbL7gAAAIUBAAATAAAAAAAAAAAA&#10;AAAAAAAAAABbQ29udGVudF9UeXBlc10ueG1sUEsBAi0AFAAGAAgAAAAhAFr0LFu/AAAAFQEAAAsA&#10;AAAAAAAAAAAAAAAAHwEAAF9yZWxzLy5yZWxzUEsBAi0AFAAGAAgAAAAhAO9uEXzEAAAA3gAAAA8A&#10;AAAAAAAAAAAAAAAABwIAAGRycy9kb3ducmV2LnhtbFBLBQYAAAAAAwADALcAAAD4AgAAAAA=&#10;" filled="f" stroked="f">
                  <v:textbox inset="0,0,0,0">
                    <w:txbxContent>
                      <w:p w14:paraId="5298BC66" w14:textId="77777777" w:rsidR="00B32EF2" w:rsidRDefault="00000000">
                        <w:r>
                          <w:rPr>
                            <w:rFonts w:ascii="Arial" w:eastAsia="Arial" w:hAnsi="Arial" w:cs="Arial"/>
                            <w:sz w:val="18"/>
                          </w:rPr>
                          <w:t>re istanza per la conciliazione totale o parziale della controversia.</w:t>
                        </w:r>
                      </w:p>
                    </w:txbxContent>
                  </v:textbox>
                </v:rect>
                <v:rect id="Rectangle 200164" o:spid="_x0000_s2135" style="position:absolute;left:26346;top:55033;width:521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y1JxwAAAN8AAAAPAAAAZHJzL2Rvd25yZXYueG1sRI9Ba8JA&#10;FITvhf6H5RV6qxtLCSF1FbFIc/BiaqHHR/aZpGbfLtk1Sf31riD0OMzMN8xiNZlODNT71rKC+SwB&#10;QVxZ3XKt4PC1fclA+ICssbNMCv7Iw2r5+LDAXNuR9zSUoRYRwj5HBU0ILpfSVw0Z9DPriKN3tL3B&#10;EGVfS93jGOGmk69JkkqDLceFBh1tGqpO5dko+PlgV2xHWR0vG7f7LbLu83z4Vur5aVq/gwg0hf/w&#10;vV1oBZE4T9/g9id+Abm8AgAA//8DAFBLAQItABQABgAIAAAAIQDb4fbL7gAAAIUBAAATAAAAAAAA&#10;AAAAAAAAAAAAAABbQ29udGVudF9UeXBlc10ueG1sUEsBAi0AFAAGAAgAAAAhAFr0LFu/AAAAFQEA&#10;AAsAAAAAAAAAAAAAAAAAHwEAAF9yZWxzLy5yZWxzUEsBAi0AFAAGAAgAAAAhAItrLUnHAAAA3wAA&#10;AA8AAAAAAAAAAAAAAAAABwIAAGRycy9kb3ducmV2LnhtbFBLBQYAAAAAAwADALcAAAD7AgAAAAA=&#10;" filled="f" stroked="f">
                  <v:textbox inset="0,0,0,0">
                    <w:txbxContent>
                      <w:p w14:paraId="00C0E92A" w14:textId="77777777" w:rsidR="00B32EF2" w:rsidRDefault="00000000">
                        <w:r>
                          <w:rPr>
                            <w:rFonts w:ascii="Arial" w:eastAsia="Arial" w:hAnsi="Arial" w:cs="Arial"/>
                            <w:sz w:val="18"/>
                          </w:rPr>
                          <w:t>2</w:t>
                        </w:r>
                      </w:p>
                    </w:txbxContent>
                  </v:textbox>
                </v:rect>
                <v:rect id="Rectangle 200165" o:spid="_x0000_s2136" style="position:absolute;left:-12855;top:55033;width:521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4jSxwAAAN8AAAAPAAAAZHJzL2Rvd25yZXYueG1sRI9Ba8JA&#10;FITvhf6H5RV6qxsLDSF1FbFIc/BiaqHHR/aZpGbfLtk1Sf31riD0OMzMN8xiNZlODNT71rKC+SwB&#10;QVxZ3XKt4PC1fclA+ICssbNMCv7Iw2r5+LDAXNuR9zSUoRYRwj5HBU0ILpfSVw0Z9DPriKN3tL3B&#10;EGVfS93jGOGmk69JkkqDLceFBh1tGqpO5dko+PlgV2xHWR0vG7f7LbLu83z4Vur5aVq/gwg0hf/w&#10;vV1oBZE4T9/g9id+Abm8AgAA//8DAFBLAQItABQABgAIAAAAIQDb4fbL7gAAAIUBAAATAAAAAAAA&#10;AAAAAAAAAAAAAABbQ29udGVudF9UeXBlc10ueG1sUEsBAi0AFAAGAAgAAAAhAFr0LFu/AAAAFQEA&#10;AAsAAAAAAAAAAAAAAAAAHwEAAF9yZWxzLy5yZWxzUEsBAi0AFAAGAAgAAAAhAOQniNLHAAAA3wAA&#10;AA8AAAAAAAAAAAAAAAAABwIAAGRycy9kb3ducmV2LnhtbFBLBQYAAAAAAwADALcAAAD7AgAAAAA=&#10;" filled="f" stroked="f">
                  <v:textbox inset="0,0,0,0">
                    <w:txbxContent>
                      <w:p w14:paraId="1A81D487" w14:textId="77777777" w:rsidR="00B32EF2" w:rsidRDefault="00000000">
                        <w:r>
                          <w:rPr>
                            <w:rFonts w:ascii="Arial" w:eastAsia="Arial" w:hAnsi="Arial" w:cs="Arial"/>
                            <w:sz w:val="18"/>
                          </w:rPr>
                          <w:t>. All’udienza la corte di giustizia tributaria, se sussistono le condizioni di am</w:t>
                        </w:r>
                      </w:p>
                    </w:txbxContent>
                  </v:textbox>
                </v:rect>
                <v:rect id="Rectangle 15694" o:spid="_x0000_s2137" style="position:absolute;left:192;top:550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yTxQAAAN4AAAAPAAAAZHJzL2Rvd25yZXYueG1sRE9Na8JA&#10;EL0X+h+WKXirG0XFRlcRRcyhl1oLPQ7ZMYlmZ5fsaqK/3i0UvM3jfc582ZlaXKnxlWUFg34Cgji3&#10;uuJCweF7+z4F4QOyxtoyKbiRh+Xi9WWOqbYtf9F1HwoRQ9inqKAMwaVS+rwkg75vHXHkjrYxGCJs&#10;CqkbbGO4qeUwSSbSYMWxoURH65Ly8/5iFPxu2GXbVubH+9p9nrJpvbscfpTqvXWrGYhAXXiK/92Z&#10;jvPHk48R/L0Tb5CLBwAAAP//AwBQSwECLQAUAAYACAAAACEA2+H2y+4AAACFAQAAEwAAAAAAAAAA&#10;AAAAAAAAAAAAW0NvbnRlbnRfVHlwZXNdLnhtbFBLAQItABQABgAIAAAAIQBa9CxbvwAAABUBAAAL&#10;AAAAAAAAAAAAAAAAAB8BAABfcmVscy8ucmVsc1BLAQItABQABgAIAAAAIQAPyyyTxQAAAN4AAAAP&#10;AAAAAAAAAAAAAAAAAAcCAABkcnMvZG93bnJldi54bWxQSwUGAAAAAAMAAwC3AAAA+QIAAAAA&#10;" filled="f" stroked="f">
                  <v:textbox inset="0,0,0,0">
                    <w:txbxContent>
                      <w:p w14:paraId="31BCEAF6" w14:textId="77777777" w:rsidR="00B32EF2" w:rsidRDefault="00000000">
                        <w:r>
                          <w:rPr>
                            <w:rFonts w:ascii="Arial" w:eastAsia="Arial" w:hAnsi="Arial" w:cs="Arial"/>
                            <w:sz w:val="18"/>
                          </w:rPr>
                          <w:t>-</w:t>
                        </w:r>
                      </w:p>
                    </w:txbxContent>
                  </v:textbox>
                </v:rect>
                <v:rect id="Rectangle 15695" o:spid="_x0000_s2138" style="position:absolute;left:-13168;top:53799;width:530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4kIxAAAAN4AAAAPAAAAZHJzL2Rvd25yZXYueG1sRE9Li8Iw&#10;EL4v+B/CCN7WdBcUrUZZXMQe9uILPA7N2FabSWiirf76jbCwt/n4njNfdqYWd2p8ZVnBxzABQZxb&#10;XXGh4LBfv09A+ICssbZMCh7kYbnovc0x1bblLd13oRAxhH2KCsoQXCqlz0sy6IfWEUfubBuDIcKm&#10;kLrBNoabWn4myVgarDg2lOhoVVJ+3d2MgtM3u2zdyvz8XLmfSzapN7fDUalBv/uagQjUhX/xnzvT&#10;cf5oPB3B6514g1z8AgAA//8DAFBLAQItABQABgAIAAAAIQDb4fbL7gAAAIUBAAATAAAAAAAAAAAA&#10;AAAAAAAAAABbQ29udGVudF9UeXBlc10ueG1sUEsBAi0AFAAGAAgAAAAhAFr0LFu/AAAAFQEAAAsA&#10;AAAAAAAAAAAAAAAAHwEAAF9yZWxzLy5yZWxzUEsBAi0AFAAGAAgAAAAhAGCHiQjEAAAA3gAAAA8A&#10;AAAAAAAAAAAAAAAABwIAAGRycy9kb3ducmV2LnhtbFBLBQYAAAAAAwADALcAAAD4AgAAAAA=&#10;" filled="f" stroked="f">
                  <v:textbox inset="0,0,0,0">
                    <w:txbxContent>
                      <w:p w14:paraId="756CA497" w14:textId="77777777" w:rsidR="00B32EF2" w:rsidRDefault="00000000">
                        <w:r>
                          <w:rPr>
                            <w:rFonts w:ascii="Arial" w:eastAsia="Arial" w:hAnsi="Arial" w:cs="Arial"/>
                            <w:sz w:val="18"/>
                          </w:rPr>
                          <w:t xml:space="preserve">missibilità, invita le parti alla conciliazione rinviando eventualmente la causa </w:t>
                        </w:r>
                      </w:p>
                    </w:txbxContent>
                  </v:textbox>
                </v:rect>
                <v:rect id="Rectangle 15696" o:spid="_x0000_s2139" style="position:absolute;left:-9375;top:52566;width:492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d/xAAAAN4AAAAPAAAAZHJzL2Rvd25yZXYueG1sRE9Na8JA&#10;EL0X/A/LCN7qxoLBRlcRRZpDL7UKHofsmESzs0t2NdFf3y0UepvH+5zFqjeNuFPra8sKJuMEBHFh&#10;dc2lgsP37nUGwgdkjY1lUvAgD6vl4GWBmbYdf9F9H0oRQ9hnqKAKwWVS+qIig35sHXHkzrY1GCJs&#10;S6lb7GK4aeRbkqTSYM2xoUJHm4qK6/5mFJy27PJdJ4vzc+M+L/ms+bgdjkqNhv16DiJQH/7Ff+5c&#10;x/nT9D2F33fiDXL5AwAA//8DAFBLAQItABQABgAIAAAAIQDb4fbL7gAAAIUBAAATAAAAAAAAAAAA&#10;AAAAAAAAAABbQ29udGVudF9UeXBlc10ueG1sUEsBAi0AFAAGAAgAAAAhAFr0LFu/AAAAFQEAAAsA&#10;AAAAAAAAAAAAAAAAHwEAAF9yZWxzLy5yZWxzUEsBAi0AFAAGAAgAAAAhAJBVF3/EAAAA3gAAAA8A&#10;AAAAAAAAAAAAAAAABwIAAGRycy9kb3ducmV2LnhtbFBLBQYAAAAAAwADALcAAAD4AgAAAAA=&#10;" filled="f" stroked="f">
                  <v:textbox inset="0,0,0,0">
                    <w:txbxContent>
                      <w:p w14:paraId="052A680F" w14:textId="77777777" w:rsidR="00B32EF2" w:rsidRDefault="00000000">
                        <w:r>
                          <w:rPr>
                            <w:rFonts w:ascii="Arial" w:eastAsia="Arial" w:hAnsi="Arial" w:cs="Arial"/>
                            <w:sz w:val="18"/>
                          </w:rPr>
                          <w:t xml:space="preserve">alla successiva udienza per il perfezionamento dell’accordo conciliativo. </w:t>
                        </w:r>
                      </w:p>
                    </w:txbxContent>
                  </v:textbox>
                </v:rect>
                <v:rect id="Rectangle 200162" o:spid="_x0000_s2140" style="position:absolute;left:26110;top:513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hCmxwAAAN8AAAAPAAAAZHJzL2Rvd25yZXYueG1sRI/NawIx&#10;FMTvBf+H8ITealYPItuNUhRxD71ULfT42Lz9aDcvYZP90L++KRQ8DjPzGybbTaYVA3W+saxguUhA&#10;EBdWN1wpuF6OLxsQPiBrbC2Tght52G1nTxmm2o78QcM5VCJC2KeooA7BpVL6oiaDfmEdcfRK2xkM&#10;UXaV1B2OEW5auUqStTTYcFyo0dG+puLn3BsFXwd2+XGURXnfu/fvfNOe+uunUs/z6e0VRKApPML/&#10;7VwriMTlegV/f+IXkNtfAAAA//8DAFBLAQItABQABgAIAAAAIQDb4fbL7gAAAIUBAAATAAAAAAAA&#10;AAAAAAAAAAAAAABbQ29udGVudF9UeXBlc10ueG1sUEsBAi0AFAAGAAgAAAAhAFr0LFu/AAAAFQEA&#10;AAsAAAAAAAAAAAAAAAAAHwEAAF9yZWxzLy5yZWxzUEsBAi0AFAAGAAgAAAAhAGvOEKbHAAAA3wAA&#10;AA8AAAAAAAAAAAAAAAAABwIAAGRycy9kb3ducmV2LnhtbFBLBQYAAAAAAwADALcAAAD7AgAAAAA=&#10;" filled="f" stroked="f">
                  <v:textbox inset="0,0,0,0">
                    <w:txbxContent>
                      <w:p w14:paraId="1BD790B2" w14:textId="77777777" w:rsidR="00B32EF2" w:rsidRDefault="00000000">
                        <w:r>
                          <w:rPr>
                            <w:rFonts w:ascii="Arial" w:eastAsia="Arial" w:hAnsi="Arial" w:cs="Arial"/>
                            <w:sz w:val="18"/>
                          </w:rPr>
                          <w:t>3</w:t>
                        </w:r>
                      </w:p>
                    </w:txbxContent>
                  </v:textbox>
                </v:rect>
                <v:rect id="Rectangle 200163" o:spid="_x0000_s2141" style="position:absolute;left:-13817;top:513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rU9xwAAAN8AAAAPAAAAZHJzL2Rvd25yZXYueG1sRI9Ba8JA&#10;FITvhf6H5RV6qxtbCCF1FbFIc/BiaqHHR/aZpGbfLtk1Sf31riD0OMzMN8xiNZlODNT71rKC+SwB&#10;QVxZ3XKt4PC1fclA+ICssbNMCv7Iw2r5+LDAXNuR9zSUoRYRwj5HBU0ILpfSVw0Z9DPriKN3tL3B&#10;EGVfS93jGOGmk69JkkqDLceFBh1tGqpO5dko+PlgV2xHWR0vG7f7LbLu83z4Vur5aVq/gwg0hf/w&#10;vV1oBZE4T9/g9id+Abm8AgAA//8DAFBLAQItABQABgAIAAAAIQDb4fbL7gAAAIUBAAATAAAAAAAA&#10;AAAAAAAAAAAAAABbQ29udGVudF9UeXBlc10ueG1sUEsBAi0AFAAGAAgAAAAhAFr0LFu/AAAAFQEA&#10;AAsAAAAAAAAAAAAAAAAAHwEAAF9yZWxzLy5yZWxzUEsBAi0AFAAGAAgAAAAhAASCtT3HAAAA3wAA&#10;AA8AAAAAAAAAAAAAAAAABwIAAGRycy9kb3ducmV2LnhtbFBLBQYAAAAAAwADALcAAAD7AgAAAAA=&#10;" filled="f" stroked="f">
                  <v:textbox inset="0,0,0,0">
                    <w:txbxContent>
                      <w:p w14:paraId="447D6C3D" w14:textId="77777777" w:rsidR="00B32EF2" w:rsidRDefault="00000000">
                        <w:r>
                          <w:rPr>
                            <w:rFonts w:ascii="Arial" w:eastAsia="Arial" w:hAnsi="Arial" w:cs="Arial"/>
                            <w:sz w:val="18"/>
                          </w:rPr>
                          <w:t xml:space="preserve">. La conciliazione si perfeziona con la redazione del processo verbale nel </w:t>
                        </w:r>
                      </w:p>
                    </w:txbxContent>
                  </v:textbox>
                </v:rect>
                <v:rect id="Rectangle 15698" o:spid="_x0000_s2142" style="position:absolute;left:-13172;top:500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iaWyAAAAN4AAAAPAAAAZHJzL2Rvd25yZXYueG1sRI9Pa8JA&#10;EMXvgt9hGaE33bRQsamrFIs0h178U+hxyI5J2uzskl1N2k/vHARvM7w37/1muR5cqy7UxcazgcdZ&#10;Boq49LbhysDxsJ0uQMWEbLH1TAb+KMJ6NR4tMbe+5x1d9qlSEsIxRwN1SiHXOpY1OYwzH4hFO/nO&#10;YZK1q7TtsJdw1+qnLJtrhw1LQ42BNjWVv/uzM/D9zqHY9ro8/W/C50+xaD/Oxy9jHibD2yuoREO6&#10;m2/XhRX85/mL8Mo7MoNeXQEAAP//AwBQSwECLQAUAAYACAAAACEA2+H2y+4AAACFAQAAEwAAAAAA&#10;AAAAAAAAAAAAAAAAW0NvbnRlbnRfVHlwZXNdLnhtbFBLAQItABQABgAIAAAAIQBa9CxbvwAAABUB&#10;AAALAAAAAAAAAAAAAAAAAB8BAABfcmVscy8ucmVsc1BLAQItABQABgAIAAAAIQCOhiaWyAAAAN4A&#10;AAAPAAAAAAAAAAAAAAAAAAcCAABkcnMvZG93bnJldi54bWxQSwUGAAAAAAMAAwC3AAAA/AIAAAAA&#10;" filled="f" stroked="f">
                  <v:textbox inset="0,0,0,0">
                    <w:txbxContent>
                      <w:p w14:paraId="28C305DF" w14:textId="77777777" w:rsidR="00B32EF2" w:rsidRDefault="00000000">
                        <w:r>
                          <w:rPr>
                            <w:rFonts w:ascii="Arial" w:eastAsia="Arial" w:hAnsi="Arial" w:cs="Arial"/>
                            <w:sz w:val="18"/>
                          </w:rPr>
                          <w:t xml:space="preserve">quale sono indicate le somme dovute con i termini e le modalità di pagamento. </w:t>
                        </w:r>
                      </w:p>
                    </w:txbxContent>
                  </v:textbox>
                </v:rect>
                <v:rect id="Rectangle 15699" o:spid="_x0000_s2143" style="position:absolute;left:-13171;top:488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oMNxAAAAN4AAAAPAAAAZHJzL2Rvd25yZXYueG1sRE9Ni8Iw&#10;EL0L/ocwgjdNFVa0axRRZHvwsq4Lexyasa02k9BEW/31m4UFb/N4n7Ncd6YWd2p8ZVnBZJyAIM6t&#10;rrhQcPraj+YgfEDWWFsmBQ/ysF71e0tMtW35k+7HUIgYwj5FBWUILpXS5yUZ9GPriCN3to3BEGFT&#10;SN1gG8NNLadJMpMGK44NJTralpRfjzej4GfHLtu3Mj8/t+5wyeb1x+30rdRw0G3eQQTqwkv87850&#10;nP82Wyzg7514g1z9AgAA//8DAFBLAQItABQABgAIAAAAIQDb4fbL7gAAAIUBAAATAAAAAAAAAAAA&#10;AAAAAAAAAABbQ29udGVudF9UeXBlc10ueG1sUEsBAi0AFAAGAAgAAAAhAFr0LFu/AAAAFQEAAAsA&#10;AAAAAAAAAAAAAAAAHwEAAF9yZWxzLy5yZWxzUEsBAi0AFAAGAAgAAAAhAOHKgw3EAAAA3gAAAA8A&#10;AAAAAAAAAAAAAAAABwIAAGRycy9kb3ducmV2LnhtbFBLBQYAAAAAAwADALcAAAD4AgAAAAA=&#10;" filled="f" stroked="f">
                  <v:textbox inset="0,0,0,0">
                    <w:txbxContent>
                      <w:p w14:paraId="0ED30A28" w14:textId="77777777" w:rsidR="00B32EF2" w:rsidRDefault="00000000">
                        <w:r>
                          <w:rPr>
                            <w:rFonts w:ascii="Arial" w:eastAsia="Arial" w:hAnsi="Arial" w:cs="Arial"/>
                            <w:sz w:val="18"/>
                          </w:rPr>
                          <w:t xml:space="preserve">Il processo verbale costituisce titolo per la riscossione delle somme dovute </w:t>
                        </w:r>
                      </w:p>
                    </w:txbxContent>
                  </v:textbox>
                </v:rect>
                <v:rect id="Rectangle 15700" o:spid="_x0000_s2144" style="position:absolute;left:-10577;top:47633;width:504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7CKxwAAAN4AAAAPAAAAZHJzL2Rvd25yZXYueG1sRI9Ba8JA&#10;EIXvhf6HZQre6sZCraSuIhZpDr1oLfQ4ZMckmp1dsquJ/fXOQehthnnz3vvmy8G16kJdbDwbmIwz&#10;UMSltw1XBvbfm+cZqJiQLbaeycCVIiwXjw9zzK3veUuXXaqUmHDM0UCdUsi1jmVNDuPYB2K5HXzn&#10;MMnaVdp22Iu5a/VLlk21w4YlocZA65rK0+7sDPx+cCg2vS4Pf+vwdSxm7ed5/2PM6GlYvYNKNKR/&#10;8f27sFL/9S0TAMGRGfTiBgAA//8DAFBLAQItABQABgAIAAAAIQDb4fbL7gAAAIUBAAATAAAAAAAA&#10;AAAAAAAAAAAAAABbQ29udGVudF9UeXBlc10ueG1sUEsBAi0AFAAGAAgAAAAhAFr0LFu/AAAAFQEA&#10;AAsAAAAAAAAAAAAAAAAAHwEAAF9yZWxzLy5yZWxzUEsBAi0AFAAGAAgAAAAhAO4bsIrHAAAA3gAA&#10;AA8AAAAAAAAAAAAAAAAABwIAAGRycy9kb3ducmV2LnhtbFBLBQYAAAAAAwADALcAAAD7AgAAAAA=&#10;" filled="f" stroked="f">
                  <v:textbox inset="0,0,0,0">
                    <w:txbxContent>
                      <w:p w14:paraId="20753599" w14:textId="77777777" w:rsidR="00B32EF2" w:rsidRDefault="00000000">
                        <w:r>
                          <w:rPr>
                            <w:rFonts w:ascii="Arial" w:eastAsia="Arial" w:hAnsi="Arial" w:cs="Arial"/>
                            <w:sz w:val="18"/>
                          </w:rPr>
                          <w:t>all’ente impositore e per il pagamento delle somme dovute al contribuente.</w:t>
                        </w:r>
                      </w:p>
                    </w:txbxContent>
                  </v:textbox>
                </v:rect>
                <v:rect id="Rectangle 200160" o:spid="_x0000_s2145" style="position:absolute;left:26110;top:46400;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CtKxgAAAN8AAAAPAAAAZHJzL2Rvd25yZXYueG1sRI9Ba8JA&#10;EIXvQv/DMoXedKMHkdRVxCLNwUutgschOyap2dklu5q0v945CD0Ob973+JbrwbXqTl1sPBuYTjJQ&#10;xKW3DVcGjt+78QJUTMgWW89k4JcirFcvoyXm1vf8RfdDqpRAOOZooE4p5FrHsiaHceIDsWQX3zlM&#10;cnaVth32AnetnmXZXDtsWBZqDLStqbwebs7A+YNDset1efnbhv1PsWg/b8eTMW+vw+YdVKIh/T8/&#10;24U1IMTpXAzER1xArx4AAAD//wMAUEsBAi0AFAAGAAgAAAAhANvh9svuAAAAhQEAABMAAAAAAAAA&#10;AAAAAAAAAAAAAFtDb250ZW50X1R5cGVzXS54bWxQSwECLQAUAAYACAAAACEAWvQsW78AAAAVAQAA&#10;CwAAAAAAAAAAAAAAAAAfAQAAX3JlbHMvLnJlbHNQSwECLQAUAAYACAAAACEA9FArSsYAAADfAAAA&#10;DwAAAAAAAAAAAAAAAAAHAgAAZHJzL2Rvd25yZXYueG1sUEsFBgAAAAADAAMAtwAAAPoCAAAAAA==&#10;" filled="f" stroked="f">
                  <v:textbox inset="0,0,0,0">
                    <w:txbxContent>
                      <w:p w14:paraId="521673B6" w14:textId="77777777" w:rsidR="00B32EF2" w:rsidRDefault="00000000">
                        <w:r>
                          <w:rPr>
                            <w:rFonts w:ascii="Arial" w:eastAsia="Arial" w:hAnsi="Arial" w:cs="Arial"/>
                            <w:sz w:val="18"/>
                          </w:rPr>
                          <w:t>4</w:t>
                        </w:r>
                      </w:p>
                    </w:txbxContent>
                  </v:textbox>
                </v:rect>
                <v:rect id="Rectangle 200161" o:spid="_x0000_s2146" style="position:absolute;left:-13802;top:46400;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I7RxgAAAN8AAAAPAAAAZHJzL2Rvd25yZXYueG1sRI9Pi8Iw&#10;FMTvC36H8ARva1oPItUooog9eFn/gMdH82yrzUtoou3up98sLHgcZuY3zGLVm0a8qPW1ZQXpOAFB&#10;XFhdc6ngfNp9zkD4gKyxsUwKvsnDajn4WGCmbcdf9DqGUkQI+wwVVCG4TEpfVGTQj60jjt7NtgZD&#10;lG0pdYtdhJtGTpJkKg3WHBcqdLSpqHgcn0bBdcsu33WyuP1s3OGez5r983xRajTs13MQgfrwDv+3&#10;c60gEtNpCn9/4heQy18AAAD//wMAUEsBAi0AFAAGAAgAAAAhANvh9svuAAAAhQEAABMAAAAAAAAA&#10;AAAAAAAAAAAAAFtDb250ZW50X1R5cGVzXS54bWxQSwECLQAUAAYACAAAACEAWvQsW78AAAAVAQAA&#10;CwAAAAAAAAAAAAAAAAAfAQAAX3JlbHMvLnJlbHNQSwECLQAUAAYACAAAACEAmxyO0cYAAADfAAAA&#10;DwAAAAAAAAAAAAAAAAAHAgAAZHJzL2Rvd25yZXYueG1sUEsFBgAAAAADAAMAtwAAAPoCAAAAAA==&#10;" filled="f" stroked="f">
                  <v:textbox inset="0,0,0,0">
                    <w:txbxContent>
                      <w:p w14:paraId="44081298" w14:textId="77777777" w:rsidR="00B32EF2" w:rsidRDefault="00000000">
                        <w:r>
                          <w:rPr>
                            <w:rFonts w:ascii="Arial" w:eastAsia="Arial" w:hAnsi="Arial" w:cs="Arial"/>
                            <w:sz w:val="18"/>
                          </w:rPr>
                          <w:t xml:space="preserve">. La corte di giustizia tributaria dichiara con sentenza l’estinzione del giudizio </w:t>
                        </w:r>
                      </w:p>
                    </w:txbxContent>
                  </v:textbox>
                </v:rect>
                <v:rect id="Rectangle 15702" o:spid="_x0000_s2147" style="position:absolute;left:9277;top:45166;width:306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YtmxQAAAN4AAAAPAAAAZHJzL2Rvd25yZXYueG1sRE9La8JA&#10;EL4X+h+WKfRWNxWskrqRYhFz8KKm0OOQnTza7OySXU3qr+8Kgrf5+J6zXI2mE2fqfWtZweskAUFc&#10;Wt1yraA4bl4WIHxA1thZJgV/5GGVPT4sMdV24D2dD6EWMYR9igqaEFwqpS8bMugn1hFHrrK9wRBh&#10;X0vd4xDDTSenSfImDbYcGxp0tG6o/D2cjILvT3b5ZpBldVm73U++6Lan4kup56fx4x1EoDHcxTd3&#10;ruP82TyZwvWdeIPM/gEAAP//AwBQSwECLQAUAAYACAAAACEA2+H2y+4AAACFAQAAEwAAAAAAAAAA&#10;AAAAAAAAAAAAW0NvbnRlbnRfVHlwZXNdLnhtbFBLAQItABQABgAIAAAAIQBa9CxbvwAAABUBAAAL&#10;AAAAAAAAAAAAAAAAAB8BAABfcmVscy8ucmVsc1BLAQItABQABgAIAAAAIQBxhYtmxQAAAN4AAAAP&#10;AAAAAAAAAAAAAAAAAAcCAABkcnMvZG93bnJldi54bWxQSwUGAAAAAAMAAwC3AAAA+QIAAAAA&#10;" filled="f" stroked="f">
                  <v:textbox inset="0,0,0,0">
                    <w:txbxContent>
                      <w:p w14:paraId="0EA08EF6" w14:textId="77777777" w:rsidR="00B32EF2" w:rsidRDefault="00000000">
                        <w:r>
                          <w:rPr>
                            <w:rFonts w:ascii="Arial" w:eastAsia="Arial" w:hAnsi="Arial" w:cs="Arial"/>
                            <w:sz w:val="18"/>
                          </w:rPr>
                          <w:t>per cessazione della materia del contendere.</w:t>
                        </w:r>
                      </w:p>
                    </w:txbxContent>
                  </v:textbox>
                </v:rect>
                <v:rect id="Rectangle 15703" o:spid="_x0000_s2148" style="position:absolute;left:14584;top:42700;width:88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S79xQAAAN4AAAAPAAAAZHJzL2Rvd25yZXYueG1sRE9LawIx&#10;EL4L/Q9hCr252bbUymqUYhH30IvWgsdhM/vQzSRsorv21zeC0Nt8fM+ZLwfTigt1vrGs4DlJQRAX&#10;VjdcKdh/r8dTED4ga2wtk4IreVguHkZzzLTteUuXXahEDGGfoYI6BJdJ6YuaDPrEOuLIlbYzGCLs&#10;Kqk77GO4aeVLmk6kwYZjQ42OVjUVp93ZKDh8ssvXvSzK35X7OubTdnPe/yj19Dh8zEAEGsK/+O7O&#10;dZz/9p6+wu2deINc/AEAAP//AwBQSwECLQAUAAYACAAAACEA2+H2y+4AAACFAQAAEwAAAAAAAAAA&#10;AAAAAAAAAAAAW0NvbnRlbnRfVHlwZXNdLnhtbFBLAQItABQABgAIAAAAIQBa9CxbvwAAABUBAAAL&#10;AAAAAAAAAAAAAAAAAB8BAABfcmVscy8ucmVsc1BLAQItABQABgAIAAAAIQAeyS79xQAAAN4AAAAP&#10;AAAAAAAAAAAAAAAAAAcCAABkcnMvZG93bnJldi54bWxQSwUGAAAAAAMAAwC3AAAA+QIAAAAA&#10;" filled="f" stroked="f">
                  <v:textbox inset="0,0,0,0">
                    <w:txbxContent>
                      <w:p w14:paraId="4E939CB8" w14:textId="77777777" w:rsidR="00B32EF2" w:rsidRDefault="00000000">
                        <w:r>
                          <w:rPr>
                            <w:rFonts w:ascii="Arial" w:eastAsia="Arial" w:hAnsi="Arial" w:cs="Arial"/>
                            <w:b/>
                            <w:sz w:val="18"/>
                          </w:rPr>
                          <w:t>Articolo 101</w:t>
                        </w:r>
                      </w:p>
                    </w:txbxContent>
                  </v:textbox>
                </v:rect>
                <v:rect id="Rectangle 200154" o:spid="_x0000_s2149" style="position:absolute;left:22703;top:41466;width:232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f0xwAAAN8AAAAPAAAAZHJzL2Rvd25yZXYueG1sRI9PawIx&#10;FMTvgt8hPKE3zSqtyNasFEW6By+1Ch4fm7d/2s1L2ER366dvCkKPw8z8hllvBtOKG3W+saxgPktA&#10;EBdWN1wpOH3upysQPiBrbC2Tgh/ysMnGozWm2vb8QbdjqESEsE9RQR2CS6X0RU0G/cw64uiVtjMY&#10;ouwqqTvsI9y0cpEkS2mw4bhQo6NtTcX38WoUXHbs8n0vi/K+dYevfNW+X09npZ4mw9sriEBD+A8/&#10;2rlWEInzl2f4+xO/gMx+AQAA//8DAFBLAQItABQABgAIAAAAIQDb4fbL7gAAAIUBAAATAAAAAAAA&#10;AAAAAAAAAAAAAABbQ29udGVudF9UeXBlc10ueG1sUEsBAi0AFAAGAAgAAAAhAFr0LFu/AAAAFQEA&#10;AAsAAAAAAAAAAAAAAAAAHwEAAF9yZWxzLy5yZWxzUEsBAi0AFAAGAAgAAAAhAEUH5/THAAAA3wAA&#10;AA8AAAAAAAAAAAAAAAAABwIAAGRycy9kb3ducmV2LnhtbFBLBQYAAAAAAwADALcAAAD7AgAAAAA=&#10;" filled="f" stroked="f">
                  <v:textbox inset="0,0,0,0">
                    <w:txbxContent>
                      <w:p w14:paraId="07D3300E" w14:textId="77777777" w:rsidR="00B32EF2" w:rsidRDefault="00000000">
                        <w:r>
                          <w:rPr>
                            <w:rFonts w:ascii="Arial" w:eastAsia="Arial" w:hAnsi="Arial" w:cs="Arial"/>
                            <w:i/>
                            <w:sz w:val="18"/>
                          </w:rPr>
                          <w:t>(</w:t>
                        </w:r>
                      </w:p>
                    </w:txbxContent>
                  </v:textbox>
                </v:rect>
                <v:rect id="Rectangle 200155" o:spid="_x0000_s2150" style="position:absolute;left:-7827;top:41466;width:232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0JvxwAAAN8AAAAPAAAAZHJzL2Rvd25yZXYueG1sRI9Ba8JA&#10;FITvgv9heUJvurEQCdFVikWaQy+mFnp8ZJ9JbPbtkl2TtL++Wyj0OMzMN8zuMJlODNT71rKC9SoB&#10;QVxZ3XKt4PJ2WmYgfEDW2FkmBV/k4bCfz3aYazvymYYy1CJC2OeooAnB5VL6qiGDfmUdcfSutjcY&#10;ouxrqXscI9x08jFJNtJgy3GhQUfHhqrP8m4UfDyzK06jrK7fR/d6K7Lu5X55V+phMT1tQQSawn/4&#10;r11oBZG4TlP4/RO/gNz/AAAA//8DAFBLAQItABQABgAIAAAAIQDb4fbL7gAAAIUBAAATAAAAAAAA&#10;AAAAAAAAAAAAAABbQ29udGVudF9UeXBlc10ueG1sUEsBAi0AFAAGAAgAAAAhAFr0LFu/AAAAFQEA&#10;AAsAAAAAAAAAAAAAAAAAHwEAAF9yZWxzLy5yZWxzUEsBAi0AFAAGAAgAAAAhACpLQm/HAAAA3wAA&#10;AA8AAAAAAAAAAAAAAAAABwIAAGRycy9kb3ducmV2LnhtbFBLBQYAAAAAAwADALcAAAD7AgAAAAA=&#10;" filled="f" stroked="f">
                  <v:textbox inset="0,0,0,0">
                    <w:txbxContent>
                      <w:p w14:paraId="7EE06AF1" w14:textId="77777777" w:rsidR="00B32EF2" w:rsidRDefault="00000000">
                        <w:r>
                          <w:rPr>
                            <w:rFonts w:ascii="Arial" w:eastAsia="Arial" w:hAnsi="Arial" w:cs="Arial"/>
                            <w:i/>
                            <w:sz w:val="18"/>
                          </w:rPr>
                          <w:t>546/92)</w:t>
                        </w:r>
                      </w:p>
                    </w:txbxContent>
                  </v:textbox>
                </v:rect>
                <v:rect id="Rectangle 200158" o:spid="_x0000_s2151" style="position:absolute;left:9268;top:41466;width:232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u3xxwAAAN8AAAAPAAAAZHJzL2Rvd25yZXYueG1sRI/BasJA&#10;EIbvhb7DMgVvdWNBkdRVxCLm0EvVQo9DdkxSs7NLdjWxT985CB6Hf/5v5lusBteqK3Wx8WxgMs5A&#10;EZfeNlwZOB62r3NQMSFbbD2TgRtFWC2fnxaYW9/zF133qVIC4ZijgTqlkGsdy5ocxrEPxJKdfOcw&#10;ydhV2nbYC9y1+i3LZtphw3KhxkCbmsrz/uIM/HxwKLa9Lk9/m/D5W8zb3eX4bczoZVi/g0o0pMfy&#10;vV1YA0KcTOVh8REX0Mt/AAAA//8DAFBLAQItABQABgAIAAAAIQDb4fbL7gAAAIUBAAATAAAAAAAA&#10;AAAAAAAAAAAAAABbQ29udGVudF9UeXBlc10ueG1sUEsBAi0AFAAGAAgAAAAhAFr0LFu/AAAAFQEA&#10;AAsAAAAAAAAAAAAAAAAAHwEAAF9yZWxzLy5yZWxzUEsBAi0AFAAGAAgAAAAhAMRK7fHHAAAA3wAA&#10;AA8AAAAAAAAAAAAAAAAABwIAAGRycy9kb3ducmV2LnhtbFBLBQYAAAAAAwADALcAAAD7AgAAAAA=&#10;" filled="f" stroked="f">
                  <v:textbox inset="0,0,0,0">
                    <w:txbxContent>
                      <w:p w14:paraId="27297348" w14:textId="77777777" w:rsidR="00B32EF2" w:rsidRDefault="00000000">
                        <w:r>
                          <w:rPr>
                            <w:rFonts w:ascii="Arial" w:eastAsia="Arial" w:hAnsi="Arial" w:cs="Arial"/>
                            <w:i/>
                            <w:sz w:val="18"/>
                          </w:rPr>
                          <w:t xml:space="preserve">articolo 48-bis.1 D.lgs. n. </w:t>
                        </w:r>
                      </w:p>
                    </w:txbxContent>
                  </v:textbox>
                </v:rect>
                <v:rect id="Rectangle 15705" o:spid="_x0000_s2152" style="position:absolute;left:-5937;top:40233;width:414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MSxAAAAN4AAAAPAAAAZHJzL2Rvd25yZXYueG1sRE9Li8Iw&#10;EL4L+x/CLHjTdAUfVKOIi9jDXnRd2OPQjG21mYQm2rq/3gjC3ubje85i1Zla3KjxlWUFH8MEBHFu&#10;dcWFguP3djAD4QOyxtoyKbiTh9XyrbfAVNuW93Q7hELEEPYpKihDcKmUPi/JoB9aRxy5k20Mhgib&#10;QuoG2xhuajlKkok0WHFsKNHRpqT8crgaBb+f7LJtK/PT38Z9nbNZvbsef5Tqv3frOYhAXfgXv9yZ&#10;jvPH02QMz3fiDXL5AAAA//8DAFBLAQItABQABgAIAAAAIQDb4fbL7gAAAIUBAAATAAAAAAAAAAAA&#10;AAAAAAAAAABbQ29udGVudF9UeXBlc10ueG1sUEsBAi0AFAAGAAgAAAAhAFr0LFu/AAAAFQEAAAsA&#10;AAAAAAAAAAAAAAAAHwEAAF9yZWxzLy5yZWxzUEsBAi0AFAAGAAgAAAAhAP5sExLEAAAA3gAAAA8A&#10;AAAAAAAAAAAAAAAABwIAAGRycy9kb3ducmV2LnhtbFBLBQYAAAAAAwADALcAAAD4AgAAAAA=&#10;" filled="f" stroked="f">
                  <v:textbox inset="0,0,0,0">
                    <w:txbxContent>
                      <w:p w14:paraId="17B06C61" w14:textId="77777777" w:rsidR="00B32EF2" w:rsidRDefault="00000000">
                        <w:r>
                          <w:rPr>
                            <w:rFonts w:ascii="Arial" w:eastAsia="Arial" w:hAnsi="Arial" w:cs="Arial"/>
                            <w:b/>
                            <w:sz w:val="18"/>
                          </w:rPr>
                          <w:t xml:space="preserve">Conciliazione proposta dalla corte di giustizia tributaria </w:t>
                        </w:r>
                      </w:p>
                    </w:txbxContent>
                  </v:textbox>
                </v:rect>
                <v:rect id="Rectangle 200151" o:spid="_x0000_s2153" style="position:absolute;left:26110;top:390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ERsxwAAAN8AAAAPAAAAZHJzL2Rvd25yZXYueG1sRI/NasMw&#10;EITvhb6D2EBujexCSnCjhJBi6kMvzQ/0uFgb24m1EpYcu3n6qFDIcZiZb5jlejStuFLnG8sK0lkC&#10;gri0uuFKwWGfvyxA+ICssbVMCn7Jw3r1/LTETNuBv+m6C5WIEPYZKqhDcJmUvqzJoJ9ZRxy9k+0M&#10;hii7SuoOhwg3rXxNkjdpsOG4UKOjbU3lZdcbBT8f7Ip8kOXptnVf52LRfvaHo1LTybh5BxFoDI/w&#10;f7vQCiIxnafw9yd+Abm6AwAA//8DAFBLAQItABQABgAIAAAAIQDb4fbL7gAAAIUBAAATAAAAAAAA&#10;AAAAAAAAAAAAAABbQ29udGVudF9UeXBlc10ueG1sUEsBAi0AFAAGAAgAAAAhAFr0LFu/AAAAFQEA&#10;AAsAAAAAAAAAAAAAAAAAHwEAAF9yZWxzLy5yZWxzUEsBAi0AFAAGAAgAAAAhAFVwRGzHAAAA3wAA&#10;AA8AAAAAAAAAAAAAAAAABwIAAGRycy9kb3ducmV2LnhtbFBLBQYAAAAAAwADALcAAAD7AgAAAAA=&#10;" filled="f" stroked="f">
                  <v:textbox inset="0,0,0,0">
                    <w:txbxContent>
                      <w:p w14:paraId="6F38337E" w14:textId="77777777" w:rsidR="00B32EF2" w:rsidRDefault="00000000">
                        <w:r>
                          <w:rPr>
                            <w:rFonts w:ascii="Arial" w:eastAsia="Arial" w:hAnsi="Arial" w:cs="Arial"/>
                            <w:sz w:val="18"/>
                          </w:rPr>
                          <w:t>1</w:t>
                        </w:r>
                      </w:p>
                    </w:txbxContent>
                  </v:textbox>
                </v:rect>
                <v:rect id="Rectangle 200152" o:spid="_x0000_s2154" style="position:absolute;left:-13763;top:390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tobxgAAAN8AAAAPAAAAZHJzL2Rvd25yZXYueG1sRI9Pi8Iw&#10;FMTvC36H8IS9ranCilSjLC6yPXjxH3h8NM+2bvMSmmirn94IgsdhZn7DzBadqcWVGl9ZVjAcJCCI&#10;c6srLhTsd6uvCQgfkDXWlknBjTws5r2PGabatryh6zYUIkLYp6igDMGlUvq8JIN+YB1x9E62MRii&#10;bAqpG2wj3NRylCRjabDiuFCio2VJ+f/2YhQcf9llq1bmp/vSrc/ZpP677A9Kffa7nymIQF14h1/t&#10;TCuIxOH3CJ5/4heQ8wcAAAD//wMAUEsBAi0AFAAGAAgAAAAhANvh9svuAAAAhQEAABMAAAAAAAAA&#10;AAAAAAAAAAAAAFtDb250ZW50X1R5cGVzXS54bWxQSwECLQAUAAYACAAAACEAWvQsW78AAAAVAQAA&#10;CwAAAAAAAAAAAAAAAAAfAQAAX3JlbHMvLnJlbHNQSwECLQAUAAYACAAAACEApaLaG8YAAADfAAAA&#10;DwAAAAAAAAAAAAAAAAAHAgAAZHJzL2Rvd25yZXYueG1sUEsFBgAAAAADAAMAtwAAAPoCAAAAAA==&#10;" filled="f" stroked="f">
                  <v:textbox inset="0,0,0,0">
                    <w:txbxContent>
                      <w:p w14:paraId="0A598598" w14:textId="77777777" w:rsidR="00B32EF2" w:rsidRDefault="00000000">
                        <w:r>
                          <w:rPr>
                            <w:rFonts w:ascii="Arial" w:eastAsia="Arial" w:hAnsi="Arial" w:cs="Arial"/>
                            <w:sz w:val="18"/>
                          </w:rPr>
                          <w:t xml:space="preserve">. La corte di giustizia tributaria, ove possibile, può formulare alle parti una </w:t>
                        </w:r>
                      </w:p>
                    </w:txbxContent>
                  </v:textbox>
                </v:rect>
                <v:rect id="Rectangle 15707" o:spid="_x0000_s2155" style="position:absolute;left:-13171;top:37767;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ij+xQAAAN4AAAAPAAAAZHJzL2Rvd25yZXYueG1sRE9LawIx&#10;EL4L/Q9hCt4024JVVrNSLNI99KK10OOwmX3YzSRsorv6640g9DYf33NW68G04kydbywreJkmIIgL&#10;qxuuFBy+t5MFCB+QNbaWScGFPKyzp9EKU2173tF5HyoRQ9inqKAOwaVS+qImg35qHXHkStsZDBF2&#10;ldQd9jHctPI1Sd6kwYZjQ42ONjUVf/uTUfD7wS7f9rIorxv3dcwX7efp8KPU+Hl4X4IINIR/8cOd&#10;6zh/Nk/mcH8n3iCzGwAAAP//AwBQSwECLQAUAAYACAAAACEA2+H2y+4AAACFAQAAEwAAAAAAAAAA&#10;AAAAAAAAAAAAW0NvbnRlbnRfVHlwZXNdLnhtbFBLAQItABQABgAIAAAAIQBa9CxbvwAAABUBAAAL&#10;AAAAAAAAAAAAAAAAAB8BAABfcmVscy8ucmVsc1BLAQItABQABgAIAAAAIQBh8ij+xQAAAN4AAAAP&#10;AAAAAAAAAAAAAAAAAAcCAABkcnMvZG93bnJldi54bWxQSwUGAAAAAAMAAwC3AAAA+QIAAAAA&#10;" filled="f" stroked="f">
                  <v:textbox inset="0,0,0,0">
                    <w:txbxContent>
                      <w:p w14:paraId="2EDA8F3E" w14:textId="77777777" w:rsidR="00B32EF2" w:rsidRDefault="00000000">
                        <w:r>
                          <w:rPr>
                            <w:rFonts w:ascii="Arial" w:eastAsia="Arial" w:hAnsi="Arial" w:cs="Arial"/>
                            <w:sz w:val="18"/>
                          </w:rPr>
                          <w:t xml:space="preserve">proposta conciliativa, avuto riguardo all’oggetto del giudizio e ai precedenti </w:t>
                        </w:r>
                      </w:p>
                    </w:txbxContent>
                  </v:textbox>
                </v:rect>
                <v:rect id="Rectangle 15708" o:spid="_x0000_s2156" style="position:absolute;left:28326;top:36533;width:115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byMxwAAAN4AAAAPAAAAZHJzL2Rvd25yZXYueG1sRI9Ba8JA&#10;EIXvhf6HZQre6sZCraSuIhZpDr1oLfQ4ZMckmp1dsquJ/fXOQehthvfmvW/my8G16kJdbDwbmIwz&#10;UMSltw1XBvbfm+cZqJiQLbaeycCVIiwXjw9zzK3veUuXXaqUhHDM0UCdUsi1jmVNDuPYB2LRDr5z&#10;mGTtKm077CXctfoly6baYcPSUGOgdU3laXd2Bn4/OBSbXpeHv3X4Ohaz9vO8/zFm9DSs3kElGtK/&#10;+X5dWMF/fcuEV96RGfTiBgAA//8DAFBLAQItABQABgAIAAAAIQDb4fbL7gAAAIUBAAATAAAAAAAA&#10;AAAAAAAAAAAAAABbQ29udGVudF9UeXBlc10ueG1sUEsBAi0AFAAGAAgAAAAhAFr0LFu/AAAAFQEA&#10;AAsAAAAAAAAAAAAAAAAAHwEAAF9yZWxzLy5yZWxzUEsBAi0AFAAGAAgAAAAhABBtvIzHAAAA3gAA&#10;AA8AAAAAAAAAAAAAAAAABwIAAGRycy9kb3ducmV2LnhtbFBLBQYAAAAAAwADALcAAAD7AgAAAAA=&#10;" filled="f" stroked="f">
                  <v:textbox inset="0,0,0,0">
                    <w:txbxContent>
                      <w:p w14:paraId="0D866C2F" w14:textId="77777777" w:rsidR="00B32EF2" w:rsidRDefault="00000000">
                        <w:r>
                          <w:rPr>
                            <w:rFonts w:ascii="Arial" w:eastAsia="Arial" w:hAnsi="Arial" w:cs="Arial"/>
                            <w:sz w:val="18"/>
                          </w:rPr>
                          <w:t>giurisprudenziali.</w:t>
                        </w:r>
                      </w:p>
                    </w:txbxContent>
                  </v:textbox>
                </v:rect>
                <v:rect id="Rectangle 200149" o:spid="_x0000_s2157" style="position:absolute;left:-13817;top:353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963xwAAAN8AAAAPAAAAZHJzL2Rvd25yZXYueG1sRI9Pa8JA&#10;FMTvhX6H5RV6041FikY3IhYxh16qKfT4yL780ezbJbuatJ++WxB6HGbmN8x6M5pO3Kj3rWUFs2kC&#10;gri0uuVaQXHaTxYgfEDW2FkmBd/kYZM9Pqwx1XbgD7odQy0ihH2KCpoQXCqlLxsy6KfWEUevsr3B&#10;EGVfS93jEOGmky9J8ioNthwXGnS0a6i8HK9Gwdcbu3w/yLL62bn3c77oDtfiU6nnp3G7AhFoDP/h&#10;ezvXCiJxNl/C35/4BWT2CwAA//8DAFBLAQItABQABgAIAAAAIQDb4fbL7gAAAIUBAAATAAAAAAAA&#10;AAAAAAAAAAAAAABbQ29udGVudF9UeXBlc10ueG1sUEsBAi0AFAAGAAgAAAAhAFr0LFu/AAAAFQEA&#10;AAsAAAAAAAAAAAAAAAAAHwEAAF9yZWxzLy5yZWxzUEsBAi0AFAAGAAgAAAAhAC7f3rfHAAAA3wAA&#10;AA8AAAAAAAAAAAAAAAAABwIAAGRycy9kb3ducmV2LnhtbFBLBQYAAAAAAwADALcAAAD7AgAAAAA=&#10;" filled="f" stroked="f">
                  <v:textbox inset="0,0,0,0">
                    <w:txbxContent>
                      <w:p w14:paraId="4DA3BD98" w14:textId="77777777" w:rsidR="00B32EF2" w:rsidRDefault="00000000">
                        <w:r>
                          <w:rPr>
                            <w:rFonts w:ascii="Arial" w:eastAsia="Arial" w:hAnsi="Arial" w:cs="Arial"/>
                            <w:sz w:val="18"/>
                          </w:rPr>
                          <w:t xml:space="preserve">. La proposta può essere formulata in udienza o fuori udienza. Se è formulata </w:t>
                        </w:r>
                      </w:p>
                    </w:txbxContent>
                  </v:textbox>
                </v:rect>
                <v:rect id="Rectangle 200148" o:spid="_x0000_s2158" style="position:absolute;left:26110;top:353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3ssxwAAAN8AAAAPAAAAZHJzL2Rvd25yZXYueG1sRI/BasJA&#10;EIbvhb7DMgVvdWMRkdRVxCLm0EvVQo9DdkxSs7NLdjWxT985CB6Hf/5v5lusBteqK3Wx8WxgMs5A&#10;EZfeNlwZOB62r3NQMSFbbD2TgRtFWC2fnxaYW9/zF133qVIC4ZijgTqlkGsdy5ocxrEPxJKdfOcw&#10;ydhV2nbYC9y1+i3LZtphw3KhxkCbmsrz/uIM/HxwKLa9Lk9/m/D5W8zb3eX4bczoZVi/g0o0pMfy&#10;vV1YA0KcTOVh8REX0Mt/AAAA//8DAFBLAQItABQABgAIAAAAIQDb4fbL7gAAAIUBAAATAAAAAAAA&#10;AAAAAAAAAAAAAABbQ29udGVudF9UeXBlc10ueG1sUEsBAi0AFAAGAAgAAAAhAFr0LFu/AAAAFQEA&#10;AAsAAAAAAAAAAAAAAAAAHwEAAF9yZWxzLy5yZWxzUEsBAi0AFAAGAAgAAAAhAEGTeyzHAAAA3wAA&#10;AA8AAAAAAAAAAAAAAAAABwIAAGRycy9kb3ducmV2LnhtbFBLBQYAAAAAAwADALcAAAD7AgAAAAA=&#10;" filled="f" stroked="f">
                  <v:textbox inset="0,0,0,0">
                    <w:txbxContent>
                      <w:p w14:paraId="1EEA5180" w14:textId="77777777" w:rsidR="00B32EF2" w:rsidRDefault="00000000">
                        <w:r>
                          <w:rPr>
                            <w:rFonts w:ascii="Arial" w:eastAsia="Arial" w:hAnsi="Arial" w:cs="Arial"/>
                            <w:sz w:val="18"/>
                          </w:rPr>
                          <w:t>2</w:t>
                        </w:r>
                      </w:p>
                    </w:txbxContent>
                  </v:textbox>
                </v:rect>
                <v:rect id="Rectangle 15710" o:spid="_x0000_s2159" style="position:absolute;left:-13171;top:340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iZXyAAAAN4AAAAPAAAAZHJzL2Rvd25yZXYueG1sRI9Pa8JA&#10;EMXvhX6HZQq91Y2FWomuIhZpDr34p9DjkB2TaHZ2ya4m7ad3DkJvM8yb995vvhxcq67UxcazgfEo&#10;A0VcettwZeCw37xMQcWEbLH1TAZ+KcJy8fgwx9z6nrd03aVKiQnHHA3UKYVc61jW5DCOfCCW29F3&#10;DpOsXaVth72Yu1a/ZtlEO2xYEmoMtK6pPO8uzsDPB4di0+vy+LcOX6di2n5eDt/GPD8NqxmoREP6&#10;F9+/Cyv1397HAiA4MoNe3AAAAP//AwBQSwECLQAUAAYACAAAACEA2+H2y+4AAACFAQAAEwAAAAAA&#10;AAAAAAAAAAAAAAAAW0NvbnRlbnRfVHlwZXNdLnhtbFBLAQItABQABgAIAAAAIQBa9CxbvwAAABUB&#10;AAALAAAAAAAAAAAAAAAAAB8BAABfcmVscy8ucmVsc1BLAQItABQABgAIAAAAIQBrwiZXyAAAAN4A&#10;AAAPAAAAAAAAAAAAAAAAAAcCAABkcnMvZG93bnJldi54bWxQSwUGAAAAAAMAAwC3AAAA/AIAAAAA&#10;" filled="f" stroked="f">
                  <v:textbox inset="0,0,0,0">
                    <w:txbxContent>
                      <w:p w14:paraId="6449DA9C" w14:textId="77777777" w:rsidR="00B32EF2" w:rsidRDefault="00000000">
                        <w:r>
                          <w:rPr>
                            <w:rFonts w:ascii="Arial" w:eastAsia="Arial" w:hAnsi="Arial" w:cs="Arial"/>
                            <w:sz w:val="18"/>
                          </w:rPr>
                          <w:t xml:space="preserve">fuori udienza, è comunicata alle parti. Se è formulata in udienza, è comunicata </w:t>
                        </w:r>
                      </w:p>
                    </w:txbxContent>
                  </v:textbox>
                </v:rect>
                <v:rect id="Rectangle 15711" o:spid="_x0000_s2160" style="position:absolute;left:-3792;top:32833;width:437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oPMxAAAAN4AAAAPAAAAZHJzL2Rvd25yZXYueG1sRE9Na8JA&#10;EL0X/A/LCN7qJkJbia4iijQHL7UKHofsmESzs0t2NdFf3y0UepvH+5z5sjeNuFPra8sK0nECgriw&#10;uuZSweF7+zoF4QOyxsYyKXiQh+Vi8DLHTNuOv+i+D6WIIewzVFCF4DIpfVGRQT+2jjhyZ9saDBG2&#10;pdQtdjHcNHKSJO/SYM2xoUJH64qK6/5mFJw27PJtJ4vzc+12l3zafN4OR6VGw341AxGoD//iP3eu&#10;4/y3jzSF33fiDXLxAwAA//8DAFBLAQItABQABgAIAAAAIQDb4fbL7gAAAIUBAAATAAAAAAAAAAAA&#10;AAAAAAAAAABbQ29udGVudF9UeXBlc10ueG1sUEsBAi0AFAAGAAgAAAAhAFr0LFu/AAAAFQEAAAsA&#10;AAAAAAAAAAAAAAAAHwEAAF9yZWxzLy5yZWxzUEsBAi0AFAAGAAgAAAAhAASOg8zEAAAA3gAAAA8A&#10;AAAAAAAAAAAAAAAABwIAAGRycy9kb3ducmV2LnhtbFBLBQYAAAAAAwADALcAAAD4AgAAAAA=&#10;" filled="f" stroked="f">
                  <v:textbox inset="0,0,0,0">
                    <w:txbxContent>
                      <w:p w14:paraId="463A7C91" w14:textId="77777777" w:rsidR="00B32EF2" w:rsidRDefault="00000000">
                        <w:r>
                          <w:rPr>
                            <w:rFonts w:ascii="Arial" w:eastAsia="Arial" w:hAnsi="Arial" w:cs="Arial"/>
                            <w:sz w:val="18"/>
                          </w:rPr>
                          <w:t xml:space="preserve">alle parti non comparse con la fissazione di una nuova udienza. </w:t>
                        </w:r>
                      </w:p>
                    </w:txbxContent>
                  </v:textbox>
                </v:rect>
                <v:rect id="Rectangle 200146" o:spid="_x0000_s2161" style="position:absolute;left:26110;top:316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ErFxwAAAN8AAAAPAAAAZHJzL2Rvd25yZXYueG1sRI9Ba8JA&#10;FITvhf6H5RV6qxtLCSF1FbFIc/BiaqHHR/aZpGbfLtk1Sf31riD0OMzMN8xiNZlODNT71rKC+SwB&#10;QVxZ3XKt4PC1fclA+ICssbNMCv7Iw2r5+LDAXNuR9zSUoRYRwj5HBU0ILpfSVw0Z9DPriKN3tL3B&#10;EGVfS93jGOGmk69JkkqDLceFBh1tGqpO5dko+PlgV2xHWR0vG7f7LbLu83z4Vur5aVq/gwg0hf/w&#10;vV1oBZE4f0vh9id+Abm8AgAA//8DAFBLAQItABQABgAIAAAAIQDb4fbL7gAAAIUBAAATAAAAAAAA&#10;AAAAAAAAAAAAAABbQ29udGVudF9UeXBlc10ueG1sUEsBAi0AFAAGAAgAAAAhAFr0LFu/AAAAFQEA&#10;AAsAAAAAAAAAAAAAAAAAHwEAAF9yZWxzLy5yZWxzUEsBAi0AFAAGAAgAAAAhAF9ASsXHAAAA3wAA&#10;AA8AAAAAAAAAAAAAAAAABwIAAGRycy9kb3ducmV2LnhtbFBLBQYAAAAAAwADALcAAAD7AgAAAAA=&#10;" filled="f" stroked="f">
                  <v:textbox inset="0,0,0,0">
                    <w:txbxContent>
                      <w:p w14:paraId="6D6D9007" w14:textId="77777777" w:rsidR="00B32EF2" w:rsidRDefault="00000000">
                        <w:r>
                          <w:rPr>
                            <w:rFonts w:ascii="Arial" w:eastAsia="Arial" w:hAnsi="Arial" w:cs="Arial"/>
                            <w:sz w:val="18"/>
                          </w:rPr>
                          <w:t>3</w:t>
                        </w:r>
                      </w:p>
                    </w:txbxContent>
                  </v:textbox>
                </v:rect>
                <v:rect id="Rectangle 200147" o:spid="_x0000_s2162" style="position:absolute;left:-13817;top:316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O9exwAAAN8AAAAPAAAAZHJzL2Rvd25yZXYueG1sRI9PawIx&#10;FMTvgt8hPKE3zSqlytasFEW6By+1Ch4fm7d/2s1L2ER366dvCkKPw8z8hllvBtOKG3W+saxgPktA&#10;EBdWN1wpOH3upysQPiBrbC2Tgh/ysMnGozWm2vb8QbdjqESEsE9RQR2CS6X0RU0G/cw64uiVtjMY&#10;ouwqqTvsI9y0cpEkL9Jgw3GhRkfbmorv49UouOzY5fteFuV96w5f+ap9v57OSj1NhrdXEIGG8B9+&#10;tHOtIBLnz0v4+xO/gMx+AQAA//8DAFBLAQItABQABgAIAAAAIQDb4fbL7gAAAIUBAAATAAAAAAAA&#10;AAAAAAAAAAAAAABbQ29udGVudF9UeXBlc10ueG1sUEsBAi0AFAAGAAgAAAAhAFr0LFu/AAAAFQEA&#10;AAsAAAAAAAAAAAAAAAAAHwEAAF9yZWxzLy5yZWxzUEsBAi0AFAAGAAgAAAAhADAM717HAAAA3wAA&#10;AA8AAAAAAAAAAAAAAAAABwIAAGRycy9kb3ducmV2LnhtbFBLBQYAAAAAAwADALcAAAD7AgAAAAA=&#10;" filled="f" stroked="f">
                  <v:textbox inset="0,0,0,0">
                    <w:txbxContent>
                      <w:p w14:paraId="40A47CB0" w14:textId="77777777" w:rsidR="00B32EF2" w:rsidRDefault="00000000">
                        <w:r>
                          <w:rPr>
                            <w:rFonts w:ascii="Arial" w:eastAsia="Arial" w:hAnsi="Arial" w:cs="Arial"/>
                            <w:sz w:val="18"/>
                          </w:rPr>
                          <w:t xml:space="preserve">. La causa, se richiesto da una delle parti, può essere rinviata alla successiva </w:t>
                        </w:r>
                      </w:p>
                    </w:txbxContent>
                  </v:textbox>
                </v:rect>
                <v:rect id="Rectangle 15713" o:spid="_x0000_s2163" style="position:absolute;left:-13171;top:303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ggxQAAAN4AAAAPAAAAZHJzL2Rvd25yZXYueG1sRE9La8JA&#10;EL4X/A/LCN7qxkpVoquIRZpDL/UBHofsmESzs0t2NWl/fbcgeJuP7zmLVWdqcafGV5YVjIYJCOLc&#10;6ooLBYf99nUGwgdkjbVlUvBDHlbL3ssCU21b/qb7LhQihrBPUUEZgkul9HlJBv3QOuLInW1jMETY&#10;FFI32MZwU8u3JJlIgxXHhhIdbUrKr7ubUXD6YJdtW5mffzfu65LN6s/b4ajUoN+t5yACdeEpfrgz&#10;Hee/T0dj+H8n3iCXfwAAAP//AwBQSwECLQAUAAYACAAAACEA2+H2y+4AAACFAQAAEwAAAAAAAAAA&#10;AAAAAAAAAAAAW0NvbnRlbnRfVHlwZXNdLnhtbFBLAQItABQABgAIAAAAIQBa9CxbvwAAABUBAAAL&#10;AAAAAAAAAAAAAAAAAB8BAABfcmVscy8ucmVsc1BLAQItABQABgAIAAAAIQCbELggxQAAAN4AAAAP&#10;AAAAAAAAAAAAAAAAAAcCAABkcnMvZG93bnJldi54bWxQSwUGAAAAAAMAAwC3AAAA+QIAAAAA&#10;" filled="f" stroked="f">
                  <v:textbox inset="0,0,0,0">
                    <w:txbxContent>
                      <w:p w14:paraId="01C23BC0" w14:textId="77777777" w:rsidR="00B32EF2" w:rsidRDefault="00000000">
                        <w:r>
                          <w:rPr>
                            <w:rFonts w:ascii="Arial" w:eastAsia="Arial" w:hAnsi="Arial" w:cs="Arial"/>
                            <w:sz w:val="18"/>
                          </w:rPr>
                          <w:t xml:space="preserve">udienza per il perfezionamento dell’accordo conciliativo. Ove l’accordo non si </w:t>
                        </w:r>
                      </w:p>
                    </w:txbxContent>
                  </v:textbox>
                </v:rect>
                <v:rect id="Rectangle 15714" o:spid="_x0000_s2164" style="position:absolute;left:-8701;top:29133;width:486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BUxQAAAN4AAAAPAAAAZHJzL2Rvd25yZXYueG1sRE9La8JA&#10;EL4X/A/LCN7qxmJVoquIRZpDL/UBHofsmESzs0t2NWl/fbcgeJuP7zmLVWdqcafGV5YVjIYJCOLc&#10;6ooLBYf99nUGwgdkjbVlUvBDHlbL3ssCU21b/qb7LhQihrBPUUEZgkul9HlJBv3QOuLInW1jMETY&#10;FFI32MZwU8u3JJlIgxXHhhIdbUrKr7ubUXD6YJdtW5mffzfu65LN6s/b4ajUoN+t5yACdeEpfrgz&#10;Hee/T0dj+H8n3iCXfwAAAP//AwBQSwECLQAUAAYACAAAACEA2+H2y+4AAACFAQAAEwAAAAAAAAAA&#10;AAAAAAAAAAAAW0NvbnRlbnRfVHlwZXNdLnhtbFBLAQItABQABgAIAAAAIQBa9CxbvwAAABUBAAAL&#10;AAAAAAAAAAAAAAAAAB8BAABfcmVscy8ucmVsc1BLAQItABQABgAIAAAAIQAU+SBUxQAAAN4AAAAP&#10;AAAAAAAAAAAAAAAAAAcCAABkcnMvZG93bnJldi54bWxQSwUGAAAAAAMAAwC3AAAA+QIAAAAA&#10;" filled="f" stroked="f">
                  <v:textbox inset="0,0,0,0">
                    <w:txbxContent>
                      <w:p w14:paraId="6D683386" w14:textId="77777777" w:rsidR="00B32EF2" w:rsidRDefault="00000000">
                        <w:r>
                          <w:rPr>
                            <w:rFonts w:ascii="Arial" w:eastAsia="Arial" w:hAnsi="Arial" w:cs="Arial"/>
                            <w:sz w:val="18"/>
                          </w:rPr>
                          <w:t xml:space="preserve">perfezioni, si procede nella stessa udienza alla trattazione della causa. </w:t>
                        </w:r>
                      </w:p>
                    </w:txbxContent>
                  </v:textbox>
                </v:rect>
                <v:rect id="Rectangle 200144" o:spid="_x0000_s2165" style="position:absolute;left:26367;top:27900;width:520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nEpxwAAAN8AAAAPAAAAZHJzL2Rvd25yZXYueG1sRI9Ba8JA&#10;FITvgv9heUJvurEECdFVikWaQy+mFnp8ZJ9JbPbtkl2TtL++Wyj0OMzMN8zuMJlODNT71rKC9SoB&#10;QVxZ3XKt4PJ2WmYgfEDW2FkmBV/k4bCfz3aYazvymYYy1CJC2OeooAnB5VL6qiGDfmUdcfSutjcY&#10;ouxrqXscI9x08jFJNtJgy3GhQUfHhqrP8m4UfDyzK06jrK7fR/d6K7Lu5X55V+phMT1tQQSawn/4&#10;r11oBZG4TlP4/RO/gNz/AAAA//8DAFBLAQItABQABgAIAAAAIQDb4fbL7gAAAIUBAAATAAAAAAAA&#10;AAAAAAAAAAAAAABbQ29udGVudF9UeXBlc10ueG1sUEsBAi0AFAAGAAgAAAAhAFr0LFu/AAAAFQEA&#10;AAsAAAAAAAAAAAAAAAAAHwEAAF9yZWxzLy5yZWxzUEsBAi0AFAAGAAgAAAAhAMDecSnHAAAA3wAA&#10;AA8AAAAAAAAAAAAAAAAABwIAAGRycy9kb3ducmV2LnhtbFBLBQYAAAAAAwADALcAAAD7AgAAAAA=&#10;" filled="f" stroked="f">
                  <v:textbox inset="0,0,0,0">
                    <w:txbxContent>
                      <w:p w14:paraId="3DD7AF06" w14:textId="77777777" w:rsidR="00B32EF2" w:rsidRDefault="00000000">
                        <w:r>
                          <w:rPr>
                            <w:rFonts w:ascii="Arial" w:eastAsia="Arial" w:hAnsi="Arial" w:cs="Arial"/>
                            <w:sz w:val="18"/>
                          </w:rPr>
                          <w:t>4</w:t>
                        </w:r>
                      </w:p>
                    </w:txbxContent>
                  </v:textbox>
                </v:rect>
                <v:rect id="Rectangle 200145" o:spid="_x0000_s2166" style="position:absolute;left:-12833;top:27900;width:520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tSyxwAAAN8AAAAPAAAAZHJzL2Rvd25yZXYueG1sRI9PawIx&#10;FMTvgt8hPKE3zSqtyNasFEW6By+1Ch4fm7d/2s1L2ER366dvCkKPw8z8hllvBtOKG3W+saxgPktA&#10;EBdWN1wpOH3upysQPiBrbC2Tgh/ysMnGozWm2vb8QbdjqESEsE9RQR2CS6X0RU0G/cw64uiVtjMY&#10;ouwqqTvsI9y0cpEkS2mw4bhQo6NtTcX38WoUXHbs8n0vi/K+dYevfNW+X09npZ4mw9sriEBD+A8/&#10;2rlWEInz5xf4+xO/gMx+AQAA//8DAFBLAQItABQABgAIAAAAIQDb4fbL7gAAAIUBAAATAAAAAAAA&#10;AAAAAAAAAAAAAABbQ29udGVudF9UeXBlc10ueG1sUEsBAi0AFAAGAAgAAAAhAFr0LFu/AAAAFQEA&#10;AAsAAAAAAAAAAAAAAAAAHwEAAF9yZWxzLy5yZWxzUEsBAi0AFAAGAAgAAAAhAK+S1LLHAAAA3wAA&#10;AA8AAAAAAAAAAAAAAAAABwIAAGRycy9kb3ducmV2LnhtbFBLBQYAAAAAAwADALcAAAD7AgAAAAA=&#10;" filled="f" stroked="f">
                  <v:textbox inset="0,0,0,0">
                    <w:txbxContent>
                      <w:p w14:paraId="54D59B76" w14:textId="77777777" w:rsidR="00B32EF2" w:rsidRDefault="00000000">
                        <w:r>
                          <w:rPr>
                            <w:rFonts w:ascii="Arial" w:eastAsia="Arial" w:hAnsi="Arial" w:cs="Arial"/>
                            <w:sz w:val="18"/>
                          </w:rPr>
                          <w:t>. La conciliazione si perfeziona con la redazione del processo verbale, nel qua</w:t>
                        </w:r>
                      </w:p>
                    </w:txbxContent>
                  </v:textbox>
                </v:rect>
                <v:rect id="Rectangle 15716" o:spid="_x0000_s2167" style="position:absolute;left:192;top:279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u4xAAAAN4AAAAPAAAAZHJzL2Rvd25yZXYueG1sRE9Li8Iw&#10;EL4v7H8Is+BtTV3wQTXK4iLbg5f1AR6HZmyrzSQ00VZ/vVkQvM3H95zZojO1uFLjK8sKBv0EBHFu&#10;dcWFgt129TkB4QOyxtoyKbiRh8X8/W2GqbYt/9F1EwoRQ9inqKAMwaVS+rwkg75vHXHkjrYxGCJs&#10;CqkbbGO4qeVXkoykwYpjQ4mOliXl583FKDj8sMtWrcyP96Vbn7JJ/XvZ7ZXqfXTfUxCBuvASP92Z&#10;jvOH48EI/t+JN8j5AwAA//8DAFBLAQItABQABgAIAAAAIQDb4fbL7gAAAIUBAAATAAAAAAAAAAAA&#10;AAAAAAAAAABbQ29udGVudF9UeXBlc10ueG1sUEsBAi0AFAAGAAgAAAAhAFr0LFu/AAAAFQEAAAsA&#10;AAAAAAAAAAAAAAAAHwEAAF9yZWxzLy5yZWxzUEsBAi0AFAAGAAgAAAAhAItnG7jEAAAA3gAAAA8A&#10;AAAAAAAAAAAAAAAABwIAAGRycy9kb3ducmV2LnhtbFBLBQYAAAAAAwADALcAAAD4AgAAAAA=&#10;" filled="f" stroked="f">
                  <v:textbox inset="0,0,0,0">
                    <w:txbxContent>
                      <w:p w14:paraId="74388E08" w14:textId="77777777" w:rsidR="00B32EF2" w:rsidRDefault="00000000">
                        <w:r>
                          <w:rPr>
                            <w:rFonts w:ascii="Arial" w:eastAsia="Arial" w:hAnsi="Arial" w:cs="Arial"/>
                            <w:sz w:val="18"/>
                          </w:rPr>
                          <w:t>-</w:t>
                        </w:r>
                      </w:p>
                    </w:txbxContent>
                  </v:textbox>
                </v:rect>
                <v:rect id="Rectangle 15717" o:spid="_x0000_s2168" style="position:absolute;left:-13163;top:26667;width:53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74jxAAAAN4AAAAPAAAAZHJzL2Rvd25yZXYueG1sRE9Li8Iw&#10;EL4v7H8Is+BtTRVcpRplcRF72Isv8Dg0Y1ttJqGJtvrrzcKCt/n4njNbdKYWN2p8ZVnBoJ+AIM6t&#10;rrhQsN+tPicgfEDWWFsmBXfysJi/v80w1bblDd22oRAxhH2KCsoQXCqlz0sy6PvWEUfuZBuDIcKm&#10;kLrBNoabWg6T5EsarDg2lOhoWVJ+2V6NguMPu2zVyvz0WLrfczap19f9QaneR/c9BRGoCy/xvzvT&#10;cf5oPBjD3zvxBjl/AgAA//8DAFBLAQItABQABgAIAAAAIQDb4fbL7gAAAIUBAAATAAAAAAAAAAAA&#10;AAAAAAAAAABbQ29udGVudF9UeXBlc10ueG1sUEsBAi0AFAAGAAgAAAAhAFr0LFu/AAAAFQEAAAsA&#10;AAAAAAAAAAAAAAAAHwEAAF9yZWxzLy5yZWxzUEsBAi0AFAAGAAgAAAAhAOQrviPEAAAA3gAAAA8A&#10;AAAAAAAAAAAAAAAABwIAAGRycy9kb3ducmV2LnhtbFBLBQYAAAAAAwADALcAAAD4AgAAAAA=&#10;" filled="f" stroked="f">
                  <v:textbox inset="0,0,0,0">
                    <w:txbxContent>
                      <w:p w14:paraId="7C9079C8" w14:textId="77777777" w:rsidR="00B32EF2" w:rsidRDefault="00000000">
                        <w:r>
                          <w:rPr>
                            <w:rFonts w:ascii="Arial" w:eastAsia="Arial" w:hAnsi="Arial" w:cs="Arial"/>
                            <w:sz w:val="18"/>
                          </w:rPr>
                          <w:t xml:space="preserve">le sono indicati le somme dovute nonché i termini e le modalità di pagamento. Il </w:t>
                        </w:r>
                      </w:p>
                    </w:txbxContent>
                  </v:textbox>
                </v:rect>
                <v:rect id="Rectangle 15718" o:spid="_x0000_s2169" style="position:absolute;left:-12213;top:25434;width:5212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CpRyAAAAN4AAAAPAAAAZHJzL2Rvd25yZXYueG1sRI9Pa8JA&#10;EMXvhX6HZQq91Y2FWomuIhZpDr34p9DjkB2TaHZ2ya4m7ad3DkJvM7w37/1mvhxcq67UxcazgfEo&#10;A0VcettwZeCw37xMQcWEbLH1TAZ+KcJy8fgwx9z6nrd03aVKSQjHHA3UKYVc61jW5DCOfCAW7eg7&#10;h0nWrtK2w17CXatfs2yiHTYsDTUGWtdUnncXZ+Dng0Ox6XV5/FuHr1MxbT8vh29jnp+G1QxUoiH9&#10;m+/XhRX8t/ex8Mo7MoNe3AAAAP//AwBQSwECLQAUAAYACAAAACEA2+H2y+4AAACFAQAAEwAAAAAA&#10;AAAAAAAAAAAAAAAAW0NvbnRlbnRfVHlwZXNdLnhtbFBLAQItABQABgAIAAAAIQBa9CxbvwAAABUB&#10;AAALAAAAAAAAAAAAAAAAAB8BAABfcmVscy8ucmVsc1BLAQItABQABgAIAAAAIQCVtCpRyAAAAN4A&#10;AAAPAAAAAAAAAAAAAAAAAAcCAABkcnMvZG93bnJldi54bWxQSwUGAAAAAAMAAwC3AAAA/AIAAAAA&#10;" filled="f" stroked="f">
                  <v:textbox inset="0,0,0,0">
                    <w:txbxContent>
                      <w:p w14:paraId="18B6FEBD" w14:textId="77777777" w:rsidR="00B32EF2" w:rsidRDefault="00000000">
                        <w:r>
                          <w:rPr>
                            <w:rFonts w:ascii="Arial" w:eastAsia="Arial" w:hAnsi="Arial" w:cs="Arial"/>
                            <w:sz w:val="18"/>
                          </w:rPr>
                          <w:t>processo verbale costituisce titolo per la riscossione delle somme dovute all’en</w:t>
                        </w:r>
                      </w:p>
                    </w:txbxContent>
                  </v:textbox>
                </v:rect>
                <v:rect id="Rectangle 15719" o:spid="_x0000_s2170" style="position:absolute;left:192;top:25434;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KxQAAAN4AAAAPAAAAZHJzL2Rvd25yZXYueG1sRE9La8JA&#10;EL4X/A/LCN7qxoJVo6uIRZpDL/UBHofsmESzs0t2NWl/fbcgeJuP7zmLVWdqcafGV5YVjIYJCOLc&#10;6ooLBYf99nUKwgdkjbVlUvBDHlbL3ssCU21b/qb7LhQihrBPUUEZgkul9HlJBv3QOuLInW1jMETY&#10;FFI32MZwU8u3JHmXBiuODSU62pSUX3c3o+D0wS7btjI//27c1yWb1p+3w1GpQb9bz0EE6sJT/HBn&#10;Os4fT0Yz+H8n3iCXfwAAAP//AwBQSwECLQAUAAYACAAAACEA2+H2y+4AAACFAQAAEwAAAAAAAAAA&#10;AAAAAAAAAAAAW0NvbnRlbnRfVHlwZXNdLnhtbFBLAQItABQABgAIAAAAIQBa9CxbvwAAABUBAAAL&#10;AAAAAAAAAAAAAAAAAB8BAABfcmVscy8ucmVsc1BLAQItABQABgAIAAAAIQD6+I/KxQAAAN4AAAAP&#10;AAAAAAAAAAAAAAAAAAcCAABkcnMvZG93bnJldi54bWxQSwUGAAAAAAMAAwC3AAAA+QIAAAAA&#10;" filled="f" stroked="f">
                  <v:textbox inset="0,0,0,0">
                    <w:txbxContent>
                      <w:p w14:paraId="13304AF8" w14:textId="77777777" w:rsidR="00B32EF2" w:rsidRDefault="00000000">
                        <w:r>
                          <w:rPr>
                            <w:rFonts w:ascii="Arial" w:eastAsia="Arial" w:hAnsi="Arial" w:cs="Arial"/>
                            <w:sz w:val="18"/>
                          </w:rPr>
                          <w:t>-</w:t>
                        </w:r>
                      </w:p>
                    </w:txbxContent>
                  </v:textbox>
                </v:rect>
                <v:rect id="Rectangle 15720" o:spid="_x0000_s2171" style="position:absolute;left:-6460;top:24200;width:463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uzqyAAAAN4AAAAPAAAAZHJzL2Rvd25yZXYueG1sRI9Pa8JA&#10;EMXvQr/DMoXedFPBP6SuUixiDr1ULfQ4ZMckbXZ2ya4m7ad3DgVvM8yb995vtRlcq67UxcazgedJ&#10;Boq49LbhysDpuBsvQcWEbLH1TAZ+KcJm/TBaYW59zx90PaRKiQnHHA3UKYVc61jW5DBOfCCW29l3&#10;DpOsXaVth72Yu1ZPs2yuHTYsCTUG2tZU/hwuzsDXG4di1+vy/LcN79/Fst1fTp/GPD0Ory+gEg3p&#10;Lv7/LqzUny2mAiA4MoNe3wAAAP//AwBQSwECLQAUAAYACAAAACEA2+H2y+4AAACFAQAAEwAAAAAA&#10;AAAAAAAAAAAAAAAAW0NvbnRlbnRfVHlwZXNdLnhtbFBLAQItABQABgAIAAAAIQBa9CxbvwAAABUB&#10;AAALAAAAAAAAAAAAAAAAAB8BAABfcmVscy8ucmVsc1BLAQItABQABgAIAAAAIQClruzqyAAAAN4A&#10;AAAPAAAAAAAAAAAAAAAAAAcCAABkcnMvZG93bnJldi54bWxQSwUGAAAAAAMAAwC3AAAA/AIAAAAA&#10;" filled="f" stroked="f">
                  <v:textbox inset="0,0,0,0">
                    <w:txbxContent>
                      <w:p w14:paraId="4F7D8283" w14:textId="77777777" w:rsidR="00B32EF2" w:rsidRDefault="00000000">
                        <w:r>
                          <w:rPr>
                            <w:rFonts w:ascii="Arial" w:eastAsia="Arial" w:hAnsi="Arial" w:cs="Arial"/>
                            <w:sz w:val="18"/>
                          </w:rPr>
                          <w:t xml:space="preserve">te impositore e per il pagamento delle somme dovute al contribuente. </w:t>
                        </w:r>
                      </w:p>
                    </w:txbxContent>
                  </v:textbox>
                </v:rect>
                <v:rect id="Rectangle 200141" o:spid="_x0000_s2172" style="position:absolute;left:26349;top:22967;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dKxxwAAAN8AAAAPAAAAZHJzL2Rvd25yZXYueG1sRI/NasMw&#10;EITvhb6D2EBujewSSnCjhJBi6kMvzQ/0uFgb24m1EpYcu3n6qFDIcZiZb5jlejStuFLnG8sK0lkC&#10;gri0uuFKwWGfvyxA+ICssbVMCn7Jw3r1/LTETNuBv+m6C5WIEPYZKqhDcJmUvqzJoJ9ZRxy9k+0M&#10;hii7SuoOhwg3rXxNkjdpsOG4UKOjbU3lZdcbBT8f7Ip8kOXptnVf52LRfvaHo1LTybh5BxFoDI/w&#10;f7vQCiIxnafw9yd+Abm6AwAA//8DAFBLAQItABQABgAIAAAAIQDb4fbL7gAAAIUBAAATAAAAAAAA&#10;AAAAAAAAAAAAAABbQ29udGVudF9UeXBlc10ueG1sUEsBAi0AFAAGAAgAAAAhAFr0LFu/AAAAFQEA&#10;AAsAAAAAAAAAAAAAAAAAHwEAAF9yZWxzLy5yZWxzUEsBAi0AFAAGAAgAAAAhANCp0rHHAAAA3wAA&#10;AA8AAAAAAAAAAAAAAAAABwIAAGRycy9kb3ducmV2LnhtbFBLBQYAAAAAAwADALcAAAD7AgAAAAA=&#10;" filled="f" stroked="f">
                  <v:textbox inset="0,0,0,0">
                    <w:txbxContent>
                      <w:p w14:paraId="5C460560" w14:textId="77777777" w:rsidR="00B32EF2" w:rsidRDefault="00000000">
                        <w:r>
                          <w:rPr>
                            <w:rFonts w:ascii="Arial" w:eastAsia="Arial" w:hAnsi="Arial" w:cs="Arial"/>
                            <w:sz w:val="18"/>
                          </w:rPr>
                          <w:t>5</w:t>
                        </w:r>
                      </w:p>
                    </w:txbxContent>
                  </v:textbox>
                </v:rect>
                <v:rect id="Rectangle 200142" o:spid="_x0000_s2173" style="position:absolute;left:-12851;top:22967;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zGxgAAAN8AAAAPAAAAZHJzL2Rvd25yZXYueG1sRI9Pi8Iw&#10;FMTvC36H8IS9ramyiFSjLC6yPXjxH3h8NM+2bvMSmmirn94IgsdhZn7DzBadqcWVGl9ZVjAcJCCI&#10;c6srLhTsd6uvCQgfkDXWlknBjTws5r2PGabatryh6zYUIkLYp6igDMGlUvq8JIN+YB1x9E62MRii&#10;bAqpG2wj3NRylCRjabDiuFCio2VJ+f/2YhQcf9llq1bmp/vSrc/ZpP677A9Kffa7nymIQF14h1/t&#10;TCuIxOH3CJ5/4heQ8wcAAAD//wMAUEsBAi0AFAAGAAgAAAAhANvh9svuAAAAhQEAABMAAAAAAAAA&#10;AAAAAAAAAAAAAFtDb250ZW50X1R5cGVzXS54bWxQSwECLQAUAAYACAAAACEAWvQsW78AAAAVAQAA&#10;CwAAAAAAAAAAAAAAAAAfAQAAX3JlbHMvLnJlbHNQSwECLQAUAAYACAAAACEAIHtMxsYAAADfAAAA&#10;DwAAAAAAAAAAAAAAAAAHAgAAZHJzL2Rvd25yZXYueG1sUEsFBgAAAAADAAMAtwAAAPoCAAAAAA==&#10;" filled="f" stroked="f">
                  <v:textbox inset="0,0,0,0">
                    <w:txbxContent>
                      <w:p w14:paraId="62C4A76E" w14:textId="77777777" w:rsidR="00B32EF2" w:rsidRDefault="00000000">
                        <w:r>
                          <w:rPr>
                            <w:rFonts w:ascii="Arial" w:eastAsia="Arial" w:hAnsi="Arial" w:cs="Arial"/>
                            <w:sz w:val="18"/>
                          </w:rPr>
                          <w:t>. Il giudice dichiara con sentenza l’estinzione del giudizio per cessazione del</w:t>
                        </w:r>
                      </w:p>
                    </w:txbxContent>
                  </v:textbox>
                </v:rect>
                <v:rect id="Rectangle 15722" o:spid="_x0000_s2174" style="position:absolute;left:192;top:229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NcGxAAAAN4AAAAPAAAAZHJzL2Rvd25yZXYueG1sRE9Na8JA&#10;EL0X/A/LCN7qxkBbia4iijQHL7UKHofsmESzs0t2NdFf3y0UepvH+5z5sjeNuFPra8sKJuMEBHFh&#10;dc2lgsP39nUKwgdkjY1lUvAgD8vF4GWOmbYdf9F9H0oRQ9hnqKAKwWVS+qIig35sHXHkzrY1GCJs&#10;S6lb7GK4aWSaJO/SYM2xoUJH64qK6/5mFJw27PJtJ4vzc+12l3zafN4OR6VGw341AxGoD//iP3eu&#10;4/y3jzSF33fiDXLxAwAA//8DAFBLAQItABQABgAIAAAAIQDb4fbL7gAAAIUBAAATAAAAAAAAAAAA&#10;AAAAAAAAAABbQ29udGVudF9UeXBlc10ueG1sUEsBAi0AFAAGAAgAAAAhAFr0LFu/AAAAFQEAAAsA&#10;AAAAAAAAAAAAAAAAHwEAAF9yZWxzLy5yZWxzUEsBAi0AFAAGAAgAAAAhADow1wbEAAAA3gAAAA8A&#10;AAAAAAAAAAAAAAAABwIAAGRycy9kb3ducmV2LnhtbFBLBQYAAAAAAwADALcAAAD4AgAAAAA=&#10;" filled="f" stroked="f">
                  <v:textbox inset="0,0,0,0">
                    <w:txbxContent>
                      <w:p w14:paraId="262612FF" w14:textId="77777777" w:rsidR="00B32EF2" w:rsidRDefault="00000000">
                        <w:r>
                          <w:rPr>
                            <w:rFonts w:ascii="Arial" w:eastAsia="Arial" w:hAnsi="Arial" w:cs="Arial"/>
                            <w:sz w:val="18"/>
                          </w:rPr>
                          <w:t>-</w:t>
                        </w:r>
                      </w:p>
                    </w:txbxContent>
                  </v:textbox>
                </v:rect>
                <v:rect id="Rectangle 15723" o:spid="_x0000_s2175" style="position:absolute;left:21738;top:21734;width:181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HKdxQAAAN4AAAAPAAAAZHJzL2Rvd25yZXYueG1sRE9La8JA&#10;EL4X/A/LCN7qpkpVoqsUi5hDL/UBHofsmMRmZ5fsamJ/fbcgeJuP7zmLVWdqcaPGV5YVvA0TEMS5&#10;1RUXCg77zesMhA/IGmvLpOBOHlbL3ssCU21b/qbbLhQihrBPUUEZgkul9HlJBv3QOuLInW1jMETY&#10;FFI32MZwU8tRkkykwYpjQ4mO1iXlP7urUXD6ZJdtWpmff9fu65LN6u31cFRq0O8+5iACdeEpfrgz&#10;Hee/T0dj+H8n3iCXfwAAAP//AwBQSwECLQAUAAYACAAAACEA2+H2y+4AAACFAQAAEwAAAAAAAAAA&#10;AAAAAAAAAAAAW0NvbnRlbnRfVHlwZXNdLnhtbFBLAQItABQABgAIAAAAIQBa9CxbvwAAABUBAAAL&#10;AAAAAAAAAAAAAAAAAB8BAABfcmVscy8ucmVsc1BLAQItABQABgAIAAAAIQBVfHKdxQAAAN4AAAAP&#10;AAAAAAAAAAAAAAAAAAcCAABkcnMvZG93bnJldi54bWxQSwUGAAAAAAMAAwC3AAAA+QIAAAAA&#10;" filled="f" stroked="f">
                  <v:textbox inset="0,0,0,0">
                    <w:txbxContent>
                      <w:p w14:paraId="0CD87BE7" w14:textId="77777777" w:rsidR="00B32EF2" w:rsidRDefault="00000000">
                        <w:r>
                          <w:rPr>
                            <w:rFonts w:ascii="Arial" w:eastAsia="Arial" w:hAnsi="Arial" w:cs="Arial"/>
                            <w:sz w:val="18"/>
                          </w:rPr>
                          <w:t xml:space="preserve">la materia del contendere. </w:t>
                        </w:r>
                      </w:p>
                    </w:txbxContent>
                  </v:textbox>
                </v:rect>
                <v:rect id="Rectangle 200139" o:spid="_x0000_s2176" style="position:absolute;left:26110;top:205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a3KxwAAAN8AAAAPAAAAZHJzL2Rvd25yZXYueG1sRI9Pa8JA&#10;FMTvhX6H5RV6040VikY3IhYxh16qKfT4yL780ezbJbuatJ++WxB6HGbmN8x6M5pO3Kj3rWUFs2kC&#10;gri0uuVaQXHaTxYgfEDW2FkmBd/kYZM9Pqwx1XbgD7odQy0ihH2KCpoQXCqlLxsy6KfWEUevsr3B&#10;EGVfS93jEOGmky9J8ioNthwXGnS0a6i8HK9Gwdcbu3w/yLL62bn3c77oDtfiU6nnp3G7AhFoDP/h&#10;ezvXCiJxNl/C35/4BWT2CwAA//8DAFBLAQItABQABgAIAAAAIQDb4fbL7gAAAIUBAAATAAAAAAAA&#10;AAAAAAAAAAAAAABbQ29udGVudF9UeXBlc10ueG1sUEsBAi0AFAAGAAgAAAAhAFr0LFu/AAAAFQEA&#10;AAsAAAAAAAAAAAAAAAAAHwEAAF9yZWxzLy5yZWxzUEsBAi0AFAAGAAgAAAAhAHbZrcrHAAAA3wAA&#10;AA8AAAAAAAAAAAAAAAAABwIAAGRycy9kb3ducmV2LnhtbFBLBQYAAAAAAwADALcAAAD7AgAAAAA=&#10;" filled="f" stroked="f">
                  <v:textbox inset="0,0,0,0">
                    <w:txbxContent>
                      <w:p w14:paraId="3042070B" w14:textId="77777777" w:rsidR="00B32EF2" w:rsidRDefault="00000000">
                        <w:r>
                          <w:rPr>
                            <w:rFonts w:ascii="Arial" w:eastAsia="Arial" w:hAnsi="Arial" w:cs="Arial"/>
                            <w:sz w:val="18"/>
                          </w:rPr>
                          <w:t>6</w:t>
                        </w:r>
                      </w:p>
                    </w:txbxContent>
                  </v:textbox>
                </v:rect>
                <v:rect id="Rectangle 200140" o:spid="_x0000_s2177" style="position:absolute;left:-13814;top:205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cqxgAAAN8AAAAPAAAAZHJzL2Rvd25yZXYueG1sRI9Ba8JA&#10;EIXvhf6HZQre6sYiIqmriEXMoZeqhR6H7JikZmeX7Gpif33nIHgc3rzv8S1Wg2vVlbrYeDYwGWeg&#10;iEtvG64MHA/b1zmomJAttp7JwI0irJbPTwvMre/5i677VCmBcMzRQJ1SyLWOZU0O49gHYslOvnOY&#10;5OwqbTvsBe5a/ZZlM+2wYVmoMdCmpvK8vzgDPx8cim2vy9PfJnz+FvN2dzl+GzN6GdbvoBIN6fF8&#10;bxfWgBAnUzEQH3EBvfwHAAD//wMAUEsBAi0AFAAGAAgAAAAhANvh9svuAAAAhQEAABMAAAAAAAAA&#10;AAAAAAAAAAAAAFtDb250ZW50X1R5cGVzXS54bWxQSwECLQAUAAYACAAAACEAWvQsW78AAAAVAQAA&#10;CwAAAAAAAAAAAAAAAAAfAQAAX3JlbHMvLnJlbHNQSwECLQAUAAYACAAAACEAv+V3KsYAAADfAAAA&#10;DwAAAAAAAAAAAAAAAAAHAgAAZHJzL2Rvd25yZXYueG1sUEsFBgAAAAADAAMAtwAAAPoCAAAAAA==&#10;" filled="f" stroked="f">
                  <v:textbox inset="0,0,0,0">
                    <w:txbxContent>
                      <w:p w14:paraId="71DD6A74" w14:textId="77777777" w:rsidR="00B32EF2" w:rsidRDefault="00000000">
                        <w:r>
                          <w:rPr>
                            <w:rFonts w:ascii="Arial" w:eastAsia="Arial" w:hAnsi="Arial" w:cs="Arial"/>
                            <w:sz w:val="18"/>
                          </w:rPr>
                          <w:t xml:space="preserve">. La proposta di conciliazione non può costituire motivo di ricusazione o </w:t>
                        </w:r>
                      </w:p>
                    </w:txbxContent>
                  </v:textbox>
                </v:rect>
                <v:rect id="Rectangle 15725" o:spid="_x0000_s2178" style="position:absolute;left:24287;top:19267;width:156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U9yxAAAAN4AAAAPAAAAZHJzL2Rvd25yZXYueG1sRE9Ni8Iw&#10;EL0v+B/CCN7WVMFd6RpFFLEHL7ou7HFoxrbaTEITbfXXb4QFb/N4nzNbdKYWN2p8ZVnBaJiAIM6t&#10;rrhQcPzevE9B+ICssbZMCu7kYTHvvc0w1bblPd0OoRAxhH2KCsoQXCqlz0sy6IfWEUfuZBuDIcKm&#10;kLrBNoabWo6T5EMarDg2lOhoVVJ+OVyNgt81u2zTyvz0WLndOZvW2+vxR6lBv1t+gQjUhZf4353p&#10;OH/yOZ7A8514g5z/AQAA//8DAFBLAQItABQABgAIAAAAIQDb4fbL7gAAAIUBAAATAAAAAAAAAAAA&#10;AAAAAAAAAABbQ29udGVudF9UeXBlc10ueG1sUEsBAi0AFAAGAAgAAAAhAFr0LFu/AAAAFQEAAAsA&#10;AAAAAAAAAAAAAAAAHwEAAF9yZWxzLy5yZWxzUEsBAi0AFAAGAAgAAAAhALXZT3LEAAAA3gAAAA8A&#10;AAAAAAAAAAAAAAAABwIAAGRycy9kb3ducmV2LnhtbFBLBQYAAAAAAwADALcAAAD4AgAAAAA=&#10;" filled="f" stroked="f">
                  <v:textbox inset="0,0,0,0">
                    <w:txbxContent>
                      <w:p w14:paraId="6CD249D1" w14:textId="77777777" w:rsidR="00B32EF2" w:rsidRDefault="00000000">
                        <w:r>
                          <w:rPr>
                            <w:rFonts w:ascii="Arial" w:eastAsia="Arial" w:hAnsi="Arial" w:cs="Arial"/>
                            <w:sz w:val="18"/>
                          </w:rPr>
                          <w:t>astensione del giudice.</w:t>
                        </w:r>
                      </w:p>
                    </w:txbxContent>
                  </v:textbox>
                </v:rect>
                <v:rect id="Rectangle 15726" o:spid="_x0000_s2179" style="position:absolute;left:14570;top:16800;width:89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9EFxAAAAN4AAAAPAAAAZHJzL2Rvd25yZXYueG1sRE9Ni8Iw&#10;EL0L/ocwgjdNFXSlaxRRxB72sq4Lexyasa02k9BEW/31m4UFb/N4n7Ncd6YWd2p8ZVnBZJyAIM6t&#10;rrhQcPrajxYgfEDWWFsmBQ/ysF71e0tMtW35k+7HUIgYwj5FBWUILpXS5yUZ9GPriCN3to3BEGFT&#10;SN1gG8NNLadJMpcGK44NJTralpRfjzej4GfHLtu3Mj8/t+7jki3qw+30rdRw0G3eQQTqwkv87850&#10;nD97m87h7514g1z9AgAA//8DAFBLAQItABQABgAIAAAAIQDb4fbL7gAAAIUBAAATAAAAAAAAAAAA&#10;AAAAAAAAAABbQ29udGVudF9UeXBlc10ueG1sUEsBAi0AFAAGAAgAAAAhAFr0LFu/AAAAFQEAAAsA&#10;AAAAAAAAAAAAAAAAHwEAAF9yZWxzLy5yZWxzUEsBAi0AFAAGAAgAAAAhAEUL0QXEAAAA3gAAAA8A&#10;AAAAAAAAAAAAAAAABwIAAGRycy9kb3ducmV2LnhtbFBLBQYAAAAAAwADALcAAAD4AgAAAAA=&#10;" filled="f" stroked="f">
                  <v:textbox inset="0,0,0,0">
                    <w:txbxContent>
                      <w:p w14:paraId="323EAE04" w14:textId="77777777" w:rsidR="00B32EF2" w:rsidRDefault="00000000">
                        <w:r>
                          <w:rPr>
                            <w:rFonts w:ascii="Arial" w:eastAsia="Arial" w:hAnsi="Arial" w:cs="Arial"/>
                            <w:b/>
                            <w:sz w:val="18"/>
                          </w:rPr>
                          <w:t>Articolo 102</w:t>
                        </w:r>
                      </w:p>
                    </w:txbxContent>
                  </v:textbox>
                </v:rect>
                <v:rect id="Rectangle 200134" o:spid="_x0000_s2180" style="position:absolute;left:22528;top:15567;width:218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AJUxwAAAN8AAAAPAAAAZHJzL2Rvd25yZXYueG1sRI9PawIx&#10;FMTvgt8hPKE3zWqLyNasFEW6By+1Ch4fm7d/2s1L2ER366dvCkKPw8z8hllvBtOKG3W+saxgPktA&#10;EBdWN1wpOH3upysQPiBrbC2Tgh/ysMnGozWm2vb8QbdjqESEsE9RQR2CS6X0RU0G/cw64uiVtjMY&#10;ouwqqTvsI9y0cpEkS2mw4bhQo6NtTcX38WoUXHbs8n0vi/K+dYevfNW+X09npZ4mw9sriEBD+A8/&#10;2rlWEInz5xf4+xO/gMx+AQAA//8DAFBLAQItABQABgAIAAAAIQDb4fbL7gAAAIUBAAATAAAAAAAA&#10;AAAAAAAAAAAAAABbQ29udGVudF9UeXBlc10ueG1sUEsBAi0AFAAGAAgAAAAhAFr0LFu/AAAAFQEA&#10;AAsAAAAAAAAAAAAAAAAAHwEAAF9yZWxzLy5yZWxzUEsBAi0AFAAGAAgAAAAhAJjYAlTHAAAA3wAA&#10;AA8AAAAAAAAAAAAAAAAABwIAAGRycy9kb3ducmV2LnhtbFBLBQYAAAAAAwADALcAAAD7AgAAAAA=&#10;" filled="f" stroked="f">
                  <v:textbox inset="0,0,0,0">
                    <w:txbxContent>
                      <w:p w14:paraId="7732B103" w14:textId="77777777" w:rsidR="00B32EF2" w:rsidRDefault="00000000">
                        <w:r>
                          <w:rPr>
                            <w:rFonts w:ascii="Arial" w:eastAsia="Arial" w:hAnsi="Arial" w:cs="Arial"/>
                            <w:i/>
                            <w:sz w:val="18"/>
                          </w:rPr>
                          <w:t>(</w:t>
                        </w:r>
                      </w:p>
                    </w:txbxContent>
                  </v:textbox>
                </v:rect>
                <v:rect id="Rectangle 200136" o:spid="_x0000_s2181" style="position:absolute;left:-5943;top:15567;width:218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jm4xwAAAN8AAAAPAAAAZHJzL2Rvd25yZXYueG1sRI9Ba8JA&#10;FITvhf6H5RV6qxtbCCF1FbFIc/BiaqHHR/aZpGbfLtk1Sf31riD0OMzMN8xiNZlODNT71rKC+SwB&#10;QVxZ3XKt4PC1fclA+ICssbNMCv7Iw2r5+LDAXNuR9zSUoRYRwj5HBU0ILpfSVw0Z9DPriKN3tL3B&#10;EGVfS93jGOGmk69JkkqDLceFBh1tGqpO5dko+PlgV2xHWR0vG7f7LbLu83z4Vur5aVq/gwg0hf/w&#10;vV1oBZE4f0vh9id+Abm8AgAA//8DAFBLAQItABQABgAIAAAAIQDb4fbL7gAAAIUBAAATAAAAAAAA&#10;AAAAAAAAAAAAAABbQ29udGVudF9UeXBlc10ueG1sUEsBAi0AFAAGAAgAAAAhAFr0LFu/AAAAFQEA&#10;AAsAAAAAAAAAAAAAAAAAHwEAAF9yZWxzLy5yZWxzUEsBAi0AFAAGAAgAAAAhAAdGObjHAAAA3wAA&#10;AA8AAAAAAAAAAAAAAAAABwIAAGRycy9kb3ducmV2LnhtbFBLBQYAAAAAAwADALcAAAD7AgAAAAA=&#10;" filled="f" stroked="f">
                  <v:textbox inset="0,0,0,0">
                    <w:txbxContent>
                      <w:p w14:paraId="016FA472" w14:textId="77777777" w:rsidR="00B32EF2" w:rsidRDefault="00000000">
                        <w:r>
                          <w:rPr>
                            <w:rFonts w:ascii="Arial" w:eastAsia="Arial" w:hAnsi="Arial" w:cs="Arial"/>
                            <w:i/>
                            <w:sz w:val="18"/>
                          </w:rPr>
                          <w:t>546/92)</w:t>
                        </w:r>
                      </w:p>
                    </w:txbxContent>
                  </v:textbox>
                </v:rect>
                <v:rect id="Rectangle 200137" o:spid="_x0000_s2182" style="position:absolute;left:10122;top:15567;width:218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pwjxwAAAN8AAAAPAAAAZHJzL2Rvd25yZXYueG1sRI9PawIx&#10;FMTvgt8hPKE3zWqhytasFEW6By+1Ch4fm7d/2s1L2ER366dvCkKPw8z8hllvBtOKG3W+saxgPktA&#10;EBdWN1wpOH3upysQPiBrbC2Tgh/ysMnGozWm2vb8QbdjqESEsE9RQR2CS6X0RU0G/cw64uiVtjMY&#10;ouwqqTvsI9y0cpEkL9Jgw3GhRkfbmorv49UouOzY5fteFuV96w5f+ap9v57OSj1NhrdXEIGG8B9+&#10;tHOtIBLnz0v4+xO/gMx+AQAA//8DAFBLAQItABQABgAIAAAAIQDb4fbL7gAAAIUBAAATAAAAAAAA&#10;AAAAAAAAAAAAAABbQ29udGVudF9UeXBlc10ueG1sUEsBAi0AFAAGAAgAAAAhAFr0LFu/AAAAFQEA&#10;AAsAAAAAAAAAAAAAAAAAHwEAAF9yZWxzLy5yZWxzUEsBAi0AFAAGAAgAAAAhAGgKnCPHAAAA3wAA&#10;AA8AAAAAAAAAAAAAAAAABwIAAGRycy9kb3ducmV2LnhtbFBLBQYAAAAAAwADALcAAAD7AgAAAAA=&#10;" filled="f" stroked="f">
                  <v:textbox inset="0,0,0,0">
                    <w:txbxContent>
                      <w:p w14:paraId="4B15D55C" w14:textId="77777777" w:rsidR="00B32EF2" w:rsidRDefault="00000000">
                        <w:r>
                          <w:rPr>
                            <w:rFonts w:ascii="Arial" w:eastAsia="Arial" w:hAnsi="Arial" w:cs="Arial"/>
                            <w:i/>
                            <w:sz w:val="18"/>
                          </w:rPr>
                          <w:t xml:space="preserve">articolo 48-ter D.lgs. n. </w:t>
                        </w:r>
                      </w:p>
                    </w:txbxContent>
                  </v:textbox>
                </v:rect>
                <v:rect id="Rectangle 15728" o:spid="_x0000_s2183" style="position:absolute;left:-1241;top:14334;width:339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ODsyAAAAN4AAAAPAAAAZHJzL2Rvd25yZXYueG1sRI9Pa8JA&#10;EMXvQr/DMoXedFPBP6SuUixiDr1ULfQ4ZMckbXZ2ya4m7ad3DgVvM7w37/1mtRlcq67UxcazgedJ&#10;Boq49LbhysDpuBsvQcWEbLH1TAZ+KcJm/TBaYW59zx90PaRKSQjHHA3UKYVc61jW5DBOfCAW7ew7&#10;h0nWrtK2w17CXaunWTbXDhuWhhoDbWsqfw4XZ+DrjUOx63V5/tuG9+9i2e4vp09jnh6H1xdQiYZ0&#10;N/9fF1bwZ4up8Mo7MoNe3wAAAP//AwBQSwECLQAUAAYACAAAACEA2+H2y+4AAACFAQAAEwAAAAAA&#10;AAAAAAAAAAAAAAAAW0NvbnRlbnRfVHlwZXNdLnhtbFBLAQItABQABgAIAAAAIQBa9CxbvwAAABUB&#10;AAALAAAAAAAAAAAAAAAAAB8BAABfcmVscy8ucmVsc1BLAQItABQABgAIAAAAIQBb2ODsyAAAAN4A&#10;AAAPAAAAAAAAAAAAAAAAAAcCAABkcnMvZG93bnJldi54bWxQSwUGAAAAAAMAAwC3AAAA/AIAAAAA&#10;" filled="f" stroked="f">
                  <v:textbox inset="0,0,0,0">
                    <w:txbxContent>
                      <w:p w14:paraId="6798C63F" w14:textId="77777777" w:rsidR="00B32EF2" w:rsidRDefault="00000000">
                        <w:r>
                          <w:rPr>
                            <w:rFonts w:ascii="Arial" w:eastAsia="Arial" w:hAnsi="Arial" w:cs="Arial"/>
                            <w:b/>
                            <w:sz w:val="18"/>
                          </w:rPr>
                          <w:t xml:space="preserve">Definizione e pagamento delle somme dovute </w:t>
                        </w:r>
                      </w:p>
                    </w:txbxContent>
                  </v:textbox>
                </v:rect>
                <v:rect id="Rectangle 200132" o:spid="_x0000_s2184" style="position:absolute;left:26109;top:13101;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T+7xgAAAN8AAAAPAAAAZHJzL2Rvd25yZXYueG1sRI9Pi8Iw&#10;FMTvC36H8IS9rakuiFSjLC6yPXjxH3h8NM+2bvMSmmirn94IgsdhZn7DzBadqcWVGl9ZVjAcJCCI&#10;c6srLhTsd6uvCQgfkDXWlknBjTws5r2PGabatryh6zYUIkLYp6igDMGlUvq8JIN+YB1x9E62MRii&#10;bAqpG2wj3NRylCRjabDiuFCio2VJ+f/2YhQcf9llq1bmp/vSrc/ZpP677A9Kffa7nymIQF14h1/t&#10;TCuIxOH3CJ5/4heQ8wcAAAD//wMAUEsBAi0AFAAGAAgAAAAhANvh9svuAAAAhQEAABMAAAAAAAAA&#10;AAAAAAAAAAAAAFtDb250ZW50X1R5cGVzXS54bWxQSwECLQAUAAYACAAAACEAWvQsW78AAAAVAQAA&#10;CwAAAAAAAAAAAAAAAAAfAQAAX3JlbHMvLnJlbHNQSwECLQAUAAYACAAAACEAeH0/u8YAAADfAAAA&#10;DwAAAAAAAAAAAAAAAAAHAgAAZHJzL2Rvd25yZXYueG1sUEsFBgAAAAADAAMAtwAAAPoCAAAAAA==&#10;" filled="f" stroked="f">
                  <v:textbox inset="0,0,0,0">
                    <w:txbxContent>
                      <w:p w14:paraId="20195E4F" w14:textId="77777777" w:rsidR="00B32EF2" w:rsidRDefault="00000000">
                        <w:r>
                          <w:rPr>
                            <w:rFonts w:ascii="Arial" w:eastAsia="Arial" w:hAnsi="Arial" w:cs="Arial"/>
                            <w:sz w:val="18"/>
                          </w:rPr>
                          <w:t>1</w:t>
                        </w:r>
                      </w:p>
                    </w:txbxContent>
                  </v:textbox>
                </v:rect>
                <v:rect id="Rectangle 200133" o:spid="_x0000_s2185" style="position:absolute;left:-13764;top:13101;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ogxwAAAN8AAAAPAAAAZHJzL2Rvd25yZXYueG1sRI9Ba8JA&#10;FITvgv9heUJvurEBCdFVikWaQy+mFnp8ZJ9JbPbtkl2TtL++Wyj0OMzMN8zuMJlODNT71rKC9SoB&#10;QVxZ3XKt4PJ2WmYgfEDW2FkmBV/k4bCfz3aYazvymYYy1CJC2OeooAnB5VL6qiGDfmUdcfSutjcY&#10;ouxrqXscI9x08jFJNtJgy3GhQUfHhqrP8m4UfDyzK06jrK7fR/d6K7Lu5X55V+phMT1tQQSawn/4&#10;r11oBZG4TlP4/RO/gNz/AAAA//8DAFBLAQItABQABgAIAAAAIQDb4fbL7gAAAIUBAAATAAAAAAAA&#10;AAAAAAAAAAAAAABbQ29udGVudF9UeXBlc10ueG1sUEsBAi0AFAAGAAgAAAAhAFr0LFu/AAAAFQEA&#10;AAsAAAAAAAAAAAAAAAAAHwEAAF9yZWxzLy5yZWxzUEsBAi0AFAAGAAgAAAAhABcxmiDHAAAA3wAA&#10;AA8AAAAAAAAAAAAAAAAABwIAAGRycy9kb3ducmV2LnhtbFBLBQYAAAAAAwADALcAAAD7AgAAAAA=&#10;" filled="f" stroked="f">
                  <v:textbox inset="0,0,0,0">
                    <w:txbxContent>
                      <w:p w14:paraId="29AD6A4B" w14:textId="77777777" w:rsidR="00B32EF2" w:rsidRDefault="00000000">
                        <w:r>
                          <w:rPr>
                            <w:rFonts w:ascii="Arial" w:eastAsia="Arial" w:hAnsi="Arial" w:cs="Arial"/>
                            <w:sz w:val="18"/>
                          </w:rPr>
                          <w:t xml:space="preserve">. Le sanzioni amministrative si applicano nella misura del quaranta per cento </w:t>
                        </w:r>
                      </w:p>
                    </w:txbxContent>
                  </v:textbox>
                </v:rect>
                <v:rect id="Rectangle 15730" o:spid="_x0000_s2186" style="position:absolute;left:-13172;top:118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3o3yAAAAN4AAAAPAAAAZHJzL2Rvd25yZXYueG1sRI9Bb8Iw&#10;DIXvk/YfIk/iNtJt2kAdAU1MiB64DJi0o9WYtlvjRE2gHb8eH5C42fLze++bLQbXqhN1sfFs4Gmc&#10;gSIuvW24MrDfrR6noGJCtth6JgP/FGExv7+bYW59z1902qZKiQnHHA3UKYVc61jW5DCOfSCW28F3&#10;DpOsXaVth72Yu1Y/Z9mbdtiwJNQYaFlT+bc9OgM/nxyKVa/Lw3kZNr/FtF0f99/GjB6Gj3dQiYZ0&#10;E1+/Cyv1XycvAiA4MoOeXwAAAP//AwBQSwECLQAUAAYACAAAACEA2+H2y+4AAACFAQAAEwAAAAAA&#10;AAAAAAAAAAAAAAAAW0NvbnRlbnRfVHlwZXNdLnhtbFBLAQItABQABgAIAAAAIQBa9CxbvwAAABUB&#10;AAALAAAAAAAAAAAAAAAAAB8BAABfcmVscy8ucmVsc1BLAQItABQABgAIAAAAIQAgd3o3yAAAAN4A&#10;AAAPAAAAAAAAAAAAAAAAAAcCAABkcnMvZG93bnJldi54bWxQSwUGAAAAAAMAAwC3AAAA/AIAAAAA&#10;" filled="f" stroked="f">
                  <v:textbox inset="0,0,0,0">
                    <w:txbxContent>
                      <w:p w14:paraId="5C4E768B" w14:textId="77777777" w:rsidR="00B32EF2" w:rsidRDefault="00000000">
                        <w:r>
                          <w:rPr>
                            <w:rFonts w:ascii="Arial" w:eastAsia="Arial" w:hAnsi="Arial" w:cs="Arial"/>
                            <w:sz w:val="18"/>
                          </w:rPr>
                          <w:t xml:space="preserve">del minimo previsto dalla legge, in caso di perfezionamento della conciliazione </w:t>
                        </w:r>
                      </w:p>
                    </w:txbxContent>
                  </v:textbox>
                </v:rect>
                <v:rect id="Rectangle 15731" o:spid="_x0000_s2187" style="position:absolute;left:-13172;top:106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9+sxQAAAN4AAAAPAAAAZHJzL2Rvd25yZXYueG1sRE9La8JA&#10;EL4X/A/LCN7qxkpVoquIRZpDL/UBHofsmESzs0t2NWl/fbcgeJuP7zmLVWdqcafGV5YVjIYJCOLc&#10;6ooLBYf99nUGwgdkjbVlUvBDHlbL3ssCU21b/qb7LhQihrBPUUEZgkul9HlJBv3QOuLInW1jMETY&#10;FFI32MZwU8u3JJlIgxXHhhIdbUrKr7ubUXD6YJdtW5mffzfu65LN6s/b4ajUoN+t5yACdeEpfrgz&#10;Hee/T8cj+H8n3iCXfwAAAP//AwBQSwECLQAUAAYACAAAACEA2+H2y+4AAACFAQAAEwAAAAAAAAAA&#10;AAAAAAAAAAAAW0NvbnRlbnRfVHlwZXNdLnhtbFBLAQItABQABgAIAAAAIQBa9CxbvwAAABUBAAAL&#10;AAAAAAAAAAAAAAAAAB8BAABfcmVscy8ucmVsc1BLAQItABQABgAIAAAAIQBPO9+sxQAAAN4AAAAP&#10;AAAAAAAAAAAAAAAAAAcCAABkcnMvZG93bnJldi54bWxQSwUGAAAAAAMAAwC3AAAA+QIAAAAA&#10;" filled="f" stroked="f">
                  <v:textbox inset="0,0,0,0">
                    <w:txbxContent>
                      <w:p w14:paraId="681902F2" w14:textId="77777777" w:rsidR="00B32EF2" w:rsidRDefault="00000000">
                        <w:r>
                          <w:rPr>
                            <w:rFonts w:ascii="Arial" w:eastAsia="Arial" w:hAnsi="Arial" w:cs="Arial"/>
                            <w:sz w:val="18"/>
                          </w:rPr>
                          <w:t xml:space="preserve">nel corso del primo grado di giudizio e nella misura del cinquanta per cento del </w:t>
                        </w:r>
                      </w:p>
                    </w:txbxContent>
                  </v:textbox>
                </v:rect>
                <v:rect id="Rectangle 15732" o:spid="_x0000_s2188" style="position:absolute;left:-13172;top:940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HbxQAAAN4AAAAPAAAAZHJzL2Rvd25yZXYueG1sRE9La8JA&#10;EL4X/A/LCN7qpkpVoqsUi5hDL/UBHofsmMRmZ5fsamJ/fbcgeJuP7zmLVWdqcaPGV5YVvA0TEMS5&#10;1RUXCg77zesMhA/IGmvLpOBOHlbL3ssCU21b/qbbLhQihrBPUUEZgkul9HlJBv3QOuLInW1jMETY&#10;FFI32MZwU8tRkkykwYpjQ4mO1iXlP7urUXD6ZJdtWpmff9fu65LN6u31cFRq0O8+5iACdeEpfrgz&#10;Hee/T8cj+H8n3iCXfwAAAP//AwBQSwECLQAUAAYACAAAACEA2+H2y+4AAACFAQAAEwAAAAAAAAAA&#10;AAAAAAAAAAAAW0NvbnRlbnRfVHlwZXNdLnhtbFBLAQItABQABgAIAAAAIQBa9CxbvwAAABUBAAAL&#10;AAAAAAAAAAAAAAAAAB8BAABfcmVscy8ucmVsc1BLAQItABQABgAIAAAAIQC/6UHbxQAAAN4AAAAP&#10;AAAAAAAAAAAAAAAAAAcCAABkcnMvZG93bnJldi54bWxQSwUGAAAAAAMAAwC3AAAA+QIAAAAA&#10;" filled="f" stroked="f">
                  <v:textbox inset="0,0,0,0">
                    <w:txbxContent>
                      <w:p w14:paraId="78A4FF2D" w14:textId="77777777" w:rsidR="00B32EF2" w:rsidRDefault="00000000">
                        <w:r>
                          <w:rPr>
                            <w:rFonts w:ascii="Arial" w:eastAsia="Arial" w:hAnsi="Arial" w:cs="Arial"/>
                            <w:sz w:val="18"/>
                          </w:rPr>
                          <w:t xml:space="preserve">minimo previsto dalla legge, in caso di perfezionamento nel corso del secondo </w:t>
                        </w:r>
                      </w:p>
                    </w:txbxContent>
                  </v:textbox>
                </v:rect>
                <v:rect id="Rectangle 15733" o:spid="_x0000_s2189" style="position:absolute;left:-12189;top:8167;width:520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eRAxQAAAN4AAAAPAAAAZHJzL2Rvd25yZXYueG1sRE9La8JA&#10;EL4X/A/LCN7qppWqRFcpiphDL/UBHofsmMRmZ5fsamJ/fbcgeJuP7znzZWdqcaPGV5YVvA0TEMS5&#10;1RUXCg77zesUhA/IGmvLpOBOHpaL3sscU21b/qbbLhQihrBPUUEZgkul9HlJBv3QOuLInW1jMETY&#10;FFI32MZwU8v3JBlLgxXHhhIdrUrKf3ZXo+C0ZpdtWpmff1fu65JN6+31cFRq0O8+ZyACdeEpfrgz&#10;Hed/TEYj+H8n3iAXfwAAAP//AwBQSwECLQAUAAYACAAAACEA2+H2y+4AAACFAQAAEwAAAAAAAAAA&#10;AAAAAAAAAAAAW0NvbnRlbnRfVHlwZXNdLnhtbFBLAQItABQABgAIAAAAIQBa9CxbvwAAABUBAAAL&#10;AAAAAAAAAAAAAAAAAB8BAABfcmVscy8ucmVsc1BLAQItABQABgAIAAAAIQDQpeRAxQAAAN4AAAAP&#10;AAAAAAAAAAAAAAAAAAcCAABkcnMvZG93bnJldi54bWxQSwUGAAAAAAMAAwC3AAAA+QIAAAAA&#10;" filled="f" stroked="f">
                  <v:textbox inset="0,0,0,0">
                    <w:txbxContent>
                      <w:p w14:paraId="28B34298" w14:textId="77777777" w:rsidR="00B32EF2" w:rsidRDefault="00000000">
                        <w:r>
                          <w:rPr>
                            <w:rFonts w:ascii="Arial" w:eastAsia="Arial" w:hAnsi="Arial" w:cs="Arial"/>
                            <w:sz w:val="18"/>
                          </w:rPr>
                          <w:t>grado di giudizio e nella misura del sessanta per cento del minimo previsto dal</w:t>
                        </w:r>
                      </w:p>
                    </w:txbxContent>
                  </v:textbox>
                </v:rect>
                <v:rect id="Rectangle 15734" o:spid="_x0000_s2190" style="position:absolute;left:191;top:81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Hw0xQAAAN4AAAAPAAAAZHJzL2Rvd25yZXYueG1sRE9Na8JA&#10;EL0L/Q/LFHozG2ttJXWVokhz8KJV8DhkxyQ1O7tkV5P213cFobd5vM+ZLXrTiCu1vrasYJSkIIgL&#10;q2suFey/1sMpCB+QNTaWScEPeVjMHwYzzLTteEvXXShFDGGfoYIqBJdJ6YuKDPrEOuLInWxrMETY&#10;llK32MVw08jnNH2VBmuODRU6WlZUnHcXo+C4YpevO1mcfpdu851Pm8/L/qDU02P/8Q4iUB/+xXd3&#10;ruP8ydv4BW7vxBvk/A8AAP//AwBQSwECLQAUAAYACAAAACEA2+H2y+4AAACFAQAAEwAAAAAAAAAA&#10;AAAAAAAAAAAAW0NvbnRlbnRfVHlwZXNdLnhtbFBLAQItABQABgAIAAAAIQBa9CxbvwAAABUBAAAL&#10;AAAAAAAAAAAAAAAAAB8BAABfcmVscy8ucmVsc1BLAQItABQABgAIAAAAIQBfTHw0xQAAAN4AAAAP&#10;AAAAAAAAAAAAAAAAAAcCAABkcnMvZG93bnJldi54bWxQSwUGAAAAAAMAAwC3AAAA+QIAAAAA&#10;" filled="f" stroked="f">
                  <v:textbox inset="0,0,0,0">
                    <w:txbxContent>
                      <w:p w14:paraId="494E77EB" w14:textId="77777777" w:rsidR="00B32EF2" w:rsidRDefault="00000000">
                        <w:r>
                          <w:rPr>
                            <w:rFonts w:ascii="Arial" w:eastAsia="Arial" w:hAnsi="Arial" w:cs="Arial"/>
                            <w:sz w:val="18"/>
                          </w:rPr>
                          <w:t>-</w:t>
                        </w:r>
                      </w:p>
                    </w:txbxContent>
                  </v:textbox>
                </v:rect>
                <v:rect id="Rectangle 15735" o:spid="_x0000_s2191" style="position:absolute;left:-13172;top:69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NmvxQAAAN4AAAAPAAAAZHJzL2Rvd25yZXYueG1sRE9La8JA&#10;EL4X/A/LCN7qpi0+iK5SLGIOvdQHeByyYxKbnV2yq4n++m5B8DYf33Pmy87U4kqNrywreBsmIIhz&#10;qysuFOx369cpCB+QNdaWScGNPCwXvZc5ptq2/EPXbShEDGGfooIyBJdK6fOSDPqhdcSRO9nGYIiw&#10;KaRusI3hppbvSTKWBiuODSU6WpWU/24vRsHxi122bmV+uq/c9zmb1pvL/qDUoN99zkAE6sJT/HBn&#10;Os4fTT5G8P9OvEEu/gAAAP//AwBQSwECLQAUAAYACAAAACEA2+H2y+4AAACFAQAAEwAAAAAAAAAA&#10;AAAAAAAAAAAAW0NvbnRlbnRfVHlwZXNdLnhtbFBLAQItABQABgAIAAAAIQBa9CxbvwAAABUBAAAL&#10;AAAAAAAAAAAAAAAAAB8BAABfcmVscy8ucmVsc1BLAQItABQABgAIAAAAIQAwANmvxQAAAN4AAAAP&#10;AAAAAAAAAAAAAAAAAAcCAABkcnMvZG93bnJldi54bWxQSwUGAAAAAAMAAwC3AAAA+QIAAAAA&#10;" filled="f" stroked="f">
                  <v:textbox inset="0,0,0,0">
                    <w:txbxContent>
                      <w:p w14:paraId="621D6338" w14:textId="77777777" w:rsidR="00B32EF2" w:rsidRDefault="00000000">
                        <w:r>
                          <w:rPr>
                            <w:rFonts w:ascii="Arial" w:eastAsia="Arial" w:hAnsi="Arial" w:cs="Arial"/>
                            <w:sz w:val="18"/>
                          </w:rPr>
                          <w:t xml:space="preserve">la legge in caso di perfezionamento della conciliazione nel corso del giudizio </w:t>
                        </w:r>
                      </w:p>
                    </w:txbxContent>
                  </v:textbox>
                </v:rect>
                <v:rect id="Rectangle 15736" o:spid="_x0000_s2192" style="position:absolute;left:29826;top:5701;width:10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kfYxQAAAN4AAAAPAAAAZHJzL2Rvd25yZXYueG1sRE9La8JA&#10;EL4L/odlBG+6aYsPoqsUi5hDL/UBHofsmMRmZ5fsamJ/fbdQ8DYf33OW687U4k6NrywreBknIIhz&#10;qysuFBwP29EchA/IGmvLpOBBHtarfm+JqbYtf9F9HwoRQ9inqKAMwaVS+rwkg35sHXHkLrYxGCJs&#10;CqkbbGO4qeVrkkylwYpjQ4mONiXl3/ubUXD+YJdtW5lffjbu85rN693teFJqOOjeFyACdeEp/ndn&#10;Os6fzN6m8PdOvEGufgEAAP//AwBQSwECLQAUAAYACAAAACEA2+H2y+4AAACFAQAAEwAAAAAAAAAA&#10;AAAAAAAAAAAAW0NvbnRlbnRfVHlwZXNdLnhtbFBLAQItABQABgAIAAAAIQBa9CxbvwAAABUBAAAL&#10;AAAAAAAAAAAAAAAAAB8BAABfcmVscy8ucmVsc1BLAQItABQABgAIAAAAIQDA0kfYxQAAAN4AAAAP&#10;AAAAAAAAAAAAAAAAAAcCAABkcnMvZG93bnJldi54bWxQSwUGAAAAAAMAAwC3AAAA+QIAAAAA&#10;" filled="f" stroked="f">
                  <v:textbox inset="0,0,0,0">
                    <w:txbxContent>
                      <w:p w14:paraId="3481B735" w14:textId="77777777" w:rsidR="00B32EF2" w:rsidRDefault="00000000">
                        <w:r>
                          <w:rPr>
                            <w:rFonts w:ascii="Arial" w:eastAsia="Arial" w:hAnsi="Arial" w:cs="Arial"/>
                            <w:sz w:val="18"/>
                          </w:rPr>
                          <w:t>di Cassazione.</w:t>
                        </w:r>
                      </w:p>
                    </w:txbxContent>
                  </v:textbox>
                </v:rect>
                <v:rect id="Rectangle 200130" o:spid="_x0000_s2193" style="position:absolute;left:26109;top:44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wRXxgAAAN8AAAAPAAAAZHJzL2Rvd25yZXYueG1sRI9Ba8JA&#10;EIXvhf6HZQre6sYKIqmriEXMoZeqhR6H7JikZmeX7Gpif33nIHgc3rzv8S1Wg2vVlbrYeDYwGWeg&#10;iEtvG64MHA/b1zmomJAttp7JwI0irJbPTwvMre/5i677VCmBcMzRQJ1SyLWOZU0O49gHYslOvnOY&#10;5OwqbTvsBe5a/ZZlM+2wYVmoMdCmpvK8vzgDPx8cim2vy9PfJnz+FvN2dzl+GzN6GdbvoBIN6fF8&#10;bxfWgBAnUzEQH3EBvfwHAAD//wMAUEsBAi0AFAAGAAgAAAAhANvh9svuAAAAhQEAABMAAAAAAAAA&#10;AAAAAAAAAAAAAFtDb250ZW50X1R5cGVzXS54bWxQSwECLQAUAAYACAAAACEAWvQsW78AAAAVAQAA&#10;CwAAAAAAAAAAAAAAAAAfAQAAX3JlbHMvLnJlbHNQSwECLQAUAAYACAAAACEA5+MEV8YAAADfAAAA&#10;DwAAAAAAAAAAAAAAAAAHAgAAZHJzL2Rvd25yZXYueG1sUEsFBgAAAAADAAMAtwAAAPoCAAAAAA==&#10;" filled="f" stroked="f">
                  <v:textbox inset="0,0,0,0">
                    <w:txbxContent>
                      <w:p w14:paraId="0E9159F2" w14:textId="77777777" w:rsidR="00B32EF2" w:rsidRDefault="00000000">
                        <w:r>
                          <w:rPr>
                            <w:rFonts w:ascii="Arial" w:eastAsia="Arial" w:hAnsi="Arial" w:cs="Arial"/>
                            <w:sz w:val="18"/>
                          </w:rPr>
                          <w:t>2</w:t>
                        </w:r>
                      </w:p>
                    </w:txbxContent>
                  </v:textbox>
                </v:rect>
                <v:rect id="Rectangle 200131" o:spid="_x0000_s2194" style="position:absolute;left:-13818;top:44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6HMxwAAAN8AAAAPAAAAZHJzL2Rvd25yZXYueG1sRI/NasMw&#10;EITvhb6D2EBujewGSnCjhJBi6kMvzQ/0uFgb24m1EpYcu3n6qFDIcZiZb5jlejStuFLnG8sK0lkC&#10;gri0uuFKwWGfvyxA+ICssbVMCn7Jw3r1/LTETNuBv+m6C5WIEPYZKqhDcJmUvqzJoJ9ZRxy9k+0M&#10;hii7SuoOhwg3rXxNkjdpsOG4UKOjbU3lZdcbBT8f7Ip8kOXptnVf52LRfvaHo1LTybh5BxFoDI/w&#10;f7vQCiIxnafw9yd+Abm6AwAA//8DAFBLAQItABQABgAIAAAAIQDb4fbL7gAAAIUBAAATAAAAAAAA&#10;AAAAAAAAAAAAAABbQ29udGVudF9UeXBlc10ueG1sUEsBAi0AFAAGAAgAAAAhAFr0LFu/AAAAFQEA&#10;AAsAAAAAAAAAAAAAAAAAHwEAAF9yZWxzLy5yZWxzUEsBAi0AFAAGAAgAAAAhAIivoczHAAAA3wAA&#10;AA8AAAAAAAAAAAAAAAAABwIAAGRycy9kb3ducmV2LnhtbFBLBQYAAAAAAwADALcAAAD7AgAAAAA=&#10;" filled="f" stroked="f">
                  <v:textbox inset="0,0,0,0">
                    <w:txbxContent>
                      <w:p w14:paraId="68015760" w14:textId="77777777" w:rsidR="00B32EF2" w:rsidRDefault="00000000">
                        <w:r>
                          <w:rPr>
                            <w:rFonts w:ascii="Arial" w:eastAsia="Arial" w:hAnsi="Arial" w:cs="Arial"/>
                            <w:sz w:val="18"/>
                          </w:rPr>
                          <w:t xml:space="preserve">. Il versamento delle somme dovute ovvero, in caso di rateizzazione, della </w:t>
                        </w:r>
                      </w:p>
                    </w:txbxContent>
                  </v:textbox>
                </v:rect>
                <w10:anchorlock/>
              </v:group>
            </w:pict>
          </mc:Fallback>
        </mc:AlternateContent>
      </w:r>
    </w:p>
    <w:p w14:paraId="5AAB71DB" w14:textId="77777777" w:rsidR="00B32EF2" w:rsidRDefault="00000000">
      <w:pPr>
        <w:spacing w:after="912"/>
        <w:ind w:left="-1440" w:right="7064"/>
      </w:pPr>
      <w:r>
        <w:rPr>
          <w:noProof/>
        </w:rPr>
        <w:lastRenderedPageBreak/>
        <mc:AlternateContent>
          <mc:Choice Requires="wpg">
            <w:drawing>
              <wp:anchor distT="0" distB="0" distL="114300" distR="114300" simplePos="0" relativeHeight="251662336" behindDoc="0" locked="0" layoutInCell="1" allowOverlap="1" wp14:anchorId="32724863" wp14:editId="654FCE23">
                <wp:simplePos x="0" y="0"/>
                <wp:positionH relativeFrom="page">
                  <wp:posOffset>2632944</wp:posOffset>
                </wp:positionH>
                <wp:positionV relativeFrom="page">
                  <wp:posOffset>397149</wp:posOffset>
                </wp:positionV>
                <wp:extent cx="134112" cy="188456"/>
                <wp:effectExtent l="0" t="0" r="0" b="0"/>
                <wp:wrapTopAndBottom/>
                <wp:docPr id="200248" name="Group 200248"/>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15827" name="Rectangle 15827"/>
                        <wps:cNvSpPr/>
                        <wps:spPr>
                          <a:xfrm rot="-10799999">
                            <a:off x="-44256" y="-62190"/>
                            <a:ext cx="178369" cy="250646"/>
                          </a:xfrm>
                          <a:prstGeom prst="rect">
                            <a:avLst/>
                          </a:prstGeom>
                          <a:ln>
                            <a:noFill/>
                          </a:ln>
                        </wps:spPr>
                        <wps:txbx>
                          <w:txbxContent>
                            <w:p w14:paraId="113FB67F" w14:textId="77777777" w:rsidR="00B32EF2" w:rsidRDefault="00000000">
                              <w:r>
                                <w:rPr>
                                  <w:rFonts w:ascii="Times New Roman" w:eastAsia="Times New Roman" w:hAnsi="Times New Roman" w:cs="Times New Roman"/>
                                </w:rPr>
                                <w:t>88</w:t>
                              </w:r>
                            </w:p>
                          </w:txbxContent>
                        </wps:txbx>
                        <wps:bodyPr horzOverflow="overflow" vert="horz" lIns="0" tIns="0" rIns="0" bIns="0" rtlCol="0">
                          <a:noAutofit/>
                        </wps:bodyPr>
                      </wps:wsp>
                    </wpg:wgp>
                  </a:graphicData>
                </a:graphic>
              </wp:anchor>
            </w:drawing>
          </mc:Choice>
          <mc:Fallback>
            <w:pict>
              <v:group w14:anchorId="32724863" id="Group 200248" o:spid="_x0000_s2195" style="position:absolute;left:0;text-align:left;margin-left:207.3pt;margin-top:31.25pt;width:10.55pt;height:14.85pt;z-index:251662336;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3GQIAAIEEAAAOAAAAZHJzL2Uyb0RvYy54bWyklMlu2zAQhu8F+g4E77aWeBUsB0XTGAWK&#10;JkjaB6ApagEoDkHSltOn75Ba3CZAD6kO1HBIDf/5OKPd7aWV5CyMbUDlNJnHlAjFoWhUldOfP+5n&#10;G0qsY6pgEpTI6Yuw9Hb/8cOu05lIoQZZCEMwiLJZp3NaO6ezKLK8Fi2zc9BC4WIJpmUOp6aKCsM6&#10;jN7KKI3jVdSBKbQBLqxF712/SPchflkK7h7K0gpHZE5RmwujCePRj9F+x7LKMF03fJDB3qGiZY3C&#10;Q6dQd8wxcjLNm1Btww1YKN2cQxtBWTZchBwwmyR+lc3BwEmHXKqsq/SECdG+4vTusPz7+WD0s340&#10;SKLTFbIIM5/LpTStf6NKcgnIXiZk4uIIR2dys0iSlBKOS8lms1iueqS8Ru5vvuL1l39+F42HRn9J&#10;6TQWh73mb/8v/+eaaRGw2gzzfzSkKVD9cpOuKVGsxTJ9wsJhqpKC9O4AJ+yeUNnMIrWREzGAtTVL&#10;4vXWP6EWBm6zxSJFLAQJzVZpsh2KbiK43tystj3BdBmvFoHgRIJl2lh3ENASb+TUoLQQnp2/WYfC&#10;cOu4xauRyo8K7hsp+1XvQaCjYG+5y/HSZ50ka39j3nmE4gVh1GB+PWBLlxK6nMJgUd/leLxfpUR+&#10;VXgJvqFGw4zGcTSMk58htF0v6NPJQdkExdfTBmV4u8EKdR5SGnrSN9Kf87Dr+ufY/wYAAP//AwBQ&#10;SwMEFAAGAAgAAAAhAPfgYzDgAAAACQEAAA8AAABkcnMvZG93bnJldi54bWxMj0FPg0AQhe8m/ofN&#10;mHizCxRQkaFpGvXUNLE1Md6mMAVSdpewW6D/3vWkx8n78t43+WpWnRh5sK3RCOEiAMG6NFWra4TP&#10;w9vDEwjrSFfUGc0IV7awKm5vcsoqM+kPHveuFr5E24wQGuf6TEpbNqzILkzP2mcnMyhy/hxqWQ00&#10;+XLVySgIUqmo1X6hoZ43DZfn/UUhvE80rZfh67g9nzbX70Oy+9qGjHh/N69fQDie3R8Mv/peHQrv&#10;dDQXXVnRIcRhnHoUIY0SEB6Il8kjiCPCcxSBLHL5/4PiBwAA//8DAFBLAQItABQABgAIAAAAIQC2&#10;gziS/gAAAOEBAAATAAAAAAAAAAAAAAAAAAAAAABbQ29udGVudF9UeXBlc10ueG1sUEsBAi0AFAAG&#10;AAgAAAAhADj9If/WAAAAlAEAAAsAAAAAAAAAAAAAAAAALwEAAF9yZWxzLy5yZWxzUEsBAi0AFAAG&#10;AAgAAAAhAIf6ajcZAgAAgQQAAA4AAAAAAAAAAAAAAAAALgIAAGRycy9lMm9Eb2MueG1sUEsBAi0A&#10;FAAGAAgAAAAhAPfgYzDgAAAACQEAAA8AAAAAAAAAAAAAAAAAcwQAAGRycy9kb3ducmV2LnhtbFBL&#10;BQYAAAAABAAEAPMAAACABQAAAAA=&#10;">
                <v:rect id="Rectangle 15827" o:spid="_x0000_s2196"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DIxQAAAN4AAAAPAAAAZHJzL2Rvd25yZXYueG1sRE9La8JA&#10;EL4X/A/LCN7qRqFtiK4iijSHXuoDPA7ZMYlmZ5fsamJ/fbdQ8DYf33Pmy9404k6try0rmIwTEMSF&#10;1TWXCg777WsKwgdkjY1lUvAgD8vF4GWOmbYdf9N9F0oRQ9hnqKAKwWVS+qIig35sHXHkzrY1GCJs&#10;S6lb7GK4aeQ0Sd6lwZpjQ4WO1hUV193NKDht2OXbThbnn7X7uuRp83k7HJUaDfvVDESgPjzF/+5c&#10;x/lv6fQD/t6JN8jFLwAAAP//AwBQSwECLQAUAAYACAAAACEA2+H2y+4AAACFAQAAEwAAAAAAAAAA&#10;AAAAAAAAAAAAW0NvbnRlbnRfVHlwZXNdLnhtbFBLAQItABQABgAIAAAAIQBa9CxbvwAAABUBAAAL&#10;AAAAAAAAAAAAAAAAAB8BAABfcmVscy8ucmVsc1BLAQItABQABgAIAAAAIQDc8+DIxQAAAN4AAAAP&#10;AAAAAAAAAAAAAAAAAAcCAABkcnMvZG93bnJldi54bWxQSwUGAAAAAAMAAwC3AAAA+QIAAAAA&#10;" filled="f" stroked="f">
                  <v:textbox inset="0,0,0,0">
                    <w:txbxContent>
                      <w:p w14:paraId="113FB67F" w14:textId="77777777" w:rsidR="00B32EF2" w:rsidRDefault="00000000">
                        <w:r>
                          <w:rPr>
                            <w:rFonts w:ascii="Times New Roman" w:eastAsia="Times New Roman" w:hAnsi="Times New Roman" w:cs="Times New Roman"/>
                          </w:rPr>
                          <w:t>88</w:t>
                        </w:r>
                      </w:p>
                    </w:txbxContent>
                  </v:textbox>
                </v:rect>
                <w10:wrap type="topAndBottom" anchorx="page" anchory="page"/>
              </v:group>
            </w:pict>
          </mc:Fallback>
        </mc:AlternateContent>
      </w:r>
    </w:p>
    <w:p w14:paraId="7E3BB3D3" w14:textId="77777777" w:rsidR="00B32EF2" w:rsidRDefault="00000000">
      <w:pPr>
        <w:spacing w:after="0"/>
        <w:ind w:left="-356" w:right="-306"/>
      </w:pPr>
      <w:r>
        <w:rPr>
          <w:noProof/>
        </w:rPr>
        <w:lastRenderedPageBreak/>
        <mc:AlternateContent>
          <mc:Choice Requires="wpg">
            <w:drawing>
              <wp:inline distT="0" distB="0" distL="0" distR="0" wp14:anchorId="41A3FC31" wp14:editId="4B0EB7B8">
                <wp:extent cx="3991817" cy="5366263"/>
                <wp:effectExtent l="0" t="0" r="0" b="0"/>
                <wp:docPr id="200249" name="Group 200249"/>
                <wp:cNvGraphicFramePr/>
                <a:graphic xmlns:a="http://schemas.openxmlformats.org/drawingml/2006/main">
                  <a:graphicData uri="http://schemas.microsoft.com/office/word/2010/wordprocessingGroup">
                    <wpg:wgp>
                      <wpg:cNvGrpSpPr/>
                      <wpg:grpSpPr>
                        <a:xfrm>
                          <a:off x="0" y="0"/>
                          <a:ext cx="3991817" cy="5366263"/>
                          <a:chOff x="0" y="0"/>
                          <a:chExt cx="3991817" cy="5366263"/>
                        </a:xfrm>
                      </wpg:grpSpPr>
                      <wps:wsp>
                        <wps:cNvPr id="15829" name="Rectangle 15829"/>
                        <wps:cNvSpPr/>
                        <wps:spPr>
                          <a:xfrm rot="-10799999">
                            <a:off x="1506514" y="5223374"/>
                            <a:ext cx="810748" cy="142889"/>
                          </a:xfrm>
                          <a:prstGeom prst="rect">
                            <a:avLst/>
                          </a:prstGeom>
                          <a:ln>
                            <a:noFill/>
                          </a:ln>
                        </wps:spPr>
                        <wps:txbx>
                          <w:txbxContent>
                            <w:p w14:paraId="0AF66085" w14:textId="77777777" w:rsidR="00B32EF2" w:rsidRDefault="00000000">
                              <w:r>
                                <w:rPr>
                                  <w:rFonts w:ascii="Arial" w:eastAsia="Arial" w:hAnsi="Arial" w:cs="Arial"/>
                                  <w:b/>
                                  <w:sz w:val="18"/>
                                </w:rPr>
                                <w:t>Articolo 98</w:t>
                              </w:r>
                            </w:p>
                          </w:txbxContent>
                        </wps:txbx>
                        <wps:bodyPr horzOverflow="overflow" vert="horz" lIns="0" tIns="0" rIns="0" bIns="0" rtlCol="0">
                          <a:noAutofit/>
                        </wps:bodyPr>
                      </wps:wsp>
                      <wps:wsp>
                        <wps:cNvPr id="200215" name="Rectangle 200215"/>
                        <wps:cNvSpPr/>
                        <wps:spPr>
                          <a:xfrm rot="-10799999">
                            <a:off x="-569778" y="5100044"/>
                            <a:ext cx="2165693" cy="142890"/>
                          </a:xfrm>
                          <a:prstGeom prst="rect">
                            <a:avLst/>
                          </a:prstGeom>
                          <a:ln>
                            <a:noFill/>
                          </a:ln>
                        </wps:spPr>
                        <wps:txbx>
                          <w:txbxContent>
                            <w:p w14:paraId="6E6B1859"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216" name="Rectangle 200216"/>
                        <wps:cNvSpPr/>
                        <wps:spPr>
                          <a:xfrm rot="-10799999">
                            <a:off x="1023403" y="5100044"/>
                            <a:ext cx="2165694" cy="142890"/>
                          </a:xfrm>
                          <a:prstGeom prst="rect">
                            <a:avLst/>
                          </a:prstGeom>
                          <a:ln>
                            <a:noFill/>
                          </a:ln>
                        </wps:spPr>
                        <wps:txbx>
                          <w:txbxContent>
                            <w:p w14:paraId="03115FE3" w14:textId="77777777" w:rsidR="00B32EF2" w:rsidRDefault="00000000">
                              <w:r>
                                <w:rPr>
                                  <w:rFonts w:ascii="Arial" w:eastAsia="Arial" w:hAnsi="Arial" w:cs="Arial"/>
                                  <w:i/>
                                  <w:sz w:val="18"/>
                                </w:rPr>
                                <w:t xml:space="preserve">articolo 47-ter D.lgs. n. </w:t>
                              </w:r>
                            </w:p>
                          </w:txbxContent>
                        </wps:txbx>
                        <wps:bodyPr horzOverflow="overflow" vert="horz" lIns="0" tIns="0" rIns="0" bIns="0" rtlCol="0">
                          <a:noAutofit/>
                        </wps:bodyPr>
                      </wps:wsp>
                      <wps:wsp>
                        <wps:cNvPr id="200214" name="Rectangle 200214"/>
                        <wps:cNvSpPr/>
                        <wps:spPr>
                          <a:xfrm rot="-10799999">
                            <a:off x="2250482" y="5100044"/>
                            <a:ext cx="2165694" cy="142890"/>
                          </a:xfrm>
                          <a:prstGeom prst="rect">
                            <a:avLst/>
                          </a:prstGeom>
                          <a:ln>
                            <a:noFill/>
                          </a:ln>
                        </wps:spPr>
                        <wps:txbx>
                          <w:txbxContent>
                            <w:p w14:paraId="0916CA5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831" name="Rectangle 15831"/>
                        <wps:cNvSpPr/>
                        <wps:spPr>
                          <a:xfrm rot="-10799999">
                            <a:off x="-846137" y="4976715"/>
                            <a:ext cx="4553973" cy="142889"/>
                          </a:xfrm>
                          <a:prstGeom prst="rect">
                            <a:avLst/>
                          </a:prstGeom>
                          <a:ln>
                            <a:noFill/>
                          </a:ln>
                        </wps:spPr>
                        <wps:txbx>
                          <w:txbxContent>
                            <w:p w14:paraId="6F0B967E" w14:textId="77777777" w:rsidR="00B32EF2" w:rsidRDefault="00000000">
                              <w:r>
                                <w:rPr>
                                  <w:rFonts w:ascii="Arial" w:eastAsia="Arial" w:hAnsi="Arial" w:cs="Arial"/>
                                  <w:b/>
                                  <w:sz w:val="18"/>
                                </w:rPr>
                                <w:t xml:space="preserve">Definizione del giudizio in esito alla domanda di sospensione </w:t>
                              </w:r>
                            </w:p>
                          </w:txbxContent>
                        </wps:txbx>
                        <wps:bodyPr horzOverflow="overflow" vert="horz" lIns="0" tIns="0" rIns="0" bIns="0" rtlCol="0">
                          <a:noAutofit/>
                        </wps:bodyPr>
                      </wps:wsp>
                      <wps:wsp>
                        <wps:cNvPr id="200213" name="Rectangle 200213"/>
                        <wps:cNvSpPr/>
                        <wps:spPr>
                          <a:xfrm rot="-10799999">
                            <a:off x="-1376417" y="4853385"/>
                            <a:ext cx="5308990" cy="142889"/>
                          </a:xfrm>
                          <a:prstGeom prst="rect">
                            <a:avLst/>
                          </a:prstGeom>
                          <a:ln>
                            <a:noFill/>
                          </a:ln>
                        </wps:spPr>
                        <wps:txbx>
                          <w:txbxContent>
                            <w:p w14:paraId="5599F2E2" w14:textId="77777777" w:rsidR="00B32EF2" w:rsidRDefault="00000000">
                              <w:r>
                                <w:rPr>
                                  <w:rFonts w:ascii="Arial" w:eastAsia="Arial" w:hAnsi="Arial" w:cs="Arial"/>
                                  <w:sz w:val="18"/>
                                </w:rPr>
                                <w:t xml:space="preserve">. Escluso il caso di pronuncia su reclamo, il collegio, in sede di decisione della </w:t>
                              </w:r>
                            </w:p>
                          </w:txbxContent>
                        </wps:txbx>
                        <wps:bodyPr horzOverflow="overflow" vert="horz" lIns="0" tIns="0" rIns="0" bIns="0" rtlCol="0">
                          <a:noAutofit/>
                        </wps:bodyPr>
                      </wps:wsp>
                      <wps:wsp>
                        <wps:cNvPr id="200212" name="Rectangle 200212"/>
                        <wps:cNvSpPr/>
                        <wps:spPr>
                          <a:xfrm rot="-10799999">
                            <a:off x="2610938" y="4853385"/>
                            <a:ext cx="5308989" cy="142889"/>
                          </a:xfrm>
                          <a:prstGeom prst="rect">
                            <a:avLst/>
                          </a:prstGeom>
                          <a:ln>
                            <a:noFill/>
                          </a:ln>
                        </wps:spPr>
                        <wps:txbx>
                          <w:txbxContent>
                            <w:p w14:paraId="54DC97BB"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5833" name="Rectangle 15833"/>
                        <wps:cNvSpPr/>
                        <wps:spPr>
                          <a:xfrm rot="-10799999">
                            <a:off x="-1317249" y="4730056"/>
                            <a:ext cx="5309006" cy="142889"/>
                          </a:xfrm>
                          <a:prstGeom prst="rect">
                            <a:avLst/>
                          </a:prstGeom>
                          <a:ln>
                            <a:noFill/>
                          </a:ln>
                        </wps:spPr>
                        <wps:txbx>
                          <w:txbxContent>
                            <w:p w14:paraId="32F2CB43" w14:textId="77777777" w:rsidR="00B32EF2" w:rsidRDefault="00000000">
                              <w:r>
                                <w:rPr>
                                  <w:rFonts w:ascii="Arial" w:eastAsia="Arial" w:hAnsi="Arial" w:cs="Arial"/>
                                  <w:sz w:val="18"/>
                                </w:rPr>
                                <w:t xml:space="preserve">domanda cautelare, trascorsi almeno venti giorni dall’ultima notificazione del </w:t>
                              </w:r>
                            </w:p>
                          </w:txbxContent>
                        </wps:txbx>
                        <wps:bodyPr horzOverflow="overflow" vert="horz" lIns="0" tIns="0" rIns="0" bIns="0" rtlCol="0">
                          <a:noAutofit/>
                        </wps:bodyPr>
                      </wps:wsp>
                      <wps:wsp>
                        <wps:cNvPr id="15834" name="Rectangle 15834"/>
                        <wps:cNvSpPr/>
                        <wps:spPr>
                          <a:xfrm rot="-10799999">
                            <a:off x="-1317264" y="4606726"/>
                            <a:ext cx="5309021" cy="142889"/>
                          </a:xfrm>
                          <a:prstGeom prst="rect">
                            <a:avLst/>
                          </a:prstGeom>
                          <a:ln>
                            <a:noFill/>
                          </a:ln>
                        </wps:spPr>
                        <wps:txbx>
                          <w:txbxContent>
                            <w:p w14:paraId="0C9A9A73" w14:textId="77777777" w:rsidR="00B32EF2" w:rsidRDefault="00000000">
                              <w:r>
                                <w:rPr>
                                  <w:rFonts w:ascii="Arial" w:eastAsia="Arial" w:hAnsi="Arial" w:cs="Arial"/>
                                  <w:sz w:val="18"/>
                                </w:rPr>
                                <w:t xml:space="preserve">ricorso, accertata la completezza del contraddittorio e dell’istruttoria, sentite </w:t>
                              </w:r>
                            </w:p>
                          </w:txbxContent>
                        </wps:txbx>
                        <wps:bodyPr horzOverflow="overflow" vert="horz" lIns="0" tIns="0" rIns="0" bIns="0" rtlCol="0">
                          <a:noAutofit/>
                        </wps:bodyPr>
                      </wps:wsp>
                      <wps:wsp>
                        <wps:cNvPr id="15835" name="Rectangle 15835"/>
                        <wps:cNvSpPr/>
                        <wps:spPr>
                          <a:xfrm rot="-10799999">
                            <a:off x="-1317279" y="4483396"/>
                            <a:ext cx="5309035" cy="142889"/>
                          </a:xfrm>
                          <a:prstGeom prst="rect">
                            <a:avLst/>
                          </a:prstGeom>
                          <a:ln>
                            <a:noFill/>
                          </a:ln>
                        </wps:spPr>
                        <wps:txbx>
                          <w:txbxContent>
                            <w:p w14:paraId="5496B705" w14:textId="77777777" w:rsidR="00B32EF2" w:rsidRDefault="00000000">
                              <w:r>
                                <w:rPr>
                                  <w:rFonts w:ascii="Arial" w:eastAsia="Arial" w:hAnsi="Arial" w:cs="Arial"/>
                                  <w:sz w:val="18"/>
                                </w:rPr>
                                <w:t xml:space="preserve">sul punto le parti costituite, può definire, in camera di consiglio, il giudizio con </w:t>
                              </w:r>
                            </w:p>
                          </w:txbxContent>
                        </wps:txbx>
                        <wps:bodyPr horzOverflow="overflow" vert="horz" lIns="0" tIns="0" rIns="0" bIns="0" rtlCol="0">
                          <a:noAutofit/>
                        </wps:bodyPr>
                      </wps:wsp>
                      <wps:wsp>
                        <wps:cNvPr id="15836" name="Rectangle 15836"/>
                        <wps:cNvSpPr/>
                        <wps:spPr>
                          <a:xfrm rot="-10799999">
                            <a:off x="-1317264" y="4360067"/>
                            <a:ext cx="5309021" cy="142889"/>
                          </a:xfrm>
                          <a:prstGeom prst="rect">
                            <a:avLst/>
                          </a:prstGeom>
                          <a:ln>
                            <a:noFill/>
                          </a:ln>
                        </wps:spPr>
                        <wps:txbx>
                          <w:txbxContent>
                            <w:p w14:paraId="2BB0690B" w14:textId="77777777" w:rsidR="00B32EF2" w:rsidRDefault="00000000">
                              <w:r>
                                <w:rPr>
                                  <w:rFonts w:ascii="Arial" w:eastAsia="Arial" w:hAnsi="Arial" w:cs="Arial"/>
                                  <w:sz w:val="18"/>
                                </w:rPr>
                                <w:t xml:space="preserve">sentenza in forma semplificata ai sensi del comma 3, salvo che una delle parti </w:t>
                              </w:r>
                            </w:p>
                          </w:txbxContent>
                        </wps:txbx>
                        <wps:bodyPr horzOverflow="overflow" vert="horz" lIns="0" tIns="0" rIns="0" bIns="0" rtlCol="0">
                          <a:noAutofit/>
                        </wps:bodyPr>
                      </wps:wsp>
                      <wps:wsp>
                        <wps:cNvPr id="15837" name="Rectangle 15837"/>
                        <wps:cNvSpPr/>
                        <wps:spPr>
                          <a:xfrm rot="-10799999">
                            <a:off x="-1317279" y="4236737"/>
                            <a:ext cx="5309035" cy="142889"/>
                          </a:xfrm>
                          <a:prstGeom prst="rect">
                            <a:avLst/>
                          </a:prstGeom>
                          <a:ln>
                            <a:noFill/>
                          </a:ln>
                        </wps:spPr>
                        <wps:txbx>
                          <w:txbxContent>
                            <w:p w14:paraId="740588F1" w14:textId="77777777" w:rsidR="00B32EF2" w:rsidRDefault="00000000">
                              <w:r>
                                <w:rPr>
                                  <w:rFonts w:ascii="Arial" w:eastAsia="Arial" w:hAnsi="Arial" w:cs="Arial"/>
                                  <w:sz w:val="18"/>
                                </w:rPr>
                                <w:t xml:space="preserve">dichiari di voler proporre motivi aggiunti ovvero regolamento di giurisdizione. </w:t>
                              </w:r>
                            </w:p>
                          </w:txbxContent>
                        </wps:txbx>
                        <wps:bodyPr horzOverflow="overflow" vert="horz" lIns="0" tIns="0" rIns="0" bIns="0" rtlCol="0">
                          <a:noAutofit/>
                        </wps:bodyPr>
                      </wps:wsp>
                      <wps:wsp>
                        <wps:cNvPr id="15838" name="Rectangle 15838"/>
                        <wps:cNvSpPr/>
                        <wps:spPr>
                          <a:xfrm rot="-10799999">
                            <a:off x="-1220899" y="4113407"/>
                            <a:ext cx="5212656" cy="142889"/>
                          </a:xfrm>
                          <a:prstGeom prst="rect">
                            <a:avLst/>
                          </a:prstGeom>
                          <a:ln>
                            <a:noFill/>
                          </a:ln>
                        </wps:spPr>
                        <wps:txbx>
                          <w:txbxContent>
                            <w:p w14:paraId="6CCFA645" w14:textId="77777777" w:rsidR="00B32EF2" w:rsidRDefault="00000000">
                              <w:r>
                                <w:rPr>
                                  <w:rFonts w:ascii="Arial" w:eastAsia="Arial" w:hAnsi="Arial" w:cs="Arial"/>
                                  <w:sz w:val="18"/>
                                </w:rPr>
                                <w:t>Ove ne ricorrano i presupposti, il collegio dispone l’integrazione del contrad</w:t>
                              </w:r>
                            </w:p>
                          </w:txbxContent>
                        </wps:txbx>
                        <wps:bodyPr horzOverflow="overflow" vert="horz" lIns="0" tIns="0" rIns="0" bIns="0" rtlCol="0">
                          <a:noAutofit/>
                        </wps:bodyPr>
                      </wps:wsp>
                      <wps:wsp>
                        <wps:cNvPr id="15839" name="Rectangle 15839"/>
                        <wps:cNvSpPr/>
                        <wps:spPr>
                          <a:xfrm rot="-10799999">
                            <a:off x="19158" y="4113407"/>
                            <a:ext cx="50622" cy="142889"/>
                          </a:xfrm>
                          <a:prstGeom prst="rect">
                            <a:avLst/>
                          </a:prstGeom>
                          <a:ln>
                            <a:noFill/>
                          </a:ln>
                        </wps:spPr>
                        <wps:txbx>
                          <w:txbxContent>
                            <w:p w14:paraId="7B3671E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840" name="Rectangle 15840"/>
                        <wps:cNvSpPr/>
                        <wps:spPr>
                          <a:xfrm rot="-10799999">
                            <a:off x="-1317203" y="3990078"/>
                            <a:ext cx="5308960" cy="142889"/>
                          </a:xfrm>
                          <a:prstGeom prst="rect">
                            <a:avLst/>
                          </a:prstGeom>
                          <a:ln>
                            <a:noFill/>
                          </a:ln>
                        </wps:spPr>
                        <wps:txbx>
                          <w:txbxContent>
                            <w:p w14:paraId="2D7B69E1" w14:textId="77777777" w:rsidR="00B32EF2" w:rsidRDefault="00000000">
                              <w:r>
                                <w:rPr>
                                  <w:rFonts w:ascii="Arial" w:eastAsia="Arial" w:hAnsi="Arial" w:cs="Arial"/>
                                  <w:sz w:val="18"/>
                                </w:rPr>
                                <w:t xml:space="preserve">dittorio o il rinvio per consentire la proposizione di motivi aggiunti ovvero del </w:t>
                              </w:r>
                            </w:p>
                          </w:txbxContent>
                        </wps:txbx>
                        <wps:bodyPr horzOverflow="overflow" vert="horz" lIns="0" tIns="0" rIns="0" bIns="0" rtlCol="0">
                          <a:noAutofit/>
                        </wps:bodyPr>
                      </wps:wsp>
                      <wps:wsp>
                        <wps:cNvPr id="15841" name="Rectangle 15841"/>
                        <wps:cNvSpPr/>
                        <wps:spPr>
                          <a:xfrm rot="-10799999">
                            <a:off x="-1317249" y="3866748"/>
                            <a:ext cx="5309006" cy="142889"/>
                          </a:xfrm>
                          <a:prstGeom prst="rect">
                            <a:avLst/>
                          </a:prstGeom>
                          <a:ln>
                            <a:noFill/>
                          </a:ln>
                        </wps:spPr>
                        <wps:txbx>
                          <w:txbxContent>
                            <w:p w14:paraId="0AFBC01A" w14:textId="77777777" w:rsidR="00B32EF2" w:rsidRDefault="00000000">
                              <w:r>
                                <w:rPr>
                                  <w:rFonts w:ascii="Arial" w:eastAsia="Arial" w:hAnsi="Arial" w:cs="Arial"/>
                                  <w:sz w:val="18"/>
                                </w:rPr>
                                <w:t xml:space="preserve">regolamento di giurisdizione, fissando contestualmente la data per il prosieguo </w:t>
                              </w:r>
                            </w:p>
                          </w:txbxContent>
                        </wps:txbx>
                        <wps:bodyPr horzOverflow="overflow" vert="horz" lIns="0" tIns="0" rIns="0" bIns="0" rtlCol="0">
                          <a:noAutofit/>
                        </wps:bodyPr>
                      </wps:wsp>
                      <wps:wsp>
                        <wps:cNvPr id="15842" name="Rectangle 15842"/>
                        <wps:cNvSpPr/>
                        <wps:spPr>
                          <a:xfrm rot="-10799999">
                            <a:off x="2856448" y="3743418"/>
                            <a:ext cx="1135308" cy="142889"/>
                          </a:xfrm>
                          <a:prstGeom prst="rect">
                            <a:avLst/>
                          </a:prstGeom>
                          <a:ln>
                            <a:noFill/>
                          </a:ln>
                        </wps:spPr>
                        <wps:txbx>
                          <w:txbxContent>
                            <w:p w14:paraId="21EF35E5" w14:textId="77777777" w:rsidR="00B32EF2" w:rsidRDefault="00000000">
                              <w:r>
                                <w:rPr>
                                  <w:rFonts w:ascii="Arial" w:eastAsia="Arial" w:hAnsi="Arial" w:cs="Arial"/>
                                  <w:sz w:val="18"/>
                                </w:rPr>
                                <w:t>della trattazione.</w:t>
                              </w:r>
                            </w:p>
                          </w:txbxContent>
                        </wps:txbx>
                        <wps:bodyPr horzOverflow="overflow" vert="horz" lIns="0" tIns="0" rIns="0" bIns="0" rtlCol="0">
                          <a:noAutofit/>
                        </wps:bodyPr>
                      </wps:wsp>
                      <wps:wsp>
                        <wps:cNvPr id="200211" name="Rectangle 200211"/>
                        <wps:cNvSpPr/>
                        <wps:spPr>
                          <a:xfrm rot="-10799999">
                            <a:off x="-1283677" y="3620088"/>
                            <a:ext cx="5210878" cy="142889"/>
                          </a:xfrm>
                          <a:prstGeom prst="rect">
                            <a:avLst/>
                          </a:prstGeom>
                          <a:ln>
                            <a:noFill/>
                          </a:ln>
                        </wps:spPr>
                        <wps:txbx>
                          <w:txbxContent>
                            <w:p w14:paraId="3FE7013E" w14:textId="77777777" w:rsidR="00B32EF2" w:rsidRDefault="00000000">
                              <w:r>
                                <w:rPr>
                                  <w:rFonts w:ascii="Arial" w:eastAsia="Arial" w:hAnsi="Arial" w:cs="Arial"/>
                                  <w:sz w:val="18"/>
                                </w:rPr>
                                <w:t>. Le disposizioni del comma 1 si applicano anche quando la domanda caute</w:t>
                              </w:r>
                            </w:p>
                          </w:txbxContent>
                        </wps:txbx>
                        <wps:bodyPr horzOverflow="overflow" vert="horz" lIns="0" tIns="0" rIns="0" bIns="0" rtlCol="0">
                          <a:noAutofit/>
                        </wps:bodyPr>
                      </wps:wsp>
                      <wps:wsp>
                        <wps:cNvPr id="200210" name="Rectangle 200210"/>
                        <wps:cNvSpPr/>
                        <wps:spPr>
                          <a:xfrm rot="-10799999">
                            <a:off x="2635282" y="3620088"/>
                            <a:ext cx="5210878" cy="142889"/>
                          </a:xfrm>
                          <a:prstGeom prst="rect">
                            <a:avLst/>
                          </a:prstGeom>
                          <a:ln>
                            <a:noFill/>
                          </a:ln>
                        </wps:spPr>
                        <wps:txbx>
                          <w:txbxContent>
                            <w:p w14:paraId="30E5B21E"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5844" name="Rectangle 15844"/>
                        <wps:cNvSpPr/>
                        <wps:spPr>
                          <a:xfrm rot="-10799999">
                            <a:off x="19158" y="3620088"/>
                            <a:ext cx="50622" cy="142889"/>
                          </a:xfrm>
                          <a:prstGeom prst="rect">
                            <a:avLst/>
                          </a:prstGeom>
                          <a:ln>
                            <a:noFill/>
                          </a:ln>
                        </wps:spPr>
                        <wps:txbx>
                          <w:txbxContent>
                            <w:p w14:paraId="465ACB9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845" name="Rectangle 15845"/>
                        <wps:cNvSpPr/>
                        <wps:spPr>
                          <a:xfrm rot="-10799999">
                            <a:off x="774851" y="3496759"/>
                            <a:ext cx="3216905" cy="142889"/>
                          </a:xfrm>
                          <a:prstGeom prst="rect">
                            <a:avLst/>
                          </a:prstGeom>
                          <a:ln>
                            <a:noFill/>
                          </a:ln>
                        </wps:spPr>
                        <wps:txbx>
                          <w:txbxContent>
                            <w:p w14:paraId="7E6D4A52" w14:textId="77777777" w:rsidR="00B32EF2" w:rsidRDefault="00000000">
                              <w:r>
                                <w:rPr>
                                  <w:rFonts w:ascii="Arial" w:eastAsia="Arial" w:hAnsi="Arial" w:cs="Arial"/>
                                  <w:sz w:val="18"/>
                                </w:rPr>
                                <w:t xml:space="preserve">lare è proposta innanzi al giudice monocratico. </w:t>
                              </w:r>
                            </w:p>
                          </w:txbxContent>
                        </wps:txbx>
                        <wps:bodyPr horzOverflow="overflow" vert="horz" lIns="0" tIns="0" rIns="0" bIns="0" rtlCol="0">
                          <a:noAutofit/>
                        </wps:bodyPr>
                      </wps:wsp>
                      <wps:wsp>
                        <wps:cNvPr id="200208" name="Rectangle 200208"/>
                        <wps:cNvSpPr/>
                        <wps:spPr>
                          <a:xfrm rot="-10799999">
                            <a:off x="2634316" y="3373429"/>
                            <a:ext cx="5214769" cy="142889"/>
                          </a:xfrm>
                          <a:prstGeom prst="rect">
                            <a:avLst/>
                          </a:prstGeom>
                          <a:ln>
                            <a:noFill/>
                          </a:ln>
                        </wps:spPr>
                        <wps:txbx>
                          <w:txbxContent>
                            <w:p w14:paraId="5C4AD0CC"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0209" name="Rectangle 200209"/>
                        <wps:cNvSpPr/>
                        <wps:spPr>
                          <a:xfrm rot="-10799999">
                            <a:off x="-1286402" y="3373429"/>
                            <a:ext cx="5214769" cy="142889"/>
                          </a:xfrm>
                          <a:prstGeom prst="rect">
                            <a:avLst/>
                          </a:prstGeom>
                          <a:ln>
                            <a:noFill/>
                          </a:ln>
                        </wps:spPr>
                        <wps:txbx>
                          <w:txbxContent>
                            <w:p w14:paraId="4FBBB8B7" w14:textId="77777777" w:rsidR="00B32EF2" w:rsidRDefault="00000000">
                              <w:r>
                                <w:rPr>
                                  <w:rFonts w:ascii="Arial" w:eastAsia="Arial" w:hAnsi="Arial" w:cs="Arial"/>
                                  <w:sz w:val="18"/>
                                </w:rPr>
                                <w:t>. Il giudice decide con sentenza in forma semplificata quando ravvisa la ma</w:t>
                              </w:r>
                            </w:p>
                          </w:txbxContent>
                        </wps:txbx>
                        <wps:bodyPr horzOverflow="overflow" vert="horz" lIns="0" tIns="0" rIns="0" bIns="0" rtlCol="0">
                          <a:noAutofit/>
                        </wps:bodyPr>
                      </wps:wsp>
                      <wps:wsp>
                        <wps:cNvPr id="15847" name="Rectangle 15847"/>
                        <wps:cNvSpPr/>
                        <wps:spPr>
                          <a:xfrm rot="-10799999">
                            <a:off x="19158" y="3373429"/>
                            <a:ext cx="50622" cy="142889"/>
                          </a:xfrm>
                          <a:prstGeom prst="rect">
                            <a:avLst/>
                          </a:prstGeom>
                          <a:ln>
                            <a:noFill/>
                          </a:ln>
                        </wps:spPr>
                        <wps:txbx>
                          <w:txbxContent>
                            <w:p w14:paraId="6B712BE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848" name="Rectangle 15848"/>
                        <wps:cNvSpPr/>
                        <wps:spPr>
                          <a:xfrm rot="-10799999">
                            <a:off x="-1317087" y="3250099"/>
                            <a:ext cx="5309416" cy="142889"/>
                          </a:xfrm>
                          <a:prstGeom prst="rect">
                            <a:avLst/>
                          </a:prstGeom>
                          <a:ln>
                            <a:noFill/>
                          </a:ln>
                        </wps:spPr>
                        <wps:txbx>
                          <w:txbxContent>
                            <w:p w14:paraId="36A362B9" w14:textId="77777777" w:rsidR="00B32EF2" w:rsidRDefault="00000000">
                              <w:r>
                                <w:rPr>
                                  <w:rFonts w:ascii="Arial" w:eastAsia="Arial" w:hAnsi="Arial" w:cs="Arial"/>
                                  <w:sz w:val="18"/>
                                </w:rPr>
                                <w:t xml:space="preserve">nifesta fondatezza, inammissibilità, improcedibilità o infondatezza del ricorso. </w:t>
                              </w:r>
                            </w:p>
                          </w:txbxContent>
                        </wps:txbx>
                        <wps:bodyPr horzOverflow="overflow" vert="horz" lIns="0" tIns="0" rIns="0" bIns="0" rtlCol="0">
                          <a:noAutofit/>
                        </wps:bodyPr>
                      </wps:wsp>
                      <wps:wsp>
                        <wps:cNvPr id="15849" name="Rectangle 15849"/>
                        <wps:cNvSpPr/>
                        <wps:spPr>
                          <a:xfrm rot="-10799999">
                            <a:off x="-1317233" y="3126770"/>
                            <a:ext cx="5308990" cy="142889"/>
                          </a:xfrm>
                          <a:prstGeom prst="rect">
                            <a:avLst/>
                          </a:prstGeom>
                          <a:ln>
                            <a:noFill/>
                          </a:ln>
                        </wps:spPr>
                        <wps:txbx>
                          <w:txbxContent>
                            <w:p w14:paraId="2314AD77" w14:textId="77777777" w:rsidR="00B32EF2" w:rsidRDefault="00000000">
                              <w:r>
                                <w:rPr>
                                  <w:rFonts w:ascii="Arial" w:eastAsia="Arial" w:hAnsi="Arial" w:cs="Arial"/>
                                  <w:sz w:val="18"/>
                                </w:rPr>
                                <w:t xml:space="preserve">La motivazione della sentenza può consistere in un sintetico riferimento al </w:t>
                              </w:r>
                            </w:p>
                          </w:txbxContent>
                        </wps:txbx>
                        <wps:bodyPr horzOverflow="overflow" vert="horz" lIns="0" tIns="0" rIns="0" bIns="0" rtlCol="0">
                          <a:noAutofit/>
                        </wps:bodyPr>
                      </wps:wsp>
                      <wps:wsp>
                        <wps:cNvPr id="15850" name="Rectangle 15850"/>
                        <wps:cNvSpPr/>
                        <wps:spPr>
                          <a:xfrm rot="-10799999">
                            <a:off x="-1317203" y="3003440"/>
                            <a:ext cx="5308960" cy="142889"/>
                          </a:xfrm>
                          <a:prstGeom prst="rect">
                            <a:avLst/>
                          </a:prstGeom>
                          <a:ln>
                            <a:noFill/>
                          </a:ln>
                        </wps:spPr>
                        <wps:txbx>
                          <w:txbxContent>
                            <w:p w14:paraId="5F9DABD6" w14:textId="77777777" w:rsidR="00B32EF2" w:rsidRDefault="00000000">
                              <w:r>
                                <w:rPr>
                                  <w:rFonts w:ascii="Arial" w:eastAsia="Arial" w:hAnsi="Arial" w:cs="Arial"/>
                                  <w:sz w:val="18"/>
                                </w:rPr>
                                <w:t xml:space="preserve">punto di fatto o di diritto ritenuto risolutivo ovvero, se del caso, a un precedente </w:t>
                              </w:r>
                            </w:p>
                          </w:txbxContent>
                        </wps:txbx>
                        <wps:bodyPr horzOverflow="overflow" vert="horz" lIns="0" tIns="0" rIns="0" bIns="0" rtlCol="0">
                          <a:noAutofit/>
                        </wps:bodyPr>
                      </wps:wsp>
                      <wps:wsp>
                        <wps:cNvPr id="15851" name="Rectangle 15851"/>
                        <wps:cNvSpPr/>
                        <wps:spPr>
                          <a:xfrm rot="-10799999">
                            <a:off x="3305206" y="2880110"/>
                            <a:ext cx="685864" cy="142889"/>
                          </a:xfrm>
                          <a:prstGeom prst="rect">
                            <a:avLst/>
                          </a:prstGeom>
                          <a:ln>
                            <a:noFill/>
                          </a:ln>
                        </wps:spPr>
                        <wps:txbx>
                          <w:txbxContent>
                            <w:p w14:paraId="393A8FEF" w14:textId="77777777" w:rsidR="00B32EF2" w:rsidRDefault="00000000">
                              <w:r>
                                <w:rPr>
                                  <w:rFonts w:ascii="Arial" w:eastAsia="Arial" w:hAnsi="Arial" w:cs="Arial"/>
                                  <w:sz w:val="18"/>
                                </w:rPr>
                                <w:t>conforme.</w:t>
                              </w:r>
                            </w:p>
                          </w:txbxContent>
                        </wps:txbx>
                        <wps:bodyPr horzOverflow="overflow" vert="horz" lIns="0" tIns="0" rIns="0" bIns="0" rtlCol="0">
                          <a:noAutofit/>
                        </wps:bodyPr>
                      </wps:wsp>
                      <wps:wsp>
                        <wps:cNvPr id="15852" name="Rectangle 15852"/>
                        <wps:cNvSpPr/>
                        <wps:spPr>
                          <a:xfrm rot="-10799999">
                            <a:off x="1506088" y="2633451"/>
                            <a:ext cx="811402" cy="142889"/>
                          </a:xfrm>
                          <a:prstGeom prst="rect">
                            <a:avLst/>
                          </a:prstGeom>
                          <a:ln>
                            <a:noFill/>
                          </a:ln>
                        </wps:spPr>
                        <wps:txbx>
                          <w:txbxContent>
                            <w:p w14:paraId="0E36301C" w14:textId="77777777" w:rsidR="00B32EF2" w:rsidRDefault="00000000">
                              <w:r>
                                <w:rPr>
                                  <w:rFonts w:ascii="Arial" w:eastAsia="Arial" w:hAnsi="Arial" w:cs="Arial"/>
                                  <w:b/>
                                  <w:sz w:val="18"/>
                                </w:rPr>
                                <w:t>Articolo 99</w:t>
                              </w:r>
                            </w:p>
                          </w:txbxContent>
                        </wps:txbx>
                        <wps:bodyPr horzOverflow="overflow" vert="horz" lIns="0" tIns="0" rIns="0" bIns="0" rtlCol="0">
                          <a:noAutofit/>
                        </wps:bodyPr>
                      </wps:wsp>
                      <wps:wsp>
                        <wps:cNvPr id="200207" name="Rectangle 200207"/>
                        <wps:cNvSpPr/>
                        <wps:spPr>
                          <a:xfrm rot="-10799999">
                            <a:off x="1162025" y="2510121"/>
                            <a:ext cx="1943517" cy="142889"/>
                          </a:xfrm>
                          <a:prstGeom prst="rect">
                            <a:avLst/>
                          </a:prstGeom>
                          <a:ln>
                            <a:noFill/>
                          </a:ln>
                        </wps:spPr>
                        <wps:txbx>
                          <w:txbxContent>
                            <w:p w14:paraId="6C201487" w14:textId="77777777" w:rsidR="00B32EF2" w:rsidRDefault="00000000">
                              <w:r>
                                <w:rPr>
                                  <w:rFonts w:ascii="Arial" w:eastAsia="Arial" w:hAnsi="Arial" w:cs="Arial"/>
                                  <w:i/>
                                  <w:sz w:val="18"/>
                                </w:rPr>
                                <w:t xml:space="preserve">articolo 48 D.lgs. n. </w:t>
                              </w:r>
                            </w:p>
                          </w:txbxContent>
                        </wps:txbx>
                        <wps:bodyPr horzOverflow="overflow" vert="horz" lIns="0" tIns="0" rIns="0" bIns="0" rtlCol="0">
                          <a:noAutofit/>
                        </wps:bodyPr>
                      </wps:wsp>
                      <wps:wsp>
                        <wps:cNvPr id="200206" name="Rectangle 200206"/>
                        <wps:cNvSpPr/>
                        <wps:spPr>
                          <a:xfrm rot="-10799999">
                            <a:off x="-264107" y="2510121"/>
                            <a:ext cx="1943517" cy="142889"/>
                          </a:xfrm>
                          <a:prstGeom prst="rect">
                            <a:avLst/>
                          </a:prstGeom>
                          <a:ln>
                            <a:noFill/>
                          </a:ln>
                        </wps:spPr>
                        <wps:txbx>
                          <w:txbxContent>
                            <w:p w14:paraId="60B6D57B"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205" name="Rectangle 200205"/>
                        <wps:cNvSpPr/>
                        <wps:spPr>
                          <a:xfrm rot="-10799999">
                            <a:off x="2222054" y="2510121"/>
                            <a:ext cx="1943517" cy="142889"/>
                          </a:xfrm>
                          <a:prstGeom prst="rect">
                            <a:avLst/>
                          </a:prstGeom>
                          <a:ln>
                            <a:noFill/>
                          </a:ln>
                        </wps:spPr>
                        <wps:txbx>
                          <w:txbxContent>
                            <w:p w14:paraId="75406EB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854" name="Rectangle 15854"/>
                        <wps:cNvSpPr/>
                        <wps:spPr>
                          <a:xfrm rot="-10799999">
                            <a:off x="618502" y="2386792"/>
                            <a:ext cx="2233569" cy="142889"/>
                          </a:xfrm>
                          <a:prstGeom prst="rect">
                            <a:avLst/>
                          </a:prstGeom>
                          <a:ln>
                            <a:noFill/>
                          </a:ln>
                        </wps:spPr>
                        <wps:txbx>
                          <w:txbxContent>
                            <w:p w14:paraId="0CAA2A78" w14:textId="77777777" w:rsidR="00B32EF2" w:rsidRDefault="00000000">
                              <w:r>
                                <w:rPr>
                                  <w:rFonts w:ascii="Arial" w:eastAsia="Arial" w:hAnsi="Arial" w:cs="Arial"/>
                                  <w:b/>
                                  <w:sz w:val="18"/>
                                </w:rPr>
                                <w:t>Conciliazione fuori udienza (1)</w:t>
                              </w:r>
                            </w:p>
                          </w:txbxContent>
                        </wps:txbx>
                        <wps:bodyPr horzOverflow="overflow" vert="horz" lIns="0" tIns="0" rIns="0" bIns="0" rtlCol="0">
                          <a:noAutofit/>
                        </wps:bodyPr>
                      </wps:wsp>
                      <wps:wsp>
                        <wps:cNvPr id="200204" name="Rectangle 200204"/>
                        <wps:cNvSpPr/>
                        <wps:spPr>
                          <a:xfrm rot="-10799999">
                            <a:off x="-1376463" y="2263462"/>
                            <a:ext cx="5309035" cy="142889"/>
                          </a:xfrm>
                          <a:prstGeom prst="rect">
                            <a:avLst/>
                          </a:prstGeom>
                          <a:ln>
                            <a:noFill/>
                          </a:ln>
                        </wps:spPr>
                        <wps:txbx>
                          <w:txbxContent>
                            <w:p w14:paraId="6B78B4F6" w14:textId="77777777" w:rsidR="00B32EF2" w:rsidRDefault="00000000">
                              <w:r>
                                <w:rPr>
                                  <w:rFonts w:ascii="Arial" w:eastAsia="Arial" w:hAnsi="Arial" w:cs="Arial"/>
                                  <w:sz w:val="18"/>
                                </w:rPr>
                                <w:t xml:space="preserve">. Se in pendenza del giudizio le parti raggiungono un accordo conciliativo, </w:t>
                              </w:r>
                            </w:p>
                          </w:txbxContent>
                        </wps:txbx>
                        <wps:bodyPr horzOverflow="overflow" vert="horz" lIns="0" tIns="0" rIns="0" bIns="0" rtlCol="0">
                          <a:noAutofit/>
                        </wps:bodyPr>
                      </wps:wsp>
                      <wps:wsp>
                        <wps:cNvPr id="200203" name="Rectangle 200203"/>
                        <wps:cNvSpPr/>
                        <wps:spPr>
                          <a:xfrm rot="-10799999">
                            <a:off x="2610926" y="2263462"/>
                            <a:ext cx="5309036" cy="142889"/>
                          </a:xfrm>
                          <a:prstGeom prst="rect">
                            <a:avLst/>
                          </a:prstGeom>
                          <a:ln>
                            <a:noFill/>
                          </a:ln>
                        </wps:spPr>
                        <wps:txbx>
                          <w:txbxContent>
                            <w:p w14:paraId="2892CB05"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5856" name="Rectangle 15856"/>
                        <wps:cNvSpPr/>
                        <wps:spPr>
                          <a:xfrm rot="-10799999">
                            <a:off x="-1317217" y="2140132"/>
                            <a:ext cx="5308975" cy="142889"/>
                          </a:xfrm>
                          <a:prstGeom prst="rect">
                            <a:avLst/>
                          </a:prstGeom>
                          <a:ln>
                            <a:noFill/>
                          </a:ln>
                        </wps:spPr>
                        <wps:txbx>
                          <w:txbxContent>
                            <w:p w14:paraId="204C807A" w14:textId="77777777" w:rsidR="00B32EF2" w:rsidRDefault="00000000">
                              <w:r>
                                <w:rPr>
                                  <w:rFonts w:ascii="Arial" w:eastAsia="Arial" w:hAnsi="Arial" w:cs="Arial"/>
                                  <w:sz w:val="18"/>
                                </w:rPr>
                                <w:t xml:space="preserve">presentano istanza congiunta sottoscritta personalmente o dai difensori per la </w:t>
                              </w:r>
                            </w:p>
                          </w:txbxContent>
                        </wps:txbx>
                        <wps:bodyPr horzOverflow="overflow" vert="horz" lIns="0" tIns="0" rIns="0" bIns="0" rtlCol="0">
                          <a:noAutofit/>
                        </wps:bodyPr>
                      </wps:wsp>
                      <wps:wsp>
                        <wps:cNvPr id="15857" name="Rectangle 15857"/>
                        <wps:cNvSpPr/>
                        <wps:spPr>
                          <a:xfrm rot="-10799999">
                            <a:off x="791970" y="2016803"/>
                            <a:ext cx="3199788" cy="142889"/>
                          </a:xfrm>
                          <a:prstGeom prst="rect">
                            <a:avLst/>
                          </a:prstGeom>
                          <a:ln>
                            <a:noFill/>
                          </a:ln>
                        </wps:spPr>
                        <wps:txbx>
                          <w:txbxContent>
                            <w:p w14:paraId="69300563" w14:textId="77777777" w:rsidR="00B32EF2" w:rsidRDefault="00000000">
                              <w:r>
                                <w:rPr>
                                  <w:rFonts w:ascii="Arial" w:eastAsia="Arial" w:hAnsi="Arial" w:cs="Arial"/>
                                  <w:sz w:val="18"/>
                                </w:rPr>
                                <w:t xml:space="preserve">definizione totale o parziale della controversia. </w:t>
                              </w:r>
                            </w:p>
                          </w:txbxContent>
                        </wps:txbx>
                        <wps:bodyPr horzOverflow="overflow" vert="horz" lIns="0" tIns="0" rIns="0" bIns="0" rtlCol="0">
                          <a:noAutofit/>
                        </wps:bodyPr>
                      </wps:wsp>
                      <wps:wsp>
                        <wps:cNvPr id="200201" name="Rectangle 200201"/>
                        <wps:cNvSpPr/>
                        <wps:spPr>
                          <a:xfrm rot="-10799999">
                            <a:off x="2634795" y="1893473"/>
                            <a:ext cx="5212838" cy="142889"/>
                          </a:xfrm>
                          <a:prstGeom prst="rect">
                            <a:avLst/>
                          </a:prstGeom>
                          <a:ln>
                            <a:noFill/>
                          </a:ln>
                        </wps:spPr>
                        <wps:txbx>
                          <w:txbxContent>
                            <w:p w14:paraId="5739FDC1"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202" name="Rectangle 200202"/>
                        <wps:cNvSpPr/>
                        <wps:spPr>
                          <a:xfrm rot="-10799999">
                            <a:off x="-1285637" y="1893473"/>
                            <a:ext cx="5212838" cy="142889"/>
                          </a:xfrm>
                          <a:prstGeom prst="rect">
                            <a:avLst/>
                          </a:prstGeom>
                          <a:ln>
                            <a:noFill/>
                          </a:ln>
                        </wps:spPr>
                        <wps:txbx>
                          <w:txbxContent>
                            <w:p w14:paraId="3E4DFCE5" w14:textId="77777777" w:rsidR="00B32EF2" w:rsidRDefault="00000000">
                              <w:r>
                                <w:rPr>
                                  <w:rFonts w:ascii="Arial" w:eastAsia="Arial" w:hAnsi="Arial" w:cs="Arial"/>
                                  <w:sz w:val="18"/>
                                </w:rPr>
                                <w:t>. Se la data di trattazione è già fissata e sussistono le condizioni di ammis</w:t>
                              </w:r>
                            </w:p>
                          </w:txbxContent>
                        </wps:txbx>
                        <wps:bodyPr horzOverflow="overflow" vert="horz" lIns="0" tIns="0" rIns="0" bIns="0" rtlCol="0">
                          <a:noAutofit/>
                        </wps:bodyPr>
                      </wps:wsp>
                      <wps:wsp>
                        <wps:cNvPr id="15859" name="Rectangle 15859"/>
                        <wps:cNvSpPr/>
                        <wps:spPr>
                          <a:xfrm rot="-10799999">
                            <a:off x="19158" y="1893472"/>
                            <a:ext cx="50622" cy="142889"/>
                          </a:xfrm>
                          <a:prstGeom prst="rect">
                            <a:avLst/>
                          </a:prstGeom>
                          <a:ln>
                            <a:noFill/>
                          </a:ln>
                        </wps:spPr>
                        <wps:txbx>
                          <w:txbxContent>
                            <w:p w14:paraId="7F15B15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860" name="Rectangle 15860"/>
                        <wps:cNvSpPr/>
                        <wps:spPr>
                          <a:xfrm rot="-10799999">
                            <a:off x="-1317278" y="1770142"/>
                            <a:ext cx="5309036" cy="142889"/>
                          </a:xfrm>
                          <a:prstGeom prst="rect">
                            <a:avLst/>
                          </a:prstGeom>
                          <a:ln>
                            <a:noFill/>
                          </a:ln>
                        </wps:spPr>
                        <wps:txbx>
                          <w:txbxContent>
                            <w:p w14:paraId="38288523" w14:textId="77777777" w:rsidR="00B32EF2" w:rsidRDefault="00000000">
                              <w:r>
                                <w:rPr>
                                  <w:rFonts w:ascii="Arial" w:eastAsia="Arial" w:hAnsi="Arial" w:cs="Arial"/>
                                  <w:sz w:val="18"/>
                                </w:rPr>
                                <w:t xml:space="preserve">sibilità, la corte di giustizia tributaria pronuncia sentenza di cessazione della </w:t>
                              </w:r>
                            </w:p>
                          </w:txbxContent>
                        </wps:txbx>
                        <wps:bodyPr horzOverflow="overflow" vert="horz" lIns="0" tIns="0" rIns="0" bIns="0" rtlCol="0">
                          <a:noAutofit/>
                        </wps:bodyPr>
                      </wps:wsp>
                      <wps:wsp>
                        <wps:cNvPr id="15861" name="Rectangle 15861"/>
                        <wps:cNvSpPr/>
                        <wps:spPr>
                          <a:xfrm rot="-10799999">
                            <a:off x="-1317248" y="1646813"/>
                            <a:ext cx="5309005" cy="142889"/>
                          </a:xfrm>
                          <a:prstGeom prst="rect">
                            <a:avLst/>
                          </a:prstGeom>
                          <a:ln>
                            <a:noFill/>
                          </a:ln>
                        </wps:spPr>
                        <wps:txbx>
                          <w:txbxContent>
                            <w:p w14:paraId="5BA850E1" w14:textId="77777777" w:rsidR="00B32EF2" w:rsidRDefault="00000000">
                              <w:r>
                                <w:rPr>
                                  <w:rFonts w:ascii="Arial" w:eastAsia="Arial" w:hAnsi="Arial" w:cs="Arial"/>
                                  <w:sz w:val="18"/>
                                </w:rPr>
                                <w:t xml:space="preserve">materia del contendere. Se l’accordo conciliativo è parziale, la corte dichiara </w:t>
                              </w:r>
                            </w:p>
                          </w:txbxContent>
                        </wps:txbx>
                        <wps:bodyPr horzOverflow="overflow" vert="horz" lIns="0" tIns="0" rIns="0" bIns="0" rtlCol="0">
                          <a:noAutofit/>
                        </wps:bodyPr>
                      </wps:wsp>
                      <wps:wsp>
                        <wps:cNvPr id="15862" name="Rectangle 15862"/>
                        <wps:cNvSpPr/>
                        <wps:spPr>
                          <a:xfrm rot="-10799999">
                            <a:off x="-1317232" y="1523483"/>
                            <a:ext cx="5308990" cy="142889"/>
                          </a:xfrm>
                          <a:prstGeom prst="rect">
                            <a:avLst/>
                          </a:prstGeom>
                          <a:ln>
                            <a:noFill/>
                          </a:ln>
                        </wps:spPr>
                        <wps:txbx>
                          <w:txbxContent>
                            <w:p w14:paraId="516B1E2D" w14:textId="77777777" w:rsidR="00B32EF2" w:rsidRDefault="00000000">
                              <w:r>
                                <w:rPr>
                                  <w:rFonts w:ascii="Arial" w:eastAsia="Arial" w:hAnsi="Arial" w:cs="Arial"/>
                                  <w:sz w:val="18"/>
                                </w:rPr>
                                <w:t xml:space="preserve">con ordinanza la cessazione parziale della materia del contendere e procede </w:t>
                              </w:r>
                            </w:p>
                          </w:txbxContent>
                        </wps:txbx>
                        <wps:bodyPr horzOverflow="overflow" vert="horz" lIns="0" tIns="0" rIns="0" bIns="0" rtlCol="0">
                          <a:noAutofit/>
                        </wps:bodyPr>
                      </wps:wsp>
                      <wps:wsp>
                        <wps:cNvPr id="15863" name="Rectangle 15863"/>
                        <wps:cNvSpPr/>
                        <wps:spPr>
                          <a:xfrm rot="-10799999">
                            <a:off x="1519471" y="1400154"/>
                            <a:ext cx="2472285" cy="142889"/>
                          </a:xfrm>
                          <a:prstGeom prst="rect">
                            <a:avLst/>
                          </a:prstGeom>
                          <a:ln>
                            <a:noFill/>
                          </a:ln>
                        </wps:spPr>
                        <wps:txbx>
                          <w:txbxContent>
                            <w:p w14:paraId="3D2852F0" w14:textId="77777777" w:rsidR="00B32EF2" w:rsidRDefault="00000000">
                              <w:r>
                                <w:rPr>
                                  <w:rFonts w:ascii="Arial" w:eastAsia="Arial" w:hAnsi="Arial" w:cs="Arial"/>
                                  <w:sz w:val="18"/>
                                </w:rPr>
                                <w:t>alla ulteriore trattazione della causa.</w:t>
                              </w:r>
                            </w:p>
                          </w:txbxContent>
                        </wps:txbx>
                        <wps:bodyPr horzOverflow="overflow" vert="horz" lIns="0" tIns="0" rIns="0" bIns="0" rtlCol="0">
                          <a:noAutofit/>
                        </wps:bodyPr>
                      </wps:wsp>
                      <wps:wsp>
                        <wps:cNvPr id="200199" name="Rectangle 200199"/>
                        <wps:cNvSpPr/>
                        <wps:spPr>
                          <a:xfrm rot="-10799999">
                            <a:off x="2610934" y="1276824"/>
                            <a:ext cx="5309005" cy="142889"/>
                          </a:xfrm>
                          <a:prstGeom prst="rect">
                            <a:avLst/>
                          </a:prstGeom>
                          <a:ln>
                            <a:noFill/>
                          </a:ln>
                        </wps:spPr>
                        <wps:txbx>
                          <w:txbxContent>
                            <w:p w14:paraId="32E26321"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0200" name="Rectangle 200200"/>
                        <wps:cNvSpPr/>
                        <wps:spPr>
                          <a:xfrm rot="-10799999">
                            <a:off x="-1381770" y="1276824"/>
                            <a:ext cx="5309005" cy="142889"/>
                          </a:xfrm>
                          <a:prstGeom prst="rect">
                            <a:avLst/>
                          </a:prstGeom>
                          <a:ln>
                            <a:noFill/>
                          </a:ln>
                        </wps:spPr>
                        <wps:txbx>
                          <w:txbxContent>
                            <w:p w14:paraId="065D2A8E" w14:textId="77777777" w:rsidR="00B32EF2" w:rsidRDefault="00000000">
                              <w:r>
                                <w:rPr>
                                  <w:rFonts w:ascii="Arial" w:eastAsia="Arial" w:hAnsi="Arial" w:cs="Arial"/>
                                  <w:sz w:val="18"/>
                                </w:rPr>
                                <w:t xml:space="preserve">. Se la data di trattazione non è fissata, provvede con decreto il presidente </w:t>
                              </w:r>
                            </w:p>
                          </w:txbxContent>
                        </wps:txbx>
                        <wps:bodyPr horzOverflow="overflow" vert="horz" lIns="0" tIns="0" rIns="0" bIns="0" rtlCol="0">
                          <a:noAutofit/>
                        </wps:bodyPr>
                      </wps:wsp>
                      <wps:wsp>
                        <wps:cNvPr id="15865" name="Rectangle 15865"/>
                        <wps:cNvSpPr/>
                        <wps:spPr>
                          <a:xfrm rot="-10799999">
                            <a:off x="3053222" y="1153494"/>
                            <a:ext cx="938535" cy="142889"/>
                          </a:xfrm>
                          <a:prstGeom prst="rect">
                            <a:avLst/>
                          </a:prstGeom>
                          <a:ln>
                            <a:noFill/>
                          </a:ln>
                        </wps:spPr>
                        <wps:txbx>
                          <w:txbxContent>
                            <w:p w14:paraId="21890131" w14:textId="77777777" w:rsidR="00B32EF2" w:rsidRDefault="00000000">
                              <w:r>
                                <w:rPr>
                                  <w:rFonts w:ascii="Arial" w:eastAsia="Arial" w:hAnsi="Arial" w:cs="Arial"/>
                                  <w:sz w:val="18"/>
                                </w:rPr>
                                <w:t>della sezione.</w:t>
                              </w:r>
                            </w:p>
                          </w:txbxContent>
                        </wps:txbx>
                        <wps:bodyPr horzOverflow="overflow" vert="horz" lIns="0" tIns="0" rIns="0" bIns="0" rtlCol="0">
                          <a:noAutofit/>
                        </wps:bodyPr>
                      </wps:wsp>
                      <wps:wsp>
                        <wps:cNvPr id="200197" name="Rectangle 200197"/>
                        <wps:cNvSpPr/>
                        <wps:spPr>
                          <a:xfrm rot="-10799999">
                            <a:off x="2610934" y="1030165"/>
                            <a:ext cx="5309005" cy="142889"/>
                          </a:xfrm>
                          <a:prstGeom prst="rect">
                            <a:avLst/>
                          </a:prstGeom>
                          <a:ln>
                            <a:noFill/>
                          </a:ln>
                        </wps:spPr>
                        <wps:txbx>
                          <w:txbxContent>
                            <w:p w14:paraId="2444BDFC"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0198" name="Rectangle 200198"/>
                        <wps:cNvSpPr/>
                        <wps:spPr>
                          <a:xfrm rot="-10799999">
                            <a:off x="-1380387" y="1030164"/>
                            <a:ext cx="5309005" cy="142889"/>
                          </a:xfrm>
                          <a:prstGeom prst="rect">
                            <a:avLst/>
                          </a:prstGeom>
                          <a:ln>
                            <a:noFill/>
                          </a:ln>
                        </wps:spPr>
                        <wps:txbx>
                          <w:txbxContent>
                            <w:p w14:paraId="38F57C2D" w14:textId="77777777" w:rsidR="00B32EF2" w:rsidRDefault="00000000">
                              <w:r>
                                <w:rPr>
                                  <w:rFonts w:ascii="Arial" w:eastAsia="Arial" w:hAnsi="Arial" w:cs="Arial"/>
                                  <w:sz w:val="18"/>
                                </w:rPr>
                                <w:t xml:space="preserve">. La conciliazione si perfeziona con la sottoscrizione dell’accordo di cui al </w:t>
                              </w:r>
                            </w:p>
                          </w:txbxContent>
                        </wps:txbx>
                        <wps:bodyPr horzOverflow="overflow" vert="horz" lIns="0" tIns="0" rIns="0" bIns="0" rtlCol="0">
                          <a:noAutofit/>
                        </wps:bodyPr>
                      </wps:wsp>
                      <wps:wsp>
                        <wps:cNvPr id="15867" name="Rectangle 15867"/>
                        <wps:cNvSpPr/>
                        <wps:spPr>
                          <a:xfrm rot="-10799999">
                            <a:off x="-1221050" y="906835"/>
                            <a:ext cx="5212808" cy="142889"/>
                          </a:xfrm>
                          <a:prstGeom prst="rect">
                            <a:avLst/>
                          </a:prstGeom>
                          <a:ln>
                            <a:noFill/>
                          </a:ln>
                        </wps:spPr>
                        <wps:txbx>
                          <w:txbxContent>
                            <w:p w14:paraId="530C971C" w14:textId="77777777" w:rsidR="00B32EF2" w:rsidRDefault="00000000">
                              <w:r>
                                <w:rPr>
                                  <w:rFonts w:ascii="Arial" w:eastAsia="Arial" w:hAnsi="Arial" w:cs="Arial"/>
                                  <w:sz w:val="18"/>
                                </w:rPr>
                                <w:t>comma 1, nel quale sono indicate le somme dovute con i termini e le moda</w:t>
                              </w:r>
                            </w:p>
                          </w:txbxContent>
                        </wps:txbx>
                        <wps:bodyPr horzOverflow="overflow" vert="horz" lIns="0" tIns="0" rIns="0" bIns="0" rtlCol="0">
                          <a:noAutofit/>
                        </wps:bodyPr>
                      </wps:wsp>
                      <wps:wsp>
                        <wps:cNvPr id="15868" name="Rectangle 15868"/>
                        <wps:cNvSpPr/>
                        <wps:spPr>
                          <a:xfrm rot="-10799999">
                            <a:off x="19158" y="906835"/>
                            <a:ext cx="50622" cy="142889"/>
                          </a:xfrm>
                          <a:prstGeom prst="rect">
                            <a:avLst/>
                          </a:prstGeom>
                          <a:ln>
                            <a:noFill/>
                          </a:ln>
                        </wps:spPr>
                        <wps:txbx>
                          <w:txbxContent>
                            <w:p w14:paraId="2152F08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869" name="Rectangle 15869"/>
                        <wps:cNvSpPr/>
                        <wps:spPr>
                          <a:xfrm rot="-10799999">
                            <a:off x="-1317263" y="783505"/>
                            <a:ext cx="5309020" cy="142889"/>
                          </a:xfrm>
                          <a:prstGeom prst="rect">
                            <a:avLst/>
                          </a:prstGeom>
                          <a:ln>
                            <a:noFill/>
                          </a:ln>
                        </wps:spPr>
                        <wps:txbx>
                          <w:txbxContent>
                            <w:p w14:paraId="639C3571" w14:textId="77777777" w:rsidR="00B32EF2" w:rsidRDefault="00000000">
                              <w:r>
                                <w:rPr>
                                  <w:rFonts w:ascii="Arial" w:eastAsia="Arial" w:hAnsi="Arial" w:cs="Arial"/>
                                  <w:sz w:val="18"/>
                                </w:rPr>
                                <w:t xml:space="preserve">lità di pagamento. L’accordo costituisce titolo per la riscossione delle somme </w:t>
                              </w:r>
                            </w:p>
                          </w:txbxContent>
                        </wps:txbx>
                        <wps:bodyPr horzOverflow="overflow" vert="horz" lIns="0" tIns="0" rIns="0" bIns="0" rtlCol="0">
                          <a:noAutofit/>
                        </wps:bodyPr>
                      </wps:wsp>
                      <wps:wsp>
                        <wps:cNvPr id="15870" name="Rectangle 15870"/>
                        <wps:cNvSpPr/>
                        <wps:spPr>
                          <a:xfrm rot="-10799999">
                            <a:off x="-1220595" y="660175"/>
                            <a:ext cx="5212352" cy="142889"/>
                          </a:xfrm>
                          <a:prstGeom prst="rect">
                            <a:avLst/>
                          </a:prstGeom>
                          <a:ln>
                            <a:noFill/>
                          </a:ln>
                        </wps:spPr>
                        <wps:txbx>
                          <w:txbxContent>
                            <w:p w14:paraId="75857557" w14:textId="77777777" w:rsidR="00B32EF2" w:rsidRDefault="00000000">
                              <w:r>
                                <w:rPr>
                                  <w:rFonts w:ascii="Arial" w:eastAsia="Arial" w:hAnsi="Arial" w:cs="Arial"/>
                                  <w:sz w:val="18"/>
                                </w:rPr>
                                <w:t>dovute all’ente impositore e per il pagamento delle somme dovute al contri</w:t>
                              </w:r>
                            </w:p>
                          </w:txbxContent>
                        </wps:txbx>
                        <wps:bodyPr horzOverflow="overflow" vert="horz" lIns="0" tIns="0" rIns="0" bIns="0" rtlCol="0">
                          <a:noAutofit/>
                        </wps:bodyPr>
                      </wps:wsp>
                      <wps:wsp>
                        <wps:cNvPr id="15871" name="Rectangle 15871"/>
                        <wps:cNvSpPr/>
                        <wps:spPr>
                          <a:xfrm rot="-10799999">
                            <a:off x="19158" y="660176"/>
                            <a:ext cx="50622" cy="142889"/>
                          </a:xfrm>
                          <a:prstGeom prst="rect">
                            <a:avLst/>
                          </a:prstGeom>
                          <a:ln>
                            <a:noFill/>
                          </a:ln>
                        </wps:spPr>
                        <wps:txbx>
                          <w:txbxContent>
                            <w:p w14:paraId="6880003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872" name="Rectangle 15872"/>
                        <wps:cNvSpPr/>
                        <wps:spPr>
                          <a:xfrm rot="-10799999">
                            <a:off x="3440642" y="536846"/>
                            <a:ext cx="551114" cy="142889"/>
                          </a:xfrm>
                          <a:prstGeom prst="rect">
                            <a:avLst/>
                          </a:prstGeom>
                          <a:ln>
                            <a:noFill/>
                          </a:ln>
                        </wps:spPr>
                        <wps:txbx>
                          <w:txbxContent>
                            <w:p w14:paraId="7892882D" w14:textId="77777777" w:rsidR="00B32EF2" w:rsidRDefault="00000000">
                              <w:r>
                                <w:rPr>
                                  <w:rFonts w:ascii="Arial" w:eastAsia="Arial" w:hAnsi="Arial" w:cs="Arial"/>
                                  <w:sz w:val="18"/>
                                </w:rPr>
                                <w:t xml:space="preserve">buente. </w:t>
                              </w:r>
                            </w:p>
                          </w:txbxContent>
                        </wps:txbx>
                        <wps:bodyPr horzOverflow="overflow" vert="horz" lIns="0" tIns="0" rIns="0" bIns="0" rtlCol="0">
                          <a:noAutofit/>
                        </wps:bodyPr>
                      </wps:wsp>
                      <wps:wsp>
                        <wps:cNvPr id="200196" name="Rectangle 200196"/>
                        <wps:cNvSpPr/>
                        <wps:spPr>
                          <a:xfrm rot="-10799999">
                            <a:off x="-1285128" y="413516"/>
                            <a:ext cx="5212488" cy="142889"/>
                          </a:xfrm>
                          <a:prstGeom prst="rect">
                            <a:avLst/>
                          </a:prstGeom>
                          <a:ln>
                            <a:noFill/>
                          </a:ln>
                        </wps:spPr>
                        <wps:txbx>
                          <w:txbxContent>
                            <w:p w14:paraId="2FB7AF40" w14:textId="77777777" w:rsidR="00B32EF2" w:rsidRDefault="00000000">
                              <w:r>
                                <w:rPr>
                                  <w:rFonts w:ascii="Arial" w:eastAsia="Arial" w:hAnsi="Arial" w:cs="Arial"/>
                                  <w:sz w:val="18"/>
                                </w:rPr>
                                <w:t>. Le disposizioni del presente articolo si applicano, in quanto compatibili, an</w:t>
                              </w:r>
                            </w:p>
                          </w:txbxContent>
                        </wps:txbx>
                        <wps:bodyPr horzOverflow="overflow" vert="horz" lIns="0" tIns="0" rIns="0" bIns="0" rtlCol="0">
                          <a:noAutofit/>
                        </wps:bodyPr>
                      </wps:wsp>
                      <wps:wsp>
                        <wps:cNvPr id="200195" name="Rectangle 200195"/>
                        <wps:cNvSpPr/>
                        <wps:spPr>
                          <a:xfrm rot="-10799999">
                            <a:off x="2634881" y="413516"/>
                            <a:ext cx="5212488" cy="142889"/>
                          </a:xfrm>
                          <a:prstGeom prst="rect">
                            <a:avLst/>
                          </a:prstGeom>
                          <a:ln>
                            <a:noFill/>
                          </a:ln>
                        </wps:spPr>
                        <wps:txbx>
                          <w:txbxContent>
                            <w:p w14:paraId="6AE75DD8"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15874" name="Rectangle 15874"/>
                        <wps:cNvSpPr/>
                        <wps:spPr>
                          <a:xfrm rot="-10799999">
                            <a:off x="19158" y="413516"/>
                            <a:ext cx="50622" cy="142889"/>
                          </a:xfrm>
                          <a:prstGeom prst="rect">
                            <a:avLst/>
                          </a:prstGeom>
                          <a:ln>
                            <a:noFill/>
                          </a:ln>
                        </wps:spPr>
                        <wps:txbx>
                          <w:txbxContent>
                            <w:p w14:paraId="57E12EE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875" name="Rectangle 15875"/>
                        <wps:cNvSpPr/>
                        <wps:spPr>
                          <a:xfrm rot="-10799999">
                            <a:off x="-342305" y="290186"/>
                            <a:ext cx="4334062" cy="142890"/>
                          </a:xfrm>
                          <a:prstGeom prst="rect">
                            <a:avLst/>
                          </a:prstGeom>
                          <a:ln>
                            <a:noFill/>
                          </a:ln>
                        </wps:spPr>
                        <wps:txbx>
                          <w:txbxContent>
                            <w:p w14:paraId="38F7DF82" w14:textId="77777777" w:rsidR="00B32EF2" w:rsidRDefault="00000000">
                              <w:r>
                                <w:rPr>
                                  <w:rFonts w:ascii="Arial" w:eastAsia="Arial" w:hAnsi="Arial" w:cs="Arial"/>
                                  <w:sz w:val="18"/>
                                </w:rPr>
                                <w:t>che alle controversie pendenti davanti alla Corte di Cassazione.</w:t>
                              </w:r>
                            </w:p>
                          </w:txbxContent>
                        </wps:txbx>
                        <wps:bodyPr horzOverflow="overflow" vert="horz" lIns="0" tIns="0" rIns="0" bIns="0" rtlCol="0">
                          <a:noAutofit/>
                        </wps:bodyPr>
                      </wps:wsp>
                      <wps:wsp>
                        <wps:cNvPr id="200194" name="Rectangle 200194"/>
                        <wps:cNvSpPr/>
                        <wps:spPr>
                          <a:xfrm rot="-10799999">
                            <a:off x="792544" y="196579"/>
                            <a:ext cx="3183481" cy="119074"/>
                          </a:xfrm>
                          <a:prstGeom prst="rect">
                            <a:avLst/>
                          </a:prstGeom>
                          <a:ln>
                            <a:noFill/>
                          </a:ln>
                        </wps:spPr>
                        <wps:txbx>
                          <w:txbxContent>
                            <w:p w14:paraId="5D9C169F" w14:textId="77777777" w:rsidR="00B32EF2" w:rsidRDefault="00000000">
                              <w:r>
                                <w:rPr>
                                  <w:rFonts w:ascii="Arial" w:eastAsia="Arial" w:hAnsi="Arial" w:cs="Arial"/>
                                  <w:sz w:val="15"/>
                                </w:rPr>
                                <w:t xml:space="preserve"> Il D.lgs. n. 81 del 12/06/2025 introduce il comma </w:t>
                              </w:r>
                            </w:p>
                          </w:txbxContent>
                        </wps:txbx>
                        <wps:bodyPr horzOverflow="overflow" vert="horz" lIns="0" tIns="0" rIns="0" bIns="0" rtlCol="0">
                          <a:noAutofit/>
                        </wps:bodyPr>
                      </wps:wsp>
                      <wps:wsp>
                        <wps:cNvPr id="200192" name="Rectangle 200192"/>
                        <wps:cNvSpPr/>
                        <wps:spPr>
                          <a:xfrm rot="-10799999">
                            <a:off x="3094527" y="196579"/>
                            <a:ext cx="3183481" cy="119074"/>
                          </a:xfrm>
                          <a:prstGeom prst="rect">
                            <a:avLst/>
                          </a:prstGeom>
                          <a:ln>
                            <a:noFill/>
                          </a:ln>
                        </wps:spPr>
                        <wps:txbx>
                          <w:txbxContent>
                            <w:p w14:paraId="12935AB8" w14:textId="77777777" w:rsidR="00B32EF2" w:rsidRDefault="00000000">
                              <w:r>
                                <w:rPr>
                                  <w:rFonts w:ascii="Arial" w:eastAsia="Arial" w:hAnsi="Arial" w:cs="Arial"/>
                                  <w:sz w:val="15"/>
                                </w:rPr>
                                <w:t>(1)</w:t>
                              </w:r>
                            </w:p>
                          </w:txbxContent>
                        </wps:txbx>
                        <wps:bodyPr horzOverflow="overflow" vert="horz" lIns="0" tIns="0" rIns="0" bIns="0" rtlCol="0">
                          <a:noAutofit/>
                        </wps:bodyPr>
                      </wps:wsp>
                      <wps:wsp>
                        <wps:cNvPr id="200193" name="Rectangle 200193"/>
                        <wps:cNvSpPr/>
                        <wps:spPr>
                          <a:xfrm rot="-10799999">
                            <a:off x="-1500828" y="196579"/>
                            <a:ext cx="3183481" cy="119074"/>
                          </a:xfrm>
                          <a:prstGeom prst="rect">
                            <a:avLst/>
                          </a:prstGeom>
                          <a:ln>
                            <a:noFill/>
                          </a:ln>
                        </wps:spPr>
                        <wps:txbx>
                          <w:txbxContent>
                            <w:p w14:paraId="7950674D" w14:textId="77777777" w:rsidR="00B32EF2" w:rsidRDefault="00000000">
                              <w:r>
                                <w:rPr>
                                  <w:rFonts w:ascii="Arial" w:eastAsia="Arial" w:hAnsi="Arial" w:cs="Arial"/>
                                  <w:sz w:val="15"/>
                                </w:rPr>
                                <w:t>2-</w:t>
                              </w:r>
                            </w:p>
                          </w:txbxContent>
                        </wps:txbx>
                        <wps:bodyPr horzOverflow="overflow" vert="horz" lIns="0" tIns="0" rIns="0" bIns="0" rtlCol="0">
                          <a:noAutofit/>
                        </wps:bodyPr>
                      </wps:wsp>
                      <wps:wsp>
                        <wps:cNvPr id="15877" name="Rectangle 15877"/>
                        <wps:cNvSpPr/>
                        <wps:spPr>
                          <a:xfrm rot="-10799999">
                            <a:off x="1430675" y="196579"/>
                            <a:ext cx="166081" cy="119074"/>
                          </a:xfrm>
                          <a:prstGeom prst="rect">
                            <a:avLst/>
                          </a:prstGeom>
                          <a:ln>
                            <a:noFill/>
                          </a:ln>
                        </wps:spPr>
                        <wps:txbx>
                          <w:txbxContent>
                            <w:p w14:paraId="0C049857" w14:textId="77777777" w:rsidR="00B32EF2" w:rsidRDefault="00000000">
                              <w:r>
                                <w:rPr>
                                  <w:rFonts w:ascii="Arial" w:eastAsia="Arial" w:hAnsi="Arial" w:cs="Arial"/>
                                  <w:i/>
                                  <w:sz w:val="15"/>
                                </w:rPr>
                                <w:t>bis</w:t>
                              </w:r>
                            </w:p>
                          </w:txbxContent>
                        </wps:txbx>
                        <wps:bodyPr horzOverflow="overflow" vert="horz" lIns="0" tIns="0" rIns="0" bIns="0" rtlCol="0">
                          <a:noAutofit/>
                        </wps:bodyPr>
                      </wps:wsp>
                      <wps:wsp>
                        <wps:cNvPr id="15878" name="Rectangle 15878"/>
                        <wps:cNvSpPr/>
                        <wps:spPr>
                          <a:xfrm rot="-10799999">
                            <a:off x="-396150" y="196579"/>
                            <a:ext cx="1868035" cy="119074"/>
                          </a:xfrm>
                          <a:prstGeom prst="rect">
                            <a:avLst/>
                          </a:prstGeom>
                          <a:ln>
                            <a:noFill/>
                          </a:ln>
                        </wps:spPr>
                        <wps:txbx>
                          <w:txbxContent>
                            <w:p w14:paraId="025C0C05" w14:textId="77777777" w:rsidR="00B32EF2" w:rsidRDefault="00000000">
                              <w:r>
                                <w:rPr>
                                  <w:rFonts w:ascii="Arial" w:eastAsia="Arial" w:hAnsi="Arial" w:cs="Arial"/>
                                  <w:sz w:val="15"/>
                                </w:rPr>
                                <w:t xml:space="preserve"> all’art. 4 del D.lgs. 220/2023 se</w:t>
                              </w:r>
                            </w:p>
                          </w:txbxContent>
                        </wps:txbx>
                        <wps:bodyPr horzOverflow="overflow" vert="horz" lIns="0" tIns="0" rIns="0" bIns="0" rtlCol="0">
                          <a:noAutofit/>
                        </wps:bodyPr>
                      </wps:wsp>
                      <wps:wsp>
                        <wps:cNvPr id="15879" name="Rectangle 15879"/>
                        <wps:cNvSpPr/>
                        <wps:spPr>
                          <a:xfrm rot="-10799999">
                            <a:off x="21331" y="196579"/>
                            <a:ext cx="42185" cy="119074"/>
                          </a:xfrm>
                          <a:prstGeom prst="rect">
                            <a:avLst/>
                          </a:prstGeom>
                          <a:ln>
                            <a:noFill/>
                          </a:ln>
                        </wps:spPr>
                        <wps:txbx>
                          <w:txbxContent>
                            <w:p w14:paraId="2FEF3047" w14:textId="77777777" w:rsidR="00B32EF2" w:rsidRDefault="00000000">
                              <w:r>
                                <w:rPr>
                                  <w:rFonts w:ascii="Arial" w:eastAsia="Arial" w:hAnsi="Arial" w:cs="Arial"/>
                                  <w:sz w:val="15"/>
                                </w:rPr>
                                <w:t>-</w:t>
                              </w:r>
                            </w:p>
                          </w:txbxContent>
                        </wps:txbx>
                        <wps:bodyPr horzOverflow="overflow" vert="horz" lIns="0" tIns="0" rIns="0" bIns="0" rtlCol="0">
                          <a:noAutofit/>
                        </wps:bodyPr>
                      </wps:wsp>
                      <wps:wsp>
                        <wps:cNvPr id="15880" name="Rectangle 15880"/>
                        <wps:cNvSpPr/>
                        <wps:spPr>
                          <a:xfrm rot="-10799999">
                            <a:off x="-1311480" y="93804"/>
                            <a:ext cx="5305489" cy="119075"/>
                          </a:xfrm>
                          <a:prstGeom prst="rect">
                            <a:avLst/>
                          </a:prstGeom>
                          <a:ln>
                            <a:noFill/>
                          </a:ln>
                        </wps:spPr>
                        <wps:txbx>
                          <w:txbxContent>
                            <w:p w14:paraId="75A991DA" w14:textId="77777777" w:rsidR="00B32EF2" w:rsidRDefault="00000000">
                              <w:r>
                                <w:rPr>
                                  <w:rFonts w:ascii="Arial" w:eastAsia="Arial" w:hAnsi="Arial" w:cs="Arial"/>
                                  <w:sz w:val="15"/>
                                </w:rPr>
                                <w:t xml:space="preserve">condo cui l’istituto della conciliazione fuori udienza si applica anche ai giudizi in cassazione </w:t>
                              </w:r>
                            </w:p>
                          </w:txbxContent>
                        </wps:txbx>
                        <wps:bodyPr horzOverflow="overflow" vert="horz" lIns="0" tIns="0" rIns="0" bIns="0" rtlCol="0">
                          <a:noAutofit/>
                        </wps:bodyPr>
                      </wps:wsp>
                      <wps:wsp>
                        <wps:cNvPr id="15881" name="Rectangle 15881"/>
                        <wps:cNvSpPr/>
                        <wps:spPr>
                          <a:xfrm rot="-10799999">
                            <a:off x="1768349" y="-29544"/>
                            <a:ext cx="2223468" cy="119074"/>
                          </a:xfrm>
                          <a:prstGeom prst="rect">
                            <a:avLst/>
                          </a:prstGeom>
                          <a:ln>
                            <a:noFill/>
                          </a:ln>
                        </wps:spPr>
                        <wps:txbx>
                          <w:txbxContent>
                            <w:p w14:paraId="025F1D27" w14:textId="77777777" w:rsidR="00B32EF2" w:rsidRDefault="00000000">
                              <w:r>
                                <w:rPr>
                                  <w:rFonts w:ascii="Arial" w:eastAsia="Arial" w:hAnsi="Arial" w:cs="Arial"/>
                                  <w:sz w:val="15"/>
                                </w:rPr>
                                <w:t xml:space="preserve">pendenti alla data del 4 gennaio 2024. </w:t>
                              </w:r>
                            </w:p>
                          </w:txbxContent>
                        </wps:txbx>
                        <wps:bodyPr horzOverflow="overflow" vert="horz" lIns="0" tIns="0" rIns="0" bIns="0" rtlCol="0">
                          <a:noAutofit/>
                        </wps:bodyPr>
                      </wps:wsp>
                    </wpg:wgp>
                  </a:graphicData>
                </a:graphic>
              </wp:inline>
            </w:drawing>
          </mc:Choice>
          <mc:Fallback>
            <w:pict>
              <v:group w14:anchorId="41A3FC31" id="Group 200249" o:spid="_x0000_s2197" style="width:314.3pt;height:422.55pt;mso-position-horizontal-relative:char;mso-position-vertical-relative:line" coordsize="39918,53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EoigoAAO2CAAAOAAAAZHJzL2Uyb0RvYy54bWzkXduOG7kRfQ+QfxD0Lou3ZncLHi+COGsE&#10;CLKLbPIBbY1ugKQWWrI1ztfnFEmxZ3roXaS5OxRAP8gSpekLD+tU1WGR/f6Hp8N+8nXVnXft8WHK&#10;37HpZHVcto+74+Zh+p9//zirppPzpTk+Nvv2uHqYfludpz98+POf3l9Pi5Vot+3+cdVNcJDjeXE9&#10;PUy3l8tpMZ+fl9vVoTm/a0+rI75ct92hueBjt5k/ds0VRz/s54IxPb+23eOpa5er8xmtH+2X0w/m&#10;+Ov1ann5ab0+ry6T/cMU13Yxr515/Uyv8w/vm8Wma07b3dJdRjPiKg7N7oiT+kN9bC7N5Eu3e3Wo&#10;w27Zted2fXm3bA/zdr3eLVfmHnA3nA3u5lPXfjmZe9ksrpuT7yZ07aCfRh92+c+vn7rTL6efO/TE&#10;9bRBX5hPdC9P6+5A/+MqJ0+my775Lls9XSZLNMq65hUvp5Mlviuk1kJL26nLLXr+1d8tt3/7jb+c&#10;3048f3E51xMGyLnvg3NcH/yybU4r07XnBfrg526ye8T4LSpRTyfH5oCh+i8Mnua42a8mttl0kPm1&#10;767z4oyeu/XVpGsxvmaclTX9M+PB9R0vmC64mk6ol4SQslS2l279WOGvFGyFupErUVU1fe/7olmc&#10;uvPl06o9TOjNw7TDxZkTNF//cb7Yn95+QtezP9Lrsf1xt9/bb6kFXXq7ZHp3efr8ZO+b84rOR42f&#10;28dv6I5t2/33Jxj2et9eH6atezclW8fp6dvpZP/3I2Ags7q96W5vPt/edJf9X1tjfPaC/vLl0q53&#10;5or7s7krA772Gv5woEEdghevkXbtriswMP5/qGeFrssSUBLUnDGmBlALrvET2WNdGxp6Q6zN2Op7&#10;Pwes9Xew1rdhPwprzoRUDFD+Otaw+5tdvzXWwoytvLBGdw8Z3Ni1sUPqilFYC1EwVYl7xprfBnMW&#10;HA6vLPlrqG1zFINXSnOJmAZWrepSl/AUOF6zuDlrVRSyLp8x+Ft7ayGyQtpYL7o7aNUm3Bxt1TMA&#10;rRUFsAR2VUhZDcAuJKtq0Lan8DcH299hFmZtwAbNBsH2434chWvOamlDs+9jDXzTYe19VBZYE1cH&#10;7No2R1E4l7wUCkiSWZeSscJEej2Hw6xr6AcJoTY8k01kRpgGAjPbHA+1trm10kyXIgS1QKhwC8Lf&#10;nMF9lpGNVQdya4Laj/lR/A1nDasunVUrcEcdghpnSQd1mVVkRpgGUmvb/PtZtdSgatOzAwJPatV5&#10;SWaEKcLkYVhmm+Ohvlm1kLrEeXDAAdRJrTovxYwwRZQcgtqP+ZEELgRlUzYs4xzi2RBqwQXk0XQE&#10;LvMSzAhqwBGC2o/5UVDzGof+FZyZhoiRzE1DOHKUlUtEpqBgBFBGczx3OwUcc4GMYeZjyN1VrRPK&#10;J9JrBtlAHVZFlR/zowzaBt8upZaV1jRfOYQ6bUoNLSE3qw4IZeBd5cf8KKhFVWhFs9EQTzBTLZWd&#10;He4DMnhukkUT8ndeOpnRRANW7drjGFwghSutAC41jlgNzVpwVtGEdir5pFcNsmBwA2rAW7v2GLBR&#10;nFMIN4d5p1hnJ5WhPCQYmHmGG0Xhffgdxjlx+J2dSqbCgiiaY+y5RAxWwC+Qn1a1LguTs/V+WqLW&#10;qGYJ5VDICDlFZETRFBYNEy3XHgM1qFtJDmGEsJalVChUxPF6rAvBVamRyydz014wyMZNs4B0YrD2&#10;XTGKvGdcVFoxW2t0n2D3ukEWYFNOFRa/0Rxj1s/8dNCo0/rpXjLIBuUAexP43o+NNGhMXCKJsuyN&#10;QkIGDfwle6McQRG9p2LvXjLIBuoAeRPUsdxNc9RU1UKOGpMZZWkk1meOOnVBmcpOJisC6TSgRnMM&#10;d1tF9CZ+MyaV9YoDqFOK33btQU5FRpQODcNvgjpO/JaSFYKqxWDUWJzDOB8Yta4KhGwJ6dsnkrnQ&#10;dxGWvtEcY9O0UIsUUAO0llLZgdObdMW5icyT+em8BDKTTQUib9ceBTWH2i0gjpBNY6UWRzHRi5iM&#10;10oWt7WNKRbl9blFFkZtMAXHDunbtcdgPRMo8ketyR1j7TOMfLAOaKIGa+/LRiVbAv9YYeuB79Su&#10;fYqRBdYUfoUnOdAcY9WaI4S3KplARUJZG9/f+2paaI2ltumisj7ByAJoY7wBpF17DNR2nRb2FjAM&#10;TmK4HoBtFnSkLBLtU4x8wA4s3jFge4VhHIPTOi2s4vgNrBOqZX2WkQXWxOCBwMw2R5o11DK3/BIT&#10;WIzbcr2ew83yyzLhFGbhx3I2UAfyLYI6bqajrHkNKdTYNOO6gm6GkdMDLXldl5R5p8qs+2AkC6AN&#10;TwfEMtceY9XknsvaZta8qvFhgDXmqlF1lhJrn2Lkg3VALzNYxwlmNFddaLdbwp2CnZdkRlQdntqy&#10;5UGj90ro56otzsMAPO1cde+esjBpoEwTS0OtzDbHkLdbZGslcI7ZSyifLz21zbRSRt95aWWEacBR&#10;2+Z4qF2hP9dKV3zoqM0uCSmj7+ykMugaQauOddOmLMGKZbzAtmXVa6jT7nMDOnODORsCD8gnZNUG&#10;mfFuusDEVWmrgpFRM24Tmz7TEqoUCNrSZVpgs5yQRpSN3Pa1Vbv2GAYXZkcjO9fBRakrYRT1Hmvj&#10;q1NWgFuZNpsKFJNRBeIy1x6DNQIz7LTrJJQ7BdszVzYUDhoNxeBeXxglgKPaSGIW04hlnBdY2zEw&#10;a+xiVqSc60CpU3YMHlBFDYPHyaIvGJxJKKNm6NwTg/uxnIVRG0yR/Q6t2rXHMjiTrgycG7AHdp3e&#10;XWenlWFfqVdYUxAeZ9aQRbFsmuqOUV1WM+22Pntm1iSBp1xC399gFmZNkAas2jbHGHWvigZhTiuK&#10;4pZz8tOEZiDRss0xIFtR1JWflDBmpFQ43jNzJqEMm60nm73EfWeGNGVCQycNpO1ym9HqCRE3K9zk&#10;pdaMo/bgJdIgbuyikA7p/gZzIW4Ss0JIexlpVJLVE7eB2QQ+zww6LXHjlnMz57DuXcbp3rQmS2MC&#10;i8IwPJ4IO/sPrLngWNCR0Jj97WVhzCaJClSSuXY35EeZsylEQExtoFbYoAqraV8Rt0pZYGSrYHKS&#10;Qjn50SFzG6y9pjAKayowqio7xXGfUOelj1HYFaj7ts0xRt376CDMiX20H8RZcDehGTBn2xwD8gyb&#10;2UDxNsQtasarAXErLMME0r2TfuuHaJXmgvIi7oA5G+L2xDaKuLFEp6ANzxCN8VoX2PT7hYuWHA+J&#10;IF43NcC8xjMR6Qdv92g87IPoRnIWJm0QDcTdrj3GqGk/k0LYFZf3CXVe0piBNFBv4tpjoJ5h0Tyr&#10;XOR9n1jnJ46FZzV6fhtF31xJPIfDeuoQ0BxKSkr6rrIrIaN9eYcJFkVkntxG4TzDg3Vg1N/10wjR&#10;sH4H4yCVn8Ygy8lPE6LheQ0bQY1WuwWX9AzN74RjSmCBdUKQ89LGADL4K2TNPa2Ns2Y8NosrOjbN&#10;RcuKvS46KJR/6iFF3Saxfbuo25YiZ5NfEdDhGY2e1kYBzVEAiloxg/NM1JRpgSX7OQ2UlGHdPDxG&#10;Mtr22WPq9Gp+PW0W1w2eN49hvuma03a3/NhcmuefzVPpFyvRbtv946r78D8AAAD//wMAUEsDBBQA&#10;BgAIAAAAIQAuLziX3QAAAAUBAAAPAAAAZHJzL2Rvd25yZXYueG1sTI9BS8NAEIXvgv9hmYI3u0m1&#10;IaTZlFLUUxFsBfE2zU6T0OxsyG6T9N+7eqmXgcd7vPdNvp5MKwbqXWNZQTyPQBCXVjdcKfg8vD6m&#10;IJxH1thaJgVXcrAu7u9yzLQd+YOGva9EKGGXoYLa+y6T0pU1GXRz2xEH72R7gz7IvpK6xzGUm1Yu&#10;oiiRBhsOCzV2tK2pPO8vRsHbiOPmKX4ZdufT9vp9WL5/7WJS6mE2bVYgPE3+FoZf/IAORWA62gtr&#10;J1oF4RH/d4OXLNIExFFB+ryMQRa5/E9f/AAAAP//AwBQSwECLQAUAAYACAAAACEAtoM4kv4AAADh&#10;AQAAEwAAAAAAAAAAAAAAAAAAAAAAW0NvbnRlbnRfVHlwZXNdLnhtbFBLAQItABQABgAIAAAAIQA4&#10;/SH/1gAAAJQBAAALAAAAAAAAAAAAAAAAAC8BAABfcmVscy8ucmVsc1BLAQItABQABgAIAAAAIQBl&#10;wfEoigoAAO2CAAAOAAAAAAAAAAAAAAAAAC4CAABkcnMvZTJvRG9jLnhtbFBLAQItABQABgAIAAAA&#10;IQAuLziX3QAAAAUBAAAPAAAAAAAAAAAAAAAAAOQMAABkcnMvZG93bnJldi54bWxQSwUGAAAAAAQA&#10;BADzAAAA7g0AAAAA&#10;">
                <v:rect id="Rectangle 15829" o:spid="_x0000_s2198" style="position:absolute;left:15065;top:52233;width:81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EhxQAAAN4AAAAPAAAAZHJzL2Rvd25yZXYueG1sRE9La8JA&#10;EL4X/A/LCN7qRqElRlcRRZpDL/UBHofsmESzs0t2NbG/vlso9DYf33MWq9404kGtry0rmIwTEMSF&#10;1TWXCo6H3WsKwgdkjY1lUvAkD6vl4GWBmbYdf9FjH0oRQ9hnqKAKwWVS+qIig35sHXHkLrY1GCJs&#10;S6lb7GK4aeQ0Sd6lwZpjQ4WONhUVt/3dKDhv2eW7ThaX7437vOZp83E/npQaDfv1HESgPvyL/9y5&#10;jvPf0ukMft+JN8jlDwAAAP//AwBQSwECLQAUAAYACAAAACEA2+H2y+4AAACFAQAAEwAAAAAAAAAA&#10;AAAAAAAAAAAAW0NvbnRlbnRfVHlwZXNdLnhtbFBLAQItABQABgAIAAAAIQBa9CxbvwAAABUBAAAL&#10;AAAAAAAAAAAAAAAAAB8BAABfcmVscy8ucmVsc1BLAQItABQABgAIAAAAIQDCINEhxQAAAN4AAAAP&#10;AAAAAAAAAAAAAAAAAAcCAABkcnMvZG93bnJldi54bWxQSwUGAAAAAAMAAwC3AAAA+QIAAAAA&#10;" filled="f" stroked="f">
                  <v:textbox inset="0,0,0,0">
                    <w:txbxContent>
                      <w:p w14:paraId="0AF66085" w14:textId="77777777" w:rsidR="00B32EF2" w:rsidRDefault="00000000">
                        <w:r>
                          <w:rPr>
                            <w:rFonts w:ascii="Arial" w:eastAsia="Arial" w:hAnsi="Arial" w:cs="Arial"/>
                            <w:b/>
                            <w:sz w:val="18"/>
                          </w:rPr>
                          <w:t>Articolo 98</w:t>
                        </w:r>
                      </w:p>
                    </w:txbxContent>
                  </v:textbox>
                </v:rect>
                <v:rect id="Rectangle 200215" o:spid="_x0000_s2199" style="position:absolute;left:-5697;top:51000;width:216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JrTxgAAAN8AAAAPAAAAZHJzL2Rvd25yZXYueG1sRI9Pi8Iw&#10;FMTvC36H8IS9ranCilSjLC6yPXjxH3h8NM+2bvMSmmirn94IgsdhZn7DzBadqcWVGl9ZVjAcJCCI&#10;c6srLhTsd6uvCQgfkDXWlknBjTws5r2PGabatryh6zYUIkLYp6igDMGlUvq8JIN+YB1x9E62MRii&#10;bAqpG2wj3NRylCRjabDiuFCio2VJ+f/2YhQcf9llq1bmp/vSrc/ZpP677A9Kffa7nymIQF14h1/t&#10;TCuIxNHwG55/4heQ8wcAAAD//wMAUEsBAi0AFAAGAAgAAAAhANvh9svuAAAAhQEAABMAAAAAAAAA&#10;AAAAAAAAAAAAAFtDb250ZW50X1R5cGVzXS54bWxQSwECLQAUAAYACAAAACEAWvQsW78AAAAVAQAA&#10;CwAAAAAAAAAAAAAAAAAfAQAAX3JlbHMvLnJlbHNQSwECLQAUAAYACAAAACEAZwSa08YAAADfAAAA&#10;DwAAAAAAAAAAAAAAAAAHAgAAZHJzL2Rvd25yZXYueG1sUEsFBgAAAAADAAMAtwAAAPoCAAAAAA==&#10;" filled="f" stroked="f">
                  <v:textbox inset="0,0,0,0">
                    <w:txbxContent>
                      <w:p w14:paraId="6E6B1859" w14:textId="77777777" w:rsidR="00B32EF2" w:rsidRDefault="00000000">
                        <w:r>
                          <w:rPr>
                            <w:rFonts w:ascii="Arial" w:eastAsia="Arial" w:hAnsi="Arial" w:cs="Arial"/>
                            <w:i/>
                            <w:sz w:val="18"/>
                          </w:rPr>
                          <w:t>546/92)</w:t>
                        </w:r>
                      </w:p>
                    </w:txbxContent>
                  </v:textbox>
                </v:rect>
                <v:rect id="Rectangle 200216" o:spid="_x0000_s2200" style="position:absolute;left:10234;top:51000;width:216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gSkxwAAAN8AAAAPAAAAZHJzL2Rvd25yZXYueG1sRI/NawIx&#10;FMTvBf+H8ITealYPItuNUhRxD71ULfT42Lz9aDcvYZP90L++KRQ8DjPzGybbTaYVA3W+saxguUhA&#10;EBdWN1wpuF6OLxsQPiBrbC2Tght52G1nTxmm2o78QcM5VCJC2KeooA7BpVL6oiaDfmEdcfRK2xkM&#10;UXaV1B2OEW5auUqStTTYcFyo0dG+puLn3BsFXwd2+XGURXnfu/fvfNOe+uunUs/z6e0VRKApPML/&#10;7VwriMTVcg1/f+IXkNtfAAAA//8DAFBLAQItABQABgAIAAAAIQDb4fbL7gAAAIUBAAATAAAAAAAA&#10;AAAAAAAAAAAAAABbQ29udGVudF9UeXBlc10ueG1sUEsBAi0AFAAGAAgAAAAhAFr0LFu/AAAAFQEA&#10;AAsAAAAAAAAAAAAAAAAAHwEAAF9yZWxzLy5yZWxzUEsBAi0AFAAGAAgAAAAhAJfWBKTHAAAA3wAA&#10;AA8AAAAAAAAAAAAAAAAABwIAAGRycy9kb3ducmV2LnhtbFBLBQYAAAAAAwADALcAAAD7AgAAAAA=&#10;" filled="f" stroked="f">
                  <v:textbox inset="0,0,0,0">
                    <w:txbxContent>
                      <w:p w14:paraId="03115FE3" w14:textId="77777777" w:rsidR="00B32EF2" w:rsidRDefault="00000000">
                        <w:r>
                          <w:rPr>
                            <w:rFonts w:ascii="Arial" w:eastAsia="Arial" w:hAnsi="Arial" w:cs="Arial"/>
                            <w:i/>
                            <w:sz w:val="18"/>
                          </w:rPr>
                          <w:t xml:space="preserve">articolo 47-ter D.lgs. n. </w:t>
                        </w:r>
                      </w:p>
                    </w:txbxContent>
                  </v:textbox>
                </v:rect>
                <v:rect id="Rectangle 200214" o:spid="_x0000_s2201" style="position:absolute;left:22504;top:51000;width:216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D9IxgAAAN8AAAAPAAAAZHJzL2Rvd25yZXYueG1sRI9Pi8Iw&#10;FMTvC36H8IS9ramyiFSjLC6yPXjxH3h8NM+2bvMSmmirn94IgsdhZn7DzBadqcWVGl9ZVjAcJCCI&#10;c6srLhTsd6uvCQgfkDXWlknBjTws5r2PGabatryh6zYUIkLYp6igDMGlUvq8JIN+YB1x9E62MRii&#10;bAqpG2wj3NRylCRjabDiuFCio2VJ+f/2YhQcf9llq1bmp/vSrc/ZpP677A9Kffa7nymIQF14h1/t&#10;TCuIxNHwG55/4heQ8wcAAAD//wMAUEsBAi0AFAAGAAgAAAAhANvh9svuAAAAhQEAABMAAAAAAAAA&#10;AAAAAAAAAAAAAFtDb250ZW50X1R5cGVzXS54bWxQSwECLQAUAAYACAAAACEAWvQsW78AAAAVAQAA&#10;CwAAAAAAAAAAAAAAAAAfAQAAX3JlbHMvLnJlbHNQSwECLQAUAAYACAAAACEACEg/SMYAAADfAAAA&#10;DwAAAAAAAAAAAAAAAAAHAgAAZHJzL2Rvd25yZXYueG1sUEsFBgAAAAADAAMAtwAAAPoCAAAAAA==&#10;" filled="f" stroked="f">
                  <v:textbox inset="0,0,0,0">
                    <w:txbxContent>
                      <w:p w14:paraId="0916CA57" w14:textId="77777777" w:rsidR="00B32EF2" w:rsidRDefault="00000000">
                        <w:r>
                          <w:rPr>
                            <w:rFonts w:ascii="Arial" w:eastAsia="Arial" w:hAnsi="Arial" w:cs="Arial"/>
                            <w:i/>
                            <w:sz w:val="18"/>
                          </w:rPr>
                          <w:t>(</w:t>
                        </w:r>
                      </w:p>
                    </w:txbxContent>
                  </v:textbox>
                </v:rect>
                <v:rect id="Rectangle 15831" o:spid="_x0000_s2202" style="position:absolute;left:-8461;top:49767;width:455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0v6xAAAAN4AAAAPAAAAZHJzL2Rvd25yZXYueG1sRE9Na8JA&#10;EL0X/A/LCN7qRktLiK4iijQHL7UKHofsmESzs0t2NdFf3y0UepvH+5z5sjeNuFPra8sKJuMEBHFh&#10;dc2lgsP39jUF4QOyxsYyKXiQh+Vi8DLHTNuOv+i+D6WIIewzVFCF4DIpfVGRQT+2jjhyZ9saDBG2&#10;pdQtdjHcNHKaJB/SYM2xoUJH64qK6/5mFJw27PJtJ4vzc+12lzxtPm+Ho1KjYb+agQjUh3/xnzvX&#10;cf57+jaB33fiDXLxAwAA//8DAFBLAQItABQABgAIAAAAIQDb4fbL7gAAAIUBAAATAAAAAAAAAAAA&#10;AAAAAAAAAABbQ29udGVudF9UeXBlc10ueG1sUEsBAi0AFAAGAAgAAAAhAFr0LFu/AAAAFQEAAAsA&#10;AAAAAAAAAAAAAAAAHwEAAF9yZWxzLy5yZWxzUEsBAi0AFAAGAAgAAAAhALmPS/rEAAAA3gAAAA8A&#10;AAAAAAAAAAAAAAAABwIAAGRycy9kb3ducmV2LnhtbFBLBQYAAAAAAwADALcAAAD4AgAAAAA=&#10;" filled="f" stroked="f">
                  <v:textbox inset="0,0,0,0">
                    <w:txbxContent>
                      <w:p w14:paraId="6F0B967E" w14:textId="77777777" w:rsidR="00B32EF2" w:rsidRDefault="00000000">
                        <w:r>
                          <w:rPr>
                            <w:rFonts w:ascii="Arial" w:eastAsia="Arial" w:hAnsi="Arial" w:cs="Arial"/>
                            <w:b/>
                            <w:sz w:val="18"/>
                          </w:rPr>
                          <w:t xml:space="preserve">Definizione del giudizio in esito alla domanda di sospensione </w:t>
                        </w:r>
                      </w:p>
                    </w:txbxContent>
                  </v:textbox>
                </v:rect>
                <v:rect id="Rectangle 200213" o:spid="_x0000_s2203" style="position:absolute;left:-13764;top:485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ac8xgAAAN8AAAAPAAAAZHJzL2Rvd25yZXYueG1sRI9Pi8Iw&#10;FMTvC36H8IS9rakuiFSjLC6yPXjxH3h8NM+2bvMSmmirn94IgsdhZn7DzBadqcWVGl9ZVjAcJCCI&#10;c6srLhTsd6uvCQgfkDXWlknBjTws5r2PGabatryh6zYUIkLYp6igDMGlUvq8JIN+YB1x9E62MRii&#10;bAqpG2wj3NRylCRjabDiuFCio2VJ+f/2YhQcf9llq1bmp/vSrc/ZpP677A9Kffa7nymIQF14h1/t&#10;TCuIxNHwG55/4heQ8wcAAAD//wMAUEsBAi0AFAAGAAgAAAAhANvh9svuAAAAhQEAABMAAAAAAAAA&#10;AAAAAAAAAAAAAFtDb250ZW50X1R5cGVzXS54bWxQSwECLQAUAAYACAAAACEAWvQsW78AAAAVAQAA&#10;CwAAAAAAAAAAAAAAAAAfAQAAX3JlbHMvLnJlbHNQSwECLQAUAAYACAAAACEAh6GnPMYAAADfAAAA&#10;DwAAAAAAAAAAAAAAAAAHAgAAZHJzL2Rvd25yZXYueG1sUEsFBgAAAAADAAMAtwAAAPoCAAAAAA==&#10;" filled="f" stroked="f">
                  <v:textbox inset="0,0,0,0">
                    <w:txbxContent>
                      <w:p w14:paraId="5599F2E2" w14:textId="77777777" w:rsidR="00B32EF2" w:rsidRDefault="00000000">
                        <w:r>
                          <w:rPr>
                            <w:rFonts w:ascii="Arial" w:eastAsia="Arial" w:hAnsi="Arial" w:cs="Arial"/>
                            <w:sz w:val="18"/>
                          </w:rPr>
                          <w:t xml:space="preserve">. Escluso il caso di pronuncia su reclamo, il collegio, in sede di decisione della </w:t>
                        </w:r>
                      </w:p>
                    </w:txbxContent>
                  </v:textbox>
                </v:rect>
                <v:rect id="Rectangle 200212" o:spid="_x0000_s2204" style="position:absolute;left:26109;top:485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QKnxgAAAN8AAAAPAAAAZHJzL2Rvd25yZXYueG1sRI9Pi8Iw&#10;FMTvC36H8IS9rak9LFKNIorYg5f1D3h8NM+22ryEJtrqp98sLHgcZuY3zGzRm0Y8qPW1ZQXjUQKC&#10;uLC65lLB8bD5moDwAVljY5kUPMnDYj74mGGmbcc/9NiHUkQI+wwVVCG4TEpfVGTQj6wjjt7FtgZD&#10;lG0pdYtdhJtGpknyLQ3WHBcqdLSqqLjt70bBec0u33SyuLxWbnfNJ832fjwp9Tnsl1MQgfrwDv+3&#10;c60gEtNxCn9/4heQ818AAAD//wMAUEsBAi0AFAAGAAgAAAAhANvh9svuAAAAhQEAABMAAAAAAAAA&#10;AAAAAAAAAAAAAFtDb250ZW50X1R5cGVzXS54bWxQSwECLQAUAAYACAAAACEAWvQsW78AAAAVAQAA&#10;CwAAAAAAAAAAAAAAAAAfAQAAX3JlbHMvLnJlbHNQSwECLQAUAAYACAAAACEA6O0Cp8YAAADfAAAA&#10;DwAAAAAAAAAAAAAAAAAHAgAAZHJzL2Rvd25yZXYueG1sUEsFBgAAAAADAAMAtwAAAPoCAAAAAA==&#10;" filled="f" stroked="f">
                  <v:textbox inset="0,0,0,0">
                    <w:txbxContent>
                      <w:p w14:paraId="54DC97BB" w14:textId="77777777" w:rsidR="00B32EF2" w:rsidRDefault="00000000">
                        <w:r>
                          <w:rPr>
                            <w:rFonts w:ascii="Arial" w:eastAsia="Arial" w:hAnsi="Arial" w:cs="Arial"/>
                            <w:sz w:val="18"/>
                          </w:rPr>
                          <w:t>1</w:t>
                        </w:r>
                      </w:p>
                    </w:txbxContent>
                  </v:textbox>
                </v:rect>
                <v:rect id="Rectangle 15833" o:spid="_x0000_s2205" style="position:absolute;left:-13172;top:473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XAWxAAAAN4AAAAPAAAAZHJzL2Rvd25yZXYueG1sRE9Na8JA&#10;EL0X/A/LCN7qxkpLiK4iijQHL7UKHofsmESzs0t2NdFf3y0UepvH+5z5sjeNuFPra8sKJuMEBHFh&#10;dc2lgsP39jUF4QOyxsYyKXiQh+Vi8DLHTNuOv+i+D6WIIewzVFCF4DIpfVGRQT+2jjhyZ9saDBG2&#10;pdQtdjHcNPItST6kwZpjQ4WO1hUV1/3NKDht2OXbThbn59rtLnnafN4OR6VGw341AxGoD//iP3eu&#10;4/z3dDqF33fiDXLxAwAA//8DAFBLAQItABQABgAIAAAAIQDb4fbL7gAAAIUBAAATAAAAAAAAAAAA&#10;AAAAAAAAAABbQ29udGVudF9UeXBlc10ueG1sUEsBAi0AFAAGAAgAAAAhAFr0LFu/AAAAFQEAAAsA&#10;AAAAAAAAAAAAAAAAHwEAAF9yZWxzLy5yZWxzUEsBAi0AFAAGAAgAAAAhACYRcBbEAAAA3gAAAA8A&#10;AAAAAAAAAAAAAAAABwIAAGRycy9kb3ducmV2LnhtbFBLBQYAAAAAAwADALcAAAD4AgAAAAA=&#10;" filled="f" stroked="f">
                  <v:textbox inset="0,0,0,0">
                    <w:txbxContent>
                      <w:p w14:paraId="32F2CB43" w14:textId="77777777" w:rsidR="00B32EF2" w:rsidRDefault="00000000">
                        <w:r>
                          <w:rPr>
                            <w:rFonts w:ascii="Arial" w:eastAsia="Arial" w:hAnsi="Arial" w:cs="Arial"/>
                            <w:sz w:val="18"/>
                          </w:rPr>
                          <w:t xml:space="preserve">domanda cautelare, trascorsi almeno venti giorni dall’ultima notificazione del </w:t>
                        </w:r>
                      </w:p>
                    </w:txbxContent>
                  </v:textbox>
                </v:rect>
                <v:rect id="Rectangle 15834" o:spid="_x0000_s2206" style="position:absolute;left:-13172;top:460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hixQAAAN4AAAAPAAAAZHJzL2Rvd25yZXYueG1sRE9Na8JA&#10;EL0X+h+WKXirm9YqIbpKsYg5eKlV8DhkxySanV2yq4n99W5B6G0e73Nmi9404kqtry0reBsmIIgL&#10;q2suFex+Vq8pCB+QNTaWScGNPCzmz08zzLTt+Juu21CKGMI+QwVVCC6T0hcVGfRD64gjd7StwRBh&#10;W0rdYhfDTSPfk2QiDdYcGyp0tKyoOG8vRsHhi12+6mRx/F26zSlPm/Vlt1dq8NJ/TkEE6sO/+OHO&#10;dZw/Tkcf8PdOvEHO7wAAAP//AwBQSwECLQAUAAYACAAAACEA2+H2y+4AAACFAQAAEwAAAAAAAAAA&#10;AAAAAAAAAAAAW0NvbnRlbnRfVHlwZXNdLnhtbFBLAQItABQABgAIAAAAIQBa9CxbvwAAABUBAAAL&#10;AAAAAAAAAAAAAAAAAB8BAABfcmVscy8ucmVsc1BLAQItABQABgAIAAAAIQCp+OhixQAAAN4AAAAP&#10;AAAAAAAAAAAAAAAAAAcCAABkcnMvZG93bnJldi54bWxQSwUGAAAAAAMAAwC3AAAA+QIAAAAA&#10;" filled="f" stroked="f">
                  <v:textbox inset="0,0,0,0">
                    <w:txbxContent>
                      <w:p w14:paraId="0C9A9A73" w14:textId="77777777" w:rsidR="00B32EF2" w:rsidRDefault="00000000">
                        <w:r>
                          <w:rPr>
                            <w:rFonts w:ascii="Arial" w:eastAsia="Arial" w:hAnsi="Arial" w:cs="Arial"/>
                            <w:sz w:val="18"/>
                          </w:rPr>
                          <w:t xml:space="preserve">ricorso, accertata la completezza del contraddittorio e dell’istruttoria, sentite </w:t>
                        </w:r>
                      </w:p>
                    </w:txbxContent>
                  </v:textbox>
                </v:rect>
                <v:rect id="Rectangle 15835" o:spid="_x0000_s2207" style="position:absolute;left:-13172;top:448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E35xAAAAN4AAAAPAAAAZHJzL2Rvd25yZXYueG1sRE9Na8JA&#10;EL0X/A/LCN7qxoolRFcRRZpDL7UKHofsmESzs0t2NdFf3y0UepvH+5zFqjeNuFPra8sKJuMEBHFh&#10;dc2lgsP37jUF4QOyxsYyKXiQh9Vy8LLATNuOv+i+D6WIIewzVFCF4DIpfVGRQT+2jjhyZ9saDBG2&#10;pdQtdjHcNPItSd6lwZpjQ4WONhUV1/3NKDht2eW7Thbn58Z9XvK0+bgdjkqNhv16DiJQH/7Ff+5c&#10;x/mzdDqD33fiDXL5AwAA//8DAFBLAQItABQABgAIAAAAIQDb4fbL7gAAAIUBAAATAAAAAAAAAAAA&#10;AAAAAAAAAABbQ29udGVudF9UeXBlc10ueG1sUEsBAi0AFAAGAAgAAAAhAFr0LFu/AAAAFQEAAAsA&#10;AAAAAAAAAAAAAAAAHwEAAF9yZWxzLy5yZWxzUEsBAi0AFAAGAAgAAAAhAMa0TfnEAAAA3gAAAA8A&#10;AAAAAAAAAAAAAAAABwIAAGRycy9kb3ducmV2LnhtbFBLBQYAAAAAAwADALcAAAD4AgAAAAA=&#10;" filled="f" stroked="f">
                  <v:textbox inset="0,0,0,0">
                    <w:txbxContent>
                      <w:p w14:paraId="5496B705" w14:textId="77777777" w:rsidR="00B32EF2" w:rsidRDefault="00000000">
                        <w:r>
                          <w:rPr>
                            <w:rFonts w:ascii="Arial" w:eastAsia="Arial" w:hAnsi="Arial" w:cs="Arial"/>
                            <w:sz w:val="18"/>
                          </w:rPr>
                          <w:t xml:space="preserve">sul punto le parti costituite, può definire, in camera di consiglio, il giudizio con </w:t>
                        </w:r>
                      </w:p>
                    </w:txbxContent>
                  </v:textbox>
                </v:rect>
                <v:rect id="Rectangle 15836" o:spid="_x0000_s2208" style="position:absolute;left:-13172;top:436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tOOxAAAAN4AAAAPAAAAZHJzL2Rvd25yZXYueG1sRE9Na8JA&#10;EL0X/A/LCN7qxkolRFcRRZpDL7UKHofsmESzs0t2NdFf3y0UepvH+5zFqjeNuFPra8sKJuMEBHFh&#10;dc2lgsP37jUF4QOyxsYyKXiQh9Vy8LLATNuOv+i+D6WIIewzVFCF4DIpfVGRQT+2jjhyZ9saDBG2&#10;pdQtdjHcNPItSWbSYM2xoUJHm4qK6/5mFJy27PJdJ4vzc+M+L3nafNwOR6VGw349BxGoD//iP3eu&#10;4/z3dDqD33fiDXL5AwAA//8DAFBLAQItABQABgAIAAAAIQDb4fbL7gAAAIUBAAATAAAAAAAAAAAA&#10;AAAAAAAAAABbQ29udGVudF9UeXBlc10ueG1sUEsBAi0AFAAGAAgAAAAhAFr0LFu/AAAAFQEAAAsA&#10;AAAAAAAAAAAAAAAAHwEAAF9yZWxzLy5yZWxzUEsBAi0AFAAGAAgAAAAhADZm047EAAAA3gAAAA8A&#10;AAAAAAAAAAAAAAAABwIAAGRycy9kb3ducmV2LnhtbFBLBQYAAAAAAwADALcAAAD4AgAAAAA=&#10;" filled="f" stroked="f">
                  <v:textbox inset="0,0,0,0">
                    <w:txbxContent>
                      <w:p w14:paraId="2BB0690B" w14:textId="77777777" w:rsidR="00B32EF2" w:rsidRDefault="00000000">
                        <w:r>
                          <w:rPr>
                            <w:rFonts w:ascii="Arial" w:eastAsia="Arial" w:hAnsi="Arial" w:cs="Arial"/>
                            <w:sz w:val="18"/>
                          </w:rPr>
                          <w:t xml:space="preserve">sentenza in forma semplificata ai sensi del comma 3, salvo che una delle parti </w:t>
                        </w:r>
                      </w:p>
                    </w:txbxContent>
                  </v:textbox>
                </v:rect>
                <v:rect id="Rectangle 15837" o:spid="_x0000_s2209" style="position:absolute;left:-13172;top:423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nYVxQAAAN4AAAAPAAAAZHJzL2Rvd25yZXYueG1sRE9Na8JA&#10;EL0X+h+WKXirm1aqIbpKsYg5eKlV8DhkxySanV2yq4n99W5B6G0e73Nmi9404kqtry0reBsmIIgL&#10;q2suFex+Vq8pCB+QNTaWScGNPCzmz08zzLTt+Juu21CKGMI+QwVVCC6T0hcVGfRD64gjd7StwRBh&#10;W0rdYhfDTSPfk2QsDdYcGyp0tKyoOG8vRsHhi12+6mRx/F26zSlPm/Vlt1dq8NJ/TkEE6sO/+OHO&#10;dZz/kY4m8PdOvEHO7wAAAP//AwBQSwECLQAUAAYACAAAACEA2+H2y+4AAACFAQAAEwAAAAAAAAAA&#10;AAAAAAAAAAAAW0NvbnRlbnRfVHlwZXNdLnhtbFBLAQItABQABgAIAAAAIQBa9CxbvwAAABUBAAAL&#10;AAAAAAAAAAAAAAAAAB8BAABfcmVscy8ucmVsc1BLAQItABQABgAIAAAAIQBZKnYVxQAAAN4AAAAP&#10;AAAAAAAAAAAAAAAAAAcCAABkcnMvZG93bnJldi54bWxQSwUGAAAAAAMAAwC3AAAA+QIAAAAA&#10;" filled="f" stroked="f">
                  <v:textbox inset="0,0,0,0">
                    <w:txbxContent>
                      <w:p w14:paraId="740588F1" w14:textId="77777777" w:rsidR="00B32EF2" w:rsidRDefault="00000000">
                        <w:r>
                          <w:rPr>
                            <w:rFonts w:ascii="Arial" w:eastAsia="Arial" w:hAnsi="Arial" w:cs="Arial"/>
                            <w:sz w:val="18"/>
                          </w:rPr>
                          <w:t xml:space="preserve">dichiari di voler proporre motivi aggiunti ovvero regolamento di giurisdizione. </w:t>
                        </w:r>
                      </w:p>
                    </w:txbxContent>
                  </v:textbox>
                </v:rect>
                <v:rect id="Rectangle 15838" o:spid="_x0000_s2210" style="position:absolute;left:-12208;top:41134;width:5212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eJnyAAAAN4AAAAPAAAAZHJzL2Rvd25yZXYueG1sRI9Pa8Mw&#10;DMXvg30Ho0Fvq7OVjZDVLaOjNIdd+g92FLGaZItlE7tNuk8/HQq7Sbyn936aL0fXqQv1sfVs4Gma&#10;gSKuvG25NnDYrx9zUDEhW+w8k4ErRVgu7u/mWFg/8JYuu1QrCeFYoIEmpVBoHauGHMapD8SinXzv&#10;MMna19r2OEi46/Rzlr1qhy1LQ4OBVg1VP7uzM/D1waFcD7o6/a7C53eZd5vz4WjM5GF8fwOVaEz/&#10;5tt1aQX/JZ8Jr7wjM+jFHwAAAP//AwBQSwECLQAUAAYACAAAACEA2+H2y+4AAACFAQAAEwAAAAAA&#10;AAAAAAAAAAAAAAAAW0NvbnRlbnRfVHlwZXNdLnhtbFBLAQItABQABgAIAAAAIQBa9CxbvwAAABUB&#10;AAALAAAAAAAAAAAAAAAAAB8BAABfcmVscy8ucmVsc1BLAQItABQABgAIAAAAIQAoteJnyAAAAN4A&#10;AAAPAAAAAAAAAAAAAAAAAAcCAABkcnMvZG93bnJldi54bWxQSwUGAAAAAAMAAwC3AAAA/AIAAAAA&#10;" filled="f" stroked="f">
                  <v:textbox inset="0,0,0,0">
                    <w:txbxContent>
                      <w:p w14:paraId="6CCFA645" w14:textId="77777777" w:rsidR="00B32EF2" w:rsidRDefault="00000000">
                        <w:r>
                          <w:rPr>
                            <w:rFonts w:ascii="Arial" w:eastAsia="Arial" w:hAnsi="Arial" w:cs="Arial"/>
                            <w:sz w:val="18"/>
                          </w:rPr>
                          <w:t>Ove ne ricorrano i presupposti, il collegio dispone l’integrazione del contrad</w:t>
                        </w:r>
                      </w:p>
                    </w:txbxContent>
                  </v:textbox>
                </v:rect>
                <v:rect id="Rectangle 15839" o:spid="_x0000_s2211" style="position:absolute;left:191;top:41134;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f8xQAAAN4AAAAPAAAAZHJzL2Rvd25yZXYueG1sRE9Na8JA&#10;EL0L/odlhN50o6Ulja4iipiDl1oLHofsmKTNzi7Z1cT+erdQ6G0e73MWq9404katry0rmE4SEMSF&#10;1TWXCk4fu3EKwgdkjY1lUnAnD6vlcLDATNuO3+l2DKWIIewzVFCF4DIpfVGRQT+xjjhyF9saDBG2&#10;pdQtdjHcNHKWJK/SYM2xoUJHm4qK7+PVKDhv2eW7ThaXn407fOVps7+ePpV6GvXrOYhAffgX/7lz&#10;Hee/pM9v8PtOvEEuHwAAAP//AwBQSwECLQAUAAYACAAAACEA2+H2y+4AAACFAQAAEwAAAAAAAAAA&#10;AAAAAAAAAAAAW0NvbnRlbnRfVHlwZXNdLnhtbFBLAQItABQABgAIAAAAIQBa9CxbvwAAABUBAAAL&#10;AAAAAAAAAAAAAAAAAB8BAABfcmVscy8ucmVsc1BLAQItABQABgAIAAAAIQBH+Uf8xQAAAN4AAAAP&#10;AAAAAAAAAAAAAAAAAAcCAABkcnMvZG93bnJldi54bWxQSwUGAAAAAAMAAwC3AAAA+QIAAAAA&#10;" filled="f" stroked="f">
                  <v:textbox inset="0,0,0,0">
                    <w:txbxContent>
                      <w:p w14:paraId="7B3671E2" w14:textId="77777777" w:rsidR="00B32EF2" w:rsidRDefault="00000000">
                        <w:r>
                          <w:rPr>
                            <w:rFonts w:ascii="Arial" w:eastAsia="Arial" w:hAnsi="Arial" w:cs="Arial"/>
                            <w:sz w:val="18"/>
                          </w:rPr>
                          <w:t>-</w:t>
                        </w:r>
                      </w:p>
                    </w:txbxContent>
                  </v:textbox>
                </v:rect>
                <v:rect id="Rectangle 15840" o:spid="_x0000_s2212" style="position:absolute;left:-13172;top:399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0cyAAAAN4AAAAPAAAAZHJzL2Rvd25yZXYueG1sRI9Pa8Mw&#10;DMXvg30Ho0Fvq7PRjZDVLaOjNIdd+g92FLGaZItlE7tNuk8/HQq7SejpvfebL0fXqQv1sfVs4Gma&#10;gSKuvG25NnDYrx9zUDEhW+w8k4ErRVgu7u/mWFg/8JYuu1QrMeFYoIEmpVBoHauGHMapD8RyO/ne&#10;YZK1r7XtcRBz1+nnLHvVDluWhAYDrRqqfnZnZ+Drg0O5HnR1+l2Fz+8y7zbnw9GYycP4/gYq0Zj+&#10;xbfv0kr9l3wmAIIjM+jFHwAAAP//AwBQSwECLQAUAAYACAAAACEA2+H2y+4AAACFAQAAEwAAAAAA&#10;AAAAAAAAAAAAAAAAW0NvbnRlbnRfVHlwZXNdLnhtbFBLAQItABQABgAIAAAAIQBa9CxbvwAAABUB&#10;AAALAAAAAAAAAAAAAAAAAB8BAABfcmVscy8ucmVsc1BLAQItABQABgAIAAAAIQCOxZ0cyAAAAN4A&#10;AAAPAAAAAAAAAAAAAAAAAAcCAABkcnMvZG93bnJldi54bWxQSwUGAAAAAAMAAwC3AAAA/AIAAAAA&#10;" filled="f" stroked="f">
                  <v:textbox inset="0,0,0,0">
                    <w:txbxContent>
                      <w:p w14:paraId="2D7B69E1" w14:textId="77777777" w:rsidR="00B32EF2" w:rsidRDefault="00000000">
                        <w:r>
                          <w:rPr>
                            <w:rFonts w:ascii="Arial" w:eastAsia="Arial" w:hAnsi="Arial" w:cs="Arial"/>
                            <w:sz w:val="18"/>
                          </w:rPr>
                          <w:t xml:space="preserve">dittorio o il rinvio per consentire la proposizione di motivi aggiunti ovvero del </w:t>
                        </w:r>
                      </w:p>
                    </w:txbxContent>
                  </v:textbox>
                </v:rect>
                <v:rect id="Rectangle 15841" o:spid="_x0000_s2213" style="position:absolute;left:-13172;top:386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TiHxAAAAN4AAAAPAAAAZHJzL2Rvd25yZXYueG1sRE9Na8JA&#10;EL0X/A/LCN7qRmlLiK4iijQHL7UKHofsmESzs0t2NdFf3y0UepvH+5z5sjeNuFPra8sKJuMEBHFh&#10;dc2lgsP39jUF4QOyxsYyKXiQh+Vi8DLHTNuOv+i+D6WIIewzVFCF4DIpfVGRQT+2jjhyZ9saDBG2&#10;pdQtdjHcNHKaJB/SYM2xoUJH64qK6/5mFJw27PJtJ4vzc+12lzxtPm+Ho1KjYb+agQjUh3/xnzvX&#10;cf57+jaB33fiDXLxAwAA//8DAFBLAQItABQABgAIAAAAIQDb4fbL7gAAAIUBAAATAAAAAAAAAAAA&#10;AAAAAAAAAABbQ29udGVudF9UeXBlc10ueG1sUEsBAi0AFAAGAAgAAAAhAFr0LFu/AAAAFQEAAAsA&#10;AAAAAAAAAAAAAAAAHwEAAF9yZWxzLy5yZWxzUEsBAi0AFAAGAAgAAAAhAOGJOIfEAAAA3gAAAA8A&#10;AAAAAAAAAAAAAAAABwIAAGRycy9kb3ducmV2LnhtbFBLBQYAAAAAAwADALcAAAD4AgAAAAA=&#10;" filled="f" stroked="f">
                  <v:textbox inset="0,0,0,0">
                    <w:txbxContent>
                      <w:p w14:paraId="0AFBC01A" w14:textId="77777777" w:rsidR="00B32EF2" w:rsidRDefault="00000000">
                        <w:r>
                          <w:rPr>
                            <w:rFonts w:ascii="Arial" w:eastAsia="Arial" w:hAnsi="Arial" w:cs="Arial"/>
                            <w:sz w:val="18"/>
                          </w:rPr>
                          <w:t xml:space="preserve">regolamento di giurisdizione, fissando contestualmente la data per il prosieguo </w:t>
                        </w:r>
                      </w:p>
                    </w:txbxContent>
                  </v:textbox>
                </v:rect>
                <v:rect id="Rectangle 15842" o:spid="_x0000_s2214" style="position:absolute;left:28564;top:37434;width:113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6bwxQAAAN4AAAAPAAAAZHJzL2Rvd25yZXYueG1sRE9La8JA&#10;EL4X/A/LCN7qRmlLiK4iijSHXuoDPA7ZMYlmZ5fsamJ/fbdQ8DYf33Pmy9404k6try0rmIwTEMSF&#10;1TWXCg777WsKwgdkjY1lUvAgD8vF4GWOmbYdf9N9F0oRQ9hnqKAKwWVS+qIig35sHXHkzrY1GCJs&#10;S6lb7GK4aeQ0ST6kwZpjQ4WO1hUV193NKDht2OXbThbnn7X7uuRp83k7HJUaDfvVDESgPjzF/+5c&#10;x/nv6dsU/t6JN8jFLwAAAP//AwBQSwECLQAUAAYACAAAACEA2+H2y+4AAACFAQAAEwAAAAAAAAAA&#10;AAAAAAAAAAAAW0NvbnRlbnRfVHlwZXNdLnhtbFBLAQItABQABgAIAAAAIQBa9CxbvwAAABUBAAAL&#10;AAAAAAAAAAAAAAAAAB8BAABfcmVscy8ucmVsc1BLAQItABQABgAIAAAAIQARW6bwxQAAAN4AAAAP&#10;AAAAAAAAAAAAAAAAAAcCAABkcnMvZG93bnJldi54bWxQSwUGAAAAAAMAAwC3AAAA+QIAAAAA&#10;" filled="f" stroked="f">
                  <v:textbox inset="0,0,0,0">
                    <w:txbxContent>
                      <w:p w14:paraId="21EF35E5" w14:textId="77777777" w:rsidR="00B32EF2" w:rsidRDefault="00000000">
                        <w:r>
                          <w:rPr>
                            <w:rFonts w:ascii="Arial" w:eastAsia="Arial" w:hAnsi="Arial" w:cs="Arial"/>
                            <w:sz w:val="18"/>
                          </w:rPr>
                          <w:t>della trattazione.</w:t>
                        </w:r>
                      </w:p>
                    </w:txbxContent>
                  </v:textbox>
                </v:rect>
                <v:rect id="Rectangle 200211" o:spid="_x0000_s2215" style="position:absolute;left:-12836;top:36200;width:521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5zQxgAAAN8AAAAPAAAAZHJzL2Rvd25yZXYueG1sRI9Pi8Iw&#10;FMTvC36H8IS9rWk9LFKNIorYg5f1D3h8NM+22ryEJtrqp98sLHgcZuY3zGzRm0Y8qPW1ZQXpKAFB&#10;XFhdc6ngeNh8TUD4gKyxsUwKnuRhMR98zDDTtuMfeuxDKSKEfYYKqhBcJqUvKjLoR9YRR+9iW4Mh&#10;yraUusUuwk0jx0nyLQ3WHBcqdLSqqLjt70bBec0u33SyuLxWbnfNJ832fjwp9Tnsl1MQgfrwDv+3&#10;c60gEsdpCn9/4heQ818AAAD//wMAUEsBAi0AFAAGAAgAAAAhANvh9svuAAAAhQEAABMAAAAAAAAA&#10;AAAAAAAAAAAAAFtDb250ZW50X1R5cGVzXS54bWxQSwECLQAUAAYACAAAACEAWvQsW78AAAAVAQAA&#10;CwAAAAAAAAAAAAAAAAAfAQAAX3JlbHMvLnJlbHNQSwECLQAUAAYACAAAACEAGD+c0MYAAADfAAAA&#10;DwAAAAAAAAAAAAAAAAAHAgAAZHJzL2Rvd25yZXYueG1sUEsFBgAAAAADAAMAtwAAAPoCAAAAAA==&#10;" filled="f" stroked="f">
                  <v:textbox inset="0,0,0,0">
                    <w:txbxContent>
                      <w:p w14:paraId="3FE7013E" w14:textId="77777777" w:rsidR="00B32EF2" w:rsidRDefault="00000000">
                        <w:r>
                          <w:rPr>
                            <w:rFonts w:ascii="Arial" w:eastAsia="Arial" w:hAnsi="Arial" w:cs="Arial"/>
                            <w:sz w:val="18"/>
                          </w:rPr>
                          <w:t>. Le disposizioni del comma 1 si applicano anche quando la domanda caute</w:t>
                        </w:r>
                      </w:p>
                    </w:txbxContent>
                  </v:textbox>
                </v:rect>
                <v:rect id="Rectangle 200210" o:spid="_x0000_s2216" style="position:absolute;left:26352;top:36200;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zlLxwAAAN8AAAAPAAAAZHJzL2Rvd25yZXYueG1sRI/LasMw&#10;EEX3hf6DmEJ3jZwsSnCjmOAS6kU3eRS6HKyJ7cYaCUuJ3Xx9Z1HIcrhzz+Wsisn16kpD7DwbmM8y&#10;UMS1tx03Bo6H7csSVEzIFnvPZOCXIhTrx4cV5taPvKPrPjVKIBxzNNCmFHKtY92SwzjzgViykx8c&#10;JjmHRtsBR4G7Xi+y7FU77FgWWgxUtlSf9xdn4PudQ7UddX26leHzp1r2H5fjlzHPT9PmDVSiKd2f&#10;/9uVNSDExVwMxEdcQK//AAAA//8DAFBLAQItABQABgAIAAAAIQDb4fbL7gAAAIUBAAATAAAAAAAA&#10;AAAAAAAAAAAAAABbQ29udGVudF9UeXBlc10ueG1sUEsBAi0AFAAGAAgAAAAhAFr0LFu/AAAAFQEA&#10;AAsAAAAAAAAAAAAAAAAAHwEAAF9yZWxzLy5yZWxzUEsBAi0AFAAGAAgAAAAhAHdzOUvHAAAA3wAA&#10;AA8AAAAAAAAAAAAAAAAABwIAAGRycy9kb3ducmV2LnhtbFBLBQYAAAAAAwADALcAAAD7AgAAAAA=&#10;" filled="f" stroked="f">
                  <v:textbox inset="0,0,0,0">
                    <w:txbxContent>
                      <w:p w14:paraId="30E5B21E" w14:textId="77777777" w:rsidR="00B32EF2" w:rsidRDefault="00000000">
                        <w:r>
                          <w:rPr>
                            <w:rFonts w:ascii="Arial" w:eastAsia="Arial" w:hAnsi="Arial" w:cs="Arial"/>
                            <w:sz w:val="18"/>
                          </w:rPr>
                          <w:t>2</w:t>
                        </w:r>
                      </w:p>
                    </w:txbxContent>
                  </v:textbox>
                </v:rect>
                <v:rect id="Rectangle 15844" o:spid="_x0000_s2217" style="position:absolute;left:191;top:362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sfxAAAAN4AAAAPAAAAZHJzL2Rvd25yZXYueG1sRE9Na8JA&#10;EL0X/A/LCN7qxmJLiK4iijQHL7UKHofsmESzs0t2NdFf3y0UepvH+5z5sjeNuFPra8sKJuMEBHFh&#10;dc2lgsP39jUF4QOyxsYyKXiQh+Vi8DLHTNuOv+i+D6WIIewzVFCF4DIpfVGRQT+2jjhyZ9saDBG2&#10;pdQtdjHcNPItST6kwZpjQ4WO1hUV1/3NKDht2OXbThbn59rtLnnafN4OR6VGw341AxGoD//iP3eu&#10;4/z3dDqF33fiDXLxAwAA//8DAFBLAQItABQABgAIAAAAIQDb4fbL7gAAAIUBAAATAAAAAAAAAAAA&#10;AAAAAAAAAABbQ29udGVudF9UeXBlc10ueG1sUEsBAi0AFAAGAAgAAAAhAFr0LFu/AAAAFQEAAAsA&#10;AAAAAAAAAAAAAAAAHwEAAF9yZWxzLy5yZWxzUEsBAi0AFAAGAAgAAAAhAPH+mx/EAAAA3gAAAA8A&#10;AAAAAAAAAAAAAAAABwIAAGRycy9kb3ducmV2LnhtbFBLBQYAAAAAAwADALcAAAD4AgAAAAA=&#10;" filled="f" stroked="f">
                  <v:textbox inset="0,0,0,0">
                    <w:txbxContent>
                      <w:p w14:paraId="465ACB99" w14:textId="77777777" w:rsidR="00B32EF2" w:rsidRDefault="00000000">
                        <w:r>
                          <w:rPr>
                            <w:rFonts w:ascii="Arial" w:eastAsia="Arial" w:hAnsi="Arial" w:cs="Arial"/>
                            <w:sz w:val="18"/>
                          </w:rPr>
                          <w:t>-</w:t>
                        </w:r>
                      </w:p>
                    </w:txbxContent>
                  </v:textbox>
                </v:rect>
                <v:rect id="Rectangle 15845" o:spid="_x0000_s2218" style="position:absolute;left:7748;top:34967;width:321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j6ExAAAAN4AAAAPAAAAZHJzL2Rvd25yZXYueG1sRE9Na8JA&#10;EL0X/A/LCN7qxqIlRFcRRZpDL7UKHofsmESzs0t2NdFf3y0UepvH+5zFqjeNuFPra8sKJuMEBHFh&#10;dc2lgsP37jUF4QOyxsYyKXiQh9Vy8LLATNuOv+i+D6WIIewzVFCF4DIpfVGRQT+2jjhyZ9saDBG2&#10;pdQtdjHcNPItSd6lwZpjQ4WONhUV1/3NKDht2eW7Thbn58Z9XvK0+bgdjkqNhv16DiJQH/7Ff+5c&#10;x/mzdDqD33fiDXL5AwAA//8DAFBLAQItABQABgAIAAAAIQDb4fbL7gAAAIUBAAATAAAAAAAAAAAA&#10;AAAAAAAAAABbQ29udGVudF9UeXBlc10ueG1sUEsBAi0AFAAGAAgAAAAhAFr0LFu/AAAAFQEAAAsA&#10;AAAAAAAAAAAAAAAAHwEAAF9yZWxzLy5yZWxzUEsBAi0AFAAGAAgAAAAhAJ6yPoTEAAAA3gAAAA8A&#10;AAAAAAAAAAAAAAAABwIAAGRycy9kb3ducmV2LnhtbFBLBQYAAAAAAwADALcAAAD4AgAAAAA=&#10;" filled="f" stroked="f">
                  <v:textbox inset="0,0,0,0">
                    <w:txbxContent>
                      <w:p w14:paraId="7E6D4A52" w14:textId="77777777" w:rsidR="00B32EF2" w:rsidRDefault="00000000">
                        <w:r>
                          <w:rPr>
                            <w:rFonts w:ascii="Arial" w:eastAsia="Arial" w:hAnsi="Arial" w:cs="Arial"/>
                            <w:sz w:val="18"/>
                          </w:rPr>
                          <w:t xml:space="preserve">lare è proposta innanzi al giudice monocratico. </w:t>
                        </w:r>
                      </w:p>
                    </w:txbxContent>
                  </v:textbox>
                </v:rect>
                <v:rect id="Rectangle 200208" o:spid="_x0000_s2219" style="position:absolute;left:26343;top:33734;width:521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KOQxgAAAN8AAAAPAAAAZHJzL2Rvd25yZXYueG1sRI/BbsIw&#10;DIbvk/YOkZG4jRQOEyoENDGh9bALDCSOVmPaQuNETaCFp58Pk3a0fv+f/S3Xg2vVnbrYeDYwnWSg&#10;iEtvG64MHH62b3NQMSFbbD2TgQdFWK9eX5aYW9/zju77VCmBcMzRQJ1SyLWOZU0O48QHYsnOvnOY&#10;ZOwqbTvsBe5aPcuyd+2wYblQY6BNTeV1f3MGTp8cim2vy/NzE74vxbz9uh2OxoxHw8cCVKIh/S//&#10;tQtrQIizTB4WH3EBvfoFAAD//wMAUEsBAi0AFAAGAAgAAAAhANvh9svuAAAAhQEAABMAAAAAAAAA&#10;AAAAAAAAAAAAAFtDb250ZW50X1R5cGVzXS54bWxQSwECLQAUAAYACAAAACEAWvQsW78AAAAVAQAA&#10;CwAAAAAAAAAAAAAAAAAfAQAAX3JlbHMvLnJlbHNQSwECLQAUAAYACAAAACEADNyjkMYAAADfAAAA&#10;DwAAAAAAAAAAAAAAAAAHAgAAZHJzL2Rvd25yZXYueG1sUEsFBgAAAAADAAMAtwAAAPoCAAAAAA==&#10;" filled="f" stroked="f">
                  <v:textbox inset="0,0,0,0">
                    <w:txbxContent>
                      <w:p w14:paraId="5C4AD0CC" w14:textId="77777777" w:rsidR="00B32EF2" w:rsidRDefault="00000000">
                        <w:r>
                          <w:rPr>
                            <w:rFonts w:ascii="Arial" w:eastAsia="Arial" w:hAnsi="Arial" w:cs="Arial"/>
                            <w:sz w:val="18"/>
                          </w:rPr>
                          <w:t>3</w:t>
                        </w:r>
                      </w:p>
                    </w:txbxContent>
                  </v:textbox>
                </v:rect>
                <v:rect id="Rectangle 200209" o:spid="_x0000_s2220" style="position:absolute;left:-12864;top:33734;width:521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AYLxgAAAN8AAAAPAAAAZHJzL2Rvd25yZXYueG1sRI9Pi8Iw&#10;FMTvC36H8ARva6oH0WoUUcQe9rL+AY+P5tlWm5fQRNvdT79ZEDwOM/MbZrHqTC2e1PjKsoLRMAFB&#10;nFtdcaHgdNx9TkH4gKyxtkwKfsjDatn7WGCqbcvf9DyEQkQI+xQVlCG4VEqfl2TQD60jjt7VNgZD&#10;lE0hdYNthJtajpNkIg1WHBdKdLQpKb8fHkbBZcsu27Uyv/5u3Nctm9b7x+ms1KDfrecgAnXhHX61&#10;M60gEsfJDP7/xC8gl38AAAD//wMAUEsBAi0AFAAGAAgAAAAhANvh9svuAAAAhQEAABMAAAAAAAAA&#10;AAAAAAAAAAAAAFtDb250ZW50X1R5cGVzXS54bWxQSwECLQAUAAYACAAAACEAWvQsW78AAAAVAQAA&#10;CwAAAAAAAAAAAAAAAAAfAQAAX3JlbHMvLnJlbHNQSwECLQAUAAYACAAAACEAY5AGC8YAAADfAAAA&#10;DwAAAAAAAAAAAAAAAAAHAgAAZHJzL2Rvd25yZXYueG1sUEsFBgAAAAADAAMAtwAAAPoCAAAAAA==&#10;" filled="f" stroked="f">
                  <v:textbox inset="0,0,0,0">
                    <w:txbxContent>
                      <w:p w14:paraId="4FBBB8B7" w14:textId="77777777" w:rsidR="00B32EF2" w:rsidRDefault="00000000">
                        <w:r>
                          <w:rPr>
                            <w:rFonts w:ascii="Arial" w:eastAsia="Arial" w:hAnsi="Arial" w:cs="Arial"/>
                            <w:sz w:val="18"/>
                          </w:rPr>
                          <w:t>. Il giudice decide con sentenza in forma semplificata quando ravvisa la ma</w:t>
                        </w:r>
                      </w:p>
                    </w:txbxContent>
                  </v:textbox>
                </v:rect>
                <v:rect id="Rectangle 15847" o:spid="_x0000_s2221" style="position:absolute;left:191;top:337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AVoxQAAAN4AAAAPAAAAZHJzL2Rvd25yZXYueG1sRE9Na8JA&#10;EL0X+h+WKXirmxarIbpKsYg5eKlV8DhkxySanV2yq4n99W5B6G0e73Nmi9404kqtry0reBsmIIgL&#10;q2suFex+Vq8pCB+QNTaWScGNPCzmz08zzLTt+Juu21CKGMI+QwVVCC6T0hcVGfRD64gjd7StwRBh&#10;W0rdYhfDTSPfk2QsDdYcGyp0tKyoOG8vRsHhi12+6mRx/F26zSlPm/Vlt1dq8NJ/TkEE6sO/+OHO&#10;dZz/kY4m8PdOvEHO7wAAAP//AwBQSwECLQAUAAYACAAAACEA2+H2y+4AAACFAQAAEwAAAAAAAAAA&#10;AAAAAAAAAAAAW0NvbnRlbnRfVHlwZXNdLnhtbFBLAQItABQABgAIAAAAIQBa9CxbvwAAABUBAAAL&#10;AAAAAAAAAAAAAAAAAB8BAABfcmVscy8ucmVsc1BLAQItABQABgAIAAAAIQABLAVoxQAAAN4AAAAP&#10;AAAAAAAAAAAAAAAAAAcCAABkcnMvZG93bnJldi54bWxQSwUGAAAAAAMAAwC3AAAA+QIAAAAA&#10;" filled="f" stroked="f">
                  <v:textbox inset="0,0,0,0">
                    <w:txbxContent>
                      <w:p w14:paraId="6B712BEF" w14:textId="77777777" w:rsidR="00B32EF2" w:rsidRDefault="00000000">
                        <w:r>
                          <w:rPr>
                            <w:rFonts w:ascii="Arial" w:eastAsia="Arial" w:hAnsi="Arial" w:cs="Arial"/>
                            <w:sz w:val="18"/>
                          </w:rPr>
                          <w:t>-</w:t>
                        </w:r>
                      </w:p>
                    </w:txbxContent>
                  </v:textbox>
                </v:rect>
                <v:rect id="Rectangle 15848" o:spid="_x0000_s2222" style="position:absolute;left:-13170;top:32500;width:530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5EayAAAAN4AAAAPAAAAZHJzL2Rvd25yZXYueG1sRI9Pa8Mw&#10;DMXvg30Ho0Fvq7PRjZDVLaOjNIdd+g92FLGaZItlE7tNuk8/HQq7Sbyn936aL0fXqQv1sfVs4Gma&#10;gSKuvG25NnDYrx9zUDEhW+w8k4ErRVgu7u/mWFg/8JYuu1QrCeFYoIEmpVBoHauGHMapD8SinXzv&#10;MMna19r2OEi46/Rzlr1qhy1LQ4OBVg1VP7uzM/D1waFcD7o6/a7C53eZd5vz4WjM5GF8fwOVaEz/&#10;5tt1aQX/JZ8Jr7wjM+jFHwAAAP//AwBQSwECLQAUAAYACAAAACEA2+H2y+4AAACFAQAAEwAAAAAA&#10;AAAAAAAAAAAAAAAAW0NvbnRlbnRfVHlwZXNdLnhtbFBLAQItABQABgAIAAAAIQBa9CxbvwAAABUB&#10;AAALAAAAAAAAAAAAAAAAAB8BAABfcmVscy8ucmVsc1BLAQItABQABgAIAAAAIQBws5EayAAAAN4A&#10;AAAPAAAAAAAAAAAAAAAAAAcCAABkcnMvZG93bnJldi54bWxQSwUGAAAAAAMAAwC3AAAA/AIAAAAA&#10;" filled="f" stroked="f">
                  <v:textbox inset="0,0,0,0">
                    <w:txbxContent>
                      <w:p w14:paraId="36A362B9" w14:textId="77777777" w:rsidR="00B32EF2" w:rsidRDefault="00000000">
                        <w:r>
                          <w:rPr>
                            <w:rFonts w:ascii="Arial" w:eastAsia="Arial" w:hAnsi="Arial" w:cs="Arial"/>
                            <w:sz w:val="18"/>
                          </w:rPr>
                          <w:t xml:space="preserve">nifesta fondatezza, inammissibilità, improcedibilità o infondatezza del ricorso. </w:t>
                        </w:r>
                      </w:p>
                    </w:txbxContent>
                  </v:textbox>
                </v:rect>
                <v:rect id="Rectangle 15849" o:spid="_x0000_s2223" style="position:absolute;left:-13172;top:312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SBxQAAAN4AAAAPAAAAZHJzL2Rvd25yZXYueG1sRE9Na8JA&#10;EL0L/odlhN50o7Qlja4iipiDl1oLHofsmKTNzi7Z1cT+erdQ6G0e73MWq9404katry0rmE4SEMSF&#10;1TWXCk4fu3EKwgdkjY1lUnAnD6vlcLDATNuO3+l2DKWIIewzVFCF4DIpfVGRQT+xjjhyF9saDBG2&#10;pdQtdjHcNHKWJK/SYM2xoUJHm4qK7+PVKDhv2eW7ThaXn407fOVps7+ePpV6GvXrOYhAffgX/7lz&#10;Hee/pM9v8PtOvEEuHwAAAP//AwBQSwECLQAUAAYACAAAACEA2+H2y+4AAACFAQAAEwAAAAAAAAAA&#10;AAAAAAAAAAAAW0NvbnRlbnRfVHlwZXNdLnhtbFBLAQItABQABgAIAAAAIQBa9CxbvwAAABUBAAAL&#10;AAAAAAAAAAAAAAAAAB8BAABfcmVscy8ucmVsc1BLAQItABQABgAIAAAAIQAf/zSBxQAAAN4AAAAP&#10;AAAAAAAAAAAAAAAAAAcCAABkcnMvZG93bnJldi54bWxQSwUGAAAAAAMAAwC3AAAA+QIAAAAA&#10;" filled="f" stroked="f">
                  <v:textbox inset="0,0,0,0">
                    <w:txbxContent>
                      <w:p w14:paraId="2314AD77" w14:textId="77777777" w:rsidR="00B32EF2" w:rsidRDefault="00000000">
                        <w:r>
                          <w:rPr>
                            <w:rFonts w:ascii="Arial" w:eastAsia="Arial" w:hAnsi="Arial" w:cs="Arial"/>
                            <w:sz w:val="18"/>
                          </w:rPr>
                          <w:t xml:space="preserve">La motivazione della sentenza può consistere in un sintetico riferimento al </w:t>
                        </w:r>
                      </w:p>
                    </w:txbxContent>
                  </v:textbox>
                </v:rect>
                <v:rect id="Rectangle 15850" o:spid="_x0000_s2224" style="position:absolute;left:-13172;top:300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AvByAAAAN4AAAAPAAAAZHJzL2Rvd25yZXYueG1sRI9Pa8Mw&#10;DMXvg30Ho8Fuq7NBS8jqltFRlkMv/TPYUcRqki2WTew2WT99dSj0JqGn995vvhxdp87Ux9azgddJ&#10;Boq48rbl2sBhv37JQcWEbLHzTAb+KcJy8fgwx8L6gbd03qVaiQnHAg00KYVC61g15DBOfCCW29H3&#10;DpOsfa1tj4OYu06/ZdlMO2xZEhoMtGqo+tudnIGfTw7letDV8bIKm98y775Oh29jnp/Gj3dQicZ0&#10;F9++Syv1p/lUAARHZtCLKwAAAP//AwBQSwECLQAUAAYACAAAACEA2+H2y+4AAACFAQAAEwAAAAAA&#10;AAAAAAAAAAAAAAAAW0NvbnRlbnRfVHlwZXNdLnhtbFBLAQItABQABgAIAAAAIQBa9CxbvwAAABUB&#10;AAALAAAAAAAAAAAAAAAAAB8BAABfcmVscy8ucmVsc1BLAQItABQABgAIAAAAIQALHAvByAAAAN4A&#10;AAAPAAAAAAAAAAAAAAAAAAcCAABkcnMvZG93bnJldi54bWxQSwUGAAAAAAMAAwC3AAAA/AIAAAAA&#10;" filled="f" stroked="f">
                  <v:textbox inset="0,0,0,0">
                    <w:txbxContent>
                      <w:p w14:paraId="5F9DABD6" w14:textId="77777777" w:rsidR="00B32EF2" w:rsidRDefault="00000000">
                        <w:r>
                          <w:rPr>
                            <w:rFonts w:ascii="Arial" w:eastAsia="Arial" w:hAnsi="Arial" w:cs="Arial"/>
                            <w:sz w:val="18"/>
                          </w:rPr>
                          <w:t xml:space="preserve">punto di fatto o di diritto ritenuto risolutivo ovvero, se del caso, a un precedente </w:t>
                        </w:r>
                      </w:p>
                    </w:txbxContent>
                  </v:textbox>
                </v:rect>
                <v:rect id="Rectangle 15851" o:spid="_x0000_s2225" style="position:absolute;left:33052;top:28801;width:685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K5axAAAAN4AAAAPAAAAZHJzL2Rvd25yZXYueG1sRE9Ni8Iw&#10;EL0v+B/CCN7WVMGlVKOIIvbgZV0Fj0MzttVmEppo6/76zcLC3ubxPmex6k0jntT62rKCyTgBQVxY&#10;XXOp4PS1e09B+ICssbFMCl7kYbUcvC0w07bjT3oeQyliCPsMFVQhuExKX1Rk0I+tI47c1bYGQ4Rt&#10;KXWLXQw3jZwmyYc0WHNsqNDRpqLifnwYBZctu3zXyeL6vXGHW542+8fprNRo2K/nIAL14V/85851&#10;nD9LZxP4fSfeIJc/AAAA//8DAFBLAQItABQABgAIAAAAIQDb4fbL7gAAAIUBAAATAAAAAAAAAAAA&#10;AAAAAAAAAABbQ29udGVudF9UeXBlc10ueG1sUEsBAi0AFAAGAAgAAAAhAFr0LFu/AAAAFQEAAAsA&#10;AAAAAAAAAAAAAAAAHwEAAF9yZWxzLy5yZWxzUEsBAi0AFAAGAAgAAAAhAGRQrlrEAAAA3gAAAA8A&#10;AAAAAAAAAAAAAAAABwIAAGRycy9kb3ducmV2LnhtbFBLBQYAAAAAAwADALcAAAD4AgAAAAA=&#10;" filled="f" stroked="f">
                  <v:textbox inset="0,0,0,0">
                    <w:txbxContent>
                      <w:p w14:paraId="393A8FEF" w14:textId="77777777" w:rsidR="00B32EF2" w:rsidRDefault="00000000">
                        <w:r>
                          <w:rPr>
                            <w:rFonts w:ascii="Arial" w:eastAsia="Arial" w:hAnsi="Arial" w:cs="Arial"/>
                            <w:sz w:val="18"/>
                          </w:rPr>
                          <w:t>conforme.</w:t>
                        </w:r>
                      </w:p>
                    </w:txbxContent>
                  </v:textbox>
                </v:rect>
                <v:rect id="Rectangle 15852" o:spid="_x0000_s2226" style="position:absolute;left:15060;top:26334;width:81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jAtxAAAAN4AAAAPAAAAZHJzL2Rvd25yZXYueG1sRE9Na8JA&#10;EL0L/odlCt50U8ESUlcRRczBS20KPQ7ZMUnNzi7Z1UR/vVso9DaP9znL9WBacaPON5YVvM4SEMSl&#10;1Q1XCorP/TQF4QOyxtYyKbiTh/VqPFpipm3PH3Q7hUrEEPYZKqhDcJmUvqzJoJ9ZRxy5s+0Mhgi7&#10;SuoO+xhuWjlPkjdpsOHYUKOjbU3l5XQ1Cr537PJ9L8vzY+uOP3naHq7Fl1KTl2HzDiLQEP7Ff+5c&#10;x/mLdDGH33fiDXL1BAAA//8DAFBLAQItABQABgAIAAAAIQDb4fbL7gAAAIUBAAATAAAAAAAAAAAA&#10;AAAAAAAAAABbQ29udGVudF9UeXBlc10ueG1sUEsBAi0AFAAGAAgAAAAhAFr0LFu/AAAAFQEAAAsA&#10;AAAAAAAAAAAAAAAAHwEAAF9yZWxzLy5yZWxzUEsBAi0AFAAGAAgAAAAhAJSCMC3EAAAA3gAAAA8A&#10;AAAAAAAAAAAAAAAABwIAAGRycy9kb3ducmV2LnhtbFBLBQYAAAAAAwADALcAAAD4AgAAAAA=&#10;" filled="f" stroked="f">
                  <v:textbox inset="0,0,0,0">
                    <w:txbxContent>
                      <w:p w14:paraId="0E36301C" w14:textId="77777777" w:rsidR="00B32EF2" w:rsidRDefault="00000000">
                        <w:r>
                          <w:rPr>
                            <w:rFonts w:ascii="Arial" w:eastAsia="Arial" w:hAnsi="Arial" w:cs="Arial"/>
                            <w:b/>
                            <w:sz w:val="18"/>
                          </w:rPr>
                          <w:t>Articolo 99</w:t>
                        </w:r>
                      </w:p>
                    </w:txbxContent>
                  </v:textbox>
                </v:rect>
                <v:rect id="Rectangle 200207" o:spid="_x0000_s2227" style="position:absolute;left:11620;top:25101;width:194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zfixgAAAN8AAAAPAAAAZHJzL2Rvd25yZXYueG1sRI9Pi8Iw&#10;FMTvgt8hPGFvmuphla5RxEW2h734D/b4aJ5ttXkJTbRdP70RBI/DzPyGmS87U4sbNb6yrGA8SkAQ&#10;51ZXXCg47DfDGQgfkDXWlknBP3lYLvq9Oabatryl2y4UIkLYp6igDMGlUvq8JIN+ZB1x9E62MRii&#10;bAqpG2wj3NRykiSf0mDFcaFER+uS8svuahT8fbPLNq3MT/e1+z1ns/rnejgq9THoVl8gAnXhHX61&#10;M60gEifJFJ5/4heQiwcAAAD//wMAUEsBAi0AFAAGAAgAAAAhANvh9svuAAAAhQEAABMAAAAAAAAA&#10;AAAAAAAAAAAAAFtDb250ZW50X1R5cGVzXS54bWxQSwECLQAUAAYACAAAACEAWvQsW78AAAAVAQAA&#10;CwAAAAAAAAAAAAAAAAAfAQAAX3JlbHMvLnJlbHNQSwECLQAUAAYACAAAACEAfUM34sYAAADfAAAA&#10;DwAAAAAAAAAAAAAAAAAHAgAAZHJzL2Rvd25yZXYueG1sUEsFBgAAAAADAAMAtwAAAPoCAAAAAA==&#10;" filled="f" stroked="f">
                  <v:textbox inset="0,0,0,0">
                    <w:txbxContent>
                      <w:p w14:paraId="6C201487" w14:textId="77777777" w:rsidR="00B32EF2" w:rsidRDefault="00000000">
                        <w:r>
                          <w:rPr>
                            <w:rFonts w:ascii="Arial" w:eastAsia="Arial" w:hAnsi="Arial" w:cs="Arial"/>
                            <w:i/>
                            <w:sz w:val="18"/>
                          </w:rPr>
                          <w:t xml:space="preserve">articolo 48 D.lgs. n. </w:t>
                        </w:r>
                      </w:p>
                    </w:txbxContent>
                  </v:textbox>
                </v:rect>
                <v:rect id="Rectangle 200206" o:spid="_x0000_s2228" style="position:absolute;left:-2641;top:25101;width:194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5J5xwAAAN8AAAAPAAAAZHJzL2Rvd25yZXYueG1sRI9Pa8JA&#10;FMTvhX6H5Qm91Y0egsSsUizSHHqpVfD4yL78abNvl+yaRD99VxB6HGbmN0y+nUwnBup9a1nBYp6A&#10;IC6tbrlWcPzev65A+ICssbNMCq7kYbt5fsox03bkLxoOoRYRwj5DBU0ILpPSlw0Z9HPriKNX2d5g&#10;iLKvpe5xjHDTyWWSpNJgy3GhQUe7hsrfw8UoOL+zK/ajLKvbzn3+FKvu43I8KfUym97WIAJN4T/8&#10;aBdaQSQukxTuf+IXkJs/AAAA//8DAFBLAQItABQABgAIAAAAIQDb4fbL7gAAAIUBAAATAAAAAAAA&#10;AAAAAAAAAAAAAABbQ29udGVudF9UeXBlc10ueG1sUEsBAi0AFAAGAAgAAAAhAFr0LFu/AAAAFQEA&#10;AAsAAAAAAAAAAAAAAAAAHwEAAF9yZWxzLy5yZWxzUEsBAi0AFAAGAAgAAAAhABIPknnHAAAA3wAA&#10;AA8AAAAAAAAAAAAAAAAABwIAAGRycy9kb3ducmV2LnhtbFBLBQYAAAAAAwADALcAAAD7AgAAAAA=&#10;" filled="f" stroked="f">
                  <v:textbox inset="0,0,0,0">
                    <w:txbxContent>
                      <w:p w14:paraId="60B6D57B" w14:textId="77777777" w:rsidR="00B32EF2" w:rsidRDefault="00000000">
                        <w:r>
                          <w:rPr>
                            <w:rFonts w:ascii="Arial" w:eastAsia="Arial" w:hAnsi="Arial" w:cs="Arial"/>
                            <w:i/>
                            <w:sz w:val="18"/>
                          </w:rPr>
                          <w:t>546/92)</w:t>
                        </w:r>
                      </w:p>
                    </w:txbxContent>
                  </v:textbox>
                </v:rect>
                <v:rect id="Rectangle 200205" o:spid="_x0000_s2229" style="position:absolute;left:22220;top:25101;width:194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QwOxQAAAN8AAAAPAAAAZHJzL2Rvd25yZXYueG1sRI9Pi8Iw&#10;FMTvgt8hPGFvmiqsSNco4iLbw178B3t8NM+22ryEJtqun94IgsdhZn7DzJedqcWNGl9ZVjAeJSCI&#10;c6srLhQc9pvhDIQPyBpry6TgnzwsF/3eHFNtW97SbRcKESHsU1RQhuBSKX1ekkE/so44eifbGAxR&#10;NoXUDbYRbmo5SZKpNFhxXCjR0bqk/LK7GgV/3+yyTSvz033tfs/ZrP65Ho5KfQy61ReIQF14h1/t&#10;TCuIxEnyCc8/8QvIxQMAAP//AwBQSwECLQAUAAYACAAAACEA2+H2y+4AAACFAQAAEwAAAAAAAAAA&#10;AAAAAAAAAAAAW0NvbnRlbnRfVHlwZXNdLnhtbFBLAQItABQABgAIAAAAIQBa9CxbvwAAABUBAAAL&#10;AAAAAAAAAAAAAAAAAB8BAABfcmVscy8ucmVsc1BLAQItABQABgAIAAAAIQDi3QwOxQAAAN8AAAAP&#10;AAAAAAAAAAAAAAAAAAcCAABkcnMvZG93bnJldi54bWxQSwUGAAAAAAMAAwC3AAAA+QIAAAAA&#10;" filled="f" stroked="f">
                  <v:textbox inset="0,0,0,0">
                    <w:txbxContent>
                      <w:p w14:paraId="75406EB2" w14:textId="77777777" w:rsidR="00B32EF2" w:rsidRDefault="00000000">
                        <w:r>
                          <w:rPr>
                            <w:rFonts w:ascii="Arial" w:eastAsia="Arial" w:hAnsi="Arial" w:cs="Arial"/>
                            <w:i/>
                            <w:sz w:val="18"/>
                          </w:rPr>
                          <w:t>(</w:t>
                        </w:r>
                      </w:p>
                    </w:txbxContent>
                  </v:textbox>
                </v:rect>
                <v:rect id="Rectangle 15854" o:spid="_x0000_s2230" style="position:absolute;left:6185;top:23867;width:223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w3CxAAAAN4AAAAPAAAAZHJzL2Rvd25yZXYueG1sRE9Na8JA&#10;EL0X/A/LCN7qxqIlRFcRRZpDL7UKHofsmESzs0t2NdFf3y0UepvH+5zFqjeNuFPra8sKJuMEBHFh&#10;dc2lgsP37jUF4QOyxsYyKXiQh9Vy8LLATNuOv+i+D6WIIewzVFCF4DIpfVGRQT+2jjhyZ9saDBG2&#10;pdQtdjHcNPItSd6lwZpjQ4WONhUV1/3NKDht2eW7Thbn58Z9XvK0+bgdjkqNhv16DiJQH/7Ff+5c&#10;x/mzdDaF33fiDXL5AwAA//8DAFBLAQItABQABgAIAAAAIQDb4fbL7gAAAIUBAAATAAAAAAAAAAAA&#10;AAAAAAAAAABbQ29udGVudF9UeXBlc10ueG1sUEsBAi0AFAAGAAgAAAAhAFr0LFu/AAAAFQEAAAsA&#10;AAAAAAAAAAAAAAAAHwEAAF9yZWxzLy5yZWxzUEsBAi0AFAAGAAgAAAAhAHQnDcLEAAAA3gAAAA8A&#10;AAAAAAAAAAAAAAAABwIAAGRycy9kb3ducmV2LnhtbFBLBQYAAAAAAwADALcAAAD4AgAAAAA=&#10;" filled="f" stroked="f">
                  <v:textbox inset="0,0,0,0">
                    <w:txbxContent>
                      <w:p w14:paraId="0CAA2A78" w14:textId="77777777" w:rsidR="00B32EF2" w:rsidRDefault="00000000">
                        <w:r>
                          <w:rPr>
                            <w:rFonts w:ascii="Arial" w:eastAsia="Arial" w:hAnsi="Arial" w:cs="Arial"/>
                            <w:b/>
                            <w:sz w:val="18"/>
                          </w:rPr>
                          <w:t>Conciliazione fuori udienza (1)</w:t>
                        </w:r>
                      </w:p>
                    </w:txbxContent>
                  </v:textbox>
                </v:rect>
                <v:rect id="Rectangle 200204" o:spid="_x0000_s2231" style="position:absolute;left:-13764;top:226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mVxQAAAN8AAAAPAAAAZHJzL2Rvd25yZXYueG1sRI9Pi8Iw&#10;FMTvgt8hPGFvmiqLSNco4iLbw178B3t8NM+22ryEJtqun94IgsdhZn7DzJedqcWNGl9ZVjAeJSCI&#10;c6srLhQc9pvhDIQPyBpry6TgnzwsF/3eHFNtW97SbRcKESHsU1RQhuBSKX1ekkE/so44eifbGAxR&#10;NoXUDbYRbmo5SZKpNFhxXCjR0bqk/LK7GgV/3+yyTSvz033tfs/ZrP65Ho5KfQy61ReIQF14h1/t&#10;TCuIxEnyCc8/8QvIxQMAAP//AwBQSwECLQAUAAYACAAAACEA2+H2y+4AAACFAQAAEwAAAAAAAAAA&#10;AAAAAAAAAAAAW0NvbnRlbnRfVHlwZXNdLnhtbFBLAQItABQABgAIAAAAIQBa9CxbvwAAABUBAAAL&#10;AAAAAAAAAAAAAAAAAB8BAABfcmVscy8ucmVsc1BLAQItABQABgAIAAAAIQCNkamVxQAAAN8AAAAP&#10;AAAAAAAAAAAAAAAAAAcCAABkcnMvZG93bnJldi54bWxQSwUGAAAAAAMAAwC3AAAA+QIAAAAA&#10;" filled="f" stroked="f">
                  <v:textbox inset="0,0,0,0">
                    <w:txbxContent>
                      <w:p w14:paraId="6B78B4F6" w14:textId="77777777" w:rsidR="00B32EF2" w:rsidRDefault="00000000">
                        <w:r>
                          <w:rPr>
                            <w:rFonts w:ascii="Arial" w:eastAsia="Arial" w:hAnsi="Arial" w:cs="Arial"/>
                            <w:sz w:val="18"/>
                          </w:rPr>
                          <w:t xml:space="preserve">. Se in pendenza del giudizio le parti raggiungono un accordo conciliativo, </w:t>
                        </w:r>
                      </w:p>
                    </w:txbxContent>
                  </v:textbox>
                </v:rect>
                <v:rect id="Rectangle 200203" o:spid="_x0000_s2232" style="position:absolute;left:26109;top:226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DHhxQAAAN8AAAAPAAAAZHJzL2Rvd25yZXYueG1sRI9Pi8Iw&#10;FMTvgt8hPGFvmuqCSNco4iLbw178B3t8NM+22ryEJtqun94IgsdhZn7DzJedqcWNGl9ZVjAeJSCI&#10;c6srLhQc9pvhDIQPyBpry6TgnzwsF/3eHFNtW97SbRcKESHsU1RQhuBSKX1ekkE/so44eifbGAxR&#10;NoXUDbYRbmo5SZKpNFhxXCjR0bqk/LK7GgV/3+yyTSvz033tfs/ZrP65Ho5KfQy61ReIQF14h1/t&#10;TCuIxEnyCc8/8QvIxQMAAP//AwBQSwECLQAUAAYACAAAACEA2+H2y+4AAACFAQAAEwAAAAAAAAAA&#10;AAAAAAAAAAAAW0NvbnRlbnRfVHlwZXNdLnhtbFBLAQItABQABgAIAAAAIQBa9CxbvwAAABUBAAAL&#10;AAAAAAAAAAAAAAAAAB8BAABfcmVscy8ucmVsc1BLAQItABQABgAIAAAAIQACeDHhxQAAAN8AAAAP&#10;AAAAAAAAAAAAAAAAAAcCAABkcnMvZG93bnJldi54bWxQSwUGAAAAAAMAAwC3AAAA+QIAAAAA&#10;" filled="f" stroked="f">
                  <v:textbox inset="0,0,0,0">
                    <w:txbxContent>
                      <w:p w14:paraId="2892CB05" w14:textId="77777777" w:rsidR="00B32EF2" w:rsidRDefault="00000000">
                        <w:r>
                          <w:rPr>
                            <w:rFonts w:ascii="Arial" w:eastAsia="Arial" w:hAnsi="Arial" w:cs="Arial"/>
                            <w:sz w:val="18"/>
                          </w:rPr>
                          <w:t>1</w:t>
                        </w:r>
                      </w:p>
                    </w:txbxContent>
                  </v:textbox>
                </v:rect>
                <v:rect id="Rectangle 15856" o:spid="_x0000_s2233" style="position:absolute;left:-13172;top:2140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TYuxAAAAN4AAAAPAAAAZHJzL2Rvd25yZXYueG1sRE9Na8JA&#10;EL0X/A/LFLzVTQtKSF1FFGkOXqoRPA7ZMUnNzi7Z1UR/fbdQ8DaP9znz5WBacaPON5YVvE8SEMSl&#10;1Q1XCorD9i0F4QOyxtYyKbiTh+Vi9DLHTNuev+m2D5WIIewzVFCH4DIpfVmTQT+xjjhyZ9sZDBF2&#10;ldQd9jHctPIjSWbSYMOxoUZH65rKy/5qFJw27PJtL8vzY+12P3nafl2Lo1Lj12H1CSLQEJ7if3eu&#10;4/xpOp3B3zvxBrn4BQAA//8DAFBLAQItABQABgAIAAAAIQDb4fbL7gAAAIUBAAATAAAAAAAAAAAA&#10;AAAAAAAAAABbQ29udGVudF9UeXBlc10ueG1sUEsBAi0AFAAGAAgAAAAhAFr0LFu/AAAAFQEAAAsA&#10;AAAAAAAAAAAAAAAAHwEAAF9yZWxzLy5yZWxzUEsBAi0AFAAGAAgAAAAhAOu5Ni7EAAAA3gAAAA8A&#10;AAAAAAAAAAAAAAAABwIAAGRycy9kb3ducmV2LnhtbFBLBQYAAAAAAwADALcAAAD4AgAAAAA=&#10;" filled="f" stroked="f">
                  <v:textbox inset="0,0,0,0">
                    <w:txbxContent>
                      <w:p w14:paraId="204C807A" w14:textId="77777777" w:rsidR="00B32EF2" w:rsidRDefault="00000000">
                        <w:r>
                          <w:rPr>
                            <w:rFonts w:ascii="Arial" w:eastAsia="Arial" w:hAnsi="Arial" w:cs="Arial"/>
                            <w:sz w:val="18"/>
                          </w:rPr>
                          <w:t xml:space="preserve">presentano istanza congiunta sottoscritta personalmente o dai difensori per la </w:t>
                        </w:r>
                      </w:p>
                    </w:txbxContent>
                  </v:textbox>
                </v:rect>
                <v:rect id="Rectangle 15857" o:spid="_x0000_s2234" style="position:absolute;left:7919;top:20168;width:3199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ZO1xAAAAN4AAAAPAAAAZHJzL2Rvd25yZXYueG1sRE9Na8JA&#10;EL0X/A/LCN7qxoJtiK4iijQHL7UKHofsmESzs0t2NdFf3y0UepvH+5z5sjeNuFPra8sKJuMEBHFh&#10;dc2lgsP39jUF4QOyxsYyKXiQh+Vi8DLHTNuOv+i+D6WIIewzVFCF4DIpfVGRQT+2jjhyZ9saDBG2&#10;pdQtdjHcNPItSd6lwZpjQ4WO1hUV1/3NKDht2OXbThbn59rtLnnafN4OR6VGw341AxGoD//iP3eu&#10;4/xpOv2A33fiDXLxAwAA//8DAFBLAQItABQABgAIAAAAIQDb4fbL7gAAAIUBAAATAAAAAAAAAAAA&#10;AAAAAAAAAABbQ29udGVudF9UeXBlc10ueG1sUEsBAi0AFAAGAAgAAAAhAFr0LFu/AAAAFQEAAAsA&#10;AAAAAAAAAAAAAAAAHwEAAF9yZWxzLy5yZWxzUEsBAi0AFAAGAAgAAAAhAIT1k7XEAAAA3gAAAA8A&#10;AAAAAAAAAAAAAAAABwIAAGRycy9kb3ducmV2LnhtbFBLBQYAAAAAAwADALcAAAD4AgAAAAA=&#10;" filled="f" stroked="f">
                  <v:textbox inset="0,0,0,0">
                    <w:txbxContent>
                      <w:p w14:paraId="69300563" w14:textId="77777777" w:rsidR="00B32EF2" w:rsidRDefault="00000000">
                        <w:r>
                          <w:rPr>
                            <w:rFonts w:ascii="Arial" w:eastAsia="Arial" w:hAnsi="Arial" w:cs="Arial"/>
                            <w:sz w:val="18"/>
                          </w:rPr>
                          <w:t xml:space="preserve">definizione totale o parziale della controversia. </w:t>
                        </w:r>
                      </w:p>
                    </w:txbxContent>
                  </v:textbox>
                </v:rect>
                <v:rect id="Rectangle 200201" o:spid="_x0000_s2235" style="position:absolute;left:26347;top:18934;width:521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goNxQAAAN8AAAAPAAAAZHJzL2Rvd25yZXYueG1sRI9Pi8Iw&#10;FMTvC36H8ARva6oHkWoUUcQevKx/wOOjebbV5iU00VY//WZhweMwM79h5svO1OJJja8sKxgNExDE&#10;udUVFwpOx+33FIQPyBpry6TgRR6Wi97XHFNtW/6h5yEUIkLYp6igDMGlUvq8JIN+aB1x9K62MRii&#10;bAqpG2wj3NRynCQTabDiuFCio3VJ+f3wMAouG3bZtpX59b12+1s2rXeP01mpQb9bzUAE6sIn/N/O&#10;tIJIHCcj+PsTv4Bc/AIAAP//AwBQSwECLQAUAAYACAAAACEA2+H2y+4AAACFAQAAEwAAAAAAAAAA&#10;AAAAAAAAAAAAW0NvbnRlbnRfVHlwZXNdLnhtbFBLAQItABQABgAIAAAAIQBa9CxbvwAAABUBAAAL&#10;AAAAAAAAAAAAAAAAAB8BAABfcmVscy8ucmVsc1BLAQItABQABgAIAAAAIQCd5goNxQAAAN8AAAAP&#10;AAAAAAAAAAAAAAAAAAcCAABkcnMvZG93bnJldi54bWxQSwUGAAAAAAMAAwC3AAAA+QIAAAAA&#10;" filled="f" stroked="f">
                  <v:textbox inset="0,0,0,0">
                    <w:txbxContent>
                      <w:p w14:paraId="5739FDC1" w14:textId="77777777" w:rsidR="00B32EF2" w:rsidRDefault="00000000">
                        <w:r>
                          <w:rPr>
                            <w:rFonts w:ascii="Arial" w:eastAsia="Arial" w:hAnsi="Arial" w:cs="Arial"/>
                            <w:sz w:val="18"/>
                          </w:rPr>
                          <w:t>2</w:t>
                        </w:r>
                      </w:p>
                    </w:txbxContent>
                  </v:textbox>
                </v:rect>
                <v:rect id="Rectangle 200202" o:spid="_x0000_s2236" style="position:absolute;left:-12856;top:18934;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JR6xQAAAN8AAAAPAAAAZHJzL2Rvd25yZXYueG1sRI9Bi8Iw&#10;FITvC/6H8ARva2oPItUooog9eFl1YY+P5tlWm5fQRFv99ZuFBY/DzHzDLFa9acSDWl9bVjAZJyCI&#10;C6trLhWcT7vPGQgfkDU2lknBkzysloOPBWbadvxFj2MoRYSwz1BBFYLLpPRFRQb92Dri6F1sazBE&#10;2ZZSt9hFuGlkmiRTabDmuFCho01Fxe14Nwp+tuzyXSeLy2vjDtd81uzv52+lRsN+PQcRqA/v8H87&#10;1woiMU1S+PsTv4Bc/gIAAP//AwBQSwECLQAUAAYACAAAACEA2+H2y+4AAACFAQAAEwAAAAAAAAAA&#10;AAAAAAAAAAAAW0NvbnRlbnRfVHlwZXNdLnhtbFBLAQItABQABgAIAAAAIQBa9CxbvwAAABUBAAAL&#10;AAAAAAAAAAAAAAAAAB8BAABfcmVscy8ucmVsc1BLAQItABQABgAIAAAAIQBtNJR6xQAAAN8AAAAP&#10;AAAAAAAAAAAAAAAAAAcCAABkcnMvZG93bnJldi54bWxQSwUGAAAAAAMAAwC3AAAA+QIAAAAA&#10;" filled="f" stroked="f">
                  <v:textbox inset="0,0,0,0">
                    <w:txbxContent>
                      <w:p w14:paraId="3E4DFCE5" w14:textId="77777777" w:rsidR="00B32EF2" w:rsidRDefault="00000000">
                        <w:r>
                          <w:rPr>
                            <w:rFonts w:ascii="Arial" w:eastAsia="Arial" w:hAnsi="Arial" w:cs="Arial"/>
                            <w:sz w:val="18"/>
                          </w:rPr>
                          <w:t>. Se la data di trattazione è già fissata e sussistono le condizioni di ammis</w:t>
                        </w:r>
                      </w:p>
                    </w:txbxContent>
                  </v:textbox>
                </v:rect>
                <v:rect id="Rectangle 15859" o:spid="_x0000_s2237" style="position:absolute;left:191;top:189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qJcxAAAAN4AAAAPAAAAZHJzL2Rvd25yZXYueG1sRE9Na8JA&#10;EL0X/A/LCN7qxoIlja4iijQHL7UKHofsmESzs0t2NdFf3y0UepvH+5z5sjeNuFPra8sKJuMEBHFh&#10;dc2lgsP39jUF4QOyxsYyKXiQh+Vi8DLHTNuOv+i+D6WIIewzVFCF4DIpfVGRQT+2jjhyZ9saDBG2&#10;pdQtdjHcNPItSd6lwZpjQ4WO1hUV1/3NKDht2OXbThbn59rtLnnafN4OR6VGw341AxGoD//iP3eu&#10;4/xpOv2A33fiDXLxAwAA//8DAFBLAQItABQABgAIAAAAIQDb4fbL7gAAAIUBAAATAAAAAAAAAAAA&#10;AAAAAAAAAABbQ29udGVudF9UeXBlc10ueG1sUEsBAi0AFAAGAAgAAAAhAFr0LFu/AAAAFQEAAAsA&#10;AAAAAAAAAAAAAAAAHwEAAF9yZWxzLy5yZWxzUEsBAi0AFAAGAAgAAAAhAJomolzEAAAA3gAAAA8A&#10;AAAAAAAAAAAAAAAABwIAAGRycy9kb3ducmV2LnhtbFBLBQYAAAAAAwADALcAAAD4AgAAAAA=&#10;" filled="f" stroked="f">
                  <v:textbox inset="0,0,0,0">
                    <w:txbxContent>
                      <w:p w14:paraId="7F15B159" w14:textId="77777777" w:rsidR="00B32EF2" w:rsidRDefault="00000000">
                        <w:r>
                          <w:rPr>
                            <w:rFonts w:ascii="Arial" w:eastAsia="Arial" w:hAnsi="Arial" w:cs="Arial"/>
                            <w:sz w:val="18"/>
                          </w:rPr>
                          <w:t>-</w:t>
                        </w:r>
                      </w:p>
                    </w:txbxContent>
                  </v:textbox>
                </v:rect>
                <v:rect id="Rectangle 15860" o:spid="_x0000_s2238" style="position:absolute;left:-13172;top:1770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MF8yAAAAN4AAAAPAAAAZHJzL2Rvd25yZXYueG1sRI9Pa8Mw&#10;DMXvg30Ho8Fuq7PBSkjrltJRlsMu/TPYUcRqkjaWTew22T79dCj0JqGn995vvhxdp67Ux9azgddJ&#10;Boq48rbl2sBhv3nJQcWEbLHzTAZ+KcJy8fgwx8L6gbd03aVaiQnHAg00KYVC61g15DBOfCCW29H3&#10;DpOsfa1tj4OYu06/ZdlUO2xZEhoMtG6oOu8uzsDPB4dyM+jq+LcOX6cy7z4vh29jnp/G1QxUojHd&#10;xbfv0kr993wqAIIjM+jFPwAAAP//AwBQSwECLQAUAAYACAAAACEA2+H2y+4AAACFAQAAEwAAAAAA&#10;AAAAAAAAAAAAAAAAW0NvbnRlbnRfVHlwZXNdLnhtbFBLAQItABQABgAIAAAAIQBa9CxbvwAAABUB&#10;AAALAAAAAAAAAAAAAAAAAB8BAABfcmVscy8ucmVsc1BLAQItABQABgAIAAAAIQDFcMF8yAAAAN4A&#10;AAAPAAAAAAAAAAAAAAAAAAcCAABkcnMvZG93bnJldi54bWxQSwUGAAAAAAMAAwC3AAAA/AIAAAAA&#10;" filled="f" stroked="f">
                  <v:textbox inset="0,0,0,0">
                    <w:txbxContent>
                      <w:p w14:paraId="38288523" w14:textId="77777777" w:rsidR="00B32EF2" w:rsidRDefault="00000000">
                        <w:r>
                          <w:rPr>
                            <w:rFonts w:ascii="Arial" w:eastAsia="Arial" w:hAnsi="Arial" w:cs="Arial"/>
                            <w:sz w:val="18"/>
                          </w:rPr>
                          <w:t xml:space="preserve">sibilità, la corte di giustizia tributaria pronuncia sentenza di cessazione della </w:t>
                        </w:r>
                      </w:p>
                    </w:txbxContent>
                  </v:textbox>
                </v:rect>
                <v:rect id="Rectangle 15861" o:spid="_x0000_s2239" style="position:absolute;left:-13172;top:1646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TnxAAAAN4AAAAPAAAAZHJzL2Rvd25yZXYueG1sRE9Li8Iw&#10;EL4L/ocwwt40VVgpXaOIItvDXnws7HFoxrZrMwlNtN399UYQvM3H95zFqjeNuFHra8sKppMEBHFh&#10;dc2lgtNxN05B+ICssbFMCv7Iw2o5HCww07bjPd0OoRQxhH2GCqoQXCalLyoy6CfWEUfubFuDIcK2&#10;lLrFLoabRs6SZC4N1hwbKnS0qai4HK5Gwc+WXb7rZHH+37iv3zxtPq+nb6XeRv36A0SgPrzET3eu&#10;4/z3dD6FxzvxBrm8AwAA//8DAFBLAQItABQABgAIAAAAIQDb4fbL7gAAAIUBAAATAAAAAAAAAAAA&#10;AAAAAAAAAABbQ29udGVudF9UeXBlc10ueG1sUEsBAi0AFAAGAAgAAAAhAFr0LFu/AAAAFQEAAAsA&#10;AAAAAAAAAAAAAAAAHwEAAF9yZWxzLy5yZWxzUEsBAi0AFAAGAAgAAAAhAKo8ZOfEAAAA3gAAAA8A&#10;AAAAAAAAAAAAAAAABwIAAGRycy9kb3ducmV2LnhtbFBLBQYAAAAAAwADALcAAAD4AgAAAAA=&#10;" filled="f" stroked="f">
                  <v:textbox inset="0,0,0,0">
                    <w:txbxContent>
                      <w:p w14:paraId="5BA850E1" w14:textId="77777777" w:rsidR="00B32EF2" w:rsidRDefault="00000000">
                        <w:r>
                          <w:rPr>
                            <w:rFonts w:ascii="Arial" w:eastAsia="Arial" w:hAnsi="Arial" w:cs="Arial"/>
                            <w:sz w:val="18"/>
                          </w:rPr>
                          <w:t xml:space="preserve">materia del contendere. Se l’accordo conciliativo è parziale, la corte dichiara </w:t>
                        </w:r>
                      </w:p>
                    </w:txbxContent>
                  </v:textbox>
                </v:rect>
                <v:rect id="Rectangle 15862" o:spid="_x0000_s2240" style="position:absolute;left:-13172;top:152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vqQxAAAAN4AAAAPAAAAZHJzL2Rvd25yZXYueG1sRE9Na8JA&#10;EL0X/A/LFLzVTYVKSF1FFGkOXqoRPA7ZMUnNzi7Z1UR/fbdQ8DaP9znz5WBacaPON5YVvE8SEMSl&#10;1Q1XCorD9i0F4QOyxtYyKbiTh+Vi9DLHTNuev+m2D5WIIewzVFCH4DIpfVmTQT+xjjhyZ9sZDBF2&#10;ldQd9jHctHKaJDNpsOHYUKOjdU3lZX81Ck4bdvm2l+X5sXa7nzxtv67FUanx67D6BBFoCE/xvzvX&#10;cf5HOpvC3zvxBrn4BQAA//8DAFBLAQItABQABgAIAAAAIQDb4fbL7gAAAIUBAAATAAAAAAAAAAAA&#10;AAAAAAAAAABbQ29udGVudF9UeXBlc10ueG1sUEsBAi0AFAAGAAgAAAAhAFr0LFu/AAAAFQEAAAsA&#10;AAAAAAAAAAAAAAAAHwEAAF9yZWxzLy5yZWxzUEsBAi0AFAAGAAgAAAAhAFru+pDEAAAA3gAAAA8A&#10;AAAAAAAAAAAAAAAABwIAAGRycy9kb3ducmV2LnhtbFBLBQYAAAAAAwADALcAAAD4AgAAAAA=&#10;" filled="f" stroked="f">
                  <v:textbox inset="0,0,0,0">
                    <w:txbxContent>
                      <w:p w14:paraId="516B1E2D" w14:textId="77777777" w:rsidR="00B32EF2" w:rsidRDefault="00000000">
                        <w:r>
                          <w:rPr>
                            <w:rFonts w:ascii="Arial" w:eastAsia="Arial" w:hAnsi="Arial" w:cs="Arial"/>
                            <w:sz w:val="18"/>
                          </w:rPr>
                          <w:t xml:space="preserve">con ordinanza la cessazione parziale della materia del contendere e procede </w:t>
                        </w:r>
                      </w:p>
                    </w:txbxContent>
                  </v:textbox>
                </v:rect>
                <v:rect id="Rectangle 15863" o:spid="_x0000_s2241" style="position:absolute;left:15194;top:14001;width:247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l8LxAAAAN4AAAAPAAAAZHJzL2Rvd25yZXYueG1sRE9Na8JA&#10;EL0X/A/LCN7qxkolRFcRRZpDL7UKHofsmESzs0t2NdFf3y0UepvH+5zFqjeNuFPra8sKJuMEBHFh&#10;dc2lgsP37jUF4QOyxsYyKXiQh9Vy8LLATNuOv+i+D6WIIewzVFCF4DIpfVGRQT+2jjhyZ9saDBG2&#10;pdQtdjHcNPItSWbSYM2xoUJHm4qK6/5mFJy27PJdJ4vzc+M+L3nafNwOR6VGw349BxGoD//iP3eu&#10;4/z3dDaF33fiDXL5AwAA//8DAFBLAQItABQABgAIAAAAIQDb4fbL7gAAAIUBAAATAAAAAAAAAAAA&#10;AAAAAAAAAABbQ29udGVudF9UeXBlc10ueG1sUEsBAi0AFAAGAAgAAAAhAFr0LFu/AAAAFQEAAAsA&#10;AAAAAAAAAAAAAAAAHwEAAF9yZWxzLy5yZWxzUEsBAi0AFAAGAAgAAAAhADWiXwvEAAAA3gAAAA8A&#10;AAAAAAAAAAAAAAAABwIAAGRycy9kb3ducmV2LnhtbFBLBQYAAAAAAwADALcAAAD4AgAAAAA=&#10;" filled="f" stroked="f">
                  <v:textbox inset="0,0,0,0">
                    <w:txbxContent>
                      <w:p w14:paraId="3D2852F0" w14:textId="77777777" w:rsidR="00B32EF2" w:rsidRDefault="00000000">
                        <w:r>
                          <w:rPr>
                            <w:rFonts w:ascii="Arial" w:eastAsia="Arial" w:hAnsi="Arial" w:cs="Arial"/>
                            <w:sz w:val="18"/>
                          </w:rPr>
                          <w:t>alla ulteriore trattazione della causa.</w:t>
                        </w:r>
                      </w:p>
                    </w:txbxContent>
                  </v:textbox>
                </v:rect>
                <v:rect id="Rectangle 200199" o:spid="_x0000_s2242" style="position:absolute;left:26109;top:1276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LwxwAAAN8AAAAPAAAAZHJzL2Rvd25yZXYueG1sRI9Ba8JA&#10;FITvhf6H5RV6qxt7KEnqKmKR5uDF1EKPj+wzSc2+XbJrkvrrXUHocZiZb5jFajKdGKj3rWUF81kC&#10;griyuuVaweFr+5KC8AFZY2eZFPyRh9Xy8WGBubYj72koQy0ihH2OCpoQXC6lrxoy6GfWEUfvaHuD&#10;Icq+lrrHMcJNJ1+T5E0abDkuNOho01B1Ks9Gwc8Hu2I7yup42bjdb5F2n+fDt1LPT9P6HUSgKfyH&#10;7+1CK4jEeZbB7U/8AnJ5BQAA//8DAFBLAQItABQABgAIAAAAIQDb4fbL7gAAAIUBAAATAAAAAAAA&#10;AAAAAAAAAAAAAABbQ29udGVudF9UeXBlc10ueG1sUEsBAi0AFAAGAAgAAAAhAFr0LFu/AAAAFQEA&#10;AAsAAAAAAAAAAAAAAAAAHwEAAF9yZWxzLy5yZWxzUEsBAi0AFAAGAAgAAAAhAFC/8vDHAAAA3wAA&#10;AA8AAAAAAAAAAAAAAAAABwIAAGRycy9kb3ducmV2LnhtbFBLBQYAAAAAAwADALcAAAD7AgAAAAA=&#10;" filled="f" stroked="f">
                  <v:textbox inset="0,0,0,0">
                    <w:txbxContent>
                      <w:p w14:paraId="32E26321" w14:textId="77777777" w:rsidR="00B32EF2" w:rsidRDefault="00000000">
                        <w:r>
                          <w:rPr>
                            <w:rFonts w:ascii="Arial" w:eastAsia="Arial" w:hAnsi="Arial" w:cs="Arial"/>
                            <w:sz w:val="18"/>
                          </w:rPr>
                          <w:t>3</w:t>
                        </w:r>
                      </w:p>
                    </w:txbxContent>
                  </v:textbox>
                </v:rect>
                <v:rect id="Rectangle 200200" o:spid="_x0000_s2243" style="position:absolute;left:-13817;top:1276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q+WxgAAAN8AAAAPAAAAZHJzL2Rvd25yZXYueG1sRI9NawIx&#10;EIbvQv9DGKE3zeqhyGqUYpHuwUutgschGXdXN5OwyX60v74pFApzGeZ9n+HZ7EbbiJ7aUDtWsJhn&#10;IIi1MzWXCs6fh9kKRIjIBhvHpOCLAuy2T5MN5sYN/EH9KZYiQTjkqKCK0edSBl2RxTB3njjdbq61&#10;GNPaltK0OCS4beQyy16kxZrThwo97SvSj1NnFVzf2BeHQerb994f78Wqee/OF6Wep+PrGkSkMf6H&#10;/9qFUZCIaeDXJ7mA3P4AAAD//wMAUEsBAi0AFAAGAAgAAAAhANvh9svuAAAAhQEAABMAAAAAAAAA&#10;AAAAAAAAAAAAAFtDb250ZW50X1R5cGVzXS54bWxQSwECLQAUAAYACAAAACEAWvQsW78AAAAVAQAA&#10;CwAAAAAAAAAAAAAAAAAfAQAAX3JlbHMvLnJlbHNQSwECLQAUAAYACAAAACEA8qqvlsYAAADfAAAA&#10;DwAAAAAAAAAAAAAAAAAHAgAAZHJzL2Rvd25yZXYueG1sUEsFBgAAAAADAAMAtwAAAPoCAAAAAA==&#10;" filled="f" stroked="f">
                  <v:textbox inset="0,0,0,0">
                    <w:txbxContent>
                      <w:p w14:paraId="065D2A8E" w14:textId="77777777" w:rsidR="00B32EF2" w:rsidRDefault="00000000">
                        <w:r>
                          <w:rPr>
                            <w:rFonts w:ascii="Arial" w:eastAsia="Arial" w:hAnsi="Arial" w:cs="Arial"/>
                            <w:sz w:val="18"/>
                          </w:rPr>
                          <w:t xml:space="preserve">. Se la data di trattazione non è fissata, provvede con decreto il presidente </w:t>
                        </w:r>
                      </w:p>
                    </w:txbxContent>
                  </v:textbox>
                </v:rect>
                <v:rect id="Rectangle 15865" o:spid="_x0000_s2244" style="position:absolute;left:30532;top:11534;width:93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2LkxAAAAN4AAAAPAAAAZHJzL2Rvd25yZXYueG1sRE9Na8JA&#10;EL0X/A/LFLzVTQtKSF1FFGkOXqoRPA7ZMUnNzi7Z1UR/fbdQ8DaP9znz5WBacaPON5YVvE8SEMSl&#10;1Q1XCorD9i0F4QOyxtYyKbiTh+Vi9DLHTNuev+m2D5WIIewzVFCH4DIpfVmTQT+xjjhyZ9sZDBF2&#10;ldQd9jHctPIjSWbSYMOxoUZH65rKy/5qFJw27PJtL8vzY+12P3nafl2Lo1Lj12H1CSLQEJ7if3eu&#10;4/xpOpvC3zvxBrn4BQAA//8DAFBLAQItABQABgAIAAAAIQDb4fbL7gAAAIUBAAATAAAAAAAAAAAA&#10;AAAAAAAAAABbQ29udGVudF9UeXBlc10ueG1sUEsBAi0AFAAGAAgAAAAhAFr0LFu/AAAAFQEAAAsA&#10;AAAAAAAAAAAAAAAAHwEAAF9yZWxzLy5yZWxzUEsBAi0AFAAGAAgAAAAhANUHYuTEAAAA3gAAAA8A&#10;AAAAAAAAAAAAAAAABwIAAGRycy9kb3ducmV2LnhtbFBLBQYAAAAAAwADALcAAAD4AgAAAAA=&#10;" filled="f" stroked="f">
                  <v:textbox inset="0,0,0,0">
                    <w:txbxContent>
                      <w:p w14:paraId="21890131" w14:textId="77777777" w:rsidR="00B32EF2" w:rsidRDefault="00000000">
                        <w:r>
                          <w:rPr>
                            <w:rFonts w:ascii="Arial" w:eastAsia="Arial" w:hAnsi="Arial" w:cs="Arial"/>
                            <w:sz w:val="18"/>
                          </w:rPr>
                          <w:t>della sezione.</w:t>
                        </w:r>
                      </w:p>
                    </w:txbxContent>
                  </v:textbox>
                </v:rect>
                <v:rect id="Rectangle 200197" o:spid="_x0000_s2245" style="position:absolute;left:26109;top:1030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MMZxwAAAN8AAAAPAAAAZHJzL2Rvd25yZXYueG1sRI9Pa8JA&#10;FMTvhX6H5RV60409WI1uRCxiDr1UU+jxkX35o9m3S3Y1aT99tyD0OMzMb5j1ZjSduFHvW8sKZtME&#10;BHFpdcu1guK0nyxA+ICssbNMCr7JwyZ7fFhjqu3AH3Q7hlpECPsUFTQhuFRKXzZk0E+tI45eZXuD&#10;Icq+lrrHIcJNJ1+SZC4NthwXGnS0a6i8HK9Gwdcbu3w/yLL62bn3c77oDtfiU6nnp3G7AhFoDP/h&#10;ezvXCiJxtnyFvz/xC8jsFwAA//8DAFBLAQItABQABgAIAAAAIQDb4fbL7gAAAIUBAAATAAAAAAAA&#10;AAAAAAAAAAAAAABbQ29udGVudF9UeXBlc10ueG1sUEsBAi0AFAAGAAgAAAAhAFr0LFu/AAAAFQEA&#10;AAsAAAAAAAAAAAAAAAAAHwEAAF9yZWxzLy5yZWxzUEsBAi0AFAAGAAgAAAAhAE5swxnHAAAA3wAA&#10;AA8AAAAAAAAAAAAAAAAABwIAAGRycy9kb3ducmV2LnhtbFBLBQYAAAAAAwADALcAAAD7AgAAAAA=&#10;" filled="f" stroked="f">
                  <v:textbox inset="0,0,0,0">
                    <w:txbxContent>
                      <w:p w14:paraId="2444BDFC" w14:textId="77777777" w:rsidR="00B32EF2" w:rsidRDefault="00000000">
                        <w:r>
                          <w:rPr>
                            <w:rFonts w:ascii="Arial" w:eastAsia="Arial" w:hAnsi="Arial" w:cs="Arial"/>
                            <w:sz w:val="18"/>
                          </w:rPr>
                          <w:t>4</w:t>
                        </w:r>
                      </w:p>
                    </w:txbxContent>
                  </v:textbox>
                </v:rect>
                <v:rect id="Rectangle 200198" o:spid="_x0000_s2246" style="position:absolute;left:-13803;top:1030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drxwAAAN8AAAAPAAAAZHJzL2Rvd25yZXYueG1sRI/BbsIw&#10;DIbvk/YOkSdxGyk7INYREGJC9LALjEk7Wo1pOxonagIte3p8QOJo/f4/+5svB9eqC3Wx8WxgMs5A&#10;EZfeNlwZOHxvXmegYkK22HomA1eKsFw8P80xt77nHV32qVIC4ZijgTqlkGsdy5ocxrEPxJIdfecw&#10;ydhV2nbYC9y1+i3Lptphw3KhxkDrmsrT/uwM/H5yKDa9Lo//6/D1V8za7fnwY8zoZVh9gEo0pMfy&#10;vV1YA0KcvMvD4iMuoBc3AAAA//8DAFBLAQItABQABgAIAAAAIQDb4fbL7gAAAIUBAAATAAAAAAAA&#10;AAAAAAAAAAAAAABbQ29udGVudF9UeXBlc10ueG1sUEsBAi0AFAAGAAgAAAAhAFr0LFu/AAAAFQEA&#10;AAsAAAAAAAAAAAAAAAAAHwEAAF9yZWxzLy5yZWxzUEsBAi0AFAAGAAgAAAAhAD/zV2vHAAAA3wAA&#10;AA8AAAAAAAAAAAAAAAAABwIAAGRycy9kb3ducmV2LnhtbFBLBQYAAAAAAwADALcAAAD7AgAAAAA=&#10;" filled="f" stroked="f">
                  <v:textbox inset="0,0,0,0">
                    <w:txbxContent>
                      <w:p w14:paraId="38F57C2D" w14:textId="77777777" w:rsidR="00B32EF2" w:rsidRDefault="00000000">
                        <w:r>
                          <w:rPr>
                            <w:rFonts w:ascii="Arial" w:eastAsia="Arial" w:hAnsi="Arial" w:cs="Arial"/>
                            <w:sz w:val="18"/>
                          </w:rPr>
                          <w:t xml:space="preserve">. La conciliazione si perfeziona con la sottoscrizione dell’accordo di cui al </w:t>
                        </w:r>
                      </w:p>
                    </w:txbxContent>
                  </v:textbox>
                </v:rect>
                <v:rect id="Rectangle 15867" o:spid="_x0000_s2247" style="position:absolute;left:-12210;top:9068;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VkIxAAAAN4AAAAPAAAAZHJzL2Rvd25yZXYueG1sRE9Na8JA&#10;EL0X/A/LCN7qxoI2RFcRRZpDL7UKHofsmESzs0t2NdFf3y0UepvH+5zFqjeNuFPra8sKJuMEBHFh&#10;dc2lgsP37jUF4QOyxsYyKXiQh9Vy8LLATNuOv+i+D6WIIewzVFCF4DIpfVGRQT+2jjhyZ9saDBG2&#10;pdQtdjHcNPItSWbSYM2xoUJHm4qK6/5mFJy27PJdJ4vzc+M+L3nafNwOR6VGw349BxGoD//iP3eu&#10;4/xpOnuH33fiDXL5AwAA//8DAFBLAQItABQABgAIAAAAIQDb4fbL7gAAAIUBAAATAAAAAAAAAAAA&#10;AAAAAAAAAABbQ29udGVudF9UeXBlc10ueG1sUEsBAi0AFAAGAAgAAAAhAFr0LFu/AAAAFQEAAAsA&#10;AAAAAAAAAAAAAAAAHwEAAF9yZWxzLy5yZWxzUEsBAi0AFAAGAAgAAAAhAEqZWQjEAAAA3gAAAA8A&#10;AAAAAAAAAAAAAAAABwIAAGRycy9kb3ducmV2LnhtbFBLBQYAAAAAAwADALcAAAD4AgAAAAA=&#10;" filled="f" stroked="f">
                  <v:textbox inset="0,0,0,0">
                    <w:txbxContent>
                      <w:p w14:paraId="530C971C" w14:textId="77777777" w:rsidR="00B32EF2" w:rsidRDefault="00000000">
                        <w:r>
                          <w:rPr>
                            <w:rFonts w:ascii="Arial" w:eastAsia="Arial" w:hAnsi="Arial" w:cs="Arial"/>
                            <w:sz w:val="18"/>
                          </w:rPr>
                          <w:t>comma 1, nel quale sono indicate le somme dovute con i termini e le moda</w:t>
                        </w:r>
                      </w:p>
                    </w:txbxContent>
                  </v:textbox>
                </v:rect>
                <v:rect id="Rectangle 15868" o:spid="_x0000_s2248" style="position:absolute;left:191;top:906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s16yAAAAN4AAAAPAAAAZHJzL2Rvd25yZXYueG1sRI9Pa8Mw&#10;DMXvg30Ho8Fuq7PBSkjrltJRlsMu/TPYUcRqkjaWTew22T79dCj0JvGe3vtpvhxdp67Ux9azgddJ&#10;Boq48rbl2sBhv3nJQcWEbLHzTAZ+KcJy8fgwx8L6gbd03aVaSQjHAg00KYVC61g15DBOfCAW7eh7&#10;h0nWvta2x0HCXaffsmyqHbYsDQ0GWjdUnXcXZ+Dng0O5GXR1/FuHr1OZd5+Xw7cxz0/jagYq0Zju&#10;5tt1aQX/PZ8Kr7wjM+jFPwAAAP//AwBQSwECLQAUAAYACAAAACEA2+H2y+4AAACFAQAAEwAAAAAA&#10;AAAAAAAAAAAAAAAAW0NvbnRlbnRfVHlwZXNdLnhtbFBLAQItABQABgAIAAAAIQBa9CxbvwAAABUB&#10;AAALAAAAAAAAAAAAAAAAAB8BAABfcmVscy8ucmVsc1BLAQItABQABgAIAAAAIQA7Bs16yAAAAN4A&#10;AAAPAAAAAAAAAAAAAAAAAAcCAABkcnMvZG93bnJldi54bWxQSwUGAAAAAAMAAwC3AAAA/AIAAAAA&#10;" filled="f" stroked="f">
                  <v:textbox inset="0,0,0,0">
                    <w:txbxContent>
                      <w:p w14:paraId="2152F08A" w14:textId="77777777" w:rsidR="00B32EF2" w:rsidRDefault="00000000">
                        <w:r>
                          <w:rPr>
                            <w:rFonts w:ascii="Arial" w:eastAsia="Arial" w:hAnsi="Arial" w:cs="Arial"/>
                            <w:sz w:val="18"/>
                          </w:rPr>
                          <w:t>-</w:t>
                        </w:r>
                      </w:p>
                    </w:txbxContent>
                  </v:textbox>
                </v:rect>
                <v:rect id="Rectangle 15869" o:spid="_x0000_s2249" style="position:absolute;left:-13172;top:7835;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mjhxAAAAN4AAAAPAAAAZHJzL2Rvd25yZXYueG1sRE9Na8JA&#10;EL0X/A/LCN7qxoKSRlcRRZpDL7UKHofsmESzs0t2NdFf3y0UepvH+5zFqjeNuFPra8sKJuMEBHFh&#10;dc2lgsP37jUF4QOyxsYyKXiQh9Vy8LLATNuOv+i+D6WIIewzVFCF4DIpfVGRQT+2jjhyZ9saDBG2&#10;pdQtdjHcNPItSWbSYM2xoUJHm4qK6/5mFJy27PJdJ4vzc+M+L3nafNwOR6VGw349BxGoD//iP3eu&#10;4/xpOnuH33fiDXL5AwAA//8DAFBLAQItABQABgAIAAAAIQDb4fbL7gAAAIUBAAATAAAAAAAAAAAA&#10;AAAAAAAAAABbQ29udGVudF9UeXBlc10ueG1sUEsBAi0AFAAGAAgAAAAhAFr0LFu/AAAAFQEAAAsA&#10;AAAAAAAAAAAAAAAAHwEAAF9yZWxzLy5yZWxzUEsBAi0AFAAGAAgAAAAhAFRKaOHEAAAA3gAAAA8A&#10;AAAAAAAAAAAAAAAABwIAAGRycy9kb3ducmV2LnhtbFBLBQYAAAAAAwADALcAAAD4AgAAAAA=&#10;" filled="f" stroked="f">
                  <v:textbox inset="0,0,0,0">
                    <w:txbxContent>
                      <w:p w14:paraId="639C3571" w14:textId="77777777" w:rsidR="00B32EF2" w:rsidRDefault="00000000">
                        <w:r>
                          <w:rPr>
                            <w:rFonts w:ascii="Arial" w:eastAsia="Arial" w:hAnsi="Arial" w:cs="Arial"/>
                            <w:sz w:val="18"/>
                          </w:rPr>
                          <w:t xml:space="preserve">lità di pagamento. L’accordo costituisce titolo per la riscossione delle somme </w:t>
                        </w:r>
                      </w:p>
                    </w:txbxContent>
                  </v:textbox>
                </v:rect>
                <v:rect id="Rectangle 15870" o:spid="_x0000_s2250" style="position:absolute;left:-12205;top:6601;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VehyAAAAN4AAAAPAAAAZHJzL2Rvd25yZXYueG1sRI9Pa8Mw&#10;DMXvg30Ho0Fvq7NBt5DVLaOjNIdd+g92FLGaZItlE7tNuk8/HQq7SejpvfebL0fXqQv1sfVs4Gma&#10;gSKuvG25NnDYrx9zUDEhW+w8k4ErRVgu7u/mWFg/8JYuu1QrMeFYoIEmpVBoHauGHMapD8RyO/ne&#10;YZK1r7XtcRBz1+nnLHvRDluWhAYDrRqqfnZnZ+Drg0O5HnR1+l2Fz+8y7zbnw9GYycP4/gYq0Zj+&#10;xbfv0kr9Wf4qAIIjM+jFHwAAAP//AwBQSwECLQAUAAYACAAAACEA2+H2y+4AAACFAQAAEwAAAAAA&#10;AAAAAAAAAAAAAAAAW0NvbnRlbnRfVHlwZXNdLnhtbFBLAQItABQABgAIAAAAIQBa9CxbvwAAABUB&#10;AAALAAAAAAAAAAAAAAAAAB8BAABfcmVscy8ucmVsc1BLAQItABQABgAIAAAAIQBAqVehyAAAAN4A&#10;AAAPAAAAAAAAAAAAAAAAAAcCAABkcnMvZG93bnJldi54bWxQSwUGAAAAAAMAAwC3AAAA/AIAAAAA&#10;" filled="f" stroked="f">
                  <v:textbox inset="0,0,0,0">
                    <w:txbxContent>
                      <w:p w14:paraId="75857557" w14:textId="77777777" w:rsidR="00B32EF2" w:rsidRDefault="00000000">
                        <w:r>
                          <w:rPr>
                            <w:rFonts w:ascii="Arial" w:eastAsia="Arial" w:hAnsi="Arial" w:cs="Arial"/>
                            <w:sz w:val="18"/>
                          </w:rPr>
                          <w:t>dovute all’ente impositore e per il pagamento delle somme dovute al contri</w:t>
                        </w:r>
                      </w:p>
                    </w:txbxContent>
                  </v:textbox>
                </v:rect>
                <v:rect id="Rectangle 15871" o:spid="_x0000_s2251" style="position:absolute;left:191;top:660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fI6xAAAAN4AAAAPAAAAZHJzL2Rvd25yZXYueG1sRE9Na8JA&#10;EL0X/A/LCN7qRqFtiK4iijQHL7UKHofsmESzs0t2NdFf3y0UepvH+5z5sjeNuFPra8sKJuMEBHFh&#10;dc2lgsP39jUF4QOyxsYyKXiQh+Vi8DLHTNuOv+i+D6WIIewzVFCF4DIpfVGRQT+2jjhyZ9saDBG2&#10;pdQtdjHcNHKaJO/SYM2xoUJH64qK6/5mFJw27PJtJ4vzc+12lzxtPm+Ho1KjYb+agQjUh3/xnzvX&#10;cf5b+jGB33fiDXLxAwAA//8DAFBLAQItABQABgAIAAAAIQDb4fbL7gAAAIUBAAATAAAAAAAAAAAA&#10;AAAAAAAAAABbQ29udGVudF9UeXBlc10ueG1sUEsBAi0AFAAGAAgAAAAhAFr0LFu/AAAAFQEAAAsA&#10;AAAAAAAAAAAAAAAAHwEAAF9yZWxzLy5yZWxzUEsBAi0AFAAGAAgAAAAhAC/l8jrEAAAA3gAAAA8A&#10;AAAAAAAAAAAAAAAABwIAAGRycy9kb3ducmV2LnhtbFBLBQYAAAAAAwADALcAAAD4AgAAAAA=&#10;" filled="f" stroked="f">
                  <v:textbox inset="0,0,0,0">
                    <w:txbxContent>
                      <w:p w14:paraId="68800030" w14:textId="77777777" w:rsidR="00B32EF2" w:rsidRDefault="00000000">
                        <w:r>
                          <w:rPr>
                            <w:rFonts w:ascii="Arial" w:eastAsia="Arial" w:hAnsi="Arial" w:cs="Arial"/>
                            <w:sz w:val="18"/>
                          </w:rPr>
                          <w:t>-</w:t>
                        </w:r>
                      </w:p>
                    </w:txbxContent>
                  </v:textbox>
                </v:rect>
                <v:rect id="Rectangle 15872" o:spid="_x0000_s2252" style="position:absolute;left:34406;top:5368;width:55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2xNxQAAAN4AAAAPAAAAZHJzL2Rvd25yZXYueG1sRE9La8JA&#10;EL4X/A/LCN7qRqFtiK4iijSHXuoDPA7ZMYlmZ5fsamJ/fbdQ8DYf33Pmy9404k6try0rmIwTEMSF&#10;1TWXCg777WsKwgdkjY1lUvAgD8vF4GWOmbYdf9N9F0oRQ9hnqKAKwWVS+qIig35sHXHkzrY1GCJs&#10;S6lb7GK4aeQ0Sd6lwZpjQ4WO1hUV193NKDht2OXbThbnn7X7uuRp83k7HJUaDfvVDESgPjzF/+5c&#10;x/lv6ccU/t6JN8jFLwAAAP//AwBQSwECLQAUAAYACAAAACEA2+H2y+4AAACFAQAAEwAAAAAAAAAA&#10;AAAAAAAAAAAAW0NvbnRlbnRfVHlwZXNdLnhtbFBLAQItABQABgAIAAAAIQBa9CxbvwAAABUBAAAL&#10;AAAAAAAAAAAAAAAAAB8BAABfcmVscy8ucmVsc1BLAQItABQABgAIAAAAIQDfN2xNxQAAAN4AAAAP&#10;AAAAAAAAAAAAAAAAAAcCAABkcnMvZG93bnJldi54bWxQSwUGAAAAAAMAAwC3AAAA+QIAAAAA&#10;" filled="f" stroked="f">
                  <v:textbox inset="0,0,0,0">
                    <w:txbxContent>
                      <w:p w14:paraId="7892882D" w14:textId="77777777" w:rsidR="00B32EF2" w:rsidRDefault="00000000">
                        <w:r>
                          <w:rPr>
                            <w:rFonts w:ascii="Arial" w:eastAsia="Arial" w:hAnsi="Arial" w:cs="Arial"/>
                            <w:sz w:val="18"/>
                          </w:rPr>
                          <w:t xml:space="preserve">buente. </w:t>
                        </w:r>
                      </w:p>
                    </w:txbxContent>
                  </v:textbox>
                </v:rect>
                <v:rect id="Rectangle 200196" o:spid="_x0000_s2253" style="position:absolute;left:-12851;top:4135;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GaCxgAAAN8AAAAPAAAAZHJzL2Rvd25yZXYueG1sRI9Pi8Iw&#10;FMTvgt8hPGFvmroH0WqUxUW2h734Dzw+mmdbt3kJTbRdP70RBI/DzPyGWaw6U4sbNb6yrGA8SkAQ&#10;51ZXXCg47DfDKQgfkDXWlknBP3lYLfu9Babatryl2y4UIkLYp6igDMGlUvq8JIN+ZB1x9M62MRii&#10;bAqpG2wj3NTyM0km0mDFcaFER+uS8r/d1Sg4fbPLNq3Mz/e1+71k0/rnejgq9THovuYgAnXhHX61&#10;M60gEsezCTz/xC8glw8AAAD//wMAUEsBAi0AFAAGAAgAAAAhANvh9svuAAAAhQEAABMAAAAAAAAA&#10;AAAAAAAAAAAAAFtDb250ZW50X1R5cGVzXS54bWxQSwECLQAUAAYACAAAACEAWvQsW78AAAAVAQAA&#10;CwAAAAAAAAAAAAAAAAAfAQAAX3JlbHMvLnJlbHNQSwECLQAUAAYACAAAACEAISBmgsYAAADfAAAA&#10;DwAAAAAAAAAAAAAAAAAHAgAAZHJzL2Rvd25yZXYueG1sUEsFBgAAAAADAAMAtwAAAPoCAAAAAA==&#10;" filled="f" stroked="f">
                  <v:textbox inset="0,0,0,0">
                    <w:txbxContent>
                      <w:p w14:paraId="2FB7AF40" w14:textId="77777777" w:rsidR="00B32EF2" w:rsidRDefault="00000000">
                        <w:r>
                          <w:rPr>
                            <w:rFonts w:ascii="Arial" w:eastAsia="Arial" w:hAnsi="Arial" w:cs="Arial"/>
                            <w:sz w:val="18"/>
                          </w:rPr>
                          <w:t>. Le disposizioni del presente articolo si applicano, in quanto compatibili, an</w:t>
                        </w:r>
                      </w:p>
                    </w:txbxContent>
                  </v:textbox>
                </v:rect>
                <v:rect id="Rectangle 200195" o:spid="_x0000_s2254" style="position:absolute;left:26348;top:4135;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vj1xwAAAN8AAAAPAAAAZHJzL2Rvd25yZXYueG1sRI9Pa8JA&#10;FMTvhX6H5RV6040Fi0Y3IhYxh16qKfT4yL780ezbJbuatJ++WxB6HGbmN8x6M5pO3Kj3rWUFs2kC&#10;gri0uuVaQXHaTxYgfEDW2FkmBd/kYZM9Pqwx1XbgD7odQy0ihH2KCpoQXCqlLxsy6KfWEUevsr3B&#10;EGVfS93jEOGmky9J8ioNthwXGnS0a6i8HK9Gwdcbu3w/yLL62bn3c77oDtfiU6nnp3G7AhFoDP/h&#10;ezvXCiJxtpzD35/4BWT2CwAA//8DAFBLAQItABQABgAIAAAAIQDb4fbL7gAAAIUBAAATAAAAAAAA&#10;AAAAAAAAAAAAAABbQ29udGVudF9UeXBlc10ueG1sUEsBAi0AFAAGAAgAAAAhAFr0LFu/AAAAFQEA&#10;AAsAAAAAAAAAAAAAAAAAHwEAAF9yZWxzLy5yZWxzUEsBAi0AFAAGAAgAAAAhANHy+PXHAAAA3wAA&#10;AA8AAAAAAAAAAAAAAAAABwIAAGRycy9kb3ducmV2LnhtbFBLBQYAAAAAAwADALcAAAD7AgAAAAA=&#10;" filled="f" stroked="f">
                  <v:textbox inset="0,0,0,0">
                    <w:txbxContent>
                      <w:p w14:paraId="6AE75DD8" w14:textId="77777777" w:rsidR="00B32EF2" w:rsidRDefault="00000000">
                        <w:r>
                          <w:rPr>
                            <w:rFonts w:ascii="Arial" w:eastAsia="Arial" w:hAnsi="Arial" w:cs="Arial"/>
                            <w:sz w:val="18"/>
                          </w:rPr>
                          <w:t>5</w:t>
                        </w:r>
                      </w:p>
                    </w:txbxContent>
                  </v:textbox>
                </v:rect>
                <v:rect id="Rectangle 15874" o:spid="_x0000_s2255" style="position:absolute;left:191;top:413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ixQAAAN4AAAAPAAAAZHJzL2Rvd25yZXYueG1sRE9Na8JA&#10;EL0X+h+WKXirmxarIbpKsYg5eKlV8DhkxySanV2yq4n99W5B6G0e73Nmi9404kqtry0reBsmIIgL&#10;q2suFex+Vq8pCB+QNTaWScGNPCzmz08zzLTt+Juu21CKGMI+QwVVCC6T0hcVGfRD64gjd7StwRBh&#10;W0rdYhfDTSPfk2QsDdYcGyp0tKyoOG8vRsHhi12+6mRx/F26zSlPm/Vlt1dq8NJ/TkEE6sO/+OHO&#10;dZz/kU5G8PdOvEHO7wAAAP//AwBQSwECLQAUAAYACAAAACEA2+H2y+4AAACFAQAAEwAAAAAAAAAA&#10;AAAAAAAAAAAAW0NvbnRlbnRfVHlwZXNdLnhtbFBLAQItABQABgAIAAAAIQBa9CxbvwAAABUBAAAL&#10;AAAAAAAAAAAAAAAAAB8BAABfcmVscy8ucmVsc1BLAQItABQABgAIAAAAIQA/klGixQAAAN4AAAAP&#10;AAAAAAAAAAAAAAAAAAcCAABkcnMvZG93bnJldi54bWxQSwUGAAAAAAMAAwC3AAAA+QIAAAAA&#10;" filled="f" stroked="f">
                  <v:textbox inset="0,0,0,0">
                    <w:txbxContent>
                      <w:p w14:paraId="57E12EEC" w14:textId="77777777" w:rsidR="00B32EF2" w:rsidRDefault="00000000">
                        <w:r>
                          <w:rPr>
                            <w:rFonts w:ascii="Arial" w:eastAsia="Arial" w:hAnsi="Arial" w:cs="Arial"/>
                            <w:sz w:val="18"/>
                          </w:rPr>
                          <w:t>-</w:t>
                        </w:r>
                      </w:p>
                    </w:txbxContent>
                  </v:textbox>
                </v:rect>
                <v:rect id="Rectangle 15875" o:spid="_x0000_s2256" style="position:absolute;left:-3423;top:2901;width:433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vQ5xAAAAN4AAAAPAAAAZHJzL2Rvd25yZXYueG1sRE9Na8JA&#10;EL0X/A/LCN7qxoJtiK4iijQHL7UKHofsmESzs0t2NdFf3y0UepvH+5z5sjeNuFPra8sKJuMEBHFh&#10;dc2lgsP39jUF4QOyxsYyKXiQh+Vi8DLHTNuOv+i+D6WIIewzVFCF4DIpfVGRQT+2jjhyZ9saDBG2&#10;pdQtdjHcNPItSd6lwZpjQ4WO1hUV1/3NKDht2OXbThbn59rtLnnafN4OR6VGw341AxGoD//iP3eu&#10;4/xp+jGF33fiDXLxAwAA//8DAFBLAQItABQABgAIAAAAIQDb4fbL7gAAAIUBAAATAAAAAAAAAAAA&#10;AAAAAAAAAABbQ29udGVudF9UeXBlc10ueG1sUEsBAi0AFAAGAAgAAAAhAFr0LFu/AAAAFQEAAAsA&#10;AAAAAAAAAAAAAAAAHwEAAF9yZWxzLy5yZWxzUEsBAi0AFAAGAAgAAAAhAFDe9DnEAAAA3gAAAA8A&#10;AAAAAAAAAAAAAAAABwIAAGRycy9kb3ducmV2LnhtbFBLBQYAAAAAAwADALcAAAD4AgAAAAA=&#10;" filled="f" stroked="f">
                  <v:textbox inset="0,0,0,0">
                    <w:txbxContent>
                      <w:p w14:paraId="38F7DF82" w14:textId="77777777" w:rsidR="00B32EF2" w:rsidRDefault="00000000">
                        <w:r>
                          <w:rPr>
                            <w:rFonts w:ascii="Arial" w:eastAsia="Arial" w:hAnsi="Arial" w:cs="Arial"/>
                            <w:sz w:val="18"/>
                          </w:rPr>
                          <w:t>che alle controversie pendenti davanti alla Corte di Cassazione.</w:t>
                        </w:r>
                      </w:p>
                    </w:txbxContent>
                  </v:textbox>
                </v:rect>
                <v:rect id="Rectangle 200194" o:spid="_x0000_s2257" style="position:absolute;left:7925;top:1965;width:31835;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1uxwAAAN8AAAAPAAAAZHJzL2Rvd25yZXYueG1sRI9Pa8JA&#10;FMTvhX6H5RV6041FikY3IhYxh16qKfT4yL780ezbJbuatJ++WxB6HGbmN8x6M5pO3Kj3rWUFs2kC&#10;gri0uuVaQXHaTxYgfEDW2FkmBd/kYZM9Pqwx1XbgD7odQy0ihH2KCpoQXCqlLxsy6KfWEUevsr3B&#10;EGVfS93jEOGmky9J8ioNthwXGnS0a6i8HK9Gwdcbu3w/yLL62bn3c77oDtfiU6nnp3G7AhFoDP/h&#10;ezvXCiJxtpzD35/4BWT2CwAA//8DAFBLAQItABQABgAIAAAAIQDb4fbL7gAAAIUBAAATAAAAAAAA&#10;AAAAAAAAAAAAAABbQ29udGVudF9UeXBlc10ueG1sUEsBAi0AFAAGAAgAAAAhAFr0LFu/AAAAFQEA&#10;AAsAAAAAAAAAAAAAAAAAHwEAAF9yZWxzLy5yZWxzUEsBAi0AFAAGAAgAAAAhAL6+XW7HAAAA3wAA&#10;AA8AAAAAAAAAAAAAAAAABwIAAGRycy9kb3ducmV2LnhtbFBLBQYAAAAAAwADALcAAAD7AgAAAAA=&#10;" filled="f" stroked="f">
                  <v:textbox inset="0,0,0,0">
                    <w:txbxContent>
                      <w:p w14:paraId="5D9C169F" w14:textId="77777777" w:rsidR="00B32EF2" w:rsidRDefault="00000000">
                        <w:r>
                          <w:rPr>
                            <w:rFonts w:ascii="Arial" w:eastAsia="Arial" w:hAnsi="Arial" w:cs="Arial"/>
                            <w:sz w:val="15"/>
                          </w:rPr>
                          <w:t xml:space="preserve"> Il D.lgs. n. 81 del 12/06/2025 introduce il comma </w:t>
                        </w:r>
                      </w:p>
                    </w:txbxContent>
                  </v:textbox>
                </v:rect>
                <v:rect id="Rectangle 200192" o:spid="_x0000_s2258" style="position:absolute;left:30945;top:1965;width:31835;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2CBxwAAAN8AAAAPAAAAZHJzL2Rvd25yZXYueG1sRI/NasMw&#10;EITvhb6D2EJujZwcgutGCSUl1Idc4qbQ42JtbLfWSljyT/r0VSCQ4zAz3zDr7WRaMVDnG8sKFvME&#10;BHFpdcOVgtPn/jkF4QOyxtYyKbiQh+3m8WGNmbYjH2koQiUihH2GCuoQXCalL2sy6OfWEUfvbDuD&#10;IcqukrrDMcJNK5dJspIGG44LNTra1VT+Fr1R8P3OLt+Psjz/7dzhJ0/bj/70pdTsaXp7BRFoCvfw&#10;rZ1rBZG4eFnC9U/8AnLzDwAA//8DAFBLAQItABQABgAIAAAAIQDb4fbL7gAAAIUBAAATAAAAAAAA&#10;AAAAAAAAAAAAAABbQ29udGVudF9UeXBlc10ueG1sUEsBAi0AFAAGAAgAAAAhAFr0LFu/AAAAFQEA&#10;AAsAAAAAAAAAAAAAAAAAHwEAAF9yZWxzLy5yZWxzUEsBAi0AFAAGAAgAAAAhAF4bYIHHAAAA3wAA&#10;AA8AAAAAAAAAAAAAAAAABwIAAGRycy9kb3ducmV2LnhtbFBLBQYAAAAAAwADALcAAAD7AgAAAAA=&#10;" filled="f" stroked="f">
                  <v:textbox inset="0,0,0,0">
                    <w:txbxContent>
                      <w:p w14:paraId="12935AB8" w14:textId="77777777" w:rsidR="00B32EF2" w:rsidRDefault="00000000">
                        <w:r>
                          <w:rPr>
                            <w:rFonts w:ascii="Arial" w:eastAsia="Arial" w:hAnsi="Arial" w:cs="Arial"/>
                            <w:sz w:val="15"/>
                          </w:rPr>
                          <w:t>(1)</w:t>
                        </w:r>
                      </w:p>
                    </w:txbxContent>
                  </v:textbox>
                </v:rect>
                <v:rect id="Rectangle 200193" o:spid="_x0000_s2259" style="position:absolute;left:-15008;top:1965;width:31834;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8UaxwAAAN8AAAAPAAAAZHJzL2Rvd25yZXYueG1sRI9Pa8JA&#10;FMTvhX6H5RV6040VikY3IhYxh16qKfT4yL780ezbJbuatJ++WxB6HGbmN8x6M5pO3Kj3rWUFs2kC&#10;gri0uuVaQXHaTxYgfEDW2FkmBd/kYZM9Pqwx1XbgD7odQy0ihH2KCpoQXCqlLxsy6KfWEUevsr3B&#10;EGVfS93jEOGmky9J8ioNthwXGnS0a6i8HK9Gwdcbu3w/yLL62bn3c77oDtfiU6nnp3G7AhFoDP/h&#10;ezvXCiJxtpzD35/4BWT2CwAA//8DAFBLAQItABQABgAIAAAAIQDb4fbL7gAAAIUBAAATAAAAAAAA&#10;AAAAAAAAAAAAAABbQ29udGVudF9UeXBlc10ueG1sUEsBAi0AFAAGAAgAAAAhAFr0LFu/AAAAFQEA&#10;AAsAAAAAAAAAAAAAAAAAHwEAAF9yZWxzLy5yZWxzUEsBAi0AFAAGAAgAAAAhADFXxRrHAAAA3wAA&#10;AA8AAAAAAAAAAAAAAAAABwIAAGRycy9kb3ducmV2LnhtbFBLBQYAAAAAAwADALcAAAD7AgAAAAA=&#10;" filled="f" stroked="f">
                  <v:textbox inset="0,0,0,0">
                    <w:txbxContent>
                      <w:p w14:paraId="7950674D" w14:textId="77777777" w:rsidR="00B32EF2" w:rsidRDefault="00000000">
                        <w:r>
                          <w:rPr>
                            <w:rFonts w:ascii="Arial" w:eastAsia="Arial" w:hAnsi="Arial" w:cs="Arial"/>
                            <w:sz w:val="15"/>
                          </w:rPr>
                          <w:t>2-</w:t>
                        </w:r>
                      </w:p>
                    </w:txbxContent>
                  </v:textbox>
                </v:rect>
                <v:rect id="Rectangle 15877" o:spid="_x0000_s2260" style="position:absolute;left:14306;top:1965;width:1661;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M/VxAAAAN4AAAAPAAAAZHJzL2Rvd25yZXYueG1sRE9Na8JA&#10;EL0X/A/LCN7qxoI1RFcRRZpDL7UKHofsmESzs0t2NdFf3y0UepvH+5zFqjeNuFPra8sKJuMEBHFh&#10;dc2lgsP37jUF4QOyxsYyKXiQh9Vy8LLATNuOv+i+D6WIIewzVFCF4DIpfVGRQT+2jjhyZ9saDBG2&#10;pdQtdjHcNPItSd6lwZpjQ4WONhUV1/3NKDht2eW7Thbn58Z9XvK0+bgdjkqNhv16DiJQH/7Ff+5c&#10;x/nTdDaD33fiDXL5AwAA//8DAFBLAQItABQABgAIAAAAIQDb4fbL7gAAAIUBAAATAAAAAAAAAAAA&#10;AAAAAAAAAABbQ29udGVudF9UeXBlc10ueG1sUEsBAi0AFAAGAAgAAAAhAFr0LFu/AAAAFQEAAAsA&#10;AAAAAAAAAAAAAAAAHwEAAF9yZWxzLy5yZWxzUEsBAi0AFAAGAAgAAAAhAM9Az9XEAAAA3gAAAA8A&#10;AAAAAAAAAAAAAAAABwIAAGRycy9kb3ducmV2LnhtbFBLBQYAAAAAAwADALcAAAD4AgAAAAA=&#10;" filled="f" stroked="f">
                  <v:textbox inset="0,0,0,0">
                    <w:txbxContent>
                      <w:p w14:paraId="0C049857" w14:textId="77777777" w:rsidR="00B32EF2" w:rsidRDefault="00000000">
                        <w:r>
                          <w:rPr>
                            <w:rFonts w:ascii="Arial" w:eastAsia="Arial" w:hAnsi="Arial" w:cs="Arial"/>
                            <w:i/>
                            <w:sz w:val="15"/>
                          </w:rPr>
                          <w:t>bis</w:t>
                        </w:r>
                      </w:p>
                    </w:txbxContent>
                  </v:textbox>
                </v:rect>
                <v:rect id="Rectangle 15878" o:spid="_x0000_s2261" style="position:absolute;left:-3961;top:1965;width:18679;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unyAAAAN4AAAAPAAAAZHJzL2Rvd25yZXYueG1sRI9Pa8Mw&#10;DMXvg30Ho0Fvq7NBt5DVLaOjNIdd+g92FLGaZItlE7tNuk8/HQq7Sbyn936aL0fXqQv1sfVs4Gma&#10;gSKuvG25NnDYrx9zUDEhW+w8k4ErRVgu7u/mWFg/8JYuu1QrCeFYoIEmpVBoHauGHMapD8SinXzv&#10;MMna19r2OEi46/Rzlr1ohy1LQ4OBVg1VP7uzM/D1waFcD7o6/a7C53eZd5vz4WjM5GF8fwOVaEz/&#10;5tt1aQV/lr8Kr7wjM+jFHwAAAP//AwBQSwECLQAUAAYACAAAACEA2+H2y+4AAACFAQAAEwAAAAAA&#10;AAAAAAAAAAAAAAAAW0NvbnRlbnRfVHlwZXNdLnhtbFBLAQItABQABgAIAAAAIQBa9CxbvwAAABUB&#10;AAALAAAAAAAAAAAAAAAAAB8BAABfcmVscy8ucmVsc1BLAQItABQABgAIAAAAIQC+31unyAAAAN4A&#10;AAAPAAAAAAAAAAAAAAAAAAcCAABkcnMvZG93bnJldi54bWxQSwUGAAAAAAMAAwC3AAAA/AIAAAAA&#10;" filled="f" stroked="f">
                  <v:textbox inset="0,0,0,0">
                    <w:txbxContent>
                      <w:p w14:paraId="025C0C05" w14:textId="77777777" w:rsidR="00B32EF2" w:rsidRDefault="00000000">
                        <w:r>
                          <w:rPr>
                            <w:rFonts w:ascii="Arial" w:eastAsia="Arial" w:hAnsi="Arial" w:cs="Arial"/>
                            <w:sz w:val="15"/>
                          </w:rPr>
                          <w:t xml:space="preserve"> all’art. 4 del D.lgs. 220/2023 se</w:t>
                        </w:r>
                      </w:p>
                    </w:txbxContent>
                  </v:textbox>
                </v:rect>
                <v:rect id="Rectangle 15879" o:spid="_x0000_s2262" style="position:absolute;left:213;top:1965;width:422;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48xQAAAN4AAAAPAAAAZHJzL2Rvd25yZXYueG1sRE9Na8JA&#10;EL0L/odlhN50o9A2ja4iipiDl1oLHofsmKTNzi7Z1cT+erdQ6G0e73MWq9404katry0rmE4SEMSF&#10;1TWXCk4fu3EKwgdkjY1lUnAnD6vlcLDATNuO3+l2DKWIIewzVFCF4DIpfVGRQT+xjjhyF9saDBG2&#10;pdQtdjHcNHKWJC/SYM2xoUJHm4qK7+PVKDhv2eW7ThaXn407fOVps7+ePpV6GvXrOYhAffgX/7lz&#10;Hec/p69v8PtOvEEuHwAAAP//AwBQSwECLQAUAAYACAAAACEA2+H2y+4AAACFAQAAEwAAAAAAAAAA&#10;AAAAAAAAAAAAW0NvbnRlbnRfVHlwZXNdLnhtbFBLAQItABQABgAIAAAAIQBa9CxbvwAAABUBAAAL&#10;AAAAAAAAAAAAAAAAAB8BAABfcmVscy8ucmVsc1BLAQItABQABgAIAAAAIQDRk/48xQAAAN4AAAAP&#10;AAAAAAAAAAAAAAAAAAcCAABkcnMvZG93bnJldi54bWxQSwUGAAAAAAMAAwC3AAAA+QIAAAAA&#10;" filled="f" stroked="f">
                  <v:textbox inset="0,0,0,0">
                    <w:txbxContent>
                      <w:p w14:paraId="2FEF3047" w14:textId="77777777" w:rsidR="00B32EF2" w:rsidRDefault="00000000">
                        <w:r>
                          <w:rPr>
                            <w:rFonts w:ascii="Arial" w:eastAsia="Arial" w:hAnsi="Arial" w:cs="Arial"/>
                            <w:sz w:val="15"/>
                          </w:rPr>
                          <w:t>-</w:t>
                        </w:r>
                      </w:p>
                    </w:txbxContent>
                  </v:textbox>
                </v:rect>
                <v:rect id="Rectangle 15880" o:spid="_x0000_s2263" style="position:absolute;left:-13114;top:938;width:53054;height:119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CeGxwAAAN4AAAAPAAAAZHJzL2Rvd25yZXYueG1sRI9Ba8JA&#10;EIXvhf6HZQre6qYFS4iuUixiDr3UKngcsmMSzc4u2dXE/vrOodDbDPPmvfctVqPr1I362Ho28DLN&#10;QBFX3rZcG9h/b55zUDEhW+w8k4E7RVgtHx8WWFg/8BfddqlWYsKxQANNSqHQOlYNOYxTH4jldvK9&#10;wyRrX2vb4yDmrtOvWfamHbYsCQ0GWjdUXXZXZ+D4waHcDLo6/azD57nMu+11fzBm8jS+z0ElGtO/&#10;+O+7tFJ/lucCIDgyg17+AgAA//8DAFBLAQItABQABgAIAAAAIQDb4fbL7gAAAIUBAAATAAAAAAAA&#10;AAAAAAAAAAAAAABbQ29udGVudF9UeXBlc10ueG1sUEsBAi0AFAAGAAgAAAAhAFr0LFu/AAAAFQEA&#10;AAsAAAAAAAAAAAAAAAAAHwEAAF9yZWxzLy5yZWxzUEsBAi0AFAAGAAgAAAAhAHV8J4bHAAAA3gAA&#10;AA8AAAAAAAAAAAAAAAAABwIAAGRycy9kb3ducmV2LnhtbFBLBQYAAAAAAwADALcAAAD7AgAAAAA=&#10;" filled="f" stroked="f">
                  <v:textbox inset="0,0,0,0">
                    <w:txbxContent>
                      <w:p w14:paraId="75A991DA" w14:textId="77777777" w:rsidR="00B32EF2" w:rsidRDefault="00000000">
                        <w:r>
                          <w:rPr>
                            <w:rFonts w:ascii="Arial" w:eastAsia="Arial" w:hAnsi="Arial" w:cs="Arial"/>
                            <w:sz w:val="15"/>
                          </w:rPr>
                          <w:t xml:space="preserve">condo cui l’istituto della conciliazione fuori udienza si applica anche ai giudizi in cassazione </w:t>
                        </w:r>
                      </w:p>
                    </w:txbxContent>
                  </v:textbox>
                </v:rect>
                <v:rect id="Rectangle 15881" o:spid="_x0000_s2264" style="position:absolute;left:17683;top:-295;width:22235;height:119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IIdxAAAAN4AAAAPAAAAZHJzL2Rvd25yZXYueG1sRE9Ni8Iw&#10;EL0L/ocwwt40dWGldI0iimwPXnQV9jg0Y1ttJqGJtvrrzcLC3ubxPme+7E0j7tT62rKC6SQBQVxY&#10;XXOp4Pi9HacgfEDW2FgmBQ/ysFwMB3PMtO14T/dDKEUMYZ+hgioEl0npi4oM+ol1xJE729ZgiLAt&#10;pW6xi+Gmke9JMpMGa44NFTpaV1RcDzej4GfDLt92sjg/1253ydPm63Y8KfU26lefIAL14V/85851&#10;nP+RplP4fSfeIBcvAAAA//8DAFBLAQItABQABgAIAAAAIQDb4fbL7gAAAIUBAAATAAAAAAAAAAAA&#10;AAAAAAAAAABbQ29udGVudF9UeXBlc10ueG1sUEsBAi0AFAAGAAgAAAAhAFr0LFu/AAAAFQEAAAsA&#10;AAAAAAAAAAAAAAAAHwEAAF9yZWxzLy5yZWxzUEsBAi0AFAAGAAgAAAAhABowgh3EAAAA3gAAAA8A&#10;AAAAAAAAAAAAAAAABwIAAGRycy9kb3ducmV2LnhtbFBLBQYAAAAAAwADALcAAAD4AgAAAAA=&#10;" filled="f" stroked="f">
                  <v:textbox inset="0,0,0,0">
                    <w:txbxContent>
                      <w:p w14:paraId="025F1D27" w14:textId="77777777" w:rsidR="00B32EF2" w:rsidRDefault="00000000">
                        <w:r>
                          <w:rPr>
                            <w:rFonts w:ascii="Arial" w:eastAsia="Arial" w:hAnsi="Arial" w:cs="Arial"/>
                            <w:sz w:val="15"/>
                          </w:rPr>
                          <w:t xml:space="preserve">pendenti alla data del 4 gennaio 2024. </w:t>
                        </w:r>
                      </w:p>
                    </w:txbxContent>
                  </v:textbox>
                </v:rect>
                <w10:anchorlock/>
              </v:group>
            </w:pict>
          </mc:Fallback>
        </mc:AlternateContent>
      </w:r>
    </w:p>
    <w:p w14:paraId="536E9A9D" w14:textId="77777777" w:rsidR="00B32EF2" w:rsidRDefault="00000000">
      <w:pPr>
        <w:spacing w:after="0"/>
        <w:ind w:left="-356" w:right="-306"/>
      </w:pPr>
      <w:r>
        <w:rPr>
          <w:noProof/>
        </w:rPr>
        <w:lastRenderedPageBreak/>
        <mc:AlternateContent>
          <mc:Choice Requires="wpg">
            <w:drawing>
              <wp:inline distT="0" distB="0" distL="0" distR="0" wp14:anchorId="0EAAF878" wp14:editId="500AD947">
                <wp:extent cx="3991813" cy="6262854"/>
                <wp:effectExtent l="0" t="0" r="0" b="0"/>
                <wp:docPr id="200396" name="Group 200396"/>
                <wp:cNvGraphicFramePr/>
                <a:graphic xmlns:a="http://schemas.openxmlformats.org/drawingml/2006/main">
                  <a:graphicData uri="http://schemas.microsoft.com/office/word/2010/wordprocessingGroup">
                    <wpg:wgp>
                      <wpg:cNvGrpSpPr/>
                      <wpg:grpSpPr>
                        <a:xfrm>
                          <a:off x="0" y="0"/>
                          <a:ext cx="3991813" cy="6262854"/>
                          <a:chOff x="0" y="0"/>
                          <a:chExt cx="3991813" cy="6262854"/>
                        </a:xfrm>
                      </wpg:grpSpPr>
                      <wps:wsp>
                        <wps:cNvPr id="15909" name="Rectangle 15909"/>
                        <wps:cNvSpPr/>
                        <wps:spPr>
                          <a:xfrm rot="-10799999">
                            <a:off x="1900499" y="-62190"/>
                            <a:ext cx="178369" cy="250646"/>
                          </a:xfrm>
                          <a:prstGeom prst="rect">
                            <a:avLst/>
                          </a:prstGeom>
                          <a:ln>
                            <a:noFill/>
                          </a:ln>
                        </wps:spPr>
                        <wps:txbx>
                          <w:txbxContent>
                            <w:p w14:paraId="683EFF43" w14:textId="77777777" w:rsidR="00B32EF2" w:rsidRDefault="00000000">
                              <w:r>
                                <w:rPr>
                                  <w:rFonts w:ascii="Times New Roman" w:eastAsia="Times New Roman" w:hAnsi="Times New Roman" w:cs="Times New Roman"/>
                                </w:rPr>
                                <w:t>87</w:t>
                              </w:r>
                            </w:p>
                          </w:txbxContent>
                        </wps:txbx>
                        <wps:bodyPr horzOverflow="overflow" vert="horz" lIns="0" tIns="0" rIns="0" bIns="0" rtlCol="0">
                          <a:noAutofit/>
                        </wps:bodyPr>
                      </wps:wsp>
                      <wps:wsp>
                        <wps:cNvPr id="15910" name="Rectangle 15910"/>
                        <wps:cNvSpPr/>
                        <wps:spPr>
                          <a:xfrm rot="-10799999">
                            <a:off x="-1317222" y="6119964"/>
                            <a:ext cx="5308808" cy="142890"/>
                          </a:xfrm>
                          <a:prstGeom prst="rect">
                            <a:avLst/>
                          </a:prstGeom>
                          <a:ln>
                            <a:noFill/>
                          </a:ln>
                        </wps:spPr>
                        <wps:txbx>
                          <w:txbxContent>
                            <w:p w14:paraId="78541A95" w14:textId="77777777" w:rsidR="00B32EF2" w:rsidRDefault="00000000">
                              <w:r>
                                <w:rPr>
                                  <w:rFonts w:ascii="Arial" w:eastAsia="Arial" w:hAnsi="Arial" w:cs="Arial"/>
                                  <w:sz w:val="18"/>
                                </w:rPr>
                                <w:t xml:space="preserve">di primo grado entro quindici giorni dalla lettura del dispositivo. Il segretario fa </w:t>
                              </w:r>
                            </w:p>
                          </w:txbxContent>
                        </wps:txbx>
                        <wps:bodyPr horzOverflow="overflow" vert="horz" lIns="0" tIns="0" rIns="0" bIns="0" rtlCol="0">
                          <a:noAutofit/>
                        </wps:bodyPr>
                      </wps:wsp>
                      <wps:wsp>
                        <wps:cNvPr id="15911" name="Rectangle 15911"/>
                        <wps:cNvSpPr/>
                        <wps:spPr>
                          <a:xfrm rot="-10799999">
                            <a:off x="-1317221" y="5996634"/>
                            <a:ext cx="5309036" cy="142891"/>
                          </a:xfrm>
                          <a:prstGeom prst="rect">
                            <a:avLst/>
                          </a:prstGeom>
                          <a:ln>
                            <a:noFill/>
                          </a:ln>
                        </wps:spPr>
                        <wps:txbx>
                          <w:txbxContent>
                            <w:p w14:paraId="2B42CC68" w14:textId="77777777" w:rsidR="00B32EF2" w:rsidRDefault="00000000">
                              <w:r>
                                <w:rPr>
                                  <w:rFonts w:ascii="Arial" w:eastAsia="Arial" w:hAnsi="Arial" w:cs="Arial"/>
                                  <w:sz w:val="18"/>
                                </w:rPr>
                                <w:t xml:space="preserve">risultare l’avvenuto deposito apponendo sulla sentenza la propria firma e la </w:t>
                              </w:r>
                            </w:p>
                          </w:txbxContent>
                        </wps:txbx>
                        <wps:bodyPr horzOverflow="overflow" vert="horz" lIns="0" tIns="0" rIns="0" bIns="0" rtlCol="0">
                          <a:noAutofit/>
                        </wps:bodyPr>
                      </wps:wsp>
                      <wps:wsp>
                        <wps:cNvPr id="15912" name="Rectangle 15912"/>
                        <wps:cNvSpPr/>
                        <wps:spPr>
                          <a:xfrm rot="-10799999">
                            <a:off x="601440" y="5873305"/>
                            <a:ext cx="3390374" cy="142889"/>
                          </a:xfrm>
                          <a:prstGeom prst="rect">
                            <a:avLst/>
                          </a:prstGeom>
                          <a:ln>
                            <a:noFill/>
                          </a:ln>
                        </wps:spPr>
                        <wps:txbx>
                          <w:txbxContent>
                            <w:p w14:paraId="24D6B46A" w14:textId="77777777" w:rsidR="00B32EF2" w:rsidRDefault="00000000">
                              <w:r>
                                <w:rPr>
                                  <w:rFonts w:ascii="Arial" w:eastAsia="Arial" w:hAnsi="Arial" w:cs="Arial"/>
                                  <w:sz w:val="18"/>
                                </w:rPr>
                                <w:t xml:space="preserve">data e ne dà immediata comunicazione alle parti. </w:t>
                              </w:r>
                            </w:p>
                          </w:txbxContent>
                        </wps:txbx>
                        <wps:bodyPr horzOverflow="overflow" vert="horz" lIns="0" tIns="0" rIns="0" bIns="0" rtlCol="0">
                          <a:noAutofit/>
                        </wps:bodyPr>
                      </wps:wsp>
                      <wps:wsp>
                        <wps:cNvPr id="200253" name="Rectangle 200253"/>
                        <wps:cNvSpPr/>
                        <wps:spPr>
                          <a:xfrm rot="-10799999">
                            <a:off x="-1369758" y="5749976"/>
                            <a:ext cx="5309006" cy="142889"/>
                          </a:xfrm>
                          <a:prstGeom prst="rect">
                            <a:avLst/>
                          </a:prstGeom>
                          <a:ln>
                            <a:noFill/>
                          </a:ln>
                        </wps:spPr>
                        <wps:txbx>
                          <w:txbxContent>
                            <w:p w14:paraId="7300F27A" w14:textId="77777777" w:rsidR="00B32EF2" w:rsidRDefault="00000000">
                              <w:r>
                                <w:rPr>
                                  <w:rFonts w:ascii="Arial" w:eastAsia="Arial" w:hAnsi="Arial" w:cs="Arial"/>
                                  <w:sz w:val="18"/>
                                </w:rPr>
                                <w:t xml:space="preserve">. In caso di impugnazione della sentenza pronunciata sul ricorso avverso uno </w:t>
                              </w:r>
                            </w:p>
                          </w:txbxContent>
                        </wps:txbx>
                        <wps:bodyPr horzOverflow="overflow" vert="horz" lIns="0" tIns="0" rIns="0" bIns="0" rtlCol="0">
                          <a:noAutofit/>
                        </wps:bodyPr>
                      </wps:wsp>
                      <wps:wsp>
                        <wps:cNvPr id="200252" name="Rectangle 200252"/>
                        <wps:cNvSpPr/>
                        <wps:spPr>
                          <a:xfrm rot="-10799999">
                            <a:off x="2610991" y="5749976"/>
                            <a:ext cx="5309006" cy="142889"/>
                          </a:xfrm>
                          <a:prstGeom prst="rect">
                            <a:avLst/>
                          </a:prstGeom>
                          <a:ln>
                            <a:noFill/>
                          </a:ln>
                        </wps:spPr>
                        <wps:txbx>
                          <w:txbxContent>
                            <w:p w14:paraId="24CD04EB"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15914" name="Rectangle 15914"/>
                        <wps:cNvSpPr/>
                        <wps:spPr>
                          <a:xfrm rot="-10799999">
                            <a:off x="-1317221" y="5626646"/>
                            <a:ext cx="5309035" cy="142889"/>
                          </a:xfrm>
                          <a:prstGeom prst="rect">
                            <a:avLst/>
                          </a:prstGeom>
                          <a:ln>
                            <a:noFill/>
                          </a:ln>
                        </wps:spPr>
                        <wps:txbx>
                          <w:txbxContent>
                            <w:p w14:paraId="55A217FA" w14:textId="77777777" w:rsidR="00B32EF2" w:rsidRDefault="00000000">
                              <w:r>
                                <w:rPr>
                                  <w:rFonts w:ascii="Arial" w:eastAsia="Arial" w:hAnsi="Arial" w:cs="Arial"/>
                                  <w:sz w:val="18"/>
                                </w:rPr>
                                <w:t xml:space="preserve">degli atti di cui al comma 1, tutti i termini del giudizio di appello davanti alla </w:t>
                              </w:r>
                            </w:p>
                          </w:txbxContent>
                        </wps:txbx>
                        <wps:bodyPr horzOverflow="overflow" vert="horz" lIns="0" tIns="0" rIns="0" bIns="0" rtlCol="0">
                          <a:noAutofit/>
                        </wps:bodyPr>
                      </wps:wsp>
                      <wps:wsp>
                        <wps:cNvPr id="15915" name="Rectangle 15915"/>
                        <wps:cNvSpPr/>
                        <wps:spPr>
                          <a:xfrm rot="-10799999">
                            <a:off x="-1317176" y="5503316"/>
                            <a:ext cx="5308990" cy="142889"/>
                          </a:xfrm>
                          <a:prstGeom prst="rect">
                            <a:avLst/>
                          </a:prstGeom>
                          <a:ln>
                            <a:noFill/>
                          </a:ln>
                        </wps:spPr>
                        <wps:txbx>
                          <w:txbxContent>
                            <w:p w14:paraId="05DC94F0" w14:textId="77777777" w:rsidR="00B32EF2" w:rsidRDefault="00000000">
                              <w:r>
                                <w:rPr>
                                  <w:rFonts w:ascii="Arial" w:eastAsia="Arial" w:hAnsi="Arial" w:cs="Arial"/>
                                  <w:sz w:val="18"/>
                                </w:rPr>
                                <w:t xml:space="preserve">corte di giustizia tributaria di secondo grado, ad eccezione di quello stabilito </w:t>
                              </w:r>
                            </w:p>
                          </w:txbxContent>
                        </wps:txbx>
                        <wps:bodyPr horzOverflow="overflow" vert="horz" lIns="0" tIns="0" rIns="0" bIns="0" rtlCol="0">
                          <a:noAutofit/>
                        </wps:bodyPr>
                      </wps:wsp>
                      <wps:wsp>
                        <wps:cNvPr id="15916" name="Rectangle 15916"/>
                        <wps:cNvSpPr/>
                        <wps:spPr>
                          <a:xfrm rot="-10799999">
                            <a:off x="-1317485" y="5379987"/>
                            <a:ext cx="5310328" cy="142889"/>
                          </a:xfrm>
                          <a:prstGeom prst="rect">
                            <a:avLst/>
                          </a:prstGeom>
                          <a:ln>
                            <a:noFill/>
                          </a:ln>
                        </wps:spPr>
                        <wps:txbx>
                          <w:txbxContent>
                            <w:p w14:paraId="16EE45A1" w14:textId="77777777" w:rsidR="00B32EF2" w:rsidRDefault="00000000">
                              <w:r>
                                <w:rPr>
                                  <w:rFonts w:ascii="Arial" w:eastAsia="Arial" w:hAnsi="Arial" w:cs="Arial"/>
                                  <w:sz w:val="18"/>
                                </w:rPr>
                                <w:t xml:space="preserve">per la proposizione del ricorso, sono ridotti alla metà. Nel processo di appello </w:t>
                              </w:r>
                            </w:p>
                          </w:txbxContent>
                        </wps:txbx>
                        <wps:bodyPr horzOverflow="overflow" vert="horz" lIns="0" tIns="0" rIns="0" bIns="0" rtlCol="0">
                          <a:noAutofit/>
                        </wps:bodyPr>
                      </wps:wsp>
                      <wps:wsp>
                        <wps:cNvPr id="15917" name="Rectangle 15917"/>
                        <wps:cNvSpPr/>
                        <wps:spPr>
                          <a:xfrm rot="-10799999">
                            <a:off x="-1317207" y="5256657"/>
                            <a:ext cx="5309021" cy="142889"/>
                          </a:xfrm>
                          <a:prstGeom prst="rect">
                            <a:avLst/>
                          </a:prstGeom>
                          <a:ln>
                            <a:noFill/>
                          </a:ln>
                        </wps:spPr>
                        <wps:txbx>
                          <w:txbxContent>
                            <w:p w14:paraId="534E7063" w14:textId="77777777" w:rsidR="00B32EF2" w:rsidRDefault="00000000">
                              <w:r>
                                <w:rPr>
                                  <w:rFonts w:ascii="Arial" w:eastAsia="Arial" w:hAnsi="Arial" w:cs="Arial"/>
                                  <w:sz w:val="18"/>
                                </w:rPr>
                                <w:t xml:space="preserve">le controversie relative agli atti di cui al comma 1 hanno priorità assoluta nella </w:t>
                              </w:r>
                            </w:p>
                          </w:txbxContent>
                        </wps:txbx>
                        <wps:bodyPr horzOverflow="overflow" vert="horz" lIns="0" tIns="0" rIns="0" bIns="0" rtlCol="0">
                          <a:noAutofit/>
                        </wps:bodyPr>
                      </wps:wsp>
                      <wps:wsp>
                        <wps:cNvPr id="15918" name="Rectangle 15918"/>
                        <wps:cNvSpPr/>
                        <wps:spPr>
                          <a:xfrm rot="-10799999">
                            <a:off x="-1219169" y="5133327"/>
                            <a:ext cx="5210984" cy="142889"/>
                          </a:xfrm>
                          <a:prstGeom prst="rect">
                            <a:avLst/>
                          </a:prstGeom>
                          <a:ln>
                            <a:noFill/>
                          </a:ln>
                        </wps:spPr>
                        <wps:txbx>
                          <w:txbxContent>
                            <w:p w14:paraId="7043C179" w14:textId="77777777" w:rsidR="00B32EF2" w:rsidRDefault="00000000">
                              <w:r>
                                <w:rPr>
                                  <w:rFonts w:ascii="Arial" w:eastAsia="Arial" w:hAnsi="Arial" w:cs="Arial"/>
                                  <w:sz w:val="18"/>
                                </w:rPr>
                                <w:t>trattazione. Si applicano le disposizioni di cui ai commi 4, terzo e quarto pe</w:t>
                              </w:r>
                            </w:p>
                          </w:txbxContent>
                        </wps:txbx>
                        <wps:bodyPr horzOverflow="overflow" vert="horz" lIns="0" tIns="0" rIns="0" bIns="0" rtlCol="0">
                          <a:noAutofit/>
                        </wps:bodyPr>
                      </wps:wsp>
                      <wps:wsp>
                        <wps:cNvPr id="15919" name="Rectangle 15919"/>
                        <wps:cNvSpPr/>
                        <wps:spPr>
                          <a:xfrm rot="-10799999">
                            <a:off x="19215" y="5133327"/>
                            <a:ext cx="50622" cy="142889"/>
                          </a:xfrm>
                          <a:prstGeom prst="rect">
                            <a:avLst/>
                          </a:prstGeom>
                          <a:ln>
                            <a:noFill/>
                          </a:ln>
                        </wps:spPr>
                        <wps:txbx>
                          <w:txbxContent>
                            <w:p w14:paraId="3BC24BB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5920" name="Rectangle 15920"/>
                        <wps:cNvSpPr/>
                        <wps:spPr>
                          <a:xfrm rot="-10799999">
                            <a:off x="3181705" y="5009998"/>
                            <a:ext cx="810109" cy="142889"/>
                          </a:xfrm>
                          <a:prstGeom prst="rect">
                            <a:avLst/>
                          </a:prstGeom>
                          <a:ln>
                            <a:noFill/>
                          </a:ln>
                        </wps:spPr>
                        <wps:txbx>
                          <w:txbxContent>
                            <w:p w14:paraId="58159120" w14:textId="77777777" w:rsidR="00B32EF2" w:rsidRDefault="00000000">
                              <w:r>
                                <w:rPr>
                                  <w:rFonts w:ascii="Arial" w:eastAsia="Arial" w:hAnsi="Arial" w:cs="Arial"/>
                                  <w:sz w:val="18"/>
                                </w:rPr>
                                <w:t>riodo, 5 e 6.</w:t>
                              </w:r>
                            </w:p>
                          </w:txbxContent>
                        </wps:txbx>
                        <wps:bodyPr horzOverflow="overflow" vert="horz" lIns="0" tIns="0" rIns="0" bIns="0" rtlCol="0">
                          <a:noAutofit/>
                        </wps:bodyPr>
                      </wps:wsp>
                      <wps:wsp>
                        <wps:cNvPr id="207796" name="Shape 207796"/>
                        <wps:cNvSpPr/>
                        <wps:spPr>
                          <a:xfrm>
                            <a:off x="31814" y="482198"/>
                            <a:ext cx="3960000" cy="4472902"/>
                          </a:xfrm>
                          <a:custGeom>
                            <a:avLst/>
                            <a:gdLst/>
                            <a:ahLst/>
                            <a:cxnLst/>
                            <a:rect l="0" t="0" r="0" b="0"/>
                            <a:pathLst>
                              <a:path w="3960000" h="4472902">
                                <a:moveTo>
                                  <a:pt x="0" y="0"/>
                                </a:moveTo>
                                <a:lnTo>
                                  <a:pt x="3960000" y="0"/>
                                </a:lnTo>
                                <a:lnTo>
                                  <a:pt x="3960000" y="4472902"/>
                                </a:lnTo>
                                <a:lnTo>
                                  <a:pt x="0" y="4472902"/>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5922" name="Rectangle 15922"/>
                        <wps:cNvSpPr/>
                        <wps:spPr>
                          <a:xfrm rot="-10799999">
                            <a:off x="2328798" y="4733866"/>
                            <a:ext cx="1585695" cy="142889"/>
                          </a:xfrm>
                          <a:prstGeom prst="rect">
                            <a:avLst/>
                          </a:prstGeom>
                          <a:ln>
                            <a:noFill/>
                          </a:ln>
                        </wps:spPr>
                        <wps:txbx>
                          <w:txbxContent>
                            <w:p w14:paraId="51DC3E18" w14:textId="77777777" w:rsidR="00B32EF2" w:rsidRDefault="00000000">
                              <w:r>
                                <w:rPr>
                                  <w:rFonts w:ascii="Arial" w:eastAsia="Arial" w:hAnsi="Arial" w:cs="Arial"/>
                                  <w:b/>
                                  <w:i/>
                                  <w:color w:val="2A2A2A"/>
                                  <w:sz w:val="18"/>
                                </w:rPr>
                                <w:t>NORME RICHIAMATE</w:t>
                              </w:r>
                            </w:p>
                          </w:txbxContent>
                        </wps:txbx>
                        <wps:bodyPr horzOverflow="overflow" vert="horz" lIns="0" tIns="0" rIns="0" bIns="0" rtlCol="0">
                          <a:noAutofit/>
                        </wps:bodyPr>
                      </wps:wsp>
                      <wps:wsp>
                        <wps:cNvPr id="15923" name="Rectangle 15923"/>
                        <wps:cNvSpPr/>
                        <wps:spPr>
                          <a:xfrm rot="-10799999">
                            <a:off x="-1089405" y="4610536"/>
                            <a:ext cx="5002869" cy="142889"/>
                          </a:xfrm>
                          <a:prstGeom prst="rect">
                            <a:avLst/>
                          </a:prstGeom>
                          <a:ln>
                            <a:noFill/>
                          </a:ln>
                        </wps:spPr>
                        <wps:txbx>
                          <w:txbxContent>
                            <w:p w14:paraId="0269DB3F" w14:textId="77777777" w:rsidR="00B32EF2" w:rsidRDefault="00000000">
                              <w:r>
                                <w:rPr>
                                  <w:rFonts w:ascii="Arial" w:eastAsia="Arial" w:hAnsi="Arial" w:cs="Arial"/>
                                  <w:i/>
                                  <w:sz w:val="18"/>
                                </w:rPr>
                                <w:t>art.16 regolamento (UE) n. 2015/1589 del Consiglio, del 13 luglio 2015 “Re</w:t>
                              </w:r>
                            </w:p>
                          </w:txbxContent>
                        </wps:txbx>
                        <wps:bodyPr horzOverflow="overflow" vert="horz" lIns="0" tIns="0" rIns="0" bIns="0" rtlCol="0">
                          <a:noAutofit/>
                        </wps:bodyPr>
                      </wps:wsp>
                      <wps:wsp>
                        <wps:cNvPr id="15924" name="Rectangle 15924"/>
                        <wps:cNvSpPr/>
                        <wps:spPr>
                          <a:xfrm rot="-10799999">
                            <a:off x="97570" y="4610537"/>
                            <a:ext cx="50622" cy="142889"/>
                          </a:xfrm>
                          <a:prstGeom prst="rect">
                            <a:avLst/>
                          </a:prstGeom>
                          <a:ln>
                            <a:noFill/>
                          </a:ln>
                        </wps:spPr>
                        <wps:txbx>
                          <w:txbxContent>
                            <w:p w14:paraId="2C4408B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925" name="Rectangle 15925"/>
                        <wps:cNvSpPr/>
                        <wps:spPr>
                          <a:xfrm rot="-10799999">
                            <a:off x="2692843" y="4487207"/>
                            <a:ext cx="1221305" cy="142889"/>
                          </a:xfrm>
                          <a:prstGeom prst="rect">
                            <a:avLst/>
                          </a:prstGeom>
                          <a:ln>
                            <a:noFill/>
                          </a:ln>
                        </wps:spPr>
                        <wps:txbx>
                          <w:txbxContent>
                            <w:p w14:paraId="6B0E3C4E" w14:textId="77777777" w:rsidR="00B32EF2" w:rsidRDefault="00000000">
                              <w:r>
                                <w:rPr>
                                  <w:rFonts w:ascii="Arial" w:eastAsia="Arial" w:hAnsi="Arial" w:cs="Arial"/>
                                  <w:i/>
                                  <w:sz w:val="18"/>
                                </w:rPr>
                                <w:t>cupero degli aiuti”</w:t>
                              </w:r>
                            </w:p>
                          </w:txbxContent>
                        </wps:txbx>
                        <wps:bodyPr horzOverflow="overflow" vert="horz" lIns="0" tIns="0" rIns="0" bIns="0" rtlCol="0">
                          <a:noAutofit/>
                        </wps:bodyPr>
                      </wps:wsp>
                      <wps:wsp>
                        <wps:cNvPr id="15926" name="Rectangle 15926"/>
                        <wps:cNvSpPr/>
                        <wps:spPr>
                          <a:xfrm rot="-10799999">
                            <a:off x="-1187145" y="4363877"/>
                            <a:ext cx="5100724" cy="142889"/>
                          </a:xfrm>
                          <a:prstGeom prst="rect">
                            <a:avLst/>
                          </a:prstGeom>
                          <a:ln>
                            <a:noFill/>
                          </a:ln>
                        </wps:spPr>
                        <wps:txbx>
                          <w:txbxContent>
                            <w:p w14:paraId="70C3F689" w14:textId="77777777" w:rsidR="00B32EF2" w:rsidRDefault="00000000">
                              <w:r>
                                <w:rPr>
                                  <w:rFonts w:ascii="Arial" w:eastAsia="Arial" w:hAnsi="Arial" w:cs="Arial"/>
                                  <w:i/>
                                  <w:sz w:val="18"/>
                                </w:rPr>
                                <w:t xml:space="preserve">art. 107 regolamento di procedura della Corte di giustizia del 25 settembre </w:t>
                              </w:r>
                            </w:p>
                          </w:txbxContent>
                        </wps:txbx>
                        <wps:bodyPr horzOverflow="overflow" vert="horz" lIns="0" tIns="0" rIns="0" bIns="0" rtlCol="0">
                          <a:noAutofit/>
                        </wps:bodyPr>
                      </wps:wsp>
                      <wps:wsp>
                        <wps:cNvPr id="200250" name="Rectangle 200250"/>
                        <wps:cNvSpPr/>
                        <wps:spPr>
                          <a:xfrm rot="-10799999">
                            <a:off x="2459400" y="4240547"/>
                            <a:ext cx="4854180" cy="142889"/>
                          </a:xfrm>
                          <a:prstGeom prst="rect">
                            <a:avLst/>
                          </a:prstGeom>
                          <a:ln>
                            <a:noFill/>
                          </a:ln>
                        </wps:spPr>
                        <wps:txbx>
                          <w:txbxContent>
                            <w:p w14:paraId="3057799E" w14:textId="77777777" w:rsidR="00B32EF2" w:rsidRDefault="00000000">
                              <w:r>
                                <w:rPr>
                                  <w:rFonts w:ascii="Arial" w:eastAsia="Arial" w:hAnsi="Arial" w:cs="Arial"/>
                                  <w:i/>
                                  <w:sz w:val="18"/>
                                </w:rPr>
                                <w:t>2012</w:t>
                              </w:r>
                            </w:p>
                          </w:txbxContent>
                        </wps:txbx>
                        <wps:bodyPr horzOverflow="overflow" vert="horz" lIns="0" tIns="0" rIns="0" bIns="0" rtlCol="0">
                          <a:noAutofit/>
                        </wps:bodyPr>
                      </wps:wsp>
                      <wps:wsp>
                        <wps:cNvPr id="200251" name="Rectangle 200251"/>
                        <wps:cNvSpPr/>
                        <wps:spPr>
                          <a:xfrm rot="-10799999">
                            <a:off x="-1189684" y="4240547"/>
                            <a:ext cx="4854180" cy="142889"/>
                          </a:xfrm>
                          <a:prstGeom prst="rect">
                            <a:avLst/>
                          </a:prstGeom>
                          <a:ln>
                            <a:noFill/>
                          </a:ln>
                        </wps:spPr>
                        <wps:txbx>
                          <w:txbxContent>
                            <w:p w14:paraId="3131BB4F" w14:textId="77777777" w:rsidR="00B32EF2" w:rsidRDefault="00000000">
                              <w:r>
                                <w:rPr>
                                  <w:rFonts w:ascii="Arial" w:eastAsia="Arial" w:hAnsi="Arial" w:cs="Arial"/>
                                  <w:i/>
                                  <w:sz w:val="18"/>
                                </w:rPr>
                                <w:t xml:space="preserve"> “Ambito di applicazione del procedimento pregiudiziale d’urgenza”</w:t>
                              </w:r>
                            </w:p>
                          </w:txbxContent>
                        </wps:txbx>
                        <wps:bodyPr horzOverflow="overflow" vert="horz" lIns="0" tIns="0" rIns="0" bIns="0" rtlCol="0">
                          <a:noAutofit/>
                        </wps:bodyPr>
                      </wps:wsp>
                      <wps:wsp>
                        <wps:cNvPr id="15928" name="Rectangle 15928"/>
                        <wps:cNvSpPr/>
                        <wps:spPr>
                          <a:xfrm rot="-10799999">
                            <a:off x="2898007" y="4117217"/>
                            <a:ext cx="1015456" cy="142889"/>
                          </a:xfrm>
                          <a:prstGeom prst="rect">
                            <a:avLst/>
                          </a:prstGeom>
                          <a:ln>
                            <a:noFill/>
                          </a:ln>
                        </wps:spPr>
                        <wps:txbx>
                          <w:txbxContent>
                            <w:p w14:paraId="7A3198D8" w14:textId="77777777" w:rsidR="00B32EF2" w:rsidRDefault="00000000">
                              <w:r>
                                <w:rPr>
                                  <w:rFonts w:ascii="Arial" w:eastAsia="Arial" w:hAnsi="Arial" w:cs="Arial"/>
                                  <w:i/>
                                  <w:sz w:val="18"/>
                                </w:rPr>
                                <w:t xml:space="preserve">art. 263 TFUE </w:t>
                              </w:r>
                            </w:p>
                          </w:txbxContent>
                        </wps:txbx>
                        <wps:bodyPr horzOverflow="overflow" vert="horz" lIns="0" tIns="0" rIns="0" bIns="0" rtlCol="0">
                          <a:noAutofit/>
                        </wps:bodyPr>
                      </wps:wsp>
                      <wps:wsp>
                        <wps:cNvPr id="15929" name="Rectangle 15929"/>
                        <wps:cNvSpPr/>
                        <wps:spPr>
                          <a:xfrm rot="-10799999">
                            <a:off x="-1187237" y="3993888"/>
                            <a:ext cx="5100815" cy="142889"/>
                          </a:xfrm>
                          <a:prstGeom prst="rect">
                            <a:avLst/>
                          </a:prstGeom>
                          <a:ln>
                            <a:noFill/>
                          </a:ln>
                        </wps:spPr>
                        <wps:txbx>
                          <w:txbxContent>
                            <w:p w14:paraId="2B1D490F" w14:textId="77777777" w:rsidR="00B32EF2" w:rsidRDefault="00000000">
                              <w:r>
                                <w:rPr>
                                  <w:rFonts w:ascii="Arial" w:eastAsia="Arial" w:hAnsi="Arial" w:cs="Arial"/>
                                  <w:i/>
                                  <w:sz w:val="18"/>
                                </w:rPr>
                                <w:t xml:space="preserve">La Corte di giustizia dell’Unione europea esercita un controllo di legittimità </w:t>
                              </w:r>
                            </w:p>
                          </w:txbxContent>
                        </wps:txbx>
                        <wps:bodyPr horzOverflow="overflow" vert="horz" lIns="0" tIns="0" rIns="0" bIns="0" rtlCol="0">
                          <a:noAutofit/>
                        </wps:bodyPr>
                      </wps:wsp>
                      <wps:wsp>
                        <wps:cNvPr id="15930" name="Rectangle 15930"/>
                        <wps:cNvSpPr/>
                        <wps:spPr>
                          <a:xfrm rot="-10799999">
                            <a:off x="-1090971" y="3870558"/>
                            <a:ext cx="5004435" cy="142889"/>
                          </a:xfrm>
                          <a:prstGeom prst="rect">
                            <a:avLst/>
                          </a:prstGeom>
                          <a:ln>
                            <a:noFill/>
                          </a:ln>
                        </wps:spPr>
                        <wps:txbx>
                          <w:txbxContent>
                            <w:p w14:paraId="1CC2F358" w14:textId="77777777" w:rsidR="00B32EF2" w:rsidRDefault="00000000">
                              <w:r>
                                <w:rPr>
                                  <w:rFonts w:ascii="Arial" w:eastAsia="Arial" w:hAnsi="Arial" w:cs="Arial"/>
                                  <w:i/>
                                  <w:sz w:val="18"/>
                                </w:rPr>
                                <w:t>sugli atti legislativi, sugli atti del Consiglio, della Commissione e della Ban</w:t>
                              </w:r>
                            </w:p>
                          </w:txbxContent>
                        </wps:txbx>
                        <wps:bodyPr horzOverflow="overflow" vert="horz" lIns="0" tIns="0" rIns="0" bIns="0" rtlCol="0">
                          <a:noAutofit/>
                        </wps:bodyPr>
                      </wps:wsp>
                      <wps:wsp>
                        <wps:cNvPr id="15931" name="Rectangle 15931"/>
                        <wps:cNvSpPr/>
                        <wps:spPr>
                          <a:xfrm rot="-10799999">
                            <a:off x="97570" y="3870558"/>
                            <a:ext cx="50622" cy="142889"/>
                          </a:xfrm>
                          <a:prstGeom prst="rect">
                            <a:avLst/>
                          </a:prstGeom>
                          <a:ln>
                            <a:noFill/>
                          </a:ln>
                        </wps:spPr>
                        <wps:txbx>
                          <w:txbxContent>
                            <w:p w14:paraId="1A788B8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932" name="Rectangle 15932"/>
                        <wps:cNvSpPr/>
                        <wps:spPr>
                          <a:xfrm rot="-10799999">
                            <a:off x="-1186595" y="3747229"/>
                            <a:ext cx="5098459" cy="142889"/>
                          </a:xfrm>
                          <a:prstGeom prst="rect">
                            <a:avLst/>
                          </a:prstGeom>
                          <a:ln>
                            <a:noFill/>
                          </a:ln>
                        </wps:spPr>
                        <wps:txbx>
                          <w:txbxContent>
                            <w:p w14:paraId="729C0BD8" w14:textId="77777777" w:rsidR="00B32EF2" w:rsidRDefault="00000000">
                              <w:r>
                                <w:rPr>
                                  <w:rFonts w:ascii="Arial" w:eastAsia="Arial" w:hAnsi="Arial" w:cs="Arial"/>
                                  <w:i/>
                                  <w:sz w:val="18"/>
                                </w:rPr>
                                <w:t xml:space="preserve">ca centrale europea che non siano raccomandazioni o pareri, nonché sugli </w:t>
                              </w:r>
                            </w:p>
                          </w:txbxContent>
                        </wps:txbx>
                        <wps:bodyPr horzOverflow="overflow" vert="horz" lIns="0" tIns="0" rIns="0" bIns="0" rtlCol="0">
                          <a:noAutofit/>
                        </wps:bodyPr>
                      </wps:wsp>
                      <wps:wsp>
                        <wps:cNvPr id="15933" name="Rectangle 15933"/>
                        <wps:cNvSpPr/>
                        <wps:spPr>
                          <a:xfrm rot="-10799999">
                            <a:off x="-1190199" y="3623899"/>
                            <a:ext cx="5113950" cy="142889"/>
                          </a:xfrm>
                          <a:prstGeom prst="rect">
                            <a:avLst/>
                          </a:prstGeom>
                          <a:ln>
                            <a:noFill/>
                          </a:ln>
                        </wps:spPr>
                        <wps:txbx>
                          <w:txbxContent>
                            <w:p w14:paraId="1806519A" w14:textId="77777777" w:rsidR="00B32EF2" w:rsidRDefault="00000000">
                              <w:r>
                                <w:rPr>
                                  <w:rFonts w:ascii="Arial" w:eastAsia="Arial" w:hAnsi="Arial" w:cs="Arial"/>
                                  <w:i/>
                                  <w:sz w:val="18"/>
                                </w:rPr>
                                <w:t xml:space="preserve">atti del Parlamento europeo e del Consiglio europeo destinati a produrre </w:t>
                              </w:r>
                            </w:p>
                          </w:txbxContent>
                        </wps:txbx>
                        <wps:bodyPr horzOverflow="overflow" vert="horz" lIns="0" tIns="0" rIns="0" bIns="0" rtlCol="0">
                          <a:noAutofit/>
                        </wps:bodyPr>
                      </wps:wsp>
                      <wps:wsp>
                        <wps:cNvPr id="15934" name="Rectangle 15934"/>
                        <wps:cNvSpPr/>
                        <wps:spPr>
                          <a:xfrm rot="-10799999">
                            <a:off x="-1185610" y="3500569"/>
                            <a:ext cx="5093245" cy="142889"/>
                          </a:xfrm>
                          <a:prstGeom prst="rect">
                            <a:avLst/>
                          </a:prstGeom>
                          <a:ln>
                            <a:noFill/>
                          </a:ln>
                        </wps:spPr>
                        <wps:txbx>
                          <w:txbxContent>
                            <w:p w14:paraId="3E65AE04" w14:textId="77777777" w:rsidR="00B32EF2" w:rsidRDefault="00000000">
                              <w:r>
                                <w:rPr>
                                  <w:rFonts w:ascii="Arial" w:eastAsia="Arial" w:hAnsi="Arial" w:cs="Arial"/>
                                  <w:i/>
                                  <w:sz w:val="18"/>
                                </w:rPr>
                                <w:t xml:space="preserve">effetti giuridici nei confronti di terzi. Esercita inoltre un controllo di legittimità </w:t>
                              </w:r>
                            </w:p>
                          </w:txbxContent>
                        </wps:txbx>
                        <wps:bodyPr horzOverflow="overflow" vert="horz" lIns="0" tIns="0" rIns="0" bIns="0" rtlCol="0">
                          <a:noAutofit/>
                        </wps:bodyPr>
                      </wps:wsp>
                      <wps:wsp>
                        <wps:cNvPr id="15935" name="Rectangle 15935"/>
                        <wps:cNvSpPr/>
                        <wps:spPr>
                          <a:xfrm rot="-10799999">
                            <a:off x="-1191638" y="3377240"/>
                            <a:ext cx="5120304" cy="142889"/>
                          </a:xfrm>
                          <a:prstGeom prst="rect">
                            <a:avLst/>
                          </a:prstGeom>
                          <a:ln>
                            <a:noFill/>
                          </a:ln>
                        </wps:spPr>
                        <wps:txbx>
                          <w:txbxContent>
                            <w:p w14:paraId="4F331599" w14:textId="77777777" w:rsidR="00B32EF2" w:rsidRDefault="00000000">
                              <w:r>
                                <w:rPr>
                                  <w:rFonts w:ascii="Arial" w:eastAsia="Arial" w:hAnsi="Arial" w:cs="Arial"/>
                                  <w:i/>
                                  <w:sz w:val="18"/>
                                </w:rPr>
                                <w:t xml:space="preserve">sugli atti degli organi o organismi dell’Unione destinati a produrre effetti </w:t>
                              </w:r>
                            </w:p>
                          </w:txbxContent>
                        </wps:txbx>
                        <wps:bodyPr horzOverflow="overflow" vert="horz" lIns="0" tIns="0" rIns="0" bIns="0" rtlCol="0">
                          <a:noAutofit/>
                        </wps:bodyPr>
                      </wps:wsp>
                      <wps:wsp>
                        <wps:cNvPr id="15936" name="Rectangle 15936"/>
                        <wps:cNvSpPr/>
                        <wps:spPr>
                          <a:xfrm rot="-10799999">
                            <a:off x="1962694" y="3253910"/>
                            <a:ext cx="1950769" cy="142889"/>
                          </a:xfrm>
                          <a:prstGeom prst="rect">
                            <a:avLst/>
                          </a:prstGeom>
                          <a:ln>
                            <a:noFill/>
                          </a:ln>
                        </wps:spPr>
                        <wps:txbx>
                          <w:txbxContent>
                            <w:p w14:paraId="59790F6E" w14:textId="77777777" w:rsidR="00B32EF2" w:rsidRDefault="00000000">
                              <w:r>
                                <w:rPr>
                                  <w:rFonts w:ascii="Arial" w:eastAsia="Arial" w:hAnsi="Arial" w:cs="Arial"/>
                                  <w:i/>
                                  <w:sz w:val="18"/>
                                </w:rPr>
                                <w:t>giuridici nei confronti di terzi.</w:t>
                              </w:r>
                            </w:p>
                          </w:txbxContent>
                        </wps:txbx>
                        <wps:bodyPr horzOverflow="overflow" vert="horz" lIns="0" tIns="0" rIns="0" bIns="0" rtlCol="0">
                          <a:noAutofit/>
                        </wps:bodyPr>
                      </wps:wsp>
                      <wps:wsp>
                        <wps:cNvPr id="15937" name="Rectangle 15937"/>
                        <wps:cNvSpPr/>
                        <wps:spPr>
                          <a:xfrm rot="-10799999">
                            <a:off x="-1090971" y="3130580"/>
                            <a:ext cx="5004435" cy="142889"/>
                          </a:xfrm>
                          <a:prstGeom prst="rect">
                            <a:avLst/>
                          </a:prstGeom>
                          <a:ln>
                            <a:noFill/>
                          </a:ln>
                        </wps:spPr>
                        <wps:txbx>
                          <w:txbxContent>
                            <w:p w14:paraId="1F943D87" w14:textId="77777777" w:rsidR="00B32EF2" w:rsidRDefault="00000000">
                              <w:r>
                                <w:rPr>
                                  <w:rFonts w:ascii="Arial" w:eastAsia="Arial" w:hAnsi="Arial" w:cs="Arial"/>
                                  <w:i/>
                                  <w:sz w:val="18"/>
                                </w:rPr>
                                <w:t>A tal fine, la Corte è competente a pronunciarsi sui ricorsi per incompeten</w:t>
                              </w:r>
                            </w:p>
                          </w:txbxContent>
                        </wps:txbx>
                        <wps:bodyPr horzOverflow="overflow" vert="horz" lIns="0" tIns="0" rIns="0" bIns="0" rtlCol="0">
                          <a:noAutofit/>
                        </wps:bodyPr>
                      </wps:wsp>
                      <wps:wsp>
                        <wps:cNvPr id="15938" name="Rectangle 15938"/>
                        <wps:cNvSpPr/>
                        <wps:spPr>
                          <a:xfrm rot="-10799999">
                            <a:off x="97570" y="3130580"/>
                            <a:ext cx="50622" cy="142889"/>
                          </a:xfrm>
                          <a:prstGeom prst="rect">
                            <a:avLst/>
                          </a:prstGeom>
                          <a:ln>
                            <a:noFill/>
                          </a:ln>
                        </wps:spPr>
                        <wps:txbx>
                          <w:txbxContent>
                            <w:p w14:paraId="1B61BDC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939" name="Rectangle 15939"/>
                        <wps:cNvSpPr/>
                        <wps:spPr>
                          <a:xfrm rot="-10799999">
                            <a:off x="-1190281" y="3007251"/>
                            <a:ext cx="5114604" cy="142889"/>
                          </a:xfrm>
                          <a:prstGeom prst="rect">
                            <a:avLst/>
                          </a:prstGeom>
                          <a:ln>
                            <a:noFill/>
                          </a:ln>
                        </wps:spPr>
                        <wps:txbx>
                          <w:txbxContent>
                            <w:p w14:paraId="61B86705" w14:textId="77777777" w:rsidR="00B32EF2" w:rsidRDefault="00000000">
                              <w:r>
                                <w:rPr>
                                  <w:rFonts w:ascii="Arial" w:eastAsia="Arial" w:hAnsi="Arial" w:cs="Arial"/>
                                  <w:i/>
                                  <w:sz w:val="18"/>
                                </w:rPr>
                                <w:t xml:space="preserve">za, violazione delle forme sostanziali, violazione dei trattati o di qualsiasi </w:t>
                              </w:r>
                            </w:p>
                          </w:txbxContent>
                        </wps:txbx>
                        <wps:bodyPr horzOverflow="overflow" vert="horz" lIns="0" tIns="0" rIns="0" bIns="0" rtlCol="0">
                          <a:noAutofit/>
                        </wps:bodyPr>
                      </wps:wsp>
                      <wps:wsp>
                        <wps:cNvPr id="15940" name="Rectangle 15940"/>
                        <wps:cNvSpPr/>
                        <wps:spPr>
                          <a:xfrm rot="-10799999">
                            <a:off x="-1089223" y="2883921"/>
                            <a:ext cx="5002687" cy="142889"/>
                          </a:xfrm>
                          <a:prstGeom prst="rect">
                            <a:avLst/>
                          </a:prstGeom>
                          <a:ln>
                            <a:noFill/>
                          </a:ln>
                        </wps:spPr>
                        <wps:txbx>
                          <w:txbxContent>
                            <w:p w14:paraId="2FB977FE" w14:textId="77777777" w:rsidR="00B32EF2" w:rsidRDefault="00000000">
                              <w:r>
                                <w:rPr>
                                  <w:rFonts w:ascii="Arial" w:eastAsia="Arial" w:hAnsi="Arial" w:cs="Arial"/>
                                  <w:i/>
                                  <w:sz w:val="18"/>
                                </w:rPr>
                                <w:t>regola di diritto relativa alla loro applicazione, ovvero per sviamento di po</w:t>
                              </w:r>
                            </w:p>
                          </w:txbxContent>
                        </wps:txbx>
                        <wps:bodyPr horzOverflow="overflow" vert="horz" lIns="0" tIns="0" rIns="0" bIns="0" rtlCol="0">
                          <a:noAutofit/>
                        </wps:bodyPr>
                      </wps:wsp>
                      <wps:wsp>
                        <wps:cNvPr id="15941" name="Rectangle 15941"/>
                        <wps:cNvSpPr/>
                        <wps:spPr>
                          <a:xfrm rot="-10799999">
                            <a:off x="97570" y="2883921"/>
                            <a:ext cx="50622" cy="142889"/>
                          </a:xfrm>
                          <a:prstGeom prst="rect">
                            <a:avLst/>
                          </a:prstGeom>
                          <a:ln>
                            <a:noFill/>
                          </a:ln>
                        </wps:spPr>
                        <wps:txbx>
                          <w:txbxContent>
                            <w:p w14:paraId="3547CEF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942" name="Rectangle 15942"/>
                        <wps:cNvSpPr/>
                        <wps:spPr>
                          <a:xfrm rot="-10799999">
                            <a:off x="-1186213" y="2760591"/>
                            <a:ext cx="5095905" cy="142889"/>
                          </a:xfrm>
                          <a:prstGeom prst="rect">
                            <a:avLst/>
                          </a:prstGeom>
                          <a:ln>
                            <a:noFill/>
                          </a:ln>
                        </wps:spPr>
                        <wps:txbx>
                          <w:txbxContent>
                            <w:p w14:paraId="450D0BCD" w14:textId="77777777" w:rsidR="00B32EF2" w:rsidRDefault="00000000">
                              <w:r>
                                <w:rPr>
                                  <w:rFonts w:ascii="Arial" w:eastAsia="Arial" w:hAnsi="Arial" w:cs="Arial"/>
                                  <w:i/>
                                  <w:sz w:val="18"/>
                                </w:rPr>
                                <w:t xml:space="preserve">tere, proposti da uno Stato membro, dal Parlamento europeo, dal Consiglio </w:t>
                              </w:r>
                            </w:p>
                          </w:txbxContent>
                        </wps:txbx>
                        <wps:bodyPr horzOverflow="overflow" vert="horz" lIns="0" tIns="0" rIns="0" bIns="0" rtlCol="0">
                          <a:noAutofit/>
                        </wps:bodyPr>
                      </wps:wsp>
                      <wps:wsp>
                        <wps:cNvPr id="15943" name="Rectangle 15943"/>
                        <wps:cNvSpPr/>
                        <wps:spPr>
                          <a:xfrm rot="-10799999">
                            <a:off x="2443721" y="2637261"/>
                            <a:ext cx="1470084" cy="142889"/>
                          </a:xfrm>
                          <a:prstGeom prst="rect">
                            <a:avLst/>
                          </a:prstGeom>
                          <a:ln>
                            <a:noFill/>
                          </a:ln>
                        </wps:spPr>
                        <wps:txbx>
                          <w:txbxContent>
                            <w:p w14:paraId="7FBEB2AE" w14:textId="77777777" w:rsidR="00B32EF2" w:rsidRDefault="00000000">
                              <w:r>
                                <w:rPr>
                                  <w:rFonts w:ascii="Arial" w:eastAsia="Arial" w:hAnsi="Arial" w:cs="Arial"/>
                                  <w:i/>
                                  <w:sz w:val="18"/>
                                </w:rPr>
                                <w:t>o dalla Commissione.</w:t>
                              </w:r>
                            </w:p>
                          </w:txbxContent>
                        </wps:txbx>
                        <wps:bodyPr horzOverflow="overflow" vert="horz" lIns="0" tIns="0" rIns="0" bIns="0" rtlCol="0">
                          <a:noAutofit/>
                        </wps:bodyPr>
                      </wps:wsp>
                      <wps:wsp>
                        <wps:cNvPr id="15944" name="Rectangle 15944"/>
                        <wps:cNvSpPr/>
                        <wps:spPr>
                          <a:xfrm rot="-10799999">
                            <a:off x="-1185238" y="2513931"/>
                            <a:ext cx="5092530" cy="142889"/>
                          </a:xfrm>
                          <a:prstGeom prst="rect">
                            <a:avLst/>
                          </a:prstGeom>
                          <a:ln>
                            <a:noFill/>
                          </a:ln>
                        </wps:spPr>
                        <wps:txbx>
                          <w:txbxContent>
                            <w:p w14:paraId="2636806F" w14:textId="77777777" w:rsidR="00B32EF2" w:rsidRDefault="00000000">
                              <w:r>
                                <w:rPr>
                                  <w:rFonts w:ascii="Arial" w:eastAsia="Arial" w:hAnsi="Arial" w:cs="Arial"/>
                                  <w:i/>
                                  <w:sz w:val="18"/>
                                </w:rPr>
                                <w:t xml:space="preserve">La Corte è competente, alle stesse condizioni, a pronunciarsi sui ricorsi che </w:t>
                              </w:r>
                            </w:p>
                          </w:txbxContent>
                        </wps:txbx>
                        <wps:bodyPr horzOverflow="overflow" vert="horz" lIns="0" tIns="0" rIns="0" bIns="0" rtlCol="0">
                          <a:noAutofit/>
                        </wps:bodyPr>
                      </wps:wsp>
                      <wps:wsp>
                        <wps:cNvPr id="15945" name="Rectangle 15945"/>
                        <wps:cNvSpPr/>
                        <wps:spPr>
                          <a:xfrm rot="-10799999">
                            <a:off x="-1190996" y="2390601"/>
                            <a:ext cx="5114634" cy="142889"/>
                          </a:xfrm>
                          <a:prstGeom prst="rect">
                            <a:avLst/>
                          </a:prstGeom>
                          <a:ln>
                            <a:noFill/>
                          </a:ln>
                        </wps:spPr>
                        <wps:txbx>
                          <w:txbxContent>
                            <w:p w14:paraId="0EF7F169" w14:textId="77777777" w:rsidR="00B32EF2" w:rsidRDefault="00000000">
                              <w:r>
                                <w:rPr>
                                  <w:rFonts w:ascii="Arial" w:eastAsia="Arial" w:hAnsi="Arial" w:cs="Arial"/>
                                  <w:i/>
                                  <w:sz w:val="18"/>
                                </w:rPr>
                                <w:t xml:space="preserve">la Corte dei conti, la Banca centrale europea ed il Comitato delle regioni </w:t>
                              </w:r>
                            </w:p>
                          </w:txbxContent>
                        </wps:txbx>
                        <wps:bodyPr horzOverflow="overflow" vert="horz" lIns="0" tIns="0" rIns="0" bIns="0" rtlCol="0">
                          <a:noAutofit/>
                        </wps:bodyPr>
                      </wps:wsp>
                      <wps:wsp>
                        <wps:cNvPr id="15946" name="Rectangle 15946"/>
                        <wps:cNvSpPr/>
                        <wps:spPr>
                          <a:xfrm rot="-10799999">
                            <a:off x="269919" y="2267272"/>
                            <a:ext cx="3644230" cy="142889"/>
                          </a:xfrm>
                          <a:prstGeom prst="rect">
                            <a:avLst/>
                          </a:prstGeom>
                          <a:ln>
                            <a:noFill/>
                          </a:ln>
                        </wps:spPr>
                        <wps:txbx>
                          <w:txbxContent>
                            <w:p w14:paraId="4D0FE8F4" w14:textId="77777777" w:rsidR="00B32EF2" w:rsidRDefault="00000000">
                              <w:r>
                                <w:rPr>
                                  <w:rFonts w:ascii="Arial" w:eastAsia="Arial" w:hAnsi="Arial" w:cs="Arial"/>
                                  <w:i/>
                                  <w:sz w:val="18"/>
                                </w:rPr>
                                <w:t>propongono per salvaguardare le proprie prerogative.</w:t>
                              </w:r>
                            </w:p>
                          </w:txbxContent>
                        </wps:txbx>
                        <wps:bodyPr horzOverflow="overflow" vert="horz" lIns="0" tIns="0" rIns="0" bIns="0" rtlCol="0">
                          <a:noAutofit/>
                        </wps:bodyPr>
                      </wps:wsp>
                      <wps:wsp>
                        <wps:cNvPr id="15947" name="Rectangle 15947"/>
                        <wps:cNvSpPr/>
                        <wps:spPr>
                          <a:xfrm rot="-10799999">
                            <a:off x="-1187199" y="2143942"/>
                            <a:ext cx="5100663" cy="142889"/>
                          </a:xfrm>
                          <a:prstGeom prst="rect">
                            <a:avLst/>
                          </a:prstGeom>
                          <a:ln>
                            <a:noFill/>
                          </a:ln>
                        </wps:spPr>
                        <wps:txbx>
                          <w:txbxContent>
                            <w:p w14:paraId="2BAD722C" w14:textId="77777777" w:rsidR="00B32EF2" w:rsidRDefault="00000000">
                              <w:r>
                                <w:rPr>
                                  <w:rFonts w:ascii="Arial" w:eastAsia="Arial" w:hAnsi="Arial" w:cs="Arial"/>
                                  <w:i/>
                                  <w:sz w:val="18"/>
                                </w:rPr>
                                <w:t xml:space="preserve">Qualsiasi persona fisica o giuridica può proporrè alle condizioni previste al </w:t>
                              </w:r>
                            </w:p>
                          </w:txbxContent>
                        </wps:txbx>
                        <wps:bodyPr horzOverflow="overflow" vert="horz" lIns="0" tIns="0" rIns="0" bIns="0" rtlCol="0">
                          <a:noAutofit/>
                        </wps:bodyPr>
                      </wps:wsp>
                      <wps:wsp>
                        <wps:cNvPr id="15948" name="Rectangle 15948"/>
                        <wps:cNvSpPr/>
                        <wps:spPr>
                          <a:xfrm rot="-10799999">
                            <a:off x="-1185940" y="2020612"/>
                            <a:ext cx="5094947" cy="142889"/>
                          </a:xfrm>
                          <a:prstGeom prst="rect">
                            <a:avLst/>
                          </a:prstGeom>
                          <a:ln>
                            <a:noFill/>
                          </a:ln>
                        </wps:spPr>
                        <wps:txbx>
                          <w:txbxContent>
                            <w:p w14:paraId="39CB45CB" w14:textId="77777777" w:rsidR="00B32EF2" w:rsidRDefault="00000000">
                              <w:r>
                                <w:rPr>
                                  <w:rFonts w:ascii="Arial" w:eastAsia="Arial" w:hAnsi="Arial" w:cs="Arial"/>
                                  <w:i/>
                                  <w:sz w:val="18"/>
                                </w:rPr>
                                <w:t xml:space="preserve">primo e secondo comma, un ricorso contro gli atti adottati nei suoi confronti </w:t>
                              </w:r>
                            </w:p>
                          </w:txbxContent>
                        </wps:txbx>
                        <wps:bodyPr horzOverflow="overflow" vert="horz" lIns="0" tIns="0" rIns="0" bIns="0" rtlCol="0">
                          <a:noAutofit/>
                        </wps:bodyPr>
                      </wps:wsp>
                      <wps:wsp>
                        <wps:cNvPr id="15949" name="Rectangle 15949"/>
                        <wps:cNvSpPr/>
                        <wps:spPr>
                          <a:xfrm rot="-10799999">
                            <a:off x="-1088994" y="1897283"/>
                            <a:ext cx="5002459" cy="142889"/>
                          </a:xfrm>
                          <a:prstGeom prst="rect">
                            <a:avLst/>
                          </a:prstGeom>
                          <a:ln>
                            <a:noFill/>
                          </a:ln>
                        </wps:spPr>
                        <wps:txbx>
                          <w:txbxContent>
                            <w:p w14:paraId="4FF4B495" w14:textId="77777777" w:rsidR="00B32EF2" w:rsidRDefault="00000000">
                              <w:r>
                                <w:rPr>
                                  <w:rFonts w:ascii="Arial" w:eastAsia="Arial" w:hAnsi="Arial" w:cs="Arial"/>
                                  <w:i/>
                                  <w:sz w:val="18"/>
                                </w:rPr>
                                <w:t>o che la riguardano direttamente e individualmente, e contro gli atti rego</w:t>
                              </w:r>
                            </w:p>
                          </w:txbxContent>
                        </wps:txbx>
                        <wps:bodyPr horzOverflow="overflow" vert="horz" lIns="0" tIns="0" rIns="0" bIns="0" rtlCol="0">
                          <a:noAutofit/>
                        </wps:bodyPr>
                      </wps:wsp>
                      <wps:wsp>
                        <wps:cNvPr id="15950" name="Rectangle 15950"/>
                        <wps:cNvSpPr/>
                        <wps:spPr>
                          <a:xfrm rot="-10799999">
                            <a:off x="97570" y="1897283"/>
                            <a:ext cx="50622" cy="142889"/>
                          </a:xfrm>
                          <a:prstGeom prst="rect">
                            <a:avLst/>
                          </a:prstGeom>
                          <a:ln>
                            <a:noFill/>
                          </a:ln>
                        </wps:spPr>
                        <wps:txbx>
                          <w:txbxContent>
                            <w:p w14:paraId="6CF45A0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951" name="Rectangle 15951"/>
                        <wps:cNvSpPr/>
                        <wps:spPr>
                          <a:xfrm rot="-10799999">
                            <a:off x="-1193818" y="1773953"/>
                            <a:ext cx="5125914" cy="142889"/>
                          </a:xfrm>
                          <a:prstGeom prst="rect">
                            <a:avLst/>
                          </a:prstGeom>
                          <a:ln>
                            <a:noFill/>
                          </a:ln>
                        </wps:spPr>
                        <wps:txbx>
                          <w:txbxContent>
                            <w:p w14:paraId="105D8CA3" w14:textId="77777777" w:rsidR="00B32EF2" w:rsidRDefault="00000000">
                              <w:r>
                                <w:rPr>
                                  <w:rFonts w:ascii="Arial" w:eastAsia="Arial" w:hAnsi="Arial" w:cs="Arial"/>
                                  <w:i/>
                                  <w:sz w:val="18"/>
                                </w:rPr>
                                <w:t xml:space="preserve">lamentari che la riguardano direttamente e che non comportano alcuna </w:t>
                              </w:r>
                            </w:p>
                          </w:txbxContent>
                        </wps:txbx>
                        <wps:bodyPr horzOverflow="overflow" vert="horz" lIns="0" tIns="0" rIns="0" bIns="0" rtlCol="0">
                          <a:noAutofit/>
                        </wps:bodyPr>
                      </wps:wsp>
                      <wps:wsp>
                        <wps:cNvPr id="15952" name="Rectangle 15952"/>
                        <wps:cNvSpPr/>
                        <wps:spPr>
                          <a:xfrm rot="-10799999">
                            <a:off x="2474545" y="1650624"/>
                            <a:ext cx="1439832" cy="142889"/>
                          </a:xfrm>
                          <a:prstGeom prst="rect">
                            <a:avLst/>
                          </a:prstGeom>
                          <a:ln>
                            <a:noFill/>
                          </a:ln>
                        </wps:spPr>
                        <wps:txbx>
                          <w:txbxContent>
                            <w:p w14:paraId="5A384CB1" w14:textId="77777777" w:rsidR="00B32EF2" w:rsidRDefault="00000000">
                              <w:r>
                                <w:rPr>
                                  <w:rFonts w:ascii="Arial" w:eastAsia="Arial" w:hAnsi="Arial" w:cs="Arial"/>
                                  <w:i/>
                                  <w:sz w:val="18"/>
                                </w:rPr>
                                <w:t>misura d’esecuzione.</w:t>
                              </w:r>
                            </w:p>
                          </w:txbxContent>
                        </wps:txbx>
                        <wps:bodyPr horzOverflow="overflow" vert="horz" lIns="0" tIns="0" rIns="0" bIns="0" rtlCol="0">
                          <a:noAutofit/>
                        </wps:bodyPr>
                      </wps:wsp>
                      <wps:wsp>
                        <wps:cNvPr id="15953" name="Rectangle 15953"/>
                        <wps:cNvSpPr/>
                        <wps:spPr>
                          <a:xfrm rot="-10799999">
                            <a:off x="-1090318" y="1527294"/>
                            <a:ext cx="5003783" cy="142889"/>
                          </a:xfrm>
                          <a:prstGeom prst="rect">
                            <a:avLst/>
                          </a:prstGeom>
                          <a:ln>
                            <a:noFill/>
                          </a:ln>
                        </wps:spPr>
                        <wps:txbx>
                          <w:txbxContent>
                            <w:p w14:paraId="6EB5974B" w14:textId="77777777" w:rsidR="00B32EF2" w:rsidRDefault="00000000">
                              <w:r>
                                <w:rPr>
                                  <w:rFonts w:ascii="Arial" w:eastAsia="Arial" w:hAnsi="Arial" w:cs="Arial"/>
                                  <w:i/>
                                  <w:sz w:val="18"/>
                                </w:rPr>
                                <w:t>Gli atti che istituiscono gli organi e organismi dell’Unione possono preve</w:t>
                              </w:r>
                            </w:p>
                          </w:txbxContent>
                        </wps:txbx>
                        <wps:bodyPr horzOverflow="overflow" vert="horz" lIns="0" tIns="0" rIns="0" bIns="0" rtlCol="0">
                          <a:noAutofit/>
                        </wps:bodyPr>
                      </wps:wsp>
                      <wps:wsp>
                        <wps:cNvPr id="15954" name="Rectangle 15954"/>
                        <wps:cNvSpPr/>
                        <wps:spPr>
                          <a:xfrm rot="-10799999">
                            <a:off x="97570" y="1527294"/>
                            <a:ext cx="50622" cy="142889"/>
                          </a:xfrm>
                          <a:prstGeom prst="rect">
                            <a:avLst/>
                          </a:prstGeom>
                          <a:ln>
                            <a:noFill/>
                          </a:ln>
                        </wps:spPr>
                        <wps:txbx>
                          <w:txbxContent>
                            <w:p w14:paraId="316D8C8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955" name="Rectangle 15955"/>
                        <wps:cNvSpPr/>
                        <wps:spPr>
                          <a:xfrm rot="-10799999">
                            <a:off x="-1187154" y="1403964"/>
                            <a:ext cx="5100618" cy="142889"/>
                          </a:xfrm>
                          <a:prstGeom prst="rect">
                            <a:avLst/>
                          </a:prstGeom>
                          <a:ln>
                            <a:noFill/>
                          </a:ln>
                        </wps:spPr>
                        <wps:txbx>
                          <w:txbxContent>
                            <w:p w14:paraId="65A00CC9" w14:textId="77777777" w:rsidR="00B32EF2" w:rsidRDefault="00000000">
                              <w:r>
                                <w:rPr>
                                  <w:rFonts w:ascii="Arial" w:eastAsia="Arial" w:hAnsi="Arial" w:cs="Arial"/>
                                  <w:i/>
                                  <w:sz w:val="18"/>
                                </w:rPr>
                                <w:t xml:space="preserve">dere condizioni e modalità specifiche relative ai ricorsi proposti da persone </w:t>
                              </w:r>
                            </w:p>
                          </w:txbxContent>
                        </wps:txbx>
                        <wps:bodyPr horzOverflow="overflow" vert="horz" lIns="0" tIns="0" rIns="0" bIns="0" rtlCol="0">
                          <a:noAutofit/>
                        </wps:bodyPr>
                      </wps:wsp>
                      <wps:wsp>
                        <wps:cNvPr id="15956" name="Rectangle 15956"/>
                        <wps:cNvSpPr/>
                        <wps:spPr>
                          <a:xfrm rot="-10799999">
                            <a:off x="-1097862" y="1280634"/>
                            <a:ext cx="5009955" cy="142889"/>
                          </a:xfrm>
                          <a:prstGeom prst="rect">
                            <a:avLst/>
                          </a:prstGeom>
                          <a:ln>
                            <a:noFill/>
                          </a:ln>
                        </wps:spPr>
                        <wps:txbx>
                          <w:txbxContent>
                            <w:p w14:paraId="4591C5E4" w14:textId="77777777" w:rsidR="00B32EF2" w:rsidRDefault="00000000">
                              <w:r>
                                <w:rPr>
                                  <w:rFonts w:ascii="Arial" w:eastAsia="Arial" w:hAnsi="Arial" w:cs="Arial"/>
                                  <w:i/>
                                  <w:sz w:val="18"/>
                                </w:rPr>
                                <w:t>fisiche o giuridiche contro atti di detti organi o organismi destinati a produr</w:t>
                              </w:r>
                            </w:p>
                          </w:txbxContent>
                        </wps:txbx>
                        <wps:bodyPr horzOverflow="overflow" vert="horz" lIns="0" tIns="0" rIns="0" bIns="0" rtlCol="0">
                          <a:noAutofit/>
                        </wps:bodyPr>
                      </wps:wsp>
                      <wps:wsp>
                        <wps:cNvPr id="15957" name="Rectangle 15957"/>
                        <wps:cNvSpPr/>
                        <wps:spPr>
                          <a:xfrm rot="-10799999">
                            <a:off x="97570" y="1280635"/>
                            <a:ext cx="50622" cy="142889"/>
                          </a:xfrm>
                          <a:prstGeom prst="rect">
                            <a:avLst/>
                          </a:prstGeom>
                          <a:ln>
                            <a:noFill/>
                          </a:ln>
                        </wps:spPr>
                        <wps:txbx>
                          <w:txbxContent>
                            <w:p w14:paraId="2EC5F22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958" name="Rectangle 15958"/>
                        <wps:cNvSpPr/>
                        <wps:spPr>
                          <a:xfrm rot="-10799999">
                            <a:off x="1553247" y="1157305"/>
                            <a:ext cx="2360217" cy="142889"/>
                          </a:xfrm>
                          <a:prstGeom prst="rect">
                            <a:avLst/>
                          </a:prstGeom>
                          <a:ln>
                            <a:noFill/>
                          </a:ln>
                        </wps:spPr>
                        <wps:txbx>
                          <w:txbxContent>
                            <w:p w14:paraId="197150F5" w14:textId="77777777" w:rsidR="00B32EF2" w:rsidRDefault="00000000">
                              <w:r>
                                <w:rPr>
                                  <w:rFonts w:ascii="Arial" w:eastAsia="Arial" w:hAnsi="Arial" w:cs="Arial"/>
                                  <w:i/>
                                  <w:sz w:val="18"/>
                                </w:rPr>
                                <w:t>re effetti giuridici nei loro confronti.</w:t>
                              </w:r>
                            </w:p>
                          </w:txbxContent>
                        </wps:txbx>
                        <wps:bodyPr horzOverflow="overflow" vert="horz" lIns="0" tIns="0" rIns="0" bIns="0" rtlCol="0">
                          <a:noAutofit/>
                        </wps:bodyPr>
                      </wps:wsp>
                      <wps:wsp>
                        <wps:cNvPr id="15959" name="Rectangle 15959"/>
                        <wps:cNvSpPr/>
                        <wps:spPr>
                          <a:xfrm rot="-10799999">
                            <a:off x="-1190803" y="1033975"/>
                            <a:ext cx="5115926" cy="142889"/>
                          </a:xfrm>
                          <a:prstGeom prst="rect">
                            <a:avLst/>
                          </a:prstGeom>
                          <a:ln>
                            <a:noFill/>
                          </a:ln>
                        </wps:spPr>
                        <wps:txbx>
                          <w:txbxContent>
                            <w:p w14:paraId="24D946B8" w14:textId="77777777" w:rsidR="00B32EF2" w:rsidRDefault="00000000">
                              <w:r>
                                <w:rPr>
                                  <w:rFonts w:ascii="Arial" w:eastAsia="Arial" w:hAnsi="Arial" w:cs="Arial"/>
                                  <w:i/>
                                  <w:sz w:val="18"/>
                                </w:rPr>
                                <w:t xml:space="preserve">I ricorsi previsti dal presente articolo devono essere proposti nel termine </w:t>
                              </w:r>
                            </w:p>
                          </w:txbxContent>
                        </wps:txbx>
                        <wps:bodyPr horzOverflow="overflow" vert="horz" lIns="0" tIns="0" rIns="0" bIns="0" rtlCol="0">
                          <a:noAutofit/>
                        </wps:bodyPr>
                      </wps:wsp>
                      <wps:wsp>
                        <wps:cNvPr id="15960" name="Rectangle 15960"/>
                        <wps:cNvSpPr/>
                        <wps:spPr>
                          <a:xfrm rot="-10799999">
                            <a:off x="-1187723" y="910645"/>
                            <a:ext cx="5101530" cy="142889"/>
                          </a:xfrm>
                          <a:prstGeom prst="rect">
                            <a:avLst/>
                          </a:prstGeom>
                          <a:ln>
                            <a:noFill/>
                          </a:ln>
                        </wps:spPr>
                        <wps:txbx>
                          <w:txbxContent>
                            <w:p w14:paraId="063BEA41" w14:textId="77777777" w:rsidR="00B32EF2" w:rsidRDefault="00000000">
                              <w:r>
                                <w:rPr>
                                  <w:rFonts w:ascii="Arial" w:eastAsia="Arial" w:hAnsi="Arial" w:cs="Arial"/>
                                  <w:i/>
                                  <w:sz w:val="18"/>
                                </w:rPr>
                                <w:t xml:space="preserve">di due mesi a decorrere, secondo i casi, dalla pubblicazione dell’atto, dalla </w:t>
                              </w:r>
                            </w:p>
                          </w:txbxContent>
                        </wps:txbx>
                        <wps:bodyPr horzOverflow="overflow" vert="horz" lIns="0" tIns="0" rIns="0" bIns="0" rtlCol="0">
                          <a:noAutofit/>
                        </wps:bodyPr>
                      </wps:wsp>
                      <wps:wsp>
                        <wps:cNvPr id="15961" name="Rectangle 15961"/>
                        <wps:cNvSpPr/>
                        <wps:spPr>
                          <a:xfrm rot="-10799999">
                            <a:off x="-1097903" y="787316"/>
                            <a:ext cx="5011368" cy="142889"/>
                          </a:xfrm>
                          <a:prstGeom prst="rect">
                            <a:avLst/>
                          </a:prstGeom>
                          <a:ln>
                            <a:noFill/>
                          </a:ln>
                        </wps:spPr>
                        <wps:txbx>
                          <w:txbxContent>
                            <w:p w14:paraId="7FEC3274" w14:textId="77777777" w:rsidR="00B32EF2" w:rsidRDefault="00000000">
                              <w:r>
                                <w:rPr>
                                  <w:rFonts w:ascii="Arial" w:eastAsia="Arial" w:hAnsi="Arial" w:cs="Arial"/>
                                  <w:i/>
                                  <w:sz w:val="18"/>
                                </w:rPr>
                                <w:t>sua notificazione al ricorrente ovvero, in mancanza, dal giorno in cui il ricor</w:t>
                              </w:r>
                            </w:p>
                          </w:txbxContent>
                        </wps:txbx>
                        <wps:bodyPr horzOverflow="overflow" vert="horz" lIns="0" tIns="0" rIns="0" bIns="0" rtlCol="0">
                          <a:noAutofit/>
                        </wps:bodyPr>
                      </wps:wsp>
                      <wps:wsp>
                        <wps:cNvPr id="15962" name="Rectangle 15962"/>
                        <wps:cNvSpPr/>
                        <wps:spPr>
                          <a:xfrm rot="-10799999">
                            <a:off x="97570" y="787316"/>
                            <a:ext cx="50622" cy="142889"/>
                          </a:xfrm>
                          <a:prstGeom prst="rect">
                            <a:avLst/>
                          </a:prstGeom>
                          <a:ln>
                            <a:noFill/>
                          </a:ln>
                        </wps:spPr>
                        <wps:txbx>
                          <w:txbxContent>
                            <w:p w14:paraId="149FF9A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5963" name="Rectangle 15963"/>
                        <wps:cNvSpPr/>
                        <wps:spPr>
                          <a:xfrm rot="-10799999">
                            <a:off x="1821818" y="663986"/>
                            <a:ext cx="2091645" cy="142889"/>
                          </a:xfrm>
                          <a:prstGeom prst="rect">
                            <a:avLst/>
                          </a:prstGeom>
                          <a:ln>
                            <a:noFill/>
                          </a:ln>
                        </wps:spPr>
                        <wps:txbx>
                          <w:txbxContent>
                            <w:p w14:paraId="26F7776A" w14:textId="77777777" w:rsidR="00B32EF2" w:rsidRDefault="00000000">
                              <w:r>
                                <w:rPr>
                                  <w:rFonts w:ascii="Arial" w:eastAsia="Arial" w:hAnsi="Arial" w:cs="Arial"/>
                                  <w:i/>
                                  <w:sz w:val="18"/>
                                </w:rPr>
                                <w:t>rente ne ha avuto conoscenza.</w:t>
                              </w:r>
                            </w:p>
                          </w:txbxContent>
                        </wps:txbx>
                        <wps:bodyPr horzOverflow="overflow" vert="horz" lIns="0" tIns="0" rIns="0" bIns="0" rtlCol="0">
                          <a:noAutofit/>
                        </wps:bodyPr>
                      </wps:wsp>
                      <wps:wsp>
                        <wps:cNvPr id="15964" name="Shape 15964"/>
                        <wps:cNvSpPr/>
                        <wps:spPr>
                          <a:xfrm>
                            <a:off x="31812" y="482201"/>
                            <a:ext cx="3960000" cy="4472902"/>
                          </a:xfrm>
                          <a:custGeom>
                            <a:avLst/>
                            <a:gdLst/>
                            <a:ahLst/>
                            <a:cxnLst/>
                            <a:rect l="0" t="0" r="0" b="0"/>
                            <a:pathLst>
                              <a:path w="3960000" h="4472902">
                                <a:moveTo>
                                  <a:pt x="0" y="4472902"/>
                                </a:moveTo>
                                <a:lnTo>
                                  <a:pt x="3960000" y="4472902"/>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EAAF878" id="Group 200396" o:spid="_x0000_s2265" style="width:314.3pt;height:493.15pt;mso-position-horizontal-relative:char;mso-position-vertical-relative:line" coordsize="39918,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OY/KwsAAA51AAAOAAAAZHJzL2Uyb0RvYy54bWzkXWtv3LgV/V6g/0GY745FUk8jzqLIdoMC&#10;RXexu/0B8ljjGUAjDSQldvrrey5JURoNvZtKwdAoE8CWOXpQPLqvc6/uvP/h5VgFX8q2OzT1/Ya9&#10;CzdBWW+bx0P9dL/59+8/3WSboOuL+rGomrq833wtu80PH/76l/fPp7uSN/umeizbACepu7vn0/1m&#10;3/enu9vbbrsvj0X3rjmVNT7cNe2x6PFn+3T72BbPOPuxuuVhmNw+N+3jqW22Zddh9Ef14eaDPP9u&#10;V277n3e7ruyD6n6DufXyZyt/PtDP2w/vi7untjjtD1s9jWLBLI7FocZFzal+LPoi+NweLk51PGzb&#10;pmt2/bttc7xtdrvDtpT3gLth4exuPrXN55O8l6e756eTWSYs7WydFp92+68vn9rTb6dfWqzE8+kJ&#10;ayH/ont52bVH+o1ZBi9yyb6aJStf+mCLQZHnLGNiE2zxWcITnsWRWtTtHit/cdx2//c/OfJ2uPDt&#10;2XSeT3hAunENunVr8Nu+OJVyabs7rMEvbXB4xPMb52G+CeriiEf1Vzw8Rf1UlYEalgsk9zbL1d11&#10;WLlhrYK2wfN1w8I0p3/yedBrx/IwjDAUYJVuEo4/1SINy8jSTCT4mFaRx2ESJfS5WYri7tR2/aey&#10;OQa0cb9pMTd5/uLLP7te7TrsQtOpavpZNz8dqkp9SiNY0WHGtNW/PLyo22ZZTNejwYfm8StWY9+0&#10;//kZcr2rmuf7TaO3NiTquDx9ugmqf9RAgaRq2GiHjYdho+2rj42UPTWhv33um91Bzni8mp4Z4FVz&#10;uAbODPO24IxhvRB4Kv53nG+YYCnnXAKdMJbniRaHAelYhFkWQisS1CzimXoUrgi1fLTGxfcAamaH&#10;mn0PqHFuABkD6ERcQp2HIplALa94RajT4Q69kWpInk2q+bAQi6Q6CVkUQV8Q0FkqRCi1ZXE3yLQQ&#10;wDmNRqCznK53RaCz4f68ABqOH4/hc8yR1uMrFXiSpzH0M4GdwmanUl+OYEOBw5hPpPrqYMuHyxsF&#10;LkG1iLUeXwM2T1gI//UNY62cA2+whqPNoEbncq2G1yCt/TINNeIU7WHPxFrE7nQ4nkN9h17ocMIU&#10;q22D2sQii4y1hJpBa0sNHodCsEsNnuWQLOOCX1uD58Yd8QZqwGGD2sQiy6GOELtKqAXC7kx6vFOp&#10;ZqHgk2jr6lAL76Q6tUNtYpHlUPMQ5ya/jMdJEl9ADb+MQ8MPgfXVoZbhn1e2GoJlk2oTjSyEGvwY&#10;IzaMoGZCCD6HmsNvyxzGW7kxUd4ocDstykwssghqlnNyAl7FOUyISnMm0MY6+YIyt5OiGF7jfAtk&#10;CFJwJhLnEBFXLhXEaKUzhtyHZr+JEr265ja2yQugYUbT3DhkMhMS6LE/hZlYfJ3TIFihgyG8UQaN&#10;PcNU5EmIf0p6oyjlMM70FE1Ise1nldOgcw55DGTQHlVGA2P7YWv7Ug+blPn4w2TeqejpODopbQZI&#10;X5i57DFXPRX6/Ii8xu+N3LOfZaowzfHTqp7uZc6GO5eCgX2HPYbfJ3m+6Z7DddUSDPsNv9X+imL8&#10;9j3Pr45p0A3LJTaLgMHpMlc1rQehUiDZuqsKlUU6HnpkYavDESkJnhJswzR1akaluci36fqvVUlL&#10;VtW/ljukj2RmkAa69unhY9UGXwrK98h/KkVVnfaFHtXn1bvKqcrz0PE75KrMKZk89OyUHwX912fQ&#10;O9NxpUzzmiNDdeRWz0blepExxU0PGV8sijlIXrmpe3N8jTy1vMjkbkenjtaF/rpqroqMoMXPwjCm&#10;Q7NZZHw5AqMUYislGKx2lsziZBZncQJXx50BNo6kF3oZlAi3sNpqeA3SSElneaQtcATSM0ZWCicc&#10;LXAMRj0bEtBOTLBxJL2B2k50chNFLhJq5C5SbUYkzvPIyalHDcp+0FjeoAz1aVPdJoBchDJPcp5F&#10;0BXkfEVZSsTImTwzzhmlKV2pbhQzeYe08ajPCoe4CSIXIX3DWJaySAVPkUhEls6gjlkYptAa7qA2&#10;bogXQi3zjlCxc6nW42vsNI9imGmtvjkMdjTDGlx3xDLs4IgS4aFfdLbEFJSyFWuj4RYLdp4QiUk6&#10;/G2CbVwRLwSb/Gw7oY3hVWKd5Rl0tEKaoT6QzcQa9FccxbAfzsTauCPeIG3ns7kJQxYLdcqFghql&#10;0SLLZrQYWeuMOG9nUBt/xBeohcVYQ9YxvEaoEVOjVjxVFSXwysIYRWNnPjhi6ihyWFGig4KRu/r/&#10;r/QVFltNUK8z1WNM/QrOLrNUHLXk+jn2RqDtdKgwcchi3Z3ERHfCIUM1L8r4pTGYkmRIOsfu8lQc&#10;OTLfoLbzocKEIUuhzkO8m6GgTrhAOdhMdzMm8thhoDW+h+KNVNv5UPVSxeIkB/EnMZhQBTVMMjIa&#10;M6jDXCDwdueRMWOdvIEaqz0PqclMmyhksVQzEGQKapGCFJMu3kSBMxAYoUOqjBkT5Q3UdlZU5Z8W&#10;SzXLUcKdK+5E4FWQXKnLEWkG5Z06zGeBfffOVNvrPhEMf78wi3IaoD/fVpiFIhjfvDI7TQbVuwbq&#10;SZhlx9lpmAXOxjeU7RSZMEHIYiuNWgPNm1DqKpb+z6i7Y8aixKmV9o4io5dbLQ6Z8p8WW2lZdsKp&#10;pAURNao6Bap9L3Q3T/DOhjM2VDHxPlFkkZ0iw/D30d2v4OxWdxvD5IvbHdkpMgyvQZmCaTQv0QKd&#10;JiHe4ZsLdI4WKi6DaWOdvIHaTpGhOmgN1BypCyQqlepOsJnMkGYR6oQdvoPDx5cSvEHazpBFJv5Y&#10;6pBlMShQBTXet9LpkolDFuaIsR2Socpt8MpK2xky0JRrhBr6GzlLevWDHDI0LUFjk5n+Jt8blKsz&#10;h2ysafdGqu0MmeoAttj3Bj2W4+U8CTRPUp5Kyz/KtEiiiDuVaWOfvAHaTpCpGr/FQKsCUZ3L4iwS&#10;uXLyRqip5ATNqRzKtDFQ3kBtJ8giE4cst9QoEFVSHfIwUfmECdRhHuV4oNypb2OgvIHazpJFJg5Z&#10;CDW6BOY6w8GyPOWZ1JdTqEMqF3YItXcsGdUDWFgyDK9xykba+xWcnVInqvWCT6436GgryusIMnK9&#10;RcZUlMXSFNUlc4FmXHW/clUZOlY5+6K7YztLhuE1As2jNEI5t7TSLEEzX/VK36i6yUnLUK3mzkob&#10;4+QN0naSTMngCt8bNcBog6CgjhFkwWLj0RmhRsGRQGtnd1CPVc7eQG1nyVRb8sVQT6y0HWenVnos&#10;cPYGZTtBFpv4Y6HbTW9b4lEh3oRFIRp4zAWagmmSeFdWeqxy9gZqO0GG96XWWGl6fyNFNktBzbPw&#10;sn03tSrCA+UOau8oMvT0s/re62rIJrpb4ix1xNRGu9Xd3rFj1F3bFkevY8dYHKOOGw8QqW4Wpxdd&#10;2rlI0B/SITk21jd7o7rt5Bhoq3WqG2msDK+iS6jR4BcCPnO78QDk6LzgTnUb4+QL1ImdHMPwSqjR&#10;8EKXkKHKO1EZ0InypnenXeaxxvpmb5C2E2SqQGRxgCX9MUTTUqhTfMvGRdfuEO9kJS49b2OfvEHa&#10;zo/BaV4j06M7ZofZrTdmTJM3INupMSSM14DM0BJ0oLuRfM4zaRBHvY13WRkpc2cWeqxt9gZoQ4yp&#10;lq9wkRS78cc6m+jMScdXFTCj46tu8TVCarqdEjVy3sR0+CbBaSvSN9Tx9Xyy39L39fyIoYvr8Puy&#10;+6v0gl7tE6sy+vN9tlXTlZDBb+/rKnu3QqRe7e2qmrKqc1q+ENDW29XSiFX3dh1Og86psonqtH2r&#10;bsK6rCPsm+jtKr99El+6Kddff0Eofavn9G/ZC3b8GtMP/wUAAP//AwBQSwMEFAAGAAgAAAAhABgN&#10;BmzdAAAABQEAAA8AAABkcnMvZG93bnJldi54bWxMj0FLw0AQhe+C/2EZwZvdpMUQ02xKKeqpCLaC&#10;9DbNTpPQ7GzIbpP037t6qZeBx3u8902+mkwrBupdY1lBPItAEJdWN1wp+Nq/PaUgnEfW2FomBVdy&#10;sCru73LMtB35k4adr0QoYZehgtr7LpPSlTUZdDPbEQfvZHuDPsi+krrHMZSbVs6jKJEGGw4LNXa0&#10;qak87y5GwfuI43oRvw7b82lzPeyfP763MSn1+DCtlyA8Tf4Whl/8gA5FYDraC2snWgXhEf93g5fM&#10;0wTEUcFLmixAFrn8T1/8AAAA//8DAFBLAQItABQABgAIAAAAIQC2gziS/gAAAOEBAAATAAAAAAAA&#10;AAAAAAAAAAAAAABbQ29udGVudF9UeXBlc10ueG1sUEsBAi0AFAAGAAgAAAAhADj9If/WAAAAlAEA&#10;AAsAAAAAAAAAAAAAAAAALwEAAF9yZWxzLy5yZWxzUEsBAi0AFAAGAAgAAAAhAC+g5j8rCwAADnUA&#10;AA4AAAAAAAAAAAAAAAAALgIAAGRycy9lMm9Eb2MueG1sUEsBAi0AFAAGAAgAAAAhABgNBmzdAAAA&#10;BQEAAA8AAAAAAAAAAAAAAAAAhQ0AAGRycy9kb3ducmV2LnhtbFBLBQYAAAAABAAEAPMAAACPDgAA&#10;AAA=&#10;">
                <v:rect id="Rectangle 15909" o:spid="_x0000_s2266"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cxQAAAN4AAAAPAAAAZHJzL2Rvd25yZXYueG1sRE9LawIx&#10;EL4L/Q9hCt4024JFV7NSLNI99KK10OOwmX3YzSRsorv6640g9DYf33NW68G04kydbywreJkmIIgL&#10;qxuuFBy+t5M5CB+QNbaWScGFPKyzp9EKU2173tF5HyoRQ9inqKAOwaVS+qImg35qHXHkStsZDBF2&#10;ldQd9jHctPI1Sd6kwYZjQ42ONjUVf/uTUfD7wS7f9rIorxv3dczn7efp8KPU+Hl4X4IINIR/8cOd&#10;6zh/tkgWcH8n3iCzGwAAAP//AwBQSwECLQAUAAYACAAAACEA2+H2y+4AAACFAQAAEwAAAAAAAAAA&#10;AAAAAAAAAAAAW0NvbnRlbnRfVHlwZXNdLnhtbFBLAQItABQABgAIAAAAIQBa9CxbvwAAABUBAAAL&#10;AAAAAAAAAAAAAAAAAB8BAABfcmVscy8ucmVsc1BLAQItABQABgAIAAAAIQD/dILcxQAAAN4AAAAP&#10;AAAAAAAAAAAAAAAAAAcCAABkcnMvZG93bnJldi54bWxQSwUGAAAAAAMAAwC3AAAA+QIAAAAA&#10;" filled="f" stroked="f">
                  <v:textbox inset="0,0,0,0">
                    <w:txbxContent>
                      <w:p w14:paraId="683EFF43" w14:textId="77777777" w:rsidR="00B32EF2" w:rsidRDefault="00000000">
                        <w:r>
                          <w:rPr>
                            <w:rFonts w:ascii="Times New Roman" w:eastAsia="Times New Roman" w:hAnsi="Times New Roman" w:cs="Times New Roman"/>
                          </w:rPr>
                          <w:t>87</w:t>
                        </w:r>
                      </w:p>
                    </w:txbxContent>
                  </v:textbox>
                </v:rect>
                <v:rect id="Rectangle 15910" o:spid="_x0000_s2267" style="position:absolute;left:-13172;top:61199;width:530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72cyAAAAN4AAAAPAAAAZHJzL2Rvd25yZXYueG1sRI9Pa8JA&#10;EMXvQr/DMoXedGOhxUZXKRZpDr34p+BxyI5JNDu7ZFeT9tM7h0JvM8yb995vsRpcq27Uxcazgekk&#10;A0VcettwZeCw34xnoGJCtth6JgM/FGG1fBgtMLe+5y3ddqlSYsIxRwN1SiHXOpY1OYwTH4jldvKd&#10;wyRrV2nbYS/mrtXPWfaqHTYsCTUGWtdUXnZXZ+D4waHY9Lo8/a7D17mYtZ/Xw7cxT4/D+xxUoiH9&#10;i/++Cyv1X96mAiA4MoNe3gEAAP//AwBQSwECLQAUAAYACAAAACEA2+H2y+4AAACFAQAAEwAAAAAA&#10;AAAAAAAAAAAAAAAAW0NvbnRlbnRfVHlwZXNdLnhtbFBLAQItABQABgAIAAAAIQBa9CxbvwAAABUB&#10;AAALAAAAAAAAAAAAAAAAAB8BAABfcmVscy8ucmVsc1BLAQItABQABgAIAAAAIQDrl72cyAAAAN4A&#10;AAAPAAAAAAAAAAAAAAAAAAcCAABkcnMvZG93bnJldi54bWxQSwUGAAAAAAMAAwC3AAAA/AIAAAAA&#10;" filled="f" stroked="f">
                  <v:textbox inset="0,0,0,0">
                    <w:txbxContent>
                      <w:p w14:paraId="78541A95" w14:textId="77777777" w:rsidR="00B32EF2" w:rsidRDefault="00000000">
                        <w:r>
                          <w:rPr>
                            <w:rFonts w:ascii="Arial" w:eastAsia="Arial" w:hAnsi="Arial" w:cs="Arial"/>
                            <w:sz w:val="18"/>
                          </w:rPr>
                          <w:t xml:space="preserve">di primo grado entro quindici giorni dalla lettura del dispositivo. Il segretario fa </w:t>
                        </w:r>
                      </w:p>
                    </w:txbxContent>
                  </v:textbox>
                </v:rect>
                <v:rect id="Rectangle 15911" o:spid="_x0000_s2268" style="position:absolute;left:-13172;top:599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xgHxAAAAN4AAAAPAAAAZHJzL2Rvd25yZXYueG1sRE9Na8JA&#10;EL0X/A/LCL3VTYQWG11FFGkOXrQKHofsmESzs0t2Nam/visUepvH+5zZojeNuFPra8sK0lECgriw&#10;uuZSweF78zYB4QOyxsYyKfghD4v54GWGmbYd7+i+D6WIIewzVFCF4DIpfVGRQT+yjjhyZ9saDBG2&#10;pdQtdjHcNHKcJB/SYM2xoUJHq4qK6/5mFJzW7PJNJ4vzY+W2l3zSfN0OR6Veh/1yCiJQH/7Ff+5c&#10;x/nvn2kKz3fiDXL+CwAA//8DAFBLAQItABQABgAIAAAAIQDb4fbL7gAAAIUBAAATAAAAAAAAAAAA&#10;AAAAAAAAAABbQ29udGVudF9UeXBlc10ueG1sUEsBAi0AFAAGAAgAAAAhAFr0LFu/AAAAFQEAAAsA&#10;AAAAAAAAAAAAAAAAHwEAAF9yZWxzLy5yZWxzUEsBAi0AFAAGAAgAAAAhAITbGAfEAAAA3gAAAA8A&#10;AAAAAAAAAAAAAAAABwIAAGRycy9kb3ducmV2LnhtbFBLBQYAAAAAAwADALcAAAD4AgAAAAA=&#10;" filled="f" stroked="f">
                  <v:textbox inset="0,0,0,0">
                    <w:txbxContent>
                      <w:p w14:paraId="2B42CC68" w14:textId="77777777" w:rsidR="00B32EF2" w:rsidRDefault="00000000">
                        <w:r>
                          <w:rPr>
                            <w:rFonts w:ascii="Arial" w:eastAsia="Arial" w:hAnsi="Arial" w:cs="Arial"/>
                            <w:sz w:val="18"/>
                          </w:rPr>
                          <w:t xml:space="preserve">risultare l’avvenuto deposito apponendo sulla sentenza la propria firma e la </w:t>
                        </w:r>
                      </w:p>
                    </w:txbxContent>
                  </v:textbox>
                </v:rect>
                <v:rect id="Rectangle 15912" o:spid="_x0000_s2269" style="position:absolute;left:6014;top:58733;width:3390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YZwxAAAAN4AAAAPAAAAZHJzL2Rvd25yZXYueG1sRE9Li8Iw&#10;EL4L+x/CLHhbU4UVrUZZXGR78LI+wOPQjG21mYQm2uqvNwsL3ubje8582Zla3KjxlWUFw0ECgji3&#10;uuJCwX63/piA8AFZY22ZFNzJw3Lx1ptjqm3Lv3TbhkLEEPYpKihDcKmUPi/JoB9YRxy5k20Mhgib&#10;QuoG2xhuajlKkrE0WHFsKNHRqqT8sr0aBcdvdtm6lfnpsXKbczapf677g1L99+5rBiJQF17if3em&#10;4/zP6XAEf+/EG+TiCQAA//8DAFBLAQItABQABgAIAAAAIQDb4fbL7gAAAIUBAAATAAAAAAAAAAAA&#10;AAAAAAAAAABbQ29udGVudF9UeXBlc10ueG1sUEsBAi0AFAAGAAgAAAAhAFr0LFu/AAAAFQEAAAsA&#10;AAAAAAAAAAAAAAAAHwEAAF9yZWxzLy5yZWxzUEsBAi0AFAAGAAgAAAAhAHQJhnDEAAAA3gAAAA8A&#10;AAAAAAAAAAAAAAAABwIAAGRycy9kb3ducmV2LnhtbFBLBQYAAAAAAwADALcAAAD4AgAAAAA=&#10;" filled="f" stroked="f">
                  <v:textbox inset="0,0,0,0">
                    <w:txbxContent>
                      <w:p w14:paraId="24D6B46A" w14:textId="77777777" w:rsidR="00B32EF2" w:rsidRDefault="00000000">
                        <w:r>
                          <w:rPr>
                            <w:rFonts w:ascii="Arial" w:eastAsia="Arial" w:hAnsi="Arial" w:cs="Arial"/>
                            <w:sz w:val="18"/>
                          </w:rPr>
                          <w:t xml:space="preserve">data e ne dà immediata comunicazione alle parti. </w:t>
                        </w:r>
                      </w:p>
                    </w:txbxContent>
                  </v:textbox>
                </v:rect>
                <v:rect id="Rectangle 200253" o:spid="_x0000_s2270" style="position:absolute;left:-13697;top:57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x78xwAAAN8AAAAPAAAAZHJzL2Rvd25yZXYueG1sRI9Pa8JA&#10;FMTvhX6H5RV6q5sqFUndSLGIOXhRU+jxkX3502bfLtnVpH76riB4HGbmN8xyNZpOnKn3rWUFr5ME&#10;BHFpdcu1guK4eVmA8AFZY2eZFPyRh1X2+LDEVNuB93Q+hFpECPsUFTQhuFRKXzZk0E+sI45eZXuD&#10;Icq+lrrHIcJNJ6dJMpcGW44LDTpaN1T+Hk5Gwfcnu3wzyLK6rN3uJ19021PxpdTz0/jxDiLQGO7h&#10;WzvXCiJx+jaD65/4BWT2DwAA//8DAFBLAQItABQABgAIAAAAIQDb4fbL7gAAAIUBAAATAAAAAAAA&#10;AAAAAAAAAAAAAABbQ29udGVudF9UeXBlc10ueG1sUEsBAi0AFAAGAAgAAAAhAFr0LFu/AAAAFQEA&#10;AAsAAAAAAAAAAAAAAAAAHwEAAF9yZWxzLy5yZWxzUEsBAi0AFAAGAAgAAAAhABHLHvzHAAAA3wAA&#10;AA8AAAAAAAAAAAAAAAAABwIAAGRycy9kb3ducmV2LnhtbFBLBQYAAAAAAwADALcAAAD7AgAAAAA=&#10;" filled="f" stroked="f">
                  <v:textbox inset="0,0,0,0">
                    <w:txbxContent>
                      <w:p w14:paraId="7300F27A" w14:textId="77777777" w:rsidR="00B32EF2" w:rsidRDefault="00000000">
                        <w:r>
                          <w:rPr>
                            <w:rFonts w:ascii="Arial" w:eastAsia="Arial" w:hAnsi="Arial" w:cs="Arial"/>
                            <w:sz w:val="18"/>
                          </w:rPr>
                          <w:t xml:space="preserve">. In caso di impugnazione della sentenza pronunciata sul ricorso avverso uno </w:t>
                        </w:r>
                      </w:p>
                    </w:txbxContent>
                  </v:textbox>
                </v:rect>
                <v:rect id="Rectangle 200252" o:spid="_x0000_s2271" style="position:absolute;left:26109;top:574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tnxgAAAN8AAAAPAAAAZHJzL2Rvd25yZXYueG1sRI9Ba8JA&#10;FITvgv9heUJvummgRVJXKYqYQy/VCD0+ss8kbfbtkl1N6q93BcHjMDPfMIvVYFpxoc43lhW8zhIQ&#10;xKXVDVcKisN2OgfhA7LG1jIp+CcPq+V4tMBM256/6bIPlYgQ9hkqqENwmZS+rMmgn1lHHL2T7QyG&#10;KLtK6g77CDetTJPkXRpsOC7U6GhdU/m3PxsFPxt2+baX5em6dl+/+bzdnYujUi+T4fMDRKAhPMOP&#10;dq4VRGL6lsL9T/wCcnkDAAD//wMAUEsBAi0AFAAGAAgAAAAhANvh9svuAAAAhQEAABMAAAAAAAAA&#10;AAAAAAAAAAAAAFtDb250ZW50X1R5cGVzXS54bWxQSwECLQAUAAYACAAAACEAWvQsW78AAAAVAQAA&#10;CwAAAAAAAAAAAAAAAAAfAQAAX3JlbHMvLnJlbHNQSwECLQAUAAYACAAAACEAfoe7Z8YAAADfAAAA&#10;DwAAAAAAAAAAAAAAAAAHAgAAZHJzL2Rvd25yZXYueG1sUEsFBgAAAAADAAMAtwAAAPoCAAAAAA==&#10;" filled="f" stroked="f">
                  <v:textbox inset="0,0,0,0">
                    <w:txbxContent>
                      <w:p w14:paraId="24CD04EB" w14:textId="77777777" w:rsidR="00B32EF2" w:rsidRDefault="00000000">
                        <w:r>
                          <w:rPr>
                            <w:rFonts w:ascii="Arial" w:eastAsia="Arial" w:hAnsi="Arial" w:cs="Arial"/>
                            <w:sz w:val="18"/>
                          </w:rPr>
                          <w:t>7</w:t>
                        </w:r>
                      </w:p>
                    </w:txbxContent>
                  </v:textbox>
                </v:rect>
                <v:rect id="Rectangle 15914" o:spid="_x0000_s2272" style="position:absolute;left:-13172;top:562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LufxQAAAN4AAAAPAAAAZHJzL2Rvd25yZXYueG1sRE9La8JA&#10;EL4X/A/LCN7qxmJFo6uIRZpDL/UBHofsmESzs0t2NWl/fbcgeJuP7zmLVWdqcafGV5YVjIYJCOLc&#10;6ooLBYf99nUKwgdkjbVlUvBDHlbL3ssCU21b/qb7LhQihrBPUUEZgkul9HlJBv3QOuLInW1jMETY&#10;FFI32MZwU8u3JJlIgxXHhhIdbUrKr7ubUXD6YJdtW5mffzfu65JN68/b4ajUoN+t5yACdeEpfrgz&#10;Hee/z0Zj+H8n3iCXfwAAAP//AwBQSwECLQAUAAYACAAAACEA2+H2y+4AAACFAQAAEwAAAAAAAAAA&#10;AAAAAAAAAAAAW0NvbnRlbnRfVHlwZXNdLnhtbFBLAQItABQABgAIAAAAIQBa9CxbvwAAABUBAAAL&#10;AAAAAAAAAAAAAAAAAB8BAABfcmVscy8ucmVsc1BLAQItABQABgAIAAAAIQCUrLufxQAAAN4AAAAP&#10;AAAAAAAAAAAAAAAAAAcCAABkcnMvZG93bnJldi54bWxQSwUGAAAAAAMAAwC3AAAA+QIAAAAA&#10;" filled="f" stroked="f">
                  <v:textbox inset="0,0,0,0">
                    <w:txbxContent>
                      <w:p w14:paraId="55A217FA" w14:textId="77777777" w:rsidR="00B32EF2" w:rsidRDefault="00000000">
                        <w:r>
                          <w:rPr>
                            <w:rFonts w:ascii="Arial" w:eastAsia="Arial" w:hAnsi="Arial" w:cs="Arial"/>
                            <w:sz w:val="18"/>
                          </w:rPr>
                          <w:t xml:space="preserve">degli atti di cui al comma 1, tutti i termini del giudizio di appello davanti alla </w:t>
                        </w:r>
                      </w:p>
                    </w:txbxContent>
                  </v:textbox>
                </v:rect>
                <v:rect id="Rectangle 15915" o:spid="_x0000_s2273" style="position:absolute;left:-13171;top:550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B4ExAAAAN4AAAAPAAAAZHJzL2Rvd25yZXYueG1sRE9Li8Iw&#10;EL4v7H8II3jT1AUX7RpFXGR78OIL9jg0Y1ttJqGJtvrrN4Kwt/n4njNbdKYWN2p8ZVnBaJiAIM6t&#10;rrhQcNivBxMQPiBrrC2Tgjt5WMzf32aYatvylm67UIgYwj5FBWUILpXS5yUZ9EPriCN3so3BEGFT&#10;SN1gG8NNLT+S5FMarDg2lOhoVVJ+2V2Ngt9vdtm6lfnpsXKbczapf66Ho1L9Xrf8AhGoC//ilzvT&#10;cf54OhrD8514g5z/AQAA//8DAFBLAQItABQABgAIAAAAIQDb4fbL7gAAAIUBAAATAAAAAAAAAAAA&#10;AAAAAAAAAABbQ29udGVudF9UeXBlc10ueG1sUEsBAi0AFAAGAAgAAAAhAFr0LFu/AAAAFQEAAAsA&#10;AAAAAAAAAAAAAAAAHwEAAF9yZWxzLy5yZWxzUEsBAi0AFAAGAAgAAAAhAPvgHgTEAAAA3gAAAA8A&#10;AAAAAAAAAAAAAAAABwIAAGRycy9kb3ducmV2LnhtbFBLBQYAAAAAAwADALcAAAD4AgAAAAA=&#10;" filled="f" stroked="f">
                  <v:textbox inset="0,0,0,0">
                    <w:txbxContent>
                      <w:p w14:paraId="05DC94F0" w14:textId="77777777" w:rsidR="00B32EF2" w:rsidRDefault="00000000">
                        <w:r>
                          <w:rPr>
                            <w:rFonts w:ascii="Arial" w:eastAsia="Arial" w:hAnsi="Arial" w:cs="Arial"/>
                            <w:sz w:val="18"/>
                          </w:rPr>
                          <w:t xml:space="preserve">corte di giustizia tributaria di secondo grado, ad eccezione di quello stabilito </w:t>
                        </w:r>
                      </w:p>
                    </w:txbxContent>
                  </v:textbox>
                </v:rect>
                <v:rect id="Rectangle 15916" o:spid="_x0000_s2274" style="position:absolute;left:-13174;top:53799;width:531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oBzxAAAAN4AAAAPAAAAZHJzL2Rvd25yZXYueG1sRE9Li8Iw&#10;EL4L+x/CLHhbUxcUrUZZXGR78LI+wOPQjG21mYQm2uqvNwsL3ubje8582Zla3KjxlWUFw0ECgji3&#10;uuJCwX63/piA8AFZY22ZFNzJw3Lx1ptjqm3Lv3TbhkLEEPYpKihDcKmUPi/JoB9YRxy5k20Mhgib&#10;QuoG2xhuavmZJGNpsOLYUKKjVUn5ZXs1Co7f7LJ1K/PTY+U252xS/1z3B6X6793XDESgLrzE/+5M&#10;x/mj6XAMf+/EG+TiCQAA//8DAFBLAQItABQABgAIAAAAIQDb4fbL7gAAAIUBAAATAAAAAAAAAAAA&#10;AAAAAAAAAABbQ29udGVudF9UeXBlc10ueG1sUEsBAi0AFAAGAAgAAAAhAFr0LFu/AAAAFQEAAAsA&#10;AAAAAAAAAAAAAAAAHwEAAF9yZWxzLy5yZWxzUEsBAi0AFAAGAAgAAAAhAAsygHPEAAAA3gAAAA8A&#10;AAAAAAAAAAAAAAAABwIAAGRycy9kb3ducmV2LnhtbFBLBQYAAAAAAwADALcAAAD4AgAAAAA=&#10;" filled="f" stroked="f">
                  <v:textbox inset="0,0,0,0">
                    <w:txbxContent>
                      <w:p w14:paraId="16EE45A1" w14:textId="77777777" w:rsidR="00B32EF2" w:rsidRDefault="00000000">
                        <w:r>
                          <w:rPr>
                            <w:rFonts w:ascii="Arial" w:eastAsia="Arial" w:hAnsi="Arial" w:cs="Arial"/>
                            <w:sz w:val="18"/>
                          </w:rPr>
                          <w:t xml:space="preserve">per la proposizione del ricorso, sono ridotti alla metà. Nel processo di appello </w:t>
                        </w:r>
                      </w:p>
                    </w:txbxContent>
                  </v:textbox>
                </v:rect>
                <v:rect id="Rectangle 15917" o:spid="_x0000_s2275" style="position:absolute;left:-13172;top:525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iXoxQAAAN4AAAAPAAAAZHJzL2Rvd25yZXYueG1sRE9La8JA&#10;EL4X/A/LCN7qxoJVo6uIRZpDL/UBHofsmESzs0t2NWl/fbcgeJuP7zmLVWdqcafGV5YVjIYJCOLc&#10;6ooLBYf99nUKwgdkjbVlUvBDHlbL3ssCU21b/qb7LhQihrBPUUEZgkul9HlJBv3QOuLInW1jMETY&#10;FFI32MZwU8u3JHmXBiuODSU62pSUX3c3o+D0wS7btjI//27c1yWb1p+3w1GpQb9bz0EE6sJT/HBn&#10;Os4fz0YT+H8n3iCXfwAAAP//AwBQSwECLQAUAAYACAAAACEA2+H2y+4AAACFAQAAEwAAAAAAAAAA&#10;AAAAAAAAAAAAW0NvbnRlbnRfVHlwZXNdLnhtbFBLAQItABQABgAIAAAAIQBa9CxbvwAAABUBAAAL&#10;AAAAAAAAAAAAAAAAAB8BAABfcmVscy8ucmVsc1BLAQItABQABgAIAAAAIQBkfiXoxQAAAN4AAAAP&#10;AAAAAAAAAAAAAAAAAAcCAABkcnMvZG93bnJldi54bWxQSwUGAAAAAAMAAwC3AAAA+QIAAAAA&#10;" filled="f" stroked="f">
                  <v:textbox inset="0,0,0,0">
                    <w:txbxContent>
                      <w:p w14:paraId="534E7063" w14:textId="77777777" w:rsidR="00B32EF2" w:rsidRDefault="00000000">
                        <w:r>
                          <w:rPr>
                            <w:rFonts w:ascii="Arial" w:eastAsia="Arial" w:hAnsi="Arial" w:cs="Arial"/>
                            <w:sz w:val="18"/>
                          </w:rPr>
                          <w:t xml:space="preserve">le controversie relative agli atti di cui al comma 1 hanno priorità assoluta nella </w:t>
                        </w:r>
                      </w:p>
                    </w:txbxContent>
                  </v:textbox>
                </v:rect>
                <v:rect id="Rectangle 15918" o:spid="_x0000_s2276" style="position:absolute;left:-12191;top:51333;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bGayAAAAN4AAAAPAAAAZHJzL2Rvd25yZXYueG1sRI9Pa8JA&#10;EMXvQr/DMoXedGOhxUZXKRZpDr34p+BxyI5JNDu7ZFeT9tM7h0JvM7w37/1msRpcq27Uxcazgekk&#10;A0VcettwZeCw34xnoGJCtth6JgM/FGG1fBgtMLe+5y3ddqlSEsIxRwN1SiHXOpY1OYwTH4hFO/nO&#10;YZK1q7TtsJdw1+rnLHvVDhuWhhoDrWsqL7urM3D84FBsel2eftfh61zM2s/r4duYp8fhfQ4q0ZD+&#10;zX/XhRX8l7ep8Mo7MoNe3gEAAP//AwBQSwECLQAUAAYACAAAACEA2+H2y+4AAACFAQAAEwAAAAAA&#10;AAAAAAAAAAAAAAAAW0NvbnRlbnRfVHlwZXNdLnhtbFBLAQItABQABgAIAAAAIQBa9CxbvwAAABUB&#10;AAALAAAAAAAAAAAAAAAAAB8BAABfcmVscy8ucmVsc1BLAQItABQABgAIAAAAIQAV4bGayAAAAN4A&#10;AAAPAAAAAAAAAAAAAAAAAAcCAABkcnMvZG93bnJldi54bWxQSwUGAAAAAAMAAwC3AAAA/AIAAAAA&#10;" filled="f" stroked="f">
                  <v:textbox inset="0,0,0,0">
                    <w:txbxContent>
                      <w:p w14:paraId="7043C179" w14:textId="77777777" w:rsidR="00B32EF2" w:rsidRDefault="00000000">
                        <w:r>
                          <w:rPr>
                            <w:rFonts w:ascii="Arial" w:eastAsia="Arial" w:hAnsi="Arial" w:cs="Arial"/>
                            <w:sz w:val="18"/>
                          </w:rPr>
                          <w:t>trattazione. Si applicano le disposizioni di cui ai commi 4, terzo e quarto pe</w:t>
                        </w:r>
                      </w:p>
                    </w:txbxContent>
                  </v:textbox>
                </v:rect>
                <v:rect id="Rectangle 15919" o:spid="_x0000_s2277" style="position:absolute;left:192;top:513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RQBxAAAAN4AAAAPAAAAZHJzL2Rvd25yZXYueG1sRE9Li8Iw&#10;EL4v7H8Is+BtTRVctBplcRF72Isv8Dg0Y1ttJqGJtvrrzcKCt/n4njNbdKYWN2p8ZVnBoJ+AIM6t&#10;rrhQsN+tPscgfEDWWFsmBXfysJi/v80w1bblDd22oRAxhH2KCsoQXCqlz0sy6PvWEUfuZBuDIcKm&#10;kLrBNoabWg6T5EsarDg2lOhoWVJ+2V6NguMPu2zVyvz0WLrfczau19f9QaneR/c9BRGoCy/xvzvT&#10;cf5oMpjA3zvxBjl/AgAA//8DAFBLAQItABQABgAIAAAAIQDb4fbL7gAAAIUBAAATAAAAAAAAAAAA&#10;AAAAAAAAAABbQ29udGVudF9UeXBlc10ueG1sUEsBAi0AFAAGAAgAAAAhAFr0LFu/AAAAFQEAAAsA&#10;AAAAAAAAAAAAAAAAHwEAAF9yZWxzLy5yZWxzUEsBAi0AFAAGAAgAAAAhAHqtFAHEAAAA3gAAAA8A&#10;AAAAAAAAAAAAAAAABwIAAGRycy9kb3ducmV2LnhtbFBLBQYAAAAAAwADALcAAAD4AgAAAAA=&#10;" filled="f" stroked="f">
                  <v:textbox inset="0,0,0,0">
                    <w:txbxContent>
                      <w:p w14:paraId="3BC24BBA" w14:textId="77777777" w:rsidR="00B32EF2" w:rsidRDefault="00000000">
                        <w:r>
                          <w:rPr>
                            <w:rFonts w:ascii="Arial" w:eastAsia="Arial" w:hAnsi="Arial" w:cs="Arial"/>
                            <w:sz w:val="18"/>
                          </w:rPr>
                          <w:t>-</w:t>
                        </w:r>
                      </w:p>
                    </w:txbxContent>
                  </v:textbox>
                </v:rect>
                <v:rect id="Rectangle 15920" o:spid="_x0000_s2278" style="position:absolute;left:31817;top:50099;width:81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chyAAAAN4AAAAPAAAAZHJzL2Rvd25yZXYueG1sRI9Pa8JA&#10;EMXvhX6HZQre6kbBYlNXEYs0h178U+hxyI5J2uzskl1N2k/vHARvM8yb995vsRpcqy7Uxcazgck4&#10;A0VcettwZeB42D7PQcWEbLH1TAb+KMJq+fiwwNz6nnd02adKiQnHHA3UKYVc61jW5DCOfSCW28l3&#10;DpOsXaVth72Yu1ZPs+xFO2xYEmoMtKmp/N2fnYHvdw7Fttfl6X8TPn+KeftxPn4ZM3oa1m+gEg3p&#10;Lr59F1bqz16nAiA4MoNeXgEAAP//AwBQSwECLQAUAAYACAAAACEA2+H2y+4AAACFAQAAEwAAAAAA&#10;AAAAAAAAAAAAAAAAW0NvbnRlbnRfVHlwZXNdLnhtbFBLAQItABQABgAIAAAAIQBa9CxbvwAAABUB&#10;AAALAAAAAAAAAAAAAAAAAB8BAABfcmVscy8ucmVsc1BLAQItABQABgAIAAAAIQAl+3chyAAAAN4A&#10;AAAPAAAAAAAAAAAAAAAAAAcCAABkcnMvZG93bnJldi54bWxQSwUGAAAAAAMAAwC3AAAA/AIAAAAA&#10;" filled="f" stroked="f">
                  <v:textbox inset="0,0,0,0">
                    <w:txbxContent>
                      <w:p w14:paraId="58159120" w14:textId="77777777" w:rsidR="00B32EF2" w:rsidRDefault="00000000">
                        <w:r>
                          <w:rPr>
                            <w:rFonts w:ascii="Arial" w:eastAsia="Arial" w:hAnsi="Arial" w:cs="Arial"/>
                            <w:sz w:val="18"/>
                          </w:rPr>
                          <w:t>riodo, 5 e 6.</w:t>
                        </w:r>
                      </w:p>
                    </w:txbxContent>
                  </v:textbox>
                </v:rect>
                <v:shape id="Shape 207796" o:spid="_x0000_s2279" style="position:absolute;left:318;top:4821;width:39600;height:44730;visibility:visible;mso-wrap-style:square;v-text-anchor:top" coordsize="3960000,4472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DXgxwAAAN8AAAAPAAAAZHJzL2Rvd25yZXYueG1sRI9Ba8JA&#10;FITvBf/D8gQvpW4qojbNJhRB8Frb6vWRfU1ism/X7Griv+8WCj0OM/MNkxWj6cSNet9YVvA8T0AQ&#10;l1Y3XCn4/Ng9bUD4gKyxs0wK7uShyCcPGabaDvxOt0OoRISwT1FBHYJLpfRlTQb93Dri6H3b3mCI&#10;sq+k7nGIcNPJRZKspMGG40KNjrY1le3hahQ8atd+nXZtuTzb69EdL/txWy2Vmk3Ht1cQgcbwH/5r&#10;77WCRbJev6zg90/8AjL/AQAA//8DAFBLAQItABQABgAIAAAAIQDb4fbL7gAAAIUBAAATAAAAAAAA&#10;AAAAAAAAAAAAAABbQ29udGVudF9UeXBlc10ueG1sUEsBAi0AFAAGAAgAAAAhAFr0LFu/AAAAFQEA&#10;AAsAAAAAAAAAAAAAAAAAHwEAAF9yZWxzLy5yZWxzUEsBAi0AFAAGAAgAAAAhAOncNeDHAAAA3wAA&#10;AA8AAAAAAAAAAAAAAAAABwIAAGRycy9kb3ducmV2LnhtbFBLBQYAAAAAAwADALcAAAD7AgAAAAA=&#10;" path="m,l3960000,r,4472902l,4472902,,e" fillcolor="#c3c3c3" stroked="f" strokeweight="0">
                  <v:stroke miterlimit="83231f" joinstyle="miter"/>
                  <v:path arrowok="t" textboxrect="0,0,3960000,4472902"/>
                </v:shape>
                <v:rect id="Rectangle 15922" o:spid="_x0000_s2280" style="position:absolute;left:23287;top:47338;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UzNxAAAAN4AAAAPAAAAZHJzL2Rvd25yZXYueG1sRE9Na8JA&#10;EL0X/A/LCN7qxkCLja4iijQHL7UKHofsmESzs0t2NdFf3y0UepvH+5z5sjeNuFPra8sKJuMEBHFh&#10;dc2lgsP39nUKwgdkjY1lUvAgD8vF4GWOmbYdf9F9H0oRQ9hnqKAKwWVS+qIig35sHXHkzrY1GCJs&#10;S6lb7GK4aWSaJO/SYM2xoUJH64qK6/5mFJw27PJtJ4vzc+12l3zafN4OR6VGw341AxGoD//iP3eu&#10;4/y3jzSF33fiDXLxAwAA//8DAFBLAQItABQABgAIAAAAIQDb4fbL7gAAAIUBAAATAAAAAAAAAAAA&#10;AAAAAAAAAABbQ29udGVudF9UeXBlc10ueG1sUEsBAi0AFAAGAAgAAAAhAFr0LFu/AAAAFQEAAAsA&#10;AAAAAAAAAAAAAAAAHwEAAF9yZWxzLy5yZWxzUEsBAi0AFAAGAAgAAAAhALplTM3EAAAA3gAAAA8A&#10;AAAAAAAAAAAAAAAABwIAAGRycy9kb3ducmV2LnhtbFBLBQYAAAAAAwADALcAAAD4AgAAAAA=&#10;" filled="f" stroked="f">
                  <v:textbox inset="0,0,0,0">
                    <w:txbxContent>
                      <w:p w14:paraId="51DC3E18" w14:textId="77777777" w:rsidR="00B32EF2" w:rsidRDefault="00000000">
                        <w:r>
                          <w:rPr>
                            <w:rFonts w:ascii="Arial" w:eastAsia="Arial" w:hAnsi="Arial" w:cs="Arial"/>
                            <w:b/>
                            <w:i/>
                            <w:color w:val="2A2A2A"/>
                            <w:sz w:val="18"/>
                          </w:rPr>
                          <w:t>NORME RICHIAMATE</w:t>
                        </w:r>
                      </w:p>
                    </w:txbxContent>
                  </v:textbox>
                </v:rect>
                <v:rect id="Rectangle 15923" o:spid="_x0000_s2281" style="position:absolute;left:-10894;top:46105;width:500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lWxQAAAN4AAAAPAAAAZHJzL2Rvd25yZXYueG1sRE9Na8JA&#10;EL0L/Q/LFLzpRqVio6uIIs3BS62FHofsmESzs0t2NWl/vVsQvM3jfc5i1Zla3KjxlWUFo2ECgji3&#10;uuJCwfFrN5iB8AFZY22ZFPySh9XypbfAVNuWP+l2CIWIIexTVFCG4FIpfV6SQT+0jjhyJ9sYDBE2&#10;hdQNtjHc1HKcJFNpsOLYUKKjTUn55XA1Cn627LJdK/PT38btz9ms/rgev5Xqv3brOYhAXXiKH+5M&#10;x/lv7+MJ/L8Tb5DLOwAAAP//AwBQSwECLQAUAAYACAAAACEA2+H2y+4AAACFAQAAEwAAAAAAAAAA&#10;AAAAAAAAAAAAW0NvbnRlbnRfVHlwZXNdLnhtbFBLAQItABQABgAIAAAAIQBa9CxbvwAAABUBAAAL&#10;AAAAAAAAAAAAAAAAAB8BAABfcmVscy8ucmVsc1BLAQItABQABgAIAAAAIQDVKelWxQAAAN4AAAAP&#10;AAAAAAAAAAAAAAAAAAcCAABkcnMvZG93bnJldi54bWxQSwUGAAAAAAMAAwC3AAAA+QIAAAAA&#10;" filled="f" stroked="f">
                  <v:textbox inset="0,0,0,0">
                    <w:txbxContent>
                      <w:p w14:paraId="0269DB3F" w14:textId="77777777" w:rsidR="00B32EF2" w:rsidRDefault="00000000">
                        <w:r>
                          <w:rPr>
                            <w:rFonts w:ascii="Arial" w:eastAsia="Arial" w:hAnsi="Arial" w:cs="Arial"/>
                            <w:i/>
                            <w:sz w:val="18"/>
                          </w:rPr>
                          <w:t>art.16 regolamento (UE) n. 2015/1589 del Consiglio, del 13 luglio 2015 “Re</w:t>
                        </w:r>
                      </w:p>
                    </w:txbxContent>
                  </v:textbox>
                </v:rect>
                <v:rect id="Rectangle 15924" o:spid="_x0000_s2282" style="position:absolute;left:975;top:4610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HEixQAAAN4AAAAPAAAAZHJzL2Rvd25yZXYueG1sRE9Na8JA&#10;EL0L/Q/LFLzpRrFio6uIIs3BS62FHofsmESzs0t2NWl/vVsQvM3jfc5i1Zla3KjxlWUFo2ECgji3&#10;uuJCwfFrN5iB8AFZY22ZFPySh9XypbfAVNuWP+l2CIWIIexTVFCG4FIpfV6SQT+0jjhyJ9sYDBE2&#10;hdQNtjHc1HKcJFNpsOLYUKKjTUn55XA1Cn627LJdK/PT38btz9ms/rgev5Xqv3brOYhAXXiKH+5M&#10;x/lv7+MJ/L8Tb5DLOwAAAP//AwBQSwECLQAUAAYACAAAACEA2+H2y+4AAACFAQAAEwAAAAAAAAAA&#10;AAAAAAAAAAAAW0NvbnRlbnRfVHlwZXNdLnhtbFBLAQItABQABgAIAAAAIQBa9CxbvwAAABUBAAAL&#10;AAAAAAAAAAAAAAAAAB8BAABfcmVscy8ucmVsc1BLAQItABQABgAIAAAAIQBawHEixQAAAN4AAAAP&#10;AAAAAAAAAAAAAAAAAAcCAABkcnMvZG93bnJldi54bWxQSwUGAAAAAAMAAwC3AAAA+QIAAAAA&#10;" filled="f" stroked="f">
                  <v:textbox inset="0,0,0,0">
                    <w:txbxContent>
                      <w:p w14:paraId="2C4408B8" w14:textId="77777777" w:rsidR="00B32EF2" w:rsidRDefault="00000000">
                        <w:r>
                          <w:rPr>
                            <w:rFonts w:ascii="Arial" w:eastAsia="Arial" w:hAnsi="Arial" w:cs="Arial"/>
                            <w:i/>
                            <w:sz w:val="18"/>
                          </w:rPr>
                          <w:t>-</w:t>
                        </w:r>
                      </w:p>
                    </w:txbxContent>
                  </v:textbox>
                </v:rect>
                <v:rect id="Rectangle 15925" o:spid="_x0000_s2283" style="position:absolute;left:26928;top:44872;width:1221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NS5xAAAAN4AAAAPAAAAZHJzL2Rvd25yZXYueG1sRE9Ni8Iw&#10;EL0v+B/CCN40VXBxu0YRRezBy6oLexyasa02k9BEW/31mwVhb/N4nzNfdqYWd2p8ZVnBeJSAIM6t&#10;rrhQcDpuhzMQPiBrrC2Tggd5WC56b3NMtW35i+6HUIgYwj5FBWUILpXS5yUZ9CPriCN3to3BEGFT&#10;SN1gG8NNLSdJ8i4NVhwbSnS0Lim/Hm5Gwc+GXbZtZX5+rt3+ks3q3e30rdSg360+QQTqwr/45c50&#10;nD/9mEzh7514g1z8AgAA//8DAFBLAQItABQABgAIAAAAIQDb4fbL7gAAAIUBAAATAAAAAAAAAAAA&#10;AAAAAAAAAABbQ29udGVudF9UeXBlc10ueG1sUEsBAi0AFAAGAAgAAAAhAFr0LFu/AAAAFQEAAAsA&#10;AAAAAAAAAAAAAAAAHwEAAF9yZWxzLy5yZWxzUEsBAi0AFAAGAAgAAAAhADWM1LnEAAAA3gAAAA8A&#10;AAAAAAAAAAAAAAAABwIAAGRycy9kb3ducmV2LnhtbFBLBQYAAAAAAwADALcAAAD4AgAAAAA=&#10;" filled="f" stroked="f">
                  <v:textbox inset="0,0,0,0">
                    <w:txbxContent>
                      <w:p w14:paraId="6B0E3C4E" w14:textId="77777777" w:rsidR="00B32EF2" w:rsidRDefault="00000000">
                        <w:r>
                          <w:rPr>
                            <w:rFonts w:ascii="Arial" w:eastAsia="Arial" w:hAnsi="Arial" w:cs="Arial"/>
                            <w:i/>
                            <w:sz w:val="18"/>
                          </w:rPr>
                          <w:t>cupero degli aiuti”</w:t>
                        </w:r>
                      </w:p>
                    </w:txbxContent>
                  </v:textbox>
                </v:rect>
                <v:rect id="Rectangle 15926" o:spid="_x0000_s2284" style="position:absolute;left:-11871;top:43638;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krOxAAAAN4AAAAPAAAAZHJzL2Rvd25yZXYueG1sRE9Li8Iw&#10;EL4v+B/CCN7WdAVFq1EWF9ke9uILPA7N2FabSWiirf76jbCwt/n4nrNYdaYWd2p8ZVnBxzABQZxb&#10;XXGh4LDfvE9B+ICssbZMCh7kYbXsvS0w1bblLd13oRAxhH2KCsoQXCqlz0sy6IfWEUfubBuDIcKm&#10;kLrBNoabWo6SZCINVhwbSnS0Lim/7m5GwemLXbZpZX5+rt3PJZvW37fDUalBv/ucgwjUhX/xnzvT&#10;cf54NprA6514g1z+AgAA//8DAFBLAQItABQABgAIAAAAIQDb4fbL7gAAAIUBAAATAAAAAAAAAAAA&#10;AAAAAAAAAABbQ29udGVudF9UeXBlc10ueG1sUEsBAi0AFAAGAAgAAAAhAFr0LFu/AAAAFQEAAAsA&#10;AAAAAAAAAAAAAAAAHwEAAF9yZWxzLy5yZWxzUEsBAi0AFAAGAAgAAAAhAMVeSs7EAAAA3gAAAA8A&#10;AAAAAAAAAAAAAAAABwIAAGRycy9kb3ducmV2LnhtbFBLBQYAAAAAAwADALcAAAD4AgAAAAA=&#10;" filled="f" stroked="f">
                  <v:textbox inset="0,0,0,0">
                    <w:txbxContent>
                      <w:p w14:paraId="70C3F689" w14:textId="77777777" w:rsidR="00B32EF2" w:rsidRDefault="00000000">
                        <w:r>
                          <w:rPr>
                            <w:rFonts w:ascii="Arial" w:eastAsia="Arial" w:hAnsi="Arial" w:cs="Arial"/>
                            <w:i/>
                            <w:sz w:val="18"/>
                          </w:rPr>
                          <w:t xml:space="preserve">art. 107 regolamento di procedura della Corte di giustizia del 25 settembre </w:t>
                        </w:r>
                      </w:p>
                    </w:txbxContent>
                  </v:textbox>
                </v:rect>
                <v:rect id="Rectangle 200250" o:spid="_x0000_s2285" style="position:absolute;left:24594;top:42405;width:485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YCLxwAAAN8AAAAPAAAAZHJzL2Rvd25yZXYueG1sRI9Na8JA&#10;EIbvhf6HZQq91U2FiqSuIhZpDl78KPQ4ZMckNTu7ZFeT+uudg+BxeOd9Xp7ZYnCtulAXG88G3kcZ&#10;KOLS24YrA4f9+m0KKiZki61nMvBPERbz56cZ5tb3vKXLLlVKIBxzNFCnFHKtY1mTwzjygViyo+8c&#10;Jjm7StsOe4G7Vo+zbKIdNiwLNQZa1VSedmdn4PeLQ7HudXm8rsLmr5i23+fDjzGvL8PyE1SiIT2e&#10;7+3CGhDi+EMMxEdcQM9vAAAA//8DAFBLAQItABQABgAIAAAAIQDb4fbL7gAAAIUBAAATAAAAAAAA&#10;AAAAAAAAAAAAAABbQ29udGVudF9UeXBlc10ueG1sUEsBAi0AFAAGAAgAAAAhAFr0LFu/AAAAFQEA&#10;AAsAAAAAAAAAAAAAAAAAHwEAAF9yZWxzLy5yZWxzUEsBAi0AFAAGAAgAAAAhAOEZgIvHAAAA3wAA&#10;AA8AAAAAAAAAAAAAAAAABwIAAGRycy9kb3ducmV2LnhtbFBLBQYAAAAAAwADALcAAAD7AgAAAAA=&#10;" filled="f" stroked="f">
                  <v:textbox inset="0,0,0,0">
                    <w:txbxContent>
                      <w:p w14:paraId="3057799E" w14:textId="77777777" w:rsidR="00B32EF2" w:rsidRDefault="00000000">
                        <w:r>
                          <w:rPr>
                            <w:rFonts w:ascii="Arial" w:eastAsia="Arial" w:hAnsi="Arial" w:cs="Arial"/>
                            <w:i/>
                            <w:sz w:val="18"/>
                          </w:rPr>
                          <w:t>2012</w:t>
                        </w:r>
                      </w:p>
                    </w:txbxContent>
                  </v:textbox>
                </v:rect>
                <v:rect id="Rectangle 200251" o:spid="_x0000_s2286" style="position:absolute;left:-11896;top:42405;width:485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SUQxgAAAN8AAAAPAAAAZHJzL2Rvd25yZXYueG1sRI9Pi8Iw&#10;FMTvC36H8IS9ranCilSjLC6yPXjxH3h8NM+2bvMSmmirn94IgsdhZn7DzBadqcWVGl9ZVjAcJCCI&#10;c6srLhTsd6uvCQgfkDXWlknBjTws5r2PGabatryh6zYUIkLYp6igDMGlUvq8JIN+YB1x9E62MRii&#10;bAqpG2wj3NRylCRjabDiuFCio2VJ+f/2YhQcf9llq1bmp/vSrc/ZpP677A9Kffa7nymIQF14h1/t&#10;TCuIxNH3EJ5/4heQ8wcAAAD//wMAUEsBAi0AFAAGAAgAAAAhANvh9svuAAAAhQEAABMAAAAAAAAA&#10;AAAAAAAAAAAAAFtDb250ZW50X1R5cGVzXS54bWxQSwECLQAUAAYACAAAACEAWvQsW78AAAAVAQAA&#10;CwAAAAAAAAAAAAAAAAAfAQAAX3JlbHMvLnJlbHNQSwECLQAUAAYACAAAACEAjlUlEMYAAADfAAAA&#10;DwAAAAAAAAAAAAAAAAAHAgAAZHJzL2Rvd25yZXYueG1sUEsFBgAAAAADAAMAtwAAAPoCAAAAAA==&#10;" filled="f" stroked="f">
                  <v:textbox inset="0,0,0,0">
                    <w:txbxContent>
                      <w:p w14:paraId="3131BB4F" w14:textId="77777777" w:rsidR="00B32EF2" w:rsidRDefault="00000000">
                        <w:r>
                          <w:rPr>
                            <w:rFonts w:ascii="Arial" w:eastAsia="Arial" w:hAnsi="Arial" w:cs="Arial"/>
                            <w:i/>
                            <w:sz w:val="18"/>
                          </w:rPr>
                          <w:t xml:space="preserve"> “Ambito di applicazione del procedimento pregiudiziale d’urgenza”</w:t>
                        </w:r>
                      </w:p>
                    </w:txbxContent>
                  </v:textbox>
                </v:rect>
                <v:rect id="Rectangle 15928" o:spid="_x0000_s2287" style="position:absolute;left:28980;top:41172;width:101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XsnyAAAAN4AAAAPAAAAZHJzL2Rvd25yZXYueG1sRI9Pa8JA&#10;EMXvhX6HZQre6kbBYlNXEYs0h178U+hxyI5J2uzskl1N2k/vHARvM7w37/1msRpcqy7Uxcazgck4&#10;A0VcettwZeB42D7PQcWEbLH1TAb+KMJq+fiwwNz6nnd02adKSQjHHA3UKYVc61jW5DCOfSAW7eQ7&#10;h0nWrtK2w17CXaunWfaiHTYsDTUG2tRU/u7PzsD3O4di2+vy9L8Jnz/FvP04H7+MGT0N6zdQiYZ0&#10;N9+uCyv4s9ep8Mo7MoNeXgEAAP//AwBQSwECLQAUAAYACAAAACEA2+H2y+4AAACFAQAAEwAAAAAA&#10;AAAAAAAAAAAAAAAAW0NvbnRlbnRfVHlwZXNdLnhtbFBLAQItABQABgAIAAAAIQBa9CxbvwAAABUB&#10;AAALAAAAAAAAAAAAAAAAAB8BAABfcmVscy8ucmVsc1BLAQItABQABgAIAAAAIQDbjXsnyAAAAN4A&#10;AAAPAAAAAAAAAAAAAAAAAAcCAABkcnMvZG93bnJldi54bWxQSwUGAAAAAAMAAwC3AAAA/AIAAAAA&#10;" filled="f" stroked="f">
                  <v:textbox inset="0,0,0,0">
                    <w:txbxContent>
                      <w:p w14:paraId="7A3198D8" w14:textId="77777777" w:rsidR="00B32EF2" w:rsidRDefault="00000000">
                        <w:r>
                          <w:rPr>
                            <w:rFonts w:ascii="Arial" w:eastAsia="Arial" w:hAnsi="Arial" w:cs="Arial"/>
                            <w:i/>
                            <w:sz w:val="18"/>
                          </w:rPr>
                          <w:t xml:space="preserve">art. 263 TFUE </w:t>
                        </w:r>
                      </w:p>
                    </w:txbxContent>
                  </v:textbox>
                </v:rect>
                <v:rect id="Rectangle 15929" o:spid="_x0000_s2288" style="position:absolute;left:-11872;top:39938;width:510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d68xAAAAN4AAAAPAAAAZHJzL2Rvd25yZXYueG1sRE9Ni8Iw&#10;EL0L/ocwgjdNFVy0axRRxB72sq4Lexyasa02k9BEW/31m4UFb/N4n7Ncd6YWd2p8ZVnBZJyAIM6t&#10;rrhQcPraj+YgfEDWWFsmBQ/ysF71e0tMtW35k+7HUIgYwj5FBWUILpXS5yUZ9GPriCN3to3BEGFT&#10;SN1gG8NNLadJ8iYNVhwbSnS0LSm/Hm9Gwc+OXbZvZX5+bt3HJZvXh9vpW6nhoNu8gwjUhZf4353p&#10;OH+2mC7g7514g1z9AgAA//8DAFBLAQItABQABgAIAAAAIQDb4fbL7gAAAIUBAAATAAAAAAAAAAAA&#10;AAAAAAAAAABbQ29udGVudF9UeXBlc10ueG1sUEsBAi0AFAAGAAgAAAAhAFr0LFu/AAAAFQEAAAsA&#10;AAAAAAAAAAAAAAAAHwEAAF9yZWxzLy5yZWxzUEsBAi0AFAAGAAgAAAAhALTB3rzEAAAA3gAAAA8A&#10;AAAAAAAAAAAAAAAABwIAAGRycy9kb3ducmV2LnhtbFBLBQYAAAAAAwADALcAAAD4AgAAAAA=&#10;" filled="f" stroked="f">
                  <v:textbox inset="0,0,0,0">
                    <w:txbxContent>
                      <w:p w14:paraId="2B1D490F" w14:textId="77777777" w:rsidR="00B32EF2" w:rsidRDefault="00000000">
                        <w:r>
                          <w:rPr>
                            <w:rFonts w:ascii="Arial" w:eastAsia="Arial" w:hAnsi="Arial" w:cs="Arial"/>
                            <w:i/>
                            <w:sz w:val="18"/>
                          </w:rPr>
                          <w:t xml:space="preserve">La Corte di giustizia dell’Unione europea esercita un controllo di legittimità </w:t>
                        </w:r>
                      </w:p>
                    </w:txbxContent>
                  </v:textbox>
                </v:rect>
                <v:rect id="Rectangle 15930" o:spid="_x0000_s2289" style="position:absolute;left:-10909;top:38705;width:500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uH8yAAAAN4AAAAPAAAAZHJzL2Rvd25yZXYueG1sRI9Pb8Iw&#10;DMXvk/YdIk/iNtJt2sQ6ApqYED1wGX+kHa3GtN0aJ2oC7fj0+IDEzZaf33u/6XxwrTpRFxvPBp7G&#10;GSji0tuGKwO77fJxAiomZIutZzLwTxHms/u7KebW9/xNp02qlJhwzNFAnVLItY5lTQ7j2AdiuR18&#10;5zDJ2lXadtiLuWv1c5a9aYcNS0KNgRY1lX+bozPw88WhWPa6PJwXYf1bTNrVcbc3ZvQwfH6ASjSk&#10;m/j6XVip//r+IgCCIzPo2QUAAP//AwBQSwECLQAUAAYACAAAACEA2+H2y+4AAACFAQAAEwAAAAAA&#10;AAAAAAAAAAAAAAAAW0NvbnRlbnRfVHlwZXNdLnhtbFBLAQItABQABgAIAAAAIQBa9CxbvwAAABUB&#10;AAALAAAAAAAAAAAAAAAAAB8BAABfcmVscy8ucmVsc1BLAQItABQABgAIAAAAIQCgIuH8yAAAAN4A&#10;AAAPAAAAAAAAAAAAAAAAAAcCAABkcnMvZG93bnJldi54bWxQSwUGAAAAAAMAAwC3AAAA/AIAAAAA&#10;" filled="f" stroked="f">
                  <v:textbox inset="0,0,0,0">
                    <w:txbxContent>
                      <w:p w14:paraId="1CC2F358" w14:textId="77777777" w:rsidR="00B32EF2" w:rsidRDefault="00000000">
                        <w:r>
                          <w:rPr>
                            <w:rFonts w:ascii="Arial" w:eastAsia="Arial" w:hAnsi="Arial" w:cs="Arial"/>
                            <w:i/>
                            <w:sz w:val="18"/>
                          </w:rPr>
                          <w:t>sugli atti legislativi, sugli atti del Consiglio, della Commissione e della Ban</w:t>
                        </w:r>
                      </w:p>
                    </w:txbxContent>
                  </v:textbox>
                </v:rect>
                <v:rect id="Rectangle 15931" o:spid="_x0000_s2290" style="position:absolute;left:975;top:3870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kRnxQAAAN4AAAAPAAAAZHJzL2Rvd25yZXYueG1sRE9La8JA&#10;EL4X/A/LCN7qxkpFo6uIRZpDL/UBHofsmESzs0t2NWl/fbcgeJuP7zmLVWdqcafGV5YVjIYJCOLc&#10;6ooLBYf99nUKwgdkjbVlUvBDHlbL3ssCU21b/qb7LhQihrBPUUEZgkul9HlJBv3QOuLInW1jMETY&#10;FFI32MZwU8u3JJlIgxXHhhIdbUrKr7ubUXD6YJdtW5mffzfu65JN68/b4ajUoN+t5yACdeEpfrgz&#10;Hee/z8Yj+H8n3iCXfwAAAP//AwBQSwECLQAUAAYACAAAACEA2+H2y+4AAACFAQAAEwAAAAAAAAAA&#10;AAAAAAAAAAAAW0NvbnRlbnRfVHlwZXNdLnhtbFBLAQItABQABgAIAAAAIQBa9CxbvwAAABUBAAAL&#10;AAAAAAAAAAAAAAAAAB8BAABfcmVscy8ucmVsc1BLAQItABQABgAIAAAAIQDPbkRnxQAAAN4AAAAP&#10;AAAAAAAAAAAAAAAAAAcCAABkcnMvZG93bnJldi54bWxQSwUGAAAAAAMAAwC3AAAA+QIAAAAA&#10;" filled="f" stroked="f">
                  <v:textbox inset="0,0,0,0">
                    <w:txbxContent>
                      <w:p w14:paraId="1A788B8C" w14:textId="77777777" w:rsidR="00B32EF2" w:rsidRDefault="00000000">
                        <w:r>
                          <w:rPr>
                            <w:rFonts w:ascii="Arial" w:eastAsia="Arial" w:hAnsi="Arial" w:cs="Arial"/>
                            <w:i/>
                            <w:sz w:val="18"/>
                          </w:rPr>
                          <w:t>-</w:t>
                        </w:r>
                      </w:p>
                    </w:txbxContent>
                  </v:textbox>
                </v:rect>
                <v:rect id="Rectangle 15932" o:spid="_x0000_s2291" style="position:absolute;left:-11865;top:37472;width:509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oQxQAAAN4AAAAPAAAAZHJzL2Rvd25yZXYueG1sRE9Na8JA&#10;EL0L/Q/LFLzpRqVio6uIIs3BS62FHofsmESzs0t2NWl/vVsQvM3jfc5i1Zla3KjxlWUFo2ECgji3&#10;uuJCwfFrN5iB8AFZY22ZFPySh9XypbfAVNuWP+l2CIWIIexTVFCG4FIpfV6SQT+0jjhyJ9sYDBE2&#10;hdQNtjHc1HKcJFNpsOLYUKKjTUn55XA1Cn627LJdK/PT38btz9ms/rgev5Xqv3brOYhAXXiKH+5M&#10;x/lv75Mx/L8Tb5DLOwAAAP//AwBQSwECLQAUAAYACAAAACEA2+H2y+4AAACFAQAAEwAAAAAAAAAA&#10;AAAAAAAAAAAAW0NvbnRlbnRfVHlwZXNdLnhtbFBLAQItABQABgAIAAAAIQBa9CxbvwAAABUBAAAL&#10;AAAAAAAAAAAAAAAAAB8BAABfcmVscy8ucmVsc1BLAQItABQABgAIAAAAIQA/vNoQxQAAAN4AAAAP&#10;AAAAAAAAAAAAAAAAAAcCAABkcnMvZG93bnJldi54bWxQSwUGAAAAAAMAAwC3AAAA+QIAAAAA&#10;" filled="f" stroked="f">
                  <v:textbox inset="0,0,0,0">
                    <w:txbxContent>
                      <w:p w14:paraId="729C0BD8" w14:textId="77777777" w:rsidR="00B32EF2" w:rsidRDefault="00000000">
                        <w:r>
                          <w:rPr>
                            <w:rFonts w:ascii="Arial" w:eastAsia="Arial" w:hAnsi="Arial" w:cs="Arial"/>
                            <w:i/>
                            <w:sz w:val="18"/>
                          </w:rPr>
                          <w:t xml:space="preserve">ca centrale europea che non siano raccomandazioni o pareri, nonché sugli </w:t>
                        </w:r>
                      </w:p>
                    </w:txbxContent>
                  </v:textbox>
                </v:rect>
                <v:rect id="Rectangle 15933" o:spid="_x0000_s2292" style="position:absolute;left:-11901;top:36238;width:511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H+LxQAAAN4AAAAPAAAAZHJzL2Rvd25yZXYueG1sRE9Na8JA&#10;EL0L/Q/LFLzpRqXFRlcRRczBS62FHofsmESzs0t2NbG/3i0UvM3jfc582Zla3KjxlWUFo2ECgji3&#10;uuJCwfFrO5iC8AFZY22ZFNzJw3Lx0ptjqm3Ln3Q7hELEEPYpKihDcKmUPi/JoB9aRxy5k20Mhgib&#10;QuoG2xhuajlOkndpsOLYUKKjdUn55XA1Cn427LJtK/PT79rtz9m03l2P30r1X7vVDESgLjzF/+5M&#10;x/lvH5MJ/L0Tb5CLBwAAAP//AwBQSwECLQAUAAYACAAAACEA2+H2y+4AAACFAQAAEwAAAAAAAAAA&#10;AAAAAAAAAAAAW0NvbnRlbnRfVHlwZXNdLnhtbFBLAQItABQABgAIAAAAIQBa9CxbvwAAABUBAAAL&#10;AAAAAAAAAAAAAAAAAB8BAABfcmVscy8ucmVsc1BLAQItABQABgAIAAAAIQBQ8H+LxQAAAN4AAAAP&#10;AAAAAAAAAAAAAAAAAAcCAABkcnMvZG93bnJldi54bWxQSwUGAAAAAAMAAwC3AAAA+QIAAAAA&#10;" filled="f" stroked="f">
                  <v:textbox inset="0,0,0,0">
                    <w:txbxContent>
                      <w:p w14:paraId="1806519A" w14:textId="77777777" w:rsidR="00B32EF2" w:rsidRDefault="00000000">
                        <w:r>
                          <w:rPr>
                            <w:rFonts w:ascii="Arial" w:eastAsia="Arial" w:hAnsi="Arial" w:cs="Arial"/>
                            <w:i/>
                            <w:sz w:val="18"/>
                          </w:rPr>
                          <w:t xml:space="preserve">atti del Parlamento europeo e del Consiglio europeo destinati a produrre </w:t>
                        </w:r>
                      </w:p>
                    </w:txbxContent>
                  </v:textbox>
                </v:rect>
                <v:rect id="Rectangle 15934" o:spid="_x0000_s2293" style="position:absolute;left:-11856;top:35005;width:509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ef/xQAAAN4AAAAPAAAAZHJzL2Rvd25yZXYueG1sRE9Na8JA&#10;EL0X+h+WKXirm7ZWYuoqxSLm4EVrweOQHZO02dklu5ror3eFgrd5vM+ZznvTiBO1vras4GWYgCAu&#10;rK65VLD7Xj6nIHxA1thYJgVn8jCfPT5MMdO24w2dtqEUMYR9hgqqEFwmpS8qMuiH1hFH7mBbgyHC&#10;tpS6xS6Gm0a+JslYGqw5NlToaFFR8bc9GgX7L3b5spPF4bJw6988bVbH3Y9Sg6f+8wNEoD7cxf/u&#10;XMf575O3EdzeiTfI2RUAAP//AwBQSwECLQAUAAYACAAAACEA2+H2y+4AAACFAQAAEwAAAAAAAAAA&#10;AAAAAAAAAAAAW0NvbnRlbnRfVHlwZXNdLnhtbFBLAQItABQABgAIAAAAIQBa9CxbvwAAABUBAAAL&#10;AAAAAAAAAAAAAAAAAB8BAABfcmVscy8ucmVsc1BLAQItABQABgAIAAAAIQDfGef/xQAAAN4AAAAP&#10;AAAAAAAAAAAAAAAAAAcCAABkcnMvZG93bnJldi54bWxQSwUGAAAAAAMAAwC3AAAA+QIAAAAA&#10;" filled="f" stroked="f">
                  <v:textbox inset="0,0,0,0">
                    <w:txbxContent>
                      <w:p w14:paraId="3E65AE04" w14:textId="77777777" w:rsidR="00B32EF2" w:rsidRDefault="00000000">
                        <w:r>
                          <w:rPr>
                            <w:rFonts w:ascii="Arial" w:eastAsia="Arial" w:hAnsi="Arial" w:cs="Arial"/>
                            <w:i/>
                            <w:sz w:val="18"/>
                          </w:rPr>
                          <w:t xml:space="preserve">effetti giuridici nei confronti di terzi. Esercita inoltre un controllo di legittimità </w:t>
                        </w:r>
                      </w:p>
                    </w:txbxContent>
                  </v:textbox>
                </v:rect>
                <v:rect id="Rectangle 15935" o:spid="_x0000_s2294" style="position:absolute;left:-11916;top:33772;width:512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JkxQAAAN4AAAAPAAAAZHJzL2Rvd25yZXYueG1sRE9Na8JA&#10;EL0X+h+WKXirGxWLja4iipiDl1oLPQ7ZMYlmZ5fsaqK/3i0UvM3jfc5s0ZlaXKnxlWUFg34Cgji3&#10;uuJCweF78z4B4QOyxtoyKbiRh8X89WWGqbYtf9F1HwoRQ9inqKAMwaVS+rwkg75vHXHkjrYxGCJs&#10;CqkbbGO4qeUwST6kwYpjQ4mOViXl5/3FKPhds8s2rcyP95XbnbJJvb0cfpTqvXXLKYhAXXiK/92Z&#10;jvPHn6Mx/L0Tb5DzBwAAAP//AwBQSwECLQAUAAYACAAAACEA2+H2y+4AAACFAQAAEwAAAAAAAAAA&#10;AAAAAAAAAAAAW0NvbnRlbnRfVHlwZXNdLnhtbFBLAQItABQABgAIAAAAIQBa9CxbvwAAABUBAAAL&#10;AAAAAAAAAAAAAAAAAB8BAABfcmVscy8ucmVsc1BLAQItABQABgAIAAAAIQCwVUJkxQAAAN4AAAAP&#10;AAAAAAAAAAAAAAAAAAcCAABkcnMvZG93bnJldi54bWxQSwUGAAAAAAMAAwC3AAAA+QIAAAAA&#10;" filled="f" stroked="f">
                  <v:textbox inset="0,0,0,0">
                    <w:txbxContent>
                      <w:p w14:paraId="4F331599" w14:textId="77777777" w:rsidR="00B32EF2" w:rsidRDefault="00000000">
                        <w:r>
                          <w:rPr>
                            <w:rFonts w:ascii="Arial" w:eastAsia="Arial" w:hAnsi="Arial" w:cs="Arial"/>
                            <w:i/>
                            <w:sz w:val="18"/>
                          </w:rPr>
                          <w:t xml:space="preserve">sugli atti degli organi o organismi dell’Unione destinati a produrre effetti </w:t>
                        </w:r>
                      </w:p>
                    </w:txbxContent>
                  </v:textbox>
                </v:rect>
                <v:rect id="Rectangle 15936" o:spid="_x0000_s2295" style="position:absolute;left:19626;top:32539;width:1950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9wTxQAAAN4AAAAPAAAAZHJzL2Rvd25yZXYueG1sRE9Na8JA&#10;EL0X+h+WKXirGxXFRlcRRcyhl1oLPQ7ZMYlmZ5fsaqK/3i0UvM3jfc582ZlaXKnxlWUFg34Cgji3&#10;uuJCweF7+z4F4QOyxtoyKbiRh+Xi9WWOqbYtf9F1HwoRQ9inqKAMwaVS+rwkg75vHXHkjrYxGCJs&#10;CqkbbGO4qeUwSSbSYMWxoURH65Ly8/5iFPxu2GXbVubH+9p9nrJpvbscfpTqvXWrGYhAXXiK/92Z&#10;jvPHH6MJ/L0Tb5CLBwAAAP//AwBQSwECLQAUAAYACAAAACEA2+H2y+4AAACFAQAAEwAAAAAAAAAA&#10;AAAAAAAAAAAAW0NvbnRlbnRfVHlwZXNdLnhtbFBLAQItABQABgAIAAAAIQBa9CxbvwAAABUBAAAL&#10;AAAAAAAAAAAAAAAAAB8BAABfcmVscy8ucmVsc1BLAQItABQABgAIAAAAIQBAh9wTxQAAAN4AAAAP&#10;AAAAAAAAAAAAAAAAAAcCAABkcnMvZG93bnJldi54bWxQSwUGAAAAAAMAAwC3AAAA+QIAAAAA&#10;" filled="f" stroked="f">
                  <v:textbox inset="0,0,0,0">
                    <w:txbxContent>
                      <w:p w14:paraId="59790F6E" w14:textId="77777777" w:rsidR="00B32EF2" w:rsidRDefault="00000000">
                        <w:r>
                          <w:rPr>
                            <w:rFonts w:ascii="Arial" w:eastAsia="Arial" w:hAnsi="Arial" w:cs="Arial"/>
                            <w:i/>
                            <w:sz w:val="18"/>
                          </w:rPr>
                          <w:t>giuridici nei confronti di terzi.</w:t>
                        </w:r>
                      </w:p>
                    </w:txbxContent>
                  </v:textbox>
                </v:rect>
                <v:rect id="Rectangle 15937" o:spid="_x0000_s2296" style="position:absolute;left:-10909;top:31305;width:500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3mIxQAAAN4AAAAPAAAAZHJzL2Rvd25yZXYueG1sRE9Na8JA&#10;EL0X+h+WKXirm7ZYY+oqxSLm4EVrweOQHZO02dklu5ror3eFgrd5vM+ZznvTiBO1vras4GWYgCAu&#10;rK65VLD7Xj6nIHxA1thYJgVn8jCfPT5MMdO24w2dtqEUMYR9hgqqEFwmpS8qMuiH1hFH7mBbgyHC&#10;tpS6xS6Gm0a+Jsm7NFhzbKjQ0aKi4m97NAr2X+zyZSeLw2Xh1r952qyOux+lBk/95weIQH24i//d&#10;uY7zR5O3MdzeiTfI2RUAAP//AwBQSwECLQAUAAYACAAAACEA2+H2y+4AAACFAQAAEwAAAAAAAAAA&#10;AAAAAAAAAAAAW0NvbnRlbnRfVHlwZXNdLnhtbFBLAQItABQABgAIAAAAIQBa9CxbvwAAABUBAAAL&#10;AAAAAAAAAAAAAAAAAB8BAABfcmVscy8ucmVsc1BLAQItABQABgAIAAAAIQAvy3mIxQAAAN4AAAAP&#10;AAAAAAAAAAAAAAAAAAcCAABkcnMvZG93bnJldi54bWxQSwUGAAAAAAMAAwC3AAAA+QIAAAAA&#10;" filled="f" stroked="f">
                  <v:textbox inset="0,0,0,0">
                    <w:txbxContent>
                      <w:p w14:paraId="1F943D87" w14:textId="77777777" w:rsidR="00B32EF2" w:rsidRDefault="00000000">
                        <w:r>
                          <w:rPr>
                            <w:rFonts w:ascii="Arial" w:eastAsia="Arial" w:hAnsi="Arial" w:cs="Arial"/>
                            <w:i/>
                            <w:sz w:val="18"/>
                          </w:rPr>
                          <w:t>A tal fine, la Corte è competente a pronunciarsi sui ricorsi per incompeten</w:t>
                        </w:r>
                      </w:p>
                    </w:txbxContent>
                  </v:textbox>
                </v:rect>
                <v:rect id="Rectangle 15938" o:spid="_x0000_s2297" style="position:absolute;left:975;top:3130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36yAAAAN4AAAAPAAAAZHJzL2Rvd25yZXYueG1sRI9Pb8Iw&#10;DMXvk/YdIk/iNtJt2sQ6ApqYED1wGX+kHa3GtN0aJ2oC7fj0+IDEzdZ7fu/n6XxwrTpRFxvPBp7G&#10;GSji0tuGKwO77fJxAiomZIutZzLwTxHms/u7KebW9/xNp02qlIRwzNFAnVLItY5lTQ7j2Adi0Q6+&#10;c5hk7SptO+wl3LX6OcvetMOGpaHGQIuayr/N0Rn4+eJQLHtdHs6LsP4tJu3quNsbM3oYPj9AJRrS&#10;zXy9Lqzgv76/CK+8IzPo2QUAAP//AwBQSwECLQAUAAYACAAAACEA2+H2y+4AAACFAQAAEwAAAAAA&#10;AAAAAAAAAAAAAAAAW0NvbnRlbnRfVHlwZXNdLnhtbFBLAQItABQABgAIAAAAIQBa9CxbvwAAABUB&#10;AAALAAAAAAAAAAAAAAAAAB8BAABfcmVscy8ucmVsc1BLAQItABQABgAIAAAAIQBeVO36yAAAAN4A&#10;AAAPAAAAAAAAAAAAAAAAAAcCAABkcnMvZG93bnJldi54bWxQSwUGAAAAAAMAAwC3AAAA/AIAAAAA&#10;" filled="f" stroked="f">
                  <v:textbox inset="0,0,0,0">
                    <w:txbxContent>
                      <w:p w14:paraId="1B61BDC3" w14:textId="77777777" w:rsidR="00B32EF2" w:rsidRDefault="00000000">
                        <w:r>
                          <w:rPr>
                            <w:rFonts w:ascii="Arial" w:eastAsia="Arial" w:hAnsi="Arial" w:cs="Arial"/>
                            <w:i/>
                            <w:sz w:val="18"/>
                          </w:rPr>
                          <w:t>-</w:t>
                        </w:r>
                      </w:p>
                    </w:txbxContent>
                  </v:textbox>
                </v:rect>
                <v:rect id="Rectangle 15939" o:spid="_x0000_s2298" style="position:absolute;left:-11902;top:30072;width:511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EhhxQAAAN4AAAAPAAAAZHJzL2Rvd25yZXYueG1sRE9La8JA&#10;EL4X/A/LCN7qxkpFo6uIRZpDL/UBHofsmESzs0t2NWl/fbcgeJuP7zmLVWdqcafGV5YVjIYJCOLc&#10;6ooLBYf99nUKwgdkjbVlUvBDHlbL3ssCU21b/qb7LhQihrBPUUEZgkul9HlJBv3QOuLInW1jMETY&#10;FFI32MZwU8u3JJlIgxXHhhIdbUrKr7ubUXD6YJdtW5mffzfu65JN68/b4ajUoN+t5yACdeEpfrgz&#10;Hee/z8Yz+H8n3iCXfwAAAP//AwBQSwECLQAUAAYACAAAACEA2+H2y+4AAACFAQAAEwAAAAAAAAAA&#10;AAAAAAAAAAAAW0NvbnRlbnRfVHlwZXNdLnhtbFBLAQItABQABgAIAAAAIQBa9CxbvwAAABUBAAAL&#10;AAAAAAAAAAAAAAAAAB8BAABfcmVscy8ucmVsc1BLAQItABQABgAIAAAAIQAxGEhhxQAAAN4AAAAP&#10;AAAAAAAAAAAAAAAAAAcCAABkcnMvZG93bnJldi54bWxQSwUGAAAAAAMAAwC3AAAA+QIAAAAA&#10;" filled="f" stroked="f">
                  <v:textbox inset="0,0,0,0">
                    <w:txbxContent>
                      <w:p w14:paraId="61B86705" w14:textId="77777777" w:rsidR="00B32EF2" w:rsidRDefault="00000000">
                        <w:r>
                          <w:rPr>
                            <w:rFonts w:ascii="Arial" w:eastAsia="Arial" w:hAnsi="Arial" w:cs="Arial"/>
                            <w:i/>
                            <w:sz w:val="18"/>
                          </w:rPr>
                          <w:t xml:space="preserve">za, violazione delle forme sostanziali, violazione dei trattati o di qualsiasi </w:t>
                        </w:r>
                      </w:p>
                    </w:txbxContent>
                  </v:textbox>
                </v:rect>
                <v:rect id="Rectangle 15940" o:spid="_x0000_s2299" style="position:absolute;left:-10892;top:28839;width:50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JKByAAAAN4AAAAPAAAAZHJzL2Rvd25yZXYueG1sRI9Pb8Iw&#10;DMXvk/YdIk/iNtJN28Q6ApqYED1wGX+kHa3GtN0aJ2oC7fj0+IDEzZaf33u/6XxwrTpRFxvPBp7G&#10;GSji0tuGKwO77fJxAiomZIutZzLwTxHms/u7KebW9/xNp02qlJhwzNFAnVLItY5lTQ7j2AdiuR18&#10;5zDJ2lXadtiLuWv1c5a9aYcNS0KNgRY1lX+bozPw88WhWPa6PJwXYf1bTNrVcbc3ZvQwfH6ASjSk&#10;m/j6XVip//r+IgCCIzPo2QUAAP//AwBQSwECLQAUAAYACAAAACEA2+H2y+4AAACFAQAAEwAAAAAA&#10;AAAAAAAAAAAAAAAAW0NvbnRlbnRfVHlwZXNdLnhtbFBLAQItABQABgAIAAAAIQBa9CxbvwAAABUB&#10;AAALAAAAAAAAAAAAAAAAAB8BAABfcmVscy8ucmVsc1BLAQItABQABgAIAAAAIQD4JJKByAAAAN4A&#10;AAAPAAAAAAAAAAAAAAAAAAcCAABkcnMvZG93bnJldi54bWxQSwUGAAAAAAMAAwC3AAAA/AIAAAAA&#10;" filled="f" stroked="f">
                  <v:textbox inset="0,0,0,0">
                    <w:txbxContent>
                      <w:p w14:paraId="2FB977FE" w14:textId="77777777" w:rsidR="00B32EF2" w:rsidRDefault="00000000">
                        <w:r>
                          <w:rPr>
                            <w:rFonts w:ascii="Arial" w:eastAsia="Arial" w:hAnsi="Arial" w:cs="Arial"/>
                            <w:i/>
                            <w:sz w:val="18"/>
                          </w:rPr>
                          <w:t>regola di diritto relativa alla loro applicazione, ovvero per sviamento di po</w:t>
                        </w:r>
                      </w:p>
                    </w:txbxContent>
                  </v:textbox>
                </v:rect>
                <v:rect id="Rectangle 15941" o:spid="_x0000_s2300" style="position:absolute;left:975;top:2883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DcaxQAAAN4AAAAPAAAAZHJzL2Rvd25yZXYueG1sRE9La8JA&#10;EL4X/A/LCN7qxmJFo6uIRZpDL/UBHofsmESzs0t2NWl/fbcgeJuP7zmLVWdqcafGV5YVjIYJCOLc&#10;6ooLBYf99nUKwgdkjbVlUvBDHlbL3ssCU21b/qb7LhQihrBPUUEZgkul9HlJBv3QOuLInW1jMETY&#10;FFI32MZwU8u3JJlIgxXHhhIdbUrKr7ubUXD6YJdtW5mffzfu65JN68/b4ajUoN+t5yACdeEpfrgz&#10;Hee/z8Yj+H8n3iCXfwAAAP//AwBQSwECLQAUAAYACAAAACEA2+H2y+4AAACFAQAAEwAAAAAAAAAA&#10;AAAAAAAAAAAAW0NvbnRlbnRfVHlwZXNdLnhtbFBLAQItABQABgAIAAAAIQBa9CxbvwAAABUBAAAL&#10;AAAAAAAAAAAAAAAAAB8BAABfcmVscy8ucmVsc1BLAQItABQABgAIAAAAIQCXaDcaxQAAAN4AAAAP&#10;AAAAAAAAAAAAAAAAAAcCAABkcnMvZG93bnJldi54bWxQSwUGAAAAAAMAAwC3AAAA+QIAAAAA&#10;" filled="f" stroked="f">
                  <v:textbox inset="0,0,0,0">
                    <w:txbxContent>
                      <w:p w14:paraId="3547CEF0" w14:textId="77777777" w:rsidR="00B32EF2" w:rsidRDefault="00000000">
                        <w:r>
                          <w:rPr>
                            <w:rFonts w:ascii="Arial" w:eastAsia="Arial" w:hAnsi="Arial" w:cs="Arial"/>
                            <w:i/>
                            <w:sz w:val="18"/>
                          </w:rPr>
                          <w:t>-</w:t>
                        </w:r>
                      </w:p>
                    </w:txbxContent>
                  </v:textbox>
                </v:rect>
                <v:rect id="Rectangle 15942" o:spid="_x0000_s2301" style="position:absolute;left:-11862;top:27605;width:509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qltxQAAAN4AAAAPAAAAZHJzL2Rvd25yZXYueG1sRE9Na8JA&#10;EL0L/Q/LFLzpRrFio6uIIs3BS62FHofsmESzs0t2NWl/vVsQvM3jfc5i1Zla3KjxlWUFo2ECgji3&#10;uuJCwfFrN5iB8AFZY22ZFPySh9XypbfAVNuWP+l2CIWIIexTVFCG4FIpfV6SQT+0jjhyJ9sYDBE2&#10;hdQNtjHc1HKcJFNpsOLYUKKjTUn55XA1Cn627LJdK/PT38btz9ms/rgev5Xqv3brOYhAXXiKH+5M&#10;x/lv75Mx/L8Tb5DLOwAAAP//AwBQSwECLQAUAAYACAAAACEA2+H2y+4AAACFAQAAEwAAAAAAAAAA&#10;AAAAAAAAAAAAW0NvbnRlbnRfVHlwZXNdLnhtbFBLAQItABQABgAIAAAAIQBa9CxbvwAAABUBAAAL&#10;AAAAAAAAAAAAAAAAAB8BAABfcmVscy8ucmVsc1BLAQItABQABgAIAAAAIQBnuqltxQAAAN4AAAAP&#10;AAAAAAAAAAAAAAAAAAcCAABkcnMvZG93bnJldi54bWxQSwUGAAAAAAMAAwC3AAAA+QIAAAAA&#10;" filled="f" stroked="f">
                  <v:textbox inset="0,0,0,0">
                    <w:txbxContent>
                      <w:p w14:paraId="450D0BCD" w14:textId="77777777" w:rsidR="00B32EF2" w:rsidRDefault="00000000">
                        <w:r>
                          <w:rPr>
                            <w:rFonts w:ascii="Arial" w:eastAsia="Arial" w:hAnsi="Arial" w:cs="Arial"/>
                            <w:i/>
                            <w:sz w:val="18"/>
                          </w:rPr>
                          <w:t xml:space="preserve">tere, proposti da uno Stato membro, dal Parlamento europeo, dal Consiglio </w:t>
                        </w:r>
                      </w:p>
                    </w:txbxContent>
                  </v:textbox>
                </v:rect>
                <v:rect id="Rectangle 15943" o:spid="_x0000_s2302" style="position:absolute;left:24437;top:26372;width:147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gz2xQAAAN4AAAAPAAAAZHJzL2Rvd25yZXYueG1sRE9Na8JA&#10;EL0X+h+WKXirm7ZWYuoqxSLm4EVrweOQHZO02dklu5ror3eFgrd5vM+ZznvTiBO1vras4GWYgCAu&#10;rK65VLD7Xj6nIHxA1thYJgVn8jCfPT5MMdO24w2dtqEUMYR9hgqqEFwmpS8qMuiH1hFH7mBbgyHC&#10;tpS6xS6Gm0a+JslYGqw5NlToaFFR8bc9GgX7L3b5spPF4bJw6988bVbH3Y9Sg6f+8wNEoD7cxf/u&#10;XMf575PRG9zeiTfI2RUAAP//AwBQSwECLQAUAAYACAAAACEA2+H2y+4AAACFAQAAEwAAAAAAAAAA&#10;AAAAAAAAAAAAW0NvbnRlbnRfVHlwZXNdLnhtbFBLAQItABQABgAIAAAAIQBa9CxbvwAAABUBAAAL&#10;AAAAAAAAAAAAAAAAAB8BAABfcmVscy8ucmVsc1BLAQItABQABgAIAAAAIQAI9gz2xQAAAN4AAAAP&#10;AAAAAAAAAAAAAAAAAAcCAABkcnMvZG93bnJldi54bWxQSwUGAAAAAAMAAwC3AAAA+QIAAAAA&#10;" filled="f" stroked="f">
                  <v:textbox inset="0,0,0,0">
                    <w:txbxContent>
                      <w:p w14:paraId="7FBEB2AE" w14:textId="77777777" w:rsidR="00B32EF2" w:rsidRDefault="00000000">
                        <w:r>
                          <w:rPr>
                            <w:rFonts w:ascii="Arial" w:eastAsia="Arial" w:hAnsi="Arial" w:cs="Arial"/>
                            <w:i/>
                            <w:sz w:val="18"/>
                          </w:rPr>
                          <w:t>o dalla Commissione.</w:t>
                        </w:r>
                      </w:p>
                    </w:txbxContent>
                  </v:textbox>
                </v:rect>
                <v:rect id="Rectangle 15944" o:spid="_x0000_s2303" style="position:absolute;left:-11852;top:25139;width:509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5SCxQAAAN4AAAAPAAAAZHJzL2Rvd25yZXYueG1sRE9Na8JA&#10;EL0L/Q/LFLzpRrHFRlcRRczBS62FHofsmESzs0t2NbG/3i0UvM3jfc582Zla3KjxlWUFo2ECgji3&#10;uuJCwfFrO5iC8AFZY22ZFNzJw3Lx0ptjqm3Ln3Q7hELEEPYpKihDcKmUPi/JoB9aRxy5k20Mhgib&#10;QuoG2xhuajlOkndpsOLYUKKjdUn55XA1Cn427LJtK/PT79rtz9m03l2P30r1X7vVDESgLjzF/+5M&#10;x/lvH5MJ/L0Tb5CLBwAAAP//AwBQSwECLQAUAAYACAAAACEA2+H2y+4AAACFAQAAEwAAAAAAAAAA&#10;AAAAAAAAAAAAW0NvbnRlbnRfVHlwZXNdLnhtbFBLAQItABQABgAIAAAAIQBa9CxbvwAAABUBAAAL&#10;AAAAAAAAAAAAAAAAAB8BAABfcmVscy8ucmVsc1BLAQItABQABgAIAAAAIQCHH5SCxQAAAN4AAAAP&#10;AAAAAAAAAAAAAAAAAAcCAABkcnMvZG93bnJldi54bWxQSwUGAAAAAAMAAwC3AAAA+QIAAAAA&#10;" filled="f" stroked="f">
                  <v:textbox inset="0,0,0,0">
                    <w:txbxContent>
                      <w:p w14:paraId="2636806F" w14:textId="77777777" w:rsidR="00B32EF2" w:rsidRDefault="00000000">
                        <w:r>
                          <w:rPr>
                            <w:rFonts w:ascii="Arial" w:eastAsia="Arial" w:hAnsi="Arial" w:cs="Arial"/>
                            <w:i/>
                            <w:sz w:val="18"/>
                          </w:rPr>
                          <w:t xml:space="preserve">La Corte è competente, alle stesse condizioni, a pronunciarsi sui ricorsi che </w:t>
                        </w:r>
                      </w:p>
                    </w:txbxContent>
                  </v:textbox>
                </v:rect>
                <v:rect id="Rectangle 15945" o:spid="_x0000_s2304" style="position:absolute;left:-11909;top:23906;width:5114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zEZxQAAAN4AAAAPAAAAZHJzL2Rvd25yZXYueG1sRE9Na8JA&#10;EL0X+h+WKXirG0WLja4iipiDl1oLPQ7ZMYlmZ5fsaqK/3i0UvM3jfc5s0ZlaXKnxlWUFg34Cgji3&#10;uuJCweF78z4B4QOyxtoyKbiRh8X89WWGqbYtf9F1HwoRQ9inqKAMwaVS+rwkg75vHXHkjrYxGCJs&#10;CqkbbGO4qeUwST6kwYpjQ4mOViXl5/3FKPhds8s2rcyP95XbnbJJvb0cfpTqvXXLKYhAXXiK/92Z&#10;jvPHn6Mx/L0Tb5DzBwAAAP//AwBQSwECLQAUAAYACAAAACEA2+H2y+4AAACFAQAAEwAAAAAAAAAA&#10;AAAAAAAAAAAAW0NvbnRlbnRfVHlwZXNdLnhtbFBLAQItABQABgAIAAAAIQBa9CxbvwAAABUBAAAL&#10;AAAAAAAAAAAAAAAAAB8BAABfcmVscy8ucmVsc1BLAQItABQABgAIAAAAIQDoUzEZxQAAAN4AAAAP&#10;AAAAAAAAAAAAAAAAAAcCAABkcnMvZG93bnJldi54bWxQSwUGAAAAAAMAAwC3AAAA+QIAAAAA&#10;" filled="f" stroked="f">
                  <v:textbox inset="0,0,0,0">
                    <w:txbxContent>
                      <w:p w14:paraId="0EF7F169" w14:textId="77777777" w:rsidR="00B32EF2" w:rsidRDefault="00000000">
                        <w:r>
                          <w:rPr>
                            <w:rFonts w:ascii="Arial" w:eastAsia="Arial" w:hAnsi="Arial" w:cs="Arial"/>
                            <w:i/>
                            <w:sz w:val="18"/>
                          </w:rPr>
                          <w:t xml:space="preserve">la Corte dei conti, la Banca centrale europea ed il Comitato delle regioni </w:t>
                        </w:r>
                      </w:p>
                    </w:txbxContent>
                  </v:textbox>
                </v:rect>
                <v:rect id="Rectangle 15946" o:spid="_x0000_s2305" style="position:absolute;left:2699;top:22672;width:364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a9uxQAAAN4AAAAPAAAAZHJzL2Rvd25yZXYueG1sRE9Na8JA&#10;EL0X+h+WKXirG0XFRlcRRcyhl1oLPQ7ZMYlmZ5fsaqK/3i0UvM3jfc582ZlaXKnxlWUFg34Cgji3&#10;uuJCweF7+z4F4QOyxtoyKbiRh+Xi9WWOqbYtf9F1HwoRQ9inqKAMwaVS+rwkg75vHXHkjrYxGCJs&#10;CqkbbGO4qeUwSSbSYMWxoURH65Ly8/5iFPxu2GXbVubH+9p9nrJpvbscfpTqvXWrGYhAXXiK/92Z&#10;jvPHH6MJ/L0Tb5CLBwAAAP//AwBQSwECLQAUAAYACAAAACEA2+H2y+4AAACFAQAAEwAAAAAAAAAA&#10;AAAAAAAAAAAAW0NvbnRlbnRfVHlwZXNdLnhtbFBLAQItABQABgAIAAAAIQBa9CxbvwAAABUBAAAL&#10;AAAAAAAAAAAAAAAAAB8BAABfcmVscy8ucmVsc1BLAQItABQABgAIAAAAIQAYga9uxQAAAN4AAAAP&#10;AAAAAAAAAAAAAAAAAAcCAABkcnMvZG93bnJldi54bWxQSwUGAAAAAAMAAwC3AAAA+QIAAAAA&#10;" filled="f" stroked="f">
                  <v:textbox inset="0,0,0,0">
                    <w:txbxContent>
                      <w:p w14:paraId="4D0FE8F4" w14:textId="77777777" w:rsidR="00B32EF2" w:rsidRDefault="00000000">
                        <w:r>
                          <w:rPr>
                            <w:rFonts w:ascii="Arial" w:eastAsia="Arial" w:hAnsi="Arial" w:cs="Arial"/>
                            <w:i/>
                            <w:sz w:val="18"/>
                          </w:rPr>
                          <w:t>propongono per salvaguardare le proprie prerogative.</w:t>
                        </w:r>
                      </w:p>
                    </w:txbxContent>
                  </v:textbox>
                </v:rect>
                <v:rect id="Rectangle 15947" o:spid="_x0000_s2306" style="position:absolute;left:-11871;top:21439;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Qr1xQAAAN4AAAAPAAAAZHJzL2Rvd25yZXYueG1sRE9Na8JA&#10;EL0X+h+WKXirm5ZaY+oqxSLm4EVrweOQHZO02dklu5ror3eFgrd5vM+ZznvTiBO1vras4GWYgCAu&#10;rK65VLD7Xj6nIHxA1thYJgVn8jCfPT5MMdO24w2dtqEUMYR9hgqqEFwmpS8qMuiH1hFH7mBbgyHC&#10;tpS6xS6Gm0a+Jsm7NFhzbKjQ0aKi4m97NAr2X+zyZSeLw2Xh1r952qyOux+lBk/95weIQH24i//d&#10;uY7zR5O3MdzeiTfI2RUAAP//AwBQSwECLQAUAAYACAAAACEA2+H2y+4AAACFAQAAEwAAAAAAAAAA&#10;AAAAAAAAAAAAW0NvbnRlbnRfVHlwZXNdLnhtbFBLAQItABQABgAIAAAAIQBa9CxbvwAAABUBAAAL&#10;AAAAAAAAAAAAAAAAAB8BAABfcmVscy8ucmVsc1BLAQItABQABgAIAAAAIQB3zQr1xQAAAN4AAAAP&#10;AAAAAAAAAAAAAAAAAAcCAABkcnMvZG93bnJldi54bWxQSwUGAAAAAAMAAwC3AAAA+QIAAAAA&#10;" filled="f" stroked="f">
                  <v:textbox inset="0,0,0,0">
                    <w:txbxContent>
                      <w:p w14:paraId="2BAD722C" w14:textId="77777777" w:rsidR="00B32EF2" w:rsidRDefault="00000000">
                        <w:r>
                          <w:rPr>
                            <w:rFonts w:ascii="Arial" w:eastAsia="Arial" w:hAnsi="Arial" w:cs="Arial"/>
                            <w:i/>
                            <w:sz w:val="18"/>
                          </w:rPr>
                          <w:t xml:space="preserve">Qualsiasi persona fisica o giuridica può proporrè alle condizioni previste al </w:t>
                        </w:r>
                      </w:p>
                    </w:txbxContent>
                  </v:textbox>
                </v:rect>
                <v:rect id="Rectangle 15948" o:spid="_x0000_s2307" style="position:absolute;left:-11859;top:20206;width:509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p6HyAAAAN4AAAAPAAAAZHJzL2Rvd25yZXYueG1sRI9Pb8Iw&#10;DMXvk/YdIk/iNtJN28Q6ApqYED1wGX+kHa3GtN0aJ2oC7fj0+IDEzdZ7fu/n6XxwrTpRFxvPBp7G&#10;GSji0tuGKwO77fJxAiomZIutZzLwTxHms/u7KebW9/xNp02qlIRwzNFAnVLItY5lTQ7j2Adi0Q6+&#10;c5hk7SptO+wl3LX6OcvetMOGpaHGQIuayr/N0Rn4+eJQLHtdHs6LsP4tJu3quNsbM3oYPj9AJRrS&#10;zXy9Lqzgv76/CK+8IzPo2QUAAP//AwBQSwECLQAUAAYACAAAACEA2+H2y+4AAACFAQAAEwAAAAAA&#10;AAAAAAAAAAAAAAAAW0NvbnRlbnRfVHlwZXNdLnhtbFBLAQItABQABgAIAAAAIQBa9CxbvwAAABUB&#10;AAALAAAAAAAAAAAAAAAAAB8BAABfcmVscy8ucmVsc1BLAQItABQABgAIAAAAIQAGUp6HyAAAAN4A&#10;AAAPAAAAAAAAAAAAAAAAAAcCAABkcnMvZG93bnJldi54bWxQSwUGAAAAAAMAAwC3AAAA/AIAAAAA&#10;" filled="f" stroked="f">
                  <v:textbox inset="0,0,0,0">
                    <w:txbxContent>
                      <w:p w14:paraId="39CB45CB" w14:textId="77777777" w:rsidR="00B32EF2" w:rsidRDefault="00000000">
                        <w:r>
                          <w:rPr>
                            <w:rFonts w:ascii="Arial" w:eastAsia="Arial" w:hAnsi="Arial" w:cs="Arial"/>
                            <w:i/>
                            <w:sz w:val="18"/>
                          </w:rPr>
                          <w:t xml:space="preserve">primo e secondo comma, un ricorso contro gli atti adottati nei suoi confronti </w:t>
                        </w:r>
                      </w:p>
                    </w:txbxContent>
                  </v:textbox>
                </v:rect>
                <v:rect id="Rectangle 15949" o:spid="_x0000_s2308" style="position:absolute;left:-10889;top:18972;width:500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jscxQAAAN4AAAAPAAAAZHJzL2Rvd25yZXYueG1sRE9La8JA&#10;EL4X/A/LCN7qxmJFo6uIRZpDL/UBHofsmESzs0t2NWl/fbcgeJuP7zmLVWdqcafGV5YVjIYJCOLc&#10;6ooLBYf99nUKwgdkjbVlUvBDHlbL3ssCU21b/qb7LhQihrBPUUEZgkul9HlJBv3QOuLInW1jMETY&#10;FFI32MZwU8u3JJlIgxXHhhIdbUrKr7ubUXD6YJdtW5mffzfu65JN68/b4ajUoN+t5yACdeEpfrgz&#10;Hee/z8Yz+H8n3iCXfwAAAP//AwBQSwECLQAUAAYACAAAACEA2+H2y+4AAACFAQAAEwAAAAAAAAAA&#10;AAAAAAAAAAAAW0NvbnRlbnRfVHlwZXNdLnhtbFBLAQItABQABgAIAAAAIQBa9CxbvwAAABUBAAAL&#10;AAAAAAAAAAAAAAAAAB8BAABfcmVscy8ucmVsc1BLAQItABQABgAIAAAAIQBpHjscxQAAAN4AAAAP&#10;AAAAAAAAAAAAAAAAAAcCAABkcnMvZG93bnJldi54bWxQSwUGAAAAAAMAAwC3AAAA+QIAAAAA&#10;" filled="f" stroked="f">
                  <v:textbox inset="0,0,0,0">
                    <w:txbxContent>
                      <w:p w14:paraId="4FF4B495" w14:textId="77777777" w:rsidR="00B32EF2" w:rsidRDefault="00000000">
                        <w:r>
                          <w:rPr>
                            <w:rFonts w:ascii="Arial" w:eastAsia="Arial" w:hAnsi="Arial" w:cs="Arial"/>
                            <w:i/>
                            <w:sz w:val="18"/>
                          </w:rPr>
                          <w:t>o che la riguardano direttamente e individualmente, e contro gli atti rego</w:t>
                        </w:r>
                      </w:p>
                    </w:txbxContent>
                  </v:textbox>
                </v:rect>
                <v:rect id="Rectangle 15950" o:spid="_x0000_s2309" style="position:absolute;left:975;top:1897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RcyAAAAN4AAAAPAAAAZHJzL2Rvd25yZXYueG1sRI9Pa8JA&#10;EMXvhX6HZQq91Y0Fi01dRSzSHHrxT6HHITsmabOzS3Y10U/vHARvM8yb995vthhcq07UxcazgfEo&#10;A0VcettwZWC/W79MQcWEbLH1TAbOFGExf3yYYW59zxs6bVOlxIRjjgbqlEKudSxrchhHPhDL7eA7&#10;h0nWrtK2w17MXatfs+xNO2xYEmoMtKqp/N8enYHfTw7Futfl4bIK33/FtP067n+MeX4alh+gEg3p&#10;Lr59F1bqT94nAiA4MoOeXwEAAP//AwBQSwECLQAUAAYACAAAACEA2+H2y+4AAACFAQAAEwAAAAAA&#10;AAAAAAAAAAAAAAAAW0NvbnRlbnRfVHlwZXNdLnhtbFBLAQItABQABgAIAAAAIQBa9CxbvwAAABUB&#10;AAALAAAAAAAAAAAAAAAAAB8BAABfcmVscy8ucmVsc1BLAQItABQABgAIAAAAIQB9/QRcyAAAAN4A&#10;AAAPAAAAAAAAAAAAAAAAAAcCAABkcnMvZG93bnJldi54bWxQSwUGAAAAAAMAAwC3AAAA/AIAAAAA&#10;" filled="f" stroked="f">
                  <v:textbox inset="0,0,0,0">
                    <w:txbxContent>
                      <w:p w14:paraId="6CF45A05" w14:textId="77777777" w:rsidR="00B32EF2" w:rsidRDefault="00000000">
                        <w:r>
                          <w:rPr>
                            <w:rFonts w:ascii="Arial" w:eastAsia="Arial" w:hAnsi="Arial" w:cs="Arial"/>
                            <w:i/>
                            <w:sz w:val="18"/>
                          </w:rPr>
                          <w:t>-</w:t>
                        </w:r>
                      </w:p>
                    </w:txbxContent>
                  </v:textbox>
                </v:rect>
                <v:rect id="Rectangle 15951" o:spid="_x0000_s2310" style="position:absolute;left:-11938;top:17739;width:512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aHHxAAAAN4AAAAPAAAAZHJzL2Rvd25yZXYueG1sRE9Li8Iw&#10;EL4v7H8II3jT1AUX7RpFXGR78OIL9jg0Y1ttJqGJtvrrN4Kwt/n4njNbdKYWN2p8ZVnBaJiAIM6t&#10;rrhQcNivBxMQPiBrrC2Tgjt5WMzf32aYatvylm67UIgYwj5FBWUILpXS5yUZ9EPriCN3so3BEGFT&#10;SN1gG8NNLT+S5FMarDg2lOhoVVJ+2V2Ngt9vdtm6lfnpsXKbczapf66Ho1L9Xrf8AhGoC//ilzvT&#10;cf54Oh7B8514g5z/AQAA//8DAFBLAQItABQABgAIAAAAIQDb4fbL7gAAAIUBAAATAAAAAAAAAAAA&#10;AAAAAAAAAABbQ29udGVudF9UeXBlc10ueG1sUEsBAi0AFAAGAAgAAAAhAFr0LFu/AAAAFQEAAAsA&#10;AAAAAAAAAAAAAAAAHwEAAF9yZWxzLy5yZWxzUEsBAi0AFAAGAAgAAAAhABKxocfEAAAA3gAAAA8A&#10;AAAAAAAAAAAAAAAABwIAAGRycy9kb3ducmV2LnhtbFBLBQYAAAAAAwADALcAAAD4AgAAAAA=&#10;" filled="f" stroked="f">
                  <v:textbox inset="0,0,0,0">
                    <w:txbxContent>
                      <w:p w14:paraId="105D8CA3" w14:textId="77777777" w:rsidR="00B32EF2" w:rsidRDefault="00000000">
                        <w:r>
                          <w:rPr>
                            <w:rFonts w:ascii="Arial" w:eastAsia="Arial" w:hAnsi="Arial" w:cs="Arial"/>
                            <w:i/>
                            <w:sz w:val="18"/>
                          </w:rPr>
                          <w:t xml:space="preserve">lamentari che la riguardano direttamente e che non comportano alcuna </w:t>
                        </w:r>
                      </w:p>
                    </w:txbxContent>
                  </v:textbox>
                </v:rect>
                <v:rect id="Rectangle 15952" o:spid="_x0000_s2311" style="position:absolute;left:24745;top:16506;width:143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z+wxAAAAN4AAAAPAAAAZHJzL2Rvd25yZXYueG1sRE9Ni8Iw&#10;EL0v+B/CCN40VXBxu0YRRezBy6oLexyasa02k9BEW/31mwVhb/N4nzNfdqYWd2p8ZVnBeJSAIM6t&#10;rrhQcDpuhzMQPiBrrC2Tggd5WC56b3NMtW35i+6HUIgYwj5FBWUILpXS5yUZ9CPriCN3to3BEGFT&#10;SN1gG8NNLSdJ8i4NVhwbSnS0Lim/Hm5Gwc+GXbZtZX5+rt3+ks3q3e30rdSg360+QQTqwr/45c50&#10;nD/9mE7g7514g1z8AgAA//8DAFBLAQItABQABgAIAAAAIQDb4fbL7gAAAIUBAAATAAAAAAAAAAAA&#10;AAAAAAAAAABbQ29udGVudF9UeXBlc10ueG1sUEsBAi0AFAAGAAgAAAAhAFr0LFu/AAAAFQEAAAsA&#10;AAAAAAAAAAAAAAAAHwEAAF9yZWxzLy5yZWxzUEsBAi0AFAAGAAgAAAAhAOJjP7DEAAAA3gAAAA8A&#10;AAAAAAAAAAAAAAAABwIAAGRycy9kb3ducmV2LnhtbFBLBQYAAAAAAwADALcAAAD4AgAAAAA=&#10;" filled="f" stroked="f">
                  <v:textbox inset="0,0,0,0">
                    <w:txbxContent>
                      <w:p w14:paraId="5A384CB1" w14:textId="77777777" w:rsidR="00B32EF2" w:rsidRDefault="00000000">
                        <w:r>
                          <w:rPr>
                            <w:rFonts w:ascii="Arial" w:eastAsia="Arial" w:hAnsi="Arial" w:cs="Arial"/>
                            <w:i/>
                            <w:sz w:val="18"/>
                          </w:rPr>
                          <w:t>misura d’esecuzione.</w:t>
                        </w:r>
                      </w:p>
                    </w:txbxContent>
                  </v:textbox>
                </v:rect>
                <v:rect id="Rectangle 15953" o:spid="_x0000_s2312" style="position:absolute;left:-10903;top:15272;width:500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5orxQAAAN4AAAAPAAAAZHJzL2Rvd25yZXYueG1sRE9Na8JA&#10;EL0X+h+WKXirGxWLja4iipiDl1oLPQ7ZMYlmZ5fsaqK/3i0UvM3jfc5s0ZlaXKnxlWUFg34Cgji3&#10;uuJCweF78z4B4QOyxtoyKbiRh8X89WWGqbYtf9F1HwoRQ9inqKAMwaVS+rwkg75vHXHkjrYxGCJs&#10;CqkbbGO4qeUwST6kwYpjQ4mOViXl5/3FKPhds8s2rcyP95XbnbJJvb0cfpTqvXXLKYhAXXiK/92Z&#10;jvPHn+MR/L0Tb5DzBwAAAP//AwBQSwECLQAUAAYACAAAACEA2+H2y+4AAACFAQAAEwAAAAAAAAAA&#10;AAAAAAAAAAAAW0NvbnRlbnRfVHlwZXNdLnhtbFBLAQItABQABgAIAAAAIQBa9CxbvwAAABUBAAAL&#10;AAAAAAAAAAAAAAAAAB8BAABfcmVscy8ucmVsc1BLAQItABQABgAIAAAAIQCNL5orxQAAAN4AAAAP&#10;AAAAAAAAAAAAAAAAAAcCAABkcnMvZG93bnJldi54bWxQSwUGAAAAAAMAAwC3AAAA+QIAAAAA&#10;" filled="f" stroked="f">
                  <v:textbox inset="0,0,0,0">
                    <w:txbxContent>
                      <w:p w14:paraId="6EB5974B" w14:textId="77777777" w:rsidR="00B32EF2" w:rsidRDefault="00000000">
                        <w:r>
                          <w:rPr>
                            <w:rFonts w:ascii="Arial" w:eastAsia="Arial" w:hAnsi="Arial" w:cs="Arial"/>
                            <w:i/>
                            <w:sz w:val="18"/>
                          </w:rPr>
                          <w:t>Gli atti che istituiscono gli organi e organismi dell’Unione possono preve</w:t>
                        </w:r>
                      </w:p>
                    </w:txbxContent>
                  </v:textbox>
                </v:rect>
                <v:rect id="Rectangle 15954" o:spid="_x0000_s2313" style="position:absolute;left:975;top:1527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gJfxQAAAN4AAAAPAAAAZHJzL2Rvd25yZXYueG1sRE9Na8JA&#10;EL0X+h+WKXirG0WLja4iipiDl1oLPQ7ZMYlmZ5fsaqK/3i0UvM3jfc5s0ZlaXKnxlWUFg34Cgji3&#10;uuJCweF78z4B4QOyxtoyKbiRh8X89WWGqbYtf9F1HwoRQ9inqKAMwaVS+rwkg75vHXHkjrYxGCJs&#10;CqkbbGO4qeUwST6kwYpjQ4mOViXl5/3FKPhds8s2rcyP95XbnbJJvb0cfpTqvXXLKYhAXXiK/92Z&#10;jvPHn+MR/L0Tb5DzBwAAAP//AwBQSwECLQAUAAYACAAAACEA2+H2y+4AAACFAQAAEwAAAAAAAAAA&#10;AAAAAAAAAAAAW0NvbnRlbnRfVHlwZXNdLnhtbFBLAQItABQABgAIAAAAIQBa9CxbvwAAABUBAAAL&#10;AAAAAAAAAAAAAAAAAB8BAABfcmVscy8ucmVsc1BLAQItABQABgAIAAAAIQACxgJfxQAAAN4AAAAP&#10;AAAAAAAAAAAAAAAAAAcCAABkcnMvZG93bnJldi54bWxQSwUGAAAAAAMAAwC3AAAA+QIAAAAA&#10;" filled="f" stroked="f">
                  <v:textbox inset="0,0,0,0">
                    <w:txbxContent>
                      <w:p w14:paraId="316D8C82" w14:textId="77777777" w:rsidR="00B32EF2" w:rsidRDefault="00000000">
                        <w:r>
                          <w:rPr>
                            <w:rFonts w:ascii="Arial" w:eastAsia="Arial" w:hAnsi="Arial" w:cs="Arial"/>
                            <w:i/>
                            <w:sz w:val="18"/>
                          </w:rPr>
                          <w:t>-</w:t>
                        </w:r>
                      </w:p>
                    </w:txbxContent>
                  </v:textbox>
                </v:rect>
                <v:rect id="Rectangle 15955" o:spid="_x0000_s2314" style="position:absolute;left:-11871;top:14039;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qfExAAAAN4AAAAPAAAAZHJzL2Rvd25yZXYueG1sRE9Na8JA&#10;EL0L/Q/LCN7qRiGiqasUi5iDl6qFHofsmKTNzi7Z1UR/vVsoeJvH+5zlujeNuFLra8sKJuMEBHFh&#10;dc2lgtNx+zoH4QOyxsYyKbiRh/XqZbDETNuOP+l6CKWIIewzVFCF4DIpfVGRQT+2jjhyZ9saDBG2&#10;pdQtdjHcNHKaJDNpsObYUKGjTUXF7+FiFHx/sMu3nSzO943b/+TzZnc5fSk1GvbvbyAC9eEp/nfn&#10;Os5PF2kKf+/EG+TqAQAA//8DAFBLAQItABQABgAIAAAAIQDb4fbL7gAAAIUBAAATAAAAAAAAAAAA&#10;AAAAAAAAAABbQ29udGVudF9UeXBlc10ueG1sUEsBAi0AFAAGAAgAAAAhAFr0LFu/AAAAFQEAAAsA&#10;AAAAAAAAAAAAAAAAHwEAAF9yZWxzLy5yZWxzUEsBAi0AFAAGAAgAAAAhAG2Kp8TEAAAA3gAAAA8A&#10;AAAAAAAAAAAAAAAABwIAAGRycy9kb3ducmV2LnhtbFBLBQYAAAAAAwADALcAAAD4AgAAAAA=&#10;" filled="f" stroked="f">
                  <v:textbox inset="0,0,0,0">
                    <w:txbxContent>
                      <w:p w14:paraId="65A00CC9" w14:textId="77777777" w:rsidR="00B32EF2" w:rsidRDefault="00000000">
                        <w:r>
                          <w:rPr>
                            <w:rFonts w:ascii="Arial" w:eastAsia="Arial" w:hAnsi="Arial" w:cs="Arial"/>
                            <w:i/>
                            <w:sz w:val="18"/>
                          </w:rPr>
                          <w:t xml:space="preserve">dere condizioni e modalità specifiche relative ai ricorsi proposti da persone </w:t>
                        </w:r>
                      </w:p>
                    </w:txbxContent>
                  </v:textbox>
                </v:rect>
                <v:rect id="Rectangle 15956" o:spid="_x0000_s2315" style="position:absolute;left:-10978;top:12806;width:50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DmzxAAAAN4AAAAPAAAAZHJzL2Rvd25yZXYueG1sRE9Li8Iw&#10;EL4v+B/CCN7WdBcUrUZZXMQe9uILPA7N2FabSWiirf76jbCwt/n4njNfdqYWd2p8ZVnBxzABQZxb&#10;XXGh4LBfv09A+ICssbZMCh7kYbnovc0x1bblLd13oRAxhH2KCsoQXCqlz0sy6IfWEUfubBuDIcKm&#10;kLrBNoabWn4myVgarDg2lOhoVVJ+3d2MgtM3u2zdyvz8XLmfSzapN7fDUalBv/uagQjUhX/xnzvT&#10;cf5oOhrD6514g1z8AgAA//8DAFBLAQItABQABgAIAAAAIQDb4fbL7gAAAIUBAAATAAAAAAAAAAAA&#10;AAAAAAAAAABbQ29udGVudF9UeXBlc10ueG1sUEsBAi0AFAAGAAgAAAAhAFr0LFu/AAAAFQEAAAsA&#10;AAAAAAAAAAAAAAAAHwEAAF9yZWxzLy5yZWxzUEsBAi0AFAAGAAgAAAAhAJ1YObPEAAAA3gAAAA8A&#10;AAAAAAAAAAAAAAAABwIAAGRycy9kb3ducmV2LnhtbFBLBQYAAAAAAwADALcAAAD4AgAAAAA=&#10;" filled="f" stroked="f">
                  <v:textbox inset="0,0,0,0">
                    <w:txbxContent>
                      <w:p w14:paraId="4591C5E4" w14:textId="77777777" w:rsidR="00B32EF2" w:rsidRDefault="00000000">
                        <w:r>
                          <w:rPr>
                            <w:rFonts w:ascii="Arial" w:eastAsia="Arial" w:hAnsi="Arial" w:cs="Arial"/>
                            <w:i/>
                            <w:sz w:val="18"/>
                          </w:rPr>
                          <w:t>fisiche o giuridiche contro atti di detti organi o organismi destinati a produr</w:t>
                        </w:r>
                      </w:p>
                    </w:txbxContent>
                  </v:textbox>
                </v:rect>
                <v:rect id="Rectangle 15957" o:spid="_x0000_s2316" style="position:absolute;left:975;top:1280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woxQAAAN4AAAAPAAAAZHJzL2Rvd25yZXYueG1sRE9Na8JA&#10;EL0L/Q/LFLzpRsHWRlcRRczBS62FHofsmESzs0t2NbG/3i0UvM3jfc582Zla3KjxlWUFo2ECgji3&#10;uuJCwfFrO5iC8AFZY22ZFNzJw3Lx0ptjqm3Ln3Q7hELEEPYpKihDcKmUPi/JoB9aRxy5k20Mhgib&#10;QuoG2xhuajlOkjdpsOLYUKKjdUn55XA1Cn427LJtK/PT79rtz9m03l2P30r1X7vVDESgLjzF/+5M&#10;x/mTj8k7/L0Tb5CLBwAAAP//AwBQSwECLQAUAAYACAAAACEA2+H2y+4AAACFAQAAEwAAAAAAAAAA&#10;AAAAAAAAAAAAW0NvbnRlbnRfVHlwZXNdLnhtbFBLAQItABQABgAIAAAAIQBa9CxbvwAAABUBAAAL&#10;AAAAAAAAAAAAAAAAAB8BAABfcmVscy8ucmVsc1BLAQItABQABgAIAAAAIQDyFJwoxQAAAN4AAAAP&#10;AAAAAAAAAAAAAAAAAAcCAABkcnMvZG93bnJldi54bWxQSwUGAAAAAAMAAwC3AAAA+QIAAAAA&#10;" filled="f" stroked="f">
                  <v:textbox inset="0,0,0,0">
                    <w:txbxContent>
                      <w:p w14:paraId="2EC5F226" w14:textId="77777777" w:rsidR="00B32EF2" w:rsidRDefault="00000000">
                        <w:r>
                          <w:rPr>
                            <w:rFonts w:ascii="Arial" w:eastAsia="Arial" w:hAnsi="Arial" w:cs="Arial"/>
                            <w:i/>
                            <w:sz w:val="18"/>
                          </w:rPr>
                          <w:t>-</w:t>
                        </w:r>
                      </w:p>
                    </w:txbxContent>
                  </v:textbox>
                </v:rect>
                <v:rect id="Rectangle 15958" o:spid="_x0000_s2317" style="position:absolute;left:15532;top:11573;width:2360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whayAAAAN4AAAAPAAAAZHJzL2Rvd25yZXYueG1sRI9Pa8JA&#10;EMXvhX6HZQq91Y0Fi01dRSzSHHrxT6HHITsmabOzS3Y10U/vHARvM7w37/1mthhcq07UxcazgfEo&#10;A0VcettwZWC/W79MQcWEbLH1TAbOFGExf3yYYW59zxs6bVOlJIRjjgbqlEKudSxrchhHPhCLdvCd&#10;wyRrV2nbYS/hrtWvWfamHTYsDTUGWtVU/m+PzsDvJ4di3evycFmF779i2n4d9z/GPD8Nyw9QiYZ0&#10;N9+uCyv4k/eJ8Mo7MoOeXwEAAP//AwBQSwECLQAUAAYACAAAACEA2+H2y+4AAACFAQAAEwAAAAAA&#10;AAAAAAAAAAAAAAAAW0NvbnRlbnRfVHlwZXNdLnhtbFBLAQItABQABgAIAAAAIQBa9CxbvwAAABUB&#10;AAALAAAAAAAAAAAAAAAAAB8BAABfcmVscy8ucmVsc1BLAQItABQABgAIAAAAIQCDiwhayAAAAN4A&#10;AAAPAAAAAAAAAAAAAAAAAAcCAABkcnMvZG93bnJldi54bWxQSwUGAAAAAAMAAwC3AAAA/AIAAAAA&#10;" filled="f" stroked="f">
                  <v:textbox inset="0,0,0,0">
                    <w:txbxContent>
                      <w:p w14:paraId="197150F5" w14:textId="77777777" w:rsidR="00B32EF2" w:rsidRDefault="00000000">
                        <w:r>
                          <w:rPr>
                            <w:rFonts w:ascii="Arial" w:eastAsia="Arial" w:hAnsi="Arial" w:cs="Arial"/>
                            <w:i/>
                            <w:sz w:val="18"/>
                          </w:rPr>
                          <w:t>re effetti giuridici nei loro confronti.</w:t>
                        </w:r>
                      </w:p>
                    </w:txbxContent>
                  </v:textbox>
                </v:rect>
                <v:rect id="Rectangle 15959" o:spid="_x0000_s2318" style="position:absolute;left:-11908;top:10339;width:511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63BxAAAAN4AAAAPAAAAZHJzL2Rvd25yZXYueG1sRE9Ni8Iw&#10;EL0L/ocwgjdNFVy0axRRxB72sq4Lexyasa02k9BEW/31m4UFb/N4n7Ncd6YWd2p8ZVnBZJyAIM6t&#10;rrhQcPraj+YgfEDWWFsmBQ/ysF71e0tMtW35k+7HUIgYwj5FBWUILpXS5yUZ9GPriCN3to3BEGFT&#10;SN1gG8NNLadJ8iYNVhwbSnS0LSm/Hm9Gwc+OXbZvZX5+bt3HJZvXh9vpW6nhoNu8gwjUhZf4353p&#10;OH+2mC3g7514g1z9AgAA//8DAFBLAQItABQABgAIAAAAIQDb4fbL7gAAAIUBAAATAAAAAAAAAAAA&#10;AAAAAAAAAABbQ29udGVudF9UeXBlc10ueG1sUEsBAi0AFAAGAAgAAAAhAFr0LFu/AAAAFQEAAAsA&#10;AAAAAAAAAAAAAAAAHwEAAF9yZWxzLy5yZWxzUEsBAi0AFAAGAAgAAAAhAOzHrcHEAAAA3gAAAA8A&#10;AAAAAAAAAAAAAAAABwIAAGRycy9kb3ducmV2LnhtbFBLBQYAAAAAAwADALcAAAD4AgAAAAA=&#10;" filled="f" stroked="f">
                  <v:textbox inset="0,0,0,0">
                    <w:txbxContent>
                      <w:p w14:paraId="24D946B8" w14:textId="77777777" w:rsidR="00B32EF2" w:rsidRDefault="00000000">
                        <w:r>
                          <w:rPr>
                            <w:rFonts w:ascii="Arial" w:eastAsia="Arial" w:hAnsi="Arial" w:cs="Arial"/>
                            <w:i/>
                            <w:sz w:val="18"/>
                          </w:rPr>
                          <w:t xml:space="preserve">I ricorsi previsti dal presente articolo devono essere proposti nel termine </w:t>
                        </w:r>
                      </w:p>
                    </w:txbxContent>
                  </v:textbox>
                </v:rect>
                <v:rect id="Rectangle 15960" o:spid="_x0000_s2319" style="position:absolute;left:-11877;top:9106;width:510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c7hyAAAAN4AAAAPAAAAZHJzL2Rvd25yZXYueG1sRI9Pa8JA&#10;EMXvgt9hGaE33bRQsamrFIs0h178U+hxyI5J2uzskl1N2k/vHARvM8yb995vuR5cqy7UxcazgcdZ&#10;Boq49LbhysDxsJ0uQMWEbLH1TAb+KMJ6NR4tMbe+5x1d9qlSYsIxRwN1SiHXOpY1OYwzH4jldvKd&#10;wyRrV2nbYS/mrtVPWTbXDhuWhBoDbWoqf/dnZ+D7nUOx7XV5+t+Ez59i0X6cj1/GPEyGt1dQiYZ0&#10;F9++Cyv1n1/mAiA4MoNeXQEAAP//AwBQSwECLQAUAAYACAAAACEA2+H2y+4AAACFAQAAEwAAAAAA&#10;AAAAAAAAAAAAAAAAW0NvbnRlbnRfVHlwZXNdLnhtbFBLAQItABQABgAIAAAAIQBa9CxbvwAAABUB&#10;AAALAAAAAAAAAAAAAAAAAB8BAABfcmVscy8ucmVsc1BLAQItABQABgAIAAAAIQCzkc7hyAAAAN4A&#10;AAAPAAAAAAAAAAAAAAAAAAcCAABkcnMvZG93bnJldi54bWxQSwUGAAAAAAMAAwC3AAAA/AIAAAAA&#10;" filled="f" stroked="f">
                  <v:textbox inset="0,0,0,0">
                    <w:txbxContent>
                      <w:p w14:paraId="063BEA41" w14:textId="77777777" w:rsidR="00B32EF2" w:rsidRDefault="00000000">
                        <w:r>
                          <w:rPr>
                            <w:rFonts w:ascii="Arial" w:eastAsia="Arial" w:hAnsi="Arial" w:cs="Arial"/>
                            <w:i/>
                            <w:sz w:val="18"/>
                          </w:rPr>
                          <w:t xml:space="preserve">di due mesi a decorrere, secondo i casi, dalla pubblicazione dell’atto, dalla </w:t>
                        </w:r>
                      </w:p>
                    </w:txbxContent>
                  </v:textbox>
                </v:rect>
                <v:rect id="Rectangle 15961" o:spid="_x0000_s2320" style="position:absolute;left:-10979;top:7873;width:501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Wt6xAAAAN4AAAAPAAAAZHJzL2Rvd25yZXYueG1sRE9Li8Iw&#10;EL4L+x/CLHhbUxcUrUZZXGR78LI+wOPQjG21mYQm2uqvNwsL3ubje8582Zla3KjxlWUFw0ECgji3&#10;uuJCwX63/piA8AFZY22ZFNzJw3Lx1ptjqm3Lv3TbhkLEEPYpKihDcKmUPi/JoB9YRxy5k20Mhgib&#10;QuoG2xhuavmZJGNpsOLYUKKjVUn5ZXs1Co7f7LJ1K/PTY+U252xS/1z3B6X6793XDESgLrzE/+5M&#10;x/mj6XgIf+/EG+TiCQAA//8DAFBLAQItABQABgAIAAAAIQDb4fbL7gAAAIUBAAATAAAAAAAAAAAA&#10;AAAAAAAAAABbQ29udGVudF9UeXBlc10ueG1sUEsBAi0AFAAGAAgAAAAhAFr0LFu/AAAAFQEAAAsA&#10;AAAAAAAAAAAAAAAAHwEAAF9yZWxzLy5yZWxzUEsBAi0AFAAGAAgAAAAhANzda3rEAAAA3gAAAA8A&#10;AAAAAAAAAAAAAAAABwIAAGRycy9kb3ducmV2LnhtbFBLBQYAAAAAAwADALcAAAD4AgAAAAA=&#10;" filled="f" stroked="f">
                  <v:textbox inset="0,0,0,0">
                    <w:txbxContent>
                      <w:p w14:paraId="7FEC3274" w14:textId="77777777" w:rsidR="00B32EF2" w:rsidRDefault="00000000">
                        <w:r>
                          <w:rPr>
                            <w:rFonts w:ascii="Arial" w:eastAsia="Arial" w:hAnsi="Arial" w:cs="Arial"/>
                            <w:i/>
                            <w:sz w:val="18"/>
                          </w:rPr>
                          <w:t>sua notificazione al ricorrente ovvero, in mancanza, dal giorno in cui il ricor</w:t>
                        </w:r>
                      </w:p>
                    </w:txbxContent>
                  </v:textbox>
                </v:rect>
                <v:rect id="Rectangle 15962" o:spid="_x0000_s2321" style="position:absolute;left:975;top:787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UNxAAAAN4AAAAPAAAAZHJzL2Rvd25yZXYueG1sRE9Li8Iw&#10;EL4v+B/CCN7WdAVFq1EWF9ke9uILPA7N2FabSWiirf76jbCwt/n4nrNYdaYWd2p8ZVnBxzABQZxb&#10;XXGh4LDfvE9B+ICssbZMCh7kYbXsvS0w1bblLd13oRAxhH2KCsoQXCqlz0sy6IfWEUfubBuDIcKm&#10;kLrBNoabWo6SZCINVhwbSnS0Lim/7m5GwemLXbZpZX5+rt3PJZvW37fDUalBv/ucgwjUhX/xnzvT&#10;cf54NhnB6514g1z+AgAA//8DAFBLAQItABQABgAIAAAAIQDb4fbL7gAAAIUBAAATAAAAAAAAAAAA&#10;AAAAAAAAAABbQ29udGVudF9UeXBlc10ueG1sUEsBAi0AFAAGAAgAAAAhAFr0LFu/AAAAFQEAAAsA&#10;AAAAAAAAAAAAAAAAHwEAAF9yZWxzLy5yZWxzUEsBAi0AFAAGAAgAAAAhACwP9Q3EAAAA3gAAAA8A&#10;AAAAAAAAAAAAAAAABwIAAGRycy9kb3ducmV2LnhtbFBLBQYAAAAAAwADALcAAAD4AgAAAAA=&#10;" filled="f" stroked="f">
                  <v:textbox inset="0,0,0,0">
                    <w:txbxContent>
                      <w:p w14:paraId="149FF9A7" w14:textId="77777777" w:rsidR="00B32EF2" w:rsidRDefault="00000000">
                        <w:r>
                          <w:rPr>
                            <w:rFonts w:ascii="Arial" w:eastAsia="Arial" w:hAnsi="Arial" w:cs="Arial"/>
                            <w:i/>
                            <w:sz w:val="18"/>
                          </w:rPr>
                          <w:t>-</w:t>
                        </w:r>
                      </w:p>
                    </w:txbxContent>
                  </v:textbox>
                </v:rect>
                <v:rect id="Rectangle 15963" o:spid="_x0000_s2322" style="position:absolute;left:18218;top:6639;width:209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1CWxQAAAN4AAAAPAAAAZHJzL2Rvd25yZXYueG1sRE9Na8JA&#10;EL0X+h+WKXirGxXFRlcRRcyhl1oLPQ7ZMYlmZ5fsaqK/3i0UvM3jfc582ZlaXKnxlWUFg34Cgji3&#10;uuJCweF7+z4F4QOyxtoyKbiRh+Xi9WWOqbYtf9F1HwoRQ9inqKAMwaVS+rwkg75vHXHkjrYxGCJs&#10;CqkbbGO4qeUwSSbSYMWxoURH65Ly8/5iFPxu2GXbVubH+9p9nrJpvbscfpTqvXWrGYhAXXiK/92Z&#10;jvPHH5MR/L0Tb5CLBwAAAP//AwBQSwECLQAUAAYACAAAACEA2+H2y+4AAACFAQAAEwAAAAAAAAAA&#10;AAAAAAAAAAAAW0NvbnRlbnRfVHlwZXNdLnhtbFBLAQItABQABgAIAAAAIQBa9CxbvwAAABUBAAAL&#10;AAAAAAAAAAAAAAAAAB8BAABfcmVscy8ucmVsc1BLAQItABQABgAIAAAAIQBDQ1CWxQAAAN4AAAAP&#10;AAAAAAAAAAAAAAAAAAcCAABkcnMvZG93bnJldi54bWxQSwUGAAAAAAMAAwC3AAAA+QIAAAAA&#10;" filled="f" stroked="f">
                  <v:textbox inset="0,0,0,0">
                    <w:txbxContent>
                      <w:p w14:paraId="26F7776A" w14:textId="77777777" w:rsidR="00B32EF2" w:rsidRDefault="00000000">
                        <w:r>
                          <w:rPr>
                            <w:rFonts w:ascii="Arial" w:eastAsia="Arial" w:hAnsi="Arial" w:cs="Arial"/>
                            <w:i/>
                            <w:sz w:val="18"/>
                          </w:rPr>
                          <w:t>rente ne ha avuto conoscenza.</w:t>
                        </w:r>
                      </w:p>
                    </w:txbxContent>
                  </v:textbox>
                </v:rect>
                <v:shape id="Shape 15964" o:spid="_x0000_s2323" style="position:absolute;left:318;top:4822;width:39600;height:44729;visibility:visible;mso-wrap-style:square;v-text-anchor:top" coordsize="3960000,4472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rQ5xQAAAN4AAAAPAAAAZHJzL2Rvd25yZXYueG1sRE9LawIx&#10;EL4L/ocwQi/SzVpaW7dGkRah4KWuHjwOm9mHbiZLkurqr2+EQm/z8T1nvuxNK87kfGNZwSRJQRAX&#10;VjdcKdjv1o9vIHxA1thaJgVX8rBcDAdzzLS98JbOeahEDGGfoYI6hC6T0hc1GfSJ7YgjV1pnMETo&#10;KqkdXmK4aeVTmk6lwYZjQ40dfdRUnPIfo+Dm9bj0n6VNKd+Y2euxdd+HtVIPo371DiJQH/7Ff+4v&#10;Hee/zKbPcH8n3iAXvwAAAP//AwBQSwECLQAUAAYACAAAACEA2+H2y+4AAACFAQAAEwAAAAAAAAAA&#10;AAAAAAAAAAAAW0NvbnRlbnRfVHlwZXNdLnhtbFBLAQItABQABgAIAAAAIQBa9CxbvwAAABUBAAAL&#10;AAAAAAAAAAAAAAAAAB8BAABfcmVscy8ucmVsc1BLAQItABQABgAIAAAAIQDINrQ5xQAAAN4AAAAP&#10;AAAAAAAAAAAAAAAAAAcCAABkcnMvZG93bnJldi54bWxQSwUGAAAAAAMAAwC3AAAA+QIAAAAA&#10;" path="m,4472902r3960000,l3960000,,,,,4472902xe" filled="f" strokeweight="1pt">
                  <v:stroke miterlimit="1" joinstyle="miter"/>
                  <v:path arrowok="t" textboxrect="0,0,3960000,4472902"/>
                </v:shape>
                <w10:anchorlock/>
              </v:group>
            </w:pict>
          </mc:Fallback>
        </mc:AlternateContent>
      </w:r>
    </w:p>
    <w:p w14:paraId="552E67B4" w14:textId="77777777" w:rsidR="00B32EF2" w:rsidRDefault="00000000">
      <w:pPr>
        <w:spacing w:after="0"/>
        <w:ind w:left="-356" w:right="-306"/>
      </w:pPr>
      <w:r>
        <w:rPr>
          <w:noProof/>
        </w:rPr>
        <w:lastRenderedPageBreak/>
        <mc:AlternateContent>
          <mc:Choice Requires="wpg">
            <w:drawing>
              <wp:inline distT="0" distB="0" distL="0" distR="0" wp14:anchorId="4B3E4FC9" wp14:editId="3087A770">
                <wp:extent cx="3991813" cy="6262854"/>
                <wp:effectExtent l="0" t="0" r="0" b="0"/>
                <wp:docPr id="200288" name="Group 200288"/>
                <wp:cNvGraphicFramePr/>
                <a:graphic xmlns:a="http://schemas.openxmlformats.org/drawingml/2006/main">
                  <a:graphicData uri="http://schemas.microsoft.com/office/word/2010/wordprocessingGroup">
                    <wpg:wgp>
                      <wpg:cNvGrpSpPr/>
                      <wpg:grpSpPr>
                        <a:xfrm>
                          <a:off x="0" y="0"/>
                          <a:ext cx="3991813" cy="6262854"/>
                          <a:chOff x="0" y="0"/>
                          <a:chExt cx="3991813" cy="6262854"/>
                        </a:xfrm>
                      </wpg:grpSpPr>
                      <wps:wsp>
                        <wps:cNvPr id="16029" name="Rectangle 16029"/>
                        <wps:cNvSpPr/>
                        <wps:spPr>
                          <a:xfrm rot="-10799999">
                            <a:off x="1900499" y="-62190"/>
                            <a:ext cx="178369" cy="250646"/>
                          </a:xfrm>
                          <a:prstGeom prst="rect">
                            <a:avLst/>
                          </a:prstGeom>
                          <a:ln>
                            <a:noFill/>
                          </a:ln>
                        </wps:spPr>
                        <wps:txbx>
                          <w:txbxContent>
                            <w:p w14:paraId="498EE60D" w14:textId="77777777" w:rsidR="00B32EF2" w:rsidRDefault="00000000">
                              <w:r>
                                <w:rPr>
                                  <w:rFonts w:ascii="Times New Roman" w:eastAsia="Times New Roman" w:hAnsi="Times New Roman" w:cs="Times New Roman"/>
                                </w:rPr>
                                <w:t>86</w:t>
                              </w:r>
                            </w:p>
                          </w:txbxContent>
                        </wps:txbx>
                        <wps:bodyPr horzOverflow="overflow" vert="horz" lIns="0" tIns="0" rIns="0" bIns="0" rtlCol="0">
                          <a:noAutofit/>
                        </wps:bodyPr>
                      </wps:wsp>
                      <wps:wsp>
                        <wps:cNvPr id="16030" name="Rectangle 16030"/>
                        <wps:cNvSpPr/>
                        <wps:spPr>
                          <a:xfrm rot="-10799999">
                            <a:off x="-1317175" y="6119964"/>
                            <a:ext cx="5308989" cy="142890"/>
                          </a:xfrm>
                          <a:prstGeom prst="rect">
                            <a:avLst/>
                          </a:prstGeom>
                          <a:ln>
                            <a:noFill/>
                          </a:ln>
                        </wps:spPr>
                        <wps:txbx>
                          <w:txbxContent>
                            <w:p w14:paraId="7D609142" w14:textId="77777777" w:rsidR="00B32EF2" w:rsidRDefault="00000000">
                              <w:r>
                                <w:rPr>
                                  <w:rFonts w:ascii="Arial" w:eastAsia="Arial" w:hAnsi="Arial" w:cs="Arial"/>
                                  <w:sz w:val="18"/>
                                </w:rPr>
                                <w:t xml:space="preserve">una decisione adottata dalla Commissione europea ai sensi dell’articolo 16 del </w:t>
                              </w:r>
                            </w:p>
                          </w:txbxContent>
                        </wps:txbx>
                        <wps:bodyPr horzOverflow="overflow" vert="horz" lIns="0" tIns="0" rIns="0" bIns="0" rtlCol="0">
                          <a:noAutofit/>
                        </wps:bodyPr>
                      </wps:wsp>
                      <wps:wsp>
                        <wps:cNvPr id="16031" name="Rectangle 16031"/>
                        <wps:cNvSpPr/>
                        <wps:spPr>
                          <a:xfrm rot="-10799999">
                            <a:off x="-1217546" y="5996634"/>
                            <a:ext cx="5204903" cy="142891"/>
                          </a:xfrm>
                          <a:prstGeom prst="rect">
                            <a:avLst/>
                          </a:prstGeom>
                          <a:ln>
                            <a:noFill/>
                          </a:ln>
                        </wps:spPr>
                        <wps:txbx>
                          <w:txbxContent>
                            <w:p w14:paraId="3FABCB08" w14:textId="77777777" w:rsidR="00B32EF2" w:rsidRDefault="00000000">
                              <w:r>
                                <w:rPr>
                                  <w:rFonts w:ascii="Arial" w:eastAsia="Arial" w:hAnsi="Arial" w:cs="Arial"/>
                                  <w:sz w:val="18"/>
                                </w:rPr>
                                <w:t>regolamento (UE) n. 2015/1589 del Consiglio, del 13 luglio 2015, di seguito de</w:t>
                              </w:r>
                            </w:p>
                          </w:txbxContent>
                        </wps:txbx>
                        <wps:bodyPr horzOverflow="overflow" vert="horz" lIns="0" tIns="0" rIns="0" bIns="0" rtlCol="0">
                          <a:noAutofit/>
                        </wps:bodyPr>
                      </wps:wsp>
                      <wps:wsp>
                        <wps:cNvPr id="16032" name="Rectangle 16032"/>
                        <wps:cNvSpPr/>
                        <wps:spPr>
                          <a:xfrm rot="-10799999">
                            <a:off x="19215" y="5996635"/>
                            <a:ext cx="50622" cy="142890"/>
                          </a:xfrm>
                          <a:prstGeom prst="rect">
                            <a:avLst/>
                          </a:prstGeom>
                          <a:ln>
                            <a:noFill/>
                          </a:ln>
                        </wps:spPr>
                        <wps:txbx>
                          <w:txbxContent>
                            <w:p w14:paraId="4D0C6D3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033" name="Rectangle 16033"/>
                        <wps:cNvSpPr/>
                        <wps:spPr>
                          <a:xfrm rot="-10799999">
                            <a:off x="-1221008" y="5873305"/>
                            <a:ext cx="5212823" cy="142889"/>
                          </a:xfrm>
                          <a:prstGeom prst="rect">
                            <a:avLst/>
                          </a:prstGeom>
                          <a:ln>
                            <a:noFill/>
                          </a:ln>
                        </wps:spPr>
                        <wps:txbx>
                          <w:txbxContent>
                            <w:p w14:paraId="0F5252CB" w14:textId="77777777" w:rsidR="00B32EF2" w:rsidRDefault="00000000">
                              <w:r>
                                <w:rPr>
                                  <w:rFonts w:ascii="Arial" w:eastAsia="Arial" w:hAnsi="Arial" w:cs="Arial"/>
                                  <w:sz w:val="18"/>
                                </w:rPr>
                                <w:t>nominata: «decisione di recupero», la corte di giustizia tributaria di primo gra</w:t>
                              </w:r>
                            </w:p>
                          </w:txbxContent>
                        </wps:txbx>
                        <wps:bodyPr horzOverflow="overflow" vert="horz" lIns="0" tIns="0" rIns="0" bIns="0" rtlCol="0">
                          <a:noAutofit/>
                        </wps:bodyPr>
                      </wps:wsp>
                      <wps:wsp>
                        <wps:cNvPr id="16034" name="Rectangle 16034"/>
                        <wps:cNvSpPr/>
                        <wps:spPr>
                          <a:xfrm rot="-10799999">
                            <a:off x="19215" y="5873305"/>
                            <a:ext cx="50622" cy="142889"/>
                          </a:xfrm>
                          <a:prstGeom prst="rect">
                            <a:avLst/>
                          </a:prstGeom>
                          <a:ln>
                            <a:noFill/>
                          </a:ln>
                        </wps:spPr>
                        <wps:txbx>
                          <w:txbxContent>
                            <w:p w14:paraId="6012588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035" name="Rectangle 16035"/>
                        <wps:cNvSpPr/>
                        <wps:spPr>
                          <a:xfrm rot="-10799999">
                            <a:off x="-1219020" y="5749976"/>
                            <a:ext cx="5209692" cy="142889"/>
                          </a:xfrm>
                          <a:prstGeom prst="rect">
                            <a:avLst/>
                          </a:prstGeom>
                          <a:ln>
                            <a:noFill/>
                          </a:ln>
                        </wps:spPr>
                        <wps:txbx>
                          <w:txbxContent>
                            <w:p w14:paraId="69CA51C9" w14:textId="77777777" w:rsidR="00B32EF2" w:rsidRDefault="00000000">
                              <w:r>
                                <w:rPr>
                                  <w:rFonts w:ascii="Arial" w:eastAsia="Arial" w:hAnsi="Arial" w:cs="Arial"/>
                                  <w:sz w:val="18"/>
                                </w:rPr>
                                <w:t>do può concedere la sospensione dell’efficacia del titolo di pagamento conse</w:t>
                              </w:r>
                            </w:p>
                          </w:txbxContent>
                        </wps:txbx>
                        <wps:bodyPr horzOverflow="overflow" vert="horz" lIns="0" tIns="0" rIns="0" bIns="0" rtlCol="0">
                          <a:noAutofit/>
                        </wps:bodyPr>
                      </wps:wsp>
                      <wps:wsp>
                        <wps:cNvPr id="16036" name="Rectangle 16036"/>
                        <wps:cNvSpPr/>
                        <wps:spPr>
                          <a:xfrm rot="-10799999">
                            <a:off x="19215" y="5749975"/>
                            <a:ext cx="50622" cy="142889"/>
                          </a:xfrm>
                          <a:prstGeom prst="rect">
                            <a:avLst/>
                          </a:prstGeom>
                          <a:ln>
                            <a:noFill/>
                          </a:ln>
                        </wps:spPr>
                        <wps:txbx>
                          <w:txbxContent>
                            <w:p w14:paraId="3AD8513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037" name="Rectangle 16037"/>
                        <wps:cNvSpPr/>
                        <wps:spPr>
                          <a:xfrm rot="-10799999">
                            <a:off x="-1275006" y="5626646"/>
                            <a:ext cx="5266821" cy="142889"/>
                          </a:xfrm>
                          <a:prstGeom prst="rect">
                            <a:avLst/>
                          </a:prstGeom>
                          <a:ln>
                            <a:noFill/>
                          </a:ln>
                        </wps:spPr>
                        <wps:txbx>
                          <w:txbxContent>
                            <w:p w14:paraId="61EB59C8" w14:textId="77777777" w:rsidR="00B32EF2" w:rsidRDefault="00000000">
                              <w:r>
                                <w:rPr>
                                  <w:rFonts w:ascii="Arial" w:eastAsia="Arial" w:hAnsi="Arial" w:cs="Arial"/>
                                  <w:sz w:val="18"/>
                                </w:rPr>
                                <w:t>guente a detta decisione se ricorrono cumulativamente le seguenti condizioni:</w:t>
                              </w:r>
                            </w:p>
                          </w:txbxContent>
                        </wps:txbx>
                        <wps:bodyPr horzOverflow="overflow" vert="horz" lIns="0" tIns="0" rIns="0" bIns="0" rtlCol="0">
                          <a:noAutofit/>
                        </wps:bodyPr>
                      </wps:wsp>
                      <wps:wsp>
                        <wps:cNvPr id="16038" name="Rectangle 16038"/>
                        <wps:cNvSpPr/>
                        <wps:spPr>
                          <a:xfrm rot="-10799999">
                            <a:off x="-1218592" y="5503316"/>
                            <a:ext cx="5210406" cy="142889"/>
                          </a:xfrm>
                          <a:prstGeom prst="rect">
                            <a:avLst/>
                          </a:prstGeom>
                          <a:ln>
                            <a:noFill/>
                          </a:ln>
                        </wps:spPr>
                        <wps:txbx>
                          <w:txbxContent>
                            <w:p w14:paraId="5FD373BC" w14:textId="77777777" w:rsidR="00B32EF2" w:rsidRDefault="00000000">
                              <w:r>
                                <w:rPr>
                                  <w:rFonts w:ascii="Arial" w:eastAsia="Arial" w:hAnsi="Arial" w:cs="Arial"/>
                                  <w:sz w:val="18"/>
                                </w:rPr>
                                <w:t>a) gravi motivi di illegittimità della decisione di recupero, ovvero evidente erro</w:t>
                              </w:r>
                            </w:p>
                          </w:txbxContent>
                        </wps:txbx>
                        <wps:bodyPr horzOverflow="overflow" vert="horz" lIns="0" tIns="0" rIns="0" bIns="0" rtlCol="0">
                          <a:noAutofit/>
                        </wps:bodyPr>
                      </wps:wsp>
                      <wps:wsp>
                        <wps:cNvPr id="16039" name="Rectangle 16039"/>
                        <wps:cNvSpPr/>
                        <wps:spPr>
                          <a:xfrm rot="-10799999">
                            <a:off x="19215" y="5503316"/>
                            <a:ext cx="50622" cy="142889"/>
                          </a:xfrm>
                          <a:prstGeom prst="rect">
                            <a:avLst/>
                          </a:prstGeom>
                          <a:ln>
                            <a:noFill/>
                          </a:ln>
                        </wps:spPr>
                        <wps:txbx>
                          <w:txbxContent>
                            <w:p w14:paraId="3A6F93D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040" name="Rectangle 16040"/>
                        <wps:cNvSpPr/>
                        <wps:spPr>
                          <a:xfrm rot="-10799999">
                            <a:off x="-1317221" y="5379987"/>
                            <a:ext cx="5309035" cy="142889"/>
                          </a:xfrm>
                          <a:prstGeom prst="rect">
                            <a:avLst/>
                          </a:prstGeom>
                          <a:ln>
                            <a:noFill/>
                          </a:ln>
                        </wps:spPr>
                        <wps:txbx>
                          <w:txbxContent>
                            <w:p w14:paraId="21EE493B" w14:textId="77777777" w:rsidR="00B32EF2" w:rsidRDefault="00000000">
                              <w:r>
                                <w:rPr>
                                  <w:rFonts w:ascii="Arial" w:eastAsia="Arial" w:hAnsi="Arial" w:cs="Arial"/>
                                  <w:sz w:val="18"/>
                                </w:rPr>
                                <w:t xml:space="preserve">re nella individuazione del soggetto tenuto alla restituzione dell’aiuto di Stato </w:t>
                              </w:r>
                            </w:p>
                          </w:txbxContent>
                        </wps:txbx>
                        <wps:bodyPr horzOverflow="overflow" vert="horz" lIns="0" tIns="0" rIns="0" bIns="0" rtlCol="0">
                          <a:noAutofit/>
                        </wps:bodyPr>
                      </wps:wsp>
                      <wps:wsp>
                        <wps:cNvPr id="16041" name="Rectangle 16041"/>
                        <wps:cNvSpPr/>
                        <wps:spPr>
                          <a:xfrm rot="-10799999">
                            <a:off x="-1317176" y="5256657"/>
                            <a:ext cx="5308990" cy="142889"/>
                          </a:xfrm>
                          <a:prstGeom prst="rect">
                            <a:avLst/>
                          </a:prstGeom>
                          <a:ln>
                            <a:noFill/>
                          </a:ln>
                        </wps:spPr>
                        <wps:txbx>
                          <w:txbxContent>
                            <w:p w14:paraId="2F18C5AD" w14:textId="77777777" w:rsidR="00B32EF2" w:rsidRDefault="00000000">
                              <w:r>
                                <w:rPr>
                                  <w:rFonts w:ascii="Arial" w:eastAsia="Arial" w:hAnsi="Arial" w:cs="Arial"/>
                                  <w:sz w:val="18"/>
                                </w:rPr>
                                <w:t xml:space="preserve">o evidente errore nel calcolo della somma da recuperare e nei limiti di tale </w:t>
                              </w:r>
                            </w:p>
                          </w:txbxContent>
                        </wps:txbx>
                        <wps:bodyPr horzOverflow="overflow" vert="horz" lIns="0" tIns="0" rIns="0" bIns="0" rtlCol="0">
                          <a:noAutofit/>
                        </wps:bodyPr>
                      </wps:wsp>
                      <wps:wsp>
                        <wps:cNvPr id="16042" name="Rectangle 16042"/>
                        <wps:cNvSpPr/>
                        <wps:spPr>
                          <a:xfrm rot="-10799999">
                            <a:off x="3539195" y="5133327"/>
                            <a:ext cx="450676" cy="142889"/>
                          </a:xfrm>
                          <a:prstGeom prst="rect">
                            <a:avLst/>
                          </a:prstGeom>
                          <a:ln>
                            <a:noFill/>
                          </a:ln>
                        </wps:spPr>
                        <wps:txbx>
                          <w:txbxContent>
                            <w:p w14:paraId="750F7470" w14:textId="77777777" w:rsidR="00B32EF2" w:rsidRDefault="00000000">
                              <w:r>
                                <w:rPr>
                                  <w:rFonts w:ascii="Arial" w:eastAsia="Arial" w:hAnsi="Arial" w:cs="Arial"/>
                                  <w:sz w:val="18"/>
                                </w:rPr>
                                <w:t>errore;</w:t>
                              </w:r>
                            </w:p>
                          </w:txbxContent>
                        </wps:txbx>
                        <wps:bodyPr horzOverflow="overflow" vert="horz" lIns="0" tIns="0" rIns="0" bIns="0" rtlCol="0">
                          <a:noAutofit/>
                        </wps:bodyPr>
                      </wps:wsp>
                      <wps:wsp>
                        <wps:cNvPr id="16043" name="Rectangle 16043"/>
                        <wps:cNvSpPr/>
                        <wps:spPr>
                          <a:xfrm rot="-10799999">
                            <a:off x="384038" y="5009998"/>
                            <a:ext cx="3607776" cy="142889"/>
                          </a:xfrm>
                          <a:prstGeom prst="rect">
                            <a:avLst/>
                          </a:prstGeom>
                          <a:ln>
                            <a:noFill/>
                          </a:ln>
                        </wps:spPr>
                        <wps:txbx>
                          <w:txbxContent>
                            <w:p w14:paraId="3EE3F3A9" w14:textId="77777777" w:rsidR="00B32EF2" w:rsidRDefault="00000000">
                              <w:r>
                                <w:rPr>
                                  <w:rFonts w:ascii="Arial" w:eastAsia="Arial" w:hAnsi="Arial" w:cs="Arial"/>
                                  <w:sz w:val="18"/>
                                </w:rPr>
                                <w:t>b) pericolo di un pregiudizio imminente e irreparabile.</w:t>
                              </w:r>
                            </w:p>
                          </w:txbxContent>
                        </wps:txbx>
                        <wps:bodyPr horzOverflow="overflow" vert="horz" lIns="0" tIns="0" rIns="0" bIns="0" rtlCol="0">
                          <a:noAutofit/>
                        </wps:bodyPr>
                      </wps:wsp>
                      <wps:wsp>
                        <wps:cNvPr id="200246" name="Rectangle 200246"/>
                        <wps:cNvSpPr/>
                        <wps:spPr>
                          <a:xfrm rot="-10799999">
                            <a:off x="2635309" y="4886668"/>
                            <a:ext cx="5210999" cy="142889"/>
                          </a:xfrm>
                          <a:prstGeom prst="rect">
                            <a:avLst/>
                          </a:prstGeom>
                          <a:ln>
                            <a:noFill/>
                          </a:ln>
                        </wps:spPr>
                        <wps:txbx>
                          <w:txbxContent>
                            <w:p w14:paraId="1B872D86"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247" name="Rectangle 200247"/>
                        <wps:cNvSpPr/>
                        <wps:spPr>
                          <a:xfrm rot="-10799999">
                            <a:off x="-1283741" y="4886668"/>
                            <a:ext cx="5210999" cy="142889"/>
                          </a:xfrm>
                          <a:prstGeom prst="rect">
                            <a:avLst/>
                          </a:prstGeom>
                          <a:ln>
                            <a:noFill/>
                          </a:ln>
                        </wps:spPr>
                        <wps:txbx>
                          <w:txbxContent>
                            <w:p w14:paraId="504BCA19" w14:textId="77777777" w:rsidR="00B32EF2" w:rsidRDefault="00000000">
                              <w:r>
                                <w:rPr>
                                  <w:rFonts w:ascii="Arial" w:eastAsia="Arial" w:hAnsi="Arial" w:cs="Arial"/>
                                  <w:sz w:val="18"/>
                                </w:rPr>
                                <w:t>. Qualora la sospensione si fondi su motivi attinenti alla illegittimità della de</w:t>
                              </w:r>
                            </w:p>
                          </w:txbxContent>
                        </wps:txbx>
                        <wps:bodyPr horzOverflow="overflow" vert="horz" lIns="0" tIns="0" rIns="0" bIns="0" rtlCol="0">
                          <a:noAutofit/>
                        </wps:bodyPr>
                      </wps:wsp>
                      <wps:wsp>
                        <wps:cNvPr id="16045" name="Rectangle 16045"/>
                        <wps:cNvSpPr/>
                        <wps:spPr>
                          <a:xfrm rot="-10799999">
                            <a:off x="19215" y="4886667"/>
                            <a:ext cx="50622" cy="142889"/>
                          </a:xfrm>
                          <a:prstGeom prst="rect">
                            <a:avLst/>
                          </a:prstGeom>
                          <a:ln>
                            <a:noFill/>
                          </a:ln>
                        </wps:spPr>
                        <wps:txbx>
                          <w:txbxContent>
                            <w:p w14:paraId="1EC6A64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046" name="Rectangle 16046"/>
                        <wps:cNvSpPr/>
                        <wps:spPr>
                          <a:xfrm rot="-10799999">
                            <a:off x="-1317712" y="4763338"/>
                            <a:ext cx="5310784" cy="142889"/>
                          </a:xfrm>
                          <a:prstGeom prst="rect">
                            <a:avLst/>
                          </a:prstGeom>
                          <a:ln>
                            <a:noFill/>
                          </a:ln>
                        </wps:spPr>
                        <wps:txbx>
                          <w:txbxContent>
                            <w:p w14:paraId="703C4CCA" w14:textId="77777777" w:rsidR="00B32EF2" w:rsidRDefault="00000000">
                              <w:r>
                                <w:rPr>
                                  <w:rFonts w:ascii="Arial" w:eastAsia="Arial" w:hAnsi="Arial" w:cs="Arial"/>
                                  <w:sz w:val="18"/>
                                </w:rPr>
                                <w:t xml:space="preserve">cisione di recupero la corte di giustizia tributaria di primo grado provvede con </w:t>
                              </w:r>
                            </w:p>
                          </w:txbxContent>
                        </wps:txbx>
                        <wps:bodyPr horzOverflow="overflow" vert="horz" lIns="0" tIns="0" rIns="0" bIns="0" rtlCol="0">
                          <a:noAutofit/>
                        </wps:bodyPr>
                      </wps:wsp>
                      <wps:wsp>
                        <wps:cNvPr id="16047" name="Rectangle 16047"/>
                        <wps:cNvSpPr/>
                        <wps:spPr>
                          <a:xfrm rot="-10799999">
                            <a:off x="-1220720" y="4640009"/>
                            <a:ext cx="5212534" cy="142889"/>
                          </a:xfrm>
                          <a:prstGeom prst="rect">
                            <a:avLst/>
                          </a:prstGeom>
                          <a:ln>
                            <a:noFill/>
                          </a:ln>
                        </wps:spPr>
                        <wps:txbx>
                          <w:txbxContent>
                            <w:p w14:paraId="39D873EB" w14:textId="77777777" w:rsidR="00B32EF2" w:rsidRDefault="00000000">
                              <w:r>
                                <w:rPr>
                                  <w:rFonts w:ascii="Arial" w:eastAsia="Arial" w:hAnsi="Arial" w:cs="Arial"/>
                                  <w:sz w:val="18"/>
                                </w:rPr>
                                <w:t>separata ordinanza alla sospensione del giudizio e all’immediato rinvio pregiu</w:t>
                              </w:r>
                            </w:p>
                          </w:txbxContent>
                        </wps:txbx>
                        <wps:bodyPr horzOverflow="overflow" vert="horz" lIns="0" tIns="0" rIns="0" bIns="0" rtlCol="0">
                          <a:noAutofit/>
                        </wps:bodyPr>
                      </wps:wsp>
                      <wps:wsp>
                        <wps:cNvPr id="16048" name="Rectangle 16048"/>
                        <wps:cNvSpPr/>
                        <wps:spPr>
                          <a:xfrm rot="-10799999">
                            <a:off x="19215" y="4640008"/>
                            <a:ext cx="50622" cy="142889"/>
                          </a:xfrm>
                          <a:prstGeom prst="rect">
                            <a:avLst/>
                          </a:prstGeom>
                          <a:ln>
                            <a:noFill/>
                          </a:ln>
                        </wps:spPr>
                        <wps:txbx>
                          <w:txbxContent>
                            <w:p w14:paraId="20B9DA8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049" name="Rectangle 16049"/>
                        <wps:cNvSpPr/>
                        <wps:spPr>
                          <a:xfrm rot="-10799999">
                            <a:off x="-1317221" y="4516679"/>
                            <a:ext cx="5309035" cy="142889"/>
                          </a:xfrm>
                          <a:prstGeom prst="rect">
                            <a:avLst/>
                          </a:prstGeom>
                          <a:ln>
                            <a:noFill/>
                          </a:ln>
                        </wps:spPr>
                        <wps:txbx>
                          <w:txbxContent>
                            <w:p w14:paraId="4FEB8D1D" w14:textId="77777777" w:rsidR="00B32EF2" w:rsidRDefault="00000000">
                              <w:r>
                                <w:rPr>
                                  <w:rFonts w:ascii="Arial" w:eastAsia="Arial" w:hAnsi="Arial" w:cs="Arial"/>
                                  <w:sz w:val="18"/>
                                </w:rPr>
                                <w:t xml:space="preserve">diziale della questione alla Corte di giustizia dell’Unione europea, con richiesta </w:t>
                              </w:r>
                            </w:p>
                          </w:txbxContent>
                        </wps:txbx>
                        <wps:bodyPr horzOverflow="overflow" vert="horz" lIns="0" tIns="0" rIns="0" bIns="0" rtlCol="0">
                          <a:noAutofit/>
                        </wps:bodyPr>
                      </wps:wsp>
                      <wps:wsp>
                        <wps:cNvPr id="16050" name="Rectangle 16050"/>
                        <wps:cNvSpPr/>
                        <wps:spPr>
                          <a:xfrm rot="-10799999">
                            <a:off x="-1317175" y="4393349"/>
                            <a:ext cx="5308990" cy="142889"/>
                          </a:xfrm>
                          <a:prstGeom prst="rect">
                            <a:avLst/>
                          </a:prstGeom>
                          <a:ln>
                            <a:noFill/>
                          </a:ln>
                        </wps:spPr>
                        <wps:txbx>
                          <w:txbxContent>
                            <w:p w14:paraId="5AE1D03D" w14:textId="77777777" w:rsidR="00B32EF2" w:rsidRDefault="00000000">
                              <w:r>
                                <w:rPr>
                                  <w:rFonts w:ascii="Arial" w:eastAsia="Arial" w:hAnsi="Arial" w:cs="Arial"/>
                                  <w:sz w:val="18"/>
                                </w:rPr>
                                <w:t xml:space="preserve">di trattazione d’urgenza ai sensi dell’articolo 107 del regolamento di procedura </w:t>
                              </w:r>
                            </w:p>
                          </w:txbxContent>
                        </wps:txbx>
                        <wps:bodyPr horzOverflow="overflow" vert="horz" lIns="0" tIns="0" rIns="0" bIns="0" rtlCol="0">
                          <a:noAutofit/>
                        </wps:bodyPr>
                      </wps:wsp>
                      <wps:wsp>
                        <wps:cNvPr id="16051" name="Rectangle 16051"/>
                        <wps:cNvSpPr/>
                        <wps:spPr>
                          <a:xfrm rot="-10799999">
                            <a:off x="-1223258" y="4270019"/>
                            <a:ext cx="5215073" cy="142889"/>
                          </a:xfrm>
                          <a:prstGeom prst="rect">
                            <a:avLst/>
                          </a:prstGeom>
                          <a:ln>
                            <a:noFill/>
                          </a:ln>
                        </wps:spPr>
                        <wps:txbx>
                          <w:txbxContent>
                            <w:p w14:paraId="7B68DBD4" w14:textId="77777777" w:rsidR="00B32EF2" w:rsidRDefault="00000000">
                              <w:r>
                                <w:rPr>
                                  <w:rFonts w:ascii="Arial" w:eastAsia="Arial" w:hAnsi="Arial" w:cs="Arial"/>
                                  <w:sz w:val="18"/>
                                </w:rPr>
                                <w:t>della Corte di giustizia del 25 settembre 2012, pubblicato nella Gazzetta Uf</w:t>
                              </w:r>
                            </w:p>
                          </w:txbxContent>
                        </wps:txbx>
                        <wps:bodyPr horzOverflow="overflow" vert="horz" lIns="0" tIns="0" rIns="0" bIns="0" rtlCol="0">
                          <a:noAutofit/>
                        </wps:bodyPr>
                      </wps:wsp>
                      <wps:wsp>
                        <wps:cNvPr id="16052" name="Rectangle 16052"/>
                        <wps:cNvSpPr/>
                        <wps:spPr>
                          <a:xfrm rot="-10799999">
                            <a:off x="19215" y="4270019"/>
                            <a:ext cx="50622" cy="142889"/>
                          </a:xfrm>
                          <a:prstGeom prst="rect">
                            <a:avLst/>
                          </a:prstGeom>
                          <a:ln>
                            <a:noFill/>
                          </a:ln>
                        </wps:spPr>
                        <wps:txbx>
                          <w:txbxContent>
                            <w:p w14:paraId="5124365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053" name="Rectangle 16053"/>
                        <wps:cNvSpPr/>
                        <wps:spPr>
                          <a:xfrm rot="-10799999">
                            <a:off x="-1317206" y="4146690"/>
                            <a:ext cx="5309021" cy="142889"/>
                          </a:xfrm>
                          <a:prstGeom prst="rect">
                            <a:avLst/>
                          </a:prstGeom>
                          <a:ln>
                            <a:noFill/>
                          </a:ln>
                        </wps:spPr>
                        <wps:txbx>
                          <w:txbxContent>
                            <w:p w14:paraId="03B80FC2" w14:textId="77777777" w:rsidR="00B32EF2" w:rsidRDefault="00000000">
                              <w:r>
                                <w:rPr>
                                  <w:rFonts w:ascii="Arial" w:eastAsia="Arial" w:hAnsi="Arial" w:cs="Arial"/>
                                  <w:sz w:val="18"/>
                                </w:rPr>
                                <w:t xml:space="preserve">ficiale dell’Unione Europea C 337 del 6 novembre 2012, se ad essa non sia </w:t>
                              </w:r>
                            </w:p>
                          </w:txbxContent>
                        </wps:txbx>
                        <wps:bodyPr horzOverflow="overflow" vert="horz" lIns="0" tIns="0" rIns="0" bIns="0" rtlCol="0">
                          <a:noAutofit/>
                        </wps:bodyPr>
                      </wps:wsp>
                      <wps:wsp>
                        <wps:cNvPr id="16054" name="Rectangle 16054"/>
                        <wps:cNvSpPr/>
                        <wps:spPr>
                          <a:xfrm rot="-10799999">
                            <a:off x="-1317145" y="4023360"/>
                            <a:ext cx="5308960" cy="142889"/>
                          </a:xfrm>
                          <a:prstGeom prst="rect">
                            <a:avLst/>
                          </a:prstGeom>
                          <a:ln>
                            <a:noFill/>
                          </a:ln>
                        </wps:spPr>
                        <wps:txbx>
                          <w:txbxContent>
                            <w:p w14:paraId="2980D95A" w14:textId="77777777" w:rsidR="00B32EF2" w:rsidRDefault="00000000">
                              <w:r>
                                <w:rPr>
                                  <w:rFonts w:ascii="Arial" w:eastAsia="Arial" w:hAnsi="Arial" w:cs="Arial"/>
                                  <w:sz w:val="18"/>
                                </w:rPr>
                                <w:t xml:space="preserve">stata già deferita la questione di validità dell’atto comunitario contestato. Non </w:t>
                              </w:r>
                            </w:p>
                          </w:txbxContent>
                        </wps:txbx>
                        <wps:bodyPr horzOverflow="overflow" vert="horz" lIns="0" tIns="0" rIns="0" bIns="0" rtlCol="0">
                          <a:noAutofit/>
                        </wps:bodyPr>
                      </wps:wsp>
                      <wps:wsp>
                        <wps:cNvPr id="16055" name="Rectangle 16055"/>
                        <wps:cNvSpPr/>
                        <wps:spPr>
                          <a:xfrm rot="-10799999">
                            <a:off x="-1317221" y="3900030"/>
                            <a:ext cx="5309035" cy="142889"/>
                          </a:xfrm>
                          <a:prstGeom prst="rect">
                            <a:avLst/>
                          </a:prstGeom>
                          <a:ln>
                            <a:noFill/>
                          </a:ln>
                        </wps:spPr>
                        <wps:txbx>
                          <w:txbxContent>
                            <w:p w14:paraId="7882C7B3" w14:textId="77777777" w:rsidR="00B32EF2" w:rsidRDefault="00000000">
                              <w:r>
                                <w:rPr>
                                  <w:rFonts w:ascii="Arial" w:eastAsia="Arial" w:hAnsi="Arial" w:cs="Arial"/>
                                  <w:sz w:val="18"/>
                                </w:rPr>
                                <w:t xml:space="preserve">può, in ogni caso, essere accolta l’istanza di sospensione dell’atto impugnato </w:t>
                              </w:r>
                            </w:p>
                          </w:txbxContent>
                        </wps:txbx>
                        <wps:bodyPr horzOverflow="overflow" vert="horz" lIns="0" tIns="0" rIns="0" bIns="0" rtlCol="0">
                          <a:noAutofit/>
                        </wps:bodyPr>
                      </wps:wsp>
                      <wps:wsp>
                        <wps:cNvPr id="16056" name="Rectangle 16056"/>
                        <wps:cNvSpPr/>
                        <wps:spPr>
                          <a:xfrm rot="-10799999">
                            <a:off x="-1317160" y="3776701"/>
                            <a:ext cx="5308975" cy="142889"/>
                          </a:xfrm>
                          <a:prstGeom prst="rect">
                            <a:avLst/>
                          </a:prstGeom>
                          <a:ln>
                            <a:noFill/>
                          </a:ln>
                        </wps:spPr>
                        <wps:txbx>
                          <w:txbxContent>
                            <w:p w14:paraId="048A256E" w14:textId="77777777" w:rsidR="00B32EF2" w:rsidRDefault="00000000">
                              <w:r>
                                <w:rPr>
                                  <w:rFonts w:ascii="Arial" w:eastAsia="Arial" w:hAnsi="Arial" w:cs="Arial"/>
                                  <w:sz w:val="18"/>
                                </w:rPr>
                                <w:t xml:space="preserve">per motivi attinenti alla legittimità della decisione di recupero quando la parte </w:t>
                              </w:r>
                            </w:p>
                          </w:txbxContent>
                        </wps:txbx>
                        <wps:bodyPr horzOverflow="overflow" vert="horz" lIns="0" tIns="0" rIns="0" bIns="0" rtlCol="0">
                          <a:noAutofit/>
                        </wps:bodyPr>
                      </wps:wsp>
                      <wps:wsp>
                        <wps:cNvPr id="16057" name="Rectangle 16057"/>
                        <wps:cNvSpPr/>
                        <wps:spPr>
                          <a:xfrm rot="-10799999">
                            <a:off x="-1317236" y="3653371"/>
                            <a:ext cx="5309051" cy="142889"/>
                          </a:xfrm>
                          <a:prstGeom prst="rect">
                            <a:avLst/>
                          </a:prstGeom>
                          <a:ln>
                            <a:noFill/>
                          </a:ln>
                        </wps:spPr>
                        <wps:txbx>
                          <w:txbxContent>
                            <w:p w14:paraId="707171C4" w14:textId="77777777" w:rsidR="00B32EF2" w:rsidRDefault="00000000">
                              <w:r>
                                <w:rPr>
                                  <w:rFonts w:ascii="Arial" w:eastAsia="Arial" w:hAnsi="Arial" w:cs="Arial"/>
                                  <w:sz w:val="18"/>
                                </w:rPr>
                                <w:t xml:space="preserve">istante, pur avendone facoltà perché individuata o chiaramente individuabile, </w:t>
                              </w:r>
                            </w:p>
                          </w:txbxContent>
                        </wps:txbx>
                        <wps:bodyPr horzOverflow="overflow" vert="horz" lIns="0" tIns="0" rIns="0" bIns="0" rtlCol="0">
                          <a:noAutofit/>
                        </wps:bodyPr>
                      </wps:wsp>
                      <wps:wsp>
                        <wps:cNvPr id="16058" name="Rectangle 16058"/>
                        <wps:cNvSpPr/>
                        <wps:spPr>
                          <a:xfrm rot="-10799999">
                            <a:off x="-1317409" y="3530041"/>
                            <a:ext cx="5310252" cy="142889"/>
                          </a:xfrm>
                          <a:prstGeom prst="rect">
                            <a:avLst/>
                          </a:prstGeom>
                          <a:ln>
                            <a:noFill/>
                          </a:ln>
                        </wps:spPr>
                        <wps:txbx>
                          <w:txbxContent>
                            <w:p w14:paraId="18D52917" w14:textId="77777777" w:rsidR="00B32EF2" w:rsidRDefault="00000000">
                              <w:r>
                                <w:rPr>
                                  <w:rFonts w:ascii="Arial" w:eastAsia="Arial" w:hAnsi="Arial" w:cs="Arial"/>
                                  <w:sz w:val="18"/>
                                </w:rPr>
                                <w:t xml:space="preserve">non abbia proposto impugnazione avverso la decisione di recupero ai sensi </w:t>
                              </w:r>
                            </w:p>
                          </w:txbxContent>
                        </wps:txbx>
                        <wps:bodyPr horzOverflow="overflow" vert="horz" lIns="0" tIns="0" rIns="0" bIns="0" rtlCol="0">
                          <a:noAutofit/>
                        </wps:bodyPr>
                      </wps:wsp>
                      <wps:wsp>
                        <wps:cNvPr id="16059" name="Rectangle 16059"/>
                        <wps:cNvSpPr/>
                        <wps:spPr>
                          <a:xfrm rot="-10799999">
                            <a:off x="-1317257" y="3406712"/>
                            <a:ext cx="5310100" cy="142889"/>
                          </a:xfrm>
                          <a:prstGeom prst="rect">
                            <a:avLst/>
                          </a:prstGeom>
                          <a:ln>
                            <a:noFill/>
                          </a:ln>
                        </wps:spPr>
                        <wps:txbx>
                          <w:txbxContent>
                            <w:p w14:paraId="4C976EA0" w14:textId="77777777" w:rsidR="00B32EF2" w:rsidRDefault="00000000">
                              <w:r>
                                <w:rPr>
                                  <w:rFonts w:ascii="Arial" w:eastAsia="Arial" w:hAnsi="Arial" w:cs="Arial"/>
                                  <w:sz w:val="18"/>
                                </w:rPr>
                                <w:t xml:space="preserve">dell’articolo 263 del Trattato sul funzionamento dell’Unione europea ovvero </w:t>
                              </w:r>
                            </w:p>
                          </w:txbxContent>
                        </wps:txbx>
                        <wps:bodyPr horzOverflow="overflow" vert="horz" lIns="0" tIns="0" rIns="0" bIns="0" rtlCol="0">
                          <a:noAutofit/>
                        </wps:bodyPr>
                      </wps:wsp>
                      <wps:wsp>
                        <wps:cNvPr id="16060" name="Rectangle 16060"/>
                        <wps:cNvSpPr/>
                        <wps:spPr>
                          <a:xfrm rot="-10799999">
                            <a:off x="-1317333" y="3283382"/>
                            <a:ext cx="5310176" cy="142889"/>
                          </a:xfrm>
                          <a:prstGeom prst="rect">
                            <a:avLst/>
                          </a:prstGeom>
                          <a:ln>
                            <a:noFill/>
                          </a:ln>
                        </wps:spPr>
                        <wps:txbx>
                          <w:txbxContent>
                            <w:p w14:paraId="71FCA382" w14:textId="77777777" w:rsidR="00B32EF2" w:rsidRDefault="00000000">
                              <w:r>
                                <w:rPr>
                                  <w:rFonts w:ascii="Arial" w:eastAsia="Arial" w:hAnsi="Arial" w:cs="Arial"/>
                                  <w:sz w:val="18"/>
                                </w:rPr>
                                <w:t xml:space="preserve">quando, avendo proposto l’impugnazione, non abbia richiesto la sospensione </w:t>
                              </w:r>
                            </w:p>
                          </w:txbxContent>
                        </wps:txbx>
                        <wps:bodyPr horzOverflow="overflow" vert="horz" lIns="0" tIns="0" rIns="0" bIns="0" rtlCol="0">
                          <a:noAutofit/>
                        </wps:bodyPr>
                      </wps:wsp>
                      <wps:wsp>
                        <wps:cNvPr id="16061" name="Rectangle 16061"/>
                        <wps:cNvSpPr/>
                        <wps:spPr>
                          <a:xfrm rot="-10799999">
                            <a:off x="-1317175" y="3160052"/>
                            <a:ext cx="5308990" cy="142889"/>
                          </a:xfrm>
                          <a:prstGeom prst="rect">
                            <a:avLst/>
                          </a:prstGeom>
                          <a:ln>
                            <a:noFill/>
                          </a:ln>
                        </wps:spPr>
                        <wps:txbx>
                          <w:txbxContent>
                            <w:p w14:paraId="68B99976" w14:textId="77777777" w:rsidR="00B32EF2" w:rsidRDefault="00000000">
                              <w:r>
                                <w:rPr>
                                  <w:rFonts w:ascii="Arial" w:eastAsia="Arial" w:hAnsi="Arial" w:cs="Arial"/>
                                  <w:sz w:val="18"/>
                                </w:rPr>
                                <w:t xml:space="preserve">della decisione di recupero ai sensi dell’articolo 278 del Trattato medesimo </w:t>
                              </w:r>
                            </w:p>
                          </w:txbxContent>
                        </wps:txbx>
                        <wps:bodyPr horzOverflow="overflow" vert="horz" lIns="0" tIns="0" rIns="0" bIns="0" rtlCol="0">
                          <a:noAutofit/>
                        </wps:bodyPr>
                      </wps:wsp>
                      <wps:wsp>
                        <wps:cNvPr id="16062" name="Rectangle 16062"/>
                        <wps:cNvSpPr/>
                        <wps:spPr>
                          <a:xfrm rot="-10799999">
                            <a:off x="-422331" y="3036723"/>
                            <a:ext cx="4414146" cy="142889"/>
                          </a:xfrm>
                          <a:prstGeom prst="rect">
                            <a:avLst/>
                          </a:prstGeom>
                          <a:ln>
                            <a:noFill/>
                          </a:ln>
                        </wps:spPr>
                        <wps:txbx>
                          <w:txbxContent>
                            <w:p w14:paraId="686A68E4" w14:textId="77777777" w:rsidR="00B32EF2" w:rsidRDefault="00000000">
                              <w:r>
                                <w:rPr>
                                  <w:rFonts w:ascii="Arial" w:eastAsia="Arial" w:hAnsi="Arial" w:cs="Arial"/>
                                  <w:sz w:val="18"/>
                                </w:rPr>
                                <w:t>ovvero l’abbia richiesta e la sospensione non sia stata concessa.</w:t>
                              </w:r>
                            </w:p>
                          </w:txbxContent>
                        </wps:txbx>
                        <wps:bodyPr horzOverflow="overflow" vert="horz" lIns="0" tIns="0" rIns="0" bIns="0" rtlCol="0">
                          <a:noAutofit/>
                        </wps:bodyPr>
                      </wps:wsp>
                      <wps:wsp>
                        <wps:cNvPr id="200245" name="Rectangle 200245"/>
                        <wps:cNvSpPr/>
                        <wps:spPr>
                          <a:xfrm rot="-10799999">
                            <a:off x="-1285014" y="2913393"/>
                            <a:ext cx="5212307" cy="142889"/>
                          </a:xfrm>
                          <a:prstGeom prst="rect">
                            <a:avLst/>
                          </a:prstGeom>
                          <a:ln>
                            <a:noFill/>
                          </a:ln>
                        </wps:spPr>
                        <wps:txbx>
                          <w:txbxContent>
                            <w:p w14:paraId="1D0335CC" w14:textId="77777777" w:rsidR="00B32EF2" w:rsidRDefault="00000000">
                              <w:r>
                                <w:rPr>
                                  <w:rFonts w:ascii="Arial" w:eastAsia="Arial" w:hAnsi="Arial" w:cs="Arial"/>
                                  <w:sz w:val="18"/>
                                </w:rPr>
                                <w:t>. Fermi restando i presupposti di cui ai commi 1 e 2, si applicano le disposi</w:t>
                              </w:r>
                            </w:p>
                          </w:txbxContent>
                        </wps:txbx>
                        <wps:bodyPr horzOverflow="overflow" vert="horz" lIns="0" tIns="0" rIns="0" bIns="0" rtlCol="0">
                          <a:noAutofit/>
                        </wps:bodyPr>
                      </wps:wsp>
                      <wps:wsp>
                        <wps:cNvPr id="200244" name="Rectangle 200244"/>
                        <wps:cNvSpPr/>
                        <wps:spPr>
                          <a:xfrm rot="-10799999">
                            <a:off x="2634985" y="2913393"/>
                            <a:ext cx="5212305" cy="142889"/>
                          </a:xfrm>
                          <a:prstGeom prst="rect">
                            <a:avLst/>
                          </a:prstGeom>
                          <a:ln>
                            <a:noFill/>
                          </a:ln>
                        </wps:spPr>
                        <wps:txbx>
                          <w:txbxContent>
                            <w:p w14:paraId="19797ABE"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6064" name="Rectangle 16064"/>
                        <wps:cNvSpPr/>
                        <wps:spPr>
                          <a:xfrm rot="-10799999">
                            <a:off x="19215" y="2913392"/>
                            <a:ext cx="50622" cy="142889"/>
                          </a:xfrm>
                          <a:prstGeom prst="rect">
                            <a:avLst/>
                          </a:prstGeom>
                          <a:ln>
                            <a:noFill/>
                          </a:ln>
                        </wps:spPr>
                        <wps:txbx>
                          <w:txbxContent>
                            <w:p w14:paraId="4A662DC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065" name="Rectangle 16065"/>
                        <wps:cNvSpPr/>
                        <wps:spPr>
                          <a:xfrm rot="-10799999">
                            <a:off x="-1317236" y="2790063"/>
                            <a:ext cx="5309051" cy="142889"/>
                          </a:xfrm>
                          <a:prstGeom prst="rect">
                            <a:avLst/>
                          </a:prstGeom>
                          <a:ln>
                            <a:noFill/>
                          </a:ln>
                        </wps:spPr>
                        <wps:txbx>
                          <w:txbxContent>
                            <w:p w14:paraId="5FEB3823" w14:textId="77777777" w:rsidR="00B32EF2" w:rsidRDefault="00000000">
                              <w:r>
                                <w:rPr>
                                  <w:rFonts w:ascii="Arial" w:eastAsia="Arial" w:hAnsi="Arial" w:cs="Arial"/>
                                  <w:sz w:val="18"/>
                                </w:rPr>
                                <w:t xml:space="preserve">zioni di cui ai commi 1, 2, 4, 5, 7 e 8 dell’articolo 96; ai fini dell’applicazione del </w:t>
                              </w:r>
                            </w:p>
                          </w:txbxContent>
                        </wps:txbx>
                        <wps:bodyPr horzOverflow="overflow" vert="horz" lIns="0" tIns="0" rIns="0" bIns="0" rtlCol="0">
                          <a:noAutofit/>
                        </wps:bodyPr>
                      </wps:wsp>
                      <wps:wsp>
                        <wps:cNvPr id="16066" name="Rectangle 16066"/>
                        <wps:cNvSpPr/>
                        <wps:spPr>
                          <a:xfrm rot="-10799999">
                            <a:off x="250990" y="2666733"/>
                            <a:ext cx="3740823" cy="142889"/>
                          </a:xfrm>
                          <a:prstGeom prst="rect">
                            <a:avLst/>
                          </a:prstGeom>
                          <a:ln>
                            <a:noFill/>
                          </a:ln>
                        </wps:spPr>
                        <wps:txbx>
                          <w:txbxContent>
                            <w:p w14:paraId="6093A606" w14:textId="77777777" w:rsidR="00B32EF2" w:rsidRDefault="00000000">
                              <w:r>
                                <w:rPr>
                                  <w:rFonts w:ascii="Arial" w:eastAsia="Arial" w:hAnsi="Arial" w:cs="Arial"/>
                                  <w:sz w:val="18"/>
                                </w:rPr>
                                <w:t>comma 8 rileva anche il mutamento del diritto europeo.</w:t>
                              </w:r>
                            </w:p>
                          </w:txbxContent>
                        </wps:txbx>
                        <wps:bodyPr horzOverflow="overflow" vert="horz" lIns="0" tIns="0" rIns="0" bIns="0" rtlCol="0">
                          <a:noAutofit/>
                        </wps:bodyPr>
                      </wps:wsp>
                      <wps:wsp>
                        <wps:cNvPr id="200243" name="Rectangle 200243"/>
                        <wps:cNvSpPr/>
                        <wps:spPr>
                          <a:xfrm rot="-10799999">
                            <a:off x="-1380360" y="2543403"/>
                            <a:ext cx="5309035" cy="142889"/>
                          </a:xfrm>
                          <a:prstGeom prst="rect">
                            <a:avLst/>
                          </a:prstGeom>
                          <a:ln>
                            <a:noFill/>
                          </a:ln>
                        </wps:spPr>
                        <wps:txbx>
                          <w:txbxContent>
                            <w:p w14:paraId="2AC53372" w14:textId="77777777" w:rsidR="00B32EF2" w:rsidRDefault="00000000">
                              <w:r>
                                <w:rPr>
                                  <w:rFonts w:ascii="Arial" w:eastAsia="Arial" w:hAnsi="Arial" w:cs="Arial"/>
                                  <w:sz w:val="18"/>
                                </w:rPr>
                                <w:t xml:space="preserve">. Le controversie relative agli atti di cui al comma 1 sono definite, nel merito, </w:t>
                              </w:r>
                            </w:p>
                          </w:txbxContent>
                        </wps:txbx>
                        <wps:bodyPr horzOverflow="overflow" vert="horz" lIns="0" tIns="0" rIns="0" bIns="0" rtlCol="0">
                          <a:noAutofit/>
                        </wps:bodyPr>
                      </wps:wsp>
                      <wps:wsp>
                        <wps:cNvPr id="200242" name="Rectangle 200242"/>
                        <wps:cNvSpPr/>
                        <wps:spPr>
                          <a:xfrm rot="-10799999">
                            <a:off x="2610984" y="2543403"/>
                            <a:ext cx="5309035" cy="142889"/>
                          </a:xfrm>
                          <a:prstGeom prst="rect">
                            <a:avLst/>
                          </a:prstGeom>
                          <a:ln>
                            <a:noFill/>
                          </a:ln>
                        </wps:spPr>
                        <wps:txbx>
                          <w:txbxContent>
                            <w:p w14:paraId="1B1DF921"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6068" name="Rectangle 16068"/>
                        <wps:cNvSpPr/>
                        <wps:spPr>
                          <a:xfrm rot="-10799999">
                            <a:off x="-1317191" y="2420073"/>
                            <a:ext cx="5309006" cy="142889"/>
                          </a:xfrm>
                          <a:prstGeom prst="rect">
                            <a:avLst/>
                          </a:prstGeom>
                          <a:ln>
                            <a:noFill/>
                          </a:ln>
                        </wps:spPr>
                        <wps:txbx>
                          <w:txbxContent>
                            <w:p w14:paraId="43B61E22" w14:textId="77777777" w:rsidR="00B32EF2" w:rsidRDefault="00000000">
                              <w:r>
                                <w:rPr>
                                  <w:rFonts w:ascii="Arial" w:eastAsia="Arial" w:hAnsi="Arial" w:cs="Arial"/>
                                  <w:sz w:val="18"/>
                                </w:rPr>
                                <w:t xml:space="preserve">nel termine di sessanta giorni dalla pronuncia dell’ordinanza di sospensione </w:t>
                              </w:r>
                            </w:p>
                          </w:txbxContent>
                        </wps:txbx>
                        <wps:bodyPr horzOverflow="overflow" vert="horz" lIns="0" tIns="0" rIns="0" bIns="0" rtlCol="0">
                          <a:noAutofit/>
                        </wps:bodyPr>
                      </wps:wsp>
                      <wps:wsp>
                        <wps:cNvPr id="16069" name="Rectangle 16069"/>
                        <wps:cNvSpPr/>
                        <wps:spPr>
                          <a:xfrm rot="-10799999">
                            <a:off x="-1317175" y="2296744"/>
                            <a:ext cx="5308990" cy="142889"/>
                          </a:xfrm>
                          <a:prstGeom prst="rect">
                            <a:avLst/>
                          </a:prstGeom>
                          <a:ln>
                            <a:noFill/>
                          </a:ln>
                        </wps:spPr>
                        <wps:txbx>
                          <w:txbxContent>
                            <w:p w14:paraId="193B91E6" w14:textId="77777777" w:rsidR="00B32EF2" w:rsidRDefault="00000000">
                              <w:r>
                                <w:rPr>
                                  <w:rFonts w:ascii="Arial" w:eastAsia="Arial" w:hAnsi="Arial" w:cs="Arial"/>
                                  <w:sz w:val="18"/>
                                </w:rPr>
                                <w:t xml:space="preserve">di cui al medesimo comma 1. Alla scadenza del termine di sessanta giorni </w:t>
                              </w:r>
                            </w:p>
                          </w:txbxContent>
                        </wps:txbx>
                        <wps:bodyPr horzOverflow="overflow" vert="horz" lIns="0" tIns="0" rIns="0" bIns="0" rtlCol="0">
                          <a:noAutofit/>
                        </wps:bodyPr>
                      </wps:wsp>
                      <wps:wsp>
                        <wps:cNvPr id="16070" name="Rectangle 16070"/>
                        <wps:cNvSpPr/>
                        <wps:spPr>
                          <a:xfrm rot="-10799999">
                            <a:off x="-1218930" y="2173414"/>
                            <a:ext cx="5211774" cy="142889"/>
                          </a:xfrm>
                          <a:prstGeom prst="rect">
                            <a:avLst/>
                          </a:prstGeom>
                          <a:ln>
                            <a:noFill/>
                          </a:ln>
                        </wps:spPr>
                        <wps:txbx>
                          <w:txbxContent>
                            <w:p w14:paraId="7804F2CE" w14:textId="77777777" w:rsidR="00B32EF2" w:rsidRDefault="00000000">
                              <w:r>
                                <w:rPr>
                                  <w:rFonts w:ascii="Arial" w:eastAsia="Arial" w:hAnsi="Arial" w:cs="Arial"/>
                                  <w:sz w:val="18"/>
                                </w:rPr>
                                <w:t>dall’emanazione dell’ordinanza di sospensione, il provvedimento perde co</w:t>
                              </w:r>
                            </w:p>
                          </w:txbxContent>
                        </wps:txbx>
                        <wps:bodyPr horzOverflow="overflow" vert="horz" lIns="0" tIns="0" rIns="0" bIns="0" rtlCol="0">
                          <a:noAutofit/>
                        </wps:bodyPr>
                      </wps:wsp>
                      <wps:wsp>
                        <wps:cNvPr id="16071" name="Rectangle 16071"/>
                        <wps:cNvSpPr/>
                        <wps:spPr>
                          <a:xfrm rot="-10799999">
                            <a:off x="19215" y="2173414"/>
                            <a:ext cx="50622" cy="142889"/>
                          </a:xfrm>
                          <a:prstGeom prst="rect">
                            <a:avLst/>
                          </a:prstGeom>
                          <a:ln>
                            <a:noFill/>
                          </a:ln>
                        </wps:spPr>
                        <wps:txbx>
                          <w:txbxContent>
                            <w:p w14:paraId="6990E53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072" name="Rectangle 16072"/>
                        <wps:cNvSpPr/>
                        <wps:spPr>
                          <a:xfrm rot="-10799999">
                            <a:off x="-1317175" y="2050084"/>
                            <a:ext cx="5308990" cy="142889"/>
                          </a:xfrm>
                          <a:prstGeom prst="rect">
                            <a:avLst/>
                          </a:prstGeom>
                          <a:ln>
                            <a:noFill/>
                          </a:ln>
                        </wps:spPr>
                        <wps:txbx>
                          <w:txbxContent>
                            <w:p w14:paraId="7DBB1F0F" w14:textId="77777777" w:rsidR="00B32EF2" w:rsidRDefault="00000000">
                              <w:r>
                                <w:rPr>
                                  <w:rFonts w:ascii="Arial" w:eastAsia="Arial" w:hAnsi="Arial" w:cs="Arial"/>
                                  <w:sz w:val="18"/>
                                </w:rPr>
                                <w:t xml:space="preserve">munque efficacia, salvo che la corte di giustizia tributaria di primo grado entro </w:t>
                              </w:r>
                            </w:p>
                          </w:txbxContent>
                        </wps:txbx>
                        <wps:bodyPr horzOverflow="overflow" vert="horz" lIns="0" tIns="0" rIns="0" bIns="0" rtlCol="0">
                          <a:noAutofit/>
                        </wps:bodyPr>
                      </wps:wsp>
                      <wps:wsp>
                        <wps:cNvPr id="16073" name="Rectangle 16073"/>
                        <wps:cNvSpPr/>
                        <wps:spPr>
                          <a:xfrm rot="-10799999">
                            <a:off x="-1317206" y="1926755"/>
                            <a:ext cx="5309021" cy="142889"/>
                          </a:xfrm>
                          <a:prstGeom prst="rect">
                            <a:avLst/>
                          </a:prstGeom>
                          <a:ln>
                            <a:noFill/>
                          </a:ln>
                        </wps:spPr>
                        <wps:txbx>
                          <w:txbxContent>
                            <w:p w14:paraId="30FD9C3F" w14:textId="77777777" w:rsidR="00B32EF2" w:rsidRDefault="00000000">
                              <w:r>
                                <w:rPr>
                                  <w:rFonts w:ascii="Arial" w:eastAsia="Arial" w:hAnsi="Arial" w:cs="Arial"/>
                                  <w:sz w:val="18"/>
                                </w:rPr>
                                <w:t xml:space="preserve">il medesimo termine riesamini, su istanza di parte, l’ordinanza di sospensione </w:t>
                              </w:r>
                            </w:p>
                          </w:txbxContent>
                        </wps:txbx>
                        <wps:bodyPr horzOverflow="overflow" vert="horz" lIns="0" tIns="0" rIns="0" bIns="0" rtlCol="0">
                          <a:noAutofit/>
                        </wps:bodyPr>
                      </wps:wsp>
                      <wps:wsp>
                        <wps:cNvPr id="16074" name="Rectangle 16074"/>
                        <wps:cNvSpPr/>
                        <wps:spPr>
                          <a:xfrm rot="-10799999">
                            <a:off x="-1317175" y="1803425"/>
                            <a:ext cx="5308990" cy="142889"/>
                          </a:xfrm>
                          <a:prstGeom prst="rect">
                            <a:avLst/>
                          </a:prstGeom>
                          <a:ln>
                            <a:noFill/>
                          </a:ln>
                        </wps:spPr>
                        <wps:txbx>
                          <w:txbxContent>
                            <w:p w14:paraId="54B4DB57" w14:textId="77777777" w:rsidR="00B32EF2" w:rsidRDefault="00000000">
                              <w:r>
                                <w:rPr>
                                  <w:rFonts w:ascii="Arial" w:eastAsia="Arial" w:hAnsi="Arial" w:cs="Arial"/>
                                  <w:sz w:val="18"/>
                                </w:rPr>
                                <w:t xml:space="preserve">e ne disponga la conferma, anche parziale, sulla base dei presupposti di cui </w:t>
                              </w:r>
                            </w:p>
                          </w:txbxContent>
                        </wps:txbx>
                        <wps:bodyPr horzOverflow="overflow" vert="horz" lIns="0" tIns="0" rIns="0" bIns="0" rtlCol="0">
                          <a:noAutofit/>
                        </wps:bodyPr>
                      </wps:wsp>
                      <wps:wsp>
                        <wps:cNvPr id="16075" name="Rectangle 16075"/>
                        <wps:cNvSpPr/>
                        <wps:spPr>
                          <a:xfrm rot="-10799999">
                            <a:off x="-1317221" y="1680095"/>
                            <a:ext cx="5309035" cy="142889"/>
                          </a:xfrm>
                          <a:prstGeom prst="rect">
                            <a:avLst/>
                          </a:prstGeom>
                          <a:ln>
                            <a:noFill/>
                          </a:ln>
                        </wps:spPr>
                        <wps:txbx>
                          <w:txbxContent>
                            <w:p w14:paraId="3B758817" w14:textId="77777777" w:rsidR="00B32EF2" w:rsidRDefault="00000000">
                              <w:r>
                                <w:rPr>
                                  <w:rFonts w:ascii="Arial" w:eastAsia="Arial" w:hAnsi="Arial" w:cs="Arial"/>
                                  <w:sz w:val="18"/>
                                </w:rPr>
                                <w:t xml:space="preserve">ai commi 1 e 2, fissando comunque un termine di efficacia, non prorogabile, </w:t>
                              </w:r>
                            </w:p>
                          </w:txbxContent>
                        </wps:txbx>
                        <wps:bodyPr horzOverflow="overflow" vert="horz" lIns="0" tIns="0" rIns="0" bIns="0" rtlCol="0">
                          <a:noAutofit/>
                        </wps:bodyPr>
                      </wps:wsp>
                      <wps:wsp>
                        <wps:cNvPr id="16076" name="Rectangle 16076"/>
                        <wps:cNvSpPr/>
                        <wps:spPr>
                          <a:xfrm rot="-10799999">
                            <a:off x="-1317252" y="1556766"/>
                            <a:ext cx="5309067" cy="142889"/>
                          </a:xfrm>
                          <a:prstGeom prst="rect">
                            <a:avLst/>
                          </a:prstGeom>
                          <a:ln>
                            <a:noFill/>
                          </a:ln>
                        </wps:spPr>
                        <wps:txbx>
                          <w:txbxContent>
                            <w:p w14:paraId="4798D81B" w14:textId="77777777" w:rsidR="00B32EF2" w:rsidRDefault="00000000">
                              <w:r>
                                <w:rPr>
                                  <w:rFonts w:ascii="Arial" w:eastAsia="Arial" w:hAnsi="Arial" w:cs="Arial"/>
                                  <w:sz w:val="18"/>
                                </w:rPr>
                                <w:t xml:space="preserve">non superiore a sessanta giorni. Non si applica la disciplina sulla sospensione </w:t>
                              </w:r>
                            </w:p>
                          </w:txbxContent>
                        </wps:txbx>
                        <wps:bodyPr horzOverflow="overflow" vert="horz" lIns="0" tIns="0" rIns="0" bIns="0" rtlCol="0">
                          <a:noAutofit/>
                        </wps:bodyPr>
                      </wps:wsp>
                      <wps:wsp>
                        <wps:cNvPr id="16077" name="Rectangle 16077"/>
                        <wps:cNvSpPr/>
                        <wps:spPr>
                          <a:xfrm rot="-10799999">
                            <a:off x="-1317222" y="1433436"/>
                            <a:ext cx="5309036" cy="142889"/>
                          </a:xfrm>
                          <a:prstGeom prst="rect">
                            <a:avLst/>
                          </a:prstGeom>
                          <a:ln>
                            <a:noFill/>
                          </a:ln>
                        </wps:spPr>
                        <wps:txbx>
                          <w:txbxContent>
                            <w:p w14:paraId="261179E3" w14:textId="77777777" w:rsidR="00B32EF2" w:rsidRDefault="00000000">
                              <w:r>
                                <w:rPr>
                                  <w:rFonts w:ascii="Arial" w:eastAsia="Arial" w:hAnsi="Arial" w:cs="Arial"/>
                                  <w:sz w:val="18"/>
                                </w:rPr>
                                <w:t xml:space="preserve">feriale dei termini. Nel caso di rinvio pregiudiziale il termine di cui al primo </w:t>
                              </w:r>
                            </w:p>
                          </w:txbxContent>
                        </wps:txbx>
                        <wps:bodyPr horzOverflow="overflow" vert="horz" lIns="0" tIns="0" rIns="0" bIns="0" rtlCol="0">
                          <a:noAutofit/>
                        </wps:bodyPr>
                      </wps:wsp>
                      <wps:wsp>
                        <wps:cNvPr id="16078" name="Rectangle 16078"/>
                        <wps:cNvSpPr/>
                        <wps:spPr>
                          <a:xfrm rot="-10799999">
                            <a:off x="-1317145" y="1310106"/>
                            <a:ext cx="5308960" cy="142889"/>
                          </a:xfrm>
                          <a:prstGeom prst="rect">
                            <a:avLst/>
                          </a:prstGeom>
                          <a:ln>
                            <a:noFill/>
                          </a:ln>
                        </wps:spPr>
                        <wps:txbx>
                          <w:txbxContent>
                            <w:p w14:paraId="7F2EDF61" w14:textId="77777777" w:rsidR="00B32EF2" w:rsidRDefault="00000000">
                              <w:r>
                                <w:rPr>
                                  <w:rFonts w:ascii="Arial" w:eastAsia="Arial" w:hAnsi="Arial" w:cs="Arial"/>
                                  <w:sz w:val="18"/>
                                </w:rPr>
                                <w:t xml:space="preserve">periodo è sospeso dal giorno del deposito dell’ordinanza di rinvio e riprende a </w:t>
                              </w:r>
                            </w:p>
                          </w:txbxContent>
                        </wps:txbx>
                        <wps:bodyPr horzOverflow="overflow" vert="horz" lIns="0" tIns="0" rIns="0" bIns="0" rtlCol="0">
                          <a:noAutofit/>
                        </wps:bodyPr>
                      </wps:wsp>
                      <wps:wsp>
                        <wps:cNvPr id="16079" name="Rectangle 16079"/>
                        <wps:cNvSpPr/>
                        <wps:spPr>
                          <a:xfrm rot="-10799999">
                            <a:off x="-1317448" y="1186776"/>
                            <a:ext cx="5309948" cy="142890"/>
                          </a:xfrm>
                          <a:prstGeom prst="rect">
                            <a:avLst/>
                          </a:prstGeom>
                          <a:ln>
                            <a:noFill/>
                          </a:ln>
                        </wps:spPr>
                        <wps:txbx>
                          <w:txbxContent>
                            <w:p w14:paraId="5F6F190B" w14:textId="77777777" w:rsidR="00B32EF2" w:rsidRDefault="00000000">
                              <w:r>
                                <w:rPr>
                                  <w:rFonts w:ascii="Arial" w:eastAsia="Arial" w:hAnsi="Arial" w:cs="Arial"/>
                                  <w:sz w:val="18"/>
                                </w:rPr>
                                <w:t xml:space="preserve">decorrere dalla data della trasmissione della decisione della Corte di giustizia </w:t>
                              </w:r>
                            </w:p>
                          </w:txbxContent>
                        </wps:txbx>
                        <wps:bodyPr horzOverflow="overflow" vert="horz" lIns="0" tIns="0" rIns="0" bIns="0" rtlCol="0">
                          <a:noAutofit/>
                        </wps:bodyPr>
                      </wps:wsp>
                      <wps:wsp>
                        <wps:cNvPr id="16080" name="Rectangle 16080"/>
                        <wps:cNvSpPr/>
                        <wps:spPr>
                          <a:xfrm rot="-10799999">
                            <a:off x="2576618" y="1063447"/>
                            <a:ext cx="1416224" cy="142889"/>
                          </a:xfrm>
                          <a:prstGeom prst="rect">
                            <a:avLst/>
                          </a:prstGeom>
                          <a:ln>
                            <a:noFill/>
                          </a:ln>
                        </wps:spPr>
                        <wps:txbx>
                          <w:txbxContent>
                            <w:p w14:paraId="33EEA567" w14:textId="77777777" w:rsidR="00B32EF2" w:rsidRDefault="00000000">
                              <w:r>
                                <w:rPr>
                                  <w:rFonts w:ascii="Arial" w:eastAsia="Arial" w:hAnsi="Arial" w:cs="Arial"/>
                                  <w:sz w:val="18"/>
                                </w:rPr>
                                <w:t>dell’Unione europea.</w:t>
                              </w:r>
                            </w:p>
                          </w:txbxContent>
                        </wps:txbx>
                        <wps:bodyPr horzOverflow="overflow" vert="horz" lIns="0" tIns="0" rIns="0" bIns="0" rtlCol="0">
                          <a:noAutofit/>
                        </wps:bodyPr>
                      </wps:wsp>
                      <wps:wsp>
                        <wps:cNvPr id="200241" name="Rectangle 200241"/>
                        <wps:cNvSpPr/>
                        <wps:spPr>
                          <a:xfrm rot="-10799999">
                            <a:off x="-1381496" y="940117"/>
                            <a:ext cx="5308914" cy="142889"/>
                          </a:xfrm>
                          <a:prstGeom prst="rect">
                            <a:avLst/>
                          </a:prstGeom>
                          <a:ln>
                            <a:noFill/>
                          </a:ln>
                        </wps:spPr>
                        <wps:txbx>
                          <w:txbxContent>
                            <w:p w14:paraId="36DFB91C" w14:textId="77777777" w:rsidR="00B32EF2" w:rsidRDefault="00000000">
                              <w:r>
                                <w:rPr>
                                  <w:rFonts w:ascii="Arial" w:eastAsia="Arial" w:hAnsi="Arial" w:cs="Arial"/>
                                  <w:sz w:val="18"/>
                                </w:rPr>
                                <w:t xml:space="preserve">. Le controversie relative agli atti di cui al comma 1 sono discusse in pubblica </w:t>
                              </w:r>
                            </w:p>
                          </w:txbxContent>
                        </wps:txbx>
                        <wps:bodyPr horzOverflow="overflow" vert="horz" lIns="0" tIns="0" rIns="0" bIns="0" rtlCol="0">
                          <a:noAutofit/>
                        </wps:bodyPr>
                      </wps:wsp>
                      <wps:wsp>
                        <wps:cNvPr id="200239" name="Rectangle 200239"/>
                        <wps:cNvSpPr/>
                        <wps:spPr>
                          <a:xfrm rot="-10799999">
                            <a:off x="2611014" y="940117"/>
                            <a:ext cx="5308915" cy="142889"/>
                          </a:xfrm>
                          <a:prstGeom prst="rect">
                            <a:avLst/>
                          </a:prstGeom>
                          <a:ln>
                            <a:noFill/>
                          </a:ln>
                        </wps:spPr>
                        <wps:txbx>
                          <w:txbxContent>
                            <w:p w14:paraId="3D55A384"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16082" name="Rectangle 16082"/>
                        <wps:cNvSpPr/>
                        <wps:spPr>
                          <a:xfrm rot="-10799999">
                            <a:off x="-1317192" y="816788"/>
                            <a:ext cx="5309005" cy="142889"/>
                          </a:xfrm>
                          <a:prstGeom prst="rect">
                            <a:avLst/>
                          </a:prstGeom>
                          <a:ln>
                            <a:noFill/>
                          </a:ln>
                        </wps:spPr>
                        <wps:txbx>
                          <w:txbxContent>
                            <w:p w14:paraId="4CA513BC" w14:textId="77777777" w:rsidR="00B32EF2" w:rsidRDefault="00000000">
                              <w:r>
                                <w:rPr>
                                  <w:rFonts w:ascii="Arial" w:eastAsia="Arial" w:hAnsi="Arial" w:cs="Arial"/>
                                  <w:sz w:val="18"/>
                                </w:rPr>
                                <w:t xml:space="preserve">udienza e, subito dopo la discussione, la corte di giustizia tributaria delibera la </w:t>
                              </w:r>
                            </w:p>
                          </w:txbxContent>
                        </wps:txbx>
                        <wps:bodyPr horzOverflow="overflow" vert="horz" lIns="0" tIns="0" rIns="0" bIns="0" rtlCol="0">
                          <a:noAutofit/>
                        </wps:bodyPr>
                      </wps:wsp>
                      <wps:wsp>
                        <wps:cNvPr id="16083" name="Rectangle 16083"/>
                        <wps:cNvSpPr/>
                        <wps:spPr>
                          <a:xfrm rot="-10799999">
                            <a:off x="-1220255" y="693458"/>
                            <a:ext cx="5212641" cy="142889"/>
                          </a:xfrm>
                          <a:prstGeom prst="rect">
                            <a:avLst/>
                          </a:prstGeom>
                          <a:ln>
                            <a:noFill/>
                          </a:ln>
                        </wps:spPr>
                        <wps:txbx>
                          <w:txbxContent>
                            <w:p w14:paraId="4CE72233" w14:textId="77777777" w:rsidR="00B32EF2" w:rsidRDefault="00000000">
                              <w:r>
                                <w:rPr>
                                  <w:rFonts w:ascii="Arial" w:eastAsia="Arial" w:hAnsi="Arial" w:cs="Arial"/>
                                  <w:sz w:val="18"/>
                                </w:rPr>
                                <w:t>decisione in camera di consiglio. Il Presidente redige e sottoscrive il dispositi</w:t>
                              </w:r>
                            </w:p>
                          </w:txbxContent>
                        </wps:txbx>
                        <wps:bodyPr horzOverflow="overflow" vert="horz" lIns="0" tIns="0" rIns="0" bIns="0" rtlCol="0">
                          <a:noAutofit/>
                        </wps:bodyPr>
                      </wps:wsp>
                      <wps:wsp>
                        <wps:cNvPr id="16084" name="Rectangle 16084"/>
                        <wps:cNvSpPr/>
                        <wps:spPr>
                          <a:xfrm rot="-10799999">
                            <a:off x="19215" y="693458"/>
                            <a:ext cx="50622" cy="142889"/>
                          </a:xfrm>
                          <a:prstGeom prst="rect">
                            <a:avLst/>
                          </a:prstGeom>
                          <a:ln>
                            <a:noFill/>
                          </a:ln>
                        </wps:spPr>
                        <wps:txbx>
                          <w:txbxContent>
                            <w:p w14:paraId="625E029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085" name="Rectangle 16085"/>
                        <wps:cNvSpPr/>
                        <wps:spPr>
                          <a:xfrm rot="-10799999">
                            <a:off x="863977" y="570128"/>
                            <a:ext cx="3127837" cy="142889"/>
                          </a:xfrm>
                          <a:prstGeom prst="rect">
                            <a:avLst/>
                          </a:prstGeom>
                          <a:ln>
                            <a:noFill/>
                          </a:ln>
                        </wps:spPr>
                        <wps:txbx>
                          <w:txbxContent>
                            <w:p w14:paraId="6086B342" w14:textId="77777777" w:rsidR="00B32EF2" w:rsidRDefault="00000000">
                              <w:r>
                                <w:rPr>
                                  <w:rFonts w:ascii="Arial" w:eastAsia="Arial" w:hAnsi="Arial" w:cs="Arial"/>
                                  <w:sz w:val="18"/>
                                </w:rPr>
                                <w:t>vo e ne dà lettura in udienza, a pena di nullità.</w:t>
                              </w:r>
                            </w:p>
                          </w:txbxContent>
                        </wps:txbx>
                        <wps:bodyPr horzOverflow="overflow" vert="horz" lIns="0" tIns="0" rIns="0" bIns="0" rtlCol="0">
                          <a:noAutofit/>
                        </wps:bodyPr>
                      </wps:wsp>
                      <wps:wsp>
                        <wps:cNvPr id="200221" name="Rectangle 200221"/>
                        <wps:cNvSpPr/>
                        <wps:spPr>
                          <a:xfrm rot="-10799999">
                            <a:off x="2610991" y="446798"/>
                            <a:ext cx="5309005" cy="142889"/>
                          </a:xfrm>
                          <a:prstGeom prst="rect">
                            <a:avLst/>
                          </a:prstGeom>
                          <a:ln>
                            <a:noFill/>
                          </a:ln>
                        </wps:spPr>
                        <wps:txbx>
                          <w:txbxContent>
                            <w:p w14:paraId="207F5CE3"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00226" name="Rectangle 200226"/>
                        <wps:cNvSpPr/>
                        <wps:spPr>
                          <a:xfrm rot="-10799999">
                            <a:off x="-1381496" y="446798"/>
                            <a:ext cx="5309005" cy="142889"/>
                          </a:xfrm>
                          <a:prstGeom prst="rect">
                            <a:avLst/>
                          </a:prstGeom>
                          <a:ln>
                            <a:noFill/>
                          </a:ln>
                        </wps:spPr>
                        <wps:txbx>
                          <w:txbxContent>
                            <w:p w14:paraId="1A8097BE" w14:textId="77777777" w:rsidR="00B32EF2" w:rsidRDefault="00000000">
                              <w:r>
                                <w:rPr>
                                  <w:rFonts w:ascii="Arial" w:eastAsia="Arial" w:hAnsi="Arial" w:cs="Arial"/>
                                  <w:sz w:val="18"/>
                                </w:rPr>
                                <w:t xml:space="preserve">. La sentenza è depositata nella segreteria della corte di giustizia tributaria </w:t>
                              </w:r>
                            </w:p>
                          </w:txbxContent>
                        </wps:txbx>
                        <wps:bodyPr horzOverflow="overflow" vert="horz" lIns="0" tIns="0" rIns="0" bIns="0" rtlCol="0">
                          <a:noAutofit/>
                        </wps:bodyPr>
                      </wps:wsp>
                    </wpg:wgp>
                  </a:graphicData>
                </a:graphic>
              </wp:inline>
            </w:drawing>
          </mc:Choice>
          <mc:Fallback>
            <w:pict>
              <v:group w14:anchorId="4B3E4FC9" id="Group 200288" o:spid="_x0000_s2324" style="width:314.3pt;height:493.15pt;mso-position-horizontal-relative:char;mso-position-vertical-relative:line" coordsize="39918,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RNCAoAADt7AAAOAAAAZHJzL2Uyb0RvYy54bWzkXduO47gRfQ+w/2D4vce8iaKM6Vks9jII&#10;EGQXu8kHeNx2twHbMiTPdE++PqdIibJlYoNQiTkA96HXTffIMg/rVNWpIvX++7fDfvZl07S7+vg4&#10;5+/YfLY5ruun3fH5cf7Pf/zyYOaz9rw6Pq329XHzOP+6aefff/juL+9fT8uNqF/q/dOmmeEix3b5&#10;enqcv5zPp+Vi0a5fNodV+64+bY54c1s3h9UZvzbPi6dm9YqrH/YLwZhevNbN06mp15u2xehP7s35&#10;B3v97XazPv+63bab82z/OMe9ne3Pxv78RD8XH96vls/N6vSyW3e3sYq4i8Nqd8SH+kv9tDqvZp+b&#10;3c2lDrt1U7f19vxuXR8W9Xa7W2/sd8C34Wz0bT429eeT/S7Py9fnk58mTO1onqIvu/77l4/N6Y/T&#10;bw1m4vX0jLmwv9F3eds2B/o/7nL2Zqfsq5+yzdt5tsagrCpuuJzP1nhPCy1Modykrl8w8zf/bv3y&#10;83/4l4v+gxdXt/N6wgJphzlop83BHy+r08ZObbvEHPzWzHZPWL+aiWo+O64OWKq/Y/Gsjs/7zcwN&#10;2wmyf+2nq122mLl+rmZNjfX1wFlZ0X92PXRzxyvGFIZmmKUHLfCrm6R+GnlppMbbNIuiYFppet9P&#10;xWp5atrzx019mNGLx3mDe7PXX335W3t2f9r/Cd3O/kg/j/Uvu/3evUsjmNH+junV+e3Tm/vaQnH6&#10;PBr8VD99xWy81M2/foVdb/f16+O87l7NydTx8fTufLb/6xEokFX1L5r+xaf+RXPe/1hb23M39MPn&#10;c73d2TsePq27M8Dr7uEeOEvcdwBnDHcTgVXx3+P8wCUveVlYoDXnVaU7c+iRLiQzlemg5koYtxTu&#10;CLXov2E2UPMw1H7NR0ItADQMlWy6ANBajqEWsHnWcaOF2n7iHaGW2UEtwlD7NR8FNa8EdybtcC5o&#10;WldLb9JMC3wucXcSg7bLbmDTDLgbNhXibr/co1B+4EJwxhCwkkGbUko2BlpwYcSFQYPHnXftQ6Xe&#10;B/+/3LS9oaygVmGo/ZqPgvrCoIM4Xxv03VG2wV9WKINdQwbtl3sUyjBoBNoCgR4ZdIn4u7Qze8Hc&#10;glW6uuDuu0NdZuehETCFoPZrPgrqC4O2OI+JO7FBm+xQLsMo++UehTIMuiwg+jiDhtrQ5cmXBq21&#10;EYj3+2Ds7gZtI4KsuBsBU8ig/ZqPhZqbgqiZuLtgUvIb7uZM0VpIBXXhpYJsEumwNib9mo+C+oK7&#10;gzin5e7CqwS5oKzCyhiGJytjSLCcQUtIpMY6gwvulgxqCSLBZAbtVYJsoA4rY4MaHGXQnQjauWlR&#10;aF3cQm0qCJ/poPZSQTZQh5Ux5dd8FNSykBWvOm2MSynFCGmFYgayrnRAe6EgG6DD4pjyKz4OaKOY&#10;7KQxxlDdsuHdQN5Ss7JMCrTXCrIAGrVvQbWHceTdjU/x1ELDqpmrVSpjNDIq8vwD1gVkUqpvpjNq&#10;Lxbkg3UgobZYT86ojSzh7ynN+kbB9t8wC7DRa6DCaiiGp5j1kGY5nEeOGn76soh1b92k8HJBNigH&#10;2JvA99wW5adt7F1yp5uoUiMkG7O3RIOKQVklWZrl5YJsoA6QN0HtmS0SaiFY2ZU3lFYMcdmNoxYF&#10;uhKSQa29ZpAN1GE1VHl6i4L6grstzmOTTsvdOj+JLCyEKs9sUShb7u4lMlVwrcuxQaeWyLSXC3Ix&#10;aKj8N0kWuHsQ/+Oh7vsElaykdGvnIsmiPsGUEpn2gkE2UIfV0KECEAm1EFIgvrUpligZ42OrRncZ&#10;KxO2Fbke1ZyKlkVYDcXw/yjFCuKc2E37/DEbgw5LoYVntkiDRo+36LoQFFdaj7v5ST5jKbsQtE8i&#10;s4E63CfoNqMQs8VDzUmPIXmMCQmZe5RikZvGYLoUyyeR2UAdlscKT2/xUPfBt8R2Hea2glxFZGnr&#10;006Hz8pNhzWywtNbPNSI4a1VS1StSmYz2CuoTUW7eFJpZNgL1gUi2Vh1WCNznQPTCFxILCMQuNSF&#10;lOUt1BVDiJ8M6jI7jYxyoXHdklLqaRqZVU9UV7ekCiZzbSyXVs2ZoMg/lVW7tZcVgYeFssLTWzyB&#10;C1CDtWo0gVLB47pEjSIH9vIkhNpnkrkQOPnTgFW7gHkagaOI5aAWBuWsENQpO0+g3GTmqyH4B6H2&#10;dYB4q+41UbR7M+bkmEsCT6yJltl1k0HwD0Lt6S0OagVNVLquE8mkLrGp8oq/FXQVKCsJ+dtnk1nw&#10;t20lCuTV3XjHb3FYY89swTj0GYTgokKTaDUCG/1kQjJ482Rxmc8n8wE7oJdZsD3DRYGN3kFVGaeX&#10;/QnWCTPrMju9DNWdIIVPQ3poSXA4j6OytLWO0ueSWVg0giUdYG83PI28qdbR6SeihCzqysJXMVli&#10;/cTnktlAHVZFh6JPHHUXaOp2mig21mocf3EdkqFNmCU9/MLkJZRZbxwoYHbjE63aIOruwC6UxN6O&#10;a7BtBTPlXjzjc8ksrNqCGki1uvEpYAuN3RrU70vh97eJtU8ms8CavHJYAR8KfFEM7vZdVi6tFgpr&#10;x0lTI2edcs+8sTyTkwJOpzqGZFEftUyAujtnUIhKl8qG81dQp+0fBOV0tJWLVaOSF4J6KPBFQi24&#10;qei4SiJwXkoIYyNnLTgvIU0m00+Q8OcGdVgBHwp8UVBf5NRBnNPm1CYvlQxuugxEZG54SkDm3HTP&#10;3egkZ44qvyXuzk4ko/brgJseantRBu12dHStorBuXboutSuo07aKmuyUMvKUIah9vBIPdV+95Eiv&#10;lbBe8QrqxBGZjzmzicjCoii4dzKB962iXBvsu7yFOm2rqOtIzynPog6QkFX7oCXeqm3PGIJvXhQ4&#10;y8Ze8MqqKzQgpQu+ke/nFnyHW0WHyt4EqOkMBIJaYUceyh6Y2RHUVAtJVafGcYi5QR0WyobyXjzU&#10;/bYOPLEBrYK3UKfd1uF6JLIi8LBQ5rZAT+sfVNh+b62aG02HVN1YdUV/0Fu18533e0pD5QPPXMIy&#10;VPJCvnoo8EVZNRqCteYd0qhTK3e+xsDfaCnDGTcJdTIXJmZj1LZ4FRDKuvHOlUVhjcTacFXBF8NZ&#10;V4pBAL2xalNR01lv1fc+0Aj3lpOvJkxxDvCNWXfjU7BGARMeGlD+KdQJW8qq7NQy9ODfIA1h1LXm&#10;T/PVUMks0obr0mlTA4HbrgQ8lCWdUWcnlqFgG0Ta13Ej6RtHVwlooWTTupLK7f26QBotwZqOJUxG&#10;39lpZdQiEhBQhjJuFNJDSSsIc9KKFrYIZuWjiaHDguhQwI0C2WhZQX0hYy6wl1pYlhyMWeKxHThl&#10;NJkxS7e9O6u4m04fGVszxWIYnxiLoUsU1wbUSuF8shHUqT20ZHlJZBbSgPLdjU+B+irF+jax9kFI&#10;auHEPqoYT2i2j+ztniZNj4C+/N0+5HZ45vWHfwMAAP//AwBQSwMEFAAGAAgAAAAhABgNBmzdAAAA&#10;BQEAAA8AAABkcnMvZG93bnJldi54bWxMj0FLw0AQhe+C/2EZwZvdpMUQ02xKKeqpCLaC9DbNTpPQ&#10;7GzIbpP037t6qZeBx3u8902+mkwrBupdY1lBPItAEJdWN1wp+Nq/PaUgnEfW2FomBVdysCru73LM&#10;tB35k4adr0QoYZehgtr7LpPSlTUZdDPbEQfvZHuDPsi+krrHMZSbVs6jKJEGGw4LNXa0qak87y5G&#10;wfuI43oRvw7b82lzPeyfP763MSn1+DCtlyA8Tf4Whl/8gA5FYDraC2snWgXhEf93g5fM0wTEUcFL&#10;mixAFrn8T1/8AAAA//8DAFBLAQItABQABgAIAAAAIQC2gziS/gAAAOEBAAATAAAAAAAAAAAAAAAA&#10;AAAAAABbQ29udGVudF9UeXBlc10ueG1sUEsBAi0AFAAGAAgAAAAhADj9If/WAAAAlAEAAAsAAAAA&#10;AAAAAAAAAAAALwEAAF9yZWxzLy5yZWxzUEsBAi0AFAAGAAgAAAAhAAykJE0ICgAAO3sAAA4AAAAA&#10;AAAAAAAAAAAALgIAAGRycy9lMm9Eb2MueG1sUEsBAi0AFAAGAAgAAAAhABgNBmzdAAAABQEAAA8A&#10;AAAAAAAAAAAAAAAAYgwAAGRycy9kb3ducmV2LnhtbFBLBQYAAAAABAAEAPMAAABsDQAAAAA=&#10;">
                <v:rect id="Rectangle 16029" o:spid="_x0000_s2325"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PUDxQAAAN4AAAAPAAAAZHJzL2Rvd25yZXYueG1sRE9Na8JA&#10;EL0X/A/LCL3VjR5CmrpKUaQ5eDG10OOQHZO02dkluyaxv74rFHqbx/uc9XYynRio961lBctFAoK4&#10;srrlWsH5/fCUgfABWWNnmRTcyMN2M3tYY67tyCcaylCLGMI+RwVNCC6X0lcNGfQL64gjd7G9wRBh&#10;X0vd4xjDTSdXSZJKgy3HhgYd7RqqvsurUfC5Z1ccRlldfnbu+FVk3dv1/KHU43x6fQERaAr/4j93&#10;oeP8NFk9w/2deIPc/AIAAP//AwBQSwECLQAUAAYACAAAACEA2+H2y+4AAACFAQAAEwAAAAAAAAAA&#10;AAAAAAAAAAAAW0NvbnRlbnRfVHlwZXNdLnhtbFBLAQItABQABgAIAAAAIQBa9CxbvwAAABUBAAAL&#10;AAAAAAAAAAAAAAAAAB8BAABfcmVscy8ucmVsc1BLAQItABQABgAIAAAAIQCNVPUDxQAAAN4AAAAP&#10;AAAAAAAAAAAAAAAAAAcCAABkcnMvZG93bnJldi54bWxQSwUGAAAAAAMAAwC3AAAA+QIAAAAA&#10;" filled="f" stroked="f">
                  <v:textbox inset="0,0,0,0">
                    <w:txbxContent>
                      <w:p w14:paraId="498EE60D" w14:textId="77777777" w:rsidR="00B32EF2" w:rsidRDefault="00000000">
                        <w:r>
                          <w:rPr>
                            <w:rFonts w:ascii="Times New Roman" w:eastAsia="Times New Roman" w:hAnsi="Times New Roman" w:cs="Times New Roman"/>
                          </w:rPr>
                          <w:t>86</w:t>
                        </w:r>
                      </w:p>
                    </w:txbxContent>
                  </v:textbox>
                </v:rect>
                <v:rect id="Rectangle 16030" o:spid="_x0000_s2326" style="position:absolute;left:-13171;top:61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8pDxwAAAN4AAAAPAAAAZHJzL2Rvd25yZXYueG1sRI9Pa8JA&#10;EMXvhX6HZQq91U1bEEldRSzSHLz4DzwO2TFJzc4u2dXEfvrOQfA2w7x57/2m88G16kpdbDwbeB9l&#10;oIhLbxuuDOx3q7cJqJiQLbaeycCNIsxnz09TzK3veUPXbaqUmHDM0UCdUsi1jmVNDuPIB2K5nXzn&#10;MMnaVdp22Iu5a/VHlo21w4YlocZAy5rK8/biDBy/ORSrXpenv2VY/xaT9ueyPxjz+jIsvkAlGtJD&#10;fP8urNQfZ58CIDgyg579AwAA//8DAFBLAQItABQABgAIAAAAIQDb4fbL7gAAAIUBAAATAAAAAAAA&#10;AAAAAAAAAAAAAABbQ29udGVudF9UeXBlc10ueG1sUEsBAi0AFAAGAAgAAAAhAFr0LFu/AAAAFQEA&#10;AAsAAAAAAAAAAAAAAAAAHwEAAF9yZWxzLy5yZWxzUEsBAi0AFAAGAAgAAAAhAJm3ykPHAAAA3gAA&#10;AA8AAAAAAAAAAAAAAAAABwIAAGRycy9kb3ducmV2LnhtbFBLBQYAAAAAAwADALcAAAD7AgAAAAA=&#10;" filled="f" stroked="f">
                  <v:textbox inset="0,0,0,0">
                    <w:txbxContent>
                      <w:p w14:paraId="7D609142" w14:textId="77777777" w:rsidR="00B32EF2" w:rsidRDefault="00000000">
                        <w:r>
                          <w:rPr>
                            <w:rFonts w:ascii="Arial" w:eastAsia="Arial" w:hAnsi="Arial" w:cs="Arial"/>
                            <w:sz w:val="18"/>
                          </w:rPr>
                          <w:t xml:space="preserve">una decisione adottata dalla Commissione europea ai sensi dell’articolo 16 del </w:t>
                        </w:r>
                      </w:p>
                    </w:txbxContent>
                  </v:textbox>
                </v:rect>
                <v:rect id="Rectangle 16031" o:spid="_x0000_s2327" style="position:absolute;left:-12175;top:59966;width:520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YxQAAAN4AAAAPAAAAZHJzL2Rvd25yZXYueG1sRE9Na8JA&#10;EL0X+h+WKfRWN7YQQuoqYpHm4MXUQo9DdkxSs7NLdk1Sf70rCL3N433OYjWZTgzU+9aygvksAUFc&#10;Wd1yreDwtX3JQPiArLGzTAr+yMNq+fiwwFzbkfc0lKEWMYR9jgqaEFwupa8aMuhn1hFH7mh7gyHC&#10;vpa6xzGGm06+JkkqDbYcGxp0tGmoOpVno+Dng12xHWV1vGzc7rfIus/z4Vup56dp/Q4i0BT+xXd3&#10;oeP8NHmbw+2deINcXgEAAP//AwBQSwECLQAUAAYACAAAACEA2+H2y+4AAACFAQAAEwAAAAAAAAAA&#10;AAAAAAAAAAAAW0NvbnRlbnRfVHlwZXNdLnhtbFBLAQItABQABgAIAAAAIQBa9CxbvwAAABUBAAAL&#10;AAAAAAAAAAAAAAAAAB8BAABfcmVscy8ucmVsc1BLAQItABQABgAIAAAAIQD2+2/YxQAAAN4AAAAP&#10;AAAAAAAAAAAAAAAAAAcCAABkcnMvZG93bnJldi54bWxQSwUGAAAAAAMAAwC3AAAA+QIAAAAA&#10;" filled="f" stroked="f">
                  <v:textbox inset="0,0,0,0">
                    <w:txbxContent>
                      <w:p w14:paraId="3FABCB08" w14:textId="77777777" w:rsidR="00B32EF2" w:rsidRDefault="00000000">
                        <w:r>
                          <w:rPr>
                            <w:rFonts w:ascii="Arial" w:eastAsia="Arial" w:hAnsi="Arial" w:cs="Arial"/>
                            <w:sz w:val="18"/>
                          </w:rPr>
                          <w:t>regolamento (UE) n. 2015/1589 del Consiglio, del 13 luglio 2015, di seguito de</w:t>
                        </w:r>
                      </w:p>
                    </w:txbxContent>
                  </v:textbox>
                </v:rect>
                <v:rect id="Rectangle 16032" o:spid="_x0000_s2328" style="position:absolute;left:192;top:599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fGvxQAAAN4AAAAPAAAAZHJzL2Rvd25yZXYueG1sRE9Na8JA&#10;EL0L/Q/LFHrTTSMEia4iKWIOvdRa6HHIjkk0O7tk1yTtr+8WCr3N433OZjeZTgzU+9aygudFAoK4&#10;srrlWsH5/TBfgfABWWNnmRR8kYfd9mG2wVzbkd9oOIVaxBD2OSpoQnC5lL5qyKBfWEccuYvtDYYI&#10;+1rqHscYbjqZJkkmDbYcGxp0VDRU3U53o+DzhV15GGV1+S7c67Vcdcf7+UOpp8dpvwYRaAr/4j93&#10;qeP8LFmm8PtOvEFufwAAAP//AwBQSwECLQAUAAYACAAAACEA2+H2y+4AAACFAQAAEwAAAAAAAAAA&#10;AAAAAAAAAAAAW0NvbnRlbnRfVHlwZXNdLnhtbFBLAQItABQABgAIAAAAIQBa9CxbvwAAABUBAAAL&#10;AAAAAAAAAAAAAAAAAB8BAABfcmVscy8ucmVsc1BLAQItABQABgAIAAAAIQAGKfGvxQAAAN4AAAAP&#10;AAAAAAAAAAAAAAAAAAcCAABkcnMvZG93bnJldi54bWxQSwUGAAAAAAMAAwC3AAAA+QIAAAAA&#10;" filled="f" stroked="f">
                  <v:textbox inset="0,0,0,0">
                    <w:txbxContent>
                      <w:p w14:paraId="4D0C6D37" w14:textId="77777777" w:rsidR="00B32EF2" w:rsidRDefault="00000000">
                        <w:r>
                          <w:rPr>
                            <w:rFonts w:ascii="Arial" w:eastAsia="Arial" w:hAnsi="Arial" w:cs="Arial"/>
                            <w:sz w:val="18"/>
                          </w:rPr>
                          <w:t>-</w:t>
                        </w:r>
                      </w:p>
                    </w:txbxContent>
                  </v:textbox>
                </v:rect>
                <v:rect id="Rectangle 16033" o:spid="_x0000_s2329" style="position:absolute;left:-12210;top:58733;width:5212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Q0wwAAAN4AAAAPAAAAZHJzL2Rvd25yZXYueG1sRE9Ni8Iw&#10;EL0L+x/CLOxN01UQqUYRF7EHL7oKHodmbKvNJDTRdv31RhD2No/3ObNFZ2pxp8ZXlhV8DxIQxLnV&#10;FRcKDr/r/gSED8gaa8uk4I88LOYfvRmm2ra8o/s+FCKGsE9RQRmCS6X0eUkG/cA64sidbWMwRNgU&#10;UjfYxnBTy2GSjKXBimNDiY5WJeXX/c0oOP2wy9atzM+Pldteskm9uR2OSn19dsspiEBd+Be/3ZmO&#10;88fJaASvd+INcv4EAAD//wMAUEsBAi0AFAAGAAgAAAAhANvh9svuAAAAhQEAABMAAAAAAAAAAAAA&#10;AAAAAAAAAFtDb250ZW50X1R5cGVzXS54bWxQSwECLQAUAAYACAAAACEAWvQsW78AAAAVAQAACwAA&#10;AAAAAAAAAAAAAAAfAQAAX3JlbHMvLnJlbHNQSwECLQAUAAYACAAAACEAaWVUNMMAAADeAAAADwAA&#10;AAAAAAAAAAAAAAAHAgAAZHJzL2Rvd25yZXYueG1sUEsFBgAAAAADAAMAtwAAAPcCAAAAAA==&#10;" filled="f" stroked="f">
                  <v:textbox inset="0,0,0,0">
                    <w:txbxContent>
                      <w:p w14:paraId="0F5252CB" w14:textId="77777777" w:rsidR="00B32EF2" w:rsidRDefault="00000000">
                        <w:r>
                          <w:rPr>
                            <w:rFonts w:ascii="Arial" w:eastAsia="Arial" w:hAnsi="Arial" w:cs="Arial"/>
                            <w:sz w:val="18"/>
                          </w:rPr>
                          <w:t>nominata: «decisione di recupero», la corte di giustizia tributaria di primo gra</w:t>
                        </w:r>
                      </w:p>
                    </w:txbxContent>
                  </v:textbox>
                </v:rect>
                <v:rect id="Rectangle 16034" o:spid="_x0000_s2330" style="position:absolute;left:192;top:58733;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xAxQAAAN4AAAAPAAAAZHJzL2Rvd25yZXYueG1sRE9LawIx&#10;EL4L/Q9hCt4021pEVrNSLNI99KK10OOwmX3YzSRsorv6640g9DYf33NW68G04kydbywreJkmIIgL&#10;qxuuFBy+t5MFCB+QNbaWScGFPKyzp9EKU2173tF5HyoRQ9inqKAOwaVS+qImg35qHXHkStsZDBF2&#10;ldQd9jHctPI1SebSYMOxoUZHm5qKv/3JKPj9YJdve1mU1437OuaL9vN0+FFq/Dy8L0EEGsK/+OHO&#10;dZw/T2ZvcH8n3iCzGwAAAP//AwBQSwECLQAUAAYACAAAACEA2+H2y+4AAACFAQAAEwAAAAAAAAAA&#10;AAAAAAAAAAAAW0NvbnRlbnRfVHlwZXNdLnhtbFBLAQItABQABgAIAAAAIQBa9CxbvwAAABUBAAAL&#10;AAAAAAAAAAAAAAAAAB8BAABfcmVscy8ucmVsc1BLAQItABQABgAIAAAAIQDmjMxAxQAAAN4AAAAP&#10;AAAAAAAAAAAAAAAAAAcCAABkcnMvZG93bnJldi54bWxQSwUGAAAAAAMAAwC3AAAA+QIAAAAA&#10;" filled="f" stroked="f">
                  <v:textbox inset="0,0,0,0">
                    <w:txbxContent>
                      <w:p w14:paraId="60125883" w14:textId="77777777" w:rsidR="00B32EF2" w:rsidRDefault="00000000">
                        <w:r>
                          <w:rPr>
                            <w:rFonts w:ascii="Arial" w:eastAsia="Arial" w:hAnsi="Arial" w:cs="Arial"/>
                            <w:sz w:val="18"/>
                          </w:rPr>
                          <w:t>-</w:t>
                        </w:r>
                      </w:p>
                    </w:txbxContent>
                  </v:textbox>
                </v:rect>
                <v:rect id="Rectangle 16035" o:spid="_x0000_s2331" style="position:absolute;left:-12190;top:57499;width:520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GnbxQAAAN4AAAAPAAAAZHJzL2Rvd25yZXYueG1sRE9LawIx&#10;EL4L/Q9hCt4020pFVrNSLNI99KK10OOwmX3YzSRsorv6640g9DYf33NW68G04kydbywreJkmIIgL&#10;qxuuFBy+t5MFCB+QNbaWScGFPKyzp9EKU2173tF5HyoRQ9inqKAOwaVS+qImg35qHXHkStsZDBF2&#10;ldQd9jHctPI1SebSYMOxoUZHm5qKv/3JKPj9YJdve1mU1437OuaL9vN0+FFq/Dy8L0EEGsK/+OHO&#10;dZw/T2ZvcH8n3iCzGwAAAP//AwBQSwECLQAUAAYACAAAACEA2+H2y+4AAACFAQAAEwAAAAAAAAAA&#10;AAAAAAAAAAAAW0NvbnRlbnRfVHlwZXNdLnhtbFBLAQItABQABgAIAAAAIQBa9CxbvwAAABUBAAAL&#10;AAAAAAAAAAAAAAAAAB8BAABfcmVscy8ucmVsc1BLAQItABQABgAIAAAAIQCJwGnbxQAAAN4AAAAP&#10;AAAAAAAAAAAAAAAAAAcCAABkcnMvZG93bnJldi54bWxQSwUGAAAAAAMAAwC3AAAA+QIAAAAA&#10;" filled="f" stroked="f">
                  <v:textbox inset="0,0,0,0">
                    <w:txbxContent>
                      <w:p w14:paraId="69CA51C9" w14:textId="77777777" w:rsidR="00B32EF2" w:rsidRDefault="00000000">
                        <w:r>
                          <w:rPr>
                            <w:rFonts w:ascii="Arial" w:eastAsia="Arial" w:hAnsi="Arial" w:cs="Arial"/>
                            <w:sz w:val="18"/>
                          </w:rPr>
                          <w:t>do può concedere la sospensione dell’efficacia del titolo di pagamento conse</w:t>
                        </w:r>
                      </w:p>
                    </w:txbxContent>
                  </v:textbox>
                </v:rect>
                <v:rect id="Rectangle 16036" o:spid="_x0000_s2332" style="position:absolute;left:192;top:574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vesxAAAAN4AAAAPAAAAZHJzL2Rvd25yZXYueG1sRE9Na8JA&#10;EL0L/odlhN50UwtBUlcpijQHL9oIPQ7ZMUmbnV2yq0n99a4g9DaP9znL9WBacaXON5YVvM4SEMSl&#10;1Q1XCoqv3XQBwgdkja1lUvBHHtar8WiJmbY9H+h6DJWIIewzVFCH4DIpfVmTQT+zjjhyZ9sZDBF2&#10;ldQd9jHctHKeJKk02HBsqNHRpqby93gxCr637PJdL8vzbeP2P/mi/bwUJ6VeJsPHO4hAQ/gXP925&#10;jvPT5C2FxzvxBrm6AwAA//8DAFBLAQItABQABgAIAAAAIQDb4fbL7gAAAIUBAAATAAAAAAAAAAAA&#10;AAAAAAAAAABbQ29udGVudF9UeXBlc10ueG1sUEsBAi0AFAAGAAgAAAAhAFr0LFu/AAAAFQEAAAsA&#10;AAAAAAAAAAAAAAAAHwEAAF9yZWxzLy5yZWxzUEsBAi0AFAAGAAgAAAAhAHkS96zEAAAA3gAAAA8A&#10;AAAAAAAAAAAAAAAABwIAAGRycy9kb3ducmV2LnhtbFBLBQYAAAAAAwADALcAAAD4AgAAAAA=&#10;" filled="f" stroked="f">
                  <v:textbox inset="0,0,0,0">
                    <w:txbxContent>
                      <w:p w14:paraId="3AD85136" w14:textId="77777777" w:rsidR="00B32EF2" w:rsidRDefault="00000000">
                        <w:r>
                          <w:rPr>
                            <w:rFonts w:ascii="Arial" w:eastAsia="Arial" w:hAnsi="Arial" w:cs="Arial"/>
                            <w:sz w:val="18"/>
                          </w:rPr>
                          <w:t>-</w:t>
                        </w:r>
                      </w:p>
                    </w:txbxContent>
                  </v:textbox>
                </v:rect>
                <v:rect id="Rectangle 16037" o:spid="_x0000_s2333" style="position:absolute;left:-12750;top:56266;width:526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lI3xQAAAN4AAAAPAAAAZHJzL2Rvd25yZXYueG1sRE9LawIx&#10;EL4L/Q9hCt402wpWVrNSLNI99OKj0OOwmX3YzSRsorv66xuh4G0+vues1oNpxYU631hW8DJNQBAX&#10;VjdcKTgetpMFCB+QNbaWScGVPKyzp9EKU2173tFlHyoRQ9inqKAOwaVS+qImg35qHXHkStsZDBF2&#10;ldQd9jHctPI1SebSYMOxoUZHm5qK3/3ZKPj5YJdve1mUt437OuWL9vN8/FZq/Dy8L0EEGsJD/O/O&#10;dZw/T2ZvcH8n3iCzPwAAAP//AwBQSwECLQAUAAYACAAAACEA2+H2y+4AAACFAQAAEwAAAAAAAAAA&#10;AAAAAAAAAAAAW0NvbnRlbnRfVHlwZXNdLnhtbFBLAQItABQABgAIAAAAIQBa9CxbvwAAABUBAAAL&#10;AAAAAAAAAAAAAAAAAB8BAABfcmVscy8ucmVsc1BLAQItABQABgAIAAAAIQAWXlI3xQAAAN4AAAAP&#10;AAAAAAAAAAAAAAAAAAcCAABkcnMvZG93bnJldi54bWxQSwUGAAAAAAMAAwC3AAAA+QIAAAAA&#10;" filled="f" stroked="f">
                  <v:textbox inset="0,0,0,0">
                    <w:txbxContent>
                      <w:p w14:paraId="61EB59C8" w14:textId="77777777" w:rsidR="00B32EF2" w:rsidRDefault="00000000">
                        <w:r>
                          <w:rPr>
                            <w:rFonts w:ascii="Arial" w:eastAsia="Arial" w:hAnsi="Arial" w:cs="Arial"/>
                            <w:sz w:val="18"/>
                          </w:rPr>
                          <w:t>guente a detta decisione se ricorrono cumulativamente le seguenti condizioni:</w:t>
                        </w:r>
                      </w:p>
                    </w:txbxContent>
                  </v:textbox>
                </v:rect>
                <v:rect id="Rectangle 16038" o:spid="_x0000_s2334" style="position:absolute;left:-12185;top:55033;width:521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cZFxwAAAN4AAAAPAAAAZHJzL2Rvd25yZXYueG1sRI9Pa8JA&#10;EMXvhX6HZQq91U1bEEldRSzSHLz4DzwO2TFJzc4u2dXEfvrOQfA2w3vz3m+m88G16kpdbDwbeB9l&#10;oIhLbxuuDOx3q7cJqJiQLbaeycCNIsxnz09TzK3veUPXbaqUhHDM0UCdUsi1jmVNDuPIB2LRTr5z&#10;mGTtKm077CXctfojy8baYcPSUGOgZU3leXtxBo7fHIpVr8vT3zKsf4tJ+3PZH4x5fRkWX6ASDelh&#10;vl8XVvDH2afwyjsyg579AwAA//8DAFBLAQItABQABgAIAAAAIQDb4fbL7gAAAIUBAAATAAAAAAAA&#10;AAAAAAAAAAAAAABbQ29udGVudF9UeXBlc10ueG1sUEsBAi0AFAAGAAgAAAAhAFr0LFu/AAAAFQEA&#10;AAsAAAAAAAAAAAAAAAAAHwEAAF9yZWxzLy5yZWxzUEsBAi0AFAAGAAgAAAAhAGfBxkXHAAAA3gAA&#10;AA8AAAAAAAAAAAAAAAAABwIAAGRycy9kb3ducmV2LnhtbFBLBQYAAAAAAwADALcAAAD7AgAAAAA=&#10;" filled="f" stroked="f">
                  <v:textbox inset="0,0,0,0">
                    <w:txbxContent>
                      <w:p w14:paraId="5FD373BC" w14:textId="77777777" w:rsidR="00B32EF2" w:rsidRDefault="00000000">
                        <w:r>
                          <w:rPr>
                            <w:rFonts w:ascii="Arial" w:eastAsia="Arial" w:hAnsi="Arial" w:cs="Arial"/>
                            <w:sz w:val="18"/>
                          </w:rPr>
                          <w:t>a) gravi motivi di illegittimità della decisione di recupero, ovvero evidente erro</w:t>
                        </w:r>
                      </w:p>
                    </w:txbxContent>
                  </v:textbox>
                </v:rect>
                <v:rect id="Rectangle 16039" o:spid="_x0000_s2335" style="position:absolute;left:192;top:550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WPexQAAAN4AAAAPAAAAZHJzL2Rvd25yZXYueG1sRE9LawIx&#10;EL4X+h/CFLxpthVEV7NSLNI99OKj0OOwmX3YzSRsorv66xtB6G0+vues1oNpxYU631hW8DpJQBAX&#10;VjdcKTgetuM5CB+QNbaWScGVPKyz56cVptr2vKPLPlQihrBPUUEdgkul9EVNBv3EOuLIlbYzGCLs&#10;Kqk77GO4aeVbksykwYZjQ42ONjUVv/uzUfDzwS7f9rIobxv3dcrn7ef5+K3U6GV4X4IINIR/8cOd&#10;6zh/lkwXcH8n3iCzPwAAAP//AwBQSwECLQAUAAYACAAAACEA2+H2y+4AAACFAQAAEwAAAAAAAAAA&#10;AAAAAAAAAAAAW0NvbnRlbnRfVHlwZXNdLnhtbFBLAQItABQABgAIAAAAIQBa9CxbvwAAABUBAAAL&#10;AAAAAAAAAAAAAAAAAB8BAABfcmVscy8ucmVsc1BLAQItABQABgAIAAAAIQAIjWPexQAAAN4AAAAP&#10;AAAAAAAAAAAAAAAAAAcCAABkcnMvZG93bnJldi54bWxQSwUGAAAAAAMAAwC3AAAA+QIAAAAA&#10;" filled="f" stroked="f">
                  <v:textbox inset="0,0,0,0">
                    <w:txbxContent>
                      <w:p w14:paraId="3A6F93D9" w14:textId="77777777" w:rsidR="00B32EF2" w:rsidRDefault="00000000">
                        <w:r>
                          <w:rPr>
                            <w:rFonts w:ascii="Arial" w:eastAsia="Arial" w:hAnsi="Arial" w:cs="Arial"/>
                            <w:sz w:val="18"/>
                          </w:rPr>
                          <w:t>-</w:t>
                        </w:r>
                      </w:p>
                    </w:txbxContent>
                  </v:textbox>
                </v:rect>
                <v:rect id="Rectangle 16040" o:spid="_x0000_s2336" style="position:absolute;left:-13172;top:537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bk+xwAAAN4AAAAPAAAAZHJzL2Rvd25yZXYueG1sRI9Pa8JA&#10;EMXvhX6HZQq91U1LEUldRSzSHLz4DzwO2TFJzc4u2dXEfvrOQfA2w7x57/2m88G16kpdbDwbeB9l&#10;oIhLbxuuDOx3q7cJqJiQLbaeycCNIsxnz09TzK3veUPXbaqUmHDM0UCdUsi1jmVNDuPIB2K5nXzn&#10;MMnaVdp22Iu5a/VHlo21w4YlocZAy5rK8/biDBy/ORSrXpenv2VY/xaT9ueyPxjz+jIsvkAlGtJD&#10;fP8urNQfZ58CIDgyg579AwAA//8DAFBLAQItABQABgAIAAAAIQDb4fbL7gAAAIUBAAATAAAAAAAA&#10;AAAAAAAAAAAAAABbQ29udGVudF9UeXBlc10ueG1sUEsBAi0AFAAGAAgAAAAhAFr0LFu/AAAAFQEA&#10;AAsAAAAAAAAAAAAAAAAAHwEAAF9yZWxzLy5yZWxzUEsBAi0AFAAGAAgAAAAhAMGxuT7HAAAA3gAA&#10;AA8AAAAAAAAAAAAAAAAABwIAAGRycy9kb3ducmV2LnhtbFBLBQYAAAAAAwADALcAAAD7AgAAAAA=&#10;" filled="f" stroked="f">
                  <v:textbox inset="0,0,0,0">
                    <w:txbxContent>
                      <w:p w14:paraId="21EE493B" w14:textId="77777777" w:rsidR="00B32EF2" w:rsidRDefault="00000000">
                        <w:r>
                          <w:rPr>
                            <w:rFonts w:ascii="Arial" w:eastAsia="Arial" w:hAnsi="Arial" w:cs="Arial"/>
                            <w:sz w:val="18"/>
                          </w:rPr>
                          <w:t xml:space="preserve">re nella individuazione del soggetto tenuto alla restituzione dell’aiuto di Stato </w:t>
                        </w:r>
                      </w:p>
                    </w:txbxContent>
                  </v:textbox>
                </v:rect>
                <v:rect id="Rectangle 16041" o:spid="_x0000_s2337" style="position:absolute;left:-13171;top:525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ylxQAAAN4AAAAPAAAAZHJzL2Rvd25yZXYueG1sRE9Na8JA&#10;EL0X+h+WKfRWN5YSQuoqYpHm4MXUQo9DdkxSs7NLdk1Sf70rCL3N433OYjWZTgzU+9aygvksAUFc&#10;Wd1yreDwtX3JQPiArLGzTAr+yMNq+fiwwFzbkfc0lKEWMYR9jgqaEFwupa8aMuhn1hFH7mh7gyHC&#10;vpa6xzGGm06+JkkqDbYcGxp0tGmoOpVno+Dng12xHWV1vGzc7rfIus/z4Vup56dp/Q4i0BT+xXd3&#10;oeP8NHmbw+2deINcXgEAAP//AwBQSwECLQAUAAYACAAAACEA2+H2y+4AAACFAQAAEwAAAAAAAAAA&#10;AAAAAAAAAAAAW0NvbnRlbnRfVHlwZXNdLnhtbFBLAQItABQABgAIAAAAIQBa9CxbvwAAABUBAAAL&#10;AAAAAAAAAAAAAAAAAB8BAABfcmVscy8ucmVsc1BLAQItABQABgAIAAAAIQCu/RylxQAAAN4AAAAP&#10;AAAAAAAAAAAAAAAAAAcCAABkcnMvZG93bnJldi54bWxQSwUGAAAAAAMAAwC3AAAA+QIAAAAA&#10;" filled="f" stroked="f">
                  <v:textbox inset="0,0,0,0">
                    <w:txbxContent>
                      <w:p w14:paraId="2F18C5AD" w14:textId="77777777" w:rsidR="00B32EF2" w:rsidRDefault="00000000">
                        <w:r>
                          <w:rPr>
                            <w:rFonts w:ascii="Arial" w:eastAsia="Arial" w:hAnsi="Arial" w:cs="Arial"/>
                            <w:sz w:val="18"/>
                          </w:rPr>
                          <w:t xml:space="preserve">o evidente errore nel calcolo della somma da recuperare e nei limiti di tale </w:t>
                        </w:r>
                      </w:p>
                    </w:txbxContent>
                  </v:textbox>
                </v:rect>
                <v:rect id="Rectangle 16042" o:spid="_x0000_s2338" style="position:absolute;left:35391;top:51333;width:4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4LSxQAAAN4AAAAPAAAAZHJzL2Rvd25yZXYueG1sRE9Na8JA&#10;EL0L/Q/LFHrTTYMEia4iKWIOvdRa6HHIjkk0O7tk1yTtr+8WCr3N433OZjeZTgzU+9aygudFAoK4&#10;srrlWsH5/TBfgfABWWNnmRR8kYfd9mG2wVzbkd9oOIVaxBD2OSpoQnC5lL5qyKBfWEccuYvtDYYI&#10;+1rqHscYbjqZJkkmDbYcGxp0VDRU3U53o+DzhV15GGV1+S7c67Vcdcf7+UOpp8dpvwYRaAr/4j93&#10;qeP8LFmm8PtOvEFufwAAAP//AwBQSwECLQAUAAYACAAAACEA2+H2y+4AAACFAQAAEwAAAAAAAAAA&#10;AAAAAAAAAAAAW0NvbnRlbnRfVHlwZXNdLnhtbFBLAQItABQABgAIAAAAIQBa9CxbvwAAABUBAAAL&#10;AAAAAAAAAAAAAAAAAB8BAABfcmVscy8ucmVsc1BLAQItABQABgAIAAAAIQBeL4LSxQAAAN4AAAAP&#10;AAAAAAAAAAAAAAAAAAcCAABkcnMvZG93bnJldi54bWxQSwUGAAAAAAMAAwC3AAAA+QIAAAAA&#10;" filled="f" stroked="f">
                  <v:textbox inset="0,0,0,0">
                    <w:txbxContent>
                      <w:p w14:paraId="750F7470" w14:textId="77777777" w:rsidR="00B32EF2" w:rsidRDefault="00000000">
                        <w:r>
                          <w:rPr>
                            <w:rFonts w:ascii="Arial" w:eastAsia="Arial" w:hAnsi="Arial" w:cs="Arial"/>
                            <w:sz w:val="18"/>
                          </w:rPr>
                          <w:t>errore;</w:t>
                        </w:r>
                      </w:p>
                    </w:txbxContent>
                  </v:textbox>
                </v:rect>
                <v:rect id="Rectangle 16043" o:spid="_x0000_s2339" style="position:absolute;left:3840;top:50099;width:360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ydJxQAAAN4AAAAPAAAAZHJzL2Rvd25yZXYueG1sRE9LawIx&#10;EL4L/Q9hCt4021pEVrNSLNI99KK10OOwmX3YzSRsorv6640g9DYf33NW68G04kydbywreJkmIIgL&#10;qxuuFBy+t5MFCB+QNbaWScGFPKyzp9EKU2173tF5HyoRQ9inqKAOwaVS+qImg35qHXHkStsZDBF2&#10;ldQd9jHctPI1SebSYMOxoUZHm5qKv/3JKPj9YJdve1mU1437OuaL9vN0+FFq/Dy8L0EEGsK/+OHO&#10;dZw/T95mcH8n3iCzGwAAAP//AwBQSwECLQAUAAYACAAAACEA2+H2y+4AAACFAQAAEwAAAAAAAAAA&#10;AAAAAAAAAAAAW0NvbnRlbnRfVHlwZXNdLnhtbFBLAQItABQABgAIAAAAIQBa9CxbvwAAABUBAAAL&#10;AAAAAAAAAAAAAAAAAB8BAABfcmVscy8ucmVsc1BLAQItABQABgAIAAAAIQAxYydJxQAAAN4AAAAP&#10;AAAAAAAAAAAAAAAAAAcCAABkcnMvZG93bnJldi54bWxQSwUGAAAAAAMAAwC3AAAA+QIAAAAA&#10;" filled="f" stroked="f">
                  <v:textbox inset="0,0,0,0">
                    <w:txbxContent>
                      <w:p w14:paraId="3EE3F3A9" w14:textId="77777777" w:rsidR="00B32EF2" w:rsidRDefault="00000000">
                        <w:r>
                          <w:rPr>
                            <w:rFonts w:ascii="Arial" w:eastAsia="Arial" w:hAnsi="Arial" w:cs="Arial"/>
                            <w:sz w:val="18"/>
                          </w:rPr>
                          <w:t>b) pericolo di un pregiudizio imminente e irreparabile.</w:t>
                        </w:r>
                      </w:p>
                    </w:txbxContent>
                  </v:textbox>
                </v:rect>
                <v:rect id="Rectangle 200246" o:spid="_x0000_s2340" style="position:absolute;left:26353;top:48866;width:52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Su5xwAAAN8AAAAPAAAAZHJzL2Rvd25yZXYueG1sRI9Ba8JA&#10;FITvQv/D8gq96aZBgkRXkRQxh15qLfT4yD6TaPbtkl2TtL++Wyj0OMzMN8xmN5lODNT71rKC50UC&#10;griyuuVawfn9MF+B8AFZY2eZFHyRh932YbbBXNuR32g4hVpECPscFTQhuFxKXzVk0C+sI47exfYG&#10;Q5R9LXWPY4SbTqZJkkmDLceFBh0VDVW3090o+HxhVx5GWV2+C/d6LVfd8X7+UOrpcdqvQQSawn/4&#10;r11qBZGYLjP4/RO/gNz+AAAA//8DAFBLAQItABQABgAIAAAAIQDb4fbL7gAAAIUBAAATAAAAAAAA&#10;AAAAAAAAAAAAAABbQ29udGVudF9UeXBlc10ueG1sUEsBAi0AFAAGAAgAAAAhAFr0LFu/AAAAFQEA&#10;AAsAAAAAAAAAAAAAAAAAHwEAAF9yZWxzLy5yZWxzUEsBAi0AFAAGAAgAAAAhAIRlK7nHAAAA3wAA&#10;AA8AAAAAAAAAAAAAAAAABwIAAGRycy9kb3ducmV2LnhtbFBLBQYAAAAAAwADALcAAAD7AgAAAAA=&#10;" filled="f" stroked="f">
                  <v:textbox inset="0,0,0,0">
                    <w:txbxContent>
                      <w:p w14:paraId="1B872D86" w14:textId="77777777" w:rsidR="00B32EF2" w:rsidRDefault="00000000">
                        <w:r>
                          <w:rPr>
                            <w:rFonts w:ascii="Arial" w:eastAsia="Arial" w:hAnsi="Arial" w:cs="Arial"/>
                            <w:sz w:val="18"/>
                          </w:rPr>
                          <w:t>2</w:t>
                        </w:r>
                      </w:p>
                    </w:txbxContent>
                  </v:textbox>
                </v:rect>
                <v:rect id="Rectangle 200247" o:spid="_x0000_s2341" style="position:absolute;left:-12837;top:48866;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Y4ixwAAAN8AAAAPAAAAZHJzL2Rvd25yZXYueG1sRI9Pa8JA&#10;FMTvhX6H5RV6q5uKVEndSLGIOXhRU+jxkX3502bfLtnVpH76riB4HGbmN8xyNZpOnKn3rWUFr5ME&#10;BHFpdcu1guK4eVmA8AFZY2eZFPyRh1X2+LDEVNuB93Q+hFpECPsUFTQhuFRKXzZk0E+sI45eZXuD&#10;Icq+lrrHIcJNJ6dJ8iYNthwXGnS0bqj8PZyMgu9PdvlmkGV1WbvdT77otqfiS6nnp/HjHUSgMdzD&#10;t3auFUTidDaH65/4BWT2DwAA//8DAFBLAQItABQABgAIAAAAIQDb4fbL7gAAAIUBAAATAAAAAAAA&#10;AAAAAAAAAAAAAABbQ29udGVudF9UeXBlc10ueG1sUEsBAi0AFAAGAAgAAAAhAFr0LFu/AAAAFQEA&#10;AAsAAAAAAAAAAAAAAAAAHwEAAF9yZWxzLy5yZWxzUEsBAi0AFAAGAAgAAAAhAOspjiLHAAAA3wAA&#10;AA8AAAAAAAAAAAAAAAAABwIAAGRycy9kb3ducmV2LnhtbFBLBQYAAAAAAwADALcAAAD7AgAAAAA=&#10;" filled="f" stroked="f">
                  <v:textbox inset="0,0,0,0">
                    <w:txbxContent>
                      <w:p w14:paraId="504BCA19" w14:textId="77777777" w:rsidR="00B32EF2" w:rsidRDefault="00000000">
                        <w:r>
                          <w:rPr>
                            <w:rFonts w:ascii="Arial" w:eastAsia="Arial" w:hAnsi="Arial" w:cs="Arial"/>
                            <w:sz w:val="18"/>
                          </w:rPr>
                          <w:t>. Qualora la sospensione si fondi su motivi attinenti alla illegittimità della de</w:t>
                        </w:r>
                      </w:p>
                    </w:txbxContent>
                  </v:textbox>
                </v:rect>
                <v:rect id="Rectangle 16045" o:spid="_x0000_s2342" style="position:absolute;left:192;top:488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hqmxQAAAN4AAAAPAAAAZHJzL2Rvd25yZXYueG1sRE9LawIx&#10;EL4L/Q9hCt4022JFVrNSLNI99KK10OOwmX3YzSRsorv6640g9DYf33NW68G04kydbywreJkmIIgL&#10;qxuuFBy+t5MFCB+QNbaWScGFPKyzp9EKU2173tF5HyoRQ9inqKAOwaVS+qImg35qHXHkStsZDBF2&#10;ldQd9jHctPI1SebSYMOxoUZHm5qKv/3JKPj9YJdve1mU1437OuaL9vN0+FFq/Dy8L0EEGsK/+OHO&#10;dZw/T2ZvcH8n3iCzGwAAAP//AwBQSwECLQAUAAYACAAAACEA2+H2y+4AAACFAQAAEwAAAAAAAAAA&#10;AAAAAAAAAAAAW0NvbnRlbnRfVHlwZXNdLnhtbFBLAQItABQABgAIAAAAIQBa9CxbvwAAABUBAAAL&#10;AAAAAAAAAAAAAAAAAB8BAABfcmVscy8ucmVsc1BLAQItABQABgAIAAAAIQDRxhqmxQAAAN4AAAAP&#10;AAAAAAAAAAAAAAAAAAcCAABkcnMvZG93bnJldi54bWxQSwUGAAAAAAMAAwC3AAAA+QIAAAAA&#10;" filled="f" stroked="f">
                  <v:textbox inset="0,0,0,0">
                    <w:txbxContent>
                      <w:p w14:paraId="1EC6A640" w14:textId="77777777" w:rsidR="00B32EF2" w:rsidRDefault="00000000">
                        <w:r>
                          <w:rPr>
                            <w:rFonts w:ascii="Arial" w:eastAsia="Arial" w:hAnsi="Arial" w:cs="Arial"/>
                            <w:sz w:val="18"/>
                          </w:rPr>
                          <w:t>-</w:t>
                        </w:r>
                      </w:p>
                    </w:txbxContent>
                  </v:textbox>
                </v:rect>
                <v:rect id="Rectangle 16046" o:spid="_x0000_s2343" style="position:absolute;left:-13177;top:47633;width:531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ITRxAAAAN4AAAAPAAAAZHJzL2Rvd25yZXYueG1sRE9Na8JA&#10;EL0L/odlhN50UylBUlcpijQHL9oIPQ7ZMUmbnV2yq0n99a4g9DaP9znL9WBacaXON5YVvM4SEMSl&#10;1Q1XCoqv3XQBwgdkja1lUvBHHtar8WiJmbY9H+h6DJWIIewzVFCH4DIpfVmTQT+zjjhyZ9sZDBF2&#10;ldQd9jHctHKeJKk02HBsqNHRpqby93gxCr637PJdL8vzbeP2P/mi/bwUJ6VeJsPHO4hAQ/gXP925&#10;jvPT5C2FxzvxBrm6AwAA//8DAFBLAQItABQABgAIAAAAIQDb4fbL7gAAAIUBAAATAAAAAAAAAAAA&#10;AAAAAAAAAABbQ29udGVudF9UeXBlc10ueG1sUEsBAi0AFAAGAAgAAAAhAFr0LFu/AAAAFQEAAAsA&#10;AAAAAAAAAAAAAAAAHwEAAF9yZWxzLy5yZWxzUEsBAi0AFAAGAAgAAAAhACEUhNHEAAAA3gAAAA8A&#10;AAAAAAAAAAAAAAAABwIAAGRycy9kb3ducmV2LnhtbFBLBQYAAAAAAwADALcAAAD4AgAAAAA=&#10;" filled="f" stroked="f">
                  <v:textbox inset="0,0,0,0">
                    <w:txbxContent>
                      <w:p w14:paraId="703C4CCA" w14:textId="77777777" w:rsidR="00B32EF2" w:rsidRDefault="00000000">
                        <w:r>
                          <w:rPr>
                            <w:rFonts w:ascii="Arial" w:eastAsia="Arial" w:hAnsi="Arial" w:cs="Arial"/>
                            <w:sz w:val="18"/>
                          </w:rPr>
                          <w:t xml:space="preserve">cisione di recupero la corte di giustizia tributaria di primo grado provvede con </w:t>
                        </w:r>
                      </w:p>
                    </w:txbxContent>
                  </v:textbox>
                </v:rect>
                <v:rect id="Rectangle 16047" o:spid="_x0000_s2344" style="position:absolute;left:-12207;top:46400;width:5212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CFKxQAAAN4AAAAPAAAAZHJzL2Rvd25yZXYueG1sRE9LawIx&#10;EL4L/Q9hCt402yJWVrNSLNI99OKj0OOwmX3YzSRsorv66xuh4G0+vues1oNpxYU631hW8DJNQBAX&#10;VjdcKTgetpMFCB+QNbaWScGVPKyzp9EKU2173tFlHyoRQ9inqKAOwaVS+qImg35qHXHkStsZDBF2&#10;ldQd9jHctPI1SebSYMOxoUZHm5qK3/3ZKPj5YJdve1mUt437OuWL9vN8/FZq/Dy8L0EEGsJD/O/O&#10;dZw/T2ZvcH8n3iCzPwAAAP//AwBQSwECLQAUAAYACAAAACEA2+H2y+4AAACFAQAAEwAAAAAAAAAA&#10;AAAAAAAAAAAAW0NvbnRlbnRfVHlwZXNdLnhtbFBLAQItABQABgAIAAAAIQBa9CxbvwAAABUBAAAL&#10;AAAAAAAAAAAAAAAAAB8BAABfcmVscy8ucmVsc1BLAQItABQABgAIAAAAIQBOWCFKxQAAAN4AAAAP&#10;AAAAAAAAAAAAAAAAAAcCAABkcnMvZG93bnJldi54bWxQSwUGAAAAAAMAAwC3AAAA+QIAAAAA&#10;" filled="f" stroked="f">
                  <v:textbox inset="0,0,0,0">
                    <w:txbxContent>
                      <w:p w14:paraId="39D873EB" w14:textId="77777777" w:rsidR="00B32EF2" w:rsidRDefault="00000000">
                        <w:r>
                          <w:rPr>
                            <w:rFonts w:ascii="Arial" w:eastAsia="Arial" w:hAnsi="Arial" w:cs="Arial"/>
                            <w:sz w:val="18"/>
                          </w:rPr>
                          <w:t>separata ordinanza alla sospensione del giudizio e all’immediato rinvio pregiu</w:t>
                        </w:r>
                      </w:p>
                    </w:txbxContent>
                  </v:textbox>
                </v:rect>
                <v:rect id="Rectangle 16048" o:spid="_x0000_s2345" style="position:absolute;left:192;top:4640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U4xwAAAN4AAAAPAAAAZHJzL2Rvd25yZXYueG1sRI9Pa8JA&#10;EMXvhX6HZQq91U1LEUldRSzSHLz4DzwO2TFJzc4u2dXEfvrOQfA2w3vz3m+m88G16kpdbDwbeB9l&#10;oIhLbxuuDOx3q7cJqJiQLbaeycCNIsxnz09TzK3veUPXbaqUhHDM0UCdUsi1jmVNDuPIB2LRTr5z&#10;mGTtKm077CXctfojy8baYcPSUGOgZU3leXtxBo7fHIpVr8vT3zKsf4tJ+3PZH4x5fRkWX6ASDelh&#10;vl8XVvDH2afwyjsyg579AwAA//8DAFBLAQItABQABgAIAAAAIQDb4fbL7gAAAIUBAAATAAAAAAAA&#10;AAAAAAAAAAAAAABbQ29udGVudF9UeXBlc10ueG1sUEsBAi0AFAAGAAgAAAAhAFr0LFu/AAAAFQEA&#10;AAsAAAAAAAAAAAAAAAAAHwEAAF9yZWxzLy5yZWxzUEsBAi0AFAAGAAgAAAAhAD/HtTjHAAAA3gAA&#10;AA8AAAAAAAAAAAAAAAAABwIAAGRycy9kb3ducmV2LnhtbFBLBQYAAAAAAwADALcAAAD7AgAAAAA=&#10;" filled="f" stroked="f">
                  <v:textbox inset="0,0,0,0">
                    <w:txbxContent>
                      <w:p w14:paraId="20B9DA83" w14:textId="77777777" w:rsidR="00B32EF2" w:rsidRDefault="00000000">
                        <w:r>
                          <w:rPr>
                            <w:rFonts w:ascii="Arial" w:eastAsia="Arial" w:hAnsi="Arial" w:cs="Arial"/>
                            <w:sz w:val="18"/>
                          </w:rPr>
                          <w:t>-</w:t>
                        </w:r>
                      </w:p>
                    </w:txbxContent>
                  </v:textbox>
                </v:rect>
                <v:rect id="Rectangle 16049" o:spid="_x0000_s2346" style="position:absolute;left:-13172;top:451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xCjxQAAAN4AAAAPAAAAZHJzL2Rvd25yZXYueG1sRE9LawIx&#10;EL4X+h/CFLxptkVEV7NSLNI99OKj0OOwmX3YzSRsorv66xtB6G0+vues1oNpxYU631hW8DpJQBAX&#10;VjdcKTgetuM5CB+QNbaWScGVPKyz56cVptr2vKPLPlQihrBPUUEdgkul9EVNBv3EOuLIlbYzGCLs&#10;Kqk77GO4aeVbksykwYZjQ42ONjUVv/uzUfDzwS7f9rIobxv3dcrn7ef5+K3U6GV4X4IINIR/8cOd&#10;6zh/lkwXcH8n3iCzPwAAAP//AwBQSwECLQAUAAYACAAAACEA2+H2y+4AAACFAQAAEwAAAAAAAAAA&#10;AAAAAAAAAAAAW0NvbnRlbnRfVHlwZXNdLnhtbFBLAQItABQABgAIAAAAIQBa9CxbvwAAABUBAAAL&#10;AAAAAAAAAAAAAAAAAB8BAABfcmVscy8ucmVsc1BLAQItABQABgAIAAAAIQBQixCjxQAAAN4AAAAP&#10;AAAAAAAAAAAAAAAAAAcCAABkcnMvZG93bnJldi54bWxQSwUGAAAAAAMAAwC3AAAA+QIAAAAA&#10;" filled="f" stroked="f">
                  <v:textbox inset="0,0,0,0">
                    <w:txbxContent>
                      <w:p w14:paraId="4FEB8D1D" w14:textId="77777777" w:rsidR="00B32EF2" w:rsidRDefault="00000000">
                        <w:r>
                          <w:rPr>
                            <w:rFonts w:ascii="Arial" w:eastAsia="Arial" w:hAnsi="Arial" w:cs="Arial"/>
                            <w:sz w:val="18"/>
                          </w:rPr>
                          <w:t xml:space="preserve">diziale della questione alla Corte di giustizia dell’Unione europea, con richiesta </w:t>
                        </w:r>
                      </w:p>
                    </w:txbxContent>
                  </v:textbox>
                </v:rect>
                <v:rect id="Rectangle 16050" o:spid="_x0000_s2347" style="position:absolute;left:-13171;top:439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C/jxwAAAN4AAAAPAAAAZHJzL2Rvd25yZXYueG1sRI9Pa8JA&#10;EMXvhX6HZQq91U0LFUldRSzSHLz4DzwO2TFJzc4u2dXEfvrOQfA2w7x57/2m88G16kpdbDwbeB9l&#10;oIhLbxuuDOx3q7cJqJiQLbaeycCNIsxnz09TzK3veUPXbaqUmHDM0UCdUsi1jmVNDuPIB2K5nXzn&#10;MMnaVdp22Iu5a/VHlo21w4YlocZAy5rK8/biDBy/ORSrXpenv2VY/xaT9ueyPxjz+jIsvkAlGtJD&#10;fP8urNQfZ58CIDgyg579AwAA//8DAFBLAQItABQABgAIAAAAIQDb4fbL7gAAAIUBAAATAAAAAAAA&#10;AAAAAAAAAAAAAABbQ29udGVudF9UeXBlc10ueG1sUEsBAi0AFAAGAAgAAAAhAFr0LFu/AAAAFQEA&#10;AAsAAAAAAAAAAAAAAAAAHwEAAF9yZWxzLy5yZWxzUEsBAi0AFAAGAAgAAAAhAERoL+PHAAAA3gAA&#10;AA8AAAAAAAAAAAAAAAAABwIAAGRycy9kb3ducmV2LnhtbFBLBQYAAAAAAwADALcAAAD7AgAAAAA=&#10;" filled="f" stroked="f">
                  <v:textbox inset="0,0,0,0">
                    <w:txbxContent>
                      <w:p w14:paraId="5AE1D03D" w14:textId="77777777" w:rsidR="00B32EF2" w:rsidRDefault="00000000">
                        <w:r>
                          <w:rPr>
                            <w:rFonts w:ascii="Arial" w:eastAsia="Arial" w:hAnsi="Arial" w:cs="Arial"/>
                            <w:sz w:val="18"/>
                          </w:rPr>
                          <w:t xml:space="preserve">di trattazione d’urgenza ai sensi dell’articolo 107 del regolamento di procedura </w:t>
                        </w:r>
                      </w:p>
                    </w:txbxContent>
                  </v:textbox>
                </v:rect>
                <v:rect id="Rectangle 16051" o:spid="_x0000_s2348" style="position:absolute;left:-12232;top:42700;width:521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Ip4xQAAAN4AAAAPAAAAZHJzL2Rvd25yZXYueG1sRE9Na8JA&#10;EL0X+h+WKfRWNxYaQuoqYpHm4MXUQo9DdkxSs7NLdk1Sf70rCL3N433OYjWZTgzU+9aygvksAUFc&#10;Wd1yreDwtX3JQPiArLGzTAr+yMNq+fiwwFzbkfc0lKEWMYR9jgqaEFwupa8aMuhn1hFH7mh7gyHC&#10;vpa6xzGGm06+JkkqDbYcGxp0tGmoOpVno+Dng12xHWV1vGzc7rfIus/z4Vup56dp/Q4i0BT+xXd3&#10;oeP8NHmbw+2deINcXgEAAP//AwBQSwECLQAUAAYACAAAACEA2+H2y+4AAACFAQAAEwAAAAAAAAAA&#10;AAAAAAAAAAAAW0NvbnRlbnRfVHlwZXNdLnhtbFBLAQItABQABgAIAAAAIQBa9CxbvwAAABUBAAAL&#10;AAAAAAAAAAAAAAAAAB8BAABfcmVscy8ucmVsc1BLAQItABQABgAIAAAAIQArJIp4xQAAAN4AAAAP&#10;AAAAAAAAAAAAAAAAAAcCAABkcnMvZG93bnJldi54bWxQSwUGAAAAAAMAAwC3AAAA+QIAAAAA&#10;" filled="f" stroked="f">
                  <v:textbox inset="0,0,0,0">
                    <w:txbxContent>
                      <w:p w14:paraId="7B68DBD4" w14:textId="77777777" w:rsidR="00B32EF2" w:rsidRDefault="00000000">
                        <w:r>
                          <w:rPr>
                            <w:rFonts w:ascii="Arial" w:eastAsia="Arial" w:hAnsi="Arial" w:cs="Arial"/>
                            <w:sz w:val="18"/>
                          </w:rPr>
                          <w:t>della Corte di giustizia del 25 settembre 2012, pubblicato nella Gazzetta Uf</w:t>
                        </w:r>
                      </w:p>
                    </w:txbxContent>
                  </v:textbox>
                </v:rect>
                <v:rect id="Rectangle 16052" o:spid="_x0000_s2349" style="position:absolute;left:192;top:427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hQPxQAAAN4AAAAPAAAAZHJzL2Rvd25yZXYueG1sRE9Na8JA&#10;EL0L/Q/LFHrTTQMGia4iKWIOvdRa6HHIjkk0O7tk1yTtr+8WCr3N433OZjeZTgzU+9aygudFAoK4&#10;srrlWsH5/TBfgfABWWNnmRR8kYfd9mG2wVzbkd9oOIVaxBD2OSpoQnC5lL5qyKBfWEccuYvtDYYI&#10;+1rqHscYbjqZJkkmDbYcGxp0VDRU3U53o+DzhV15GGV1+S7c67Vcdcf7+UOpp8dpvwYRaAr/4j93&#10;qeP8LFmm8PtOvEFufwAAAP//AwBQSwECLQAUAAYACAAAACEA2+H2y+4AAACFAQAAEwAAAAAAAAAA&#10;AAAAAAAAAAAAW0NvbnRlbnRfVHlwZXNdLnhtbFBLAQItABQABgAIAAAAIQBa9CxbvwAAABUBAAAL&#10;AAAAAAAAAAAAAAAAAB8BAABfcmVscy8ucmVsc1BLAQItABQABgAIAAAAIQDb9hQPxQAAAN4AAAAP&#10;AAAAAAAAAAAAAAAAAAcCAABkcnMvZG93bnJldi54bWxQSwUGAAAAAAMAAwC3AAAA+QIAAAAA&#10;" filled="f" stroked="f">
                  <v:textbox inset="0,0,0,0">
                    <w:txbxContent>
                      <w:p w14:paraId="51243656" w14:textId="77777777" w:rsidR="00B32EF2" w:rsidRDefault="00000000">
                        <w:r>
                          <w:rPr>
                            <w:rFonts w:ascii="Arial" w:eastAsia="Arial" w:hAnsi="Arial" w:cs="Arial"/>
                            <w:sz w:val="18"/>
                          </w:rPr>
                          <w:t>-</w:t>
                        </w:r>
                      </w:p>
                    </w:txbxContent>
                  </v:textbox>
                </v:rect>
                <v:rect id="Rectangle 16053" o:spid="_x0000_s2350" style="position:absolute;left:-13172;top:414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rGUxQAAAN4AAAAPAAAAZHJzL2Rvd25yZXYueG1sRE9LawIx&#10;EL4L/Q9hCt4020pFVrNSLNI99KK10OOwmX3YzSRsorv6640g9DYf33NW68G04kydbywreJkmIIgL&#10;qxuuFBy+t5MFCB+QNbaWScGFPKyzp9EKU2173tF5HyoRQ9inqKAOwaVS+qImg35qHXHkStsZDBF2&#10;ldQd9jHctPI1SebSYMOxoUZHm5qKv/3JKPj9YJdve1mU1437OuaL9vN0+FFq/Dy8L0EEGsK/+OHO&#10;dZw/T95mcH8n3iCzGwAAAP//AwBQSwECLQAUAAYACAAAACEA2+H2y+4AAACFAQAAEwAAAAAAAAAA&#10;AAAAAAAAAAAAW0NvbnRlbnRfVHlwZXNdLnhtbFBLAQItABQABgAIAAAAIQBa9CxbvwAAABUBAAAL&#10;AAAAAAAAAAAAAAAAAB8BAABfcmVscy8ucmVsc1BLAQItABQABgAIAAAAIQC0urGUxQAAAN4AAAAP&#10;AAAAAAAAAAAAAAAAAAcCAABkcnMvZG93bnJldi54bWxQSwUGAAAAAAMAAwC3AAAA+QIAAAAA&#10;" filled="f" stroked="f">
                  <v:textbox inset="0,0,0,0">
                    <w:txbxContent>
                      <w:p w14:paraId="03B80FC2" w14:textId="77777777" w:rsidR="00B32EF2" w:rsidRDefault="00000000">
                        <w:r>
                          <w:rPr>
                            <w:rFonts w:ascii="Arial" w:eastAsia="Arial" w:hAnsi="Arial" w:cs="Arial"/>
                            <w:sz w:val="18"/>
                          </w:rPr>
                          <w:t xml:space="preserve">ficiale dell’Unione Europea C 337 del 6 novembre 2012, se ad essa non sia </w:t>
                        </w:r>
                      </w:p>
                    </w:txbxContent>
                  </v:textbox>
                </v:rect>
                <v:rect id="Rectangle 16054" o:spid="_x0000_s2351" style="position:absolute;left:-13171;top:402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yngxQAAAN4AAAAPAAAAZHJzL2Rvd25yZXYueG1sRE9LawIx&#10;EL4L/Q9hCt4022JFVrNSLNI99KK10OOwmX3YzSRsorv6640g9DYf33NW68G04kydbywreJkmIIgL&#10;qxuuFBy+t5MFCB+QNbaWScGFPKyzp9EKU2173tF5HyoRQ9inqKAOwaVS+qImg35qHXHkStsZDBF2&#10;ldQd9jHctPI1SebSYMOxoUZHm5qKv/3JKPj9YJdve1mU1437OuaL9vN0+FFq/Dy8L0EEGsK/+OHO&#10;dZw/T95mcH8n3iCzGwAAAP//AwBQSwECLQAUAAYACAAAACEA2+H2y+4AAACFAQAAEwAAAAAAAAAA&#10;AAAAAAAAAAAAW0NvbnRlbnRfVHlwZXNdLnhtbFBLAQItABQABgAIAAAAIQBa9CxbvwAAABUBAAAL&#10;AAAAAAAAAAAAAAAAAB8BAABfcmVscy8ucmVsc1BLAQItABQABgAIAAAAIQA7UyngxQAAAN4AAAAP&#10;AAAAAAAAAAAAAAAAAAcCAABkcnMvZG93bnJldi54bWxQSwUGAAAAAAMAAwC3AAAA+QIAAAAA&#10;" filled="f" stroked="f">
                  <v:textbox inset="0,0,0,0">
                    <w:txbxContent>
                      <w:p w14:paraId="2980D95A" w14:textId="77777777" w:rsidR="00B32EF2" w:rsidRDefault="00000000">
                        <w:r>
                          <w:rPr>
                            <w:rFonts w:ascii="Arial" w:eastAsia="Arial" w:hAnsi="Arial" w:cs="Arial"/>
                            <w:sz w:val="18"/>
                          </w:rPr>
                          <w:t xml:space="preserve">stata già deferita la questione di validità dell’atto comunitario contestato. Non </w:t>
                        </w:r>
                      </w:p>
                    </w:txbxContent>
                  </v:textbox>
                </v:rect>
                <v:rect id="Rectangle 16055" o:spid="_x0000_s2352" style="position:absolute;left:-13172;top:390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4x7wwAAAN4AAAAPAAAAZHJzL2Rvd25yZXYueG1sRE9Ni8Iw&#10;EL0L+x/CLOxN0xUUqUYRF7EHL7oKHodmbKvNJDTRdv31RhD2No/3ObNFZ2pxp8ZXlhV8DxIQxLnV&#10;FRcKDr/r/gSED8gaa8uk4I88LOYfvRmm2ra8o/s+FCKGsE9RQRmCS6X0eUkG/cA64sidbWMwRNgU&#10;UjfYxnBTy2GSjKXBimNDiY5WJeXX/c0oOP2wy9atzM+Pldteskm9uR2OSn19dsspiEBd+Be/3ZmO&#10;88fJaASvd+INcv4EAAD//wMAUEsBAi0AFAAGAAgAAAAhANvh9svuAAAAhQEAABMAAAAAAAAAAAAA&#10;AAAAAAAAAFtDb250ZW50X1R5cGVzXS54bWxQSwECLQAUAAYACAAAACEAWvQsW78AAAAVAQAACwAA&#10;AAAAAAAAAAAAAAAfAQAAX3JlbHMvLnJlbHNQSwECLQAUAAYACAAAACEAVB+Me8MAAADeAAAADwAA&#10;AAAAAAAAAAAAAAAHAgAAZHJzL2Rvd25yZXYueG1sUEsFBgAAAAADAAMAtwAAAPcCAAAAAA==&#10;" filled="f" stroked="f">
                  <v:textbox inset="0,0,0,0">
                    <w:txbxContent>
                      <w:p w14:paraId="7882C7B3" w14:textId="77777777" w:rsidR="00B32EF2" w:rsidRDefault="00000000">
                        <w:r>
                          <w:rPr>
                            <w:rFonts w:ascii="Arial" w:eastAsia="Arial" w:hAnsi="Arial" w:cs="Arial"/>
                            <w:sz w:val="18"/>
                          </w:rPr>
                          <w:t xml:space="preserve">può, in ogni caso, essere accolta l’istanza di sospensione dell’atto impugnato </w:t>
                        </w:r>
                      </w:p>
                    </w:txbxContent>
                  </v:textbox>
                </v:rect>
                <v:rect id="Rectangle 16056" o:spid="_x0000_s2353" style="position:absolute;left:-13171;top:37767;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RIMxAAAAN4AAAAPAAAAZHJzL2Rvd25yZXYueG1sRE9Na8JA&#10;EL0L/odlhN50U6FBUlcpijQHL9oIPQ7ZMUmbnV2yq0n99a4g9DaP9znL9WBacaXON5YVvM4SEMSl&#10;1Q1XCoqv3XQBwgdkja1lUvBHHtar8WiJmbY9H+h6DJWIIewzVFCH4DIpfVmTQT+zjjhyZ9sZDBF2&#10;ldQd9jHctHKeJKk02HBsqNHRpqby93gxCr637PJdL8vzbeP2P/mi/bwUJ6VeJsPHO4hAQ/gXP925&#10;jvPT5C2FxzvxBrm6AwAA//8DAFBLAQItABQABgAIAAAAIQDb4fbL7gAAAIUBAAATAAAAAAAAAAAA&#10;AAAAAAAAAABbQ29udGVudF9UeXBlc10ueG1sUEsBAi0AFAAGAAgAAAAhAFr0LFu/AAAAFQEAAAsA&#10;AAAAAAAAAAAAAAAAHwEAAF9yZWxzLy5yZWxzUEsBAi0AFAAGAAgAAAAhAKTNEgzEAAAA3gAAAA8A&#10;AAAAAAAAAAAAAAAABwIAAGRycy9kb3ducmV2LnhtbFBLBQYAAAAAAwADALcAAAD4AgAAAAA=&#10;" filled="f" stroked="f">
                  <v:textbox inset="0,0,0,0">
                    <w:txbxContent>
                      <w:p w14:paraId="048A256E" w14:textId="77777777" w:rsidR="00B32EF2" w:rsidRDefault="00000000">
                        <w:r>
                          <w:rPr>
                            <w:rFonts w:ascii="Arial" w:eastAsia="Arial" w:hAnsi="Arial" w:cs="Arial"/>
                            <w:sz w:val="18"/>
                          </w:rPr>
                          <w:t xml:space="preserve">per motivi attinenti alla legittimità della decisione di recupero quando la parte </w:t>
                        </w:r>
                      </w:p>
                    </w:txbxContent>
                  </v:textbox>
                </v:rect>
                <v:rect id="Rectangle 16057" o:spid="_x0000_s2354" style="position:absolute;left:-13172;top:365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beXxQAAAN4AAAAPAAAAZHJzL2Rvd25yZXYueG1sRE9LawIx&#10;EL4L/Q9hCt4024JWVrNSLNI99OKj0OOwmX3YzSRsorv66xuh4G0+vues1oNpxYU631hW8DJNQBAX&#10;VjdcKTgetpMFCB+QNbaWScGVPKyzp9EKU2173tFlHyoRQ9inqKAOwaVS+qImg35qHXHkStsZDBF2&#10;ldQd9jHctPI1SebSYMOxoUZHm5qK3/3ZKPj5YJdve1mUt437OuWL9vN8/FZq/Dy8L0EEGsJD/O/O&#10;dZw/T2ZvcH8n3iCzPwAAAP//AwBQSwECLQAUAAYACAAAACEA2+H2y+4AAACFAQAAEwAAAAAAAAAA&#10;AAAAAAAAAAAAW0NvbnRlbnRfVHlwZXNdLnhtbFBLAQItABQABgAIAAAAIQBa9CxbvwAAABUBAAAL&#10;AAAAAAAAAAAAAAAAAB8BAABfcmVscy8ucmVsc1BLAQItABQABgAIAAAAIQDLgbeXxQAAAN4AAAAP&#10;AAAAAAAAAAAAAAAAAAcCAABkcnMvZG93bnJldi54bWxQSwUGAAAAAAMAAwC3AAAA+QIAAAAA&#10;" filled="f" stroked="f">
                  <v:textbox inset="0,0,0,0">
                    <w:txbxContent>
                      <w:p w14:paraId="707171C4" w14:textId="77777777" w:rsidR="00B32EF2" w:rsidRDefault="00000000">
                        <w:r>
                          <w:rPr>
                            <w:rFonts w:ascii="Arial" w:eastAsia="Arial" w:hAnsi="Arial" w:cs="Arial"/>
                            <w:sz w:val="18"/>
                          </w:rPr>
                          <w:t xml:space="preserve">istante, pur avendone facoltà perché individuata o chiaramente individuabile, </w:t>
                        </w:r>
                      </w:p>
                    </w:txbxContent>
                  </v:textbox>
                </v:rect>
                <v:rect id="Rectangle 16058" o:spid="_x0000_s2355" style="position:absolute;left:-13174;top:35300;width:531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iPlxwAAAN4AAAAPAAAAZHJzL2Rvd25yZXYueG1sRI9Pa8JA&#10;EMXvhX6HZQq91U0LFUldRSzSHLz4DzwO2TFJzc4u2dXEfvrOQfA2w3vz3m+m88G16kpdbDwbeB9l&#10;oIhLbxuuDOx3q7cJqJiQLbaeycCNIsxnz09TzK3veUPXbaqUhHDM0UCdUsi1jmVNDuPIB2LRTr5z&#10;mGTtKm077CXctfojy8baYcPSUGOgZU3leXtxBo7fHIpVr8vT3zKsf4tJ+3PZH4x5fRkWX6ASDelh&#10;vl8XVvDH2afwyjsyg579AwAA//8DAFBLAQItABQABgAIAAAAIQDb4fbL7gAAAIUBAAATAAAAAAAA&#10;AAAAAAAAAAAAAABbQ29udGVudF9UeXBlc10ueG1sUEsBAi0AFAAGAAgAAAAhAFr0LFu/AAAAFQEA&#10;AAsAAAAAAAAAAAAAAAAAHwEAAF9yZWxzLy5yZWxzUEsBAi0AFAAGAAgAAAAhALoeI+XHAAAA3gAA&#10;AA8AAAAAAAAAAAAAAAAABwIAAGRycy9kb3ducmV2LnhtbFBLBQYAAAAAAwADALcAAAD7AgAAAAA=&#10;" filled="f" stroked="f">
                  <v:textbox inset="0,0,0,0">
                    <w:txbxContent>
                      <w:p w14:paraId="18D52917" w14:textId="77777777" w:rsidR="00B32EF2" w:rsidRDefault="00000000">
                        <w:r>
                          <w:rPr>
                            <w:rFonts w:ascii="Arial" w:eastAsia="Arial" w:hAnsi="Arial" w:cs="Arial"/>
                            <w:sz w:val="18"/>
                          </w:rPr>
                          <w:t xml:space="preserve">non abbia proposto impugnazione avverso la decisione di recupero ai sensi </w:t>
                        </w:r>
                      </w:p>
                    </w:txbxContent>
                  </v:textbox>
                </v:rect>
                <v:rect id="Rectangle 16059" o:spid="_x0000_s2356" style="position:absolute;left:-13172;top:34067;width:531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oZ+xQAAAN4AAAAPAAAAZHJzL2Rvd25yZXYueG1sRE9LawIx&#10;EL4X+h/CFLxptgVFV7NSLNI99OKj0OOwmX3YzSRsorv66xtB6G0+vues1oNpxYU631hW8DpJQBAX&#10;VjdcKTgetuM5CB+QNbaWScGVPKyz56cVptr2vKPLPlQihrBPUUEdgkul9EVNBv3EOuLIlbYzGCLs&#10;Kqk77GO4aeVbksykwYZjQ42ONjUVv/uzUfDzwS7f9rIobxv3dcrn7ef5+K3U6GV4X4IINIR/8cOd&#10;6zh/lkwXcH8n3iCzPwAAAP//AwBQSwECLQAUAAYACAAAACEA2+H2y+4AAACFAQAAEwAAAAAAAAAA&#10;AAAAAAAAAAAAW0NvbnRlbnRfVHlwZXNdLnhtbFBLAQItABQABgAIAAAAIQBa9CxbvwAAABUBAAAL&#10;AAAAAAAAAAAAAAAAAB8BAABfcmVscy8ucmVsc1BLAQItABQABgAIAAAAIQDVUoZ+xQAAAN4AAAAP&#10;AAAAAAAAAAAAAAAAAAcCAABkcnMvZG93bnJldi54bWxQSwUGAAAAAAMAAwC3AAAA+QIAAAAA&#10;" filled="f" stroked="f">
                  <v:textbox inset="0,0,0,0">
                    <w:txbxContent>
                      <w:p w14:paraId="4C976EA0" w14:textId="77777777" w:rsidR="00B32EF2" w:rsidRDefault="00000000">
                        <w:r>
                          <w:rPr>
                            <w:rFonts w:ascii="Arial" w:eastAsia="Arial" w:hAnsi="Arial" w:cs="Arial"/>
                            <w:sz w:val="18"/>
                          </w:rPr>
                          <w:t xml:space="preserve">dell’articolo 263 del Trattato sul funzionamento dell’Unione europea ovvero </w:t>
                        </w:r>
                      </w:p>
                    </w:txbxContent>
                  </v:textbox>
                </v:rect>
                <v:rect id="Rectangle 16060" o:spid="_x0000_s2357" style="position:absolute;left:-13173;top:32833;width:531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VexwAAAN4AAAAPAAAAZHJzL2Rvd25yZXYueG1sRI9Bb8Iw&#10;DIXvSPsPkZF2gxQOFeoIaGJC64HLGEg7Wo1pC40TNYF2+/XzYdJutvz83vvW29F16kF9bD0bWMwz&#10;UMSVty3XBk6f+9kKVEzIFjvPZOCbImw3T5M1FtYP/EGPY6qVmHAs0ECTUii0jlVDDuPcB2K5XXzv&#10;MMna19r2OIi56/Qyy3LtsGVJaDDQrqHqdrw7A19vHMr9oKvLzy4cruWqe7+fzsY8T8fXF1CJxvQv&#10;/vsurdTPs1wABEdm0JtfAAAA//8DAFBLAQItABQABgAIAAAAIQDb4fbL7gAAAIUBAAATAAAAAAAA&#10;AAAAAAAAAAAAAABbQ29udGVudF9UeXBlc10ueG1sUEsBAi0AFAAGAAgAAAAhAFr0LFu/AAAAFQEA&#10;AAsAAAAAAAAAAAAAAAAAHwEAAF9yZWxzLy5yZWxzUEsBAi0AFAAGAAgAAAAhAIoE5V7HAAAA3gAA&#10;AA8AAAAAAAAAAAAAAAAABwIAAGRycy9kb3ducmV2LnhtbFBLBQYAAAAAAwADALcAAAD7AgAAAAA=&#10;" filled="f" stroked="f">
                  <v:textbox inset="0,0,0,0">
                    <w:txbxContent>
                      <w:p w14:paraId="71FCA382" w14:textId="77777777" w:rsidR="00B32EF2" w:rsidRDefault="00000000">
                        <w:r>
                          <w:rPr>
                            <w:rFonts w:ascii="Arial" w:eastAsia="Arial" w:hAnsi="Arial" w:cs="Arial"/>
                            <w:sz w:val="18"/>
                          </w:rPr>
                          <w:t xml:space="preserve">quando, avendo proposto l’impugnazione, non abbia richiesto la sospensione </w:t>
                        </w:r>
                      </w:p>
                    </w:txbxContent>
                  </v:textbox>
                </v:rect>
                <v:rect id="Rectangle 16061" o:spid="_x0000_s2358" style="position:absolute;left:-13171;top:316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EDFwwAAAN4AAAAPAAAAZHJzL2Rvd25yZXYueG1sRE9Li8Iw&#10;EL4v+B/CCHtbUz0UqUYRRexhL+sDPA7N2FabSWiirf76zcKCt/n4njNf9qYRD2p9bVnBeJSAIC6s&#10;rrlUcDxsv6YgfEDW2FgmBU/ysFwMPuaYadvxDz32oRQxhH2GCqoQXCalLyoy6EfWEUfuYluDIcK2&#10;lLrFLoabRk6SJJUGa44NFTpaV1Tc9nej4Lxhl287WVxea/d9zafN7n48KfU57FczEIH68Bb/u3Md&#10;56dJOoa/d+INcvELAAD//wMAUEsBAi0AFAAGAAgAAAAhANvh9svuAAAAhQEAABMAAAAAAAAAAAAA&#10;AAAAAAAAAFtDb250ZW50X1R5cGVzXS54bWxQSwECLQAUAAYACAAAACEAWvQsW78AAAAVAQAACwAA&#10;AAAAAAAAAAAAAAAfAQAAX3JlbHMvLnJlbHNQSwECLQAUAAYACAAAACEA5UhAxcMAAADeAAAADwAA&#10;AAAAAAAAAAAAAAAHAgAAZHJzL2Rvd25yZXYueG1sUEsFBgAAAAADAAMAtwAAAPcCAAAAAA==&#10;" filled="f" stroked="f">
                  <v:textbox inset="0,0,0,0">
                    <w:txbxContent>
                      <w:p w14:paraId="68B99976" w14:textId="77777777" w:rsidR="00B32EF2" w:rsidRDefault="00000000">
                        <w:r>
                          <w:rPr>
                            <w:rFonts w:ascii="Arial" w:eastAsia="Arial" w:hAnsi="Arial" w:cs="Arial"/>
                            <w:sz w:val="18"/>
                          </w:rPr>
                          <w:t xml:space="preserve">della decisione di recupero ai sensi dell’articolo 278 del Trattato medesimo </w:t>
                        </w:r>
                      </w:p>
                    </w:txbxContent>
                  </v:textbox>
                </v:rect>
                <v:rect id="Rectangle 16062" o:spid="_x0000_s2359" style="position:absolute;left:-4223;top:30367;width:441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t6ywwAAAN4AAAAPAAAAZHJzL2Rvd25yZXYueG1sRE9Li8Iw&#10;EL4v+B/CCHtbUz0UqUYRRexhL+sDPA7N2FabSWiirf76zcKCt/n4njNf9qYRD2p9bVnBeJSAIC6s&#10;rrlUcDxsv6YgfEDW2FgmBU/ysFwMPuaYadvxDz32oRQxhH2GCqoQXCalLyoy6EfWEUfuYluDIcK2&#10;lLrFLoabRk6SJJUGa44NFTpaV1Tc9nej4Lxhl287WVxea/d9zafN7n48KfU57FczEIH68Bb/u3Md&#10;56dJOoG/d+INcvELAAD//wMAUEsBAi0AFAAGAAgAAAAhANvh9svuAAAAhQEAABMAAAAAAAAAAAAA&#10;AAAAAAAAAFtDb250ZW50X1R5cGVzXS54bWxQSwECLQAUAAYACAAAACEAWvQsW78AAAAVAQAACwAA&#10;AAAAAAAAAAAAAAAfAQAAX3JlbHMvLnJlbHNQSwECLQAUAAYACAAAACEAFZressMAAADeAAAADwAA&#10;AAAAAAAAAAAAAAAHAgAAZHJzL2Rvd25yZXYueG1sUEsFBgAAAAADAAMAtwAAAPcCAAAAAA==&#10;" filled="f" stroked="f">
                  <v:textbox inset="0,0,0,0">
                    <w:txbxContent>
                      <w:p w14:paraId="686A68E4" w14:textId="77777777" w:rsidR="00B32EF2" w:rsidRDefault="00000000">
                        <w:r>
                          <w:rPr>
                            <w:rFonts w:ascii="Arial" w:eastAsia="Arial" w:hAnsi="Arial" w:cs="Arial"/>
                            <w:sz w:val="18"/>
                          </w:rPr>
                          <w:t>ovvero l’abbia richiesta e la sospensione non sia stata concessa.</w:t>
                        </w:r>
                      </w:p>
                    </w:txbxContent>
                  </v:textbox>
                </v:rect>
                <v:rect id="Rectangle 200245" o:spid="_x0000_s2360" style="position:absolute;left:-12850;top:29133;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7XOxwAAAN8AAAAPAAAAZHJzL2Rvd25yZXYueG1sRI9Pa8JA&#10;FMTvhX6H5RV6q5uKFUndSLGIOXhRU+jxkX3502bfLtnVpH76riB4HGbmN8xyNZpOnKn3rWUFr5ME&#10;BHFpdcu1guK4eVmA8AFZY2eZFPyRh1X2+LDEVNuB93Q+hFpECPsUFTQhuFRKXzZk0E+sI45eZXuD&#10;Icq+lrrHIcJNJ6dJMpcGW44LDTpaN1T+Hk5Gwfcnu3wzyLK6rN3uJ19021PxpdTz0/jxDiLQGO7h&#10;WzvXCiJxOnuD65/4BWT2DwAA//8DAFBLAQItABQABgAIAAAAIQDb4fbL7gAAAIUBAAATAAAAAAAA&#10;AAAAAAAAAAAAAABbQ29udGVudF9UeXBlc10ueG1sUEsBAi0AFAAGAAgAAAAhAFr0LFu/AAAAFQEA&#10;AAsAAAAAAAAAAAAAAAAAHwEAAF9yZWxzLy5yZWxzUEsBAi0AFAAGAAgAAAAhAHS3tc7HAAAA3wAA&#10;AA8AAAAAAAAAAAAAAAAABwIAAGRycy9kb3ducmV2LnhtbFBLBQYAAAAAAwADALcAAAD7AgAAAAA=&#10;" filled="f" stroked="f">
                  <v:textbox inset="0,0,0,0">
                    <w:txbxContent>
                      <w:p w14:paraId="1D0335CC" w14:textId="77777777" w:rsidR="00B32EF2" w:rsidRDefault="00000000">
                        <w:r>
                          <w:rPr>
                            <w:rFonts w:ascii="Arial" w:eastAsia="Arial" w:hAnsi="Arial" w:cs="Arial"/>
                            <w:sz w:val="18"/>
                          </w:rPr>
                          <w:t>. Fermi restando i presupposti di cui ai commi 1 e 2, si applicano le disposi</w:t>
                        </w:r>
                      </w:p>
                    </w:txbxContent>
                  </v:textbox>
                </v:rect>
                <v:rect id="Rectangle 200244" o:spid="_x0000_s2361" style="position:absolute;left:26349;top:29133;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BVxQAAAN8AAAAPAAAAZHJzL2Rvd25yZXYueG1sRI9Bi8Iw&#10;FITvgv8hPMGbpoqIdI2yKGIPXnQVPD6aZ9vd5iU00db99RtB2OMwM98wy3VnavGgxleWFUzGCQji&#10;3OqKCwXnr91oAcIHZI21ZVLwJA/rVb+3xFTblo/0OIVCRAj7FBWUIbhUSp+XZNCPrSOO3s02BkOU&#10;TSF1g22Em1pOk2QuDVYcF0p0tCkp/zndjYLrll22a2V++924w3e2qPf380Wp4aD7/AARqAv/4Xc7&#10;0woicTqbwetP/AJy9QcAAP//AwBQSwECLQAUAAYACAAAACEA2+H2y+4AAACFAQAAEwAAAAAAAAAA&#10;AAAAAAAAAAAAW0NvbnRlbnRfVHlwZXNdLnhtbFBLAQItABQABgAIAAAAIQBa9CxbvwAAABUBAAAL&#10;AAAAAAAAAAAAAAAAAB8BAABfcmVscy8ucmVsc1BLAQItABQABgAIAAAAIQAb+xBVxQAAAN8AAAAP&#10;AAAAAAAAAAAAAAAAAAcCAABkcnMvZG93bnJldi54bWxQSwUGAAAAAAMAAwC3AAAA+QIAAAAA&#10;" filled="f" stroked="f">
                  <v:textbox inset="0,0,0,0">
                    <w:txbxContent>
                      <w:p w14:paraId="19797ABE" w14:textId="77777777" w:rsidR="00B32EF2" w:rsidRDefault="00000000">
                        <w:r>
                          <w:rPr>
                            <w:rFonts w:ascii="Arial" w:eastAsia="Arial" w:hAnsi="Arial" w:cs="Arial"/>
                            <w:sz w:val="18"/>
                          </w:rPr>
                          <w:t>3</w:t>
                        </w:r>
                      </w:p>
                    </w:txbxContent>
                  </v:textbox>
                </v:rect>
                <v:rect id="Rectangle 16064" o:spid="_x0000_s2362" style="position:absolute;left:192;top:291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NdxAAAAN4AAAAPAAAAZHJzL2Rvd25yZXYueG1sRE9Na8JA&#10;EL0L/odlhN50UylBUlcpijQHL9oIPQ7ZMUmbnV2yq0n99a4g9DaP9znL9WBacaXON5YVvM4SEMSl&#10;1Q1XCoqv3XQBwgdkja1lUvBHHtar8WiJmbY9H+h6DJWIIewzVFCH4DIpfVmTQT+zjjhyZ9sZDBF2&#10;ldQd9jHctHKeJKk02HBsqNHRpqby93gxCr637PJdL8vzbeP2P/mi/bwUJ6VeJsPHO4hAQ/gXP925&#10;jvPTJH2DxzvxBrm6AwAA//8DAFBLAQItABQABgAIAAAAIQDb4fbL7gAAAIUBAAATAAAAAAAAAAAA&#10;AAAAAAAAAABbQ29udGVudF9UeXBlc10ueG1sUEsBAi0AFAAGAAgAAAAhAFr0LFu/AAAAFQEAAAsA&#10;AAAAAAAAAAAAAAAAHwEAAF9yZWxzLy5yZWxzUEsBAi0AFAAGAAgAAAAhAPU/413EAAAA3gAAAA8A&#10;AAAAAAAAAAAAAAAABwIAAGRycy9kb3ducmV2LnhtbFBLBQYAAAAAAwADALcAAAD4AgAAAAA=&#10;" filled="f" stroked="f">
                  <v:textbox inset="0,0,0,0">
                    <w:txbxContent>
                      <w:p w14:paraId="4A662DCD" w14:textId="77777777" w:rsidR="00B32EF2" w:rsidRDefault="00000000">
                        <w:r>
                          <w:rPr>
                            <w:rFonts w:ascii="Arial" w:eastAsia="Arial" w:hAnsi="Arial" w:cs="Arial"/>
                            <w:sz w:val="18"/>
                          </w:rPr>
                          <w:t>-</w:t>
                        </w:r>
                      </w:p>
                    </w:txbxContent>
                  </v:textbox>
                </v:rect>
                <v:rect id="Rectangle 16065" o:spid="_x0000_s2363" style="position:absolute;left:-13172;top:279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0bGxAAAAN4AAAAPAAAAZHJzL2Rvd25yZXYueG1sRE9Na8JA&#10;EL0L/odlhN50U6FBUlcpijQHL9oIPQ7ZMUmbnV2yq0n99a4g9DaP9znL9WBacaXON5YVvM4SEMSl&#10;1Q1XCoqv3XQBwgdkja1lUvBHHtar8WiJmbY9H+h6DJWIIewzVFCH4DIpfVmTQT+zjjhyZ9sZDBF2&#10;ldQd9jHctHKeJKk02HBsqNHRpqby93gxCr637PJdL8vzbeP2P/mi/bwUJ6VeJsPHO4hAQ/gXP925&#10;jvPTJH2DxzvxBrm6AwAA//8DAFBLAQItABQABgAIAAAAIQDb4fbL7gAAAIUBAAATAAAAAAAAAAAA&#10;AAAAAAAAAABbQ29udGVudF9UeXBlc10ueG1sUEsBAi0AFAAGAAgAAAAhAFr0LFu/AAAAFQEAAAsA&#10;AAAAAAAAAAAAAAAAHwEAAF9yZWxzLy5yZWxzUEsBAi0AFAAGAAgAAAAhAJpzRsbEAAAA3gAAAA8A&#10;AAAAAAAAAAAAAAAABwIAAGRycy9kb3ducmV2LnhtbFBLBQYAAAAAAwADALcAAAD4AgAAAAA=&#10;" filled="f" stroked="f">
                  <v:textbox inset="0,0,0,0">
                    <w:txbxContent>
                      <w:p w14:paraId="5FEB3823" w14:textId="77777777" w:rsidR="00B32EF2" w:rsidRDefault="00000000">
                        <w:r>
                          <w:rPr>
                            <w:rFonts w:ascii="Arial" w:eastAsia="Arial" w:hAnsi="Arial" w:cs="Arial"/>
                            <w:sz w:val="18"/>
                          </w:rPr>
                          <w:t xml:space="preserve">zioni di cui ai commi 1, 2, 4, 5, 7 e 8 dell’articolo 96; ai fini dell’applicazione del </w:t>
                        </w:r>
                      </w:p>
                    </w:txbxContent>
                  </v:textbox>
                </v:rect>
                <v:rect id="Rectangle 16066" o:spid="_x0000_s2364" style="position:absolute;left:2509;top:26667;width:374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dixxQAAAN4AAAAPAAAAZHJzL2Rvd25yZXYueG1sRE89a8Mw&#10;EN0D/Q/iCtkSuR2McaOEkmLqIUtSFzoe1sV2a52EJcdOfn1UKHS7x/u8zW42vbjQ4DvLCp7WCQji&#10;2uqOGwXVR7HKQPiArLG3TAqu5GG3fVhsMNd24iNdTqERMYR9jgraEFwupa9bMujX1hFH7mwHgyHC&#10;oZF6wCmGm14+J0kqDXYcG1p0tG+p/jmNRsHXG7uymGR9vu3d4bvM+vex+lRq+Ti/voAINId/8Z+7&#10;1HF+mqQp/L4Tb5DbOwAAAP//AwBQSwECLQAUAAYACAAAACEA2+H2y+4AAACFAQAAEwAAAAAAAAAA&#10;AAAAAAAAAAAAW0NvbnRlbnRfVHlwZXNdLnhtbFBLAQItABQABgAIAAAAIQBa9CxbvwAAABUBAAAL&#10;AAAAAAAAAAAAAAAAAB8BAABfcmVscy8ucmVsc1BLAQItABQABgAIAAAAIQBqodixxQAAAN4AAAAP&#10;AAAAAAAAAAAAAAAAAAcCAABkcnMvZG93bnJldi54bWxQSwUGAAAAAAMAAwC3AAAA+QIAAAAA&#10;" filled="f" stroked="f">
                  <v:textbox inset="0,0,0,0">
                    <w:txbxContent>
                      <w:p w14:paraId="6093A606" w14:textId="77777777" w:rsidR="00B32EF2" w:rsidRDefault="00000000">
                        <w:r>
                          <w:rPr>
                            <w:rFonts w:ascii="Arial" w:eastAsia="Arial" w:hAnsi="Arial" w:cs="Arial"/>
                            <w:sz w:val="18"/>
                          </w:rPr>
                          <w:t>comma 8 rileva anche il mutamento del diritto europeo.</w:t>
                        </w:r>
                      </w:p>
                    </w:txbxContent>
                  </v:textbox>
                </v:rect>
                <v:rect id="Rectangle 200243" o:spid="_x0000_s2365" style="position:absolute;left:-13803;top:25434;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ghxwAAAN8AAAAPAAAAZHJzL2Rvd25yZXYueG1sRI9Pa8JA&#10;FMTvhX6H5RV6q5tqEUndSLGIOXhRU+jxkX3502bfLtnVpH76riB4HGbmN8xyNZpOnKn3rWUFr5ME&#10;BHFpdcu1guK4eVmA8AFZY2eZFPyRh1X2+LDEVNuB93Q+hFpECPsUFTQhuFRKXzZk0E+sI45eZXuD&#10;Icq+lrrHIcJNJ6dJMpcGW44LDTpaN1T+Hk5Gwfcnu3wzyLK6rN3uJ19021PxpdTz0/jxDiLQGO7h&#10;WzvXCiJx+jaD65/4BWT2DwAA//8DAFBLAQItABQABgAIAAAAIQDb4fbL7gAAAIUBAAATAAAAAAAA&#10;AAAAAAAAAAAAAABbQ29udGVudF9UeXBlc10ueG1sUEsBAi0AFAAGAAgAAAAhAFr0LFu/AAAAFQEA&#10;AAsAAAAAAAAAAAAAAAAAHwEAAF9yZWxzLy5yZWxzUEsBAi0AFAAGAAgAAAAhAJQSiCHHAAAA3wAA&#10;AA8AAAAAAAAAAAAAAAAABwIAAGRycy9kb3ducmV2LnhtbFBLBQYAAAAAAwADALcAAAD7AgAAAAA=&#10;" filled="f" stroked="f">
                  <v:textbox inset="0,0,0,0">
                    <w:txbxContent>
                      <w:p w14:paraId="2AC53372" w14:textId="77777777" w:rsidR="00B32EF2" w:rsidRDefault="00000000">
                        <w:r>
                          <w:rPr>
                            <w:rFonts w:ascii="Arial" w:eastAsia="Arial" w:hAnsi="Arial" w:cs="Arial"/>
                            <w:sz w:val="18"/>
                          </w:rPr>
                          <w:t xml:space="preserve">. Le controversie relative agli atti di cui al comma 1 sono definite, nel merito, </w:t>
                        </w:r>
                      </w:p>
                    </w:txbxContent>
                  </v:textbox>
                </v:rect>
                <v:rect id="Rectangle 200242" o:spid="_x0000_s2366" style="position:absolute;left:26109;top:25434;width:5309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i26xgAAAN8AAAAPAAAAZHJzL2Rvd25yZXYueG1sRI9Ba8JA&#10;FITvgv9heUJvumkoRVJXKYqYQy/VCD0+ss8kbfbtkl1N6q93BcHjMDPfMIvVYFpxoc43lhW8zhIQ&#10;xKXVDVcKisN2OgfhA7LG1jIp+CcPq+V4tMBM256/6bIPlYgQ9hkqqENwmZS+rMmgn1lHHL2T7QyG&#10;KLtK6g77CDetTJPkXRpsOC7U6GhdU/m3PxsFPxt2+baX5em6dl+/+bzdnYujUi+T4fMDRKAhPMOP&#10;dq4VRGL6lsL9T/wCcnkDAAD//wMAUEsBAi0AFAAGAAgAAAAhANvh9svuAAAAhQEAABMAAAAAAAAA&#10;AAAAAAAAAAAAAFtDb250ZW50X1R5cGVzXS54bWxQSwECLQAUAAYACAAAACEAWvQsW78AAAAVAQAA&#10;CwAAAAAAAAAAAAAAAAAfAQAAX3JlbHMvLnJlbHNQSwECLQAUAAYACAAAACEA+14tusYAAADfAAAA&#10;DwAAAAAAAAAAAAAAAAAHAgAAZHJzL2Rvd25yZXYueG1sUEsFBgAAAAADAAMAtwAAAPoCAAAAAA==&#10;" filled="f" stroked="f">
                  <v:textbox inset="0,0,0,0">
                    <w:txbxContent>
                      <w:p w14:paraId="1B1DF921" w14:textId="77777777" w:rsidR="00B32EF2" w:rsidRDefault="00000000">
                        <w:r>
                          <w:rPr>
                            <w:rFonts w:ascii="Arial" w:eastAsia="Arial" w:hAnsi="Arial" w:cs="Arial"/>
                            <w:sz w:val="18"/>
                          </w:rPr>
                          <w:t>4</w:t>
                        </w:r>
                      </w:p>
                    </w:txbxContent>
                  </v:textbox>
                </v:rect>
                <v:rect id="Rectangle 16068" o:spid="_x0000_s2367" style="position:absolute;left:-13171;top:242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ulYxwAAAN4AAAAPAAAAZHJzL2Rvd25yZXYueG1sRI9Bb8Iw&#10;DIXvSPsPkZF2gxQOFeoIaGJC64HLGEg7Wo1pC40TNYF2+/XzYdJutt7ze5/X29F16kF9bD0bWMwz&#10;UMSVty3XBk6f+9kKVEzIFjvPZOCbImw3T5M1FtYP/EGPY6qVhHAs0ECTUii0jlVDDuPcB2LRLr53&#10;mGTta217HCTcdXqZZbl22LI0NBho11B1O96dga83DuV+0NXlZxcO13LVvd9PZ2Oep+PrC6hEY/o3&#10;/12XVvDzLBdeeUdm0JtfAAAA//8DAFBLAQItABQABgAIAAAAIQDb4fbL7gAAAIUBAAATAAAAAAAA&#10;AAAAAAAAAAAAAABbQ29udGVudF9UeXBlc10ueG1sUEsBAi0AFAAGAAgAAAAhAFr0LFu/AAAAFQEA&#10;AAsAAAAAAAAAAAAAAAAAHwEAAF9yZWxzLy5yZWxzUEsBAi0AFAAGAAgAAAAhAHRy6VjHAAAA3gAA&#10;AA8AAAAAAAAAAAAAAAAABwIAAGRycy9kb3ducmV2LnhtbFBLBQYAAAAAAwADALcAAAD7AgAAAAA=&#10;" filled="f" stroked="f">
                  <v:textbox inset="0,0,0,0">
                    <w:txbxContent>
                      <w:p w14:paraId="43B61E22" w14:textId="77777777" w:rsidR="00B32EF2" w:rsidRDefault="00000000">
                        <w:r>
                          <w:rPr>
                            <w:rFonts w:ascii="Arial" w:eastAsia="Arial" w:hAnsi="Arial" w:cs="Arial"/>
                            <w:sz w:val="18"/>
                          </w:rPr>
                          <w:t xml:space="preserve">nel termine di sessanta giorni dalla pronuncia dell’ordinanza di sospensione </w:t>
                        </w:r>
                      </w:p>
                    </w:txbxContent>
                  </v:textbox>
                </v:rect>
                <v:rect id="Rectangle 16069" o:spid="_x0000_s2368" style="position:absolute;left:-13171;top:229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kzDxAAAAN4AAAAPAAAAZHJzL2Rvd25yZXYueG1sRE9Ni8Iw&#10;EL0v+B/CCN7WVA/FrUYRRezBy7oKHodmbKvNJDTR1v31m4WFvc3jfc5i1ZtGPKn1tWUFk3ECgriw&#10;uuZSwelr9z4D4QOyxsYyKXiRh9Vy8LbATNuOP+l5DKWIIewzVFCF4DIpfVGRQT+2jjhyV9saDBG2&#10;pdQtdjHcNHKaJKk0WHNsqNDRpqLifnwYBZctu3zXyeL6vXGHWz5r9o/TWanRsF/PQQTqw7/4z53r&#10;OD9N0g/4fSfeIJc/AAAA//8DAFBLAQItABQABgAIAAAAIQDb4fbL7gAAAIUBAAATAAAAAAAAAAAA&#10;AAAAAAAAAABbQ29udGVudF9UeXBlc10ueG1sUEsBAi0AFAAGAAgAAAAhAFr0LFu/AAAAFQEAAAsA&#10;AAAAAAAAAAAAAAAAHwEAAF9yZWxzLy5yZWxzUEsBAi0AFAAGAAgAAAAhABs+TMPEAAAA3gAAAA8A&#10;AAAAAAAAAAAAAAAABwIAAGRycy9kb3ducmV2LnhtbFBLBQYAAAAAAwADALcAAAD4AgAAAAA=&#10;" filled="f" stroked="f">
                  <v:textbox inset="0,0,0,0">
                    <w:txbxContent>
                      <w:p w14:paraId="193B91E6" w14:textId="77777777" w:rsidR="00B32EF2" w:rsidRDefault="00000000">
                        <w:r>
                          <w:rPr>
                            <w:rFonts w:ascii="Arial" w:eastAsia="Arial" w:hAnsi="Arial" w:cs="Arial"/>
                            <w:sz w:val="18"/>
                          </w:rPr>
                          <w:t xml:space="preserve">di cui al medesimo comma 1. Alla scadenza del termine di sessanta giorni </w:t>
                        </w:r>
                      </w:p>
                    </w:txbxContent>
                  </v:textbox>
                </v:rect>
                <v:rect id="Rectangle 16070" o:spid="_x0000_s2369" style="position:absolute;left:-12189;top:21734;width:521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XODxwAAAN4AAAAPAAAAZHJzL2Rvd25yZXYueG1sRI9Pb8Iw&#10;DMXvSPsOkSftBuk4MNQREGJC9LALfybtaDWm7WicqAm026fHh0ncbPn5vfdbrAbXqht1sfFs4HWS&#10;gSIuvW24MnA6bsdzUDEhW2w9k4FfirBaPo0WmFvf855uh1QpMeGYo4E6pZBrHcuaHMaJD8RyO/vO&#10;YZK1q7TtsBdz1+ppls20w4YlocZAm5rKy+HqDHx/cCi2vS7Pf5vw+VPM29319GXMy/OwfgeVaEgP&#10;8f93YaX+LHsTAMGRGfTyDgAA//8DAFBLAQItABQABgAIAAAAIQDb4fbL7gAAAIUBAAATAAAAAAAA&#10;AAAAAAAAAAAAAABbQ29udGVudF9UeXBlc10ueG1sUEsBAi0AFAAGAAgAAAAhAFr0LFu/AAAAFQEA&#10;AAsAAAAAAAAAAAAAAAAAHwEAAF9yZWxzLy5yZWxzUEsBAi0AFAAGAAgAAAAhAA/dc4PHAAAA3gAA&#10;AA8AAAAAAAAAAAAAAAAABwIAAGRycy9kb3ducmV2LnhtbFBLBQYAAAAAAwADALcAAAD7AgAAAAA=&#10;" filled="f" stroked="f">
                  <v:textbox inset="0,0,0,0">
                    <w:txbxContent>
                      <w:p w14:paraId="7804F2CE" w14:textId="77777777" w:rsidR="00B32EF2" w:rsidRDefault="00000000">
                        <w:r>
                          <w:rPr>
                            <w:rFonts w:ascii="Arial" w:eastAsia="Arial" w:hAnsi="Arial" w:cs="Arial"/>
                            <w:sz w:val="18"/>
                          </w:rPr>
                          <w:t>dall’emanazione dell’ordinanza di sospensione, il provvedimento perde co</w:t>
                        </w:r>
                      </w:p>
                    </w:txbxContent>
                  </v:textbox>
                </v:rect>
                <v:rect id="Rectangle 16071" o:spid="_x0000_s2370" style="position:absolute;left:192;top:217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dYYxQAAAN4AAAAPAAAAZHJzL2Rvd25yZXYueG1sRE9Na8JA&#10;EL0L/odlhN50Yw8xRFcpFmkOvZha6HHIjklsdnbJrknaX98tFHqbx/uc3WEynRio961lBetVAoK4&#10;srrlWsHl7bTMQPiArLGzTAq+yMNhP5/tMNd25DMNZahFDGGfo4ImBJdL6auGDPqVdcSRu9reYIiw&#10;r6XucYzhppOPSZJKgy3HhgYdHRuqPsu7UfDxzK44jbK6fh/d663Iupf75V2ph8X0tAURaAr/4j93&#10;oeP8NNms4fedeIPc/wAAAP//AwBQSwECLQAUAAYACAAAACEA2+H2y+4AAACFAQAAEwAAAAAAAAAA&#10;AAAAAAAAAAAAW0NvbnRlbnRfVHlwZXNdLnhtbFBLAQItABQABgAIAAAAIQBa9CxbvwAAABUBAAAL&#10;AAAAAAAAAAAAAAAAAB8BAABfcmVscy8ucmVsc1BLAQItABQABgAIAAAAIQBgkdYYxQAAAN4AAAAP&#10;AAAAAAAAAAAAAAAAAAcCAABkcnMvZG93bnJldi54bWxQSwUGAAAAAAMAAwC3AAAA+QIAAAAA&#10;" filled="f" stroked="f">
                  <v:textbox inset="0,0,0,0">
                    <w:txbxContent>
                      <w:p w14:paraId="6990E53F" w14:textId="77777777" w:rsidR="00B32EF2" w:rsidRDefault="00000000">
                        <w:r>
                          <w:rPr>
                            <w:rFonts w:ascii="Arial" w:eastAsia="Arial" w:hAnsi="Arial" w:cs="Arial"/>
                            <w:sz w:val="18"/>
                          </w:rPr>
                          <w:t>-</w:t>
                        </w:r>
                      </w:p>
                    </w:txbxContent>
                  </v:textbox>
                </v:rect>
                <v:rect id="Rectangle 16072" o:spid="_x0000_s2371" style="position:absolute;left:-13171;top:205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0hvwwAAAN4AAAAPAAAAZHJzL2Rvd25yZXYueG1sRE9Ni8Iw&#10;EL0L/ocwgjdN9aDSNcqiiD140VXwODRj291mEppo6/76jSDsbR7vc5brztTiQY2vLCuYjBMQxLnV&#10;FRcKzl+70QKED8gaa8uk4Eke1qt+b4mpti0f6XEKhYgh7FNUUIbgUil9XpJBP7aOOHI32xgMETaF&#10;1A22MdzUcpokM2mw4thQoqNNSfnP6W4UXLfssl0r89vvxh2+s0W9v58vSg0H3ecHiEBd+Be/3ZmO&#10;82fJfAqvd+INcvUHAAD//wMAUEsBAi0AFAAGAAgAAAAhANvh9svuAAAAhQEAABMAAAAAAAAAAAAA&#10;AAAAAAAAAFtDb250ZW50X1R5cGVzXS54bWxQSwECLQAUAAYACAAAACEAWvQsW78AAAAVAQAACwAA&#10;AAAAAAAAAAAAAAAfAQAAX3JlbHMvLnJlbHNQSwECLQAUAAYACAAAACEAkENIb8MAAADeAAAADwAA&#10;AAAAAAAAAAAAAAAHAgAAZHJzL2Rvd25yZXYueG1sUEsFBgAAAAADAAMAtwAAAPcCAAAAAA==&#10;" filled="f" stroked="f">
                  <v:textbox inset="0,0,0,0">
                    <w:txbxContent>
                      <w:p w14:paraId="7DBB1F0F" w14:textId="77777777" w:rsidR="00B32EF2" w:rsidRDefault="00000000">
                        <w:r>
                          <w:rPr>
                            <w:rFonts w:ascii="Arial" w:eastAsia="Arial" w:hAnsi="Arial" w:cs="Arial"/>
                            <w:sz w:val="18"/>
                          </w:rPr>
                          <w:t xml:space="preserve">munque efficacia, salvo che la corte di giustizia tributaria di primo grado entro </w:t>
                        </w:r>
                      </w:p>
                    </w:txbxContent>
                  </v:textbox>
                </v:rect>
                <v:rect id="Rectangle 16073" o:spid="_x0000_s2372" style="position:absolute;left:-13172;top:192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0xQAAAN4AAAAPAAAAZHJzL2Rvd25yZXYueG1sRE9LawIx&#10;EL4L/Q9hCt402wpWVrNSLNI99OKj0OOwmX3YzSRsorv66xuh4G0+vues1oNpxYU631hW8DJNQBAX&#10;VjdcKTgetpMFCB+QNbaWScGVPKyzp9EKU2173tFlHyoRQ9inqKAOwaVS+qImg35qHXHkStsZDBF2&#10;ldQd9jHctPI1SebSYMOxoUZHm5qK3/3ZKPj5YJdve1mUt437OuWL9vN8/FZq/Dy8L0EEGsJD/O/O&#10;dZw/T95mcH8n3iCzPwAAAP//AwBQSwECLQAUAAYACAAAACEA2+H2y+4AAACFAQAAEwAAAAAAAAAA&#10;AAAAAAAAAAAAW0NvbnRlbnRfVHlwZXNdLnhtbFBLAQItABQABgAIAAAAIQBa9CxbvwAAABUBAAAL&#10;AAAAAAAAAAAAAAAAAB8BAABfcmVscy8ucmVsc1BLAQItABQABgAIAAAAIQD/D+30xQAAAN4AAAAP&#10;AAAAAAAAAAAAAAAAAAcCAABkcnMvZG93bnJldi54bWxQSwUGAAAAAAMAAwC3AAAA+QIAAAAA&#10;" filled="f" stroked="f">
                  <v:textbox inset="0,0,0,0">
                    <w:txbxContent>
                      <w:p w14:paraId="30FD9C3F" w14:textId="77777777" w:rsidR="00B32EF2" w:rsidRDefault="00000000">
                        <w:r>
                          <w:rPr>
                            <w:rFonts w:ascii="Arial" w:eastAsia="Arial" w:hAnsi="Arial" w:cs="Arial"/>
                            <w:sz w:val="18"/>
                          </w:rPr>
                          <w:t xml:space="preserve">il medesimo termine riesamini, su istanza di parte, l’ordinanza di sospensione </w:t>
                        </w:r>
                      </w:p>
                    </w:txbxContent>
                  </v:textbox>
                </v:rect>
                <v:rect id="Rectangle 16074" o:spid="_x0000_s2373" style="position:absolute;left:-13171;top:180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nWAxQAAAN4AAAAPAAAAZHJzL2Rvd25yZXYueG1sRE9LawIx&#10;EL4L/Q9hCt402yJWVrNSLNI99OKj0OOwmX3YzSRsorv66xuh4G0+vues1oNpxYU631hW8DJNQBAX&#10;VjdcKTgetpMFCB+QNbaWScGVPKyzp9EKU2173tFlHyoRQ9inqKAOwaVS+qImg35qHXHkStsZDBF2&#10;ldQd9jHctPI1SebSYMOxoUZHm5qK3/3ZKPj5YJdve1mUt437OuWL9vN8/FZq/Dy8L0EEGsJD/O/O&#10;dZw/T95mcH8n3iCzPwAAAP//AwBQSwECLQAUAAYACAAAACEA2+H2y+4AAACFAQAAEwAAAAAAAAAA&#10;AAAAAAAAAAAAW0NvbnRlbnRfVHlwZXNdLnhtbFBLAQItABQABgAIAAAAIQBa9CxbvwAAABUBAAAL&#10;AAAAAAAAAAAAAAAAAB8BAABfcmVscy8ucmVsc1BLAQItABQABgAIAAAAIQBw5nWAxQAAAN4AAAAP&#10;AAAAAAAAAAAAAAAAAAcCAABkcnMvZG93bnJldi54bWxQSwUGAAAAAAMAAwC3AAAA+QIAAAAA&#10;" filled="f" stroked="f">
                  <v:textbox inset="0,0,0,0">
                    <w:txbxContent>
                      <w:p w14:paraId="54B4DB57" w14:textId="77777777" w:rsidR="00B32EF2" w:rsidRDefault="00000000">
                        <w:r>
                          <w:rPr>
                            <w:rFonts w:ascii="Arial" w:eastAsia="Arial" w:hAnsi="Arial" w:cs="Arial"/>
                            <w:sz w:val="18"/>
                          </w:rPr>
                          <w:t xml:space="preserve">e ne disponga la conferma, anche parziale, sulla base dei presupposti di cui </w:t>
                        </w:r>
                      </w:p>
                    </w:txbxContent>
                  </v:textbox>
                </v:rect>
                <v:rect id="Rectangle 16075" o:spid="_x0000_s2374" style="position:absolute;left:-13172;top:168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tAbxQAAAN4AAAAPAAAAZHJzL2Rvd25yZXYueG1sRE9LawIx&#10;EL4L/Q9hCt4024JWVrNSLNI99OKj0OOwmX3YzSRsorv66xuh4G0+vues1oNpxYU631hW8DJNQBAX&#10;VjdcKTgetpMFCB+QNbaWScGVPKyzp9EKU2173tFlHyoRQ9inqKAOwaVS+qImg35qHXHkStsZDBF2&#10;ldQd9jHctPI1SebSYMOxoUZHm5qK3/3ZKPj5YJdve1mUt437OuWL9vN8/FZq/Dy8L0EEGsJD/O/O&#10;dZw/T95mcH8n3iCzPwAAAP//AwBQSwECLQAUAAYACAAAACEA2+H2y+4AAACFAQAAEwAAAAAAAAAA&#10;AAAAAAAAAAAAW0NvbnRlbnRfVHlwZXNdLnhtbFBLAQItABQABgAIAAAAIQBa9CxbvwAAABUBAAAL&#10;AAAAAAAAAAAAAAAAAB8BAABfcmVscy8ucmVsc1BLAQItABQABgAIAAAAIQAfqtAbxQAAAN4AAAAP&#10;AAAAAAAAAAAAAAAAAAcCAABkcnMvZG93bnJldi54bWxQSwUGAAAAAAMAAwC3AAAA+QIAAAAA&#10;" filled="f" stroked="f">
                  <v:textbox inset="0,0,0,0">
                    <w:txbxContent>
                      <w:p w14:paraId="3B758817" w14:textId="77777777" w:rsidR="00B32EF2" w:rsidRDefault="00000000">
                        <w:r>
                          <w:rPr>
                            <w:rFonts w:ascii="Arial" w:eastAsia="Arial" w:hAnsi="Arial" w:cs="Arial"/>
                            <w:sz w:val="18"/>
                          </w:rPr>
                          <w:t xml:space="preserve">ai commi 1 e 2, fissando comunque un termine di efficacia, non prorogabile, </w:t>
                        </w:r>
                      </w:p>
                    </w:txbxContent>
                  </v:textbox>
                </v:rect>
                <v:rect id="Rectangle 16076" o:spid="_x0000_s2375" style="position:absolute;left:-13172;top:155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E5sxAAAAN4AAAAPAAAAZHJzL2Rvd25yZXYueG1sRE9Ni8Iw&#10;EL0v+B/CCN7WVA9dqUYRRezBy7oKHodmbKvNJDTR1v31m4WFvc3jfc5i1ZtGPKn1tWUFk3ECgriw&#10;uuZSwelr9z4D4QOyxsYyKXiRh9Vy8LbATNuOP+l5DKWIIewzVFCF4DIpfVGRQT+2jjhyV9saDBG2&#10;pdQtdjHcNHKaJKk0WHNsqNDRpqLifnwYBZctu3zXyeL6vXGHWz5r9o/TWanRsF/PQQTqw7/4z53r&#10;OD9NPlL4fSfeIJc/AAAA//8DAFBLAQItABQABgAIAAAAIQDb4fbL7gAAAIUBAAATAAAAAAAAAAAA&#10;AAAAAAAAAABbQ29udGVudF9UeXBlc10ueG1sUEsBAi0AFAAGAAgAAAAhAFr0LFu/AAAAFQEAAAsA&#10;AAAAAAAAAAAAAAAAHwEAAF9yZWxzLy5yZWxzUEsBAi0AFAAGAAgAAAAhAO94TmzEAAAA3gAAAA8A&#10;AAAAAAAAAAAAAAAABwIAAGRycy9kb3ducmV2LnhtbFBLBQYAAAAAAwADALcAAAD4AgAAAAA=&#10;" filled="f" stroked="f">
                  <v:textbox inset="0,0,0,0">
                    <w:txbxContent>
                      <w:p w14:paraId="4798D81B" w14:textId="77777777" w:rsidR="00B32EF2" w:rsidRDefault="00000000">
                        <w:r>
                          <w:rPr>
                            <w:rFonts w:ascii="Arial" w:eastAsia="Arial" w:hAnsi="Arial" w:cs="Arial"/>
                            <w:sz w:val="18"/>
                          </w:rPr>
                          <w:t xml:space="preserve">non superiore a sessanta giorni. Non si applica la disciplina sulla sospensione </w:t>
                        </w:r>
                      </w:p>
                    </w:txbxContent>
                  </v:textbox>
                </v:rect>
                <v:rect id="Rectangle 16077" o:spid="_x0000_s2376" style="position:absolute;left:-13172;top:143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Ov3wwAAAN4AAAAPAAAAZHJzL2Rvd25yZXYueG1sRE9Ni8Iw&#10;EL0L+x/CLOxN0/WgUo0iLmIPXnQVPA7N2FabSWii7frrjSDsbR7vc2aLztTiTo2vLCv4HiQgiHOr&#10;Ky4UHH7X/QkIH5A11pZJwR95WMw/ejNMtW15R/d9KEQMYZ+igjIEl0rp85IM+oF1xJE728ZgiLAp&#10;pG6wjeGmlsMkGUmDFceGEh2tSsqv+5tRcPphl61bmZ8fK7e9ZJN6czsclfr67JZTEIG68C9+uzMd&#10;54+S8Rhe78Qb5PwJAAD//wMAUEsBAi0AFAAGAAgAAAAhANvh9svuAAAAhQEAABMAAAAAAAAAAAAA&#10;AAAAAAAAAFtDb250ZW50X1R5cGVzXS54bWxQSwECLQAUAAYACAAAACEAWvQsW78AAAAVAQAACwAA&#10;AAAAAAAAAAAAAAAfAQAAX3JlbHMvLnJlbHNQSwECLQAUAAYACAAAACEAgDTr98MAAADeAAAADwAA&#10;AAAAAAAAAAAAAAAHAgAAZHJzL2Rvd25yZXYueG1sUEsFBgAAAAADAAMAtwAAAPcCAAAAAA==&#10;" filled="f" stroked="f">
                  <v:textbox inset="0,0,0,0">
                    <w:txbxContent>
                      <w:p w14:paraId="261179E3" w14:textId="77777777" w:rsidR="00B32EF2" w:rsidRDefault="00000000">
                        <w:r>
                          <w:rPr>
                            <w:rFonts w:ascii="Arial" w:eastAsia="Arial" w:hAnsi="Arial" w:cs="Arial"/>
                            <w:sz w:val="18"/>
                          </w:rPr>
                          <w:t xml:space="preserve">feriale dei termini. Nel caso di rinvio pregiudiziale il termine di cui al primo </w:t>
                        </w:r>
                      </w:p>
                    </w:txbxContent>
                  </v:textbox>
                </v:rect>
                <v:rect id="Rectangle 16078" o:spid="_x0000_s2377" style="position:absolute;left:-13171;top:13101;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3+FxwAAAN4AAAAPAAAAZHJzL2Rvd25yZXYueG1sRI9Pb8Iw&#10;DMXvSPsOkSftBuk4MNQREGJC9LALfybtaDWm7WicqAm026fHh0ncbL3n935erAbXqht1sfFs4HWS&#10;gSIuvW24MnA6bsdzUDEhW2w9k4FfirBaPo0WmFvf855uh1QpCeGYo4E6pZBrHcuaHMaJD8SinX3n&#10;MMnaVdp22Eu4a/U0y2baYcPSUGOgTU3l5XB1Br4/OBTbXpfnv034/Cnm7e56+jLm5XlYv4NKNKSH&#10;+f+6sII/y96EV96RGfTyDgAA//8DAFBLAQItABQABgAIAAAAIQDb4fbL7gAAAIUBAAATAAAAAAAA&#10;AAAAAAAAAAAAAABbQ29udGVudF9UeXBlc10ueG1sUEsBAi0AFAAGAAgAAAAhAFr0LFu/AAAAFQEA&#10;AAsAAAAAAAAAAAAAAAAAHwEAAF9yZWxzLy5yZWxzUEsBAi0AFAAGAAgAAAAhAPGrf4XHAAAA3gAA&#10;AA8AAAAAAAAAAAAAAAAABwIAAGRycy9kb3ducmV2LnhtbFBLBQYAAAAAAwADALcAAAD7AgAAAAA=&#10;" filled="f" stroked="f">
                  <v:textbox inset="0,0,0,0">
                    <w:txbxContent>
                      <w:p w14:paraId="7F2EDF61" w14:textId="77777777" w:rsidR="00B32EF2" w:rsidRDefault="00000000">
                        <w:r>
                          <w:rPr>
                            <w:rFonts w:ascii="Arial" w:eastAsia="Arial" w:hAnsi="Arial" w:cs="Arial"/>
                            <w:sz w:val="18"/>
                          </w:rPr>
                          <w:t xml:space="preserve">periodo è sospeso dal giorno del deposito dell’ordinanza di rinvio e riprende a </w:t>
                        </w:r>
                      </w:p>
                    </w:txbxContent>
                  </v:textbox>
                </v:rect>
                <v:rect id="Rectangle 16079" o:spid="_x0000_s2378" style="position:absolute;left:-13174;top:11867;width:530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9oexQAAAN4AAAAPAAAAZHJzL2Rvd25yZXYueG1sRE9LawIx&#10;EL4X/A9hhN40aw9qt2ZFFOkeeqlV8DhsZh91Mwmb6G77601B6G0+vues1oNpxY0631hWMJsmIIgL&#10;qxuuFBy/9pMlCB+QNbaWScEPeVhno6cVptr2/Em3Q6hEDGGfooI6BJdK6YuaDPqpdcSRK21nMETY&#10;VVJ32Mdw08qXJJlLgw3HhhodbWsqLoerUXDescv3vSzK3637+M6X7fv1eFLqeTxs3kAEGsK/+OHO&#10;dZw/Txav8PdOvEFmdwAAAP//AwBQSwECLQAUAAYACAAAACEA2+H2y+4AAACFAQAAEwAAAAAAAAAA&#10;AAAAAAAAAAAAW0NvbnRlbnRfVHlwZXNdLnhtbFBLAQItABQABgAIAAAAIQBa9CxbvwAAABUBAAAL&#10;AAAAAAAAAAAAAAAAAB8BAABfcmVscy8ucmVsc1BLAQItABQABgAIAAAAIQCe59oexQAAAN4AAAAP&#10;AAAAAAAAAAAAAAAAAAcCAABkcnMvZG93bnJldi54bWxQSwUGAAAAAAMAAwC3AAAA+QIAAAAA&#10;" filled="f" stroked="f">
                  <v:textbox inset="0,0,0,0">
                    <w:txbxContent>
                      <w:p w14:paraId="5F6F190B" w14:textId="77777777" w:rsidR="00B32EF2" w:rsidRDefault="00000000">
                        <w:r>
                          <w:rPr>
                            <w:rFonts w:ascii="Arial" w:eastAsia="Arial" w:hAnsi="Arial" w:cs="Arial"/>
                            <w:sz w:val="18"/>
                          </w:rPr>
                          <w:t xml:space="preserve">decorrere dalla data della trasmissione della decisione della Corte di giustizia </w:t>
                        </w:r>
                      </w:p>
                    </w:txbxContent>
                  </v:textbox>
                </v:rect>
                <v:rect id="Rectangle 16080" o:spid="_x0000_s2379" style="position:absolute;left:25766;top:10634;width:141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AOkxwAAAN4AAAAPAAAAZHJzL2Rvd25yZXYueG1sRI9Bb8Iw&#10;DIXvSPsPkSftRtNxQFVHQBMTWg9cxkDa0WpM261xoibQbr8eH5B2s+Xn99632kyuV1caYufZwHOW&#10;gyKuve24MXD83M0LUDEhW+w9k4FfirBZP8xWWFo/8gddD6lRYsKxRANtSqHUOtYtOYyZD8RyO/vB&#10;YZJ1aLQdcBRz1+tFni+1w44locVA25bqn8PFGfh641DtRl2f/7Zh/10V/fvleDLm6XF6fQGVaEr/&#10;4vt3ZaX+Mi8EQHBkBr2+AQAA//8DAFBLAQItABQABgAIAAAAIQDb4fbL7gAAAIUBAAATAAAAAAAA&#10;AAAAAAAAAAAAAABbQ29udGVudF9UeXBlc10ueG1sUEsBAi0AFAAGAAgAAAAhAFr0LFu/AAAAFQEA&#10;AAsAAAAAAAAAAAAAAAAAHwEAAF9yZWxzLy5yZWxzUEsBAi0AFAAGAAgAAAAhADoIA6THAAAA3gAA&#10;AA8AAAAAAAAAAAAAAAAABwIAAGRycy9kb3ducmV2LnhtbFBLBQYAAAAAAwADALcAAAD7AgAAAAA=&#10;" filled="f" stroked="f">
                  <v:textbox inset="0,0,0,0">
                    <w:txbxContent>
                      <w:p w14:paraId="33EEA567" w14:textId="77777777" w:rsidR="00B32EF2" w:rsidRDefault="00000000">
                        <w:r>
                          <w:rPr>
                            <w:rFonts w:ascii="Arial" w:eastAsia="Arial" w:hAnsi="Arial" w:cs="Arial"/>
                            <w:sz w:val="18"/>
                          </w:rPr>
                          <w:t>dell’Unione europea.</w:t>
                        </w:r>
                      </w:p>
                    </w:txbxContent>
                  </v:textbox>
                </v:rect>
                <v:rect id="Rectangle 200241" o:spid="_x0000_s2380" style="position:absolute;left:-13814;top:9401;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PNxgAAAN8AAAAPAAAAZHJzL2Rvd25yZXYueG1sRI9Pi8Iw&#10;FMTvC36H8IS9ramyiFSjLC6yPXjxH3h8NM+2bvMSmmirn94IgsdhZn7DzBadqcWVGl9ZVjAcJCCI&#10;c6srLhTsd6uvCQgfkDXWlknBjTws5r2PGabatryh6zYUIkLYp6igDMGlUvq8JIN+YB1x9E62MRii&#10;bAqpG2wj3NRylCRjabDiuFCio2VJ+f/2YhQcf9llq1bmp/vSrc/ZpP677A9Kffa7nymIQF14h1/t&#10;TCuIxNH3EJ5/4heQ8wcAAAD//wMAUEsBAi0AFAAGAAgAAAAhANvh9svuAAAAhQEAABMAAAAAAAAA&#10;AAAAAAAAAAAAAFtDb250ZW50X1R5cGVzXS54bWxQSwECLQAUAAYACAAAACEAWvQsW78AAAAVAQAA&#10;CwAAAAAAAAAAAAAAAAAfAQAAX3JlbHMvLnJlbHNQSwECLQAUAAYACAAAACEAC4yzzcYAAADfAAAA&#10;DwAAAAAAAAAAAAAAAAAHAgAAZHJzL2Rvd25yZXYueG1sUEsFBgAAAAADAAMAtwAAAPoCAAAAAA==&#10;" filled="f" stroked="f">
                  <v:textbox inset="0,0,0,0">
                    <w:txbxContent>
                      <w:p w14:paraId="36DFB91C" w14:textId="77777777" w:rsidR="00B32EF2" w:rsidRDefault="00000000">
                        <w:r>
                          <w:rPr>
                            <w:rFonts w:ascii="Arial" w:eastAsia="Arial" w:hAnsi="Arial" w:cs="Arial"/>
                            <w:sz w:val="18"/>
                          </w:rPr>
                          <w:t xml:space="preserve">. Le controversie relative agli atti di cui al comma 1 sono discusse in pubblica </w:t>
                        </w:r>
                      </w:p>
                    </w:txbxContent>
                  </v:textbox>
                </v:rect>
                <v:rect id="Rectangle 200239" o:spid="_x0000_s2381" style="position:absolute;left:26110;top:940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2xwAAAN8AAAAPAAAAZHJzL2Rvd25yZXYueG1sRI9PawIx&#10;FMTvBb9DeEJvNauFYlezIop0D15qFTw+Nm//6OYlbKK79dM3hUKPw8z8hlmuBtOKO3W+saxgOklA&#10;EBdWN1wpOH7tXuYgfEDW2FomBd/kYZWNnpaYatvzJ90PoRIRwj5FBXUILpXSFzUZ9BPriKNX2s5g&#10;iLKrpO6wj3DTylmSvEmDDceFGh1taiquh5tRcN6yy3e9LMrHxu0v+bz9uB1PSj2Ph/UCRKAh/If/&#10;2rlWEImz13f4/RO/gMx+AAAA//8DAFBLAQItABQABgAIAAAAIQDb4fbL7gAAAIUBAAATAAAAAAAA&#10;AAAAAAAAAAAAAABbQ29udGVudF9UeXBlc10ueG1sUEsBAi0AFAAGAAgAAAAhAFr0LFu/AAAAFQEA&#10;AAsAAAAAAAAAAAAAAAAAHwEAAF9yZWxzLy5yZWxzUEsBAi0AFAAGAAgAAAAhAK38zLbHAAAA3wAA&#10;AA8AAAAAAAAAAAAAAAAABwIAAGRycy9kb3ducmV2LnhtbFBLBQYAAAAAAwADALcAAAD7AgAAAAA=&#10;" filled="f" stroked="f">
                  <v:textbox inset="0,0,0,0">
                    <w:txbxContent>
                      <w:p w14:paraId="3D55A384" w14:textId="77777777" w:rsidR="00B32EF2" w:rsidRDefault="00000000">
                        <w:r>
                          <w:rPr>
                            <w:rFonts w:ascii="Arial" w:eastAsia="Arial" w:hAnsi="Arial" w:cs="Arial"/>
                            <w:sz w:val="18"/>
                          </w:rPr>
                          <w:t>5</w:t>
                        </w:r>
                      </w:p>
                    </w:txbxContent>
                  </v:textbox>
                </v:rect>
                <v:rect id="Rectangle 16082" o:spid="_x0000_s2382" style="position:absolute;left:-13171;top:81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jhIwwAAAN4AAAAPAAAAZHJzL2Rvd25yZXYueG1sRE9Li8Iw&#10;EL4v+B/CCHtbUz1IqUYRRexhL+sDPA7N2FabSWiirf76zcKCt/n4njNf9qYRD2p9bVnBeJSAIC6s&#10;rrlUcDxsv1IQPiBrbCyTgid5WC4GH3PMtO34hx77UIoYwj5DBVUILpPSFxUZ9CPriCN3sa3BEGFb&#10;St1iF8NNIydJMpUGa44NFTpaV1Tc9nej4Lxhl287WVxea/d9zdNmdz+elPoc9qsZiEB9eIv/3bmO&#10;86dJOoG/d+INcvELAAD//wMAUEsBAi0AFAAGAAgAAAAhANvh9svuAAAAhQEAABMAAAAAAAAAAAAA&#10;AAAAAAAAAFtDb250ZW50X1R5cGVzXS54bWxQSwECLQAUAAYACAAAACEAWvQsW78AAAAVAQAACwAA&#10;AAAAAAAAAAAAAAAfAQAAX3JlbHMvLnJlbHNQSwECLQAUAAYACAAAACEApZY4SMMAAADeAAAADwAA&#10;AAAAAAAAAAAAAAAHAgAAZHJzL2Rvd25yZXYueG1sUEsFBgAAAAADAAMAtwAAAPcCAAAAAA==&#10;" filled="f" stroked="f">
                  <v:textbox inset="0,0,0,0">
                    <w:txbxContent>
                      <w:p w14:paraId="4CA513BC" w14:textId="77777777" w:rsidR="00B32EF2" w:rsidRDefault="00000000">
                        <w:r>
                          <w:rPr>
                            <w:rFonts w:ascii="Arial" w:eastAsia="Arial" w:hAnsi="Arial" w:cs="Arial"/>
                            <w:sz w:val="18"/>
                          </w:rPr>
                          <w:t xml:space="preserve">udienza e, subito dopo la discussione, la corte di giustizia tributaria delibera la </w:t>
                        </w:r>
                      </w:p>
                    </w:txbxContent>
                  </v:textbox>
                </v:rect>
                <v:rect id="Rectangle 16083" o:spid="_x0000_s2383" style="position:absolute;left:-12202;top:6934;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p3TxAAAAN4AAAAPAAAAZHJzL2Rvd25yZXYueG1sRE9Li8Iw&#10;EL4v+B/CCHtb01WQ0jXKoog9ePEFexyase1uMwlNtF1/vREEb/PxPWe26E0jrtT62rKCz1ECgriw&#10;uuZSwfGw/khB+ICssbFMCv7Jw2I+eJthpm3HO7ruQyliCPsMFVQhuExKX1Rk0I+sI47c2bYGQ4Rt&#10;KXWLXQw3jRwnyVQarDk2VOhoWVHxt78YBT8rdvm6k8X5tnTb3zxtNpfjSan3Yf/9BSJQH17ipzvX&#10;cf40SSfweCfeIOd3AAAA//8DAFBLAQItABQABgAIAAAAIQDb4fbL7gAAAIUBAAATAAAAAAAAAAAA&#10;AAAAAAAAAABbQ29udGVudF9UeXBlc10ueG1sUEsBAi0AFAAGAAgAAAAhAFr0LFu/AAAAFQEAAAsA&#10;AAAAAAAAAAAAAAAAHwEAAF9yZWxzLy5yZWxzUEsBAi0AFAAGAAgAAAAhAMrandPEAAAA3gAAAA8A&#10;AAAAAAAAAAAAAAAABwIAAGRycy9kb3ducmV2LnhtbFBLBQYAAAAAAwADALcAAAD4AgAAAAA=&#10;" filled="f" stroked="f">
                  <v:textbox inset="0,0,0,0">
                    <w:txbxContent>
                      <w:p w14:paraId="4CE72233" w14:textId="77777777" w:rsidR="00B32EF2" w:rsidRDefault="00000000">
                        <w:r>
                          <w:rPr>
                            <w:rFonts w:ascii="Arial" w:eastAsia="Arial" w:hAnsi="Arial" w:cs="Arial"/>
                            <w:sz w:val="18"/>
                          </w:rPr>
                          <w:t>decisione in camera di consiglio. Il Presidente redige e sottoscrive il dispositi</w:t>
                        </w:r>
                      </w:p>
                    </w:txbxContent>
                  </v:textbox>
                </v:rect>
                <v:rect id="Rectangle 16084" o:spid="_x0000_s2384" style="position:absolute;left:192;top:69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wWnxAAAAN4AAAAPAAAAZHJzL2Rvd25yZXYueG1sRE9Li8Iw&#10;EL4v+B/CCHtb0xWR0jXKoog9ePEFexyase1uMwlNtF1/vREEb/PxPWe26E0jrtT62rKCz1ECgriw&#10;uuZSwfGw/khB+ICssbFMCv7Jw2I+eJthpm3HO7ruQyliCPsMFVQhuExKX1Rk0I+sI47c2bYGQ4Rt&#10;KXWLXQw3jRwnyVQarDk2VOhoWVHxt78YBT8rdvm6k8X5tnTb3zxtNpfjSan3Yf/9BSJQH17ipzvX&#10;cf40SSfweCfeIOd3AAAA//8DAFBLAQItABQABgAIAAAAIQDb4fbL7gAAAIUBAAATAAAAAAAAAAAA&#10;AAAAAAAAAABbQ29udGVudF9UeXBlc10ueG1sUEsBAi0AFAAGAAgAAAAhAFr0LFu/AAAAFQEAAAsA&#10;AAAAAAAAAAAAAAAAHwEAAF9yZWxzLy5yZWxzUEsBAi0AFAAGAAgAAAAhAEUzBafEAAAA3gAAAA8A&#10;AAAAAAAAAAAAAAAABwIAAGRycy9kb3ducmV2LnhtbFBLBQYAAAAAAwADALcAAAD4AgAAAAA=&#10;" filled="f" stroked="f">
                  <v:textbox inset="0,0,0,0">
                    <w:txbxContent>
                      <w:p w14:paraId="625E0297" w14:textId="77777777" w:rsidR="00B32EF2" w:rsidRDefault="00000000">
                        <w:r>
                          <w:rPr>
                            <w:rFonts w:ascii="Arial" w:eastAsia="Arial" w:hAnsi="Arial" w:cs="Arial"/>
                            <w:sz w:val="18"/>
                          </w:rPr>
                          <w:t>-</w:t>
                        </w:r>
                      </w:p>
                    </w:txbxContent>
                  </v:textbox>
                </v:rect>
                <v:rect id="Rectangle 16085" o:spid="_x0000_s2385" style="position:absolute;left:8639;top:5701;width:312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6A8xAAAAN4AAAAPAAAAZHJzL2Rvd25yZXYueG1sRE9Li8Iw&#10;EL4v+B/CCHtb0xWU0jXKoog9ePEFexyase1uMwlNtF1/vREEb/PxPWe26E0jrtT62rKCz1ECgriw&#10;uuZSwfGw/khB+ICssbFMCv7Jw2I+eJthpm3HO7ruQyliCPsMFVQhuExKX1Rk0I+sI47c2bYGQ4Rt&#10;KXWLXQw3jRwnyVQarDk2VOhoWVHxt78YBT8rdvm6k8X5tnTb3zxtNpfjSan3Yf/9BSJQH17ipzvX&#10;cf40SSfweCfeIOd3AAAA//8DAFBLAQItABQABgAIAAAAIQDb4fbL7gAAAIUBAAATAAAAAAAAAAAA&#10;AAAAAAAAAABbQ29udGVudF9UeXBlc10ueG1sUEsBAi0AFAAGAAgAAAAhAFr0LFu/AAAAFQEAAAsA&#10;AAAAAAAAAAAAAAAAHwEAAF9yZWxzLy5yZWxzUEsBAi0AFAAGAAgAAAAhACp/oDzEAAAA3gAAAA8A&#10;AAAAAAAAAAAAAAAABwIAAGRycy9kb3ducmV2LnhtbFBLBQYAAAAAAwADALcAAAD4AgAAAAA=&#10;" filled="f" stroked="f">
                  <v:textbox inset="0,0,0,0">
                    <w:txbxContent>
                      <w:p w14:paraId="6086B342" w14:textId="77777777" w:rsidR="00B32EF2" w:rsidRDefault="00000000">
                        <w:r>
                          <w:rPr>
                            <w:rFonts w:ascii="Arial" w:eastAsia="Arial" w:hAnsi="Arial" w:cs="Arial"/>
                            <w:sz w:val="18"/>
                          </w:rPr>
                          <w:t>vo e ne dà lettura in udienza, a pena di nullità.</w:t>
                        </w:r>
                      </w:p>
                    </w:txbxContent>
                  </v:textbox>
                </v:rect>
                <v:rect id="Rectangle 200221" o:spid="_x0000_s2386" style="position:absolute;left:26109;top:44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1ZtxgAAAN8AAAAPAAAAZHJzL2Rvd25yZXYueG1sRI9Pi8Iw&#10;FMTvC36H8IS9rak9LFKNIorYg5f1D3h8NM+22ryEJtrqp98sLHgcZuY3zGzRm0Y8qPW1ZQXjUQKC&#10;uLC65lLB8bD5moDwAVljY5kUPMnDYj74mGGmbcc/9NiHUkQI+wwVVCG4TEpfVGTQj6wjjt7FtgZD&#10;lG0pdYtdhJtGpknyLQ3WHBcqdLSqqLjt70bBec0u33SyuLxWbnfNJ832fjwp9Tnsl1MQgfrwDv+3&#10;c60gEtN0DH9/4heQ818AAAD//wMAUEsBAi0AFAAGAAgAAAAhANvh9svuAAAAhQEAABMAAAAAAAAA&#10;AAAAAAAAAAAAAFtDb250ZW50X1R5cGVzXS54bWxQSwECLQAUAAYACAAAACEAWvQsW78AAAAVAQAA&#10;CwAAAAAAAAAAAAAAAAAfAQAAX3JlbHMvLnJlbHNQSwECLQAUAAYACAAAACEA1lNWbcYAAADfAAAA&#10;DwAAAAAAAAAAAAAAAAAHAgAAZHJzL2Rvd25yZXYueG1sUEsFBgAAAAADAAMAtwAAAPoCAAAAAA==&#10;" filled="f" stroked="f">
                  <v:textbox inset="0,0,0,0">
                    <w:txbxContent>
                      <w:p w14:paraId="207F5CE3" w14:textId="77777777" w:rsidR="00B32EF2" w:rsidRDefault="00000000">
                        <w:r>
                          <w:rPr>
                            <w:rFonts w:ascii="Arial" w:eastAsia="Arial" w:hAnsi="Arial" w:cs="Arial"/>
                            <w:sz w:val="18"/>
                          </w:rPr>
                          <w:t>6</w:t>
                        </w:r>
                      </w:p>
                    </w:txbxContent>
                  </v:textbox>
                </v:rect>
                <v:rect id="Rectangle 200226" o:spid="_x0000_s2387" style="position:absolute;left:-13814;top:44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s4ZxgAAAN8AAAAPAAAAZHJzL2Rvd25yZXYueG1sRI9Pi8Iw&#10;FMTvC36H8IS9rak9iFSjiCL2sJf1D3h8NM+22ryEJtrqp98sLHgcZuY3zHzZm0Y8qPW1ZQXjUQKC&#10;uLC65lLB8bD9moLwAVljY5kUPMnDcjH4mGOmbcc/9NiHUkQI+wwVVCG4TEpfVGTQj6wjjt7FtgZD&#10;lG0pdYtdhJtGpkkykQZrjgsVOlpXVNz2d6PgvGGXbztZXF5r933Np83ufjwp9TnsVzMQgfrwDv+3&#10;c60gEtN0An9/4heQi18AAAD//wMAUEsBAi0AFAAGAAgAAAAhANvh9svuAAAAhQEAABMAAAAAAAAA&#10;AAAAAAAAAAAAAFtDb250ZW50X1R5cGVzXS54bWxQSwECLQAUAAYACAAAACEAWvQsW78AAAAVAQAA&#10;CwAAAAAAAAAAAAAAAAAfAQAAX3JlbHMvLnJlbHNQSwECLQAUAAYACAAAACEAWbrOGcYAAADfAAAA&#10;DwAAAAAAAAAAAAAAAAAHAgAAZHJzL2Rvd25yZXYueG1sUEsFBgAAAAADAAMAtwAAAPoCAAAAAA==&#10;" filled="f" stroked="f">
                  <v:textbox inset="0,0,0,0">
                    <w:txbxContent>
                      <w:p w14:paraId="1A8097BE" w14:textId="77777777" w:rsidR="00B32EF2" w:rsidRDefault="00000000">
                        <w:r>
                          <w:rPr>
                            <w:rFonts w:ascii="Arial" w:eastAsia="Arial" w:hAnsi="Arial" w:cs="Arial"/>
                            <w:sz w:val="18"/>
                          </w:rPr>
                          <w:t xml:space="preserve">. La sentenza è depositata nella segreteria della corte di giustizia tributaria </w:t>
                        </w:r>
                      </w:p>
                    </w:txbxContent>
                  </v:textbox>
                </v:rect>
                <w10:anchorlock/>
              </v:group>
            </w:pict>
          </mc:Fallback>
        </mc:AlternateContent>
      </w:r>
    </w:p>
    <w:p w14:paraId="704D4917" w14:textId="77777777" w:rsidR="00B32EF2" w:rsidRDefault="00000000">
      <w:pPr>
        <w:spacing w:after="0"/>
        <w:ind w:left="-356" w:right="-306"/>
      </w:pPr>
      <w:r>
        <w:rPr>
          <w:noProof/>
        </w:rPr>
        <w:lastRenderedPageBreak/>
        <mc:AlternateContent>
          <mc:Choice Requires="wpg">
            <w:drawing>
              <wp:inline distT="0" distB="0" distL="0" distR="0" wp14:anchorId="5F2F5039" wp14:editId="3525810F">
                <wp:extent cx="3991916" cy="6262854"/>
                <wp:effectExtent l="0" t="0" r="0" b="0"/>
                <wp:docPr id="200285" name="Group 200285"/>
                <wp:cNvGraphicFramePr/>
                <a:graphic xmlns:a="http://schemas.openxmlformats.org/drawingml/2006/main">
                  <a:graphicData uri="http://schemas.microsoft.com/office/word/2010/wordprocessingGroup">
                    <wpg:wgp>
                      <wpg:cNvGrpSpPr/>
                      <wpg:grpSpPr>
                        <a:xfrm>
                          <a:off x="0" y="0"/>
                          <a:ext cx="3991916" cy="6262854"/>
                          <a:chOff x="0" y="0"/>
                          <a:chExt cx="3991916" cy="6262854"/>
                        </a:xfrm>
                      </wpg:grpSpPr>
                      <wps:wsp>
                        <wps:cNvPr id="16099" name="Rectangle 16099"/>
                        <wps:cNvSpPr/>
                        <wps:spPr>
                          <a:xfrm rot="-10799999">
                            <a:off x="1900602" y="-62190"/>
                            <a:ext cx="178369" cy="250646"/>
                          </a:xfrm>
                          <a:prstGeom prst="rect">
                            <a:avLst/>
                          </a:prstGeom>
                          <a:ln>
                            <a:noFill/>
                          </a:ln>
                        </wps:spPr>
                        <wps:txbx>
                          <w:txbxContent>
                            <w:p w14:paraId="7CCF4E03" w14:textId="77777777" w:rsidR="00B32EF2" w:rsidRDefault="00000000">
                              <w:r>
                                <w:rPr>
                                  <w:rFonts w:ascii="Times New Roman" w:eastAsia="Times New Roman" w:hAnsi="Times New Roman" w:cs="Times New Roman"/>
                                </w:rPr>
                                <w:t>85</w:t>
                              </w:r>
                            </w:p>
                          </w:txbxContent>
                        </wps:txbx>
                        <wps:bodyPr horzOverflow="overflow" vert="horz" lIns="0" tIns="0" rIns="0" bIns="0" rtlCol="0">
                          <a:noAutofit/>
                        </wps:bodyPr>
                      </wps:wsp>
                      <wps:wsp>
                        <wps:cNvPr id="16100" name="Rectangle 16100"/>
                        <wps:cNvSpPr/>
                        <wps:spPr>
                          <a:xfrm rot="-10799999">
                            <a:off x="-1317103" y="6119964"/>
                            <a:ext cx="5309020" cy="142890"/>
                          </a:xfrm>
                          <a:prstGeom prst="rect">
                            <a:avLst/>
                          </a:prstGeom>
                          <a:ln>
                            <a:noFill/>
                          </a:ln>
                        </wps:spPr>
                        <wps:txbx>
                          <w:txbxContent>
                            <w:p w14:paraId="2D6C7CB7" w14:textId="77777777" w:rsidR="00B32EF2" w:rsidRDefault="00000000">
                              <w:r>
                                <w:rPr>
                                  <w:rFonts w:ascii="Arial" w:eastAsia="Arial" w:hAnsi="Arial" w:cs="Arial"/>
                                  <w:sz w:val="18"/>
                                </w:rPr>
                                <w:t xml:space="preserve">ne dell’istanza di sospensione non può, in ogni caso, coincidere con l’udienza </w:t>
                              </w:r>
                            </w:p>
                          </w:txbxContent>
                        </wps:txbx>
                        <wps:bodyPr horzOverflow="overflow" vert="horz" lIns="0" tIns="0" rIns="0" bIns="0" rtlCol="0">
                          <a:noAutofit/>
                        </wps:bodyPr>
                      </wps:wsp>
                      <wps:wsp>
                        <wps:cNvPr id="16101" name="Rectangle 16101"/>
                        <wps:cNvSpPr/>
                        <wps:spPr>
                          <a:xfrm rot="-10799999">
                            <a:off x="1095072" y="5996634"/>
                            <a:ext cx="2896844" cy="142890"/>
                          </a:xfrm>
                          <a:prstGeom prst="rect">
                            <a:avLst/>
                          </a:prstGeom>
                          <a:ln>
                            <a:noFill/>
                          </a:ln>
                        </wps:spPr>
                        <wps:txbx>
                          <w:txbxContent>
                            <w:p w14:paraId="37E39074" w14:textId="77777777" w:rsidR="00B32EF2" w:rsidRDefault="00000000">
                              <w:r>
                                <w:rPr>
                                  <w:rFonts w:ascii="Arial" w:eastAsia="Arial" w:hAnsi="Arial" w:cs="Arial"/>
                                  <w:sz w:val="18"/>
                                </w:rPr>
                                <w:t>di trattazione del merito della controversia.</w:t>
                              </w:r>
                            </w:p>
                          </w:txbxContent>
                        </wps:txbx>
                        <wps:bodyPr horzOverflow="overflow" vert="horz" lIns="0" tIns="0" rIns="0" bIns="0" rtlCol="0">
                          <a:noAutofit/>
                        </wps:bodyPr>
                      </wps:wsp>
                      <wps:wsp>
                        <wps:cNvPr id="200238" name="Rectangle 200238"/>
                        <wps:cNvSpPr/>
                        <wps:spPr>
                          <a:xfrm rot="-10799999">
                            <a:off x="2611075" y="5873305"/>
                            <a:ext cx="5309082" cy="142889"/>
                          </a:xfrm>
                          <a:prstGeom prst="rect">
                            <a:avLst/>
                          </a:prstGeom>
                          <a:ln>
                            <a:noFill/>
                          </a:ln>
                        </wps:spPr>
                        <wps:txbx>
                          <w:txbxContent>
                            <w:p w14:paraId="459B45F7"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0240" name="Rectangle 200240"/>
                        <wps:cNvSpPr/>
                        <wps:spPr>
                          <a:xfrm rot="-10799999">
                            <a:off x="-1381687" y="5873305"/>
                            <a:ext cx="5309082" cy="142889"/>
                          </a:xfrm>
                          <a:prstGeom prst="rect">
                            <a:avLst/>
                          </a:prstGeom>
                          <a:ln>
                            <a:noFill/>
                          </a:ln>
                        </wps:spPr>
                        <wps:txbx>
                          <w:txbxContent>
                            <w:p w14:paraId="29692BDF" w14:textId="77777777" w:rsidR="00B32EF2" w:rsidRDefault="00000000">
                              <w:r>
                                <w:rPr>
                                  <w:rFonts w:ascii="Arial" w:eastAsia="Arial" w:hAnsi="Arial" w:cs="Arial"/>
                                  <w:sz w:val="18"/>
                                </w:rPr>
                                <w:t xml:space="preserve">. In caso di eccezionale urgenza il presidente, previa delibazione del merito, </w:t>
                              </w:r>
                            </w:p>
                          </w:txbxContent>
                        </wps:txbx>
                        <wps:bodyPr horzOverflow="overflow" vert="horz" lIns="0" tIns="0" rIns="0" bIns="0" rtlCol="0">
                          <a:noAutofit/>
                        </wps:bodyPr>
                      </wps:wsp>
                      <wps:wsp>
                        <wps:cNvPr id="16103" name="Rectangle 16103"/>
                        <wps:cNvSpPr/>
                        <wps:spPr>
                          <a:xfrm rot="-10799999">
                            <a:off x="-1317473" y="5749976"/>
                            <a:ext cx="5310419" cy="142889"/>
                          </a:xfrm>
                          <a:prstGeom prst="rect">
                            <a:avLst/>
                          </a:prstGeom>
                          <a:ln>
                            <a:noFill/>
                          </a:ln>
                        </wps:spPr>
                        <wps:txbx>
                          <w:txbxContent>
                            <w:p w14:paraId="1699B18B" w14:textId="77777777" w:rsidR="00B32EF2" w:rsidRDefault="00000000">
                              <w:r>
                                <w:rPr>
                                  <w:rFonts w:ascii="Arial" w:eastAsia="Arial" w:hAnsi="Arial" w:cs="Arial"/>
                                  <w:sz w:val="18"/>
                                </w:rPr>
                                <w:t xml:space="preserve">può disporre con decreto motivato la provvisoria sospensione dell’esecuzione </w:t>
                              </w:r>
                            </w:p>
                          </w:txbxContent>
                        </wps:txbx>
                        <wps:bodyPr horzOverflow="overflow" vert="horz" lIns="0" tIns="0" rIns="0" bIns="0" rtlCol="0">
                          <a:noAutofit/>
                        </wps:bodyPr>
                      </wps:wsp>
                      <wps:wsp>
                        <wps:cNvPr id="16104" name="Rectangle 16104"/>
                        <wps:cNvSpPr/>
                        <wps:spPr>
                          <a:xfrm rot="-10799999">
                            <a:off x="94833" y="5626646"/>
                            <a:ext cx="3897084" cy="142889"/>
                          </a:xfrm>
                          <a:prstGeom prst="rect">
                            <a:avLst/>
                          </a:prstGeom>
                          <a:ln>
                            <a:noFill/>
                          </a:ln>
                        </wps:spPr>
                        <wps:txbx>
                          <w:txbxContent>
                            <w:p w14:paraId="3613A282" w14:textId="77777777" w:rsidR="00B32EF2" w:rsidRDefault="00000000">
                              <w:r>
                                <w:rPr>
                                  <w:rFonts w:ascii="Arial" w:eastAsia="Arial" w:hAnsi="Arial" w:cs="Arial"/>
                                  <w:sz w:val="18"/>
                                </w:rPr>
                                <w:t>fino alla pronuncia del collegio o del giudice monocratico.</w:t>
                              </w:r>
                            </w:p>
                          </w:txbxContent>
                        </wps:txbx>
                        <wps:bodyPr horzOverflow="overflow" vert="horz" lIns="0" tIns="0" rIns="0" bIns="0" rtlCol="0">
                          <a:noAutofit/>
                        </wps:bodyPr>
                      </wps:wsp>
                      <wps:wsp>
                        <wps:cNvPr id="200236" name="Rectangle 200236"/>
                        <wps:cNvSpPr/>
                        <wps:spPr>
                          <a:xfrm rot="-10799999">
                            <a:off x="2611086" y="5503316"/>
                            <a:ext cx="5309036" cy="142889"/>
                          </a:xfrm>
                          <a:prstGeom prst="rect">
                            <a:avLst/>
                          </a:prstGeom>
                          <a:ln>
                            <a:noFill/>
                          </a:ln>
                        </wps:spPr>
                        <wps:txbx>
                          <w:txbxContent>
                            <w:p w14:paraId="1453B225"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0237" name="Rectangle 200237"/>
                        <wps:cNvSpPr/>
                        <wps:spPr>
                          <a:xfrm rot="-10799999">
                            <a:off x="-1380258" y="5503316"/>
                            <a:ext cx="5309035" cy="142889"/>
                          </a:xfrm>
                          <a:prstGeom prst="rect">
                            <a:avLst/>
                          </a:prstGeom>
                          <a:ln>
                            <a:noFill/>
                          </a:ln>
                        </wps:spPr>
                        <wps:txbx>
                          <w:txbxContent>
                            <w:p w14:paraId="34814CE8" w14:textId="77777777" w:rsidR="00B32EF2" w:rsidRDefault="00000000">
                              <w:r>
                                <w:rPr>
                                  <w:rFonts w:ascii="Arial" w:eastAsia="Arial" w:hAnsi="Arial" w:cs="Arial"/>
                                  <w:sz w:val="18"/>
                                </w:rPr>
                                <w:t xml:space="preserve">. Il collegio o il giudice monocratico, sentite le parti in camera di consiglio e </w:t>
                              </w:r>
                            </w:p>
                          </w:txbxContent>
                        </wps:txbx>
                        <wps:bodyPr horzOverflow="overflow" vert="horz" lIns="0" tIns="0" rIns="0" bIns="0" rtlCol="0">
                          <a:noAutofit/>
                        </wps:bodyPr>
                      </wps:wsp>
                      <wps:wsp>
                        <wps:cNvPr id="16106" name="Rectangle 16106"/>
                        <wps:cNvSpPr/>
                        <wps:spPr>
                          <a:xfrm rot="-10799999">
                            <a:off x="-1317058" y="5379987"/>
                            <a:ext cx="5308975" cy="142889"/>
                          </a:xfrm>
                          <a:prstGeom prst="rect">
                            <a:avLst/>
                          </a:prstGeom>
                          <a:ln>
                            <a:noFill/>
                          </a:ln>
                        </wps:spPr>
                        <wps:txbx>
                          <w:txbxContent>
                            <w:p w14:paraId="6CDD66AD" w14:textId="77777777" w:rsidR="00B32EF2" w:rsidRDefault="00000000">
                              <w:r>
                                <w:rPr>
                                  <w:rFonts w:ascii="Arial" w:eastAsia="Arial" w:hAnsi="Arial" w:cs="Arial"/>
                                  <w:sz w:val="18"/>
                                </w:rPr>
                                <w:t xml:space="preserve">delibato il merito, provvede con ordinanza motivata nella stessa udienza di </w:t>
                              </w:r>
                            </w:p>
                          </w:txbxContent>
                        </wps:txbx>
                        <wps:bodyPr horzOverflow="overflow" vert="horz" lIns="0" tIns="0" rIns="0" bIns="0" rtlCol="0">
                          <a:noAutofit/>
                        </wps:bodyPr>
                      </wps:wsp>
                      <wps:wsp>
                        <wps:cNvPr id="16107" name="Rectangle 16107"/>
                        <wps:cNvSpPr/>
                        <wps:spPr>
                          <a:xfrm rot="-10799999">
                            <a:off x="-1317134" y="5256657"/>
                            <a:ext cx="5309051" cy="142889"/>
                          </a:xfrm>
                          <a:prstGeom prst="rect">
                            <a:avLst/>
                          </a:prstGeom>
                          <a:ln>
                            <a:noFill/>
                          </a:ln>
                        </wps:spPr>
                        <wps:txbx>
                          <w:txbxContent>
                            <w:p w14:paraId="45C387A5" w14:textId="77777777" w:rsidR="00B32EF2" w:rsidRDefault="00000000">
                              <w:r>
                                <w:rPr>
                                  <w:rFonts w:ascii="Arial" w:eastAsia="Arial" w:hAnsi="Arial" w:cs="Arial"/>
                                  <w:sz w:val="18"/>
                                </w:rPr>
                                <w:t xml:space="preserve">trattazione dell’istanza. L’ordinanza è immediatamente comunicata alle parti. </w:t>
                              </w:r>
                            </w:p>
                          </w:txbxContent>
                        </wps:txbx>
                        <wps:bodyPr horzOverflow="overflow" vert="horz" lIns="0" tIns="0" rIns="0" bIns="0" rtlCol="0">
                          <a:noAutofit/>
                        </wps:bodyPr>
                      </wps:wsp>
                      <wps:wsp>
                        <wps:cNvPr id="16108" name="Rectangle 16108"/>
                        <wps:cNvSpPr/>
                        <wps:spPr>
                          <a:xfrm rot="-10799999">
                            <a:off x="-1317004" y="5133327"/>
                            <a:ext cx="5309492" cy="142889"/>
                          </a:xfrm>
                          <a:prstGeom prst="rect">
                            <a:avLst/>
                          </a:prstGeom>
                          <a:ln>
                            <a:noFill/>
                          </a:ln>
                        </wps:spPr>
                        <wps:txbx>
                          <w:txbxContent>
                            <w:p w14:paraId="6568D51C" w14:textId="77777777" w:rsidR="00B32EF2" w:rsidRDefault="00000000">
                              <w:r>
                                <w:rPr>
                                  <w:rFonts w:ascii="Arial" w:eastAsia="Arial" w:hAnsi="Arial" w:cs="Arial"/>
                                  <w:sz w:val="18"/>
                                </w:rPr>
                                <w:t xml:space="preserve">L’ordinanza cautelare collegiale è impugnabile innanzi alla corte di giustizia </w:t>
                              </w:r>
                            </w:p>
                          </w:txbxContent>
                        </wps:txbx>
                        <wps:bodyPr horzOverflow="overflow" vert="horz" lIns="0" tIns="0" rIns="0" bIns="0" rtlCol="0">
                          <a:noAutofit/>
                        </wps:bodyPr>
                      </wps:wsp>
                      <wps:wsp>
                        <wps:cNvPr id="16109" name="Rectangle 16109"/>
                        <wps:cNvSpPr/>
                        <wps:spPr>
                          <a:xfrm rot="-10799999">
                            <a:off x="-1317073" y="5009998"/>
                            <a:ext cx="5308990" cy="142889"/>
                          </a:xfrm>
                          <a:prstGeom prst="rect">
                            <a:avLst/>
                          </a:prstGeom>
                          <a:ln>
                            <a:noFill/>
                          </a:ln>
                        </wps:spPr>
                        <wps:txbx>
                          <w:txbxContent>
                            <w:p w14:paraId="6D22DDDF" w14:textId="77777777" w:rsidR="00B32EF2" w:rsidRDefault="00000000">
                              <w:r>
                                <w:rPr>
                                  <w:rFonts w:ascii="Arial" w:eastAsia="Arial" w:hAnsi="Arial" w:cs="Arial"/>
                                  <w:sz w:val="18"/>
                                </w:rPr>
                                <w:t xml:space="preserve">tributaria di secondo grado entro il termine perentorio di quindici giorni dalla </w:t>
                              </w:r>
                            </w:p>
                          </w:txbxContent>
                        </wps:txbx>
                        <wps:bodyPr horzOverflow="overflow" vert="horz" lIns="0" tIns="0" rIns="0" bIns="0" rtlCol="0">
                          <a:noAutofit/>
                        </wps:bodyPr>
                      </wps:wsp>
                      <wps:wsp>
                        <wps:cNvPr id="16110" name="Rectangle 16110"/>
                        <wps:cNvSpPr/>
                        <wps:spPr>
                          <a:xfrm rot="-10799999">
                            <a:off x="-1317104" y="4886668"/>
                            <a:ext cx="5309021" cy="142889"/>
                          </a:xfrm>
                          <a:prstGeom prst="rect">
                            <a:avLst/>
                          </a:prstGeom>
                          <a:ln>
                            <a:noFill/>
                          </a:ln>
                        </wps:spPr>
                        <wps:txbx>
                          <w:txbxContent>
                            <w:p w14:paraId="2EE98FD4" w14:textId="77777777" w:rsidR="00B32EF2" w:rsidRDefault="00000000">
                              <w:r>
                                <w:rPr>
                                  <w:rFonts w:ascii="Arial" w:eastAsia="Arial" w:hAnsi="Arial" w:cs="Arial"/>
                                  <w:sz w:val="18"/>
                                </w:rPr>
                                <w:t xml:space="preserve">sua comunicazione da parte della segreteria. Al procedimento si applicano le </w:t>
                              </w:r>
                            </w:p>
                          </w:txbxContent>
                        </wps:txbx>
                        <wps:bodyPr horzOverflow="overflow" vert="horz" lIns="0" tIns="0" rIns="0" bIns="0" rtlCol="0">
                          <a:noAutofit/>
                        </wps:bodyPr>
                      </wps:wsp>
                      <wps:wsp>
                        <wps:cNvPr id="16111" name="Rectangle 16111"/>
                        <wps:cNvSpPr/>
                        <wps:spPr>
                          <a:xfrm rot="-10799999">
                            <a:off x="-1220876" y="4763338"/>
                            <a:ext cx="5212793" cy="142889"/>
                          </a:xfrm>
                          <a:prstGeom prst="rect">
                            <a:avLst/>
                          </a:prstGeom>
                          <a:ln>
                            <a:noFill/>
                          </a:ln>
                        </wps:spPr>
                        <wps:txbx>
                          <w:txbxContent>
                            <w:p w14:paraId="0F160CDF" w14:textId="77777777" w:rsidR="00B32EF2" w:rsidRDefault="00000000">
                              <w:r>
                                <w:rPr>
                                  <w:rFonts w:ascii="Arial" w:eastAsia="Arial" w:hAnsi="Arial" w:cs="Arial"/>
                                  <w:sz w:val="18"/>
                                </w:rPr>
                                <w:t>disposizioni di cui ai commi 2, 3 e 4, in quanto compatibili. L’ordinanza cautela</w:t>
                              </w:r>
                            </w:p>
                          </w:txbxContent>
                        </wps:txbx>
                        <wps:bodyPr horzOverflow="overflow" vert="horz" lIns="0" tIns="0" rIns="0" bIns="0" rtlCol="0">
                          <a:noAutofit/>
                        </wps:bodyPr>
                      </wps:wsp>
                      <wps:wsp>
                        <wps:cNvPr id="16112" name="Rectangle 16112"/>
                        <wps:cNvSpPr/>
                        <wps:spPr>
                          <a:xfrm rot="-10799999">
                            <a:off x="19318" y="4763338"/>
                            <a:ext cx="50622" cy="142889"/>
                          </a:xfrm>
                          <a:prstGeom prst="rect">
                            <a:avLst/>
                          </a:prstGeom>
                          <a:ln>
                            <a:noFill/>
                          </a:ln>
                        </wps:spPr>
                        <wps:txbx>
                          <w:txbxContent>
                            <w:p w14:paraId="679F522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113" name="Rectangle 16113"/>
                        <wps:cNvSpPr/>
                        <wps:spPr>
                          <a:xfrm rot="-10799999">
                            <a:off x="-1219112" y="4640009"/>
                            <a:ext cx="5211029" cy="142889"/>
                          </a:xfrm>
                          <a:prstGeom prst="rect">
                            <a:avLst/>
                          </a:prstGeom>
                          <a:ln>
                            <a:noFill/>
                          </a:ln>
                        </wps:spPr>
                        <wps:txbx>
                          <w:txbxContent>
                            <w:p w14:paraId="5C8F9C51" w14:textId="77777777" w:rsidR="00B32EF2" w:rsidRDefault="00000000">
                              <w:r>
                                <w:rPr>
                                  <w:rFonts w:ascii="Arial" w:eastAsia="Arial" w:hAnsi="Arial" w:cs="Arial"/>
                                  <w:sz w:val="18"/>
                                </w:rPr>
                                <w:t>re del giudice monocratico è impugnabile solo con reclamo innanzi alla mede</w:t>
                              </w:r>
                            </w:p>
                          </w:txbxContent>
                        </wps:txbx>
                        <wps:bodyPr horzOverflow="overflow" vert="horz" lIns="0" tIns="0" rIns="0" bIns="0" rtlCol="0">
                          <a:noAutofit/>
                        </wps:bodyPr>
                      </wps:wsp>
                      <wps:wsp>
                        <wps:cNvPr id="16114" name="Rectangle 16114"/>
                        <wps:cNvSpPr/>
                        <wps:spPr>
                          <a:xfrm rot="-10799999">
                            <a:off x="19318" y="4640008"/>
                            <a:ext cx="50622" cy="142889"/>
                          </a:xfrm>
                          <a:prstGeom prst="rect">
                            <a:avLst/>
                          </a:prstGeom>
                          <a:ln>
                            <a:noFill/>
                          </a:ln>
                        </wps:spPr>
                        <wps:txbx>
                          <w:txbxContent>
                            <w:p w14:paraId="4241495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115" name="Rectangle 16115"/>
                        <wps:cNvSpPr/>
                        <wps:spPr>
                          <a:xfrm rot="-10799999">
                            <a:off x="-1317104" y="4516679"/>
                            <a:ext cx="5309021" cy="142889"/>
                          </a:xfrm>
                          <a:prstGeom prst="rect">
                            <a:avLst/>
                          </a:prstGeom>
                          <a:ln>
                            <a:noFill/>
                          </a:ln>
                        </wps:spPr>
                        <wps:txbx>
                          <w:txbxContent>
                            <w:p w14:paraId="28BE58F9" w14:textId="77777777" w:rsidR="00B32EF2" w:rsidRDefault="00000000">
                              <w:r>
                                <w:rPr>
                                  <w:rFonts w:ascii="Arial" w:eastAsia="Arial" w:hAnsi="Arial" w:cs="Arial"/>
                                  <w:sz w:val="18"/>
                                </w:rPr>
                                <w:t xml:space="preserve">sima corte di giustizia tributaria di primo grado in composizione collegiale, da </w:t>
                              </w:r>
                            </w:p>
                          </w:txbxContent>
                        </wps:txbx>
                        <wps:bodyPr horzOverflow="overflow" vert="horz" lIns="0" tIns="0" rIns="0" bIns="0" rtlCol="0">
                          <a:noAutofit/>
                        </wps:bodyPr>
                      </wps:wsp>
                      <wps:wsp>
                        <wps:cNvPr id="16116" name="Rectangle 16116"/>
                        <wps:cNvSpPr/>
                        <wps:spPr>
                          <a:xfrm rot="-10799999">
                            <a:off x="-1317058" y="4393349"/>
                            <a:ext cx="5308975" cy="142889"/>
                          </a:xfrm>
                          <a:prstGeom prst="rect">
                            <a:avLst/>
                          </a:prstGeom>
                          <a:ln>
                            <a:noFill/>
                          </a:ln>
                        </wps:spPr>
                        <wps:txbx>
                          <w:txbxContent>
                            <w:p w14:paraId="17273B41" w14:textId="77777777" w:rsidR="00B32EF2" w:rsidRDefault="00000000">
                              <w:r>
                                <w:rPr>
                                  <w:rFonts w:ascii="Arial" w:eastAsia="Arial" w:hAnsi="Arial" w:cs="Arial"/>
                                  <w:sz w:val="18"/>
                                </w:rPr>
                                <w:t xml:space="preserve">notificare alle altre parti costituite nel termine perentorio di quindici giorni dalla </w:t>
                              </w:r>
                            </w:p>
                          </w:txbxContent>
                        </wps:txbx>
                        <wps:bodyPr horzOverflow="overflow" vert="horz" lIns="0" tIns="0" rIns="0" bIns="0" rtlCol="0">
                          <a:noAutofit/>
                        </wps:bodyPr>
                      </wps:wsp>
                      <wps:wsp>
                        <wps:cNvPr id="16117" name="Rectangle 16117"/>
                        <wps:cNvSpPr/>
                        <wps:spPr>
                          <a:xfrm rot="-10799999">
                            <a:off x="-1218565" y="4270019"/>
                            <a:ext cx="5210482" cy="142889"/>
                          </a:xfrm>
                          <a:prstGeom prst="rect">
                            <a:avLst/>
                          </a:prstGeom>
                          <a:ln>
                            <a:noFill/>
                          </a:ln>
                        </wps:spPr>
                        <wps:txbx>
                          <w:txbxContent>
                            <w:p w14:paraId="734AC224" w14:textId="77777777" w:rsidR="00B32EF2" w:rsidRDefault="00000000">
                              <w:r>
                                <w:rPr>
                                  <w:rFonts w:ascii="Arial" w:eastAsia="Arial" w:hAnsi="Arial" w:cs="Arial"/>
                                  <w:sz w:val="18"/>
                                </w:rPr>
                                <w:t>sua comunicazione da parte della segreteria. Al procedimento d’impugnazio</w:t>
                              </w:r>
                            </w:p>
                          </w:txbxContent>
                        </wps:txbx>
                        <wps:bodyPr horzOverflow="overflow" vert="horz" lIns="0" tIns="0" rIns="0" bIns="0" rtlCol="0">
                          <a:noAutofit/>
                        </wps:bodyPr>
                      </wps:wsp>
                      <wps:wsp>
                        <wps:cNvPr id="16118" name="Rectangle 16118"/>
                        <wps:cNvSpPr/>
                        <wps:spPr>
                          <a:xfrm rot="-10799999">
                            <a:off x="19318" y="4270019"/>
                            <a:ext cx="50622" cy="142889"/>
                          </a:xfrm>
                          <a:prstGeom prst="rect">
                            <a:avLst/>
                          </a:prstGeom>
                          <a:ln>
                            <a:noFill/>
                          </a:ln>
                        </wps:spPr>
                        <wps:txbx>
                          <w:txbxContent>
                            <w:p w14:paraId="1FCAA94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119" name="Rectangle 16119"/>
                        <wps:cNvSpPr/>
                        <wps:spPr>
                          <a:xfrm rot="-10799999">
                            <a:off x="-1317179" y="4146690"/>
                            <a:ext cx="5309097" cy="142889"/>
                          </a:xfrm>
                          <a:prstGeom prst="rect">
                            <a:avLst/>
                          </a:prstGeom>
                          <a:ln>
                            <a:noFill/>
                          </a:ln>
                        </wps:spPr>
                        <wps:txbx>
                          <w:txbxContent>
                            <w:p w14:paraId="718531AC" w14:textId="77777777" w:rsidR="00B32EF2" w:rsidRDefault="00000000">
                              <w:r>
                                <w:rPr>
                                  <w:rFonts w:ascii="Arial" w:eastAsia="Arial" w:hAnsi="Arial" w:cs="Arial"/>
                                  <w:sz w:val="18"/>
                                </w:rPr>
                                <w:t xml:space="preserve">ne si applicano le norme di cui ai commi 2, 3, 4, 5 e 6, in quanto compatibili, e </w:t>
                              </w:r>
                            </w:p>
                          </w:txbxContent>
                        </wps:txbx>
                        <wps:bodyPr horzOverflow="overflow" vert="horz" lIns="0" tIns="0" rIns="0" bIns="0" rtlCol="0">
                          <a:noAutofit/>
                        </wps:bodyPr>
                      </wps:wsp>
                      <wps:wsp>
                        <wps:cNvPr id="16120" name="Rectangle 16120"/>
                        <wps:cNvSpPr/>
                        <wps:spPr>
                          <a:xfrm rot="-10799999">
                            <a:off x="-1316958" y="4023360"/>
                            <a:ext cx="5309447" cy="142889"/>
                          </a:xfrm>
                          <a:prstGeom prst="rect">
                            <a:avLst/>
                          </a:prstGeom>
                          <a:ln>
                            <a:noFill/>
                          </a:ln>
                        </wps:spPr>
                        <wps:txbx>
                          <w:txbxContent>
                            <w:p w14:paraId="3F4D7984" w14:textId="77777777" w:rsidR="00B32EF2" w:rsidRDefault="00000000">
                              <w:r>
                                <w:rPr>
                                  <w:rFonts w:ascii="Arial" w:eastAsia="Arial" w:hAnsi="Arial" w:cs="Arial"/>
                                  <w:sz w:val="18"/>
                                </w:rPr>
                                <w:t xml:space="preserve">l’ordinanza che decide sul reclamo non è impugnabile. L’ordinanza cautelare </w:t>
                              </w:r>
                            </w:p>
                          </w:txbxContent>
                        </wps:txbx>
                        <wps:bodyPr horzOverflow="overflow" vert="horz" lIns="0" tIns="0" rIns="0" bIns="0" rtlCol="0">
                          <a:noAutofit/>
                        </wps:bodyPr>
                      </wps:wsp>
                      <wps:wsp>
                        <wps:cNvPr id="16121" name="Rectangle 16121"/>
                        <wps:cNvSpPr/>
                        <wps:spPr>
                          <a:xfrm rot="-10799999">
                            <a:off x="-692123" y="3900030"/>
                            <a:ext cx="4684040" cy="142889"/>
                          </a:xfrm>
                          <a:prstGeom prst="rect">
                            <a:avLst/>
                          </a:prstGeom>
                          <a:ln>
                            <a:noFill/>
                          </a:ln>
                        </wps:spPr>
                        <wps:txbx>
                          <w:txbxContent>
                            <w:p w14:paraId="79966C9D" w14:textId="77777777" w:rsidR="00B32EF2" w:rsidRDefault="00000000">
                              <w:r>
                                <w:rPr>
                                  <w:rFonts w:ascii="Arial" w:eastAsia="Arial" w:hAnsi="Arial" w:cs="Arial"/>
                                  <w:sz w:val="18"/>
                                </w:rPr>
                                <w:t>della corte di giustizia tributaria di secondo grado non è impugnabile.</w:t>
                              </w:r>
                            </w:p>
                          </w:txbxContent>
                        </wps:txbx>
                        <wps:bodyPr horzOverflow="overflow" vert="horz" lIns="0" tIns="0" rIns="0" bIns="0" rtlCol="0">
                          <a:noAutofit/>
                        </wps:bodyPr>
                      </wps:wsp>
                      <wps:wsp>
                        <wps:cNvPr id="200235" name="Rectangle 200235"/>
                        <wps:cNvSpPr/>
                        <wps:spPr>
                          <a:xfrm rot="-10799999">
                            <a:off x="-1381515" y="3776701"/>
                            <a:ext cx="5309036" cy="142889"/>
                          </a:xfrm>
                          <a:prstGeom prst="rect">
                            <a:avLst/>
                          </a:prstGeom>
                          <a:ln>
                            <a:noFill/>
                          </a:ln>
                        </wps:spPr>
                        <wps:txbx>
                          <w:txbxContent>
                            <w:p w14:paraId="7DD11A98" w14:textId="77777777" w:rsidR="00B32EF2" w:rsidRDefault="00000000">
                              <w:r>
                                <w:rPr>
                                  <w:rFonts w:ascii="Arial" w:eastAsia="Arial" w:hAnsi="Arial" w:cs="Arial"/>
                                  <w:sz w:val="18"/>
                                </w:rPr>
                                <w:t xml:space="preserve">. La sospensione può anche essere parziale e subordinata alla prestazione </w:t>
                              </w:r>
                            </w:p>
                          </w:txbxContent>
                        </wps:txbx>
                        <wps:bodyPr horzOverflow="overflow" vert="horz" lIns="0" tIns="0" rIns="0" bIns="0" rtlCol="0">
                          <a:noAutofit/>
                        </wps:bodyPr>
                      </wps:wsp>
                      <wps:wsp>
                        <wps:cNvPr id="200234" name="Rectangle 200234"/>
                        <wps:cNvSpPr/>
                        <wps:spPr>
                          <a:xfrm rot="-10799999">
                            <a:off x="2611087" y="3776701"/>
                            <a:ext cx="5309035" cy="142889"/>
                          </a:xfrm>
                          <a:prstGeom prst="rect">
                            <a:avLst/>
                          </a:prstGeom>
                          <a:ln>
                            <a:noFill/>
                          </a:ln>
                        </wps:spPr>
                        <wps:txbx>
                          <w:txbxContent>
                            <w:p w14:paraId="551CE088"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16123" name="Rectangle 16123"/>
                        <wps:cNvSpPr/>
                        <wps:spPr>
                          <a:xfrm rot="-10799999">
                            <a:off x="-1317089" y="3653371"/>
                            <a:ext cx="5309006" cy="142889"/>
                          </a:xfrm>
                          <a:prstGeom prst="rect">
                            <a:avLst/>
                          </a:prstGeom>
                          <a:ln>
                            <a:noFill/>
                          </a:ln>
                        </wps:spPr>
                        <wps:txbx>
                          <w:txbxContent>
                            <w:p w14:paraId="2A442E12" w14:textId="77777777" w:rsidR="00B32EF2" w:rsidRDefault="00000000">
                              <w:r>
                                <w:rPr>
                                  <w:rFonts w:ascii="Arial" w:eastAsia="Arial" w:hAnsi="Arial" w:cs="Arial"/>
                                  <w:sz w:val="18"/>
                                </w:rPr>
                                <w:t xml:space="preserve">della garanzia di cui all’articolo 127 comma 2. La prestazione della garanzia </w:t>
                              </w:r>
                            </w:p>
                          </w:txbxContent>
                        </wps:txbx>
                        <wps:bodyPr horzOverflow="overflow" vert="horz" lIns="0" tIns="0" rIns="0" bIns="0" rtlCol="0">
                          <a:noAutofit/>
                        </wps:bodyPr>
                      </wps:wsp>
                      <wps:wsp>
                        <wps:cNvPr id="16124" name="Rectangle 16124"/>
                        <wps:cNvSpPr/>
                        <wps:spPr>
                          <a:xfrm rot="-10799999">
                            <a:off x="-1220434" y="3530041"/>
                            <a:ext cx="5212351" cy="142889"/>
                          </a:xfrm>
                          <a:prstGeom prst="rect">
                            <a:avLst/>
                          </a:prstGeom>
                          <a:ln>
                            <a:noFill/>
                          </a:ln>
                        </wps:spPr>
                        <wps:txbx>
                          <w:txbxContent>
                            <w:p w14:paraId="10C8F14F" w14:textId="77777777" w:rsidR="00B32EF2" w:rsidRDefault="00000000">
                              <w:r>
                                <w:rPr>
                                  <w:rFonts w:ascii="Arial" w:eastAsia="Arial" w:hAnsi="Arial" w:cs="Arial"/>
                                  <w:sz w:val="18"/>
                                </w:rPr>
                                <w:t>è esclusa per i ricorrenti con «bollino di affidabilità fiscale». Ai fini della di</w:t>
                              </w:r>
                            </w:p>
                          </w:txbxContent>
                        </wps:txbx>
                        <wps:bodyPr horzOverflow="overflow" vert="horz" lIns="0" tIns="0" rIns="0" bIns="0" rtlCol="0">
                          <a:noAutofit/>
                        </wps:bodyPr>
                      </wps:wsp>
                      <wps:wsp>
                        <wps:cNvPr id="16125" name="Rectangle 16125"/>
                        <wps:cNvSpPr/>
                        <wps:spPr>
                          <a:xfrm rot="-10799999">
                            <a:off x="19318" y="3530041"/>
                            <a:ext cx="50622" cy="142889"/>
                          </a:xfrm>
                          <a:prstGeom prst="rect">
                            <a:avLst/>
                          </a:prstGeom>
                          <a:ln>
                            <a:noFill/>
                          </a:ln>
                        </wps:spPr>
                        <wps:txbx>
                          <w:txbxContent>
                            <w:p w14:paraId="6F0F00C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126" name="Rectangle 16126"/>
                        <wps:cNvSpPr/>
                        <wps:spPr>
                          <a:xfrm rot="-10799999">
                            <a:off x="-1317104" y="3406712"/>
                            <a:ext cx="5309021" cy="142889"/>
                          </a:xfrm>
                          <a:prstGeom prst="rect">
                            <a:avLst/>
                          </a:prstGeom>
                          <a:ln>
                            <a:noFill/>
                          </a:ln>
                        </wps:spPr>
                        <wps:txbx>
                          <w:txbxContent>
                            <w:p w14:paraId="3A429780" w14:textId="77777777" w:rsidR="00B32EF2" w:rsidRDefault="00000000">
                              <w:r>
                                <w:rPr>
                                  <w:rFonts w:ascii="Arial" w:eastAsia="Arial" w:hAnsi="Arial" w:cs="Arial"/>
                                  <w:sz w:val="18"/>
                                </w:rPr>
                                <w:t xml:space="preserve">sposizione di cui al periodo precedente, i ricorrenti con «bollino di affidabilità </w:t>
                              </w:r>
                            </w:p>
                          </w:txbxContent>
                        </wps:txbx>
                        <wps:bodyPr horzOverflow="overflow" vert="horz" lIns="0" tIns="0" rIns="0" bIns="0" rtlCol="0">
                          <a:noAutofit/>
                        </wps:bodyPr>
                      </wps:wsp>
                      <wps:wsp>
                        <wps:cNvPr id="16127" name="Rectangle 16127"/>
                        <wps:cNvSpPr/>
                        <wps:spPr>
                          <a:xfrm rot="-10799999">
                            <a:off x="-1317118" y="3283382"/>
                            <a:ext cx="5309035" cy="142889"/>
                          </a:xfrm>
                          <a:prstGeom prst="rect">
                            <a:avLst/>
                          </a:prstGeom>
                          <a:ln>
                            <a:noFill/>
                          </a:ln>
                        </wps:spPr>
                        <wps:txbx>
                          <w:txbxContent>
                            <w:p w14:paraId="44211B46" w14:textId="77777777" w:rsidR="00B32EF2" w:rsidRDefault="00000000">
                              <w:r>
                                <w:rPr>
                                  <w:rFonts w:ascii="Arial" w:eastAsia="Arial" w:hAnsi="Arial" w:cs="Arial"/>
                                  <w:sz w:val="18"/>
                                </w:rPr>
                                <w:t xml:space="preserve">fiscale» sono i contribuenti soggetti alla disciplina di cui all’articolo 9-bis del </w:t>
                              </w:r>
                            </w:p>
                          </w:txbxContent>
                        </wps:txbx>
                        <wps:bodyPr horzOverflow="overflow" vert="horz" lIns="0" tIns="0" rIns="0" bIns="0" rtlCol="0">
                          <a:noAutofit/>
                        </wps:bodyPr>
                      </wps:wsp>
                      <wps:wsp>
                        <wps:cNvPr id="16128" name="Rectangle 16128"/>
                        <wps:cNvSpPr/>
                        <wps:spPr>
                          <a:xfrm rot="-10799999">
                            <a:off x="-1317558" y="3160052"/>
                            <a:ext cx="5310161" cy="142889"/>
                          </a:xfrm>
                          <a:prstGeom prst="rect">
                            <a:avLst/>
                          </a:prstGeom>
                          <a:ln>
                            <a:noFill/>
                          </a:ln>
                        </wps:spPr>
                        <wps:txbx>
                          <w:txbxContent>
                            <w:p w14:paraId="7DA55405" w14:textId="77777777" w:rsidR="00B32EF2" w:rsidRDefault="00000000">
                              <w:r>
                                <w:rPr>
                                  <w:rFonts w:ascii="Arial" w:eastAsia="Arial" w:hAnsi="Arial" w:cs="Arial"/>
                                  <w:sz w:val="18"/>
                                </w:rPr>
                                <w:t xml:space="preserve">decreto- legge 24 aprile 2017, n. 50, convertito, con modificazioni, dalla legge </w:t>
                              </w:r>
                            </w:p>
                          </w:txbxContent>
                        </wps:txbx>
                        <wps:bodyPr horzOverflow="overflow" vert="horz" lIns="0" tIns="0" rIns="0" bIns="0" rtlCol="0">
                          <a:noAutofit/>
                        </wps:bodyPr>
                      </wps:wsp>
                      <wps:wsp>
                        <wps:cNvPr id="200232" name="Rectangle 200232"/>
                        <wps:cNvSpPr/>
                        <wps:spPr>
                          <a:xfrm rot="-10799999">
                            <a:off x="2549708" y="3036723"/>
                            <a:ext cx="5309035" cy="142889"/>
                          </a:xfrm>
                          <a:prstGeom prst="rect">
                            <a:avLst/>
                          </a:prstGeom>
                          <a:ln>
                            <a:noFill/>
                          </a:ln>
                        </wps:spPr>
                        <wps:txbx>
                          <w:txbxContent>
                            <w:p w14:paraId="59D5775B" w14:textId="77777777" w:rsidR="00B32EF2" w:rsidRDefault="00000000">
                              <w:r>
                                <w:rPr>
                                  <w:rFonts w:ascii="Arial" w:eastAsia="Arial" w:hAnsi="Arial" w:cs="Arial"/>
                                  <w:sz w:val="18"/>
                                </w:rPr>
                                <w:t>21</w:t>
                              </w:r>
                            </w:p>
                          </w:txbxContent>
                        </wps:txbx>
                        <wps:bodyPr horzOverflow="overflow" vert="horz" lIns="0" tIns="0" rIns="0" bIns="0" rtlCol="0">
                          <a:noAutofit/>
                        </wps:bodyPr>
                      </wps:wsp>
                      <wps:wsp>
                        <wps:cNvPr id="200233" name="Rectangle 200233"/>
                        <wps:cNvSpPr/>
                        <wps:spPr>
                          <a:xfrm rot="-10799999">
                            <a:off x="-1442048" y="3036723"/>
                            <a:ext cx="5309036" cy="142889"/>
                          </a:xfrm>
                          <a:prstGeom prst="rect">
                            <a:avLst/>
                          </a:prstGeom>
                          <a:ln>
                            <a:noFill/>
                          </a:ln>
                        </wps:spPr>
                        <wps:txbx>
                          <w:txbxContent>
                            <w:p w14:paraId="4D105FB3" w14:textId="77777777" w:rsidR="00B32EF2" w:rsidRDefault="00000000">
                              <w:r>
                                <w:rPr>
                                  <w:rFonts w:ascii="Arial" w:eastAsia="Arial" w:hAnsi="Arial" w:cs="Arial"/>
                                  <w:sz w:val="18"/>
                                </w:rPr>
                                <w:t xml:space="preserve"> giugno 2017, n. 96, ai quali sia stato attribuito un punteggio di affidabilità </w:t>
                              </w:r>
                            </w:p>
                          </w:txbxContent>
                        </wps:txbx>
                        <wps:bodyPr horzOverflow="overflow" vert="horz" lIns="0" tIns="0" rIns="0" bIns="0" rtlCol="0">
                          <a:noAutofit/>
                        </wps:bodyPr>
                      </wps:wsp>
                      <wps:wsp>
                        <wps:cNvPr id="16130" name="Rectangle 16130"/>
                        <wps:cNvSpPr/>
                        <wps:spPr>
                          <a:xfrm rot="-10799999">
                            <a:off x="-1216896" y="2913393"/>
                            <a:ext cx="5204584" cy="142889"/>
                          </a:xfrm>
                          <a:prstGeom prst="rect">
                            <a:avLst/>
                          </a:prstGeom>
                          <a:ln>
                            <a:noFill/>
                          </a:ln>
                        </wps:spPr>
                        <wps:txbx>
                          <w:txbxContent>
                            <w:p w14:paraId="56705A0F" w14:textId="77777777" w:rsidR="00B32EF2" w:rsidRDefault="00000000">
                              <w:r>
                                <w:rPr>
                                  <w:rFonts w:ascii="Arial" w:eastAsia="Arial" w:hAnsi="Arial" w:cs="Arial"/>
                                  <w:sz w:val="18"/>
                                </w:rPr>
                                <w:t>pari ad almeno 9 negli ultimi tre periodi d’imposta precedenti a quello di propo</w:t>
                              </w:r>
                            </w:p>
                          </w:txbxContent>
                        </wps:txbx>
                        <wps:bodyPr horzOverflow="overflow" vert="horz" lIns="0" tIns="0" rIns="0" bIns="0" rtlCol="0">
                          <a:noAutofit/>
                        </wps:bodyPr>
                      </wps:wsp>
                      <wps:wsp>
                        <wps:cNvPr id="16131" name="Rectangle 16131"/>
                        <wps:cNvSpPr/>
                        <wps:spPr>
                          <a:xfrm rot="-10799999">
                            <a:off x="19318" y="2913392"/>
                            <a:ext cx="50622" cy="142889"/>
                          </a:xfrm>
                          <a:prstGeom prst="rect">
                            <a:avLst/>
                          </a:prstGeom>
                          <a:ln>
                            <a:noFill/>
                          </a:ln>
                        </wps:spPr>
                        <wps:txbx>
                          <w:txbxContent>
                            <w:p w14:paraId="25BE92D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132" name="Rectangle 16132"/>
                        <wps:cNvSpPr/>
                        <wps:spPr>
                          <a:xfrm rot="-10799999">
                            <a:off x="5781" y="2790063"/>
                            <a:ext cx="3986136" cy="142889"/>
                          </a:xfrm>
                          <a:prstGeom prst="rect">
                            <a:avLst/>
                          </a:prstGeom>
                          <a:ln>
                            <a:noFill/>
                          </a:ln>
                        </wps:spPr>
                        <wps:txbx>
                          <w:txbxContent>
                            <w:p w14:paraId="0EDA247E" w14:textId="77777777" w:rsidR="00B32EF2" w:rsidRDefault="00000000">
                              <w:r>
                                <w:rPr>
                                  <w:rFonts w:ascii="Arial" w:eastAsia="Arial" w:hAnsi="Arial" w:cs="Arial"/>
                                  <w:sz w:val="18"/>
                                </w:rPr>
                                <w:t>sizione del ricorso per i quali tali punteggi siano disponibili.</w:t>
                              </w:r>
                            </w:p>
                          </w:txbxContent>
                        </wps:txbx>
                        <wps:bodyPr horzOverflow="overflow" vert="horz" lIns="0" tIns="0" rIns="0" bIns="0" rtlCol="0">
                          <a:noAutofit/>
                        </wps:bodyPr>
                      </wps:wsp>
                      <wps:wsp>
                        <wps:cNvPr id="200231" name="Rectangle 200231"/>
                        <wps:cNvSpPr/>
                        <wps:spPr>
                          <a:xfrm rot="-10799999">
                            <a:off x="-1381409" y="2666733"/>
                            <a:ext cx="5309021" cy="142889"/>
                          </a:xfrm>
                          <a:prstGeom prst="rect">
                            <a:avLst/>
                          </a:prstGeom>
                          <a:ln>
                            <a:noFill/>
                          </a:ln>
                        </wps:spPr>
                        <wps:txbx>
                          <w:txbxContent>
                            <w:p w14:paraId="3737518B" w14:textId="77777777" w:rsidR="00B32EF2" w:rsidRDefault="00000000">
                              <w:r>
                                <w:rPr>
                                  <w:rFonts w:ascii="Arial" w:eastAsia="Arial" w:hAnsi="Arial" w:cs="Arial"/>
                                  <w:sz w:val="18"/>
                                </w:rPr>
                                <w:t xml:space="preserve">. Nei casi di sospensione dell’atto impugnato la trattazione della controversia </w:t>
                              </w:r>
                            </w:p>
                          </w:txbxContent>
                        </wps:txbx>
                        <wps:bodyPr horzOverflow="overflow" vert="horz" lIns="0" tIns="0" rIns="0" bIns="0" rtlCol="0">
                          <a:noAutofit/>
                        </wps:bodyPr>
                      </wps:wsp>
                      <wps:wsp>
                        <wps:cNvPr id="200230" name="Rectangle 200230"/>
                        <wps:cNvSpPr/>
                        <wps:spPr>
                          <a:xfrm rot="-10799999">
                            <a:off x="2611090" y="2666733"/>
                            <a:ext cx="5309020" cy="142889"/>
                          </a:xfrm>
                          <a:prstGeom prst="rect">
                            <a:avLst/>
                          </a:prstGeom>
                          <a:ln>
                            <a:noFill/>
                          </a:ln>
                        </wps:spPr>
                        <wps:txbx>
                          <w:txbxContent>
                            <w:p w14:paraId="165FC42D"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16134" name="Rectangle 16134"/>
                        <wps:cNvSpPr/>
                        <wps:spPr>
                          <a:xfrm rot="-10799999">
                            <a:off x="-149065" y="2543403"/>
                            <a:ext cx="4140982" cy="142889"/>
                          </a:xfrm>
                          <a:prstGeom prst="rect">
                            <a:avLst/>
                          </a:prstGeom>
                          <a:ln>
                            <a:noFill/>
                          </a:ln>
                        </wps:spPr>
                        <wps:txbx>
                          <w:txbxContent>
                            <w:p w14:paraId="561253E0" w14:textId="77777777" w:rsidR="00B32EF2" w:rsidRDefault="00000000">
                              <w:r>
                                <w:rPr>
                                  <w:rFonts w:ascii="Arial" w:eastAsia="Arial" w:hAnsi="Arial" w:cs="Arial"/>
                                  <w:sz w:val="18"/>
                                </w:rPr>
                                <w:t xml:space="preserve">deve essere fissata non oltre novanta giorni dalla pronuncia. </w:t>
                              </w:r>
                            </w:p>
                          </w:txbxContent>
                        </wps:txbx>
                        <wps:bodyPr horzOverflow="overflow" vert="horz" lIns="0" tIns="0" rIns="0" bIns="0" rtlCol="0">
                          <a:noAutofit/>
                        </wps:bodyPr>
                      </wps:wsp>
                      <wps:wsp>
                        <wps:cNvPr id="200229" name="Rectangle 200229"/>
                        <wps:cNvSpPr/>
                        <wps:spPr>
                          <a:xfrm rot="-10799999">
                            <a:off x="-1368717" y="2420073"/>
                            <a:ext cx="5305783" cy="142889"/>
                          </a:xfrm>
                          <a:prstGeom prst="rect">
                            <a:avLst/>
                          </a:prstGeom>
                          <a:ln>
                            <a:noFill/>
                          </a:ln>
                        </wps:spPr>
                        <wps:txbx>
                          <w:txbxContent>
                            <w:p w14:paraId="6675A58C" w14:textId="77777777" w:rsidR="00B32EF2" w:rsidRDefault="00000000">
                              <w:r>
                                <w:rPr>
                                  <w:rFonts w:ascii="Arial" w:eastAsia="Arial" w:hAnsi="Arial" w:cs="Arial"/>
                                  <w:sz w:val="18"/>
                                </w:rPr>
                                <w:t xml:space="preserve">. Gli effetti della sospensione cessano dalla data di pubblicazione della sentenza. </w:t>
                              </w:r>
                            </w:p>
                          </w:txbxContent>
                        </wps:txbx>
                        <wps:bodyPr horzOverflow="overflow" vert="horz" lIns="0" tIns="0" rIns="0" bIns="0" rtlCol="0">
                          <a:noAutofit/>
                        </wps:bodyPr>
                      </wps:wsp>
                      <wps:wsp>
                        <wps:cNvPr id="200228" name="Rectangle 200228"/>
                        <wps:cNvSpPr/>
                        <wps:spPr>
                          <a:xfrm rot="-10799999">
                            <a:off x="2611894" y="2420074"/>
                            <a:ext cx="5305783" cy="142889"/>
                          </a:xfrm>
                          <a:prstGeom prst="rect">
                            <a:avLst/>
                          </a:prstGeom>
                          <a:ln>
                            <a:noFill/>
                          </a:ln>
                        </wps:spPr>
                        <wps:txbx>
                          <w:txbxContent>
                            <w:p w14:paraId="691B3C05"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200227" name="Rectangle 200227"/>
                        <wps:cNvSpPr/>
                        <wps:spPr>
                          <a:xfrm rot="-10799999">
                            <a:off x="-1285273" y="2296744"/>
                            <a:ext cx="5212337" cy="142889"/>
                          </a:xfrm>
                          <a:prstGeom prst="rect">
                            <a:avLst/>
                          </a:prstGeom>
                          <a:ln>
                            <a:noFill/>
                          </a:ln>
                        </wps:spPr>
                        <wps:txbx>
                          <w:txbxContent>
                            <w:p w14:paraId="59EDAA87" w14:textId="77777777" w:rsidR="00B32EF2" w:rsidRDefault="00000000">
                              <w:r>
                                <w:rPr>
                                  <w:rFonts w:ascii="Arial" w:eastAsia="Arial" w:hAnsi="Arial" w:cs="Arial"/>
                                  <w:sz w:val="18"/>
                                </w:rPr>
                                <w:t>. In caso di mutamento delle circostanze la corte di giustizia tributaria di pri</w:t>
                              </w:r>
                            </w:p>
                          </w:txbxContent>
                        </wps:txbx>
                        <wps:bodyPr horzOverflow="overflow" vert="horz" lIns="0" tIns="0" rIns="0" bIns="0" rtlCol="0">
                          <a:noAutofit/>
                        </wps:bodyPr>
                      </wps:wsp>
                      <wps:wsp>
                        <wps:cNvPr id="200225" name="Rectangle 200225"/>
                        <wps:cNvSpPr/>
                        <wps:spPr>
                          <a:xfrm rot="-10799999">
                            <a:off x="2635080" y="2296744"/>
                            <a:ext cx="5212336" cy="142889"/>
                          </a:xfrm>
                          <a:prstGeom prst="rect">
                            <a:avLst/>
                          </a:prstGeom>
                          <a:ln>
                            <a:noFill/>
                          </a:ln>
                        </wps:spPr>
                        <wps:txbx>
                          <w:txbxContent>
                            <w:p w14:paraId="4B40FFFE" w14:textId="77777777" w:rsidR="00B32EF2" w:rsidRDefault="00000000">
                              <w:r>
                                <w:rPr>
                                  <w:rFonts w:ascii="Arial" w:eastAsia="Arial" w:hAnsi="Arial" w:cs="Arial"/>
                                  <w:sz w:val="18"/>
                                </w:rPr>
                                <w:t>8</w:t>
                              </w:r>
                            </w:p>
                          </w:txbxContent>
                        </wps:txbx>
                        <wps:bodyPr horzOverflow="overflow" vert="horz" lIns="0" tIns="0" rIns="0" bIns="0" rtlCol="0">
                          <a:noAutofit/>
                        </wps:bodyPr>
                      </wps:wsp>
                      <wps:wsp>
                        <wps:cNvPr id="16137" name="Rectangle 16137"/>
                        <wps:cNvSpPr/>
                        <wps:spPr>
                          <a:xfrm rot="-10799999">
                            <a:off x="19318" y="2296744"/>
                            <a:ext cx="50622" cy="142889"/>
                          </a:xfrm>
                          <a:prstGeom prst="rect">
                            <a:avLst/>
                          </a:prstGeom>
                          <a:ln>
                            <a:noFill/>
                          </a:ln>
                        </wps:spPr>
                        <wps:txbx>
                          <w:txbxContent>
                            <w:p w14:paraId="5E5DE5C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138" name="Rectangle 16138"/>
                        <wps:cNvSpPr/>
                        <wps:spPr>
                          <a:xfrm rot="-10799999">
                            <a:off x="-1219847" y="2173414"/>
                            <a:ext cx="5212565" cy="142889"/>
                          </a:xfrm>
                          <a:prstGeom prst="rect">
                            <a:avLst/>
                          </a:prstGeom>
                          <a:ln>
                            <a:noFill/>
                          </a:ln>
                        </wps:spPr>
                        <wps:txbx>
                          <w:txbxContent>
                            <w:p w14:paraId="2BAC611D" w14:textId="77777777" w:rsidR="00B32EF2" w:rsidRDefault="00000000">
                              <w:r>
                                <w:rPr>
                                  <w:rFonts w:ascii="Arial" w:eastAsia="Arial" w:hAnsi="Arial" w:cs="Arial"/>
                                  <w:sz w:val="18"/>
                                </w:rPr>
                                <w:t>mo o di secondo grado presso la quale è pendente il giudizio su istanza moti</w:t>
                              </w:r>
                            </w:p>
                          </w:txbxContent>
                        </wps:txbx>
                        <wps:bodyPr horzOverflow="overflow" vert="horz" lIns="0" tIns="0" rIns="0" bIns="0" rtlCol="0">
                          <a:noAutofit/>
                        </wps:bodyPr>
                      </wps:wsp>
                      <wps:wsp>
                        <wps:cNvPr id="16139" name="Rectangle 16139"/>
                        <wps:cNvSpPr/>
                        <wps:spPr>
                          <a:xfrm rot="-10799999">
                            <a:off x="19318" y="2173414"/>
                            <a:ext cx="50622" cy="142889"/>
                          </a:xfrm>
                          <a:prstGeom prst="rect">
                            <a:avLst/>
                          </a:prstGeom>
                          <a:ln>
                            <a:noFill/>
                          </a:ln>
                        </wps:spPr>
                        <wps:txbx>
                          <w:txbxContent>
                            <w:p w14:paraId="67ADAAB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140" name="Rectangle 16140"/>
                        <wps:cNvSpPr/>
                        <wps:spPr>
                          <a:xfrm rot="-10799999">
                            <a:off x="-1317072" y="2050084"/>
                            <a:ext cx="5308990" cy="142889"/>
                          </a:xfrm>
                          <a:prstGeom prst="rect">
                            <a:avLst/>
                          </a:prstGeom>
                          <a:ln>
                            <a:noFill/>
                          </a:ln>
                        </wps:spPr>
                        <wps:txbx>
                          <w:txbxContent>
                            <w:p w14:paraId="73AB3152" w14:textId="77777777" w:rsidR="00B32EF2" w:rsidRDefault="00000000">
                              <w:r>
                                <w:rPr>
                                  <w:rFonts w:ascii="Arial" w:eastAsia="Arial" w:hAnsi="Arial" w:cs="Arial"/>
                                  <w:sz w:val="18"/>
                                </w:rPr>
                                <w:t xml:space="preserve">vata di parte può revocare o modificare il provvedimento cautelare prima della </w:t>
                              </w:r>
                            </w:p>
                          </w:txbxContent>
                        </wps:txbx>
                        <wps:bodyPr horzOverflow="overflow" vert="horz" lIns="0" tIns="0" rIns="0" bIns="0" rtlCol="0">
                          <a:noAutofit/>
                        </wps:bodyPr>
                      </wps:wsp>
                      <wps:wsp>
                        <wps:cNvPr id="16141" name="Rectangle 16141"/>
                        <wps:cNvSpPr/>
                        <wps:spPr>
                          <a:xfrm rot="-10799999">
                            <a:off x="-1088056" y="1926755"/>
                            <a:ext cx="5079973" cy="142889"/>
                          </a:xfrm>
                          <a:prstGeom prst="rect">
                            <a:avLst/>
                          </a:prstGeom>
                          <a:ln>
                            <a:noFill/>
                          </a:ln>
                        </wps:spPr>
                        <wps:txbx>
                          <w:txbxContent>
                            <w:p w14:paraId="75847A66" w14:textId="77777777" w:rsidR="00B32EF2" w:rsidRDefault="00000000">
                              <w:r>
                                <w:rPr>
                                  <w:rFonts w:ascii="Arial" w:eastAsia="Arial" w:hAnsi="Arial" w:cs="Arial"/>
                                  <w:sz w:val="18"/>
                                </w:rPr>
                                <w:t xml:space="preserve">sentenza, osservate per quanto possibile le forme di cui ai commi 1, 2 e 4. </w:t>
                              </w:r>
                            </w:p>
                          </w:txbxContent>
                        </wps:txbx>
                        <wps:bodyPr horzOverflow="overflow" vert="horz" lIns="0" tIns="0" rIns="0" bIns="0" rtlCol="0">
                          <a:noAutofit/>
                        </wps:bodyPr>
                      </wps:wsp>
                      <wps:wsp>
                        <wps:cNvPr id="200223" name="Rectangle 200223"/>
                        <wps:cNvSpPr/>
                        <wps:spPr>
                          <a:xfrm rot="-10799999">
                            <a:off x="2634831" y="1803425"/>
                            <a:ext cx="5213339" cy="142889"/>
                          </a:xfrm>
                          <a:prstGeom prst="rect">
                            <a:avLst/>
                          </a:prstGeom>
                          <a:ln>
                            <a:noFill/>
                          </a:ln>
                        </wps:spPr>
                        <wps:txbx>
                          <w:txbxContent>
                            <w:p w14:paraId="40C49F3D" w14:textId="77777777" w:rsidR="00B32EF2" w:rsidRDefault="00000000">
                              <w:r>
                                <w:rPr>
                                  <w:rFonts w:ascii="Arial" w:eastAsia="Arial" w:hAnsi="Arial" w:cs="Arial"/>
                                  <w:sz w:val="18"/>
                                </w:rPr>
                                <w:t>9</w:t>
                              </w:r>
                            </w:p>
                          </w:txbxContent>
                        </wps:txbx>
                        <wps:bodyPr horzOverflow="overflow" vert="horz" lIns="0" tIns="0" rIns="0" bIns="0" rtlCol="0">
                          <a:noAutofit/>
                        </wps:bodyPr>
                      </wps:wsp>
                      <wps:wsp>
                        <wps:cNvPr id="200224" name="Rectangle 200224"/>
                        <wps:cNvSpPr/>
                        <wps:spPr>
                          <a:xfrm rot="-10799999">
                            <a:off x="-1283990" y="1803425"/>
                            <a:ext cx="5213340" cy="142889"/>
                          </a:xfrm>
                          <a:prstGeom prst="rect">
                            <a:avLst/>
                          </a:prstGeom>
                          <a:ln>
                            <a:noFill/>
                          </a:ln>
                        </wps:spPr>
                        <wps:txbx>
                          <w:txbxContent>
                            <w:p w14:paraId="58FB0042" w14:textId="77777777" w:rsidR="00B32EF2" w:rsidRDefault="00000000">
                              <w:r>
                                <w:rPr>
                                  <w:rFonts w:ascii="Arial" w:eastAsia="Arial" w:hAnsi="Arial" w:cs="Arial"/>
                                  <w:sz w:val="18"/>
                                </w:rPr>
                                <w:t>. Durante il periodo di sospensione cautelare si applicano gli interessi al tas</w:t>
                              </w:r>
                            </w:p>
                          </w:txbxContent>
                        </wps:txbx>
                        <wps:bodyPr horzOverflow="overflow" vert="horz" lIns="0" tIns="0" rIns="0" bIns="0" rtlCol="0">
                          <a:noAutofit/>
                        </wps:bodyPr>
                      </wps:wsp>
                      <wps:wsp>
                        <wps:cNvPr id="16143" name="Rectangle 16143"/>
                        <wps:cNvSpPr/>
                        <wps:spPr>
                          <a:xfrm rot="-10799999">
                            <a:off x="19318" y="1803425"/>
                            <a:ext cx="50622" cy="142889"/>
                          </a:xfrm>
                          <a:prstGeom prst="rect">
                            <a:avLst/>
                          </a:prstGeom>
                          <a:ln>
                            <a:noFill/>
                          </a:ln>
                        </wps:spPr>
                        <wps:txbx>
                          <w:txbxContent>
                            <w:p w14:paraId="01FF650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144" name="Rectangle 16144"/>
                        <wps:cNvSpPr/>
                        <wps:spPr>
                          <a:xfrm rot="-10799999">
                            <a:off x="843284" y="1680096"/>
                            <a:ext cx="3148633" cy="142889"/>
                          </a:xfrm>
                          <a:prstGeom prst="rect">
                            <a:avLst/>
                          </a:prstGeom>
                          <a:ln>
                            <a:noFill/>
                          </a:ln>
                        </wps:spPr>
                        <wps:txbx>
                          <w:txbxContent>
                            <w:p w14:paraId="745016BA" w14:textId="77777777" w:rsidR="00B32EF2" w:rsidRDefault="00000000">
                              <w:r>
                                <w:rPr>
                                  <w:rFonts w:ascii="Arial" w:eastAsia="Arial" w:hAnsi="Arial" w:cs="Arial"/>
                                  <w:sz w:val="18"/>
                                </w:rPr>
                                <w:t>so previsto per la sospensione amministrativa.</w:t>
                              </w:r>
                            </w:p>
                          </w:txbxContent>
                        </wps:txbx>
                        <wps:bodyPr horzOverflow="overflow" vert="horz" lIns="0" tIns="0" rIns="0" bIns="0" rtlCol="0">
                          <a:noAutofit/>
                        </wps:bodyPr>
                      </wps:wsp>
                      <wps:wsp>
                        <wps:cNvPr id="16145" name="Rectangle 16145"/>
                        <wps:cNvSpPr/>
                        <wps:spPr>
                          <a:xfrm rot="-10799999">
                            <a:off x="1509039" y="1063333"/>
                            <a:ext cx="805868" cy="142889"/>
                          </a:xfrm>
                          <a:prstGeom prst="rect">
                            <a:avLst/>
                          </a:prstGeom>
                          <a:ln>
                            <a:noFill/>
                          </a:ln>
                        </wps:spPr>
                        <wps:txbx>
                          <w:txbxContent>
                            <w:p w14:paraId="680E9D29" w14:textId="77777777" w:rsidR="00B32EF2" w:rsidRDefault="00000000">
                              <w:r>
                                <w:rPr>
                                  <w:rFonts w:ascii="Arial" w:eastAsia="Arial" w:hAnsi="Arial" w:cs="Arial"/>
                                  <w:b/>
                                  <w:sz w:val="18"/>
                                </w:rPr>
                                <w:t>Articolo 97</w:t>
                              </w:r>
                            </w:p>
                          </w:txbxContent>
                        </wps:txbx>
                        <wps:bodyPr horzOverflow="overflow" vert="horz" lIns="0" tIns="0" rIns="0" bIns="0" rtlCol="0">
                          <a:noAutofit/>
                        </wps:bodyPr>
                      </wps:wsp>
                      <wps:wsp>
                        <wps:cNvPr id="200222" name="Rectangle 200222"/>
                        <wps:cNvSpPr/>
                        <wps:spPr>
                          <a:xfrm rot="-10799999">
                            <a:off x="1012000" y="940003"/>
                            <a:ext cx="2184331" cy="142889"/>
                          </a:xfrm>
                          <a:prstGeom prst="rect">
                            <a:avLst/>
                          </a:prstGeom>
                          <a:ln>
                            <a:noFill/>
                          </a:ln>
                        </wps:spPr>
                        <wps:txbx>
                          <w:txbxContent>
                            <w:p w14:paraId="63FD1F44" w14:textId="77777777" w:rsidR="00B32EF2" w:rsidRDefault="00000000">
                              <w:r>
                                <w:rPr>
                                  <w:rFonts w:ascii="Arial" w:eastAsia="Arial" w:hAnsi="Arial" w:cs="Arial"/>
                                  <w:i/>
                                  <w:sz w:val="18"/>
                                </w:rPr>
                                <w:t xml:space="preserve">articolo 47-bis D.lgs. n. </w:t>
                              </w:r>
                            </w:p>
                          </w:txbxContent>
                        </wps:txbx>
                        <wps:bodyPr horzOverflow="overflow" vert="horz" lIns="0" tIns="0" rIns="0" bIns="0" rtlCol="0">
                          <a:noAutofit/>
                        </wps:bodyPr>
                      </wps:wsp>
                      <wps:wsp>
                        <wps:cNvPr id="200220" name="Rectangle 200220"/>
                        <wps:cNvSpPr/>
                        <wps:spPr>
                          <a:xfrm rot="-10799999">
                            <a:off x="-595194" y="940003"/>
                            <a:ext cx="2184331" cy="142889"/>
                          </a:xfrm>
                          <a:prstGeom prst="rect">
                            <a:avLst/>
                          </a:prstGeom>
                          <a:ln>
                            <a:noFill/>
                          </a:ln>
                        </wps:spPr>
                        <wps:txbx>
                          <w:txbxContent>
                            <w:p w14:paraId="65F7C17A"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219" name="Rectangle 200219"/>
                        <wps:cNvSpPr/>
                        <wps:spPr>
                          <a:xfrm rot="-10799999">
                            <a:off x="2253104" y="940003"/>
                            <a:ext cx="2184331" cy="142889"/>
                          </a:xfrm>
                          <a:prstGeom prst="rect">
                            <a:avLst/>
                          </a:prstGeom>
                          <a:ln>
                            <a:noFill/>
                          </a:ln>
                        </wps:spPr>
                        <wps:txbx>
                          <w:txbxContent>
                            <w:p w14:paraId="10BED38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147" name="Rectangle 16147"/>
                        <wps:cNvSpPr/>
                        <wps:spPr>
                          <a:xfrm rot="-10799999">
                            <a:off x="-1271256" y="816673"/>
                            <a:ext cx="5235626" cy="142889"/>
                          </a:xfrm>
                          <a:prstGeom prst="rect">
                            <a:avLst/>
                          </a:prstGeom>
                          <a:ln>
                            <a:noFill/>
                          </a:ln>
                        </wps:spPr>
                        <wps:txbx>
                          <w:txbxContent>
                            <w:p w14:paraId="29768613" w14:textId="77777777" w:rsidR="00B32EF2" w:rsidRDefault="00000000">
                              <w:r>
                                <w:rPr>
                                  <w:rFonts w:ascii="Arial" w:eastAsia="Arial" w:hAnsi="Arial" w:cs="Arial"/>
                                  <w:b/>
                                  <w:sz w:val="18"/>
                                </w:rPr>
                                <w:t xml:space="preserve">Sospensione di atti volti al recupero di aiuti di Stato e definizione delle </w:t>
                              </w:r>
                            </w:p>
                          </w:txbxContent>
                        </wps:txbx>
                        <wps:bodyPr horzOverflow="overflow" vert="horz" lIns="0" tIns="0" rIns="0" bIns="0" rtlCol="0">
                          <a:noAutofit/>
                        </wps:bodyPr>
                      </wps:wsp>
                      <wps:wsp>
                        <wps:cNvPr id="16148" name="Rectangle 16148"/>
                        <wps:cNvSpPr/>
                        <wps:spPr>
                          <a:xfrm rot="-10799999">
                            <a:off x="1023610" y="693344"/>
                            <a:ext cx="1558302" cy="142889"/>
                          </a:xfrm>
                          <a:prstGeom prst="rect">
                            <a:avLst/>
                          </a:prstGeom>
                          <a:ln>
                            <a:noFill/>
                          </a:ln>
                        </wps:spPr>
                        <wps:txbx>
                          <w:txbxContent>
                            <w:p w14:paraId="4BDBFAFD" w14:textId="77777777" w:rsidR="00B32EF2" w:rsidRDefault="00000000">
                              <w:r>
                                <w:rPr>
                                  <w:rFonts w:ascii="Arial" w:eastAsia="Arial" w:hAnsi="Arial" w:cs="Arial"/>
                                  <w:b/>
                                  <w:sz w:val="18"/>
                                </w:rPr>
                                <w:t xml:space="preserve">relative controversie </w:t>
                              </w:r>
                            </w:p>
                          </w:txbxContent>
                        </wps:txbx>
                        <wps:bodyPr horzOverflow="overflow" vert="horz" lIns="0" tIns="0" rIns="0" bIns="0" rtlCol="0">
                          <a:noAutofit/>
                        </wps:bodyPr>
                      </wps:wsp>
                      <wps:wsp>
                        <wps:cNvPr id="200218" name="Rectangle 200218"/>
                        <wps:cNvSpPr/>
                        <wps:spPr>
                          <a:xfrm rot="-10799999">
                            <a:off x="-1376257" y="570014"/>
                            <a:ext cx="5308990" cy="142889"/>
                          </a:xfrm>
                          <a:prstGeom prst="rect">
                            <a:avLst/>
                          </a:prstGeom>
                          <a:ln>
                            <a:noFill/>
                          </a:ln>
                        </wps:spPr>
                        <wps:txbx>
                          <w:txbxContent>
                            <w:p w14:paraId="05D815C4" w14:textId="77777777" w:rsidR="00B32EF2" w:rsidRDefault="00000000">
                              <w:r>
                                <w:rPr>
                                  <w:rFonts w:ascii="Arial" w:eastAsia="Arial" w:hAnsi="Arial" w:cs="Arial"/>
                                  <w:sz w:val="18"/>
                                </w:rPr>
                                <w:t xml:space="preserve">. Qualora sia chiesta in via cautelare la sospensione dell’esecuzione di un </w:t>
                              </w:r>
                            </w:p>
                          </w:txbxContent>
                        </wps:txbx>
                        <wps:bodyPr horzOverflow="overflow" vert="horz" lIns="0" tIns="0" rIns="0" bIns="0" rtlCol="0">
                          <a:noAutofit/>
                        </wps:bodyPr>
                      </wps:wsp>
                      <wps:wsp>
                        <wps:cNvPr id="200217" name="Rectangle 200217"/>
                        <wps:cNvSpPr/>
                        <wps:spPr>
                          <a:xfrm rot="-10799999">
                            <a:off x="2611097" y="570014"/>
                            <a:ext cx="5308989" cy="142889"/>
                          </a:xfrm>
                          <a:prstGeom prst="rect">
                            <a:avLst/>
                          </a:prstGeom>
                          <a:ln>
                            <a:noFill/>
                          </a:ln>
                        </wps:spPr>
                        <wps:txbx>
                          <w:txbxContent>
                            <w:p w14:paraId="026A1EB2"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6150" name="Rectangle 16150"/>
                        <wps:cNvSpPr/>
                        <wps:spPr>
                          <a:xfrm rot="-10799999">
                            <a:off x="-1317119" y="446684"/>
                            <a:ext cx="5309036" cy="142889"/>
                          </a:xfrm>
                          <a:prstGeom prst="rect">
                            <a:avLst/>
                          </a:prstGeom>
                          <a:ln>
                            <a:noFill/>
                          </a:ln>
                        </wps:spPr>
                        <wps:txbx>
                          <w:txbxContent>
                            <w:p w14:paraId="7045A2AE" w14:textId="77777777" w:rsidR="00B32EF2" w:rsidRDefault="00000000">
                              <w:r>
                                <w:rPr>
                                  <w:rFonts w:ascii="Arial" w:eastAsia="Arial" w:hAnsi="Arial" w:cs="Arial"/>
                                  <w:sz w:val="18"/>
                                </w:rPr>
                                <w:t xml:space="preserve">atto volto al recupero di aiuti di Stato dichiarati incompatibili in esecuzione di </w:t>
                              </w:r>
                            </w:p>
                          </w:txbxContent>
                        </wps:txbx>
                        <wps:bodyPr horzOverflow="overflow" vert="horz" lIns="0" tIns="0" rIns="0" bIns="0" rtlCol="0">
                          <a:noAutofit/>
                        </wps:bodyPr>
                      </wps:wsp>
                      <wps:wsp>
                        <wps:cNvPr id="207806" name="Shape 207806"/>
                        <wps:cNvSpPr/>
                        <wps:spPr>
                          <a:xfrm>
                            <a:off x="31916" y="1304803"/>
                            <a:ext cx="3960000" cy="383299"/>
                          </a:xfrm>
                          <a:custGeom>
                            <a:avLst/>
                            <a:gdLst/>
                            <a:ahLst/>
                            <a:cxnLst/>
                            <a:rect l="0" t="0" r="0" b="0"/>
                            <a:pathLst>
                              <a:path w="3960000" h="383299">
                                <a:moveTo>
                                  <a:pt x="0" y="0"/>
                                </a:moveTo>
                                <a:lnTo>
                                  <a:pt x="3960000" y="0"/>
                                </a:lnTo>
                                <a:lnTo>
                                  <a:pt x="3960000" y="383299"/>
                                </a:lnTo>
                                <a:lnTo>
                                  <a:pt x="0" y="383299"/>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6152" name="Rectangle 16152"/>
                        <wps:cNvSpPr/>
                        <wps:spPr>
                          <a:xfrm rot="-10799999">
                            <a:off x="2328900" y="1466864"/>
                            <a:ext cx="1585695" cy="142889"/>
                          </a:xfrm>
                          <a:prstGeom prst="rect">
                            <a:avLst/>
                          </a:prstGeom>
                          <a:ln>
                            <a:noFill/>
                          </a:ln>
                        </wps:spPr>
                        <wps:txbx>
                          <w:txbxContent>
                            <w:p w14:paraId="31A635D8"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6153" name="Rectangle 16153"/>
                        <wps:cNvSpPr/>
                        <wps:spPr>
                          <a:xfrm rot="-10799999">
                            <a:off x="-122629" y="1343534"/>
                            <a:ext cx="4036196" cy="142889"/>
                          </a:xfrm>
                          <a:prstGeom prst="rect">
                            <a:avLst/>
                          </a:prstGeom>
                          <a:ln>
                            <a:noFill/>
                          </a:ln>
                        </wps:spPr>
                        <wps:txbx>
                          <w:txbxContent>
                            <w:p w14:paraId="6D87B115" w14:textId="77777777" w:rsidR="00B32EF2" w:rsidRDefault="00000000">
                              <w:r>
                                <w:rPr>
                                  <w:rFonts w:ascii="Arial" w:eastAsia="Arial" w:hAnsi="Arial" w:cs="Arial"/>
                                  <w:i/>
                                  <w:sz w:val="18"/>
                                </w:rPr>
                                <w:t>art. 9-bis D.L. 50/2017 “Indici sintetici di affidabilità fiscale”.</w:t>
                              </w:r>
                            </w:p>
                          </w:txbxContent>
                        </wps:txbx>
                        <wps:bodyPr horzOverflow="overflow" vert="horz" lIns="0" tIns="0" rIns="0" bIns="0" rtlCol="0">
                          <a:noAutofit/>
                        </wps:bodyPr>
                      </wps:wsp>
                      <wps:wsp>
                        <wps:cNvPr id="16154" name="Shape 16154"/>
                        <wps:cNvSpPr/>
                        <wps:spPr>
                          <a:xfrm>
                            <a:off x="31915" y="1304806"/>
                            <a:ext cx="3960000" cy="383299"/>
                          </a:xfrm>
                          <a:custGeom>
                            <a:avLst/>
                            <a:gdLst/>
                            <a:ahLst/>
                            <a:cxnLst/>
                            <a:rect l="0" t="0" r="0" b="0"/>
                            <a:pathLst>
                              <a:path w="3960000" h="383299">
                                <a:moveTo>
                                  <a:pt x="0" y="383299"/>
                                </a:moveTo>
                                <a:lnTo>
                                  <a:pt x="3960000" y="383299"/>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F2F5039" id="Group 200285" o:spid="_x0000_s2388" style="width:314.3pt;height:493.15pt;mso-position-horizontal-relative:char;mso-position-vertical-relative:line" coordsize="39919,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m7wsAAGGGAAAOAAAAZHJzL2Uyb0RvYy54bWzkXdmO2zgWfR9g/sHwe6W4SJRkpNJoJNPB&#10;AIPpRnfPBygueQFky5CVVGW+fs4lKcqWmQUSUMw0E6DKRWvl4d3OvSRf//R8qBefqva8b44PS/6K&#10;LRfVcd087o/bh+V//vzlLl8uzl15fCzr5lg9LD9X5+VPb/7+t9dPp1Ulml1TP1btAhc5nldPp4fl&#10;rutOq/v783pXHcrzq+ZUHfHlpmkPZYc/2+39Y1s+4eqH+l4wpu6fmvbx1Dbr6nxG6zvz5fKNvv5m&#10;U627Xzebc9Ut6oclnq3TP1v98wP9vH/zulxt2/K026/tY5QTnuJQ7o+4qbvUu7IrFx/b/c2lDvt1&#10;25ybTfdq3Rzum81mv670O+BtOBu9zfu2+XjS77JdPW1PrpvQtaN+mnzZ9b8/vW9Pf5x+a9ETT6ct&#10;+kL/Re/yvGkP9BtPuXjWXfbZdVn13C3WaJRFwQuulos1vlNCiTxNTKeud+j5m/PWu39848z7/sb3&#10;V4/zdMIAOQ99cJ7XB3/sylOlu/a8Qh/81i72jxi/ihXFcnEsDxiqv2PwlMdtXS1Ms+4gfbTrrvPq&#10;jJ7r+2rRNhhfd5xlBf3T48H2HS8wVplYLtBLd0rgT9NJfTfyLJcKd6ZeFClTiaLvXVeUq1N77t5X&#10;zWFBHx6WLZ5NX7/89K9zZw7tD6HHqY/089j8sq9r8y21oEf7J6ZP3fOHZ/PakmnQqPFD8/gZvbFr&#10;2v/+Crne1M3Tw7Kxn5Yk6rg9fbtc1P88AgWSqv5D23/40H9ou/pto2XPPNDPH7tms9dPPNzNPhng&#10;pTH4Ijhzhue+xZma5+B8xyXPOJMaaMV5USgrDj3SqWQFE7g5Qc0TkZuh8IJQp/0bRgM190PN+46A&#10;Apgg0qxIWWZEOgXOSo6QBrQqT5KASGslMojZX1yo4Q4ICXdjLNW2fY5YC4gyy1It1WmeScm0EJWr&#10;K6nOMRh6qc6LF1bgWT+Yo5BqwjTxaHDbPgdrqPCcqzz7kcHOowKbK21Rx3JtmmdCzbMkM9Y6zZKi&#10;yLTKvJRrzhJuHTOy1i8u11qPRKPDCVNYTB/UzkOdZK2LJJcWZ0Qp1r8ecJZ5kbH8wla/NM7c+Z3R&#10;6G+JqHEMtLbVzm2ZhLS21TmuDf86TZmUiE6hJAastQdONw9lq7lzPOPBGubUi7VzWyZhTbaaiRRO&#10;39fBhucWDGwRna32yDXp9XlirSNr1kMtQbHARRvLNbR4SKhldFB7xJqgni3VIFEQTmupFqlS6S3U&#10;BUsR1geTaueNRKHCCVNPZG2aZ3vgjFw+UuBcSik8UCdFwMiax8eXeSlwzlwoMtVW84z1wRYD0V7o&#10;MPbKMcsL0KHhpNqZqFikGmHHjV8GqR6ikelQ60AOUp3kuVLqFmqw4CEVuDNR0UDtZ8GHYGQi1EKw&#10;HLQJKfAkU9DgY6gFF1mB2DuYrY6OLeMwl+Noi6TahSKToOaF5CbS8uPMlAhppp11ikagIVM+lF0U&#10;MgnlO47sNA0VLdAqYbDUozhLwD6IgJwosqfW54wGaj8nyl0UMgnqC4HWOI8Vd1iBhncQG8rgLnwC&#10;7QKQSSjbkgQTYiUpVyobC7QuSQjojMFuxAa1nyMzVDVle6ZD3XNkiSykTG6hDsuRCWedotHdfo6M&#10;uwBkItSC56kyJQmJyBhDlhJCdBFNC0RgIUsShLNO0UDt58jgNVv1NgnqCzPtxTmwmXbWKRqU/fSY&#10;kb95upvDNGu/mydKjWtEdd6ygDYJFUiL6OgxqtP0eGRDADJJoMkjU4VNZSUoWpNqVA5MUCdJSKid&#10;dYpFqomM9EHtopBpUKsC9JcpPJGoAWdyhHSCElFGlWzBhNoZpyiQ1gUmnjjLts+x01SMwFOki0iD&#10;yyxTGdOD58Ilo0ArZOUJWJuYAi0Nqoc6se1zwDZVRtDQX8cagyGUYBtNE1PlIOlZnwp3Iec0FU5T&#10;OhjqATXUKpUy84k1ylvCQe2MVBQ6HKkMxJZeqF3IORFqJLMSW3gi4YSh9vcmqBYyZOGJjI4qEx5r&#10;TSPAxZ2ToB6Caj/OYYNqlCrHZKcJTj8hOoSck1C+4r5lwlRmcqAjlyxkIYKZNRaVmfYToqbwayZ/&#10;YhPUUqDaH9wnhGgEtQzpkTmVFY2Z9hOiwsWc06U6tfwJqBTG0huoOYNSCeiRxUWV6YDKU3Ri22cF&#10;WmlCU3OM943gOTMZpB9JrOPiyjSmnkjLts/B+o4nCRzwb4IdMtRyqisWHQ4ewRdqDfTCRB0uMMm2&#10;AJIgUESBym+UCF6ba4yENOSUPBkXWQZ7Kf0cOJrnSPUQahmcx7Y6bKgF7t2+XDQC7THUBL5jFiYJ&#10;dJrlGD0kzBmtdTMSZlnkuENAvW2InGjCLG2MPdJs2+eIs05zJCgK1WCjtB/LYYw0d+h6ssQN5Shk&#10;WoPqsdK2fQ7YOs1BU3JIsL+MdcD8ZRIdVUb8tCfNMRBJk/Q3fO+C2XoykYIExyJWGDlDnJVwCH3I&#10;ejIspRSTpSbppSr7MdS2fY5UQ4VjgRtUIGqxRshF0/KuwEbuAwYdUV6o7GUSF1emQfWQZbZ9Dtik&#10;wvPClH8LjbWWo0Gww2MdH1kGstsv2I5LmqjEsf6msHNsoT1UZpTmBdhUjiRx92CC7d4wGt/Ml8HU&#10;gu103CSwhZIpy61v9mWsQwZd8ZFlHrmm2NoN+klIXzAoXpwDMyjx8WQeS00ou+E+CWU98zKnql8K&#10;tngm4XGPvDIobz3nI5TyTuMjyzweOEHtxvwkqC8E2otzWIFGfVNMgRbg9C0laprneN66+qRfIliw&#10;lNEKg+MwK+yKJyZxHg0tSph6WFHTPA9qlucsNeksXgiVpdq5u3C8aVV48syD6e64iDLtYH8hTT1M&#10;Qp2kveF4YzVRk+3gOZOJqUW8wFrQSlawHMGwjpAq87Ciegy4rpiENZyyHHtcmCjry2CHnMFjNE1U&#10;Otwj16TDnYabBPXglPlxDuyUxUWSEZweiTbNcyx1nqA41LChKEDB4ja6XwfdLXmSYxWrgLrbcQVR&#10;EGSEqL/Cf0gBTBPnlCbbmTQ1Fp+FQR7lOOCv5ViXLpyRdnRBFEBrY+wpPbHtc2Qaxb64irHRBa1Y&#10;NUIaS2UkWAc8INSOLogHasDhTV06CmmSVN+lRcptNuuHhNpM5Y/GGyPppf0xfFDPXBFDiFT2i4j+&#10;mFDHx5P50xvgrOeob8RYmJdlyRPsvYOKshFNhjmX2LUjnP5WcRWUkU/mT3GgeQ7SWDdSYilxneFQ&#10;tDzZiA/lmNUjaZvEUMSJqVuNS3t7kNZafR7UIL8zJbBwP2WzUlqfbIQ1yk7Cct9mZ8a4sPbob431&#10;PAVuqkS/ATWtoBBMrF2lRRT+N/Q3MrU3PplpnqO/dUYLu5pqoU6wRpknoRV2hRsVF00mWJbTyiPG&#10;/dabGi9s2zdxpuJeuz2xNHs4Q1NzbAWMlMa1/yULzLGl+JrkV+ZSYHNjXP5iz9r1R7M9MV2z35IY&#10;m2E/ms2J0bbrP62fj/1H2sT4q/tyn8qOzqOL0scFdiJ2j7JzT0JfH7BD8Z+NPrAb7TmNpxy+rY+X&#10;R7mL4bV0WIpj+yP63yd9vcsjrzqgP6z/bQ43Hs53H3h9bzwEva3uX9cDaLzs4/pInUGIlNg0fVOX&#10;Zjfow77Dbur1/gAgaa3I4cI3mz+fu891RR1WH3+vNtgGWu/wTQ3ndvvhbd0uPpW0b7P+Z7aark+7&#10;0rZa+O2h+lH1dej8Dfacdpfk+tSrS76V9N9ewR5M51V6u3Z3JjNnru3TmD3bsfM5XrrfuR2d4k7S&#10;d26OnTv/iP3m9U3Iwtu3HYw9DV/660X3nEa23auUXXQxiRIRILQx5UrrZFo3Mh9vOc1TrBRbBFz4&#10;QDn3Ihrz689QpXrY07ibhDQCZaFoToBW1AlWrhn51Ji0oThNqg3maLmgIRqkXZbKWF9ysr4j5Uzq&#10;6sL4Qjid8R0npP5Pje+V9fseC3x1Qm9P+9+3ZniwbcakXx9p1OH4mHXdnCvjuXynidVm9Gtm1thH&#10;c836+F1m1mMTrZntLwMjdmNJrT2cZpx/CDMLg7tdPW1P2l3YtuVpt1+/K7vy8m/dgatKNLumfqza&#10;N/8DAAD//wMAUEsDBBQABgAIAAAAIQAYDQZs3QAAAAUBAAAPAAAAZHJzL2Rvd25yZXYueG1sTI9B&#10;S8NAEIXvgv9hGcGb3aTFENNsSinqqQi2gvQ2zU6T0OxsyG6T9N+7eqmXgcd7vPdNvppMKwbqXWNZ&#10;QTyLQBCXVjdcKfjavz2lIJxH1thaJgVXcrAq7u9yzLQd+ZOGna9EKGGXoYLa+y6T0pU1GXQz2xEH&#10;72R7gz7IvpK6xzGUm1bOoyiRBhsOCzV2tKmpPO8uRsH7iON6Eb8O2/Npcz3snz++tzEp9fgwrZcg&#10;PE3+FoZf/IAORWA62gtrJ1oF4RH/d4OXzNMExFHBS5osQBa5/E9f/AAAAP//AwBQSwECLQAUAAYA&#10;CAAAACEAtoM4kv4AAADhAQAAEwAAAAAAAAAAAAAAAAAAAAAAW0NvbnRlbnRfVHlwZXNdLnhtbFBL&#10;AQItABQABgAIAAAAIQA4/SH/1gAAAJQBAAALAAAAAAAAAAAAAAAAAC8BAABfcmVscy8ucmVsc1BL&#10;AQItABQABgAIAAAAIQB0+vhm7wsAAGGGAAAOAAAAAAAAAAAAAAAAAC4CAABkcnMvZTJvRG9jLnht&#10;bFBLAQItABQABgAIAAAAIQAYDQZs3QAAAAUBAAAPAAAAAAAAAAAAAAAAAEkOAABkcnMvZG93bnJl&#10;di54bWxQSwUGAAAAAAQABADzAAAAUw8AAAAA&#10;">
                <v:rect id="Rectangle 16099" o:spid="_x0000_s2389" style="position:absolute;left:19006;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zzkwwAAAN4AAAAPAAAAZHJzL2Rvd25yZXYueG1sRE9Ni8Iw&#10;EL0L+x/CLOxN0/UgWo0iLmIPXnQVPA7N2FabSWii7frrjSDsbR7vc2aLztTiTo2vLCv4HiQgiHOr&#10;Ky4UHH7X/TEIH5A11pZJwR95WMw/ejNMtW15R/d9KEQMYZ+igjIEl0rp85IM+oF1xJE728ZgiLAp&#10;pG6wjeGmlsMkGUmDFceGEh2tSsqv+5tRcPphl61bmZ8fK7e9ZON6czsclfr67JZTEIG68C9+uzMd&#10;54+SyQRe78Qb5PwJAAD//wMAUEsBAi0AFAAGAAgAAAAhANvh9svuAAAAhQEAABMAAAAAAAAAAAAA&#10;AAAAAAAAAFtDb250ZW50X1R5cGVzXS54bWxQSwECLQAUAAYACAAAACEAWvQsW78AAAAVAQAACwAA&#10;AAAAAAAAAAAAAAAfAQAAX3JlbHMvLnJlbHNQSwECLQAUAAYACAAAACEALus85MMAAADeAAAADwAA&#10;AAAAAAAAAAAAAAAHAgAAZHJzL2Rvd25yZXYueG1sUEsFBgAAAAADAAMAtwAAAPcCAAAAAA==&#10;" filled="f" stroked="f">
                  <v:textbox inset="0,0,0,0">
                    <w:txbxContent>
                      <w:p w14:paraId="7CCF4E03" w14:textId="77777777" w:rsidR="00B32EF2" w:rsidRDefault="00000000">
                        <w:r>
                          <w:rPr>
                            <w:rFonts w:ascii="Times New Roman" w:eastAsia="Times New Roman" w:hAnsi="Times New Roman" w:cs="Times New Roman"/>
                          </w:rPr>
                          <w:t>85</w:t>
                        </w:r>
                      </w:p>
                    </w:txbxContent>
                  </v:textbox>
                </v:rect>
                <v:rect id="Rectangle 16100" o:spid="_x0000_s2390" style="position:absolute;left:-13171;top:611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9jxgAAAN4AAAAPAAAAZHJzL2Rvd25yZXYueG1sRI9Bb8Iw&#10;DIXvk/gPkZG4jZQdECoEhECIHnYZY9KOVmPaQuNETaBlv34+TNrNlp/fe99qM7hWPaiLjWcDs2kG&#10;irj0tuHKwPnz8LoAFROyxdYzGXhShM169LLC3PqeP+hxSpUSE445GqhTCrnWsazJYZz6QCy3i+8c&#10;Jlm7StsOezF3rX7Lsrl22LAk1BhoV1N5O92dge89h+LQ6/Lyswvv12LRHu/nL2Mm42G7BJVoSP/i&#10;v+/CSv35LBMAwZEZ9PoXAAD//wMAUEsBAi0AFAAGAAgAAAAhANvh9svuAAAAhQEAABMAAAAAAAAA&#10;AAAAAAAAAAAAAFtDb250ZW50X1R5cGVzXS54bWxQSwECLQAUAAYACAAAACEAWvQsW78AAAAVAQAA&#10;CwAAAAAAAAAAAAAAAAAfAQAAX3JlbHMvLnJlbHNQSwECLQAUAAYACAAAACEAIToPY8YAAADeAAAA&#10;DwAAAAAAAAAAAAAAAAAHAgAAZHJzL2Rvd25yZXYueG1sUEsFBgAAAAADAAMAtwAAAPoCAAAAAA==&#10;" filled="f" stroked="f">
                  <v:textbox inset="0,0,0,0">
                    <w:txbxContent>
                      <w:p w14:paraId="2D6C7CB7" w14:textId="77777777" w:rsidR="00B32EF2" w:rsidRDefault="00000000">
                        <w:r>
                          <w:rPr>
                            <w:rFonts w:ascii="Arial" w:eastAsia="Arial" w:hAnsi="Arial" w:cs="Arial"/>
                            <w:sz w:val="18"/>
                          </w:rPr>
                          <w:t xml:space="preserve">ne dell’istanza di sospensione non può, in ogni caso, coincidere con l’udienza </w:t>
                        </w:r>
                      </w:p>
                    </w:txbxContent>
                  </v:textbox>
                </v:rect>
                <v:rect id="Rectangle 16101" o:spid="_x0000_s2391" style="position:absolute;left:10950;top:59966;width:289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r4wwAAAN4AAAAPAAAAZHJzL2Rvd25yZXYueG1sRE9Li8Iw&#10;EL4v+B/CCN7WtB5EqlFEEXvwsj7A49CMbbWZhCba7v76zcKCt/n4nrNY9aYRL2p9bVlBOk5AEBdW&#10;11wqOJ92nzMQPiBrbCyTgm/ysFoOPhaYadvxF72OoRQxhH2GCqoQXCalLyoy6MfWEUfuZluDIcK2&#10;lLrFLoabRk6SZCoN1hwbKnS0qah4HJ9GwXXLLt91srj9bNzhns+a/fN8UWo07NdzEIH68Bb/u3Md&#10;50/TJIW/d+INcvkLAAD//wMAUEsBAi0AFAAGAAgAAAAhANvh9svuAAAAhQEAABMAAAAAAAAAAAAA&#10;AAAAAAAAAFtDb250ZW50X1R5cGVzXS54bWxQSwECLQAUAAYACAAAACEAWvQsW78AAAAVAQAACwAA&#10;AAAAAAAAAAAAAAAfAQAAX3JlbHMvLnJlbHNQSwECLQAUAAYACAAAACEATnaq+MMAAADeAAAADwAA&#10;AAAAAAAAAAAAAAAHAgAAZHJzL2Rvd25yZXYueG1sUEsFBgAAAAADAAMAtwAAAPcCAAAAAA==&#10;" filled="f" stroked="f">
                  <v:textbox inset="0,0,0,0">
                    <w:txbxContent>
                      <w:p w14:paraId="37E39074" w14:textId="77777777" w:rsidR="00B32EF2" w:rsidRDefault="00000000">
                        <w:r>
                          <w:rPr>
                            <w:rFonts w:ascii="Arial" w:eastAsia="Arial" w:hAnsi="Arial" w:cs="Arial"/>
                            <w:sz w:val="18"/>
                          </w:rPr>
                          <w:t>di trattazione del merito della controversia.</w:t>
                        </w:r>
                      </w:p>
                    </w:txbxContent>
                  </v:textbox>
                </v:rect>
                <v:rect id="Rectangle 200238" o:spid="_x0000_s2392" style="position:absolute;left:26110;top:58733;width:5309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GktxwAAAN8AAAAPAAAAZHJzL2Rvd25yZXYueG1sRI9Na8JA&#10;EIbvhf6HZQq91U0tiKSuIhZpDl78KPQ4ZMckNTu7ZFeT+uudg+BxeOd9Zp7ZYnCtulAXG88G3kcZ&#10;KOLS24YrA4f9+m0KKiZki61nMvBPERbz56cZ5tb3vKXLLlVKIBxzNFCnFHKtY1mTwzjygViyo+8c&#10;Jhm7StsOe4G7Vo+zbKIdNiwXagy0qqk87c7OwO8Xh2Ld6/J4XYXNXzFtv8+HH2NeX4blJ6hEQ3os&#10;39uFNSDE8Yc8LD7iAnp+AwAA//8DAFBLAQItABQABgAIAAAAIQDb4fbL7gAAAIUBAAATAAAAAAAA&#10;AAAAAAAAAAAAAABbQ29udGVudF9UeXBlc10ueG1sUEsBAi0AFAAGAAgAAAAhAFr0LFu/AAAAFQEA&#10;AAsAAAAAAAAAAAAAAAAAHwEAAF9yZWxzLy5yZWxzUEsBAi0AFAAGAAgAAAAhAMKwaS3HAAAA3wAA&#10;AA8AAAAAAAAAAAAAAAAABwIAAGRycy9kb3ducmV2LnhtbFBLBQYAAAAAAwADALcAAAD7AgAAAAA=&#10;" filled="f" stroked="f">
                  <v:textbox inset="0,0,0,0">
                    <w:txbxContent>
                      <w:p w14:paraId="459B45F7" w14:textId="77777777" w:rsidR="00B32EF2" w:rsidRDefault="00000000">
                        <w:r>
                          <w:rPr>
                            <w:rFonts w:ascii="Arial" w:eastAsia="Arial" w:hAnsi="Arial" w:cs="Arial"/>
                            <w:sz w:val="18"/>
                          </w:rPr>
                          <w:t>3</w:t>
                        </w:r>
                      </w:p>
                    </w:txbxContent>
                  </v:textbox>
                </v:rect>
                <v:rect id="Rectangle 200240" o:spid="_x0000_s2393" style="position:absolute;left:-13816;top:58733;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BZWxwAAAN8AAAAPAAAAZHJzL2Rvd25yZXYueG1sRI9Na8JA&#10;EIbvhf6HZQq91U2liKSuIhZpDl78KPQ4ZMckNTu7ZFeT+uudg+BxeOd9Xp7ZYnCtulAXG88G3kcZ&#10;KOLS24YrA4f9+m0KKiZki61nMvBPERbz56cZ5tb3vKXLLlVKIBxzNFCnFHKtY1mTwzjygViyo+8c&#10;Jjm7StsOe4G7Vo+zbKIdNiwLNQZa1VSedmdn4PeLQ7HudXm8rsLmr5i23+fDjzGvL8PyE1SiIT2e&#10;7+3CGhDi+EMMxEdcQM9vAAAA//8DAFBLAQItABQABgAIAAAAIQDb4fbL7gAAAIUBAAATAAAAAAAA&#10;AAAAAAAAAAAAAABbQ29udGVudF9UeXBlc10ueG1sUEsBAi0AFAAGAAgAAAAhAFr0LFu/AAAAFQEA&#10;AAsAAAAAAAAAAAAAAAAAHwEAAF9yZWxzLy5yZWxzUEsBAi0AFAAGAAgAAAAhAGTAFlbHAAAA3wAA&#10;AA8AAAAAAAAAAAAAAAAABwIAAGRycy9kb3ducmV2LnhtbFBLBQYAAAAAAwADALcAAAD7AgAAAAA=&#10;" filled="f" stroked="f">
                  <v:textbox inset="0,0,0,0">
                    <w:txbxContent>
                      <w:p w14:paraId="29692BDF" w14:textId="77777777" w:rsidR="00B32EF2" w:rsidRDefault="00000000">
                        <w:r>
                          <w:rPr>
                            <w:rFonts w:ascii="Arial" w:eastAsia="Arial" w:hAnsi="Arial" w:cs="Arial"/>
                            <w:sz w:val="18"/>
                          </w:rPr>
                          <w:t xml:space="preserve">. In caso di eccezionale urgenza il presidente, previa delibazione del merito, </w:t>
                        </w:r>
                      </w:p>
                    </w:txbxContent>
                  </v:textbox>
                </v:rect>
                <v:rect id="Rectangle 16103" o:spid="_x0000_s2394" style="position:absolute;left:-13174;top:57499;width:531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JEUxQAAAN4AAAAPAAAAZHJzL2Rvd25yZXYueG1sRE9Na8JA&#10;EL0X+h+WKfRWN7YQQuoqYpHm4MXUQo9DdkxSs7NLdk1Sf70rCL3N433OYjWZTgzU+9aygvksAUFc&#10;Wd1yreDwtX3JQPiArLGzTAr+yMNq+fiwwFzbkfc0lKEWMYR9jgqaEFwupa8aMuhn1hFH7mh7gyHC&#10;vpa6xzGGm06+JkkqDbYcGxp0tGmoOpVno+Dng12xHWV1vGzc7rfIus/z4Vup56dp/Q4i0BT+xXd3&#10;oeP8dJ68we2deINcXgEAAP//AwBQSwECLQAUAAYACAAAACEA2+H2y+4AAACFAQAAEwAAAAAAAAAA&#10;AAAAAAAAAAAAW0NvbnRlbnRfVHlwZXNdLnhtbFBLAQItABQABgAIAAAAIQBa9CxbvwAAABUBAAAL&#10;AAAAAAAAAAAAAAAAAB8BAABfcmVscy8ucmVsc1BLAQItABQABgAIAAAAIQDR6JEUxQAAAN4AAAAP&#10;AAAAAAAAAAAAAAAAAAcCAABkcnMvZG93bnJldi54bWxQSwUGAAAAAAMAAwC3AAAA+QIAAAAA&#10;" filled="f" stroked="f">
                  <v:textbox inset="0,0,0,0">
                    <w:txbxContent>
                      <w:p w14:paraId="1699B18B" w14:textId="77777777" w:rsidR="00B32EF2" w:rsidRDefault="00000000">
                        <w:r>
                          <w:rPr>
                            <w:rFonts w:ascii="Arial" w:eastAsia="Arial" w:hAnsi="Arial" w:cs="Arial"/>
                            <w:sz w:val="18"/>
                          </w:rPr>
                          <w:t xml:space="preserve">può disporre con decreto motivato la provvisoria sospensione dell’esecuzione </w:t>
                        </w:r>
                      </w:p>
                    </w:txbxContent>
                  </v:textbox>
                </v:rect>
                <v:rect id="Rectangle 16104" o:spid="_x0000_s2395" style="position:absolute;left:948;top:56266;width:389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QlgxQAAAN4AAAAPAAAAZHJzL2Rvd25yZXYueG1sRE9Na8JA&#10;EL0X+h+WKfRWN5YSQuoqYpHm4MXUQo9DdkxSs7NLdk1Sf70rCL3N433OYjWZTgzU+9aygvksAUFc&#10;Wd1yreDwtX3JQPiArLGzTAr+yMNq+fiwwFzbkfc0lKEWMYR9jgqaEFwupa8aMuhn1hFH7mh7gyHC&#10;vpa6xzGGm06+JkkqDbYcGxp0tGmoOpVno+Dng12xHWV1vGzc7rfIus/z4Vup56dp/Q4i0BT+xXd3&#10;oeP8dJ68we2deINcXgEAAP//AwBQSwECLQAUAAYACAAAACEA2+H2y+4AAACFAQAAEwAAAAAAAAAA&#10;AAAAAAAAAAAAW0NvbnRlbnRfVHlwZXNdLnhtbFBLAQItABQABgAIAAAAIQBa9CxbvwAAABUBAAAL&#10;AAAAAAAAAAAAAAAAAB8BAABfcmVscy8ucmVsc1BLAQItABQABgAIAAAAIQBeAQlgxQAAAN4AAAAP&#10;AAAAAAAAAAAAAAAAAAcCAABkcnMvZG93bnJldi54bWxQSwUGAAAAAAMAAwC3AAAA+QIAAAAA&#10;" filled="f" stroked="f">
                  <v:textbox inset="0,0,0,0">
                    <w:txbxContent>
                      <w:p w14:paraId="3613A282" w14:textId="77777777" w:rsidR="00B32EF2" w:rsidRDefault="00000000">
                        <w:r>
                          <w:rPr>
                            <w:rFonts w:ascii="Arial" w:eastAsia="Arial" w:hAnsi="Arial" w:cs="Arial"/>
                            <w:sz w:val="18"/>
                          </w:rPr>
                          <w:t>fino alla pronuncia del collegio o del giudice monocratico.</w:t>
                        </w:r>
                      </w:p>
                    </w:txbxContent>
                  </v:textbox>
                </v:rect>
                <v:rect id="Rectangle 200236" o:spid="_x0000_s2396" style="position:absolute;left:26110;top:55033;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1jExwAAAN8AAAAPAAAAZHJzL2Rvd25yZXYueG1sRI9Ba8JA&#10;FITvQv/D8gq96aYRgkRXkRQxh15qLfT4yD6TaPbtkl2TtL++Wyj0OMzMN8xmN5lODNT71rKC50UC&#10;griyuuVawfn9MF+B8AFZY2eZFHyRh932YbbBXNuR32g4hVpECPscFTQhuFxKXzVk0C+sI47exfYG&#10;Q5R9LXWPY4SbTqZJkkmDLceFBh0VDVW3090o+HxhVx5GWV2+C/d6LVfd8X7+UOrpcdqvQQSawn/4&#10;r11qBZGYLjP4/RO/gNz+AAAA//8DAFBLAQItABQABgAIAAAAIQDb4fbL7gAAAIUBAAATAAAAAAAA&#10;AAAAAAAAAAAAAABbQ29udGVudF9UeXBlc10ueG1sUEsBAi0AFAAGAAgAAAAhAFr0LFu/AAAAFQEA&#10;AAsAAAAAAAAAAAAAAAAAHwEAAF9yZWxzLy5yZWxzUEsBAi0AFAAGAAgAAAAhANxjWMTHAAAA3wAA&#10;AA8AAAAAAAAAAAAAAAAABwIAAGRycy9kb3ducmV2LnhtbFBLBQYAAAAAAwADALcAAAD7AgAAAAA=&#10;" filled="f" stroked="f">
                  <v:textbox inset="0,0,0,0">
                    <w:txbxContent>
                      <w:p w14:paraId="1453B225" w14:textId="77777777" w:rsidR="00B32EF2" w:rsidRDefault="00000000">
                        <w:r>
                          <w:rPr>
                            <w:rFonts w:ascii="Arial" w:eastAsia="Arial" w:hAnsi="Arial" w:cs="Arial"/>
                            <w:sz w:val="18"/>
                          </w:rPr>
                          <w:t>4</w:t>
                        </w:r>
                      </w:p>
                    </w:txbxContent>
                  </v:textbox>
                </v:rect>
                <v:rect id="Rectangle 200237" o:spid="_x0000_s2397" style="position:absolute;left:-13802;top:550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fxwAAAN8AAAAPAAAAZHJzL2Rvd25yZXYueG1sRI9Pa8JA&#10;FMTvhX6H5RV6q5sqVEndSLGIOXhRU+jxkX3502bfLtnVpH76riB4HGbmN8xyNZpOnKn3rWUFr5ME&#10;BHFpdcu1guK4eVmA8AFZY2eZFPyRh1X2+LDEVNuB93Q+hFpECPsUFTQhuFRKXzZk0E+sI45eZXuD&#10;Icq+lrrHIcJNJ6dJ8iYNthwXGnS0bqj8PZyMgu9PdvlmkGV1WbvdT77otqfiS6nnp/HjHUSgMdzD&#10;t3auFUTidDaH65/4BWT2DwAA//8DAFBLAQItABQABgAIAAAAIQDb4fbL7gAAAIUBAAATAAAAAAAA&#10;AAAAAAAAAAAAAABbQ29udGVudF9UeXBlc10ueG1sUEsBAi0AFAAGAAgAAAAhAFr0LFu/AAAAFQEA&#10;AAsAAAAAAAAAAAAAAAAAHwEAAF9yZWxzLy5yZWxzUEsBAi0AFAAGAAgAAAAhALMv/V/HAAAA3wAA&#10;AA8AAAAAAAAAAAAAAAAABwIAAGRycy9kb3ducmV2LnhtbFBLBQYAAAAAAwADALcAAAD7AgAAAAA=&#10;" filled="f" stroked="f">
                  <v:textbox inset="0,0,0,0">
                    <w:txbxContent>
                      <w:p w14:paraId="34814CE8" w14:textId="77777777" w:rsidR="00B32EF2" w:rsidRDefault="00000000">
                        <w:r>
                          <w:rPr>
                            <w:rFonts w:ascii="Arial" w:eastAsia="Arial" w:hAnsi="Arial" w:cs="Arial"/>
                            <w:sz w:val="18"/>
                          </w:rPr>
                          <w:t xml:space="preserve">. Il collegio o il giudice monocratico, sentite le parti in camera di consiglio e </w:t>
                        </w:r>
                      </w:p>
                    </w:txbxContent>
                  </v:textbox>
                </v:rect>
                <v:rect id="Rectangle 16106" o:spid="_x0000_s2398" style="position:absolute;left:-13170;top:537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zKMwwAAAN4AAAAPAAAAZHJzL2Rvd25yZXYueG1sRE9Li8Iw&#10;EL4v+B/CCHtbUz0UqUYRRexhL+sDPA7N2FabSWiirf76zcKCt/n4njNf9qYRD2p9bVnBeJSAIC6s&#10;rrlUcDxsv6YgfEDW2FgmBU/ysFwMPuaYadvxDz32oRQxhH2GCqoQXCalLyoy6EfWEUfuYluDIcK2&#10;lLrFLoabRk6SJJUGa44NFTpaV1Tc9nej4Lxhl287WVxea/d9zafN7n48KfU57FczEIH68Bb/u3Md&#10;56fjJIW/d+INcvELAAD//wMAUEsBAi0AFAAGAAgAAAAhANvh9svuAAAAhQEAABMAAAAAAAAAAAAA&#10;AAAAAAAAAFtDb250ZW50X1R5cGVzXS54bWxQSwECLQAUAAYACAAAACEAWvQsW78AAAAVAQAACwAA&#10;AAAAAAAAAAAAAAAfAQAAX3JlbHMvLnJlbHNQSwECLQAUAAYACAAAACEAwZ8yjMMAAADeAAAADwAA&#10;AAAAAAAAAAAAAAAHAgAAZHJzL2Rvd25yZXYueG1sUEsFBgAAAAADAAMAtwAAAPcCAAAAAA==&#10;" filled="f" stroked="f">
                  <v:textbox inset="0,0,0,0">
                    <w:txbxContent>
                      <w:p w14:paraId="6CDD66AD" w14:textId="77777777" w:rsidR="00B32EF2" w:rsidRDefault="00000000">
                        <w:r>
                          <w:rPr>
                            <w:rFonts w:ascii="Arial" w:eastAsia="Arial" w:hAnsi="Arial" w:cs="Arial"/>
                            <w:sz w:val="18"/>
                          </w:rPr>
                          <w:t xml:space="preserve">delibato il merito, provvede con ordinanza motivata nella stessa udienza di </w:t>
                        </w:r>
                      </w:p>
                    </w:txbxContent>
                  </v:textbox>
                </v:rect>
                <v:rect id="Rectangle 16107" o:spid="_x0000_s2399" style="position:absolute;left:-13171;top:525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5cXxQAAAN4AAAAPAAAAZHJzL2Rvd25yZXYueG1sRE9Na8JA&#10;EL0L/odlhN50Yw8xRFcpFmkOvZha6HHIjklsdnbJrknaX98tFHqbx/uc3WEynRio961lBetVAoK4&#10;srrlWsHl7bTMQPiArLGzTAq+yMNhP5/tMNd25DMNZahFDGGfo4ImBJdL6auGDPqVdcSRu9reYIiw&#10;r6XucYzhppOPSZJKgy3HhgYdHRuqPsu7UfDxzK44jbK6fh/d663Iupf75V2ph8X0tAURaAr/4j93&#10;oeP8dJ1s4PedeIPc/wAAAP//AwBQSwECLQAUAAYACAAAACEA2+H2y+4AAACFAQAAEwAAAAAAAAAA&#10;AAAAAAAAAAAAW0NvbnRlbnRfVHlwZXNdLnhtbFBLAQItABQABgAIAAAAIQBa9CxbvwAAABUBAAAL&#10;AAAAAAAAAAAAAAAAAB8BAABfcmVscy8ucmVsc1BLAQItABQABgAIAAAAIQCu05cXxQAAAN4AAAAP&#10;AAAAAAAAAAAAAAAAAAcCAABkcnMvZG93bnJldi54bWxQSwUGAAAAAAMAAwC3AAAA+QIAAAAA&#10;" filled="f" stroked="f">
                  <v:textbox inset="0,0,0,0">
                    <w:txbxContent>
                      <w:p w14:paraId="45C387A5" w14:textId="77777777" w:rsidR="00B32EF2" w:rsidRDefault="00000000">
                        <w:r>
                          <w:rPr>
                            <w:rFonts w:ascii="Arial" w:eastAsia="Arial" w:hAnsi="Arial" w:cs="Arial"/>
                            <w:sz w:val="18"/>
                          </w:rPr>
                          <w:t xml:space="preserve">trattazione dell’istanza. L’ordinanza è immediatamente comunicata alle parti. </w:t>
                        </w:r>
                      </w:p>
                    </w:txbxContent>
                  </v:textbox>
                </v:rect>
                <v:rect id="Rectangle 16108" o:spid="_x0000_s2400" style="position:absolute;left:-13170;top:51333;width:530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ANlxgAAAN4AAAAPAAAAZHJzL2Rvd25yZXYueG1sRI9Bb8Iw&#10;DIXvk/gPkZG4jZQdECoEhECIHnYZY9KOVmPaQuNETaBlv34+TNrN1nt+7/NqM7hWPaiLjWcDs2kG&#10;irj0tuHKwPnz8LoAFROyxdYzGXhShM169LLC3PqeP+hxSpWSEI45GqhTCrnWsazJYZz6QCzaxXcO&#10;k6xdpW2HvYS7Vr9l2Vw7bFgaagy0q6m8ne7OwPeeQ3HodXn52YX3a7Foj/fzlzGT8bBdgko0pH/z&#10;33VhBX8+y4RX3pEZ9PoXAAD//wMAUEsBAi0AFAAGAAgAAAAhANvh9svuAAAAhQEAABMAAAAAAAAA&#10;AAAAAAAAAAAAAFtDb250ZW50X1R5cGVzXS54bWxQSwECLQAUAAYACAAAACEAWvQsW78AAAAVAQAA&#10;CwAAAAAAAAAAAAAAAAAfAQAAX3JlbHMvLnJlbHNQSwECLQAUAAYACAAAACEA30wDZcYAAADeAAAA&#10;DwAAAAAAAAAAAAAAAAAHAgAAZHJzL2Rvd25yZXYueG1sUEsFBgAAAAADAAMAtwAAAPoCAAAAAA==&#10;" filled="f" stroked="f">
                  <v:textbox inset="0,0,0,0">
                    <w:txbxContent>
                      <w:p w14:paraId="6568D51C" w14:textId="77777777" w:rsidR="00B32EF2" w:rsidRDefault="00000000">
                        <w:r>
                          <w:rPr>
                            <w:rFonts w:ascii="Arial" w:eastAsia="Arial" w:hAnsi="Arial" w:cs="Arial"/>
                            <w:sz w:val="18"/>
                          </w:rPr>
                          <w:t xml:space="preserve">L’ordinanza cautelare collegiale è impugnabile innanzi alla corte di giustizia </w:t>
                        </w:r>
                      </w:p>
                    </w:txbxContent>
                  </v:textbox>
                </v:rect>
                <v:rect id="Rectangle 16109" o:spid="_x0000_s2401" style="position:absolute;left:-13170;top:500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Kb+wwAAAN4AAAAPAAAAZHJzL2Rvd25yZXYueG1sRE9Li8Iw&#10;EL4L/ocwwt40dQ+i1SiLi2wPe/EFHodmbOs2k9BE2/XXG0HwNh/fcxarztTiRo2vLCsYjxIQxLnV&#10;FRcKDvvNcArCB2SNtWVS8E8eVst+b4Gpti1v6bYLhYgh7FNUUIbgUil9XpJBP7KOOHJn2xgMETaF&#10;1A22MdzU8jNJJtJgxbGhREfrkvK/3dUoOH2zyzatzM/3tfu9ZNP653o4KvUx6L7mIAJ14S1+uTMd&#10;50/GyQye78Qb5PIBAAD//wMAUEsBAi0AFAAGAAgAAAAhANvh9svuAAAAhQEAABMAAAAAAAAAAAAA&#10;AAAAAAAAAFtDb250ZW50X1R5cGVzXS54bWxQSwECLQAUAAYACAAAACEAWvQsW78AAAAVAQAACwAA&#10;AAAAAAAAAAAAAAAfAQAAX3JlbHMvLnJlbHNQSwECLQAUAAYACAAAACEAsACm/sMAAADeAAAADwAA&#10;AAAAAAAAAAAAAAAHAgAAZHJzL2Rvd25yZXYueG1sUEsFBgAAAAADAAMAtwAAAPcCAAAAAA==&#10;" filled="f" stroked="f">
                  <v:textbox inset="0,0,0,0">
                    <w:txbxContent>
                      <w:p w14:paraId="6D22DDDF" w14:textId="77777777" w:rsidR="00B32EF2" w:rsidRDefault="00000000">
                        <w:r>
                          <w:rPr>
                            <w:rFonts w:ascii="Arial" w:eastAsia="Arial" w:hAnsi="Arial" w:cs="Arial"/>
                            <w:sz w:val="18"/>
                          </w:rPr>
                          <w:t xml:space="preserve">tributaria di secondo grado entro il termine perentorio di quindici giorni dalla </w:t>
                        </w:r>
                      </w:p>
                    </w:txbxContent>
                  </v:textbox>
                </v:rect>
                <v:rect id="Rectangle 16110" o:spid="_x0000_s2402" style="position:absolute;left:-13171;top:488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5m+xwAAAN4AAAAPAAAAZHJzL2Rvd25yZXYueG1sRI9Bb8Iw&#10;DIXvk/YfIk/abU3LAaGOgCYmtB64DJi0o9WYtlvjRE2g3X49PiBxs+Xn9963XE+uVxcaYufZQJHl&#10;oIhrbztuDBwP25cFqJiQLfaeycAfRVivHh+WWFo/8idd9qlRYsKxRANtSqHUOtYtOYyZD8RyO/nB&#10;YZJ1aLQdcBRz1+tZns+1w44locVAm5bq3/3ZGfh+51BtR12f/jdh91Mt+o/z8cuY56fp7RVUoind&#10;xbfvykr9eVEIgODIDHp1BQAA//8DAFBLAQItABQABgAIAAAAIQDb4fbL7gAAAIUBAAATAAAAAAAA&#10;AAAAAAAAAAAAAABbQ29udGVudF9UeXBlc10ueG1sUEsBAi0AFAAGAAgAAAAhAFr0LFu/AAAAFQEA&#10;AAsAAAAAAAAAAAAAAAAAHwEAAF9yZWxzLy5yZWxzUEsBAi0AFAAGAAgAAAAhAKTjmb7HAAAA3gAA&#10;AA8AAAAAAAAAAAAAAAAABwIAAGRycy9kb3ducmV2LnhtbFBLBQYAAAAAAwADALcAAAD7AgAAAAA=&#10;" filled="f" stroked="f">
                  <v:textbox inset="0,0,0,0">
                    <w:txbxContent>
                      <w:p w14:paraId="2EE98FD4" w14:textId="77777777" w:rsidR="00B32EF2" w:rsidRDefault="00000000">
                        <w:r>
                          <w:rPr>
                            <w:rFonts w:ascii="Arial" w:eastAsia="Arial" w:hAnsi="Arial" w:cs="Arial"/>
                            <w:sz w:val="18"/>
                          </w:rPr>
                          <w:t xml:space="preserve">sua comunicazione da parte della segreteria. Al procedimento si applicano le </w:t>
                        </w:r>
                      </w:p>
                    </w:txbxContent>
                  </v:textbox>
                </v:rect>
                <v:rect id="Rectangle 16111" o:spid="_x0000_s2403" style="position:absolute;left:-12208;top:47633;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wlwwAAAN4AAAAPAAAAZHJzL2Rvd25yZXYueG1sRE9Ni8Iw&#10;EL0L+x/CLOxN03oQqUZZXMQe9qKr4HFoxrbaTEITbfXXG0HY2zze58yXvWnEjVpfW1aQjhIQxIXV&#10;NZcK9n/r4RSED8gaG8uk4E4elouPwRwzbTve0m0XShFD2GeooArBZVL6oiKDfmQdceROtjUYImxL&#10;qVvsYrhp5DhJJtJgzbGhQkeriorL7moUHH/Y5etOFqfHyv2e82mzue4PSn199t8zEIH68C9+u3Md&#10;50/SNIXXO/EGuXgCAAD//wMAUEsBAi0AFAAGAAgAAAAhANvh9svuAAAAhQEAABMAAAAAAAAAAAAA&#10;AAAAAAAAAFtDb250ZW50X1R5cGVzXS54bWxQSwECLQAUAAYACAAAACEAWvQsW78AAAAVAQAACwAA&#10;AAAAAAAAAAAAAAAfAQAAX3JlbHMvLnJlbHNQSwECLQAUAAYACAAAACEAy688JcMAAADeAAAADwAA&#10;AAAAAAAAAAAAAAAHAgAAZHJzL2Rvd25yZXYueG1sUEsFBgAAAAADAAMAtwAAAPcCAAAAAA==&#10;" filled="f" stroked="f">
                  <v:textbox inset="0,0,0,0">
                    <w:txbxContent>
                      <w:p w14:paraId="0F160CDF" w14:textId="77777777" w:rsidR="00B32EF2" w:rsidRDefault="00000000">
                        <w:r>
                          <w:rPr>
                            <w:rFonts w:ascii="Arial" w:eastAsia="Arial" w:hAnsi="Arial" w:cs="Arial"/>
                            <w:sz w:val="18"/>
                          </w:rPr>
                          <w:t>disposizioni di cui ai commi 2, 3 e 4, in quanto compatibili. L’ordinanza cautela</w:t>
                        </w:r>
                      </w:p>
                    </w:txbxContent>
                  </v:textbox>
                </v:rect>
                <v:rect id="Rectangle 16112" o:spid="_x0000_s2404" style="position:absolute;left:193;top:476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aJSwwAAAN4AAAAPAAAAZHJzL2Rvd25yZXYueG1sRE9Ni8Iw&#10;EL0v+B/CCHtb03oQqUYRRexhL6su7HFoxrbaTEITbfXXbwTB2zze58yXvWnEjVpfW1aQjhIQxIXV&#10;NZcKjoft1xSED8gaG8uk4E4elovBxxwzbTv+ods+lCKGsM9QQRWCy6T0RUUG/cg64sidbGswRNiW&#10;UrfYxXDTyHGSTKTBmmNDhY7WFRWX/dUo+Nuwy7edLE6Ptfs+59Nmdz3+KvU57FczEIH68Ba/3LmO&#10;8ydpOobnO/EGufgHAAD//wMAUEsBAi0AFAAGAAgAAAAhANvh9svuAAAAhQEAABMAAAAAAAAAAAAA&#10;AAAAAAAAAFtDb250ZW50X1R5cGVzXS54bWxQSwECLQAUAAYACAAAACEAWvQsW78AAAAVAQAACwAA&#10;AAAAAAAAAAAAAAAfAQAAX3JlbHMvLnJlbHNQSwECLQAUAAYACAAAACEAO32iUsMAAADeAAAADwAA&#10;AAAAAAAAAAAAAAAHAgAAZHJzL2Rvd25yZXYueG1sUEsFBgAAAAADAAMAtwAAAPcCAAAAAA==&#10;" filled="f" stroked="f">
                  <v:textbox inset="0,0,0,0">
                    <w:txbxContent>
                      <w:p w14:paraId="679F5226" w14:textId="77777777" w:rsidR="00B32EF2" w:rsidRDefault="00000000">
                        <w:r>
                          <w:rPr>
                            <w:rFonts w:ascii="Arial" w:eastAsia="Arial" w:hAnsi="Arial" w:cs="Arial"/>
                            <w:sz w:val="18"/>
                          </w:rPr>
                          <w:t>-</w:t>
                        </w:r>
                      </w:p>
                    </w:txbxContent>
                  </v:textbox>
                </v:rect>
                <v:rect id="Rectangle 16113" o:spid="_x0000_s2405" style="position:absolute;left:-12191;top:46400;width:5211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fJxQAAAN4AAAAPAAAAZHJzL2Rvd25yZXYueG1sRE9La8JA&#10;EL4L/odlhN50EwsiqRsRRZpDL7Up9DhkJ4+anV2yq0n767uFQm/z8T1nt59ML+40+M6ygnSVgCCu&#10;rO64UVC+nZdbED4ga+wtk4Iv8rDP57MdZtqO/Er3S2hEDGGfoYI2BJdJ6auWDPqVdcSRq+1gMEQ4&#10;NFIPOMZw08t1kmykwY5jQ4uOji1V18vNKPg4sSvOo6zq76N7+Sy2/fOtfFfqYTEdnkAEmsK/+M9d&#10;6Dh/k6aP8PtOvEHmPwAAAP//AwBQSwECLQAUAAYACAAAACEA2+H2y+4AAACFAQAAEwAAAAAAAAAA&#10;AAAAAAAAAAAAW0NvbnRlbnRfVHlwZXNdLnhtbFBLAQItABQABgAIAAAAIQBa9CxbvwAAABUBAAAL&#10;AAAAAAAAAAAAAAAAAB8BAABfcmVscy8ucmVsc1BLAQItABQABgAIAAAAIQBUMQfJxQAAAN4AAAAP&#10;AAAAAAAAAAAAAAAAAAcCAABkcnMvZG93bnJldi54bWxQSwUGAAAAAAMAAwC3AAAA+QIAAAAA&#10;" filled="f" stroked="f">
                  <v:textbox inset="0,0,0,0">
                    <w:txbxContent>
                      <w:p w14:paraId="5C8F9C51" w14:textId="77777777" w:rsidR="00B32EF2" w:rsidRDefault="00000000">
                        <w:r>
                          <w:rPr>
                            <w:rFonts w:ascii="Arial" w:eastAsia="Arial" w:hAnsi="Arial" w:cs="Arial"/>
                            <w:sz w:val="18"/>
                          </w:rPr>
                          <w:t>re del giudice monocratico è impugnabile solo con reclamo innanzi alla mede</w:t>
                        </w:r>
                      </w:p>
                    </w:txbxContent>
                  </v:textbox>
                </v:rect>
                <v:rect id="Rectangle 16114" o:spid="_x0000_s2406" style="position:absolute;left:193;top:4640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J+9xQAAAN4AAAAPAAAAZHJzL2Rvd25yZXYueG1sRE9La8JA&#10;EL4L/odlhN50EykiqRsRRZpDL7Up9DhkJ4+anV2yq0n767uFQm/z8T1nt59ML+40+M6ygnSVgCCu&#10;rO64UVC+nZdbED4ga+wtk4Iv8rDP57MdZtqO/Er3S2hEDGGfoYI2BJdJ6auWDPqVdcSRq+1gMEQ4&#10;NFIPOMZw08t1kmykwY5jQ4uOji1V18vNKPg4sSvOo6zq76N7+Sy2/fOtfFfqYTEdnkAEmsK/+M9d&#10;6Dh/k6aP8PtOvEHmPwAAAP//AwBQSwECLQAUAAYACAAAACEA2+H2y+4AAACFAQAAEwAAAAAAAAAA&#10;AAAAAAAAAAAAW0NvbnRlbnRfVHlwZXNdLnhtbFBLAQItABQABgAIAAAAIQBa9CxbvwAAABUBAAAL&#10;AAAAAAAAAAAAAAAAAB8BAABfcmVscy8ucmVsc1BLAQItABQABgAIAAAAIQDb2J+9xQAAAN4AAAAP&#10;AAAAAAAAAAAAAAAAAAcCAABkcnMvZG93bnJldi54bWxQSwUGAAAAAAMAAwC3AAAA+QIAAAAA&#10;" filled="f" stroked="f">
                  <v:textbox inset="0,0,0,0">
                    <w:txbxContent>
                      <w:p w14:paraId="4241495F" w14:textId="77777777" w:rsidR="00B32EF2" w:rsidRDefault="00000000">
                        <w:r>
                          <w:rPr>
                            <w:rFonts w:ascii="Arial" w:eastAsia="Arial" w:hAnsi="Arial" w:cs="Arial"/>
                            <w:sz w:val="18"/>
                          </w:rPr>
                          <w:t>-</w:t>
                        </w:r>
                      </w:p>
                    </w:txbxContent>
                  </v:textbox>
                </v:rect>
                <v:rect id="Rectangle 16115" o:spid="_x0000_s2407" style="position:absolute;left:-13171;top:451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DomxQAAAN4AAAAPAAAAZHJzL2Rvd25yZXYueG1sRE9La8JA&#10;EL4L/odlhN50E6EiqRsRRZpDL7Up9DhkJ4+anV2yq0n767uFQm/z8T1nt59ML+40+M6ygnSVgCCu&#10;rO64UVC+nZdbED4ga+wtk4Iv8rDP57MdZtqO/Er3S2hEDGGfoYI2BJdJ6auWDPqVdcSRq+1gMEQ4&#10;NFIPOMZw08t1kmykwY5jQ4uOji1V18vNKPg4sSvOo6zq76N7+Sy2/fOtfFfqYTEdnkAEmsK/+M9d&#10;6Dh/k6aP8PtOvEHmPwAAAP//AwBQSwECLQAUAAYACAAAACEA2+H2y+4AAACFAQAAEwAAAAAAAAAA&#10;AAAAAAAAAAAAW0NvbnRlbnRfVHlwZXNdLnhtbFBLAQItABQABgAIAAAAIQBa9CxbvwAAABUBAAAL&#10;AAAAAAAAAAAAAAAAAB8BAABfcmVscy8ucmVsc1BLAQItABQABgAIAAAAIQC0lDomxQAAAN4AAAAP&#10;AAAAAAAAAAAAAAAAAAcCAABkcnMvZG93bnJldi54bWxQSwUGAAAAAAMAAwC3AAAA+QIAAAAA&#10;" filled="f" stroked="f">
                  <v:textbox inset="0,0,0,0">
                    <w:txbxContent>
                      <w:p w14:paraId="28BE58F9" w14:textId="77777777" w:rsidR="00B32EF2" w:rsidRDefault="00000000">
                        <w:r>
                          <w:rPr>
                            <w:rFonts w:ascii="Arial" w:eastAsia="Arial" w:hAnsi="Arial" w:cs="Arial"/>
                            <w:sz w:val="18"/>
                          </w:rPr>
                          <w:t xml:space="preserve">sima corte di giustizia tributaria di primo grado in composizione collegiale, da </w:t>
                        </w:r>
                      </w:p>
                    </w:txbxContent>
                  </v:textbox>
                </v:rect>
                <v:rect id="Rectangle 16116" o:spid="_x0000_s2408" style="position:absolute;left:-13170;top:439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RRxAAAAN4AAAAPAAAAZHJzL2Rvd25yZXYueG1sRE9Li8Iw&#10;EL4L+x/CLOxN03ooUo0iitjDXtYHeByase1uMwlNtN399RtB8DYf33MWq8G04k6dbywrSCcJCOLS&#10;6oYrBafjbjwD4QOyxtYyKfglD6vl22iBubY9f9H9ECoRQ9jnqKAOweVS+rImg35iHXHkrrYzGCLs&#10;Kqk77GO4aeU0STJpsOHYUKOjTU3lz+FmFFy27IpdL8vr38Z9fhezdn87nZX6eB/WcxCBhvASP92F&#10;jvOzNM3g8U68QS7/AQAA//8DAFBLAQItABQABgAIAAAAIQDb4fbL7gAAAIUBAAATAAAAAAAAAAAA&#10;AAAAAAAAAABbQ29udGVudF9UeXBlc10ueG1sUEsBAi0AFAAGAAgAAAAhAFr0LFu/AAAAFQEAAAsA&#10;AAAAAAAAAAAAAAAAHwEAAF9yZWxzLy5yZWxzUEsBAi0AFAAGAAgAAAAhAERGpFHEAAAA3gAAAA8A&#10;AAAAAAAAAAAAAAAABwIAAGRycy9kb3ducmV2LnhtbFBLBQYAAAAAAwADALcAAAD4AgAAAAA=&#10;" filled="f" stroked="f">
                  <v:textbox inset="0,0,0,0">
                    <w:txbxContent>
                      <w:p w14:paraId="17273B41" w14:textId="77777777" w:rsidR="00B32EF2" w:rsidRDefault="00000000">
                        <w:r>
                          <w:rPr>
                            <w:rFonts w:ascii="Arial" w:eastAsia="Arial" w:hAnsi="Arial" w:cs="Arial"/>
                            <w:sz w:val="18"/>
                          </w:rPr>
                          <w:t xml:space="preserve">notificare alle altre parti costituite nel termine perentorio di quindici giorni dalla </w:t>
                        </w:r>
                      </w:p>
                    </w:txbxContent>
                  </v:textbox>
                </v:rect>
                <v:rect id="Rectangle 16117" o:spid="_x0000_s2409" style="position:absolute;left:-12185;top:42700;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gHKxAAAAN4AAAAPAAAAZHJzL2Rvd25yZXYueG1sRE9Na8JA&#10;EL0X/A/LCL3VTTyopK4iijSHXrQRPA7ZMUnNzi7Z1aT99V1B6G0e73OW68G04k6dbywrSCcJCOLS&#10;6oYrBcXX/m0Bwgdkja1lUvBDHtar0csSM217PtD9GCoRQ9hnqKAOwWVS+rImg35iHXHkLrYzGCLs&#10;Kqk77GO4aeU0SWbSYMOxoUZH25rK6/FmFJx37PJ9L8vL79Z9fueL9uNWnJR6HQ+bdxCBhvAvfrpz&#10;HefP0nQOj3fiDXL1BwAA//8DAFBLAQItABQABgAIAAAAIQDb4fbL7gAAAIUBAAATAAAAAAAAAAAA&#10;AAAAAAAAAABbQ29udGVudF9UeXBlc10ueG1sUEsBAi0AFAAGAAgAAAAhAFr0LFu/AAAAFQEAAAsA&#10;AAAAAAAAAAAAAAAAHwEAAF9yZWxzLy5yZWxzUEsBAi0AFAAGAAgAAAAhACsKAcrEAAAA3gAAAA8A&#10;AAAAAAAAAAAAAAAABwIAAGRycy9kb3ducmV2LnhtbFBLBQYAAAAAAwADALcAAAD4AgAAAAA=&#10;" filled="f" stroked="f">
                  <v:textbox inset="0,0,0,0">
                    <w:txbxContent>
                      <w:p w14:paraId="734AC224" w14:textId="77777777" w:rsidR="00B32EF2" w:rsidRDefault="00000000">
                        <w:r>
                          <w:rPr>
                            <w:rFonts w:ascii="Arial" w:eastAsia="Arial" w:hAnsi="Arial" w:cs="Arial"/>
                            <w:sz w:val="18"/>
                          </w:rPr>
                          <w:t>sua comunicazione da parte della segreteria. Al procedimento d’impugnazio</w:t>
                        </w:r>
                      </w:p>
                    </w:txbxContent>
                  </v:textbox>
                </v:rect>
                <v:rect id="Rectangle 16118" o:spid="_x0000_s2410" style="position:absolute;left:193;top:427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ZW4xwAAAN4AAAAPAAAAZHJzL2Rvd25yZXYueG1sRI9Bb8Iw&#10;DIXvk/YfIk/abU3LAaGOgCYmtB64DJi0o9WYtlvjRE2g3X49PiBxs/We3/u8XE+uVxcaYufZQJHl&#10;oIhrbztuDBwP25cFqJiQLfaeycAfRVivHh+WWFo/8idd9qlREsKxRANtSqHUOtYtOYyZD8Sinfzg&#10;MMk6NNoOOEq46/Usz+faYcfS0GKgTUv17/7sDHy/c6i2o65P/5uw+6kW/cf5+GXM89P09goq0ZTu&#10;5tt1ZQV/XhTCK+/IDHp1BQAA//8DAFBLAQItABQABgAIAAAAIQDb4fbL7gAAAIUBAAATAAAAAAAA&#10;AAAAAAAAAAAAAABbQ29udGVudF9UeXBlc10ueG1sUEsBAi0AFAAGAAgAAAAhAFr0LFu/AAAAFQEA&#10;AAsAAAAAAAAAAAAAAAAAHwEAAF9yZWxzLy5yZWxzUEsBAi0AFAAGAAgAAAAhAFqVlbjHAAAA3gAA&#10;AA8AAAAAAAAAAAAAAAAABwIAAGRycy9kb3ducmV2LnhtbFBLBQYAAAAAAwADALcAAAD7AgAAAAA=&#10;" filled="f" stroked="f">
                  <v:textbox inset="0,0,0,0">
                    <w:txbxContent>
                      <w:p w14:paraId="1FCAA940" w14:textId="77777777" w:rsidR="00B32EF2" w:rsidRDefault="00000000">
                        <w:r>
                          <w:rPr>
                            <w:rFonts w:ascii="Arial" w:eastAsia="Arial" w:hAnsi="Arial" w:cs="Arial"/>
                            <w:sz w:val="18"/>
                          </w:rPr>
                          <w:t>-</w:t>
                        </w:r>
                      </w:p>
                    </w:txbxContent>
                  </v:textbox>
                </v:rect>
                <v:rect id="Rectangle 16119" o:spid="_x0000_s2411" style="position:absolute;left:-13171;top:414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TAjxQAAAN4AAAAPAAAAZHJzL2Rvd25yZXYueG1sRE9La8JA&#10;EL4X/A/LCL3VTTyITd2IKNIceqmN4HHITh41O7tkV5P213cLhd7m43vOZjuZXtxp8J1lBekiAUFc&#10;Wd1xo6D8OD6tQfiArLG3TAq+yMM2nz1sMNN25He6n0IjYgj7DBW0IbhMSl+1ZNAvrCOOXG0HgyHC&#10;oZF6wDGGm14uk2QlDXYcG1p0tG+pup5uRsHlwK44jrKqv/fu7bNY96+38qzU43zavYAINIV/8Z+7&#10;0HH+Kk2f4fedeIPMfwAAAP//AwBQSwECLQAUAAYACAAAACEA2+H2y+4AAACFAQAAEwAAAAAAAAAA&#10;AAAAAAAAAAAAW0NvbnRlbnRfVHlwZXNdLnhtbFBLAQItABQABgAIAAAAIQBa9CxbvwAAABUBAAAL&#10;AAAAAAAAAAAAAAAAAB8BAABfcmVscy8ucmVsc1BLAQItABQABgAIAAAAIQA12TAjxQAAAN4AAAAP&#10;AAAAAAAAAAAAAAAAAAcCAABkcnMvZG93bnJldi54bWxQSwUGAAAAAAMAAwC3AAAA+QIAAAAA&#10;" filled="f" stroked="f">
                  <v:textbox inset="0,0,0,0">
                    <w:txbxContent>
                      <w:p w14:paraId="718531AC" w14:textId="77777777" w:rsidR="00B32EF2" w:rsidRDefault="00000000">
                        <w:r>
                          <w:rPr>
                            <w:rFonts w:ascii="Arial" w:eastAsia="Arial" w:hAnsi="Arial" w:cs="Arial"/>
                            <w:sz w:val="18"/>
                          </w:rPr>
                          <w:t xml:space="preserve">ne si applicano le norme di cui ai commi 2, 3, 4, 5 e 6, in quanto compatibili, e </w:t>
                        </w:r>
                      </w:p>
                    </w:txbxContent>
                  </v:textbox>
                </v:rect>
                <v:rect id="Rectangle 16120" o:spid="_x0000_s2412" style="position:absolute;left:-13169;top:40233;width:530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1MDxwAAAN4AAAAPAAAAZHJzL2Rvd25yZXYueG1sRI9Pb8Iw&#10;DMXvSPsOkSftBikcEOoIaGJC62EX/kk7Wo1puzVO1ATa8enxAYmbLT+/937L9eBadaUuNp4NTCcZ&#10;KOLS24YrA8fDdrwAFROyxdYzGfinCOvVy2iJufU97+i6T5USE445GqhTCrnWsazJYZz4QCy3s+8c&#10;Jlm7StsOezF3rZ5l2Vw7bFgSagy0qan821+cgZ9PDsW21+X5tgnfv8Wi/bocT8a8vQ4f76ASDekp&#10;fnwXVurPpzMBEByZQa/uAAAA//8DAFBLAQItABQABgAIAAAAIQDb4fbL7gAAAIUBAAATAAAAAAAA&#10;AAAAAAAAAAAAAABbQ29udGVudF9UeXBlc10ueG1sUEsBAi0AFAAGAAgAAAAhAFr0LFu/AAAAFQEA&#10;AAsAAAAAAAAAAAAAAAAAHwEAAF9yZWxzLy5yZWxzUEsBAi0AFAAGAAgAAAAhAGqPUwPHAAAA3gAA&#10;AA8AAAAAAAAAAAAAAAAABwIAAGRycy9kb3ducmV2LnhtbFBLBQYAAAAAAwADALcAAAD7AgAAAAA=&#10;" filled="f" stroked="f">
                  <v:textbox inset="0,0,0,0">
                    <w:txbxContent>
                      <w:p w14:paraId="3F4D7984" w14:textId="77777777" w:rsidR="00B32EF2" w:rsidRDefault="00000000">
                        <w:r>
                          <w:rPr>
                            <w:rFonts w:ascii="Arial" w:eastAsia="Arial" w:hAnsi="Arial" w:cs="Arial"/>
                            <w:sz w:val="18"/>
                          </w:rPr>
                          <w:t xml:space="preserve">l’ordinanza che decide sul reclamo non è impugnabile. L’ordinanza cautelare </w:t>
                        </w:r>
                      </w:p>
                    </w:txbxContent>
                  </v:textbox>
                </v:rect>
                <v:rect id="Rectangle 16121" o:spid="_x0000_s2413" style="position:absolute;left:-6921;top:39000;width:468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aYwwAAAN4AAAAPAAAAZHJzL2Rvd25yZXYueG1sRE9Ni8Iw&#10;EL0v+B/CCHtb03oQqUYRRexhL6su7HFoxrbaTEITbfXXbwTB2zze58yXvWnEjVpfW1aQjhIQxIXV&#10;NZcKjoft1xSED8gaG8uk4E4elovBxxwzbTv+ods+lCKGsM9QQRWCy6T0RUUG/cg64sidbGswRNiW&#10;UrfYxXDTyHGSTKTBmmNDhY7WFRWX/dUo+Nuwy7edLE6Ptfs+59Nmdz3+KvU57FczEIH68Ba/3LmO&#10;8yfpOIXnO/EGufgHAAD//wMAUEsBAi0AFAAGAAgAAAAhANvh9svuAAAAhQEAABMAAAAAAAAAAAAA&#10;AAAAAAAAAFtDb250ZW50X1R5cGVzXS54bWxQSwECLQAUAAYACAAAACEAWvQsW78AAAAVAQAACwAA&#10;AAAAAAAAAAAAAAAfAQAAX3JlbHMvLnJlbHNQSwECLQAUAAYACAAAACEABcP2mMMAAADeAAAADwAA&#10;AAAAAAAAAAAAAAAHAgAAZHJzL2Rvd25yZXYueG1sUEsFBgAAAAADAAMAtwAAAPcCAAAAAA==&#10;" filled="f" stroked="f">
                  <v:textbox inset="0,0,0,0">
                    <w:txbxContent>
                      <w:p w14:paraId="79966C9D" w14:textId="77777777" w:rsidR="00B32EF2" w:rsidRDefault="00000000">
                        <w:r>
                          <w:rPr>
                            <w:rFonts w:ascii="Arial" w:eastAsia="Arial" w:hAnsi="Arial" w:cs="Arial"/>
                            <w:sz w:val="18"/>
                          </w:rPr>
                          <w:t>della corte di giustizia tributaria di secondo grado non è impugnabile.</w:t>
                        </w:r>
                      </w:p>
                    </w:txbxContent>
                  </v:textbox>
                </v:rect>
                <v:rect id="Rectangle 200235" o:spid="_x0000_s2414" style="position:absolute;left:-13815;top:37767;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cazxwAAAN8AAAAPAAAAZHJzL2Rvd25yZXYueG1sRI9Pa8JA&#10;FMTvhX6H5RV6q5sqFUndSLGIOXhRU+jxkX3502bfLtnVpH76riB4HGbmN8xyNZpOnKn3rWUFr5ME&#10;BHFpdcu1guK4eVmA8AFZY2eZFPyRh1X2+LDEVNuB93Q+hFpECPsUFTQhuFRKXzZk0E+sI45eZXuD&#10;Icq+lrrHIcJNJ6dJMpcGW44LDTpaN1T+Hk5Gwfcnu3wzyLK6rN3uJ19021PxpdTz0/jxDiLQGO7h&#10;WzvXCiJxOnuD65/4BWT2DwAA//8DAFBLAQItABQABgAIAAAAIQDb4fbL7gAAAIUBAAATAAAAAAAA&#10;AAAAAAAAAAAAAABbQ29udGVudF9UeXBlc10ueG1sUEsBAi0AFAAGAAgAAAAhAFr0LFu/AAAAFQEA&#10;AAsAAAAAAAAAAAAAAAAAHwEAAF9yZWxzLy5yZWxzUEsBAi0AFAAGAAgAAAAhACyxxrPHAAAA3wAA&#10;AA8AAAAAAAAAAAAAAAAABwIAAGRycy9kb3ducmV2LnhtbFBLBQYAAAAAAwADALcAAAD7AgAAAAA=&#10;" filled="f" stroked="f">
                  <v:textbox inset="0,0,0,0">
                    <w:txbxContent>
                      <w:p w14:paraId="7DD11A98" w14:textId="77777777" w:rsidR="00B32EF2" w:rsidRDefault="00000000">
                        <w:r>
                          <w:rPr>
                            <w:rFonts w:ascii="Arial" w:eastAsia="Arial" w:hAnsi="Arial" w:cs="Arial"/>
                            <w:sz w:val="18"/>
                          </w:rPr>
                          <w:t xml:space="preserve">. La sospensione può anche essere parziale e subordinata alla prestazione </w:t>
                        </w:r>
                      </w:p>
                    </w:txbxContent>
                  </v:textbox>
                </v:rect>
                <v:rect id="Rectangle 200234" o:spid="_x0000_s2415" style="position:absolute;left:26110;top:37767;width:5309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MoxwAAAN8AAAAPAAAAZHJzL2Rvd25yZXYueG1sRI9Pa8JA&#10;FMTvhX6H5RV6q5tqEUndSLGIOXhRU+jxkX3502bfLtnVpH76riB4HGbmN8xyNZpOnKn3rWUFr5ME&#10;BHFpdcu1guK4eVmA8AFZY2eZFPyRh1X2+LDEVNuB93Q+hFpECPsUFTQhuFRKXzZk0E+sI45eZXuD&#10;Icq+lrrHIcJNJ6dJMpcGW44LDTpaN1T+Hk5Gwfcnu3wzyLK6rN3uJ19021PxpdTz0/jxDiLQGO7h&#10;WzvXCiJxOnuD65/4BWT2DwAA//8DAFBLAQItABQABgAIAAAAIQDb4fbL7gAAAIUBAAATAAAAAAAA&#10;AAAAAAAAAAAAAABbQ29udGVudF9UeXBlc10ueG1sUEsBAi0AFAAGAAgAAAAhAFr0LFu/AAAAFQEA&#10;AAsAAAAAAAAAAAAAAAAAHwEAAF9yZWxzLy5yZWxzUEsBAi0AFAAGAAgAAAAhAEP9YyjHAAAA3wAA&#10;AA8AAAAAAAAAAAAAAAAABwIAAGRycy9kb3ducmV2LnhtbFBLBQYAAAAAAwADALcAAAD7AgAAAAA=&#10;" filled="f" stroked="f">
                  <v:textbox inset="0,0,0,0">
                    <w:txbxContent>
                      <w:p w14:paraId="551CE088" w14:textId="77777777" w:rsidR="00B32EF2" w:rsidRDefault="00000000">
                        <w:r>
                          <w:rPr>
                            <w:rFonts w:ascii="Arial" w:eastAsia="Arial" w:hAnsi="Arial" w:cs="Arial"/>
                            <w:sz w:val="18"/>
                          </w:rPr>
                          <w:t>5</w:t>
                        </w:r>
                      </w:p>
                    </w:txbxContent>
                  </v:textbox>
                </v:rect>
                <v:rect id="Rectangle 16123" o:spid="_x0000_s2416" style="position:absolute;left:-13170;top:365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10xAAAAN4AAAAPAAAAZHJzL2Rvd25yZXYueG1sRE9Li8Iw&#10;EL4v+B/CCN7WVBdEqlFEke3By/oAj0MzttVmEppoq79+s7DgbT6+58yXnanFgxpfWVYwGiYgiHOr&#10;Ky4UHA/bzykIH5A11pZJwZM8LBe9jzmm2rb8Q499KEQMYZ+igjIEl0rp85IM+qF1xJG72MZgiLAp&#10;pG6wjeGmluMkmUiDFceGEh2tS8pv+7tRcN6wy7atzC+vtdtds2n9fT+elBr0u9UMRKAuvMX/7kzH&#10;+ZPR+Av+3ok3yMUvAAAA//8DAFBLAQItABQABgAIAAAAIQDb4fbL7gAAAIUBAAATAAAAAAAAAAAA&#10;AAAAAAAAAABbQ29udGVudF9UeXBlc10ueG1sUEsBAi0AFAAGAAgAAAAhAFr0LFu/AAAAFQEAAAsA&#10;AAAAAAAAAAAAAAAAHwEAAF9yZWxzLy5yZWxzUEsBAi0AFAAGAAgAAAAhAJpdzXTEAAAA3gAAAA8A&#10;AAAAAAAAAAAAAAAABwIAAGRycy9kb3ducmV2LnhtbFBLBQYAAAAAAwADALcAAAD4AgAAAAA=&#10;" filled="f" stroked="f">
                  <v:textbox inset="0,0,0,0">
                    <w:txbxContent>
                      <w:p w14:paraId="2A442E12" w14:textId="77777777" w:rsidR="00B32EF2" w:rsidRDefault="00000000">
                        <w:r>
                          <w:rPr>
                            <w:rFonts w:ascii="Arial" w:eastAsia="Arial" w:hAnsi="Arial" w:cs="Arial"/>
                            <w:sz w:val="18"/>
                          </w:rPr>
                          <w:t xml:space="preserve">della garanzia di cui all’articolo 127 comma 2. La prestazione della garanzia </w:t>
                        </w:r>
                      </w:p>
                    </w:txbxContent>
                  </v:textbox>
                </v:rect>
                <v:rect id="Rectangle 16124" o:spid="_x0000_s2417" style="position:absolute;left:-12204;top:35300;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UAxAAAAN4AAAAPAAAAZHJzL2Rvd25yZXYueG1sRE9Li8Iw&#10;EL4v+B/CCN7WVFlEqlFEke3By/oAj0MzttVmEppoq79+s7DgbT6+58yXnanFgxpfWVYwGiYgiHOr&#10;Ky4UHA/bzykIH5A11pZJwZM8LBe9jzmm2rb8Q499KEQMYZ+igjIEl0rp85IM+qF1xJG72MZgiLAp&#10;pG6wjeGmluMkmUiDFceGEh2tS8pv+7tRcN6wy7atzC+vtdtds2n9fT+elBr0u9UMRKAuvMX/7kzH&#10;+ZPR+Av+3ok3yMUvAAAA//8DAFBLAQItABQABgAIAAAAIQDb4fbL7gAAAIUBAAATAAAAAAAAAAAA&#10;AAAAAAAAAABbQ29udGVudF9UeXBlc10ueG1sUEsBAi0AFAAGAAgAAAAhAFr0LFu/AAAAFQEAAAsA&#10;AAAAAAAAAAAAAAAAHwEAAF9yZWxzLy5yZWxzUEsBAi0AFAAGAAgAAAAhABW0VQDEAAAA3gAAAA8A&#10;AAAAAAAAAAAAAAAABwIAAGRycy9kb3ducmV2LnhtbFBLBQYAAAAAAwADALcAAAD4AgAAAAA=&#10;" filled="f" stroked="f">
                  <v:textbox inset="0,0,0,0">
                    <w:txbxContent>
                      <w:p w14:paraId="10C8F14F" w14:textId="77777777" w:rsidR="00B32EF2" w:rsidRDefault="00000000">
                        <w:r>
                          <w:rPr>
                            <w:rFonts w:ascii="Arial" w:eastAsia="Arial" w:hAnsi="Arial" w:cs="Arial"/>
                            <w:sz w:val="18"/>
                          </w:rPr>
                          <w:t>è esclusa per i ricorrenti con «bollino di affidabilità fiscale». Ai fini della di</w:t>
                        </w:r>
                      </w:p>
                    </w:txbxContent>
                  </v:textbox>
                </v:rect>
                <v:rect id="Rectangle 16125" o:spid="_x0000_s2418" style="position:absolute;left:193;top:353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CbxAAAAN4AAAAPAAAAZHJzL2Rvd25yZXYueG1sRE9Li8Iw&#10;EL4v+B/CCN7WVGFFqlFEke3By/oAj0MzttVmEppoq79+s7DgbT6+58yXnanFgxpfWVYwGiYgiHOr&#10;Ky4UHA/bzykIH5A11pZJwZM8LBe9jzmm2rb8Q499KEQMYZ+igjIEl0rp85IM+qF1xJG72MZgiLAp&#10;pG6wjeGmluMkmUiDFceGEh2tS8pv+7tRcN6wy7atzC+vtdtds2n9fT+elBr0u9UMRKAuvMX/7kzH&#10;+ZPR+Av+3ok3yMUvAAAA//8DAFBLAQItABQABgAIAAAAIQDb4fbL7gAAAIUBAAATAAAAAAAAAAAA&#10;AAAAAAAAAABbQ29udGVudF9UeXBlc10ueG1sUEsBAi0AFAAGAAgAAAAhAFr0LFu/AAAAFQEAAAsA&#10;AAAAAAAAAAAAAAAAHwEAAF9yZWxzLy5yZWxzUEsBAi0AFAAGAAgAAAAhAHr48JvEAAAA3gAAAA8A&#10;AAAAAAAAAAAAAAAABwIAAGRycy9kb3ducmV2LnhtbFBLBQYAAAAAAwADALcAAAD4AgAAAAA=&#10;" filled="f" stroked="f">
                  <v:textbox inset="0,0,0,0">
                    <w:txbxContent>
                      <w:p w14:paraId="6F0F00CD" w14:textId="77777777" w:rsidR="00B32EF2" w:rsidRDefault="00000000">
                        <w:r>
                          <w:rPr>
                            <w:rFonts w:ascii="Arial" w:eastAsia="Arial" w:hAnsi="Arial" w:cs="Arial"/>
                            <w:sz w:val="18"/>
                          </w:rPr>
                          <w:t>-</w:t>
                        </w:r>
                      </w:p>
                    </w:txbxContent>
                  </v:textbox>
                </v:rect>
                <v:rect id="Rectangle 16126" o:spid="_x0000_s2419" style="position:absolute;left:-13171;top:340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7swwAAAN4AAAAPAAAAZHJzL2Rvd25yZXYueG1sRE9Ni8Iw&#10;EL0v+B/CCN7WVA9FqlFEEXvwsq6Cx6EZ22ozCU201V+/WVjY2zze5yxWvWnEk1pfW1YwGScgiAur&#10;ay4VnL53nzMQPiBrbCyTghd5WC0HHwvMtO34i57HUIoYwj5DBVUILpPSFxUZ9GPriCN3ta3BEGFb&#10;St1iF8NNI6dJkkqDNceGCh1tKirux4dRcNmyy3edLK7vjTvc8lmzf5zOSo2G/XoOIlAf/sV/7lzH&#10;+elkmsLvO/EGufwBAAD//wMAUEsBAi0AFAAGAAgAAAAhANvh9svuAAAAhQEAABMAAAAAAAAAAAAA&#10;AAAAAAAAAFtDb250ZW50X1R5cGVzXS54bWxQSwECLQAUAAYACAAAACEAWvQsW78AAAAVAQAACwAA&#10;AAAAAAAAAAAAAAAfAQAAX3JlbHMvLnJlbHNQSwECLQAUAAYACAAAACEAiipu7MMAAADeAAAADwAA&#10;AAAAAAAAAAAAAAAHAgAAZHJzL2Rvd25yZXYueG1sUEsFBgAAAAADAAMAtwAAAPcCAAAAAA==&#10;" filled="f" stroked="f">
                  <v:textbox inset="0,0,0,0">
                    <w:txbxContent>
                      <w:p w14:paraId="3A429780" w14:textId="77777777" w:rsidR="00B32EF2" w:rsidRDefault="00000000">
                        <w:r>
                          <w:rPr>
                            <w:rFonts w:ascii="Arial" w:eastAsia="Arial" w:hAnsi="Arial" w:cs="Arial"/>
                            <w:sz w:val="18"/>
                          </w:rPr>
                          <w:t xml:space="preserve">sposizione di cui al periodo precedente, i ricorrenti con «bollino di affidabilità </w:t>
                        </w:r>
                      </w:p>
                    </w:txbxContent>
                  </v:textbox>
                </v:rect>
                <v:rect id="Rectangle 16127" o:spid="_x0000_s2420" style="position:absolute;left:-13171;top:328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t3xAAAAN4AAAAPAAAAZHJzL2Rvd25yZXYueG1sRE9Li8Iw&#10;EL4v+B/CCHtbUz24Uo0iimwPXtYHeByasa02k9BEW/fXbwTB23x8z5ktOlOLOzW+sqxgOEhAEOdW&#10;V1woOOw3XxMQPiBrrC2Tggd5WMx7HzNMtW35l+67UIgYwj5FBWUILpXS5yUZ9APriCN3to3BEGFT&#10;SN1gG8NNLUdJMpYGK44NJTpalZRfdzej4LRml21amZ//Vm57ySb1z+1wVOqz3y2nIAJ14S1+uTMd&#10;54+Ho294vhNvkPN/AAAA//8DAFBLAQItABQABgAIAAAAIQDb4fbL7gAAAIUBAAATAAAAAAAAAAAA&#10;AAAAAAAAAABbQ29udGVudF9UeXBlc10ueG1sUEsBAi0AFAAGAAgAAAAhAFr0LFu/AAAAFQEAAAsA&#10;AAAAAAAAAAAAAAAAHwEAAF9yZWxzLy5yZWxzUEsBAi0AFAAGAAgAAAAhAOVmy3fEAAAA3gAAAA8A&#10;AAAAAAAAAAAAAAAABwIAAGRycy9kb3ducmV2LnhtbFBLBQYAAAAAAwADALcAAAD4AgAAAAA=&#10;" filled="f" stroked="f">
                  <v:textbox inset="0,0,0,0">
                    <w:txbxContent>
                      <w:p w14:paraId="44211B46" w14:textId="77777777" w:rsidR="00B32EF2" w:rsidRDefault="00000000">
                        <w:r>
                          <w:rPr>
                            <w:rFonts w:ascii="Arial" w:eastAsia="Arial" w:hAnsi="Arial" w:cs="Arial"/>
                            <w:sz w:val="18"/>
                          </w:rPr>
                          <w:t xml:space="preserve">fiscale» sono i contribuenti soggetti alla disciplina di cui all’articolo 9-bis del </w:t>
                        </w:r>
                      </w:p>
                    </w:txbxContent>
                  </v:textbox>
                </v:rect>
                <v:rect id="Rectangle 16128" o:spid="_x0000_s2421" style="position:absolute;left:-13175;top:31600;width:531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8FxwAAAN4AAAAPAAAAZHJzL2Rvd25yZXYueG1sRI9Pb8Iw&#10;DMXvSPsOkSftBikcEOoIaGJC62EX/kk7Wo1puzVO1ATa8enxAYmbrff83s/L9eBadaUuNp4NTCcZ&#10;KOLS24YrA8fDdrwAFROyxdYzGfinCOvVy2iJufU97+i6T5WSEI45GqhTCrnWsazJYZz4QCza2XcO&#10;k6xdpW2HvYS7Vs+ybK4dNiwNNQba1FT+7S/OwM8nh2Lb6/J824Tv32LRfl2OJ2PeXoePd1CJhvQ0&#10;P64LK/jz6Ux45R2ZQa/uAAAA//8DAFBLAQItABQABgAIAAAAIQDb4fbL7gAAAIUBAAATAAAAAAAA&#10;AAAAAAAAAAAAAABbQ29udGVudF9UeXBlc10ueG1sUEsBAi0AFAAGAAgAAAAhAFr0LFu/AAAAFQEA&#10;AAsAAAAAAAAAAAAAAAAAHwEAAF9yZWxzLy5yZWxzUEsBAi0AFAAGAAgAAAAhAJT5XwXHAAAA3gAA&#10;AA8AAAAAAAAAAAAAAAAABwIAAGRycy9kb3ducmV2LnhtbFBLBQYAAAAAAwADALcAAAD7AgAAAAA=&#10;" filled="f" stroked="f">
                  <v:textbox inset="0,0,0,0">
                    <w:txbxContent>
                      <w:p w14:paraId="7DA55405" w14:textId="77777777" w:rsidR="00B32EF2" w:rsidRDefault="00000000">
                        <w:r>
                          <w:rPr>
                            <w:rFonts w:ascii="Arial" w:eastAsia="Arial" w:hAnsi="Arial" w:cs="Arial"/>
                            <w:sz w:val="18"/>
                          </w:rPr>
                          <w:t xml:space="preserve">decreto- legge 24 aprile 2017, n. 50, convertito, con modificazioni, dalla legge </w:t>
                        </w:r>
                      </w:p>
                    </w:txbxContent>
                  </v:textbox>
                </v:rect>
                <v:rect id="Rectangle 200232" o:spid="_x0000_s2422" style="position:absolute;left:25497;top:303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F7HxgAAAN8AAAAPAAAAZHJzL2Rvd25yZXYueG1sRI9Ba8JA&#10;FITvgv9heUJvumkKRVJXKYqYQy/VCD0+ss8kbfbtkl1N6q93BcHjMDPfMIvVYFpxoc43lhW8zhIQ&#10;xKXVDVcKisN2OgfhA7LG1jIp+CcPq+V4tMBM256/6bIPlYgQ9hkqqENwmZS+rMmgn1lHHL2T7QyG&#10;KLtK6g77CDetTJPkXRpsOC7U6GhdU/m3PxsFPxt2+baX5em6dl+/+bzdnYujUi+T4fMDRKAhPMOP&#10;dq4VRGL6lsL9T/wCcnkDAAD//wMAUEsBAi0AFAAGAAgAAAAhANvh9svuAAAAhQEAABMAAAAAAAAA&#10;AAAAAAAAAAAAAFtDb250ZW50X1R5cGVzXS54bWxQSwECLQAUAAYACAAAACEAWvQsW78AAAAVAQAA&#10;CwAAAAAAAAAAAAAAAAAfAQAAX3JlbHMvLnJlbHNQSwECLQAUAAYACAAAACEAo1hex8YAAADfAAAA&#10;DwAAAAAAAAAAAAAAAAAHAgAAZHJzL2Rvd25yZXYueG1sUEsFBgAAAAADAAMAtwAAAPoCAAAAAA==&#10;" filled="f" stroked="f">
                  <v:textbox inset="0,0,0,0">
                    <w:txbxContent>
                      <w:p w14:paraId="59D5775B" w14:textId="77777777" w:rsidR="00B32EF2" w:rsidRDefault="00000000">
                        <w:r>
                          <w:rPr>
                            <w:rFonts w:ascii="Arial" w:eastAsia="Arial" w:hAnsi="Arial" w:cs="Arial"/>
                            <w:sz w:val="18"/>
                          </w:rPr>
                          <w:t>21</w:t>
                        </w:r>
                      </w:p>
                    </w:txbxContent>
                  </v:textbox>
                </v:rect>
                <v:rect id="Rectangle 200233" o:spid="_x0000_s2423" style="position:absolute;left:-14420;top:303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tcxQAAAN8AAAAPAAAAZHJzL2Rvd25yZXYueG1sRI9Bi8Iw&#10;FITvgv8hPMGbpiqIdI2yKGIPXnQVPD6aZ9vd5iU00db99RtB2OMwM98wy3VnavGgxleWFUzGCQji&#10;3OqKCwXnr91oAcIHZI21ZVLwJA/rVb+3xFTblo/0OIVCRAj7FBWUIbhUSp+XZNCPrSOO3s02BkOU&#10;TSF1g22Em1pOk2QuDVYcF0p0tCkp/zndjYLrll22a2V++924w3e2qPf380Wp4aD7/AARqAv/4Xc7&#10;0woicTqbwetP/AJy9QcAAP//AwBQSwECLQAUAAYACAAAACEA2+H2y+4AAACFAQAAEwAAAAAAAAAA&#10;AAAAAAAAAAAAW0NvbnRlbnRfVHlwZXNdLnhtbFBLAQItABQABgAIAAAAIQBa9CxbvwAAABUBAAAL&#10;AAAAAAAAAAAAAAAAAB8BAABfcmVscy8ucmVsc1BLAQItABQABgAIAAAAIQDMFPtcxQAAAN8AAAAP&#10;AAAAAAAAAAAAAAAAAAcCAABkcnMvZG93bnJldi54bWxQSwUGAAAAAAMAAwC3AAAA+QIAAAAA&#10;" filled="f" stroked="f">
                  <v:textbox inset="0,0,0,0">
                    <w:txbxContent>
                      <w:p w14:paraId="4D105FB3" w14:textId="77777777" w:rsidR="00B32EF2" w:rsidRDefault="00000000">
                        <w:r>
                          <w:rPr>
                            <w:rFonts w:ascii="Arial" w:eastAsia="Arial" w:hAnsi="Arial" w:cs="Arial"/>
                            <w:sz w:val="18"/>
                          </w:rPr>
                          <w:t xml:space="preserve"> giugno 2017, n. 96, ai quali sia stato attribuito un punteggio di affidabilità </w:t>
                        </w:r>
                      </w:p>
                    </w:txbxContent>
                  </v:textbox>
                </v:rect>
                <v:rect id="Rectangle 16130" o:spid="_x0000_s2424" style="position:absolute;left:-12168;top:29133;width:52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sXexwAAAN4AAAAPAAAAZHJzL2Rvd25yZXYueG1sRI9Pa8JA&#10;EMXvhX6HZYTe6sYWRFJXEYs0h178Bz0O2TGJZmeX7GrSfvrOQfA2w7x57/3my8G16kZdbDwbmIwz&#10;UMSltw1XBg77zesMVEzIFlvPZOCXIiwXz09zzK3veUu3XaqUmHDM0UCdUsi1jmVNDuPYB2K5nXzn&#10;MMnaVdp22Iu5a/Vblk21w4YlocZA65rKy+7qDPx8cig2vS5Pf+vwfS5m7df1cDTmZTSsPkAlGtJD&#10;fP8urNSfTt4FQHBkBr34BwAA//8DAFBLAQItABQABgAIAAAAIQDb4fbL7gAAAIUBAAATAAAAAAAA&#10;AAAAAAAAAAAAAABbQ29udGVudF9UeXBlc10ueG1sUEsBAi0AFAAGAAgAAAAhAFr0LFu/AAAAFQEA&#10;AAsAAAAAAAAAAAAAAAAAHwEAAF9yZWxzLy5yZWxzUEsBAi0AFAAGAAgAAAAhAO9Wxd7HAAAA3gAA&#10;AA8AAAAAAAAAAAAAAAAABwIAAGRycy9kb3ducmV2LnhtbFBLBQYAAAAAAwADALcAAAD7AgAAAAA=&#10;" filled="f" stroked="f">
                  <v:textbox inset="0,0,0,0">
                    <w:txbxContent>
                      <w:p w14:paraId="56705A0F" w14:textId="77777777" w:rsidR="00B32EF2" w:rsidRDefault="00000000">
                        <w:r>
                          <w:rPr>
                            <w:rFonts w:ascii="Arial" w:eastAsia="Arial" w:hAnsi="Arial" w:cs="Arial"/>
                            <w:sz w:val="18"/>
                          </w:rPr>
                          <w:t>pari ad almeno 9 negli ultimi tre periodi d’imposta precedenti a quello di propo</w:t>
                        </w:r>
                      </w:p>
                    </w:txbxContent>
                  </v:textbox>
                </v:rect>
                <v:rect id="Rectangle 16131" o:spid="_x0000_s2425" style="position:absolute;left:193;top:291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BFxQAAAN4AAAAPAAAAZHJzL2Rvd25yZXYueG1sRE9La8JA&#10;EL4L/odlhN50EwsiqRsRRZpDL7Up9DhkJ4+anV2yq0n767uFQm/z8T1nt59ML+40+M6ygnSVgCCu&#10;rO64UVC+nZdbED4ga+wtk4Iv8rDP57MdZtqO/Er3S2hEDGGfoYI2BJdJ6auWDPqVdcSRq+1gMEQ4&#10;NFIPOMZw08t1kmykwY5jQ4uOji1V18vNKPg4sSvOo6zq76N7+Sy2/fOtfFfqYTEdnkAEmsK/+M9d&#10;6Dh/kz6m8PtOvEHmPwAAAP//AwBQSwECLQAUAAYACAAAACEA2+H2y+4AAACFAQAAEwAAAAAAAAAA&#10;AAAAAAAAAAAAW0NvbnRlbnRfVHlwZXNdLnhtbFBLAQItABQABgAIAAAAIQBa9CxbvwAAABUBAAAL&#10;AAAAAAAAAAAAAAAAAB8BAABfcmVscy8ucmVsc1BLAQItABQABgAIAAAAIQCAGmBFxQAAAN4AAAAP&#10;AAAAAAAAAAAAAAAAAAcCAABkcnMvZG93bnJldi54bWxQSwUGAAAAAAMAAwC3AAAA+QIAAAAA&#10;" filled="f" stroked="f">
                  <v:textbox inset="0,0,0,0">
                    <w:txbxContent>
                      <w:p w14:paraId="25BE92DD" w14:textId="77777777" w:rsidR="00B32EF2" w:rsidRDefault="00000000">
                        <w:r>
                          <w:rPr>
                            <w:rFonts w:ascii="Arial" w:eastAsia="Arial" w:hAnsi="Arial" w:cs="Arial"/>
                            <w:sz w:val="18"/>
                          </w:rPr>
                          <w:t>-</w:t>
                        </w:r>
                      </w:p>
                    </w:txbxContent>
                  </v:textbox>
                </v:rect>
                <v:rect id="Rectangle 16132" o:spid="_x0000_s2426" style="position:absolute;left:57;top:27900;width:398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P4yxAAAAN4AAAAPAAAAZHJzL2Rvd25yZXYueG1sRE9Li8Iw&#10;EL4v+B/CCN7WVBdEqlFEke3By/oAj0MzttVmEppoq79+s7DgbT6+58yXnanFgxpfWVYwGiYgiHOr&#10;Ky4UHA/bzykIH5A11pZJwZM8LBe9jzmm2rb8Q499KEQMYZ+igjIEl0rp85IM+qF1xJG72MZgiLAp&#10;pG6wjeGmluMkmUiDFceGEh2tS8pv+7tRcN6wy7atzC+vtdtds2n9fT+elBr0u9UMRKAuvMX/7kzH&#10;+ZPR1xj+3ok3yMUvAAAA//8DAFBLAQItABQABgAIAAAAIQDb4fbL7gAAAIUBAAATAAAAAAAAAAAA&#10;AAAAAAAAAABbQ29udGVudF9UeXBlc10ueG1sUEsBAi0AFAAGAAgAAAAhAFr0LFu/AAAAFQEAAAsA&#10;AAAAAAAAAAAAAAAAHwEAAF9yZWxzLy5yZWxzUEsBAi0AFAAGAAgAAAAhAHDI/jLEAAAA3gAAAA8A&#10;AAAAAAAAAAAAAAAABwIAAGRycy9kb3ducmV2LnhtbFBLBQYAAAAAAwADALcAAAD4AgAAAAA=&#10;" filled="f" stroked="f">
                  <v:textbox inset="0,0,0,0">
                    <w:txbxContent>
                      <w:p w14:paraId="0EDA247E" w14:textId="77777777" w:rsidR="00B32EF2" w:rsidRDefault="00000000">
                        <w:r>
                          <w:rPr>
                            <w:rFonts w:ascii="Arial" w:eastAsia="Arial" w:hAnsi="Arial" w:cs="Arial"/>
                            <w:sz w:val="18"/>
                          </w:rPr>
                          <w:t>sizione del ricorso per i quali tali punteggi siano disponibili.</w:t>
                        </w:r>
                      </w:p>
                    </w:txbxContent>
                  </v:textbox>
                </v:rect>
                <v:rect id="Rectangle 200231" o:spid="_x0000_s2427" style="position:absolute;left:-13814;top:266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sCwxgAAAN8AAAAPAAAAZHJzL2Rvd25yZXYueG1sRI9Pi8Iw&#10;FMTvC36H8IS9rakuiFSjLC6yPXjxH3h8NM+2bvMSmmirn94IgsdhZn7DzBadqcWVGl9ZVjAcJCCI&#10;c6srLhTsd6uvCQgfkDXWlknBjTws5r2PGabatryh6zYUIkLYp6igDMGlUvq8JIN+YB1x9E62MRii&#10;bAqpG2wj3NRylCRjabDiuFCio2VJ+f/2YhQcf9llq1bmp/vSrc/ZpP677A9Kffa7nymIQF14h1/t&#10;TCuIxNH3EJ5/4heQ8wcAAAD//wMAUEsBAi0AFAAGAAgAAAAhANvh9svuAAAAhQEAABMAAAAAAAAA&#10;AAAAAAAAAAAAAFtDb250ZW50X1R5cGVzXS54bWxQSwECLQAUAAYACAAAACEAWvQsW78AAAAVAQAA&#10;CwAAAAAAAAAAAAAAAAAfAQAAX3JlbHMvLnJlbHNQSwECLQAUAAYACAAAACEAU4rAsMYAAADfAAAA&#10;DwAAAAAAAAAAAAAAAAAHAgAAZHJzL2Rvd25yZXYueG1sUEsFBgAAAAADAAMAtwAAAPoCAAAAAA==&#10;" filled="f" stroked="f">
                  <v:textbox inset="0,0,0,0">
                    <w:txbxContent>
                      <w:p w14:paraId="3737518B" w14:textId="77777777" w:rsidR="00B32EF2" w:rsidRDefault="00000000">
                        <w:r>
                          <w:rPr>
                            <w:rFonts w:ascii="Arial" w:eastAsia="Arial" w:hAnsi="Arial" w:cs="Arial"/>
                            <w:sz w:val="18"/>
                          </w:rPr>
                          <w:t xml:space="preserve">. Nei casi di sospensione dell’atto impugnato la trattazione della controversia </w:t>
                        </w:r>
                      </w:p>
                    </w:txbxContent>
                  </v:textbox>
                </v:rect>
                <v:rect id="Rectangle 200230" o:spid="_x0000_s2428" style="position:absolute;left:26110;top:26667;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mUrxwAAAN8AAAAPAAAAZHJzL2Rvd25yZXYueG1sRI9Na8JA&#10;EIbvhf6HZQq91U0tiKSuIhZpDl78KPQ4ZMckNTu7ZFeT+uudg+BxeOd9Xp7ZYnCtulAXG88G3kcZ&#10;KOLS24YrA4f9+m0KKiZki61nMvBPERbz56cZ5tb3vKXLLlVKIBxzNFCnFHKtY1mTwzjygViyo+8c&#10;Jjm7StsOe4G7Vo+zbKIdNiwLNQZa1VSedmdn4PeLQ7HudXm8rsLmr5i23+fDjzGvL8PyE1SiIT2e&#10;7+3CGhDi+EMMxEdcQM9vAAAA//8DAFBLAQItABQABgAIAAAAIQDb4fbL7gAAAIUBAAATAAAAAAAA&#10;AAAAAAAAAAAAAABbQ29udGVudF9UeXBlc10ueG1sUEsBAi0AFAAGAAgAAAAhAFr0LFu/AAAAFQEA&#10;AAsAAAAAAAAAAAAAAAAAHwEAAF9yZWxzLy5yZWxzUEsBAi0AFAAGAAgAAAAhADzGZSvHAAAA3wAA&#10;AA8AAAAAAAAAAAAAAAAABwIAAGRycy9kb3ducmV2LnhtbFBLBQYAAAAAAwADALcAAAD7AgAAAAA=&#10;" filled="f" stroked="f">
                  <v:textbox inset="0,0,0,0">
                    <w:txbxContent>
                      <w:p w14:paraId="165FC42D" w14:textId="77777777" w:rsidR="00B32EF2" w:rsidRDefault="00000000">
                        <w:r>
                          <w:rPr>
                            <w:rFonts w:ascii="Arial" w:eastAsia="Arial" w:hAnsi="Arial" w:cs="Arial"/>
                            <w:sz w:val="18"/>
                          </w:rPr>
                          <w:t>6</w:t>
                        </w:r>
                      </w:p>
                    </w:txbxContent>
                  </v:textbox>
                </v:rect>
                <v:rect id="Rectangle 16134" o:spid="_x0000_s2429" style="position:absolute;left:-1490;top:25434;width:4140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PdxAAAAN4AAAAPAAAAZHJzL2Rvd25yZXYueG1sRE9Li8Iw&#10;EL4v7H8Is+BtTdVFpBplcRF72Isv8Dg0Y1ttJqGJtvrrzcKCt/n4njNbdKYWN2p8ZVnBoJ+AIM6t&#10;rrhQsN+tPicgfEDWWFsmBXfysJi/v80w1bblDd22oRAxhH2KCsoQXCqlz0sy6PvWEUfuZBuDIcKm&#10;kLrBNoabWg6TZCwNVhwbSnS0LCm/bK9GwfGHXbZqZX56LN3vOZvU6+v+oFTvo/ueggjUhZf4353p&#10;OH88GH3B3zvxBjl/AgAA//8DAFBLAQItABQABgAIAAAAIQDb4fbL7gAAAIUBAAATAAAAAAAAAAAA&#10;AAAAAAAAAABbQ29udGVudF9UeXBlc10ueG1sUEsBAi0AFAAGAAgAAAAhAFr0LFu/AAAAFQEAAAsA&#10;AAAAAAAAAAAAAAAAHwEAAF9yZWxzLy5yZWxzUEsBAi0AFAAGAAgAAAAhAJBtw93EAAAA3gAAAA8A&#10;AAAAAAAAAAAAAAAABwIAAGRycy9kb3ducmV2LnhtbFBLBQYAAAAAAwADALcAAAD4AgAAAAA=&#10;" filled="f" stroked="f">
                  <v:textbox inset="0,0,0,0">
                    <w:txbxContent>
                      <w:p w14:paraId="561253E0" w14:textId="77777777" w:rsidR="00B32EF2" w:rsidRDefault="00000000">
                        <w:r>
                          <w:rPr>
                            <w:rFonts w:ascii="Arial" w:eastAsia="Arial" w:hAnsi="Arial" w:cs="Arial"/>
                            <w:sz w:val="18"/>
                          </w:rPr>
                          <w:t xml:space="preserve">deve essere fissata non oltre novanta giorni dalla pronuncia. </w:t>
                        </w:r>
                      </w:p>
                    </w:txbxContent>
                  </v:textbox>
                </v:rect>
                <v:rect id="Rectangle 200229" o:spid="_x0000_s2430" style="position:absolute;left:-13687;top:24200;width:53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VprxgAAAN8AAAAPAAAAZHJzL2Rvd25yZXYueG1sRI9Ba8JA&#10;FITvhf6H5RV6q5vmUGx0laKIOfSijeDxkX0m0ezbJbua1F/vCoLHYWa+YabzwbTiQp1vLCv4HCUg&#10;iEurG64UFH+rjzEIH5A1tpZJwT95mM9eX6aYadvzhi7bUIkIYZ+hgjoEl0npy5oM+pF1xNE72M5g&#10;iLKrpO6wj3DTyjRJvqTBhuNCjY4WNZWn7dko2C/Z5atelofrwv0e83G7Phc7pd7fhp8JiEBDeIYf&#10;7VwriMQ0/Yb7n/gF5OwGAAD//wMAUEsBAi0AFAAGAAgAAAAhANvh9svuAAAAhQEAABMAAAAAAAAA&#10;AAAAAAAAAAAAAFtDb250ZW50X1R5cGVzXS54bWxQSwECLQAUAAYACAAAACEAWvQsW78AAAAVAQAA&#10;CwAAAAAAAAAAAAAAAAAfAQAAX3JlbHMvLnJlbHNQSwECLQAUAAYACAAAACEAKCVaa8YAAADfAAAA&#10;DwAAAAAAAAAAAAAAAAAHAgAAZHJzL2Rvd25yZXYueG1sUEsFBgAAAAADAAMAtwAAAPoCAAAAAA==&#10;" filled="f" stroked="f">
                  <v:textbox inset="0,0,0,0">
                    <w:txbxContent>
                      <w:p w14:paraId="6675A58C" w14:textId="77777777" w:rsidR="00B32EF2" w:rsidRDefault="00000000">
                        <w:r>
                          <w:rPr>
                            <w:rFonts w:ascii="Arial" w:eastAsia="Arial" w:hAnsi="Arial" w:cs="Arial"/>
                            <w:sz w:val="18"/>
                          </w:rPr>
                          <w:t xml:space="preserve">. Gli effetti della sospensione cessano dalla data di pubblicazione della sentenza. </w:t>
                        </w:r>
                      </w:p>
                    </w:txbxContent>
                  </v:textbox>
                </v:rect>
                <v:rect id="Rectangle 200228" o:spid="_x0000_s2431" style="position:absolute;left:26118;top:24200;width:530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f/wxwAAAN8AAAAPAAAAZHJzL2Rvd25yZXYueG1sRI9Na8Mw&#10;DIbvg/0Ho8Juq9McRsnqltFRlsMu/YIdRawmaWPZxG6T9ddPh0GP4tX7SM9iNbpO3aiPrWcDs2kG&#10;irjytuXawGG/eZ2DignZYueZDPxShNXy+WmBhfUDb+m2S7USCMcCDTQphULrWDXkME59IJbs5HuH&#10;Sca+1rbHQeCu03mWvWmHLcuFBgOtG6ouu6sz8PPJodwMujrd1+H7XM67r+vhaMzLZPx4B5VoTI/l&#10;/3ZpDQgxz+Vh8REX0Ms/AAAA//8DAFBLAQItABQABgAIAAAAIQDb4fbL7gAAAIUBAAATAAAAAAAA&#10;AAAAAAAAAAAAAABbQ29udGVudF9UeXBlc10ueG1sUEsBAi0AFAAGAAgAAAAhAFr0LFu/AAAAFQEA&#10;AAsAAAAAAAAAAAAAAAAAHwEAAF9yZWxzLy5yZWxzUEsBAi0AFAAGAAgAAAAhAEdp//DHAAAA3wAA&#10;AA8AAAAAAAAAAAAAAAAABwIAAGRycy9kb3ducmV2LnhtbFBLBQYAAAAAAwADALcAAAD7AgAAAAA=&#10;" filled="f" stroked="f">
                  <v:textbox inset="0,0,0,0">
                    <w:txbxContent>
                      <w:p w14:paraId="691B3C05" w14:textId="77777777" w:rsidR="00B32EF2" w:rsidRDefault="00000000">
                        <w:r>
                          <w:rPr>
                            <w:rFonts w:ascii="Arial" w:eastAsia="Arial" w:hAnsi="Arial" w:cs="Arial"/>
                            <w:sz w:val="18"/>
                          </w:rPr>
                          <w:t>7</w:t>
                        </w:r>
                      </w:p>
                    </w:txbxContent>
                  </v:textbox>
                </v:rect>
                <v:rect id="Rectangle 200227" o:spid="_x0000_s2432" style="position:absolute;left:-12852;top:22967;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muCxgAAAN8AAAAPAAAAZHJzL2Rvd25yZXYueG1sRI9Ba8JA&#10;FITvgv9heUJvumkOraSuUhQxh16qEXp8ZJ9J2uzbJbua1F/vCoLHYWa+YRarwbTiQp1vLCt4nSUg&#10;iEurG64UFIftdA7CB2SNrWVS8E8eVsvxaIGZtj1/02UfKhEh7DNUUIfgMil9WZNBP7OOOHon2xkM&#10;UXaV1B32EW5amSbJmzTYcFyo0dG6pvJvfzYKfjbs8m0vy9N17b5+83m7OxdHpV4mw+cHiEBDeIYf&#10;7VwriMQ0fYf7n/gF5PIGAAD//wMAUEsBAi0AFAAGAAgAAAAhANvh9svuAAAAhQEAABMAAAAAAAAA&#10;AAAAAAAAAAAAAFtDb250ZW50X1R5cGVzXS54bWxQSwECLQAUAAYACAAAACEAWvQsW78AAAAVAQAA&#10;CwAAAAAAAAAAAAAAAAAfAQAAX3JlbHMvLnJlbHNQSwECLQAUAAYACAAAACEANvZrgsYAAADfAAAA&#10;DwAAAAAAAAAAAAAAAAAHAgAAZHJzL2Rvd25yZXYueG1sUEsFBgAAAAADAAMAtwAAAPoCAAAAAA==&#10;" filled="f" stroked="f">
                  <v:textbox inset="0,0,0,0">
                    <w:txbxContent>
                      <w:p w14:paraId="59EDAA87" w14:textId="77777777" w:rsidR="00B32EF2" w:rsidRDefault="00000000">
                        <w:r>
                          <w:rPr>
                            <w:rFonts w:ascii="Arial" w:eastAsia="Arial" w:hAnsi="Arial" w:cs="Arial"/>
                            <w:sz w:val="18"/>
                          </w:rPr>
                          <w:t>. In caso di mutamento delle circostanze la corte di giustizia tributaria di pri</w:t>
                        </w:r>
                      </w:p>
                    </w:txbxContent>
                  </v:textbox>
                </v:rect>
                <v:rect id="Rectangle 200225" o:spid="_x0000_s2433" style="position:absolute;left:26350;top:22967;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BuxgAAAN8AAAAPAAAAZHJzL2Rvd25yZXYueG1sRI9Ba8JA&#10;FITvgv9heUJvummgRVJXKYqYQy/VCD0+ss8kbfbtkl1N6q93BcHjMDPfMIvVYFpxoc43lhW8zhIQ&#10;xKXVDVcKisN2OgfhA7LG1jIp+CcPq+V4tMBM256/6bIPlYgQ9hkqqENwmZS+rMmgn1lHHL2T7QyG&#10;KLtK6g77CDetTJPkXRpsOC7U6GhdU/m3PxsFPxt2+baX5em6dl+/+bzdnYujUi+T4fMDRKAhPMOP&#10;dq4VRGKavsH9T/wCcnkDAAD//wMAUEsBAi0AFAAGAAgAAAAhANvh9svuAAAAhQEAABMAAAAAAAAA&#10;AAAAAAAAAAAAAFtDb250ZW50X1R5cGVzXS54bWxQSwECLQAUAAYACAAAACEAWvQsW78AAAAVAQAA&#10;CwAAAAAAAAAAAAAAAAAfAQAAX3JlbHMvLnJlbHNQSwECLQAUAAYACAAAACEAqWhQbsYAAADfAAAA&#10;DwAAAAAAAAAAAAAAAAAHAgAAZHJzL2Rvd25yZXYueG1sUEsFBgAAAAADAAMAtwAAAPoCAAAAAA==&#10;" filled="f" stroked="f">
                  <v:textbox inset="0,0,0,0">
                    <w:txbxContent>
                      <w:p w14:paraId="4B40FFFE" w14:textId="77777777" w:rsidR="00B32EF2" w:rsidRDefault="00000000">
                        <w:r>
                          <w:rPr>
                            <w:rFonts w:ascii="Arial" w:eastAsia="Arial" w:hAnsi="Arial" w:cs="Arial"/>
                            <w:sz w:val="18"/>
                          </w:rPr>
                          <w:t>8</w:t>
                        </w:r>
                      </w:p>
                    </w:txbxContent>
                  </v:textbox>
                </v:rect>
                <v:rect id="Rectangle 16137" o:spid="_x0000_s2434" style="position:absolute;left:193;top:229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12qxAAAAN4AAAAPAAAAZHJzL2Rvd25yZXYueG1sRE9Li8Iw&#10;EL4v7H8Is+BtTV1BpRplcZHtwcv6AI9DM7bVZhKaaKu/3iwI3ubje85s0ZlaXKnxlWUFg34Cgji3&#10;uuJCwW67+pyA8AFZY22ZFNzIw2L+/jbDVNuW/+i6CYWIIexTVFCG4FIpfV6SQd+3jjhyR9sYDBE2&#10;hdQNtjHc1PIrSUbSYMWxoURHy5Ly8+ZiFBx+2GWrVubH+9KtT9mk/r3s9kr1PrrvKYhAXXiJn+5M&#10;x/mjwXAM/+/EG+T8AQAA//8DAFBLAQItABQABgAIAAAAIQDb4fbL7gAAAIUBAAATAAAAAAAAAAAA&#10;AAAAAAAAAABbQ29udGVudF9UeXBlc10ueG1sUEsBAi0AFAAGAAgAAAAhAFr0LFu/AAAAFQEAAAsA&#10;AAAAAAAAAAAAAAAAHwEAAF9yZWxzLy5yZWxzUEsBAi0AFAAGAAgAAAAhAGC/XarEAAAA3gAAAA8A&#10;AAAAAAAAAAAAAAAABwIAAGRycy9kb3ducmV2LnhtbFBLBQYAAAAAAwADALcAAAD4AgAAAAA=&#10;" filled="f" stroked="f">
                  <v:textbox inset="0,0,0,0">
                    <w:txbxContent>
                      <w:p w14:paraId="5E5DE5CB" w14:textId="77777777" w:rsidR="00B32EF2" w:rsidRDefault="00000000">
                        <w:r>
                          <w:rPr>
                            <w:rFonts w:ascii="Arial" w:eastAsia="Arial" w:hAnsi="Arial" w:cs="Arial"/>
                            <w:sz w:val="18"/>
                          </w:rPr>
                          <w:t>-</w:t>
                        </w:r>
                      </w:p>
                    </w:txbxContent>
                  </v:textbox>
                </v:rect>
                <v:rect id="Rectangle 16138" o:spid="_x0000_s2435" style="position:absolute;left:-12198;top:21734;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MnYxwAAAN4AAAAPAAAAZHJzL2Rvd25yZXYueG1sRI9Pa8JA&#10;EMXvhX6HZYTe6sYWRFJXEYs0h178Bz0O2TGJZmeX7GrSfvrOQfA2w3vz3m/my8G16kZdbDwbmIwz&#10;UMSltw1XBg77zesMVEzIFlvPZOCXIiwXz09zzK3veUu3XaqUhHDM0UCdUsi1jmVNDuPYB2LRTr5z&#10;mGTtKm077CXctfoty6baYcPSUGOgdU3lZXd1Bn4+ORSbXpenv3X4Phez9ut6OBrzMhpWH6ASDelh&#10;vl8XVvCnk3fhlXdkBr34BwAA//8DAFBLAQItABQABgAIAAAAIQDb4fbL7gAAAIUBAAATAAAAAAAA&#10;AAAAAAAAAAAAAABbQ29udGVudF9UeXBlc10ueG1sUEsBAi0AFAAGAAgAAAAhAFr0LFu/AAAAFQEA&#10;AAsAAAAAAAAAAAAAAAAAHwEAAF9yZWxzLy5yZWxzUEsBAi0AFAAGAAgAAAAhABEgydjHAAAA3gAA&#10;AA8AAAAAAAAAAAAAAAAABwIAAGRycy9kb3ducmV2LnhtbFBLBQYAAAAAAwADALcAAAD7AgAAAAA=&#10;" filled="f" stroked="f">
                  <v:textbox inset="0,0,0,0">
                    <w:txbxContent>
                      <w:p w14:paraId="2BAC611D" w14:textId="77777777" w:rsidR="00B32EF2" w:rsidRDefault="00000000">
                        <w:r>
                          <w:rPr>
                            <w:rFonts w:ascii="Arial" w:eastAsia="Arial" w:hAnsi="Arial" w:cs="Arial"/>
                            <w:sz w:val="18"/>
                          </w:rPr>
                          <w:t>mo o di secondo grado presso la quale è pendente il giudizio su istanza moti</w:t>
                        </w:r>
                      </w:p>
                    </w:txbxContent>
                  </v:textbox>
                </v:rect>
                <v:rect id="Rectangle 16139" o:spid="_x0000_s2436" style="position:absolute;left:193;top:217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DxAAAAN4AAAAPAAAAZHJzL2Rvd25yZXYueG1sRE9Li8Iw&#10;EL4L+x/CLHhbU1cQrUZZXGR78LI+wOPQjG21mYQm2uqvNwsL3ubje8582Zla3KjxlWUFw0ECgji3&#10;uuJCwX63/piA8AFZY22ZFNzJw3Lx1ptjqm3Lv3TbhkLEEPYpKihDcKmUPi/JoB9YRxy5k20Mhgib&#10;QuoG2xhuavmZJGNpsOLYUKKjVUn5ZXs1Co7f7LJ1K/PTY+U252xS/1z3B6X6793XDESgLrzE/+5M&#10;x/nj4WgKf+/EG+TiCQAA//8DAFBLAQItABQABgAIAAAAIQDb4fbL7gAAAIUBAAATAAAAAAAAAAAA&#10;AAAAAAAAAABbQ29udGVudF9UeXBlc10ueG1sUEsBAi0AFAAGAAgAAAAhAFr0LFu/AAAAFQEAAAsA&#10;AAAAAAAAAAAAAAAAHwEAAF9yZWxzLy5yZWxzUEsBAi0AFAAGAAgAAAAhAH5sbEPEAAAA3gAAAA8A&#10;AAAAAAAAAAAAAAAABwIAAGRycy9kb3ducmV2LnhtbFBLBQYAAAAAAwADALcAAAD4AgAAAAA=&#10;" filled="f" stroked="f">
                  <v:textbox inset="0,0,0,0">
                    <w:txbxContent>
                      <w:p w14:paraId="67ADAAB9" w14:textId="77777777" w:rsidR="00B32EF2" w:rsidRDefault="00000000">
                        <w:r>
                          <w:rPr>
                            <w:rFonts w:ascii="Arial" w:eastAsia="Arial" w:hAnsi="Arial" w:cs="Arial"/>
                            <w:sz w:val="18"/>
                          </w:rPr>
                          <w:t>-</w:t>
                        </w:r>
                      </w:p>
                    </w:txbxContent>
                  </v:textbox>
                </v:rect>
                <v:rect id="Rectangle 16140" o:spid="_x0000_s2437" style="position:absolute;left:-13170;top:205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LajxwAAAN4AAAAPAAAAZHJzL2Rvd25yZXYueG1sRI9Pa8JA&#10;EMXvhX6HZYTe6sZSRFJXEYs0h178Bz0O2TGJZmeX7GrSfvrOQfA2w7x57/3my8G16kZdbDwbmIwz&#10;UMSltw1XBg77zesMVEzIFlvPZOCXIiwXz09zzK3veUu3XaqUmHDM0UCdUsi1jmVNDuPYB2K5nXzn&#10;MMnaVdp22Iu5a/Vblk21w4YlocZA65rKy+7qDPx8cig2vS5Pf+vwfS5m7df1cDTmZTSsPkAlGtJD&#10;fP8urNSfTt4FQHBkBr34BwAA//8DAFBLAQItABQABgAIAAAAIQDb4fbL7gAAAIUBAAATAAAAAAAA&#10;AAAAAAAAAAAAAABbQ29udGVudF9UeXBlc10ueG1sUEsBAi0AFAAGAAgAAAAhAFr0LFu/AAAAFQEA&#10;AAsAAAAAAAAAAAAAAAAAHwEAAF9yZWxzLy5yZWxzUEsBAi0AFAAGAAgAAAAhALdQtqPHAAAA3gAA&#10;AA8AAAAAAAAAAAAAAAAABwIAAGRycy9kb3ducmV2LnhtbFBLBQYAAAAAAwADALcAAAD7AgAAAAA=&#10;" filled="f" stroked="f">
                  <v:textbox inset="0,0,0,0">
                    <w:txbxContent>
                      <w:p w14:paraId="73AB3152" w14:textId="77777777" w:rsidR="00B32EF2" w:rsidRDefault="00000000">
                        <w:r>
                          <w:rPr>
                            <w:rFonts w:ascii="Arial" w:eastAsia="Arial" w:hAnsi="Arial" w:cs="Arial"/>
                            <w:sz w:val="18"/>
                          </w:rPr>
                          <w:t xml:space="preserve">vata di parte può revocare o modificare il provvedimento cautelare prima della </w:t>
                        </w:r>
                      </w:p>
                    </w:txbxContent>
                  </v:textbox>
                </v:rect>
                <v:rect id="Rectangle 16141" o:spid="_x0000_s2438" style="position:absolute;left:-10880;top:19267;width:507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M4xQAAAN4AAAAPAAAAZHJzL2Rvd25yZXYueG1sRE9La8JA&#10;EL4L/odlhN50EykiqRsRRZpDL7Up9DhkJ4+anV2yq0n767uFQm/z8T1nt59ML+40+M6ygnSVgCCu&#10;rO64UVC+nZdbED4ga+wtk4Iv8rDP57MdZtqO/Er3S2hEDGGfoYI2BJdJ6auWDPqVdcSRq+1gMEQ4&#10;NFIPOMZw08t1kmykwY5jQ4uOji1V18vNKPg4sSvOo6zq76N7+Sy2/fOtfFfqYTEdnkAEmsK/+M9d&#10;6Dh/kz6m8PtOvEHmPwAAAP//AwBQSwECLQAUAAYACAAAACEA2+H2y+4AAACFAQAAEwAAAAAAAAAA&#10;AAAAAAAAAAAAW0NvbnRlbnRfVHlwZXNdLnhtbFBLAQItABQABgAIAAAAIQBa9CxbvwAAABUBAAAL&#10;AAAAAAAAAAAAAAAAAB8BAABfcmVscy8ucmVsc1BLAQItABQABgAIAAAAIQDYHBM4xQAAAN4AAAAP&#10;AAAAAAAAAAAAAAAAAAcCAABkcnMvZG93bnJldi54bWxQSwUGAAAAAAMAAwC3AAAA+QIAAAAA&#10;" filled="f" stroked="f">
                  <v:textbox inset="0,0,0,0">
                    <w:txbxContent>
                      <w:p w14:paraId="75847A66" w14:textId="77777777" w:rsidR="00B32EF2" w:rsidRDefault="00000000">
                        <w:r>
                          <w:rPr>
                            <w:rFonts w:ascii="Arial" w:eastAsia="Arial" w:hAnsi="Arial" w:cs="Arial"/>
                            <w:sz w:val="18"/>
                          </w:rPr>
                          <w:t xml:space="preserve">sentenza, osservate per quanto possibile le forme di cui ai commi 1, 2 e 4. </w:t>
                        </w:r>
                      </w:p>
                    </w:txbxContent>
                  </v:textbox>
                </v:rect>
                <v:rect id="Rectangle 200223" o:spid="_x0000_s2439" style="position:absolute;left:26348;top:18034;width:521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W2BxgAAAN8AAAAPAAAAZHJzL2Rvd25yZXYueG1sRI9Ba8JA&#10;FITvgv9heUJvumkKRVJXKYqYQy/VCD0+ss8kbfbtkl1N6q93BcHjMDPfMIvVYFpxoc43lhW8zhIQ&#10;xKXVDVcKisN2OgfhA7LG1jIp+CcPq+V4tMBM256/6bIPlYgQ9hkqqENwmZS+rMmgn1lHHL2T7QyG&#10;KLtK6g77CDetTJPkXRpsOC7U6GhdU/m3PxsFPxt2+baX5em6dl+/+bzdnYujUi+T4fMDRKAhPMOP&#10;dq4VRGKavsH9T/wCcnkDAAD//wMAUEsBAi0AFAAGAAgAAAAhANvh9svuAAAAhQEAABMAAAAAAAAA&#10;AAAAAAAAAAAAAFtDb250ZW50X1R5cGVzXS54bWxQSwECLQAUAAYACAAAACEAWvQsW78AAAAVAQAA&#10;CwAAAAAAAAAAAAAAAAAfAQAAX3JlbHMvLnJlbHNQSwECLQAUAAYACAAAACEASc1tgcYAAADfAAAA&#10;DwAAAAAAAAAAAAAAAAAHAgAAZHJzL2Rvd25yZXYueG1sUEsFBgAAAAADAAMAtwAAAPoCAAAAAA==&#10;" filled="f" stroked="f">
                  <v:textbox inset="0,0,0,0">
                    <w:txbxContent>
                      <w:p w14:paraId="40C49F3D" w14:textId="77777777" w:rsidR="00B32EF2" w:rsidRDefault="00000000">
                        <w:r>
                          <w:rPr>
                            <w:rFonts w:ascii="Arial" w:eastAsia="Arial" w:hAnsi="Arial" w:cs="Arial"/>
                            <w:sz w:val="18"/>
                          </w:rPr>
                          <w:t>9</w:t>
                        </w:r>
                      </w:p>
                    </w:txbxContent>
                  </v:textbox>
                </v:rect>
                <v:rect id="Rectangle 200224" o:spid="_x0000_s2440" style="position:absolute;left:-12839;top:18034;width:521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PX1xgAAAN8AAAAPAAAAZHJzL2Rvd25yZXYueG1sRI9Ba8JA&#10;FITvgv9heUJvumkoRVJXKYqYQy/VCD0+ss8kbfbtkl1N6q93BcHjMDPfMIvVYFpxoc43lhW8zhIQ&#10;xKXVDVcKisN2OgfhA7LG1jIp+CcPq+V4tMBM256/6bIPlYgQ9hkqqENwmZS+rMmgn1lHHL2T7QyG&#10;KLtK6g77CDetTJPkXRpsOC7U6GhdU/m3PxsFPxt2+baX5em6dl+/+bzdnYujUi+T4fMDRKAhPMOP&#10;dq4VRGKavsH9T/wCcnkDAAD//wMAUEsBAi0AFAAGAAgAAAAhANvh9svuAAAAhQEAABMAAAAAAAAA&#10;AAAAAAAAAAAAAFtDb250ZW50X1R5cGVzXS54bWxQSwECLQAUAAYACAAAACEAWvQsW78AAAAVAQAA&#10;CwAAAAAAAAAAAAAAAAAfAQAAX3JlbHMvLnJlbHNQSwECLQAUAAYACAAAACEAxiT19cYAAADfAAAA&#10;DwAAAAAAAAAAAAAAAAAHAgAAZHJzL2Rvd25yZXYueG1sUEsFBgAAAAADAAMAtwAAAPoCAAAAAA==&#10;" filled="f" stroked="f">
                  <v:textbox inset="0,0,0,0">
                    <w:txbxContent>
                      <w:p w14:paraId="58FB0042" w14:textId="77777777" w:rsidR="00B32EF2" w:rsidRDefault="00000000">
                        <w:r>
                          <w:rPr>
                            <w:rFonts w:ascii="Arial" w:eastAsia="Arial" w:hAnsi="Arial" w:cs="Arial"/>
                            <w:sz w:val="18"/>
                          </w:rPr>
                          <w:t>. Durante il periodo di sospensione cautelare si applicano gli interessi al tas</w:t>
                        </w:r>
                      </w:p>
                    </w:txbxContent>
                  </v:textbox>
                </v:rect>
                <v:rect id="Rectangle 16143" o:spid="_x0000_s2441" style="position:absolute;left:193;top:180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ijUxAAAAN4AAAAPAAAAZHJzL2Rvd25yZXYueG1sRE9Li8Iw&#10;EL4v7H8Is+BtTdVFpBplcRF72Isv8Dg0Y1ttJqGJtvrrzcKCt/n4njNbdKYWN2p8ZVnBoJ+AIM6t&#10;rrhQsN+tPicgfEDWWFsmBXfysJi/v80w1bblDd22oRAxhH2KCsoQXCqlz0sy6PvWEUfuZBuDIcKm&#10;kLrBNoabWg6TZCwNVhwbSnS0LCm/bK9GwfGHXbZqZX56LN3vOZvU6+v+oFTvo/ueggjUhZf4353p&#10;OH88+BrB3zvxBjl/AgAA//8DAFBLAQItABQABgAIAAAAIQDb4fbL7gAAAIUBAAATAAAAAAAAAAAA&#10;AAAAAAAAAABbQ29udGVudF9UeXBlc10ueG1sUEsBAi0AFAAGAAgAAAAhAFr0LFu/AAAAFQEAAAsA&#10;AAAAAAAAAAAAAAAAHwEAAF9yZWxzLy5yZWxzUEsBAi0AFAAGAAgAAAAhAEeCKNTEAAAA3gAAAA8A&#10;AAAAAAAAAAAAAAAABwIAAGRycy9kb3ducmV2LnhtbFBLBQYAAAAAAwADALcAAAD4AgAAAAA=&#10;" filled="f" stroked="f">
                  <v:textbox inset="0,0,0,0">
                    <w:txbxContent>
                      <w:p w14:paraId="01FF6507" w14:textId="77777777" w:rsidR="00B32EF2" w:rsidRDefault="00000000">
                        <w:r>
                          <w:rPr>
                            <w:rFonts w:ascii="Arial" w:eastAsia="Arial" w:hAnsi="Arial" w:cs="Arial"/>
                            <w:sz w:val="18"/>
                          </w:rPr>
                          <w:t>-</w:t>
                        </w:r>
                      </w:p>
                    </w:txbxContent>
                  </v:textbox>
                </v:rect>
                <v:rect id="Rectangle 16144" o:spid="_x0000_s2442" style="position:absolute;left:8432;top:16800;width:314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7CgwwAAAN4AAAAPAAAAZHJzL2Rvd25yZXYueG1sRE9Li8Iw&#10;EL4v+B/CCHtbUxcRqUYRRbaHvfgCj0MzttVmEppou/vrjSB4m4/vObNFZ2pxp8ZXlhUMBwkI4tzq&#10;igsFh/3mawLCB2SNtWVS8EceFvPexwxTbVve0n0XChFD2KeooAzBpVL6vCSDfmAdceTOtjEYImwK&#10;qRtsY7ip5XeSjKXBimNDiY5WJeXX3c0oOK3ZZZtW5uf/lfu9ZJP653Y4KvXZ75ZTEIG68Ba/3JmO&#10;88fD0Qie78Qb5PwBAAD//wMAUEsBAi0AFAAGAAgAAAAhANvh9svuAAAAhQEAABMAAAAAAAAAAAAA&#10;AAAAAAAAAFtDb250ZW50X1R5cGVzXS54bWxQSwECLQAUAAYACAAAACEAWvQsW78AAAAVAQAACwAA&#10;AAAAAAAAAAAAAAAfAQAAX3JlbHMvLnJlbHNQSwECLQAUAAYACAAAACEAyGuwoMMAAADeAAAADwAA&#10;AAAAAAAAAAAAAAAHAgAAZHJzL2Rvd25yZXYueG1sUEsFBgAAAAADAAMAtwAAAPcCAAAAAA==&#10;" filled="f" stroked="f">
                  <v:textbox inset="0,0,0,0">
                    <w:txbxContent>
                      <w:p w14:paraId="745016BA" w14:textId="77777777" w:rsidR="00B32EF2" w:rsidRDefault="00000000">
                        <w:r>
                          <w:rPr>
                            <w:rFonts w:ascii="Arial" w:eastAsia="Arial" w:hAnsi="Arial" w:cs="Arial"/>
                            <w:sz w:val="18"/>
                          </w:rPr>
                          <w:t>so previsto per la sospensione amministrativa.</w:t>
                        </w:r>
                      </w:p>
                    </w:txbxContent>
                  </v:textbox>
                </v:rect>
                <v:rect id="Rectangle 16145" o:spid="_x0000_s2443" style="position:absolute;left:15090;top:10633;width:80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xU7xAAAAN4AAAAPAAAAZHJzL2Rvd25yZXYueG1sRE9Li8Iw&#10;EL4v7H8Is+BtTRVXpBplcRF72Isv8Dg0Y1ttJqGJtvrrzcKCt/n4njNbdKYWN2p8ZVnBoJ+AIM6t&#10;rrhQsN+tPicgfEDWWFsmBXfysJi/v80w1bblDd22oRAxhH2KCsoQXCqlz0sy6PvWEUfuZBuDIcKm&#10;kLrBNoabWg6TZCwNVhwbSnS0LCm/bK9GwfGHXbZqZX56LN3vOZvU6+v+oFTvo/ueggjUhZf4353p&#10;OH88GH3B3zvxBjl/AgAA//8DAFBLAQItABQABgAIAAAAIQDb4fbL7gAAAIUBAAATAAAAAAAAAAAA&#10;AAAAAAAAAABbQ29udGVudF9UeXBlc10ueG1sUEsBAi0AFAAGAAgAAAAhAFr0LFu/AAAAFQEAAAsA&#10;AAAAAAAAAAAAAAAAHwEAAF9yZWxzLy5yZWxzUEsBAi0AFAAGAAgAAAAhAKcnFTvEAAAA3gAAAA8A&#10;AAAAAAAAAAAAAAAABwIAAGRycy9kb3ducmV2LnhtbFBLBQYAAAAAAwADALcAAAD4AgAAAAA=&#10;" filled="f" stroked="f">
                  <v:textbox inset="0,0,0,0">
                    <w:txbxContent>
                      <w:p w14:paraId="680E9D29" w14:textId="77777777" w:rsidR="00B32EF2" w:rsidRDefault="00000000">
                        <w:r>
                          <w:rPr>
                            <w:rFonts w:ascii="Arial" w:eastAsia="Arial" w:hAnsi="Arial" w:cs="Arial"/>
                            <w:b/>
                            <w:sz w:val="18"/>
                          </w:rPr>
                          <w:t>Articolo 97</w:t>
                        </w:r>
                      </w:p>
                    </w:txbxContent>
                  </v:textbox>
                </v:rect>
                <v:rect id="Rectangle 200222" o:spid="_x0000_s2444" style="position:absolute;left:10120;top:9400;width:2184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cgaxQAAAN8AAAAPAAAAZHJzL2Rvd25yZXYueG1sRI9Pi8Iw&#10;FMTvwn6H8Ba8abo9iHSNIi6yPezFf+Dx0Tzbrs1LaKKtfnojCB6HmfkNM1v0phFXan1tWcHXOAFB&#10;XFhdc6lgv1uPpiB8QNbYWCYFN/KwmH8MZphp2/GGrttQighhn6GCKgSXSemLigz6sXXE0TvZ1mCI&#10;si2lbrGLcNPINEkm0mDNcaFCR6uKivP2YhQcf9jl604Wp/vK/f3n0+b3sj8oNfzsl98gAvXhHX61&#10;c60gEtM0heef+AXk/AEAAP//AwBQSwECLQAUAAYACAAAACEA2+H2y+4AAACFAQAAEwAAAAAAAAAA&#10;AAAAAAAAAAAAW0NvbnRlbnRfVHlwZXNdLnhtbFBLAQItABQABgAIAAAAIQBa9CxbvwAAABUBAAAL&#10;AAAAAAAAAAAAAAAAAB8BAABfcmVscy8ucmVsc1BLAQItABQABgAIAAAAIQAmgcgaxQAAAN8AAAAP&#10;AAAAAAAAAAAAAAAAAAcCAABkcnMvZG93bnJldi54bWxQSwUGAAAAAAMAAwC3AAAA+QIAAAAA&#10;" filled="f" stroked="f">
                  <v:textbox inset="0,0,0,0">
                    <w:txbxContent>
                      <w:p w14:paraId="63FD1F44" w14:textId="77777777" w:rsidR="00B32EF2" w:rsidRDefault="00000000">
                        <w:r>
                          <w:rPr>
                            <w:rFonts w:ascii="Arial" w:eastAsia="Arial" w:hAnsi="Arial" w:cs="Arial"/>
                            <w:i/>
                            <w:sz w:val="18"/>
                          </w:rPr>
                          <w:t xml:space="preserve">articolo 47-bis D.lgs. n. </w:t>
                        </w:r>
                      </w:p>
                    </w:txbxContent>
                  </v:textbox>
                </v:rect>
                <v:rect id="Rectangle 200220" o:spid="_x0000_s2445" style="position:absolute;left:-5951;top:9400;width:2184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P2xgAAAN8AAAAPAAAAZHJzL2Rvd25yZXYueG1sRI/LasMw&#10;EEX3hf6DmEB3jRwvSnCjhJIS6kU3eUGXgzWxnVgjYSmxm6/vLApZDnfuuZzFanSdulEfW88GZtMM&#10;FHHlbcu1gcN+8zoHFROyxc4zGfilCKvl89MCC+sH3tJtl2olEI4FGmhSCoXWsWrIYZz6QCzZyfcO&#10;k5x9rW2Pg8Bdp/Mse9MOW5aFBgOtG6ouu6sz8PPJodwMujrd1+H7XM67r+vhaMzLZPx4B5VoTI/n&#10;/3ZpDQgxz8VAfMQF9PIPAAD//wMAUEsBAi0AFAAGAAgAAAAhANvh9svuAAAAhQEAABMAAAAAAAAA&#10;AAAAAAAAAAAAAFtDb250ZW50X1R5cGVzXS54bWxQSwECLQAUAAYACAAAACEAWvQsW78AAAAVAQAA&#10;CwAAAAAAAAAAAAAAAAAfAQAAX3JlbHMvLnJlbHNQSwECLQAUAAYACAAAACEAuR/z9sYAAADfAAAA&#10;DwAAAAAAAAAAAAAAAAAHAgAAZHJzL2Rvd25yZXYueG1sUEsFBgAAAAADAAMAtwAAAPoCAAAAAA==&#10;" filled="f" stroked="f">
                  <v:textbox inset="0,0,0,0">
                    <w:txbxContent>
                      <w:p w14:paraId="65F7C17A" w14:textId="77777777" w:rsidR="00B32EF2" w:rsidRDefault="00000000">
                        <w:r>
                          <w:rPr>
                            <w:rFonts w:ascii="Arial" w:eastAsia="Arial" w:hAnsi="Arial" w:cs="Arial"/>
                            <w:i/>
                            <w:sz w:val="18"/>
                          </w:rPr>
                          <w:t>546/92)</w:t>
                        </w:r>
                      </w:p>
                    </w:txbxContent>
                  </v:textbox>
                </v:rect>
                <v:rect id="Rectangle 200219" o:spid="_x0000_s2446" style="position:absolute;left:22531;top:9400;width:2184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DWxwAAAN8AAAAPAAAAZHJzL2Rvd25yZXYueG1sRI/NasMw&#10;EITvhb6D2EJujZwcgutGCSUl1Idc4qbQ42JtbLfWSljyT/r0VSCQ4zAz3zDr7WRaMVDnG8sKFvME&#10;BHFpdcOVgtPn/jkF4QOyxtYyKbiQh+3m8WGNmbYjH2koQiUihH2GCuoQXCalL2sy6OfWEUfvbDuD&#10;IcqukrrDMcJNK5dJspIGG44LNTra1VT+Fr1R8P3OLt+Psjz/7dzhJ0/bj/70pdTsaXp7BRFoCvfw&#10;rZ1rBZG4XLzA9U/8AnLzDwAA//8DAFBLAQItABQABgAIAAAAIQDb4fbL7gAAAIUBAAATAAAAAAAA&#10;AAAAAAAAAAAAAABbQ29udGVudF9UeXBlc10ueG1sUEsBAi0AFAAGAAgAAAAhAFr0LFu/AAAAFQEA&#10;AAsAAAAAAAAAAAAAAAAAHwEAAF9yZWxzLy5yZWxzUEsBAi0AFAAGAAgAAAAhAOZJkNbHAAAA3wAA&#10;AA8AAAAAAAAAAAAAAAAABwIAAGRycy9kb3ducmV2LnhtbFBLBQYAAAAAAwADALcAAAD7AgAAAAA=&#10;" filled="f" stroked="f">
                  <v:textbox inset="0,0,0,0">
                    <w:txbxContent>
                      <w:p w14:paraId="10BED380" w14:textId="77777777" w:rsidR="00B32EF2" w:rsidRDefault="00000000">
                        <w:r>
                          <w:rPr>
                            <w:rFonts w:ascii="Arial" w:eastAsia="Arial" w:hAnsi="Arial" w:cs="Arial"/>
                            <w:i/>
                            <w:sz w:val="18"/>
                          </w:rPr>
                          <w:t>(</w:t>
                        </w:r>
                      </w:p>
                    </w:txbxContent>
                  </v:textbox>
                </v:rect>
                <v:rect id="Rectangle 16147" o:spid="_x0000_s2447" style="position:absolute;left:-12712;top:8166;width:523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S7XxAAAAN4AAAAPAAAAZHJzL2Rvd25yZXYueG1sRE9Li8Iw&#10;EL4v7H8Is+BtTV1EpRplcZHtwcv6AI9DM7bVZhKaaKu/3iwI3ubje85s0ZlaXKnxlWUFg34Cgji3&#10;uuJCwW67+pyA8AFZY22ZFNzIw2L+/jbDVNuW/+i6CYWIIexTVFCG4FIpfV6SQd+3jjhyR9sYDBE2&#10;hdQNtjHc1PIrSUbSYMWxoURHy5Ly8+ZiFBx+2GWrVubH+9KtT9mk/r3s9kr1PrrvKYhAXXiJn+5M&#10;x/mjwXAM/+/EG+T8AQAA//8DAFBLAQItABQABgAIAAAAIQDb4fbL7gAAAIUBAAATAAAAAAAAAAAA&#10;AAAAAAAAAABbQ29udGVudF9UeXBlc10ueG1sUEsBAi0AFAAGAAgAAAAhAFr0LFu/AAAAFQEAAAsA&#10;AAAAAAAAAAAAAAAAHwEAAF9yZWxzLy5yZWxzUEsBAi0AFAAGAAgAAAAhADi5LtfEAAAA3gAAAA8A&#10;AAAAAAAAAAAAAAAABwIAAGRycy9kb3ducmV2LnhtbFBLBQYAAAAAAwADALcAAAD4AgAAAAA=&#10;" filled="f" stroked="f">
                  <v:textbox inset="0,0,0,0">
                    <w:txbxContent>
                      <w:p w14:paraId="29768613" w14:textId="77777777" w:rsidR="00B32EF2" w:rsidRDefault="00000000">
                        <w:r>
                          <w:rPr>
                            <w:rFonts w:ascii="Arial" w:eastAsia="Arial" w:hAnsi="Arial" w:cs="Arial"/>
                            <w:b/>
                            <w:sz w:val="18"/>
                          </w:rPr>
                          <w:t xml:space="preserve">Sospensione di atti volti al recupero di aiuti di Stato e definizione delle </w:t>
                        </w:r>
                      </w:p>
                    </w:txbxContent>
                  </v:textbox>
                </v:rect>
                <v:rect id="Rectangle 16148" o:spid="_x0000_s2448" style="position:absolute;left:10236;top:6933;width:155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rqlxwAAAN4AAAAPAAAAZHJzL2Rvd25yZXYueG1sRI9Pa8JA&#10;EMXvhX6HZYTe6sZSRFJXEYs0h178Bz0O2TGJZmeX7GrSfvrOQfA2w3vz3m/my8G16kZdbDwbmIwz&#10;UMSltw1XBg77zesMVEzIFlvPZOCXIiwXz09zzK3veUu3XaqUhHDM0UCdUsi1jmVNDuPYB2LRTr5z&#10;mGTtKm077CXctfoty6baYcPSUGOgdU3lZXd1Bn4+ORSbXpenv3X4Phez9ut6OBrzMhpWH6ASDelh&#10;vl8XVvCnk3fhlXdkBr34BwAA//8DAFBLAQItABQABgAIAAAAIQDb4fbL7gAAAIUBAAATAAAAAAAA&#10;AAAAAAAAAAAAAABbQ29udGVudF9UeXBlc10ueG1sUEsBAi0AFAAGAAgAAAAhAFr0LFu/AAAAFQEA&#10;AAsAAAAAAAAAAAAAAAAAHwEAAF9yZWxzLy5yZWxzUEsBAi0AFAAGAAgAAAAhAEkmuqXHAAAA3gAA&#10;AA8AAAAAAAAAAAAAAAAABwIAAGRycy9kb3ducmV2LnhtbFBLBQYAAAAAAwADALcAAAD7AgAAAAA=&#10;" filled="f" stroked="f">
                  <v:textbox inset="0,0,0,0">
                    <w:txbxContent>
                      <w:p w14:paraId="4BDBFAFD" w14:textId="77777777" w:rsidR="00B32EF2" w:rsidRDefault="00000000">
                        <w:r>
                          <w:rPr>
                            <w:rFonts w:ascii="Arial" w:eastAsia="Arial" w:hAnsi="Arial" w:cs="Arial"/>
                            <w:b/>
                            <w:sz w:val="18"/>
                          </w:rPr>
                          <w:t xml:space="preserve">relative controversie </w:t>
                        </w:r>
                      </w:p>
                    </w:txbxContent>
                  </v:textbox>
                </v:rect>
                <v:rect id="Rectangle 200218" o:spid="_x0000_s2449" style="position:absolute;left:-13762;top:57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VNxwAAAN8AAAAPAAAAZHJzL2Rvd25yZXYueG1sRI9Na8Mw&#10;DIbvg/0Ho8Fuq9MeRsnqhpJRlsMu/RjsKGI1yRrLJnabrL9+Ogx6FK/eR3pWxeR6daUhdp4NzGcZ&#10;KOLa244bA8fD9mUJKiZki71nMvBLEYr148MKc+tH3tF1nxolEI45GmhTCrnWsW7JYZz5QCzZyQ8O&#10;k4xDo+2Ao8BdrxdZ9qoddiwXWgxUtlSf9xdn4PudQ7UddX26leHzp1r2H5fjlzHPT9PmDVSiKd2X&#10;/9uVNSDExVweFh9xAb3+AwAA//8DAFBLAQItABQABgAIAAAAIQDb4fbL7gAAAIUBAAATAAAAAAAA&#10;AAAAAAAAAAAAAABbQ29udGVudF9UeXBlc10ueG1sUEsBAi0AFAAGAAgAAAAhAFr0LFu/AAAAFQEA&#10;AAsAAAAAAAAAAAAAAAAAHwEAAF9yZWxzLy5yZWxzUEsBAi0AFAAGAAgAAAAhAIkFNU3HAAAA3wAA&#10;AA8AAAAAAAAAAAAAAAAABwIAAGRycy9kb3ducmV2LnhtbFBLBQYAAAAAAwADALcAAAD7AgAAAAA=&#10;" filled="f" stroked="f">
                  <v:textbox inset="0,0,0,0">
                    <w:txbxContent>
                      <w:p w14:paraId="05D815C4" w14:textId="77777777" w:rsidR="00B32EF2" w:rsidRDefault="00000000">
                        <w:r>
                          <w:rPr>
                            <w:rFonts w:ascii="Arial" w:eastAsia="Arial" w:hAnsi="Arial" w:cs="Arial"/>
                            <w:sz w:val="18"/>
                          </w:rPr>
                          <w:t xml:space="preserve">. Qualora sia chiesta in via cautelare la sospensione dell’esecuzione di un </w:t>
                        </w:r>
                      </w:p>
                    </w:txbxContent>
                  </v:textbox>
                </v:rect>
                <v:rect id="Rectangle 200217" o:spid="_x0000_s2450" style="position:absolute;left:26110;top:57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qE/xgAAAN8AAAAPAAAAZHJzL2Rvd25yZXYueG1sRI9Pi8Iw&#10;FMTvC36H8IS9rakeVqlGWVxke/DiP/D4aJ5t3eYlNNFWP70RBI/DzPyGmS06U4srNb6yrGA4SEAQ&#10;51ZXXCjY71ZfExA+IGusLZOCG3lYzHsfM0y1bXlD120oRISwT1FBGYJLpfR5SQb9wDri6J1sYzBE&#10;2RRSN9hGuKnlKEm+pcGK40KJjpYl5f/bi1Fw/GWXrVqZn+5Ltz5nk/rvsj8o9dnvfqYgAnXhHX61&#10;M60gEkfDMTz/xC8g5w8AAAD//wMAUEsBAi0AFAAGAAgAAAAhANvh9svuAAAAhQEAABMAAAAAAAAA&#10;AAAAAAAAAAAAAFtDb250ZW50X1R5cGVzXS54bWxQSwECLQAUAAYACAAAACEAWvQsW78AAAAVAQAA&#10;CwAAAAAAAAAAAAAAAAAfAQAAX3JlbHMvLnJlbHNQSwECLQAUAAYACAAAACEA+JqhP8YAAADfAAAA&#10;DwAAAAAAAAAAAAAAAAAHAgAAZHJzL2Rvd25yZXYueG1sUEsFBgAAAAADAAMAtwAAAPoCAAAAAA==&#10;" filled="f" stroked="f">
                  <v:textbox inset="0,0,0,0">
                    <w:txbxContent>
                      <w:p w14:paraId="026A1EB2" w14:textId="77777777" w:rsidR="00B32EF2" w:rsidRDefault="00000000">
                        <w:r>
                          <w:rPr>
                            <w:rFonts w:ascii="Arial" w:eastAsia="Arial" w:hAnsi="Arial" w:cs="Arial"/>
                            <w:sz w:val="18"/>
                          </w:rPr>
                          <w:t>1</w:t>
                        </w:r>
                      </w:p>
                    </w:txbxContent>
                  </v:textbox>
                </v:rect>
                <v:rect id="Rectangle 16150" o:spid="_x0000_s2451" style="position:absolute;left:-13171;top:44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SB+xwAAAN4AAAAPAAAAZHJzL2Rvd25yZXYueG1sRI9Pa8JA&#10;EMXvhX6HZYTe6sZCRVJXEYs0h178Bz0O2TGJZmeX7GrSfvrOQfA2w7x57/3my8G16kZdbDwbmIwz&#10;UMSltw1XBg77zesMVEzIFlvPZOCXIiwXz09zzK3veUu3XaqUmHDM0UCdUsi1jmVNDuPYB2K5nXzn&#10;MMnaVdp22Iu5a/Vblk21w4YlocZA65rKy+7qDPx8cig2vS5Pf+vwfS5m7df1cDTmZTSsPkAlGtJD&#10;fP8urNSfTt4FQHBkBr34BwAA//8DAFBLAQItABQABgAIAAAAIQDb4fbL7gAAAIUBAAATAAAAAAAA&#10;AAAAAAAAAAAAAABbQ29udGVudF9UeXBlc10ueG1sUEsBAi0AFAAGAAgAAAAhAFr0LFu/AAAAFQEA&#10;AAsAAAAAAAAAAAAAAAAAHwEAAF9yZWxzLy5yZWxzUEsBAi0AFAAGAAgAAAAhADKJIH7HAAAA3gAA&#10;AA8AAAAAAAAAAAAAAAAABwIAAGRycy9kb3ducmV2LnhtbFBLBQYAAAAAAwADALcAAAD7AgAAAAA=&#10;" filled="f" stroked="f">
                  <v:textbox inset="0,0,0,0">
                    <w:txbxContent>
                      <w:p w14:paraId="7045A2AE" w14:textId="77777777" w:rsidR="00B32EF2" w:rsidRDefault="00000000">
                        <w:r>
                          <w:rPr>
                            <w:rFonts w:ascii="Arial" w:eastAsia="Arial" w:hAnsi="Arial" w:cs="Arial"/>
                            <w:sz w:val="18"/>
                          </w:rPr>
                          <w:t xml:space="preserve">atto volto al recupero di aiuti di Stato dichiarati incompatibili in esecuzione di </w:t>
                        </w:r>
                      </w:p>
                    </w:txbxContent>
                  </v:textbox>
                </v:rect>
                <v:shape id="Shape 207806" o:spid="_x0000_s2452" style="position:absolute;left:319;top:13048;width:39600;height:3833;visibility:visible;mso-wrap-style:square;v-text-anchor:top" coordsize="3960000,38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YcBxQAAAN8AAAAPAAAAZHJzL2Rvd25yZXYueG1sRI9PawIx&#10;FMTvhX6H8ARvNdHDVrdGkVJFvBT/HHp8bJ6bxc3LkqS6fntTKHgcZuY3zHzZu1ZcKcTGs4bxSIEg&#10;rrxpuNZwOq7fpiBiQjbYeiYNd4qwXLy+zLE0/sZ7uh5SLTKEY4kabEpdKWWsLDmMI98RZ+/sg8OU&#10;ZailCXjLcNfKiVKFdNhwXrDY0ael6nL4dZnSWMa7LbpZ+O53R4Vfxc/movVw0K8+QCTq0zP8394a&#10;DRP1PlUF/P3JX0AuHgAAAP//AwBQSwECLQAUAAYACAAAACEA2+H2y+4AAACFAQAAEwAAAAAAAAAA&#10;AAAAAAAAAAAAW0NvbnRlbnRfVHlwZXNdLnhtbFBLAQItABQABgAIAAAAIQBa9CxbvwAAABUBAAAL&#10;AAAAAAAAAAAAAAAAAB8BAABfcmVscy8ucmVsc1BLAQItABQABgAIAAAAIQAtoYcBxQAAAN8AAAAP&#10;AAAAAAAAAAAAAAAAAAcCAABkcnMvZG93bnJldi54bWxQSwUGAAAAAAMAAwC3AAAA+QIAAAAA&#10;" path="m,l3960000,r,383299l,383299,,e" fillcolor="#c3c3c3" stroked="f" strokeweight="0">
                  <v:stroke miterlimit="83231f" joinstyle="miter"/>
                  <v:path arrowok="t" textboxrect="0,0,3960000,383299"/>
                </v:shape>
                <v:rect id="Rectangle 16152" o:spid="_x0000_s2453" style="position:absolute;left:23289;top:14668;width:158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xuSxAAAAN4AAAAPAAAAZHJzL2Rvd25yZXYueG1sRE9Li8Iw&#10;EL4v+B/CCN7WVGFFqlFEke3By/oAj0MzttVmEppoq79+s7DgbT6+58yXnanFgxpfWVYwGiYgiHOr&#10;Ky4UHA/bzykIH5A11pZJwZM8LBe9jzmm2rb8Q499KEQMYZ+igjIEl0rp85IM+qF1xJG72MZgiLAp&#10;pG6wjeGmluMkmUiDFceGEh2tS8pv+7tRcN6wy7atzC+vtdtds2n9fT+elBr0u9UMRKAuvMX/7kzH&#10;+ZPR1xj+3ok3yMUvAAAA//8DAFBLAQItABQABgAIAAAAIQDb4fbL7gAAAIUBAAATAAAAAAAAAAAA&#10;AAAAAAAAAABbQ29udGVudF9UeXBlc10ueG1sUEsBAi0AFAAGAAgAAAAhAFr0LFu/AAAAFQEAAAsA&#10;AAAAAAAAAAAAAAAAHwEAAF9yZWxzLy5yZWxzUEsBAi0AFAAGAAgAAAAhAK0XG5LEAAAA3gAAAA8A&#10;AAAAAAAAAAAAAAAABwIAAGRycy9kb3ducmV2LnhtbFBLBQYAAAAAAwADALcAAAD4AgAAAAA=&#10;" filled="f" stroked="f">
                  <v:textbox inset="0,0,0,0">
                    <w:txbxContent>
                      <w:p w14:paraId="31A635D8" w14:textId="77777777" w:rsidR="00B32EF2" w:rsidRDefault="00000000">
                        <w:r>
                          <w:rPr>
                            <w:rFonts w:ascii="Arial" w:eastAsia="Arial" w:hAnsi="Arial" w:cs="Arial"/>
                            <w:b/>
                            <w:i/>
                            <w:sz w:val="18"/>
                          </w:rPr>
                          <w:t>NORME RICHIAMATE</w:t>
                        </w:r>
                      </w:p>
                    </w:txbxContent>
                  </v:textbox>
                </v:rect>
                <v:rect id="Rectangle 16153" o:spid="_x0000_s2454" style="position:absolute;left:-1226;top:13435;width:403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74JxAAAAN4AAAAPAAAAZHJzL2Rvd25yZXYueG1sRE9Li8Iw&#10;EL4v7H8Is+BtTVVWpBplcRF72Isv8Dg0Y1ttJqGJtvrrzcKCt/n4njNbdKYWN2p8ZVnBoJ+AIM6t&#10;rrhQsN+tPicgfEDWWFsmBXfysJi/v80w1bblDd22oRAxhH2KCsoQXCqlz0sy6PvWEUfuZBuDIcKm&#10;kLrBNoabWg6TZCwNVhwbSnS0LCm/bK9GwfGHXbZqZX56LN3vOZvU6+v+oFTvo/ueggjUhZf4353p&#10;OH88+BrB3zvxBjl/AgAA//8DAFBLAQItABQABgAIAAAAIQDb4fbL7gAAAIUBAAATAAAAAAAAAAAA&#10;AAAAAAAAAABbQ29udGVudF9UeXBlc10ueG1sUEsBAi0AFAAGAAgAAAAhAFr0LFu/AAAAFQEAAAsA&#10;AAAAAAAAAAAAAAAAHwEAAF9yZWxzLy5yZWxzUEsBAi0AFAAGAAgAAAAhAMJbvgnEAAAA3gAAAA8A&#10;AAAAAAAAAAAAAAAABwIAAGRycy9kb3ducmV2LnhtbFBLBQYAAAAAAwADALcAAAD4AgAAAAA=&#10;" filled="f" stroked="f">
                  <v:textbox inset="0,0,0,0">
                    <w:txbxContent>
                      <w:p w14:paraId="6D87B115" w14:textId="77777777" w:rsidR="00B32EF2" w:rsidRDefault="00000000">
                        <w:r>
                          <w:rPr>
                            <w:rFonts w:ascii="Arial" w:eastAsia="Arial" w:hAnsi="Arial" w:cs="Arial"/>
                            <w:i/>
                            <w:sz w:val="18"/>
                          </w:rPr>
                          <w:t>art. 9-bis D.L. 50/2017 “Indici sintetici di affidabilità fiscale”.</w:t>
                        </w:r>
                      </w:p>
                    </w:txbxContent>
                  </v:textbox>
                </v:rect>
                <v:shape id="Shape 16154" o:spid="_x0000_s2455" style="position:absolute;left:319;top:13048;width:39600;height:3833;visibility:visible;mso-wrap-style:square;v-text-anchor:top" coordsize="3960000,38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XKxQAAAN4AAAAPAAAAZHJzL2Rvd25yZXYueG1sRE9La8JA&#10;EL4L/Q/LFHrTTYoJmroGsRTaUzU+wNuQnSbB7Gya3Wr677sFwdt8fM9Z5INpxYV611hWEE8iEMSl&#10;1Q1XCva7t/EMhPPIGlvLpOCXHOTLh9ECM22vvKVL4SsRQthlqKD2vsukdGVNBt3EdsSB+7K9QR9g&#10;X0nd4zWEm1Y+R1EqDTYcGmrsaF1TeS5+jIL5a/Q5+8b9+YjTjqhok9Nh86HU0+OwegHhafB38c39&#10;rsP8NE6m8P9OuEEu/wAAAP//AwBQSwECLQAUAAYACAAAACEA2+H2y+4AAACFAQAAEwAAAAAAAAAA&#10;AAAAAAAAAAAAW0NvbnRlbnRfVHlwZXNdLnhtbFBLAQItABQABgAIAAAAIQBa9CxbvwAAABUBAAAL&#10;AAAAAAAAAAAAAAAAAB8BAABfcmVscy8ucmVsc1BLAQItABQABgAIAAAAIQALlyXKxQAAAN4AAAAP&#10;AAAAAAAAAAAAAAAAAAcCAABkcnMvZG93bnJldi54bWxQSwUGAAAAAAMAAwC3AAAA+QIAAAAA&#10;" path="m,383299r3960000,l3960000,,,,,383299xe" filled="f" strokeweight="1pt">
                  <v:stroke miterlimit="1" joinstyle="miter"/>
                  <v:path arrowok="t" textboxrect="0,0,3960000,383299"/>
                </v:shape>
                <w10:anchorlock/>
              </v:group>
            </w:pict>
          </mc:Fallback>
        </mc:AlternateContent>
      </w:r>
    </w:p>
    <w:p w14:paraId="5FF9FC5A" w14:textId="77777777" w:rsidR="00B32EF2" w:rsidRDefault="00B32EF2">
      <w:pPr>
        <w:sectPr w:rsidR="00B32EF2">
          <w:headerReference w:type="even" r:id="rId18"/>
          <w:headerReference w:type="default" r:id="rId19"/>
          <w:footerReference w:type="even" r:id="rId20"/>
          <w:footerReference w:type="default" r:id="rId21"/>
          <w:headerReference w:type="first" r:id="rId22"/>
          <w:footerReference w:type="first" r:id="rId23"/>
          <w:pgSz w:w="8504" w:h="11906"/>
          <w:pgMar w:top="625" w:right="1440" w:bottom="1356" w:left="1440" w:header="720" w:footer="720" w:gutter="0"/>
          <w:cols w:space="720"/>
        </w:sectPr>
      </w:pPr>
    </w:p>
    <w:p w14:paraId="1452F26C" w14:textId="77777777" w:rsidR="00B32EF2" w:rsidRDefault="00000000">
      <w:pPr>
        <w:spacing w:after="0"/>
        <w:ind w:left="-356" w:right="-306"/>
      </w:pPr>
      <w:r>
        <w:rPr>
          <w:noProof/>
        </w:rPr>
        <w:lastRenderedPageBreak/>
        <mc:AlternateContent>
          <mc:Choice Requires="wpg">
            <w:drawing>
              <wp:inline distT="0" distB="0" distL="0" distR="0" wp14:anchorId="7AD4FAEE" wp14:editId="57AB7E89">
                <wp:extent cx="3991757" cy="6262854"/>
                <wp:effectExtent l="0" t="0" r="0" b="0"/>
                <wp:docPr id="200756" name="Group 200756"/>
                <wp:cNvGraphicFramePr/>
                <a:graphic xmlns:a="http://schemas.openxmlformats.org/drawingml/2006/main">
                  <a:graphicData uri="http://schemas.microsoft.com/office/word/2010/wordprocessingGroup">
                    <wpg:wgp>
                      <wpg:cNvGrpSpPr/>
                      <wpg:grpSpPr>
                        <a:xfrm>
                          <a:off x="0" y="0"/>
                          <a:ext cx="3991757" cy="6262854"/>
                          <a:chOff x="0" y="0"/>
                          <a:chExt cx="3991757" cy="6262854"/>
                        </a:xfrm>
                      </wpg:grpSpPr>
                      <wps:wsp>
                        <wps:cNvPr id="16225" name="Rectangle 16225"/>
                        <wps:cNvSpPr/>
                        <wps:spPr>
                          <a:xfrm rot="-10799999">
                            <a:off x="1900442" y="-62190"/>
                            <a:ext cx="178369" cy="250646"/>
                          </a:xfrm>
                          <a:prstGeom prst="rect">
                            <a:avLst/>
                          </a:prstGeom>
                          <a:ln>
                            <a:noFill/>
                          </a:ln>
                        </wps:spPr>
                        <wps:txbx>
                          <w:txbxContent>
                            <w:p w14:paraId="10801569" w14:textId="77777777" w:rsidR="00B32EF2" w:rsidRDefault="00000000">
                              <w:r>
                                <w:rPr>
                                  <w:rFonts w:ascii="Times New Roman" w:eastAsia="Times New Roman" w:hAnsi="Times New Roman" w:cs="Times New Roman"/>
                                </w:rPr>
                                <w:t>84</w:t>
                              </w:r>
                            </w:p>
                          </w:txbxContent>
                        </wps:txbx>
                        <wps:bodyPr horzOverflow="overflow" vert="horz" lIns="0" tIns="0" rIns="0" bIns="0" rtlCol="0">
                          <a:noAutofit/>
                        </wps:bodyPr>
                      </wps:wsp>
                      <wps:wsp>
                        <wps:cNvPr id="16226" name="Rectangle 16226"/>
                        <wps:cNvSpPr/>
                        <wps:spPr>
                          <a:xfrm rot="-10799999">
                            <a:off x="-1317264" y="6119964"/>
                            <a:ext cx="5309020" cy="142890"/>
                          </a:xfrm>
                          <a:prstGeom prst="rect">
                            <a:avLst/>
                          </a:prstGeom>
                          <a:ln>
                            <a:noFill/>
                          </a:ln>
                        </wps:spPr>
                        <wps:txbx>
                          <w:txbxContent>
                            <w:p w14:paraId="5B831B40" w14:textId="77777777" w:rsidR="00B32EF2" w:rsidRDefault="00000000">
                              <w:r>
                                <w:rPr>
                                  <w:rFonts w:ascii="Arial" w:eastAsia="Arial" w:hAnsi="Arial" w:cs="Arial"/>
                                  <w:sz w:val="18"/>
                                </w:rPr>
                                <w:t xml:space="preserve">riassumere o integrare il giudizio non vi abbiano provveduto entro il termine </w:t>
                              </w:r>
                            </w:p>
                          </w:txbxContent>
                        </wps:txbx>
                        <wps:bodyPr horzOverflow="overflow" vert="horz" lIns="0" tIns="0" rIns="0" bIns="0" rtlCol="0">
                          <a:noAutofit/>
                        </wps:bodyPr>
                      </wps:wsp>
                      <wps:wsp>
                        <wps:cNvPr id="16227" name="Rectangle 16227"/>
                        <wps:cNvSpPr/>
                        <wps:spPr>
                          <a:xfrm rot="-10799999">
                            <a:off x="-1317264" y="5996634"/>
                            <a:ext cx="5309021" cy="142891"/>
                          </a:xfrm>
                          <a:prstGeom prst="rect">
                            <a:avLst/>
                          </a:prstGeom>
                          <a:ln>
                            <a:noFill/>
                          </a:ln>
                        </wps:spPr>
                        <wps:txbx>
                          <w:txbxContent>
                            <w:p w14:paraId="1596AD96" w14:textId="77777777" w:rsidR="00B32EF2" w:rsidRDefault="00000000">
                              <w:r>
                                <w:rPr>
                                  <w:rFonts w:ascii="Arial" w:eastAsia="Arial" w:hAnsi="Arial" w:cs="Arial"/>
                                  <w:sz w:val="18"/>
                                </w:rPr>
                                <w:t xml:space="preserve">perentorio stabilito dalla legge o dal giudice che dalla legge sia autorizzato a </w:t>
                              </w:r>
                            </w:p>
                          </w:txbxContent>
                        </wps:txbx>
                        <wps:bodyPr horzOverflow="overflow" vert="horz" lIns="0" tIns="0" rIns="0" bIns="0" rtlCol="0">
                          <a:noAutofit/>
                        </wps:bodyPr>
                      </wps:wsp>
                      <wps:wsp>
                        <wps:cNvPr id="16228" name="Rectangle 16228"/>
                        <wps:cNvSpPr/>
                        <wps:spPr>
                          <a:xfrm rot="-10799999">
                            <a:off x="3457846" y="5873305"/>
                            <a:ext cx="535396" cy="142889"/>
                          </a:xfrm>
                          <a:prstGeom prst="rect">
                            <a:avLst/>
                          </a:prstGeom>
                          <a:ln>
                            <a:noFill/>
                          </a:ln>
                        </wps:spPr>
                        <wps:txbx>
                          <w:txbxContent>
                            <w:p w14:paraId="72525969" w14:textId="77777777" w:rsidR="00B32EF2" w:rsidRDefault="00000000">
                              <w:r>
                                <w:rPr>
                                  <w:rFonts w:ascii="Arial" w:eastAsia="Arial" w:hAnsi="Arial" w:cs="Arial"/>
                                  <w:sz w:val="18"/>
                                </w:rPr>
                                <w:t>fissarlo.</w:t>
                              </w:r>
                            </w:p>
                          </w:txbxContent>
                        </wps:txbx>
                        <wps:bodyPr horzOverflow="overflow" vert="horz" lIns="0" tIns="0" rIns="0" bIns="0" rtlCol="0">
                          <a:noAutofit/>
                        </wps:bodyPr>
                      </wps:wsp>
                      <wps:wsp>
                        <wps:cNvPr id="200643" name="Rectangle 200643"/>
                        <wps:cNvSpPr/>
                        <wps:spPr>
                          <a:xfrm rot="-10799999">
                            <a:off x="2610934" y="5749976"/>
                            <a:ext cx="5309006" cy="142889"/>
                          </a:xfrm>
                          <a:prstGeom prst="rect">
                            <a:avLst/>
                          </a:prstGeom>
                          <a:ln>
                            <a:noFill/>
                          </a:ln>
                        </wps:spPr>
                        <wps:txbx>
                          <w:txbxContent>
                            <w:p w14:paraId="2DBB35E9"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644" name="Rectangle 200644"/>
                        <wps:cNvSpPr/>
                        <wps:spPr>
                          <a:xfrm rot="-10799999">
                            <a:off x="-1381805" y="5749976"/>
                            <a:ext cx="5309006" cy="142889"/>
                          </a:xfrm>
                          <a:prstGeom prst="rect">
                            <a:avLst/>
                          </a:prstGeom>
                          <a:ln>
                            <a:noFill/>
                          </a:ln>
                        </wps:spPr>
                        <wps:txbx>
                          <w:txbxContent>
                            <w:p w14:paraId="3A30E8EB" w14:textId="77777777" w:rsidR="00B32EF2" w:rsidRDefault="00000000">
                              <w:r>
                                <w:rPr>
                                  <w:rFonts w:ascii="Arial" w:eastAsia="Arial" w:hAnsi="Arial" w:cs="Arial"/>
                                  <w:sz w:val="18"/>
                                </w:rPr>
                                <w:t xml:space="preserve">. Le spese del processo estinto a norma del comma 1 restano a carico delle </w:t>
                              </w:r>
                            </w:p>
                          </w:txbxContent>
                        </wps:txbx>
                        <wps:bodyPr horzOverflow="overflow" vert="horz" lIns="0" tIns="0" rIns="0" bIns="0" rtlCol="0">
                          <a:noAutofit/>
                        </wps:bodyPr>
                      </wps:wsp>
                      <wps:wsp>
                        <wps:cNvPr id="16230" name="Rectangle 16230"/>
                        <wps:cNvSpPr/>
                        <wps:spPr>
                          <a:xfrm rot="-10799999">
                            <a:off x="2023703" y="5626646"/>
                            <a:ext cx="1968053" cy="142889"/>
                          </a:xfrm>
                          <a:prstGeom prst="rect">
                            <a:avLst/>
                          </a:prstGeom>
                          <a:ln>
                            <a:noFill/>
                          </a:ln>
                        </wps:spPr>
                        <wps:txbx>
                          <w:txbxContent>
                            <w:p w14:paraId="0354A310" w14:textId="77777777" w:rsidR="00B32EF2" w:rsidRDefault="00000000">
                              <w:r>
                                <w:rPr>
                                  <w:rFonts w:ascii="Arial" w:eastAsia="Arial" w:hAnsi="Arial" w:cs="Arial"/>
                                  <w:sz w:val="18"/>
                                </w:rPr>
                                <w:t>parti che le hanno anticipate.</w:t>
                              </w:r>
                            </w:p>
                          </w:txbxContent>
                        </wps:txbx>
                        <wps:bodyPr horzOverflow="overflow" vert="horz" lIns="0" tIns="0" rIns="0" bIns="0" rtlCol="0">
                          <a:noAutofit/>
                        </wps:bodyPr>
                      </wps:wsp>
                      <wps:wsp>
                        <wps:cNvPr id="200641" name="Rectangle 200641"/>
                        <wps:cNvSpPr/>
                        <wps:spPr>
                          <a:xfrm rot="-10799999">
                            <a:off x="2610926" y="5503316"/>
                            <a:ext cx="5309036" cy="142889"/>
                          </a:xfrm>
                          <a:prstGeom prst="rect">
                            <a:avLst/>
                          </a:prstGeom>
                          <a:ln>
                            <a:noFill/>
                          </a:ln>
                        </wps:spPr>
                        <wps:txbx>
                          <w:txbxContent>
                            <w:p w14:paraId="61D05E2D"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0642" name="Rectangle 200642"/>
                        <wps:cNvSpPr/>
                        <wps:spPr>
                          <a:xfrm rot="-10799999">
                            <a:off x="-1381801" y="5503316"/>
                            <a:ext cx="5309035" cy="142889"/>
                          </a:xfrm>
                          <a:prstGeom prst="rect">
                            <a:avLst/>
                          </a:prstGeom>
                          <a:ln>
                            <a:noFill/>
                          </a:ln>
                        </wps:spPr>
                        <wps:txbx>
                          <w:txbxContent>
                            <w:p w14:paraId="2076C9F2" w14:textId="77777777" w:rsidR="00B32EF2" w:rsidRDefault="00000000">
                              <w:r>
                                <w:rPr>
                                  <w:rFonts w:ascii="Arial" w:eastAsia="Arial" w:hAnsi="Arial" w:cs="Arial"/>
                                  <w:sz w:val="18"/>
                                </w:rPr>
                                <w:t xml:space="preserve">. L’estinzione del processo per inattività delle parti è rilevata anche d’ufficio </w:t>
                              </w:r>
                            </w:p>
                          </w:txbxContent>
                        </wps:txbx>
                        <wps:bodyPr horzOverflow="overflow" vert="horz" lIns="0" tIns="0" rIns="0" bIns="0" rtlCol="0">
                          <a:noAutofit/>
                        </wps:bodyPr>
                      </wps:wsp>
                      <wps:wsp>
                        <wps:cNvPr id="16232" name="Rectangle 16232"/>
                        <wps:cNvSpPr/>
                        <wps:spPr>
                          <a:xfrm rot="-10799999">
                            <a:off x="-1147990" y="5379987"/>
                            <a:ext cx="5139747" cy="142889"/>
                          </a:xfrm>
                          <a:prstGeom prst="rect">
                            <a:avLst/>
                          </a:prstGeom>
                          <a:ln>
                            <a:noFill/>
                          </a:ln>
                        </wps:spPr>
                        <wps:txbx>
                          <w:txbxContent>
                            <w:p w14:paraId="67CAF367" w14:textId="77777777" w:rsidR="00B32EF2" w:rsidRDefault="00000000">
                              <w:r>
                                <w:rPr>
                                  <w:rFonts w:ascii="Arial" w:eastAsia="Arial" w:hAnsi="Arial" w:cs="Arial"/>
                                  <w:sz w:val="18"/>
                                </w:rPr>
                                <w:t xml:space="preserve">solo nel grado di giudizio in cui si verifica e rende inefficaci gli atti compiuti. </w:t>
                              </w:r>
                            </w:p>
                          </w:txbxContent>
                        </wps:txbx>
                        <wps:bodyPr horzOverflow="overflow" vert="horz" lIns="0" tIns="0" rIns="0" bIns="0" rtlCol="0">
                          <a:noAutofit/>
                        </wps:bodyPr>
                      </wps:wsp>
                      <wps:wsp>
                        <wps:cNvPr id="200640" name="Rectangle 200640"/>
                        <wps:cNvSpPr/>
                        <wps:spPr>
                          <a:xfrm rot="-10799999">
                            <a:off x="-1380403" y="5256657"/>
                            <a:ext cx="5309021" cy="142889"/>
                          </a:xfrm>
                          <a:prstGeom prst="rect">
                            <a:avLst/>
                          </a:prstGeom>
                          <a:ln>
                            <a:noFill/>
                          </a:ln>
                        </wps:spPr>
                        <wps:txbx>
                          <w:txbxContent>
                            <w:p w14:paraId="4AE143E5" w14:textId="77777777" w:rsidR="00B32EF2" w:rsidRDefault="00000000">
                              <w:r>
                                <w:rPr>
                                  <w:rFonts w:ascii="Arial" w:eastAsia="Arial" w:hAnsi="Arial" w:cs="Arial"/>
                                  <w:sz w:val="18"/>
                                </w:rPr>
                                <w:t xml:space="preserve">. L’estinzione è dichiarata dal presidente della sezione con decreto o dalla </w:t>
                              </w:r>
                            </w:p>
                          </w:txbxContent>
                        </wps:txbx>
                        <wps:bodyPr horzOverflow="overflow" vert="horz" lIns="0" tIns="0" rIns="0" bIns="0" rtlCol="0">
                          <a:noAutofit/>
                        </wps:bodyPr>
                      </wps:wsp>
                      <wps:wsp>
                        <wps:cNvPr id="200639" name="Rectangle 200639"/>
                        <wps:cNvSpPr/>
                        <wps:spPr>
                          <a:xfrm rot="-10799999">
                            <a:off x="2610930" y="5256657"/>
                            <a:ext cx="5309020" cy="142889"/>
                          </a:xfrm>
                          <a:prstGeom prst="rect">
                            <a:avLst/>
                          </a:prstGeom>
                          <a:ln>
                            <a:noFill/>
                          </a:ln>
                        </wps:spPr>
                        <wps:txbx>
                          <w:txbxContent>
                            <w:p w14:paraId="11A241AF"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6234" name="Rectangle 16234"/>
                        <wps:cNvSpPr/>
                        <wps:spPr>
                          <a:xfrm rot="-10799999">
                            <a:off x="-1317264" y="5133327"/>
                            <a:ext cx="5309021" cy="142889"/>
                          </a:xfrm>
                          <a:prstGeom prst="rect">
                            <a:avLst/>
                          </a:prstGeom>
                          <a:ln>
                            <a:noFill/>
                          </a:ln>
                        </wps:spPr>
                        <wps:txbx>
                          <w:txbxContent>
                            <w:p w14:paraId="640480E3" w14:textId="77777777" w:rsidR="00B32EF2" w:rsidRDefault="00000000">
                              <w:r>
                                <w:rPr>
                                  <w:rFonts w:ascii="Arial" w:eastAsia="Arial" w:hAnsi="Arial" w:cs="Arial"/>
                                  <w:sz w:val="18"/>
                                </w:rPr>
                                <w:t xml:space="preserve">corte di giustizia tributaria con sentenza. Avverso il decreto del presidente </w:t>
                              </w:r>
                            </w:p>
                          </w:txbxContent>
                        </wps:txbx>
                        <wps:bodyPr horzOverflow="overflow" vert="horz" lIns="0" tIns="0" rIns="0" bIns="0" rtlCol="0">
                          <a:noAutofit/>
                        </wps:bodyPr>
                      </wps:wsp>
                      <wps:wsp>
                        <wps:cNvPr id="16235" name="Rectangle 16235"/>
                        <wps:cNvSpPr/>
                        <wps:spPr>
                          <a:xfrm rot="-10799999">
                            <a:off x="-1317279" y="5009998"/>
                            <a:ext cx="5309035" cy="142889"/>
                          </a:xfrm>
                          <a:prstGeom prst="rect">
                            <a:avLst/>
                          </a:prstGeom>
                          <a:ln>
                            <a:noFill/>
                          </a:ln>
                        </wps:spPr>
                        <wps:txbx>
                          <w:txbxContent>
                            <w:p w14:paraId="4EE9F0A8" w14:textId="77777777" w:rsidR="00B32EF2" w:rsidRDefault="00000000">
                              <w:r>
                                <w:rPr>
                                  <w:rFonts w:ascii="Arial" w:eastAsia="Arial" w:hAnsi="Arial" w:cs="Arial"/>
                                  <w:sz w:val="18"/>
                                </w:rPr>
                                <w:t xml:space="preserve">è ammesso reclamo alla corte di giustizia tributaria che provvede a norma </w:t>
                              </w:r>
                            </w:p>
                          </w:txbxContent>
                        </wps:txbx>
                        <wps:bodyPr horzOverflow="overflow" vert="horz" lIns="0" tIns="0" rIns="0" bIns="0" rtlCol="0">
                          <a:noAutofit/>
                        </wps:bodyPr>
                      </wps:wsp>
                      <wps:wsp>
                        <wps:cNvPr id="16236" name="Rectangle 16236"/>
                        <wps:cNvSpPr/>
                        <wps:spPr>
                          <a:xfrm rot="-10799999">
                            <a:off x="2963986" y="4886668"/>
                            <a:ext cx="1027770" cy="142889"/>
                          </a:xfrm>
                          <a:prstGeom prst="rect">
                            <a:avLst/>
                          </a:prstGeom>
                          <a:ln>
                            <a:noFill/>
                          </a:ln>
                        </wps:spPr>
                        <wps:txbx>
                          <w:txbxContent>
                            <w:p w14:paraId="58D119E8" w14:textId="77777777" w:rsidR="00B32EF2" w:rsidRDefault="00000000">
                              <w:r>
                                <w:rPr>
                                  <w:rFonts w:ascii="Arial" w:eastAsia="Arial" w:hAnsi="Arial" w:cs="Arial"/>
                                  <w:sz w:val="18"/>
                                </w:rPr>
                                <w:t>dell’articolo 76.</w:t>
                              </w:r>
                            </w:p>
                          </w:txbxContent>
                        </wps:txbx>
                        <wps:bodyPr horzOverflow="overflow" vert="horz" lIns="0" tIns="0" rIns="0" bIns="0" rtlCol="0">
                          <a:noAutofit/>
                        </wps:bodyPr>
                      </wps:wsp>
                      <wps:wsp>
                        <wps:cNvPr id="16237" name="Rectangle 16237"/>
                        <wps:cNvSpPr/>
                        <wps:spPr>
                          <a:xfrm rot="-10799999">
                            <a:off x="1507455" y="4269904"/>
                            <a:ext cx="809349" cy="142889"/>
                          </a:xfrm>
                          <a:prstGeom prst="rect">
                            <a:avLst/>
                          </a:prstGeom>
                          <a:ln>
                            <a:noFill/>
                          </a:ln>
                        </wps:spPr>
                        <wps:txbx>
                          <w:txbxContent>
                            <w:p w14:paraId="516D672C" w14:textId="77777777" w:rsidR="00B32EF2" w:rsidRDefault="00000000">
                              <w:r>
                                <w:rPr>
                                  <w:rFonts w:ascii="Arial" w:eastAsia="Arial" w:hAnsi="Arial" w:cs="Arial"/>
                                  <w:b/>
                                  <w:sz w:val="18"/>
                                </w:rPr>
                                <w:t>Articolo 95</w:t>
                              </w:r>
                            </w:p>
                          </w:txbxContent>
                        </wps:txbx>
                        <wps:bodyPr horzOverflow="overflow" vert="horz" lIns="0" tIns="0" rIns="0" bIns="0" rtlCol="0">
                          <a:noAutofit/>
                        </wps:bodyPr>
                      </wps:wsp>
                      <wps:wsp>
                        <wps:cNvPr id="200638" name="Rectangle 200638"/>
                        <wps:cNvSpPr/>
                        <wps:spPr>
                          <a:xfrm rot="-10799999">
                            <a:off x="1162253" y="4146575"/>
                            <a:ext cx="1943290" cy="142889"/>
                          </a:xfrm>
                          <a:prstGeom prst="rect">
                            <a:avLst/>
                          </a:prstGeom>
                          <a:ln>
                            <a:noFill/>
                          </a:ln>
                        </wps:spPr>
                        <wps:txbx>
                          <w:txbxContent>
                            <w:p w14:paraId="616C16E4" w14:textId="77777777" w:rsidR="00B32EF2" w:rsidRDefault="00000000">
                              <w:r>
                                <w:rPr>
                                  <w:rFonts w:ascii="Arial" w:eastAsia="Arial" w:hAnsi="Arial" w:cs="Arial"/>
                                  <w:i/>
                                  <w:sz w:val="18"/>
                                </w:rPr>
                                <w:t xml:space="preserve">articolo 46 D.lgs. n. </w:t>
                              </w:r>
                            </w:p>
                          </w:txbxContent>
                        </wps:txbx>
                        <wps:bodyPr horzOverflow="overflow" vert="horz" lIns="0" tIns="0" rIns="0" bIns="0" rtlCol="0">
                          <a:noAutofit/>
                        </wps:bodyPr>
                      </wps:wsp>
                      <wps:wsp>
                        <wps:cNvPr id="200636" name="Rectangle 200636"/>
                        <wps:cNvSpPr/>
                        <wps:spPr>
                          <a:xfrm rot="-10799999">
                            <a:off x="2222111" y="4146575"/>
                            <a:ext cx="1943290" cy="142889"/>
                          </a:xfrm>
                          <a:prstGeom prst="rect">
                            <a:avLst/>
                          </a:prstGeom>
                          <a:ln>
                            <a:noFill/>
                          </a:ln>
                        </wps:spPr>
                        <wps:txbx>
                          <w:txbxContent>
                            <w:p w14:paraId="2CAB8C3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637" name="Rectangle 200637"/>
                        <wps:cNvSpPr/>
                        <wps:spPr>
                          <a:xfrm rot="-10799999">
                            <a:off x="-263707" y="4146575"/>
                            <a:ext cx="1943289" cy="142889"/>
                          </a:xfrm>
                          <a:prstGeom prst="rect">
                            <a:avLst/>
                          </a:prstGeom>
                          <a:ln>
                            <a:noFill/>
                          </a:ln>
                        </wps:spPr>
                        <wps:txbx>
                          <w:txbxContent>
                            <w:p w14:paraId="6183526A"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6239" name="Rectangle 16239"/>
                        <wps:cNvSpPr/>
                        <wps:spPr>
                          <a:xfrm rot="-10799999">
                            <a:off x="-1137111" y="4023245"/>
                            <a:ext cx="5020398" cy="142889"/>
                          </a:xfrm>
                          <a:prstGeom prst="rect">
                            <a:avLst/>
                          </a:prstGeom>
                          <a:ln>
                            <a:noFill/>
                          </a:ln>
                        </wps:spPr>
                        <wps:txbx>
                          <w:txbxContent>
                            <w:p w14:paraId="6B70C67C" w14:textId="77777777" w:rsidR="00B32EF2" w:rsidRDefault="00000000">
                              <w:r>
                                <w:rPr>
                                  <w:rFonts w:ascii="Arial" w:eastAsia="Arial" w:hAnsi="Arial" w:cs="Arial"/>
                                  <w:b/>
                                  <w:sz w:val="18"/>
                                </w:rPr>
                                <w:t xml:space="preserve">Estinzione del giudizio per cessazione della materia del contendere </w:t>
                              </w:r>
                            </w:p>
                          </w:txbxContent>
                        </wps:txbx>
                        <wps:bodyPr horzOverflow="overflow" vert="horz" lIns="0" tIns="0" rIns="0" bIns="0" rtlCol="0">
                          <a:noAutofit/>
                        </wps:bodyPr>
                      </wps:wsp>
                      <wps:wsp>
                        <wps:cNvPr id="200633" name="Rectangle 200633"/>
                        <wps:cNvSpPr/>
                        <wps:spPr>
                          <a:xfrm rot="-10799999">
                            <a:off x="2634904" y="3899915"/>
                            <a:ext cx="5212396" cy="142889"/>
                          </a:xfrm>
                          <a:prstGeom prst="rect">
                            <a:avLst/>
                          </a:prstGeom>
                          <a:ln>
                            <a:noFill/>
                          </a:ln>
                        </wps:spPr>
                        <wps:txbx>
                          <w:txbxContent>
                            <w:p w14:paraId="7836FBBE"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634" name="Rectangle 200634"/>
                        <wps:cNvSpPr/>
                        <wps:spPr>
                          <a:xfrm rot="-10799999">
                            <a:off x="-1279824" y="3899915"/>
                            <a:ext cx="5212398" cy="142889"/>
                          </a:xfrm>
                          <a:prstGeom prst="rect">
                            <a:avLst/>
                          </a:prstGeom>
                          <a:ln>
                            <a:noFill/>
                          </a:ln>
                        </wps:spPr>
                        <wps:txbx>
                          <w:txbxContent>
                            <w:p w14:paraId="5F6E7810" w14:textId="77777777" w:rsidR="00B32EF2" w:rsidRDefault="00000000">
                              <w:r>
                                <w:rPr>
                                  <w:rFonts w:ascii="Arial" w:eastAsia="Arial" w:hAnsi="Arial" w:cs="Arial"/>
                                  <w:sz w:val="18"/>
                                </w:rPr>
                                <w:t>. Il giudizio si estingue, in tutto o in parte, nei casi di definizione delle penden</w:t>
                              </w:r>
                            </w:p>
                          </w:txbxContent>
                        </wps:txbx>
                        <wps:bodyPr horzOverflow="overflow" vert="horz" lIns="0" tIns="0" rIns="0" bIns="0" rtlCol="0">
                          <a:noAutofit/>
                        </wps:bodyPr>
                      </wps:wsp>
                      <wps:wsp>
                        <wps:cNvPr id="16241" name="Rectangle 16241"/>
                        <wps:cNvSpPr/>
                        <wps:spPr>
                          <a:xfrm rot="-10799999">
                            <a:off x="19158" y="3899916"/>
                            <a:ext cx="50622" cy="142889"/>
                          </a:xfrm>
                          <a:prstGeom prst="rect">
                            <a:avLst/>
                          </a:prstGeom>
                          <a:ln>
                            <a:noFill/>
                          </a:ln>
                        </wps:spPr>
                        <wps:txbx>
                          <w:txbxContent>
                            <w:p w14:paraId="37AE6FB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242" name="Rectangle 16242"/>
                        <wps:cNvSpPr/>
                        <wps:spPr>
                          <a:xfrm rot="-10799999">
                            <a:off x="-1317248" y="3776585"/>
                            <a:ext cx="5309005" cy="142889"/>
                          </a:xfrm>
                          <a:prstGeom prst="rect">
                            <a:avLst/>
                          </a:prstGeom>
                          <a:ln>
                            <a:noFill/>
                          </a:ln>
                        </wps:spPr>
                        <wps:txbx>
                          <w:txbxContent>
                            <w:p w14:paraId="49A9AF8A" w14:textId="77777777" w:rsidR="00B32EF2" w:rsidRDefault="00000000">
                              <w:r>
                                <w:rPr>
                                  <w:rFonts w:ascii="Arial" w:eastAsia="Arial" w:hAnsi="Arial" w:cs="Arial"/>
                                  <w:sz w:val="18"/>
                                </w:rPr>
                                <w:t xml:space="preserve">ze tributarie previsti dalla legge e in ogni altro caso di cessazione della materia </w:t>
                              </w:r>
                            </w:p>
                          </w:txbxContent>
                        </wps:txbx>
                        <wps:bodyPr horzOverflow="overflow" vert="horz" lIns="0" tIns="0" rIns="0" bIns="0" rtlCol="0">
                          <a:noAutofit/>
                        </wps:bodyPr>
                      </wps:wsp>
                      <wps:wsp>
                        <wps:cNvPr id="16243" name="Rectangle 16243"/>
                        <wps:cNvSpPr/>
                        <wps:spPr>
                          <a:xfrm rot="-10799999">
                            <a:off x="2932640" y="3653256"/>
                            <a:ext cx="1059117" cy="142889"/>
                          </a:xfrm>
                          <a:prstGeom prst="rect">
                            <a:avLst/>
                          </a:prstGeom>
                          <a:ln>
                            <a:noFill/>
                          </a:ln>
                        </wps:spPr>
                        <wps:txbx>
                          <w:txbxContent>
                            <w:p w14:paraId="1E338FFE" w14:textId="77777777" w:rsidR="00B32EF2" w:rsidRDefault="00000000">
                              <w:r>
                                <w:rPr>
                                  <w:rFonts w:ascii="Arial" w:eastAsia="Arial" w:hAnsi="Arial" w:cs="Arial"/>
                                  <w:sz w:val="18"/>
                                </w:rPr>
                                <w:t>del contendere.</w:t>
                              </w:r>
                            </w:p>
                          </w:txbxContent>
                        </wps:txbx>
                        <wps:bodyPr horzOverflow="overflow" vert="horz" lIns="0" tIns="0" rIns="0" bIns="0" rtlCol="0">
                          <a:noAutofit/>
                        </wps:bodyPr>
                      </wps:wsp>
                      <wps:wsp>
                        <wps:cNvPr id="200632" name="Rectangle 200632"/>
                        <wps:cNvSpPr/>
                        <wps:spPr>
                          <a:xfrm rot="-10799999">
                            <a:off x="-1381835" y="3529926"/>
                            <a:ext cx="5309036" cy="142889"/>
                          </a:xfrm>
                          <a:prstGeom prst="rect">
                            <a:avLst/>
                          </a:prstGeom>
                          <a:ln>
                            <a:noFill/>
                          </a:ln>
                        </wps:spPr>
                        <wps:txbx>
                          <w:txbxContent>
                            <w:p w14:paraId="00C550F5" w14:textId="77777777" w:rsidR="00B32EF2" w:rsidRDefault="00000000">
                              <w:r>
                                <w:rPr>
                                  <w:rFonts w:ascii="Arial" w:eastAsia="Arial" w:hAnsi="Arial" w:cs="Arial"/>
                                  <w:sz w:val="18"/>
                                </w:rPr>
                                <w:t xml:space="preserve">. La cessazione della materia del contendere è dichiarata, con decreto del </w:t>
                              </w:r>
                            </w:p>
                          </w:txbxContent>
                        </wps:txbx>
                        <wps:bodyPr horzOverflow="overflow" vert="horz" lIns="0" tIns="0" rIns="0" bIns="0" rtlCol="0">
                          <a:noAutofit/>
                        </wps:bodyPr>
                      </wps:wsp>
                      <wps:wsp>
                        <wps:cNvPr id="200631" name="Rectangle 200631"/>
                        <wps:cNvSpPr/>
                        <wps:spPr>
                          <a:xfrm rot="-10799999">
                            <a:off x="2610926" y="3529926"/>
                            <a:ext cx="5309036" cy="142889"/>
                          </a:xfrm>
                          <a:prstGeom prst="rect">
                            <a:avLst/>
                          </a:prstGeom>
                          <a:ln>
                            <a:noFill/>
                          </a:ln>
                        </wps:spPr>
                        <wps:txbx>
                          <w:txbxContent>
                            <w:p w14:paraId="470A2688"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6245" name="Rectangle 16245"/>
                        <wps:cNvSpPr/>
                        <wps:spPr>
                          <a:xfrm rot="-10799999">
                            <a:off x="-1317248" y="3406596"/>
                            <a:ext cx="5309005" cy="142889"/>
                          </a:xfrm>
                          <a:prstGeom prst="rect">
                            <a:avLst/>
                          </a:prstGeom>
                          <a:ln>
                            <a:noFill/>
                          </a:ln>
                        </wps:spPr>
                        <wps:txbx>
                          <w:txbxContent>
                            <w:p w14:paraId="04341490" w14:textId="77777777" w:rsidR="00B32EF2" w:rsidRDefault="00000000">
                              <w:r>
                                <w:rPr>
                                  <w:rFonts w:ascii="Arial" w:eastAsia="Arial" w:hAnsi="Arial" w:cs="Arial"/>
                                  <w:sz w:val="18"/>
                                </w:rPr>
                                <w:t xml:space="preserve">presidente o con sentenza della corte di giustizia tributaria. Il provvedimento </w:t>
                              </w:r>
                            </w:p>
                          </w:txbxContent>
                        </wps:txbx>
                        <wps:bodyPr horzOverflow="overflow" vert="horz" lIns="0" tIns="0" rIns="0" bIns="0" rtlCol="0">
                          <a:noAutofit/>
                        </wps:bodyPr>
                      </wps:wsp>
                      <wps:wsp>
                        <wps:cNvPr id="16246" name="Rectangle 16246"/>
                        <wps:cNvSpPr/>
                        <wps:spPr>
                          <a:xfrm rot="-10799999">
                            <a:off x="406753" y="3283267"/>
                            <a:ext cx="3585003" cy="142889"/>
                          </a:xfrm>
                          <a:prstGeom prst="rect">
                            <a:avLst/>
                          </a:prstGeom>
                          <a:ln>
                            <a:noFill/>
                          </a:ln>
                        </wps:spPr>
                        <wps:txbx>
                          <w:txbxContent>
                            <w:p w14:paraId="3641338B" w14:textId="77777777" w:rsidR="00B32EF2" w:rsidRDefault="00000000">
                              <w:r>
                                <w:rPr>
                                  <w:rFonts w:ascii="Arial" w:eastAsia="Arial" w:hAnsi="Arial" w:cs="Arial"/>
                                  <w:sz w:val="18"/>
                                </w:rPr>
                                <w:t xml:space="preserve">presidenziale è reclamabile a norma dell’articolo 76. </w:t>
                              </w:r>
                            </w:p>
                          </w:txbxContent>
                        </wps:txbx>
                        <wps:bodyPr horzOverflow="overflow" vert="horz" lIns="0" tIns="0" rIns="0" bIns="0" rtlCol="0">
                          <a:noAutofit/>
                        </wps:bodyPr>
                      </wps:wsp>
                      <wps:wsp>
                        <wps:cNvPr id="200630" name="Rectangle 200630"/>
                        <wps:cNvSpPr/>
                        <wps:spPr>
                          <a:xfrm rot="-10799999">
                            <a:off x="-1381801" y="3159937"/>
                            <a:ext cx="5309036" cy="142889"/>
                          </a:xfrm>
                          <a:prstGeom prst="rect">
                            <a:avLst/>
                          </a:prstGeom>
                          <a:ln>
                            <a:noFill/>
                          </a:ln>
                        </wps:spPr>
                        <wps:txbx>
                          <w:txbxContent>
                            <w:p w14:paraId="3C055851" w14:textId="77777777" w:rsidR="00B32EF2" w:rsidRDefault="00000000">
                              <w:r>
                                <w:rPr>
                                  <w:rFonts w:ascii="Arial" w:eastAsia="Arial" w:hAnsi="Arial" w:cs="Arial"/>
                                  <w:sz w:val="18"/>
                                </w:rPr>
                                <w:t xml:space="preserve">. Nei casi di definizione delle pendenze tributarie previsti dalla legge le spese </w:t>
                              </w:r>
                            </w:p>
                          </w:txbxContent>
                        </wps:txbx>
                        <wps:bodyPr horzOverflow="overflow" vert="horz" lIns="0" tIns="0" rIns="0" bIns="0" rtlCol="0">
                          <a:noAutofit/>
                        </wps:bodyPr>
                      </wps:wsp>
                      <wps:wsp>
                        <wps:cNvPr id="200626" name="Rectangle 200626"/>
                        <wps:cNvSpPr/>
                        <wps:spPr>
                          <a:xfrm rot="-10799999">
                            <a:off x="2610926" y="3159937"/>
                            <a:ext cx="5309036" cy="142889"/>
                          </a:xfrm>
                          <a:prstGeom prst="rect">
                            <a:avLst/>
                          </a:prstGeom>
                          <a:ln>
                            <a:noFill/>
                          </a:ln>
                        </wps:spPr>
                        <wps:txbx>
                          <w:txbxContent>
                            <w:p w14:paraId="605F2058"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6248" name="Rectangle 16248"/>
                        <wps:cNvSpPr/>
                        <wps:spPr>
                          <a:xfrm rot="-10799999">
                            <a:off x="-584866" y="3036607"/>
                            <a:ext cx="4576624" cy="142889"/>
                          </a:xfrm>
                          <a:prstGeom prst="rect">
                            <a:avLst/>
                          </a:prstGeom>
                          <a:ln>
                            <a:noFill/>
                          </a:ln>
                        </wps:spPr>
                        <wps:txbx>
                          <w:txbxContent>
                            <w:p w14:paraId="1691F883" w14:textId="77777777" w:rsidR="00B32EF2" w:rsidRDefault="00000000">
                              <w:r>
                                <w:rPr>
                                  <w:rFonts w:ascii="Arial" w:eastAsia="Arial" w:hAnsi="Arial" w:cs="Arial"/>
                                  <w:sz w:val="18"/>
                                </w:rPr>
                                <w:t>del giudizio estinto restano a carico della parte che le ha anticipate.</w:t>
                              </w:r>
                            </w:p>
                          </w:txbxContent>
                        </wps:txbx>
                        <wps:bodyPr horzOverflow="overflow" vert="horz" lIns="0" tIns="0" rIns="0" bIns="0" rtlCol="0">
                          <a:noAutofit/>
                        </wps:bodyPr>
                      </wps:wsp>
                      <wps:wsp>
                        <wps:cNvPr id="16249" name="Rectangle 16249"/>
                        <wps:cNvSpPr/>
                        <wps:spPr>
                          <a:xfrm rot="-10799999">
                            <a:off x="1655264" y="2296515"/>
                            <a:ext cx="570558" cy="142889"/>
                          </a:xfrm>
                          <a:prstGeom prst="rect">
                            <a:avLst/>
                          </a:prstGeom>
                          <a:ln>
                            <a:noFill/>
                          </a:ln>
                        </wps:spPr>
                        <wps:txbx>
                          <w:txbxContent>
                            <w:p w14:paraId="483F69EA" w14:textId="77777777" w:rsidR="00B32EF2" w:rsidRDefault="00000000">
                              <w:r>
                                <w:rPr>
                                  <w:rFonts w:ascii="Arial" w:eastAsia="Arial" w:hAnsi="Arial" w:cs="Arial"/>
                                  <w:b/>
                                  <w:sz w:val="18"/>
                                </w:rPr>
                                <w:t>CAPO II</w:t>
                              </w:r>
                            </w:p>
                          </w:txbxContent>
                        </wps:txbx>
                        <wps:bodyPr horzOverflow="overflow" vert="horz" lIns="0" tIns="0" rIns="0" bIns="0" rtlCol="0">
                          <a:noAutofit/>
                        </wps:bodyPr>
                      </wps:wsp>
                      <wps:wsp>
                        <wps:cNvPr id="16250" name="Rectangle 16250"/>
                        <wps:cNvSpPr/>
                        <wps:spPr>
                          <a:xfrm rot="-10799999">
                            <a:off x="-221902" y="2173185"/>
                            <a:ext cx="3579181" cy="142889"/>
                          </a:xfrm>
                          <a:prstGeom prst="rect">
                            <a:avLst/>
                          </a:prstGeom>
                          <a:ln>
                            <a:noFill/>
                          </a:ln>
                        </wps:spPr>
                        <wps:txbx>
                          <w:txbxContent>
                            <w:p w14:paraId="7B0FB8F2" w14:textId="77777777" w:rsidR="00B32EF2" w:rsidRDefault="00000000">
                              <w:r>
                                <w:rPr>
                                  <w:rFonts w:ascii="Arial" w:eastAsia="Arial" w:hAnsi="Arial" w:cs="Arial"/>
                                  <w:b/>
                                  <w:sz w:val="18"/>
                                </w:rPr>
                                <w:t xml:space="preserve"> I PROCEDIMENTI CAUTELARE E CONCILIATIVO</w:t>
                              </w:r>
                            </w:p>
                          </w:txbxContent>
                        </wps:txbx>
                        <wps:bodyPr horzOverflow="overflow" vert="horz" lIns="0" tIns="0" rIns="0" bIns="0" rtlCol="0">
                          <a:noAutofit/>
                        </wps:bodyPr>
                      </wps:wsp>
                      <wps:wsp>
                        <wps:cNvPr id="16251" name="Rectangle 16251"/>
                        <wps:cNvSpPr/>
                        <wps:spPr>
                          <a:xfrm rot="-10799999">
                            <a:off x="1506732" y="1926526"/>
                            <a:ext cx="809273" cy="142889"/>
                          </a:xfrm>
                          <a:prstGeom prst="rect">
                            <a:avLst/>
                          </a:prstGeom>
                          <a:ln>
                            <a:noFill/>
                          </a:ln>
                        </wps:spPr>
                        <wps:txbx>
                          <w:txbxContent>
                            <w:p w14:paraId="4F9D2CDE" w14:textId="77777777" w:rsidR="00B32EF2" w:rsidRDefault="00000000">
                              <w:r>
                                <w:rPr>
                                  <w:rFonts w:ascii="Arial" w:eastAsia="Arial" w:hAnsi="Arial" w:cs="Arial"/>
                                  <w:b/>
                                  <w:sz w:val="18"/>
                                </w:rPr>
                                <w:t>Articolo 96</w:t>
                              </w:r>
                            </w:p>
                          </w:txbxContent>
                        </wps:txbx>
                        <wps:bodyPr horzOverflow="overflow" vert="horz" lIns="0" tIns="0" rIns="0" bIns="0" rtlCol="0">
                          <a:noAutofit/>
                        </wps:bodyPr>
                      </wps:wsp>
                      <wps:wsp>
                        <wps:cNvPr id="200591" name="Rectangle 200591"/>
                        <wps:cNvSpPr/>
                        <wps:spPr>
                          <a:xfrm rot="-10799999">
                            <a:off x="-257983" y="1803196"/>
                            <a:ext cx="1939109" cy="142889"/>
                          </a:xfrm>
                          <a:prstGeom prst="rect">
                            <a:avLst/>
                          </a:prstGeom>
                          <a:ln>
                            <a:noFill/>
                          </a:ln>
                        </wps:spPr>
                        <wps:txbx>
                          <w:txbxContent>
                            <w:p w14:paraId="3396DAD1"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593" name="Rectangle 200593"/>
                        <wps:cNvSpPr/>
                        <wps:spPr>
                          <a:xfrm rot="-10799999">
                            <a:off x="1164834" y="1803196"/>
                            <a:ext cx="1939108" cy="142889"/>
                          </a:xfrm>
                          <a:prstGeom prst="rect">
                            <a:avLst/>
                          </a:prstGeom>
                          <a:ln>
                            <a:noFill/>
                          </a:ln>
                        </wps:spPr>
                        <wps:txbx>
                          <w:txbxContent>
                            <w:p w14:paraId="0BC7BEBD" w14:textId="77777777" w:rsidR="00B32EF2" w:rsidRDefault="00000000">
                              <w:r>
                                <w:rPr>
                                  <w:rFonts w:ascii="Arial" w:eastAsia="Arial" w:hAnsi="Arial" w:cs="Arial"/>
                                  <w:i/>
                                  <w:sz w:val="18"/>
                                </w:rPr>
                                <w:t xml:space="preserve">articolo 47 D.lgs. n. </w:t>
                              </w:r>
                            </w:p>
                          </w:txbxContent>
                        </wps:txbx>
                        <wps:bodyPr horzOverflow="overflow" vert="horz" lIns="0" tIns="0" rIns="0" bIns="0" rtlCol="0">
                          <a:noAutofit/>
                        </wps:bodyPr>
                      </wps:wsp>
                      <wps:wsp>
                        <wps:cNvPr id="200589" name="Rectangle 200589"/>
                        <wps:cNvSpPr/>
                        <wps:spPr>
                          <a:xfrm rot="-10799999">
                            <a:off x="2221549" y="1803197"/>
                            <a:ext cx="1939108" cy="142889"/>
                          </a:xfrm>
                          <a:prstGeom prst="rect">
                            <a:avLst/>
                          </a:prstGeom>
                          <a:ln>
                            <a:noFill/>
                          </a:ln>
                        </wps:spPr>
                        <wps:txbx>
                          <w:txbxContent>
                            <w:p w14:paraId="06AFE6A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253" name="Rectangle 16253"/>
                        <wps:cNvSpPr/>
                        <wps:spPr>
                          <a:xfrm rot="-10799999">
                            <a:off x="450153" y="1679867"/>
                            <a:ext cx="2476785" cy="142889"/>
                          </a:xfrm>
                          <a:prstGeom prst="rect">
                            <a:avLst/>
                          </a:prstGeom>
                          <a:ln>
                            <a:noFill/>
                          </a:ln>
                        </wps:spPr>
                        <wps:txbx>
                          <w:txbxContent>
                            <w:p w14:paraId="3B9F371F" w14:textId="77777777" w:rsidR="00B32EF2" w:rsidRDefault="00000000">
                              <w:r>
                                <w:rPr>
                                  <w:rFonts w:ascii="Arial" w:eastAsia="Arial" w:hAnsi="Arial" w:cs="Arial"/>
                                  <w:b/>
                                  <w:sz w:val="18"/>
                                </w:rPr>
                                <w:t xml:space="preserve">Sospensione dell’atto impugnato </w:t>
                              </w:r>
                            </w:p>
                          </w:txbxContent>
                        </wps:txbx>
                        <wps:bodyPr horzOverflow="overflow" vert="horz" lIns="0" tIns="0" rIns="0" bIns="0" rtlCol="0">
                          <a:noAutofit/>
                        </wps:bodyPr>
                      </wps:wsp>
                      <wps:wsp>
                        <wps:cNvPr id="200574" name="Rectangle 200574"/>
                        <wps:cNvSpPr/>
                        <wps:spPr>
                          <a:xfrm rot="-10799999">
                            <a:off x="-1280219" y="1556537"/>
                            <a:ext cx="5212793" cy="142889"/>
                          </a:xfrm>
                          <a:prstGeom prst="rect">
                            <a:avLst/>
                          </a:prstGeom>
                          <a:ln>
                            <a:noFill/>
                          </a:ln>
                        </wps:spPr>
                        <wps:txbx>
                          <w:txbxContent>
                            <w:p w14:paraId="6F6CD766" w14:textId="77777777" w:rsidR="00B32EF2" w:rsidRDefault="00000000">
                              <w:r>
                                <w:rPr>
                                  <w:rFonts w:ascii="Arial" w:eastAsia="Arial" w:hAnsi="Arial" w:cs="Arial"/>
                                  <w:sz w:val="18"/>
                                </w:rPr>
                                <w:t>. Il ricorrente, se dall’atto impugnato può derivargli un danno grave ed irrepa</w:t>
                              </w:r>
                            </w:p>
                          </w:txbxContent>
                        </wps:txbx>
                        <wps:bodyPr horzOverflow="overflow" vert="horz" lIns="0" tIns="0" rIns="0" bIns="0" rtlCol="0">
                          <a:noAutofit/>
                        </wps:bodyPr>
                      </wps:wsp>
                      <wps:wsp>
                        <wps:cNvPr id="200572" name="Rectangle 200572"/>
                        <wps:cNvSpPr/>
                        <wps:spPr>
                          <a:xfrm rot="-10799999">
                            <a:off x="2634807" y="1556537"/>
                            <a:ext cx="5212794" cy="142889"/>
                          </a:xfrm>
                          <a:prstGeom prst="rect">
                            <a:avLst/>
                          </a:prstGeom>
                          <a:ln>
                            <a:noFill/>
                          </a:ln>
                        </wps:spPr>
                        <wps:txbx>
                          <w:txbxContent>
                            <w:p w14:paraId="6332DA09"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6255" name="Rectangle 16255"/>
                        <wps:cNvSpPr/>
                        <wps:spPr>
                          <a:xfrm rot="-10799999">
                            <a:off x="19159" y="1556537"/>
                            <a:ext cx="50622" cy="142889"/>
                          </a:xfrm>
                          <a:prstGeom prst="rect">
                            <a:avLst/>
                          </a:prstGeom>
                          <a:ln>
                            <a:noFill/>
                          </a:ln>
                        </wps:spPr>
                        <wps:txbx>
                          <w:txbxContent>
                            <w:p w14:paraId="2114B90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256" name="Rectangle 16256"/>
                        <wps:cNvSpPr/>
                        <wps:spPr>
                          <a:xfrm rot="-10799999">
                            <a:off x="-1317278" y="1433207"/>
                            <a:ext cx="5309036" cy="142889"/>
                          </a:xfrm>
                          <a:prstGeom prst="rect">
                            <a:avLst/>
                          </a:prstGeom>
                          <a:ln>
                            <a:noFill/>
                          </a:ln>
                        </wps:spPr>
                        <wps:txbx>
                          <w:txbxContent>
                            <w:p w14:paraId="5CC770BE" w14:textId="77777777" w:rsidR="00B32EF2" w:rsidRDefault="00000000">
                              <w:r>
                                <w:rPr>
                                  <w:rFonts w:ascii="Arial" w:eastAsia="Arial" w:hAnsi="Arial" w:cs="Arial"/>
                                  <w:sz w:val="18"/>
                                </w:rPr>
                                <w:t xml:space="preserve">rabile, può chiedere alla corte di giustizia tributaria di primo o di secondo grado </w:t>
                              </w:r>
                            </w:p>
                          </w:txbxContent>
                        </wps:txbx>
                        <wps:bodyPr horzOverflow="overflow" vert="horz" lIns="0" tIns="0" rIns="0" bIns="0" rtlCol="0">
                          <a:noAutofit/>
                        </wps:bodyPr>
                      </wps:wsp>
                      <wps:wsp>
                        <wps:cNvPr id="16257" name="Rectangle 16257"/>
                        <wps:cNvSpPr/>
                        <wps:spPr>
                          <a:xfrm rot="-10799999">
                            <a:off x="-1317247" y="1309877"/>
                            <a:ext cx="5309005" cy="142889"/>
                          </a:xfrm>
                          <a:prstGeom prst="rect">
                            <a:avLst/>
                          </a:prstGeom>
                          <a:ln>
                            <a:noFill/>
                          </a:ln>
                        </wps:spPr>
                        <wps:txbx>
                          <w:txbxContent>
                            <w:p w14:paraId="410B50D0" w14:textId="77777777" w:rsidR="00B32EF2" w:rsidRDefault="00000000">
                              <w:r>
                                <w:rPr>
                                  <w:rFonts w:ascii="Arial" w:eastAsia="Arial" w:hAnsi="Arial" w:cs="Arial"/>
                                  <w:sz w:val="18"/>
                                </w:rPr>
                                <w:t xml:space="preserve">presso la quale è pendente il giudizio, ovvero adita ai sensi dell’articolo 117 </w:t>
                              </w:r>
                            </w:p>
                          </w:txbxContent>
                        </wps:txbx>
                        <wps:bodyPr horzOverflow="overflow" vert="horz" lIns="0" tIns="0" rIns="0" bIns="0" rtlCol="0">
                          <a:noAutofit/>
                        </wps:bodyPr>
                      </wps:wsp>
                      <wps:wsp>
                        <wps:cNvPr id="16258" name="Rectangle 16258"/>
                        <wps:cNvSpPr/>
                        <wps:spPr>
                          <a:xfrm rot="-10799999">
                            <a:off x="-1317232" y="1186548"/>
                            <a:ext cx="5308990" cy="142890"/>
                          </a:xfrm>
                          <a:prstGeom prst="rect">
                            <a:avLst/>
                          </a:prstGeom>
                          <a:ln>
                            <a:noFill/>
                          </a:ln>
                        </wps:spPr>
                        <wps:txbx>
                          <w:txbxContent>
                            <w:p w14:paraId="1CF5572C" w14:textId="77777777" w:rsidR="00B32EF2" w:rsidRDefault="00000000">
                              <w:r>
                                <w:rPr>
                                  <w:rFonts w:ascii="Arial" w:eastAsia="Arial" w:hAnsi="Arial" w:cs="Arial"/>
                                  <w:sz w:val="18"/>
                                </w:rPr>
                                <w:t xml:space="preserve">la sospensione dell’esecuzione dell’atto stesso con istanza motivata proposta </w:t>
                              </w:r>
                            </w:p>
                          </w:txbxContent>
                        </wps:txbx>
                        <wps:bodyPr horzOverflow="overflow" vert="horz" lIns="0" tIns="0" rIns="0" bIns="0" rtlCol="0">
                          <a:noAutofit/>
                        </wps:bodyPr>
                      </wps:wsp>
                      <wps:wsp>
                        <wps:cNvPr id="16259" name="Rectangle 16259"/>
                        <wps:cNvSpPr/>
                        <wps:spPr>
                          <a:xfrm rot="-10799999">
                            <a:off x="-1219195" y="1063218"/>
                            <a:ext cx="5210953" cy="142889"/>
                          </a:xfrm>
                          <a:prstGeom prst="rect">
                            <a:avLst/>
                          </a:prstGeom>
                          <a:ln>
                            <a:noFill/>
                          </a:ln>
                        </wps:spPr>
                        <wps:txbx>
                          <w:txbxContent>
                            <w:p w14:paraId="17FC0D90" w14:textId="77777777" w:rsidR="00B32EF2" w:rsidRDefault="00000000">
                              <w:r>
                                <w:rPr>
                                  <w:rFonts w:ascii="Arial" w:eastAsia="Arial" w:hAnsi="Arial" w:cs="Arial"/>
                                  <w:sz w:val="18"/>
                                </w:rPr>
                                <w:t>nel ricorso o con atto separato notificata alle altre parti e depositato in segre</w:t>
                              </w:r>
                            </w:p>
                          </w:txbxContent>
                        </wps:txbx>
                        <wps:bodyPr horzOverflow="overflow" vert="horz" lIns="0" tIns="0" rIns="0" bIns="0" rtlCol="0">
                          <a:noAutofit/>
                        </wps:bodyPr>
                      </wps:wsp>
                      <wps:wsp>
                        <wps:cNvPr id="16260" name="Rectangle 16260"/>
                        <wps:cNvSpPr/>
                        <wps:spPr>
                          <a:xfrm rot="-10799999">
                            <a:off x="19159" y="1063218"/>
                            <a:ext cx="50622" cy="142889"/>
                          </a:xfrm>
                          <a:prstGeom prst="rect">
                            <a:avLst/>
                          </a:prstGeom>
                          <a:ln>
                            <a:noFill/>
                          </a:ln>
                        </wps:spPr>
                        <wps:txbx>
                          <w:txbxContent>
                            <w:p w14:paraId="2E14CF9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261" name="Rectangle 16261"/>
                        <wps:cNvSpPr/>
                        <wps:spPr>
                          <a:xfrm rot="-10799999">
                            <a:off x="-667655" y="939889"/>
                            <a:ext cx="4659413" cy="142889"/>
                          </a:xfrm>
                          <a:prstGeom prst="rect">
                            <a:avLst/>
                          </a:prstGeom>
                          <a:ln>
                            <a:noFill/>
                          </a:ln>
                        </wps:spPr>
                        <wps:txbx>
                          <w:txbxContent>
                            <w:p w14:paraId="55599D63" w14:textId="77777777" w:rsidR="00B32EF2" w:rsidRDefault="00000000">
                              <w:r>
                                <w:rPr>
                                  <w:rFonts w:ascii="Arial" w:eastAsia="Arial" w:hAnsi="Arial" w:cs="Arial"/>
                                  <w:sz w:val="18"/>
                                </w:rPr>
                                <w:t>teria sempre che siano osservate le disposizioni di cui all’articolo 68.</w:t>
                              </w:r>
                            </w:p>
                          </w:txbxContent>
                        </wps:txbx>
                        <wps:bodyPr horzOverflow="overflow" vert="horz" lIns="0" tIns="0" rIns="0" bIns="0" rtlCol="0">
                          <a:noAutofit/>
                        </wps:bodyPr>
                      </wps:wsp>
                      <wps:wsp>
                        <wps:cNvPr id="200567" name="Rectangle 200567"/>
                        <wps:cNvSpPr/>
                        <wps:spPr>
                          <a:xfrm rot="-10799999">
                            <a:off x="2610935" y="816559"/>
                            <a:ext cx="5309005" cy="142889"/>
                          </a:xfrm>
                          <a:prstGeom prst="rect">
                            <a:avLst/>
                          </a:prstGeom>
                          <a:ln>
                            <a:noFill/>
                          </a:ln>
                        </wps:spPr>
                        <wps:txbx>
                          <w:txbxContent>
                            <w:p w14:paraId="63229E59"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569" name="Rectangle 200569"/>
                        <wps:cNvSpPr/>
                        <wps:spPr>
                          <a:xfrm rot="-10799999">
                            <a:off x="-1381805" y="816559"/>
                            <a:ext cx="5309005" cy="142889"/>
                          </a:xfrm>
                          <a:prstGeom prst="rect">
                            <a:avLst/>
                          </a:prstGeom>
                          <a:ln>
                            <a:noFill/>
                          </a:ln>
                        </wps:spPr>
                        <wps:txbx>
                          <w:txbxContent>
                            <w:p w14:paraId="1D5CE9BA" w14:textId="77777777" w:rsidR="00B32EF2" w:rsidRDefault="00000000">
                              <w:r>
                                <w:rPr>
                                  <w:rFonts w:ascii="Arial" w:eastAsia="Arial" w:hAnsi="Arial" w:cs="Arial"/>
                                  <w:sz w:val="18"/>
                                </w:rPr>
                                <w:t xml:space="preserve">. Il presidente fissa con decreto la trattazione della istanza di sospensione </w:t>
                              </w:r>
                            </w:p>
                          </w:txbxContent>
                        </wps:txbx>
                        <wps:bodyPr horzOverflow="overflow" vert="horz" lIns="0" tIns="0" rIns="0" bIns="0" rtlCol="0">
                          <a:noAutofit/>
                        </wps:bodyPr>
                      </wps:wsp>
                      <wps:wsp>
                        <wps:cNvPr id="16263" name="Rectangle 16263"/>
                        <wps:cNvSpPr/>
                        <wps:spPr>
                          <a:xfrm rot="-10799999">
                            <a:off x="-1317263" y="693229"/>
                            <a:ext cx="5309021" cy="142889"/>
                          </a:xfrm>
                          <a:prstGeom prst="rect">
                            <a:avLst/>
                          </a:prstGeom>
                          <a:ln>
                            <a:noFill/>
                          </a:ln>
                        </wps:spPr>
                        <wps:txbx>
                          <w:txbxContent>
                            <w:p w14:paraId="7FA68736" w14:textId="77777777" w:rsidR="00B32EF2" w:rsidRDefault="00000000">
                              <w:r>
                                <w:rPr>
                                  <w:rFonts w:ascii="Arial" w:eastAsia="Arial" w:hAnsi="Arial" w:cs="Arial"/>
                                  <w:sz w:val="18"/>
                                </w:rPr>
                                <w:t xml:space="preserve">per la prima camera di consiglio utile e comunque non oltre il trentesimo giorno </w:t>
                              </w:r>
                            </w:p>
                          </w:txbxContent>
                        </wps:txbx>
                        <wps:bodyPr horzOverflow="overflow" vert="horz" lIns="0" tIns="0" rIns="0" bIns="0" rtlCol="0">
                          <a:noAutofit/>
                        </wps:bodyPr>
                      </wps:wsp>
                      <wps:wsp>
                        <wps:cNvPr id="16264" name="Rectangle 16264"/>
                        <wps:cNvSpPr/>
                        <wps:spPr>
                          <a:xfrm rot="-10799999">
                            <a:off x="-1218709" y="569899"/>
                            <a:ext cx="5210467" cy="142889"/>
                          </a:xfrm>
                          <a:prstGeom prst="rect">
                            <a:avLst/>
                          </a:prstGeom>
                          <a:ln>
                            <a:noFill/>
                          </a:ln>
                        </wps:spPr>
                        <wps:txbx>
                          <w:txbxContent>
                            <w:p w14:paraId="78401D4F" w14:textId="77777777" w:rsidR="00B32EF2" w:rsidRDefault="00000000">
                              <w:r>
                                <w:rPr>
                                  <w:rFonts w:ascii="Arial" w:eastAsia="Arial" w:hAnsi="Arial" w:cs="Arial"/>
                                  <w:sz w:val="18"/>
                                </w:rPr>
                                <w:t>dalla presentazione della medesima istanza, disponendo che ne sia data co</w:t>
                              </w:r>
                            </w:p>
                          </w:txbxContent>
                        </wps:txbx>
                        <wps:bodyPr horzOverflow="overflow" vert="horz" lIns="0" tIns="0" rIns="0" bIns="0" rtlCol="0">
                          <a:noAutofit/>
                        </wps:bodyPr>
                      </wps:wsp>
                      <wps:wsp>
                        <wps:cNvPr id="16265" name="Rectangle 16265"/>
                        <wps:cNvSpPr/>
                        <wps:spPr>
                          <a:xfrm rot="-10799999">
                            <a:off x="19159" y="569899"/>
                            <a:ext cx="50622" cy="142889"/>
                          </a:xfrm>
                          <a:prstGeom prst="rect">
                            <a:avLst/>
                          </a:prstGeom>
                          <a:ln>
                            <a:noFill/>
                          </a:ln>
                        </wps:spPr>
                        <wps:txbx>
                          <w:txbxContent>
                            <w:p w14:paraId="0354AE4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266" name="Rectangle 16266"/>
                        <wps:cNvSpPr/>
                        <wps:spPr>
                          <a:xfrm rot="-10799999">
                            <a:off x="-1218754" y="446569"/>
                            <a:ext cx="5210512" cy="142889"/>
                          </a:xfrm>
                          <a:prstGeom prst="rect">
                            <a:avLst/>
                          </a:prstGeom>
                          <a:ln>
                            <a:noFill/>
                          </a:ln>
                        </wps:spPr>
                        <wps:txbx>
                          <w:txbxContent>
                            <w:p w14:paraId="7003ABB4" w14:textId="77777777" w:rsidR="00B32EF2" w:rsidRDefault="00000000">
                              <w:r>
                                <w:rPr>
                                  <w:rFonts w:ascii="Arial" w:eastAsia="Arial" w:hAnsi="Arial" w:cs="Arial"/>
                                  <w:sz w:val="18"/>
                                </w:rPr>
                                <w:t>municazione alle parti almeno cinque giorni liberi prima. L’udienza di trattazio</w:t>
                              </w:r>
                            </w:p>
                          </w:txbxContent>
                        </wps:txbx>
                        <wps:bodyPr horzOverflow="overflow" vert="horz" lIns="0" tIns="0" rIns="0" bIns="0" rtlCol="0">
                          <a:noAutofit/>
                        </wps:bodyPr>
                      </wps:wsp>
                      <wps:wsp>
                        <wps:cNvPr id="207812" name="Shape 207812"/>
                        <wps:cNvSpPr/>
                        <wps:spPr>
                          <a:xfrm>
                            <a:off x="31756" y="2635001"/>
                            <a:ext cx="3960000" cy="383299"/>
                          </a:xfrm>
                          <a:custGeom>
                            <a:avLst/>
                            <a:gdLst/>
                            <a:ahLst/>
                            <a:cxnLst/>
                            <a:rect l="0" t="0" r="0" b="0"/>
                            <a:pathLst>
                              <a:path w="3960000" h="383299">
                                <a:moveTo>
                                  <a:pt x="0" y="0"/>
                                </a:moveTo>
                                <a:lnTo>
                                  <a:pt x="3960000" y="0"/>
                                </a:lnTo>
                                <a:lnTo>
                                  <a:pt x="3960000" y="383299"/>
                                </a:lnTo>
                                <a:lnTo>
                                  <a:pt x="0" y="383299"/>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6269" name="Rectangle 16269"/>
                        <wps:cNvSpPr/>
                        <wps:spPr>
                          <a:xfrm rot="-10799999">
                            <a:off x="2356590" y="2797064"/>
                            <a:ext cx="1557845" cy="142889"/>
                          </a:xfrm>
                          <a:prstGeom prst="rect">
                            <a:avLst/>
                          </a:prstGeom>
                          <a:ln>
                            <a:noFill/>
                          </a:ln>
                        </wps:spPr>
                        <wps:txbx>
                          <w:txbxContent>
                            <w:p w14:paraId="239FDDE6" w14:textId="77777777" w:rsidR="00B32EF2" w:rsidRDefault="00000000">
                              <w:r>
                                <w:rPr>
                                  <w:rFonts w:ascii="Arial" w:eastAsia="Arial" w:hAnsi="Arial" w:cs="Arial"/>
                                  <w:b/>
                                  <w:i/>
                                  <w:sz w:val="18"/>
                                </w:rPr>
                                <w:t>NORME COLLEGATE</w:t>
                              </w:r>
                            </w:p>
                          </w:txbxContent>
                        </wps:txbx>
                        <wps:bodyPr horzOverflow="overflow" vert="horz" lIns="0" tIns="0" rIns="0" bIns="0" rtlCol="0">
                          <a:noAutofit/>
                        </wps:bodyPr>
                      </wps:wsp>
                      <wps:wsp>
                        <wps:cNvPr id="16270" name="Rectangle 16270"/>
                        <wps:cNvSpPr/>
                        <wps:spPr>
                          <a:xfrm rot="-10799999">
                            <a:off x="516207" y="2673734"/>
                            <a:ext cx="3397199" cy="142889"/>
                          </a:xfrm>
                          <a:prstGeom prst="rect">
                            <a:avLst/>
                          </a:prstGeom>
                          <a:ln>
                            <a:noFill/>
                          </a:ln>
                        </wps:spPr>
                        <wps:txbx>
                          <w:txbxContent>
                            <w:p w14:paraId="627E8C2E" w14:textId="77777777" w:rsidR="00B32EF2" w:rsidRDefault="00000000">
                              <w:r>
                                <w:rPr>
                                  <w:rFonts w:ascii="Arial" w:eastAsia="Arial" w:hAnsi="Arial" w:cs="Arial"/>
                                  <w:i/>
                                  <w:sz w:val="18"/>
                                </w:rPr>
                                <w:t xml:space="preserve">art 310 c.p.c. “Effetti dell’estinzione del processo” </w:t>
                              </w:r>
                            </w:p>
                          </w:txbxContent>
                        </wps:txbx>
                        <wps:bodyPr horzOverflow="overflow" vert="horz" lIns="0" tIns="0" rIns="0" bIns="0" rtlCol="0">
                          <a:noAutofit/>
                        </wps:bodyPr>
                      </wps:wsp>
                      <wps:wsp>
                        <wps:cNvPr id="16271" name="Shape 16271"/>
                        <wps:cNvSpPr/>
                        <wps:spPr>
                          <a:xfrm>
                            <a:off x="31755" y="2635005"/>
                            <a:ext cx="3960000" cy="383299"/>
                          </a:xfrm>
                          <a:custGeom>
                            <a:avLst/>
                            <a:gdLst/>
                            <a:ahLst/>
                            <a:cxnLst/>
                            <a:rect l="0" t="0" r="0" b="0"/>
                            <a:pathLst>
                              <a:path w="3960000" h="383299">
                                <a:moveTo>
                                  <a:pt x="0" y="383299"/>
                                </a:moveTo>
                                <a:lnTo>
                                  <a:pt x="3960000" y="383299"/>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07813" name="Shape 207813"/>
                        <wps:cNvSpPr/>
                        <wps:spPr>
                          <a:xfrm>
                            <a:off x="31756" y="4534007"/>
                            <a:ext cx="3960000" cy="383299"/>
                          </a:xfrm>
                          <a:custGeom>
                            <a:avLst/>
                            <a:gdLst/>
                            <a:ahLst/>
                            <a:cxnLst/>
                            <a:rect l="0" t="0" r="0" b="0"/>
                            <a:pathLst>
                              <a:path w="3960000" h="383299">
                                <a:moveTo>
                                  <a:pt x="0" y="0"/>
                                </a:moveTo>
                                <a:lnTo>
                                  <a:pt x="3960000" y="0"/>
                                </a:lnTo>
                                <a:lnTo>
                                  <a:pt x="3960000" y="383299"/>
                                </a:lnTo>
                                <a:lnTo>
                                  <a:pt x="0" y="383299"/>
                                </a:lnTo>
                                <a:lnTo>
                                  <a:pt x="0" y="0"/>
                                </a:lnTo>
                              </a:path>
                            </a:pathLst>
                          </a:custGeom>
                          <a:ln w="0" cap="flat">
                            <a:miter lim="100000"/>
                          </a:ln>
                        </wps:spPr>
                        <wps:style>
                          <a:lnRef idx="0">
                            <a:srgbClr val="000000">
                              <a:alpha val="0"/>
                            </a:srgbClr>
                          </a:lnRef>
                          <a:fillRef idx="1">
                            <a:srgbClr val="C3C3C3"/>
                          </a:fillRef>
                          <a:effectRef idx="0">
                            <a:scrgbClr r="0" g="0" b="0"/>
                          </a:effectRef>
                          <a:fontRef idx="none"/>
                        </wps:style>
                        <wps:bodyPr/>
                      </wps:wsp>
                      <wps:wsp>
                        <wps:cNvPr id="16273" name="Rectangle 16273"/>
                        <wps:cNvSpPr/>
                        <wps:spPr>
                          <a:xfrm rot="-10799999">
                            <a:off x="2314684" y="4696064"/>
                            <a:ext cx="1598723" cy="142889"/>
                          </a:xfrm>
                          <a:prstGeom prst="rect">
                            <a:avLst/>
                          </a:prstGeom>
                          <a:ln>
                            <a:noFill/>
                          </a:ln>
                        </wps:spPr>
                        <wps:txbx>
                          <w:txbxContent>
                            <w:p w14:paraId="1AF40E73" w14:textId="77777777" w:rsidR="00B32EF2" w:rsidRDefault="00000000">
                              <w:r>
                                <w:rPr>
                                  <w:rFonts w:ascii="Arial" w:eastAsia="Arial" w:hAnsi="Arial" w:cs="Arial"/>
                                  <w:b/>
                                  <w:i/>
                                  <w:sz w:val="18"/>
                                </w:rPr>
                                <w:t xml:space="preserve">NORME COLLEGATE </w:t>
                              </w:r>
                            </w:p>
                          </w:txbxContent>
                        </wps:txbx>
                        <wps:bodyPr horzOverflow="overflow" vert="horz" lIns="0" tIns="0" rIns="0" bIns="0" rtlCol="0">
                          <a:noAutofit/>
                        </wps:bodyPr>
                      </wps:wsp>
                      <wps:wsp>
                        <wps:cNvPr id="16274" name="Rectangle 16274"/>
                        <wps:cNvSpPr/>
                        <wps:spPr>
                          <a:xfrm rot="-10799999">
                            <a:off x="430346" y="4572735"/>
                            <a:ext cx="3483060" cy="142889"/>
                          </a:xfrm>
                          <a:prstGeom prst="rect">
                            <a:avLst/>
                          </a:prstGeom>
                          <a:ln>
                            <a:noFill/>
                          </a:ln>
                        </wps:spPr>
                        <wps:txbx>
                          <w:txbxContent>
                            <w:p w14:paraId="34C94DB8" w14:textId="77777777" w:rsidR="00B32EF2" w:rsidRDefault="00000000">
                              <w:r>
                                <w:rPr>
                                  <w:rFonts w:ascii="Arial" w:eastAsia="Arial" w:hAnsi="Arial" w:cs="Arial"/>
                                  <w:i/>
                                  <w:sz w:val="18"/>
                                </w:rPr>
                                <w:t>art. 310 c.p.c. “Effetti dell’estinzione del processo” .</w:t>
                              </w:r>
                            </w:p>
                          </w:txbxContent>
                        </wps:txbx>
                        <wps:bodyPr horzOverflow="overflow" vert="horz" lIns="0" tIns="0" rIns="0" bIns="0" rtlCol="0">
                          <a:noAutofit/>
                        </wps:bodyPr>
                      </wps:wsp>
                      <wps:wsp>
                        <wps:cNvPr id="16275" name="Shape 16275"/>
                        <wps:cNvSpPr/>
                        <wps:spPr>
                          <a:xfrm>
                            <a:off x="31755" y="4534010"/>
                            <a:ext cx="3960000" cy="383299"/>
                          </a:xfrm>
                          <a:custGeom>
                            <a:avLst/>
                            <a:gdLst/>
                            <a:ahLst/>
                            <a:cxnLst/>
                            <a:rect l="0" t="0" r="0" b="0"/>
                            <a:pathLst>
                              <a:path w="3960000" h="383299">
                                <a:moveTo>
                                  <a:pt x="0" y="383299"/>
                                </a:moveTo>
                                <a:lnTo>
                                  <a:pt x="3960000" y="383299"/>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D4FAEE" id="Group 200756" o:spid="_x0000_s2456" style="width:314.3pt;height:493.15pt;mso-position-horizontal-relative:char;mso-position-vertical-relative:line" coordsize="39917,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kHmsgsAAECAAAAOAAAAZHJzL2Uyb0RvYy54bWzsXW1v2zgS/n7A/QfD39OIpKgXo+li0d4W&#10;BxxuF/vyA1RHjg3IliGrTXq//p4hKcqSmTQrLcIs2BaIZVqv8/CZGQ6Hmrc/POyrxZeyOe3qw82S&#10;vYmWi/Kwrm93h7ub5R+//3SVLRentjjcFlV9KG+WX8vT8od3//zH2/vjquT1tq5uy2aBkxxOq/vj&#10;zXLbtsfV9fVpvS33xelNfSwP+HFTN/uixdfm7vq2Ke5x9n11zaMoub6vm9tjU6/L0wmtH/SPy3fq&#10;/JtNuW5/3mxOZbuobpa4t1b9bdTfT/T3+t3bYnXXFMftbm1uo5hwF/tid8BF7ak+FG2x+NzsLk61&#10;362b+lRv2jfren9dbza7dameAU/DotHTfGzqz0f1LHer+7ujFRNEO5LT5NOu//vlY3P87fhLA0nc&#10;H+8gC/WNnuVh0+zpE3e5eFAi+2pFVj60izUaRZ6zVKbLxRq/JTzhmYy1UNdbSP7iuPX2X9848rq7&#10;8PXgdu6P6CCnXganeTL4bVscSyXa0woy+KVZ7G7RfxPO5XJxKPboqr+i8xSHu6pc6GYlILW3Fddp&#10;dYLkOlktmhr964pFaU7/VH8wsmN5FMUxXy4gpauE46sWUidGlmYiybUUuYySOKHfrSiK1bE5tR/L&#10;er+gjZtlg3tT5y++/OfU6l27Xeh2qgP9PdQ/7apK/0otkGh3x7TVPnx60I9N1zaP96m+/QppbOvm&#10;fz+D15uqvr9Z1mZrSVTH5enX5aL69wEoEKu6jabb+NRtNG31vlbc0zf04+e23uzUHdMt6KuZOwO8&#10;1AdfCOfEjbMSPN0EesWfx/mKCZbyJFZAJ4zlObYh2WLVIS1FlEccQiPCsJhnuiu8HNSp6nq98AOA&#10;GurJRem06/PzoZYAOhFOqNkZ1OxlWZ2q6wUFNdwNF9TZLKhFLNMMKpm0t8xSISI5JrUUOX7vOJ0p&#10;dfqCnObd8wWhvsnxi8Ul0qbdWLJJrOYJi3IQWUGdxnmeKoMw0t+RT6xFeFgDjzGrFdZK4c4x1hnL&#10;wOVXDLZ9wiCIDUdbwDUaY62bZ9E64iKNoDJIg2OYYhzsntYsT9ATsIM3Fa5MSjC2WtEXrtEYatM+&#10;C2tS4dxYaxkJwVwqXPhU4XaQEQSrFaYY+zqxtp7LJHON8RapcHQkIvbjYEPHeyO2HWYEATbpagfW&#10;unkOra8YixFYgXkgqAU2MyXZXodLJvI0NrEoGlq/uBtuhxlBQK147TDXpn0e2CKL4s5gc5kkiDHi&#10;hGdgqzjK2eD6xcEOK2RGoApEKF1KHO1zwNZjLkPsx7HGDr50eBZczIyGwGOoSYfb8chUc92HR6Gu&#10;heCvjdZZcDEz4Z7xQPMcUutIeAqNQeY6ijAhoqzjSIPTxb2x2vqeQZhroi8GPS5W2/HIJFbzHJYh&#10;0wOuOMuSJBkhzSKepph38Id0WDEzQto954HmOaRmMkpjqQNmMU/gjY+mPDIKnpp5TB8eeGbtUxCU&#10;Vk6ZY8rDtM+CGp2IU0AM6jtmMfzv0ZwHy2PBaTjmTX1bAxUO1g79rbCeqcA554zpIMorxdo+YDhY&#10;OzS4wnqeCr/iCSLhOPeTvMZg2h+v7QMGgTUZa8e4WjfP0eAImInU0hoTIDweqXCJRBR4bh6hDi9g&#10;Jh6Zt0b7HLDB6pi8MaK1yDDYYmOsOUM/8zjpoeNzQU1wuYIoSoVbL3XSeOuK8TTP+DfB9khsndQW&#10;DNhQ1rFjMlM3z6E1A48BoyW1coPOQigRnHR/6jsPLlZGKbyOAAqa56CsY2WxATpNE5mNtTfNdlCm&#10;iq/BVm6fMBSnzJVgRoSeaadzgfRgPdchEikw3UFdp6c0i2TOmMdJzNw+YBBIK3vsYLVpn0lrJCdQ&#10;hJv0t+Q5ZaUMwFbJ4D4zUXLriYQDtsNQK7CtMZvklKlJTJN19EqxDiteRroa1HNZayuISUgPrXUc&#10;JRLDqktae7XW6oaCcr8dkVHqAVYQk6AGuKmJgQuewXKPZqsFHLWIslS8uWVhxcqUnobzNCa1aZ9v&#10;rE0moWBY0KPnynrPzL+xDi9aRgbVBbZ2pEjBTeL1wFi/TqxtSlUQjhmpagx/x1Dr5lm0llmMjATt&#10;gkciSTD1MbDVWNqV4OLeVHgcBZdbRgkCLqRtl5/EaZZI2a285UhJkRcR8DSSFEzzZKtj2BbTk0Oh&#10;tHSYalAazbMojclqLKFWlOYsFWwcLBMyzRny+PwhHVywTDoG1YS07fLTKI03IaS0mgDxE4bgCfg9&#10;VN5IN+KpP/ebEtRDojTcbAQnL5W3aZ9HapA20+lGWNAjsB5vCDXLRY51XR5JHVyoTCIUfGGoFda2&#10;20+jNUvizKyxfgJrn6baRoiCMNWEKWX8jJ0y0z6H15RZJsnhIxWueD3yvzWvfWJtQ0RBYE1W2UFr&#10;3TwH6VhGzMTKWAJdPo6V8ThNUrhq/ryy4GJlMnWs4iFSo30O1EhAySI44ZrVUmIec8RqiWyjlMyH&#10;t8FWcLEymbpnMal9DtiUWZaZhFH2ONY+Iyg2cBCMBndPbGFlxhykKdnoKU57TTaKmY0aBIOyI/hN&#10;dto6LJO8b7MwDx4XuWQxlmCOQ6K+JzpiLEUw/TgYqB3J/gS1dVlmQE1vRCCokUKWpWM77TmvLGbW&#10;OAUDNZg3HmgR1NZhmQF1FytjWSIxnwISDaYvkRd+tl5L5+i+2EvqYmajBsFA7RhTE9TWX5kINVxv&#10;luu0Moa3MnA2hpojUkZjMV/eN7Pji1CgTtxTHWj+izwyJ86ePTLrbgaDsiP4DUIn1l+ZRugkQcq3&#10;5jOi3Oa1Rb3mxuLbnLSnPzpbjzMIoClCgujVhZU27XMIrV91o6HOaMZamYIeauV6e8wcjJF5HpLr&#10;rSB1WGnTPgdqjLP6t4u+TqytyxkErUlRuyPfaJ6JNL3VCOfGMCvBAg/uYjX3mJCAUG1IrCakHZFv&#10;3TwPafjaKc1CA2mZ5BhQkWDP9Dc875hshy/PG5UFQkPaHQtNrHM6ySfrY6FOmP063lAloYHsDoUi&#10;sXM+nVGwhugcw83WZVCGdJYIUfmjc1jhMYSiMxK3jo+pGj0L0/ZNnEkNm2o7qMGCIDmBCquMBRqK&#10;Lj2qeA1ChH8aVYFlHVqLn0XC1p91tR06Z1dhB7WdbnWtHbRtu631w6HbpJo8T5aZOhYtHUcnpc0F&#10;CuvYW9nSaxvUndDPexTc+b1WO7ajEkq4y/7X6nC+lz0ZHlyZAezb7dF9HtX5zvccCKDbrfvUu0NU&#10;OOWzdxxeGzdBT6uqGVkJoPFcxtWBhEGIFKgBtqkKXdxov2tRHKza7RG95ilBhl6gHuqiltGp/VqV&#10;JLDq8Gu5QVUjVbCKGk7N3af3VbP4UlAZIvVPV06qjtvCtJrzml3NNXAeOn6DEkr2lEwdOjjle0H/&#10;zRnMznRcqaqP2SMjfeTa3I0uQYZCXnjorhAZnswepK5cH1p7/AHl09RFaNGDedp+gRfJhb69aAkl&#10;KljliGT3taQmWV4ukE9AcWqib5qnKPVBz93TF5PQqMYCq+/Nx7LDhVDGTfTuRgfSfSmpSUhLOOQm&#10;sQAr60SqXy7bAy3wOm9U0PIIdHBhbFSMGhhfINQXkXocZKLnme3V8S1te5Ubfobp39T2Dozfcwzw&#10;4IDOnHafl1a4N23aog/31NpwvM+6qk+ltojPtLDKij5lZbV5/FNW1mESjZXtTuMypMYcTrPN4VhZ&#10;5fzaoNWZQ2xN0LNJqR3iWAqsOBtlAVh3kCzqoON2JUDPnbXvDjE5bWNJdYTtPs895yFx/yKHeAJV&#10;Z5FOOdbKLf3uED9SO5aWIrncpGeQ9YnasVzg9bt4sTF1uTiB/bx0iJHYw3Ftbw6xjbUF4xC7w8sz&#10;86pjEQlTZhLLkrGybew8YdlMRJkG3oC28bZggLbRZW18ySG2vf3Ztlc7xMr26jTW7w6xy821fgg0&#10;3dBm9oGsx+0qQkrfHeI+gjSIgb1E2EnVa0eZehU+u2uK43a3/lC0xfl3FaZalbze1tVt2bz7PwAA&#10;AP//AwBQSwMEFAAGAAgAAAAhABgNBmzdAAAABQEAAA8AAABkcnMvZG93bnJldi54bWxMj0FLw0AQ&#10;he+C/2EZwZvdpMUQ02xKKeqpCLaC9DbNTpPQ7GzIbpP037t6qZeBx3u8902+mkwrBupdY1lBPItA&#10;EJdWN1wp+Nq/PaUgnEfW2FomBVdysCru73LMtB35k4adr0QoYZehgtr7LpPSlTUZdDPbEQfvZHuD&#10;Psi+krrHMZSbVs6jKJEGGw4LNXa0qak87y5GwfuI43oRvw7b82lzPeyfP763MSn1+DCtlyA8Tf4W&#10;hl/8gA5FYDraC2snWgXhEf93g5fM0wTEUcFLmixAFrn8T1/8AAAA//8DAFBLAQItABQABgAIAAAA&#10;IQC2gziS/gAAAOEBAAATAAAAAAAAAAAAAAAAAAAAAABbQ29udGVudF9UeXBlc10ueG1sUEsBAi0A&#10;FAAGAAgAAAAhADj9If/WAAAAlAEAAAsAAAAAAAAAAAAAAAAALwEAAF9yZWxzLy5yZWxzUEsBAi0A&#10;FAAGAAgAAAAhANkuQeayCwAAQIAAAA4AAAAAAAAAAAAAAAAALgIAAGRycy9lMm9Eb2MueG1sUEsB&#10;Ai0AFAAGAAgAAAAhABgNBmzdAAAABQEAAA8AAAAAAAAAAAAAAAAADA4AAGRycy9kb3ducmV2Lnht&#10;bFBLBQYAAAAABAAEAPMAAAAWDwAAAAA=&#10;">
                <v:rect id="Rectangle 16225" o:spid="_x0000_s2457"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ZHnxAAAAN4AAAAPAAAAZHJzL2Rvd25yZXYueG1sRE9Na8JA&#10;EL0L/odlCt5004AiqauIIubQS20Ej0N2TFKzs0t2NbG/vlso9DaP9zmrzWBa8aDON5YVvM4SEMSl&#10;1Q1XCorPw3QJwgdkja1lUvAkD5v1eLTCTNueP+hxCpWIIewzVFCH4DIpfVmTQT+zjjhyV9sZDBF2&#10;ldQd9jHctDJNkoU02HBsqNHRrqbydrobBZc9u/zQy/L6vXPvX/myPd6Ls1KTl2H7BiLQEP7Ff+5c&#10;x/mLNJ3D7zvxBrn+AQAA//8DAFBLAQItABQABgAIAAAAIQDb4fbL7gAAAIUBAAATAAAAAAAAAAAA&#10;AAAAAAAAAABbQ29udGVudF9UeXBlc10ueG1sUEsBAi0AFAAGAAgAAAAhAFr0LFu/AAAAFQEAAAsA&#10;AAAAAAAAAAAAAAAAHwEAAF9yZWxzLy5yZWxzUEsBAi0AFAAGAAgAAAAhAKHdkefEAAAA3gAAAA8A&#10;AAAAAAAAAAAAAAAABwIAAGRycy9kb3ducmV2LnhtbFBLBQYAAAAAAwADALcAAAD4AgAAAAA=&#10;" filled="f" stroked="f">
                  <v:textbox inset="0,0,0,0">
                    <w:txbxContent>
                      <w:p w14:paraId="10801569" w14:textId="77777777" w:rsidR="00B32EF2" w:rsidRDefault="00000000">
                        <w:r>
                          <w:rPr>
                            <w:rFonts w:ascii="Times New Roman" w:eastAsia="Times New Roman" w:hAnsi="Times New Roman" w:cs="Times New Roman"/>
                          </w:rPr>
                          <w:t>84</w:t>
                        </w:r>
                      </w:p>
                    </w:txbxContent>
                  </v:textbox>
                </v:rect>
                <v:rect id="Rectangle 16226" o:spid="_x0000_s2458" style="position:absolute;left:-13172;top:61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w+QxAAAAN4AAAAPAAAAZHJzL2Rvd25yZXYueG1sRE9Ni8Iw&#10;EL0v+B/CCHtbU3soUo0iitjDXtZV8Dg0Y1ttJqGJtvrrNwsLe5vH+5zFajCteFDnG8sKppMEBHFp&#10;dcOVguP37mMGwgdkja1lUvAkD6vl6G2BubY9f9HjECoRQ9jnqKAOweVS+rImg35iHXHkLrYzGCLs&#10;Kqk77GO4aWWaJJk02HBsqNHRpqbydrgbBectu2LXy/Ly2rjPazFr9/fjSan38bCegwg0hH/xn7vQ&#10;cX6Wphn8vhNvkMsfAAAA//8DAFBLAQItABQABgAIAAAAIQDb4fbL7gAAAIUBAAATAAAAAAAAAAAA&#10;AAAAAAAAAABbQ29udGVudF9UeXBlc10ueG1sUEsBAi0AFAAGAAgAAAAhAFr0LFu/AAAAFQEAAAsA&#10;AAAAAAAAAAAAAAAAHwEAAF9yZWxzLy5yZWxzUEsBAi0AFAAGAAgAAAAhAFEPD5DEAAAA3gAAAA8A&#10;AAAAAAAAAAAAAAAABwIAAGRycy9kb3ducmV2LnhtbFBLBQYAAAAAAwADALcAAAD4AgAAAAA=&#10;" filled="f" stroked="f">
                  <v:textbox inset="0,0,0,0">
                    <w:txbxContent>
                      <w:p w14:paraId="5B831B40" w14:textId="77777777" w:rsidR="00B32EF2" w:rsidRDefault="00000000">
                        <w:r>
                          <w:rPr>
                            <w:rFonts w:ascii="Arial" w:eastAsia="Arial" w:hAnsi="Arial" w:cs="Arial"/>
                            <w:sz w:val="18"/>
                          </w:rPr>
                          <w:t xml:space="preserve">riassumere o integrare il giudizio non vi abbiano provveduto entro il termine </w:t>
                        </w:r>
                      </w:p>
                    </w:txbxContent>
                  </v:textbox>
                </v:rect>
                <v:rect id="Rectangle 16227" o:spid="_x0000_s2459" style="position:absolute;left:-13172;top:599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oLxAAAAN4AAAAPAAAAZHJzL2Rvd25yZXYueG1sRE9Na8JA&#10;EL0X/A/LFLzVTXOwkrqKKGIOXmojeByyY5KanV2yq4n+erdQ6G0e73Pmy8G04kadbywreJ8kIIhL&#10;qxuuFBTf27cZCB+QNbaWScGdPCwXo5c5Ztr2/EW3Q6hEDGGfoYI6BJdJ6cuaDPqJdcSRO9vOYIiw&#10;q6TusI/hppVpkkylwYZjQ42O1jWVl8PVKDht2OXbXpbnx9rtf/JZu7sWR6XGr8PqE0SgIfyL/9y5&#10;jvOnafoBv+/EG+TiCQAA//8DAFBLAQItABQABgAIAAAAIQDb4fbL7gAAAIUBAAATAAAAAAAAAAAA&#10;AAAAAAAAAABbQ29udGVudF9UeXBlc10ueG1sUEsBAi0AFAAGAAgAAAAhAFr0LFu/AAAAFQEAAAsA&#10;AAAAAAAAAAAAAAAAHwEAAF9yZWxzLy5yZWxzUEsBAi0AFAAGAAgAAAAhAD5DqgvEAAAA3gAAAA8A&#10;AAAAAAAAAAAAAAAABwIAAGRycy9kb3ducmV2LnhtbFBLBQYAAAAAAwADALcAAAD4AgAAAAA=&#10;" filled="f" stroked="f">
                  <v:textbox inset="0,0,0,0">
                    <w:txbxContent>
                      <w:p w14:paraId="1596AD96" w14:textId="77777777" w:rsidR="00B32EF2" w:rsidRDefault="00000000">
                        <w:r>
                          <w:rPr>
                            <w:rFonts w:ascii="Arial" w:eastAsia="Arial" w:hAnsi="Arial" w:cs="Arial"/>
                            <w:sz w:val="18"/>
                          </w:rPr>
                          <w:t xml:space="preserve">perentorio stabilito dalla legge o dal giudice che dalla legge sia autorizzato a </w:t>
                        </w:r>
                      </w:p>
                    </w:txbxContent>
                  </v:textbox>
                </v:rect>
                <v:rect id="Rectangle 16228" o:spid="_x0000_s2460" style="position:absolute;left:34578;top:58733;width:535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D55xwAAAN4AAAAPAAAAZHJzL2Rvd25yZXYueG1sRI9Bb8Iw&#10;DIXvk/YfIk/itqbrAaGOgBATWg+7jDFpR6sxbUfjRE2gZb8eH5B2s/We3/u8XE+uVxcaYufZwEuW&#10;gyKuve24MXD42j0vQMWEbLH3TAauFGG9enxYYmn9yJ902adGSQjHEg20KYVS61i35DBmPhCLdvSD&#10;wyTr0Gg74CjhrtdFns+1w46locVA25bq0/7sDPy8cah2o66Pf9vw8Vst+vfz4duY2dO0eQWVaEr/&#10;5vt1ZQV/XhTCK+/IDHp1AwAA//8DAFBLAQItABQABgAIAAAAIQDb4fbL7gAAAIUBAAATAAAAAAAA&#10;AAAAAAAAAAAAAABbQ29udGVudF9UeXBlc10ueG1sUEsBAi0AFAAGAAgAAAAhAFr0LFu/AAAAFQEA&#10;AAsAAAAAAAAAAAAAAAAAHwEAAF9yZWxzLy5yZWxzUEsBAi0AFAAGAAgAAAAhAE/cPnnHAAAA3gAA&#10;AA8AAAAAAAAAAAAAAAAABwIAAGRycy9kb3ducmV2LnhtbFBLBQYAAAAAAwADALcAAAD7AgAAAAA=&#10;" filled="f" stroked="f">
                  <v:textbox inset="0,0,0,0">
                    <w:txbxContent>
                      <w:p w14:paraId="72525969" w14:textId="77777777" w:rsidR="00B32EF2" w:rsidRDefault="00000000">
                        <w:r>
                          <w:rPr>
                            <w:rFonts w:ascii="Arial" w:eastAsia="Arial" w:hAnsi="Arial" w:cs="Arial"/>
                            <w:sz w:val="18"/>
                          </w:rPr>
                          <w:t>fissarlo.</w:t>
                        </w:r>
                      </w:p>
                    </w:txbxContent>
                  </v:textbox>
                </v:rect>
                <v:rect id="Rectangle 200643" o:spid="_x0000_s2461" style="position:absolute;left:26109;top:574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SQ4xgAAAN8AAAAPAAAAZHJzL2Rvd25yZXYueG1sRI9Ba8JA&#10;FITvBf/D8oTe6kYrRVJXEUXMwUs1gsdH9pmkZt8u2dWk/fVdoeBxmJlvmPmyN424U+trywrGowQE&#10;cWF1zaWC/Lh9m4HwAVljY5kU/JCH5WLwMsdU246/6H4IpYgQ9ikqqEJwqZS+qMigH1lHHL2LbQ2G&#10;KNtS6ha7CDeNnCTJhzRYc1yo0NG6ouJ6uBkF5w27bNvJ4vK7dvvvbNbsbvlJqddhv/oEEagPz/B/&#10;O9MKHsTpOzz+xC8gF38AAAD//wMAUEsBAi0AFAAGAAgAAAAhANvh9svuAAAAhQEAABMAAAAAAAAA&#10;AAAAAAAAAAAAAFtDb250ZW50X1R5cGVzXS54bWxQSwECLQAUAAYACAAAACEAWvQsW78AAAAVAQAA&#10;CwAAAAAAAAAAAAAAAAAfAQAAX3JlbHMvLnJlbHNQSwECLQAUAAYACAAAACEAj50kOMYAAADfAAAA&#10;DwAAAAAAAAAAAAAAAAAHAgAAZHJzL2Rvd25yZXYueG1sUEsFBgAAAAADAAMAtwAAAPoCAAAAAA==&#10;" filled="f" stroked="f">
                  <v:textbox inset="0,0,0,0">
                    <w:txbxContent>
                      <w:p w14:paraId="2DBB35E9" w14:textId="77777777" w:rsidR="00B32EF2" w:rsidRDefault="00000000">
                        <w:r>
                          <w:rPr>
                            <w:rFonts w:ascii="Arial" w:eastAsia="Arial" w:hAnsi="Arial" w:cs="Arial"/>
                            <w:sz w:val="18"/>
                          </w:rPr>
                          <w:t>2</w:t>
                        </w:r>
                      </w:p>
                    </w:txbxContent>
                  </v:textbox>
                </v:rect>
                <v:rect id="Rectangle 200644" o:spid="_x0000_s2462" style="position:absolute;left:-13818;top:574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xMxgAAAN8AAAAPAAAAZHJzL2Rvd25yZXYueG1sRI9Ba8JA&#10;FITvBf/D8gRvdWORIqmrlEhoDr1ULfT4yD6TtNm3S3ZNYn99N1DwOMzMN8x2P5pW9NT5xrKC1TIB&#10;QVxa3XCl4HzKHzcgfEDW2FomBTfysN/NHraYajvwB/XHUIkIYZ+igjoEl0rpy5oM+qV1xNG72M5g&#10;iLKrpO5wiHDTyqckeZYGG44LNTrKaip/jlej4OvArsgHWV5+M/f+XWzat+v5U6nFfHx9ARFoDPfw&#10;f7vQCibieg3Tn/gF5O4PAAD//wMAUEsBAi0AFAAGAAgAAAAhANvh9svuAAAAhQEAABMAAAAAAAAA&#10;AAAAAAAAAAAAAFtDb250ZW50X1R5cGVzXS54bWxQSwECLQAUAAYACAAAACEAWvQsW78AAAAVAQAA&#10;CwAAAAAAAAAAAAAAAAAfAQAAX3JlbHMvLnJlbHNQSwECLQAUAAYACAAAACEAAHS8TMYAAADfAAAA&#10;DwAAAAAAAAAAAAAAAAAHAgAAZHJzL2Rvd25yZXYueG1sUEsFBgAAAAADAAMAtwAAAPoCAAAAAA==&#10;" filled="f" stroked="f">
                  <v:textbox inset="0,0,0,0">
                    <w:txbxContent>
                      <w:p w14:paraId="3A30E8EB" w14:textId="77777777" w:rsidR="00B32EF2" w:rsidRDefault="00000000">
                        <w:r>
                          <w:rPr>
                            <w:rFonts w:ascii="Arial" w:eastAsia="Arial" w:hAnsi="Arial" w:cs="Arial"/>
                            <w:sz w:val="18"/>
                          </w:rPr>
                          <w:t xml:space="preserve">. Le spese del processo estinto a norma del comma 1 restano a carico delle </w:t>
                        </w:r>
                      </w:p>
                    </w:txbxContent>
                  </v:textbox>
                </v:rect>
                <v:rect id="Rectangle 16230" o:spid="_x0000_s2463" style="position:absolute;left:20237;top:56266;width:196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6SixwAAAN4AAAAPAAAAZHJzL2Rvd25yZXYueG1sRI9Ba8JA&#10;EIXvQv/DMoXedFMLIqmrFIs0h16qEXocsmOSNju7ZFeT+uudQ8HbDPPmvfetNqPr1IX62Ho28DzL&#10;QBFX3rZcGygPu+kSVEzIFjvPZOCPImzWD5MV5tYP/EWXfaqVmHDM0UCTUsi1jlVDDuPMB2K5nXzv&#10;MMna19r2OIi56/Q8yxbaYcuS0GCgbUPV7/7sDHy/cyh2g65O1234/CmW3ce5PBrz9Di+vYJKNKa7&#10;+P+7sFJ/MX8RAMGRGfT6BgAA//8DAFBLAQItABQABgAIAAAAIQDb4fbL7gAAAIUBAAATAAAAAAAA&#10;AAAAAAAAAAAAAABbQ29udGVudF9UeXBlc10ueG1sUEsBAi0AFAAGAAgAAAAhAFr0LFu/AAAAFQEA&#10;AAsAAAAAAAAAAAAAAAAAHwEAAF9yZWxzLy5yZWxzUEsBAi0AFAAGAAgAAAAhADRzpKLHAAAA3gAA&#10;AA8AAAAAAAAAAAAAAAAABwIAAGRycy9kb3ducmV2LnhtbFBLBQYAAAAAAwADALcAAAD7AgAAAAA=&#10;" filled="f" stroked="f">
                  <v:textbox inset="0,0,0,0">
                    <w:txbxContent>
                      <w:p w14:paraId="0354A310" w14:textId="77777777" w:rsidR="00B32EF2" w:rsidRDefault="00000000">
                        <w:r>
                          <w:rPr>
                            <w:rFonts w:ascii="Arial" w:eastAsia="Arial" w:hAnsi="Arial" w:cs="Arial"/>
                            <w:sz w:val="18"/>
                          </w:rPr>
                          <w:t>parti che le hanno anticipate.</w:t>
                        </w:r>
                      </w:p>
                    </w:txbxContent>
                  </v:textbox>
                </v:rect>
                <v:rect id="Rectangle 200641" o:spid="_x0000_s2464" style="position:absolute;left:26109;top:550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x/UxgAAAN8AAAAPAAAAZHJzL2Rvd25yZXYueG1sRI9Ba8JA&#10;FITvhf6H5RV6qxtLkZC6ilikOXgxtdDjI/tMUrNvl+yapP56NyD0OMzMN8xyPZpW9NT5xrKC+SwB&#10;QVxa3XCl4Pi1e0lB+ICssbVMCv7Iw3r1+LDETNuBD9QXoRIRwj5DBXUILpPSlzUZ9DPriKN3sp3B&#10;EGVXSd3hEOGmla9JspAGG44LNTra1lSei4tR8PPBLt8Nsjxdt27/m6ft5+X4rdTz07h5BxFoDP/h&#10;ezvXCibi2xymP/ELyNUNAAD//wMAUEsBAi0AFAAGAAgAAAAhANvh9svuAAAAhQEAABMAAAAAAAAA&#10;AAAAAAAAAAAAAFtDb250ZW50X1R5cGVzXS54bWxQSwECLQAUAAYACAAAACEAWvQsW78AAAAVAQAA&#10;CwAAAAAAAAAAAAAAAAAfAQAAX3JlbHMvLnJlbHNQSwECLQAUAAYACAAAACEAEAMf1MYAAADfAAAA&#10;DwAAAAAAAAAAAAAAAAAHAgAAZHJzL2Rvd25yZXYueG1sUEsFBgAAAAADAAMAtwAAAPoCAAAAAA==&#10;" filled="f" stroked="f">
                  <v:textbox inset="0,0,0,0">
                    <w:txbxContent>
                      <w:p w14:paraId="61D05E2D" w14:textId="77777777" w:rsidR="00B32EF2" w:rsidRDefault="00000000">
                        <w:r>
                          <w:rPr>
                            <w:rFonts w:ascii="Arial" w:eastAsia="Arial" w:hAnsi="Arial" w:cs="Arial"/>
                            <w:sz w:val="18"/>
                          </w:rPr>
                          <w:t>3</w:t>
                        </w:r>
                      </w:p>
                    </w:txbxContent>
                  </v:textbox>
                </v:rect>
                <v:rect id="Rectangle 200642" o:spid="_x0000_s2465" style="position:absolute;left:-13818;top:550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GjxgAAAN8AAAAPAAAAZHJzL2Rvd25yZXYueG1sRI9Ba8JA&#10;FITvQv/D8gq96aZBikRXkRQxh15qLfT4yD6TaPbtkl2TtL++Gyj0OMzMN8xmN5pW9NT5xrKC50UC&#10;gri0uuFKwfnjMF+B8AFZY2uZFHyTh932YbbBTNuB36k/hUpECPsMFdQhuExKX9Zk0C+sI47exXYG&#10;Q5RdJXWHQ4SbVqZJ8iINNhwXanSU11TeTnej4OuVXXEYZHn5yd3btVi1x/v5U6mnx3G/BhFoDP/h&#10;v3ahFUzEZQrTn/gF5PYXAAD//wMAUEsBAi0AFAAGAAgAAAAhANvh9svuAAAAhQEAABMAAAAAAAAA&#10;AAAAAAAAAAAAAFtDb250ZW50X1R5cGVzXS54bWxQSwECLQAUAAYACAAAACEAWvQsW78AAAAVAQAA&#10;CwAAAAAAAAAAAAAAAAAfAQAAX3JlbHMvLnJlbHNQSwECLQAUAAYACAAAACEA4NGBo8YAAADfAAAA&#10;DwAAAAAAAAAAAAAAAAAHAgAAZHJzL2Rvd25yZXYueG1sUEsFBgAAAAADAAMAtwAAAPoCAAAAAA==&#10;" filled="f" stroked="f">
                  <v:textbox inset="0,0,0,0">
                    <w:txbxContent>
                      <w:p w14:paraId="2076C9F2" w14:textId="77777777" w:rsidR="00B32EF2" w:rsidRDefault="00000000">
                        <w:r>
                          <w:rPr>
                            <w:rFonts w:ascii="Arial" w:eastAsia="Arial" w:hAnsi="Arial" w:cs="Arial"/>
                            <w:sz w:val="18"/>
                          </w:rPr>
                          <w:t xml:space="preserve">. L’estinzione del processo per inattività delle parti è rilevata anche d’ufficio </w:t>
                        </w:r>
                      </w:p>
                    </w:txbxContent>
                  </v:textbox>
                </v:rect>
                <v:rect id="Rectangle 16232" o:spid="_x0000_s2466" style="position:absolute;left:-11479;top:53799;width:513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Z9OxAAAAN4AAAAPAAAAZHJzL2Rvd25yZXYueG1sRE9Na8JA&#10;EL0L/odlCt500wgiqauIIubQS20Ej0N2TFKzs0t2NbG/vlso9DaP9zmrzWBa8aDON5YVvM4SEMSl&#10;1Q1XCorPw3QJwgdkja1lUvAkD5v1eLTCTNueP+hxCpWIIewzVFCH4DIpfVmTQT+zjjhyV9sZDBF2&#10;ldQd9jHctDJNkoU02HBsqNHRrqbydrobBZc9u/zQy/L6vXPvX/myPd6Ls1KTl2H7BiLQEP7Ff+5c&#10;x/mLdJ7C7zvxBrn+AQAA//8DAFBLAQItABQABgAIAAAAIQDb4fbL7gAAAIUBAAATAAAAAAAAAAAA&#10;AAAAAAAAAABbQ29udGVudF9UeXBlc10ueG1sUEsBAi0AFAAGAAgAAAAhAFr0LFu/AAAAFQEAAAsA&#10;AAAAAAAAAAAAAAAAHwEAAF9yZWxzLy5yZWxzUEsBAi0AFAAGAAgAAAAhAKvtn07EAAAA3gAAAA8A&#10;AAAAAAAAAAAAAAAABwIAAGRycy9kb3ducmV2LnhtbFBLBQYAAAAAAwADALcAAAD4AgAAAAA=&#10;" filled="f" stroked="f">
                  <v:textbox inset="0,0,0,0">
                    <w:txbxContent>
                      <w:p w14:paraId="67CAF367" w14:textId="77777777" w:rsidR="00B32EF2" w:rsidRDefault="00000000">
                        <w:r>
                          <w:rPr>
                            <w:rFonts w:ascii="Arial" w:eastAsia="Arial" w:hAnsi="Arial" w:cs="Arial"/>
                            <w:sz w:val="18"/>
                          </w:rPr>
                          <w:t xml:space="preserve">solo nel grado di giudizio in cui si verifica e rende inefficaci gli atti compiuti. </w:t>
                        </w:r>
                      </w:p>
                    </w:txbxContent>
                  </v:textbox>
                </v:rect>
                <v:rect id="Rectangle 200640" o:spid="_x0000_s2467" style="position:absolute;left:-13804;top:525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pPxwAAAN8AAAAPAAAAZHJzL2Rvd25yZXYueG1sRI9Ba8JA&#10;EIXvBf/DMoK3urFICdFVJBKaQy9NLfQ4ZMckmp1dsqtJ++u7hUKPw5v3Pb7tfjK9uNPgO8sKVssE&#10;BHFtdceNgtN78ZiC8AFZY2+ZFHyRh/1u9rDFTNuR3+hehUZECPsMFbQhuExKX7dk0C+tI47Z2Q4G&#10;QzyHRuoBxwg3vXxKkmdpsOO40KKjvKX6Wt2Mgs8ju7IYZX3+zt3rpUz7l9vpQ6nFfDpsQASawv/z&#10;X7vUCn6J62gQfaILyN0PAAAA//8DAFBLAQItABQABgAIAAAAIQDb4fbL7gAAAIUBAAATAAAAAAAA&#10;AAAAAAAAAAAAAABbQ29udGVudF9UeXBlc10ueG1sUEsBAi0AFAAGAAgAAAAhAFr0LFu/AAAAFQEA&#10;AAsAAAAAAAAAAAAAAAAAHwEAAF9yZWxzLy5yZWxzUEsBAi0AFAAGAAgAAAAhAH9Puk/HAAAA3wAA&#10;AA8AAAAAAAAAAAAAAAAABwIAAGRycy9kb3ducmV2LnhtbFBLBQYAAAAAAwADALcAAAD7AgAAAAA=&#10;" filled="f" stroked="f">
                  <v:textbox inset="0,0,0,0">
                    <w:txbxContent>
                      <w:p w14:paraId="4AE143E5" w14:textId="77777777" w:rsidR="00B32EF2" w:rsidRDefault="00000000">
                        <w:r>
                          <w:rPr>
                            <w:rFonts w:ascii="Arial" w:eastAsia="Arial" w:hAnsi="Arial" w:cs="Arial"/>
                            <w:sz w:val="18"/>
                          </w:rPr>
                          <w:t xml:space="preserve">. L’estinzione è dichiarata dal presidente della sezione con decreto o dalla </w:t>
                        </w:r>
                      </w:p>
                    </w:txbxContent>
                  </v:textbox>
                </v:rect>
                <v:rect id="Rectangle 200639" o:spid="_x0000_s2468" style="position:absolute;left:26109;top:525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2CvxgAAAN8AAAAPAAAAZHJzL2Rvd25yZXYueG1sRI9Ba8JA&#10;FITvgv9heUJvdaMFsamriCLm4KU2gsdH9pmkZt8u2dWk/fVdoeBxmJlvmMWqN424U+trywom4wQE&#10;cWF1zaWC/Gv3OgfhA7LGxjIp+CEPq+VwsMBU244/6X4MpYgQ9ikqqEJwqZS+qMigH1tHHL2LbQ2G&#10;KNtS6ha7CDeNnCbJTBqsOS5U6GhTUXE93oyC85ZdtutkcfnduMN3Nm/2t/yk1MuoX3+ACNSHZ/i/&#10;nWkFD+LbOzz+xC8gl38AAAD//wMAUEsBAi0AFAAGAAgAAAAhANvh9svuAAAAhQEAABMAAAAAAAAA&#10;AAAAAAAAAAAAAFtDb250ZW50X1R5cGVzXS54bWxQSwECLQAUAAYACAAAACEAWvQsW78AAAAVAQAA&#10;CwAAAAAAAAAAAAAAAAAfAQAAX3JlbHMvLnJlbHNQSwECLQAUAAYACAAAACEAtnNgr8YAAADfAAAA&#10;DwAAAAAAAAAAAAAAAAAHAgAAZHJzL2Rvd25yZXYueG1sUEsFBgAAAAADAAMAtwAAAPoCAAAAAA==&#10;" filled="f" stroked="f">
                  <v:textbox inset="0,0,0,0">
                    <w:txbxContent>
                      <w:p w14:paraId="11A241AF" w14:textId="77777777" w:rsidR="00B32EF2" w:rsidRDefault="00000000">
                        <w:r>
                          <w:rPr>
                            <w:rFonts w:ascii="Arial" w:eastAsia="Arial" w:hAnsi="Arial" w:cs="Arial"/>
                            <w:sz w:val="18"/>
                          </w:rPr>
                          <w:t>4</w:t>
                        </w:r>
                      </w:p>
                    </w:txbxContent>
                  </v:textbox>
                </v:rect>
                <v:rect id="Rectangle 16234" o:spid="_x0000_s2469" style="position:absolute;left:-13172;top:513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KKhxAAAAN4AAAAPAAAAZHJzL2Rvd25yZXYueG1sRE9Ni8Iw&#10;EL0L/ocwgjdN1UWkaxRRxB72sq4Lexyasa02k9BEW/31m4UFb/N4n7Ncd6YWd2p8ZVnBZJyAIM6t&#10;rrhQcPrajxYgfEDWWFsmBQ/ysF71e0tMtW35k+7HUIgYwj5FBWUILpXS5yUZ9GPriCN3to3BEGFT&#10;SN1gG8NNLadJMpcGK44NJTralpRfjzej4GfHLtu3Mj8/t+7jki3qw+30rdRw0G3eQQTqwkv87850&#10;nD+fzt7g7514g1z9AgAA//8DAFBLAQItABQABgAIAAAAIQDb4fbL7gAAAIUBAAATAAAAAAAAAAAA&#10;AAAAAAAAAABbQ29udGVudF9UeXBlc10ueG1sUEsBAi0AFAAGAAgAAAAhAFr0LFu/AAAAFQEAAAsA&#10;AAAAAAAAAAAAAAAAHwEAAF9yZWxzLy5yZWxzUEsBAi0AFAAGAAgAAAAhAEtIoqHEAAAA3gAAAA8A&#10;AAAAAAAAAAAAAAAABwIAAGRycy9kb3ducmV2LnhtbFBLBQYAAAAAAwADALcAAAD4AgAAAAA=&#10;" filled="f" stroked="f">
                  <v:textbox inset="0,0,0,0">
                    <w:txbxContent>
                      <w:p w14:paraId="640480E3" w14:textId="77777777" w:rsidR="00B32EF2" w:rsidRDefault="00000000">
                        <w:r>
                          <w:rPr>
                            <w:rFonts w:ascii="Arial" w:eastAsia="Arial" w:hAnsi="Arial" w:cs="Arial"/>
                            <w:sz w:val="18"/>
                          </w:rPr>
                          <w:t xml:space="preserve">corte di giustizia tributaria con sentenza. Avverso il decreto del presidente </w:t>
                        </w:r>
                      </w:p>
                    </w:txbxContent>
                  </v:textbox>
                </v:rect>
                <v:rect id="Rectangle 16235" o:spid="_x0000_s2470" style="position:absolute;left:-13172;top:500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Ac6xAAAAN4AAAAPAAAAZHJzL2Rvd25yZXYueG1sRE9Ni8Iw&#10;EL0L/ocwgjdNVVakaxRRxB72sq4Lexyasa02k9BEW/31m4UFb/N4n7Ncd6YWd2p8ZVnBZJyAIM6t&#10;rrhQcPrajxYgfEDWWFsmBQ/ysF71e0tMtW35k+7HUIgYwj5FBWUILpXS5yUZ9GPriCN3to3BEGFT&#10;SN1gG8NNLadJMpcGK44NJTralpRfjzej4GfHLtu3Mj8/t+7jki3qw+30rdRw0G3eQQTqwkv87850&#10;nD+fzt7g7514g1z9AgAA//8DAFBLAQItABQABgAIAAAAIQDb4fbL7gAAAIUBAAATAAAAAAAAAAAA&#10;AAAAAAAAAABbQ29udGVudF9UeXBlc10ueG1sUEsBAi0AFAAGAAgAAAAhAFr0LFu/AAAAFQEAAAsA&#10;AAAAAAAAAAAAAAAAHwEAAF9yZWxzLy5yZWxzUEsBAi0AFAAGAAgAAAAhACQEBzrEAAAA3gAAAA8A&#10;AAAAAAAAAAAAAAAABwIAAGRycy9kb3ducmV2LnhtbFBLBQYAAAAAAwADALcAAAD4AgAAAAA=&#10;" filled="f" stroked="f">
                  <v:textbox inset="0,0,0,0">
                    <w:txbxContent>
                      <w:p w14:paraId="4EE9F0A8" w14:textId="77777777" w:rsidR="00B32EF2" w:rsidRDefault="00000000">
                        <w:r>
                          <w:rPr>
                            <w:rFonts w:ascii="Arial" w:eastAsia="Arial" w:hAnsi="Arial" w:cs="Arial"/>
                            <w:sz w:val="18"/>
                          </w:rPr>
                          <w:t xml:space="preserve">è ammesso reclamo alla corte di giustizia tributaria che provvede a norma </w:t>
                        </w:r>
                      </w:p>
                    </w:txbxContent>
                  </v:textbox>
                </v:rect>
                <v:rect id="Rectangle 16236" o:spid="_x0000_s2471" style="position:absolute;left:29639;top:48866;width:102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plNxAAAAN4AAAAPAAAAZHJzL2Rvd25yZXYueG1sRE9Na8JA&#10;EL0X/A/LFLzVTS0ESV1FFGkOXqoRPA7ZMUnNzi7Z1UR/fbdQ8DaP9znz5WBacaPON5YVvE8SEMSl&#10;1Q1XCorD9m0Gwgdkja1lUnAnD8vF6GWOmbY9f9NtHyoRQ9hnqKAOwWVS+rImg35iHXHkzrYzGCLs&#10;Kqk77GO4aeU0SVJpsOHYUKOjdU3lZX81Ck4bdvm2l+X5sXa7n3zWfl2Lo1Lj12H1CSLQEJ7if3eu&#10;4/x0+pHC3zvxBrn4BQAA//8DAFBLAQItABQABgAIAAAAIQDb4fbL7gAAAIUBAAATAAAAAAAAAAAA&#10;AAAAAAAAAABbQ29udGVudF9UeXBlc10ueG1sUEsBAi0AFAAGAAgAAAAhAFr0LFu/AAAAFQEAAAsA&#10;AAAAAAAAAAAAAAAAHwEAAF9yZWxzLy5yZWxzUEsBAi0AFAAGAAgAAAAhANTWmU3EAAAA3gAAAA8A&#10;AAAAAAAAAAAAAAAABwIAAGRycy9kb3ducmV2LnhtbFBLBQYAAAAAAwADALcAAAD4AgAAAAA=&#10;" filled="f" stroked="f">
                  <v:textbox inset="0,0,0,0">
                    <w:txbxContent>
                      <w:p w14:paraId="58D119E8" w14:textId="77777777" w:rsidR="00B32EF2" w:rsidRDefault="00000000">
                        <w:r>
                          <w:rPr>
                            <w:rFonts w:ascii="Arial" w:eastAsia="Arial" w:hAnsi="Arial" w:cs="Arial"/>
                            <w:sz w:val="18"/>
                          </w:rPr>
                          <w:t>dell’articolo 76.</w:t>
                        </w:r>
                      </w:p>
                    </w:txbxContent>
                  </v:textbox>
                </v:rect>
                <v:rect id="Rectangle 16237" o:spid="_x0000_s2472" style="position:absolute;left:15074;top:42699;width:809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jzWxAAAAN4AAAAPAAAAZHJzL2Rvd25yZXYueG1sRE9Ni8Iw&#10;EL0L/ocwgjdNVXClaxRRxB72sq4Lexyasa02k9BEW/31m4UFb/N4n7Ncd6YWd2p8ZVnBZJyAIM6t&#10;rrhQcPrajxYgfEDWWFsmBQ/ysF71e0tMtW35k+7HUIgYwj5FBWUILpXS5yUZ9GPriCN3to3BEGFT&#10;SN1gG8NNLadJMpcGK44NJTralpRfjzej4GfHLtu3Mj8/t+7jki3qw+30rdRw0G3eQQTqwkv87850&#10;nD+fzt7g7514g1z9AgAA//8DAFBLAQItABQABgAIAAAAIQDb4fbL7gAAAIUBAAATAAAAAAAAAAAA&#10;AAAAAAAAAABbQ29udGVudF9UeXBlc10ueG1sUEsBAi0AFAAGAAgAAAAhAFr0LFu/AAAAFQEAAAsA&#10;AAAAAAAAAAAAAAAAHwEAAF9yZWxzLy5yZWxzUEsBAi0AFAAGAAgAAAAhALuaPNbEAAAA3gAAAA8A&#10;AAAAAAAAAAAAAAAABwIAAGRycy9kb3ducmV2LnhtbFBLBQYAAAAAAwADALcAAAD4AgAAAAA=&#10;" filled="f" stroked="f">
                  <v:textbox inset="0,0,0,0">
                    <w:txbxContent>
                      <w:p w14:paraId="516D672C" w14:textId="77777777" w:rsidR="00B32EF2" w:rsidRDefault="00000000">
                        <w:r>
                          <w:rPr>
                            <w:rFonts w:ascii="Arial" w:eastAsia="Arial" w:hAnsi="Arial" w:cs="Arial"/>
                            <w:b/>
                            <w:sz w:val="18"/>
                          </w:rPr>
                          <w:t>Articolo 95</w:t>
                        </w:r>
                      </w:p>
                    </w:txbxContent>
                  </v:textbox>
                </v:rect>
                <v:rect id="Rectangle 200638" o:spid="_x0000_s2473" style="position:absolute;left:11622;top:41465;width:194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8U0xwAAAN8AAAAPAAAAZHJzL2Rvd25yZXYueG1sRI/BasMw&#10;DIbvg76DUaG31ekKI6R1S0kJy2GXZR3sKGI1SRvLJnabbE8/DwY7il//J33b/WR6cafBd5YVrJYJ&#10;COLa6o4bBaf34jEF4QOyxt4yKfgiD/vd7GGLmbYjv9G9Co2IEPYZKmhDcJmUvm7JoF9aRxyzsx0M&#10;hjgOjdQDjhFuevmUJM/SYMfxQouO8pbqa3UzCj6P7MpilPX5O3evlzLtX26nD6UW8+mwARFoCv/L&#10;f+1SK/glruPD0Se6gNz9AAAA//8DAFBLAQItABQABgAIAAAAIQDb4fbL7gAAAIUBAAATAAAAAAAA&#10;AAAAAAAAAAAAAABbQ29udGVudF9UeXBlc10ueG1sUEsBAi0AFAAGAAgAAAAhAFr0LFu/AAAAFQEA&#10;AAsAAAAAAAAAAAAAAAAAHwEAAF9yZWxzLy5yZWxzUEsBAi0AFAAGAAgAAAAhANk/xTTHAAAA3wAA&#10;AA8AAAAAAAAAAAAAAAAABwIAAGRycy9kb3ducmV2LnhtbFBLBQYAAAAAAwADALcAAAD7AgAAAAA=&#10;" filled="f" stroked="f">
                  <v:textbox inset="0,0,0,0">
                    <w:txbxContent>
                      <w:p w14:paraId="616C16E4" w14:textId="77777777" w:rsidR="00B32EF2" w:rsidRDefault="00000000">
                        <w:r>
                          <w:rPr>
                            <w:rFonts w:ascii="Arial" w:eastAsia="Arial" w:hAnsi="Arial" w:cs="Arial"/>
                            <w:i/>
                            <w:sz w:val="18"/>
                          </w:rPr>
                          <w:t xml:space="preserve">articolo 46 D.lgs. n. </w:t>
                        </w:r>
                      </w:p>
                    </w:txbxContent>
                  </v:textbox>
                </v:rect>
                <v:rect id="Rectangle 200636" o:spid="_x0000_s2474" style="position:absolute;left:22221;top:41465;width:194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PTdxgAAAN8AAAAPAAAAZHJzL2Rvd25yZXYueG1sRI9Ba8JA&#10;FITvBf/D8gRvzcYKIqmrFEWaQy/aFHp87D6TtNm3S3Y1aX99VxB6HGbmG2a9HW0nrtSH1rGCeZaD&#10;INbOtFwrqN4PjysQISIb7ByTgh8KsN1MHtZYGDfwka6nWIsE4VCggiZGX0gZdEMWQ+Y8cfLOrrcY&#10;k+xraXocEtx28inPl9Jiy2mhQU+7hvT36WIVfO7Zl4dB6vPvzr99lavu9VJ9KDWbji/PICKN8T98&#10;b5dGwY24WMLtT/oCcvMHAAD//wMAUEsBAi0AFAAGAAgAAAAhANvh9svuAAAAhQEAABMAAAAAAAAA&#10;AAAAAAAAAAAAAFtDb250ZW50X1R5cGVzXS54bWxQSwECLQAUAAYACAAAACEAWvQsW78AAAAVAQAA&#10;CwAAAAAAAAAAAAAAAAAfAQAAX3JlbHMvLnJlbHNQSwECLQAUAAYACAAAACEAx+z03cYAAADfAAAA&#10;DwAAAAAAAAAAAAAAAAAHAgAAZHJzL2Rvd25yZXYueG1sUEsFBgAAAAADAAMAtwAAAPoCAAAAAA==&#10;" filled="f" stroked="f">
                  <v:textbox inset="0,0,0,0">
                    <w:txbxContent>
                      <w:p w14:paraId="2CAB8C3D" w14:textId="77777777" w:rsidR="00B32EF2" w:rsidRDefault="00000000">
                        <w:r>
                          <w:rPr>
                            <w:rFonts w:ascii="Arial" w:eastAsia="Arial" w:hAnsi="Arial" w:cs="Arial"/>
                            <w:i/>
                            <w:sz w:val="18"/>
                          </w:rPr>
                          <w:t>(</w:t>
                        </w:r>
                      </w:p>
                    </w:txbxContent>
                  </v:textbox>
                </v:rect>
                <v:rect id="Rectangle 200637" o:spid="_x0000_s2475" style="position:absolute;left:-2637;top:41465;width:194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FFGxgAAAN8AAAAPAAAAZHJzL2Rvd25yZXYueG1sRI9Ba8JA&#10;FITvBf/D8oTe6kYLVlJXEUXMwUs1gsdH9pmkZt8u2dWk/fVdoeBxmJlvmPmyN424U+trywrGowQE&#10;cWF1zaWC/Lh9m4HwAVljY5kU/JCH5WLwMsdU246/6H4IpYgQ9ikqqEJwqZS+qMigH1lHHL2LbQ2G&#10;KNtS6ha7CDeNnCTJVBqsOS5U6GhdUXE93IyC84Zdtu1kcfldu/13Nmt2t/yk1OuwX32CCNSHZ/i/&#10;nWkFD+L7Bzz+xC8gF38AAAD//wMAUEsBAi0AFAAGAAgAAAAhANvh9svuAAAAhQEAABMAAAAAAAAA&#10;AAAAAAAAAAAAAFtDb250ZW50X1R5cGVzXS54bWxQSwECLQAUAAYACAAAACEAWvQsW78AAAAVAQAA&#10;CwAAAAAAAAAAAAAAAAAfAQAAX3JlbHMvLnJlbHNQSwECLQAUAAYACAAAACEAqKBRRsYAAADfAAAA&#10;DwAAAAAAAAAAAAAAAAAHAgAAZHJzL2Rvd25yZXYueG1sUEsFBgAAAAADAAMAtwAAAPoCAAAAAA==&#10;" filled="f" stroked="f">
                  <v:textbox inset="0,0,0,0">
                    <w:txbxContent>
                      <w:p w14:paraId="6183526A" w14:textId="77777777" w:rsidR="00B32EF2" w:rsidRDefault="00000000">
                        <w:r>
                          <w:rPr>
                            <w:rFonts w:ascii="Arial" w:eastAsia="Arial" w:hAnsi="Arial" w:cs="Arial"/>
                            <w:i/>
                            <w:sz w:val="18"/>
                          </w:rPr>
                          <w:t>546/92)</w:t>
                        </w:r>
                      </w:p>
                    </w:txbxContent>
                  </v:textbox>
                </v:rect>
                <v:rect id="Rectangle 16239" o:spid="_x0000_s2476" style="position:absolute;left:-11371;top:40232;width:502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0/xAAAAN4AAAAPAAAAZHJzL2Rvd25yZXYueG1sRE9Li8Iw&#10;EL4v+B/CCN7WdBVEq1EWF9ke9uILPA7N2FabSWiirf76jbCwt/n4nrNYdaYWd2p8ZVnBxzABQZxb&#10;XXGh4LDfvE9B+ICssbZMCh7kYbXsvS0w1bblLd13oRAxhH2KCsoQXCqlz0sy6IfWEUfubBuDIcKm&#10;kLrBNoabWo6SZCINVhwbSnS0Lim/7m5GwemLXbZpZX5+rt3PJZvW37fDUalBv/ucgwjUhX/xnzvT&#10;cf5kNJ7B6514g1z+AgAA//8DAFBLAQItABQABgAIAAAAIQDb4fbL7gAAAIUBAAATAAAAAAAAAAAA&#10;AAAAAAAAAABbQ29udGVudF9UeXBlc10ueG1sUEsBAi0AFAAGAAgAAAAhAFr0LFu/AAAAFQEAAAsA&#10;AAAAAAAAAAAAAAAAHwEAAF9yZWxzLy5yZWxzUEsBAi0AFAAGAAgAAAAhAKVJDT/EAAAA3gAAAA8A&#10;AAAAAAAAAAAAAAAABwIAAGRycy9kb3ducmV2LnhtbFBLBQYAAAAAAwADALcAAAD4AgAAAAA=&#10;" filled="f" stroked="f">
                  <v:textbox inset="0,0,0,0">
                    <w:txbxContent>
                      <w:p w14:paraId="6B70C67C" w14:textId="77777777" w:rsidR="00B32EF2" w:rsidRDefault="00000000">
                        <w:r>
                          <w:rPr>
                            <w:rFonts w:ascii="Arial" w:eastAsia="Arial" w:hAnsi="Arial" w:cs="Arial"/>
                            <w:b/>
                            <w:sz w:val="18"/>
                          </w:rPr>
                          <w:t xml:space="preserve">Estinzione del giudizio per cessazione della materia del contendere </w:t>
                        </w:r>
                      </w:p>
                    </w:txbxContent>
                  </v:textbox>
                </v:rect>
                <v:rect id="Rectangle 200633" o:spid="_x0000_s2477" style="position:absolute;left:26349;top:38999;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1dFxgAAAN8AAAAPAAAAZHJzL2Rvd25yZXYueG1sRI9Ba8JA&#10;FITvBf/D8gRvdWOFIqmrlEhoDr1ULfT4yD6TtNm3S3ZNYn99N1DwOMzMN8x2P5pW9NT5xrKC1TIB&#10;QVxa3XCl4HzKHzcgfEDW2FomBTfysN/NHraYajvwB/XHUIkIYZ+igjoEl0rpy5oM+qV1xNG72M5g&#10;iLKrpO5wiHDTyqckeZYGG44LNTrKaip/jlej4OvArsgHWV5+M/f+XWzat+v5U6nFfHx9ARFoDPfw&#10;f7vQCibieg3Tn/gF5O4PAAD//wMAUEsBAi0AFAAGAAgAAAAhANvh9svuAAAAhQEAABMAAAAAAAAA&#10;AAAAAAAAAAAAAFtDb250ZW50X1R5cGVzXS54bWxQSwECLQAUAAYACAAAACEAWvQsW78AAAAVAQAA&#10;CwAAAAAAAAAAAAAAAAAfAQAAX3JlbHMvLnJlbHNQSwECLQAUAAYACAAAACEA15tXRcYAAADfAAAA&#10;DwAAAAAAAAAAAAAAAAAHAgAAZHJzL2Rvd25yZXYueG1sUEsFBgAAAAADAAMAtwAAAPoCAAAAAA==&#10;" filled="f" stroked="f">
                  <v:textbox inset="0,0,0,0">
                    <w:txbxContent>
                      <w:p w14:paraId="7836FBBE" w14:textId="77777777" w:rsidR="00B32EF2" w:rsidRDefault="00000000">
                        <w:r>
                          <w:rPr>
                            <w:rFonts w:ascii="Arial" w:eastAsia="Arial" w:hAnsi="Arial" w:cs="Arial"/>
                            <w:sz w:val="18"/>
                          </w:rPr>
                          <w:t>1</w:t>
                        </w:r>
                      </w:p>
                    </w:txbxContent>
                  </v:textbox>
                </v:rect>
                <v:rect id="Rectangle 200634" o:spid="_x0000_s2478" style="position:absolute;left:-12798;top:38999;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8xxgAAAN8AAAAPAAAAZHJzL2Rvd25yZXYueG1sRI9Ba8JA&#10;FITvBf/D8oTe6kYrRVJXEUXMwUs1gsdH9pmkZt8u2dWk/fVdoeBxmJlvmPmyN424U+trywrGowQE&#10;cWF1zaWC/Lh9m4HwAVljY5kU/JCH5WLwMsdU246/6H4IpYgQ9ikqqEJwqZS+qMigH1lHHL2LbQ2G&#10;KNtS6ha7CDeNnCTJhzRYc1yo0NG6ouJ6uBkF5w27bNvJ4vK7dvvvbNbsbvlJqddhv/oEEagPz/B/&#10;O9MKHsT3KTz+xC8gF38AAAD//wMAUEsBAi0AFAAGAAgAAAAhANvh9svuAAAAhQEAABMAAAAAAAAA&#10;AAAAAAAAAAAAAFtDb250ZW50X1R5cGVzXS54bWxQSwECLQAUAAYACAAAACEAWvQsW78AAAAVAQAA&#10;CwAAAAAAAAAAAAAAAAAfAQAAX3JlbHMvLnJlbHNQSwECLQAUAAYACAAAACEAWHLPMcYAAADfAAAA&#10;DwAAAAAAAAAAAAAAAAAHAgAAZHJzL2Rvd25yZXYueG1sUEsFBgAAAAADAAMAtwAAAPoCAAAAAA==&#10;" filled="f" stroked="f">
                  <v:textbox inset="0,0,0,0">
                    <w:txbxContent>
                      <w:p w14:paraId="5F6E7810" w14:textId="77777777" w:rsidR="00B32EF2" w:rsidRDefault="00000000">
                        <w:r>
                          <w:rPr>
                            <w:rFonts w:ascii="Arial" w:eastAsia="Arial" w:hAnsi="Arial" w:cs="Arial"/>
                            <w:sz w:val="18"/>
                          </w:rPr>
                          <w:t>. Il giudizio si estingue, in tutto o in parte, nei casi di definizione delle penden</w:t>
                        </w:r>
                      </w:p>
                    </w:txbxContent>
                  </v:textbox>
                </v:rect>
                <v:rect id="Rectangle 16241" o:spid="_x0000_s2479" style="position:absolute;left:191;top:389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XJExAAAAN4AAAAPAAAAZHJzL2Rvd25yZXYueG1sRE9Li8Iw&#10;EL4v+B/CCN7WVFlEqlFEke3By/oAj0MzttVmEppoq79+s7DgbT6+58yXnanFgxpfWVYwGiYgiHOr&#10;Ky4UHA/bzykIH5A11pZJwZM8LBe9jzmm2rb8Q499KEQMYZ+igjIEl0rp85IM+qF1xJG72MZgiLAp&#10;pG6wjeGmluMkmUiDFceGEh2tS8pv+7tRcN6wy7atzC+vtdtds2n9fT+elBr0u9UMRKAuvMX/7kzH&#10;+ZPx1wj+3ok3yMUvAAAA//8DAFBLAQItABQABgAIAAAAIQDb4fbL7gAAAIUBAAATAAAAAAAAAAAA&#10;AAAAAAAAAABbQ29udGVudF9UeXBlc10ueG1sUEsBAi0AFAAGAAgAAAAhAFr0LFu/AAAAFQEAAAsA&#10;AAAAAAAAAAAAAAAAHwEAAF9yZWxzLy5yZWxzUEsBAi0AFAAGAAgAAAAhAAM5ckTEAAAA3gAAAA8A&#10;AAAAAAAAAAAAAAAABwIAAGRycy9kb3ducmV2LnhtbFBLBQYAAAAAAwADALcAAAD4AgAAAAA=&#10;" filled="f" stroked="f">
                  <v:textbox inset="0,0,0,0">
                    <w:txbxContent>
                      <w:p w14:paraId="37AE6FB8" w14:textId="77777777" w:rsidR="00B32EF2" w:rsidRDefault="00000000">
                        <w:r>
                          <w:rPr>
                            <w:rFonts w:ascii="Arial" w:eastAsia="Arial" w:hAnsi="Arial" w:cs="Arial"/>
                            <w:sz w:val="18"/>
                          </w:rPr>
                          <w:t>-</w:t>
                        </w:r>
                      </w:p>
                    </w:txbxContent>
                  </v:textbox>
                </v:rect>
                <v:rect id="Rectangle 16242" o:spid="_x0000_s2480" style="position:absolute;left:-13172;top:3776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wzxAAAAN4AAAAPAAAAZHJzL2Rvd25yZXYueG1sRE9Na8JA&#10;EL0L/odlCt500yAiqauIIubQS20Ej0N2TFKzs0t2NbG/vlso9DaP9zmrzWBa8aDON5YVvM4SEMSl&#10;1Q1XCorPw3QJwgdkja1lUvAkD5v1eLTCTNueP+hxCpWIIewzVFCH4DIpfVmTQT+zjjhyV9sZDBF2&#10;ldQd9jHctDJNkoU02HBsqNHRrqbydrobBZc9u/zQy/L6vXPvX/myPd6Ls1KTl2H7BiLQEP7Ff+5c&#10;x/mLdJ7C7zvxBrn+AQAA//8DAFBLAQItABQABgAIAAAAIQDb4fbL7gAAAIUBAAATAAAAAAAAAAAA&#10;AAAAAAAAAABbQ29udGVudF9UeXBlc10ueG1sUEsBAi0AFAAGAAgAAAAhAFr0LFu/AAAAFQEAAAsA&#10;AAAAAAAAAAAAAAAAHwEAAF9yZWxzLy5yZWxzUEsBAi0AFAAGAAgAAAAhAPPr7DPEAAAA3gAAAA8A&#10;AAAAAAAAAAAAAAAABwIAAGRycy9kb3ducmV2LnhtbFBLBQYAAAAAAwADALcAAAD4AgAAAAA=&#10;" filled="f" stroked="f">
                  <v:textbox inset="0,0,0,0">
                    <w:txbxContent>
                      <w:p w14:paraId="49A9AF8A" w14:textId="77777777" w:rsidR="00B32EF2" w:rsidRDefault="00000000">
                        <w:r>
                          <w:rPr>
                            <w:rFonts w:ascii="Arial" w:eastAsia="Arial" w:hAnsi="Arial" w:cs="Arial"/>
                            <w:sz w:val="18"/>
                          </w:rPr>
                          <w:t xml:space="preserve">ze tributarie previsti dalla legge e in ogni altro caso di cessazione della materia </w:t>
                        </w:r>
                      </w:p>
                    </w:txbxContent>
                  </v:textbox>
                </v:rect>
                <v:rect id="Rectangle 16243" o:spid="_x0000_s2481" style="position:absolute;left:29326;top:36532;width:105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0moxAAAAN4AAAAPAAAAZHJzL2Rvd25yZXYueG1sRE9Ni8Iw&#10;EL0L/ocwgjdN1UWkaxRRxB72sq4Lexyasa02k9BEW/31m4UFb/N4n7Ncd6YWd2p8ZVnBZJyAIM6t&#10;rrhQcPrajxYgfEDWWFsmBQ/ysF71e0tMtW35k+7HUIgYwj5FBWUILpXS5yUZ9GPriCN3to3BEGFT&#10;SN1gG8NNLadJMpcGK44NJTralpRfjzej4GfHLtu3Mj8/t+7jki3qw+30rdRw0G3eQQTqwkv87850&#10;nD+fvs3g7514g1z9AgAA//8DAFBLAQItABQABgAIAAAAIQDb4fbL7gAAAIUBAAATAAAAAAAAAAAA&#10;AAAAAAAAAABbQ29udGVudF9UeXBlc10ueG1sUEsBAi0AFAAGAAgAAAAhAFr0LFu/AAAAFQEAAAsA&#10;AAAAAAAAAAAAAAAAHwEAAF9yZWxzLy5yZWxzUEsBAi0AFAAGAAgAAAAhAJynSajEAAAA3gAAAA8A&#10;AAAAAAAAAAAAAAAABwIAAGRycy9kb3ducmV2LnhtbFBLBQYAAAAAAwADALcAAAD4AgAAAAA=&#10;" filled="f" stroked="f">
                  <v:textbox inset="0,0,0,0">
                    <w:txbxContent>
                      <w:p w14:paraId="1E338FFE" w14:textId="77777777" w:rsidR="00B32EF2" w:rsidRDefault="00000000">
                        <w:r>
                          <w:rPr>
                            <w:rFonts w:ascii="Arial" w:eastAsia="Arial" w:hAnsi="Arial" w:cs="Arial"/>
                            <w:sz w:val="18"/>
                          </w:rPr>
                          <w:t>del contendere.</w:t>
                        </w:r>
                      </w:p>
                    </w:txbxContent>
                  </v:textbox>
                </v:rect>
                <v:rect id="Rectangle 200632" o:spid="_x0000_s2482" style="position:absolute;left:-13818;top:352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LexgAAAN8AAAAPAAAAZHJzL2Rvd25yZXYueG1sRI9Ba8JA&#10;FITvQv/D8gq96aYRikRXkRQxh15qLfT4yD6TaPbtkl2TtL++Gyj0OMzMN8xmN5pW9NT5xrKC50UC&#10;gri0uuFKwfnjMF+B8AFZY2uZFHyTh932YbbBTNuB36k/hUpECPsMFdQhuExKX9Zk0C+sI47exXYG&#10;Q5RdJXWHQ4SbVqZJ8iINNhwXanSU11TeTnej4OuVXXEYZHn5yd3btVi1x/v5U6mnx3G/BhFoDP/h&#10;v3ahFUzEZQrTn/gF5PYXAAD//wMAUEsBAi0AFAAGAAgAAAAhANvh9svuAAAAhQEAABMAAAAAAAAA&#10;AAAAAAAAAAAAAFtDb250ZW50X1R5cGVzXS54bWxQSwECLQAUAAYACAAAACEAWvQsW78AAAAVAQAA&#10;CwAAAAAAAAAAAAAAAAAfAQAAX3JlbHMvLnJlbHNQSwECLQAUAAYACAAAACEAuNfy3sYAAADfAAAA&#10;DwAAAAAAAAAAAAAAAAAHAgAAZHJzL2Rvd25yZXYueG1sUEsFBgAAAAADAAMAtwAAAPoCAAAAAA==&#10;" filled="f" stroked="f">
                  <v:textbox inset="0,0,0,0">
                    <w:txbxContent>
                      <w:p w14:paraId="00C550F5" w14:textId="77777777" w:rsidR="00B32EF2" w:rsidRDefault="00000000">
                        <w:r>
                          <w:rPr>
                            <w:rFonts w:ascii="Arial" w:eastAsia="Arial" w:hAnsi="Arial" w:cs="Arial"/>
                            <w:sz w:val="18"/>
                          </w:rPr>
                          <w:t xml:space="preserve">. La cessazione della materia del contendere è dichiarata, con decreto del </w:t>
                        </w:r>
                      </w:p>
                    </w:txbxContent>
                  </v:textbox>
                </v:rect>
                <v:rect id="Rectangle 200631" o:spid="_x0000_s2483" style="position:absolute;left:26109;top:352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WypxgAAAN8AAAAPAAAAZHJzL2Rvd25yZXYueG1sRI9Ba8JA&#10;FITvhf6H5RV6qxtbkJC6ilikOXgxtdDjI/tMUrNvl+yapP56NyD0OMzMN8xyPZpW9NT5xrKC+SwB&#10;QVxa3XCl4Pi1e0lB+ICssbVMCv7Iw3r1+LDETNuBD9QXoRIRwj5DBXUILpPSlzUZ9DPriKN3sp3B&#10;EGVXSd3hEOGmla9JspAGG44LNTra1lSei4tR8PPBLt8Nsjxdt27/m6ft5+X4rdTz07h5BxFoDP/h&#10;ezvXCibi2xymP/ELyNUNAAD//wMAUEsBAi0AFAAGAAgAAAAhANvh9svuAAAAhQEAABMAAAAAAAAA&#10;AAAAAAAAAAAAAFtDb250ZW50X1R5cGVzXS54bWxQSwECLQAUAAYACAAAACEAWvQsW78AAAAVAQAA&#10;CwAAAAAAAAAAAAAAAAAfAQAAX3JlbHMvLnJlbHNQSwECLQAUAAYACAAAACEASAVsqcYAAADfAAAA&#10;DwAAAAAAAAAAAAAAAAAHAgAAZHJzL2Rvd25yZXYueG1sUEsFBgAAAAADAAMAtwAAAPoCAAAAAA==&#10;" filled="f" stroked="f">
                  <v:textbox inset="0,0,0,0">
                    <w:txbxContent>
                      <w:p w14:paraId="470A2688" w14:textId="77777777" w:rsidR="00B32EF2" w:rsidRDefault="00000000">
                        <w:r>
                          <w:rPr>
                            <w:rFonts w:ascii="Arial" w:eastAsia="Arial" w:hAnsi="Arial" w:cs="Arial"/>
                            <w:sz w:val="18"/>
                          </w:rPr>
                          <w:t>2</w:t>
                        </w:r>
                      </w:p>
                    </w:txbxContent>
                  </v:textbox>
                </v:rect>
                <v:rect id="Rectangle 16245" o:spid="_x0000_s2484" style="position:absolute;left:-13172;top:3406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nRHxAAAAN4AAAAPAAAAZHJzL2Rvd25yZXYueG1sRE9Ni8Iw&#10;EL0L/ocwgjdNFVekaxRRxB72sq4Lexyasa02k9BEW/31m4UFb/N4n7Ncd6YWd2p8ZVnBZJyAIM6t&#10;rrhQcPrajxYgfEDWWFsmBQ/ysF71e0tMtW35k+7HUIgYwj5FBWUILpXS5yUZ9GPriCN3to3BEGFT&#10;SN1gG8NNLadJMpcGK44NJTralpRfjzej4GfHLtu3Mj8/t+7jki3qw+30rdRw0G3eQQTqwkv87850&#10;nD+fzt7g7514g1z9AgAA//8DAFBLAQItABQABgAIAAAAIQDb4fbL7gAAAIUBAAATAAAAAAAAAAAA&#10;AAAAAAAAAABbQ29udGVudF9UeXBlc10ueG1sUEsBAi0AFAAGAAgAAAAhAFr0LFu/AAAAFQEAAAsA&#10;AAAAAAAAAAAAAAAAHwEAAF9yZWxzLy5yZWxzUEsBAi0AFAAGAAgAAAAhAHwCdEfEAAAA3gAAAA8A&#10;AAAAAAAAAAAAAAAABwIAAGRycy9kb3ducmV2LnhtbFBLBQYAAAAAAwADALcAAAD4AgAAAAA=&#10;" filled="f" stroked="f">
                  <v:textbox inset="0,0,0,0">
                    <w:txbxContent>
                      <w:p w14:paraId="04341490" w14:textId="77777777" w:rsidR="00B32EF2" w:rsidRDefault="00000000">
                        <w:r>
                          <w:rPr>
                            <w:rFonts w:ascii="Arial" w:eastAsia="Arial" w:hAnsi="Arial" w:cs="Arial"/>
                            <w:sz w:val="18"/>
                          </w:rPr>
                          <w:t xml:space="preserve">presidente o con sentenza della corte di giustizia tributaria. Il provvedimento </w:t>
                        </w:r>
                      </w:p>
                    </w:txbxContent>
                  </v:textbox>
                </v:rect>
                <v:rect id="Rectangle 16246" o:spid="_x0000_s2485" style="position:absolute;left:4067;top:32832;width:358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OowxAAAAN4AAAAPAAAAZHJzL2Rvd25yZXYueG1sRE9Na8JA&#10;EL0X/A/LFLzVTaUESV1FFGkOXqoRPA7ZMUnNzi7Z1UR/fbdQ8DaP9znz5WBacaPON5YVvE8SEMSl&#10;1Q1XCorD9m0Gwgdkja1lUnAnD8vF6GWOmbY9f9NtHyoRQ9hnqKAOwWVS+rImg35iHXHkzrYzGCLs&#10;Kqk77GO4aeU0SVJpsOHYUKOjdU3lZX81Ck4bdvm2l+X5sXa7n3zWfl2Lo1Lj12H1CSLQEJ7if3eu&#10;4/x0+pHC3zvxBrn4BQAA//8DAFBLAQItABQABgAIAAAAIQDb4fbL7gAAAIUBAAATAAAAAAAAAAAA&#10;AAAAAAAAAABbQ29udGVudF9UeXBlc10ueG1sUEsBAi0AFAAGAAgAAAAhAFr0LFu/AAAAFQEAAAsA&#10;AAAAAAAAAAAAAAAAHwEAAF9yZWxzLy5yZWxzUEsBAi0AFAAGAAgAAAAhAIzQ6jDEAAAA3gAAAA8A&#10;AAAAAAAAAAAAAAAABwIAAGRycy9kb3ducmV2LnhtbFBLBQYAAAAAAwADALcAAAD4AgAAAAA=&#10;" filled="f" stroked="f">
                  <v:textbox inset="0,0,0,0">
                    <w:txbxContent>
                      <w:p w14:paraId="3641338B" w14:textId="77777777" w:rsidR="00B32EF2" w:rsidRDefault="00000000">
                        <w:r>
                          <w:rPr>
                            <w:rFonts w:ascii="Arial" w:eastAsia="Arial" w:hAnsi="Arial" w:cs="Arial"/>
                            <w:sz w:val="18"/>
                          </w:rPr>
                          <w:t xml:space="preserve">presidenziale è reclamabile a norma dell’articolo 76. </w:t>
                        </w:r>
                      </w:p>
                    </w:txbxContent>
                  </v:textbox>
                </v:rect>
                <v:rect id="Rectangle 200630" o:spid="_x0000_s2486" style="position:absolute;left:-13818;top:315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ckyxwAAAN8AAAAPAAAAZHJzL2Rvd25yZXYueG1sRI9Ba8JA&#10;EIXvBf/DMoK3urFCCdFVJBKaQy9NLfQ4ZMckmp1dsqtJ++u7hUKPw5v3Pb7tfjK9uNPgO8sKVssE&#10;BHFtdceNgtN78ZiC8AFZY2+ZFHyRh/1u9rDFTNuR3+hehUZECPsMFbQhuExKX7dk0C+tI47Z2Q4G&#10;QzyHRuoBxwg3vXxKkmdpsOO40KKjvKX6Wt2Mgs8ju7IYZX3+zt3rpUz7l9vpQ6nFfDpsQASawv/z&#10;X7vUCn6J62gQfaILyN0PAAAA//8DAFBLAQItABQABgAIAAAAIQDb4fbL7gAAAIUBAAATAAAAAAAA&#10;AAAAAAAAAAAAAABbQ29udGVudF9UeXBlc10ueG1sUEsBAi0AFAAGAAgAAAAhAFr0LFu/AAAAFQEA&#10;AAsAAAAAAAAAAAAAAAAAHwEAAF9yZWxzLy5yZWxzUEsBAi0AFAAGAAgAAAAhACdJyTLHAAAA3wAA&#10;AA8AAAAAAAAAAAAAAAAABwIAAGRycy9kb3ducmV2LnhtbFBLBQYAAAAAAwADALcAAAD7AgAAAAA=&#10;" filled="f" stroked="f">
                  <v:textbox inset="0,0,0,0">
                    <w:txbxContent>
                      <w:p w14:paraId="3C055851" w14:textId="77777777" w:rsidR="00B32EF2" w:rsidRDefault="00000000">
                        <w:r>
                          <w:rPr>
                            <w:rFonts w:ascii="Arial" w:eastAsia="Arial" w:hAnsi="Arial" w:cs="Arial"/>
                            <w:sz w:val="18"/>
                          </w:rPr>
                          <w:t xml:space="preserve">. Nei casi di definizione delle pendenze tributarie previsti dalla legge le spese </w:t>
                        </w:r>
                      </w:p>
                    </w:txbxContent>
                  </v:textbox>
                </v:rect>
                <v:rect id="Rectangle 200626" o:spid="_x0000_s2487" style="position:absolute;left:26109;top:315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WIAxgAAAN8AAAAPAAAAZHJzL2Rvd25yZXYueG1sRI9Pa8JA&#10;FMTvBb/D8oTe6kYPQdKsUhRpDr1oLfT4yL78abNvl+yapH56VxB6HGbmN0y+nUwnBup9a1nBcpGA&#10;IC6tbrlWcP48vKxB+ICssbNMCv7Iw3Yze8ox03bkIw2nUIsIYZ+hgiYEl0npy4YM+oV1xNGrbG8w&#10;RNnXUvc4Rrjp5CpJUmmw5bjQoKNdQ+Xv6WIUfO/ZFYdRltV15z5+inX3fjl/KfU8n95eQQSawn/4&#10;0S60gjtxlcL9T/wCcnMDAAD//wMAUEsBAi0AFAAGAAgAAAAhANvh9svuAAAAhQEAABMAAAAAAAAA&#10;AAAAAAAAAAAAAFtDb250ZW50X1R5cGVzXS54bWxQSwECLQAUAAYACAAAACEAWvQsW78AAAAVAQAA&#10;CwAAAAAAAAAAAAAAAAAfAQAAX3JlbHMvLnJlbHNQSwECLQAUAAYACAAAACEAQjViAMYAAADfAAAA&#10;DwAAAAAAAAAAAAAAAAAHAgAAZHJzL2Rvd25yZXYueG1sUEsFBgAAAAADAAMAtwAAAPoCAAAAAA==&#10;" filled="f" stroked="f">
                  <v:textbox inset="0,0,0,0">
                    <w:txbxContent>
                      <w:p w14:paraId="605F2058" w14:textId="77777777" w:rsidR="00B32EF2" w:rsidRDefault="00000000">
                        <w:r>
                          <w:rPr>
                            <w:rFonts w:ascii="Arial" w:eastAsia="Arial" w:hAnsi="Arial" w:cs="Arial"/>
                            <w:sz w:val="18"/>
                          </w:rPr>
                          <w:t>3</w:t>
                        </w:r>
                      </w:p>
                    </w:txbxContent>
                  </v:textbox>
                </v:rect>
                <v:rect id="Rectangle 16248" o:spid="_x0000_s2488" style="position:absolute;left:-5848;top:30366;width:4576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9vZxwAAAN4AAAAPAAAAZHJzL2Rvd25yZXYueG1sRI9Ba8JA&#10;EIXvQv/DMoXedFMpIqmrFIs0h16qEXocsmOSNju7ZFeT+uudQ8HbDO/Ne9+sNqPr1IX62Ho28DzL&#10;QBFX3rZcGygPu+kSVEzIFjvPZOCPImzWD5MV5tYP/EWXfaqVhHDM0UCTUsi1jlVDDuPMB2LRTr53&#10;mGTta217HCTcdXqeZQvtsGVpaDDQtqHqd392Br7fORS7QVen6zZ8/hTL7uNcHo15ehzfXkElGtPd&#10;/H9dWMFfzF+EV96RGfT6BgAA//8DAFBLAQItABQABgAIAAAAIQDb4fbL7gAAAIUBAAATAAAAAAAA&#10;AAAAAAAAAAAAAABbQ29udGVudF9UeXBlc10ueG1sUEsBAi0AFAAGAAgAAAAhAFr0LFu/AAAAFQEA&#10;AAsAAAAAAAAAAAAAAAAAHwEAAF9yZWxzLy5yZWxzUEsBAi0AFAAGAAgAAAAhAJID29nHAAAA3gAA&#10;AA8AAAAAAAAAAAAAAAAABwIAAGRycy9kb3ducmV2LnhtbFBLBQYAAAAAAwADALcAAAD7AgAAAAA=&#10;" filled="f" stroked="f">
                  <v:textbox inset="0,0,0,0">
                    <w:txbxContent>
                      <w:p w14:paraId="1691F883" w14:textId="77777777" w:rsidR="00B32EF2" w:rsidRDefault="00000000">
                        <w:r>
                          <w:rPr>
                            <w:rFonts w:ascii="Arial" w:eastAsia="Arial" w:hAnsi="Arial" w:cs="Arial"/>
                            <w:sz w:val="18"/>
                          </w:rPr>
                          <w:t>del giudizio estinto restano a carico della parte che le ha anticipate.</w:t>
                        </w:r>
                      </w:p>
                    </w:txbxContent>
                  </v:textbox>
                </v:rect>
                <v:rect id="Rectangle 16249" o:spid="_x0000_s2489" style="position:absolute;left:16552;top:22965;width:57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35CxAAAAN4AAAAPAAAAZHJzL2Rvd25yZXYueG1sRE9Li8Iw&#10;EL4v+B/CCN7WdEVEq1EWF9ke9uILPA7N2FabSWiirf76jbCwt/n4nrNYdaYWd2p8ZVnBxzABQZxb&#10;XXGh4LDfvE9B+ICssbZMCh7kYbXsvS0w1bblLd13oRAxhH2KCsoQXCqlz0sy6IfWEUfubBuDIcKm&#10;kLrBNoabWo6SZCINVhwbSnS0Lim/7m5GwemLXbZpZX5+rt3PJZvW37fDUalBv/ucgwjUhX/xnzvT&#10;cf5kNJ7B6514g1z+AgAA//8DAFBLAQItABQABgAIAAAAIQDb4fbL7gAAAIUBAAATAAAAAAAAAAAA&#10;AAAAAAAAAABbQ29udGVudF9UeXBlc10ueG1sUEsBAi0AFAAGAAgAAAAhAFr0LFu/AAAAFQEAAAsA&#10;AAAAAAAAAAAAAAAAHwEAAF9yZWxzLy5yZWxzUEsBAi0AFAAGAAgAAAAhAP1PfkLEAAAA3gAAAA8A&#10;AAAAAAAAAAAAAAAABwIAAGRycy9kb3ducmV2LnhtbFBLBQYAAAAAAwADALcAAAD4AgAAAAA=&#10;" filled="f" stroked="f">
                  <v:textbox inset="0,0,0,0">
                    <w:txbxContent>
                      <w:p w14:paraId="483F69EA" w14:textId="77777777" w:rsidR="00B32EF2" w:rsidRDefault="00000000">
                        <w:r>
                          <w:rPr>
                            <w:rFonts w:ascii="Arial" w:eastAsia="Arial" w:hAnsi="Arial" w:cs="Arial"/>
                            <w:b/>
                            <w:sz w:val="18"/>
                          </w:rPr>
                          <w:t>CAPO II</w:t>
                        </w:r>
                      </w:p>
                    </w:txbxContent>
                  </v:textbox>
                </v:rect>
                <v:rect id="Rectangle 16250" o:spid="_x0000_s2490" style="position:absolute;left:-2219;top:21731;width:357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EECxwAAAN4AAAAPAAAAZHJzL2Rvd25yZXYueG1sRI9Ba8JA&#10;EIXvQv/DMoXedFOhIqmrFIs0h16qEXocsmOSNju7ZFeT+uudQ8HbDPPmvfetNqPr1IX62Ho28DzL&#10;QBFX3rZcGygPu+kSVEzIFjvPZOCPImzWD5MV5tYP/EWXfaqVmHDM0UCTUsi1jlVDDuPMB2K5nXzv&#10;MMna19r2OIi56/Q8yxbaYcuS0GCgbUPV7/7sDHy/cyh2g65O1234/CmW3ce5PBrz9Di+vYJKNKa7&#10;+P+7sFJ/MX8RAMGRGfT6BgAA//8DAFBLAQItABQABgAIAAAAIQDb4fbL7gAAAIUBAAATAAAAAAAA&#10;AAAAAAAAAAAAAABbQ29udGVudF9UeXBlc10ueG1sUEsBAi0AFAAGAAgAAAAhAFr0LFu/AAAAFQEA&#10;AAsAAAAAAAAAAAAAAAAAHwEAAF9yZWxzLy5yZWxzUEsBAi0AFAAGAAgAAAAhAOmsQQLHAAAA3gAA&#10;AA8AAAAAAAAAAAAAAAAABwIAAGRycy9kb3ducmV2LnhtbFBLBQYAAAAAAwADALcAAAD7AgAAAAA=&#10;" filled="f" stroked="f">
                  <v:textbox inset="0,0,0,0">
                    <w:txbxContent>
                      <w:p w14:paraId="7B0FB8F2" w14:textId="77777777" w:rsidR="00B32EF2" w:rsidRDefault="00000000">
                        <w:r>
                          <w:rPr>
                            <w:rFonts w:ascii="Arial" w:eastAsia="Arial" w:hAnsi="Arial" w:cs="Arial"/>
                            <w:b/>
                            <w:sz w:val="18"/>
                          </w:rPr>
                          <w:t xml:space="preserve"> I PROCEDIMENTI CAUTELARE E CONCILIATIVO</w:t>
                        </w:r>
                      </w:p>
                    </w:txbxContent>
                  </v:textbox>
                </v:rect>
                <v:rect id="Rectangle 16251" o:spid="_x0000_s2491" style="position:absolute;left:15067;top:19265;width:80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OSZxAAAAN4AAAAPAAAAZHJzL2Rvd25yZXYueG1sRE9Li8Iw&#10;EL4v+B/CCN7WVGFFqlFEke3By/oAj0MzttVmEppoq79+s7DgbT6+58yXnanFgxpfWVYwGiYgiHOr&#10;Ky4UHA/bzykIH5A11pZJwZM8LBe9jzmm2rb8Q499KEQMYZ+igjIEl0rp85IM+qF1xJG72MZgiLAp&#10;pG6wjeGmluMkmUiDFceGEh2tS8pv+7tRcN6wy7atzC+vtdtds2n9fT+elBr0u9UMRKAuvMX/7kzH&#10;+ZPx1wj+3ok3yMUvAAAA//8DAFBLAQItABQABgAIAAAAIQDb4fbL7gAAAIUBAAATAAAAAAAAAAAA&#10;AAAAAAAAAABbQ29udGVudF9UeXBlc10ueG1sUEsBAi0AFAAGAAgAAAAhAFr0LFu/AAAAFQEAAAsA&#10;AAAAAAAAAAAAAAAAHwEAAF9yZWxzLy5yZWxzUEsBAi0AFAAGAAgAAAAhAIbg5JnEAAAA3gAAAA8A&#10;AAAAAAAAAAAAAAAABwIAAGRycy9kb3ducmV2LnhtbFBLBQYAAAAAAwADALcAAAD4AgAAAAA=&#10;" filled="f" stroked="f">
                  <v:textbox inset="0,0,0,0">
                    <w:txbxContent>
                      <w:p w14:paraId="4F9D2CDE" w14:textId="77777777" w:rsidR="00B32EF2" w:rsidRDefault="00000000">
                        <w:r>
                          <w:rPr>
                            <w:rFonts w:ascii="Arial" w:eastAsia="Arial" w:hAnsi="Arial" w:cs="Arial"/>
                            <w:b/>
                            <w:sz w:val="18"/>
                          </w:rPr>
                          <w:t>Articolo 96</w:t>
                        </w:r>
                      </w:p>
                    </w:txbxContent>
                  </v:textbox>
                </v:rect>
                <v:rect id="Rectangle 200591" o:spid="_x0000_s2492" style="position:absolute;left:-2579;top:18031;width:193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lLvxwAAAN8AAAAPAAAAZHJzL2Rvd25yZXYueG1sRI9Pa8JA&#10;FMTvhX6H5RV6040Fi0Y3IhYxh16qKfT4yL780ezbJbuatJ++WxB6HGbmN8x6M5pO3Kj3rWUFs2kC&#10;gri0uuVaQXHaTxYgfEDW2FkmBd/kYZM9Pqwx1XbgD7odQy0ihH2KCpoQXCqlLxsy6KfWEUevsr3B&#10;EGVfS93jEOGmky9J8ioNthwXGnS0a6i8HK9Gwdcbu3w/yLL62bn3c77oDtfiU6nnp3G7AhFoDP/h&#10;ezvXCiJxvpzB35/4BWT2CwAA//8DAFBLAQItABQABgAIAAAAIQDb4fbL7gAAAIUBAAATAAAAAAAA&#10;AAAAAAAAAAAAAABbQ29udGVudF9UeXBlc10ueG1sUEsBAi0AFAAGAAgAAAAhAFr0LFu/AAAAFQEA&#10;AAsAAAAAAAAAAAAAAAAAHwEAAF9yZWxzLy5yZWxzUEsBAi0AFAAGAAgAAAAhALVGUu/HAAAA3wAA&#10;AA8AAAAAAAAAAAAAAAAABwIAAGRycy9kb3ducmV2LnhtbFBLBQYAAAAAAwADALcAAAD7AgAAAAA=&#10;" filled="f" stroked="f">
                  <v:textbox inset="0,0,0,0">
                    <w:txbxContent>
                      <w:p w14:paraId="3396DAD1" w14:textId="77777777" w:rsidR="00B32EF2" w:rsidRDefault="00000000">
                        <w:r>
                          <w:rPr>
                            <w:rFonts w:ascii="Arial" w:eastAsia="Arial" w:hAnsi="Arial" w:cs="Arial"/>
                            <w:i/>
                            <w:sz w:val="18"/>
                          </w:rPr>
                          <w:t>546/92)</w:t>
                        </w:r>
                      </w:p>
                    </w:txbxContent>
                  </v:textbox>
                </v:rect>
                <v:rect id="Rectangle 200593" o:spid="_x0000_s2493" style="position:absolute;left:11648;top:18031;width:193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GkDxwAAAN8AAAAPAAAAZHJzL2Rvd25yZXYueG1sRI9Ba8JA&#10;FITvgv9heYI33Vhp0egqYpHm0ItWweMj+0yi2bdLdjVpf31XKPQ4zMw3zHLdmVo8qPGVZQWTcQKC&#10;OLe64kLB8Ws3moHwAVljbZkUfJOH9arfW2Kqbct7ehxCISKEfYoKyhBcKqXPSzLox9YRR+9iG4Mh&#10;yqaQusE2wk0tX5LkTRqsOC6U6GhbUn473I2C8zu7bNfK/PKzdZ/XbFZ/3I8npYaDbrMAEagL/+G/&#10;dqYVROLrfArPP/ELyNUvAAAA//8DAFBLAQItABQABgAIAAAAIQDb4fbL7gAAAIUBAAATAAAAAAAA&#10;AAAAAAAAAAAAAABbQ29udGVudF9UeXBlc10ueG1sUEsBAi0AFAAGAAgAAAAhAFr0LFu/AAAAFQEA&#10;AAsAAAAAAAAAAAAAAAAAHwEAAF9yZWxzLy5yZWxzUEsBAi0AFAAGAAgAAAAhACrYaQPHAAAA3wAA&#10;AA8AAAAAAAAAAAAAAAAABwIAAGRycy9kb3ducmV2LnhtbFBLBQYAAAAAAwADALcAAAD7AgAAAAA=&#10;" filled="f" stroked="f">
                  <v:textbox inset="0,0,0,0">
                    <w:txbxContent>
                      <w:p w14:paraId="0BC7BEBD" w14:textId="77777777" w:rsidR="00B32EF2" w:rsidRDefault="00000000">
                        <w:r>
                          <w:rPr>
                            <w:rFonts w:ascii="Arial" w:eastAsia="Arial" w:hAnsi="Arial" w:cs="Arial"/>
                            <w:i/>
                            <w:sz w:val="18"/>
                          </w:rPr>
                          <w:t xml:space="preserve">articolo 47 D.lgs. n. </w:t>
                        </w:r>
                      </w:p>
                    </w:txbxContent>
                  </v:textbox>
                </v:rect>
                <v:rect id="Rectangle 200589" o:spid="_x0000_s2494" style="position:absolute;left:22215;top:18031;width:193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cg0xwAAAN8AAAAPAAAAZHJzL2Rvd25yZXYueG1sRI9Pa8JA&#10;FMTvBb/D8gRvddOCkqauUixiDl78U+jxkX0m0ezbJbua6Kd3hUKPw8z8hpktetOIK7W+tqzgbZyA&#10;IC6srrlUcNivXlMQPiBrbCyTght5WMwHLzPMtO14S9ddKEWEsM9QQRWCy6T0RUUG/dg64ugdbWsw&#10;RNmWUrfYRbhp5HuSTKXBmuNChY6WFRXn3cUo+P1ml686WRzvS7c55Wmzvhx+lBoN+69PEIH68B/+&#10;a+daQSRO0g94/olfQM4fAAAA//8DAFBLAQItABQABgAIAAAAIQDb4fbL7gAAAIUBAAATAAAAAAAA&#10;AAAAAAAAAAAAAABbQ29udGVudF9UeXBlc10ueG1sUEsBAi0AFAAGAAgAAAAhAFr0LFu/AAAAFQEA&#10;AAsAAAAAAAAAAAAAAAAAHwEAAF9yZWxzLy5yZWxzUEsBAi0AFAAGAAgAAAAhAM7pyDTHAAAA3wAA&#10;AA8AAAAAAAAAAAAAAAAABwIAAGRycy9kb3ducmV2LnhtbFBLBQYAAAAAAwADALcAAAD7AgAAAAA=&#10;" filled="f" stroked="f">
                  <v:textbox inset="0,0,0,0">
                    <w:txbxContent>
                      <w:p w14:paraId="06AFE6A5" w14:textId="77777777" w:rsidR="00B32EF2" w:rsidRDefault="00000000">
                        <w:r>
                          <w:rPr>
                            <w:rFonts w:ascii="Arial" w:eastAsia="Arial" w:hAnsi="Arial" w:cs="Arial"/>
                            <w:i/>
                            <w:sz w:val="18"/>
                          </w:rPr>
                          <w:t>(</w:t>
                        </w:r>
                      </w:p>
                    </w:txbxContent>
                  </v:textbox>
                </v:rect>
                <v:rect id="Rectangle 16253" o:spid="_x0000_s2495" style="position:absolute;left:4501;top:16798;width:247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t91xAAAAN4AAAAPAAAAZHJzL2Rvd25yZXYueG1sRE9Ni8Iw&#10;EL0L/ocwgjdNVVakaxRRxB72sq4Lexyasa02k9BEW/31m4UFb/N4n7Ncd6YWd2p8ZVnBZJyAIM6t&#10;rrhQcPrajxYgfEDWWFsmBQ/ysF71e0tMtW35k+7HUIgYwj5FBWUILpXS5yUZ9GPriCN3to3BEGFT&#10;SN1gG8NNLadJMpcGK44NJTralpRfjzej4GfHLtu3Mj8/t+7jki3qw+30rdRw0G3eQQTqwkv87850&#10;nD+fvs3g7514g1z9AgAA//8DAFBLAQItABQABgAIAAAAIQDb4fbL7gAAAIUBAAATAAAAAAAAAAAA&#10;AAAAAAAAAABbQ29udGVudF9UeXBlc10ueG1sUEsBAi0AFAAGAAgAAAAhAFr0LFu/AAAAFQEAAAsA&#10;AAAAAAAAAAAAAAAAHwEAAF9yZWxzLy5yZWxzUEsBAi0AFAAGAAgAAAAhABl+33XEAAAA3gAAAA8A&#10;AAAAAAAAAAAAAAAABwIAAGRycy9kb3ducmV2LnhtbFBLBQYAAAAAAwADALcAAAD4AgAAAAA=&#10;" filled="f" stroked="f">
                  <v:textbox inset="0,0,0,0">
                    <w:txbxContent>
                      <w:p w14:paraId="3B9F371F" w14:textId="77777777" w:rsidR="00B32EF2" w:rsidRDefault="00000000">
                        <w:r>
                          <w:rPr>
                            <w:rFonts w:ascii="Arial" w:eastAsia="Arial" w:hAnsi="Arial" w:cs="Arial"/>
                            <w:b/>
                            <w:sz w:val="18"/>
                          </w:rPr>
                          <w:t xml:space="preserve">Sospensione dell’atto impugnato </w:t>
                        </w:r>
                      </w:p>
                    </w:txbxContent>
                  </v:textbox>
                </v:rect>
                <v:rect id="Rectangle 200574" o:spid="_x0000_s2496" style="position:absolute;left:-12802;top:15565;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eNxwAAAN8AAAAPAAAAZHJzL2Rvd25yZXYueG1sRI9PawIx&#10;FMTvBb9DeIK3btZiVbZGEYu4h15qFXp8bN7+aTcvYRPdtZ++KQg9DjPzG2a1GUwrrtT5xrKCaZKC&#10;IC6sbrhScPrYPy5B+ICssbVMCm7kYbMePaww07bnd7oeQyUihH2GCuoQXCalL2oy6BPriKNX2s5g&#10;iLKrpO6wj3DTyqc0nUuDDceFGh3taiq+jxej4POVXb7vZVH+7NzbV75sD5fTWanJeNi+gAg0hP/w&#10;vZ1rBZH4vJjB35/4BeT6FwAA//8DAFBLAQItABQABgAIAAAAIQDb4fbL7gAAAIUBAAATAAAAAAAA&#10;AAAAAAAAAAAAAABbQ29udGVudF9UeXBlc10ueG1sUEsBAi0AFAAGAAgAAAAhAFr0LFu/AAAAFQEA&#10;AAsAAAAAAAAAAAAAAAAAHwEAAF9yZWxzLy5yZWxzUEsBAi0AFAAGAAgAAAAhABU9F43HAAAA3wAA&#10;AA8AAAAAAAAAAAAAAAAABwIAAGRycy9kb3ducmV2LnhtbFBLBQYAAAAAAwADALcAAAD7AgAAAAA=&#10;" filled="f" stroked="f">
                  <v:textbox inset="0,0,0,0">
                    <w:txbxContent>
                      <w:p w14:paraId="6F6CD766" w14:textId="77777777" w:rsidR="00B32EF2" w:rsidRDefault="00000000">
                        <w:r>
                          <w:rPr>
                            <w:rFonts w:ascii="Arial" w:eastAsia="Arial" w:hAnsi="Arial" w:cs="Arial"/>
                            <w:sz w:val="18"/>
                          </w:rPr>
                          <w:t>. Il ricorrente, se dall’atto impugnato può derivargli un danno grave ed irrepa</w:t>
                        </w:r>
                      </w:p>
                    </w:txbxContent>
                  </v:textbox>
                </v:rect>
                <v:rect id="Rectangle 200572" o:spid="_x0000_s2497" style="position:absolute;left:26348;top:15565;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CpixwAAAN8AAAAPAAAAZHJzL2Rvd25yZXYueG1sRI9Pa8JA&#10;FMTvhX6H5RV6q5sKVkndSLGIOXhRU+jxkX3502bfLtnVpH76riB4HGbmN8xyNZpOnKn3rWUFr5ME&#10;BHFpdcu1guK4eVmA8AFZY2eZFPyRh1X2+LDEVNuB93Q+hFpECPsUFTQhuFRKXzZk0E+sI45eZXuD&#10;Icq+lrrHIcJNJ6dJ8iYNthwXGnS0bqj8PZyMgu9PdvlmkGV1WbvdT77otqfiS6nnp/HjHUSgMdzD&#10;t3auFUTibD6F65/4BWT2DwAA//8DAFBLAQItABQABgAIAAAAIQDb4fbL7gAAAIUBAAATAAAAAAAA&#10;AAAAAAAAAAAAAABbQ29udGVudF9UeXBlc10ueG1sUEsBAi0AFAAGAAgAAAAhAFr0LFu/AAAAFQEA&#10;AAsAAAAAAAAAAAAAAAAAHwEAAF9yZWxzLy5yZWxzUEsBAi0AFAAGAAgAAAAhAPWYKmLHAAAA3wAA&#10;AA8AAAAAAAAAAAAAAAAABwIAAGRycy9kb3ducmV2LnhtbFBLBQYAAAAAAwADALcAAAD7AgAAAAA=&#10;" filled="f" stroked="f">
                  <v:textbox inset="0,0,0,0">
                    <w:txbxContent>
                      <w:p w14:paraId="6332DA09" w14:textId="77777777" w:rsidR="00B32EF2" w:rsidRDefault="00000000">
                        <w:r>
                          <w:rPr>
                            <w:rFonts w:ascii="Arial" w:eastAsia="Arial" w:hAnsi="Arial" w:cs="Arial"/>
                            <w:sz w:val="18"/>
                          </w:rPr>
                          <w:t>1</w:t>
                        </w:r>
                      </w:p>
                    </w:txbxContent>
                  </v:textbox>
                </v:rect>
                <v:rect id="Rectangle 16255" o:spid="_x0000_s2498" style="position:absolute;left:191;top:1556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KaxAAAAN4AAAAPAAAAZHJzL2Rvd25yZXYueG1sRE9Li8Iw&#10;EL4v+B/CCN7WVEGRahRRxB72sj7A49CMbbWZhCbaur9+s7DgbT6+5yxWnanFkxpfWVYwGiYgiHOr&#10;Ky4UnI67zxkIH5A11pZJwYs8rJa9jwWm2rb8Tc9DKEQMYZ+igjIEl0rp85IM+qF1xJG72sZgiLAp&#10;pG6wjeGmluMkmUqDFceGEh1tSsrvh4dRcNmyy3atzK8/G/d1y2b1/nE6KzXod+s5iEBdeIv/3ZmO&#10;86fjyQT+3ok3yOUvAAAA//8DAFBLAQItABQABgAIAAAAIQDb4fbL7gAAAIUBAAATAAAAAAAAAAAA&#10;AAAAAAAAAABbQ29udGVudF9UeXBlc10ueG1sUEsBAi0AFAAGAAgAAAAhAFr0LFu/AAAAFQEAAAsA&#10;AAAAAAAAAAAAAAAAHwEAAF9yZWxzLy5yZWxzUEsBAi0AFAAGAAgAAAAhAPnb4prEAAAA3gAAAA8A&#10;AAAAAAAAAAAAAAAABwIAAGRycy9kb3ducmV2LnhtbFBLBQYAAAAAAwADALcAAAD4AgAAAAA=&#10;" filled="f" stroked="f">
                  <v:textbox inset="0,0,0,0">
                    <w:txbxContent>
                      <w:p w14:paraId="2114B90A" w14:textId="77777777" w:rsidR="00B32EF2" w:rsidRDefault="00000000">
                        <w:r>
                          <w:rPr>
                            <w:rFonts w:ascii="Arial" w:eastAsia="Arial" w:hAnsi="Arial" w:cs="Arial"/>
                            <w:sz w:val="18"/>
                          </w:rPr>
                          <w:t>-</w:t>
                        </w:r>
                      </w:p>
                    </w:txbxContent>
                  </v:textbox>
                </v:rect>
                <v:rect id="Rectangle 16256" o:spid="_x0000_s2499" style="position:absolute;left:-13172;top:14332;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XztxAAAAN4AAAAPAAAAZHJzL2Rvd25yZXYueG1sRE9Na8JA&#10;EL0X/A/LFLzVTYUGSV1FFGkOXqoRPA7ZMUnNzi7Z1UR/fbdQ8DaP9znz5WBacaPON5YVvE8SEMSl&#10;1Q1XCorD9m0Gwgdkja1lUnAnD8vF6GWOmbY9f9NtHyoRQ9hnqKAOwWVS+rImg35iHXHkzrYzGCLs&#10;Kqk77GO4aeU0SVJpsOHYUKOjdU3lZX81Ck4bdvm2l+X5sXa7n3zWfl2Lo1Lj12H1CSLQEJ7if3eu&#10;4/x0+pHC3zvxBrn4BQAA//8DAFBLAQItABQABgAIAAAAIQDb4fbL7gAAAIUBAAATAAAAAAAAAAAA&#10;AAAAAAAAAABbQ29udGVudF9UeXBlc10ueG1sUEsBAi0AFAAGAAgAAAAhAFr0LFu/AAAAFQEAAAsA&#10;AAAAAAAAAAAAAAAAHwEAAF9yZWxzLy5yZWxzUEsBAi0AFAAGAAgAAAAhAAkJfO3EAAAA3gAAAA8A&#10;AAAAAAAAAAAAAAAABwIAAGRycy9kb3ducmV2LnhtbFBLBQYAAAAAAwADALcAAAD4AgAAAAA=&#10;" filled="f" stroked="f">
                  <v:textbox inset="0,0,0,0">
                    <w:txbxContent>
                      <w:p w14:paraId="5CC770BE" w14:textId="77777777" w:rsidR="00B32EF2" w:rsidRDefault="00000000">
                        <w:r>
                          <w:rPr>
                            <w:rFonts w:ascii="Arial" w:eastAsia="Arial" w:hAnsi="Arial" w:cs="Arial"/>
                            <w:sz w:val="18"/>
                          </w:rPr>
                          <w:t xml:space="preserve">rabile, può chiedere alla corte di giustizia tributaria di primo o di secondo grado </w:t>
                        </w:r>
                      </w:p>
                    </w:txbxContent>
                  </v:textbox>
                </v:rect>
                <v:rect id="Rectangle 16257" o:spid="_x0000_s2500" style="position:absolute;left:-13172;top:1309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dl2xAAAAN4AAAAPAAAAZHJzL2Rvd25yZXYueG1sRE9Ni8Iw&#10;EL0L/ocwgjdNFXSlaxRRxB72sq4Lexyasa02k9BEW/31m4UFb/N4n7Ncd6YWd2p8ZVnBZJyAIM6t&#10;rrhQcPrajxYgfEDWWFsmBQ/ysF71e0tMtW35k+7HUIgYwj5FBWUILpXS5yUZ9GPriCN3to3BEGFT&#10;SN1gG8NNLadJMpcGK44NJTralpRfjzej4GfHLtu3Mj8/t+7jki3qw+30rdRw0G3eQQTqwkv87850&#10;nD+fzt7g7514g1z9AgAA//8DAFBLAQItABQABgAIAAAAIQDb4fbL7gAAAIUBAAATAAAAAAAAAAAA&#10;AAAAAAAAAABbQ29udGVudF9UeXBlc10ueG1sUEsBAi0AFAAGAAgAAAAhAFr0LFu/AAAAFQEAAAsA&#10;AAAAAAAAAAAAAAAAHwEAAF9yZWxzLy5yZWxzUEsBAi0AFAAGAAgAAAAhAGZF2XbEAAAA3gAAAA8A&#10;AAAAAAAAAAAAAAAABwIAAGRycy9kb3ducmV2LnhtbFBLBQYAAAAAAwADALcAAAD4AgAAAAA=&#10;" filled="f" stroked="f">
                  <v:textbox inset="0,0,0,0">
                    <w:txbxContent>
                      <w:p w14:paraId="410B50D0" w14:textId="77777777" w:rsidR="00B32EF2" w:rsidRDefault="00000000">
                        <w:r>
                          <w:rPr>
                            <w:rFonts w:ascii="Arial" w:eastAsia="Arial" w:hAnsi="Arial" w:cs="Arial"/>
                            <w:sz w:val="18"/>
                          </w:rPr>
                          <w:t xml:space="preserve">presso la quale è pendente il giudizio, ovvero adita ai sensi dell’articolo 117 </w:t>
                        </w:r>
                      </w:p>
                    </w:txbxContent>
                  </v:textbox>
                </v:rect>
                <v:rect id="Rectangle 16258" o:spid="_x0000_s2501" style="position:absolute;left:-13172;top:1186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k0ExwAAAN4AAAAPAAAAZHJzL2Rvd25yZXYueG1sRI9Ba8JA&#10;EIXvQv/DMoXedFOhIqmrFIs0h16qEXocsmOSNju7ZFeT+uudQ8HbDO/Ne9+sNqPr1IX62Ho28DzL&#10;QBFX3rZcGygPu+kSVEzIFjvPZOCPImzWD5MV5tYP/EWXfaqVhHDM0UCTUsi1jlVDDuPMB2LRTr53&#10;mGTta217HCTcdXqeZQvtsGVpaDDQtqHqd392Br7fORS7QVen6zZ8/hTL7uNcHo15ehzfXkElGtPd&#10;/H9dWMFfzF+EV96RGfT6BgAA//8DAFBLAQItABQABgAIAAAAIQDb4fbL7gAAAIUBAAATAAAAAAAA&#10;AAAAAAAAAAAAAABbQ29udGVudF9UeXBlc10ueG1sUEsBAi0AFAAGAAgAAAAhAFr0LFu/AAAAFQEA&#10;AAsAAAAAAAAAAAAAAAAAHwEAAF9yZWxzLy5yZWxzUEsBAi0AFAAGAAgAAAAhABfaTQTHAAAA3gAA&#10;AA8AAAAAAAAAAAAAAAAABwIAAGRycy9kb3ducmV2LnhtbFBLBQYAAAAAAwADALcAAAD7AgAAAAA=&#10;" filled="f" stroked="f">
                  <v:textbox inset="0,0,0,0">
                    <w:txbxContent>
                      <w:p w14:paraId="1CF5572C" w14:textId="77777777" w:rsidR="00B32EF2" w:rsidRDefault="00000000">
                        <w:r>
                          <w:rPr>
                            <w:rFonts w:ascii="Arial" w:eastAsia="Arial" w:hAnsi="Arial" w:cs="Arial"/>
                            <w:sz w:val="18"/>
                          </w:rPr>
                          <w:t xml:space="preserve">la sospensione dell’esecuzione dell’atto stesso con istanza motivata proposta </w:t>
                        </w:r>
                      </w:p>
                    </w:txbxContent>
                  </v:textbox>
                </v:rect>
                <v:rect id="Rectangle 16259" o:spid="_x0000_s2502" style="position:absolute;left:-12191;top:10632;width:521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uifxAAAAN4AAAAPAAAAZHJzL2Rvd25yZXYueG1sRE9Li8Iw&#10;EL4v+B/CCN7WdAVFq1EWF9ke9uILPA7N2FabSWiirf76jbCwt/n4nrNYdaYWd2p8ZVnBxzABQZxb&#10;XXGh4LDfvE9B+ICssbZMCh7kYbXsvS0w1bblLd13oRAxhH2KCsoQXCqlz0sy6IfWEUfubBuDIcKm&#10;kLrBNoabWo6SZCINVhwbSnS0Lim/7m5GwemLXbZpZX5+rt3PJZvW37fDUalBv/ucgwjUhX/xnzvT&#10;cf5kNJ7B6514g1z+AgAA//8DAFBLAQItABQABgAIAAAAIQDb4fbL7gAAAIUBAAATAAAAAAAAAAAA&#10;AAAAAAAAAABbQ29udGVudF9UeXBlc10ueG1sUEsBAi0AFAAGAAgAAAAhAFr0LFu/AAAAFQEAAAsA&#10;AAAAAAAAAAAAAAAAHwEAAF9yZWxzLy5yZWxzUEsBAi0AFAAGAAgAAAAhAHiW6J/EAAAA3gAAAA8A&#10;AAAAAAAAAAAAAAAABwIAAGRycy9kb3ducmV2LnhtbFBLBQYAAAAAAwADALcAAAD4AgAAAAA=&#10;" filled="f" stroked="f">
                  <v:textbox inset="0,0,0,0">
                    <w:txbxContent>
                      <w:p w14:paraId="17FC0D90" w14:textId="77777777" w:rsidR="00B32EF2" w:rsidRDefault="00000000">
                        <w:r>
                          <w:rPr>
                            <w:rFonts w:ascii="Arial" w:eastAsia="Arial" w:hAnsi="Arial" w:cs="Arial"/>
                            <w:sz w:val="18"/>
                          </w:rPr>
                          <w:t>nel ricorso o con atto separato notificata alle altre parti e depositato in segre</w:t>
                        </w:r>
                      </w:p>
                    </w:txbxContent>
                  </v:textbox>
                </v:rect>
                <v:rect id="Rectangle 16260" o:spid="_x0000_s2503" style="position:absolute;left:191;top:1063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Iu/xwAAAN4AAAAPAAAAZHJzL2Rvd25yZXYueG1sRI9Pb8Iw&#10;DMXvSPsOkSdxg3QcKtQR0MSE1sMu44/E0WpM261xoibQsk8/HyZxs+Xn995vtRldp27Ux9azgZd5&#10;Boq48rbl2sDxsJstQcWEbLHzTAbuFGGzfpqssLB+4C+67VOtxIRjgQaalEKhdawachjnPhDL7eJ7&#10;h0nWvta2x0HMXacXWZZrhy1LQoOBtg1VP/urM3B+51DuBl1dfrfh87tcdh/X48mY6fP49goq0Zge&#10;4v/v0kr9fJELgODIDHr9BwAA//8DAFBLAQItABQABgAIAAAAIQDb4fbL7gAAAIUBAAATAAAAAAAA&#10;AAAAAAAAAAAAAABbQ29udGVudF9UeXBlc10ueG1sUEsBAi0AFAAGAAgAAAAhAFr0LFu/AAAAFQEA&#10;AAsAAAAAAAAAAAAAAAAAHwEAAF9yZWxzLy5yZWxzUEsBAi0AFAAGAAgAAAAhACfAi7/HAAAA3gAA&#10;AA8AAAAAAAAAAAAAAAAABwIAAGRycy9kb3ducmV2LnhtbFBLBQYAAAAAAwADALcAAAD7AgAAAAA=&#10;" filled="f" stroked="f">
                  <v:textbox inset="0,0,0,0">
                    <w:txbxContent>
                      <w:p w14:paraId="2E14CF9D" w14:textId="77777777" w:rsidR="00B32EF2" w:rsidRDefault="00000000">
                        <w:r>
                          <w:rPr>
                            <w:rFonts w:ascii="Arial" w:eastAsia="Arial" w:hAnsi="Arial" w:cs="Arial"/>
                            <w:sz w:val="18"/>
                          </w:rPr>
                          <w:t>-</w:t>
                        </w:r>
                      </w:p>
                    </w:txbxContent>
                  </v:textbox>
                </v:rect>
                <v:rect id="Rectangle 16261" o:spid="_x0000_s2504" style="position:absolute;left:-6676;top:9398;width:465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C4kwwAAAN4AAAAPAAAAZHJzL2Rvd25yZXYueG1sRE9Ni8Iw&#10;EL0v+B/CCN7WVA9FqlFEEXvwsq6Cx6EZ22ozCU201V+/WVjY2zze5yxWvWnEk1pfW1YwGScgiAur&#10;ay4VnL53nzMQPiBrbCyTghd5WC0HHwvMtO34i57HUIoYwj5DBVUILpPSFxUZ9GPriCN3ta3BEGFb&#10;St1iF8NNI6dJkkqDNceGCh1tKirux4dRcNmyy3edLK7vjTvc8lmzf5zOSo2G/XoOIlAf/sV/7lzH&#10;+ek0ncDvO/EGufwBAAD//wMAUEsBAi0AFAAGAAgAAAAhANvh9svuAAAAhQEAABMAAAAAAAAAAAAA&#10;AAAAAAAAAFtDb250ZW50X1R5cGVzXS54bWxQSwECLQAUAAYACAAAACEAWvQsW78AAAAVAQAACwAA&#10;AAAAAAAAAAAAAAAfAQAAX3JlbHMvLnJlbHNQSwECLQAUAAYACAAAACEASIwuJMMAAADeAAAADwAA&#10;AAAAAAAAAAAAAAAHAgAAZHJzL2Rvd25yZXYueG1sUEsFBgAAAAADAAMAtwAAAPcCAAAAAA==&#10;" filled="f" stroked="f">
                  <v:textbox inset="0,0,0,0">
                    <w:txbxContent>
                      <w:p w14:paraId="55599D63" w14:textId="77777777" w:rsidR="00B32EF2" w:rsidRDefault="00000000">
                        <w:r>
                          <w:rPr>
                            <w:rFonts w:ascii="Arial" w:eastAsia="Arial" w:hAnsi="Arial" w:cs="Arial"/>
                            <w:sz w:val="18"/>
                          </w:rPr>
                          <w:t>teria sempre che siano osservate le disposizioni di cui all’articolo 68.</w:t>
                        </w:r>
                      </w:p>
                    </w:txbxContent>
                  </v:textbox>
                </v:rect>
                <v:rect id="Rectangle 200567" o:spid="_x0000_s2505" style="position:absolute;left:26109;top:816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h8nxwAAAN8AAAAPAAAAZHJzL2Rvd25yZXYueG1sRI/NawIx&#10;FMTvQv+H8AreNNuCVlazUizSPfTiR6HHx+bth928hE10V//6Rih4HGbmN8xqPZhWXKjzjWUFL9ME&#10;BHFhdcOVguNhO1mA8AFZY2uZFFzJwzp7Gq0w1bbnHV32oRIRwj5FBXUILpXSFzUZ9FPriKNX2s5g&#10;iLKrpO6wj3DTytckmUuDDceFGh1taip+92ej4OeDXb7tZVHeNu7rlC/az/PxW6nx8/C+BBFoCI/w&#10;fzvXCiJxNn+D+5/4BWT2BwAA//8DAFBLAQItABQABgAIAAAAIQDb4fbL7gAAAIUBAAATAAAAAAAA&#10;AAAAAAAAAAAAAABbQ29udGVudF9UeXBlc10ueG1sUEsBAi0AFAAGAAgAAAAhAFr0LFu/AAAAFQEA&#10;AAsAAAAAAAAAAAAAAAAAHwEAAF9yZWxzLy5yZWxzUEsBAi0AFAAGAAgAAAAhAGA2HyfHAAAA3wAA&#10;AA8AAAAAAAAAAAAAAAAABwIAAGRycy9kb3ducmV2LnhtbFBLBQYAAAAAAwADALcAAAD7AgAAAAA=&#10;" filled="f" stroked="f">
                  <v:textbox inset="0,0,0,0">
                    <w:txbxContent>
                      <w:p w14:paraId="63229E59" w14:textId="77777777" w:rsidR="00B32EF2" w:rsidRDefault="00000000">
                        <w:r>
                          <w:rPr>
                            <w:rFonts w:ascii="Arial" w:eastAsia="Arial" w:hAnsi="Arial" w:cs="Arial"/>
                            <w:sz w:val="18"/>
                          </w:rPr>
                          <w:t>2</w:t>
                        </w:r>
                      </w:p>
                    </w:txbxContent>
                  </v:textbox>
                </v:rect>
                <v:rect id="Rectangle 200569" o:spid="_x0000_s2506" style="position:absolute;left:-13818;top:816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7OxwAAAN8AAAAPAAAAZHJzL2Rvd25yZXYueG1sRI/NawIx&#10;FMTvhf4P4RW8abYFRVezUizSPfTiR6HHx+bth928hE10V//6RhB6HGbmN8xqPZhWXKjzjWUFr5ME&#10;BHFhdcOVguNhO56D8AFZY2uZFFzJwzp7flphqm3PO7rsQyUihH2KCuoQXCqlL2oy6CfWEUevtJ3B&#10;EGVXSd1hH+GmlW9JMpMGG44LNTra1FT87s9Gwc8Hu3zby6K8bdzXKZ+3n+fjt1Kjl+F9CSLQEP7D&#10;j3auFUTidLaA+5/4BWT2BwAA//8DAFBLAQItABQABgAIAAAAIQDb4fbL7gAAAIUBAAATAAAAAAAA&#10;AAAAAAAAAAAAAABbQ29udGVudF9UeXBlc10ueG1sUEsBAi0AFAAGAAgAAAAhAFr0LFu/AAAAFQEA&#10;AAsAAAAAAAAAAAAAAAAAHwEAAF9yZWxzLy5yZWxzUEsBAi0AFAAGAAgAAAAhAH7lLs7HAAAA3wAA&#10;AA8AAAAAAAAAAAAAAAAABwIAAGRycy9kb3ducmV2LnhtbFBLBQYAAAAAAwADALcAAAD7AgAAAAA=&#10;" filled="f" stroked="f">
                  <v:textbox inset="0,0,0,0">
                    <w:txbxContent>
                      <w:p w14:paraId="1D5CE9BA" w14:textId="77777777" w:rsidR="00B32EF2" w:rsidRDefault="00000000">
                        <w:r>
                          <w:rPr>
                            <w:rFonts w:ascii="Arial" w:eastAsia="Arial" w:hAnsi="Arial" w:cs="Arial"/>
                            <w:sz w:val="18"/>
                          </w:rPr>
                          <w:t xml:space="preserve">. Il presidente fissa con decreto la trattazione della istanza di sospensione </w:t>
                        </w:r>
                      </w:p>
                    </w:txbxContent>
                  </v:textbox>
                </v:rect>
                <v:rect id="Rectangle 16263" o:spid="_x0000_s2507" style="position:absolute;left:-13172;top:693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XIxAAAAN4AAAAPAAAAZHJzL2Rvd25yZXYueG1sRE9Na8JA&#10;EL0X/A/LFLzVTS0ESV1FFGkOXqoRPA7ZMUnNzi7Z1UR/fbdQ8DaP9znz5WBacaPON5YVvE8SEMSl&#10;1Q1XCorD9m0Gwgdkja1lUnAnD8vF6GWOmbY9f9NtHyoRQ9hnqKAOwWVS+rImg35iHXHkzrYzGCLs&#10;Kqk77GO4aeU0SVJpsOHYUKOjdU3lZX81Ck4bdvm2l+X5sXa7n3zWfl2Lo1Lj12H1CSLQEJ7if3eu&#10;4/x0mn7A3zvxBrn4BQAA//8DAFBLAQItABQABgAIAAAAIQDb4fbL7gAAAIUBAAATAAAAAAAAAAAA&#10;AAAAAAAAAABbQ29udGVudF9UeXBlc10ueG1sUEsBAi0AFAAGAAgAAAAhAFr0LFu/AAAAFQEAAAsA&#10;AAAAAAAAAAAAAAAAHwEAAF9yZWxzLy5yZWxzUEsBAi0AFAAGAAgAAAAhANcSFcjEAAAA3gAAAA8A&#10;AAAAAAAAAAAAAAAABwIAAGRycy9kb3ducmV2LnhtbFBLBQYAAAAAAwADALcAAAD4AgAAAAA=&#10;" filled="f" stroked="f">
                  <v:textbox inset="0,0,0,0">
                    <w:txbxContent>
                      <w:p w14:paraId="7FA68736" w14:textId="77777777" w:rsidR="00B32EF2" w:rsidRDefault="00000000">
                        <w:r>
                          <w:rPr>
                            <w:rFonts w:ascii="Arial" w:eastAsia="Arial" w:hAnsi="Arial" w:cs="Arial"/>
                            <w:sz w:val="18"/>
                          </w:rPr>
                          <w:t xml:space="preserve">per la prima camera di consiglio utile e comunque non oltre il trentesimo giorno </w:t>
                        </w:r>
                      </w:p>
                    </w:txbxContent>
                  </v:textbox>
                </v:rect>
                <v:rect id="Rectangle 16264" o:spid="_x0000_s2508" style="position:absolute;left:-12187;top:5698;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28xAAAAN4AAAAPAAAAZHJzL2Rvd25yZXYueG1sRE9Na8JA&#10;EL0X/A/LFLzVTaUESV1FFGkOXqoRPA7ZMUnNzi7Z1UR/fbdQ8DaP9znz5WBacaPON5YVvE8SEMSl&#10;1Q1XCorD9m0Gwgdkja1lUnAnD8vF6GWOmbY9f9NtHyoRQ9hnqKAOwWVS+rImg35iHXHkzrYzGCLs&#10;Kqk77GO4aeU0SVJpsOHYUKOjdU3lZX81Ck4bdvm2l+X5sXa7n3zWfl2Lo1Lj12H1CSLQEJ7if3eu&#10;4/x0mn7A3zvxBrn4BQAA//8DAFBLAQItABQABgAIAAAAIQDb4fbL7gAAAIUBAAATAAAAAAAAAAAA&#10;AAAAAAAAAABbQ29udGVudF9UeXBlc10ueG1sUEsBAi0AFAAGAAgAAAAhAFr0LFu/AAAAFQEAAAsA&#10;AAAAAAAAAAAAAAAAHwEAAF9yZWxzLy5yZWxzUEsBAi0AFAAGAAgAAAAhAFj7jbzEAAAA3gAAAA8A&#10;AAAAAAAAAAAAAAAABwIAAGRycy9kb3ducmV2LnhtbFBLBQYAAAAAAwADALcAAAD4AgAAAAA=&#10;" filled="f" stroked="f">
                  <v:textbox inset="0,0,0,0">
                    <w:txbxContent>
                      <w:p w14:paraId="78401D4F" w14:textId="77777777" w:rsidR="00B32EF2" w:rsidRDefault="00000000">
                        <w:r>
                          <w:rPr>
                            <w:rFonts w:ascii="Arial" w:eastAsia="Arial" w:hAnsi="Arial" w:cs="Arial"/>
                            <w:sz w:val="18"/>
                          </w:rPr>
                          <w:t>dalla presentazione della medesima istanza, disponendo che ne sia data co</w:t>
                        </w:r>
                      </w:p>
                    </w:txbxContent>
                  </v:textbox>
                </v:rect>
                <v:rect id="Rectangle 16265" o:spid="_x0000_s2509" style="position:absolute;left:191;top:569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ygnxAAAAN4AAAAPAAAAZHJzL2Rvd25yZXYueG1sRE9Na8JA&#10;EL0X/A/LFLzVTYUGSV1FFGkOXqoRPA7ZMUnNzi7Z1UR/fbdQ8DaP9znz5WBacaPON5YVvE8SEMSl&#10;1Q1XCorD9m0Gwgdkja1lUnAnD8vF6GWOmbY9f9NtHyoRQ9hnqKAOwWVS+rImg35iHXHkzrYzGCLs&#10;Kqk77GO4aeU0SVJpsOHYUKOjdU3lZX81Ck4bdvm2l+X5sXa7n3zWfl2Lo1Lj12H1CSLQEJ7if3eu&#10;4/x0mn7A3zvxBrn4BQAA//8DAFBLAQItABQABgAIAAAAIQDb4fbL7gAAAIUBAAATAAAAAAAAAAAA&#10;AAAAAAAAAABbQ29udGVudF9UeXBlc10ueG1sUEsBAi0AFAAGAAgAAAAhAFr0LFu/AAAAFQEAAAsA&#10;AAAAAAAAAAAAAAAAHwEAAF9yZWxzLy5yZWxzUEsBAi0AFAAGAAgAAAAhADe3KCfEAAAA3gAAAA8A&#10;AAAAAAAAAAAAAAAABwIAAGRycy9kb3ducmV2LnhtbFBLBQYAAAAAAwADALcAAAD4AgAAAAA=&#10;" filled="f" stroked="f">
                  <v:textbox inset="0,0,0,0">
                    <w:txbxContent>
                      <w:p w14:paraId="0354AE4A" w14:textId="77777777" w:rsidR="00B32EF2" w:rsidRDefault="00000000">
                        <w:r>
                          <w:rPr>
                            <w:rFonts w:ascii="Arial" w:eastAsia="Arial" w:hAnsi="Arial" w:cs="Arial"/>
                            <w:sz w:val="18"/>
                          </w:rPr>
                          <w:t>-</w:t>
                        </w:r>
                      </w:p>
                    </w:txbxContent>
                  </v:textbox>
                </v:rect>
                <v:rect id="Rectangle 16266" o:spid="_x0000_s2510" style="position:absolute;left:-12187;top:4465;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bZQwwAAAN4AAAAPAAAAZHJzL2Rvd25yZXYueG1sRE9Li8Iw&#10;EL4v+B/CCHtbUz0UqUYRRexhL+sDPA7N2FabSWiirf76zcKCt/n4njNf9qYRD2p9bVnBeJSAIC6s&#10;rrlUcDxsv6YgfEDW2FgmBU/ysFwMPuaYadvxDz32oRQxhH2GCqoQXCalLyoy6EfWEUfuYluDIcK2&#10;lLrFLoabRk6SJJUGa44NFTpaV1Tc9nej4Lxhl287WVxea/d9zafN7n48KfU57FczEIH68Bb/u3Md&#10;56eTNIW/d+INcvELAAD//wMAUEsBAi0AFAAGAAgAAAAhANvh9svuAAAAhQEAABMAAAAAAAAAAAAA&#10;AAAAAAAAAFtDb250ZW50X1R5cGVzXS54bWxQSwECLQAUAAYACAAAACEAWvQsW78AAAAVAQAACwAA&#10;AAAAAAAAAAAAAAAfAQAAX3JlbHMvLnJlbHNQSwECLQAUAAYACAAAACEAx2W2UMMAAADeAAAADwAA&#10;AAAAAAAAAAAAAAAHAgAAZHJzL2Rvd25yZXYueG1sUEsFBgAAAAADAAMAtwAAAPcCAAAAAA==&#10;" filled="f" stroked="f">
                  <v:textbox inset="0,0,0,0">
                    <w:txbxContent>
                      <w:p w14:paraId="7003ABB4" w14:textId="77777777" w:rsidR="00B32EF2" w:rsidRDefault="00000000">
                        <w:r>
                          <w:rPr>
                            <w:rFonts w:ascii="Arial" w:eastAsia="Arial" w:hAnsi="Arial" w:cs="Arial"/>
                            <w:sz w:val="18"/>
                          </w:rPr>
                          <w:t>municazione alle parti almeno cinque giorni liberi prima. L’udienza di trattazio</w:t>
                        </w:r>
                      </w:p>
                    </w:txbxContent>
                  </v:textbox>
                </v:rect>
                <v:shape id="Shape 207812" o:spid="_x0000_s2511" style="position:absolute;left:317;top:26350;width:39600;height:3833;visibility:visible;mso-wrap-style:square;v-text-anchor:top" coordsize="3960000,38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ffxQAAAN8AAAAPAAAAZHJzL2Rvd25yZXYueG1sRI9BawIx&#10;FITvhf6H8ARvNXEPq26NIqUt4kWqPfT42LxuFjcvS5Lq+u+NIPQ4zMw3zHI9uE6cKcTWs4bpRIEg&#10;rr1pudHwffx4mYOICdlg55k0XCnCevX8tMTK+At/0fmQGpEhHCvUYFPqKyljbclhnPieOHu/PjhM&#10;WYZGmoCXDHedLJQqpcOW84LFnt4s1afDn8uU1jJebdkvwn7YHRW+lz+fJ63Ho2HzCiLRkP7Dj/bW&#10;aCjUbD4t4P4nfwG5ugEAAP//AwBQSwECLQAUAAYACAAAACEA2+H2y+4AAACFAQAAEwAAAAAAAAAA&#10;AAAAAAAAAAAAW0NvbnRlbnRfVHlwZXNdLnhtbFBLAQItABQABgAIAAAAIQBa9CxbvwAAABUBAAAL&#10;AAAAAAAAAAAAAAAAAB8BAABfcmVscy8ucmVsc1BLAQItABQABgAIAAAAIQDXQxffxQAAAN8AAAAP&#10;AAAAAAAAAAAAAAAAAAcCAABkcnMvZG93bnJldi54bWxQSwUGAAAAAAMAAwC3AAAA+QIAAAAA&#10;" path="m,l3960000,r,383299l,383299,,e" fillcolor="#c3c3c3" stroked="f" strokeweight="0">
                  <v:stroke miterlimit="83231f" joinstyle="miter"/>
                  <v:path arrowok="t" textboxrect="0,0,3960000,383299"/>
                </v:shape>
                <v:rect id="Rectangle 16269" o:spid="_x0000_s2512" style="position:absolute;left:23565;top:27970;width:155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IixAAAAN4AAAAPAAAAZHJzL2Rvd25yZXYueG1sRE9Na8JA&#10;EL0L/odlCr3pph6CTV1FFGkOXmojeByyY5KanV2yq4n+erdQ6G0e73MWq8G04kadbywreJsmIIhL&#10;qxuuFBTfu8kchA/IGlvLpOBOHlbL8WiBmbY9f9HtECoRQ9hnqKAOwWVS+rImg35qHXHkzrYzGCLs&#10;Kqk77GO4aeUsSVJpsOHYUKOjTU3l5XA1Ck5bdvmul+X5sXH7n3zefl6Lo1KvL8P6A0SgIfyL/9y5&#10;jvPTWfoOv+/EG+TyCQAA//8DAFBLAQItABQABgAIAAAAIQDb4fbL7gAAAIUBAAATAAAAAAAAAAAA&#10;AAAAAAAAAABbQ29udGVudF9UeXBlc10ueG1sUEsBAi0AFAAGAAgAAAAhAFr0LFu/AAAAFQEAAAsA&#10;AAAAAAAAAAAAAAAAHwEAAF9yZWxzLy5yZWxzUEsBAi0AFAAGAAgAAAAhALb6IiLEAAAA3gAAAA8A&#10;AAAAAAAAAAAAAAAABwIAAGRycy9kb3ducmV2LnhtbFBLBQYAAAAAAwADALcAAAD4AgAAAAA=&#10;" filled="f" stroked="f">
                  <v:textbox inset="0,0,0,0">
                    <w:txbxContent>
                      <w:p w14:paraId="239FDDE6" w14:textId="77777777" w:rsidR="00B32EF2" w:rsidRDefault="00000000">
                        <w:r>
                          <w:rPr>
                            <w:rFonts w:ascii="Arial" w:eastAsia="Arial" w:hAnsi="Arial" w:cs="Arial"/>
                            <w:b/>
                            <w:i/>
                            <w:sz w:val="18"/>
                          </w:rPr>
                          <w:t>NORME COLLEGATE</w:t>
                        </w:r>
                      </w:p>
                    </w:txbxContent>
                  </v:textbox>
                </v:rect>
                <v:rect id="Rectangle 16270" o:spid="_x0000_s2513" style="position:absolute;left:5162;top:26737;width:339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R1ixwAAAN4AAAAPAAAAZHJzL2Rvd25yZXYueG1sRI9Pb8Iw&#10;DMXvk/gOkZF2GykcGOoICDGh9bAL/6Qdrca03RonagLt9unxYRI3W35+7/2W68G16kZdbDwbmE4y&#10;UMSltw1XBk7H3csCVEzIFlvPZOCXIqxXo6cl5tb3vKfbIVVKTDjmaKBOKeRax7Imh3HiA7HcLr5z&#10;mGTtKm077MXctXqWZXPtsGFJqDHQtqby53B1Br7eORS7XpeXv234/C4W7cf1dDbmeTxs3kAlGtJD&#10;/P9dWKk/n70KgODIDHp1BwAA//8DAFBLAQItABQABgAIAAAAIQDb4fbL7gAAAIUBAAATAAAAAAAA&#10;AAAAAAAAAAAAAABbQ29udGVudF9UeXBlc10ueG1sUEsBAi0AFAAGAAgAAAAhAFr0LFu/AAAAFQEA&#10;AAsAAAAAAAAAAAAAAAAAHwEAAF9yZWxzLy5yZWxzUEsBAi0AFAAGAAgAAAAhAKIZHWLHAAAA3gAA&#10;AA8AAAAAAAAAAAAAAAAABwIAAGRycy9kb3ducmV2LnhtbFBLBQYAAAAAAwADALcAAAD7AgAAAAA=&#10;" filled="f" stroked="f">
                  <v:textbox inset="0,0,0,0">
                    <w:txbxContent>
                      <w:p w14:paraId="627E8C2E" w14:textId="77777777" w:rsidR="00B32EF2" w:rsidRDefault="00000000">
                        <w:r>
                          <w:rPr>
                            <w:rFonts w:ascii="Arial" w:eastAsia="Arial" w:hAnsi="Arial" w:cs="Arial"/>
                            <w:i/>
                            <w:sz w:val="18"/>
                          </w:rPr>
                          <w:t xml:space="preserve">art 310 c.p.c. “Effetti dell’estinzione del processo” </w:t>
                        </w:r>
                      </w:p>
                    </w:txbxContent>
                  </v:textbox>
                </v:rect>
                <v:shape id="Shape 16271" o:spid="_x0000_s2514" style="position:absolute;left:317;top:26350;width:39600;height:3833;visibility:visible;mso-wrap-style:square;v-text-anchor:top" coordsize="3960000,38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LtOxQAAAN4AAAAPAAAAZHJzL2Rvd25yZXYueG1sRE9La8JA&#10;EL4L/odlCt50E6mPpllFWgQ9qakt9DZkp0kwO5tmV03/fVcQvM3H95x02ZlaXKh1lWUF8SgCQZxb&#10;XXGh4PixHs5BOI+ssbZMCv7IwXLR76WYaHvlA10yX4gQwi5BBaX3TSKly0sy6Ea2IQ7cj20N+gDb&#10;QuoWryHc1HIcRVNpsOLQUGJDbyXlp+xsFLy8R7v5Lx5PX/jcEGX15Ptzv1Vq8NStXkF46vxDfHdv&#10;dJg/Hc9iuL0TbpCLfwAAAP//AwBQSwECLQAUAAYACAAAACEA2+H2y+4AAACFAQAAEwAAAAAAAAAA&#10;AAAAAAAAAAAAW0NvbnRlbnRfVHlwZXNdLnhtbFBLAQItABQABgAIAAAAIQBa9CxbvwAAABUBAAAL&#10;AAAAAAAAAAAAAAAAAB8BAABfcmVscy8ucmVsc1BLAQItABQABgAIAAAAIQCLcLtOxQAAAN4AAAAP&#10;AAAAAAAAAAAAAAAAAAcCAABkcnMvZG93bnJldi54bWxQSwUGAAAAAAMAAwC3AAAA+QIAAAAA&#10;" path="m,383299r3960000,l3960000,,,,,383299xe" filled="f" strokeweight="1pt">
                  <v:stroke miterlimit="1" joinstyle="miter"/>
                  <v:path arrowok="t" textboxrect="0,0,3960000,383299"/>
                </v:shape>
                <v:shape id="Shape 207813" o:spid="_x0000_s2515" style="position:absolute;left:317;top:45340;width:39600;height:3833;visibility:visible;mso-wrap-style:square;v-text-anchor:top" coordsize="3960000,38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h+TxgAAAN8AAAAPAAAAZHJzL2Rvd25yZXYueG1sRI9BS8Qw&#10;FITvgv8hPMGLuMmuYEt3s8sqCh72YhW8Ppq3TbF5CU1s6r83guBxmJlvmN1hcaOYaYqDZw3rlQJB&#10;3HkzcK/h/e35tgYRE7LB0TNp+KYIh/3lxQ4b4zO/0tymXhQIxwY12JRCI2XsLDmMKx+Ii3f2k8NU&#10;5NRLM2EucDfKjVL30uHAZcFioEdL3Wf75TTkNtQ+zCer4tPDx83xVGWfK62vr5bjFkSiJf2H/9ov&#10;RsNGVfX6Dn7/lC8g9z8AAAD//wMAUEsBAi0AFAAGAAgAAAAhANvh9svuAAAAhQEAABMAAAAAAAAA&#10;AAAAAAAAAAAAAFtDb250ZW50X1R5cGVzXS54bWxQSwECLQAUAAYACAAAACEAWvQsW78AAAAVAQAA&#10;CwAAAAAAAAAAAAAAAAAfAQAAX3JlbHMvLnJlbHNQSwECLQAUAAYACAAAACEAJ3ofk8YAAADfAAAA&#10;DwAAAAAAAAAAAAAAAAAHAgAAZHJzL2Rvd25yZXYueG1sUEsFBgAAAAADAAMAtwAAAPoCAAAAAA==&#10;" path="m,l3960000,r,383299l,383299,,e" fillcolor="#c3c3c3" stroked="f" strokeweight="0">
                  <v:stroke miterlimit="1" joinstyle="miter"/>
                  <v:path arrowok="t" textboxrect="0,0,3960000,383299"/>
                </v:shape>
                <v:rect id="Rectangle 16273" o:spid="_x0000_s2516" style="position:absolute;left:23146;top:46960;width:159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4MVxAAAAN4AAAAPAAAAZHJzL2Rvd25yZXYueG1sRE9Ni8Iw&#10;EL0L/ocwgjdNVXClaxRRxB72sq4Lexyasa02k9BEW/31m4UFb/N4n7Ncd6YWd2p8ZVnBZJyAIM6t&#10;rrhQcPrajxYgfEDWWFsmBQ/ysF71e0tMtW35k+7HUIgYwj5FBWUILpXS5yUZ9GPriCN3to3BEGFT&#10;SN1gG8NNLadJMpcGK44NJTralpRfjzej4GfHLtu3Mj8/t+7jki3qw+30rdRw0G3eQQTqwkv87850&#10;nD+fvs3g7514g1z9AgAA//8DAFBLAQItABQABgAIAAAAIQDb4fbL7gAAAIUBAAATAAAAAAAAAAAA&#10;AAAAAAAAAABbQ29udGVudF9UeXBlc10ueG1sUEsBAi0AFAAGAAgAAAAhAFr0LFu/AAAAFQEAAAsA&#10;AAAAAAAAAAAAAAAAHwEAAF9yZWxzLy5yZWxzUEsBAi0AFAAGAAgAAAAhAFLLgxXEAAAA3gAAAA8A&#10;AAAAAAAAAAAAAAAABwIAAGRycy9kb3ducmV2LnhtbFBLBQYAAAAAAwADALcAAAD4AgAAAAA=&#10;" filled="f" stroked="f">
                  <v:textbox inset="0,0,0,0">
                    <w:txbxContent>
                      <w:p w14:paraId="1AF40E73" w14:textId="77777777" w:rsidR="00B32EF2" w:rsidRDefault="00000000">
                        <w:r>
                          <w:rPr>
                            <w:rFonts w:ascii="Arial" w:eastAsia="Arial" w:hAnsi="Arial" w:cs="Arial"/>
                            <w:b/>
                            <w:i/>
                            <w:sz w:val="18"/>
                          </w:rPr>
                          <w:t xml:space="preserve">NORME COLLEGATE </w:t>
                        </w:r>
                      </w:p>
                    </w:txbxContent>
                  </v:textbox>
                </v:rect>
                <v:rect id="Rectangle 16274" o:spid="_x0000_s2517" style="position:absolute;left:4303;top:45727;width:348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thxAAAAN4AAAAPAAAAZHJzL2Rvd25yZXYueG1sRE9Ni8Iw&#10;EL0L/ocwgjdNFXGlaxRRxB72sq4Lexyasa02k9BEW/31m4UFb/N4n7Ncd6YWd2p8ZVnBZJyAIM6t&#10;rrhQcPrajxYgfEDWWFsmBQ/ysF71e0tMtW35k+7HUIgYwj5FBWUILpXS5yUZ9GPriCN3to3BEGFT&#10;SN1gG8NNLadJMpcGK44NJTralpRfjzej4GfHLtu3Mj8/t+7jki3qw+30rdRw0G3eQQTqwkv87850&#10;nD+fvs3g7514g1z9AgAA//8DAFBLAQItABQABgAIAAAAIQDb4fbL7gAAAIUBAAATAAAAAAAAAAAA&#10;AAAAAAAAAABbQ29udGVudF9UeXBlc10ueG1sUEsBAi0AFAAGAAgAAAAhAFr0LFu/AAAAFQEAAAsA&#10;AAAAAAAAAAAAAAAAHwEAAF9yZWxzLy5yZWxzUEsBAi0AFAAGAAgAAAAhAN0iG2HEAAAA3gAAAA8A&#10;AAAAAAAAAAAAAAAABwIAAGRycy9kb3ducmV2LnhtbFBLBQYAAAAAAwADALcAAAD4AgAAAAA=&#10;" filled="f" stroked="f">
                  <v:textbox inset="0,0,0,0">
                    <w:txbxContent>
                      <w:p w14:paraId="34C94DB8" w14:textId="77777777" w:rsidR="00B32EF2" w:rsidRDefault="00000000">
                        <w:r>
                          <w:rPr>
                            <w:rFonts w:ascii="Arial" w:eastAsia="Arial" w:hAnsi="Arial" w:cs="Arial"/>
                            <w:i/>
                            <w:sz w:val="18"/>
                          </w:rPr>
                          <w:t>art. 310 c.p.c. “Effetti dell’estinzione del processo” .</w:t>
                        </w:r>
                      </w:p>
                    </w:txbxContent>
                  </v:textbox>
                </v:rect>
                <v:shape id="Shape 16275" o:spid="_x0000_s2518" style="position:absolute;left:317;top:45340;width:39600;height:3833;visibility:visible;mso-wrap-style:square;v-text-anchor:top" coordsize="3960000,38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71NxQAAAN4AAAAPAAAAZHJzL2Rvd25yZXYueG1sRE9La8JA&#10;EL4X/A/LCN7qpuIjpq5SWoT2pMYH9DZkp0kwO5tm1yT9912h0Nt8fM9ZbXpTiZYaV1pW8DSOQBBn&#10;VpecKzgdt48xCOeRNVaWScEPOdisBw8rTLTt+EBt6nMRQtglqKDwvk6kdFlBBt3Y1sSB+7KNQR9g&#10;k0vdYBfCTSUnUTSXBksODQXW9FpQdk1vRsHyLdrF33i6XnBaE6XV7PO8/1BqNOxfnkF46v2/+M/9&#10;rsP8+WQxg/s74Qa5/gUAAP//AwBQSwECLQAUAAYACAAAACEA2+H2y+4AAACFAQAAEwAAAAAAAAAA&#10;AAAAAAAAAAAAW0NvbnRlbnRfVHlwZXNdLnhtbFBLAQItABQABgAIAAAAIQBa9CxbvwAAABUBAAAL&#10;AAAAAAAAAAAAAAAAAB8BAABfcmVscy8ucmVsc1BLAQItABQABgAIAAAAIQD0S71NxQAAAN4AAAAP&#10;AAAAAAAAAAAAAAAAAAcCAABkcnMvZG93bnJldi54bWxQSwUGAAAAAAMAAwC3AAAA+QIAAAAA&#10;" path="m,383299r3960000,l3960000,,,,,383299xe" filled="f" strokeweight="1pt">
                  <v:stroke miterlimit="1" joinstyle="miter"/>
                  <v:path arrowok="t" textboxrect="0,0,3960000,383299"/>
                </v:shape>
                <w10:anchorlock/>
              </v:group>
            </w:pict>
          </mc:Fallback>
        </mc:AlternateContent>
      </w:r>
    </w:p>
    <w:p w14:paraId="4D2AD806" w14:textId="77777777" w:rsidR="00B32EF2" w:rsidRDefault="00000000">
      <w:pPr>
        <w:spacing w:after="0"/>
        <w:ind w:left="-357" w:right="-306"/>
      </w:pPr>
      <w:r>
        <w:rPr>
          <w:noProof/>
        </w:rPr>
        <w:lastRenderedPageBreak/>
        <mc:AlternateContent>
          <mc:Choice Requires="wpg">
            <w:drawing>
              <wp:inline distT="0" distB="0" distL="0" distR="0" wp14:anchorId="69223432" wp14:editId="6039479E">
                <wp:extent cx="3992522" cy="6262854"/>
                <wp:effectExtent l="0" t="0" r="0" b="0"/>
                <wp:docPr id="200553" name="Group 200553"/>
                <wp:cNvGraphicFramePr/>
                <a:graphic xmlns:a="http://schemas.openxmlformats.org/drawingml/2006/main">
                  <a:graphicData uri="http://schemas.microsoft.com/office/word/2010/wordprocessingGroup">
                    <wpg:wgp>
                      <wpg:cNvGrpSpPr/>
                      <wpg:grpSpPr>
                        <a:xfrm>
                          <a:off x="0" y="0"/>
                          <a:ext cx="3992522" cy="6262854"/>
                          <a:chOff x="0" y="0"/>
                          <a:chExt cx="3992522" cy="6262854"/>
                        </a:xfrm>
                      </wpg:grpSpPr>
                      <wps:wsp>
                        <wps:cNvPr id="16300" name="Rectangle 16300"/>
                        <wps:cNvSpPr/>
                        <wps:spPr>
                          <a:xfrm rot="-10799999">
                            <a:off x="1901208" y="-62190"/>
                            <a:ext cx="178369" cy="250646"/>
                          </a:xfrm>
                          <a:prstGeom prst="rect">
                            <a:avLst/>
                          </a:prstGeom>
                          <a:ln>
                            <a:noFill/>
                          </a:ln>
                        </wps:spPr>
                        <wps:txbx>
                          <w:txbxContent>
                            <w:p w14:paraId="7BB09D26" w14:textId="77777777" w:rsidR="00B32EF2" w:rsidRDefault="00000000">
                              <w:r>
                                <w:rPr>
                                  <w:rFonts w:ascii="Times New Roman" w:eastAsia="Times New Roman" w:hAnsi="Times New Roman" w:cs="Times New Roman"/>
                                </w:rPr>
                                <w:t>83</w:t>
                              </w:r>
                            </w:p>
                          </w:txbxContent>
                        </wps:txbx>
                        <wps:bodyPr horzOverflow="overflow" vert="horz" lIns="0" tIns="0" rIns="0" bIns="0" rtlCol="0">
                          <a:noAutofit/>
                        </wps:bodyPr>
                      </wps:wsp>
                      <wps:wsp>
                        <wps:cNvPr id="16301" name="Rectangle 16301"/>
                        <wps:cNvSpPr/>
                        <wps:spPr>
                          <a:xfrm rot="-10799999">
                            <a:off x="1002248" y="6119964"/>
                            <a:ext cx="2990275" cy="142890"/>
                          </a:xfrm>
                          <a:prstGeom prst="rect">
                            <a:avLst/>
                          </a:prstGeom>
                          <a:ln>
                            <a:noFill/>
                          </a:ln>
                        </wps:spPr>
                        <wps:txbx>
                          <w:txbxContent>
                            <w:p w14:paraId="5A59BEBF" w14:textId="77777777" w:rsidR="00B32EF2" w:rsidRDefault="00000000">
                              <w:r>
                                <w:rPr>
                                  <w:rFonts w:ascii="Arial" w:eastAsia="Arial" w:hAnsi="Arial" w:cs="Arial"/>
                                  <w:sz w:val="18"/>
                                </w:rPr>
                                <w:t>taria, che provvede a norma dell’articolo 78.</w:t>
                              </w:r>
                            </w:p>
                          </w:txbxContent>
                        </wps:txbx>
                        <wps:bodyPr horzOverflow="overflow" vert="horz" lIns="0" tIns="0" rIns="0" bIns="0" rtlCol="0">
                          <a:noAutofit/>
                        </wps:bodyPr>
                      </wps:wsp>
                      <wps:wsp>
                        <wps:cNvPr id="200471" name="Rectangle 200471"/>
                        <wps:cNvSpPr/>
                        <wps:spPr>
                          <a:xfrm rot="-10799999">
                            <a:off x="-1381039" y="5989204"/>
                            <a:ext cx="5309005" cy="142890"/>
                          </a:xfrm>
                          <a:prstGeom prst="rect">
                            <a:avLst/>
                          </a:prstGeom>
                          <a:ln>
                            <a:noFill/>
                          </a:ln>
                        </wps:spPr>
                        <wps:txbx>
                          <w:txbxContent>
                            <w:p w14:paraId="18849B75" w14:textId="77777777" w:rsidR="00B32EF2" w:rsidRDefault="00000000">
                              <w:r>
                                <w:rPr>
                                  <w:rFonts w:ascii="Arial" w:eastAsia="Arial" w:hAnsi="Arial" w:cs="Arial"/>
                                  <w:sz w:val="18"/>
                                </w:rPr>
                                <w:t xml:space="preserve">. Se entro sei mesi da quando è stata dichiarata l’interruzione del processo la </w:t>
                              </w:r>
                            </w:p>
                          </w:txbxContent>
                        </wps:txbx>
                        <wps:bodyPr horzOverflow="overflow" vert="horz" lIns="0" tIns="0" rIns="0" bIns="0" rtlCol="0">
                          <a:noAutofit/>
                        </wps:bodyPr>
                      </wps:wsp>
                      <wps:wsp>
                        <wps:cNvPr id="200470" name="Rectangle 200470"/>
                        <wps:cNvSpPr/>
                        <wps:spPr>
                          <a:xfrm rot="-10799999">
                            <a:off x="2611700" y="5989204"/>
                            <a:ext cx="5309005" cy="142890"/>
                          </a:xfrm>
                          <a:prstGeom prst="rect">
                            <a:avLst/>
                          </a:prstGeom>
                          <a:ln>
                            <a:noFill/>
                          </a:ln>
                        </wps:spPr>
                        <wps:txbx>
                          <w:txbxContent>
                            <w:p w14:paraId="3CB07A0A"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6303" name="Rectangle 16303"/>
                        <wps:cNvSpPr/>
                        <wps:spPr>
                          <a:xfrm rot="-10799999">
                            <a:off x="-1316482" y="5858447"/>
                            <a:ext cx="5309006" cy="142889"/>
                          </a:xfrm>
                          <a:prstGeom prst="rect">
                            <a:avLst/>
                          </a:prstGeom>
                          <a:ln>
                            <a:noFill/>
                          </a:ln>
                        </wps:spPr>
                        <wps:txbx>
                          <w:txbxContent>
                            <w:p w14:paraId="04F6CC1C" w14:textId="77777777" w:rsidR="00B32EF2" w:rsidRDefault="00000000">
                              <w:r>
                                <w:rPr>
                                  <w:rFonts w:ascii="Arial" w:eastAsia="Arial" w:hAnsi="Arial" w:cs="Arial"/>
                                  <w:sz w:val="18"/>
                                </w:rPr>
                                <w:t xml:space="preserve">parte colpita dall’evento o i suoi successori o qualsiasi altra parte presentano </w:t>
                              </w:r>
                            </w:p>
                          </w:txbxContent>
                        </wps:txbx>
                        <wps:bodyPr horzOverflow="overflow" vert="horz" lIns="0" tIns="0" rIns="0" bIns="0" rtlCol="0">
                          <a:noAutofit/>
                        </wps:bodyPr>
                      </wps:wsp>
                      <wps:wsp>
                        <wps:cNvPr id="16304" name="Rectangle 16304"/>
                        <wps:cNvSpPr/>
                        <wps:spPr>
                          <a:xfrm rot="-10799999">
                            <a:off x="-1316573" y="5727687"/>
                            <a:ext cx="5309097" cy="142889"/>
                          </a:xfrm>
                          <a:prstGeom prst="rect">
                            <a:avLst/>
                          </a:prstGeom>
                          <a:ln>
                            <a:noFill/>
                          </a:ln>
                        </wps:spPr>
                        <wps:txbx>
                          <w:txbxContent>
                            <w:p w14:paraId="41866505" w14:textId="77777777" w:rsidR="00B32EF2" w:rsidRDefault="00000000">
                              <w:r>
                                <w:rPr>
                                  <w:rFonts w:ascii="Arial" w:eastAsia="Arial" w:hAnsi="Arial" w:cs="Arial"/>
                                  <w:sz w:val="18"/>
                                </w:rPr>
                                <w:t xml:space="preserve">istanza di trattazione al presidente di sezione della corte di giustizia tributaria, </w:t>
                              </w:r>
                            </w:p>
                          </w:txbxContent>
                        </wps:txbx>
                        <wps:bodyPr horzOverflow="overflow" vert="horz" lIns="0" tIns="0" rIns="0" bIns="0" rtlCol="0">
                          <a:noAutofit/>
                        </wps:bodyPr>
                      </wps:wsp>
                      <wps:wsp>
                        <wps:cNvPr id="16305" name="Rectangle 16305"/>
                        <wps:cNvSpPr/>
                        <wps:spPr>
                          <a:xfrm rot="-10799999">
                            <a:off x="931255" y="5596927"/>
                            <a:ext cx="3061268" cy="142889"/>
                          </a:xfrm>
                          <a:prstGeom prst="rect">
                            <a:avLst/>
                          </a:prstGeom>
                          <a:ln>
                            <a:noFill/>
                          </a:ln>
                        </wps:spPr>
                        <wps:txbx>
                          <w:txbxContent>
                            <w:p w14:paraId="78421374" w14:textId="77777777" w:rsidR="00B32EF2" w:rsidRDefault="00000000">
                              <w:r>
                                <w:rPr>
                                  <w:rFonts w:ascii="Arial" w:eastAsia="Arial" w:hAnsi="Arial" w:cs="Arial"/>
                                  <w:sz w:val="18"/>
                                </w:rPr>
                                <w:t>quest’ultimo provvede a norma del comma 1.</w:t>
                              </w:r>
                            </w:p>
                          </w:txbxContent>
                        </wps:txbx>
                        <wps:bodyPr horzOverflow="overflow" vert="horz" lIns="0" tIns="0" rIns="0" bIns="0" rtlCol="0">
                          <a:noAutofit/>
                        </wps:bodyPr>
                      </wps:wsp>
                      <wps:wsp>
                        <wps:cNvPr id="200468" name="Rectangle 200468"/>
                        <wps:cNvSpPr/>
                        <wps:spPr>
                          <a:xfrm rot="-10799999">
                            <a:off x="2611693" y="5466169"/>
                            <a:ext cx="5309036" cy="142889"/>
                          </a:xfrm>
                          <a:prstGeom prst="rect">
                            <a:avLst/>
                          </a:prstGeom>
                          <a:ln>
                            <a:noFill/>
                          </a:ln>
                        </wps:spPr>
                        <wps:txbx>
                          <w:txbxContent>
                            <w:p w14:paraId="5616837B"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0469" name="Rectangle 200469"/>
                        <wps:cNvSpPr/>
                        <wps:spPr>
                          <a:xfrm rot="-10799999">
                            <a:off x="-1381035" y="5466169"/>
                            <a:ext cx="5309035" cy="142889"/>
                          </a:xfrm>
                          <a:prstGeom prst="rect">
                            <a:avLst/>
                          </a:prstGeom>
                          <a:ln>
                            <a:noFill/>
                          </a:ln>
                        </wps:spPr>
                        <wps:txbx>
                          <w:txbxContent>
                            <w:p w14:paraId="0D3E8D1B" w14:textId="77777777" w:rsidR="00B32EF2" w:rsidRDefault="00000000">
                              <w:r>
                                <w:rPr>
                                  <w:rFonts w:ascii="Arial" w:eastAsia="Arial" w:hAnsi="Arial" w:cs="Arial"/>
                                  <w:sz w:val="18"/>
                                </w:rPr>
                                <w:t xml:space="preserve">. La comunicazione di cui all’articolo 79, oltre che alle altre parti costituite nei </w:t>
                              </w:r>
                            </w:p>
                          </w:txbxContent>
                        </wps:txbx>
                        <wps:bodyPr horzOverflow="overflow" vert="horz" lIns="0" tIns="0" rIns="0" bIns="0" rtlCol="0">
                          <a:noAutofit/>
                        </wps:bodyPr>
                      </wps:wsp>
                      <wps:wsp>
                        <wps:cNvPr id="16307" name="Rectangle 16307"/>
                        <wps:cNvSpPr/>
                        <wps:spPr>
                          <a:xfrm rot="-10799999">
                            <a:off x="-1316512" y="5335409"/>
                            <a:ext cx="5309035" cy="142889"/>
                          </a:xfrm>
                          <a:prstGeom prst="rect">
                            <a:avLst/>
                          </a:prstGeom>
                          <a:ln>
                            <a:noFill/>
                          </a:ln>
                        </wps:spPr>
                        <wps:txbx>
                          <w:txbxContent>
                            <w:p w14:paraId="34553357" w14:textId="77777777" w:rsidR="00B32EF2" w:rsidRDefault="00000000">
                              <w:r>
                                <w:rPr>
                                  <w:rFonts w:ascii="Arial" w:eastAsia="Arial" w:hAnsi="Arial" w:cs="Arial"/>
                                  <w:sz w:val="18"/>
                                </w:rPr>
                                <w:t xml:space="preserve">luoghi indicati dall’articolo 62, deve essere fatta alla parte colpita dall’evento o </w:t>
                              </w:r>
                            </w:p>
                          </w:txbxContent>
                        </wps:txbx>
                        <wps:bodyPr horzOverflow="overflow" vert="horz" lIns="0" tIns="0" rIns="0" bIns="0" rtlCol="0">
                          <a:noAutofit/>
                        </wps:bodyPr>
                      </wps:wsp>
                      <wps:wsp>
                        <wps:cNvPr id="16308" name="Rectangle 16308"/>
                        <wps:cNvSpPr/>
                        <wps:spPr>
                          <a:xfrm rot="-10799999">
                            <a:off x="-1316512" y="5204650"/>
                            <a:ext cx="5309035" cy="142889"/>
                          </a:xfrm>
                          <a:prstGeom prst="rect">
                            <a:avLst/>
                          </a:prstGeom>
                          <a:ln>
                            <a:noFill/>
                          </a:ln>
                        </wps:spPr>
                        <wps:txbx>
                          <w:txbxContent>
                            <w:p w14:paraId="51B5B7C6" w14:textId="77777777" w:rsidR="00B32EF2" w:rsidRDefault="00000000">
                              <w:r>
                                <w:rPr>
                                  <w:rFonts w:ascii="Arial" w:eastAsia="Arial" w:hAnsi="Arial" w:cs="Arial"/>
                                  <w:sz w:val="18"/>
                                </w:rPr>
                                <w:t xml:space="preserve">ai suoi successori personalmente. Entro un anno dalla morte di una delle parti </w:t>
                              </w:r>
                            </w:p>
                          </w:txbxContent>
                        </wps:txbx>
                        <wps:bodyPr horzOverflow="overflow" vert="horz" lIns="0" tIns="0" rIns="0" bIns="0" rtlCol="0">
                          <a:noAutofit/>
                        </wps:bodyPr>
                      </wps:wsp>
                      <wps:wsp>
                        <wps:cNvPr id="16309" name="Rectangle 16309"/>
                        <wps:cNvSpPr/>
                        <wps:spPr>
                          <a:xfrm rot="-10799999">
                            <a:off x="-1217974" y="5073890"/>
                            <a:ext cx="5210497" cy="142889"/>
                          </a:xfrm>
                          <a:prstGeom prst="rect">
                            <a:avLst/>
                          </a:prstGeom>
                          <a:ln>
                            <a:noFill/>
                          </a:ln>
                        </wps:spPr>
                        <wps:txbx>
                          <w:txbxContent>
                            <w:p w14:paraId="20CC46A1" w14:textId="77777777" w:rsidR="00B32EF2" w:rsidRDefault="00000000">
                              <w:r>
                                <w:rPr>
                                  <w:rFonts w:ascii="Arial" w:eastAsia="Arial" w:hAnsi="Arial" w:cs="Arial"/>
                                  <w:sz w:val="18"/>
                                </w:rPr>
                                <w:t>la comunicazione può essere effettuata agli eredi collettivamente o imperso</w:t>
                              </w:r>
                            </w:p>
                          </w:txbxContent>
                        </wps:txbx>
                        <wps:bodyPr horzOverflow="overflow" vert="horz" lIns="0" tIns="0" rIns="0" bIns="0" rtlCol="0">
                          <a:noAutofit/>
                        </wps:bodyPr>
                      </wps:wsp>
                      <wps:wsp>
                        <wps:cNvPr id="16310" name="Rectangle 16310"/>
                        <wps:cNvSpPr/>
                        <wps:spPr>
                          <a:xfrm rot="-10799999">
                            <a:off x="19924" y="5073891"/>
                            <a:ext cx="50622" cy="142889"/>
                          </a:xfrm>
                          <a:prstGeom prst="rect">
                            <a:avLst/>
                          </a:prstGeom>
                          <a:ln>
                            <a:noFill/>
                          </a:ln>
                        </wps:spPr>
                        <wps:txbx>
                          <w:txbxContent>
                            <w:p w14:paraId="3D64DF5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311" name="Rectangle 16311"/>
                        <wps:cNvSpPr/>
                        <wps:spPr>
                          <a:xfrm rot="-10799999">
                            <a:off x="-1316512" y="4943132"/>
                            <a:ext cx="5309035" cy="142889"/>
                          </a:xfrm>
                          <a:prstGeom prst="rect">
                            <a:avLst/>
                          </a:prstGeom>
                          <a:ln>
                            <a:noFill/>
                          </a:ln>
                        </wps:spPr>
                        <wps:txbx>
                          <w:txbxContent>
                            <w:p w14:paraId="39C23D85" w14:textId="77777777" w:rsidR="00B32EF2" w:rsidRDefault="00000000">
                              <w:r>
                                <w:rPr>
                                  <w:rFonts w:ascii="Arial" w:eastAsia="Arial" w:hAnsi="Arial" w:cs="Arial"/>
                                  <w:sz w:val="18"/>
                                </w:rPr>
                                <w:t xml:space="preserve">nalmente nel domicilio eletto o, in mancanza, nella residenza dichiarata dal </w:t>
                              </w:r>
                            </w:p>
                          </w:txbxContent>
                        </wps:txbx>
                        <wps:bodyPr horzOverflow="overflow" vert="horz" lIns="0" tIns="0" rIns="0" bIns="0" rtlCol="0">
                          <a:noAutofit/>
                        </wps:bodyPr>
                      </wps:wsp>
                      <wps:wsp>
                        <wps:cNvPr id="16312" name="Rectangle 16312"/>
                        <wps:cNvSpPr/>
                        <wps:spPr>
                          <a:xfrm rot="-10799999">
                            <a:off x="-1316497" y="4812372"/>
                            <a:ext cx="5309021" cy="142889"/>
                          </a:xfrm>
                          <a:prstGeom prst="rect">
                            <a:avLst/>
                          </a:prstGeom>
                          <a:ln>
                            <a:noFill/>
                          </a:ln>
                        </wps:spPr>
                        <wps:txbx>
                          <w:txbxContent>
                            <w:p w14:paraId="139BA6B8" w14:textId="77777777" w:rsidR="00B32EF2" w:rsidRDefault="00000000">
                              <w:r>
                                <w:rPr>
                                  <w:rFonts w:ascii="Arial" w:eastAsia="Arial" w:hAnsi="Arial" w:cs="Arial"/>
                                  <w:sz w:val="18"/>
                                </w:rPr>
                                <w:t xml:space="preserve">defunto risultante dagli atti del processo. La parte colpita dall’evento o i suoi </w:t>
                              </w:r>
                            </w:p>
                          </w:txbxContent>
                        </wps:txbx>
                        <wps:bodyPr horzOverflow="overflow" vert="horz" lIns="0" tIns="0" rIns="0" bIns="0" rtlCol="0">
                          <a:noAutofit/>
                        </wps:bodyPr>
                      </wps:wsp>
                      <wps:wsp>
                        <wps:cNvPr id="16313" name="Rectangle 16313"/>
                        <wps:cNvSpPr/>
                        <wps:spPr>
                          <a:xfrm rot="-10799999">
                            <a:off x="-1316701" y="4681613"/>
                            <a:ext cx="5310024" cy="142889"/>
                          </a:xfrm>
                          <a:prstGeom prst="rect">
                            <a:avLst/>
                          </a:prstGeom>
                          <a:ln>
                            <a:noFill/>
                          </a:ln>
                        </wps:spPr>
                        <wps:txbx>
                          <w:txbxContent>
                            <w:p w14:paraId="1E99802B" w14:textId="77777777" w:rsidR="00B32EF2" w:rsidRDefault="00000000">
                              <w:r>
                                <w:rPr>
                                  <w:rFonts w:ascii="Arial" w:eastAsia="Arial" w:hAnsi="Arial" w:cs="Arial"/>
                                  <w:sz w:val="18"/>
                                </w:rPr>
                                <w:t xml:space="preserve">successori possono costituirsi anche solo presentando documenti o memorie </w:t>
                              </w:r>
                            </w:p>
                          </w:txbxContent>
                        </wps:txbx>
                        <wps:bodyPr horzOverflow="overflow" vert="horz" lIns="0" tIns="0" rIns="0" bIns="0" rtlCol="0">
                          <a:noAutofit/>
                        </wps:bodyPr>
                      </wps:wsp>
                      <wps:wsp>
                        <wps:cNvPr id="16314" name="Rectangle 16314"/>
                        <wps:cNvSpPr/>
                        <wps:spPr>
                          <a:xfrm rot="-10799999">
                            <a:off x="-1219950" y="4550853"/>
                            <a:ext cx="5212474" cy="142889"/>
                          </a:xfrm>
                          <a:prstGeom prst="rect">
                            <a:avLst/>
                          </a:prstGeom>
                          <a:ln>
                            <a:noFill/>
                          </a:ln>
                        </wps:spPr>
                        <wps:txbx>
                          <w:txbxContent>
                            <w:p w14:paraId="227D0246" w14:textId="77777777" w:rsidR="00B32EF2" w:rsidRDefault="00000000">
                              <w:r>
                                <w:rPr>
                                  <w:rFonts w:ascii="Arial" w:eastAsia="Arial" w:hAnsi="Arial" w:cs="Arial"/>
                                  <w:sz w:val="18"/>
                                </w:rPr>
                                <w:t>o partecipando alla discussione assistiti, nei casi previsti, da difensore incari</w:t>
                              </w:r>
                            </w:p>
                          </w:txbxContent>
                        </wps:txbx>
                        <wps:bodyPr horzOverflow="overflow" vert="horz" lIns="0" tIns="0" rIns="0" bIns="0" rtlCol="0">
                          <a:noAutofit/>
                        </wps:bodyPr>
                      </wps:wsp>
                      <wps:wsp>
                        <wps:cNvPr id="16315" name="Rectangle 16315"/>
                        <wps:cNvSpPr/>
                        <wps:spPr>
                          <a:xfrm rot="-10799999">
                            <a:off x="19924" y="4550853"/>
                            <a:ext cx="50622" cy="142889"/>
                          </a:xfrm>
                          <a:prstGeom prst="rect">
                            <a:avLst/>
                          </a:prstGeom>
                          <a:ln>
                            <a:noFill/>
                          </a:ln>
                        </wps:spPr>
                        <wps:txbx>
                          <w:txbxContent>
                            <w:p w14:paraId="42C3D34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316" name="Rectangle 16316"/>
                        <wps:cNvSpPr/>
                        <wps:spPr>
                          <a:xfrm rot="-10799999">
                            <a:off x="2172430" y="4420095"/>
                            <a:ext cx="1820093" cy="142889"/>
                          </a:xfrm>
                          <a:prstGeom prst="rect">
                            <a:avLst/>
                          </a:prstGeom>
                          <a:ln>
                            <a:noFill/>
                          </a:ln>
                        </wps:spPr>
                        <wps:txbx>
                          <w:txbxContent>
                            <w:p w14:paraId="5F2719F5" w14:textId="77777777" w:rsidR="00B32EF2" w:rsidRDefault="00000000">
                              <w:r>
                                <w:rPr>
                                  <w:rFonts w:ascii="Arial" w:eastAsia="Arial" w:hAnsi="Arial" w:cs="Arial"/>
                                  <w:sz w:val="18"/>
                                </w:rPr>
                                <w:t>cato nelle forme prescritte.</w:t>
                              </w:r>
                            </w:p>
                          </w:txbxContent>
                        </wps:txbx>
                        <wps:bodyPr horzOverflow="overflow" vert="horz" lIns="0" tIns="0" rIns="0" bIns="0" rtlCol="0">
                          <a:noAutofit/>
                        </wps:bodyPr>
                      </wps:wsp>
                      <wps:wsp>
                        <wps:cNvPr id="16317" name="Rectangle 16317"/>
                        <wps:cNvSpPr/>
                        <wps:spPr>
                          <a:xfrm rot="-10799999">
                            <a:off x="1508213" y="4173435"/>
                            <a:ext cx="809243" cy="142889"/>
                          </a:xfrm>
                          <a:prstGeom prst="rect">
                            <a:avLst/>
                          </a:prstGeom>
                          <a:ln>
                            <a:noFill/>
                          </a:ln>
                        </wps:spPr>
                        <wps:txbx>
                          <w:txbxContent>
                            <w:p w14:paraId="11A4E1EB" w14:textId="77777777" w:rsidR="00B32EF2" w:rsidRDefault="00000000">
                              <w:r>
                                <w:rPr>
                                  <w:rFonts w:ascii="Arial" w:eastAsia="Arial" w:hAnsi="Arial" w:cs="Arial"/>
                                  <w:b/>
                                  <w:sz w:val="18"/>
                                </w:rPr>
                                <w:t>Articolo 93</w:t>
                              </w:r>
                            </w:p>
                          </w:txbxContent>
                        </wps:txbx>
                        <wps:bodyPr horzOverflow="overflow" vert="horz" lIns="0" tIns="0" rIns="0" bIns="0" rtlCol="0">
                          <a:noAutofit/>
                        </wps:bodyPr>
                      </wps:wsp>
                      <wps:wsp>
                        <wps:cNvPr id="200466" name="Rectangle 200466"/>
                        <wps:cNvSpPr/>
                        <wps:spPr>
                          <a:xfrm rot="-10799999">
                            <a:off x="-265690" y="4050105"/>
                            <a:ext cx="1945250" cy="142889"/>
                          </a:xfrm>
                          <a:prstGeom prst="rect">
                            <a:avLst/>
                          </a:prstGeom>
                          <a:ln>
                            <a:noFill/>
                          </a:ln>
                        </wps:spPr>
                        <wps:txbx>
                          <w:txbxContent>
                            <w:p w14:paraId="0F86579B"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465" name="Rectangle 200465"/>
                        <wps:cNvSpPr/>
                        <wps:spPr>
                          <a:xfrm rot="-10799999">
                            <a:off x="2223077" y="4050106"/>
                            <a:ext cx="1945250" cy="142889"/>
                          </a:xfrm>
                          <a:prstGeom prst="rect">
                            <a:avLst/>
                          </a:prstGeom>
                          <a:ln>
                            <a:noFill/>
                          </a:ln>
                        </wps:spPr>
                        <wps:txbx>
                          <w:txbxContent>
                            <w:p w14:paraId="152F4C4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467" name="Rectangle 200467"/>
                        <wps:cNvSpPr/>
                        <wps:spPr>
                          <a:xfrm rot="-10799999">
                            <a:off x="1161744" y="4050106"/>
                            <a:ext cx="1945250" cy="142889"/>
                          </a:xfrm>
                          <a:prstGeom prst="rect">
                            <a:avLst/>
                          </a:prstGeom>
                          <a:ln>
                            <a:noFill/>
                          </a:ln>
                        </wps:spPr>
                        <wps:txbx>
                          <w:txbxContent>
                            <w:p w14:paraId="2E9D02FE" w14:textId="77777777" w:rsidR="00B32EF2" w:rsidRDefault="00000000">
                              <w:r>
                                <w:rPr>
                                  <w:rFonts w:ascii="Arial" w:eastAsia="Arial" w:hAnsi="Arial" w:cs="Arial"/>
                                  <w:i/>
                                  <w:sz w:val="18"/>
                                </w:rPr>
                                <w:t xml:space="preserve">articolo 44 D.lgs. n. </w:t>
                              </w:r>
                            </w:p>
                          </w:txbxContent>
                        </wps:txbx>
                        <wps:bodyPr horzOverflow="overflow" vert="horz" lIns="0" tIns="0" rIns="0" bIns="0" rtlCol="0">
                          <a:noAutofit/>
                        </wps:bodyPr>
                      </wps:wsp>
                      <wps:wsp>
                        <wps:cNvPr id="16319" name="Rectangle 16319"/>
                        <wps:cNvSpPr/>
                        <wps:spPr>
                          <a:xfrm rot="-10799999">
                            <a:off x="-182904" y="3926776"/>
                            <a:ext cx="3492485" cy="142889"/>
                          </a:xfrm>
                          <a:prstGeom prst="rect">
                            <a:avLst/>
                          </a:prstGeom>
                          <a:ln>
                            <a:noFill/>
                          </a:ln>
                        </wps:spPr>
                        <wps:txbx>
                          <w:txbxContent>
                            <w:p w14:paraId="0C044A1C" w14:textId="77777777" w:rsidR="00B32EF2" w:rsidRDefault="00000000">
                              <w:r>
                                <w:rPr>
                                  <w:rFonts w:ascii="Arial" w:eastAsia="Arial" w:hAnsi="Arial" w:cs="Arial"/>
                                  <w:b/>
                                  <w:sz w:val="18"/>
                                </w:rPr>
                                <w:t xml:space="preserve">Estinzione del processo per rinuncia al ricorso </w:t>
                              </w:r>
                            </w:p>
                          </w:txbxContent>
                        </wps:txbx>
                        <wps:bodyPr horzOverflow="overflow" vert="horz" lIns="0" tIns="0" rIns="0" bIns="0" rtlCol="0">
                          <a:noAutofit/>
                        </wps:bodyPr>
                      </wps:wsp>
                      <wps:wsp>
                        <wps:cNvPr id="200463" name="Rectangle 200463"/>
                        <wps:cNvSpPr/>
                        <wps:spPr>
                          <a:xfrm rot="-10799999">
                            <a:off x="3122396" y="3803446"/>
                            <a:ext cx="3250744" cy="142889"/>
                          </a:xfrm>
                          <a:prstGeom prst="rect">
                            <a:avLst/>
                          </a:prstGeom>
                          <a:ln>
                            <a:noFill/>
                          </a:ln>
                        </wps:spPr>
                        <wps:txbx>
                          <w:txbxContent>
                            <w:p w14:paraId="41894583"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464" name="Rectangle 200464"/>
                        <wps:cNvSpPr/>
                        <wps:spPr>
                          <a:xfrm rot="-10799999">
                            <a:off x="682594" y="3803446"/>
                            <a:ext cx="3250744" cy="142889"/>
                          </a:xfrm>
                          <a:prstGeom prst="rect">
                            <a:avLst/>
                          </a:prstGeom>
                          <a:ln>
                            <a:noFill/>
                          </a:ln>
                        </wps:spPr>
                        <wps:txbx>
                          <w:txbxContent>
                            <w:p w14:paraId="10572477" w14:textId="77777777" w:rsidR="00B32EF2" w:rsidRDefault="00000000">
                              <w:r>
                                <w:rPr>
                                  <w:rFonts w:ascii="Arial" w:eastAsia="Arial" w:hAnsi="Arial" w:cs="Arial"/>
                                  <w:sz w:val="18"/>
                                </w:rPr>
                                <w:t>. Il processo si estingue per rinuncia al ricorso.</w:t>
                              </w:r>
                            </w:p>
                          </w:txbxContent>
                        </wps:txbx>
                        <wps:bodyPr horzOverflow="overflow" vert="horz" lIns="0" tIns="0" rIns="0" bIns="0" rtlCol="0">
                          <a:noAutofit/>
                        </wps:bodyPr>
                      </wps:wsp>
                      <wps:wsp>
                        <wps:cNvPr id="200461" name="Rectangle 200461"/>
                        <wps:cNvSpPr/>
                        <wps:spPr>
                          <a:xfrm rot="-10799999">
                            <a:off x="2635692" y="3680117"/>
                            <a:ext cx="5212306" cy="142889"/>
                          </a:xfrm>
                          <a:prstGeom prst="rect">
                            <a:avLst/>
                          </a:prstGeom>
                          <a:ln>
                            <a:noFill/>
                          </a:ln>
                        </wps:spPr>
                        <wps:txbx>
                          <w:txbxContent>
                            <w:p w14:paraId="01A871DD"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462" name="Rectangle 200462"/>
                        <wps:cNvSpPr/>
                        <wps:spPr>
                          <a:xfrm rot="-10799999">
                            <a:off x="-1284340" y="3680117"/>
                            <a:ext cx="5212306" cy="142889"/>
                          </a:xfrm>
                          <a:prstGeom prst="rect">
                            <a:avLst/>
                          </a:prstGeom>
                          <a:ln>
                            <a:noFill/>
                          </a:ln>
                        </wps:spPr>
                        <wps:txbx>
                          <w:txbxContent>
                            <w:p w14:paraId="3F49331A" w14:textId="77777777" w:rsidR="00B32EF2" w:rsidRDefault="00000000">
                              <w:r>
                                <w:rPr>
                                  <w:rFonts w:ascii="Arial" w:eastAsia="Arial" w:hAnsi="Arial" w:cs="Arial"/>
                                  <w:sz w:val="18"/>
                                </w:rPr>
                                <w:t>. Il ricorrente che rinuncia deve rimborsare le spese alle altre parti salvo di</w:t>
                              </w:r>
                            </w:p>
                          </w:txbxContent>
                        </wps:txbx>
                        <wps:bodyPr horzOverflow="overflow" vert="horz" lIns="0" tIns="0" rIns="0" bIns="0" rtlCol="0">
                          <a:noAutofit/>
                        </wps:bodyPr>
                      </wps:wsp>
                      <wps:wsp>
                        <wps:cNvPr id="16322" name="Rectangle 16322"/>
                        <wps:cNvSpPr/>
                        <wps:spPr>
                          <a:xfrm rot="-10799999">
                            <a:off x="19924" y="3680116"/>
                            <a:ext cx="50622" cy="142889"/>
                          </a:xfrm>
                          <a:prstGeom prst="rect">
                            <a:avLst/>
                          </a:prstGeom>
                          <a:ln>
                            <a:noFill/>
                          </a:ln>
                        </wps:spPr>
                        <wps:txbx>
                          <w:txbxContent>
                            <w:p w14:paraId="3168759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323" name="Rectangle 16323"/>
                        <wps:cNvSpPr/>
                        <wps:spPr>
                          <a:xfrm rot="-10799999">
                            <a:off x="-1316498" y="3556787"/>
                            <a:ext cx="5309021" cy="142889"/>
                          </a:xfrm>
                          <a:prstGeom prst="rect">
                            <a:avLst/>
                          </a:prstGeom>
                          <a:ln>
                            <a:noFill/>
                          </a:ln>
                        </wps:spPr>
                        <wps:txbx>
                          <w:txbxContent>
                            <w:p w14:paraId="4D40F84C" w14:textId="77777777" w:rsidR="00B32EF2" w:rsidRDefault="00000000">
                              <w:r>
                                <w:rPr>
                                  <w:rFonts w:ascii="Arial" w:eastAsia="Arial" w:hAnsi="Arial" w:cs="Arial"/>
                                  <w:sz w:val="18"/>
                                </w:rPr>
                                <w:t xml:space="preserve">verso accordo fra loro. La liquidazione è fatta dal presidente della sezione o </w:t>
                              </w:r>
                            </w:p>
                          </w:txbxContent>
                        </wps:txbx>
                        <wps:bodyPr horzOverflow="overflow" vert="horz" lIns="0" tIns="0" rIns="0" bIns="0" rtlCol="0">
                          <a:noAutofit/>
                        </wps:bodyPr>
                      </wps:wsp>
                      <wps:wsp>
                        <wps:cNvPr id="16324" name="Rectangle 16324"/>
                        <wps:cNvSpPr/>
                        <wps:spPr>
                          <a:xfrm rot="-10799999">
                            <a:off x="-351694" y="3433457"/>
                            <a:ext cx="4344217" cy="142889"/>
                          </a:xfrm>
                          <a:prstGeom prst="rect">
                            <a:avLst/>
                          </a:prstGeom>
                          <a:ln>
                            <a:noFill/>
                          </a:ln>
                        </wps:spPr>
                        <wps:txbx>
                          <w:txbxContent>
                            <w:p w14:paraId="33656AD4" w14:textId="77777777" w:rsidR="00B32EF2" w:rsidRDefault="00000000">
                              <w:r>
                                <w:rPr>
                                  <w:rFonts w:ascii="Arial" w:eastAsia="Arial" w:hAnsi="Arial" w:cs="Arial"/>
                                  <w:sz w:val="18"/>
                                </w:rPr>
                                <w:t>dalla corte di giustizia tributaria con ordinanza non impugnabile.</w:t>
                              </w:r>
                            </w:p>
                          </w:txbxContent>
                        </wps:txbx>
                        <wps:bodyPr horzOverflow="overflow" vert="horz" lIns="0" tIns="0" rIns="0" bIns="0" rtlCol="0">
                          <a:noAutofit/>
                        </wps:bodyPr>
                      </wps:wsp>
                      <wps:wsp>
                        <wps:cNvPr id="200460" name="Rectangle 200460"/>
                        <wps:cNvSpPr/>
                        <wps:spPr>
                          <a:xfrm rot="-10799999">
                            <a:off x="-1380799" y="3310128"/>
                            <a:ext cx="5309142" cy="142889"/>
                          </a:xfrm>
                          <a:prstGeom prst="rect">
                            <a:avLst/>
                          </a:prstGeom>
                          <a:ln>
                            <a:noFill/>
                          </a:ln>
                        </wps:spPr>
                        <wps:txbx>
                          <w:txbxContent>
                            <w:p w14:paraId="699C8485" w14:textId="77777777" w:rsidR="00B32EF2" w:rsidRDefault="00000000">
                              <w:r>
                                <w:rPr>
                                  <w:rFonts w:ascii="Arial" w:eastAsia="Arial" w:hAnsi="Arial" w:cs="Arial"/>
                                  <w:sz w:val="18"/>
                                </w:rPr>
                                <w:t xml:space="preserve">. La rinuncia non produce effetto se non è accettata dalle parti costituite che </w:t>
                              </w:r>
                            </w:p>
                          </w:txbxContent>
                        </wps:txbx>
                        <wps:bodyPr horzOverflow="overflow" vert="horz" lIns="0" tIns="0" rIns="0" bIns="0" rtlCol="0">
                          <a:noAutofit/>
                        </wps:bodyPr>
                      </wps:wsp>
                      <wps:wsp>
                        <wps:cNvPr id="200459" name="Rectangle 200459"/>
                        <wps:cNvSpPr/>
                        <wps:spPr>
                          <a:xfrm rot="-10799999">
                            <a:off x="2611665" y="3310128"/>
                            <a:ext cx="5309142" cy="142889"/>
                          </a:xfrm>
                          <a:prstGeom prst="rect">
                            <a:avLst/>
                          </a:prstGeom>
                          <a:ln>
                            <a:noFill/>
                          </a:ln>
                        </wps:spPr>
                        <wps:txbx>
                          <w:txbxContent>
                            <w:p w14:paraId="4F1ED5D9"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6326" name="Rectangle 16326"/>
                        <wps:cNvSpPr/>
                        <wps:spPr>
                          <a:xfrm rot="-10799999">
                            <a:off x="-50179" y="3186798"/>
                            <a:ext cx="4042702" cy="142889"/>
                          </a:xfrm>
                          <a:prstGeom prst="rect">
                            <a:avLst/>
                          </a:prstGeom>
                          <a:ln>
                            <a:noFill/>
                          </a:ln>
                        </wps:spPr>
                        <wps:txbx>
                          <w:txbxContent>
                            <w:p w14:paraId="073696B1" w14:textId="77777777" w:rsidR="00B32EF2" w:rsidRDefault="00000000">
                              <w:r>
                                <w:rPr>
                                  <w:rFonts w:ascii="Arial" w:eastAsia="Arial" w:hAnsi="Arial" w:cs="Arial"/>
                                  <w:sz w:val="18"/>
                                </w:rPr>
                                <w:t xml:space="preserve">abbiano effettivo interesse alla prosecuzione del processo. </w:t>
                              </w:r>
                            </w:p>
                          </w:txbxContent>
                        </wps:txbx>
                        <wps:bodyPr horzOverflow="overflow" vert="horz" lIns="0" tIns="0" rIns="0" bIns="0" rtlCol="0">
                          <a:noAutofit/>
                        </wps:bodyPr>
                      </wps:wsp>
                      <wps:wsp>
                        <wps:cNvPr id="200456" name="Rectangle 200456"/>
                        <wps:cNvSpPr/>
                        <wps:spPr>
                          <a:xfrm rot="-10799999">
                            <a:off x="2611703" y="3063468"/>
                            <a:ext cx="5308989" cy="142889"/>
                          </a:xfrm>
                          <a:prstGeom prst="rect">
                            <a:avLst/>
                          </a:prstGeom>
                          <a:ln>
                            <a:noFill/>
                          </a:ln>
                        </wps:spPr>
                        <wps:txbx>
                          <w:txbxContent>
                            <w:p w14:paraId="29B9B324"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0457" name="Rectangle 200457"/>
                        <wps:cNvSpPr/>
                        <wps:spPr>
                          <a:xfrm rot="-10799999">
                            <a:off x="-1379606" y="3063468"/>
                            <a:ext cx="5308990" cy="142889"/>
                          </a:xfrm>
                          <a:prstGeom prst="rect">
                            <a:avLst/>
                          </a:prstGeom>
                          <a:ln>
                            <a:noFill/>
                          </a:ln>
                        </wps:spPr>
                        <wps:txbx>
                          <w:txbxContent>
                            <w:p w14:paraId="0D836ADC" w14:textId="77777777" w:rsidR="00B32EF2" w:rsidRDefault="00000000">
                              <w:r>
                                <w:rPr>
                                  <w:rFonts w:ascii="Arial" w:eastAsia="Arial" w:hAnsi="Arial" w:cs="Arial"/>
                                  <w:sz w:val="18"/>
                                </w:rPr>
                                <w:t xml:space="preserve">. La rinuncia e l’accettazione, ove necessaria, sono sottoscritte dalle parti </w:t>
                              </w:r>
                            </w:p>
                          </w:txbxContent>
                        </wps:txbx>
                        <wps:bodyPr horzOverflow="overflow" vert="horz" lIns="0" tIns="0" rIns="0" bIns="0" rtlCol="0">
                          <a:noAutofit/>
                        </wps:bodyPr>
                      </wps:wsp>
                      <wps:wsp>
                        <wps:cNvPr id="16328" name="Rectangle 16328"/>
                        <wps:cNvSpPr/>
                        <wps:spPr>
                          <a:xfrm rot="-10799999">
                            <a:off x="-1316731" y="2940138"/>
                            <a:ext cx="5310283" cy="142889"/>
                          </a:xfrm>
                          <a:prstGeom prst="rect">
                            <a:avLst/>
                          </a:prstGeom>
                          <a:ln>
                            <a:noFill/>
                          </a:ln>
                        </wps:spPr>
                        <wps:txbx>
                          <w:txbxContent>
                            <w:p w14:paraId="794076D4" w14:textId="77777777" w:rsidR="00B32EF2" w:rsidRDefault="00000000">
                              <w:r>
                                <w:rPr>
                                  <w:rFonts w:ascii="Arial" w:eastAsia="Arial" w:hAnsi="Arial" w:cs="Arial"/>
                                  <w:sz w:val="18"/>
                                </w:rPr>
                                <w:t xml:space="preserve">personalmente o da loro procuratori speciali, nonché, se vi sono, dai rispettivi </w:t>
                              </w:r>
                            </w:p>
                          </w:txbxContent>
                        </wps:txbx>
                        <wps:bodyPr horzOverflow="overflow" vert="horz" lIns="0" tIns="0" rIns="0" bIns="0" rtlCol="0">
                          <a:noAutofit/>
                        </wps:bodyPr>
                      </wps:wsp>
                      <wps:wsp>
                        <wps:cNvPr id="16329" name="Rectangle 16329"/>
                        <wps:cNvSpPr/>
                        <wps:spPr>
                          <a:xfrm rot="-10799999">
                            <a:off x="-971794" y="2816809"/>
                            <a:ext cx="4964317" cy="142889"/>
                          </a:xfrm>
                          <a:prstGeom prst="rect">
                            <a:avLst/>
                          </a:prstGeom>
                          <a:ln>
                            <a:noFill/>
                          </a:ln>
                        </wps:spPr>
                        <wps:txbx>
                          <w:txbxContent>
                            <w:p w14:paraId="71D349CC" w14:textId="77777777" w:rsidR="00B32EF2" w:rsidRDefault="00000000">
                              <w:r>
                                <w:rPr>
                                  <w:rFonts w:ascii="Arial" w:eastAsia="Arial" w:hAnsi="Arial" w:cs="Arial"/>
                                  <w:sz w:val="18"/>
                                </w:rPr>
                                <w:t>difensori e si depositano nella segreteria della corte di giustizia tributaria.</w:t>
                              </w:r>
                            </w:p>
                          </w:txbxContent>
                        </wps:txbx>
                        <wps:bodyPr horzOverflow="overflow" vert="horz" lIns="0" tIns="0" rIns="0" bIns="0" rtlCol="0">
                          <a:noAutofit/>
                        </wps:bodyPr>
                      </wps:wsp>
                      <wps:wsp>
                        <wps:cNvPr id="200454" name="Rectangle 200454"/>
                        <wps:cNvSpPr/>
                        <wps:spPr>
                          <a:xfrm rot="-10799999">
                            <a:off x="2611695" y="2693479"/>
                            <a:ext cx="5309021" cy="142889"/>
                          </a:xfrm>
                          <a:prstGeom prst="rect">
                            <a:avLst/>
                          </a:prstGeom>
                          <a:ln>
                            <a:noFill/>
                          </a:ln>
                        </wps:spPr>
                        <wps:txbx>
                          <w:txbxContent>
                            <w:p w14:paraId="447C0892"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00455" name="Rectangle 200455"/>
                        <wps:cNvSpPr/>
                        <wps:spPr>
                          <a:xfrm rot="-10799999">
                            <a:off x="-1380894" y="2693478"/>
                            <a:ext cx="5309021" cy="142889"/>
                          </a:xfrm>
                          <a:prstGeom prst="rect">
                            <a:avLst/>
                          </a:prstGeom>
                          <a:ln>
                            <a:noFill/>
                          </a:ln>
                        </wps:spPr>
                        <wps:txbx>
                          <w:txbxContent>
                            <w:p w14:paraId="6DD201FC" w14:textId="77777777" w:rsidR="00B32EF2" w:rsidRDefault="00000000">
                              <w:r>
                                <w:rPr>
                                  <w:rFonts w:ascii="Arial" w:eastAsia="Arial" w:hAnsi="Arial" w:cs="Arial"/>
                                  <w:sz w:val="18"/>
                                </w:rPr>
                                <w:t xml:space="preserve">. Il presidente della sezione o la corte di giustizia tributaria, se la rinuncia e </w:t>
                              </w:r>
                            </w:p>
                          </w:txbxContent>
                        </wps:txbx>
                        <wps:bodyPr horzOverflow="overflow" vert="horz" lIns="0" tIns="0" rIns="0" bIns="0" rtlCol="0">
                          <a:noAutofit/>
                        </wps:bodyPr>
                      </wps:wsp>
                      <wps:wsp>
                        <wps:cNvPr id="16331" name="Rectangle 16331"/>
                        <wps:cNvSpPr/>
                        <wps:spPr>
                          <a:xfrm rot="-10799999">
                            <a:off x="-1217943" y="2570149"/>
                            <a:ext cx="5210467" cy="142889"/>
                          </a:xfrm>
                          <a:prstGeom prst="rect">
                            <a:avLst/>
                          </a:prstGeom>
                          <a:ln>
                            <a:noFill/>
                          </a:ln>
                        </wps:spPr>
                        <wps:txbx>
                          <w:txbxContent>
                            <w:p w14:paraId="080FA43B" w14:textId="77777777" w:rsidR="00B32EF2" w:rsidRDefault="00000000">
                              <w:r>
                                <w:rPr>
                                  <w:rFonts w:ascii="Arial" w:eastAsia="Arial" w:hAnsi="Arial" w:cs="Arial"/>
                                  <w:sz w:val="18"/>
                                </w:rPr>
                                <w:t>l’accettazione, ove necessaria, sono regolari, dichiarano l’estinzione del pro</w:t>
                              </w:r>
                            </w:p>
                          </w:txbxContent>
                        </wps:txbx>
                        <wps:bodyPr horzOverflow="overflow" vert="horz" lIns="0" tIns="0" rIns="0" bIns="0" rtlCol="0">
                          <a:noAutofit/>
                        </wps:bodyPr>
                      </wps:wsp>
                      <wps:wsp>
                        <wps:cNvPr id="16332" name="Rectangle 16332"/>
                        <wps:cNvSpPr/>
                        <wps:spPr>
                          <a:xfrm rot="-10799999">
                            <a:off x="19924" y="2570149"/>
                            <a:ext cx="50622" cy="142889"/>
                          </a:xfrm>
                          <a:prstGeom prst="rect">
                            <a:avLst/>
                          </a:prstGeom>
                          <a:ln>
                            <a:noFill/>
                          </a:ln>
                        </wps:spPr>
                        <wps:txbx>
                          <w:txbxContent>
                            <w:p w14:paraId="5EAFDB4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333" name="Rectangle 16333"/>
                        <wps:cNvSpPr/>
                        <wps:spPr>
                          <a:xfrm rot="-10799999">
                            <a:off x="694804" y="2446819"/>
                            <a:ext cx="3297718" cy="142889"/>
                          </a:xfrm>
                          <a:prstGeom prst="rect">
                            <a:avLst/>
                          </a:prstGeom>
                          <a:ln>
                            <a:noFill/>
                          </a:ln>
                        </wps:spPr>
                        <wps:txbx>
                          <w:txbxContent>
                            <w:p w14:paraId="7F626703" w14:textId="77777777" w:rsidR="00B32EF2" w:rsidRDefault="00000000">
                              <w:r>
                                <w:rPr>
                                  <w:rFonts w:ascii="Arial" w:eastAsia="Arial" w:hAnsi="Arial" w:cs="Arial"/>
                                  <w:sz w:val="18"/>
                                </w:rPr>
                                <w:t>cesso. Si applica l’ultimo comma dell’articolo 94.</w:t>
                              </w:r>
                            </w:p>
                          </w:txbxContent>
                        </wps:txbx>
                        <wps:bodyPr horzOverflow="overflow" vert="horz" lIns="0" tIns="0" rIns="0" bIns="0" rtlCol="0">
                          <a:noAutofit/>
                        </wps:bodyPr>
                      </wps:wsp>
                      <wps:wsp>
                        <wps:cNvPr id="16334" name="Rectangle 16334"/>
                        <wps:cNvSpPr/>
                        <wps:spPr>
                          <a:xfrm rot="-10799999">
                            <a:off x="1506854" y="843304"/>
                            <a:ext cx="811402" cy="142889"/>
                          </a:xfrm>
                          <a:prstGeom prst="rect">
                            <a:avLst/>
                          </a:prstGeom>
                          <a:ln>
                            <a:noFill/>
                          </a:ln>
                        </wps:spPr>
                        <wps:txbx>
                          <w:txbxContent>
                            <w:p w14:paraId="735D3DEA" w14:textId="77777777" w:rsidR="00B32EF2" w:rsidRDefault="00000000">
                              <w:r>
                                <w:rPr>
                                  <w:rFonts w:ascii="Arial" w:eastAsia="Arial" w:hAnsi="Arial" w:cs="Arial"/>
                                  <w:b/>
                                  <w:sz w:val="18"/>
                                </w:rPr>
                                <w:t>Articolo 94</w:t>
                              </w:r>
                            </w:p>
                          </w:txbxContent>
                        </wps:txbx>
                        <wps:bodyPr horzOverflow="overflow" vert="horz" lIns="0" tIns="0" rIns="0" bIns="0" rtlCol="0">
                          <a:noAutofit/>
                        </wps:bodyPr>
                      </wps:wsp>
                      <wps:wsp>
                        <wps:cNvPr id="200443" name="Rectangle 200443"/>
                        <wps:cNvSpPr/>
                        <wps:spPr>
                          <a:xfrm rot="-10799999">
                            <a:off x="2222882" y="719975"/>
                            <a:ext cx="1943731" cy="142889"/>
                          </a:xfrm>
                          <a:prstGeom prst="rect">
                            <a:avLst/>
                          </a:prstGeom>
                          <a:ln>
                            <a:noFill/>
                          </a:ln>
                        </wps:spPr>
                        <wps:txbx>
                          <w:txbxContent>
                            <w:p w14:paraId="0C06F31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444" name="Rectangle 200444"/>
                        <wps:cNvSpPr/>
                        <wps:spPr>
                          <a:xfrm rot="-10799999">
                            <a:off x="-263599" y="719975"/>
                            <a:ext cx="1943730" cy="142889"/>
                          </a:xfrm>
                          <a:prstGeom prst="rect">
                            <a:avLst/>
                          </a:prstGeom>
                          <a:ln>
                            <a:noFill/>
                          </a:ln>
                        </wps:spPr>
                        <wps:txbx>
                          <w:txbxContent>
                            <w:p w14:paraId="37160586"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445" name="Rectangle 200445"/>
                        <wps:cNvSpPr/>
                        <wps:spPr>
                          <a:xfrm rot="-10799999">
                            <a:off x="1162692" y="719975"/>
                            <a:ext cx="1943731" cy="142889"/>
                          </a:xfrm>
                          <a:prstGeom prst="rect">
                            <a:avLst/>
                          </a:prstGeom>
                          <a:ln>
                            <a:noFill/>
                          </a:ln>
                        </wps:spPr>
                        <wps:txbx>
                          <w:txbxContent>
                            <w:p w14:paraId="15101DD8" w14:textId="77777777" w:rsidR="00B32EF2" w:rsidRDefault="00000000">
                              <w:r>
                                <w:rPr>
                                  <w:rFonts w:ascii="Arial" w:eastAsia="Arial" w:hAnsi="Arial" w:cs="Arial"/>
                                  <w:i/>
                                  <w:sz w:val="18"/>
                                </w:rPr>
                                <w:t xml:space="preserve">articolo 45 D.lgs. n. </w:t>
                              </w:r>
                            </w:p>
                          </w:txbxContent>
                        </wps:txbx>
                        <wps:bodyPr horzOverflow="overflow" vert="horz" lIns="0" tIns="0" rIns="0" bIns="0" rtlCol="0">
                          <a:noAutofit/>
                        </wps:bodyPr>
                      </wps:wsp>
                      <wps:wsp>
                        <wps:cNvPr id="16336" name="Rectangle 16336"/>
                        <wps:cNvSpPr/>
                        <wps:spPr>
                          <a:xfrm rot="-10799999">
                            <a:off x="-236138" y="596645"/>
                            <a:ext cx="3577722" cy="142889"/>
                          </a:xfrm>
                          <a:prstGeom prst="rect">
                            <a:avLst/>
                          </a:prstGeom>
                          <a:ln>
                            <a:noFill/>
                          </a:ln>
                        </wps:spPr>
                        <wps:txbx>
                          <w:txbxContent>
                            <w:p w14:paraId="4061E257" w14:textId="77777777" w:rsidR="00B32EF2" w:rsidRDefault="00000000">
                              <w:r>
                                <w:rPr>
                                  <w:rFonts w:ascii="Arial" w:eastAsia="Arial" w:hAnsi="Arial" w:cs="Arial"/>
                                  <w:b/>
                                  <w:sz w:val="18"/>
                                </w:rPr>
                                <w:t xml:space="preserve">Estinzione del processo per inattività delle parti </w:t>
                              </w:r>
                            </w:p>
                          </w:txbxContent>
                        </wps:txbx>
                        <wps:bodyPr horzOverflow="overflow" vert="horz" lIns="0" tIns="0" rIns="0" bIns="0" rtlCol="0">
                          <a:noAutofit/>
                        </wps:bodyPr>
                      </wps:wsp>
                      <wps:wsp>
                        <wps:cNvPr id="200441" name="Rectangle 200441"/>
                        <wps:cNvSpPr/>
                        <wps:spPr>
                          <a:xfrm rot="-10799999">
                            <a:off x="2611061" y="473315"/>
                            <a:ext cx="5311118" cy="142889"/>
                          </a:xfrm>
                          <a:prstGeom prst="rect">
                            <a:avLst/>
                          </a:prstGeom>
                          <a:ln>
                            <a:noFill/>
                          </a:ln>
                        </wps:spPr>
                        <wps:txbx>
                          <w:txbxContent>
                            <w:p w14:paraId="3A368CB9"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442" name="Rectangle 200442"/>
                        <wps:cNvSpPr/>
                        <wps:spPr>
                          <a:xfrm rot="-10799999">
                            <a:off x="-1376991" y="473315"/>
                            <a:ext cx="5311118" cy="142889"/>
                          </a:xfrm>
                          <a:prstGeom prst="rect">
                            <a:avLst/>
                          </a:prstGeom>
                          <a:ln>
                            <a:noFill/>
                          </a:ln>
                        </wps:spPr>
                        <wps:txbx>
                          <w:txbxContent>
                            <w:p w14:paraId="6DED6419" w14:textId="77777777" w:rsidR="00B32EF2" w:rsidRDefault="00000000">
                              <w:r>
                                <w:rPr>
                                  <w:rFonts w:ascii="Arial" w:eastAsia="Arial" w:hAnsi="Arial" w:cs="Arial"/>
                                  <w:sz w:val="18"/>
                                </w:rPr>
                                <w:t xml:space="preserve">. Il processo si estingue nei casi in cui le parti alle quali spetta di proseguire, </w:t>
                              </w:r>
                            </w:p>
                          </w:txbxContent>
                        </wps:txbx>
                        <wps:bodyPr horzOverflow="overflow" vert="horz" lIns="0" tIns="0" rIns="0" bIns="0" rtlCol="0">
                          <a:noAutofit/>
                        </wps:bodyPr>
                      </wps:wsp>
                      <wps:wsp>
                        <wps:cNvPr id="207820" name="Shape 207820"/>
                        <wps:cNvSpPr/>
                        <wps:spPr>
                          <a:xfrm>
                            <a:off x="32522" y="1094199"/>
                            <a:ext cx="3960000" cy="1358900"/>
                          </a:xfrm>
                          <a:custGeom>
                            <a:avLst/>
                            <a:gdLst/>
                            <a:ahLst/>
                            <a:cxnLst/>
                            <a:rect l="0" t="0" r="0" b="0"/>
                            <a:pathLst>
                              <a:path w="3960000" h="1358900">
                                <a:moveTo>
                                  <a:pt x="0" y="0"/>
                                </a:moveTo>
                                <a:lnTo>
                                  <a:pt x="3960000" y="0"/>
                                </a:lnTo>
                                <a:lnTo>
                                  <a:pt x="3960000" y="1358900"/>
                                </a:lnTo>
                                <a:lnTo>
                                  <a:pt x="0" y="1358900"/>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6339" name="Rectangle 16339"/>
                        <wps:cNvSpPr/>
                        <wps:spPr>
                          <a:xfrm rot="-10799999">
                            <a:off x="2357357" y="2231864"/>
                            <a:ext cx="1557845" cy="142889"/>
                          </a:xfrm>
                          <a:prstGeom prst="rect">
                            <a:avLst/>
                          </a:prstGeom>
                          <a:ln>
                            <a:noFill/>
                          </a:ln>
                        </wps:spPr>
                        <wps:txbx>
                          <w:txbxContent>
                            <w:p w14:paraId="16691B30" w14:textId="77777777" w:rsidR="00B32EF2" w:rsidRDefault="00000000">
                              <w:r>
                                <w:rPr>
                                  <w:rFonts w:ascii="Arial" w:eastAsia="Arial" w:hAnsi="Arial" w:cs="Arial"/>
                                  <w:b/>
                                  <w:i/>
                                  <w:sz w:val="18"/>
                                </w:rPr>
                                <w:t>NORME COLLEGATE</w:t>
                              </w:r>
                            </w:p>
                          </w:txbxContent>
                        </wps:txbx>
                        <wps:bodyPr horzOverflow="overflow" vert="horz" lIns="0" tIns="0" rIns="0" bIns="0" rtlCol="0">
                          <a:noAutofit/>
                        </wps:bodyPr>
                      </wps:wsp>
                      <wps:wsp>
                        <wps:cNvPr id="16340" name="Rectangle 16340"/>
                        <wps:cNvSpPr/>
                        <wps:spPr>
                          <a:xfrm rot="-10799999">
                            <a:off x="473374" y="2108534"/>
                            <a:ext cx="3440798" cy="142889"/>
                          </a:xfrm>
                          <a:prstGeom prst="rect">
                            <a:avLst/>
                          </a:prstGeom>
                          <a:ln>
                            <a:noFill/>
                          </a:ln>
                        </wps:spPr>
                        <wps:txbx>
                          <w:txbxContent>
                            <w:p w14:paraId="3F5D1FA6" w14:textId="77777777" w:rsidR="00B32EF2" w:rsidRDefault="00000000">
                              <w:r>
                                <w:rPr>
                                  <w:rFonts w:ascii="Arial" w:eastAsia="Arial" w:hAnsi="Arial" w:cs="Arial"/>
                                  <w:i/>
                                  <w:sz w:val="18"/>
                                </w:rPr>
                                <w:t xml:space="preserve">art. 310 c.p.c. “Effetti dell’estinzione del processo” </w:t>
                              </w:r>
                            </w:p>
                          </w:txbxContent>
                        </wps:txbx>
                        <wps:bodyPr horzOverflow="overflow" vert="horz" lIns="0" tIns="0" rIns="0" bIns="0" rtlCol="0">
                          <a:noAutofit/>
                        </wps:bodyPr>
                      </wps:wsp>
                      <wps:wsp>
                        <wps:cNvPr id="200452" name="Rectangle 200452"/>
                        <wps:cNvSpPr/>
                        <wps:spPr>
                          <a:xfrm rot="-10799999">
                            <a:off x="2999202" y="1985205"/>
                            <a:ext cx="3431479" cy="142889"/>
                          </a:xfrm>
                          <a:prstGeom prst="rect">
                            <a:avLst/>
                          </a:prstGeom>
                          <a:ln>
                            <a:noFill/>
                          </a:ln>
                        </wps:spPr>
                        <wps:txbx>
                          <w:txbxContent>
                            <w:p w14:paraId="32D36112"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0453" name="Rectangle 200453"/>
                        <wps:cNvSpPr/>
                        <wps:spPr>
                          <a:xfrm rot="-10799999">
                            <a:off x="423291" y="1985204"/>
                            <a:ext cx="3431479" cy="142889"/>
                          </a:xfrm>
                          <a:prstGeom prst="rect">
                            <a:avLst/>
                          </a:prstGeom>
                          <a:ln>
                            <a:noFill/>
                          </a:ln>
                        </wps:spPr>
                        <wps:txbx>
                          <w:txbxContent>
                            <w:p w14:paraId="12F82D1B" w14:textId="77777777" w:rsidR="00B32EF2" w:rsidRDefault="00000000">
                              <w:r>
                                <w:rPr>
                                  <w:rFonts w:ascii="Arial" w:eastAsia="Arial" w:hAnsi="Arial" w:cs="Arial"/>
                                  <w:i/>
                                  <w:sz w:val="18"/>
                                </w:rPr>
                                <w:t xml:space="preserve">. L’estinzione del processo non estingue l’azione. </w:t>
                              </w:r>
                            </w:p>
                          </w:txbxContent>
                        </wps:txbx>
                        <wps:bodyPr horzOverflow="overflow" vert="horz" lIns="0" tIns="0" rIns="0" bIns="0" rtlCol="0">
                          <a:noAutofit/>
                        </wps:bodyPr>
                      </wps:wsp>
                      <wps:wsp>
                        <wps:cNvPr id="200451" name="Rectangle 200451"/>
                        <wps:cNvSpPr/>
                        <wps:spPr>
                          <a:xfrm rot="-10799999">
                            <a:off x="-1251233" y="1861875"/>
                            <a:ext cx="5100678" cy="142889"/>
                          </a:xfrm>
                          <a:prstGeom prst="rect">
                            <a:avLst/>
                          </a:prstGeom>
                          <a:ln>
                            <a:noFill/>
                          </a:ln>
                        </wps:spPr>
                        <wps:txbx>
                          <w:txbxContent>
                            <w:p w14:paraId="1D4AFDD1" w14:textId="77777777" w:rsidR="00B32EF2" w:rsidRDefault="00000000">
                              <w:r>
                                <w:rPr>
                                  <w:rFonts w:ascii="Arial" w:eastAsia="Arial" w:hAnsi="Arial" w:cs="Arial"/>
                                  <w:i/>
                                  <w:sz w:val="18"/>
                                </w:rPr>
                                <w:t xml:space="preserve">. L’estinzione rende inefficaci gli atti compiuti, ma non le sentenze di merito </w:t>
                              </w:r>
                            </w:p>
                          </w:txbxContent>
                        </wps:txbx>
                        <wps:bodyPr horzOverflow="overflow" vert="horz" lIns="0" tIns="0" rIns="0" bIns="0" rtlCol="0">
                          <a:noAutofit/>
                        </wps:bodyPr>
                      </wps:wsp>
                      <wps:wsp>
                        <wps:cNvPr id="200450" name="Rectangle 200450"/>
                        <wps:cNvSpPr/>
                        <wps:spPr>
                          <a:xfrm rot="-10799999">
                            <a:off x="2585040" y="1861875"/>
                            <a:ext cx="5100678" cy="142889"/>
                          </a:xfrm>
                          <a:prstGeom prst="rect">
                            <a:avLst/>
                          </a:prstGeom>
                          <a:ln>
                            <a:noFill/>
                          </a:ln>
                        </wps:spPr>
                        <wps:txbx>
                          <w:txbxContent>
                            <w:p w14:paraId="227BF75A"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16343" name="Rectangle 16343"/>
                        <wps:cNvSpPr/>
                        <wps:spPr>
                          <a:xfrm rot="-10799999">
                            <a:off x="-1089152" y="1738545"/>
                            <a:ext cx="5003325" cy="142889"/>
                          </a:xfrm>
                          <a:prstGeom prst="rect">
                            <a:avLst/>
                          </a:prstGeom>
                          <a:ln>
                            <a:noFill/>
                          </a:ln>
                        </wps:spPr>
                        <wps:txbx>
                          <w:txbxContent>
                            <w:p w14:paraId="3991BB35" w14:textId="77777777" w:rsidR="00B32EF2" w:rsidRDefault="00000000">
                              <w:r>
                                <w:rPr>
                                  <w:rFonts w:ascii="Arial" w:eastAsia="Arial" w:hAnsi="Arial" w:cs="Arial"/>
                                  <w:i/>
                                  <w:sz w:val="18"/>
                                </w:rPr>
                                <w:t>pronunciate nel corso del processo e le pronunce che regolano la compe</w:t>
                              </w:r>
                            </w:p>
                          </w:txbxContent>
                        </wps:txbx>
                        <wps:bodyPr horzOverflow="overflow" vert="horz" lIns="0" tIns="0" rIns="0" bIns="0" rtlCol="0">
                          <a:noAutofit/>
                        </wps:bodyPr>
                      </wps:wsp>
                      <wps:wsp>
                        <wps:cNvPr id="16344" name="Rectangle 16344"/>
                        <wps:cNvSpPr/>
                        <wps:spPr>
                          <a:xfrm rot="-10799999">
                            <a:off x="98279" y="1738545"/>
                            <a:ext cx="50622" cy="142889"/>
                          </a:xfrm>
                          <a:prstGeom prst="rect">
                            <a:avLst/>
                          </a:prstGeom>
                          <a:ln>
                            <a:noFill/>
                          </a:ln>
                        </wps:spPr>
                        <wps:txbx>
                          <w:txbxContent>
                            <w:p w14:paraId="562CC88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345" name="Rectangle 16345"/>
                        <wps:cNvSpPr/>
                        <wps:spPr>
                          <a:xfrm rot="-10799999">
                            <a:off x="3459347" y="1615216"/>
                            <a:ext cx="454826" cy="142889"/>
                          </a:xfrm>
                          <a:prstGeom prst="rect">
                            <a:avLst/>
                          </a:prstGeom>
                          <a:ln>
                            <a:noFill/>
                          </a:ln>
                        </wps:spPr>
                        <wps:txbx>
                          <w:txbxContent>
                            <w:p w14:paraId="6D392B02" w14:textId="77777777" w:rsidR="00B32EF2" w:rsidRDefault="00000000">
                              <w:r>
                                <w:rPr>
                                  <w:rFonts w:ascii="Arial" w:eastAsia="Arial" w:hAnsi="Arial" w:cs="Arial"/>
                                  <w:i/>
                                  <w:sz w:val="18"/>
                                </w:rPr>
                                <w:t xml:space="preserve">tenza. </w:t>
                              </w:r>
                            </w:p>
                          </w:txbxContent>
                        </wps:txbx>
                        <wps:bodyPr horzOverflow="overflow" vert="horz" lIns="0" tIns="0" rIns="0" bIns="0" rtlCol="0">
                          <a:noAutofit/>
                        </wps:bodyPr>
                      </wps:wsp>
                      <wps:wsp>
                        <wps:cNvPr id="200449" name="Rectangle 200449"/>
                        <wps:cNvSpPr/>
                        <wps:spPr>
                          <a:xfrm rot="-10799999">
                            <a:off x="-1259204" y="1491886"/>
                            <a:ext cx="5125336" cy="142889"/>
                          </a:xfrm>
                          <a:prstGeom prst="rect">
                            <a:avLst/>
                          </a:prstGeom>
                          <a:ln>
                            <a:noFill/>
                          </a:ln>
                        </wps:spPr>
                        <wps:txbx>
                          <w:txbxContent>
                            <w:p w14:paraId="6FB04C17" w14:textId="77777777" w:rsidR="00B32EF2" w:rsidRDefault="00000000">
                              <w:r>
                                <w:rPr>
                                  <w:rFonts w:ascii="Arial" w:eastAsia="Arial" w:hAnsi="Arial" w:cs="Arial"/>
                                  <w:i/>
                                  <w:sz w:val="18"/>
                                </w:rPr>
                                <w:t xml:space="preserve">. Le prove raccolte sono valutate dal giudice a norma dell’articolo 116 </w:t>
                              </w:r>
                            </w:p>
                          </w:txbxContent>
                        </wps:txbx>
                        <wps:bodyPr horzOverflow="overflow" vert="horz" lIns="0" tIns="0" rIns="0" bIns="0" rtlCol="0">
                          <a:noAutofit/>
                        </wps:bodyPr>
                      </wps:wsp>
                      <wps:wsp>
                        <wps:cNvPr id="200448" name="Rectangle 200448"/>
                        <wps:cNvSpPr/>
                        <wps:spPr>
                          <a:xfrm rot="-10799999">
                            <a:off x="2578922" y="1491886"/>
                            <a:ext cx="5125336" cy="142889"/>
                          </a:xfrm>
                          <a:prstGeom prst="rect">
                            <a:avLst/>
                          </a:prstGeom>
                          <a:ln>
                            <a:noFill/>
                          </a:ln>
                        </wps:spPr>
                        <wps:txbx>
                          <w:txbxContent>
                            <w:p w14:paraId="6D44C47E"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16347" name="Rectangle 16347"/>
                        <wps:cNvSpPr/>
                        <wps:spPr>
                          <a:xfrm rot="-10799999">
                            <a:off x="2699768" y="1368556"/>
                            <a:ext cx="1214404" cy="142889"/>
                          </a:xfrm>
                          <a:prstGeom prst="rect">
                            <a:avLst/>
                          </a:prstGeom>
                          <a:ln>
                            <a:noFill/>
                          </a:ln>
                        </wps:spPr>
                        <wps:txbx>
                          <w:txbxContent>
                            <w:p w14:paraId="79163539" w14:textId="77777777" w:rsidR="00B32EF2" w:rsidRDefault="00000000">
                              <w:r>
                                <w:rPr>
                                  <w:rFonts w:ascii="Arial" w:eastAsia="Arial" w:hAnsi="Arial" w:cs="Arial"/>
                                  <w:i/>
                                  <w:sz w:val="18"/>
                                </w:rPr>
                                <w:t xml:space="preserve">secondo comma. </w:t>
                              </w:r>
                            </w:p>
                          </w:txbxContent>
                        </wps:txbx>
                        <wps:bodyPr horzOverflow="overflow" vert="horz" lIns="0" tIns="0" rIns="0" bIns="0" rtlCol="0">
                          <a:noAutofit/>
                        </wps:bodyPr>
                      </wps:wsp>
                      <wps:wsp>
                        <wps:cNvPr id="200447" name="Rectangle 200447"/>
                        <wps:cNvSpPr/>
                        <wps:spPr>
                          <a:xfrm rot="-10799999">
                            <a:off x="-1254557" y="1245226"/>
                            <a:ext cx="5110986" cy="142889"/>
                          </a:xfrm>
                          <a:prstGeom prst="rect">
                            <a:avLst/>
                          </a:prstGeom>
                          <a:ln>
                            <a:noFill/>
                          </a:ln>
                        </wps:spPr>
                        <wps:txbx>
                          <w:txbxContent>
                            <w:p w14:paraId="247D5003" w14:textId="77777777" w:rsidR="00B32EF2" w:rsidRDefault="00000000">
                              <w:r>
                                <w:rPr>
                                  <w:rFonts w:ascii="Arial" w:eastAsia="Arial" w:hAnsi="Arial" w:cs="Arial"/>
                                  <w:i/>
                                  <w:sz w:val="18"/>
                                </w:rPr>
                                <w:t xml:space="preserve">. Le spese del processo estinto stanno a carico delle parti che le hanno </w:t>
                              </w:r>
                            </w:p>
                          </w:txbxContent>
                        </wps:txbx>
                        <wps:bodyPr horzOverflow="overflow" vert="horz" lIns="0" tIns="0" rIns="0" bIns="0" rtlCol="0">
                          <a:noAutofit/>
                        </wps:bodyPr>
                      </wps:wsp>
                      <wps:wsp>
                        <wps:cNvPr id="200446" name="Rectangle 200446"/>
                        <wps:cNvSpPr/>
                        <wps:spPr>
                          <a:xfrm rot="-10799999">
                            <a:off x="2582482" y="1245227"/>
                            <a:ext cx="5110986" cy="142889"/>
                          </a:xfrm>
                          <a:prstGeom prst="rect">
                            <a:avLst/>
                          </a:prstGeom>
                          <a:ln>
                            <a:noFill/>
                          </a:ln>
                        </wps:spPr>
                        <wps:txbx>
                          <w:txbxContent>
                            <w:p w14:paraId="4011E70B"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16349" name="Rectangle 16349"/>
                        <wps:cNvSpPr/>
                        <wps:spPr>
                          <a:xfrm rot="-10799999">
                            <a:off x="3212902" y="1121897"/>
                            <a:ext cx="701841" cy="142889"/>
                          </a:xfrm>
                          <a:prstGeom prst="rect">
                            <a:avLst/>
                          </a:prstGeom>
                          <a:ln>
                            <a:noFill/>
                          </a:ln>
                        </wps:spPr>
                        <wps:txbx>
                          <w:txbxContent>
                            <w:p w14:paraId="72F5FBA8" w14:textId="77777777" w:rsidR="00B32EF2" w:rsidRDefault="00000000">
                              <w:r>
                                <w:rPr>
                                  <w:rFonts w:ascii="Arial" w:eastAsia="Arial" w:hAnsi="Arial" w:cs="Arial"/>
                                  <w:i/>
                                  <w:sz w:val="18"/>
                                </w:rPr>
                                <w:t>anticipate.</w:t>
                              </w:r>
                            </w:p>
                          </w:txbxContent>
                        </wps:txbx>
                        <wps:bodyPr horzOverflow="overflow" vert="horz" lIns="0" tIns="0" rIns="0" bIns="0" rtlCol="0">
                          <a:noAutofit/>
                        </wps:bodyPr>
                      </wps:wsp>
                      <wps:wsp>
                        <wps:cNvPr id="16350" name="Shape 16350"/>
                        <wps:cNvSpPr/>
                        <wps:spPr>
                          <a:xfrm>
                            <a:off x="32521" y="1094203"/>
                            <a:ext cx="3960000" cy="1358900"/>
                          </a:xfrm>
                          <a:custGeom>
                            <a:avLst/>
                            <a:gdLst/>
                            <a:ahLst/>
                            <a:cxnLst/>
                            <a:rect l="0" t="0" r="0" b="0"/>
                            <a:pathLst>
                              <a:path w="3960000" h="1358900">
                                <a:moveTo>
                                  <a:pt x="0" y="1358900"/>
                                </a:moveTo>
                                <a:lnTo>
                                  <a:pt x="3960000" y="1358900"/>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9223432" id="Group 200553" o:spid="_x0000_s2519" style="width:314.35pt;height:493.15pt;mso-position-horizontal-relative:char;mso-position-vertical-relative:line" coordsize="39925,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ZhRZQwAAHqGAAAOAAAAZHJzL2Uyb0RvYy54bWzkXW1v2zgS/n7A/QfD39OIFElJRtPFob0t&#10;DjjcLvblByiO/ALIliGrTXq//p4hKcpWmG0hAWFw7C4Sh5ZpaR4+M8OZIfn+p6dDvfhated9c7xb&#10;snfJclEd183D/ri9W/75x883+XJx7srjQ1k3x+pu+a06L3/68Pe/vX88rSre7Jr6oWoX6OR4Xj2e&#10;7pa7rjutbm/P6111KM/vmlN1xJubpj2UHf5st7cPbfmI3g/1LU8SdfvYtA+ntllX5zNaP5k3lx90&#10;/5tNte5+2WzOVbeo75a4t07/bPXPe/p5++F9udq25Wm3X9vbKCfcxaHcH/GlrqtPZVcuvrT7Z10d&#10;9uu2OTeb7t26Odw2m81+XelnwNOwZPQ0n9vmy0k/y3b1uD05MUG0IzlN7nb9n6+f29Pvp19bSOLx&#10;tIUs9F/0LE+b9kC/cZeLJy2yb05k1VO3WKMxLQouOV8u1nhPccVzKYxQ1ztI/tnn1rt/fueTt/0X&#10;317dzuMJA+Q8yOA8Twa/78pTpUV7XkEGv7aL/QPGr0oTjJJjecBQ/Q2Dpzxu62phmrWA9NVOXOfV&#10;GZLrZbVoG4yvG5ZkBf3T48HKjhUJ4wm4ACndKI4/jZB6MbIsT1VhpMhlooSi950oytWpPXefq+aw&#10;oBd3yxb3pvsvv/773JlL+0voduoj/Tw2P+/r2rxLLZBof8f0qnu6fzKPLXhG30eN983DN0hj17T/&#10;/QW83tTN492ysa+WRHV8Pb27XNT/OgIFYlX/ou1f3Pcv2q7+2GjumRv6x5eu2ez1HQ/fZu8M8Jp7&#10;eBWcmR9n1gsCo2ICzknCuTA4K8aKQlk29EDzokh4Jg3STPDcjIRXRDrvHzAKpGEjROaB2rbbQT8J&#10;6xuW5ixJwVqQWhZ5wZMR2DJNiiQJCXYRH9ge/a3B1hqXdM4ksDnYnJFteLNYp+4BoyA22eTUr8LT&#10;ftBPQhq0ZkrkcGkI6lzmQmjjWK56HW5orQYdnmuavZ4OT52RigZq4YdaK9zJpNZQywzDiKDOeKZy&#10;H9RFFhBq3g/maKCGvfQ54LIXxCRWFynjEj0T0LJQhXF4B06niWJcwXGjeQz5Za/Oaae1ogCaTDKJ&#10;e4y0bZ/jl5GpVoUltVAKf9DQGbDW+jsNqb+d2ooHa7jJXqydhzqJ1tYHt8R+GewLH/zVie0UVxRg&#10;k18GeznG2jTPobUx1sz6ZWkqReLldUioddRmiGtEEEXxqHCC2gUZprKaKdlDjWm1kqN4mVHhIaGO&#10;L2Dm0eAE9VwFzllWZHDvyTNLstQGxC6sNWeJCOqCu8EciwJnnhgKoEbzHAWOaCi/xFlPYi9wTlSf&#10;Rwjif7txHA3KnrAooeyCC/N1tyhEylI9hb0AmqKiaUDdLdw4jgZqeE0ejwwWdg6hTaSMVDN0t8gZ&#10;TzMf1BzjLNSsWrjBHA3U/qAoc+GF6azOEiBJUKucKdPhJasZcl/Q78GgdoM5Gqj9QVHmogsToUZ6&#10;uoDDraGWMsmlHjsXUHPGBblswaB2gzkaqGEufQrcxRYmQT14ZMKLc1iPTLhxHA3KiEn6UHZhhUko&#10;Y4LFBbKDms8CAdZCj5qBzyynRtiNYHx2wzgapP0hMuaiCpOQZlDWHIZZI82yVMDLvop85wmmYCGB&#10;diM5CqB1MsPDads+y/fmSirUDmmoE4nawRHUrBASlWQBSe3GcjxYe6y0xtrpt0m05pwjpm6nWRpr&#10;TaMLBR4c67hCZBpTjwa37XN4jdQly+D5DLx+c1jHFyjzR76ZE8QkVt/A7SpQMUhIpwVXWTZCOhUw&#10;1nnAOJlJukSTztLs9URPbPscVqP4hKcFPAHCOk9SYeq7Bw2ewlRr2odywWVcgTKNqSd8YtvnYK1y&#10;LgtL67cJdVyBMg2pJ9Vh2+dAzVUKJ9xUJKQqT1AifD3fkoiUobIsnBNuQndxqXBPrkNj7Yb9RHPN&#10;c5EidaR1+NsEO7qAGSWMPQEzNM+h9RAWNaQe+WVYnhUyUY0qVvtwUcyrkZHmHqfMNM9B2WYvzVqt&#10;VEqVeYu/Q2YvpR550WhvwtTjk5nmWVCnEkXA1icTaSrkyE5DsQuEyQPa6QiDZTClY92t7bSrzpho&#10;pzHBwgJcY6dRs8S4Dk4Ncy2qHUSFUUCw44uWSU8IhcBG+xxi61J/hRAJzavfJtbuAaOx1p6EB6lw&#10;Z8um0RopjsySmuUqK0akFgnWsCcBSa2c2ooCaE1eD9K2fS6pM1rbSaROVErrhNDflQLPsdw6nAJX&#10;8QXL4DF5rbXxpMhFnUZrlmaFogjJX4JNic5QkVHlJpNREJtUtX9Rh/Gj5kDNVIalywQ1L0SC7RPG&#10;vGYJzwOWJ6jo6sq4xy+jEeC8lmmsLjIYazPf4qgVRdnJNdIC+6KkIedbZluWaGbW2ip7pta2fa61&#10;Vqgo06zGslsBL21srbHlTcAacMwP7ANGocA1pi8Uogyxw2m8hspO8p7YGuxnKhxrO4KC7aYZUYAN&#10;XU0WdRxHMc1zaH3DaF0e1QqStZYo/RdjXtO6PBUwZobvjonXhKk/3WEWWE12zIZ0hx/nsOkOM/mL&#10;xlITyv50B5rnEBrx79xWG3GUn+SmemmYVMPnyzIGzz/YPMv5nNFobo9HRvi7NO4kI40icEWbcJLi&#10;RsY6HW9KlzMmQgbKsvgCZWRGxyaa3DS0z6E06oKxTxFsApDOoMWxrSS6GyiNEvBUT7hDURobL8Zk&#10;oTWkHk7b9jlQ31CpkU1qvQx1wCiZWfkbjZnWkL4wyRJuvjlNfzNso2yLyl6GOuB8GvvlxcRqssie&#10;RIdpnsfpFKuoTf0JtqRTZtwM6juVWZaFrDTCEt+YgNac9kymbfscqClPjQ0GtaUWGabsI0stsesG&#10;C+l8G9chLvXtmUxrqF2+Z5L6RllZporiLWMdV4iMJxnWN/cOuN73f2Hbvktp8qbtDv5YoUG6GK42&#10;SwoBb/va18bqjgT/7PQ5ldjGSs9zLjYFXn8xW/hTp/22/Tgw4sFs4I+2Xf9q/XTsX9JG/395dsWp&#10;7Ohz1Cm9XGC3fncvO9ysvRV6/4Bt/P9o9JXd6GAG3Obwbn28vMr1hkfvH6m/ov990v1dXtl/L0SM&#10;vvvr+t/mekiLxHklrP6K/vflldffjm7pgXX/TghovBRzfSR5EColzhbZ1KU5NOGw73DoSL0/4NtR&#10;NeKQ8pyRcO6+1RWJrD7+Vm1wWoI+CIMazu32/mPdLr6WdLyB/mdOZKhPu9K20hjBLdlLrSjQD31+&#10;g6MZXJdMf/Sqy48p/Wd7sBfT5yp9qon7ZGI+ubZ3Y442wQEheOj+gBPcgfuQ/ubm2LnPH3Esi/4S&#10;Uv72aQc7QPdPf73q0Qy0pf54ukzulgsQTVLMHP4U/tdjDquxUESk3ZvB32JSZjmcsGARMCzxhbwH&#10;4f//bx9Jyyk8SA8bdE1Cmjwsu6MgchTYvmYENIp9USEaMNSZ6axZNECTVyVf8LbQbsf8JKhxnAqO&#10;3bB2ucglH2+DgD0wGKWkw5Haaa0owtoa6xfCncNitElYC44chfGrmYb6Ga0DQ53HF9nGsuFnClwP&#10;ARf5nQQ1ss/Y/pcSYeQg5orl49i2xG5zWLETjte5e8J4eO2x1hpsN+4ngc1xyEpiF1a+UaydkYoC&#10;a/javoyVaZ5jrXE0Xl4wcgWI1tjrWY5jnjJJUOUQ0AdH+WlsPrgnY0VQu+DvJFIXObfLNV7AOega&#10;2tw9XDSE9iSrCOV5uSp8nio+DZ8VmM10bHGYUwuJk7SQPQmVgcb2OTHRmawx6vS8Lpmp36NJ5yRC&#10;k0umTzjUulsULM9HWMNjkzpVFgzs2ALbABse8DiAogeBizBMAhuFgDjO0trpt4l1fLEyzwos0uBO&#10;ENOQRq4Kx94ZDY7tLrAPAmnMQYOjDhjhMvgIwVjthnIUtlqz1wO1bZ/nfnM43DYEji28kdAagS2R&#10;pi6g18OBHV+0DFvB+VW4s2bTiC1z7B5oVbjGWiuKgdjBsTYnX0cTBSdd7XHNTPMcWqfYZAyLbowK&#10;h7rOcSLHlQrH4o0cB2EEIzWCtvb5otDgQJT2XTZumak3ME3fBZns7kW5gY11o9yAYzn8FaQu1a6t&#10;8lUG/WnTHqijyzz4Gyo3uE73/0jRwfUn+sKA/vfz0oPrMoGh+ODlUgIIq27OFST840UFunAAnHqx&#10;sMBUBJg+f7CwwFMFYAsL+m58tQO2AmBaOcKbKCxAicF29bg9aflv2/K0268/lV15+bcuRFhVvNk1&#10;9UPVfvgfAAAA//8DAFBLAwQUAAYACAAAACEABfCzbd0AAAAFAQAADwAAAGRycy9kb3ducmV2Lnht&#10;bEyPQUvDQBCF74L/YRnBm92kxZim2ZRS1FMRbAXxNs1Ok9DsbMhuk/Tfu3rRy8DjPd77Jl9PphUD&#10;9a6xrCCeRSCIS6sbrhR8HF4eUhDOI2tsLZOCKzlYF7c3OWbajvxOw95XIpSwy1BB7X2XSenKmgy6&#10;me2Ig3eyvUEfZF9J3eMYyk0r51GUSIMNh4UaO9rWVJ73F6PgdcRxs4ifh935tL1+HR7fPncxKXV/&#10;N21WIDxN/i8MP/gBHYrAdLQX1k60CsIj/vcGL5mnTyCOCpZpsgBZ5PI/ffENAAD//wMAUEsBAi0A&#10;FAAGAAgAAAAhALaDOJL+AAAA4QEAABMAAAAAAAAAAAAAAAAAAAAAAFtDb250ZW50X1R5cGVzXS54&#10;bWxQSwECLQAUAAYACAAAACEAOP0h/9YAAACUAQAACwAAAAAAAAAAAAAAAAAvAQAAX3JlbHMvLnJl&#10;bHNQSwECLQAUAAYACAAAACEAwMGYUWUMAAB6hgAADgAAAAAAAAAAAAAAAAAuAgAAZHJzL2Uyb0Rv&#10;Yy54bWxQSwECLQAUAAYACAAAACEABfCzbd0AAAAFAQAADwAAAAAAAAAAAAAAAAC/DgAAZHJzL2Rv&#10;d25yZXYueG1sUEsFBgAAAAAEAAQA8wAAAMkPAAAAAA==&#10;">
                <v:rect id="Rectangle 16300" o:spid="_x0000_s2520" style="position:absolute;left:19012;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GCxwAAAN4AAAAPAAAAZHJzL2Rvd25yZXYueG1sRI9Pa8JA&#10;EMXvhX6HZQq91U1bEEldRSzSHLz4DzwO2TFJzc4u2dXEfvrOQfA2w7x57/2m88G16kpdbDwbeB9l&#10;oIhLbxuuDOx3q7cJqJiQLbaeycCNIsxnz09TzK3veUPXbaqUmHDM0UCdUsi1jmVNDuPIB2K5nXzn&#10;MMnaVdp22Iu5a/VHlo21w4YlocZAy5rK8/biDBy/ORSrXpenv2VY/xaT9ueyPxjz+jIsvkAlGtJD&#10;fP8urNQff2YCIDgyg579AwAA//8DAFBLAQItABQABgAIAAAAIQDb4fbL7gAAAIUBAAATAAAAAAAA&#10;AAAAAAAAAAAAAABbQ29udGVudF9UeXBlc10ueG1sUEsBAi0AFAAGAAgAAAAhAFr0LFu/AAAAFQEA&#10;AAsAAAAAAAAAAAAAAAAAHwEAAF9yZWxzLy5yZWxzUEsBAi0AFAAGAAgAAAAhAIz+YYLHAAAA3gAA&#10;AA8AAAAAAAAAAAAAAAAABwIAAGRycy9kb3ducmV2LnhtbFBLBQYAAAAAAwADALcAAAD7AgAAAAA=&#10;" filled="f" stroked="f">
                  <v:textbox inset="0,0,0,0">
                    <w:txbxContent>
                      <w:p w14:paraId="7BB09D26" w14:textId="77777777" w:rsidR="00B32EF2" w:rsidRDefault="00000000">
                        <w:r>
                          <w:rPr>
                            <w:rFonts w:ascii="Times New Roman" w:eastAsia="Times New Roman" w:hAnsi="Times New Roman" w:cs="Times New Roman"/>
                          </w:rPr>
                          <w:t>83</w:t>
                        </w:r>
                      </w:p>
                    </w:txbxContent>
                  </v:textbox>
                </v:rect>
                <v:rect id="Rectangle 16301" o:spid="_x0000_s2521" style="position:absolute;left:10022;top:61199;width:299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sQZxQAAAN4AAAAPAAAAZHJzL2Rvd25yZXYueG1sRE9Na8JA&#10;EL0X+h+WKfRWN7YQQuoqYpHm4MXUQo9DdkxSs7NLdk1Sf70rCL3N433OYjWZTgzU+9aygvksAUFc&#10;Wd1yreDwtX3JQPiArLGzTAr+yMNq+fiwwFzbkfc0lKEWMYR9jgqaEFwupa8aMuhn1hFH7mh7gyHC&#10;vpa6xzGGm06+JkkqDbYcGxp0tGmoOpVno+Dng12xHWV1vGzc7rfIus/z4Vup56dp/Q4i0BT+xXd3&#10;oeP89C2Zw+2deINcXgEAAP//AwBQSwECLQAUAAYACAAAACEA2+H2y+4AAACFAQAAEwAAAAAAAAAA&#10;AAAAAAAAAAAAW0NvbnRlbnRfVHlwZXNdLnhtbFBLAQItABQABgAIAAAAIQBa9CxbvwAAABUBAAAL&#10;AAAAAAAAAAAAAAAAAB8BAABfcmVscy8ucmVsc1BLAQItABQABgAIAAAAIQDjssQZxQAAAN4AAAAP&#10;AAAAAAAAAAAAAAAAAAcCAABkcnMvZG93bnJldi54bWxQSwUGAAAAAAMAAwC3AAAA+QIAAAAA&#10;" filled="f" stroked="f">
                  <v:textbox inset="0,0,0,0">
                    <w:txbxContent>
                      <w:p w14:paraId="5A59BEBF" w14:textId="77777777" w:rsidR="00B32EF2" w:rsidRDefault="00000000">
                        <w:r>
                          <w:rPr>
                            <w:rFonts w:ascii="Arial" w:eastAsia="Arial" w:hAnsi="Arial" w:cs="Arial"/>
                            <w:sz w:val="18"/>
                          </w:rPr>
                          <w:t>taria, che provvede a norma dell’articolo 78.</w:t>
                        </w:r>
                      </w:p>
                    </w:txbxContent>
                  </v:textbox>
                </v:rect>
                <v:rect id="Rectangle 200471" o:spid="_x0000_s2522" style="position:absolute;left:-13810;top:59892;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7uIxwAAAN8AAAAPAAAAZHJzL2Rvd25yZXYueG1sRI9PawIx&#10;FMTvgt8hPKE3zSqlytasFEW6By+1Ch4fm7d/2s1L2ER366dvCkKPw8z8hllvBtOKG3W+saxgPktA&#10;EBdWN1wpOH3upysQPiBrbC2Tgh/ysMnGozWm2vb8QbdjqESEsE9RQR2CS6X0RU0G/cw64uiVtjMY&#10;ouwqqTvsI9y0cpEkL9Jgw3GhRkfbmorv49UouOzY5fteFuV96w5f+ap9v57OSj1NhrdXEIGG8B9+&#10;tHOtIBKfl3P4+xO/gMx+AQAA//8DAFBLAQItABQABgAIAAAAIQDb4fbL7gAAAIUBAAATAAAAAAAA&#10;AAAAAAAAAAAAAABbQ29udGVudF9UeXBlc10ueG1sUEsBAi0AFAAGAAgAAAAhAFr0LFu/AAAAFQEA&#10;AAsAAAAAAAAAAAAAAAAAHwEAAF9yZWxzLy5yZWxzUEsBAi0AFAAGAAgAAAAhAHOru4jHAAAA3wAA&#10;AA8AAAAAAAAAAAAAAAAABwIAAGRycy9kb3ducmV2LnhtbFBLBQYAAAAAAwADALcAAAD7AgAAAAA=&#10;" filled="f" stroked="f">
                  <v:textbox inset="0,0,0,0">
                    <w:txbxContent>
                      <w:p w14:paraId="18849B75" w14:textId="77777777" w:rsidR="00B32EF2" w:rsidRDefault="00000000">
                        <w:r>
                          <w:rPr>
                            <w:rFonts w:ascii="Arial" w:eastAsia="Arial" w:hAnsi="Arial" w:cs="Arial"/>
                            <w:sz w:val="18"/>
                          </w:rPr>
                          <w:t xml:space="preserve">. Se entro sei mesi da quando è stata dichiarata l’interruzione del processo la </w:t>
                        </w:r>
                      </w:p>
                    </w:txbxContent>
                  </v:textbox>
                </v:rect>
                <v:rect id="Rectangle 200470" o:spid="_x0000_s2523" style="position:absolute;left:26117;top:59892;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x4TxwAAAN8AAAAPAAAAZHJzL2Rvd25yZXYueG1sRI9Ba8JA&#10;EIXvhf6HZQre6sZSrKSuIhZpDr1oLfQ4ZMckmp1dsquJ/fXOQehxePO+xzdfDq5VF+pi49nAZJyB&#10;Ii69bbgysP/ePM9AxYRssfVMBq4UYbl4fJhjbn3PW7rsUqUEwjFHA3VKIdc6ljU5jGMfiCU7+M5h&#10;krOrtO2wF7hr9UuWTbXDhmWhxkDrmsrT7uwM/H5wKDa9Lg9/6/B1LGbt53n/Y8zoaVi9g0o0pP/n&#10;e7uwBoT4+iYG4iMuoBc3AAAA//8DAFBLAQItABQABgAIAAAAIQDb4fbL7gAAAIUBAAATAAAAAAAA&#10;AAAAAAAAAAAAAABbQ29udGVudF9UeXBlc10ueG1sUEsBAi0AFAAGAAgAAAAhAFr0LFu/AAAAFQEA&#10;AAsAAAAAAAAAAAAAAAAAHwEAAF9yZWxzLy5yZWxzUEsBAi0AFAAGAAgAAAAhABznHhPHAAAA3wAA&#10;AA8AAAAAAAAAAAAAAAAABwIAAGRycy9kb3ducmV2LnhtbFBLBQYAAAAAAwADALcAAAD7AgAAAAA=&#10;" filled="f" stroked="f">
                  <v:textbox inset="0,0,0,0">
                    <w:txbxContent>
                      <w:p w14:paraId="3CB07A0A" w14:textId="77777777" w:rsidR="00B32EF2" w:rsidRDefault="00000000">
                        <w:r>
                          <w:rPr>
                            <w:rFonts w:ascii="Arial" w:eastAsia="Arial" w:hAnsi="Arial" w:cs="Arial"/>
                            <w:sz w:val="18"/>
                          </w:rPr>
                          <w:t>2</w:t>
                        </w:r>
                      </w:p>
                    </w:txbxContent>
                  </v:textbox>
                </v:rect>
                <v:rect id="Rectangle 16303" o:spid="_x0000_s2524" style="position:absolute;left:-13164;top:5858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1wwAAAN4AAAAPAAAAZHJzL2Rvd25yZXYueG1sRE9Ni8Iw&#10;EL0L+x/CLOxN01UQqUYRF7EHL7oKHodmbKvNJDTRdv31RhD2No/3ObNFZ2pxp8ZXlhV8DxIQxLnV&#10;FRcKDr/r/gSED8gaa8uk4I88LOYfvRmm2ra8o/s+FCKGsE9RQRmCS6X0eUkG/cA64sidbWMwRNgU&#10;UjfYxnBTy2GSjKXBimNDiY5WJeXX/c0oOP2wy9atzM+Pldteskm9uR2OSn19dsspiEBd+Be/3ZmO&#10;88ejZASvd+INcv4EAAD//wMAUEsBAi0AFAAGAAgAAAAhANvh9svuAAAAhQEAABMAAAAAAAAAAAAA&#10;AAAAAAAAAFtDb250ZW50X1R5cGVzXS54bWxQSwECLQAUAAYACAAAACEAWvQsW78AAAAVAQAACwAA&#10;AAAAAAAAAAAAAAAfAQAAX3JlbHMvLnJlbHNQSwECLQAUAAYACAAAACEAfCz/9cMAAADeAAAADwAA&#10;AAAAAAAAAAAAAAAHAgAAZHJzL2Rvd25yZXYueG1sUEsFBgAAAAADAAMAtwAAAPcCAAAAAA==&#10;" filled="f" stroked="f">
                  <v:textbox inset="0,0,0,0">
                    <w:txbxContent>
                      <w:p w14:paraId="04F6CC1C" w14:textId="77777777" w:rsidR="00B32EF2" w:rsidRDefault="00000000">
                        <w:r>
                          <w:rPr>
                            <w:rFonts w:ascii="Arial" w:eastAsia="Arial" w:hAnsi="Arial" w:cs="Arial"/>
                            <w:sz w:val="18"/>
                          </w:rPr>
                          <w:t xml:space="preserve">parte colpita dall’evento o i suoi successori o qualsiasi altra parte presentano </w:t>
                        </w:r>
                      </w:p>
                    </w:txbxContent>
                  </v:textbox>
                </v:rect>
                <v:rect id="Rectangle 16304" o:spid="_x0000_s2525" style="position:absolute;left:-13165;top:5727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WeBxQAAAN4AAAAPAAAAZHJzL2Rvd25yZXYueG1sRE9LawIx&#10;EL4L/Q9hCt4021pEVrNSLNI99KK10OOwmX3YzSRsorv6640g9DYf33NW68G04kydbywreJkmIIgL&#10;qxuuFBy+t5MFCB+QNbaWScGFPKyzp9EKU2173tF5HyoRQ9inqKAOwaVS+qImg35qHXHkStsZDBF2&#10;ldQd9jHctPI1SebSYMOxoUZHm5qKv/3JKPj9YJdve1mU1437OuaL9vN0+FFq/Dy8L0EEGsK/+OHO&#10;dZw/nyVvcH8n3iCzGwAAAP//AwBQSwECLQAUAAYACAAAACEA2+H2y+4AAACFAQAAEwAAAAAAAAAA&#10;AAAAAAAAAAAAW0NvbnRlbnRfVHlwZXNdLnhtbFBLAQItABQABgAIAAAAIQBa9CxbvwAAABUBAAAL&#10;AAAAAAAAAAAAAAAAAB8BAABfcmVscy8ucmVsc1BLAQItABQABgAIAAAAIQDzxWeBxQAAAN4AAAAP&#10;AAAAAAAAAAAAAAAAAAcCAABkcnMvZG93bnJldi54bWxQSwUGAAAAAAMAAwC3AAAA+QIAAAAA&#10;" filled="f" stroked="f">
                  <v:textbox inset="0,0,0,0">
                    <w:txbxContent>
                      <w:p w14:paraId="41866505" w14:textId="77777777" w:rsidR="00B32EF2" w:rsidRDefault="00000000">
                        <w:r>
                          <w:rPr>
                            <w:rFonts w:ascii="Arial" w:eastAsia="Arial" w:hAnsi="Arial" w:cs="Arial"/>
                            <w:sz w:val="18"/>
                          </w:rPr>
                          <w:t xml:space="preserve">istanza di trattazione al presidente di sezione della corte di giustizia tributaria, </w:t>
                        </w:r>
                      </w:p>
                    </w:txbxContent>
                  </v:textbox>
                </v:rect>
                <v:rect id="Rectangle 16305" o:spid="_x0000_s2526" style="position:absolute;left:9312;top:55969;width:306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cIaxQAAAN4AAAAPAAAAZHJzL2Rvd25yZXYueG1sRE9LawIx&#10;EL4L/Q9hCt4020pFVrNSLNI99KK10OOwmX3YzSRsorv6640g9DYf33NW68G04kydbywreJkmIIgL&#10;qxuuFBy+t5MFCB+QNbaWScGFPKyzp9EKU2173tF5HyoRQ9inqKAOwaVS+qImg35qHXHkStsZDBF2&#10;ldQd9jHctPI1SebSYMOxoUZHm5qKv/3JKPj9YJdve1mU1437OuaL9vN0+FFq/Dy8L0EEGsK/+OHO&#10;dZw/nyVvcH8n3iCzGwAAAP//AwBQSwECLQAUAAYACAAAACEA2+H2y+4AAACFAQAAEwAAAAAAAAAA&#10;AAAAAAAAAAAAW0NvbnRlbnRfVHlwZXNdLnhtbFBLAQItABQABgAIAAAAIQBa9CxbvwAAABUBAAAL&#10;AAAAAAAAAAAAAAAAAB8BAABfcmVscy8ucmVsc1BLAQItABQABgAIAAAAIQCcicIaxQAAAN4AAAAP&#10;AAAAAAAAAAAAAAAAAAcCAABkcnMvZG93bnJldi54bWxQSwUGAAAAAAMAAwC3AAAA+QIAAAAA&#10;" filled="f" stroked="f">
                  <v:textbox inset="0,0,0,0">
                    <w:txbxContent>
                      <w:p w14:paraId="78421374" w14:textId="77777777" w:rsidR="00B32EF2" w:rsidRDefault="00000000">
                        <w:r>
                          <w:rPr>
                            <w:rFonts w:ascii="Arial" w:eastAsia="Arial" w:hAnsi="Arial" w:cs="Arial"/>
                            <w:sz w:val="18"/>
                          </w:rPr>
                          <w:t>quest’ultimo provvede a norma del comma 1.</w:t>
                        </w:r>
                      </w:p>
                    </w:txbxContent>
                  </v:textbox>
                </v:rect>
                <v:rect id="Rectangle 200468" o:spid="_x0000_s2527" style="position:absolute;left:26116;top:54661;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ITIxwAAAN8AAAAPAAAAZHJzL2Rvd25yZXYueG1sRI9Na8JA&#10;EIbvhf6HZQq91U1LEUldRSzSHLz4BR6H7JikZmeX7Gpif33nIHgc3nmfmWc6H1yrrtTFxrOB91EG&#10;irj0tuHKwH63epuAignZYuuZDNwownz2/DTF3PqeN3TdpkoJhGOOBuqUQq51LGtyGEc+EEt28p3D&#10;JGNXadthL3DX6o8sG2uHDcuFGgMtayrP24szcPzmUKx6XZ7+lmH9W0zan8v+YMzry7D4ApVoSI/l&#10;e7uwBoT4OZaHxUdcQM/+AQAA//8DAFBLAQItABQABgAIAAAAIQDb4fbL7gAAAIUBAAATAAAAAAAA&#10;AAAAAAAAAAAAAABbQ29udGVudF9UeXBlc10ueG1sUEsBAi0AFAAGAAgAAAAhAFr0LFu/AAAAFQEA&#10;AAsAAAAAAAAAAAAAAAAAHwEAAF9yZWxzLy5yZWxzUEsBAi0AFAAGAAgAAAAhAGdIhMjHAAAA3wAA&#10;AA8AAAAAAAAAAAAAAAAABwIAAGRycy9kb3ducmV2LnhtbFBLBQYAAAAAAwADALcAAAD7AgAAAAA=&#10;" filled="f" stroked="f">
                  <v:textbox inset="0,0,0,0">
                    <w:txbxContent>
                      <w:p w14:paraId="5616837B" w14:textId="77777777" w:rsidR="00B32EF2" w:rsidRDefault="00000000">
                        <w:r>
                          <w:rPr>
                            <w:rFonts w:ascii="Arial" w:eastAsia="Arial" w:hAnsi="Arial" w:cs="Arial"/>
                            <w:sz w:val="18"/>
                          </w:rPr>
                          <w:t>3</w:t>
                        </w:r>
                      </w:p>
                    </w:txbxContent>
                  </v:textbox>
                </v:rect>
                <v:rect id="Rectangle 200469" o:spid="_x0000_s2528" style="position:absolute;left:-13810;top:5466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FTxwAAAN8AAAAPAAAAZHJzL2Rvd25yZXYueG1sRI/NawIx&#10;FMTvhf4P4RW8abZFRFezUizSPfTiR6HHx+bth928hE10V//6RhB6HGbmN8xqPZhWXKjzjWUFr5ME&#10;BHFhdcOVguNhO56D8AFZY2uZFFzJwzp7flphqm3PO7rsQyUihH2KCuoQXCqlL2oy6CfWEUevtJ3B&#10;EGVXSd1hH+GmlW9JMpMGG44LNTra1FT87s9Gwc8Hu3zby6K8bdzXKZ+3n+fjt1Kjl+F9CSLQEP7D&#10;j3auFUTidLaA+5/4BWT2BwAA//8DAFBLAQItABQABgAIAAAAIQDb4fbL7gAAAIUBAAATAAAAAAAA&#10;AAAAAAAAAAAAAABbQ29udGVudF9UeXBlc10ueG1sUEsBAi0AFAAGAAgAAAAhAFr0LFu/AAAAFQEA&#10;AAsAAAAAAAAAAAAAAAAAHwEAAF9yZWxzLy5yZWxzUEsBAi0AFAAGAAgAAAAhAAgEIVPHAAAA3wAA&#10;AA8AAAAAAAAAAAAAAAAABwIAAGRycy9kb3ducmV2LnhtbFBLBQYAAAAAAwADALcAAAD7AgAAAAA=&#10;" filled="f" stroked="f">
                  <v:textbox inset="0,0,0,0">
                    <w:txbxContent>
                      <w:p w14:paraId="0D3E8D1B" w14:textId="77777777" w:rsidR="00B32EF2" w:rsidRDefault="00000000">
                        <w:r>
                          <w:rPr>
                            <w:rFonts w:ascii="Arial" w:eastAsia="Arial" w:hAnsi="Arial" w:cs="Arial"/>
                            <w:sz w:val="18"/>
                          </w:rPr>
                          <w:t xml:space="preserve">. La comunicazione di cui all’articolo 79, oltre che alle altre parti costituite nei </w:t>
                        </w:r>
                      </w:p>
                    </w:txbxContent>
                  </v:textbox>
                </v:rect>
                <v:rect id="Rectangle 16307" o:spid="_x0000_s2529" style="position:absolute;left:-13165;top:53354;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n2xQAAAN4AAAAPAAAAZHJzL2Rvd25yZXYueG1sRE9LawIx&#10;EL4L/Q9hCt402wpWVrNSLNI99OKj0OOwmX3YzSRsorv66xuh4G0+vues1oNpxYU631hW8DJNQBAX&#10;VjdcKTgetpMFCB+QNbaWScGVPKyzp9EKU2173tFlHyoRQ9inqKAOwaVS+qImg35qHXHkStsZDBF2&#10;ldQd9jHctPI1SebSYMOxoUZHm5qK3/3ZKPj5YJdve1mUt437OuWL9vN8/FZq/Dy8L0EEGsJD/O/O&#10;dZw/nyVvcH8n3iCzPwAAAP//AwBQSwECLQAUAAYACAAAACEA2+H2y+4AAACFAQAAEwAAAAAAAAAA&#10;AAAAAAAAAAAAW0NvbnRlbnRfVHlwZXNdLnhtbFBLAQItABQABgAIAAAAIQBa9CxbvwAAABUBAAAL&#10;AAAAAAAAAAAAAAAAAB8BAABfcmVscy8ucmVsc1BLAQItABQABgAIAAAAIQADF/n2xQAAAN4AAAAP&#10;AAAAAAAAAAAAAAAAAAcCAABkcnMvZG93bnJldi54bWxQSwUGAAAAAAMAAwC3AAAA+QIAAAAA&#10;" filled="f" stroked="f">
                  <v:textbox inset="0,0,0,0">
                    <w:txbxContent>
                      <w:p w14:paraId="34553357" w14:textId="77777777" w:rsidR="00B32EF2" w:rsidRDefault="00000000">
                        <w:r>
                          <w:rPr>
                            <w:rFonts w:ascii="Arial" w:eastAsia="Arial" w:hAnsi="Arial" w:cs="Arial"/>
                            <w:sz w:val="18"/>
                          </w:rPr>
                          <w:t xml:space="preserve">luoghi indicati dall’articolo 62, deve essere fatta alla parte colpita dall’evento o </w:t>
                        </w:r>
                      </w:p>
                    </w:txbxContent>
                  </v:textbox>
                </v:rect>
                <v:rect id="Rectangle 16308" o:spid="_x0000_s2530" style="position:absolute;left:-13165;top:5204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G2ExwAAAN4AAAAPAAAAZHJzL2Rvd25yZXYueG1sRI9Pa8JA&#10;EMXvhX6HZQq91U1bEEldRSzSHLz4DzwO2TFJzc4u2dXEfvrOQfA2w3vz3m+m88G16kpdbDwbeB9l&#10;oIhLbxuuDOx3q7cJqJiQLbaeycCNIsxnz09TzK3veUPXbaqUhHDM0UCdUsi1jmVNDuPIB2LRTr5z&#10;mGTtKm077CXctfojy8baYcPSUGOgZU3leXtxBo7fHIpVr8vT3zKsf4tJ+3PZH4x5fRkWX6ASDelh&#10;vl8XVvDHn5nwyjsyg579AwAA//8DAFBLAQItABQABgAIAAAAIQDb4fbL7gAAAIUBAAATAAAAAAAA&#10;AAAAAAAAAAAAAABbQ29udGVudF9UeXBlc10ueG1sUEsBAi0AFAAGAAgAAAAhAFr0LFu/AAAAFQEA&#10;AAsAAAAAAAAAAAAAAAAAHwEAAF9yZWxzLy5yZWxzUEsBAi0AFAAGAAgAAAAhAHKIbYTHAAAA3gAA&#10;AA8AAAAAAAAAAAAAAAAABwIAAGRycy9kb3ducmV2LnhtbFBLBQYAAAAAAwADALcAAAD7AgAAAAA=&#10;" filled="f" stroked="f">
                  <v:textbox inset="0,0,0,0">
                    <w:txbxContent>
                      <w:p w14:paraId="51B5B7C6" w14:textId="77777777" w:rsidR="00B32EF2" w:rsidRDefault="00000000">
                        <w:r>
                          <w:rPr>
                            <w:rFonts w:ascii="Arial" w:eastAsia="Arial" w:hAnsi="Arial" w:cs="Arial"/>
                            <w:sz w:val="18"/>
                          </w:rPr>
                          <w:t xml:space="preserve">ai suoi successori personalmente. Entro un anno dalla morte di una delle parti </w:t>
                        </w:r>
                      </w:p>
                    </w:txbxContent>
                  </v:textbox>
                </v:rect>
                <v:rect id="Rectangle 16309" o:spid="_x0000_s2531" style="position:absolute;left:-12179;top:50738;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MgfxQAAAN4AAAAPAAAAZHJzL2Rvd25yZXYueG1sRE9LawIx&#10;EL4X+h/CFLxpthVEV7NSLNI99OKj0OOwmX3YzSRsorv66xtB6G0+vues1oNpxYU631hW8DpJQBAX&#10;VjdcKTgetuM5CB+QNbaWScGVPKyz56cVptr2vKPLPlQihrBPUUEdgkul9EVNBv3EOuLIlbYzGCLs&#10;Kqk77GO4aeVbksykwYZjQ42ONjUVv/uzUfDzwS7f9rIobxv3dcrn7ef5+K3U6GV4X4IINIR/8cOd&#10;6zh/Nk0WcH8n3iCzPwAAAP//AwBQSwECLQAUAAYACAAAACEA2+H2y+4AAACFAQAAEwAAAAAAAAAA&#10;AAAAAAAAAAAAW0NvbnRlbnRfVHlwZXNdLnhtbFBLAQItABQABgAIAAAAIQBa9CxbvwAAABUBAAAL&#10;AAAAAAAAAAAAAAAAAB8BAABfcmVscy8ucmVsc1BLAQItABQABgAIAAAAIQAdxMgfxQAAAN4AAAAP&#10;AAAAAAAAAAAAAAAAAAcCAABkcnMvZG93bnJldi54bWxQSwUGAAAAAAMAAwC3AAAA+QIAAAAA&#10;" filled="f" stroked="f">
                  <v:textbox inset="0,0,0,0">
                    <w:txbxContent>
                      <w:p w14:paraId="20CC46A1" w14:textId="77777777" w:rsidR="00B32EF2" w:rsidRDefault="00000000">
                        <w:r>
                          <w:rPr>
                            <w:rFonts w:ascii="Arial" w:eastAsia="Arial" w:hAnsi="Arial" w:cs="Arial"/>
                            <w:sz w:val="18"/>
                          </w:rPr>
                          <w:t>la comunicazione può essere effettuata agli eredi collettivamente o imperso</w:t>
                        </w:r>
                      </w:p>
                    </w:txbxContent>
                  </v:textbox>
                </v:rect>
                <v:rect id="Rectangle 16310" o:spid="_x0000_s2532" style="position:absolute;left:199;top:5073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dfxwAAAN4AAAAPAAAAZHJzL2Rvd25yZXYueG1sRI9Pa8JA&#10;EMXvhX6HZYTe6sYWRFJXEYs0h178Bz0O2TGJZmeX7GrSfvrOQfA2w7x57/3my8G16kZdbDwbmIwz&#10;UMSltw1XBg77zesMVEzIFlvPZOCXIiwXz09zzK3veUu3XaqUmHDM0UCdUsi1jmVNDuPYB2K5nXzn&#10;MMnaVdp22Iu5a/Vblk21w4YlocZA65rKy+7qDPx8cig2vS5Pf+vwfS5m7df1cDTmZTSsPkAlGtJD&#10;fP8urNSfvk8EQHBkBr34BwAA//8DAFBLAQItABQABgAIAAAAIQDb4fbL7gAAAIUBAAATAAAAAAAA&#10;AAAAAAAAAAAAAABbQ29udGVudF9UeXBlc10ueG1sUEsBAi0AFAAGAAgAAAAhAFr0LFu/AAAAFQEA&#10;AAsAAAAAAAAAAAAAAAAAHwEAAF9yZWxzLy5yZWxzUEsBAi0AFAAGAAgAAAAhAAkn91/HAAAA3gAA&#10;AA8AAAAAAAAAAAAAAAAABwIAAGRycy9kb3ducmV2LnhtbFBLBQYAAAAAAwADALcAAAD7AgAAAAA=&#10;" filled="f" stroked="f">
                  <v:textbox inset="0,0,0,0">
                    <w:txbxContent>
                      <w:p w14:paraId="3D64DF52" w14:textId="77777777" w:rsidR="00B32EF2" w:rsidRDefault="00000000">
                        <w:r>
                          <w:rPr>
                            <w:rFonts w:ascii="Arial" w:eastAsia="Arial" w:hAnsi="Arial" w:cs="Arial"/>
                            <w:sz w:val="18"/>
                          </w:rPr>
                          <w:t>-</w:t>
                        </w:r>
                      </w:p>
                    </w:txbxContent>
                  </v:textbox>
                </v:rect>
                <v:rect id="Rectangle 16311" o:spid="_x0000_s2533" style="position:absolute;left:-13165;top:4943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1LExQAAAN4AAAAPAAAAZHJzL2Rvd25yZXYueG1sRE9La8JA&#10;EL4L/odlhN50EwsiqRsRRZpDL7Up9DhkJ4+anV2yq0n767uFQm/z8T1nt59ML+40+M6ygnSVgCCu&#10;rO64UVC+nZdbED4ga+wtk4Iv8rDP57MdZtqO/Er3S2hEDGGfoYI2BJdJ6auWDPqVdcSRq+1gMEQ4&#10;NFIPOMZw08t1kmykwY5jQ4uOji1V18vNKPg4sSvOo6zq76N7+Sy2/fOtfFfqYTEdnkAEmsK/+M9d&#10;6Dh/85im8PtOvEHmPwAAAP//AwBQSwECLQAUAAYACAAAACEA2+H2y+4AAACFAQAAEwAAAAAAAAAA&#10;AAAAAAAAAAAAW0NvbnRlbnRfVHlwZXNdLnhtbFBLAQItABQABgAIAAAAIQBa9CxbvwAAABUBAAAL&#10;AAAAAAAAAAAAAAAAAB8BAABfcmVscy8ucmVsc1BLAQItABQABgAIAAAAIQBma1LExQAAAN4AAAAP&#10;AAAAAAAAAAAAAAAAAAcCAABkcnMvZG93bnJldi54bWxQSwUGAAAAAAMAAwC3AAAA+QIAAAAA&#10;" filled="f" stroked="f">
                  <v:textbox inset="0,0,0,0">
                    <w:txbxContent>
                      <w:p w14:paraId="39C23D85" w14:textId="77777777" w:rsidR="00B32EF2" w:rsidRDefault="00000000">
                        <w:r>
                          <w:rPr>
                            <w:rFonts w:ascii="Arial" w:eastAsia="Arial" w:hAnsi="Arial" w:cs="Arial"/>
                            <w:sz w:val="18"/>
                          </w:rPr>
                          <w:t xml:space="preserve">nalmente nel domicilio eletto o, in mancanza, nella residenza dichiarata dal </w:t>
                        </w:r>
                      </w:p>
                    </w:txbxContent>
                  </v:textbox>
                </v:rect>
                <v:rect id="Rectangle 16312" o:spid="_x0000_s2534" style="position:absolute;left:-13164;top:4812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cyzxAAAAN4AAAAPAAAAZHJzL2Rvd25yZXYueG1sRE9Li8Iw&#10;EL4v+B/CCN7WVBdEqlFEke3By/oAj0MzttVmEppoq79+s7DgbT6+58yXnanFgxpfWVYwGiYgiHOr&#10;Ky4UHA/bzykIH5A11pZJwZM8LBe9jzmm2rb8Q499KEQMYZ+igjIEl0rp85IM+qF1xJG72MZgiLAp&#10;pG6wjeGmluMkmUiDFceGEh2tS8pv+7tRcN6wy7atzC+vtdtds2n9fT+elBr0u9UMRKAuvMX/7kzH&#10;+ZOv0Rj+3ok3yMUvAAAA//8DAFBLAQItABQABgAIAAAAIQDb4fbL7gAAAIUBAAATAAAAAAAAAAAA&#10;AAAAAAAAAABbQ29udGVudF9UeXBlc10ueG1sUEsBAi0AFAAGAAgAAAAhAFr0LFu/AAAAFQEAAAsA&#10;AAAAAAAAAAAAAAAAHwEAAF9yZWxzLy5yZWxzUEsBAi0AFAAGAAgAAAAhAJa5zLPEAAAA3gAAAA8A&#10;AAAAAAAAAAAAAAAABwIAAGRycy9kb3ducmV2LnhtbFBLBQYAAAAAAwADALcAAAD4AgAAAAA=&#10;" filled="f" stroked="f">
                  <v:textbox inset="0,0,0,0">
                    <w:txbxContent>
                      <w:p w14:paraId="139BA6B8" w14:textId="77777777" w:rsidR="00B32EF2" w:rsidRDefault="00000000">
                        <w:r>
                          <w:rPr>
                            <w:rFonts w:ascii="Arial" w:eastAsia="Arial" w:hAnsi="Arial" w:cs="Arial"/>
                            <w:sz w:val="18"/>
                          </w:rPr>
                          <w:t xml:space="preserve">defunto risultante dagli atti del processo. La parte colpita dall’evento o i suoi </w:t>
                        </w:r>
                      </w:p>
                    </w:txbxContent>
                  </v:textbox>
                </v:rect>
                <v:rect id="Rectangle 16313" o:spid="_x0000_s2535" style="position:absolute;left:-13167;top:46816;width:531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WkowwAAAN4AAAAPAAAAZHJzL2Rvd25yZXYueG1sRE9Li8Iw&#10;EL4v+B/CCHtbU1cQqUYRRbaHvfgCj0MzttVmEppou/vrjSB4m4/vObNFZ2pxp8ZXlhUMBwkI4tzq&#10;igsFh/3mawLCB2SNtWVS8EceFvPexwxTbVve0n0XChFD2KeooAzBpVL6vCSDfmAdceTOtjEYImwK&#10;qRtsY7ip5XeSjKXBimNDiY5WJeXX3c0oOK3ZZZtW5uf/lfu9ZJP653Y4KvXZ75ZTEIG68Ba/3JmO&#10;88ej4Qie78Qb5PwBAAD//wMAUEsBAi0AFAAGAAgAAAAhANvh9svuAAAAhQEAABMAAAAAAAAAAAAA&#10;AAAAAAAAAFtDb250ZW50X1R5cGVzXS54bWxQSwECLQAUAAYACAAAACEAWvQsW78AAAAVAQAACwAA&#10;AAAAAAAAAAAAAAAfAQAAX3JlbHMvLnJlbHNQSwECLQAUAAYACAAAACEA+fVpKMMAAADeAAAADwAA&#10;AAAAAAAAAAAAAAAHAgAAZHJzL2Rvd25yZXYueG1sUEsFBgAAAAADAAMAtwAAAPcCAAAAAA==&#10;" filled="f" stroked="f">
                  <v:textbox inset="0,0,0,0">
                    <w:txbxContent>
                      <w:p w14:paraId="1E99802B" w14:textId="77777777" w:rsidR="00B32EF2" w:rsidRDefault="00000000">
                        <w:r>
                          <w:rPr>
                            <w:rFonts w:ascii="Arial" w:eastAsia="Arial" w:hAnsi="Arial" w:cs="Arial"/>
                            <w:sz w:val="18"/>
                          </w:rPr>
                          <w:t xml:space="preserve">successori possono costituirsi anche solo presentando documenti o memorie </w:t>
                        </w:r>
                      </w:p>
                    </w:txbxContent>
                  </v:textbox>
                </v:rect>
                <v:rect id="Rectangle 16314" o:spid="_x0000_s2536" style="position:absolute;left:-12199;top:45508;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PFcxAAAAN4AAAAPAAAAZHJzL2Rvd25yZXYueG1sRE9Li8Iw&#10;EL4v7H8Is+BtTdVFpBplcRF72Isv8Dg0Y1ttJqGJtvrrzcKCt/n4njNbdKYWN2p8ZVnBoJ+AIM6t&#10;rrhQsN+tPicgfEDWWFsmBXfysJi/v80w1bblDd22oRAxhH2KCsoQXCqlz0sy6PvWEUfuZBuDIcKm&#10;kLrBNoabWg6TZCwNVhwbSnS0LCm/bK9GwfGHXbZqZX56LN3vOZvU6+v+oFTvo/ueggjUhZf4353p&#10;OH88GnzB3zvxBjl/AgAA//8DAFBLAQItABQABgAIAAAAIQDb4fbL7gAAAIUBAAATAAAAAAAAAAAA&#10;AAAAAAAAAABbQ29udGVudF9UeXBlc10ueG1sUEsBAi0AFAAGAAgAAAAhAFr0LFu/AAAAFQEAAAsA&#10;AAAAAAAAAAAAAAAAHwEAAF9yZWxzLy5yZWxzUEsBAi0AFAAGAAgAAAAhAHYc8VzEAAAA3gAAAA8A&#10;AAAAAAAAAAAAAAAABwIAAGRycy9kb3ducmV2LnhtbFBLBQYAAAAAAwADALcAAAD4AgAAAAA=&#10;" filled="f" stroked="f">
                  <v:textbox inset="0,0,0,0">
                    <w:txbxContent>
                      <w:p w14:paraId="227D0246" w14:textId="77777777" w:rsidR="00B32EF2" w:rsidRDefault="00000000">
                        <w:r>
                          <w:rPr>
                            <w:rFonts w:ascii="Arial" w:eastAsia="Arial" w:hAnsi="Arial" w:cs="Arial"/>
                            <w:sz w:val="18"/>
                          </w:rPr>
                          <w:t>o partecipando alla discussione assistiti, nei casi previsti, da difensore incari</w:t>
                        </w:r>
                      </w:p>
                    </w:txbxContent>
                  </v:textbox>
                </v:rect>
                <v:rect id="Rectangle 16315" o:spid="_x0000_s2537" style="position:absolute;left:199;top:4550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FTHxAAAAN4AAAAPAAAAZHJzL2Rvd25yZXYueG1sRE9Li8Iw&#10;EL4v7H8Is+BtTVVWpBplcRF72Isv8Dg0Y1ttJqGJtvrrzcKCt/n4njNbdKYWN2p8ZVnBoJ+AIM6t&#10;rrhQsN+tPicgfEDWWFsmBXfysJi/v80w1bblDd22oRAxhH2KCsoQXCqlz0sy6PvWEUfuZBuDIcKm&#10;kLrBNoabWg6TZCwNVhwbSnS0LCm/bK9GwfGHXbZqZX56LN3vOZvU6+v+oFTvo/ueggjUhZf4353p&#10;OH88GnzB3zvxBjl/AgAA//8DAFBLAQItABQABgAIAAAAIQDb4fbL7gAAAIUBAAATAAAAAAAAAAAA&#10;AAAAAAAAAABbQ29udGVudF9UeXBlc10ueG1sUEsBAi0AFAAGAAgAAAAhAFr0LFu/AAAAFQEAAAsA&#10;AAAAAAAAAAAAAAAAHwEAAF9yZWxzLy5yZWxzUEsBAi0AFAAGAAgAAAAhABlQVMfEAAAA3gAAAA8A&#10;AAAAAAAAAAAAAAAABwIAAGRycy9kb3ducmV2LnhtbFBLBQYAAAAAAwADALcAAAD4AgAAAAA=&#10;" filled="f" stroked="f">
                  <v:textbox inset="0,0,0,0">
                    <w:txbxContent>
                      <w:p w14:paraId="42C3D348" w14:textId="77777777" w:rsidR="00B32EF2" w:rsidRDefault="00000000">
                        <w:r>
                          <w:rPr>
                            <w:rFonts w:ascii="Arial" w:eastAsia="Arial" w:hAnsi="Arial" w:cs="Arial"/>
                            <w:sz w:val="18"/>
                          </w:rPr>
                          <w:t>-</w:t>
                        </w:r>
                      </w:p>
                    </w:txbxContent>
                  </v:textbox>
                </v:rect>
                <v:rect id="Rectangle 16316" o:spid="_x0000_s2538" style="position:absolute;left:21724;top:44200;width:182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sqwxAAAAN4AAAAPAAAAZHJzL2Rvd25yZXYueG1sRE9Li8Iw&#10;EL4L/ocwwt401YUiXaOIItvDXnws7HFoxrZrMwlNtN399UYQvM3H95zFqjeNuFHra8sKppMEBHFh&#10;dc2lgtNxN56D8AFZY2OZFPyRh9VyOFhgpm3He7odQiliCPsMFVQhuExKX1Rk0E+sI47c2bYGQ4Rt&#10;KXWLXQw3jZwlSSoN1hwbKnS0qai4HK5Gwc+WXb7rZHH+37iv33zefF5P30q9jfr1B4hAfXiJn+5c&#10;x/np+zSFxzvxBrm8AwAA//8DAFBLAQItABQABgAIAAAAIQDb4fbL7gAAAIUBAAATAAAAAAAAAAAA&#10;AAAAAAAAAABbQ29udGVudF9UeXBlc10ueG1sUEsBAi0AFAAGAAgAAAAhAFr0LFu/AAAAFQEAAAsA&#10;AAAAAAAAAAAAAAAAHwEAAF9yZWxzLy5yZWxzUEsBAi0AFAAGAAgAAAAhAOmCyrDEAAAA3gAAAA8A&#10;AAAAAAAAAAAAAAAABwIAAGRycy9kb3ducmV2LnhtbFBLBQYAAAAAAwADALcAAAD4AgAAAAA=&#10;" filled="f" stroked="f">
                  <v:textbox inset="0,0,0,0">
                    <w:txbxContent>
                      <w:p w14:paraId="5F2719F5" w14:textId="77777777" w:rsidR="00B32EF2" w:rsidRDefault="00000000">
                        <w:r>
                          <w:rPr>
                            <w:rFonts w:ascii="Arial" w:eastAsia="Arial" w:hAnsi="Arial" w:cs="Arial"/>
                            <w:sz w:val="18"/>
                          </w:rPr>
                          <w:t>cato nelle forme prescritte.</w:t>
                        </w:r>
                      </w:p>
                    </w:txbxContent>
                  </v:textbox>
                </v:rect>
                <v:rect id="Rectangle 16317" o:spid="_x0000_s2539" style="position:absolute;left:15082;top:41734;width:80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m8rxAAAAN4AAAAPAAAAZHJzL2Rvd25yZXYueG1sRE9Li8Iw&#10;EL4v7H8Is+BtTV1BpRplcZHtwcv6AI9DM7bVZhKaaKu/3iwI3ubje85s0ZlaXKnxlWUFg34Cgji3&#10;uuJCwW67+pyA8AFZY22ZFNzIw2L+/jbDVNuW/+i6CYWIIexTVFCG4FIpfV6SQd+3jjhyR9sYDBE2&#10;hdQNtjHc1PIrSUbSYMWxoURHy5Ly8+ZiFBx+2GWrVubH+9KtT9mk/r3s9kr1PrrvKYhAXXiJn+5M&#10;x/mj4WAM/+/EG+T8AQAA//8DAFBLAQItABQABgAIAAAAIQDb4fbL7gAAAIUBAAATAAAAAAAAAAAA&#10;AAAAAAAAAABbQ29udGVudF9UeXBlc10ueG1sUEsBAi0AFAAGAAgAAAAhAFr0LFu/AAAAFQEAAAsA&#10;AAAAAAAAAAAAAAAAHwEAAF9yZWxzLy5yZWxzUEsBAi0AFAAGAAgAAAAhAIbObyvEAAAA3gAAAA8A&#10;AAAAAAAAAAAAAAAABwIAAGRycy9kb3ducmV2LnhtbFBLBQYAAAAAAwADALcAAAD4AgAAAAA=&#10;" filled="f" stroked="f">
                  <v:textbox inset="0,0,0,0">
                    <w:txbxContent>
                      <w:p w14:paraId="11A4E1EB" w14:textId="77777777" w:rsidR="00B32EF2" w:rsidRDefault="00000000">
                        <w:r>
                          <w:rPr>
                            <w:rFonts w:ascii="Arial" w:eastAsia="Arial" w:hAnsi="Arial" w:cs="Arial"/>
                            <w:b/>
                            <w:sz w:val="18"/>
                          </w:rPr>
                          <w:t>Articolo 93</w:t>
                        </w:r>
                      </w:p>
                    </w:txbxContent>
                  </v:textbox>
                </v:rect>
                <v:rect id="Rectangle 200466" o:spid="_x0000_s2540" style="position:absolute;left:-2656;top:40501;width:1945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7UhxgAAAN8AAAAPAAAAZHJzL2Rvd25yZXYueG1sRI9Ba8JA&#10;FITvgv9heUJvuqmUIKmrFEWagxdthB4f2WeSNvt2ya4m9de7gtDjMDPfMMv1YFpxpc43lhW8zhIQ&#10;xKXVDVcKiq/ddAHCB2SNrWVS8Ece1qvxaImZtj0f6HoMlYgQ9hkqqENwmZS+rMmgn1lHHL2z7QyG&#10;KLtK6g77CDetnCdJKg02HBdqdLSpqfw9XoyC7y27fNfL8nzbuP1Pvmg/L8VJqZfJ8PEOItAQ/sPP&#10;dq4VROJbmsLjT/wCcnUHAAD//wMAUEsBAi0AFAAGAAgAAAAhANvh9svuAAAAhQEAABMAAAAAAAAA&#10;AAAAAAAAAAAAAFtDb250ZW50X1R5cGVzXS54bWxQSwECLQAUAAYACAAAACEAWvQsW78AAAAVAQAA&#10;CwAAAAAAAAAAAAAAAAAfAQAAX3JlbHMvLnJlbHNQSwECLQAUAAYACAAAACEAeZu1IcYAAADfAAAA&#10;DwAAAAAAAAAAAAAAAAAHAgAAZHJzL2Rvd25yZXYueG1sUEsFBgAAAAADAAMAtwAAAPoCAAAAAA==&#10;" filled="f" stroked="f">
                  <v:textbox inset="0,0,0,0">
                    <w:txbxContent>
                      <w:p w14:paraId="0F86579B" w14:textId="77777777" w:rsidR="00B32EF2" w:rsidRDefault="00000000">
                        <w:r>
                          <w:rPr>
                            <w:rFonts w:ascii="Arial" w:eastAsia="Arial" w:hAnsi="Arial" w:cs="Arial"/>
                            <w:i/>
                            <w:sz w:val="18"/>
                          </w:rPr>
                          <w:t>546/92)</w:t>
                        </w:r>
                      </w:p>
                    </w:txbxContent>
                  </v:textbox>
                </v:rect>
                <v:rect id="Rectangle 200465" o:spid="_x0000_s2541" style="position:absolute;left:22230;top:40501;width:1945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StWxwAAAN8AAAAPAAAAZHJzL2Rvd25yZXYueG1sRI9PawIx&#10;FMTvQr9DeAVvmm2xIqtZKRbpHnrRWujxsXn7x25ewia6q5/eCEKPw8z8hlmtB9OKM3W+sazgZZqA&#10;IC6sbrhScPjeThYgfEDW2FomBRfysM6eRitMte15R+d9qESEsE9RQR2CS6X0RU0G/dQ64uiVtjMY&#10;ouwqqTvsI9y08jVJ5tJgw3GhRkebmoq//cko+P1gl297WZTXjfs65ov283T4UWr8PLwvQQQawn/4&#10;0c61gkiczd/g/id+AZndAAAA//8DAFBLAQItABQABgAIAAAAIQDb4fbL7gAAAIUBAAATAAAAAAAA&#10;AAAAAAAAAAAAAABbQ29udGVudF9UeXBlc10ueG1sUEsBAi0AFAAGAAgAAAAhAFr0LFu/AAAAFQEA&#10;AAsAAAAAAAAAAAAAAAAAHwEAAF9yZWxzLy5yZWxzUEsBAi0AFAAGAAgAAAAhAIlJK1bHAAAA3wAA&#10;AA8AAAAAAAAAAAAAAAAABwIAAGRycy9kb3ducmV2LnhtbFBLBQYAAAAAAwADALcAAAD7AgAAAAA=&#10;" filled="f" stroked="f">
                  <v:textbox inset="0,0,0,0">
                    <w:txbxContent>
                      <w:p w14:paraId="152F4C47" w14:textId="77777777" w:rsidR="00B32EF2" w:rsidRDefault="00000000">
                        <w:r>
                          <w:rPr>
                            <w:rFonts w:ascii="Arial" w:eastAsia="Arial" w:hAnsi="Arial" w:cs="Arial"/>
                            <w:i/>
                            <w:sz w:val="18"/>
                          </w:rPr>
                          <w:t>(</w:t>
                        </w:r>
                      </w:p>
                    </w:txbxContent>
                  </v:textbox>
                </v:rect>
                <v:rect id="Rectangle 200467" o:spid="_x0000_s2542" style="position:absolute;left:11617;top:40501;width:1945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xC6xwAAAN8AAAAPAAAAZHJzL2Rvd25yZXYueG1sRI/NawIx&#10;FMTvQv+H8AreNNsiVlazUizSPfTiR6HHx+bth928hE10V//6Rih4HGbmN8xqPZhWXKjzjWUFL9ME&#10;BHFhdcOVguNhO1mA8AFZY2uZFFzJwzp7Gq0w1bbnHV32oRIRwj5FBXUILpXSFzUZ9FPriKNX2s5g&#10;iLKrpO6wj3DTytckmUuDDceFGh1taip+92ej4OeDXb7tZVHeNu7rlC/az/PxW6nx8/C+BBFoCI/w&#10;fzvXCiJxNn+D+5/4BWT2BwAA//8DAFBLAQItABQABgAIAAAAIQDb4fbL7gAAAIUBAAATAAAAAAAA&#10;AAAAAAAAAAAAAABbQ29udGVudF9UeXBlc10ueG1sUEsBAi0AFAAGAAgAAAAhAFr0LFu/AAAAFQEA&#10;AAsAAAAAAAAAAAAAAAAAHwEAAF9yZWxzLy5yZWxzUEsBAi0AFAAGAAgAAAAhABbXELrHAAAA3wAA&#10;AA8AAAAAAAAAAAAAAAAABwIAAGRycy9kb3ducmV2LnhtbFBLBQYAAAAAAwADALcAAAD7AgAAAAA=&#10;" filled="f" stroked="f">
                  <v:textbox inset="0,0,0,0">
                    <w:txbxContent>
                      <w:p w14:paraId="2E9D02FE" w14:textId="77777777" w:rsidR="00B32EF2" w:rsidRDefault="00000000">
                        <w:r>
                          <w:rPr>
                            <w:rFonts w:ascii="Arial" w:eastAsia="Arial" w:hAnsi="Arial" w:cs="Arial"/>
                            <w:i/>
                            <w:sz w:val="18"/>
                          </w:rPr>
                          <w:t xml:space="preserve">articolo 44 D.lgs. n. </w:t>
                        </w:r>
                      </w:p>
                    </w:txbxContent>
                  </v:textbox>
                </v:rect>
                <v:rect id="Rectangle 16319" o:spid="_x0000_s2543" style="position:absolute;left:-1829;top:39267;width:349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V7CxAAAAN4AAAAPAAAAZHJzL2Rvd25yZXYueG1sRE9Li8Iw&#10;EL4L+x/CLHhbU1cQrUZZXGR78LI+wOPQjG21mYQm2uqvNwsL3ubje8582Zla3KjxlWUFw0ECgji3&#10;uuJCwX63/piA8AFZY22ZFNzJw3Lx1ptjqm3Lv3TbhkLEEPYpKihDcKmUPi/JoB9YRxy5k20Mhgib&#10;QuoG2xhuavmZJGNpsOLYUKKjVUn5ZXs1Co7f7LJ1K/PTY+U252xS/1z3B6X6793XDESgLrzE/+5M&#10;x/nj0XAKf+/EG+TiCQAA//8DAFBLAQItABQABgAIAAAAIQDb4fbL7gAAAIUBAAATAAAAAAAAAAAA&#10;AAAAAAAAAABbQ29udGVudF9UeXBlc10ueG1sUEsBAi0AFAAGAAgAAAAhAFr0LFu/AAAAFQEAAAsA&#10;AAAAAAAAAAAAAAAAHwEAAF9yZWxzLy5yZWxzUEsBAi0AFAAGAAgAAAAhAJgdXsLEAAAA3gAAAA8A&#10;AAAAAAAAAAAAAAAABwIAAGRycy9kb3ducmV2LnhtbFBLBQYAAAAAAwADALcAAAD4AgAAAAA=&#10;" filled="f" stroked="f">
                  <v:textbox inset="0,0,0,0">
                    <w:txbxContent>
                      <w:p w14:paraId="0C044A1C" w14:textId="77777777" w:rsidR="00B32EF2" w:rsidRDefault="00000000">
                        <w:r>
                          <w:rPr>
                            <w:rFonts w:ascii="Arial" w:eastAsia="Arial" w:hAnsi="Arial" w:cs="Arial"/>
                            <w:b/>
                            <w:sz w:val="18"/>
                          </w:rPr>
                          <w:t xml:space="preserve">Estinzione del processo per rinuncia al ricorso </w:t>
                        </w:r>
                      </w:p>
                    </w:txbxContent>
                  </v:textbox>
                </v:rect>
                <v:rect id="Rectangle 200463" o:spid="_x0000_s2544" style="position:absolute;left:31223;top:38034;width:325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Ba5xwAAAN8AAAAPAAAAZHJzL2Rvd25yZXYueG1sRI9PawIx&#10;FMTvQr9DeAVvmm0tIqtZKRbpHnrRWujxsXn7x25ewia6q5/eCEKPw8z8hlmtB9OKM3W+sazgZZqA&#10;IC6sbrhScPjeThYgfEDW2FomBRfysM6eRitMte15R+d9qESEsE9RQR2CS6X0RU0G/dQ64uiVtjMY&#10;ouwqqTvsI9y08jVJ5tJgw3GhRkebmoq//cko+P1gl297WZTXjfs65ov283T4UWr8PLwvQQQawn/4&#10;0c61gkh8m8/g/id+AZndAAAA//8DAFBLAQItABQABgAIAAAAIQDb4fbL7gAAAIUBAAATAAAAAAAA&#10;AAAAAAAAAAAAAABbQ29udGVudF9UeXBlc10ueG1sUEsBAi0AFAAGAAgAAAAhAFr0LFu/AAAAFQEA&#10;AAsAAAAAAAAAAAAAAAAAHwEAAF9yZWxzLy5yZWxzUEsBAi0AFAAGAAgAAAAhAGnsFrnHAAAA3wAA&#10;AA8AAAAAAAAAAAAAAAAABwIAAGRycy9kb3ducmV2LnhtbFBLBQYAAAAAAwADALcAAAD7AgAAAAA=&#10;" filled="f" stroked="f">
                  <v:textbox inset="0,0,0,0">
                    <w:txbxContent>
                      <w:p w14:paraId="41894583" w14:textId="77777777" w:rsidR="00B32EF2" w:rsidRDefault="00000000">
                        <w:r>
                          <w:rPr>
                            <w:rFonts w:ascii="Arial" w:eastAsia="Arial" w:hAnsi="Arial" w:cs="Arial"/>
                            <w:sz w:val="18"/>
                          </w:rPr>
                          <w:t>1</w:t>
                        </w:r>
                      </w:p>
                    </w:txbxContent>
                  </v:textbox>
                </v:rect>
                <v:rect id="Rectangle 200464" o:spid="_x0000_s2545" style="position:absolute;left:6825;top:38034;width:325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Y7NxwAAAN8AAAAPAAAAZHJzL2Rvd25yZXYueG1sRI9Ba8JA&#10;FITvBf/D8gRvdWORIKmrlEhoDr1ULfT4yD6TtNm3S3ZNYn99t1DwOMzMN8x2P5lODNT71rKC1TIB&#10;QVxZ3XKt4HwqHjcgfEDW2FkmBTfysN/NHraYaTvyOw3HUIsIYZ+hgiYEl0npq4YM+qV1xNG72N5g&#10;iLKvpe5xjHDTyackSaXBluNCg47yhqrv49Uo+DywK4tRVpef3L19lZvu9Xr+UGoxn16eQQSawj38&#10;3y61gkhcp2v4+xO/gNz9AgAA//8DAFBLAQItABQABgAIAAAAIQDb4fbL7gAAAIUBAAATAAAAAAAA&#10;AAAAAAAAAAAAAABbQ29udGVudF9UeXBlc10ueG1sUEsBAi0AFAAGAAgAAAAhAFr0LFu/AAAAFQEA&#10;AAsAAAAAAAAAAAAAAAAAHwEAAF9yZWxzLy5yZWxzUEsBAi0AFAAGAAgAAAAhAOYFjs3HAAAA3wAA&#10;AA8AAAAAAAAAAAAAAAAABwIAAGRycy9kb3ducmV2LnhtbFBLBQYAAAAAAwADALcAAAD7AgAAAAA=&#10;" filled="f" stroked="f">
                  <v:textbox inset="0,0,0,0">
                    <w:txbxContent>
                      <w:p w14:paraId="10572477" w14:textId="77777777" w:rsidR="00B32EF2" w:rsidRDefault="00000000">
                        <w:r>
                          <w:rPr>
                            <w:rFonts w:ascii="Arial" w:eastAsia="Arial" w:hAnsi="Arial" w:cs="Arial"/>
                            <w:sz w:val="18"/>
                          </w:rPr>
                          <w:t>. Il processo si estingue per rinuncia al ricorso.</w:t>
                        </w:r>
                      </w:p>
                    </w:txbxContent>
                  </v:textbox>
                </v:rect>
                <v:rect id="Rectangle 200461" o:spid="_x0000_s2546" style="position:absolute;left:26356;top:36801;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i1VxwAAAN8AAAAPAAAAZHJzL2Rvd25yZXYueG1sRI9Ba8JA&#10;FITvhf6H5RV6qxtLCSF1FbFIc/BiaqHHR/aZpGbfLtk1Sf31riD0OMzMN8xiNZlODNT71rKC+SwB&#10;QVxZ3XKt4PC1fclA+ICssbNMCv7Iw2r5+LDAXNuR9zSUoRYRwj5HBU0ILpfSVw0Z9DPriKN3tL3B&#10;EGVfS93jGOGmk69JkkqDLceFBh1tGqpO5dko+PlgV2xHWR0vG7f7LbLu83z4Vur5aVq/gwg0hf/w&#10;vV1oBZH4ls7h9id+Abm8AgAA//8DAFBLAQItABQABgAIAAAAIQDb4fbL7gAAAIUBAAATAAAAAAAA&#10;AAAAAAAAAAAAAABbQ29udGVudF9UeXBlc10ueG1sUEsBAi0AFAAGAAgAAAAhAFr0LFu/AAAAFQEA&#10;AAsAAAAAAAAAAAAAAAAAHwEAAF9yZWxzLy5yZWxzUEsBAi0AFAAGAAgAAAAhAPZyLVXHAAAA3wAA&#10;AA8AAAAAAAAAAAAAAAAABwIAAGRycy9kb3ducmV2LnhtbFBLBQYAAAAAAwADALcAAAD7AgAAAAA=&#10;" filled="f" stroked="f">
                  <v:textbox inset="0,0,0,0">
                    <w:txbxContent>
                      <w:p w14:paraId="01A871DD" w14:textId="77777777" w:rsidR="00B32EF2" w:rsidRDefault="00000000">
                        <w:r>
                          <w:rPr>
                            <w:rFonts w:ascii="Arial" w:eastAsia="Arial" w:hAnsi="Arial" w:cs="Arial"/>
                            <w:sz w:val="18"/>
                          </w:rPr>
                          <w:t>2</w:t>
                        </w:r>
                      </w:p>
                    </w:txbxContent>
                  </v:textbox>
                </v:rect>
                <v:rect id="Rectangle 200462" o:spid="_x0000_s2547" style="position:absolute;left:-12843;top:36801;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LMixwAAAN8AAAAPAAAAZHJzL2Rvd25yZXYueG1sRI9Ba8JA&#10;FITvQv/D8gq96aZBgkRXkRQxh15qLfT4yD6TaPbtkl2TtL++Wyj0OMzMN8xmN5lODNT71rKC50UC&#10;griyuuVawfn9MF+B8AFZY2eZFHyRh932YbbBXNuR32g4hVpECPscFTQhuFxKXzVk0C+sI47exfYG&#10;Q5R9LXWPY4SbTqZJkkmDLceFBh0VDVW3090o+HxhVx5GWV2+C/d6LVfd8X7+UOrpcdqvQQSawn/4&#10;r11qBZG4zFL4/RO/gNz+AAAA//8DAFBLAQItABQABgAIAAAAIQDb4fbL7gAAAIUBAAATAAAAAAAA&#10;AAAAAAAAAAAAAABbQ29udGVudF9UeXBlc10ueG1sUEsBAi0AFAAGAAgAAAAhAFr0LFu/AAAAFQEA&#10;AAsAAAAAAAAAAAAAAAAAHwEAAF9yZWxzLy5yZWxzUEsBAi0AFAAGAAgAAAAhAAagsyLHAAAA3wAA&#10;AA8AAAAAAAAAAAAAAAAABwIAAGRycy9kb3ducmV2LnhtbFBLBQYAAAAAAwADALcAAAD7AgAAAAA=&#10;" filled="f" stroked="f">
                  <v:textbox inset="0,0,0,0">
                    <w:txbxContent>
                      <w:p w14:paraId="3F49331A" w14:textId="77777777" w:rsidR="00B32EF2" w:rsidRDefault="00000000">
                        <w:r>
                          <w:rPr>
                            <w:rFonts w:ascii="Arial" w:eastAsia="Arial" w:hAnsi="Arial" w:cs="Arial"/>
                            <w:sz w:val="18"/>
                          </w:rPr>
                          <w:t>. Il ricorrente che rinuncia deve rimborsare le spese alle altre parti salvo di</w:t>
                        </w:r>
                      </w:p>
                    </w:txbxContent>
                  </v:textbox>
                </v:rect>
                <v:rect id="Rectangle 16322" o:spid="_x0000_s2548" style="position:absolute;left:199;top:3680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QYOxAAAAN4AAAAPAAAAZHJzL2Rvd25yZXYueG1sRE9Na8JA&#10;EL0L/odlCt500wgiqauIIubQS20Ej0N2TFKzs0t2NbG/vlso9DaP9zmrzWBa8aDON5YVvM4SEMSl&#10;1Q1XCorPw3QJwgdkja1lUvAkD5v1eLTCTNueP+hxCpWIIewzVFCH4DIpfVmTQT+zjjhyV9sZDBF2&#10;ldQd9jHctDJNkoU02HBsqNHRrqbydrobBZc9u/zQy/L6vXPvX/myPd6Ls1KTl2H7BiLQEP7Ff+5c&#10;x/mLeZrC7zvxBrn+AQAA//8DAFBLAQItABQABgAIAAAAIQDb4fbL7gAAAIUBAAATAAAAAAAAAAAA&#10;AAAAAAAAAABbQ29udGVudF9UeXBlc10ueG1sUEsBAi0AFAAGAAgAAAAhAFr0LFu/AAAAFQEAAAsA&#10;AAAAAAAAAAAAAAAAHwEAAF9yZWxzLy5yZWxzUEsBAi0AFAAGAAgAAAAhAFjVBg7EAAAA3gAAAA8A&#10;AAAAAAAAAAAAAAAABwIAAGRycy9kb3ducmV2LnhtbFBLBQYAAAAAAwADALcAAAD4AgAAAAA=&#10;" filled="f" stroked="f">
                  <v:textbox inset="0,0,0,0">
                    <w:txbxContent>
                      <w:p w14:paraId="31687591" w14:textId="77777777" w:rsidR="00B32EF2" w:rsidRDefault="00000000">
                        <w:r>
                          <w:rPr>
                            <w:rFonts w:ascii="Arial" w:eastAsia="Arial" w:hAnsi="Arial" w:cs="Arial"/>
                            <w:sz w:val="18"/>
                          </w:rPr>
                          <w:t>-</w:t>
                        </w:r>
                      </w:p>
                    </w:txbxContent>
                  </v:textbox>
                </v:rect>
                <v:rect id="Rectangle 16323" o:spid="_x0000_s2549" style="position:absolute;left:-13164;top:355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aOVxAAAAN4AAAAPAAAAZHJzL2Rvd25yZXYueG1sRE9Li8Iw&#10;EL4v+B/CCN7WVAWRahRRxB72sj7A49CMbbWZhCbaur9+s7DgbT6+5yxWnanFkxpfWVYwGiYgiHOr&#10;Ky4UnI67zxkIH5A11pZJwYs8rJa9jwWm2rb8Tc9DKEQMYZ+igjIEl0rp85IM+qF1xJG72sZgiLAp&#10;pG6wjeGmluMkmUqDFceGEh1tSsrvh4dRcNmyy3atzK8/G/d1y2b1/nE6KzXod+s5iEBdeIv/3ZmO&#10;86eT8QT+3ok3yOUvAAAA//8DAFBLAQItABQABgAIAAAAIQDb4fbL7gAAAIUBAAATAAAAAAAAAAAA&#10;AAAAAAAAAABbQ29udGVudF9UeXBlc10ueG1sUEsBAi0AFAAGAAgAAAAhAFr0LFu/AAAAFQEAAAsA&#10;AAAAAAAAAAAAAAAAHwEAAF9yZWxzLy5yZWxzUEsBAi0AFAAGAAgAAAAhADeZo5XEAAAA3gAAAA8A&#10;AAAAAAAAAAAAAAAABwIAAGRycy9kb3ducmV2LnhtbFBLBQYAAAAAAwADALcAAAD4AgAAAAA=&#10;" filled="f" stroked="f">
                  <v:textbox inset="0,0,0,0">
                    <w:txbxContent>
                      <w:p w14:paraId="4D40F84C" w14:textId="77777777" w:rsidR="00B32EF2" w:rsidRDefault="00000000">
                        <w:r>
                          <w:rPr>
                            <w:rFonts w:ascii="Arial" w:eastAsia="Arial" w:hAnsi="Arial" w:cs="Arial"/>
                            <w:sz w:val="18"/>
                          </w:rPr>
                          <w:t xml:space="preserve">verso accordo fra loro. La liquidazione è fatta dal presidente della sezione o </w:t>
                        </w:r>
                      </w:p>
                    </w:txbxContent>
                  </v:textbox>
                </v:rect>
                <v:rect id="Rectangle 16324" o:spid="_x0000_s2550" style="position:absolute;left:-3516;top:34334;width:434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DvhxAAAAN4AAAAPAAAAZHJzL2Rvd25yZXYueG1sRE9Ni8Iw&#10;EL0L/ocwgjdN1UWkaxRRxB72sq4Lexyasa02k9BEW/31m4UFb/N4n7Ncd6YWd2p8ZVnBZJyAIM6t&#10;rrhQcPrajxYgfEDWWFsmBQ/ysF71e0tMtW35k+7HUIgYwj5FBWUILpXS5yUZ9GPriCN3to3BEGFT&#10;SN1gG8NNLadJMpcGK44NJTralpRfjzej4GfHLtu3Mj8/t+7jki3qw+30rdRw0G3eQQTqwkv87850&#10;nD+fTd/g7514g1z9AgAA//8DAFBLAQItABQABgAIAAAAIQDb4fbL7gAAAIUBAAATAAAAAAAAAAAA&#10;AAAAAAAAAABbQ29udGVudF9UeXBlc10ueG1sUEsBAi0AFAAGAAgAAAAhAFr0LFu/AAAAFQEAAAsA&#10;AAAAAAAAAAAAAAAAHwEAAF9yZWxzLy5yZWxzUEsBAi0AFAAGAAgAAAAhALhwO+HEAAAA3gAAAA8A&#10;AAAAAAAAAAAAAAAABwIAAGRycy9kb3ducmV2LnhtbFBLBQYAAAAAAwADALcAAAD4AgAAAAA=&#10;" filled="f" stroked="f">
                  <v:textbox inset="0,0,0,0">
                    <w:txbxContent>
                      <w:p w14:paraId="33656AD4" w14:textId="77777777" w:rsidR="00B32EF2" w:rsidRDefault="00000000">
                        <w:r>
                          <w:rPr>
                            <w:rFonts w:ascii="Arial" w:eastAsia="Arial" w:hAnsi="Arial" w:cs="Arial"/>
                            <w:sz w:val="18"/>
                          </w:rPr>
                          <w:t>dalla corte di giustizia tributaria con ordinanza non impugnabile.</w:t>
                        </w:r>
                      </w:p>
                    </w:txbxContent>
                  </v:textbox>
                </v:rect>
                <v:rect id="Rectangle 200460" o:spid="_x0000_s2551" style="position:absolute;left:-13807;top:3310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jOxwAAAN8AAAAPAAAAZHJzL2Rvd25yZXYueG1sRI9Na8JA&#10;EIbvhf6HZQq91U1LEUldRSzSHLz4BR6H7JikZmeX7Gpif33nIHgc3nmfl2c6H1yrrtTFxrOB91EG&#10;irj0tuHKwH63epuAignZYuuZDNwownz2/DTF3PqeN3TdpkoJhGOOBuqUQq51LGtyGEc+EEt28p3D&#10;JGdXadthL3DX6o8sG2uHDctCjYGWNZXn7cUZOH5zKFa9Lk9/y7D+LSbtz2V/MOb1ZVh8gUo0pMfz&#10;vV1YA0L8HIuB+IgL6Nk/AAAA//8DAFBLAQItABQABgAIAAAAIQDb4fbL7gAAAIUBAAATAAAAAAAA&#10;AAAAAAAAAAAAAABbQ29udGVudF9UeXBlc10ueG1sUEsBAi0AFAAGAAgAAAAhAFr0LFu/AAAAFQEA&#10;AAsAAAAAAAAAAAAAAAAAHwEAAF9yZWxzLy5yZWxzUEsBAi0AFAAGAAgAAAAhAJk+iM7HAAAA3wAA&#10;AA8AAAAAAAAAAAAAAAAABwIAAGRycy9kb3ducmV2LnhtbFBLBQYAAAAAAwADALcAAAD7AgAAAAA=&#10;" filled="f" stroked="f">
                  <v:textbox inset="0,0,0,0">
                    <w:txbxContent>
                      <w:p w14:paraId="699C8485" w14:textId="77777777" w:rsidR="00B32EF2" w:rsidRDefault="00000000">
                        <w:r>
                          <w:rPr>
                            <w:rFonts w:ascii="Arial" w:eastAsia="Arial" w:hAnsi="Arial" w:cs="Arial"/>
                            <w:sz w:val="18"/>
                          </w:rPr>
                          <w:t xml:space="preserve">. La rinuncia non produce effetto se non è accettata dalle parti costituite che </w:t>
                        </w:r>
                      </w:p>
                    </w:txbxContent>
                  </v:textbox>
                </v:rect>
                <v:rect id="Rectangle 200459" o:spid="_x0000_s2552" style="position:absolute;left:26116;top:33101;width:530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OvuxwAAAN8AAAAPAAAAZHJzL2Rvd25yZXYueG1sRI9Ba8JA&#10;FITvgv9heYI33Vhs0egqYpHm0ItWweMj+0yi2bdLdjVpf31XKPQ4zMw3zHLdmVo8qPGVZQWTcQKC&#10;OLe64kLB8Ws3moHwAVljbZkUfJOH9arfW2Kqbct7ehxCISKEfYoKyhBcKqXPSzLox9YRR+9iG4Mh&#10;yqaQusE2wk0tX5LkTRqsOC6U6GhbUn473I2C8zu7bNfK/PKzdZ/XbFZ/3I8npYaDbrMAEagL/+G/&#10;dqYVROL0dQ7PP/ELyNUvAAAA//8DAFBLAQItABQABgAIAAAAIQDb4fbL7gAAAIUBAAATAAAAAAAA&#10;AAAAAAAAAAAAAABbQ29udGVudF9UeXBlc10ueG1sUEsBAi0AFAAGAAgAAAAhAFr0LFu/AAAAFQEA&#10;AAsAAAAAAAAAAAAAAAAAHwEAAF9yZWxzLy5yZWxzUEsBAi0AFAAGAAgAAAAhAMZo6+7HAAAA3wAA&#10;AA8AAAAAAAAAAAAAAAAABwIAAGRycy9kb3ducmV2LnhtbFBLBQYAAAAAAwADALcAAAD7AgAAAAA=&#10;" filled="f" stroked="f">
                  <v:textbox inset="0,0,0,0">
                    <w:txbxContent>
                      <w:p w14:paraId="4F1ED5D9" w14:textId="77777777" w:rsidR="00B32EF2" w:rsidRDefault="00000000">
                        <w:r>
                          <w:rPr>
                            <w:rFonts w:ascii="Arial" w:eastAsia="Arial" w:hAnsi="Arial" w:cs="Arial"/>
                            <w:sz w:val="18"/>
                          </w:rPr>
                          <w:t>3</w:t>
                        </w:r>
                      </w:p>
                    </w:txbxContent>
                  </v:textbox>
                </v:rect>
                <v:rect id="Rectangle 16326" o:spid="_x0000_s2553" style="position:absolute;left:-501;top:31867;width:404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gANxAAAAN4AAAAPAAAAZHJzL2Rvd25yZXYueG1sRE9Na8JA&#10;EL0X/A/LFLzVTS0ESV1FFGkOXqoRPA7ZMUnNzi7Z1UR/fbdQ8DaP9znz5WBacaPON5YVvE8SEMSl&#10;1Q1XCorD9m0Gwgdkja1lUnAnD8vF6GWOmbY9f9NtHyoRQ9hnqKAOwWVS+rImg35iHXHkzrYzGCLs&#10;Kqk77GO4aeU0SVJpsOHYUKOjdU3lZX81Ck4bdvm2l+X5sXa7n3zWfl2Lo1Lj12H1CSLQEJ7if3eu&#10;4/z0Y5rC3zvxBrn4BQAA//8DAFBLAQItABQABgAIAAAAIQDb4fbL7gAAAIUBAAATAAAAAAAAAAAA&#10;AAAAAAAAAABbQ29udGVudF9UeXBlc10ueG1sUEsBAi0AFAAGAAgAAAAhAFr0LFu/AAAAFQEAAAsA&#10;AAAAAAAAAAAAAAAAHwEAAF9yZWxzLy5yZWxzUEsBAi0AFAAGAAgAAAAhACfuAA3EAAAA3gAAAA8A&#10;AAAAAAAAAAAAAAAABwIAAGRycy9kb3ducmV2LnhtbFBLBQYAAAAAAwADALcAAAD4AgAAAAA=&#10;" filled="f" stroked="f">
                  <v:textbox inset="0,0,0,0">
                    <w:txbxContent>
                      <w:p w14:paraId="073696B1" w14:textId="77777777" w:rsidR="00B32EF2" w:rsidRDefault="00000000">
                        <w:r>
                          <w:rPr>
                            <w:rFonts w:ascii="Arial" w:eastAsia="Arial" w:hAnsi="Arial" w:cs="Arial"/>
                            <w:sz w:val="18"/>
                          </w:rPr>
                          <w:t xml:space="preserve">abbiano effettivo interesse alla prosecuzione del processo. </w:t>
                        </w:r>
                      </w:p>
                    </w:txbxContent>
                  </v:textbox>
                </v:rect>
                <v:rect id="Rectangle 200456" o:spid="_x0000_s2554" style="position:absolute;left:26117;top:306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3+cxwAAAN8AAAAPAAAAZHJzL2Rvd25yZXYueG1sRI9PawIx&#10;FMTvQr9DeAVvmm2xIqtZKRbpHnrRWujxsXn7x25ewia6q5/eCEKPw8z8hlmtB9OKM3W+sazgZZqA&#10;IC6sbrhScPjeThYgfEDW2FomBRfysM6eRitMte15R+d9qESEsE9RQR2CS6X0RU0G/dQ64uiVtjMY&#10;ouwqqTvsI9y08jVJ5tJgw3GhRkebmoq//cko+P1gl297WZTXjfs65ov283T4UWr8PLwvQQQawn/4&#10;0c61gkicvc3h/id+AZndAAAA//8DAFBLAQItABQABgAIAAAAIQDb4fbL7gAAAIUBAAATAAAAAAAA&#10;AAAAAAAAAAAAAABbQ29udGVudF9UeXBlc10ueG1sUEsBAi0AFAAGAAgAAAAhAFr0LFu/AAAAFQEA&#10;AAsAAAAAAAAAAAAAAAAAHwEAAF9yZWxzLy5yZWxzUEsBAi0AFAAGAAgAAAAhALf3f5zHAAAA3wAA&#10;AA8AAAAAAAAAAAAAAAAABwIAAGRycy9kb3ducmV2LnhtbFBLBQYAAAAAAwADALcAAAD7AgAAAAA=&#10;" filled="f" stroked="f">
                  <v:textbox inset="0,0,0,0">
                    <w:txbxContent>
                      <w:p w14:paraId="29B9B324" w14:textId="77777777" w:rsidR="00B32EF2" w:rsidRDefault="00000000">
                        <w:r>
                          <w:rPr>
                            <w:rFonts w:ascii="Arial" w:eastAsia="Arial" w:hAnsi="Arial" w:cs="Arial"/>
                            <w:sz w:val="18"/>
                          </w:rPr>
                          <w:t>4</w:t>
                        </w:r>
                      </w:p>
                    </w:txbxContent>
                  </v:textbox>
                </v:rect>
                <v:rect id="Rectangle 200457" o:spid="_x0000_s2555" style="position:absolute;left:-13796;top:306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9oHxwAAAN8AAAAPAAAAZHJzL2Rvd25yZXYueG1sRI9PawIx&#10;FMTvBb9DeIK3btZiVbZGEYu4h15qFXp8bN7+aTcvYRPdtZ++KQg9DjPzG2a1GUwrrtT5xrKCaZKC&#10;IC6sbrhScPrYPy5B+ICssbVMCm7kYbMePaww07bnd7oeQyUihH2GCuoQXCalL2oy6BPriKNX2s5g&#10;iLKrpO6wj3DTyqc0nUuDDceFGh3taiq+jxej4POVXb7vZVH+7NzbV75sD5fTWanJeNi+gAg0hP/w&#10;vZ1rBZE4e17A35/4BeT6FwAA//8DAFBLAQItABQABgAIAAAAIQDb4fbL7gAAAIUBAAATAAAAAAAA&#10;AAAAAAAAAAAAAABbQ29udGVudF9UeXBlc10ueG1sUEsBAi0AFAAGAAgAAAAhAFr0LFu/AAAAFQEA&#10;AAsAAAAAAAAAAAAAAAAAHwEAAF9yZWxzLy5yZWxzUEsBAi0AFAAGAAgAAAAhANi72gfHAAAA3wAA&#10;AA8AAAAAAAAAAAAAAAAABwIAAGRycy9kb3ducmV2LnhtbFBLBQYAAAAAAwADALcAAAD7AgAAAAA=&#10;" filled="f" stroked="f">
                  <v:textbox inset="0,0,0,0">
                    <w:txbxContent>
                      <w:p w14:paraId="0D836ADC" w14:textId="77777777" w:rsidR="00B32EF2" w:rsidRDefault="00000000">
                        <w:r>
                          <w:rPr>
                            <w:rFonts w:ascii="Arial" w:eastAsia="Arial" w:hAnsi="Arial" w:cs="Arial"/>
                            <w:sz w:val="18"/>
                          </w:rPr>
                          <w:t xml:space="preserve">. La rinuncia e l’accettazione, ove necessaria, sono sottoscritte dalle parti </w:t>
                        </w:r>
                      </w:p>
                    </w:txbxContent>
                  </v:textbox>
                </v:rect>
                <v:rect id="Rectangle 16328" o:spid="_x0000_s2556" style="position:absolute;left:-13167;top:29401;width:531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THkxwAAAN4AAAAPAAAAZHJzL2Rvd25yZXYueG1sRI9Ba8JA&#10;EIXvQv/DMoXedFMLIqmrFIs0h16qEXocsmOSNju7ZFeT+uudQ8HbDO/Ne9+sNqPr1IX62Ho28DzL&#10;QBFX3rZcGygPu+kSVEzIFjvPZOCPImzWD5MV5tYP/EWXfaqVhHDM0UCTUsi1jlVDDuPMB2LRTr53&#10;mGTta217HCTcdXqeZQvtsGVpaDDQtqHqd392Br7fORS7QVen6zZ8/hTL7uNcHo15ehzfXkElGtPd&#10;/H9dWMFfvMyFV96RGfT6BgAA//8DAFBLAQItABQABgAIAAAAIQDb4fbL7gAAAIUBAAATAAAAAAAA&#10;AAAAAAAAAAAAAABbQ29udGVudF9UeXBlc10ueG1sUEsBAi0AFAAGAAgAAAAhAFr0LFu/AAAAFQEA&#10;AAsAAAAAAAAAAAAAAAAAHwEAAF9yZWxzLy5yZWxzUEsBAi0AFAAGAAgAAAAhADk9MeTHAAAA3gAA&#10;AA8AAAAAAAAAAAAAAAAABwIAAGRycy9kb3ducmV2LnhtbFBLBQYAAAAAAwADALcAAAD7AgAAAAA=&#10;" filled="f" stroked="f">
                  <v:textbox inset="0,0,0,0">
                    <w:txbxContent>
                      <w:p w14:paraId="794076D4" w14:textId="77777777" w:rsidR="00B32EF2" w:rsidRDefault="00000000">
                        <w:r>
                          <w:rPr>
                            <w:rFonts w:ascii="Arial" w:eastAsia="Arial" w:hAnsi="Arial" w:cs="Arial"/>
                            <w:sz w:val="18"/>
                          </w:rPr>
                          <w:t xml:space="preserve">personalmente o da loro procuratori speciali, nonché, se vi sono, dai rispettivi </w:t>
                        </w:r>
                      </w:p>
                    </w:txbxContent>
                  </v:textbox>
                </v:rect>
                <v:rect id="Rectangle 16329" o:spid="_x0000_s2557" style="position:absolute;left:-9717;top:28168;width:4964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ZR/xAAAAN4AAAAPAAAAZHJzL2Rvd25yZXYueG1sRE9Li8Iw&#10;EL4v+B/CCN7WdBVEq1EWF9ke9uILPA7N2FabSWiirf76jbCwt/n4nrNYdaYWd2p8ZVnBxzABQZxb&#10;XXGh4LDfvE9B+ICssbZMCh7kYbXsvS0w1bblLd13oRAxhH2KCsoQXCqlz0sy6IfWEUfubBuDIcKm&#10;kLrBNoabWo6SZCINVhwbSnS0Lim/7m5GwemLXbZpZX5+rt3PJZvW37fDUalBv/ucgwjUhX/xnzvT&#10;cf5kPJrB6514g1z+AgAA//8DAFBLAQItABQABgAIAAAAIQDb4fbL7gAAAIUBAAATAAAAAAAAAAAA&#10;AAAAAAAAAABbQ29udGVudF9UeXBlc10ueG1sUEsBAi0AFAAGAAgAAAAhAFr0LFu/AAAAFQEAAAsA&#10;AAAAAAAAAAAAAAAAHwEAAF9yZWxzLy5yZWxzUEsBAi0AFAAGAAgAAAAhAFZxlH/EAAAA3gAAAA8A&#10;AAAAAAAAAAAAAAAABwIAAGRycy9kb3ducmV2LnhtbFBLBQYAAAAAAwADALcAAAD4AgAAAAA=&#10;" filled="f" stroked="f">
                  <v:textbox inset="0,0,0,0">
                    <w:txbxContent>
                      <w:p w14:paraId="71D349CC" w14:textId="77777777" w:rsidR="00B32EF2" w:rsidRDefault="00000000">
                        <w:r>
                          <w:rPr>
                            <w:rFonts w:ascii="Arial" w:eastAsia="Arial" w:hAnsi="Arial" w:cs="Arial"/>
                            <w:sz w:val="18"/>
                          </w:rPr>
                          <w:t>difensori e si depositano nella segreteria della corte di giustizia tributaria.</w:t>
                        </w:r>
                      </w:p>
                    </w:txbxContent>
                  </v:textbox>
                </v:rect>
                <v:rect id="Rectangle 200454" o:spid="_x0000_s2558" style="position:absolute;left:26116;top:26934;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URwxgAAAN8AAAAPAAAAZHJzL2Rvd25yZXYueG1sRI9Ba8JA&#10;FITvQv/D8gredFNRkegqYhFz6EVrocdH9plEs2+X7Gpif70rCD0OM/MNs1h1phY3anxlWcHHMAFB&#10;nFtdcaHg+L0dzED4gKyxtkwK7uRhtXzrLTDVtuU93Q6hEBHCPkUFZQguldLnJRn0Q+uIo3eyjcEQ&#10;ZVNI3WAb4aaWoySZSoMVx4USHW1Kyi+Hq1Hw+8ku27YyP/1t3Nc5m9W76/FHqf57t56DCNSF//Cr&#10;nWkFkTiejOH5J34BuXwAAAD//wMAUEsBAi0AFAAGAAgAAAAhANvh9svuAAAAhQEAABMAAAAAAAAA&#10;AAAAAAAAAAAAAFtDb250ZW50X1R5cGVzXS54bWxQSwECLQAUAAYACAAAACEAWvQsW78AAAAVAQAA&#10;CwAAAAAAAAAAAAAAAAAfAQAAX3JlbHMvLnJlbHNQSwECLQAUAAYACAAAACEAKGlEcMYAAADfAAAA&#10;DwAAAAAAAAAAAAAAAAAHAgAAZHJzL2Rvd25yZXYueG1sUEsFBgAAAAADAAMAtwAAAPoCAAAAAA==&#10;" filled="f" stroked="f">
                  <v:textbox inset="0,0,0,0">
                    <w:txbxContent>
                      <w:p w14:paraId="447C0892" w14:textId="77777777" w:rsidR="00B32EF2" w:rsidRDefault="00000000">
                        <w:r>
                          <w:rPr>
                            <w:rFonts w:ascii="Arial" w:eastAsia="Arial" w:hAnsi="Arial" w:cs="Arial"/>
                            <w:sz w:val="18"/>
                          </w:rPr>
                          <w:t>5</w:t>
                        </w:r>
                      </w:p>
                    </w:txbxContent>
                  </v:textbox>
                </v:rect>
                <v:rect id="Rectangle 200455" o:spid="_x0000_s2559" style="position:absolute;left:-13808;top:269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eHrxwAAAN8AAAAPAAAAZHJzL2Rvd25yZXYueG1sRI/NawIx&#10;FMTvQv+H8AreNNuiRVazUizSPfTiR6HHx+bth928hE10V//6Rih4HGbmN8xqPZhWXKjzjWUFL9ME&#10;BHFhdcOVguNhO1mA8AFZY2uZFFzJwzp7Gq0w1bbnHV32oRIRwj5FBXUILpXSFzUZ9FPriKNX2s5g&#10;iLKrpO6wj3DTytckeZMGG44LNTra1FT87s9Gwc8Hu3zby6K8bdzXKV+0n+fjt1Lj5+F9CSLQEB7h&#10;/3auFUTibD6H+5/4BWT2BwAA//8DAFBLAQItABQABgAIAAAAIQDb4fbL7gAAAIUBAAATAAAAAAAA&#10;AAAAAAAAAAAAAABbQ29udGVudF9UeXBlc10ueG1sUEsBAi0AFAAGAAgAAAAhAFr0LFu/AAAAFQEA&#10;AAsAAAAAAAAAAAAAAAAAHwEAAF9yZWxzLy5yZWxzUEsBAi0AFAAGAAgAAAAhAEcl4evHAAAA3wAA&#10;AA8AAAAAAAAAAAAAAAAABwIAAGRycy9kb3ducmV2LnhtbFBLBQYAAAAAAwADALcAAAD7AgAAAAA=&#10;" filled="f" stroked="f">
                  <v:textbox inset="0,0,0,0">
                    <w:txbxContent>
                      <w:p w14:paraId="6DD201FC" w14:textId="77777777" w:rsidR="00B32EF2" w:rsidRDefault="00000000">
                        <w:r>
                          <w:rPr>
                            <w:rFonts w:ascii="Arial" w:eastAsia="Arial" w:hAnsi="Arial" w:cs="Arial"/>
                            <w:sz w:val="18"/>
                          </w:rPr>
                          <w:t xml:space="preserve">. Il presidente della sezione o la corte di giustizia tributaria, se la rinuncia e </w:t>
                        </w:r>
                      </w:p>
                    </w:txbxContent>
                  </v:textbox>
                </v:rect>
                <v:rect id="Rectangle 16331" o:spid="_x0000_s2560" style="position:absolute;left:-12179;top:25701;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g6kwwAAAN4AAAAPAAAAZHJzL2Rvd25yZXYueG1sRE9Li8Iw&#10;EL4v+B/CCHtbU1cQqUYRRbaHvfgCj0MzttVmEppou/vrjSB4m4/vObNFZ2pxp8ZXlhUMBwkI4tzq&#10;igsFh/3mawLCB2SNtWVS8EceFvPexwxTbVve0n0XChFD2KeooAzBpVL6vCSDfmAdceTOtjEYImwK&#10;qRtsY7ip5XeSjKXBimNDiY5WJeXX3c0oOK3ZZZtW5uf/lfu9ZJP653Y4KvXZ75ZTEIG68Ba/3JmO&#10;88ej0RCe78Qb5PwBAAD//wMAUEsBAi0AFAAGAAgAAAAhANvh9svuAAAAhQEAABMAAAAAAAAAAAAA&#10;AAAAAAAAAFtDb250ZW50X1R5cGVzXS54bWxQSwECLQAUAAYACAAAACEAWvQsW78AAAAVAQAACwAA&#10;AAAAAAAAAAAAAAAfAQAAX3JlbHMvLnJlbHNQSwECLQAUAAYACAAAACEALd4OpMMAAADeAAAADwAA&#10;AAAAAAAAAAAAAAAHAgAAZHJzL2Rvd25yZXYueG1sUEsFBgAAAAADAAMAtwAAAPcCAAAAAA==&#10;" filled="f" stroked="f">
                  <v:textbox inset="0,0,0,0">
                    <w:txbxContent>
                      <w:p w14:paraId="080FA43B" w14:textId="77777777" w:rsidR="00B32EF2" w:rsidRDefault="00000000">
                        <w:r>
                          <w:rPr>
                            <w:rFonts w:ascii="Arial" w:eastAsia="Arial" w:hAnsi="Arial" w:cs="Arial"/>
                            <w:sz w:val="18"/>
                          </w:rPr>
                          <w:t>l’accettazione, ove necessaria, sono regolari, dichiarano l’estinzione del pro</w:t>
                        </w:r>
                      </w:p>
                    </w:txbxContent>
                  </v:textbox>
                </v:rect>
                <v:rect id="Rectangle 16332" o:spid="_x0000_s2561" style="position:absolute;left:199;top:2570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JDTxAAAAN4AAAAPAAAAZHJzL2Rvd25yZXYueG1sRE9Li8Iw&#10;EL4v+B/CCN7WVAWRahRRxB72sj7A49CMbbWZhCbaur9+s7DgbT6+5yxWnanFkxpfWVYwGiYgiHOr&#10;Ky4UnI67zxkIH5A11pZJwYs8rJa9jwWm2rb8Tc9DKEQMYZ+igjIEl0rp85IM+qF1xJG72sZgiLAp&#10;pG6wjeGmluMkmUqDFceGEh1tSsrvh4dRcNmyy3atzK8/G/d1y2b1/nE6KzXod+s5iEBdeIv/3ZmO&#10;86eTyRj+3ok3yOUvAAAA//8DAFBLAQItABQABgAIAAAAIQDb4fbL7gAAAIUBAAATAAAAAAAAAAAA&#10;AAAAAAAAAABbQ29udGVudF9UeXBlc10ueG1sUEsBAi0AFAAGAAgAAAAhAFr0LFu/AAAAFQEAAAsA&#10;AAAAAAAAAAAAAAAAHwEAAF9yZWxzLy5yZWxzUEsBAi0AFAAGAAgAAAAhAN0MkNPEAAAA3gAAAA8A&#10;AAAAAAAAAAAAAAAABwIAAGRycy9kb3ducmV2LnhtbFBLBQYAAAAAAwADALcAAAD4AgAAAAA=&#10;" filled="f" stroked="f">
                  <v:textbox inset="0,0,0,0">
                    <w:txbxContent>
                      <w:p w14:paraId="5EAFDB46" w14:textId="77777777" w:rsidR="00B32EF2" w:rsidRDefault="00000000">
                        <w:r>
                          <w:rPr>
                            <w:rFonts w:ascii="Arial" w:eastAsia="Arial" w:hAnsi="Arial" w:cs="Arial"/>
                            <w:sz w:val="18"/>
                          </w:rPr>
                          <w:t>-</w:t>
                        </w:r>
                      </w:p>
                    </w:txbxContent>
                  </v:textbox>
                </v:rect>
                <v:rect id="Rectangle 16333" o:spid="_x0000_s2562" style="position:absolute;left:6948;top:24468;width:329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DVIxAAAAN4AAAAPAAAAZHJzL2Rvd25yZXYueG1sRE9Na8JA&#10;EL0L/odlCr3ppgZEUlcRRcyhl2oEj0N2TFKzs0t2NWl/fbdQ8DaP9znL9WBa8aDON5YVvE0TEMSl&#10;1Q1XCorTfrIA4QOyxtYyKfgmD+vVeLTETNueP+lxDJWIIewzVFCH4DIpfVmTQT+1jjhyV9sZDBF2&#10;ldQd9jHctHKWJHNpsOHYUKOjbU3l7Xg3Ci47dvm+l+X1Z+s+vvJFe7gXZ6VeX4bNO4hAQ3iK/925&#10;jvPnaZrC3zvxBrn6BQAA//8DAFBLAQItABQABgAIAAAAIQDb4fbL7gAAAIUBAAATAAAAAAAAAAAA&#10;AAAAAAAAAABbQ29udGVudF9UeXBlc10ueG1sUEsBAi0AFAAGAAgAAAAhAFr0LFu/AAAAFQEAAAsA&#10;AAAAAAAAAAAAAAAAHwEAAF9yZWxzLy5yZWxzUEsBAi0AFAAGAAgAAAAhALJANUjEAAAA3gAAAA8A&#10;AAAAAAAAAAAAAAAABwIAAGRycy9kb3ducmV2LnhtbFBLBQYAAAAAAwADALcAAAD4AgAAAAA=&#10;" filled="f" stroked="f">
                  <v:textbox inset="0,0,0,0">
                    <w:txbxContent>
                      <w:p w14:paraId="7F626703" w14:textId="77777777" w:rsidR="00B32EF2" w:rsidRDefault="00000000">
                        <w:r>
                          <w:rPr>
                            <w:rFonts w:ascii="Arial" w:eastAsia="Arial" w:hAnsi="Arial" w:cs="Arial"/>
                            <w:sz w:val="18"/>
                          </w:rPr>
                          <w:t>cesso. Si applica l’ultimo comma dell’articolo 94.</w:t>
                        </w:r>
                      </w:p>
                    </w:txbxContent>
                  </v:textbox>
                </v:rect>
                <v:rect id="Rectangle 16334" o:spid="_x0000_s2563" style="position:absolute;left:15068;top:8433;width:811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a08xAAAAN4AAAAPAAAAZHJzL2Rvd25yZXYueG1sRE9Ni8Iw&#10;EL0L/ocwgjdN1UWkaxRRxB72sq4Lexyasa02k9BEW/31m4UFb/N4n7Ncd6YWd2p8ZVnBZJyAIM6t&#10;rrhQcPrajxYgfEDWWFsmBQ/ysF71e0tMtW35k+7HUIgYwj5FBWUILpXS5yUZ9GPriCN3to3BEGFT&#10;SN1gG8NNLadJMpcGK44NJTralpRfjzej4GfHLtu3Mj8/t+7jki3qw+30rdRw0G3eQQTqwkv87850&#10;nD+fzd7g7514g1z9AgAA//8DAFBLAQItABQABgAIAAAAIQDb4fbL7gAAAIUBAAATAAAAAAAAAAAA&#10;AAAAAAAAAABbQ29udGVudF9UeXBlc10ueG1sUEsBAi0AFAAGAAgAAAAhAFr0LFu/AAAAFQEAAAsA&#10;AAAAAAAAAAAAAAAAHwEAAF9yZWxzLy5yZWxzUEsBAi0AFAAGAAgAAAAhAD2prTzEAAAA3gAAAA8A&#10;AAAAAAAAAAAAAAAABwIAAGRycy9kb3ducmV2LnhtbFBLBQYAAAAAAwADALcAAAD4AgAAAAA=&#10;" filled="f" stroked="f">
                  <v:textbox inset="0,0,0,0">
                    <w:txbxContent>
                      <w:p w14:paraId="735D3DEA" w14:textId="77777777" w:rsidR="00B32EF2" w:rsidRDefault="00000000">
                        <w:r>
                          <w:rPr>
                            <w:rFonts w:ascii="Arial" w:eastAsia="Arial" w:hAnsi="Arial" w:cs="Arial"/>
                            <w:b/>
                            <w:sz w:val="18"/>
                          </w:rPr>
                          <w:t>Articolo 94</w:t>
                        </w:r>
                      </w:p>
                    </w:txbxContent>
                  </v:textbox>
                </v:rect>
                <v:rect id="Rectangle 200443" o:spid="_x0000_s2564" style="position:absolute;left:22228;top:7199;width:194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UrZxwAAAN8AAAAPAAAAZHJzL2Rvd25yZXYueG1sRI/NawIx&#10;FMTvQv+H8AreNNsqRVazUizSPfTiR6HHx+bth928hE10V//6Rih4HGbmN8xqPZhWXKjzjWUFL9ME&#10;BHFhdcOVguNhO1mA8AFZY2uZFFzJwzp7Gq0w1bbnHV32oRIRwj5FBXUILpXSFzUZ9FPriKNX2s5g&#10;iLKrpO6wj3DTytckeZMGG44LNTra1FT87s9Gwc8Hu3zby6K8bdzXKV+0n+fjt1Lj5+F9CSLQEB7h&#10;/3auFUTifD6D+5/4BWT2BwAA//8DAFBLAQItABQABgAIAAAAIQDb4fbL7gAAAIUBAAATAAAAAAAA&#10;AAAAAAAAAAAAAABbQ29udGVudF9UeXBlc10ueG1sUEsBAi0AFAAGAAgAAAAhAFr0LFu/AAAAFQEA&#10;AAsAAAAAAAAAAAAAAAAAHwEAAF9yZWxzLy5yZWxzUEsBAi0AFAAGAAgAAAAhACJZStnHAAAA3wAA&#10;AA8AAAAAAAAAAAAAAAAABwIAAGRycy9kb3ducmV2LnhtbFBLBQYAAAAAAwADALcAAAD7AgAAAAA=&#10;" filled="f" stroked="f">
                  <v:textbox inset="0,0,0,0">
                    <w:txbxContent>
                      <w:p w14:paraId="0C06F317" w14:textId="77777777" w:rsidR="00B32EF2" w:rsidRDefault="00000000">
                        <w:r>
                          <w:rPr>
                            <w:rFonts w:ascii="Arial" w:eastAsia="Arial" w:hAnsi="Arial" w:cs="Arial"/>
                            <w:i/>
                            <w:sz w:val="18"/>
                          </w:rPr>
                          <w:t>(</w:t>
                        </w:r>
                      </w:p>
                    </w:txbxContent>
                  </v:textbox>
                </v:rect>
                <v:rect id="Rectangle 200444" o:spid="_x0000_s2565" style="position:absolute;left:-2635;top:7199;width:194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NKtxgAAAN8AAAAPAAAAZHJzL2Rvd25yZXYueG1sRI9Pi8Iw&#10;FMTvwn6H8Bb2pulKEalGWRTZHvbiP/D4aJ5ttXkJTbTd/fQbQfA4zMxvmPmyN424U+trywo+RwkI&#10;4sLqmksFh/1mOAXhA7LGxjIp+CUPy8XbYI6Zth1v6b4LpYgQ9hkqqEJwmZS+qMigH1lHHL2zbQ2G&#10;KNtS6ha7CDeNHCfJRBqsOS5U6GhVUXHd3YyC05pdvulkcf5buZ9LPm2+b4ejUh/v/dcMRKA+vMLP&#10;dq4VRGKapvD4E7+AXPwDAAD//wMAUEsBAi0AFAAGAAgAAAAhANvh9svuAAAAhQEAABMAAAAAAAAA&#10;AAAAAAAAAAAAAFtDb250ZW50X1R5cGVzXS54bWxQSwECLQAUAAYACAAAACEAWvQsW78AAAAVAQAA&#10;CwAAAAAAAAAAAAAAAAAfAQAAX3JlbHMvLnJlbHNQSwECLQAUAAYACAAAACEArbDSrcYAAADfAAAA&#10;DwAAAAAAAAAAAAAAAAAHAgAAZHJzL2Rvd25yZXYueG1sUEsFBgAAAAADAAMAtwAAAPoCAAAAAA==&#10;" filled="f" stroked="f">
                  <v:textbox inset="0,0,0,0">
                    <w:txbxContent>
                      <w:p w14:paraId="37160586" w14:textId="77777777" w:rsidR="00B32EF2" w:rsidRDefault="00000000">
                        <w:r>
                          <w:rPr>
                            <w:rFonts w:ascii="Arial" w:eastAsia="Arial" w:hAnsi="Arial" w:cs="Arial"/>
                            <w:i/>
                            <w:sz w:val="18"/>
                          </w:rPr>
                          <w:t>546/92)</w:t>
                        </w:r>
                      </w:p>
                    </w:txbxContent>
                  </v:textbox>
                </v:rect>
                <v:rect id="Rectangle 200445" o:spid="_x0000_s2566" style="position:absolute;left:11626;top:7199;width:194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c2xgAAAN8AAAAPAAAAZHJzL2Rvd25yZXYueG1sRI9Ba8JA&#10;FITvQv/D8gredFNRkegqYhFz6EVrocdH9plEs2+X7Gpif70rCD0OM/MNs1h1phY3anxlWcHHMAFB&#10;nFtdcaHg+L0dzED4gKyxtkwK7uRhtXzrLTDVtuU93Q6hEBHCPkUFZQguldLnJRn0Q+uIo3eyjcEQ&#10;ZVNI3WAb4aaWoySZSoMVx4USHW1Kyi+Hq1Hw+8ku27YyP/1t3Nc5m9W76/FHqf57t56DCNSF//Cr&#10;nWkFkTgeT+D5J34BuXwAAAD//wMAUEsBAi0AFAAGAAgAAAAhANvh9svuAAAAhQEAABMAAAAAAAAA&#10;AAAAAAAAAAAAAFtDb250ZW50X1R5cGVzXS54bWxQSwECLQAUAAYACAAAACEAWvQsW78AAAAVAQAA&#10;CwAAAAAAAAAAAAAAAAAfAQAAX3JlbHMvLnJlbHNQSwECLQAUAAYACAAAACEAwvx3NsYAAADfAAAA&#10;DwAAAAAAAAAAAAAAAAAHAgAAZHJzL2Rvd25yZXYueG1sUEsFBgAAAAADAAMAtwAAAPoCAAAAAA==&#10;" filled="f" stroked="f">
                  <v:textbox inset="0,0,0,0">
                    <w:txbxContent>
                      <w:p w14:paraId="15101DD8" w14:textId="77777777" w:rsidR="00B32EF2" w:rsidRDefault="00000000">
                        <w:r>
                          <w:rPr>
                            <w:rFonts w:ascii="Arial" w:eastAsia="Arial" w:hAnsi="Arial" w:cs="Arial"/>
                            <w:i/>
                            <w:sz w:val="18"/>
                          </w:rPr>
                          <w:t xml:space="preserve">articolo 45 D.lgs. n. </w:t>
                        </w:r>
                      </w:p>
                    </w:txbxContent>
                  </v:textbox>
                </v:rect>
                <v:rect id="Rectangle 16336" o:spid="_x0000_s2567" style="position:absolute;left:-2361;top:5966;width:357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5bQxAAAAN4AAAAPAAAAZHJzL2Rvd25yZXYueG1sRE9Na8JA&#10;EL0X/A/LFLzVTSsESV1FFGkOXqoRPA7ZMUnNzi7Z1UR/fbdQ8DaP9znz5WBacaPON5YVvE8SEMSl&#10;1Q1XCorD9m0Gwgdkja1lUnAnD8vF6GWOmbY9f9NtHyoRQ9hnqKAOwWVS+rImg35iHXHkzrYzGCLs&#10;Kqk77GO4aeVHkqTSYMOxoUZH65rKy/5qFJw27PJtL8vzY+12P/ms/boWR6XGr8PqE0SgITzF/+5c&#10;x/npdJrC3zvxBrn4BQAA//8DAFBLAQItABQABgAIAAAAIQDb4fbL7gAAAIUBAAATAAAAAAAAAAAA&#10;AAAAAAAAAABbQ29udGVudF9UeXBlc10ueG1sUEsBAi0AFAAGAAgAAAAhAFr0LFu/AAAAFQEAAAsA&#10;AAAAAAAAAAAAAAAAHwEAAF9yZWxzLy5yZWxzUEsBAi0AFAAGAAgAAAAhAKI3ltDEAAAA3gAAAA8A&#10;AAAAAAAAAAAAAAAABwIAAGRycy9kb3ducmV2LnhtbFBLBQYAAAAAAwADALcAAAD4AgAAAAA=&#10;" filled="f" stroked="f">
                  <v:textbox inset="0,0,0,0">
                    <w:txbxContent>
                      <w:p w14:paraId="4061E257" w14:textId="77777777" w:rsidR="00B32EF2" w:rsidRDefault="00000000">
                        <w:r>
                          <w:rPr>
                            <w:rFonts w:ascii="Arial" w:eastAsia="Arial" w:hAnsi="Arial" w:cs="Arial"/>
                            <w:b/>
                            <w:sz w:val="18"/>
                          </w:rPr>
                          <w:t xml:space="preserve">Estinzione del processo per inattività delle parti </w:t>
                        </w:r>
                      </w:p>
                    </w:txbxContent>
                  </v:textbox>
                </v:rect>
                <v:rect id="Rectangle 200441" o:spid="_x0000_s2568" style="position:absolute;left:26110;top:4733;width:531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3E1xwAAAN8AAAAPAAAAZHJzL2Rvd25yZXYueG1sRI9Ba8JA&#10;FITvgv9heUJvurEECdFVikWaQy+mFnp8ZJ9JbPbtkl2TtL++Wyj0OMzMN8zuMJlODNT71rKC9SoB&#10;QVxZ3XKt4PJ2WmYgfEDW2FkmBV/k4bCfz3aYazvymYYy1CJC2OeooAnB5VL6qiGDfmUdcfSutjcY&#10;ouxrqXscI9x08jFJNtJgy3GhQUfHhqrP8m4UfDyzK06jrK7fR/d6K7Lu5X55V+phMT1tQQSawn/4&#10;r11oBZGYpmv4/RO/gNz/AAAA//8DAFBLAQItABQABgAIAAAAIQDb4fbL7gAAAIUBAAATAAAAAAAA&#10;AAAAAAAAAAAAAABbQ29udGVudF9UeXBlc10ueG1sUEsBAi0AFAAGAAgAAAAhAFr0LFu/AAAAFQEA&#10;AAsAAAAAAAAAAAAAAAAAHwEAAF9yZWxzLy5yZWxzUEsBAi0AFAAGAAgAAAAhAL3HcTXHAAAA3wAA&#10;AA8AAAAAAAAAAAAAAAAABwIAAGRycy9kb3ducmV2LnhtbFBLBQYAAAAAAwADALcAAAD7AgAAAAA=&#10;" filled="f" stroked="f">
                  <v:textbox inset="0,0,0,0">
                    <w:txbxContent>
                      <w:p w14:paraId="3A368CB9" w14:textId="77777777" w:rsidR="00B32EF2" w:rsidRDefault="00000000">
                        <w:r>
                          <w:rPr>
                            <w:rFonts w:ascii="Arial" w:eastAsia="Arial" w:hAnsi="Arial" w:cs="Arial"/>
                            <w:sz w:val="18"/>
                          </w:rPr>
                          <w:t>1</w:t>
                        </w:r>
                      </w:p>
                    </w:txbxContent>
                  </v:textbox>
                </v:rect>
                <v:rect id="Rectangle 200442" o:spid="_x0000_s2569" style="position:absolute;left:-13769;top:4733;width:53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9CxQAAAN8AAAAPAAAAZHJzL2Rvd25yZXYueG1sRI9Bi8Iw&#10;FITvgv8hPMGbpoqIdI2yKGIPXnQVPD6aZ9vd5iU00db99RtB2OMwM98wy3VnavGgxleWFUzGCQji&#10;3OqKCwXnr91oAcIHZI21ZVLwJA/rVb+3xFTblo/0OIVCRAj7FBWUIbhUSp+XZNCPrSOO3s02BkOU&#10;TSF1g22Em1pOk2QuDVYcF0p0tCkp/zndjYLrll22a2V++924w3e2qPf380Wp4aD7/AARqAv/4Xc7&#10;0woicTabwutP/AJy9QcAAP//AwBQSwECLQAUAAYACAAAACEA2+H2y+4AAACFAQAAEwAAAAAAAAAA&#10;AAAAAAAAAAAAW0NvbnRlbnRfVHlwZXNdLnhtbFBLAQItABQABgAIAAAAIQBa9CxbvwAAABUBAAAL&#10;AAAAAAAAAAAAAAAAAB8BAABfcmVscy8ucmVsc1BLAQItABQABgAIAAAAIQBNFe9CxQAAAN8AAAAP&#10;AAAAAAAAAAAAAAAAAAcCAABkcnMvZG93bnJldi54bWxQSwUGAAAAAAMAAwC3AAAA+QIAAAAA&#10;" filled="f" stroked="f">
                  <v:textbox inset="0,0,0,0">
                    <w:txbxContent>
                      <w:p w14:paraId="6DED6419" w14:textId="77777777" w:rsidR="00B32EF2" w:rsidRDefault="00000000">
                        <w:r>
                          <w:rPr>
                            <w:rFonts w:ascii="Arial" w:eastAsia="Arial" w:hAnsi="Arial" w:cs="Arial"/>
                            <w:sz w:val="18"/>
                          </w:rPr>
                          <w:t xml:space="preserve">. Il processo si estingue nei casi in cui le parti alle quali spetta di proseguire, </w:t>
                        </w:r>
                      </w:p>
                    </w:txbxContent>
                  </v:textbox>
                </v:rect>
                <v:shape id="Shape 207820" o:spid="_x0000_s2570" style="position:absolute;left:325;top:10941;width:39600;height:13589;visibility:visible;mso-wrap-style:square;v-text-anchor:top" coordsize="3960000,135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gAwwAAAN8AAAAPAAAAZHJzL2Rvd25yZXYueG1sRI9NawIx&#10;EIbvBf9DGKG3mrgtKlujiNDirdTa+7CZbhZ3JksSddtf3xwKPb68Xzzr7ci9ulJMXRAL85kBRdIE&#10;10lr4fTx8rAClTKKwz4IWfimBNvN5G6NtQs3eafrMbeqjEiq0YLPeai1To0nxjQLA0nxvkJkzEXG&#10;VruItzLOva6MWWjGTsqDx4H2nprz8cIWHt/Sp+afEz/5JZvXXVwcnEdr76fj7hlUpjH/h//aB2eh&#10;MstVVQgKT2EBvfkFAAD//wMAUEsBAi0AFAAGAAgAAAAhANvh9svuAAAAhQEAABMAAAAAAAAAAAAA&#10;AAAAAAAAAFtDb250ZW50X1R5cGVzXS54bWxQSwECLQAUAAYACAAAACEAWvQsW78AAAAVAQAACwAA&#10;AAAAAAAAAAAAAAAfAQAAX3JlbHMvLnJlbHNQSwECLQAUAAYACAAAACEAY0/oAMMAAADfAAAADwAA&#10;AAAAAAAAAAAAAAAHAgAAZHJzL2Rvd25yZXYueG1sUEsFBgAAAAADAAMAtwAAAPcCAAAAAA==&#10;" path="m,l3960000,r,1358900l,1358900,,e" fillcolor="#c3c3c3" stroked="f" strokeweight="0">
                  <v:stroke miterlimit="83231f" joinstyle="miter"/>
                  <v:path arrowok="t" textboxrect="0,0,3960000,1358900"/>
                </v:shape>
                <v:rect id="Rectangle 16339" o:spid="_x0000_s2571" style="position:absolute;left:23573;top:22318;width:155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AKixAAAAN4AAAAPAAAAZHJzL2Rvd25yZXYueG1sRE9Li8Iw&#10;EL4v+B/CCN7WdFcQrUZZXMQe9uILPA7N2FabSWiirf76jbCwt/n4njNfdqYWd2p8ZVnBxzABQZxb&#10;XXGh4LBfv09A+ICssbZMCh7kYbnovc0x1bblLd13oRAxhH2KCsoQXCqlz0sy6IfWEUfubBuDIcKm&#10;kLrBNoabWn4myVgarDg2lOhoVVJ+3d2MgtM3u2zdyvz8XLmfSzapN7fDUalBv/uagQjUhX/xnzvT&#10;cf54NJrC6514g1z8AgAA//8DAFBLAQItABQABgAIAAAAIQDb4fbL7gAAAIUBAAATAAAAAAAAAAAA&#10;AAAAAAAAAABbQ29udGVudF9UeXBlc10ueG1sUEsBAi0AFAAGAAgAAAAhAFr0LFu/AAAAFQEAAAsA&#10;AAAAAAAAAAAAAAAAHwEAAF9yZWxzLy5yZWxzUEsBAi0AFAAGAAgAAAAhANOoAqLEAAAA3gAAAA8A&#10;AAAAAAAAAAAAAAAABwIAAGRycy9kb3ducmV2LnhtbFBLBQYAAAAAAwADALcAAAD4AgAAAAA=&#10;" filled="f" stroked="f">
                  <v:textbox inset="0,0,0,0">
                    <w:txbxContent>
                      <w:p w14:paraId="16691B30" w14:textId="77777777" w:rsidR="00B32EF2" w:rsidRDefault="00000000">
                        <w:r>
                          <w:rPr>
                            <w:rFonts w:ascii="Arial" w:eastAsia="Arial" w:hAnsi="Arial" w:cs="Arial"/>
                            <w:b/>
                            <w:i/>
                            <w:sz w:val="18"/>
                          </w:rPr>
                          <w:t>NORME COLLEGATE</w:t>
                        </w:r>
                      </w:p>
                    </w:txbxContent>
                  </v:textbox>
                </v:rect>
                <v:rect id="Rectangle 16340" o:spid="_x0000_s2572" style="position:absolute;left:4733;top:21085;width:344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NhCyAAAAN4AAAAPAAAAZHJzL2Rvd25yZXYueG1sRI9Pa8JA&#10;EMXvQr/DMoXedFMrIqmrFIuYgxf/FHocsmOSNju7ZFeT9tM7h0JvM8yb995vuR5cq27UxcazgedJ&#10;Boq49LbhysD5tB0vQMWEbLH1TAZ+KMJ69TBaYm59zwe6HVOlxIRjjgbqlEKudSxrchgnPhDL7eI7&#10;h0nWrtK2w17MXaunWTbXDhuWhBoDbWoqv49XZ+DznUOx7XV5+d2E/VexaHfX84cxT4/D2yuoREP6&#10;F/99F1bqz19mAiA4MoNe3QEAAP//AwBQSwECLQAUAAYACAAAACEA2+H2y+4AAACFAQAAEwAAAAAA&#10;AAAAAAAAAAAAAAAAW0NvbnRlbnRfVHlwZXNdLnhtbFBLAQItABQABgAIAAAAIQBa9CxbvwAAABUB&#10;AAALAAAAAAAAAAAAAAAAAB8BAABfcmVscy8ucmVsc1BLAQItABQABgAIAAAAIQAalNhCyAAAAN4A&#10;AAAPAAAAAAAAAAAAAAAAAAcCAABkcnMvZG93bnJldi54bWxQSwUGAAAAAAMAAwC3AAAA/AIAAAAA&#10;" filled="f" stroked="f">
                  <v:textbox inset="0,0,0,0">
                    <w:txbxContent>
                      <w:p w14:paraId="3F5D1FA6" w14:textId="77777777" w:rsidR="00B32EF2" w:rsidRDefault="00000000">
                        <w:r>
                          <w:rPr>
                            <w:rFonts w:ascii="Arial" w:eastAsia="Arial" w:hAnsi="Arial" w:cs="Arial"/>
                            <w:i/>
                            <w:sz w:val="18"/>
                          </w:rPr>
                          <w:t xml:space="preserve">art. 310 c.p.c. “Effetti dell’estinzione del processo” </w:t>
                        </w:r>
                      </w:p>
                    </w:txbxContent>
                  </v:textbox>
                </v:rect>
                <v:rect id="Rectangle 200452" o:spid="_x0000_s2573" style="position:absolute;left:29992;top:19852;width:3431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HmfxwAAAN8AAAAPAAAAZHJzL2Rvd25yZXYueG1sRI9Pa8JA&#10;FMTvhX6H5RV6q5uKFUndSLGIOXhRU+jxkX3502bfLtnVpH76riB4HGbmN8xyNZpOnKn3rWUFr5ME&#10;BHFpdcu1guK4eVmA8AFZY2eZFPyRh1X2+LDEVNuB93Q+hFpECPsUFTQhuFRKXzZk0E+sI45eZXuD&#10;Icq+lrrHIcJNJ6dJMpcGW44LDTpaN1T+Hk5Gwfcnu3wzyLK6rN3uJ19021PxpdTz0/jxDiLQGO7h&#10;WzvXCiJx9jaF65/4BWT2DwAA//8DAFBLAQItABQABgAIAAAAIQDb4fbL7gAAAIUBAAATAAAAAAAA&#10;AAAAAAAAAAAAAABbQ29udGVudF9UeXBlc10ueG1sUEsBAi0AFAAGAAgAAAAhAFr0LFu/AAAAFQEA&#10;AAsAAAAAAAAAAAAAAAAAHwEAAF9yZWxzLy5yZWxzUEsBAi0AFAAGAAgAAAAhAMjMeZ/HAAAA3wAA&#10;AA8AAAAAAAAAAAAAAAAABwIAAGRycy9kb3ducmV2LnhtbFBLBQYAAAAAAwADALcAAAD7AgAAAAA=&#10;" filled="f" stroked="f">
                  <v:textbox inset="0,0,0,0">
                    <w:txbxContent>
                      <w:p w14:paraId="32D36112" w14:textId="77777777" w:rsidR="00B32EF2" w:rsidRDefault="00000000">
                        <w:r>
                          <w:rPr>
                            <w:rFonts w:ascii="Arial" w:eastAsia="Arial" w:hAnsi="Arial" w:cs="Arial"/>
                            <w:i/>
                            <w:sz w:val="18"/>
                          </w:rPr>
                          <w:t>1</w:t>
                        </w:r>
                      </w:p>
                    </w:txbxContent>
                  </v:textbox>
                </v:rect>
                <v:rect id="Rectangle 200453" o:spid="_x0000_s2574" style="position:absolute;left:4232;top:19852;width:3431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NwExwAAAN8AAAAPAAAAZHJzL2Rvd25yZXYueG1sRI9PawIx&#10;FMTvBb9DeIK3btZaRbZGEYu4h15qFXp8bN7+aTcvYRPdtZ++KQg9DjPzG2a1GUwrrtT5xrKCaZKC&#10;IC6sbrhScPrYPy5B+ICssbVMCm7kYbMePaww07bnd7oeQyUihH2GCuoQXCalL2oy6BPriKNX2s5g&#10;iLKrpO6wj3DTyqc0XUiDDceFGh3taiq+jxej4POVXb7vZVH+7NzbV75sD5fTWanJeNi+gAg0hP/w&#10;vZ1rBZH4PJ/B35/4BeT6FwAA//8DAFBLAQItABQABgAIAAAAIQDb4fbL7gAAAIUBAAATAAAAAAAA&#10;AAAAAAAAAAAAAABbQ29udGVudF9UeXBlc10ueG1sUEsBAi0AFAAGAAgAAAAhAFr0LFu/AAAAFQEA&#10;AAsAAAAAAAAAAAAAAAAAHwEAAF9yZWxzLy5yZWxzUEsBAi0AFAAGAAgAAAAhAKeA3ATHAAAA3wAA&#10;AA8AAAAAAAAAAAAAAAAABwIAAGRycy9kb3ducmV2LnhtbFBLBQYAAAAAAwADALcAAAD7AgAAAAA=&#10;" filled="f" stroked="f">
                  <v:textbox inset="0,0,0,0">
                    <w:txbxContent>
                      <w:p w14:paraId="12F82D1B" w14:textId="77777777" w:rsidR="00B32EF2" w:rsidRDefault="00000000">
                        <w:r>
                          <w:rPr>
                            <w:rFonts w:ascii="Arial" w:eastAsia="Arial" w:hAnsi="Arial" w:cs="Arial"/>
                            <w:i/>
                            <w:sz w:val="18"/>
                          </w:rPr>
                          <w:t xml:space="preserve">. L’estinzione del processo non estingue l’azione. </w:t>
                        </w:r>
                      </w:p>
                    </w:txbxContent>
                  </v:textbox>
                </v:rect>
                <v:rect id="Rectangle 200451" o:spid="_x0000_s2575" style="position:absolute;left:-12512;top:18618;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ufoxwAAAN8AAAAPAAAAZHJzL2Rvd25yZXYueG1sRI9PawIx&#10;FMTvgt8hPKE3zSqtyNasFEW6By+1Ch4fm7d/2s1L2ER366dvCkKPw8z8hllvBtOKG3W+saxgPktA&#10;EBdWN1wpOH3upysQPiBrbC2Tgh/ysMnGozWm2vb8QbdjqESEsE9RQR2CS6X0RU0G/cw64uiVtjMY&#10;ouwqqTvsI9y0cpEkS2mw4bhQo6NtTcX38WoUXHbs8n0vi/K+dYevfNW+X09npZ4mw9sriEBD+A8/&#10;2rlWEInPL3P4+xO/gMx+AQAA//8DAFBLAQItABQABgAIAAAAIQDb4fbL7gAAAIUBAAATAAAAAAAA&#10;AAAAAAAAAAAAAABbQ29udGVudF9UeXBlc10ueG1sUEsBAi0AFAAGAAgAAAAhAFr0LFu/AAAAFQEA&#10;AAsAAAAAAAAAAAAAAAAAHwEAAF9yZWxzLy5yZWxzUEsBAi0AFAAGAAgAAAAhADge5+jHAAAA3wAA&#10;AA8AAAAAAAAAAAAAAAAABwIAAGRycy9kb3ducmV2LnhtbFBLBQYAAAAAAwADALcAAAD7AgAAAAA=&#10;" filled="f" stroked="f">
                  <v:textbox inset="0,0,0,0">
                    <w:txbxContent>
                      <w:p w14:paraId="1D4AFDD1" w14:textId="77777777" w:rsidR="00B32EF2" w:rsidRDefault="00000000">
                        <w:r>
                          <w:rPr>
                            <w:rFonts w:ascii="Arial" w:eastAsia="Arial" w:hAnsi="Arial" w:cs="Arial"/>
                            <w:i/>
                            <w:sz w:val="18"/>
                          </w:rPr>
                          <w:t xml:space="preserve">. L’estinzione rende inefficaci gli atti compiuti, ma non le sentenze di merito </w:t>
                        </w:r>
                      </w:p>
                    </w:txbxContent>
                  </v:textbox>
                </v:rect>
                <v:rect id="Rectangle 200450" o:spid="_x0000_s2576" style="position:absolute;left:25850;top:18618;width:510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kJzxwAAAN8AAAAPAAAAZHJzL2Rvd25yZXYueG1sRI9Ba8JA&#10;EIXvhf6HZQre6sZSi6SuIhZpDr1oLfQ4ZMckmp1dsquJ/fXOQehxePO+xzdfDq5VF+pi49nAZJyB&#10;Ii69bbgysP/ePM9AxYRssfVMBq4UYbl4fJhjbn3PW7rsUqUEwjFHA3VKIdc6ljU5jGMfiCU7+M5h&#10;krOrtO2wF7hr9UuWvWmHDctCjYHWNZWn3dkZ+P3gUGx6XR7+1uHrWMzaz/P+x5jR07B6B5VoSP/P&#10;93ZhDQjxdSoG4iMuoBc3AAAA//8DAFBLAQItABQABgAIAAAAIQDb4fbL7gAAAIUBAAATAAAAAAAA&#10;AAAAAAAAAAAAAABbQ29udGVudF9UeXBlc10ueG1sUEsBAi0AFAAGAAgAAAAhAFr0LFu/AAAAFQEA&#10;AAsAAAAAAAAAAAAAAAAAHwEAAF9yZWxzLy5yZWxzUEsBAi0AFAAGAAgAAAAhAFdSQnPHAAAA3wAA&#10;AA8AAAAAAAAAAAAAAAAABwIAAGRycy9kb3ducmV2LnhtbFBLBQYAAAAAAwADALcAAAD7AgAAAAA=&#10;" filled="f" stroked="f">
                  <v:textbox inset="0,0,0,0">
                    <w:txbxContent>
                      <w:p w14:paraId="227BF75A" w14:textId="77777777" w:rsidR="00B32EF2" w:rsidRDefault="00000000">
                        <w:r>
                          <w:rPr>
                            <w:rFonts w:ascii="Arial" w:eastAsia="Arial" w:hAnsi="Arial" w:cs="Arial"/>
                            <w:i/>
                            <w:sz w:val="18"/>
                          </w:rPr>
                          <w:t>2</w:t>
                        </w:r>
                      </w:p>
                    </w:txbxContent>
                  </v:textbox>
                </v:rect>
                <v:rect id="Rectangle 16343" o:spid="_x0000_s2577" style="position:absolute;left:-10891;top:17385;width:500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Y1xAAAAN4AAAAPAAAAZHJzL2Rvd25yZXYueG1sRE9Ni8Iw&#10;EL0L/ocwgjdN1UWkaxRRxB72sq4Lexyasa02k9BEW/31m4UFb/N4n7Ncd6YWd2p8ZVnBZJyAIM6t&#10;rrhQcPrajxYgfEDWWFsmBQ/ysF71e0tMtW35k+7HUIgYwj5FBWUILpXS5yUZ9GPriCN3to3BEGFT&#10;SN1gG8NNLadJMpcGK44NJTralpRfjzej4GfHLtu3Mj8/t+7jki3qw+30rdRw0G3eQQTqwkv87850&#10;nD+fvc3g7514g1z9AgAA//8DAFBLAQItABQABgAIAAAAIQDb4fbL7gAAAIUBAAATAAAAAAAAAAAA&#10;AAAAAAAAAABbQ29udGVudF9UeXBlc10ueG1sUEsBAi0AFAAGAAgAAAAhAFr0LFu/AAAAFQEAAAsA&#10;AAAAAAAAAAAAAAAAHwEAAF9yZWxzLy5yZWxzUEsBAi0AFAAGAAgAAAAhAOpGRjXEAAAA3gAAAA8A&#10;AAAAAAAAAAAAAAAABwIAAGRycy9kb3ducmV2LnhtbFBLBQYAAAAAAwADALcAAAD4AgAAAAA=&#10;" filled="f" stroked="f">
                  <v:textbox inset="0,0,0,0">
                    <w:txbxContent>
                      <w:p w14:paraId="3991BB35" w14:textId="77777777" w:rsidR="00B32EF2" w:rsidRDefault="00000000">
                        <w:r>
                          <w:rPr>
                            <w:rFonts w:ascii="Arial" w:eastAsia="Arial" w:hAnsi="Arial" w:cs="Arial"/>
                            <w:i/>
                            <w:sz w:val="18"/>
                          </w:rPr>
                          <w:t>pronunciate nel corso del processo e le pronunce che regolano la compe</w:t>
                        </w:r>
                      </w:p>
                    </w:txbxContent>
                  </v:textbox>
                </v:rect>
                <v:rect id="Rectangle 16344" o:spid="_x0000_s2578" style="position:absolute;left:982;top:17385;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95BxAAAAN4AAAAPAAAAZHJzL2Rvd25yZXYueG1sRE9Ni8Iw&#10;EL0L/ocwgjdNdUWkaxRRZHvwsq4Lexyasa02k9BEW/31m4UFb/N4n7Ncd6YWd2p8ZVnBZJyAIM6t&#10;rrhQcPrajxYgfEDWWFsmBQ/ysF71e0tMtW35k+7HUIgYwj5FBWUILpXS5yUZ9GPriCN3to3BEGFT&#10;SN1gG8NNLadJMpcGK44NJTralpRfjzej4GfHLtu3Mj8/t+5wyRb1x+30rdRw0G3eQQTqwkv87850&#10;nD9/m83g7514g1z9AgAA//8DAFBLAQItABQABgAIAAAAIQDb4fbL7gAAAIUBAAATAAAAAAAAAAAA&#10;AAAAAAAAAABbQ29udGVudF9UeXBlc10ueG1sUEsBAi0AFAAGAAgAAAAhAFr0LFu/AAAAFQEAAAsA&#10;AAAAAAAAAAAAAAAAHwEAAF9yZWxzLy5yZWxzUEsBAi0AFAAGAAgAAAAhAGWv3kHEAAAA3gAAAA8A&#10;AAAAAAAAAAAAAAAABwIAAGRycy9kb3ducmV2LnhtbFBLBQYAAAAAAwADALcAAAD4AgAAAAA=&#10;" filled="f" stroked="f">
                  <v:textbox inset="0,0,0,0">
                    <w:txbxContent>
                      <w:p w14:paraId="562CC88C" w14:textId="77777777" w:rsidR="00B32EF2" w:rsidRDefault="00000000">
                        <w:r>
                          <w:rPr>
                            <w:rFonts w:ascii="Arial" w:eastAsia="Arial" w:hAnsi="Arial" w:cs="Arial"/>
                            <w:i/>
                            <w:sz w:val="18"/>
                          </w:rPr>
                          <w:t>-</w:t>
                        </w:r>
                      </w:p>
                    </w:txbxContent>
                  </v:textbox>
                </v:rect>
                <v:rect id="Rectangle 16345" o:spid="_x0000_s2579" style="position:absolute;left:34593;top:16152;width:45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3vaxQAAAN4AAAAPAAAAZHJzL2Rvd25yZXYueG1sRE9La8JA&#10;EL4X/A/LCN7qxlpFoquIRZpDL/UBHofsmESzs0t2NWl/fbcgeJuP7zmLVWdqcafGV5YVjIYJCOLc&#10;6ooLBYf99nUGwgdkjbVlUvBDHlbL3ssCU21b/qb7LhQihrBPUUEZgkul9HlJBv3QOuLInW1jMETY&#10;FFI32MZwU8u3JJlKgxXHhhIdbUrKr7ubUXD6YJdtW5mffzfu65LN6s/b4ajUoN+t5yACdeEpfrgz&#10;HedPx+8T+H8n3iCXfwAAAP//AwBQSwECLQAUAAYACAAAACEA2+H2y+4AAACFAQAAEwAAAAAAAAAA&#10;AAAAAAAAAAAAW0NvbnRlbnRfVHlwZXNdLnhtbFBLAQItABQABgAIAAAAIQBa9CxbvwAAABUBAAAL&#10;AAAAAAAAAAAAAAAAAB8BAABfcmVscy8ucmVsc1BLAQItABQABgAIAAAAIQAK43vaxQAAAN4AAAAP&#10;AAAAAAAAAAAAAAAAAAcCAABkcnMvZG93bnJldi54bWxQSwUGAAAAAAMAAwC3AAAA+QIAAAAA&#10;" filled="f" stroked="f">
                  <v:textbox inset="0,0,0,0">
                    <w:txbxContent>
                      <w:p w14:paraId="6D392B02" w14:textId="77777777" w:rsidR="00B32EF2" w:rsidRDefault="00000000">
                        <w:r>
                          <w:rPr>
                            <w:rFonts w:ascii="Arial" w:eastAsia="Arial" w:hAnsi="Arial" w:cs="Arial"/>
                            <w:i/>
                            <w:sz w:val="18"/>
                          </w:rPr>
                          <w:t xml:space="preserve">tenza. </w:t>
                        </w:r>
                      </w:p>
                    </w:txbxContent>
                  </v:textbox>
                </v:rect>
                <v:rect id="Rectangle 200449" o:spid="_x0000_s2580" style="position:absolute;left:-12592;top:14918;width:512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X0zxwAAAN8AAAAPAAAAZHJzL2Rvd25yZXYueG1sRI9PawIx&#10;FMTvBb9DeEJvmrWI2K1ZEUW6h15qFTw+Nm//1M1L2ER3209vCkKPw8z8hlmtB9OKG3W+saxgNk1A&#10;EBdWN1wpOH7tJ0sQPiBrbC2Tgh/ysM5GTytMte35k26HUIkIYZ+igjoEl0rpi5oM+ql1xNErbWcw&#10;RNlVUnfYR7hp5UuSLKTBhuNCjY62NRWXw9UoOO/Y5fteFuXv1n1858v2/Xo8KfU8HjZvIAIN4T/8&#10;aOdaQSTO56/w9yd+AZndAQAA//8DAFBLAQItABQABgAIAAAAIQDb4fbL7gAAAIUBAAATAAAAAAAA&#10;AAAAAAAAAAAAAABbQ29udGVudF9UeXBlc10ueG1sUEsBAi0AFAAGAAgAAAAhAFr0LFu/AAAAFQEA&#10;AAsAAAAAAAAAAAAAAAAAHwEAAF9yZWxzLy5yZWxzUEsBAi0AFAAGAAgAAAAhAEOxfTPHAAAA3wAA&#10;AA8AAAAAAAAAAAAAAAAABwIAAGRycy9kb3ducmV2LnhtbFBLBQYAAAAAAwADALcAAAD7AgAAAAA=&#10;" filled="f" stroked="f">
                  <v:textbox inset="0,0,0,0">
                    <w:txbxContent>
                      <w:p w14:paraId="6FB04C17" w14:textId="77777777" w:rsidR="00B32EF2" w:rsidRDefault="00000000">
                        <w:r>
                          <w:rPr>
                            <w:rFonts w:ascii="Arial" w:eastAsia="Arial" w:hAnsi="Arial" w:cs="Arial"/>
                            <w:i/>
                            <w:sz w:val="18"/>
                          </w:rPr>
                          <w:t xml:space="preserve">. Le prove raccolte sono valutate dal giudice a norma dell’articolo 116 </w:t>
                        </w:r>
                      </w:p>
                    </w:txbxContent>
                  </v:textbox>
                </v:rect>
                <v:rect id="Rectangle 200448" o:spid="_x0000_s2581" style="position:absolute;left:25789;top:14918;width:512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ioxwAAAN8AAAAPAAAAZHJzL2Rvd25yZXYueG1sRI9Na8JA&#10;EIbvQv/DMoXedFORIqmriEXMoRc/Cj0O2TFJzc4u2dWk/fXOoeBxeOd9Zp7FanCtulEXG88GXicZ&#10;KOLS24YrA6fjdjwHFROyxdYzGfilCKvl02iBufU97+l2SJUSCMccDdQphVzrWNbkME58IJbs7DuH&#10;Scau0rbDXuCu1dMse9MOG5YLNQba1FReDldn4PuDQ7HtdXn+24TPn2Le7q6nL2Nenof1O6hEQ3os&#10;/7cLa0CIs5k8LD7iAnp5BwAA//8DAFBLAQItABQABgAIAAAAIQDb4fbL7gAAAIUBAAATAAAAAAAA&#10;AAAAAAAAAAAAAABbQ29udGVudF9UeXBlc10ueG1sUEsBAi0AFAAGAAgAAAAhAFr0LFu/AAAAFQEA&#10;AAsAAAAAAAAAAAAAAAAAHwEAAF9yZWxzLy5yZWxzUEsBAi0AFAAGAAgAAAAhACz92KjHAAAA3wAA&#10;AA8AAAAAAAAAAAAAAAAABwIAAGRycy9kb3ducmV2LnhtbFBLBQYAAAAAAwADALcAAAD7AgAAAAA=&#10;" filled="f" stroked="f">
                  <v:textbox inset="0,0,0,0">
                    <w:txbxContent>
                      <w:p w14:paraId="6D44C47E" w14:textId="77777777" w:rsidR="00B32EF2" w:rsidRDefault="00000000">
                        <w:r>
                          <w:rPr>
                            <w:rFonts w:ascii="Arial" w:eastAsia="Arial" w:hAnsi="Arial" w:cs="Arial"/>
                            <w:i/>
                            <w:sz w:val="18"/>
                          </w:rPr>
                          <w:t>3</w:t>
                        </w:r>
                      </w:p>
                    </w:txbxContent>
                  </v:textbox>
                </v:rect>
                <v:rect id="Rectangle 16347" o:spid="_x0000_s2582" style="position:absolute;left:26997;top:13685;width:121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UA2xQAAAN4AAAAPAAAAZHJzL2Rvd25yZXYueG1sRE9La8JA&#10;EL4L/odlBG+6aSsq0VWKRcyhl/oAj0N2TGKzs0t2NbG/vlsoeJuP7znLdWdqcafGV5YVvIwTEMS5&#10;1RUXCo6H7WgOwgdkjbVlUvAgD+tVv7fEVNuWv+i+D4WIIexTVFCG4FIpfV6SQT+2jjhyF9sYDBE2&#10;hdQNtjHc1PI1SabSYMWxoURHm5Ly7/3NKDh/sMu2rcwvPxv3ec3m9e52PCk1HHTvCxCBuvAU/7sz&#10;HedP3yYz+Hsn3iBXvwAAAP//AwBQSwECLQAUAAYACAAAACEA2+H2y+4AAACFAQAAEwAAAAAAAAAA&#10;AAAAAAAAAAAAW0NvbnRlbnRfVHlwZXNdLnhtbFBLAQItABQABgAIAAAAIQBa9CxbvwAAABUBAAAL&#10;AAAAAAAAAAAAAAAAAB8BAABfcmVscy8ucmVsc1BLAQItABQABgAIAAAAIQCVfUA2xQAAAN4AAAAP&#10;AAAAAAAAAAAAAAAAAAcCAABkcnMvZG93bnJldi54bWxQSwUGAAAAAAMAAwC3AAAA+QIAAAAA&#10;" filled="f" stroked="f">
                  <v:textbox inset="0,0,0,0">
                    <w:txbxContent>
                      <w:p w14:paraId="79163539" w14:textId="77777777" w:rsidR="00B32EF2" w:rsidRDefault="00000000">
                        <w:r>
                          <w:rPr>
                            <w:rFonts w:ascii="Arial" w:eastAsia="Arial" w:hAnsi="Arial" w:cs="Arial"/>
                            <w:i/>
                            <w:sz w:val="18"/>
                          </w:rPr>
                          <w:t xml:space="preserve">secondo comma. </w:t>
                        </w:r>
                      </w:p>
                    </w:txbxContent>
                  </v:textbox>
                </v:rect>
                <v:rect id="Rectangle 200447" o:spid="_x0000_s2583" style="position:absolute;left:-12545;top:12452;width:51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kzaxgAAAN8AAAAPAAAAZHJzL2Rvd25yZXYueG1sRI9Ba8JA&#10;FITvQv/D8gredFMRlegqYhFz6EVrocdH9plEs2+X7Gpif70rCD0OM/MNs1h1phY3anxlWcHHMAFB&#10;nFtdcaHg+L0dzED4gKyxtkwK7uRhtXzrLTDVtuU93Q6hEBHCPkUFZQguldLnJRn0Q+uIo3eyjcEQ&#10;ZVNI3WAb4aaWoySZSIMVx4USHW1Kyi+Hq1Hw+8ku27YyP/1t3Nc5m9W76/FHqf57t56DCNSF//Cr&#10;nWkFkTgeT+H5J34BuXwAAAD//wMAUEsBAi0AFAAGAAgAAAAhANvh9svuAAAAhQEAABMAAAAAAAAA&#10;AAAAAAAAAAAAAFtDb250ZW50X1R5cGVzXS54bWxQSwECLQAUAAYACAAAACEAWvQsW78AAAAVAQAA&#10;CwAAAAAAAAAAAAAAAAAfAQAAX3JlbHMvLnJlbHNQSwECLQAUAAYACAAAACEAXWJM2sYAAADfAAAA&#10;DwAAAAAAAAAAAAAAAAAHAgAAZHJzL2Rvd25yZXYueG1sUEsFBgAAAAADAAMAtwAAAPoCAAAAAA==&#10;" filled="f" stroked="f">
                  <v:textbox inset="0,0,0,0">
                    <w:txbxContent>
                      <w:p w14:paraId="247D5003" w14:textId="77777777" w:rsidR="00B32EF2" w:rsidRDefault="00000000">
                        <w:r>
                          <w:rPr>
                            <w:rFonts w:ascii="Arial" w:eastAsia="Arial" w:hAnsi="Arial" w:cs="Arial"/>
                            <w:i/>
                            <w:sz w:val="18"/>
                          </w:rPr>
                          <w:t xml:space="preserve">. Le spese del processo estinto stanno a carico delle parti che le hanno </w:t>
                        </w:r>
                      </w:p>
                    </w:txbxContent>
                  </v:textbox>
                </v:rect>
                <v:rect id="Rectangle 200446" o:spid="_x0000_s2584" style="position:absolute;left:25824;top:12452;width:51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ulBxwAAAN8AAAAPAAAAZHJzL2Rvd25yZXYueG1sRI9Ba8JA&#10;FITvBf/D8gRvdWORIKmrlEhoDr1ULfT4yD6TtNm3S3ZNYn99t1DwOMzMN8x2P5lODNT71rKC1TIB&#10;QVxZ3XKt4HwqHjcgfEDW2FkmBTfysN/NHraYaTvyOw3HUIsIYZ+hgiYEl0npq4YM+qV1xNG72N5g&#10;iLKvpe5xjHDTyackSaXBluNCg47yhqrv49Uo+DywK4tRVpef3L19lZvu9Xr+UGoxn16eQQSawj38&#10;3y61gkhcr1P4+xO/gNz9AgAA//8DAFBLAQItABQABgAIAAAAIQDb4fbL7gAAAIUBAAATAAAAAAAA&#10;AAAAAAAAAAAAAABbQ29udGVudF9UeXBlc10ueG1sUEsBAi0AFAAGAAgAAAAhAFr0LFu/AAAAFQEA&#10;AAsAAAAAAAAAAAAAAAAAHwEAAF9yZWxzLy5yZWxzUEsBAi0AFAAGAAgAAAAhADIu6UHHAAAA3wAA&#10;AA8AAAAAAAAAAAAAAAAABwIAAGRycy9kb3ducmV2LnhtbFBLBQYAAAAAAwADALcAAAD7AgAAAAA=&#10;" filled="f" stroked="f">
                  <v:textbox inset="0,0,0,0">
                    <w:txbxContent>
                      <w:p w14:paraId="4011E70B" w14:textId="77777777" w:rsidR="00B32EF2" w:rsidRDefault="00000000">
                        <w:r>
                          <w:rPr>
                            <w:rFonts w:ascii="Arial" w:eastAsia="Arial" w:hAnsi="Arial" w:cs="Arial"/>
                            <w:i/>
                            <w:sz w:val="18"/>
                          </w:rPr>
                          <w:t>4</w:t>
                        </w:r>
                      </w:p>
                    </w:txbxContent>
                  </v:textbox>
                </v:rect>
                <v:rect id="Rectangle 16349" o:spid="_x0000_s2585" style="position:absolute;left:32129;top:11218;width:70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nHfxQAAAN4AAAAPAAAAZHJzL2Rvd25yZXYueG1sRE9La8JA&#10;EL4X+h+WKXirGx+Ija4iiphDL7UWehyyYxLNzi7Z1UR/vVsoeJuP7znzZWdqcaXGV5YVDPoJCOLc&#10;6ooLBYfv7fsUhA/IGmvLpOBGHpaL15c5ptq2/EXXfShEDGGfooIyBJdK6fOSDPq+dcSRO9rGYIiw&#10;KaRusI3hppbDJJlIgxXHhhIdrUvKz/uLUfC7YZdtW5kf72v3ecqm9e5y+FGq99atZiACdeEp/ndn&#10;Os6fjMYf8PdOvEEuHgAAAP//AwBQSwECLQAUAAYACAAAACEA2+H2y+4AAACFAQAAEwAAAAAAAAAA&#10;AAAAAAAAAAAAW0NvbnRlbnRfVHlwZXNdLnhtbFBLAQItABQABgAIAAAAIQBa9CxbvwAAABUBAAAL&#10;AAAAAAAAAAAAAAAAAB8BAABfcmVscy8ucmVsc1BLAQItABQABgAIAAAAIQCLrnHfxQAAAN4AAAAP&#10;AAAAAAAAAAAAAAAAAAcCAABkcnMvZG93bnJldi54bWxQSwUGAAAAAAMAAwC3AAAA+QIAAAAA&#10;" filled="f" stroked="f">
                  <v:textbox inset="0,0,0,0">
                    <w:txbxContent>
                      <w:p w14:paraId="72F5FBA8" w14:textId="77777777" w:rsidR="00B32EF2" w:rsidRDefault="00000000">
                        <w:r>
                          <w:rPr>
                            <w:rFonts w:ascii="Arial" w:eastAsia="Arial" w:hAnsi="Arial" w:cs="Arial"/>
                            <w:i/>
                            <w:sz w:val="18"/>
                          </w:rPr>
                          <w:t>anticipate.</w:t>
                        </w:r>
                      </w:p>
                    </w:txbxContent>
                  </v:textbox>
                </v:rect>
                <v:shape id="Shape 16350" o:spid="_x0000_s2586" style="position:absolute;left:325;top:10942;width:39600;height:13589;visibility:visible;mso-wrap-style:square;v-text-anchor:top" coordsize="3960000,135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ILPxwAAAN4AAAAPAAAAZHJzL2Rvd25yZXYueG1sRI9Ba8JA&#10;EIXvBf/DMgVvddNKRKOrVMG2t2osBW9DdpqkZmdDdtX47zuHgrcZ5s1771useteoC3Wh9mzgeZSA&#10;Ii68rbk08HXYPk1BhYhssfFMBm4UYLUcPCwws/7Ke7rksVRiwiFDA1WMbaZ1KCpyGEa+JZbbj+8c&#10;Rlm7UtsOr2LuGv2SJBPtsGZJqLClTUXFKT87AyH/pttuOjus336L3XqTHuPne2rM8LF/nYOK1Me7&#10;+P/7w0r9yTgVAMGRGfTyDwAA//8DAFBLAQItABQABgAIAAAAIQDb4fbL7gAAAIUBAAATAAAAAAAA&#10;AAAAAAAAAAAAAABbQ29udGVudF9UeXBlc10ueG1sUEsBAi0AFAAGAAgAAAAhAFr0LFu/AAAAFQEA&#10;AAsAAAAAAAAAAAAAAAAAHwEAAF9yZWxzLy5yZWxzUEsBAi0AFAAGAAgAAAAhAFEAgs/HAAAA3gAA&#10;AA8AAAAAAAAAAAAAAAAABwIAAGRycy9kb3ducmV2LnhtbFBLBQYAAAAAAwADALcAAAD7AgAAAAA=&#10;" path="m,1358900r3960000,l3960000,,,,,1358900xe" filled="f" strokeweight="1pt">
                  <v:stroke miterlimit="1" joinstyle="miter"/>
                  <v:path arrowok="t" textboxrect="0,0,3960000,1358900"/>
                </v:shape>
                <w10:anchorlock/>
              </v:group>
            </w:pict>
          </mc:Fallback>
        </mc:AlternateContent>
      </w:r>
    </w:p>
    <w:p w14:paraId="7FAE4042" w14:textId="77777777" w:rsidR="00B32EF2" w:rsidRDefault="00000000">
      <w:pPr>
        <w:spacing w:after="0"/>
        <w:ind w:left="-357" w:right="-306"/>
      </w:pPr>
      <w:r>
        <w:rPr>
          <w:noProof/>
        </w:rPr>
        <w:lastRenderedPageBreak/>
        <mc:AlternateContent>
          <mc:Choice Requires="wpg">
            <w:drawing>
              <wp:inline distT="0" distB="0" distL="0" distR="0" wp14:anchorId="107D4FFE" wp14:editId="327283B7">
                <wp:extent cx="3991951" cy="6262854"/>
                <wp:effectExtent l="0" t="0" r="0" b="0"/>
                <wp:docPr id="200515" name="Group 200515"/>
                <wp:cNvGraphicFramePr/>
                <a:graphic xmlns:a="http://schemas.openxmlformats.org/drawingml/2006/main">
                  <a:graphicData uri="http://schemas.microsoft.com/office/word/2010/wordprocessingGroup">
                    <wpg:wgp>
                      <wpg:cNvGrpSpPr/>
                      <wpg:grpSpPr>
                        <a:xfrm>
                          <a:off x="0" y="0"/>
                          <a:ext cx="3991951" cy="6262854"/>
                          <a:chOff x="0" y="0"/>
                          <a:chExt cx="3991951" cy="6262854"/>
                        </a:xfrm>
                      </wpg:grpSpPr>
                      <wps:wsp>
                        <wps:cNvPr id="16435" name="Rectangle 16435"/>
                        <wps:cNvSpPr/>
                        <wps:spPr>
                          <a:xfrm rot="-10799999">
                            <a:off x="1900689" y="-62190"/>
                            <a:ext cx="178369" cy="250646"/>
                          </a:xfrm>
                          <a:prstGeom prst="rect">
                            <a:avLst/>
                          </a:prstGeom>
                          <a:ln>
                            <a:noFill/>
                          </a:ln>
                        </wps:spPr>
                        <wps:txbx>
                          <w:txbxContent>
                            <w:p w14:paraId="41FF9EFB" w14:textId="77777777" w:rsidR="00B32EF2" w:rsidRDefault="00000000">
                              <w:r>
                                <w:rPr>
                                  <w:rFonts w:ascii="Times New Roman" w:eastAsia="Times New Roman" w:hAnsi="Times New Roman" w:cs="Times New Roman"/>
                                </w:rPr>
                                <w:t>82</w:t>
                              </w:r>
                            </w:p>
                          </w:txbxContent>
                        </wps:txbx>
                        <wps:bodyPr horzOverflow="overflow" vert="horz" lIns="0" tIns="0" rIns="0" bIns="0" rtlCol="0">
                          <a:noAutofit/>
                        </wps:bodyPr>
                      </wps:wsp>
                      <wps:wsp>
                        <wps:cNvPr id="16436" name="Rectangle 16436"/>
                        <wps:cNvSpPr/>
                        <wps:spPr>
                          <a:xfrm rot="-10799999">
                            <a:off x="1506746" y="6119965"/>
                            <a:ext cx="810824" cy="142889"/>
                          </a:xfrm>
                          <a:prstGeom prst="rect">
                            <a:avLst/>
                          </a:prstGeom>
                          <a:ln>
                            <a:noFill/>
                          </a:ln>
                        </wps:spPr>
                        <wps:txbx>
                          <w:txbxContent>
                            <w:p w14:paraId="631E7B1A" w14:textId="77777777" w:rsidR="00B32EF2" w:rsidRDefault="00000000">
                              <w:r>
                                <w:rPr>
                                  <w:rFonts w:ascii="Arial" w:eastAsia="Arial" w:hAnsi="Arial" w:cs="Arial"/>
                                  <w:b/>
                                  <w:sz w:val="18"/>
                                </w:rPr>
                                <w:t>Articolo 89</w:t>
                              </w:r>
                            </w:p>
                          </w:txbxContent>
                        </wps:txbx>
                        <wps:bodyPr horzOverflow="overflow" vert="horz" lIns="0" tIns="0" rIns="0" bIns="0" rtlCol="0">
                          <a:noAutofit/>
                        </wps:bodyPr>
                      </wps:wsp>
                      <wps:wsp>
                        <wps:cNvPr id="200348" name="Rectangle 200348"/>
                        <wps:cNvSpPr/>
                        <wps:spPr>
                          <a:xfrm rot="-10799999">
                            <a:off x="1161848" y="5996635"/>
                            <a:ext cx="1944232" cy="142890"/>
                          </a:xfrm>
                          <a:prstGeom prst="rect">
                            <a:avLst/>
                          </a:prstGeom>
                          <a:ln>
                            <a:noFill/>
                          </a:ln>
                        </wps:spPr>
                        <wps:txbx>
                          <w:txbxContent>
                            <w:p w14:paraId="09D6A38F" w14:textId="77777777" w:rsidR="00B32EF2" w:rsidRDefault="00000000">
                              <w:r>
                                <w:rPr>
                                  <w:rFonts w:ascii="Arial" w:eastAsia="Arial" w:hAnsi="Arial" w:cs="Arial"/>
                                  <w:i/>
                                  <w:sz w:val="18"/>
                                </w:rPr>
                                <w:t xml:space="preserve">articolo 40 D.lgs. n. </w:t>
                              </w:r>
                            </w:p>
                          </w:txbxContent>
                        </wps:txbx>
                        <wps:bodyPr horzOverflow="overflow" vert="horz" lIns="0" tIns="0" rIns="0" bIns="0" rtlCol="0">
                          <a:noAutofit/>
                        </wps:bodyPr>
                      </wps:wsp>
                      <wps:wsp>
                        <wps:cNvPr id="200346" name="Rectangle 200346"/>
                        <wps:cNvSpPr/>
                        <wps:spPr>
                          <a:xfrm rot="-10799999">
                            <a:off x="2222414" y="5996635"/>
                            <a:ext cx="1944232" cy="142890"/>
                          </a:xfrm>
                          <a:prstGeom prst="rect">
                            <a:avLst/>
                          </a:prstGeom>
                          <a:ln>
                            <a:noFill/>
                          </a:ln>
                        </wps:spPr>
                        <wps:txbx>
                          <w:txbxContent>
                            <w:p w14:paraId="55CFED8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347" name="Rectangle 200347"/>
                        <wps:cNvSpPr/>
                        <wps:spPr>
                          <a:xfrm rot="-10799999">
                            <a:off x="-264821" y="5996635"/>
                            <a:ext cx="1944232" cy="142890"/>
                          </a:xfrm>
                          <a:prstGeom prst="rect">
                            <a:avLst/>
                          </a:prstGeom>
                          <a:ln>
                            <a:noFill/>
                          </a:ln>
                        </wps:spPr>
                        <wps:txbx>
                          <w:txbxContent>
                            <w:p w14:paraId="38730982"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6438" name="Rectangle 16438"/>
                        <wps:cNvSpPr/>
                        <wps:spPr>
                          <a:xfrm rot="-10799999">
                            <a:off x="786509" y="5873305"/>
                            <a:ext cx="1938197" cy="142889"/>
                          </a:xfrm>
                          <a:prstGeom prst="rect">
                            <a:avLst/>
                          </a:prstGeom>
                          <a:ln>
                            <a:noFill/>
                          </a:ln>
                        </wps:spPr>
                        <wps:txbx>
                          <w:txbxContent>
                            <w:p w14:paraId="39B6AC19" w14:textId="77777777" w:rsidR="00B32EF2" w:rsidRDefault="00000000">
                              <w:r>
                                <w:rPr>
                                  <w:rFonts w:ascii="Arial" w:eastAsia="Arial" w:hAnsi="Arial" w:cs="Arial"/>
                                  <w:b/>
                                  <w:sz w:val="18"/>
                                </w:rPr>
                                <w:t xml:space="preserve">Interruzione del processo </w:t>
                              </w:r>
                            </w:p>
                          </w:txbxContent>
                        </wps:txbx>
                        <wps:bodyPr horzOverflow="overflow" vert="horz" lIns="0" tIns="0" rIns="0" bIns="0" rtlCol="0">
                          <a:noAutofit/>
                        </wps:bodyPr>
                      </wps:wsp>
                      <wps:wsp>
                        <wps:cNvPr id="200343" name="Rectangle 200343"/>
                        <wps:cNvSpPr/>
                        <wps:spPr>
                          <a:xfrm rot="-10799999">
                            <a:off x="2705852" y="5749976"/>
                            <a:ext cx="4927240" cy="142889"/>
                          </a:xfrm>
                          <a:prstGeom prst="rect">
                            <a:avLst/>
                          </a:prstGeom>
                          <a:ln>
                            <a:noFill/>
                          </a:ln>
                        </wps:spPr>
                        <wps:txbx>
                          <w:txbxContent>
                            <w:p w14:paraId="67759BCF"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344" name="Rectangle 200344"/>
                        <wps:cNvSpPr/>
                        <wps:spPr>
                          <a:xfrm rot="-10799999">
                            <a:off x="-4608205" y="5749975"/>
                            <a:ext cx="4927240" cy="142889"/>
                          </a:xfrm>
                          <a:prstGeom prst="rect">
                            <a:avLst/>
                          </a:prstGeom>
                          <a:ln>
                            <a:noFill/>
                          </a:ln>
                        </wps:spPr>
                        <wps:txbx>
                          <w:txbxContent>
                            <w:p w14:paraId="3672A70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0345" name="Rectangle 200345"/>
                        <wps:cNvSpPr/>
                        <wps:spPr>
                          <a:xfrm rot="-10799999">
                            <a:off x="-963978" y="5749976"/>
                            <a:ext cx="4927240" cy="142889"/>
                          </a:xfrm>
                          <a:prstGeom prst="rect">
                            <a:avLst/>
                          </a:prstGeom>
                          <a:ln>
                            <a:noFill/>
                          </a:ln>
                        </wps:spPr>
                        <wps:txbx>
                          <w:txbxContent>
                            <w:p w14:paraId="010EA693" w14:textId="77777777" w:rsidR="00B32EF2" w:rsidRDefault="00000000">
                              <w:r>
                                <w:rPr>
                                  <w:rFonts w:ascii="Arial" w:eastAsia="Arial" w:hAnsi="Arial" w:cs="Arial"/>
                                  <w:sz w:val="18"/>
                                </w:rPr>
                                <w:t>. Il processo è interrotto se, dopo la proposizione del ricorso, si verifica</w:t>
                              </w:r>
                            </w:p>
                          </w:txbxContent>
                        </wps:txbx>
                        <wps:bodyPr horzOverflow="overflow" vert="horz" lIns="0" tIns="0" rIns="0" bIns="0" rtlCol="0">
                          <a:noAutofit/>
                        </wps:bodyPr>
                      </wps:wsp>
                      <wps:wsp>
                        <wps:cNvPr id="16440" name="Rectangle 16440"/>
                        <wps:cNvSpPr/>
                        <wps:spPr>
                          <a:xfrm rot="-10799999">
                            <a:off x="-1316801" y="5626646"/>
                            <a:ext cx="5309781" cy="142889"/>
                          </a:xfrm>
                          <a:prstGeom prst="rect">
                            <a:avLst/>
                          </a:prstGeom>
                          <a:ln>
                            <a:noFill/>
                          </a:ln>
                        </wps:spPr>
                        <wps:txbx>
                          <w:txbxContent>
                            <w:p w14:paraId="1D84D0C4" w14:textId="77777777" w:rsidR="00B32EF2" w:rsidRDefault="00000000">
                              <w:r>
                                <w:rPr>
                                  <w:rFonts w:ascii="Arial" w:eastAsia="Arial" w:hAnsi="Arial" w:cs="Arial"/>
                                  <w:sz w:val="18"/>
                                </w:rPr>
                                <w:t xml:space="preserve">a) il venir meno, per morte o altre cause, o la perdita della capacità di stare in </w:t>
                              </w:r>
                            </w:p>
                          </w:txbxContent>
                        </wps:txbx>
                        <wps:bodyPr horzOverflow="overflow" vert="horz" lIns="0" tIns="0" rIns="0" bIns="0" rtlCol="0">
                          <a:noAutofit/>
                        </wps:bodyPr>
                      </wps:wsp>
                      <wps:wsp>
                        <wps:cNvPr id="16441" name="Rectangle 16441"/>
                        <wps:cNvSpPr/>
                        <wps:spPr>
                          <a:xfrm rot="-10799999">
                            <a:off x="-1217122" y="5503316"/>
                            <a:ext cx="5203931" cy="142889"/>
                          </a:xfrm>
                          <a:prstGeom prst="rect">
                            <a:avLst/>
                          </a:prstGeom>
                          <a:ln>
                            <a:noFill/>
                          </a:ln>
                        </wps:spPr>
                        <wps:txbx>
                          <w:txbxContent>
                            <w:p w14:paraId="2743FD29" w14:textId="77777777" w:rsidR="00B32EF2" w:rsidRDefault="00000000">
                              <w:r>
                                <w:rPr>
                                  <w:rFonts w:ascii="Arial" w:eastAsia="Arial" w:hAnsi="Arial" w:cs="Arial"/>
                                  <w:sz w:val="18"/>
                                </w:rPr>
                                <w:t>giudizio di una delle parti, diversa dall’ufficio tributario, o del suo legale rappre</w:t>
                              </w:r>
                            </w:p>
                          </w:txbxContent>
                        </wps:txbx>
                        <wps:bodyPr horzOverflow="overflow" vert="horz" lIns="0" tIns="0" rIns="0" bIns="0" rtlCol="0">
                          <a:noAutofit/>
                        </wps:bodyPr>
                      </wps:wsp>
                      <wps:wsp>
                        <wps:cNvPr id="16442" name="Rectangle 16442"/>
                        <wps:cNvSpPr/>
                        <wps:spPr>
                          <a:xfrm rot="-10799999">
                            <a:off x="19353" y="5503316"/>
                            <a:ext cx="50622" cy="142889"/>
                          </a:xfrm>
                          <a:prstGeom prst="rect">
                            <a:avLst/>
                          </a:prstGeom>
                          <a:ln>
                            <a:noFill/>
                          </a:ln>
                        </wps:spPr>
                        <wps:txbx>
                          <w:txbxContent>
                            <w:p w14:paraId="073DCEF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443" name="Rectangle 16443"/>
                        <wps:cNvSpPr/>
                        <wps:spPr>
                          <a:xfrm rot="-10799999">
                            <a:off x="690645" y="5379987"/>
                            <a:ext cx="3301306" cy="142889"/>
                          </a:xfrm>
                          <a:prstGeom prst="rect">
                            <a:avLst/>
                          </a:prstGeom>
                          <a:ln>
                            <a:noFill/>
                          </a:ln>
                        </wps:spPr>
                        <wps:txbx>
                          <w:txbxContent>
                            <w:p w14:paraId="61DF256C" w14:textId="77777777" w:rsidR="00B32EF2" w:rsidRDefault="00000000">
                              <w:r>
                                <w:rPr>
                                  <w:rFonts w:ascii="Arial" w:eastAsia="Arial" w:hAnsi="Arial" w:cs="Arial"/>
                                  <w:sz w:val="18"/>
                                </w:rPr>
                                <w:t>sentante o la cessazione di tale rappresentanza;</w:t>
                              </w:r>
                            </w:p>
                          </w:txbxContent>
                        </wps:txbx>
                        <wps:bodyPr horzOverflow="overflow" vert="horz" lIns="0" tIns="0" rIns="0" bIns="0" rtlCol="0">
                          <a:noAutofit/>
                        </wps:bodyPr>
                      </wps:wsp>
                      <wps:wsp>
                        <wps:cNvPr id="16444" name="Rectangle 16444"/>
                        <wps:cNvSpPr/>
                        <wps:spPr>
                          <a:xfrm rot="-10799999">
                            <a:off x="-1220446" y="5256657"/>
                            <a:ext cx="5212398" cy="142889"/>
                          </a:xfrm>
                          <a:prstGeom prst="rect">
                            <a:avLst/>
                          </a:prstGeom>
                          <a:ln>
                            <a:noFill/>
                          </a:ln>
                        </wps:spPr>
                        <wps:txbx>
                          <w:txbxContent>
                            <w:p w14:paraId="772BE8EA" w14:textId="77777777" w:rsidR="00B32EF2" w:rsidRDefault="00000000">
                              <w:r>
                                <w:rPr>
                                  <w:rFonts w:ascii="Arial" w:eastAsia="Arial" w:hAnsi="Arial" w:cs="Arial"/>
                                  <w:sz w:val="18"/>
                                </w:rPr>
                                <w:t>b) la morte, la radiazione o sospensione dall’albo o dall’elenco di uno dei difen</w:t>
                              </w:r>
                            </w:p>
                          </w:txbxContent>
                        </wps:txbx>
                        <wps:bodyPr horzOverflow="overflow" vert="horz" lIns="0" tIns="0" rIns="0" bIns="0" rtlCol="0">
                          <a:noAutofit/>
                        </wps:bodyPr>
                      </wps:wsp>
                      <wps:wsp>
                        <wps:cNvPr id="16445" name="Rectangle 16445"/>
                        <wps:cNvSpPr/>
                        <wps:spPr>
                          <a:xfrm rot="-10799999">
                            <a:off x="19352" y="5256657"/>
                            <a:ext cx="50622" cy="142889"/>
                          </a:xfrm>
                          <a:prstGeom prst="rect">
                            <a:avLst/>
                          </a:prstGeom>
                          <a:ln>
                            <a:noFill/>
                          </a:ln>
                        </wps:spPr>
                        <wps:txbx>
                          <w:txbxContent>
                            <w:p w14:paraId="2FDE14D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446" name="Rectangle 16446"/>
                        <wps:cNvSpPr/>
                        <wps:spPr>
                          <a:xfrm rot="-10799999">
                            <a:off x="1499828" y="5133327"/>
                            <a:ext cx="2492124" cy="142889"/>
                          </a:xfrm>
                          <a:prstGeom prst="rect">
                            <a:avLst/>
                          </a:prstGeom>
                          <a:ln>
                            <a:noFill/>
                          </a:ln>
                        </wps:spPr>
                        <wps:txbx>
                          <w:txbxContent>
                            <w:p w14:paraId="48AA1044" w14:textId="77777777" w:rsidR="00B32EF2" w:rsidRDefault="00000000">
                              <w:r>
                                <w:rPr>
                                  <w:rFonts w:ascii="Arial" w:eastAsia="Arial" w:hAnsi="Arial" w:cs="Arial"/>
                                  <w:sz w:val="18"/>
                                </w:rPr>
                                <w:t>sori incaricati a sensi dell’articolo 57.</w:t>
                              </w:r>
                            </w:p>
                          </w:txbxContent>
                        </wps:txbx>
                        <wps:bodyPr horzOverflow="overflow" vert="horz" lIns="0" tIns="0" rIns="0" bIns="0" rtlCol="0">
                          <a:noAutofit/>
                        </wps:bodyPr>
                      </wps:wsp>
                      <wps:wsp>
                        <wps:cNvPr id="200339" name="Rectangle 200339"/>
                        <wps:cNvSpPr/>
                        <wps:spPr>
                          <a:xfrm rot="-10799999">
                            <a:off x="2633020" y="5009998"/>
                            <a:ext cx="5220773" cy="142889"/>
                          </a:xfrm>
                          <a:prstGeom prst="rect">
                            <a:avLst/>
                          </a:prstGeom>
                          <a:ln>
                            <a:noFill/>
                          </a:ln>
                        </wps:spPr>
                        <wps:txbx>
                          <w:txbxContent>
                            <w:p w14:paraId="671F7184"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341" name="Rectangle 200341"/>
                        <wps:cNvSpPr/>
                        <wps:spPr>
                          <a:xfrm rot="-10799999">
                            <a:off x="-1293378" y="5009998"/>
                            <a:ext cx="5220773" cy="142889"/>
                          </a:xfrm>
                          <a:prstGeom prst="rect">
                            <a:avLst/>
                          </a:prstGeom>
                          <a:ln>
                            <a:noFill/>
                          </a:ln>
                        </wps:spPr>
                        <wps:txbx>
                          <w:txbxContent>
                            <w:p w14:paraId="4B47B093" w14:textId="77777777" w:rsidR="00B32EF2" w:rsidRDefault="00000000">
                              <w:r>
                                <w:rPr>
                                  <w:rFonts w:ascii="Arial" w:eastAsia="Arial" w:hAnsi="Arial" w:cs="Arial"/>
                                  <w:sz w:val="18"/>
                                </w:rPr>
                                <w:t>. L’interruzione si ha al momento dell’evento se la parte sta in giudizio per</w:t>
                              </w:r>
                            </w:p>
                          </w:txbxContent>
                        </wps:txbx>
                        <wps:bodyPr horzOverflow="overflow" vert="horz" lIns="0" tIns="0" rIns="0" bIns="0" rtlCol="0">
                          <a:noAutofit/>
                        </wps:bodyPr>
                      </wps:wsp>
                      <wps:wsp>
                        <wps:cNvPr id="16448" name="Rectangle 16448"/>
                        <wps:cNvSpPr/>
                        <wps:spPr>
                          <a:xfrm rot="-10799999">
                            <a:off x="19352" y="5009997"/>
                            <a:ext cx="50622" cy="142889"/>
                          </a:xfrm>
                          <a:prstGeom prst="rect">
                            <a:avLst/>
                          </a:prstGeom>
                          <a:ln>
                            <a:noFill/>
                          </a:ln>
                        </wps:spPr>
                        <wps:txbx>
                          <w:txbxContent>
                            <w:p w14:paraId="7A39220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449" name="Rectangle 16449"/>
                        <wps:cNvSpPr/>
                        <wps:spPr>
                          <a:xfrm rot="-10799999">
                            <a:off x="-1220718" y="4886668"/>
                            <a:ext cx="5213127" cy="142889"/>
                          </a:xfrm>
                          <a:prstGeom prst="rect">
                            <a:avLst/>
                          </a:prstGeom>
                          <a:ln>
                            <a:noFill/>
                          </a:ln>
                        </wps:spPr>
                        <wps:txbx>
                          <w:txbxContent>
                            <w:p w14:paraId="00089AF6" w14:textId="77777777" w:rsidR="00B32EF2" w:rsidRDefault="00000000">
                              <w:r>
                                <w:rPr>
                                  <w:rFonts w:ascii="Arial" w:eastAsia="Arial" w:hAnsi="Arial" w:cs="Arial"/>
                                  <w:sz w:val="18"/>
                                </w:rPr>
                                <w:t>sonalmente e nei casi di cui al comma 1, lettera b). In ogni altro caso l’interru</w:t>
                              </w:r>
                            </w:p>
                          </w:txbxContent>
                        </wps:txbx>
                        <wps:bodyPr horzOverflow="overflow" vert="horz" lIns="0" tIns="0" rIns="0" bIns="0" rtlCol="0">
                          <a:noAutofit/>
                        </wps:bodyPr>
                      </wps:wsp>
                      <wps:wsp>
                        <wps:cNvPr id="16450" name="Rectangle 16450"/>
                        <wps:cNvSpPr/>
                        <wps:spPr>
                          <a:xfrm rot="-10799999">
                            <a:off x="19352" y="4886667"/>
                            <a:ext cx="50622" cy="142889"/>
                          </a:xfrm>
                          <a:prstGeom prst="rect">
                            <a:avLst/>
                          </a:prstGeom>
                          <a:ln>
                            <a:noFill/>
                          </a:ln>
                        </wps:spPr>
                        <wps:txbx>
                          <w:txbxContent>
                            <w:p w14:paraId="1ACB4F2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451" name="Rectangle 16451"/>
                        <wps:cNvSpPr/>
                        <wps:spPr>
                          <a:xfrm rot="-10799999">
                            <a:off x="-1317645" y="4763338"/>
                            <a:ext cx="5310511" cy="142889"/>
                          </a:xfrm>
                          <a:prstGeom prst="rect">
                            <a:avLst/>
                          </a:prstGeom>
                          <a:ln>
                            <a:noFill/>
                          </a:ln>
                        </wps:spPr>
                        <wps:txbx>
                          <w:txbxContent>
                            <w:p w14:paraId="291B184B" w14:textId="77777777" w:rsidR="00B32EF2" w:rsidRDefault="00000000">
                              <w:r>
                                <w:rPr>
                                  <w:rFonts w:ascii="Arial" w:eastAsia="Arial" w:hAnsi="Arial" w:cs="Arial"/>
                                  <w:sz w:val="18"/>
                                </w:rPr>
                                <w:t xml:space="preserve">zione si ha al momento in cui l’evento è dichiarato o in pubblica udienza o per </w:t>
                              </w:r>
                            </w:p>
                          </w:txbxContent>
                        </wps:txbx>
                        <wps:bodyPr horzOverflow="overflow" vert="horz" lIns="0" tIns="0" rIns="0" bIns="0" rtlCol="0">
                          <a:noAutofit/>
                        </wps:bodyPr>
                      </wps:wsp>
                      <wps:wsp>
                        <wps:cNvPr id="16452" name="Rectangle 16452"/>
                        <wps:cNvSpPr/>
                        <wps:spPr>
                          <a:xfrm rot="-10799999">
                            <a:off x="-1317084" y="4640009"/>
                            <a:ext cx="5309036" cy="142889"/>
                          </a:xfrm>
                          <a:prstGeom prst="rect">
                            <a:avLst/>
                          </a:prstGeom>
                          <a:ln>
                            <a:noFill/>
                          </a:ln>
                        </wps:spPr>
                        <wps:txbx>
                          <w:txbxContent>
                            <w:p w14:paraId="3166FCA3" w14:textId="77777777" w:rsidR="00B32EF2" w:rsidRDefault="00000000">
                              <w:r>
                                <w:rPr>
                                  <w:rFonts w:ascii="Arial" w:eastAsia="Arial" w:hAnsi="Arial" w:cs="Arial"/>
                                  <w:sz w:val="18"/>
                                </w:rPr>
                                <w:t xml:space="preserve">iscritto con apposita comunicazione del difensore della parte a cui l’evento si </w:t>
                              </w:r>
                            </w:p>
                          </w:txbxContent>
                        </wps:txbx>
                        <wps:bodyPr horzOverflow="overflow" vert="horz" lIns="0" tIns="0" rIns="0" bIns="0" rtlCol="0">
                          <a:noAutofit/>
                        </wps:bodyPr>
                      </wps:wsp>
                      <wps:wsp>
                        <wps:cNvPr id="16453" name="Rectangle 16453"/>
                        <wps:cNvSpPr/>
                        <wps:spPr>
                          <a:xfrm rot="-10799999">
                            <a:off x="3403640" y="4516679"/>
                            <a:ext cx="589226" cy="142889"/>
                          </a:xfrm>
                          <a:prstGeom prst="rect">
                            <a:avLst/>
                          </a:prstGeom>
                          <a:ln>
                            <a:noFill/>
                          </a:ln>
                        </wps:spPr>
                        <wps:txbx>
                          <w:txbxContent>
                            <w:p w14:paraId="533CF217" w14:textId="77777777" w:rsidR="00B32EF2" w:rsidRDefault="00000000">
                              <w:r>
                                <w:rPr>
                                  <w:rFonts w:ascii="Arial" w:eastAsia="Arial" w:hAnsi="Arial" w:cs="Arial"/>
                                  <w:sz w:val="18"/>
                                </w:rPr>
                                <w:t>riferisce.</w:t>
                              </w:r>
                            </w:p>
                          </w:txbxContent>
                        </wps:txbx>
                        <wps:bodyPr horzOverflow="overflow" vert="horz" lIns="0" tIns="0" rIns="0" bIns="0" rtlCol="0">
                          <a:noAutofit/>
                        </wps:bodyPr>
                      </wps:wsp>
                      <wps:wsp>
                        <wps:cNvPr id="200338" name="Rectangle 200338"/>
                        <wps:cNvSpPr/>
                        <wps:spPr>
                          <a:xfrm rot="-10799999">
                            <a:off x="-1381637" y="4393349"/>
                            <a:ext cx="5309066" cy="142889"/>
                          </a:xfrm>
                          <a:prstGeom prst="rect">
                            <a:avLst/>
                          </a:prstGeom>
                          <a:ln>
                            <a:noFill/>
                          </a:ln>
                        </wps:spPr>
                        <wps:txbx>
                          <w:txbxContent>
                            <w:p w14:paraId="41E5F82F" w14:textId="77777777" w:rsidR="00B32EF2" w:rsidRDefault="00000000">
                              <w:r>
                                <w:rPr>
                                  <w:rFonts w:ascii="Arial" w:eastAsia="Arial" w:hAnsi="Arial" w:cs="Arial"/>
                                  <w:sz w:val="18"/>
                                </w:rPr>
                                <w:t xml:space="preserve">. Se uno degli eventi di cui al comma 1 si avvera dopo l’ultimo giorno per </w:t>
                              </w:r>
                            </w:p>
                          </w:txbxContent>
                        </wps:txbx>
                        <wps:bodyPr horzOverflow="overflow" vert="horz" lIns="0" tIns="0" rIns="0" bIns="0" rtlCol="0">
                          <a:noAutofit/>
                        </wps:bodyPr>
                      </wps:wsp>
                      <wps:wsp>
                        <wps:cNvPr id="200337" name="Rectangle 200337"/>
                        <wps:cNvSpPr/>
                        <wps:spPr>
                          <a:xfrm rot="-10799999">
                            <a:off x="2611112" y="4393349"/>
                            <a:ext cx="5309067" cy="142889"/>
                          </a:xfrm>
                          <a:prstGeom prst="rect">
                            <a:avLst/>
                          </a:prstGeom>
                          <a:ln>
                            <a:noFill/>
                          </a:ln>
                        </wps:spPr>
                        <wps:txbx>
                          <w:txbxContent>
                            <w:p w14:paraId="70824A5A"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6455" name="Rectangle 16455"/>
                        <wps:cNvSpPr/>
                        <wps:spPr>
                          <a:xfrm rot="-10799999">
                            <a:off x="-1317023" y="4262589"/>
                            <a:ext cx="5308975" cy="142889"/>
                          </a:xfrm>
                          <a:prstGeom prst="rect">
                            <a:avLst/>
                          </a:prstGeom>
                          <a:ln>
                            <a:noFill/>
                          </a:ln>
                        </wps:spPr>
                        <wps:txbx>
                          <w:txbxContent>
                            <w:p w14:paraId="1F01F0DB" w14:textId="77777777" w:rsidR="00B32EF2" w:rsidRDefault="00000000">
                              <w:r>
                                <w:rPr>
                                  <w:rFonts w:ascii="Arial" w:eastAsia="Arial" w:hAnsi="Arial" w:cs="Arial"/>
                                  <w:sz w:val="18"/>
                                </w:rPr>
                                <w:t xml:space="preserve">il deposito di memorie in caso di trattazione della controversia in camera di </w:t>
                              </w:r>
                            </w:p>
                          </w:txbxContent>
                        </wps:txbx>
                        <wps:bodyPr horzOverflow="overflow" vert="horz" lIns="0" tIns="0" rIns="0" bIns="0" rtlCol="0">
                          <a:noAutofit/>
                        </wps:bodyPr>
                      </wps:wsp>
                      <wps:wsp>
                        <wps:cNvPr id="16456" name="Rectangle 16456"/>
                        <wps:cNvSpPr/>
                        <wps:spPr>
                          <a:xfrm rot="-10799999">
                            <a:off x="-1317069" y="4131830"/>
                            <a:ext cx="5309021" cy="142889"/>
                          </a:xfrm>
                          <a:prstGeom prst="rect">
                            <a:avLst/>
                          </a:prstGeom>
                          <a:ln>
                            <a:noFill/>
                          </a:ln>
                        </wps:spPr>
                        <wps:txbx>
                          <w:txbxContent>
                            <w:p w14:paraId="15AE6D8D" w14:textId="77777777" w:rsidR="00B32EF2" w:rsidRDefault="00000000">
                              <w:r>
                                <w:rPr>
                                  <w:rFonts w:ascii="Arial" w:eastAsia="Arial" w:hAnsi="Arial" w:cs="Arial"/>
                                  <w:sz w:val="18"/>
                                </w:rPr>
                                <w:t xml:space="preserve">consiglio o dopo la chiusura della discussione in pubblica udienza, esso non </w:t>
                              </w:r>
                            </w:p>
                          </w:txbxContent>
                        </wps:txbx>
                        <wps:bodyPr horzOverflow="overflow" vert="horz" lIns="0" tIns="0" rIns="0" bIns="0" rtlCol="0">
                          <a:noAutofit/>
                        </wps:bodyPr>
                      </wps:wsp>
                      <wps:wsp>
                        <wps:cNvPr id="16457" name="Rectangle 16457"/>
                        <wps:cNvSpPr/>
                        <wps:spPr>
                          <a:xfrm rot="-10799999">
                            <a:off x="-1219047" y="4001070"/>
                            <a:ext cx="5210999" cy="142889"/>
                          </a:xfrm>
                          <a:prstGeom prst="rect">
                            <a:avLst/>
                          </a:prstGeom>
                          <a:ln>
                            <a:noFill/>
                          </a:ln>
                        </wps:spPr>
                        <wps:txbx>
                          <w:txbxContent>
                            <w:p w14:paraId="1F9D6C6E" w14:textId="77777777" w:rsidR="00B32EF2" w:rsidRDefault="00000000">
                              <w:r>
                                <w:rPr>
                                  <w:rFonts w:ascii="Arial" w:eastAsia="Arial" w:hAnsi="Arial" w:cs="Arial"/>
                                  <w:sz w:val="18"/>
                                </w:rPr>
                                <w:t>produce effetto a meno che non sia pronunciata sentenza e il processo prose</w:t>
                              </w:r>
                            </w:p>
                          </w:txbxContent>
                        </wps:txbx>
                        <wps:bodyPr horzOverflow="overflow" vert="horz" lIns="0" tIns="0" rIns="0" bIns="0" rtlCol="0">
                          <a:noAutofit/>
                        </wps:bodyPr>
                      </wps:wsp>
                      <wps:wsp>
                        <wps:cNvPr id="16458" name="Rectangle 16458"/>
                        <wps:cNvSpPr/>
                        <wps:spPr>
                          <a:xfrm rot="-10799999">
                            <a:off x="19352" y="4001071"/>
                            <a:ext cx="50622" cy="142889"/>
                          </a:xfrm>
                          <a:prstGeom prst="rect">
                            <a:avLst/>
                          </a:prstGeom>
                          <a:ln>
                            <a:noFill/>
                          </a:ln>
                        </wps:spPr>
                        <wps:txbx>
                          <w:txbxContent>
                            <w:p w14:paraId="6960955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459" name="Rectangle 16459"/>
                        <wps:cNvSpPr/>
                        <wps:spPr>
                          <a:xfrm rot="-10799999">
                            <a:off x="2096167" y="3870312"/>
                            <a:ext cx="1895784" cy="142889"/>
                          </a:xfrm>
                          <a:prstGeom prst="rect">
                            <a:avLst/>
                          </a:prstGeom>
                          <a:ln>
                            <a:noFill/>
                          </a:ln>
                        </wps:spPr>
                        <wps:txbx>
                          <w:txbxContent>
                            <w:p w14:paraId="10586AF3" w14:textId="77777777" w:rsidR="00B32EF2" w:rsidRDefault="00000000">
                              <w:r>
                                <w:rPr>
                                  <w:rFonts w:ascii="Arial" w:eastAsia="Arial" w:hAnsi="Arial" w:cs="Arial"/>
                                  <w:sz w:val="18"/>
                                </w:rPr>
                                <w:t>gua davanti al giudice adito.</w:t>
                              </w:r>
                            </w:p>
                          </w:txbxContent>
                        </wps:txbx>
                        <wps:bodyPr horzOverflow="overflow" vert="horz" lIns="0" tIns="0" rIns="0" bIns="0" rtlCol="0">
                          <a:noAutofit/>
                        </wps:bodyPr>
                      </wps:wsp>
                      <wps:wsp>
                        <wps:cNvPr id="200333" name="Rectangle 200333"/>
                        <wps:cNvSpPr/>
                        <wps:spPr>
                          <a:xfrm rot="-10799999">
                            <a:off x="-1380208" y="3739552"/>
                            <a:ext cx="5309021" cy="142889"/>
                          </a:xfrm>
                          <a:prstGeom prst="rect">
                            <a:avLst/>
                          </a:prstGeom>
                          <a:ln>
                            <a:noFill/>
                          </a:ln>
                        </wps:spPr>
                        <wps:txbx>
                          <w:txbxContent>
                            <w:p w14:paraId="762515FE" w14:textId="77777777" w:rsidR="00B32EF2" w:rsidRDefault="00000000">
                              <w:r>
                                <w:rPr>
                                  <w:rFonts w:ascii="Arial" w:eastAsia="Arial" w:hAnsi="Arial" w:cs="Arial"/>
                                  <w:sz w:val="18"/>
                                </w:rPr>
                                <w:t xml:space="preserve">. Se uno degli eventi di cui al comma 1, lettera a), si verifica durante il termine </w:t>
                              </w:r>
                            </w:p>
                          </w:txbxContent>
                        </wps:txbx>
                        <wps:bodyPr horzOverflow="overflow" vert="horz" lIns="0" tIns="0" rIns="0" bIns="0" rtlCol="0">
                          <a:noAutofit/>
                        </wps:bodyPr>
                      </wps:wsp>
                      <wps:wsp>
                        <wps:cNvPr id="200332" name="Rectangle 200332"/>
                        <wps:cNvSpPr/>
                        <wps:spPr>
                          <a:xfrm rot="-10799999">
                            <a:off x="2611124" y="3739552"/>
                            <a:ext cx="5309021" cy="142889"/>
                          </a:xfrm>
                          <a:prstGeom prst="rect">
                            <a:avLst/>
                          </a:prstGeom>
                          <a:ln>
                            <a:noFill/>
                          </a:ln>
                        </wps:spPr>
                        <wps:txbx>
                          <w:txbxContent>
                            <w:p w14:paraId="5D65C130"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6461" name="Rectangle 16461"/>
                        <wps:cNvSpPr/>
                        <wps:spPr>
                          <a:xfrm rot="-10799999">
                            <a:off x="-1317084" y="3608794"/>
                            <a:ext cx="5309036" cy="142889"/>
                          </a:xfrm>
                          <a:prstGeom prst="rect">
                            <a:avLst/>
                          </a:prstGeom>
                          <a:ln>
                            <a:noFill/>
                          </a:ln>
                        </wps:spPr>
                        <wps:txbx>
                          <w:txbxContent>
                            <w:p w14:paraId="636223EA" w14:textId="77777777" w:rsidR="00B32EF2" w:rsidRDefault="00000000">
                              <w:r>
                                <w:rPr>
                                  <w:rFonts w:ascii="Arial" w:eastAsia="Arial" w:hAnsi="Arial" w:cs="Arial"/>
                                  <w:sz w:val="18"/>
                                </w:rPr>
                                <w:t xml:space="preserve">per la proposizione del ricorso il termine è prorogato di sei mesi a decorrere </w:t>
                              </w:r>
                            </w:p>
                          </w:txbxContent>
                        </wps:txbx>
                        <wps:bodyPr horzOverflow="overflow" vert="horz" lIns="0" tIns="0" rIns="0" bIns="0" rtlCol="0">
                          <a:noAutofit/>
                        </wps:bodyPr>
                      </wps:wsp>
                      <wps:wsp>
                        <wps:cNvPr id="16462" name="Rectangle 16462"/>
                        <wps:cNvSpPr/>
                        <wps:spPr>
                          <a:xfrm rot="-10799999">
                            <a:off x="-1220370" y="3478034"/>
                            <a:ext cx="5212321" cy="142889"/>
                          </a:xfrm>
                          <a:prstGeom prst="rect">
                            <a:avLst/>
                          </a:prstGeom>
                          <a:ln>
                            <a:noFill/>
                          </a:ln>
                        </wps:spPr>
                        <wps:txbx>
                          <w:txbxContent>
                            <w:p w14:paraId="3246E738" w14:textId="77777777" w:rsidR="00B32EF2" w:rsidRDefault="00000000">
                              <w:r>
                                <w:rPr>
                                  <w:rFonts w:ascii="Arial" w:eastAsia="Arial" w:hAnsi="Arial" w:cs="Arial"/>
                                  <w:sz w:val="18"/>
                                </w:rPr>
                                <w:t>dalla data dell’evento. Si applica anche a questi termini la sospensione previ</w:t>
                              </w:r>
                            </w:p>
                          </w:txbxContent>
                        </wps:txbx>
                        <wps:bodyPr horzOverflow="overflow" vert="horz" lIns="0" tIns="0" rIns="0" bIns="0" rtlCol="0">
                          <a:noAutofit/>
                        </wps:bodyPr>
                      </wps:wsp>
                      <wps:wsp>
                        <wps:cNvPr id="16463" name="Rectangle 16463"/>
                        <wps:cNvSpPr/>
                        <wps:spPr>
                          <a:xfrm rot="-10799999">
                            <a:off x="19353" y="3478034"/>
                            <a:ext cx="50622" cy="142889"/>
                          </a:xfrm>
                          <a:prstGeom prst="rect">
                            <a:avLst/>
                          </a:prstGeom>
                          <a:ln>
                            <a:noFill/>
                          </a:ln>
                        </wps:spPr>
                        <wps:txbx>
                          <w:txbxContent>
                            <w:p w14:paraId="42F6B01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464" name="Rectangle 16464"/>
                        <wps:cNvSpPr/>
                        <wps:spPr>
                          <a:xfrm rot="-10799999">
                            <a:off x="1428150" y="3347276"/>
                            <a:ext cx="2563801" cy="142889"/>
                          </a:xfrm>
                          <a:prstGeom prst="rect">
                            <a:avLst/>
                          </a:prstGeom>
                          <a:ln>
                            <a:noFill/>
                          </a:ln>
                        </wps:spPr>
                        <wps:txbx>
                          <w:txbxContent>
                            <w:p w14:paraId="6FA5FB02" w14:textId="77777777" w:rsidR="00B32EF2" w:rsidRDefault="00000000">
                              <w:r>
                                <w:rPr>
                                  <w:rFonts w:ascii="Arial" w:eastAsia="Arial" w:hAnsi="Arial" w:cs="Arial"/>
                                  <w:sz w:val="18"/>
                                </w:rPr>
                                <w:t>sta dalla legge 7 ottobre 1969, n. 742.</w:t>
                              </w:r>
                            </w:p>
                          </w:txbxContent>
                        </wps:txbx>
                        <wps:bodyPr horzOverflow="overflow" vert="horz" lIns="0" tIns="0" rIns="0" bIns="0" rtlCol="0">
                          <a:noAutofit/>
                        </wps:bodyPr>
                      </wps:wsp>
                      <wps:wsp>
                        <wps:cNvPr id="16465" name="Rectangle 16465"/>
                        <wps:cNvSpPr/>
                        <wps:spPr>
                          <a:xfrm rot="-10799999">
                            <a:off x="1506139" y="3085643"/>
                            <a:ext cx="811660" cy="142889"/>
                          </a:xfrm>
                          <a:prstGeom prst="rect">
                            <a:avLst/>
                          </a:prstGeom>
                          <a:ln>
                            <a:noFill/>
                          </a:ln>
                        </wps:spPr>
                        <wps:txbx>
                          <w:txbxContent>
                            <w:p w14:paraId="5FE896E6" w14:textId="77777777" w:rsidR="00B32EF2" w:rsidRDefault="00000000">
                              <w:r>
                                <w:rPr>
                                  <w:rFonts w:ascii="Arial" w:eastAsia="Arial" w:hAnsi="Arial" w:cs="Arial"/>
                                  <w:b/>
                                  <w:sz w:val="18"/>
                                </w:rPr>
                                <w:t>Articolo 90</w:t>
                              </w:r>
                            </w:p>
                          </w:txbxContent>
                        </wps:txbx>
                        <wps:bodyPr horzOverflow="overflow" vert="horz" lIns="0" tIns="0" rIns="0" bIns="0" rtlCol="0">
                          <a:noAutofit/>
                        </wps:bodyPr>
                      </wps:wsp>
                      <wps:wsp>
                        <wps:cNvPr id="200329" name="Rectangle 200329"/>
                        <wps:cNvSpPr/>
                        <wps:spPr>
                          <a:xfrm rot="-10799999">
                            <a:off x="2252764" y="2954883"/>
                            <a:ext cx="2182156" cy="142889"/>
                          </a:xfrm>
                          <a:prstGeom prst="rect">
                            <a:avLst/>
                          </a:prstGeom>
                          <a:ln>
                            <a:noFill/>
                          </a:ln>
                        </wps:spPr>
                        <wps:txbx>
                          <w:txbxContent>
                            <w:p w14:paraId="741214C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330" name="Rectangle 200330"/>
                        <wps:cNvSpPr/>
                        <wps:spPr>
                          <a:xfrm rot="-10799999">
                            <a:off x="-592254" y="2954883"/>
                            <a:ext cx="2182157" cy="142889"/>
                          </a:xfrm>
                          <a:prstGeom prst="rect">
                            <a:avLst/>
                          </a:prstGeom>
                          <a:ln>
                            <a:noFill/>
                          </a:ln>
                        </wps:spPr>
                        <wps:txbx>
                          <w:txbxContent>
                            <w:p w14:paraId="52BD8FCD"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331" name="Rectangle 200331"/>
                        <wps:cNvSpPr/>
                        <wps:spPr>
                          <a:xfrm rot="-10799999">
                            <a:off x="1013306" y="2954883"/>
                            <a:ext cx="2182156" cy="142889"/>
                          </a:xfrm>
                          <a:prstGeom prst="rect">
                            <a:avLst/>
                          </a:prstGeom>
                          <a:ln>
                            <a:noFill/>
                          </a:ln>
                        </wps:spPr>
                        <wps:txbx>
                          <w:txbxContent>
                            <w:p w14:paraId="0AF2EBE5" w14:textId="77777777" w:rsidR="00B32EF2" w:rsidRDefault="00000000">
                              <w:r>
                                <w:rPr>
                                  <w:rFonts w:ascii="Arial" w:eastAsia="Arial" w:hAnsi="Arial" w:cs="Arial"/>
                                  <w:i/>
                                  <w:sz w:val="18"/>
                                </w:rPr>
                                <w:t xml:space="preserve">articolo 41 del D.lgs. n. </w:t>
                              </w:r>
                            </w:p>
                          </w:txbxContent>
                        </wps:txbx>
                        <wps:bodyPr horzOverflow="overflow" vert="horz" lIns="0" tIns="0" rIns="0" bIns="0" rtlCol="0">
                          <a:noAutofit/>
                        </wps:bodyPr>
                      </wps:wsp>
                      <wps:wsp>
                        <wps:cNvPr id="16467" name="Rectangle 16467"/>
                        <wps:cNvSpPr/>
                        <wps:spPr>
                          <a:xfrm rot="-10799999">
                            <a:off x="-1039247" y="2824125"/>
                            <a:ext cx="4863635" cy="142889"/>
                          </a:xfrm>
                          <a:prstGeom prst="rect">
                            <a:avLst/>
                          </a:prstGeom>
                          <a:ln>
                            <a:noFill/>
                          </a:ln>
                        </wps:spPr>
                        <wps:txbx>
                          <w:txbxContent>
                            <w:p w14:paraId="3B8AE31A" w14:textId="77777777" w:rsidR="00B32EF2" w:rsidRDefault="00000000">
                              <w:r>
                                <w:rPr>
                                  <w:rFonts w:ascii="Arial" w:eastAsia="Arial" w:hAnsi="Arial" w:cs="Arial"/>
                                  <w:b/>
                                  <w:sz w:val="18"/>
                                </w:rPr>
                                <w:t xml:space="preserve">Provvedimenti sulla sospensione e sull’interruzione del processo </w:t>
                              </w:r>
                            </w:p>
                          </w:txbxContent>
                        </wps:txbx>
                        <wps:bodyPr horzOverflow="overflow" vert="horz" lIns="0" tIns="0" rIns="0" bIns="0" rtlCol="0">
                          <a:noAutofit/>
                        </wps:bodyPr>
                      </wps:wsp>
                      <wps:wsp>
                        <wps:cNvPr id="200327" name="Rectangle 200327"/>
                        <wps:cNvSpPr/>
                        <wps:spPr>
                          <a:xfrm rot="-10799999">
                            <a:off x="2611482" y="2693365"/>
                            <a:ext cx="5307120" cy="142889"/>
                          </a:xfrm>
                          <a:prstGeom prst="rect">
                            <a:avLst/>
                          </a:prstGeom>
                          <a:ln>
                            <a:noFill/>
                          </a:ln>
                        </wps:spPr>
                        <wps:txbx>
                          <w:txbxContent>
                            <w:p w14:paraId="14AB8EDD"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328" name="Rectangle 200328"/>
                        <wps:cNvSpPr/>
                        <wps:spPr>
                          <a:xfrm rot="-10799999">
                            <a:off x="-1375610" y="2693365"/>
                            <a:ext cx="5307120" cy="142889"/>
                          </a:xfrm>
                          <a:prstGeom prst="rect">
                            <a:avLst/>
                          </a:prstGeom>
                          <a:ln>
                            <a:noFill/>
                          </a:ln>
                        </wps:spPr>
                        <wps:txbx>
                          <w:txbxContent>
                            <w:p w14:paraId="1FC74E33" w14:textId="77777777" w:rsidR="00B32EF2" w:rsidRDefault="00000000">
                              <w:r>
                                <w:rPr>
                                  <w:rFonts w:ascii="Arial" w:eastAsia="Arial" w:hAnsi="Arial" w:cs="Arial"/>
                                  <w:sz w:val="18"/>
                                </w:rPr>
                                <w:t xml:space="preserve">. La sospensione è disposta e l’interruzione è dichiarata dal presidente della </w:t>
                              </w:r>
                            </w:p>
                          </w:txbxContent>
                        </wps:txbx>
                        <wps:bodyPr horzOverflow="overflow" vert="horz" lIns="0" tIns="0" rIns="0" bIns="0" rtlCol="0">
                          <a:noAutofit/>
                        </wps:bodyPr>
                      </wps:wsp>
                      <wps:wsp>
                        <wps:cNvPr id="16469" name="Rectangle 16469"/>
                        <wps:cNvSpPr/>
                        <wps:spPr>
                          <a:xfrm rot="-10799999">
                            <a:off x="-38706" y="2562606"/>
                            <a:ext cx="4029401" cy="142889"/>
                          </a:xfrm>
                          <a:prstGeom prst="rect">
                            <a:avLst/>
                          </a:prstGeom>
                          <a:ln>
                            <a:noFill/>
                          </a:ln>
                        </wps:spPr>
                        <wps:txbx>
                          <w:txbxContent>
                            <w:p w14:paraId="427BD80D" w14:textId="77777777" w:rsidR="00B32EF2" w:rsidRDefault="00000000">
                              <w:r>
                                <w:rPr>
                                  <w:rFonts w:ascii="Arial" w:eastAsia="Arial" w:hAnsi="Arial" w:cs="Arial"/>
                                  <w:sz w:val="18"/>
                                </w:rPr>
                                <w:t>sezione con decreto o dalla corte di tributaria con ordinanza.</w:t>
                              </w:r>
                            </w:p>
                          </w:txbxContent>
                        </wps:txbx>
                        <wps:bodyPr horzOverflow="overflow" vert="horz" lIns="0" tIns="0" rIns="0" bIns="0" rtlCol="0">
                          <a:noAutofit/>
                        </wps:bodyPr>
                      </wps:wsp>
                      <wps:wsp>
                        <wps:cNvPr id="200324" name="Rectangle 200324"/>
                        <wps:cNvSpPr/>
                        <wps:spPr>
                          <a:xfrm rot="-10799999">
                            <a:off x="2621957" y="2431847"/>
                            <a:ext cx="5264905" cy="142889"/>
                          </a:xfrm>
                          <a:prstGeom prst="rect">
                            <a:avLst/>
                          </a:prstGeom>
                          <a:ln>
                            <a:noFill/>
                          </a:ln>
                        </wps:spPr>
                        <wps:txbx>
                          <w:txbxContent>
                            <w:p w14:paraId="69ECAC16"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325" name="Rectangle 200325"/>
                        <wps:cNvSpPr/>
                        <wps:spPr>
                          <a:xfrm rot="-10799999">
                            <a:off x="-5077920" y="2431847"/>
                            <a:ext cx="5264905" cy="142889"/>
                          </a:xfrm>
                          <a:prstGeom prst="rect">
                            <a:avLst/>
                          </a:prstGeom>
                          <a:ln>
                            <a:noFill/>
                          </a:ln>
                        </wps:spPr>
                        <wps:txbx>
                          <w:txbxContent>
                            <w:p w14:paraId="153F3607" w14:textId="77777777" w:rsidR="00B32EF2" w:rsidRDefault="00000000">
                              <w:r>
                                <w:rPr>
                                  <w:rFonts w:ascii="Arial" w:eastAsia="Arial" w:hAnsi="Arial" w:cs="Arial"/>
                                  <w:sz w:val="18"/>
                                </w:rPr>
                                <w:t>76.</w:t>
                              </w:r>
                            </w:p>
                          </w:txbxContent>
                        </wps:txbx>
                        <wps:bodyPr horzOverflow="overflow" vert="horz" lIns="0" tIns="0" rIns="0" bIns="0" rtlCol="0">
                          <a:noAutofit/>
                        </wps:bodyPr>
                      </wps:wsp>
                      <wps:wsp>
                        <wps:cNvPr id="200326" name="Rectangle 200326"/>
                        <wps:cNvSpPr/>
                        <wps:spPr>
                          <a:xfrm rot="-10799999">
                            <a:off x="-1187102" y="2431847"/>
                            <a:ext cx="5264905" cy="142889"/>
                          </a:xfrm>
                          <a:prstGeom prst="rect">
                            <a:avLst/>
                          </a:prstGeom>
                          <a:ln>
                            <a:noFill/>
                          </a:ln>
                        </wps:spPr>
                        <wps:txbx>
                          <w:txbxContent>
                            <w:p w14:paraId="1FD4976B" w14:textId="77777777" w:rsidR="00B32EF2" w:rsidRDefault="00000000">
                              <w:r>
                                <w:rPr>
                                  <w:rFonts w:ascii="Arial" w:eastAsia="Arial" w:hAnsi="Arial" w:cs="Arial"/>
                                  <w:sz w:val="18"/>
                                </w:rPr>
                                <w:t xml:space="preserve">. Avverso il decreto del presidente è ammesso reclamo ai sensi dell’articolo </w:t>
                              </w:r>
                            </w:p>
                          </w:txbxContent>
                        </wps:txbx>
                        <wps:bodyPr horzOverflow="overflow" vert="horz" lIns="0" tIns="0" rIns="0" bIns="0" rtlCol="0">
                          <a:noAutofit/>
                        </wps:bodyPr>
                      </wps:wsp>
                      <wps:wsp>
                        <wps:cNvPr id="16471" name="Rectangle 16471"/>
                        <wps:cNvSpPr/>
                        <wps:spPr>
                          <a:xfrm rot="-10799999">
                            <a:off x="1508825" y="2170214"/>
                            <a:ext cx="807145" cy="142889"/>
                          </a:xfrm>
                          <a:prstGeom prst="rect">
                            <a:avLst/>
                          </a:prstGeom>
                          <a:ln>
                            <a:noFill/>
                          </a:ln>
                        </wps:spPr>
                        <wps:txbx>
                          <w:txbxContent>
                            <w:p w14:paraId="54D7ABFC" w14:textId="77777777" w:rsidR="00B32EF2" w:rsidRDefault="00000000">
                              <w:r>
                                <w:rPr>
                                  <w:rFonts w:ascii="Arial" w:eastAsia="Arial" w:hAnsi="Arial" w:cs="Arial"/>
                                  <w:b/>
                                  <w:sz w:val="18"/>
                                </w:rPr>
                                <w:t>Articolo 91</w:t>
                              </w:r>
                            </w:p>
                          </w:txbxContent>
                        </wps:txbx>
                        <wps:bodyPr horzOverflow="overflow" vert="horz" lIns="0" tIns="0" rIns="0" bIns="0" rtlCol="0">
                          <a:noAutofit/>
                        </wps:bodyPr>
                      </wps:wsp>
                      <wps:wsp>
                        <wps:cNvPr id="200322" name="Rectangle 200322"/>
                        <wps:cNvSpPr/>
                        <wps:spPr>
                          <a:xfrm rot="-10799999">
                            <a:off x="-260181" y="2039455"/>
                            <a:ext cx="1940735" cy="142889"/>
                          </a:xfrm>
                          <a:prstGeom prst="rect">
                            <a:avLst/>
                          </a:prstGeom>
                          <a:ln>
                            <a:noFill/>
                          </a:ln>
                        </wps:spPr>
                        <wps:txbx>
                          <w:txbxContent>
                            <w:p w14:paraId="6A9D7C6E"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321" name="Rectangle 200321"/>
                        <wps:cNvSpPr/>
                        <wps:spPr>
                          <a:xfrm rot="-10799999">
                            <a:off x="2221796" y="2039455"/>
                            <a:ext cx="1940736" cy="142889"/>
                          </a:xfrm>
                          <a:prstGeom prst="rect">
                            <a:avLst/>
                          </a:prstGeom>
                          <a:ln>
                            <a:noFill/>
                          </a:ln>
                        </wps:spPr>
                        <wps:txbx>
                          <w:txbxContent>
                            <w:p w14:paraId="4F58B37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323" name="Rectangle 200323"/>
                        <wps:cNvSpPr/>
                        <wps:spPr>
                          <a:xfrm rot="-10799999">
                            <a:off x="1163859" y="2039455"/>
                            <a:ext cx="1940736" cy="142889"/>
                          </a:xfrm>
                          <a:prstGeom prst="rect">
                            <a:avLst/>
                          </a:prstGeom>
                          <a:ln>
                            <a:noFill/>
                          </a:ln>
                        </wps:spPr>
                        <wps:txbx>
                          <w:txbxContent>
                            <w:p w14:paraId="7984EB6C" w14:textId="77777777" w:rsidR="00B32EF2" w:rsidRDefault="00000000">
                              <w:r>
                                <w:rPr>
                                  <w:rFonts w:ascii="Arial" w:eastAsia="Arial" w:hAnsi="Arial" w:cs="Arial"/>
                                  <w:i/>
                                  <w:sz w:val="18"/>
                                </w:rPr>
                                <w:t xml:space="preserve">articolo 42 D.lgs. n. </w:t>
                              </w:r>
                            </w:p>
                          </w:txbxContent>
                        </wps:txbx>
                        <wps:bodyPr horzOverflow="overflow" vert="horz" lIns="0" tIns="0" rIns="0" bIns="0" rtlCol="0">
                          <a:noAutofit/>
                        </wps:bodyPr>
                      </wps:wsp>
                      <wps:wsp>
                        <wps:cNvPr id="16473" name="Rectangle 16473"/>
                        <wps:cNvSpPr/>
                        <wps:spPr>
                          <a:xfrm rot="-10799999">
                            <a:off x="-657411" y="1908696"/>
                            <a:ext cx="4251713" cy="142889"/>
                          </a:xfrm>
                          <a:prstGeom prst="rect">
                            <a:avLst/>
                          </a:prstGeom>
                          <a:ln>
                            <a:noFill/>
                          </a:ln>
                        </wps:spPr>
                        <wps:txbx>
                          <w:txbxContent>
                            <w:p w14:paraId="27B5C5A5" w14:textId="77777777" w:rsidR="00B32EF2" w:rsidRDefault="00000000">
                              <w:r>
                                <w:rPr>
                                  <w:rFonts w:ascii="Arial" w:eastAsia="Arial" w:hAnsi="Arial" w:cs="Arial"/>
                                  <w:b/>
                                  <w:sz w:val="18"/>
                                </w:rPr>
                                <w:t xml:space="preserve">Effetti della sospensione e dell’interruzione del processo </w:t>
                              </w:r>
                            </w:p>
                          </w:txbxContent>
                        </wps:txbx>
                        <wps:bodyPr horzOverflow="overflow" vert="horz" lIns="0" tIns="0" rIns="0" bIns="0" rtlCol="0">
                          <a:noAutofit/>
                        </wps:bodyPr>
                      </wps:wsp>
                      <wps:wsp>
                        <wps:cNvPr id="200319" name="Rectangle 200319"/>
                        <wps:cNvSpPr/>
                        <wps:spPr>
                          <a:xfrm rot="-10799999">
                            <a:off x="2611014" y="1777937"/>
                            <a:ext cx="5309005" cy="142889"/>
                          </a:xfrm>
                          <a:prstGeom prst="rect">
                            <a:avLst/>
                          </a:prstGeom>
                          <a:ln>
                            <a:noFill/>
                          </a:ln>
                        </wps:spPr>
                        <wps:txbx>
                          <w:txbxContent>
                            <w:p w14:paraId="65956C4B"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320" name="Rectangle 200320"/>
                        <wps:cNvSpPr/>
                        <wps:spPr>
                          <a:xfrm rot="-10799999">
                            <a:off x="-1376352" y="1777937"/>
                            <a:ext cx="5309005" cy="142889"/>
                          </a:xfrm>
                          <a:prstGeom prst="rect">
                            <a:avLst/>
                          </a:prstGeom>
                          <a:ln>
                            <a:noFill/>
                          </a:ln>
                        </wps:spPr>
                        <wps:txbx>
                          <w:txbxContent>
                            <w:p w14:paraId="30AC5D9C" w14:textId="77777777" w:rsidR="00B32EF2" w:rsidRDefault="00000000">
                              <w:r>
                                <w:rPr>
                                  <w:rFonts w:ascii="Arial" w:eastAsia="Arial" w:hAnsi="Arial" w:cs="Arial"/>
                                  <w:sz w:val="18"/>
                                </w:rPr>
                                <w:t xml:space="preserve">. Durante la sospensione e l’interruzione non possono essere compiuti atti </w:t>
                              </w:r>
                            </w:p>
                          </w:txbxContent>
                        </wps:txbx>
                        <wps:bodyPr horzOverflow="overflow" vert="horz" lIns="0" tIns="0" rIns="0" bIns="0" rtlCol="0">
                          <a:noAutofit/>
                        </wps:bodyPr>
                      </wps:wsp>
                      <wps:wsp>
                        <wps:cNvPr id="16475" name="Rectangle 16475"/>
                        <wps:cNvSpPr/>
                        <wps:spPr>
                          <a:xfrm rot="-10799999">
                            <a:off x="3073986" y="1647178"/>
                            <a:ext cx="918879" cy="142889"/>
                          </a:xfrm>
                          <a:prstGeom prst="rect">
                            <a:avLst/>
                          </a:prstGeom>
                          <a:ln>
                            <a:noFill/>
                          </a:ln>
                        </wps:spPr>
                        <wps:txbx>
                          <w:txbxContent>
                            <w:p w14:paraId="3048A844" w14:textId="77777777" w:rsidR="00B32EF2" w:rsidRDefault="00000000">
                              <w:r>
                                <w:rPr>
                                  <w:rFonts w:ascii="Arial" w:eastAsia="Arial" w:hAnsi="Arial" w:cs="Arial"/>
                                  <w:sz w:val="18"/>
                                </w:rPr>
                                <w:t>del processo.</w:t>
                              </w:r>
                            </w:p>
                          </w:txbxContent>
                        </wps:txbx>
                        <wps:bodyPr horzOverflow="overflow" vert="horz" lIns="0" tIns="0" rIns="0" bIns="0" rtlCol="0">
                          <a:noAutofit/>
                        </wps:bodyPr>
                      </wps:wsp>
                      <wps:wsp>
                        <wps:cNvPr id="200317" name="Rectangle 200317"/>
                        <wps:cNvSpPr/>
                        <wps:spPr>
                          <a:xfrm rot="-10799999">
                            <a:off x="2634894" y="1516419"/>
                            <a:ext cx="5212762" cy="142889"/>
                          </a:xfrm>
                          <a:prstGeom prst="rect">
                            <a:avLst/>
                          </a:prstGeom>
                          <a:ln>
                            <a:noFill/>
                          </a:ln>
                        </wps:spPr>
                        <wps:txbx>
                          <w:txbxContent>
                            <w:p w14:paraId="428BF61E"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318" name="Rectangle 200318"/>
                        <wps:cNvSpPr/>
                        <wps:spPr>
                          <a:xfrm rot="-10799999">
                            <a:off x="-1285482" y="1516418"/>
                            <a:ext cx="5212762" cy="142889"/>
                          </a:xfrm>
                          <a:prstGeom prst="rect">
                            <a:avLst/>
                          </a:prstGeom>
                          <a:ln>
                            <a:noFill/>
                          </a:ln>
                        </wps:spPr>
                        <wps:txbx>
                          <w:txbxContent>
                            <w:p w14:paraId="21A0C6FD" w14:textId="77777777" w:rsidR="00B32EF2" w:rsidRDefault="00000000">
                              <w:r>
                                <w:rPr>
                                  <w:rFonts w:ascii="Arial" w:eastAsia="Arial" w:hAnsi="Arial" w:cs="Arial"/>
                                  <w:sz w:val="18"/>
                                </w:rPr>
                                <w:t>. I termini in corso sono interrotti e ricominciano a decorrere dalla presenta</w:t>
                              </w:r>
                            </w:p>
                          </w:txbxContent>
                        </wps:txbx>
                        <wps:bodyPr horzOverflow="overflow" vert="horz" lIns="0" tIns="0" rIns="0" bIns="0" rtlCol="0">
                          <a:noAutofit/>
                        </wps:bodyPr>
                      </wps:wsp>
                      <wps:wsp>
                        <wps:cNvPr id="16477" name="Rectangle 16477"/>
                        <wps:cNvSpPr/>
                        <wps:spPr>
                          <a:xfrm rot="-10799999">
                            <a:off x="19238" y="1516419"/>
                            <a:ext cx="50622" cy="142889"/>
                          </a:xfrm>
                          <a:prstGeom prst="rect">
                            <a:avLst/>
                          </a:prstGeom>
                          <a:ln>
                            <a:noFill/>
                          </a:ln>
                        </wps:spPr>
                        <wps:txbx>
                          <w:txbxContent>
                            <w:p w14:paraId="58212DF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478" name="Rectangle 16478"/>
                        <wps:cNvSpPr/>
                        <wps:spPr>
                          <a:xfrm rot="-10799999">
                            <a:off x="1431213" y="1385660"/>
                            <a:ext cx="2560623" cy="142889"/>
                          </a:xfrm>
                          <a:prstGeom prst="rect">
                            <a:avLst/>
                          </a:prstGeom>
                          <a:ln>
                            <a:noFill/>
                          </a:ln>
                        </wps:spPr>
                        <wps:txbx>
                          <w:txbxContent>
                            <w:p w14:paraId="4E358558" w14:textId="77777777" w:rsidR="00B32EF2" w:rsidRDefault="00000000">
                              <w:r>
                                <w:rPr>
                                  <w:rFonts w:ascii="Arial" w:eastAsia="Arial" w:hAnsi="Arial" w:cs="Arial"/>
                                  <w:sz w:val="18"/>
                                </w:rPr>
                                <w:t>zione dell’istanza di cui all’articolo 92.</w:t>
                              </w:r>
                            </w:p>
                          </w:txbxContent>
                        </wps:txbx>
                        <wps:bodyPr horzOverflow="overflow" vert="horz" lIns="0" tIns="0" rIns="0" bIns="0" rtlCol="0">
                          <a:noAutofit/>
                        </wps:bodyPr>
                      </wps:wsp>
                      <wps:wsp>
                        <wps:cNvPr id="16479" name="Rectangle 16479"/>
                        <wps:cNvSpPr/>
                        <wps:spPr>
                          <a:xfrm rot="-10799999">
                            <a:off x="1507527" y="1124027"/>
                            <a:ext cx="809243" cy="142889"/>
                          </a:xfrm>
                          <a:prstGeom prst="rect">
                            <a:avLst/>
                          </a:prstGeom>
                          <a:ln>
                            <a:noFill/>
                          </a:ln>
                        </wps:spPr>
                        <wps:txbx>
                          <w:txbxContent>
                            <w:p w14:paraId="79A02CAD" w14:textId="77777777" w:rsidR="00B32EF2" w:rsidRDefault="00000000">
                              <w:r>
                                <w:rPr>
                                  <w:rFonts w:ascii="Arial" w:eastAsia="Arial" w:hAnsi="Arial" w:cs="Arial"/>
                                  <w:b/>
                                  <w:sz w:val="18"/>
                                </w:rPr>
                                <w:t>Articolo 92</w:t>
                              </w:r>
                            </w:p>
                          </w:txbxContent>
                        </wps:txbx>
                        <wps:bodyPr horzOverflow="overflow" vert="horz" lIns="0" tIns="0" rIns="0" bIns="0" rtlCol="0">
                          <a:noAutofit/>
                        </wps:bodyPr>
                      </wps:wsp>
                      <wps:wsp>
                        <wps:cNvPr id="200315" name="Rectangle 200315"/>
                        <wps:cNvSpPr/>
                        <wps:spPr>
                          <a:xfrm rot="-10799999">
                            <a:off x="1161521" y="993268"/>
                            <a:ext cx="1944445" cy="142889"/>
                          </a:xfrm>
                          <a:prstGeom prst="rect">
                            <a:avLst/>
                          </a:prstGeom>
                          <a:ln>
                            <a:noFill/>
                          </a:ln>
                        </wps:spPr>
                        <wps:txbx>
                          <w:txbxContent>
                            <w:p w14:paraId="502705EC" w14:textId="77777777" w:rsidR="00B32EF2" w:rsidRDefault="00000000">
                              <w:r>
                                <w:rPr>
                                  <w:rFonts w:ascii="Arial" w:eastAsia="Arial" w:hAnsi="Arial" w:cs="Arial"/>
                                  <w:i/>
                                  <w:sz w:val="18"/>
                                </w:rPr>
                                <w:t xml:space="preserve">articolo 43 D.lgs. n. </w:t>
                              </w:r>
                            </w:p>
                          </w:txbxContent>
                        </wps:txbx>
                        <wps:bodyPr horzOverflow="overflow" vert="horz" lIns="0" tIns="0" rIns="0" bIns="0" rtlCol="0">
                          <a:noAutofit/>
                        </wps:bodyPr>
                      </wps:wsp>
                      <wps:wsp>
                        <wps:cNvPr id="200313" name="Rectangle 200313"/>
                        <wps:cNvSpPr/>
                        <wps:spPr>
                          <a:xfrm rot="-10799999">
                            <a:off x="2222247" y="993268"/>
                            <a:ext cx="1944445" cy="142889"/>
                          </a:xfrm>
                          <a:prstGeom prst="rect">
                            <a:avLst/>
                          </a:prstGeom>
                          <a:ln>
                            <a:noFill/>
                          </a:ln>
                        </wps:spPr>
                        <wps:txbx>
                          <w:txbxContent>
                            <w:p w14:paraId="1B026E2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314" name="Rectangle 200314"/>
                        <wps:cNvSpPr/>
                        <wps:spPr>
                          <a:xfrm rot="-10799999">
                            <a:off x="-265308" y="993268"/>
                            <a:ext cx="1944445" cy="142889"/>
                          </a:xfrm>
                          <a:prstGeom prst="rect">
                            <a:avLst/>
                          </a:prstGeom>
                          <a:ln>
                            <a:noFill/>
                          </a:ln>
                        </wps:spPr>
                        <wps:txbx>
                          <w:txbxContent>
                            <w:p w14:paraId="317499FE"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6481" name="Rectangle 16481"/>
                        <wps:cNvSpPr/>
                        <wps:spPr>
                          <a:xfrm rot="-10799999">
                            <a:off x="29060" y="862509"/>
                            <a:ext cx="3151704" cy="142889"/>
                          </a:xfrm>
                          <a:prstGeom prst="rect">
                            <a:avLst/>
                          </a:prstGeom>
                          <a:ln>
                            <a:noFill/>
                          </a:ln>
                        </wps:spPr>
                        <wps:txbx>
                          <w:txbxContent>
                            <w:p w14:paraId="1B40738C" w14:textId="77777777" w:rsidR="00B32EF2" w:rsidRDefault="00000000">
                              <w:r>
                                <w:rPr>
                                  <w:rFonts w:ascii="Arial" w:eastAsia="Arial" w:hAnsi="Arial" w:cs="Arial"/>
                                  <w:b/>
                                  <w:sz w:val="18"/>
                                </w:rPr>
                                <w:t xml:space="preserve">Ripresa del processo sospeso o interrotto </w:t>
                              </w:r>
                            </w:p>
                          </w:txbxContent>
                        </wps:txbx>
                        <wps:bodyPr horzOverflow="overflow" vert="horz" lIns="0" tIns="0" rIns="0" bIns="0" rtlCol="0">
                          <a:noAutofit/>
                        </wps:bodyPr>
                      </wps:wsp>
                      <wps:wsp>
                        <wps:cNvPr id="200310" name="Rectangle 200310"/>
                        <wps:cNvSpPr/>
                        <wps:spPr>
                          <a:xfrm rot="-10799999">
                            <a:off x="-1277844" y="731749"/>
                            <a:ext cx="5210497" cy="142889"/>
                          </a:xfrm>
                          <a:prstGeom prst="rect">
                            <a:avLst/>
                          </a:prstGeom>
                          <a:ln>
                            <a:noFill/>
                          </a:ln>
                        </wps:spPr>
                        <wps:txbx>
                          <w:txbxContent>
                            <w:p w14:paraId="3F1E053B" w14:textId="77777777" w:rsidR="00B32EF2" w:rsidRDefault="00000000">
                              <w:r>
                                <w:rPr>
                                  <w:rFonts w:ascii="Arial" w:eastAsia="Arial" w:hAnsi="Arial" w:cs="Arial"/>
                                  <w:sz w:val="18"/>
                                </w:rPr>
                                <w:t>. Dopo che è cessata la causa che ne ha determinato la sospensione il pro</w:t>
                              </w:r>
                            </w:p>
                          </w:txbxContent>
                        </wps:txbx>
                        <wps:bodyPr horzOverflow="overflow" vert="horz" lIns="0" tIns="0" rIns="0" bIns="0" rtlCol="0">
                          <a:noAutofit/>
                        </wps:bodyPr>
                      </wps:wsp>
                      <wps:wsp>
                        <wps:cNvPr id="200309" name="Rectangle 200309"/>
                        <wps:cNvSpPr/>
                        <wps:spPr>
                          <a:xfrm rot="-10799999">
                            <a:off x="2635456" y="731750"/>
                            <a:ext cx="5210497" cy="142889"/>
                          </a:xfrm>
                          <a:prstGeom prst="rect">
                            <a:avLst/>
                          </a:prstGeom>
                          <a:ln>
                            <a:noFill/>
                          </a:ln>
                        </wps:spPr>
                        <wps:txbx>
                          <w:txbxContent>
                            <w:p w14:paraId="1E422070"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6483" name="Rectangle 16483"/>
                        <wps:cNvSpPr/>
                        <wps:spPr>
                          <a:xfrm rot="-10799999">
                            <a:off x="19238" y="731749"/>
                            <a:ext cx="50622" cy="142889"/>
                          </a:xfrm>
                          <a:prstGeom prst="rect">
                            <a:avLst/>
                          </a:prstGeom>
                          <a:ln>
                            <a:noFill/>
                          </a:ln>
                        </wps:spPr>
                        <wps:txbx>
                          <w:txbxContent>
                            <w:p w14:paraId="4D4B546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484" name="Rectangle 16484"/>
                        <wps:cNvSpPr/>
                        <wps:spPr>
                          <a:xfrm rot="-10799999">
                            <a:off x="-1317168" y="600990"/>
                            <a:ext cx="5309005" cy="142889"/>
                          </a:xfrm>
                          <a:prstGeom prst="rect">
                            <a:avLst/>
                          </a:prstGeom>
                          <a:ln>
                            <a:noFill/>
                          </a:ln>
                        </wps:spPr>
                        <wps:txbx>
                          <w:txbxContent>
                            <w:p w14:paraId="3F42CABE" w14:textId="77777777" w:rsidR="00B32EF2" w:rsidRDefault="00000000">
                              <w:r>
                                <w:rPr>
                                  <w:rFonts w:ascii="Arial" w:eastAsia="Arial" w:hAnsi="Arial" w:cs="Arial"/>
                                  <w:sz w:val="18"/>
                                </w:rPr>
                                <w:t xml:space="preserve">cesso continua se entro sei mesi da tale data viene presentata da una delle </w:t>
                              </w:r>
                            </w:p>
                          </w:txbxContent>
                        </wps:txbx>
                        <wps:bodyPr horzOverflow="overflow" vert="horz" lIns="0" tIns="0" rIns="0" bIns="0" rtlCol="0">
                          <a:noAutofit/>
                        </wps:bodyPr>
                      </wps:wsp>
                      <wps:wsp>
                        <wps:cNvPr id="16485" name="Rectangle 16485"/>
                        <wps:cNvSpPr/>
                        <wps:spPr>
                          <a:xfrm rot="-10799999">
                            <a:off x="-1220834" y="470231"/>
                            <a:ext cx="5212671" cy="142889"/>
                          </a:xfrm>
                          <a:prstGeom prst="rect">
                            <a:avLst/>
                          </a:prstGeom>
                          <a:ln>
                            <a:noFill/>
                          </a:ln>
                        </wps:spPr>
                        <wps:txbx>
                          <w:txbxContent>
                            <w:p w14:paraId="4E05FBE7" w14:textId="77777777" w:rsidR="00B32EF2" w:rsidRDefault="00000000">
                              <w:r>
                                <w:rPr>
                                  <w:rFonts w:ascii="Arial" w:eastAsia="Arial" w:hAnsi="Arial" w:cs="Arial"/>
                                  <w:sz w:val="18"/>
                                </w:rPr>
                                <w:t>parti istanza di trattazione al presidente di sezione della corte di giustizia tribu</w:t>
                              </w:r>
                            </w:p>
                          </w:txbxContent>
                        </wps:txbx>
                        <wps:bodyPr horzOverflow="overflow" vert="horz" lIns="0" tIns="0" rIns="0" bIns="0" rtlCol="0">
                          <a:noAutofit/>
                        </wps:bodyPr>
                      </wps:wsp>
                    </wpg:wgp>
                  </a:graphicData>
                </a:graphic>
              </wp:inline>
            </w:drawing>
          </mc:Choice>
          <mc:Fallback>
            <w:pict>
              <v:group w14:anchorId="107D4FFE" id="Group 200515" o:spid="_x0000_s2587" style="width:314.35pt;height:493.15pt;mso-position-horizontal-relative:char;mso-position-vertical-relative:line" coordsize="39919,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goBQsAALyIAAAOAAAAZHJzL2Uyb0RvYy54bWzkXWuP27gV/V6g/8Hw94n5ECnKyGRRNN2g&#10;QNFd7LY/QPH4BdiWITvxpL++55IyNdZwsgBVhEaZDxMPncgSD899HF5ev//peb+bfF22p21zeJzy&#10;d2w6WR4WzdP2sH6c/vtfPz+Y6eR0rg9P9a45LB+n35an6U8f/vyn95fjfCmaTbN7WrYTXORwml+O&#10;j9PN+Xycz2anxWa5r0/vmuPygDdXTbuvz/i1Xc+e2vqCq+93M8GYnl2a9unYNovl6YTRj+7N6Qd7&#10;/dVquTj/slqdlufJ7nGKezvbn639+Zl+zj68r+frtj5utovuNuqIu9jX2wM+1F/qY32uJ1/a7atL&#10;7beLtjk1q/O7RbOfNavVdrG0z4Cn4WzwNJ/a5svRPst6flkf/TRhagfzFH3ZxT+/fmqPvx9/bTET&#10;l+Mac2F/o2d5XrV7+ht3OXm2U/bNT9ny+TxZYFBWFa8Un04WeE8LLYwq3KQuNpj5V/9vsfnbH/zP&#10;2fWDZze3czligZz6OTiNm4PfN/Vxaaf2NMcc/NpOtk9Yv7qQajo51Hss1d+weOrDerecuGE7QfZf&#10;++k6zU+YuetcTdoG6+uBs7KiP3Y9dHPHK6xVU00nmKUHLfCrm6TrNPLSSI23aRaFYrrQ9L6finp+&#10;bE/nT8tmP6EXj9MW92avX3/9x+ns/un1n9Dt7A7089D8vN3t3Ls0ghm93jG9Oj9/fnaPXVSCPo8G&#10;PzdP3zAbm6b9zy/g9WrXXB6nTfdqSlTHx9O708nu7wegQKy6vmivLz5fX7Tn3V8byz13Q3/5cm5W&#10;W3vH/ad1dwZ43T38EJx1GGc78XRrWBUROAO7EuARzprzqtLqFmjDmRGFA5oXwmBN/FigZVZAw0XI&#10;Ai5oyOhuvFvzcVBzzQ1dG1ArAK1hOXC9eu45XRWFkKLH2pH+B5LaWuKeZv/npLaYBljdjY/BWuBP&#10;wUHb+8XaLr68sC7f4HV5NXFRvH4QujACEc39Yu19VDbOOmDCKSgzo5AujVbMxWTKlFKyVwZcGl5h&#10;lVFUlsRZ+5WcBdDWUMs3SO3jlihSi5Ipo+CLidRlUVWl5VDvrBEBl6JALJsMa7+W88EaDjUYmPm4&#10;JQrrh0IjxgaZe7AHxE4Pto368/LWgbzaEt4HLnFgV1pWZReF3yOxFbOpfjZYwy2TGR3y2g2PicEf&#10;uOTasC4wg9TUiSS9DVeSYSl0WlQCf61wc90TZmHDCVPMdghqPxFxpOaCl1x07loxCeRvc2slmKxk&#10;SqizE8wKwBGC2k9EFNS8kgohH4VlQZyZpmWQKCjDHWVH6ED8TTz3ExGFsq4gaXcBmYQ6bmxi01tu&#10;5F5cMmg3yYD2IWc2ljsQfBPQfiKigH6A1WZFJ4ArobRWA6iV4EJWCNiSQe0DzmygDoTeBLWfiCio&#10;yXJ3HjqIc2LLnZ1GRqQL+Wc/EXEoQysxosuvuJRSDPgskEzzhDtaiuUnkkmIlkOoKZfG+JgMS2j4&#10;YYHkjaIxxrCFbTWp3k0rGPeyRISQzHZnKJIFMiyrm4xOsSopr8LJfYLtV3M2jjq8zYFN5jG0fuGo&#10;Lc4DA46KhZQpFs9PHgtYbwrH/HKPctQ28i6589SFMVrrV9YbChrcdzLrzb3JyoXQKqyEYvh/Q2iH&#10;850R2gtC2aAccNEgNKoix6BMend5VU2KErGZ2+5+EY5JzhRIlY7QXhXKBuqwCIpEeDTUzLj6okIX&#10;DH6aLvgSalYxmVAgQ/FT94TZQB1WQqFWj4FaFoCRNsiQY8FCaF0OkTaVECmB9qpQFkDbtDkQdnfj&#10;Y6CGATdcSwRchDW2q6QL8Qas1inB9uJQPmC/UTUInMaALVDtzbnTQ7+Ddcro2z9gFlhTABbWvTE8&#10;BmkblzHhNi0LnHhRrob/htamKvHhqWQyZIHdE2YDdVj8Vt6+RebUCMEZncshC4543MjBuR0qOWFU&#10;LJwMaq8aZAN1wIAT2b15i4SaDmUVnbNmOItXDqEWnCTxdFBDmc+N1YHAjKD25i0K6l4PRaIFnG2a&#10;/sJ6p9VDYUxyQzmshypv2aJQFqzSXDs+S1MySJ80sT3O3FSqpJw7lemG6p4T0jajCuTU3Xg3FVFY&#10;U6aFjUunfctSVsoJMj3Yyf004sXswA5oZRZsv+6jwLaZFhUcICa7U6yz08p0WAHH8EhaI/zuZFGJ&#10;Qx1lZWd2QOuUsqjwuWQu4bcOsBoxGYbHQY3SEomQ27K6KA2ObdMFX0BNdYMpMy2IsjlZcMI04K3d&#10;8Bio+4pvGcQ5cfjt08hsCB0uBNbeiUV5aTp+w2n7m7w0gBbDA5eoGUXQllA5QVFjbnwO66GuRQkd&#10;UItDGgVEnCoSCWlmFI5l31puw7HNhZWQLM/yiWQWlKYQWwRS6m58jOkWQoHHLvQWlUL1yQBqwdE5&#10;AaJrMqydPpvNYUubToFawWJgLxdG0fpBYR8avbyI1t/BOuGGFo7/5WTALdaBPKsbH8NrjtNX9vjV&#10;97FOyWufXmRhwynKDm9zYHgM0mhOJyvRbXMIdCLjLoPt86zCaEmtrNKZ8PyUMirKDZlwd9YmOjIj&#10;pQytjJwJ16g/GTajgyqKY9YJQzOX5GflruksVRBrn47EuWsuS6VRTG/99X2CnZ9WFgjDybT7hCQO&#10;atrOgi8mZ63QBwOv4RJeWHAmqiJlZg1BNrfAjPYjgqwep6Kgugjddd0mpihQfwLPfYO1QrO6ilod&#10;pUqu+7K5LAIzm0QHZJRufFRohpOsZdUdv7xTsL2PygfsQGGZBdvbuDgbzrkpOetis/tktvdSWYAN&#10;v4xKoFdG3A2P4TVUcGOQZVl/jf1M4Y5S9P7aIAin5iipTDhOI2TnrgObmJbVXmaIYzWCMU4NyCg0&#10;Q6JNFcg37pojMCtTJtfo15Ud1gFWW6z9VERhjY7QvKy6MPxtrBNqZmjYlR3WgR1ri7XXlKKwxgaW&#10;NKhH/ANep8TaP2A2zjoANTlrPxFRSD+gX1VBR2phwVEPbjQYfmPBC6HQmhCfncxb+4wyC6SJvTwg&#10;o3TjnYGLwprkUdY19eclci+Xy/aBmS0aTZlc9x26ssGa8t+gkOKD1CisUSGME/Rdv7I7BdtnlFmA&#10;TbY6IKS44TG0xp4G+gu6wMxmb2hydGPCK25QSZrQgvstvCyAtpb6jQ0u7qciitVoWFYY1ARbb43D&#10;9AU8xQ3U1GyypIrVZN46P8WMWhCFLHh/KDUKa/Q3wlfLdbuZ3II94HV6sPNTzAK8Jps7jta8Emh1&#10;8zap01YI982bsjDfBGeA0W54jJ/mUL0FZVKUaiG9phrRG+ONzU0gnTDV6hs4ZYN0INMipL1hizLd&#10;UMBLFI46pNErlrm6lj7RMgw1SSmBzk8p44HY20ZqvkgjDmp8KSL8sIW6qqQY9iCEAI4/CTc7+vZN&#10;WXDaQgpmBQOycVIZfSfitZLwPqHOUCl7owyl794WxWp8JSK0MBeS3SfU3mplwWq4ZNplHJLaDY+J&#10;yQS+p8OVEBr0NRo2IZRIu0qGJZYqm+7b+WQBszXeb+ihfdvkOEZDF0HzCyedlOhy9Ko1HbrdFAm/&#10;+1L1/XyywZq+i3TIaVoDjocjysClKuhQFhItgtolsH30jXgtMdR5iWRkpgMhmRseY7173STI6MSy&#10;ic8hs+AzoRkIxtzwGJBt+0F8EaKls6aG/gPZJPmupdNxsjnUQZAGkmk3PA5p9MQwOCJDhrtA4aA7&#10;8HhjuIWmosVU8Vjf3yU1p2eX43p+WR8/vJ/V83VbHzfbxcf6XL/8Ha8vx/lSNJtm97RsP/wXAAD/&#10;/wMAUEsDBBQABgAIAAAAIQAF8LNt3QAAAAUBAAAPAAAAZHJzL2Rvd25yZXYueG1sTI9BS8NAEIXv&#10;gv9hGcGb3aTFmKbZlFLUUxFsBfE2zU6T0OxsyG6T9N+7etHLwOM93vsmX0+mFQP1rrGsIJ5FIIhL&#10;qxuuFHwcXh5SEM4ja2wtk4IrOVgXtzc5ZtqO/E7D3lcilLDLUEHtfZdJ6cqaDLqZ7YiDd7K9QR9k&#10;X0nd4xjKTSvnUZRIgw2HhRo72tZUnvcXo+B1xHGziJ+H3fm0vX4dHt8+dzEpdX83bVYgPE3+Lww/&#10;+AEdisB0tBfWTrQKwiP+9wYvmadPII4KlmmyAFnk8j998Q0AAP//AwBQSwECLQAUAAYACAAAACEA&#10;toM4kv4AAADhAQAAEwAAAAAAAAAAAAAAAAAAAAAAW0NvbnRlbnRfVHlwZXNdLnhtbFBLAQItABQA&#10;BgAIAAAAIQA4/SH/1gAAAJQBAAALAAAAAAAAAAAAAAAAAC8BAABfcmVscy8ucmVsc1BLAQItABQA&#10;BgAIAAAAIQCMsegoBQsAALyIAAAOAAAAAAAAAAAAAAAAAC4CAABkcnMvZTJvRG9jLnhtbFBLAQIt&#10;ABQABgAIAAAAIQAF8LNt3QAAAAUBAAAPAAAAAAAAAAAAAAAAAF8NAABkcnMvZG93bnJldi54bWxQ&#10;SwUGAAAAAAQABADzAAAAaQ4AAAAA&#10;">
                <v:rect id="Rectangle 16435" o:spid="_x0000_s2588" style="position:absolute;left:19006;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8XCxQAAAN4AAAAPAAAAZHJzL2Rvd25yZXYueG1sRE9La8JA&#10;EL4X/A/LCN7qxlpFoquIRZpDL/UBHofsmESzs0t2NWl/fbcgeJuP7zmLVWdqcafGV5YVjIYJCOLc&#10;6ooLBYf99nUGwgdkjbVlUvBDHlbL3ssCU21b/qb7LhQihrBPUUEZgkul9HlJBv3QOuLInW1jMETY&#10;FFI32MZwU8u3JJlKgxXHhhIdbUrKr7ubUXD6YJdtW5mffzfu65LN6s/b4ajUoN+t5yACdeEpfrgz&#10;HedP38cT+H8n3iCXfwAAAP//AwBQSwECLQAUAAYACAAAACEA2+H2y+4AAACFAQAAEwAAAAAAAAAA&#10;AAAAAAAAAAAAW0NvbnRlbnRfVHlwZXNdLnhtbFBLAQItABQABgAIAAAAIQBa9CxbvwAAABUBAAAL&#10;AAAAAAAAAAAAAAAAAB8BAABfcmVscy8ucmVsc1BLAQItABQABgAIAAAAIQCST8XCxQAAAN4AAAAP&#10;AAAAAAAAAAAAAAAAAAcCAABkcnMvZG93bnJldi54bWxQSwUGAAAAAAMAAwC3AAAA+QIAAAAA&#10;" filled="f" stroked="f">
                  <v:textbox inset="0,0,0,0">
                    <w:txbxContent>
                      <w:p w14:paraId="41FF9EFB" w14:textId="77777777" w:rsidR="00B32EF2" w:rsidRDefault="00000000">
                        <w:r>
                          <w:rPr>
                            <w:rFonts w:ascii="Times New Roman" w:eastAsia="Times New Roman" w:hAnsi="Times New Roman" w:cs="Times New Roman"/>
                          </w:rPr>
                          <w:t>82</w:t>
                        </w:r>
                      </w:p>
                    </w:txbxContent>
                  </v:textbox>
                </v:rect>
                <v:rect id="Rectangle 16436" o:spid="_x0000_s2589" style="position:absolute;left:15067;top:61199;width:81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Vu1xQAAAN4AAAAPAAAAZHJzL2Rvd25yZXYueG1sRE9La8JA&#10;EL4X+h+WEbzVjQ+CpK5SLGIOXnwUehyyY5I2O7tkVxP99W6h4G0+vucsVr1pxJVaX1tWMB4lIIgL&#10;q2suFZyOm7c5CB+QNTaWScGNPKyWry8LzLTteE/XQyhFDGGfoYIqBJdJ6YuKDPqRdcSRO9vWYIiw&#10;LaVusYvhppGTJEmlwZpjQ4WO1hUVv4eLUfD9yS7fdLI439du95PPm+3l9KXUcNB/vIMI1Ien+N+d&#10;6zg/nU1T+Hsn3iCXDwAAAP//AwBQSwECLQAUAAYACAAAACEA2+H2y+4AAACFAQAAEwAAAAAAAAAA&#10;AAAAAAAAAAAAW0NvbnRlbnRfVHlwZXNdLnhtbFBLAQItABQABgAIAAAAIQBa9CxbvwAAABUBAAAL&#10;AAAAAAAAAAAAAAAAAB8BAABfcmVscy8ucmVsc1BLAQItABQABgAIAAAAIQBinVu1xQAAAN4AAAAP&#10;AAAAAAAAAAAAAAAAAAcCAABkcnMvZG93bnJldi54bWxQSwUGAAAAAAMAAwC3AAAA+QIAAAAA&#10;" filled="f" stroked="f">
                  <v:textbox inset="0,0,0,0">
                    <w:txbxContent>
                      <w:p w14:paraId="631E7B1A" w14:textId="77777777" w:rsidR="00B32EF2" w:rsidRDefault="00000000">
                        <w:r>
                          <w:rPr>
                            <w:rFonts w:ascii="Arial" w:eastAsia="Arial" w:hAnsi="Arial" w:cs="Arial"/>
                            <w:b/>
                            <w:sz w:val="18"/>
                          </w:rPr>
                          <w:t>Articolo 89</w:t>
                        </w:r>
                      </w:p>
                    </w:txbxContent>
                  </v:textbox>
                </v:rect>
                <v:rect id="Rectangle 200348" o:spid="_x0000_s2590" style="position:absolute;left:11618;top:59966;width:194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xXNxwAAAN8AAAAPAAAAZHJzL2Rvd25yZXYueG1sRI/BasJA&#10;EIbvhb7DMgVvdWMrRVJXEYs0h160FnocsmMSzc4u2dXEPr1zEHoc/vm/mW++HFyrLtTFxrOByTgD&#10;RVx623BlYP+9eZ6BignZYuuZDFwpwnLx+DDH3Pqet3TZpUoJhGOOBuqUQq51LGtyGMc+EEt28J3D&#10;JGNXadthL3DX6pcse9MOG5YLNQZa11Sedmdn4PeDQ7HpdXn4W4evYzFrP8/7H2NGT8PqHVSiIf0v&#10;39uFNSDE16k8LD7iAnpxAwAA//8DAFBLAQItABQABgAIAAAAIQDb4fbL7gAAAIUBAAATAAAAAAAA&#10;AAAAAAAAAAAAAABbQ29udGVudF9UeXBlc10ueG1sUEsBAi0AFAAGAAgAAAAhAFr0LFu/AAAAFQEA&#10;AAsAAAAAAAAAAAAAAAAAHwEAAF9yZWxzLy5yZWxzUEsBAi0AFAAGAAgAAAAhAOxXFc3HAAAA3wAA&#10;AA8AAAAAAAAAAAAAAAAABwIAAGRycy9kb3ducmV2LnhtbFBLBQYAAAAAAwADALcAAAD7AgAAAAA=&#10;" filled="f" stroked="f">
                  <v:textbox inset="0,0,0,0">
                    <w:txbxContent>
                      <w:p w14:paraId="09D6A38F" w14:textId="77777777" w:rsidR="00B32EF2" w:rsidRDefault="00000000">
                        <w:r>
                          <w:rPr>
                            <w:rFonts w:ascii="Arial" w:eastAsia="Arial" w:hAnsi="Arial" w:cs="Arial"/>
                            <w:i/>
                            <w:sz w:val="18"/>
                          </w:rPr>
                          <w:t xml:space="preserve">articolo 40 D.lgs. n. </w:t>
                        </w:r>
                      </w:p>
                    </w:txbxContent>
                  </v:textbox>
                </v:rect>
                <v:rect id="Rectangle 200346" o:spid="_x0000_s2591" style="position:absolute;left:22224;top:59966;width:194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QkxwAAAN8AAAAPAAAAZHJzL2Rvd25yZXYueG1sRI9PawIx&#10;FMTvQr9DeAVvmm0tIqtZKRbpHnrRWujxsXn7x25ewia6q5/eCEKPw8z8hlmtB9OKM3W+sazgZZqA&#10;IC6sbrhScPjeThYgfEDW2FomBRfysM6eRitMte15R+d9qESEsE9RQR2CS6X0RU0G/dQ64uiVtjMY&#10;ouwqqTvsI9y08jVJ5tJgw3GhRkebmoq//cko+P1gl297WZTXjfs65ov283T4UWr8PLwvQQQawn/4&#10;0c61gkicvc3h/id+AZndAAAA//8DAFBLAQItABQABgAIAAAAIQDb4fbL7gAAAIUBAAATAAAAAAAA&#10;AAAAAAAAAAAAAABbQ29udGVudF9UeXBlc10ueG1sUEsBAi0AFAAGAAgAAAAhAFr0LFu/AAAAFQEA&#10;AAsAAAAAAAAAAAAAAAAAHwEAAF9yZWxzLy5yZWxzUEsBAi0AFAAGAAgAAAAhAPKEJCTHAAAA3wAA&#10;AA8AAAAAAAAAAAAAAAAABwIAAGRycy9kb3ducmV2LnhtbFBLBQYAAAAAAwADALcAAAD7AgAAAAA=&#10;" filled="f" stroked="f">
                  <v:textbox inset="0,0,0,0">
                    <w:txbxContent>
                      <w:p w14:paraId="55CFED8D" w14:textId="77777777" w:rsidR="00B32EF2" w:rsidRDefault="00000000">
                        <w:r>
                          <w:rPr>
                            <w:rFonts w:ascii="Arial" w:eastAsia="Arial" w:hAnsi="Arial" w:cs="Arial"/>
                            <w:i/>
                            <w:sz w:val="18"/>
                          </w:rPr>
                          <w:t>(</w:t>
                        </w:r>
                      </w:p>
                    </w:txbxContent>
                  </v:textbox>
                </v:rect>
                <v:rect id="Rectangle 200347" o:spid="_x0000_s2592" style="position:absolute;left:-2648;top:59966;width:194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IG/xwAAAN8AAAAPAAAAZHJzL2Rvd25yZXYueG1sRI9PawIx&#10;FMTvBb9DeIK3btZaVLZGEYu4h15qFXp8bN7+aTcvYRPdtZ++KQg9DjPzG2a1GUwrrtT5xrKCaZKC&#10;IC6sbrhScPrYPy5B+ICssbVMCm7kYbMePaww07bnd7oeQyUihH2GCuoQXCalL2oy6BPriKNX2s5g&#10;iLKrpO6wj3DTyqc0nUuDDceFGh3taiq+jxej4POVXb7vZVH+7NzbV75sD5fTWanJeNi+gAg0hP/w&#10;vZ1rBZE4e17A35/4BeT6FwAA//8DAFBLAQItABQABgAIAAAAIQDb4fbL7gAAAIUBAAATAAAAAAAA&#10;AAAAAAAAAAAAAABbQ29udGVudF9UeXBlc10ueG1sUEsBAi0AFAAGAAgAAAAhAFr0LFu/AAAAFQEA&#10;AAsAAAAAAAAAAAAAAAAAHwEAAF9yZWxzLy5yZWxzUEsBAi0AFAAGAAgAAAAhAJ3Igb/HAAAA3wAA&#10;AA8AAAAAAAAAAAAAAAAABwIAAGRycy9kb3ducmV2LnhtbFBLBQYAAAAAAwADALcAAAD7AgAAAAA=&#10;" filled="f" stroked="f">
                  <v:textbox inset="0,0,0,0">
                    <w:txbxContent>
                      <w:p w14:paraId="38730982" w14:textId="77777777" w:rsidR="00B32EF2" w:rsidRDefault="00000000">
                        <w:r>
                          <w:rPr>
                            <w:rFonts w:ascii="Arial" w:eastAsia="Arial" w:hAnsi="Arial" w:cs="Arial"/>
                            <w:i/>
                            <w:sz w:val="18"/>
                          </w:rPr>
                          <w:t>546/92)</w:t>
                        </w:r>
                      </w:p>
                    </w:txbxContent>
                  </v:textbox>
                </v:rect>
                <v:rect id="Rectangle 16438" o:spid="_x0000_s2593" style="position:absolute;left:7865;top:58733;width:1938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mpcyAAAAN4AAAAPAAAAZHJzL2Rvd25yZXYueG1sRI9Pa8JA&#10;EMXvQr/DMoXedFMrIqmrFIuYgxf/FHocsmOSNju7ZFeT9tM7h0JvM7w37/1muR5cq27UxcazgedJ&#10;Boq49LbhysD5tB0vQMWEbLH1TAZ+KMJ69TBaYm59zwe6HVOlJIRjjgbqlEKudSxrchgnPhCLdvGd&#10;wyRrV2nbYS/hrtXTLJtrhw1LQ42BNjWV38erM/D5zqHY9rq8/G7C/qtYtLvr+cOYp8fh7RVUoiH9&#10;m/+uCyv489mL8Mo7MoNe3QEAAP//AwBQSwECLQAUAAYACAAAACEA2+H2y+4AAACFAQAAEwAAAAAA&#10;AAAAAAAAAAAAAAAAW0NvbnRlbnRfVHlwZXNdLnhtbFBLAQItABQABgAIAAAAIQBa9CxbvwAAABUB&#10;AAALAAAAAAAAAAAAAAAAAB8BAABfcmVscy8ucmVsc1BLAQItABQABgAIAAAAIQB8TmpcyAAAAN4A&#10;AAAPAAAAAAAAAAAAAAAAAAcCAABkcnMvZG93bnJldi54bWxQSwUGAAAAAAMAAwC3AAAA/AIAAAAA&#10;" filled="f" stroked="f">
                  <v:textbox inset="0,0,0,0">
                    <w:txbxContent>
                      <w:p w14:paraId="39B6AC19" w14:textId="77777777" w:rsidR="00B32EF2" w:rsidRDefault="00000000">
                        <w:r>
                          <w:rPr>
                            <w:rFonts w:ascii="Arial" w:eastAsia="Arial" w:hAnsi="Arial" w:cs="Arial"/>
                            <w:b/>
                            <w:sz w:val="18"/>
                          </w:rPr>
                          <w:t xml:space="preserve">Interruzione del processo </w:t>
                        </w:r>
                      </w:p>
                    </w:txbxContent>
                  </v:textbox>
                </v:rect>
                <v:rect id="Rectangle 200343" o:spid="_x0000_s2594" style="position:absolute;left:27058;top:57499;width:492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4e8xgAAAN8AAAAPAAAAZHJzL2Rvd25yZXYueG1sRI9Ba8JA&#10;FITvQv/D8gredFMVkegqYhFz6EVrocdH9plEs2+X7Gpif70rCD0OM/MNs1h1phY3anxlWcHHMAFB&#10;nFtdcaHg+L0dzED4gKyxtkwK7uRhtXzrLTDVtuU93Q6hEBHCPkUFZQguldLnJRn0Q+uIo3eyjcEQ&#10;ZVNI3WAb4aaWoySZSoMVx4USHW1Kyi+Hq1Hw+8ku27YyP/1t3Nc5m9W76/FHqf57t56DCNSF//Cr&#10;nWkFkTiejOH5J34BuXwAAAD//wMAUEsBAi0AFAAGAAgAAAAhANvh9svuAAAAhQEAABMAAAAAAAAA&#10;AAAAAAAAAAAAAFtDb250ZW50X1R5cGVzXS54bWxQSwECLQAUAAYACAAAACEAWvQsW78AAAAVAQAA&#10;CwAAAAAAAAAAAAAAAAAfAQAAX3JlbHMvLnJlbHNQSwECLQAUAAYACAAAACEA4vOHvMYAAADfAAAA&#10;DwAAAAAAAAAAAAAAAAAHAgAAZHJzL2Rvd25yZXYueG1sUEsFBgAAAAADAAMAtwAAAPoCAAAAAA==&#10;" filled="f" stroked="f">
                  <v:textbox inset="0,0,0,0">
                    <w:txbxContent>
                      <w:p w14:paraId="67759BCF" w14:textId="77777777" w:rsidR="00B32EF2" w:rsidRDefault="00000000">
                        <w:r>
                          <w:rPr>
                            <w:rFonts w:ascii="Arial" w:eastAsia="Arial" w:hAnsi="Arial" w:cs="Arial"/>
                            <w:sz w:val="18"/>
                          </w:rPr>
                          <w:t>1</w:t>
                        </w:r>
                      </w:p>
                    </w:txbxContent>
                  </v:textbox>
                </v:rect>
                <v:rect id="Rectangle 200344" o:spid="_x0000_s2595" style="position:absolute;left:-46082;top:57499;width:492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h/IxwAAAN8AAAAPAAAAZHJzL2Rvd25yZXYueG1sRI/NawIx&#10;FMTvQv+H8AreNNsqRVazUizSPfTiR6HHx+bth928hE10V//6Rih4HGbmN8xqPZhWXKjzjWUFL9ME&#10;BHFhdcOVguNhO1mA8AFZY2uZFFzJwzp7Gq0w1bbnHV32oRIRwj5FBXUILpXSFzUZ9FPriKNX2s5g&#10;iLKrpO6wj3DTytckeZMGG44LNTra1FT87s9Gwc8Hu3zby6K8bdzXKV+0n+fjt1Lj5+F9CSLQEB7h&#10;/3auFUTibD6H+5/4BWT2BwAA//8DAFBLAQItABQABgAIAAAAIQDb4fbL7gAAAIUBAAATAAAAAAAA&#10;AAAAAAAAAAAAAABbQ29udGVudF9UeXBlc10ueG1sUEsBAi0AFAAGAAgAAAAhAFr0LFu/AAAAFQEA&#10;AAsAAAAAAAAAAAAAAAAAHwEAAF9yZWxzLy5yZWxzUEsBAi0AFAAGAAgAAAAhAG0aH8jHAAAA3wAA&#10;AA8AAAAAAAAAAAAAAAAABwIAAGRycy9kb3ducmV2LnhtbFBLBQYAAAAAAwADALcAAAD7AgAAAAA=&#10;" filled="f" stroked="f">
                  <v:textbox inset="0,0,0,0">
                    <w:txbxContent>
                      <w:p w14:paraId="3672A708" w14:textId="77777777" w:rsidR="00B32EF2" w:rsidRDefault="00000000">
                        <w:r>
                          <w:rPr>
                            <w:rFonts w:ascii="Arial" w:eastAsia="Arial" w:hAnsi="Arial" w:cs="Arial"/>
                            <w:sz w:val="18"/>
                          </w:rPr>
                          <w:t>:</w:t>
                        </w:r>
                      </w:p>
                    </w:txbxContent>
                  </v:textbox>
                </v:rect>
                <v:rect id="Rectangle 200345" o:spid="_x0000_s2596" style="position:absolute;left:-9639;top:57499;width:492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rpTxwAAAN8AAAAPAAAAZHJzL2Rvd25yZXYueG1sRI9PawIx&#10;FMTvBb9DeIK3btZaRbZGEYu4h15qFXp8bN7+aTcvYRPdtZ++KQg9DjPzG2a1GUwrrtT5xrKCaZKC&#10;IC6sbrhScPrYPy5B+ICssbVMCm7kYbMePaww07bnd7oeQyUihH2GCuoQXCalL2oy6BPriKNX2s5g&#10;iLKrpO6wj3DTyqc0XUiDDceFGh3taiq+jxej4POVXb7vZVH+7NzbV75sD5fTWanJeNi+gAg0hP/w&#10;vZ1rBZE4e57D35/4BeT6FwAA//8DAFBLAQItABQABgAIAAAAIQDb4fbL7gAAAIUBAAATAAAAAAAA&#10;AAAAAAAAAAAAAABbQ29udGVudF9UeXBlc10ueG1sUEsBAi0AFAAGAAgAAAAhAFr0LFu/AAAAFQEA&#10;AAsAAAAAAAAAAAAAAAAAHwEAAF9yZWxzLy5yZWxzUEsBAi0AFAAGAAgAAAAhAAJWulPHAAAA3wAA&#10;AA8AAAAAAAAAAAAAAAAABwIAAGRycy9kb3ducmV2LnhtbFBLBQYAAAAAAwADALcAAAD7AgAAAAA=&#10;" filled="f" stroked="f">
                  <v:textbox inset="0,0,0,0">
                    <w:txbxContent>
                      <w:p w14:paraId="010EA693" w14:textId="77777777" w:rsidR="00B32EF2" w:rsidRDefault="00000000">
                        <w:r>
                          <w:rPr>
                            <w:rFonts w:ascii="Arial" w:eastAsia="Arial" w:hAnsi="Arial" w:cs="Arial"/>
                            <w:sz w:val="18"/>
                          </w:rPr>
                          <w:t>. Il processo è interrotto se, dopo la proposizione del ricorso, si verifica</w:t>
                        </w:r>
                      </w:p>
                    </w:txbxContent>
                  </v:textbox>
                </v:rect>
                <v:rect id="Rectangle 16440" o:spid="_x0000_s2597" style="position:absolute;left:-13168;top:56266;width:530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hUnxwAAAN4AAAAPAAAAZHJzL2Rvd25yZXYueG1sRI9Pa8JA&#10;EMXvhX6HZQq91U2LiKSuUizSHLz4D3ocsmOSNju7ZFcT/fTOQfA2w7x57/1mi8G16kxdbDwbeB9l&#10;oIhLbxuuDOx3q7cpqJiQLbaeycCFIizmz08zzK3veUPnbaqUmHDM0UCdUsi1jmVNDuPIB2K5HX3n&#10;MMnaVdp22Iu5a/VHlk20w4YlocZAy5rK/+3JGfj95lCsel0er8uw/ium7c9pfzDm9WX4+gSVaEgP&#10;8f27sFJ/Mh4LgODIDHp+AwAA//8DAFBLAQItABQABgAIAAAAIQDb4fbL7gAAAIUBAAATAAAAAAAA&#10;AAAAAAAAAAAAAABbQ29udGVudF9UeXBlc10ueG1sUEsBAi0AFAAGAAgAAAAhAFr0LFu/AAAAFQEA&#10;AAsAAAAAAAAAAAAAAAAAHwEAAF9yZWxzLy5yZWxzUEsBAi0AFAAGAAgAAAAhANo+FSfHAAAA3gAA&#10;AA8AAAAAAAAAAAAAAAAABwIAAGRycy9kb3ducmV2LnhtbFBLBQYAAAAAAwADALcAAAD7AgAAAAA=&#10;" filled="f" stroked="f">
                  <v:textbox inset="0,0,0,0">
                    <w:txbxContent>
                      <w:p w14:paraId="1D84D0C4" w14:textId="77777777" w:rsidR="00B32EF2" w:rsidRDefault="00000000">
                        <w:r>
                          <w:rPr>
                            <w:rFonts w:ascii="Arial" w:eastAsia="Arial" w:hAnsi="Arial" w:cs="Arial"/>
                            <w:sz w:val="18"/>
                          </w:rPr>
                          <w:t xml:space="preserve">a) il venir meno, per morte o altre cause, o la perdita della capacità di stare in </w:t>
                        </w:r>
                      </w:p>
                    </w:txbxContent>
                  </v:textbox>
                </v:rect>
                <v:rect id="Rectangle 16441" o:spid="_x0000_s2598" style="position:absolute;left:-12171;top:55033;width:520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rC8wwAAAN4AAAAPAAAAZHJzL2Rvd25yZXYueG1sRE9Li8Iw&#10;EL4v+B/CCHtbUxcRqUYRRbaHvfgCj0MzttVmEppou/vrjSB4m4/vObNFZ2pxp8ZXlhUMBwkI4tzq&#10;igsFh/3mawLCB2SNtWVS8EceFvPexwxTbVve0n0XChFD2KeooAzBpVL6vCSDfmAdceTOtjEYImwK&#10;qRtsY7ip5XeSjKXBimNDiY5WJeXX3c0oOK3ZZZtW5uf/lfu9ZJP653Y4KvXZ75ZTEIG68Ba/3JmO&#10;88ej0RCe78Qb5PwBAAD//wMAUEsBAi0AFAAGAAgAAAAhANvh9svuAAAAhQEAABMAAAAAAAAAAAAA&#10;AAAAAAAAAFtDb250ZW50X1R5cGVzXS54bWxQSwECLQAUAAYACAAAACEAWvQsW78AAAAVAQAACwAA&#10;AAAAAAAAAAAAAAAfAQAAX3JlbHMvLnJlbHNQSwECLQAUAAYACAAAACEAtXKwvMMAAADeAAAADwAA&#10;AAAAAAAAAAAAAAAHAgAAZHJzL2Rvd25yZXYueG1sUEsFBgAAAAADAAMAtwAAAPcCAAAAAA==&#10;" filled="f" stroked="f">
                  <v:textbox inset="0,0,0,0">
                    <w:txbxContent>
                      <w:p w14:paraId="2743FD29" w14:textId="77777777" w:rsidR="00B32EF2" w:rsidRDefault="00000000">
                        <w:r>
                          <w:rPr>
                            <w:rFonts w:ascii="Arial" w:eastAsia="Arial" w:hAnsi="Arial" w:cs="Arial"/>
                            <w:sz w:val="18"/>
                          </w:rPr>
                          <w:t>giudizio di una delle parti, diversa dall’ufficio tributario, o del suo legale rappre</w:t>
                        </w:r>
                      </w:p>
                    </w:txbxContent>
                  </v:textbox>
                </v:rect>
                <v:rect id="Rectangle 16442" o:spid="_x0000_s2599" style="position:absolute;left:193;top:550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7LxAAAAN4AAAAPAAAAZHJzL2Rvd25yZXYueG1sRE9Li8Iw&#10;EL4v+B/CCN7WVBGRahRRxB72sj7A49CMbbWZhCbaur9+s7DgbT6+5yxWnanFkxpfWVYwGiYgiHOr&#10;Ky4UnI67zxkIH5A11pZJwYs8rJa9jwWm2rb8Tc9DKEQMYZ+igjIEl0rp85IM+qF1xJG72sZgiLAp&#10;pG6wjeGmluMkmUqDFceGEh1tSsrvh4dRcNmyy3atzK8/G/d1y2b1/nE6KzXod+s5iEBdeIv/3ZmO&#10;86eTyRj+3ok3yOUvAAAA//8DAFBLAQItABQABgAIAAAAIQDb4fbL7gAAAIUBAAATAAAAAAAAAAAA&#10;AAAAAAAAAABbQ29udGVudF9UeXBlc10ueG1sUEsBAi0AFAAGAAgAAAAhAFr0LFu/AAAAFQEAAAsA&#10;AAAAAAAAAAAAAAAAHwEAAF9yZWxzLy5yZWxzUEsBAi0AFAAGAAgAAAAhAEWgLsvEAAAA3gAAAA8A&#10;AAAAAAAAAAAAAAAABwIAAGRycy9kb3ducmV2LnhtbFBLBQYAAAAAAwADALcAAAD4AgAAAAA=&#10;" filled="f" stroked="f">
                  <v:textbox inset="0,0,0,0">
                    <w:txbxContent>
                      <w:p w14:paraId="073DCEF7" w14:textId="77777777" w:rsidR="00B32EF2" w:rsidRDefault="00000000">
                        <w:r>
                          <w:rPr>
                            <w:rFonts w:ascii="Arial" w:eastAsia="Arial" w:hAnsi="Arial" w:cs="Arial"/>
                            <w:sz w:val="18"/>
                          </w:rPr>
                          <w:t>-</w:t>
                        </w:r>
                      </w:p>
                    </w:txbxContent>
                  </v:textbox>
                </v:rect>
                <v:rect id="Rectangle 16443" o:spid="_x0000_s2600" style="position:absolute;left:6906;top:53799;width:330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ItQxAAAAN4AAAAPAAAAZHJzL2Rvd25yZXYueG1sRE9Ni8Iw&#10;EL0L/ocwgjdNdUWkaxRRZHvwsq4Lexyasa02k9BEW/31m4UFb/N4n7Ncd6YWd2p8ZVnBZJyAIM6t&#10;rrhQcPrajxYgfEDWWFsmBQ/ysF71e0tMtW35k+7HUIgYwj5FBWUILpXS5yUZ9GPriCN3to3BEGFT&#10;SN1gG8NNLadJMpcGK44NJTralpRfjzej4GfHLtu3Mj8/t+5wyRb1x+30rdRw0G3eQQTqwkv87850&#10;nD+fzd7g7514g1z9AgAA//8DAFBLAQItABQABgAIAAAAIQDb4fbL7gAAAIUBAAATAAAAAAAAAAAA&#10;AAAAAAAAAABbQ29udGVudF9UeXBlc10ueG1sUEsBAi0AFAAGAAgAAAAhAFr0LFu/AAAAFQEAAAsA&#10;AAAAAAAAAAAAAAAAHwEAAF9yZWxzLy5yZWxzUEsBAi0AFAAGAAgAAAAhACrsi1DEAAAA3gAAAA8A&#10;AAAAAAAAAAAAAAAABwIAAGRycy9kb3ducmV2LnhtbFBLBQYAAAAAAwADALcAAAD4AgAAAAA=&#10;" filled="f" stroked="f">
                  <v:textbox inset="0,0,0,0">
                    <w:txbxContent>
                      <w:p w14:paraId="61DF256C" w14:textId="77777777" w:rsidR="00B32EF2" w:rsidRDefault="00000000">
                        <w:r>
                          <w:rPr>
                            <w:rFonts w:ascii="Arial" w:eastAsia="Arial" w:hAnsi="Arial" w:cs="Arial"/>
                            <w:sz w:val="18"/>
                          </w:rPr>
                          <w:t>sentante o la cessazione di tale rappresentanza;</w:t>
                        </w:r>
                      </w:p>
                    </w:txbxContent>
                  </v:textbox>
                </v:rect>
                <v:rect id="Rectangle 16444" o:spid="_x0000_s2601" style="position:absolute;left:-12204;top:52566;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MkxAAAAN4AAAAPAAAAZHJzL2Rvd25yZXYueG1sRE9Na8JA&#10;EL0L/odlCr3pphJEUlcRRcyhl2oEj0N2TFKzs0t2NWl/fbdQ8DaP9znL9WBa8aDON5YVvE0TEMSl&#10;1Q1XCorTfrIA4QOyxtYyKfgmD+vVeLTETNueP+lxDJWIIewzVFCH4DIpfVmTQT+1jjhyV9sZDBF2&#10;ldQd9jHctHKWJHNpsOHYUKOjbU3l7Xg3Ci47dvm+l+X1Z+s+vvJFe7gXZ6VeX4bNO4hAQ3iK/925&#10;jvPnaZrC3zvxBrn6BQAA//8DAFBLAQItABQABgAIAAAAIQDb4fbL7gAAAIUBAAATAAAAAAAAAAAA&#10;AAAAAAAAAABbQ29udGVudF9UeXBlc10ueG1sUEsBAi0AFAAGAAgAAAAhAFr0LFu/AAAAFQEAAAsA&#10;AAAAAAAAAAAAAAAAHwEAAF9yZWxzLy5yZWxzUEsBAi0AFAAGAAgAAAAhAKUFEyTEAAAA3gAAAA8A&#10;AAAAAAAAAAAAAAAABwIAAGRycy9kb3ducmV2LnhtbFBLBQYAAAAAAwADALcAAAD4AgAAAAA=&#10;" filled="f" stroked="f">
                  <v:textbox inset="0,0,0,0">
                    <w:txbxContent>
                      <w:p w14:paraId="772BE8EA" w14:textId="77777777" w:rsidR="00B32EF2" w:rsidRDefault="00000000">
                        <w:r>
                          <w:rPr>
                            <w:rFonts w:ascii="Arial" w:eastAsia="Arial" w:hAnsi="Arial" w:cs="Arial"/>
                            <w:sz w:val="18"/>
                          </w:rPr>
                          <w:t>b) la morte, la radiazione o sospensione dall’albo o dall’elenco di uno dei difen</w:t>
                        </w:r>
                      </w:p>
                    </w:txbxContent>
                  </v:textbox>
                </v:rect>
                <v:rect id="Rectangle 16445" o:spid="_x0000_s2602" style="position:absolute;left:193;top:525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ba/xAAAAN4AAAAPAAAAZHJzL2Rvd25yZXYueG1sRE9Ni8Iw&#10;EL0L/ocwgjdNFVekaxRRxB72sq4Lexyasa02k9BEW/31m4UFb/N4n7Ncd6YWd2p8ZVnBZJyAIM6t&#10;rrhQcPrajxYgfEDWWFsmBQ/ysF71e0tMtW35k+7HUIgYwj5FBWUILpXS5yUZ9GPriCN3to3BEGFT&#10;SN1gG8NNLadJMpcGK44NJTralpRfjzej4GfHLtu3Mj8/t+7jki3qw+30rdRw0G3eQQTqwkv87850&#10;nD+fzd7g7514g1z9AgAA//8DAFBLAQItABQABgAIAAAAIQDb4fbL7gAAAIUBAAATAAAAAAAAAAAA&#10;AAAAAAAAAABbQ29udGVudF9UeXBlc10ueG1sUEsBAi0AFAAGAAgAAAAhAFr0LFu/AAAAFQEAAAsA&#10;AAAAAAAAAAAAAAAAHwEAAF9yZWxzLy5yZWxzUEsBAi0AFAAGAAgAAAAhAMpJtr/EAAAA3gAAAA8A&#10;AAAAAAAAAAAAAAAABwIAAGRycy9kb3ducmV2LnhtbFBLBQYAAAAAAwADALcAAAD4AgAAAAA=&#10;" filled="f" stroked="f">
                  <v:textbox inset="0,0,0,0">
                    <w:txbxContent>
                      <w:p w14:paraId="2FDE14DE" w14:textId="77777777" w:rsidR="00B32EF2" w:rsidRDefault="00000000">
                        <w:r>
                          <w:rPr>
                            <w:rFonts w:ascii="Arial" w:eastAsia="Arial" w:hAnsi="Arial" w:cs="Arial"/>
                            <w:sz w:val="18"/>
                          </w:rPr>
                          <w:t>-</w:t>
                        </w:r>
                      </w:p>
                    </w:txbxContent>
                  </v:textbox>
                </v:rect>
                <v:rect id="Rectangle 16446" o:spid="_x0000_s2603" style="position:absolute;left:14998;top:51333;width:249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jIxAAAAN4AAAAPAAAAZHJzL2Rvd25yZXYueG1sRE9Na8JA&#10;EL0X/A/LFLzVTYsESV1FFGkOXqoRPA7ZMUnNzi7Z1UR/fbdQ8DaP9znz5WBacaPON5YVvE8SEMSl&#10;1Q1XCorD9m0Gwgdkja1lUnAnD8vF6GWOmbY9f9NtHyoRQ9hnqKAOwWVS+rImg35iHXHkzrYzGCLs&#10;Kqk77GO4aeVHkqTSYMOxoUZH65rKy/5qFJw27PJtL8vzY+12P/ms/boWR6XGr8PqE0SgITzF/+5c&#10;x/npdJrC3zvxBrn4BQAA//8DAFBLAQItABQABgAIAAAAIQDb4fbL7gAAAIUBAAATAAAAAAAAAAAA&#10;AAAAAAAAAABbQ29udGVudF9UeXBlc10ueG1sUEsBAi0AFAAGAAgAAAAhAFr0LFu/AAAAFQEAAAsA&#10;AAAAAAAAAAAAAAAAHwEAAF9yZWxzLy5yZWxzUEsBAi0AFAAGAAgAAAAhADqbKMjEAAAA3gAAAA8A&#10;AAAAAAAAAAAAAAAABwIAAGRycy9kb3ducmV2LnhtbFBLBQYAAAAAAwADALcAAAD4AgAAAAA=&#10;" filled="f" stroked="f">
                  <v:textbox inset="0,0,0,0">
                    <w:txbxContent>
                      <w:p w14:paraId="48AA1044" w14:textId="77777777" w:rsidR="00B32EF2" w:rsidRDefault="00000000">
                        <w:r>
                          <w:rPr>
                            <w:rFonts w:ascii="Arial" w:eastAsia="Arial" w:hAnsi="Arial" w:cs="Arial"/>
                            <w:sz w:val="18"/>
                          </w:rPr>
                          <w:t>sori incaricati a sensi dell’articolo 57.</w:t>
                        </w:r>
                      </w:p>
                    </w:txbxContent>
                  </v:textbox>
                </v:rect>
                <v:rect id="Rectangle 200339" o:spid="_x0000_s2604" style="position:absolute;left:26330;top:50099;width:522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cMrxwAAAN8AAAAPAAAAZHJzL2Rvd25yZXYueG1sRI9PawIx&#10;FMTvBb9DeEJvmrWC2K1ZEUW6h15qFTw+Nm//1M1L2ER3209vCkKPw8z8hlmtB9OKG3W+saxgNk1A&#10;EBdWN1wpOH7tJ0sQPiBrbC2Tgh/ysM5GTytMte35k26HUIkIYZ+igjoEl0rpi5oM+ql1xNErbWcw&#10;RNlVUnfYR7hp5UuSLKTBhuNCjY62NRWXw9UoOO/Y5fteFuXv1n1858v2/Xo8KfU8HjZvIAIN4T/8&#10;aOdaQSTO56/w9yd+AZndAQAA//8DAFBLAQItABQABgAIAAAAIQDb4fbL7gAAAIUBAAATAAAAAAAA&#10;AAAAAAAAAAAAAABbQ29udGVudF9UeXBlc10ueG1sUEsBAi0AFAAGAAgAAAAhAFr0LFu/AAAAFQEA&#10;AAsAAAAAAAAAAAAAAAAAHwEAAF9yZWxzLy5yZWxzUEsBAi0AFAAGAAgAAAAhANsdwyvHAAAA3wAA&#10;AA8AAAAAAAAAAAAAAAAABwIAAGRycy9kb3ducmV2LnhtbFBLBQYAAAAAAwADALcAAAD7AgAAAAA=&#10;" filled="f" stroked="f">
                  <v:textbox inset="0,0,0,0">
                    <w:txbxContent>
                      <w:p w14:paraId="671F7184" w14:textId="77777777" w:rsidR="00B32EF2" w:rsidRDefault="00000000">
                        <w:r>
                          <w:rPr>
                            <w:rFonts w:ascii="Arial" w:eastAsia="Arial" w:hAnsi="Arial" w:cs="Arial"/>
                            <w:sz w:val="18"/>
                          </w:rPr>
                          <w:t>2</w:t>
                        </w:r>
                      </w:p>
                    </w:txbxContent>
                  </v:textbox>
                </v:rect>
                <v:rect id="Rectangle 200341" o:spid="_x0000_s2605" style="position:absolute;left:-12933;top:50099;width:522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bxQxwAAAN8AAAAPAAAAZHJzL2Rvd25yZXYueG1sRI9PawIx&#10;FMTvgt8hPKE3zWqLyNasFEW6By+1Ch4fm7d/2s1L2ER366dvCkKPw8z8hllvBtOKG3W+saxgPktA&#10;EBdWN1wpOH3upysQPiBrbC2Tgh/ysMnGozWm2vb8QbdjqESEsE9RQR2CS6X0RU0G/cw64uiVtjMY&#10;ouwqqTvsI9y0cpEkS2mw4bhQo6NtTcX38WoUXHbs8n0vi/K+dYevfNW+X09npZ4mw9sriEBD+A8/&#10;2rlWEInPL3P4+xO/gMx+AQAA//8DAFBLAQItABQABgAIAAAAIQDb4fbL7gAAAIUBAAATAAAAAAAA&#10;AAAAAAAAAAAAAABbQ29udGVudF9UeXBlc10ueG1sUEsBAi0AFAAGAAgAAAAhAFr0LFu/AAAAFQEA&#10;AAsAAAAAAAAAAAAAAAAAHwEAAF9yZWxzLy5yZWxzUEsBAi0AFAAGAAgAAAAhAH1tvFDHAAAA3wAA&#10;AA8AAAAAAAAAAAAAAAAABwIAAGRycy9kb3ducmV2LnhtbFBLBQYAAAAAAwADALcAAAD7AgAAAAA=&#10;" filled="f" stroked="f">
                  <v:textbox inset="0,0,0,0">
                    <w:txbxContent>
                      <w:p w14:paraId="4B47B093" w14:textId="77777777" w:rsidR="00B32EF2" w:rsidRDefault="00000000">
                        <w:r>
                          <w:rPr>
                            <w:rFonts w:ascii="Arial" w:eastAsia="Arial" w:hAnsi="Arial" w:cs="Arial"/>
                            <w:sz w:val="18"/>
                          </w:rPr>
                          <w:t>. L’interruzione si ha al momento dell’evento se la parte sta in giudizio per</w:t>
                        </w:r>
                      </w:p>
                    </w:txbxContent>
                  </v:textbox>
                </v:rect>
                <v:rect id="Rectangle 16448" o:spid="_x0000_s2606" style="position:absolute;left:193;top:500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BkhxwAAAN4AAAAPAAAAZHJzL2Rvd25yZXYueG1sRI9Pa8JA&#10;EMXvhX6HZQq91U2LiKSuUizSHLz4D3ocsmOSNju7ZFcT/fTOQfA2w3vz3m9mi8G16kxdbDwbeB9l&#10;oIhLbxuuDOx3q7cpqJiQLbaeycCFIizmz08zzK3veUPnbaqUhHDM0UCdUsi1jmVNDuPIB2LRjr5z&#10;mGTtKm077CXctfojyybaYcPSUGOgZU3l//bkDPx+cyhWvS6P12VY/xXT9ue0Pxjz+jJ8fYJKNKSH&#10;+X5dWMGfjMfCK+/IDHp+AwAA//8DAFBLAQItABQABgAIAAAAIQDb4fbL7gAAAIUBAAATAAAAAAAA&#10;AAAAAAAAAAAAAABbQ29udGVudF9UeXBlc10ueG1sUEsBAi0AFAAGAAgAAAAhAFr0LFu/AAAAFQEA&#10;AAsAAAAAAAAAAAAAAAAAHwEAAF9yZWxzLy5yZWxzUEsBAi0AFAAGAAgAAAAhACRIGSHHAAAA3gAA&#10;AA8AAAAAAAAAAAAAAAAABwIAAGRycy9kb3ducmV2LnhtbFBLBQYAAAAAAwADALcAAAD7AgAAAAA=&#10;" filled="f" stroked="f">
                  <v:textbox inset="0,0,0,0">
                    <w:txbxContent>
                      <w:p w14:paraId="7A392206" w14:textId="77777777" w:rsidR="00B32EF2" w:rsidRDefault="00000000">
                        <w:r>
                          <w:rPr>
                            <w:rFonts w:ascii="Arial" w:eastAsia="Arial" w:hAnsi="Arial" w:cs="Arial"/>
                            <w:sz w:val="18"/>
                          </w:rPr>
                          <w:t>-</w:t>
                        </w:r>
                      </w:p>
                    </w:txbxContent>
                  </v:textbox>
                </v:rect>
                <v:rect id="Rectangle 16449" o:spid="_x0000_s2607" style="position:absolute;left:-12207;top:48866;width:521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Ly6xAAAAN4AAAAPAAAAZHJzL2Rvd25yZXYueG1sRE9Li8Iw&#10;EL4v+B/CCN7WdBcRrUZZXMQe9uILPA7N2FabSWiirf76jbCwt/n4njNfdqYWd2p8ZVnBxzABQZxb&#10;XXGh4LBfv09A+ICssbZMCh7kYbnovc0x1bblLd13oRAxhH2KCsoQXCqlz0sy6IfWEUfubBuDIcKm&#10;kLrBNoabWn4myVgarDg2lOhoVVJ+3d2MgtM3u2zdyvz8XLmfSzapN7fDUalBv/uagQjUhX/xnzvT&#10;cf54NJrC6514g1z8AgAA//8DAFBLAQItABQABgAIAAAAIQDb4fbL7gAAAIUBAAATAAAAAAAAAAAA&#10;AAAAAAAAAABbQ29udGVudF9UeXBlc10ueG1sUEsBAi0AFAAGAAgAAAAhAFr0LFu/AAAAFQEAAAsA&#10;AAAAAAAAAAAAAAAAHwEAAF9yZWxzLy5yZWxzUEsBAi0AFAAGAAgAAAAhAEsEvLrEAAAA3gAAAA8A&#10;AAAAAAAAAAAAAAAABwIAAGRycy9kb3ducmV2LnhtbFBLBQYAAAAAAwADALcAAAD4AgAAAAA=&#10;" filled="f" stroked="f">
                  <v:textbox inset="0,0,0,0">
                    <w:txbxContent>
                      <w:p w14:paraId="00089AF6" w14:textId="77777777" w:rsidR="00B32EF2" w:rsidRDefault="00000000">
                        <w:r>
                          <w:rPr>
                            <w:rFonts w:ascii="Arial" w:eastAsia="Arial" w:hAnsi="Arial" w:cs="Arial"/>
                            <w:sz w:val="18"/>
                          </w:rPr>
                          <w:t>sonalmente e nei casi di cui al comma 1, lettera b). In ogni altro caso l’interru</w:t>
                        </w:r>
                      </w:p>
                    </w:txbxContent>
                  </v:textbox>
                </v:rect>
                <v:rect id="Rectangle 16450" o:spid="_x0000_s2608" style="position:absolute;left:193;top:488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4P6yAAAAN4AAAAPAAAAZHJzL2Rvd25yZXYueG1sRI9Pa8JA&#10;EMXvQr/DMoXedFOpIqmrFIuYgxf/FHocsmOSNju7ZFeT9tM7h0JvM8yb995vuR5cq27UxcazgedJ&#10;Boq49LbhysD5tB0vQMWEbLH1TAZ+KMJ69TBaYm59zwe6HVOlxIRjjgbqlEKudSxrchgnPhDL7eI7&#10;h0nWrtK2w17MXaunWTbXDhuWhBoDbWoqv49XZ+DznUOx7XV5+d2E/VexaHfX84cxT4/D2yuoREP6&#10;F/99F1bqz19mAiA4MoNe3QEAAP//AwBQSwECLQAUAAYACAAAACEA2+H2y+4AAACFAQAAEwAAAAAA&#10;AAAAAAAAAAAAAAAAW0NvbnRlbnRfVHlwZXNdLnhtbFBLAQItABQABgAIAAAAIQBa9CxbvwAAABUB&#10;AAALAAAAAAAAAAAAAAAAAB8BAABfcmVscy8ucmVsc1BLAQItABQABgAIAAAAIQBf54P6yAAAAN4A&#10;AAAPAAAAAAAAAAAAAAAAAAcCAABkcnMvZG93bnJldi54bWxQSwUGAAAAAAMAAwC3AAAA/AIAAAAA&#10;" filled="f" stroked="f">
                  <v:textbox inset="0,0,0,0">
                    <w:txbxContent>
                      <w:p w14:paraId="1ACB4F22" w14:textId="77777777" w:rsidR="00B32EF2" w:rsidRDefault="00000000">
                        <w:r>
                          <w:rPr>
                            <w:rFonts w:ascii="Arial" w:eastAsia="Arial" w:hAnsi="Arial" w:cs="Arial"/>
                            <w:sz w:val="18"/>
                          </w:rPr>
                          <w:t>-</w:t>
                        </w:r>
                      </w:p>
                    </w:txbxContent>
                  </v:textbox>
                </v:rect>
                <v:rect id="Rectangle 16451" o:spid="_x0000_s2609" style="position:absolute;left:-13176;top:47633;width:53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yZhxAAAAN4AAAAPAAAAZHJzL2Rvd25yZXYueG1sRE9Li8Iw&#10;EL4v7H8Is+BtTRVXpBplcRF72Isv8Dg0Y1ttJqGJtvrrzcKCt/n4njNbdKYWN2p8ZVnBoJ+AIM6t&#10;rrhQsN+tPicgfEDWWFsmBXfysJi/v80w1bblDd22oRAxhH2KCsoQXCqlz0sy6PvWEUfuZBuDIcKm&#10;kLrBNoabWg6TZCwNVhwbSnS0LCm/bK9GwfGHXbZqZX56LN3vOZvU6+v+oFTvo/ueggjUhZf4353p&#10;OH88+hrA3zvxBjl/AgAA//8DAFBLAQItABQABgAIAAAAIQDb4fbL7gAAAIUBAAATAAAAAAAAAAAA&#10;AAAAAAAAAABbQ29udGVudF9UeXBlc10ueG1sUEsBAi0AFAAGAAgAAAAhAFr0LFu/AAAAFQEAAAsA&#10;AAAAAAAAAAAAAAAAHwEAAF9yZWxzLy5yZWxzUEsBAi0AFAAGAAgAAAAhADCrJmHEAAAA3gAAAA8A&#10;AAAAAAAAAAAAAAAABwIAAGRycy9kb3ducmV2LnhtbFBLBQYAAAAAAwADALcAAAD4AgAAAAA=&#10;" filled="f" stroked="f">
                  <v:textbox inset="0,0,0,0">
                    <w:txbxContent>
                      <w:p w14:paraId="291B184B" w14:textId="77777777" w:rsidR="00B32EF2" w:rsidRDefault="00000000">
                        <w:r>
                          <w:rPr>
                            <w:rFonts w:ascii="Arial" w:eastAsia="Arial" w:hAnsi="Arial" w:cs="Arial"/>
                            <w:sz w:val="18"/>
                          </w:rPr>
                          <w:t xml:space="preserve">zione si ha al momento in cui l’evento è dichiarato o in pubblica udienza o per </w:t>
                        </w:r>
                      </w:p>
                    </w:txbxContent>
                  </v:textbox>
                </v:rect>
                <v:rect id="Rectangle 16452" o:spid="_x0000_s2610" style="position:absolute;left:-13170;top:46400;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bgWxAAAAN4AAAAPAAAAZHJzL2Rvd25yZXYueG1sRE9Ni8Iw&#10;EL0L/ocwgjdNFVekaxRRxB72sq4Lexyasa02k9BEW/31m4UFb/N4n7Ncd6YWd2p8ZVnBZJyAIM6t&#10;rrhQcPrajxYgfEDWWFsmBQ/ysF71e0tMtW35k+7HUIgYwj5FBWUILpXS5yUZ9GPriCN3to3BEGFT&#10;SN1gG8NNLadJMpcGK44NJTralpRfjzej4GfHLtu3Mj8/t+7jki3qw+30rdRw0G3eQQTqwkv87850&#10;nD+fvU3h7514g1z9AgAA//8DAFBLAQItABQABgAIAAAAIQDb4fbL7gAAAIUBAAATAAAAAAAAAAAA&#10;AAAAAAAAAABbQ29udGVudF9UeXBlc10ueG1sUEsBAi0AFAAGAAgAAAAhAFr0LFu/AAAAFQEAAAsA&#10;AAAAAAAAAAAAAAAAHwEAAF9yZWxzLy5yZWxzUEsBAi0AFAAGAAgAAAAhAMB5uBbEAAAA3gAAAA8A&#10;AAAAAAAAAAAAAAAABwIAAGRycy9kb3ducmV2LnhtbFBLBQYAAAAAAwADALcAAAD4AgAAAAA=&#10;" filled="f" stroked="f">
                  <v:textbox inset="0,0,0,0">
                    <w:txbxContent>
                      <w:p w14:paraId="3166FCA3" w14:textId="77777777" w:rsidR="00B32EF2" w:rsidRDefault="00000000">
                        <w:r>
                          <w:rPr>
                            <w:rFonts w:ascii="Arial" w:eastAsia="Arial" w:hAnsi="Arial" w:cs="Arial"/>
                            <w:sz w:val="18"/>
                          </w:rPr>
                          <w:t xml:space="preserve">iscritto con apposita comunicazione del difensore della parte a cui l’evento si </w:t>
                        </w:r>
                      </w:p>
                    </w:txbxContent>
                  </v:textbox>
                </v:rect>
                <v:rect id="Rectangle 16453" o:spid="_x0000_s2611" style="position:absolute;left:34036;top:45166;width:58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2NxQAAAN4AAAAPAAAAZHJzL2Rvd25yZXYueG1sRE9La8JA&#10;EL4X/A/LCN7qxlpFoquIRZpDL/UBHofsmESzs0t2NWl/fbcgeJuP7zmLVWdqcafGV5YVjIYJCOLc&#10;6ooLBYf99nUGwgdkjbVlUvBDHlbL3ssCU21b/qb7LhQihrBPUUEZgkul9HlJBv3QOuLInW1jMETY&#10;FFI32MZwU8u3JJlKgxXHhhIdbUrKr7ubUXD6YJdtW5mffzfu65LN6s/b4ajUoN+t5yACdeEpfrgz&#10;HedP3ydj+H8n3iCXfwAAAP//AwBQSwECLQAUAAYACAAAACEA2+H2y+4AAACFAQAAEwAAAAAAAAAA&#10;AAAAAAAAAAAAW0NvbnRlbnRfVHlwZXNdLnhtbFBLAQItABQABgAIAAAAIQBa9CxbvwAAABUBAAAL&#10;AAAAAAAAAAAAAAAAAB8BAABfcmVscy8ucmVsc1BLAQItABQABgAIAAAAIQCvNR2NxQAAAN4AAAAP&#10;AAAAAAAAAAAAAAAAAAcCAABkcnMvZG93bnJldi54bWxQSwUGAAAAAAMAAwC3AAAA+QIAAAAA&#10;" filled="f" stroked="f">
                  <v:textbox inset="0,0,0,0">
                    <w:txbxContent>
                      <w:p w14:paraId="533CF217" w14:textId="77777777" w:rsidR="00B32EF2" w:rsidRDefault="00000000">
                        <w:r>
                          <w:rPr>
                            <w:rFonts w:ascii="Arial" w:eastAsia="Arial" w:hAnsi="Arial" w:cs="Arial"/>
                            <w:sz w:val="18"/>
                          </w:rPr>
                          <w:t>riferisce.</w:t>
                        </w:r>
                      </w:p>
                    </w:txbxContent>
                  </v:textbox>
                </v:rect>
                <v:rect id="Rectangle 200338" o:spid="_x0000_s2612" style="position:absolute;left:-13816;top:439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WawxwAAAN8AAAAPAAAAZHJzL2Rvd25yZXYueG1sRI9Na8JA&#10;EIbvQv/DMoXedFOFIqmriEXMoRc/Cj0O2TFJzc4u2dWk/fXOoeBxeOd9Zp7FanCtulEXG88GXicZ&#10;KOLS24YrA6fjdjwHFROyxdYzGfilCKvl02iBufU97+l2SJUSCMccDdQphVzrWNbkME58IJbs7DuH&#10;Scau0rbDXuCu1dMse9MOG5YLNQba1FReDldn4PuDQ7HtdXn+24TPn2Le7q6nL2Nenof1O6hEQ3os&#10;/7cLa0CIs5k8LD7iAnp5BwAA//8DAFBLAQItABQABgAIAAAAIQDb4fbL7gAAAIUBAAATAAAAAAAA&#10;AAAAAAAAAAAAAABbQ29udGVudF9UeXBlc10ueG1sUEsBAi0AFAAGAAgAAAAhAFr0LFu/AAAAFQEA&#10;AAsAAAAAAAAAAAAAAAAAHwEAAF9yZWxzLy5yZWxzUEsBAi0AFAAGAAgAAAAhALRRZrDHAAAA3wAA&#10;AA8AAAAAAAAAAAAAAAAABwIAAGRycy9kb3ducmV2LnhtbFBLBQYAAAAAAwADALcAAAD7AgAAAAA=&#10;" filled="f" stroked="f">
                  <v:textbox inset="0,0,0,0">
                    <w:txbxContent>
                      <w:p w14:paraId="41E5F82F" w14:textId="77777777" w:rsidR="00B32EF2" w:rsidRDefault="00000000">
                        <w:r>
                          <w:rPr>
                            <w:rFonts w:ascii="Arial" w:eastAsia="Arial" w:hAnsi="Arial" w:cs="Arial"/>
                            <w:sz w:val="18"/>
                          </w:rPr>
                          <w:t xml:space="preserve">. Se uno degli eventi di cui al comma 1 si avvera dopo l’ultimo giorno per </w:t>
                        </w:r>
                      </w:p>
                    </w:txbxContent>
                  </v:textbox>
                </v:rect>
                <v:rect id="Rectangle 200337" o:spid="_x0000_s2613" style="position:absolute;left:26111;top:439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vLCxgAAAN8AAAAPAAAAZHJzL2Rvd25yZXYueG1sRI9Ba8JA&#10;FITvQv/D8gredFMFlegqYhFz6EVrocdH9plEs2+X7Gpif70rCD0OM/MNs1h1phY3anxlWcHHMAFB&#10;nFtdcaHg+L0dzED4gKyxtkwK7uRhtXzrLTDVtuU93Q6hEBHCPkUFZQguldLnJRn0Q+uIo3eyjcEQ&#10;ZVNI3WAb4aaWoySZSIMVx4USHW1Kyi+Hq1Hw+8ku27YyP/1t3Nc5m9W76/FHqf57t56DCNSF//Cr&#10;nWkFkTgeT+H5J34BuXwAAAD//wMAUEsBAi0AFAAGAAgAAAAhANvh9svuAAAAhQEAABMAAAAAAAAA&#10;AAAAAAAAAAAAAFtDb250ZW50X1R5cGVzXS54bWxQSwECLQAUAAYACAAAACEAWvQsW78AAAAVAQAA&#10;CwAAAAAAAAAAAAAAAAAfAQAAX3JlbHMvLnJlbHNQSwECLQAUAAYACAAAACEAxc7ywsYAAADfAAAA&#10;DwAAAAAAAAAAAAAAAAAHAgAAZHJzL2Rvd25yZXYueG1sUEsFBgAAAAADAAMAtwAAAPoCAAAAAA==&#10;" filled="f" stroked="f">
                  <v:textbox inset="0,0,0,0">
                    <w:txbxContent>
                      <w:p w14:paraId="70824A5A" w14:textId="77777777" w:rsidR="00B32EF2" w:rsidRDefault="00000000">
                        <w:r>
                          <w:rPr>
                            <w:rFonts w:ascii="Arial" w:eastAsia="Arial" w:hAnsi="Arial" w:cs="Arial"/>
                            <w:sz w:val="18"/>
                          </w:rPr>
                          <w:t>3</w:t>
                        </w:r>
                      </w:p>
                    </w:txbxContent>
                  </v:textbox>
                </v:rect>
                <v:rect id="Rectangle 16455" o:spid="_x0000_s2614" style="position:absolute;left:-13170;top:4262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CBixAAAAN4AAAAPAAAAZHJzL2Rvd25yZXYueG1sRE9Ni8Iw&#10;EL0L/ocwgjdNlVWkaxRRZHvwsq4Lexyasa02k9BEW/31m4UFb/N4n7Ncd6YWd2p8ZVnBZJyAIM6t&#10;rrhQcPrajxYgfEDWWFsmBQ/ysF71e0tMtW35k+7HUIgYwj5FBWUILpXS5yUZ9GPriCN3to3BEGFT&#10;SN1gG8NNLadJMpcGK44NJTralpRfjzej4GfHLtu3Mj8/t+5wyRb1x+30rdRw0G3eQQTqwkv87850&#10;nD9/m83g7514g1z9AgAA//8DAFBLAQItABQABgAIAAAAIQDb4fbL7gAAAIUBAAATAAAAAAAAAAAA&#10;AAAAAAAAAABbQ29udGVudF9UeXBlc10ueG1sUEsBAi0AFAAGAAgAAAAhAFr0LFu/AAAAFQEAAAsA&#10;AAAAAAAAAAAAAAAAHwEAAF9yZWxzLy5yZWxzUEsBAi0AFAAGAAgAAAAhAE+QIGLEAAAA3gAAAA8A&#10;AAAAAAAAAAAAAAAABwIAAGRycy9kb3ducmV2LnhtbFBLBQYAAAAAAwADALcAAAD4AgAAAAA=&#10;" filled="f" stroked="f">
                  <v:textbox inset="0,0,0,0">
                    <w:txbxContent>
                      <w:p w14:paraId="1F01F0DB" w14:textId="77777777" w:rsidR="00B32EF2" w:rsidRDefault="00000000">
                        <w:r>
                          <w:rPr>
                            <w:rFonts w:ascii="Arial" w:eastAsia="Arial" w:hAnsi="Arial" w:cs="Arial"/>
                            <w:sz w:val="18"/>
                          </w:rPr>
                          <w:t xml:space="preserve">il deposito di memorie in caso di trattazione della controversia in camera di </w:t>
                        </w:r>
                      </w:p>
                    </w:txbxContent>
                  </v:textbox>
                </v:rect>
                <v:rect id="Rectangle 16456" o:spid="_x0000_s2615" style="position:absolute;left:-13170;top:4131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4VxQAAAN4AAAAPAAAAZHJzL2Rvd25yZXYueG1sRE9La8JA&#10;EL4X+h+WEbzVjaJBUlcpFjEHLz4KPQ7ZMUmbnV2yq4n+erdQ8DYf33MWq9404kqtry0rGI8SEMSF&#10;1TWXCk7HzdschA/IGhvLpOBGHlbL15cFZtp2vKfrIZQihrDPUEEVgsuk9EVFBv3IOuLInW1rMETY&#10;llK32MVw08hJkqTSYM2xoUJH64qK38PFKPj+ZJdvOlmc72u3+8nnzfZy+lJqOOg/3kEE6sNT/O/O&#10;dZyfTmcp/L0Tb5DLBwAAAP//AwBQSwECLQAUAAYACAAAACEA2+H2y+4AAACFAQAAEwAAAAAAAAAA&#10;AAAAAAAAAAAAW0NvbnRlbnRfVHlwZXNdLnhtbFBLAQItABQABgAIAAAAIQBa9CxbvwAAABUBAAAL&#10;AAAAAAAAAAAAAAAAAB8BAABfcmVscy8ucmVsc1BLAQItABQABgAIAAAAIQC/Qr4VxQAAAN4AAAAP&#10;AAAAAAAAAAAAAAAAAAcCAABkcnMvZG93bnJldi54bWxQSwUGAAAAAAMAAwC3AAAA+QIAAAAA&#10;" filled="f" stroked="f">
                  <v:textbox inset="0,0,0,0">
                    <w:txbxContent>
                      <w:p w14:paraId="15AE6D8D" w14:textId="77777777" w:rsidR="00B32EF2" w:rsidRDefault="00000000">
                        <w:r>
                          <w:rPr>
                            <w:rFonts w:ascii="Arial" w:eastAsia="Arial" w:hAnsi="Arial" w:cs="Arial"/>
                            <w:sz w:val="18"/>
                          </w:rPr>
                          <w:t xml:space="preserve">consiglio o dopo la chiusura della discussione in pubblica udienza, esso non </w:t>
                        </w:r>
                      </w:p>
                    </w:txbxContent>
                  </v:textbox>
                </v:rect>
                <v:rect id="Rectangle 16457" o:spid="_x0000_s2616" style="position:absolute;left:-12190;top:40010;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huOxQAAAN4AAAAPAAAAZHJzL2Rvd25yZXYueG1sRE9La8JA&#10;EL4L/odlBG+6aakPoqsUi5hDL/UBHofsmMRmZ5fsamJ/fbdQ8DYf33OW687U4k6NrywreBknIIhz&#10;qysuFBwP29EchA/IGmvLpOBBHtarfm+JqbYtf9F9HwoRQ9inqKAMwaVS+rwkg35sHXHkLrYxGCJs&#10;CqkbbGO4qeVrkkylwYpjQ4mONiXl3/ubUXD+YJdtW5lffjbu85rN693teFJqOOjeFyACdeEp/ndn&#10;Os6fvk1m8PdOvEGufgEAAP//AwBQSwECLQAUAAYACAAAACEA2+H2y+4AAACFAQAAEwAAAAAAAAAA&#10;AAAAAAAAAAAAW0NvbnRlbnRfVHlwZXNdLnhtbFBLAQItABQABgAIAAAAIQBa9CxbvwAAABUBAAAL&#10;AAAAAAAAAAAAAAAAAB8BAABfcmVscy8ucmVsc1BLAQItABQABgAIAAAAIQDQDhuOxQAAAN4AAAAP&#10;AAAAAAAAAAAAAAAAAAcCAABkcnMvZG93bnJldi54bWxQSwUGAAAAAAMAAwC3AAAA+QIAAAAA&#10;" filled="f" stroked="f">
                  <v:textbox inset="0,0,0,0">
                    <w:txbxContent>
                      <w:p w14:paraId="1F9D6C6E" w14:textId="77777777" w:rsidR="00B32EF2" w:rsidRDefault="00000000">
                        <w:r>
                          <w:rPr>
                            <w:rFonts w:ascii="Arial" w:eastAsia="Arial" w:hAnsi="Arial" w:cs="Arial"/>
                            <w:sz w:val="18"/>
                          </w:rPr>
                          <w:t>produce effetto a meno che non sia pronunciata sentenza e il processo prose</w:t>
                        </w:r>
                      </w:p>
                    </w:txbxContent>
                  </v:textbox>
                </v:rect>
                <v:rect id="Rectangle 16458" o:spid="_x0000_s2617" style="position:absolute;left:193;top:4001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Y/8yAAAAN4AAAAPAAAAZHJzL2Rvd25yZXYueG1sRI9Pa8JA&#10;EMXvQr/DMoXedFOpIqmrFIuYgxf/FHocsmOSNju7ZFeT9tM7h0JvM7w37/1muR5cq27UxcazgedJ&#10;Boq49LbhysD5tB0vQMWEbLH1TAZ+KMJ69TBaYm59zwe6HVOlJIRjjgbqlEKudSxrchgnPhCLdvGd&#10;wyRrV2nbYS/hrtXTLJtrhw1LQ42BNjWV38erM/D5zqHY9rq8/G7C/qtYtLvr+cOYp8fh7RVUoiH9&#10;m/+uCyv485eZ8Mo7MoNe3QEAAP//AwBQSwECLQAUAAYACAAAACEA2+H2y+4AAACFAQAAEwAAAAAA&#10;AAAAAAAAAAAAAAAAW0NvbnRlbnRfVHlwZXNdLnhtbFBLAQItABQABgAIAAAAIQBa9CxbvwAAABUB&#10;AAALAAAAAAAAAAAAAAAAAB8BAABfcmVscy8ucmVsc1BLAQItABQABgAIAAAAIQChkY/8yAAAAN4A&#10;AAAPAAAAAAAAAAAAAAAAAAcCAABkcnMvZG93bnJldi54bWxQSwUGAAAAAAMAAwC3AAAA/AIAAAAA&#10;" filled="f" stroked="f">
                  <v:textbox inset="0,0,0,0">
                    <w:txbxContent>
                      <w:p w14:paraId="69609559" w14:textId="77777777" w:rsidR="00B32EF2" w:rsidRDefault="00000000">
                        <w:r>
                          <w:rPr>
                            <w:rFonts w:ascii="Arial" w:eastAsia="Arial" w:hAnsi="Arial" w:cs="Arial"/>
                            <w:sz w:val="18"/>
                          </w:rPr>
                          <w:t>-</w:t>
                        </w:r>
                      </w:p>
                    </w:txbxContent>
                  </v:textbox>
                </v:rect>
                <v:rect id="Rectangle 16459" o:spid="_x0000_s2618" style="position:absolute;left:20961;top:38703;width:189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SpnxQAAAN4AAAAPAAAAZHJzL2Rvd25yZXYueG1sRE9Na8JA&#10;EL0X+h+WKXirG0XFRlcRRcyhl1oLPQ7ZMYlmZ5fsaqK/3i0UvM3jfc582ZlaXKnxlWUFg34Cgji3&#10;uuJCweF7+z4F4QOyxtoyKbiRh+Xi9WWOqbYtf9F1HwoRQ9inqKAMwaVS+rwkg75vHXHkjrYxGCJs&#10;CqkbbGO4qeUwSSbSYMWxoURH65Ly8/5iFPxu2GXbVubH+9p9nrJpvbscfpTqvXWrGYhAXXiK/92Z&#10;jvMno/EH/L0Tb5CLBwAAAP//AwBQSwECLQAUAAYACAAAACEA2+H2y+4AAACFAQAAEwAAAAAAAAAA&#10;AAAAAAAAAAAAW0NvbnRlbnRfVHlwZXNdLnhtbFBLAQItABQABgAIAAAAIQBa9CxbvwAAABUBAAAL&#10;AAAAAAAAAAAAAAAAAB8BAABfcmVscy8ucmVsc1BLAQItABQABgAIAAAAIQDO3SpnxQAAAN4AAAAP&#10;AAAAAAAAAAAAAAAAAAcCAABkcnMvZG93bnJldi54bWxQSwUGAAAAAAMAAwC3AAAA+QIAAAAA&#10;" filled="f" stroked="f">
                  <v:textbox inset="0,0,0,0">
                    <w:txbxContent>
                      <w:p w14:paraId="10586AF3" w14:textId="77777777" w:rsidR="00B32EF2" w:rsidRDefault="00000000">
                        <w:r>
                          <w:rPr>
                            <w:rFonts w:ascii="Arial" w:eastAsia="Arial" w:hAnsi="Arial" w:cs="Arial"/>
                            <w:sz w:val="18"/>
                          </w:rPr>
                          <w:t>gua davanti al giudice adito.</w:t>
                        </w:r>
                      </w:p>
                    </w:txbxContent>
                  </v:textbox>
                </v:rect>
                <v:rect id="Rectangle 200333" o:spid="_x0000_s2619" style="position:absolute;left:-13802;top:3739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fTBxgAAAN8AAAAPAAAAZHJzL2Rvd25yZXYueG1sRI9Pi8Iw&#10;FMTvwn6H8Bb2pulaEKlGWRTZHvbiP/D4aJ5ttXkJTbTd/fQbQfA4zMxvmPmyN424U+trywo+RwkI&#10;4sLqmksFh/1mOAXhA7LGxjIp+CUPy8XbYI6Zth1v6b4LpYgQ9hkqqEJwmZS+qMigH1lHHL2zbQ2G&#10;KNtS6ha7CDeNHCfJRBqsOS5U6GhVUXHd3YyC05pdvulkcf5buZ9LPm2+b4ejUh/v/dcMRKA+vMLP&#10;dq4VRGKapvD4E7+AXPwDAAD//wMAUEsBAi0AFAAGAAgAAAAhANvh9svuAAAAhQEAABMAAAAAAAAA&#10;AAAAAAAAAAAAAFtDb250ZW50X1R5cGVzXS54bWxQSwECLQAUAAYACAAAACEAWvQsW78AAAAVAQAA&#10;CwAAAAAAAAAAAAAAAAAfAQAAX3JlbHMvLnJlbHNQSwECLQAUAAYACAAAACEAuvX0wcYAAADfAAAA&#10;DwAAAAAAAAAAAAAAAAAHAgAAZHJzL2Rvd25yZXYueG1sUEsFBgAAAAADAAMAtwAAAPoCAAAAAA==&#10;" filled="f" stroked="f">
                  <v:textbox inset="0,0,0,0">
                    <w:txbxContent>
                      <w:p w14:paraId="762515FE" w14:textId="77777777" w:rsidR="00B32EF2" w:rsidRDefault="00000000">
                        <w:r>
                          <w:rPr>
                            <w:rFonts w:ascii="Arial" w:eastAsia="Arial" w:hAnsi="Arial" w:cs="Arial"/>
                            <w:sz w:val="18"/>
                          </w:rPr>
                          <w:t xml:space="preserve">. Se uno degli eventi di cui al comma 1, lettera a), si verifica durante il termine </w:t>
                        </w:r>
                      </w:p>
                    </w:txbxContent>
                  </v:textbox>
                </v:rect>
                <v:rect id="Rectangle 200332" o:spid="_x0000_s2620" style="position:absolute;left:26111;top:3739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VFaxQAAAN8AAAAPAAAAZHJzL2Rvd25yZXYueG1sRI9Bi8Iw&#10;FITvgv8hPMGbpiqIdI2yKGIPXnQVPD6aZ9vd5iU00db99RtB2OMwM98wy3VnavGgxleWFUzGCQji&#10;3OqKCwXnr91oAcIHZI21ZVLwJA/rVb+3xFTblo/0OIVCRAj7FBWUIbhUSp+XZNCPrSOO3s02BkOU&#10;TSF1g22Em1pOk2QuDVYcF0p0tCkp/zndjYLrll22a2V++924w3e2qPf380Wp4aD7/AARqAv/4Xc7&#10;0woicTabwutP/AJy9QcAAP//AwBQSwECLQAUAAYACAAAACEA2+H2y+4AAACFAQAAEwAAAAAAAAAA&#10;AAAAAAAAAAAAW0NvbnRlbnRfVHlwZXNdLnhtbFBLAQItABQABgAIAAAAIQBa9CxbvwAAABUBAAAL&#10;AAAAAAAAAAAAAAAAAB8BAABfcmVscy8ucmVsc1BLAQItABQABgAIAAAAIQDVuVFaxQAAAN8AAAAP&#10;AAAAAAAAAAAAAAAAAAcCAABkcnMvZG93bnJldi54bWxQSwUGAAAAAAMAAwC3AAAA+QIAAAAA&#10;" filled="f" stroked="f">
                  <v:textbox inset="0,0,0,0">
                    <w:txbxContent>
                      <w:p w14:paraId="5D65C130" w14:textId="77777777" w:rsidR="00B32EF2" w:rsidRDefault="00000000">
                        <w:r>
                          <w:rPr>
                            <w:rFonts w:ascii="Arial" w:eastAsia="Arial" w:hAnsi="Arial" w:cs="Arial"/>
                            <w:sz w:val="18"/>
                          </w:rPr>
                          <w:t>4</w:t>
                        </w:r>
                      </w:p>
                    </w:txbxContent>
                  </v:textbox>
                </v:rect>
                <v:rect id="Rectangle 16461" o:spid="_x0000_s2621" style="position:absolute;left:-13170;top:3608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xAAAAN4AAAAPAAAAZHJzL2Rvd25yZXYueG1sRE9Li8Iw&#10;EL4L/ocwwt40VZYiXaOIItvDXnws7HFoxrZrMwlNtN399UYQvM3H95zFqjeNuFHra8sKppMEBHFh&#10;dc2lgtNxN56D8AFZY2OZFPyRh9VyOFhgpm3He7odQiliCPsMFVQhuExKX1Rk0E+sI47c2bYGQ4Rt&#10;KXWLXQw3jZwlSSoN1hwbKnS0qai4HK5Gwc+WXb7rZHH+37iv33zefF5P30q9jfr1B4hAfXiJn+5c&#10;x/npezqFxzvxBrm8AwAA//8DAFBLAQItABQABgAIAAAAIQDb4fbL7gAAAIUBAAATAAAAAAAAAAAA&#10;AAAAAAAAAABbQ29udGVudF9UeXBlc10ueG1sUEsBAi0AFAAGAAgAAAAhAFr0LFu/AAAAFQEAAAsA&#10;AAAAAAAAAAAAAAAAHwEAAF9yZWxzLy5yZWxzUEsBAi0AFAAGAAgAAAAhAP7H7NzEAAAA3gAAAA8A&#10;AAAAAAAAAAAAAAAABwIAAGRycy9kb3ducmV2LnhtbFBLBQYAAAAAAwADALcAAAD4AgAAAAA=&#10;" filled="f" stroked="f">
                  <v:textbox inset="0,0,0,0">
                    <w:txbxContent>
                      <w:p w14:paraId="636223EA" w14:textId="77777777" w:rsidR="00B32EF2" w:rsidRDefault="00000000">
                        <w:r>
                          <w:rPr>
                            <w:rFonts w:ascii="Arial" w:eastAsia="Arial" w:hAnsi="Arial" w:cs="Arial"/>
                            <w:sz w:val="18"/>
                          </w:rPr>
                          <w:t xml:space="preserve">per la proposizione del ricorso il termine è prorogato di sei mesi a decorrere </w:t>
                        </w:r>
                      </w:p>
                    </w:txbxContent>
                  </v:textbox>
                </v:rect>
                <v:rect id="Rectangle 16462" o:spid="_x0000_s2622" style="position:absolute;left:-12203;top:34780;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XKrxAAAAN4AAAAPAAAAZHJzL2Rvd25yZXYueG1sRE9Na8JA&#10;EL0X/A/LFLzVTaUESV1FFGkOXqoRPA7ZMUnNzi7Z1UR/fbdQ8DaP9znz5WBacaPON5YVvE8SEMSl&#10;1Q1XCorD9m0Gwgdkja1lUnAnD8vF6GWOmbY9f9NtHyoRQ9hnqKAOwWVS+rImg35iHXHkzrYzGCLs&#10;Kqk77GO4aeU0SVJpsOHYUKOjdU3lZX81Ck4bdvm2l+X5sXa7n3zWfl2Lo1Lj12H1CSLQEJ7if3eu&#10;4/z0I53C3zvxBrn4BQAA//8DAFBLAQItABQABgAIAAAAIQDb4fbL7gAAAIUBAAATAAAAAAAAAAAA&#10;AAAAAAAAAABbQ29udGVudF9UeXBlc10ueG1sUEsBAi0AFAAGAAgAAAAhAFr0LFu/AAAAFQEAAAsA&#10;AAAAAAAAAAAAAAAAHwEAAF9yZWxzLy5yZWxzUEsBAi0AFAAGAAgAAAAhAA4VcqvEAAAA3gAAAA8A&#10;AAAAAAAAAAAAAAAABwIAAGRycy9kb3ducmV2LnhtbFBLBQYAAAAAAwADALcAAAD4AgAAAAA=&#10;" filled="f" stroked="f">
                  <v:textbox inset="0,0,0,0">
                    <w:txbxContent>
                      <w:p w14:paraId="3246E738" w14:textId="77777777" w:rsidR="00B32EF2" w:rsidRDefault="00000000">
                        <w:r>
                          <w:rPr>
                            <w:rFonts w:ascii="Arial" w:eastAsia="Arial" w:hAnsi="Arial" w:cs="Arial"/>
                            <w:sz w:val="18"/>
                          </w:rPr>
                          <w:t>dalla data dell’evento. Si applica anche a questi termini la sospensione previ</w:t>
                        </w:r>
                      </w:p>
                    </w:txbxContent>
                  </v:textbox>
                </v:rect>
                <v:rect id="Rectangle 16463" o:spid="_x0000_s2623" style="position:absolute;left:193;top:3478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dcwxQAAAN4AAAAPAAAAZHJzL2Rvd25yZXYueG1sRE9La8JA&#10;EL4X+h+WEbzVjQ+CpK5SLGIOXnwUehyyY5I2O7tkVxP99W6h4G0+vucsVr1pxJVaX1tWMB4lIIgL&#10;q2suFZyOm7c5CB+QNTaWScGNPKyWry8LzLTteE/XQyhFDGGfoYIqBJdJ6YuKDPqRdcSRO9vWYIiw&#10;LaVusYvhppGTJEmlwZpjQ4WO1hUVv4eLUfD9yS7fdLI439du95PPm+3l9KXUcNB/vIMI1Ien+N+d&#10;6zg/naVT+Hsn3iCXDwAAAP//AwBQSwECLQAUAAYACAAAACEA2+H2y+4AAACFAQAAEwAAAAAAAAAA&#10;AAAAAAAAAAAAW0NvbnRlbnRfVHlwZXNdLnhtbFBLAQItABQABgAIAAAAIQBa9CxbvwAAABUBAAAL&#10;AAAAAAAAAAAAAAAAAB8BAABfcmVscy8ucmVsc1BLAQItABQABgAIAAAAIQBhWdcwxQAAAN4AAAAP&#10;AAAAAAAAAAAAAAAAAAcCAABkcnMvZG93bnJldi54bWxQSwUGAAAAAAMAAwC3AAAA+QIAAAAA&#10;" filled="f" stroked="f">
                  <v:textbox inset="0,0,0,0">
                    <w:txbxContent>
                      <w:p w14:paraId="42F6B01A" w14:textId="77777777" w:rsidR="00B32EF2" w:rsidRDefault="00000000">
                        <w:r>
                          <w:rPr>
                            <w:rFonts w:ascii="Arial" w:eastAsia="Arial" w:hAnsi="Arial" w:cs="Arial"/>
                            <w:sz w:val="18"/>
                          </w:rPr>
                          <w:t>-</w:t>
                        </w:r>
                      </w:p>
                    </w:txbxContent>
                  </v:textbox>
                </v:rect>
                <v:rect id="Rectangle 16464" o:spid="_x0000_s2624" style="position:absolute;left:14281;top:33472;width:256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E9ExAAAAN4AAAAPAAAAZHJzL2Rvd25yZXYueG1sRE9Na8JA&#10;EL0X/A/LFLzVTYsESV1FFGkOXqoRPA7ZMUnNzi7Z1UR/fbdQ8DaP9znz5WBacaPON5YVvE8SEMSl&#10;1Q1XCorD9m0Gwgdkja1lUnAnD8vF6GWOmbY9f9NtHyoRQ9hnqKAOwWVS+rImg35iHXHkzrYzGCLs&#10;Kqk77GO4aeVHkqTSYMOxoUZH65rKy/5qFJw27PJtL8vzY+12P/ms/boWR6XGr8PqE0SgITzF/+5c&#10;x/npNJ3C3zvxBrn4BQAA//8DAFBLAQItABQABgAIAAAAIQDb4fbL7gAAAIUBAAATAAAAAAAAAAAA&#10;AAAAAAAAAABbQ29udGVudF9UeXBlc10ueG1sUEsBAi0AFAAGAAgAAAAhAFr0LFu/AAAAFQEAAAsA&#10;AAAAAAAAAAAAAAAAHwEAAF9yZWxzLy5yZWxzUEsBAi0AFAAGAAgAAAAhAO6wT0TEAAAA3gAAAA8A&#10;AAAAAAAAAAAAAAAABwIAAGRycy9kb3ducmV2LnhtbFBLBQYAAAAAAwADALcAAAD4AgAAAAA=&#10;" filled="f" stroked="f">
                  <v:textbox inset="0,0,0,0">
                    <w:txbxContent>
                      <w:p w14:paraId="6FA5FB02" w14:textId="77777777" w:rsidR="00B32EF2" w:rsidRDefault="00000000">
                        <w:r>
                          <w:rPr>
                            <w:rFonts w:ascii="Arial" w:eastAsia="Arial" w:hAnsi="Arial" w:cs="Arial"/>
                            <w:sz w:val="18"/>
                          </w:rPr>
                          <w:t>sta dalla legge 7 ottobre 1969, n. 742.</w:t>
                        </w:r>
                      </w:p>
                    </w:txbxContent>
                  </v:textbox>
                </v:rect>
                <v:rect id="Rectangle 16465" o:spid="_x0000_s2625" style="position:absolute;left:15061;top:30856;width:81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fxQAAAN4AAAAPAAAAZHJzL2Rvd25yZXYueG1sRE9La8JA&#10;EL4X+h+WEbzVjaJBUlcpFjEHLz4KPQ7ZMUmbnV2yq4n+erdQ8DYf33MWq9404kqtry0rGI8SEMSF&#10;1TWXCk7HzdschA/IGhvLpOBGHlbL15cFZtp2vKfrIZQihrDPUEEVgsuk9EVFBv3IOuLInW1rMETY&#10;llK32MVw08hJkqTSYM2xoUJH64qK38PFKPj+ZJdvOlmc72u3+8nnzfZy+lJqOOg/3kEE6sNT/O/O&#10;dZyfTtMZ/L0Tb5DLBwAAAP//AwBQSwECLQAUAAYACAAAACEA2+H2y+4AAACFAQAAEwAAAAAAAAAA&#10;AAAAAAAAAAAAW0NvbnRlbnRfVHlwZXNdLnhtbFBLAQItABQABgAIAAAAIQBa9CxbvwAAABUBAAAL&#10;AAAAAAAAAAAAAAAAAB8BAABfcmVscy8ucmVsc1BLAQItABQABgAIAAAAIQCB/OrfxQAAAN4AAAAP&#10;AAAAAAAAAAAAAAAAAAcCAABkcnMvZG93bnJldi54bWxQSwUGAAAAAAMAAwC3AAAA+QIAAAAA&#10;" filled="f" stroked="f">
                  <v:textbox inset="0,0,0,0">
                    <w:txbxContent>
                      <w:p w14:paraId="5FE896E6" w14:textId="77777777" w:rsidR="00B32EF2" w:rsidRDefault="00000000">
                        <w:r>
                          <w:rPr>
                            <w:rFonts w:ascii="Arial" w:eastAsia="Arial" w:hAnsi="Arial" w:cs="Arial"/>
                            <w:b/>
                            <w:sz w:val="18"/>
                          </w:rPr>
                          <w:t>Articolo 90</w:t>
                        </w:r>
                      </w:p>
                    </w:txbxContent>
                  </v:textbox>
                </v:rect>
                <v:rect id="Rectangle 200329" o:spid="_x0000_s2626" style="position:absolute;left:22527;top:29548;width:218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FX2xwAAAN8AAAAPAAAAZHJzL2Rvd25yZXYueG1sRI9PawIx&#10;FMTvBb9DeEJvNauFYlezIop0D15qFTw+Nm//6OYlbKK79dM3hUKPw8z8hlmuBtOKO3W+saxgOklA&#10;EBdWN1wpOH7tXuYgfEDW2FomBd/kYZWNnpaYatvzJ90PoRIRwj5FBXUILpXSFzUZ9BPriKNX2s5g&#10;iLKrpO6wj3DTylmSvEmDDceFGh1taiquh5tRcN6yy3e9LMrHxu0v+bz9uB1PSj2Ph/UCRKAh/If/&#10;2rlWEImvs3f4/RO/gMx+AAAA//8DAFBLAQItABQABgAIAAAAIQDb4fbL7gAAAIUBAAATAAAAAAAA&#10;AAAAAAAAAAAAAABbQ29udGVudF9UeXBlc10ueG1sUEsBAi0AFAAGAAgAAAAhAFr0LFu/AAAAFQEA&#10;AAsAAAAAAAAAAAAAAAAAHwEAAF9yZWxzLy5yZWxzUEsBAi0AFAAGAAgAAAAhAF7EVfbHAAAA3wAA&#10;AA8AAAAAAAAAAAAAAAAABwIAAGRycy9kb3ducmV2LnhtbFBLBQYAAAAAAwADALcAAAD7AgAAAAA=&#10;" filled="f" stroked="f">
                  <v:textbox inset="0,0,0,0">
                    <w:txbxContent>
                      <w:p w14:paraId="741214CB" w14:textId="77777777" w:rsidR="00B32EF2" w:rsidRDefault="00000000">
                        <w:r>
                          <w:rPr>
                            <w:rFonts w:ascii="Arial" w:eastAsia="Arial" w:hAnsi="Arial" w:cs="Arial"/>
                            <w:i/>
                            <w:sz w:val="18"/>
                          </w:rPr>
                          <w:t>(</w:t>
                        </w:r>
                      </w:p>
                    </w:txbxContent>
                  </v:textbox>
                </v:rect>
                <v:rect id="Rectangle 200330" o:spid="_x0000_s2627" style="position:absolute;left:-5922;top:29548;width:218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2q2xwAAAN8AAAAPAAAAZHJzL2Rvd25yZXYueG1sRI9Na8JA&#10;EIbvQv/DMoXedFOFIqmriEXMoRc/Cj0O2TFJzc4u2dWk/fXOoeBxeOd9Xp7FanCtulEXG88GXicZ&#10;KOLS24YrA6fjdjwHFROyxdYzGfilCKvl02iBufU97+l2SJUSCMccDdQphVzrWNbkME58IJbs7DuH&#10;Sc6u0rbDXuCu1dMse9MOG5aFGgNtaiovh6sz8P3Bodj2ujz/bcLnTzFvd9fTlzEvz8P6HVSiIT2e&#10;/9uFNSDE2UwMxEdcQC/vAAAA//8DAFBLAQItABQABgAIAAAAIQDb4fbL7gAAAIUBAAATAAAAAAAA&#10;AAAAAAAAAAAAAABbQ29udGVudF9UeXBlc10ueG1sUEsBAi0AFAAGAAgAAAAhAFr0LFu/AAAAFQEA&#10;AAsAAAAAAAAAAAAAAAAAHwEAAF9yZWxzLy5yZWxzUEsBAi0AFAAGAAgAAAAhAEonarbHAAAA3wAA&#10;AA8AAAAAAAAAAAAAAAAABwIAAGRycy9kb3ducmV2LnhtbFBLBQYAAAAAAwADALcAAAD7AgAAAAA=&#10;" filled="f" stroked="f">
                  <v:textbox inset="0,0,0,0">
                    <w:txbxContent>
                      <w:p w14:paraId="52BD8FCD" w14:textId="77777777" w:rsidR="00B32EF2" w:rsidRDefault="00000000">
                        <w:r>
                          <w:rPr>
                            <w:rFonts w:ascii="Arial" w:eastAsia="Arial" w:hAnsi="Arial" w:cs="Arial"/>
                            <w:i/>
                            <w:sz w:val="18"/>
                          </w:rPr>
                          <w:t>546/92)</w:t>
                        </w:r>
                      </w:p>
                    </w:txbxContent>
                  </v:textbox>
                </v:rect>
                <v:rect id="Rectangle 200331" o:spid="_x0000_s2628" style="position:absolute;left:10133;top:29548;width:218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88txwAAAN8AAAAPAAAAZHJzL2Rvd25yZXYueG1sRI9Ba8JA&#10;FITvgv9heUJvurEBCdFVikWaQy+mFnp8ZJ9JbPbtkl2TtL++Wyj0OMzMN8zuMJlODNT71rKC9SoB&#10;QVxZ3XKt4PJ2WmYgfEDW2FkmBV/k4bCfz3aYazvymYYy1CJC2OeooAnB5VL6qiGDfmUdcfSutjcY&#10;ouxrqXscI9x08jFJNtJgy3GhQUfHhqrP8m4UfDyzK06jrK7fR/d6K7Lu5X55V+phMT1tQQSawn/4&#10;r11oBZGYpmv4/RO/gNz/AAAA//8DAFBLAQItABQABgAIAAAAIQDb4fbL7gAAAIUBAAATAAAAAAAA&#10;AAAAAAAAAAAAAABbQ29udGVudF9UeXBlc10ueG1sUEsBAi0AFAAGAAgAAAAhAFr0LFu/AAAAFQEA&#10;AAsAAAAAAAAAAAAAAAAAHwEAAF9yZWxzLy5yZWxzUEsBAi0AFAAGAAgAAAAhACVrzy3HAAAA3wAA&#10;AA8AAAAAAAAAAAAAAAAABwIAAGRycy9kb3ducmV2LnhtbFBLBQYAAAAAAwADALcAAAD7AgAAAAA=&#10;" filled="f" stroked="f">
                  <v:textbox inset="0,0,0,0">
                    <w:txbxContent>
                      <w:p w14:paraId="0AF2EBE5" w14:textId="77777777" w:rsidR="00B32EF2" w:rsidRDefault="00000000">
                        <w:r>
                          <w:rPr>
                            <w:rFonts w:ascii="Arial" w:eastAsia="Arial" w:hAnsi="Arial" w:cs="Arial"/>
                            <w:i/>
                            <w:sz w:val="18"/>
                          </w:rPr>
                          <w:t xml:space="preserve">articolo 41 del D.lgs. n. </w:t>
                        </w:r>
                      </w:p>
                    </w:txbxContent>
                  </v:textbox>
                </v:rect>
                <v:rect id="Rectangle 16467" o:spid="_x0000_s2629" style="position:absolute;left:-10392;top:28241;width:486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EzxAAAAN4AAAAPAAAAZHJzL2Rvd25yZXYueG1sRE9Na8JA&#10;EL0X+h+WEbzVjSJRUlcpFjEHL1ULPQ7ZMUmbnV2yq4n+ercgeJvH+5zFqjeNuFDra8sKxqMEBHFh&#10;dc2lguNh8zYH4QOyxsYyKbiSh9Xy9WWBmbYdf9FlH0oRQ9hnqKAKwWVS+qIig35kHXHkTrY1GCJs&#10;S6lb7GK4aeQkSVJpsObYUKGjdUXF3/5sFPx8sss3nSxOt7Xb/ebzZns+fis1HPQf7yAC9eEpfrhz&#10;Heen03QG/+/EG+TyDgAA//8DAFBLAQItABQABgAIAAAAIQDb4fbL7gAAAIUBAAATAAAAAAAAAAAA&#10;AAAAAAAAAABbQ29udGVudF9UeXBlc10ueG1sUEsBAi0AFAAGAAgAAAAhAFr0LFu/AAAAFQEAAAsA&#10;AAAAAAAAAAAAAAAAHwEAAF9yZWxzLy5yZWxzUEsBAi0AFAAGAAgAAAAhAB5i0TPEAAAA3gAAAA8A&#10;AAAAAAAAAAAAAAAABwIAAGRycy9kb3ducmV2LnhtbFBLBQYAAAAAAwADALcAAAD4AgAAAAA=&#10;" filled="f" stroked="f">
                  <v:textbox inset="0,0,0,0">
                    <w:txbxContent>
                      <w:p w14:paraId="3B8AE31A" w14:textId="77777777" w:rsidR="00B32EF2" w:rsidRDefault="00000000">
                        <w:r>
                          <w:rPr>
                            <w:rFonts w:ascii="Arial" w:eastAsia="Arial" w:hAnsi="Arial" w:cs="Arial"/>
                            <w:b/>
                            <w:sz w:val="18"/>
                          </w:rPr>
                          <w:t xml:space="preserve">Provvedimenti sulla sospensione e sull’interruzione del processo </w:t>
                        </w:r>
                      </w:p>
                    </w:txbxContent>
                  </v:textbox>
                </v:rect>
                <v:rect id="Rectangle 200327" o:spid="_x0000_s2630" style="position:absolute;left:26114;top:26933;width:530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2QfxwAAAN8AAAAPAAAAZHJzL2Rvd25yZXYueG1sRI9Pa8JA&#10;FMTvhX6H5RV6q5sqVEndSLGIOXhRU+jxkX3502bfLtnVpH76riB4HGbmN8xyNZpOnKn3rWUFr5ME&#10;BHFpdcu1guK4eVmA8AFZY2eZFPyRh1X2+LDEVNuB93Q+hFpECPsUFTQhuFRKXzZk0E+sI45eZXuD&#10;Icq+lrrHIcJNJ6dJ8iYNthwXGnS0bqj8PZyMgu9PdvlmkGV1WbvdT77otqfiS6nnp/HjHUSgMdzD&#10;t3auFUTibDqH65/4BWT2DwAA//8DAFBLAQItABQABgAIAAAAIQDb4fbL7gAAAIUBAAATAAAAAAAA&#10;AAAAAAAAAAAAAABbQ29udGVudF9UeXBlc10ueG1sUEsBAi0AFAAGAAgAAAAhAFr0LFu/AAAAFQEA&#10;AAsAAAAAAAAAAAAAAAAAHwEAAF9yZWxzLy5yZWxzUEsBAi0AFAAGAAgAAAAhAEAXZB/HAAAA3wAA&#10;AA8AAAAAAAAAAAAAAAAABwIAAGRycy9kb3ducmV2LnhtbFBLBQYAAAAAAwADALcAAAD7AgAAAAA=&#10;" filled="f" stroked="f">
                  <v:textbox inset="0,0,0,0">
                    <w:txbxContent>
                      <w:p w14:paraId="14AB8EDD" w14:textId="77777777" w:rsidR="00B32EF2" w:rsidRDefault="00000000">
                        <w:r>
                          <w:rPr>
                            <w:rFonts w:ascii="Arial" w:eastAsia="Arial" w:hAnsi="Arial" w:cs="Arial"/>
                            <w:sz w:val="18"/>
                          </w:rPr>
                          <w:t>1</w:t>
                        </w:r>
                      </w:p>
                    </w:txbxContent>
                  </v:textbox>
                </v:rect>
                <v:rect id="Rectangle 200328" o:spid="_x0000_s2631" style="position:absolute;left:-13756;top:26933;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PBtxwAAAN8AAAAPAAAAZHJzL2Rvd25yZXYueG1sRI9Na8JA&#10;EIbvhf6HZQq91U0tiKSuIhZpDl78KPQ4ZMckNTu7ZFeT+uudg+BxeOd9Zp7ZYnCtulAXG88G3kcZ&#10;KOLS24YrA4f9+m0KKiZki61nMvBPERbz56cZ5tb3vKXLLlVKIBxzNFCnFHKtY1mTwzjygViyo+8c&#10;Jhm7StsOe4G7Vo+zbKIdNiwXagy0qqk87c7OwO8Xh2Ld6/J4XYXNXzFtv8+HH2NeX4blJ6hEQ3os&#10;39uFNSDEj7E8LD7iAnp+AwAA//8DAFBLAQItABQABgAIAAAAIQDb4fbL7gAAAIUBAAATAAAAAAAA&#10;AAAAAAAAAAAAAABbQ29udGVudF9UeXBlc10ueG1sUEsBAi0AFAAGAAgAAAAhAFr0LFu/AAAAFQEA&#10;AAsAAAAAAAAAAAAAAAAAHwEAAF9yZWxzLy5yZWxzUEsBAi0AFAAGAAgAAAAhADGI8G3HAAAA3wAA&#10;AA8AAAAAAAAAAAAAAAAABwIAAGRycy9kb3ducmV2LnhtbFBLBQYAAAAAAwADALcAAAD7AgAAAAA=&#10;" filled="f" stroked="f">
                  <v:textbox inset="0,0,0,0">
                    <w:txbxContent>
                      <w:p w14:paraId="1FC74E33" w14:textId="77777777" w:rsidR="00B32EF2" w:rsidRDefault="00000000">
                        <w:r>
                          <w:rPr>
                            <w:rFonts w:ascii="Arial" w:eastAsia="Arial" w:hAnsi="Arial" w:cs="Arial"/>
                            <w:sz w:val="18"/>
                          </w:rPr>
                          <w:t xml:space="preserve">. La sospensione è disposta e l’interruzione è dichiarata dal presidente della </w:t>
                        </w:r>
                      </w:p>
                    </w:txbxContent>
                  </v:textbox>
                </v:rect>
                <v:rect id="Rectangle 16469" o:spid="_x0000_s2632" style="position:absolute;left:-387;top:25626;width:4029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eDaxAAAAN4AAAAPAAAAZHJzL2Rvd25yZXYueG1sRE9Na8JA&#10;EL0X/A/LCN7qxiLBRlcRRZpDL7UKHofsmESzs0t2NdFf3y0UepvH+5zFqjeNuFPra8sKJuMEBHFh&#10;dc2lgsP37nUGwgdkjY1lUvAgD6vl4GWBmbYdf9F9H0oRQ9hnqKAKwWVS+qIig35sHXHkzrY1GCJs&#10;S6lb7GK4aeRbkqTSYM2xoUJHm4qK6/5mFJy27PJdJ4vzc+M+L/ms+bgdjkqNhv16DiJQH/7Ff+5c&#10;x/npNH2H33fiDXL5AwAA//8DAFBLAQItABQABgAIAAAAIQDb4fbL7gAAAIUBAAATAAAAAAAAAAAA&#10;AAAAAAAAAABbQ29udGVudF9UeXBlc10ueG1sUEsBAi0AFAAGAAgAAAAhAFr0LFu/AAAAFQEAAAsA&#10;AAAAAAAAAAAAAAAAHwEAAF9yZWxzLy5yZWxzUEsBAi0AFAAGAAgAAAAhAACx4NrEAAAA3gAAAA8A&#10;AAAAAAAAAAAAAAAABwIAAGRycy9kb3ducmV2LnhtbFBLBQYAAAAAAwADALcAAAD4AgAAAAA=&#10;" filled="f" stroked="f">
                  <v:textbox inset="0,0,0,0">
                    <w:txbxContent>
                      <w:p w14:paraId="427BD80D" w14:textId="77777777" w:rsidR="00B32EF2" w:rsidRDefault="00000000">
                        <w:r>
                          <w:rPr>
                            <w:rFonts w:ascii="Arial" w:eastAsia="Arial" w:hAnsi="Arial" w:cs="Arial"/>
                            <w:sz w:val="18"/>
                          </w:rPr>
                          <w:t>sezione con decreto o dalla corte di tributaria con ordinanza.</w:t>
                        </w:r>
                      </w:p>
                    </w:txbxContent>
                  </v:textbox>
                </v:rect>
                <v:rect id="Rectangle 200324" o:spid="_x0000_s2633" style="position:absolute;left:26219;top:24318;width:526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fpoxwAAAN8AAAAPAAAAZHJzL2Rvd25yZXYueG1sRI9Pa8JA&#10;FMTvhX6H5RV6q5tqEUndSLGIOXhRU+jxkX3502bfLtnVpH76riB4HGbmN8xyNZpOnKn3rWUFr5ME&#10;BHFpdcu1guK4eVmA8AFZY2eZFPyRh1X2+LDEVNuB93Q+hFpECPsUFTQhuFRKXzZk0E+sI45eZXuD&#10;Icq+lrrHIcJNJ6dJMpcGW44LDTpaN1T+Hk5Gwfcnu3wzyLK6rN3uJ19021PxpdTz0/jxDiLQGO7h&#10;WzvXCiJxNn2D65/4BWT2DwAA//8DAFBLAQItABQABgAIAAAAIQDb4fbL7gAAAIUBAAATAAAAAAAA&#10;AAAAAAAAAAAAAABbQ29udGVudF9UeXBlc10ueG1sUEsBAi0AFAAGAAgAAAAhAFr0LFu/AAAAFQEA&#10;AAsAAAAAAAAAAAAAAAAAHwEAAF9yZWxzLy5yZWxzUEsBAi0AFAAGAAgAAAAhALDF+mjHAAAA3wAA&#10;AA8AAAAAAAAAAAAAAAAABwIAAGRycy9kb3ducmV2LnhtbFBLBQYAAAAAAwADALcAAAD7AgAAAAA=&#10;" filled="f" stroked="f">
                  <v:textbox inset="0,0,0,0">
                    <w:txbxContent>
                      <w:p w14:paraId="69ECAC16" w14:textId="77777777" w:rsidR="00B32EF2" w:rsidRDefault="00000000">
                        <w:r>
                          <w:rPr>
                            <w:rFonts w:ascii="Arial" w:eastAsia="Arial" w:hAnsi="Arial" w:cs="Arial"/>
                            <w:sz w:val="18"/>
                          </w:rPr>
                          <w:t>2</w:t>
                        </w:r>
                      </w:p>
                    </w:txbxContent>
                  </v:textbox>
                </v:rect>
                <v:rect id="Rectangle 200325" o:spid="_x0000_s2634" style="position:absolute;left:-50779;top:24318;width:526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V/zxwAAAN8AAAAPAAAAZHJzL2Rvd25yZXYueG1sRI9Pa8JA&#10;FMTvhX6H5RV6q5sqFUndSLGIOXhRU+jxkX3502bfLtnVpH76riB4HGbmN8xyNZpOnKn3rWUFr5ME&#10;BHFpdcu1guK4eVmA8AFZY2eZFPyRh1X2+LDEVNuB93Q+hFpECPsUFTQhuFRKXzZk0E+sI45eZXuD&#10;Icq+lrrHIcJNJ6dJMpcGW44LDTpaN1T+Hk5Gwfcnu3wzyLK6rN3uJ19021PxpdTz0/jxDiLQGO7h&#10;WzvXCiJxNn2D65/4BWT2DwAA//8DAFBLAQItABQABgAIAAAAIQDb4fbL7gAAAIUBAAATAAAAAAAA&#10;AAAAAAAAAAAAAABbQ29udGVudF9UeXBlc10ueG1sUEsBAi0AFAAGAAgAAAAhAFr0LFu/AAAAFQEA&#10;AAsAAAAAAAAAAAAAAAAAHwEAAF9yZWxzLy5yZWxzUEsBAi0AFAAGAAgAAAAhAN+JX/PHAAAA3wAA&#10;AA8AAAAAAAAAAAAAAAAABwIAAGRycy9kb3ducmV2LnhtbFBLBQYAAAAAAwADALcAAAD7AgAAAAA=&#10;" filled="f" stroked="f">
                  <v:textbox inset="0,0,0,0">
                    <w:txbxContent>
                      <w:p w14:paraId="153F3607" w14:textId="77777777" w:rsidR="00B32EF2" w:rsidRDefault="00000000">
                        <w:r>
                          <w:rPr>
                            <w:rFonts w:ascii="Arial" w:eastAsia="Arial" w:hAnsi="Arial" w:cs="Arial"/>
                            <w:sz w:val="18"/>
                          </w:rPr>
                          <w:t>76.</w:t>
                        </w:r>
                      </w:p>
                    </w:txbxContent>
                  </v:textbox>
                </v:rect>
                <v:rect id="Rectangle 200326" o:spid="_x0000_s2635" style="position:absolute;left:-11871;top:24318;width:526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8GExwAAAN8AAAAPAAAAZHJzL2Rvd25yZXYueG1sRI9Ba8JA&#10;FITvQv/D8gq96aYRgkRXkRQxh15qLfT4yD6TaPbtkl2TtL++Wyj0OMzMN8xmN5lODNT71rKC50UC&#10;griyuuVawfn9MF+B8AFZY2eZFHyRh932YbbBXNuR32g4hVpECPscFTQhuFxKXzVk0C+sI47exfYG&#10;Q5R9LXWPY4SbTqZJkkmDLceFBh0VDVW3090o+HxhVx5GWV2+C/d6LVfd8X7+UOrpcdqvQQSawn/4&#10;r11qBZG4TDP4/RO/gNz+AAAA//8DAFBLAQItABQABgAIAAAAIQDb4fbL7gAAAIUBAAATAAAAAAAA&#10;AAAAAAAAAAAAAABbQ29udGVudF9UeXBlc10ueG1sUEsBAi0AFAAGAAgAAAAhAFr0LFu/AAAAFQEA&#10;AAsAAAAAAAAAAAAAAAAAHwEAAF9yZWxzLy5yZWxzUEsBAi0AFAAGAAgAAAAhAC9bwYTHAAAA3wAA&#10;AA8AAAAAAAAAAAAAAAAABwIAAGRycy9kb3ducmV2LnhtbFBLBQYAAAAAAwADALcAAAD7AgAAAAA=&#10;" filled="f" stroked="f">
                  <v:textbox inset="0,0,0,0">
                    <w:txbxContent>
                      <w:p w14:paraId="1FD4976B" w14:textId="77777777" w:rsidR="00B32EF2" w:rsidRDefault="00000000">
                        <w:r>
                          <w:rPr>
                            <w:rFonts w:ascii="Arial" w:eastAsia="Arial" w:hAnsi="Arial" w:cs="Arial"/>
                            <w:sz w:val="18"/>
                          </w:rPr>
                          <w:t xml:space="preserve">. Avverso il decreto del presidente è ammesso reclamo ai sensi dell’articolo </w:t>
                        </w:r>
                      </w:p>
                    </w:txbxContent>
                  </v:textbox>
                </v:rect>
                <v:rect id="Rectangle 16471" o:spid="_x0000_s2636" style="position:absolute;left:15088;top:21702;width:8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noBxAAAAN4AAAAPAAAAZHJzL2Rvd25yZXYueG1sRE9Li8Iw&#10;EL4v7H8Is+BtTV1EpRplcZHtwcv6AI9DM7bVZhKaaKu/3iwI3ubje85s0ZlaXKnxlWUFg34Cgji3&#10;uuJCwW67+pyA8AFZY22ZFNzIw2L+/jbDVNuW/+i6CYWIIexTVFCG4FIpfV6SQd+3jjhyR9sYDBE2&#10;hdQNtjHc1PIrSUbSYMWxoURHy5Ly8+ZiFBx+2GWrVubH+9KtT9mk/r3s9kr1PrrvKYhAXXiJn+5M&#10;x/mj4XgA/+/EG+T8AQAA//8DAFBLAQItABQABgAIAAAAIQDb4fbL7gAAAIUBAAATAAAAAAAAAAAA&#10;AAAAAAAAAABbQ29udGVudF9UeXBlc10ueG1sUEsBAi0AFAAGAAgAAAAhAFr0LFu/AAAAFQEAAAsA&#10;AAAAAAAAAAAAAAAAHwEAAF9yZWxzLy5yZWxzUEsBAi0AFAAGAAgAAAAhAHseegHEAAAA3gAAAA8A&#10;AAAAAAAAAAAAAAAABwIAAGRycy9kb3ducmV2LnhtbFBLBQYAAAAAAwADALcAAAD4AgAAAAA=&#10;" filled="f" stroked="f">
                  <v:textbox inset="0,0,0,0">
                    <w:txbxContent>
                      <w:p w14:paraId="54D7ABFC" w14:textId="77777777" w:rsidR="00B32EF2" w:rsidRDefault="00000000">
                        <w:r>
                          <w:rPr>
                            <w:rFonts w:ascii="Arial" w:eastAsia="Arial" w:hAnsi="Arial" w:cs="Arial"/>
                            <w:b/>
                            <w:sz w:val="18"/>
                          </w:rPr>
                          <w:t>Articolo 91</w:t>
                        </w:r>
                      </w:p>
                    </w:txbxContent>
                  </v:textbox>
                </v:rect>
                <v:rect id="Rectangle 200322" o:spid="_x0000_s2637" style="position:absolute;left:-2601;top:20394;width:194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MeHxgAAAN8AAAAPAAAAZHJzL2Rvd25yZXYueG1sRI9Ba8JA&#10;FITvgv9heUJvumkKRVJXKYqYQy/VCD0+ss8kbfbtkl1N6q93BcHjMDPfMIvVYFpxoc43lhW8zhIQ&#10;xKXVDVcKisN2OgfhA7LG1jIp+CcPq+V4tMBM256/6bIPlYgQ9hkqqENwmZS+rMmgn1lHHL2T7QyG&#10;KLtK6g77CDetTJPkXRpsOC7U6GhdU/m3PxsFPxt2+baX5em6dl+/+bzdnYujUi+T4fMDRKAhPMOP&#10;dq4VROJbmsL9T/wCcnkDAAD//wMAUEsBAi0AFAAGAAgAAAAhANvh9svuAAAAhQEAABMAAAAAAAAA&#10;AAAAAAAAAAAAAFtDb250ZW50X1R5cGVzXS54bWxQSwECLQAUAAYACAAAACEAWvQsW78AAAAVAQAA&#10;CwAAAAAAAAAAAAAAAAAfAQAAX3JlbHMvLnJlbHNQSwECLQAUAAYACAAAACEAUGDHh8YAAADfAAAA&#10;DwAAAAAAAAAAAAAAAAAHAgAAZHJzL2Rvd25yZXYueG1sUEsFBgAAAAADAAMAtwAAAPoCAAAAAA==&#10;" filled="f" stroked="f">
                  <v:textbox inset="0,0,0,0">
                    <w:txbxContent>
                      <w:p w14:paraId="6A9D7C6E" w14:textId="77777777" w:rsidR="00B32EF2" w:rsidRDefault="00000000">
                        <w:r>
                          <w:rPr>
                            <w:rFonts w:ascii="Arial" w:eastAsia="Arial" w:hAnsi="Arial" w:cs="Arial"/>
                            <w:i/>
                            <w:sz w:val="18"/>
                          </w:rPr>
                          <w:t>546/92)</w:t>
                        </w:r>
                      </w:p>
                    </w:txbxContent>
                  </v:textbox>
                </v:rect>
                <v:rect id="Rectangle 200321" o:spid="_x0000_s2638" style="position:absolute;left:22217;top:20394;width:194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nwxgAAAN8AAAAPAAAAZHJzL2Rvd25yZXYueG1sRI9Pi8Iw&#10;FMTvC36H8IS9rakuiFSjLC6yPXjxH3h8NM+2bvMSmmirn94IgsdhZn7DzBadqcWVGl9ZVjAcJCCI&#10;c6srLhTsd6uvCQgfkDXWlknBjTws5r2PGabatryh6zYUIkLYp6igDMGlUvq8JIN+YB1x9E62MRii&#10;bAqpG2wj3NRylCRjabDiuFCio2VJ+f/2YhQcf9llq1bmp/vSrc/ZpP677A9Kffa7nymIQF14h1/t&#10;TCuIxO/REJ5/4heQ8wcAAAD//wMAUEsBAi0AFAAGAAgAAAAhANvh9svuAAAAhQEAABMAAAAAAAAA&#10;AAAAAAAAAAAAAFtDb250ZW50X1R5cGVzXS54bWxQSwECLQAUAAYACAAAACEAWvQsW78AAAAVAQAA&#10;CwAAAAAAAAAAAAAAAAAfAQAAX3JlbHMvLnJlbHNQSwECLQAUAAYACAAAACEAoLJZ8MYAAADfAAAA&#10;DwAAAAAAAAAAAAAAAAAHAgAAZHJzL2Rvd25yZXYueG1sUEsFBgAAAAADAAMAtwAAAPoCAAAAAA==&#10;" filled="f" stroked="f">
                  <v:textbox inset="0,0,0,0">
                    <w:txbxContent>
                      <w:p w14:paraId="4F58B37D" w14:textId="77777777" w:rsidR="00B32EF2" w:rsidRDefault="00000000">
                        <w:r>
                          <w:rPr>
                            <w:rFonts w:ascii="Arial" w:eastAsia="Arial" w:hAnsi="Arial" w:cs="Arial"/>
                            <w:i/>
                            <w:sz w:val="18"/>
                          </w:rPr>
                          <w:t>(</w:t>
                        </w:r>
                      </w:p>
                    </w:txbxContent>
                  </v:textbox>
                </v:rect>
                <v:rect id="Rectangle 200323" o:spid="_x0000_s2639" style="position:absolute;left:11638;top:20394;width:194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IcxQAAAN8AAAAPAAAAZHJzL2Rvd25yZXYueG1sRI9Bi8Iw&#10;FITvgv8hPMGbpiqIdI2yKGIPXnQVPD6aZ9vd5iU00db99RtB2OMwM98wy3VnavGgxleWFUzGCQji&#10;3OqKCwXnr91oAcIHZI21ZVLwJA/rVb+3xFTblo/0OIVCRAj7FBWUIbhUSp+XZNCPrSOO3s02BkOU&#10;TSF1g22Em1pOk2QuDVYcF0p0tCkp/zndjYLrll22a2V++924w3e2qPf380Wp4aD7/AARqAv/4Xc7&#10;0woicTadwetP/AJy9QcAAP//AwBQSwECLQAUAAYACAAAACEA2+H2y+4AAACFAQAAEwAAAAAAAAAA&#10;AAAAAAAAAAAAW0NvbnRlbnRfVHlwZXNdLnhtbFBLAQItABQABgAIAAAAIQBa9CxbvwAAABUBAAAL&#10;AAAAAAAAAAAAAAAAAB8BAABfcmVscy8ucmVsc1BLAQItABQABgAIAAAAIQA/LGIcxQAAAN8AAAAP&#10;AAAAAAAAAAAAAAAAAAcCAABkcnMvZG93bnJldi54bWxQSwUGAAAAAAMAAwC3AAAA+QIAAAAA&#10;" filled="f" stroked="f">
                  <v:textbox inset="0,0,0,0">
                    <w:txbxContent>
                      <w:p w14:paraId="7984EB6C" w14:textId="77777777" w:rsidR="00B32EF2" w:rsidRDefault="00000000">
                        <w:r>
                          <w:rPr>
                            <w:rFonts w:ascii="Arial" w:eastAsia="Arial" w:hAnsi="Arial" w:cs="Arial"/>
                            <w:i/>
                            <w:sz w:val="18"/>
                          </w:rPr>
                          <w:t xml:space="preserve">articolo 42 D.lgs. n. </w:t>
                        </w:r>
                      </w:p>
                    </w:txbxContent>
                  </v:textbox>
                </v:rect>
                <v:rect id="Rectangle 16473" o:spid="_x0000_s2640" style="position:absolute;left:-6574;top:19086;width:425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EHtxQAAAN4AAAAPAAAAZHJzL2Rvd25yZXYueG1sRE9La8JA&#10;EL4L/odlBG+6aSsq0VWKRcyhl/oAj0N2TGKzs0t2NbG/vlsoeJuP7znLdWdqcafGV5YVvIwTEMS5&#10;1RUXCo6H7WgOwgdkjbVlUvAgD+tVv7fEVNuWv+i+D4WIIexTVFCG4FIpfV6SQT+2jjhyF9sYDBE2&#10;hdQNtjHc1PI1SabSYMWxoURHm5Ly7/3NKDh/sMu2rcwvPxv3ec3m9e52PCk1HHTvCxCBuvAU/7sz&#10;HedPJ7M3+Hsn3iBXvwAAAP//AwBQSwECLQAUAAYACAAAACEA2+H2y+4AAACFAQAAEwAAAAAAAAAA&#10;AAAAAAAAAAAAW0NvbnRlbnRfVHlwZXNdLnhtbFBLAQItABQABgAIAAAAIQBa9CxbvwAAABUBAAAL&#10;AAAAAAAAAAAAAAAAAB8BAABfcmVscy8ucmVsc1BLAQItABQABgAIAAAAIQDkgEHtxQAAAN4AAAAP&#10;AAAAAAAAAAAAAAAAAAcCAABkcnMvZG93bnJldi54bWxQSwUGAAAAAAMAAwC3AAAA+QIAAAAA&#10;" filled="f" stroked="f">
                  <v:textbox inset="0,0,0,0">
                    <w:txbxContent>
                      <w:p w14:paraId="27B5C5A5" w14:textId="77777777" w:rsidR="00B32EF2" w:rsidRDefault="00000000">
                        <w:r>
                          <w:rPr>
                            <w:rFonts w:ascii="Arial" w:eastAsia="Arial" w:hAnsi="Arial" w:cs="Arial"/>
                            <w:b/>
                            <w:sz w:val="18"/>
                          </w:rPr>
                          <w:t xml:space="preserve">Effetti della sospensione e dell’interruzione del processo </w:t>
                        </w:r>
                      </w:p>
                    </w:txbxContent>
                  </v:textbox>
                </v:rect>
                <v:rect id="Rectangle 200319" o:spid="_x0000_s2641" style="position:absolute;left:26110;top:1777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J9LxwAAAN8AAAAPAAAAZHJzL2Rvd25yZXYueG1sRI9Pa8JA&#10;FMTvhX6H5RV6040VikY3IhYxh16qKfT4yL780ezbJbuatJ++WxB6HGbmN8x6M5pO3Kj3rWUFs2kC&#10;gri0uuVaQXHaTxYgfEDW2FkmBd/kYZM9Pqwx1XbgD7odQy0ihH2KCpoQXCqlLxsy6KfWEUevsr3B&#10;EGVfS93jEOGmky9J8ioNthwXGnS0a6i8HK9Gwdcbu3w/yLL62bn3c77oDtfiU6nnp3G7AhFoDP/h&#10;ezvXCiJxPlvC35/4BWT2CwAA//8DAFBLAQItABQABgAIAAAAIQDb4fbL7gAAAIUBAAATAAAAAAAA&#10;AAAAAAAAAAAAAABbQ29udGVudF9UeXBlc10ueG1sUEsBAi0AFAAGAAgAAAAhAFr0LFu/AAAAFQEA&#10;AAsAAAAAAAAAAAAAAAAAHwEAAF9yZWxzLy5yZWxzUEsBAi0AFAAGAAgAAAAhAJCon0vHAAAA3wAA&#10;AA8AAAAAAAAAAAAAAAAABwIAAGRycy9kb3ducmV2LnhtbFBLBQYAAAAAAwADALcAAAD7AgAAAAA=&#10;" filled="f" stroked="f">
                  <v:textbox inset="0,0,0,0">
                    <w:txbxContent>
                      <w:p w14:paraId="65956C4B" w14:textId="77777777" w:rsidR="00B32EF2" w:rsidRDefault="00000000">
                        <w:r>
                          <w:rPr>
                            <w:rFonts w:ascii="Arial" w:eastAsia="Arial" w:hAnsi="Arial" w:cs="Arial"/>
                            <w:sz w:val="18"/>
                          </w:rPr>
                          <w:t>1</w:t>
                        </w:r>
                      </w:p>
                    </w:txbxContent>
                  </v:textbox>
                </v:rect>
                <v:rect id="Rectangle 200320" o:spid="_x0000_s2642" style="position:absolute;left:-13763;top:1777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xrxwAAAN8AAAAPAAAAZHJzL2Rvd25yZXYueG1sRI9Na8JA&#10;EIbvhf6HZQq91U0tiKSuIhZpDl78KPQ4ZMckNTu7ZFeT+uudg+BxeOd9Xp7ZYnCtulAXG88G3kcZ&#10;KOLS24YrA4f9+m0KKiZki61nMvBPERbz56cZ5tb3vKXLLlVKIBxzNFCnFHKtY1mTwzjygViyo+8c&#10;Jjm7StsOe4G7Vo+zbKIdNiwLNQZa1VSedmdn4PeLQ7HudXm8rsLmr5i23+fDjzGvL8PyE1SiIT2e&#10;7+3CGhDix1gMxEdcQM9vAAAA//8DAFBLAQItABQABgAIAAAAIQDb4fbL7gAAAIUBAAATAAAAAAAA&#10;AAAAAAAAAAAAAABbQ29udGVudF9UeXBlc10ueG1sUEsBAi0AFAAGAAgAAAAhAFr0LFu/AAAAFQEA&#10;AAsAAAAAAAAAAAAAAAAAHwEAAF9yZWxzLy5yZWxzUEsBAi0AFAAGAAgAAAAhAM/+/GvHAAAA3wAA&#10;AA8AAAAAAAAAAAAAAAAABwIAAGRycy9kb3ducmV2LnhtbFBLBQYAAAAAAwADALcAAAD7AgAAAAA=&#10;" filled="f" stroked="f">
                  <v:textbox inset="0,0,0,0">
                    <w:txbxContent>
                      <w:p w14:paraId="30AC5D9C" w14:textId="77777777" w:rsidR="00B32EF2" w:rsidRDefault="00000000">
                        <w:r>
                          <w:rPr>
                            <w:rFonts w:ascii="Arial" w:eastAsia="Arial" w:hAnsi="Arial" w:cs="Arial"/>
                            <w:sz w:val="18"/>
                          </w:rPr>
                          <w:t xml:space="preserve">. Durante la sospensione e l’interruzione non possono essere compiuti atti </w:t>
                        </w:r>
                      </w:p>
                    </w:txbxContent>
                  </v:textbox>
                </v:rect>
                <v:rect id="Rectangle 16475" o:spid="_x0000_s2643" style="position:absolute;left:30739;top:16471;width:91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XwCxQAAAN4AAAAPAAAAZHJzL2Rvd25yZXYueG1sRE9La8JA&#10;EL4L/odlBG+6aakPoqsUi5hDL/UBHofsmMRmZ5fsamJ/fbdQ8DYf33OW687U4k6NrywreBknIIhz&#10;qysuFBwP29EchA/IGmvLpOBBHtarfm+JqbYtf9F9HwoRQ9inqKAMwaVS+rwkg35sHXHkLrYxGCJs&#10;CqkbbGO4qeVrkkylwYpjQ4mONiXl3/ubUXD+YJdtW5lffjbu85rN693teFJqOOjeFyACdeEp/ndn&#10;Os6fvs0m8PdOvEGufgEAAP//AwBQSwECLQAUAAYACAAAACEA2+H2y+4AAACFAQAAEwAAAAAAAAAA&#10;AAAAAAAAAAAAW0NvbnRlbnRfVHlwZXNdLnhtbFBLAQItABQABgAIAAAAIQBa9CxbvwAAABUBAAAL&#10;AAAAAAAAAAAAAAAAAB8BAABfcmVscy8ucmVsc1BLAQItABQABgAIAAAAIQAEJXwCxQAAAN4AAAAP&#10;AAAAAAAAAAAAAAAAAAcCAABkcnMvZG93bnJldi54bWxQSwUGAAAAAAMAAwC3AAAA+QIAAAAA&#10;" filled="f" stroked="f">
                  <v:textbox inset="0,0,0,0">
                    <w:txbxContent>
                      <w:p w14:paraId="3048A844" w14:textId="77777777" w:rsidR="00B32EF2" w:rsidRDefault="00000000">
                        <w:r>
                          <w:rPr>
                            <w:rFonts w:ascii="Arial" w:eastAsia="Arial" w:hAnsi="Arial" w:cs="Arial"/>
                            <w:sz w:val="18"/>
                          </w:rPr>
                          <w:t>del processo.</w:t>
                        </w:r>
                      </w:p>
                    </w:txbxContent>
                  </v:textbox>
                </v:rect>
                <v:rect id="Rectangle 200317" o:spid="_x0000_s2644" style="position:absolute;left:26348;top:15164;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66ixwAAAN8AAAAPAAAAZHJzL2Rvd25yZXYueG1sRI9PawIx&#10;FMTvgt8hPKE3zWqhytasFEW6By+1Ch4fm7d/2s1L2ER366dvCkKPw8z8hllvBtOKG3W+saxgPktA&#10;EBdWN1wpOH3upysQPiBrbC2Tgh/ysMnGozWm2vb8QbdjqESEsE9RQR2CS6X0RU0G/cw64uiVtjMY&#10;ouwqqTvsI9y0cpEkL9Jgw3GhRkfbmorv49UouOzY5fteFuV96w5f+ap9v57OSj1NhrdXEIGG8B9+&#10;tHOtIBKf50v4+xO/gMx+AQAA//8DAFBLAQItABQABgAIAAAAIQDb4fbL7gAAAIUBAAATAAAAAAAA&#10;AAAAAAAAAAAAAABbQ29udGVudF9UeXBlc10ueG1sUEsBAi0AFAAGAAgAAAAhAFr0LFu/AAAAFQEA&#10;AAsAAAAAAAAAAAAAAAAAHwEAAF9yZWxzLy5yZWxzUEsBAi0AFAAGAAgAAAAhAI57rqLHAAAA3wAA&#10;AA8AAAAAAAAAAAAAAAAABwIAAGRycy9kb3ducmV2LnhtbFBLBQYAAAAAAwADALcAAAD7AgAAAAA=&#10;" filled="f" stroked="f">
                  <v:textbox inset="0,0,0,0">
                    <w:txbxContent>
                      <w:p w14:paraId="428BF61E" w14:textId="77777777" w:rsidR="00B32EF2" w:rsidRDefault="00000000">
                        <w:r>
                          <w:rPr>
                            <w:rFonts w:ascii="Arial" w:eastAsia="Arial" w:hAnsi="Arial" w:cs="Arial"/>
                            <w:sz w:val="18"/>
                          </w:rPr>
                          <w:t>2</w:t>
                        </w:r>
                      </w:p>
                    </w:txbxContent>
                  </v:textbox>
                </v:rect>
                <v:rect id="Rectangle 200318" o:spid="_x0000_s2645" style="position:absolute;left:-12854;top:15164;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rQxwAAAN8AAAAPAAAAZHJzL2Rvd25yZXYueG1sRI/BasJA&#10;EIbvhb7DMgVvdWMFkdRVxCLm0EvVQo9DdkxSs7NLdjWxT985CB6Hf/5v5lusBteqK3Wx8WxgMs5A&#10;EZfeNlwZOB62r3NQMSFbbD2TgRtFWC2fnxaYW9/zF133qVIC4ZijgTqlkGsdy5ocxrEPxJKdfOcw&#10;ydhV2nbYC9y1+i3LZtphw3KhxkCbmsrz/uIM/HxwKLa9Lk9/m/D5W8zb3eX4bczoZVi/g0o0pMfy&#10;vV1YA0KcTuRh8REX0Mt/AAAA//8DAFBLAQItABQABgAIAAAAIQDb4fbL7gAAAIUBAAATAAAAAAAA&#10;AAAAAAAAAAAAAABbQ29udGVudF9UeXBlc10ueG1sUEsBAi0AFAAGAAgAAAAhAFr0LFu/AAAAFQEA&#10;AAsAAAAAAAAAAAAAAAAAHwEAAF9yZWxzLy5yZWxzUEsBAi0AFAAGAAgAAAAhAP/kOtDHAAAA3wAA&#10;AA8AAAAAAAAAAAAAAAAABwIAAGRycy9kb3ducmV2LnhtbFBLBQYAAAAAAwADALcAAAD7AgAAAAA=&#10;" filled="f" stroked="f">
                  <v:textbox inset="0,0,0,0">
                    <w:txbxContent>
                      <w:p w14:paraId="21A0C6FD" w14:textId="77777777" w:rsidR="00B32EF2" w:rsidRDefault="00000000">
                        <w:r>
                          <w:rPr>
                            <w:rFonts w:ascii="Arial" w:eastAsia="Arial" w:hAnsi="Arial" w:cs="Arial"/>
                            <w:sz w:val="18"/>
                          </w:rPr>
                          <w:t>. I termini in corso sono interrotti e ricominciano a decorrere dalla presenta</w:t>
                        </w:r>
                      </w:p>
                    </w:txbxContent>
                  </v:textbox>
                </v:rect>
                <v:rect id="Rectangle 16477" o:spid="_x0000_s2646" style="position:absolute;left:192;top:1516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0fuxAAAAN4AAAAPAAAAZHJzL2Rvd25yZXYueG1sRE9Ni8Iw&#10;EL0L/ocwgjdNlUWlaxRRZHvwsq4Lexyasa02k9BEW/31m4UFb/N4n7Ncd6YWd2p8ZVnBZJyAIM6t&#10;rrhQcPrajxYgfEDWWFsmBQ/ysF71e0tMtW35k+7HUIgYwj5FBWUILpXS5yUZ9GPriCN3to3BEGFT&#10;SN1gG8NNLadJMpMGK44NJTralpRfjzej4GfHLtu3Mj8/t+5wyRb1x+30rdRw0G3eQQTqwkv87850&#10;nD97m8/h7514g1z9AgAA//8DAFBLAQItABQABgAIAAAAIQDb4fbL7gAAAIUBAAATAAAAAAAAAAAA&#10;AAAAAAAAAABbQ29udGVudF9UeXBlc10ueG1sUEsBAi0AFAAGAAgAAAAhAFr0LFu/AAAAFQEAAAsA&#10;AAAAAAAAAAAAAAAAHwEAAF9yZWxzLy5yZWxzUEsBAi0AFAAGAAgAAAAhAJu7R+7EAAAA3gAAAA8A&#10;AAAAAAAAAAAAAAAABwIAAGRycy9kb3ducmV2LnhtbFBLBQYAAAAAAwADALcAAAD4AgAAAAA=&#10;" filled="f" stroked="f">
                  <v:textbox inset="0,0,0,0">
                    <w:txbxContent>
                      <w:p w14:paraId="58212DFE" w14:textId="77777777" w:rsidR="00B32EF2" w:rsidRDefault="00000000">
                        <w:r>
                          <w:rPr>
                            <w:rFonts w:ascii="Arial" w:eastAsia="Arial" w:hAnsi="Arial" w:cs="Arial"/>
                            <w:sz w:val="18"/>
                          </w:rPr>
                          <w:t>-</w:t>
                        </w:r>
                      </w:p>
                    </w:txbxContent>
                  </v:textbox>
                </v:rect>
                <v:rect id="Rectangle 16478" o:spid="_x0000_s2647" style="position:absolute;left:14312;top:13856;width:256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OcxwAAAN4AAAAPAAAAZHJzL2Rvd25yZXYueG1sRI9Ba8JA&#10;EIXvQv/DMoXedFMpKqmrFIuYg5eqhR6H7Jikzc4u2dWk/fXOoeBthvfmvW+W68G16kpdbDwbeJ5k&#10;oIhLbxuuDJyO2/ECVEzIFlvPZOCXIqxXD6Ml5tb3/EHXQ6qUhHDM0UCdUsi1jmVNDuPEB2LRzr5z&#10;mGTtKm077CXctXqaZTPtsGFpqDHQpqby53BxBr7eORTbXpfnv03YfxeLdnc5fRrz9Di8vYJKNKS7&#10;+f+6sII/e5kLr7wjM+jVDQAA//8DAFBLAQItABQABgAIAAAAIQDb4fbL7gAAAIUBAAATAAAAAAAA&#10;AAAAAAAAAAAAAABbQ29udGVudF9UeXBlc10ueG1sUEsBAi0AFAAGAAgAAAAhAFr0LFu/AAAAFQEA&#10;AAsAAAAAAAAAAAAAAAAAHwEAAF9yZWxzLy5yZWxzUEsBAi0AFAAGAAgAAAAhAOok05zHAAAA3gAA&#10;AA8AAAAAAAAAAAAAAAAABwIAAGRycy9kb3ducmV2LnhtbFBLBQYAAAAAAwADALcAAAD7AgAAAAA=&#10;" filled="f" stroked="f">
                  <v:textbox inset="0,0,0,0">
                    <w:txbxContent>
                      <w:p w14:paraId="4E358558" w14:textId="77777777" w:rsidR="00B32EF2" w:rsidRDefault="00000000">
                        <w:r>
                          <w:rPr>
                            <w:rFonts w:ascii="Arial" w:eastAsia="Arial" w:hAnsi="Arial" w:cs="Arial"/>
                            <w:sz w:val="18"/>
                          </w:rPr>
                          <w:t>zione dell’istanza di cui all’articolo 92.</w:t>
                        </w:r>
                      </w:p>
                    </w:txbxContent>
                  </v:textbox>
                </v:rect>
                <v:rect id="Rectangle 16479" o:spid="_x0000_s2648" style="position:absolute;left:15075;top:11240;width:80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HYHxQAAAN4AAAAPAAAAZHJzL2Rvd25yZXYueG1sRE9Na8JA&#10;EL0X+h+WKXirG0Wsja4iipiDl1oLPQ7ZMYlmZ5fsaqK/3i0UvM3jfc5s0ZlaXKnxlWUFg34Cgji3&#10;uuJCweF78z4B4QOyxtoyKbiRh8X89WWGqbYtf9F1HwoRQ9inqKAMwaVS+rwkg75vHXHkjrYxGCJs&#10;CqkbbGO4qeUwScbSYMWxoURHq5Ly8/5iFPyu2WWbVubH+8rtTtmk3l4OP0r13rrlFESgLjzF/+5M&#10;x/nj0ccn/L0Tb5DzBwAAAP//AwBQSwECLQAUAAYACAAAACEA2+H2y+4AAACFAQAAEwAAAAAAAAAA&#10;AAAAAAAAAAAAW0NvbnRlbnRfVHlwZXNdLnhtbFBLAQItABQABgAIAAAAIQBa9CxbvwAAABUBAAAL&#10;AAAAAAAAAAAAAAAAAB8BAABfcmVscy8ucmVsc1BLAQItABQABgAIAAAAIQCFaHYHxQAAAN4AAAAP&#10;AAAAAAAAAAAAAAAAAAcCAABkcnMvZG93bnJldi54bWxQSwUGAAAAAAMAAwC3AAAA+QIAAAAA&#10;" filled="f" stroked="f">
                  <v:textbox inset="0,0,0,0">
                    <w:txbxContent>
                      <w:p w14:paraId="79A02CAD" w14:textId="77777777" w:rsidR="00B32EF2" w:rsidRDefault="00000000">
                        <w:r>
                          <w:rPr>
                            <w:rFonts w:ascii="Arial" w:eastAsia="Arial" w:hAnsi="Arial" w:cs="Arial"/>
                            <w:b/>
                            <w:sz w:val="18"/>
                          </w:rPr>
                          <w:t>Articolo 92</w:t>
                        </w:r>
                      </w:p>
                    </w:txbxContent>
                  </v:textbox>
                </v:rect>
                <v:rect id="Rectangle 200315" o:spid="_x0000_s2649" style="position:absolute;left:11615;top:9932;width:194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ZVOxwAAAN8AAAAPAAAAZHJzL2Rvd25yZXYueG1sRI9PawIx&#10;FMTvgt8hPKE3zWqpyNasFEW6By+1Ch4fm7d/2s1L2ER366dvCkKPw8z8hllvBtOKG3W+saxgPktA&#10;EBdWN1wpOH3upysQPiBrbC2Tgh/ysMnGozWm2vb8QbdjqESEsE9RQR2CS6X0RU0G/cw64uiVtjMY&#10;ouwqqTvsI9y0cpEkS2mw4bhQo6NtTcX38WoUXHbs8n0vi/K+dYevfNW+X09npZ4mw9sriEBD+A8/&#10;2rlWEInP8xf4+xO/gMx+AQAA//8DAFBLAQItABQABgAIAAAAIQDb4fbL7gAAAIUBAAATAAAAAAAA&#10;AAAAAAAAAAAAAABbQ29udGVudF9UeXBlc10ueG1sUEsBAi0AFAAGAAgAAAAhAFr0LFu/AAAAFQEA&#10;AAsAAAAAAAAAAAAAAAAAHwEAAF9yZWxzLy5yZWxzUEsBAi0AFAAGAAgAAAAhABHllU7HAAAA3wAA&#10;AA8AAAAAAAAAAAAAAAAABwIAAGRycy9kb3ducmV2LnhtbFBLBQYAAAAAAwADALcAAAD7AgAAAAA=&#10;" filled="f" stroked="f">
                  <v:textbox inset="0,0,0,0">
                    <w:txbxContent>
                      <w:p w14:paraId="502705EC" w14:textId="77777777" w:rsidR="00B32EF2" w:rsidRDefault="00000000">
                        <w:r>
                          <w:rPr>
                            <w:rFonts w:ascii="Arial" w:eastAsia="Arial" w:hAnsi="Arial" w:cs="Arial"/>
                            <w:i/>
                            <w:sz w:val="18"/>
                          </w:rPr>
                          <w:t xml:space="preserve">articolo 43 D.lgs. n. </w:t>
                        </w:r>
                      </w:p>
                    </w:txbxContent>
                  </v:textbox>
                </v:rect>
                <v:rect id="Rectangle 200313" o:spid="_x0000_s2650" style="position:absolute;left:22222;top:9932;width:194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KihxwAAAN8AAAAPAAAAZHJzL2Rvd25yZXYueG1sRI9Ba8JA&#10;FITvgv9heUJvurEBCdFVikWaQy+mFnp8ZJ9JbPbtkl2TtL++Wyj0OMzMN8zuMJlODNT71rKC9SoB&#10;QVxZ3XKt4PJ2WmYgfEDW2FkmBV/k4bCfz3aYazvymYYy1CJC2OeooAnB5VL6qiGDfmUdcfSutjcY&#10;ouxrqXscI9x08jFJNtJgy3GhQUfHhqrP8m4UfDyzK06jrK7fR/d6K7Lu5X55V+phMT1tQQSawn/4&#10;r11oBZGYrlP4/RO/gNz/AAAA//8DAFBLAQItABQABgAIAAAAIQDb4fbL7gAAAIUBAAATAAAAAAAA&#10;AAAAAAAAAAAAAABbQ29udGVudF9UeXBlc10ueG1sUEsBAi0AFAAGAAgAAAAhAFr0LFu/AAAAFQEA&#10;AAsAAAAAAAAAAAAAAAAAHwEAAF9yZWxzLy5yZWxzUEsBAi0AFAAGAAgAAAAhAPFAqKHHAAAA3wAA&#10;AA8AAAAAAAAAAAAAAAAABwIAAGRycy9kb3ducmV2LnhtbFBLBQYAAAAAAwADALcAAAD7AgAAAAA=&#10;" filled="f" stroked="f">
                  <v:textbox inset="0,0,0,0">
                    <w:txbxContent>
                      <w:p w14:paraId="1B026E24" w14:textId="77777777" w:rsidR="00B32EF2" w:rsidRDefault="00000000">
                        <w:r>
                          <w:rPr>
                            <w:rFonts w:ascii="Arial" w:eastAsia="Arial" w:hAnsi="Arial" w:cs="Arial"/>
                            <w:i/>
                            <w:sz w:val="18"/>
                          </w:rPr>
                          <w:t>(</w:t>
                        </w:r>
                      </w:p>
                    </w:txbxContent>
                  </v:textbox>
                </v:rect>
                <v:rect id="Rectangle 200314" o:spid="_x0000_s2651" style="position:absolute;left:-2653;top:9932;width:194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DVxwAAAN8AAAAPAAAAZHJzL2Rvd25yZXYueG1sRI9PawIx&#10;FMTvgt8hPKE3zWqLyNasFEW6By+1Ch4fm7d/2s1L2ER366dvCkKPw8z8hllvBtOKG3W+saxgPktA&#10;EBdWN1wpOH3upysQPiBrbC2Tgh/ysMnGozWm2vb8QbdjqESEsE9RQR2CS6X0RU0G/cw64uiVtjMY&#10;ouwqqTvsI9y0cpEkS2mw4bhQo6NtTcX38WoUXHbs8n0vi/K+dYevfNW+X09npZ4mw9sriEBD+A8/&#10;2rlWEInP8xf4+xO/gMx+AQAA//8DAFBLAQItABQABgAIAAAAIQDb4fbL7gAAAIUBAAATAAAAAAAA&#10;AAAAAAAAAAAAAABbQ29udGVudF9UeXBlc10ueG1sUEsBAi0AFAAGAAgAAAAhAFr0LFu/AAAAFQEA&#10;AAsAAAAAAAAAAAAAAAAAHwEAAF9yZWxzLy5yZWxzUEsBAi0AFAAGAAgAAAAhAH6pMNXHAAAA3wAA&#10;AA8AAAAAAAAAAAAAAAAABwIAAGRycy9kb3ducmV2LnhtbFBLBQYAAAAAAwADALcAAAD7AgAAAAA=&#10;" filled="f" stroked="f">
                  <v:textbox inset="0,0,0,0">
                    <w:txbxContent>
                      <w:p w14:paraId="317499FE" w14:textId="77777777" w:rsidR="00B32EF2" w:rsidRDefault="00000000">
                        <w:r>
                          <w:rPr>
                            <w:rFonts w:ascii="Arial" w:eastAsia="Arial" w:hAnsi="Arial" w:cs="Arial"/>
                            <w:i/>
                            <w:sz w:val="18"/>
                          </w:rPr>
                          <w:t>546/92)</w:t>
                        </w:r>
                      </w:p>
                    </w:txbxContent>
                  </v:textbox>
                </v:rect>
                <v:rect id="Rectangle 16481" o:spid="_x0000_s2652" style="position:absolute;left:290;top:8625;width:3151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womxAAAAN4AAAAPAAAAZHJzL2Rvd25yZXYueG1sRE9Li8Iw&#10;EL4L/ocwwt40VRYpXaOIItvDXnws7HFoxrZrMwlNtN399UYQvM3H95zFqjeNuFHra8sKppMEBHFh&#10;dc2lgtNxN05B+ICssbFMCv7Iw2o5HCww07bjPd0OoRQxhH2GCqoQXCalLyoy6CfWEUfubFuDIcK2&#10;lLrFLoabRs6SZC4N1hwbKnS0qai4HK5Gwc+WXb7rZHH+37iv3zxtPq+nb6XeRv36A0SgPrzET3eu&#10;4/z5ezqFxzvxBrm8AwAA//8DAFBLAQItABQABgAIAAAAIQDb4fbL7gAAAIUBAAATAAAAAAAAAAAA&#10;AAAAAAAAAABbQ29udGVudF9UeXBlc10ueG1sUEsBAi0AFAAGAAgAAAAhAFr0LFu/AAAAFQEAAAsA&#10;AAAAAAAAAAAAAAAAHwEAAF9yZWxzLy5yZWxzUEsBAi0AFAAGAAgAAAAhAE7LCibEAAAA3gAAAA8A&#10;AAAAAAAAAAAAAAAABwIAAGRycy9kb3ducmV2LnhtbFBLBQYAAAAAAwADALcAAAD4AgAAAAA=&#10;" filled="f" stroked="f">
                  <v:textbox inset="0,0,0,0">
                    <w:txbxContent>
                      <w:p w14:paraId="1B40738C" w14:textId="77777777" w:rsidR="00B32EF2" w:rsidRDefault="00000000">
                        <w:r>
                          <w:rPr>
                            <w:rFonts w:ascii="Arial" w:eastAsia="Arial" w:hAnsi="Arial" w:cs="Arial"/>
                            <w:b/>
                            <w:sz w:val="18"/>
                          </w:rPr>
                          <w:t xml:space="preserve">Ripresa del processo sospeso o interrotto </w:t>
                        </w:r>
                      </w:p>
                    </w:txbxContent>
                  </v:textbox>
                </v:rect>
                <v:rect id="Rectangle 200310" o:spid="_x0000_s2653" style="position:absolute;left:-12778;top:7317;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jbWxgAAAN8AAAAPAAAAZHJzL2Rvd25yZXYueG1sRI9Ba8JA&#10;EIXvhf6HZQre6sYKIqmriEXMoZeqhR6H7JikZmeX7Gpif33nIHgc3rzv8S1Wg2vVlbrYeDYwGWeg&#10;iEtvG64MHA/b1zmomJAttp7JwI0irJbPTwvMre/5i677VCmBcMzRQJ1SyLWOZU0O49gHYslOvnOY&#10;5OwqbTvsBe5a/ZZlM+2wYVmoMdCmpvK8vzgDPx8cim2vy9PfJnz+FvN2dzl+GzN6GdbvoBIN6fF8&#10;bxfWgBCnEzEQH3EBvfwHAAD//wMAUEsBAi0AFAAGAAgAAAAhANvh9svuAAAAhQEAABMAAAAAAAAA&#10;AAAAAAAAAAAAAFtDb250ZW50X1R5cGVzXS54bWxQSwECLQAUAAYACAAAACEAWvQsW78AAAAVAQAA&#10;CwAAAAAAAAAAAAAAAAAfAQAAX3JlbHMvLnJlbHNQSwECLQAUAAYACAAAACEAAZI21sYAAADfAAAA&#10;DwAAAAAAAAAAAAAAAAAHAgAAZHJzL2Rvd25yZXYueG1sUEsFBgAAAAADAAMAtwAAAPoCAAAAAA==&#10;" filled="f" stroked="f">
                  <v:textbox inset="0,0,0,0">
                    <w:txbxContent>
                      <w:p w14:paraId="3F1E053B" w14:textId="77777777" w:rsidR="00B32EF2" w:rsidRDefault="00000000">
                        <w:r>
                          <w:rPr>
                            <w:rFonts w:ascii="Arial" w:eastAsia="Arial" w:hAnsi="Arial" w:cs="Arial"/>
                            <w:sz w:val="18"/>
                          </w:rPr>
                          <w:t>. Dopo che è cessata la causa che ne ha determinato la sospensione il pro</w:t>
                        </w:r>
                      </w:p>
                    </w:txbxContent>
                  </v:textbox>
                </v:rect>
                <v:rect id="Rectangle 200309" o:spid="_x0000_s2654" style="position:absolute;left:26354;top:7317;width:52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mWxgAAAN8AAAAPAAAAZHJzL2Rvd25yZXYueG1sRI9Pi8Iw&#10;FMTvC36H8IS9aaoLol2jiCLbgxf/wR4fzbPtbvMSmmi7fnojCHscZuY3zHzZmVrcqPGVZQWjYQKC&#10;OLe64kLB6bgdTEH4gKyxtkwK/sjDctF7m2Oqbct7uh1CISKEfYoKyhBcKqXPSzLoh9YRR+9iG4Mh&#10;yqaQusE2wk0tx0kykQYrjgslOlqXlP8erkbB94Zdtm1lfrmv3e4nm9Zf19NZqfd+t/oEEagL/+FX&#10;O9MKIvEjmcHzT/wCcvEAAAD//wMAUEsBAi0AFAAGAAgAAAAhANvh9svuAAAAhQEAABMAAAAAAAAA&#10;AAAAAAAAAAAAAFtDb250ZW50X1R5cGVzXS54bWxQSwECLQAUAAYACAAAACEAWvQsW78AAAAVAQAA&#10;CwAAAAAAAAAAAAAAAAAfAQAAX3JlbHMvLnJlbHNQSwECLQAUAAYACAAAACEAFXEJlsYAAADfAAAA&#10;DwAAAAAAAAAAAAAAAAAHAgAAZHJzL2Rvd25yZXYueG1sUEsFBgAAAAADAAMAtwAAAPoCAAAAAA==&#10;" filled="f" stroked="f">
                  <v:textbox inset="0,0,0,0">
                    <w:txbxContent>
                      <w:p w14:paraId="1E422070" w14:textId="77777777" w:rsidR="00B32EF2" w:rsidRDefault="00000000">
                        <w:r>
                          <w:rPr>
                            <w:rFonts w:ascii="Arial" w:eastAsia="Arial" w:hAnsi="Arial" w:cs="Arial"/>
                            <w:sz w:val="18"/>
                          </w:rPr>
                          <w:t>1</w:t>
                        </w:r>
                      </w:p>
                    </w:txbxContent>
                  </v:textbox>
                </v:rect>
                <v:rect id="Rectangle 16483" o:spid="_x0000_s2655" style="position:absolute;left:192;top:731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THKxAAAAN4AAAAPAAAAZHJzL2Rvd25yZXYueG1sRE9Na8JA&#10;EL0X/A/LCN7qxlokRFcRRZpDL7UKHofsmESzs0t2NdFf3y0UepvH+5zFqjeNuFPra8sKJuMEBHFh&#10;dc2lgsP37jUF4QOyxsYyKXiQh9Vy8LLATNuOv+i+D6WIIewzVFCF4DIpfVGRQT+2jjhyZ9saDBG2&#10;pdQtdjHcNPItSWbSYM2xoUJHm4qK6/5mFJy27PJdJ4vzc+M+L3nafNwOR6VGw349BxGoD//iP3eu&#10;4/zZezqF33fiDXL5AwAA//8DAFBLAQItABQABgAIAAAAIQDb4fbL7gAAAIUBAAATAAAAAAAAAAAA&#10;AAAAAAAAAABbQ29udGVudF9UeXBlc10ueG1sUEsBAi0AFAAGAAgAAAAhAFr0LFu/AAAAFQEAAAsA&#10;AAAAAAAAAAAAAAAAHwEAAF9yZWxzLy5yZWxzUEsBAi0AFAAGAAgAAAAhANFVMcrEAAAA3gAAAA8A&#10;AAAAAAAAAAAAAAAABwIAAGRycy9kb3ducmV2LnhtbFBLBQYAAAAAAwADALcAAAD4AgAAAAA=&#10;" filled="f" stroked="f">
                  <v:textbox inset="0,0,0,0">
                    <w:txbxContent>
                      <w:p w14:paraId="4D4B546C" w14:textId="77777777" w:rsidR="00B32EF2" w:rsidRDefault="00000000">
                        <w:r>
                          <w:rPr>
                            <w:rFonts w:ascii="Arial" w:eastAsia="Arial" w:hAnsi="Arial" w:cs="Arial"/>
                            <w:sz w:val="18"/>
                          </w:rPr>
                          <w:t>-</w:t>
                        </w:r>
                      </w:p>
                    </w:txbxContent>
                  </v:textbox>
                </v:rect>
                <v:rect id="Rectangle 16484" o:spid="_x0000_s2656" style="position:absolute;left:-13171;top:600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Km+xAAAAN4AAAAPAAAAZHJzL2Rvd25yZXYueG1sRE9Na8JA&#10;EL0X/A/LFLzVTYtISF1FFGkOXqoRPA7ZMUnNzi7Z1UR/fbdQ8DaP9znz5WBacaPON5YVvE8SEMSl&#10;1Q1XCorD9i0F4QOyxtYyKbiTh+Vi9DLHTNuev+m2D5WIIewzVFCH4DIpfVmTQT+xjjhyZ9sZDBF2&#10;ldQd9jHctPIjSWbSYMOxoUZH65rKy/5qFJw27PJtL8vzY+12P3nafl2Lo1Lj12H1CSLQEJ7if3eu&#10;4/zZNJ3C3zvxBrn4BQAA//8DAFBLAQItABQABgAIAAAAIQDb4fbL7gAAAIUBAAATAAAAAAAAAAAA&#10;AAAAAAAAAABbQ29udGVudF9UeXBlc10ueG1sUEsBAi0AFAAGAAgAAAAhAFr0LFu/AAAAFQEAAAsA&#10;AAAAAAAAAAAAAAAAHwEAAF9yZWxzLy5yZWxzUEsBAi0AFAAGAAgAAAAhAF68qb7EAAAA3gAAAA8A&#10;AAAAAAAAAAAAAAAABwIAAGRycy9kb3ducmV2LnhtbFBLBQYAAAAAAwADALcAAAD4AgAAAAA=&#10;" filled="f" stroked="f">
                  <v:textbox inset="0,0,0,0">
                    <w:txbxContent>
                      <w:p w14:paraId="3F42CABE" w14:textId="77777777" w:rsidR="00B32EF2" w:rsidRDefault="00000000">
                        <w:r>
                          <w:rPr>
                            <w:rFonts w:ascii="Arial" w:eastAsia="Arial" w:hAnsi="Arial" w:cs="Arial"/>
                            <w:sz w:val="18"/>
                          </w:rPr>
                          <w:t xml:space="preserve">cesso continua se entro sei mesi da tale data viene presentata da una delle </w:t>
                        </w:r>
                      </w:p>
                    </w:txbxContent>
                  </v:textbox>
                </v:rect>
                <v:rect id="Rectangle 16485" o:spid="_x0000_s2657" style="position:absolute;left:-12208;top:4702;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AwlxAAAAN4AAAAPAAAAZHJzL2Rvd25yZXYueG1sRE9Na8JA&#10;EL0X/A/LCN7qxmIlRFcRRZpDL7UKHofsmESzs0t2NdFf3y0UepvH+5zFqjeNuFPra8sKJuMEBHFh&#10;dc2lgsP37jUF4QOyxsYyKXiQh9Vy8LLATNuOv+i+D6WIIewzVFCF4DIpfVGRQT+2jjhyZ9saDBG2&#10;pdQtdjHcNPItSWbSYM2xoUJHm4qK6/5mFJy27PJdJ4vzc+M+L3nafNwOR6VGw349BxGoD//iP3eu&#10;4/zZNH2H33fiDXL5AwAA//8DAFBLAQItABQABgAIAAAAIQDb4fbL7gAAAIUBAAATAAAAAAAAAAAA&#10;AAAAAAAAAABbQ29udGVudF9UeXBlc10ueG1sUEsBAi0AFAAGAAgAAAAhAFr0LFu/AAAAFQEAAAsA&#10;AAAAAAAAAAAAAAAAHwEAAF9yZWxzLy5yZWxzUEsBAi0AFAAGAAgAAAAhADHwDCXEAAAA3gAAAA8A&#10;AAAAAAAAAAAAAAAABwIAAGRycy9kb3ducmV2LnhtbFBLBQYAAAAAAwADALcAAAD4AgAAAAA=&#10;" filled="f" stroked="f">
                  <v:textbox inset="0,0,0,0">
                    <w:txbxContent>
                      <w:p w14:paraId="4E05FBE7" w14:textId="77777777" w:rsidR="00B32EF2" w:rsidRDefault="00000000">
                        <w:r>
                          <w:rPr>
                            <w:rFonts w:ascii="Arial" w:eastAsia="Arial" w:hAnsi="Arial" w:cs="Arial"/>
                            <w:sz w:val="18"/>
                          </w:rPr>
                          <w:t>parti istanza di trattazione al presidente di sezione della corte di giustizia tribu</w:t>
                        </w:r>
                      </w:p>
                    </w:txbxContent>
                  </v:textbox>
                </v:rect>
                <w10:anchorlock/>
              </v:group>
            </w:pict>
          </mc:Fallback>
        </mc:AlternateContent>
      </w:r>
    </w:p>
    <w:p w14:paraId="5AE41B43" w14:textId="77777777" w:rsidR="00B32EF2" w:rsidRDefault="00000000">
      <w:pPr>
        <w:spacing w:after="0"/>
        <w:ind w:left="-356" w:right="-306"/>
      </w:pPr>
      <w:r>
        <w:rPr>
          <w:noProof/>
        </w:rPr>
        <w:lastRenderedPageBreak/>
        <mc:AlternateContent>
          <mc:Choice Requires="wpg">
            <w:drawing>
              <wp:inline distT="0" distB="0" distL="0" distR="0" wp14:anchorId="6E33BF0C" wp14:editId="523518B5">
                <wp:extent cx="3992030" cy="6262854"/>
                <wp:effectExtent l="0" t="0" r="0" b="0"/>
                <wp:docPr id="200635" name="Group 200635"/>
                <wp:cNvGraphicFramePr/>
                <a:graphic xmlns:a="http://schemas.openxmlformats.org/drawingml/2006/main">
                  <a:graphicData uri="http://schemas.microsoft.com/office/word/2010/wordprocessingGroup">
                    <wpg:wgp>
                      <wpg:cNvGrpSpPr/>
                      <wpg:grpSpPr>
                        <a:xfrm>
                          <a:off x="0" y="0"/>
                          <a:ext cx="3992030" cy="6262854"/>
                          <a:chOff x="0" y="0"/>
                          <a:chExt cx="3992030" cy="6262854"/>
                        </a:xfrm>
                      </wpg:grpSpPr>
                      <wps:wsp>
                        <wps:cNvPr id="16521" name="Rectangle 16521"/>
                        <wps:cNvSpPr/>
                        <wps:spPr>
                          <a:xfrm rot="-10799999">
                            <a:off x="1900602" y="-62190"/>
                            <a:ext cx="178369" cy="250646"/>
                          </a:xfrm>
                          <a:prstGeom prst="rect">
                            <a:avLst/>
                          </a:prstGeom>
                          <a:ln>
                            <a:noFill/>
                          </a:ln>
                        </wps:spPr>
                        <wps:txbx>
                          <w:txbxContent>
                            <w:p w14:paraId="791EC004" w14:textId="77777777" w:rsidR="00B32EF2" w:rsidRDefault="00000000">
                              <w:r>
                                <w:rPr>
                                  <w:rFonts w:ascii="Times New Roman" w:eastAsia="Times New Roman" w:hAnsi="Times New Roman" w:cs="Times New Roman"/>
                                </w:rPr>
                                <w:t>81</w:t>
                              </w:r>
                            </w:p>
                          </w:txbxContent>
                        </wps:txbx>
                        <wps:bodyPr horzOverflow="overflow" vert="horz" lIns="0" tIns="0" rIns="0" bIns="0" rtlCol="0">
                          <a:noAutofit/>
                        </wps:bodyPr>
                      </wps:wsp>
                      <wps:wsp>
                        <wps:cNvPr id="16522" name="Rectangle 16522"/>
                        <wps:cNvSpPr/>
                        <wps:spPr>
                          <a:xfrm rot="-10799999">
                            <a:off x="-1218565" y="6119964"/>
                            <a:ext cx="5210482" cy="142890"/>
                          </a:xfrm>
                          <a:prstGeom prst="rect">
                            <a:avLst/>
                          </a:prstGeom>
                          <a:ln>
                            <a:noFill/>
                          </a:ln>
                        </wps:spPr>
                        <wps:txbx>
                          <w:txbxContent>
                            <w:p w14:paraId="7D6FB947" w14:textId="77777777" w:rsidR="00B32EF2" w:rsidRDefault="00000000">
                              <w:r>
                                <w:rPr>
                                  <w:rFonts w:ascii="Arial" w:eastAsia="Arial" w:hAnsi="Arial" w:cs="Arial"/>
                                  <w:sz w:val="18"/>
                                </w:rPr>
                                <w:t>za del processo per nullità della notificazione del ricorso e della comunicazio</w:t>
                              </w:r>
                            </w:p>
                          </w:txbxContent>
                        </wps:txbx>
                        <wps:bodyPr horzOverflow="overflow" vert="horz" lIns="0" tIns="0" rIns="0" bIns="0" rtlCol="0">
                          <a:noAutofit/>
                        </wps:bodyPr>
                      </wps:wsp>
                      <wps:wsp>
                        <wps:cNvPr id="16523" name="Rectangle 16523"/>
                        <wps:cNvSpPr/>
                        <wps:spPr>
                          <a:xfrm rot="-10799999">
                            <a:off x="19318" y="6119965"/>
                            <a:ext cx="50622" cy="142889"/>
                          </a:xfrm>
                          <a:prstGeom prst="rect">
                            <a:avLst/>
                          </a:prstGeom>
                          <a:ln>
                            <a:noFill/>
                          </a:ln>
                        </wps:spPr>
                        <wps:txbx>
                          <w:txbxContent>
                            <w:p w14:paraId="7622CAF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524" name="Rectangle 16524"/>
                        <wps:cNvSpPr/>
                        <wps:spPr>
                          <a:xfrm rot="-10799999">
                            <a:off x="1441129" y="5992976"/>
                            <a:ext cx="2550788" cy="142890"/>
                          </a:xfrm>
                          <a:prstGeom prst="rect">
                            <a:avLst/>
                          </a:prstGeom>
                          <a:ln>
                            <a:noFill/>
                          </a:ln>
                        </wps:spPr>
                        <wps:txbx>
                          <w:txbxContent>
                            <w:p w14:paraId="10C46231" w14:textId="77777777" w:rsidR="00B32EF2" w:rsidRDefault="00000000">
                              <w:r>
                                <w:rPr>
                                  <w:rFonts w:ascii="Arial" w:eastAsia="Arial" w:hAnsi="Arial" w:cs="Arial"/>
                                  <w:sz w:val="18"/>
                                </w:rPr>
                                <w:t>ne dell’avviso di fissazione d’udienza.</w:t>
                              </w:r>
                            </w:p>
                          </w:txbxContent>
                        </wps:txbx>
                        <wps:bodyPr horzOverflow="overflow" vert="horz" lIns="0" tIns="0" rIns="0" bIns="0" rtlCol="0">
                          <a:noAutofit/>
                        </wps:bodyPr>
                      </wps:wsp>
                      <wps:wsp>
                        <wps:cNvPr id="16525" name="Rectangle 16525"/>
                        <wps:cNvSpPr/>
                        <wps:spPr>
                          <a:xfrm rot="-10799999">
                            <a:off x="1495999" y="4266132"/>
                            <a:ext cx="826679" cy="142889"/>
                          </a:xfrm>
                          <a:prstGeom prst="rect">
                            <a:avLst/>
                          </a:prstGeom>
                          <a:ln>
                            <a:noFill/>
                          </a:ln>
                        </wps:spPr>
                        <wps:txbx>
                          <w:txbxContent>
                            <w:p w14:paraId="2EAF106D" w14:textId="77777777" w:rsidR="00B32EF2" w:rsidRDefault="00000000">
                              <w:r>
                                <w:rPr>
                                  <w:rFonts w:ascii="Arial" w:eastAsia="Arial" w:hAnsi="Arial" w:cs="Arial"/>
                                  <w:b/>
                                  <w:sz w:val="18"/>
                                </w:rPr>
                                <w:t>SEZIONE V</w:t>
                              </w:r>
                            </w:p>
                          </w:txbxContent>
                        </wps:txbx>
                        <wps:bodyPr horzOverflow="overflow" vert="horz" lIns="0" tIns="0" rIns="0" bIns="0" rtlCol="0">
                          <a:noAutofit/>
                        </wps:bodyPr>
                      </wps:wsp>
                      <wps:wsp>
                        <wps:cNvPr id="16526" name="Rectangle 16526"/>
                        <wps:cNvSpPr/>
                        <wps:spPr>
                          <a:xfrm rot="-10799999">
                            <a:off x="-1045902" y="4142803"/>
                            <a:ext cx="4901002" cy="142889"/>
                          </a:xfrm>
                          <a:prstGeom prst="rect">
                            <a:avLst/>
                          </a:prstGeom>
                          <a:ln>
                            <a:noFill/>
                          </a:ln>
                        </wps:spPr>
                        <wps:txbx>
                          <w:txbxContent>
                            <w:p w14:paraId="1BB3CE60" w14:textId="77777777" w:rsidR="00B32EF2" w:rsidRDefault="00000000">
                              <w:r>
                                <w:rPr>
                                  <w:rFonts w:ascii="Arial" w:eastAsia="Arial" w:hAnsi="Arial" w:cs="Arial"/>
                                  <w:b/>
                                  <w:sz w:val="18"/>
                                </w:rPr>
                                <w:t xml:space="preserve"> SOSPENSIONE, INTERRUZIONE ED ESTINZIONE DEL PROCESSO</w:t>
                              </w:r>
                            </w:p>
                          </w:txbxContent>
                        </wps:txbx>
                        <wps:bodyPr horzOverflow="overflow" vert="horz" lIns="0" tIns="0" rIns="0" bIns="0" rtlCol="0">
                          <a:noAutofit/>
                        </wps:bodyPr>
                      </wps:wsp>
                      <wps:wsp>
                        <wps:cNvPr id="16527" name="Rectangle 16527"/>
                        <wps:cNvSpPr/>
                        <wps:spPr>
                          <a:xfrm rot="-10799999">
                            <a:off x="1506651" y="3896143"/>
                            <a:ext cx="810885" cy="142889"/>
                          </a:xfrm>
                          <a:prstGeom prst="rect">
                            <a:avLst/>
                          </a:prstGeom>
                          <a:ln>
                            <a:noFill/>
                          </a:ln>
                        </wps:spPr>
                        <wps:txbx>
                          <w:txbxContent>
                            <w:p w14:paraId="2E7FFBF1" w14:textId="77777777" w:rsidR="00B32EF2" w:rsidRDefault="00000000">
                              <w:r>
                                <w:rPr>
                                  <w:rFonts w:ascii="Arial" w:eastAsia="Arial" w:hAnsi="Arial" w:cs="Arial"/>
                                  <w:b/>
                                  <w:sz w:val="18"/>
                                </w:rPr>
                                <w:t>Articolo 88</w:t>
                              </w:r>
                            </w:p>
                          </w:txbxContent>
                        </wps:txbx>
                        <wps:bodyPr horzOverflow="overflow" vert="horz" lIns="0" tIns="0" rIns="0" bIns="0" rtlCol="0">
                          <a:noAutofit/>
                        </wps:bodyPr>
                      </wps:wsp>
                      <wps:wsp>
                        <wps:cNvPr id="200363" name="Rectangle 200363"/>
                        <wps:cNvSpPr/>
                        <wps:spPr>
                          <a:xfrm rot="-10799999">
                            <a:off x="1161601" y="3772814"/>
                            <a:ext cx="1944673" cy="142889"/>
                          </a:xfrm>
                          <a:prstGeom prst="rect">
                            <a:avLst/>
                          </a:prstGeom>
                          <a:ln>
                            <a:noFill/>
                          </a:ln>
                        </wps:spPr>
                        <wps:txbx>
                          <w:txbxContent>
                            <w:p w14:paraId="010AA228" w14:textId="77777777" w:rsidR="00B32EF2" w:rsidRDefault="00000000">
                              <w:r>
                                <w:rPr>
                                  <w:rFonts w:ascii="Arial" w:eastAsia="Arial" w:hAnsi="Arial" w:cs="Arial"/>
                                  <w:i/>
                                  <w:sz w:val="18"/>
                                </w:rPr>
                                <w:t xml:space="preserve">articolo 39 D.lgs. n. </w:t>
                              </w:r>
                            </w:p>
                          </w:txbxContent>
                        </wps:txbx>
                        <wps:bodyPr horzOverflow="overflow" vert="horz" lIns="0" tIns="0" rIns="0" bIns="0" rtlCol="0">
                          <a:noAutofit/>
                        </wps:bodyPr>
                      </wps:wsp>
                      <wps:wsp>
                        <wps:cNvPr id="200360" name="Rectangle 200360"/>
                        <wps:cNvSpPr/>
                        <wps:spPr>
                          <a:xfrm rot="-10799999">
                            <a:off x="2222499" y="3772814"/>
                            <a:ext cx="1944673" cy="142889"/>
                          </a:xfrm>
                          <a:prstGeom prst="rect">
                            <a:avLst/>
                          </a:prstGeom>
                          <a:ln>
                            <a:noFill/>
                          </a:ln>
                        </wps:spPr>
                        <wps:txbx>
                          <w:txbxContent>
                            <w:p w14:paraId="3E5F8F9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362" name="Rectangle 200362"/>
                        <wps:cNvSpPr/>
                        <wps:spPr>
                          <a:xfrm rot="-10799999">
                            <a:off x="-265399" y="3772813"/>
                            <a:ext cx="1944673" cy="142889"/>
                          </a:xfrm>
                          <a:prstGeom prst="rect">
                            <a:avLst/>
                          </a:prstGeom>
                          <a:ln>
                            <a:noFill/>
                          </a:ln>
                        </wps:spPr>
                        <wps:txbx>
                          <w:txbxContent>
                            <w:p w14:paraId="0DF46293"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6529" name="Rectangle 16529"/>
                        <wps:cNvSpPr/>
                        <wps:spPr>
                          <a:xfrm rot="-10799999">
                            <a:off x="744900" y="3649484"/>
                            <a:ext cx="2004918" cy="142889"/>
                          </a:xfrm>
                          <a:prstGeom prst="rect">
                            <a:avLst/>
                          </a:prstGeom>
                          <a:ln>
                            <a:noFill/>
                          </a:ln>
                        </wps:spPr>
                        <wps:txbx>
                          <w:txbxContent>
                            <w:p w14:paraId="1F4C7A46" w14:textId="77777777" w:rsidR="00B32EF2" w:rsidRDefault="00000000">
                              <w:r>
                                <w:rPr>
                                  <w:rFonts w:ascii="Arial" w:eastAsia="Arial" w:hAnsi="Arial" w:cs="Arial"/>
                                  <w:b/>
                                  <w:sz w:val="18"/>
                                </w:rPr>
                                <w:t xml:space="preserve">Sospensione del processo </w:t>
                              </w:r>
                            </w:p>
                          </w:txbxContent>
                        </wps:txbx>
                        <wps:bodyPr horzOverflow="overflow" vert="horz" lIns="0" tIns="0" rIns="0" bIns="0" rtlCol="0">
                          <a:noAutofit/>
                        </wps:bodyPr>
                      </wps:wsp>
                      <wps:wsp>
                        <wps:cNvPr id="200349" name="Rectangle 200349"/>
                        <wps:cNvSpPr/>
                        <wps:spPr>
                          <a:xfrm rot="-10799999">
                            <a:off x="2611200" y="3526155"/>
                            <a:ext cx="5309036" cy="142889"/>
                          </a:xfrm>
                          <a:prstGeom prst="rect">
                            <a:avLst/>
                          </a:prstGeom>
                          <a:ln>
                            <a:noFill/>
                          </a:ln>
                        </wps:spPr>
                        <wps:txbx>
                          <w:txbxContent>
                            <w:p w14:paraId="7363C9BE"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354" name="Rectangle 200354"/>
                        <wps:cNvSpPr/>
                        <wps:spPr>
                          <a:xfrm rot="-10799999">
                            <a:off x="-1376200" y="3526155"/>
                            <a:ext cx="5309035" cy="142889"/>
                          </a:xfrm>
                          <a:prstGeom prst="rect">
                            <a:avLst/>
                          </a:prstGeom>
                          <a:ln>
                            <a:noFill/>
                          </a:ln>
                        </wps:spPr>
                        <wps:txbx>
                          <w:txbxContent>
                            <w:p w14:paraId="5BE313F0" w14:textId="77777777" w:rsidR="00B32EF2" w:rsidRDefault="00000000">
                              <w:r>
                                <w:rPr>
                                  <w:rFonts w:ascii="Arial" w:eastAsia="Arial" w:hAnsi="Arial" w:cs="Arial"/>
                                  <w:sz w:val="18"/>
                                </w:rPr>
                                <w:t xml:space="preserve">. Il processo è sospeso quando è presentata querela di falso o deve essere </w:t>
                              </w:r>
                            </w:p>
                          </w:txbxContent>
                        </wps:txbx>
                        <wps:bodyPr horzOverflow="overflow" vert="horz" lIns="0" tIns="0" rIns="0" bIns="0" rtlCol="0">
                          <a:noAutofit/>
                        </wps:bodyPr>
                      </wps:wsp>
                      <wps:wsp>
                        <wps:cNvPr id="16531" name="Rectangle 16531"/>
                        <wps:cNvSpPr/>
                        <wps:spPr>
                          <a:xfrm rot="-10799999">
                            <a:off x="-1218297" y="3402825"/>
                            <a:ext cx="5211014" cy="142889"/>
                          </a:xfrm>
                          <a:prstGeom prst="rect">
                            <a:avLst/>
                          </a:prstGeom>
                          <a:ln>
                            <a:noFill/>
                          </a:ln>
                        </wps:spPr>
                        <wps:txbx>
                          <w:txbxContent>
                            <w:p w14:paraId="34797B30" w14:textId="77777777" w:rsidR="00B32EF2" w:rsidRDefault="00000000">
                              <w:r>
                                <w:rPr>
                                  <w:rFonts w:ascii="Arial" w:eastAsia="Arial" w:hAnsi="Arial" w:cs="Arial"/>
                                  <w:sz w:val="18"/>
                                </w:rPr>
                                <w:t>decisa in via pregiudiziale una questione sullo stato o la capacità delle perso</w:t>
                              </w:r>
                            </w:p>
                          </w:txbxContent>
                        </wps:txbx>
                        <wps:bodyPr horzOverflow="overflow" vert="horz" lIns="0" tIns="0" rIns="0" bIns="0" rtlCol="0">
                          <a:noAutofit/>
                        </wps:bodyPr>
                      </wps:wsp>
                      <wps:wsp>
                        <wps:cNvPr id="16532" name="Rectangle 16532"/>
                        <wps:cNvSpPr/>
                        <wps:spPr>
                          <a:xfrm rot="-10799999">
                            <a:off x="19432" y="3402825"/>
                            <a:ext cx="50622" cy="142889"/>
                          </a:xfrm>
                          <a:prstGeom prst="rect">
                            <a:avLst/>
                          </a:prstGeom>
                          <a:ln>
                            <a:noFill/>
                          </a:ln>
                        </wps:spPr>
                        <wps:txbx>
                          <w:txbxContent>
                            <w:p w14:paraId="1088C61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533" name="Rectangle 16533"/>
                        <wps:cNvSpPr/>
                        <wps:spPr>
                          <a:xfrm rot="-10799999">
                            <a:off x="292085" y="3279495"/>
                            <a:ext cx="3699945" cy="142889"/>
                          </a:xfrm>
                          <a:prstGeom prst="rect">
                            <a:avLst/>
                          </a:prstGeom>
                          <a:ln>
                            <a:noFill/>
                          </a:ln>
                        </wps:spPr>
                        <wps:txbx>
                          <w:txbxContent>
                            <w:p w14:paraId="2FEA16EF" w14:textId="77777777" w:rsidR="00B32EF2" w:rsidRDefault="00000000">
                              <w:r>
                                <w:rPr>
                                  <w:rFonts w:ascii="Arial" w:eastAsia="Arial" w:hAnsi="Arial" w:cs="Arial"/>
                                  <w:sz w:val="18"/>
                                </w:rPr>
                                <w:t>ne, salvo che si tratti della capacità di stare in giudizio.</w:t>
                              </w:r>
                            </w:p>
                          </w:txbxContent>
                        </wps:txbx>
                        <wps:bodyPr horzOverflow="overflow" vert="horz" lIns="0" tIns="0" rIns="0" bIns="0" rtlCol="0">
                          <a:noAutofit/>
                        </wps:bodyPr>
                      </wps:wsp>
                      <wps:wsp>
                        <wps:cNvPr id="200340" name="Rectangle 200340"/>
                        <wps:cNvSpPr/>
                        <wps:spPr>
                          <a:xfrm rot="-10799999">
                            <a:off x="2635008" y="3156166"/>
                            <a:ext cx="5213082" cy="142889"/>
                          </a:xfrm>
                          <a:prstGeom prst="rect">
                            <a:avLst/>
                          </a:prstGeom>
                          <a:ln>
                            <a:noFill/>
                          </a:ln>
                        </wps:spPr>
                        <wps:txbx>
                          <w:txbxContent>
                            <w:p w14:paraId="0C959BEA"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342" name="Rectangle 200342"/>
                        <wps:cNvSpPr/>
                        <wps:spPr>
                          <a:xfrm rot="-10799999">
                            <a:off x="-1284933" y="3156166"/>
                            <a:ext cx="5213082" cy="142889"/>
                          </a:xfrm>
                          <a:prstGeom prst="rect">
                            <a:avLst/>
                          </a:prstGeom>
                          <a:ln>
                            <a:noFill/>
                          </a:ln>
                        </wps:spPr>
                        <wps:txbx>
                          <w:txbxContent>
                            <w:p w14:paraId="0A3B4775" w14:textId="77777777" w:rsidR="00B32EF2" w:rsidRDefault="00000000">
                              <w:r>
                                <w:rPr>
                                  <w:rFonts w:ascii="Arial" w:eastAsia="Arial" w:hAnsi="Arial" w:cs="Arial"/>
                                  <w:sz w:val="18"/>
                                </w:rPr>
                                <w:t>. La corte di giustizia tributaria di primo e secondo grado dispone la sospen</w:t>
                              </w:r>
                            </w:p>
                          </w:txbxContent>
                        </wps:txbx>
                        <wps:bodyPr horzOverflow="overflow" vert="horz" lIns="0" tIns="0" rIns="0" bIns="0" rtlCol="0">
                          <a:noAutofit/>
                        </wps:bodyPr>
                      </wps:wsp>
                      <wps:wsp>
                        <wps:cNvPr id="16535" name="Rectangle 16535"/>
                        <wps:cNvSpPr/>
                        <wps:spPr>
                          <a:xfrm rot="-10799999">
                            <a:off x="19432" y="3156165"/>
                            <a:ext cx="50622" cy="142889"/>
                          </a:xfrm>
                          <a:prstGeom prst="rect">
                            <a:avLst/>
                          </a:prstGeom>
                          <a:ln>
                            <a:noFill/>
                          </a:ln>
                        </wps:spPr>
                        <wps:txbx>
                          <w:txbxContent>
                            <w:p w14:paraId="38FF24A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536" name="Rectangle 16536"/>
                        <wps:cNvSpPr/>
                        <wps:spPr>
                          <a:xfrm rot="-10799999">
                            <a:off x="-1317004" y="3032836"/>
                            <a:ext cx="5309036" cy="142889"/>
                          </a:xfrm>
                          <a:prstGeom prst="rect">
                            <a:avLst/>
                          </a:prstGeom>
                          <a:ln>
                            <a:noFill/>
                          </a:ln>
                        </wps:spPr>
                        <wps:txbx>
                          <w:txbxContent>
                            <w:p w14:paraId="2D360C6C" w14:textId="77777777" w:rsidR="00B32EF2" w:rsidRDefault="00000000">
                              <w:r>
                                <w:rPr>
                                  <w:rFonts w:ascii="Arial" w:eastAsia="Arial" w:hAnsi="Arial" w:cs="Arial"/>
                                  <w:sz w:val="18"/>
                                </w:rPr>
                                <w:t xml:space="preserve">sione del processo in ogni altro caso in cui essa stessa o altra corte di giustizia </w:t>
                              </w:r>
                            </w:p>
                          </w:txbxContent>
                        </wps:txbx>
                        <wps:bodyPr horzOverflow="overflow" vert="horz" lIns="0" tIns="0" rIns="0" bIns="0" rtlCol="0">
                          <a:noAutofit/>
                        </wps:bodyPr>
                      </wps:wsp>
                      <wps:wsp>
                        <wps:cNvPr id="16537" name="Rectangle 16537"/>
                        <wps:cNvSpPr/>
                        <wps:spPr>
                          <a:xfrm rot="-10799999">
                            <a:off x="-1317004" y="2909506"/>
                            <a:ext cx="5309036" cy="142889"/>
                          </a:xfrm>
                          <a:prstGeom prst="rect">
                            <a:avLst/>
                          </a:prstGeom>
                          <a:ln>
                            <a:noFill/>
                          </a:ln>
                        </wps:spPr>
                        <wps:txbx>
                          <w:txbxContent>
                            <w:p w14:paraId="1B2C9EE2" w14:textId="77777777" w:rsidR="00B32EF2" w:rsidRDefault="00000000">
                              <w:r>
                                <w:rPr>
                                  <w:rFonts w:ascii="Arial" w:eastAsia="Arial" w:hAnsi="Arial" w:cs="Arial"/>
                                  <w:sz w:val="18"/>
                                </w:rPr>
                                <w:t xml:space="preserve">tributaria di primo e secondo grado deve risolvere una controversia dalla cui </w:t>
                              </w:r>
                            </w:p>
                          </w:txbxContent>
                        </wps:txbx>
                        <wps:bodyPr horzOverflow="overflow" vert="horz" lIns="0" tIns="0" rIns="0" bIns="0" rtlCol="0">
                          <a:noAutofit/>
                        </wps:bodyPr>
                      </wps:wsp>
                      <wps:wsp>
                        <wps:cNvPr id="16538" name="Rectangle 16538"/>
                        <wps:cNvSpPr/>
                        <wps:spPr>
                          <a:xfrm rot="-10799999">
                            <a:off x="861944" y="2786177"/>
                            <a:ext cx="3130086" cy="142889"/>
                          </a:xfrm>
                          <a:prstGeom prst="rect">
                            <a:avLst/>
                          </a:prstGeom>
                          <a:ln>
                            <a:noFill/>
                          </a:ln>
                        </wps:spPr>
                        <wps:txbx>
                          <w:txbxContent>
                            <w:p w14:paraId="0F10859F" w14:textId="77777777" w:rsidR="00B32EF2" w:rsidRDefault="00000000">
                              <w:r>
                                <w:rPr>
                                  <w:rFonts w:ascii="Arial" w:eastAsia="Arial" w:hAnsi="Arial" w:cs="Arial"/>
                                  <w:sz w:val="18"/>
                                </w:rPr>
                                <w:t xml:space="preserve">definizione dipende la decisione della causa.  </w:t>
                              </w:r>
                            </w:p>
                          </w:txbxContent>
                        </wps:txbx>
                        <wps:bodyPr horzOverflow="overflow" vert="horz" lIns="0" tIns="0" rIns="0" bIns="0" rtlCol="0">
                          <a:noAutofit/>
                        </wps:bodyPr>
                      </wps:wsp>
                      <wps:wsp>
                        <wps:cNvPr id="200336" name="Rectangle 200336"/>
                        <wps:cNvSpPr/>
                        <wps:spPr>
                          <a:xfrm rot="-10799999">
                            <a:off x="-114809" y="2662846"/>
                            <a:ext cx="4042306" cy="142889"/>
                          </a:xfrm>
                          <a:prstGeom prst="rect">
                            <a:avLst/>
                          </a:prstGeom>
                          <a:ln>
                            <a:noFill/>
                          </a:ln>
                        </wps:spPr>
                        <wps:txbx>
                          <w:txbxContent>
                            <w:p w14:paraId="22CB2223" w14:textId="77777777" w:rsidR="00B32EF2" w:rsidRDefault="00000000">
                              <w:r>
                                <w:rPr>
                                  <w:rFonts w:ascii="Arial" w:eastAsia="Arial" w:hAnsi="Arial" w:cs="Arial"/>
                                  <w:sz w:val="18"/>
                                </w:rPr>
                                <w:t xml:space="preserve">. Il processo tributario è altresì sospeso nei seguenti casi: </w:t>
                              </w:r>
                            </w:p>
                          </w:txbxContent>
                        </wps:txbx>
                        <wps:bodyPr horzOverflow="overflow" vert="horz" lIns="0" tIns="0" rIns="0" bIns="0" rtlCol="0">
                          <a:noAutofit/>
                        </wps:bodyPr>
                      </wps:wsp>
                      <wps:wsp>
                        <wps:cNvPr id="200335" name="Rectangle 200335"/>
                        <wps:cNvSpPr/>
                        <wps:spPr>
                          <a:xfrm rot="-10799999">
                            <a:off x="2925501" y="2662847"/>
                            <a:ext cx="4042306" cy="142889"/>
                          </a:xfrm>
                          <a:prstGeom prst="rect">
                            <a:avLst/>
                          </a:prstGeom>
                          <a:ln>
                            <a:noFill/>
                          </a:ln>
                        </wps:spPr>
                        <wps:txbx>
                          <w:txbxContent>
                            <w:p w14:paraId="4704ECF5"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6540" name="Rectangle 16540"/>
                        <wps:cNvSpPr/>
                        <wps:spPr>
                          <a:xfrm rot="-10799999">
                            <a:off x="-1220366" y="2539516"/>
                            <a:ext cx="5212398" cy="142889"/>
                          </a:xfrm>
                          <a:prstGeom prst="rect">
                            <a:avLst/>
                          </a:prstGeom>
                          <a:ln>
                            <a:noFill/>
                          </a:ln>
                        </wps:spPr>
                        <wps:txbx>
                          <w:txbxContent>
                            <w:p w14:paraId="50E9E92A" w14:textId="77777777" w:rsidR="00B32EF2" w:rsidRDefault="00000000">
                              <w:r>
                                <w:rPr>
                                  <w:rFonts w:ascii="Arial" w:eastAsia="Arial" w:hAnsi="Arial" w:cs="Arial"/>
                                  <w:sz w:val="18"/>
                                </w:rPr>
                                <w:t>a) su richiesta conforme delle parti, nel caso in cui sia stata presentata un’i</w:t>
                              </w:r>
                            </w:p>
                          </w:txbxContent>
                        </wps:txbx>
                        <wps:bodyPr horzOverflow="overflow" vert="horz" lIns="0" tIns="0" rIns="0" bIns="0" rtlCol="0">
                          <a:noAutofit/>
                        </wps:bodyPr>
                      </wps:wsp>
                      <wps:wsp>
                        <wps:cNvPr id="16541" name="Rectangle 16541"/>
                        <wps:cNvSpPr/>
                        <wps:spPr>
                          <a:xfrm rot="-10799999">
                            <a:off x="19432" y="2539517"/>
                            <a:ext cx="50622" cy="142889"/>
                          </a:xfrm>
                          <a:prstGeom prst="rect">
                            <a:avLst/>
                          </a:prstGeom>
                          <a:ln>
                            <a:noFill/>
                          </a:ln>
                        </wps:spPr>
                        <wps:txbx>
                          <w:txbxContent>
                            <w:p w14:paraId="5B29B07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542" name="Rectangle 16542"/>
                        <wps:cNvSpPr/>
                        <wps:spPr>
                          <a:xfrm rot="-10799999">
                            <a:off x="-1219575" y="2416187"/>
                            <a:ext cx="5208521" cy="142889"/>
                          </a:xfrm>
                          <a:prstGeom prst="rect">
                            <a:avLst/>
                          </a:prstGeom>
                          <a:ln>
                            <a:noFill/>
                          </a:ln>
                        </wps:spPr>
                        <wps:txbx>
                          <w:txbxContent>
                            <w:p w14:paraId="47D8BBD2" w14:textId="77777777" w:rsidR="00B32EF2" w:rsidRDefault="00000000">
                              <w:r>
                                <w:rPr>
                                  <w:rFonts w:ascii="Arial" w:eastAsia="Arial" w:hAnsi="Arial" w:cs="Arial"/>
                                  <w:sz w:val="18"/>
                                </w:rPr>
                                <w:t>stanza di apertura di procedura amichevole ai sensi degli Accordi e delle Con</w:t>
                              </w:r>
                            </w:p>
                          </w:txbxContent>
                        </wps:txbx>
                        <wps:bodyPr horzOverflow="overflow" vert="horz" lIns="0" tIns="0" rIns="0" bIns="0" rtlCol="0">
                          <a:noAutofit/>
                        </wps:bodyPr>
                      </wps:wsp>
                      <wps:wsp>
                        <wps:cNvPr id="16543" name="Rectangle 16543"/>
                        <wps:cNvSpPr/>
                        <wps:spPr>
                          <a:xfrm rot="-10799999">
                            <a:off x="19432" y="2416187"/>
                            <a:ext cx="50622" cy="142889"/>
                          </a:xfrm>
                          <a:prstGeom prst="rect">
                            <a:avLst/>
                          </a:prstGeom>
                          <a:ln>
                            <a:noFill/>
                          </a:ln>
                        </wps:spPr>
                        <wps:txbx>
                          <w:txbxContent>
                            <w:p w14:paraId="0054AC5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544" name="Rectangle 16544"/>
                        <wps:cNvSpPr/>
                        <wps:spPr>
                          <a:xfrm rot="-10799999">
                            <a:off x="-1316958" y="2292857"/>
                            <a:ext cx="5308990" cy="142889"/>
                          </a:xfrm>
                          <a:prstGeom prst="rect">
                            <a:avLst/>
                          </a:prstGeom>
                          <a:ln>
                            <a:noFill/>
                          </a:ln>
                        </wps:spPr>
                        <wps:txbx>
                          <w:txbxContent>
                            <w:p w14:paraId="7C627914" w14:textId="77777777" w:rsidR="00B32EF2" w:rsidRDefault="00000000">
                              <w:r>
                                <w:rPr>
                                  <w:rFonts w:ascii="Arial" w:eastAsia="Arial" w:hAnsi="Arial" w:cs="Arial"/>
                                  <w:sz w:val="18"/>
                                </w:rPr>
                                <w:t xml:space="preserve">venzioni internazionali per evitare le doppie imposizioni di cui l’Italia è parte </w:t>
                              </w:r>
                            </w:p>
                          </w:txbxContent>
                        </wps:txbx>
                        <wps:bodyPr horzOverflow="overflow" vert="horz" lIns="0" tIns="0" rIns="0" bIns="0" rtlCol="0">
                          <a:noAutofit/>
                        </wps:bodyPr>
                      </wps:wsp>
                      <wps:wsp>
                        <wps:cNvPr id="16545" name="Rectangle 16545"/>
                        <wps:cNvSpPr/>
                        <wps:spPr>
                          <a:xfrm rot="-10799999">
                            <a:off x="-1218480" y="2169527"/>
                            <a:ext cx="5210512" cy="142889"/>
                          </a:xfrm>
                          <a:prstGeom prst="rect">
                            <a:avLst/>
                          </a:prstGeom>
                          <a:ln>
                            <a:noFill/>
                          </a:ln>
                        </wps:spPr>
                        <wps:txbx>
                          <w:txbxContent>
                            <w:p w14:paraId="711B6C09" w14:textId="77777777" w:rsidR="00B32EF2" w:rsidRDefault="00000000">
                              <w:r>
                                <w:rPr>
                                  <w:rFonts w:ascii="Arial" w:eastAsia="Arial" w:hAnsi="Arial" w:cs="Arial"/>
                                  <w:sz w:val="18"/>
                                </w:rPr>
                                <w:t>ovvero ai sensi della Convenzione relativa all’eliminazione delle doppie impo</w:t>
                              </w:r>
                            </w:p>
                          </w:txbxContent>
                        </wps:txbx>
                        <wps:bodyPr horzOverflow="overflow" vert="horz" lIns="0" tIns="0" rIns="0" bIns="0" rtlCol="0">
                          <a:noAutofit/>
                        </wps:bodyPr>
                      </wps:wsp>
                      <wps:wsp>
                        <wps:cNvPr id="16546" name="Rectangle 16546"/>
                        <wps:cNvSpPr/>
                        <wps:spPr>
                          <a:xfrm rot="-10799999">
                            <a:off x="19432" y="2169528"/>
                            <a:ext cx="50622" cy="142889"/>
                          </a:xfrm>
                          <a:prstGeom prst="rect">
                            <a:avLst/>
                          </a:prstGeom>
                          <a:ln>
                            <a:noFill/>
                          </a:ln>
                        </wps:spPr>
                        <wps:txbx>
                          <w:txbxContent>
                            <w:p w14:paraId="2D59E81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547" name="Rectangle 16547"/>
                        <wps:cNvSpPr/>
                        <wps:spPr>
                          <a:xfrm rot="-10799999">
                            <a:off x="-886501" y="2046198"/>
                            <a:ext cx="4878533" cy="142889"/>
                          </a:xfrm>
                          <a:prstGeom prst="rect">
                            <a:avLst/>
                          </a:prstGeom>
                          <a:ln>
                            <a:noFill/>
                          </a:ln>
                        </wps:spPr>
                        <wps:txbx>
                          <w:txbxContent>
                            <w:p w14:paraId="1D222240" w14:textId="77777777" w:rsidR="00B32EF2" w:rsidRDefault="00000000">
                              <w:r>
                                <w:rPr>
                                  <w:rFonts w:ascii="Arial" w:eastAsia="Arial" w:hAnsi="Arial" w:cs="Arial"/>
                                  <w:sz w:val="18"/>
                                </w:rPr>
                                <w:t xml:space="preserve">sizioni in caso di rettifica degli utili di imprese associate n. 90/436/CEE; </w:t>
                              </w:r>
                            </w:p>
                          </w:txbxContent>
                        </wps:txbx>
                        <wps:bodyPr horzOverflow="overflow" vert="horz" lIns="0" tIns="0" rIns="0" bIns="0" rtlCol="0">
                          <a:noAutofit/>
                        </wps:bodyPr>
                      </wps:wsp>
                      <wps:wsp>
                        <wps:cNvPr id="16548" name="Rectangle 16548"/>
                        <wps:cNvSpPr/>
                        <wps:spPr>
                          <a:xfrm rot="-10799999">
                            <a:off x="-1317369" y="1922868"/>
                            <a:ext cx="5309401" cy="142889"/>
                          </a:xfrm>
                          <a:prstGeom prst="rect">
                            <a:avLst/>
                          </a:prstGeom>
                          <a:ln>
                            <a:noFill/>
                          </a:ln>
                        </wps:spPr>
                        <wps:txbx>
                          <w:txbxContent>
                            <w:p w14:paraId="32B3FEC7" w14:textId="77777777" w:rsidR="00B32EF2" w:rsidRDefault="00000000">
                              <w:r>
                                <w:rPr>
                                  <w:rFonts w:ascii="Arial" w:eastAsia="Arial" w:hAnsi="Arial" w:cs="Arial"/>
                                  <w:sz w:val="18"/>
                                </w:rPr>
                                <w:t xml:space="preserve">b) su richiesta del contribuente, nel caso in cui sia stata presentata un’istanza </w:t>
                              </w:r>
                            </w:p>
                          </w:txbxContent>
                        </wps:txbx>
                        <wps:bodyPr horzOverflow="overflow" vert="horz" lIns="0" tIns="0" rIns="0" bIns="0" rtlCol="0">
                          <a:noAutofit/>
                        </wps:bodyPr>
                      </wps:wsp>
                      <wps:wsp>
                        <wps:cNvPr id="16549" name="Rectangle 16549"/>
                        <wps:cNvSpPr/>
                        <wps:spPr>
                          <a:xfrm rot="-10799999">
                            <a:off x="-1317004" y="1799538"/>
                            <a:ext cx="5309036" cy="142889"/>
                          </a:xfrm>
                          <a:prstGeom prst="rect">
                            <a:avLst/>
                          </a:prstGeom>
                          <a:ln>
                            <a:noFill/>
                          </a:ln>
                        </wps:spPr>
                        <wps:txbx>
                          <w:txbxContent>
                            <w:p w14:paraId="00BF6D60" w14:textId="77777777" w:rsidR="00B32EF2" w:rsidRDefault="00000000">
                              <w:r>
                                <w:rPr>
                                  <w:rFonts w:ascii="Arial" w:eastAsia="Arial" w:hAnsi="Arial" w:cs="Arial"/>
                                  <w:sz w:val="18"/>
                                </w:rPr>
                                <w:t xml:space="preserve">di apertura di procedura amichevole ai sensi della direttiva (UE) 2017/1852 del </w:t>
                              </w:r>
                            </w:p>
                          </w:txbxContent>
                        </wps:txbx>
                        <wps:bodyPr horzOverflow="overflow" vert="horz" lIns="0" tIns="0" rIns="0" bIns="0" rtlCol="0">
                          <a:noAutofit/>
                        </wps:bodyPr>
                      </wps:wsp>
                      <wps:wsp>
                        <wps:cNvPr id="16550" name="Rectangle 16550"/>
                        <wps:cNvSpPr/>
                        <wps:spPr>
                          <a:xfrm rot="-10799999">
                            <a:off x="1979238" y="1676209"/>
                            <a:ext cx="2012793" cy="142889"/>
                          </a:xfrm>
                          <a:prstGeom prst="rect">
                            <a:avLst/>
                          </a:prstGeom>
                          <a:ln>
                            <a:noFill/>
                          </a:ln>
                        </wps:spPr>
                        <wps:txbx>
                          <w:txbxContent>
                            <w:p w14:paraId="363A1E86" w14:textId="77777777" w:rsidR="00B32EF2" w:rsidRDefault="00000000">
                              <w:r>
                                <w:rPr>
                                  <w:rFonts w:ascii="Arial" w:eastAsia="Arial" w:hAnsi="Arial" w:cs="Arial"/>
                                  <w:sz w:val="18"/>
                                </w:rPr>
                                <w:t>Consiglio del 10 ottobre 2017.</w:t>
                              </w:r>
                            </w:p>
                          </w:txbxContent>
                        </wps:txbx>
                        <wps:bodyPr horzOverflow="overflow" vert="horz" lIns="0" tIns="0" rIns="0" bIns="0" rtlCol="0">
                          <a:noAutofit/>
                        </wps:bodyPr>
                      </wps:wsp>
                      <wps:wsp>
                        <wps:cNvPr id="207830" name="Shape 207830"/>
                        <wps:cNvSpPr/>
                        <wps:spPr>
                          <a:xfrm>
                            <a:off x="31916" y="4618500"/>
                            <a:ext cx="3960000" cy="1355306"/>
                          </a:xfrm>
                          <a:custGeom>
                            <a:avLst/>
                            <a:gdLst/>
                            <a:ahLst/>
                            <a:cxnLst/>
                            <a:rect l="0" t="0" r="0" b="0"/>
                            <a:pathLst>
                              <a:path w="3960000" h="1355306">
                                <a:moveTo>
                                  <a:pt x="0" y="0"/>
                                </a:moveTo>
                                <a:lnTo>
                                  <a:pt x="3960000" y="0"/>
                                </a:lnTo>
                                <a:lnTo>
                                  <a:pt x="3960000" y="1355306"/>
                                </a:lnTo>
                                <a:lnTo>
                                  <a:pt x="0" y="1355306"/>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6552" name="Rectangle 16552"/>
                        <wps:cNvSpPr/>
                        <wps:spPr>
                          <a:xfrm rot="-10799999">
                            <a:off x="2328901" y="5752564"/>
                            <a:ext cx="1585695" cy="142889"/>
                          </a:xfrm>
                          <a:prstGeom prst="rect">
                            <a:avLst/>
                          </a:prstGeom>
                          <a:ln>
                            <a:noFill/>
                          </a:ln>
                        </wps:spPr>
                        <wps:txbx>
                          <w:txbxContent>
                            <w:p w14:paraId="36C2A908"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6553" name="Rectangle 16553"/>
                        <wps:cNvSpPr/>
                        <wps:spPr>
                          <a:xfrm rot="-10799999">
                            <a:off x="784392" y="5629235"/>
                            <a:ext cx="3129175" cy="142889"/>
                          </a:xfrm>
                          <a:prstGeom prst="rect">
                            <a:avLst/>
                          </a:prstGeom>
                          <a:ln>
                            <a:noFill/>
                          </a:ln>
                        </wps:spPr>
                        <wps:txbx>
                          <w:txbxContent>
                            <w:p w14:paraId="52AFF229" w14:textId="77777777" w:rsidR="00B32EF2" w:rsidRDefault="00000000">
                              <w:r>
                                <w:rPr>
                                  <w:rFonts w:ascii="Arial" w:eastAsia="Arial" w:hAnsi="Arial" w:cs="Arial"/>
                                  <w:i/>
                                  <w:sz w:val="18"/>
                                </w:rPr>
                                <w:t xml:space="preserve">art. 327 c.p.c “Decadenza dall’impugnazione” </w:t>
                              </w:r>
                            </w:p>
                          </w:txbxContent>
                        </wps:txbx>
                        <wps:bodyPr horzOverflow="overflow" vert="horz" lIns="0" tIns="0" rIns="0" bIns="0" rtlCol="0">
                          <a:noAutofit/>
                        </wps:bodyPr>
                      </wps:wsp>
                      <wps:wsp>
                        <wps:cNvPr id="200380" name="Rectangle 200380"/>
                        <wps:cNvSpPr/>
                        <wps:spPr>
                          <a:xfrm rot="-10799999">
                            <a:off x="2608834" y="5505905"/>
                            <a:ext cx="5002338" cy="142889"/>
                          </a:xfrm>
                          <a:prstGeom prst="rect">
                            <a:avLst/>
                          </a:prstGeom>
                          <a:ln>
                            <a:noFill/>
                          </a:ln>
                        </wps:spPr>
                        <wps:txbx>
                          <w:txbxContent>
                            <w:p w14:paraId="232D7EFD"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0381" name="Rectangle 200381"/>
                        <wps:cNvSpPr/>
                        <wps:spPr>
                          <a:xfrm rot="-10799999">
                            <a:off x="-1148173" y="5505905"/>
                            <a:ext cx="5002338" cy="142889"/>
                          </a:xfrm>
                          <a:prstGeom prst="rect">
                            <a:avLst/>
                          </a:prstGeom>
                          <a:ln>
                            <a:noFill/>
                          </a:ln>
                        </wps:spPr>
                        <wps:txbx>
                          <w:txbxContent>
                            <w:p w14:paraId="379E9239" w14:textId="77777777" w:rsidR="00B32EF2" w:rsidRDefault="00000000">
                              <w:r>
                                <w:rPr>
                                  <w:rFonts w:ascii="Arial" w:eastAsia="Arial" w:hAnsi="Arial" w:cs="Arial"/>
                                  <w:i/>
                                  <w:sz w:val="18"/>
                                </w:rPr>
                                <w:t>. Indipendentemente dalla notificazione, l’appello, il ricorso per Cassazio</w:t>
                              </w:r>
                            </w:p>
                          </w:txbxContent>
                        </wps:txbx>
                        <wps:bodyPr horzOverflow="overflow" vert="horz" lIns="0" tIns="0" rIns="0" bIns="0" rtlCol="0">
                          <a:noAutofit/>
                        </wps:bodyPr>
                      </wps:wsp>
                      <wps:wsp>
                        <wps:cNvPr id="16555" name="Rectangle 16555"/>
                        <wps:cNvSpPr/>
                        <wps:spPr>
                          <a:xfrm rot="-10799999">
                            <a:off x="97672" y="5505905"/>
                            <a:ext cx="50622" cy="142889"/>
                          </a:xfrm>
                          <a:prstGeom prst="rect">
                            <a:avLst/>
                          </a:prstGeom>
                          <a:ln>
                            <a:noFill/>
                          </a:ln>
                        </wps:spPr>
                        <wps:txbx>
                          <w:txbxContent>
                            <w:p w14:paraId="482C980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556" name="Rectangle 16556"/>
                        <wps:cNvSpPr/>
                        <wps:spPr>
                          <a:xfrm rot="-10799999">
                            <a:off x="-1190533" y="5382575"/>
                            <a:ext cx="5112901" cy="142889"/>
                          </a:xfrm>
                          <a:prstGeom prst="rect">
                            <a:avLst/>
                          </a:prstGeom>
                          <a:ln>
                            <a:noFill/>
                          </a:ln>
                        </wps:spPr>
                        <wps:txbx>
                          <w:txbxContent>
                            <w:p w14:paraId="5540C2AD" w14:textId="77777777" w:rsidR="00B32EF2" w:rsidRDefault="00000000">
                              <w:r>
                                <w:rPr>
                                  <w:rFonts w:ascii="Arial" w:eastAsia="Arial" w:hAnsi="Arial" w:cs="Arial"/>
                                  <w:i/>
                                  <w:sz w:val="18"/>
                                </w:rPr>
                                <w:t xml:space="preserve">ne e la revocazione per i motivi indicati nei numeri 4 e 5 dell’articolo 395 </w:t>
                              </w:r>
                            </w:p>
                          </w:txbxContent>
                        </wps:txbx>
                        <wps:bodyPr horzOverflow="overflow" vert="horz" lIns="0" tIns="0" rIns="0" bIns="0" rtlCol="0">
                          <a:noAutofit/>
                        </wps:bodyPr>
                      </wps:wsp>
                      <wps:wsp>
                        <wps:cNvPr id="16557" name="Rectangle 16557"/>
                        <wps:cNvSpPr/>
                        <wps:spPr>
                          <a:xfrm rot="-10799999">
                            <a:off x="-1090686" y="5259246"/>
                            <a:ext cx="5004253" cy="142889"/>
                          </a:xfrm>
                          <a:prstGeom prst="rect">
                            <a:avLst/>
                          </a:prstGeom>
                          <a:ln>
                            <a:noFill/>
                          </a:ln>
                        </wps:spPr>
                        <wps:txbx>
                          <w:txbxContent>
                            <w:p w14:paraId="35FB79E3" w14:textId="77777777" w:rsidR="00B32EF2" w:rsidRDefault="00000000">
                              <w:r>
                                <w:rPr>
                                  <w:rFonts w:ascii="Arial" w:eastAsia="Arial" w:hAnsi="Arial" w:cs="Arial"/>
                                  <w:i/>
                                  <w:sz w:val="18"/>
                                </w:rPr>
                                <w:t>non possono proporsi dopo decorsi sei mesi dalla pubblicazione della sen</w:t>
                              </w:r>
                            </w:p>
                          </w:txbxContent>
                        </wps:txbx>
                        <wps:bodyPr horzOverflow="overflow" vert="horz" lIns="0" tIns="0" rIns="0" bIns="0" rtlCol="0">
                          <a:noAutofit/>
                        </wps:bodyPr>
                      </wps:wsp>
                      <wps:wsp>
                        <wps:cNvPr id="16558" name="Rectangle 16558"/>
                        <wps:cNvSpPr/>
                        <wps:spPr>
                          <a:xfrm rot="-10799999">
                            <a:off x="97672" y="5259246"/>
                            <a:ext cx="50622" cy="142889"/>
                          </a:xfrm>
                          <a:prstGeom prst="rect">
                            <a:avLst/>
                          </a:prstGeom>
                          <a:ln>
                            <a:noFill/>
                          </a:ln>
                        </wps:spPr>
                        <wps:txbx>
                          <w:txbxContent>
                            <w:p w14:paraId="4110F21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559" name="Rectangle 16559"/>
                        <wps:cNvSpPr/>
                        <wps:spPr>
                          <a:xfrm rot="-10799999">
                            <a:off x="3501553" y="5135916"/>
                            <a:ext cx="410299" cy="142889"/>
                          </a:xfrm>
                          <a:prstGeom prst="rect">
                            <a:avLst/>
                          </a:prstGeom>
                          <a:ln>
                            <a:noFill/>
                          </a:ln>
                        </wps:spPr>
                        <wps:txbx>
                          <w:txbxContent>
                            <w:p w14:paraId="572D5DEE" w14:textId="77777777" w:rsidR="00B32EF2" w:rsidRDefault="00000000">
                              <w:r>
                                <w:rPr>
                                  <w:rFonts w:ascii="Arial" w:eastAsia="Arial" w:hAnsi="Arial" w:cs="Arial"/>
                                  <w:i/>
                                  <w:sz w:val="18"/>
                                </w:rPr>
                                <w:t>tenza.</w:t>
                              </w:r>
                            </w:p>
                          </w:txbxContent>
                        </wps:txbx>
                        <wps:bodyPr horzOverflow="overflow" vert="horz" lIns="0" tIns="0" rIns="0" bIns="0" rtlCol="0">
                          <a:noAutofit/>
                        </wps:bodyPr>
                      </wps:wsp>
                      <wps:wsp>
                        <wps:cNvPr id="200378" name="Rectangle 200378"/>
                        <wps:cNvSpPr/>
                        <wps:spPr>
                          <a:xfrm rot="-10799999">
                            <a:off x="2585030" y="5012586"/>
                            <a:ext cx="5098277" cy="142889"/>
                          </a:xfrm>
                          <a:prstGeom prst="rect">
                            <a:avLst/>
                          </a:prstGeom>
                          <a:ln>
                            <a:noFill/>
                          </a:ln>
                        </wps:spPr>
                        <wps:txbx>
                          <w:txbxContent>
                            <w:p w14:paraId="02ED90C5"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0379" name="Rectangle 200379"/>
                        <wps:cNvSpPr/>
                        <wps:spPr>
                          <a:xfrm rot="-10799999">
                            <a:off x="-1251152" y="5012586"/>
                            <a:ext cx="5098277" cy="142889"/>
                          </a:xfrm>
                          <a:prstGeom prst="rect">
                            <a:avLst/>
                          </a:prstGeom>
                          <a:ln>
                            <a:noFill/>
                          </a:ln>
                        </wps:spPr>
                        <wps:txbx>
                          <w:txbxContent>
                            <w:p w14:paraId="5C58632F" w14:textId="77777777" w:rsidR="00B32EF2" w:rsidRDefault="00000000">
                              <w:r>
                                <w:rPr>
                                  <w:rFonts w:ascii="Arial" w:eastAsia="Arial" w:hAnsi="Arial" w:cs="Arial"/>
                                  <w:i/>
                                  <w:sz w:val="18"/>
                                </w:rPr>
                                <w:t xml:space="preserve">. Questa disposizione non si applica quando la parte contumace dimostra </w:t>
                              </w:r>
                            </w:p>
                          </w:txbxContent>
                        </wps:txbx>
                        <wps:bodyPr horzOverflow="overflow" vert="horz" lIns="0" tIns="0" rIns="0" bIns="0" rtlCol="0">
                          <a:noAutofit/>
                        </wps:bodyPr>
                      </wps:wsp>
                      <wps:wsp>
                        <wps:cNvPr id="16561" name="Rectangle 16561"/>
                        <wps:cNvSpPr/>
                        <wps:spPr>
                          <a:xfrm rot="-10799999">
                            <a:off x="-1193330" y="4889256"/>
                            <a:ext cx="5124728" cy="142889"/>
                          </a:xfrm>
                          <a:prstGeom prst="rect">
                            <a:avLst/>
                          </a:prstGeom>
                          <a:ln>
                            <a:noFill/>
                          </a:ln>
                        </wps:spPr>
                        <wps:txbx>
                          <w:txbxContent>
                            <w:p w14:paraId="074DD432" w14:textId="77777777" w:rsidR="00B32EF2" w:rsidRDefault="00000000">
                              <w:r>
                                <w:rPr>
                                  <w:rFonts w:ascii="Arial" w:eastAsia="Arial" w:hAnsi="Arial" w:cs="Arial"/>
                                  <w:i/>
                                  <w:sz w:val="18"/>
                                </w:rPr>
                                <w:t xml:space="preserve">di non aver avuto conoscenza del processo per nullità della citazione o </w:t>
                              </w:r>
                            </w:p>
                          </w:txbxContent>
                        </wps:txbx>
                        <wps:bodyPr horzOverflow="overflow" vert="horz" lIns="0" tIns="0" rIns="0" bIns="0" rtlCol="0">
                          <a:noAutofit/>
                        </wps:bodyPr>
                      </wps:wsp>
                      <wps:wsp>
                        <wps:cNvPr id="16562" name="Rectangle 16562"/>
                        <wps:cNvSpPr/>
                        <wps:spPr>
                          <a:xfrm rot="-10799999">
                            <a:off x="-1186990" y="4765927"/>
                            <a:ext cx="5100557" cy="142889"/>
                          </a:xfrm>
                          <a:prstGeom prst="rect">
                            <a:avLst/>
                          </a:prstGeom>
                          <a:ln>
                            <a:noFill/>
                          </a:ln>
                        </wps:spPr>
                        <wps:txbx>
                          <w:txbxContent>
                            <w:p w14:paraId="513AC567" w14:textId="77777777" w:rsidR="00B32EF2" w:rsidRDefault="00000000">
                              <w:r>
                                <w:rPr>
                                  <w:rFonts w:ascii="Arial" w:eastAsia="Arial" w:hAnsi="Arial" w:cs="Arial"/>
                                  <w:i/>
                                  <w:sz w:val="18"/>
                                </w:rPr>
                                <w:t xml:space="preserve">della notificazione di essa, e per nullità della notificazione degli atti di cui </w:t>
                              </w:r>
                            </w:p>
                          </w:txbxContent>
                        </wps:txbx>
                        <wps:bodyPr horzOverflow="overflow" vert="horz" lIns="0" tIns="0" rIns="0" bIns="0" rtlCol="0">
                          <a:noAutofit/>
                        </wps:bodyPr>
                      </wps:wsp>
                      <wps:wsp>
                        <wps:cNvPr id="16563" name="Rectangle 16563"/>
                        <wps:cNvSpPr/>
                        <wps:spPr>
                          <a:xfrm rot="-10799999">
                            <a:off x="3112867" y="4642597"/>
                            <a:ext cx="800699" cy="142889"/>
                          </a:xfrm>
                          <a:prstGeom prst="rect">
                            <a:avLst/>
                          </a:prstGeom>
                          <a:ln>
                            <a:noFill/>
                          </a:ln>
                        </wps:spPr>
                        <wps:txbx>
                          <w:txbxContent>
                            <w:p w14:paraId="4B13FB4E" w14:textId="77777777" w:rsidR="00B32EF2" w:rsidRDefault="00000000">
                              <w:r>
                                <w:rPr>
                                  <w:rFonts w:ascii="Arial" w:eastAsia="Arial" w:hAnsi="Arial" w:cs="Arial"/>
                                  <w:i/>
                                  <w:sz w:val="18"/>
                                </w:rPr>
                                <w:t>all’art. 292 .</w:t>
                              </w:r>
                            </w:p>
                          </w:txbxContent>
                        </wps:txbx>
                        <wps:bodyPr horzOverflow="overflow" vert="horz" lIns="0" tIns="0" rIns="0" bIns="0" rtlCol="0">
                          <a:noAutofit/>
                        </wps:bodyPr>
                      </wps:wsp>
                      <wps:wsp>
                        <wps:cNvPr id="16564" name="Shape 16564"/>
                        <wps:cNvSpPr/>
                        <wps:spPr>
                          <a:xfrm>
                            <a:off x="31915" y="4618504"/>
                            <a:ext cx="3960000" cy="1355306"/>
                          </a:xfrm>
                          <a:custGeom>
                            <a:avLst/>
                            <a:gdLst/>
                            <a:ahLst/>
                            <a:cxnLst/>
                            <a:rect l="0" t="0" r="0" b="0"/>
                            <a:pathLst>
                              <a:path w="3960000" h="1355306">
                                <a:moveTo>
                                  <a:pt x="0" y="1355306"/>
                                </a:moveTo>
                                <a:lnTo>
                                  <a:pt x="3960000" y="1355306"/>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07831" name="Shape 207831"/>
                        <wps:cNvSpPr/>
                        <wps:spPr>
                          <a:xfrm>
                            <a:off x="25566" y="482198"/>
                            <a:ext cx="3960000" cy="1166304"/>
                          </a:xfrm>
                          <a:custGeom>
                            <a:avLst/>
                            <a:gdLst/>
                            <a:ahLst/>
                            <a:cxnLst/>
                            <a:rect l="0" t="0" r="0" b="0"/>
                            <a:pathLst>
                              <a:path w="3960000" h="1166304">
                                <a:moveTo>
                                  <a:pt x="0" y="0"/>
                                </a:moveTo>
                                <a:lnTo>
                                  <a:pt x="3960000" y="0"/>
                                </a:lnTo>
                                <a:lnTo>
                                  <a:pt x="3960000" y="1166304"/>
                                </a:lnTo>
                                <a:lnTo>
                                  <a:pt x="0" y="1166304"/>
                                </a:lnTo>
                                <a:lnTo>
                                  <a:pt x="0" y="0"/>
                                </a:lnTo>
                              </a:path>
                            </a:pathLst>
                          </a:custGeom>
                          <a:ln w="0" cap="flat">
                            <a:miter lim="100000"/>
                          </a:ln>
                        </wps:spPr>
                        <wps:style>
                          <a:lnRef idx="0">
                            <a:srgbClr val="000000">
                              <a:alpha val="0"/>
                            </a:srgbClr>
                          </a:lnRef>
                          <a:fillRef idx="1">
                            <a:srgbClr val="C3C3C3"/>
                          </a:fillRef>
                          <a:effectRef idx="0">
                            <a:scrgbClr r="0" g="0" b="0"/>
                          </a:effectRef>
                          <a:fontRef idx="none"/>
                        </wps:style>
                        <wps:bodyPr/>
                      </wps:wsp>
                      <wps:wsp>
                        <wps:cNvPr id="16566" name="Rectangle 16566"/>
                        <wps:cNvSpPr/>
                        <wps:spPr>
                          <a:xfrm rot="-10799999">
                            <a:off x="2322550" y="1427265"/>
                            <a:ext cx="1585695" cy="142889"/>
                          </a:xfrm>
                          <a:prstGeom prst="rect">
                            <a:avLst/>
                          </a:prstGeom>
                          <a:ln>
                            <a:noFill/>
                          </a:ln>
                        </wps:spPr>
                        <wps:txbx>
                          <w:txbxContent>
                            <w:p w14:paraId="114A7012"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6567" name="Rectangle 16567"/>
                        <wps:cNvSpPr/>
                        <wps:spPr>
                          <a:xfrm rot="-10799999">
                            <a:off x="-1190915" y="1303935"/>
                            <a:ext cx="5092302" cy="142889"/>
                          </a:xfrm>
                          <a:prstGeom prst="rect">
                            <a:avLst/>
                          </a:prstGeom>
                          <a:ln>
                            <a:noFill/>
                          </a:ln>
                        </wps:spPr>
                        <wps:txbx>
                          <w:txbxContent>
                            <w:p w14:paraId="5449C254" w14:textId="77777777" w:rsidR="00B32EF2" w:rsidRDefault="00000000">
                              <w:r>
                                <w:rPr>
                                  <w:rFonts w:ascii="Arial" w:eastAsia="Arial" w:hAnsi="Arial" w:cs="Arial"/>
                                  <w:i/>
                                  <w:sz w:val="18"/>
                                </w:rPr>
                                <w:t xml:space="preserve">Direttiva (UE) 2017/1852 del Consiglio del 10 ottobre 2017 “Sui meccanismi </w:t>
                              </w:r>
                            </w:p>
                          </w:txbxContent>
                        </wps:txbx>
                        <wps:bodyPr horzOverflow="overflow" vert="horz" lIns="0" tIns="0" rIns="0" bIns="0" rtlCol="0">
                          <a:noAutofit/>
                        </wps:bodyPr>
                      </wps:wsp>
                      <wps:wsp>
                        <wps:cNvPr id="16568" name="Rectangle 16568"/>
                        <wps:cNvSpPr/>
                        <wps:spPr>
                          <a:xfrm rot="-10799999">
                            <a:off x="-945656" y="1180605"/>
                            <a:ext cx="4852873" cy="142890"/>
                          </a:xfrm>
                          <a:prstGeom prst="rect">
                            <a:avLst/>
                          </a:prstGeom>
                          <a:ln>
                            <a:noFill/>
                          </a:ln>
                        </wps:spPr>
                        <wps:txbx>
                          <w:txbxContent>
                            <w:p w14:paraId="18C28641" w14:textId="77777777" w:rsidR="00B32EF2" w:rsidRDefault="00000000">
                              <w:r>
                                <w:rPr>
                                  <w:rFonts w:ascii="Arial" w:eastAsia="Arial" w:hAnsi="Arial" w:cs="Arial"/>
                                  <w:i/>
                                  <w:sz w:val="18"/>
                                </w:rPr>
                                <w:t>di risoluzione delle controversie in materia fiscale nell’Unione europea”.</w:t>
                              </w:r>
                            </w:p>
                          </w:txbxContent>
                        </wps:txbx>
                        <wps:bodyPr horzOverflow="overflow" vert="horz" lIns="0" tIns="0" rIns="0" bIns="0" rtlCol="0">
                          <a:noAutofit/>
                        </wps:bodyPr>
                      </wps:wsp>
                      <wps:wsp>
                        <wps:cNvPr id="16569" name="Rectangle 16569"/>
                        <wps:cNvSpPr/>
                        <wps:spPr>
                          <a:xfrm rot="-10799999">
                            <a:off x="2350400" y="1057276"/>
                            <a:ext cx="1557845" cy="142889"/>
                          </a:xfrm>
                          <a:prstGeom prst="rect">
                            <a:avLst/>
                          </a:prstGeom>
                          <a:ln>
                            <a:noFill/>
                          </a:ln>
                        </wps:spPr>
                        <wps:txbx>
                          <w:txbxContent>
                            <w:p w14:paraId="4DF44F0C" w14:textId="77777777" w:rsidR="00B32EF2" w:rsidRDefault="00000000">
                              <w:r>
                                <w:rPr>
                                  <w:rFonts w:ascii="Arial" w:eastAsia="Arial" w:hAnsi="Arial" w:cs="Arial"/>
                                  <w:b/>
                                  <w:i/>
                                  <w:sz w:val="18"/>
                                </w:rPr>
                                <w:t>NORME COLLEGATE</w:t>
                              </w:r>
                            </w:p>
                          </w:txbxContent>
                        </wps:txbx>
                        <wps:bodyPr horzOverflow="overflow" vert="horz" lIns="0" tIns="0" rIns="0" bIns="0" rtlCol="0">
                          <a:noAutofit/>
                        </wps:bodyPr>
                      </wps:wsp>
                      <wps:wsp>
                        <wps:cNvPr id="16570" name="Rectangle 16570"/>
                        <wps:cNvSpPr/>
                        <wps:spPr>
                          <a:xfrm rot="-10799999">
                            <a:off x="1099896" y="933946"/>
                            <a:ext cx="2807320" cy="142889"/>
                          </a:xfrm>
                          <a:prstGeom prst="rect">
                            <a:avLst/>
                          </a:prstGeom>
                          <a:ln>
                            <a:noFill/>
                          </a:ln>
                        </wps:spPr>
                        <wps:txbx>
                          <w:txbxContent>
                            <w:p w14:paraId="1E2A627B" w14:textId="77777777" w:rsidR="00B32EF2" w:rsidRDefault="00000000">
                              <w:r>
                                <w:rPr>
                                  <w:rFonts w:ascii="Arial" w:eastAsia="Arial" w:hAnsi="Arial" w:cs="Arial"/>
                                  <w:i/>
                                  <w:sz w:val="18"/>
                                </w:rPr>
                                <w:t xml:space="preserve">art. 295 c.p.c. “Sospensione necessaria” </w:t>
                              </w:r>
                            </w:p>
                          </w:txbxContent>
                        </wps:txbx>
                        <wps:bodyPr horzOverflow="overflow" vert="horz" lIns="0" tIns="0" rIns="0" bIns="0" rtlCol="0">
                          <a:noAutofit/>
                        </wps:bodyPr>
                      </wps:wsp>
                      <wps:wsp>
                        <wps:cNvPr id="16571" name="Rectangle 16571"/>
                        <wps:cNvSpPr/>
                        <wps:spPr>
                          <a:xfrm rot="-10799999">
                            <a:off x="-1192046" y="810616"/>
                            <a:ext cx="5094233" cy="142889"/>
                          </a:xfrm>
                          <a:prstGeom prst="rect">
                            <a:avLst/>
                          </a:prstGeom>
                          <a:ln>
                            <a:noFill/>
                          </a:ln>
                        </wps:spPr>
                        <wps:txbx>
                          <w:txbxContent>
                            <w:p w14:paraId="2DEC6D1A" w14:textId="77777777" w:rsidR="00B32EF2" w:rsidRDefault="00000000">
                              <w:r>
                                <w:rPr>
                                  <w:rFonts w:ascii="Arial" w:eastAsia="Arial" w:hAnsi="Arial" w:cs="Arial"/>
                                  <w:i/>
                                  <w:sz w:val="18"/>
                                </w:rPr>
                                <w:t xml:space="preserve">Il giudice dispone che il processo sia sospeso in ogni caso in cui egli stesso </w:t>
                              </w:r>
                            </w:p>
                          </w:txbxContent>
                        </wps:txbx>
                        <wps:bodyPr horzOverflow="overflow" vert="horz" lIns="0" tIns="0" rIns="0" bIns="0" rtlCol="0">
                          <a:noAutofit/>
                        </wps:bodyPr>
                      </wps:wsp>
                      <wps:wsp>
                        <wps:cNvPr id="16572" name="Rectangle 16572"/>
                        <wps:cNvSpPr/>
                        <wps:spPr>
                          <a:xfrm rot="-10799999">
                            <a:off x="-1097511" y="687287"/>
                            <a:ext cx="5006442" cy="142889"/>
                          </a:xfrm>
                          <a:prstGeom prst="rect">
                            <a:avLst/>
                          </a:prstGeom>
                          <a:ln>
                            <a:noFill/>
                          </a:ln>
                        </wps:spPr>
                        <wps:txbx>
                          <w:txbxContent>
                            <w:p w14:paraId="55C7F20F" w14:textId="77777777" w:rsidR="00B32EF2" w:rsidRDefault="00000000">
                              <w:r>
                                <w:rPr>
                                  <w:rFonts w:ascii="Arial" w:eastAsia="Arial" w:hAnsi="Arial" w:cs="Arial"/>
                                  <w:i/>
                                  <w:sz w:val="18"/>
                                </w:rPr>
                                <w:t>o altro giudice deve risolvere una controversia, dalla cui definizione dipen</w:t>
                              </w:r>
                            </w:p>
                          </w:txbxContent>
                        </wps:txbx>
                        <wps:bodyPr horzOverflow="overflow" vert="horz" lIns="0" tIns="0" rIns="0" bIns="0" rtlCol="0">
                          <a:noAutofit/>
                        </wps:bodyPr>
                      </wps:wsp>
                      <wps:wsp>
                        <wps:cNvPr id="16573" name="Rectangle 16573"/>
                        <wps:cNvSpPr/>
                        <wps:spPr>
                          <a:xfrm rot="-10799999">
                            <a:off x="91322" y="687287"/>
                            <a:ext cx="50622" cy="142889"/>
                          </a:xfrm>
                          <a:prstGeom prst="rect">
                            <a:avLst/>
                          </a:prstGeom>
                          <a:ln>
                            <a:noFill/>
                          </a:ln>
                        </wps:spPr>
                        <wps:txbx>
                          <w:txbxContent>
                            <w:p w14:paraId="3535A56F"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574" name="Rectangle 16574"/>
                        <wps:cNvSpPr/>
                        <wps:spPr>
                          <a:xfrm rot="-10799999">
                            <a:off x="2019869" y="563957"/>
                            <a:ext cx="1887346" cy="142889"/>
                          </a:xfrm>
                          <a:prstGeom prst="rect">
                            <a:avLst/>
                          </a:prstGeom>
                          <a:ln>
                            <a:noFill/>
                          </a:ln>
                        </wps:spPr>
                        <wps:txbx>
                          <w:txbxContent>
                            <w:p w14:paraId="4E0A6501" w14:textId="77777777" w:rsidR="00B32EF2" w:rsidRDefault="00000000">
                              <w:r>
                                <w:rPr>
                                  <w:rFonts w:ascii="Arial" w:eastAsia="Arial" w:hAnsi="Arial" w:cs="Arial"/>
                                  <w:i/>
                                  <w:sz w:val="18"/>
                                </w:rPr>
                                <w:t>de la decisione della causa.</w:t>
                              </w:r>
                            </w:p>
                          </w:txbxContent>
                        </wps:txbx>
                        <wps:bodyPr horzOverflow="overflow" vert="horz" lIns="0" tIns="0" rIns="0" bIns="0" rtlCol="0">
                          <a:noAutofit/>
                        </wps:bodyPr>
                      </wps:wsp>
                      <wps:wsp>
                        <wps:cNvPr id="16575" name="Shape 16575"/>
                        <wps:cNvSpPr/>
                        <wps:spPr>
                          <a:xfrm>
                            <a:off x="25565" y="482201"/>
                            <a:ext cx="3960000" cy="1166304"/>
                          </a:xfrm>
                          <a:custGeom>
                            <a:avLst/>
                            <a:gdLst/>
                            <a:ahLst/>
                            <a:cxnLst/>
                            <a:rect l="0" t="0" r="0" b="0"/>
                            <a:pathLst>
                              <a:path w="3960000" h="1166304">
                                <a:moveTo>
                                  <a:pt x="0" y="1166304"/>
                                </a:moveTo>
                                <a:lnTo>
                                  <a:pt x="3960000" y="1166304"/>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33BF0C" id="Group 200635" o:spid="_x0000_s2658" style="width:314.35pt;height:493.15pt;mso-position-horizontal-relative:char;mso-position-vertical-relative:line" coordsize="39920,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nrOAwAACmAAAAOAAAAZHJzL2Uyb0RvYy54bWzsXetu47gV/l+g72D4fyYiRVGkMZlFMdsd&#10;FCi6i708gOLIsQHZMmTPJNOn73dIibIUZjaVFmFabgaYOLREUfx47oeH77973FeLL2Vz2tWHmyV7&#10;lywX5WFd3+0O9zfL33794UotF6dzcbgrqvpQ3iy/lqfldx/++pf3D8dVyettXd2VzQKdHE6rh+PN&#10;cns+H1fX16f1ttwXp3f1sTzgy03d7Isz/mzur++a4gG976trniTy+qFu7o5NvS5PJ7R+b79cfjD9&#10;bzbl+vzjZnMqz4vqZomxnc3/jfn/lv6//vC+WN03xXG7W7fDKCaMYl/sDnio6+r74lwsPje7J13t&#10;d+umPtWb87t1vb+uN5vdujTvgLdhyehtPjX156N5l/vVw/3RTROmdjRPk7td/+vLp+b4y/GnBjPx&#10;cLzHXJi/6F0eN82efmOUi0czZV/dlJWP58UajanWPEkxs2t8J7nkKhN2UtdbzPyT+9bbv//Ondfd&#10;g68Hw3k4YoGc+jk4zZuDX7bFsTRTe1phDn5qFrs7rF+ZcbZcHIo9lurPWDzF4b4qF7bZTJC52k3X&#10;aXXCzHVztWhqrK8rluSafsx6aOeOaazVhC8XmKUryfGnnaRuGlmuUqntLPIskULS924qitWxOZ0/&#10;lfV+QR9ulg3GZvovvvzzdLaXdpfQcKoD/X+of9hVlf2WWjCj3Yjp0/nx9tG+diY5PY8ab+u7r5iN&#10;bd38+0fQ9aaqH26WdftpSaSOx9O3y0X1jwNQIKrqPjTdh9vuQ3OuPtaG9uyA/vb5XG92ZsT909qR&#10;AV47hlfBGWD4cHYTgVXx3+N8xThTmcwM0JIxrWVLDh3SWGCJUHg4EQwTXNml8IpQp9FBnfqhdhMx&#10;CWqmUwbhRmzP4JwNKRpEzC9QVvqVCdosu57EIiBo4UfZTcQ0lIVgjIMzA+cMsk7nhjMXq46eeZYl&#10;ucJCCEbPZuFFhTTYq491u4mYiLQGwBZpwaVkqREFPdIKjXkro4lxvzpJm5UXFdDSD7SbiElAQ0ET&#10;mW6VMUFIJkYS9EgLDV2cLuho+tWhzqOT0bkfajcRk6BmkMIyg0YP7p0qLZkYIa1YohTYSTCgVVRA&#10;w2JPpUcba9tbE2Qa1EwymbRQ5zlXbKR4My2EzPHwYFgbFTAa/m0whXE4ltRt+xysOX5EK6rTN4l1&#10;buz7uLD2GNQG65kWNZcZnEyWhRusRyw8OF3nLCoeTs4wwDEma9s8h6pzAb0LDINktRRaqBEDx2IS&#10;mkzuUAw8dys5CicZEa/wIN22z4Gaw2WCbizWGf7Kxt6TNNFQFQJi7ZxD0WANx/0TqiasrUOfZNkk&#10;xeyKpbl8AdgBtfDc+YiiABusOvVHOdA8h6yN9xsuMkvXIuGKj+maM5ZAMw/Hw52TKBqoPXoZrQAn&#10;zCZRNbQu9GBktRfnsN5v66SNRv0mOD1WtW2eQ9AcwV1yj5BKxnMt9IicEbPUWoTk3M4/FAU5G9Xr&#10;GZtaOJNzEkFzmWZJYgNaKcvgTBkFOhC4TJPLwOVrO0Xz+HxlwsO7zRqYx7whp5XQxDKIsN8m2HE5&#10;y4hVg416jGo0z+HgF3La4Dxi4IGj1MrxrCjYN6HsD2mheQ7KsLFYDveIJegk5cgmog77kFYW2qBW&#10;zrSIBmp/SCt1KsskOT2AmutEg4TfGtROOkUDNfQmH+92GsskqJUk37ahaZ7jj9ysnJ6mUyhkiQro&#10;JFPxOcl8/Js0stkMnAmV2CgH0kygno2IWiSCp6D0YI4T642PxqQ2mHo0srZ9jrCGUY2cMRuptliP&#10;6Do81k7njIWBw3j2MfCZNjXsLCTHw5AmO4sjjJmxEVnDqOapDhjTgvho13I0UPtd38Lpp5NkdW9n&#10;WZxHJB3aznI6ZzQoezwnML/gUJnDuinAobPcekS5QMqRGgNNDlPaQxIqSI1U5NgI2u/6tql+k8OW&#10;FwTtxTlsgMP6XqPRxohyPdFp2zyPoFMmdWbd3hyamcrGBA2nt8YenWAEbfcHRQW1R+8mqJ1WOklC&#10;m+A0jCyrjBHqfAw1tmZlDIIjFO/WTgeJRkz73aHW+v0jeLfB2YjE3m8SWBnTTgeJBmW/J1Q4rXQa&#10;QSslnR2dCDjLRjgLlSsTGA9Gz3H5x4hH+x2haJ4rpXOzPxp2NNOcKzmCmsIbgnwqwaCOLoXMlxpK&#10;K8AFbqcR9WUki2EjfZZ6oA6aGmqTYGJSyDK/dwzNc6ia6VxzoEvOMSYpR9QsnV5OoyIGko4C7tjR&#10;cTnHODYyUykPG8kyFTIWbdvv4kyx5rbWRco03JyEKmSyQlIRrZIe1VTLBD8tq04zsG4zzRcVENaf&#10;bbELuq0rcIHSKne21AXatt2n9eOh+0glMb5Z5eVYnOk+6pQ+LlDXwo1liyXYDoW+36Pgxa+1ufI8&#10;KmGCYfbfVofLq1xveHXz0ri2u6L7fTT9XV7ZPReT9Oz11mh5+ZXDp6NbemHTv5sENF5Oc3Wg+SBU&#10;ClTh2VSFLS+y351Rnqfa7TE/HBkGfcdPqomczl+rkqasOvxcblBXxJSMoYZTc3/7sWoWXwoqBGJ+&#10;bO2S6rgt2lZaIxhSe2k7FeiH7t+giInrkplbB11+TOlf20N7Md1Xmvo/7s7E3rluR2OLAKGUDl66&#10;KwWEEbibzJPrw9ndf0ABI/MQYv3t2/ZSgMZPf71qEZPM7+VEM4ZDo5kkgznyR7AD2pAwnJ08G9cw&#10;YRlqnEAMhtO2nOUQiwmV+Z2caJ6DdK5ECnOUeDVKAEEaj9LDUpS+YOTuDqZWO8MhCqApukweqnEu&#10;Sds+B2ousdM9tdkkCD+jAMIIawhqnpI6FgxrZznEg7UnFmmwdo7ASQz8iiGbhNFedyLstwg2VMCO&#10;cUUBNgxjbHF8Qte2eQ5Zox4RtqV+A+eQVaioHkP7ctGg7HdoZ86SnErQ4Ndtwj48Ipxi0JjZ3qrK&#10;qEpVQAcYFTeMDWq/V9sGECcr36hOpBNJWZ3Eu3mm+TgVEIJaIMkkmKCWtlxSb/r8/9eWowDxWCcj&#10;3u2000lUfcG7/TiH5d3RebQzT7EDQtnppZNQxrY6lDdodTG4cMg5NmDdgiWcCpwE0rulNQSiIWfS&#10;r7GV8Ak9t+2tEJsENYdfxBRDJtYN53VmsysvpHSiFUcafzisnR4ShUJmMPVQdds+B2ukk0DnIgfc&#10;2wU7Oi+Z9NjT4OBongc1av2mFBkB1AJ1P+ERHbJwZA0JlJwLSNdOE4mCrglTv+u7L2Q+iYPDc6JQ&#10;06CFOpdQv8dJYqgMmkHHD8fCnToSDdR+3zcKSc6h6hQWs5IAkohawqJC3Rr01wtrhZL9IfUyFp2L&#10;DHGmVi2zwWcic2eFPE/PBNpF7Bl+NgMpxZ7N3T2kLu5qdO3/pdjzMPb7kgj08I4u/tz9fhqH7kO7&#10;NqY9vNJyxPE166o+lSCal0eYTRQZzPPZKLMND9s+PWdW+KLMnpBwG2XuuvEFkttw8LTYdDxRZpMA&#10;4tSqi6SQF+hUF4SJLY/tPjgcfvEkU3NIlyg9k1rKxbrqDqG5TFZ4vZyQdij0Ij3NWdoZUkT/7ZBu&#10;3JuBJY2p5/kr2WAKuuu635fPf/mVw6e/nGLxnn8otc6iO5NbQmj8mRPy3AFGRGYeX6Ut5zTZLY2c&#10;ENq1bEQrSubnqMo71JZC54SgominDkajF/sDENBpIfcmIw0TCFVFmNWiUGEi1eOskCxBpkjA4xEk&#10;9ui0bxgN1B6HJWnHzux/Xjv+xqlkV6jdh04sUTOFE8pGRC2wl1Vd1sx/5cOqcAhLdEh73JWEtLP6&#10;JyGNzK5EUNIt1BBscsv5+BgjhCiQDBYu0wtHc8SGNM4I8Anq/uiASUgjfKxx0olBGl5LPY4e47Sb&#10;POWk1NFSeP1jjFDrOzqgnfk0OFKyPzdgEtAkpzm2vRmkcY4NKnbSxPbODohp1AwKmCdgBxRNYBFc&#10;mlKxPLp3f3DARKQTnSPYZJCWCoGGkacSGSFSUK3QYDTtVM5YFDJSinxIO31lEtIah87ZiKIf5qAJ&#10;ITh6IzKtG+cCeEF2qsokkLGtTSPIZKg5kygKNaJmpqByE18PRs1O14yGml1urgs82ATLb1vRI/9m&#10;G3hQKPplfBG9KHZeQAPpwLn3xv2bQ//iS7ycwzs6n2X3+8+4wyz/55uIO5iD2XEevYn73DfFcbtb&#10;04H3l3+b3XCrktfburormw//AQAA//8DAFBLAwQUAAYACAAAACEABfCzbd0AAAAFAQAADwAAAGRy&#10;cy9kb3ducmV2LnhtbEyPQUvDQBCF74L/YRnBm92kxZim2ZRS1FMRbAXxNs1Ok9DsbMhuk/Tfu3rR&#10;y8DjPd77Jl9PphUD9a6xrCCeRSCIS6sbrhR8HF4eUhDOI2tsLZOCKzlYF7c3OWbajvxOw95XIpSw&#10;y1BB7X2XSenKmgy6me2Ig3eyvUEfZF9J3eMYyk0r51GUSIMNh4UaO9rWVJ73F6PgdcRxs4ifh935&#10;tL1+HR7fPncxKXV/N21WIDxN/i8MP/gBHYrAdLQX1k60CsIj/vcGL5mnTyCOCpZpsgBZ5PI/ffEN&#10;AAD//wMAUEsBAi0AFAAGAAgAAAAhALaDOJL+AAAA4QEAABMAAAAAAAAAAAAAAAAAAAAAAFtDb250&#10;ZW50X1R5cGVzXS54bWxQSwECLQAUAAYACAAAACEAOP0h/9YAAACUAQAACwAAAAAAAAAAAAAAAAAv&#10;AQAAX3JlbHMvLnJlbHNQSwECLQAUAAYACAAAACEA8sk56zgMAAApgAAADgAAAAAAAAAAAAAAAAAu&#10;AgAAZHJzL2Uyb0RvYy54bWxQSwECLQAUAAYACAAAACEABfCzbd0AAAAFAQAADwAAAAAAAAAAAAAA&#10;AACSDgAAZHJzL2Rvd25yZXYueG1sUEsFBgAAAAAEAAQA8wAAAJwPAAAAAA==&#10;">
                <v:rect id="Rectangle 16521" o:spid="_x0000_s2659" style="position:absolute;left:19006;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FqBxAAAAN4AAAAPAAAAZHJzL2Rvd25yZXYueG1sRE9Li8Iw&#10;EL4v+B/CCN7WVGFFqlFEke3By/oAj0MzttVmEppoq79+s7DgbT6+58yXnanFgxpfWVYwGiYgiHOr&#10;Ky4UHA/bzykIH5A11pZJwZM8LBe9jzmm2rb8Q499KEQMYZ+igjIEl0rp85IM+qF1xJG72MZgiLAp&#10;pG6wjeGmluMkmUiDFceGEh2tS8pv+7tRcN6wy7atzC+vtdtds2n9fT+elBr0u9UMRKAuvMX/7kzH&#10;+ZOv8Qj+3ok3yMUvAAAA//8DAFBLAQItABQABgAIAAAAIQDb4fbL7gAAAIUBAAATAAAAAAAAAAAA&#10;AAAAAAAAAABbQ29udGVudF9UeXBlc10ueG1sUEsBAi0AFAAGAAgAAAAhAFr0LFu/AAAAFQEAAAsA&#10;AAAAAAAAAAAAAAAAHwEAAF9yZWxzLy5yZWxzUEsBAi0AFAAGAAgAAAAhAB5MWoHEAAAA3gAAAA8A&#10;AAAAAAAAAAAAAAAABwIAAGRycy9kb3ducmV2LnhtbFBLBQYAAAAAAwADALcAAAD4AgAAAAA=&#10;" filled="f" stroked="f">
                  <v:textbox inset="0,0,0,0">
                    <w:txbxContent>
                      <w:p w14:paraId="791EC004" w14:textId="77777777" w:rsidR="00B32EF2" w:rsidRDefault="00000000">
                        <w:r>
                          <w:rPr>
                            <w:rFonts w:ascii="Times New Roman" w:eastAsia="Times New Roman" w:hAnsi="Times New Roman" w:cs="Times New Roman"/>
                          </w:rPr>
                          <w:t>81</w:t>
                        </w:r>
                      </w:p>
                    </w:txbxContent>
                  </v:textbox>
                </v:rect>
                <v:rect id="Rectangle 16522" o:spid="_x0000_s2660" style="position:absolute;left:-12185;top:61199;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sT2xAAAAN4AAAAPAAAAZHJzL2Rvd25yZXYueG1sRE9Na8JA&#10;EL0L/odlCt5004AiqauIIubQS20Ej0N2TFKzs0t2NbG/vlso9DaP9zmrzWBa8aDON5YVvM4SEMSl&#10;1Q1XCorPw3QJwgdkja1lUvAkD5v1eLTCTNueP+hxCpWIIewzVFCH4DIpfVmTQT+zjjhyV9sZDBF2&#10;ldQd9jHctDJNkoU02HBsqNHRrqbydrobBZc9u/zQy/L6vXPvX/myPd6Ls1KTl2H7BiLQEP7Ff+5c&#10;x/mLeZrC7zvxBrn+AQAA//8DAFBLAQItABQABgAIAAAAIQDb4fbL7gAAAIUBAAATAAAAAAAAAAAA&#10;AAAAAAAAAABbQ29udGVudF9UeXBlc10ueG1sUEsBAi0AFAAGAAgAAAAhAFr0LFu/AAAAFQEAAAsA&#10;AAAAAAAAAAAAAAAAHwEAAF9yZWxzLy5yZWxzUEsBAi0AFAAGAAgAAAAhAO6exPbEAAAA3gAAAA8A&#10;AAAAAAAAAAAAAAAABwIAAGRycy9kb3ducmV2LnhtbFBLBQYAAAAAAwADALcAAAD4AgAAAAA=&#10;" filled="f" stroked="f">
                  <v:textbox inset="0,0,0,0">
                    <w:txbxContent>
                      <w:p w14:paraId="7D6FB947" w14:textId="77777777" w:rsidR="00B32EF2" w:rsidRDefault="00000000">
                        <w:r>
                          <w:rPr>
                            <w:rFonts w:ascii="Arial" w:eastAsia="Arial" w:hAnsi="Arial" w:cs="Arial"/>
                            <w:sz w:val="18"/>
                          </w:rPr>
                          <w:t>za del processo per nullità della notificazione del ricorso e della comunicazio</w:t>
                        </w:r>
                      </w:p>
                    </w:txbxContent>
                  </v:textbox>
                </v:rect>
                <v:rect id="Rectangle 16523" o:spid="_x0000_s2661" style="position:absolute;left:193;top:611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mFtxAAAAN4AAAAPAAAAZHJzL2Rvd25yZXYueG1sRE9Ni8Iw&#10;EL0L/ocwgjdNVVakaxRRxB72sq4Lexyasa02k9BEW/31m4UFb/N4n7Ncd6YWd2p8ZVnBZJyAIM6t&#10;rrhQcPrajxYgfEDWWFsmBQ/ysF71e0tMtW35k+7HUIgYwj5FBWUILpXS5yUZ9GPriCN3to3BEGFT&#10;SN1gG8NNLadJMpcGK44NJTralpRfjzej4GfHLtu3Mj8/t+7jki3qw+30rdRw0G3eQQTqwkv87850&#10;nD9/m87g7514g1z9AgAA//8DAFBLAQItABQABgAIAAAAIQDb4fbL7gAAAIUBAAATAAAAAAAAAAAA&#10;AAAAAAAAAABbQ29udGVudF9UeXBlc10ueG1sUEsBAi0AFAAGAAgAAAAhAFr0LFu/AAAAFQEAAAsA&#10;AAAAAAAAAAAAAAAAHwEAAF9yZWxzLy5yZWxzUEsBAi0AFAAGAAgAAAAhAIHSYW3EAAAA3gAAAA8A&#10;AAAAAAAAAAAAAAAABwIAAGRycy9kb3ducmV2LnhtbFBLBQYAAAAAAwADALcAAAD4AgAAAAA=&#10;" filled="f" stroked="f">
                  <v:textbox inset="0,0,0,0">
                    <w:txbxContent>
                      <w:p w14:paraId="7622CAF8" w14:textId="77777777" w:rsidR="00B32EF2" w:rsidRDefault="00000000">
                        <w:r>
                          <w:rPr>
                            <w:rFonts w:ascii="Arial" w:eastAsia="Arial" w:hAnsi="Arial" w:cs="Arial"/>
                            <w:sz w:val="18"/>
                          </w:rPr>
                          <w:t>-</w:t>
                        </w:r>
                      </w:p>
                    </w:txbxContent>
                  </v:textbox>
                </v:rect>
                <v:rect id="Rectangle 16524" o:spid="_x0000_s2662" style="position:absolute;left:14411;top:59929;width:255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kZxAAAAN4AAAAPAAAAZHJzL2Rvd25yZXYueG1sRE9Ni8Iw&#10;EL0L/ocwgjdNFVekaxRRxB72sq4Lexyasa02k9BEW/31m4UFb/N4n7Ncd6YWd2p8ZVnBZJyAIM6t&#10;rrhQcPrajxYgfEDWWFsmBQ/ysF71e0tMtW35k+7HUIgYwj5FBWUILpXS5yUZ9GPriCN3to3BEGFT&#10;SN1gG8NNLadJMpcGK44NJTralpRfjzej4GfHLtu3Mj8/t+7jki3qw+30rdRw0G3eQQTqwkv87850&#10;nD9/m87g7514g1z9AgAA//8DAFBLAQItABQABgAIAAAAIQDb4fbL7gAAAIUBAAATAAAAAAAAAAAA&#10;AAAAAAAAAABbQ29udGVudF9UeXBlc10ueG1sUEsBAi0AFAAGAAgAAAAhAFr0LFu/AAAAFQEAAAsA&#10;AAAAAAAAAAAAAAAAHwEAAF9yZWxzLy5yZWxzUEsBAi0AFAAGAAgAAAAhAA47+RnEAAAA3gAAAA8A&#10;AAAAAAAAAAAAAAAABwIAAGRycy9kb3ducmV2LnhtbFBLBQYAAAAAAwADALcAAAD4AgAAAAA=&#10;" filled="f" stroked="f">
                  <v:textbox inset="0,0,0,0">
                    <w:txbxContent>
                      <w:p w14:paraId="10C46231" w14:textId="77777777" w:rsidR="00B32EF2" w:rsidRDefault="00000000">
                        <w:r>
                          <w:rPr>
                            <w:rFonts w:ascii="Arial" w:eastAsia="Arial" w:hAnsi="Arial" w:cs="Arial"/>
                            <w:sz w:val="18"/>
                          </w:rPr>
                          <w:t>ne dell’avviso di fissazione d’udienza.</w:t>
                        </w:r>
                      </w:p>
                    </w:txbxContent>
                  </v:textbox>
                </v:rect>
                <v:rect id="Rectangle 16525" o:spid="_x0000_s2663" style="position:absolute;left:14959;top:42661;width:82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1yCxAAAAN4AAAAPAAAAZHJzL2Rvd25yZXYueG1sRE9Li8Iw&#10;EL4v+B/CCN7WVEGRahRRxB72sj7A49CMbbWZhCbaur9+s7DgbT6+5yxWnanFkxpfWVYwGiYgiHOr&#10;Ky4UnI67zxkIH5A11pZJwYs8rJa9jwWm2rb8Tc9DKEQMYZ+igjIEl0rp85IM+qF1xJG72sZgiLAp&#10;pG6wjeGmluMkmUqDFceGEh1tSsrvh4dRcNmyy3atzK8/G/d1y2b1/nE6KzXod+s5iEBdeIv/3ZmO&#10;86eT8QT+3ok3yOUvAAAA//8DAFBLAQItABQABgAIAAAAIQDb4fbL7gAAAIUBAAATAAAAAAAAAAAA&#10;AAAAAAAAAABbQ29udGVudF9UeXBlc10ueG1sUEsBAi0AFAAGAAgAAAAhAFr0LFu/AAAAFQEAAAsA&#10;AAAAAAAAAAAAAAAAHwEAAF9yZWxzLy5yZWxzUEsBAi0AFAAGAAgAAAAhAGF3XILEAAAA3gAAAA8A&#10;AAAAAAAAAAAAAAAABwIAAGRycy9kb3ducmV2LnhtbFBLBQYAAAAAAwADALcAAAD4AgAAAAA=&#10;" filled="f" stroked="f">
                  <v:textbox inset="0,0,0,0">
                    <w:txbxContent>
                      <w:p w14:paraId="2EAF106D" w14:textId="77777777" w:rsidR="00B32EF2" w:rsidRDefault="00000000">
                        <w:r>
                          <w:rPr>
                            <w:rFonts w:ascii="Arial" w:eastAsia="Arial" w:hAnsi="Arial" w:cs="Arial"/>
                            <w:b/>
                            <w:sz w:val="18"/>
                          </w:rPr>
                          <w:t>SEZIONE V</w:t>
                        </w:r>
                      </w:p>
                    </w:txbxContent>
                  </v:textbox>
                </v:rect>
                <v:rect id="Rectangle 16526" o:spid="_x0000_s2664" style="position:absolute;left:-10459;top:41428;width:4901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cL1xAAAAN4AAAAPAAAAZHJzL2Rvd25yZXYueG1sRE9Na8JA&#10;EL0X/A/LFLzVTYUGSV1FFGkOXqoRPA7ZMUnNzi7Z1UR/fbdQ8DaP9znz5WBacaPON5YVvE8SEMSl&#10;1Q1XCorD9m0Gwgdkja1lUnAnD8vF6GWOmbY9f9NtHyoRQ9hnqKAOwWVS+rImg35iHXHkzrYzGCLs&#10;Kqk77GO4aeU0SVJpsOHYUKOjdU3lZX81Ck4bdvm2l+X5sXa7n3zWfl2Lo1Lj12H1CSLQEJ7if3eu&#10;4/z0Y5rC3zvxBrn4BQAA//8DAFBLAQItABQABgAIAAAAIQDb4fbL7gAAAIUBAAATAAAAAAAAAAAA&#10;AAAAAAAAAABbQ29udGVudF9UeXBlc10ueG1sUEsBAi0AFAAGAAgAAAAhAFr0LFu/AAAAFQEAAAsA&#10;AAAAAAAAAAAAAAAAHwEAAF9yZWxzLy5yZWxzUEsBAi0AFAAGAAgAAAAhAJGlwvXEAAAA3gAAAA8A&#10;AAAAAAAAAAAAAAAABwIAAGRycy9kb3ducmV2LnhtbFBLBQYAAAAAAwADALcAAAD4AgAAAAA=&#10;" filled="f" stroked="f">
                  <v:textbox inset="0,0,0,0">
                    <w:txbxContent>
                      <w:p w14:paraId="1BB3CE60" w14:textId="77777777" w:rsidR="00B32EF2" w:rsidRDefault="00000000">
                        <w:r>
                          <w:rPr>
                            <w:rFonts w:ascii="Arial" w:eastAsia="Arial" w:hAnsi="Arial" w:cs="Arial"/>
                            <w:b/>
                            <w:sz w:val="18"/>
                          </w:rPr>
                          <w:t xml:space="preserve"> SOSPENSIONE, INTERRUZIONE ED ESTINZIONE DEL PROCESSO</w:t>
                        </w:r>
                      </w:p>
                    </w:txbxContent>
                  </v:textbox>
                </v:rect>
                <v:rect id="Rectangle 16527" o:spid="_x0000_s2665" style="position:absolute;left:15066;top:38961;width:8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duxAAAAN4AAAAPAAAAZHJzL2Rvd25yZXYueG1sRE9Ni8Iw&#10;EL0L/ocwgjdNFXSlaxRRxB72sq4Lexyasa02k9BEW/31m4UFb/N4n7Ncd6YWd2p8ZVnBZJyAIM6t&#10;rrhQcPrajxYgfEDWWFsmBQ/ysF71e0tMtW35k+7HUIgYwj5FBWUILpXS5yUZ9GPriCN3to3BEGFT&#10;SN1gG8NNLadJMpcGK44NJTralpRfjzej4GfHLtu3Mj8/t+7jki3qw+30rdRw0G3eQQTqwkv87850&#10;nD+fTd/g7514g1z9AgAA//8DAFBLAQItABQABgAIAAAAIQDb4fbL7gAAAIUBAAATAAAAAAAAAAAA&#10;AAAAAAAAAABbQ29udGVudF9UeXBlc10ueG1sUEsBAi0AFAAGAAgAAAAhAFr0LFu/AAAAFQEAAAsA&#10;AAAAAAAAAAAAAAAAHwEAAF9yZWxzLy5yZWxzUEsBAi0AFAAGAAgAAAAhAP7pZ27EAAAA3gAAAA8A&#10;AAAAAAAAAAAAAAAABwIAAGRycy9kb3ducmV2LnhtbFBLBQYAAAAAAwADALcAAAD4AgAAAAA=&#10;" filled="f" stroked="f">
                  <v:textbox inset="0,0,0,0">
                    <w:txbxContent>
                      <w:p w14:paraId="2E7FFBF1" w14:textId="77777777" w:rsidR="00B32EF2" w:rsidRDefault="00000000">
                        <w:r>
                          <w:rPr>
                            <w:rFonts w:ascii="Arial" w:eastAsia="Arial" w:hAnsi="Arial" w:cs="Arial"/>
                            <w:b/>
                            <w:sz w:val="18"/>
                          </w:rPr>
                          <w:t>Articolo 88</w:t>
                        </w:r>
                      </w:p>
                    </w:txbxContent>
                  </v:textbox>
                </v:rect>
                <v:rect id="Rectangle 200363" o:spid="_x0000_s2666" style="position:absolute;left:11616;top:37728;width:194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tvcxwAAAN8AAAAPAAAAZHJzL2Rvd25yZXYueG1sRI9Ba8JA&#10;FITvBf/D8gRvdWOFIKmrlEhoDr1ULfT4yD6TtNm3S3ZNYn99t1DwOMzMN8x2P5lODNT71rKC1TIB&#10;QVxZ3XKt4HwqHjcgfEDW2FkmBTfysN/NHraYaTvyOw3HUIsIYZ+hgiYEl0npq4YM+qV1xNG72N5g&#10;iLKvpe5xjHDTyackSaXBluNCg47yhqrv49Uo+DywK4tRVpef3L19lZvu9Xr+UGoxn16eQQSawj38&#10;3y61gkhcp2v4+xO/gNz9AgAA//8DAFBLAQItABQABgAIAAAAIQDb4fbL7gAAAIUBAAATAAAAAAAA&#10;AAAAAAAAAAAAAABbQ29udGVudF9UeXBlc10ueG1sUEsBAi0AFAAGAAgAAAAhAFr0LFu/AAAAFQEA&#10;AAsAAAAAAAAAAAAAAAAAHwEAAF9yZWxzLy5yZWxzUEsBAi0AFAAGAAgAAAAhAKlG29zHAAAA3wAA&#10;AA8AAAAAAAAAAAAAAAAABwIAAGRycy9kb3ducmV2LnhtbFBLBQYAAAAAAwADALcAAAD7AgAAAAA=&#10;" filled="f" stroked="f">
                  <v:textbox inset="0,0,0,0">
                    <w:txbxContent>
                      <w:p w14:paraId="010AA228" w14:textId="77777777" w:rsidR="00B32EF2" w:rsidRDefault="00000000">
                        <w:r>
                          <w:rPr>
                            <w:rFonts w:ascii="Arial" w:eastAsia="Arial" w:hAnsi="Arial" w:cs="Arial"/>
                            <w:i/>
                            <w:sz w:val="18"/>
                          </w:rPr>
                          <w:t xml:space="preserve">articolo 39 D.lgs. n. </w:t>
                        </w:r>
                      </w:p>
                    </w:txbxContent>
                  </v:textbox>
                </v:rect>
                <v:rect id="Rectangle 200360" o:spid="_x0000_s2667" style="position:absolute;left:22224;top:37728;width:194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EWrxwAAAN8AAAAPAAAAZHJzL2Rvd25yZXYueG1sRI9Na8JA&#10;EIbvhf6HZQq91U1bEEldRSzSHLz4BR6H7JikZmeX7Gpif33nIHgc3nmfl2c6H1yrrtTFxrOB91EG&#10;irj0tuHKwH63epuAignZYuuZDNwownz2/DTF3PqeN3TdpkoJhGOOBuqUQq51LGtyGEc+EEt28p3D&#10;JGdXadthL3DX6o8sG2uHDctCjYGWNZXn7cUZOH5zKFa9Lk9/y7D+LSbtz2V/MOb1ZVh8gUo0pMfz&#10;vV1YA0L8HIuB+IgL6Nk/AAAA//8DAFBLAQItABQABgAIAAAAIQDb4fbL7gAAAIUBAAATAAAAAAAA&#10;AAAAAAAAAAAAAABbQ29udGVudF9UeXBlc10ueG1sUEsBAi0AFAAGAAgAAAAhAFr0LFu/AAAAFQEA&#10;AAsAAAAAAAAAAAAAAAAAHwEAAF9yZWxzLy5yZWxzUEsBAi0AFAAGAAgAAAAhAFmURavHAAAA3wAA&#10;AA8AAAAAAAAAAAAAAAAABwIAAGRycy9kb3ducmV2LnhtbFBLBQYAAAAAAwADALcAAAD7AgAAAAA=&#10;" filled="f" stroked="f">
                  <v:textbox inset="0,0,0,0">
                    <w:txbxContent>
                      <w:p w14:paraId="3E5F8F9C" w14:textId="77777777" w:rsidR="00B32EF2" w:rsidRDefault="00000000">
                        <w:r>
                          <w:rPr>
                            <w:rFonts w:ascii="Arial" w:eastAsia="Arial" w:hAnsi="Arial" w:cs="Arial"/>
                            <w:i/>
                            <w:sz w:val="18"/>
                          </w:rPr>
                          <w:t>(</w:t>
                        </w:r>
                      </w:p>
                    </w:txbxContent>
                  </v:textbox>
                </v:rect>
                <v:rect id="Rectangle 200362" o:spid="_x0000_s2668" style="position:absolute;left:-2653;top:37728;width:194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n5HxwAAAN8AAAAPAAAAZHJzL2Rvd25yZXYueG1sRI9Ba8JA&#10;FITvQv/D8gq96aYRgkRXkRQxh15qLfT4yD6TaPbtkl2TtL++Wyj0OMzMN8xmN5lODNT71rKC50UC&#10;griyuuVawfn9MF+B8AFZY2eZFHyRh932YbbBXNuR32g4hVpECPscFTQhuFxKXzVk0C+sI47exfYG&#10;Q5R9LXWPY4SbTqZJkkmDLceFBh0VDVW3090o+HxhVx5GWV2+C/d6LVfd8X7+UOrpcdqvQQSawn/4&#10;r11qBZG4zFL4/RO/gNz+AAAA//8DAFBLAQItABQABgAIAAAAIQDb4fbL7gAAAIUBAAATAAAAAAAA&#10;AAAAAAAAAAAAAABbQ29udGVudF9UeXBlc10ueG1sUEsBAi0AFAAGAAgAAAAhAFr0LFu/AAAAFQEA&#10;AAsAAAAAAAAAAAAAAAAAHwEAAF9yZWxzLy5yZWxzUEsBAi0AFAAGAAgAAAAhAMYKfkfHAAAA3wAA&#10;AA8AAAAAAAAAAAAAAAAABwIAAGRycy9kb3ducmV2LnhtbFBLBQYAAAAAAwADALcAAAD7AgAAAAA=&#10;" filled="f" stroked="f">
                  <v:textbox inset="0,0,0,0">
                    <w:txbxContent>
                      <w:p w14:paraId="0DF46293" w14:textId="77777777" w:rsidR="00B32EF2" w:rsidRDefault="00000000">
                        <w:r>
                          <w:rPr>
                            <w:rFonts w:ascii="Arial" w:eastAsia="Arial" w:hAnsi="Arial" w:cs="Arial"/>
                            <w:i/>
                            <w:sz w:val="18"/>
                          </w:rPr>
                          <w:t>546/92)</w:t>
                        </w:r>
                      </w:p>
                    </w:txbxContent>
                  </v:textbox>
                </v:rect>
                <v:rect id="Rectangle 16529" o:spid="_x0000_s2669" style="position:absolute;left:7449;top:36494;width:200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laHxAAAAN4AAAAPAAAAZHJzL2Rvd25yZXYueG1sRE9Li8Iw&#10;EL4v+B/CCN7WdAVFq1EWF9ke9uILPA7N2FabSWiirf76jbCwt/n4nrNYdaYWd2p8ZVnBxzABQZxb&#10;XXGh4LDfvE9B+ICssbZMCh7kYbXsvS0w1bblLd13oRAxhH2KCsoQXCqlz0sy6IfWEUfubBuDIcKm&#10;kLrBNoabWo6SZCINVhwbSnS0Lim/7m5GwemLXbZpZX5+rt3PJZvW37fDUalBv/ucgwjUhX/xnzvT&#10;cf5kPJrB6514g1z+AgAA//8DAFBLAQItABQABgAIAAAAIQDb4fbL7gAAAIUBAAATAAAAAAAAAAAA&#10;AAAAAAAAAABbQ29udGVudF9UeXBlc10ueG1sUEsBAi0AFAAGAAgAAAAhAFr0LFu/AAAAFQEAAAsA&#10;AAAAAAAAAAAAAAAAHwEAAF9yZWxzLy5yZWxzUEsBAi0AFAAGAAgAAAAhAOA6VofEAAAA3gAAAA8A&#10;AAAAAAAAAAAAAAAABwIAAGRycy9kb3ducmV2LnhtbFBLBQYAAAAAAwADALcAAAD4AgAAAAA=&#10;" filled="f" stroked="f">
                  <v:textbox inset="0,0,0,0">
                    <w:txbxContent>
                      <w:p w14:paraId="1F4C7A46" w14:textId="77777777" w:rsidR="00B32EF2" w:rsidRDefault="00000000">
                        <w:r>
                          <w:rPr>
                            <w:rFonts w:ascii="Arial" w:eastAsia="Arial" w:hAnsi="Arial" w:cs="Arial"/>
                            <w:b/>
                            <w:sz w:val="18"/>
                          </w:rPr>
                          <w:t xml:space="preserve">Sospensione del processo </w:t>
                        </w:r>
                      </w:p>
                    </w:txbxContent>
                  </v:textbox>
                </v:rect>
                <v:rect id="Rectangle 200349" o:spid="_x0000_s2670" style="position:absolute;left:26112;top:3526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7BWxwAAAN8AAAAPAAAAZHJzL2Rvd25yZXYueG1sRI9Ba8JA&#10;FITvgv9heYI33VhL0egqYpHm0ItWweMj+0yi2bdLdjVpf31XKPQ4zMw3zHLdmVo8qPGVZQWTcQKC&#10;OLe64kLB8Ws3moHwAVljbZkUfJOH9arfW2Kqbct7ehxCISKEfYoKyhBcKqXPSzLox9YRR+9iG4Mh&#10;yqaQusE2wk0tX5LkTRqsOC6U6GhbUn473I2C8zu7bNfK/PKzdZ/XbFZ/3I8npYaDbrMAEagL/+G/&#10;dqYVROL0dQ7PP/ELyNUvAAAA//8DAFBLAQItABQABgAIAAAAIQDb4fbL7gAAAIUBAAATAAAAAAAA&#10;AAAAAAAAAAAAAABbQ29udGVudF9UeXBlc10ueG1sUEsBAi0AFAAGAAgAAAAhAFr0LFu/AAAAFQEA&#10;AAsAAAAAAAAAAAAAAAAAHwEAAF9yZWxzLy5yZWxzUEsBAi0AFAAGAAgAAAAhAIMbsFbHAAAA3wAA&#10;AA8AAAAAAAAAAAAAAAAABwIAAGRycy9kb3ducmV2LnhtbFBLBQYAAAAAAwADALcAAAD7AgAAAAA=&#10;" filled="f" stroked="f">
                  <v:textbox inset="0,0,0,0">
                    <w:txbxContent>
                      <w:p w14:paraId="7363C9BE" w14:textId="77777777" w:rsidR="00B32EF2" w:rsidRDefault="00000000">
                        <w:r>
                          <w:rPr>
                            <w:rFonts w:ascii="Arial" w:eastAsia="Arial" w:hAnsi="Arial" w:cs="Arial"/>
                            <w:sz w:val="18"/>
                          </w:rPr>
                          <w:t>1</w:t>
                        </w:r>
                      </w:p>
                    </w:txbxContent>
                  </v:textbox>
                </v:rect>
                <v:rect id="Rectangle 200354" o:spid="_x0000_s2671" style="position:absolute;left:-13762;top:3526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4kVxwAAAN8AAAAPAAAAZHJzL2Rvd25yZXYueG1sRI9PawIx&#10;FMTvBb9DeIK3btZaRbZGEYu4h15qFXp8bN7+aTcvYRPdtZ++KQg9DjPzG2a1GUwrrtT5xrKCaZKC&#10;IC6sbrhScPrYPy5B+ICssbVMCm7kYbMePaww07bnd7oeQyUihH2GCuoQXCalL2oy6BPriKNX2s5g&#10;iLKrpO6wj3DTyqc0XUiDDceFGh3taiq+jxej4POVXb7vZVH+7NzbV75sD5fTWanJeNi+gAg0hP/w&#10;vZ1rBZE4mz/D35/4BeT6FwAA//8DAFBLAQItABQABgAIAAAAIQDb4fbL7gAAAIUBAAATAAAAAAAA&#10;AAAAAAAAAAAAAABbQ29udGVudF9UeXBlc10ueG1sUEsBAi0AFAAGAAgAAAAhAFr0LFu/AAAAFQEA&#10;AAsAAAAAAAAAAAAAAAAAHwEAAF9yZWxzLy5yZWxzUEsBAi0AFAAGAAgAAAAhAOjDiRXHAAAA3wAA&#10;AA8AAAAAAAAAAAAAAAAABwIAAGRycy9kb3ducmV2LnhtbFBLBQYAAAAAAwADALcAAAD7AgAAAAA=&#10;" filled="f" stroked="f">
                  <v:textbox inset="0,0,0,0">
                    <w:txbxContent>
                      <w:p w14:paraId="5BE313F0" w14:textId="77777777" w:rsidR="00B32EF2" w:rsidRDefault="00000000">
                        <w:r>
                          <w:rPr>
                            <w:rFonts w:ascii="Arial" w:eastAsia="Arial" w:hAnsi="Arial" w:cs="Arial"/>
                            <w:sz w:val="18"/>
                          </w:rPr>
                          <w:t xml:space="preserve">. Il processo è sospeso quando è presentata querela di falso o deve essere </w:t>
                        </w:r>
                      </w:p>
                    </w:txbxContent>
                  </v:textbox>
                </v:rect>
                <v:rect id="Rectangle 16531" o:spid="_x0000_s2672" style="position:absolute;left:-12182;top:34028;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cxcxAAAAN4AAAAPAAAAZHJzL2Rvd25yZXYueG1sRE9Li8Iw&#10;EL4v7H8Is+BtTVVWpBplcRF72Isv8Dg0Y1ttJqGJtvrrzcKCt/n4njNbdKYWN2p8ZVnBoJ+AIM6t&#10;rrhQsN+tPicgfEDWWFsmBXfysJi/v80w1bblDd22oRAxhH2KCsoQXCqlz0sy6PvWEUfuZBuDIcKm&#10;kLrBNoabWg6TZCwNVhwbSnS0LCm/bK9GwfGHXbZqZX56LN3vOZvU6+v+oFTvo/ueggjUhZf4353p&#10;OH/8NRrA3zvxBjl/AgAA//8DAFBLAQItABQABgAIAAAAIQDb4fbL7gAAAIUBAAATAAAAAAAAAAAA&#10;AAAAAAAAAABbQ29udGVudF9UeXBlc10ueG1sUEsBAi0AFAAGAAgAAAAhAFr0LFu/AAAAFQEAAAsA&#10;AAAAAAAAAAAAAAAAHwEAAF9yZWxzLy5yZWxzUEsBAi0AFAAGAAgAAAAhAJuVzFzEAAAA3gAAAA8A&#10;AAAAAAAAAAAAAAAABwIAAGRycy9kb3ducmV2LnhtbFBLBQYAAAAAAwADALcAAAD4AgAAAAA=&#10;" filled="f" stroked="f">
                  <v:textbox inset="0,0,0,0">
                    <w:txbxContent>
                      <w:p w14:paraId="34797B30" w14:textId="77777777" w:rsidR="00B32EF2" w:rsidRDefault="00000000">
                        <w:r>
                          <w:rPr>
                            <w:rFonts w:ascii="Arial" w:eastAsia="Arial" w:hAnsi="Arial" w:cs="Arial"/>
                            <w:sz w:val="18"/>
                          </w:rPr>
                          <w:t>decisa in via pregiudiziale una questione sullo stato o la capacità delle perso</w:t>
                        </w:r>
                      </w:p>
                    </w:txbxContent>
                  </v:textbox>
                </v:rect>
                <v:rect id="Rectangle 16532" o:spid="_x0000_s2673" style="position:absolute;left:194;top:3402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1IrxAAAAN4AAAAPAAAAZHJzL2Rvd25yZXYueG1sRE9Ni8Iw&#10;EL0L/ocwgjdNVVakaxRRxB72sq4Lexyasa02k9BEW/31m4UFb/N4n7Ncd6YWd2p8ZVnBZJyAIM6t&#10;rrhQcPrajxYgfEDWWFsmBQ/ysF71e0tMtW35k+7HUIgYwj5FBWUILpXS5yUZ9GPriCN3to3BEGFT&#10;SN1gG8NNLadJMpcGK44NJTralpRfjzej4GfHLtu3Mj8/t+7jki3qw+30rdRw0G3eQQTqwkv87850&#10;nD9/m03h7514g1z9AgAA//8DAFBLAQItABQABgAIAAAAIQDb4fbL7gAAAIUBAAATAAAAAAAAAAAA&#10;AAAAAAAAAABbQ29udGVudF9UeXBlc10ueG1sUEsBAi0AFAAGAAgAAAAhAFr0LFu/AAAAFQEAAAsA&#10;AAAAAAAAAAAAAAAAHwEAAF9yZWxzLy5yZWxzUEsBAi0AFAAGAAgAAAAhAGtHUivEAAAA3gAAAA8A&#10;AAAAAAAAAAAAAAAABwIAAGRycy9kb3ducmV2LnhtbFBLBQYAAAAAAwADALcAAAD4AgAAAAA=&#10;" filled="f" stroked="f">
                  <v:textbox inset="0,0,0,0">
                    <w:txbxContent>
                      <w:p w14:paraId="1088C61E" w14:textId="77777777" w:rsidR="00B32EF2" w:rsidRDefault="00000000">
                        <w:r>
                          <w:rPr>
                            <w:rFonts w:ascii="Arial" w:eastAsia="Arial" w:hAnsi="Arial" w:cs="Arial"/>
                            <w:sz w:val="18"/>
                          </w:rPr>
                          <w:t>-</w:t>
                        </w:r>
                      </w:p>
                    </w:txbxContent>
                  </v:textbox>
                </v:rect>
                <v:rect id="Rectangle 16533" o:spid="_x0000_s2674" style="position:absolute;left:2920;top:32794;width:370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ewxAAAAN4AAAAPAAAAZHJzL2Rvd25yZXYueG1sRE9Ni8Iw&#10;EL0L/ocwgjdNVVakaxRRxB72sq4Lexyasa02k9BEW/31m4UFb/N4n7Ncd6YWd2p8ZVnBZJyAIM6t&#10;rrhQcPrajxYgfEDWWFsmBQ/ysF71e0tMtW35k+7HUIgYwj5FBWUILpXS5yUZ9GPriCN3to3BEGFT&#10;SN1gG8NNLadJMpcGK44NJTralpRfjzej4GfHLtu3Mj8/t+7jki3qw+30rdRw0G3eQQTqwkv87850&#10;nD9/m83g7514g1z9AgAA//8DAFBLAQItABQABgAIAAAAIQDb4fbL7gAAAIUBAAATAAAAAAAAAAAA&#10;AAAAAAAAAABbQ29udGVudF9UeXBlc10ueG1sUEsBAi0AFAAGAAgAAAAhAFr0LFu/AAAAFQEAAAsA&#10;AAAAAAAAAAAAAAAAHwEAAF9yZWxzLy5yZWxzUEsBAi0AFAAGAAgAAAAhAAQL97DEAAAA3gAAAA8A&#10;AAAAAAAAAAAAAAAABwIAAGRycy9kb3ducmV2LnhtbFBLBQYAAAAAAwADALcAAAD4AgAAAAA=&#10;" filled="f" stroked="f">
                  <v:textbox inset="0,0,0,0">
                    <w:txbxContent>
                      <w:p w14:paraId="2FEA16EF" w14:textId="77777777" w:rsidR="00B32EF2" w:rsidRDefault="00000000">
                        <w:r>
                          <w:rPr>
                            <w:rFonts w:ascii="Arial" w:eastAsia="Arial" w:hAnsi="Arial" w:cs="Arial"/>
                            <w:sz w:val="18"/>
                          </w:rPr>
                          <w:t>ne, salvo che si tratti della capacità di stare in giudizio.</w:t>
                        </w:r>
                      </w:p>
                    </w:txbxContent>
                  </v:textbox>
                </v:rect>
                <v:rect id="Rectangle 200340" o:spid="_x0000_s2675" style="position:absolute;left:26350;top:31561;width:521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RnLxwAAAN8AAAAPAAAAZHJzL2Rvd25yZXYueG1sRI9Ba8JA&#10;EIXvhf6HZQre6sZWiqSuIhZpDr1oLfQ4ZMckmp1dsquJ/fXOQehxePO+xzdfDq5VF+pi49nAZJyB&#10;Ii69bbgysP/ePM9AxYRssfVMBq4UYbl4fJhjbn3PW7rsUqUEwjFHA3VKIdc6ljU5jGMfiCU7+M5h&#10;krOrtO2wF7hr9UuWvWmHDctCjYHWNZWn3dkZ+P3gUGx6XR7+1uHrWMzaz/P+x5jR07B6B5VoSP/P&#10;93ZhDQjxdSoG4iMuoBc3AAAA//8DAFBLAQItABQABgAIAAAAIQDb4fbL7gAAAIUBAAATAAAAAAAA&#10;AAAAAAAAAAAAAABbQ29udGVudF9UeXBlc10ueG1sUEsBAi0AFAAGAAgAAAAhAFr0LFu/AAAAFQEA&#10;AAsAAAAAAAAAAAAAAAAAHwEAAF9yZWxzLy5yZWxzUEsBAi0AFAAGAAgAAAAhABIhGcvHAAAA3wAA&#10;AA8AAAAAAAAAAAAAAAAABwIAAGRycy9kb3ducmV2LnhtbFBLBQYAAAAAAwADALcAAAD7AgAAAAA=&#10;" filled="f" stroked="f">
                  <v:textbox inset="0,0,0,0">
                    <w:txbxContent>
                      <w:p w14:paraId="0C959BEA" w14:textId="77777777" w:rsidR="00B32EF2" w:rsidRDefault="00000000">
                        <w:r>
                          <w:rPr>
                            <w:rFonts w:ascii="Arial" w:eastAsia="Arial" w:hAnsi="Arial" w:cs="Arial"/>
                            <w:sz w:val="18"/>
                          </w:rPr>
                          <w:t>2</w:t>
                        </w:r>
                      </w:p>
                    </w:txbxContent>
                  </v:textbox>
                </v:rect>
                <v:rect id="Rectangle 200342" o:spid="_x0000_s2676" style="position:absolute;left:-12849;top:31561;width:521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yInxwAAAN8AAAAPAAAAZHJzL2Rvd25yZXYueG1sRI9Pa8JA&#10;FMTvhX6H5RV6q5tqEUndSLGIOXhRU+jxkX3502bfLtnVpH76riB4HGbmN8xyNZpOnKn3rWUFr5ME&#10;BHFpdcu1guK4eVmA8AFZY2eZFPyRh1X2+LDEVNuB93Q+hFpECPsUFTQhuFRKXzZk0E+sI45eZXuD&#10;Icq+lrrHIcJNJ6dJMpcGW44LDTpaN1T+Hk5Gwfcnu3wzyLK6rN3uJ19021PxpdTz0/jxDiLQGO7h&#10;WzvXCiJx9jaF65/4BWT2DwAA//8DAFBLAQItABQABgAIAAAAIQDb4fbL7gAAAIUBAAATAAAAAAAA&#10;AAAAAAAAAAAAAABbQ29udGVudF9UeXBlc10ueG1sUEsBAi0AFAAGAAgAAAAhAFr0LFu/AAAAFQEA&#10;AAsAAAAAAAAAAAAAAAAAHwEAAF9yZWxzLy5yZWxzUEsBAi0AFAAGAAgAAAAhAI2/IifHAAAA3wAA&#10;AA8AAAAAAAAAAAAAAAAABwIAAGRycy9kb3ducmV2LnhtbFBLBQYAAAAAAwADALcAAAD7AgAAAAA=&#10;" filled="f" stroked="f">
                  <v:textbox inset="0,0,0,0">
                    <w:txbxContent>
                      <w:p w14:paraId="0A3B4775" w14:textId="77777777" w:rsidR="00B32EF2" w:rsidRDefault="00000000">
                        <w:r>
                          <w:rPr>
                            <w:rFonts w:ascii="Arial" w:eastAsia="Arial" w:hAnsi="Arial" w:cs="Arial"/>
                            <w:sz w:val="18"/>
                          </w:rPr>
                          <w:t>. La corte di giustizia tributaria di primo e secondo grado dispone la sospen</w:t>
                        </w:r>
                      </w:p>
                    </w:txbxContent>
                  </v:textbox>
                </v:rect>
                <v:rect id="Rectangle 16535" o:spid="_x0000_s2677" style="position:absolute;left:194;top:3156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spfxAAAAN4AAAAPAAAAZHJzL2Rvd25yZXYueG1sRE9Ni8Iw&#10;EL0L/ocwgjdNdVGkaxRRZHvwsq4Lexyasa02k9BEW/31m4UFb/N4n7Ncd6YWd2p8ZVnBZJyAIM6t&#10;rrhQcPrajxYgfEDWWFsmBQ/ysF71e0tMtW35k+7HUIgYwj5FBWUILpXS5yUZ9GPriCN3to3BEGFT&#10;SN1gG8NNLadJMpcGK44NJTralpRfjzej4GfHLtu3Mj8/t+5wyRb1x+30rdRw0G3eQQTqwkv87850&#10;nD+fvc3g7514g1z9AgAA//8DAFBLAQItABQABgAIAAAAIQDb4fbL7gAAAIUBAAATAAAAAAAAAAAA&#10;AAAAAAAAAABbQ29udGVudF9UeXBlc10ueG1sUEsBAi0AFAAGAAgAAAAhAFr0LFu/AAAAFQEAAAsA&#10;AAAAAAAAAAAAAAAAHwEAAF9yZWxzLy5yZWxzUEsBAi0AFAAGAAgAAAAhAOSuyl/EAAAA3gAAAA8A&#10;AAAAAAAAAAAAAAAABwIAAGRycy9kb3ducmV2LnhtbFBLBQYAAAAAAwADALcAAAD4AgAAAAA=&#10;" filled="f" stroked="f">
                  <v:textbox inset="0,0,0,0">
                    <w:txbxContent>
                      <w:p w14:paraId="38FF24AC" w14:textId="77777777" w:rsidR="00B32EF2" w:rsidRDefault="00000000">
                        <w:r>
                          <w:rPr>
                            <w:rFonts w:ascii="Arial" w:eastAsia="Arial" w:hAnsi="Arial" w:cs="Arial"/>
                            <w:sz w:val="18"/>
                          </w:rPr>
                          <w:t>-</w:t>
                        </w:r>
                      </w:p>
                    </w:txbxContent>
                  </v:textbox>
                </v:rect>
                <v:rect id="Rectangle 16536" o:spid="_x0000_s2678" style="position:absolute;left:-13170;top:3032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FQoxQAAAN4AAAAPAAAAZHJzL2Rvd25yZXYueG1sRE9La8JA&#10;EL4X+h+WEbzVjYpBUlcpFjEHLz4KPQ7ZMUmbnV2yq4n+erdQ8DYf33MWq9404kqtry0rGI8SEMSF&#10;1TWXCk7HzdschA/IGhvLpOBGHlbL15cFZtp2vKfrIZQihrDPUEEVgsuk9EVFBv3IOuLInW1rMETY&#10;llK32MVw08hJkqTSYM2xoUJH64qK38PFKPj+ZJdvOlmc72u3+8nnzfZy+lJqOOg/3kEE6sNT/O/O&#10;dZyfzqYp/L0Tb5DLBwAAAP//AwBQSwECLQAUAAYACAAAACEA2+H2y+4AAACFAQAAEwAAAAAAAAAA&#10;AAAAAAAAAAAAW0NvbnRlbnRfVHlwZXNdLnhtbFBLAQItABQABgAIAAAAIQBa9CxbvwAAABUBAAAL&#10;AAAAAAAAAAAAAAAAAB8BAABfcmVscy8ucmVsc1BLAQItABQABgAIAAAAIQAUfFQoxQAAAN4AAAAP&#10;AAAAAAAAAAAAAAAAAAcCAABkcnMvZG93bnJldi54bWxQSwUGAAAAAAMAAwC3AAAA+QIAAAAA&#10;" filled="f" stroked="f">
                  <v:textbox inset="0,0,0,0">
                    <w:txbxContent>
                      <w:p w14:paraId="2D360C6C" w14:textId="77777777" w:rsidR="00B32EF2" w:rsidRDefault="00000000">
                        <w:r>
                          <w:rPr>
                            <w:rFonts w:ascii="Arial" w:eastAsia="Arial" w:hAnsi="Arial" w:cs="Arial"/>
                            <w:sz w:val="18"/>
                          </w:rPr>
                          <w:t xml:space="preserve">sione del processo in ogni altro caso in cui essa stessa o altra corte di giustizia </w:t>
                        </w:r>
                      </w:p>
                    </w:txbxContent>
                  </v:textbox>
                </v:rect>
                <v:rect id="Rectangle 16537" o:spid="_x0000_s2679" style="position:absolute;left:-13170;top:29095;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PGzxQAAAN4AAAAPAAAAZHJzL2Rvd25yZXYueG1sRE9La8JA&#10;EL4L/odlBG+6aYsPoqsUi5hDL/UBHofsmMRmZ5fsamJ/fbdQ8DYf33OW687U4k6NrywreBknIIhz&#10;qysuFBwP29EchA/IGmvLpOBBHtarfm+JqbYtf9F9HwoRQ9inqKAMwaVS+rwkg35sHXHkLrYxGCJs&#10;CqkbbGO4qeVrkkylwYpjQ4mONiXl3/ubUXD+YJdtW5lffjbu85rN693teFJqOOjeFyACdeEp/ndn&#10;Os6fTt5m8PdOvEGufgEAAP//AwBQSwECLQAUAAYACAAAACEA2+H2y+4AAACFAQAAEwAAAAAAAAAA&#10;AAAAAAAAAAAAW0NvbnRlbnRfVHlwZXNdLnhtbFBLAQItABQABgAIAAAAIQBa9CxbvwAAABUBAAAL&#10;AAAAAAAAAAAAAAAAAB8BAABfcmVscy8ucmVsc1BLAQItABQABgAIAAAAIQB7MPGzxQAAAN4AAAAP&#10;AAAAAAAAAAAAAAAAAAcCAABkcnMvZG93bnJldi54bWxQSwUGAAAAAAMAAwC3AAAA+QIAAAAA&#10;" filled="f" stroked="f">
                  <v:textbox inset="0,0,0,0">
                    <w:txbxContent>
                      <w:p w14:paraId="1B2C9EE2" w14:textId="77777777" w:rsidR="00B32EF2" w:rsidRDefault="00000000">
                        <w:r>
                          <w:rPr>
                            <w:rFonts w:ascii="Arial" w:eastAsia="Arial" w:hAnsi="Arial" w:cs="Arial"/>
                            <w:sz w:val="18"/>
                          </w:rPr>
                          <w:t xml:space="preserve">tributaria di primo e secondo grado deve risolvere una controversia dalla cui </w:t>
                        </w:r>
                      </w:p>
                    </w:txbxContent>
                  </v:textbox>
                </v:rect>
                <v:rect id="Rectangle 16538" o:spid="_x0000_s2680" style="position:absolute;left:8619;top:27861;width:313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2XByAAAAN4AAAAPAAAAZHJzL2Rvd25yZXYueG1sRI9Pa8JA&#10;EMXvQr/DMoXedFOLIqmrFIuYgxf/FHocsmOSNju7ZFeT9tM7h0JvM7w37/1muR5cq27UxcazgedJ&#10;Boq49LbhysD5tB0vQMWEbLH1TAZ+KMJ69TBaYm59zwe6HVOlJIRjjgbqlEKudSxrchgnPhCLdvGd&#10;wyRrV2nbYS/hrtXTLJtrhw1LQ42BNjWV38erM/D5zqHY9rq8/G7C/qtYtLvr+cOYp8fh7RVUoiH9&#10;m/+uCyv489mL8Mo7MoNe3QEAAP//AwBQSwECLQAUAAYACAAAACEA2+H2y+4AAACFAQAAEwAAAAAA&#10;AAAAAAAAAAAAAAAAW0NvbnRlbnRfVHlwZXNdLnhtbFBLAQItABQABgAIAAAAIQBa9CxbvwAAABUB&#10;AAALAAAAAAAAAAAAAAAAAB8BAABfcmVscy8ucmVsc1BLAQItABQABgAIAAAAIQAKr2XByAAAAN4A&#10;AAAPAAAAAAAAAAAAAAAAAAcCAABkcnMvZG93bnJldi54bWxQSwUGAAAAAAMAAwC3AAAA/AIAAAAA&#10;" filled="f" stroked="f">
                  <v:textbox inset="0,0,0,0">
                    <w:txbxContent>
                      <w:p w14:paraId="0F10859F" w14:textId="77777777" w:rsidR="00B32EF2" w:rsidRDefault="00000000">
                        <w:r>
                          <w:rPr>
                            <w:rFonts w:ascii="Arial" w:eastAsia="Arial" w:hAnsi="Arial" w:cs="Arial"/>
                            <w:sz w:val="18"/>
                          </w:rPr>
                          <w:t xml:space="preserve">definizione dipende la decisione della causa.  </w:t>
                        </w:r>
                      </w:p>
                    </w:txbxContent>
                  </v:textbox>
                </v:rect>
                <v:rect id="Rectangle 200336" o:spid="_x0000_s2681" style="position:absolute;left:-1148;top:26628;width:404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ldZxwAAAN8AAAAPAAAAZHJzL2Rvd25yZXYueG1sRI9Ba8JA&#10;FITvBf/D8gRvdWOFIKmrlEhoDr1ULfT4yD6TtNm3S3ZNYn99t1DwOMzMN8x2P5lODNT71rKC1TIB&#10;QVxZ3XKt4HwqHjcgfEDW2FkmBTfysN/NHraYaTvyOw3HUIsIYZ+hgiYEl0npq4YM+qV1xNG72N5g&#10;iLKvpe5xjHDTyackSaXBluNCg47yhqrv49Uo+DywK4tRVpef3L19lZvu9Xr+UGoxn16eQQSawj38&#10;3y61gkhcr1P4+xO/gNz9AgAA//8DAFBLAQItABQABgAIAAAAIQDb4fbL7gAAAIUBAAATAAAAAAAA&#10;AAAAAAAAAAAAAABbQ29udGVudF9UeXBlc10ueG1sUEsBAi0AFAAGAAgAAAAhAFr0LFu/AAAAFQEA&#10;AAsAAAAAAAAAAAAAAAAAHwEAAF9yZWxzLy5yZWxzUEsBAi0AFAAGAAgAAAAhAKqCV1nHAAAA3wAA&#10;AA8AAAAAAAAAAAAAAAAABwIAAGRycy9kb3ducmV2LnhtbFBLBQYAAAAAAwADALcAAAD7AgAAAAA=&#10;" filled="f" stroked="f">
                  <v:textbox inset="0,0,0,0">
                    <w:txbxContent>
                      <w:p w14:paraId="22CB2223" w14:textId="77777777" w:rsidR="00B32EF2" w:rsidRDefault="00000000">
                        <w:r>
                          <w:rPr>
                            <w:rFonts w:ascii="Arial" w:eastAsia="Arial" w:hAnsi="Arial" w:cs="Arial"/>
                            <w:sz w:val="18"/>
                          </w:rPr>
                          <w:t xml:space="preserve">. Il processo tributario è altresì sospeso nei seguenti casi: </w:t>
                        </w:r>
                      </w:p>
                    </w:txbxContent>
                  </v:textbox>
                </v:rect>
                <v:rect id="Rectangle 200335" o:spid="_x0000_s2682" style="position:absolute;left:29255;top:26628;width:404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MkuxgAAAN8AAAAPAAAAZHJzL2Rvd25yZXYueG1sRI9Ba8JA&#10;FITvQv/D8gredFNFkegqYhFz6EVrocdH9plEs2+X7Gpif70rCD0OM/MNs1h1phY3anxlWcHHMAFB&#10;nFtdcaHg+L0dzED4gKyxtkwK7uRhtXzrLTDVtuU93Q6hEBHCPkUFZQguldLnJRn0Q+uIo3eyjcEQ&#10;ZVNI3WAb4aaWoySZSoMVx4USHW1Kyi+Hq1Hw+8ku27YyP/1t3Nc5m9W76/FHqf57t56DCNSF//Cr&#10;nWkFkTgeT+D5J34BuXwAAAD//wMAUEsBAi0AFAAGAAgAAAAhANvh9svuAAAAhQEAABMAAAAAAAAA&#10;AAAAAAAAAAAAAFtDb250ZW50X1R5cGVzXS54bWxQSwECLQAUAAYACAAAACEAWvQsW78AAAAVAQAA&#10;CwAAAAAAAAAAAAAAAAAfAQAAX3JlbHMvLnJlbHNQSwECLQAUAAYACAAAACEAWlDJLsYAAADfAAAA&#10;DwAAAAAAAAAAAAAAAAAHAgAAZHJzL2Rvd25yZXYueG1sUEsFBgAAAAADAAMAtwAAAPoCAAAAAA==&#10;" filled="f" stroked="f">
                  <v:textbox inset="0,0,0,0">
                    <w:txbxContent>
                      <w:p w14:paraId="4704ECF5" w14:textId="77777777" w:rsidR="00B32EF2" w:rsidRDefault="00000000">
                        <w:r>
                          <w:rPr>
                            <w:rFonts w:ascii="Arial" w:eastAsia="Arial" w:hAnsi="Arial" w:cs="Arial"/>
                            <w:sz w:val="18"/>
                          </w:rPr>
                          <w:t>3</w:t>
                        </w:r>
                      </w:p>
                    </w:txbxContent>
                  </v:textbox>
                </v:rect>
                <v:rect id="Rectangle 16540" o:spid="_x0000_s2683" style="position:absolute;left:-12203;top:25395;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xq6yAAAAN4AAAAPAAAAZHJzL2Rvd25yZXYueG1sRI9Pa8JA&#10;EMXvQr/DMoXedFOpIqmrFIuYgxf/FHocsmOSNju7ZFeT9tM7h0JvM8yb995vuR5cq27UxcazgedJ&#10;Boq49LbhysD5tB0vQMWEbLH1TAZ+KMJ69TBaYm59zwe6HVOlxIRjjgbqlEKudSxrchgnPhDL7eI7&#10;h0nWrtK2w17MXaunWTbXDhuWhBoDbWoqv49XZ+DznUOx7XV5+d2E/VexaHfX84cxT4/D2yuoREP6&#10;F/99F1bqz2cvAiA4MoNe3QEAAP//AwBQSwECLQAUAAYACAAAACEA2+H2y+4AAACFAQAAEwAAAAAA&#10;AAAAAAAAAAAAAAAAW0NvbnRlbnRfVHlwZXNdLnhtbFBLAQItABQABgAIAAAAIQBa9CxbvwAAABUB&#10;AAALAAAAAAAAAAAAAAAAAB8BAABfcmVscy8ucmVsc1BLAQItABQABgAIAAAAIQCs3xq6yAAAAN4A&#10;AAAPAAAAAAAAAAAAAAAAAAcCAABkcnMvZG93bnJldi54bWxQSwUGAAAAAAMAAwC3AAAA/AIAAAAA&#10;" filled="f" stroked="f">
                  <v:textbox inset="0,0,0,0">
                    <w:txbxContent>
                      <w:p w14:paraId="50E9E92A" w14:textId="77777777" w:rsidR="00B32EF2" w:rsidRDefault="00000000">
                        <w:r>
                          <w:rPr>
                            <w:rFonts w:ascii="Arial" w:eastAsia="Arial" w:hAnsi="Arial" w:cs="Arial"/>
                            <w:sz w:val="18"/>
                          </w:rPr>
                          <w:t>a) su richiesta conforme delle parti, nel caso in cui sia stata presentata un’i</w:t>
                        </w:r>
                      </w:p>
                    </w:txbxContent>
                  </v:textbox>
                </v:rect>
                <v:rect id="Rectangle 16541" o:spid="_x0000_s2684" style="position:absolute;left:194;top:2539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78hxAAAAN4AAAAPAAAAZHJzL2Rvd25yZXYueG1sRE9Li8Iw&#10;EL4v7H8Is+BtTRVXpBplcRF72Isv8Dg0Y1ttJqGJtvrrzcKCt/n4njNbdKYWN2p8ZVnBoJ+AIM6t&#10;rrhQsN+tPicgfEDWWFsmBXfysJi/v80w1bblDd22oRAxhH2KCsoQXCqlz0sy6PvWEUfuZBuDIcKm&#10;kLrBNoabWg6TZCwNVhwbSnS0LCm/bK9GwfGHXbZqZX56LN3vOZvU6+v+oFTvo/ueggjUhZf4353p&#10;OH/8NRrA3zvxBjl/AgAA//8DAFBLAQItABQABgAIAAAAIQDb4fbL7gAAAIUBAAATAAAAAAAAAAAA&#10;AAAAAAAAAABbQ29udGVudF9UeXBlc10ueG1sUEsBAi0AFAAGAAgAAAAhAFr0LFu/AAAAFQEAAAsA&#10;AAAAAAAAAAAAAAAAHwEAAF9yZWxzLy5yZWxzUEsBAi0AFAAGAAgAAAAhAMOTvyHEAAAA3gAAAA8A&#10;AAAAAAAAAAAAAAAABwIAAGRycy9kb3ducmV2LnhtbFBLBQYAAAAAAwADALcAAAD4AgAAAAA=&#10;" filled="f" stroked="f">
                  <v:textbox inset="0,0,0,0">
                    <w:txbxContent>
                      <w:p w14:paraId="5B29B07B" w14:textId="77777777" w:rsidR="00B32EF2" w:rsidRDefault="00000000">
                        <w:r>
                          <w:rPr>
                            <w:rFonts w:ascii="Arial" w:eastAsia="Arial" w:hAnsi="Arial" w:cs="Arial"/>
                            <w:sz w:val="18"/>
                          </w:rPr>
                          <w:t>-</w:t>
                        </w:r>
                      </w:p>
                    </w:txbxContent>
                  </v:textbox>
                </v:rect>
                <v:rect id="Rectangle 16542" o:spid="_x0000_s2685" style="position:absolute;left:-12195;top:24161;width:520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SFWxAAAAN4AAAAPAAAAZHJzL2Rvd25yZXYueG1sRE9Ni8Iw&#10;EL0L/ocwgjdNFVekaxRRxB72sq4Lexyasa02k9BEW/31m4UFb/N4n7Ncd6YWd2p8ZVnBZJyAIM6t&#10;rrhQcPrajxYgfEDWWFsmBQ/ysF71e0tMtW35k+7HUIgYwj5FBWUILpXS5yUZ9GPriCN3to3BEGFT&#10;SN1gG8NNLadJMpcGK44NJTralpRfjzej4GfHLtu3Mj8/t+7jki3qw+30rdRw0G3eQQTqwkv87850&#10;nD9/m03h7514g1z9AgAA//8DAFBLAQItABQABgAIAAAAIQDb4fbL7gAAAIUBAAATAAAAAAAAAAAA&#10;AAAAAAAAAABbQ29udGVudF9UeXBlc10ueG1sUEsBAi0AFAAGAAgAAAAhAFr0LFu/AAAAFQEAAAsA&#10;AAAAAAAAAAAAAAAAHwEAAF9yZWxzLy5yZWxzUEsBAi0AFAAGAAgAAAAhADNBIVbEAAAA3gAAAA8A&#10;AAAAAAAAAAAAAAAABwIAAGRycy9kb3ducmV2LnhtbFBLBQYAAAAAAwADALcAAAD4AgAAAAA=&#10;" filled="f" stroked="f">
                  <v:textbox inset="0,0,0,0">
                    <w:txbxContent>
                      <w:p w14:paraId="47D8BBD2" w14:textId="77777777" w:rsidR="00B32EF2" w:rsidRDefault="00000000">
                        <w:r>
                          <w:rPr>
                            <w:rFonts w:ascii="Arial" w:eastAsia="Arial" w:hAnsi="Arial" w:cs="Arial"/>
                            <w:sz w:val="18"/>
                          </w:rPr>
                          <w:t>stanza di apertura di procedura amichevole ai sensi degli Accordi e delle Con</w:t>
                        </w:r>
                      </w:p>
                    </w:txbxContent>
                  </v:textbox>
                </v:rect>
                <v:rect id="Rectangle 16543" o:spid="_x0000_s2686" style="position:absolute;left:194;top:2416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YTNxQAAAN4AAAAPAAAAZHJzL2Rvd25yZXYueG1sRE9La8JA&#10;EL4X/A/LCN7qxlpFoquIRZpDL/UBHofsmESzs0t2NWl/fbcgeJuP7zmLVWdqcafGV5YVjIYJCOLc&#10;6ooLBYf99nUGwgdkjbVlUvBDHlbL3ssCU21b/qb7LhQihrBPUUEZgkul9HlJBv3QOuLInW1jMETY&#10;FFI32MZwU8u3JJlKgxXHhhIdbUrKr7ubUXD6YJdtW5mffzfu65LN6s/b4ajUoN+t5yACdeEpfrgz&#10;HedPJ+9j+H8n3iCXfwAAAP//AwBQSwECLQAUAAYACAAAACEA2+H2y+4AAACFAQAAEwAAAAAAAAAA&#10;AAAAAAAAAAAAW0NvbnRlbnRfVHlwZXNdLnhtbFBLAQItABQABgAIAAAAIQBa9CxbvwAAABUBAAAL&#10;AAAAAAAAAAAAAAAAAB8BAABfcmVscy8ucmVsc1BLAQItABQABgAIAAAAIQBcDYTNxQAAAN4AAAAP&#10;AAAAAAAAAAAAAAAAAAcCAABkcnMvZG93bnJldi54bWxQSwUGAAAAAAMAAwC3AAAA+QIAAAAA&#10;" filled="f" stroked="f">
                  <v:textbox inset="0,0,0,0">
                    <w:txbxContent>
                      <w:p w14:paraId="0054AC5C" w14:textId="77777777" w:rsidR="00B32EF2" w:rsidRDefault="00000000">
                        <w:r>
                          <w:rPr>
                            <w:rFonts w:ascii="Arial" w:eastAsia="Arial" w:hAnsi="Arial" w:cs="Arial"/>
                            <w:sz w:val="18"/>
                          </w:rPr>
                          <w:t>-</w:t>
                        </w:r>
                      </w:p>
                    </w:txbxContent>
                  </v:textbox>
                </v:rect>
                <v:rect id="Rectangle 16544" o:spid="_x0000_s2687" style="position:absolute;left:-13169;top:2292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By5xAAAAN4AAAAPAAAAZHJzL2Rvd25yZXYueG1sRE9Ni8Iw&#10;EL0L/ocwgjdNFVekaxRRxB72sq4Lexyasa02k9BEW/31m4UFb/N4n7Ncd6YWd2p8ZVnBZJyAIM6t&#10;rrhQcPrajxYgfEDWWFsmBQ/ysF71e0tMtW35k+7HUIgYwj5FBWUILpXS5yUZ9GPriCN3to3BEGFT&#10;SN1gG8NNLadJMpcGK44NJTralpRfjzej4GfHLtu3Mj8/t+7jki3qw+30rdRw0G3eQQTqwkv87850&#10;nD9/m83g7514g1z9AgAA//8DAFBLAQItABQABgAIAAAAIQDb4fbL7gAAAIUBAAATAAAAAAAAAAAA&#10;AAAAAAAAAABbQ29udGVudF9UeXBlc10ueG1sUEsBAi0AFAAGAAgAAAAhAFr0LFu/AAAAFQEAAAsA&#10;AAAAAAAAAAAAAAAAHwEAAF9yZWxzLy5yZWxzUEsBAi0AFAAGAAgAAAAhANPkHLnEAAAA3gAAAA8A&#10;AAAAAAAAAAAAAAAABwIAAGRycy9kb3ducmV2LnhtbFBLBQYAAAAAAwADALcAAAD4AgAAAAA=&#10;" filled="f" stroked="f">
                  <v:textbox inset="0,0,0,0">
                    <w:txbxContent>
                      <w:p w14:paraId="7C627914" w14:textId="77777777" w:rsidR="00B32EF2" w:rsidRDefault="00000000">
                        <w:r>
                          <w:rPr>
                            <w:rFonts w:ascii="Arial" w:eastAsia="Arial" w:hAnsi="Arial" w:cs="Arial"/>
                            <w:sz w:val="18"/>
                          </w:rPr>
                          <w:t xml:space="preserve">venzioni internazionali per evitare le doppie imposizioni di cui l’Italia è parte </w:t>
                        </w:r>
                      </w:p>
                    </w:txbxContent>
                  </v:textbox>
                </v:rect>
                <v:rect id="Rectangle 16545" o:spid="_x0000_s2688" style="position:absolute;left:-12184;top:21695;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LkixAAAAN4AAAAPAAAAZHJzL2Rvd25yZXYueG1sRE9Ni8Iw&#10;EL0L/ocwgjdNlVWkaxRRZHvwsq4Lexyasa02k9BEW/31m4UFb/N4n7Ncd6YWd2p8ZVnBZJyAIM6t&#10;rrhQcPrajxYgfEDWWFsmBQ/ysF71e0tMtW35k+7HUIgYwj5FBWUILpXS5yUZ9GPriCN3to3BEGFT&#10;SN1gG8NNLadJMpcGK44NJTralpRfjzej4GfHLtu3Mj8/t+5wyRb1x+30rdRw0G3eQQTqwkv87850&#10;nD+fvc3g7514g1z9AgAA//8DAFBLAQItABQABgAIAAAAIQDb4fbL7gAAAIUBAAATAAAAAAAAAAAA&#10;AAAAAAAAAABbQ29udGVudF9UeXBlc10ueG1sUEsBAi0AFAAGAAgAAAAhAFr0LFu/AAAAFQEAAAsA&#10;AAAAAAAAAAAAAAAAHwEAAF9yZWxzLy5yZWxzUEsBAi0AFAAGAAgAAAAhALyouSLEAAAA3gAAAA8A&#10;AAAAAAAAAAAAAAAABwIAAGRycy9kb3ducmV2LnhtbFBLBQYAAAAAAwADALcAAAD4AgAAAAA=&#10;" filled="f" stroked="f">
                  <v:textbox inset="0,0,0,0">
                    <w:txbxContent>
                      <w:p w14:paraId="711B6C09" w14:textId="77777777" w:rsidR="00B32EF2" w:rsidRDefault="00000000">
                        <w:r>
                          <w:rPr>
                            <w:rFonts w:ascii="Arial" w:eastAsia="Arial" w:hAnsi="Arial" w:cs="Arial"/>
                            <w:sz w:val="18"/>
                          </w:rPr>
                          <w:t>ovvero ai sensi della Convenzione relativa all’eliminazione delle doppie impo</w:t>
                        </w:r>
                      </w:p>
                    </w:txbxContent>
                  </v:textbox>
                </v:rect>
                <v:rect id="Rectangle 16546" o:spid="_x0000_s2689" style="position:absolute;left:194;top:2169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idVxQAAAN4AAAAPAAAAZHJzL2Rvd25yZXYueG1sRE9La8JA&#10;EL4X+h+WEbzVjaJBUlcpFjEHLz4KPQ7ZMUmbnV2yq4n+erdQ8DYf33MWq9404kqtry0rGI8SEMSF&#10;1TWXCk7HzdschA/IGhvLpOBGHlbL15cFZtp2vKfrIZQihrDPUEEVgsuk9EVFBv3IOuLInW1rMETY&#10;llK32MVw08hJkqTSYM2xoUJH64qK38PFKPj+ZJdvOlmc72u3+8nnzfZy+lJqOOg/3kEE6sNT/O/O&#10;dZyfzqYp/L0Tb5DLBwAAAP//AwBQSwECLQAUAAYACAAAACEA2+H2y+4AAACFAQAAEwAAAAAAAAAA&#10;AAAAAAAAAAAAW0NvbnRlbnRfVHlwZXNdLnhtbFBLAQItABQABgAIAAAAIQBa9CxbvwAAABUBAAAL&#10;AAAAAAAAAAAAAAAAAB8BAABfcmVscy8ucmVsc1BLAQItABQABgAIAAAAIQBMeidVxQAAAN4AAAAP&#10;AAAAAAAAAAAAAAAAAAcCAABkcnMvZG93bnJldi54bWxQSwUGAAAAAAMAAwC3AAAA+QIAAAAA&#10;" filled="f" stroked="f">
                  <v:textbox inset="0,0,0,0">
                    <w:txbxContent>
                      <w:p w14:paraId="2D59E81F" w14:textId="77777777" w:rsidR="00B32EF2" w:rsidRDefault="00000000">
                        <w:r>
                          <w:rPr>
                            <w:rFonts w:ascii="Arial" w:eastAsia="Arial" w:hAnsi="Arial" w:cs="Arial"/>
                            <w:sz w:val="18"/>
                          </w:rPr>
                          <w:t>-</w:t>
                        </w:r>
                      </w:p>
                    </w:txbxContent>
                  </v:textbox>
                </v:rect>
                <v:rect id="Rectangle 16547" o:spid="_x0000_s2690" style="position:absolute;left:-8865;top:20461;width:487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oLOxQAAAN4AAAAPAAAAZHJzL2Rvd25yZXYueG1sRE9La8JA&#10;EL4L/odlBG+6aakPoqsUi5hDL/UBHofsmMRmZ5fsamJ/fbdQ8DYf33OW687U4k6NrywreBknIIhz&#10;qysuFBwP29EchA/IGmvLpOBBHtarfm+JqbYtf9F9HwoRQ9inqKAMwaVS+rwkg35sHXHkLrYxGCJs&#10;CqkbbGO4qeVrkkylwYpjQ4mONiXl3/ubUXD+YJdtW5lffjbu85rN693teFJqOOjeFyACdeEp/ndn&#10;Os6fTt5m8PdOvEGufgEAAP//AwBQSwECLQAUAAYACAAAACEA2+H2y+4AAACFAQAAEwAAAAAAAAAA&#10;AAAAAAAAAAAAW0NvbnRlbnRfVHlwZXNdLnhtbFBLAQItABQABgAIAAAAIQBa9CxbvwAAABUBAAAL&#10;AAAAAAAAAAAAAAAAAB8BAABfcmVscy8ucmVsc1BLAQItABQABgAIAAAAIQAjNoLOxQAAAN4AAAAP&#10;AAAAAAAAAAAAAAAAAAcCAABkcnMvZG93bnJldi54bWxQSwUGAAAAAAMAAwC3AAAA+QIAAAAA&#10;" filled="f" stroked="f">
                  <v:textbox inset="0,0,0,0">
                    <w:txbxContent>
                      <w:p w14:paraId="1D222240" w14:textId="77777777" w:rsidR="00B32EF2" w:rsidRDefault="00000000">
                        <w:r>
                          <w:rPr>
                            <w:rFonts w:ascii="Arial" w:eastAsia="Arial" w:hAnsi="Arial" w:cs="Arial"/>
                            <w:sz w:val="18"/>
                          </w:rPr>
                          <w:t xml:space="preserve">sizioni in caso di rettifica degli utili di imprese associate n. 90/436/CEE; </w:t>
                        </w:r>
                      </w:p>
                    </w:txbxContent>
                  </v:textbox>
                </v:rect>
                <v:rect id="Rectangle 16548" o:spid="_x0000_s2691" style="position:absolute;left:-13173;top:19228;width:530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Ra8yAAAAN4AAAAPAAAAZHJzL2Rvd25yZXYueG1sRI9Pa8JA&#10;EMXvQr/DMoXedFOpIqmrFIuYgxf/FHocsmOSNju7ZFeT9tM7h0JvM7w37/1muR5cq27UxcazgedJ&#10;Boq49LbhysD5tB0vQMWEbLH1TAZ+KMJ69TBaYm59zwe6HVOlJIRjjgbqlEKudSxrchgnPhCLdvGd&#10;wyRrV2nbYS/hrtXTLJtrhw1LQ42BNjWV38erM/D5zqHY9rq8/G7C/qtYtLvr+cOYp8fh7RVUoiH9&#10;m/+uCyv489mL8Mo7MoNe3QEAAP//AwBQSwECLQAUAAYACAAAACEA2+H2y+4AAACFAQAAEwAAAAAA&#10;AAAAAAAAAAAAAAAAW0NvbnRlbnRfVHlwZXNdLnhtbFBLAQItABQABgAIAAAAIQBa9CxbvwAAABUB&#10;AAALAAAAAAAAAAAAAAAAAB8BAABfcmVscy8ucmVsc1BLAQItABQABgAIAAAAIQBSqRa8yAAAAN4A&#10;AAAPAAAAAAAAAAAAAAAAAAcCAABkcnMvZG93bnJldi54bWxQSwUGAAAAAAMAAwC3AAAA/AIAAAAA&#10;" filled="f" stroked="f">
                  <v:textbox inset="0,0,0,0">
                    <w:txbxContent>
                      <w:p w14:paraId="32B3FEC7" w14:textId="77777777" w:rsidR="00B32EF2" w:rsidRDefault="00000000">
                        <w:r>
                          <w:rPr>
                            <w:rFonts w:ascii="Arial" w:eastAsia="Arial" w:hAnsi="Arial" w:cs="Arial"/>
                            <w:sz w:val="18"/>
                          </w:rPr>
                          <w:t xml:space="preserve">b) su richiesta del contribuente, nel caso in cui sia stata presentata un’istanza </w:t>
                        </w:r>
                      </w:p>
                    </w:txbxContent>
                  </v:textbox>
                </v:rect>
                <v:rect id="Rectangle 16549" o:spid="_x0000_s2692" style="position:absolute;left:-13170;top:1799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bMnxQAAAN4AAAAPAAAAZHJzL2Rvd25yZXYueG1sRE9Na8JA&#10;EL0X+h+WKXirG0XFRlcRRcyhl1oLPQ7ZMYlmZ5fsaqK/3i0UvM3jfc582ZlaXKnxlWUFg34Cgji3&#10;uuJCweF7+z4F4QOyxtoyKbiRh+Xi9WWOqbYtf9F1HwoRQ9inqKAMwaVS+rwkg75vHXHkjrYxGCJs&#10;CqkbbGO4qeUwSSbSYMWxoURH65Ly8/5iFPxu2GXbVubH+9p9nrJpvbscfpTqvXWrGYhAXXiK/92Z&#10;jvMn49EH/L0Tb5CLBwAAAP//AwBQSwECLQAUAAYACAAAACEA2+H2y+4AAACFAQAAEwAAAAAAAAAA&#10;AAAAAAAAAAAAW0NvbnRlbnRfVHlwZXNdLnhtbFBLAQItABQABgAIAAAAIQBa9CxbvwAAABUBAAAL&#10;AAAAAAAAAAAAAAAAAB8BAABfcmVscy8ucmVsc1BLAQItABQABgAIAAAAIQA95bMnxQAAAN4AAAAP&#10;AAAAAAAAAAAAAAAAAAcCAABkcnMvZG93bnJldi54bWxQSwUGAAAAAAMAAwC3AAAA+QIAAAAA&#10;" filled="f" stroked="f">
                  <v:textbox inset="0,0,0,0">
                    <w:txbxContent>
                      <w:p w14:paraId="00BF6D60" w14:textId="77777777" w:rsidR="00B32EF2" w:rsidRDefault="00000000">
                        <w:r>
                          <w:rPr>
                            <w:rFonts w:ascii="Arial" w:eastAsia="Arial" w:hAnsi="Arial" w:cs="Arial"/>
                            <w:sz w:val="18"/>
                          </w:rPr>
                          <w:t xml:space="preserve">di apertura di procedura amichevole ai sensi della direttiva (UE) 2017/1852 del </w:t>
                        </w:r>
                      </w:p>
                    </w:txbxContent>
                  </v:textbox>
                </v:rect>
                <v:rect id="Rectangle 16550" o:spid="_x0000_s2693" style="position:absolute;left:19792;top:16762;width:2012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oxnxwAAAN4AAAAPAAAAZHJzL2Rvd25yZXYueG1sRI9Pa8JA&#10;EMXvhX6HZQq91U0LiqSuUizSHLz4D3ocsmOSNju7ZFcT/fTOQfA2w7x57/1mi8G16kxdbDwbeB9l&#10;oIhLbxuuDOx3q7cpqJiQLbaeycCFIizmz08zzK3veUPnbaqUmHDM0UCdUsi1jmVNDuPIB2K5HX3n&#10;MMnaVdp22Iu5a/VHlk20w4YlocZAy5rK/+3JGfj95lCsel0er8uw/ium7c9pfzDm9WX4+gSVaEgP&#10;8f27sFJ/Mh4LgODIDHp+AwAA//8DAFBLAQItABQABgAIAAAAIQDb4fbL7gAAAIUBAAATAAAAAAAA&#10;AAAAAAAAAAAAAABbQ29udGVudF9UeXBlc10ueG1sUEsBAi0AFAAGAAgAAAAhAFr0LFu/AAAAFQEA&#10;AAsAAAAAAAAAAAAAAAAAHwEAAF9yZWxzLy5yZWxzUEsBAi0AFAAGAAgAAAAhACkGjGfHAAAA3gAA&#10;AA8AAAAAAAAAAAAAAAAABwIAAGRycy9kb3ducmV2LnhtbFBLBQYAAAAAAwADALcAAAD7AgAAAAA=&#10;" filled="f" stroked="f">
                  <v:textbox inset="0,0,0,0">
                    <w:txbxContent>
                      <w:p w14:paraId="363A1E86" w14:textId="77777777" w:rsidR="00B32EF2" w:rsidRDefault="00000000">
                        <w:r>
                          <w:rPr>
                            <w:rFonts w:ascii="Arial" w:eastAsia="Arial" w:hAnsi="Arial" w:cs="Arial"/>
                            <w:sz w:val="18"/>
                          </w:rPr>
                          <w:t>Consiglio del 10 ottobre 2017.</w:t>
                        </w:r>
                      </w:p>
                    </w:txbxContent>
                  </v:textbox>
                </v:rect>
                <v:shape id="Shape 207830" o:spid="_x0000_s2694" style="position:absolute;left:319;top:46185;width:39600;height:13553;visibility:visible;mso-wrap-style:square;v-text-anchor:top" coordsize="3960000,135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xewgAAAN8AAAAPAAAAZHJzL2Rvd25yZXYueG1sRI/NisIw&#10;FIX3wrxDuAOz00QrWjpGGUZGxJ3VB7g0d9pic1OSqPXtzUJweTh/fKvNYDtxIx9axxqmEwWCuHKm&#10;5VrD+fQ3zkGEiGywc0waHhRgs/4YrbAw7s5HupWxFmmEQ4Eamhj7QspQNWQxTFxPnLx/5y3GJH0t&#10;jcd7GrednCm1kBZbTg8N9vTbUHUpr1ZDtaPDfovbuafMHvJcZdfdkbX++hx+vkFEGuI7/GrvjYaZ&#10;WuZZIkg8iQXk+gkAAP//AwBQSwECLQAUAAYACAAAACEA2+H2y+4AAACFAQAAEwAAAAAAAAAAAAAA&#10;AAAAAAAAW0NvbnRlbnRfVHlwZXNdLnhtbFBLAQItABQABgAIAAAAIQBa9CxbvwAAABUBAAALAAAA&#10;AAAAAAAAAAAAAB8BAABfcmVscy8ucmVsc1BLAQItABQABgAIAAAAIQAFpNxewgAAAN8AAAAPAAAA&#10;AAAAAAAAAAAAAAcCAABkcnMvZG93bnJldi54bWxQSwUGAAAAAAMAAwC3AAAA9gIAAAAA&#10;" path="m,l3960000,r,1355306l,1355306,,e" fillcolor="#c3c3c3" stroked="f" strokeweight="0">
                  <v:stroke miterlimit="83231f" joinstyle="miter"/>
                  <v:path arrowok="t" textboxrect="0,0,3960000,1355306"/>
                </v:shape>
                <v:rect id="Rectangle 16552" o:spid="_x0000_s2695" style="position:absolute;left:23289;top:57525;width:158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LeLxAAAAN4AAAAPAAAAZHJzL2Rvd25yZXYueG1sRE9Li8Iw&#10;EL4v+B/CCN7WVEGRahRRxB72sj7A49CMbbWZhCbaur9+s7DgbT6+5yxWnanFkxpfWVYwGiYgiHOr&#10;Ky4UnI67zxkIH5A11pZJwYs8rJa9jwWm2rb8Tc9DKEQMYZ+igjIEl0rp85IM+qF1xJG72sZgiLAp&#10;pG6wjeGmluMkmUqDFceGEh1tSsrvh4dRcNmyy3atzK8/G/d1y2b1/nE6KzXod+s5iEBdeIv/3ZmO&#10;86eTyRj+3ok3yOUvAAAA//8DAFBLAQItABQABgAIAAAAIQDb4fbL7gAAAIUBAAATAAAAAAAAAAAA&#10;AAAAAAAAAABbQ29udGVudF9UeXBlc10ueG1sUEsBAi0AFAAGAAgAAAAhAFr0LFu/AAAAFQEAAAsA&#10;AAAAAAAAAAAAAAAAHwEAAF9yZWxzLy5yZWxzUEsBAi0AFAAGAAgAAAAhALaYt4vEAAAA3gAAAA8A&#10;AAAAAAAAAAAAAAAABwIAAGRycy9kb3ducmV2LnhtbFBLBQYAAAAAAwADALcAAAD4AgAAAAA=&#10;" filled="f" stroked="f">
                  <v:textbox inset="0,0,0,0">
                    <w:txbxContent>
                      <w:p w14:paraId="36C2A908" w14:textId="77777777" w:rsidR="00B32EF2" w:rsidRDefault="00000000">
                        <w:r>
                          <w:rPr>
                            <w:rFonts w:ascii="Arial" w:eastAsia="Arial" w:hAnsi="Arial" w:cs="Arial"/>
                            <w:b/>
                            <w:i/>
                            <w:sz w:val="18"/>
                          </w:rPr>
                          <w:t>NORME RICHIAMATE</w:t>
                        </w:r>
                      </w:p>
                    </w:txbxContent>
                  </v:textbox>
                </v:rect>
                <v:rect id="Rectangle 16553" o:spid="_x0000_s2696" style="position:absolute;left:7843;top:56292;width:312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BIQxAAAAN4AAAAPAAAAZHJzL2Rvd25yZXYueG1sRE9Ni8Iw&#10;EL0L/ocwgjdNdVGkaxRRZHvwsq4Lexyasa02k9BEW/31m4UFb/N4n7Ncd6YWd2p8ZVnBZJyAIM6t&#10;rrhQcPrajxYgfEDWWFsmBQ/ysF71e0tMtW35k+7HUIgYwj5FBWUILpXS5yUZ9GPriCN3to3BEGFT&#10;SN1gG8NNLadJMpcGK44NJTralpRfjzej4GfHLtu3Mj8/t+5wyRb1x+30rdRw0G3eQQTqwkv87850&#10;nD+fzd7g7514g1z9AgAA//8DAFBLAQItABQABgAIAAAAIQDb4fbL7gAAAIUBAAATAAAAAAAAAAAA&#10;AAAAAAAAAABbQ29udGVudF9UeXBlc10ueG1sUEsBAi0AFAAGAAgAAAAhAFr0LFu/AAAAFQEAAAsA&#10;AAAAAAAAAAAAAAAAHwEAAF9yZWxzLy5yZWxzUEsBAi0AFAAGAAgAAAAhANnUEhDEAAAA3gAAAA8A&#10;AAAAAAAAAAAAAAAABwIAAGRycy9kb3ducmV2LnhtbFBLBQYAAAAAAwADALcAAAD4AgAAAAA=&#10;" filled="f" stroked="f">
                  <v:textbox inset="0,0,0,0">
                    <w:txbxContent>
                      <w:p w14:paraId="52AFF229" w14:textId="77777777" w:rsidR="00B32EF2" w:rsidRDefault="00000000">
                        <w:r>
                          <w:rPr>
                            <w:rFonts w:ascii="Arial" w:eastAsia="Arial" w:hAnsi="Arial" w:cs="Arial"/>
                            <w:i/>
                            <w:sz w:val="18"/>
                          </w:rPr>
                          <w:t xml:space="preserve">art. 327 c.p.c “Decadenza dall’impugnazione” </w:t>
                        </w:r>
                      </w:p>
                    </w:txbxContent>
                  </v:textbox>
                </v:rect>
                <v:rect id="Rectangle 200380" o:spid="_x0000_s2697" style="position:absolute;left:26088;top:55059;width:5002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KNRxwAAAN8AAAAPAAAAZHJzL2Rvd25yZXYueG1sRI/LasMw&#10;EEX3hf6DmEJ2jdwGgnGjhJIS4kU3zQO6HKyJ7dYaCUuJnX59ZxHIcrhzz+UsVqPr1IX62Ho28DLN&#10;QBFX3rZcGzjsN885qJiQLXaeycCVIqyWjw8LLKwf+Isuu1QrgXAs0ECTUii0jlVDDuPUB2LJTr53&#10;mOTsa217HATuOv2aZXPtsGVZaDDQuqHqd3d2Br4/OJSbQVenv3X4/Cnzbns+HI2ZPI3vb6ASjen+&#10;fGuX1oAQZ7kYiI+4gF7+AwAA//8DAFBLAQItABQABgAIAAAAIQDb4fbL7gAAAIUBAAATAAAAAAAA&#10;AAAAAAAAAAAAAABbQ29udGVudF9UeXBlc10ueG1sUEsBAi0AFAAGAAgAAAAhAFr0LFu/AAAAFQEA&#10;AAsAAAAAAAAAAAAAAAAAHwEAAF9yZWxzLy5yZWxzUEsBAi0AFAAGAAgAAAAhAOmYo1HHAAAA3wAA&#10;AA8AAAAAAAAAAAAAAAAABwIAAGRycy9kb3ducmV2LnhtbFBLBQYAAAAAAwADALcAAAD7AgAAAAA=&#10;" filled="f" stroked="f">
                  <v:textbox inset="0,0,0,0">
                    <w:txbxContent>
                      <w:p w14:paraId="232D7EFD" w14:textId="77777777" w:rsidR="00B32EF2" w:rsidRDefault="00000000">
                        <w:r>
                          <w:rPr>
                            <w:rFonts w:ascii="Arial" w:eastAsia="Arial" w:hAnsi="Arial" w:cs="Arial"/>
                            <w:i/>
                            <w:sz w:val="18"/>
                          </w:rPr>
                          <w:t>1</w:t>
                        </w:r>
                      </w:p>
                    </w:txbxContent>
                  </v:textbox>
                </v:rect>
                <v:rect id="Rectangle 200381" o:spid="_x0000_s2698" style="position:absolute;left:-11481;top:55059;width:5002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AbKxwAAAN8AAAAPAAAAZHJzL2Rvd25yZXYueG1sRI9Pa8JA&#10;FMTvBb/D8oTe6sYWJKRuRBRpDl60Cj0+si9/NPt2ya4m9tN3C4Ueh5n5DbNcjaYTd+p9a1nBfJaA&#10;IC6tbrlWcPrcvaQgfEDW2FkmBQ/ysMonT0vMtB34QPdjqEWEsM9QQROCy6T0ZUMG/cw64uhVtjcY&#10;ouxrqXscItx08jVJFtJgy3GhQUebhsrr8WYUfG3ZFbtBltX3xu0vRdp93E5npZ6n4/odRKAx/If/&#10;2oVWEIlv6Rx+/8QvIPMfAAAA//8DAFBLAQItABQABgAIAAAAIQDb4fbL7gAAAIUBAAATAAAAAAAA&#10;AAAAAAAAAAAAAABbQ29udGVudF9UeXBlc10ueG1sUEsBAi0AFAAGAAgAAAAhAFr0LFu/AAAAFQEA&#10;AAsAAAAAAAAAAAAAAAAAHwEAAF9yZWxzLy5yZWxzUEsBAi0AFAAGAAgAAAAhAIbUBsrHAAAA3wAA&#10;AA8AAAAAAAAAAAAAAAAABwIAAGRycy9kb3ducmV2LnhtbFBLBQYAAAAAAwADALcAAAD7AgAAAAA=&#10;" filled="f" stroked="f">
                  <v:textbox inset="0,0,0,0">
                    <w:txbxContent>
                      <w:p w14:paraId="379E9239" w14:textId="77777777" w:rsidR="00B32EF2" w:rsidRDefault="00000000">
                        <w:r>
                          <w:rPr>
                            <w:rFonts w:ascii="Arial" w:eastAsia="Arial" w:hAnsi="Arial" w:cs="Arial"/>
                            <w:i/>
                            <w:sz w:val="18"/>
                          </w:rPr>
                          <w:t>. Indipendentemente dalla notificazione, l’appello, il ricorso per Cassazio</w:t>
                        </w:r>
                      </w:p>
                    </w:txbxContent>
                  </v:textbox>
                </v:rect>
                <v:rect id="Rectangle 16555" o:spid="_x0000_s2699" style="position:absolute;left:976;top:55059;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S//xAAAAN4AAAAPAAAAZHJzL2Rvd25yZXYueG1sRE9Na8JA&#10;EL0L/odlCr3ppkJEUlcRRcyhl2oEj0N2TFKzs0t2NWl/fbdQ8DaP9znL9WBa8aDON5YVvE0TEMSl&#10;1Q1XCorTfrIA4QOyxtYyKfgmD+vVeLTETNueP+lxDJWIIewzVFCH4DIpfVmTQT+1jjhyV9sZDBF2&#10;ldQd9jHctHKWJHNpsOHYUKOjbU3l7Xg3Ci47dvm+l+X1Z+s+vvJFe7gXZ6VeX4bNO4hAQ3iK/925&#10;jvPnaZrC3zvxBrn6BQAA//8DAFBLAQItABQABgAIAAAAIQDb4fbL7gAAAIUBAAATAAAAAAAAAAAA&#10;AAAAAAAAAABbQ29udGVudF9UeXBlc10ueG1sUEsBAi0AFAAGAAgAAAAhAFr0LFu/AAAAFQEAAAsA&#10;AAAAAAAAAAAAAAAAHwEAAF9yZWxzLy5yZWxzUEsBAi0AFAAGAAgAAAAhADlxL//EAAAA3gAAAA8A&#10;AAAAAAAAAAAAAAAABwIAAGRycy9kb3ducmV2LnhtbFBLBQYAAAAAAwADALcAAAD4AgAAAAA=&#10;" filled="f" stroked="f">
                  <v:textbox inset="0,0,0,0">
                    <w:txbxContent>
                      <w:p w14:paraId="482C9800" w14:textId="77777777" w:rsidR="00B32EF2" w:rsidRDefault="00000000">
                        <w:r>
                          <w:rPr>
                            <w:rFonts w:ascii="Arial" w:eastAsia="Arial" w:hAnsi="Arial" w:cs="Arial"/>
                            <w:i/>
                            <w:sz w:val="18"/>
                          </w:rPr>
                          <w:t>-</w:t>
                        </w:r>
                      </w:p>
                    </w:txbxContent>
                  </v:textbox>
                </v:rect>
                <v:rect id="Rectangle 16556" o:spid="_x0000_s2700" style="position:absolute;left:-11905;top:53825;width:51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7GIxAAAAN4AAAAPAAAAZHJzL2Rvd25yZXYueG1sRE9Na8JA&#10;EL0X/A/LFLzVTQsGSV1FFGkOXqoRPA7ZMUnNzi7Z1UR/fbdQ8DaP9znz5WBacaPON5YVvE8SEMSl&#10;1Q1XCorD9m0Gwgdkja1lUnAnD8vF6GWOmbY9f9NtHyoRQ9hnqKAOwWVS+rImg35iHXHkzrYzGCLs&#10;Kqk77GO4aeVHkqTSYMOxoUZH65rKy/5qFJw27PJtL8vzY+12P/ms/boWR6XGr8PqE0SgITzF/+5c&#10;x/npdJrC3zvxBrn4BQAA//8DAFBLAQItABQABgAIAAAAIQDb4fbL7gAAAIUBAAATAAAAAAAAAAAA&#10;AAAAAAAAAABbQ29udGVudF9UeXBlc10ueG1sUEsBAi0AFAAGAAgAAAAhAFr0LFu/AAAAFQEAAAsA&#10;AAAAAAAAAAAAAAAAHwEAAF9yZWxzLy5yZWxzUEsBAi0AFAAGAAgAAAAhAMmjsYjEAAAA3gAAAA8A&#10;AAAAAAAAAAAAAAAABwIAAGRycy9kb3ducmV2LnhtbFBLBQYAAAAAAwADALcAAAD4AgAAAAA=&#10;" filled="f" stroked="f">
                  <v:textbox inset="0,0,0,0">
                    <w:txbxContent>
                      <w:p w14:paraId="5540C2AD" w14:textId="77777777" w:rsidR="00B32EF2" w:rsidRDefault="00000000">
                        <w:r>
                          <w:rPr>
                            <w:rFonts w:ascii="Arial" w:eastAsia="Arial" w:hAnsi="Arial" w:cs="Arial"/>
                            <w:i/>
                            <w:sz w:val="18"/>
                          </w:rPr>
                          <w:t xml:space="preserve">ne e la revocazione per i motivi indicati nei numeri 4 e 5 dell’articolo 395 </w:t>
                        </w:r>
                      </w:p>
                    </w:txbxContent>
                  </v:textbox>
                </v:rect>
                <v:rect id="Rectangle 16557" o:spid="_x0000_s2701" style="position:absolute;left:-10906;top:52592;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xQTxAAAAN4AAAAPAAAAZHJzL2Rvd25yZXYueG1sRE9Ni8Iw&#10;EL0L/ocwgjdNFXSlaxRRxB72sq4Lexyasa02k9BEW/31m4UFb/N4n7Ncd6YWd2p8ZVnBZJyAIM6t&#10;rrhQcPrajxYgfEDWWFsmBQ/ysF71e0tMtW35k+7HUIgYwj5FBWUILpXS5yUZ9GPriCN3to3BEGFT&#10;SN1gG8NNLadJMpcGK44NJTralpRfjzej4GfHLtu3Mj8/t+7jki3qw+30rdRw0G3eQQTqwkv87850&#10;nD+fzd7g7514g1z9AgAA//8DAFBLAQItABQABgAIAAAAIQDb4fbL7gAAAIUBAAATAAAAAAAAAAAA&#10;AAAAAAAAAABbQ29udGVudF9UeXBlc10ueG1sUEsBAi0AFAAGAAgAAAAhAFr0LFu/AAAAFQEAAAsA&#10;AAAAAAAAAAAAAAAAHwEAAF9yZWxzLy5yZWxzUEsBAi0AFAAGAAgAAAAhAKbvFBPEAAAA3gAAAA8A&#10;AAAAAAAAAAAAAAAABwIAAGRycy9kb3ducmV2LnhtbFBLBQYAAAAAAwADALcAAAD4AgAAAAA=&#10;" filled="f" stroked="f">
                  <v:textbox inset="0,0,0,0">
                    <w:txbxContent>
                      <w:p w14:paraId="35FB79E3" w14:textId="77777777" w:rsidR="00B32EF2" w:rsidRDefault="00000000">
                        <w:r>
                          <w:rPr>
                            <w:rFonts w:ascii="Arial" w:eastAsia="Arial" w:hAnsi="Arial" w:cs="Arial"/>
                            <w:i/>
                            <w:sz w:val="18"/>
                          </w:rPr>
                          <w:t>non possono proporsi dopo decorsi sei mesi dalla pubblicazione della sen</w:t>
                        </w:r>
                      </w:p>
                    </w:txbxContent>
                  </v:textbox>
                </v:rect>
                <v:rect id="Rectangle 16558" o:spid="_x0000_s2702" style="position:absolute;left:976;top:5259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IBhxwAAAN4AAAAPAAAAZHJzL2Rvd25yZXYueG1sRI9Pa8JA&#10;EMXvhX6HZQq91U0LiqSuUizSHLz4D3ocsmOSNju7ZFcT/fTOQfA2w3vz3m9mi8G16kxdbDwbeB9l&#10;oIhLbxuuDOx3q7cpqJiQLbaeycCFIizmz08zzK3veUPnbaqUhHDM0UCdUsi1jmVNDuPIB2LRjr5z&#10;mGTtKm077CXctfojyybaYcPSUGOgZU3l//bkDPx+cyhWvS6P12VY/xXT9ue0Pxjz+jJ8fYJKNKSH&#10;+X5dWMGfjMfCK+/IDHp+AwAA//8DAFBLAQItABQABgAIAAAAIQDb4fbL7gAAAIUBAAATAAAAAAAA&#10;AAAAAAAAAAAAAABbQ29udGVudF9UeXBlc10ueG1sUEsBAi0AFAAGAAgAAAAhAFr0LFu/AAAAFQEA&#10;AAsAAAAAAAAAAAAAAAAAHwEAAF9yZWxzLy5yZWxzUEsBAi0AFAAGAAgAAAAhANdwgGHHAAAA3gAA&#10;AA8AAAAAAAAAAAAAAAAABwIAAGRycy9kb3ducmV2LnhtbFBLBQYAAAAAAwADALcAAAD7AgAAAAA=&#10;" filled="f" stroked="f">
                  <v:textbox inset="0,0,0,0">
                    <w:txbxContent>
                      <w:p w14:paraId="4110F210" w14:textId="77777777" w:rsidR="00B32EF2" w:rsidRDefault="00000000">
                        <w:r>
                          <w:rPr>
                            <w:rFonts w:ascii="Arial" w:eastAsia="Arial" w:hAnsi="Arial" w:cs="Arial"/>
                            <w:i/>
                            <w:sz w:val="18"/>
                          </w:rPr>
                          <w:t>-</w:t>
                        </w:r>
                      </w:p>
                    </w:txbxContent>
                  </v:textbox>
                </v:rect>
                <v:rect id="Rectangle 16559" o:spid="_x0000_s2703" style="position:absolute;left:35015;top:51359;width:41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CX6xAAAAN4AAAAPAAAAZHJzL2Rvd25yZXYueG1sRE9Li8Iw&#10;EL4v+B/CCN7WdBcUrUZZXMQe9uILPA7N2FabSWiirf76jbCwt/n4njNfdqYWd2p8ZVnBxzABQZxb&#10;XXGh4LBfv09A+ICssbZMCh7kYbnovc0x1bblLd13oRAxhH2KCsoQXCqlz0sy6IfWEUfubBuDIcKm&#10;kLrBNoabWn4myVgarDg2lOhoVVJ+3d2MgtM3u2zdyvz8XLmfSzapN7fDUalBv/uagQjUhX/xnzvT&#10;cf54NJrC6514g1z8AgAA//8DAFBLAQItABQABgAIAAAAIQDb4fbL7gAAAIUBAAATAAAAAAAAAAAA&#10;AAAAAAAAAABbQ29udGVudF9UeXBlc10ueG1sUEsBAi0AFAAGAAgAAAAhAFr0LFu/AAAAFQEAAAsA&#10;AAAAAAAAAAAAAAAAHwEAAF9yZWxzLy5yZWxzUEsBAi0AFAAGAAgAAAAhALg8JfrEAAAA3gAAAA8A&#10;AAAAAAAAAAAAAAAABwIAAGRycy9kb3ducmV2LnhtbFBLBQYAAAAAAwADALcAAAD4AgAAAAA=&#10;" filled="f" stroked="f">
                  <v:textbox inset="0,0,0,0">
                    <w:txbxContent>
                      <w:p w14:paraId="572D5DEE" w14:textId="77777777" w:rsidR="00B32EF2" w:rsidRDefault="00000000">
                        <w:r>
                          <w:rPr>
                            <w:rFonts w:ascii="Arial" w:eastAsia="Arial" w:hAnsi="Arial" w:cs="Arial"/>
                            <w:i/>
                            <w:sz w:val="18"/>
                          </w:rPr>
                          <w:t>tenza.</w:t>
                        </w:r>
                      </w:p>
                    </w:txbxContent>
                  </v:textbox>
                </v:rect>
                <v:rect id="Rectangle 200378" o:spid="_x0000_s2704" style="position:absolute;left:25850;top:50125;width:509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99wxwAAAN8AAAAPAAAAZHJzL2Rvd25yZXYueG1sRI/BasJA&#10;EIbvhb7DMgVvdWMLVlJXEYs0h160FnocsmMSzc4u2dXEPr1zEHoc/vm/mW++HFyrLtTFxrOByTgD&#10;RVx623BlYP+9eZ6BignZYuuZDFwpwnLx+DDH3Pqet3TZpUoJhGOOBuqUQq51LGtyGMc+EEt28J3D&#10;JGNXadthL3DX6pcsm2qHDcuFGgOtaypPu7Mz8PvBodj0ujz8rcPXsZi1n+f9jzGjp2H1DirRkP6X&#10;7+3CGhDi65s8LD7iAnpxAwAA//8DAFBLAQItABQABgAIAAAAIQDb4fbL7gAAAIUBAAATAAAAAAAA&#10;AAAAAAAAAAAAAABbQ29udGVudF9UeXBlc10ueG1sUEsBAi0AFAAGAAgAAAAhAFr0LFu/AAAAFQEA&#10;AAsAAAAAAAAAAAAAAAAAHwEAAF9yZWxzLy5yZWxzUEsBAi0AFAAGAAgAAAAhACI733DHAAAA3wAA&#10;AA8AAAAAAAAAAAAAAAAABwIAAGRycy9kb3ducmV2LnhtbFBLBQYAAAAAAwADALcAAAD7AgAAAAA=&#10;" filled="f" stroked="f">
                  <v:textbox inset="0,0,0,0">
                    <w:txbxContent>
                      <w:p w14:paraId="02ED90C5" w14:textId="77777777" w:rsidR="00B32EF2" w:rsidRDefault="00000000">
                        <w:r>
                          <w:rPr>
                            <w:rFonts w:ascii="Arial" w:eastAsia="Arial" w:hAnsi="Arial" w:cs="Arial"/>
                            <w:i/>
                            <w:sz w:val="18"/>
                          </w:rPr>
                          <w:t>2</w:t>
                        </w:r>
                      </w:p>
                    </w:txbxContent>
                  </v:textbox>
                </v:rect>
                <v:rect id="Rectangle 200379" o:spid="_x0000_s2705" style="position:absolute;left:-12511;top:50125;width:509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3rrxwAAAN8AAAAPAAAAZHJzL2Rvd25yZXYueG1sRI9Ba8JA&#10;FITvgv9heYI33Vih1egqYpHm0ItWweMj+0yi2bdLdjVpf31XKPQ4zMw3zHLdmVo8qPGVZQWTcQKC&#10;OLe64kLB8Ws3moHwAVljbZkUfJOH9arfW2Kqbct7ehxCISKEfYoKyhBcKqXPSzLox9YRR+9iG4Mh&#10;yqaQusE2wk0tX5LkVRqsOC6U6GhbUn473I2C8zu7bNfK/PKzdZ/XbFZ/3I8npYaDbrMAEagL/+G/&#10;dqYVROL0bQ7PP/ELyNUvAAAA//8DAFBLAQItABQABgAIAAAAIQDb4fbL7gAAAIUBAAATAAAAAAAA&#10;AAAAAAAAAAAAAABbQ29udGVudF9UeXBlc10ueG1sUEsBAi0AFAAGAAgAAAAhAFr0LFu/AAAAFQEA&#10;AAsAAAAAAAAAAAAAAAAAHwEAAF9yZWxzLy5yZWxzUEsBAi0AFAAGAAgAAAAhAE13euvHAAAA3wAA&#10;AA8AAAAAAAAAAAAAAAAABwIAAGRycy9kb3ducmV2LnhtbFBLBQYAAAAAAwADALcAAAD7AgAAAAA=&#10;" filled="f" stroked="f">
                  <v:textbox inset="0,0,0,0">
                    <w:txbxContent>
                      <w:p w14:paraId="5C58632F" w14:textId="77777777" w:rsidR="00B32EF2" w:rsidRDefault="00000000">
                        <w:r>
                          <w:rPr>
                            <w:rFonts w:ascii="Arial" w:eastAsia="Arial" w:hAnsi="Arial" w:cs="Arial"/>
                            <w:i/>
                            <w:sz w:val="18"/>
                          </w:rPr>
                          <w:t xml:space="preserve">. Questa disposizione non si applica quando la parte contumace dimostra </w:t>
                        </w:r>
                      </w:p>
                    </w:txbxContent>
                  </v:textbox>
                </v:rect>
                <v:rect id="Rectangle 16561" o:spid="_x0000_s2706" style="position:absolute;left:-11933;top:48892;width:512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uNBxAAAAN4AAAAPAAAAZHJzL2Rvd25yZXYueG1sRE9Li8Iw&#10;EL4L/ocwwt40VdgiXaOIItvDXnws7HFoxrZrMwlNtN399UYQvM3H95zFqjeNuFHra8sKppMEBHFh&#10;dc2lgtNxN56D8AFZY2OZFPyRh9VyOFhgpm3He7odQiliCPsMFVQhuExKX1Rk0E+sI47c2bYGQ4Rt&#10;KXWLXQw3jZwlSSoN1hwbKnS0qai4HK5Gwc+WXb7rZHH+37iv33zefF5P30q9jfr1B4hAfXiJn+5c&#10;x/npezqFxzvxBrm8AwAA//8DAFBLAQItABQABgAIAAAAIQDb4fbL7gAAAIUBAAATAAAAAAAAAAAA&#10;AAAAAAAAAABbQ29udGVudF9UeXBlc10ueG1sUEsBAi0AFAAGAAgAAAAhAFr0LFu/AAAAFQEAAAsA&#10;AAAAAAAAAAAAAAAAHwEAAF9yZWxzLy5yZWxzUEsBAi0AFAAGAAgAAAAhAIgm40HEAAAA3gAAAA8A&#10;AAAAAAAAAAAAAAAABwIAAGRycy9kb3ducmV2LnhtbFBLBQYAAAAAAwADALcAAAD4AgAAAAA=&#10;" filled="f" stroked="f">
                  <v:textbox inset="0,0,0,0">
                    <w:txbxContent>
                      <w:p w14:paraId="074DD432" w14:textId="77777777" w:rsidR="00B32EF2" w:rsidRDefault="00000000">
                        <w:r>
                          <w:rPr>
                            <w:rFonts w:ascii="Arial" w:eastAsia="Arial" w:hAnsi="Arial" w:cs="Arial"/>
                            <w:i/>
                            <w:sz w:val="18"/>
                          </w:rPr>
                          <w:t xml:space="preserve">di non aver avuto conoscenza del processo per nullità della citazione o </w:t>
                        </w:r>
                      </w:p>
                    </w:txbxContent>
                  </v:textbox>
                </v:rect>
                <v:rect id="Rectangle 16562" o:spid="_x0000_s2707" style="position:absolute;left:-11869;top:47659;width:510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H02xAAAAN4AAAAPAAAAZHJzL2Rvd25yZXYueG1sRE9Na8JA&#10;EL0X/A/LFLzVTYUGSV1FFGkOXqoRPA7ZMUnNzi7Z1UR/fbdQ8DaP9znz5WBacaPON5YVvE8SEMSl&#10;1Q1XCorD9m0Gwgdkja1lUnAnD8vF6GWOmbY9f9NtHyoRQ9hnqKAOwWVS+rImg35iHXHkzrYzGCLs&#10;Kqk77GO4aeU0SVJpsOHYUKOjdU3lZX81Ck4bdvm2l+X5sXa7n3zWfl2Lo1Lj12H1CSLQEJ7if3eu&#10;4/z0I53C3zvxBrn4BQAA//8DAFBLAQItABQABgAIAAAAIQDb4fbL7gAAAIUBAAATAAAAAAAAAAAA&#10;AAAAAAAAAABbQ29udGVudF9UeXBlc10ueG1sUEsBAi0AFAAGAAgAAAAhAFr0LFu/AAAAFQEAAAsA&#10;AAAAAAAAAAAAAAAAHwEAAF9yZWxzLy5yZWxzUEsBAi0AFAAGAAgAAAAhAHj0fTbEAAAA3gAAAA8A&#10;AAAAAAAAAAAAAAAABwIAAGRycy9kb3ducmV2LnhtbFBLBQYAAAAAAwADALcAAAD4AgAAAAA=&#10;" filled="f" stroked="f">
                  <v:textbox inset="0,0,0,0">
                    <w:txbxContent>
                      <w:p w14:paraId="513AC567" w14:textId="77777777" w:rsidR="00B32EF2" w:rsidRDefault="00000000">
                        <w:r>
                          <w:rPr>
                            <w:rFonts w:ascii="Arial" w:eastAsia="Arial" w:hAnsi="Arial" w:cs="Arial"/>
                            <w:i/>
                            <w:sz w:val="18"/>
                          </w:rPr>
                          <w:t xml:space="preserve">della notificazione di essa, e per nullità della notificazione degli atti di cui </w:t>
                        </w:r>
                      </w:p>
                    </w:txbxContent>
                  </v:textbox>
                </v:rect>
                <v:rect id="Rectangle 16563" o:spid="_x0000_s2708" style="position:absolute;left:31128;top:46425;width:80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NitxQAAAN4AAAAPAAAAZHJzL2Rvd25yZXYueG1sRE9La8JA&#10;EL4X+h+WEbzVjYpBUlcpFjEHLz4KPQ7ZMUmbnV2yq4n+erdQ8DYf33MWq9404kqtry0rGI8SEMSF&#10;1TWXCk7HzdschA/IGhvLpOBGHlbL15cFZtp2vKfrIZQihrDPUEEVgsuk9EVFBv3IOuLInW1rMETY&#10;llK32MVw08hJkqTSYM2xoUJH64qK38PFKPj+ZJdvOlmc72u3+8nnzfZy+lJqOOg/3kEE6sNT/O/O&#10;dZyfztIp/L0Tb5DLBwAAAP//AwBQSwECLQAUAAYACAAAACEA2+H2y+4AAACFAQAAEwAAAAAAAAAA&#10;AAAAAAAAAAAAW0NvbnRlbnRfVHlwZXNdLnhtbFBLAQItABQABgAIAAAAIQBa9CxbvwAAABUBAAAL&#10;AAAAAAAAAAAAAAAAAB8BAABfcmVscy8ucmVsc1BLAQItABQABgAIAAAAIQAXuNitxQAAAN4AAAAP&#10;AAAAAAAAAAAAAAAAAAcCAABkcnMvZG93bnJldi54bWxQSwUGAAAAAAMAAwC3AAAA+QIAAAAA&#10;" filled="f" stroked="f">
                  <v:textbox inset="0,0,0,0">
                    <w:txbxContent>
                      <w:p w14:paraId="4B13FB4E" w14:textId="77777777" w:rsidR="00B32EF2" w:rsidRDefault="00000000">
                        <w:r>
                          <w:rPr>
                            <w:rFonts w:ascii="Arial" w:eastAsia="Arial" w:hAnsi="Arial" w:cs="Arial"/>
                            <w:i/>
                            <w:sz w:val="18"/>
                          </w:rPr>
                          <w:t>all’art. 292 .</w:t>
                        </w:r>
                      </w:p>
                    </w:txbxContent>
                  </v:textbox>
                </v:rect>
                <v:shape id="Shape 16564" o:spid="_x0000_s2709" style="position:absolute;left:319;top:46185;width:39600;height:13553;visibility:visible;mso-wrap-style:square;v-text-anchor:top" coordsize="3960000,135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iAbwwAAAN4AAAAPAAAAZHJzL2Rvd25yZXYueG1sRE9La8JA&#10;EL4X+h+WKXirm0oNNs0qVagIHkrVS29DdvJoM7Mhu2r8965Q8DYf33PyxcCtOlHvGycGXsYJKJLC&#10;2UYqA4f95/MMlA8oFlsnZOBCHhbzx4ccM+vO8k2nXahUDBGfoYE6hC7T2hc1Mfqx60giV7qeMUTY&#10;V9r2eI7h3OpJkqSasZHYUGNHq5qKv92RDeiB1vtmtiyFv7bh7dcfmH8SY0ZPw8c7qEBDuIv/3Rsb&#10;56fT9BVu78Qb9PwKAAD//wMAUEsBAi0AFAAGAAgAAAAhANvh9svuAAAAhQEAABMAAAAAAAAAAAAA&#10;AAAAAAAAAFtDb250ZW50X1R5cGVzXS54bWxQSwECLQAUAAYACAAAACEAWvQsW78AAAAVAQAACwAA&#10;AAAAAAAAAAAAAAAfAQAAX3JlbHMvLnJlbHNQSwECLQAUAAYACAAAACEAgPIgG8MAAADeAAAADwAA&#10;AAAAAAAAAAAAAAAHAgAAZHJzL2Rvd25yZXYueG1sUEsFBgAAAAADAAMAtwAAAPcCAAAAAA==&#10;" path="m,1355306r3960000,l3960000,,,,,1355306xe" filled="f" strokeweight="1pt">
                  <v:stroke miterlimit="1" joinstyle="miter"/>
                  <v:path arrowok="t" textboxrect="0,0,3960000,1355306"/>
                </v:shape>
                <v:shape id="Shape 207831" o:spid="_x0000_s2710" style="position:absolute;left:255;top:4821;width:39600;height:11664;visibility:visible;mso-wrap-style:square;v-text-anchor:top" coordsize="3960000,116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B5EyQAAAN8AAAAPAAAAZHJzL2Rvd25yZXYueG1sRI9Ba8JA&#10;FITvgv9heYI33RiLDdFVRCi1lxZtDx4f2dckdfdtzK4x7a/vFoQeh5n5hlltemtER62vHSuYTRMQ&#10;xIXTNZcKPt6fJhkIH5A1Gsek4Js8bNbDwQpz7W58oO4YShEh7HNUUIXQ5FL6oiKLfuoa4uh9utZi&#10;iLItpW7xFuHWyDRJFtJizXGhwoZ2FRXn49Uq6F5ezWV7en5IjV+8ZeX8Z3+4fCk1HvXbJYhAffgP&#10;39t7rSBNHrP5DP7+xC8g178AAAD//wMAUEsBAi0AFAAGAAgAAAAhANvh9svuAAAAhQEAABMAAAAA&#10;AAAAAAAAAAAAAAAAAFtDb250ZW50X1R5cGVzXS54bWxQSwECLQAUAAYACAAAACEAWvQsW78AAAAV&#10;AQAACwAAAAAAAAAAAAAAAAAfAQAAX3JlbHMvLnJlbHNQSwECLQAUAAYACAAAACEAjAgeRMkAAADf&#10;AAAADwAAAAAAAAAAAAAAAAAHAgAAZHJzL2Rvd25yZXYueG1sUEsFBgAAAAADAAMAtwAAAP0CAAAA&#10;AA==&#10;" path="m,l3960000,r,1166304l,1166304,,e" fillcolor="#c3c3c3" stroked="f" strokeweight="0">
                  <v:stroke miterlimit="1" joinstyle="miter"/>
                  <v:path arrowok="t" textboxrect="0,0,3960000,1166304"/>
                </v:shape>
                <v:rect id="Rectangle 16566" o:spid="_x0000_s2711" style="position:absolute;left:23225;top:1427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3s1xAAAAN4AAAAPAAAAZHJzL2Rvd25yZXYueG1sRE9Na8JA&#10;EL0L/odlhN50U6FBUlcpijQHL9oIPQ7ZMUmbnV2yq0n99a4g9DaP9znL9WBacaXON5YVvM4SEMSl&#10;1Q1XCoqv3XQBwgdkja1lUvBHHtar8WiJmbY9H+h6DJWIIewzVFCH4DIpfVmTQT+zjjhyZ9sZDBF2&#10;ldQd9jHctHKeJKk02HBsqNHRpqby93gxCr637PJdL8vzbeP2P/mi/bwUJ6VeJsPHO4hAQ/gXP925&#10;jvPTtzSFxzvxBrm6AwAA//8DAFBLAQItABQABgAIAAAAIQDb4fbL7gAAAIUBAAATAAAAAAAAAAAA&#10;AAAAAAAAAABbQ29udGVudF9UeXBlc10ueG1sUEsBAi0AFAAGAAgAAAAhAFr0LFu/AAAAFQEAAAsA&#10;AAAAAAAAAAAAAAAAHwEAAF9yZWxzLy5yZWxzUEsBAi0AFAAGAAgAAAAhAAfPezXEAAAA3gAAAA8A&#10;AAAAAAAAAAAAAAAABwIAAGRycy9kb3ducmV2LnhtbFBLBQYAAAAAAwADALcAAAD4AgAAAAA=&#10;" filled="f" stroked="f">
                  <v:textbox inset="0,0,0,0">
                    <w:txbxContent>
                      <w:p w14:paraId="114A7012" w14:textId="77777777" w:rsidR="00B32EF2" w:rsidRDefault="00000000">
                        <w:r>
                          <w:rPr>
                            <w:rFonts w:ascii="Arial" w:eastAsia="Arial" w:hAnsi="Arial" w:cs="Arial"/>
                            <w:b/>
                            <w:i/>
                            <w:sz w:val="18"/>
                          </w:rPr>
                          <w:t>NORME RICHIAMATE</w:t>
                        </w:r>
                      </w:p>
                    </w:txbxContent>
                  </v:textbox>
                </v:rect>
                <v:rect id="Rectangle 16567" o:spid="_x0000_s2712" style="position:absolute;left:-11909;top:13039;width:509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96uxAAAAN4AAAAPAAAAZHJzL2Rvd25yZXYueG1sRE9Na8JA&#10;EL0X+h+WEbzVjYJRUlcpFjEHL1ULPQ7ZMUmbnV2yq4n+ercgeJvH+5zFqjeNuFDra8sKxqMEBHFh&#10;dc2lguNh8zYH4QOyxsYyKbiSh9Xy9WWBmbYdf9FlH0oRQ9hnqKAKwWVS+qIig35kHXHkTrY1GCJs&#10;S6lb7GK4aeQkSVJpsObYUKGjdUXF3/5sFPx8sss3nSxOt7Xb/ebzZns+fis1HPQf7yAC9eEpfrhz&#10;Heen03QG/+/EG+TyDgAA//8DAFBLAQItABQABgAIAAAAIQDb4fbL7gAAAIUBAAATAAAAAAAAAAAA&#10;AAAAAAAAAABbQ29udGVudF9UeXBlc10ueG1sUEsBAi0AFAAGAAgAAAAhAFr0LFu/AAAAFQEAAAsA&#10;AAAAAAAAAAAAAAAAHwEAAF9yZWxzLy5yZWxzUEsBAi0AFAAGAAgAAAAhAGiD3q7EAAAA3gAAAA8A&#10;AAAAAAAAAAAAAAAABwIAAGRycy9kb3ducmV2LnhtbFBLBQYAAAAAAwADALcAAAD4AgAAAAA=&#10;" filled="f" stroked="f">
                  <v:textbox inset="0,0,0,0">
                    <w:txbxContent>
                      <w:p w14:paraId="5449C254" w14:textId="77777777" w:rsidR="00B32EF2" w:rsidRDefault="00000000">
                        <w:r>
                          <w:rPr>
                            <w:rFonts w:ascii="Arial" w:eastAsia="Arial" w:hAnsi="Arial" w:cs="Arial"/>
                            <w:i/>
                            <w:sz w:val="18"/>
                          </w:rPr>
                          <w:t xml:space="preserve">Direttiva (UE) 2017/1852 del Consiglio del 10 ottobre 2017 “Sui meccanismi </w:t>
                        </w:r>
                      </w:p>
                    </w:txbxContent>
                  </v:textbox>
                </v:rect>
                <v:rect id="Rectangle 16568" o:spid="_x0000_s2713" style="position:absolute;left:-9456;top:11806;width:4852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ErcyAAAAN4AAAAPAAAAZHJzL2Rvd25yZXYueG1sRI9Pa8Mw&#10;DMXvg30Ho8Fuq7PBQknrltJRlsMu/TPYUcRqkjaWTew22T79dCj0JvGe3vtpvhxdp67Ux9azgddJ&#10;Boq48rbl2sBhv3mZgooJ2WLnmQz8UoTl4vFhjoX1A2/puku1khCOBRpoUgqF1rFqyGGc+EAs2tH3&#10;DpOsfa1tj4OEu06/ZVmuHbYsDQ0GWjdUnXcXZ+Dng0O5GXR1/FuHr1M57T4vh29jnp/G1QxUojHd&#10;zbfr0gp+/p4Lr7wjM+jFPwAAAP//AwBQSwECLQAUAAYACAAAACEA2+H2y+4AAACFAQAAEwAAAAAA&#10;AAAAAAAAAAAAAAAAW0NvbnRlbnRfVHlwZXNdLnhtbFBLAQItABQABgAIAAAAIQBa9CxbvwAAABUB&#10;AAALAAAAAAAAAAAAAAAAAB8BAABfcmVscy8ucmVsc1BLAQItABQABgAIAAAAIQAZHErcyAAAAN4A&#10;AAAPAAAAAAAAAAAAAAAAAAcCAABkcnMvZG93bnJldi54bWxQSwUGAAAAAAMAAwC3AAAA/AIAAAAA&#10;" filled="f" stroked="f">
                  <v:textbox inset="0,0,0,0">
                    <w:txbxContent>
                      <w:p w14:paraId="18C28641" w14:textId="77777777" w:rsidR="00B32EF2" w:rsidRDefault="00000000">
                        <w:r>
                          <w:rPr>
                            <w:rFonts w:ascii="Arial" w:eastAsia="Arial" w:hAnsi="Arial" w:cs="Arial"/>
                            <w:i/>
                            <w:sz w:val="18"/>
                          </w:rPr>
                          <w:t>di risoluzione delle controversie in materia fiscale nell’Unione europea”.</w:t>
                        </w:r>
                      </w:p>
                    </w:txbxContent>
                  </v:textbox>
                </v:rect>
                <v:rect id="Rectangle 16569" o:spid="_x0000_s2714" style="position:absolute;left:23504;top:10572;width:155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O9HxAAAAN4AAAAPAAAAZHJzL2Rvd25yZXYueG1sRE9Na8JA&#10;EL0X/A/LCN7qxoLBRlcRRZpDL7UKHofsmESzs0t2NdFf3y0UepvH+5zFqjeNuFPra8sKJuMEBHFh&#10;dc2lgsP37nUGwgdkjY1lUvAgD6vl4GWBmbYdf9F9H0oRQ9hnqKAKwWVS+qIig35sHXHkzrY1GCJs&#10;S6lb7GK4aeRbkqTSYM2xoUJHm4qK6/5mFJy27PJdJ4vzc+M+L/ms+bgdjkqNhv16DiJQH/7Ff+5c&#10;x/npNH2H33fiDXL5AwAA//8DAFBLAQItABQABgAIAAAAIQDb4fbL7gAAAIUBAAATAAAAAAAAAAAA&#10;AAAAAAAAAABbQ29udGVudF9UeXBlc10ueG1sUEsBAi0AFAAGAAgAAAAhAFr0LFu/AAAAFQEAAAsA&#10;AAAAAAAAAAAAAAAAHwEAAF9yZWxzLy5yZWxzUEsBAi0AFAAGAAgAAAAhAHZQ70fEAAAA3gAAAA8A&#10;AAAAAAAAAAAAAAAABwIAAGRycy9kb3ducmV2LnhtbFBLBQYAAAAAAwADALcAAAD4AgAAAAA=&#10;" filled="f" stroked="f">
                  <v:textbox inset="0,0,0,0">
                    <w:txbxContent>
                      <w:p w14:paraId="4DF44F0C" w14:textId="77777777" w:rsidR="00B32EF2" w:rsidRDefault="00000000">
                        <w:r>
                          <w:rPr>
                            <w:rFonts w:ascii="Arial" w:eastAsia="Arial" w:hAnsi="Arial" w:cs="Arial"/>
                            <w:b/>
                            <w:i/>
                            <w:sz w:val="18"/>
                          </w:rPr>
                          <w:t>NORME COLLEGATE</w:t>
                        </w:r>
                      </w:p>
                    </w:txbxContent>
                  </v:textbox>
                </v:rect>
                <v:rect id="Rectangle 16570" o:spid="_x0000_s2715" style="position:absolute;left:10998;top:9339;width:280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9AHxwAAAN4AAAAPAAAAZHJzL2Rvd25yZXYueG1sRI9Ba8JA&#10;EIXvQv/DMoXedFOhKqmrFIuYg5eqhR6H7Jikzc4u2dWk/fXOoeBthnnz3vuW68G16kpdbDwbeJ5k&#10;oIhLbxuuDJyO2/ECVEzIFlvPZOCXIqxXD6Ml5tb3/EHXQ6qUmHDM0UCdUsi1jmVNDuPEB2K5nX3n&#10;MMnaVdp22Iu5a/U0y2baYcOSUGOgTU3lz+HiDHy9cyi2vS7Pf5uw/y4W7e5y+jTm6XF4ewWVaEh3&#10;8f93YaX+7GUuAIIjM+jVDQAA//8DAFBLAQItABQABgAIAAAAIQDb4fbL7gAAAIUBAAATAAAAAAAA&#10;AAAAAAAAAAAAAABbQ29udGVudF9UeXBlc10ueG1sUEsBAi0AFAAGAAgAAAAhAFr0LFu/AAAAFQEA&#10;AAsAAAAAAAAAAAAAAAAAHwEAAF9yZWxzLy5yZWxzUEsBAi0AFAAGAAgAAAAhAGKz0AfHAAAA3gAA&#10;AA8AAAAAAAAAAAAAAAAABwIAAGRycy9kb3ducmV2LnhtbFBLBQYAAAAAAwADALcAAAD7AgAAAAA=&#10;" filled="f" stroked="f">
                  <v:textbox inset="0,0,0,0">
                    <w:txbxContent>
                      <w:p w14:paraId="1E2A627B" w14:textId="77777777" w:rsidR="00B32EF2" w:rsidRDefault="00000000">
                        <w:r>
                          <w:rPr>
                            <w:rFonts w:ascii="Arial" w:eastAsia="Arial" w:hAnsi="Arial" w:cs="Arial"/>
                            <w:i/>
                            <w:sz w:val="18"/>
                          </w:rPr>
                          <w:t xml:space="preserve">art. 295 c.p.c. “Sospensione necessaria” </w:t>
                        </w:r>
                      </w:p>
                    </w:txbxContent>
                  </v:textbox>
                </v:rect>
                <v:rect id="Rectangle 16571" o:spid="_x0000_s2716" style="position:absolute;left:-11920;top:8106;width:509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WcxAAAAN4AAAAPAAAAZHJzL2Rvd25yZXYueG1sRE9Li8Iw&#10;EL4v7H8Is+BtTV3wQTXK4iLbg5f1AR6HZmyrzSQ00VZ/vVkQvM3H95zZojO1uFLjK8sKBv0EBHFu&#10;dcWFgt129TkB4QOyxtoyKbiRh8X8/W2GqbYt/9F1EwoRQ9inqKAMwaVS+rwkg75vHXHkjrYxGCJs&#10;CqkbbGO4qeVXkoykwYpjQ4mOliXl583FKDj8sMtWrcyP96Vbn7JJ/XvZ7ZXqfXTfUxCBuvASP92Z&#10;jvNHw/EA/t+JN8j5AwAA//8DAFBLAQItABQABgAIAAAAIQDb4fbL7gAAAIUBAAATAAAAAAAAAAAA&#10;AAAAAAAAAABbQ29udGVudF9UeXBlc10ueG1sUEsBAi0AFAAGAAgAAAAhAFr0LFu/AAAAFQEAAAsA&#10;AAAAAAAAAAAAAAAAHwEAAF9yZWxzLy5yZWxzUEsBAi0AFAAGAAgAAAAhAA3/dZzEAAAA3gAAAA8A&#10;AAAAAAAAAAAAAAAABwIAAGRycy9kb3ducmV2LnhtbFBLBQYAAAAAAwADALcAAAD4AgAAAAA=&#10;" filled="f" stroked="f">
                  <v:textbox inset="0,0,0,0">
                    <w:txbxContent>
                      <w:p w14:paraId="2DEC6D1A" w14:textId="77777777" w:rsidR="00B32EF2" w:rsidRDefault="00000000">
                        <w:r>
                          <w:rPr>
                            <w:rFonts w:ascii="Arial" w:eastAsia="Arial" w:hAnsi="Arial" w:cs="Arial"/>
                            <w:i/>
                            <w:sz w:val="18"/>
                          </w:rPr>
                          <w:t xml:space="preserve">Il giudice dispone che il processo sia sospeso in ogni caso in cui egli stesso </w:t>
                        </w:r>
                      </w:p>
                    </w:txbxContent>
                  </v:textbox>
                </v:rect>
                <v:rect id="Rectangle 16572" o:spid="_x0000_s2717" style="position:absolute;left:-10975;top:6872;width:500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evrxAAAAN4AAAAPAAAAZHJzL2Rvd25yZXYueG1sRE9Ni8Iw&#10;EL0L/ocwgjdNFXSlaxRRxB72sq4Lexyasa02k9BEW/31m4UFb/N4n7Ncd6YWd2p8ZVnBZJyAIM6t&#10;rrhQcPrajxYgfEDWWFsmBQ/ysF71e0tMtW35k+7HUIgYwj5FBWUILpXS5yUZ9GPriCN3to3BEGFT&#10;SN1gG8NNLadJMpcGK44NJTralpRfjzej4GfHLtu3Mj8/t+7jki3qw+30rdRw0G3eQQTqwkv87850&#10;nD+fvU3h7514g1z9AgAA//8DAFBLAQItABQABgAIAAAAIQDb4fbL7gAAAIUBAAATAAAAAAAAAAAA&#10;AAAAAAAAAABbQ29udGVudF9UeXBlc10ueG1sUEsBAi0AFAAGAAgAAAAhAFr0LFu/AAAAFQEAAAsA&#10;AAAAAAAAAAAAAAAAHwEAAF9yZWxzLy5yZWxzUEsBAi0AFAAGAAgAAAAhAP0t6+vEAAAA3gAAAA8A&#10;AAAAAAAAAAAAAAAABwIAAGRycy9kb3ducmV2LnhtbFBLBQYAAAAAAwADALcAAAD4AgAAAAA=&#10;" filled="f" stroked="f">
                  <v:textbox inset="0,0,0,0">
                    <w:txbxContent>
                      <w:p w14:paraId="55C7F20F" w14:textId="77777777" w:rsidR="00B32EF2" w:rsidRDefault="00000000">
                        <w:r>
                          <w:rPr>
                            <w:rFonts w:ascii="Arial" w:eastAsia="Arial" w:hAnsi="Arial" w:cs="Arial"/>
                            <w:i/>
                            <w:sz w:val="18"/>
                          </w:rPr>
                          <w:t>o altro giudice deve risolvere una controversia, dalla cui definizione dipen</w:t>
                        </w:r>
                      </w:p>
                    </w:txbxContent>
                  </v:textbox>
                </v:rect>
                <v:rect id="Rectangle 16573" o:spid="_x0000_s2718" style="position:absolute;left:913;top:687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U5wxQAAAN4AAAAPAAAAZHJzL2Rvd25yZXYueG1sRE9La8JA&#10;EL4L/odlBG+6aYsPoqsUi5hDL/UBHofsmMRmZ5fsamJ/fbdQ8DYf33OW687U4k6NrywreBknIIhz&#10;qysuFBwP29EchA/IGmvLpOBBHtarfm+JqbYtf9F9HwoRQ9inqKAMwaVS+rwkg35sHXHkLrYxGCJs&#10;CqkbbGO4qeVrkkylwYpjQ4mONiXl3/ubUXD+YJdtW5lffjbu85rN693teFJqOOjeFyACdeEp/ndn&#10;Os6fTmZv8PdOvEGufgEAAP//AwBQSwECLQAUAAYACAAAACEA2+H2y+4AAACFAQAAEwAAAAAAAAAA&#10;AAAAAAAAAAAAW0NvbnRlbnRfVHlwZXNdLnhtbFBLAQItABQABgAIAAAAIQBa9CxbvwAAABUBAAAL&#10;AAAAAAAAAAAAAAAAAB8BAABfcmVscy8ucmVsc1BLAQItABQABgAIAAAAIQCSYU5wxQAAAN4AAAAP&#10;AAAAAAAAAAAAAAAAAAcCAABkcnMvZG93bnJldi54bWxQSwUGAAAAAAMAAwC3AAAA+QIAAAAA&#10;" filled="f" stroked="f">
                  <v:textbox inset="0,0,0,0">
                    <w:txbxContent>
                      <w:p w14:paraId="3535A56F" w14:textId="77777777" w:rsidR="00B32EF2" w:rsidRDefault="00000000">
                        <w:r>
                          <w:rPr>
                            <w:rFonts w:ascii="Arial" w:eastAsia="Arial" w:hAnsi="Arial" w:cs="Arial"/>
                            <w:i/>
                            <w:sz w:val="18"/>
                          </w:rPr>
                          <w:t>-</w:t>
                        </w:r>
                      </w:p>
                    </w:txbxContent>
                  </v:textbox>
                </v:rect>
                <v:rect id="Rectangle 16574" o:spid="_x0000_s2719" style="position:absolute;left:20198;top:5639;width:188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YExQAAAN4AAAAPAAAAZHJzL2Rvd25yZXYueG1sRE9La8JA&#10;EL4L/odlBG+6aakPoqsUi5hDL/UBHofsmMRmZ5fsamJ/fbdQ8DYf33OW687U4k6NrywreBknIIhz&#10;qysuFBwP29EchA/IGmvLpOBBHtarfm+JqbYtf9F9HwoRQ9inqKAMwaVS+rwkg35sHXHkLrYxGCJs&#10;CqkbbGO4qeVrkkylwYpjQ4mONiXl3/ubUXD+YJdtW5lffjbu85rN693teFJqOOjeFyACdeEp/ndn&#10;Os6fTmZv8PdOvEGufgEAAP//AwBQSwECLQAUAAYACAAAACEA2+H2y+4AAACFAQAAEwAAAAAAAAAA&#10;AAAAAAAAAAAAW0NvbnRlbnRfVHlwZXNdLnhtbFBLAQItABQABgAIAAAAIQBa9CxbvwAAABUBAAAL&#10;AAAAAAAAAAAAAAAAAB8BAABfcmVscy8ucmVsc1BLAQItABQABgAIAAAAIQAdiNYExQAAAN4AAAAP&#10;AAAAAAAAAAAAAAAAAAcCAABkcnMvZG93bnJldi54bWxQSwUGAAAAAAMAAwC3AAAA+QIAAAAA&#10;" filled="f" stroked="f">
                  <v:textbox inset="0,0,0,0">
                    <w:txbxContent>
                      <w:p w14:paraId="4E0A6501" w14:textId="77777777" w:rsidR="00B32EF2" w:rsidRDefault="00000000">
                        <w:r>
                          <w:rPr>
                            <w:rFonts w:ascii="Arial" w:eastAsia="Arial" w:hAnsi="Arial" w:cs="Arial"/>
                            <w:i/>
                            <w:sz w:val="18"/>
                          </w:rPr>
                          <w:t>de la decisione della causa.</w:t>
                        </w:r>
                      </w:p>
                    </w:txbxContent>
                  </v:textbox>
                </v:rect>
                <v:shape id="Shape 16575" o:spid="_x0000_s2720" style="position:absolute;left:255;top:4822;width:39600;height:11663;visibility:visible;mso-wrap-style:square;v-text-anchor:top" coordsize="3960000,116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5zTxAAAAN4AAAAPAAAAZHJzL2Rvd25yZXYueG1sRE/basJA&#10;EH0v9B+WEfpWN5YaJbqKFISKINQLvo7ZaRKanU2zU41+fbcg9G0O5zrTeedqdaY2VJ4NDPoJKOLc&#10;24oLA/vd8nkMKgiyxdozGbhSgPns8WGKmfUX/qDzVgoVQzhkaKAUaTKtQ16Sw9D3DXHkPn3rUCJs&#10;C21bvMRwV+uXJEm1w4pjQ4kNvZWUf21/nAHHx+u6kcPJp6vb9/KVZbHfiDFPvW4xASXUyb/47n63&#10;cX46HA3h7514g579AgAA//8DAFBLAQItABQABgAIAAAAIQDb4fbL7gAAAIUBAAATAAAAAAAAAAAA&#10;AAAAAAAAAABbQ29udGVudF9UeXBlc10ueG1sUEsBAi0AFAAGAAgAAAAhAFr0LFu/AAAAFQEAAAsA&#10;AAAAAAAAAAAAAAAAHwEAAF9yZWxzLy5yZWxzUEsBAi0AFAAGAAgAAAAhAOXrnNPEAAAA3gAAAA8A&#10;AAAAAAAAAAAAAAAABwIAAGRycy9kb3ducmV2LnhtbFBLBQYAAAAAAwADALcAAAD4AgAAAAA=&#10;" path="m,1166304r3960000,l3960000,,,,,1166304xe" filled="f" strokeweight="1pt">
                  <v:stroke miterlimit="1" joinstyle="miter"/>
                  <v:path arrowok="t" textboxrect="0,0,3960000,1166304"/>
                </v:shape>
                <w10:anchorlock/>
              </v:group>
            </w:pict>
          </mc:Fallback>
        </mc:AlternateContent>
      </w:r>
    </w:p>
    <w:p w14:paraId="7BF6B9C5" w14:textId="77777777" w:rsidR="00B32EF2" w:rsidRDefault="00000000">
      <w:pPr>
        <w:spacing w:after="0"/>
        <w:ind w:left="-356" w:right="-306"/>
      </w:pPr>
      <w:r>
        <w:rPr>
          <w:noProof/>
        </w:rPr>
        <w:lastRenderedPageBreak/>
        <mc:AlternateContent>
          <mc:Choice Requires="wpg">
            <w:drawing>
              <wp:inline distT="0" distB="0" distL="0" distR="0" wp14:anchorId="5A01C094" wp14:editId="1045CC07">
                <wp:extent cx="3991791" cy="6262854"/>
                <wp:effectExtent l="0" t="0" r="0" b="0"/>
                <wp:docPr id="200645" name="Group 200645"/>
                <wp:cNvGraphicFramePr/>
                <a:graphic xmlns:a="http://schemas.openxmlformats.org/drawingml/2006/main">
                  <a:graphicData uri="http://schemas.microsoft.com/office/word/2010/wordprocessingGroup">
                    <wpg:wgp>
                      <wpg:cNvGrpSpPr/>
                      <wpg:grpSpPr>
                        <a:xfrm>
                          <a:off x="0" y="0"/>
                          <a:ext cx="3991791" cy="6262854"/>
                          <a:chOff x="0" y="0"/>
                          <a:chExt cx="3991791" cy="6262854"/>
                        </a:xfrm>
                      </wpg:grpSpPr>
                      <wps:wsp>
                        <wps:cNvPr id="16640" name="Rectangle 16640"/>
                        <wps:cNvSpPr/>
                        <wps:spPr>
                          <a:xfrm rot="-10799999">
                            <a:off x="1900477" y="-62190"/>
                            <a:ext cx="178369" cy="250646"/>
                          </a:xfrm>
                          <a:prstGeom prst="rect">
                            <a:avLst/>
                          </a:prstGeom>
                          <a:ln>
                            <a:noFill/>
                          </a:ln>
                        </wps:spPr>
                        <wps:txbx>
                          <w:txbxContent>
                            <w:p w14:paraId="2B0C239D" w14:textId="77777777" w:rsidR="00B32EF2" w:rsidRDefault="00000000">
                              <w:r>
                                <w:rPr>
                                  <w:rFonts w:ascii="Times New Roman" w:eastAsia="Times New Roman" w:hAnsi="Times New Roman" w:cs="Times New Roman"/>
                                </w:rPr>
                                <w:t>80</w:t>
                              </w:r>
                            </w:p>
                          </w:txbxContent>
                        </wps:txbx>
                        <wps:bodyPr horzOverflow="overflow" vert="horz" lIns="0" tIns="0" rIns="0" bIns="0" rtlCol="0">
                          <a:noAutofit/>
                        </wps:bodyPr>
                      </wps:wsp>
                      <wps:wsp>
                        <wps:cNvPr id="200402" name="Rectangle 200402"/>
                        <wps:cNvSpPr/>
                        <wps:spPr>
                          <a:xfrm rot="-10799999">
                            <a:off x="2635419" y="6119964"/>
                            <a:ext cx="5210466" cy="142890"/>
                          </a:xfrm>
                          <a:prstGeom prst="rect">
                            <a:avLst/>
                          </a:prstGeom>
                          <a:ln>
                            <a:noFill/>
                          </a:ln>
                        </wps:spPr>
                        <wps:txbx>
                          <w:txbxContent>
                            <w:p w14:paraId="3D48BAF2"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0403" name="Rectangle 200403"/>
                        <wps:cNvSpPr/>
                        <wps:spPr>
                          <a:xfrm rot="-10799999">
                            <a:off x="-1283197" y="6119964"/>
                            <a:ext cx="5210466" cy="142890"/>
                          </a:xfrm>
                          <a:prstGeom prst="rect">
                            <a:avLst/>
                          </a:prstGeom>
                          <a:ln>
                            <a:noFill/>
                          </a:ln>
                        </wps:spPr>
                        <wps:txbx>
                          <w:txbxContent>
                            <w:p w14:paraId="585737D7" w14:textId="77777777" w:rsidR="00B32EF2" w:rsidRDefault="00000000">
                              <w:r>
                                <w:rPr>
                                  <w:rFonts w:ascii="Arial" w:eastAsia="Arial" w:hAnsi="Arial" w:cs="Arial"/>
                                  <w:sz w:val="18"/>
                                </w:rPr>
                                <w:t>. La sentenza deve inoltre contenere la data della deliberazione ed è sotto</w:t>
                              </w:r>
                            </w:p>
                          </w:txbxContent>
                        </wps:txbx>
                        <wps:bodyPr horzOverflow="overflow" vert="horz" lIns="0" tIns="0" rIns="0" bIns="0" rtlCol="0">
                          <a:noAutofit/>
                        </wps:bodyPr>
                      </wps:wsp>
                      <wps:wsp>
                        <wps:cNvPr id="16642" name="Rectangle 16642"/>
                        <wps:cNvSpPr/>
                        <wps:spPr>
                          <a:xfrm rot="-10799999">
                            <a:off x="19192" y="6119965"/>
                            <a:ext cx="50622" cy="142889"/>
                          </a:xfrm>
                          <a:prstGeom prst="rect">
                            <a:avLst/>
                          </a:prstGeom>
                          <a:ln>
                            <a:noFill/>
                          </a:ln>
                        </wps:spPr>
                        <wps:txbx>
                          <w:txbxContent>
                            <w:p w14:paraId="76A3D52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643" name="Rectangle 16643"/>
                        <wps:cNvSpPr/>
                        <wps:spPr>
                          <a:xfrm rot="-10799999">
                            <a:off x="1413533" y="5996634"/>
                            <a:ext cx="2578258" cy="142890"/>
                          </a:xfrm>
                          <a:prstGeom prst="rect">
                            <a:avLst/>
                          </a:prstGeom>
                          <a:ln>
                            <a:noFill/>
                          </a:ln>
                        </wps:spPr>
                        <wps:txbx>
                          <w:txbxContent>
                            <w:p w14:paraId="22737903" w14:textId="77777777" w:rsidR="00B32EF2" w:rsidRDefault="00000000">
                              <w:r>
                                <w:rPr>
                                  <w:rFonts w:ascii="Arial" w:eastAsia="Arial" w:hAnsi="Arial" w:cs="Arial"/>
                                  <w:sz w:val="18"/>
                                </w:rPr>
                                <w:t>scritta dal presidente e dall’estensore.</w:t>
                              </w:r>
                            </w:p>
                          </w:txbxContent>
                        </wps:txbx>
                        <wps:bodyPr horzOverflow="overflow" vert="horz" lIns="0" tIns="0" rIns="0" bIns="0" rtlCol="0">
                          <a:noAutofit/>
                        </wps:bodyPr>
                      </wps:wsp>
                      <wps:wsp>
                        <wps:cNvPr id="16644" name="Rectangle 16644"/>
                        <wps:cNvSpPr/>
                        <wps:spPr>
                          <a:xfrm rot="-10799999">
                            <a:off x="1506798" y="3529698"/>
                            <a:ext cx="810383" cy="142889"/>
                          </a:xfrm>
                          <a:prstGeom prst="rect">
                            <a:avLst/>
                          </a:prstGeom>
                          <a:ln>
                            <a:noFill/>
                          </a:ln>
                        </wps:spPr>
                        <wps:txbx>
                          <w:txbxContent>
                            <w:p w14:paraId="7A1B9259" w14:textId="77777777" w:rsidR="00B32EF2" w:rsidRDefault="00000000">
                              <w:r>
                                <w:rPr>
                                  <w:rFonts w:ascii="Arial" w:eastAsia="Arial" w:hAnsi="Arial" w:cs="Arial"/>
                                  <w:b/>
                                  <w:sz w:val="18"/>
                                </w:rPr>
                                <w:t>Articolo 86</w:t>
                              </w:r>
                            </w:p>
                          </w:txbxContent>
                        </wps:txbx>
                        <wps:bodyPr horzOverflow="overflow" vert="horz" lIns="0" tIns="0" rIns="0" bIns="0" rtlCol="0">
                          <a:noAutofit/>
                        </wps:bodyPr>
                      </wps:wsp>
                      <wps:wsp>
                        <wps:cNvPr id="200393" name="Rectangle 200393"/>
                        <wps:cNvSpPr/>
                        <wps:spPr>
                          <a:xfrm rot="-10799999">
                            <a:off x="1163957" y="3406368"/>
                            <a:ext cx="1940477" cy="142889"/>
                          </a:xfrm>
                          <a:prstGeom prst="rect">
                            <a:avLst/>
                          </a:prstGeom>
                          <a:ln>
                            <a:noFill/>
                          </a:ln>
                        </wps:spPr>
                        <wps:txbx>
                          <w:txbxContent>
                            <w:p w14:paraId="04875DDD" w14:textId="77777777" w:rsidR="00B32EF2" w:rsidRDefault="00000000">
                              <w:r>
                                <w:rPr>
                                  <w:rFonts w:ascii="Arial" w:eastAsia="Arial" w:hAnsi="Arial" w:cs="Arial"/>
                                  <w:i/>
                                  <w:sz w:val="18"/>
                                </w:rPr>
                                <w:t xml:space="preserve">articolo 37 D.lgs. n. </w:t>
                              </w:r>
                            </w:p>
                          </w:txbxContent>
                        </wps:txbx>
                        <wps:bodyPr horzOverflow="overflow" vert="horz" lIns="0" tIns="0" rIns="0" bIns="0" rtlCol="0">
                          <a:noAutofit/>
                        </wps:bodyPr>
                      </wps:wsp>
                      <wps:wsp>
                        <wps:cNvPr id="200392" name="Rectangle 200392"/>
                        <wps:cNvSpPr/>
                        <wps:spPr>
                          <a:xfrm rot="-10799999">
                            <a:off x="-259889" y="3406367"/>
                            <a:ext cx="1940477" cy="142889"/>
                          </a:xfrm>
                          <a:prstGeom prst="rect">
                            <a:avLst/>
                          </a:prstGeom>
                          <a:ln>
                            <a:noFill/>
                          </a:ln>
                        </wps:spPr>
                        <wps:txbx>
                          <w:txbxContent>
                            <w:p w14:paraId="282DA35E"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391" name="Rectangle 200391"/>
                        <wps:cNvSpPr/>
                        <wps:spPr>
                          <a:xfrm rot="-10799999">
                            <a:off x="2221701" y="3406368"/>
                            <a:ext cx="1940477" cy="142889"/>
                          </a:xfrm>
                          <a:prstGeom prst="rect">
                            <a:avLst/>
                          </a:prstGeom>
                          <a:ln>
                            <a:noFill/>
                          </a:ln>
                        </wps:spPr>
                        <wps:txbx>
                          <w:txbxContent>
                            <w:p w14:paraId="4BCCFEA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646" name="Rectangle 16646"/>
                        <wps:cNvSpPr/>
                        <wps:spPr>
                          <a:xfrm rot="-10799999">
                            <a:off x="-180440" y="3283038"/>
                            <a:ext cx="3487346" cy="142889"/>
                          </a:xfrm>
                          <a:prstGeom prst="rect">
                            <a:avLst/>
                          </a:prstGeom>
                          <a:ln>
                            <a:noFill/>
                          </a:ln>
                        </wps:spPr>
                        <wps:txbx>
                          <w:txbxContent>
                            <w:p w14:paraId="02FB755E" w14:textId="77777777" w:rsidR="00B32EF2" w:rsidRDefault="00000000">
                              <w:r>
                                <w:rPr>
                                  <w:rFonts w:ascii="Arial" w:eastAsia="Arial" w:hAnsi="Arial" w:cs="Arial"/>
                                  <w:b/>
                                  <w:sz w:val="18"/>
                                </w:rPr>
                                <w:t xml:space="preserve">Pubblicazione e comunicazione della sentenza </w:t>
                              </w:r>
                            </w:p>
                          </w:txbxContent>
                        </wps:txbx>
                        <wps:bodyPr horzOverflow="overflow" vert="horz" lIns="0" tIns="0" rIns="0" bIns="0" rtlCol="0">
                          <a:noAutofit/>
                        </wps:bodyPr>
                      </wps:wsp>
                      <wps:wsp>
                        <wps:cNvPr id="200389" name="Rectangle 200389"/>
                        <wps:cNvSpPr/>
                        <wps:spPr>
                          <a:xfrm rot="-10799999">
                            <a:off x="2610976" y="3156051"/>
                            <a:ext cx="5308974" cy="142889"/>
                          </a:xfrm>
                          <a:prstGeom prst="rect">
                            <a:avLst/>
                          </a:prstGeom>
                          <a:ln>
                            <a:noFill/>
                          </a:ln>
                        </wps:spPr>
                        <wps:txbx>
                          <w:txbxContent>
                            <w:p w14:paraId="32948FAF"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390" name="Rectangle 200390"/>
                        <wps:cNvSpPr/>
                        <wps:spPr>
                          <a:xfrm rot="-10799999">
                            <a:off x="-1376368" y="3156051"/>
                            <a:ext cx="5308975" cy="142889"/>
                          </a:xfrm>
                          <a:prstGeom prst="rect">
                            <a:avLst/>
                          </a:prstGeom>
                          <a:ln>
                            <a:noFill/>
                          </a:ln>
                        </wps:spPr>
                        <wps:txbx>
                          <w:txbxContent>
                            <w:p w14:paraId="58CDB7EC" w14:textId="77777777" w:rsidR="00B32EF2" w:rsidRDefault="00000000">
                              <w:r>
                                <w:rPr>
                                  <w:rFonts w:ascii="Arial" w:eastAsia="Arial" w:hAnsi="Arial" w:cs="Arial"/>
                                  <w:sz w:val="18"/>
                                </w:rPr>
                                <w:t xml:space="preserve">. La sentenza è resa pubblica, nel testo integrale originale, mediante deposito </w:t>
                              </w:r>
                            </w:p>
                          </w:txbxContent>
                        </wps:txbx>
                        <wps:bodyPr horzOverflow="overflow" vert="horz" lIns="0" tIns="0" rIns="0" bIns="0" rtlCol="0">
                          <a:noAutofit/>
                        </wps:bodyPr>
                      </wps:wsp>
                      <wps:wsp>
                        <wps:cNvPr id="16648" name="Rectangle 16648"/>
                        <wps:cNvSpPr/>
                        <wps:spPr>
                          <a:xfrm rot="-10799999">
                            <a:off x="-1317214" y="3029064"/>
                            <a:ext cx="5309006" cy="142889"/>
                          </a:xfrm>
                          <a:prstGeom prst="rect">
                            <a:avLst/>
                          </a:prstGeom>
                          <a:ln>
                            <a:noFill/>
                          </a:ln>
                        </wps:spPr>
                        <wps:txbx>
                          <w:txbxContent>
                            <w:p w14:paraId="47D38324" w14:textId="77777777" w:rsidR="00B32EF2" w:rsidRDefault="00000000">
                              <w:r>
                                <w:rPr>
                                  <w:rFonts w:ascii="Arial" w:eastAsia="Arial" w:hAnsi="Arial" w:cs="Arial"/>
                                  <w:sz w:val="18"/>
                                </w:rPr>
                                <w:t xml:space="preserve">telematico nella segreteria della corte di giustizia tributaria di primo e secondo </w:t>
                              </w:r>
                            </w:p>
                          </w:txbxContent>
                        </wps:txbx>
                        <wps:bodyPr horzOverflow="overflow" vert="horz" lIns="0" tIns="0" rIns="0" bIns="0" rtlCol="0">
                          <a:noAutofit/>
                        </wps:bodyPr>
                      </wps:wsp>
                      <wps:wsp>
                        <wps:cNvPr id="16649" name="Rectangle 16649"/>
                        <wps:cNvSpPr/>
                        <wps:spPr>
                          <a:xfrm rot="-10799999">
                            <a:off x="-1317214" y="2902076"/>
                            <a:ext cx="5309006" cy="142889"/>
                          </a:xfrm>
                          <a:prstGeom prst="rect">
                            <a:avLst/>
                          </a:prstGeom>
                          <a:ln>
                            <a:noFill/>
                          </a:ln>
                        </wps:spPr>
                        <wps:txbx>
                          <w:txbxContent>
                            <w:p w14:paraId="6EB97675" w14:textId="77777777" w:rsidR="00B32EF2" w:rsidRDefault="00000000">
                              <w:r>
                                <w:rPr>
                                  <w:rFonts w:ascii="Arial" w:eastAsia="Arial" w:hAnsi="Arial" w:cs="Arial"/>
                                  <w:sz w:val="18"/>
                                </w:rPr>
                                <w:t xml:space="preserve">grado entro trenta giorni dalla data della deliberazione. Il segretario fa risultare </w:t>
                              </w:r>
                            </w:p>
                          </w:txbxContent>
                        </wps:txbx>
                        <wps:bodyPr horzOverflow="overflow" vert="horz" lIns="0" tIns="0" rIns="0" bIns="0" rtlCol="0">
                          <a:noAutofit/>
                        </wps:bodyPr>
                      </wps:wsp>
                      <wps:wsp>
                        <wps:cNvPr id="16650" name="Rectangle 16650"/>
                        <wps:cNvSpPr/>
                        <wps:spPr>
                          <a:xfrm rot="-10799999">
                            <a:off x="-1317259" y="2775090"/>
                            <a:ext cx="5309051" cy="142889"/>
                          </a:xfrm>
                          <a:prstGeom prst="rect">
                            <a:avLst/>
                          </a:prstGeom>
                          <a:ln>
                            <a:noFill/>
                          </a:ln>
                        </wps:spPr>
                        <wps:txbx>
                          <w:txbxContent>
                            <w:p w14:paraId="5F25EDCC" w14:textId="77777777" w:rsidR="00B32EF2" w:rsidRDefault="00000000">
                              <w:r>
                                <w:rPr>
                                  <w:rFonts w:ascii="Arial" w:eastAsia="Arial" w:hAnsi="Arial" w:cs="Arial"/>
                                  <w:sz w:val="18"/>
                                </w:rPr>
                                <w:t xml:space="preserve">l’avvenuto deposito della sentenza apponendovi la propria firma digitale e la </w:t>
                              </w:r>
                            </w:p>
                          </w:txbxContent>
                        </wps:txbx>
                        <wps:bodyPr horzOverflow="overflow" vert="horz" lIns="0" tIns="0" rIns="0" bIns="0" rtlCol="0">
                          <a:noAutofit/>
                        </wps:bodyPr>
                      </wps:wsp>
                      <wps:wsp>
                        <wps:cNvPr id="16651" name="Rectangle 16651"/>
                        <wps:cNvSpPr/>
                        <wps:spPr>
                          <a:xfrm rot="-10799999">
                            <a:off x="-1274998" y="2648102"/>
                            <a:ext cx="5266790" cy="142889"/>
                          </a:xfrm>
                          <a:prstGeom prst="rect">
                            <a:avLst/>
                          </a:prstGeom>
                          <a:ln>
                            <a:noFill/>
                          </a:ln>
                        </wps:spPr>
                        <wps:txbx>
                          <w:txbxContent>
                            <w:p w14:paraId="7733E66F" w14:textId="77777777" w:rsidR="00B32EF2" w:rsidRDefault="00000000">
                              <w:r>
                                <w:rPr>
                                  <w:rFonts w:ascii="Arial" w:eastAsia="Arial" w:hAnsi="Arial" w:cs="Arial"/>
                                  <w:sz w:val="18"/>
                                </w:rPr>
                                <w:t>data, dandone comunicazione alle parti costituite entro tre giorni dal deposito.</w:t>
                              </w:r>
                            </w:p>
                          </w:txbxContent>
                        </wps:txbx>
                        <wps:bodyPr horzOverflow="overflow" vert="horz" lIns="0" tIns="0" rIns="0" bIns="0" rtlCol="0">
                          <a:noAutofit/>
                        </wps:bodyPr>
                      </wps:wsp>
                      <wps:wsp>
                        <wps:cNvPr id="16652" name="Rectangle 16652"/>
                        <wps:cNvSpPr/>
                        <wps:spPr>
                          <a:xfrm rot="-10799999">
                            <a:off x="1508662" y="2394127"/>
                            <a:ext cx="806233" cy="142889"/>
                          </a:xfrm>
                          <a:prstGeom prst="rect">
                            <a:avLst/>
                          </a:prstGeom>
                          <a:ln>
                            <a:noFill/>
                          </a:ln>
                        </wps:spPr>
                        <wps:txbx>
                          <w:txbxContent>
                            <w:p w14:paraId="5AA73D95" w14:textId="77777777" w:rsidR="00B32EF2" w:rsidRDefault="00000000">
                              <w:r>
                                <w:rPr>
                                  <w:rFonts w:ascii="Arial" w:eastAsia="Arial" w:hAnsi="Arial" w:cs="Arial"/>
                                  <w:b/>
                                  <w:sz w:val="18"/>
                                </w:rPr>
                                <w:t>Articolo 87</w:t>
                              </w:r>
                            </w:p>
                          </w:txbxContent>
                        </wps:txbx>
                        <wps:bodyPr horzOverflow="overflow" vert="horz" lIns="0" tIns="0" rIns="0" bIns="0" rtlCol="0">
                          <a:noAutofit/>
                        </wps:bodyPr>
                      </wps:wsp>
                      <wps:wsp>
                        <wps:cNvPr id="200386" name="Rectangle 200386"/>
                        <wps:cNvSpPr/>
                        <wps:spPr>
                          <a:xfrm rot="-10799999">
                            <a:off x="2222274" y="2267140"/>
                            <a:ext cx="1944156" cy="142889"/>
                          </a:xfrm>
                          <a:prstGeom prst="rect">
                            <a:avLst/>
                          </a:prstGeom>
                          <a:ln>
                            <a:noFill/>
                          </a:ln>
                        </wps:spPr>
                        <wps:txbx>
                          <w:txbxContent>
                            <w:p w14:paraId="5B0A36B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387" name="Rectangle 200387"/>
                        <wps:cNvSpPr/>
                        <wps:spPr>
                          <a:xfrm rot="-10799999">
                            <a:off x="-264847" y="2267140"/>
                            <a:ext cx="1944156" cy="142889"/>
                          </a:xfrm>
                          <a:prstGeom prst="rect">
                            <a:avLst/>
                          </a:prstGeom>
                          <a:ln>
                            <a:noFill/>
                          </a:ln>
                        </wps:spPr>
                        <wps:txbx>
                          <w:txbxContent>
                            <w:p w14:paraId="470B9565"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388" name="Rectangle 200388"/>
                        <wps:cNvSpPr/>
                        <wps:spPr>
                          <a:xfrm rot="-10799999">
                            <a:off x="1161764" y="2267140"/>
                            <a:ext cx="1944156" cy="142889"/>
                          </a:xfrm>
                          <a:prstGeom prst="rect">
                            <a:avLst/>
                          </a:prstGeom>
                          <a:ln>
                            <a:noFill/>
                          </a:ln>
                        </wps:spPr>
                        <wps:txbx>
                          <w:txbxContent>
                            <w:p w14:paraId="1A656C3F" w14:textId="77777777" w:rsidR="00B32EF2" w:rsidRDefault="00000000">
                              <w:r>
                                <w:rPr>
                                  <w:rFonts w:ascii="Arial" w:eastAsia="Arial" w:hAnsi="Arial" w:cs="Arial"/>
                                  <w:i/>
                                  <w:sz w:val="18"/>
                                </w:rPr>
                                <w:t xml:space="preserve">articolo 38 D.lgs. n. </w:t>
                              </w:r>
                            </w:p>
                          </w:txbxContent>
                        </wps:txbx>
                        <wps:bodyPr horzOverflow="overflow" vert="horz" lIns="0" tIns="0" rIns="0" bIns="0" rtlCol="0">
                          <a:noAutofit/>
                        </wps:bodyPr>
                      </wps:wsp>
                      <wps:wsp>
                        <wps:cNvPr id="16654" name="Rectangle 16654"/>
                        <wps:cNvSpPr/>
                        <wps:spPr>
                          <a:xfrm rot="-10799999">
                            <a:off x="-245672" y="2140153"/>
                            <a:ext cx="3592011" cy="142889"/>
                          </a:xfrm>
                          <a:prstGeom prst="rect">
                            <a:avLst/>
                          </a:prstGeom>
                          <a:ln>
                            <a:noFill/>
                          </a:ln>
                        </wps:spPr>
                        <wps:txbx>
                          <w:txbxContent>
                            <w:p w14:paraId="6C3FE5E9" w14:textId="77777777" w:rsidR="00B32EF2" w:rsidRDefault="00000000">
                              <w:r>
                                <w:rPr>
                                  <w:rFonts w:ascii="Arial" w:eastAsia="Arial" w:hAnsi="Arial" w:cs="Arial"/>
                                  <w:b/>
                                  <w:sz w:val="18"/>
                                </w:rPr>
                                <w:t xml:space="preserve">Richiesta di copie e notificazione della sentenza </w:t>
                              </w:r>
                            </w:p>
                          </w:txbxContent>
                        </wps:txbx>
                        <wps:bodyPr horzOverflow="overflow" vert="horz" lIns="0" tIns="0" rIns="0" bIns="0" rtlCol="0">
                          <a:noAutofit/>
                        </wps:bodyPr>
                      </wps:wsp>
                      <wps:wsp>
                        <wps:cNvPr id="200384" name="Rectangle 200384"/>
                        <wps:cNvSpPr/>
                        <wps:spPr>
                          <a:xfrm rot="-10799999">
                            <a:off x="2634932" y="2013166"/>
                            <a:ext cx="5212428" cy="142889"/>
                          </a:xfrm>
                          <a:prstGeom prst="rect">
                            <a:avLst/>
                          </a:prstGeom>
                          <a:ln>
                            <a:noFill/>
                          </a:ln>
                        </wps:spPr>
                        <wps:txbx>
                          <w:txbxContent>
                            <w:p w14:paraId="186B80C2"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385" name="Rectangle 200385"/>
                        <wps:cNvSpPr/>
                        <wps:spPr>
                          <a:xfrm rot="-10799999">
                            <a:off x="-1279820" y="2013166"/>
                            <a:ext cx="5212427" cy="142889"/>
                          </a:xfrm>
                          <a:prstGeom prst="rect">
                            <a:avLst/>
                          </a:prstGeom>
                          <a:ln>
                            <a:noFill/>
                          </a:ln>
                        </wps:spPr>
                        <wps:txbx>
                          <w:txbxContent>
                            <w:p w14:paraId="390FF5F5" w14:textId="77777777" w:rsidR="00B32EF2" w:rsidRDefault="00000000">
                              <w:r>
                                <w:rPr>
                                  <w:rFonts w:ascii="Arial" w:eastAsia="Arial" w:hAnsi="Arial" w:cs="Arial"/>
                                  <w:sz w:val="18"/>
                                </w:rPr>
                                <w:t>. Ciascuna parte può richiedere alla segreteria copie autentiche della sen</w:t>
                              </w:r>
                            </w:p>
                          </w:txbxContent>
                        </wps:txbx>
                        <wps:bodyPr horzOverflow="overflow" vert="horz" lIns="0" tIns="0" rIns="0" bIns="0" rtlCol="0">
                          <a:noAutofit/>
                        </wps:bodyPr>
                      </wps:wsp>
                      <wps:wsp>
                        <wps:cNvPr id="16656" name="Rectangle 16656"/>
                        <wps:cNvSpPr/>
                        <wps:spPr>
                          <a:xfrm rot="-10799999">
                            <a:off x="19192" y="2013166"/>
                            <a:ext cx="50622" cy="142889"/>
                          </a:xfrm>
                          <a:prstGeom prst="rect">
                            <a:avLst/>
                          </a:prstGeom>
                          <a:ln>
                            <a:noFill/>
                          </a:ln>
                        </wps:spPr>
                        <wps:txbx>
                          <w:txbxContent>
                            <w:p w14:paraId="35B2374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657" name="Rectangle 16657"/>
                        <wps:cNvSpPr/>
                        <wps:spPr>
                          <a:xfrm rot="-10799999">
                            <a:off x="-1317274" y="1886178"/>
                            <a:ext cx="5309066" cy="142889"/>
                          </a:xfrm>
                          <a:prstGeom prst="rect">
                            <a:avLst/>
                          </a:prstGeom>
                          <a:ln>
                            <a:noFill/>
                          </a:ln>
                        </wps:spPr>
                        <wps:txbx>
                          <w:txbxContent>
                            <w:p w14:paraId="20B88BDD" w14:textId="77777777" w:rsidR="00B32EF2" w:rsidRDefault="00000000">
                              <w:r>
                                <w:rPr>
                                  <w:rFonts w:ascii="Arial" w:eastAsia="Arial" w:hAnsi="Arial" w:cs="Arial"/>
                                  <w:sz w:val="18"/>
                                </w:rPr>
                                <w:t xml:space="preserve">tenza e la segreteria è tenuta a rilasciarle entro cinque giorni dalla richiesta, </w:t>
                              </w:r>
                            </w:p>
                          </w:txbxContent>
                        </wps:txbx>
                        <wps:bodyPr horzOverflow="overflow" vert="horz" lIns="0" tIns="0" rIns="0" bIns="0" rtlCol="0">
                          <a:noAutofit/>
                        </wps:bodyPr>
                      </wps:wsp>
                      <wps:wsp>
                        <wps:cNvPr id="16658" name="Rectangle 16658"/>
                        <wps:cNvSpPr/>
                        <wps:spPr>
                          <a:xfrm rot="-10799999">
                            <a:off x="1611114" y="1759192"/>
                            <a:ext cx="2381362" cy="142889"/>
                          </a:xfrm>
                          <a:prstGeom prst="rect">
                            <a:avLst/>
                          </a:prstGeom>
                          <a:ln>
                            <a:noFill/>
                          </a:ln>
                        </wps:spPr>
                        <wps:txbx>
                          <w:txbxContent>
                            <w:p w14:paraId="6D5BCEDF" w14:textId="77777777" w:rsidR="00B32EF2" w:rsidRDefault="00000000">
                              <w:r>
                                <w:rPr>
                                  <w:rFonts w:ascii="Arial" w:eastAsia="Arial" w:hAnsi="Arial" w:cs="Arial"/>
                                  <w:sz w:val="18"/>
                                </w:rPr>
                                <w:t>previa corresponsione delle spese.</w:t>
                              </w:r>
                            </w:p>
                          </w:txbxContent>
                        </wps:txbx>
                        <wps:bodyPr horzOverflow="overflow" vert="horz" lIns="0" tIns="0" rIns="0" bIns="0" rtlCol="0">
                          <a:noAutofit/>
                        </wps:bodyPr>
                      </wps:wsp>
                      <wps:wsp>
                        <wps:cNvPr id="200382" name="Rectangle 200382"/>
                        <wps:cNvSpPr/>
                        <wps:spPr>
                          <a:xfrm rot="-10799999">
                            <a:off x="2610987" y="1632204"/>
                            <a:ext cx="5308930" cy="142889"/>
                          </a:xfrm>
                          <a:prstGeom prst="rect">
                            <a:avLst/>
                          </a:prstGeom>
                          <a:ln>
                            <a:noFill/>
                          </a:ln>
                        </wps:spPr>
                        <wps:txbx>
                          <w:txbxContent>
                            <w:p w14:paraId="311659BC"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383" name="Rectangle 200383"/>
                        <wps:cNvSpPr/>
                        <wps:spPr>
                          <a:xfrm rot="-10799999">
                            <a:off x="-1381694" y="1632204"/>
                            <a:ext cx="5308930" cy="142889"/>
                          </a:xfrm>
                          <a:prstGeom prst="rect">
                            <a:avLst/>
                          </a:prstGeom>
                          <a:ln>
                            <a:noFill/>
                          </a:ln>
                        </wps:spPr>
                        <wps:txbx>
                          <w:txbxContent>
                            <w:p w14:paraId="7E8EBCDF" w14:textId="77777777" w:rsidR="00B32EF2" w:rsidRDefault="00000000">
                              <w:r>
                                <w:rPr>
                                  <w:rFonts w:ascii="Arial" w:eastAsia="Arial" w:hAnsi="Arial" w:cs="Arial"/>
                                  <w:sz w:val="18"/>
                                </w:rPr>
                                <w:t xml:space="preserve">. Le parti hanno l’onere di provvedere direttamente alla notificazione della </w:t>
                              </w:r>
                            </w:p>
                          </w:txbxContent>
                        </wps:txbx>
                        <wps:bodyPr horzOverflow="overflow" vert="horz" lIns="0" tIns="0" rIns="0" bIns="0" rtlCol="0">
                          <a:noAutofit/>
                        </wps:bodyPr>
                      </wps:wsp>
                      <wps:wsp>
                        <wps:cNvPr id="16660" name="Rectangle 16660"/>
                        <wps:cNvSpPr/>
                        <wps:spPr>
                          <a:xfrm rot="-10799999">
                            <a:off x="-1317198" y="1505217"/>
                            <a:ext cx="5308990" cy="142889"/>
                          </a:xfrm>
                          <a:prstGeom prst="rect">
                            <a:avLst/>
                          </a:prstGeom>
                          <a:ln>
                            <a:noFill/>
                          </a:ln>
                        </wps:spPr>
                        <wps:txbx>
                          <w:txbxContent>
                            <w:p w14:paraId="5EB4ED20" w14:textId="77777777" w:rsidR="00B32EF2" w:rsidRDefault="00000000">
                              <w:r>
                                <w:rPr>
                                  <w:rFonts w:ascii="Arial" w:eastAsia="Arial" w:hAnsi="Arial" w:cs="Arial"/>
                                  <w:sz w:val="18"/>
                                </w:rPr>
                                <w:t xml:space="preserve">sentenza alle altre parti a norma dell’articolo 60, depositando, nei successivi </w:t>
                              </w:r>
                            </w:p>
                          </w:txbxContent>
                        </wps:txbx>
                        <wps:bodyPr horzOverflow="overflow" vert="horz" lIns="0" tIns="0" rIns="0" bIns="0" rtlCol="0">
                          <a:noAutofit/>
                        </wps:bodyPr>
                      </wps:wsp>
                      <wps:wsp>
                        <wps:cNvPr id="16661" name="Rectangle 16661"/>
                        <wps:cNvSpPr/>
                        <wps:spPr>
                          <a:xfrm rot="-10799999">
                            <a:off x="-1317290" y="1378230"/>
                            <a:ext cx="5309082" cy="142889"/>
                          </a:xfrm>
                          <a:prstGeom prst="rect">
                            <a:avLst/>
                          </a:prstGeom>
                          <a:ln>
                            <a:noFill/>
                          </a:ln>
                        </wps:spPr>
                        <wps:txbx>
                          <w:txbxContent>
                            <w:p w14:paraId="5553DBA1" w14:textId="77777777" w:rsidR="00B32EF2" w:rsidRDefault="00000000">
                              <w:r>
                                <w:rPr>
                                  <w:rFonts w:ascii="Arial" w:eastAsia="Arial" w:hAnsi="Arial" w:cs="Arial"/>
                                  <w:sz w:val="18"/>
                                </w:rPr>
                                <w:t xml:space="preserve">trenta giorni, l’originale o copia autentica dell’originale notificato, ovvero copia </w:t>
                              </w:r>
                            </w:p>
                          </w:txbxContent>
                        </wps:txbx>
                        <wps:bodyPr horzOverflow="overflow" vert="horz" lIns="0" tIns="0" rIns="0" bIns="0" rtlCol="0">
                          <a:noAutofit/>
                        </wps:bodyPr>
                      </wps:wsp>
                      <wps:wsp>
                        <wps:cNvPr id="16662" name="Rectangle 16662"/>
                        <wps:cNvSpPr/>
                        <wps:spPr>
                          <a:xfrm rot="-10799999">
                            <a:off x="-1317184" y="1251242"/>
                            <a:ext cx="5308975" cy="142889"/>
                          </a:xfrm>
                          <a:prstGeom prst="rect">
                            <a:avLst/>
                          </a:prstGeom>
                          <a:ln>
                            <a:noFill/>
                          </a:ln>
                        </wps:spPr>
                        <wps:txbx>
                          <w:txbxContent>
                            <w:p w14:paraId="4183492E" w14:textId="77777777" w:rsidR="00B32EF2" w:rsidRDefault="00000000">
                              <w:r>
                                <w:rPr>
                                  <w:rFonts w:ascii="Arial" w:eastAsia="Arial" w:hAnsi="Arial" w:cs="Arial"/>
                                  <w:sz w:val="18"/>
                                </w:rPr>
                                <w:t xml:space="preserve">autentica della sentenza consegnata o spedita per posta, con fotocopia della </w:t>
                              </w:r>
                            </w:p>
                          </w:txbxContent>
                        </wps:txbx>
                        <wps:bodyPr horzOverflow="overflow" vert="horz" lIns="0" tIns="0" rIns="0" bIns="0" rtlCol="0">
                          <a:noAutofit/>
                        </wps:bodyPr>
                      </wps:wsp>
                      <wps:wsp>
                        <wps:cNvPr id="16663" name="Rectangle 16663"/>
                        <wps:cNvSpPr/>
                        <wps:spPr>
                          <a:xfrm rot="-10799999">
                            <a:off x="-1317229" y="1124255"/>
                            <a:ext cx="5309021" cy="142889"/>
                          </a:xfrm>
                          <a:prstGeom prst="rect">
                            <a:avLst/>
                          </a:prstGeom>
                          <a:ln>
                            <a:noFill/>
                          </a:ln>
                        </wps:spPr>
                        <wps:txbx>
                          <w:txbxContent>
                            <w:p w14:paraId="31844087" w14:textId="77777777" w:rsidR="00B32EF2" w:rsidRDefault="00000000">
                              <w:r>
                                <w:rPr>
                                  <w:rFonts w:ascii="Arial" w:eastAsia="Arial" w:hAnsi="Arial" w:cs="Arial"/>
                                  <w:sz w:val="18"/>
                                </w:rPr>
                                <w:t xml:space="preserve">ricevuta di deposito o della spedizione per raccomandata a mezzo del servizio </w:t>
                              </w:r>
                            </w:p>
                          </w:txbxContent>
                        </wps:txbx>
                        <wps:bodyPr horzOverflow="overflow" vert="horz" lIns="0" tIns="0" rIns="0" bIns="0" rtlCol="0">
                          <a:noAutofit/>
                        </wps:bodyPr>
                      </wps:wsp>
                      <wps:wsp>
                        <wps:cNvPr id="16664" name="Rectangle 16664"/>
                        <wps:cNvSpPr/>
                        <wps:spPr>
                          <a:xfrm rot="-10799999">
                            <a:off x="-1317244" y="997268"/>
                            <a:ext cx="5309036" cy="142889"/>
                          </a:xfrm>
                          <a:prstGeom prst="rect">
                            <a:avLst/>
                          </a:prstGeom>
                          <a:ln>
                            <a:noFill/>
                          </a:ln>
                        </wps:spPr>
                        <wps:txbx>
                          <w:txbxContent>
                            <w:p w14:paraId="2207E1DF" w14:textId="77777777" w:rsidR="00B32EF2" w:rsidRDefault="00000000">
                              <w:r>
                                <w:rPr>
                                  <w:rFonts w:ascii="Arial" w:eastAsia="Arial" w:hAnsi="Arial" w:cs="Arial"/>
                                  <w:sz w:val="18"/>
                                </w:rPr>
                                <w:t xml:space="preserve">postale unitamente all’avviso di ricevimento nella segreteria, che ne rilascia </w:t>
                              </w:r>
                            </w:p>
                          </w:txbxContent>
                        </wps:txbx>
                        <wps:bodyPr horzOverflow="overflow" vert="horz" lIns="0" tIns="0" rIns="0" bIns="0" rtlCol="0">
                          <a:noAutofit/>
                        </wps:bodyPr>
                      </wps:wsp>
                      <wps:wsp>
                        <wps:cNvPr id="16665" name="Rectangle 16665"/>
                        <wps:cNvSpPr/>
                        <wps:spPr>
                          <a:xfrm rot="-10799999">
                            <a:off x="1096391" y="870281"/>
                            <a:ext cx="2895400" cy="142889"/>
                          </a:xfrm>
                          <a:prstGeom prst="rect">
                            <a:avLst/>
                          </a:prstGeom>
                          <a:ln>
                            <a:noFill/>
                          </a:ln>
                        </wps:spPr>
                        <wps:txbx>
                          <w:txbxContent>
                            <w:p w14:paraId="3FA34DEA" w14:textId="77777777" w:rsidR="00B32EF2" w:rsidRDefault="00000000">
                              <w:r>
                                <w:rPr>
                                  <w:rFonts w:ascii="Arial" w:eastAsia="Arial" w:hAnsi="Arial" w:cs="Arial"/>
                                  <w:sz w:val="18"/>
                                </w:rPr>
                                <w:t>ricevuta e l’inserisce nel fascicolo d’ufficio.</w:t>
                              </w:r>
                            </w:p>
                          </w:txbxContent>
                        </wps:txbx>
                        <wps:bodyPr horzOverflow="overflow" vert="horz" lIns="0" tIns="0" rIns="0" bIns="0" rtlCol="0">
                          <a:noAutofit/>
                        </wps:bodyPr>
                      </wps:wsp>
                      <wps:wsp>
                        <wps:cNvPr id="200351" name="Rectangle 200351"/>
                        <wps:cNvSpPr/>
                        <wps:spPr>
                          <a:xfrm rot="-10799999">
                            <a:off x="-1381721" y="743294"/>
                            <a:ext cx="5308990" cy="142889"/>
                          </a:xfrm>
                          <a:prstGeom prst="rect">
                            <a:avLst/>
                          </a:prstGeom>
                          <a:ln>
                            <a:noFill/>
                          </a:ln>
                        </wps:spPr>
                        <wps:txbx>
                          <w:txbxContent>
                            <w:p w14:paraId="104E056F" w14:textId="77777777" w:rsidR="00B32EF2" w:rsidRDefault="00000000">
                              <w:r>
                                <w:rPr>
                                  <w:rFonts w:ascii="Arial" w:eastAsia="Arial" w:hAnsi="Arial" w:cs="Arial"/>
                                  <w:sz w:val="18"/>
                                </w:rPr>
                                <w:t xml:space="preserve">. Se nessuna delle parti provvede alla notificazione della sentenza, si applica </w:t>
                              </w:r>
                            </w:p>
                          </w:txbxContent>
                        </wps:txbx>
                        <wps:bodyPr horzOverflow="overflow" vert="horz" lIns="0" tIns="0" rIns="0" bIns="0" rtlCol="0">
                          <a:noAutofit/>
                        </wps:bodyPr>
                      </wps:wsp>
                      <wps:wsp>
                        <wps:cNvPr id="200350" name="Rectangle 200350"/>
                        <wps:cNvSpPr/>
                        <wps:spPr>
                          <a:xfrm rot="-10799999">
                            <a:off x="2610972" y="743294"/>
                            <a:ext cx="5308990" cy="142889"/>
                          </a:xfrm>
                          <a:prstGeom prst="rect">
                            <a:avLst/>
                          </a:prstGeom>
                          <a:ln>
                            <a:noFill/>
                          </a:ln>
                        </wps:spPr>
                        <wps:txbx>
                          <w:txbxContent>
                            <w:p w14:paraId="709B2132"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6667" name="Rectangle 16667"/>
                        <wps:cNvSpPr/>
                        <wps:spPr>
                          <a:xfrm rot="-10799999">
                            <a:off x="-1317168" y="616306"/>
                            <a:ext cx="5308960" cy="142889"/>
                          </a:xfrm>
                          <a:prstGeom prst="rect">
                            <a:avLst/>
                          </a:prstGeom>
                          <a:ln>
                            <a:noFill/>
                          </a:ln>
                        </wps:spPr>
                        <wps:txbx>
                          <w:txbxContent>
                            <w:p w14:paraId="0996377D" w14:textId="77777777" w:rsidR="00B32EF2" w:rsidRDefault="00000000">
                              <w:r>
                                <w:rPr>
                                  <w:rFonts w:ascii="Arial" w:eastAsia="Arial" w:hAnsi="Arial" w:cs="Arial"/>
                                  <w:sz w:val="18"/>
                                </w:rPr>
                                <w:t xml:space="preserve">l’articolo 327, primo comma, del codice di procedura civile. Tale disposizione </w:t>
                              </w:r>
                            </w:p>
                          </w:txbxContent>
                        </wps:txbx>
                        <wps:bodyPr horzOverflow="overflow" vert="horz" lIns="0" tIns="0" rIns="0" bIns="0" rtlCol="0">
                          <a:noAutofit/>
                        </wps:bodyPr>
                      </wps:wsp>
                      <wps:wsp>
                        <wps:cNvPr id="16668" name="Rectangle 16668"/>
                        <wps:cNvSpPr/>
                        <wps:spPr>
                          <a:xfrm rot="-10799999">
                            <a:off x="-1220621" y="489319"/>
                            <a:ext cx="5212413" cy="142889"/>
                          </a:xfrm>
                          <a:prstGeom prst="rect">
                            <a:avLst/>
                          </a:prstGeom>
                          <a:ln>
                            <a:noFill/>
                          </a:ln>
                        </wps:spPr>
                        <wps:txbx>
                          <w:txbxContent>
                            <w:p w14:paraId="17DB8B3B" w14:textId="77777777" w:rsidR="00B32EF2" w:rsidRDefault="00000000">
                              <w:r>
                                <w:rPr>
                                  <w:rFonts w:ascii="Arial" w:eastAsia="Arial" w:hAnsi="Arial" w:cs="Arial"/>
                                  <w:sz w:val="18"/>
                                </w:rPr>
                                <w:t>non si applica se la parte non costituita dimostri di non avere avuto conoscen</w:t>
                              </w:r>
                            </w:p>
                          </w:txbxContent>
                        </wps:txbx>
                        <wps:bodyPr horzOverflow="overflow" vert="horz" lIns="0" tIns="0" rIns="0" bIns="0" rtlCol="0">
                          <a:noAutofit/>
                        </wps:bodyPr>
                      </wps:wsp>
                      <wps:wsp>
                        <wps:cNvPr id="207838" name="Shape 207838"/>
                        <wps:cNvSpPr/>
                        <wps:spPr>
                          <a:xfrm>
                            <a:off x="22787" y="3803198"/>
                            <a:ext cx="3960000" cy="2183295"/>
                          </a:xfrm>
                          <a:custGeom>
                            <a:avLst/>
                            <a:gdLst/>
                            <a:ahLst/>
                            <a:cxnLst/>
                            <a:rect l="0" t="0" r="0" b="0"/>
                            <a:pathLst>
                              <a:path w="3960000" h="2183295">
                                <a:moveTo>
                                  <a:pt x="0" y="0"/>
                                </a:moveTo>
                                <a:lnTo>
                                  <a:pt x="3960000" y="0"/>
                                </a:lnTo>
                                <a:lnTo>
                                  <a:pt x="3960000" y="2183295"/>
                                </a:lnTo>
                                <a:lnTo>
                                  <a:pt x="0" y="2183295"/>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6671" name="Rectangle 16671"/>
                        <wps:cNvSpPr/>
                        <wps:spPr>
                          <a:xfrm rot="-10799999">
                            <a:off x="2347625" y="5765264"/>
                            <a:ext cx="1557845" cy="142889"/>
                          </a:xfrm>
                          <a:prstGeom prst="rect">
                            <a:avLst/>
                          </a:prstGeom>
                          <a:ln>
                            <a:noFill/>
                          </a:ln>
                        </wps:spPr>
                        <wps:txbx>
                          <w:txbxContent>
                            <w:p w14:paraId="2EF32DFA" w14:textId="77777777" w:rsidR="00B32EF2" w:rsidRDefault="00000000">
                              <w:r>
                                <w:rPr>
                                  <w:rFonts w:ascii="Arial" w:eastAsia="Arial" w:hAnsi="Arial" w:cs="Arial"/>
                                  <w:b/>
                                  <w:i/>
                                  <w:sz w:val="18"/>
                                </w:rPr>
                                <w:t>NORME COLLEGATE</w:t>
                              </w:r>
                            </w:p>
                          </w:txbxContent>
                        </wps:txbx>
                        <wps:bodyPr horzOverflow="overflow" vert="horz" lIns="0" tIns="0" rIns="0" bIns="0" rtlCol="0">
                          <a:noAutofit/>
                        </wps:bodyPr>
                      </wps:wsp>
                      <wps:wsp>
                        <wps:cNvPr id="16672" name="Rectangle 16672"/>
                        <wps:cNvSpPr/>
                        <wps:spPr>
                          <a:xfrm rot="-10799999">
                            <a:off x="1051180" y="5628104"/>
                            <a:ext cx="2853261" cy="142889"/>
                          </a:xfrm>
                          <a:prstGeom prst="rect">
                            <a:avLst/>
                          </a:prstGeom>
                          <a:ln>
                            <a:noFill/>
                          </a:ln>
                        </wps:spPr>
                        <wps:txbx>
                          <w:txbxContent>
                            <w:p w14:paraId="68ABD5A6" w14:textId="77777777" w:rsidR="00B32EF2" w:rsidRDefault="00000000">
                              <w:r>
                                <w:rPr>
                                  <w:rFonts w:ascii="Arial" w:eastAsia="Arial" w:hAnsi="Arial" w:cs="Arial"/>
                                  <w:i/>
                                  <w:sz w:val="18"/>
                                </w:rPr>
                                <w:t xml:space="preserve">art. 132 c.p.c. “Contenuto della sentenza” </w:t>
                              </w:r>
                            </w:p>
                          </w:txbxContent>
                        </wps:txbx>
                        <wps:bodyPr horzOverflow="overflow" vert="horz" lIns="0" tIns="0" rIns="0" bIns="0" rtlCol="0">
                          <a:noAutofit/>
                        </wps:bodyPr>
                      </wps:wsp>
                      <wps:wsp>
                        <wps:cNvPr id="200401" name="Rectangle 200401"/>
                        <wps:cNvSpPr/>
                        <wps:spPr>
                          <a:xfrm rot="-10799999">
                            <a:off x="-1257208" y="5490945"/>
                            <a:ext cx="5107048" cy="142889"/>
                          </a:xfrm>
                          <a:prstGeom prst="rect">
                            <a:avLst/>
                          </a:prstGeom>
                          <a:ln>
                            <a:noFill/>
                          </a:ln>
                        </wps:spPr>
                        <wps:txbx>
                          <w:txbxContent>
                            <w:p w14:paraId="08A4FF93" w14:textId="77777777" w:rsidR="00B32EF2" w:rsidRDefault="00000000">
                              <w:r>
                                <w:rPr>
                                  <w:rFonts w:ascii="Arial" w:eastAsia="Arial" w:hAnsi="Arial" w:cs="Arial"/>
                                  <w:i/>
                                  <w:sz w:val="18"/>
                                </w:rPr>
                                <w:t xml:space="preserve">. La sentenza reca l’intestazione «Repubblica italiana», ed è pronunciata </w:t>
                              </w:r>
                            </w:p>
                          </w:txbxContent>
                        </wps:txbx>
                        <wps:bodyPr horzOverflow="overflow" vert="horz" lIns="0" tIns="0" rIns="0" bIns="0" rtlCol="0">
                          <a:noAutofit/>
                        </wps:bodyPr>
                      </wps:wsp>
                      <wps:wsp>
                        <wps:cNvPr id="200399" name="Rectangle 200399"/>
                        <wps:cNvSpPr/>
                        <wps:spPr>
                          <a:xfrm rot="-10799999">
                            <a:off x="2573728" y="5490945"/>
                            <a:ext cx="5107049" cy="142889"/>
                          </a:xfrm>
                          <a:prstGeom prst="rect">
                            <a:avLst/>
                          </a:prstGeom>
                          <a:ln>
                            <a:noFill/>
                          </a:ln>
                        </wps:spPr>
                        <wps:txbx>
                          <w:txbxContent>
                            <w:p w14:paraId="76BC0EFD"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16674" name="Rectangle 16674"/>
                        <wps:cNvSpPr/>
                        <wps:spPr>
                          <a:xfrm rot="-10799999">
                            <a:off x="-1200860" y="5353785"/>
                            <a:ext cx="5120274" cy="142889"/>
                          </a:xfrm>
                          <a:prstGeom prst="rect">
                            <a:avLst/>
                          </a:prstGeom>
                          <a:ln>
                            <a:noFill/>
                          </a:ln>
                        </wps:spPr>
                        <wps:txbx>
                          <w:txbxContent>
                            <w:p w14:paraId="0BB99C30" w14:textId="77777777" w:rsidR="00B32EF2" w:rsidRDefault="00000000">
                              <w:r>
                                <w:rPr>
                                  <w:rFonts w:ascii="Arial" w:eastAsia="Arial" w:hAnsi="Arial" w:cs="Arial"/>
                                  <w:i/>
                                  <w:sz w:val="18"/>
                                </w:rPr>
                                <w:t xml:space="preserve">«In nome del popolo italiano». Essa deve contenere: 1) l’indicazione del </w:t>
                              </w:r>
                            </w:p>
                          </w:txbxContent>
                        </wps:txbx>
                        <wps:bodyPr horzOverflow="overflow" vert="horz" lIns="0" tIns="0" rIns="0" bIns="0" rtlCol="0">
                          <a:noAutofit/>
                        </wps:bodyPr>
                      </wps:wsp>
                      <wps:wsp>
                        <wps:cNvPr id="16675" name="Rectangle 16675"/>
                        <wps:cNvSpPr/>
                        <wps:spPr>
                          <a:xfrm rot="-10799999">
                            <a:off x="-1196292" y="5216624"/>
                            <a:ext cx="5100390" cy="142889"/>
                          </a:xfrm>
                          <a:prstGeom prst="rect">
                            <a:avLst/>
                          </a:prstGeom>
                          <a:ln>
                            <a:noFill/>
                          </a:ln>
                        </wps:spPr>
                        <wps:txbx>
                          <w:txbxContent>
                            <w:p w14:paraId="05B357FC" w14:textId="77777777" w:rsidR="00B32EF2" w:rsidRDefault="00000000">
                              <w:r>
                                <w:rPr>
                                  <w:rFonts w:ascii="Arial" w:eastAsia="Arial" w:hAnsi="Arial" w:cs="Arial"/>
                                  <w:i/>
                                  <w:sz w:val="18"/>
                                </w:rPr>
                                <w:t xml:space="preserve">giudice che l’ha pronunciata; 2) l’indicazione delle parti e dei loro difensori; </w:t>
                              </w:r>
                            </w:p>
                          </w:txbxContent>
                        </wps:txbx>
                        <wps:bodyPr horzOverflow="overflow" vert="horz" lIns="0" tIns="0" rIns="0" bIns="0" rtlCol="0">
                          <a:noAutofit/>
                        </wps:bodyPr>
                      </wps:wsp>
                      <wps:wsp>
                        <wps:cNvPr id="200397" name="Rectangle 200397"/>
                        <wps:cNvSpPr/>
                        <wps:spPr>
                          <a:xfrm rot="-10799999">
                            <a:off x="2533101" y="5079464"/>
                            <a:ext cx="5116412" cy="142889"/>
                          </a:xfrm>
                          <a:prstGeom prst="rect">
                            <a:avLst/>
                          </a:prstGeom>
                          <a:ln>
                            <a:noFill/>
                          </a:ln>
                        </wps:spPr>
                        <wps:txbx>
                          <w:txbxContent>
                            <w:p w14:paraId="465907DB"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0398" name="Rectangle 200398"/>
                        <wps:cNvSpPr/>
                        <wps:spPr>
                          <a:xfrm rot="-10799999">
                            <a:off x="-1302280" y="5079464"/>
                            <a:ext cx="5116413" cy="142889"/>
                          </a:xfrm>
                          <a:prstGeom prst="rect">
                            <a:avLst/>
                          </a:prstGeom>
                          <a:ln>
                            <a:noFill/>
                          </a:ln>
                        </wps:spPr>
                        <wps:txbx>
                          <w:txbxContent>
                            <w:p w14:paraId="736E3E78" w14:textId="77777777" w:rsidR="00B32EF2" w:rsidRDefault="00000000">
                              <w:r>
                                <w:rPr>
                                  <w:rFonts w:ascii="Arial" w:eastAsia="Arial" w:hAnsi="Arial" w:cs="Arial"/>
                                  <w:i/>
                                  <w:sz w:val="18"/>
                                </w:rPr>
                                <w:t xml:space="preserve"> le conclusioni del pubblico ministero e quelle delle parti; 4) la concisa </w:t>
                              </w:r>
                            </w:p>
                          </w:txbxContent>
                        </wps:txbx>
                        <wps:bodyPr horzOverflow="overflow" vert="horz" lIns="0" tIns="0" rIns="0" bIns="0" rtlCol="0">
                          <a:noAutofit/>
                        </wps:bodyPr>
                      </wps:wsp>
                      <wps:wsp>
                        <wps:cNvPr id="16677" name="Rectangle 16677"/>
                        <wps:cNvSpPr/>
                        <wps:spPr>
                          <a:xfrm rot="-10799999">
                            <a:off x="-1195553" y="4942304"/>
                            <a:ext cx="5097136" cy="142889"/>
                          </a:xfrm>
                          <a:prstGeom prst="rect">
                            <a:avLst/>
                          </a:prstGeom>
                          <a:ln>
                            <a:noFill/>
                          </a:ln>
                        </wps:spPr>
                        <wps:txbx>
                          <w:txbxContent>
                            <w:p w14:paraId="570E94C1" w14:textId="77777777" w:rsidR="00B32EF2" w:rsidRDefault="00000000">
                              <w:r>
                                <w:rPr>
                                  <w:rFonts w:ascii="Arial" w:eastAsia="Arial" w:hAnsi="Arial" w:cs="Arial"/>
                                  <w:i/>
                                  <w:sz w:val="18"/>
                                </w:rPr>
                                <w:t xml:space="preserve">esposizione delle ragioni di fatto e di diritto della decisione; 5) il dispositivo, </w:t>
                              </w:r>
                            </w:p>
                          </w:txbxContent>
                        </wps:txbx>
                        <wps:bodyPr horzOverflow="overflow" vert="horz" lIns="0" tIns="0" rIns="0" bIns="0" rtlCol="0">
                          <a:noAutofit/>
                        </wps:bodyPr>
                      </wps:wsp>
                      <wps:wsp>
                        <wps:cNvPr id="16678" name="Rectangle 16678"/>
                        <wps:cNvSpPr/>
                        <wps:spPr>
                          <a:xfrm rot="-10799999">
                            <a:off x="-19702" y="4805145"/>
                            <a:ext cx="3924143" cy="142889"/>
                          </a:xfrm>
                          <a:prstGeom prst="rect">
                            <a:avLst/>
                          </a:prstGeom>
                          <a:ln>
                            <a:noFill/>
                          </a:ln>
                        </wps:spPr>
                        <wps:txbx>
                          <w:txbxContent>
                            <w:p w14:paraId="364F4771" w14:textId="77777777" w:rsidR="00B32EF2" w:rsidRDefault="00000000">
                              <w:r>
                                <w:rPr>
                                  <w:rFonts w:ascii="Arial" w:eastAsia="Arial" w:hAnsi="Arial" w:cs="Arial"/>
                                  <w:i/>
                                  <w:sz w:val="18"/>
                                </w:rPr>
                                <w:t xml:space="preserve">la data della deliberazione e la sottoscrizione del giudice. </w:t>
                              </w:r>
                            </w:p>
                          </w:txbxContent>
                        </wps:txbx>
                        <wps:bodyPr horzOverflow="overflow" vert="horz" lIns="0" tIns="0" rIns="0" bIns="0" rtlCol="0">
                          <a:noAutofit/>
                        </wps:bodyPr>
                      </wps:wsp>
                      <wps:wsp>
                        <wps:cNvPr id="200395" name="Rectangle 200395"/>
                        <wps:cNvSpPr/>
                        <wps:spPr>
                          <a:xfrm rot="-10799999">
                            <a:off x="-1164008" y="4667984"/>
                            <a:ext cx="5003721" cy="142889"/>
                          </a:xfrm>
                          <a:prstGeom prst="rect">
                            <a:avLst/>
                          </a:prstGeom>
                          <a:ln>
                            <a:noFill/>
                          </a:ln>
                        </wps:spPr>
                        <wps:txbx>
                          <w:txbxContent>
                            <w:p w14:paraId="05E73D2B" w14:textId="77777777" w:rsidR="00B32EF2" w:rsidRDefault="00000000">
                              <w:r>
                                <w:rPr>
                                  <w:rFonts w:ascii="Arial" w:eastAsia="Arial" w:hAnsi="Arial" w:cs="Arial"/>
                                  <w:i/>
                                  <w:sz w:val="18"/>
                                </w:rPr>
                                <w:t>. La sentenza emessa dal giudice collegiale è sottoscritta soltanto dal pre</w:t>
                              </w:r>
                            </w:p>
                          </w:txbxContent>
                        </wps:txbx>
                        <wps:bodyPr horzOverflow="overflow" vert="horz" lIns="0" tIns="0" rIns="0" bIns="0" rtlCol="0">
                          <a:noAutofit/>
                        </wps:bodyPr>
                      </wps:wsp>
                      <wps:wsp>
                        <wps:cNvPr id="200394" name="Rectangle 200394"/>
                        <wps:cNvSpPr/>
                        <wps:spPr>
                          <a:xfrm rot="-10799999">
                            <a:off x="2599365" y="4667984"/>
                            <a:ext cx="5003720" cy="142889"/>
                          </a:xfrm>
                          <a:prstGeom prst="rect">
                            <a:avLst/>
                          </a:prstGeom>
                          <a:ln>
                            <a:noFill/>
                          </a:ln>
                        </wps:spPr>
                        <wps:txbx>
                          <w:txbxContent>
                            <w:p w14:paraId="248598FE"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16680" name="Rectangle 16680"/>
                        <wps:cNvSpPr/>
                        <wps:spPr>
                          <a:xfrm rot="-10799999">
                            <a:off x="88547" y="4667984"/>
                            <a:ext cx="50622" cy="142889"/>
                          </a:xfrm>
                          <a:prstGeom prst="rect">
                            <a:avLst/>
                          </a:prstGeom>
                          <a:ln>
                            <a:noFill/>
                          </a:ln>
                        </wps:spPr>
                        <wps:txbx>
                          <w:txbxContent>
                            <w:p w14:paraId="3C6F1D8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681" name="Rectangle 16681"/>
                        <wps:cNvSpPr/>
                        <wps:spPr>
                          <a:xfrm rot="-10799999">
                            <a:off x="-1197025" y="4530824"/>
                            <a:ext cx="5102610" cy="142889"/>
                          </a:xfrm>
                          <a:prstGeom prst="rect">
                            <a:avLst/>
                          </a:prstGeom>
                          <a:ln>
                            <a:noFill/>
                          </a:ln>
                        </wps:spPr>
                        <wps:txbx>
                          <w:txbxContent>
                            <w:p w14:paraId="5323C457" w14:textId="77777777" w:rsidR="00B32EF2" w:rsidRDefault="00000000">
                              <w:r>
                                <w:rPr>
                                  <w:rFonts w:ascii="Arial" w:eastAsia="Arial" w:hAnsi="Arial" w:cs="Arial"/>
                                  <w:i/>
                                  <w:sz w:val="18"/>
                                </w:rPr>
                                <w:t xml:space="preserve">sidente e dal giudice estensore. Se il presidente non può sottoscrivere per </w:t>
                              </w:r>
                            </w:p>
                          </w:txbxContent>
                        </wps:txbx>
                        <wps:bodyPr horzOverflow="overflow" vert="horz" lIns="0" tIns="0" rIns="0" bIns="0" rtlCol="0">
                          <a:noAutofit/>
                        </wps:bodyPr>
                      </wps:wsp>
                      <wps:wsp>
                        <wps:cNvPr id="16682" name="Rectangle 16682"/>
                        <wps:cNvSpPr/>
                        <wps:spPr>
                          <a:xfrm rot="-10799999">
                            <a:off x="-1098413" y="4393664"/>
                            <a:ext cx="5002854" cy="142889"/>
                          </a:xfrm>
                          <a:prstGeom prst="rect">
                            <a:avLst/>
                          </a:prstGeom>
                          <a:ln>
                            <a:noFill/>
                          </a:ln>
                        </wps:spPr>
                        <wps:txbx>
                          <w:txbxContent>
                            <w:p w14:paraId="37B80E4D" w14:textId="77777777" w:rsidR="00B32EF2" w:rsidRDefault="00000000">
                              <w:r>
                                <w:rPr>
                                  <w:rFonts w:ascii="Arial" w:eastAsia="Arial" w:hAnsi="Arial" w:cs="Arial"/>
                                  <w:i/>
                                  <w:sz w:val="18"/>
                                </w:rPr>
                                <w:t>morte o per altro impedimento, la sentenza viene sottoscritta dal compo</w:t>
                              </w:r>
                            </w:p>
                          </w:txbxContent>
                        </wps:txbx>
                        <wps:bodyPr horzOverflow="overflow" vert="horz" lIns="0" tIns="0" rIns="0" bIns="0" rtlCol="0">
                          <a:noAutofit/>
                        </wps:bodyPr>
                      </wps:wsp>
                      <wps:wsp>
                        <wps:cNvPr id="16683" name="Rectangle 16683"/>
                        <wps:cNvSpPr/>
                        <wps:spPr>
                          <a:xfrm rot="-10799999">
                            <a:off x="88547" y="4393665"/>
                            <a:ext cx="50622" cy="142889"/>
                          </a:xfrm>
                          <a:prstGeom prst="rect">
                            <a:avLst/>
                          </a:prstGeom>
                          <a:ln>
                            <a:noFill/>
                          </a:ln>
                        </wps:spPr>
                        <wps:txbx>
                          <w:txbxContent>
                            <w:p w14:paraId="2300AFD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684" name="Rectangle 16684"/>
                        <wps:cNvSpPr/>
                        <wps:spPr>
                          <a:xfrm rot="-10799999">
                            <a:off x="-1099614" y="4256505"/>
                            <a:ext cx="5004056" cy="142889"/>
                          </a:xfrm>
                          <a:prstGeom prst="rect">
                            <a:avLst/>
                          </a:prstGeom>
                          <a:ln>
                            <a:noFill/>
                          </a:ln>
                        </wps:spPr>
                        <wps:txbx>
                          <w:txbxContent>
                            <w:p w14:paraId="47B35E3B" w14:textId="77777777" w:rsidR="00B32EF2" w:rsidRDefault="00000000">
                              <w:r>
                                <w:rPr>
                                  <w:rFonts w:ascii="Arial" w:eastAsia="Arial" w:hAnsi="Arial" w:cs="Arial"/>
                                  <w:i/>
                                  <w:sz w:val="18"/>
                                </w:rPr>
                                <w:t>nente più anziano del collegio, purché prima della sottoscrizione sia men</w:t>
                              </w:r>
                            </w:p>
                          </w:txbxContent>
                        </wps:txbx>
                        <wps:bodyPr horzOverflow="overflow" vert="horz" lIns="0" tIns="0" rIns="0" bIns="0" rtlCol="0">
                          <a:noAutofit/>
                        </wps:bodyPr>
                      </wps:wsp>
                      <wps:wsp>
                        <wps:cNvPr id="16685" name="Rectangle 16685"/>
                        <wps:cNvSpPr/>
                        <wps:spPr>
                          <a:xfrm rot="-10799999">
                            <a:off x="88547" y="4256504"/>
                            <a:ext cx="50622" cy="142889"/>
                          </a:xfrm>
                          <a:prstGeom prst="rect">
                            <a:avLst/>
                          </a:prstGeom>
                          <a:ln>
                            <a:noFill/>
                          </a:ln>
                        </wps:spPr>
                        <wps:txbx>
                          <w:txbxContent>
                            <w:p w14:paraId="027F80D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686" name="Rectangle 16686"/>
                        <wps:cNvSpPr/>
                        <wps:spPr>
                          <a:xfrm rot="-10799999">
                            <a:off x="-1194212" y="4119344"/>
                            <a:ext cx="5093853" cy="142889"/>
                          </a:xfrm>
                          <a:prstGeom prst="rect">
                            <a:avLst/>
                          </a:prstGeom>
                          <a:ln>
                            <a:noFill/>
                          </a:ln>
                        </wps:spPr>
                        <wps:txbx>
                          <w:txbxContent>
                            <w:p w14:paraId="6494FC48" w14:textId="77777777" w:rsidR="00B32EF2" w:rsidRDefault="00000000">
                              <w:r>
                                <w:rPr>
                                  <w:rFonts w:ascii="Arial" w:eastAsia="Arial" w:hAnsi="Arial" w:cs="Arial"/>
                                  <w:i/>
                                  <w:sz w:val="18"/>
                                </w:rPr>
                                <w:t xml:space="preserve">zionato l’impedimento; se l’estensore non può sottoscrivere la sentenza per </w:t>
                              </w:r>
                            </w:p>
                          </w:txbxContent>
                        </wps:txbx>
                        <wps:bodyPr horzOverflow="overflow" vert="horz" lIns="0" tIns="0" rIns="0" bIns="0" rtlCol="0">
                          <a:noAutofit/>
                        </wps:bodyPr>
                      </wps:wsp>
                      <wps:wsp>
                        <wps:cNvPr id="16687" name="Rectangle 16687"/>
                        <wps:cNvSpPr/>
                        <wps:spPr>
                          <a:xfrm rot="-10799999">
                            <a:off x="-1099933" y="3982184"/>
                            <a:ext cx="5004375" cy="142889"/>
                          </a:xfrm>
                          <a:prstGeom prst="rect">
                            <a:avLst/>
                          </a:prstGeom>
                          <a:ln>
                            <a:noFill/>
                          </a:ln>
                        </wps:spPr>
                        <wps:txbx>
                          <w:txbxContent>
                            <w:p w14:paraId="72400171" w14:textId="77777777" w:rsidR="00B32EF2" w:rsidRDefault="00000000">
                              <w:r>
                                <w:rPr>
                                  <w:rFonts w:ascii="Arial" w:eastAsia="Arial" w:hAnsi="Arial" w:cs="Arial"/>
                                  <w:i/>
                                  <w:sz w:val="18"/>
                                </w:rPr>
                                <w:t>morte o altro impedimento è sufficiente la sottoscrizione del solo presiden</w:t>
                              </w:r>
                            </w:p>
                          </w:txbxContent>
                        </wps:txbx>
                        <wps:bodyPr horzOverflow="overflow" vert="horz" lIns="0" tIns="0" rIns="0" bIns="0" rtlCol="0">
                          <a:noAutofit/>
                        </wps:bodyPr>
                      </wps:wsp>
                      <wps:wsp>
                        <wps:cNvPr id="16688" name="Rectangle 16688"/>
                        <wps:cNvSpPr/>
                        <wps:spPr>
                          <a:xfrm rot="-10799999">
                            <a:off x="88547" y="3982184"/>
                            <a:ext cx="50622" cy="142889"/>
                          </a:xfrm>
                          <a:prstGeom prst="rect">
                            <a:avLst/>
                          </a:prstGeom>
                          <a:ln>
                            <a:noFill/>
                          </a:ln>
                        </wps:spPr>
                        <wps:txbx>
                          <w:txbxContent>
                            <w:p w14:paraId="17940C3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689" name="Rectangle 16689"/>
                        <wps:cNvSpPr/>
                        <wps:spPr>
                          <a:xfrm rot="-10799999">
                            <a:off x="-670176" y="3845024"/>
                            <a:ext cx="4574617" cy="142889"/>
                          </a:xfrm>
                          <a:prstGeom prst="rect">
                            <a:avLst/>
                          </a:prstGeom>
                          <a:ln>
                            <a:noFill/>
                          </a:ln>
                        </wps:spPr>
                        <wps:txbx>
                          <w:txbxContent>
                            <w:p w14:paraId="4E775742" w14:textId="77777777" w:rsidR="00B32EF2" w:rsidRDefault="00000000">
                              <w:r>
                                <w:rPr>
                                  <w:rFonts w:ascii="Arial" w:eastAsia="Arial" w:hAnsi="Arial" w:cs="Arial"/>
                                  <w:i/>
                                  <w:sz w:val="18"/>
                                </w:rPr>
                                <w:t>te, purché prima della sottoscrizione sia menzionato l’impedimento.</w:t>
                              </w:r>
                            </w:p>
                          </w:txbxContent>
                        </wps:txbx>
                        <wps:bodyPr horzOverflow="overflow" vert="horz" lIns="0" tIns="0" rIns="0" bIns="0" rtlCol="0">
                          <a:noAutofit/>
                        </wps:bodyPr>
                      </wps:wsp>
                      <wps:wsp>
                        <wps:cNvPr id="16690" name="Shape 16690"/>
                        <wps:cNvSpPr/>
                        <wps:spPr>
                          <a:xfrm>
                            <a:off x="22785" y="3803201"/>
                            <a:ext cx="3960000" cy="2183295"/>
                          </a:xfrm>
                          <a:custGeom>
                            <a:avLst/>
                            <a:gdLst/>
                            <a:ahLst/>
                            <a:cxnLst/>
                            <a:rect l="0" t="0" r="0" b="0"/>
                            <a:pathLst>
                              <a:path w="3960000" h="2183295">
                                <a:moveTo>
                                  <a:pt x="0" y="2183295"/>
                                </a:moveTo>
                                <a:lnTo>
                                  <a:pt x="3960000" y="2183295"/>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A01C094" id="Group 200645" o:spid="_x0000_s2721" style="width:314.3pt;height:493.15pt;mso-position-horizontal-relative:char;mso-position-vertical-relative:line" coordsize="39917,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LgrgsAAOF8AAAOAAAAZHJzL2Uyb0RvYy54bWzkXetu2zgW/r/AvIPh/25EUjcGTQeLzkyx&#10;wGJnMJcHUBw5NiBbhqQ26T79foekKEtmpl0JCAMwBVKFkijqfDr3o6P3Pz4fq9WXsmkP9eluzd5F&#10;61V52tYPh9Pj3fqvP3/Z5OtV2xWnh6KqT+Xd+mvZrn/88MM/3j+db0te7+vqoWxWmOTU3j6d79b7&#10;rjvf3ty02315LNp39bk8Yeeubo5Fhz+bx5uHpnjC7MfqhkdRevNUNw/npt6WbYvRn/TO9Qc1/25X&#10;brtfd7u27FbV3Rpr69TvRv2+p983H94Xt49Ncd4ftmYZxYxVHIvDCRe1U/1UdMXqc3O4mup42DZ1&#10;W++6d9v6eFPvdodtqe4Bd8Oiyd18aurPZ3Uvj7dPj2dLJpB2QqfZ027/8+VTc/7j/FsDSjydH0EL&#10;9Rfdy/OuOdL/WOXqWZHsqyVZ+dytthgUUrJMsvVqi30pT3mexJqo2z0of3Xedv/zN8686S98M1rO&#10;0xkPSDvQoF1Ggz/2xblUpG1vQYPfmtXhAc9vmsZ4Sk7FEY/q73h4itNjVa70sCKQOtqSq71tQbme&#10;VqumxvO1YVEm6Uc9D4Z2TEZRnGXrFai0STn+1ETqyciyXKRSU5EnURqntN+Sorg9N233qayPK9q4&#10;WzdYm5q/+PLvttOH9ofQcqoT/T7VvxyqSu+lEVC0XzFtdc/3z+a2uVoPDd7XD19BjX3d/PdX8PWu&#10;qp/u1rXZWhOr4/K0d72q/nUCCsRV/UbTb9z3G01XfawV7+kF/fNzV+8OasXD1czKAC89g6+AMyRH&#10;HPFroM34EqR5KpKYAUriB8akTA0/9FAnnEVxmmqsWcxz/Sy8ItaMnq2B+iFgLV7AWvSkgAz4/7l6&#10;w3gumNRs/UbB5v0dBsHYJKkdfK2Hl7A1k0xiYsvUCZG1uLVMHaUcu0kJEkvnkna/Ikvb5zgYlB0c&#10;TShbQsxiaBYzkQhMDRwTiO5UTIQ3T7KcJ7Bpe6RfXXirBQUjvAnS+Fp26+FF/AwjK5MAEkiLhMsU&#10;2yOOzlkkcjwJPdCvztJKwgQDNCwvIR08bcYXQc1SIROtpEUcpSKdQM1krI1zb1graz8srB1aWmFt&#10;7ZVZAnzDE0naV7G1wjobs7V/rNWCwsIa4YGpS62wto7ILKw55yyLMDeJ8LfJ10rQBIM1aWX4tVOo&#10;9fASCb5heRRTYIaQhssFzTzmahHnmaBre5PgyuAPBmniXpKyU6jN+BKsecoimQFKwpolaZQoKXHh&#10;aokolxmMQl9Yi+BiZQJejhNr7f3QYz9Lgm+YyJQ59g2wE49gWx0VjGcNp2jK1yTCrS6bCzXLOAPb&#10;El9HXCLGPZbhiYgQJPcow4U1PYOB2iHCCWqrzJZDDaB5BHE+8q39Q23DRKFAnTgkOKDG8BJlDQEO&#10;rk60v8WzLAELO6CGCvenrYMLmBG1HQJc21ELdDXPYmkiZhzqgCGBNuZqniKkhufMm2EWVsiM2NcR&#10;RdHDS7iaJVGepjrbwYWMGZ8EUXJkOyhK7g3o8OJlucOxVt6WJcUsXY0YCgdfK6uM8zRj8LJHTI14&#10;WQwvzCPW4cXLcsSqpwJcYW1JMQvrDUntWMfB3yjW1scIwixTmDq8LTO+SISzlGXwsMjbeqNYWycj&#10;CKxJKwOOKVvr4SVIb3icpJlR1hDfLFG+zRAvE4lEaaFHC1yrlLBiow6oFVdbZ2SWBEdtWSwRplBc&#10;HcH3QhnZSFujtoyj/MSfto7DCpcpTBGdnLK1GV/E17C6ZY66zG+ADX3uywxHpZW5w2BEuMMKJxG+&#10;zAgfassgqB1M7be2bCipCgZlh/1NKC80v1WszPhaLM9hoE2ymCoselkZ/No1Ryi1Co2hHeY3QW0d&#10;kVl6GsY3frT1zbJElY6O9DQXORMUYfEmusMKlSl9DHI79bTVYrOwVvlq8tjhaaHQjPPoOq+VS+SM&#10;/WFttVMQAlxh/UIlIQo6l9lk4NtUGsZ+m2BbJRUE2JDVqTuzheGFULOMmXQHAuLwrBRlB78a2jqX&#10;PtMdQ0Y+GKjdma3UOp2zJLhOYhKSJMIFCvx1hc8IahnlPtV1cMEyMo6m2pqYfZmyVlCz3AhwnlC0&#10;hMTECGpUl3ksOBoy8sFwtUNZE9SLdTVKE7guTWAEdDJ9Z4sKjrjHwOiQkQ8GakdclKC2fucCAU7v&#10;CUGAS5nx6QseyrEWHpOYyNMbYyQYpB1RUULa+p2zkEZpMN7lAcsC6DyLeD6pDcbL1EkcefS1dPIl&#10;qFyHq9yIfLBBus2CGqo6p4pRhXUWCw6361pT+7S/daOLsLB2+FoK62XOlq75h8UHtn6bUFuxFYz8&#10;dsfAUxtemMvU8KqhngnpFOEy1HtfMzV59L4Co0MqJxik3SFwbUMtKRflyFtp8R0jAIqWKGOkKVXN&#10;PBYRDumcIJBGFX6O1+aMU63aH63MmDFNX+ZocpBNIyNUC5pgt8gjgDpJYQmZRvjR/MtZDrWtROdF&#10;K4ztZ93JiCbtuxehb9aD7mOEsX2/tX0+9ZvU7+hvW3idi47Oo0lpc4WmRXYte9RAmaXQ/iO6Gf1Z&#10;qyO7SX8qLHPYW50uj7KzQXIpbYdj+yP6/89qvssj++uCxC8eD2phzu8/cnx1TEs3rOa3RMDgJZmr&#10;E9GDUCnQYm1XFbp31PHQofdadTgi7MUzgq1fpmnIpJtbkQxou69VSSSrTr+XOzSNUv3AaKBtHu8/&#10;Vs3qS0FdntSPbkxVnfeFGTXzmkMNKTAPnb9Dhyo7JVOnjqb8KOifmcEcTOeVqrmbPTPSZ27NanSH&#10;N/RJw033fd5AFHuSunJ96uz5J3SnUxe5uNvBtCO60F+v16EKvlIG4ekIgWEYy6HVvMywf9OJjIs4&#10;Szm8MzxzSYYK8ul7WCxBj5PYZwTMJl+DEMyEtDvYieElSDO8OosXpzXSaMyHtmM03xDrRK8+AdPb&#10;o7EVVlgbnhLqM6+Z2owvwRqdyJKMR9qwTmIZSXDwCOwEbQkjpIy8WdZDQi4Itia3GD0gryS4GV8C&#10;NqAWGVV5kgh/GWtc3JcXNWTkgsCaRLg7so3hJUiDrSO8i2VkOFqTZfkVW/NIvcDjDWqrpIKB2h3a&#10;RtJwGdRMptz0GES1AVKdE3UNCQ6RQlY8+N5Hl8EhIxcE1EpSO8JgZnwJ2BxNBplpXZSgXXA8NcJh&#10;uaV479Ij1lZwhYO1jY4MnZ8V1tYfmeVwIZERcd7b4S+D7TEUNmTlggCb1LWDr/XwErbeoN9zkiAH&#10;SJZZLGMUEk1lOHobofLXI1+HVQxKmDrYWg8vg1oi/6yBzuFoT90tIRHdxqsT/pS1zdQEwdNKUDsM&#10;MzO+DGroYpjhGmw8UBIFZJhwCKQkMMxUqtqbZWZVVDhgOxwuBbY1XGZpazSzkQL6UEnwl7H2aYWH&#10;FTSDqCbbyREIx/ASts7xpRL92ga+xuDiaa8d3TN7c0FwNKHsiIzq4SUok0kGRW0Ymmr2HW411Z/4&#10;09RDQicYqN35DlTYL4M6gmamkgKyvtFN3NSVjvS0+j6RN6NsyOgEAzXgcMnuZcXdF7Jb4TwNivp9&#10;YzqzNxcMyg5jjGT3MlsMX9LCNzjMe7So30e3wiugkVHz2Z1qiO8HA7XDySKol0W/Lxha4XzlYPk1&#10;xuzNBYOyu9EFutAt09BoJ4e6P62hYZkJ3XHgUkNLgaoEj8aYvcNgoHaHQlHltwxqyG5pPqUk0MiG&#10;3rrDhJdQR7Hw+aYdYsDmDoOB2h0KzW30aFbIZJDdL+DsV3bbmwsGZUfVCWloGzeahfImxbdW+u8y&#10;oD4wmvrRcZLF6GnjUXTbGwwFaSoG0M6VrucGyhj6ptgmKXxRzq1jI1TOjfZTYxltS5kpsD2uUO4/&#10;DnxZZ/yGyrnHi/2eou7xGX1Jd///dWn3UC2ty8THRwIZkGx6zLaq2xL4fH/RtirMBk+9WLitK671&#10;nI5v/LoKtx1V1qZwu5/GVZttKqznlXu/icJt9UFpfEdb0d9885s+1H35tyr0Hr5M/uF/AAAA//8D&#10;AFBLAwQUAAYACAAAACEAGA0GbN0AAAAFAQAADwAAAGRycy9kb3ducmV2LnhtbEyPQUvDQBCF74L/&#10;YRnBm92kxRDTbEop6qkItoL0Ns1Ok9DsbMhuk/Tfu3qpl4HHe7z3Tb6aTCsG6l1jWUE8i0AQl1Y3&#10;XCn42r89pSCcR9bYWiYFV3KwKu7vcsy0HfmThp2vRChhl6GC2vsuk9KVNRl0M9sRB+9ke4M+yL6S&#10;uscxlJtWzqMokQYbDgs1drSpqTzvLkbB+4jjehG/DtvzaXM97J8/vrcxKfX4MK2XIDxN/haGX/yA&#10;DkVgOtoLaydaBeER/3eDl8zTBMRRwUuaLEAWufxPX/wAAAD//wMAUEsBAi0AFAAGAAgAAAAhALaD&#10;OJL+AAAA4QEAABMAAAAAAAAAAAAAAAAAAAAAAFtDb250ZW50X1R5cGVzXS54bWxQSwECLQAUAAYA&#10;CAAAACEAOP0h/9YAAACUAQAACwAAAAAAAAAAAAAAAAAvAQAAX3JlbHMvLnJlbHNQSwECLQAUAAYA&#10;CAAAACEAyj5S4K4LAADhfAAADgAAAAAAAAAAAAAAAAAuAgAAZHJzL2Uyb0RvYy54bWxQSwECLQAU&#10;AAYACAAAACEAGA0GbN0AAAAFAQAADwAAAAAAAAAAAAAAAAAIDgAAZHJzL2Rvd25yZXYueG1sUEsF&#10;BgAAAAAEAAQA8wAAABIPAAAAAA==&#10;">
                <v:rect id="Rectangle 16640" o:spid="_x0000_s2722"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vGyAAAAN4AAAAPAAAAZHJzL2Rvd25yZXYueG1sRI9Pa8Mw&#10;DMXvg30Ho8Fuq7MxQknrltJRlsMu/TPYUcRqkjaWTew22T79dCj0JqGn995vvhxdp67Ux9azgddJ&#10;Boq48rbl2sBhv3mZgooJ2WLnmQz8UoTl4vFhjoX1A2/puku1EhOOBRpoUgqF1rFqyGGc+EAst6Pv&#10;HSZZ+1rbHgcxd51+y7JcO2xZEhoMtG6oOu8uzsDPB4dyM+jq+LcOX6dy2n1eDt/GPD+NqxmoRGO6&#10;i2/fpZX6ef4uAIIjM+jFPwAAAP//AwBQSwECLQAUAAYACAAAACEA2+H2y+4AAACFAQAAEwAAAAAA&#10;AAAAAAAAAAAAAAAAW0NvbnRlbnRfVHlwZXNdLnhtbFBLAQItABQABgAIAAAAIQBa9CxbvwAAABUB&#10;AAALAAAAAAAAAAAAAAAAAB8BAABfcmVscy8ucmVsc1BLAQItABQABgAIAAAAIQB3+nvGyAAAAN4A&#10;AAAPAAAAAAAAAAAAAAAAAAcCAABkcnMvZG93bnJldi54bWxQSwUGAAAAAAMAAwC3AAAA/AIAAAAA&#10;" filled="f" stroked="f">
                  <v:textbox inset="0,0,0,0">
                    <w:txbxContent>
                      <w:p w14:paraId="2B0C239D" w14:textId="77777777" w:rsidR="00B32EF2" w:rsidRDefault="00000000">
                        <w:r>
                          <w:rPr>
                            <w:rFonts w:ascii="Times New Roman" w:eastAsia="Times New Roman" w:hAnsi="Times New Roman" w:cs="Times New Roman"/>
                          </w:rPr>
                          <w:t>80</w:t>
                        </w:r>
                      </w:p>
                    </w:txbxContent>
                  </v:textbox>
                </v:rect>
                <v:rect id="Rectangle 200402" o:spid="_x0000_s2723" style="position:absolute;left:26354;top:61199;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1aCxQAAAN8AAAAPAAAAZHJzL2Rvd25yZXYueG1sRI9Pi8Iw&#10;FMTvgt8hPGFvmiqLSNco4iLbw178B3t8NM+22ryEJtqun94IgsdhZn7DzJedqcWNGl9ZVjAeJSCI&#10;c6srLhQc9pvhDIQPyBpry6TgnzwsF/3eHFNtW97SbRcKESHsU1RQhuBSKX1ekkE/so44eifbGAxR&#10;NoXUDbYRbmo5SZKpNFhxXCjR0bqk/LK7GgV/3+yyTSvz033tfs/ZrP65Ho5KfQy61ReIQF14h1/t&#10;TCuIxM9kAs8/8QvIxQMAAP//AwBQSwECLQAUAAYACAAAACEA2+H2y+4AAACFAQAAEwAAAAAAAAAA&#10;AAAAAAAAAAAAW0NvbnRlbnRfVHlwZXNdLnhtbFBLAQItABQABgAIAAAAIQBa9CxbvwAAABUBAAAL&#10;AAAAAAAAAAAAAAAAAB8BAABfcmVscy8ucmVsc1BLAQItABQABgAIAAAAIQDbf1aCxQAAAN8AAAAP&#10;AAAAAAAAAAAAAAAAAAcCAABkcnMvZG93bnJldi54bWxQSwUGAAAAAAMAAwC3AAAA+QIAAAAA&#10;" filled="f" stroked="f">
                  <v:textbox inset="0,0,0,0">
                    <w:txbxContent>
                      <w:p w14:paraId="3D48BAF2" w14:textId="77777777" w:rsidR="00B32EF2" w:rsidRDefault="00000000">
                        <w:r>
                          <w:rPr>
                            <w:rFonts w:ascii="Arial" w:eastAsia="Arial" w:hAnsi="Arial" w:cs="Arial"/>
                            <w:sz w:val="18"/>
                          </w:rPr>
                          <w:t>3</w:t>
                        </w:r>
                      </w:p>
                    </w:txbxContent>
                  </v:textbox>
                </v:rect>
                <v:rect id="Rectangle 200403" o:spid="_x0000_s2724" style="position:absolute;left:-12831;top:61199;width:521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MZxgAAAN8AAAAPAAAAZHJzL2Rvd25yZXYueG1sRI9Pi8Iw&#10;FMTvgt8hPMGbprqySNcoosj24GX9A3t8NM+2u81LaKKtfnqzsOBxmJnfMItVZ2pxo8ZXlhVMxgkI&#10;4tzqigsFp+NuNAfhA7LG2jIpuJOH1bLfW2CqbctfdDuEQkQI+xQVlCG4VEqfl2TQj60jjt7FNgZD&#10;lE0hdYNthJtaTpPkXRqsOC6U6GhTUv57uBoF31t22a6V+eWxcfufbF5/Xk9npYaDbv0BIlAXXuH/&#10;dqYVROIseYO/P/ELyOUTAAD//wMAUEsBAi0AFAAGAAgAAAAhANvh9svuAAAAhQEAABMAAAAAAAAA&#10;AAAAAAAAAAAAAFtDb250ZW50X1R5cGVzXS54bWxQSwECLQAUAAYACAAAACEAWvQsW78AAAAVAQAA&#10;CwAAAAAAAAAAAAAAAAAfAQAAX3JlbHMvLnJlbHNQSwECLQAUAAYACAAAACEAtDPzGcYAAADfAAAA&#10;DwAAAAAAAAAAAAAAAAAHAgAAZHJzL2Rvd25yZXYueG1sUEsFBgAAAAADAAMAtwAAAPoCAAAAAA==&#10;" filled="f" stroked="f">
                  <v:textbox inset="0,0,0,0">
                    <w:txbxContent>
                      <w:p w14:paraId="585737D7" w14:textId="77777777" w:rsidR="00B32EF2" w:rsidRDefault="00000000">
                        <w:r>
                          <w:rPr>
                            <w:rFonts w:ascii="Arial" w:eastAsia="Arial" w:hAnsi="Arial" w:cs="Arial"/>
                            <w:sz w:val="18"/>
                          </w:rPr>
                          <w:t>. La sentenza deve inoltre contenere la data della deliberazione ed è sotto</w:t>
                        </w:r>
                      </w:p>
                    </w:txbxContent>
                  </v:textbox>
                </v:rect>
                <v:rect id="Rectangle 16642" o:spid="_x0000_s2725" style="position:absolute;left:191;top:61199;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EAqxAAAAN4AAAAPAAAAZHJzL2Rvd25yZXYueG1sRE9Na8JA&#10;EL0X/A/LFLzVTaUESV1FFGkOXqoRPA7ZMUnNzi7Z1UR/fbdQ8DaP9znz5WBacaPON5YVvE8SEMSl&#10;1Q1XCorD9m0Gwgdkja1lUnAnD8vF6GWOmbY9f9NtHyoRQ9hnqKAOwWVS+rImg35iHXHkzrYzGCLs&#10;Kqk77GO4aeU0SVJpsOHYUKOjdU3lZX81Ck4bdvm2l+X5sXa7n3zWfl2Lo1Lj12H1CSLQEJ7if3eu&#10;4/w0/ZjC3zvxBrn4BQAA//8DAFBLAQItABQABgAIAAAAIQDb4fbL7gAAAIUBAAATAAAAAAAAAAAA&#10;AAAAAAAAAABbQ29udGVudF9UeXBlc10ueG1sUEsBAi0AFAAGAAgAAAAhAFr0LFu/AAAAFQEAAAsA&#10;AAAAAAAAAAAAAAAAHwEAAF9yZWxzLy5yZWxzUEsBAi0AFAAGAAgAAAAhAOhkQCrEAAAA3gAAAA8A&#10;AAAAAAAAAAAAAAAABwIAAGRycy9kb3ducmV2LnhtbFBLBQYAAAAAAwADALcAAAD4AgAAAAA=&#10;" filled="f" stroked="f">
                  <v:textbox inset="0,0,0,0">
                    <w:txbxContent>
                      <w:p w14:paraId="76A3D522" w14:textId="77777777" w:rsidR="00B32EF2" w:rsidRDefault="00000000">
                        <w:r>
                          <w:rPr>
                            <w:rFonts w:ascii="Arial" w:eastAsia="Arial" w:hAnsi="Arial" w:cs="Arial"/>
                            <w:sz w:val="18"/>
                          </w:rPr>
                          <w:t>-</w:t>
                        </w:r>
                      </w:p>
                    </w:txbxContent>
                  </v:textbox>
                </v:rect>
                <v:rect id="Rectangle 16643" o:spid="_x0000_s2726" style="position:absolute;left:14135;top:59966;width:257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OWxxQAAAN4AAAAPAAAAZHJzL2Rvd25yZXYueG1sRE9La8JA&#10;EL4X+h+WEbzVjQ+CpK5SLGIOXnwUehyyY5I2O7tkVxP99W6h4G0+vucsVr1pxJVaX1tWMB4lIIgL&#10;q2suFZyOm7c5CB+QNTaWScGNPKyWry8LzLTteE/XQyhFDGGfoYIqBJdJ6YuKDPqRdcSRO9vWYIiw&#10;LaVusYvhppGTJEmlwZpjQ4WO1hUVv4eLUfD9yS7fdLI439du95PPm+3l9KXUcNB/vIMI1Ien+N+d&#10;6zg/TWdT+Hsn3iCXDwAAAP//AwBQSwECLQAUAAYACAAAACEA2+H2y+4AAACFAQAAEwAAAAAAAAAA&#10;AAAAAAAAAAAAW0NvbnRlbnRfVHlwZXNdLnhtbFBLAQItABQABgAIAAAAIQBa9CxbvwAAABUBAAAL&#10;AAAAAAAAAAAAAAAAAB8BAABfcmVscy8ucmVsc1BLAQItABQABgAIAAAAIQCHKOWxxQAAAN4AAAAP&#10;AAAAAAAAAAAAAAAAAAcCAABkcnMvZG93bnJldi54bWxQSwUGAAAAAAMAAwC3AAAA+QIAAAAA&#10;" filled="f" stroked="f">
                  <v:textbox inset="0,0,0,0">
                    <w:txbxContent>
                      <w:p w14:paraId="22737903" w14:textId="77777777" w:rsidR="00B32EF2" w:rsidRDefault="00000000">
                        <w:r>
                          <w:rPr>
                            <w:rFonts w:ascii="Arial" w:eastAsia="Arial" w:hAnsi="Arial" w:cs="Arial"/>
                            <w:sz w:val="18"/>
                          </w:rPr>
                          <w:t>scritta dal presidente e dall’estensore.</w:t>
                        </w:r>
                      </w:p>
                    </w:txbxContent>
                  </v:textbox>
                </v:rect>
                <v:rect id="Rectangle 16644" o:spid="_x0000_s2727" style="position:absolute;left:15067;top:35296;width:8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X3FxAAAAN4AAAAPAAAAZHJzL2Rvd25yZXYueG1sRE9Na8JA&#10;EL0X/A/LFLzVTYsESV1FFGkOXqoRPA7ZMUnNzi7Z1UR/fbdQ8DaP9znz5WBacaPON5YVvE8SEMSl&#10;1Q1XCorD9m0Gwgdkja1lUnAnD8vF6GWOmbY9f9NtHyoRQ9hnqKAOwWVS+rImg35iHXHkzrYzGCLs&#10;Kqk77GO4aeVHkqTSYMOxoUZH65rKy/5qFJw27PJtL8vzY+12P/ms/boWR6XGr8PqE0SgITzF/+5c&#10;x/lpOp3C3zvxBrn4BQAA//8DAFBLAQItABQABgAIAAAAIQDb4fbL7gAAAIUBAAATAAAAAAAAAAAA&#10;AAAAAAAAAABbQ29udGVudF9UeXBlc10ueG1sUEsBAi0AFAAGAAgAAAAhAFr0LFu/AAAAFQEAAAsA&#10;AAAAAAAAAAAAAAAAHwEAAF9yZWxzLy5yZWxzUEsBAi0AFAAGAAgAAAAhAAjBfcXEAAAA3gAAAA8A&#10;AAAAAAAAAAAAAAAABwIAAGRycy9kb3ducmV2LnhtbFBLBQYAAAAAAwADALcAAAD4AgAAAAA=&#10;" filled="f" stroked="f">
                  <v:textbox inset="0,0,0,0">
                    <w:txbxContent>
                      <w:p w14:paraId="7A1B9259" w14:textId="77777777" w:rsidR="00B32EF2" w:rsidRDefault="00000000">
                        <w:r>
                          <w:rPr>
                            <w:rFonts w:ascii="Arial" w:eastAsia="Arial" w:hAnsi="Arial" w:cs="Arial"/>
                            <w:b/>
                            <w:sz w:val="18"/>
                          </w:rPr>
                          <w:t>Articolo 86</w:t>
                        </w:r>
                      </w:p>
                    </w:txbxContent>
                  </v:textbox>
                </v:rect>
                <v:rect id="Rectangle 200393" o:spid="_x0000_s2728" style="position:absolute;left:11639;top:34063;width:194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6v7xwAAAN8AAAAPAAAAZHJzL2Rvd25yZXYueG1sRI9PawIx&#10;FMTvBb9DeEJvmrWC2K1ZEUW6h15qFTw+Nm//1M1L2ER3209vCkKPw8z8hlmtB9OKG3W+saxgNk1A&#10;EBdWN1wpOH7tJ0sQPiBrbC2Tgh/ysM5GTytMte35k26HUIkIYZ+igjoEl0rpi5oM+ql1xNErbWcw&#10;RNlVUnfYR7hp5UuSLKTBhuNCjY62NRWXw9UoOO/Y5fteFuXv1n1858v2/Xo8KfU8HjZvIAIN4T/8&#10;aOdaQSTOX+fw9yd+AZndAQAA//8DAFBLAQItABQABgAIAAAAIQDb4fbL7gAAAIUBAAATAAAAAAAA&#10;AAAAAAAAAAAAAABbQ29udGVudF9UeXBlc10ueG1sUEsBAi0AFAAGAAgAAAAhAFr0LFu/AAAAFQEA&#10;AAsAAAAAAAAAAAAAAAAAHwEAAF9yZWxzLy5yZWxzUEsBAi0AFAAGAAgAAAAhAJyTq/vHAAAA3wAA&#10;AA8AAAAAAAAAAAAAAAAABwIAAGRycy9kb3ducmV2LnhtbFBLBQYAAAAAAwADALcAAAD7AgAAAAA=&#10;" filled="f" stroked="f">
                  <v:textbox inset="0,0,0,0">
                    <w:txbxContent>
                      <w:p w14:paraId="04875DDD" w14:textId="77777777" w:rsidR="00B32EF2" w:rsidRDefault="00000000">
                        <w:r>
                          <w:rPr>
                            <w:rFonts w:ascii="Arial" w:eastAsia="Arial" w:hAnsi="Arial" w:cs="Arial"/>
                            <w:i/>
                            <w:sz w:val="18"/>
                          </w:rPr>
                          <w:t xml:space="preserve">articolo 37 D.lgs. n. </w:t>
                        </w:r>
                      </w:p>
                    </w:txbxContent>
                  </v:textbox>
                </v:rect>
                <v:rect id="Rectangle 200392" o:spid="_x0000_s2729" style="position:absolute;left:-2598;top:34063;width:194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w5gxwAAAN8AAAAPAAAAZHJzL2Rvd25yZXYueG1sRI9PawIx&#10;FMTvBb9DeEJvNauFYlezIop0D15qFTw+Nm//6OYlbKK79dM3hUKPw8z8hlmuBtOKO3W+saxgOklA&#10;EBdWN1wpOH7tXuYgfEDW2FomBd/kYZWNnpaYatvzJ90PoRIRwj5FBXUILpXSFzUZ9BPriKNX2s5g&#10;iLKrpO6wj3DTylmSvEmDDceFGh1taiquh5tRcN6yy3e9LMrHxu0v+bz9uB1PSj2Ph/UCRKAh/If/&#10;2rlWEImv7zP4/RO/gMx+AAAA//8DAFBLAQItABQABgAIAAAAIQDb4fbL7gAAAIUBAAATAAAAAAAA&#10;AAAAAAAAAAAAAABbQ29udGVudF9UeXBlc10ueG1sUEsBAi0AFAAGAAgAAAAhAFr0LFu/AAAAFQEA&#10;AAsAAAAAAAAAAAAAAAAAHwEAAF9yZWxzLy5yZWxzUEsBAi0AFAAGAAgAAAAhAPPfDmDHAAAA3wAA&#10;AA8AAAAAAAAAAAAAAAAABwIAAGRycy9kb3ducmV2LnhtbFBLBQYAAAAAAwADALcAAAD7AgAAAAA=&#10;" filled="f" stroked="f">
                  <v:textbox inset="0,0,0,0">
                    <w:txbxContent>
                      <w:p w14:paraId="282DA35E" w14:textId="77777777" w:rsidR="00B32EF2" w:rsidRDefault="00000000">
                        <w:r>
                          <w:rPr>
                            <w:rFonts w:ascii="Arial" w:eastAsia="Arial" w:hAnsi="Arial" w:cs="Arial"/>
                            <w:i/>
                            <w:sz w:val="18"/>
                          </w:rPr>
                          <w:t>546/92)</w:t>
                        </w:r>
                      </w:p>
                    </w:txbxContent>
                  </v:textbox>
                </v:rect>
                <v:rect id="Rectangle 200391" o:spid="_x0000_s2730" style="position:absolute;left:22217;top:34063;width:194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ZAXxwAAAN8AAAAPAAAAZHJzL2Rvd25yZXYueG1sRI9Pa8JA&#10;FMTvhX6H5RV6040VikY3IhYxh16qKfT4yL780ezbJbuatJ++WxB6HGbmN8x6M5pO3Kj3rWUFs2kC&#10;gri0uuVaQXHaTxYgfEDW2FkmBd/kYZM9Pqwx1XbgD7odQy0ihH2KCpoQXCqlLxsy6KfWEUevsr3B&#10;EGVfS93jEOGmky9J8ioNthwXGnS0a6i8HK9Gwdcbu3w/yLL62bn3c77oDtfiU6nnp3G7AhFoDP/h&#10;ezvXCiJxvpzB35/4BWT2CwAA//8DAFBLAQItABQABgAIAAAAIQDb4fbL7gAAAIUBAAATAAAAAAAA&#10;AAAAAAAAAAAAAABbQ29udGVudF9UeXBlc10ueG1sUEsBAi0AFAAGAAgAAAAhAFr0LFu/AAAAFQEA&#10;AAsAAAAAAAAAAAAAAAAAHwEAAF9yZWxzLy5yZWxzUEsBAi0AFAAGAAgAAAAhAAMNkBfHAAAA3wAA&#10;AA8AAAAAAAAAAAAAAAAABwIAAGRycy9kb3ducmV2LnhtbFBLBQYAAAAAAwADALcAAAD7AgAAAAA=&#10;" filled="f" stroked="f">
                  <v:textbox inset="0,0,0,0">
                    <w:txbxContent>
                      <w:p w14:paraId="4BCCFEA9" w14:textId="77777777" w:rsidR="00B32EF2" w:rsidRDefault="00000000">
                        <w:r>
                          <w:rPr>
                            <w:rFonts w:ascii="Arial" w:eastAsia="Arial" w:hAnsi="Arial" w:cs="Arial"/>
                            <w:i/>
                            <w:sz w:val="18"/>
                          </w:rPr>
                          <w:t>(</w:t>
                        </w:r>
                      </w:p>
                    </w:txbxContent>
                  </v:textbox>
                </v:rect>
                <v:rect id="Rectangle 16646" o:spid="_x0000_s2731" style="position:absolute;left:-1804;top:32830;width:348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0YpxAAAAN4AAAAPAAAAZHJzL2Rvd25yZXYueG1sRE9Na8JA&#10;EL0L/odlhN50UylBUlcpijQHL9oIPQ7ZMUmbnV2yq0n99a4g9DaP9znL9WBacaXON5YVvM4SEMSl&#10;1Q1XCoqv3XQBwgdkja1lUvBHHtar8WiJmbY9H+h6DJWIIewzVFCH4DIpfVmTQT+zjjhyZ9sZDBF2&#10;ldQd9jHctHKeJKk02HBsqNHRpqby93gxCr637PJdL8vzbeP2P/mi/bwUJ6VeJsPHO4hAQ/gXP925&#10;jvPT9C2FxzvxBrm6AwAA//8DAFBLAQItABQABgAIAAAAIQDb4fbL7gAAAIUBAAATAAAAAAAAAAAA&#10;AAAAAAAAAABbQ29udGVudF9UeXBlc10ueG1sUEsBAi0AFAAGAAgAAAAhAFr0LFu/AAAAFQEAAAsA&#10;AAAAAAAAAAAAAAAAHwEAAF9yZWxzLy5yZWxzUEsBAi0AFAAGAAgAAAAhAJdfRinEAAAA3gAAAA8A&#10;AAAAAAAAAAAAAAAABwIAAGRycy9kb3ducmV2LnhtbFBLBQYAAAAAAwADALcAAAD4AgAAAAA=&#10;" filled="f" stroked="f">
                  <v:textbox inset="0,0,0,0">
                    <w:txbxContent>
                      <w:p w14:paraId="02FB755E" w14:textId="77777777" w:rsidR="00B32EF2" w:rsidRDefault="00000000">
                        <w:r>
                          <w:rPr>
                            <w:rFonts w:ascii="Arial" w:eastAsia="Arial" w:hAnsi="Arial" w:cs="Arial"/>
                            <w:b/>
                            <w:sz w:val="18"/>
                          </w:rPr>
                          <w:t xml:space="preserve">Pubblicazione e comunicazione della sentenza </w:t>
                        </w:r>
                      </w:p>
                    </w:txbxContent>
                  </v:textbox>
                </v:rect>
                <v:rect id="Rectangle 200389" o:spid="_x0000_s2732" style="position:absolute;left:26109;top:3156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grMxwAAAN8AAAAPAAAAZHJzL2Rvd25yZXYueG1sRI9Pa8JA&#10;FMTvBb/D8gRvddMKkqauUixiDl78U+jxkX0m0ezbJbua6Kd3hUKPw8z8hpktetOIK7W+tqzgbZyA&#10;IC6srrlUcNivXlMQPiBrbCyTght5WMwHLzPMtO14S9ddKEWEsM9QQRWCy6T0RUUG/dg64ugdbWsw&#10;RNmWUrfYRbhp5HuSTKXBmuNChY6WFRXn3cUo+P1ml686WRzvS7c55Wmzvhx+lBoN+69PEIH68B/+&#10;a+daQSRO0g94/olfQM4fAAAA//8DAFBLAQItABQABgAIAAAAIQDb4fbL7gAAAIUBAAATAAAAAAAA&#10;AAAAAAAAAAAAAABbQ29udGVudF9UeXBlc10ueG1sUEsBAi0AFAAGAAgAAAAhAFr0LFu/AAAAFQEA&#10;AAsAAAAAAAAAAAAAAAAAHwEAAF9yZWxzLy5yZWxzUEsBAi0AFAAGAAgAAAAhAHiiCszHAAAA3wAA&#10;AA8AAAAAAAAAAAAAAAAABwIAAGRycy9kb3ducmV2LnhtbFBLBQYAAAAAAwADALcAAAD7AgAAAAA=&#10;" filled="f" stroked="f">
                  <v:textbox inset="0,0,0,0">
                    <w:txbxContent>
                      <w:p w14:paraId="32948FAF" w14:textId="77777777" w:rsidR="00B32EF2" w:rsidRDefault="00000000">
                        <w:r>
                          <w:rPr>
                            <w:rFonts w:ascii="Arial" w:eastAsia="Arial" w:hAnsi="Arial" w:cs="Arial"/>
                            <w:sz w:val="18"/>
                          </w:rPr>
                          <w:t>1</w:t>
                        </w:r>
                      </w:p>
                    </w:txbxContent>
                  </v:textbox>
                </v:rect>
                <v:rect id="Rectangle 200390" o:spid="_x0000_s2733" style="position:absolute;left:-13763;top:3156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TWMxwAAAN8AAAAPAAAAZHJzL2Rvd25yZXYueG1sRI9Ba8JA&#10;EIXvhf6HZQq91U1bKDa6ilikOfSiVfA4ZMckmp1dsqtJ++udg+BxePO+xzedD65VF+pi49nA6ygD&#10;RVx623BlYPu7ehmDignZYuuZDPxRhPns8WGKufU9r+mySZUSCMccDdQphVzrWNbkMI58IJbs4DuH&#10;Sc6u0rbDXuCu1W9Z9qEdNiwLNQZa1lSeNmdnYP/FoVj1ujz8L8PPsRi33+ftzpjnp2ExAZVoSPfn&#10;W7uwBoT4/ikG4iMuoGdXAAAA//8DAFBLAQItABQABgAIAAAAIQDb4fbL7gAAAIUBAAATAAAAAAAA&#10;AAAAAAAAAAAAAABbQ29udGVudF9UeXBlc10ueG1sUEsBAi0AFAAGAAgAAAAhAFr0LFu/AAAAFQEA&#10;AAsAAAAAAAAAAAAAAAAAHwEAAF9yZWxzLy5yZWxzUEsBAi0AFAAGAAgAAAAhAGxBNYzHAAAA3wAA&#10;AA8AAAAAAAAAAAAAAAAABwIAAGRycy9kb3ducmV2LnhtbFBLBQYAAAAAAwADALcAAAD7AgAAAAA=&#10;" filled="f" stroked="f">
                  <v:textbox inset="0,0,0,0">
                    <w:txbxContent>
                      <w:p w14:paraId="58CDB7EC" w14:textId="77777777" w:rsidR="00B32EF2" w:rsidRDefault="00000000">
                        <w:r>
                          <w:rPr>
                            <w:rFonts w:ascii="Arial" w:eastAsia="Arial" w:hAnsi="Arial" w:cs="Arial"/>
                            <w:sz w:val="18"/>
                          </w:rPr>
                          <w:t xml:space="preserve">. La sentenza è resa pubblica, nel testo integrale originale, mediante deposito </w:t>
                        </w:r>
                      </w:p>
                    </w:txbxContent>
                  </v:textbox>
                </v:rect>
                <v:rect id="Rectangle 16648" o:spid="_x0000_s2734" style="position:absolute;left:-13172;top:3029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HfAyAAAAN4AAAAPAAAAZHJzL2Rvd25yZXYueG1sRI9Pa8Mw&#10;DMXvg30Ho8Fuq7MxQknrltJRlsMu/TPYUcRqkjaWTew22T79dCj0JvGe3vtpvhxdp67Ux9azgddJ&#10;Boq48rbl2sBhv3mZgooJ2WLnmQz8UoTl4vFhjoX1A2/puku1khCOBRpoUgqF1rFqyGGc+EAs2tH3&#10;DpOsfa1tj4OEu06/ZVmuHbYsDQ0GWjdUnXcXZ+Dng0O5GXR1/FuHr1M57T4vh29jnp/G1QxUojHd&#10;zbfr0gp+nr8Lr7wjM+jFPwAAAP//AwBQSwECLQAUAAYACAAAACEA2+H2y+4AAACFAQAAEwAAAAAA&#10;AAAAAAAAAAAAAAAAW0NvbnRlbnRfVHlwZXNdLnhtbFBLAQItABQABgAIAAAAIQBa9CxbvwAAABUB&#10;AAALAAAAAAAAAAAAAAAAAB8BAABfcmVscy8ucmVsc1BLAQItABQABgAIAAAAIQCJjHfAyAAAAN4A&#10;AAAPAAAAAAAAAAAAAAAAAAcCAABkcnMvZG93bnJldi54bWxQSwUGAAAAAAMAAwC3AAAA/AIAAAAA&#10;" filled="f" stroked="f">
                  <v:textbox inset="0,0,0,0">
                    <w:txbxContent>
                      <w:p w14:paraId="47D38324" w14:textId="77777777" w:rsidR="00B32EF2" w:rsidRDefault="00000000">
                        <w:r>
                          <w:rPr>
                            <w:rFonts w:ascii="Arial" w:eastAsia="Arial" w:hAnsi="Arial" w:cs="Arial"/>
                            <w:sz w:val="18"/>
                          </w:rPr>
                          <w:t xml:space="preserve">telematico nella segreteria della corte di giustizia tributaria di primo e secondo </w:t>
                        </w:r>
                      </w:p>
                    </w:txbxContent>
                  </v:textbox>
                </v:rect>
                <v:rect id="Rectangle 16649" o:spid="_x0000_s2735" style="position:absolute;left:-13172;top:2902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NJbxAAAAN4AAAAPAAAAZHJzL2Rvd25yZXYueG1sRE9Na8JA&#10;EL0X/A/LCN7qxiLBRlcRRZpDL7UKHofsmESzs0t2NdFf3y0UepvH+5zFqjeNuFPra8sKJuMEBHFh&#10;dc2lgsP37nUGwgdkjY1lUvAgD6vl4GWBmbYdf9F9H0oRQ9hnqKAKwWVS+qIig35sHXHkzrY1GCJs&#10;S6lb7GK4aeRbkqTSYM2xoUJHm4qK6/5mFJy27PJdJ4vzc+M+L/ms+bgdjkqNhv16DiJQH/7Ff+5c&#10;x/lpOn2H33fiDXL5AwAA//8DAFBLAQItABQABgAIAAAAIQDb4fbL7gAAAIUBAAATAAAAAAAAAAAA&#10;AAAAAAAAAABbQ29udGVudF9UeXBlc10ueG1sUEsBAi0AFAAGAAgAAAAhAFr0LFu/AAAAFQEAAAsA&#10;AAAAAAAAAAAAAAAAHwEAAF9yZWxzLy5yZWxzUEsBAi0AFAAGAAgAAAAhAObA0lvEAAAA3gAAAA8A&#10;AAAAAAAAAAAAAAAABwIAAGRycy9kb3ducmV2LnhtbFBLBQYAAAAAAwADALcAAAD4AgAAAAA=&#10;" filled="f" stroked="f">
                  <v:textbox inset="0,0,0,0">
                    <w:txbxContent>
                      <w:p w14:paraId="6EB97675" w14:textId="77777777" w:rsidR="00B32EF2" w:rsidRDefault="00000000">
                        <w:r>
                          <w:rPr>
                            <w:rFonts w:ascii="Arial" w:eastAsia="Arial" w:hAnsi="Arial" w:cs="Arial"/>
                            <w:sz w:val="18"/>
                          </w:rPr>
                          <w:t xml:space="preserve">grado entro trenta giorni dalla data della deliberazione. Il segretario fa risultare </w:t>
                        </w:r>
                      </w:p>
                    </w:txbxContent>
                  </v:textbox>
                </v:rect>
                <v:rect id="Rectangle 16650" o:spid="_x0000_s2736" style="position:absolute;left:-13172;top:2775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0byAAAAN4AAAAPAAAAZHJzL2Rvd25yZXYueG1sRI9Pa8Mw&#10;DMXvg30Ho8Fuq7PBQknrltJRlsMu/TPYUcRqkjaWTew22T79dCj0JqGn995vvhxdp67Ux9azgddJ&#10;Boq48rbl2sBhv3mZgooJ2WLnmQz8UoTl4vFhjoX1A2/puku1EhOOBRpoUgqF1rFqyGGc+EAst6Pv&#10;HSZZ+1rbHgcxd51+y7JcO2xZEhoMtG6oOu8uzsDPB4dyM+jq+LcOX6dy2n1eDt/GPD+NqxmoRGO6&#10;i2/fpZX6ef4uAIIjM+jFPwAAAP//AwBQSwECLQAUAAYACAAAACEA2+H2y+4AAACFAQAAEwAAAAAA&#10;AAAAAAAAAAAAAAAAW0NvbnRlbnRfVHlwZXNdLnhtbFBLAQItABQABgAIAAAAIQBa9CxbvwAAABUB&#10;AAALAAAAAAAAAAAAAAAAAB8BAABfcmVscy8ucmVsc1BLAQItABQABgAIAAAAIQDyI+0byAAAAN4A&#10;AAAPAAAAAAAAAAAAAAAAAAcCAABkcnMvZG93bnJldi54bWxQSwUGAAAAAAMAAwC3AAAA/AIAAAAA&#10;" filled="f" stroked="f">
                  <v:textbox inset="0,0,0,0">
                    <w:txbxContent>
                      <w:p w14:paraId="5F25EDCC" w14:textId="77777777" w:rsidR="00B32EF2" w:rsidRDefault="00000000">
                        <w:r>
                          <w:rPr>
                            <w:rFonts w:ascii="Arial" w:eastAsia="Arial" w:hAnsi="Arial" w:cs="Arial"/>
                            <w:sz w:val="18"/>
                          </w:rPr>
                          <w:t xml:space="preserve">l’avvenuto deposito della sentenza apponendovi la propria firma digitale e la </w:t>
                        </w:r>
                      </w:p>
                    </w:txbxContent>
                  </v:textbox>
                </v:rect>
                <v:rect id="Rectangle 16651" o:spid="_x0000_s2737" style="position:absolute;left:-12749;top:26481;width:5266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0iAxAAAAN4AAAAPAAAAZHJzL2Rvd25yZXYueG1sRE9Li8Iw&#10;EL4L/ocwwt40VdgiXaOIItvDXnws7HFoxrZrMwlNtN399UYQvM3H95zFqjeNuFHra8sKppMEBHFh&#10;dc2lgtNxN56D8AFZY2OZFPyRh9VyOFhgpm3He7odQiliCPsMFVQhuExKX1Rk0E+sI47c2bYGQ4Rt&#10;KXWLXQw3jZwlSSoN1hwbKnS0qai4HK5Gwc+WXb7rZHH+37iv33zefF5P30q9jfr1B4hAfXiJn+5c&#10;x/lp+j6FxzvxBrm8AwAA//8DAFBLAQItABQABgAIAAAAIQDb4fbL7gAAAIUBAAATAAAAAAAAAAAA&#10;AAAAAAAAAABbQ29udGVudF9UeXBlc10ueG1sUEsBAi0AFAAGAAgAAAAhAFr0LFu/AAAAFQEAAAsA&#10;AAAAAAAAAAAAAAAAHwEAAF9yZWxzLy5yZWxzUEsBAi0AFAAGAAgAAAAhAJ1vSIDEAAAA3gAAAA8A&#10;AAAAAAAAAAAAAAAABwIAAGRycy9kb3ducmV2LnhtbFBLBQYAAAAAAwADALcAAAD4AgAAAAA=&#10;" filled="f" stroked="f">
                  <v:textbox inset="0,0,0,0">
                    <w:txbxContent>
                      <w:p w14:paraId="7733E66F" w14:textId="77777777" w:rsidR="00B32EF2" w:rsidRDefault="00000000">
                        <w:r>
                          <w:rPr>
                            <w:rFonts w:ascii="Arial" w:eastAsia="Arial" w:hAnsi="Arial" w:cs="Arial"/>
                            <w:sz w:val="18"/>
                          </w:rPr>
                          <w:t>data, dandone comunicazione alle parti costituite entro tre giorni dal deposito.</w:t>
                        </w:r>
                      </w:p>
                    </w:txbxContent>
                  </v:textbox>
                </v:rect>
                <v:rect id="Rectangle 16652" o:spid="_x0000_s2738" style="position:absolute;left:15086;top:23941;width:80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b3xAAAAN4AAAAPAAAAZHJzL2Rvd25yZXYueG1sRE9Na8JA&#10;EL0X/A/LFLzVTYUGSV1FFGkOXqoRPA7ZMUnNzi7Z1UR/fbdQ8DaP9znz5WBacaPON5YVvE8SEMSl&#10;1Q1XCorD9m0Gwgdkja1lUnAnD8vF6GWOmbY9f9NtHyoRQ9hnqKAOwWVS+rImg35iHXHkzrYzGCLs&#10;Kqk77GO4aeU0SVJpsOHYUKOjdU3lZX81Ck4bdvm2l+X5sXa7n3zWfl2Lo1Lj12H1CSLQEJ7if3eu&#10;4/w0/ZjC3zvxBrn4BQAA//8DAFBLAQItABQABgAIAAAAIQDb4fbL7gAAAIUBAAATAAAAAAAAAAAA&#10;AAAAAAAAAABbQ29udGVudF9UeXBlc10ueG1sUEsBAi0AFAAGAAgAAAAhAFr0LFu/AAAAFQEAAAsA&#10;AAAAAAAAAAAAAAAAHwEAAF9yZWxzLy5yZWxzUEsBAi0AFAAGAAgAAAAhAG291vfEAAAA3gAAAA8A&#10;AAAAAAAAAAAAAAAABwIAAGRycy9kb3ducmV2LnhtbFBLBQYAAAAAAwADALcAAAD4AgAAAAA=&#10;" filled="f" stroked="f">
                  <v:textbox inset="0,0,0,0">
                    <w:txbxContent>
                      <w:p w14:paraId="5AA73D95" w14:textId="77777777" w:rsidR="00B32EF2" w:rsidRDefault="00000000">
                        <w:r>
                          <w:rPr>
                            <w:rFonts w:ascii="Arial" w:eastAsia="Arial" w:hAnsi="Arial" w:cs="Arial"/>
                            <w:b/>
                            <w:sz w:val="18"/>
                          </w:rPr>
                          <w:t>Articolo 87</w:t>
                        </w:r>
                      </w:p>
                    </w:txbxContent>
                  </v:textbox>
                </v:rect>
                <v:rect id="Rectangle 200386" o:spid="_x0000_s2739" style="position:absolute;left:22222;top:22671;width:194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Z6+xgAAAN8AAAAPAAAAZHJzL2Rvd25yZXYueG1sRI9Pi8Iw&#10;FMTvC36H8IS9rekqSOkaZVHEHrz4D/b4aJ5td5uX0ETb9dMbQfA4zMxvmNmiN424Uutrywo+RwkI&#10;4sLqmksFx8P6IwXhA7LGxjIp+CcPi/ngbYaZth3v6LoPpYgQ9hkqqEJwmZS+qMigH1lHHL2zbQ2G&#10;KNtS6ha7CDeNHCfJVBqsOS5U6GhZUfG3vxgFPyt2+bqTxfm2dNvfPG02l+NJqfdh//0FIlAfXuFn&#10;O9cKInGSTuHxJ34BOb8DAAD//wMAUEsBAi0AFAAGAAgAAAAhANvh9svuAAAAhQEAABMAAAAAAAAA&#10;AAAAAAAAAAAAAFtDb250ZW50X1R5cGVzXS54bWxQSwECLQAUAAYACAAAACEAWvQsW78AAAAVAQAA&#10;CwAAAAAAAAAAAAAAAAAfAQAAX3JlbHMvLnJlbHNQSwECLQAUAAYACAAAACEACT2evsYAAADfAAAA&#10;DwAAAAAAAAAAAAAAAAAHAgAAZHJzL2Rvd25yZXYueG1sUEsFBgAAAAADAAMAtwAAAPoCAAAAAA==&#10;" filled="f" stroked="f">
                  <v:textbox inset="0,0,0,0">
                    <w:txbxContent>
                      <w:p w14:paraId="5B0A36B8" w14:textId="77777777" w:rsidR="00B32EF2" w:rsidRDefault="00000000">
                        <w:r>
                          <w:rPr>
                            <w:rFonts w:ascii="Arial" w:eastAsia="Arial" w:hAnsi="Arial" w:cs="Arial"/>
                            <w:i/>
                            <w:sz w:val="18"/>
                          </w:rPr>
                          <w:t>(</w:t>
                        </w:r>
                      </w:p>
                    </w:txbxContent>
                  </v:textbox>
                </v:rect>
                <v:rect id="Rectangle 200387" o:spid="_x0000_s2740" style="position:absolute;left:-2648;top:22671;width:194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TslxwAAAN8AAAAPAAAAZHJzL2Rvd25yZXYueG1sRI9Ba8JA&#10;FITvgv9heUJvumkLNaRuQrFIc/BSa6HHR/aZRLNvl+xqUn99tyB4HGbmG2ZVjKYTF+p9a1nB4yIB&#10;QVxZ3XKtYP+1macgfEDW2FkmBb/kocinkxVm2g78SZddqEWEsM9QQROCy6T0VUMG/cI64ugdbG8w&#10;RNnXUvc4RLjp5FOSvEiDLceFBh2tG6pOu7NR8PPOrtwMsjpc1257LNPu47z/VuphNr69ggg0hnv4&#10;1i61gkh8Tpfw/yd+AZn/AQAA//8DAFBLAQItABQABgAIAAAAIQDb4fbL7gAAAIUBAAATAAAAAAAA&#10;AAAAAAAAAAAAAABbQ29udGVudF9UeXBlc10ueG1sUEsBAi0AFAAGAAgAAAAhAFr0LFu/AAAAFQEA&#10;AAsAAAAAAAAAAAAAAAAAHwEAAF9yZWxzLy5yZWxzUEsBAi0AFAAGAAgAAAAhAGZxOyXHAAAA3wAA&#10;AA8AAAAAAAAAAAAAAAAABwIAAGRycy9kb3ducmV2LnhtbFBLBQYAAAAAAwADALcAAAD7AgAAAAA=&#10;" filled="f" stroked="f">
                  <v:textbox inset="0,0,0,0">
                    <w:txbxContent>
                      <w:p w14:paraId="470B9565" w14:textId="77777777" w:rsidR="00B32EF2" w:rsidRDefault="00000000">
                        <w:r>
                          <w:rPr>
                            <w:rFonts w:ascii="Arial" w:eastAsia="Arial" w:hAnsi="Arial" w:cs="Arial"/>
                            <w:i/>
                            <w:sz w:val="18"/>
                          </w:rPr>
                          <w:t>546/92)</w:t>
                        </w:r>
                      </w:p>
                    </w:txbxContent>
                  </v:textbox>
                </v:rect>
                <v:rect id="Rectangle 200388" o:spid="_x0000_s2741" style="position:absolute;left:11617;top:22671;width:194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q9XxwAAAN8AAAAPAAAAZHJzL2Rvd25yZXYueG1sRI9Na8Mw&#10;DIbvg/0Ho0Fvq7MVSsjqltFRmsMu6wfsKGI1yRbLJnabdL9+OhR6FK/eR3oWq9F16kJ9bD0beJlm&#10;oIgrb1uuDRz2m+ccVEzIFjvPZOBKEVbLx4cFFtYP/EWXXaqVQDgWaKBJKRRax6ohh3HqA7FkJ987&#10;TDL2tbY9DgJ3nX7Nsrl22LJcaDDQuqHqd3d2Br4/OJSbQVenv3X4/Cnzbns+HI2ZPI3vb6ASjem+&#10;fGuX1oAQZ7k8LD7iAnr5DwAA//8DAFBLAQItABQABgAIAAAAIQDb4fbL7gAAAIUBAAATAAAAAAAA&#10;AAAAAAAAAAAAAABbQ29udGVudF9UeXBlc10ueG1sUEsBAi0AFAAGAAgAAAAhAFr0LFu/AAAAFQEA&#10;AAsAAAAAAAAAAAAAAAAAHwEAAF9yZWxzLy5yZWxzUEsBAi0AFAAGAAgAAAAhABfur1fHAAAA3wAA&#10;AA8AAAAAAAAAAAAAAAAABwIAAGRycy9kb3ducmV2LnhtbFBLBQYAAAAAAwADALcAAAD7AgAAAAA=&#10;" filled="f" stroked="f">
                  <v:textbox inset="0,0,0,0">
                    <w:txbxContent>
                      <w:p w14:paraId="1A656C3F" w14:textId="77777777" w:rsidR="00B32EF2" w:rsidRDefault="00000000">
                        <w:r>
                          <w:rPr>
                            <w:rFonts w:ascii="Arial" w:eastAsia="Arial" w:hAnsi="Arial" w:cs="Arial"/>
                            <w:i/>
                            <w:sz w:val="18"/>
                          </w:rPr>
                          <w:t xml:space="preserve">articolo 38 D.lgs. n. </w:t>
                        </w:r>
                      </w:p>
                    </w:txbxContent>
                  </v:textbox>
                </v:rect>
                <v:rect id="Rectangle 16654" o:spid="_x0000_s2742" style="position:absolute;left:-2456;top:21401;width:359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OsYxQAAAN4AAAAPAAAAZHJzL2Rvd25yZXYueG1sRE9La8JA&#10;EL4X+h+WEbzVjaJBUlcpFjEHLz4KPQ7ZMUmbnV2yq4n+erdQ8DYf33MWq9404kqtry0rGI8SEMSF&#10;1TWXCk7HzdschA/IGhvLpOBGHlbL15cFZtp2vKfrIZQihrDPUEEVgsuk9EVFBv3IOuLInW1rMETY&#10;llK32MVw08hJkqTSYM2xoUJH64qK38PFKPj+ZJdvOlmc72u3+8nnzfZy+lJqOOg/3kEE6sNT/O/O&#10;dZyfprMp/L0Tb5DLBwAAAP//AwBQSwECLQAUAAYACAAAACEA2+H2y+4AAACFAQAAEwAAAAAAAAAA&#10;AAAAAAAAAAAAW0NvbnRlbnRfVHlwZXNdLnhtbFBLAQItABQABgAIAAAAIQBa9CxbvwAAABUBAAAL&#10;AAAAAAAAAAAAAAAAAB8BAABfcmVscy8ucmVsc1BLAQItABQABgAIAAAAIQCNGOsYxQAAAN4AAAAP&#10;AAAAAAAAAAAAAAAAAAcCAABkcnMvZG93bnJldi54bWxQSwUGAAAAAAMAAwC3AAAA+QIAAAAA&#10;" filled="f" stroked="f">
                  <v:textbox inset="0,0,0,0">
                    <w:txbxContent>
                      <w:p w14:paraId="6C3FE5E9" w14:textId="77777777" w:rsidR="00B32EF2" w:rsidRDefault="00000000">
                        <w:r>
                          <w:rPr>
                            <w:rFonts w:ascii="Arial" w:eastAsia="Arial" w:hAnsi="Arial" w:cs="Arial"/>
                            <w:b/>
                            <w:sz w:val="18"/>
                          </w:rPr>
                          <w:t xml:space="preserve">Richiesta di copie e notificazione della sentenza </w:t>
                        </w:r>
                      </w:p>
                    </w:txbxContent>
                  </v:textbox>
                </v:rect>
                <v:rect id="Rectangle 200384" o:spid="_x0000_s2743" style="position:absolute;left:26349;top:20131;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6VSxwAAAN8AAAAPAAAAZHJzL2Rvd25yZXYueG1sRI9Pa8JA&#10;FMTvgt9heUJvuukfJKRuQrFIc/BSa6HHR/aZRLNvl+xqUj99tyB4HGbmN8yqGE0nLtT71rKCx0UC&#10;griyuuVawf5rM09B+ICssbNMCn7JQ5FPJyvMtB34ky67UIsIYZ+hgiYEl0npq4YM+oV1xNE72N5g&#10;iLKvpe5xiHDTyackWUqDLceFBh2tG6pOu7NR8PPOrtwMsjpc1257LNPu47z/VuphNr69ggg0hnv4&#10;1i61gkh8Tl/g/0/8AjL/AwAA//8DAFBLAQItABQABgAIAAAAIQDb4fbL7gAAAIUBAAATAAAAAAAA&#10;AAAAAAAAAAAAAABbQ29udGVudF9UeXBlc10ueG1sUEsBAi0AFAAGAAgAAAAhAFr0LFu/AAAAFQEA&#10;AAsAAAAAAAAAAAAAAAAAHwEAAF9yZWxzLy5yZWxzUEsBAi0AFAAGAAgAAAAhAJajpVLHAAAA3wAA&#10;AA8AAAAAAAAAAAAAAAAABwIAAGRycy9kb3ducmV2LnhtbFBLBQYAAAAAAwADALcAAAD7AgAAAAA=&#10;" filled="f" stroked="f">
                  <v:textbox inset="0,0,0,0">
                    <w:txbxContent>
                      <w:p w14:paraId="186B80C2" w14:textId="77777777" w:rsidR="00B32EF2" w:rsidRDefault="00000000">
                        <w:r>
                          <w:rPr>
                            <w:rFonts w:ascii="Arial" w:eastAsia="Arial" w:hAnsi="Arial" w:cs="Arial"/>
                            <w:sz w:val="18"/>
                          </w:rPr>
                          <w:t>1</w:t>
                        </w:r>
                      </w:p>
                    </w:txbxContent>
                  </v:textbox>
                </v:rect>
                <v:rect id="Rectangle 200385" o:spid="_x0000_s2744" style="position:absolute;left:-12798;top:20131;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wDJxwAAAN8AAAAPAAAAZHJzL2Rvd25yZXYueG1sRI9Ba8JA&#10;FITvgv9heUJvumlLJaRuQrFIc/BSa6HHR/aZRLNvl+xqUn99tyB4HGbmG2ZVjKYTF+p9a1nB4yIB&#10;QVxZ3XKtYP+1macgfEDW2FkmBb/kocinkxVm2g78SZddqEWEsM9QQROCy6T0VUMG/cI64ugdbG8w&#10;RNnXUvc4RLjp5FOSLKXBluNCg47WDVWn3dko+HlnV24GWR2ua7c9lmn3cd5/K/UwG99eQQQawz18&#10;a5daQSQ+py/w/yd+AZn/AQAA//8DAFBLAQItABQABgAIAAAAIQDb4fbL7gAAAIUBAAATAAAAAAAA&#10;AAAAAAAAAAAAAABbQ29udGVudF9UeXBlc10ueG1sUEsBAi0AFAAGAAgAAAAhAFr0LFu/AAAAFQEA&#10;AAsAAAAAAAAAAAAAAAAAHwEAAF9yZWxzLy5yZWxzUEsBAi0AFAAGAAgAAAAhAPnvAMnHAAAA3wAA&#10;AA8AAAAAAAAAAAAAAAAABwIAAGRycy9kb3ducmV2LnhtbFBLBQYAAAAAAwADALcAAAD7AgAAAAA=&#10;" filled="f" stroked="f">
                  <v:textbox inset="0,0,0,0">
                    <w:txbxContent>
                      <w:p w14:paraId="390FF5F5" w14:textId="77777777" w:rsidR="00B32EF2" w:rsidRDefault="00000000">
                        <w:r>
                          <w:rPr>
                            <w:rFonts w:ascii="Arial" w:eastAsia="Arial" w:hAnsi="Arial" w:cs="Arial"/>
                            <w:sz w:val="18"/>
                          </w:rPr>
                          <w:t>. Ciascuna parte può richiedere alla segreteria copie autentiche della sen</w:t>
                        </w:r>
                      </w:p>
                    </w:txbxContent>
                  </v:textbox>
                </v:rect>
                <v:rect id="Rectangle 16656" o:spid="_x0000_s2745" style="position:absolute;left:191;top:20131;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tD0xAAAAN4AAAAPAAAAZHJzL2Rvd25yZXYueG1sRE9Na8JA&#10;EL0L/odlhN50U6FBUlcpijQHL9oIPQ7ZMUmbnV2yq0n99a4g9DaP9znL9WBacaXON5YVvM4SEMSl&#10;1Q1XCoqv3XQBwgdkja1lUvBHHtar8WiJmbY9H+h6DJWIIewzVFCH4DIpfVmTQT+zjjhyZ9sZDBF2&#10;ldQd9jHctHKeJKk02HBsqNHRpqby93gxCr637PJdL8vzbeP2P/mi/bwUJ6VeJsPHO4hAQ/gXP925&#10;jvPT9C2FxzvxBrm6AwAA//8DAFBLAQItABQABgAIAAAAIQDb4fbL7gAAAIUBAAATAAAAAAAAAAAA&#10;AAAAAAAAAABbQ29udGVudF9UeXBlc10ueG1sUEsBAi0AFAAGAAgAAAAhAFr0LFu/AAAAFQEAAAsA&#10;AAAAAAAAAAAAAAAAHwEAAF9yZWxzLy5yZWxzUEsBAi0AFAAGAAgAAAAhABKG0PTEAAAA3gAAAA8A&#10;AAAAAAAAAAAAAAAABwIAAGRycy9kb3ducmV2LnhtbFBLBQYAAAAAAwADALcAAAD4AgAAAAA=&#10;" filled="f" stroked="f">
                  <v:textbox inset="0,0,0,0">
                    <w:txbxContent>
                      <w:p w14:paraId="35B23744" w14:textId="77777777" w:rsidR="00B32EF2" w:rsidRDefault="00000000">
                        <w:r>
                          <w:rPr>
                            <w:rFonts w:ascii="Arial" w:eastAsia="Arial" w:hAnsi="Arial" w:cs="Arial"/>
                            <w:sz w:val="18"/>
                          </w:rPr>
                          <w:t>-</w:t>
                        </w:r>
                      </w:p>
                    </w:txbxContent>
                  </v:textbox>
                </v:rect>
                <v:rect id="Rectangle 16657" o:spid="_x0000_s2746" style="position:absolute;left:-13172;top:1886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nVvxAAAAN4AAAAPAAAAZHJzL2Rvd25yZXYueG1sRE9Na8JA&#10;EL0X+h+WEbzVjYJRUlcpFjEHL1ULPQ7ZMUmbnV2yq4n+ercgeJvH+5zFqjeNuFDra8sKxqMEBHFh&#10;dc2lguNh8zYH4QOyxsYyKbiSh9Xy9WWBmbYdf9FlH0oRQ9hnqKAKwWVS+qIig35kHXHkTrY1GCJs&#10;S6lb7GK4aeQkSVJpsObYUKGjdUXF3/5sFPx8sss3nSxOt7Xb/ebzZns+fis1HPQf7yAC9eEpfrhz&#10;Heen6XQG/+/EG+TyDgAA//8DAFBLAQItABQABgAIAAAAIQDb4fbL7gAAAIUBAAATAAAAAAAAAAAA&#10;AAAAAAAAAABbQ29udGVudF9UeXBlc10ueG1sUEsBAi0AFAAGAAgAAAAhAFr0LFu/AAAAFQEAAAsA&#10;AAAAAAAAAAAAAAAAHwEAAF9yZWxzLy5yZWxzUEsBAi0AFAAGAAgAAAAhAH3KdW/EAAAA3gAAAA8A&#10;AAAAAAAAAAAAAAAABwIAAGRycy9kb3ducmV2LnhtbFBLBQYAAAAAAwADALcAAAD4AgAAAAA=&#10;" filled="f" stroked="f">
                  <v:textbox inset="0,0,0,0">
                    <w:txbxContent>
                      <w:p w14:paraId="20B88BDD" w14:textId="77777777" w:rsidR="00B32EF2" w:rsidRDefault="00000000">
                        <w:r>
                          <w:rPr>
                            <w:rFonts w:ascii="Arial" w:eastAsia="Arial" w:hAnsi="Arial" w:cs="Arial"/>
                            <w:sz w:val="18"/>
                          </w:rPr>
                          <w:t xml:space="preserve">tenza e la segreteria è tenuta a rilasciarle entro cinque giorni dalla richiesta, </w:t>
                        </w:r>
                      </w:p>
                    </w:txbxContent>
                  </v:textbox>
                </v:rect>
                <v:rect id="Rectangle 16658" o:spid="_x0000_s2747" style="position:absolute;left:16111;top:17591;width:238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eEdyAAAAN4AAAAPAAAAZHJzL2Rvd25yZXYueG1sRI9Pa8Mw&#10;DMXvg30Ho8Fuq7PBQknrltJRlsMu/TPYUcRqkjaWTew22T79dCj0JvGe3vtpvhxdp67Ux9azgddJ&#10;Boq48rbl2sBhv3mZgooJ2WLnmQz8UoTl4vFhjoX1A2/puku1khCOBRpoUgqF1rFqyGGc+EAs2tH3&#10;DpOsfa1tj4OEu06/ZVmuHbYsDQ0GWjdUnXcXZ+Dng0O5GXR1/FuHr1M57T4vh29jnp/G1QxUojHd&#10;zbfr0gp+nr8Lr7wjM+jFPwAAAP//AwBQSwECLQAUAAYACAAAACEA2+H2y+4AAACFAQAAEwAAAAAA&#10;AAAAAAAAAAAAAAAAW0NvbnRlbnRfVHlwZXNdLnhtbFBLAQItABQABgAIAAAAIQBa9CxbvwAAABUB&#10;AAALAAAAAAAAAAAAAAAAAB8BAABfcmVscy8ucmVsc1BLAQItABQABgAIAAAAIQAMVeEdyAAAAN4A&#10;AAAPAAAAAAAAAAAAAAAAAAcCAABkcnMvZG93bnJldi54bWxQSwUGAAAAAAMAAwC3AAAA/AIAAAAA&#10;" filled="f" stroked="f">
                  <v:textbox inset="0,0,0,0">
                    <w:txbxContent>
                      <w:p w14:paraId="6D5BCEDF" w14:textId="77777777" w:rsidR="00B32EF2" w:rsidRDefault="00000000">
                        <w:r>
                          <w:rPr>
                            <w:rFonts w:ascii="Arial" w:eastAsia="Arial" w:hAnsi="Arial" w:cs="Arial"/>
                            <w:sz w:val="18"/>
                          </w:rPr>
                          <w:t>previa corresponsione delle spese.</w:t>
                        </w:r>
                      </w:p>
                    </w:txbxContent>
                  </v:textbox>
                </v:rect>
                <v:rect id="Rectangle 200382" o:spid="_x0000_s2748" style="position:absolute;left:26109;top:16322;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pi9xgAAAN8AAAAPAAAAZHJzL2Rvd25yZXYueG1sRI9Ba8JA&#10;FITvhf6H5RV6q5takBBdpShiDr1oI3h8ZJ9JNPt2ya4m9de7gtDjMDPfMLPFYFpxpc43lhV8jhIQ&#10;xKXVDVcKit/1RwrCB2SNrWVS8EceFvPXlxlm2va8pesuVCJC2GeooA7BZVL6siaDfmQdcfSOtjMY&#10;ouwqqTvsI9y0cpwkE2mw4bhQo6NlTeV5dzEKDit2+bqX5fG2dD+nPG03l2Kv1Pvb8D0FEWgI/+Fn&#10;O9cKIvErHcPjT/wCcn4HAAD//wMAUEsBAi0AFAAGAAgAAAAhANvh9svuAAAAhQEAABMAAAAAAAAA&#10;AAAAAAAAAAAAAFtDb250ZW50X1R5cGVzXS54bWxQSwECLQAUAAYACAAAACEAWvQsW78AAAAVAQAA&#10;CwAAAAAAAAAAAAAAAAAfAQAAX3JlbHMvLnJlbHNQSwECLQAUAAYACAAAACEAdgaYvcYAAADfAAAA&#10;DwAAAAAAAAAAAAAAAAAHAgAAZHJzL2Rvd25yZXYueG1sUEsFBgAAAAADAAMAtwAAAPoCAAAAAA==&#10;" filled="f" stroked="f">
                  <v:textbox inset="0,0,0,0">
                    <w:txbxContent>
                      <w:p w14:paraId="311659BC" w14:textId="77777777" w:rsidR="00B32EF2" w:rsidRDefault="00000000">
                        <w:r>
                          <w:rPr>
                            <w:rFonts w:ascii="Arial" w:eastAsia="Arial" w:hAnsi="Arial" w:cs="Arial"/>
                            <w:sz w:val="18"/>
                          </w:rPr>
                          <w:t>2</w:t>
                        </w:r>
                      </w:p>
                    </w:txbxContent>
                  </v:textbox>
                </v:rect>
                <v:rect id="Rectangle 200383" o:spid="_x0000_s2749" style="position:absolute;left:-13816;top:16322;width:5308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0mxwAAAN8AAAAPAAAAZHJzL2Rvd25yZXYueG1sRI9Pa8JA&#10;FMTvBb/D8gRvdVMFCakbKYqYQy9ahR4f2Zc/bfbtkl1N2k/fFYQeh5n5DbPejKYTN+p9a1nByzwB&#10;QVxa3XKt4Pyxf05B+ICssbNMCn7IwyafPK0x03bgI91OoRYRwj5DBU0ILpPSlw0Z9HPriKNX2d5g&#10;iLKvpe5xiHDTyUWSrKTBluNCg462DZXfp6tR8LljV+wHWVa/W/f+VaTd4Xq+KDWbjm+vIAKN4T/8&#10;aBdaQSQu0yXc/8QvIPM/AAAA//8DAFBLAQItABQABgAIAAAAIQDb4fbL7gAAAIUBAAATAAAAAAAA&#10;AAAAAAAAAAAAAABbQ29udGVudF9UeXBlc10ueG1sUEsBAi0AFAAGAAgAAAAhAFr0LFu/AAAAFQEA&#10;AAsAAAAAAAAAAAAAAAAAHwEAAF9yZWxzLy5yZWxzUEsBAi0AFAAGAAgAAAAhABlKPSbHAAAA3wAA&#10;AA8AAAAAAAAAAAAAAAAABwIAAGRycy9kb3ducmV2LnhtbFBLBQYAAAAAAwADALcAAAD7AgAAAAA=&#10;" filled="f" stroked="f">
                  <v:textbox inset="0,0,0,0">
                    <w:txbxContent>
                      <w:p w14:paraId="7E8EBCDF" w14:textId="77777777" w:rsidR="00B32EF2" w:rsidRDefault="00000000">
                        <w:r>
                          <w:rPr>
                            <w:rFonts w:ascii="Arial" w:eastAsia="Arial" w:hAnsi="Arial" w:cs="Arial"/>
                            <w:sz w:val="18"/>
                          </w:rPr>
                          <w:t xml:space="preserve">. Le parti hanno l’onere di provvedere direttamente alla notificazione della </w:t>
                        </w:r>
                      </w:p>
                    </w:txbxContent>
                  </v:textbox>
                </v:rect>
                <v:rect id="Rectangle 16660" o:spid="_x0000_s2750" style="position:absolute;left:-13171;top:15052;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yemxwAAAN4AAAAPAAAAZHJzL2Rvd25yZXYueG1sRI9Pa8Mw&#10;DMXvg30Ho8Juq9MdQsnqltFRlsMu/Qc7ilhN0sayid0m66efDoPeJPT03vstVqPr1I362Ho2MJtm&#10;oIgrb1uuDRz2m9c5qJiQLXaeycAvRVgtn58WWFg/8JZuu1QrMeFYoIEmpVBoHauGHMapD8RyO/ne&#10;YZK1r7XtcRBz1+m3LMu1w5YlocFA64aqy+7qDPx8cig3g65O93X4Ppfz7ut6OBrzMhk/3kElGtND&#10;/P9dWqmf57kACI7MoJd/AAAA//8DAFBLAQItABQABgAIAAAAIQDb4fbL7gAAAIUBAAATAAAAAAAA&#10;AAAAAAAAAAAAAABbQ29udGVudF9UeXBlc10ueG1sUEsBAi0AFAAGAAgAAAAhAFr0LFu/AAAAFQEA&#10;AAsAAAAAAAAAAAAAAAAAHwEAAF9yZWxzLy5yZWxzUEsBAi0AFAAGAAgAAAAhADxPJ6bHAAAA3gAA&#10;AA8AAAAAAAAAAAAAAAAABwIAAGRycy9kb3ducmV2LnhtbFBLBQYAAAAAAwADALcAAAD7AgAAAAA=&#10;" filled="f" stroked="f">
                  <v:textbox inset="0,0,0,0">
                    <w:txbxContent>
                      <w:p w14:paraId="5EB4ED20" w14:textId="77777777" w:rsidR="00B32EF2" w:rsidRDefault="00000000">
                        <w:r>
                          <w:rPr>
                            <w:rFonts w:ascii="Arial" w:eastAsia="Arial" w:hAnsi="Arial" w:cs="Arial"/>
                            <w:sz w:val="18"/>
                          </w:rPr>
                          <w:t xml:space="preserve">sentenza alle altre parti a norma dell’articolo 60, depositando, nei successivi </w:t>
                        </w:r>
                      </w:p>
                    </w:txbxContent>
                  </v:textbox>
                </v:rect>
                <v:rect id="Rectangle 16661" o:spid="_x0000_s2751" style="position:absolute;left:-13172;top:1378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4I9wwAAAN4AAAAPAAAAZHJzL2Rvd25yZXYueG1sRE9Li8Iw&#10;EL4v+B/CCHtbUz0UqUYRRexhL+sDPA7N2FabSWiirf76zcKCt/n4njNf9qYRD2p9bVnBeJSAIC6s&#10;rrlUcDxsv6YgfEDW2FgmBU/ysFwMPuaYadvxDz32oRQxhH2GCqoQXCalLyoy6EfWEUfuYluDIcK2&#10;lLrFLoabRk6SJJUGa44NFTpaV1Tc9nej4Lxhl287WVxea/d9zafN7n48KfU57FczEIH68Bb/u3Md&#10;56dpOoa/d+INcvELAAD//wMAUEsBAi0AFAAGAAgAAAAhANvh9svuAAAAhQEAABMAAAAAAAAAAAAA&#10;AAAAAAAAAFtDb250ZW50X1R5cGVzXS54bWxQSwECLQAUAAYACAAAACEAWvQsW78AAAAVAQAACwAA&#10;AAAAAAAAAAAAAAAfAQAAX3JlbHMvLnJlbHNQSwECLQAUAAYACAAAACEAUwOCPcMAAADeAAAADwAA&#10;AAAAAAAAAAAAAAAHAgAAZHJzL2Rvd25yZXYueG1sUEsFBgAAAAADAAMAtwAAAPcCAAAAAA==&#10;" filled="f" stroked="f">
                  <v:textbox inset="0,0,0,0">
                    <w:txbxContent>
                      <w:p w14:paraId="5553DBA1" w14:textId="77777777" w:rsidR="00B32EF2" w:rsidRDefault="00000000">
                        <w:r>
                          <w:rPr>
                            <w:rFonts w:ascii="Arial" w:eastAsia="Arial" w:hAnsi="Arial" w:cs="Arial"/>
                            <w:sz w:val="18"/>
                          </w:rPr>
                          <w:t xml:space="preserve">trenta giorni, l’originale o copia autentica dell’originale notificato, ovvero copia </w:t>
                        </w:r>
                      </w:p>
                    </w:txbxContent>
                  </v:textbox>
                </v:rect>
                <v:rect id="Rectangle 16662" o:spid="_x0000_s2752" style="position:absolute;left:-13171;top:12512;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RxKwwAAAN4AAAAPAAAAZHJzL2Rvd25yZXYueG1sRE9Li8Iw&#10;EL4v+B/CCHtbUz0UqUYRRexhL+sDPA7N2FabSWiirf76zcKCt/n4njNf9qYRD2p9bVnBeJSAIC6s&#10;rrlUcDxsv6YgfEDW2FgmBU/ysFwMPuaYadvxDz32oRQxhH2GCqoQXCalLyoy6EfWEUfuYluDIcK2&#10;lLrFLoabRk6SJJUGa44NFTpaV1Tc9nej4Lxhl287WVxea/d9zafN7n48KfU57FczEIH68Bb/u3Md&#10;56dpOoG/d+INcvELAAD//wMAUEsBAi0AFAAGAAgAAAAhANvh9svuAAAAhQEAABMAAAAAAAAAAAAA&#10;AAAAAAAAAFtDb250ZW50X1R5cGVzXS54bWxQSwECLQAUAAYACAAAACEAWvQsW78AAAAVAQAACwAA&#10;AAAAAAAAAAAAAAAfAQAAX3JlbHMvLnJlbHNQSwECLQAUAAYACAAAACEAo9EcSsMAAADeAAAADwAA&#10;AAAAAAAAAAAAAAAHAgAAZHJzL2Rvd25yZXYueG1sUEsFBgAAAAADAAMAtwAAAPcCAAAAAA==&#10;" filled="f" stroked="f">
                  <v:textbox inset="0,0,0,0">
                    <w:txbxContent>
                      <w:p w14:paraId="4183492E" w14:textId="77777777" w:rsidR="00B32EF2" w:rsidRDefault="00000000">
                        <w:r>
                          <w:rPr>
                            <w:rFonts w:ascii="Arial" w:eastAsia="Arial" w:hAnsi="Arial" w:cs="Arial"/>
                            <w:sz w:val="18"/>
                          </w:rPr>
                          <w:t xml:space="preserve">autentica della sentenza consegnata o spedita per posta, con fotocopia della </w:t>
                        </w:r>
                      </w:p>
                    </w:txbxContent>
                  </v:textbox>
                </v:rect>
                <v:rect id="Rectangle 16663" o:spid="_x0000_s2753" style="position:absolute;left:-13172;top:1124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bnRxAAAAN4AAAAPAAAAZHJzL2Rvd25yZXYueG1sRE9Na8JA&#10;EL0L/odlhN50UwtBUlcpijQHL9oIPQ7ZMUmbnV2yq0n99a4g9DaP9znL9WBacaXON5YVvM4SEMSl&#10;1Q1XCoqv3XQBwgdkja1lUvBHHtar8WiJmbY9H+h6DJWIIewzVFCH4DIpfVmTQT+zjjhyZ9sZDBF2&#10;ldQd9jHctHKeJKk02HBsqNHRpqby93gxCr637PJdL8vzbeP2P/mi/bwUJ6VeJsPHO4hAQ/gXP925&#10;jvPTNH2DxzvxBrm6AwAA//8DAFBLAQItABQABgAIAAAAIQDb4fbL7gAAAIUBAAATAAAAAAAAAAAA&#10;AAAAAAAAAABbQ29udGVudF9UeXBlc10ueG1sUEsBAi0AFAAGAAgAAAAhAFr0LFu/AAAAFQEAAAsA&#10;AAAAAAAAAAAAAAAAHwEAAF9yZWxzLy5yZWxzUEsBAi0AFAAGAAgAAAAhAMydudHEAAAA3gAAAA8A&#10;AAAAAAAAAAAAAAAABwIAAGRycy9kb3ducmV2LnhtbFBLBQYAAAAAAwADALcAAAD4AgAAAAA=&#10;" filled="f" stroked="f">
                  <v:textbox inset="0,0,0,0">
                    <w:txbxContent>
                      <w:p w14:paraId="31844087" w14:textId="77777777" w:rsidR="00B32EF2" w:rsidRDefault="00000000">
                        <w:r>
                          <w:rPr>
                            <w:rFonts w:ascii="Arial" w:eastAsia="Arial" w:hAnsi="Arial" w:cs="Arial"/>
                            <w:sz w:val="18"/>
                          </w:rPr>
                          <w:t xml:space="preserve">ricevuta di deposito o della spedizione per raccomandata a mezzo del servizio </w:t>
                        </w:r>
                      </w:p>
                    </w:txbxContent>
                  </v:textbox>
                </v:rect>
                <v:rect id="Rectangle 16664" o:spid="_x0000_s2754" style="position:absolute;left:-13172;top:997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CGlxAAAAN4AAAAPAAAAZHJzL2Rvd25yZXYueG1sRE9Na8JA&#10;EL0L/odlhN50UylBUlcpijQHL9oIPQ7ZMUmbnV2yq0n99a4g9DaP9znL9WBacaXON5YVvM4SEMSl&#10;1Q1XCoqv3XQBwgdkja1lUvBHHtar8WiJmbY9H+h6DJWIIewzVFCH4DIpfVmTQT+zjjhyZ9sZDBF2&#10;ldQd9jHctHKeJKk02HBsqNHRpqby93gxCr637PJdL8vzbeP2P/mi/bwUJ6VeJsPHO4hAQ/gXP925&#10;jvPTNH2DxzvxBrm6AwAA//8DAFBLAQItABQABgAIAAAAIQDb4fbL7gAAAIUBAAATAAAAAAAAAAAA&#10;AAAAAAAAAABbQ29udGVudF9UeXBlc10ueG1sUEsBAi0AFAAGAAgAAAAhAFr0LFu/AAAAFQEAAAsA&#10;AAAAAAAAAAAAAAAAHwEAAF9yZWxzLy5yZWxzUEsBAi0AFAAGAAgAAAAhAEN0IaXEAAAA3gAAAA8A&#10;AAAAAAAAAAAAAAAABwIAAGRycy9kb3ducmV2LnhtbFBLBQYAAAAAAwADALcAAAD4AgAAAAA=&#10;" filled="f" stroked="f">
                  <v:textbox inset="0,0,0,0">
                    <w:txbxContent>
                      <w:p w14:paraId="2207E1DF" w14:textId="77777777" w:rsidR="00B32EF2" w:rsidRDefault="00000000">
                        <w:r>
                          <w:rPr>
                            <w:rFonts w:ascii="Arial" w:eastAsia="Arial" w:hAnsi="Arial" w:cs="Arial"/>
                            <w:sz w:val="18"/>
                          </w:rPr>
                          <w:t xml:space="preserve">postale unitamente all’avviso di ricevimento nella segreteria, che ne rilascia </w:t>
                        </w:r>
                      </w:p>
                    </w:txbxContent>
                  </v:textbox>
                </v:rect>
                <v:rect id="Rectangle 16665" o:spid="_x0000_s2755" style="position:absolute;left:10963;top:8702;width:289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Q+xAAAAN4AAAAPAAAAZHJzL2Rvd25yZXYueG1sRE9Na8JA&#10;EL0L/odlhN50U6FBUlcpijQHL9oIPQ7ZMUmbnV2yq0n99a4g9DaP9znL9WBacaXON5YVvM4SEMSl&#10;1Q1XCoqv3XQBwgdkja1lUvBHHtar8WiJmbY9H+h6DJWIIewzVFCH4DIpfVmTQT+zjjhyZ9sZDBF2&#10;ldQd9jHctHKeJKk02HBsqNHRpqby93gxCr637PJdL8vzbeP2P/mi/bwUJ6VeJsPHO4hAQ/gXP925&#10;jvPTNH2DxzvxBrm6AwAA//8DAFBLAQItABQABgAIAAAAIQDb4fbL7gAAAIUBAAATAAAAAAAAAAAA&#10;AAAAAAAAAABbQ29udGVudF9UeXBlc10ueG1sUEsBAi0AFAAGAAgAAAAhAFr0LFu/AAAAFQEAAAsA&#10;AAAAAAAAAAAAAAAAHwEAAF9yZWxzLy5yZWxzUEsBAi0AFAAGAAgAAAAhACw4hD7EAAAA3gAAAA8A&#10;AAAAAAAAAAAAAAAABwIAAGRycy9kb3ducmV2LnhtbFBLBQYAAAAAAwADALcAAAD4AgAAAAA=&#10;" filled="f" stroked="f">
                  <v:textbox inset="0,0,0,0">
                    <w:txbxContent>
                      <w:p w14:paraId="3FA34DEA" w14:textId="77777777" w:rsidR="00B32EF2" w:rsidRDefault="00000000">
                        <w:r>
                          <w:rPr>
                            <w:rFonts w:ascii="Arial" w:eastAsia="Arial" w:hAnsi="Arial" w:cs="Arial"/>
                            <w:sz w:val="18"/>
                          </w:rPr>
                          <w:t>ricevuta e l’inserisce nel fascicolo d’ufficio.</w:t>
                        </w:r>
                      </w:p>
                    </w:txbxContent>
                  </v:textbox>
                </v:rect>
                <v:rect id="Rectangle 200351" o:spid="_x0000_s2756" style="position:absolute;left:-13817;top:743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qNxwAAAN8AAAAPAAAAZHJzL2Rvd25yZXYueG1sRI9PawIx&#10;FMTvgt8hPKE3zWqpyNasFEW6By+1Ch4fm7d/2s1L2ER366dvCkKPw8z8hllvBtOKG3W+saxgPktA&#10;EBdWN1wpOH3upysQPiBrbC2Tgh/ysMnGozWm2vb8QbdjqESEsE9RQR2CS6X0RU0G/cw64uiVtjMY&#10;ouwqqTvsI9y0cpEkS2mw4bhQo6NtTcX38WoUXHbs8n0vi/K+dYevfNW+X09npZ4mw9sriEBD+A8/&#10;2rlWEInPL3P4+xO/gMx+AQAA//8DAFBLAQItABQABgAIAAAAIQDb4fbL7gAAAIUBAAATAAAAAAAA&#10;AAAAAAAAAAAAAABbQ29udGVudF9UeXBlc10ueG1sUEsBAi0AFAAGAAgAAAAhAFr0LFu/AAAAFQEA&#10;AAsAAAAAAAAAAAAAAAAAHwEAAF9yZWxzLy5yZWxzUEsBAi0AFAAGAAgAAAAhAPi0Ko3HAAAA3wAA&#10;AA8AAAAAAAAAAAAAAAAABwIAAGRycy9kb3ducmV2LnhtbFBLBQYAAAAAAwADALcAAAD7AgAAAAA=&#10;" filled="f" stroked="f">
                  <v:textbox inset="0,0,0,0">
                    <w:txbxContent>
                      <w:p w14:paraId="104E056F" w14:textId="77777777" w:rsidR="00B32EF2" w:rsidRDefault="00000000">
                        <w:r>
                          <w:rPr>
                            <w:rFonts w:ascii="Arial" w:eastAsia="Arial" w:hAnsi="Arial" w:cs="Arial"/>
                            <w:sz w:val="18"/>
                          </w:rPr>
                          <w:t xml:space="preserve">. Se nessuna delle parti provvede alla notificazione della sentenza, si applica </w:t>
                        </w:r>
                      </w:p>
                    </w:txbxContent>
                  </v:textbox>
                </v:rect>
                <v:rect id="Rectangle 200350" o:spid="_x0000_s2757" style="position:absolute;left:26109;top:743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8WxwAAAN8AAAAPAAAAZHJzL2Rvd25yZXYueG1sRI9Ba8JA&#10;EIXvhf6HZQre6sYWi6SuIhZpDr1oLfQ4ZMckmp1dsquJ/fXOQehxePO+xzdfDq5VF+pi49nAZJyB&#10;Ii69bbgysP/ePM9AxYRssfVMBq4UYbl4fJhjbn3PW7rsUqUEwjFHA3VKIdc6ljU5jGMfiCU7+M5h&#10;krOrtO2wF7hr9UuWvWmHDctCjYHWNZWn3dkZ+P3gUGx6XR7+1uHrWMzaz/P+x5jR07B6B5VoSP/P&#10;93ZhDQjxdSoG4iMuoBc3AAAA//8DAFBLAQItABQABgAIAAAAIQDb4fbL7gAAAIUBAAATAAAAAAAA&#10;AAAAAAAAAAAAAABbQ29udGVudF9UeXBlc10ueG1sUEsBAi0AFAAGAAgAAAAhAFr0LFu/AAAAFQEA&#10;AAsAAAAAAAAAAAAAAAAAHwEAAF9yZWxzLy5yZWxzUEsBAi0AFAAGAAgAAAAhAJf4jxbHAAAA3wAA&#10;AA8AAAAAAAAAAAAAAAAABwIAAGRycy9kb3ducmV2LnhtbFBLBQYAAAAAAwADALcAAAD7AgAAAAA=&#10;" filled="f" stroked="f">
                  <v:textbox inset="0,0,0,0">
                    <w:txbxContent>
                      <w:p w14:paraId="709B2132" w14:textId="77777777" w:rsidR="00B32EF2" w:rsidRDefault="00000000">
                        <w:r>
                          <w:rPr>
                            <w:rFonts w:ascii="Arial" w:eastAsia="Arial" w:hAnsi="Arial" w:cs="Arial"/>
                            <w:sz w:val="18"/>
                          </w:rPr>
                          <w:t>3</w:t>
                        </w:r>
                      </w:p>
                    </w:txbxContent>
                  </v:textbox>
                </v:rect>
                <v:rect id="Rectangle 16667" o:spid="_x0000_s2758" style="position:absolute;left:-13171;top:6163;width:5308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r/SxAAAAN4AAAAPAAAAZHJzL2Rvd25yZXYueG1sRE9Li8Iw&#10;EL4L+x/CLOxN0/VQpRplUWR72Isv8Dg0Y1ttJqGJtru/fiMI3ubje8582ZtG3Kn1tWUFn6MEBHFh&#10;dc2lgsN+M5yC8AFZY2OZFPySh+XibTDHTNuOt3TfhVLEEPYZKqhCcJmUvqjIoB9ZRxy5s20Nhgjb&#10;UuoWuxhuGjlOklQarDk2VOhoVVFx3d2MgtOaXb7pZHH+W7mfSz5tvm+Ho1If7/3XDESgPrzET3eu&#10;4/w0TSfweCfeIBf/AAAA//8DAFBLAQItABQABgAIAAAAIQDb4fbL7gAAAIUBAAATAAAAAAAAAAAA&#10;AAAAAAAAAABbQ29udGVudF9UeXBlc10ueG1sUEsBAi0AFAAGAAgAAAAhAFr0LFu/AAAAFQEAAAsA&#10;AAAAAAAAAAAAAAAAHwEAAF9yZWxzLy5yZWxzUEsBAi0AFAAGAAgAAAAhALOmv9LEAAAA3gAAAA8A&#10;AAAAAAAAAAAAAAAABwIAAGRycy9kb3ducmV2LnhtbFBLBQYAAAAAAwADALcAAAD4AgAAAAA=&#10;" filled="f" stroked="f">
                  <v:textbox inset="0,0,0,0">
                    <w:txbxContent>
                      <w:p w14:paraId="0996377D" w14:textId="77777777" w:rsidR="00B32EF2" w:rsidRDefault="00000000">
                        <w:r>
                          <w:rPr>
                            <w:rFonts w:ascii="Arial" w:eastAsia="Arial" w:hAnsi="Arial" w:cs="Arial"/>
                            <w:sz w:val="18"/>
                          </w:rPr>
                          <w:t xml:space="preserve">l’articolo 327, primo comma, del codice di procedura civile. Tale disposizione </w:t>
                        </w:r>
                      </w:p>
                    </w:txbxContent>
                  </v:textbox>
                </v:rect>
                <v:rect id="Rectangle 16668" o:spid="_x0000_s2759" style="position:absolute;left:-12206;top:4893;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ugxwAAAN4AAAAPAAAAZHJzL2Rvd25yZXYueG1sRI9Pa8Mw&#10;DMXvg30Ho8Juq9MdQsnqltFRlsMu/Qc7ilhN0sayid0m66efDoPeJN7Tez8tVqPr1I362Ho2MJtm&#10;oIgrb1uuDRz2m9c5qJiQLXaeycAvRVgtn58WWFg/8JZuu1QrCeFYoIEmpVBoHauGHMapD8SinXzv&#10;MMna19r2OEi46/RbluXaYcvS0GCgdUPVZXd1Bn4+OZSbQVen+zp8n8t593U9HI15mYwf76ASjelh&#10;/r8ureDneS688o7MoJd/AAAA//8DAFBLAQItABQABgAIAAAAIQDb4fbL7gAAAIUBAAATAAAAAAAA&#10;AAAAAAAAAAAAAABbQ29udGVudF9UeXBlc10ueG1sUEsBAi0AFAAGAAgAAAAhAFr0LFu/AAAAFQEA&#10;AAsAAAAAAAAAAAAAAAAAHwEAAF9yZWxzLy5yZWxzUEsBAi0AFAAGAAgAAAAhAMI5K6DHAAAA3gAA&#10;AA8AAAAAAAAAAAAAAAAABwIAAGRycy9kb3ducmV2LnhtbFBLBQYAAAAAAwADALcAAAD7AgAAAAA=&#10;" filled="f" stroked="f">
                  <v:textbox inset="0,0,0,0">
                    <w:txbxContent>
                      <w:p w14:paraId="17DB8B3B" w14:textId="77777777" w:rsidR="00B32EF2" w:rsidRDefault="00000000">
                        <w:r>
                          <w:rPr>
                            <w:rFonts w:ascii="Arial" w:eastAsia="Arial" w:hAnsi="Arial" w:cs="Arial"/>
                            <w:sz w:val="18"/>
                          </w:rPr>
                          <w:t>non si applica se la parte non costituita dimostri di non avere avuto conoscen</w:t>
                        </w:r>
                      </w:p>
                    </w:txbxContent>
                  </v:textbox>
                </v:rect>
                <v:shape id="Shape 207838" o:spid="_x0000_s2760" style="position:absolute;left:227;top:38031;width:39600;height:21833;visibility:visible;mso-wrap-style:square;v-text-anchor:top" coordsize="3960000,218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uWWwwAAAN8AAAAPAAAAZHJzL2Rvd25yZXYueG1sRE9Na8JA&#10;EL0X+h+WKXirm8ZiJXWVEqp4NZbS45Adk7TZ2ZAdk/jvuwfB4+N9r7eTa9VAfWg8G3iZJ6CIS28b&#10;rgx8nXbPK1BBkC22nsnAlQJsN48Pa8ysH/lIQyGViiEcMjRQi3SZ1qGsyWGY+444cmffO5QI+0rb&#10;HscY7lqdJslSO2w4NtTYUV5T+VdcnIHv309dynDYj6+5nF26LI4/bW7M7Gn6eAclNMldfHMfrIE0&#10;eVst4uD4J34BvfkHAAD//wMAUEsBAi0AFAAGAAgAAAAhANvh9svuAAAAhQEAABMAAAAAAAAAAAAA&#10;AAAAAAAAAFtDb250ZW50X1R5cGVzXS54bWxQSwECLQAUAAYACAAAACEAWvQsW78AAAAVAQAACwAA&#10;AAAAAAAAAAAAAAAfAQAAX3JlbHMvLnJlbHNQSwECLQAUAAYACAAAACEAU67llsMAAADfAAAADwAA&#10;AAAAAAAAAAAAAAAHAgAAZHJzL2Rvd25yZXYueG1sUEsFBgAAAAADAAMAtwAAAPcCAAAAAA==&#10;" path="m,l3960000,r,2183295l,2183295,,e" fillcolor="#c3c3c3" stroked="f" strokeweight="0">
                  <v:stroke miterlimit="83231f" joinstyle="miter"/>
                  <v:path arrowok="t" textboxrect="0,0,3960000,2183295"/>
                </v:shape>
                <v:rect id="Rectangle 16671" o:spid="_x0000_s2761" style="position:absolute;left:23476;top:57652;width:155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hTgxAAAAN4AAAAPAAAAZHJzL2Rvd25yZXYueG1sRE9Na8JA&#10;EL0L/Q/LFLzpRg+ppK4iipiDl9oIHofsmKRmZ5fsamJ/fbdQ6G0e73OW68G04kGdbywrmE0TEMSl&#10;1Q1XCorP/WQBwgdkja1lUvAkD+vVy2iJmbY9f9DjFCoRQ9hnqKAOwWVS+rImg35qHXHkrrYzGCLs&#10;Kqk77GO4aeU8SVJpsOHYUKOjbU3l7XQ3Ci47dvm+l+X1e+uOX/miPdyLs1Lj12HzDiLQEP7Ff+5c&#10;x/lp+jaD33fiDXL1AwAA//8DAFBLAQItABQABgAIAAAAIQDb4fbL7gAAAIUBAAATAAAAAAAAAAAA&#10;AAAAAAAAAABbQ29udGVudF9UeXBlc10ueG1sUEsBAi0AFAAGAAgAAAAhAFr0LFu/AAAAFQEAAAsA&#10;AAAAAAAAAAAAAAAAHwEAAF9yZWxzLy5yZWxzUEsBAi0AFAAGAAgAAAAhANbaFODEAAAA3gAAAA8A&#10;AAAAAAAAAAAAAAAABwIAAGRycy9kb3ducmV2LnhtbFBLBQYAAAAAAwADALcAAAD4AgAAAAA=&#10;" filled="f" stroked="f">
                  <v:textbox inset="0,0,0,0">
                    <w:txbxContent>
                      <w:p w14:paraId="2EF32DFA" w14:textId="77777777" w:rsidR="00B32EF2" w:rsidRDefault="00000000">
                        <w:r>
                          <w:rPr>
                            <w:rFonts w:ascii="Arial" w:eastAsia="Arial" w:hAnsi="Arial" w:cs="Arial"/>
                            <w:b/>
                            <w:i/>
                            <w:sz w:val="18"/>
                          </w:rPr>
                          <w:t>NORME COLLEGATE</w:t>
                        </w:r>
                      </w:p>
                    </w:txbxContent>
                  </v:textbox>
                </v:rect>
                <v:rect id="Rectangle 16672" o:spid="_x0000_s2762" style="position:absolute;left:10511;top:56281;width:2853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IqXxAAAAN4AAAAPAAAAZHJzL2Rvd25yZXYueG1sRE9Na8JA&#10;EL0X/A/LFLzVTT2kkrqKKGIOXmojeByyY5KanV2yq4n+erdQ6G0e73Pmy8G04kadbywreJ8kIIhL&#10;qxuuFBTf27cZCB+QNbaWScGdPCwXo5c5Ztr2/EW3Q6hEDGGfoYI6BJdJ6cuaDPqJdcSRO9vOYIiw&#10;q6TusI/hppXTJEmlwYZjQ42O1jWVl8PVKDht2OXbXpbnx9rtf/JZu7sWR6XGr8PqE0SgIfyL/9y5&#10;jvPT9GMKv+/EG+TiCQAA//8DAFBLAQItABQABgAIAAAAIQDb4fbL7gAAAIUBAAATAAAAAAAAAAAA&#10;AAAAAAAAAABbQ29udGVudF9UeXBlc10ueG1sUEsBAi0AFAAGAAgAAAAhAFr0LFu/AAAAFQEAAAsA&#10;AAAAAAAAAAAAAAAAHwEAAF9yZWxzLy5yZWxzUEsBAi0AFAAGAAgAAAAhACYIipfEAAAA3gAAAA8A&#10;AAAAAAAAAAAAAAAABwIAAGRycy9kb3ducmV2LnhtbFBLBQYAAAAAAwADALcAAAD4AgAAAAA=&#10;" filled="f" stroked="f">
                  <v:textbox inset="0,0,0,0">
                    <w:txbxContent>
                      <w:p w14:paraId="68ABD5A6" w14:textId="77777777" w:rsidR="00B32EF2" w:rsidRDefault="00000000">
                        <w:r>
                          <w:rPr>
                            <w:rFonts w:ascii="Arial" w:eastAsia="Arial" w:hAnsi="Arial" w:cs="Arial"/>
                            <w:i/>
                            <w:sz w:val="18"/>
                          </w:rPr>
                          <w:t xml:space="preserve">art. 132 c.p.c. “Contenuto della sentenza” </w:t>
                        </w:r>
                      </w:p>
                    </w:txbxContent>
                  </v:textbox>
                </v:rect>
                <v:rect id="Rectangle 200401" o:spid="_x0000_s2763" style="position:absolute;left:-12572;top:54909;width:51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cj1xwAAAN8AAAAPAAAAZHJzL2Rvd25yZXYueG1sRI/NasMw&#10;EITvhb6D2EJvjexQSnCjhOJi4kMvzQ/0uFgb2621EpYcu3n6KBDIcZiZb5jlejKdOFHvW8sK0lkC&#10;griyuuVawX5XvCxA+ICssbNMCv7Jw3r1+LDETNuRv+m0DbWIEPYZKmhCcJmUvmrIoJ9ZRxy9o+0N&#10;hij7Wuoexwg3nZwnyZs02HJcaNBR3lD1tx2Mgp9PdmUxyup4zt3Xb7noNsP+oNTz0/TxDiLQFO7h&#10;W7vUCiLxNUnh+id+Abm6AAAA//8DAFBLAQItABQABgAIAAAAIQDb4fbL7gAAAIUBAAATAAAAAAAA&#10;AAAAAAAAAAAAAABbQ29udGVudF9UeXBlc10ueG1sUEsBAi0AFAAGAAgAAAAhAFr0LFu/AAAAFQEA&#10;AAsAAAAAAAAAAAAAAAAAHwEAAF9yZWxzLy5yZWxzUEsBAi0AFAAGAAgAAAAhACutyPXHAAAA3wAA&#10;AA8AAAAAAAAAAAAAAAAABwIAAGRycy9kb3ducmV2LnhtbFBLBQYAAAAAAwADALcAAAD7AgAAAAA=&#10;" filled="f" stroked="f">
                  <v:textbox inset="0,0,0,0">
                    <w:txbxContent>
                      <w:p w14:paraId="08A4FF93" w14:textId="77777777" w:rsidR="00B32EF2" w:rsidRDefault="00000000">
                        <w:r>
                          <w:rPr>
                            <w:rFonts w:ascii="Arial" w:eastAsia="Arial" w:hAnsi="Arial" w:cs="Arial"/>
                            <w:i/>
                            <w:sz w:val="18"/>
                          </w:rPr>
                          <w:t xml:space="preserve">. La sentenza reca l’intestazione «Repubblica italiana», ed è pronunciata </w:t>
                        </w:r>
                      </w:p>
                    </w:txbxContent>
                  </v:textbox>
                </v:rect>
                <v:rect id="Rectangle 200399" o:spid="_x0000_s2764" style="position:absolute;left:25737;top:54909;width:51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5wRxwAAAN8AAAAPAAAAZHJzL2Rvd25yZXYueG1sRI9PawIx&#10;FMTvQr9DeAVvmm2FoqtZKRbpHnrRWujxsXn7x25ewia6q5/eCEKPw8z8hlmtB9OKM3W+sazgZZqA&#10;IC6sbrhScPjeTuYgfEDW2FomBRfysM6eRitMte15R+d9qESEsE9RQR2CS6X0RU0G/dQ64uiVtjMY&#10;ouwqqTvsI9y08jVJ3qTBhuNCjY42NRV/+5NR8PvBLt/2siivG/d1zOft5+nwo9T4eXhfggg0hP/w&#10;o51rBZE4Wyzg/id+AZndAAAA//8DAFBLAQItABQABgAIAAAAIQDb4fbL7gAAAIUBAAATAAAAAAAA&#10;AAAAAAAAAAAAAABbQ29udGVudF9UeXBlc10ueG1sUEsBAi0AFAAGAAgAAAAhAFr0LFu/AAAAFQEA&#10;AAsAAAAAAAAAAAAAAAAAHwEAAF9yZWxzLy5yZWxzUEsBAi0AFAAGAAgAAAAhAP17nBHHAAAA3wAA&#10;AA8AAAAAAAAAAAAAAAAABwIAAGRycy9kb3ducmV2LnhtbFBLBQYAAAAAAwADALcAAAD7AgAAAAA=&#10;" filled="f" stroked="f">
                  <v:textbox inset="0,0,0,0">
                    <w:txbxContent>
                      <w:p w14:paraId="76BC0EFD" w14:textId="77777777" w:rsidR="00B32EF2" w:rsidRDefault="00000000">
                        <w:r>
                          <w:rPr>
                            <w:rFonts w:ascii="Arial" w:eastAsia="Arial" w:hAnsi="Arial" w:cs="Arial"/>
                            <w:i/>
                            <w:sz w:val="18"/>
                          </w:rPr>
                          <w:t>1</w:t>
                        </w:r>
                      </w:p>
                    </w:txbxContent>
                  </v:textbox>
                </v:rect>
                <v:rect id="Rectangle 16674" o:spid="_x0000_s2765" style="position:absolute;left:-12008;top:53537;width:512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bd4xAAAAN4AAAAPAAAAZHJzL2Rvd25yZXYueG1sRE9Na8JA&#10;EL0X+h+WEbzVjSJRUlcpFjEHL1ULPQ7ZMUmbnV2yq4n+ercgeJvH+5zFqjeNuFDra8sKxqMEBHFh&#10;dc2lguNh8zYH4QOyxsYyKbiSh9Xy9WWBmbYdf9FlH0oRQ9hnqKAKwWVS+qIig35kHXHkTrY1GCJs&#10;S6lb7GK4aeQkSVJpsObYUKGjdUXF3/5sFPx8sss3nSxOt7Xb/ebzZns+fis1HPQf7yAC9eEpfrhz&#10;Heen6WwK/+/EG+TyDgAA//8DAFBLAQItABQABgAIAAAAIQDb4fbL7gAAAIUBAAATAAAAAAAAAAAA&#10;AAAAAAAAAABbQ29udGVudF9UeXBlc10ueG1sUEsBAi0AFAAGAAgAAAAhAFr0LFu/AAAAFQEAAAsA&#10;AAAAAAAAAAAAAAAAHwEAAF9yZWxzLy5yZWxzUEsBAi0AFAAGAAgAAAAhAMatt3jEAAAA3gAAAA8A&#10;AAAAAAAAAAAAAAAABwIAAGRycy9kb3ducmV2LnhtbFBLBQYAAAAAAwADALcAAAD4AgAAAAA=&#10;" filled="f" stroked="f">
                  <v:textbox inset="0,0,0,0">
                    <w:txbxContent>
                      <w:p w14:paraId="0BB99C30" w14:textId="77777777" w:rsidR="00B32EF2" w:rsidRDefault="00000000">
                        <w:r>
                          <w:rPr>
                            <w:rFonts w:ascii="Arial" w:eastAsia="Arial" w:hAnsi="Arial" w:cs="Arial"/>
                            <w:i/>
                            <w:sz w:val="18"/>
                          </w:rPr>
                          <w:t xml:space="preserve">«In nome del popolo italiano». Essa deve contenere: 1) l’indicazione del </w:t>
                        </w:r>
                      </w:p>
                    </w:txbxContent>
                  </v:textbox>
                </v:rect>
                <v:rect id="Rectangle 16675" o:spid="_x0000_s2766" style="position:absolute;left:-11962;top:52166;width:510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RLjxAAAAN4AAAAPAAAAZHJzL2Rvd25yZXYueG1sRE9Na8JA&#10;EL0X+h+WEbzVjYJRUlcpFjEHL1ULPQ7ZMUmbnV2yq4n+ercgeJvH+5zFqjeNuFDra8sKxqMEBHFh&#10;dc2lguNh8zYH4QOyxsYyKbiSh9Xy9WWBmbYdf9FlH0oRQ9hnqKAKwWVS+qIig35kHXHkTrY1GCJs&#10;S6lb7GK4aeQkSVJpsObYUKGjdUXF3/5sFPx8sss3nSxOt7Xb/ebzZns+fis1HPQf7yAC9eEpfrhz&#10;Heen6WwK/+/EG+TyDgAA//8DAFBLAQItABQABgAIAAAAIQDb4fbL7gAAAIUBAAATAAAAAAAAAAAA&#10;AAAAAAAAAABbQ29udGVudF9UeXBlc10ueG1sUEsBAi0AFAAGAAgAAAAhAFr0LFu/AAAAFQEAAAsA&#10;AAAAAAAAAAAAAAAAHwEAAF9yZWxzLy5yZWxzUEsBAi0AFAAGAAgAAAAhAKnhEuPEAAAA3gAAAA8A&#10;AAAAAAAAAAAAAAAABwIAAGRycy9kb3ducmV2LnhtbFBLBQYAAAAAAwADALcAAAD4AgAAAAA=&#10;" filled="f" stroked="f">
                  <v:textbox inset="0,0,0,0">
                    <w:txbxContent>
                      <w:p w14:paraId="05B357FC" w14:textId="77777777" w:rsidR="00B32EF2" w:rsidRDefault="00000000">
                        <w:r>
                          <w:rPr>
                            <w:rFonts w:ascii="Arial" w:eastAsia="Arial" w:hAnsi="Arial" w:cs="Arial"/>
                            <w:i/>
                            <w:sz w:val="18"/>
                          </w:rPr>
                          <w:t xml:space="preserve">giudice che l’ha pronunciata; 2) l’indicazione delle parti e dei loro difensori; </w:t>
                        </w:r>
                      </w:p>
                    </w:txbxContent>
                  </v:textbox>
                </v:rect>
                <v:rect id="Rectangle 200397" o:spid="_x0000_s2767" style="position:absolute;left:25331;top:50794;width:511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K34xwAAAN8AAAAPAAAAZHJzL2Rvd25yZXYueG1sRI9Ba8JA&#10;FITvgv9heYI33Vih1egqYpHm0ItWweMj+0yi2bdLdjVpf31XKPQ4zMw3zHLdmVo8qPGVZQWTcQKC&#10;OLe64kLB8Ws3moHwAVljbZkUfJOH9arfW2Kqbct7ehxCISKEfYoKyhBcKqXPSzLox9YRR+9iG4Mh&#10;yqaQusE2wk0tX5LkVRqsOC6U6GhbUn473I2C8zu7bNfK/PKzdZ/XbFZ/3I8npYaDbrMAEagL/+G/&#10;dqYVROJ0/gbPP/ELyNUvAAAA//8DAFBLAQItABQABgAIAAAAIQDb4fbL7gAAAIUBAAATAAAAAAAA&#10;AAAAAAAAAAAAAABbQ29udGVudF9UeXBlc10ueG1sUEsBAi0AFAAGAAgAAAAhAFr0LFu/AAAAFQEA&#10;AAsAAAAAAAAAAAAAAAAAHwEAAF9yZWxzLy5yZWxzUEsBAi0AFAAGAAgAAAAhAOOorfjHAAAA3wAA&#10;AA8AAAAAAAAAAAAAAAAABwIAAGRycy9kb3ducmV2LnhtbFBLBQYAAAAAAwADALcAAAD7AgAAAAA=&#10;" filled="f" stroked="f">
                  <v:textbox inset="0,0,0,0">
                    <w:txbxContent>
                      <w:p w14:paraId="465907DB" w14:textId="77777777" w:rsidR="00B32EF2" w:rsidRDefault="00000000">
                        <w:r>
                          <w:rPr>
                            <w:rFonts w:ascii="Arial" w:eastAsia="Arial" w:hAnsi="Arial" w:cs="Arial"/>
                            <w:i/>
                            <w:sz w:val="18"/>
                          </w:rPr>
                          <w:t>3)</w:t>
                        </w:r>
                      </w:p>
                    </w:txbxContent>
                  </v:textbox>
                </v:rect>
                <v:rect id="Rectangle 200398" o:spid="_x0000_s2768" style="position:absolute;left:-13022;top:50794;width:511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zmKxwAAAN8AAAAPAAAAZHJzL2Rvd25yZXYueG1sRI/BasJA&#10;EIbvhb7DMoXe6qYtFBtdRSzSHHrRKngcsmMSzc4u2dWkfXrnIHgc/vm/mW86H1yrLtTFxrOB11EG&#10;irj0tuHKwPZ39TIGFROyxdYzGfijCPPZ48MUc+t7XtNlkyolEI45GqhTCrnWsazJYRz5QCzZwXcO&#10;k4xdpW2HvcBdq9+y7EM7bFgu1BhoWVN52pydgf0Xh2LV6/Lwvww/x2Lcfp+3O2Oen4bFBFSiId2X&#10;b+3CGhDi+6c8LD7iAnp2BQAA//8DAFBLAQItABQABgAIAAAAIQDb4fbL7gAAAIUBAAATAAAAAAAA&#10;AAAAAAAAAAAAAABbQ29udGVudF9UeXBlc10ueG1sUEsBAi0AFAAGAAgAAAAhAFr0LFu/AAAAFQEA&#10;AAsAAAAAAAAAAAAAAAAAHwEAAF9yZWxzLy5yZWxzUEsBAi0AFAAGAAgAAAAhAJI3OYrHAAAA3wAA&#10;AA8AAAAAAAAAAAAAAAAABwIAAGRycy9kb3ducmV2LnhtbFBLBQYAAAAAAwADALcAAAD7AgAAAAA=&#10;" filled="f" stroked="f">
                  <v:textbox inset="0,0,0,0">
                    <w:txbxContent>
                      <w:p w14:paraId="736E3E78" w14:textId="77777777" w:rsidR="00B32EF2" w:rsidRDefault="00000000">
                        <w:r>
                          <w:rPr>
                            <w:rFonts w:ascii="Arial" w:eastAsia="Arial" w:hAnsi="Arial" w:cs="Arial"/>
                            <w:i/>
                            <w:sz w:val="18"/>
                          </w:rPr>
                          <w:t xml:space="preserve"> le conclusioni del pubblico ministero e quelle delle parti; 4) la concisa </w:t>
                        </w:r>
                      </w:p>
                    </w:txbxContent>
                  </v:textbox>
                </v:rect>
                <v:rect id="Rectangle 16677" o:spid="_x0000_s2769" style="position:absolute;left:-11955;top:49423;width:5097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ykPxAAAAN4AAAAPAAAAZHJzL2Rvd25yZXYueG1sRE9Na8JA&#10;EL0L/odlCr3pph6ipK4iiphDL9UIHofsmKRmZ5fsatL++m6h4G0e73OW68G04kGdbywreJsmIIhL&#10;qxuuFBSn/WQBwgdkja1lUvBNHtar8WiJmbY9f9LjGCoRQ9hnqKAOwWVS+rImg35qHXHkrrYzGCLs&#10;Kqk77GO4aeUsSVJpsOHYUKOjbU3l7Xg3Ci47dvm+l+X1Z+s+vvJFe7gXZ6VeX4bNO4hAQ3iK/925&#10;jvPTdD6Hv3fiDXL1CwAA//8DAFBLAQItABQABgAIAAAAIQDb4fbL7gAAAIUBAAATAAAAAAAAAAAA&#10;AAAAAAAAAABbQ29udGVudF9UeXBlc10ueG1sUEsBAi0AFAAGAAgAAAAhAFr0LFu/AAAAFQEAAAsA&#10;AAAAAAAAAAAAAAAAHwEAAF9yZWxzLy5yZWxzUEsBAi0AFAAGAAgAAAAhADZ/KQ/EAAAA3gAAAA8A&#10;AAAAAAAAAAAAAAAABwIAAGRycy9kb3ducmV2LnhtbFBLBQYAAAAAAwADALcAAAD4AgAAAAA=&#10;" filled="f" stroked="f">
                  <v:textbox inset="0,0,0,0">
                    <w:txbxContent>
                      <w:p w14:paraId="570E94C1" w14:textId="77777777" w:rsidR="00B32EF2" w:rsidRDefault="00000000">
                        <w:r>
                          <w:rPr>
                            <w:rFonts w:ascii="Arial" w:eastAsia="Arial" w:hAnsi="Arial" w:cs="Arial"/>
                            <w:i/>
                            <w:sz w:val="18"/>
                          </w:rPr>
                          <w:t xml:space="preserve">esposizione delle ragioni di fatto e di diritto della decisione; 5) il dispositivo, </w:t>
                        </w:r>
                      </w:p>
                    </w:txbxContent>
                  </v:textbox>
                </v:rect>
                <v:rect id="Rectangle 16678" o:spid="_x0000_s2770" style="position:absolute;left:-197;top:48051;width:392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L19xwAAAN4AAAAPAAAAZHJzL2Rvd25yZXYueG1sRI9Bb8Iw&#10;DIXvk/YfIk/abaTboaBCQIgJrYddBkza0WpMW2icqAm026+fD0jcbL3n9z4vVqPr1JX62Ho28DrJ&#10;QBFX3rZcGzjsty8zUDEhW+w8k4FfirBaPj4ssLB+4C+67lKtJIRjgQaalEKhdawachgnPhCLdvS9&#10;wyRrX2vb4yDhrtNvWZZrhy1LQ4OBNg1V593FGfh551BuB10d/zbh81TOuo/L4duY56dxPQeVaEx3&#10;8+26tIKf51PhlXdkBr38BwAA//8DAFBLAQItABQABgAIAAAAIQDb4fbL7gAAAIUBAAATAAAAAAAA&#10;AAAAAAAAAAAAAABbQ29udGVudF9UeXBlc10ueG1sUEsBAi0AFAAGAAgAAAAhAFr0LFu/AAAAFQEA&#10;AAsAAAAAAAAAAAAAAAAAHwEAAF9yZWxzLy5yZWxzUEsBAi0AFAAGAAgAAAAhAEfgvX3HAAAA3gAA&#10;AA8AAAAAAAAAAAAAAAAABwIAAGRycy9kb3ducmV2LnhtbFBLBQYAAAAAAwADALcAAAD7AgAAAAA=&#10;" filled="f" stroked="f">
                  <v:textbox inset="0,0,0,0">
                    <w:txbxContent>
                      <w:p w14:paraId="364F4771" w14:textId="77777777" w:rsidR="00B32EF2" w:rsidRDefault="00000000">
                        <w:r>
                          <w:rPr>
                            <w:rFonts w:ascii="Arial" w:eastAsia="Arial" w:hAnsi="Arial" w:cs="Arial"/>
                            <w:i/>
                            <w:sz w:val="18"/>
                          </w:rPr>
                          <w:t xml:space="preserve">la data della deliberazione e la sottoscrizione del giudice. </w:t>
                        </w:r>
                      </w:p>
                    </w:txbxContent>
                  </v:textbox>
                </v:rect>
                <v:rect id="Rectangle 200395" o:spid="_x0000_s2771" style="position:absolute;left:-11640;top:46679;width:500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pYUxwAAAN8AAAAPAAAAZHJzL2Rvd25yZXYueG1sRI9Ba8JA&#10;FITvgv9heYI33Vhp0egqYpHm0ItWweMj+0yi2bdLdjVpf31XKPQ4zMw3zHLdmVo8qPGVZQWTcQKC&#10;OLe64kLB8Ws3moHwAVljbZkUfJOH9arfW2Kqbct7ehxCISKEfYoKyhBcKqXPSzLox9YRR+9iG4Mh&#10;yqaQusE2wk0tX5LkTRqsOC6U6GhbUn473I2C8zu7bNfK/PKzdZ/XbFZ/3I8npYaDbrMAEagL/+G/&#10;dqYVROJ0/grPP/ELyNUvAAAA//8DAFBLAQItABQABgAIAAAAIQDb4fbL7gAAAIUBAAATAAAAAAAA&#10;AAAAAAAAAAAAAABbQ29udGVudF9UeXBlc10ueG1sUEsBAi0AFAAGAAgAAAAhAFr0LFu/AAAAFQEA&#10;AAsAAAAAAAAAAAAAAAAAHwEAAF9yZWxzLy5yZWxzUEsBAi0AFAAGAAgAAAAhAHw2lhTHAAAA3wAA&#10;AA8AAAAAAAAAAAAAAAAABwIAAGRycy9kb3ducmV2LnhtbFBLBQYAAAAAAwADALcAAAD7AgAAAAA=&#10;" filled="f" stroked="f">
                  <v:textbox inset="0,0,0,0">
                    <w:txbxContent>
                      <w:p w14:paraId="05E73D2B" w14:textId="77777777" w:rsidR="00B32EF2" w:rsidRDefault="00000000">
                        <w:r>
                          <w:rPr>
                            <w:rFonts w:ascii="Arial" w:eastAsia="Arial" w:hAnsi="Arial" w:cs="Arial"/>
                            <w:i/>
                            <w:sz w:val="18"/>
                          </w:rPr>
                          <w:t>. La sentenza emessa dal giudice collegiale è sottoscritta soltanto dal pre</w:t>
                        </w:r>
                      </w:p>
                    </w:txbxContent>
                  </v:textbox>
                </v:rect>
                <v:rect id="Rectangle 200394" o:spid="_x0000_s2772" style="position:absolute;left:25993;top:46679;width:500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jOPxwAAAN8AAAAPAAAAZHJzL2Rvd25yZXYueG1sRI9Ba8JA&#10;FITvgv9heYI33VhL0egqYpHm0ItWweMj+0yi2bdLdjVpf31XKPQ4zMw3zHLdmVo8qPGVZQWTcQKC&#10;OLe64kLB8Ws3moHwAVljbZkUfJOH9arfW2Kqbct7ehxCISKEfYoKyhBcKqXPSzLox9YRR+9iG4Mh&#10;yqaQusE2wk0tX5LkTRqsOC6U6GhbUn473I2C8zu7bNfK/PKzdZ/XbFZ/3I8npYaDbrMAEagL/+G/&#10;dqYVROJ0/grPP/ELyNUvAAAA//8DAFBLAQItABQABgAIAAAAIQDb4fbL7gAAAIUBAAATAAAAAAAA&#10;AAAAAAAAAAAAAABbQ29udGVudF9UeXBlc10ueG1sUEsBAi0AFAAGAAgAAAAhAFr0LFu/AAAAFQEA&#10;AAsAAAAAAAAAAAAAAAAAHwEAAF9yZWxzLy5yZWxzUEsBAi0AFAAGAAgAAAAhABN6M4/HAAAA3wAA&#10;AA8AAAAAAAAAAAAAAAAABwIAAGRycy9kb3ducmV2LnhtbFBLBQYAAAAAAwADALcAAAD7AgAAAAA=&#10;" filled="f" stroked="f">
                  <v:textbox inset="0,0,0,0">
                    <w:txbxContent>
                      <w:p w14:paraId="248598FE" w14:textId="77777777" w:rsidR="00B32EF2" w:rsidRDefault="00000000">
                        <w:r>
                          <w:rPr>
                            <w:rFonts w:ascii="Arial" w:eastAsia="Arial" w:hAnsi="Arial" w:cs="Arial"/>
                            <w:i/>
                            <w:sz w:val="18"/>
                          </w:rPr>
                          <w:t>2</w:t>
                        </w:r>
                      </w:p>
                    </w:txbxContent>
                  </v:textbox>
                </v:rect>
                <v:rect id="Rectangle 16680" o:spid="_x0000_s2773" style="position:absolute;left:885;top:4667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FcxwAAAN4AAAAPAAAAZHJzL2Rvd25yZXYueG1sRI9Bb8Iw&#10;DIXvk/YfIiPtNlJ2qKpCQBMTWg+7jIHE0WpMW2icqAm026+fD5N2s+Xn99632kyuV3caYufZwGKe&#10;gSKuve24MXD42j0XoGJCtth7JgPfFGGzfnxYYWn9yJ9036dGiQnHEg20KYVS61i35DDOfSCW29kP&#10;DpOsQ6PtgKOYu16/ZFmuHXYsCS0G2rZUX/c3Z+D0xqHajbo+/2zDx6Uq+vfb4WjM02x6XYJKNKV/&#10;8d93ZaV+nhcCIDgyg17/AgAA//8DAFBLAQItABQABgAIAAAAIQDb4fbL7gAAAIUBAAATAAAAAAAA&#10;AAAAAAAAAAAAAABbQ29udGVudF9UeXBlc10ueG1sUEsBAi0AFAAGAAgAAAAhAFr0LFu/AAAAFQEA&#10;AAsAAAAAAAAAAAAAAAAAHwEAAF9yZWxzLy5yZWxzUEsBAi0AFAAGAAgAAAAhAIxDwVzHAAAA3gAA&#10;AA8AAAAAAAAAAAAAAAAABwIAAGRycy9kb3ducmV2LnhtbFBLBQYAAAAAAwADALcAAAD7AgAAAAA=&#10;" filled="f" stroked="f">
                  <v:textbox inset="0,0,0,0">
                    <w:txbxContent>
                      <w:p w14:paraId="3C6F1D80" w14:textId="77777777" w:rsidR="00B32EF2" w:rsidRDefault="00000000">
                        <w:r>
                          <w:rPr>
                            <w:rFonts w:ascii="Arial" w:eastAsia="Arial" w:hAnsi="Arial" w:cs="Arial"/>
                            <w:i/>
                            <w:sz w:val="18"/>
                          </w:rPr>
                          <w:t>-</w:t>
                        </w:r>
                      </w:p>
                    </w:txbxContent>
                  </v:textbox>
                </v:rect>
                <v:rect id="Rectangle 16681" o:spid="_x0000_s2774" style="position:absolute;left:-11970;top:45308;width:510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2THxAAAAN4AAAAPAAAAZHJzL2Rvd25yZXYueG1sRE9Li8Iw&#10;EL4L+x/CLOxNUz2UUo0iitjDXtYHeByase1uMwlNtN399RtB8DYf33MWq8G04k6dbywrmE4SEMSl&#10;1Q1XCk7H3TgD4QOyxtYyKfglD6vl22iBubY9f9H9ECoRQ9jnqKAOweVS+rImg35iHXHkrrYzGCLs&#10;Kqk77GO4aeUsSVJpsOHYUKOjTU3lz+FmFFy27IpdL8vr38Z9fhdZu7+dzkp9vA/rOYhAQ3iJn+5C&#10;x/lpmk3h8U68QS7/AQAA//8DAFBLAQItABQABgAIAAAAIQDb4fbL7gAAAIUBAAATAAAAAAAAAAAA&#10;AAAAAAAAAABbQ29udGVudF9UeXBlc10ueG1sUEsBAi0AFAAGAAgAAAAhAFr0LFu/AAAAFQEAAAsA&#10;AAAAAAAAAAAAAAAAHwEAAF9yZWxzLy5yZWxzUEsBAi0AFAAGAAgAAAAhAOMPZMfEAAAA3gAAAA8A&#10;AAAAAAAAAAAAAAAABwIAAGRycy9kb3ducmV2LnhtbFBLBQYAAAAAAwADALcAAAD4AgAAAAA=&#10;" filled="f" stroked="f">
                  <v:textbox inset="0,0,0,0">
                    <w:txbxContent>
                      <w:p w14:paraId="5323C457" w14:textId="77777777" w:rsidR="00B32EF2" w:rsidRDefault="00000000">
                        <w:r>
                          <w:rPr>
                            <w:rFonts w:ascii="Arial" w:eastAsia="Arial" w:hAnsi="Arial" w:cs="Arial"/>
                            <w:i/>
                            <w:sz w:val="18"/>
                          </w:rPr>
                          <w:t xml:space="preserve">sidente e dal giudice estensore. Se il presidente non può sottoscrivere per </w:t>
                        </w:r>
                      </w:p>
                    </w:txbxContent>
                  </v:textbox>
                </v:rect>
                <v:rect id="Rectangle 16682" o:spid="_x0000_s2775" style="position:absolute;left:-10984;top:43936;width:500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fqwxAAAAN4AAAAPAAAAZHJzL2Rvd25yZXYueG1sRE9Ni8Iw&#10;EL0L/ocwC940XQ+lVKOIIvbgZV0Fj0Mztt1tJqGJtvrrNwsLe5vH+5zlejCteFDnG8sK3mcJCOLS&#10;6oYrBefP/TQD4QOyxtYyKXiSh/VqPFpirm3PH/Q4hUrEEPY5KqhDcLmUvqzJoJ9ZRxy5m+0Mhgi7&#10;SuoO+xhuWjlPklQabDg21OhoW1P5fbobBdcdu2Lfy/L22rrjV5G1h/v5otTkbdgsQAQawr/4z13o&#10;OD9Nszn8vhNvkKsfAAAA//8DAFBLAQItABQABgAIAAAAIQDb4fbL7gAAAIUBAAATAAAAAAAAAAAA&#10;AAAAAAAAAABbQ29udGVudF9UeXBlc10ueG1sUEsBAi0AFAAGAAgAAAAhAFr0LFu/AAAAFQEAAAsA&#10;AAAAAAAAAAAAAAAAHwEAAF9yZWxzLy5yZWxzUEsBAi0AFAAGAAgAAAAhABPd+rDEAAAA3gAAAA8A&#10;AAAAAAAAAAAAAAAABwIAAGRycy9kb3ducmV2LnhtbFBLBQYAAAAAAwADALcAAAD4AgAAAAA=&#10;" filled="f" stroked="f">
                  <v:textbox inset="0,0,0,0">
                    <w:txbxContent>
                      <w:p w14:paraId="37B80E4D" w14:textId="77777777" w:rsidR="00B32EF2" w:rsidRDefault="00000000">
                        <w:r>
                          <w:rPr>
                            <w:rFonts w:ascii="Arial" w:eastAsia="Arial" w:hAnsi="Arial" w:cs="Arial"/>
                            <w:i/>
                            <w:sz w:val="18"/>
                          </w:rPr>
                          <w:t>morte o per altro impedimento, la sentenza viene sottoscritta dal compo</w:t>
                        </w:r>
                      </w:p>
                    </w:txbxContent>
                  </v:textbox>
                </v:rect>
                <v:rect id="Rectangle 16683" o:spid="_x0000_s2776" style="position:absolute;left:885;top:4393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V8rxAAAAN4AAAAPAAAAZHJzL2Rvd25yZXYueG1sRE9Na8JA&#10;EL0X/A/LCN7qRoUQoquIIubQS62CxyE7Jmmzs0t2NbG/vlso9DaP9zmrzWBa8aDON5YVzKYJCOLS&#10;6oYrBeePw2sGwgdkja1lUvAkD5v16GWFubY9v9PjFCoRQ9jnqKAOweVS+rImg35qHXHkbrYzGCLs&#10;Kqk77GO4aeU8SVJpsOHYUKOjXU3l1+luFFz37IpDL8vb9869fRZZe7yfL0pNxsN2CSLQEP7Ff+5C&#10;x/lpmi3g9514g1z/AAAA//8DAFBLAQItABQABgAIAAAAIQDb4fbL7gAAAIUBAAATAAAAAAAAAAAA&#10;AAAAAAAAAABbQ29udGVudF9UeXBlc10ueG1sUEsBAi0AFAAGAAgAAAAhAFr0LFu/AAAAFQEAAAsA&#10;AAAAAAAAAAAAAAAAHwEAAF9yZWxzLy5yZWxzUEsBAi0AFAAGAAgAAAAhAHyRXyvEAAAA3gAAAA8A&#10;AAAAAAAAAAAAAAAABwIAAGRycy9kb3ducmV2LnhtbFBLBQYAAAAAAwADALcAAAD4AgAAAAA=&#10;" filled="f" stroked="f">
                  <v:textbox inset="0,0,0,0">
                    <w:txbxContent>
                      <w:p w14:paraId="2300AFDA" w14:textId="77777777" w:rsidR="00B32EF2" w:rsidRDefault="00000000">
                        <w:r>
                          <w:rPr>
                            <w:rFonts w:ascii="Arial" w:eastAsia="Arial" w:hAnsi="Arial" w:cs="Arial"/>
                            <w:i/>
                            <w:sz w:val="18"/>
                          </w:rPr>
                          <w:t>-</w:t>
                        </w:r>
                      </w:p>
                    </w:txbxContent>
                  </v:textbox>
                </v:rect>
                <v:rect id="Rectangle 16684" o:spid="_x0000_s2777" style="position:absolute;left:-10996;top:42565;width:5004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MdfxAAAAN4AAAAPAAAAZHJzL2Rvd25yZXYueG1sRE9Na8JA&#10;EL0X/A/LCN7qRpEQoquIIubQS62CxyE7Jmmzs0t2NbG/vlso9DaP9zmrzWBa8aDON5YVzKYJCOLS&#10;6oYrBeePw2sGwgdkja1lUvAkD5v16GWFubY9v9PjFCoRQ9jnqKAOweVS+rImg35qHXHkbrYzGCLs&#10;Kqk77GO4aeU8SVJpsOHYUKOjXU3l1+luFFz37IpDL8vb9869fRZZe7yfL0pNxsN2CSLQEP7Ff+5C&#10;x/lpmi3g9514g1z/AAAA//8DAFBLAQItABQABgAIAAAAIQDb4fbL7gAAAIUBAAATAAAAAAAAAAAA&#10;AAAAAAAAAABbQ29udGVudF9UeXBlc10ueG1sUEsBAi0AFAAGAAgAAAAhAFr0LFu/AAAAFQEAAAsA&#10;AAAAAAAAAAAAAAAAHwEAAF9yZWxzLy5yZWxzUEsBAi0AFAAGAAgAAAAhAPN4x1/EAAAA3gAAAA8A&#10;AAAAAAAAAAAAAAAABwIAAGRycy9kb3ducmV2LnhtbFBLBQYAAAAAAwADALcAAAD4AgAAAAA=&#10;" filled="f" stroked="f">
                  <v:textbox inset="0,0,0,0">
                    <w:txbxContent>
                      <w:p w14:paraId="47B35E3B" w14:textId="77777777" w:rsidR="00B32EF2" w:rsidRDefault="00000000">
                        <w:r>
                          <w:rPr>
                            <w:rFonts w:ascii="Arial" w:eastAsia="Arial" w:hAnsi="Arial" w:cs="Arial"/>
                            <w:i/>
                            <w:sz w:val="18"/>
                          </w:rPr>
                          <w:t>nente più anziano del collegio, purché prima della sottoscrizione sia men</w:t>
                        </w:r>
                      </w:p>
                    </w:txbxContent>
                  </v:textbox>
                </v:rect>
                <v:rect id="Rectangle 16685" o:spid="_x0000_s2778" style="position:absolute;left:885;top:42565;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GLExAAAAN4AAAAPAAAAZHJzL2Rvd25yZXYueG1sRE9Na8JA&#10;EL0X/A/LCN7qRsEQoquIIubQS62CxyE7Jmmzs0t2NbG/vlso9DaP9zmrzWBa8aDON5YVzKYJCOLS&#10;6oYrBeePw2sGwgdkja1lUvAkD5v16GWFubY9v9PjFCoRQ9jnqKAOweVS+rImg35qHXHkbrYzGCLs&#10;Kqk77GO4aeU8SVJpsOHYUKOjXU3l1+luFFz37IpDL8vb9869fRZZe7yfL0pNxsN2CSLQEP7Ff+5C&#10;x/lpmi3g9514g1z/AAAA//8DAFBLAQItABQABgAIAAAAIQDb4fbL7gAAAIUBAAATAAAAAAAAAAAA&#10;AAAAAAAAAABbQ29udGVudF9UeXBlc10ueG1sUEsBAi0AFAAGAAgAAAAhAFr0LFu/AAAAFQEAAAsA&#10;AAAAAAAAAAAAAAAAHwEAAF9yZWxzLy5yZWxzUEsBAi0AFAAGAAgAAAAhAJw0YsTEAAAA3gAAAA8A&#10;AAAAAAAAAAAAAAAABwIAAGRycy9kb3ducmV2LnhtbFBLBQYAAAAAAwADALcAAAD4AgAAAAA=&#10;" filled="f" stroked="f">
                  <v:textbox inset="0,0,0,0">
                    <w:txbxContent>
                      <w:p w14:paraId="027F80DE" w14:textId="77777777" w:rsidR="00B32EF2" w:rsidRDefault="00000000">
                        <w:r>
                          <w:rPr>
                            <w:rFonts w:ascii="Arial" w:eastAsia="Arial" w:hAnsi="Arial" w:cs="Arial"/>
                            <w:i/>
                            <w:sz w:val="18"/>
                          </w:rPr>
                          <w:t>-</w:t>
                        </w:r>
                      </w:p>
                    </w:txbxContent>
                  </v:textbox>
                </v:rect>
                <v:rect id="Rectangle 16686" o:spid="_x0000_s2779" style="position:absolute;left:-11942;top:41193;width:509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vyzxAAAAN4AAAAPAAAAZHJzL2Rvd25yZXYueG1sRE9Ni8Iw&#10;EL0L/ocwgjdN10MpXaOIi9iDF10X9jg0Y9u1mYQm2u7+eiMIe5vH+5zlejCtuFPnG8sK3uYJCOLS&#10;6oYrBefP3SwD4QOyxtYyKfglD+vVeLTEXNuej3Q/hUrEEPY5KqhDcLmUvqzJoJ9bRxy5i+0Mhgi7&#10;SuoO+xhuWrlIklQabDg21OhoW1N5Pd2Mgu8PdsWul+Xlb+sOP0XW7m/nL6Wmk2HzDiLQEP7FL3eh&#10;4/w0zVJ4vhNvkKsHAAAA//8DAFBLAQItABQABgAIAAAAIQDb4fbL7gAAAIUBAAATAAAAAAAAAAAA&#10;AAAAAAAAAABbQ29udGVudF9UeXBlc10ueG1sUEsBAi0AFAAGAAgAAAAhAFr0LFu/AAAAFQEAAAsA&#10;AAAAAAAAAAAAAAAAHwEAAF9yZWxzLy5yZWxzUEsBAi0AFAAGAAgAAAAhAGzm/LPEAAAA3gAAAA8A&#10;AAAAAAAAAAAAAAAABwIAAGRycy9kb3ducmV2LnhtbFBLBQYAAAAAAwADALcAAAD4AgAAAAA=&#10;" filled="f" stroked="f">
                  <v:textbox inset="0,0,0,0">
                    <w:txbxContent>
                      <w:p w14:paraId="6494FC48" w14:textId="77777777" w:rsidR="00B32EF2" w:rsidRDefault="00000000">
                        <w:r>
                          <w:rPr>
                            <w:rFonts w:ascii="Arial" w:eastAsia="Arial" w:hAnsi="Arial" w:cs="Arial"/>
                            <w:i/>
                            <w:sz w:val="18"/>
                          </w:rPr>
                          <w:t xml:space="preserve">zionato l’impedimento; se l’estensore non può sottoscrivere la sentenza per </w:t>
                        </w:r>
                      </w:p>
                    </w:txbxContent>
                  </v:textbox>
                </v:rect>
                <v:rect id="Rectangle 16687" o:spid="_x0000_s2780" style="position:absolute;left:-10999;top:39821;width:500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lkoxAAAAN4AAAAPAAAAZHJzL2Rvd25yZXYueG1sRE9Na8JA&#10;EL0L/odlBG+6qYcYUlcpiphDL1qFHofsmKTNzi7Z1aT+erdQ6G0e73NWm8G04k6dbywreJknIIhL&#10;qxuuFJw/9rMMhA/IGlvLpOCHPGzW49EKc217PtL9FCoRQ9jnqKAOweVS+rImg35uHXHkrrYzGCLs&#10;Kqk77GO4aeUiSVJpsOHYUKOjbU3l9+lmFHzu2BX7XpbXx9a9fxVZe7idL0pNJ8PbK4hAQ/gX/7kL&#10;HeenabaE33fiDXL9BAAA//8DAFBLAQItABQABgAIAAAAIQDb4fbL7gAAAIUBAAATAAAAAAAAAAAA&#10;AAAAAAAAAABbQ29udGVudF9UeXBlc10ueG1sUEsBAi0AFAAGAAgAAAAhAFr0LFu/AAAAFQEAAAsA&#10;AAAAAAAAAAAAAAAAHwEAAF9yZWxzLy5yZWxzUEsBAi0AFAAGAAgAAAAhAAOqWSjEAAAA3gAAAA8A&#10;AAAAAAAAAAAAAAAABwIAAGRycy9kb3ducmV2LnhtbFBLBQYAAAAAAwADALcAAAD4AgAAAAA=&#10;" filled="f" stroked="f">
                  <v:textbox inset="0,0,0,0">
                    <w:txbxContent>
                      <w:p w14:paraId="72400171" w14:textId="77777777" w:rsidR="00B32EF2" w:rsidRDefault="00000000">
                        <w:r>
                          <w:rPr>
                            <w:rFonts w:ascii="Arial" w:eastAsia="Arial" w:hAnsi="Arial" w:cs="Arial"/>
                            <w:i/>
                            <w:sz w:val="18"/>
                          </w:rPr>
                          <w:t>morte o altro impedimento è sufficiente la sottoscrizione del solo presiden</w:t>
                        </w:r>
                      </w:p>
                    </w:txbxContent>
                  </v:textbox>
                </v:rect>
                <v:rect id="Rectangle 16688" o:spid="_x0000_s2781" style="position:absolute;left:885;top:3982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c1axwAAAN4AAAAPAAAAZHJzL2Rvd25yZXYueG1sRI9Bb8Iw&#10;DIXvk/YfIiPtNlJ2qKpCQBMTWg+7jIHE0WpMW2icqAm026+fD5N2s/We3/u82kyuV3caYufZwGKe&#10;gSKuve24MXD42j0XoGJCtth7JgPfFGGzfnxYYWn9yJ9036dGSQjHEg20KYVS61i35DDOfSAW7ewH&#10;h0nWodF2wFHCXa9fsizXDjuWhhYDbVuqr/ubM3B641DtRl2ff7bh41IV/fvtcDTmaTa9LkElmtK/&#10;+e+6soKf54Xwyjsyg17/AgAA//8DAFBLAQItABQABgAIAAAAIQDb4fbL7gAAAIUBAAATAAAAAAAA&#10;AAAAAAAAAAAAAABbQ29udGVudF9UeXBlc10ueG1sUEsBAi0AFAAGAAgAAAAhAFr0LFu/AAAAFQEA&#10;AAsAAAAAAAAAAAAAAAAAHwEAAF9yZWxzLy5yZWxzUEsBAi0AFAAGAAgAAAAhAHI1zVrHAAAA3gAA&#10;AA8AAAAAAAAAAAAAAAAABwIAAGRycy9kb3ducmV2LnhtbFBLBQYAAAAAAwADALcAAAD7AgAAAAA=&#10;" filled="f" stroked="f">
                  <v:textbox inset="0,0,0,0">
                    <w:txbxContent>
                      <w:p w14:paraId="17940C36" w14:textId="77777777" w:rsidR="00B32EF2" w:rsidRDefault="00000000">
                        <w:r>
                          <w:rPr>
                            <w:rFonts w:ascii="Arial" w:eastAsia="Arial" w:hAnsi="Arial" w:cs="Arial"/>
                            <w:i/>
                            <w:sz w:val="18"/>
                          </w:rPr>
                          <w:t>-</w:t>
                        </w:r>
                      </w:p>
                    </w:txbxContent>
                  </v:textbox>
                </v:rect>
                <v:rect id="Rectangle 16689" o:spid="_x0000_s2782" style="position:absolute;left:-6701;top:38450;width:457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jBxAAAAN4AAAAPAAAAZHJzL2Rvd25yZXYueG1sRE9Na8JA&#10;EL0L/odlBG+6qYeQpq5SFDGHXrQKPQ7ZMUmbnV2yq0n99a5Q6G0e73OW68G04kadbywreJknIIhL&#10;qxuuFJw+d7MMhA/IGlvLpOCXPKxX49ESc217PtDtGCoRQ9jnqKAOweVS+rImg35uHXHkLrYzGCLs&#10;Kqk77GO4aeUiSVJpsOHYUKOjTU3lz/FqFHxt2RW7XpaX+8Z9fBdZu7+ezkpNJ8P7G4hAQ/gX/7kL&#10;HeenafYKz3fiDXL1AAAA//8DAFBLAQItABQABgAIAAAAIQDb4fbL7gAAAIUBAAATAAAAAAAAAAAA&#10;AAAAAAAAAABbQ29udGVudF9UeXBlc10ueG1sUEsBAi0AFAAGAAgAAAAhAFr0LFu/AAAAFQEAAAsA&#10;AAAAAAAAAAAAAAAAHwEAAF9yZWxzLy5yZWxzUEsBAi0AFAAGAAgAAAAhAB15aMHEAAAA3gAAAA8A&#10;AAAAAAAAAAAAAAAABwIAAGRycy9kb3ducmV2LnhtbFBLBQYAAAAAAwADALcAAAD4AgAAAAA=&#10;" filled="f" stroked="f">
                  <v:textbox inset="0,0,0,0">
                    <w:txbxContent>
                      <w:p w14:paraId="4E775742" w14:textId="77777777" w:rsidR="00B32EF2" w:rsidRDefault="00000000">
                        <w:r>
                          <w:rPr>
                            <w:rFonts w:ascii="Arial" w:eastAsia="Arial" w:hAnsi="Arial" w:cs="Arial"/>
                            <w:i/>
                            <w:sz w:val="18"/>
                          </w:rPr>
                          <w:t>te, purché prima della sottoscrizione sia menzionato l’impedimento.</w:t>
                        </w:r>
                      </w:p>
                    </w:txbxContent>
                  </v:textbox>
                </v:rect>
                <v:shape id="Shape 16690" o:spid="_x0000_s2783" style="position:absolute;left:227;top:38032;width:39600;height:21832;visibility:visible;mso-wrap-style:square;v-text-anchor:top" coordsize="3960000,218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bJuxQAAAN4AAAAPAAAAZHJzL2Rvd25yZXYueG1sRI9PawIx&#10;EMXvQr9DmEIvUrMWutbVKCIIXv2D52Ez7oZuJkuS6tpP3zkIvc0wb957v+V68J26UUwusIHppABF&#10;XAfruDFwPu3ev0CljGyxC0wGHpRgvXoZLbGy4c4Huh1zo8SEU4UG2pz7SutUt+QxTUJPLLdriB6z&#10;rLHRNuJdzH2nP4qi1B4dS0KLPW1bqr+PP94AbbvPx7hOM7d3/SXl+Huezk/GvL0OmwWoTEP+Fz+/&#10;91bql+VcAARHZtCrPwAAAP//AwBQSwECLQAUAAYACAAAACEA2+H2y+4AAACFAQAAEwAAAAAAAAAA&#10;AAAAAAAAAAAAW0NvbnRlbnRfVHlwZXNdLnhtbFBLAQItABQABgAIAAAAIQBa9CxbvwAAABUBAAAL&#10;AAAAAAAAAAAAAAAAAB8BAABfcmVscy8ucmVsc1BLAQItABQABgAIAAAAIQDoqbJuxQAAAN4AAAAP&#10;AAAAAAAAAAAAAAAAAAcCAABkcnMvZG93bnJldi54bWxQSwUGAAAAAAMAAwC3AAAA+QIAAAAA&#10;" path="m,2183295r3960000,l3960000,,,,,2183295xe" filled="f" strokeweight="1pt">
                  <v:stroke miterlimit="1" joinstyle="miter"/>
                  <v:path arrowok="t" textboxrect="0,0,3960000,2183295"/>
                </v:shape>
                <w10:anchorlock/>
              </v:group>
            </w:pict>
          </mc:Fallback>
        </mc:AlternateContent>
      </w:r>
    </w:p>
    <w:p w14:paraId="4341B201" w14:textId="77777777" w:rsidR="00B32EF2" w:rsidRDefault="00000000">
      <w:pPr>
        <w:spacing w:after="234"/>
        <w:ind w:left="-1440" w:right="7064"/>
      </w:pPr>
      <w:r>
        <w:rPr>
          <w:noProof/>
        </w:rPr>
        <w:lastRenderedPageBreak/>
        <mc:AlternateContent>
          <mc:Choice Requires="wpg">
            <w:drawing>
              <wp:anchor distT="0" distB="0" distL="114300" distR="114300" simplePos="0" relativeHeight="251663360" behindDoc="0" locked="0" layoutInCell="1" allowOverlap="1" wp14:anchorId="60B0EF59" wp14:editId="7EDB1C1E">
                <wp:simplePos x="0" y="0"/>
                <wp:positionH relativeFrom="page">
                  <wp:posOffset>2632944</wp:posOffset>
                </wp:positionH>
                <wp:positionV relativeFrom="page">
                  <wp:posOffset>397149</wp:posOffset>
                </wp:positionV>
                <wp:extent cx="134112" cy="188456"/>
                <wp:effectExtent l="0" t="0" r="0" b="0"/>
                <wp:wrapTopAndBottom/>
                <wp:docPr id="200765" name="Group 200765"/>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16715" name="Rectangle 16715"/>
                        <wps:cNvSpPr/>
                        <wps:spPr>
                          <a:xfrm rot="-10799999">
                            <a:off x="-44256" y="-62190"/>
                            <a:ext cx="178369" cy="250646"/>
                          </a:xfrm>
                          <a:prstGeom prst="rect">
                            <a:avLst/>
                          </a:prstGeom>
                          <a:ln>
                            <a:noFill/>
                          </a:ln>
                        </wps:spPr>
                        <wps:txbx>
                          <w:txbxContent>
                            <w:p w14:paraId="722EBE50" w14:textId="77777777" w:rsidR="00B32EF2" w:rsidRDefault="00000000">
                              <w:r>
                                <w:rPr>
                                  <w:rFonts w:ascii="Times New Roman" w:eastAsia="Times New Roman" w:hAnsi="Times New Roman" w:cs="Times New Roman"/>
                                </w:rPr>
                                <w:t>79</w:t>
                              </w:r>
                            </w:p>
                          </w:txbxContent>
                        </wps:txbx>
                        <wps:bodyPr horzOverflow="overflow" vert="horz" lIns="0" tIns="0" rIns="0" bIns="0" rtlCol="0">
                          <a:noAutofit/>
                        </wps:bodyPr>
                      </wps:wsp>
                    </wpg:wgp>
                  </a:graphicData>
                </a:graphic>
              </wp:anchor>
            </w:drawing>
          </mc:Choice>
          <mc:Fallback>
            <w:pict>
              <v:group w14:anchorId="60B0EF59" id="Group 200765" o:spid="_x0000_s2784" style="position:absolute;left:0;text-align:left;margin-left:207.3pt;margin-top:31.25pt;width:10.55pt;height:14.85pt;z-index:251663360;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HqGAIAAIEEAAAOAAAAZHJzL2Uyb0RvYy54bWyklNtu2zAMhu8H7B0E3Sc+NHETI04xrGsw&#10;YFiLdnsARZZsA7IkSErs7OlHyYdsLbCLLhcKRcrUz8+kd3d9K9CZGdsoWeBkGWPEJFVlI6sC//zx&#10;sNhgZB2RJRFKsgJfmMV3+48fdp3OWapqJUpmECSRNu90gWvndB5FltasJXapNJMQ5Mq0xMHWVFFp&#10;SAfZWxGlcZxFnTKlNooya8F7PwTxPuTnnFH3yLllDokCgzYXVhPWo1+j/Y7klSG6bugog7xDRUsa&#10;CZfOqe6JI+hkmjep2oYaZRV3S6raSHHeUBZqgGqS+FU1B6NOOtRS5V2lZ0yA9hWnd6el388Ho1/0&#10;kwESna6ARdj5WnpuWv8PKlEfkF1mZKx3iIIzuVklSYoRhVCy2azW2YCU1sD9zVO0/vLP56Lp0ugv&#10;KZ2G5rDX+u3/1f9SE80CVptD/U8GNSWoz26TNUaStNCmz9A4RFaCocEd4ITTMyqbW6A2cUJGQW8t&#10;kvh263+hF0Zui9UqBSwICC2yNNmOTTcTvN3cZNuBYLqOs1UgOJMguTbWHZhqkTcKbEBaSE/O36wD&#10;YXB0OuLVCOlXqR4aIYao9wDQSbC3XH/sx6o3QY93HlV5ARi1Mr8eYaS5UF2B1WhhP+VwvY9iJL5K&#10;eAl+oCbDTMZxMowTn1UYu0HQp5NTvAmKr7eNyuDtBiv0eShpnEk/SH/uw6nrl2P/GwAA//8DAFBL&#10;AwQUAAYACAAAACEA9+BjMOAAAAAJAQAADwAAAGRycy9kb3ducmV2LnhtbEyPQU+DQBCF7yb+h82Y&#10;eLMLFFCRoWka9dQ0sTUx3qYwBVJ2l7BboP/e9aTHyfvy3jf5aladGHmwrdEI4SIAwbo0VatrhM/D&#10;28MTCOtIV9QZzQhXtrAqbm9yyioz6Q8e964WvkTbjBAa5/pMSls2rMguTM/aZyczKHL+HGpZDTT5&#10;ctXJKAhSqajVfqGhnjcNl+f9RSG8TzStl+HruD2fNtfvQ7L72oaMeH83r19AOJ7dHwy/+l4dCu90&#10;NBddWdEhxGGcehQhjRIQHoiXySOII8JzFIEscvn/g+IHAAD//wMAUEsBAi0AFAAGAAgAAAAhALaD&#10;OJL+AAAA4QEAABMAAAAAAAAAAAAAAAAAAAAAAFtDb250ZW50X1R5cGVzXS54bWxQSwECLQAUAAYA&#10;CAAAACEAOP0h/9YAAACUAQAACwAAAAAAAAAAAAAAAAAvAQAAX3JlbHMvLnJlbHNQSwECLQAUAAYA&#10;CAAAACEACaMR6hgCAACBBAAADgAAAAAAAAAAAAAAAAAuAgAAZHJzL2Uyb0RvYy54bWxQSwECLQAU&#10;AAYACAAAACEA9+BjMOAAAAAJAQAADwAAAAAAAAAAAAAAAAByBAAAZHJzL2Rvd25yZXYueG1sUEsF&#10;BgAAAAAEAAQA8wAAAH8FAAAAAA==&#10;">
                <v:rect id="Rectangle 16715" o:spid="_x0000_s2785"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jexAAAAN4AAAAPAAAAZHJzL2Rvd25yZXYueG1sRE9Li8Iw&#10;EL4v7H8Is+BtTV3wQTXK4iLbg5f1AR6HZmyrzSQ00VZ/vVkQvM3H95zZojO1uFLjK8sKBv0EBHFu&#10;dcWFgt129TkB4QOyxtoyKbiRh8X8/W2GqbYt/9F1EwoRQ9inqKAMwaVS+rwkg75vHXHkjrYxGCJs&#10;CqkbbGO4qeVXkoykwYpjQ4mOliXl583FKDj8sMtWrcyP96Vbn7JJ/XvZ7ZXqfXTfUxCBuvASP92Z&#10;jvNH48EQ/t+JN8j5AwAA//8DAFBLAQItABQABgAIAAAAIQDb4fbL7gAAAIUBAAATAAAAAAAAAAAA&#10;AAAAAAAAAABbQ29udGVudF9UeXBlc10ueG1sUEsBAi0AFAAGAAgAAAAhAFr0LFu/AAAAFQEAAAsA&#10;AAAAAAAAAAAAAAAAHwEAAF9yZWxzLy5yZWxzUEsBAi0AFAAGAAgAAAAhAALf+N7EAAAA3gAAAA8A&#10;AAAAAAAAAAAAAAAABwIAAGRycy9kb3ducmV2LnhtbFBLBQYAAAAAAwADALcAAAD4AgAAAAA=&#10;" filled="f" stroked="f">
                  <v:textbox inset="0,0,0,0">
                    <w:txbxContent>
                      <w:p w14:paraId="722EBE50" w14:textId="77777777" w:rsidR="00B32EF2" w:rsidRDefault="00000000">
                        <w:r>
                          <w:rPr>
                            <w:rFonts w:ascii="Times New Roman" w:eastAsia="Times New Roman" w:hAnsi="Times New Roman" w:cs="Times New Roman"/>
                          </w:rPr>
                          <w:t>79</w:t>
                        </w:r>
                      </w:p>
                    </w:txbxContent>
                  </v:textbox>
                </v:rect>
                <w10:wrap type="topAndBottom" anchorx="page" anchory="page"/>
              </v:group>
            </w:pict>
          </mc:Fallback>
        </mc:AlternateContent>
      </w:r>
    </w:p>
    <w:p w14:paraId="4A569885" w14:textId="77777777" w:rsidR="00B32EF2" w:rsidRDefault="00000000">
      <w:pPr>
        <w:spacing w:after="0"/>
        <w:ind w:left="-356" w:right="-306"/>
      </w:pPr>
      <w:r>
        <w:rPr>
          <w:noProof/>
        </w:rPr>
        <w:lastRenderedPageBreak/>
        <mc:AlternateContent>
          <mc:Choice Requires="wpg">
            <w:drawing>
              <wp:inline distT="0" distB="0" distL="0" distR="0" wp14:anchorId="36D2B597" wp14:editId="4C8D4416">
                <wp:extent cx="3991775" cy="5796813"/>
                <wp:effectExtent l="0" t="0" r="0" b="0"/>
                <wp:docPr id="200766" name="Group 200766"/>
                <wp:cNvGraphicFramePr/>
                <a:graphic xmlns:a="http://schemas.openxmlformats.org/drawingml/2006/main">
                  <a:graphicData uri="http://schemas.microsoft.com/office/word/2010/wordprocessingGroup">
                    <wpg:wgp>
                      <wpg:cNvGrpSpPr/>
                      <wpg:grpSpPr>
                        <a:xfrm>
                          <a:off x="0" y="0"/>
                          <a:ext cx="3991775" cy="5796813"/>
                          <a:chOff x="0" y="0"/>
                          <a:chExt cx="3991775" cy="5796813"/>
                        </a:xfrm>
                      </wpg:grpSpPr>
                      <wps:wsp>
                        <wps:cNvPr id="16735" name="Rectangle 16735"/>
                        <wps:cNvSpPr/>
                        <wps:spPr>
                          <a:xfrm rot="-10799999">
                            <a:off x="-504159" y="5653923"/>
                            <a:ext cx="4495916" cy="142890"/>
                          </a:xfrm>
                          <a:prstGeom prst="rect">
                            <a:avLst/>
                          </a:prstGeom>
                          <a:ln>
                            <a:noFill/>
                          </a:ln>
                        </wps:spPr>
                        <wps:txbx>
                          <w:txbxContent>
                            <w:p w14:paraId="0F59AB6D" w14:textId="77777777" w:rsidR="00B32EF2" w:rsidRDefault="00000000">
                              <w:r>
                                <w:rPr>
                                  <w:rFonts w:ascii="Arial" w:eastAsia="Arial" w:hAnsi="Arial" w:cs="Arial"/>
                                  <w:sz w:val="18"/>
                                </w:rPr>
                                <w:t xml:space="preserve">costituite entro il termine perentorio dei successivi sette giorni. (1) </w:t>
                              </w:r>
                            </w:p>
                          </w:txbxContent>
                        </wps:txbx>
                        <wps:bodyPr horzOverflow="overflow" vert="horz" lIns="0" tIns="0" rIns="0" bIns="0" rtlCol="0">
                          <a:noAutofit/>
                        </wps:bodyPr>
                      </wps:wsp>
                      <wps:wsp>
                        <wps:cNvPr id="200711" name="Rectangle 200711"/>
                        <wps:cNvSpPr/>
                        <wps:spPr>
                          <a:xfrm rot="-10799999">
                            <a:off x="-1381805" y="5530593"/>
                            <a:ext cx="5309006" cy="142891"/>
                          </a:xfrm>
                          <a:prstGeom prst="rect">
                            <a:avLst/>
                          </a:prstGeom>
                          <a:ln>
                            <a:noFill/>
                          </a:ln>
                        </wps:spPr>
                        <wps:txbx>
                          <w:txbxContent>
                            <w:p w14:paraId="1CD12D76" w14:textId="77777777" w:rsidR="00B32EF2" w:rsidRDefault="00000000">
                              <w:r>
                                <w:rPr>
                                  <w:rFonts w:ascii="Arial" w:eastAsia="Arial" w:hAnsi="Arial" w:cs="Arial"/>
                                  <w:sz w:val="18"/>
                                </w:rPr>
                                <w:t xml:space="preserve">. Quando ne ricorrono i motivi la deliberazione in camera di consiglio può </w:t>
                              </w:r>
                            </w:p>
                          </w:txbxContent>
                        </wps:txbx>
                        <wps:bodyPr horzOverflow="overflow" vert="horz" lIns="0" tIns="0" rIns="0" bIns="0" rtlCol="0">
                          <a:noAutofit/>
                        </wps:bodyPr>
                      </wps:wsp>
                      <wps:wsp>
                        <wps:cNvPr id="200710" name="Rectangle 200710"/>
                        <wps:cNvSpPr/>
                        <wps:spPr>
                          <a:xfrm rot="-10799999">
                            <a:off x="2610934" y="5530593"/>
                            <a:ext cx="5309006" cy="142891"/>
                          </a:xfrm>
                          <a:prstGeom prst="rect">
                            <a:avLst/>
                          </a:prstGeom>
                          <a:ln>
                            <a:noFill/>
                          </a:ln>
                        </wps:spPr>
                        <wps:txbx>
                          <w:txbxContent>
                            <w:p w14:paraId="1A10A60A"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6737" name="Rectangle 16737"/>
                        <wps:cNvSpPr/>
                        <wps:spPr>
                          <a:xfrm rot="-10799999">
                            <a:off x="1244621" y="5407265"/>
                            <a:ext cx="2747136" cy="142889"/>
                          </a:xfrm>
                          <a:prstGeom prst="rect">
                            <a:avLst/>
                          </a:prstGeom>
                          <a:ln>
                            <a:noFill/>
                          </a:ln>
                        </wps:spPr>
                        <wps:txbx>
                          <w:txbxContent>
                            <w:p w14:paraId="277454F3" w14:textId="77777777" w:rsidR="00B32EF2" w:rsidRDefault="00000000">
                              <w:r>
                                <w:rPr>
                                  <w:rFonts w:ascii="Arial" w:eastAsia="Arial" w:hAnsi="Arial" w:cs="Arial"/>
                                  <w:sz w:val="18"/>
                                </w:rPr>
                                <w:t xml:space="preserve">essere rinviata di non oltre trenta giorni. </w:t>
                              </w:r>
                            </w:p>
                          </w:txbxContent>
                        </wps:txbx>
                        <wps:bodyPr horzOverflow="overflow" vert="horz" lIns="0" tIns="0" rIns="0" bIns="0" rtlCol="0">
                          <a:noAutofit/>
                        </wps:bodyPr>
                      </wps:wsp>
                      <wps:wsp>
                        <wps:cNvPr id="200705" name="Rectangle 200705"/>
                        <wps:cNvSpPr/>
                        <wps:spPr>
                          <a:xfrm rot="-10799999">
                            <a:off x="2610938" y="5283935"/>
                            <a:ext cx="5308989" cy="142889"/>
                          </a:xfrm>
                          <a:prstGeom prst="rect">
                            <a:avLst/>
                          </a:prstGeom>
                          <a:ln>
                            <a:noFill/>
                          </a:ln>
                        </wps:spPr>
                        <wps:txbx>
                          <w:txbxContent>
                            <w:p w14:paraId="4F4473CD"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0709" name="Rectangle 200709"/>
                        <wps:cNvSpPr/>
                        <wps:spPr>
                          <a:xfrm rot="-10799999">
                            <a:off x="-1381756" y="5283935"/>
                            <a:ext cx="5308990" cy="142889"/>
                          </a:xfrm>
                          <a:prstGeom prst="rect">
                            <a:avLst/>
                          </a:prstGeom>
                          <a:ln>
                            <a:noFill/>
                          </a:ln>
                        </wps:spPr>
                        <wps:txbx>
                          <w:txbxContent>
                            <w:p w14:paraId="05521753" w14:textId="77777777" w:rsidR="00B32EF2" w:rsidRDefault="00000000">
                              <w:r>
                                <w:rPr>
                                  <w:rFonts w:ascii="Arial" w:eastAsia="Arial" w:hAnsi="Arial" w:cs="Arial"/>
                                  <w:sz w:val="18"/>
                                </w:rPr>
                                <w:t xml:space="preserve">. Alle deliberazioni del collegio si applicano le disposizioni di cui agli articoli </w:t>
                              </w:r>
                            </w:p>
                          </w:txbxContent>
                        </wps:txbx>
                        <wps:bodyPr horzOverflow="overflow" vert="horz" lIns="0" tIns="0" rIns="0" bIns="0" rtlCol="0">
                          <a:noAutofit/>
                        </wps:bodyPr>
                      </wps:wsp>
                      <wps:wsp>
                        <wps:cNvPr id="200704" name="Rectangle 200704"/>
                        <wps:cNvSpPr/>
                        <wps:spPr>
                          <a:xfrm rot="-10799999">
                            <a:off x="-1506605" y="5160605"/>
                            <a:ext cx="5309036" cy="142889"/>
                          </a:xfrm>
                          <a:prstGeom prst="rect">
                            <a:avLst/>
                          </a:prstGeom>
                          <a:ln>
                            <a:noFill/>
                          </a:ln>
                        </wps:spPr>
                        <wps:txbx>
                          <w:txbxContent>
                            <w:p w14:paraId="1E0A8DA1" w14:textId="77777777" w:rsidR="00B32EF2" w:rsidRDefault="00000000">
                              <w:r>
                                <w:rPr>
                                  <w:rFonts w:ascii="Arial" w:eastAsia="Arial" w:hAnsi="Arial" w:cs="Arial"/>
                                  <w:sz w:val="18"/>
                                </w:rPr>
                                <w:t xml:space="preserve"> e seguenti del codice di procedura civile. Non sono tuttavia ammesse </w:t>
                              </w:r>
                            </w:p>
                          </w:txbxContent>
                        </wps:txbx>
                        <wps:bodyPr horzOverflow="overflow" vert="horz" lIns="0" tIns="0" rIns="0" bIns="0" rtlCol="0">
                          <a:noAutofit/>
                        </wps:bodyPr>
                      </wps:wsp>
                      <wps:wsp>
                        <wps:cNvPr id="200703" name="Rectangle 200703"/>
                        <wps:cNvSpPr/>
                        <wps:spPr>
                          <a:xfrm rot="-10799999">
                            <a:off x="2485150" y="5160605"/>
                            <a:ext cx="5309036" cy="142889"/>
                          </a:xfrm>
                          <a:prstGeom prst="rect">
                            <a:avLst/>
                          </a:prstGeom>
                          <a:ln>
                            <a:noFill/>
                          </a:ln>
                        </wps:spPr>
                        <wps:txbx>
                          <w:txbxContent>
                            <w:p w14:paraId="06FD7B17" w14:textId="77777777" w:rsidR="00B32EF2" w:rsidRDefault="00000000">
                              <w:r>
                                <w:rPr>
                                  <w:rFonts w:ascii="Arial" w:eastAsia="Arial" w:hAnsi="Arial" w:cs="Arial"/>
                                  <w:sz w:val="18"/>
                                </w:rPr>
                                <w:t>276</w:t>
                              </w:r>
                            </w:p>
                          </w:txbxContent>
                        </wps:txbx>
                        <wps:bodyPr horzOverflow="overflow" vert="horz" lIns="0" tIns="0" rIns="0" bIns="0" rtlCol="0">
                          <a:noAutofit/>
                        </wps:bodyPr>
                      </wps:wsp>
                      <wps:wsp>
                        <wps:cNvPr id="16740" name="Rectangle 16740"/>
                        <wps:cNvSpPr/>
                        <wps:spPr>
                          <a:xfrm rot="-10799999">
                            <a:off x="11458" y="5037276"/>
                            <a:ext cx="3980299" cy="142889"/>
                          </a:xfrm>
                          <a:prstGeom prst="rect">
                            <a:avLst/>
                          </a:prstGeom>
                          <a:ln>
                            <a:noFill/>
                          </a:ln>
                        </wps:spPr>
                        <wps:txbx>
                          <w:txbxContent>
                            <w:p w14:paraId="3A9F0996" w14:textId="77777777" w:rsidR="00B32EF2" w:rsidRDefault="00000000">
                              <w:r>
                                <w:rPr>
                                  <w:rFonts w:ascii="Arial" w:eastAsia="Arial" w:hAnsi="Arial" w:cs="Arial"/>
                                  <w:sz w:val="18"/>
                                </w:rPr>
                                <w:t>sentenze non definitive o limitate solo ad alcune domande.</w:t>
                              </w:r>
                            </w:p>
                          </w:txbxContent>
                        </wps:txbx>
                        <wps:bodyPr horzOverflow="overflow" vert="horz" lIns="0" tIns="0" rIns="0" bIns="0" rtlCol="0">
                          <a:noAutofit/>
                        </wps:bodyPr>
                      </wps:wsp>
                      <wps:wsp>
                        <wps:cNvPr id="200702" name="Rectangle 200702"/>
                        <wps:cNvSpPr/>
                        <wps:spPr>
                          <a:xfrm rot="-10799999">
                            <a:off x="-849882" y="4909966"/>
                            <a:ext cx="5221334" cy="119075"/>
                          </a:xfrm>
                          <a:prstGeom prst="rect">
                            <a:avLst/>
                          </a:prstGeom>
                          <a:ln>
                            <a:noFill/>
                          </a:ln>
                        </wps:spPr>
                        <wps:txbx>
                          <w:txbxContent>
                            <w:p w14:paraId="5D5D1E60" w14:textId="77777777" w:rsidR="00B32EF2" w:rsidRDefault="00000000">
                              <w:r>
                                <w:rPr>
                                  <w:rFonts w:ascii="Arial" w:eastAsia="Arial" w:hAnsi="Arial" w:cs="Arial"/>
                                  <w:sz w:val="15"/>
                                </w:rPr>
                                <w:t xml:space="preserve"> Comma 1 del presente articolo così modificato dall’art. 16 del D.lgs. n. 81 del </w:t>
                              </w:r>
                            </w:p>
                          </w:txbxContent>
                        </wps:txbx>
                        <wps:bodyPr horzOverflow="overflow" vert="horz" lIns="0" tIns="0" rIns="0" bIns="0" rtlCol="0">
                          <a:noAutofit/>
                        </wps:bodyPr>
                      </wps:wsp>
                      <wps:wsp>
                        <wps:cNvPr id="200700" name="Rectangle 200700"/>
                        <wps:cNvSpPr/>
                        <wps:spPr>
                          <a:xfrm rot="-10799999">
                            <a:off x="2588938" y="4909966"/>
                            <a:ext cx="5221334" cy="119075"/>
                          </a:xfrm>
                          <a:prstGeom prst="rect">
                            <a:avLst/>
                          </a:prstGeom>
                          <a:ln>
                            <a:noFill/>
                          </a:ln>
                        </wps:spPr>
                        <wps:txbx>
                          <w:txbxContent>
                            <w:p w14:paraId="7231415F" w14:textId="77777777" w:rsidR="00B32EF2" w:rsidRDefault="00000000">
                              <w:r>
                                <w:rPr>
                                  <w:rFonts w:ascii="Arial" w:eastAsia="Arial" w:hAnsi="Arial" w:cs="Arial"/>
                                  <w:sz w:val="15"/>
                                </w:rPr>
                                <w:t>(1)</w:t>
                              </w:r>
                            </w:p>
                          </w:txbxContent>
                        </wps:txbx>
                        <wps:bodyPr horzOverflow="overflow" vert="horz" lIns="0" tIns="0" rIns="0" bIns="0" rtlCol="0">
                          <a:noAutofit/>
                        </wps:bodyPr>
                      </wps:wsp>
                      <wps:wsp>
                        <wps:cNvPr id="200701" name="Rectangle 200701"/>
                        <wps:cNvSpPr/>
                        <wps:spPr>
                          <a:xfrm rot="-10799999">
                            <a:off x="-4668388" y="4909966"/>
                            <a:ext cx="5221334" cy="119075"/>
                          </a:xfrm>
                          <a:prstGeom prst="rect">
                            <a:avLst/>
                          </a:prstGeom>
                          <a:ln>
                            <a:noFill/>
                          </a:ln>
                        </wps:spPr>
                        <wps:txbx>
                          <w:txbxContent>
                            <w:p w14:paraId="0208C58B" w14:textId="77777777" w:rsidR="00B32EF2" w:rsidRDefault="00000000">
                              <w:r>
                                <w:rPr>
                                  <w:rFonts w:ascii="Arial" w:eastAsia="Arial" w:hAnsi="Arial" w:cs="Arial"/>
                                  <w:sz w:val="15"/>
                                </w:rPr>
                                <w:t>12/06/2025</w:t>
                              </w:r>
                            </w:p>
                          </w:txbxContent>
                        </wps:txbx>
                        <wps:bodyPr horzOverflow="overflow" vert="horz" lIns="0" tIns="0" rIns="0" bIns="0" rtlCol="0">
                          <a:noAutofit/>
                        </wps:bodyPr>
                      </wps:wsp>
                      <wps:wsp>
                        <wps:cNvPr id="16742" name="Rectangle 16742"/>
                        <wps:cNvSpPr/>
                        <wps:spPr>
                          <a:xfrm rot="-10799999">
                            <a:off x="21251" y="4900020"/>
                            <a:ext cx="42261" cy="142889"/>
                          </a:xfrm>
                          <a:prstGeom prst="rect">
                            <a:avLst/>
                          </a:prstGeom>
                          <a:ln>
                            <a:noFill/>
                          </a:ln>
                        </wps:spPr>
                        <wps:txbx>
                          <w:txbxContent>
                            <w:p w14:paraId="7ADB1B5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743" name="Rectangle 16743"/>
                        <wps:cNvSpPr/>
                        <wps:spPr>
                          <a:xfrm rot="-10799999">
                            <a:off x="1466583" y="2061151"/>
                            <a:ext cx="875614" cy="142889"/>
                          </a:xfrm>
                          <a:prstGeom prst="rect">
                            <a:avLst/>
                          </a:prstGeom>
                          <a:ln>
                            <a:noFill/>
                          </a:ln>
                        </wps:spPr>
                        <wps:txbx>
                          <w:txbxContent>
                            <w:p w14:paraId="528C34B9" w14:textId="77777777" w:rsidR="00B32EF2" w:rsidRDefault="00000000">
                              <w:r>
                                <w:rPr>
                                  <w:rFonts w:ascii="Arial" w:eastAsia="Arial" w:hAnsi="Arial" w:cs="Arial"/>
                                  <w:b/>
                                  <w:sz w:val="18"/>
                                </w:rPr>
                                <w:t>SEZIONE IV</w:t>
                              </w:r>
                            </w:p>
                          </w:txbxContent>
                        </wps:txbx>
                        <wps:bodyPr horzOverflow="overflow" vert="horz" lIns="0" tIns="0" rIns="0" bIns="0" rtlCol="0">
                          <a:noAutofit/>
                        </wps:bodyPr>
                      </wps:wsp>
                      <wps:wsp>
                        <wps:cNvPr id="16744" name="Rectangle 16744"/>
                        <wps:cNvSpPr/>
                        <wps:spPr>
                          <a:xfrm rot="-10799999">
                            <a:off x="150506" y="1937821"/>
                            <a:ext cx="2983677" cy="142889"/>
                          </a:xfrm>
                          <a:prstGeom prst="rect">
                            <a:avLst/>
                          </a:prstGeom>
                          <a:ln>
                            <a:noFill/>
                          </a:ln>
                        </wps:spPr>
                        <wps:txbx>
                          <w:txbxContent>
                            <w:p w14:paraId="1F8C5CB6" w14:textId="77777777" w:rsidR="00B32EF2" w:rsidRDefault="00000000">
                              <w:r>
                                <w:rPr>
                                  <w:rFonts w:ascii="Arial" w:eastAsia="Arial" w:hAnsi="Arial" w:cs="Arial"/>
                                  <w:b/>
                                  <w:sz w:val="18"/>
                                </w:rPr>
                                <w:t xml:space="preserve"> LA DECISIONE DELLA CONTROVERSIA</w:t>
                              </w:r>
                            </w:p>
                          </w:txbxContent>
                        </wps:txbx>
                        <wps:bodyPr horzOverflow="overflow" vert="horz" lIns="0" tIns="0" rIns="0" bIns="0" rtlCol="0">
                          <a:noAutofit/>
                        </wps:bodyPr>
                      </wps:wsp>
                      <wps:wsp>
                        <wps:cNvPr id="16745" name="Rectangle 16745"/>
                        <wps:cNvSpPr/>
                        <wps:spPr>
                          <a:xfrm rot="-10799999">
                            <a:off x="1507056" y="1567832"/>
                            <a:ext cx="809881" cy="142889"/>
                          </a:xfrm>
                          <a:prstGeom prst="rect">
                            <a:avLst/>
                          </a:prstGeom>
                          <a:ln>
                            <a:noFill/>
                          </a:ln>
                        </wps:spPr>
                        <wps:txbx>
                          <w:txbxContent>
                            <w:p w14:paraId="73688B3D" w14:textId="77777777" w:rsidR="00B32EF2" w:rsidRDefault="00000000">
                              <w:r>
                                <w:rPr>
                                  <w:rFonts w:ascii="Arial" w:eastAsia="Arial" w:hAnsi="Arial" w:cs="Arial"/>
                                  <w:b/>
                                  <w:sz w:val="18"/>
                                </w:rPr>
                                <w:t>Articolo 85</w:t>
                              </w:r>
                            </w:p>
                          </w:txbxContent>
                        </wps:txbx>
                        <wps:bodyPr horzOverflow="overflow" vert="horz" lIns="0" tIns="0" rIns="0" bIns="0" rtlCol="0">
                          <a:noAutofit/>
                        </wps:bodyPr>
                      </wps:wsp>
                      <wps:wsp>
                        <wps:cNvPr id="200687" name="Rectangle 200687"/>
                        <wps:cNvSpPr/>
                        <wps:spPr>
                          <a:xfrm rot="-10799999">
                            <a:off x="1161521" y="1444502"/>
                            <a:ext cx="1944383" cy="142889"/>
                          </a:xfrm>
                          <a:prstGeom prst="rect">
                            <a:avLst/>
                          </a:prstGeom>
                          <a:ln>
                            <a:noFill/>
                          </a:ln>
                        </wps:spPr>
                        <wps:txbx>
                          <w:txbxContent>
                            <w:p w14:paraId="397D37C6" w14:textId="77777777" w:rsidR="00B32EF2" w:rsidRDefault="00000000">
                              <w:r>
                                <w:rPr>
                                  <w:rFonts w:ascii="Arial" w:eastAsia="Arial" w:hAnsi="Arial" w:cs="Arial"/>
                                  <w:i/>
                                  <w:sz w:val="18"/>
                                </w:rPr>
                                <w:t xml:space="preserve">articolo 36 D.lgs. n. </w:t>
                              </w:r>
                            </w:p>
                          </w:txbxContent>
                        </wps:txbx>
                        <wps:bodyPr horzOverflow="overflow" vert="horz" lIns="0" tIns="0" rIns="0" bIns="0" rtlCol="0">
                          <a:noAutofit/>
                        </wps:bodyPr>
                      </wps:wsp>
                      <wps:wsp>
                        <wps:cNvPr id="200686" name="Rectangle 200686"/>
                        <wps:cNvSpPr/>
                        <wps:spPr>
                          <a:xfrm rot="-10799999">
                            <a:off x="-265262" y="1444502"/>
                            <a:ext cx="1944384" cy="142889"/>
                          </a:xfrm>
                          <a:prstGeom prst="rect">
                            <a:avLst/>
                          </a:prstGeom>
                          <a:ln>
                            <a:noFill/>
                          </a:ln>
                        </wps:spPr>
                        <wps:txbx>
                          <w:txbxContent>
                            <w:p w14:paraId="68A76754"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685" name="Rectangle 200685"/>
                        <wps:cNvSpPr/>
                        <wps:spPr>
                          <a:xfrm rot="-10799999">
                            <a:off x="2222201" y="1444503"/>
                            <a:ext cx="1944383" cy="142889"/>
                          </a:xfrm>
                          <a:prstGeom prst="rect">
                            <a:avLst/>
                          </a:prstGeom>
                          <a:ln>
                            <a:noFill/>
                          </a:ln>
                        </wps:spPr>
                        <wps:txbx>
                          <w:txbxContent>
                            <w:p w14:paraId="59E8306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747" name="Rectangle 16747"/>
                        <wps:cNvSpPr/>
                        <wps:spPr>
                          <a:xfrm rot="-10799999">
                            <a:off x="797104" y="1321173"/>
                            <a:ext cx="1920912" cy="142889"/>
                          </a:xfrm>
                          <a:prstGeom prst="rect">
                            <a:avLst/>
                          </a:prstGeom>
                          <a:ln>
                            <a:noFill/>
                          </a:ln>
                        </wps:spPr>
                        <wps:txbx>
                          <w:txbxContent>
                            <w:p w14:paraId="64EBDCBF" w14:textId="77777777" w:rsidR="00B32EF2" w:rsidRDefault="00000000">
                              <w:r>
                                <w:rPr>
                                  <w:rFonts w:ascii="Arial" w:eastAsia="Arial" w:hAnsi="Arial" w:cs="Arial"/>
                                  <w:b/>
                                  <w:sz w:val="18"/>
                                </w:rPr>
                                <w:t xml:space="preserve">Contenuto della sentenza </w:t>
                              </w:r>
                            </w:p>
                          </w:txbxContent>
                        </wps:txbx>
                        <wps:bodyPr horzOverflow="overflow" vert="horz" lIns="0" tIns="0" rIns="0" bIns="0" rtlCol="0">
                          <a:noAutofit/>
                        </wps:bodyPr>
                      </wps:wsp>
                      <wps:wsp>
                        <wps:cNvPr id="200682" name="Rectangle 200682"/>
                        <wps:cNvSpPr/>
                        <wps:spPr>
                          <a:xfrm rot="-10799999">
                            <a:off x="2610948" y="1197843"/>
                            <a:ext cx="5309022" cy="142889"/>
                          </a:xfrm>
                          <a:prstGeom prst="rect">
                            <a:avLst/>
                          </a:prstGeom>
                          <a:ln>
                            <a:noFill/>
                          </a:ln>
                        </wps:spPr>
                        <wps:txbx>
                          <w:txbxContent>
                            <w:p w14:paraId="2430EE50"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684" name="Rectangle 200684"/>
                        <wps:cNvSpPr/>
                        <wps:spPr>
                          <a:xfrm rot="-10799999">
                            <a:off x="-1376429" y="1197843"/>
                            <a:ext cx="5309021" cy="142889"/>
                          </a:xfrm>
                          <a:prstGeom prst="rect">
                            <a:avLst/>
                          </a:prstGeom>
                          <a:ln>
                            <a:noFill/>
                          </a:ln>
                        </wps:spPr>
                        <wps:txbx>
                          <w:txbxContent>
                            <w:p w14:paraId="3C17AE40" w14:textId="77777777" w:rsidR="00B32EF2" w:rsidRDefault="00000000">
                              <w:r>
                                <w:rPr>
                                  <w:rFonts w:ascii="Arial" w:eastAsia="Arial" w:hAnsi="Arial" w:cs="Arial"/>
                                  <w:sz w:val="18"/>
                                </w:rPr>
                                <w:t xml:space="preserve">. La sentenza è pronunciata in nome del popolo italiano ed è intestata alla </w:t>
                              </w:r>
                            </w:p>
                          </w:txbxContent>
                        </wps:txbx>
                        <wps:bodyPr horzOverflow="overflow" vert="horz" lIns="0" tIns="0" rIns="0" bIns="0" rtlCol="0">
                          <a:noAutofit/>
                        </wps:bodyPr>
                      </wps:wsp>
                      <wps:wsp>
                        <wps:cNvPr id="16749" name="Rectangle 16749"/>
                        <wps:cNvSpPr/>
                        <wps:spPr>
                          <a:xfrm rot="-10799999">
                            <a:off x="2648209" y="1074514"/>
                            <a:ext cx="1343909" cy="142889"/>
                          </a:xfrm>
                          <a:prstGeom prst="rect">
                            <a:avLst/>
                          </a:prstGeom>
                          <a:ln>
                            <a:noFill/>
                          </a:ln>
                        </wps:spPr>
                        <wps:txbx>
                          <w:txbxContent>
                            <w:p w14:paraId="41C33DC5" w14:textId="77777777" w:rsidR="00B32EF2" w:rsidRDefault="00000000">
                              <w:r>
                                <w:rPr>
                                  <w:rFonts w:ascii="Arial" w:eastAsia="Arial" w:hAnsi="Arial" w:cs="Arial"/>
                                  <w:sz w:val="18"/>
                                </w:rPr>
                                <w:t>Repubblica italiana.</w:t>
                              </w:r>
                            </w:p>
                          </w:txbxContent>
                        </wps:txbx>
                        <wps:bodyPr horzOverflow="overflow" vert="horz" lIns="0" tIns="0" rIns="0" bIns="0" rtlCol="0">
                          <a:noAutofit/>
                        </wps:bodyPr>
                      </wps:wsp>
                      <wps:wsp>
                        <wps:cNvPr id="200679" name="Rectangle 200679"/>
                        <wps:cNvSpPr/>
                        <wps:spPr>
                          <a:xfrm rot="-10799999">
                            <a:off x="3396427" y="951184"/>
                            <a:ext cx="2143301" cy="142889"/>
                          </a:xfrm>
                          <a:prstGeom prst="rect">
                            <a:avLst/>
                          </a:prstGeom>
                          <a:ln>
                            <a:noFill/>
                          </a:ln>
                        </wps:spPr>
                        <wps:txbx>
                          <w:txbxContent>
                            <w:p w14:paraId="0E47BFF0"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680" name="Rectangle 200680"/>
                        <wps:cNvSpPr/>
                        <wps:spPr>
                          <a:xfrm rot="-10799999">
                            <a:off x="268745" y="951183"/>
                            <a:ext cx="2143301" cy="142889"/>
                          </a:xfrm>
                          <a:prstGeom prst="rect">
                            <a:avLst/>
                          </a:prstGeom>
                          <a:ln>
                            <a:noFill/>
                          </a:ln>
                        </wps:spPr>
                        <wps:txbx>
                          <w:txbxContent>
                            <w:p w14:paraId="64FD7DB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0681" name="Rectangle 200681"/>
                        <wps:cNvSpPr/>
                        <wps:spPr>
                          <a:xfrm rot="-10799999">
                            <a:off x="1813635" y="951184"/>
                            <a:ext cx="2143301" cy="142889"/>
                          </a:xfrm>
                          <a:prstGeom prst="rect">
                            <a:avLst/>
                          </a:prstGeom>
                          <a:ln>
                            <a:noFill/>
                          </a:ln>
                        </wps:spPr>
                        <wps:txbx>
                          <w:txbxContent>
                            <w:p w14:paraId="17855A35" w14:textId="77777777" w:rsidR="00B32EF2" w:rsidRDefault="00000000">
                              <w:r>
                                <w:rPr>
                                  <w:rFonts w:ascii="Arial" w:eastAsia="Arial" w:hAnsi="Arial" w:cs="Arial"/>
                                  <w:sz w:val="18"/>
                                </w:rPr>
                                <w:t>. La sentenza deve contenere</w:t>
                              </w:r>
                            </w:p>
                          </w:txbxContent>
                        </wps:txbx>
                        <wps:bodyPr horzOverflow="overflow" vert="horz" lIns="0" tIns="0" rIns="0" bIns="0" rtlCol="0">
                          <a:noAutofit/>
                        </wps:bodyPr>
                      </wps:wsp>
                      <wps:wsp>
                        <wps:cNvPr id="16751" name="Rectangle 16751"/>
                        <wps:cNvSpPr/>
                        <wps:spPr>
                          <a:xfrm rot="-10799999">
                            <a:off x="-1317230" y="827854"/>
                            <a:ext cx="5309006" cy="142889"/>
                          </a:xfrm>
                          <a:prstGeom prst="rect">
                            <a:avLst/>
                          </a:prstGeom>
                          <a:ln>
                            <a:noFill/>
                          </a:ln>
                        </wps:spPr>
                        <wps:txbx>
                          <w:txbxContent>
                            <w:p w14:paraId="16E06AAC" w14:textId="77777777" w:rsidR="00B32EF2" w:rsidRDefault="00000000">
                              <w:r>
                                <w:rPr>
                                  <w:rFonts w:ascii="Arial" w:eastAsia="Arial" w:hAnsi="Arial" w:cs="Arial"/>
                                  <w:sz w:val="18"/>
                                </w:rPr>
                                <w:t xml:space="preserve">a) l’indicazione della composizione del collegio, delle parti e dei loro difensori </w:t>
                              </w:r>
                            </w:p>
                          </w:txbxContent>
                        </wps:txbx>
                        <wps:bodyPr horzOverflow="overflow" vert="horz" lIns="0" tIns="0" rIns="0" bIns="0" rtlCol="0">
                          <a:noAutofit/>
                        </wps:bodyPr>
                      </wps:wsp>
                      <wps:wsp>
                        <wps:cNvPr id="16752" name="Rectangle 16752"/>
                        <wps:cNvSpPr/>
                        <wps:spPr>
                          <a:xfrm rot="-10799999">
                            <a:off x="3261720" y="704524"/>
                            <a:ext cx="730056" cy="142889"/>
                          </a:xfrm>
                          <a:prstGeom prst="rect">
                            <a:avLst/>
                          </a:prstGeom>
                          <a:ln>
                            <a:noFill/>
                          </a:ln>
                        </wps:spPr>
                        <wps:txbx>
                          <w:txbxContent>
                            <w:p w14:paraId="6A79C84F" w14:textId="77777777" w:rsidR="00B32EF2" w:rsidRDefault="00000000">
                              <w:r>
                                <w:rPr>
                                  <w:rFonts w:ascii="Arial" w:eastAsia="Arial" w:hAnsi="Arial" w:cs="Arial"/>
                                  <w:sz w:val="18"/>
                                </w:rPr>
                                <w:t>se vi sono;</w:t>
                              </w:r>
                            </w:p>
                          </w:txbxContent>
                        </wps:txbx>
                        <wps:bodyPr horzOverflow="overflow" vert="horz" lIns="0" tIns="0" rIns="0" bIns="0" rtlCol="0">
                          <a:noAutofit/>
                        </wps:bodyPr>
                      </wps:wsp>
                      <wps:wsp>
                        <wps:cNvPr id="16753" name="Rectangle 16753"/>
                        <wps:cNvSpPr/>
                        <wps:spPr>
                          <a:xfrm rot="-10799999">
                            <a:off x="51367" y="581195"/>
                            <a:ext cx="3940409" cy="142889"/>
                          </a:xfrm>
                          <a:prstGeom prst="rect">
                            <a:avLst/>
                          </a:prstGeom>
                          <a:ln>
                            <a:noFill/>
                          </a:ln>
                        </wps:spPr>
                        <wps:txbx>
                          <w:txbxContent>
                            <w:p w14:paraId="5CE8F978" w14:textId="77777777" w:rsidR="00B32EF2" w:rsidRDefault="00000000">
                              <w:r>
                                <w:rPr>
                                  <w:rFonts w:ascii="Arial" w:eastAsia="Arial" w:hAnsi="Arial" w:cs="Arial"/>
                                  <w:sz w:val="18"/>
                                </w:rPr>
                                <w:t xml:space="preserve">b) la concisa esposizione dello svolgimento del processo; </w:t>
                              </w:r>
                            </w:p>
                          </w:txbxContent>
                        </wps:txbx>
                        <wps:bodyPr horzOverflow="overflow" vert="horz" lIns="0" tIns="0" rIns="0" bIns="0" rtlCol="0">
                          <a:noAutofit/>
                        </wps:bodyPr>
                      </wps:wsp>
                      <wps:wsp>
                        <wps:cNvPr id="16754" name="Rectangle 16754"/>
                        <wps:cNvSpPr/>
                        <wps:spPr>
                          <a:xfrm rot="-10799999">
                            <a:off x="2292704" y="457865"/>
                            <a:ext cx="1699071" cy="142889"/>
                          </a:xfrm>
                          <a:prstGeom prst="rect">
                            <a:avLst/>
                          </a:prstGeom>
                          <a:ln>
                            <a:noFill/>
                          </a:ln>
                        </wps:spPr>
                        <wps:txbx>
                          <w:txbxContent>
                            <w:p w14:paraId="43E5C807" w14:textId="77777777" w:rsidR="00B32EF2" w:rsidRDefault="00000000">
                              <w:r>
                                <w:rPr>
                                  <w:rFonts w:ascii="Arial" w:eastAsia="Arial" w:hAnsi="Arial" w:cs="Arial"/>
                                  <w:sz w:val="18"/>
                                </w:rPr>
                                <w:t xml:space="preserve">c) le richieste delle parti; </w:t>
                              </w:r>
                            </w:p>
                          </w:txbxContent>
                        </wps:txbx>
                        <wps:bodyPr horzOverflow="overflow" vert="horz" lIns="0" tIns="0" rIns="0" bIns="0" rtlCol="0">
                          <a:noAutofit/>
                        </wps:bodyPr>
                      </wps:wsp>
                      <wps:wsp>
                        <wps:cNvPr id="16755" name="Rectangle 16755"/>
                        <wps:cNvSpPr/>
                        <wps:spPr>
                          <a:xfrm rot="-10799999">
                            <a:off x="-1223738" y="334535"/>
                            <a:ext cx="5215514" cy="142889"/>
                          </a:xfrm>
                          <a:prstGeom prst="rect">
                            <a:avLst/>
                          </a:prstGeom>
                          <a:ln>
                            <a:noFill/>
                          </a:ln>
                        </wps:spPr>
                        <wps:txbx>
                          <w:txbxContent>
                            <w:p w14:paraId="2D9CFD69" w14:textId="77777777" w:rsidR="00B32EF2" w:rsidRDefault="00000000">
                              <w:r>
                                <w:rPr>
                                  <w:rFonts w:ascii="Arial" w:eastAsia="Arial" w:hAnsi="Arial" w:cs="Arial"/>
                                  <w:sz w:val="18"/>
                                </w:rPr>
                                <w:t>d) la succinta esposizione dei motivi in fatto e diritto di accoglimento o di riget</w:t>
                              </w:r>
                            </w:p>
                          </w:txbxContent>
                        </wps:txbx>
                        <wps:bodyPr horzOverflow="overflow" vert="horz" lIns="0" tIns="0" rIns="0" bIns="0" rtlCol="0">
                          <a:noAutofit/>
                        </wps:bodyPr>
                      </wps:wsp>
                      <wps:wsp>
                        <wps:cNvPr id="16756" name="Rectangle 16756"/>
                        <wps:cNvSpPr/>
                        <wps:spPr>
                          <a:xfrm rot="-10799999">
                            <a:off x="19177" y="334535"/>
                            <a:ext cx="50622" cy="142889"/>
                          </a:xfrm>
                          <a:prstGeom prst="rect">
                            <a:avLst/>
                          </a:prstGeom>
                          <a:ln>
                            <a:noFill/>
                          </a:ln>
                        </wps:spPr>
                        <wps:txbx>
                          <w:txbxContent>
                            <w:p w14:paraId="29E43C1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757" name="Rectangle 16757"/>
                        <wps:cNvSpPr/>
                        <wps:spPr>
                          <a:xfrm rot="-10799999">
                            <a:off x="-1220576" y="211206"/>
                            <a:ext cx="5212351" cy="142889"/>
                          </a:xfrm>
                          <a:prstGeom prst="rect">
                            <a:avLst/>
                          </a:prstGeom>
                          <a:ln>
                            <a:noFill/>
                          </a:ln>
                        </wps:spPr>
                        <wps:txbx>
                          <w:txbxContent>
                            <w:p w14:paraId="62DB0304" w14:textId="77777777" w:rsidR="00B32EF2" w:rsidRDefault="00000000">
                              <w:r>
                                <w:rPr>
                                  <w:rFonts w:ascii="Arial" w:eastAsia="Arial" w:hAnsi="Arial" w:cs="Arial"/>
                                  <w:sz w:val="18"/>
                                </w:rPr>
                                <w:t>to, relativi alle questioni di merito ed alle questioni attinenti ai vizi di annullabi</w:t>
                              </w:r>
                            </w:p>
                          </w:txbxContent>
                        </wps:txbx>
                        <wps:bodyPr horzOverflow="overflow" vert="horz" lIns="0" tIns="0" rIns="0" bIns="0" rtlCol="0">
                          <a:noAutofit/>
                        </wps:bodyPr>
                      </wps:wsp>
                      <wps:wsp>
                        <wps:cNvPr id="16758" name="Rectangle 16758"/>
                        <wps:cNvSpPr/>
                        <wps:spPr>
                          <a:xfrm rot="-10799999">
                            <a:off x="19177" y="211206"/>
                            <a:ext cx="50622" cy="142889"/>
                          </a:xfrm>
                          <a:prstGeom prst="rect">
                            <a:avLst/>
                          </a:prstGeom>
                          <a:ln>
                            <a:noFill/>
                          </a:ln>
                        </wps:spPr>
                        <wps:txbx>
                          <w:txbxContent>
                            <w:p w14:paraId="7FAE321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759" name="Rectangle 16759"/>
                        <wps:cNvSpPr/>
                        <wps:spPr>
                          <a:xfrm rot="-10799999">
                            <a:off x="2411006" y="87876"/>
                            <a:ext cx="1580769" cy="142889"/>
                          </a:xfrm>
                          <a:prstGeom prst="rect">
                            <a:avLst/>
                          </a:prstGeom>
                          <a:ln>
                            <a:noFill/>
                          </a:ln>
                        </wps:spPr>
                        <wps:txbx>
                          <w:txbxContent>
                            <w:p w14:paraId="6036C9AF" w14:textId="77777777" w:rsidR="00B32EF2" w:rsidRDefault="00000000">
                              <w:r>
                                <w:rPr>
                                  <w:rFonts w:ascii="Arial" w:eastAsia="Arial" w:hAnsi="Arial" w:cs="Arial"/>
                                  <w:sz w:val="18"/>
                                </w:rPr>
                                <w:t xml:space="preserve">lità o di nullità dell’atto; </w:t>
                              </w:r>
                            </w:p>
                          </w:txbxContent>
                        </wps:txbx>
                        <wps:bodyPr horzOverflow="overflow" vert="horz" lIns="0" tIns="0" rIns="0" bIns="0" rtlCol="0">
                          <a:noAutofit/>
                        </wps:bodyPr>
                      </wps:wsp>
                      <wps:wsp>
                        <wps:cNvPr id="16760" name="Rectangle 16760"/>
                        <wps:cNvSpPr/>
                        <wps:spPr>
                          <a:xfrm rot="-10799999">
                            <a:off x="2951600" y="-35453"/>
                            <a:ext cx="1040175" cy="142889"/>
                          </a:xfrm>
                          <a:prstGeom prst="rect">
                            <a:avLst/>
                          </a:prstGeom>
                          <a:ln>
                            <a:noFill/>
                          </a:ln>
                        </wps:spPr>
                        <wps:txbx>
                          <w:txbxContent>
                            <w:p w14:paraId="3AB17EDC" w14:textId="77777777" w:rsidR="00B32EF2" w:rsidRDefault="00000000">
                              <w:r>
                                <w:rPr>
                                  <w:rFonts w:ascii="Arial" w:eastAsia="Arial" w:hAnsi="Arial" w:cs="Arial"/>
                                  <w:sz w:val="18"/>
                                </w:rPr>
                                <w:t>e) il dispositivo.</w:t>
                              </w:r>
                            </w:p>
                          </w:txbxContent>
                        </wps:txbx>
                        <wps:bodyPr horzOverflow="overflow" vert="horz" lIns="0" tIns="0" rIns="0" bIns="0" rtlCol="0">
                          <a:noAutofit/>
                        </wps:bodyPr>
                      </wps:wsp>
                      <wps:wsp>
                        <wps:cNvPr id="207846" name="Shape 207846"/>
                        <wps:cNvSpPr/>
                        <wps:spPr>
                          <a:xfrm>
                            <a:off x="31756" y="2428155"/>
                            <a:ext cx="3960000" cy="2444306"/>
                          </a:xfrm>
                          <a:custGeom>
                            <a:avLst/>
                            <a:gdLst/>
                            <a:ahLst/>
                            <a:cxnLst/>
                            <a:rect l="0" t="0" r="0" b="0"/>
                            <a:pathLst>
                              <a:path w="3960000" h="2444306">
                                <a:moveTo>
                                  <a:pt x="0" y="0"/>
                                </a:moveTo>
                                <a:lnTo>
                                  <a:pt x="3960000" y="0"/>
                                </a:lnTo>
                                <a:lnTo>
                                  <a:pt x="3960000" y="2444306"/>
                                </a:lnTo>
                                <a:lnTo>
                                  <a:pt x="0" y="2444306"/>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6762" name="Rectangle 16762"/>
                        <wps:cNvSpPr/>
                        <wps:spPr>
                          <a:xfrm rot="-10799999">
                            <a:off x="2328741" y="4651223"/>
                            <a:ext cx="1585695" cy="142889"/>
                          </a:xfrm>
                          <a:prstGeom prst="rect">
                            <a:avLst/>
                          </a:prstGeom>
                          <a:ln>
                            <a:noFill/>
                          </a:ln>
                        </wps:spPr>
                        <wps:txbx>
                          <w:txbxContent>
                            <w:p w14:paraId="68C6CA8E"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6763" name="Rectangle 16763"/>
                        <wps:cNvSpPr/>
                        <wps:spPr>
                          <a:xfrm rot="-10799999">
                            <a:off x="1897645" y="4514063"/>
                            <a:ext cx="2016791" cy="142889"/>
                          </a:xfrm>
                          <a:prstGeom prst="rect">
                            <a:avLst/>
                          </a:prstGeom>
                          <a:ln>
                            <a:noFill/>
                          </a:ln>
                        </wps:spPr>
                        <wps:txbx>
                          <w:txbxContent>
                            <w:p w14:paraId="45A55280" w14:textId="77777777" w:rsidR="00B32EF2" w:rsidRDefault="00000000">
                              <w:r>
                                <w:rPr>
                                  <w:rFonts w:ascii="Arial" w:eastAsia="Arial" w:hAnsi="Arial" w:cs="Arial"/>
                                  <w:i/>
                                  <w:sz w:val="18"/>
                                </w:rPr>
                                <w:t>art. 276 c.p.c “Deliberazione.”</w:t>
                              </w:r>
                            </w:p>
                          </w:txbxContent>
                        </wps:txbx>
                        <wps:bodyPr horzOverflow="overflow" vert="horz" lIns="0" tIns="0" rIns="0" bIns="0" rtlCol="0">
                          <a:noAutofit/>
                        </wps:bodyPr>
                      </wps:wsp>
                      <wps:wsp>
                        <wps:cNvPr id="200698" name="Rectangle 200698"/>
                        <wps:cNvSpPr/>
                        <wps:spPr>
                          <a:xfrm rot="-10799999">
                            <a:off x="-1249030" y="4376904"/>
                            <a:ext cx="5109207" cy="142889"/>
                          </a:xfrm>
                          <a:prstGeom prst="rect">
                            <a:avLst/>
                          </a:prstGeom>
                          <a:ln>
                            <a:noFill/>
                          </a:ln>
                        </wps:spPr>
                        <wps:txbx>
                          <w:txbxContent>
                            <w:p w14:paraId="227D772F" w14:textId="77777777" w:rsidR="00B32EF2" w:rsidRDefault="00000000">
                              <w:r>
                                <w:rPr>
                                  <w:rFonts w:ascii="Arial" w:eastAsia="Arial" w:hAnsi="Arial" w:cs="Arial"/>
                                  <w:i/>
                                  <w:sz w:val="18"/>
                                </w:rPr>
                                <w:t xml:space="preserve">. La decisione è deliberata in segreto nella camera di consiglio. Ad essa </w:t>
                              </w:r>
                            </w:p>
                          </w:txbxContent>
                        </wps:txbx>
                        <wps:bodyPr horzOverflow="overflow" vert="horz" lIns="0" tIns="0" rIns="0" bIns="0" rtlCol="0">
                          <a:noAutofit/>
                        </wps:bodyPr>
                      </wps:wsp>
                      <wps:wsp>
                        <wps:cNvPr id="200697" name="Rectangle 200697"/>
                        <wps:cNvSpPr/>
                        <wps:spPr>
                          <a:xfrm rot="-10799999">
                            <a:off x="2582158" y="4376904"/>
                            <a:ext cx="5109207" cy="142889"/>
                          </a:xfrm>
                          <a:prstGeom prst="rect">
                            <a:avLst/>
                          </a:prstGeom>
                          <a:ln>
                            <a:noFill/>
                          </a:ln>
                        </wps:spPr>
                        <wps:txbx>
                          <w:txbxContent>
                            <w:p w14:paraId="5F7D5545"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16765" name="Rectangle 16765"/>
                        <wps:cNvSpPr/>
                        <wps:spPr>
                          <a:xfrm rot="-10799999">
                            <a:off x="-1145239" y="4239743"/>
                            <a:ext cx="5058646" cy="142889"/>
                          </a:xfrm>
                          <a:prstGeom prst="rect">
                            <a:avLst/>
                          </a:prstGeom>
                          <a:ln>
                            <a:noFill/>
                          </a:ln>
                        </wps:spPr>
                        <wps:txbx>
                          <w:txbxContent>
                            <w:p w14:paraId="52E1608D" w14:textId="77777777" w:rsidR="00B32EF2" w:rsidRDefault="00000000">
                              <w:r>
                                <w:rPr>
                                  <w:rFonts w:ascii="Arial" w:eastAsia="Arial" w:hAnsi="Arial" w:cs="Arial"/>
                                  <w:i/>
                                  <w:sz w:val="18"/>
                                </w:rPr>
                                <w:t>possono partecipare soltanto i giudici che hanno assistito alla discussione.</w:t>
                              </w:r>
                            </w:p>
                          </w:txbxContent>
                        </wps:txbx>
                        <wps:bodyPr horzOverflow="overflow" vert="horz" lIns="0" tIns="0" rIns="0" bIns="0" rtlCol="0">
                          <a:noAutofit/>
                        </wps:bodyPr>
                      </wps:wsp>
                      <wps:wsp>
                        <wps:cNvPr id="200695" name="Rectangle 200695"/>
                        <wps:cNvSpPr/>
                        <wps:spPr>
                          <a:xfrm rot="-10799999">
                            <a:off x="2608470" y="4102583"/>
                            <a:ext cx="5003159" cy="142889"/>
                          </a:xfrm>
                          <a:prstGeom prst="rect">
                            <a:avLst/>
                          </a:prstGeom>
                          <a:ln>
                            <a:noFill/>
                          </a:ln>
                        </wps:spPr>
                        <wps:txbx>
                          <w:txbxContent>
                            <w:p w14:paraId="1ADF2B12"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0696" name="Rectangle 200696"/>
                        <wps:cNvSpPr/>
                        <wps:spPr>
                          <a:xfrm rot="-10799999">
                            <a:off x="-1154480" y="4102583"/>
                            <a:ext cx="5003159" cy="142889"/>
                          </a:xfrm>
                          <a:prstGeom prst="rect">
                            <a:avLst/>
                          </a:prstGeom>
                          <a:ln>
                            <a:noFill/>
                          </a:ln>
                        </wps:spPr>
                        <wps:txbx>
                          <w:txbxContent>
                            <w:p w14:paraId="2AFD6DE7" w14:textId="77777777" w:rsidR="00B32EF2" w:rsidRDefault="00000000">
                              <w:r>
                                <w:rPr>
                                  <w:rFonts w:ascii="Arial" w:eastAsia="Arial" w:hAnsi="Arial" w:cs="Arial"/>
                                  <w:i/>
                                  <w:sz w:val="18"/>
                                </w:rPr>
                                <w:t>.Il collegio, sotto la direzione del presidente, decide gradatamente le que</w:t>
                              </w:r>
                            </w:p>
                          </w:txbxContent>
                        </wps:txbx>
                        <wps:bodyPr horzOverflow="overflow" vert="horz" lIns="0" tIns="0" rIns="0" bIns="0" rtlCol="0">
                          <a:noAutofit/>
                        </wps:bodyPr>
                      </wps:wsp>
                      <wps:wsp>
                        <wps:cNvPr id="16767" name="Rectangle 16767"/>
                        <wps:cNvSpPr/>
                        <wps:spPr>
                          <a:xfrm rot="-10799999">
                            <a:off x="97512" y="4102583"/>
                            <a:ext cx="50622" cy="142889"/>
                          </a:xfrm>
                          <a:prstGeom prst="rect">
                            <a:avLst/>
                          </a:prstGeom>
                          <a:ln>
                            <a:noFill/>
                          </a:ln>
                        </wps:spPr>
                        <wps:txbx>
                          <w:txbxContent>
                            <w:p w14:paraId="2FC2EAF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768" name="Rectangle 16768"/>
                        <wps:cNvSpPr/>
                        <wps:spPr>
                          <a:xfrm rot="-10799999">
                            <a:off x="-1187861" y="3965423"/>
                            <a:ext cx="5102640" cy="142889"/>
                          </a:xfrm>
                          <a:prstGeom prst="rect">
                            <a:avLst/>
                          </a:prstGeom>
                          <a:ln>
                            <a:noFill/>
                          </a:ln>
                        </wps:spPr>
                        <wps:txbx>
                          <w:txbxContent>
                            <w:p w14:paraId="79EC496A" w14:textId="77777777" w:rsidR="00B32EF2" w:rsidRDefault="00000000">
                              <w:r>
                                <w:rPr>
                                  <w:rFonts w:ascii="Arial" w:eastAsia="Arial" w:hAnsi="Arial" w:cs="Arial"/>
                                  <w:i/>
                                  <w:sz w:val="18"/>
                                </w:rPr>
                                <w:t xml:space="preserve">stioni pregiudiziali proposte dalle parti o rilevabili d’ufficio e quindi il merito </w:t>
                              </w:r>
                            </w:p>
                          </w:txbxContent>
                        </wps:txbx>
                        <wps:bodyPr horzOverflow="overflow" vert="horz" lIns="0" tIns="0" rIns="0" bIns="0" rtlCol="0">
                          <a:noAutofit/>
                        </wps:bodyPr>
                      </wps:wsp>
                      <wps:wsp>
                        <wps:cNvPr id="16769" name="Rectangle 16769"/>
                        <wps:cNvSpPr/>
                        <wps:spPr>
                          <a:xfrm rot="-10799999">
                            <a:off x="3093700" y="3828263"/>
                            <a:ext cx="820964" cy="142889"/>
                          </a:xfrm>
                          <a:prstGeom prst="rect">
                            <a:avLst/>
                          </a:prstGeom>
                          <a:ln>
                            <a:noFill/>
                          </a:ln>
                        </wps:spPr>
                        <wps:txbx>
                          <w:txbxContent>
                            <w:p w14:paraId="5F0D2059" w14:textId="77777777" w:rsidR="00B32EF2" w:rsidRDefault="00000000">
                              <w:r>
                                <w:rPr>
                                  <w:rFonts w:ascii="Arial" w:eastAsia="Arial" w:hAnsi="Arial" w:cs="Arial"/>
                                  <w:i/>
                                  <w:sz w:val="18"/>
                                </w:rPr>
                                <w:t>della causa.</w:t>
                              </w:r>
                            </w:p>
                          </w:txbxContent>
                        </wps:txbx>
                        <wps:bodyPr horzOverflow="overflow" vert="horz" lIns="0" tIns="0" rIns="0" bIns="0" rtlCol="0">
                          <a:noAutofit/>
                        </wps:bodyPr>
                      </wps:wsp>
                      <wps:wsp>
                        <wps:cNvPr id="200692" name="Rectangle 200692"/>
                        <wps:cNvSpPr/>
                        <wps:spPr>
                          <a:xfrm rot="-10799999">
                            <a:off x="2584549" y="3691102"/>
                            <a:ext cx="5099569" cy="142889"/>
                          </a:xfrm>
                          <a:prstGeom prst="rect">
                            <a:avLst/>
                          </a:prstGeom>
                          <a:ln>
                            <a:noFill/>
                          </a:ln>
                        </wps:spPr>
                        <wps:txbx>
                          <w:txbxContent>
                            <w:p w14:paraId="0C764DB0"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0694" name="Rectangle 200694"/>
                        <wps:cNvSpPr/>
                        <wps:spPr>
                          <a:xfrm rot="-10799999">
                            <a:off x="-1253861" y="3691102"/>
                            <a:ext cx="5099569" cy="142889"/>
                          </a:xfrm>
                          <a:prstGeom prst="rect">
                            <a:avLst/>
                          </a:prstGeom>
                          <a:ln>
                            <a:noFill/>
                          </a:ln>
                        </wps:spPr>
                        <wps:txbx>
                          <w:txbxContent>
                            <w:p w14:paraId="5A883166" w14:textId="77777777" w:rsidR="00B32EF2" w:rsidRDefault="00000000">
                              <w:r>
                                <w:rPr>
                                  <w:rFonts w:ascii="Arial" w:eastAsia="Arial" w:hAnsi="Arial" w:cs="Arial"/>
                                  <w:i/>
                                  <w:sz w:val="18"/>
                                </w:rPr>
                                <w:t xml:space="preserve">.La decisione è presa a maggioranza di voti. Il primo a votare è il relatore, </w:t>
                              </w:r>
                            </w:p>
                          </w:txbxContent>
                        </wps:txbx>
                        <wps:bodyPr horzOverflow="overflow" vert="horz" lIns="0" tIns="0" rIns="0" bIns="0" rtlCol="0">
                          <a:noAutofit/>
                        </wps:bodyPr>
                      </wps:wsp>
                      <wps:wsp>
                        <wps:cNvPr id="16771" name="Rectangle 16771"/>
                        <wps:cNvSpPr/>
                        <wps:spPr>
                          <a:xfrm rot="-10799999">
                            <a:off x="1106769" y="3553942"/>
                            <a:ext cx="2806636" cy="142889"/>
                          </a:xfrm>
                          <a:prstGeom prst="rect">
                            <a:avLst/>
                          </a:prstGeom>
                          <a:ln>
                            <a:noFill/>
                          </a:ln>
                        </wps:spPr>
                        <wps:txbx>
                          <w:txbxContent>
                            <w:p w14:paraId="53FBD9EE" w14:textId="77777777" w:rsidR="00B32EF2" w:rsidRDefault="00000000">
                              <w:r>
                                <w:rPr>
                                  <w:rFonts w:ascii="Arial" w:eastAsia="Arial" w:hAnsi="Arial" w:cs="Arial"/>
                                  <w:i/>
                                  <w:sz w:val="18"/>
                                </w:rPr>
                                <w:t>quindi l’altro giudice e infine il presidente.</w:t>
                              </w:r>
                            </w:p>
                          </w:txbxContent>
                        </wps:txbx>
                        <wps:bodyPr horzOverflow="overflow" vert="horz" lIns="0" tIns="0" rIns="0" bIns="0" rtlCol="0">
                          <a:noAutofit/>
                        </wps:bodyPr>
                      </wps:wsp>
                      <wps:wsp>
                        <wps:cNvPr id="200690" name="Rectangle 200690"/>
                        <wps:cNvSpPr/>
                        <wps:spPr>
                          <a:xfrm rot="-10799999">
                            <a:off x="2580676" y="3416783"/>
                            <a:ext cx="5115181" cy="142889"/>
                          </a:xfrm>
                          <a:prstGeom prst="rect">
                            <a:avLst/>
                          </a:prstGeom>
                          <a:ln>
                            <a:noFill/>
                          </a:ln>
                        </wps:spPr>
                        <wps:txbx>
                          <w:txbxContent>
                            <w:p w14:paraId="75067EDE"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200691" name="Rectangle 200691"/>
                        <wps:cNvSpPr/>
                        <wps:spPr>
                          <a:xfrm rot="-10799999">
                            <a:off x="-1256204" y="3416783"/>
                            <a:ext cx="5115181" cy="142889"/>
                          </a:xfrm>
                          <a:prstGeom prst="rect">
                            <a:avLst/>
                          </a:prstGeom>
                          <a:ln>
                            <a:noFill/>
                          </a:ln>
                        </wps:spPr>
                        <wps:txbx>
                          <w:txbxContent>
                            <w:p w14:paraId="0713ABE1" w14:textId="77777777" w:rsidR="00B32EF2" w:rsidRDefault="00000000">
                              <w:r>
                                <w:rPr>
                                  <w:rFonts w:ascii="Arial" w:eastAsia="Arial" w:hAnsi="Arial" w:cs="Arial"/>
                                  <w:i/>
                                  <w:sz w:val="18"/>
                                </w:rPr>
                                <w:t xml:space="preserve">.Se intorno a una questione si prospettano più soluzioni e non si forma </w:t>
                              </w:r>
                            </w:p>
                          </w:txbxContent>
                        </wps:txbx>
                        <wps:bodyPr horzOverflow="overflow" vert="horz" lIns="0" tIns="0" rIns="0" bIns="0" rtlCol="0">
                          <a:noAutofit/>
                        </wps:bodyPr>
                      </wps:wsp>
                      <wps:wsp>
                        <wps:cNvPr id="16773" name="Rectangle 16773"/>
                        <wps:cNvSpPr/>
                        <wps:spPr>
                          <a:xfrm rot="-10799999">
                            <a:off x="-1190484" y="3279623"/>
                            <a:ext cx="5114406" cy="142889"/>
                          </a:xfrm>
                          <a:prstGeom prst="rect">
                            <a:avLst/>
                          </a:prstGeom>
                          <a:ln>
                            <a:noFill/>
                          </a:ln>
                        </wps:spPr>
                        <wps:txbx>
                          <w:txbxContent>
                            <w:p w14:paraId="0702D77A" w14:textId="77777777" w:rsidR="00B32EF2" w:rsidRDefault="00000000">
                              <w:r>
                                <w:rPr>
                                  <w:rFonts w:ascii="Arial" w:eastAsia="Arial" w:hAnsi="Arial" w:cs="Arial"/>
                                  <w:i/>
                                  <w:sz w:val="18"/>
                                </w:rPr>
                                <w:t xml:space="preserve">la maggioranza alla prima votazione, il presidente mette ai voti due delle </w:t>
                              </w:r>
                            </w:p>
                          </w:txbxContent>
                        </wps:txbx>
                        <wps:bodyPr horzOverflow="overflow" vert="horz" lIns="0" tIns="0" rIns="0" bIns="0" rtlCol="0">
                          <a:noAutofit/>
                        </wps:bodyPr>
                      </wps:wsp>
                      <wps:wsp>
                        <wps:cNvPr id="16774" name="Rectangle 16774"/>
                        <wps:cNvSpPr/>
                        <wps:spPr>
                          <a:xfrm rot="-10799999">
                            <a:off x="-1189644" y="3142463"/>
                            <a:ext cx="5108994" cy="142889"/>
                          </a:xfrm>
                          <a:prstGeom prst="rect">
                            <a:avLst/>
                          </a:prstGeom>
                          <a:ln>
                            <a:noFill/>
                          </a:ln>
                        </wps:spPr>
                        <wps:txbx>
                          <w:txbxContent>
                            <w:p w14:paraId="109ECD8E" w14:textId="77777777" w:rsidR="00B32EF2" w:rsidRDefault="00000000">
                              <w:r>
                                <w:rPr>
                                  <w:rFonts w:ascii="Arial" w:eastAsia="Arial" w:hAnsi="Arial" w:cs="Arial"/>
                                  <w:i/>
                                  <w:sz w:val="18"/>
                                </w:rPr>
                                <w:t xml:space="preserve">soluzioni per escluderne una; quindi, mette ai voti la non esclusa e quella </w:t>
                              </w:r>
                            </w:p>
                          </w:txbxContent>
                        </wps:txbx>
                        <wps:bodyPr horzOverflow="overflow" vert="horz" lIns="0" tIns="0" rIns="0" bIns="0" rtlCol="0">
                          <a:noAutofit/>
                        </wps:bodyPr>
                      </wps:wsp>
                      <wps:wsp>
                        <wps:cNvPr id="16775" name="Rectangle 16775"/>
                        <wps:cNvSpPr/>
                        <wps:spPr>
                          <a:xfrm rot="-10799999">
                            <a:off x="-1187256" y="3005304"/>
                            <a:ext cx="5100663" cy="142889"/>
                          </a:xfrm>
                          <a:prstGeom prst="rect">
                            <a:avLst/>
                          </a:prstGeom>
                          <a:ln>
                            <a:noFill/>
                          </a:ln>
                        </wps:spPr>
                        <wps:txbx>
                          <w:txbxContent>
                            <w:p w14:paraId="3D558B22" w14:textId="77777777" w:rsidR="00B32EF2" w:rsidRDefault="00000000">
                              <w:r>
                                <w:rPr>
                                  <w:rFonts w:ascii="Arial" w:eastAsia="Arial" w:hAnsi="Arial" w:cs="Arial"/>
                                  <w:i/>
                                  <w:sz w:val="18"/>
                                </w:rPr>
                                <w:t xml:space="preserve">eventualmente restante, e così successivamente finché le soluzioni siano </w:t>
                              </w:r>
                            </w:p>
                          </w:txbxContent>
                        </wps:txbx>
                        <wps:bodyPr horzOverflow="overflow" vert="horz" lIns="0" tIns="0" rIns="0" bIns="0" rtlCol="0">
                          <a:noAutofit/>
                        </wps:bodyPr>
                      </wps:wsp>
                      <wps:wsp>
                        <wps:cNvPr id="16776" name="Rectangle 16776"/>
                        <wps:cNvSpPr/>
                        <wps:spPr>
                          <a:xfrm rot="-10799999">
                            <a:off x="161820" y="2868144"/>
                            <a:ext cx="3751586" cy="142889"/>
                          </a:xfrm>
                          <a:prstGeom prst="rect">
                            <a:avLst/>
                          </a:prstGeom>
                          <a:ln>
                            <a:noFill/>
                          </a:ln>
                        </wps:spPr>
                        <wps:txbx>
                          <w:txbxContent>
                            <w:p w14:paraId="1F3A1761" w14:textId="77777777" w:rsidR="00B32EF2" w:rsidRDefault="00000000">
                              <w:r>
                                <w:rPr>
                                  <w:rFonts w:ascii="Arial" w:eastAsia="Arial" w:hAnsi="Arial" w:cs="Arial"/>
                                  <w:i/>
                                  <w:sz w:val="18"/>
                                </w:rPr>
                                <w:t>ridotte a due, sulle quali avviene la votazione definitiva.</w:t>
                              </w:r>
                            </w:p>
                          </w:txbxContent>
                        </wps:txbx>
                        <wps:bodyPr horzOverflow="overflow" vert="horz" lIns="0" tIns="0" rIns="0" bIns="0" rtlCol="0">
                          <a:noAutofit/>
                        </wps:bodyPr>
                      </wps:wsp>
                      <wps:wsp>
                        <wps:cNvPr id="200689" name="Rectangle 200689"/>
                        <wps:cNvSpPr/>
                        <wps:spPr>
                          <a:xfrm rot="-10799999">
                            <a:off x="-1258247" y="2730984"/>
                            <a:ext cx="5119271" cy="142889"/>
                          </a:xfrm>
                          <a:prstGeom prst="rect">
                            <a:avLst/>
                          </a:prstGeom>
                          <a:ln>
                            <a:noFill/>
                          </a:ln>
                        </wps:spPr>
                        <wps:txbx>
                          <w:txbxContent>
                            <w:p w14:paraId="13CD8824" w14:textId="77777777" w:rsidR="00B32EF2" w:rsidRDefault="00000000">
                              <w:r>
                                <w:rPr>
                                  <w:rFonts w:ascii="Arial" w:eastAsia="Arial" w:hAnsi="Arial" w:cs="Arial"/>
                                  <w:i/>
                                  <w:sz w:val="18"/>
                                </w:rPr>
                                <w:t xml:space="preserve">.Chiusa la votazione, il presidente scrive e sottoscrive il dispositivo. La </w:t>
                              </w:r>
                            </w:p>
                          </w:txbxContent>
                        </wps:txbx>
                        <wps:bodyPr horzOverflow="overflow" vert="horz" lIns="0" tIns="0" rIns="0" bIns="0" rtlCol="0">
                          <a:noAutofit/>
                        </wps:bodyPr>
                      </wps:wsp>
                      <wps:wsp>
                        <wps:cNvPr id="200688" name="Rectangle 200688"/>
                        <wps:cNvSpPr/>
                        <wps:spPr>
                          <a:xfrm rot="-10799999">
                            <a:off x="2579661" y="2730984"/>
                            <a:ext cx="5119271" cy="142889"/>
                          </a:xfrm>
                          <a:prstGeom prst="rect">
                            <a:avLst/>
                          </a:prstGeom>
                          <a:ln>
                            <a:noFill/>
                          </a:ln>
                        </wps:spPr>
                        <wps:txbx>
                          <w:txbxContent>
                            <w:p w14:paraId="63A1E705"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16778" name="Rectangle 16778"/>
                        <wps:cNvSpPr/>
                        <wps:spPr>
                          <a:xfrm rot="-10799999">
                            <a:off x="-1185933" y="2593824"/>
                            <a:ext cx="5096711" cy="142889"/>
                          </a:xfrm>
                          <a:prstGeom prst="rect">
                            <a:avLst/>
                          </a:prstGeom>
                          <a:ln>
                            <a:noFill/>
                          </a:ln>
                        </wps:spPr>
                        <wps:txbx>
                          <w:txbxContent>
                            <w:p w14:paraId="134CDAF7" w14:textId="77777777" w:rsidR="00B32EF2" w:rsidRDefault="00000000">
                              <w:r>
                                <w:rPr>
                                  <w:rFonts w:ascii="Arial" w:eastAsia="Arial" w:hAnsi="Arial" w:cs="Arial"/>
                                  <w:i/>
                                  <w:sz w:val="18"/>
                                </w:rPr>
                                <w:t xml:space="preserve">motivazione è quindi stesa dal relatore, a meno che il presidente non creda </w:t>
                              </w:r>
                            </w:p>
                          </w:txbxContent>
                        </wps:txbx>
                        <wps:bodyPr horzOverflow="overflow" vert="horz" lIns="0" tIns="0" rIns="0" bIns="0" rtlCol="0">
                          <a:noAutofit/>
                        </wps:bodyPr>
                      </wps:wsp>
                      <wps:wsp>
                        <wps:cNvPr id="16779" name="Rectangle 16779"/>
                        <wps:cNvSpPr/>
                        <wps:spPr>
                          <a:xfrm rot="-10799999">
                            <a:off x="517590" y="2456664"/>
                            <a:ext cx="3395816" cy="142889"/>
                          </a:xfrm>
                          <a:prstGeom prst="rect">
                            <a:avLst/>
                          </a:prstGeom>
                          <a:ln>
                            <a:noFill/>
                          </a:ln>
                        </wps:spPr>
                        <wps:txbx>
                          <w:txbxContent>
                            <w:p w14:paraId="6B8E1A45" w14:textId="77777777" w:rsidR="00B32EF2" w:rsidRDefault="00000000">
                              <w:r>
                                <w:rPr>
                                  <w:rFonts w:ascii="Arial" w:eastAsia="Arial" w:hAnsi="Arial" w:cs="Arial"/>
                                  <w:i/>
                                  <w:sz w:val="18"/>
                                </w:rPr>
                                <w:t>di stenderla egli stesso o affidarla all’altro giudice.</w:t>
                              </w:r>
                            </w:p>
                          </w:txbxContent>
                        </wps:txbx>
                        <wps:bodyPr horzOverflow="overflow" vert="horz" lIns="0" tIns="0" rIns="0" bIns="0" rtlCol="0">
                          <a:noAutofit/>
                        </wps:bodyPr>
                      </wps:wsp>
                      <wps:wsp>
                        <wps:cNvPr id="16780" name="Shape 16780"/>
                        <wps:cNvSpPr/>
                        <wps:spPr>
                          <a:xfrm>
                            <a:off x="31755" y="2428159"/>
                            <a:ext cx="3960000" cy="2444306"/>
                          </a:xfrm>
                          <a:custGeom>
                            <a:avLst/>
                            <a:gdLst/>
                            <a:ahLst/>
                            <a:cxnLst/>
                            <a:rect l="0" t="0" r="0" b="0"/>
                            <a:pathLst>
                              <a:path w="3960000" h="2444306">
                                <a:moveTo>
                                  <a:pt x="0" y="2444306"/>
                                </a:moveTo>
                                <a:lnTo>
                                  <a:pt x="3960000" y="2444306"/>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6D2B597" id="Group 200766" o:spid="_x0000_s2786" style="width:314.3pt;height:456.45pt;mso-position-horizontal-relative:char;mso-position-vertical-relative:line" coordsize="39917,57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7h8mgsAAPB6AAAOAAAAZHJzL2Uyb0RvYy54bWzkXWtv2zgW/b7A/gfD393wKVFB08Gis1Ms&#10;sNgZzOMHKI4dG5AtQ3abdH/9nktKtC0zaVfCht5hCyQKLdESD8998fLq/Q/Pm2ryZdHs1/X2bsrf&#10;selksZ3XD+vt4930j99/mpnpZH8otw9lVW8Xd9Ovi/30hw9//cv7p93tQtSrunpYNBN0st3fPu3u&#10;pqvDYXd7c7Ofrxabcv+u3i22+HBZN5vygD+bx5uHpnxC75vqRjCW3TzVzcOuqeeL/R6tP7oPpx9s&#10;/8vlYn74ebncLw6T6m6KezvYn439eU8/bz68L28fm3K3Ws/b2ygH3MWmXG/xpb6rH8tDOfncrC+6&#10;2qznTb2vl4d383pzUy+X6/nCPgOehrPe03xq6s87+yyPt0+POz9MGNreOA3udv6vL5+a3W+7XxqM&#10;xNPuEWNh/6JneV42G/qNu5w82yH76ods8XyYzNEoi4LnuZ5O5vhM50VmuHSDOl9h5C+um6/+/o0r&#10;b7ovvjm7nacdJsj+OAb7cWPw26rcLezQ7m8xBr80k/UD5m+WSzzLttxgqv6KyVNuH6vFxDXbAbJn&#10;++Ha3+4xct1YTZoa82vGWV7QPzsf2rGbaaa4LqYTGqVMy0K0o9SNo1KFLnjmxpErYQo7N/1glLe7&#10;Zn/4tKg3Ezq4mza4O/sN5Zd/7g+4N5zanUI3VG3p57b+aV1V7lNqwZh290xHh+f75/bBDSfYqPG+&#10;fviK8VjVzb9/BrOXVf10N63boymRHV9Pn04n1T+2wIF41R003cF9d9Acqo+1ZZ+7ob99PtTLtb3j&#10;47e1dwaA3T38z5GG7Mg5v4S6bR+FNZeGG4Z5RGBryXTRAxttBWTXCdh28N8QbJEe2JilfV5bsC3P&#10;aCZCDPz3xBYZZ4VU14y1nXxHqv3JiU2yOr+E2jWPoTUXSmUCIoNYrVguMu0UXSfCRa5yLk9YbQo6&#10;4Q1ZrZJjNUnZEKvRPgZrx2qYroS1MLKAVYD+ytsOa0hwUwBfa/aQun5zrP0DJqOuGYY7iLWl2WAJ&#10;PiN1nWvw9lWwYY/FAzvrZnM6YEOlBsH2Mm6Qup5xzbKss814xui4z+yCRZXieXpgyxfA9qbLILCF&#10;Mhp4O2JfJ9YmKaxhhKmAGe6ax+hrzpVutTWTucitvDxqa1kYJuCQxxPgXkWlI8DFC5z2rucgTs+M&#10;KoxB31DWqmBFkfWw1kJwSQ4ZBaQ4LxiCU5hab2eFu8BNMv4W+dAsQOq2fQyrhYZZLR2vrxTr9IJm&#10;7IWgGdrHYD1TWWakuWqwveRKQoiTVg7IcNc8BmrBhXZhFJCaMdEuwnSutRLwvuOpaherTUZ8E5wB&#10;69s1j0GZg9DaoGuoYcEyzoE5+jsaZQY+N+/0dIQISuE9yWToHPCpCWg/EIMsMnhY8KktzryQuUGI&#10;9AxnURiZ5QjJWoMsBtBphcoI0UBU1DWPYrSGpdfGybjOciOtQjxhNINpHlN0Jxcmy0xgqQOWN7WP&#10;gppnXLdrHVwppVkPal4oJUm6RyO1f8AkpLfFFEI2EBLNjJ/2g+T3DAtZInMe9StYx9TUaUXJLNYB&#10;Cd62j+G1oH/kwVFsxPK6l5kQn9dpRcpIKwdEuGseg3Re5JyBswS0FJznF0ALVnCwPpIAp5hR+3zp&#10;CPCAO21J7QMLgwS4XaxWLnKCgGdu4NBhaI92mU03EjGx9rGhdLAO+FoW63HOFhar80wJl0j4Ctjx&#10;rPDcmYpJBVACiQkkwb0qG0hrZSCjnQhn8OkQLDmjNZdKYgUkogj3y7PJ0DoPQE20RvsYbS1lAVbD&#10;EIC6LjTnpge14EpKstuiaWsvtpKB2oQXtTK0j4FawDen+EyHdE9Xx0c6rWiZ1ckgVtCx9mbLIAHO&#10;sRUio+0EHdRXR2ofOEiC1FDJtO7UR9o1j6E0jDKeC+kSjYzIje4hfZHv/8bZojlLK1pGkAZ8Ldc8&#10;BmkJXyvHgiVROmdKix7QuWQ2Qh5NTacVKSNAw4uXaB6Ds4bkdtaYNvCyeimislBMRTW8vbWZjOAO&#10;uNOEvjdLB2loIQoBGls6K52b/o4OnhXIH4todnNvayYDdCDwTUB7q3QQ0DMuhMzbVDJkB+qL/RyC&#10;a3KwozlY2IvYCqxkkA4sZxHS3igdhDSn7ciW0EGYWRYzDop4e2oghxc3tLdHB4FMdGYaWd5kh2Fx&#10;A/lFNLAnEW/kmEky9mMZYm4TfEpBUMq/D7lW3iIdhPSRzkGYI9PZWx/JyOxA+JNktrdHB4EsFOd2&#10;OzzYbHLT373BtWF5FjHOzb3xkQrOWSD2CZzRPMarEghtZ7RXADjPpIYVdi61sWDNsBMzotT2tkcS&#10;QAuGtWJvhdmKKJO27Zswk7Zta5sg+NVmBQpkd8KOPkcVSxvI8gbqpIuxh15Jp61PduTMP7vSJtRp&#10;V84EpXQeXGETtK26o/nztjukAiivVvXZlQe6jjqlwwmqmPh7WR1vhT7foLzJ77U989ArWYPbPH5a&#10;bU/P8r3hwSwzcG53Rvd7Z/s7PfN8CLrzut/ufMeR7z/z/NtxG/TAdtOTHwQ0ng5ztaXxIFRKVF1a&#10;VqUrJrNZH1COqVpvkDYC19gladjHaiu0uHo3ZNjsD1+rBQ1Ztf11sUQVGVsiiBr2zeP9x6qZfCmp&#10;7Iv95yrVVLtV2bbSHEG/7an22PZD1y9RssZ3ye2lZ11+lPS/7aE9ma5b2HpP/krmrpy3d+OKPqF0&#10;Eh66K/2EO/AX2W+utwd//RYFq+yXnDzt0aKj+6e/3q5kDQngcFQTzd8k7CvFiYQUWJOCtYx5rDJN&#10;vjL1dzSnoYF1hihYPHPa+wtJCGZCOhzXRPMYpLkpkD7ilqQooYC5/o5IIzkQa9kxHSfvLySBNC0/&#10;FgHPqW0fgzWcZOyvalelFNKGCkQ6z2itUboI+j4irb3fkA7YgYCIBdtLuGEulMa+m3YL/HVijVWz&#10;djYngTWJ8HAo2y0ykOkwCOkZ1ToQEu4waWsc0P69c1ozbTKy62MFv9wOsKOp9CevOGbpG8C6bR8j&#10;w0XGjMqdN6A4w4b4C6yZtHUlo2HtTc8kaG0x9S7zsUJo2z4GaxBbK0VZZ0Ts6wTbW59JgE0yPKCu&#10;XfMYqAskIsGTexnnqKtULqklGfFNcAYscNc8BmUQGtFsqmUAoBEB0tDWPU0NlmdUESma9E4vsh1e&#10;wcDywhioUc9X2io4hLQRRvT9asrkzyKmF4jUIttwqwOxMqumvcUyyP6GDaY0tnZYUmcFVq5sf8cQ&#10;ikZRKkTLIpLau5JJaGmLaSA9rG0fQ2uEULT0Evw6wU4rXgatTPl4gUQDNI+BGjyGHdDSGkXbC9Q+&#10;Qn9HWguDwqER64Lm2PTXPmA6tIZp1Ifa0trHkoaKcALbiXCFKXXhVVO1ooiVTJBGnh7WAVpbrMfx&#10;mkR4JtocX3mdYPsnTILYJMLDi1uuRsGYyCiWOLB10ppmAu+iufS3UPTi9L0bb70Px1VMSsm1zgOW&#10;Gc0Anzo3SIKTaw1/qoUa9fdV3+HC2pYpUOItmmstk4uVUeZWX1sT1D7GMBjqHDLcsRrbq2RgGZNM&#10;s4hQ+8mcjAAPhMAJah9lGAQ1io4hTmKBFgYvEnOFCY8muETYFEtbEYH2UzkJoMn8onec9Endto9x&#10;t8gsM4JKHyFiJmDvFv2SB6iCgM1ZETNR4Oul5m9R+eUg2D7IMIjXgt4L2MbBrxTrtEJmJKoDULvm&#10;cbTmBm+7gy4mWuMIHD8PoyA6mtkX78Va8sAmwJRoTZgGRLhrHgO1RtY3vROJgFY6y7C6ge5OlLUs&#10;sHc6prJOK14GRI8Va1wuv2v6JsiE2kkqv8sOdan8dghPMP2/TeU/T6X/noT+8yu69Pzu92Va/3kK&#10;/nEjwGlCf/+ceVXvF8AHaejfmbBvk/JhAL+YtO+y7V2fgRe+hpL2Axn2bdJ+1w1S4mmSnOXlt9n1&#10;w1L9ryJp375fGK9VtuPfvgKa3tt8+rdN8j++qPrDfwAAAP//AwBQSwMEFAAGAAgAAAAhAN131uXd&#10;AAAABQEAAA8AAABkcnMvZG93bnJldi54bWxMj0FLw0AQhe+C/2GZgje7ScTQptmUUtRTEWwF8TbN&#10;TpPQ7GzIbpP037t6qZeBx3u8902+nkwrBupdY1lBPI9AEJdWN1wp+Dy8Pi5AOI+ssbVMCq7kYF3c&#10;3+WYaTvyBw17X4lQwi5DBbX3XSalK2sy6Oa2Iw7eyfYGfZB9JXWPYyg3rUyiKJUGGw4LNXa0rak8&#10;7y9GwduI4+Ypfhl259P2+n14fv/axaTUw2zarEB4mvwtDL/4AR2KwHS0F9ZOtArCI/7vBi9NFimI&#10;o4JlnCxBFrn8T1/8AAAA//8DAFBLAQItABQABgAIAAAAIQC2gziS/gAAAOEBAAATAAAAAAAAAAAA&#10;AAAAAAAAAABbQ29udGVudF9UeXBlc10ueG1sUEsBAi0AFAAGAAgAAAAhADj9If/WAAAAlAEAAAsA&#10;AAAAAAAAAAAAAAAALwEAAF9yZWxzLy5yZWxzUEsBAi0AFAAGAAgAAAAhAGUzuHyaCwAA8HoAAA4A&#10;AAAAAAAAAAAAAAAALgIAAGRycy9lMm9Eb2MueG1sUEsBAi0AFAAGAAgAAAAhAN131uXdAAAABQEA&#10;AA8AAAAAAAAAAAAAAAAA9A0AAGRycy9kb3ducmV2LnhtbFBLBQYAAAAABAAEAPMAAAD+DgAAAAA=&#10;">
                <v:rect id="Rectangle 16735" o:spid="_x0000_s2787" style="position:absolute;left:-5041;top:56539;width:449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qS+xQAAAN4AAAAPAAAAZHJzL2Rvd25yZXYueG1sRE9La8JA&#10;EL4L/odlBG+6aYsPoqsUi5hDL/UBHofsmMRmZ5fsamJ/fbdQ8DYf33OW687U4k6NrywreBknIIhz&#10;qysuFBwP29EchA/IGmvLpOBBHtarfm+JqbYtf9F9HwoRQ9inqKAMwaVS+rwkg35sHXHkLrYxGCJs&#10;CqkbbGO4qeVrkkylwYpjQ4mONiXl3/ubUXD+YJdtW5lffjbu85rN693teFJqOOjeFyACdeEp/ndn&#10;Os6fzt4m8PdOvEGufgEAAP//AwBQSwECLQAUAAYACAAAACEA2+H2y+4AAACFAQAAEwAAAAAAAAAA&#10;AAAAAAAAAAAAW0NvbnRlbnRfVHlwZXNdLnhtbFBLAQItABQABgAIAAAAIQBa9CxbvwAAABUBAAAL&#10;AAAAAAAAAAAAAAAAAB8BAABfcmVscy8ucmVsc1BLAQItABQABgAIAAAAIQBJaqS+xQAAAN4AAAAP&#10;AAAAAAAAAAAAAAAAAAcCAABkcnMvZG93bnJldi54bWxQSwUGAAAAAAMAAwC3AAAA+QIAAAAA&#10;" filled="f" stroked="f">
                  <v:textbox inset="0,0,0,0">
                    <w:txbxContent>
                      <w:p w14:paraId="0F59AB6D" w14:textId="77777777" w:rsidR="00B32EF2" w:rsidRDefault="00000000">
                        <w:r>
                          <w:rPr>
                            <w:rFonts w:ascii="Arial" w:eastAsia="Arial" w:hAnsi="Arial" w:cs="Arial"/>
                            <w:sz w:val="18"/>
                          </w:rPr>
                          <w:t xml:space="preserve">costituite entro il termine perentorio dei successivi sette giorni. (1) </w:t>
                        </w:r>
                      </w:p>
                    </w:txbxContent>
                  </v:textbox>
                </v:rect>
                <v:rect id="Rectangle 200711" o:spid="_x0000_s2788" style="position:absolute;left:-13818;top:5530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T9UxwAAAN8AAAAPAAAAZHJzL2Rvd25yZXYueG1sRI/NasMw&#10;EITvhb6D2EBujewe0uBGCSHF1Idemh/ocbE2thNrJSw5dvP0UaGQ4zAz3zDL9WhacaXON5YVpLME&#10;BHFpdcOVgsM+f1mA8AFZY2uZFPySh/Xq+WmJmbYDf9N1FyoRIewzVFCH4DIpfVmTQT+zjjh6J9sZ&#10;DFF2ldQdDhFuWvmaJHNpsOG4UKOjbU3lZdcbBT8f7Ip8kOXptnVf52LRfvaHo1LTybh5BxFoDI/w&#10;f7vQCiLxLU3h70/8AnJ1BwAA//8DAFBLAQItABQABgAIAAAAIQDb4fbL7gAAAIUBAAATAAAAAAAA&#10;AAAAAAAAAAAAAABbQ29udGVudF9UeXBlc10ueG1sUEsBAi0AFAAGAAgAAAAhAFr0LFu/AAAAFQEA&#10;AAsAAAAAAAAAAAAAAAAAHwEAAF9yZWxzLy5yZWxzUEsBAi0AFAAGAAgAAAAhAHVRP1THAAAA3wAA&#10;AA8AAAAAAAAAAAAAAAAABwIAAGRycy9kb3ducmV2LnhtbFBLBQYAAAAAAwADALcAAAD7AgAAAAA=&#10;" filled="f" stroked="f">
                  <v:textbox inset="0,0,0,0">
                    <w:txbxContent>
                      <w:p w14:paraId="1CD12D76" w14:textId="77777777" w:rsidR="00B32EF2" w:rsidRDefault="00000000">
                        <w:r>
                          <w:rPr>
                            <w:rFonts w:ascii="Arial" w:eastAsia="Arial" w:hAnsi="Arial" w:cs="Arial"/>
                            <w:sz w:val="18"/>
                          </w:rPr>
                          <w:t xml:space="preserve">. Quando ne ricorrono i motivi la deliberazione in camera di consiglio può </w:t>
                        </w:r>
                      </w:p>
                    </w:txbxContent>
                  </v:textbox>
                </v:rect>
                <v:rect id="Rectangle 200710" o:spid="_x0000_s2789" style="position:absolute;left:26109;top:5530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ZrPxgAAAN8AAAAPAAAAZHJzL2Rvd25yZXYueG1sRI9Ba8JA&#10;EIXvhf6HZQre6sYeVFJXEYuYQy9VCz0O2TFJzc4u2dXE/vrOQfA4vHnf41usBteqK3Wx8WxgMs5A&#10;EZfeNlwZOB62r3NQMSFbbD2TgRtFWC2fnxaYW9/zF133qVIC4ZijgTqlkGsdy5ocxrEPxJKdfOcw&#10;ydlV2nbYC9y1+i3Lptphw7JQY6BNTeV5f3EGfj44FNtel6e/Tfj8Lebt7nL8Nmb0MqzfQSUa0uP5&#10;3i6sASHOJmIgPuICevkPAAD//wMAUEsBAi0AFAAGAAgAAAAhANvh9svuAAAAhQEAABMAAAAAAAAA&#10;AAAAAAAAAAAAAFtDb250ZW50X1R5cGVzXS54bWxQSwECLQAUAAYACAAAACEAWvQsW78AAAAVAQAA&#10;CwAAAAAAAAAAAAAAAAAfAQAAX3JlbHMvLnJlbHNQSwECLQAUAAYACAAAACEAGh2az8YAAADfAAAA&#10;DwAAAAAAAAAAAAAAAAAHAgAAZHJzL2Rvd25yZXYueG1sUEsFBgAAAAADAAMAtwAAAPoCAAAAAA==&#10;" filled="f" stroked="f">
                  <v:textbox inset="0,0,0,0">
                    <w:txbxContent>
                      <w:p w14:paraId="1A10A60A" w14:textId="77777777" w:rsidR="00B32EF2" w:rsidRDefault="00000000">
                        <w:r>
                          <w:rPr>
                            <w:rFonts w:ascii="Arial" w:eastAsia="Arial" w:hAnsi="Arial" w:cs="Arial"/>
                            <w:sz w:val="18"/>
                          </w:rPr>
                          <w:t>2</w:t>
                        </w:r>
                      </w:p>
                    </w:txbxContent>
                  </v:textbox>
                </v:rect>
                <v:rect id="Rectangle 16737" o:spid="_x0000_s2790" style="position:absolute;left:12446;top:54072;width:274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J9SxAAAAN4AAAAPAAAAZHJzL2Rvd25yZXYueG1sRE9Ni8Iw&#10;EL0L/ocwgjdNdUGlaxRRZHvwsq4Lexyasa02k9BEW/31m4UFb/N4n7Ncd6YWd2p8ZVnBZJyAIM6t&#10;rrhQcPrajxYgfEDWWFsmBQ/ysF71e0tMtW35k+7HUIgYwj5FBWUILpXS5yUZ9GPriCN3to3BEGFT&#10;SN1gG8NNLadJMpMGK44NJTralpRfjzej4GfHLtu3Mj8/t+5wyRb1x+30rdRw0G3eQQTqwkv87850&#10;nD+bv83h7514g1z9AgAA//8DAFBLAQItABQABgAIAAAAIQDb4fbL7gAAAIUBAAATAAAAAAAAAAAA&#10;AAAAAAAAAABbQ29udGVudF9UeXBlc10ueG1sUEsBAi0AFAAGAAgAAAAhAFr0LFu/AAAAFQEAAAsA&#10;AAAAAAAAAAAAAAAAHwEAAF9yZWxzLy5yZWxzUEsBAi0AFAAGAAgAAAAhANb0n1LEAAAA3gAAAA8A&#10;AAAAAAAAAAAAAAAABwIAAGRycy9kb3ducmV2LnhtbFBLBQYAAAAAAwADALcAAAD4AgAAAAA=&#10;" filled="f" stroked="f">
                  <v:textbox inset="0,0,0,0">
                    <w:txbxContent>
                      <w:p w14:paraId="277454F3" w14:textId="77777777" w:rsidR="00B32EF2" w:rsidRDefault="00000000">
                        <w:r>
                          <w:rPr>
                            <w:rFonts w:ascii="Arial" w:eastAsia="Arial" w:hAnsi="Arial" w:cs="Arial"/>
                            <w:sz w:val="18"/>
                          </w:rPr>
                          <w:t xml:space="preserve">essere rinviata di non oltre trenta giorni. </w:t>
                        </w:r>
                      </w:p>
                    </w:txbxContent>
                  </v:textbox>
                </v:rect>
                <v:rect id="Rectangle 200705" o:spid="_x0000_s2791" style="position:absolute;left:26109;top:5283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6+KxgAAAN8AAAAPAAAAZHJzL2Rvd25yZXYueG1sRI9Pi8Iw&#10;FMTvgt8hPMGbpgrrStcoosj24GX9A3t8NM+2u81LaKKtfnqzsOBxmJnfMItVZ2pxo8ZXlhVMxgkI&#10;4tzqigsFp+NuNAfhA7LG2jIpuJOH1bLfW2CqbctfdDuEQkQI+xQVlCG4VEqfl2TQj60jjt7FNgZD&#10;lE0hdYNthJtaTpNkJg1WHBdKdLQpKf89XI2C7y27bNfK/PLYuP1PNq8/r6ezUsNBt/4AEagLr/B/&#10;O9MKIvE9eYO/P/ELyOUTAAD//wMAUEsBAi0AFAAGAAgAAAAhANvh9svuAAAAhQEAABMAAAAAAAAA&#10;AAAAAAAAAAAAAFtDb250ZW50X1R5cGVzXS54bWxQSwECLQAUAAYACAAAACEAWvQsW78AAAAVAQAA&#10;CwAAAAAAAAAAAAAAAAAfAQAAX3JlbHMvLnJlbHNQSwECLQAUAAYACAAAACEAj7OvisYAAADfAAAA&#10;DwAAAAAAAAAAAAAAAAAHAgAAZHJzL2Rvd25yZXYueG1sUEsFBgAAAAADAAMAtwAAAPoCAAAAAA==&#10;" filled="f" stroked="f">
                  <v:textbox inset="0,0,0,0">
                    <w:txbxContent>
                      <w:p w14:paraId="4F4473CD" w14:textId="77777777" w:rsidR="00B32EF2" w:rsidRDefault="00000000">
                        <w:r>
                          <w:rPr>
                            <w:rFonts w:ascii="Arial" w:eastAsia="Arial" w:hAnsi="Arial" w:cs="Arial"/>
                            <w:sz w:val="18"/>
                          </w:rPr>
                          <w:t>3</w:t>
                        </w:r>
                      </w:p>
                    </w:txbxContent>
                  </v:textbox>
                </v:rect>
                <v:rect id="Rectangle 200709" o:spid="_x0000_s2792" style="position:absolute;left:-13817;top:5283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WPxgAAAN8AAAAPAAAAZHJzL2Rvd25yZXYueG1sRI9Pi8Iw&#10;FMTvC36H8IS9aaqHVbtGEUW2By/+gz0+mmfb3eYlNNF2/fRGEPY4zMxvmPmyM7W4UeMrywpGwwQE&#10;cW51xYWC03E7mILwAVljbZkU/JGH5aL3NsdU25b3dDuEQkQI+xQVlCG4VEqfl2TQD60jjt7FNgZD&#10;lE0hdYNthJtajpPkQxqsOC6U6GhdUv57uBoF3xt22baV+eW+drufbFp/XU9npd773eoTRKAu/Idf&#10;7UwriMRJMoPnn/gF5OIBAAD//wMAUEsBAi0AFAAGAAgAAAAhANvh9svuAAAAhQEAABMAAAAAAAAA&#10;AAAAAAAAAAAAAFtDb250ZW50X1R5cGVzXS54bWxQSwECLQAUAAYACAAAACEAWvQsW78AAAAVAQAA&#10;CwAAAAAAAAAAAAAAAAAfAQAAX3JlbHMvLnJlbHNQSwECLQAUAAYACAAAACEADv6lj8YAAADfAAAA&#10;DwAAAAAAAAAAAAAAAAAHAgAAZHJzL2Rvd25yZXYueG1sUEsFBgAAAAADAAMAtwAAAPoCAAAAAA==&#10;" filled="f" stroked="f">
                  <v:textbox inset="0,0,0,0">
                    <w:txbxContent>
                      <w:p w14:paraId="05521753" w14:textId="77777777" w:rsidR="00B32EF2" w:rsidRDefault="00000000">
                        <w:r>
                          <w:rPr>
                            <w:rFonts w:ascii="Arial" w:eastAsia="Arial" w:hAnsi="Arial" w:cs="Arial"/>
                            <w:sz w:val="18"/>
                          </w:rPr>
                          <w:t xml:space="preserve">. Alle deliberazioni del collegio si applicano le disposizioni di cui agli articoli </w:t>
                        </w:r>
                      </w:p>
                    </w:txbxContent>
                  </v:textbox>
                </v:rect>
                <v:rect id="Rectangle 200704" o:spid="_x0000_s2793" style="position:absolute;left:-15066;top:51606;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oRxgAAAN8AAAAPAAAAZHJzL2Rvd25yZXYueG1sRI9Pi8Iw&#10;FMTvgt8hPMGbpsriStcoosj24GX9A3t8NM+2u81LaKKtfnqzsOBxmJnfMItVZ2pxo8ZXlhVMxgkI&#10;4tzqigsFp+NuNAfhA7LG2jIpuJOH1bLfW2CqbctfdDuEQkQI+xQVlCG4VEqfl2TQj60jjt7FNgZD&#10;lE0hdYNthJtaTpNkJg1WHBdKdLQpKf89XI2C7y27bNfK/PLYuP1PNq8/r6ezUsNBt/4AEagLr/B/&#10;O9MKIvE9eYO/P/ELyOUTAAD//wMAUEsBAi0AFAAGAAgAAAAhANvh9svuAAAAhQEAABMAAAAAAAAA&#10;AAAAAAAAAAAAAFtDb250ZW50X1R5cGVzXS54bWxQSwECLQAUAAYACAAAACEAWvQsW78AAAAVAQAA&#10;CwAAAAAAAAAAAAAAAAAfAQAAX3JlbHMvLnJlbHNQSwECLQAUAAYACAAAACEA4P8KEcYAAADfAAAA&#10;DwAAAAAAAAAAAAAAAAAHAgAAZHJzL2Rvd25yZXYueG1sUEsFBgAAAAADAAMAtwAAAPoCAAAAAA==&#10;" filled="f" stroked="f">
                  <v:textbox inset="0,0,0,0">
                    <w:txbxContent>
                      <w:p w14:paraId="1E0A8DA1" w14:textId="77777777" w:rsidR="00B32EF2" w:rsidRDefault="00000000">
                        <w:r>
                          <w:rPr>
                            <w:rFonts w:ascii="Arial" w:eastAsia="Arial" w:hAnsi="Arial" w:cs="Arial"/>
                            <w:sz w:val="18"/>
                          </w:rPr>
                          <w:t xml:space="preserve"> e seguenti del codice di procedura civile. Non sono tuttavia ammesse </w:t>
                        </w:r>
                      </w:p>
                    </w:txbxContent>
                  </v:textbox>
                </v:rect>
                <v:rect id="Rectangle 200703" o:spid="_x0000_s2794" style="position:absolute;left:24851;top:51606;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pJlxgAAAN8AAAAPAAAAZHJzL2Rvd25yZXYueG1sRI9Pi8Iw&#10;FMTvgt8hPMGbprrgStcoosj24GX9A3t8NM+2u81LaKKtfnqzsOBxmJnfMItVZ2pxo8ZXlhVMxgkI&#10;4tzqigsFp+NuNAfhA7LG2jIpuJOH1bLfW2CqbctfdDuEQkQI+xQVlCG4VEqfl2TQj60jjt7FNgZD&#10;lE0hdYNthJtaTpNkJg1WHBdKdLQpKf89XI2C7y27bNfK/PLYuP1PNq8/r6ezUsNBt/4AEagLr/B/&#10;O9MKIvE9eYO/P/ELyOUTAAD//wMAUEsBAi0AFAAGAAgAAAAhANvh9svuAAAAhQEAABMAAAAAAAAA&#10;AAAAAAAAAAAAAFtDb250ZW50X1R5cGVzXS54bWxQSwECLQAUAAYACAAAACEAWvQsW78AAAAVAQAA&#10;CwAAAAAAAAAAAAAAAAAfAQAAX3JlbHMvLnJlbHNQSwECLQAUAAYACAAAACEAbxaSZcYAAADfAAAA&#10;DwAAAAAAAAAAAAAAAAAHAgAAZHJzL2Rvd25yZXYueG1sUEsFBgAAAAADAAMAtwAAAPoCAAAAAA==&#10;" filled="f" stroked="f">
                  <v:textbox inset="0,0,0,0">
                    <w:txbxContent>
                      <w:p w14:paraId="06FD7B17" w14:textId="77777777" w:rsidR="00B32EF2" w:rsidRDefault="00000000">
                        <w:r>
                          <w:rPr>
                            <w:rFonts w:ascii="Arial" w:eastAsia="Arial" w:hAnsi="Arial" w:cs="Arial"/>
                            <w:sz w:val="18"/>
                          </w:rPr>
                          <w:t>276</w:t>
                        </w:r>
                      </w:p>
                    </w:txbxContent>
                  </v:textbox>
                </v:rect>
                <v:rect id="Rectangle 16740" o:spid="_x0000_s2795" style="position:absolute;left:114;top:50372;width:398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3RbxwAAAN4AAAAPAAAAZHJzL2Rvd25yZXYueG1sRI9Ba8JA&#10;EIXvQv/DMoXedFMpKqmrFIuYg5eqhR6H7Jikzc4u2dWk/fXOoeBthnnz3vuW68G16kpdbDwbeJ5k&#10;oIhLbxuuDJyO2/ECVEzIFlvPZOCXIqxXD6Ml5tb3/EHXQ6qUmHDM0UCdUsi1jmVNDuPEB2K5nX3n&#10;MMnaVdp22Iu5a/U0y2baYcOSUGOgTU3lz+HiDHy9cyi2vS7Pf5uw/y4W7e5y+jTm6XF4ewWVaEh3&#10;8f93YaX+bP4iAIIjM+jVDQAA//8DAFBLAQItABQABgAIAAAAIQDb4fbL7gAAAIUBAAATAAAAAAAA&#10;AAAAAAAAAAAAAABbQ29udGVudF9UeXBlc10ueG1sUEsBAi0AFAAGAAgAAAAhAFr0LFu/AAAAFQEA&#10;AAsAAAAAAAAAAAAAAAAAHwEAAF9yZWxzLy5yZWxzUEsBAi0AFAAGAAgAAAAhAAEbdFvHAAAA3gAA&#10;AA8AAAAAAAAAAAAAAAAABwIAAGRycy9kb3ducmV2LnhtbFBLBQYAAAAAAwADALcAAAD7AgAAAAA=&#10;" filled="f" stroked="f">
                  <v:textbox inset="0,0,0,0">
                    <w:txbxContent>
                      <w:p w14:paraId="3A9F0996" w14:textId="77777777" w:rsidR="00B32EF2" w:rsidRDefault="00000000">
                        <w:r>
                          <w:rPr>
                            <w:rFonts w:ascii="Arial" w:eastAsia="Arial" w:hAnsi="Arial" w:cs="Arial"/>
                            <w:sz w:val="18"/>
                          </w:rPr>
                          <w:t>sentenze non definitive o limitate solo ad alcune domande.</w:t>
                        </w:r>
                      </w:p>
                    </w:txbxContent>
                  </v:textbox>
                </v:rect>
                <v:rect id="Rectangle 200702" o:spid="_x0000_s2796" style="position:absolute;left:-8498;top:49099;width:52212;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jf+xgAAAN8AAAAPAAAAZHJzL2Rvd25yZXYueG1sRI9Pi8Iw&#10;FMTvgt8hPGFvmuphla5RxEW2h734D/b4aJ5ttXkJTbRdP70RBI/DzPyGmS87U4sbNb6yrGA8SkAQ&#10;51ZXXCg47DfDGQgfkDXWlknBP3lYLvq9Oabatryl2y4UIkLYp6igDMGlUvq8JIN+ZB1x9E62MRii&#10;bAqpG2wj3NRykiSf0mDFcaFER+uS8svuahT8fbPLNq3MT/e1+z1ns/rnejgq9THoVl8gAnXhHX61&#10;M60gEqfJBJ5/4heQiwcAAAD//wMAUEsBAi0AFAAGAAgAAAAhANvh9svuAAAAhQEAABMAAAAAAAAA&#10;AAAAAAAAAAAAAFtDb250ZW50X1R5cGVzXS54bWxQSwECLQAUAAYACAAAACEAWvQsW78AAAAVAQAA&#10;CwAAAAAAAAAAAAAAAAAfAQAAX3JlbHMvLnJlbHNQSwECLQAUAAYACAAAACEAAFo3/sYAAADfAAAA&#10;DwAAAAAAAAAAAAAAAAAHAgAAZHJzL2Rvd25yZXYueG1sUEsFBgAAAAADAAMAtwAAAPoCAAAAAA==&#10;" filled="f" stroked="f">
                  <v:textbox inset="0,0,0,0">
                    <w:txbxContent>
                      <w:p w14:paraId="5D5D1E60" w14:textId="77777777" w:rsidR="00B32EF2" w:rsidRDefault="00000000">
                        <w:r>
                          <w:rPr>
                            <w:rFonts w:ascii="Arial" w:eastAsia="Arial" w:hAnsi="Arial" w:cs="Arial"/>
                            <w:sz w:val="15"/>
                          </w:rPr>
                          <w:t xml:space="preserve"> Comma 1 del presente articolo così modificato dall’art. 16 del D.lgs. n. 81 del </w:t>
                        </w:r>
                      </w:p>
                    </w:txbxContent>
                  </v:textbox>
                </v:rect>
                <v:rect id="Rectangle 200700" o:spid="_x0000_s2797" style="position:absolute;left:25889;top:49099;width:52213;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AwSxwAAAN8AAAAPAAAAZHJzL2Rvd25yZXYueG1sRI9Ba8JA&#10;EIXvQv/DMoXedNMeVFJXKRYxh15qI/Q4ZMckmp1dsqtJ++s7B6HH4c37Ht9qM7pO3aiPrWcDz7MM&#10;FHHlbcu1gfJrN12CignZYueZDPxQhM36YbLC3PqBP+l2SLUSCMccDTQphVzrWDXkMM58IJbs5HuH&#10;Sc6+1rbHQeCu0y9ZNtcOW5aFBgNtG6ouh6sz8P3OodgNujr9bsPHuVh2+2t5NObpcXx7BZVoTP/P&#10;93ZhDQhxkYmB+IgL6PUfAAAA//8DAFBLAQItABQABgAIAAAAIQDb4fbL7gAAAIUBAAATAAAAAAAA&#10;AAAAAAAAAAAAAABbQ29udGVudF9UeXBlc10ueG1sUEsBAi0AFAAGAAgAAAAhAFr0LFu/AAAAFQEA&#10;AAsAAAAAAAAAAAAAAAAAHwEAAF9yZWxzLy5yZWxzUEsBAi0AFAAGAAgAAAAhAJ/EDBLHAAAA3wAA&#10;AA8AAAAAAAAAAAAAAAAABwIAAGRycy9kb3ducmV2LnhtbFBLBQYAAAAAAwADALcAAAD7AgAAAAA=&#10;" filled="f" stroked="f">
                  <v:textbox inset="0,0,0,0">
                    <w:txbxContent>
                      <w:p w14:paraId="7231415F" w14:textId="77777777" w:rsidR="00B32EF2" w:rsidRDefault="00000000">
                        <w:r>
                          <w:rPr>
                            <w:rFonts w:ascii="Arial" w:eastAsia="Arial" w:hAnsi="Arial" w:cs="Arial"/>
                            <w:sz w:val="15"/>
                          </w:rPr>
                          <w:t>(1)</w:t>
                        </w:r>
                      </w:p>
                    </w:txbxContent>
                  </v:textbox>
                </v:rect>
                <v:rect id="Rectangle 200701" o:spid="_x0000_s2798" style="position:absolute;left:-46683;top:49099;width:52212;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KmJxwAAAN8AAAAPAAAAZHJzL2Rvd25yZXYueG1sRI/NasMw&#10;EITvhb6D2EJvjewc2uBGCcXFxIdemh/ocbE2tltrJSw5dvP0USCQ4zAz3zDL9WQ6caLet5YVpLME&#10;BHFldcu1gv2ueFmA8AFZY2eZFPyTh/Xq8WGJmbYjf9NpG2oRIewzVNCE4DIpfdWQQT+zjjh6R9sb&#10;DFH2tdQ9jhFuOjlPkldpsOW40KCjvKHqbzsYBT+f7MpilNXxnLuv33LRbYb9Qannp+njHUSgKdzD&#10;t3apFUTiW5LC9U/8AnJ1AQAA//8DAFBLAQItABQABgAIAAAAIQDb4fbL7gAAAIUBAAATAAAAAAAA&#10;AAAAAAAAAAAAAABbQ29udGVudF9UeXBlc10ueG1sUEsBAi0AFAAGAAgAAAAhAFr0LFu/AAAAFQEA&#10;AAsAAAAAAAAAAAAAAAAAHwEAAF9yZWxzLy5yZWxzUEsBAi0AFAAGAAgAAAAhAPCIqYnHAAAA3wAA&#10;AA8AAAAAAAAAAAAAAAAABwIAAGRycy9kb3ducmV2LnhtbFBLBQYAAAAAAwADALcAAAD7AgAAAAA=&#10;" filled="f" stroked="f">
                  <v:textbox inset="0,0,0,0">
                    <w:txbxContent>
                      <w:p w14:paraId="0208C58B" w14:textId="77777777" w:rsidR="00B32EF2" w:rsidRDefault="00000000">
                        <w:r>
                          <w:rPr>
                            <w:rFonts w:ascii="Arial" w:eastAsia="Arial" w:hAnsi="Arial" w:cs="Arial"/>
                            <w:sz w:val="15"/>
                          </w:rPr>
                          <w:t>12/06/2025</w:t>
                        </w:r>
                      </w:p>
                    </w:txbxContent>
                  </v:textbox>
                </v:rect>
                <v:rect id="Rectangle 16742" o:spid="_x0000_s2799" style="position:absolute;left:212;top:49000;width:4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U+3xAAAAN4AAAAPAAAAZHJzL2Rvd25yZXYueG1sRE9Ni8Iw&#10;EL0L/ocwgjdNFXGlaxRRxB72sq4Lexyasa02k9BEW/31m4UFb/N4n7Ncd6YWd2p8ZVnBZJyAIM6t&#10;rrhQcPrajxYgfEDWWFsmBQ/ysF71e0tMtW35k+7HUIgYwj5FBWUILpXS5yUZ9GPriCN3to3BEGFT&#10;SN1gG8NNLadJMpcGK44NJTralpRfjzej4GfHLtu3Mj8/t+7jki3qw+30rdRw0G3eQQTqwkv87850&#10;nD9/m03h7514g1z9AgAA//8DAFBLAQItABQABgAIAAAAIQDb4fbL7gAAAIUBAAATAAAAAAAAAAAA&#10;AAAAAAAAAABbQ29udGVudF9UeXBlc10ueG1sUEsBAi0AFAAGAAgAAAAhAFr0LFu/AAAAFQEAAAsA&#10;AAAAAAAAAAAAAAAAHwEAAF9yZWxzLy5yZWxzUEsBAi0AFAAGAAgAAAAhAJ6FT7fEAAAA3gAAAA8A&#10;AAAAAAAAAAAAAAAABwIAAGRycy9kb3ducmV2LnhtbFBLBQYAAAAAAwADALcAAAD4AgAAAAA=&#10;" filled="f" stroked="f">
                  <v:textbox inset="0,0,0,0">
                    <w:txbxContent>
                      <w:p w14:paraId="7ADB1B5D" w14:textId="77777777" w:rsidR="00B32EF2" w:rsidRDefault="00000000">
                        <w:r>
                          <w:rPr>
                            <w:rFonts w:ascii="Arial" w:eastAsia="Arial" w:hAnsi="Arial" w:cs="Arial"/>
                            <w:sz w:val="18"/>
                          </w:rPr>
                          <w:t>.</w:t>
                        </w:r>
                      </w:p>
                    </w:txbxContent>
                  </v:textbox>
                </v:rect>
                <v:rect id="Rectangle 16743" o:spid="_x0000_s2800" style="position:absolute;left:14665;top:20611;width:87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eosxQAAAN4AAAAPAAAAZHJzL2Rvd25yZXYueG1sRE9La8JA&#10;EL4L/odlBG+6aSsq0VWKRcyhl/oAj0N2TGKzs0t2NbG/vlsoeJuP7znLdWdqcafGV5YVvIwTEMS5&#10;1RUXCo6H7WgOwgdkjbVlUvAgD+tVv7fEVNuWv+i+D4WIIexTVFCG4FIpfV6SQT+2jjhyF9sYDBE2&#10;hdQNtjHc1PI1SabSYMWxoURHm5Ly7/3NKDh/sMu2rcwvPxv3ec3m9e52PCk1HHTvCxCBuvAU/7sz&#10;HedPZ5M3+Hsn3iBXvwAAAP//AwBQSwECLQAUAAYACAAAACEA2+H2y+4AAACFAQAAEwAAAAAAAAAA&#10;AAAAAAAAAAAAW0NvbnRlbnRfVHlwZXNdLnhtbFBLAQItABQABgAIAAAAIQBa9CxbvwAAABUBAAAL&#10;AAAAAAAAAAAAAAAAAB8BAABfcmVscy8ucmVsc1BLAQItABQABgAIAAAAIQDxyeosxQAAAN4AAAAP&#10;AAAAAAAAAAAAAAAAAAcCAABkcnMvZG93bnJldi54bWxQSwUGAAAAAAMAAwC3AAAA+QIAAAAA&#10;" filled="f" stroked="f">
                  <v:textbox inset="0,0,0,0">
                    <w:txbxContent>
                      <w:p w14:paraId="528C34B9" w14:textId="77777777" w:rsidR="00B32EF2" w:rsidRDefault="00000000">
                        <w:r>
                          <w:rPr>
                            <w:rFonts w:ascii="Arial" w:eastAsia="Arial" w:hAnsi="Arial" w:cs="Arial"/>
                            <w:b/>
                            <w:sz w:val="18"/>
                          </w:rPr>
                          <w:t>SEZIONE IV</w:t>
                        </w:r>
                      </w:p>
                    </w:txbxContent>
                  </v:textbox>
                </v:rect>
                <v:rect id="Rectangle 16744" o:spid="_x0000_s2801" style="position:absolute;left:1505;top:19378;width:298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JYxAAAAN4AAAAPAAAAZHJzL2Rvd25yZXYueG1sRE9Ni8Iw&#10;EL0L/ocwgjdNFXGlaxRRxB72sq4Lexyasa02k9BEW/31m4UFb/N4n7Ncd6YWd2p8ZVnBZJyAIM6t&#10;rrhQcPrajxYgfEDWWFsmBQ/ysF71e0tMtW35k+7HUIgYwj5FBWUILpXS5yUZ9GPriCN3to3BEGFT&#10;SN1gG8NNLadJMpcGK44NJTralpRfjzej4GfHLtu3Mj8/t+7jki3qw+30rdRw0G3eQQTqwkv87850&#10;nD9/m83g7514g1z9AgAA//8DAFBLAQItABQABgAIAAAAIQDb4fbL7gAAAIUBAAATAAAAAAAAAAAA&#10;AAAAAAAAAABbQ29udGVudF9UeXBlc10ueG1sUEsBAi0AFAAGAAgAAAAhAFr0LFu/AAAAFQEAAAsA&#10;AAAAAAAAAAAAAAAAHwEAAF9yZWxzLy5yZWxzUEsBAi0AFAAGAAgAAAAhAH4gcljEAAAA3gAAAA8A&#10;AAAAAAAAAAAAAAAABwIAAGRycy9kb3ducmV2LnhtbFBLBQYAAAAAAwADALcAAAD4AgAAAAA=&#10;" filled="f" stroked="f">
                  <v:textbox inset="0,0,0,0">
                    <w:txbxContent>
                      <w:p w14:paraId="1F8C5CB6" w14:textId="77777777" w:rsidR="00B32EF2" w:rsidRDefault="00000000">
                        <w:r>
                          <w:rPr>
                            <w:rFonts w:ascii="Arial" w:eastAsia="Arial" w:hAnsi="Arial" w:cs="Arial"/>
                            <w:b/>
                            <w:sz w:val="18"/>
                          </w:rPr>
                          <w:t xml:space="preserve"> LA DECISIONE DELLA CONTROVERSIA</w:t>
                        </w:r>
                      </w:p>
                    </w:txbxContent>
                  </v:textbox>
                </v:rect>
                <v:rect id="Rectangle 16745" o:spid="_x0000_s2802" style="position:absolute;left:15070;top:15678;width:80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fDxQAAAN4AAAAPAAAAZHJzL2Rvd25yZXYueG1sRE9La8JA&#10;EL4L/odlBG+6aakPoqsUi5hDL/UBHofsmMRmZ5fsamJ/fbdQ8DYf33OW687U4k6NrywreBknIIhz&#10;qysuFBwP29EchA/IGmvLpOBBHtarfm+JqbYtf9F9HwoRQ9inqKAMwaVS+rwkg35sHXHkLrYxGCJs&#10;CqkbbGO4qeVrkkylwYpjQ4mONiXl3/ubUXD+YJdtW5lffjbu85rN693teFJqOOjeFyACdeEp/ndn&#10;Os6fzt4m8PdOvEGufgEAAP//AwBQSwECLQAUAAYACAAAACEA2+H2y+4AAACFAQAAEwAAAAAAAAAA&#10;AAAAAAAAAAAAW0NvbnRlbnRfVHlwZXNdLnhtbFBLAQItABQABgAIAAAAIQBa9CxbvwAAABUBAAAL&#10;AAAAAAAAAAAAAAAAAB8BAABfcmVscy8ucmVsc1BLAQItABQABgAIAAAAIQARbNfDxQAAAN4AAAAP&#10;AAAAAAAAAAAAAAAAAAcCAABkcnMvZG93bnJldi54bWxQSwUGAAAAAAMAAwC3AAAA+QIAAAAA&#10;" filled="f" stroked="f">
                  <v:textbox inset="0,0,0,0">
                    <w:txbxContent>
                      <w:p w14:paraId="73688B3D" w14:textId="77777777" w:rsidR="00B32EF2" w:rsidRDefault="00000000">
                        <w:r>
                          <w:rPr>
                            <w:rFonts w:ascii="Arial" w:eastAsia="Arial" w:hAnsi="Arial" w:cs="Arial"/>
                            <w:b/>
                            <w:sz w:val="18"/>
                          </w:rPr>
                          <w:t>Articolo 85</w:t>
                        </w:r>
                      </w:p>
                    </w:txbxContent>
                  </v:textbox>
                </v:rect>
                <v:rect id="Rectangle 200687" o:spid="_x0000_s2803" style="position:absolute;left:11615;top:14445;width:1944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5ihxgAAAN8AAAAPAAAAZHJzL2Rvd25yZXYueG1sRI9Ba8JA&#10;FITvgv9heUJvuqmHGlJXKYo0By/aCD0+ss8kbfbtkl1N6q93BaHHYWa+YZbrwbTiSp1vLCt4nSUg&#10;iEurG64UFF+7aQrCB2SNrWVS8Ece1qvxaImZtj0f6HoMlYgQ9hkqqENwmZS+rMmgn1lHHL2z7QyG&#10;KLtK6g77CDetnCfJmzTYcFyo0dGmpvL3eDEKvrfs8l0vy/Nt4/Y/edp+XoqTUi+T4eMdRKAh/Ief&#10;7VwreBDTBTz+xC8gV3cAAAD//wMAUEsBAi0AFAAGAAgAAAAhANvh9svuAAAAhQEAABMAAAAAAAAA&#10;AAAAAAAAAAAAAFtDb250ZW50X1R5cGVzXS54bWxQSwECLQAUAAYACAAAACEAWvQsW78AAAAVAQAA&#10;CwAAAAAAAAAAAAAAAAAfAQAAX3JlbHMvLnJlbHNQSwECLQAUAAYACAAAACEACx+YocYAAADfAAAA&#10;DwAAAAAAAAAAAAAAAAAHAgAAZHJzL2Rvd25yZXYueG1sUEsFBgAAAAADAAMAtwAAAPoCAAAAAA==&#10;" filled="f" stroked="f">
                  <v:textbox inset="0,0,0,0">
                    <w:txbxContent>
                      <w:p w14:paraId="397D37C6" w14:textId="77777777" w:rsidR="00B32EF2" w:rsidRDefault="00000000">
                        <w:r>
                          <w:rPr>
                            <w:rFonts w:ascii="Arial" w:eastAsia="Arial" w:hAnsi="Arial" w:cs="Arial"/>
                            <w:i/>
                            <w:sz w:val="18"/>
                          </w:rPr>
                          <w:t xml:space="preserve">articolo 36 D.lgs. n. </w:t>
                        </w:r>
                      </w:p>
                    </w:txbxContent>
                  </v:textbox>
                </v:rect>
                <v:rect id="Rectangle 200686" o:spid="_x0000_s2804" style="position:absolute;left:-2652;top:14445;width:1944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z06xQAAAN8AAAAPAAAAZHJzL2Rvd25yZXYueG1sRI9Bi8Iw&#10;FITvC/6H8ARva+oepFSjiCL2sBddBY+P5tlWm5fQRFv99RthYY/DzHzDzJe9acSDWl9bVjAZJyCI&#10;C6trLhUcf7afKQgfkDU2lknBkzwsF4OPOWbadrynxyGUIkLYZ6igCsFlUvqiIoN+bB1x9C62NRii&#10;bEupW+wi3DTyK0mm0mDNcaFCR+uKitvhbhScN+zybSeLy2vtvq952uzux5NSo2G/moEI1If/8F87&#10;1wrexHQK7z/xC8jFLwAAAP//AwBQSwECLQAUAAYACAAAACEA2+H2y+4AAACFAQAAEwAAAAAAAAAA&#10;AAAAAAAAAAAAW0NvbnRlbnRfVHlwZXNdLnhtbFBLAQItABQABgAIAAAAIQBa9CxbvwAAABUBAAAL&#10;AAAAAAAAAAAAAAAAAB8BAABfcmVscy8ucmVsc1BLAQItABQABgAIAAAAIQBkUz06xQAAAN8AAAAP&#10;AAAAAAAAAAAAAAAAAAcCAABkcnMvZG93bnJldi54bWxQSwUGAAAAAAMAAwC3AAAA+QIAAAAA&#10;" filled="f" stroked="f">
                  <v:textbox inset="0,0,0,0">
                    <w:txbxContent>
                      <w:p w14:paraId="68A76754" w14:textId="77777777" w:rsidR="00B32EF2" w:rsidRDefault="00000000">
                        <w:r>
                          <w:rPr>
                            <w:rFonts w:ascii="Arial" w:eastAsia="Arial" w:hAnsi="Arial" w:cs="Arial"/>
                            <w:i/>
                            <w:sz w:val="18"/>
                          </w:rPr>
                          <w:t>546/92)</w:t>
                        </w:r>
                      </w:p>
                    </w:txbxContent>
                  </v:textbox>
                </v:rect>
                <v:rect id="Rectangle 200685" o:spid="_x0000_s2805" style="position:absolute;left:22222;top:14445;width:1944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NNxgAAAN8AAAAPAAAAZHJzL2Rvd25yZXYueG1sRI9Ba8JA&#10;FITvgv9heUJvuqlQCamrFEWagxdthB4f2WeSNvt2ya4m9de7gtDjMDPfMMv1YFpxpc43lhW8zhIQ&#10;xKXVDVcKiq/dNAXhA7LG1jIp+CMP69V4tMRM254PdD2GSkQI+wwV1CG4TEpf1mTQz6wjjt7ZdgZD&#10;lF0ldYd9hJtWzpNkIQ02HBdqdLSpqfw9XoyC7y27fNfL8nzbuP1Pnrafl+Kk1Mtk+HgHEWgI/+Fn&#10;O9cKHsT0DR5/4heQqzsAAAD//wMAUEsBAi0AFAAGAAgAAAAhANvh9svuAAAAhQEAABMAAAAAAAAA&#10;AAAAAAAAAAAAAFtDb250ZW50X1R5cGVzXS54bWxQSwECLQAUAAYACAAAACEAWvQsW78AAAAVAQAA&#10;CwAAAAAAAAAAAAAAAAAfAQAAX3JlbHMvLnJlbHNQSwECLQAUAAYACAAAACEAlIGjTcYAAADfAAAA&#10;DwAAAAAAAAAAAAAAAAAHAgAAZHJzL2Rvd25yZXYueG1sUEsFBgAAAAADAAMAtwAAAPoCAAAAAA==&#10;" filled="f" stroked="f">
                  <v:textbox inset="0,0,0,0">
                    <w:txbxContent>
                      <w:p w14:paraId="59E83063" w14:textId="77777777" w:rsidR="00B32EF2" w:rsidRDefault="00000000">
                        <w:r>
                          <w:rPr>
                            <w:rFonts w:ascii="Arial" w:eastAsia="Arial" w:hAnsi="Arial" w:cs="Arial"/>
                            <w:i/>
                            <w:sz w:val="18"/>
                          </w:rPr>
                          <w:t>(</w:t>
                        </w:r>
                      </w:p>
                    </w:txbxContent>
                  </v:textbox>
                </v:rect>
                <v:rect id="Rectangle 16747" o:spid="_x0000_s2806" style="position:absolute;left:7971;top:13211;width:192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uwvxAAAAN4AAAAPAAAAZHJzL2Rvd25yZXYueG1sRE9Ni8Iw&#10;EL0L/ocwgjdNlUWlaxRRZHvwsq4Lexyasa02k9BEW/31m4UFb/N4n7Ncd6YWd2p8ZVnBZJyAIM6t&#10;rrhQcPrajxYgfEDWWFsmBQ/ysF71e0tMtW35k+7HUIgYwj5FBWUILpXS5yUZ9GPriCN3to3BEGFT&#10;SN1gG8NNLadJMpMGK44NJTralpRfjzej4GfHLtu3Mj8/t+5wyRb1x+30rdRw0G3eQQTqwkv87850&#10;nD+bv83h7514g1z9AgAA//8DAFBLAQItABQABgAIAAAAIQDb4fbL7gAAAIUBAAATAAAAAAAAAAAA&#10;AAAAAAAAAABbQ29udGVudF9UeXBlc10ueG1sUEsBAi0AFAAGAAgAAAAhAFr0LFu/AAAAFQEAAAsA&#10;AAAAAAAAAAAAAAAAHwEAAF9yZWxzLy5yZWxzUEsBAi0AFAAGAAgAAAAhAI7y7C/EAAAA3gAAAA8A&#10;AAAAAAAAAAAAAAAABwIAAGRycy9kb3ducmV2LnhtbFBLBQYAAAAAAwADALcAAAD4AgAAAAA=&#10;" filled="f" stroked="f">
                  <v:textbox inset="0,0,0,0">
                    <w:txbxContent>
                      <w:p w14:paraId="64EBDCBF" w14:textId="77777777" w:rsidR="00B32EF2" w:rsidRDefault="00000000">
                        <w:r>
                          <w:rPr>
                            <w:rFonts w:ascii="Arial" w:eastAsia="Arial" w:hAnsi="Arial" w:cs="Arial"/>
                            <w:b/>
                            <w:sz w:val="18"/>
                          </w:rPr>
                          <w:t xml:space="preserve">Contenuto della sentenza </w:t>
                        </w:r>
                      </w:p>
                    </w:txbxContent>
                  </v:textbox>
                </v:rect>
                <v:rect id="Rectangle 200682" o:spid="_x0000_s2807" style="position:absolute;left:26109;top:1197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s5xQAAAN8AAAAPAAAAZHJzL2Rvd25yZXYueG1sRI9Bi8Iw&#10;FITvC/6H8ARva6qHpVSjiCL2sBddBY+P5tlWm5fQRFv99RthYY/DzHzDzJe9acSDWl9bVjAZJyCI&#10;C6trLhUcf7afKQgfkDU2lknBkzwsF4OPOWbadrynxyGUIkLYZ6igCsFlUvqiIoN+bB1x9C62NRii&#10;bEupW+wi3DRymiRf0mDNcaFCR+uKitvhbhScN+zybSeLy2vtvq952uzux5NSo2G/moEI1If/8F87&#10;1wrexHQK7z/xC8jFLwAAAP//AwBQSwECLQAUAAYACAAAACEA2+H2y+4AAACFAQAAEwAAAAAAAAAA&#10;AAAAAAAAAAAAW0NvbnRlbnRfVHlwZXNdLnhtbFBLAQItABQABgAIAAAAIQBa9CxbvwAAABUBAAAL&#10;AAAAAAAAAAAAAAAAAB8BAABfcmVscy8ucmVsc1BLAQItABQABgAIAAAAIQAbaDs5xQAAAN8AAAAP&#10;AAAAAAAAAAAAAAAAAAcCAABkcnMvZG93bnJldi54bWxQSwUGAAAAAAMAAwC3AAAA+QIAAAAA&#10;" filled="f" stroked="f">
                  <v:textbox inset="0,0,0,0">
                    <w:txbxContent>
                      <w:p w14:paraId="2430EE50" w14:textId="77777777" w:rsidR="00B32EF2" w:rsidRDefault="00000000">
                        <w:r>
                          <w:rPr>
                            <w:rFonts w:ascii="Arial" w:eastAsia="Arial" w:hAnsi="Arial" w:cs="Arial"/>
                            <w:sz w:val="18"/>
                          </w:rPr>
                          <w:t>1</w:t>
                        </w:r>
                      </w:p>
                    </w:txbxContent>
                  </v:textbox>
                </v:rect>
                <v:rect id="Rectangle 200684" o:spid="_x0000_s2808" style="position:absolute;left:-13764;top:119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QbWxgAAAN8AAAAPAAAAZHJzL2Rvd25yZXYueG1sRI9Ba8JA&#10;FITvgv9heUJvuqkUCamrFEWagxdthB4f2WeSNvt2ya4m9de7gtDjMDPfMMv1YFpxpc43lhW8zhIQ&#10;xKXVDVcKiq/dNAXhA7LG1jIp+CMP69V4tMRM254PdD2GSkQI+wwV1CG4TEpf1mTQz6wjjt7ZdgZD&#10;lF0ldYd9hJtWzpNkIQ02HBdqdLSpqfw9XoyC7y27fNfL8nzbuP1Pnrafl+Kk1Mtk+HgHEWgI/+Fn&#10;O9cKHsT0DR5/4heQqzsAAAD//wMAUEsBAi0AFAAGAAgAAAAhANvh9svuAAAAhQEAABMAAAAAAAAA&#10;AAAAAAAAAAAAAFtDb250ZW50X1R5cGVzXS54bWxQSwECLQAUAAYACAAAACEAWvQsW78AAAAVAQAA&#10;CwAAAAAAAAAAAAAAAAAfAQAAX3JlbHMvLnJlbHNQSwECLQAUAAYACAAAACEA+80G1sYAAADfAAAA&#10;DwAAAAAAAAAAAAAAAAAHAgAAZHJzL2Rvd25yZXYueG1sUEsFBgAAAAADAAMAtwAAAPoCAAAAAA==&#10;" filled="f" stroked="f">
                  <v:textbox inset="0,0,0,0">
                    <w:txbxContent>
                      <w:p w14:paraId="3C17AE40" w14:textId="77777777" w:rsidR="00B32EF2" w:rsidRDefault="00000000">
                        <w:r>
                          <w:rPr>
                            <w:rFonts w:ascii="Arial" w:eastAsia="Arial" w:hAnsi="Arial" w:cs="Arial"/>
                            <w:sz w:val="18"/>
                          </w:rPr>
                          <w:t xml:space="preserve">. La sentenza è pronunciata in nome del popolo italiano ed è intestata alla </w:t>
                        </w:r>
                      </w:p>
                    </w:txbxContent>
                  </v:textbox>
                </v:rect>
                <v:rect id="Rectangle 16749" o:spid="_x0000_s2809" style="position:absolute;left:26482;top:10745;width:134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d3GxQAAAN4AAAAPAAAAZHJzL2Rvd25yZXYueG1sRE9Na8JA&#10;EL0X+h+WKXirG0Wsja4iipiDl1oLPQ7ZMYlmZ5fsaqK/3i0UvM3jfc5s0ZlaXKnxlWUFg34Cgji3&#10;uuJCweF78z4B4QOyxtoyKbiRh8X89WWGqbYtf9F1HwoRQ9inqKAMwaVS+rwkg75vHXHkjrYxGCJs&#10;CqkbbGO4qeUwScbSYMWxoURHq5Ly8/5iFPyu2WWbVubH+8rtTtmk3l4OP0r13rrlFESgLjzF/+5M&#10;x/njj9En/L0Tb5DzBwAAAP//AwBQSwECLQAUAAYACAAAACEA2+H2y+4AAACFAQAAEwAAAAAAAAAA&#10;AAAAAAAAAAAAW0NvbnRlbnRfVHlwZXNdLnhtbFBLAQItABQABgAIAAAAIQBa9CxbvwAAABUBAAAL&#10;AAAAAAAAAAAAAAAAAB8BAABfcmVscy8ucmVsc1BLAQItABQABgAIAAAAIQCQId3GxQAAAN4AAAAP&#10;AAAAAAAAAAAAAAAAAAcCAABkcnMvZG93bnJldi54bWxQSwUGAAAAAAMAAwC3AAAA+QIAAAAA&#10;" filled="f" stroked="f">
                  <v:textbox inset="0,0,0,0">
                    <w:txbxContent>
                      <w:p w14:paraId="41C33DC5" w14:textId="77777777" w:rsidR="00B32EF2" w:rsidRDefault="00000000">
                        <w:r>
                          <w:rPr>
                            <w:rFonts w:ascii="Arial" w:eastAsia="Arial" w:hAnsi="Arial" w:cs="Arial"/>
                            <w:sz w:val="18"/>
                          </w:rPr>
                          <w:t>Repubblica italiana.</w:t>
                        </w:r>
                      </w:p>
                    </w:txbxContent>
                  </v:textbox>
                </v:rect>
                <v:rect id="Rectangle 200679" o:spid="_x0000_s2810" style="position:absolute;left:33964;top:9511;width:214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lvxgAAAN8AAAAPAAAAZHJzL2Rvd25yZXYueG1sRI9Ba8JA&#10;FITvgv9heUJvdaOHalNXEUXMwUttBI+P7DNJzb5dsqtJ++u7QsHjMDPfMItVbxpxp9bXlhVMxgkI&#10;4sLqmksF+dfudQ7CB2SNjWVS8EMeVsvhYIGpth1/0v0YShEh7FNUUIXgUil9UZFBP7aOOHoX2xoM&#10;Ubal1C12EW4aOU2SN2mw5rhQoaNNRcX1eDMKzlt22a6TxeV34w7f2bzZ3/KTUi+jfv0BIlAfnuH/&#10;dqYVPIizd3j8iV9ALv8AAAD//wMAUEsBAi0AFAAGAAgAAAAhANvh9svuAAAAhQEAABMAAAAAAAAA&#10;AAAAAAAAAAAAAFtDb250ZW50X1R5cGVzXS54bWxQSwECLQAUAAYACAAAACEAWvQsW78AAAAVAQAA&#10;CwAAAAAAAAAAAAAAAAAfAQAAX3JlbHMvLnJlbHNQSwECLQAUAAYACAAAACEAIBnZb8YAAADfAAAA&#10;DwAAAAAAAAAAAAAAAAAHAgAAZHJzL2Rvd25yZXYueG1sUEsFBgAAAAADAAMAtwAAAPoCAAAAAA==&#10;" filled="f" stroked="f">
                  <v:textbox inset="0,0,0,0">
                    <w:txbxContent>
                      <w:p w14:paraId="0E47BFF0" w14:textId="77777777" w:rsidR="00B32EF2" w:rsidRDefault="00000000">
                        <w:r>
                          <w:rPr>
                            <w:rFonts w:ascii="Arial" w:eastAsia="Arial" w:hAnsi="Arial" w:cs="Arial"/>
                            <w:sz w:val="18"/>
                          </w:rPr>
                          <w:t>2</w:t>
                        </w:r>
                      </w:p>
                    </w:txbxContent>
                  </v:textbox>
                </v:rect>
                <v:rect id="Rectangle 200680" o:spid="_x0000_s2811" style="position:absolute;left:2687;top:9511;width:214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gDVxgAAAN8AAAAPAAAAZHJzL2Rvd25yZXYueG1sRI/LasMw&#10;EEX3hfyDmEJ2jdwugnGihJBg4kU3dRPIcrAmtltrJCz50X59VSh0Ody553K2+9l0YqTet5YVPK8S&#10;EMSV1S3XCi7v+VMKwgdkjZ1lUvBFHva7xcMWM20nfqOxDLWIEPYZKmhCcJmUvmrIoF9ZRxyzu+0N&#10;hnj2tdQ9ThFuOvmSJGtpsOW40KCjY0PVZzkYBbcTuyKfZHX/PrrXjyLtzsPlqtTycT5sQASaw//z&#10;X7vQCn6JaTSIPtEF5O4HAAD//wMAUEsBAi0AFAAGAAgAAAAhANvh9svuAAAAhQEAABMAAAAAAAAA&#10;AAAAAAAAAAAAAFtDb250ZW50X1R5cGVzXS54bWxQSwECLQAUAAYACAAAACEAWvQsW78AAAAVAQAA&#10;CwAAAAAAAAAAAAAAAAAfAQAAX3JlbHMvLnJlbHNQSwECLQAUAAYACAAAACEAhPYA1cYAAADfAAAA&#10;DwAAAAAAAAAAAAAAAAAHAgAAZHJzL2Rvd25yZXYueG1sUEsFBgAAAAADAAMAtwAAAPoCAAAAAA==&#10;" filled="f" stroked="f">
                  <v:textbox inset="0,0,0,0">
                    <w:txbxContent>
                      <w:p w14:paraId="64FD7DB4" w14:textId="77777777" w:rsidR="00B32EF2" w:rsidRDefault="00000000">
                        <w:r>
                          <w:rPr>
                            <w:rFonts w:ascii="Arial" w:eastAsia="Arial" w:hAnsi="Arial" w:cs="Arial"/>
                            <w:sz w:val="18"/>
                          </w:rPr>
                          <w:t>:</w:t>
                        </w:r>
                      </w:p>
                    </w:txbxContent>
                  </v:textbox>
                </v:rect>
                <v:rect id="Rectangle 200681" o:spid="_x0000_s2812" style="position:absolute;left:18136;top:9511;width:214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qVOxQAAAN8AAAAPAAAAZHJzL2Rvd25yZXYueG1sRI9Bi8Iw&#10;FITvC/6H8ARva6oHKdUooog9eFlXweOjebbV5iU00db99RthYY/DzHzDLFa9acSTWl9bVjAZJyCI&#10;C6trLhWcvnefKQgfkDU2lknBizysloOPBWbadvxFz2MoRYSwz1BBFYLLpPRFRQb92Dri6F1tazBE&#10;2ZZSt9hFuGnkNElm0mDNcaFCR5uKivvxYRRctuzyXSeL68/GHW552uwfp7NSo2G/noMI1If/8F87&#10;1wrexHQC7z/xC8jlLwAAAP//AwBQSwECLQAUAAYACAAAACEA2+H2y+4AAACFAQAAEwAAAAAAAAAA&#10;AAAAAAAAAAAAW0NvbnRlbnRfVHlwZXNdLnhtbFBLAQItABQABgAIAAAAIQBa9CxbvwAAABUBAAAL&#10;AAAAAAAAAAAAAAAAAB8BAABfcmVscy8ucmVsc1BLAQItABQABgAIAAAAIQDruqVOxQAAAN8AAAAP&#10;AAAAAAAAAAAAAAAAAAcCAABkcnMvZG93bnJldi54bWxQSwUGAAAAAAMAAwC3AAAA+QIAAAAA&#10;" filled="f" stroked="f">
                  <v:textbox inset="0,0,0,0">
                    <w:txbxContent>
                      <w:p w14:paraId="17855A35" w14:textId="77777777" w:rsidR="00B32EF2" w:rsidRDefault="00000000">
                        <w:r>
                          <w:rPr>
                            <w:rFonts w:ascii="Arial" w:eastAsia="Arial" w:hAnsi="Arial" w:cs="Arial"/>
                            <w:sz w:val="18"/>
                          </w:rPr>
                          <w:t>. La sentenza deve contenere</w:t>
                        </w:r>
                      </w:p>
                    </w:txbxContent>
                  </v:textbox>
                </v:rect>
                <v:rect id="Rectangle 16751" o:spid="_x0000_s2813" style="position:absolute;left:-13172;top:82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kcdxAAAAN4AAAAPAAAAZHJzL2Rvd25yZXYueG1sRE9Li8Iw&#10;EL4v7H8Is+BtTV3wQTXK4iLbg5f1AR6HZmyrzSQ00VZ/vVkQvM3H95zZojO1uFLjK8sKBv0EBHFu&#10;dcWFgt129TkB4QOyxtoyKbiRh8X8/W2GqbYt/9F1EwoRQ9inqKAMwaVS+rwkg75vHXHkjrYxGCJs&#10;CqkbbGO4qeVXkoykwYpjQ4mOliXl583FKDj8sMtWrcyP96Vbn7JJ/XvZ7ZXqfXTfUxCBuvASP92Z&#10;jvNH4+EA/t+JN8j5AwAA//8DAFBLAQItABQABgAIAAAAIQDb4fbL7gAAAIUBAAATAAAAAAAAAAAA&#10;AAAAAAAAAABbQ29udGVudF9UeXBlc10ueG1sUEsBAi0AFAAGAAgAAAAhAFr0LFu/AAAAFQEAAAsA&#10;AAAAAAAAAAAAAAAAHwEAAF9yZWxzLy5yZWxzUEsBAi0AFAAGAAgAAAAhAOuORx3EAAAA3gAAAA8A&#10;AAAAAAAAAAAAAAAABwIAAGRycy9kb3ducmV2LnhtbFBLBQYAAAAAAwADALcAAAD4AgAAAAA=&#10;" filled="f" stroked="f">
                  <v:textbox inset="0,0,0,0">
                    <w:txbxContent>
                      <w:p w14:paraId="16E06AAC" w14:textId="77777777" w:rsidR="00B32EF2" w:rsidRDefault="00000000">
                        <w:r>
                          <w:rPr>
                            <w:rFonts w:ascii="Arial" w:eastAsia="Arial" w:hAnsi="Arial" w:cs="Arial"/>
                            <w:sz w:val="18"/>
                          </w:rPr>
                          <w:t xml:space="preserve">a) l’indicazione della composizione del collegio, delle parti e dei loro difensori </w:t>
                        </w:r>
                      </w:p>
                    </w:txbxContent>
                  </v:textbox>
                </v:rect>
                <v:rect id="Rectangle 16752" o:spid="_x0000_s2814" style="position:absolute;left:32617;top:7045;width:73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NlqxAAAAN4AAAAPAAAAZHJzL2Rvd25yZXYueG1sRE9Ni8Iw&#10;EL0L/ocwgjdNFXSlaxRRxB72sq4Lexyasa02k9BEW/31m4UFb/N4n7Ncd6YWd2p8ZVnBZJyAIM6t&#10;rrhQcPrajxYgfEDWWFsmBQ/ysF71e0tMtW35k+7HUIgYwj5FBWUILpXS5yUZ9GPriCN3to3BEGFT&#10;SN1gG8NNLadJMpcGK44NJTralpRfjzej4GfHLtu3Mj8/t+7jki3qw+30rdRw0G3eQQTqwkv87850&#10;nD9/m03h7514g1z9AgAA//8DAFBLAQItABQABgAIAAAAIQDb4fbL7gAAAIUBAAATAAAAAAAAAAAA&#10;AAAAAAAAAABbQ29udGVudF9UeXBlc10ueG1sUEsBAi0AFAAGAAgAAAAhAFr0LFu/AAAAFQEAAAsA&#10;AAAAAAAAAAAAAAAAHwEAAF9yZWxzLy5yZWxzUEsBAi0AFAAGAAgAAAAhABtc2WrEAAAA3gAAAA8A&#10;AAAAAAAAAAAAAAAABwIAAGRycy9kb3ducmV2LnhtbFBLBQYAAAAAAwADALcAAAD4AgAAAAA=&#10;" filled="f" stroked="f">
                  <v:textbox inset="0,0,0,0">
                    <w:txbxContent>
                      <w:p w14:paraId="6A79C84F" w14:textId="77777777" w:rsidR="00B32EF2" w:rsidRDefault="00000000">
                        <w:r>
                          <w:rPr>
                            <w:rFonts w:ascii="Arial" w:eastAsia="Arial" w:hAnsi="Arial" w:cs="Arial"/>
                            <w:sz w:val="18"/>
                          </w:rPr>
                          <w:t>se vi sono;</w:t>
                        </w:r>
                      </w:p>
                    </w:txbxContent>
                  </v:textbox>
                </v:rect>
                <v:rect id="Rectangle 16753" o:spid="_x0000_s2815" style="position:absolute;left:513;top:5811;width:394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HzxxQAAAN4AAAAPAAAAZHJzL2Rvd25yZXYueG1sRE9La8JA&#10;EL4L/odlBG+6aYsPoqsUi5hDL/UBHofsmMRmZ5fsamJ/fbdQ8DYf33OW687U4k6NrywreBknIIhz&#10;qysuFBwP29EchA/IGmvLpOBBHtarfm+JqbYtf9F9HwoRQ9inqKAMwaVS+rwkg35sHXHkLrYxGCJs&#10;CqkbbGO4qeVrkkylwYpjQ4mONiXl3/ubUXD+YJdtW5lffjbu85rN693teFJqOOjeFyACdeEp/ndn&#10;Os6fziZv8PdOvEGufgEAAP//AwBQSwECLQAUAAYACAAAACEA2+H2y+4AAACFAQAAEwAAAAAAAAAA&#10;AAAAAAAAAAAAW0NvbnRlbnRfVHlwZXNdLnhtbFBLAQItABQABgAIAAAAIQBa9CxbvwAAABUBAAAL&#10;AAAAAAAAAAAAAAAAAB8BAABfcmVscy8ucmVsc1BLAQItABQABgAIAAAAIQB0EHzxxQAAAN4AAAAP&#10;AAAAAAAAAAAAAAAAAAcCAABkcnMvZG93bnJldi54bWxQSwUGAAAAAAMAAwC3AAAA+QIAAAAA&#10;" filled="f" stroked="f">
                  <v:textbox inset="0,0,0,0">
                    <w:txbxContent>
                      <w:p w14:paraId="5CE8F978" w14:textId="77777777" w:rsidR="00B32EF2" w:rsidRDefault="00000000">
                        <w:r>
                          <w:rPr>
                            <w:rFonts w:ascii="Arial" w:eastAsia="Arial" w:hAnsi="Arial" w:cs="Arial"/>
                            <w:sz w:val="18"/>
                          </w:rPr>
                          <w:t xml:space="preserve">b) la concisa esposizione dello svolgimento del processo; </w:t>
                        </w:r>
                      </w:p>
                    </w:txbxContent>
                  </v:textbox>
                </v:rect>
                <v:rect id="Rectangle 16754" o:spid="_x0000_s2816" style="position:absolute;left:22927;top:4578;width:169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SFxQAAAN4AAAAPAAAAZHJzL2Rvd25yZXYueG1sRE9La8JA&#10;EL4L/odlBG+6aakPoqsUi5hDL/UBHofsmMRmZ5fsamJ/fbdQ8DYf33OW687U4k6NrywreBknIIhz&#10;qysuFBwP29EchA/IGmvLpOBBHtarfm+JqbYtf9F9HwoRQ9inqKAMwaVS+rwkg35sHXHkLrYxGCJs&#10;CqkbbGO4qeVrkkylwYpjQ4mONiXl3/ubUXD+YJdtW5lffjbu85rN693teFJqOOjeFyACdeEp/ndn&#10;Os6fziZv8PdOvEGufgEAAP//AwBQSwECLQAUAAYACAAAACEA2+H2y+4AAACFAQAAEwAAAAAAAAAA&#10;AAAAAAAAAAAAW0NvbnRlbnRfVHlwZXNdLnhtbFBLAQItABQABgAIAAAAIQBa9CxbvwAAABUBAAAL&#10;AAAAAAAAAAAAAAAAAB8BAABfcmVscy8ucmVsc1BLAQItABQABgAIAAAAIQD7+eSFxQAAAN4AAAAP&#10;AAAAAAAAAAAAAAAAAAcCAABkcnMvZG93bnJldi54bWxQSwUGAAAAAAMAAwC3AAAA+QIAAAAA&#10;" filled="f" stroked="f">
                  <v:textbox inset="0,0,0,0">
                    <w:txbxContent>
                      <w:p w14:paraId="43E5C807" w14:textId="77777777" w:rsidR="00B32EF2" w:rsidRDefault="00000000">
                        <w:r>
                          <w:rPr>
                            <w:rFonts w:ascii="Arial" w:eastAsia="Arial" w:hAnsi="Arial" w:cs="Arial"/>
                            <w:sz w:val="18"/>
                          </w:rPr>
                          <w:t xml:space="preserve">c) le richieste delle parti; </w:t>
                        </w:r>
                      </w:p>
                    </w:txbxContent>
                  </v:textbox>
                </v:rect>
                <v:rect id="Rectangle 16755" o:spid="_x0000_s2817" style="position:absolute;left:-12237;top:3345;width:521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UEexAAAAN4AAAAPAAAAZHJzL2Rvd25yZXYueG1sRE9Ni8Iw&#10;EL0L/ocwgjdNFXSlaxRRxB72sq4Lexyasa02k9BEW/31m4UFb/N4n7Ncd6YWd2p8ZVnBZJyAIM6t&#10;rrhQcPrajxYgfEDWWFsmBQ/ysF71e0tMtW35k+7HUIgYwj5FBWUILpXS5yUZ9GPriCN3to3BEGFT&#10;SN1gG8NNLadJMpcGK44NJTralpRfjzej4GfHLtu3Mj8/t+7jki3qw+30rdRw0G3eQQTqwkv87850&#10;nD9/m83g7514g1z9AgAA//8DAFBLAQItABQABgAIAAAAIQDb4fbL7gAAAIUBAAATAAAAAAAAAAAA&#10;AAAAAAAAAABbQ29udGVudF9UeXBlc10ueG1sUEsBAi0AFAAGAAgAAAAhAFr0LFu/AAAAFQEAAAsA&#10;AAAAAAAAAAAAAAAAHwEAAF9yZWxzLy5yZWxzUEsBAi0AFAAGAAgAAAAhAJS1QR7EAAAA3gAAAA8A&#10;AAAAAAAAAAAAAAAABwIAAGRycy9kb3ducmV2LnhtbFBLBQYAAAAAAwADALcAAAD4AgAAAAA=&#10;" filled="f" stroked="f">
                  <v:textbox inset="0,0,0,0">
                    <w:txbxContent>
                      <w:p w14:paraId="2D9CFD69" w14:textId="77777777" w:rsidR="00B32EF2" w:rsidRDefault="00000000">
                        <w:r>
                          <w:rPr>
                            <w:rFonts w:ascii="Arial" w:eastAsia="Arial" w:hAnsi="Arial" w:cs="Arial"/>
                            <w:sz w:val="18"/>
                          </w:rPr>
                          <w:t>d) la succinta esposizione dei motivi in fatto e diritto di accoglimento o di riget</w:t>
                        </w:r>
                      </w:p>
                    </w:txbxContent>
                  </v:textbox>
                </v:rect>
                <v:rect id="Rectangle 16756" o:spid="_x0000_s2818" style="position:absolute;left:191;top:334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99pxAAAAN4AAAAPAAAAZHJzL2Rvd25yZXYueG1sRE9Na8JA&#10;EL0X+h+WEbzVjYJRUlcpFjEHL1ULPQ7ZMUmbnV2yq4n+ercgeJvH+5zFqjeNuFDra8sKxqMEBHFh&#10;dc2lguNh8zYH4QOyxsYyKbiSh9Xy9WWBmbYdf9FlH0oRQ9hnqKAKwWVS+qIig35kHXHkTrY1GCJs&#10;S6lb7GK4aeQkSVJpsObYUKGjdUXF3/5sFPx8sss3nSxOt7Xb/ebzZns+fis1HPQf7yAC9eEpfrhz&#10;Heens2kK/+/EG+TyDgAA//8DAFBLAQItABQABgAIAAAAIQDb4fbL7gAAAIUBAAATAAAAAAAAAAAA&#10;AAAAAAAAAABbQ29udGVudF9UeXBlc10ueG1sUEsBAi0AFAAGAAgAAAAhAFr0LFu/AAAAFQEAAAsA&#10;AAAAAAAAAAAAAAAAHwEAAF9yZWxzLy5yZWxzUEsBAi0AFAAGAAgAAAAhAGRn32nEAAAA3gAAAA8A&#10;AAAAAAAAAAAAAAAABwIAAGRycy9kb3ducmV2LnhtbFBLBQYAAAAAAwADALcAAAD4AgAAAAA=&#10;" filled="f" stroked="f">
                  <v:textbox inset="0,0,0,0">
                    <w:txbxContent>
                      <w:p w14:paraId="29E43C12" w14:textId="77777777" w:rsidR="00B32EF2" w:rsidRDefault="00000000">
                        <w:r>
                          <w:rPr>
                            <w:rFonts w:ascii="Arial" w:eastAsia="Arial" w:hAnsi="Arial" w:cs="Arial"/>
                            <w:sz w:val="18"/>
                          </w:rPr>
                          <w:t>-</w:t>
                        </w:r>
                      </w:p>
                    </w:txbxContent>
                  </v:textbox>
                </v:rect>
                <v:rect id="Rectangle 16757" o:spid="_x0000_s2819" style="position:absolute;left:-12205;top:2112;width:5212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3ryxAAAAN4AAAAPAAAAZHJzL2Rvd25yZXYueG1sRE9Ni8Iw&#10;EL0L/ocwgjdNFValaxRRZHvwsq4Lexyasa02k9BEW/31m4UFb/N4n7Ncd6YWd2p8ZVnBZJyAIM6t&#10;rrhQcPrajxYgfEDWWFsmBQ/ysF71e0tMtW35k+7HUIgYwj5FBWUILpXS5yUZ9GPriCN3to3BEGFT&#10;SN1gG8NNLadJMpMGK44NJTralpRfjzej4GfHLtu3Mj8/t+5wyRb1x+30rdRw0G3eQQTqwkv87850&#10;nD+bv83h7514g1z9AgAA//8DAFBLAQItABQABgAIAAAAIQDb4fbL7gAAAIUBAAATAAAAAAAAAAAA&#10;AAAAAAAAAABbQ29udGVudF9UeXBlc10ueG1sUEsBAi0AFAAGAAgAAAAhAFr0LFu/AAAAFQEAAAsA&#10;AAAAAAAAAAAAAAAAHwEAAF9yZWxzLy5yZWxzUEsBAi0AFAAGAAgAAAAhAAsrevLEAAAA3gAAAA8A&#10;AAAAAAAAAAAAAAAABwIAAGRycy9kb3ducmV2LnhtbFBLBQYAAAAAAwADALcAAAD4AgAAAAA=&#10;" filled="f" stroked="f">
                  <v:textbox inset="0,0,0,0">
                    <w:txbxContent>
                      <w:p w14:paraId="62DB0304" w14:textId="77777777" w:rsidR="00B32EF2" w:rsidRDefault="00000000">
                        <w:r>
                          <w:rPr>
                            <w:rFonts w:ascii="Arial" w:eastAsia="Arial" w:hAnsi="Arial" w:cs="Arial"/>
                            <w:sz w:val="18"/>
                          </w:rPr>
                          <w:t>to, relativi alle questioni di merito ed alle questioni attinenti ai vizi di annullabi</w:t>
                        </w:r>
                      </w:p>
                    </w:txbxContent>
                  </v:textbox>
                </v:rect>
                <v:rect id="Rectangle 16758" o:spid="_x0000_s2820" style="position:absolute;left:191;top:2112;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O6AxwAAAN4AAAAPAAAAZHJzL2Rvd25yZXYueG1sRI9Ba8JA&#10;EIXvQv/DMoXedFOhKqmrFIuYg5eqhR6H7Jikzc4u2dWk/fXOoeBthvfmvW+W68G16kpdbDwbeJ5k&#10;oIhLbxuuDJyO2/ECVEzIFlvPZOCXIqxXD6Ml5tb3/EHXQ6qUhHDM0UCdUsi1jmVNDuPEB2LRzr5z&#10;mGTtKm077CXctXqaZTPtsGFpqDHQpqby53BxBr7eORTbXpfnv03YfxeLdnc5fRrz9Di8vYJKNKS7&#10;+f+6sII/m78Ir7wjM+jVDQAA//8DAFBLAQItABQABgAIAAAAIQDb4fbL7gAAAIUBAAATAAAAAAAA&#10;AAAAAAAAAAAAAABbQ29udGVudF9UeXBlc10ueG1sUEsBAi0AFAAGAAgAAAAhAFr0LFu/AAAAFQEA&#10;AAsAAAAAAAAAAAAAAAAAHwEAAF9yZWxzLy5yZWxzUEsBAi0AFAAGAAgAAAAhAHq07oDHAAAA3gAA&#10;AA8AAAAAAAAAAAAAAAAABwIAAGRycy9kb3ducmV2LnhtbFBLBQYAAAAAAwADALcAAAD7AgAAAAA=&#10;" filled="f" stroked="f">
                  <v:textbox inset="0,0,0,0">
                    <w:txbxContent>
                      <w:p w14:paraId="7FAE3210" w14:textId="77777777" w:rsidR="00B32EF2" w:rsidRDefault="00000000">
                        <w:r>
                          <w:rPr>
                            <w:rFonts w:ascii="Arial" w:eastAsia="Arial" w:hAnsi="Arial" w:cs="Arial"/>
                            <w:sz w:val="18"/>
                          </w:rPr>
                          <w:t>-</w:t>
                        </w:r>
                      </w:p>
                    </w:txbxContent>
                  </v:textbox>
                </v:rect>
                <v:rect id="Rectangle 16759" o:spid="_x0000_s2821" style="position:absolute;left:24110;top:878;width:158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sbxQAAAN4AAAAPAAAAZHJzL2Rvd25yZXYueG1sRE9Na8JA&#10;EL0X+h+WKXirGwWtja4iipiDl1oLPQ7ZMYlmZ5fsaqK/3i0UvM3jfc5s0ZlaXKnxlWUFg34Cgji3&#10;uuJCweF78z4B4QOyxtoyKbiRh8X89WWGqbYtf9F1HwoRQ9inqKAMwaVS+rwkg75vHXHkjrYxGCJs&#10;CqkbbGO4qeUwScbSYMWxoURHq5Ly8/5iFPyu2WWbVubH+8rtTtmk3l4OP0r13rrlFESgLjzF/+5M&#10;x/njj9En/L0Tb5DzBwAAAP//AwBQSwECLQAUAAYACAAAACEA2+H2y+4AAACFAQAAEwAAAAAAAAAA&#10;AAAAAAAAAAAAW0NvbnRlbnRfVHlwZXNdLnhtbFBLAQItABQABgAIAAAAIQBa9CxbvwAAABUBAAAL&#10;AAAAAAAAAAAAAAAAAB8BAABfcmVscy8ucmVsc1BLAQItABQABgAIAAAAIQAV+EsbxQAAAN4AAAAP&#10;AAAAAAAAAAAAAAAAAAcCAABkcnMvZG93bnJldi54bWxQSwUGAAAAAAMAAwC3AAAA+QIAAAAA&#10;" filled="f" stroked="f">
                  <v:textbox inset="0,0,0,0">
                    <w:txbxContent>
                      <w:p w14:paraId="6036C9AF" w14:textId="77777777" w:rsidR="00B32EF2" w:rsidRDefault="00000000">
                        <w:r>
                          <w:rPr>
                            <w:rFonts w:ascii="Arial" w:eastAsia="Arial" w:hAnsi="Arial" w:cs="Arial"/>
                            <w:sz w:val="18"/>
                          </w:rPr>
                          <w:t xml:space="preserve">lità o di nullità dell’atto; </w:t>
                        </w:r>
                      </w:p>
                    </w:txbxContent>
                  </v:textbox>
                </v:rect>
                <v:rect id="Rectangle 16760" o:spid="_x0000_s2822" style="position:absolute;left:29516;top:-354;width:1040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ig7xwAAAN4AAAAPAAAAZHJzL2Rvd25yZXYueG1sRI9Bb8Iw&#10;DIXvk/YfIk/abaTboaBCQIgJrYddBkza0WpMW2icqAm026+fD0jcbPn5vfctVqPr1JX62Ho28DrJ&#10;QBFX3rZcGzjsty8zUDEhW+w8k4FfirBaPj4ssLB+4C+67lKtxIRjgQaalEKhdawachgnPhDL7eh7&#10;h0nWvta2x0HMXaffsizXDluWhAYDbRqqzruLM/DzzqHcDro6/m3C56mcdR+Xw7cxz0/jeg4q0Zju&#10;4tt3aaV+Ps0FQHBkBr38BwAA//8DAFBLAQItABQABgAIAAAAIQDb4fbL7gAAAIUBAAATAAAAAAAA&#10;AAAAAAAAAAAAAABbQ29udGVudF9UeXBlc10ueG1sUEsBAi0AFAAGAAgAAAAhAFr0LFu/AAAAFQEA&#10;AAsAAAAAAAAAAAAAAAAAHwEAAF9yZWxzLy5yZWxzUEsBAi0AFAAGAAgAAAAhAEquKDvHAAAA3gAA&#10;AA8AAAAAAAAAAAAAAAAABwIAAGRycy9kb3ducmV2LnhtbFBLBQYAAAAAAwADALcAAAD7AgAAAAA=&#10;" filled="f" stroked="f">
                  <v:textbox inset="0,0,0,0">
                    <w:txbxContent>
                      <w:p w14:paraId="3AB17EDC" w14:textId="77777777" w:rsidR="00B32EF2" w:rsidRDefault="00000000">
                        <w:r>
                          <w:rPr>
                            <w:rFonts w:ascii="Arial" w:eastAsia="Arial" w:hAnsi="Arial" w:cs="Arial"/>
                            <w:sz w:val="18"/>
                          </w:rPr>
                          <w:t>e) il dispositivo.</w:t>
                        </w:r>
                      </w:p>
                    </w:txbxContent>
                  </v:textbox>
                </v:rect>
                <v:shape id="Shape 207846" o:spid="_x0000_s2823" style="position:absolute;left:317;top:24281;width:39600;height:24443;visibility:visible;mso-wrap-style:square;v-text-anchor:top" coordsize="3960000,244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0uqyAAAAN8AAAAPAAAAZHJzL2Rvd25yZXYueG1sRI9fS8NA&#10;EMTfBb/DsYJv9tJS+yf2WiRU8E1MRdq3JbcmIbm9mNs28dt7gtDHYWZ+w2x2o2vVhfpQezYwnSSg&#10;iAtvay4NfBxeHlaggiBbbD2TgR8KsNve3mwwtX7gd7rkUqoI4ZCigUqkS7UORUUOw8R3xNH78r1D&#10;ibIvte1xiHDX6lmSLLTDmuNChR1lFRVNfnYG/PexObeSnY7Np2Tr4S173E9zY+7vxucnUEKjXMP/&#10;7VdrYJYsV/MF/P2JX0BvfwEAAP//AwBQSwECLQAUAAYACAAAACEA2+H2y+4AAACFAQAAEwAAAAAA&#10;AAAAAAAAAAAAAAAAW0NvbnRlbnRfVHlwZXNdLnhtbFBLAQItABQABgAIAAAAIQBa9CxbvwAAABUB&#10;AAALAAAAAAAAAAAAAAAAAB8BAABfcmVscy8ucmVsc1BLAQItABQABgAIAAAAIQB4f0uqyAAAAN8A&#10;AAAPAAAAAAAAAAAAAAAAAAcCAABkcnMvZG93bnJldi54bWxQSwUGAAAAAAMAAwC3AAAA/AIAAAAA&#10;" path="m,l3960000,r,2444306l,2444306,,e" fillcolor="#c3c3c3" stroked="f" strokeweight="0">
                  <v:stroke miterlimit="83231f" joinstyle="miter"/>
                  <v:path arrowok="t" textboxrect="0,0,3960000,2444306"/>
                </v:shape>
                <v:rect id="Rectangle 16762" o:spid="_x0000_s2824" style="position:absolute;left:23287;top:4651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BPXxAAAAN4AAAAPAAAAZHJzL2Rvd25yZXYueG1sRE9Na8JA&#10;EL0X/A/LFLzVTT2kkrqKKGIOXmojeByyY5KanV2yq4n+erdQ6G0e73Pmy8G04kadbywreJ8kIIhL&#10;qxuuFBTf27cZCB+QNbaWScGdPCwXo5c5Ztr2/EW3Q6hEDGGfoYI6BJdJ6cuaDPqJdcSRO9vOYIiw&#10;q6TusI/hppXTJEmlwYZjQ42O1jWVl8PVKDht2OXbXpbnx9rtf/JZu7sWR6XGr8PqE0SgIfyL/9y5&#10;jvPTj3QKv+/EG+TiCQAA//8DAFBLAQItABQABgAIAAAAIQDb4fbL7gAAAIUBAAATAAAAAAAAAAAA&#10;AAAAAAAAAABbQ29udGVudF9UeXBlc10ueG1sUEsBAi0AFAAGAAgAAAAhAFr0LFu/AAAAFQEAAAsA&#10;AAAAAAAAAAAAAAAAHwEAAF9yZWxzLy5yZWxzUEsBAi0AFAAGAAgAAAAhANUwE9fEAAAA3gAAAA8A&#10;AAAAAAAAAAAAAAAABwIAAGRycy9kb3ducmV2LnhtbFBLBQYAAAAAAwADALcAAAD4AgAAAAA=&#10;" filled="f" stroked="f">
                  <v:textbox inset="0,0,0,0">
                    <w:txbxContent>
                      <w:p w14:paraId="68C6CA8E" w14:textId="77777777" w:rsidR="00B32EF2" w:rsidRDefault="00000000">
                        <w:r>
                          <w:rPr>
                            <w:rFonts w:ascii="Arial" w:eastAsia="Arial" w:hAnsi="Arial" w:cs="Arial"/>
                            <w:b/>
                            <w:i/>
                            <w:sz w:val="18"/>
                          </w:rPr>
                          <w:t>NORME RICHIAMATE</w:t>
                        </w:r>
                      </w:p>
                    </w:txbxContent>
                  </v:textbox>
                </v:rect>
                <v:rect id="Rectangle 16763" o:spid="_x0000_s2825" style="position:absolute;left:18976;top:45140;width:201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LZMxAAAAN4AAAAPAAAAZHJzL2Rvd25yZXYueG1sRE9Na8JA&#10;EL0X+h+WEbzVjQpRUlcpFjEHL1ULPQ7ZMUmbnV2yq4n+ercgeJvH+5zFqjeNuFDra8sKxqMEBHFh&#10;dc2lguNh8zYH4QOyxsYyKbiSh9Xy9WWBmbYdf9FlH0oRQ9hnqKAKwWVS+qIig35kHXHkTrY1GCJs&#10;S6lb7GK4aeQkSVJpsObYUKGjdUXF3/5sFPx8sss3nSxOt7Xb/ebzZns+fis1HPQf7yAC9eEpfrhz&#10;Heens3QK/+/EG+TyDgAA//8DAFBLAQItABQABgAIAAAAIQDb4fbL7gAAAIUBAAATAAAAAAAAAAAA&#10;AAAAAAAAAABbQ29udGVudF9UeXBlc10ueG1sUEsBAi0AFAAGAAgAAAAhAFr0LFu/AAAAFQEAAAsA&#10;AAAAAAAAAAAAAAAAHwEAAF9yZWxzLy5yZWxzUEsBAi0AFAAGAAgAAAAhALp8tkzEAAAA3gAAAA8A&#10;AAAAAAAAAAAAAAAABwIAAGRycy9kb3ducmV2LnhtbFBLBQYAAAAAAwADALcAAAD4AgAAAAA=&#10;" filled="f" stroked="f">
                  <v:textbox inset="0,0,0,0">
                    <w:txbxContent>
                      <w:p w14:paraId="45A55280" w14:textId="77777777" w:rsidR="00B32EF2" w:rsidRDefault="00000000">
                        <w:r>
                          <w:rPr>
                            <w:rFonts w:ascii="Arial" w:eastAsia="Arial" w:hAnsi="Arial" w:cs="Arial"/>
                            <w:i/>
                            <w:sz w:val="18"/>
                          </w:rPr>
                          <w:t>art. 276 c.p.c “Deliberazione.”</w:t>
                        </w:r>
                      </w:p>
                    </w:txbxContent>
                  </v:textbox>
                </v:rect>
                <v:rect id="Rectangle 200698" o:spid="_x0000_s2826" style="position:absolute;left:-12490;top:43769;width:5109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OxwAAAN8AAAAPAAAAZHJzL2Rvd25yZXYueG1sRI/BasMw&#10;DIbvg76DUaG31ekOJUvrlpISlsMuyzrYUcRqkjaWTew22Z5+Hgx2FL/+T/q2+8n04k6D7ywrWC0T&#10;EMS11R03Ck7vxWMKwgdkjb1lUvBFHva72cMWM21HfqN7FRoRIewzVNCG4DIpfd2SQb+0jjhmZzsY&#10;DHEcGqkHHCPc9PIpSdbSYMfxQouO8pbqa3UzCj6P7MpilPX5O3evlzLtX26nD6UW8+mwARFoCv/L&#10;f+1SK/glPseHo090Abn7AQAA//8DAFBLAQItABQABgAIAAAAIQDb4fbL7gAAAIUBAAATAAAAAAAA&#10;AAAAAAAAAAAAAABbQ29udGVudF9UeXBlc10ueG1sUEsBAi0AFAAGAAgAAAAhAFr0LFu/AAAAFQEA&#10;AAsAAAAAAAAAAAAAAAAAHwEAAF9yZWxzLy5yZWxzUEsBAi0AFAAGAAgAAAAhAP9Zmg7HAAAA3wAA&#10;AA8AAAAAAAAAAAAAAAAABwIAAGRycy9kb3ducmV2LnhtbFBLBQYAAAAAAwADALcAAAD7AgAAAAA=&#10;" filled="f" stroked="f">
                  <v:textbox inset="0,0,0,0">
                    <w:txbxContent>
                      <w:p w14:paraId="227D772F" w14:textId="77777777" w:rsidR="00B32EF2" w:rsidRDefault="00000000">
                        <w:r>
                          <w:rPr>
                            <w:rFonts w:ascii="Arial" w:eastAsia="Arial" w:hAnsi="Arial" w:cs="Arial"/>
                            <w:i/>
                            <w:sz w:val="18"/>
                          </w:rPr>
                          <w:t xml:space="preserve">. La decisione è deliberata in segreto nella camera di consiglio. Ad essa </w:t>
                        </w:r>
                      </w:p>
                    </w:txbxContent>
                  </v:textbox>
                </v:rect>
                <v:rect id="Rectangle 200697" o:spid="_x0000_s2827" style="position:absolute;left:25821;top:43769;width:5109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g58xgAAAN8AAAAPAAAAZHJzL2Rvd25yZXYueG1sRI9Ba8JA&#10;FITvgv9heUJvdaOHalNXEUXMwUttBI+P7DNJzb5dsqtJ++u7QsHjMDPfMItVbxpxp9bXlhVMxgkI&#10;4sLqmksF+dfudQ7CB2SNjWVS8EMeVsvhYIGpth1/0v0YShEh7FNUUIXgUil9UZFBP7aOOHoX2xoM&#10;Ubal1C12EW4aOU2SN2mw5rhQoaNNRcX1eDMKzlt22a6TxeV34w7f2bzZ3/KTUi+jfv0BIlAfnuH/&#10;dqYVPIjvM3j8iV9ALv8AAAD//wMAUEsBAi0AFAAGAAgAAAAhANvh9svuAAAAhQEAABMAAAAAAAAA&#10;AAAAAAAAAAAAAFtDb250ZW50X1R5cGVzXS54bWxQSwECLQAUAAYACAAAACEAWvQsW78AAAAVAQAA&#10;CwAAAAAAAAAAAAAAAAAfAQAAX3JlbHMvLnJlbHNQSwECLQAUAAYACAAAACEAjsYOfMYAAADfAAAA&#10;DwAAAAAAAAAAAAAAAAAHAgAAZHJzL2Rvd25yZXYueG1sUEsFBgAAAAADAAMAtwAAAPoCAAAAAA==&#10;" filled="f" stroked="f">
                  <v:textbox inset="0,0,0,0">
                    <w:txbxContent>
                      <w:p w14:paraId="5F7D5545" w14:textId="77777777" w:rsidR="00B32EF2" w:rsidRDefault="00000000">
                        <w:r>
                          <w:rPr>
                            <w:rFonts w:ascii="Arial" w:eastAsia="Arial" w:hAnsi="Arial" w:cs="Arial"/>
                            <w:i/>
                            <w:sz w:val="18"/>
                          </w:rPr>
                          <w:t>1</w:t>
                        </w:r>
                      </w:p>
                    </w:txbxContent>
                  </v:textbox>
                </v:rect>
                <v:rect id="Rectangle 16765" o:spid="_x0000_s2828" style="position:absolute;left:-11452;top:42397;width:505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YujxAAAAN4AAAAPAAAAZHJzL2Rvd25yZXYueG1sRE9Na8JA&#10;EL0X+h+WEbzVjYJRUlcpFjEHL1ULPQ7ZMUmbnV2yq4n+ercgeJvH+5zFqjeNuFDra8sKxqMEBHFh&#10;dc2lguNh8zYH4QOyxsYyKbiSh9Xy9WWBmbYdf9FlH0oRQ9hnqKAKwWVS+qIig35kHXHkTrY1GCJs&#10;S6lb7GK4aeQkSVJpsObYUKGjdUXF3/5sFPx8sss3nSxOt7Xb/ebzZns+fis1HPQf7yAC9eEpfrhz&#10;Heens3QK/+/EG+TyDgAA//8DAFBLAQItABQABgAIAAAAIQDb4fbL7gAAAIUBAAATAAAAAAAAAAAA&#10;AAAAAAAAAABbQ29udGVudF9UeXBlc10ueG1sUEsBAi0AFAAGAAgAAAAhAFr0LFu/AAAAFQEAAAsA&#10;AAAAAAAAAAAAAAAAHwEAAF9yZWxzLy5yZWxzUEsBAi0AFAAGAAgAAAAhAFrZi6PEAAAA3gAAAA8A&#10;AAAAAAAAAAAAAAAABwIAAGRycy9kb3ducmV2LnhtbFBLBQYAAAAAAwADALcAAAD4AgAAAAA=&#10;" filled="f" stroked="f">
                  <v:textbox inset="0,0,0,0">
                    <w:txbxContent>
                      <w:p w14:paraId="52E1608D" w14:textId="77777777" w:rsidR="00B32EF2" w:rsidRDefault="00000000">
                        <w:r>
                          <w:rPr>
                            <w:rFonts w:ascii="Arial" w:eastAsia="Arial" w:hAnsi="Arial" w:cs="Arial"/>
                            <w:i/>
                            <w:sz w:val="18"/>
                          </w:rPr>
                          <w:t>possono partecipare soltanto i giudici che hanno assistito alla discussione.</w:t>
                        </w:r>
                      </w:p>
                    </w:txbxContent>
                  </v:textbox>
                </v:rect>
                <v:rect id="Rectangle 200695" o:spid="_x0000_s2829" style="position:absolute;left:26084;top:41025;width:500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DWQxgAAAN8AAAAPAAAAZHJzL2Rvd25yZXYueG1sRI9Ba8JA&#10;FITvgv9heUJvdaNQsamriCLm4KU2gsdH9pmkZt8u2dWk/fVdoeBxmJlvmMWqN424U+trywom4wQE&#10;cWF1zaWC/Gv3OgfhA7LGxjIp+CEPq+VwsMBU244/6X4MpYgQ9ikqqEJwqZS+qMigH1tHHL2LbQ2G&#10;KNtS6ha7CDeNnCbJTBqsOS5U6GhTUXE93oyC85ZdtutkcfnduMN3Nm/2t/yk1MuoX3+ACNSHZ/i/&#10;nWkFD+L7Gzz+xC8gl38AAAD//wMAUEsBAi0AFAAGAAgAAAAhANvh9svuAAAAhQEAABMAAAAAAAAA&#10;AAAAAAAAAAAAAFtDb250ZW50X1R5cGVzXS54bWxQSwECLQAUAAYACAAAACEAWvQsW78AAAAVAQAA&#10;CwAAAAAAAAAAAAAAAAAfAQAAX3JlbHMvLnJlbHNQSwECLQAUAAYACAAAACEAEVg1kMYAAADfAAAA&#10;DwAAAAAAAAAAAAAAAAAHAgAAZHJzL2Rvd25yZXYueG1sUEsFBgAAAAADAAMAtwAAAPoCAAAAAA==&#10;" filled="f" stroked="f">
                  <v:textbox inset="0,0,0,0">
                    <w:txbxContent>
                      <w:p w14:paraId="1ADF2B12" w14:textId="77777777" w:rsidR="00B32EF2" w:rsidRDefault="00000000">
                        <w:r>
                          <w:rPr>
                            <w:rFonts w:ascii="Arial" w:eastAsia="Arial" w:hAnsi="Arial" w:cs="Arial"/>
                            <w:i/>
                            <w:sz w:val="18"/>
                          </w:rPr>
                          <w:t>2</w:t>
                        </w:r>
                      </w:p>
                    </w:txbxContent>
                  </v:textbox>
                </v:rect>
                <v:rect id="Rectangle 200696" o:spid="_x0000_s2830" style="position:absolute;left:-11544;top:41025;width:500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qvnxwAAAN8AAAAPAAAAZHJzL2Rvd25yZXYueG1sRI9Ba8JA&#10;FITvBf/D8gRvdWMPElNXKZHQHHqpWujxkX0mabNvl+yaxP76rlDocZiZb5jtfjKdGKj3rWUFq2UC&#10;griyuuVawflUPKYgfEDW2FkmBTfysN/NHraYaTvyOw3HUIsIYZ+hgiYEl0npq4YM+qV1xNG72N5g&#10;iLKvpe5xjHDTyackWUuDLceFBh3lDVXfx6tR8HlgVxajrC4/uXv7KtPu9Xr+UGoxn16eQQSawn/4&#10;r11qBXfiZg33P/ELyN0vAAAA//8DAFBLAQItABQABgAIAAAAIQDb4fbL7gAAAIUBAAATAAAAAAAA&#10;AAAAAAAAAAAAAABbQ29udGVudF9UeXBlc10ueG1sUEsBAi0AFAAGAAgAAAAhAFr0LFu/AAAAFQEA&#10;AAsAAAAAAAAAAAAAAAAAHwEAAF9yZWxzLy5yZWxzUEsBAi0AFAAGAAgAAAAhAOGKq+fHAAAA3wAA&#10;AA8AAAAAAAAAAAAAAAAABwIAAGRycy9kb3ducmV2LnhtbFBLBQYAAAAAAwADALcAAAD7AgAAAAA=&#10;" filled="f" stroked="f">
                  <v:textbox inset="0,0,0,0">
                    <w:txbxContent>
                      <w:p w14:paraId="2AFD6DE7" w14:textId="77777777" w:rsidR="00B32EF2" w:rsidRDefault="00000000">
                        <w:r>
                          <w:rPr>
                            <w:rFonts w:ascii="Arial" w:eastAsia="Arial" w:hAnsi="Arial" w:cs="Arial"/>
                            <w:i/>
                            <w:sz w:val="18"/>
                          </w:rPr>
                          <w:t>.Il collegio, sotto la direzione del presidente, decide gradatamente le que</w:t>
                        </w:r>
                      </w:p>
                    </w:txbxContent>
                  </v:textbox>
                </v:rect>
                <v:rect id="Rectangle 16767" o:spid="_x0000_s2831" style="position:absolute;left:975;top:4102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7BPxAAAAN4AAAAPAAAAZHJzL2Rvd25yZXYueG1sRE9Na8JA&#10;EL0L/odlCr3pph6ipK4iiphDL9UIHofsmKRmZ5fsatL++m6h4G0e73OW68G04kGdbywreJsmIIhL&#10;qxuuFBSn/WQBwgdkja1lUvBNHtar8WiJmbY9f9LjGCoRQ9hnqKAOwWVS+rImg35qHXHkrrYzGCLs&#10;Kqk77GO4aeUsSVJpsOHYUKOjbU3l7Xg3Ci47dvm+l+X1Z+s+vvJFe7gXZ6VeX4bNO4hAQ3iK/925&#10;jvPTeTqHv3fiDXL1CwAA//8DAFBLAQItABQABgAIAAAAIQDb4fbL7gAAAIUBAAATAAAAAAAAAAAA&#10;AAAAAAAAAABbQ29udGVudF9UeXBlc10ueG1sUEsBAi0AFAAGAAgAAAAhAFr0LFu/AAAAFQEAAAsA&#10;AAAAAAAAAAAAAAAAHwEAAF9yZWxzLy5yZWxzUEsBAi0AFAAGAAgAAAAhAMVHsE/EAAAA3gAAAA8A&#10;AAAAAAAAAAAAAAAABwIAAGRycy9kb3ducmV2LnhtbFBLBQYAAAAAAwADALcAAAD4AgAAAAA=&#10;" filled="f" stroked="f">
                  <v:textbox inset="0,0,0,0">
                    <w:txbxContent>
                      <w:p w14:paraId="2FC2EAFC" w14:textId="77777777" w:rsidR="00B32EF2" w:rsidRDefault="00000000">
                        <w:r>
                          <w:rPr>
                            <w:rFonts w:ascii="Arial" w:eastAsia="Arial" w:hAnsi="Arial" w:cs="Arial"/>
                            <w:i/>
                            <w:sz w:val="18"/>
                          </w:rPr>
                          <w:t>-</w:t>
                        </w:r>
                      </w:p>
                    </w:txbxContent>
                  </v:textbox>
                </v:rect>
                <v:rect id="Rectangle 16768" o:spid="_x0000_s2832" style="position:absolute;left:-11878;top:39654;width:510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CQ9xwAAAN4AAAAPAAAAZHJzL2Rvd25yZXYueG1sRI9Bb8Iw&#10;DIXvk/YfIk/abaTboaBCQIgJrYddBkza0WpMW2icqAm026+fD0jcbL3n9z4vVqPr1JX62Ho28DrJ&#10;QBFX3rZcGzjsty8zUDEhW+w8k4FfirBaPj4ssLB+4C+67lKtJIRjgQaalEKhdawachgnPhCLdvS9&#10;wyRrX2vb4yDhrtNvWZZrhy1LQ4OBNg1V593FGfh551BuB10d/zbh81TOuo/L4duY56dxPQeVaEx3&#10;8+26tIKfT3PhlXdkBr38BwAA//8DAFBLAQItABQABgAIAAAAIQDb4fbL7gAAAIUBAAATAAAAAAAA&#10;AAAAAAAAAAAAAABbQ29udGVudF9UeXBlc10ueG1sUEsBAi0AFAAGAAgAAAAhAFr0LFu/AAAAFQEA&#10;AAsAAAAAAAAAAAAAAAAAHwEAAF9yZWxzLy5yZWxzUEsBAi0AFAAGAAgAAAAhALTYJD3HAAAA3gAA&#10;AA8AAAAAAAAAAAAAAAAABwIAAGRycy9kb3ducmV2LnhtbFBLBQYAAAAAAwADALcAAAD7AgAAAAA=&#10;" filled="f" stroked="f">
                  <v:textbox inset="0,0,0,0">
                    <w:txbxContent>
                      <w:p w14:paraId="79EC496A" w14:textId="77777777" w:rsidR="00B32EF2" w:rsidRDefault="00000000">
                        <w:r>
                          <w:rPr>
                            <w:rFonts w:ascii="Arial" w:eastAsia="Arial" w:hAnsi="Arial" w:cs="Arial"/>
                            <w:i/>
                            <w:sz w:val="18"/>
                          </w:rPr>
                          <w:t xml:space="preserve">stioni pregiudiziali proposte dalle parti o rilevabili d’ufficio e quindi il merito </w:t>
                        </w:r>
                      </w:p>
                    </w:txbxContent>
                  </v:textbox>
                </v:rect>
                <v:rect id="Rectangle 16769" o:spid="_x0000_s2833" style="position:absolute;left:30937;top:38282;width:82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IGmxAAAAN4AAAAPAAAAZHJzL2Rvd25yZXYueG1sRE9Na8JA&#10;EL0L/Q/LCN7qRg9RU1cpFjEHL1ULPQ7ZMUmbnV2yq4n+erdQ8DaP9znLdW8acaXW15YVTMYJCOLC&#10;6ppLBafj9nUOwgdkjY1lUnAjD+vVy2CJmbYdf9L1EEoRQ9hnqKAKwWVS+qIig35sHXHkzrY1GCJs&#10;S6lb7GK4aeQ0SVJpsObYUKGjTUXF7+FiFHx/sMu3nSzO943b/+TzZnc5fSk1GvbvbyAC9eEp/nfn&#10;Os5PZ+kC/t6JN8jVAwAA//8DAFBLAQItABQABgAIAAAAIQDb4fbL7gAAAIUBAAATAAAAAAAAAAAA&#10;AAAAAAAAAABbQ29udGVudF9UeXBlc10ueG1sUEsBAi0AFAAGAAgAAAAhAFr0LFu/AAAAFQEAAAsA&#10;AAAAAAAAAAAAAAAAHwEAAF9yZWxzLy5yZWxzUEsBAi0AFAAGAAgAAAAhANuUgabEAAAA3gAAAA8A&#10;AAAAAAAAAAAAAAAABwIAAGRycy9kb3ducmV2LnhtbFBLBQYAAAAAAwADALcAAAD4AgAAAAA=&#10;" filled="f" stroked="f">
                  <v:textbox inset="0,0,0,0">
                    <w:txbxContent>
                      <w:p w14:paraId="5F0D2059" w14:textId="77777777" w:rsidR="00B32EF2" w:rsidRDefault="00000000">
                        <w:r>
                          <w:rPr>
                            <w:rFonts w:ascii="Arial" w:eastAsia="Arial" w:hAnsi="Arial" w:cs="Arial"/>
                            <w:i/>
                            <w:sz w:val="18"/>
                          </w:rPr>
                          <w:t>della causa.</w:t>
                        </w:r>
                      </w:p>
                    </w:txbxContent>
                  </v:textbox>
                </v:rect>
                <v:rect id="Rectangle 200692" o:spid="_x0000_s2834" style="position:absolute;left:25845;top:36911;width:5099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a3kxwAAAN8AAAAPAAAAZHJzL2Rvd25yZXYueG1sRI9Ba8JA&#10;FITvQv/D8gq96aY5SBpdRVLEHHqptdDjI/tMotm3S3ZN0v76rlDocZiZb5j1djKdGKj3rWUFz4sE&#10;BHFldcu1gtPHfp6B8AFZY2eZFHyTh+3mYbbGXNuR32k4hlpECPscFTQhuFxKXzVk0C+sI47e2fYG&#10;Q5R9LXWPY4SbTqZJspQGW44LDToqGqqux5tR8PXKrtyPsjr/FO7tUmbd4Xb6VOrpcdqtQASawn/4&#10;r11qBXfiSwr3P/ELyM0vAAAA//8DAFBLAQItABQABgAIAAAAIQDb4fbL7gAAAIUBAAATAAAAAAAA&#10;AAAAAAAAAAAAAABbQ29udGVudF9UeXBlc10ueG1sUEsBAi0AFAAGAAgAAAAhAFr0LFu/AAAAFQEA&#10;AAsAAAAAAAAAAAAAAAAAHwEAAF9yZWxzLy5yZWxzUEsBAi0AFAAGAAgAAAAhAJ6xreTHAAAA3wAA&#10;AA8AAAAAAAAAAAAAAAAABwIAAGRycy9kb3ducmV2LnhtbFBLBQYAAAAAAwADALcAAAD7AgAAAAA=&#10;" filled="f" stroked="f">
                  <v:textbox inset="0,0,0,0">
                    <w:txbxContent>
                      <w:p w14:paraId="0C764DB0" w14:textId="77777777" w:rsidR="00B32EF2" w:rsidRDefault="00000000">
                        <w:r>
                          <w:rPr>
                            <w:rFonts w:ascii="Arial" w:eastAsia="Arial" w:hAnsi="Arial" w:cs="Arial"/>
                            <w:i/>
                            <w:sz w:val="18"/>
                          </w:rPr>
                          <w:t>3</w:t>
                        </w:r>
                      </w:p>
                    </w:txbxContent>
                  </v:textbox>
                </v:rect>
                <v:rect id="Rectangle 200694" o:spid="_x0000_s2835" style="position:absolute;left:-12538;top:36911;width:5099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ALxgAAAN8AAAAPAAAAZHJzL2Rvd25yZXYueG1sRI9Ba8JA&#10;FITvgv9heUJvdaMUsamriCLm4KU2gsdH9pmkZt8u2dWk/fVdoeBxmJlvmMWqN424U+trywom4wQE&#10;cWF1zaWC/Gv3OgfhA7LGxjIp+CEPq+VwsMBU244/6X4MpYgQ9ikqqEJwqZS+qMigH1tHHL2LbQ2G&#10;KNtS6ha7CDeNnCbJTBqsOS5U6GhTUXE93oyC85ZdtutkcfnduMN3Nm/2t/yk1MuoX3+ACNSHZ/i/&#10;nWkFD+L7Gzz+xC8gl38AAAD//wMAUEsBAi0AFAAGAAgAAAAhANvh9svuAAAAhQEAABMAAAAAAAAA&#10;AAAAAAAAAAAAAFtDb250ZW50X1R5cGVzXS54bWxQSwECLQAUAAYACAAAACEAWvQsW78AAAAVAQAA&#10;CwAAAAAAAAAAAAAAAAAfAQAAX3JlbHMvLnJlbHNQSwECLQAUAAYACAAAACEAfhSQC8YAAADfAAAA&#10;DwAAAAAAAAAAAAAAAAAHAgAAZHJzL2Rvd25yZXYueG1sUEsFBgAAAAADAAMAtwAAAPoCAAAAAA==&#10;" filled="f" stroked="f">
                  <v:textbox inset="0,0,0,0">
                    <w:txbxContent>
                      <w:p w14:paraId="5A883166" w14:textId="77777777" w:rsidR="00B32EF2" w:rsidRDefault="00000000">
                        <w:r>
                          <w:rPr>
                            <w:rFonts w:ascii="Arial" w:eastAsia="Arial" w:hAnsi="Arial" w:cs="Arial"/>
                            <w:i/>
                            <w:sz w:val="18"/>
                          </w:rPr>
                          <w:t xml:space="preserve">.La decisione è presa a maggioranza di voti. Il primo a votare è il relatore, </w:t>
                        </w:r>
                      </w:p>
                    </w:txbxContent>
                  </v:textbox>
                </v:rect>
                <v:rect id="Rectangle 16771" o:spid="_x0000_s2836" style="position:absolute;left:11067;top:35539;width:280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xt9wwAAAN4AAAAPAAAAZHJzL2Rvd25yZXYueG1sRE9Li8Iw&#10;EL4v+B/CCHtbU/egUo0iimwPe/EFHodmbKvNJDTRdvfXG0HwNh/fc2aLztTiTo2vLCsYDhIQxLnV&#10;FRcKDvvN1wSED8gaa8uk4I88LOa9jxmm2ra8pfsuFCKGsE9RQRmCS6X0eUkG/cA64sidbWMwRNgU&#10;UjfYxnBTy+8kGUmDFceGEh2tSsqvu5tRcFqzyzatzM//K/d7ySb1z+1wVOqz3y2nIAJ14S1+uTMd&#10;54/G4yE834k3yPkDAAD//wMAUEsBAi0AFAAGAAgAAAAhANvh9svuAAAAhQEAABMAAAAAAAAAAAAA&#10;AAAAAAAAAFtDb250ZW50X1R5cGVzXS54bWxQSwECLQAUAAYACAAAACEAWvQsW78AAAAVAQAACwAA&#10;AAAAAAAAAAAAAAAfAQAAX3JlbHMvLnJlbHNQSwECLQAUAAYACAAAACEAoDsbfcMAAADeAAAADwAA&#10;AAAAAAAAAAAAAAAHAgAAZHJzL2Rvd25yZXYueG1sUEsFBgAAAAADAAMAtwAAAPcCAAAAAA==&#10;" filled="f" stroked="f">
                  <v:textbox inset="0,0,0,0">
                    <w:txbxContent>
                      <w:p w14:paraId="53FBD9EE" w14:textId="77777777" w:rsidR="00B32EF2" w:rsidRDefault="00000000">
                        <w:r>
                          <w:rPr>
                            <w:rFonts w:ascii="Arial" w:eastAsia="Arial" w:hAnsi="Arial" w:cs="Arial"/>
                            <w:i/>
                            <w:sz w:val="18"/>
                          </w:rPr>
                          <w:t>quindi l’altro giudice e infine il presidente.</w:t>
                        </w:r>
                      </w:p>
                    </w:txbxContent>
                  </v:textbox>
                </v:rect>
                <v:rect id="Rectangle 200690" o:spid="_x0000_s2837" style="position:absolute;left:25806;top:34167;width:511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5YIxwAAAN8AAAAPAAAAZHJzL2Rvd25yZXYueG1sRI9Ba8JA&#10;EIXvBf/DMoK3urEHSaOrSCQ0h16aWuhxyI5JNDu7ZFeT9td3C4Uehzfve3zb/WR6cafBd5YVrJYJ&#10;COLa6o4bBaf34jEF4QOyxt4yKfgiD/vd7GGLmbYjv9G9Co2IEPYZKmhDcJmUvm7JoF9aRxyzsx0M&#10;hngOjdQDjhFuevmUJGtpsOO40KKjvKX6Wt2Mgs8ju7IYZX3+zt3rpUz7l9vpQ6nFfDpsQASawv/z&#10;X7vUCn6Jz9Eg+kQXkLsfAAAA//8DAFBLAQItABQABgAIAAAAIQDb4fbL7gAAAIUBAAATAAAAAAAA&#10;AAAAAAAAAAAAAABbQ29udGVudF9UeXBlc10ueG1sUEsBAi0AFAAGAAgAAAAhAFr0LFu/AAAAFQEA&#10;AAsAAAAAAAAAAAAAAAAAHwEAAF9yZWxzLy5yZWxzUEsBAi0AFAAGAAgAAAAhAAEvlgjHAAAA3wAA&#10;AA8AAAAAAAAAAAAAAAAABwIAAGRycy9kb3ducmV2LnhtbFBLBQYAAAAAAwADALcAAAD7AgAAAAA=&#10;" filled="f" stroked="f">
                  <v:textbox inset="0,0,0,0">
                    <w:txbxContent>
                      <w:p w14:paraId="75067EDE" w14:textId="77777777" w:rsidR="00B32EF2" w:rsidRDefault="00000000">
                        <w:r>
                          <w:rPr>
                            <w:rFonts w:ascii="Arial" w:eastAsia="Arial" w:hAnsi="Arial" w:cs="Arial"/>
                            <w:i/>
                            <w:sz w:val="18"/>
                          </w:rPr>
                          <w:t>4</w:t>
                        </w:r>
                      </w:p>
                    </w:txbxContent>
                  </v:textbox>
                </v:rect>
                <v:rect id="Rectangle 200691" o:spid="_x0000_s2838" style="position:absolute;left:-12562;top:34167;width:511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zOTxwAAAN8AAAAPAAAAZHJzL2Rvd25yZXYueG1sRI9Ba8JA&#10;FITvhf6H5RV6qxt7KGnqKmKR5uDF1EKPj+wzSc2+XbJrkvrr3YDgcZiZb5jFajSt6KnzjWUF81kC&#10;gri0uuFKweF7+5KC8AFZY2uZFPyTh9Xy8WGBmbYD76kvQiUihH2GCuoQXCalL2sy6GfWEUfvaDuD&#10;IcqukrrDIcJNK1+T5E0abDgu1OhoU1N5Ks5Gwe8nu3w7yPJ42bjdX562X+fDj1LPT+P6A0SgMdzD&#10;t3auFUzE9zlMf+IXkMsrAAAA//8DAFBLAQItABQABgAIAAAAIQDb4fbL7gAAAIUBAAATAAAAAAAA&#10;AAAAAAAAAAAAAABbQ29udGVudF9UeXBlc10ueG1sUEsBAi0AFAAGAAgAAAAhAFr0LFu/AAAAFQEA&#10;AAsAAAAAAAAAAAAAAAAAHwEAAF9yZWxzLy5yZWxzUEsBAi0AFAAGAAgAAAAhAG5jM5PHAAAA3wAA&#10;AA8AAAAAAAAAAAAAAAAABwIAAGRycy9kb3ducmV2LnhtbFBLBQYAAAAAAwADALcAAAD7AgAAAAA=&#10;" filled="f" stroked="f">
                  <v:textbox inset="0,0,0,0">
                    <w:txbxContent>
                      <w:p w14:paraId="0713ABE1" w14:textId="77777777" w:rsidR="00B32EF2" w:rsidRDefault="00000000">
                        <w:r>
                          <w:rPr>
                            <w:rFonts w:ascii="Arial" w:eastAsia="Arial" w:hAnsi="Arial" w:cs="Arial"/>
                            <w:i/>
                            <w:sz w:val="18"/>
                          </w:rPr>
                          <w:t xml:space="preserve">.Se intorno a una questione si prospettano più soluzioni e non si forma </w:t>
                        </w:r>
                      </w:p>
                    </w:txbxContent>
                  </v:textbox>
                </v:rect>
                <v:rect id="Rectangle 16773" o:spid="_x0000_s2839" style="position:absolute;left:-11904;top:32796;width:511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CRxAAAAN4AAAAPAAAAZHJzL2Rvd25yZXYueG1sRE9Ni8Iw&#10;EL0L/ocwgjdNdUGlaxRRZHvwsq4Lexyasa02k9BEW/31m4UFb/N4n7Ncd6YWd2p8ZVnBZJyAIM6t&#10;rrhQcPrajxYgfEDWWFsmBQ/ysF71e0tMtW35k+7HUIgYwj5FBWUILpXS5yUZ9GPriCN3to3BEGFT&#10;SN1gG8NNLadJMpMGK44NJTralpRfjzej4GfHLtu3Mj8/t+5wyRb1x+30rdRw0G3eQQTqwkv87850&#10;nD+bz9/g7514g1z9AgAA//8DAFBLAQItABQABgAIAAAAIQDb4fbL7gAAAIUBAAATAAAAAAAAAAAA&#10;AAAAAAAAAABbQ29udGVudF9UeXBlc10ueG1sUEsBAi0AFAAGAAgAAAAhAFr0LFu/AAAAFQEAAAsA&#10;AAAAAAAAAAAAAAAAHwEAAF9yZWxzLy5yZWxzUEsBAi0AFAAGAAgAAAAhAD+lIJHEAAAA3gAAAA8A&#10;AAAAAAAAAAAAAAAABwIAAGRycy9kb3ducmV2LnhtbFBLBQYAAAAAAwADALcAAAD4AgAAAAA=&#10;" filled="f" stroked="f">
                  <v:textbox inset="0,0,0,0">
                    <w:txbxContent>
                      <w:p w14:paraId="0702D77A" w14:textId="77777777" w:rsidR="00B32EF2" w:rsidRDefault="00000000">
                        <w:r>
                          <w:rPr>
                            <w:rFonts w:ascii="Arial" w:eastAsia="Arial" w:hAnsi="Arial" w:cs="Arial"/>
                            <w:i/>
                            <w:sz w:val="18"/>
                          </w:rPr>
                          <w:t xml:space="preserve">la maggioranza alla prima votazione, il presidente mette ai voti due delle </w:t>
                        </w:r>
                      </w:p>
                    </w:txbxContent>
                  </v:textbox>
                </v:rect>
                <v:rect id="Rectangle 16774" o:spid="_x0000_s2840" style="position:absolute;left:-11896;top:31424;width:51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LjlxAAAAN4AAAAPAAAAZHJzL2Rvd25yZXYueG1sRE9Ni8Iw&#10;EL0L/ocwgjdNlUWlaxRRZHvwsq4Lexyasa02k9BEW/31m4UFb/N4n7Ncd6YWd2p8ZVnBZJyAIM6t&#10;rrhQcPrajxYgfEDWWFsmBQ/ysF71e0tMtW35k+7HUIgYwj5FBWUILpXS5yUZ9GPriCN3to3BEGFT&#10;SN1gG8NNLadJMpMGK44NJTralpRfjzej4GfHLtu3Mj8/t+5wyRb1x+30rdRw0G3eQQTqwkv87850&#10;nD+bz9/g7514g1z9AgAA//8DAFBLAQItABQABgAIAAAAIQDb4fbL7gAAAIUBAAATAAAAAAAAAAAA&#10;AAAAAAAAAABbQ29udGVudF9UeXBlc10ueG1sUEsBAi0AFAAGAAgAAAAhAFr0LFu/AAAAFQEAAAsA&#10;AAAAAAAAAAAAAAAAHwEAAF9yZWxzLy5yZWxzUEsBAi0AFAAGAAgAAAAhALBMuOXEAAAA3gAAAA8A&#10;AAAAAAAAAAAAAAAABwIAAGRycy9kb3ducmV2LnhtbFBLBQYAAAAAAwADALcAAAD4AgAAAAA=&#10;" filled="f" stroked="f">
                  <v:textbox inset="0,0,0,0">
                    <w:txbxContent>
                      <w:p w14:paraId="109ECD8E" w14:textId="77777777" w:rsidR="00B32EF2" w:rsidRDefault="00000000">
                        <w:r>
                          <w:rPr>
                            <w:rFonts w:ascii="Arial" w:eastAsia="Arial" w:hAnsi="Arial" w:cs="Arial"/>
                            <w:i/>
                            <w:sz w:val="18"/>
                          </w:rPr>
                          <w:t xml:space="preserve">soluzioni per escluderne una; quindi, mette ai voti la non esclusa e quella </w:t>
                        </w:r>
                      </w:p>
                    </w:txbxContent>
                  </v:textbox>
                </v:rect>
                <v:rect id="Rectangle 16775" o:spid="_x0000_s2841" style="position:absolute;left:-11872;top:30053;width:510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B1+xAAAAN4AAAAPAAAAZHJzL2Rvd25yZXYueG1sRE9Ni8Iw&#10;EL0L/ocwgjdNFValaxRRZHvwsq4Lexyasa02k9BEW/31m4UFb/N4n7Ncd6YWd2p8ZVnBZJyAIM6t&#10;rrhQcPrajxYgfEDWWFsmBQ/ysF71e0tMtW35k+7HUIgYwj5FBWUILpXS5yUZ9GPriCN3to3BEGFT&#10;SN1gG8NNLadJMpMGK44NJTralpRfjzej4GfHLtu3Mj8/t+5wyRb1x+30rdRw0G3eQQTqwkv87850&#10;nD+bz9/g7514g1z9AgAA//8DAFBLAQItABQABgAIAAAAIQDb4fbL7gAAAIUBAAATAAAAAAAAAAAA&#10;AAAAAAAAAABbQ29udGVudF9UeXBlc10ueG1sUEsBAi0AFAAGAAgAAAAhAFr0LFu/AAAAFQEAAAsA&#10;AAAAAAAAAAAAAAAAHwEAAF9yZWxzLy5yZWxzUEsBAi0AFAAGAAgAAAAhAN8AHX7EAAAA3gAAAA8A&#10;AAAAAAAAAAAAAAAABwIAAGRycy9kb3ducmV2LnhtbFBLBQYAAAAAAwADALcAAAD4AgAAAAA=&#10;" filled="f" stroked="f">
                  <v:textbox inset="0,0,0,0">
                    <w:txbxContent>
                      <w:p w14:paraId="3D558B22" w14:textId="77777777" w:rsidR="00B32EF2" w:rsidRDefault="00000000">
                        <w:r>
                          <w:rPr>
                            <w:rFonts w:ascii="Arial" w:eastAsia="Arial" w:hAnsi="Arial" w:cs="Arial"/>
                            <w:i/>
                            <w:sz w:val="18"/>
                          </w:rPr>
                          <w:t xml:space="preserve">eventualmente restante, e così successivamente finché le soluzioni siano </w:t>
                        </w:r>
                      </w:p>
                    </w:txbxContent>
                  </v:textbox>
                </v:rect>
                <v:rect id="Rectangle 16776" o:spid="_x0000_s2842" style="position:absolute;left:1618;top:28681;width:375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oMJxAAAAN4AAAAPAAAAZHJzL2Rvd25yZXYueG1sRE9Na8JA&#10;EL0L/odlCr3pph6ipK4iiphDL9UIHofsmKRmZ5fsatL++m6h4G0e73OW68G04kGdbywreJsmIIhL&#10;qxuuFBSn/WQBwgdkja1lUvBNHtar8WiJmbY9f9LjGCoRQ9hnqKAOwWVS+rImg35qHXHkrrYzGCLs&#10;Kqk77GO4aeUsSVJpsOHYUKOjbU3l7Xg3Ci47dvm+l+X1Z+s+vvJFe7gXZ6VeX4bNO4hAQ3iK/925&#10;jvPT+TyFv3fiDXL1CwAA//8DAFBLAQItABQABgAIAAAAIQDb4fbL7gAAAIUBAAATAAAAAAAAAAAA&#10;AAAAAAAAAABbQ29udGVudF9UeXBlc10ueG1sUEsBAi0AFAAGAAgAAAAhAFr0LFu/AAAAFQEAAAsA&#10;AAAAAAAAAAAAAAAAHwEAAF9yZWxzLy5yZWxzUEsBAi0AFAAGAAgAAAAhAC/SgwnEAAAA3gAAAA8A&#10;AAAAAAAAAAAAAAAABwIAAGRycy9kb3ducmV2LnhtbFBLBQYAAAAAAwADALcAAAD4AgAAAAA=&#10;" filled="f" stroked="f">
                  <v:textbox inset="0,0,0,0">
                    <w:txbxContent>
                      <w:p w14:paraId="1F3A1761" w14:textId="77777777" w:rsidR="00B32EF2" w:rsidRDefault="00000000">
                        <w:r>
                          <w:rPr>
                            <w:rFonts w:ascii="Arial" w:eastAsia="Arial" w:hAnsi="Arial" w:cs="Arial"/>
                            <w:i/>
                            <w:sz w:val="18"/>
                          </w:rPr>
                          <w:t>ridotte a due, sulle quali avviene la votazione definitiva.</w:t>
                        </w:r>
                      </w:p>
                    </w:txbxContent>
                  </v:textbox>
                </v:rect>
                <v:rect id="Rectangle 200689" o:spid="_x0000_s2843" style="position:absolute;left:-12582;top:27309;width:511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KlIxgAAAN8AAAAPAAAAZHJzL2Rvd25yZXYueG1sRI9Ba8JA&#10;FITvgv9heUJvuqmHElNXKYo0By9qhB4f2WeSNvt2ya4m9de7QqHHYWa+YZbrwbTiRp1vLCt4nSUg&#10;iEurG64UFKfdNAXhA7LG1jIp+CUP69V4tMRM254PdDuGSkQI+wwV1CG4TEpf1mTQz6wjjt7FdgZD&#10;lF0ldYd9hJtWzpPkTRpsOC7U6GhTU/lzvBoFX1t2+a6X5eW+cfvvPG0/r8VZqZfJ8PEOItAQ/sN/&#10;7VwreBLTBTz/xC8gVw8AAAD//wMAUEsBAi0AFAAGAAgAAAAhANvh9svuAAAAhQEAABMAAAAAAAAA&#10;AAAAAAAAAAAAAFtDb250ZW50X1R5cGVzXS54bWxQSwECLQAUAAYACAAAACEAWvQsW78AAAAVAQAA&#10;CwAAAAAAAAAAAAAAAAAfAQAAX3JlbHMvLnJlbHNQSwECLQAUAAYACAAAACEAFcypSMYAAADfAAAA&#10;DwAAAAAAAAAAAAAAAAAHAgAAZHJzL2Rvd25yZXYueG1sUEsFBgAAAAADAAMAtwAAAPoCAAAAAA==&#10;" filled="f" stroked="f">
                  <v:textbox inset="0,0,0,0">
                    <w:txbxContent>
                      <w:p w14:paraId="13CD8824" w14:textId="77777777" w:rsidR="00B32EF2" w:rsidRDefault="00000000">
                        <w:r>
                          <w:rPr>
                            <w:rFonts w:ascii="Arial" w:eastAsia="Arial" w:hAnsi="Arial" w:cs="Arial"/>
                            <w:i/>
                            <w:sz w:val="18"/>
                          </w:rPr>
                          <w:t xml:space="preserve">.Chiusa la votazione, il presidente scrive e sottoscrive il dispositivo. La </w:t>
                        </w:r>
                      </w:p>
                    </w:txbxContent>
                  </v:textbox>
                </v:rect>
                <v:rect id="Rectangle 200688" o:spid="_x0000_s2844" style="position:absolute;left:25796;top:27309;width:511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AzTxwAAAN8AAAAPAAAAZHJzL2Rvd25yZXYueG1sRI9Na8Mw&#10;DIbvg/4Ho0Fvq7MdSkjrltISmsMuy1roUcRqki2WTex8bL9+Hgx2FK/eR3q2+9l0YqTet5YVPK8S&#10;EMSV1S3XCi7v+VMKwgdkjZ1lUvBFHva7xcMWM20nfqOxDLWIEPYZKmhCcJmUvmrIoF9ZRxyzu+0N&#10;hjj2tdQ9ThFuOvmSJGtpsOV4oUFHx4aqz3IwCm4ndkU+yer+fXSvH0XanYfLVanl43zYgAg0h//l&#10;v3ahFfwS0/hw9IkuIHc/AAAA//8DAFBLAQItABQABgAIAAAAIQDb4fbL7gAAAIUBAAATAAAAAAAA&#10;AAAAAAAAAAAAAABbQ29udGVudF9UeXBlc10ueG1sUEsBAi0AFAAGAAgAAAAhAFr0LFu/AAAAFQEA&#10;AAsAAAAAAAAAAAAAAAAAHwEAAF9yZWxzLy5yZWxzUEsBAi0AFAAGAAgAAAAhAHqADNPHAAAA3wAA&#10;AA8AAAAAAAAAAAAAAAAABwIAAGRycy9kb3ducmV2LnhtbFBLBQYAAAAAAwADALcAAAD7AgAAAAA=&#10;" filled="f" stroked="f">
                  <v:textbox inset="0,0,0,0">
                    <w:txbxContent>
                      <w:p w14:paraId="63A1E705" w14:textId="77777777" w:rsidR="00B32EF2" w:rsidRDefault="00000000">
                        <w:r>
                          <w:rPr>
                            <w:rFonts w:ascii="Arial" w:eastAsia="Arial" w:hAnsi="Arial" w:cs="Arial"/>
                            <w:i/>
                            <w:sz w:val="18"/>
                          </w:rPr>
                          <w:t>5</w:t>
                        </w:r>
                      </w:p>
                    </w:txbxContent>
                  </v:textbox>
                </v:rect>
                <v:rect id="Rectangle 16778" o:spid="_x0000_s2845" style="position:absolute;left:-11859;top:25938;width:509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bLgxwAAAN4AAAAPAAAAZHJzL2Rvd25yZXYueG1sRI9Pb8Iw&#10;DMXvk/YdIk/abaTbAVBHQBMTWg9c+CftaDWm7dY4URNo4dPjAxI3W+/5vZ9ni8G16kxdbDwbeB9l&#10;oIhLbxuuDOx3q7cpqJiQLbaeycCFIizmz08zzK3veUPnbaqUhHDM0UCdUsi1jmVNDuPIB2LRjr5z&#10;mGTtKm077CXctfojy8baYcPSUGOgZU3l//bkDPx+cyhWvS6P12VY/xXT9ue0Pxjz+jJ8fYJKNKSH&#10;+X5dWMEfTybCK+/IDHp+AwAA//8DAFBLAQItABQABgAIAAAAIQDb4fbL7gAAAIUBAAATAAAAAAAA&#10;AAAAAAAAAAAAAABbQ29udGVudF9UeXBlc10ueG1sUEsBAi0AFAAGAAgAAAAhAFr0LFu/AAAAFQEA&#10;AAsAAAAAAAAAAAAAAAAAHwEAAF9yZWxzLy5yZWxzUEsBAi0AFAAGAAgAAAAhADEBsuDHAAAA3gAA&#10;AA8AAAAAAAAAAAAAAAAABwIAAGRycy9kb3ducmV2LnhtbFBLBQYAAAAAAwADALcAAAD7AgAAAAA=&#10;" filled="f" stroked="f">
                  <v:textbox inset="0,0,0,0">
                    <w:txbxContent>
                      <w:p w14:paraId="134CDAF7" w14:textId="77777777" w:rsidR="00B32EF2" w:rsidRDefault="00000000">
                        <w:r>
                          <w:rPr>
                            <w:rFonts w:ascii="Arial" w:eastAsia="Arial" w:hAnsi="Arial" w:cs="Arial"/>
                            <w:i/>
                            <w:sz w:val="18"/>
                          </w:rPr>
                          <w:t xml:space="preserve">motivazione è quindi stesa dal relatore, a meno che il presidente non creda </w:t>
                        </w:r>
                      </w:p>
                    </w:txbxContent>
                  </v:textbox>
                </v:rect>
                <v:rect id="Rectangle 16779" o:spid="_x0000_s2846" style="position:absolute;left:5175;top:24566;width:339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Rd7xAAAAN4AAAAPAAAAZHJzL2Rvd25yZXYueG1sRE9Li8Iw&#10;EL4v+B/CCN7WdPfgoxplcRF72Isv8Dg0Y1ttJqGJtvrrN8LC3ubje8582Zla3KnxlWUFH8MEBHFu&#10;dcWFgsN+/T4B4QOyxtoyKXiQh+Wi9zbHVNuWt3TfhULEEPYpKihDcKmUPi/JoB9aRxy5s20Mhgib&#10;QuoG2xhuavmZJCNpsOLYUKKjVUn5dXczCk7f7LJ1K/Pzc+V+Ltmk3twOR6UG/e5rBiJQF/7Ff+5M&#10;x/mj8XgKr3fiDXLxCwAA//8DAFBLAQItABQABgAIAAAAIQDb4fbL7gAAAIUBAAATAAAAAAAAAAAA&#10;AAAAAAAAAABbQ29udGVudF9UeXBlc10ueG1sUEsBAi0AFAAGAAgAAAAhAFr0LFu/AAAAFQEAAAsA&#10;AAAAAAAAAAAAAAAAHwEAAF9yZWxzLy5yZWxzUEsBAi0AFAAGAAgAAAAhAF5NF3vEAAAA3gAAAA8A&#10;AAAAAAAAAAAAAAAABwIAAGRycy9kb3ducmV2LnhtbFBLBQYAAAAAAwADALcAAAD4AgAAAAA=&#10;" filled="f" stroked="f">
                  <v:textbox inset="0,0,0,0">
                    <w:txbxContent>
                      <w:p w14:paraId="6B8E1A45" w14:textId="77777777" w:rsidR="00B32EF2" w:rsidRDefault="00000000">
                        <w:r>
                          <w:rPr>
                            <w:rFonts w:ascii="Arial" w:eastAsia="Arial" w:hAnsi="Arial" w:cs="Arial"/>
                            <w:i/>
                            <w:sz w:val="18"/>
                          </w:rPr>
                          <w:t>di stenderla egli stesso o affidarla all’altro giudice.</w:t>
                        </w:r>
                      </w:p>
                    </w:txbxContent>
                  </v:textbox>
                </v:rect>
                <v:shape id="Shape 16780" o:spid="_x0000_s2847" style="position:absolute;left:317;top:24281;width:39600;height:24443;visibility:visible;mso-wrap-style:square;v-text-anchor:top" coordsize="3960000,244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L/NxwAAAN4AAAAPAAAAZHJzL2Rvd25yZXYueG1sRI9Pa8Mw&#10;DMXvg30Ho8Fuq9NRsi6rW0rApZfB+gd2FbGWhMZyGntp9u2nw2A3CT29936rzeQ7NdIQ28AG5rMM&#10;FHEVXMu1gfPJPi1BxYTssAtMBn4owmZ9f7fCwoUbH2g8plqJCccCDTQp9YXWsWrIY5yFnlhuX2Hw&#10;mGQdau0GvIm57/RzluXaY8uS0GBPZUPV5fjtDZwO79nuXPY231/Lj8XnmKy1r8Y8PkzbN1CJpvQv&#10;/vveO6mfvywFQHBkBr3+BQAA//8DAFBLAQItABQABgAIAAAAIQDb4fbL7gAAAIUBAAATAAAAAAAA&#10;AAAAAAAAAAAAAABbQ29udGVudF9UeXBlc10ueG1sUEsBAi0AFAAGAAgAAAAhAFr0LFu/AAAAFQEA&#10;AAsAAAAAAAAAAAAAAAAAHwEAAF9yZWxzLy5yZWxzUEsBAi0AFAAGAAgAAAAhAJJUv83HAAAA3gAA&#10;AA8AAAAAAAAAAAAAAAAABwIAAGRycy9kb3ducmV2LnhtbFBLBQYAAAAAAwADALcAAAD7AgAAAAA=&#10;" path="m,2444306r3960000,l3960000,,,,,2444306xe" filled="f" strokeweight="1pt">
                  <v:stroke miterlimit="1" joinstyle="miter"/>
                  <v:path arrowok="t" textboxrect="0,0,3960000,2444306"/>
                </v:shape>
                <w10:anchorlock/>
              </v:group>
            </w:pict>
          </mc:Fallback>
        </mc:AlternateContent>
      </w:r>
    </w:p>
    <w:p w14:paraId="7725FD15" w14:textId="77777777" w:rsidR="00B32EF2" w:rsidRDefault="00B32EF2">
      <w:pPr>
        <w:sectPr w:rsidR="00B32EF2">
          <w:headerReference w:type="even" r:id="rId24"/>
          <w:headerReference w:type="default" r:id="rId25"/>
          <w:footerReference w:type="even" r:id="rId26"/>
          <w:footerReference w:type="default" r:id="rId27"/>
          <w:headerReference w:type="first" r:id="rId28"/>
          <w:footerReference w:type="first" r:id="rId29"/>
          <w:pgSz w:w="8504" w:h="11906"/>
          <w:pgMar w:top="625" w:right="1440" w:bottom="1417" w:left="1440" w:header="720" w:footer="720" w:gutter="0"/>
          <w:cols w:space="720"/>
        </w:sectPr>
      </w:pPr>
    </w:p>
    <w:p w14:paraId="076AF582" w14:textId="77777777" w:rsidR="00B32EF2" w:rsidRDefault="00000000">
      <w:pPr>
        <w:spacing w:after="0"/>
        <w:ind w:left="-356" w:right="-306"/>
      </w:pPr>
      <w:r>
        <w:rPr>
          <w:noProof/>
        </w:rPr>
        <w:lastRenderedPageBreak/>
        <mc:AlternateContent>
          <mc:Choice Requires="wpg">
            <w:drawing>
              <wp:inline distT="0" distB="0" distL="0" distR="0" wp14:anchorId="6279DEDA" wp14:editId="78672962">
                <wp:extent cx="3991779" cy="6262854"/>
                <wp:effectExtent l="0" t="0" r="0" b="0"/>
                <wp:docPr id="200760" name="Group 200760"/>
                <wp:cNvGraphicFramePr/>
                <a:graphic xmlns:a="http://schemas.openxmlformats.org/drawingml/2006/main">
                  <a:graphicData uri="http://schemas.microsoft.com/office/word/2010/wordprocessingGroup">
                    <wpg:wgp>
                      <wpg:cNvGrpSpPr/>
                      <wpg:grpSpPr>
                        <a:xfrm>
                          <a:off x="0" y="0"/>
                          <a:ext cx="3991779" cy="6262854"/>
                          <a:chOff x="0" y="0"/>
                          <a:chExt cx="3991779" cy="6262854"/>
                        </a:xfrm>
                      </wpg:grpSpPr>
                      <wps:wsp>
                        <wps:cNvPr id="16864" name="Rectangle 16864"/>
                        <wps:cNvSpPr/>
                        <wps:spPr>
                          <a:xfrm rot="-10799999">
                            <a:off x="1900465" y="-62190"/>
                            <a:ext cx="178369" cy="250646"/>
                          </a:xfrm>
                          <a:prstGeom prst="rect">
                            <a:avLst/>
                          </a:prstGeom>
                          <a:ln>
                            <a:noFill/>
                          </a:ln>
                        </wps:spPr>
                        <wps:txbx>
                          <w:txbxContent>
                            <w:p w14:paraId="2BA4C95D" w14:textId="77777777" w:rsidR="00B32EF2" w:rsidRDefault="00000000">
                              <w:r>
                                <w:rPr>
                                  <w:rFonts w:ascii="Times New Roman" w:eastAsia="Times New Roman" w:hAnsi="Times New Roman" w:cs="Times New Roman"/>
                                </w:rPr>
                                <w:t>78</w:t>
                              </w:r>
                            </w:p>
                          </w:txbxContent>
                        </wps:txbx>
                        <wps:bodyPr horzOverflow="overflow" vert="horz" lIns="0" tIns="0" rIns="0" bIns="0" rtlCol="0">
                          <a:noAutofit/>
                        </wps:bodyPr>
                      </wps:wsp>
                      <wps:wsp>
                        <wps:cNvPr id="16865" name="Rectangle 16865"/>
                        <wps:cNvSpPr/>
                        <wps:spPr>
                          <a:xfrm rot="-10799999">
                            <a:off x="-1317210" y="6119964"/>
                            <a:ext cx="5308989" cy="142890"/>
                          </a:xfrm>
                          <a:prstGeom prst="rect">
                            <a:avLst/>
                          </a:prstGeom>
                          <a:ln>
                            <a:noFill/>
                          </a:ln>
                        </wps:spPr>
                        <wps:txbx>
                          <w:txbxContent>
                            <w:p w14:paraId="4F23DCD3" w14:textId="77777777" w:rsidR="00B32EF2" w:rsidRDefault="00000000">
                              <w:r>
                                <w:rPr>
                                  <w:rFonts w:ascii="Arial" w:eastAsia="Arial" w:hAnsi="Arial" w:cs="Arial"/>
                                  <w:sz w:val="18"/>
                                </w:rPr>
                                <w:t xml:space="preserve">remoto. Nel caso in cui una parte chieda di discutere in presenza, i giudici ed </w:t>
                              </w:r>
                            </w:p>
                          </w:txbxContent>
                        </wps:txbx>
                        <wps:bodyPr horzOverflow="overflow" vert="horz" lIns="0" tIns="0" rIns="0" bIns="0" rtlCol="0">
                          <a:noAutofit/>
                        </wps:bodyPr>
                      </wps:wsp>
                      <wps:wsp>
                        <wps:cNvPr id="16866" name="Rectangle 16866"/>
                        <wps:cNvSpPr/>
                        <wps:spPr>
                          <a:xfrm rot="-10799999">
                            <a:off x="-1245762" y="5999262"/>
                            <a:ext cx="5237541" cy="142891"/>
                          </a:xfrm>
                          <a:prstGeom prst="rect">
                            <a:avLst/>
                          </a:prstGeom>
                          <a:ln>
                            <a:noFill/>
                          </a:ln>
                        </wps:spPr>
                        <wps:txbx>
                          <w:txbxContent>
                            <w:p w14:paraId="5734AA37" w14:textId="77777777" w:rsidR="00B32EF2" w:rsidRDefault="00000000">
                              <w:r>
                                <w:rPr>
                                  <w:rFonts w:ascii="Arial" w:eastAsia="Arial" w:hAnsi="Arial" w:cs="Arial"/>
                                  <w:sz w:val="18"/>
                                </w:rPr>
                                <w:t>il personale amministrativo partecipano sempre in presenza alla discussione.</w:t>
                              </w:r>
                            </w:p>
                          </w:txbxContent>
                        </wps:txbx>
                        <wps:bodyPr horzOverflow="overflow" vert="horz" lIns="0" tIns="0" rIns="0" bIns="0" rtlCol="0">
                          <a:noAutofit/>
                        </wps:bodyPr>
                      </wps:wsp>
                      <wps:wsp>
                        <wps:cNvPr id="200673" name="Rectangle 200673"/>
                        <wps:cNvSpPr/>
                        <wps:spPr>
                          <a:xfrm rot="-10799999">
                            <a:off x="2635259" y="5878563"/>
                            <a:ext cx="5211059" cy="142889"/>
                          </a:xfrm>
                          <a:prstGeom prst="rect">
                            <a:avLst/>
                          </a:prstGeom>
                          <a:ln>
                            <a:noFill/>
                          </a:ln>
                        </wps:spPr>
                        <wps:txbx>
                          <w:txbxContent>
                            <w:p w14:paraId="47316FE3"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674" name="Rectangle 200674"/>
                        <wps:cNvSpPr/>
                        <wps:spPr>
                          <a:xfrm rot="-10799999">
                            <a:off x="-1283836" y="5878563"/>
                            <a:ext cx="5211059" cy="142889"/>
                          </a:xfrm>
                          <a:prstGeom prst="rect">
                            <a:avLst/>
                          </a:prstGeom>
                          <a:ln>
                            <a:noFill/>
                          </a:ln>
                        </wps:spPr>
                        <wps:txbx>
                          <w:txbxContent>
                            <w:p w14:paraId="252F9683" w14:textId="77777777" w:rsidR="00B32EF2" w:rsidRDefault="00000000">
                              <w:r>
                                <w:rPr>
                                  <w:rFonts w:ascii="Arial" w:eastAsia="Arial" w:hAnsi="Arial" w:cs="Arial"/>
                                  <w:sz w:val="18"/>
                                </w:rPr>
                                <w:t>. Il relatore espone al collegio, senza la presenza delle parti, i fatti e le que</w:t>
                              </w:r>
                            </w:p>
                          </w:txbxContent>
                        </wps:txbx>
                        <wps:bodyPr horzOverflow="overflow" vert="horz" lIns="0" tIns="0" rIns="0" bIns="0" rtlCol="0">
                          <a:noAutofit/>
                        </wps:bodyPr>
                      </wps:wsp>
                      <wps:wsp>
                        <wps:cNvPr id="16868" name="Rectangle 16868"/>
                        <wps:cNvSpPr/>
                        <wps:spPr>
                          <a:xfrm rot="-10799999">
                            <a:off x="19181" y="5878563"/>
                            <a:ext cx="50622" cy="142889"/>
                          </a:xfrm>
                          <a:prstGeom prst="rect">
                            <a:avLst/>
                          </a:prstGeom>
                          <a:ln>
                            <a:noFill/>
                          </a:ln>
                        </wps:spPr>
                        <wps:txbx>
                          <w:txbxContent>
                            <w:p w14:paraId="01C8F65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869" name="Rectangle 16869"/>
                        <wps:cNvSpPr/>
                        <wps:spPr>
                          <a:xfrm rot="-10799999">
                            <a:off x="2340518" y="5757862"/>
                            <a:ext cx="1651261" cy="142889"/>
                          </a:xfrm>
                          <a:prstGeom prst="rect">
                            <a:avLst/>
                          </a:prstGeom>
                          <a:ln>
                            <a:noFill/>
                          </a:ln>
                        </wps:spPr>
                        <wps:txbx>
                          <w:txbxContent>
                            <w:p w14:paraId="3BDDB9A5" w14:textId="77777777" w:rsidR="00B32EF2" w:rsidRDefault="00000000">
                              <w:r>
                                <w:rPr>
                                  <w:rFonts w:ascii="Arial" w:eastAsia="Arial" w:hAnsi="Arial" w:cs="Arial"/>
                                  <w:sz w:val="18"/>
                                </w:rPr>
                                <w:t>stioni della controversia.</w:t>
                              </w:r>
                            </w:p>
                          </w:txbxContent>
                        </wps:txbx>
                        <wps:bodyPr horzOverflow="overflow" vert="horz" lIns="0" tIns="0" rIns="0" bIns="0" rtlCol="0">
                          <a:noAutofit/>
                        </wps:bodyPr>
                      </wps:wsp>
                      <wps:wsp>
                        <wps:cNvPr id="200671" name="Rectangle 200671"/>
                        <wps:cNvSpPr/>
                        <wps:spPr>
                          <a:xfrm rot="-10799999">
                            <a:off x="-1338082" y="5637162"/>
                            <a:ext cx="5261910" cy="142889"/>
                          </a:xfrm>
                          <a:prstGeom prst="rect">
                            <a:avLst/>
                          </a:prstGeom>
                          <a:ln>
                            <a:noFill/>
                          </a:ln>
                        </wps:spPr>
                        <wps:txbx>
                          <w:txbxContent>
                            <w:p w14:paraId="45069590" w14:textId="77777777" w:rsidR="00B32EF2" w:rsidRDefault="00000000">
                              <w:r>
                                <w:rPr>
                                  <w:rFonts w:ascii="Arial" w:eastAsia="Arial" w:hAnsi="Arial" w:cs="Arial"/>
                                  <w:sz w:val="18"/>
                                </w:rPr>
                                <w:t>. Della trattazione in camera di consiglio è redatto processo verbale dal segretario.</w:t>
                              </w:r>
                            </w:p>
                          </w:txbxContent>
                        </wps:txbx>
                        <wps:bodyPr horzOverflow="overflow" vert="horz" lIns="0" tIns="0" rIns="0" bIns="0" rtlCol="0">
                          <a:noAutofit/>
                        </wps:bodyPr>
                      </wps:wsp>
                      <wps:wsp>
                        <wps:cNvPr id="200670" name="Rectangle 200670"/>
                        <wps:cNvSpPr/>
                        <wps:spPr>
                          <a:xfrm rot="-10799999">
                            <a:off x="2622642" y="5637162"/>
                            <a:ext cx="5261910" cy="142889"/>
                          </a:xfrm>
                          <a:prstGeom prst="rect">
                            <a:avLst/>
                          </a:prstGeom>
                          <a:ln>
                            <a:noFill/>
                          </a:ln>
                        </wps:spPr>
                        <wps:txbx>
                          <w:txbxContent>
                            <w:p w14:paraId="4A349270"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6871" name="Rectangle 16871"/>
                        <wps:cNvSpPr/>
                        <wps:spPr>
                          <a:xfrm rot="-10799999">
                            <a:off x="1507796" y="5395874"/>
                            <a:ext cx="808802" cy="142889"/>
                          </a:xfrm>
                          <a:prstGeom prst="rect">
                            <a:avLst/>
                          </a:prstGeom>
                          <a:ln>
                            <a:noFill/>
                          </a:ln>
                        </wps:spPr>
                        <wps:txbx>
                          <w:txbxContent>
                            <w:p w14:paraId="5B972D80" w14:textId="77777777" w:rsidR="00B32EF2" w:rsidRDefault="00000000">
                              <w:r>
                                <w:rPr>
                                  <w:rFonts w:ascii="Arial" w:eastAsia="Arial" w:hAnsi="Arial" w:cs="Arial"/>
                                  <w:b/>
                                  <w:sz w:val="18"/>
                                </w:rPr>
                                <w:t>Articolo 82</w:t>
                              </w:r>
                            </w:p>
                          </w:txbxContent>
                        </wps:txbx>
                        <wps:bodyPr horzOverflow="overflow" vert="horz" lIns="0" tIns="0" rIns="0" bIns="0" rtlCol="0">
                          <a:noAutofit/>
                        </wps:bodyPr>
                      </wps:wsp>
                      <wps:wsp>
                        <wps:cNvPr id="200669" name="Rectangle 200669"/>
                        <wps:cNvSpPr/>
                        <wps:spPr>
                          <a:xfrm rot="-10799999">
                            <a:off x="1161501" y="5275174"/>
                            <a:ext cx="1944521" cy="142889"/>
                          </a:xfrm>
                          <a:prstGeom prst="rect">
                            <a:avLst/>
                          </a:prstGeom>
                          <a:ln>
                            <a:noFill/>
                          </a:ln>
                        </wps:spPr>
                        <wps:txbx>
                          <w:txbxContent>
                            <w:p w14:paraId="4FA17ABC" w14:textId="77777777" w:rsidR="00B32EF2" w:rsidRDefault="00000000">
                              <w:r>
                                <w:rPr>
                                  <w:rFonts w:ascii="Arial" w:eastAsia="Arial" w:hAnsi="Arial" w:cs="Arial"/>
                                  <w:i/>
                                  <w:sz w:val="18"/>
                                </w:rPr>
                                <w:t xml:space="preserve">articolo 34 D.lgs. n. </w:t>
                              </w:r>
                            </w:p>
                          </w:txbxContent>
                        </wps:txbx>
                        <wps:bodyPr horzOverflow="overflow" vert="horz" lIns="0" tIns="0" rIns="0" bIns="0" rtlCol="0">
                          <a:noAutofit/>
                        </wps:bodyPr>
                      </wps:wsp>
                      <wps:wsp>
                        <wps:cNvPr id="200667" name="Rectangle 200667"/>
                        <wps:cNvSpPr/>
                        <wps:spPr>
                          <a:xfrm rot="-10799999">
                            <a:off x="2222285" y="5275174"/>
                            <a:ext cx="1944521" cy="142889"/>
                          </a:xfrm>
                          <a:prstGeom prst="rect">
                            <a:avLst/>
                          </a:prstGeom>
                          <a:ln>
                            <a:noFill/>
                          </a:ln>
                        </wps:spPr>
                        <wps:txbx>
                          <w:txbxContent>
                            <w:p w14:paraId="52E3267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668" name="Rectangle 200668"/>
                        <wps:cNvSpPr/>
                        <wps:spPr>
                          <a:xfrm rot="-10799999">
                            <a:off x="-265384" y="5275173"/>
                            <a:ext cx="1944521" cy="142889"/>
                          </a:xfrm>
                          <a:prstGeom prst="rect">
                            <a:avLst/>
                          </a:prstGeom>
                          <a:ln>
                            <a:noFill/>
                          </a:ln>
                        </wps:spPr>
                        <wps:txbx>
                          <w:txbxContent>
                            <w:p w14:paraId="0A020ACB"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6873" name="Rectangle 16873"/>
                        <wps:cNvSpPr/>
                        <wps:spPr>
                          <a:xfrm rot="-10799999">
                            <a:off x="474325" y="5154472"/>
                            <a:ext cx="2438233" cy="142889"/>
                          </a:xfrm>
                          <a:prstGeom prst="rect">
                            <a:avLst/>
                          </a:prstGeom>
                          <a:ln>
                            <a:noFill/>
                          </a:ln>
                        </wps:spPr>
                        <wps:txbx>
                          <w:txbxContent>
                            <w:p w14:paraId="339A7647" w14:textId="77777777" w:rsidR="00B32EF2" w:rsidRDefault="00000000">
                              <w:r>
                                <w:rPr>
                                  <w:rFonts w:ascii="Arial" w:eastAsia="Arial" w:hAnsi="Arial" w:cs="Arial"/>
                                  <w:b/>
                                  <w:sz w:val="18"/>
                                </w:rPr>
                                <w:t xml:space="preserve">Discussione in pubblica udienza </w:t>
                              </w:r>
                            </w:p>
                          </w:txbxContent>
                        </wps:txbx>
                        <wps:bodyPr horzOverflow="overflow" vert="horz" lIns="0" tIns="0" rIns="0" bIns="0" rtlCol="0">
                          <a:noAutofit/>
                        </wps:bodyPr>
                      </wps:wsp>
                      <wps:wsp>
                        <wps:cNvPr id="200666" name="Rectangle 200666"/>
                        <wps:cNvSpPr/>
                        <wps:spPr>
                          <a:xfrm rot="-10799999">
                            <a:off x="-1376425" y="5033772"/>
                            <a:ext cx="5309021" cy="142889"/>
                          </a:xfrm>
                          <a:prstGeom prst="rect">
                            <a:avLst/>
                          </a:prstGeom>
                          <a:ln>
                            <a:noFill/>
                          </a:ln>
                        </wps:spPr>
                        <wps:txbx>
                          <w:txbxContent>
                            <w:p w14:paraId="033C0E95" w14:textId="77777777" w:rsidR="00B32EF2" w:rsidRDefault="00000000">
                              <w:r>
                                <w:rPr>
                                  <w:rFonts w:ascii="Arial" w:eastAsia="Arial" w:hAnsi="Arial" w:cs="Arial"/>
                                  <w:sz w:val="18"/>
                                </w:rPr>
                                <w:t xml:space="preserve">. All’udienza pubblica il relatore espone al collegio i fatti e le questioni della </w:t>
                              </w:r>
                            </w:p>
                          </w:txbxContent>
                        </wps:txbx>
                        <wps:bodyPr horzOverflow="overflow" vert="horz" lIns="0" tIns="0" rIns="0" bIns="0" rtlCol="0">
                          <a:noAutofit/>
                        </wps:bodyPr>
                      </wps:wsp>
                      <wps:wsp>
                        <wps:cNvPr id="200665" name="Rectangle 200665"/>
                        <wps:cNvSpPr/>
                        <wps:spPr>
                          <a:xfrm rot="-10799999">
                            <a:off x="2610953" y="5033772"/>
                            <a:ext cx="5309020" cy="142889"/>
                          </a:xfrm>
                          <a:prstGeom prst="rect">
                            <a:avLst/>
                          </a:prstGeom>
                          <a:ln>
                            <a:noFill/>
                          </a:ln>
                        </wps:spPr>
                        <wps:txbx>
                          <w:txbxContent>
                            <w:p w14:paraId="7EDCF887"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6875" name="Rectangle 16875"/>
                        <wps:cNvSpPr/>
                        <wps:spPr>
                          <a:xfrm rot="-10799999">
                            <a:off x="-1207270" y="4913071"/>
                            <a:ext cx="5199050" cy="142889"/>
                          </a:xfrm>
                          <a:prstGeom prst="rect">
                            <a:avLst/>
                          </a:prstGeom>
                          <a:ln>
                            <a:noFill/>
                          </a:ln>
                        </wps:spPr>
                        <wps:txbx>
                          <w:txbxContent>
                            <w:p w14:paraId="2B3F4C89" w14:textId="77777777" w:rsidR="00B32EF2" w:rsidRDefault="00000000">
                              <w:r>
                                <w:rPr>
                                  <w:rFonts w:ascii="Arial" w:eastAsia="Arial" w:hAnsi="Arial" w:cs="Arial"/>
                                  <w:sz w:val="18"/>
                                </w:rPr>
                                <w:t>controversia e quindi il presidente ammette le parti presenti alla discussione.</w:t>
                              </w:r>
                            </w:p>
                          </w:txbxContent>
                        </wps:txbx>
                        <wps:bodyPr horzOverflow="overflow" vert="horz" lIns="0" tIns="0" rIns="0" bIns="0" rtlCol="0">
                          <a:noAutofit/>
                        </wps:bodyPr>
                      </wps:wsp>
                      <wps:wsp>
                        <wps:cNvPr id="200664" name="Rectangle 200664"/>
                        <wps:cNvSpPr/>
                        <wps:spPr>
                          <a:xfrm rot="-10799999">
                            <a:off x="-8062" y="4792371"/>
                            <a:ext cx="3935286" cy="142889"/>
                          </a:xfrm>
                          <a:prstGeom prst="rect">
                            <a:avLst/>
                          </a:prstGeom>
                          <a:ln>
                            <a:noFill/>
                          </a:ln>
                        </wps:spPr>
                        <wps:txbx>
                          <w:txbxContent>
                            <w:p w14:paraId="4B5FBF0A" w14:textId="77777777" w:rsidR="00B32EF2" w:rsidRDefault="00000000">
                              <w:r>
                                <w:rPr>
                                  <w:rFonts w:ascii="Arial" w:eastAsia="Arial" w:hAnsi="Arial" w:cs="Arial"/>
                                  <w:sz w:val="18"/>
                                </w:rPr>
                                <w:t xml:space="preserve">. Dell’udienza è redatto processo verbale dal segretario. </w:t>
                              </w:r>
                            </w:p>
                          </w:txbxContent>
                        </wps:txbx>
                        <wps:bodyPr horzOverflow="overflow" vert="horz" lIns="0" tIns="0" rIns="0" bIns="0" rtlCol="0">
                          <a:noAutofit/>
                        </wps:bodyPr>
                      </wps:wsp>
                      <wps:wsp>
                        <wps:cNvPr id="200663" name="Rectangle 200663"/>
                        <wps:cNvSpPr/>
                        <wps:spPr>
                          <a:xfrm rot="-10799999">
                            <a:off x="2951805" y="4792371"/>
                            <a:ext cx="3935286" cy="142889"/>
                          </a:xfrm>
                          <a:prstGeom prst="rect">
                            <a:avLst/>
                          </a:prstGeom>
                          <a:ln>
                            <a:noFill/>
                          </a:ln>
                        </wps:spPr>
                        <wps:txbx>
                          <w:txbxContent>
                            <w:p w14:paraId="6DA497AE"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661" name="Rectangle 200661"/>
                        <wps:cNvSpPr/>
                        <wps:spPr>
                          <a:xfrm rot="-10799999">
                            <a:off x="2610953" y="4671669"/>
                            <a:ext cx="5309020" cy="142889"/>
                          </a:xfrm>
                          <a:prstGeom prst="rect">
                            <a:avLst/>
                          </a:prstGeom>
                          <a:ln>
                            <a:noFill/>
                          </a:ln>
                        </wps:spPr>
                        <wps:txbx>
                          <w:txbxContent>
                            <w:p w14:paraId="07A82C54"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0662" name="Rectangle 200662"/>
                        <wps:cNvSpPr/>
                        <wps:spPr>
                          <a:xfrm rot="-10799999">
                            <a:off x="-1381763" y="4671669"/>
                            <a:ext cx="5309021" cy="142889"/>
                          </a:xfrm>
                          <a:prstGeom prst="rect">
                            <a:avLst/>
                          </a:prstGeom>
                          <a:ln>
                            <a:noFill/>
                          </a:ln>
                        </wps:spPr>
                        <wps:txbx>
                          <w:txbxContent>
                            <w:p w14:paraId="331B1A51" w14:textId="77777777" w:rsidR="00B32EF2" w:rsidRDefault="00000000">
                              <w:r>
                                <w:rPr>
                                  <w:rFonts w:ascii="Arial" w:eastAsia="Arial" w:hAnsi="Arial" w:cs="Arial"/>
                                  <w:sz w:val="18"/>
                                </w:rPr>
                                <w:t xml:space="preserve">. La corte di giustizia tributaria può disporre il differimento della discussione </w:t>
                              </w:r>
                            </w:p>
                          </w:txbxContent>
                        </wps:txbx>
                        <wps:bodyPr horzOverflow="overflow" vert="horz" lIns="0" tIns="0" rIns="0" bIns="0" rtlCol="0">
                          <a:noAutofit/>
                        </wps:bodyPr>
                      </wps:wsp>
                      <wps:wsp>
                        <wps:cNvPr id="16878" name="Rectangle 16878"/>
                        <wps:cNvSpPr/>
                        <wps:spPr>
                          <a:xfrm rot="-10799999">
                            <a:off x="-1220359" y="4550969"/>
                            <a:ext cx="5212139" cy="142889"/>
                          </a:xfrm>
                          <a:prstGeom prst="rect">
                            <a:avLst/>
                          </a:prstGeom>
                          <a:ln>
                            <a:noFill/>
                          </a:ln>
                        </wps:spPr>
                        <wps:txbx>
                          <w:txbxContent>
                            <w:p w14:paraId="31D62E01" w14:textId="77777777" w:rsidR="00B32EF2" w:rsidRDefault="00000000">
                              <w:r>
                                <w:rPr>
                                  <w:rFonts w:ascii="Arial" w:eastAsia="Arial" w:hAnsi="Arial" w:cs="Arial"/>
                                  <w:sz w:val="18"/>
                                </w:rPr>
                                <w:t>a udienza fissa, su istanza della parte interessata, quando la sua difesa tem</w:t>
                              </w:r>
                            </w:p>
                          </w:txbxContent>
                        </wps:txbx>
                        <wps:bodyPr horzOverflow="overflow" vert="horz" lIns="0" tIns="0" rIns="0" bIns="0" rtlCol="0">
                          <a:noAutofit/>
                        </wps:bodyPr>
                      </wps:wsp>
                      <wps:wsp>
                        <wps:cNvPr id="16879" name="Rectangle 16879"/>
                        <wps:cNvSpPr/>
                        <wps:spPr>
                          <a:xfrm rot="-10799999">
                            <a:off x="19181" y="4550969"/>
                            <a:ext cx="50622" cy="142889"/>
                          </a:xfrm>
                          <a:prstGeom prst="rect">
                            <a:avLst/>
                          </a:prstGeom>
                          <a:ln>
                            <a:noFill/>
                          </a:ln>
                        </wps:spPr>
                        <wps:txbx>
                          <w:txbxContent>
                            <w:p w14:paraId="6F27637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880" name="Rectangle 16880"/>
                        <wps:cNvSpPr/>
                        <wps:spPr>
                          <a:xfrm rot="-10799999">
                            <a:off x="-1317226" y="4430267"/>
                            <a:ext cx="5309006" cy="142889"/>
                          </a:xfrm>
                          <a:prstGeom prst="rect">
                            <a:avLst/>
                          </a:prstGeom>
                          <a:ln>
                            <a:noFill/>
                          </a:ln>
                        </wps:spPr>
                        <wps:txbx>
                          <w:txbxContent>
                            <w:p w14:paraId="593ED82A" w14:textId="77777777" w:rsidR="00B32EF2" w:rsidRDefault="00000000">
                              <w:r>
                                <w:rPr>
                                  <w:rFonts w:ascii="Arial" w:eastAsia="Arial" w:hAnsi="Arial" w:cs="Arial"/>
                                  <w:sz w:val="18"/>
                                </w:rPr>
                                <w:t xml:space="preserve">pestiva, scritta o orale, è resa particolarmente difficile a causa dei documenti </w:t>
                              </w:r>
                            </w:p>
                          </w:txbxContent>
                        </wps:txbx>
                        <wps:bodyPr horzOverflow="overflow" vert="horz" lIns="0" tIns="0" rIns="0" bIns="0" rtlCol="0">
                          <a:noAutofit/>
                        </wps:bodyPr>
                      </wps:wsp>
                      <wps:wsp>
                        <wps:cNvPr id="16881" name="Rectangle 16881"/>
                        <wps:cNvSpPr/>
                        <wps:spPr>
                          <a:xfrm rot="-10799999">
                            <a:off x="-1317210" y="4309567"/>
                            <a:ext cx="5308990" cy="142889"/>
                          </a:xfrm>
                          <a:prstGeom prst="rect">
                            <a:avLst/>
                          </a:prstGeom>
                          <a:ln>
                            <a:noFill/>
                          </a:ln>
                        </wps:spPr>
                        <wps:txbx>
                          <w:txbxContent>
                            <w:p w14:paraId="67F97DC3" w14:textId="77777777" w:rsidR="00B32EF2" w:rsidRDefault="00000000">
                              <w:r>
                                <w:rPr>
                                  <w:rFonts w:ascii="Arial" w:eastAsia="Arial" w:hAnsi="Arial" w:cs="Arial"/>
                                  <w:sz w:val="18"/>
                                </w:rPr>
                                <w:t xml:space="preserve">prodotti o delle questioni sollevate dalle altre parti. Si applica l’articolo 79, </w:t>
                              </w:r>
                            </w:p>
                          </w:txbxContent>
                        </wps:txbx>
                        <wps:bodyPr horzOverflow="overflow" vert="horz" lIns="0" tIns="0" rIns="0" bIns="0" rtlCol="0">
                          <a:noAutofit/>
                        </wps:bodyPr>
                      </wps:wsp>
                      <wps:wsp>
                        <wps:cNvPr id="16882" name="Rectangle 16882"/>
                        <wps:cNvSpPr/>
                        <wps:spPr>
                          <a:xfrm rot="-10799999">
                            <a:off x="-1317256" y="4188866"/>
                            <a:ext cx="5309035" cy="142889"/>
                          </a:xfrm>
                          <a:prstGeom prst="rect">
                            <a:avLst/>
                          </a:prstGeom>
                          <a:ln>
                            <a:noFill/>
                          </a:ln>
                        </wps:spPr>
                        <wps:txbx>
                          <w:txbxContent>
                            <w:p w14:paraId="511C1ECD" w14:textId="77777777" w:rsidR="00B32EF2" w:rsidRDefault="00000000">
                              <w:r>
                                <w:rPr>
                                  <w:rFonts w:ascii="Arial" w:eastAsia="Arial" w:hAnsi="Arial" w:cs="Arial"/>
                                  <w:sz w:val="18"/>
                                </w:rPr>
                                <w:t xml:space="preserve">comma 2, salvo che il differimento sia disposto in udienza con tutte le parti </w:t>
                              </w:r>
                            </w:p>
                          </w:txbxContent>
                        </wps:txbx>
                        <wps:bodyPr horzOverflow="overflow" vert="horz" lIns="0" tIns="0" rIns="0" bIns="0" rtlCol="0">
                          <a:noAutofit/>
                        </wps:bodyPr>
                      </wps:wsp>
                      <wps:wsp>
                        <wps:cNvPr id="16883" name="Rectangle 16883"/>
                        <wps:cNvSpPr/>
                        <wps:spPr>
                          <a:xfrm rot="-10799999">
                            <a:off x="2750012" y="4065536"/>
                            <a:ext cx="1241767" cy="142889"/>
                          </a:xfrm>
                          <a:prstGeom prst="rect">
                            <a:avLst/>
                          </a:prstGeom>
                          <a:ln>
                            <a:noFill/>
                          </a:ln>
                        </wps:spPr>
                        <wps:txbx>
                          <w:txbxContent>
                            <w:p w14:paraId="4792A70D" w14:textId="77777777" w:rsidR="00B32EF2" w:rsidRDefault="00000000">
                              <w:r>
                                <w:rPr>
                                  <w:rFonts w:ascii="Arial" w:eastAsia="Arial" w:hAnsi="Arial" w:cs="Arial"/>
                                  <w:sz w:val="18"/>
                                </w:rPr>
                                <w:t>costituite presenti.</w:t>
                              </w:r>
                            </w:p>
                          </w:txbxContent>
                        </wps:txbx>
                        <wps:bodyPr horzOverflow="overflow" vert="horz" lIns="0" tIns="0" rIns="0" bIns="0" rtlCol="0">
                          <a:noAutofit/>
                        </wps:bodyPr>
                      </wps:wsp>
                      <wps:wsp>
                        <wps:cNvPr id="16884" name="Rectangle 16884"/>
                        <wps:cNvSpPr/>
                        <wps:spPr>
                          <a:xfrm rot="-10799999">
                            <a:off x="1506771" y="3942206"/>
                            <a:ext cx="810398" cy="142889"/>
                          </a:xfrm>
                          <a:prstGeom prst="rect">
                            <a:avLst/>
                          </a:prstGeom>
                          <a:ln>
                            <a:noFill/>
                          </a:ln>
                        </wps:spPr>
                        <wps:txbx>
                          <w:txbxContent>
                            <w:p w14:paraId="3054D6D7" w14:textId="77777777" w:rsidR="00B32EF2" w:rsidRDefault="00000000">
                              <w:r>
                                <w:rPr>
                                  <w:rFonts w:ascii="Arial" w:eastAsia="Arial" w:hAnsi="Arial" w:cs="Arial"/>
                                  <w:b/>
                                  <w:sz w:val="18"/>
                                </w:rPr>
                                <w:t>Articolo 83</w:t>
                              </w:r>
                            </w:p>
                          </w:txbxContent>
                        </wps:txbx>
                        <wps:bodyPr horzOverflow="overflow" vert="horz" lIns="0" tIns="0" rIns="0" bIns="0" rtlCol="0">
                          <a:noAutofit/>
                        </wps:bodyPr>
                      </wps:wsp>
                      <wps:wsp>
                        <wps:cNvPr id="200658" name="Rectangle 200658"/>
                        <wps:cNvSpPr/>
                        <wps:spPr>
                          <a:xfrm rot="-10799999">
                            <a:off x="2255270" y="3818877"/>
                            <a:ext cx="2203151" cy="142889"/>
                          </a:xfrm>
                          <a:prstGeom prst="rect">
                            <a:avLst/>
                          </a:prstGeom>
                          <a:ln>
                            <a:noFill/>
                          </a:ln>
                        </wps:spPr>
                        <wps:txbx>
                          <w:txbxContent>
                            <w:p w14:paraId="6A821F2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659" name="Rectangle 200659"/>
                        <wps:cNvSpPr/>
                        <wps:spPr>
                          <a:xfrm rot="-10799999">
                            <a:off x="-621329" y="3818877"/>
                            <a:ext cx="2203151" cy="142889"/>
                          </a:xfrm>
                          <a:prstGeom prst="rect">
                            <a:avLst/>
                          </a:prstGeom>
                          <a:ln>
                            <a:noFill/>
                          </a:ln>
                        </wps:spPr>
                        <wps:txbx>
                          <w:txbxContent>
                            <w:p w14:paraId="7EA93A20"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660" name="Rectangle 200660"/>
                        <wps:cNvSpPr/>
                        <wps:spPr>
                          <a:xfrm rot="-10799999">
                            <a:off x="1000015" y="3818877"/>
                            <a:ext cx="2203151" cy="142889"/>
                          </a:xfrm>
                          <a:prstGeom prst="rect">
                            <a:avLst/>
                          </a:prstGeom>
                          <a:ln>
                            <a:noFill/>
                          </a:ln>
                        </wps:spPr>
                        <wps:txbx>
                          <w:txbxContent>
                            <w:p w14:paraId="3D114437" w14:textId="77777777" w:rsidR="00B32EF2" w:rsidRDefault="00000000">
                              <w:r>
                                <w:rPr>
                                  <w:rFonts w:ascii="Arial" w:eastAsia="Arial" w:hAnsi="Arial" w:cs="Arial"/>
                                  <w:i/>
                                  <w:sz w:val="18"/>
                                </w:rPr>
                                <w:t xml:space="preserve">articolo 34-bis D.lgs. n. </w:t>
                              </w:r>
                            </w:p>
                          </w:txbxContent>
                        </wps:txbx>
                        <wps:bodyPr horzOverflow="overflow" vert="horz" lIns="0" tIns="0" rIns="0" bIns="0" rtlCol="0">
                          <a:noAutofit/>
                        </wps:bodyPr>
                      </wps:wsp>
                      <wps:wsp>
                        <wps:cNvPr id="16886" name="Rectangle 16886"/>
                        <wps:cNvSpPr/>
                        <wps:spPr>
                          <a:xfrm rot="-10799999">
                            <a:off x="1102206" y="3695547"/>
                            <a:ext cx="1432019" cy="142889"/>
                          </a:xfrm>
                          <a:prstGeom prst="rect">
                            <a:avLst/>
                          </a:prstGeom>
                          <a:ln>
                            <a:noFill/>
                          </a:ln>
                        </wps:spPr>
                        <wps:txbx>
                          <w:txbxContent>
                            <w:p w14:paraId="7F8F39A4" w14:textId="77777777" w:rsidR="00B32EF2" w:rsidRDefault="00000000">
                              <w:r>
                                <w:rPr>
                                  <w:rFonts w:ascii="Arial" w:eastAsia="Arial" w:hAnsi="Arial" w:cs="Arial"/>
                                  <w:b/>
                                  <w:sz w:val="18"/>
                                </w:rPr>
                                <w:t xml:space="preserve">Udienza a distanza </w:t>
                              </w:r>
                            </w:p>
                          </w:txbxContent>
                        </wps:txbx>
                        <wps:bodyPr horzOverflow="overflow" vert="horz" lIns="0" tIns="0" rIns="0" bIns="0" rtlCol="0">
                          <a:noAutofit/>
                        </wps:bodyPr>
                      </wps:wsp>
                      <wps:wsp>
                        <wps:cNvPr id="200657" name="Rectangle 200657"/>
                        <wps:cNvSpPr/>
                        <wps:spPr>
                          <a:xfrm rot="-10799999">
                            <a:off x="-1280243" y="3572217"/>
                            <a:ext cx="5212838" cy="142889"/>
                          </a:xfrm>
                          <a:prstGeom prst="rect">
                            <a:avLst/>
                          </a:prstGeom>
                          <a:ln>
                            <a:noFill/>
                          </a:ln>
                        </wps:spPr>
                        <wps:txbx>
                          <w:txbxContent>
                            <w:p w14:paraId="7648DC8B" w14:textId="77777777" w:rsidR="00B32EF2" w:rsidRDefault="00000000">
                              <w:r>
                                <w:rPr>
                                  <w:rFonts w:ascii="Arial" w:eastAsia="Arial" w:hAnsi="Arial" w:cs="Arial"/>
                                  <w:sz w:val="18"/>
                                </w:rPr>
                                <w:t>. I contribuenti e i loro difensori, gli enti impositori e i soggetti della riscos</w:t>
                              </w:r>
                            </w:p>
                          </w:txbxContent>
                        </wps:txbx>
                        <wps:bodyPr horzOverflow="overflow" vert="horz" lIns="0" tIns="0" rIns="0" bIns="0" rtlCol="0">
                          <a:noAutofit/>
                        </wps:bodyPr>
                      </wps:wsp>
                      <wps:wsp>
                        <wps:cNvPr id="200656" name="Rectangle 200656"/>
                        <wps:cNvSpPr/>
                        <wps:spPr>
                          <a:xfrm rot="-10799999">
                            <a:off x="2634818" y="3572217"/>
                            <a:ext cx="5212838" cy="142889"/>
                          </a:xfrm>
                          <a:prstGeom prst="rect">
                            <a:avLst/>
                          </a:prstGeom>
                          <a:ln>
                            <a:noFill/>
                          </a:ln>
                        </wps:spPr>
                        <wps:txbx>
                          <w:txbxContent>
                            <w:p w14:paraId="468527A3"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6888" name="Rectangle 16888"/>
                        <wps:cNvSpPr/>
                        <wps:spPr>
                          <a:xfrm rot="-10799999">
                            <a:off x="19181" y="3572218"/>
                            <a:ext cx="50622" cy="142889"/>
                          </a:xfrm>
                          <a:prstGeom prst="rect">
                            <a:avLst/>
                          </a:prstGeom>
                          <a:ln>
                            <a:noFill/>
                          </a:ln>
                        </wps:spPr>
                        <wps:txbx>
                          <w:txbxContent>
                            <w:p w14:paraId="46E7645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889" name="Rectangle 16889"/>
                        <wps:cNvSpPr/>
                        <wps:spPr>
                          <a:xfrm rot="-10799999">
                            <a:off x="-1317241" y="3448888"/>
                            <a:ext cx="5309021" cy="142889"/>
                          </a:xfrm>
                          <a:prstGeom prst="rect">
                            <a:avLst/>
                          </a:prstGeom>
                          <a:ln>
                            <a:noFill/>
                          </a:ln>
                        </wps:spPr>
                        <wps:txbx>
                          <w:txbxContent>
                            <w:p w14:paraId="5E390F7E" w14:textId="77777777" w:rsidR="00B32EF2" w:rsidRDefault="00000000">
                              <w:r>
                                <w:rPr>
                                  <w:rFonts w:ascii="Arial" w:eastAsia="Arial" w:hAnsi="Arial" w:cs="Arial"/>
                                  <w:sz w:val="18"/>
                                </w:rPr>
                                <w:t xml:space="preserve">sione, i giudici e il personale amministrativo delle corti di giustizia tributaria </w:t>
                              </w:r>
                            </w:p>
                          </w:txbxContent>
                        </wps:txbx>
                        <wps:bodyPr horzOverflow="overflow" vert="horz" lIns="0" tIns="0" rIns="0" bIns="0" rtlCol="0">
                          <a:noAutofit/>
                        </wps:bodyPr>
                      </wps:wsp>
                      <wps:wsp>
                        <wps:cNvPr id="16890" name="Rectangle 16890"/>
                        <wps:cNvSpPr/>
                        <wps:spPr>
                          <a:xfrm rot="-10799999">
                            <a:off x="-1317256" y="3325558"/>
                            <a:ext cx="5309035" cy="142889"/>
                          </a:xfrm>
                          <a:prstGeom prst="rect">
                            <a:avLst/>
                          </a:prstGeom>
                          <a:ln>
                            <a:noFill/>
                          </a:ln>
                        </wps:spPr>
                        <wps:txbx>
                          <w:txbxContent>
                            <w:p w14:paraId="7C495548" w14:textId="77777777" w:rsidR="00B32EF2" w:rsidRDefault="00000000">
                              <w:r>
                                <w:rPr>
                                  <w:rFonts w:ascii="Arial" w:eastAsia="Arial" w:hAnsi="Arial" w:cs="Arial"/>
                                  <w:sz w:val="18"/>
                                </w:rPr>
                                <w:t xml:space="preserve">di primo e secondo grado possono partecipare alle udienze di cui agli articoli </w:t>
                              </w:r>
                            </w:p>
                          </w:txbxContent>
                        </wps:txbx>
                        <wps:bodyPr horzOverflow="overflow" vert="horz" lIns="0" tIns="0" rIns="0" bIns="0" rtlCol="0">
                          <a:noAutofit/>
                        </wps:bodyPr>
                      </wps:wsp>
                      <wps:wsp>
                        <wps:cNvPr id="200654" name="Rectangle 200654"/>
                        <wps:cNvSpPr/>
                        <wps:spPr>
                          <a:xfrm rot="-10799999">
                            <a:off x="2550671" y="3202228"/>
                            <a:ext cx="5308929" cy="142889"/>
                          </a:xfrm>
                          <a:prstGeom prst="rect">
                            <a:avLst/>
                          </a:prstGeom>
                          <a:ln>
                            <a:noFill/>
                          </a:ln>
                        </wps:spPr>
                        <wps:txbx>
                          <w:txbxContent>
                            <w:p w14:paraId="20BEE6C6" w14:textId="77777777" w:rsidR="00B32EF2" w:rsidRDefault="00000000">
                              <w:r>
                                <w:rPr>
                                  <w:rFonts w:ascii="Arial" w:eastAsia="Arial" w:hAnsi="Arial" w:cs="Arial"/>
                                  <w:sz w:val="18"/>
                                </w:rPr>
                                <w:t>81</w:t>
                              </w:r>
                            </w:p>
                          </w:txbxContent>
                        </wps:txbx>
                        <wps:bodyPr horzOverflow="overflow" vert="horz" lIns="0" tIns="0" rIns="0" bIns="0" rtlCol="0">
                          <a:noAutofit/>
                        </wps:bodyPr>
                      </wps:wsp>
                      <wps:wsp>
                        <wps:cNvPr id="200655" name="Rectangle 200655"/>
                        <wps:cNvSpPr/>
                        <wps:spPr>
                          <a:xfrm rot="-10799999">
                            <a:off x="-1441005" y="3202228"/>
                            <a:ext cx="5308929" cy="142889"/>
                          </a:xfrm>
                          <a:prstGeom prst="rect">
                            <a:avLst/>
                          </a:prstGeom>
                          <a:ln>
                            <a:noFill/>
                          </a:ln>
                        </wps:spPr>
                        <wps:txbx>
                          <w:txbxContent>
                            <w:p w14:paraId="039EDCB5" w14:textId="77777777" w:rsidR="00B32EF2" w:rsidRDefault="00000000">
                              <w:r>
                                <w:rPr>
                                  <w:rFonts w:ascii="Arial" w:eastAsia="Arial" w:hAnsi="Arial" w:cs="Arial"/>
                                  <w:sz w:val="18"/>
                                </w:rPr>
                                <w:t xml:space="preserve"> e 82 da remoto. La discussione da remoto è chiesta nel ricorso, nel primo </w:t>
                              </w:r>
                            </w:p>
                          </w:txbxContent>
                        </wps:txbx>
                        <wps:bodyPr horzOverflow="overflow" vert="horz" lIns="0" tIns="0" rIns="0" bIns="0" rtlCol="0">
                          <a:noAutofit/>
                        </wps:bodyPr>
                      </wps:wsp>
                      <wps:wsp>
                        <wps:cNvPr id="16892" name="Rectangle 16892"/>
                        <wps:cNvSpPr/>
                        <wps:spPr>
                          <a:xfrm rot="-10799999">
                            <a:off x="-1317210" y="3078899"/>
                            <a:ext cx="5308990" cy="142889"/>
                          </a:xfrm>
                          <a:prstGeom prst="rect">
                            <a:avLst/>
                          </a:prstGeom>
                          <a:ln>
                            <a:noFill/>
                          </a:ln>
                        </wps:spPr>
                        <wps:txbx>
                          <w:txbxContent>
                            <w:p w14:paraId="254B3483" w14:textId="77777777" w:rsidR="00B32EF2" w:rsidRDefault="00000000">
                              <w:r>
                                <w:rPr>
                                  <w:rFonts w:ascii="Arial" w:eastAsia="Arial" w:hAnsi="Arial" w:cs="Arial"/>
                                  <w:sz w:val="18"/>
                                </w:rPr>
                                <w:t xml:space="preserve">atto difensivo o in apposita istanza notificata alle altre parti costituite entro il </w:t>
                              </w:r>
                            </w:p>
                          </w:txbxContent>
                        </wps:txbx>
                        <wps:bodyPr horzOverflow="overflow" vert="horz" lIns="0" tIns="0" rIns="0" bIns="0" rtlCol="0">
                          <a:noAutofit/>
                        </wps:bodyPr>
                      </wps:wsp>
                      <wps:wsp>
                        <wps:cNvPr id="16893" name="Rectangle 16893"/>
                        <wps:cNvSpPr/>
                        <wps:spPr>
                          <a:xfrm rot="-10799999">
                            <a:off x="-1220647" y="2955569"/>
                            <a:ext cx="5212427" cy="142889"/>
                          </a:xfrm>
                          <a:prstGeom prst="rect">
                            <a:avLst/>
                          </a:prstGeom>
                          <a:ln>
                            <a:noFill/>
                          </a:ln>
                        </wps:spPr>
                        <wps:txbx>
                          <w:txbxContent>
                            <w:p w14:paraId="6170BE13" w14:textId="77777777" w:rsidR="00B32EF2" w:rsidRDefault="00000000">
                              <w:r>
                                <w:rPr>
                                  <w:rFonts w:ascii="Arial" w:eastAsia="Arial" w:hAnsi="Arial" w:cs="Arial"/>
                                  <w:sz w:val="18"/>
                                </w:rPr>
                                <w:t>termine di cui all’articolo 80, comma 2, ed è depositata in segreteria unitamen</w:t>
                              </w:r>
                            </w:p>
                          </w:txbxContent>
                        </wps:txbx>
                        <wps:bodyPr horzOverflow="overflow" vert="horz" lIns="0" tIns="0" rIns="0" bIns="0" rtlCol="0">
                          <a:noAutofit/>
                        </wps:bodyPr>
                      </wps:wsp>
                      <wps:wsp>
                        <wps:cNvPr id="16894" name="Rectangle 16894"/>
                        <wps:cNvSpPr/>
                        <wps:spPr>
                          <a:xfrm rot="-10799999">
                            <a:off x="19181" y="2955569"/>
                            <a:ext cx="50622" cy="142889"/>
                          </a:xfrm>
                          <a:prstGeom prst="rect">
                            <a:avLst/>
                          </a:prstGeom>
                          <a:ln>
                            <a:noFill/>
                          </a:ln>
                        </wps:spPr>
                        <wps:txbx>
                          <w:txbxContent>
                            <w:p w14:paraId="43FA43D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895" name="Rectangle 16895"/>
                        <wps:cNvSpPr/>
                        <wps:spPr>
                          <a:xfrm rot="-10799999">
                            <a:off x="-1317165" y="2832239"/>
                            <a:ext cx="5308945" cy="142889"/>
                          </a:xfrm>
                          <a:prstGeom prst="rect">
                            <a:avLst/>
                          </a:prstGeom>
                          <a:ln>
                            <a:noFill/>
                          </a:ln>
                        </wps:spPr>
                        <wps:txbx>
                          <w:txbxContent>
                            <w:p w14:paraId="6788757C" w14:textId="77777777" w:rsidR="00B32EF2" w:rsidRDefault="00000000">
                              <w:r>
                                <w:rPr>
                                  <w:rFonts w:ascii="Arial" w:eastAsia="Arial" w:hAnsi="Arial" w:cs="Arial"/>
                                  <w:sz w:val="18"/>
                                </w:rPr>
                                <w:t xml:space="preserve">te alla prova della notificazione. Nei casi di trattazione delle cause da remoto </w:t>
                              </w:r>
                            </w:p>
                          </w:txbxContent>
                        </wps:txbx>
                        <wps:bodyPr horzOverflow="overflow" vert="horz" lIns="0" tIns="0" rIns="0" bIns="0" rtlCol="0">
                          <a:noAutofit/>
                        </wps:bodyPr>
                      </wps:wsp>
                      <wps:wsp>
                        <wps:cNvPr id="16896" name="Rectangle 16896"/>
                        <wps:cNvSpPr/>
                        <wps:spPr>
                          <a:xfrm rot="-10799999">
                            <a:off x="-1317209" y="2708910"/>
                            <a:ext cx="5308990" cy="142889"/>
                          </a:xfrm>
                          <a:prstGeom prst="rect">
                            <a:avLst/>
                          </a:prstGeom>
                          <a:ln>
                            <a:noFill/>
                          </a:ln>
                        </wps:spPr>
                        <wps:txbx>
                          <w:txbxContent>
                            <w:p w14:paraId="76190A9D" w14:textId="77777777" w:rsidR="00B32EF2" w:rsidRDefault="00000000">
                              <w:r>
                                <w:rPr>
                                  <w:rFonts w:ascii="Arial" w:eastAsia="Arial" w:hAnsi="Arial" w:cs="Arial"/>
                                  <w:sz w:val="18"/>
                                </w:rPr>
                                <w:t xml:space="preserve">la segreteria comunica, almeno tre giorni prima dell’udienza, l’avviso dell’ora </w:t>
                              </w:r>
                            </w:p>
                          </w:txbxContent>
                        </wps:txbx>
                        <wps:bodyPr horzOverflow="overflow" vert="horz" lIns="0" tIns="0" rIns="0" bIns="0" rtlCol="0">
                          <a:noAutofit/>
                        </wps:bodyPr>
                      </wps:wsp>
                      <wps:wsp>
                        <wps:cNvPr id="16897" name="Rectangle 16897"/>
                        <wps:cNvSpPr/>
                        <wps:spPr>
                          <a:xfrm rot="-10799999">
                            <a:off x="-1317240" y="2585580"/>
                            <a:ext cx="5309021" cy="142889"/>
                          </a:xfrm>
                          <a:prstGeom prst="rect">
                            <a:avLst/>
                          </a:prstGeom>
                          <a:ln>
                            <a:noFill/>
                          </a:ln>
                        </wps:spPr>
                        <wps:txbx>
                          <w:txbxContent>
                            <w:p w14:paraId="0D5EF2B5" w14:textId="77777777" w:rsidR="00B32EF2" w:rsidRDefault="00000000">
                              <w:r>
                                <w:rPr>
                                  <w:rFonts w:ascii="Arial" w:eastAsia="Arial" w:hAnsi="Arial" w:cs="Arial"/>
                                  <w:sz w:val="18"/>
                                </w:rPr>
                                <w:t xml:space="preserve">e delle modalità di collegamento. Nel verbale di udienza viene dato atto delle </w:t>
                              </w:r>
                            </w:p>
                          </w:txbxContent>
                        </wps:txbx>
                        <wps:bodyPr horzOverflow="overflow" vert="horz" lIns="0" tIns="0" rIns="0" bIns="0" rtlCol="0">
                          <a:noAutofit/>
                        </wps:bodyPr>
                      </wps:wsp>
                      <wps:wsp>
                        <wps:cNvPr id="16898" name="Rectangle 16898"/>
                        <wps:cNvSpPr/>
                        <wps:spPr>
                          <a:xfrm rot="-10799999">
                            <a:off x="-1317226" y="2462250"/>
                            <a:ext cx="5309006" cy="142889"/>
                          </a:xfrm>
                          <a:prstGeom prst="rect">
                            <a:avLst/>
                          </a:prstGeom>
                          <a:ln>
                            <a:noFill/>
                          </a:ln>
                        </wps:spPr>
                        <wps:txbx>
                          <w:txbxContent>
                            <w:p w14:paraId="07B67660" w14:textId="77777777" w:rsidR="00B32EF2" w:rsidRDefault="00000000">
                              <w:r>
                                <w:rPr>
                                  <w:rFonts w:ascii="Arial" w:eastAsia="Arial" w:hAnsi="Arial" w:cs="Arial"/>
                                  <w:sz w:val="18"/>
                                </w:rPr>
                                <w:t xml:space="preserve">modalità con cui si accerta l’identità dei partecipanti e della loro libera volontà </w:t>
                              </w:r>
                            </w:p>
                          </w:txbxContent>
                        </wps:txbx>
                        <wps:bodyPr horzOverflow="overflow" vert="horz" lIns="0" tIns="0" rIns="0" bIns="0" rtlCol="0">
                          <a:noAutofit/>
                        </wps:bodyPr>
                      </wps:wsp>
                      <wps:wsp>
                        <wps:cNvPr id="16899" name="Rectangle 16899"/>
                        <wps:cNvSpPr/>
                        <wps:spPr>
                          <a:xfrm rot="-10799999">
                            <a:off x="-1317240" y="2338921"/>
                            <a:ext cx="5309021" cy="142889"/>
                          </a:xfrm>
                          <a:prstGeom prst="rect">
                            <a:avLst/>
                          </a:prstGeom>
                          <a:ln>
                            <a:noFill/>
                          </a:ln>
                        </wps:spPr>
                        <wps:txbx>
                          <w:txbxContent>
                            <w:p w14:paraId="49A6AF10" w14:textId="77777777" w:rsidR="00B32EF2" w:rsidRDefault="00000000">
                              <w:r>
                                <w:rPr>
                                  <w:rFonts w:ascii="Arial" w:eastAsia="Arial" w:hAnsi="Arial" w:cs="Arial"/>
                                  <w:sz w:val="18"/>
                                </w:rPr>
                                <w:t xml:space="preserve">di parteciparvi, anche ai fini della disciplina sulla protezione dei dati personali. </w:t>
                              </w:r>
                            </w:p>
                          </w:txbxContent>
                        </wps:txbx>
                        <wps:bodyPr horzOverflow="overflow" vert="horz" lIns="0" tIns="0" rIns="0" bIns="0" rtlCol="0">
                          <a:noAutofit/>
                        </wps:bodyPr>
                      </wps:wsp>
                      <wps:wsp>
                        <wps:cNvPr id="16900" name="Rectangle 16900"/>
                        <wps:cNvSpPr/>
                        <wps:spPr>
                          <a:xfrm rot="-10799999">
                            <a:off x="-1220617" y="2215591"/>
                            <a:ext cx="5212398" cy="142889"/>
                          </a:xfrm>
                          <a:prstGeom prst="rect">
                            <a:avLst/>
                          </a:prstGeom>
                          <a:ln>
                            <a:noFill/>
                          </a:ln>
                        </wps:spPr>
                        <wps:txbx>
                          <w:txbxContent>
                            <w:p w14:paraId="252DB896" w14:textId="77777777" w:rsidR="00B32EF2" w:rsidRDefault="00000000">
                              <w:r>
                                <w:rPr>
                                  <w:rFonts w:ascii="Arial" w:eastAsia="Arial" w:hAnsi="Arial" w:cs="Arial"/>
                                  <w:sz w:val="18"/>
                                </w:rPr>
                                <w:t>I verbali e le decisioni deliberate all’esito dell’udienza o della camera di con</w:t>
                              </w:r>
                            </w:p>
                          </w:txbxContent>
                        </wps:txbx>
                        <wps:bodyPr horzOverflow="overflow" vert="horz" lIns="0" tIns="0" rIns="0" bIns="0" rtlCol="0">
                          <a:noAutofit/>
                        </wps:bodyPr>
                      </wps:wsp>
                      <wps:wsp>
                        <wps:cNvPr id="16901" name="Rectangle 16901"/>
                        <wps:cNvSpPr/>
                        <wps:spPr>
                          <a:xfrm rot="-10799999">
                            <a:off x="19181" y="2215591"/>
                            <a:ext cx="50622" cy="142889"/>
                          </a:xfrm>
                          <a:prstGeom prst="rect">
                            <a:avLst/>
                          </a:prstGeom>
                          <a:ln>
                            <a:noFill/>
                          </a:ln>
                        </wps:spPr>
                        <wps:txbx>
                          <w:txbxContent>
                            <w:p w14:paraId="6C10EDF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902" name="Rectangle 16902"/>
                        <wps:cNvSpPr/>
                        <wps:spPr>
                          <a:xfrm rot="-10799999">
                            <a:off x="-1317240" y="2092261"/>
                            <a:ext cx="5309021" cy="142889"/>
                          </a:xfrm>
                          <a:prstGeom prst="rect">
                            <a:avLst/>
                          </a:prstGeom>
                          <a:ln>
                            <a:noFill/>
                          </a:ln>
                        </wps:spPr>
                        <wps:txbx>
                          <w:txbxContent>
                            <w:p w14:paraId="2D7CA9C7" w14:textId="77777777" w:rsidR="00B32EF2" w:rsidRDefault="00000000">
                              <w:r>
                                <w:rPr>
                                  <w:rFonts w:ascii="Arial" w:eastAsia="Arial" w:hAnsi="Arial" w:cs="Arial"/>
                                  <w:sz w:val="18"/>
                                </w:rPr>
                                <w:t xml:space="preserve">siglio si considerano, rispettivamente, formati ed assunte nel comune in cui </w:t>
                              </w:r>
                            </w:p>
                          </w:txbxContent>
                        </wps:txbx>
                        <wps:bodyPr horzOverflow="overflow" vert="horz" lIns="0" tIns="0" rIns="0" bIns="0" rtlCol="0">
                          <a:noAutofit/>
                        </wps:bodyPr>
                      </wps:wsp>
                      <wps:wsp>
                        <wps:cNvPr id="16903" name="Rectangle 16903"/>
                        <wps:cNvSpPr/>
                        <wps:spPr>
                          <a:xfrm rot="-10799999">
                            <a:off x="-1317209" y="1968931"/>
                            <a:ext cx="5308990" cy="142889"/>
                          </a:xfrm>
                          <a:prstGeom prst="rect">
                            <a:avLst/>
                          </a:prstGeom>
                          <a:ln>
                            <a:noFill/>
                          </a:ln>
                        </wps:spPr>
                        <wps:txbx>
                          <w:txbxContent>
                            <w:p w14:paraId="258F3939" w14:textId="77777777" w:rsidR="00B32EF2" w:rsidRDefault="00000000">
                              <w:r>
                                <w:rPr>
                                  <w:rFonts w:ascii="Arial" w:eastAsia="Arial" w:hAnsi="Arial" w:cs="Arial"/>
                                  <w:sz w:val="18"/>
                                </w:rPr>
                                <w:t xml:space="preserve">ha sede l’ufficio giudiziario presso il quale è stato iscritto il ricorso trattato. Il </w:t>
                              </w:r>
                            </w:p>
                          </w:txbxContent>
                        </wps:txbx>
                        <wps:bodyPr horzOverflow="overflow" vert="horz" lIns="0" tIns="0" rIns="0" bIns="0" rtlCol="0">
                          <a:noAutofit/>
                        </wps:bodyPr>
                      </wps:wsp>
                      <wps:wsp>
                        <wps:cNvPr id="16904" name="Rectangle 16904"/>
                        <wps:cNvSpPr/>
                        <wps:spPr>
                          <a:xfrm rot="-10799999">
                            <a:off x="-1229383" y="1845602"/>
                            <a:ext cx="5223449" cy="142889"/>
                          </a:xfrm>
                          <a:prstGeom prst="rect">
                            <a:avLst/>
                          </a:prstGeom>
                          <a:ln>
                            <a:noFill/>
                          </a:ln>
                        </wps:spPr>
                        <wps:txbx>
                          <w:txbxContent>
                            <w:p w14:paraId="5F36CDD1" w14:textId="77777777" w:rsidR="00B32EF2" w:rsidRDefault="00000000">
                              <w:r>
                                <w:rPr>
                                  <w:rFonts w:ascii="Arial" w:eastAsia="Arial" w:hAnsi="Arial" w:cs="Arial"/>
                                  <w:sz w:val="18"/>
                                </w:rPr>
                                <w:t>luogo dal quale si collegano i giudici, i difensori, le parti che si difendono per</w:t>
                              </w:r>
                            </w:p>
                          </w:txbxContent>
                        </wps:txbx>
                        <wps:bodyPr horzOverflow="overflow" vert="horz" lIns="0" tIns="0" rIns="0" bIns="0" rtlCol="0">
                          <a:noAutofit/>
                        </wps:bodyPr>
                      </wps:wsp>
                      <wps:wsp>
                        <wps:cNvPr id="16905" name="Rectangle 16905"/>
                        <wps:cNvSpPr/>
                        <wps:spPr>
                          <a:xfrm rot="-10799999">
                            <a:off x="19181" y="1845602"/>
                            <a:ext cx="50622" cy="142889"/>
                          </a:xfrm>
                          <a:prstGeom prst="rect">
                            <a:avLst/>
                          </a:prstGeom>
                          <a:ln>
                            <a:noFill/>
                          </a:ln>
                        </wps:spPr>
                        <wps:txbx>
                          <w:txbxContent>
                            <w:p w14:paraId="34146F1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906" name="Rectangle 16906"/>
                        <wps:cNvSpPr/>
                        <wps:spPr>
                          <a:xfrm rot="-10799999">
                            <a:off x="-1317256" y="1722272"/>
                            <a:ext cx="5309035" cy="142889"/>
                          </a:xfrm>
                          <a:prstGeom prst="rect">
                            <a:avLst/>
                          </a:prstGeom>
                          <a:ln>
                            <a:noFill/>
                          </a:ln>
                        </wps:spPr>
                        <wps:txbx>
                          <w:txbxContent>
                            <w:p w14:paraId="0FF393F0" w14:textId="77777777" w:rsidR="00B32EF2" w:rsidRDefault="00000000">
                              <w:r>
                                <w:rPr>
                                  <w:rFonts w:ascii="Arial" w:eastAsia="Arial" w:hAnsi="Arial" w:cs="Arial"/>
                                  <w:sz w:val="18"/>
                                </w:rPr>
                                <w:t xml:space="preserve">sonalmente e il personale amministrativo è considerato aula di udienza a tutti </w:t>
                              </w:r>
                            </w:p>
                          </w:txbxContent>
                        </wps:txbx>
                        <wps:bodyPr horzOverflow="overflow" vert="horz" lIns="0" tIns="0" rIns="0" bIns="0" rtlCol="0">
                          <a:noAutofit/>
                        </wps:bodyPr>
                      </wps:wsp>
                      <wps:wsp>
                        <wps:cNvPr id="16907" name="Rectangle 16907"/>
                        <wps:cNvSpPr/>
                        <wps:spPr>
                          <a:xfrm rot="-10799999">
                            <a:off x="2790510" y="1598943"/>
                            <a:ext cx="1201269" cy="142889"/>
                          </a:xfrm>
                          <a:prstGeom prst="rect">
                            <a:avLst/>
                          </a:prstGeom>
                          <a:ln>
                            <a:noFill/>
                          </a:ln>
                        </wps:spPr>
                        <wps:txbx>
                          <w:txbxContent>
                            <w:p w14:paraId="3EF4947A" w14:textId="77777777" w:rsidR="00B32EF2" w:rsidRDefault="00000000">
                              <w:r>
                                <w:rPr>
                                  <w:rFonts w:ascii="Arial" w:eastAsia="Arial" w:hAnsi="Arial" w:cs="Arial"/>
                                  <w:sz w:val="18"/>
                                </w:rPr>
                                <w:t>gli effetti di legge.</w:t>
                              </w:r>
                            </w:p>
                          </w:txbxContent>
                        </wps:txbx>
                        <wps:bodyPr horzOverflow="overflow" vert="horz" lIns="0" tIns="0" rIns="0" bIns="0" rtlCol="0">
                          <a:noAutofit/>
                        </wps:bodyPr>
                      </wps:wsp>
                      <wps:wsp>
                        <wps:cNvPr id="16908" name="Rectangle 16908"/>
                        <wps:cNvSpPr/>
                        <wps:spPr>
                          <a:xfrm rot="-10799999">
                            <a:off x="1505975" y="1352283"/>
                            <a:ext cx="811766" cy="142889"/>
                          </a:xfrm>
                          <a:prstGeom prst="rect">
                            <a:avLst/>
                          </a:prstGeom>
                          <a:ln>
                            <a:noFill/>
                          </a:ln>
                        </wps:spPr>
                        <wps:txbx>
                          <w:txbxContent>
                            <w:p w14:paraId="00727C4B" w14:textId="77777777" w:rsidR="00B32EF2" w:rsidRDefault="00000000">
                              <w:r>
                                <w:rPr>
                                  <w:rFonts w:ascii="Arial" w:eastAsia="Arial" w:hAnsi="Arial" w:cs="Arial"/>
                                  <w:b/>
                                  <w:sz w:val="18"/>
                                </w:rPr>
                                <w:t>Articolo 84</w:t>
                              </w:r>
                            </w:p>
                          </w:txbxContent>
                        </wps:txbx>
                        <wps:bodyPr horzOverflow="overflow" vert="horz" lIns="0" tIns="0" rIns="0" bIns="0" rtlCol="0">
                          <a:noAutofit/>
                        </wps:bodyPr>
                      </wps:wsp>
                      <wps:wsp>
                        <wps:cNvPr id="200651" name="Rectangle 200651"/>
                        <wps:cNvSpPr/>
                        <wps:spPr>
                          <a:xfrm rot="-10799999">
                            <a:off x="2222173" y="1228954"/>
                            <a:ext cx="1943593" cy="142889"/>
                          </a:xfrm>
                          <a:prstGeom prst="rect">
                            <a:avLst/>
                          </a:prstGeom>
                          <a:ln>
                            <a:noFill/>
                          </a:ln>
                        </wps:spPr>
                        <wps:txbx>
                          <w:txbxContent>
                            <w:p w14:paraId="6490CF6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653" name="Rectangle 200653"/>
                        <wps:cNvSpPr/>
                        <wps:spPr>
                          <a:xfrm rot="-10799999">
                            <a:off x="1162086" y="1228953"/>
                            <a:ext cx="1943593" cy="142889"/>
                          </a:xfrm>
                          <a:prstGeom prst="rect">
                            <a:avLst/>
                          </a:prstGeom>
                          <a:ln>
                            <a:noFill/>
                          </a:ln>
                        </wps:spPr>
                        <wps:txbx>
                          <w:txbxContent>
                            <w:p w14:paraId="548DAB30" w14:textId="77777777" w:rsidR="00B32EF2" w:rsidRDefault="00000000">
                              <w:r>
                                <w:rPr>
                                  <w:rFonts w:ascii="Arial" w:eastAsia="Arial" w:hAnsi="Arial" w:cs="Arial"/>
                                  <w:i/>
                                  <w:sz w:val="18"/>
                                </w:rPr>
                                <w:t xml:space="preserve">articolo 35 D.lgs. n. </w:t>
                              </w:r>
                            </w:p>
                          </w:txbxContent>
                        </wps:txbx>
                        <wps:bodyPr horzOverflow="overflow" vert="horz" lIns="0" tIns="0" rIns="0" bIns="0" rtlCol="0">
                          <a:noAutofit/>
                        </wps:bodyPr>
                      </wps:wsp>
                      <wps:wsp>
                        <wps:cNvPr id="200652" name="Rectangle 200652"/>
                        <wps:cNvSpPr/>
                        <wps:spPr>
                          <a:xfrm rot="-10799999">
                            <a:off x="-264103" y="1228953"/>
                            <a:ext cx="1943594" cy="142889"/>
                          </a:xfrm>
                          <a:prstGeom prst="rect">
                            <a:avLst/>
                          </a:prstGeom>
                          <a:ln>
                            <a:noFill/>
                          </a:ln>
                        </wps:spPr>
                        <wps:txbx>
                          <w:txbxContent>
                            <w:p w14:paraId="79C0DFDE"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6910" name="Rectangle 16910"/>
                        <wps:cNvSpPr/>
                        <wps:spPr>
                          <a:xfrm rot="-10799999">
                            <a:off x="-133260" y="1105624"/>
                            <a:ext cx="3411809" cy="142889"/>
                          </a:xfrm>
                          <a:prstGeom prst="rect">
                            <a:avLst/>
                          </a:prstGeom>
                          <a:ln>
                            <a:noFill/>
                          </a:ln>
                        </wps:spPr>
                        <wps:txbx>
                          <w:txbxContent>
                            <w:p w14:paraId="36FB29CF" w14:textId="77777777" w:rsidR="00B32EF2" w:rsidRDefault="00000000">
                              <w:r>
                                <w:rPr>
                                  <w:rFonts w:ascii="Arial" w:eastAsia="Arial" w:hAnsi="Arial" w:cs="Arial"/>
                                  <w:b/>
                                  <w:sz w:val="18"/>
                                </w:rPr>
                                <w:t xml:space="preserve">Deliberazioni della corte di giustizia tributaria </w:t>
                              </w:r>
                            </w:p>
                          </w:txbxContent>
                        </wps:txbx>
                        <wps:bodyPr horzOverflow="overflow" vert="horz" lIns="0" tIns="0" rIns="0" bIns="0" rtlCol="0">
                          <a:noAutofit/>
                        </wps:bodyPr>
                      </wps:wsp>
                      <wps:wsp>
                        <wps:cNvPr id="200648" name="Rectangle 200648"/>
                        <wps:cNvSpPr/>
                        <wps:spPr>
                          <a:xfrm rot="-10799999">
                            <a:off x="2634912" y="982294"/>
                            <a:ext cx="5212460" cy="142889"/>
                          </a:xfrm>
                          <a:prstGeom prst="rect">
                            <a:avLst/>
                          </a:prstGeom>
                          <a:ln>
                            <a:noFill/>
                          </a:ln>
                        </wps:spPr>
                        <wps:txbx>
                          <w:txbxContent>
                            <w:p w14:paraId="2A461FB0"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650" name="Rectangle 200650"/>
                        <wps:cNvSpPr/>
                        <wps:spPr>
                          <a:xfrm rot="-10799999">
                            <a:off x="-1279863" y="982294"/>
                            <a:ext cx="5212458" cy="142889"/>
                          </a:xfrm>
                          <a:prstGeom prst="rect">
                            <a:avLst/>
                          </a:prstGeom>
                          <a:ln>
                            <a:noFill/>
                          </a:ln>
                        </wps:spPr>
                        <wps:txbx>
                          <w:txbxContent>
                            <w:p w14:paraId="6141F66E" w14:textId="77777777" w:rsidR="00B32EF2" w:rsidRDefault="00000000">
                              <w:r>
                                <w:rPr>
                                  <w:rFonts w:ascii="Arial" w:eastAsia="Arial" w:hAnsi="Arial" w:cs="Arial"/>
                                  <w:sz w:val="18"/>
                                </w:rPr>
                                <w:t>. La corte di giustizia tributaria, subito dopo la discussione in pubblica udien</w:t>
                              </w:r>
                            </w:p>
                          </w:txbxContent>
                        </wps:txbx>
                        <wps:bodyPr horzOverflow="overflow" vert="horz" lIns="0" tIns="0" rIns="0" bIns="0" rtlCol="0">
                          <a:noAutofit/>
                        </wps:bodyPr>
                      </wps:wsp>
                      <wps:wsp>
                        <wps:cNvPr id="16912" name="Rectangle 16912"/>
                        <wps:cNvSpPr/>
                        <wps:spPr>
                          <a:xfrm rot="-10799999">
                            <a:off x="19181" y="982294"/>
                            <a:ext cx="50622" cy="142889"/>
                          </a:xfrm>
                          <a:prstGeom prst="rect">
                            <a:avLst/>
                          </a:prstGeom>
                          <a:ln>
                            <a:noFill/>
                          </a:ln>
                        </wps:spPr>
                        <wps:txbx>
                          <w:txbxContent>
                            <w:p w14:paraId="6AEA795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913" name="Rectangle 16913"/>
                        <wps:cNvSpPr/>
                        <wps:spPr>
                          <a:xfrm rot="-10799999">
                            <a:off x="-1317256" y="858964"/>
                            <a:ext cx="5309036" cy="142889"/>
                          </a:xfrm>
                          <a:prstGeom prst="rect">
                            <a:avLst/>
                          </a:prstGeom>
                          <a:ln>
                            <a:noFill/>
                          </a:ln>
                        </wps:spPr>
                        <wps:txbx>
                          <w:txbxContent>
                            <w:p w14:paraId="2C6C8BFD" w14:textId="77777777" w:rsidR="00B32EF2" w:rsidRDefault="00000000">
                              <w:r>
                                <w:rPr>
                                  <w:rFonts w:ascii="Arial" w:eastAsia="Arial" w:hAnsi="Arial" w:cs="Arial"/>
                                  <w:sz w:val="18"/>
                                </w:rPr>
                                <w:t xml:space="preserve">za o, se questa non vi è stata, dopo l›esposizione del relatore, delibera la </w:t>
                              </w:r>
                            </w:p>
                          </w:txbxContent>
                        </wps:txbx>
                        <wps:bodyPr horzOverflow="overflow" vert="horz" lIns="0" tIns="0" rIns="0" bIns="0" rtlCol="0">
                          <a:noAutofit/>
                        </wps:bodyPr>
                      </wps:wsp>
                      <wps:wsp>
                        <wps:cNvPr id="16914" name="Rectangle 16914"/>
                        <wps:cNvSpPr/>
                        <wps:spPr>
                          <a:xfrm rot="-10799999">
                            <a:off x="-1317286" y="735635"/>
                            <a:ext cx="5309066" cy="142889"/>
                          </a:xfrm>
                          <a:prstGeom prst="rect">
                            <a:avLst/>
                          </a:prstGeom>
                          <a:ln>
                            <a:noFill/>
                          </a:ln>
                        </wps:spPr>
                        <wps:txbx>
                          <w:txbxContent>
                            <w:p w14:paraId="3DF47677" w14:textId="77777777" w:rsidR="00B32EF2" w:rsidRDefault="00000000">
                              <w:r>
                                <w:rPr>
                                  <w:rFonts w:ascii="Arial" w:eastAsia="Arial" w:hAnsi="Arial" w:cs="Arial"/>
                                  <w:sz w:val="18"/>
                                </w:rPr>
                                <w:t xml:space="preserve">decisione in segreto nella camera di consiglio e il presidente, al termine, dà </w:t>
                              </w:r>
                            </w:p>
                          </w:txbxContent>
                        </wps:txbx>
                        <wps:bodyPr horzOverflow="overflow" vert="horz" lIns="0" tIns="0" rIns="0" bIns="0" rtlCol="0">
                          <a:noAutofit/>
                        </wps:bodyPr>
                      </wps:wsp>
                      <wps:wsp>
                        <wps:cNvPr id="16915" name="Rectangle 16915"/>
                        <wps:cNvSpPr/>
                        <wps:spPr>
                          <a:xfrm rot="-10799999">
                            <a:off x="-1219233" y="612305"/>
                            <a:ext cx="5211014" cy="142889"/>
                          </a:xfrm>
                          <a:prstGeom prst="rect">
                            <a:avLst/>
                          </a:prstGeom>
                          <a:ln>
                            <a:noFill/>
                          </a:ln>
                        </wps:spPr>
                        <wps:txbx>
                          <w:txbxContent>
                            <w:p w14:paraId="2E435172" w14:textId="77777777" w:rsidR="00B32EF2" w:rsidRDefault="00000000">
                              <w:r>
                                <w:rPr>
                                  <w:rFonts w:ascii="Arial" w:eastAsia="Arial" w:hAnsi="Arial" w:cs="Arial"/>
                                  <w:sz w:val="18"/>
                                </w:rPr>
                                <w:t>lettura immediata del dispositivo, salva la facoltà della corte di riservarne il de</w:t>
                              </w:r>
                            </w:p>
                          </w:txbxContent>
                        </wps:txbx>
                        <wps:bodyPr horzOverflow="overflow" vert="horz" lIns="0" tIns="0" rIns="0" bIns="0" rtlCol="0">
                          <a:noAutofit/>
                        </wps:bodyPr>
                      </wps:wsp>
                      <wps:wsp>
                        <wps:cNvPr id="16916" name="Rectangle 16916"/>
                        <wps:cNvSpPr/>
                        <wps:spPr>
                          <a:xfrm rot="-10799999">
                            <a:off x="19181" y="612305"/>
                            <a:ext cx="50622" cy="142889"/>
                          </a:xfrm>
                          <a:prstGeom prst="rect">
                            <a:avLst/>
                          </a:prstGeom>
                          <a:ln>
                            <a:noFill/>
                          </a:ln>
                        </wps:spPr>
                        <wps:txbx>
                          <w:txbxContent>
                            <w:p w14:paraId="56918F6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917" name="Rectangle 16917"/>
                        <wps:cNvSpPr/>
                        <wps:spPr>
                          <a:xfrm rot="-10799999">
                            <a:off x="-1317226" y="488975"/>
                            <a:ext cx="5309006" cy="142889"/>
                          </a:xfrm>
                          <a:prstGeom prst="rect">
                            <a:avLst/>
                          </a:prstGeom>
                          <a:ln>
                            <a:noFill/>
                          </a:ln>
                        </wps:spPr>
                        <wps:txbx>
                          <w:txbxContent>
                            <w:p w14:paraId="48AA8F28" w14:textId="77777777" w:rsidR="00B32EF2" w:rsidRDefault="00000000">
                              <w:r>
                                <w:rPr>
                                  <w:rFonts w:ascii="Arial" w:eastAsia="Arial" w:hAnsi="Arial" w:cs="Arial"/>
                                  <w:sz w:val="18"/>
                                </w:rPr>
                                <w:t xml:space="preserve">posito in segreteria e la sua contestuale comunicazione ai difensori delle parti </w:t>
                              </w:r>
                            </w:p>
                          </w:txbxContent>
                        </wps:txbx>
                        <wps:bodyPr horzOverflow="overflow" vert="horz" lIns="0" tIns="0" rIns="0" bIns="0" rtlCol="0">
                          <a:noAutofit/>
                        </wps:bodyPr>
                      </wps:wsp>
                    </wpg:wgp>
                  </a:graphicData>
                </a:graphic>
              </wp:inline>
            </w:drawing>
          </mc:Choice>
          <mc:Fallback>
            <w:pict>
              <v:group w14:anchorId="6279DEDA" id="Group 200760" o:spid="_x0000_s2848" style="width:314.3pt;height:493.15pt;mso-position-horizontal-relative:char;mso-position-vertical-relative:line" coordsize="39917,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3G4kAoAAOiEAAAOAAAAZHJzL2Uyb0RvYy54bWzkXV2P47YVfS+Q/2D4fdYiRUqksTNBkE0W&#10;BYomaNofoPX4C7AtQ/auZ/vrey5JUx4Np0HFZjkI52HWQ3tliUfnfpx7Sb3//mm/m3xZdqdte7if&#10;snfFdLI8LNrH7WF9P/3XP3++U9PJ6dwcHptde1jeT78uT9PvH777y/vLcb7k7abdPS67CQ5yOM0v&#10;x/vp5nw+zmez02Kz3Dend+1xecCbq7bbN2f82a1nj11zwdH3uxkvimp2abvHY9culqcTRj/YN6cP&#10;5vir1XJx/mW1Oi3Pk939FOd2Nr878/sT/Z49vG/m6645brYLdxrNiLPYN9sDvtQf6kNzbiafu+2L&#10;Q+23i649tavzu0W7n7Wr1XaxNNeAq2HF4Go+du3no7mW9fyyPvppwtQO5mn0YRd///KxO/52/LXD&#10;TFyOa8yF+Yuu5WnV7elfnOXkyUzZVz9ly6fzZIHBUmtW13o6WeC9ildcSWEndbHBzL/4f4vNT7/z&#10;P2fXL549O53LETfIqZ+DU9wc/LZpjksztac55uDXbrJ9xP1bqUpMJ4dmj1v1H7h5msN6t5zYYTNB&#10;5tN+uk7zE2buOleTrsX9dceKWtOPuR/c3DFdFKKS0wlm6a7i+NNO0nUaWa3Kys0il0UlKnrfT0Uz&#10;P3an88dlu5/Qi/tph3Mzx2++/O10th+9foROZ3eg34f25+1uZ9+lEczo9Yzp1fnp05O97FqY86HB&#10;T+3jV8zGpu3+/Qt4vdq1l/tp615Nier4enp3Otn99QAUiFXXF931xafri+68+7E13LMn9MPnc7va&#10;mjPuv82dGeCle/Ab4QwwQjhLmng6CdwV/zvOd6xkNWeYE6IDY1rjfsIBm/kVaVkWSisHNRNc2Vvh&#10;G0LNrleYDdRVGGrDsQiouZB1xQ3UEnyH8RtAzctaCmZto4HaTP03hNqcUM+zPzmrKR6oy5dYu/EY&#10;XvOqlFyCtaC1VLWSVTnEmrGCPkB+kLAGxa3hvXrRq3n+oyy4OaG8sA64aoO1MbkxxFYl3PFbBttf&#10;YTY2HHlEyF2rqzMb5a6ZZgr2+VVSFxWHfU9GaR+LZIMyDGgIZWNLRxOal6KQDDcQ4VzLWg0dNask&#10;49WNo/7mxtuHIlkgbYw0pnsItRuPcdQIwEtVKBeVVWXNhmBLIK0pQk9G6/pqs/IBG9MdBNunnaPM&#10;NyJuXok3jbX3T1lgDaGkDvDaDsfQmskCKpMLyUqNEHyQVoPzqkjpq72LygJostSkV4VIjfEoqFkF&#10;tF1UxmvJhlAzLYTkCb219FYrH6zrV7D2vmycAef4UVYWlW8T67zUMsPrQKrlxmN4fccrWSqk7BSF&#10;G6wHEkp6Xucll5FXDqhldjgGaVGLkjtSMylEPdBFuSgVL/HVqSJwmZ9WVgU0cENqn3mOMuBIt2pE&#10;4A7soizrIdiod+giqbfOSyszoAZqW248htdInAsN7hgL/jrWCVNrmZ1iVgegJgvuJ2IkrXlR89qW&#10;MYVmZYG0DrfOTRkTpc0CgXA6G+4NVz5B+Cv1DltiHi2P3inI3IbUotYoWQ6QLjVKXwruI5m39jlG&#10;PkgH4jJjwH3gMorWXEMGL6yzfqNY56WXGUwDgpkb/385a1FBBreyzI0FN4FZSgvudaJ8eA07G5TM&#10;fOY5iteIwhWr0ZJAkdl/ATuhZlblpZlRCBaQUexwDK3vGOdF6TpRhJSFfsFrzjgrE3aioJDqrjAL&#10;XhOmASXcDsdA3TcnhHFO25xgy6rZ9BsBTgVfOTTedjgGZdsxym1pS4iy4JWJdweOukgYgNtet6yg&#10;DsRkBLW3bGPddN8cDKS1DECtkFeny7X6VDIX202tIiFWR0dkgFo6VjOlFARYmIkBq0vkYqnSaqxG&#10;yMxNq0BWTayOTKprWRTMCShFJSU6R58hzbhAcI4CajKk85LKCNKAUmaHY1w12hKqmvpbkGWVWiAQ&#10;HyCtWFFqhP3JgM5PKZOBLIvUE4zHQM25RI0ajpigVrDf9SAooyyMyZQJtb/ALDy1wTSQZrnxGKxp&#10;PV7Jcey3i3WGSlkg2TKqqNeRRoXgrMAPswr42+Q1jI67mbPgNXllRMmhCNxHLeOQZoVx0IbVlZZS&#10;DCw4Q5NKwRLqZLbQlk1abSz1K22E0gcuo7CGKIrmX2H171LWnLMB2OgX5VjUlS40s20xeYEd4LW5&#10;CeKIjaWYAhGZdddvE2ufUGZjwgNROFl2H6OOonUvgFtOm6PdKChpBXDblp4NownOQPxth6PCb7Nl&#10;Ai2Tp/hbCNw1Q6BTtxD23VS5EJo06EBMZveqoHt+FKFtrcOpoiV6hKVN0284TVCnVEVr75yygNr4&#10;44BY5sZjeA10IZc5WnME4/wlrZWmvDuVXGY1nWwsuME00C7qxmOwvmNCILV2efXbBNvHIlkQG35Z&#10;hytbGI6D+maHI/QFIyow6tQzG562iIl2DHeF2UAdrmxpn4iMdNekoEA3ocgMvaNShnqNBE9Y2kJP&#10;Rm5QB7w1kd2vchkFdZ9qhXFOm2r1fRfZEDrgpwllX7MfhbKJv7HZiSW0KjlHnyD4M7DdAh9IFZOh&#10;HSM3QgdkMoLaJyLjoeaFrWqhkqloy5OXUKfsNer7LrJhdUD+Jqhj1W+KyLCDp3HTUiGpfgl12jWY&#10;6MfIjdVhRRTdIW4iIljtmkW5wPY3di+KZwYcW83CpCQz4N5FZcPqsCxq06JIrezKamxqpbGIemjA&#10;E7Pau6hMoAazQrIoDcexmvIslCyNAedMSj2EGuXLpJ1lyruobKCGcvlSAdfYmCgG6ps8K4hz4jzL&#10;e6dsUA5qZDCrUSjbOsfVdhcau9QNCZ26pGV3uMxG+2YVykphQsdqZBR8uzyLaQTz5Uuo08qhfdEu&#10;G1YHNTJd+CxkZPDNucbG0MZNMyVkZc3ETfANQUWIhBUtGzdkxeqgUIatSaIMeO+mwzinddN9BScb&#10;Qgc1Mm3XX0SmWK4dAVac8+DmVSnbEfoKTjZQBzUyXfgEZJTt5jVMgnssC5N4/gqaRZ8l0wy9wBzl&#10;rWS6SV/AyQbpoESmC5+EjEIai7Skpl2xULNk2LkIbb/PkVYMq/ESCmR9DScLoE13SSCXduMxyTRt&#10;HstoC0uCGkDr66PHrs9awo6i2CoDH0glhvZFnHywDqRZBuu4PIthH/+CVop4rAe0To+191D5YB1Q&#10;TwzWkfIJNvXHStrfwxpJXjJeex+VBdZQTyh2CsihtqgcE4GXHFtDGVbj+VkVNyl6n1GXgmHHupRh&#10;WV69ZMReEYjL3HiUt8a6He32SdAKUsoAalqiJeheSERq1VdxsiC1MdQBVrvxGKixHq/Wyu1H9yrW&#10;tHQ/Gda+jJMF1mTAA77aDscg3QtlQZiT6mT0PBh3bdmAHAi+CeS42PvZsh0l0Zo2NN1m1U66nFoh&#10;WMwN6XCJg8WWOKia5dKsusRTTo2O3sdjZjf/hOqJ6ms42XA6XOHAJhYxhhsummGzb5tkVegusRWT&#10;G6Q5HmiL2ymdi/YXmA3S4SoH821W4wRR/4zTIMyJXbS/tmxADtc37IYVMYk0FbCsPoYl1KSAwzzc&#10;0JlcdMK+UNUXcFIjPbsc1/PL+vjwHk9iX3fNcbNdfGjOze3feH05zpe83bS7x2X38B8AAAD//wMA&#10;UEsDBBQABgAIAAAAIQAYDQZs3QAAAAUBAAAPAAAAZHJzL2Rvd25yZXYueG1sTI9BS8NAEIXvgv9h&#10;GcGb3aTFENNsSinqqQi2gvQ2zU6T0OxsyG6T9N+7eqmXgcd7vPdNvppMKwbqXWNZQTyLQBCXVjdc&#10;Kfjavz2lIJxH1thaJgVXcrAq7u9yzLQd+ZOGna9EKGGXoYLa+y6T0pU1GXQz2xEH72R7gz7IvpK6&#10;xzGUm1bOoyiRBhsOCzV2tKmpPO8uRsH7iON6Eb8O2/Npcz3snz++tzEp9fgwrZcgPE3+FoZf/IAO&#10;RWA62gtrJ1oF4RH/d4OXzNMExFHBS5osQBa5/E9f/AAAAP//AwBQSwECLQAUAAYACAAAACEAtoM4&#10;kv4AAADhAQAAEwAAAAAAAAAAAAAAAAAAAAAAW0NvbnRlbnRfVHlwZXNdLnhtbFBLAQItABQABgAI&#10;AAAAIQA4/SH/1gAAAJQBAAALAAAAAAAAAAAAAAAAAC8BAABfcmVscy8ucmVsc1BLAQItABQABgAI&#10;AAAAIQAMb3G4kAoAAOiEAAAOAAAAAAAAAAAAAAAAAC4CAABkcnMvZTJvRG9jLnhtbFBLAQItABQA&#10;BgAIAAAAIQAYDQZs3QAAAAUBAAAPAAAAAAAAAAAAAAAAAOoMAABkcnMvZG93bnJldi54bWxQSwUG&#10;AAAAAAQABADzAAAA9A0AAAAA&#10;">
                <v:rect id="Rectangle 16864" o:spid="_x0000_s2849"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bpuxAAAAN4AAAAPAAAAZHJzL2Rvd25yZXYueG1sRE9Na8JA&#10;EL0X/A/LCN7qRpEQoquIIubQS62CxyE7Jmmzs0t2NbG/vlso9DaP9zmrzWBa8aDON5YVzKYJCOLS&#10;6oYrBeePw2sGwgdkja1lUvAkD5v16GWFubY9v9PjFCoRQ9jnqKAOweVS+rImg35qHXHkbrYzGCLs&#10;Kqk77GO4aeU8SVJpsOHYUKOjXU3l1+luFFz37IpDL8vb9869fRZZe7yfL0pNxsN2CSLQEP7Ff+5C&#10;x/lpli7g9514g1z/AAAA//8DAFBLAQItABQABgAIAAAAIQDb4fbL7gAAAIUBAAATAAAAAAAAAAAA&#10;AAAAAAAAAABbQ29udGVudF9UeXBlc10ueG1sUEsBAi0AFAAGAAgAAAAhAFr0LFu/AAAAFQEAAAsA&#10;AAAAAAAAAAAAAAAAHwEAAF9yZWxzLy5yZWxzUEsBAi0AFAAGAAgAAAAhAMMhum7EAAAA3gAAAA8A&#10;AAAAAAAAAAAAAAAABwIAAGRycy9kb3ducmV2LnhtbFBLBQYAAAAAAwADALcAAAD4AgAAAAA=&#10;" filled="f" stroked="f">
                  <v:textbox inset="0,0,0,0">
                    <w:txbxContent>
                      <w:p w14:paraId="2BA4C95D" w14:textId="77777777" w:rsidR="00B32EF2" w:rsidRDefault="00000000">
                        <w:r>
                          <w:rPr>
                            <w:rFonts w:ascii="Times New Roman" w:eastAsia="Times New Roman" w:hAnsi="Times New Roman" w:cs="Times New Roman"/>
                          </w:rPr>
                          <w:t>78</w:t>
                        </w:r>
                      </w:p>
                    </w:txbxContent>
                  </v:textbox>
                </v:rect>
                <v:rect id="Rectangle 16865" o:spid="_x0000_s2850" style="position:absolute;left:-13172;top:61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R/1xAAAAN4AAAAPAAAAZHJzL2Rvd25yZXYueG1sRE9Na8JA&#10;EL0X/A/LCN7qRsEQoquIIubQS62CxyE7Jmmzs0t2NbG/vlso9DaP9zmrzWBa8aDON5YVzKYJCOLS&#10;6oYrBeePw2sGwgdkja1lUvAkD5v16GWFubY9v9PjFCoRQ9jnqKAOweVS+rImg35qHXHkbrYzGCLs&#10;Kqk77GO4aeU8SVJpsOHYUKOjXU3l1+luFFz37IpDL8vb9869fRZZe7yfL0pNxsN2CSLQEP7Ff+5C&#10;x/lpli7g9514g1z/AAAA//8DAFBLAQItABQABgAIAAAAIQDb4fbL7gAAAIUBAAATAAAAAAAAAAAA&#10;AAAAAAAAAABbQ29udGVudF9UeXBlc10ueG1sUEsBAi0AFAAGAAgAAAAhAFr0LFu/AAAAFQEAAAsA&#10;AAAAAAAAAAAAAAAAHwEAAF9yZWxzLy5yZWxzUEsBAi0AFAAGAAgAAAAhAKxtH/XEAAAA3gAAAA8A&#10;AAAAAAAAAAAAAAAABwIAAGRycy9kb3ducmV2LnhtbFBLBQYAAAAAAwADALcAAAD4AgAAAAA=&#10;" filled="f" stroked="f">
                  <v:textbox inset="0,0,0,0">
                    <w:txbxContent>
                      <w:p w14:paraId="4F23DCD3" w14:textId="77777777" w:rsidR="00B32EF2" w:rsidRDefault="00000000">
                        <w:r>
                          <w:rPr>
                            <w:rFonts w:ascii="Arial" w:eastAsia="Arial" w:hAnsi="Arial" w:cs="Arial"/>
                            <w:sz w:val="18"/>
                          </w:rPr>
                          <w:t xml:space="preserve">remoto. Nel caso in cui una parte chieda di discutere in presenza, i giudici ed </w:t>
                        </w:r>
                      </w:p>
                    </w:txbxContent>
                  </v:textbox>
                </v:rect>
                <v:rect id="Rectangle 16866" o:spid="_x0000_s2851" style="position:absolute;left:-12457;top:59992;width:523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4GCxAAAAN4AAAAPAAAAZHJzL2Rvd25yZXYueG1sRE9Ni8Iw&#10;EL0L/ocwgjdN10MpXaOIi9iDF10X9jg0Y9u1mYQm2u7+eiMIe5vH+5zlejCtuFPnG8sK3uYJCOLS&#10;6oYrBefP3SwD4QOyxtYyKfglD+vVeLTEXNuej3Q/hUrEEPY5KqhDcLmUvqzJoJ9bRxy5i+0Mhgi7&#10;SuoO+xhuWrlIklQabDg21OhoW1N5Pd2Mgu8PdsWul+Xlb+sOP0XW7m/nL6Wmk2HzDiLQEP7FL3eh&#10;4/w0S1N4vhNvkKsHAAAA//8DAFBLAQItABQABgAIAAAAIQDb4fbL7gAAAIUBAAATAAAAAAAAAAAA&#10;AAAAAAAAAABbQ29udGVudF9UeXBlc10ueG1sUEsBAi0AFAAGAAgAAAAhAFr0LFu/AAAAFQEAAAsA&#10;AAAAAAAAAAAAAAAAHwEAAF9yZWxzLy5yZWxzUEsBAi0AFAAGAAgAAAAhAFy/gYLEAAAA3gAAAA8A&#10;AAAAAAAAAAAAAAAABwIAAGRycy9kb3ducmV2LnhtbFBLBQYAAAAAAwADALcAAAD4AgAAAAA=&#10;" filled="f" stroked="f">
                  <v:textbox inset="0,0,0,0">
                    <w:txbxContent>
                      <w:p w14:paraId="5734AA37" w14:textId="77777777" w:rsidR="00B32EF2" w:rsidRDefault="00000000">
                        <w:r>
                          <w:rPr>
                            <w:rFonts w:ascii="Arial" w:eastAsia="Arial" w:hAnsi="Arial" w:cs="Arial"/>
                            <w:sz w:val="18"/>
                          </w:rPr>
                          <w:t>il personale amministrativo partecipano sempre in presenza alla discussione.</w:t>
                        </w:r>
                      </w:p>
                    </w:txbxContent>
                  </v:textbox>
                </v:rect>
                <v:rect id="Rectangle 200673" o:spid="_x0000_s2852" style="position:absolute;left:26352;top:58785;width:521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e6FxgAAAN8AAAAPAAAAZHJzL2Rvd25yZXYueG1sRI9Ba8JA&#10;FITvBf/D8oTe6kYLVlJXEUXMwUs1gsdH9pmkZt8u2dWk/fVdoeBxmJlvmPmyN424U+trywrGowQE&#10;cWF1zaWC/Lh9m4HwAVljY5kU/JCH5WLwMsdU246/6H4IpYgQ9ikqqEJwqZS+qMigH1lHHL2LbQ2G&#10;KNtS6ha7CDeNnCTJVBqsOS5U6GhdUXE93IyC84Zdtu1kcfldu/13Nmt2t/yk1OuwX32CCNSHZ/i/&#10;nWkFD+LHOzz+xC8gF38AAAD//wMAUEsBAi0AFAAGAAgAAAAhANvh9svuAAAAhQEAABMAAAAAAAAA&#10;AAAAAAAAAAAAAFtDb250ZW50X1R5cGVzXS54bWxQSwECLQAUAAYACAAAACEAWvQsW78AAAAVAQAA&#10;CwAAAAAAAAAAAAAAAAAfAQAAX3JlbHMvLnJlbHNQSwECLQAUAAYACAAAACEAQfHuhcYAAADfAAAA&#10;DwAAAAAAAAAAAAAAAAAHAgAAZHJzL2Rvd25yZXYueG1sUEsFBgAAAAADAAMAtwAAAPoCAAAAAA==&#10;" filled="f" stroked="f">
                  <v:textbox inset="0,0,0,0">
                    <w:txbxContent>
                      <w:p w14:paraId="47316FE3" w14:textId="77777777" w:rsidR="00B32EF2" w:rsidRDefault="00000000">
                        <w:r>
                          <w:rPr>
                            <w:rFonts w:ascii="Arial" w:eastAsia="Arial" w:hAnsi="Arial" w:cs="Arial"/>
                            <w:sz w:val="18"/>
                          </w:rPr>
                          <w:t>2</w:t>
                        </w:r>
                      </w:p>
                    </w:txbxContent>
                  </v:textbox>
                </v:rect>
                <v:rect id="Rectangle 200674" o:spid="_x0000_s2853" style="position:absolute;left:-12838;top:58785;width:52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HbxxgAAAN8AAAAPAAAAZHJzL2Rvd25yZXYueG1sRI9Ba8JA&#10;FITvBf/D8oTe6kYpVlJXEUXMwUs1gsdH9pmkZt8u2dWk/fVdoeBxmJlvmPmyN424U+trywrGowQE&#10;cWF1zaWC/Lh9m4HwAVljY5kU/JCH5WLwMsdU246/6H4IpYgQ9ikqqEJwqZS+qMigH1lHHL2LbQ2G&#10;KNtS6ha7CDeNnCTJVBqsOS5U6GhdUXE93IyC84Zdtu1kcfldu/13Nmt2t/yk1OuwX32CCNSHZ/i/&#10;nWkFD+LHOzz+xC8gF38AAAD//wMAUEsBAi0AFAAGAAgAAAAhANvh9svuAAAAhQEAABMAAAAAAAAA&#10;AAAAAAAAAAAAAFtDb250ZW50X1R5cGVzXS54bWxQSwECLQAUAAYACAAAACEAWvQsW78AAAAVAQAA&#10;CwAAAAAAAAAAAAAAAAAfAQAAX3JlbHMvLnJlbHNQSwECLQAUAAYACAAAACEAzhh28cYAAADfAAAA&#10;DwAAAAAAAAAAAAAAAAAHAgAAZHJzL2Rvd25yZXYueG1sUEsFBgAAAAADAAMAtwAAAPoCAAAAAA==&#10;" filled="f" stroked="f">
                  <v:textbox inset="0,0,0,0">
                    <w:txbxContent>
                      <w:p w14:paraId="252F9683" w14:textId="77777777" w:rsidR="00B32EF2" w:rsidRDefault="00000000">
                        <w:r>
                          <w:rPr>
                            <w:rFonts w:ascii="Arial" w:eastAsia="Arial" w:hAnsi="Arial" w:cs="Arial"/>
                            <w:sz w:val="18"/>
                          </w:rPr>
                          <w:t>. Il relatore espone al collegio, senza la presenza delle parti, i fatti e le que</w:t>
                        </w:r>
                      </w:p>
                    </w:txbxContent>
                  </v:textbox>
                </v:rect>
                <v:rect id="Rectangle 16868" o:spid="_x0000_s2854" style="position:absolute;left:191;top:58785;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LBrxwAAAN4AAAAPAAAAZHJzL2Rvd25yZXYueG1sRI9Bb8Iw&#10;DIXvk/YfIiPtNlJ2qKpCQBMTWg+7jIHE0WpMW2icqAm026+fD5N2s/We3/u82kyuV3caYufZwGKe&#10;gSKuve24MXD42j0XoGJCtth7JgPfFGGzfnxYYWn9yJ9036dGSQjHEg20KYVS61i35DDOfSAW7ewH&#10;h0nWodF2wFHCXa9fsizXDjuWhhYDbVuqr/ubM3B641DtRl2ff7bh41IV/fvtcDTmaTa9LkElmtK/&#10;+e+6soKfF7nwyjsyg17/AgAA//8DAFBLAQItABQABgAIAAAAIQDb4fbL7gAAAIUBAAATAAAAAAAA&#10;AAAAAAAAAAAAAABbQ29udGVudF9UeXBlc10ueG1sUEsBAi0AFAAGAAgAAAAhAFr0LFu/AAAAFQEA&#10;AAsAAAAAAAAAAAAAAAAAHwEAAF9yZWxzLy5yZWxzUEsBAi0AFAAGAAgAAAAhAEJssGvHAAAA3gAA&#10;AA8AAAAAAAAAAAAAAAAABwIAAGRycy9kb3ducmV2LnhtbFBLBQYAAAAAAwADALcAAAD7AgAAAAA=&#10;" filled="f" stroked="f">
                  <v:textbox inset="0,0,0,0">
                    <w:txbxContent>
                      <w:p w14:paraId="01C8F65E" w14:textId="77777777" w:rsidR="00B32EF2" w:rsidRDefault="00000000">
                        <w:r>
                          <w:rPr>
                            <w:rFonts w:ascii="Arial" w:eastAsia="Arial" w:hAnsi="Arial" w:cs="Arial"/>
                            <w:sz w:val="18"/>
                          </w:rPr>
                          <w:t>-</w:t>
                        </w:r>
                      </w:p>
                    </w:txbxContent>
                  </v:textbox>
                </v:rect>
                <v:rect id="Rectangle 16869" o:spid="_x0000_s2855" style="position:absolute;left:23405;top:57578;width:165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BXwxAAAAN4AAAAPAAAAZHJzL2Rvd25yZXYueG1sRE9Na8JA&#10;EL0L/odlBG+6qYeQpq5SFDGHXrQKPQ7ZMUmbnV2yq0n99a5Q6G0e73OW68G04kadbywreJknIIhL&#10;qxuuFJw+d7MMhA/IGlvLpOCXPKxX49ESc217PtDtGCoRQ9jnqKAOweVS+rImg35uHXHkLrYzGCLs&#10;Kqk77GO4aeUiSVJpsOHYUKOjTU3lz/FqFHxt2RW7XpaX+8Z9fBdZu7+ezkpNJ8P7G4hAQ/gX/7kL&#10;HeenWfoKz3fiDXL1AAAA//8DAFBLAQItABQABgAIAAAAIQDb4fbL7gAAAIUBAAATAAAAAAAAAAAA&#10;AAAAAAAAAABbQ29udGVudF9UeXBlc10ueG1sUEsBAi0AFAAGAAgAAAAhAFr0LFu/AAAAFQEAAAsA&#10;AAAAAAAAAAAAAAAAHwEAAF9yZWxzLy5yZWxzUEsBAi0AFAAGAAgAAAAhAC0gFfDEAAAA3gAAAA8A&#10;AAAAAAAAAAAAAAAABwIAAGRycy9kb3ducmV2LnhtbFBLBQYAAAAAAwADALcAAAD4AgAAAAA=&#10;" filled="f" stroked="f">
                  <v:textbox inset="0,0,0,0">
                    <w:txbxContent>
                      <w:p w14:paraId="3BDDB9A5" w14:textId="77777777" w:rsidR="00B32EF2" w:rsidRDefault="00000000">
                        <w:r>
                          <w:rPr>
                            <w:rFonts w:ascii="Arial" w:eastAsia="Arial" w:hAnsi="Arial" w:cs="Arial"/>
                            <w:sz w:val="18"/>
                          </w:rPr>
                          <w:t>stioni della controversia.</w:t>
                        </w:r>
                      </w:p>
                    </w:txbxContent>
                  </v:textbox>
                </v:rect>
                <v:rect id="Rectangle 200671" o:spid="_x0000_s2856" style="position:absolute;left:-13380;top:56371;width:526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9VpxwAAAN8AAAAPAAAAZHJzL2Rvd25yZXYueG1sRI9Ba8JA&#10;FITvhf6H5RV6qxt7qCF1FbFIc/BiaqHHR/aZpGbfLtk1Sf31bkDocZiZb5jlejSt6KnzjWUF81kC&#10;gri0uuFKwfFr95KC8AFZY2uZFPyRh/Xq8WGJmbYDH6gvQiUihH2GCuoQXCalL2sy6GfWEUfvZDuD&#10;IcqukrrDIcJNK1+T5E0abDgu1OhoW1N5Li5Gwc8Hu3w3yPJ03br9b562n5fjt1LPT+PmHUSgMfyH&#10;7+1cK5iIizlMf+IXkKsbAAAA//8DAFBLAQItABQABgAIAAAAIQDb4fbL7gAAAIUBAAATAAAAAAAA&#10;AAAAAAAAAAAAAABbQ29udGVudF9UeXBlc10ueG1sUEsBAi0AFAAGAAgAAAAhAFr0LFu/AAAAFQEA&#10;AAsAAAAAAAAAAAAAAAAAHwEAAF9yZWxzLy5yZWxzUEsBAi0AFAAGAAgAAAAhAN5v1WnHAAAA3wAA&#10;AA8AAAAAAAAAAAAAAAAABwIAAGRycy9kb3ducmV2LnhtbFBLBQYAAAAAAwADALcAAAD7AgAAAAA=&#10;" filled="f" stroked="f">
                  <v:textbox inset="0,0,0,0">
                    <w:txbxContent>
                      <w:p w14:paraId="45069590" w14:textId="77777777" w:rsidR="00B32EF2" w:rsidRDefault="00000000">
                        <w:r>
                          <w:rPr>
                            <w:rFonts w:ascii="Arial" w:eastAsia="Arial" w:hAnsi="Arial" w:cs="Arial"/>
                            <w:sz w:val="18"/>
                          </w:rPr>
                          <w:t>. Della trattazione in camera di consiglio è redatto processo verbale dal segretario.</w:t>
                        </w:r>
                      </w:p>
                    </w:txbxContent>
                  </v:textbox>
                </v:rect>
                <v:rect id="Rectangle 200670" o:spid="_x0000_s2857" style="position:absolute;left:26226;top:56371;width:526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3DyxwAAAN8AAAAPAAAAZHJzL2Rvd25yZXYueG1sRI9Ba8JA&#10;EIXvBf/DMoK3urEHG6KrSCQ0h16aWuhxyI5JNDu7ZFeT9td3C4Uehzfve3zb/WR6cafBd5YVrJYJ&#10;COLa6o4bBaf34jEF4QOyxt4yKfgiD/vd7GGLmbYjv9G9Co2IEPYZKmhDcJmUvm7JoF9aRxyzsx0M&#10;hngOjdQDjhFuevmUJGtpsOO40KKjvKX6Wt2Mgs8ju7IYZX3+zt3rpUz7l9vpQ6nFfDpsQASawv/z&#10;X7vUCn6Jz9Eg+kQXkLsfAAAA//8DAFBLAQItABQABgAIAAAAIQDb4fbL7gAAAIUBAAATAAAAAAAA&#10;AAAAAAAAAAAAAABbQ29udGVudF9UeXBlc10ueG1sUEsBAi0AFAAGAAgAAAAhAFr0LFu/AAAAFQEA&#10;AAsAAAAAAAAAAAAAAAAAHwEAAF9yZWxzLy5yZWxzUEsBAi0AFAAGAAgAAAAhALEjcPLHAAAA3wAA&#10;AA8AAAAAAAAAAAAAAAAABwIAAGRycy9kb3ducmV2LnhtbFBLBQYAAAAAAwADALcAAAD7AgAAAAA=&#10;" filled="f" stroked="f">
                  <v:textbox inset="0,0,0,0">
                    <w:txbxContent>
                      <w:p w14:paraId="4A349270" w14:textId="77777777" w:rsidR="00B32EF2" w:rsidRDefault="00000000">
                        <w:r>
                          <w:rPr>
                            <w:rFonts w:ascii="Arial" w:eastAsia="Arial" w:hAnsi="Arial" w:cs="Arial"/>
                            <w:sz w:val="18"/>
                          </w:rPr>
                          <w:t>3</w:t>
                        </w:r>
                      </w:p>
                    </w:txbxContent>
                  </v:textbox>
                </v:rect>
                <v:rect id="Rectangle 16871" o:spid="_x0000_s2858" style="position:absolute;left:15077;top:53958;width:8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48rxAAAAN4AAAAPAAAAZHJzL2Rvd25yZXYueG1sRE9Ni8Iw&#10;EL0v+B/CCN7WVA9uqUYRRezBy7oKHodmbKvNJDTR1v31m4WFvc3jfc5i1ZtGPKn1tWUFk3ECgriw&#10;uuZSwelr956C8AFZY2OZFLzIw2o5eFtgpm3Hn/Q8hlLEEPYZKqhCcJmUvqjIoB9bRxy5q20Nhgjb&#10;UuoWuxhuGjlNkpk0WHNsqNDRpqLifnwYBZctu3zXyeL6vXGHW542+8fprNRo2K/nIAL14V/85851&#10;nD9LPybw+068QS5/AAAA//8DAFBLAQItABQABgAIAAAAIQDb4fbL7gAAAIUBAAATAAAAAAAAAAAA&#10;AAAAAAAAAABbQ29udGVudF9UeXBlc10ueG1sUEsBAi0AFAAGAAgAAAAhAFr0LFu/AAAAFQEAAAsA&#10;AAAAAAAAAAAAAAAAHwEAAF9yZWxzLy5yZWxzUEsBAi0AFAAGAAgAAAAhAFaPjyvEAAAA3gAAAA8A&#10;AAAAAAAAAAAAAAAABwIAAGRycy9kb3ducmV2LnhtbFBLBQYAAAAAAwADALcAAAD4AgAAAAA=&#10;" filled="f" stroked="f">
                  <v:textbox inset="0,0,0,0">
                    <w:txbxContent>
                      <w:p w14:paraId="5B972D80" w14:textId="77777777" w:rsidR="00B32EF2" w:rsidRDefault="00000000">
                        <w:r>
                          <w:rPr>
                            <w:rFonts w:ascii="Arial" w:eastAsia="Arial" w:hAnsi="Arial" w:cs="Arial"/>
                            <w:b/>
                            <w:sz w:val="18"/>
                          </w:rPr>
                          <w:t>Articolo 82</w:t>
                        </w:r>
                      </w:p>
                    </w:txbxContent>
                  </v:textbox>
                </v:rect>
                <v:rect id="Rectangle 200669" o:spid="_x0000_s2859" style="position:absolute;left:11615;top:52751;width:194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E+yxwAAAN8AAAAPAAAAZHJzL2Rvd25yZXYueG1sRI9Ba8JA&#10;FITvBf/D8gRvdWMPElNXKZHQHHqpWujxkX0mabNvl+yaxP76rlDocZiZb5jtfjKdGKj3rWUFq2UC&#10;griyuuVawflUPKYgfEDW2FkmBTfysN/NHraYaTvyOw3HUIsIYZ+hgiYEl0npq4YM+qV1xNG72N5g&#10;iLKvpe5xjHDTyackWUuDLceFBh3lDVXfx6tR8HlgVxajrC4/uXv7KtPu9Xr+UGoxn16eQQSawn/4&#10;r11qBXfiegP3P/ELyN0vAAAA//8DAFBLAQItABQABgAIAAAAIQDb4fbL7gAAAIUBAAATAAAAAAAA&#10;AAAAAAAAAAAAAABbQ29udGVudF9UeXBlc10ueG1sUEsBAi0AFAAGAAgAAAAhAFr0LFu/AAAAFQEA&#10;AAsAAAAAAAAAAAAAAAAAHwEAAF9yZWxzLy5yZWxzUEsBAi0AFAAGAAgAAAAhAKXAT7LHAAAA3wAA&#10;AA8AAAAAAAAAAAAAAAAABwIAAGRycy9kb3ducmV2LnhtbFBLBQYAAAAAAwADALcAAAD7AgAAAAA=&#10;" filled="f" stroked="f">
                  <v:textbox inset="0,0,0,0">
                    <w:txbxContent>
                      <w:p w14:paraId="4FA17ABC" w14:textId="77777777" w:rsidR="00B32EF2" w:rsidRDefault="00000000">
                        <w:r>
                          <w:rPr>
                            <w:rFonts w:ascii="Arial" w:eastAsia="Arial" w:hAnsi="Arial" w:cs="Arial"/>
                            <w:i/>
                            <w:sz w:val="18"/>
                          </w:rPr>
                          <w:t xml:space="preserve">articolo 34 D.lgs. n. </w:t>
                        </w:r>
                      </w:p>
                    </w:txbxContent>
                  </v:textbox>
                </v:rect>
                <v:rect id="Rectangle 200667" o:spid="_x0000_s2860" style="position:absolute;left:22222;top:52751;width:194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35bxwAAAN8AAAAPAAAAZHJzL2Rvd25yZXYueG1sRI9Ba8JA&#10;FITvBf/D8gRvdWMPVlJXKZHQHHqpWujxkX0mabNvl+yaxP76bqDgcZiZb5jtfjSt6KnzjWUFq2UC&#10;gri0uuFKwfmUP25A+ICssbVMCm7kYb+bPWwx1XbgD+qPoRIRwj5FBXUILpXSlzUZ9EvriKN3sZ3B&#10;EGVXSd3hEOGmlU9JspYGG44LNTrKaip/jlej4OvArsgHWV5+M/f+XWzat+v5U6nFfHx9ARFoDPfw&#10;f7vQCibi+hmmP/ELyN0fAAAA//8DAFBLAQItABQABgAIAAAAIQDb4fbL7gAAAIUBAAATAAAAAAAA&#10;AAAAAAAAAAAAAABbQ29udGVudF9UeXBlc10ueG1sUEsBAi0AFAAGAAgAAAAhAFr0LFu/AAAAFQEA&#10;AAsAAAAAAAAAAAAAAAAAHwEAAF9yZWxzLy5yZWxzUEsBAi0AFAAGAAgAAAAhALsTflvHAAAA3wAA&#10;AA8AAAAAAAAAAAAAAAAABwIAAGRycy9kb3ducmV2LnhtbFBLBQYAAAAAAwADALcAAAD7AgAAAAA=&#10;" filled="f" stroked="f">
                  <v:textbox inset="0,0,0,0">
                    <w:txbxContent>
                      <w:p w14:paraId="52E32672" w14:textId="77777777" w:rsidR="00B32EF2" w:rsidRDefault="00000000">
                        <w:r>
                          <w:rPr>
                            <w:rFonts w:ascii="Arial" w:eastAsia="Arial" w:hAnsi="Arial" w:cs="Arial"/>
                            <w:i/>
                            <w:sz w:val="18"/>
                          </w:rPr>
                          <w:t>(</w:t>
                        </w:r>
                      </w:p>
                    </w:txbxContent>
                  </v:textbox>
                </v:rect>
                <v:rect id="Rectangle 200668" o:spid="_x0000_s2861" style="position:absolute;left:-2653;top:52751;width:194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OopxgAAAN8AAAAPAAAAZHJzL2Rvd25yZXYueG1sRI9Ni8Iw&#10;EIbvwv6HMAt7s+l6EOkaRVzEHvbiF3gcmrHt2kxCE2311xtB8Di88z4zz3Tem0ZcqfW1ZQXfSQqC&#10;uLC65lLBfrcaTkD4gKyxsUwKbuRhPvsYTDHTtuMNXbehFBHCPkMFVQguk9IXFRn0iXXEMTvZ1mCI&#10;Y1tK3WIX4aaRozQdS4M1xwsVOlpWVJy3F6Pg+MsuX3WyON2X7u8/nzTry/6g1Ndnv/gBEagP7+VX&#10;O9cKnsRxfDj6RBeQswcAAAD//wMAUEsBAi0AFAAGAAgAAAAhANvh9svuAAAAhQEAABMAAAAAAAAA&#10;AAAAAAAAAAAAAFtDb250ZW50X1R5cGVzXS54bWxQSwECLQAUAAYACAAAACEAWvQsW78AAAAVAQAA&#10;CwAAAAAAAAAAAAAAAAAfAQAAX3JlbHMvLnJlbHNQSwECLQAUAAYACAAAACEAyozqKcYAAADfAAAA&#10;DwAAAAAAAAAAAAAAAAAHAgAAZHJzL2Rvd25yZXYueG1sUEsFBgAAAAADAAMAtwAAAPoCAAAAAA==&#10;" filled="f" stroked="f">
                  <v:textbox inset="0,0,0,0">
                    <w:txbxContent>
                      <w:p w14:paraId="0A020ACB" w14:textId="77777777" w:rsidR="00B32EF2" w:rsidRDefault="00000000">
                        <w:r>
                          <w:rPr>
                            <w:rFonts w:ascii="Arial" w:eastAsia="Arial" w:hAnsi="Arial" w:cs="Arial"/>
                            <w:i/>
                            <w:sz w:val="18"/>
                          </w:rPr>
                          <w:t>546/92)</w:t>
                        </w:r>
                      </w:p>
                    </w:txbxContent>
                  </v:textbox>
                </v:rect>
                <v:rect id="Rectangle 16873" o:spid="_x0000_s2862" style="position:absolute;left:4743;top:51544;width:243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bTHxAAAAN4AAAAPAAAAZHJzL2Rvd25yZXYueG1sRE9Na8JA&#10;EL0X/A/LCN7qxgo2RFcRRZpDL7UKHofsmESzs0t2NdFf3y0UepvH+5zFqjeNuFPra8sKJuMEBHFh&#10;dc2lgsP37jUF4QOyxsYyKXiQh9Vy8LLATNuOv+i+D6WIIewzVFCF4DIpfVGRQT+2jjhyZ9saDBG2&#10;pdQtdjHcNPItSWbSYM2xoUJHm4qK6/5mFJy27PJdJ4vzc+M+L3nafNwOR6VGw349BxGoD//iP3eu&#10;4/xZ+j6F33fiDXL5AwAA//8DAFBLAQItABQABgAIAAAAIQDb4fbL7gAAAIUBAAATAAAAAAAAAAAA&#10;AAAAAAAAAABbQ29udGVudF9UeXBlc10ueG1sUEsBAi0AFAAGAAgAAAAhAFr0LFu/AAAAFQEAAAsA&#10;AAAAAAAAAAAAAAAAHwEAAF9yZWxzLy5yZWxzUEsBAi0AFAAGAAgAAAAhAMkRtMfEAAAA3gAAAA8A&#10;AAAAAAAAAAAAAAAABwIAAGRycy9kb3ducmV2LnhtbFBLBQYAAAAAAwADALcAAAD4AgAAAAA=&#10;" filled="f" stroked="f">
                  <v:textbox inset="0,0,0,0">
                    <w:txbxContent>
                      <w:p w14:paraId="339A7647" w14:textId="77777777" w:rsidR="00B32EF2" w:rsidRDefault="00000000">
                        <w:r>
                          <w:rPr>
                            <w:rFonts w:ascii="Arial" w:eastAsia="Arial" w:hAnsi="Arial" w:cs="Arial"/>
                            <w:b/>
                            <w:sz w:val="18"/>
                          </w:rPr>
                          <w:t xml:space="preserve">Discussione in pubblica udienza </w:t>
                        </w:r>
                      </w:p>
                    </w:txbxContent>
                  </v:textbox>
                </v:rect>
                <v:rect id="Rectangle 200666" o:spid="_x0000_s2863" style="position:absolute;left:-13764;top:5033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9vAxQAAAN8AAAAPAAAAZHJzL2Rvd25yZXYueG1sRI9Bi8Iw&#10;FITvC/6H8ARva+oeilSjiCL2sJd1FTw+mmdbbV5CE23dX28EYY/DzHzDzJe9acSdWl9bVjAZJyCI&#10;C6trLhUcfrefUxA+IGtsLJOCB3lYLgYfc8y07fiH7vtQighhn6GCKgSXSemLigz6sXXE0Tvb1mCI&#10;si2lbrGLcNPIryRJpcGa40KFjtYVFdf9zSg4bdjl204W57+1+77k02Z3OxyVGg371QxEoD78h9/t&#10;XCt4EdMUXn/iF5CLJwAAAP//AwBQSwECLQAUAAYACAAAACEA2+H2y+4AAACFAQAAEwAAAAAAAAAA&#10;AAAAAAAAAAAAW0NvbnRlbnRfVHlwZXNdLnhtbFBLAQItABQABgAIAAAAIQBa9CxbvwAAABUBAAAL&#10;AAAAAAAAAAAAAAAAAB8BAABfcmVscy8ucmVsc1BLAQItABQABgAIAAAAIQDUX9vAxQAAAN8AAAAP&#10;AAAAAAAAAAAAAAAAAAcCAABkcnMvZG93bnJldi54bWxQSwUGAAAAAAMAAwC3AAAA+QIAAAAA&#10;" filled="f" stroked="f">
                  <v:textbox inset="0,0,0,0">
                    <w:txbxContent>
                      <w:p w14:paraId="033C0E95" w14:textId="77777777" w:rsidR="00B32EF2" w:rsidRDefault="00000000">
                        <w:r>
                          <w:rPr>
                            <w:rFonts w:ascii="Arial" w:eastAsia="Arial" w:hAnsi="Arial" w:cs="Arial"/>
                            <w:sz w:val="18"/>
                          </w:rPr>
                          <w:t xml:space="preserve">. All’udienza pubblica il relatore espone al collegio i fatti e le questioni della </w:t>
                        </w:r>
                      </w:p>
                    </w:txbxContent>
                  </v:textbox>
                </v:rect>
                <v:rect id="Rectangle 200665" o:spid="_x0000_s2864" style="position:absolute;left:26109;top:5033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UW3xgAAAN8AAAAPAAAAZHJzL2Rvd25yZXYueG1sRI9Ba8JA&#10;FITvBf/D8gRvzcaCIqmrFEWaQy/aFHp87D6TtNm3S3Y1aX99VxB6HGbmG2a9HW0nrtSH1rGCeZaD&#10;INbOtFwrqN4PjysQISIb7ByTgh8KsN1MHtZYGDfwka6nWIsE4VCggiZGX0gZdEMWQ+Y8cfLOrrcY&#10;k+xraXocEtx28inPl9Jiy2mhQU+7hvT36WIVfO7Zl4dB6vPvzr99lavu9VJ9KDWbji/PICKN8T98&#10;b5dGwY24XMDtT/oCcvMHAAD//wMAUEsBAi0AFAAGAAgAAAAhANvh9svuAAAAhQEAABMAAAAAAAAA&#10;AAAAAAAAAAAAAFtDb250ZW50X1R5cGVzXS54bWxQSwECLQAUAAYACAAAACEAWvQsW78AAAAVAQAA&#10;CwAAAAAAAAAAAAAAAAAfAQAAX3JlbHMvLnJlbHNQSwECLQAUAAYACAAAACEAJI1Ft8YAAADfAAAA&#10;DwAAAAAAAAAAAAAAAAAHAgAAZHJzL2Rvd25yZXYueG1sUEsFBgAAAAADAAMAtwAAAPoCAAAAAA==&#10;" filled="f" stroked="f">
                  <v:textbox inset="0,0,0,0">
                    <w:txbxContent>
                      <w:p w14:paraId="7EDCF887" w14:textId="77777777" w:rsidR="00B32EF2" w:rsidRDefault="00000000">
                        <w:r>
                          <w:rPr>
                            <w:rFonts w:ascii="Arial" w:eastAsia="Arial" w:hAnsi="Arial" w:cs="Arial"/>
                            <w:sz w:val="18"/>
                          </w:rPr>
                          <w:t>1</w:t>
                        </w:r>
                      </w:p>
                    </w:txbxContent>
                  </v:textbox>
                </v:rect>
                <v:rect id="Rectangle 16875" o:spid="_x0000_s2865" style="position:absolute;left:-12072;top:49130;width:519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IkoxAAAAN4AAAAPAAAAZHJzL2Rvd25yZXYueG1sRE9Na8JA&#10;EL0X/A/LCN7qxoI2RFcRRZpDL7UKHofsmESzs0t2NdFf3y0UepvH+5zFqjeNuFPra8sKJuMEBHFh&#10;dc2lgsP37jUF4QOyxsYyKXiQh9Vy8LLATNuOv+i+D6WIIewzVFCF4DIpfVGRQT+2jjhyZ9saDBG2&#10;pdQtdjHcNPItSWbSYM2xoUJHm4qK6/5mFJy27PJdJ4vzc+M+L3nafNwOR6VGw349BxGoD//iP3eu&#10;4/xZ+j6F33fiDXL5AwAA//8DAFBLAQItABQABgAIAAAAIQDb4fbL7gAAAIUBAAATAAAAAAAAAAAA&#10;AAAAAAAAAABbQ29udGVudF9UeXBlc10ueG1sUEsBAi0AFAAGAAgAAAAhAFr0LFu/AAAAFQEAAAsA&#10;AAAAAAAAAAAAAAAAHwEAAF9yZWxzLy5yZWxzUEsBAi0AFAAGAAgAAAAhACm0iSjEAAAA3gAAAA8A&#10;AAAAAAAAAAAAAAAABwIAAGRycy9kb3ducmV2LnhtbFBLBQYAAAAAAwADALcAAAD4AgAAAAA=&#10;" filled="f" stroked="f">
                  <v:textbox inset="0,0,0,0">
                    <w:txbxContent>
                      <w:p w14:paraId="2B3F4C89" w14:textId="77777777" w:rsidR="00B32EF2" w:rsidRDefault="00000000">
                        <w:r>
                          <w:rPr>
                            <w:rFonts w:ascii="Arial" w:eastAsia="Arial" w:hAnsi="Arial" w:cs="Arial"/>
                            <w:sz w:val="18"/>
                          </w:rPr>
                          <w:t>controversia e quindi il presidente ammette le parti presenti alla discussione.</w:t>
                        </w:r>
                      </w:p>
                    </w:txbxContent>
                  </v:textbox>
                </v:rect>
                <v:rect id="Rectangle 200664" o:spid="_x0000_s2866" style="position:absolute;left:-80;top:47923;width:393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eAsxgAAAN8AAAAPAAAAZHJzL2Rvd25yZXYueG1sRI9Ba8JA&#10;FITvBf/D8gRvzcYiIqmrFEWaQy/aFHp87D6TtNm3S3Y1aX99VxB6HGbmG2a9HW0nrtSH1rGCeZaD&#10;INbOtFwrqN4PjysQISIb7ByTgh8KsN1MHtZYGDfwka6nWIsE4VCggiZGX0gZdEMWQ+Y8cfLOrrcY&#10;k+xraXocEtx28inPl9Jiy2mhQU+7hvT36WIVfO7Zl4dB6vPvzr99lavu9VJ9KDWbji/PICKN8T98&#10;b5dGwY24XMDtT/oCcvMHAAD//wMAUEsBAi0AFAAGAAgAAAAhANvh9svuAAAAhQEAABMAAAAAAAAA&#10;AAAAAAAAAAAAAFtDb250ZW50X1R5cGVzXS54bWxQSwECLQAUAAYACAAAACEAWvQsW78AAAAVAQAA&#10;CwAAAAAAAAAAAAAAAAAfAQAAX3JlbHMvLnJlbHNQSwECLQAUAAYACAAAACEAS8HgLMYAAADfAAAA&#10;DwAAAAAAAAAAAAAAAAAHAgAAZHJzL2Rvd25yZXYueG1sUEsFBgAAAAADAAMAtwAAAPoCAAAAAA==&#10;" filled="f" stroked="f">
                  <v:textbox inset="0,0,0,0">
                    <w:txbxContent>
                      <w:p w14:paraId="4B5FBF0A" w14:textId="77777777" w:rsidR="00B32EF2" w:rsidRDefault="00000000">
                        <w:r>
                          <w:rPr>
                            <w:rFonts w:ascii="Arial" w:eastAsia="Arial" w:hAnsi="Arial" w:cs="Arial"/>
                            <w:sz w:val="18"/>
                          </w:rPr>
                          <w:t xml:space="preserve">. Dell’udienza è redatto processo verbale dal segretario. </w:t>
                        </w:r>
                      </w:p>
                    </w:txbxContent>
                  </v:textbox>
                </v:rect>
                <v:rect id="Rectangle 200663" o:spid="_x0000_s2867" style="position:absolute;left:29518;top:47923;width:393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HhYxgAAAN8AAAAPAAAAZHJzL2Rvd25yZXYueG1sRI9Ba8JA&#10;FITvBf/D8gRvzcYKIqmrFEWaQy/aFHp87D6TtNm3S3Y1aX99VxB6HGbmG2a9HW0nrtSH1rGCeZaD&#10;INbOtFwrqN4PjysQISIb7ByTgh8KsN1MHtZYGDfwka6nWIsE4VCggiZGX0gZdEMWQ+Y8cfLOrrcY&#10;k+xraXocEtx28inPl9Jiy2mhQU+7hvT36WIVfO7Zl4dB6vPvzr99lavu9VJ9KDWbji/PICKN8T98&#10;b5dGwY24XMDtT/oCcvMHAAD//wMAUEsBAi0AFAAGAAgAAAAhANvh9svuAAAAhQEAABMAAAAAAAAA&#10;AAAAAAAAAAAAAFtDb250ZW50X1R5cGVzXS54bWxQSwECLQAUAAYACAAAACEAWvQsW78AAAAVAQAA&#10;CwAAAAAAAAAAAAAAAAAfAQAAX3JlbHMvLnJlbHNQSwECLQAUAAYACAAAACEAxCh4WMYAAADfAAAA&#10;DwAAAAAAAAAAAAAAAAAHAgAAZHJzL2Rvd25yZXYueG1sUEsFBgAAAAADAAMAtwAAAPoCAAAAAA==&#10;" filled="f" stroked="f">
                  <v:textbox inset="0,0,0,0">
                    <w:txbxContent>
                      <w:p w14:paraId="6DA497AE" w14:textId="77777777" w:rsidR="00B32EF2" w:rsidRDefault="00000000">
                        <w:r>
                          <w:rPr>
                            <w:rFonts w:ascii="Arial" w:eastAsia="Arial" w:hAnsi="Arial" w:cs="Arial"/>
                            <w:sz w:val="18"/>
                          </w:rPr>
                          <w:t>2</w:t>
                        </w:r>
                      </w:p>
                    </w:txbxContent>
                  </v:textbox>
                </v:rect>
                <v:rect id="Rectangle 200661" o:spid="_x0000_s2868" style="position:absolute;left:26109;top:4671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kO0xgAAAN8AAAAPAAAAZHJzL2Rvd25yZXYueG1sRI/BasMw&#10;EETvhf6D2EJvtZwcQnCjhJIS6kMuSVzocZE2tltrJSwldvP1laGQ4zAzb5jVZrSduFIfWscKZlkO&#10;glg703KtoDrtXpYgQkQ22DkmBb8UYLN+fFhhYdzAB7oeYy0ShEOBCpoYfSFl0A1ZDJnzxMk7u95i&#10;TLKvpelxSHDbyXmeL6TFltNCg562Demf48Uq+HpnX+4Gqc+3rd9/l8vu41J9KvX8NL69gog0xnv4&#10;v10aBRNxMYPpT/oCcv0HAAD//wMAUEsBAi0AFAAGAAgAAAAhANvh9svuAAAAhQEAABMAAAAAAAAA&#10;AAAAAAAAAAAAAFtDb250ZW50X1R5cGVzXS54bWxQSwECLQAUAAYACAAAACEAWvQsW78AAAAVAQAA&#10;CwAAAAAAAAAAAAAAAAAfAQAAX3JlbHMvLnJlbHNQSwECLQAUAAYACAAAACEAW7ZDtMYAAADfAAAA&#10;DwAAAAAAAAAAAAAAAAAHAgAAZHJzL2Rvd25yZXYueG1sUEsFBgAAAAADAAMAtwAAAPoCAAAAAA==&#10;" filled="f" stroked="f">
                  <v:textbox inset="0,0,0,0">
                    <w:txbxContent>
                      <w:p w14:paraId="07A82C54" w14:textId="77777777" w:rsidR="00B32EF2" w:rsidRDefault="00000000">
                        <w:r>
                          <w:rPr>
                            <w:rFonts w:ascii="Arial" w:eastAsia="Arial" w:hAnsi="Arial" w:cs="Arial"/>
                            <w:sz w:val="18"/>
                          </w:rPr>
                          <w:t>3</w:t>
                        </w:r>
                      </w:p>
                    </w:txbxContent>
                  </v:textbox>
                </v:rect>
                <v:rect id="Rectangle 200662" o:spid="_x0000_s2869" style="position:absolute;left:-13817;top:4671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3DxgAAAN8AAAAPAAAAZHJzL2Rvd25yZXYueG1sRI9Pa8JA&#10;FMTvBb/D8oTe6kYPQdKsUhRpDr1oLfT4yL78abNvl+yapH56VxB6HGbmN0y+nUwnBup9a1nBcpGA&#10;IC6tbrlWcP48vKxB+ICssbNMCv7Iw3Yze8ox03bkIw2nUIsIYZ+hgiYEl0npy4YM+oV1xNGrbG8w&#10;RNnXUvc4Rrjp5CpJUmmw5bjQoKNdQ+Xv6WIUfO/ZFYdRltV15z5+inX3fjl/KfU8n95eQQSawn/4&#10;0S60gjsxXcH9T/wCcnMDAAD//wMAUEsBAi0AFAAGAAgAAAAhANvh9svuAAAAhQEAABMAAAAAAAAA&#10;AAAAAAAAAAAAAFtDb250ZW50X1R5cGVzXS54bWxQSwECLQAUAAYACAAAACEAWvQsW78AAAAVAQAA&#10;CwAAAAAAAAAAAAAAAAAfAQAAX3JlbHMvLnJlbHNQSwECLQAUAAYACAAAACEAq2Tdw8YAAADfAAAA&#10;DwAAAAAAAAAAAAAAAAAHAgAAZHJzL2Rvd25yZXYueG1sUEsFBgAAAAADAAMAtwAAAPoCAAAAAA==&#10;" filled="f" stroked="f">
                  <v:textbox inset="0,0,0,0">
                    <w:txbxContent>
                      <w:p w14:paraId="331B1A51" w14:textId="77777777" w:rsidR="00B32EF2" w:rsidRDefault="00000000">
                        <w:r>
                          <w:rPr>
                            <w:rFonts w:ascii="Arial" w:eastAsia="Arial" w:hAnsi="Arial" w:cs="Arial"/>
                            <w:sz w:val="18"/>
                          </w:rPr>
                          <w:t xml:space="preserve">. La corte di giustizia tributaria può disporre il differimento della discussione </w:t>
                        </w:r>
                      </w:p>
                    </w:txbxContent>
                  </v:textbox>
                </v:rect>
                <v:rect id="Rectangle 16878" o:spid="_x0000_s2870" style="position:absolute;left:-12203;top:45509;width:521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Sa2yAAAAN4AAAAPAAAAZHJzL2Rvd25yZXYueG1sRI9Pb8Iw&#10;DMXvk/YdIk/abaTbAaqOgCYmtB648GfSjlZj2m6NEzWBdnx6fEDiZus9v/fzfDm6Tp2pj61nA6+T&#10;DBRx5W3LtYHDfv2Sg4oJ2WLnmQz8U4Tl4vFhjoX1A2/pvEu1khCOBRpoUgqF1rFqyGGc+EAs2tH3&#10;DpOsfa1tj4OEu06/ZdlUO2xZGhoMtGqo+tudnIGfTw7letDV8bIKm98y775Oh29jnp/Gj3dQicZ0&#10;N9+uSyv403wmvPKOzKAXVwAAAP//AwBQSwECLQAUAAYACAAAACEA2+H2y+4AAACFAQAAEwAAAAAA&#10;AAAAAAAAAAAAAAAAW0NvbnRlbnRfVHlwZXNdLnhtbFBLAQItABQABgAIAAAAIQBa9CxbvwAAABUB&#10;AAALAAAAAAAAAAAAAAAAAB8BAABfcmVscy8ucmVsc1BLAQItABQABgAIAAAAIQDHtSa2yAAAAN4A&#10;AAAPAAAAAAAAAAAAAAAAAAcCAABkcnMvZG93bnJldi54bWxQSwUGAAAAAAMAAwC3AAAA/AIAAAAA&#10;" filled="f" stroked="f">
                  <v:textbox inset="0,0,0,0">
                    <w:txbxContent>
                      <w:p w14:paraId="31D62E01" w14:textId="77777777" w:rsidR="00B32EF2" w:rsidRDefault="00000000">
                        <w:r>
                          <w:rPr>
                            <w:rFonts w:ascii="Arial" w:eastAsia="Arial" w:hAnsi="Arial" w:cs="Arial"/>
                            <w:sz w:val="18"/>
                          </w:rPr>
                          <w:t>a udienza fissa, su istanza della parte interessata, quando la sua difesa tem</w:t>
                        </w:r>
                      </w:p>
                    </w:txbxContent>
                  </v:textbox>
                </v:rect>
                <v:rect id="Rectangle 16879" o:spid="_x0000_s2871" style="position:absolute;left:191;top:45509;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txAAAAN4AAAAPAAAAZHJzL2Rvd25yZXYueG1sRE9Na8JA&#10;EL0X/A/LCN7qxh5sGl1FFGkOXmoVPA7ZMYlmZ5fsaqK/vlso9DaP9znzZW8acafW15YVTMYJCOLC&#10;6ppLBYfv7WsKwgdkjY1lUvAgD8vF4GWOmbYdf9F9H0oRQ9hnqKAKwWVS+qIig35sHXHkzrY1GCJs&#10;S6lb7GK4aeRbkkylwZpjQ4WO1hUV1/3NKDht2OXbThbn59rtLnnafN4OR6VGw341AxGoD//iP3eu&#10;4/xp+v4Bv+/EG+TiBwAA//8DAFBLAQItABQABgAIAAAAIQDb4fbL7gAAAIUBAAATAAAAAAAAAAAA&#10;AAAAAAAAAABbQ29udGVudF9UeXBlc10ueG1sUEsBAi0AFAAGAAgAAAAhAFr0LFu/AAAAFQEAAAsA&#10;AAAAAAAAAAAAAAAAHwEAAF9yZWxzLy5yZWxzUEsBAi0AFAAGAAgAAAAhAKj5gy3EAAAA3gAAAA8A&#10;AAAAAAAAAAAAAAAABwIAAGRycy9kb3ducmV2LnhtbFBLBQYAAAAAAwADALcAAAD4AgAAAAA=&#10;" filled="f" stroked="f">
                  <v:textbox inset="0,0,0,0">
                    <w:txbxContent>
                      <w:p w14:paraId="6F27637C" w14:textId="77777777" w:rsidR="00B32EF2" w:rsidRDefault="00000000">
                        <w:r>
                          <w:rPr>
                            <w:rFonts w:ascii="Arial" w:eastAsia="Arial" w:hAnsi="Arial" w:cs="Arial"/>
                            <w:sz w:val="18"/>
                          </w:rPr>
                          <w:t>-</w:t>
                        </w:r>
                      </w:p>
                    </w:txbxContent>
                  </v:textbox>
                </v:rect>
                <v:rect id="Rectangle 16880" o:spid="_x0000_s2872" style="position:absolute;left:-13172;top:4430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lqXxwAAAN4AAAAPAAAAZHJzL2Rvd25yZXYueG1sRI9Bb8Iw&#10;DIXvSPsPkSftRtNxQFVHQBMTWg9cxkDa0WpM261xoibQbr8eH5B2s+Xn99632kyuV1caYufZwHOW&#10;gyKuve24MXD83M0LUDEhW+w9k4FfirBZP8xWWFo/8gddD6lRYsKxRANtSqHUOtYtOYyZD8RyO/vB&#10;YZJ1aLQdcBRz1+tFni+1w44locVA25bqn8PFGfh641DtRl2f/7Zh/10V/fvleDLm6XF6fQGVaEr/&#10;4vt3ZaX+sigEQHBkBr2+AQAA//8DAFBLAQItABQABgAIAAAAIQDb4fbL7gAAAIUBAAATAAAAAAAA&#10;AAAAAAAAAAAAAABbQ29udGVudF9UeXBlc10ueG1sUEsBAi0AFAAGAAgAAAAhAFr0LFu/AAAAFQEA&#10;AAsAAAAAAAAAAAAAAAAAHwEAAF9yZWxzLy5yZWxzUEsBAi0AFAAGAAgAAAAhAAwWWpfHAAAA3gAA&#10;AA8AAAAAAAAAAAAAAAAABwIAAGRycy9kb3ducmV2LnhtbFBLBQYAAAAAAwADALcAAAD7AgAAAAA=&#10;" filled="f" stroked="f">
                  <v:textbox inset="0,0,0,0">
                    <w:txbxContent>
                      <w:p w14:paraId="593ED82A" w14:textId="77777777" w:rsidR="00B32EF2" w:rsidRDefault="00000000">
                        <w:r>
                          <w:rPr>
                            <w:rFonts w:ascii="Arial" w:eastAsia="Arial" w:hAnsi="Arial" w:cs="Arial"/>
                            <w:sz w:val="18"/>
                          </w:rPr>
                          <w:t xml:space="preserve">pestiva, scritta o orale, è resa particolarmente difficile a causa dei documenti </w:t>
                        </w:r>
                      </w:p>
                    </w:txbxContent>
                  </v:textbox>
                </v:rect>
                <v:rect id="Rectangle 16881" o:spid="_x0000_s2873" style="position:absolute;left:-13172;top:4309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v8MwwAAAN4AAAAPAAAAZHJzL2Rvd25yZXYueG1sRE9Li8Iw&#10;EL4v+B/CCN7WVA9SqlFEEXvwsj7A49CMbbWZhCba7v76zcKCt/n4nrNY9aYRL2p9bVnBZJyAIC6s&#10;rrlUcD7tPlMQPiBrbCyTgm/ysFoOPhaYadvxF72OoRQxhH2GCqoQXCalLyoy6MfWEUfuZluDIcK2&#10;lLrFLoabRk6TZCYN1hwbKnS0qah4HJ9GwXXLLt91srj9bNzhnqfN/nm+KDUa9us5iEB9eIv/3bmO&#10;82dpOoG/d+INcvkLAAD//wMAUEsBAi0AFAAGAAgAAAAhANvh9svuAAAAhQEAABMAAAAAAAAAAAAA&#10;AAAAAAAAAFtDb250ZW50X1R5cGVzXS54bWxQSwECLQAUAAYACAAAACEAWvQsW78AAAAVAQAACwAA&#10;AAAAAAAAAAAAAAAfAQAAX3JlbHMvLnJlbHNQSwECLQAUAAYACAAAACEAY1r/DMMAAADeAAAADwAA&#10;AAAAAAAAAAAAAAAHAgAAZHJzL2Rvd25yZXYueG1sUEsFBgAAAAADAAMAtwAAAPcCAAAAAA==&#10;" filled="f" stroked="f">
                  <v:textbox inset="0,0,0,0">
                    <w:txbxContent>
                      <w:p w14:paraId="67F97DC3" w14:textId="77777777" w:rsidR="00B32EF2" w:rsidRDefault="00000000">
                        <w:r>
                          <w:rPr>
                            <w:rFonts w:ascii="Arial" w:eastAsia="Arial" w:hAnsi="Arial" w:cs="Arial"/>
                            <w:sz w:val="18"/>
                          </w:rPr>
                          <w:t xml:space="preserve">prodotti o delle questioni sollevate dalle altre parti. Si applica l’articolo 79, </w:t>
                        </w:r>
                      </w:p>
                    </w:txbxContent>
                  </v:textbox>
                </v:rect>
                <v:rect id="Rectangle 16882" o:spid="_x0000_s2874" style="position:absolute;left:-13172;top:4188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F7wwAAAN4AAAAPAAAAZHJzL2Rvd25yZXYueG1sRE9Li8Iw&#10;EL4v+B/CCHtbUz1IqUYRRexhL+sDPA7N2FabSWiirf76zcKCt/n4njNf9qYRD2p9bVnBeJSAIC6s&#10;rrlUcDxsv1IQPiBrbCyTgid5WC4GH3PMtO34hx77UIoYwj5DBVUILpPSFxUZ9CPriCN3sa3BEGFb&#10;St1iF8NNIydJMpUGa44NFTpaV1Tc9nej4Lxhl287WVxea/d9zdNmdz+elPoc9qsZiEB9eIv/3bmO&#10;86dpOoG/d+INcvELAAD//wMAUEsBAi0AFAAGAAgAAAAhANvh9svuAAAAhQEAABMAAAAAAAAAAAAA&#10;AAAAAAAAAFtDb250ZW50X1R5cGVzXS54bWxQSwECLQAUAAYACAAAACEAWvQsW78AAAAVAQAACwAA&#10;AAAAAAAAAAAAAAAfAQAAX3JlbHMvLnJlbHNQSwECLQAUAAYACAAAACEAk4hhe8MAAADeAAAADwAA&#10;AAAAAAAAAAAAAAAHAgAAZHJzL2Rvd25yZXYueG1sUEsFBgAAAAADAAMAtwAAAPcCAAAAAA==&#10;" filled="f" stroked="f">
                  <v:textbox inset="0,0,0,0">
                    <w:txbxContent>
                      <w:p w14:paraId="511C1ECD" w14:textId="77777777" w:rsidR="00B32EF2" w:rsidRDefault="00000000">
                        <w:r>
                          <w:rPr>
                            <w:rFonts w:ascii="Arial" w:eastAsia="Arial" w:hAnsi="Arial" w:cs="Arial"/>
                            <w:sz w:val="18"/>
                          </w:rPr>
                          <w:t xml:space="preserve">comma 2, salvo che il differimento sia disposto in udienza con tutte le parti </w:t>
                        </w:r>
                      </w:p>
                    </w:txbxContent>
                  </v:textbox>
                </v:rect>
                <v:rect id="Rectangle 16883" o:spid="_x0000_s2875" style="position:absolute;left:27500;top:40655;width:124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MTgxAAAAN4AAAAPAAAAZHJzL2Rvd25yZXYueG1sRE9La8JA&#10;EL4X/A/LCL3VTRUkpG6kKGIOXuoDehyyk0ebnV2yq0n99d1Cwdt8fM9ZrUfTiRv1vrWs4HWWgCAu&#10;rW65VnA+7V5SED4ga+wsk4If8rDOJ08rzLQd+INux1CLGMI+QwVNCC6T0pcNGfQz64gjV9neYIiw&#10;r6XucYjhppPzJFlKgy3HhgYdbRoqv49Xo+Bzy67YDbKs7ht3+CrSbn89X5R6no7vbyACjeEh/ncX&#10;Os5fpukC/t6JN8j8FwAA//8DAFBLAQItABQABgAIAAAAIQDb4fbL7gAAAIUBAAATAAAAAAAAAAAA&#10;AAAAAAAAAABbQ29udGVudF9UeXBlc10ueG1sUEsBAi0AFAAGAAgAAAAhAFr0LFu/AAAAFQEAAAsA&#10;AAAAAAAAAAAAAAAAHwEAAF9yZWxzLy5yZWxzUEsBAi0AFAAGAAgAAAAhAPzExODEAAAA3gAAAA8A&#10;AAAAAAAAAAAAAAAABwIAAGRycy9kb3ducmV2LnhtbFBLBQYAAAAAAwADALcAAAD4AgAAAAA=&#10;" filled="f" stroked="f">
                  <v:textbox inset="0,0,0,0">
                    <w:txbxContent>
                      <w:p w14:paraId="4792A70D" w14:textId="77777777" w:rsidR="00B32EF2" w:rsidRDefault="00000000">
                        <w:r>
                          <w:rPr>
                            <w:rFonts w:ascii="Arial" w:eastAsia="Arial" w:hAnsi="Arial" w:cs="Arial"/>
                            <w:sz w:val="18"/>
                          </w:rPr>
                          <w:t>costituite presenti.</w:t>
                        </w:r>
                      </w:p>
                    </w:txbxContent>
                  </v:textbox>
                </v:rect>
                <v:rect id="Rectangle 16884" o:spid="_x0000_s2876" style="position:absolute;left:15067;top:39422;width:810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VyUxAAAAN4AAAAPAAAAZHJzL2Rvd25yZXYueG1sRE9La8JA&#10;EL4X/A/LCL3VTUUkpG6kKGIOXuoDehyyk0ebnV2yq0n99d1Cwdt8fM9ZrUfTiRv1vrWs4HWWgCAu&#10;rW65VnA+7V5SED4ga+wsk4If8rDOJ08rzLQd+INux1CLGMI+QwVNCC6T0pcNGfQz64gjV9neYIiw&#10;r6XucYjhppPzJFlKgy3HhgYdbRoqv49Xo+Bzy67YDbKs7ht3+CrSbn89X5R6no7vbyACjeEh/ncX&#10;Os5fpukC/t6JN8j8FwAA//8DAFBLAQItABQABgAIAAAAIQDb4fbL7gAAAIUBAAATAAAAAAAAAAAA&#10;AAAAAAAAAABbQ29udGVudF9UeXBlc10ueG1sUEsBAi0AFAAGAAgAAAAhAFr0LFu/AAAAFQEAAAsA&#10;AAAAAAAAAAAAAAAAHwEAAF9yZWxzLy5yZWxzUEsBAi0AFAAGAAgAAAAhAHMtXJTEAAAA3gAAAA8A&#10;AAAAAAAAAAAAAAAABwIAAGRycy9kb3ducmV2LnhtbFBLBQYAAAAAAwADALcAAAD4AgAAAAA=&#10;" filled="f" stroked="f">
                  <v:textbox inset="0,0,0,0">
                    <w:txbxContent>
                      <w:p w14:paraId="3054D6D7" w14:textId="77777777" w:rsidR="00B32EF2" w:rsidRDefault="00000000">
                        <w:r>
                          <w:rPr>
                            <w:rFonts w:ascii="Arial" w:eastAsia="Arial" w:hAnsi="Arial" w:cs="Arial"/>
                            <w:b/>
                            <w:sz w:val="18"/>
                          </w:rPr>
                          <w:t>Articolo 83</w:t>
                        </w:r>
                      </w:p>
                    </w:txbxContent>
                  </v:textbox>
                </v:rect>
                <v:rect id="Rectangle 200658" o:spid="_x0000_s2877" style="position:absolute;left:22552;top:38188;width:220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CCUxwAAAN8AAAAPAAAAZHJzL2Rvd25yZXYueG1sRI/BasMw&#10;DIbvg76DUaG31emgI6R1S0kJy2GXZR3sKGI1SRvLJnabbE8/DwY7il//J33b/WR6cafBd5YVrJYJ&#10;COLa6o4bBaf34jEF4QOyxt4yKfgiD/vd7GGLmbYjv9G9Co2IEPYZKmhDcJmUvm7JoF9aRxyzsx0M&#10;hjgOjdQDjhFuevmUJM/SYMfxQouO8pbqa3UzCj6P7MpilPX5O3evlzLtX26nD6UW8+mwARFoCv/L&#10;f+1SK/glruPD0Se6gNz9AAAA//8DAFBLAQItABQABgAIAAAAIQDb4fbL7gAAAIUBAAATAAAAAAAA&#10;AAAAAAAAAAAAAABbQ29udGVudF9UeXBlc10ueG1sUEsBAi0AFAAGAAgAAAAhAFr0LFu/AAAAFQEA&#10;AAsAAAAAAAAAAAAAAAAAHwEAAF9yZWxzLy5yZWxzUEsBAi0AFAAGAAgAAAAhAATgIJTHAAAA3wAA&#10;AA8AAAAAAAAAAAAAAAAABwIAAGRycy9kb3ducmV2LnhtbFBLBQYAAAAAAwADALcAAAD7AgAAAAA=&#10;" filled="f" stroked="f">
                  <v:textbox inset="0,0,0,0">
                    <w:txbxContent>
                      <w:p w14:paraId="6A821F25" w14:textId="77777777" w:rsidR="00B32EF2" w:rsidRDefault="00000000">
                        <w:r>
                          <w:rPr>
                            <w:rFonts w:ascii="Arial" w:eastAsia="Arial" w:hAnsi="Arial" w:cs="Arial"/>
                            <w:i/>
                            <w:sz w:val="18"/>
                          </w:rPr>
                          <w:t>(</w:t>
                        </w:r>
                      </w:p>
                    </w:txbxContent>
                  </v:textbox>
                </v:rect>
                <v:rect id="Rectangle 200659" o:spid="_x0000_s2878" style="position:absolute;left:-6213;top:38188;width:220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UPxgAAAN8AAAAPAAAAZHJzL2Rvd25yZXYueG1sRI9Ba8JA&#10;FITvgv9heUJvdaNQsamriCLm4KU2gsdH9pmkZt8u2dWk/fVdoeBxmJlvmMWqN424U+trywom4wQE&#10;cWF1zaWC/Gv3OgfhA7LGxjIp+CEPq+VwsMBU244/6X4MpYgQ9ikqqEJwqZS+qMigH1tHHL2LbQ2G&#10;KNtS6ha7CDeNnCbJTBqsOS5U6GhTUXE93oyC85ZdtutkcfnduMN3Nm/2t/yk1MuoX3+ACNSHZ/i/&#10;nWkFD+LbOzz+xC8gl38AAAD//wMAUEsBAi0AFAAGAAgAAAAhANvh9svuAAAAhQEAABMAAAAAAAAA&#10;AAAAAAAAAAAAAFtDb250ZW50X1R5cGVzXS54bWxQSwECLQAUAAYACAAAACEAWvQsW78AAAAVAQAA&#10;CwAAAAAAAAAAAAAAAAAfAQAAX3JlbHMvLnJlbHNQSwECLQAUAAYACAAAACEAa6yFD8YAAADfAAAA&#10;DwAAAAAAAAAAAAAAAAAHAgAAZHJzL2Rvd25yZXYueG1sUEsFBgAAAAADAAMAtwAAAPoCAAAAAA==&#10;" filled="f" stroked="f">
                  <v:textbox inset="0,0,0,0">
                    <w:txbxContent>
                      <w:p w14:paraId="7EA93A20" w14:textId="77777777" w:rsidR="00B32EF2" w:rsidRDefault="00000000">
                        <w:r>
                          <w:rPr>
                            <w:rFonts w:ascii="Arial" w:eastAsia="Arial" w:hAnsi="Arial" w:cs="Arial"/>
                            <w:i/>
                            <w:sz w:val="18"/>
                          </w:rPr>
                          <w:t>546/92)</w:t>
                        </w:r>
                      </w:p>
                    </w:txbxContent>
                  </v:textbox>
                </v:rect>
                <v:rect id="Rectangle 200660" o:spid="_x0000_s2879" style="position:absolute;left:10000;top:38188;width:220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YvxQAAAN8AAAAPAAAAZHJzL2Rvd25yZXYueG1sRI9Ni8Iw&#10;EIbvwv6HMAt7s+l6EOkaRVzEHvbiF3gcmrHt2kxCE2311xtB8Di88z4vz3Tem0ZcqfW1ZQXfSQqC&#10;uLC65lLBfrcaTkD4gKyxsUwKbuRhPvsYTDHTtuMNXbehFBHCPkMFVQguk9IXFRn0iXXEMTvZ1mCI&#10;Z1tK3WIX4aaRozQdS4M1x4UKHS0rKs7bi1Fw/GWXrzpZnO5L9/efT5r1ZX9Q6uuzX/yACNSH9/Or&#10;nWsFT+I4GkSf6AJy9gAAAP//AwBQSwECLQAUAAYACAAAACEA2+H2y+4AAACFAQAAEwAAAAAAAAAA&#10;AAAAAAAAAAAAW0NvbnRlbnRfVHlwZXNdLnhtbFBLAQItABQABgAIAAAAIQBa9CxbvwAAABUBAAAL&#10;AAAAAAAAAAAAAAAAAB8BAABfcmVscy8ucmVsc1BLAQItABQABgAIAAAAIQA0+uYvxQAAAN8AAAAP&#10;AAAAAAAAAAAAAAAAAAcCAABkcnMvZG93bnJldi54bWxQSwUGAAAAAAMAAwC3AAAA+QIAAAAA&#10;" filled="f" stroked="f">
                  <v:textbox inset="0,0,0,0">
                    <w:txbxContent>
                      <w:p w14:paraId="3D114437" w14:textId="77777777" w:rsidR="00B32EF2" w:rsidRDefault="00000000">
                        <w:r>
                          <w:rPr>
                            <w:rFonts w:ascii="Arial" w:eastAsia="Arial" w:hAnsi="Arial" w:cs="Arial"/>
                            <w:i/>
                            <w:sz w:val="18"/>
                          </w:rPr>
                          <w:t xml:space="preserve">articolo 34-bis D.lgs. n. </w:t>
                        </w:r>
                      </w:p>
                    </w:txbxContent>
                  </v:textbox>
                </v:rect>
                <v:rect id="Rectangle 16886" o:spid="_x0000_s2880" style="position:absolute;left:11022;top:36955;width:143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2d4xQAAAN4AAAAPAAAAZHJzL2Rvd25yZXYueG1sRE89a8Mw&#10;EN0L+Q/iAt1quRmMcSObkBLioUvTBDIe1sV2Y52EpcRuf31VKHS7x/u8dTWbQdxp9L1lBc9JCoK4&#10;sbrnVsHxY/eUg/ABWeNgmRR8kYeqXDyssdB24ne6H0IrYgj7AhV0IbhCSt90ZNAn1hFH7mJHgyHC&#10;sZV6xCmGm0Gu0jSTBnuODR062nbUXA83o+D8yq7eTbK5fG/d22edD/vb8aTU43LevIAINId/8Z+7&#10;1nF+lucZ/L4Tb5DlDwAAAP//AwBQSwECLQAUAAYACAAAACEA2+H2y+4AAACFAQAAEwAAAAAAAAAA&#10;AAAAAAAAAAAAW0NvbnRlbnRfVHlwZXNdLnhtbFBLAQItABQABgAIAAAAIQBa9CxbvwAAABUBAAAL&#10;AAAAAAAAAAAAAAAAAB8BAABfcmVscy8ucmVsc1BLAQItABQABgAIAAAAIQDss2d4xQAAAN4AAAAP&#10;AAAAAAAAAAAAAAAAAAcCAABkcnMvZG93bnJldi54bWxQSwUGAAAAAAMAAwC3AAAA+QIAAAAA&#10;" filled="f" stroked="f">
                  <v:textbox inset="0,0,0,0">
                    <w:txbxContent>
                      <w:p w14:paraId="7F8F39A4" w14:textId="77777777" w:rsidR="00B32EF2" w:rsidRDefault="00000000">
                        <w:r>
                          <w:rPr>
                            <w:rFonts w:ascii="Arial" w:eastAsia="Arial" w:hAnsi="Arial" w:cs="Arial"/>
                            <w:b/>
                            <w:sz w:val="18"/>
                          </w:rPr>
                          <w:t xml:space="preserve">Udienza a distanza </w:t>
                        </w:r>
                      </w:p>
                    </w:txbxContent>
                  </v:textbox>
                </v:rect>
                <v:rect id="Rectangle 200657" o:spid="_x0000_s2881" style="position:absolute;left:-12802;top:35722;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7TmxgAAAN8AAAAPAAAAZHJzL2Rvd25yZXYueG1sRI9Ba8JA&#10;FITvBf/D8oTe6kahVlJXEUXMwUs1gsdH9pmkZt8u2dWk/fVdoeBxmJlvmPmyN424U+trywrGowQE&#10;cWF1zaWC/Lh9m4HwAVljY5kU/JCH5WLwMsdU246/6H4IpYgQ9ikqqEJwqZS+qMigH1lHHL2LbQ2G&#10;KNtS6ha7CDeNnCTJVBqsOS5U6GhdUXE93IyC84Zdtu1kcfldu/13Nmt2t/yk1OuwX32CCNSHZ/i/&#10;nWkFD+L7Bzz+xC8gF38AAAD//wMAUEsBAi0AFAAGAAgAAAAhANvh9svuAAAAhQEAABMAAAAAAAAA&#10;AAAAAAAAAAAAAFtDb250ZW50X1R5cGVzXS54bWxQSwECLQAUAAYACAAAACEAWvQsW78AAAAVAQAA&#10;CwAAAAAAAAAAAAAAAAAfAQAAX3JlbHMvLnJlbHNQSwECLQAUAAYACAAAACEAdX+05sYAAADfAAAA&#10;DwAAAAAAAAAAAAAAAAAHAgAAZHJzL2Rvd25yZXYueG1sUEsFBgAAAAADAAMAtwAAAPoCAAAAAA==&#10;" filled="f" stroked="f">
                  <v:textbox inset="0,0,0,0">
                    <w:txbxContent>
                      <w:p w14:paraId="7648DC8B" w14:textId="77777777" w:rsidR="00B32EF2" w:rsidRDefault="00000000">
                        <w:r>
                          <w:rPr>
                            <w:rFonts w:ascii="Arial" w:eastAsia="Arial" w:hAnsi="Arial" w:cs="Arial"/>
                            <w:sz w:val="18"/>
                          </w:rPr>
                          <w:t>. I contribuenti e i loro difensori, gli enti impositori e i soggetti della riscos</w:t>
                        </w:r>
                      </w:p>
                    </w:txbxContent>
                  </v:textbox>
                </v:rect>
                <v:rect id="Rectangle 200656" o:spid="_x0000_s2882" style="position:absolute;left:26348;top:35722;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xF9xgAAAN8AAAAPAAAAZHJzL2Rvd25yZXYueG1sRI9Ba8JA&#10;FITvBf/D8gRvzcaCIqmrFEWaQy/aFHp87D6TtNm3S3Y1aX99VxB6HGbmG2a9HW0nrtSH1rGCeZaD&#10;INbOtFwrqN4PjysQISIb7ByTgh8KsN1MHtZYGDfwka6nWIsE4VCggiZGX0gZdEMWQ+Y8cfLOrrcY&#10;k+xraXocEtx28inPl9Jiy2mhQU+7hvT36WIVfO7Zl4dB6vPvzr99lavu9VJ9KDWbji/PICKN8T98&#10;b5dGwY24WMLtT/oCcvMHAAD//wMAUEsBAi0AFAAGAAgAAAAhANvh9svuAAAAhQEAABMAAAAAAAAA&#10;AAAAAAAAAAAAAFtDb250ZW50X1R5cGVzXS54bWxQSwECLQAUAAYACAAAACEAWvQsW78AAAAVAQAA&#10;CwAAAAAAAAAAAAAAAAAfAQAAX3JlbHMvLnJlbHNQSwECLQAUAAYACAAAACEAGjMRfcYAAADfAAAA&#10;DwAAAAAAAAAAAAAAAAAHAgAAZHJzL2Rvd25yZXYueG1sUEsFBgAAAAADAAMAtwAAAPoCAAAAAA==&#10;" filled="f" stroked="f">
                  <v:textbox inset="0,0,0,0">
                    <w:txbxContent>
                      <w:p w14:paraId="468527A3" w14:textId="77777777" w:rsidR="00B32EF2" w:rsidRDefault="00000000">
                        <w:r>
                          <w:rPr>
                            <w:rFonts w:ascii="Arial" w:eastAsia="Arial" w:hAnsi="Arial" w:cs="Arial"/>
                            <w:sz w:val="18"/>
                          </w:rPr>
                          <w:t>1</w:t>
                        </w:r>
                      </w:p>
                    </w:txbxContent>
                  </v:textbox>
                </v:rect>
                <v:rect id="Rectangle 16888" o:spid="_x0000_s2883" style="position:absolute;left:191;top:35722;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FaRxwAAAN4AAAAPAAAAZHJzL2Rvd25yZXYueG1sRI9Bb8Iw&#10;DIXvSPsPkSftRtNxQFVHQBMTWg9cxkDa0WpM261xoibQbr8eH5B2s/We3/u82kyuV1caYufZwHOW&#10;gyKuve24MXD83M0LUDEhW+w9k4FfirBZP8xWWFo/8gddD6lREsKxRANtSqHUOtYtOYyZD8Sinf3g&#10;MMk6NNoOOEq46/Uiz5faYcfS0GKgbUv1z+HiDHy9cah2o67Pf9uw/66K/v1yPBnz9Di9voBKNKV/&#10;8/26soK/LArhlXdkBr2+AQAA//8DAFBLAQItABQABgAIAAAAIQDb4fbL7gAAAIUBAAATAAAAAAAA&#10;AAAAAAAAAAAAAABbQ29udGVudF9UeXBlc10ueG1sUEsBAi0AFAAGAAgAAAAhAFr0LFu/AAAAFQEA&#10;AAsAAAAAAAAAAAAAAAAAHwEAAF9yZWxzLy5yZWxzUEsBAi0AFAAGAAgAAAAhAPJgVpHHAAAA3gAA&#10;AA8AAAAAAAAAAAAAAAAABwIAAGRycy9kb3ducmV2LnhtbFBLBQYAAAAAAwADALcAAAD7AgAAAAA=&#10;" filled="f" stroked="f">
                  <v:textbox inset="0,0,0,0">
                    <w:txbxContent>
                      <w:p w14:paraId="46E76455" w14:textId="77777777" w:rsidR="00B32EF2" w:rsidRDefault="00000000">
                        <w:r>
                          <w:rPr>
                            <w:rFonts w:ascii="Arial" w:eastAsia="Arial" w:hAnsi="Arial" w:cs="Arial"/>
                            <w:sz w:val="18"/>
                          </w:rPr>
                          <w:t>-</w:t>
                        </w:r>
                      </w:p>
                    </w:txbxContent>
                  </v:textbox>
                </v:rect>
                <v:rect id="Rectangle 16889" o:spid="_x0000_s2884" style="position:absolute;left:-13172;top:3448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PMKxAAAAN4AAAAPAAAAZHJzL2Rvd25yZXYueG1sRE9Na8JA&#10;EL0X/A/LCN7qph4kTV2lKGIOvWgj9DhkxyRtdnbJrib117uC4G0e73MWq8G04kKdbywreJsmIIhL&#10;qxuuFBTf29cUhA/IGlvLpOCfPKyWo5cFZtr2vKfLIVQihrDPUEEdgsuk9GVNBv3UOuLInWxnMETY&#10;VVJ32Mdw08pZksylwYZjQ42O1jWVf4ezUfCzYZdve1mermv39Zun7e5cHJWajIfPDxCBhvAUP9y5&#10;jvPnafoO93fiDXJ5AwAA//8DAFBLAQItABQABgAIAAAAIQDb4fbL7gAAAIUBAAATAAAAAAAAAAAA&#10;AAAAAAAAAABbQ29udGVudF9UeXBlc10ueG1sUEsBAi0AFAAGAAgAAAAhAFr0LFu/AAAAFQEAAAsA&#10;AAAAAAAAAAAAAAAAHwEAAF9yZWxzLy5yZWxzUEsBAi0AFAAGAAgAAAAhAJ0s8wrEAAAA3gAAAA8A&#10;AAAAAAAAAAAAAAAABwIAAGRycy9kb3ducmV2LnhtbFBLBQYAAAAAAwADALcAAAD4AgAAAAA=&#10;" filled="f" stroked="f">
                  <v:textbox inset="0,0,0,0">
                    <w:txbxContent>
                      <w:p w14:paraId="5E390F7E" w14:textId="77777777" w:rsidR="00B32EF2" w:rsidRDefault="00000000">
                        <w:r>
                          <w:rPr>
                            <w:rFonts w:ascii="Arial" w:eastAsia="Arial" w:hAnsi="Arial" w:cs="Arial"/>
                            <w:sz w:val="18"/>
                          </w:rPr>
                          <w:t xml:space="preserve">sione, i giudici e il personale amministrativo delle corti di giustizia tributaria </w:t>
                        </w:r>
                      </w:p>
                    </w:txbxContent>
                  </v:textbox>
                </v:rect>
                <v:rect id="Rectangle 16890" o:spid="_x0000_s2885" style="position:absolute;left:-13172;top:3325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8xKyAAAAN4AAAAPAAAAZHJzL2Rvd25yZXYueG1sRI9Pb8Iw&#10;DMXvk/YdIk/abaTbAZWOgCYmtB648GfSjlZj2m6NEzWBdnx6fEDiZsvP773ffDm6Tp2pj61nA6+T&#10;DBRx5W3LtYHDfv2Sg4oJ2WLnmQz8U4Tl4vFhjoX1A2/pvEu1EhOOBRpoUgqF1rFqyGGc+EAst6Pv&#10;HSZZ+1rbHgcxd51+y7KpdtiyJDQYaNVQ9bc7OQM/nxzK9aCr42UVNr9l3n2dDt/GPD+NH++gEo3p&#10;Lr59l1bqT/OZAAiOzKAXVwAAAP//AwBQSwECLQAUAAYACAAAACEA2+H2y+4AAACFAQAAEwAAAAAA&#10;AAAAAAAAAAAAAAAAW0NvbnRlbnRfVHlwZXNdLnhtbFBLAQItABQABgAIAAAAIQBa9CxbvwAAABUB&#10;AAALAAAAAAAAAAAAAAAAAB8BAABfcmVscy8ucmVsc1BLAQItABQABgAIAAAAIQCJz8xKyAAAAN4A&#10;AAAPAAAAAAAAAAAAAAAAAAcCAABkcnMvZG93bnJldi54bWxQSwUGAAAAAAMAAwC3AAAA/AIAAAAA&#10;" filled="f" stroked="f">
                  <v:textbox inset="0,0,0,0">
                    <w:txbxContent>
                      <w:p w14:paraId="7C495548" w14:textId="77777777" w:rsidR="00B32EF2" w:rsidRDefault="00000000">
                        <w:r>
                          <w:rPr>
                            <w:rFonts w:ascii="Arial" w:eastAsia="Arial" w:hAnsi="Arial" w:cs="Arial"/>
                            <w:sz w:val="18"/>
                          </w:rPr>
                          <w:t xml:space="preserve">di primo e secondo grado possono partecipare alle udienze di cui agli articoli </w:t>
                        </w:r>
                      </w:p>
                    </w:txbxContent>
                  </v:textbox>
                </v:rect>
                <v:rect id="Rectangle 200654" o:spid="_x0000_s2886" style="position:absolute;left:25506;top:3202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SqRxgAAAN8AAAAPAAAAZHJzL2Rvd25yZXYueG1sRI9Ba8JA&#10;FITvBf/D8oTe6kapRVJXEUXMwUs1gsdH9pmkZt8u2dWk/fVdoeBxmJlvmPmyN424U+trywrGowQE&#10;cWF1zaWC/Lh9m4HwAVljY5kU/JCH5WLwMsdU246/6H4IpYgQ9ikqqEJwqZS+qMigH1lHHL2LbQ2G&#10;KNtS6ha7CDeNnCTJhzRYc1yo0NG6ouJ6uBkF5w27bNvJ4vK7dvvvbNbsbvlJqddhv/oEEagPz/B/&#10;O9MKHsTpOzz+xC8gF38AAAD//wMAUEsBAi0AFAAGAAgAAAAhANvh9svuAAAAhQEAABMAAAAAAAAA&#10;AAAAAAAAAAAAAFtDb250ZW50X1R5cGVzXS54bWxQSwECLQAUAAYACAAAACEAWvQsW78AAAAVAQAA&#10;CwAAAAAAAAAAAAAAAAAfAQAAX3JlbHMvLnJlbHNQSwECLQAUAAYACAAAACEAha0qkcYAAADfAAAA&#10;DwAAAAAAAAAAAAAAAAAHAgAAZHJzL2Rvd25yZXYueG1sUEsFBgAAAAADAAMAtwAAAPoCAAAAAA==&#10;" filled="f" stroked="f">
                  <v:textbox inset="0,0,0,0">
                    <w:txbxContent>
                      <w:p w14:paraId="20BEE6C6" w14:textId="77777777" w:rsidR="00B32EF2" w:rsidRDefault="00000000">
                        <w:r>
                          <w:rPr>
                            <w:rFonts w:ascii="Arial" w:eastAsia="Arial" w:hAnsi="Arial" w:cs="Arial"/>
                            <w:sz w:val="18"/>
                          </w:rPr>
                          <w:t>81</w:t>
                        </w:r>
                      </w:p>
                    </w:txbxContent>
                  </v:textbox>
                </v:rect>
                <v:rect id="Rectangle 200655" o:spid="_x0000_s2887" style="position:absolute;left:-14410;top:3202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Y8KxgAAAN8AAAAPAAAAZHJzL2Rvd25yZXYueG1sRI9Ba8JA&#10;FITvBf/D8gRvdWPBIqmrlEhoDr1ULfT4yD6TtNm3S3ZNYn99N1DwOMzMN8x2P5pW9NT5xrKC1TIB&#10;QVxa3XCl4HzKHzcgfEDW2FomBTfysN/NHraYajvwB/XHUIkIYZ+igjoEl0rpy5oM+qV1xNG72M5g&#10;iLKrpO5wiHDTyqckeZYGG44LNTrKaip/jlej4OvArsgHWV5+M/f+XWzat+v5U6nFfHx9ARFoDPfw&#10;f7vQCibieg3Tn/gF5O4PAAD//wMAUEsBAi0AFAAGAAgAAAAhANvh9svuAAAAhQEAABMAAAAAAAAA&#10;AAAAAAAAAAAAAFtDb250ZW50X1R5cGVzXS54bWxQSwECLQAUAAYACAAAACEAWvQsW78AAAAVAQAA&#10;CwAAAAAAAAAAAAAAAAAfAQAAX3JlbHMvLnJlbHNQSwECLQAUAAYACAAAACEA6uGPCsYAAADfAAAA&#10;DwAAAAAAAAAAAAAAAAAHAgAAZHJzL2Rvd25yZXYueG1sUEsFBgAAAAADAAMAtwAAAPoCAAAAAA==&#10;" filled="f" stroked="f">
                  <v:textbox inset="0,0,0,0">
                    <w:txbxContent>
                      <w:p w14:paraId="039EDCB5" w14:textId="77777777" w:rsidR="00B32EF2" w:rsidRDefault="00000000">
                        <w:r>
                          <w:rPr>
                            <w:rFonts w:ascii="Arial" w:eastAsia="Arial" w:hAnsi="Arial" w:cs="Arial"/>
                            <w:sz w:val="18"/>
                          </w:rPr>
                          <w:t xml:space="preserve"> e 82 da remoto. La discussione da remoto è chiesta nel ricorso, nel primo </w:t>
                        </w:r>
                      </w:p>
                    </w:txbxContent>
                  </v:textbox>
                </v:rect>
                <v:rect id="Rectangle 16892" o:spid="_x0000_s2888" style="position:absolute;left:-13172;top:3078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femxAAAAN4AAAAPAAAAZHJzL2Rvd25yZXYueG1sRE9Na8JA&#10;EL0L/odlCt50Uw+Spq4iipiDl9oUehyyY5KanV2yq4n+erdQ6G0e73OW68G04kadbywreJ0lIIhL&#10;qxuuFBSf+2kKwgdkja1lUnAnD+vVeLTETNueP+h2CpWIIewzVFCH4DIpfVmTQT+zjjhyZ9sZDBF2&#10;ldQd9jHctHKeJAtpsOHYUKOjbU3l5XQ1Cr537PJ9L8vzY+uOP3naHq7Fl1KTl2HzDiLQEP7Ff+5c&#10;x/mL9G0Ov+/EG+TqCQAA//8DAFBLAQItABQABgAIAAAAIQDb4fbL7gAAAIUBAAATAAAAAAAAAAAA&#10;AAAAAAAAAABbQ29udGVudF9UeXBlc10ueG1sUEsBAi0AFAAGAAgAAAAhAFr0LFu/AAAAFQEAAAsA&#10;AAAAAAAAAAAAAAAAHwEAAF9yZWxzLy5yZWxzUEsBAi0AFAAGAAgAAAAhABZR96bEAAAA3gAAAA8A&#10;AAAAAAAAAAAAAAAABwIAAGRycy9kb3ducmV2LnhtbFBLBQYAAAAAAwADALcAAAD4AgAAAAA=&#10;" filled="f" stroked="f">
                  <v:textbox inset="0,0,0,0">
                    <w:txbxContent>
                      <w:p w14:paraId="254B3483" w14:textId="77777777" w:rsidR="00B32EF2" w:rsidRDefault="00000000">
                        <w:r>
                          <w:rPr>
                            <w:rFonts w:ascii="Arial" w:eastAsia="Arial" w:hAnsi="Arial" w:cs="Arial"/>
                            <w:sz w:val="18"/>
                          </w:rPr>
                          <w:t xml:space="preserve">atto difensivo o in apposita istanza notificata alle altre parti costituite entro il </w:t>
                        </w:r>
                      </w:p>
                    </w:txbxContent>
                  </v:textbox>
                </v:rect>
                <v:rect id="Rectangle 16893" o:spid="_x0000_s2889" style="position:absolute;left:-12206;top:29555;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VI9xAAAAN4AAAAPAAAAZHJzL2Rvd25yZXYueG1sRE9Na8JA&#10;EL0X/A/LCN7qxgqSRlcRRZpDL7UKHofsmESzs0t2NdFf3y0UepvH+5zFqjeNuFPra8sKJuMEBHFh&#10;dc2lgsP37jUF4QOyxsYyKXiQh9Vy8LLATNuOv+i+D6WIIewzVFCF4DIpfVGRQT+2jjhyZ9saDBG2&#10;pdQtdjHcNPItSWbSYM2xoUJHm4qK6/5mFJy27PJdJ4vzc+M+L3nafNwOR6VGw349BxGoD//iP3eu&#10;4/xZ+j6F33fiDXL5AwAA//8DAFBLAQItABQABgAIAAAAIQDb4fbL7gAAAIUBAAATAAAAAAAAAAAA&#10;AAAAAAAAAABbQ29udGVudF9UeXBlc10ueG1sUEsBAi0AFAAGAAgAAAAhAFr0LFu/AAAAFQEAAAsA&#10;AAAAAAAAAAAAAAAAHwEAAF9yZWxzLy5yZWxzUEsBAi0AFAAGAAgAAAAhAHkdUj3EAAAA3gAAAA8A&#10;AAAAAAAAAAAAAAAABwIAAGRycy9kb3ducmV2LnhtbFBLBQYAAAAAAwADALcAAAD4AgAAAAA=&#10;" filled="f" stroked="f">
                  <v:textbox inset="0,0,0,0">
                    <w:txbxContent>
                      <w:p w14:paraId="6170BE13" w14:textId="77777777" w:rsidR="00B32EF2" w:rsidRDefault="00000000">
                        <w:r>
                          <w:rPr>
                            <w:rFonts w:ascii="Arial" w:eastAsia="Arial" w:hAnsi="Arial" w:cs="Arial"/>
                            <w:sz w:val="18"/>
                          </w:rPr>
                          <w:t>termine di cui all’articolo 80, comma 2, ed è depositata in segreteria unitamen</w:t>
                        </w:r>
                      </w:p>
                    </w:txbxContent>
                  </v:textbox>
                </v:rect>
                <v:rect id="Rectangle 16894" o:spid="_x0000_s2890" style="position:absolute;left:191;top:29555;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MpJxAAAAN4AAAAPAAAAZHJzL2Rvd25yZXYueG1sRE9Na8JA&#10;EL0X/A/LCN7qxiKSRlcRRZpDL7UKHofsmESzs0t2NdFf3y0UepvH+5zFqjeNuFPra8sKJuMEBHFh&#10;dc2lgsP37jUF4QOyxsYyKXiQh9Vy8LLATNuOv+i+D6WIIewzVFCF4DIpfVGRQT+2jjhyZ9saDBG2&#10;pdQtdjHcNPItSWbSYM2xoUJHm4qK6/5mFJy27PJdJ4vzc+M+L3nafNwOR6VGw349BxGoD//iP3eu&#10;4/xZ+j6F33fiDXL5AwAA//8DAFBLAQItABQABgAIAAAAIQDb4fbL7gAAAIUBAAATAAAAAAAAAAAA&#10;AAAAAAAAAABbQ29udGVudF9UeXBlc10ueG1sUEsBAi0AFAAGAAgAAAAhAFr0LFu/AAAAFQEAAAsA&#10;AAAAAAAAAAAAAAAAHwEAAF9yZWxzLy5yZWxzUEsBAi0AFAAGAAgAAAAhAPb0yknEAAAA3gAAAA8A&#10;AAAAAAAAAAAAAAAABwIAAGRycy9kb3ducmV2LnhtbFBLBQYAAAAAAwADALcAAAD4AgAAAAA=&#10;" filled="f" stroked="f">
                  <v:textbox inset="0,0,0,0">
                    <w:txbxContent>
                      <w:p w14:paraId="43FA43DC" w14:textId="77777777" w:rsidR="00B32EF2" w:rsidRDefault="00000000">
                        <w:r>
                          <w:rPr>
                            <w:rFonts w:ascii="Arial" w:eastAsia="Arial" w:hAnsi="Arial" w:cs="Arial"/>
                            <w:sz w:val="18"/>
                          </w:rPr>
                          <w:t>-</w:t>
                        </w:r>
                      </w:p>
                    </w:txbxContent>
                  </v:textbox>
                </v:rect>
                <v:rect id="Rectangle 16895" o:spid="_x0000_s2891" style="position:absolute;left:-13171;top:28322;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G/SxAAAAN4AAAAPAAAAZHJzL2Rvd25yZXYueG1sRE9Na8JA&#10;EL0X/A/LCN7qxoKSRlcRRZpDL7UKHofsmESzs0t2NdFf3y0UepvH+5zFqjeNuFPra8sKJuMEBHFh&#10;dc2lgsP37jUF4QOyxsYyKXiQh9Vy8LLATNuOv+i+D6WIIewzVFCF4DIpfVGRQT+2jjhyZ9saDBG2&#10;pdQtdjHcNPItSWbSYM2xoUJHm4qK6/5mFJy27PJdJ4vzc+M+L3nafNwOR6VGw349BxGoD//iP3eu&#10;4/xZ+j6F33fiDXL5AwAA//8DAFBLAQItABQABgAIAAAAIQDb4fbL7gAAAIUBAAATAAAAAAAAAAAA&#10;AAAAAAAAAABbQ29udGVudF9UeXBlc10ueG1sUEsBAi0AFAAGAAgAAAAhAFr0LFu/AAAAFQEAAAsA&#10;AAAAAAAAAAAAAAAAHwEAAF9yZWxzLy5yZWxzUEsBAi0AFAAGAAgAAAAhAJm4b9LEAAAA3gAAAA8A&#10;AAAAAAAAAAAAAAAABwIAAGRycy9kb3ducmV2LnhtbFBLBQYAAAAAAwADALcAAAD4AgAAAAA=&#10;" filled="f" stroked="f">
                  <v:textbox inset="0,0,0,0">
                    <w:txbxContent>
                      <w:p w14:paraId="6788757C" w14:textId="77777777" w:rsidR="00B32EF2" w:rsidRDefault="00000000">
                        <w:r>
                          <w:rPr>
                            <w:rFonts w:ascii="Arial" w:eastAsia="Arial" w:hAnsi="Arial" w:cs="Arial"/>
                            <w:sz w:val="18"/>
                          </w:rPr>
                          <w:t xml:space="preserve">te alla prova della notificazione. Nei casi di trattazione delle cause da remoto </w:t>
                        </w:r>
                      </w:p>
                    </w:txbxContent>
                  </v:textbox>
                </v:rect>
                <v:rect id="Rectangle 16896" o:spid="_x0000_s2892" style="position:absolute;left:-13172;top:27089;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vGlxAAAAN4AAAAPAAAAZHJzL2Rvd25yZXYueG1sRE9Na8JA&#10;EL0L/odlBG+6qYeQpq5SFDGHXrQKPQ7ZMUmbnV2yq0n99a5Q6G0e73OW68G04kadbywreJknIIhL&#10;qxuuFJw+d7MMhA/IGlvLpOCXPKxX49ESc217PtDtGCoRQ9jnqKAOweVS+rImg35uHXHkLrYzGCLs&#10;Kqk77GO4aeUiSVJpsOHYUKOjTU3lz/FqFHxt2RW7XpaX+8Z9fBdZu7+ezkpNJ8P7G4hAQ/gX/7kL&#10;Heen2WsKz3fiDXL1AAAA//8DAFBLAQItABQABgAIAAAAIQDb4fbL7gAAAIUBAAATAAAAAAAAAAAA&#10;AAAAAAAAAABbQ29udGVudF9UeXBlc10ueG1sUEsBAi0AFAAGAAgAAAAhAFr0LFu/AAAAFQEAAAsA&#10;AAAAAAAAAAAAAAAAHwEAAF9yZWxzLy5yZWxzUEsBAi0AFAAGAAgAAAAhAGlq8aXEAAAA3gAAAA8A&#10;AAAAAAAAAAAAAAAABwIAAGRycy9kb3ducmV2LnhtbFBLBQYAAAAAAwADALcAAAD4AgAAAAA=&#10;" filled="f" stroked="f">
                  <v:textbox inset="0,0,0,0">
                    <w:txbxContent>
                      <w:p w14:paraId="76190A9D" w14:textId="77777777" w:rsidR="00B32EF2" w:rsidRDefault="00000000">
                        <w:r>
                          <w:rPr>
                            <w:rFonts w:ascii="Arial" w:eastAsia="Arial" w:hAnsi="Arial" w:cs="Arial"/>
                            <w:sz w:val="18"/>
                          </w:rPr>
                          <w:t xml:space="preserve">la segreteria comunica, almeno tre giorni prima dell’udienza, l’avviso dell’ora </w:t>
                        </w:r>
                      </w:p>
                    </w:txbxContent>
                  </v:textbox>
                </v:rect>
                <v:rect id="Rectangle 16897" o:spid="_x0000_s2893" style="position:absolute;left:-13172;top:2585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lQ+xAAAAN4AAAAPAAAAZHJzL2Rvd25yZXYueG1sRE9Na8JA&#10;EL0X/A/LCN7qxh5sGl1FFGkOXmoVPA7ZMYlmZ5fsaqK/vlso9DaP9znzZW8acafW15YVTMYJCOLC&#10;6ppLBYfv7WsKwgdkjY1lUvAgD8vF4GWOmbYdf9F9H0oRQ9hnqKAKwWVS+qIig35sHXHkzrY1GCJs&#10;S6lb7GK4aeRbkkylwZpjQ4WO1hUV1/3NKDht2OXbThbn59rtLnnafN4OR6VGw341AxGoD//iP3eu&#10;4/xp+vEOv+/EG+TiBwAA//8DAFBLAQItABQABgAIAAAAIQDb4fbL7gAAAIUBAAATAAAAAAAAAAAA&#10;AAAAAAAAAABbQ29udGVudF9UeXBlc10ueG1sUEsBAi0AFAAGAAgAAAAhAFr0LFu/AAAAFQEAAAsA&#10;AAAAAAAAAAAAAAAAHwEAAF9yZWxzLy5yZWxzUEsBAi0AFAAGAAgAAAAhAAYmVD7EAAAA3gAAAA8A&#10;AAAAAAAAAAAAAAAABwIAAGRycy9kb3ducmV2LnhtbFBLBQYAAAAAAwADALcAAAD4AgAAAAA=&#10;" filled="f" stroked="f">
                  <v:textbox inset="0,0,0,0">
                    <w:txbxContent>
                      <w:p w14:paraId="0D5EF2B5" w14:textId="77777777" w:rsidR="00B32EF2" w:rsidRDefault="00000000">
                        <w:r>
                          <w:rPr>
                            <w:rFonts w:ascii="Arial" w:eastAsia="Arial" w:hAnsi="Arial" w:cs="Arial"/>
                            <w:sz w:val="18"/>
                          </w:rPr>
                          <w:t xml:space="preserve">e delle modalità di collegamento. Nel verbale di udienza viene dato atto delle </w:t>
                        </w:r>
                      </w:p>
                    </w:txbxContent>
                  </v:textbox>
                </v:rect>
                <v:rect id="Rectangle 16898" o:spid="_x0000_s2894" style="position:absolute;left:-13172;top:2462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cBMyAAAAN4AAAAPAAAAZHJzL2Rvd25yZXYueG1sRI9Pb8Iw&#10;DMXvk/YdIk/abaTbAZWOgCYmtB648GfSjlZj2m6NEzWBdnx6fEDiZus9v/fzfDm6Tp2pj61nA6+T&#10;DBRx5W3LtYHDfv2Sg4oJ2WLnmQz8U4Tl4vFhjoX1A2/pvEu1khCOBRpoUgqF1rFqyGGc+EAs2tH3&#10;DpOsfa1tj4OEu06/ZdlUO2xZGhoMtGqo+tudnIGfTw7letDV8bIKm98y775Oh29jnp/Gj3dQicZ0&#10;N9+uSyv403wmvPKOzKAXVwAAAP//AwBQSwECLQAUAAYACAAAACEA2+H2y+4AAACFAQAAEwAAAAAA&#10;AAAAAAAAAAAAAAAAW0NvbnRlbnRfVHlwZXNdLnhtbFBLAQItABQABgAIAAAAIQBa9CxbvwAAABUB&#10;AAALAAAAAAAAAAAAAAAAAB8BAABfcmVscy8ucmVsc1BLAQItABQABgAIAAAAIQB3ucBMyAAAAN4A&#10;AAAPAAAAAAAAAAAAAAAAAAcCAABkcnMvZG93bnJldi54bWxQSwUGAAAAAAMAAwC3AAAA/AIAAAAA&#10;" filled="f" stroked="f">
                  <v:textbox inset="0,0,0,0">
                    <w:txbxContent>
                      <w:p w14:paraId="07B67660" w14:textId="77777777" w:rsidR="00B32EF2" w:rsidRDefault="00000000">
                        <w:r>
                          <w:rPr>
                            <w:rFonts w:ascii="Arial" w:eastAsia="Arial" w:hAnsi="Arial" w:cs="Arial"/>
                            <w:sz w:val="18"/>
                          </w:rPr>
                          <w:t xml:space="preserve">modalità con cui si accerta l’identità dei partecipanti e della loro libera volontà </w:t>
                        </w:r>
                      </w:p>
                    </w:txbxContent>
                  </v:textbox>
                </v:rect>
                <v:rect id="Rectangle 16899" o:spid="_x0000_s2895" style="position:absolute;left:-13172;top:2338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WXXxAAAAN4AAAAPAAAAZHJzL2Rvd25yZXYueG1sRE9Na8JA&#10;EL0X/A/LFLzVTXuQmLqKKNIcvFQjeByyY5KanV2yq4n++m6h4G0e73Pmy8G04kadbywreJ8kIIhL&#10;qxuuFBSH7VsKwgdkja1lUnAnD8vF6GWOmbY9f9NtHyoRQ9hnqKAOwWVS+rImg35iHXHkzrYzGCLs&#10;Kqk77GO4aeVHkkylwYZjQ42O1jWVl/3VKDht2OXbXpbnx9rtfvK0/boWR6XGr8PqE0SgITzF/+5c&#10;x/nTdDaDv3fiDXLxCwAA//8DAFBLAQItABQABgAIAAAAIQDb4fbL7gAAAIUBAAATAAAAAAAAAAAA&#10;AAAAAAAAAABbQ29udGVudF9UeXBlc10ueG1sUEsBAi0AFAAGAAgAAAAhAFr0LFu/AAAAFQEAAAsA&#10;AAAAAAAAAAAAAAAAHwEAAF9yZWxzLy5yZWxzUEsBAi0AFAAGAAgAAAAhABj1ZdfEAAAA3gAAAA8A&#10;AAAAAAAAAAAAAAAABwIAAGRycy9kb3ducmV2LnhtbFBLBQYAAAAAAwADALcAAAD4AgAAAAA=&#10;" filled="f" stroked="f">
                  <v:textbox inset="0,0,0,0">
                    <w:txbxContent>
                      <w:p w14:paraId="49A6AF10" w14:textId="77777777" w:rsidR="00B32EF2" w:rsidRDefault="00000000">
                        <w:r>
                          <w:rPr>
                            <w:rFonts w:ascii="Arial" w:eastAsia="Arial" w:hAnsi="Arial" w:cs="Arial"/>
                            <w:sz w:val="18"/>
                          </w:rPr>
                          <w:t xml:space="preserve">di parteciparvi, anche ai fini della disciplina sulla protezione dei dati personali. </w:t>
                        </w:r>
                      </w:p>
                    </w:txbxContent>
                  </v:textbox>
                </v:rect>
                <v:rect id="Rectangle 16900" o:spid="_x0000_s2896" style="position:absolute;left:-12206;top:22155;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ZQxwAAAN4AAAAPAAAAZHJzL2Rvd25yZXYueG1sRI9Pb8Iw&#10;DMXvSPsOkSftBuk4IOgICDEhetiFP5N2tBrTdjRO1ATa7dPjw6TdbPn5vfdbrgfXqjt1sfFs4HWS&#10;gSIuvW24MnA+7cZzUDEhW2w9k4EfirBePY2WmFvf84Hux1QpMeGYo4E6pZBrHcuaHMaJD8Ryu/jO&#10;YZK1q7TtsBdz1+ppls20w4YlocZA25rK6/HmDHy9cyh2vS4vv9vw8V3M2/3t/GnMy/OweQOVaEj/&#10;4r/vwkr92SITAMGRGfTqAQAA//8DAFBLAQItABQABgAIAAAAIQDb4fbL7gAAAIUBAAATAAAAAAAA&#10;AAAAAAAAAAAAAABbQ29udGVudF9UeXBlc10ueG1sUEsBAi0AFAAGAAgAAAAhAFr0LFu/AAAAFQEA&#10;AAsAAAAAAAAAAAAAAAAAHwEAAF9yZWxzLy5yZWxzUEsBAi0AFAAGAAgAAAAhABckVlDHAAAA3gAA&#10;AA8AAAAAAAAAAAAAAAAABwIAAGRycy9kb3ducmV2LnhtbFBLBQYAAAAAAwADALcAAAD7AgAAAAA=&#10;" filled="f" stroked="f">
                  <v:textbox inset="0,0,0,0">
                    <w:txbxContent>
                      <w:p w14:paraId="252DB896" w14:textId="77777777" w:rsidR="00B32EF2" w:rsidRDefault="00000000">
                        <w:r>
                          <w:rPr>
                            <w:rFonts w:ascii="Arial" w:eastAsia="Arial" w:hAnsi="Arial" w:cs="Arial"/>
                            <w:sz w:val="18"/>
                          </w:rPr>
                          <w:t>I verbali e le decisioni deliberate all’esito dell’udienza o della camera di con</w:t>
                        </w:r>
                      </w:p>
                    </w:txbxContent>
                  </v:textbox>
                </v:rect>
                <v:rect id="Rectangle 16901" o:spid="_x0000_s2897" style="position:absolute;left:191;top:22155;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PPLwwAAAN4AAAAPAAAAZHJzL2Rvd25yZXYueG1sRE9Li8Iw&#10;EL4L/ocwwt40dQ+i1SiLi2wPe/EFHodmbOs2k9BE2/XXG0HwNh/fcxarztTiRo2vLCsYjxIQxLnV&#10;FRcKDvvNcArCB2SNtWVS8E8eVst+b4Gpti1v6bYLhYgh7FNUUIbgUil9XpJBP7KOOHJn2xgMETaF&#10;1A22MdzU8jNJJtJgxbGhREfrkvK/3dUoOH2zyzatzM/3tfu9ZNP653o4KvUx6L7mIAJ14S1+uTMd&#10;509myRie78Qb5PIBAAD//wMAUEsBAi0AFAAGAAgAAAAhANvh9svuAAAAhQEAABMAAAAAAAAAAAAA&#10;AAAAAAAAAFtDb250ZW50X1R5cGVzXS54bWxQSwECLQAUAAYACAAAACEAWvQsW78AAAAVAQAACwAA&#10;AAAAAAAAAAAAAAAfAQAAX3JlbHMvLnJlbHNQSwECLQAUAAYACAAAACEAeGjzy8MAAADeAAAADwAA&#10;AAAAAAAAAAAAAAAHAgAAZHJzL2Rvd25yZXYueG1sUEsFBgAAAAADAAMAtwAAAPcCAAAAAA==&#10;" filled="f" stroked="f">
                  <v:textbox inset="0,0,0,0">
                    <w:txbxContent>
                      <w:p w14:paraId="6C10EDFC" w14:textId="77777777" w:rsidR="00B32EF2" w:rsidRDefault="00000000">
                        <w:r>
                          <w:rPr>
                            <w:rFonts w:ascii="Arial" w:eastAsia="Arial" w:hAnsi="Arial" w:cs="Arial"/>
                            <w:sz w:val="18"/>
                          </w:rPr>
                          <w:t>-</w:t>
                        </w:r>
                      </w:p>
                    </w:txbxContent>
                  </v:textbox>
                </v:rect>
                <v:rect id="Rectangle 16902" o:spid="_x0000_s2898" style="position:absolute;left:-13172;top:2092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m28xQAAAN4AAAAPAAAAZHJzL2Rvd25yZXYueG1sRE9Na8JA&#10;EL0X/A/LCL3VjR5CmrpKUaQ5eDG10OOQHZO02dkluyaxv74rFHqbx/uc9XYynRio961lBctFAoK4&#10;srrlWsH5/fCUgfABWWNnmRTcyMN2M3tYY67tyCcaylCLGMI+RwVNCC6X0lcNGfQL64gjd7G9wRBh&#10;X0vd4xjDTSdXSZJKgy3HhgYd7RqqvsurUfC5Z1ccRlldfnbu+FVk3dv1/KHU43x6fQERaAr/4j93&#10;oeP89DlZwf2deIPc/AIAAP//AwBQSwECLQAUAAYACAAAACEA2+H2y+4AAACFAQAAEwAAAAAAAAAA&#10;AAAAAAAAAAAAW0NvbnRlbnRfVHlwZXNdLnhtbFBLAQItABQABgAIAAAAIQBa9CxbvwAAABUBAAAL&#10;AAAAAAAAAAAAAAAAAB8BAABfcmVscy8ucmVsc1BLAQItABQABgAIAAAAIQCIum28xQAAAN4AAAAP&#10;AAAAAAAAAAAAAAAAAAcCAABkcnMvZG93bnJldi54bWxQSwUGAAAAAAMAAwC3AAAA+QIAAAAA&#10;" filled="f" stroked="f">
                  <v:textbox inset="0,0,0,0">
                    <w:txbxContent>
                      <w:p w14:paraId="2D7CA9C7" w14:textId="77777777" w:rsidR="00B32EF2" w:rsidRDefault="00000000">
                        <w:r>
                          <w:rPr>
                            <w:rFonts w:ascii="Arial" w:eastAsia="Arial" w:hAnsi="Arial" w:cs="Arial"/>
                            <w:sz w:val="18"/>
                          </w:rPr>
                          <w:t xml:space="preserve">siglio si considerano, rispettivamente, formati ed assunte nel comune in cui </w:t>
                        </w:r>
                      </w:p>
                    </w:txbxContent>
                  </v:textbox>
                </v:rect>
                <v:rect id="Rectangle 16903" o:spid="_x0000_s2899" style="position:absolute;left:-13172;top:1968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sgnxQAAAN4AAAAPAAAAZHJzL2Rvd25yZXYueG1sRE9LawIx&#10;EL4X+h/CFLxpthVEV7NSLNI99OKj0OOwmX3YzSRsorv66xtB6G0+vues1oNpxYU631hW8DpJQBAX&#10;VjdcKTgetuM5CB+QNbaWScGVPKyz56cVptr2vKPLPlQihrBPUUEdgkul9EVNBv3EOuLIlbYzGCLs&#10;Kqk77GO4aeVbksykwYZjQ42ONjUVv/uzUfDzwS7f9rIobxv3dcrn7ef5+K3U6GV4X4IINIR/8cOd&#10;6zh/tkimcH8n3iCzPwAAAP//AwBQSwECLQAUAAYACAAAACEA2+H2y+4AAACFAQAAEwAAAAAAAAAA&#10;AAAAAAAAAAAAW0NvbnRlbnRfVHlwZXNdLnhtbFBLAQItABQABgAIAAAAIQBa9CxbvwAAABUBAAAL&#10;AAAAAAAAAAAAAAAAAB8BAABfcmVscy8ucmVsc1BLAQItABQABgAIAAAAIQDn9sgnxQAAAN4AAAAP&#10;AAAAAAAAAAAAAAAAAAcCAABkcnMvZG93bnJldi54bWxQSwUGAAAAAAMAAwC3AAAA+QIAAAAA&#10;" filled="f" stroked="f">
                  <v:textbox inset="0,0,0,0">
                    <w:txbxContent>
                      <w:p w14:paraId="258F3939" w14:textId="77777777" w:rsidR="00B32EF2" w:rsidRDefault="00000000">
                        <w:r>
                          <w:rPr>
                            <w:rFonts w:ascii="Arial" w:eastAsia="Arial" w:hAnsi="Arial" w:cs="Arial"/>
                            <w:sz w:val="18"/>
                          </w:rPr>
                          <w:t xml:space="preserve">ha sede l’ufficio giudiziario presso il quale è stato iscritto il ricorso trattato. Il </w:t>
                        </w:r>
                      </w:p>
                    </w:txbxContent>
                  </v:textbox>
                </v:rect>
                <v:rect id="Rectangle 16904" o:spid="_x0000_s2900" style="position:absolute;left:-12293;top:18456;width:5223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1BTxQAAAN4AAAAPAAAAZHJzL2Rvd25yZXYueG1sRE9LawIx&#10;EL4X+h/CFLxptkVEV7NSLNI99OKj0OOwmX3YzSRsorv66xtB6G0+vues1oNpxYU631hW8DpJQBAX&#10;VjdcKTgetuM5CB+QNbaWScGVPKyz56cVptr2vKPLPlQihrBPUUEdgkul9EVNBv3EOuLIlbYzGCLs&#10;Kqk77GO4aeVbksykwYZjQ42ONjUVv/uzUfDzwS7f9rIobxv3dcrn7ef5+K3U6GV4X4IINIR/8cOd&#10;6zh/tkimcH8n3iCzPwAAAP//AwBQSwECLQAUAAYACAAAACEA2+H2y+4AAACFAQAAEwAAAAAAAAAA&#10;AAAAAAAAAAAAW0NvbnRlbnRfVHlwZXNdLnhtbFBLAQItABQABgAIAAAAIQBa9CxbvwAAABUBAAAL&#10;AAAAAAAAAAAAAAAAAB8BAABfcmVscy8ucmVsc1BLAQItABQABgAIAAAAIQBoH1BTxQAAAN4AAAAP&#10;AAAAAAAAAAAAAAAAAAcCAABkcnMvZG93bnJldi54bWxQSwUGAAAAAAMAAwC3AAAA+QIAAAAA&#10;" filled="f" stroked="f">
                  <v:textbox inset="0,0,0,0">
                    <w:txbxContent>
                      <w:p w14:paraId="5F36CDD1" w14:textId="77777777" w:rsidR="00B32EF2" w:rsidRDefault="00000000">
                        <w:r>
                          <w:rPr>
                            <w:rFonts w:ascii="Arial" w:eastAsia="Arial" w:hAnsi="Arial" w:cs="Arial"/>
                            <w:sz w:val="18"/>
                          </w:rPr>
                          <w:t>luogo dal quale si collegano i giudici, i difensori, le parti che si difendono per</w:t>
                        </w:r>
                      </w:p>
                    </w:txbxContent>
                  </v:textbox>
                </v:rect>
                <v:rect id="Rectangle 16905" o:spid="_x0000_s2901" style="position:absolute;left:191;top:18456;width:5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XIxQAAAN4AAAAPAAAAZHJzL2Rvd25yZXYueG1sRE9LawIx&#10;EL4X+h/CFLxptgVFV7NSLNI99OKj0OOwmX3YzSRsorv66xtB6G0+vues1oNpxYU631hW8DpJQBAX&#10;VjdcKTgetuM5CB+QNbaWScGVPKyz56cVptr2vKPLPlQihrBPUUEdgkul9EVNBv3EOuLIlbYzGCLs&#10;Kqk77GO4aeVbksykwYZjQ42ONjUVv/uzUfDzwS7f9rIobxv3dcrn7ef5+K3U6GV4X4IINIR/8cOd&#10;6zh/tkimcH8n3iCzPwAAAP//AwBQSwECLQAUAAYACAAAACEA2+H2y+4AAACFAQAAEwAAAAAAAAAA&#10;AAAAAAAAAAAAW0NvbnRlbnRfVHlwZXNdLnhtbFBLAQItABQABgAIAAAAIQBa9CxbvwAAABUBAAAL&#10;AAAAAAAAAAAAAAAAAB8BAABfcmVscy8ucmVsc1BLAQItABQABgAIAAAAIQAHU/XIxQAAAN4AAAAP&#10;AAAAAAAAAAAAAAAAAAcCAABkcnMvZG93bnJldi54bWxQSwUGAAAAAAMAAwC3AAAA+QIAAAAA&#10;" filled="f" stroked="f">
                  <v:textbox inset="0,0,0,0">
                    <w:txbxContent>
                      <w:p w14:paraId="34146F13" w14:textId="77777777" w:rsidR="00B32EF2" w:rsidRDefault="00000000">
                        <w:r>
                          <w:rPr>
                            <w:rFonts w:ascii="Arial" w:eastAsia="Arial" w:hAnsi="Arial" w:cs="Arial"/>
                            <w:sz w:val="18"/>
                          </w:rPr>
                          <w:t>-</w:t>
                        </w:r>
                      </w:p>
                    </w:txbxContent>
                  </v:textbox>
                </v:rect>
                <v:rect id="Rectangle 16906" o:spid="_x0000_s2902" style="position:absolute;left:-13172;top:1722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Wu/xAAAAN4AAAAPAAAAZHJzL2Rvd25yZXYueG1sRE9Ni8Iw&#10;EL0v+B/CCN7WVA/FrUYRRezBy7oKHodmbKvNJDTR1v31m4WFvc3jfc5i1ZtGPKn1tWUFk3ECgriw&#10;uuZSwelr9z4D4QOyxsYyKXiRh9Vy8LbATNuOP+l5DKWIIewzVFCF4DIpfVGRQT+2jjhyV9saDBG2&#10;pdQtdjHcNHKaJKk0WHNsqNDRpqLifnwYBZctu3zXyeL6vXGHWz5r9o/TWanRsF/PQQTqw7/4z53r&#10;OD/9SFL4fSfeIJc/AAAA//8DAFBLAQItABQABgAIAAAAIQDb4fbL7gAAAIUBAAATAAAAAAAAAAAA&#10;AAAAAAAAAABbQ29udGVudF9UeXBlc10ueG1sUEsBAi0AFAAGAAgAAAAhAFr0LFu/AAAAFQEAAAsA&#10;AAAAAAAAAAAAAAAAHwEAAF9yZWxzLy5yZWxzUEsBAi0AFAAGAAgAAAAhAPeBa7/EAAAA3gAAAA8A&#10;AAAAAAAAAAAAAAAABwIAAGRycy9kb3ducmV2LnhtbFBLBQYAAAAAAwADALcAAAD4AgAAAAA=&#10;" filled="f" stroked="f">
                  <v:textbox inset="0,0,0,0">
                    <w:txbxContent>
                      <w:p w14:paraId="0FF393F0" w14:textId="77777777" w:rsidR="00B32EF2" w:rsidRDefault="00000000">
                        <w:r>
                          <w:rPr>
                            <w:rFonts w:ascii="Arial" w:eastAsia="Arial" w:hAnsi="Arial" w:cs="Arial"/>
                            <w:sz w:val="18"/>
                          </w:rPr>
                          <w:t xml:space="preserve">sonalmente e il personale amministrativo è considerato aula di udienza a tutti </w:t>
                        </w:r>
                      </w:p>
                    </w:txbxContent>
                  </v:textbox>
                </v:rect>
                <v:rect id="Rectangle 16907" o:spid="_x0000_s2903" style="position:absolute;left:27905;top:15989;width:120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c4kxQAAAN4AAAAPAAAAZHJzL2Rvd25yZXYueG1sRE9LawIx&#10;EL4X/A9hhN40aw9qt2ZFFOkeeqlV8DhsZh91Mwmb6G77601B6G0+vues1oNpxY0631hWMJsmIIgL&#10;qxuuFBy/9pMlCB+QNbaWScEPeVhno6cVptr2/Em3Q6hEDGGfooI6BJdK6YuaDPqpdcSRK21nMETY&#10;VVJ32Mdw08qXJJlLgw3HhhodbWsqLoerUXDescv3vSzK3637+M6X7fv1eFLqeTxs3kAEGsK/+OHO&#10;dZw/f00W8PdOvEFmdwAAAP//AwBQSwECLQAUAAYACAAAACEA2+H2y+4AAACFAQAAEwAAAAAAAAAA&#10;AAAAAAAAAAAAW0NvbnRlbnRfVHlwZXNdLnhtbFBLAQItABQABgAIAAAAIQBa9CxbvwAAABUBAAAL&#10;AAAAAAAAAAAAAAAAAB8BAABfcmVscy8ucmVsc1BLAQItABQABgAIAAAAIQCYzc4kxQAAAN4AAAAP&#10;AAAAAAAAAAAAAAAAAAcCAABkcnMvZG93bnJldi54bWxQSwUGAAAAAAMAAwC3AAAA+QIAAAAA&#10;" filled="f" stroked="f">
                  <v:textbox inset="0,0,0,0">
                    <w:txbxContent>
                      <w:p w14:paraId="3EF4947A" w14:textId="77777777" w:rsidR="00B32EF2" w:rsidRDefault="00000000">
                        <w:r>
                          <w:rPr>
                            <w:rFonts w:ascii="Arial" w:eastAsia="Arial" w:hAnsi="Arial" w:cs="Arial"/>
                            <w:sz w:val="18"/>
                          </w:rPr>
                          <w:t>gli effetti di legge.</w:t>
                        </w:r>
                      </w:p>
                    </w:txbxContent>
                  </v:textbox>
                </v:rect>
                <v:rect id="Rectangle 16908" o:spid="_x0000_s2904" style="position:absolute;left:15059;top:13522;width:81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lpWxwAAAN4AAAAPAAAAZHJzL2Rvd25yZXYueG1sRI9Pb8Iw&#10;DMXvSPsOkSftBuk4IOgICDEhetiFP5N2tBrTdjRO1ATa7dPjw6TdbL3n935ergfXqjt1sfFs4HWS&#10;gSIuvW24MnA+7cZzUDEhW2w9k4EfirBePY2WmFvf84Hux1QpCeGYo4E6pZBrHcuaHMaJD8SiXXzn&#10;MMnaVdp22Eu4a/U0y2baYcPSUGOgbU3l9XhzBr7eORS7XpeX3234+C7m7f52/jTm5XnYvIFKNKR/&#10;8991YQV/tsiEV96RGfTqAQAA//8DAFBLAQItABQABgAIAAAAIQDb4fbL7gAAAIUBAAATAAAAAAAA&#10;AAAAAAAAAAAAAABbQ29udGVudF9UeXBlc10ueG1sUEsBAi0AFAAGAAgAAAAhAFr0LFu/AAAAFQEA&#10;AAsAAAAAAAAAAAAAAAAAHwEAAF9yZWxzLy5yZWxzUEsBAi0AFAAGAAgAAAAhAOlSWlbHAAAA3gAA&#10;AA8AAAAAAAAAAAAAAAAABwIAAGRycy9kb3ducmV2LnhtbFBLBQYAAAAAAwADALcAAAD7AgAAAAA=&#10;" filled="f" stroked="f">
                  <v:textbox inset="0,0,0,0">
                    <w:txbxContent>
                      <w:p w14:paraId="00727C4B" w14:textId="77777777" w:rsidR="00B32EF2" w:rsidRDefault="00000000">
                        <w:r>
                          <w:rPr>
                            <w:rFonts w:ascii="Arial" w:eastAsia="Arial" w:hAnsi="Arial" w:cs="Arial"/>
                            <w:b/>
                            <w:sz w:val="18"/>
                          </w:rPr>
                          <w:t>Articolo 84</w:t>
                        </w:r>
                      </w:p>
                    </w:txbxContent>
                  </v:textbox>
                </v:rect>
                <v:rect id="Rectangle 200651" o:spid="_x0000_s2905" style="position:absolute;left:22221;top:12289;width:194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okJxgAAAN8AAAAPAAAAZHJzL2Rvd25yZXYueG1sRI9Ba8JA&#10;FITvhf6H5RV6qxsLlZC6ilikOXgxtdDjI/tMUrNvl+yapP56NyD0OMzMN8xyPZpW9NT5xrKC+SwB&#10;QVxa3XCl4Pi1e0lB+ICssbVMCv7Iw3r1+LDETNuBD9QXoRIRwj5DBXUILpPSlzUZ9DPriKN3sp3B&#10;EGVXSd3hEOGmla9JspAGG44LNTra1lSei4tR8PPBLt8Nsjxdt27/m6ft5+X4rdTz07h5BxFoDP/h&#10;ezvXCibi2xymP/ELyNUNAAD//wMAUEsBAi0AFAAGAAgAAAAhANvh9svuAAAAhQEAABMAAAAAAAAA&#10;AAAAAAAAAAAAAFtDb250ZW50X1R5cGVzXS54bWxQSwECLQAUAAYACAAAACEAWvQsW78AAAAVAQAA&#10;CwAAAAAAAAAAAAAAAAAfAQAAX3JlbHMvLnJlbHNQSwECLQAUAAYACAAAACEAldqJCcYAAADfAAAA&#10;DwAAAAAAAAAAAAAAAAAHAgAAZHJzL2Rvd25yZXYueG1sUEsFBgAAAAADAAMAtwAAAPoCAAAAAA==&#10;" filled="f" stroked="f">
                  <v:textbox inset="0,0,0,0">
                    <w:txbxContent>
                      <w:p w14:paraId="6490CF61" w14:textId="77777777" w:rsidR="00B32EF2" w:rsidRDefault="00000000">
                        <w:r>
                          <w:rPr>
                            <w:rFonts w:ascii="Arial" w:eastAsia="Arial" w:hAnsi="Arial" w:cs="Arial"/>
                            <w:i/>
                            <w:sz w:val="18"/>
                          </w:rPr>
                          <w:t>(</w:t>
                        </w:r>
                      </w:p>
                    </w:txbxContent>
                  </v:textbox>
                </v:rect>
                <v:rect id="Rectangle 200653" o:spid="_x0000_s2906" style="position:absolute;left:11620;top:12289;width:194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LLlxgAAAN8AAAAPAAAAZHJzL2Rvd25yZXYueG1sRI9Ba8JA&#10;FITvBf/D8oTe6kaLRVJXEUXMwUs1gsdH9pmkZt8u2dWk/fVdoeBxmJlvmPmyN424U+trywrGowQE&#10;cWF1zaWC/Lh9m4HwAVljY5kU/JCH5WLwMsdU246/6H4IpYgQ9ikqqEJwqZS+qMigH1lHHL2LbQ2G&#10;KNtS6ha7CDeNnCTJhzRYc1yo0NG6ouJ6uBkF5w27bNvJ4vK7dvvvbNbsbvlJqddhv/oEEagPz/B/&#10;O9MKHsTpOzz+xC8gF38AAAD//wMAUEsBAi0AFAAGAAgAAAAhANvh9svuAAAAhQEAABMAAAAAAAAA&#10;AAAAAAAAAAAAAFtDb250ZW50X1R5cGVzXS54bWxQSwECLQAUAAYACAAAACEAWvQsW78AAAAVAQAA&#10;CwAAAAAAAAAAAAAAAAAfAQAAX3JlbHMvLnJlbHNQSwECLQAUAAYACAAAACEACkSy5cYAAADfAAAA&#10;DwAAAAAAAAAAAAAAAAAHAgAAZHJzL2Rvd25yZXYueG1sUEsFBgAAAAADAAMAtwAAAPoCAAAAAA==&#10;" filled="f" stroked="f">
                  <v:textbox inset="0,0,0,0">
                    <w:txbxContent>
                      <w:p w14:paraId="548DAB30" w14:textId="77777777" w:rsidR="00B32EF2" w:rsidRDefault="00000000">
                        <w:r>
                          <w:rPr>
                            <w:rFonts w:ascii="Arial" w:eastAsia="Arial" w:hAnsi="Arial" w:cs="Arial"/>
                            <w:i/>
                            <w:sz w:val="18"/>
                          </w:rPr>
                          <w:t xml:space="preserve">articolo 35 D.lgs. n. </w:t>
                        </w:r>
                      </w:p>
                    </w:txbxContent>
                  </v:textbox>
                </v:rect>
                <v:rect id="Rectangle 200652" o:spid="_x0000_s2907" style="position:absolute;left:-2641;top:12289;width:194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Bd+xgAAAN8AAAAPAAAAZHJzL2Rvd25yZXYueG1sRI9Ba8JA&#10;FITvQv/D8gq96aYBi0RXkRQxh15qLfT4yD6TaPbtkl2TtL++Gyj0OMzMN8xmN5pW9NT5xrKC50UC&#10;gri0uuFKwfnjMF+B8AFZY2uZFHyTh932YbbBTNuB36k/hUpECPsMFdQhuExKX9Zk0C+sI47exXYG&#10;Q5RdJXWHQ4SbVqZJ8iINNhwXanSU11TeTnej4OuVXXEYZHn5yd3btVi1x/v5U6mnx3G/BhFoDP/h&#10;v3ahFUzEZQrTn/gF5PYXAAD//wMAUEsBAi0AFAAGAAgAAAAhANvh9svuAAAAhQEAABMAAAAAAAAA&#10;AAAAAAAAAAAAAFtDb250ZW50X1R5cGVzXS54bWxQSwECLQAUAAYACAAAACEAWvQsW78AAAAVAQAA&#10;CwAAAAAAAAAAAAAAAAAfAQAAX3JlbHMvLnJlbHNQSwECLQAUAAYACAAAACEAZQgXfsYAAADfAAAA&#10;DwAAAAAAAAAAAAAAAAAHAgAAZHJzL2Rvd25yZXYueG1sUEsFBgAAAAADAAMAtwAAAPoCAAAAAA==&#10;" filled="f" stroked="f">
                  <v:textbox inset="0,0,0,0">
                    <w:txbxContent>
                      <w:p w14:paraId="79C0DFDE" w14:textId="77777777" w:rsidR="00B32EF2" w:rsidRDefault="00000000">
                        <w:r>
                          <w:rPr>
                            <w:rFonts w:ascii="Arial" w:eastAsia="Arial" w:hAnsi="Arial" w:cs="Arial"/>
                            <w:i/>
                            <w:sz w:val="18"/>
                          </w:rPr>
                          <w:t>546/92)</w:t>
                        </w:r>
                      </w:p>
                    </w:txbxContent>
                  </v:textbox>
                </v:rect>
                <v:rect id="Rectangle 16910" o:spid="_x0000_s2908" style="position:absolute;left:-1332;top:11056;width:341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NxwAAAN4AAAAPAAAAZHJzL2Rvd25yZXYueG1sRI9Bb8Iw&#10;DIXvk/YfIiPtNlJ2QKwjIMSE1sMuMJB2tBrTFhonagLt9uvxAYmbLT+/9775cnCtulIXG88GJuMM&#10;FHHpbcOVgf3P5nUGKiZki61nMvBHEZaL56c55tb3vKXrLlVKTDjmaKBOKeRax7Imh3HsA7Hcjr5z&#10;mGTtKm077MXctfoty6baYcOSUGOgdU3leXdxBn4/ORSbXpfH/3X4PhWz9uuyPxjzMhpWH6ASDekh&#10;vn8XVupP3ycCIDgyg17cAAAA//8DAFBLAQItABQABgAIAAAAIQDb4fbL7gAAAIUBAAATAAAAAAAA&#10;AAAAAAAAAAAAAABbQ29udGVudF9UeXBlc10ueG1sUEsBAi0AFAAGAAgAAAAhAFr0LFu/AAAAFQEA&#10;AAsAAAAAAAAAAAAAAAAAHwEAAF9yZWxzLy5yZWxzUEsBAi0AFAAGAAgAAAAhAJL9wI3HAAAA3gAA&#10;AA8AAAAAAAAAAAAAAAAABwIAAGRycy9kb3ducmV2LnhtbFBLBQYAAAAAAwADALcAAAD7AgAAAAA=&#10;" filled="f" stroked="f">
                  <v:textbox inset="0,0,0,0">
                    <w:txbxContent>
                      <w:p w14:paraId="36FB29CF" w14:textId="77777777" w:rsidR="00B32EF2" w:rsidRDefault="00000000">
                        <w:r>
                          <w:rPr>
                            <w:rFonts w:ascii="Arial" w:eastAsia="Arial" w:hAnsi="Arial" w:cs="Arial"/>
                            <w:b/>
                            <w:sz w:val="18"/>
                          </w:rPr>
                          <w:t xml:space="preserve">Deliberazioni della corte di giustizia tributaria </w:t>
                        </w:r>
                      </w:p>
                    </w:txbxContent>
                  </v:textbox>
                </v:rect>
                <v:rect id="Rectangle 200648" o:spid="_x0000_s2909" style="position:absolute;left:26349;top:9822;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bZJxwAAAN8AAAAPAAAAZHJzL2Rvd25yZXYueG1sRI/BasMw&#10;DIbvg76DUaG31ekoI6R1S0kJy2GXZR3sKGI1SRvLJnabbE8/DwY7il//J33b/WR6cafBd5YVrJYJ&#10;COLa6o4bBaf34jEF4QOyxt4yKfgiD/vd7GGLmbYjv9G9Co2IEPYZKmhDcJmUvm7JoF9aRxyzsx0M&#10;hjgOjdQDjhFuevmUJM/SYMfxQouO8pbqa3UzCj6P7MpilPX5O3evlzLtX26nD6UW8+mwARFoCv/L&#10;f+1SK/glruPD0Se6gNz9AAAA//8DAFBLAQItABQABgAIAAAAIQDb4fbL7gAAAIUBAAATAAAAAAAA&#10;AAAAAAAAAAAAAABbQ29udGVudF9UeXBlc10ueG1sUEsBAi0AFAAGAAgAAAAhAFr0LFu/AAAAFQEA&#10;AAsAAAAAAAAAAAAAAAAAHwEAAF9yZWxzLy5yZWxzUEsBAi0AFAAGAAgAAAAhAIE5tknHAAAA3wAA&#10;AA8AAAAAAAAAAAAAAAAABwIAAGRycy9kb3ducmV2LnhtbFBLBQYAAAAAAwADALcAAAD7AgAAAAA=&#10;" filled="f" stroked="f">
                  <v:textbox inset="0,0,0,0">
                    <w:txbxContent>
                      <w:p w14:paraId="2A461FB0" w14:textId="77777777" w:rsidR="00B32EF2" w:rsidRDefault="00000000">
                        <w:r>
                          <w:rPr>
                            <w:rFonts w:ascii="Arial" w:eastAsia="Arial" w:hAnsi="Arial" w:cs="Arial"/>
                            <w:sz w:val="18"/>
                          </w:rPr>
                          <w:t>1</w:t>
                        </w:r>
                      </w:p>
                    </w:txbxContent>
                  </v:textbox>
                </v:rect>
                <v:rect id="Rectangle 200650" o:spid="_x0000_s2910" style="position:absolute;left:-12798;top:9822;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ySxwAAAN8AAAAPAAAAZHJzL2Rvd25yZXYueG1sRI9Ba8JA&#10;EIXvBf/DMoK3urFgCdFVJBKaQy9NLfQ4ZMckmp1dsqtJ++u7hUKPw5v3Pb7tfjK9uNPgO8sKVssE&#10;BHFtdceNgtN78ZiC8AFZY2+ZFHyRh/1u9rDFTNuR3+hehUZECPsMFbQhuExKX7dk0C+tI47Z2Q4G&#10;QzyHRuoBxwg3vXxKkmdpsOO40KKjvKX6Wt2Mgs8ju7IYZX3+zt3rpUz7l9vpQ6nFfDpsQASawv/z&#10;X7vUCn6J62gQfaILyN0PAAAA//8DAFBLAQItABQABgAIAAAAIQDb4fbL7gAAAIUBAAATAAAAAAAA&#10;AAAAAAAAAAAAAABbQ29udGVudF9UeXBlc10ueG1sUEsBAi0AFAAGAAgAAAAhAFr0LFu/AAAAFQEA&#10;AAsAAAAAAAAAAAAAAAAAHwEAAF9yZWxzLy5yZWxzUEsBAi0AFAAGAAgAAAAhAPqWLJLHAAAA3wAA&#10;AA8AAAAAAAAAAAAAAAAABwIAAGRycy9kb3ducmV2LnhtbFBLBQYAAAAAAwADALcAAAD7AgAAAAA=&#10;" filled="f" stroked="f">
                  <v:textbox inset="0,0,0,0">
                    <w:txbxContent>
                      <w:p w14:paraId="6141F66E" w14:textId="77777777" w:rsidR="00B32EF2" w:rsidRDefault="00000000">
                        <w:r>
                          <w:rPr>
                            <w:rFonts w:ascii="Arial" w:eastAsia="Arial" w:hAnsi="Arial" w:cs="Arial"/>
                            <w:sz w:val="18"/>
                          </w:rPr>
                          <w:t>. La corte di giustizia tributaria, subito dopo la discussione in pubblica udien</w:t>
                        </w:r>
                      </w:p>
                    </w:txbxContent>
                  </v:textbox>
                </v:rect>
                <v:rect id="Rectangle 16912" o:spid="_x0000_s2911" style="position:absolute;left:191;top:9822;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hwwAAAN4AAAAPAAAAZHJzL2Rvd25yZXYueG1sRE9Ni8Iw&#10;EL0v+B/CCHtbUz2IW40iimwPXnQVPA7N2FabSWiirfvrN4LgbR7vc2aLztTiTo2vLCsYDhIQxLnV&#10;FRcKDr+brwkIH5A11pZJwYM8LOa9jxmm2ra8o/s+FCKGsE9RQRmCS6X0eUkG/cA64sidbWMwRNgU&#10;UjfYxnBTy1GSjKXBimNDiY5WJeXX/c0oOK3ZZZtW5ue/ldteskn9czsclfrsd8spiEBdeItf7kzH&#10;+ePv4Qie78Qb5PwfAAD//wMAUEsBAi0AFAAGAAgAAAAhANvh9svuAAAAhQEAABMAAAAAAAAAAAAA&#10;AAAAAAAAAFtDb250ZW50X1R5cGVzXS54bWxQSwECLQAUAAYACAAAACEAWvQsW78AAAAVAQAACwAA&#10;AAAAAAAAAAAAAAAfAQAAX3JlbHMvLnJlbHNQSwECLQAUAAYACAAAACEADWP7YcMAAADeAAAADwAA&#10;AAAAAAAAAAAAAAAHAgAAZHJzL2Rvd25yZXYueG1sUEsFBgAAAAADAAMAtwAAAPcCAAAAAA==&#10;" filled="f" stroked="f">
                  <v:textbox inset="0,0,0,0">
                    <w:txbxContent>
                      <w:p w14:paraId="6AEA7959" w14:textId="77777777" w:rsidR="00B32EF2" w:rsidRDefault="00000000">
                        <w:r>
                          <w:rPr>
                            <w:rFonts w:ascii="Arial" w:eastAsia="Arial" w:hAnsi="Arial" w:cs="Arial"/>
                            <w:sz w:val="18"/>
                          </w:rPr>
                          <w:t>-</w:t>
                        </w:r>
                      </w:p>
                    </w:txbxContent>
                  </v:textbox>
                </v:rect>
                <v:rect id="Rectangle 16913" o:spid="_x0000_s2912" style="position:absolute;left:-13172;top:858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176xAAAAN4AAAAPAAAAZHJzL2Rvd25yZXYueG1sRE9Li8Iw&#10;EL4L+x/CLHhbU1cQrUZZXGR78LI+wOPQjG21mYQm2uqvNwsL3ubje8582Zla3KjxlWUFw0ECgji3&#10;uuJCwX63/piA8AFZY22ZFNzJw3Lx1ptjqm3Lv3TbhkLEEPYpKihDcKmUPi/JoB9YRxy5k20Mhgib&#10;QuoG2xhuavmZJGNpsOLYUKKjVUn5ZXs1Co7f7LJ1K/PTY+U252xS/1z3B6X6793XDESgLrzE/+5M&#10;x/nj6XAEf+/EG+TiCQAA//8DAFBLAQItABQABgAIAAAAIQDb4fbL7gAAAIUBAAATAAAAAAAAAAAA&#10;AAAAAAAAAABbQ29udGVudF9UeXBlc10ueG1sUEsBAi0AFAAGAAgAAAAhAFr0LFu/AAAAFQEAAAsA&#10;AAAAAAAAAAAAAAAAHwEAAF9yZWxzLy5yZWxzUEsBAi0AFAAGAAgAAAAhAGIvXvrEAAAA3gAAAA8A&#10;AAAAAAAAAAAAAAAABwIAAGRycy9kb3ducmV2LnhtbFBLBQYAAAAAAwADALcAAAD4AgAAAAA=&#10;" filled="f" stroked="f">
                  <v:textbox inset="0,0,0,0">
                    <w:txbxContent>
                      <w:p w14:paraId="2C6C8BFD" w14:textId="77777777" w:rsidR="00B32EF2" w:rsidRDefault="00000000">
                        <w:r>
                          <w:rPr>
                            <w:rFonts w:ascii="Arial" w:eastAsia="Arial" w:hAnsi="Arial" w:cs="Arial"/>
                            <w:sz w:val="18"/>
                          </w:rPr>
                          <w:t xml:space="preserve">za o, se questa non vi è stata, dopo l›esposizione del relatore, delibera la </w:t>
                        </w:r>
                      </w:p>
                    </w:txbxContent>
                  </v:textbox>
                </v:rect>
                <v:rect id="Rectangle 16914" o:spid="_x0000_s2913" style="position:absolute;left:-13172;top:735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saOxAAAAN4AAAAPAAAAZHJzL2Rvd25yZXYueG1sRE9Li8Iw&#10;EL4L+x/CLHhbUxcRrUZZXGR78LI+wOPQjG21mYQm2uqvNwsL3ubje8582Zla3KjxlWUFw0ECgji3&#10;uuJCwX63/piA8AFZY22ZFNzJw3Lx1ptjqm3Lv3TbhkLEEPYpKihDcKmUPi/JoB9YRxy5k20Mhgib&#10;QuoG2xhuavmZJGNpsOLYUKKjVUn5ZXs1Co7f7LJ1K/PTY+U252xS/1z3B6X6793XDESgLrzE/+5M&#10;x/nj6XAEf+/EG+TiCQAA//8DAFBLAQItABQABgAIAAAAIQDb4fbL7gAAAIUBAAATAAAAAAAAAAAA&#10;AAAAAAAAAABbQ29udGVudF9UeXBlc10ueG1sUEsBAi0AFAAGAAgAAAAhAFr0LFu/AAAAFQEAAAsA&#10;AAAAAAAAAAAAAAAAHwEAAF9yZWxzLy5yZWxzUEsBAi0AFAAGAAgAAAAhAO3Gxo7EAAAA3gAAAA8A&#10;AAAAAAAAAAAAAAAABwIAAGRycy9kb3ducmV2LnhtbFBLBQYAAAAAAwADALcAAAD4AgAAAAA=&#10;" filled="f" stroked="f">
                  <v:textbox inset="0,0,0,0">
                    <w:txbxContent>
                      <w:p w14:paraId="3DF47677" w14:textId="77777777" w:rsidR="00B32EF2" w:rsidRDefault="00000000">
                        <w:r>
                          <w:rPr>
                            <w:rFonts w:ascii="Arial" w:eastAsia="Arial" w:hAnsi="Arial" w:cs="Arial"/>
                            <w:sz w:val="18"/>
                          </w:rPr>
                          <w:t xml:space="preserve">decisione in segreto nella camera di consiglio e il presidente, al termine, dà </w:t>
                        </w:r>
                      </w:p>
                    </w:txbxContent>
                  </v:textbox>
                </v:rect>
                <v:rect id="Rectangle 16915" o:spid="_x0000_s2914" style="position:absolute;left:-12192;top:6123;width:5210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MVxAAAAN4AAAAPAAAAZHJzL2Rvd25yZXYueG1sRE9Li8Iw&#10;EL4L+x/CLHhbUxcUrUZZXGR78LI+wOPQjG21mYQm2uqvNwsL3ubje8582Zla3KjxlWUFw0ECgji3&#10;uuJCwX63/piA8AFZY22ZFNzJw3Lx1ptjqm3Lv3TbhkLEEPYpKihDcKmUPi/JoB9YRxy5k20Mhgib&#10;QuoG2xhuavmZJGNpsOLYUKKjVUn5ZXs1Co7f7LJ1K/PTY+U252xS/1z3B6X6793XDESgLrzE/+5M&#10;x/nj6XAEf+/EG+TiCQAA//8DAFBLAQItABQABgAIAAAAIQDb4fbL7gAAAIUBAAATAAAAAAAAAAAA&#10;AAAAAAAAAABbQ29udGVudF9UeXBlc10ueG1sUEsBAi0AFAAGAAgAAAAhAFr0LFu/AAAAFQEAAAsA&#10;AAAAAAAAAAAAAAAAHwEAAF9yZWxzLy5yZWxzUEsBAi0AFAAGAAgAAAAhAIKKYxXEAAAA3gAAAA8A&#10;AAAAAAAAAAAAAAAABwIAAGRycy9kb3ducmV2LnhtbFBLBQYAAAAAAwADALcAAAD4AgAAAAA=&#10;" filled="f" stroked="f">
                  <v:textbox inset="0,0,0,0">
                    <w:txbxContent>
                      <w:p w14:paraId="2E435172" w14:textId="77777777" w:rsidR="00B32EF2" w:rsidRDefault="00000000">
                        <w:r>
                          <w:rPr>
                            <w:rFonts w:ascii="Arial" w:eastAsia="Arial" w:hAnsi="Arial" w:cs="Arial"/>
                            <w:sz w:val="18"/>
                          </w:rPr>
                          <w:t>lettura immediata del dispositivo, salva la facoltà della corte di riservarne il de</w:t>
                        </w:r>
                      </w:p>
                    </w:txbxContent>
                  </v:textbox>
                </v:rect>
                <v:rect id="Rectangle 16916" o:spid="_x0000_s2915" style="position:absolute;left:191;top:6123;width:5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P1ixAAAAN4AAAAPAAAAZHJzL2Rvd25yZXYueG1sRE9Ni8Iw&#10;EL0v+B/CCHtbUz0UrUYRRbYHL6su7HFoxrbaTEITbd1fv1kQvM3jfc5i1ZtG3Kn1tWUF41ECgriw&#10;uuZSwem4+5iC8AFZY2OZFDzIw2o5eFtgpm3HX3Q/hFLEEPYZKqhCcJmUvqjIoB9ZRxy5s20Nhgjb&#10;UuoWuxhuGjlJklQarDk2VOhoU1FxPdyMgp8tu3zXyeL8u3H7Sz5tPm+nb6Xeh/16DiJQH17ipzvX&#10;cX46G6fw/068QS7/AAAA//8DAFBLAQItABQABgAIAAAAIQDb4fbL7gAAAIUBAAATAAAAAAAAAAAA&#10;AAAAAAAAAABbQ29udGVudF9UeXBlc10ueG1sUEsBAi0AFAAGAAgAAAAhAFr0LFu/AAAAFQEAAAsA&#10;AAAAAAAAAAAAAAAAHwEAAF9yZWxzLy5yZWxzUEsBAi0AFAAGAAgAAAAhAHJY/WLEAAAA3gAAAA8A&#10;AAAAAAAAAAAAAAAABwIAAGRycy9kb3ducmV2LnhtbFBLBQYAAAAAAwADALcAAAD4AgAAAAA=&#10;" filled="f" stroked="f">
                  <v:textbox inset="0,0,0,0">
                    <w:txbxContent>
                      <w:p w14:paraId="56918F67" w14:textId="77777777" w:rsidR="00B32EF2" w:rsidRDefault="00000000">
                        <w:r>
                          <w:rPr>
                            <w:rFonts w:ascii="Arial" w:eastAsia="Arial" w:hAnsi="Arial" w:cs="Arial"/>
                            <w:sz w:val="18"/>
                          </w:rPr>
                          <w:t>-</w:t>
                        </w:r>
                      </w:p>
                    </w:txbxContent>
                  </v:textbox>
                </v:rect>
                <v:rect id="Rectangle 16917" o:spid="_x0000_s2916" style="position:absolute;left:-13172;top:488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Fj5xAAAAN4AAAAPAAAAZHJzL2Rvd25yZXYueG1sRE9Li8Iw&#10;EL4v7H8II3jT1D242jWKuMj24MUX7HFoxrbaTEITbfXXbwRhb/PxPWe26EwtbtT4yrKC0TABQZxb&#10;XXGh4LBfDyYgfEDWWFsmBXfysJi/v80w1bblLd12oRAxhH2KCsoQXCqlz0sy6IfWEUfuZBuDIcKm&#10;kLrBNoabWn4kyVgarDg2lOhoVVJ+2V2Ngt9vdtm6lfnpsXKbczapf66Ho1L9Xrf8AhGoC//ilzvT&#10;cf54OvqE5zvxBjn/AwAA//8DAFBLAQItABQABgAIAAAAIQDb4fbL7gAAAIUBAAATAAAAAAAAAAAA&#10;AAAAAAAAAABbQ29udGVudF9UeXBlc10ueG1sUEsBAi0AFAAGAAgAAAAhAFr0LFu/AAAAFQEAAAsA&#10;AAAAAAAAAAAAAAAAHwEAAF9yZWxzLy5yZWxzUEsBAi0AFAAGAAgAAAAhAB0UWPnEAAAA3gAAAA8A&#10;AAAAAAAAAAAAAAAABwIAAGRycy9kb3ducmV2LnhtbFBLBQYAAAAAAwADALcAAAD4AgAAAAA=&#10;" filled="f" stroked="f">
                  <v:textbox inset="0,0,0,0">
                    <w:txbxContent>
                      <w:p w14:paraId="48AA8F28" w14:textId="77777777" w:rsidR="00B32EF2" w:rsidRDefault="00000000">
                        <w:r>
                          <w:rPr>
                            <w:rFonts w:ascii="Arial" w:eastAsia="Arial" w:hAnsi="Arial" w:cs="Arial"/>
                            <w:sz w:val="18"/>
                          </w:rPr>
                          <w:t xml:space="preserve">posito in segreteria e la sua contestuale comunicazione ai difensori delle parti </w:t>
                        </w:r>
                      </w:p>
                    </w:txbxContent>
                  </v:textbox>
                </v:rect>
                <w10:anchorlock/>
              </v:group>
            </w:pict>
          </mc:Fallback>
        </mc:AlternateContent>
      </w:r>
    </w:p>
    <w:p w14:paraId="2D593ED7" w14:textId="77777777" w:rsidR="00B32EF2" w:rsidRDefault="00000000">
      <w:pPr>
        <w:spacing w:after="0"/>
        <w:ind w:left="-356" w:right="-306"/>
      </w:pPr>
      <w:r>
        <w:rPr>
          <w:noProof/>
        </w:rPr>
        <w:lastRenderedPageBreak/>
        <mc:AlternateContent>
          <mc:Choice Requires="wpg">
            <w:drawing>
              <wp:inline distT="0" distB="0" distL="0" distR="0" wp14:anchorId="28AB8CCA" wp14:editId="5844E258">
                <wp:extent cx="3991779" cy="6256510"/>
                <wp:effectExtent l="0" t="0" r="0" b="0"/>
                <wp:docPr id="200722" name="Group 200722"/>
                <wp:cNvGraphicFramePr/>
                <a:graphic xmlns:a="http://schemas.openxmlformats.org/drawingml/2006/main">
                  <a:graphicData uri="http://schemas.microsoft.com/office/word/2010/wordprocessingGroup">
                    <wpg:wgp>
                      <wpg:cNvGrpSpPr/>
                      <wpg:grpSpPr>
                        <a:xfrm>
                          <a:off x="0" y="0"/>
                          <a:ext cx="3991779" cy="6256510"/>
                          <a:chOff x="0" y="0"/>
                          <a:chExt cx="3991779" cy="6256510"/>
                        </a:xfrm>
                      </wpg:grpSpPr>
                      <wps:wsp>
                        <wps:cNvPr id="16945" name="Rectangle 16945"/>
                        <wps:cNvSpPr/>
                        <wps:spPr>
                          <a:xfrm rot="-10799999">
                            <a:off x="1900454" y="-62190"/>
                            <a:ext cx="178369" cy="250646"/>
                          </a:xfrm>
                          <a:prstGeom prst="rect">
                            <a:avLst/>
                          </a:prstGeom>
                          <a:ln>
                            <a:noFill/>
                          </a:ln>
                        </wps:spPr>
                        <wps:txbx>
                          <w:txbxContent>
                            <w:p w14:paraId="655BC5E2" w14:textId="77777777" w:rsidR="00B32EF2" w:rsidRDefault="00000000">
                              <w:r>
                                <w:rPr>
                                  <w:rFonts w:ascii="Times New Roman" w:eastAsia="Times New Roman" w:hAnsi="Times New Roman" w:cs="Times New Roman"/>
                                </w:rPr>
                                <w:t>77</w:t>
                              </w:r>
                            </w:p>
                          </w:txbxContent>
                        </wps:txbx>
                        <wps:bodyPr horzOverflow="overflow" vert="horz" lIns="0" tIns="0" rIns="0" bIns="0" rtlCol="0">
                          <a:noAutofit/>
                        </wps:bodyPr>
                      </wps:wsp>
                      <wps:wsp>
                        <wps:cNvPr id="16946" name="Rectangle 16946"/>
                        <wps:cNvSpPr/>
                        <wps:spPr>
                          <a:xfrm rot="-10799999">
                            <a:off x="1508051" y="4023036"/>
                            <a:ext cx="807175" cy="142889"/>
                          </a:xfrm>
                          <a:prstGeom prst="rect">
                            <a:avLst/>
                          </a:prstGeom>
                          <a:ln>
                            <a:noFill/>
                          </a:ln>
                        </wps:spPr>
                        <wps:txbx>
                          <w:txbxContent>
                            <w:p w14:paraId="3DBA95BA" w14:textId="77777777" w:rsidR="00B32EF2" w:rsidRDefault="00000000">
                              <w:r>
                                <w:rPr>
                                  <w:rFonts w:ascii="Arial" w:eastAsia="Arial" w:hAnsi="Arial" w:cs="Arial"/>
                                  <w:b/>
                                  <w:sz w:val="18"/>
                                </w:rPr>
                                <w:t>Articolo 79</w:t>
                              </w:r>
                            </w:p>
                          </w:txbxContent>
                        </wps:txbx>
                        <wps:bodyPr horzOverflow="overflow" vert="horz" lIns="0" tIns="0" rIns="0" bIns="0" rtlCol="0">
                          <a:noAutofit/>
                        </wps:bodyPr>
                      </wps:wsp>
                      <wps:wsp>
                        <wps:cNvPr id="200614" name="Rectangle 200614"/>
                        <wps:cNvSpPr/>
                        <wps:spPr>
                          <a:xfrm rot="-10799999">
                            <a:off x="804074" y="3899706"/>
                            <a:ext cx="2345623" cy="142889"/>
                          </a:xfrm>
                          <a:prstGeom prst="rect">
                            <a:avLst/>
                          </a:prstGeom>
                          <a:ln>
                            <a:noFill/>
                          </a:ln>
                        </wps:spPr>
                        <wps:txbx>
                          <w:txbxContent>
                            <w:p w14:paraId="67D214D2" w14:textId="77777777" w:rsidR="00B32EF2" w:rsidRDefault="00000000">
                              <w:r>
                                <w:rPr>
                                  <w:rFonts w:ascii="Arial" w:eastAsia="Arial" w:hAnsi="Arial" w:cs="Arial"/>
                                  <w:i/>
                                  <w:sz w:val="18"/>
                                </w:rPr>
                                <w:t xml:space="preserve">articolo 31 D.lgs. n. 546 del </w:t>
                              </w:r>
                            </w:p>
                          </w:txbxContent>
                        </wps:txbx>
                        <wps:bodyPr horzOverflow="overflow" vert="horz" lIns="0" tIns="0" rIns="0" bIns="0" rtlCol="0">
                          <a:noAutofit/>
                        </wps:bodyPr>
                      </wps:wsp>
                      <wps:wsp>
                        <wps:cNvPr id="200612" name="Rectangle 200612"/>
                        <wps:cNvSpPr/>
                        <wps:spPr>
                          <a:xfrm rot="-10799999">
                            <a:off x="2273526" y="3899706"/>
                            <a:ext cx="2345623" cy="142889"/>
                          </a:xfrm>
                          <a:prstGeom prst="rect">
                            <a:avLst/>
                          </a:prstGeom>
                          <a:ln>
                            <a:noFill/>
                          </a:ln>
                        </wps:spPr>
                        <wps:txbx>
                          <w:txbxContent>
                            <w:p w14:paraId="1BFB28E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613" name="Rectangle 200613"/>
                        <wps:cNvSpPr/>
                        <wps:spPr>
                          <a:xfrm rot="-10799999">
                            <a:off x="-924393" y="3899706"/>
                            <a:ext cx="2345623" cy="142889"/>
                          </a:xfrm>
                          <a:prstGeom prst="rect">
                            <a:avLst/>
                          </a:prstGeom>
                          <a:ln>
                            <a:noFill/>
                          </a:ln>
                        </wps:spPr>
                        <wps:txbx>
                          <w:txbxContent>
                            <w:p w14:paraId="2BD386C3" w14:textId="77777777" w:rsidR="00B32EF2" w:rsidRDefault="00000000">
                              <w:r>
                                <w:rPr>
                                  <w:rFonts w:ascii="Arial" w:eastAsia="Arial" w:hAnsi="Arial" w:cs="Arial"/>
                                  <w:i/>
                                  <w:sz w:val="18"/>
                                </w:rPr>
                                <w:t>1992)</w:t>
                              </w:r>
                            </w:p>
                          </w:txbxContent>
                        </wps:txbx>
                        <wps:bodyPr horzOverflow="overflow" vert="horz" lIns="0" tIns="0" rIns="0" bIns="0" rtlCol="0">
                          <a:noAutofit/>
                        </wps:bodyPr>
                      </wps:wsp>
                      <wps:wsp>
                        <wps:cNvPr id="16948" name="Rectangle 16948"/>
                        <wps:cNvSpPr/>
                        <wps:spPr>
                          <a:xfrm rot="-10799999">
                            <a:off x="1018517" y="3776377"/>
                            <a:ext cx="1566115" cy="142889"/>
                          </a:xfrm>
                          <a:prstGeom prst="rect">
                            <a:avLst/>
                          </a:prstGeom>
                          <a:ln>
                            <a:noFill/>
                          </a:ln>
                        </wps:spPr>
                        <wps:txbx>
                          <w:txbxContent>
                            <w:p w14:paraId="437B67B3" w14:textId="77777777" w:rsidR="00B32EF2" w:rsidRDefault="00000000">
                              <w:r>
                                <w:rPr>
                                  <w:rFonts w:ascii="Arial" w:eastAsia="Arial" w:hAnsi="Arial" w:cs="Arial"/>
                                  <w:b/>
                                  <w:sz w:val="18"/>
                                </w:rPr>
                                <w:t xml:space="preserve">Avviso di trattazione </w:t>
                              </w:r>
                            </w:p>
                          </w:txbxContent>
                        </wps:txbx>
                        <wps:bodyPr horzOverflow="overflow" vert="horz" lIns="0" tIns="0" rIns="0" bIns="0" rtlCol="0">
                          <a:noAutofit/>
                        </wps:bodyPr>
                      </wps:wsp>
                      <wps:wsp>
                        <wps:cNvPr id="200607" name="Rectangle 200607"/>
                        <wps:cNvSpPr/>
                        <wps:spPr>
                          <a:xfrm rot="-10799999">
                            <a:off x="2610952" y="3655675"/>
                            <a:ext cx="5309021" cy="142889"/>
                          </a:xfrm>
                          <a:prstGeom prst="rect">
                            <a:avLst/>
                          </a:prstGeom>
                          <a:ln>
                            <a:noFill/>
                          </a:ln>
                        </wps:spPr>
                        <wps:txbx>
                          <w:txbxContent>
                            <w:p w14:paraId="4CC0A94D"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610" name="Rectangle 200610"/>
                        <wps:cNvSpPr/>
                        <wps:spPr>
                          <a:xfrm rot="-10799999">
                            <a:off x="-1376425" y="3655675"/>
                            <a:ext cx="5309021" cy="142889"/>
                          </a:xfrm>
                          <a:prstGeom prst="rect">
                            <a:avLst/>
                          </a:prstGeom>
                          <a:ln>
                            <a:noFill/>
                          </a:ln>
                        </wps:spPr>
                        <wps:txbx>
                          <w:txbxContent>
                            <w:p w14:paraId="2AA68F82" w14:textId="77777777" w:rsidR="00B32EF2" w:rsidRDefault="00000000">
                              <w:r>
                                <w:rPr>
                                  <w:rFonts w:ascii="Arial" w:eastAsia="Arial" w:hAnsi="Arial" w:cs="Arial"/>
                                  <w:sz w:val="18"/>
                                </w:rPr>
                                <w:t xml:space="preserve">. La segreteria dà comunicazione alle parti costituite della data di trattazione </w:t>
                              </w:r>
                            </w:p>
                          </w:txbxContent>
                        </wps:txbx>
                        <wps:bodyPr horzOverflow="overflow" vert="horz" lIns="0" tIns="0" rIns="0" bIns="0" rtlCol="0">
                          <a:noAutofit/>
                        </wps:bodyPr>
                      </wps:wsp>
                      <wps:wsp>
                        <wps:cNvPr id="16950" name="Rectangle 16950"/>
                        <wps:cNvSpPr/>
                        <wps:spPr>
                          <a:xfrm rot="-10799999">
                            <a:off x="1788446" y="3534975"/>
                            <a:ext cx="2203333" cy="142889"/>
                          </a:xfrm>
                          <a:prstGeom prst="rect">
                            <a:avLst/>
                          </a:prstGeom>
                          <a:ln>
                            <a:noFill/>
                          </a:ln>
                        </wps:spPr>
                        <wps:txbx>
                          <w:txbxContent>
                            <w:p w14:paraId="676F49BA" w14:textId="77777777" w:rsidR="00B32EF2" w:rsidRDefault="00000000">
                              <w:r>
                                <w:rPr>
                                  <w:rFonts w:ascii="Arial" w:eastAsia="Arial" w:hAnsi="Arial" w:cs="Arial"/>
                                  <w:sz w:val="18"/>
                                </w:rPr>
                                <w:t>almeno trenta giorni liberi prima.</w:t>
                              </w:r>
                            </w:p>
                          </w:txbxContent>
                        </wps:txbx>
                        <wps:bodyPr horzOverflow="overflow" vert="horz" lIns="0" tIns="0" rIns="0" bIns="0" rtlCol="0">
                          <a:noAutofit/>
                        </wps:bodyPr>
                      </wps:wsp>
                      <wps:wsp>
                        <wps:cNvPr id="200605" name="Rectangle 200605"/>
                        <wps:cNvSpPr/>
                        <wps:spPr>
                          <a:xfrm rot="-10799999">
                            <a:off x="-1381766" y="3414274"/>
                            <a:ext cx="5308990" cy="142889"/>
                          </a:xfrm>
                          <a:prstGeom prst="rect">
                            <a:avLst/>
                          </a:prstGeom>
                          <a:ln>
                            <a:noFill/>
                          </a:ln>
                        </wps:spPr>
                        <wps:txbx>
                          <w:txbxContent>
                            <w:p w14:paraId="5BD985D9" w14:textId="77777777" w:rsidR="00B32EF2" w:rsidRDefault="00000000">
                              <w:r>
                                <w:rPr>
                                  <w:rFonts w:ascii="Arial" w:eastAsia="Arial" w:hAnsi="Arial" w:cs="Arial"/>
                                  <w:sz w:val="18"/>
                                </w:rPr>
                                <w:t xml:space="preserve">. Uguale avviso deve essere dato quando la trattazione sia stata rinviata dal </w:t>
                              </w:r>
                            </w:p>
                          </w:txbxContent>
                        </wps:txbx>
                        <wps:bodyPr horzOverflow="overflow" vert="horz" lIns="0" tIns="0" rIns="0" bIns="0" rtlCol="0">
                          <a:noAutofit/>
                        </wps:bodyPr>
                      </wps:wsp>
                      <wps:wsp>
                        <wps:cNvPr id="200604" name="Rectangle 200604"/>
                        <wps:cNvSpPr/>
                        <wps:spPr>
                          <a:xfrm rot="-10799999">
                            <a:off x="2610960" y="3414274"/>
                            <a:ext cx="5308990" cy="142889"/>
                          </a:xfrm>
                          <a:prstGeom prst="rect">
                            <a:avLst/>
                          </a:prstGeom>
                          <a:ln>
                            <a:noFill/>
                          </a:ln>
                        </wps:spPr>
                        <wps:txbx>
                          <w:txbxContent>
                            <w:p w14:paraId="28C9518D"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6952" name="Rectangle 16952"/>
                        <wps:cNvSpPr/>
                        <wps:spPr>
                          <a:xfrm rot="-10799999">
                            <a:off x="-1221058" y="3293574"/>
                            <a:ext cx="5212838" cy="142889"/>
                          </a:xfrm>
                          <a:prstGeom prst="rect">
                            <a:avLst/>
                          </a:prstGeom>
                          <a:ln>
                            <a:noFill/>
                          </a:ln>
                        </wps:spPr>
                        <wps:txbx>
                          <w:txbxContent>
                            <w:p w14:paraId="15E9121C" w14:textId="77777777" w:rsidR="00B32EF2" w:rsidRDefault="00000000">
                              <w:r>
                                <w:rPr>
                                  <w:rFonts w:ascii="Arial" w:eastAsia="Arial" w:hAnsi="Arial" w:cs="Arial"/>
                                  <w:sz w:val="18"/>
                                </w:rPr>
                                <w:t>presidente in caso di giustificato impedimento del relatore, che non possa es</w:t>
                              </w:r>
                            </w:p>
                          </w:txbxContent>
                        </wps:txbx>
                        <wps:bodyPr horzOverflow="overflow" vert="horz" lIns="0" tIns="0" rIns="0" bIns="0" rtlCol="0">
                          <a:noAutofit/>
                        </wps:bodyPr>
                      </wps:wsp>
                      <wps:wsp>
                        <wps:cNvPr id="16953" name="Rectangle 16953"/>
                        <wps:cNvSpPr/>
                        <wps:spPr>
                          <a:xfrm rot="-10799999">
                            <a:off x="19181" y="3293573"/>
                            <a:ext cx="50622" cy="142889"/>
                          </a:xfrm>
                          <a:prstGeom prst="rect">
                            <a:avLst/>
                          </a:prstGeom>
                          <a:ln>
                            <a:noFill/>
                          </a:ln>
                        </wps:spPr>
                        <wps:txbx>
                          <w:txbxContent>
                            <w:p w14:paraId="2930A6B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954" name="Rectangle 16954"/>
                        <wps:cNvSpPr/>
                        <wps:spPr>
                          <a:xfrm rot="-10799999">
                            <a:off x="-403910" y="3172872"/>
                            <a:ext cx="4395690" cy="142889"/>
                          </a:xfrm>
                          <a:prstGeom prst="rect">
                            <a:avLst/>
                          </a:prstGeom>
                          <a:ln>
                            <a:noFill/>
                          </a:ln>
                        </wps:spPr>
                        <wps:txbx>
                          <w:txbxContent>
                            <w:p w14:paraId="0E04694B" w14:textId="77777777" w:rsidR="00B32EF2" w:rsidRDefault="00000000">
                              <w:r>
                                <w:rPr>
                                  <w:rFonts w:ascii="Arial" w:eastAsia="Arial" w:hAnsi="Arial" w:cs="Arial"/>
                                  <w:sz w:val="18"/>
                                </w:rPr>
                                <w:t>sere sostituito, o di alcuna delle parti o per esigenze del servizio.</w:t>
                              </w:r>
                            </w:p>
                          </w:txbxContent>
                        </wps:txbx>
                        <wps:bodyPr horzOverflow="overflow" vert="horz" lIns="0" tIns="0" rIns="0" bIns="0" rtlCol="0">
                          <a:noAutofit/>
                        </wps:bodyPr>
                      </wps:wsp>
                      <wps:wsp>
                        <wps:cNvPr id="16955" name="Rectangle 16955"/>
                        <wps:cNvSpPr/>
                        <wps:spPr>
                          <a:xfrm rot="-10799999">
                            <a:off x="1506574" y="2931586"/>
                            <a:ext cx="810824" cy="142889"/>
                          </a:xfrm>
                          <a:prstGeom prst="rect">
                            <a:avLst/>
                          </a:prstGeom>
                          <a:ln>
                            <a:noFill/>
                          </a:ln>
                        </wps:spPr>
                        <wps:txbx>
                          <w:txbxContent>
                            <w:p w14:paraId="1B5661CB" w14:textId="77777777" w:rsidR="00B32EF2" w:rsidRDefault="00000000">
                              <w:r>
                                <w:rPr>
                                  <w:rFonts w:ascii="Arial" w:eastAsia="Arial" w:hAnsi="Arial" w:cs="Arial"/>
                                  <w:b/>
                                  <w:sz w:val="18"/>
                                </w:rPr>
                                <w:t>Articolo 80</w:t>
                              </w:r>
                            </w:p>
                          </w:txbxContent>
                        </wps:txbx>
                        <wps:bodyPr horzOverflow="overflow" vert="horz" lIns="0" tIns="0" rIns="0" bIns="0" rtlCol="0">
                          <a:noAutofit/>
                        </wps:bodyPr>
                      </wps:wsp>
                      <wps:wsp>
                        <wps:cNvPr id="200603" name="Rectangle 200603"/>
                        <wps:cNvSpPr/>
                        <wps:spPr>
                          <a:xfrm rot="-10799999">
                            <a:off x="1163180" y="2810884"/>
                            <a:ext cx="1941815" cy="142890"/>
                          </a:xfrm>
                          <a:prstGeom prst="rect">
                            <a:avLst/>
                          </a:prstGeom>
                          <a:ln>
                            <a:noFill/>
                          </a:ln>
                        </wps:spPr>
                        <wps:txbx>
                          <w:txbxContent>
                            <w:p w14:paraId="7F49A007" w14:textId="77777777" w:rsidR="00B32EF2" w:rsidRDefault="00000000">
                              <w:r>
                                <w:rPr>
                                  <w:rFonts w:ascii="Arial" w:eastAsia="Arial" w:hAnsi="Arial" w:cs="Arial"/>
                                  <w:i/>
                                  <w:sz w:val="18"/>
                                </w:rPr>
                                <w:t xml:space="preserve">articolo 32 D.lgs. n. </w:t>
                              </w:r>
                            </w:p>
                          </w:txbxContent>
                        </wps:txbx>
                        <wps:bodyPr horzOverflow="overflow" vert="horz" lIns="0" tIns="0" rIns="0" bIns="0" rtlCol="0">
                          <a:noAutofit/>
                        </wps:bodyPr>
                      </wps:wsp>
                      <wps:wsp>
                        <wps:cNvPr id="200602" name="Rectangle 200602"/>
                        <wps:cNvSpPr/>
                        <wps:spPr>
                          <a:xfrm rot="-10799999">
                            <a:off x="-261672" y="2810884"/>
                            <a:ext cx="1941814" cy="142890"/>
                          </a:xfrm>
                          <a:prstGeom prst="rect">
                            <a:avLst/>
                          </a:prstGeom>
                          <a:ln>
                            <a:noFill/>
                          </a:ln>
                        </wps:spPr>
                        <wps:txbx>
                          <w:txbxContent>
                            <w:p w14:paraId="2DF2500E"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601" name="Rectangle 200601"/>
                        <wps:cNvSpPr/>
                        <wps:spPr>
                          <a:xfrm rot="-10799999">
                            <a:off x="2221929" y="2810884"/>
                            <a:ext cx="1941815" cy="142890"/>
                          </a:xfrm>
                          <a:prstGeom prst="rect">
                            <a:avLst/>
                          </a:prstGeom>
                          <a:ln>
                            <a:noFill/>
                          </a:ln>
                        </wps:spPr>
                        <wps:txbx>
                          <w:txbxContent>
                            <w:p w14:paraId="4B1B267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957" name="Rectangle 16957"/>
                        <wps:cNvSpPr/>
                        <wps:spPr>
                          <a:xfrm rot="-10799999">
                            <a:off x="304844" y="2690183"/>
                            <a:ext cx="2709785" cy="142889"/>
                          </a:xfrm>
                          <a:prstGeom prst="rect">
                            <a:avLst/>
                          </a:prstGeom>
                          <a:ln>
                            <a:noFill/>
                          </a:ln>
                        </wps:spPr>
                        <wps:txbx>
                          <w:txbxContent>
                            <w:p w14:paraId="6E82EC75" w14:textId="77777777" w:rsidR="00B32EF2" w:rsidRDefault="00000000">
                              <w:r>
                                <w:rPr>
                                  <w:rFonts w:ascii="Arial" w:eastAsia="Arial" w:hAnsi="Arial" w:cs="Arial"/>
                                  <w:b/>
                                  <w:sz w:val="18"/>
                                </w:rPr>
                                <w:t xml:space="preserve">Deposito di documenti e di memorie </w:t>
                              </w:r>
                            </w:p>
                          </w:txbxContent>
                        </wps:txbx>
                        <wps:bodyPr horzOverflow="overflow" vert="horz" lIns="0" tIns="0" rIns="0" bIns="0" rtlCol="0">
                          <a:noAutofit/>
                        </wps:bodyPr>
                      </wps:wsp>
                      <wps:wsp>
                        <wps:cNvPr id="200600" name="Rectangle 200600"/>
                        <wps:cNvSpPr/>
                        <wps:spPr>
                          <a:xfrm rot="-10799999">
                            <a:off x="-1376410" y="2569482"/>
                            <a:ext cx="5309005" cy="142889"/>
                          </a:xfrm>
                          <a:prstGeom prst="rect">
                            <a:avLst/>
                          </a:prstGeom>
                          <a:ln>
                            <a:noFill/>
                          </a:ln>
                        </wps:spPr>
                        <wps:txbx>
                          <w:txbxContent>
                            <w:p w14:paraId="7B6308EF" w14:textId="77777777" w:rsidR="00B32EF2" w:rsidRDefault="00000000">
                              <w:r>
                                <w:rPr>
                                  <w:rFonts w:ascii="Arial" w:eastAsia="Arial" w:hAnsi="Arial" w:cs="Arial"/>
                                  <w:sz w:val="18"/>
                                </w:rPr>
                                <w:t xml:space="preserve">. Le parti possono depositare documenti fino a venti giorni liberi prima della </w:t>
                              </w:r>
                            </w:p>
                          </w:txbxContent>
                        </wps:txbx>
                        <wps:bodyPr horzOverflow="overflow" vert="horz" lIns="0" tIns="0" rIns="0" bIns="0" rtlCol="0">
                          <a:noAutofit/>
                        </wps:bodyPr>
                      </wps:wsp>
                      <wps:wsp>
                        <wps:cNvPr id="200599" name="Rectangle 200599"/>
                        <wps:cNvSpPr/>
                        <wps:spPr>
                          <a:xfrm rot="-10799999">
                            <a:off x="2610956" y="2569483"/>
                            <a:ext cx="5309005" cy="142889"/>
                          </a:xfrm>
                          <a:prstGeom prst="rect">
                            <a:avLst/>
                          </a:prstGeom>
                          <a:ln>
                            <a:noFill/>
                          </a:ln>
                        </wps:spPr>
                        <wps:txbx>
                          <w:txbxContent>
                            <w:p w14:paraId="2E318D78"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6959" name="Rectangle 16959"/>
                        <wps:cNvSpPr/>
                        <wps:spPr>
                          <a:xfrm rot="-10799999">
                            <a:off x="475884" y="2448782"/>
                            <a:ext cx="3515896" cy="142889"/>
                          </a:xfrm>
                          <a:prstGeom prst="rect">
                            <a:avLst/>
                          </a:prstGeom>
                          <a:ln>
                            <a:noFill/>
                          </a:ln>
                        </wps:spPr>
                        <wps:txbx>
                          <w:txbxContent>
                            <w:p w14:paraId="14C1B794" w14:textId="77777777" w:rsidR="00B32EF2" w:rsidRDefault="00000000">
                              <w:r>
                                <w:rPr>
                                  <w:rFonts w:ascii="Arial" w:eastAsia="Arial" w:hAnsi="Arial" w:cs="Arial"/>
                                  <w:sz w:val="18"/>
                                </w:rPr>
                                <w:t>data di trattazione osservato l’articolo 70, comma 1.</w:t>
                              </w:r>
                            </w:p>
                          </w:txbxContent>
                        </wps:txbx>
                        <wps:bodyPr horzOverflow="overflow" vert="horz" lIns="0" tIns="0" rIns="0" bIns="0" rtlCol="0">
                          <a:noAutofit/>
                        </wps:bodyPr>
                      </wps:wsp>
                      <wps:wsp>
                        <wps:cNvPr id="200598" name="Rectangle 200598"/>
                        <wps:cNvSpPr/>
                        <wps:spPr>
                          <a:xfrm rot="-10799999">
                            <a:off x="-1381751" y="2328081"/>
                            <a:ext cx="5308975" cy="142889"/>
                          </a:xfrm>
                          <a:prstGeom prst="rect">
                            <a:avLst/>
                          </a:prstGeom>
                          <a:ln>
                            <a:noFill/>
                          </a:ln>
                        </wps:spPr>
                        <wps:txbx>
                          <w:txbxContent>
                            <w:p w14:paraId="7EE55679" w14:textId="77777777" w:rsidR="00B32EF2" w:rsidRDefault="00000000">
                              <w:r>
                                <w:rPr>
                                  <w:rFonts w:ascii="Arial" w:eastAsia="Arial" w:hAnsi="Arial" w:cs="Arial"/>
                                  <w:sz w:val="18"/>
                                </w:rPr>
                                <w:t xml:space="preserve">. Fino a dieci giorni liberi prima della data di cui al comma 1 ciascuna delle </w:t>
                              </w:r>
                            </w:p>
                          </w:txbxContent>
                        </wps:txbx>
                        <wps:bodyPr horzOverflow="overflow" vert="horz" lIns="0" tIns="0" rIns="0" bIns="0" rtlCol="0">
                          <a:noAutofit/>
                        </wps:bodyPr>
                      </wps:wsp>
                      <wps:wsp>
                        <wps:cNvPr id="200597" name="Rectangle 200597"/>
                        <wps:cNvSpPr/>
                        <wps:spPr>
                          <a:xfrm rot="-10799999">
                            <a:off x="2610964" y="2328081"/>
                            <a:ext cx="5308975" cy="142889"/>
                          </a:xfrm>
                          <a:prstGeom prst="rect">
                            <a:avLst/>
                          </a:prstGeom>
                          <a:ln>
                            <a:noFill/>
                          </a:ln>
                        </wps:spPr>
                        <wps:txbx>
                          <w:txbxContent>
                            <w:p w14:paraId="328C64BE"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6961" name="Rectangle 16961"/>
                        <wps:cNvSpPr/>
                        <wps:spPr>
                          <a:xfrm rot="-10799999">
                            <a:off x="-769470" y="2207380"/>
                            <a:ext cx="4761250" cy="142889"/>
                          </a:xfrm>
                          <a:prstGeom prst="rect">
                            <a:avLst/>
                          </a:prstGeom>
                          <a:ln>
                            <a:noFill/>
                          </a:ln>
                        </wps:spPr>
                        <wps:txbx>
                          <w:txbxContent>
                            <w:p w14:paraId="0A15845F" w14:textId="77777777" w:rsidR="00B32EF2" w:rsidRDefault="00000000">
                              <w:r>
                                <w:rPr>
                                  <w:rFonts w:ascii="Arial" w:eastAsia="Arial" w:hAnsi="Arial" w:cs="Arial"/>
                                  <w:sz w:val="18"/>
                                </w:rPr>
                                <w:t>parti può depositare memorie illustrative con le copie per le altre parti.</w:t>
                              </w:r>
                            </w:p>
                          </w:txbxContent>
                        </wps:txbx>
                        <wps:bodyPr horzOverflow="overflow" vert="horz" lIns="0" tIns="0" rIns="0" bIns="0" rtlCol="0">
                          <a:noAutofit/>
                        </wps:bodyPr>
                      </wps:wsp>
                      <wps:wsp>
                        <wps:cNvPr id="200596" name="Rectangle 200596"/>
                        <wps:cNvSpPr/>
                        <wps:spPr>
                          <a:xfrm rot="-10799999">
                            <a:off x="-1381763" y="2086679"/>
                            <a:ext cx="5309021" cy="142889"/>
                          </a:xfrm>
                          <a:prstGeom prst="rect">
                            <a:avLst/>
                          </a:prstGeom>
                          <a:ln>
                            <a:noFill/>
                          </a:ln>
                        </wps:spPr>
                        <wps:txbx>
                          <w:txbxContent>
                            <w:p w14:paraId="3C3019B2" w14:textId="77777777" w:rsidR="00B32EF2" w:rsidRDefault="00000000">
                              <w:r>
                                <w:rPr>
                                  <w:rFonts w:ascii="Arial" w:eastAsia="Arial" w:hAnsi="Arial" w:cs="Arial"/>
                                  <w:sz w:val="18"/>
                                </w:rPr>
                                <w:t xml:space="preserve">. Nel solo caso di trattazione della controversia in camera di consiglio sono </w:t>
                              </w:r>
                            </w:p>
                          </w:txbxContent>
                        </wps:txbx>
                        <wps:bodyPr horzOverflow="overflow" vert="horz" lIns="0" tIns="0" rIns="0" bIns="0" rtlCol="0">
                          <a:noAutofit/>
                        </wps:bodyPr>
                      </wps:wsp>
                      <wps:wsp>
                        <wps:cNvPr id="200595" name="Rectangle 200595"/>
                        <wps:cNvSpPr/>
                        <wps:spPr>
                          <a:xfrm rot="-10799999">
                            <a:off x="2610952" y="2086680"/>
                            <a:ext cx="5309021" cy="142889"/>
                          </a:xfrm>
                          <a:prstGeom prst="rect">
                            <a:avLst/>
                          </a:prstGeom>
                          <a:ln>
                            <a:noFill/>
                          </a:ln>
                        </wps:spPr>
                        <wps:txbx>
                          <w:txbxContent>
                            <w:p w14:paraId="4102FC43"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6963" name="Rectangle 16963"/>
                        <wps:cNvSpPr/>
                        <wps:spPr>
                          <a:xfrm rot="-10799999">
                            <a:off x="-1317256" y="1965979"/>
                            <a:ext cx="5309036" cy="142889"/>
                          </a:xfrm>
                          <a:prstGeom prst="rect">
                            <a:avLst/>
                          </a:prstGeom>
                          <a:ln>
                            <a:noFill/>
                          </a:ln>
                        </wps:spPr>
                        <wps:txbx>
                          <w:txbxContent>
                            <w:p w14:paraId="192DC294" w14:textId="77777777" w:rsidR="00B32EF2" w:rsidRDefault="00000000">
                              <w:r>
                                <w:rPr>
                                  <w:rFonts w:ascii="Arial" w:eastAsia="Arial" w:hAnsi="Arial" w:cs="Arial"/>
                                  <w:sz w:val="18"/>
                                </w:rPr>
                                <w:t xml:space="preserve">consentite brevi repliche scritte fino a cinque giorni liberi prima della data della </w:t>
                              </w:r>
                            </w:p>
                          </w:txbxContent>
                        </wps:txbx>
                        <wps:bodyPr horzOverflow="overflow" vert="horz" lIns="0" tIns="0" rIns="0" bIns="0" rtlCol="0">
                          <a:noAutofit/>
                        </wps:bodyPr>
                      </wps:wsp>
                      <wps:wsp>
                        <wps:cNvPr id="16964" name="Rectangle 16964"/>
                        <wps:cNvSpPr/>
                        <wps:spPr>
                          <a:xfrm rot="-10799999">
                            <a:off x="2630161" y="1845278"/>
                            <a:ext cx="1361619" cy="142889"/>
                          </a:xfrm>
                          <a:prstGeom prst="rect">
                            <a:avLst/>
                          </a:prstGeom>
                          <a:ln>
                            <a:noFill/>
                          </a:ln>
                        </wps:spPr>
                        <wps:txbx>
                          <w:txbxContent>
                            <w:p w14:paraId="71A5104B" w14:textId="77777777" w:rsidR="00B32EF2" w:rsidRDefault="00000000">
                              <w:r>
                                <w:rPr>
                                  <w:rFonts w:ascii="Arial" w:eastAsia="Arial" w:hAnsi="Arial" w:cs="Arial"/>
                                  <w:sz w:val="18"/>
                                </w:rPr>
                                <w:t>camera di consiglio.</w:t>
                              </w:r>
                            </w:p>
                          </w:txbxContent>
                        </wps:txbx>
                        <wps:bodyPr horzOverflow="overflow" vert="horz" lIns="0" tIns="0" rIns="0" bIns="0" rtlCol="0">
                          <a:noAutofit/>
                        </wps:bodyPr>
                      </wps:wsp>
                      <wps:wsp>
                        <wps:cNvPr id="16965" name="Rectangle 16965"/>
                        <wps:cNvSpPr/>
                        <wps:spPr>
                          <a:xfrm rot="-10799999">
                            <a:off x="1509755" y="1603991"/>
                            <a:ext cx="805701" cy="142889"/>
                          </a:xfrm>
                          <a:prstGeom prst="rect">
                            <a:avLst/>
                          </a:prstGeom>
                          <a:ln>
                            <a:noFill/>
                          </a:ln>
                        </wps:spPr>
                        <wps:txbx>
                          <w:txbxContent>
                            <w:p w14:paraId="11589E11" w14:textId="77777777" w:rsidR="00B32EF2" w:rsidRDefault="00000000">
                              <w:r>
                                <w:rPr>
                                  <w:rFonts w:ascii="Arial" w:eastAsia="Arial" w:hAnsi="Arial" w:cs="Arial"/>
                                  <w:b/>
                                  <w:sz w:val="18"/>
                                </w:rPr>
                                <w:t>Articolo 81</w:t>
                              </w:r>
                            </w:p>
                          </w:txbxContent>
                        </wps:txbx>
                        <wps:bodyPr horzOverflow="overflow" vert="horz" lIns="0" tIns="0" rIns="0" bIns="0" rtlCol="0">
                          <a:noAutofit/>
                        </wps:bodyPr>
                      </wps:wsp>
                      <wps:wsp>
                        <wps:cNvPr id="200588" name="Rectangle 200588"/>
                        <wps:cNvSpPr/>
                        <wps:spPr>
                          <a:xfrm rot="-10799999">
                            <a:off x="2222219" y="1483290"/>
                            <a:ext cx="1943867" cy="142889"/>
                          </a:xfrm>
                          <a:prstGeom prst="rect">
                            <a:avLst/>
                          </a:prstGeom>
                          <a:ln>
                            <a:noFill/>
                          </a:ln>
                        </wps:spPr>
                        <wps:txbx>
                          <w:txbxContent>
                            <w:p w14:paraId="1EA8BBD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592" name="Rectangle 200592"/>
                        <wps:cNvSpPr/>
                        <wps:spPr>
                          <a:xfrm rot="-10799999">
                            <a:off x="-264468" y="1483290"/>
                            <a:ext cx="1943867" cy="142889"/>
                          </a:xfrm>
                          <a:prstGeom prst="rect">
                            <a:avLst/>
                          </a:prstGeom>
                          <a:ln>
                            <a:noFill/>
                          </a:ln>
                        </wps:spPr>
                        <wps:txbx>
                          <w:txbxContent>
                            <w:p w14:paraId="4B2322DE"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594" name="Rectangle 200594"/>
                        <wps:cNvSpPr/>
                        <wps:spPr>
                          <a:xfrm rot="-10799999">
                            <a:off x="1161927" y="1483290"/>
                            <a:ext cx="1943867" cy="142889"/>
                          </a:xfrm>
                          <a:prstGeom prst="rect">
                            <a:avLst/>
                          </a:prstGeom>
                          <a:ln>
                            <a:noFill/>
                          </a:ln>
                        </wps:spPr>
                        <wps:txbx>
                          <w:txbxContent>
                            <w:p w14:paraId="1EA294FE" w14:textId="77777777" w:rsidR="00B32EF2" w:rsidRDefault="00000000">
                              <w:r>
                                <w:rPr>
                                  <w:rFonts w:ascii="Arial" w:eastAsia="Arial" w:hAnsi="Arial" w:cs="Arial"/>
                                  <w:i/>
                                  <w:sz w:val="18"/>
                                </w:rPr>
                                <w:t xml:space="preserve">articolo 33 D.lgs. n. </w:t>
                              </w:r>
                            </w:p>
                          </w:txbxContent>
                        </wps:txbx>
                        <wps:bodyPr horzOverflow="overflow" vert="horz" lIns="0" tIns="0" rIns="0" bIns="0" rtlCol="0">
                          <a:noAutofit/>
                        </wps:bodyPr>
                      </wps:wsp>
                      <wps:wsp>
                        <wps:cNvPr id="16967" name="Rectangle 16967"/>
                        <wps:cNvSpPr/>
                        <wps:spPr>
                          <a:xfrm rot="-10799999">
                            <a:off x="412774" y="1362589"/>
                            <a:ext cx="2536818" cy="142889"/>
                          </a:xfrm>
                          <a:prstGeom prst="rect">
                            <a:avLst/>
                          </a:prstGeom>
                          <a:ln>
                            <a:noFill/>
                          </a:ln>
                        </wps:spPr>
                        <wps:txbx>
                          <w:txbxContent>
                            <w:p w14:paraId="079EB51B" w14:textId="77777777" w:rsidR="00B32EF2" w:rsidRDefault="00000000">
                              <w:r>
                                <w:rPr>
                                  <w:rFonts w:ascii="Arial" w:eastAsia="Arial" w:hAnsi="Arial" w:cs="Arial"/>
                                  <w:b/>
                                  <w:sz w:val="18"/>
                                </w:rPr>
                                <w:t xml:space="preserve">Trattazione in camera di consiglio </w:t>
                              </w:r>
                            </w:p>
                          </w:txbxContent>
                        </wps:txbx>
                        <wps:bodyPr horzOverflow="overflow" vert="horz" lIns="0" tIns="0" rIns="0" bIns="0" rtlCol="0">
                          <a:noAutofit/>
                        </wps:bodyPr>
                      </wps:wsp>
                      <wps:wsp>
                        <wps:cNvPr id="200586" name="Rectangle 200586"/>
                        <wps:cNvSpPr/>
                        <wps:spPr>
                          <a:xfrm rot="-10799999">
                            <a:off x="-1376440" y="1241888"/>
                            <a:ext cx="5309035" cy="142889"/>
                          </a:xfrm>
                          <a:prstGeom prst="rect">
                            <a:avLst/>
                          </a:prstGeom>
                          <a:ln>
                            <a:noFill/>
                          </a:ln>
                        </wps:spPr>
                        <wps:txbx>
                          <w:txbxContent>
                            <w:p w14:paraId="1E54273D" w14:textId="77777777" w:rsidR="00B32EF2" w:rsidRDefault="00000000">
                              <w:r>
                                <w:rPr>
                                  <w:rFonts w:ascii="Arial" w:eastAsia="Arial" w:hAnsi="Arial" w:cs="Arial"/>
                                  <w:sz w:val="18"/>
                                </w:rPr>
                                <w:t xml:space="preserve">. La controversia è trattata in camera di consiglio salvo che almeno una delle </w:t>
                              </w:r>
                            </w:p>
                          </w:txbxContent>
                        </wps:txbx>
                        <wps:bodyPr horzOverflow="overflow" vert="horz" lIns="0" tIns="0" rIns="0" bIns="0" rtlCol="0">
                          <a:noAutofit/>
                        </wps:bodyPr>
                      </wps:wsp>
                      <wps:wsp>
                        <wps:cNvPr id="200583" name="Rectangle 200583"/>
                        <wps:cNvSpPr/>
                        <wps:spPr>
                          <a:xfrm rot="-10799999">
                            <a:off x="2610948" y="1241889"/>
                            <a:ext cx="5309037" cy="142889"/>
                          </a:xfrm>
                          <a:prstGeom prst="rect">
                            <a:avLst/>
                          </a:prstGeom>
                          <a:ln>
                            <a:noFill/>
                          </a:ln>
                        </wps:spPr>
                        <wps:txbx>
                          <w:txbxContent>
                            <w:p w14:paraId="3AE46CFD"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6969" name="Rectangle 16969"/>
                        <wps:cNvSpPr/>
                        <wps:spPr>
                          <a:xfrm rot="-10799999">
                            <a:off x="-1317626" y="1121188"/>
                            <a:ext cx="5310435" cy="142889"/>
                          </a:xfrm>
                          <a:prstGeom prst="rect">
                            <a:avLst/>
                          </a:prstGeom>
                          <a:ln>
                            <a:noFill/>
                          </a:ln>
                        </wps:spPr>
                        <wps:txbx>
                          <w:txbxContent>
                            <w:p w14:paraId="7B3C736F" w14:textId="77777777" w:rsidR="00B32EF2" w:rsidRDefault="00000000">
                              <w:r>
                                <w:rPr>
                                  <w:rFonts w:ascii="Arial" w:eastAsia="Arial" w:hAnsi="Arial" w:cs="Arial"/>
                                  <w:sz w:val="18"/>
                                </w:rPr>
                                <w:t xml:space="preserve">parti non chieda la discussione in pubblica udienza, in presenza o da remoto, </w:t>
                              </w:r>
                            </w:p>
                          </w:txbxContent>
                        </wps:txbx>
                        <wps:bodyPr horzOverflow="overflow" vert="horz" lIns="0" tIns="0" rIns="0" bIns="0" rtlCol="0">
                          <a:noAutofit/>
                        </wps:bodyPr>
                      </wps:wsp>
                      <wps:wsp>
                        <wps:cNvPr id="16970" name="Rectangle 16970"/>
                        <wps:cNvSpPr/>
                        <wps:spPr>
                          <a:xfrm rot="-10799999">
                            <a:off x="-1317226" y="1000487"/>
                            <a:ext cx="5309006" cy="142889"/>
                          </a:xfrm>
                          <a:prstGeom prst="rect">
                            <a:avLst/>
                          </a:prstGeom>
                          <a:ln>
                            <a:noFill/>
                          </a:ln>
                        </wps:spPr>
                        <wps:txbx>
                          <w:txbxContent>
                            <w:p w14:paraId="0C622561" w14:textId="77777777" w:rsidR="00B32EF2" w:rsidRDefault="00000000">
                              <w:r>
                                <w:rPr>
                                  <w:rFonts w:ascii="Arial" w:eastAsia="Arial" w:hAnsi="Arial" w:cs="Arial"/>
                                  <w:sz w:val="18"/>
                                </w:rPr>
                                <w:t xml:space="preserve">con apposita istanza da notificare alle altre parti costituite entro il termine di cui </w:t>
                              </w:r>
                            </w:p>
                          </w:txbxContent>
                        </wps:txbx>
                        <wps:bodyPr horzOverflow="overflow" vert="horz" lIns="0" tIns="0" rIns="0" bIns="0" rtlCol="0">
                          <a:noAutofit/>
                        </wps:bodyPr>
                      </wps:wsp>
                      <wps:wsp>
                        <wps:cNvPr id="16971" name="Rectangle 16971"/>
                        <wps:cNvSpPr/>
                        <wps:spPr>
                          <a:xfrm rot="-10799999">
                            <a:off x="-1218732" y="879786"/>
                            <a:ext cx="5210512" cy="142889"/>
                          </a:xfrm>
                          <a:prstGeom prst="rect">
                            <a:avLst/>
                          </a:prstGeom>
                          <a:ln>
                            <a:noFill/>
                          </a:ln>
                        </wps:spPr>
                        <wps:txbx>
                          <w:txbxContent>
                            <w:p w14:paraId="47834098" w14:textId="77777777" w:rsidR="00B32EF2" w:rsidRDefault="00000000">
                              <w:r>
                                <w:rPr>
                                  <w:rFonts w:ascii="Arial" w:eastAsia="Arial" w:hAnsi="Arial" w:cs="Arial"/>
                                  <w:sz w:val="18"/>
                                </w:rPr>
                                <w:t>all’articolo 80, comma 2, e da depositare nella segreteria unitamente alla pro</w:t>
                              </w:r>
                            </w:p>
                          </w:txbxContent>
                        </wps:txbx>
                        <wps:bodyPr horzOverflow="overflow" vert="horz" lIns="0" tIns="0" rIns="0" bIns="0" rtlCol="0">
                          <a:noAutofit/>
                        </wps:bodyPr>
                      </wps:wsp>
                      <wps:wsp>
                        <wps:cNvPr id="16972" name="Rectangle 16972"/>
                        <wps:cNvSpPr/>
                        <wps:spPr>
                          <a:xfrm rot="-10799999">
                            <a:off x="19181" y="879786"/>
                            <a:ext cx="50622" cy="142889"/>
                          </a:xfrm>
                          <a:prstGeom prst="rect">
                            <a:avLst/>
                          </a:prstGeom>
                          <a:ln>
                            <a:noFill/>
                          </a:ln>
                        </wps:spPr>
                        <wps:txbx>
                          <w:txbxContent>
                            <w:p w14:paraId="0C39B96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973" name="Rectangle 16973"/>
                        <wps:cNvSpPr/>
                        <wps:spPr>
                          <a:xfrm rot="-10799999">
                            <a:off x="-1317225" y="759085"/>
                            <a:ext cx="5309005" cy="142889"/>
                          </a:xfrm>
                          <a:prstGeom prst="rect">
                            <a:avLst/>
                          </a:prstGeom>
                          <a:ln>
                            <a:noFill/>
                          </a:ln>
                        </wps:spPr>
                        <wps:txbx>
                          <w:txbxContent>
                            <w:p w14:paraId="39081741" w14:textId="77777777" w:rsidR="00B32EF2" w:rsidRDefault="00000000">
                              <w:r>
                                <w:rPr>
                                  <w:rFonts w:ascii="Arial" w:eastAsia="Arial" w:hAnsi="Arial" w:cs="Arial"/>
                                  <w:sz w:val="18"/>
                                </w:rPr>
                                <w:t xml:space="preserve">va della notificazione. Se una parte chiede la discussione in pubblica udienza </w:t>
                              </w:r>
                            </w:p>
                          </w:txbxContent>
                        </wps:txbx>
                        <wps:bodyPr horzOverflow="overflow" vert="horz" lIns="0" tIns="0" rIns="0" bIns="0" rtlCol="0">
                          <a:noAutofit/>
                        </wps:bodyPr>
                      </wps:wsp>
                      <wps:wsp>
                        <wps:cNvPr id="16974" name="Rectangle 16974"/>
                        <wps:cNvSpPr/>
                        <wps:spPr>
                          <a:xfrm rot="-10799999">
                            <a:off x="-1221323" y="638385"/>
                            <a:ext cx="5213675" cy="142889"/>
                          </a:xfrm>
                          <a:prstGeom prst="rect">
                            <a:avLst/>
                          </a:prstGeom>
                          <a:ln>
                            <a:noFill/>
                          </a:ln>
                        </wps:spPr>
                        <wps:txbx>
                          <w:txbxContent>
                            <w:p w14:paraId="33E19708" w14:textId="77777777" w:rsidR="00B32EF2" w:rsidRDefault="00000000">
                              <w:r>
                                <w:rPr>
                                  <w:rFonts w:ascii="Arial" w:eastAsia="Arial" w:hAnsi="Arial" w:cs="Arial"/>
                                  <w:sz w:val="18"/>
                                </w:rPr>
                                <w:t>e in presenza e un’altra parte chiede invece di discutere da remoto, la discus</w:t>
                              </w:r>
                            </w:p>
                          </w:txbxContent>
                        </wps:txbx>
                        <wps:bodyPr horzOverflow="overflow" vert="horz" lIns="0" tIns="0" rIns="0" bIns="0" rtlCol="0">
                          <a:noAutofit/>
                        </wps:bodyPr>
                      </wps:wsp>
                      <wps:wsp>
                        <wps:cNvPr id="16975" name="Rectangle 16975"/>
                        <wps:cNvSpPr/>
                        <wps:spPr>
                          <a:xfrm rot="-10799999">
                            <a:off x="19181" y="638385"/>
                            <a:ext cx="50622" cy="142889"/>
                          </a:xfrm>
                          <a:prstGeom prst="rect">
                            <a:avLst/>
                          </a:prstGeom>
                          <a:ln>
                            <a:noFill/>
                          </a:ln>
                        </wps:spPr>
                        <wps:txbx>
                          <w:txbxContent>
                            <w:p w14:paraId="7647805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6976" name="Rectangle 16976"/>
                        <wps:cNvSpPr/>
                        <wps:spPr>
                          <a:xfrm rot="-10799999">
                            <a:off x="-1317256" y="517684"/>
                            <a:ext cx="5309036" cy="142889"/>
                          </a:xfrm>
                          <a:prstGeom prst="rect">
                            <a:avLst/>
                          </a:prstGeom>
                          <a:ln>
                            <a:noFill/>
                          </a:ln>
                        </wps:spPr>
                        <wps:txbx>
                          <w:txbxContent>
                            <w:p w14:paraId="5EEF8395" w14:textId="77777777" w:rsidR="00B32EF2" w:rsidRDefault="00000000">
                              <w:r>
                                <w:rPr>
                                  <w:rFonts w:ascii="Arial" w:eastAsia="Arial" w:hAnsi="Arial" w:cs="Arial"/>
                                  <w:sz w:val="18"/>
                                </w:rPr>
                                <w:t xml:space="preserve">sione avviene in presenza, fermo il diritto, per chi lo ha chiesto, di discutere da </w:t>
                              </w:r>
                            </w:p>
                          </w:txbxContent>
                        </wps:txbx>
                        <wps:bodyPr horzOverflow="overflow" vert="horz" lIns="0" tIns="0" rIns="0" bIns="0" rtlCol="0">
                          <a:noAutofit/>
                        </wps:bodyPr>
                      </wps:wsp>
                      <wps:wsp>
                        <wps:cNvPr id="207854" name="Shape 207854"/>
                        <wps:cNvSpPr/>
                        <wps:spPr>
                          <a:xfrm>
                            <a:off x="31768" y="4397202"/>
                            <a:ext cx="3960000" cy="1859305"/>
                          </a:xfrm>
                          <a:custGeom>
                            <a:avLst/>
                            <a:gdLst/>
                            <a:ahLst/>
                            <a:cxnLst/>
                            <a:rect l="0" t="0" r="0" b="0"/>
                            <a:pathLst>
                              <a:path w="3960000" h="1859305">
                                <a:moveTo>
                                  <a:pt x="0" y="0"/>
                                </a:moveTo>
                                <a:lnTo>
                                  <a:pt x="3960000" y="0"/>
                                </a:lnTo>
                                <a:lnTo>
                                  <a:pt x="3960000" y="1859305"/>
                                </a:lnTo>
                                <a:lnTo>
                                  <a:pt x="0" y="1859305"/>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200620" name="Rectangle 200620"/>
                        <wps:cNvSpPr/>
                        <wps:spPr>
                          <a:xfrm rot="-10799999">
                            <a:off x="-1300049" y="6035263"/>
                            <a:ext cx="5094218" cy="142891"/>
                          </a:xfrm>
                          <a:prstGeom prst="rect">
                            <a:avLst/>
                          </a:prstGeom>
                          <a:ln>
                            <a:noFill/>
                          </a:ln>
                        </wps:spPr>
                        <wps:txbx>
                          <w:txbxContent>
                            <w:p w14:paraId="4EA7DF02" w14:textId="77777777" w:rsidR="00B32EF2" w:rsidRDefault="00000000">
                              <w:r>
                                <w:rPr>
                                  <w:rFonts w:ascii="Arial" w:eastAsia="Arial" w:hAnsi="Arial" w:cs="Arial"/>
                                  <w:i/>
                                  <w:sz w:val="18"/>
                                </w:rPr>
                                <w:t xml:space="preserve">. I soggetti diversi da quelli cui sono applicate le disposizioni del presente </w:t>
                              </w:r>
                            </w:p>
                          </w:txbxContent>
                        </wps:txbx>
                        <wps:bodyPr horzOverflow="overflow" vert="horz" lIns="0" tIns="0" rIns="0" bIns="0" rtlCol="0">
                          <a:noAutofit/>
                        </wps:bodyPr>
                      </wps:wsp>
                      <wps:wsp>
                        <wps:cNvPr id="200619" name="Rectangle 200619"/>
                        <wps:cNvSpPr/>
                        <wps:spPr>
                          <a:xfrm rot="-10799999">
                            <a:off x="2530509" y="6035263"/>
                            <a:ext cx="5094219" cy="142891"/>
                          </a:xfrm>
                          <a:prstGeom prst="rect">
                            <a:avLst/>
                          </a:prstGeom>
                          <a:ln>
                            <a:noFill/>
                          </a:ln>
                        </wps:spPr>
                        <wps:txbx>
                          <w:txbxContent>
                            <w:p w14:paraId="77CFF0E2" w14:textId="77777777" w:rsidR="00B32EF2" w:rsidRDefault="00000000">
                              <w:r>
                                <w:rPr>
                                  <w:rFonts w:ascii="Arial" w:eastAsia="Arial" w:hAnsi="Arial" w:cs="Arial"/>
                                  <w:i/>
                                  <w:sz w:val="18"/>
                                </w:rPr>
                                <w:t>11</w:t>
                              </w:r>
                            </w:p>
                          </w:txbxContent>
                        </wps:txbx>
                        <wps:bodyPr horzOverflow="overflow" vert="horz" lIns="0" tIns="0" rIns="0" bIns="0" rtlCol="0">
                          <a:noAutofit/>
                        </wps:bodyPr>
                      </wps:wsp>
                      <wps:wsp>
                        <wps:cNvPr id="16979" name="Rectangle 16979"/>
                        <wps:cNvSpPr/>
                        <wps:spPr>
                          <a:xfrm rot="-10799999">
                            <a:off x="-1188673" y="5911934"/>
                            <a:ext cx="5105406" cy="142889"/>
                          </a:xfrm>
                          <a:prstGeom prst="rect">
                            <a:avLst/>
                          </a:prstGeom>
                          <a:ln>
                            <a:noFill/>
                          </a:ln>
                        </wps:spPr>
                        <wps:txbx>
                          <w:txbxContent>
                            <w:p w14:paraId="16ABF654" w14:textId="77777777" w:rsidR="00B32EF2" w:rsidRDefault="00000000">
                              <w:r>
                                <w:rPr>
                                  <w:rFonts w:ascii="Arial" w:eastAsia="Arial" w:hAnsi="Arial" w:cs="Arial"/>
                                  <w:i/>
                                  <w:sz w:val="18"/>
                                </w:rPr>
                                <w:t xml:space="preserve">articolo possono chiedere il rimborso delle imposte pagate a seguito delle </w:t>
                              </w:r>
                            </w:p>
                          </w:txbxContent>
                        </wps:txbx>
                        <wps:bodyPr horzOverflow="overflow" vert="horz" lIns="0" tIns="0" rIns="0" bIns="0" rtlCol="0">
                          <a:noAutofit/>
                        </wps:bodyPr>
                      </wps:wsp>
                      <wps:wsp>
                        <wps:cNvPr id="16980" name="Rectangle 16980"/>
                        <wps:cNvSpPr/>
                        <wps:spPr>
                          <a:xfrm rot="-10799999">
                            <a:off x="-1090424" y="5788605"/>
                            <a:ext cx="5003842" cy="142889"/>
                          </a:xfrm>
                          <a:prstGeom prst="rect">
                            <a:avLst/>
                          </a:prstGeom>
                          <a:ln>
                            <a:noFill/>
                          </a:ln>
                        </wps:spPr>
                        <wps:txbx>
                          <w:txbxContent>
                            <w:p w14:paraId="034465A2" w14:textId="77777777" w:rsidR="00B32EF2" w:rsidRDefault="00000000">
                              <w:r>
                                <w:rPr>
                                  <w:rFonts w:ascii="Arial" w:eastAsia="Arial" w:hAnsi="Arial" w:cs="Arial"/>
                                  <w:i/>
                                  <w:sz w:val="18"/>
                                </w:rPr>
                                <w:t>operazioni abusive i cui vantaggi fiscali sono stati disconosciuti dall’am</w:t>
                              </w:r>
                            </w:p>
                          </w:txbxContent>
                        </wps:txbx>
                        <wps:bodyPr horzOverflow="overflow" vert="horz" lIns="0" tIns="0" rIns="0" bIns="0" rtlCol="0">
                          <a:noAutofit/>
                        </wps:bodyPr>
                      </wps:wsp>
                      <wps:wsp>
                        <wps:cNvPr id="16981" name="Rectangle 16981"/>
                        <wps:cNvSpPr/>
                        <wps:spPr>
                          <a:xfrm rot="-10799999">
                            <a:off x="97524" y="5788605"/>
                            <a:ext cx="50622" cy="142889"/>
                          </a:xfrm>
                          <a:prstGeom prst="rect">
                            <a:avLst/>
                          </a:prstGeom>
                          <a:ln>
                            <a:noFill/>
                          </a:ln>
                        </wps:spPr>
                        <wps:txbx>
                          <w:txbxContent>
                            <w:p w14:paraId="60D1313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982" name="Rectangle 16982"/>
                        <wps:cNvSpPr/>
                        <wps:spPr>
                          <a:xfrm rot="-10799999">
                            <a:off x="-1187276" y="5665275"/>
                            <a:ext cx="5100694" cy="142889"/>
                          </a:xfrm>
                          <a:prstGeom prst="rect">
                            <a:avLst/>
                          </a:prstGeom>
                          <a:ln>
                            <a:noFill/>
                          </a:ln>
                        </wps:spPr>
                        <wps:txbx>
                          <w:txbxContent>
                            <w:p w14:paraId="084FCEE2" w14:textId="77777777" w:rsidR="00B32EF2" w:rsidRDefault="00000000">
                              <w:r>
                                <w:rPr>
                                  <w:rFonts w:ascii="Arial" w:eastAsia="Arial" w:hAnsi="Arial" w:cs="Arial"/>
                                  <w:i/>
                                  <w:sz w:val="18"/>
                                </w:rPr>
                                <w:t xml:space="preserve">ministrazione finanziaria, inoltrando a tal fine, entro un anno dal giorno in </w:t>
                              </w:r>
                            </w:p>
                          </w:txbxContent>
                        </wps:txbx>
                        <wps:bodyPr horzOverflow="overflow" vert="horz" lIns="0" tIns="0" rIns="0" bIns="0" rtlCol="0">
                          <a:noAutofit/>
                        </wps:bodyPr>
                      </wps:wsp>
                      <wps:wsp>
                        <wps:cNvPr id="16983" name="Rectangle 16983"/>
                        <wps:cNvSpPr/>
                        <wps:spPr>
                          <a:xfrm rot="-10799999">
                            <a:off x="-1187245" y="5541945"/>
                            <a:ext cx="5100663" cy="142889"/>
                          </a:xfrm>
                          <a:prstGeom prst="rect">
                            <a:avLst/>
                          </a:prstGeom>
                          <a:ln>
                            <a:noFill/>
                          </a:ln>
                        </wps:spPr>
                        <wps:txbx>
                          <w:txbxContent>
                            <w:p w14:paraId="07FC2E52" w14:textId="77777777" w:rsidR="00B32EF2" w:rsidRDefault="00000000">
                              <w:r>
                                <w:rPr>
                                  <w:rFonts w:ascii="Arial" w:eastAsia="Arial" w:hAnsi="Arial" w:cs="Arial"/>
                                  <w:i/>
                                  <w:sz w:val="18"/>
                                </w:rPr>
                                <w:t xml:space="preserve">cui l’accertamento è divenuto definitivo ovvero è stato definito mediante </w:t>
                              </w:r>
                            </w:p>
                          </w:txbxContent>
                        </wps:txbx>
                        <wps:bodyPr horzOverflow="overflow" vert="horz" lIns="0" tIns="0" rIns="0" bIns="0" rtlCol="0">
                          <a:noAutofit/>
                        </wps:bodyPr>
                      </wps:wsp>
                      <wps:wsp>
                        <wps:cNvPr id="16984" name="Rectangle 16984"/>
                        <wps:cNvSpPr/>
                        <wps:spPr>
                          <a:xfrm rot="-10799999">
                            <a:off x="-1191174" y="5418616"/>
                            <a:ext cx="5117051" cy="142889"/>
                          </a:xfrm>
                          <a:prstGeom prst="rect">
                            <a:avLst/>
                          </a:prstGeom>
                          <a:ln>
                            <a:noFill/>
                          </a:ln>
                        </wps:spPr>
                        <wps:txbx>
                          <w:txbxContent>
                            <w:p w14:paraId="6EE57B68" w14:textId="77777777" w:rsidR="00B32EF2" w:rsidRDefault="00000000">
                              <w:r>
                                <w:rPr>
                                  <w:rFonts w:ascii="Arial" w:eastAsia="Arial" w:hAnsi="Arial" w:cs="Arial"/>
                                  <w:i/>
                                  <w:sz w:val="18"/>
                                </w:rPr>
                                <w:t xml:space="preserve">adesione o conciliazione giudiziale, istanza all’Agenzia delle entrate, che </w:t>
                              </w:r>
                            </w:p>
                          </w:txbxContent>
                        </wps:txbx>
                        <wps:bodyPr horzOverflow="overflow" vert="horz" lIns="0" tIns="0" rIns="0" bIns="0" rtlCol="0">
                          <a:noAutofit/>
                        </wps:bodyPr>
                      </wps:wsp>
                      <wps:wsp>
                        <wps:cNvPr id="16985" name="Rectangle 16985"/>
                        <wps:cNvSpPr/>
                        <wps:spPr>
                          <a:xfrm rot="-10799999">
                            <a:off x="-1192069" y="5295286"/>
                            <a:ext cx="5118632" cy="142889"/>
                          </a:xfrm>
                          <a:prstGeom prst="rect">
                            <a:avLst/>
                          </a:prstGeom>
                          <a:ln>
                            <a:noFill/>
                          </a:ln>
                        </wps:spPr>
                        <wps:txbx>
                          <w:txbxContent>
                            <w:p w14:paraId="722E71A4" w14:textId="77777777" w:rsidR="00B32EF2" w:rsidRDefault="00000000">
                              <w:r>
                                <w:rPr>
                                  <w:rFonts w:ascii="Arial" w:eastAsia="Arial" w:hAnsi="Arial" w:cs="Arial"/>
                                  <w:i/>
                                  <w:sz w:val="18"/>
                                </w:rPr>
                                <w:t xml:space="preserve">provvede nei limiti dell’imposta e degli interessi effettivamente riscossi a </w:t>
                              </w:r>
                            </w:p>
                          </w:txbxContent>
                        </wps:txbx>
                        <wps:bodyPr horzOverflow="overflow" vert="horz" lIns="0" tIns="0" rIns="0" bIns="0" rtlCol="0">
                          <a:noAutofit/>
                        </wps:bodyPr>
                      </wps:wsp>
                      <wps:wsp>
                        <wps:cNvPr id="16986" name="Rectangle 16986"/>
                        <wps:cNvSpPr/>
                        <wps:spPr>
                          <a:xfrm rot="-10799999">
                            <a:off x="2234550" y="5171956"/>
                            <a:ext cx="1678868" cy="142889"/>
                          </a:xfrm>
                          <a:prstGeom prst="rect">
                            <a:avLst/>
                          </a:prstGeom>
                          <a:ln>
                            <a:noFill/>
                          </a:ln>
                        </wps:spPr>
                        <wps:txbx>
                          <w:txbxContent>
                            <w:p w14:paraId="48BAFF18" w14:textId="77777777" w:rsidR="00B32EF2" w:rsidRDefault="00000000">
                              <w:r>
                                <w:rPr>
                                  <w:rFonts w:ascii="Arial" w:eastAsia="Arial" w:hAnsi="Arial" w:cs="Arial"/>
                                  <w:i/>
                                  <w:sz w:val="18"/>
                                </w:rPr>
                                <w:t>seguito di tali procedure.</w:t>
                              </w:r>
                            </w:p>
                          </w:txbxContent>
                        </wps:txbx>
                        <wps:bodyPr horzOverflow="overflow" vert="horz" lIns="0" tIns="0" rIns="0" bIns="0" rtlCol="0">
                          <a:noAutofit/>
                        </wps:bodyPr>
                      </wps:wsp>
                      <wps:wsp>
                        <wps:cNvPr id="200617" name="Rectangle 200617"/>
                        <wps:cNvSpPr/>
                        <wps:spPr>
                          <a:xfrm rot="-10799999">
                            <a:off x="2526273" y="5048627"/>
                            <a:ext cx="5100648" cy="142889"/>
                          </a:xfrm>
                          <a:prstGeom prst="rect">
                            <a:avLst/>
                          </a:prstGeom>
                          <a:ln>
                            <a:noFill/>
                          </a:ln>
                        </wps:spPr>
                        <wps:txbx>
                          <w:txbxContent>
                            <w:p w14:paraId="4D2DC8D3" w14:textId="77777777" w:rsidR="00B32EF2" w:rsidRDefault="00000000">
                              <w:r>
                                <w:rPr>
                                  <w:rFonts w:ascii="Arial" w:eastAsia="Arial" w:hAnsi="Arial" w:cs="Arial"/>
                                  <w:i/>
                                  <w:sz w:val="18"/>
                                </w:rPr>
                                <w:t>12</w:t>
                              </w:r>
                            </w:p>
                          </w:txbxContent>
                        </wps:txbx>
                        <wps:bodyPr horzOverflow="overflow" vert="horz" lIns="0" tIns="0" rIns="0" bIns="0" rtlCol="0">
                          <a:noAutofit/>
                        </wps:bodyPr>
                      </wps:wsp>
                      <wps:wsp>
                        <wps:cNvPr id="200618" name="Rectangle 200618"/>
                        <wps:cNvSpPr/>
                        <wps:spPr>
                          <a:xfrm rot="-10799999">
                            <a:off x="-1309988" y="5048627"/>
                            <a:ext cx="5100648" cy="142889"/>
                          </a:xfrm>
                          <a:prstGeom prst="rect">
                            <a:avLst/>
                          </a:prstGeom>
                          <a:ln>
                            <a:noFill/>
                          </a:ln>
                        </wps:spPr>
                        <wps:txbx>
                          <w:txbxContent>
                            <w:p w14:paraId="32F904B4" w14:textId="77777777" w:rsidR="00B32EF2" w:rsidRDefault="00000000">
                              <w:r>
                                <w:rPr>
                                  <w:rFonts w:ascii="Arial" w:eastAsia="Arial" w:hAnsi="Arial" w:cs="Arial"/>
                                  <w:i/>
                                  <w:sz w:val="18"/>
                                </w:rPr>
                                <w:t xml:space="preserve">. In sede di accertamento l’abuso del diritto può essere configurato solo </w:t>
                              </w:r>
                            </w:p>
                          </w:txbxContent>
                        </wps:txbx>
                        <wps:bodyPr horzOverflow="overflow" vert="horz" lIns="0" tIns="0" rIns="0" bIns="0" rtlCol="0">
                          <a:noAutofit/>
                        </wps:bodyPr>
                      </wps:wsp>
                      <wps:wsp>
                        <wps:cNvPr id="16988" name="Rectangle 16988"/>
                        <wps:cNvSpPr/>
                        <wps:spPr>
                          <a:xfrm rot="-10799999">
                            <a:off x="-1090850" y="4925297"/>
                            <a:ext cx="5004268" cy="142889"/>
                          </a:xfrm>
                          <a:prstGeom prst="rect">
                            <a:avLst/>
                          </a:prstGeom>
                          <a:ln>
                            <a:noFill/>
                          </a:ln>
                        </wps:spPr>
                        <wps:txbx>
                          <w:txbxContent>
                            <w:p w14:paraId="39DC052D" w14:textId="77777777" w:rsidR="00B32EF2" w:rsidRDefault="00000000">
                              <w:r>
                                <w:rPr>
                                  <w:rFonts w:ascii="Arial" w:eastAsia="Arial" w:hAnsi="Arial" w:cs="Arial"/>
                                  <w:i/>
                                  <w:sz w:val="18"/>
                                </w:rPr>
                                <w:t>se i vantaggi fiscali non possono essere disconosciuti contestando la viola</w:t>
                              </w:r>
                            </w:p>
                          </w:txbxContent>
                        </wps:txbx>
                        <wps:bodyPr horzOverflow="overflow" vert="horz" lIns="0" tIns="0" rIns="0" bIns="0" rtlCol="0">
                          <a:noAutofit/>
                        </wps:bodyPr>
                      </wps:wsp>
                      <wps:wsp>
                        <wps:cNvPr id="16989" name="Rectangle 16989"/>
                        <wps:cNvSpPr/>
                        <wps:spPr>
                          <a:xfrm rot="-10799999">
                            <a:off x="97524" y="4925297"/>
                            <a:ext cx="50622" cy="142889"/>
                          </a:xfrm>
                          <a:prstGeom prst="rect">
                            <a:avLst/>
                          </a:prstGeom>
                          <a:ln>
                            <a:noFill/>
                          </a:ln>
                        </wps:spPr>
                        <wps:txbx>
                          <w:txbxContent>
                            <w:p w14:paraId="732A5CF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990" name="Rectangle 16990"/>
                        <wps:cNvSpPr/>
                        <wps:spPr>
                          <a:xfrm rot="-10799999">
                            <a:off x="1125540" y="4801967"/>
                            <a:ext cx="2787877" cy="142889"/>
                          </a:xfrm>
                          <a:prstGeom prst="rect">
                            <a:avLst/>
                          </a:prstGeom>
                          <a:ln>
                            <a:noFill/>
                          </a:ln>
                        </wps:spPr>
                        <wps:txbx>
                          <w:txbxContent>
                            <w:p w14:paraId="5A4ABB0D" w14:textId="77777777" w:rsidR="00B32EF2" w:rsidRDefault="00000000">
                              <w:r>
                                <w:rPr>
                                  <w:rFonts w:ascii="Arial" w:eastAsia="Arial" w:hAnsi="Arial" w:cs="Arial"/>
                                  <w:i/>
                                  <w:sz w:val="18"/>
                                </w:rPr>
                                <w:t>zione di specifiche disposizioni tributarie.</w:t>
                              </w:r>
                            </w:p>
                          </w:txbxContent>
                        </wps:txbx>
                        <wps:bodyPr horzOverflow="overflow" vert="horz" lIns="0" tIns="0" rIns="0" bIns="0" rtlCol="0">
                          <a:noAutofit/>
                        </wps:bodyPr>
                      </wps:wsp>
                      <wps:wsp>
                        <wps:cNvPr id="200615" name="Rectangle 200615"/>
                        <wps:cNvSpPr/>
                        <wps:spPr>
                          <a:xfrm rot="-10799999">
                            <a:off x="2549690" y="4678638"/>
                            <a:ext cx="5003554" cy="142889"/>
                          </a:xfrm>
                          <a:prstGeom prst="rect">
                            <a:avLst/>
                          </a:prstGeom>
                          <a:ln>
                            <a:noFill/>
                          </a:ln>
                        </wps:spPr>
                        <wps:txbx>
                          <w:txbxContent>
                            <w:p w14:paraId="37107A4A" w14:textId="77777777" w:rsidR="00B32EF2" w:rsidRDefault="00000000">
                              <w:r>
                                <w:rPr>
                                  <w:rFonts w:ascii="Arial" w:eastAsia="Arial" w:hAnsi="Arial" w:cs="Arial"/>
                                  <w:i/>
                                  <w:sz w:val="18"/>
                                </w:rPr>
                                <w:t>13</w:t>
                              </w:r>
                            </w:p>
                          </w:txbxContent>
                        </wps:txbx>
                        <wps:bodyPr horzOverflow="overflow" vert="horz" lIns="0" tIns="0" rIns="0" bIns="0" rtlCol="0">
                          <a:noAutofit/>
                        </wps:bodyPr>
                      </wps:wsp>
                      <wps:wsp>
                        <wps:cNvPr id="200616" name="Rectangle 200616"/>
                        <wps:cNvSpPr/>
                        <wps:spPr>
                          <a:xfrm rot="-10799999">
                            <a:off x="-1215168" y="4678638"/>
                            <a:ext cx="5003554" cy="142889"/>
                          </a:xfrm>
                          <a:prstGeom prst="rect">
                            <a:avLst/>
                          </a:prstGeom>
                          <a:ln>
                            <a:noFill/>
                          </a:ln>
                        </wps:spPr>
                        <wps:txbx>
                          <w:txbxContent>
                            <w:p w14:paraId="69016CF8" w14:textId="77777777" w:rsidR="00B32EF2" w:rsidRDefault="00000000">
                              <w:r>
                                <w:rPr>
                                  <w:rFonts w:ascii="Arial" w:eastAsia="Arial" w:hAnsi="Arial" w:cs="Arial"/>
                                  <w:i/>
                                  <w:sz w:val="18"/>
                                </w:rPr>
                                <w:t>. Le operazioni abusive non danno luogo a fatti punibili ai sensi delle leg</w:t>
                              </w:r>
                            </w:p>
                          </w:txbxContent>
                        </wps:txbx>
                        <wps:bodyPr horzOverflow="overflow" vert="horz" lIns="0" tIns="0" rIns="0" bIns="0" rtlCol="0">
                          <a:noAutofit/>
                        </wps:bodyPr>
                      </wps:wsp>
                      <wps:wsp>
                        <wps:cNvPr id="16992" name="Rectangle 16992"/>
                        <wps:cNvSpPr/>
                        <wps:spPr>
                          <a:xfrm rot="-10799999">
                            <a:off x="97524" y="4678638"/>
                            <a:ext cx="50622" cy="142889"/>
                          </a:xfrm>
                          <a:prstGeom prst="rect">
                            <a:avLst/>
                          </a:prstGeom>
                          <a:ln>
                            <a:noFill/>
                          </a:ln>
                        </wps:spPr>
                        <wps:txbx>
                          <w:txbxContent>
                            <w:p w14:paraId="7D50F25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6993" name="Rectangle 16993"/>
                        <wps:cNvSpPr/>
                        <wps:spPr>
                          <a:xfrm rot="-10799999">
                            <a:off x="-1185485" y="4555308"/>
                            <a:ext cx="5094218" cy="142889"/>
                          </a:xfrm>
                          <a:prstGeom prst="rect">
                            <a:avLst/>
                          </a:prstGeom>
                          <a:ln>
                            <a:noFill/>
                          </a:ln>
                        </wps:spPr>
                        <wps:txbx>
                          <w:txbxContent>
                            <w:p w14:paraId="17F85119" w14:textId="77777777" w:rsidR="00B32EF2" w:rsidRDefault="00000000">
                              <w:r>
                                <w:rPr>
                                  <w:rFonts w:ascii="Arial" w:eastAsia="Arial" w:hAnsi="Arial" w:cs="Arial"/>
                                  <w:i/>
                                  <w:sz w:val="18"/>
                                </w:rPr>
                                <w:t xml:space="preserve">gi penali tributarie. Resta ferma l’applicazione delle sanzioni amministrative </w:t>
                              </w:r>
                            </w:p>
                          </w:txbxContent>
                        </wps:txbx>
                        <wps:bodyPr horzOverflow="overflow" vert="horz" lIns="0" tIns="0" rIns="0" bIns="0" rtlCol="0">
                          <a:noAutofit/>
                        </wps:bodyPr>
                      </wps:wsp>
                      <wps:wsp>
                        <wps:cNvPr id="16994" name="Rectangle 16994"/>
                        <wps:cNvSpPr/>
                        <wps:spPr>
                          <a:xfrm rot="-10799999">
                            <a:off x="3268335" y="4431978"/>
                            <a:ext cx="646111" cy="142889"/>
                          </a:xfrm>
                          <a:prstGeom prst="rect">
                            <a:avLst/>
                          </a:prstGeom>
                          <a:ln>
                            <a:noFill/>
                          </a:ln>
                        </wps:spPr>
                        <wps:txbx>
                          <w:txbxContent>
                            <w:p w14:paraId="75E061B6" w14:textId="77777777" w:rsidR="00B32EF2" w:rsidRDefault="00000000">
                              <w:r>
                                <w:rPr>
                                  <w:rFonts w:ascii="Arial" w:eastAsia="Arial" w:hAnsi="Arial" w:cs="Arial"/>
                                  <w:i/>
                                  <w:sz w:val="18"/>
                                </w:rPr>
                                <w:t>tributarie.</w:t>
                              </w:r>
                            </w:p>
                          </w:txbxContent>
                        </wps:txbx>
                        <wps:bodyPr horzOverflow="overflow" vert="horz" lIns="0" tIns="0" rIns="0" bIns="0" rtlCol="0">
                          <a:noAutofit/>
                        </wps:bodyPr>
                      </wps:wsp>
                      <wps:wsp>
                        <wps:cNvPr id="16995" name="Shape 16995"/>
                        <wps:cNvSpPr/>
                        <wps:spPr>
                          <a:xfrm>
                            <a:off x="31767" y="4397205"/>
                            <a:ext cx="3960000" cy="1859305"/>
                          </a:xfrm>
                          <a:custGeom>
                            <a:avLst/>
                            <a:gdLst/>
                            <a:ahLst/>
                            <a:cxnLst/>
                            <a:rect l="0" t="0" r="0" b="0"/>
                            <a:pathLst>
                              <a:path w="3960000" h="1859305">
                                <a:moveTo>
                                  <a:pt x="0" y="1859305"/>
                                </a:moveTo>
                                <a:lnTo>
                                  <a:pt x="3960000" y="1859305"/>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AB8CCA" id="Group 200722" o:spid="_x0000_s2917" style="width:314.3pt;height:492.65pt;mso-position-horizontal-relative:char;mso-position-vertical-relative:line" coordsize="39917,6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ad0QQwAAIuEAAAOAAAAZHJzL2Uyb0RvYy54bWzkXW1v47gR/l6g/8Hw92z4IlGSsdlDsdtb&#10;FCh6h3v5AYojvwCyZcjeTba/vs+QFGUrzN1Cak2jTIDEpiRa4sOZeWY4HL//4WVXz75W7XHb7B/m&#10;/B2bz6r9snna7tcP899/+/Eun8+Op3L/VNbNvnqYf6uO8x8+/PUv758Pi0o0m6Z+qtoZOtkfF8+H&#10;h/nmdDos7u+Py021K4/vmkO1x8FV0+7KE9626/untnxG77v6XjCm7p+b9unQNsvqeETrJ3Nw/kH3&#10;v1pVy9NPq9WxOs3qhznu7aT/tvrvI/29//C+XKzb8rDZLu1tlCPuYldu9/hQ19Wn8lTOvrTbV13t&#10;tsu2OTar07tls7tvVqvtstLPgKfhbPA0n9vmy0E/y3rxvD64YcLQDsZpdLfLf3393B5+PfzcYiSe&#10;D2uMhX5Hz/Kyanf0H3c5e9FD9s0NWfVymi3RKIuCZ1kxny1xTIlUpdwO6nKDkX913XLz9z+58r77&#10;4PuL23k+YIIc+zE4ThuDXzflodJDe1xgDH5uZ9snzF9VJOl8ti93mKq/YPKU+3VdzUyzHiB9thuu&#10;4+KIkevGatY2mF93nGUF/ej5YMeOF4wlaTKfYZTulMBbM/O6YeRZLpUdRZEylSg67oaiXBza4+lz&#10;1exm9OJh3uLedP/l138eT+bU7hS6nXpPf/fNj9u6NkepBSPa3TG9Or08vpjHzllOn0eNj83TN4zG&#10;pmn//RPkelU3zw/zxr6ak6jj4+nofFb/Yw8USKq6F2334rF70Z7qj42WPXNDf/tyalZbfcf9p9k7&#10;A7zmHq6Cs/LjrAeebg2zYgTOKctZyjXOCROSSd1fueiAzlnGM0wxEheeiDwvrgy0/rx+6P/PgSYT&#10;wSF2Q4m27XbOj4I6ZwnLjETLvCgyNkBayCRVQoaD2ijiuKAWb0AtOvU2CmohMpkKKAwI7Y1izbsH&#10;jEJ/a/GFaHnFWnZDMQrru0IkskDft4u1m8xRYE3kC07EEGrTPEWBc8bzlGcG6SxTMsto5vS2mqdK&#10;cR7QWHM3laNAmqSaAY8h1LZ9CtZCcVaksA4k1SpNFTjYBdapZAUTIG6hiBlYin3AaLAGQfFi3ROX&#10;cRqcy0wlAnJ7u2Dr2RcNNYOuTj1Ym+YpYg23OU/gK2ukU5kUQ7EWgkn8BBRr509GI9bME0HRKtxN&#10;+rFinfNMWbATOM/wvoY6HI4YJlowHa4JRDRirUF9w7lmzpyNAlvbawUoSYXfJtbRRcyIPg2pGalw&#10;546MQvqOC8FZCoZPUItCpq/EWnCRS5wQTKzjipkRph7f2jRPstYFz01o1OCsvZve3ULYW2CKhUJZ&#10;6JB8NMqb4PTobtM8BeW7hMmCqD3JM89EnmkF0eOM8EqqQpppuHn2AaPgZASph5KZ5ilIc0gsaWtC&#10;Goqbp/kgBJ5zlgscDybSzjRFAbTmYx7NbdsnQc2V5LkRakGw5gPuzYsEyv0sVmZWOK+3gomVlpiE&#10;WmPqIWS2fQrWdyDfCkpbi/XbWJ/J9dWxds5FPHIN4jQk3xprZ8tGsW8B8l0IJB6QCn8b65By7aIG&#10;UWBNVtkTAjfNU6RasgShMgM02BfPB+xbZKzI8jOgr52ZgPXV6BQ4DKpXqJ0rMkqo73QA3FJwpGRh&#10;/WxAwfVqB8XpgjGz6CJlKRLCfGBT+xS5NitbJipqsB4Idnis44uUeaAmDT4N6SRLiXZrU50keTYU&#10;apnCAyswE4IJtXu+KEw16FdaeDITbPsUoYYGx1qHzSMUUiA/U/O8PogCqc5ptSsY2NLZqHjA9hAz&#10;DbYzZqPMtVnrsIJ9m1g7JyMKrKGqlcfdMs2TxDoDF8tsFEWwTCKigv56qU4yxZH+HVCqo4uYpWQx&#10;PSSc2idhrVW4MomEguVKYZfEBdjBU46QF2GfMAqx1qoaFtMLtosyjFfhNr1MYz0U7PBYxxUyI13t&#10;iYSb5olijTWt1PhbvFBp4RVrbPsIx8zcXI5CrAlTkKehVJvmKVALJRknIoDYKM+TVGTake2tNZcI&#10;lHO7ayvEZh6zuSimJWvl0d+EtJvyo9Q3FjLhS6FrQlph+boYeFvY05UxzIRQnrV0HkYUIk2WOn/D&#10;s0b7JKHGigeWPAzUSY5ElAEFx0KmzBU8vWBYuweMBuvCv5CZon0K1ljIRHKwySzjt4l1hBEzj63W&#10;zNwR1HEqnCyxgNiSCr9JrJO4AmZklT3xMtM8RaoTLjKbdAQCJhDyvnSrRSpVzgOmiyZxRcu0sX4j&#10;hmISwoigjhJqs5AJwdFSLZBhZKx/T8G1Xy0DhsETZ6KisdbIHHjlbelJ4MJJo8DWYXDa6UkaXGM9&#10;EGyDdUBmlrgHjAJrUtX+hUw0T9HgEGts5LH76TkXHHJ9qcNTyVkSVKwdG4kFalqW8MRQ0DwZatFB&#10;zVAEJ9eu7ECDo3ZGMH8LBX/sE0YDtX9xK3O8ZZT+xkYenmfS5I3mGZLJBtngKe3z4TgeyrM2RZVi&#10;CpdRFq9PqB1pGYU0d/t4vDCH3caTxBUqg5HOPHzMNP8XNLcJimZpwZAbiv6Gijsk9Y4rUEaQemIn&#10;pnka0oiISqpUBeatJLZaDpHGYSqYEU5xO74ZjYnGaPsUt+MqExW3F+awihtpL7HxME/UhMR5cuJJ&#10;v0KN+kZquFXL+NEBGTfyGmNCGoleeb/VVhcendm2P1XbZHBtCVHymU10BBtoM8E0h+vNsSwU3Ksu&#10;dSxPC4n8fvR/tgNv+cXUEKVOu7qhqFj7ZCqIom3TvVq+7LuXVGn0D4vnHsoTXUed0ssZyoW6e9nQ&#10;yrm5FTq+Qx3R3xp95mlQGRa32R+t9+dnud5gnrSOwLndGd3/g+7v/Mzuc80QdOd1/835NrB4MVjd&#10;Gd3/8zMvPx23QQ+sh9gNAhrPh7ne03gQKiWKG6/q0lRt3W1PqHpcb3cU6soItu42XxVpPZ6+1RUN&#10;Wb3/pVqhXKuuxEsNx3b9+LFuZ19Lqq+qf0xJ2PqwKW2r7deeqm9V90PXr1Ab1nXJ9aUXXX6U9Gt7&#10;sCfTdZUuq+yuZObKpb0bU1sZFYrx0F2FZQyKu0h/crM/uev3qAutP4QcM/u0vY9G40LvrlcbFqFM&#10;hVoAr8yvbccN0f2Msr8IfAGmxKw+I88ANSX1+PZSjESEBG50T7VMJgIGsCvG3FX5/R8VAu6reURB&#10;tQhUygYYci3bPgVsrEMxwGlY9dtY44QuHnJ1rKOLZ1Oh8iHUxLicfzFSrBHAVuSGw0KlBeeF1OHj&#10;M7FG5CsJGeQE/7BzOQqxBqZUrMADtUnMnaDBUSYyoZoWBDWqzynDss6gZkzmWBV0Un3tfbTIY4sN&#10;an8822yZGg01MgL/GOeg1YqQgRwbyv5YttkFORrlOyw+ZgIutxZopZDlq+XnTKA5OEIBie/M9NUF&#10;OrqIti/DgFS64yujzXQm6Ps9SHenCTI9fVDTvoFgUEcX0qYNzT4z7fjKWKhBw2yWGJDOkahP+vJc&#10;qnmmv6gjGNSOc0bDyPwxbbPaMEWBFwIK2ki1QDnKV+vOUPGK1qVDQY06prHZan9ke2I6oKCvVKHd&#10;saS/ecZRRvBSqFG2Coz8LHpybVON3UIxIa2jJJ4kX9tuh2KUBheIjeFbVwzWyBrCm0usU6JllC4Y&#10;TKpdEkUUClxjiuEeGmvbPgVrCosWBW34IcG+TbAd9YwCbCLbHqxN8zSoET/JrQ5PCkh5MZRrBMhF&#10;UB3uqGc0UPujosZ4jiZmffzkDZyDxk/6HaOxoEwVl4fKGwJt9j+ORhnp23ClDSdLcoYd8QN5xq5p&#10;/AbM2sc3RkTHyTyelrbTLjQ8kpMl2BFgsQbVRhLRgJMh9o3ZEJCTxRUq05h6XC3bPs1QC57yLuHk&#10;NsGOLljm2ydNKtx5IqPE+sxQ+3EOa6iji5PRl0/6DLVzQUahTAsdaUIFfuFkIYyC7IRX2nuQe3Lt&#10;6Em/1ygaTuaPfmO1aYrulvCfJO2eI6QTybEV59JO4+vFOQ9YzqTfaRQN0I6RmfxP0trfQcZoxeIs&#10;/RMsmiDV6Z+DpSuX+qjDYRcZjV3m2Hle4g2lf14man5PEujlFV2iZvf/dSpon11p0kovzzR8dnjO&#10;sm6OFYTw+5M8dSInqO+biZ4mQ9P0We+/K9HTk5VpEz27bpBGqTMqz3M5bUbmuPTQm0j0RMrnevG8&#10;PujxX7flYbNdfipP5fl7PYCLSjSbpn6q2g//AQAA//8DAFBLAwQUAAYACAAAACEA0kCvw90AAAAF&#10;AQAADwAAAGRycy9kb3ducmV2LnhtbEyPQUvDQBCF74L/YRnBm92kpSGN2ZRS1FMRbAXpbZqdJqHZ&#10;2ZDdJum/d/Wil4HHe7z3Tb6eTCsG6l1jWUE8i0AQl1Y3XCn4PLw+pSCcR9bYWiYFN3KwLu7vcsy0&#10;HfmDhr2vRChhl6GC2vsuk9KVNRl0M9sRB+9se4M+yL6SuscxlJtWzqMokQYbDgs1drStqbzsr0bB&#10;24jjZhG/DLvLeXs7HpbvX7uYlHp8mDbPIDxN/i8MP/gBHYrAdLJX1k60CsIj/vcGL5mnCYiTglW6&#10;XIAscvmfvvgGAAD//wMAUEsBAi0AFAAGAAgAAAAhALaDOJL+AAAA4QEAABMAAAAAAAAAAAAAAAAA&#10;AAAAAFtDb250ZW50X1R5cGVzXS54bWxQSwECLQAUAAYACAAAACEAOP0h/9YAAACUAQAACwAAAAAA&#10;AAAAAAAAAAAvAQAAX3JlbHMvLnJlbHNQSwECLQAUAAYACAAAACEAmaWndEEMAACLhAAADgAAAAAA&#10;AAAAAAAAAAAuAgAAZHJzL2Uyb0RvYy54bWxQSwECLQAUAAYACAAAACEA0kCvw90AAAAFAQAADwAA&#10;AAAAAAAAAAAAAACbDgAAZHJzL2Rvd25yZXYueG1sUEsFBgAAAAAEAAQA8wAAAKUPAAAAAA==&#10;">
                <v:rect id="Rectangle 16945" o:spid="_x0000_s2918"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UwIxQAAAN4AAAAPAAAAZHJzL2Rvd25yZXYueG1sRE9Na8JA&#10;EL0X+h+WKXirG0XFRlcRRcyhl1oLPQ7ZMYlmZ5fsaqK/3i0UvM3jfc582ZlaXKnxlWUFg34Cgji3&#10;uuJCweF7+z4F4QOyxtoyKbiRh+Xi9WWOqbYtf9F1HwoRQ9inqKAMwaVS+rwkg75vHXHkjrYxGCJs&#10;CqkbbGO4qeUwSSbSYMWxoURH65Ly8/5iFPxu2GXbVubH+9p9nrJpvbscfpTqvXWrGYhAXXiK/92Z&#10;jvMnH6Mx/L0Tb5CLBwAAAP//AwBQSwECLQAUAAYACAAAACEA2+H2y+4AAACFAQAAEwAAAAAAAAAA&#10;AAAAAAAAAAAAW0NvbnRlbnRfVHlwZXNdLnhtbFBLAQItABQABgAIAAAAIQBa9CxbvwAAABUBAAAL&#10;AAAAAAAAAAAAAAAAAB8BAABfcmVscy8ucmVsc1BLAQItABQABgAIAAAAIQCROUwIxQAAAN4AAAAP&#10;AAAAAAAAAAAAAAAAAAcCAABkcnMvZG93bnJldi54bWxQSwUGAAAAAAMAAwC3AAAA+QIAAAAA&#10;" filled="f" stroked="f">
                  <v:textbox inset="0,0,0,0">
                    <w:txbxContent>
                      <w:p w14:paraId="655BC5E2" w14:textId="77777777" w:rsidR="00B32EF2" w:rsidRDefault="00000000">
                        <w:r>
                          <w:rPr>
                            <w:rFonts w:ascii="Times New Roman" w:eastAsia="Times New Roman" w:hAnsi="Times New Roman" w:cs="Times New Roman"/>
                          </w:rPr>
                          <w:t>77</w:t>
                        </w:r>
                      </w:p>
                    </w:txbxContent>
                  </v:textbox>
                </v:rect>
                <v:rect id="Rectangle 16946" o:spid="_x0000_s2919" style="position:absolute;left:15080;top:40230;width:80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9J/xAAAAN4AAAAPAAAAZHJzL2Rvd25yZXYueG1sRE9Na8JA&#10;EL0X/A/LCN7qxiLBRlcRRZpDL7UKHofsmESzs0t2NdFf3y0UepvH+5zFqjeNuFPra8sKJuMEBHFh&#10;dc2lgsP37nUGwgdkjY1lUvAgD6vl4GWBmbYdf9F9H0oRQ9hnqKAKwWVS+qIig35sHXHkzrY1GCJs&#10;S6lb7GK4aeRbkqTSYM2xoUJHm4qK6/5mFJy27PJdJ4vzc+M+L/ms+bgdjkqNhv16DiJQH/7Ff+5c&#10;x/np+zSF33fiDXL5AwAA//8DAFBLAQItABQABgAIAAAAIQDb4fbL7gAAAIUBAAATAAAAAAAAAAAA&#10;AAAAAAAAAABbQ29udGVudF9UeXBlc10ueG1sUEsBAi0AFAAGAAgAAAAhAFr0LFu/AAAAFQEAAAsA&#10;AAAAAAAAAAAAAAAAHwEAAF9yZWxzLy5yZWxzUEsBAi0AFAAGAAgAAAAhAGHr0n/EAAAA3gAAAA8A&#10;AAAAAAAAAAAAAAAABwIAAGRycy9kb3ducmV2LnhtbFBLBQYAAAAAAwADALcAAAD4AgAAAAA=&#10;" filled="f" stroked="f">
                  <v:textbox inset="0,0,0,0">
                    <w:txbxContent>
                      <w:p w14:paraId="3DBA95BA" w14:textId="77777777" w:rsidR="00B32EF2" w:rsidRDefault="00000000">
                        <w:r>
                          <w:rPr>
                            <w:rFonts w:ascii="Arial" w:eastAsia="Arial" w:hAnsi="Arial" w:cs="Arial"/>
                            <w:b/>
                            <w:sz w:val="18"/>
                          </w:rPr>
                          <w:t>Articolo 79</w:t>
                        </w:r>
                      </w:p>
                    </w:txbxContent>
                  </v:textbox>
                </v:rect>
                <v:rect id="Rectangle 200614" o:spid="_x0000_s2920" style="position:absolute;left:8040;top:38997;width:2345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5NRxgAAAN8AAAAPAAAAZHJzL2Rvd25yZXYueG1sRI9Ba8JA&#10;FITvhf6H5RV6qxtLkZC6ilikOXgxtdDjI/tMUrNvl+yapP56NyD0OMzMN8xyPZpW9NT5xrKC+SwB&#10;QVxa3XCl4Pi1e0lB+ICssbVMCv7Iw3r1+LDETNuBD9QXoRIRwj5DBXUILpPSlzUZ9DPriKN3sp3B&#10;EGVXSd3hEOGmla9JspAGG44LNTra1lSei4tR8PPBLt8Nsjxdt27/m6ft5+X4rdTz07h5BxFoDP/h&#10;ezvXCibi/A2mP/ELyNUNAAD//wMAUEsBAi0AFAAGAAgAAAAhANvh9svuAAAAhQEAABMAAAAAAAAA&#10;AAAAAAAAAAAAAFtDb250ZW50X1R5cGVzXS54bWxQSwECLQAUAAYACAAAACEAWvQsW78AAAAVAQAA&#10;CwAAAAAAAAAAAAAAAAAfAQAAX3JlbHMvLnJlbHNQSwECLQAUAAYACAAAACEAE8eTUcYAAADfAAAA&#10;DwAAAAAAAAAAAAAAAAAHAgAAZHJzL2Rvd25yZXYueG1sUEsFBgAAAAADAAMAtwAAAPoCAAAAAA==&#10;" filled="f" stroked="f">
                  <v:textbox inset="0,0,0,0">
                    <w:txbxContent>
                      <w:p w14:paraId="67D214D2" w14:textId="77777777" w:rsidR="00B32EF2" w:rsidRDefault="00000000">
                        <w:r>
                          <w:rPr>
                            <w:rFonts w:ascii="Arial" w:eastAsia="Arial" w:hAnsi="Arial" w:cs="Arial"/>
                            <w:i/>
                            <w:sz w:val="18"/>
                          </w:rPr>
                          <w:t xml:space="preserve">articolo 31 D.lgs. n. 546 del </w:t>
                        </w:r>
                      </w:p>
                    </w:txbxContent>
                  </v:textbox>
                </v:rect>
                <v:rect id="Rectangle 200612" o:spid="_x0000_s2921" style="position:absolute;left:22735;top:38997;width:2345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q6+xQAAAN8AAAAPAAAAZHJzL2Rvd25yZXYueG1sRI9Pi8Iw&#10;FMTvC36H8ARva6qHRapRRBF72It/Fvb4aJ5ttXkJTbTVT28EweMwM79hZovO1OJGja8sKxgNExDE&#10;udUVFwqOh833BIQPyBpry6TgTh4W897XDFNtW97RbR8KESHsU1RQhuBSKX1ekkE/tI44eifbGAxR&#10;NoXUDbYRbmo5TpIfabDiuFCio1VJ+WV/NQr+1+yyTSvz02Plfs/ZpN5ej39KDfrdcgoiUBc+4Xc7&#10;0wpexNEYXn/iF5DzJwAAAP//AwBQSwECLQAUAAYACAAAACEA2+H2y+4AAACFAQAAEwAAAAAAAAAA&#10;AAAAAAAAAAAAW0NvbnRlbnRfVHlwZXNdLnhtbFBLAQItABQABgAIAAAAIQBa9CxbvwAAABUBAAAL&#10;AAAAAAAAAAAAAAAAAB8BAABfcmVscy8ucmVsc1BLAQItABQABgAIAAAAIQDzYq6+xQAAAN8AAAAP&#10;AAAAAAAAAAAAAAAAAAcCAABkcnMvZG93bnJldi54bWxQSwUGAAAAAAMAAwC3AAAA+QIAAAAA&#10;" filled="f" stroked="f">
                  <v:textbox inset="0,0,0,0">
                    <w:txbxContent>
                      <w:p w14:paraId="1BFB28E3" w14:textId="77777777" w:rsidR="00B32EF2" w:rsidRDefault="00000000">
                        <w:r>
                          <w:rPr>
                            <w:rFonts w:ascii="Arial" w:eastAsia="Arial" w:hAnsi="Arial" w:cs="Arial"/>
                            <w:i/>
                            <w:sz w:val="18"/>
                          </w:rPr>
                          <w:t>(</w:t>
                        </w:r>
                      </w:p>
                    </w:txbxContent>
                  </v:textbox>
                </v:rect>
                <v:rect id="Rectangle 200613" o:spid="_x0000_s2922" style="position:absolute;left:-9243;top:38997;width:2345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gslxgAAAN8AAAAPAAAAZHJzL2Rvd25yZXYueG1sRI9Ba8JA&#10;FITvhf6H5RV6qxtbkJC6ilikOXgxtdDjI/tMUrNvl+yapP56NyD0OMzMN8xyPZpW9NT5xrKC+SwB&#10;QVxa3XCl4Pi1e0lB+ICssbVMCv7Iw3r1+LDETNuBD9QXoRIRwj5DBXUILpPSlzUZ9DPriKN3sp3B&#10;EGVXSd3hEOGmla9JspAGG44LNTra1lSei4tR8PPBLt8Nsjxdt27/m6ft5+X4rdTz07h5BxFoDP/h&#10;ezvXCibi/A2mP/ELyNUNAAD//wMAUEsBAi0AFAAGAAgAAAAhANvh9svuAAAAhQEAABMAAAAAAAAA&#10;AAAAAAAAAAAAAFtDb250ZW50X1R5cGVzXS54bWxQSwECLQAUAAYACAAAACEAWvQsW78AAAAVAQAA&#10;CwAAAAAAAAAAAAAAAAAfAQAAX3JlbHMvLnJlbHNQSwECLQAUAAYACAAAACEAnC4LJcYAAADfAAAA&#10;DwAAAAAAAAAAAAAAAAAHAgAAZHJzL2Rvd25yZXYueG1sUEsFBgAAAAADAAMAtwAAAPoCAAAAAA==&#10;" filled="f" stroked="f">
                  <v:textbox inset="0,0,0,0">
                    <w:txbxContent>
                      <w:p w14:paraId="2BD386C3" w14:textId="77777777" w:rsidR="00B32EF2" w:rsidRDefault="00000000">
                        <w:r>
                          <w:rPr>
                            <w:rFonts w:ascii="Arial" w:eastAsia="Arial" w:hAnsi="Arial" w:cs="Arial"/>
                            <w:i/>
                            <w:sz w:val="18"/>
                          </w:rPr>
                          <w:t>1992)</w:t>
                        </w:r>
                      </w:p>
                    </w:txbxContent>
                  </v:textbox>
                </v:rect>
                <v:rect id="Rectangle 16948" o:spid="_x0000_s2923" style="position:absolute;left:10185;top:37763;width:156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OWyAAAAN4AAAAPAAAAZHJzL2Rvd25yZXYueG1sRI9Pa8JA&#10;EMXvgt9hGaE33bQUsamrFIs0h178U+hxyI5J2uzskl1N2k/vHARvM7w37/1muR5cqy7UxcazgcdZ&#10;Boq49LbhysDxsJ0uQMWEbLH1TAb+KMJ6NR4tMbe+5x1d9qlSEsIxRwN1SiHXOpY1OYwzH4hFO/nO&#10;YZK1q7TtsJdw1+qnLJtrhw1LQ42BNjWVv/uzM/D9zqHY9ro8/W/C50+xaD/Oxy9jHibD2yuoREO6&#10;m2/XhRX8+cuz8Mo7MoNeXQEAAP//AwBQSwECLQAUAAYACAAAACEA2+H2y+4AAACFAQAAEwAAAAAA&#10;AAAAAAAAAAAAAAAAW0NvbnRlbnRfVHlwZXNdLnhtbFBLAQItABQABgAIAAAAIQBa9CxbvwAAABUB&#10;AAALAAAAAAAAAAAAAAAAAB8BAABfcmVscy8ucmVsc1BLAQItABQABgAIAAAAIQB/OOOWyAAAAN4A&#10;AAAPAAAAAAAAAAAAAAAAAAcCAABkcnMvZG93bnJldi54bWxQSwUGAAAAAAMAAwC3AAAA/AIAAAAA&#10;" filled="f" stroked="f">
                  <v:textbox inset="0,0,0,0">
                    <w:txbxContent>
                      <w:p w14:paraId="437B67B3" w14:textId="77777777" w:rsidR="00B32EF2" w:rsidRDefault="00000000">
                        <w:r>
                          <w:rPr>
                            <w:rFonts w:ascii="Arial" w:eastAsia="Arial" w:hAnsi="Arial" w:cs="Arial"/>
                            <w:b/>
                            <w:sz w:val="18"/>
                          </w:rPr>
                          <w:t xml:space="preserve">Avviso di trattazione </w:t>
                        </w:r>
                      </w:p>
                    </w:txbxContent>
                  </v:textbox>
                </v:rect>
                <v:rect id="Rectangle 200607" o:spid="_x0000_s2924" style="position:absolute;left:26109;top:3655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Jv7xgAAAN8AAAAPAAAAZHJzL2Rvd25yZXYueG1sRI9Ba8JA&#10;FITvhf6H5RW81U09WImuUiLBHHppquDxkX0mabNvl+xqYn99N1DocZiZb5jNbjSduFHvW8sKXuYJ&#10;COLK6pZrBcfP/HkFwgdkjZ1lUnAnD7vt48MGU20H/qBbGWoRIexTVNCE4FIpfdWQQT+3jjh6F9sb&#10;DFH2tdQ9DhFuOrlIkqU02HJcaNBR1lD1XV6NgvOeXZEPsrr8ZO79q1h1h+vxpNTsaXxbgwg0hv/w&#10;X7vQCiZi8grTn/gF5PYXAAD//wMAUEsBAi0AFAAGAAgAAAAhANvh9svuAAAAhQEAABMAAAAAAAAA&#10;AAAAAAAAAAAAAFtDb250ZW50X1R5cGVzXS54bWxQSwECLQAUAAYACAAAACEAWvQsW78AAAAVAQAA&#10;CwAAAAAAAAAAAAAAAAAfAQAAX3JlbHMvLnJlbHNQSwECLQAUAAYACAAAACEAZsyb+8YAAADfAAAA&#10;DwAAAAAAAAAAAAAAAAAHAgAAZHJzL2Rvd25yZXYueG1sUEsFBgAAAAADAAMAtwAAAPoCAAAAAA==&#10;" filled="f" stroked="f">
                  <v:textbox inset="0,0,0,0">
                    <w:txbxContent>
                      <w:p w14:paraId="4CC0A94D" w14:textId="77777777" w:rsidR="00B32EF2" w:rsidRDefault="00000000">
                        <w:r>
                          <w:rPr>
                            <w:rFonts w:ascii="Arial" w:eastAsia="Arial" w:hAnsi="Arial" w:cs="Arial"/>
                            <w:sz w:val="18"/>
                          </w:rPr>
                          <w:t>1</w:t>
                        </w:r>
                      </w:p>
                    </w:txbxContent>
                  </v:textbox>
                </v:rect>
                <v:rect id="Rectangle 200610" o:spid="_x0000_s2925" style="position:absolute;left:-13764;top:3655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VSxgAAAN8AAAAPAAAAZHJzL2Rvd25yZXYueG1sRI9Na8JA&#10;EIbvBf/DMoK3urEHCTGriCLm0EttCj0O2cmHZmeX7GrS/vpuodDj8M77vDz5bjK9eNDgO8sKVssE&#10;BHFldceNgvL99JyC8AFZY2+ZFHyRh9129pRjpu3Ib/S4hEZECPsMFbQhuExKX7Vk0C+tI45ZbQeD&#10;IZ5DI/WAY4SbXr4kyVoa7DgutOjo0FJ1u9yNgs8ju+I0yqr+PrjXa5H253v5odRiPu03IAJN4f/5&#10;r11oBb/EVTSIPtEF5PYHAAD//wMAUEsBAi0AFAAGAAgAAAAhANvh9svuAAAAhQEAABMAAAAAAAAA&#10;AAAAAAAAAAAAAFtDb250ZW50X1R5cGVzXS54bWxQSwECLQAUAAYACAAAACEAWvQsW78AAAAVAQAA&#10;CwAAAAAAAAAAAAAAAAAfAQAAX3JlbHMvLnJlbHNQSwECLQAUAAYACAAAACEAbPyVUsYAAADfAAAA&#10;DwAAAAAAAAAAAAAAAAAHAgAAZHJzL2Rvd25yZXYueG1sUEsFBgAAAAADAAMAtwAAAPoCAAAAAA==&#10;" filled="f" stroked="f">
                  <v:textbox inset="0,0,0,0">
                    <w:txbxContent>
                      <w:p w14:paraId="2AA68F82" w14:textId="77777777" w:rsidR="00B32EF2" w:rsidRDefault="00000000">
                        <w:r>
                          <w:rPr>
                            <w:rFonts w:ascii="Arial" w:eastAsia="Arial" w:hAnsi="Arial" w:cs="Arial"/>
                            <w:sz w:val="18"/>
                          </w:rPr>
                          <w:t xml:space="preserve">. La segreteria dà comunicazione alle parti costituite della data di trattazione </w:t>
                        </w:r>
                      </w:p>
                    </w:txbxContent>
                  </v:textbox>
                </v:rect>
                <v:rect id="Rectangle 16950" o:spid="_x0000_s2926" style="position:absolute;left:17884;top:35349;width:220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3lNyAAAAN4AAAAPAAAAZHJzL2Rvd25yZXYueG1sRI9Pa8JA&#10;EMXvgt9hGaE33bRQsamrFIs0h178U+hxyI5J2uzskl1N2k/vHARvM8yb995vuR5cqy7UxcazgcdZ&#10;Boq49LbhysDxsJ0uQMWEbLH1TAb+KMJ6NR4tMbe+5x1d9qlSYsIxRwN1SiHXOpY1OYwzH4jldvKd&#10;wyRrV2nbYS/mrtVPWTbXDhuWhBoDbWoqf/dnZ+D7nUOx7XV5+t+Ez59i0X6cj1/GPEyGt1dQiYZ0&#10;F9++Cyv15y/PAiA4MoNeXQEAAP//AwBQSwECLQAUAAYACAAAACEA2+H2y+4AAACFAQAAEwAAAAAA&#10;AAAAAAAAAAAAAAAAW0NvbnRlbnRfVHlwZXNdLnhtbFBLAQItABQABgAIAAAAIQBa9CxbvwAAABUB&#10;AAALAAAAAAAAAAAAAAAAAB8BAABfcmVscy8ucmVsc1BLAQItABQABgAIAAAAIQAEl3lNyAAAAN4A&#10;AAAPAAAAAAAAAAAAAAAAAAcCAABkcnMvZG93bnJldi54bWxQSwUGAAAAAAMAAwC3AAAA/AIAAAAA&#10;" filled="f" stroked="f">
                  <v:textbox inset="0,0,0,0">
                    <w:txbxContent>
                      <w:p w14:paraId="676F49BA" w14:textId="77777777" w:rsidR="00B32EF2" w:rsidRDefault="00000000">
                        <w:r>
                          <w:rPr>
                            <w:rFonts w:ascii="Arial" w:eastAsia="Arial" w:hAnsi="Arial" w:cs="Arial"/>
                            <w:sz w:val="18"/>
                          </w:rPr>
                          <w:t>almeno trenta giorni liberi prima.</w:t>
                        </w:r>
                      </w:p>
                    </w:txbxContent>
                  </v:textbox>
                </v:rect>
                <v:rect id="Rectangle 200605" o:spid="_x0000_s2927" style="position:absolute;left:-13817;top:3414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qAXxgAAAN8AAAAPAAAAZHJzL2Rvd25yZXYueG1sRI9Ba8JA&#10;FITvhf6H5RW81U0Fi0RXKZFgDr00VfD4yD6TtNm3S3Y1sb++Gyj0OMzMN8xmN5pO3Kj3rWUFL/ME&#10;BHFldcu1guNn/rwC4QOyxs4yKbiTh9328WGDqbYDf9CtDLWIEPYpKmhCcKmUvmrIoJ9bRxy9i+0N&#10;hij7Wuoehwg3nVwkyas02HJcaNBR1lD1XV6NgvOeXZEPsrr8ZO79q1h1h+vxpNTsaXxbgwg0hv/w&#10;X7vQCiZisoTpT/wCcvsLAAD//wMAUEsBAi0AFAAGAAgAAAAhANvh9svuAAAAhQEAABMAAAAAAAAA&#10;AAAAAAAAAAAAAFtDb250ZW50X1R5cGVzXS54bWxQSwECLQAUAAYACAAAACEAWvQsW78AAAAVAQAA&#10;CwAAAAAAAAAAAAAAAAAfAQAAX3JlbHMvLnJlbHNQSwECLQAUAAYACAAAACEA+VKgF8YAAADfAAAA&#10;DwAAAAAAAAAAAAAAAAAHAgAAZHJzL2Rvd25yZXYueG1sUEsFBgAAAAADAAMAtwAAAPoCAAAAAA==&#10;" filled="f" stroked="f">
                  <v:textbox inset="0,0,0,0">
                    <w:txbxContent>
                      <w:p w14:paraId="5BD985D9" w14:textId="77777777" w:rsidR="00B32EF2" w:rsidRDefault="00000000">
                        <w:r>
                          <w:rPr>
                            <w:rFonts w:ascii="Arial" w:eastAsia="Arial" w:hAnsi="Arial" w:cs="Arial"/>
                            <w:sz w:val="18"/>
                          </w:rPr>
                          <w:t xml:space="preserve">. Uguale avviso deve essere dato quando la trattazione sia stata rinviata dal </w:t>
                        </w:r>
                      </w:p>
                    </w:txbxContent>
                  </v:textbox>
                </v:rect>
                <v:rect id="Rectangle 200604" o:spid="_x0000_s2928" style="position:absolute;left:26109;top:3414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gWMxgAAAN8AAAAPAAAAZHJzL2Rvd25yZXYueG1sRI9Ba8JA&#10;FITvhf6H5RW81U1FikRXKZFgDr00VfD4yD6TtNm3S3Y1sb++Gyj0OMzMN8xmN5pO3Kj3rWUFL/ME&#10;BHFldcu1guNn/rwC4QOyxs4yKbiTh9328WGDqbYDf9CtDLWIEPYpKmhCcKmUvmrIoJ9bRxy9i+0N&#10;hij7Wuoehwg3nVwkyas02HJcaNBR1lD1XV6NgvOeXZEPsrr8ZO79q1h1h+vxpNTsaXxbgwg0hv/w&#10;X7vQCiZisoTpT/wCcvsLAAD//wMAUEsBAi0AFAAGAAgAAAAhANvh9svuAAAAhQEAABMAAAAAAAAA&#10;AAAAAAAAAAAAAFtDb250ZW50X1R5cGVzXS54bWxQSwECLQAUAAYACAAAACEAWvQsW78AAAAVAQAA&#10;CwAAAAAAAAAAAAAAAAAfAQAAX3JlbHMvLnJlbHNQSwECLQAUAAYACAAAACEAlh4FjMYAAADfAAAA&#10;DwAAAAAAAAAAAAAAAAAHAgAAZHJzL2Rvd25yZXYueG1sUEsFBgAAAAADAAMAtwAAAPoCAAAAAA==&#10;" filled="f" stroked="f">
                  <v:textbox inset="0,0,0,0">
                    <w:txbxContent>
                      <w:p w14:paraId="28C9518D" w14:textId="77777777" w:rsidR="00B32EF2" w:rsidRDefault="00000000">
                        <w:r>
                          <w:rPr>
                            <w:rFonts w:ascii="Arial" w:eastAsia="Arial" w:hAnsi="Arial" w:cs="Arial"/>
                            <w:sz w:val="18"/>
                          </w:rPr>
                          <w:t>2</w:t>
                        </w:r>
                      </w:p>
                    </w:txbxContent>
                  </v:textbox>
                </v:rect>
                <v:rect id="Rectangle 16952" o:spid="_x0000_s2929" style="position:absolute;left:-12210;top:32935;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UKhxAAAAN4AAAAPAAAAZHJzL2Rvd25yZXYueG1sRE9Li8Iw&#10;EL4v+B/CCN7WdAVFq1EWF9ke9uILPA7N2FabSWiirf76jbCwt/n4nrNYdaYWd2p8ZVnBxzABQZxb&#10;XXGh4LDfvE9B+ICssbZMCh7kYbXsvS0w1bblLd13oRAxhH2KCsoQXCqlz0sy6IfWEUfubBuDIcKm&#10;kLrBNoabWo6SZCINVhwbSnS0Lim/7m5GwemLXbZpZX5+rt3PJZvW37fDUalBv/ucgwjUhX/xnzvT&#10;cf5kNh7B6514g1z+AgAA//8DAFBLAQItABQABgAIAAAAIQDb4fbL7gAAAIUBAAATAAAAAAAAAAAA&#10;AAAAAAAAAABbQ29udGVudF9UeXBlc10ueG1sUEsBAi0AFAAGAAgAAAAhAFr0LFu/AAAAFQEAAAsA&#10;AAAAAAAAAAAAAAAAHwEAAF9yZWxzLy5yZWxzUEsBAi0AFAAGAAgAAAAhAJsJQqHEAAAA3gAAAA8A&#10;AAAAAAAAAAAAAAAABwIAAGRycy9kb3ducmV2LnhtbFBLBQYAAAAAAwADALcAAAD4AgAAAAA=&#10;" filled="f" stroked="f">
                  <v:textbox inset="0,0,0,0">
                    <w:txbxContent>
                      <w:p w14:paraId="15E9121C" w14:textId="77777777" w:rsidR="00B32EF2" w:rsidRDefault="00000000">
                        <w:r>
                          <w:rPr>
                            <w:rFonts w:ascii="Arial" w:eastAsia="Arial" w:hAnsi="Arial" w:cs="Arial"/>
                            <w:sz w:val="18"/>
                          </w:rPr>
                          <w:t>presidente in caso di giustificato impedimento del relatore, che non possa es</w:t>
                        </w:r>
                      </w:p>
                    </w:txbxContent>
                  </v:textbox>
                </v:rect>
                <v:rect id="Rectangle 16953" o:spid="_x0000_s2930" style="position:absolute;left:191;top:32935;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ec6xQAAAN4AAAAPAAAAZHJzL2Rvd25yZXYueG1sRE9Na8JA&#10;EL0X+h+WKXirGxXFRlcRRcyhl1oLPQ7ZMYlmZ5fsaqK/3i0UvM3jfc582ZlaXKnxlWUFg34Cgji3&#10;uuJCweF7+z4F4QOyxtoyKbiRh+Xi9WWOqbYtf9F1HwoRQ9inqKAMwaVS+rwkg75vHXHkjrYxGCJs&#10;CqkbbGO4qeUwSSbSYMWxoURH65Ly8/5iFPxu2GXbVubH+9p9nrJpvbscfpTqvXWrGYhAXXiK/92Z&#10;jvMnH+MR/L0Tb5CLBwAAAP//AwBQSwECLQAUAAYACAAAACEA2+H2y+4AAACFAQAAEwAAAAAAAAAA&#10;AAAAAAAAAAAAW0NvbnRlbnRfVHlwZXNdLnhtbFBLAQItABQABgAIAAAAIQBa9CxbvwAAABUBAAAL&#10;AAAAAAAAAAAAAAAAAB8BAABfcmVscy8ucmVsc1BLAQItABQABgAIAAAAIQD0Rec6xQAAAN4AAAAP&#10;AAAAAAAAAAAAAAAAAAcCAABkcnMvZG93bnJldi54bWxQSwUGAAAAAAMAAwC3AAAA+QIAAAAA&#10;" filled="f" stroked="f">
                  <v:textbox inset="0,0,0,0">
                    <w:txbxContent>
                      <w:p w14:paraId="2930A6B7" w14:textId="77777777" w:rsidR="00B32EF2" w:rsidRDefault="00000000">
                        <w:r>
                          <w:rPr>
                            <w:rFonts w:ascii="Arial" w:eastAsia="Arial" w:hAnsi="Arial" w:cs="Arial"/>
                            <w:sz w:val="18"/>
                          </w:rPr>
                          <w:t>-</w:t>
                        </w:r>
                      </w:p>
                    </w:txbxContent>
                  </v:textbox>
                </v:rect>
                <v:rect id="Rectangle 16954" o:spid="_x0000_s2931" style="position:absolute;left:-4039;top:31728;width:439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H9OxQAAAN4AAAAPAAAAZHJzL2Rvd25yZXYueG1sRE9Na8JA&#10;EL0X+h+WKXirG0XFRlcRRcyhl1oLPQ7ZMYlmZ5fsaqK/3i0UvM3jfc582ZlaXKnxlWUFg34Cgji3&#10;uuJCweF7+z4F4QOyxtoyKbiRh+Xi9WWOqbYtf9F1HwoRQ9inqKAMwaVS+rwkg75vHXHkjrYxGCJs&#10;CqkbbGO4qeUwSSbSYMWxoURH65Ly8/5iFPxu2GXbVubH+9p9nrJpvbscfpTqvXWrGYhAXXiK/92Z&#10;jvMnH+MR/L0Tb5CLBwAAAP//AwBQSwECLQAUAAYACAAAACEA2+H2y+4AAACFAQAAEwAAAAAAAAAA&#10;AAAAAAAAAAAAW0NvbnRlbnRfVHlwZXNdLnhtbFBLAQItABQABgAIAAAAIQBa9CxbvwAAABUBAAAL&#10;AAAAAAAAAAAAAAAAAB8BAABfcmVscy8ucmVsc1BLAQItABQABgAIAAAAIQB7rH9OxQAAAN4AAAAP&#10;AAAAAAAAAAAAAAAAAAcCAABkcnMvZG93bnJldi54bWxQSwUGAAAAAAMAAwC3AAAA+QIAAAAA&#10;" filled="f" stroked="f">
                  <v:textbox inset="0,0,0,0">
                    <w:txbxContent>
                      <w:p w14:paraId="0E04694B" w14:textId="77777777" w:rsidR="00B32EF2" w:rsidRDefault="00000000">
                        <w:r>
                          <w:rPr>
                            <w:rFonts w:ascii="Arial" w:eastAsia="Arial" w:hAnsi="Arial" w:cs="Arial"/>
                            <w:sz w:val="18"/>
                          </w:rPr>
                          <w:t>sere sostituito, o di alcuna delle parti o per esigenze del servizio.</w:t>
                        </w:r>
                      </w:p>
                    </w:txbxContent>
                  </v:textbox>
                </v:rect>
                <v:rect id="Rectangle 16955" o:spid="_x0000_s2932" style="position:absolute;left:15065;top:29315;width:81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NrVxAAAAN4AAAAPAAAAZHJzL2Rvd25yZXYueG1sRE9Li8Iw&#10;EL4v+B/CCN7WdBcUrUZZXMQe9uILPA7N2FabSWiirf76jbCwt/n4njNfdqYWd2p8ZVnBxzABQZxb&#10;XXGh4LBfv09A+ICssbZMCh7kYbnovc0x1bblLd13oRAxhH2KCsoQXCqlz0sy6IfWEUfubBuDIcKm&#10;kLrBNoabWn4myVgarDg2lOhoVVJ+3d2MgtM3u2zdyvz8XLmfSzapN7fDUalBv/uagQjUhX/xnzvT&#10;cf54OhrB6514g1z8AgAA//8DAFBLAQItABQABgAIAAAAIQDb4fbL7gAAAIUBAAATAAAAAAAAAAAA&#10;AAAAAAAAAABbQ29udGVudF9UeXBlc10ueG1sUEsBAi0AFAAGAAgAAAAhAFr0LFu/AAAAFQEAAAsA&#10;AAAAAAAAAAAAAAAAHwEAAF9yZWxzLy5yZWxzUEsBAi0AFAAGAAgAAAAhABTg2tXEAAAA3gAAAA8A&#10;AAAAAAAAAAAAAAAABwIAAGRycy9kb3ducmV2LnhtbFBLBQYAAAAAAwADALcAAAD4AgAAAAA=&#10;" filled="f" stroked="f">
                  <v:textbox inset="0,0,0,0">
                    <w:txbxContent>
                      <w:p w14:paraId="1B5661CB" w14:textId="77777777" w:rsidR="00B32EF2" w:rsidRDefault="00000000">
                        <w:r>
                          <w:rPr>
                            <w:rFonts w:ascii="Arial" w:eastAsia="Arial" w:hAnsi="Arial" w:cs="Arial"/>
                            <w:b/>
                            <w:sz w:val="18"/>
                          </w:rPr>
                          <w:t>Articolo 80</w:t>
                        </w:r>
                      </w:p>
                    </w:txbxContent>
                  </v:textbox>
                </v:rect>
                <v:rect id="Rectangle 200603" o:spid="_x0000_s2933" style="position:absolute;left:11631;top:28108;width:194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534xgAAAN8AAAAPAAAAZHJzL2Rvd25yZXYueG1sRI9Ba8JA&#10;FITvhf6H5RW81U0VikRXKZFgDr00VfD4yD6TtNm3S3Y1sb++Gyj0OMzMN8xmN5pO3Kj3rWUFL/ME&#10;BHFldcu1guNn/rwC4QOyxs4yKbiTh9328WGDqbYDf9CtDLWIEPYpKmhCcKmUvmrIoJ9bRxy9i+0N&#10;hij7Wuoehwg3nVwkyas02HJcaNBR1lD1XV6NgvOeXZEPsrr8ZO79q1h1h+vxpNTsaXxbgwg0hv/w&#10;X7vQCiZisoTpT/wCcvsLAAD//wMAUEsBAi0AFAAGAAgAAAAhANvh9svuAAAAhQEAABMAAAAAAAAA&#10;AAAAAAAAAAAAAFtDb250ZW50X1R5cGVzXS54bWxQSwECLQAUAAYACAAAACEAWvQsW78AAAAVAQAA&#10;CwAAAAAAAAAAAAAAAAAfAQAAX3JlbHMvLnJlbHNQSwECLQAUAAYACAAAACEAGfed+MYAAADfAAAA&#10;DwAAAAAAAAAAAAAAAAAHAgAAZHJzL2Rvd25yZXYueG1sUEsFBgAAAAADAAMAtwAAAPoCAAAAAA==&#10;" filled="f" stroked="f">
                  <v:textbox inset="0,0,0,0">
                    <w:txbxContent>
                      <w:p w14:paraId="7F49A007" w14:textId="77777777" w:rsidR="00B32EF2" w:rsidRDefault="00000000">
                        <w:r>
                          <w:rPr>
                            <w:rFonts w:ascii="Arial" w:eastAsia="Arial" w:hAnsi="Arial" w:cs="Arial"/>
                            <w:i/>
                            <w:sz w:val="18"/>
                          </w:rPr>
                          <w:t xml:space="preserve">articolo 32 D.lgs. n. </w:t>
                        </w:r>
                      </w:p>
                    </w:txbxContent>
                  </v:textbox>
                </v:rect>
                <v:rect id="Rectangle 200602" o:spid="_x0000_s2934" style="position:absolute;left:-2616;top:28108;width:194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zhjxQAAAN8AAAAPAAAAZHJzL2Rvd25yZXYueG1sRI9Pi8Iw&#10;FMTvwn6H8IS92VQPIl2jLC6yPXjxH+zx0TzbavMSmmi7fnojCB6HmfkNM1/2phE3an1tWcE4SUEQ&#10;F1bXXCo47NejGQgfkDU2lknBP3lYLj4Gc8y07XhLt10oRYSwz1BBFYLLpPRFRQZ9Yh1x9E62NRii&#10;bEupW+wi3DRykqZTabDmuFCho1VFxWV3NQr+ftjl604Wp/vKbc75rPm9Ho5KfQ777y8QgfrwDr/a&#10;uVbwJKYTeP6JX0AuHgAAAP//AwBQSwECLQAUAAYACAAAACEA2+H2y+4AAACFAQAAEwAAAAAAAAAA&#10;AAAAAAAAAAAAW0NvbnRlbnRfVHlwZXNdLnhtbFBLAQItABQABgAIAAAAIQBa9CxbvwAAABUBAAAL&#10;AAAAAAAAAAAAAAAAAB8BAABfcmVscy8ucmVsc1BLAQItABQABgAIAAAAIQB2uzhjxQAAAN8AAAAP&#10;AAAAAAAAAAAAAAAAAAcCAABkcnMvZG93bnJldi54bWxQSwUGAAAAAAMAAwC3AAAA+QIAAAAA&#10;" filled="f" stroked="f">
                  <v:textbox inset="0,0,0,0">
                    <w:txbxContent>
                      <w:p w14:paraId="2DF2500E" w14:textId="77777777" w:rsidR="00B32EF2" w:rsidRDefault="00000000">
                        <w:r>
                          <w:rPr>
                            <w:rFonts w:ascii="Arial" w:eastAsia="Arial" w:hAnsi="Arial" w:cs="Arial"/>
                            <w:i/>
                            <w:sz w:val="18"/>
                          </w:rPr>
                          <w:t>546/92)</w:t>
                        </w:r>
                      </w:p>
                    </w:txbxContent>
                  </v:textbox>
                </v:rect>
                <v:rect id="Rectangle 200601" o:spid="_x0000_s2935" style="position:absolute;left:22219;top:28108;width:194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YUxgAAAN8AAAAPAAAAZHJzL2Rvd25yZXYueG1sRI/BasMw&#10;EETvgf6D2EJvsZweinGjhJIS6kMvdRPocbE2thNrJSzFdvv1kSHQ4zAzb5j1djKdGKj3rWUFqyQF&#10;QVxZ3XKt4PC9X2YgfEDW2FkmBb/kYbt5WKwx13bkLxrKUIsIYZ+jgiYEl0vpq4YM+sQ64uidbG8w&#10;RNnXUvc4Rrjp5HOavkiDLceFBh3tGqou5dUo+HlnV+xHWZ3+du7zXGTdx/VwVOrpcXp7BRFoCv/h&#10;e7vQCmZiuoL5T/wCcnMDAAD//wMAUEsBAi0AFAAGAAgAAAAhANvh9svuAAAAhQEAABMAAAAAAAAA&#10;AAAAAAAAAAAAAFtDb250ZW50X1R5cGVzXS54bWxQSwECLQAUAAYACAAAACEAWvQsW78AAAAVAQAA&#10;CwAAAAAAAAAAAAAAAAAfAQAAX3JlbHMvLnJlbHNQSwECLQAUAAYACAAAACEAhmmmFMYAAADfAAAA&#10;DwAAAAAAAAAAAAAAAAAHAgAAZHJzL2Rvd25yZXYueG1sUEsFBgAAAAADAAMAtwAAAPoCAAAAAA==&#10;" filled="f" stroked="f">
                  <v:textbox inset="0,0,0,0">
                    <w:txbxContent>
                      <w:p w14:paraId="4B1B2679" w14:textId="77777777" w:rsidR="00B32EF2" w:rsidRDefault="00000000">
                        <w:r>
                          <w:rPr>
                            <w:rFonts w:ascii="Arial" w:eastAsia="Arial" w:hAnsi="Arial" w:cs="Arial"/>
                            <w:i/>
                            <w:sz w:val="18"/>
                          </w:rPr>
                          <w:t>(</w:t>
                        </w:r>
                      </w:p>
                    </w:txbxContent>
                  </v:textbox>
                </v:rect>
                <v:rect id="Rectangle 16957" o:spid="_x0000_s2936" style="position:absolute;left:3048;top:26901;width:27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uE5xQAAAN4AAAAPAAAAZHJzL2Rvd25yZXYueG1sRE9Na8JA&#10;EL0X+h+WKXirGwWtja4iipiDl1oLPQ7ZMYlmZ5fsaqK/3i0UvM3jfc5s0ZlaXKnxlWUFg34Cgji3&#10;uuJCweF78z4B4QOyxtoyKbiRh8X89WWGqbYtf9F1HwoRQ9inqKAMwaVS+rwkg75vHXHkjrYxGCJs&#10;CqkbbGO4qeUwScbSYMWxoURHq5Ly8/5iFPyu2WWbVubH+8rtTtmk3l4OP0r13rrlFESgLjzF/+5M&#10;x/njz9EH/L0Tb5DzBwAAAP//AwBQSwECLQAUAAYACAAAACEA2+H2y+4AAACFAQAAEwAAAAAAAAAA&#10;AAAAAAAAAAAAW0NvbnRlbnRfVHlwZXNdLnhtbFBLAQItABQABgAIAAAAIQBa9CxbvwAAABUBAAAL&#10;AAAAAAAAAAAAAAAAAB8BAABfcmVscy8ucmVsc1BLAQItABQABgAIAAAAIQCLfuE5xQAAAN4AAAAP&#10;AAAAAAAAAAAAAAAAAAcCAABkcnMvZG93bnJldi54bWxQSwUGAAAAAAMAAwC3AAAA+QIAAAAA&#10;" filled="f" stroked="f">
                  <v:textbox inset="0,0,0,0">
                    <w:txbxContent>
                      <w:p w14:paraId="6E82EC75" w14:textId="77777777" w:rsidR="00B32EF2" w:rsidRDefault="00000000">
                        <w:r>
                          <w:rPr>
                            <w:rFonts w:ascii="Arial" w:eastAsia="Arial" w:hAnsi="Arial" w:cs="Arial"/>
                            <w:b/>
                            <w:sz w:val="18"/>
                          </w:rPr>
                          <w:t xml:space="preserve">Deposito di documenti e di memorie </w:t>
                        </w:r>
                      </w:p>
                    </w:txbxContent>
                  </v:textbox>
                </v:rect>
                <v:rect id="Rectangle 200600" o:spid="_x0000_s2937" style="position:absolute;left:-13764;top:2569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QOPxgAAAN8AAAAPAAAAZHJzL2Rvd25yZXYueG1sRI/LasMw&#10;EEX3hfyDmEJ2jdwuQnCjhJAQ4kU3zQO6HKSJ7cQaCUt+tF9fFQpZDnfuuZzlerSN6KkNtWMFr7MM&#10;BLF2puZSwfm0f1mACBHZYOOYFHxTgPVq8rTE3LiBP6k/xlIkCIccFVQx+lzKoCuyGGbOE6fs6lqL&#10;MZ1tKU2LQ4LbRr5l2VxarDktVOhpW5G+Hzur4GvHvtgPUl9/tv7jViyaQ3e+KDV9HjfvICKN8fH8&#10;3y6Mgj9ilgyST3IBufoFAAD//wMAUEsBAi0AFAAGAAgAAAAhANvh9svuAAAAhQEAABMAAAAAAAAA&#10;AAAAAAAAAAAAAFtDb250ZW50X1R5cGVzXS54bWxQSwECLQAUAAYACAAAACEAWvQsW78AAAAVAQAA&#10;CwAAAAAAAAAAAAAAAAAfAQAAX3JlbHMvLnJlbHNQSwECLQAUAAYACAAAACEA6SUDj8YAAADfAAAA&#10;DwAAAAAAAAAAAAAAAAAHAgAAZHJzL2Rvd25yZXYueG1sUEsFBgAAAAADAAMAtwAAAPoCAAAAAA==&#10;" filled="f" stroked="f">
                  <v:textbox inset="0,0,0,0">
                    <w:txbxContent>
                      <w:p w14:paraId="7B6308EF" w14:textId="77777777" w:rsidR="00B32EF2" w:rsidRDefault="00000000">
                        <w:r>
                          <w:rPr>
                            <w:rFonts w:ascii="Arial" w:eastAsia="Arial" w:hAnsi="Arial" w:cs="Arial"/>
                            <w:sz w:val="18"/>
                          </w:rPr>
                          <w:t xml:space="preserve">. Le parti possono depositare documenti fino a venti giorni liberi prima della </w:t>
                        </w:r>
                      </w:p>
                    </w:txbxContent>
                  </v:textbox>
                </v:rect>
                <v:rect id="Rectangle 200599" o:spid="_x0000_s2938" style="position:absolute;left:26109;top:2569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F7pxwAAAN8AAAAPAAAAZHJzL2Rvd25yZXYueG1sRI9PawIx&#10;FMTvQr9DeAVvmm3BoqtZKRbpHnrRWujxsXn7x25ewia6q5/eCEKPw8z8hlmtB9OKM3W+sazgZZqA&#10;IC6sbrhScPjeTuYgfEDW2FomBRfysM6eRitMte15R+d9qESEsE9RQR2CS6X0RU0G/dQ64uiVtjMY&#10;ouwqqTvsI9y08jVJ3qTBhuNCjY42NRV/+5NR8PvBLt/2siivG/d1zOft5+nwo9T4eXhfggg0hP/w&#10;o51rBZE4Wyzg/id+AZndAAAA//8DAFBLAQItABQABgAIAAAAIQDb4fbL7gAAAIUBAAATAAAAAAAA&#10;AAAAAAAAAAAAAABbQ29udGVudF9UeXBlc10ueG1sUEsBAi0AFAAGAAgAAAAhAFr0LFu/AAAAFQEA&#10;AAsAAAAAAAAAAAAAAAAAHwEAAF9yZWxzLy5yZWxzUEsBAi0AFAAGAAgAAAAhAEswXunHAAAA3wAA&#10;AA8AAAAAAAAAAAAAAAAABwIAAGRycy9kb3ducmV2LnhtbFBLBQYAAAAAAwADALcAAAD7AgAAAAA=&#10;" filled="f" stroked="f">
                  <v:textbox inset="0,0,0,0">
                    <w:txbxContent>
                      <w:p w14:paraId="2E318D78" w14:textId="77777777" w:rsidR="00B32EF2" w:rsidRDefault="00000000">
                        <w:r>
                          <w:rPr>
                            <w:rFonts w:ascii="Arial" w:eastAsia="Arial" w:hAnsi="Arial" w:cs="Arial"/>
                            <w:sz w:val="18"/>
                          </w:rPr>
                          <w:t>1</w:t>
                        </w:r>
                      </w:p>
                    </w:txbxContent>
                  </v:textbox>
                </v:rect>
                <v:rect id="Rectangle 16959" o:spid="_x0000_s2939" style="position:absolute;left:4758;top:24487;width:351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dDQxAAAAN4AAAAPAAAAZHJzL2Rvd25yZXYueG1sRE9Ni8Iw&#10;EL0L/ocwgjdNFVa0axRRZHvwsq4Lexyasa02k9BEW/31m4UFb/N4n7Ncd6YWd2p8ZVnBZJyAIM6t&#10;rrhQcPraj+YgfEDWWFsmBQ/ysF71e0tMtW35k+7HUIgYwj5FBWUILpXS5yUZ9GPriCN3to3BEGFT&#10;SN1gG8NNLadJMpMGK44NJTralpRfjzej4GfHLtu3Mj8/t+5wyeb1x+30rdRw0G3eQQTqwkv87850&#10;nD9bvC3g7514g1z9AgAA//8DAFBLAQItABQABgAIAAAAIQDb4fbL7gAAAIUBAAATAAAAAAAAAAAA&#10;AAAAAAAAAABbQ29udGVudF9UeXBlc10ueG1sUEsBAi0AFAAGAAgAAAAhAFr0LFu/AAAAFQEAAAsA&#10;AAAAAAAAAAAAAAAAHwEAAF9yZWxzLy5yZWxzUEsBAi0AFAAGAAgAAAAhAJWt0NDEAAAA3gAAAA8A&#10;AAAAAAAAAAAAAAAABwIAAGRycy9kb3ducmV2LnhtbFBLBQYAAAAAAwADALcAAAD4AgAAAAA=&#10;" filled="f" stroked="f">
                  <v:textbox inset="0,0,0,0">
                    <w:txbxContent>
                      <w:p w14:paraId="14C1B794" w14:textId="77777777" w:rsidR="00B32EF2" w:rsidRDefault="00000000">
                        <w:r>
                          <w:rPr>
                            <w:rFonts w:ascii="Arial" w:eastAsia="Arial" w:hAnsi="Arial" w:cs="Arial"/>
                            <w:sz w:val="18"/>
                          </w:rPr>
                          <w:t>data di trattazione osservato l’articolo 70, comma 1.</w:t>
                        </w:r>
                      </w:p>
                    </w:txbxContent>
                  </v:textbox>
                </v:rect>
                <v:rect id="Rectangle 200598" o:spid="_x0000_s2940" style="position:absolute;left:-13817;top:2328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PtyxwAAAN8AAAAPAAAAZHJzL2Rvd25yZXYueG1sRI/BasJA&#10;EIbvhb7DMoXe6qaFFhtdRSzSHHrRKngcsmMSzc4u2dWkfXrnIHgc/vm/mW86H1yrLtTFxrOB11EG&#10;irj0tuHKwPZ39TIGFROyxdYzGfijCPPZ48MUc+t7XtNlkyolEI45GqhTCrnWsazJYRz5QCzZwXcO&#10;k4xdpW2HvcBdq9+y7EM7bFgu1BhoWVN52pydgf0Xh2LV6/Lwvww/x2Lcfp+3O2Oen4bFBFSiId2X&#10;b+3CGhDi+6c8LD7iAnp2BQAA//8DAFBLAQItABQABgAIAAAAIQDb4fbL7gAAAIUBAAATAAAAAAAA&#10;AAAAAAAAAAAAAABbQ29udGVudF9UeXBlc10ueG1sUEsBAi0AFAAGAAgAAAAhAFr0LFu/AAAAFQEA&#10;AAsAAAAAAAAAAAAAAAAAHwEAAF9yZWxzLy5yZWxzUEsBAi0AFAAGAAgAAAAhACR8+3LHAAAA3wAA&#10;AA8AAAAAAAAAAAAAAAAABwIAAGRycy9kb3ducmV2LnhtbFBLBQYAAAAAAwADALcAAAD7AgAAAAA=&#10;" filled="f" stroked="f">
                  <v:textbox inset="0,0,0,0">
                    <w:txbxContent>
                      <w:p w14:paraId="7EE55679" w14:textId="77777777" w:rsidR="00B32EF2" w:rsidRDefault="00000000">
                        <w:r>
                          <w:rPr>
                            <w:rFonts w:ascii="Arial" w:eastAsia="Arial" w:hAnsi="Arial" w:cs="Arial"/>
                            <w:sz w:val="18"/>
                          </w:rPr>
                          <w:t xml:space="preserve">. Fino a dieci giorni liberi prima della data di cui al comma 1 ciascuna delle </w:t>
                        </w:r>
                      </w:p>
                    </w:txbxContent>
                  </v:textbox>
                </v:rect>
                <v:rect id="Rectangle 200597" o:spid="_x0000_s2941" style="position:absolute;left:26109;top:2328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28AxwAAAN8AAAAPAAAAZHJzL2Rvd25yZXYueG1sRI9Ba8JA&#10;FITvgv9heYI33Viw1egqYpHm0ItWweMj+0yi2bdLdjVpf31XKPQ4zMw3zHLdmVo8qPGVZQWTcQKC&#10;OLe64kLB8Ws3moHwAVljbZkUfJOH9arfW2Kqbct7ehxCISKEfYoKyhBcKqXPSzLox9YRR+9iG4Mh&#10;yqaQusE2wk0tX5LkVRqsOC6U6GhbUn473I2C8zu7bNfK/PKzdZ/XbFZ/3I8npYaDbrMAEagL/+G/&#10;dqYVROJ0/gbPP/ELyNUvAAAA//8DAFBLAQItABQABgAIAAAAIQDb4fbL7gAAAIUBAAATAAAAAAAA&#10;AAAAAAAAAAAAAABbQ29udGVudF9UeXBlc10ueG1sUEsBAi0AFAAGAAgAAAAhAFr0LFu/AAAAFQEA&#10;AAsAAAAAAAAAAAAAAAAAHwEAAF9yZWxzLy5yZWxzUEsBAi0AFAAGAAgAAAAhAFXjbwDHAAAA3wAA&#10;AA8AAAAAAAAAAAAAAAAABwIAAGRycy9kb3ducmV2LnhtbFBLBQYAAAAAAwADALcAAAD7AgAAAAA=&#10;" filled="f" stroked="f">
                  <v:textbox inset="0,0,0,0">
                    <w:txbxContent>
                      <w:p w14:paraId="328C64BE" w14:textId="77777777" w:rsidR="00B32EF2" w:rsidRDefault="00000000">
                        <w:r>
                          <w:rPr>
                            <w:rFonts w:ascii="Arial" w:eastAsia="Arial" w:hAnsi="Arial" w:cs="Arial"/>
                            <w:sz w:val="18"/>
                          </w:rPr>
                          <w:t>2</w:t>
                        </w:r>
                      </w:p>
                    </w:txbxContent>
                  </v:textbox>
                </v:rect>
                <v:rect id="Rectangle 16961" o:spid="_x0000_s2942" style="position:absolute;left:-7694;top:22073;width:476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xZrxAAAAN4AAAAPAAAAZHJzL2Rvd25yZXYueG1sRE9Ni8Iw&#10;EL0v+B/CCHtbUz0UrUYRRbYHL6su7HFoxrbaTEITbd1fv1kQvM3jfc5i1ZtG3Kn1tWUF41ECgriw&#10;uuZSwem4+5iC8AFZY2OZFDzIw2o5eFtgpm3HX3Q/hFLEEPYZKqhCcJmUvqjIoB9ZRxy5s20Nhgjb&#10;UuoWuxhuGjlJklQarDk2VOhoU1FxPdyMgp8tu3zXyeL8u3H7Sz5tPm+nb6Xeh/16DiJQH17ipzvX&#10;cX46S8fw/068QS7/AAAA//8DAFBLAQItABQABgAIAAAAIQDb4fbL7gAAAIUBAAATAAAAAAAAAAAA&#10;AAAAAAAAAABbQ29udGVudF9UeXBlc10ueG1sUEsBAi0AFAAGAAgAAAAhAFr0LFu/AAAAFQEAAAsA&#10;AAAAAAAAAAAAAAAAHwEAAF9yZWxzLy5yZWxzUEsBAi0AFAAGAAgAAAAhAKW3FmvEAAAA3gAAAA8A&#10;AAAAAAAAAAAAAAAABwIAAGRycy9kb3ducmV2LnhtbFBLBQYAAAAAAwADALcAAAD4AgAAAAA=&#10;" filled="f" stroked="f">
                  <v:textbox inset="0,0,0,0">
                    <w:txbxContent>
                      <w:p w14:paraId="0A15845F" w14:textId="77777777" w:rsidR="00B32EF2" w:rsidRDefault="00000000">
                        <w:r>
                          <w:rPr>
                            <w:rFonts w:ascii="Arial" w:eastAsia="Arial" w:hAnsi="Arial" w:cs="Arial"/>
                            <w:sz w:val="18"/>
                          </w:rPr>
                          <w:t>parti può depositare memorie illustrative con le copie per le altre parti.</w:t>
                        </w:r>
                      </w:p>
                    </w:txbxContent>
                  </v:textbox>
                </v:rect>
                <v:rect id="Rectangle 200596" o:spid="_x0000_s2943" style="position:absolute;left:-13817;top:208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8qbxwAAAN8AAAAPAAAAZHJzL2Rvd25yZXYueG1sRI/NawIx&#10;FMTvhf4P4RW8abYFRVezUizSPfTiR6HHx+bth928hE10V//6RhB6HGbmN8xqPZhWXKjzjWUFr5ME&#10;BHFhdcOVguNhO56D8AFZY2uZFFzJwzp7flphqm3PO7rsQyUihH2KCuoQXCqlL2oy6CfWEUevtJ3B&#10;EGVXSd1hH+GmlW9JMpMGG44LNTra1FT87s9Gwc8Hu3zby6K8bdzXKZ+3n+fjt1Kjl+F9CSLQEP7D&#10;j3auFUTidDGD+5/4BWT2BwAA//8DAFBLAQItABQABgAIAAAAIQDb4fbL7gAAAIUBAAATAAAAAAAA&#10;AAAAAAAAAAAAAABbQ29udGVudF9UeXBlc10ueG1sUEsBAi0AFAAGAAgAAAAhAFr0LFu/AAAAFQEA&#10;AAsAAAAAAAAAAAAAAAAAHwEAAF9yZWxzLy5yZWxzUEsBAi0AFAAGAAgAAAAhADqvypvHAAAA3wAA&#10;AA8AAAAAAAAAAAAAAAAABwIAAGRycy9kb3ducmV2LnhtbFBLBQYAAAAAAwADALcAAAD7AgAAAAA=&#10;" filled="f" stroked="f">
                  <v:textbox inset="0,0,0,0">
                    <w:txbxContent>
                      <w:p w14:paraId="3C3019B2" w14:textId="77777777" w:rsidR="00B32EF2" w:rsidRDefault="00000000">
                        <w:r>
                          <w:rPr>
                            <w:rFonts w:ascii="Arial" w:eastAsia="Arial" w:hAnsi="Arial" w:cs="Arial"/>
                            <w:sz w:val="18"/>
                          </w:rPr>
                          <w:t xml:space="preserve">. Nel solo caso di trattazione della controversia in camera di consiglio sono </w:t>
                        </w:r>
                      </w:p>
                    </w:txbxContent>
                  </v:textbox>
                </v:rect>
                <v:rect id="Rectangle 200595" o:spid="_x0000_s2944" style="position:absolute;left:26109;top:208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VTsxwAAAN8AAAAPAAAAZHJzL2Rvd25yZXYueG1sRI9PawIx&#10;FMTvBb9DeEJvmrWg2K1ZEUW6h15qFTw+Nm//1M1L2ER3209vCkKPw8z8hlmtB9OKG3W+saxgNk1A&#10;EBdWN1wpOH7tJ0sQPiBrbC2Tgh/ysM5GTytMte35k26HUIkIYZ+igjoEl0rpi5oM+ql1xNErbWcw&#10;RNlVUnfYR7hp5UuSLKTBhuNCjY62NRWXw9UoOO/Y5fteFuXv1n1858v2/Xo8KfU8HjZvIAIN4T/8&#10;aOdaQSTOX+fw9yd+AZndAQAA//8DAFBLAQItABQABgAIAAAAIQDb4fbL7gAAAIUBAAATAAAAAAAA&#10;AAAAAAAAAAAAAABbQ29udGVudF9UeXBlc10ueG1sUEsBAi0AFAAGAAgAAAAhAFr0LFu/AAAAFQEA&#10;AAsAAAAAAAAAAAAAAAAAHwEAAF9yZWxzLy5yZWxzUEsBAi0AFAAGAAgAAAAhAMp9VOzHAAAA3wAA&#10;AA8AAAAAAAAAAAAAAAAABwIAAGRycy9kb3ducmV2LnhtbFBLBQYAAAAAAwADALcAAAD7AgAAAAA=&#10;" filled="f" stroked="f">
                  <v:textbox inset="0,0,0,0">
                    <w:txbxContent>
                      <w:p w14:paraId="4102FC43" w14:textId="77777777" w:rsidR="00B32EF2" w:rsidRDefault="00000000">
                        <w:r>
                          <w:rPr>
                            <w:rFonts w:ascii="Arial" w:eastAsia="Arial" w:hAnsi="Arial" w:cs="Arial"/>
                            <w:sz w:val="18"/>
                          </w:rPr>
                          <w:t>3</w:t>
                        </w:r>
                      </w:p>
                    </w:txbxContent>
                  </v:textbox>
                </v:rect>
                <v:rect id="Rectangle 16963" o:spid="_x0000_s2945" style="position:absolute;left:-13172;top:1965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S2HxAAAAN4AAAAPAAAAZHJzL2Rvd25yZXYueG1sRE9Na8JA&#10;EL0X/A/LCN7qxgrBRlcRRZpDL7UKHofsmESzs0t2NdFf3y0UepvH+5zFqjeNuFPra8sKJuMEBHFh&#10;dc2lgsP37nUGwgdkjY1lUvAgD6vl4GWBmbYdf9F9H0oRQ9hnqKAKwWVS+qIig35sHXHkzrY1GCJs&#10;S6lb7GK4aeRbkqTSYM2xoUJHm4qK6/5mFJy27PJdJ4vzc+M+L/ms+bgdjkqNhv16DiJQH/7Ff+5c&#10;x/npezqF33fiDXL5AwAA//8DAFBLAQItABQABgAIAAAAIQDb4fbL7gAAAIUBAAATAAAAAAAAAAAA&#10;AAAAAAAAAABbQ29udGVudF9UeXBlc10ueG1sUEsBAi0AFAAGAAgAAAAhAFr0LFu/AAAAFQEAAAsA&#10;AAAAAAAAAAAAAAAAHwEAAF9yZWxzLy5yZWxzUEsBAi0AFAAGAAgAAAAhADopLYfEAAAA3gAAAA8A&#10;AAAAAAAAAAAAAAAABwIAAGRycy9kb3ducmV2LnhtbFBLBQYAAAAAAwADALcAAAD4AgAAAAA=&#10;" filled="f" stroked="f">
                  <v:textbox inset="0,0,0,0">
                    <w:txbxContent>
                      <w:p w14:paraId="192DC294" w14:textId="77777777" w:rsidR="00B32EF2" w:rsidRDefault="00000000">
                        <w:r>
                          <w:rPr>
                            <w:rFonts w:ascii="Arial" w:eastAsia="Arial" w:hAnsi="Arial" w:cs="Arial"/>
                            <w:sz w:val="18"/>
                          </w:rPr>
                          <w:t xml:space="preserve">consentite brevi repliche scritte fino a cinque giorni liberi prima della data della </w:t>
                        </w:r>
                      </w:p>
                    </w:txbxContent>
                  </v:textbox>
                </v:rect>
                <v:rect id="Rectangle 16964" o:spid="_x0000_s2946" style="position:absolute;left:26301;top:18452;width:136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LXzxAAAAN4AAAAPAAAAZHJzL2Rvd25yZXYueG1sRE9Na8JA&#10;EL0X/A/LCN7qxiLBRlcRRZpDL7UKHofsmESzs0t2NdFf3y0UepvH+5zFqjeNuFPra8sKJuMEBHFh&#10;dc2lgsP37nUGwgdkjY1lUvAgD6vl4GWBmbYdf9F9H0oRQ9hnqKAKwWVS+qIig35sHXHkzrY1GCJs&#10;S6lb7GK4aeRbkqTSYM2xoUJHm4qK6/5mFJy27PJdJ4vzc+M+L/ms+bgdjkqNhv16DiJQH/7Ff+5c&#10;x/npezqF33fiDXL5AwAA//8DAFBLAQItABQABgAIAAAAIQDb4fbL7gAAAIUBAAATAAAAAAAAAAAA&#10;AAAAAAAAAABbQ29udGVudF9UeXBlc10ueG1sUEsBAi0AFAAGAAgAAAAhAFr0LFu/AAAAFQEAAAsA&#10;AAAAAAAAAAAAAAAAHwEAAF9yZWxzLy5yZWxzUEsBAi0AFAAGAAgAAAAhALXAtfPEAAAA3gAAAA8A&#10;AAAAAAAAAAAAAAAABwIAAGRycy9kb3ducmV2LnhtbFBLBQYAAAAAAwADALcAAAD4AgAAAAA=&#10;" filled="f" stroked="f">
                  <v:textbox inset="0,0,0,0">
                    <w:txbxContent>
                      <w:p w14:paraId="71A5104B" w14:textId="77777777" w:rsidR="00B32EF2" w:rsidRDefault="00000000">
                        <w:r>
                          <w:rPr>
                            <w:rFonts w:ascii="Arial" w:eastAsia="Arial" w:hAnsi="Arial" w:cs="Arial"/>
                            <w:sz w:val="18"/>
                          </w:rPr>
                          <w:t>camera di consiglio.</w:t>
                        </w:r>
                      </w:p>
                    </w:txbxContent>
                  </v:textbox>
                </v:rect>
                <v:rect id="Rectangle 16965" o:spid="_x0000_s2947" style="position:absolute;left:15097;top:16039;width:8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BBoxAAAAN4AAAAPAAAAZHJzL2Rvd25yZXYueG1sRE9Na8JA&#10;EL0X/A/LCN7qxoLBRlcRRZpDL7UKHofsmESzs0t2NdFf3y0UepvH+5zFqjeNuFPra8sKJuMEBHFh&#10;dc2lgsP37nUGwgdkjY1lUvAgD6vl4GWBmbYdf9F9H0oRQ9hnqKAKwWVS+qIig35sHXHkzrY1GCJs&#10;S6lb7GK4aeRbkqTSYM2xoUJHm4qK6/5mFJy27PJdJ4vzc+M+L/ms+bgdjkqNhv16DiJQH/7Ff+5c&#10;x/npezqF33fiDXL5AwAA//8DAFBLAQItABQABgAIAAAAIQDb4fbL7gAAAIUBAAATAAAAAAAAAAAA&#10;AAAAAAAAAABbQ29udGVudF9UeXBlc10ueG1sUEsBAi0AFAAGAAgAAAAhAFr0LFu/AAAAFQEAAAsA&#10;AAAAAAAAAAAAAAAAHwEAAF9yZWxzLy5yZWxzUEsBAi0AFAAGAAgAAAAhANqMEGjEAAAA3gAAAA8A&#10;AAAAAAAAAAAAAAAABwIAAGRycy9kb3ducmV2LnhtbFBLBQYAAAAAAwADALcAAAD4AgAAAAA=&#10;" filled="f" stroked="f">
                  <v:textbox inset="0,0,0,0">
                    <w:txbxContent>
                      <w:p w14:paraId="11589E11" w14:textId="77777777" w:rsidR="00B32EF2" w:rsidRDefault="00000000">
                        <w:r>
                          <w:rPr>
                            <w:rFonts w:ascii="Arial" w:eastAsia="Arial" w:hAnsi="Arial" w:cs="Arial"/>
                            <w:b/>
                            <w:sz w:val="18"/>
                          </w:rPr>
                          <w:t>Articolo 81</w:t>
                        </w:r>
                      </w:p>
                    </w:txbxContent>
                  </v:textbox>
                </v:rect>
                <v:rect id="Rectangle 200588" o:spid="_x0000_s2948" style="position:absolute;left:22222;top:14832;width:194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2vxwAAAN8AAAAPAAAAZHJzL2Rvd25yZXYueG1sRI9Na8Mw&#10;DIbvg/0Ho0Fvq7NBS8jqltFRmsMu6wfsKGI1yRbLJnabdL9+OhR6FK/eR3oWq9F16kJ9bD0beJlm&#10;oIgrb1uuDRz2m+ccVEzIFjvPZOBKEVbLx4cFFtYP/EWXXaqVQDgWaKBJKRRax6ohh3HqA7FkJ987&#10;TDL2tbY9DgJ3nX7Nsrl22LJcaDDQuqHqd3d2Br4/OJSbQVenv3X4/Cnzbns+HI2ZPI3vb6ASjem+&#10;fGuX1oAQZ7k8LD7iAnr5DwAA//8DAFBLAQItABQABgAIAAAAIQDb4fbL7gAAAIUBAAATAAAAAAAA&#10;AAAAAAAAAAAAAABbQ29udGVudF9UeXBlc10ueG1sUEsBAi0AFAAGAAgAAAAhAFr0LFu/AAAAFQEA&#10;AAsAAAAAAAAAAAAAAAAAHwEAAF9yZWxzLy5yZWxzUEsBAi0AFAAGAAgAAAAhAKGlba/HAAAA3wAA&#10;AA8AAAAAAAAAAAAAAAAABwIAAGRycy9kb3ducmV2LnhtbFBLBQYAAAAAAwADALcAAAD7AgAAAAA=&#10;" filled="f" stroked="f">
                  <v:textbox inset="0,0,0,0">
                    <w:txbxContent>
                      <w:p w14:paraId="1EA8BBD6" w14:textId="77777777" w:rsidR="00B32EF2" w:rsidRDefault="00000000">
                        <w:r>
                          <w:rPr>
                            <w:rFonts w:ascii="Arial" w:eastAsia="Arial" w:hAnsi="Arial" w:cs="Arial"/>
                            <w:i/>
                            <w:sz w:val="18"/>
                          </w:rPr>
                          <w:t>(</w:t>
                        </w:r>
                      </w:p>
                    </w:txbxContent>
                  </v:textbox>
                </v:rect>
                <v:rect id="Rectangle 200592" o:spid="_x0000_s2949" style="position:absolute;left:-2644;top:14832;width:194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MyYxwAAAN8AAAAPAAAAZHJzL2Rvd25yZXYueG1sRI9PawIx&#10;FMTvBb9DeEJvNavQYlezIop0D15qFTw+Nm//6OYlbKK79dM3hUKPw8z8hlmuBtOKO3W+saxgOklA&#10;EBdWN1wpOH7tXuYgfEDW2FomBd/kYZWNnpaYatvzJ90PoRIRwj5FBXUILpXSFzUZ9BPriKNX2s5g&#10;iLKrpO6wj3DTylmSvEmDDceFGh1taiquh5tRcN6yy3e9LMrHxu0v+bz9uB1PSj2Ph/UCRKAh/If/&#10;2rlWEImv7zP4/RO/gMx+AAAA//8DAFBLAQItABQABgAIAAAAIQDb4fbL7gAAAIUBAAATAAAAAAAA&#10;AAAAAAAAAAAAAABbQ29udGVudF9UeXBlc10ueG1sUEsBAi0AFAAGAAgAAAAhAFr0LFu/AAAAFQEA&#10;AAsAAAAAAAAAAAAAAAAAHwEAAF9yZWxzLy5yZWxzUEsBAi0AFAAGAAgAAAAhAEWUzJjHAAAA3wAA&#10;AA8AAAAAAAAAAAAAAAAABwIAAGRycy9kb3ducmV2LnhtbFBLBQYAAAAAAwADALcAAAD7AgAAAAA=&#10;" filled="f" stroked="f">
                  <v:textbox inset="0,0,0,0">
                    <w:txbxContent>
                      <w:p w14:paraId="4B2322DE" w14:textId="77777777" w:rsidR="00B32EF2" w:rsidRDefault="00000000">
                        <w:r>
                          <w:rPr>
                            <w:rFonts w:ascii="Arial" w:eastAsia="Arial" w:hAnsi="Arial" w:cs="Arial"/>
                            <w:i/>
                            <w:sz w:val="18"/>
                          </w:rPr>
                          <w:t>546/92)</w:t>
                        </w:r>
                      </w:p>
                    </w:txbxContent>
                  </v:textbox>
                </v:rect>
                <v:rect id="Rectangle 200594" o:spid="_x0000_s2950" style="position:absolute;left:11619;top:14832;width:194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fF3xwAAAN8AAAAPAAAAZHJzL2Rvd25yZXYueG1sRI9Ba8JA&#10;FITvgv9heYI33Vhs0egqYpHm0ItWweMj+0yi2bdLdjVpf31XKPQ4zMw3zHLdmVo8qPGVZQWTcQKC&#10;OLe64kLB8Ws3moHwAVljbZkUfJOH9arfW2Kqbct7ehxCISKEfYoKyhBcKqXPSzLox9YRR+9iG4Mh&#10;yqaQusE2wk0tX5LkTRqsOC6U6GhbUn473I2C8zu7bNfK/PKzdZ/XbFZ/3I8npYaDbrMAEagL/+G/&#10;dqYVROLrfArPP/ELyNUvAAAA//8DAFBLAQItABQABgAIAAAAIQDb4fbL7gAAAIUBAAATAAAAAAAA&#10;AAAAAAAAAAAAAABbQ29udGVudF9UeXBlc10ueG1sUEsBAi0AFAAGAAgAAAAhAFr0LFu/AAAAFQEA&#10;AAsAAAAAAAAAAAAAAAAAHwEAAF9yZWxzLy5yZWxzUEsBAi0AFAAGAAgAAAAhAKUx8XfHAAAA3wAA&#10;AA8AAAAAAAAAAAAAAAAABwIAAGRycy9kb3ducmV2LnhtbFBLBQYAAAAAAwADALcAAAD7AgAAAAA=&#10;" filled="f" stroked="f">
                  <v:textbox inset="0,0,0,0">
                    <w:txbxContent>
                      <w:p w14:paraId="1EA294FE" w14:textId="77777777" w:rsidR="00B32EF2" w:rsidRDefault="00000000">
                        <w:r>
                          <w:rPr>
                            <w:rFonts w:ascii="Arial" w:eastAsia="Arial" w:hAnsi="Arial" w:cs="Arial"/>
                            <w:i/>
                            <w:sz w:val="18"/>
                          </w:rPr>
                          <w:t xml:space="preserve">articolo 33 D.lgs. n. </w:t>
                        </w:r>
                      </w:p>
                    </w:txbxContent>
                  </v:textbox>
                </v:rect>
                <v:rect id="Rectangle 16967" o:spid="_x0000_s2951" style="position:absolute;left:4127;top:13625;width:253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iuExAAAAN4AAAAPAAAAZHJzL2Rvd25yZXYueG1sRE9Na8JA&#10;EL0L/Q/LCN7qRg9RU1cpFjEHL1ULPQ7ZMUmbnV2yq4n+erdQ8DaP9znLdW8acaXW15YVTMYJCOLC&#10;6ppLBafj9nUOwgdkjY1lUnAjD+vVy2CJmbYdf9L1EEoRQ9hnqKAKwWVS+qIig35sHXHkzrY1GCJs&#10;S6lb7GK4aeQ0SVJpsObYUKGjTUXF7+FiFHx/sMu3nSzO943b/+TzZnc5fSk1GvbvbyAC9eEp/nfn&#10;Os5PF+kM/t6JN8jVAwAA//8DAFBLAQItABQABgAIAAAAIQDb4fbL7gAAAIUBAAATAAAAAAAAAAAA&#10;AAAAAAAAAABbQ29udGVudF9UeXBlc10ueG1sUEsBAi0AFAAGAAgAAAAhAFr0LFu/AAAAFQEAAAsA&#10;AAAAAAAAAAAAAAAAHwEAAF9yZWxzLy5yZWxzUEsBAi0AFAAGAAgAAAAhAEUSK4TEAAAA3gAAAA8A&#10;AAAAAAAAAAAAAAAABwIAAGRycy9kb3ducmV2LnhtbFBLBQYAAAAAAwADALcAAAD4AgAAAAA=&#10;" filled="f" stroked="f">
                  <v:textbox inset="0,0,0,0">
                    <w:txbxContent>
                      <w:p w14:paraId="079EB51B" w14:textId="77777777" w:rsidR="00B32EF2" w:rsidRDefault="00000000">
                        <w:r>
                          <w:rPr>
                            <w:rFonts w:ascii="Arial" w:eastAsia="Arial" w:hAnsi="Arial" w:cs="Arial"/>
                            <w:b/>
                            <w:sz w:val="18"/>
                          </w:rPr>
                          <w:t xml:space="preserve">Trattazione in camera di consiglio </w:t>
                        </w:r>
                      </w:p>
                    </w:txbxContent>
                  </v:textbox>
                </v:rect>
                <v:rect id="Rectangle 200586" o:spid="_x0000_s2952" style="position:absolute;left:-13764;top:1241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GxgAAAN8AAAAPAAAAZHJzL2Rvd25yZXYueG1sRI9Pi8Iw&#10;FMTvC36H8IS9rekKSukaZVHEHrz4D/b4aJ5td5uX0ETb9dMbQfA4zMxvmNmiN424Uutrywo+RwkI&#10;4sLqmksFx8P6IwXhA7LGxjIp+CcPi/ngbYaZth3v6LoPpYgQ9hkqqEJwmZS+qMigH1lHHL2zbQ2G&#10;KNtS6ha7CDeNHCfJVBqsOS5U6GhZUfG3vxgFPyt2+bqTxfm2dNvfPG02l+NJqfdh//0FIlAfXuFn&#10;O9cKInGSTuHxJ34BOb8DAAD//wMAUEsBAi0AFAAGAAgAAAAhANvh9svuAAAAhQEAABMAAAAAAAAA&#10;AAAAAAAAAAAAAFtDb250ZW50X1R5cGVzXS54bWxQSwECLQAUAAYACAAAACEAWvQsW78AAAAVAQAA&#10;CwAAAAAAAAAAAAAAAAAfAQAAX3JlbHMvLnJlbHNQSwECLQAUAAYACAAAACEAv3ZcRsYAAADfAAAA&#10;DwAAAAAAAAAAAAAAAAAHAgAAZHJzL2Rvd25yZXYueG1sUEsFBgAAAAADAAMAtwAAAPoCAAAAAA==&#10;" filled="f" stroked="f">
                  <v:textbox inset="0,0,0,0">
                    <w:txbxContent>
                      <w:p w14:paraId="1E54273D" w14:textId="77777777" w:rsidR="00B32EF2" w:rsidRDefault="00000000">
                        <w:r>
                          <w:rPr>
                            <w:rFonts w:ascii="Arial" w:eastAsia="Arial" w:hAnsi="Arial" w:cs="Arial"/>
                            <w:sz w:val="18"/>
                          </w:rPr>
                          <w:t xml:space="preserve">. La controversia è trattata in camera di consiglio salvo che almeno una delle </w:t>
                        </w:r>
                      </w:p>
                    </w:txbxContent>
                  </v:textbox>
                </v:rect>
                <v:rect id="Rectangle 200583" o:spid="_x0000_s2953" style="position:absolute;left:26109;top:1241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f/exwAAAN8AAAAPAAAAZHJzL2Rvd25yZXYueG1sRI9Ba8JA&#10;FITvgv9heUJvumlLJaRuQrFIc/BSa6HHR/aZRLNvl+xqUn99tyB4HGbmG2ZVjKYTF+p9a1nB4yIB&#10;QVxZ3XKtYP+1macgfEDW2FkmBb/kocinkxVm2g78SZddqEWEsM9QQROCy6T0VUMG/cI64ugdbG8w&#10;RNnXUvc4RLjp5FOSLKXBluNCg47WDVWn3dko+HlnV24GWR2ua7c9lmn3cd5/K/UwG99eQQQawz18&#10;a5daQSS+pM/w/yd+AZn/AQAA//8DAFBLAQItABQABgAIAAAAIQDb4fbL7gAAAIUBAAATAAAAAAAA&#10;AAAAAAAAAAAAAABbQ29udGVudF9UeXBlc10ueG1sUEsBAi0AFAAGAAgAAAAhAFr0LFu/AAAAFQEA&#10;AAsAAAAAAAAAAAAAAAAAHwEAAF9yZWxzLy5yZWxzUEsBAi0AFAAGAAgAAAAhAK8B/97HAAAA3wAA&#10;AA8AAAAAAAAAAAAAAAAABwIAAGRycy9kb3ducmV2LnhtbFBLBQYAAAAAAwADALcAAAD7AgAAAAA=&#10;" filled="f" stroked="f">
                  <v:textbox inset="0,0,0,0">
                    <w:txbxContent>
                      <w:p w14:paraId="3AE46CFD" w14:textId="77777777" w:rsidR="00B32EF2" w:rsidRDefault="00000000">
                        <w:r>
                          <w:rPr>
                            <w:rFonts w:ascii="Arial" w:eastAsia="Arial" w:hAnsi="Arial" w:cs="Arial"/>
                            <w:sz w:val="18"/>
                          </w:rPr>
                          <w:t>1</w:t>
                        </w:r>
                      </w:p>
                    </w:txbxContent>
                  </v:textbox>
                </v:rect>
                <v:rect id="Rectangle 16969" o:spid="_x0000_s2954" style="position:absolute;left:-13176;top:11211;width:53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ptxAAAAN4AAAAPAAAAZHJzL2Rvd25yZXYueG1sRE9Na8JA&#10;EL0L/odlCr3pph6Cpq4iiphDL9UIHofsmKRmZ5fsatL++m6h4G0e73OW68G04kGdbywreJsmIIhL&#10;qxuuFBSn/WQOwgdkja1lUvBNHtar8WiJmbY9f9LjGCoRQ9hnqKAOwWVS+rImg35qHXHkrrYzGCLs&#10;Kqk77GO4aeUsSVJpsOHYUKOjbU3l7Xg3Ci47dvm+l+X1Z+s+vvJ5e7gXZ6VeX4bNO4hAQ3iK/925&#10;jvPTRbqAv3fiDXL1CwAA//8DAFBLAQItABQABgAIAAAAIQDb4fbL7gAAAIUBAAATAAAAAAAAAAAA&#10;AAAAAAAAAABbQ29udGVudF9UeXBlc10ueG1sUEsBAi0AFAAGAAgAAAAhAFr0LFu/AAAAFQEAAAsA&#10;AAAAAAAAAAAAAAAAHwEAAF9yZWxzLy5yZWxzUEsBAi0AFAAGAAgAAAAhAFvBGm3EAAAA3gAAAA8A&#10;AAAAAAAAAAAAAAAABwIAAGRycy9kb3ducmV2LnhtbFBLBQYAAAAAAwADALcAAAD4AgAAAAA=&#10;" filled="f" stroked="f">
                  <v:textbox inset="0,0,0,0">
                    <w:txbxContent>
                      <w:p w14:paraId="7B3C736F" w14:textId="77777777" w:rsidR="00B32EF2" w:rsidRDefault="00000000">
                        <w:r>
                          <w:rPr>
                            <w:rFonts w:ascii="Arial" w:eastAsia="Arial" w:hAnsi="Arial" w:cs="Arial"/>
                            <w:sz w:val="18"/>
                          </w:rPr>
                          <w:t xml:space="preserve">parti non chieda la discussione in pubblica udienza, in presenza o da remoto, </w:t>
                        </w:r>
                      </w:p>
                    </w:txbxContent>
                  </v:textbox>
                </v:rect>
                <v:rect id="Rectangle 16970" o:spid="_x0000_s2955" style="position:absolute;left:-13172;top:1000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iUtyAAAAN4AAAAPAAAAZHJzL2Rvd25yZXYueG1sRI9Pb8Iw&#10;DMXvk/YdIk/abaTswFhHQIgJrYdd+DNpR6sxbbfGiZpAC58eH5C42fLze+83WwyuVSfqYuPZwHiU&#10;gSIuvW24MrDfrV+moGJCtth6JgNnirCYPz7MMLe+5w2dtqlSYsIxRwN1SiHXOpY1OYwjH4jldvCd&#10;wyRrV2nbYS/mrtWvWTbRDhuWhBoDrWoq/7dHZ+D3k0Ox7nV5uKzC918xbb+O+x9jnp+G5QeoREO6&#10;i2/fhZX6k/c3ARAcmUHPrwAAAP//AwBQSwECLQAUAAYACAAAACEA2+H2y+4AAACFAQAAEwAAAAAA&#10;AAAAAAAAAAAAAAAAW0NvbnRlbnRfVHlwZXNdLnhtbFBLAQItABQABgAIAAAAIQBa9CxbvwAAABUB&#10;AAALAAAAAAAAAAAAAAAAAB8BAABfcmVscy8ucmVsc1BLAQItABQABgAIAAAAIQBPIiUtyAAAAN4A&#10;AAAPAAAAAAAAAAAAAAAAAAcCAABkcnMvZG93bnJldi54bWxQSwUGAAAAAAMAAwC3AAAA/AIAAAAA&#10;" filled="f" stroked="f">
                  <v:textbox inset="0,0,0,0">
                    <w:txbxContent>
                      <w:p w14:paraId="0C622561" w14:textId="77777777" w:rsidR="00B32EF2" w:rsidRDefault="00000000">
                        <w:r>
                          <w:rPr>
                            <w:rFonts w:ascii="Arial" w:eastAsia="Arial" w:hAnsi="Arial" w:cs="Arial"/>
                            <w:sz w:val="18"/>
                          </w:rPr>
                          <w:t xml:space="preserve">con apposita istanza da notificare alle altre parti costituite entro il termine di cui </w:t>
                        </w:r>
                      </w:p>
                    </w:txbxContent>
                  </v:textbox>
                </v:rect>
                <v:rect id="Rectangle 16971" o:spid="_x0000_s2956" style="position:absolute;left:-12187;top:8797;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oC2xAAAAN4AAAAPAAAAZHJzL2Rvd25yZXYueG1sRE9Li8Iw&#10;EL4v7H8II3jT1D242jWKuMj24MUX7HFoxrbaTEITbfXXbwRhb/PxPWe26EwtbtT4yrKC0TABQZxb&#10;XXGh4LBfDyYgfEDWWFsmBXfysJi/v80w1bblLd12oRAxhH2KCsoQXCqlz0sy6IfWEUfuZBuDIcKm&#10;kLrBNoabWn4kyVgarDg2lOhoVVJ+2V2Ngt9vdtm6lfnpsXKbczapf66Ho1L9Xrf8AhGoC//ilzvT&#10;cf54+jmC5zvxBjn/AwAA//8DAFBLAQItABQABgAIAAAAIQDb4fbL7gAAAIUBAAATAAAAAAAAAAAA&#10;AAAAAAAAAABbQ29udGVudF9UeXBlc10ueG1sUEsBAi0AFAAGAAgAAAAhAFr0LFu/AAAAFQEAAAsA&#10;AAAAAAAAAAAAAAAAHwEAAF9yZWxzLy5yZWxzUEsBAi0AFAAGAAgAAAAhACBugLbEAAAA3gAAAA8A&#10;AAAAAAAAAAAAAAAABwIAAGRycy9kb3ducmV2LnhtbFBLBQYAAAAAAwADALcAAAD4AgAAAAA=&#10;" filled="f" stroked="f">
                  <v:textbox inset="0,0,0,0">
                    <w:txbxContent>
                      <w:p w14:paraId="47834098" w14:textId="77777777" w:rsidR="00B32EF2" w:rsidRDefault="00000000">
                        <w:r>
                          <w:rPr>
                            <w:rFonts w:ascii="Arial" w:eastAsia="Arial" w:hAnsi="Arial" w:cs="Arial"/>
                            <w:sz w:val="18"/>
                          </w:rPr>
                          <w:t>all’articolo 80, comma 2, e da depositare nella segreteria unitamente alla pro</w:t>
                        </w:r>
                      </w:p>
                    </w:txbxContent>
                  </v:textbox>
                </v:rect>
                <v:rect id="Rectangle 16972" o:spid="_x0000_s2957" style="position:absolute;left:191;top:879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B7BxAAAAN4AAAAPAAAAZHJzL2Rvd25yZXYueG1sRE9Ni8Iw&#10;EL0v+B/CCN401YPrdo0iitiDl1UX9jg0Y1ttJqGJtvrrNwvC3ubxPme+7Ewt7tT4yrKC8SgBQZxb&#10;XXGh4HTcDmcgfEDWWFsmBQ/ysFz03uaYatvyF90PoRAxhH2KCsoQXCqlz0sy6EfWEUfubBuDIcKm&#10;kLrBNoabWk6SZCoNVhwbSnS0Lim/Hm5Gwc+GXbZtZX5+rt3+ks3q3e30rdSg360+QQTqwr/45c50&#10;nD/9eJ/A3zvxBrn4BQAA//8DAFBLAQItABQABgAIAAAAIQDb4fbL7gAAAIUBAAATAAAAAAAAAAAA&#10;AAAAAAAAAABbQ29udGVudF9UeXBlc10ueG1sUEsBAi0AFAAGAAgAAAAhAFr0LFu/AAAAFQEAAAsA&#10;AAAAAAAAAAAAAAAAHwEAAF9yZWxzLy5yZWxzUEsBAi0AFAAGAAgAAAAhANC8HsHEAAAA3gAAAA8A&#10;AAAAAAAAAAAAAAAABwIAAGRycy9kb3ducmV2LnhtbFBLBQYAAAAAAwADALcAAAD4AgAAAAA=&#10;" filled="f" stroked="f">
                  <v:textbox inset="0,0,0,0">
                    <w:txbxContent>
                      <w:p w14:paraId="0C39B960" w14:textId="77777777" w:rsidR="00B32EF2" w:rsidRDefault="00000000">
                        <w:r>
                          <w:rPr>
                            <w:rFonts w:ascii="Arial" w:eastAsia="Arial" w:hAnsi="Arial" w:cs="Arial"/>
                            <w:sz w:val="18"/>
                          </w:rPr>
                          <w:t>-</w:t>
                        </w:r>
                      </w:p>
                    </w:txbxContent>
                  </v:textbox>
                </v:rect>
                <v:rect id="Rectangle 16973" o:spid="_x0000_s2958" style="position:absolute;left:-13172;top:759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taxQAAAN4AAAAPAAAAZHJzL2Rvd25yZXYueG1sRE9Na8JA&#10;EL0X+h+WKXirGxWsja4iipiDl1oLPQ7ZMYlmZ5fsaqK/3i0UvM3jfc5s0ZlaXKnxlWUFg34Cgji3&#10;uuJCweF78z4B4QOyxtoyKbiRh8X89WWGqbYtf9F1HwoRQ9inqKAMwaVS+rwkg75vHXHkjrYxGCJs&#10;CqkbbGO4qeUwScbSYMWxoURHq5Ly8/5iFPyu2WWbVubH+8rtTtmk3l4OP0r13rrlFESgLjzF/+5M&#10;x/njz48R/L0Tb5DzBwAAAP//AwBQSwECLQAUAAYACAAAACEA2+H2y+4AAACFAQAAEwAAAAAAAAAA&#10;AAAAAAAAAAAAW0NvbnRlbnRfVHlwZXNdLnhtbFBLAQItABQABgAIAAAAIQBa9CxbvwAAABUBAAAL&#10;AAAAAAAAAAAAAAAAAB8BAABfcmVscy8ucmVsc1BLAQItABQABgAIAAAAIQC/8LtaxQAAAN4AAAAP&#10;AAAAAAAAAAAAAAAAAAcCAABkcnMvZG93bnJldi54bWxQSwUGAAAAAAMAAwC3AAAA+QIAAAAA&#10;" filled="f" stroked="f">
                  <v:textbox inset="0,0,0,0">
                    <w:txbxContent>
                      <w:p w14:paraId="39081741" w14:textId="77777777" w:rsidR="00B32EF2" w:rsidRDefault="00000000">
                        <w:r>
                          <w:rPr>
                            <w:rFonts w:ascii="Arial" w:eastAsia="Arial" w:hAnsi="Arial" w:cs="Arial"/>
                            <w:sz w:val="18"/>
                          </w:rPr>
                          <w:t xml:space="preserve">va della notificazione. Se una parte chiede la discussione in pubblica udienza </w:t>
                        </w:r>
                      </w:p>
                    </w:txbxContent>
                  </v:textbox>
                </v:rect>
                <v:rect id="Rectangle 16974" o:spid="_x0000_s2959" style="position:absolute;left:-12213;top:6383;width:521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MuxQAAAN4AAAAPAAAAZHJzL2Rvd25yZXYueG1sRE9Na8JA&#10;EL0X+h+WKXirG0Wsja4iipiDl1oLPQ7ZMYlmZ5fsaqK/3i0UvM3jfc5s0ZlaXKnxlWUFg34Cgji3&#10;uuJCweF78z4B4QOyxtoyKbiRh8X89WWGqbYtf9F1HwoRQ9inqKAMwaVS+rwkg75vHXHkjrYxGCJs&#10;CqkbbGO4qeUwScbSYMWxoURHq5Ly8/5iFPyu2WWbVubH+8rtTtmk3l4OP0r13rrlFESgLjzF/+5M&#10;x/njz48R/L0Tb5DzBwAAAP//AwBQSwECLQAUAAYACAAAACEA2+H2y+4AAACFAQAAEwAAAAAAAAAA&#10;AAAAAAAAAAAAW0NvbnRlbnRfVHlwZXNdLnhtbFBLAQItABQABgAIAAAAIQBa9CxbvwAAABUBAAAL&#10;AAAAAAAAAAAAAAAAAB8BAABfcmVscy8ucmVsc1BLAQItABQABgAIAAAAIQAwGSMuxQAAAN4AAAAP&#10;AAAAAAAAAAAAAAAAAAcCAABkcnMvZG93bnJldi54bWxQSwUGAAAAAAMAAwC3AAAA+QIAAAAA&#10;" filled="f" stroked="f">
                  <v:textbox inset="0,0,0,0">
                    <w:txbxContent>
                      <w:p w14:paraId="33E19708" w14:textId="77777777" w:rsidR="00B32EF2" w:rsidRDefault="00000000">
                        <w:r>
                          <w:rPr>
                            <w:rFonts w:ascii="Arial" w:eastAsia="Arial" w:hAnsi="Arial" w:cs="Arial"/>
                            <w:sz w:val="18"/>
                          </w:rPr>
                          <w:t>e in presenza e un’altra parte chiede invece di discutere da remoto, la discus</w:t>
                        </w:r>
                      </w:p>
                    </w:txbxContent>
                  </v:textbox>
                </v:rect>
                <v:rect id="Rectangle 16975" o:spid="_x0000_s2960" style="position:absolute;left:191;top:6383;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Ya1xQAAAN4AAAAPAAAAZHJzL2Rvd25yZXYueG1sRE9Na8JA&#10;EL0X+h+WKXirGwWtja4iipiDl1oLPQ7ZMYlmZ5fsaqK/3i0UvM3jfc5s0ZlaXKnxlWUFg34Cgji3&#10;uuJCweF78z4B4QOyxtoyKbiRh8X89WWGqbYtf9F1HwoRQ9inqKAMwaVS+rwkg75vHXHkjrYxGCJs&#10;CqkbbGO4qeUwScbSYMWxoURHq5Ly8/5iFPyu2WWbVubH+8rtTtmk3l4OP0r13rrlFESgLjzF/+5M&#10;x/njz48R/L0Tb5DzBwAAAP//AwBQSwECLQAUAAYACAAAACEA2+H2y+4AAACFAQAAEwAAAAAAAAAA&#10;AAAAAAAAAAAAW0NvbnRlbnRfVHlwZXNdLnhtbFBLAQItABQABgAIAAAAIQBa9CxbvwAAABUBAAAL&#10;AAAAAAAAAAAAAAAAAB8BAABfcmVscy8ucmVsc1BLAQItABQABgAIAAAAIQBfVYa1xQAAAN4AAAAP&#10;AAAAAAAAAAAAAAAAAAcCAABkcnMvZG93bnJldi54bWxQSwUGAAAAAAMAAwC3AAAA+QIAAAAA&#10;" filled="f" stroked="f">
                  <v:textbox inset="0,0,0,0">
                    <w:txbxContent>
                      <w:p w14:paraId="76478053" w14:textId="77777777" w:rsidR="00B32EF2" w:rsidRDefault="00000000">
                        <w:r>
                          <w:rPr>
                            <w:rFonts w:ascii="Arial" w:eastAsia="Arial" w:hAnsi="Arial" w:cs="Arial"/>
                            <w:sz w:val="18"/>
                          </w:rPr>
                          <w:t>-</w:t>
                        </w:r>
                      </w:p>
                    </w:txbxContent>
                  </v:textbox>
                </v:rect>
                <v:rect id="Rectangle 16976" o:spid="_x0000_s2961" style="position:absolute;left:-13172;top:517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xjCxAAAAN4AAAAPAAAAZHJzL2Rvd25yZXYueG1sRE9Na8JA&#10;EL0L/Q/LCN7qRg9RU1cpFjEHL1ULPQ7ZMUmbnV2yq4n+erdQ8DaP9znLdW8acaXW15YVTMYJCOLC&#10;6ppLBafj9nUOwgdkjY1lUnAjD+vVy2CJmbYdf9L1EEoRQ9hnqKAKwWVS+qIig35sHXHkzrY1GCJs&#10;S6lb7GK4aeQ0SVJpsObYUKGjTUXF7+FiFHx/sMu3nSzO943b/+TzZnc5fSk1GvbvbyAC9eEp/nfn&#10;Os5PF7MU/t6JN8jVAwAA//8DAFBLAQItABQABgAIAAAAIQDb4fbL7gAAAIUBAAATAAAAAAAAAAAA&#10;AAAAAAAAAABbQ29udGVudF9UeXBlc10ueG1sUEsBAi0AFAAGAAgAAAAhAFr0LFu/AAAAFQEAAAsA&#10;AAAAAAAAAAAAAAAAHwEAAF9yZWxzLy5yZWxzUEsBAi0AFAAGAAgAAAAhAK+HGMLEAAAA3gAAAA8A&#10;AAAAAAAAAAAAAAAABwIAAGRycy9kb3ducmV2LnhtbFBLBQYAAAAAAwADALcAAAD4AgAAAAA=&#10;" filled="f" stroked="f">
                  <v:textbox inset="0,0,0,0">
                    <w:txbxContent>
                      <w:p w14:paraId="5EEF8395" w14:textId="77777777" w:rsidR="00B32EF2" w:rsidRDefault="00000000">
                        <w:r>
                          <w:rPr>
                            <w:rFonts w:ascii="Arial" w:eastAsia="Arial" w:hAnsi="Arial" w:cs="Arial"/>
                            <w:sz w:val="18"/>
                          </w:rPr>
                          <w:t xml:space="preserve">sione avviene in presenza, fermo il diritto, per chi lo ha chiesto, di discutere da </w:t>
                        </w:r>
                      </w:p>
                    </w:txbxContent>
                  </v:textbox>
                </v:rect>
                <v:shape id="Shape 207854" o:spid="_x0000_s2962" style="position:absolute;left:317;top:43972;width:39600;height:18593;visibility:visible;mso-wrap-style:square;v-text-anchor:top" coordsize="3960000,185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2uKyAAAAN8AAAAPAAAAZHJzL2Rvd25yZXYueG1sRI9Pa8JA&#10;FMTvhX6H5RV6Kbqp9R/RVazQVvFkVLw+ss8kdPdtyK4x/fbdQsHjMDO/YebLzhrRUuMrxwpe+wkI&#10;4tzpigsFx8NHbwrCB2SNxjEp+CEPy8XjwxxT7W68pzYLhYgQ9ikqKEOoUyl9XpJF33c1cfQurrEY&#10;omwKqRu8Rbg1cpAkY2mx4rhQYk3rkvLv7GoVfBoOu/Pq612fWjN0+fZlPXq7KvX81K1mIAJ14R7+&#10;b2+0gkEymY6G8PcnfgG5+AUAAP//AwBQSwECLQAUAAYACAAAACEA2+H2y+4AAACFAQAAEwAAAAAA&#10;AAAAAAAAAAAAAAAAW0NvbnRlbnRfVHlwZXNdLnhtbFBLAQItABQABgAIAAAAIQBa9CxbvwAAABUB&#10;AAALAAAAAAAAAAAAAAAAAB8BAABfcmVscy8ucmVsc1BLAQItABQABgAIAAAAIQDYH2uKyAAAAN8A&#10;AAAPAAAAAAAAAAAAAAAAAAcCAABkcnMvZG93bnJldi54bWxQSwUGAAAAAAMAAwC3AAAA/AIAAAAA&#10;" path="m,l3960000,r,1859305l,1859305,,e" fillcolor="#c3c3c3" stroked="f" strokeweight="0">
                  <v:stroke miterlimit="83231f" joinstyle="miter"/>
                  <v:path arrowok="t" textboxrect="0,0,3960000,1859305"/>
                </v:shape>
                <v:rect id="Rectangle 200620" o:spid="_x0000_s2963" style="position:absolute;left:-13000;top:60352;width:509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vxQAAAN8AAAAPAAAAZHJzL2Rvd25yZXYueG1sRI9Bi8Iw&#10;EIXvC/6HMIK3baoHkWoUUWR72IuuC3scmrGtNpPQRFv99UYQ9ji8ed/jW6x604gbtb62rGCcpCCI&#10;C6trLhUcf3afMxA+IGtsLJOCO3lYLQcfC8y07XhPt0MoRYSwz1BBFYLLpPRFRQZ9Yh1xzE62NRji&#10;2ZZSt9hFuGnkJE2n0mDNcaFCR5uKisvhahT8bdnlu04Wp8fGfZ/zWfN1Pf4qNRr26zmIQH34f363&#10;c63gRZxEg+gTXUAunwAAAP//AwBQSwECLQAUAAYACAAAACEA2+H2y+4AAACFAQAAEwAAAAAAAAAA&#10;AAAAAAAAAAAAW0NvbnRlbnRfVHlwZXNdLnhtbFBLAQItABQABgAIAAAAIQBa9CxbvwAAABUBAAAL&#10;AAAAAAAAAAAAAAAAAB8BAABfcmVscy8ucmVsc1BLAQItABQABgAIAAAAIQCikF/vxQAAAN8AAAAP&#10;AAAAAAAAAAAAAAAAAAcCAABkcnMvZG93bnJldi54bWxQSwUGAAAAAAMAAwC3AAAA+QIAAAAA&#10;" filled="f" stroked="f">
                  <v:textbox inset="0,0,0,0">
                    <w:txbxContent>
                      <w:p w14:paraId="4EA7DF02" w14:textId="77777777" w:rsidR="00B32EF2" w:rsidRDefault="00000000">
                        <w:r>
                          <w:rPr>
                            <w:rFonts w:ascii="Arial" w:eastAsia="Arial" w:hAnsi="Arial" w:cs="Arial"/>
                            <w:i/>
                            <w:sz w:val="18"/>
                          </w:rPr>
                          <w:t xml:space="preserve">. I soggetti diversi da quelli cui sono applicate le disposizioni del presente </w:t>
                        </w:r>
                      </w:p>
                    </w:txbxContent>
                  </v:textbox>
                </v:rect>
                <v:rect id="Rectangle 200619" o:spid="_x0000_s2964" style="position:absolute;left:25305;top:60352;width:509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jzPxwAAAN8AAAAPAAAAZHJzL2Rvd25yZXYueG1sRI9Ba8JA&#10;FITvhf6H5RV6qxt7KGnqKmKR5uDF1EKPj+wzSc2+XbJrkvrr3YDgcZiZb5jFajSt6KnzjWUF81kC&#10;gri0uuFKweF7+5KC8AFZY2uZFPyTh9Xy8WGBmbYD76kvQiUihH2GCuoQXCalL2sy6GfWEUfvaDuD&#10;IcqukrrDIcJNK1+T5E0abDgu1OhoU1N5Ks5Gwe8nu3w7yPJ42bjdX562X+fDj1LPT+P6A0SgMdzD&#10;t3auFUzE+TtMf+IXkMsrAAAA//8DAFBLAQItABQABgAIAAAAIQDb4fbL7gAAAIUBAAATAAAAAAAA&#10;AAAAAAAAAAAAAABbQ29udGVudF9UeXBlc10ueG1sUEsBAi0AFAAGAAgAAAAhAFr0LFu/AAAAFQEA&#10;AAsAAAAAAAAAAAAAAAAAHwEAAF9yZWxzLy5yZWxzUEsBAi0AFAAGAAgAAAAhAP3GPM/HAAAA3wAA&#10;AA8AAAAAAAAAAAAAAAAABwIAAGRycy9kb3ducmV2LnhtbFBLBQYAAAAAAwADALcAAAD7AgAAAAA=&#10;" filled="f" stroked="f">
                  <v:textbox inset="0,0,0,0">
                    <w:txbxContent>
                      <w:p w14:paraId="77CFF0E2" w14:textId="77777777" w:rsidR="00B32EF2" w:rsidRDefault="00000000">
                        <w:r>
                          <w:rPr>
                            <w:rFonts w:ascii="Arial" w:eastAsia="Arial" w:hAnsi="Arial" w:cs="Arial"/>
                            <w:i/>
                            <w:sz w:val="18"/>
                          </w:rPr>
                          <w:t>11</w:t>
                        </w:r>
                      </w:p>
                    </w:txbxContent>
                  </v:textbox>
                </v:rect>
                <v:rect id="Rectangle 16979" o:spid="_x0000_s2965" style="position:absolute;left:-11886;top:59119;width:510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IywxAAAAN4AAAAPAAAAZHJzL2Rvd25yZXYueG1sRE9Ni8Iw&#10;EL0L/ocwgjdN9eBq1yiiiD3sZV0X9jg0Y1ttJqGJtvrrNwsL3ubxPme57kwt7tT4yrKCyTgBQZxb&#10;XXGh4PS1H81B+ICssbZMCh7kYb3q95aYatvyJ92PoRAxhH2KCsoQXCqlz0sy6MfWEUfubBuDIcKm&#10;kLrBNoabWk6TZCYNVhwbSnS0LSm/Hm9Gwc+OXbZvZX5+bt3HJZvXh9vpW6nhoNu8gwjUhZf4353p&#10;OH+2eFvA3zvxBrn6BQAA//8DAFBLAQItABQABgAIAAAAIQDb4fbL7gAAAIUBAAATAAAAAAAAAAAA&#10;AAAAAAAAAABbQ29udGVudF9UeXBlc10ueG1sUEsBAi0AFAAGAAgAAAAhAFr0LFu/AAAAFQEAAAsA&#10;AAAAAAAAAAAAAAAAHwEAAF9yZWxzLy5yZWxzUEsBAi0AFAAGAAgAAAAhAN4YjLDEAAAA3gAAAA8A&#10;AAAAAAAAAAAAAAAABwIAAGRycy9kb3ducmV2LnhtbFBLBQYAAAAAAwADALcAAAD4AgAAAAA=&#10;" filled="f" stroked="f">
                  <v:textbox inset="0,0,0,0">
                    <w:txbxContent>
                      <w:p w14:paraId="16ABF654" w14:textId="77777777" w:rsidR="00B32EF2" w:rsidRDefault="00000000">
                        <w:r>
                          <w:rPr>
                            <w:rFonts w:ascii="Arial" w:eastAsia="Arial" w:hAnsi="Arial" w:cs="Arial"/>
                            <w:i/>
                            <w:sz w:val="18"/>
                          </w:rPr>
                          <w:t xml:space="preserve">articolo possono chiedere il rimborso delle imposte pagate a seguito delle </w:t>
                        </w:r>
                      </w:p>
                    </w:txbxContent>
                  </v:textbox>
                </v:rect>
                <v:rect id="Rectangle 16980" o:spid="_x0000_s2966" style="position:absolute;left:-10904;top:57886;width:5003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1UKyAAAAN4AAAAPAAAAZHJzL2Rvd25yZXYueG1sRI9Pb8Iw&#10;DMXvk/YdIk/abaTbAZWOgCYmtB648GfSjlZj2m6NEzWBdnx6fEDiZsvP773ffDm6Tp2pj61nA6+T&#10;DBRx5W3LtYHDfv2Sg4oJ2WLnmQz8U4Tl4vFhjoX1A2/pvEu1EhOOBRpoUgqF1rFqyGGc+EAst6Pv&#10;HSZZ+1rbHgcxd51+y7KpdtiyJDQYaNVQ9bc7OQM/nxzK9aCr42UVNr9l3n2dDt/GPD+NH++gEo3p&#10;Lr59l1bqT2e5AAiOzKAXVwAAAP//AwBQSwECLQAUAAYACAAAACEA2+H2y+4AAACFAQAAEwAAAAAA&#10;AAAAAAAAAAAAAAAAW0NvbnRlbnRfVHlwZXNdLnhtbFBLAQItABQABgAIAAAAIQBa9CxbvwAAABUB&#10;AAALAAAAAAAAAAAAAAAAAB8BAABfcmVscy8ucmVsc1BLAQItABQABgAIAAAAIQB691UKyAAAAN4A&#10;AAAPAAAAAAAAAAAAAAAAAAcCAABkcnMvZG93bnJldi54bWxQSwUGAAAAAAMAAwC3AAAA/AIAAAAA&#10;" filled="f" stroked="f">
                  <v:textbox inset="0,0,0,0">
                    <w:txbxContent>
                      <w:p w14:paraId="034465A2" w14:textId="77777777" w:rsidR="00B32EF2" w:rsidRDefault="00000000">
                        <w:r>
                          <w:rPr>
                            <w:rFonts w:ascii="Arial" w:eastAsia="Arial" w:hAnsi="Arial" w:cs="Arial"/>
                            <w:i/>
                            <w:sz w:val="18"/>
                          </w:rPr>
                          <w:t>operazioni abusive i cui vantaggi fiscali sono stati disconosciuti dall’am</w:t>
                        </w:r>
                      </w:p>
                    </w:txbxContent>
                  </v:textbox>
                </v:rect>
                <v:rect id="Rectangle 16981" o:spid="_x0000_s2967" style="position:absolute;left:975;top:57886;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CRxAAAAN4AAAAPAAAAZHJzL2Rvd25yZXYueG1sRE9Ni8Iw&#10;EL0v+B/CCN7WVA/SrUYRRezBy7oKHodmbKvNJDTR1v31m4WFvc3jfc5i1ZtGPKn1tWUFk3ECgriw&#10;uuZSwelr956C8AFZY2OZFLzIw2o5eFtgpm3Hn/Q8hlLEEPYZKqhCcJmUvqjIoB9bRxy5q20Nhgjb&#10;UuoWuxhuGjlNkpk0WHNsqNDRpqLifnwYBZctu3zXyeL6vXGHW542+8fprNRo2K/nIAL14V/85851&#10;nD/7SCfw+068QS5/AAAA//8DAFBLAQItABQABgAIAAAAIQDb4fbL7gAAAIUBAAATAAAAAAAAAAAA&#10;AAAAAAAAAABbQ29udGVudF9UeXBlc10ueG1sUEsBAi0AFAAGAAgAAAAhAFr0LFu/AAAAFQEAAAsA&#10;AAAAAAAAAAAAAAAAHwEAAF9yZWxzLy5yZWxzUEsBAi0AFAAGAAgAAAAhABW78JHEAAAA3gAAAA8A&#10;AAAAAAAAAAAAAAAABwIAAGRycy9kb3ducmV2LnhtbFBLBQYAAAAAAwADALcAAAD4AgAAAAA=&#10;" filled="f" stroked="f">
                  <v:textbox inset="0,0,0,0">
                    <w:txbxContent>
                      <w:p w14:paraId="60D13134" w14:textId="77777777" w:rsidR="00B32EF2" w:rsidRDefault="00000000">
                        <w:r>
                          <w:rPr>
                            <w:rFonts w:ascii="Arial" w:eastAsia="Arial" w:hAnsi="Arial" w:cs="Arial"/>
                            <w:i/>
                            <w:sz w:val="18"/>
                          </w:rPr>
                          <w:t>-</w:t>
                        </w:r>
                      </w:p>
                    </w:txbxContent>
                  </v:textbox>
                </v:rect>
                <v:rect id="Rectangle 16982" o:spid="_x0000_s2968" style="position:absolute;left:-11872;top:56652;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W7mxAAAAN4AAAAPAAAAZHJzL2Rvd25yZXYueG1sRE9Na8JA&#10;EL0L/odlCt50Uw+Spq4iipiDl9oUehyyY5KanV2yq4n+erdQ6G0e73OW68G04kadbywreJ0lIIhL&#10;qxuuFBSf+2kKwgdkja1lUnAnD+vVeLTETNueP+h2CpWIIewzVFCH4DIpfVmTQT+zjjhyZ9sZDBF2&#10;ldQd9jHctHKeJAtpsOHYUKOjbU3l5XQ1Cr537PJ9L8vzY+uOP3naHq7Fl1KTl2HzDiLQEP7Ff+5c&#10;x/mLt3QOv+/EG+TqCQAA//8DAFBLAQItABQABgAIAAAAIQDb4fbL7gAAAIUBAAATAAAAAAAAAAAA&#10;AAAAAAAAAABbQ29udGVudF9UeXBlc10ueG1sUEsBAi0AFAAGAAgAAAAhAFr0LFu/AAAAFQEAAAsA&#10;AAAAAAAAAAAAAAAAHwEAAF9yZWxzLy5yZWxzUEsBAi0AFAAGAAgAAAAhAOVpbubEAAAA3gAAAA8A&#10;AAAAAAAAAAAAAAAABwIAAGRycy9kb3ducmV2LnhtbFBLBQYAAAAAAwADALcAAAD4AgAAAAA=&#10;" filled="f" stroked="f">
                  <v:textbox inset="0,0,0,0">
                    <w:txbxContent>
                      <w:p w14:paraId="084FCEE2" w14:textId="77777777" w:rsidR="00B32EF2" w:rsidRDefault="00000000">
                        <w:r>
                          <w:rPr>
                            <w:rFonts w:ascii="Arial" w:eastAsia="Arial" w:hAnsi="Arial" w:cs="Arial"/>
                            <w:i/>
                            <w:sz w:val="18"/>
                          </w:rPr>
                          <w:t xml:space="preserve">ministrazione finanziaria, inoltrando a tal fine, entro un anno dal giorno in </w:t>
                        </w:r>
                      </w:p>
                    </w:txbxContent>
                  </v:textbox>
                </v:rect>
                <v:rect id="Rectangle 16983" o:spid="_x0000_s2969" style="position:absolute;left:-11872;top:55419;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ct9xAAAAN4AAAAPAAAAZHJzL2Rvd25yZXYueG1sRE9Na8JA&#10;EL0X/A/LCN7qxgqSRlcRRZpDL7UKHofsmESzs0t2NdFf3y0UepvH+5zFqjeNuFPra8sKJuMEBHFh&#10;dc2lgsP37jUF4QOyxsYyKXiQh9Vy8LLATNuOv+i+D6WIIewzVFCF4DIpfVGRQT+2jjhyZ9saDBG2&#10;pdQtdjHcNPItSWbSYM2xoUJHm4qK6/5mFJy27PJdJ4vzc+M+L3nafNwOR6VGw349BxGoD//iP3eu&#10;4/zZezqF33fiDXL5AwAA//8DAFBLAQItABQABgAIAAAAIQDb4fbL7gAAAIUBAAATAAAAAAAAAAAA&#10;AAAAAAAAAABbQ29udGVudF9UeXBlc10ueG1sUEsBAi0AFAAGAAgAAAAhAFr0LFu/AAAAFQEAAAsA&#10;AAAAAAAAAAAAAAAAHwEAAF9yZWxzLy5yZWxzUEsBAi0AFAAGAAgAAAAhAIoly33EAAAA3gAAAA8A&#10;AAAAAAAAAAAAAAAABwIAAGRycy9kb3ducmV2LnhtbFBLBQYAAAAAAwADALcAAAD4AgAAAAA=&#10;" filled="f" stroked="f">
                  <v:textbox inset="0,0,0,0">
                    <w:txbxContent>
                      <w:p w14:paraId="07FC2E52" w14:textId="77777777" w:rsidR="00B32EF2" w:rsidRDefault="00000000">
                        <w:r>
                          <w:rPr>
                            <w:rFonts w:ascii="Arial" w:eastAsia="Arial" w:hAnsi="Arial" w:cs="Arial"/>
                            <w:i/>
                            <w:sz w:val="18"/>
                          </w:rPr>
                          <w:t xml:space="preserve">cui l’accertamento è divenuto definitivo ovvero è stato definito mediante </w:t>
                        </w:r>
                      </w:p>
                    </w:txbxContent>
                  </v:textbox>
                </v:rect>
                <v:rect id="Rectangle 16984" o:spid="_x0000_s2970" style="position:absolute;left:-11911;top:54186;width:511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FMJxAAAAN4AAAAPAAAAZHJzL2Rvd25yZXYueG1sRE9Na8JA&#10;EL0X/A/LCN7qxiKSRlcRRZpDL7UKHofsmESzs0t2NdFf3y0UepvH+5zFqjeNuFPra8sKJuMEBHFh&#10;dc2lgsP37jUF4QOyxsYyKXiQh9Vy8LLATNuOv+i+D6WIIewzVFCF4DIpfVGRQT+2jjhyZ9saDBG2&#10;pdQtdjHcNPItSWbSYM2xoUJHm4qK6/5mFJy27PJdJ4vzc+M+L3nafNwOR6VGw349BxGoD//iP3eu&#10;4/zZezqF33fiDXL5AwAA//8DAFBLAQItABQABgAIAAAAIQDb4fbL7gAAAIUBAAATAAAAAAAAAAAA&#10;AAAAAAAAAABbQ29udGVudF9UeXBlc10ueG1sUEsBAi0AFAAGAAgAAAAhAFr0LFu/AAAAFQEAAAsA&#10;AAAAAAAAAAAAAAAAHwEAAF9yZWxzLy5yZWxzUEsBAi0AFAAGAAgAAAAhAAXMUwnEAAAA3gAAAA8A&#10;AAAAAAAAAAAAAAAABwIAAGRycy9kb3ducmV2LnhtbFBLBQYAAAAAAwADALcAAAD4AgAAAAA=&#10;" filled="f" stroked="f">
                  <v:textbox inset="0,0,0,0">
                    <w:txbxContent>
                      <w:p w14:paraId="6EE57B68" w14:textId="77777777" w:rsidR="00B32EF2" w:rsidRDefault="00000000">
                        <w:r>
                          <w:rPr>
                            <w:rFonts w:ascii="Arial" w:eastAsia="Arial" w:hAnsi="Arial" w:cs="Arial"/>
                            <w:i/>
                            <w:sz w:val="18"/>
                          </w:rPr>
                          <w:t xml:space="preserve">adesione o conciliazione giudiziale, istanza all’Agenzia delle entrate, che </w:t>
                        </w:r>
                      </w:p>
                    </w:txbxContent>
                  </v:textbox>
                </v:rect>
                <v:rect id="Rectangle 16985" o:spid="_x0000_s2971" style="position:absolute;left:-11920;top:52952;width:511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PaSxAAAAN4AAAAPAAAAZHJzL2Rvd25yZXYueG1sRE9Na8JA&#10;EL0X/A/LCN7qxoKSRlcRRZpDL7UKHofsmESzs0t2NdFf3y0UepvH+5zFqjeNuFPra8sKJuMEBHFh&#10;dc2lgsP37jUF4QOyxsYyKXiQh9Vy8LLATNuOv+i+D6WIIewzVFCF4DIpfVGRQT+2jjhyZ9saDBG2&#10;pdQtdjHcNPItSWbSYM2xoUJHm4qK6/5mFJy27PJdJ4vzc+M+L3nafNwOR6VGw349BxGoD//iP3eu&#10;4/zZezqF33fiDXL5AwAA//8DAFBLAQItABQABgAIAAAAIQDb4fbL7gAAAIUBAAATAAAAAAAAAAAA&#10;AAAAAAAAAABbQ29udGVudF9UeXBlc10ueG1sUEsBAi0AFAAGAAgAAAAhAFr0LFu/AAAAFQEAAAsA&#10;AAAAAAAAAAAAAAAAHwEAAF9yZWxzLy5yZWxzUEsBAi0AFAAGAAgAAAAhAGqA9pLEAAAA3gAAAA8A&#10;AAAAAAAAAAAAAAAABwIAAGRycy9kb3ducmV2LnhtbFBLBQYAAAAAAwADALcAAAD4AgAAAAA=&#10;" filled="f" stroked="f">
                  <v:textbox inset="0,0,0,0">
                    <w:txbxContent>
                      <w:p w14:paraId="722E71A4" w14:textId="77777777" w:rsidR="00B32EF2" w:rsidRDefault="00000000">
                        <w:r>
                          <w:rPr>
                            <w:rFonts w:ascii="Arial" w:eastAsia="Arial" w:hAnsi="Arial" w:cs="Arial"/>
                            <w:i/>
                            <w:sz w:val="18"/>
                          </w:rPr>
                          <w:t xml:space="preserve">provvede nei limiti dell’imposta e degli interessi effettivamente riscossi a </w:t>
                        </w:r>
                      </w:p>
                    </w:txbxContent>
                  </v:textbox>
                </v:rect>
                <v:rect id="Rectangle 16986" o:spid="_x0000_s2972" style="position:absolute;left:22345;top:51719;width:167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mjlxAAAAN4AAAAPAAAAZHJzL2Rvd25yZXYueG1sRE9Na8JA&#10;EL0L/odlBG+6qYeQpq5SFDGHXrQKPQ7ZMUmbnV2yq0n99a5Q6G0e73OW68G04kadbywreJknIIhL&#10;qxuuFJw+d7MMhA/IGlvLpOCXPKxX49ESc217PtDtGCoRQ9jnqKAOweVS+rImg35uHXHkLrYzGCLs&#10;Kqk77GO4aeUiSVJpsOHYUKOjTU3lz/FqFHxt2RW7XpaX+8Z9fBdZu7+ezkpNJ8P7G4hAQ/gX/7kL&#10;Heenr1kKz3fiDXL1AAAA//8DAFBLAQItABQABgAIAAAAIQDb4fbL7gAAAIUBAAATAAAAAAAAAAAA&#10;AAAAAAAAAABbQ29udGVudF9UeXBlc10ueG1sUEsBAi0AFAAGAAgAAAAhAFr0LFu/AAAAFQEAAAsA&#10;AAAAAAAAAAAAAAAAHwEAAF9yZWxzLy5yZWxzUEsBAi0AFAAGAAgAAAAhAJpSaOXEAAAA3gAAAA8A&#10;AAAAAAAAAAAAAAAABwIAAGRycy9kb3ducmV2LnhtbFBLBQYAAAAAAwADALcAAAD4AgAAAAA=&#10;" filled="f" stroked="f">
                  <v:textbox inset="0,0,0,0">
                    <w:txbxContent>
                      <w:p w14:paraId="48BAFF18" w14:textId="77777777" w:rsidR="00B32EF2" w:rsidRDefault="00000000">
                        <w:r>
                          <w:rPr>
                            <w:rFonts w:ascii="Arial" w:eastAsia="Arial" w:hAnsi="Arial" w:cs="Arial"/>
                            <w:i/>
                            <w:sz w:val="18"/>
                          </w:rPr>
                          <w:t>seguito di tali procedure.</w:t>
                        </w:r>
                      </w:p>
                    </w:txbxContent>
                  </v:textbox>
                </v:rect>
                <v:rect id="Rectangle 200617" o:spid="_x0000_s2973" style="position:absolute;left:25262;top:50486;width:510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Q0mxwAAAN8AAAAPAAAAZHJzL2Rvd25yZXYueG1sRI9Ba8JA&#10;FITvhf6H5RV6qxt7qCF1FbFIc/BiaqHHR/aZpGbfLtk1Sf31bkDocZiZb5jlejSt6KnzjWUF81kC&#10;gri0uuFKwfFr95KC8AFZY2uZFPyRh/Xq8WGJmbYDH6gvQiUihH2GCuoQXCalL2sy6GfWEUfvZDuD&#10;IcqukrrDIcJNK1+T5E0abDgu1OhoW1N5Li5Gwc8Hu3w3yPJ03br9b562n5fjt1LPT+PmHUSgMfyH&#10;7+1cK5iI8wVMf+IXkKsbAAAA//8DAFBLAQItABQABgAIAAAAIQDb4fbL7gAAAIUBAAATAAAAAAAA&#10;AAAAAAAAAAAAAABbQ29udGVudF9UeXBlc10ueG1sUEsBAi0AFAAGAAgAAAAhAFr0LFu/AAAAFQEA&#10;AAsAAAAAAAAAAAAAAAAAHwEAAF9yZWxzLy5yZWxzUEsBAi0AFAAGAAgAAAAhAOMVDSbHAAAA3wAA&#10;AA8AAAAAAAAAAAAAAAAABwIAAGRycy9kb3ducmV2LnhtbFBLBQYAAAAAAwADALcAAAD7AgAAAAA=&#10;" filled="f" stroked="f">
                  <v:textbox inset="0,0,0,0">
                    <w:txbxContent>
                      <w:p w14:paraId="4D2DC8D3" w14:textId="77777777" w:rsidR="00B32EF2" w:rsidRDefault="00000000">
                        <w:r>
                          <w:rPr>
                            <w:rFonts w:ascii="Arial" w:eastAsia="Arial" w:hAnsi="Arial" w:cs="Arial"/>
                            <w:i/>
                            <w:sz w:val="18"/>
                          </w:rPr>
                          <w:t>12</w:t>
                        </w:r>
                      </w:p>
                    </w:txbxContent>
                  </v:textbox>
                </v:rect>
                <v:rect id="Rectangle 200618" o:spid="_x0000_s2974" style="position:absolute;left:-13099;top:50486;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plUxwAAAN8AAAAPAAAAZHJzL2Rvd25yZXYueG1sRI9Na8JA&#10;EIbvBf/DMoK3urEHCTGriCLm0EttCj0O2cmHZmeX7GrS/vpuodDj8M77zDz5bjK9eNDgO8sKVssE&#10;BHFldceNgvL99JyC8AFZY2+ZFHyRh9129pRjpu3Ib/S4hEZECPsMFbQhuExKX7Vk0C+tI45ZbQeD&#10;IY5DI/WAY4SbXr4kyVoa7DheaNHRoaXqdrkbBZ9HdsVplFX9fXCv1yLtz/fyQ6nFfNpvQASawv/y&#10;X7vQCn6Jq/hw9IkuILc/AAAA//8DAFBLAQItABQABgAIAAAAIQDb4fbL7gAAAIUBAAATAAAAAAAA&#10;AAAAAAAAAAAAAABbQ29udGVudF9UeXBlc10ueG1sUEsBAi0AFAAGAAgAAAAhAFr0LFu/AAAAFQEA&#10;AAsAAAAAAAAAAAAAAAAAHwEAAF9yZWxzLy5yZWxzUEsBAi0AFAAGAAgAAAAhAJKKmVTHAAAA3wAA&#10;AA8AAAAAAAAAAAAAAAAABwIAAGRycy9kb3ducmV2LnhtbFBLBQYAAAAAAwADALcAAAD7AgAAAAA=&#10;" filled="f" stroked="f">
                  <v:textbox inset="0,0,0,0">
                    <w:txbxContent>
                      <w:p w14:paraId="32F904B4" w14:textId="77777777" w:rsidR="00B32EF2" w:rsidRDefault="00000000">
                        <w:r>
                          <w:rPr>
                            <w:rFonts w:ascii="Arial" w:eastAsia="Arial" w:hAnsi="Arial" w:cs="Arial"/>
                            <w:i/>
                            <w:sz w:val="18"/>
                          </w:rPr>
                          <w:t xml:space="preserve">. In sede di accertamento l’abuso del diritto può essere configurato solo </w:t>
                        </w:r>
                      </w:p>
                    </w:txbxContent>
                  </v:textbox>
                </v:rect>
                <v:rect id="Rectangle 16988" o:spid="_x0000_s2975" style="position:absolute;left:-10908;top:49252;width:500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VkMyAAAAN4AAAAPAAAAZHJzL2Rvd25yZXYueG1sRI9Pb8Iw&#10;DMXvk/YdIk/abaTbAZWOgCYmtB648GfSjlZj2m6NEzWBdnx6fEDiZus9v/fzfDm6Tp2pj61nA6+T&#10;DBRx5W3LtYHDfv2Sg4oJ2WLnmQz8U4Tl4vFhjoX1A2/pvEu1khCOBRpoUgqF1rFqyGGc+EAs2tH3&#10;DpOsfa1tj4OEu06/ZdlUO2xZGhoMtGqo+tudnIGfTw7letDV8bIKm98y775Oh29jnp/Gj3dQicZ0&#10;N9+uSyv401kuvPKOzKAXVwAAAP//AwBQSwECLQAUAAYACAAAACEA2+H2y+4AAACFAQAAEwAAAAAA&#10;AAAAAAAAAAAAAAAAW0NvbnRlbnRfVHlwZXNdLnhtbFBLAQItABQABgAIAAAAIQBa9CxbvwAAABUB&#10;AAALAAAAAAAAAAAAAAAAAB8BAABfcmVscy8ucmVsc1BLAQItABQABgAIAAAAIQCEgVkMyAAAAN4A&#10;AAAPAAAAAAAAAAAAAAAAAAcCAABkcnMvZG93bnJldi54bWxQSwUGAAAAAAMAAwC3AAAA/AIAAAAA&#10;" filled="f" stroked="f">
                  <v:textbox inset="0,0,0,0">
                    <w:txbxContent>
                      <w:p w14:paraId="39DC052D" w14:textId="77777777" w:rsidR="00B32EF2" w:rsidRDefault="00000000">
                        <w:r>
                          <w:rPr>
                            <w:rFonts w:ascii="Arial" w:eastAsia="Arial" w:hAnsi="Arial" w:cs="Arial"/>
                            <w:i/>
                            <w:sz w:val="18"/>
                          </w:rPr>
                          <w:t>se i vantaggi fiscali non possono essere disconosciuti contestando la viola</w:t>
                        </w:r>
                      </w:p>
                    </w:txbxContent>
                  </v:textbox>
                </v:rect>
                <v:rect id="Rectangle 16989" o:spid="_x0000_s2976" style="position:absolute;left:975;top:4925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fyXxAAAAN4AAAAPAAAAZHJzL2Rvd25yZXYueG1sRE9Na8JA&#10;EL0X/A/LFLzVTXuQmLqKKNIcvFQjeByyY5KanV2yq4n++m6h4G0e73Pmy8G04kadbywreJ8kIIhL&#10;qxuuFBSH7VsKwgdkja1lUnAnD8vF6GWOmbY9f9NtHyoRQ9hnqKAOwWVS+rImg35iHXHkzrYzGCLs&#10;Kqk77GO4aeVHkkylwYZjQ42O1jWVl/3VKDht2OXbXpbnx9rtfvK0/boWR6XGr8PqE0SgITzF/+5c&#10;x/nTWTqDv3fiDXLxCwAA//8DAFBLAQItABQABgAIAAAAIQDb4fbL7gAAAIUBAAATAAAAAAAAAAAA&#10;AAAAAAAAAABbQ29udGVudF9UeXBlc10ueG1sUEsBAi0AFAAGAAgAAAAhAFr0LFu/AAAAFQEAAAsA&#10;AAAAAAAAAAAAAAAAHwEAAF9yZWxzLy5yZWxzUEsBAi0AFAAGAAgAAAAhAOvN/JfEAAAA3gAAAA8A&#10;AAAAAAAAAAAAAAAABwIAAGRycy9kb3ducmV2LnhtbFBLBQYAAAAAAwADALcAAAD4AgAAAAA=&#10;" filled="f" stroked="f">
                  <v:textbox inset="0,0,0,0">
                    <w:txbxContent>
                      <w:p w14:paraId="732A5CFC" w14:textId="77777777" w:rsidR="00B32EF2" w:rsidRDefault="00000000">
                        <w:r>
                          <w:rPr>
                            <w:rFonts w:ascii="Arial" w:eastAsia="Arial" w:hAnsi="Arial" w:cs="Arial"/>
                            <w:i/>
                            <w:sz w:val="18"/>
                          </w:rPr>
                          <w:t>-</w:t>
                        </w:r>
                      </w:p>
                    </w:txbxContent>
                  </v:textbox>
                </v:rect>
                <v:rect id="Rectangle 16990" o:spid="_x0000_s2977" style="position:absolute;left:11255;top:48019;width:278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PXxwAAAN4AAAAPAAAAZHJzL2Rvd25yZXYueG1sRI9Pb8Iw&#10;DMXvk/YdIk/abaTbAUFHQBMTWg9c+CftaDWm7dY4URNo4dPjAxI3W35+7/1mi8G16kxdbDwbeB9l&#10;oIhLbxuuDOx3q7cJqJiQLbaeycCFIizmz08zzK3veUPnbaqUmHDM0UCdUsi1jmVNDuPIB2K5HX3n&#10;MMnaVdp22Iu5a/VHlo21w4YlocZAy5rK/+3JGfj95lCsel0er8uw/ism7c9pfzDm9WX4+gSVaEgP&#10;8f27sFJ/PJ0KgODIDHp+AwAA//8DAFBLAQItABQABgAIAAAAIQDb4fbL7gAAAIUBAAATAAAAAAAA&#10;AAAAAAAAAAAAAABbQ29udGVudF9UeXBlc10ueG1sUEsBAi0AFAAGAAgAAAAhAFr0LFu/AAAAFQEA&#10;AAsAAAAAAAAAAAAAAAAAHwEAAF9yZWxzLy5yZWxzUEsBAi0AFAAGAAgAAAAhAP8uw9fHAAAA3gAA&#10;AA8AAAAAAAAAAAAAAAAABwIAAGRycy9kb3ducmV2LnhtbFBLBQYAAAAAAwADALcAAAD7AgAAAAA=&#10;" filled="f" stroked="f">
                  <v:textbox inset="0,0,0,0">
                    <w:txbxContent>
                      <w:p w14:paraId="5A4ABB0D" w14:textId="77777777" w:rsidR="00B32EF2" w:rsidRDefault="00000000">
                        <w:r>
                          <w:rPr>
                            <w:rFonts w:ascii="Arial" w:eastAsia="Arial" w:hAnsi="Arial" w:cs="Arial"/>
                            <w:i/>
                            <w:sz w:val="18"/>
                          </w:rPr>
                          <w:t>zione di specifiche disposizioni tributarie.</w:t>
                        </w:r>
                      </w:p>
                    </w:txbxContent>
                  </v:textbox>
                </v:rect>
                <v:rect id="Rectangle 200615" o:spid="_x0000_s2978" style="position:absolute;left:25496;top:46786;width:500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zbKxgAAAN8AAAAPAAAAZHJzL2Rvd25yZXYueG1sRI9Ba8JA&#10;FITvhf6H5RV6qxsLlZC6ilikOXgxtdDjI/tMUrNvl+yapP56NyD0OMzMN8xyPZpW9NT5xrKC+SwB&#10;QVxa3XCl4Pi1e0lB+ICssbVMCv7Iw3r1+LDETNuBD9QXoRIRwj5DBXUILpPSlzUZ9DPriKN3sp3B&#10;EGVXSd3hEOGmla9JspAGG44LNTra1lSei4tR8PPBLt8Nsjxdt27/m6ft5+X4rdTz07h5BxFoDP/h&#10;ezvXCibi/A2mP/ELyNUNAAD//wMAUEsBAi0AFAAGAAgAAAAhANvh9svuAAAAhQEAABMAAAAAAAAA&#10;AAAAAAAAAAAAAFtDb250ZW50X1R5cGVzXS54bWxQSwECLQAUAAYACAAAACEAWvQsW78AAAAVAQAA&#10;CwAAAAAAAAAAAAAAAAAfAQAAX3JlbHMvLnJlbHNQSwECLQAUAAYACAAAACEAfIs2ysYAAADfAAAA&#10;DwAAAAAAAAAAAAAAAAAHAgAAZHJzL2Rvd25yZXYueG1sUEsFBgAAAAADAAMAtwAAAPoCAAAAAA==&#10;" filled="f" stroked="f">
                  <v:textbox inset="0,0,0,0">
                    <w:txbxContent>
                      <w:p w14:paraId="37107A4A" w14:textId="77777777" w:rsidR="00B32EF2" w:rsidRDefault="00000000">
                        <w:r>
                          <w:rPr>
                            <w:rFonts w:ascii="Arial" w:eastAsia="Arial" w:hAnsi="Arial" w:cs="Arial"/>
                            <w:i/>
                            <w:sz w:val="18"/>
                          </w:rPr>
                          <w:t>13</w:t>
                        </w:r>
                      </w:p>
                    </w:txbxContent>
                  </v:textbox>
                </v:rect>
                <v:rect id="Rectangle 200616" o:spid="_x0000_s2979" style="position:absolute;left:-12151;top:46786;width:500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ai9xgAAAN8AAAAPAAAAZHJzL2Rvd25yZXYueG1sRI/BasMw&#10;EETvhf6D2EJvtZwcQnCjhJIS6kMuSVzocZE2tltrJSwldvP1laGQ4zAzb5jVZrSduFIfWscKZlkO&#10;glg703KtoDrtXpYgQkQ22DkmBb8UYLN+fFhhYdzAB7oeYy0ShEOBCpoYfSFl0A1ZDJnzxMk7u95i&#10;TLKvpelxSHDbyXmeL6TFltNCg562Demf48Uq+HpnX+4Gqc+3rd9/l8vu41J9KvX8NL69gog0xnv4&#10;v10aBRNxtoDpT/oCcv0HAAD//wMAUEsBAi0AFAAGAAgAAAAhANvh9svuAAAAhQEAABMAAAAAAAAA&#10;AAAAAAAAAAAAAFtDb250ZW50X1R5cGVzXS54bWxQSwECLQAUAAYACAAAACEAWvQsW78AAAAVAQAA&#10;CwAAAAAAAAAAAAAAAAAfAQAAX3JlbHMvLnJlbHNQSwECLQAUAAYACAAAACEAjFmovcYAAADfAAAA&#10;DwAAAAAAAAAAAAAAAAAHAgAAZHJzL2Rvd25yZXYueG1sUEsFBgAAAAADAAMAtwAAAPoCAAAAAA==&#10;" filled="f" stroked="f">
                  <v:textbox inset="0,0,0,0">
                    <w:txbxContent>
                      <w:p w14:paraId="69016CF8" w14:textId="77777777" w:rsidR="00B32EF2" w:rsidRDefault="00000000">
                        <w:r>
                          <w:rPr>
                            <w:rFonts w:ascii="Arial" w:eastAsia="Arial" w:hAnsi="Arial" w:cs="Arial"/>
                            <w:i/>
                            <w:sz w:val="18"/>
                          </w:rPr>
                          <w:t>. Le operazioni abusive non danno luogo a fatti punibili ai sensi delle leg</w:t>
                        </w:r>
                      </w:p>
                    </w:txbxContent>
                  </v:textbox>
                </v:rect>
                <v:rect id="Rectangle 16992" o:spid="_x0000_s2980" style="position:absolute;left:975;top:4678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Pg7xAAAAN4AAAAPAAAAZHJzL2Rvd25yZXYueG1sRE9Li8Iw&#10;EL4v+B/CCN7WVA+i1SiiiD3sZX2Ax6EZ22ozCU20dX/9ZmHB23x8z1msOlOLJzW+sqxgNExAEOdW&#10;V1woOB13n1MQPiBrrC2Tghd5WC17HwtMtW35m56HUIgYwj5FBWUILpXS5yUZ9EPriCN3tY3BEGFT&#10;SN1gG8NNLcdJMpEGK44NJTralJTfDw+j4LJll+1amV9/Nu7rlk3r/eN0VmrQ79ZzEIG68Bb/uzMd&#10;509mszH8vRNvkMtfAAAA//8DAFBLAQItABQABgAIAAAAIQDb4fbL7gAAAIUBAAATAAAAAAAAAAAA&#10;AAAAAAAAAABbQ29udGVudF9UeXBlc10ueG1sUEsBAi0AFAAGAAgAAAAhAFr0LFu/AAAAFQEAAAsA&#10;AAAAAAAAAAAAAAAAHwEAAF9yZWxzLy5yZWxzUEsBAi0AFAAGAAgAAAAhAGCw+DvEAAAA3gAAAA8A&#10;AAAAAAAAAAAAAAAABwIAAGRycy9kb3ducmV2LnhtbFBLBQYAAAAAAwADALcAAAD4AgAAAAA=&#10;" filled="f" stroked="f">
                  <v:textbox inset="0,0,0,0">
                    <w:txbxContent>
                      <w:p w14:paraId="7D50F25A" w14:textId="77777777" w:rsidR="00B32EF2" w:rsidRDefault="00000000">
                        <w:r>
                          <w:rPr>
                            <w:rFonts w:ascii="Arial" w:eastAsia="Arial" w:hAnsi="Arial" w:cs="Arial"/>
                            <w:i/>
                            <w:sz w:val="18"/>
                          </w:rPr>
                          <w:t>-</w:t>
                        </w:r>
                      </w:p>
                    </w:txbxContent>
                  </v:textbox>
                </v:rect>
                <v:rect id="Rectangle 16993" o:spid="_x0000_s2981" style="position:absolute;left:-11854;top:45553;width:5094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2gxAAAAN4AAAAPAAAAZHJzL2Rvd25yZXYueG1sRE9Ni8Iw&#10;EL0L/ocwgjdNdUG0axRRZHvwsq4Lexyasa02k9BEW/31m4UFb/N4n7Ncd6YWd2p8ZVnBZJyAIM6t&#10;rrhQcPraj+YgfEDWWFsmBQ/ysF71e0tMtW35k+7HUIgYwj5FBWUILpXS5yUZ9GPriCN3to3BEGFT&#10;SN1gG8NNLadJMpMGK44NJTralpRfjzej4GfHLtu3Mj8/t+5wyeb1x+30rdRw0G3eQQTqwkv87850&#10;nD9bLN7g7514g1z9AgAA//8DAFBLAQItABQABgAIAAAAIQDb4fbL7gAAAIUBAAATAAAAAAAAAAAA&#10;AAAAAAAAAABbQ29udGVudF9UeXBlc10ueG1sUEsBAi0AFAAGAAgAAAAhAFr0LFu/AAAAFQEAAAsA&#10;AAAAAAAAAAAAAAAAHwEAAF9yZWxzLy5yZWxzUEsBAi0AFAAGAAgAAAAhAA/8XaDEAAAA3gAAAA8A&#10;AAAAAAAAAAAAAAAABwIAAGRycy9kb3ducmV2LnhtbFBLBQYAAAAAAwADALcAAAD4AgAAAAA=&#10;" filled="f" stroked="f">
                  <v:textbox inset="0,0,0,0">
                    <w:txbxContent>
                      <w:p w14:paraId="17F85119" w14:textId="77777777" w:rsidR="00B32EF2" w:rsidRDefault="00000000">
                        <w:r>
                          <w:rPr>
                            <w:rFonts w:ascii="Arial" w:eastAsia="Arial" w:hAnsi="Arial" w:cs="Arial"/>
                            <w:i/>
                            <w:sz w:val="18"/>
                          </w:rPr>
                          <w:t xml:space="preserve">gi penali tributarie. Resta ferma l’applicazione delle sanzioni amministrative </w:t>
                        </w:r>
                      </w:p>
                    </w:txbxContent>
                  </v:textbox>
                </v:rect>
                <v:rect id="Rectangle 16994" o:spid="_x0000_s2982" style="position:absolute;left:32683;top:44319;width:64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cXUxAAAAN4AAAAPAAAAZHJzL2Rvd25yZXYueG1sRE9Ni8Iw&#10;EL0L/ocwgjdNlUW0axRRZHvwsq4Lexyasa02k9BEW/31m4UFb/N4n7Ncd6YWd2p8ZVnBZJyAIM6t&#10;rrhQcPraj+YgfEDWWFsmBQ/ysF71e0tMtW35k+7HUIgYwj5FBWUILpXS5yUZ9GPriCN3to3BEGFT&#10;SN1gG8NNLadJMpMGK44NJTralpRfjzej4GfHLtu3Mj8/t+5wyeb1x+30rdRw0G3eQQTqwkv87850&#10;nD9bLN7g7514g1z9AgAA//8DAFBLAQItABQABgAIAAAAIQDb4fbL7gAAAIUBAAATAAAAAAAAAAAA&#10;AAAAAAAAAABbQ29udGVudF9UeXBlc10ueG1sUEsBAi0AFAAGAAgAAAAhAFr0LFu/AAAAFQEAAAsA&#10;AAAAAAAAAAAAAAAAHwEAAF9yZWxzLy5yZWxzUEsBAi0AFAAGAAgAAAAhAIAVxdTEAAAA3gAAAA8A&#10;AAAAAAAAAAAAAAAABwIAAGRycy9kb3ducmV2LnhtbFBLBQYAAAAAAwADALcAAAD4AgAAAAA=&#10;" filled="f" stroked="f">
                  <v:textbox inset="0,0,0,0">
                    <w:txbxContent>
                      <w:p w14:paraId="75E061B6" w14:textId="77777777" w:rsidR="00B32EF2" w:rsidRDefault="00000000">
                        <w:r>
                          <w:rPr>
                            <w:rFonts w:ascii="Arial" w:eastAsia="Arial" w:hAnsi="Arial" w:cs="Arial"/>
                            <w:i/>
                            <w:sz w:val="18"/>
                          </w:rPr>
                          <w:t>tributarie.</w:t>
                        </w:r>
                      </w:p>
                    </w:txbxContent>
                  </v:textbox>
                </v:rect>
                <v:shape id="Shape 16995" o:spid="_x0000_s2983" style="position:absolute;left:317;top:43972;width:39600;height:18593;visibility:visible;mso-wrap-style:square;v-text-anchor:top" coordsize="3960000,185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RNpxQAAAN4AAAAPAAAAZHJzL2Rvd25yZXYueG1sRE/basJA&#10;EH0X+g/LFHyRuolQMWlW8YJgQcHa0udpdnKh2dmQXU36991Cwbc5nOtkq8E04kadqy0riKcRCOLc&#10;6ppLBR/v+6cFCOeRNTaWScEPOVgtH0YZptr2/Ea3iy9FCGGXooLK+zaV0uUVGXRT2xIHrrCdQR9g&#10;V0rdYR/CTSNnUTSXBmsODRW2tK0o/75cjYLi0yTxZsFfejLpS/0a746n806p8eOwfgHhafB38b/7&#10;oMP8eZI8w9874Qa5/AUAAP//AwBQSwECLQAUAAYACAAAACEA2+H2y+4AAACFAQAAEwAAAAAAAAAA&#10;AAAAAAAAAAAAW0NvbnRlbnRfVHlwZXNdLnhtbFBLAQItABQABgAIAAAAIQBa9CxbvwAAABUBAAAL&#10;AAAAAAAAAAAAAAAAAB8BAABfcmVscy8ucmVsc1BLAQItABQABgAIAAAAIQBobRNpxQAAAN4AAAAP&#10;AAAAAAAAAAAAAAAAAAcCAABkcnMvZG93bnJldi54bWxQSwUGAAAAAAMAAwC3AAAA+QIAAAAA&#10;" path="m,1859305r3960000,l3960000,,,,,1859305xe" filled="f" strokeweight="1pt">
                  <v:stroke miterlimit="1" joinstyle="miter"/>
                  <v:path arrowok="t" textboxrect="0,0,3960000,1859305"/>
                </v:shape>
                <w10:anchorlock/>
              </v:group>
            </w:pict>
          </mc:Fallback>
        </mc:AlternateContent>
      </w:r>
    </w:p>
    <w:p w14:paraId="53CC83F0" w14:textId="77777777" w:rsidR="00B32EF2" w:rsidRDefault="00000000">
      <w:pPr>
        <w:spacing w:after="0"/>
        <w:ind w:left="-306" w:right="-306"/>
      </w:pPr>
      <w:r>
        <w:rPr>
          <w:noProof/>
        </w:rPr>
        <w:lastRenderedPageBreak/>
        <mc:AlternateContent>
          <mc:Choice Requires="wpg">
            <w:drawing>
              <wp:inline distT="0" distB="0" distL="0" distR="0" wp14:anchorId="65AC3650" wp14:editId="1AAC8DEE">
                <wp:extent cx="3960001" cy="6256497"/>
                <wp:effectExtent l="0" t="0" r="0" b="0"/>
                <wp:docPr id="200508" name="Group 200508"/>
                <wp:cNvGraphicFramePr/>
                <a:graphic xmlns:a="http://schemas.openxmlformats.org/drawingml/2006/main">
                  <a:graphicData uri="http://schemas.microsoft.com/office/word/2010/wordprocessingGroup">
                    <wpg:wgp>
                      <wpg:cNvGrpSpPr/>
                      <wpg:grpSpPr>
                        <a:xfrm>
                          <a:off x="0" y="0"/>
                          <a:ext cx="3960001" cy="6256497"/>
                          <a:chOff x="0" y="0"/>
                          <a:chExt cx="3960001" cy="6256497"/>
                        </a:xfrm>
                      </wpg:grpSpPr>
                      <wps:wsp>
                        <wps:cNvPr id="17084" name="Rectangle 17084"/>
                        <wps:cNvSpPr/>
                        <wps:spPr>
                          <a:xfrm rot="-10799999">
                            <a:off x="1868687" y="-62190"/>
                            <a:ext cx="178369" cy="250646"/>
                          </a:xfrm>
                          <a:prstGeom prst="rect">
                            <a:avLst/>
                          </a:prstGeom>
                          <a:ln>
                            <a:noFill/>
                          </a:ln>
                        </wps:spPr>
                        <wps:txbx>
                          <w:txbxContent>
                            <w:p w14:paraId="084382D1" w14:textId="77777777" w:rsidR="00B32EF2" w:rsidRDefault="00000000">
                              <w:r>
                                <w:rPr>
                                  <w:rFonts w:ascii="Times New Roman" w:eastAsia="Times New Roman" w:hAnsi="Times New Roman" w:cs="Times New Roman"/>
                                </w:rPr>
                                <w:t>76</w:t>
                              </w:r>
                            </w:p>
                          </w:txbxContent>
                        </wps:txbx>
                        <wps:bodyPr horzOverflow="overflow" vert="horz" lIns="0" tIns="0" rIns="0" bIns="0" rtlCol="0">
                          <a:noAutofit/>
                        </wps:bodyPr>
                      </wps:wsp>
                      <wps:wsp>
                        <wps:cNvPr id="207860" name="Shape 207860"/>
                        <wps:cNvSpPr/>
                        <wps:spPr>
                          <a:xfrm>
                            <a:off x="1" y="401198"/>
                            <a:ext cx="3960000" cy="5855297"/>
                          </a:xfrm>
                          <a:custGeom>
                            <a:avLst/>
                            <a:gdLst/>
                            <a:ahLst/>
                            <a:cxnLst/>
                            <a:rect l="0" t="0" r="0" b="0"/>
                            <a:pathLst>
                              <a:path w="3960000" h="5855297">
                                <a:moveTo>
                                  <a:pt x="0" y="0"/>
                                </a:moveTo>
                                <a:lnTo>
                                  <a:pt x="3960000" y="0"/>
                                </a:lnTo>
                                <a:lnTo>
                                  <a:pt x="3960000" y="5855297"/>
                                </a:lnTo>
                                <a:lnTo>
                                  <a:pt x="0" y="5855297"/>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200307" name="Rectangle 200307"/>
                        <wps:cNvSpPr/>
                        <wps:spPr>
                          <a:xfrm rot="-10799999">
                            <a:off x="1302629" y="6035263"/>
                            <a:ext cx="2544023" cy="142891"/>
                          </a:xfrm>
                          <a:prstGeom prst="rect">
                            <a:avLst/>
                          </a:prstGeom>
                          <a:ln>
                            <a:noFill/>
                          </a:ln>
                        </wps:spPr>
                        <wps:txbx>
                          <w:txbxContent>
                            <w:p w14:paraId="54C4C4BC" w14:textId="77777777" w:rsidR="00B32EF2" w:rsidRDefault="00000000">
                              <w:r>
                                <w:rPr>
                                  <w:rFonts w:ascii="Arial" w:eastAsia="Arial" w:hAnsi="Arial" w:cs="Arial"/>
                                  <w:i/>
                                  <w:sz w:val="18"/>
                                </w:rPr>
                                <w:t>. Ai fini del comma 1 si considerano</w:t>
                              </w:r>
                            </w:p>
                          </w:txbxContent>
                        </wps:txbx>
                        <wps:bodyPr horzOverflow="overflow" vert="horz" lIns="0" tIns="0" rIns="0" bIns="0" rtlCol="0">
                          <a:noAutofit/>
                        </wps:bodyPr>
                      </wps:wsp>
                      <wps:wsp>
                        <wps:cNvPr id="200306" name="Rectangle 200306"/>
                        <wps:cNvSpPr/>
                        <wps:spPr>
                          <a:xfrm rot="-10799999">
                            <a:off x="-543395" y="6035263"/>
                            <a:ext cx="2544023" cy="142891"/>
                          </a:xfrm>
                          <a:prstGeom prst="rect">
                            <a:avLst/>
                          </a:prstGeom>
                          <a:ln>
                            <a:noFill/>
                          </a:ln>
                        </wps:spPr>
                        <wps:txbx>
                          <w:txbxContent>
                            <w:p w14:paraId="22145F9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305" name="Rectangle 200305"/>
                        <wps:cNvSpPr/>
                        <wps:spPr>
                          <a:xfrm rot="-10799999">
                            <a:off x="3186877" y="6035263"/>
                            <a:ext cx="2544023" cy="142891"/>
                          </a:xfrm>
                          <a:prstGeom prst="rect">
                            <a:avLst/>
                          </a:prstGeom>
                          <a:ln>
                            <a:noFill/>
                          </a:ln>
                        </wps:spPr>
                        <wps:txbx>
                          <w:txbxContent>
                            <w:p w14:paraId="744EFCD3"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17087" name="Rectangle 17087"/>
                        <wps:cNvSpPr/>
                        <wps:spPr>
                          <a:xfrm rot="-10799999">
                            <a:off x="-1219137" y="5911934"/>
                            <a:ext cx="5102503" cy="142889"/>
                          </a:xfrm>
                          <a:prstGeom prst="rect">
                            <a:avLst/>
                          </a:prstGeom>
                          <a:ln>
                            <a:noFill/>
                          </a:ln>
                        </wps:spPr>
                        <wps:txbx>
                          <w:txbxContent>
                            <w:p w14:paraId="3F8DE051" w14:textId="77777777" w:rsidR="00B32EF2" w:rsidRDefault="00000000">
                              <w:r>
                                <w:rPr>
                                  <w:rFonts w:ascii="Arial" w:eastAsia="Arial" w:hAnsi="Arial" w:cs="Arial"/>
                                  <w:i/>
                                  <w:sz w:val="18"/>
                                </w:rPr>
                                <w:t xml:space="preserve">a) operazioni prive di sostanza economica i fatti, gli atti e i contratti, anche </w:t>
                              </w:r>
                            </w:p>
                          </w:txbxContent>
                        </wps:txbx>
                        <wps:bodyPr horzOverflow="overflow" vert="horz" lIns="0" tIns="0" rIns="0" bIns="0" rtlCol="0">
                          <a:noAutofit/>
                        </wps:bodyPr>
                      </wps:wsp>
                      <wps:wsp>
                        <wps:cNvPr id="17088" name="Rectangle 17088"/>
                        <wps:cNvSpPr/>
                        <wps:spPr>
                          <a:xfrm rot="-10799999">
                            <a:off x="-1219662" y="5788605"/>
                            <a:ext cx="5102686" cy="142889"/>
                          </a:xfrm>
                          <a:prstGeom prst="rect">
                            <a:avLst/>
                          </a:prstGeom>
                          <a:ln>
                            <a:noFill/>
                          </a:ln>
                        </wps:spPr>
                        <wps:txbx>
                          <w:txbxContent>
                            <w:p w14:paraId="6F01D9EA" w14:textId="77777777" w:rsidR="00B32EF2" w:rsidRDefault="00000000">
                              <w:r>
                                <w:rPr>
                                  <w:rFonts w:ascii="Arial" w:eastAsia="Arial" w:hAnsi="Arial" w:cs="Arial"/>
                                  <w:i/>
                                  <w:sz w:val="18"/>
                                </w:rPr>
                                <w:t xml:space="preserve">tra loro collegati, inidonei a produrre effetti significativi diversi dai vantaggi </w:t>
                              </w:r>
                            </w:p>
                          </w:txbxContent>
                        </wps:txbx>
                        <wps:bodyPr horzOverflow="overflow" vert="horz" lIns="0" tIns="0" rIns="0" bIns="0" rtlCol="0">
                          <a:noAutofit/>
                        </wps:bodyPr>
                      </wps:wsp>
                      <wps:wsp>
                        <wps:cNvPr id="17089" name="Rectangle 17089"/>
                        <wps:cNvSpPr/>
                        <wps:spPr>
                          <a:xfrm rot="-10799999">
                            <a:off x="-1218997" y="5665275"/>
                            <a:ext cx="5100648" cy="142889"/>
                          </a:xfrm>
                          <a:prstGeom prst="rect">
                            <a:avLst/>
                          </a:prstGeom>
                          <a:ln>
                            <a:noFill/>
                          </a:ln>
                        </wps:spPr>
                        <wps:txbx>
                          <w:txbxContent>
                            <w:p w14:paraId="07C5794E" w14:textId="77777777" w:rsidR="00B32EF2" w:rsidRDefault="00000000">
                              <w:r>
                                <w:rPr>
                                  <w:rFonts w:ascii="Arial" w:eastAsia="Arial" w:hAnsi="Arial" w:cs="Arial"/>
                                  <w:i/>
                                  <w:sz w:val="18"/>
                                </w:rPr>
                                <w:t xml:space="preserve">fiscali. Sono indici di mancanza di sostanza economica, in particolare, la </w:t>
                              </w:r>
                            </w:p>
                          </w:txbxContent>
                        </wps:txbx>
                        <wps:bodyPr horzOverflow="overflow" vert="horz" lIns="0" tIns="0" rIns="0" bIns="0" rtlCol="0">
                          <a:noAutofit/>
                        </wps:bodyPr>
                      </wps:wsp>
                      <wps:wsp>
                        <wps:cNvPr id="17090" name="Rectangle 17090"/>
                        <wps:cNvSpPr/>
                        <wps:spPr>
                          <a:xfrm rot="-10799999">
                            <a:off x="-1121828" y="5541945"/>
                            <a:ext cx="4999707" cy="142889"/>
                          </a:xfrm>
                          <a:prstGeom prst="rect">
                            <a:avLst/>
                          </a:prstGeom>
                          <a:ln>
                            <a:noFill/>
                          </a:ln>
                        </wps:spPr>
                        <wps:txbx>
                          <w:txbxContent>
                            <w:p w14:paraId="3E7C8554" w14:textId="77777777" w:rsidR="00B32EF2" w:rsidRDefault="00000000">
                              <w:r>
                                <w:rPr>
                                  <w:rFonts w:ascii="Arial" w:eastAsia="Arial" w:hAnsi="Arial" w:cs="Arial"/>
                                  <w:i/>
                                  <w:sz w:val="18"/>
                                </w:rPr>
                                <w:t>non coerenza della qualificazione delle singole operazioni con il fondamen</w:t>
                              </w:r>
                            </w:p>
                          </w:txbxContent>
                        </wps:txbx>
                        <wps:bodyPr horzOverflow="overflow" vert="horz" lIns="0" tIns="0" rIns="0" bIns="0" rtlCol="0">
                          <a:noAutofit/>
                        </wps:bodyPr>
                      </wps:wsp>
                      <wps:wsp>
                        <wps:cNvPr id="17091" name="Rectangle 17091"/>
                        <wps:cNvSpPr/>
                        <wps:spPr>
                          <a:xfrm rot="-10799999">
                            <a:off x="65757" y="5541946"/>
                            <a:ext cx="50622" cy="142889"/>
                          </a:xfrm>
                          <a:prstGeom prst="rect">
                            <a:avLst/>
                          </a:prstGeom>
                          <a:ln>
                            <a:noFill/>
                          </a:ln>
                        </wps:spPr>
                        <wps:txbx>
                          <w:txbxContent>
                            <w:p w14:paraId="71A3009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092" name="Rectangle 17092"/>
                        <wps:cNvSpPr/>
                        <wps:spPr>
                          <a:xfrm rot="-10799999">
                            <a:off x="-1219451" y="5418616"/>
                            <a:ext cx="5101788" cy="142889"/>
                          </a:xfrm>
                          <a:prstGeom prst="rect">
                            <a:avLst/>
                          </a:prstGeom>
                          <a:ln>
                            <a:noFill/>
                          </a:ln>
                        </wps:spPr>
                        <wps:txbx>
                          <w:txbxContent>
                            <w:p w14:paraId="5E581335" w14:textId="77777777" w:rsidR="00B32EF2" w:rsidRDefault="00000000">
                              <w:r>
                                <w:rPr>
                                  <w:rFonts w:ascii="Arial" w:eastAsia="Arial" w:hAnsi="Arial" w:cs="Arial"/>
                                  <w:i/>
                                  <w:sz w:val="18"/>
                                </w:rPr>
                                <w:t xml:space="preserve">to giuridico del loro insieme e la non conformità dell’utilizzo degli strumenti </w:t>
                              </w:r>
                            </w:p>
                          </w:txbxContent>
                        </wps:txbx>
                        <wps:bodyPr horzOverflow="overflow" vert="horz" lIns="0" tIns="0" rIns="0" bIns="0" rtlCol="0">
                          <a:noAutofit/>
                        </wps:bodyPr>
                      </wps:wsp>
                      <wps:wsp>
                        <wps:cNvPr id="17093" name="Rectangle 17093"/>
                        <wps:cNvSpPr/>
                        <wps:spPr>
                          <a:xfrm rot="-10799999">
                            <a:off x="1345487" y="5295286"/>
                            <a:ext cx="2536164" cy="142889"/>
                          </a:xfrm>
                          <a:prstGeom prst="rect">
                            <a:avLst/>
                          </a:prstGeom>
                          <a:ln>
                            <a:noFill/>
                          </a:ln>
                        </wps:spPr>
                        <wps:txbx>
                          <w:txbxContent>
                            <w:p w14:paraId="511B8FCA" w14:textId="77777777" w:rsidR="00B32EF2" w:rsidRDefault="00000000">
                              <w:r>
                                <w:rPr>
                                  <w:rFonts w:ascii="Arial" w:eastAsia="Arial" w:hAnsi="Arial" w:cs="Arial"/>
                                  <w:i/>
                                  <w:sz w:val="18"/>
                                </w:rPr>
                                <w:t>giuridici a normali logiche di mercato;</w:t>
                              </w:r>
                            </w:p>
                          </w:txbxContent>
                        </wps:txbx>
                        <wps:bodyPr horzOverflow="overflow" vert="horz" lIns="0" tIns="0" rIns="0" bIns="0" rtlCol="0">
                          <a:noAutofit/>
                        </wps:bodyPr>
                      </wps:wsp>
                      <wps:wsp>
                        <wps:cNvPr id="17094" name="Rectangle 17094"/>
                        <wps:cNvSpPr/>
                        <wps:spPr>
                          <a:xfrm rot="-10799999">
                            <a:off x="-1122784" y="5171956"/>
                            <a:ext cx="5004435" cy="142889"/>
                          </a:xfrm>
                          <a:prstGeom prst="rect">
                            <a:avLst/>
                          </a:prstGeom>
                          <a:ln>
                            <a:noFill/>
                          </a:ln>
                        </wps:spPr>
                        <wps:txbx>
                          <w:txbxContent>
                            <w:p w14:paraId="1BF3FF53" w14:textId="77777777" w:rsidR="00B32EF2" w:rsidRDefault="00000000">
                              <w:r>
                                <w:rPr>
                                  <w:rFonts w:ascii="Arial" w:eastAsia="Arial" w:hAnsi="Arial" w:cs="Arial"/>
                                  <w:i/>
                                  <w:sz w:val="18"/>
                                </w:rPr>
                                <w:t>b) vantaggi fiscali indebiti i benefici, anche non immediati, realizzati in con</w:t>
                              </w:r>
                            </w:p>
                          </w:txbxContent>
                        </wps:txbx>
                        <wps:bodyPr horzOverflow="overflow" vert="horz" lIns="0" tIns="0" rIns="0" bIns="0" rtlCol="0">
                          <a:noAutofit/>
                        </wps:bodyPr>
                      </wps:wsp>
                      <wps:wsp>
                        <wps:cNvPr id="17095" name="Rectangle 17095"/>
                        <wps:cNvSpPr/>
                        <wps:spPr>
                          <a:xfrm rot="-10799999">
                            <a:off x="65757" y="5171957"/>
                            <a:ext cx="50622" cy="142889"/>
                          </a:xfrm>
                          <a:prstGeom prst="rect">
                            <a:avLst/>
                          </a:prstGeom>
                          <a:ln>
                            <a:noFill/>
                          </a:ln>
                        </wps:spPr>
                        <wps:txbx>
                          <w:txbxContent>
                            <w:p w14:paraId="0873BBF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096" name="Rectangle 17096"/>
                        <wps:cNvSpPr/>
                        <wps:spPr>
                          <a:xfrm rot="-10799999">
                            <a:off x="-1218936" y="5048627"/>
                            <a:ext cx="5100588" cy="142889"/>
                          </a:xfrm>
                          <a:prstGeom prst="rect">
                            <a:avLst/>
                          </a:prstGeom>
                          <a:ln>
                            <a:noFill/>
                          </a:ln>
                        </wps:spPr>
                        <wps:txbx>
                          <w:txbxContent>
                            <w:p w14:paraId="647D5D42" w14:textId="77777777" w:rsidR="00B32EF2" w:rsidRDefault="00000000">
                              <w:r>
                                <w:rPr>
                                  <w:rFonts w:ascii="Arial" w:eastAsia="Arial" w:hAnsi="Arial" w:cs="Arial"/>
                                  <w:i/>
                                  <w:sz w:val="18"/>
                                </w:rPr>
                                <w:t xml:space="preserve">trasto con le finalità delle norme fiscali o con i principi dell’ordinamento </w:t>
                              </w:r>
                            </w:p>
                          </w:txbxContent>
                        </wps:txbx>
                        <wps:bodyPr horzOverflow="overflow" vert="horz" lIns="0" tIns="0" rIns="0" bIns="0" rtlCol="0">
                          <a:noAutofit/>
                        </wps:bodyPr>
                      </wps:wsp>
                      <wps:wsp>
                        <wps:cNvPr id="17097" name="Rectangle 17097"/>
                        <wps:cNvSpPr/>
                        <wps:spPr>
                          <a:xfrm rot="-10799999">
                            <a:off x="3235307" y="4925297"/>
                            <a:ext cx="647373" cy="142889"/>
                          </a:xfrm>
                          <a:prstGeom prst="rect">
                            <a:avLst/>
                          </a:prstGeom>
                          <a:ln>
                            <a:noFill/>
                          </a:ln>
                        </wps:spPr>
                        <wps:txbx>
                          <w:txbxContent>
                            <w:p w14:paraId="2DAFE244" w14:textId="77777777" w:rsidR="00B32EF2" w:rsidRDefault="00000000">
                              <w:r>
                                <w:rPr>
                                  <w:rFonts w:ascii="Arial" w:eastAsia="Arial" w:hAnsi="Arial" w:cs="Arial"/>
                                  <w:i/>
                                  <w:sz w:val="18"/>
                                </w:rPr>
                                <w:t>tributario.</w:t>
                              </w:r>
                            </w:p>
                          </w:txbxContent>
                        </wps:txbx>
                        <wps:bodyPr horzOverflow="overflow" vert="horz" lIns="0" tIns="0" rIns="0" bIns="0" rtlCol="0">
                          <a:noAutofit/>
                        </wps:bodyPr>
                      </wps:wsp>
                      <wps:wsp>
                        <wps:cNvPr id="200304" name="Rectangle 200304"/>
                        <wps:cNvSpPr/>
                        <wps:spPr>
                          <a:xfrm rot="-10799999">
                            <a:off x="-1285400" y="4801967"/>
                            <a:ext cx="5100724" cy="142889"/>
                          </a:xfrm>
                          <a:prstGeom prst="rect">
                            <a:avLst/>
                          </a:prstGeom>
                          <a:ln>
                            <a:noFill/>
                          </a:ln>
                        </wps:spPr>
                        <wps:txbx>
                          <w:txbxContent>
                            <w:p w14:paraId="330BCFE5" w14:textId="77777777" w:rsidR="00B32EF2" w:rsidRDefault="00000000">
                              <w:r>
                                <w:rPr>
                                  <w:rFonts w:ascii="Arial" w:eastAsia="Arial" w:hAnsi="Arial" w:cs="Arial"/>
                                  <w:i/>
                                  <w:sz w:val="18"/>
                                </w:rPr>
                                <w:t xml:space="preserve">. Non si considerano abusive, in ogni caso, le operazioni giustificate da </w:t>
                              </w:r>
                            </w:p>
                          </w:txbxContent>
                        </wps:txbx>
                        <wps:bodyPr horzOverflow="overflow" vert="horz" lIns="0" tIns="0" rIns="0" bIns="0" rtlCol="0">
                          <a:noAutofit/>
                        </wps:bodyPr>
                      </wps:wsp>
                      <wps:wsp>
                        <wps:cNvPr id="200303" name="Rectangle 200303"/>
                        <wps:cNvSpPr/>
                        <wps:spPr>
                          <a:xfrm rot="-10799999">
                            <a:off x="2552508" y="4801967"/>
                            <a:ext cx="5100725" cy="142889"/>
                          </a:xfrm>
                          <a:prstGeom prst="rect">
                            <a:avLst/>
                          </a:prstGeom>
                          <a:ln>
                            <a:noFill/>
                          </a:ln>
                        </wps:spPr>
                        <wps:txbx>
                          <w:txbxContent>
                            <w:p w14:paraId="38DEE840"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17099" name="Rectangle 17099"/>
                        <wps:cNvSpPr/>
                        <wps:spPr>
                          <a:xfrm rot="-10799999">
                            <a:off x="-1218966" y="4678638"/>
                            <a:ext cx="5100618" cy="142889"/>
                          </a:xfrm>
                          <a:prstGeom prst="rect">
                            <a:avLst/>
                          </a:prstGeom>
                          <a:ln>
                            <a:noFill/>
                          </a:ln>
                        </wps:spPr>
                        <wps:txbx>
                          <w:txbxContent>
                            <w:p w14:paraId="1799F569" w14:textId="77777777" w:rsidR="00B32EF2" w:rsidRDefault="00000000">
                              <w:r>
                                <w:rPr>
                                  <w:rFonts w:ascii="Arial" w:eastAsia="Arial" w:hAnsi="Arial" w:cs="Arial"/>
                                  <w:i/>
                                  <w:sz w:val="18"/>
                                </w:rPr>
                                <w:t xml:space="preserve">valide ragioni extrafiscali, non marginali, anche di ordine organizzativo o </w:t>
                              </w:r>
                            </w:p>
                          </w:txbxContent>
                        </wps:txbx>
                        <wps:bodyPr horzOverflow="overflow" vert="horz" lIns="0" tIns="0" rIns="0" bIns="0" rtlCol="0">
                          <a:noAutofit/>
                        </wps:bodyPr>
                      </wps:wsp>
                      <wps:wsp>
                        <wps:cNvPr id="17100" name="Rectangle 17100"/>
                        <wps:cNvSpPr/>
                        <wps:spPr>
                          <a:xfrm rot="-10799999">
                            <a:off x="-1120655" y="4555308"/>
                            <a:ext cx="5002307" cy="142889"/>
                          </a:xfrm>
                          <a:prstGeom prst="rect">
                            <a:avLst/>
                          </a:prstGeom>
                          <a:ln>
                            <a:noFill/>
                          </a:ln>
                        </wps:spPr>
                        <wps:txbx>
                          <w:txbxContent>
                            <w:p w14:paraId="299896BA" w14:textId="77777777" w:rsidR="00B32EF2" w:rsidRDefault="00000000">
                              <w:r>
                                <w:rPr>
                                  <w:rFonts w:ascii="Arial" w:eastAsia="Arial" w:hAnsi="Arial" w:cs="Arial"/>
                                  <w:i/>
                                  <w:sz w:val="18"/>
                                </w:rPr>
                                <w:t>gestionale, che rispondono a finalità di miglioramento strutturale o funzio</w:t>
                              </w:r>
                            </w:p>
                          </w:txbxContent>
                        </wps:txbx>
                        <wps:bodyPr horzOverflow="overflow" vert="horz" lIns="0" tIns="0" rIns="0" bIns="0" rtlCol="0">
                          <a:noAutofit/>
                        </wps:bodyPr>
                      </wps:wsp>
                      <wps:wsp>
                        <wps:cNvPr id="17101" name="Rectangle 17101"/>
                        <wps:cNvSpPr/>
                        <wps:spPr>
                          <a:xfrm rot="-10799999">
                            <a:off x="65757" y="4555308"/>
                            <a:ext cx="50622" cy="142889"/>
                          </a:xfrm>
                          <a:prstGeom prst="rect">
                            <a:avLst/>
                          </a:prstGeom>
                          <a:ln>
                            <a:noFill/>
                          </a:ln>
                        </wps:spPr>
                        <wps:txbx>
                          <w:txbxContent>
                            <w:p w14:paraId="3E4584A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102" name="Rectangle 17102"/>
                        <wps:cNvSpPr/>
                        <wps:spPr>
                          <a:xfrm rot="-10799999">
                            <a:off x="-680893" y="4431978"/>
                            <a:ext cx="4563231" cy="142889"/>
                          </a:xfrm>
                          <a:prstGeom prst="rect">
                            <a:avLst/>
                          </a:prstGeom>
                          <a:ln>
                            <a:noFill/>
                          </a:ln>
                        </wps:spPr>
                        <wps:txbx>
                          <w:txbxContent>
                            <w:p w14:paraId="6FD45F23" w14:textId="77777777" w:rsidR="00B32EF2" w:rsidRDefault="00000000">
                              <w:r>
                                <w:rPr>
                                  <w:rFonts w:ascii="Arial" w:eastAsia="Arial" w:hAnsi="Arial" w:cs="Arial"/>
                                  <w:i/>
                                  <w:sz w:val="18"/>
                                </w:rPr>
                                <w:t>nale dell’impresa ovvero dell’attività professionale del contribuente.</w:t>
                              </w:r>
                            </w:p>
                          </w:txbxContent>
                        </wps:txbx>
                        <wps:bodyPr horzOverflow="overflow" vert="horz" lIns="0" tIns="0" rIns="0" bIns="0" rtlCol="0">
                          <a:noAutofit/>
                        </wps:bodyPr>
                      </wps:wsp>
                      <wps:wsp>
                        <wps:cNvPr id="200301" name="Rectangle 200301"/>
                        <wps:cNvSpPr/>
                        <wps:spPr>
                          <a:xfrm rot="-10799999">
                            <a:off x="2574683" y="4308648"/>
                            <a:ext cx="5011352" cy="142889"/>
                          </a:xfrm>
                          <a:prstGeom prst="rect">
                            <a:avLst/>
                          </a:prstGeom>
                          <a:ln>
                            <a:noFill/>
                          </a:ln>
                        </wps:spPr>
                        <wps:txbx>
                          <w:txbxContent>
                            <w:p w14:paraId="1D25BA4C"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200302" name="Rectangle 200302"/>
                        <wps:cNvSpPr/>
                        <wps:spPr>
                          <a:xfrm rot="-10799999">
                            <a:off x="-1195218" y="4308648"/>
                            <a:ext cx="5011353" cy="142889"/>
                          </a:xfrm>
                          <a:prstGeom prst="rect">
                            <a:avLst/>
                          </a:prstGeom>
                          <a:ln>
                            <a:noFill/>
                          </a:ln>
                        </wps:spPr>
                        <wps:txbx>
                          <w:txbxContent>
                            <w:p w14:paraId="08C12774" w14:textId="77777777" w:rsidR="00B32EF2" w:rsidRDefault="00000000">
                              <w:r>
                                <w:rPr>
                                  <w:rFonts w:ascii="Arial" w:eastAsia="Arial" w:hAnsi="Arial" w:cs="Arial"/>
                                  <w:i/>
                                  <w:sz w:val="18"/>
                                </w:rPr>
                                <w:t>. Resta ferma la libertà di scelta del contribuente tra regimi opzionali diver</w:t>
                              </w:r>
                            </w:p>
                          </w:txbxContent>
                        </wps:txbx>
                        <wps:bodyPr horzOverflow="overflow" vert="horz" lIns="0" tIns="0" rIns="0" bIns="0" rtlCol="0">
                          <a:noAutofit/>
                        </wps:bodyPr>
                      </wps:wsp>
                      <wps:wsp>
                        <wps:cNvPr id="17104" name="Rectangle 17104"/>
                        <wps:cNvSpPr/>
                        <wps:spPr>
                          <a:xfrm rot="-10799999">
                            <a:off x="65757" y="4308649"/>
                            <a:ext cx="50622" cy="142889"/>
                          </a:xfrm>
                          <a:prstGeom prst="rect">
                            <a:avLst/>
                          </a:prstGeom>
                          <a:ln>
                            <a:noFill/>
                          </a:ln>
                        </wps:spPr>
                        <wps:txbx>
                          <w:txbxContent>
                            <w:p w14:paraId="7E6C218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105" name="Rectangle 17105"/>
                        <wps:cNvSpPr/>
                        <wps:spPr>
                          <a:xfrm rot="-10799999">
                            <a:off x="-1139293" y="4185319"/>
                            <a:ext cx="5020945" cy="142889"/>
                          </a:xfrm>
                          <a:prstGeom prst="rect">
                            <a:avLst/>
                          </a:prstGeom>
                          <a:ln>
                            <a:noFill/>
                          </a:ln>
                        </wps:spPr>
                        <wps:txbx>
                          <w:txbxContent>
                            <w:p w14:paraId="159BDAC8" w14:textId="77777777" w:rsidR="00B32EF2" w:rsidRDefault="00000000">
                              <w:r>
                                <w:rPr>
                                  <w:rFonts w:ascii="Arial" w:eastAsia="Arial" w:hAnsi="Arial" w:cs="Arial"/>
                                  <w:i/>
                                  <w:sz w:val="18"/>
                                </w:rPr>
                                <w:t>si offerti dalla legge e tra operazioni comportanti un diverso carico fiscale.</w:t>
                              </w:r>
                            </w:p>
                          </w:txbxContent>
                        </wps:txbx>
                        <wps:bodyPr horzOverflow="overflow" vert="horz" lIns="0" tIns="0" rIns="0" bIns="0" rtlCol="0">
                          <a:noAutofit/>
                        </wps:bodyPr>
                      </wps:wsp>
                      <wps:wsp>
                        <wps:cNvPr id="200300" name="Rectangle 200300"/>
                        <wps:cNvSpPr/>
                        <wps:spPr>
                          <a:xfrm rot="-10799999">
                            <a:off x="-1285776" y="4061989"/>
                            <a:ext cx="5099843" cy="142889"/>
                          </a:xfrm>
                          <a:prstGeom prst="rect">
                            <a:avLst/>
                          </a:prstGeom>
                          <a:ln>
                            <a:noFill/>
                          </a:ln>
                        </wps:spPr>
                        <wps:txbx>
                          <w:txbxContent>
                            <w:p w14:paraId="7F029225" w14:textId="77777777" w:rsidR="00B32EF2" w:rsidRDefault="00000000">
                              <w:r>
                                <w:rPr>
                                  <w:rFonts w:ascii="Arial" w:eastAsia="Arial" w:hAnsi="Arial" w:cs="Arial"/>
                                  <w:i/>
                                  <w:sz w:val="18"/>
                                </w:rPr>
                                <w:t xml:space="preserve">. Il contribuente può proporre interpello ai sensi dell’articolo 11, comma 1, </w:t>
                              </w:r>
                            </w:p>
                          </w:txbxContent>
                        </wps:txbx>
                        <wps:bodyPr horzOverflow="overflow" vert="horz" lIns="0" tIns="0" rIns="0" bIns="0" rtlCol="0">
                          <a:noAutofit/>
                        </wps:bodyPr>
                      </wps:wsp>
                      <wps:wsp>
                        <wps:cNvPr id="200299" name="Rectangle 200299"/>
                        <wps:cNvSpPr/>
                        <wps:spPr>
                          <a:xfrm rot="-10799999">
                            <a:off x="2552726" y="4061989"/>
                            <a:ext cx="5099843" cy="142889"/>
                          </a:xfrm>
                          <a:prstGeom prst="rect">
                            <a:avLst/>
                          </a:prstGeom>
                          <a:ln>
                            <a:noFill/>
                          </a:ln>
                        </wps:spPr>
                        <wps:txbx>
                          <w:txbxContent>
                            <w:p w14:paraId="3F52811B"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17107" name="Rectangle 17107"/>
                        <wps:cNvSpPr/>
                        <wps:spPr>
                          <a:xfrm rot="-10799999">
                            <a:off x="-1218657" y="3938659"/>
                            <a:ext cx="5099280" cy="142889"/>
                          </a:xfrm>
                          <a:prstGeom prst="rect">
                            <a:avLst/>
                          </a:prstGeom>
                          <a:ln>
                            <a:noFill/>
                          </a:ln>
                        </wps:spPr>
                        <wps:txbx>
                          <w:txbxContent>
                            <w:p w14:paraId="4F00F1DE" w14:textId="77777777" w:rsidR="00B32EF2" w:rsidRDefault="00000000">
                              <w:r>
                                <w:rPr>
                                  <w:rFonts w:ascii="Arial" w:eastAsia="Arial" w:hAnsi="Arial" w:cs="Arial"/>
                                  <w:i/>
                                  <w:sz w:val="18"/>
                                </w:rPr>
                                <w:t xml:space="preserve">lettera c), per conoscere se le operazioni costituiscano fattispecie di abuso </w:t>
                              </w:r>
                            </w:p>
                          </w:txbxContent>
                        </wps:txbx>
                        <wps:bodyPr horzOverflow="overflow" vert="horz" lIns="0" tIns="0" rIns="0" bIns="0" rtlCol="0">
                          <a:noAutofit/>
                        </wps:bodyPr>
                      </wps:wsp>
                      <wps:wsp>
                        <wps:cNvPr id="17108" name="Rectangle 17108"/>
                        <wps:cNvSpPr/>
                        <wps:spPr>
                          <a:xfrm rot="-10799999">
                            <a:off x="3208177" y="3815330"/>
                            <a:ext cx="673475" cy="142889"/>
                          </a:xfrm>
                          <a:prstGeom prst="rect">
                            <a:avLst/>
                          </a:prstGeom>
                          <a:ln>
                            <a:noFill/>
                          </a:ln>
                        </wps:spPr>
                        <wps:txbx>
                          <w:txbxContent>
                            <w:p w14:paraId="5EA7ED6E" w14:textId="77777777" w:rsidR="00B32EF2" w:rsidRDefault="00000000">
                              <w:r>
                                <w:rPr>
                                  <w:rFonts w:ascii="Arial" w:eastAsia="Arial" w:hAnsi="Arial" w:cs="Arial"/>
                                  <w:i/>
                                  <w:sz w:val="18"/>
                                </w:rPr>
                                <w:t>del diritto.</w:t>
                              </w:r>
                            </w:p>
                          </w:txbxContent>
                        </wps:txbx>
                        <wps:bodyPr horzOverflow="overflow" vert="horz" lIns="0" tIns="0" rIns="0" bIns="0" rtlCol="0">
                          <a:noAutofit/>
                        </wps:bodyPr>
                      </wps:wsp>
                      <wps:wsp>
                        <wps:cNvPr id="200298" name="Rectangle 200298"/>
                        <wps:cNvSpPr/>
                        <wps:spPr>
                          <a:xfrm rot="-10799999">
                            <a:off x="-1291056" y="3692000"/>
                            <a:ext cx="5123101" cy="142889"/>
                          </a:xfrm>
                          <a:prstGeom prst="rect">
                            <a:avLst/>
                          </a:prstGeom>
                          <a:ln>
                            <a:noFill/>
                          </a:ln>
                        </wps:spPr>
                        <wps:txbx>
                          <w:txbxContent>
                            <w:p w14:paraId="71515CF7" w14:textId="77777777" w:rsidR="00B32EF2" w:rsidRDefault="00000000">
                              <w:r>
                                <w:rPr>
                                  <w:rFonts w:ascii="Arial" w:eastAsia="Arial" w:hAnsi="Arial" w:cs="Arial"/>
                                  <w:i/>
                                  <w:sz w:val="18"/>
                                </w:rPr>
                                <w:t xml:space="preserve">. Senza pregiudizio dell’ulteriore azione accertatrice nei termini stabiliti </w:t>
                              </w:r>
                            </w:p>
                          </w:txbxContent>
                        </wps:txbx>
                        <wps:bodyPr horzOverflow="overflow" vert="horz" lIns="0" tIns="0" rIns="0" bIns="0" rtlCol="0">
                          <a:noAutofit/>
                        </wps:bodyPr>
                      </wps:wsp>
                      <wps:wsp>
                        <wps:cNvPr id="200297" name="Rectangle 200297"/>
                        <wps:cNvSpPr/>
                        <wps:spPr>
                          <a:xfrm rot="-10799999">
                            <a:off x="2546956" y="3692000"/>
                            <a:ext cx="5123101" cy="142889"/>
                          </a:xfrm>
                          <a:prstGeom prst="rect">
                            <a:avLst/>
                          </a:prstGeom>
                          <a:ln>
                            <a:noFill/>
                          </a:ln>
                        </wps:spPr>
                        <wps:txbx>
                          <w:txbxContent>
                            <w:p w14:paraId="154D8493" w14:textId="77777777" w:rsidR="00B32EF2" w:rsidRDefault="00000000">
                              <w:r>
                                <w:rPr>
                                  <w:rFonts w:ascii="Arial" w:eastAsia="Arial" w:hAnsi="Arial" w:cs="Arial"/>
                                  <w:i/>
                                  <w:sz w:val="18"/>
                                </w:rPr>
                                <w:t>6</w:t>
                              </w:r>
                            </w:p>
                          </w:txbxContent>
                        </wps:txbx>
                        <wps:bodyPr horzOverflow="overflow" vert="horz" lIns="0" tIns="0" rIns="0" bIns="0" rtlCol="0">
                          <a:noAutofit/>
                        </wps:bodyPr>
                      </wps:wsp>
                      <wps:wsp>
                        <wps:cNvPr id="17110" name="Rectangle 17110"/>
                        <wps:cNvSpPr/>
                        <wps:spPr>
                          <a:xfrm rot="-10799999">
                            <a:off x="-1121430" y="3568671"/>
                            <a:ext cx="5003082" cy="142889"/>
                          </a:xfrm>
                          <a:prstGeom prst="rect">
                            <a:avLst/>
                          </a:prstGeom>
                          <a:ln>
                            <a:noFill/>
                          </a:ln>
                        </wps:spPr>
                        <wps:txbx>
                          <w:txbxContent>
                            <w:p w14:paraId="125935A4" w14:textId="77777777" w:rsidR="00B32EF2" w:rsidRDefault="00000000">
                              <w:r>
                                <w:rPr>
                                  <w:rFonts w:ascii="Arial" w:eastAsia="Arial" w:hAnsi="Arial" w:cs="Arial"/>
                                  <w:i/>
                                  <w:sz w:val="18"/>
                                </w:rPr>
                                <w:t>per i singoli tributi, l’abuso del diritto è accertato con apposito atto, pre</w:t>
                              </w:r>
                            </w:p>
                          </w:txbxContent>
                        </wps:txbx>
                        <wps:bodyPr horzOverflow="overflow" vert="horz" lIns="0" tIns="0" rIns="0" bIns="0" rtlCol="0">
                          <a:noAutofit/>
                        </wps:bodyPr>
                      </wps:wsp>
                      <wps:wsp>
                        <wps:cNvPr id="17111" name="Rectangle 17111"/>
                        <wps:cNvSpPr/>
                        <wps:spPr>
                          <a:xfrm rot="-10799999">
                            <a:off x="65757" y="3568670"/>
                            <a:ext cx="50622" cy="142889"/>
                          </a:xfrm>
                          <a:prstGeom prst="rect">
                            <a:avLst/>
                          </a:prstGeom>
                          <a:ln>
                            <a:noFill/>
                          </a:ln>
                        </wps:spPr>
                        <wps:txbx>
                          <w:txbxContent>
                            <w:p w14:paraId="50FB9F7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112" name="Rectangle 17112"/>
                        <wps:cNvSpPr/>
                        <wps:spPr>
                          <a:xfrm rot="-10799999">
                            <a:off x="-1219026" y="3445341"/>
                            <a:ext cx="5100678" cy="142889"/>
                          </a:xfrm>
                          <a:prstGeom prst="rect">
                            <a:avLst/>
                          </a:prstGeom>
                          <a:ln>
                            <a:noFill/>
                          </a:ln>
                        </wps:spPr>
                        <wps:txbx>
                          <w:txbxContent>
                            <w:p w14:paraId="20868217" w14:textId="77777777" w:rsidR="00B32EF2" w:rsidRDefault="00000000">
                              <w:r>
                                <w:rPr>
                                  <w:rFonts w:ascii="Arial" w:eastAsia="Arial" w:hAnsi="Arial" w:cs="Arial"/>
                                  <w:i/>
                                  <w:sz w:val="18"/>
                                </w:rPr>
                                <w:t xml:space="preserve">ceduto, a pena di nullità, dalla notifica al contribuente di una richiesta di </w:t>
                              </w:r>
                            </w:p>
                          </w:txbxContent>
                        </wps:txbx>
                        <wps:bodyPr horzOverflow="overflow" vert="horz" lIns="0" tIns="0" rIns="0" bIns="0" rtlCol="0">
                          <a:noAutofit/>
                        </wps:bodyPr>
                      </wps:wsp>
                      <wps:wsp>
                        <wps:cNvPr id="17113" name="Rectangle 17113"/>
                        <wps:cNvSpPr/>
                        <wps:spPr>
                          <a:xfrm rot="-10799999">
                            <a:off x="-1219183" y="3322011"/>
                            <a:ext cx="5099234" cy="142889"/>
                          </a:xfrm>
                          <a:prstGeom prst="rect">
                            <a:avLst/>
                          </a:prstGeom>
                          <a:ln>
                            <a:noFill/>
                          </a:ln>
                        </wps:spPr>
                        <wps:txbx>
                          <w:txbxContent>
                            <w:p w14:paraId="2ADC2307" w14:textId="77777777" w:rsidR="00B32EF2" w:rsidRDefault="00000000">
                              <w:r>
                                <w:rPr>
                                  <w:rFonts w:ascii="Arial" w:eastAsia="Arial" w:hAnsi="Arial" w:cs="Arial"/>
                                  <w:i/>
                                  <w:sz w:val="18"/>
                                </w:rPr>
                                <w:t xml:space="preserve">chiarimenti da fornire entro il termine di sessanta giorni, in cui sono indicati </w:t>
                              </w:r>
                            </w:p>
                          </w:txbxContent>
                        </wps:txbx>
                        <wps:bodyPr horzOverflow="overflow" vert="horz" lIns="0" tIns="0" rIns="0" bIns="0" rtlCol="0">
                          <a:noAutofit/>
                        </wps:bodyPr>
                      </wps:wsp>
                      <wps:wsp>
                        <wps:cNvPr id="17114" name="Rectangle 17114"/>
                        <wps:cNvSpPr/>
                        <wps:spPr>
                          <a:xfrm rot="-10799999">
                            <a:off x="-230660" y="3198682"/>
                            <a:ext cx="4112312" cy="142889"/>
                          </a:xfrm>
                          <a:prstGeom prst="rect">
                            <a:avLst/>
                          </a:prstGeom>
                          <a:ln>
                            <a:noFill/>
                          </a:ln>
                        </wps:spPr>
                        <wps:txbx>
                          <w:txbxContent>
                            <w:p w14:paraId="45DE4E19" w14:textId="77777777" w:rsidR="00B32EF2" w:rsidRDefault="00000000">
                              <w:r>
                                <w:rPr>
                                  <w:rFonts w:ascii="Arial" w:eastAsia="Arial" w:hAnsi="Arial" w:cs="Arial"/>
                                  <w:i/>
                                  <w:sz w:val="18"/>
                                </w:rPr>
                                <w:t>i motivi per i quali si ritiene configurabile un abuso del diritto.</w:t>
                              </w:r>
                            </w:p>
                          </w:txbxContent>
                        </wps:txbx>
                        <wps:bodyPr horzOverflow="overflow" vert="horz" lIns="0" tIns="0" rIns="0" bIns="0" rtlCol="0">
                          <a:noAutofit/>
                        </wps:bodyPr>
                      </wps:wsp>
                      <wps:wsp>
                        <wps:cNvPr id="200296" name="Rectangle 200296"/>
                        <wps:cNvSpPr/>
                        <wps:spPr>
                          <a:xfrm rot="-10799999">
                            <a:off x="-1274009" y="3075352"/>
                            <a:ext cx="5100602" cy="142889"/>
                          </a:xfrm>
                          <a:prstGeom prst="rect">
                            <a:avLst/>
                          </a:prstGeom>
                          <a:ln>
                            <a:noFill/>
                          </a:ln>
                        </wps:spPr>
                        <wps:txbx>
                          <w:txbxContent>
                            <w:p w14:paraId="1270165A" w14:textId="77777777" w:rsidR="00B32EF2" w:rsidRDefault="00000000">
                              <w:r>
                                <w:rPr>
                                  <w:rFonts w:ascii="Arial" w:eastAsia="Arial" w:hAnsi="Arial" w:cs="Arial"/>
                                  <w:i/>
                                  <w:sz w:val="18"/>
                                </w:rPr>
                                <w:t xml:space="preserve">. La richiesta di chiarimenti è notificata dall’amministrazione finanziaria ai </w:t>
                              </w:r>
                            </w:p>
                          </w:txbxContent>
                        </wps:txbx>
                        <wps:bodyPr horzOverflow="overflow" vert="horz" lIns="0" tIns="0" rIns="0" bIns="0" rtlCol="0">
                          <a:noAutofit/>
                        </wps:bodyPr>
                      </wps:wsp>
                      <wps:wsp>
                        <wps:cNvPr id="200295" name="Rectangle 200295"/>
                        <wps:cNvSpPr/>
                        <wps:spPr>
                          <a:xfrm rot="-10799999">
                            <a:off x="2552538" y="3075352"/>
                            <a:ext cx="5100602" cy="142889"/>
                          </a:xfrm>
                          <a:prstGeom prst="rect">
                            <a:avLst/>
                          </a:prstGeom>
                          <a:ln>
                            <a:noFill/>
                          </a:ln>
                        </wps:spPr>
                        <wps:txbx>
                          <w:txbxContent>
                            <w:p w14:paraId="7B521B84" w14:textId="77777777" w:rsidR="00B32EF2" w:rsidRDefault="00000000">
                              <w:r>
                                <w:rPr>
                                  <w:rFonts w:ascii="Arial" w:eastAsia="Arial" w:hAnsi="Arial" w:cs="Arial"/>
                                  <w:i/>
                                  <w:sz w:val="18"/>
                                </w:rPr>
                                <w:t>7</w:t>
                              </w:r>
                            </w:p>
                          </w:txbxContent>
                        </wps:txbx>
                        <wps:bodyPr horzOverflow="overflow" vert="horz" lIns="0" tIns="0" rIns="0" bIns="0" rtlCol="0">
                          <a:noAutofit/>
                        </wps:bodyPr>
                      </wps:wsp>
                      <wps:wsp>
                        <wps:cNvPr id="17116" name="Rectangle 17116"/>
                        <wps:cNvSpPr/>
                        <wps:spPr>
                          <a:xfrm rot="-10799999">
                            <a:off x="-1125839" y="2952022"/>
                            <a:ext cx="5007491" cy="142889"/>
                          </a:xfrm>
                          <a:prstGeom prst="rect">
                            <a:avLst/>
                          </a:prstGeom>
                          <a:ln>
                            <a:noFill/>
                          </a:ln>
                        </wps:spPr>
                        <wps:txbx>
                          <w:txbxContent>
                            <w:p w14:paraId="678248C3" w14:textId="77777777" w:rsidR="00B32EF2" w:rsidRDefault="00000000">
                              <w:r>
                                <w:rPr>
                                  <w:rFonts w:ascii="Arial" w:eastAsia="Arial" w:hAnsi="Arial" w:cs="Arial"/>
                                  <w:i/>
                                  <w:sz w:val="18"/>
                                </w:rPr>
                                <w:t>sensi dell’articolo 60 del decreto del Presidente della Repubblica 29 set</w:t>
                              </w:r>
                            </w:p>
                          </w:txbxContent>
                        </wps:txbx>
                        <wps:bodyPr horzOverflow="overflow" vert="horz" lIns="0" tIns="0" rIns="0" bIns="0" rtlCol="0">
                          <a:noAutofit/>
                        </wps:bodyPr>
                      </wps:wsp>
                      <wps:wsp>
                        <wps:cNvPr id="17117" name="Rectangle 17117"/>
                        <wps:cNvSpPr/>
                        <wps:spPr>
                          <a:xfrm rot="-10799999">
                            <a:off x="65757" y="2952022"/>
                            <a:ext cx="50622" cy="142889"/>
                          </a:xfrm>
                          <a:prstGeom prst="rect">
                            <a:avLst/>
                          </a:prstGeom>
                          <a:ln>
                            <a:noFill/>
                          </a:ln>
                        </wps:spPr>
                        <wps:txbx>
                          <w:txbxContent>
                            <w:p w14:paraId="685C6B0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118" name="Rectangle 17118"/>
                        <wps:cNvSpPr/>
                        <wps:spPr>
                          <a:xfrm rot="-10799999">
                            <a:off x="-1122541" y="2828693"/>
                            <a:ext cx="5004193" cy="142889"/>
                          </a:xfrm>
                          <a:prstGeom prst="rect">
                            <a:avLst/>
                          </a:prstGeom>
                          <a:ln>
                            <a:noFill/>
                          </a:ln>
                        </wps:spPr>
                        <wps:txbx>
                          <w:txbxContent>
                            <w:p w14:paraId="146485BD" w14:textId="77777777" w:rsidR="00B32EF2" w:rsidRDefault="00000000">
                              <w:r>
                                <w:rPr>
                                  <w:rFonts w:ascii="Arial" w:eastAsia="Arial" w:hAnsi="Arial" w:cs="Arial"/>
                                  <w:i/>
                                  <w:sz w:val="18"/>
                                </w:rPr>
                                <w:t>tembre 1973, n. 600, e successive modificazioni, entro il termine di deca</w:t>
                              </w:r>
                            </w:p>
                          </w:txbxContent>
                        </wps:txbx>
                        <wps:bodyPr horzOverflow="overflow" vert="horz" lIns="0" tIns="0" rIns="0" bIns="0" rtlCol="0">
                          <a:noAutofit/>
                        </wps:bodyPr>
                      </wps:wsp>
                      <wps:wsp>
                        <wps:cNvPr id="17119" name="Rectangle 17119"/>
                        <wps:cNvSpPr/>
                        <wps:spPr>
                          <a:xfrm rot="-10799999">
                            <a:off x="65757" y="2828692"/>
                            <a:ext cx="50622" cy="142889"/>
                          </a:xfrm>
                          <a:prstGeom prst="rect">
                            <a:avLst/>
                          </a:prstGeom>
                          <a:ln>
                            <a:noFill/>
                          </a:ln>
                        </wps:spPr>
                        <wps:txbx>
                          <w:txbxContent>
                            <w:p w14:paraId="06EEA96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120" name="Rectangle 17120"/>
                        <wps:cNvSpPr/>
                        <wps:spPr>
                          <a:xfrm rot="-10799999">
                            <a:off x="-1121597" y="2705362"/>
                            <a:ext cx="5003250" cy="142889"/>
                          </a:xfrm>
                          <a:prstGeom prst="rect">
                            <a:avLst/>
                          </a:prstGeom>
                          <a:ln>
                            <a:noFill/>
                          </a:ln>
                        </wps:spPr>
                        <wps:txbx>
                          <w:txbxContent>
                            <w:p w14:paraId="389B8C7C" w14:textId="77777777" w:rsidR="00B32EF2" w:rsidRDefault="00000000">
                              <w:r>
                                <w:rPr>
                                  <w:rFonts w:ascii="Arial" w:eastAsia="Arial" w:hAnsi="Arial" w:cs="Arial"/>
                                  <w:i/>
                                  <w:sz w:val="18"/>
                                </w:rPr>
                                <w:t>denza previsto per la notificazione dell’atto impositivo. Tra la data di rice</w:t>
                              </w:r>
                            </w:p>
                          </w:txbxContent>
                        </wps:txbx>
                        <wps:bodyPr horzOverflow="overflow" vert="horz" lIns="0" tIns="0" rIns="0" bIns="0" rtlCol="0">
                          <a:noAutofit/>
                        </wps:bodyPr>
                      </wps:wsp>
                      <wps:wsp>
                        <wps:cNvPr id="17121" name="Rectangle 17121"/>
                        <wps:cNvSpPr/>
                        <wps:spPr>
                          <a:xfrm rot="-10799999">
                            <a:off x="65757" y="2705363"/>
                            <a:ext cx="50622" cy="142889"/>
                          </a:xfrm>
                          <a:prstGeom prst="rect">
                            <a:avLst/>
                          </a:prstGeom>
                          <a:ln>
                            <a:noFill/>
                          </a:ln>
                        </wps:spPr>
                        <wps:txbx>
                          <w:txbxContent>
                            <w:p w14:paraId="58DE610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122" name="Rectangle 17122"/>
                        <wps:cNvSpPr/>
                        <wps:spPr>
                          <a:xfrm rot="-10799999">
                            <a:off x="-1220154" y="2582032"/>
                            <a:ext cx="5106835" cy="142889"/>
                          </a:xfrm>
                          <a:prstGeom prst="rect">
                            <a:avLst/>
                          </a:prstGeom>
                          <a:ln>
                            <a:noFill/>
                          </a:ln>
                        </wps:spPr>
                        <wps:txbx>
                          <w:txbxContent>
                            <w:p w14:paraId="2FA309F6" w14:textId="77777777" w:rsidR="00B32EF2" w:rsidRDefault="00000000">
                              <w:r>
                                <w:rPr>
                                  <w:rFonts w:ascii="Arial" w:eastAsia="Arial" w:hAnsi="Arial" w:cs="Arial"/>
                                  <w:i/>
                                  <w:sz w:val="18"/>
                                </w:rPr>
                                <w:t xml:space="preserve">vimento dei chiarimenti ovvero di inutile decorso del termine assegnato al </w:t>
                              </w:r>
                            </w:p>
                          </w:txbxContent>
                        </wps:txbx>
                        <wps:bodyPr horzOverflow="overflow" vert="horz" lIns="0" tIns="0" rIns="0" bIns="0" rtlCol="0">
                          <a:noAutofit/>
                        </wps:bodyPr>
                      </wps:wsp>
                      <wps:wsp>
                        <wps:cNvPr id="17123" name="Rectangle 17123"/>
                        <wps:cNvSpPr/>
                        <wps:spPr>
                          <a:xfrm rot="-10799999">
                            <a:off x="-1176781" y="2458703"/>
                            <a:ext cx="5058433" cy="142889"/>
                          </a:xfrm>
                          <a:prstGeom prst="rect">
                            <a:avLst/>
                          </a:prstGeom>
                          <a:ln>
                            <a:noFill/>
                          </a:ln>
                        </wps:spPr>
                        <wps:txbx>
                          <w:txbxContent>
                            <w:p w14:paraId="56E466B8" w14:textId="77777777" w:rsidR="00B32EF2" w:rsidRDefault="00000000">
                              <w:r>
                                <w:rPr>
                                  <w:rFonts w:ascii="Arial" w:eastAsia="Arial" w:hAnsi="Arial" w:cs="Arial"/>
                                  <w:i/>
                                  <w:sz w:val="18"/>
                                </w:rPr>
                                <w:t>contribuente per rispondere alla richiesta e quella di decadenza dell’ammi-</w:t>
                              </w:r>
                            </w:p>
                          </w:txbxContent>
                        </wps:txbx>
                        <wps:bodyPr horzOverflow="overflow" vert="horz" lIns="0" tIns="0" rIns="0" bIns="0" rtlCol="0">
                          <a:noAutofit/>
                        </wps:bodyPr>
                      </wps:wsp>
                      <wps:wsp>
                        <wps:cNvPr id="17124" name="Rectangle 17124"/>
                        <wps:cNvSpPr/>
                        <wps:spPr>
                          <a:xfrm rot="-10799999">
                            <a:off x="-1218890" y="2335373"/>
                            <a:ext cx="5100542" cy="142889"/>
                          </a:xfrm>
                          <a:prstGeom prst="rect">
                            <a:avLst/>
                          </a:prstGeom>
                          <a:ln>
                            <a:noFill/>
                          </a:ln>
                        </wps:spPr>
                        <wps:txbx>
                          <w:txbxContent>
                            <w:p w14:paraId="6FD5EB53" w14:textId="77777777" w:rsidR="00B32EF2" w:rsidRDefault="00000000">
                              <w:r>
                                <w:rPr>
                                  <w:rFonts w:ascii="Arial" w:eastAsia="Arial" w:hAnsi="Arial" w:cs="Arial"/>
                                  <w:i/>
                                  <w:sz w:val="18"/>
                                </w:rPr>
                                <w:t xml:space="preserve">nistrazione dal potere di notificazione dell’atto impositivo intercorrono non </w:t>
                              </w:r>
                            </w:p>
                          </w:txbxContent>
                        </wps:txbx>
                        <wps:bodyPr horzOverflow="overflow" vert="horz" lIns="0" tIns="0" rIns="0" bIns="0" rtlCol="0">
                          <a:noAutofit/>
                        </wps:bodyPr>
                      </wps:wsp>
                      <wps:wsp>
                        <wps:cNvPr id="17125" name="Rectangle 17125"/>
                        <wps:cNvSpPr/>
                        <wps:spPr>
                          <a:xfrm rot="-10799999">
                            <a:off x="-1122555" y="2212043"/>
                            <a:ext cx="5004208" cy="142889"/>
                          </a:xfrm>
                          <a:prstGeom prst="rect">
                            <a:avLst/>
                          </a:prstGeom>
                          <a:ln>
                            <a:noFill/>
                          </a:ln>
                        </wps:spPr>
                        <wps:txbx>
                          <w:txbxContent>
                            <w:p w14:paraId="49AF475C" w14:textId="77777777" w:rsidR="00B32EF2" w:rsidRDefault="00000000">
                              <w:r>
                                <w:rPr>
                                  <w:rFonts w:ascii="Arial" w:eastAsia="Arial" w:hAnsi="Arial" w:cs="Arial"/>
                                  <w:i/>
                                  <w:sz w:val="18"/>
                                </w:rPr>
                                <w:t>meno di sessanta giorni. In difetto, il termine di decadenza per la notifica</w:t>
                              </w:r>
                            </w:p>
                          </w:txbxContent>
                        </wps:txbx>
                        <wps:bodyPr horzOverflow="overflow" vert="horz" lIns="0" tIns="0" rIns="0" bIns="0" rtlCol="0">
                          <a:noAutofit/>
                        </wps:bodyPr>
                      </wps:wsp>
                      <wps:wsp>
                        <wps:cNvPr id="17126" name="Rectangle 17126"/>
                        <wps:cNvSpPr/>
                        <wps:spPr>
                          <a:xfrm rot="-10799999">
                            <a:off x="65757" y="2212044"/>
                            <a:ext cx="50622" cy="142889"/>
                          </a:xfrm>
                          <a:prstGeom prst="rect">
                            <a:avLst/>
                          </a:prstGeom>
                          <a:ln>
                            <a:noFill/>
                          </a:ln>
                        </wps:spPr>
                        <wps:txbx>
                          <w:txbxContent>
                            <w:p w14:paraId="253338A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127" name="Rectangle 17127"/>
                        <wps:cNvSpPr/>
                        <wps:spPr>
                          <a:xfrm rot="-10799999">
                            <a:off x="-1220160" y="2088714"/>
                            <a:ext cx="5104555" cy="142889"/>
                          </a:xfrm>
                          <a:prstGeom prst="rect">
                            <a:avLst/>
                          </a:prstGeom>
                          <a:ln>
                            <a:noFill/>
                          </a:ln>
                        </wps:spPr>
                        <wps:txbx>
                          <w:txbxContent>
                            <w:p w14:paraId="758F22A6" w14:textId="77777777" w:rsidR="00B32EF2" w:rsidRDefault="00000000">
                              <w:r>
                                <w:rPr>
                                  <w:rFonts w:ascii="Arial" w:eastAsia="Arial" w:hAnsi="Arial" w:cs="Arial"/>
                                  <w:i/>
                                  <w:sz w:val="18"/>
                                </w:rPr>
                                <w:t xml:space="preserve">zione dell’atto impositivo è automaticamente prorogato, in deroga a quello </w:t>
                              </w:r>
                            </w:p>
                          </w:txbxContent>
                        </wps:txbx>
                        <wps:bodyPr horzOverflow="overflow" vert="horz" lIns="0" tIns="0" rIns="0" bIns="0" rtlCol="0">
                          <a:noAutofit/>
                        </wps:bodyPr>
                      </wps:wsp>
                      <wps:wsp>
                        <wps:cNvPr id="17128" name="Rectangle 17128"/>
                        <wps:cNvSpPr/>
                        <wps:spPr>
                          <a:xfrm rot="-10799999">
                            <a:off x="561465" y="1965384"/>
                            <a:ext cx="3320186" cy="142889"/>
                          </a:xfrm>
                          <a:prstGeom prst="rect">
                            <a:avLst/>
                          </a:prstGeom>
                          <a:ln>
                            <a:noFill/>
                          </a:ln>
                        </wps:spPr>
                        <wps:txbx>
                          <w:txbxContent>
                            <w:p w14:paraId="6C8D76C4" w14:textId="77777777" w:rsidR="00B32EF2" w:rsidRDefault="00000000">
                              <w:r>
                                <w:rPr>
                                  <w:rFonts w:ascii="Arial" w:eastAsia="Arial" w:hAnsi="Arial" w:cs="Arial"/>
                                  <w:i/>
                                  <w:sz w:val="18"/>
                                </w:rPr>
                                <w:t>ordinario, fino a concorrenza dei sessanta giorni.</w:t>
                              </w:r>
                            </w:p>
                          </w:txbxContent>
                        </wps:txbx>
                        <wps:bodyPr horzOverflow="overflow" vert="horz" lIns="0" tIns="0" rIns="0" bIns="0" rtlCol="0">
                          <a:noAutofit/>
                        </wps:bodyPr>
                      </wps:wsp>
                      <wps:wsp>
                        <wps:cNvPr id="200293" name="Rectangle 200293"/>
                        <wps:cNvSpPr/>
                        <wps:spPr>
                          <a:xfrm rot="-10799999">
                            <a:off x="2576463" y="1842055"/>
                            <a:ext cx="5004177" cy="142889"/>
                          </a:xfrm>
                          <a:prstGeom prst="rect">
                            <a:avLst/>
                          </a:prstGeom>
                          <a:ln>
                            <a:noFill/>
                          </a:ln>
                        </wps:spPr>
                        <wps:txbx>
                          <w:txbxContent>
                            <w:p w14:paraId="786BB4DE" w14:textId="77777777" w:rsidR="00B32EF2" w:rsidRDefault="00000000">
                              <w:r>
                                <w:rPr>
                                  <w:rFonts w:ascii="Arial" w:eastAsia="Arial" w:hAnsi="Arial" w:cs="Arial"/>
                                  <w:i/>
                                  <w:sz w:val="18"/>
                                </w:rPr>
                                <w:t>8</w:t>
                              </w:r>
                            </w:p>
                          </w:txbxContent>
                        </wps:txbx>
                        <wps:bodyPr horzOverflow="overflow" vert="horz" lIns="0" tIns="0" rIns="0" bIns="0" rtlCol="0">
                          <a:noAutofit/>
                        </wps:bodyPr>
                      </wps:wsp>
                      <wps:wsp>
                        <wps:cNvPr id="200294" name="Rectangle 200294"/>
                        <wps:cNvSpPr/>
                        <wps:spPr>
                          <a:xfrm rot="-10799999">
                            <a:off x="-1189230" y="1842054"/>
                            <a:ext cx="5004177" cy="142889"/>
                          </a:xfrm>
                          <a:prstGeom prst="rect">
                            <a:avLst/>
                          </a:prstGeom>
                          <a:ln>
                            <a:noFill/>
                          </a:ln>
                        </wps:spPr>
                        <wps:txbx>
                          <w:txbxContent>
                            <w:p w14:paraId="34F02BDF" w14:textId="77777777" w:rsidR="00B32EF2" w:rsidRDefault="00000000">
                              <w:r>
                                <w:rPr>
                                  <w:rFonts w:ascii="Arial" w:eastAsia="Arial" w:hAnsi="Arial" w:cs="Arial"/>
                                  <w:i/>
                                  <w:sz w:val="18"/>
                                </w:rPr>
                                <w:t>. Fermo quanto disposto per i singoli tributi, l’atto impositivo è specifica</w:t>
                              </w:r>
                            </w:p>
                          </w:txbxContent>
                        </wps:txbx>
                        <wps:bodyPr horzOverflow="overflow" vert="horz" lIns="0" tIns="0" rIns="0" bIns="0" rtlCol="0">
                          <a:noAutofit/>
                        </wps:bodyPr>
                      </wps:wsp>
                      <wps:wsp>
                        <wps:cNvPr id="17130" name="Rectangle 17130"/>
                        <wps:cNvSpPr/>
                        <wps:spPr>
                          <a:xfrm rot="-10799999">
                            <a:off x="65757" y="1842055"/>
                            <a:ext cx="50622" cy="142889"/>
                          </a:xfrm>
                          <a:prstGeom prst="rect">
                            <a:avLst/>
                          </a:prstGeom>
                          <a:ln>
                            <a:noFill/>
                          </a:ln>
                        </wps:spPr>
                        <wps:txbx>
                          <w:txbxContent>
                            <w:p w14:paraId="4EA710E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131" name="Rectangle 17131"/>
                        <wps:cNvSpPr/>
                        <wps:spPr>
                          <a:xfrm rot="-10799999">
                            <a:off x="-1222768" y="1718725"/>
                            <a:ext cx="5115850" cy="142889"/>
                          </a:xfrm>
                          <a:prstGeom prst="rect">
                            <a:avLst/>
                          </a:prstGeom>
                          <a:ln>
                            <a:noFill/>
                          </a:ln>
                        </wps:spPr>
                        <wps:txbx>
                          <w:txbxContent>
                            <w:p w14:paraId="00CB1365" w14:textId="77777777" w:rsidR="00B32EF2" w:rsidRDefault="00000000">
                              <w:r>
                                <w:rPr>
                                  <w:rFonts w:ascii="Arial" w:eastAsia="Arial" w:hAnsi="Arial" w:cs="Arial"/>
                                  <w:i/>
                                  <w:sz w:val="18"/>
                                </w:rPr>
                                <w:t xml:space="preserve">mente motivato, a pena di nullità, in relazione alla condotta abusiva, alle </w:t>
                              </w:r>
                            </w:p>
                          </w:txbxContent>
                        </wps:txbx>
                        <wps:bodyPr horzOverflow="overflow" vert="horz" lIns="0" tIns="0" rIns="0" bIns="0" rtlCol="0">
                          <a:noAutofit/>
                        </wps:bodyPr>
                      </wps:wsp>
                      <wps:wsp>
                        <wps:cNvPr id="17132" name="Rectangle 17132"/>
                        <wps:cNvSpPr/>
                        <wps:spPr>
                          <a:xfrm rot="-10799999">
                            <a:off x="-1219012" y="1595395"/>
                            <a:ext cx="5100663" cy="142889"/>
                          </a:xfrm>
                          <a:prstGeom prst="rect">
                            <a:avLst/>
                          </a:prstGeom>
                          <a:ln>
                            <a:noFill/>
                          </a:ln>
                        </wps:spPr>
                        <wps:txbx>
                          <w:txbxContent>
                            <w:p w14:paraId="51CE50E0" w14:textId="77777777" w:rsidR="00B32EF2" w:rsidRDefault="00000000">
                              <w:r>
                                <w:rPr>
                                  <w:rFonts w:ascii="Arial" w:eastAsia="Arial" w:hAnsi="Arial" w:cs="Arial"/>
                                  <w:i/>
                                  <w:sz w:val="18"/>
                                </w:rPr>
                                <w:t xml:space="preserve">norme o ai principi elusi, agli indebiti vantaggi fiscali realizzati, nonchè ai </w:t>
                              </w:r>
                            </w:p>
                          </w:txbxContent>
                        </wps:txbx>
                        <wps:bodyPr horzOverflow="overflow" vert="horz" lIns="0" tIns="0" rIns="0" bIns="0" rtlCol="0">
                          <a:noAutofit/>
                        </wps:bodyPr>
                      </wps:wsp>
                      <wps:wsp>
                        <wps:cNvPr id="17133" name="Rectangle 17133"/>
                        <wps:cNvSpPr/>
                        <wps:spPr>
                          <a:xfrm rot="-10799999">
                            <a:off x="-509676" y="1472065"/>
                            <a:ext cx="4391328" cy="142889"/>
                          </a:xfrm>
                          <a:prstGeom prst="rect">
                            <a:avLst/>
                          </a:prstGeom>
                          <a:ln>
                            <a:noFill/>
                          </a:ln>
                        </wps:spPr>
                        <wps:txbx>
                          <w:txbxContent>
                            <w:p w14:paraId="1DD62C9D" w14:textId="77777777" w:rsidR="00B32EF2" w:rsidRDefault="00000000">
                              <w:r>
                                <w:rPr>
                                  <w:rFonts w:ascii="Arial" w:eastAsia="Arial" w:hAnsi="Arial" w:cs="Arial"/>
                                  <w:i/>
                                  <w:sz w:val="18"/>
                                </w:rPr>
                                <w:t>chiarimenti forniti dal contribuente nel termine di cui al comma 6.</w:t>
                              </w:r>
                            </w:p>
                          </w:txbxContent>
                        </wps:txbx>
                        <wps:bodyPr horzOverflow="overflow" vert="horz" lIns="0" tIns="0" rIns="0" bIns="0" rtlCol="0">
                          <a:noAutofit/>
                        </wps:bodyPr>
                      </wps:wsp>
                      <wps:wsp>
                        <wps:cNvPr id="200292" name="Rectangle 200292"/>
                        <wps:cNvSpPr/>
                        <wps:spPr>
                          <a:xfrm rot="-10799999">
                            <a:off x="-1186987" y="1348736"/>
                            <a:ext cx="5004117" cy="142889"/>
                          </a:xfrm>
                          <a:prstGeom prst="rect">
                            <a:avLst/>
                          </a:prstGeom>
                          <a:ln>
                            <a:noFill/>
                          </a:ln>
                        </wps:spPr>
                        <wps:txbx>
                          <w:txbxContent>
                            <w:p w14:paraId="3BFC5E0D" w14:textId="77777777" w:rsidR="00B32EF2" w:rsidRDefault="00000000">
                              <w:r>
                                <w:rPr>
                                  <w:rFonts w:ascii="Arial" w:eastAsia="Arial" w:hAnsi="Arial" w:cs="Arial"/>
                                  <w:i/>
                                  <w:sz w:val="18"/>
                                </w:rPr>
                                <w:t>. L’amministrazione finanziaria ha l’onere di dimostrare la sussistenza del</w:t>
                              </w:r>
                            </w:p>
                          </w:txbxContent>
                        </wps:txbx>
                        <wps:bodyPr horzOverflow="overflow" vert="horz" lIns="0" tIns="0" rIns="0" bIns="0" rtlCol="0">
                          <a:noAutofit/>
                        </wps:bodyPr>
                      </wps:wsp>
                      <wps:wsp>
                        <wps:cNvPr id="200291" name="Rectangle 200291"/>
                        <wps:cNvSpPr/>
                        <wps:spPr>
                          <a:xfrm rot="-10799999">
                            <a:off x="2576477" y="1348736"/>
                            <a:ext cx="5004117" cy="142889"/>
                          </a:xfrm>
                          <a:prstGeom prst="rect">
                            <a:avLst/>
                          </a:prstGeom>
                          <a:ln>
                            <a:noFill/>
                          </a:ln>
                        </wps:spPr>
                        <wps:txbx>
                          <w:txbxContent>
                            <w:p w14:paraId="2B2BB475" w14:textId="77777777" w:rsidR="00B32EF2" w:rsidRDefault="00000000">
                              <w:r>
                                <w:rPr>
                                  <w:rFonts w:ascii="Arial" w:eastAsia="Arial" w:hAnsi="Arial" w:cs="Arial"/>
                                  <w:i/>
                                  <w:sz w:val="18"/>
                                </w:rPr>
                                <w:t>9</w:t>
                              </w:r>
                            </w:p>
                          </w:txbxContent>
                        </wps:txbx>
                        <wps:bodyPr horzOverflow="overflow" vert="horz" lIns="0" tIns="0" rIns="0" bIns="0" rtlCol="0">
                          <a:noAutofit/>
                        </wps:bodyPr>
                      </wps:wsp>
                      <wps:wsp>
                        <wps:cNvPr id="17135" name="Rectangle 17135"/>
                        <wps:cNvSpPr/>
                        <wps:spPr>
                          <a:xfrm rot="-10799999">
                            <a:off x="65757" y="1348736"/>
                            <a:ext cx="50622" cy="142889"/>
                          </a:xfrm>
                          <a:prstGeom prst="rect">
                            <a:avLst/>
                          </a:prstGeom>
                          <a:ln>
                            <a:noFill/>
                          </a:ln>
                        </wps:spPr>
                        <wps:txbx>
                          <w:txbxContent>
                            <w:p w14:paraId="68C21F3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136" name="Rectangle 17136"/>
                        <wps:cNvSpPr/>
                        <wps:spPr>
                          <a:xfrm rot="-10799999">
                            <a:off x="-1218966" y="1225406"/>
                            <a:ext cx="5100618" cy="142890"/>
                          </a:xfrm>
                          <a:prstGeom prst="rect">
                            <a:avLst/>
                          </a:prstGeom>
                          <a:ln>
                            <a:noFill/>
                          </a:ln>
                        </wps:spPr>
                        <wps:txbx>
                          <w:txbxContent>
                            <w:p w14:paraId="5F8890B3" w14:textId="77777777" w:rsidR="00B32EF2" w:rsidRDefault="00000000">
                              <w:r>
                                <w:rPr>
                                  <w:rFonts w:ascii="Arial" w:eastAsia="Arial" w:hAnsi="Arial" w:cs="Arial"/>
                                  <w:i/>
                                  <w:sz w:val="18"/>
                                </w:rPr>
                                <w:t xml:space="preserve">la condotta abusiva, non rilevabile d’ufficio, in relazione agli elementi di cui </w:t>
                              </w:r>
                            </w:p>
                          </w:txbxContent>
                        </wps:txbx>
                        <wps:bodyPr horzOverflow="overflow" vert="horz" lIns="0" tIns="0" rIns="0" bIns="0" rtlCol="0">
                          <a:noAutofit/>
                        </wps:bodyPr>
                      </wps:wsp>
                      <wps:wsp>
                        <wps:cNvPr id="17137" name="Rectangle 17137"/>
                        <wps:cNvSpPr/>
                        <wps:spPr>
                          <a:xfrm rot="-10799999">
                            <a:off x="-1224143" y="1102076"/>
                            <a:ext cx="5120654" cy="142889"/>
                          </a:xfrm>
                          <a:prstGeom prst="rect">
                            <a:avLst/>
                          </a:prstGeom>
                          <a:ln>
                            <a:noFill/>
                          </a:ln>
                        </wps:spPr>
                        <wps:txbx>
                          <w:txbxContent>
                            <w:p w14:paraId="230A06E8" w14:textId="77777777" w:rsidR="00B32EF2" w:rsidRDefault="00000000">
                              <w:r>
                                <w:rPr>
                                  <w:rFonts w:ascii="Arial" w:eastAsia="Arial" w:hAnsi="Arial" w:cs="Arial"/>
                                  <w:i/>
                                  <w:sz w:val="18"/>
                                </w:rPr>
                                <w:t xml:space="preserve">ai commi 1 e 2. Il contribuente ha l’onere di dimostrare l’esistenza delle </w:t>
                              </w:r>
                            </w:p>
                          </w:txbxContent>
                        </wps:txbx>
                        <wps:bodyPr horzOverflow="overflow" vert="horz" lIns="0" tIns="0" rIns="0" bIns="0" rtlCol="0">
                          <a:noAutofit/>
                        </wps:bodyPr>
                      </wps:wsp>
                      <wps:wsp>
                        <wps:cNvPr id="17138" name="Rectangle 17138"/>
                        <wps:cNvSpPr/>
                        <wps:spPr>
                          <a:xfrm rot="-10799999">
                            <a:off x="1360872" y="978747"/>
                            <a:ext cx="2520779" cy="142889"/>
                          </a:xfrm>
                          <a:prstGeom prst="rect">
                            <a:avLst/>
                          </a:prstGeom>
                          <a:ln>
                            <a:noFill/>
                          </a:ln>
                        </wps:spPr>
                        <wps:txbx>
                          <w:txbxContent>
                            <w:p w14:paraId="6B9B06EC" w14:textId="77777777" w:rsidR="00B32EF2" w:rsidRDefault="00000000">
                              <w:r>
                                <w:rPr>
                                  <w:rFonts w:ascii="Arial" w:eastAsia="Arial" w:hAnsi="Arial" w:cs="Arial"/>
                                  <w:i/>
                                  <w:sz w:val="18"/>
                                </w:rPr>
                                <w:t>ragioni extrafiscali di cui al comma 3.</w:t>
                              </w:r>
                            </w:p>
                          </w:txbxContent>
                        </wps:txbx>
                        <wps:bodyPr horzOverflow="overflow" vert="horz" lIns="0" tIns="0" rIns="0" bIns="0" rtlCol="0">
                          <a:noAutofit/>
                        </wps:bodyPr>
                      </wps:wsp>
                      <wps:wsp>
                        <wps:cNvPr id="200289" name="Rectangle 200289"/>
                        <wps:cNvSpPr/>
                        <wps:spPr>
                          <a:xfrm rot="-10799999">
                            <a:off x="2488332" y="855417"/>
                            <a:ext cx="5116368" cy="142889"/>
                          </a:xfrm>
                          <a:prstGeom prst="rect">
                            <a:avLst/>
                          </a:prstGeom>
                          <a:ln>
                            <a:noFill/>
                          </a:ln>
                        </wps:spPr>
                        <wps:txbx>
                          <w:txbxContent>
                            <w:p w14:paraId="0EF37EC6" w14:textId="77777777" w:rsidR="00B32EF2" w:rsidRDefault="00000000">
                              <w:r>
                                <w:rPr>
                                  <w:rFonts w:ascii="Arial" w:eastAsia="Arial" w:hAnsi="Arial" w:cs="Arial"/>
                                  <w:i/>
                                  <w:sz w:val="18"/>
                                </w:rPr>
                                <w:t>10</w:t>
                              </w:r>
                            </w:p>
                          </w:txbxContent>
                        </wps:txbx>
                        <wps:bodyPr horzOverflow="overflow" vert="horz" lIns="0" tIns="0" rIns="0" bIns="0" rtlCol="0">
                          <a:noAutofit/>
                        </wps:bodyPr>
                      </wps:wsp>
                      <wps:wsp>
                        <wps:cNvPr id="200290" name="Rectangle 200290"/>
                        <wps:cNvSpPr/>
                        <wps:spPr>
                          <a:xfrm rot="-10799999">
                            <a:off x="-1348249" y="855417"/>
                            <a:ext cx="5116367" cy="142889"/>
                          </a:xfrm>
                          <a:prstGeom prst="rect">
                            <a:avLst/>
                          </a:prstGeom>
                          <a:ln>
                            <a:noFill/>
                          </a:ln>
                        </wps:spPr>
                        <wps:txbx>
                          <w:txbxContent>
                            <w:p w14:paraId="452E0B35" w14:textId="77777777" w:rsidR="00B32EF2" w:rsidRDefault="00000000">
                              <w:r>
                                <w:rPr>
                                  <w:rFonts w:ascii="Arial" w:eastAsia="Arial" w:hAnsi="Arial" w:cs="Arial"/>
                                  <w:i/>
                                  <w:sz w:val="18"/>
                                </w:rPr>
                                <w:t xml:space="preserve">. In caso di ricorso, i tributi o i maggiori tributi accertati, unitamente ai </w:t>
                              </w:r>
                            </w:p>
                          </w:txbxContent>
                        </wps:txbx>
                        <wps:bodyPr horzOverflow="overflow" vert="horz" lIns="0" tIns="0" rIns="0" bIns="0" rtlCol="0">
                          <a:noAutofit/>
                        </wps:bodyPr>
                      </wps:wsp>
                      <wps:wsp>
                        <wps:cNvPr id="17140" name="Rectangle 17140"/>
                        <wps:cNvSpPr/>
                        <wps:spPr>
                          <a:xfrm rot="-10799999">
                            <a:off x="-1121081" y="732087"/>
                            <a:ext cx="5002733" cy="142889"/>
                          </a:xfrm>
                          <a:prstGeom prst="rect">
                            <a:avLst/>
                          </a:prstGeom>
                          <a:ln>
                            <a:noFill/>
                          </a:ln>
                        </wps:spPr>
                        <wps:txbx>
                          <w:txbxContent>
                            <w:p w14:paraId="0984C93C" w14:textId="77777777" w:rsidR="00B32EF2" w:rsidRDefault="00000000">
                              <w:r>
                                <w:rPr>
                                  <w:rFonts w:ascii="Arial" w:eastAsia="Arial" w:hAnsi="Arial" w:cs="Arial"/>
                                  <w:i/>
                                  <w:sz w:val="18"/>
                                </w:rPr>
                                <w:t>relativi interessi, sono posti in riscossione, ai sensi dell’articolo 68 del de</w:t>
                              </w:r>
                            </w:p>
                          </w:txbxContent>
                        </wps:txbx>
                        <wps:bodyPr horzOverflow="overflow" vert="horz" lIns="0" tIns="0" rIns="0" bIns="0" rtlCol="0">
                          <a:noAutofit/>
                        </wps:bodyPr>
                      </wps:wsp>
                      <wps:wsp>
                        <wps:cNvPr id="17141" name="Rectangle 17141"/>
                        <wps:cNvSpPr/>
                        <wps:spPr>
                          <a:xfrm rot="-10799999">
                            <a:off x="65757" y="732087"/>
                            <a:ext cx="50622" cy="142889"/>
                          </a:xfrm>
                          <a:prstGeom prst="rect">
                            <a:avLst/>
                          </a:prstGeom>
                          <a:ln>
                            <a:noFill/>
                          </a:ln>
                        </wps:spPr>
                        <wps:txbx>
                          <w:txbxContent>
                            <w:p w14:paraId="229210D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142" name="Rectangle 17142"/>
                        <wps:cNvSpPr/>
                        <wps:spPr>
                          <a:xfrm rot="-10799999">
                            <a:off x="-1218920" y="608758"/>
                            <a:ext cx="5100572" cy="142889"/>
                          </a:xfrm>
                          <a:prstGeom prst="rect">
                            <a:avLst/>
                          </a:prstGeom>
                          <a:ln>
                            <a:noFill/>
                          </a:ln>
                        </wps:spPr>
                        <wps:txbx>
                          <w:txbxContent>
                            <w:p w14:paraId="276C6517" w14:textId="77777777" w:rsidR="00B32EF2" w:rsidRDefault="00000000">
                              <w:r>
                                <w:rPr>
                                  <w:rFonts w:ascii="Arial" w:eastAsia="Arial" w:hAnsi="Arial" w:cs="Arial"/>
                                  <w:i/>
                                  <w:sz w:val="18"/>
                                </w:rPr>
                                <w:t xml:space="preserve">creto legislativo 31 dicembre 1992, n. 546, e, successive modificazioni, e </w:t>
                              </w:r>
                            </w:p>
                          </w:txbxContent>
                        </wps:txbx>
                        <wps:bodyPr horzOverflow="overflow" vert="horz" lIns="0" tIns="0" rIns="0" bIns="0" rtlCol="0">
                          <a:noAutofit/>
                        </wps:bodyPr>
                      </wps:wsp>
                      <wps:wsp>
                        <wps:cNvPr id="17143" name="Rectangle 17143"/>
                        <wps:cNvSpPr/>
                        <wps:spPr>
                          <a:xfrm rot="-10799999">
                            <a:off x="-1176781" y="485428"/>
                            <a:ext cx="5058433" cy="142889"/>
                          </a:xfrm>
                          <a:prstGeom prst="rect">
                            <a:avLst/>
                          </a:prstGeom>
                          <a:ln>
                            <a:noFill/>
                          </a:ln>
                        </wps:spPr>
                        <wps:txbx>
                          <w:txbxContent>
                            <w:p w14:paraId="2CE68786" w14:textId="77777777" w:rsidR="00B32EF2" w:rsidRDefault="00000000">
                              <w:r>
                                <w:rPr>
                                  <w:rFonts w:ascii="Arial" w:eastAsia="Arial" w:hAnsi="Arial" w:cs="Arial"/>
                                  <w:i/>
                                  <w:sz w:val="18"/>
                                </w:rPr>
                                <w:t>dell’articolo 19, comma 1, del decreto legislativo 18 dicembre 1997, n. 472.</w:t>
                              </w:r>
                            </w:p>
                          </w:txbxContent>
                        </wps:txbx>
                        <wps:bodyPr horzOverflow="overflow" vert="horz" lIns="0" tIns="0" rIns="0" bIns="0" rtlCol="0">
                          <a:noAutofit/>
                        </wps:bodyPr>
                      </wps:wsp>
                      <wps:wsp>
                        <wps:cNvPr id="17144" name="Shape 17144"/>
                        <wps:cNvSpPr/>
                        <wps:spPr>
                          <a:xfrm>
                            <a:off x="0" y="401200"/>
                            <a:ext cx="3960000" cy="5855297"/>
                          </a:xfrm>
                          <a:custGeom>
                            <a:avLst/>
                            <a:gdLst/>
                            <a:ahLst/>
                            <a:cxnLst/>
                            <a:rect l="0" t="0" r="0" b="0"/>
                            <a:pathLst>
                              <a:path w="3960000" h="5855297">
                                <a:moveTo>
                                  <a:pt x="0" y="5855297"/>
                                </a:moveTo>
                                <a:lnTo>
                                  <a:pt x="3960000" y="5855297"/>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5AC3650" id="Group 200508" o:spid="_x0000_s2984" style="width:311.8pt;height:492.65pt;mso-position-horizontal-relative:char;mso-position-vertical-relative:line" coordsize="39600,62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30Uhw0AAPuNAAAOAAAAZHJzL2Uyb0RvYy54bWzkXWtvpDgW/b7S/gdU3zPhZR5Rp0ernp3W&#10;SqOd0Tx+AKlQD4kCBHSS3l+/514bQxGnR4KddmvdLVURFxjs43Nfvjbvvn+5VN5T2fXnpr7fBd/5&#10;O6+s983juT7e7/74/cebbOf1Q1E/FlVTl/e7z2W/+/793//27rm9K8Pm1FSPZeehkrq/e27vd6dh&#10;aO9ub/v9qbwU/XdNW9b48dB0l2LAn93x9rErnlH7pboNfT+5fW66x7Zr9mXfo/QH+ePuPdd/OJT7&#10;4efDoS8Hr7rf4dkG/uz484E+b9+/K+6OXdGeznv1GMWKp7gU5xo31VX9UAyF96k7v6rqct53Td8c&#10;hu/2zeW2ORzO+5LbgNYE/qI1H7vmU8ttOd49H1vdTejaRT+trnb/76ePXftb+0uHnnhuj+gL/ova&#10;8nLoLvSNp/ReuMs+6y4rXwZvj8IoT3zfD3beHr8loUjiPJWduj+h519dtz/980+uvB1vfHv1OM8t&#10;Bkg/9UG/rQ9+OxVtyV3b36EPfum88yPGb+pn8c6riwuG6q8YPEV9rEpPFnMH8dm6u/q7Hj039pXX&#10;NRhfN4Gf5vSPx4PquyBL8D/deeilmyQMcjXyxm4M0ixKctmLofCTOKFO1F1R3LVdP3wsm4tHB/e7&#10;Ds/G9RdPP/WDPHU8hR6nqumzbn48V5X8lUrQo+MT09Hw8vAim52lId2PCh+ax8/ojVPT/edn8PpQ&#10;Nc/3u0Yd7YjquD39uvOqf9VAgVg1HnTjwcN40A3Vh4a5Jx/oH5+G5nDmJ57upp4M8Mpn+MtxDv00&#10;S/DgEmgeC54qU92AMfEGytSOEVXGM/aDIM/koB/xlLTAHYgWIhMilLSYIbr/JBGl+kYUIT8eJZ4o&#10;O41H+5d6PCTcvyjK2mKg66hSOvQAnn6W0/Qo9PsFqP7e8JnDgqd4zOnXqp6fpWsbZQHOHc8Yv1uu&#10;b37mdReM543f8nz01qvOGs8Yv+dnMoX03XFADWbS6E5A4bybq5r6g1ApoGoOVSE5dDkP0EHV+QIB&#10;EKYQZ4p7Bsr0w+eqpC6r6l/LA8jDcpEK+u748KHqvKeCRjv/kwSt2lOhSlW96lR+VK6Hrj+AqbrK&#10;gC+9qvJDRP9VDepkuq5kJaev9OWVe/U0UtNBX6DRo75Dp+iL+M5NPejra2hpvgmLCtnaiagkSuiv&#10;r8lUP/IhN5ciGbqfyv+UrV+SyZEfJiGELkZd4kciTLh70TtKQ4Uijv0wkiQO4jDLA9X/o2YcRe5f&#10;JZX5gabu/7+XysA0eQNrVojUFW9L5i9gfSPiKMrFt4x1PA5mRzQwsAYeRl6LsStWYR2RsZVKW+sb&#10;5bVuoBNYk/lsEOGyeIsEvwlgSQeRhFrkMMMiZtEkwkXgw5yeifAs/8oiXMstZ6CGx79kNUHNFvJ6&#10;AU5QJ0kobcQ0g/nOJLqGGk7WpK2/OtTaHHEGahhPJqiZY5ugznL4S+wOJIkI09dQw0XGOCPvigyz&#10;rw61HsyuQI2AhQlqGcfYADVonYVAkjw/EQd5vIA6RiAlJQfAGtR6MDsDNaJ5BlZL52c11IlIhaI0&#10;48x6cSa9/SSEcLeFcsY+PzXOGZTR2yaUdSBwle3NFlksMIKI0DEs8WAJdOAj2GlRdmfsxDsFNexf&#10;E9Q6urAK6iCKRaxC2ghvihC2F4z5idKhiIA+wunWSK3HsjOkNk9e5Dq2sArpmyAIw5QmRojUQRrk&#10;YgG18P04juDOW4Naj2VnoDYET+BmIca1xaOeaWnGWc3ljRFRzExZ1dJ6HDuDsiEcSigz/1bbYqSl&#10;szxC3URoP86ScAl04PvCqpbW49gZqGEdm7S0jiqskt1RGAmeQAHScR6O85CTlk7iNEotBsik1eCM&#10;OcbzVgYtrcq3yG6wOhMxZi+J1XHmI15mYHUa2rTI9GB2gtUMqsH4VuVbwA6RUiB8GTj5AtY2TTL3&#10;YmTmcCgygbYgLZV1IpV1nCBxJVokm2CSw08Cmy61bqETtIZlTFL2tbKm4m1QB6GfCJCWJLgQ0NxL&#10;qH0kJNgMh04BX2egNoZDEcXaBPXkaL2Bs1VHa4r1OoOyMRyK2eNNKN8kmQ9HS/I5joI8XfA5Fgks&#10;dJU+a2MmK9cNdAJptrwMhFblW4R3KNI4yRTWENw0QYn6Jk9LIE8UWWb2gmQYiKqB7mBtoDVjrYf9&#10;Kq8aEVEEvMnkIkX9NtgW/eop5usE2GSTGdxqWbyF1jNFzTizqTsntV1F7VqYLDAlDRLKuiPWEjrK&#10;w1FTB5mArl5K79Cn7ARrUxxTzNcJQrOUNnhZqnwLpTlQlqbKo4brnMv8oTmr8zyLbUpv5wJlIcIk&#10;r1xqgE3lW8CmQFkaftNYs53oTASchLVxqoOKtyDNgTKoazbKojzKEvFKhud5iFQfezJcj2UnZDhB&#10;DRvZFCjTY36Vuo5CPwtUin+UBSKKOPA2CfAkjWJkjdoCOp8CgU4AzXLagLQq38jqHNadFOBYI4sq&#10;F1iLABGUcQmyhRhKPoUC3QHbIMEZ7G0iHCvuEkouIrf6G8VaBw6cwBoSPDAY4bJ4G62Rg4LIiYRa&#10;YOFGygH1SYQjpwwOt71wWY5lQ6qFzkBtiIwS1P+rqY6IcV6Kb6s5ZTmiRq6hbIiJEspasq0yycj6&#10;zrGgWhI6jkUULwlN09SYALFnlOkYkTOERgjDYH0HWrKthzpQUx1RFGLnmiXUPhwtrMW0B7VOkHQG&#10;anP0O9DibR3UyDZIaKcUMsgQJ0ugkCEuJy0dQ25EEB32kNYWpxNIs5ENIbtktSrfZpKFKdIH5YYY&#10;SDIRNFl5BTYnGmFK3B7YOmzgDtiIYhjB1spsFbE5fxCJZEzsbxNr52JlWCr3CmoyzLQuW4U0rd4R&#10;WSRpTeu0fCzhuKa176cxUn6s0RouphJcTtCaMDXET2TxFgk+zVW/gbPNuWpsz+EcyoaQKKGstdhq&#10;QiNQBr7CKAuxej6RiT2TUUbL8bAXikVCa1/SGUIbZi8Jaq3EVkE9IzTj/Epw2yW0diNdQTk0x0JR&#10;vEVsk4YOhNrwBBsQYt30K6D9CMs9LBJau5HOQG2OhYZaiW0lNOPMDJoLbruE1j6FMyibY6HSQt6y&#10;vhYxMYGIDGlokYVg78LkDnzkClucoJ6cCmegNsdCsb/nRtmdIqitjLFYZKmcNppzWiCVzKYx5laE&#10;DFYXLXFdxkxk8TaokfGd0UZYxOoI66qxbhoVzqDGDIeILcbHJs/CGVYbwmMEtdZkq9Q073iC9XcS&#10;6hCr8pAMeg01XCwkIVm0yLRn4QzU5vAYphy3sHrmYjHObOjOKG13dnryLJxB2RwZkxuUbLTI1EQW&#10;eJulcmJsBjTWjzDjLW1hlE+ehTNQm8Nj2A5yC6FFEsSJlNzYAUNE2LfqSnJjwtrHvnT2JPfkXDgB&#10;NM9MGmxvVb4Faiy5xJtSUDcMsiCDPobGvsKaA6GUJ2yN1Nq7cAdrg/HNWOsQ0lqTLENOibS+JdgL&#10;YtsHW7fQCbBhZhMcBkdLZuOvVtaTSfYGqa0GySbXwhmUzaFQbFuwRXgjYRC7SiYyBQFjCe+gWkrv&#10;IMB7gyxGvSfXwhmozfFQGb5cTWiZG0pZYqSoRS7oVSzXippyQ0mTW1PUzgXJKCRpkt3aYlmnpgU2&#10;p1RLa4M4pe2MrpGOI7yxg3Z8t4a0di+cIDWbXgZWq/JtEhx+VK62gMZ20FmKLUWvaU2JCJTrYg1s&#10;t6JkDKpBW6vyLWCzr6WWXH6bWE9WpxPEJvPbHPxG8RakZ+a3mdNWze/J6nQGZXPcW8raTTZZhjcq&#10;SZssREIZXr13LbzJJptvKyn3/sPrI7/O6w/zyep0Bmpz8BtvONtCaPK0Yiy2lFBjTzsfBtoCajLU&#10;ELixpadhjKoWOgO1Ofgt93ZdzeogSvCuPeloYbPBNOaRM81yYANwP02Rq2gNaLdiZGR4YXOhV46W&#10;Kt/C6jDOMsxlMKnxgukYZvaC00ESUXjFGtTaDHGC02xjG+KhqnwL1DdkcIexXMLxNtYW/azJGHEC&#10;a9jesQFqWbwNaaQCY28bZnVK29wsWQ2BktrMJptsEWeQNjjUhPS28PfkZZlhtutkuRUjIzQNITJZ&#10;vI3O9KIdWjWAwDdZZoI7drLHaEWtIHvNmpJ2K0BGkJrj3jLBb7XhjYzBKQ84xntYZBbLDGm8T8lq&#10;GjAUlhrKzghunYnw26loS4/A1+7H27MblNHbHA7ey/1OEjf2kQC62LUmyhNsRIbfibiYpRxfrDSL&#10;juw/9cPHsrlQfcXTT/2A7i/ujo/jUXEaj/Yv9XjYlfvBq/jOA392/PlAn3x9Wwx0HVVFh94zNmYY&#10;n+U0PQr9fmmeyt8bPnOYWnP9sNM5VT0/V9f5qnnjeeN3y3XPz+cnRUeMZ4zf8kzZp8tz9lXTl2gg&#10;LqNm6QNuKgrnnVnV1OoAK6Wo/4v2fneoimHHTT4PZedV5wt+J3ym26BGInff/tK9f8dHw+eqpGuq&#10;+tfy4J0fgXfAlfTd8eFD1XlPBQFxXQ1OpWsO56rSV/lvXkWnFlV7KlRdBCEao27Ax6omOrM8HID+&#10;stq9eho5EI5XwwF16Yv4sZp6ur5u6pJvOGstHUr605PQX899y0fHu+cjHWGEdkV7Ou9/KIZi/jef&#10;dVeGzampHsvu/X8BAAD//wMAUEsDBBQABgAIAAAAIQAc7nvI3QAAAAUBAAAPAAAAZHJzL2Rvd25y&#10;ZXYueG1sTI9BS8NAEIXvgv9hGcGb3aShoY3ZlFLUUxFsBeltmp0modnZkN0m6b939aKXgcd7vPdN&#10;vp5MKwbqXWNZQTyLQBCXVjdcKfg8vD4tQTiPrLG1TApu5GBd3N/lmGk78gcNe1+JUMIuQwW1910m&#10;pStrMuhmtiMO3tn2Bn2QfSV1j2MoN62cR1EqDTYcFmrsaFtTedlfjYK3EcdNEr8Mu8t5ezseFu9f&#10;u5iUenyYNs8gPE3+Lww/+AEdisB0slfWTrQKwiP+9wYvnScpiJOC1XKRgCxy+Z+++AYAAP//AwBQ&#10;SwECLQAUAAYACAAAACEAtoM4kv4AAADhAQAAEwAAAAAAAAAAAAAAAAAAAAAAW0NvbnRlbnRfVHlw&#10;ZXNdLnhtbFBLAQItABQABgAIAAAAIQA4/SH/1gAAAJQBAAALAAAAAAAAAAAAAAAAAC8BAABfcmVs&#10;cy8ucmVsc1BLAQItABQABgAIAAAAIQAaG30Uhw0AAPuNAAAOAAAAAAAAAAAAAAAAAC4CAABkcnMv&#10;ZTJvRG9jLnhtbFBLAQItABQABgAIAAAAIQAc7nvI3QAAAAUBAAAPAAAAAAAAAAAAAAAAAOEPAABk&#10;cnMvZG93bnJldi54bWxQSwUGAAAAAAQABADzAAAA6xAAAAAA&#10;">
                <v:rect id="Rectangle 17084" o:spid="_x0000_s2985" style="position:absolute;left:18686;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P4exAAAAN4AAAAPAAAAZHJzL2Rvd25yZXYueG1sRE9Na8JA&#10;EL0X/A/LCN7qpkVsSF2lWMQcvGgt9DhkxySanV2yq4n+elcoeJvH+5zZojeNuFDra8sK3sYJCOLC&#10;6ppLBfuf1WsKwgdkjY1lUnAlD4v54GWGmbYdb+myC6WIIewzVFCF4DIpfVGRQT+2jjhyB9saDBG2&#10;pdQtdjHcNPI9SabSYM2xoUJHy4qK0+5sFPx9s8tXnSwOt6XbHPO0WZ/3v0qNhv3XJ4hAfXiK/925&#10;jvM/knQCj3fiDXJ+BwAA//8DAFBLAQItABQABgAIAAAAIQDb4fbL7gAAAIUBAAATAAAAAAAAAAAA&#10;AAAAAAAAAABbQ29udGVudF9UeXBlc10ueG1sUEsBAi0AFAAGAAgAAAAhAFr0LFu/AAAAFQEAAAsA&#10;AAAAAAAAAAAAAAAAHwEAAF9yZWxzLy5yZWxzUEsBAi0AFAAGAAgAAAAhAK3o/h7EAAAA3gAAAA8A&#10;AAAAAAAAAAAAAAAABwIAAGRycy9kb3ducmV2LnhtbFBLBQYAAAAAAwADALcAAAD4AgAAAAA=&#10;" filled="f" stroked="f">
                  <v:textbox inset="0,0,0,0">
                    <w:txbxContent>
                      <w:p w14:paraId="084382D1" w14:textId="77777777" w:rsidR="00B32EF2" w:rsidRDefault="00000000">
                        <w:r>
                          <w:rPr>
                            <w:rFonts w:ascii="Times New Roman" w:eastAsia="Times New Roman" w:hAnsi="Times New Roman" w:cs="Times New Roman"/>
                          </w:rPr>
                          <w:t>76</w:t>
                        </w:r>
                      </w:p>
                    </w:txbxContent>
                  </v:textbox>
                </v:rect>
                <v:shape id="Shape 207860" o:spid="_x0000_s2986" style="position:absolute;top:4011;width:39600;height:58553;visibility:visible;mso-wrap-style:square;v-text-anchor:top" coordsize="3960000,585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iMxgAAAN8AAAAPAAAAZHJzL2Rvd25yZXYueG1sRI/LasJA&#10;FIb3Bd9hOIK7OlEkSnQUCQillBKtiy4PmWMSzJwJmcmtT99ZFLr8+W98h9NoatFT6yrLClbLCARx&#10;bnXFhYL71+V1B8J5ZI21ZVIwkYPTcfZywETbga/U33whwgi7BBWU3jeJlC4vyaBb2oY4eA/bGvRB&#10;toXULQ5h3NRyHUWxNFhxeCixobSk/HnrjILrkKbbT9O9m4/cf29+7tmEU6bUYj6e9yA8jf4//Nd+&#10;0wrW0XYXB4LAE1hAHn8BAAD//wMAUEsBAi0AFAAGAAgAAAAhANvh9svuAAAAhQEAABMAAAAAAAAA&#10;AAAAAAAAAAAAAFtDb250ZW50X1R5cGVzXS54bWxQSwECLQAUAAYACAAAACEAWvQsW78AAAAVAQAA&#10;CwAAAAAAAAAAAAAAAAAfAQAAX3JlbHMvLnJlbHNQSwECLQAUAAYACAAAACEAft/IjMYAAADfAAAA&#10;DwAAAAAAAAAAAAAAAAAHAgAAZHJzL2Rvd25yZXYueG1sUEsFBgAAAAADAAMAtwAAAPoCAAAAAA==&#10;" path="m,l3960000,r,5855297l,5855297,,e" fillcolor="#c3c3c3" stroked="f" strokeweight="0">
                  <v:stroke miterlimit="83231f" joinstyle="miter"/>
                  <v:path arrowok="t" textboxrect="0,0,3960000,5855297"/>
                </v:shape>
                <v:rect id="Rectangle 200307" o:spid="_x0000_s2987" style="position:absolute;left:13026;top:60352;width:254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jh/xgAAAN8AAAAPAAAAZHJzL2Rvd25yZXYueG1sRI9Pi8Iw&#10;FMTvgt8hPMGbprrgStcoosj24GX9A3t8NM+2u81LaKKtfnqzsOBxmJnfMItVZ2pxo8ZXlhVMxgkI&#10;4tzqigsFp+NuNAfhA7LG2jIpuJOH1bLfW2CqbctfdDuEQkQI+xQVlCG4VEqfl2TQj60jjt7FNgZD&#10;lE0hdYNthJtaTpNkJg1WHBdKdLQpKf89XI2C7y27bNfK/PLYuP1PNq8/r6ezUsNBt/4AEagLr/B/&#10;O9MKIvEteYe/P/ELyOUTAAD//wMAUEsBAi0AFAAGAAgAAAAhANvh9svuAAAAhQEAABMAAAAAAAAA&#10;AAAAAAAAAAAAAFtDb250ZW50X1R5cGVzXS54bWxQSwECLQAUAAYACAAAACEAWvQsW78AAAAVAQAA&#10;CwAAAAAAAAAAAAAAAAAfAQAAX3JlbHMvLnJlbHNQSwECLQAUAAYACAAAACEAC6I4f8YAAADfAAAA&#10;DwAAAAAAAAAAAAAAAAAHAgAAZHJzL2Rvd25yZXYueG1sUEsFBgAAAAADAAMAtwAAAPoCAAAAAA==&#10;" filled="f" stroked="f">
                  <v:textbox inset="0,0,0,0">
                    <w:txbxContent>
                      <w:p w14:paraId="54C4C4BC" w14:textId="77777777" w:rsidR="00B32EF2" w:rsidRDefault="00000000">
                        <w:r>
                          <w:rPr>
                            <w:rFonts w:ascii="Arial" w:eastAsia="Arial" w:hAnsi="Arial" w:cs="Arial"/>
                            <w:i/>
                            <w:sz w:val="18"/>
                          </w:rPr>
                          <w:t>. Ai fini del comma 1 si considerano</w:t>
                        </w:r>
                      </w:p>
                    </w:txbxContent>
                  </v:textbox>
                </v:rect>
                <v:rect id="Rectangle 200306" o:spid="_x0000_s2988" style="position:absolute;left:-5433;top:60352;width:254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p3kxwAAAN8AAAAPAAAAZHJzL2Rvd25yZXYueG1sRI/NasMw&#10;EITvhb6D2EJutdwEQnCihJIQ4kMvTR3IcbE2tltrJSz5J336qlDocZiZb5jNbjKtGKjzjWUFL0kK&#10;gri0uuFKQfFxfF6B8AFZY2uZFNzJw277+LDBTNuR32k4h0pECPsMFdQhuExKX9Zk0CfWEUfvZjuD&#10;IcqukrrDMcJNK+dpupQGG44LNTra11R+nXuj4Hpglx9HWd6+9+7tM1+1p764KDV7ml7XIAJN4T/8&#10;1861gkhcpEv4/RO/gNz+AAAA//8DAFBLAQItABQABgAIAAAAIQDb4fbL7gAAAIUBAAATAAAAAAAA&#10;AAAAAAAAAAAAAABbQ29udGVudF9UeXBlc10ueG1sUEsBAi0AFAAGAAgAAAAhAFr0LFu/AAAAFQEA&#10;AAsAAAAAAAAAAAAAAAAAHwEAAF9yZWxzLy5yZWxzUEsBAi0AFAAGAAgAAAAhAGTuneTHAAAA3wAA&#10;AA8AAAAAAAAAAAAAAAAABwIAAGRycy9kb3ducmV2LnhtbFBLBQYAAAAAAwADALcAAAD7AgAAAAA=&#10;" filled="f" stroked="f">
                  <v:textbox inset="0,0,0,0">
                    <w:txbxContent>
                      <w:p w14:paraId="22145F9A" w14:textId="77777777" w:rsidR="00B32EF2" w:rsidRDefault="00000000">
                        <w:r>
                          <w:rPr>
                            <w:rFonts w:ascii="Arial" w:eastAsia="Arial" w:hAnsi="Arial" w:cs="Arial"/>
                            <w:i/>
                            <w:sz w:val="18"/>
                          </w:rPr>
                          <w:t>:</w:t>
                        </w:r>
                      </w:p>
                    </w:txbxContent>
                  </v:textbox>
                </v:rect>
                <v:rect id="Rectangle 200305" o:spid="_x0000_s2989" style="position:absolute;left:31868;top:60352;width:254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OTxgAAAN8AAAAPAAAAZHJzL2Rvd25yZXYueG1sRI9Pi8Iw&#10;FMTvgt8hPMGbprq4SNcoosj24GX9A3t8NM+2u81LaKKtfnqzsOBxmJnfMItVZ2pxo8ZXlhVMxgkI&#10;4tzqigsFp+NuNAfhA7LG2jIpuJOH1bLfW2CqbctfdDuEQkQI+xQVlCG4VEqfl2TQj60jjt7FNgZD&#10;lE0hdYNthJtaTpPkXRqsOC6U6GhTUv57uBoF31t22a6V+eWxcfufbF5/Xk9npYaDbv0BIlAXXuH/&#10;dqYVROJbMoO/P/ELyOUTAAD//wMAUEsBAi0AFAAGAAgAAAAhANvh9svuAAAAhQEAABMAAAAAAAAA&#10;AAAAAAAAAAAAAFtDb250ZW50X1R5cGVzXS54bWxQSwECLQAUAAYACAAAACEAWvQsW78AAAAVAQAA&#10;CwAAAAAAAAAAAAAAAAAfAQAAX3JlbHMvLnJlbHNQSwECLQAUAAYACAAAACEAlDwDk8YAAADfAAAA&#10;DwAAAAAAAAAAAAAAAAAHAgAAZHJzL2Rvd25yZXYueG1sUEsFBgAAAAADAAMAtwAAAPoCAAAAAA==&#10;" filled="f" stroked="f">
                  <v:textbox inset="0,0,0,0">
                    <w:txbxContent>
                      <w:p w14:paraId="744EFCD3" w14:textId="77777777" w:rsidR="00B32EF2" w:rsidRDefault="00000000">
                        <w:r>
                          <w:rPr>
                            <w:rFonts w:ascii="Arial" w:eastAsia="Arial" w:hAnsi="Arial" w:cs="Arial"/>
                            <w:i/>
                            <w:sz w:val="18"/>
                          </w:rPr>
                          <w:t>2</w:t>
                        </w:r>
                      </w:p>
                    </w:txbxContent>
                  </v:textbox>
                </v:rect>
                <v:rect id="Rectangle 17087" o:spid="_x0000_s2990" style="position:absolute;left:-12191;top:59119;width:510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mBpxAAAAN4AAAAPAAAAZHJzL2Rvd25yZXYueG1sRE9Li8Iw&#10;EL4v+B/CCHtb0/WgpWuURRF78OIL9jg0Y9vdZhKaaLv+eiMI3ubje85s0ZtGXKn1tWUFn6MEBHFh&#10;dc2lguNh/ZGC8AFZY2OZFPyTh8V88DbDTNuOd3Tdh1LEEPYZKqhCcJmUvqjIoB9ZRxy5s20Nhgjb&#10;UuoWuxhuGjlOkok0WHNsqNDRsqLib38xCn5W7PJ1J4vzbem2v3nabC7Hk1Lvw/77C0SgPrzET3eu&#10;4/xpkk7h8U68Qc7vAAAA//8DAFBLAQItABQABgAIAAAAIQDb4fbL7gAAAIUBAAATAAAAAAAAAAAA&#10;AAAAAAAAAABbQ29udGVudF9UeXBlc10ueG1sUEsBAi0AFAAGAAgAAAAhAFr0LFu/AAAAFQEAAAsA&#10;AAAAAAAAAAAAAAAAHwEAAF9yZWxzLy5yZWxzUEsBAi0AFAAGAAgAAAAhAF06YGnEAAAA3gAAAA8A&#10;AAAAAAAAAAAAAAAABwIAAGRycy9kb3ducmV2LnhtbFBLBQYAAAAAAwADALcAAAD4AgAAAAA=&#10;" filled="f" stroked="f">
                  <v:textbox inset="0,0,0,0">
                    <w:txbxContent>
                      <w:p w14:paraId="3F8DE051" w14:textId="77777777" w:rsidR="00B32EF2" w:rsidRDefault="00000000">
                        <w:r>
                          <w:rPr>
                            <w:rFonts w:ascii="Arial" w:eastAsia="Arial" w:hAnsi="Arial" w:cs="Arial"/>
                            <w:i/>
                            <w:sz w:val="18"/>
                          </w:rPr>
                          <w:t xml:space="preserve">a) operazioni prive di sostanza economica i fatti, gli atti e i contratti, anche </w:t>
                        </w:r>
                      </w:p>
                    </w:txbxContent>
                  </v:textbox>
                </v:rect>
                <v:rect id="Rectangle 17088" o:spid="_x0000_s2991" style="position:absolute;left:-12196;top:57886;width:5102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QbxwAAAN4AAAAPAAAAZHJzL2Rvd25yZXYueG1sRI9Bb8Iw&#10;DIXvk/YfIk/iNtLtwKpCQBMTooddxkDiaDWmLTRO1ARa9uvnw6TdbL3n9z4vVqPr1I362Ho28DLN&#10;QBFX3rZcG9h/b55zUDEhW+w8k4E7RVgtHx8WWFg/8BfddqlWEsKxQANNSqHQOlYNOYxTH4hFO/ne&#10;YZK1r7XtcZBw1+nXLJtphy1LQ4OB1g1Vl93VGTh+cCg3g65OP+vweS7zbnvdH4yZPI3vc1CJxvRv&#10;/rsureC/Zbnwyjsyg17+AgAA//8DAFBLAQItABQABgAIAAAAIQDb4fbL7gAAAIUBAAATAAAAAAAA&#10;AAAAAAAAAAAAAABbQ29udGVudF9UeXBlc10ueG1sUEsBAi0AFAAGAAgAAAAhAFr0LFu/AAAAFQEA&#10;AAsAAAAAAAAAAAAAAAAAHwEAAF9yZWxzLy5yZWxzUEsBAi0AFAAGAAgAAAAhACyl9BvHAAAA3gAA&#10;AA8AAAAAAAAAAAAAAAAABwIAAGRycy9kb3ducmV2LnhtbFBLBQYAAAAAAwADALcAAAD7AgAAAAA=&#10;" filled="f" stroked="f">
                  <v:textbox inset="0,0,0,0">
                    <w:txbxContent>
                      <w:p w14:paraId="6F01D9EA" w14:textId="77777777" w:rsidR="00B32EF2" w:rsidRDefault="00000000">
                        <w:r>
                          <w:rPr>
                            <w:rFonts w:ascii="Arial" w:eastAsia="Arial" w:hAnsi="Arial" w:cs="Arial"/>
                            <w:i/>
                            <w:sz w:val="18"/>
                          </w:rPr>
                          <w:t xml:space="preserve">tra loro collegati, inidonei a produrre effetti significativi diversi dai vantaggi </w:t>
                        </w:r>
                      </w:p>
                    </w:txbxContent>
                  </v:textbox>
                </v:rect>
                <v:rect id="Rectangle 17089" o:spid="_x0000_s2992" style="position:absolute;left:-12189;top:56652;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VGAxQAAAN4AAAAPAAAAZHJzL2Rvd25yZXYueG1sRE9La8JA&#10;EL4X/A/LCN7qpj1omrpKsYg5ePFR6HHIjkk0O7tkVxP99a5Q6G0+vufMFr1pxJVaX1tW8DZOQBAX&#10;VtdcKjjsV68pCB+QNTaWScGNPCzmg5cZZtp2vKXrLpQihrDPUEEVgsuk9EVFBv3YOuLIHW1rMETY&#10;llK32MVw08j3JJlIgzXHhgodLSsqzruLUfD7zS5fdbI43pduc8rTZn05/Cg1GvZfnyAC9eFf/OfO&#10;dZw/TdIPeL4Tb5DzBwAAAP//AwBQSwECLQAUAAYACAAAACEA2+H2y+4AAACFAQAAEwAAAAAAAAAA&#10;AAAAAAAAAAAAW0NvbnRlbnRfVHlwZXNdLnhtbFBLAQItABQABgAIAAAAIQBa9CxbvwAAABUBAAAL&#10;AAAAAAAAAAAAAAAAAB8BAABfcmVscy8ucmVsc1BLAQItABQABgAIAAAAIQBD6VGAxQAAAN4AAAAP&#10;AAAAAAAAAAAAAAAAAAcCAABkcnMvZG93bnJldi54bWxQSwUGAAAAAAMAAwC3AAAA+QIAAAAA&#10;" filled="f" stroked="f">
                  <v:textbox inset="0,0,0,0">
                    <w:txbxContent>
                      <w:p w14:paraId="07C5794E" w14:textId="77777777" w:rsidR="00B32EF2" w:rsidRDefault="00000000">
                        <w:r>
                          <w:rPr>
                            <w:rFonts w:ascii="Arial" w:eastAsia="Arial" w:hAnsi="Arial" w:cs="Arial"/>
                            <w:i/>
                            <w:sz w:val="18"/>
                          </w:rPr>
                          <w:t xml:space="preserve">fiscali. Sono indici di mancanza di sostanza economica, in particolare, la </w:t>
                        </w:r>
                      </w:p>
                    </w:txbxContent>
                  </v:textbox>
                </v:rect>
                <v:rect id="Rectangle 17090" o:spid="_x0000_s2993" style="position:absolute;left:-11218;top:55419;width:499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m7AxwAAAN4AAAAPAAAAZHJzL2Rvd25yZXYueG1sRI9Bb8Iw&#10;DIXvk/YfIk/abaTbYWOFgBATWg+7wEDiaDWmLTRO1ATa7dfjAxI3W35+733T+eBadaEuNp4NvI4y&#10;UMSltw1XBra/q5cxqJiQLbaeycAfRZjPHh+mmFvf85oum1QpMeGYo4E6pZBrHcuaHMaRD8RyO/jO&#10;YZK1q7TtsBdz1+q3LHvXDhuWhBoDLWsqT5uzM7D/4lCsel0e/pfh51iM2+/zdmfM89OwmIBKNKS7&#10;+PZdWKn/kX0KgODIDHp2BQAA//8DAFBLAQItABQABgAIAAAAIQDb4fbL7gAAAIUBAAATAAAAAAAA&#10;AAAAAAAAAAAAAABbQ29udGVudF9UeXBlc10ueG1sUEsBAi0AFAAGAAgAAAAhAFr0LFu/AAAAFQEA&#10;AAsAAAAAAAAAAAAAAAAAHwEAAF9yZWxzLy5yZWxzUEsBAi0AFAAGAAgAAAAhAFcKbsDHAAAA3gAA&#10;AA8AAAAAAAAAAAAAAAAABwIAAGRycy9kb3ducmV2LnhtbFBLBQYAAAAAAwADALcAAAD7AgAAAAA=&#10;" filled="f" stroked="f">
                  <v:textbox inset="0,0,0,0">
                    <w:txbxContent>
                      <w:p w14:paraId="3E7C8554" w14:textId="77777777" w:rsidR="00B32EF2" w:rsidRDefault="00000000">
                        <w:r>
                          <w:rPr>
                            <w:rFonts w:ascii="Arial" w:eastAsia="Arial" w:hAnsi="Arial" w:cs="Arial"/>
                            <w:i/>
                            <w:sz w:val="18"/>
                          </w:rPr>
                          <w:t>non coerenza della qualificazione delle singole operazioni con il fondamen</w:t>
                        </w:r>
                      </w:p>
                    </w:txbxContent>
                  </v:textbox>
                </v:rect>
                <v:rect id="Rectangle 17091" o:spid="_x0000_s2994" style="position:absolute;left:657;top:5541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stbxQAAAN4AAAAPAAAAZHJzL2Rvd25yZXYueG1sRE9La8JA&#10;EL4X+h+WKfSmG3uwGt2IWMQceqmm0OOQnTw0O7tkV5P213cLQm/z8T1nvRlNJ27U+9aygtk0AUFc&#10;Wt1yraA47ScLED4ga+wsk4Jv8rDJHh/WmGo78AfdjqEWMYR9igqaEFwqpS8bMuin1hFHrrK9wRBh&#10;X0vd4xDDTSdfkmQuDbYcGxp0tGuovByvRsHXG7t8P8iy+tm593O+6A7X4lOp56dxuwIRaAz/4rs7&#10;13H+a7Kcwd878QaZ/QIAAP//AwBQSwECLQAUAAYACAAAACEA2+H2y+4AAACFAQAAEwAAAAAAAAAA&#10;AAAAAAAAAAAAW0NvbnRlbnRfVHlwZXNdLnhtbFBLAQItABQABgAIAAAAIQBa9CxbvwAAABUBAAAL&#10;AAAAAAAAAAAAAAAAAB8BAABfcmVscy8ucmVsc1BLAQItABQABgAIAAAAIQA4RstbxQAAAN4AAAAP&#10;AAAAAAAAAAAAAAAAAAcCAABkcnMvZG93bnJldi54bWxQSwUGAAAAAAMAAwC3AAAA+QIAAAAA&#10;" filled="f" stroked="f">
                  <v:textbox inset="0,0,0,0">
                    <w:txbxContent>
                      <w:p w14:paraId="71A3009A" w14:textId="77777777" w:rsidR="00B32EF2" w:rsidRDefault="00000000">
                        <w:r>
                          <w:rPr>
                            <w:rFonts w:ascii="Arial" w:eastAsia="Arial" w:hAnsi="Arial" w:cs="Arial"/>
                            <w:i/>
                            <w:sz w:val="18"/>
                          </w:rPr>
                          <w:t>-</w:t>
                        </w:r>
                      </w:p>
                    </w:txbxContent>
                  </v:textbox>
                </v:rect>
                <v:rect id="Rectangle 17092" o:spid="_x0000_s2995" style="position:absolute;left:-12194;top:54186;width:510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FUsxQAAAN4AAAAPAAAAZHJzL2Rvd25yZXYueG1sRE9La8JA&#10;EL4L/Q/LFLzpph58pK5SLGIOvagp9DhkxyRtdnbJrib217uC4G0+vucs171pxIVaX1tW8DZOQBAX&#10;VtdcKsiP29EchA/IGhvLpOBKHtarl8ESU2073tPlEEoRQ9inqKAKwaVS+qIig35sHXHkTrY1GCJs&#10;S6lb7GK4aeQkSabSYM2xoUJHm4qKv8PZKPj5ZJdtO1mc/jfu6zebN7tz/q3U8LX/eAcRqA9P8cOd&#10;6Th/liwmcH8n3iBXNwAAAP//AwBQSwECLQAUAAYACAAAACEA2+H2y+4AAACFAQAAEwAAAAAAAAAA&#10;AAAAAAAAAAAAW0NvbnRlbnRfVHlwZXNdLnhtbFBLAQItABQABgAIAAAAIQBa9CxbvwAAABUBAAAL&#10;AAAAAAAAAAAAAAAAAB8BAABfcmVscy8ucmVsc1BLAQItABQABgAIAAAAIQDIlFUsxQAAAN4AAAAP&#10;AAAAAAAAAAAAAAAAAAcCAABkcnMvZG93bnJldi54bWxQSwUGAAAAAAMAAwC3AAAA+QIAAAAA&#10;" filled="f" stroked="f">
                  <v:textbox inset="0,0,0,0">
                    <w:txbxContent>
                      <w:p w14:paraId="5E581335" w14:textId="77777777" w:rsidR="00B32EF2" w:rsidRDefault="00000000">
                        <w:r>
                          <w:rPr>
                            <w:rFonts w:ascii="Arial" w:eastAsia="Arial" w:hAnsi="Arial" w:cs="Arial"/>
                            <w:i/>
                            <w:sz w:val="18"/>
                          </w:rPr>
                          <w:t xml:space="preserve">to giuridico del loro insieme e la non conformità dell’utilizzo degli strumenti </w:t>
                        </w:r>
                      </w:p>
                    </w:txbxContent>
                  </v:textbox>
                </v:rect>
                <v:rect id="Rectangle 17093" o:spid="_x0000_s2996" style="position:absolute;left:13454;top:52952;width:253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PC3xQAAAN4AAAAPAAAAZHJzL2Rvd25yZXYueG1sRE9La8JA&#10;EL4L/Q/LFHrTTS1YG12lKNIcvPgoeByyYxLNzi7Z1aT+elcoeJuP7znTeWdqcaXGV5YVvA8SEMS5&#10;1RUXCva7VX8MwgdkjbVlUvBHHuazl94UU21b3tB1GwoRQ9inqKAMwaVS+rwkg35gHXHkjrYxGCJs&#10;CqkbbGO4qeUwSUbSYMWxoURHi5Ly8/ZiFByW7LJVK/PjbeHWp2xc/1z2v0q9vXbfExCBuvAU/7sz&#10;Hed/Jl8f8Hgn3iBndwAAAP//AwBQSwECLQAUAAYACAAAACEA2+H2y+4AAACFAQAAEwAAAAAAAAAA&#10;AAAAAAAAAAAAW0NvbnRlbnRfVHlwZXNdLnhtbFBLAQItABQABgAIAAAAIQBa9CxbvwAAABUBAAAL&#10;AAAAAAAAAAAAAAAAAB8BAABfcmVscy8ucmVsc1BLAQItABQABgAIAAAAIQCn2PC3xQAAAN4AAAAP&#10;AAAAAAAAAAAAAAAAAAcCAABkcnMvZG93bnJldi54bWxQSwUGAAAAAAMAAwC3AAAA+QIAAAAA&#10;" filled="f" stroked="f">
                  <v:textbox inset="0,0,0,0">
                    <w:txbxContent>
                      <w:p w14:paraId="511B8FCA" w14:textId="77777777" w:rsidR="00B32EF2" w:rsidRDefault="00000000">
                        <w:r>
                          <w:rPr>
                            <w:rFonts w:ascii="Arial" w:eastAsia="Arial" w:hAnsi="Arial" w:cs="Arial"/>
                            <w:i/>
                            <w:sz w:val="18"/>
                          </w:rPr>
                          <w:t>giuridici a normali logiche di mercato;</w:t>
                        </w:r>
                      </w:p>
                    </w:txbxContent>
                  </v:textbox>
                </v:rect>
                <v:rect id="Rectangle 17094" o:spid="_x0000_s2997" style="position:absolute;left:-11227;top:51719;width:500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WjDxQAAAN4AAAAPAAAAZHJzL2Rvd25yZXYueG1sRE9La8JA&#10;EL4L/Q/LFHrTTaVYG12lKNIcvPgoeByyYxLNzi7Z1aT+elcoeJuP7znTeWdqcaXGV5YVvA8SEMS5&#10;1RUXCva7VX8MwgdkjbVlUvBHHuazl94UU21b3tB1GwoRQ9inqKAMwaVS+rwkg35gHXHkjrYxGCJs&#10;CqkbbGO4qeUwSUbSYMWxoURHi5Ly8/ZiFByW7LJVK/PjbeHWp2xc/1z2v0q9vXbfExCBuvAU/7sz&#10;Hed/Jl8f8Hgn3iBndwAAAP//AwBQSwECLQAUAAYACAAAACEA2+H2y+4AAACFAQAAEwAAAAAAAAAA&#10;AAAAAAAAAAAAW0NvbnRlbnRfVHlwZXNdLnhtbFBLAQItABQABgAIAAAAIQBa9CxbvwAAABUBAAAL&#10;AAAAAAAAAAAAAAAAAB8BAABfcmVscy8ucmVsc1BLAQItABQABgAIAAAAIQAoMWjDxQAAAN4AAAAP&#10;AAAAAAAAAAAAAAAAAAcCAABkcnMvZG93bnJldi54bWxQSwUGAAAAAAMAAwC3AAAA+QIAAAAA&#10;" filled="f" stroked="f">
                  <v:textbox inset="0,0,0,0">
                    <w:txbxContent>
                      <w:p w14:paraId="1BF3FF53" w14:textId="77777777" w:rsidR="00B32EF2" w:rsidRDefault="00000000">
                        <w:r>
                          <w:rPr>
                            <w:rFonts w:ascii="Arial" w:eastAsia="Arial" w:hAnsi="Arial" w:cs="Arial"/>
                            <w:i/>
                            <w:sz w:val="18"/>
                          </w:rPr>
                          <w:t>b) vantaggi fiscali indebiti i benefici, anche non immediati, realizzati in con</w:t>
                        </w:r>
                      </w:p>
                    </w:txbxContent>
                  </v:textbox>
                </v:rect>
                <v:rect id="Rectangle 17095" o:spid="_x0000_s2998" style="position:absolute;left:657;top:5171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c1YxQAAAN4AAAAPAAAAZHJzL2Rvd25yZXYueG1sRE9La8JA&#10;EL4L/Q/LFHrTTYVaG12lKNIcvPgoeByyYxLNzi7Z1aT+elcoeJuP7znTeWdqcaXGV5YVvA8SEMS5&#10;1RUXCva7VX8MwgdkjbVlUvBHHuazl94UU21b3tB1GwoRQ9inqKAMwaVS+rwkg35gHXHkjrYxGCJs&#10;CqkbbGO4qeUwSUbSYMWxoURHi5Ly8/ZiFByW7LJVK/PjbeHWp2xc/1z2v0q9vXbfExCBuvAU/7sz&#10;Hed/Jl8f8Hgn3iBndwAAAP//AwBQSwECLQAUAAYACAAAACEA2+H2y+4AAACFAQAAEwAAAAAAAAAA&#10;AAAAAAAAAAAAW0NvbnRlbnRfVHlwZXNdLnhtbFBLAQItABQABgAIAAAAIQBa9CxbvwAAABUBAAAL&#10;AAAAAAAAAAAAAAAAAB8BAABfcmVscy8ucmVsc1BLAQItABQABgAIAAAAIQBHfc1YxQAAAN4AAAAP&#10;AAAAAAAAAAAAAAAAAAcCAABkcnMvZG93bnJldi54bWxQSwUGAAAAAAMAAwC3AAAA+QIAAAAA&#10;" filled="f" stroked="f">
                  <v:textbox inset="0,0,0,0">
                    <w:txbxContent>
                      <w:p w14:paraId="0873BBF4" w14:textId="77777777" w:rsidR="00B32EF2" w:rsidRDefault="00000000">
                        <w:r>
                          <w:rPr>
                            <w:rFonts w:ascii="Arial" w:eastAsia="Arial" w:hAnsi="Arial" w:cs="Arial"/>
                            <w:i/>
                            <w:sz w:val="18"/>
                          </w:rPr>
                          <w:t>-</w:t>
                        </w:r>
                      </w:p>
                    </w:txbxContent>
                  </v:textbox>
                </v:rect>
                <v:rect id="Rectangle 17096" o:spid="_x0000_s2999" style="position:absolute;left:-12189;top:50486;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1MvxQAAAN4AAAAPAAAAZHJzL2Rvd25yZXYueG1sRE9LawIx&#10;EL4X/A9hhN40aw9qt2ZFFOkeeqlV8DhsZh91Mwmb6G77601B6G0+vues1oNpxY0631hWMJsmIIgL&#10;qxuuFBy/9pMlCB+QNbaWScEPeVhno6cVptr2/Em3Q6hEDGGfooI6BJdK6YuaDPqpdcSRK21nMETY&#10;VVJ32Mdw08qXJJlLgw3HhhodbWsqLoerUXDescv3vSzK3637+M6X7fv1eFLqeTxs3kAEGsK/+OHO&#10;dZy/SF7n8PdOvEFmdwAAAP//AwBQSwECLQAUAAYACAAAACEA2+H2y+4AAACFAQAAEwAAAAAAAAAA&#10;AAAAAAAAAAAAW0NvbnRlbnRfVHlwZXNdLnhtbFBLAQItABQABgAIAAAAIQBa9CxbvwAAABUBAAAL&#10;AAAAAAAAAAAAAAAAAB8BAABfcmVscy8ucmVsc1BLAQItABQABgAIAAAAIQC3r1MvxQAAAN4AAAAP&#10;AAAAAAAAAAAAAAAAAAcCAABkcnMvZG93bnJldi54bWxQSwUGAAAAAAMAAwC3AAAA+QIAAAAA&#10;" filled="f" stroked="f">
                  <v:textbox inset="0,0,0,0">
                    <w:txbxContent>
                      <w:p w14:paraId="647D5D42" w14:textId="77777777" w:rsidR="00B32EF2" w:rsidRDefault="00000000">
                        <w:r>
                          <w:rPr>
                            <w:rFonts w:ascii="Arial" w:eastAsia="Arial" w:hAnsi="Arial" w:cs="Arial"/>
                            <w:i/>
                            <w:sz w:val="18"/>
                          </w:rPr>
                          <w:t xml:space="preserve">trasto con le finalità delle norme fiscali o con i principi dell’ordinamento </w:t>
                        </w:r>
                      </w:p>
                    </w:txbxContent>
                  </v:textbox>
                </v:rect>
                <v:rect id="Rectangle 17097" o:spid="_x0000_s3000" style="position:absolute;left:32353;top:49252;width:64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a0xQAAAN4AAAAPAAAAZHJzL2Rvd25yZXYueG1sRE/JasMw&#10;EL0X+g9iCrklcnvI4kQOJSXUh16yFHocrPGSWiNhKbGTr68Cgd7m8dZZrQfTigt1vrGs4HWSgCAu&#10;rG64UnA8bMdzED4ga2wtk4IreVhnz08rTLXteUeXfahEDGGfooI6BJdK6YuaDPqJdcSRK21nMETY&#10;VVJ32Mdw08q3JJlKgw3HhhodbWoqfvdno+Dng12+7WVR3jbu65TP28/z8Vup0cvwvgQRaAj/4oc7&#10;13H+LFnM4P5OvEFmfwAAAP//AwBQSwECLQAUAAYACAAAACEA2+H2y+4AAACFAQAAEwAAAAAAAAAA&#10;AAAAAAAAAAAAW0NvbnRlbnRfVHlwZXNdLnhtbFBLAQItABQABgAIAAAAIQBa9CxbvwAAABUBAAAL&#10;AAAAAAAAAAAAAAAAAB8BAABfcmVscy8ucmVsc1BLAQItABQABgAIAAAAIQDY4/a0xQAAAN4AAAAP&#10;AAAAAAAAAAAAAAAAAAcCAABkcnMvZG93bnJldi54bWxQSwUGAAAAAAMAAwC3AAAA+QIAAAAA&#10;" filled="f" stroked="f">
                  <v:textbox inset="0,0,0,0">
                    <w:txbxContent>
                      <w:p w14:paraId="2DAFE244" w14:textId="77777777" w:rsidR="00B32EF2" w:rsidRDefault="00000000">
                        <w:r>
                          <w:rPr>
                            <w:rFonts w:ascii="Arial" w:eastAsia="Arial" w:hAnsi="Arial" w:cs="Arial"/>
                            <w:i/>
                            <w:sz w:val="18"/>
                          </w:rPr>
                          <w:t>tributario.</w:t>
                        </w:r>
                      </w:p>
                    </w:txbxContent>
                  </v:textbox>
                </v:rect>
                <v:rect id="Rectangle 200304" o:spid="_x0000_s3001" style="position:absolute;left:-12854;top:48019;width:510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KYIxgAAAN8AAAAPAAAAZHJzL2Rvd25yZXYueG1sRI9Pi8Iw&#10;FMTvgt8hPMGbprqySNcoosj24GX9A3t8NM+2u81LaKKtfnqzsOBxmJnfMItVZ2pxo8ZXlhVMxgkI&#10;4tzqigsFp+NuNAfhA7LG2jIpuJOH1bLfW2CqbctfdDuEQkQI+xQVlCG4VEqfl2TQj60jjt7FNgZD&#10;lE0hdYNthJtaTpPkXRqsOC6U6GhTUv57uBoF31t22a6V+eWxcfufbF5/Xk9npYaDbv0BIlAXXuH/&#10;dqYVROJbMoO/P/ELyOUTAAD//wMAUEsBAi0AFAAGAAgAAAAhANvh9svuAAAAhQEAABMAAAAAAAAA&#10;AAAAAAAAAAAAAFtDb250ZW50X1R5cGVzXS54bWxQSwECLQAUAAYACAAAACEAWvQsW78AAAAVAQAA&#10;CwAAAAAAAAAAAAAAAAAfAQAAX3JlbHMvLnJlbHNQSwECLQAUAAYACAAAACEA+3CmCMYAAADfAAAA&#10;DwAAAAAAAAAAAAAAAAAHAgAAZHJzL2Rvd25yZXYueG1sUEsFBgAAAAADAAMAtwAAAPoCAAAAAA==&#10;" filled="f" stroked="f">
                  <v:textbox inset="0,0,0,0">
                    <w:txbxContent>
                      <w:p w14:paraId="330BCFE5" w14:textId="77777777" w:rsidR="00B32EF2" w:rsidRDefault="00000000">
                        <w:r>
                          <w:rPr>
                            <w:rFonts w:ascii="Arial" w:eastAsia="Arial" w:hAnsi="Arial" w:cs="Arial"/>
                            <w:i/>
                            <w:sz w:val="18"/>
                          </w:rPr>
                          <w:t xml:space="preserve">. Non si considerano abusive, in ogni caso, le operazioni giustificate da </w:t>
                        </w:r>
                      </w:p>
                    </w:txbxContent>
                  </v:textbox>
                </v:rect>
                <v:rect id="Rectangle 200303" o:spid="_x0000_s3002" style="position:absolute;left:25525;top:48019;width:510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T58xQAAAN8AAAAPAAAAZHJzL2Rvd25yZXYueG1sRI9Pi8Iw&#10;FMTvC36H8ARva+oKIl2jiIvYw178B3t8NM+22ryEJtqun94IgsdhZn7DzBadqcWNGl9ZVjAaJiCI&#10;c6srLhQc9uvPKQgfkDXWlknBP3lYzHsfM0y1bXlLt10oRISwT1FBGYJLpfR5SQb90Dri6J1sYzBE&#10;2RRSN9hGuKnlV5JMpMGK40KJjlYl5Zfd1Sj4+2GXrVuZn+4r93vOpvXmejgqNeh3y28QgbrwDr/a&#10;mVYQieNkDM8/8QvI+QMAAP//AwBQSwECLQAUAAYACAAAACEA2+H2y+4AAACFAQAAEwAAAAAAAAAA&#10;AAAAAAAAAAAAW0NvbnRlbnRfVHlwZXNdLnhtbFBLAQItABQABgAIAAAAIQBa9CxbvwAAABUBAAAL&#10;AAAAAAAAAAAAAAAAAB8BAABfcmVscy8ucmVsc1BLAQItABQABgAIAAAAIQB0mT58xQAAAN8AAAAP&#10;AAAAAAAAAAAAAAAAAAcCAABkcnMvZG93bnJldi54bWxQSwUGAAAAAAMAAwC3AAAA+QIAAAAA&#10;" filled="f" stroked="f">
                  <v:textbox inset="0,0,0,0">
                    <w:txbxContent>
                      <w:p w14:paraId="38DEE840" w14:textId="77777777" w:rsidR="00B32EF2" w:rsidRDefault="00000000">
                        <w:r>
                          <w:rPr>
                            <w:rFonts w:ascii="Arial" w:eastAsia="Arial" w:hAnsi="Arial" w:cs="Arial"/>
                            <w:i/>
                            <w:sz w:val="18"/>
                          </w:rPr>
                          <w:t>3</w:t>
                        </w:r>
                      </w:p>
                    </w:txbxContent>
                  </v:textbox>
                </v:rect>
                <v:rect id="Rectangle 17099" o:spid="_x0000_s3003" style="position:absolute;left:-12189;top:46786;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MddxQAAAN4AAAAPAAAAZHJzL2Rvd25yZXYueG1sRE9LawIx&#10;EL4L/Q9hCt402x6srmalWKR76EVrocdhM/uwm0nYRHf11xtB6G0+vues1oNpxZk631hW8DJNQBAX&#10;VjdcKTh8bydzED4ga2wtk4ILeVhnT6MVptr2vKPzPlQihrBPUUEdgkul9EVNBv3UOuLIlbYzGCLs&#10;Kqk77GO4aeVrksykwYZjQ42ONjUVf/uTUfD7wS7f9rIorxv3dczn7efp8KPU+Hl4X4IINIR/8cOd&#10;6zj/LVks4P5OvEFmNwAAAP//AwBQSwECLQAUAAYACAAAACEA2+H2y+4AAACFAQAAEwAAAAAAAAAA&#10;AAAAAAAAAAAAW0NvbnRlbnRfVHlwZXNdLnhtbFBLAQItABQABgAIAAAAIQBa9CxbvwAAABUBAAAL&#10;AAAAAAAAAAAAAAAAAB8BAABfcmVscy8ucmVsc1BLAQItABQABgAIAAAAIQDGMMddxQAAAN4AAAAP&#10;AAAAAAAAAAAAAAAAAAcCAABkcnMvZG93bnJldi54bWxQSwUGAAAAAAMAAwC3AAAA+QIAAAAA&#10;" filled="f" stroked="f">
                  <v:textbox inset="0,0,0,0">
                    <w:txbxContent>
                      <w:p w14:paraId="1799F569" w14:textId="77777777" w:rsidR="00B32EF2" w:rsidRDefault="00000000">
                        <w:r>
                          <w:rPr>
                            <w:rFonts w:ascii="Arial" w:eastAsia="Arial" w:hAnsi="Arial" w:cs="Arial"/>
                            <w:i/>
                            <w:sz w:val="18"/>
                          </w:rPr>
                          <w:t xml:space="preserve">valide ragioni extrafiscali, non marginali, anche di ordine organizzativo o </w:t>
                        </w:r>
                      </w:p>
                    </w:txbxContent>
                  </v:textbox>
                </v:rect>
                <v:rect id="Rectangle 17100" o:spid="_x0000_s3004" style="position:absolute;left:-11206;top:45553;width:5002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fTaxwAAAN4AAAAPAAAAZHJzL2Rvd25yZXYueG1sRI9Bb8Iw&#10;DIXvk/YfIk/iNlJ2ANQREGJC9LDLgEk7Wo1pOxonagIt+/XzAYmbLT+/977FanCtulIXG88GJuMM&#10;FHHpbcOVgeNh+zoHFROyxdYzGbhRhNXy+WmBufU9f9F1nyolJhxzNFCnFHKtY1mTwzj2gVhuJ985&#10;TLJ2lbYd9mLuWv2WZVPtsGFJqDHQpqbyvL84Az8fHIptr8vT3yZ8/hbzdnc5fhszehnW76ASDekh&#10;vn8XVurPJpkACI7MoJf/AAAA//8DAFBLAQItABQABgAIAAAAIQDb4fbL7gAAAIUBAAATAAAAAAAA&#10;AAAAAAAAAAAAAABbQ29udGVudF9UeXBlc10ueG1sUEsBAi0AFAAGAAgAAAAhAFr0LFu/AAAAFQEA&#10;AAsAAAAAAAAAAAAAAAAAHwEAAF9yZWxzLy5yZWxzUEsBAi0AFAAGAAgAAAAhAMnh9NrHAAAA3gAA&#10;AA8AAAAAAAAAAAAAAAAABwIAAGRycy9kb3ducmV2LnhtbFBLBQYAAAAAAwADALcAAAD7AgAAAAA=&#10;" filled="f" stroked="f">
                  <v:textbox inset="0,0,0,0">
                    <w:txbxContent>
                      <w:p w14:paraId="299896BA" w14:textId="77777777" w:rsidR="00B32EF2" w:rsidRDefault="00000000">
                        <w:r>
                          <w:rPr>
                            <w:rFonts w:ascii="Arial" w:eastAsia="Arial" w:hAnsi="Arial" w:cs="Arial"/>
                            <w:i/>
                            <w:sz w:val="18"/>
                          </w:rPr>
                          <w:t>gestionale, che rispondono a finalità di miglioramento strutturale o funzio</w:t>
                        </w:r>
                      </w:p>
                    </w:txbxContent>
                  </v:textbox>
                </v:rect>
                <v:rect id="Rectangle 17101" o:spid="_x0000_s3005" style="position:absolute;left:657;top:45553;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VFBxAAAAN4AAAAPAAAAZHJzL2Rvd25yZXYueG1sRE9Ni8Iw&#10;EL0v+B/CCN7WtHtQqUYRRbaHvegqeByasa02k9BE291fvxGEvc3jfc5i1ZtGPKj1tWUF6TgBQVxY&#10;XXOp4Pi9e5+B8AFZY2OZFPyQh9Vy8LbATNuO9/Q4hFLEEPYZKqhCcJmUvqjIoB9bRxy5i20Nhgjb&#10;UuoWuxhuGvmRJBNpsObYUKGjTUXF7XA3Cs5bdvmuk8Xld+O+rvms+bwfT0qNhv16DiJQH/7FL3eu&#10;4/xpmqTwfCfeIJd/AAAA//8DAFBLAQItABQABgAIAAAAIQDb4fbL7gAAAIUBAAATAAAAAAAAAAAA&#10;AAAAAAAAAABbQ29udGVudF9UeXBlc10ueG1sUEsBAi0AFAAGAAgAAAAhAFr0LFu/AAAAFQEAAAsA&#10;AAAAAAAAAAAAAAAAHwEAAF9yZWxzLy5yZWxzUEsBAi0AFAAGAAgAAAAhAKatUUHEAAAA3gAAAA8A&#10;AAAAAAAAAAAAAAAABwIAAGRycy9kb3ducmV2LnhtbFBLBQYAAAAAAwADALcAAAD4AgAAAAA=&#10;" filled="f" stroked="f">
                  <v:textbox inset="0,0,0,0">
                    <w:txbxContent>
                      <w:p w14:paraId="3E4584AE" w14:textId="77777777" w:rsidR="00B32EF2" w:rsidRDefault="00000000">
                        <w:r>
                          <w:rPr>
                            <w:rFonts w:ascii="Arial" w:eastAsia="Arial" w:hAnsi="Arial" w:cs="Arial"/>
                            <w:i/>
                            <w:sz w:val="18"/>
                          </w:rPr>
                          <w:t>-</w:t>
                        </w:r>
                      </w:p>
                    </w:txbxContent>
                  </v:textbox>
                </v:rect>
                <v:rect id="Rectangle 17102" o:spid="_x0000_s3006" style="position:absolute;left:-6808;top:44319;width:456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882xAAAAN4AAAAPAAAAZHJzL2Rvd25yZXYueG1sRE9Li8Iw&#10;EL4L+x/CLHjTVA+udI0iitjDXtYHeByase3aTEITbddfbwTB23x8z5ktOlOLGzW+sqxgNExAEOdW&#10;V1woOOw3gykIH5A11pZJwT95WMw/ejNMtW35l267UIgYwj5FBWUILpXS5yUZ9EPriCN3to3BEGFT&#10;SN1gG8NNLcdJMpEGK44NJTpalZRfdlej4LRml21amZ/vK/fzl03r7fVwVKr/2S2/QQTqwlv8cmc6&#10;zv8aJWN4vhNvkPMHAAAA//8DAFBLAQItABQABgAIAAAAIQDb4fbL7gAAAIUBAAATAAAAAAAAAAAA&#10;AAAAAAAAAABbQ29udGVudF9UeXBlc10ueG1sUEsBAi0AFAAGAAgAAAAhAFr0LFu/AAAAFQEAAAsA&#10;AAAAAAAAAAAAAAAAHwEAAF9yZWxzLy5yZWxzUEsBAi0AFAAGAAgAAAAhAFZ/zzbEAAAA3gAAAA8A&#10;AAAAAAAAAAAAAAAABwIAAGRycy9kb3ducmV2LnhtbFBLBQYAAAAAAwADALcAAAD4AgAAAAA=&#10;" filled="f" stroked="f">
                  <v:textbox inset="0,0,0,0">
                    <w:txbxContent>
                      <w:p w14:paraId="6FD45F23" w14:textId="77777777" w:rsidR="00B32EF2" w:rsidRDefault="00000000">
                        <w:r>
                          <w:rPr>
                            <w:rFonts w:ascii="Arial" w:eastAsia="Arial" w:hAnsi="Arial" w:cs="Arial"/>
                            <w:i/>
                            <w:sz w:val="18"/>
                          </w:rPr>
                          <w:t>nale dell’impresa ovvero dell’attività professionale del contribuente.</w:t>
                        </w:r>
                      </w:p>
                    </w:txbxContent>
                  </v:textbox>
                </v:rect>
                <v:rect id="Rectangle 200301" o:spid="_x0000_s3007" style="position:absolute;left:25746;top:43086;width:501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wWQxwAAAN8AAAAPAAAAZHJzL2Rvd25yZXYueG1sRI/NasMw&#10;EITvhb6D2EJvjewUSnCjhOJi4kMvzQ/0uFgb2621EpYcu3n6KBDIcZiZb5jlejKdOFHvW8sK0lkC&#10;griyuuVawX5XvCxA+ICssbNMCv7Jw3r1+LDETNuRv+m0DbWIEPYZKmhCcJmUvmrIoJ9ZRxy9o+0N&#10;hij7Wuoexwg3nZwnyZs02HJcaNBR3lD1tx2Mgp9PdmUxyup4zt3Xb7noNsP+oNTz0/TxDiLQFO7h&#10;W7vUCiLxNUnh+id+Abm6AAAA//8DAFBLAQItABQABgAIAAAAIQDb4fbL7gAAAIUBAAATAAAAAAAA&#10;AAAAAAAAAAAAAABbQ29udGVudF9UeXBlc10ueG1sUEsBAi0AFAAGAAgAAAAhAFr0LFu/AAAAFQEA&#10;AAsAAAAAAAAAAAAAAAAAHwEAAF9yZWxzLy5yZWxzUEsBAi0AFAAGAAgAAAAhAOsHBZDHAAAA3wAA&#10;AA8AAAAAAAAAAAAAAAAABwIAAGRycy9kb3ducmV2LnhtbFBLBQYAAAAAAwADALcAAAD7AgAAAAA=&#10;" filled="f" stroked="f">
                  <v:textbox inset="0,0,0,0">
                    <w:txbxContent>
                      <w:p w14:paraId="1D25BA4C" w14:textId="77777777" w:rsidR="00B32EF2" w:rsidRDefault="00000000">
                        <w:r>
                          <w:rPr>
                            <w:rFonts w:ascii="Arial" w:eastAsia="Arial" w:hAnsi="Arial" w:cs="Arial"/>
                            <w:i/>
                            <w:sz w:val="18"/>
                          </w:rPr>
                          <w:t>4</w:t>
                        </w:r>
                      </w:p>
                    </w:txbxContent>
                  </v:textbox>
                </v:rect>
                <v:rect id="Rectangle 200302" o:spid="_x0000_s3008" style="position:absolute;left:-11952;top:43086;width:501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ZvnxQAAAN8AAAAPAAAAZHJzL2Rvd25yZXYueG1sRI9Pi8Iw&#10;FMTvgt8hPGFvmuqCSNco4iLbw178B3t8NM+22ryEJtqun94IgsdhZn7DzJedqcWNGl9ZVjAeJSCI&#10;c6srLhQc9pvhDIQPyBpry6TgnzwsF/3eHFNtW97SbRcKESHsU1RQhuBSKX1ekkE/so44eifbGAxR&#10;NoXUDbYRbmo5SZKpNFhxXCjR0bqk/LK7GgV/3+yyTSvz033tfs/ZrP65Ho5KfQy61ReIQF14h1/t&#10;TCuIxM9kAs8/8QvIxQMAAP//AwBQSwECLQAUAAYACAAAACEA2+H2y+4AAACFAQAAEwAAAAAAAAAA&#10;AAAAAAAAAAAAW0NvbnRlbnRfVHlwZXNdLnhtbFBLAQItABQABgAIAAAAIQBa9CxbvwAAABUBAAAL&#10;AAAAAAAAAAAAAAAAAB8BAABfcmVscy8ucmVsc1BLAQItABQABgAIAAAAIQAb1ZvnxQAAAN8AAAAP&#10;AAAAAAAAAAAAAAAAAAcCAABkcnMvZG93bnJldi54bWxQSwUGAAAAAAMAAwC3AAAA+QIAAAAA&#10;" filled="f" stroked="f">
                  <v:textbox inset="0,0,0,0">
                    <w:txbxContent>
                      <w:p w14:paraId="08C12774" w14:textId="77777777" w:rsidR="00B32EF2" w:rsidRDefault="00000000">
                        <w:r>
                          <w:rPr>
                            <w:rFonts w:ascii="Arial" w:eastAsia="Arial" w:hAnsi="Arial" w:cs="Arial"/>
                            <w:i/>
                            <w:sz w:val="18"/>
                          </w:rPr>
                          <w:t>. Resta ferma la libertà di scelta del contribuente tra regimi opzionali diver</w:t>
                        </w:r>
                      </w:p>
                    </w:txbxContent>
                  </v:textbox>
                </v:rect>
                <v:rect id="Rectangle 17104" o:spid="_x0000_s3009" style="position:absolute;left:657;top:4308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vLZxAAAAN4AAAAPAAAAZHJzL2Rvd25yZXYueG1sRE9Na8JA&#10;EL0X+h+WKXirG4tYia4iFjGHXtQUehyyYxLNzi7Z1cT+elcoeJvH+5z5sjeNuFLra8sKRsMEBHFh&#10;dc2lgvyweZ+C8AFZY2OZFNzIw3Lx+jLHVNuOd3Tdh1LEEPYpKqhCcKmUvqjIoB9aRxy5o20Nhgjb&#10;UuoWuxhuGvmRJBNpsObYUKGjdUXFeX8xCn6/2GWbThbHv7X7PmXTZnvJf5QavPWrGYhAfXiK/92Z&#10;jvM/R8kYHu/EG+TiDgAA//8DAFBLAQItABQABgAIAAAAIQDb4fbL7gAAAIUBAAATAAAAAAAAAAAA&#10;AAAAAAAAAABbQ29udGVudF9UeXBlc10ueG1sUEsBAi0AFAAGAAgAAAAhAFr0LFu/AAAAFQEAAAsA&#10;AAAAAAAAAAAAAAAAHwEAAF9yZWxzLy5yZWxzUEsBAi0AFAAGAAgAAAAhALba8tnEAAAA3gAAAA8A&#10;AAAAAAAAAAAAAAAABwIAAGRycy9kb3ducmV2LnhtbFBLBQYAAAAAAwADALcAAAD4AgAAAAA=&#10;" filled="f" stroked="f">
                  <v:textbox inset="0,0,0,0">
                    <w:txbxContent>
                      <w:p w14:paraId="7E6C2186" w14:textId="77777777" w:rsidR="00B32EF2" w:rsidRDefault="00000000">
                        <w:r>
                          <w:rPr>
                            <w:rFonts w:ascii="Arial" w:eastAsia="Arial" w:hAnsi="Arial" w:cs="Arial"/>
                            <w:i/>
                            <w:sz w:val="18"/>
                          </w:rPr>
                          <w:t>-</w:t>
                        </w:r>
                      </w:p>
                    </w:txbxContent>
                  </v:textbox>
                </v:rect>
                <v:rect id="Rectangle 17105" o:spid="_x0000_s3010" style="position:absolute;left:-11392;top:41853;width:502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dCxAAAAN4AAAAPAAAAZHJzL2Rvd25yZXYueG1sRE9Na8JA&#10;EL0X+h+WKXirGwtaia4iFjGHXtQUehyyYxLNzi7Z1cT+elcoeJvH+5z5sjeNuFLra8sKRsMEBHFh&#10;dc2lgvyweZ+C8AFZY2OZFNzIw3Lx+jLHVNuOd3Tdh1LEEPYpKqhCcKmUvqjIoB9aRxy5o20Nhgjb&#10;UuoWuxhuGvmRJBNpsObYUKGjdUXFeX8xCn6/2GWbThbHv7X7PmXTZnvJf5QavPWrGYhAfXiK/92Z&#10;jvM/R8kYHu/EG+TiDgAA//8DAFBLAQItABQABgAIAAAAIQDb4fbL7gAAAIUBAAATAAAAAAAAAAAA&#10;AAAAAAAAAABbQ29udGVudF9UeXBlc10ueG1sUEsBAi0AFAAGAAgAAAAhAFr0LFu/AAAAFQEAAAsA&#10;AAAAAAAAAAAAAAAAHwEAAF9yZWxzLy5yZWxzUEsBAi0AFAAGAAgAAAAhANmWV0LEAAAA3gAAAA8A&#10;AAAAAAAAAAAAAAAABwIAAGRycy9kb3ducmV2LnhtbFBLBQYAAAAAAwADALcAAAD4AgAAAAA=&#10;" filled="f" stroked="f">
                  <v:textbox inset="0,0,0,0">
                    <w:txbxContent>
                      <w:p w14:paraId="159BDAC8" w14:textId="77777777" w:rsidR="00B32EF2" w:rsidRDefault="00000000">
                        <w:r>
                          <w:rPr>
                            <w:rFonts w:ascii="Arial" w:eastAsia="Arial" w:hAnsi="Arial" w:cs="Arial"/>
                            <w:i/>
                            <w:sz w:val="18"/>
                          </w:rPr>
                          <w:t>si offerti dalla legge e tra operazioni comportanti un diverso carico fiscale.</w:t>
                        </w:r>
                      </w:p>
                    </w:txbxContent>
                  </v:textbox>
                </v:rect>
                <v:rect id="Rectangle 200300" o:spid="_x0000_s3011" style="position:absolute;left:-12857;top:40619;width:509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6ALxgAAAN8AAAAPAAAAZHJzL2Rvd25yZXYueG1sRI9Ba8JA&#10;EIXvQv/DMoXedNMKIqmrFIuYQy+1EXocsmMSzc4u2dWk/fWdg9Dj8OZ9j2+1GV2nbtTH1rOB51kG&#10;irjytuXaQPm1my5BxYRssfNMBn4owmb9MFlhbv3An3Q7pFoJhGOOBpqUQq51rBpyGGc+EEt28r3D&#10;JGdfa9vjIHDX6ZcsW2iHLctCg4G2DVWXw9UZ+H7nUOwGXZ1+t+HjXCy7/bU8GvP0OL69gko0pv/n&#10;e7uwBoQ4z8RAfMQF9PoPAAD//wMAUEsBAi0AFAAGAAgAAAAhANvh9svuAAAAhQEAABMAAAAAAAAA&#10;AAAAAAAAAAAAAFtDb250ZW50X1R5cGVzXS54bWxQSwECLQAUAAYACAAAACEAWvQsW78AAAAVAQAA&#10;CwAAAAAAAAAAAAAAAAAfAQAAX3JlbHMvLnJlbHNQSwECLQAUAAYACAAAACEAhEugC8YAAADfAAAA&#10;DwAAAAAAAAAAAAAAAAAHAgAAZHJzL2Rvd25yZXYueG1sUEsFBgAAAAADAAMAtwAAAPoCAAAAAA==&#10;" filled="f" stroked="f">
                  <v:textbox inset="0,0,0,0">
                    <w:txbxContent>
                      <w:p w14:paraId="7F029225" w14:textId="77777777" w:rsidR="00B32EF2" w:rsidRDefault="00000000">
                        <w:r>
                          <w:rPr>
                            <w:rFonts w:ascii="Arial" w:eastAsia="Arial" w:hAnsi="Arial" w:cs="Arial"/>
                            <w:i/>
                            <w:sz w:val="18"/>
                          </w:rPr>
                          <w:t xml:space="preserve">. Il contribuente può proporre interpello ai sensi dell’articolo 11, comma 1, </w:t>
                        </w:r>
                      </w:p>
                    </w:txbxContent>
                  </v:textbox>
                </v:rect>
                <v:rect id="Rectangle 200299" o:spid="_x0000_s3012" style="position:absolute;left:25527;top:40619;width:509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pOMxwAAAN8AAAAPAAAAZHJzL2Rvd25yZXYueG1sRI9Ba8JA&#10;FITvQv/D8gq96aY5SIyuIiliDr3UWujxkX0m0ezbJbsmaX99t1DocZiZb5jNbjKdGKj3rWUFz4sE&#10;BHFldcu1gvP7YZ6B8AFZY2eZFHyRh932YbbBXNuR32g4hVpECPscFTQhuFxKXzVk0C+sI47exfYG&#10;Q5R9LXWPY4SbTqZJspQGW44LDToqGqpup7tR8PnCrjyMsrp8F+71Wmbd8X7+UOrpcdqvQQSawn/4&#10;r11qBZGYrlbw+yd+Abn9AQAA//8DAFBLAQItABQABgAIAAAAIQDb4fbL7gAAAIUBAAATAAAAAAAA&#10;AAAAAAAAAAAAAABbQ29udGVudF9UeXBlc10ueG1sUEsBAi0AFAAGAAgAAAAhAFr0LFu/AAAAFQEA&#10;AAsAAAAAAAAAAAAAAAAAHwEAAF9yZWxzLy5yZWxzUEsBAi0AFAAGAAgAAAAhAIuak4zHAAAA3wAA&#10;AA8AAAAAAAAAAAAAAAAABwIAAGRycy9kb3ducmV2LnhtbFBLBQYAAAAAAwADALcAAAD7AgAAAAA=&#10;" filled="f" stroked="f">
                  <v:textbox inset="0,0,0,0">
                    <w:txbxContent>
                      <w:p w14:paraId="3F52811B" w14:textId="77777777" w:rsidR="00B32EF2" w:rsidRDefault="00000000">
                        <w:r>
                          <w:rPr>
                            <w:rFonts w:ascii="Arial" w:eastAsia="Arial" w:hAnsi="Arial" w:cs="Arial"/>
                            <w:i/>
                            <w:sz w:val="18"/>
                          </w:rPr>
                          <w:t>5</w:t>
                        </w:r>
                      </w:p>
                    </w:txbxContent>
                  </v:textbox>
                </v:rect>
                <v:rect id="Rectangle 17107" o:spid="_x0000_s3013" style="position:absolute;left:-12186;top:39386;width:509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GyuxQAAAN4AAAAPAAAAZHJzL2Rvd25yZXYueG1sRE9Na8JA&#10;EL0X+h+WKfRWN/bQhNRVxCLNwYuphR6H7JikZmeX7Jqk/npXEHqbx/ucxWoynRio961lBfNZAoK4&#10;srrlWsHha/uSgfABWWNnmRT8kYfV8vFhgbm2I+9pKEMtYgj7HBU0IbhcSl81ZNDPrCOO3NH2BkOE&#10;fS11j2MMN518TZI3abDl2NCgo01D1ak8GwU/H+yK7Sir42Xjdr9F1n2eD99KPT9N63cQgabwL767&#10;Cx3np/Mkhds78Qa5vAIAAP//AwBQSwECLQAUAAYACAAAACEA2+H2y+4AAACFAQAAEwAAAAAAAAAA&#10;AAAAAAAAAAAAW0NvbnRlbnRfVHlwZXNdLnhtbFBLAQItABQABgAIAAAAIQBa9CxbvwAAABUBAAAL&#10;AAAAAAAAAAAAAAAAAB8BAABfcmVscy8ucmVsc1BLAQItABQABgAIAAAAIQBGCGyuxQAAAN4AAAAP&#10;AAAAAAAAAAAAAAAAAAcCAABkcnMvZG93bnJldi54bWxQSwUGAAAAAAMAAwC3AAAA+QIAAAAA&#10;" filled="f" stroked="f">
                  <v:textbox inset="0,0,0,0">
                    <w:txbxContent>
                      <w:p w14:paraId="4F00F1DE" w14:textId="77777777" w:rsidR="00B32EF2" w:rsidRDefault="00000000">
                        <w:r>
                          <w:rPr>
                            <w:rFonts w:ascii="Arial" w:eastAsia="Arial" w:hAnsi="Arial" w:cs="Arial"/>
                            <w:i/>
                            <w:sz w:val="18"/>
                          </w:rPr>
                          <w:t xml:space="preserve">lettera c), per conoscere se le operazioni costituiscano fattispecie di abuso </w:t>
                        </w:r>
                      </w:p>
                    </w:txbxContent>
                  </v:textbox>
                </v:rect>
                <v:rect id="Rectangle 17108" o:spid="_x0000_s3014" style="position:absolute;left:32081;top:38153;width:67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jcxwAAAN4AAAAPAAAAZHJzL2Rvd25yZXYueG1sRI9Bb8Iw&#10;DIXvk/YfIk/iNlJ2ANQREGJC9LDLgEk7Wo1pOxonagIt+/XzAYmbrff83ufFanCtulIXG88GJuMM&#10;FHHpbcOVgeNh+zoHFROyxdYzGbhRhNXy+WmBufU9f9F1nyolIRxzNFCnFHKtY1mTwzj2gVi0k+8c&#10;Jlm7StsOewl3rX7Lsql22LA01BhoU1N53l+cgZ8PDsW21+XpbxM+f4t5u7scv40ZvQzrd1CJhvQw&#10;368LK/izSSa88o7MoJf/AAAA//8DAFBLAQItABQABgAIAAAAIQDb4fbL7gAAAIUBAAATAAAAAAAA&#10;AAAAAAAAAAAAAABbQ29udGVudF9UeXBlc10ueG1sUEsBAi0AFAAGAAgAAAAhAFr0LFu/AAAAFQEA&#10;AAsAAAAAAAAAAAAAAAAAHwEAAF9yZWxzLy5yZWxzUEsBAi0AFAAGAAgAAAAhADeX+NzHAAAA3gAA&#10;AA8AAAAAAAAAAAAAAAAABwIAAGRycy9kb3ducmV2LnhtbFBLBQYAAAAAAwADALcAAAD7AgAAAAA=&#10;" filled="f" stroked="f">
                  <v:textbox inset="0,0,0,0">
                    <w:txbxContent>
                      <w:p w14:paraId="5EA7ED6E" w14:textId="77777777" w:rsidR="00B32EF2" w:rsidRDefault="00000000">
                        <w:r>
                          <w:rPr>
                            <w:rFonts w:ascii="Arial" w:eastAsia="Arial" w:hAnsi="Arial" w:cs="Arial"/>
                            <w:i/>
                            <w:sz w:val="18"/>
                          </w:rPr>
                          <w:t>del diritto.</w:t>
                        </w:r>
                      </w:p>
                    </w:txbxContent>
                  </v:textbox>
                </v:rect>
                <v:rect id="Rectangle 200298" o:spid="_x0000_s3015" style="position:absolute;left:-12910;top:36920;width:5123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jYXxwAAAN8AAAAPAAAAZHJzL2Rvd25yZXYueG1sRI/BbsIw&#10;DIbvk/YOkSftNtJxQKwjIMSE6IELjEk7Wo1pOxonagLteHp8QOJo/f4/+5stBteqC3Wx8WzgfZSB&#10;Ii69bbgycPhev01BxYRssfVMBv4pwmL+/DTD3Pqed3TZp0oJhGOOBuqUQq51LGtyGEc+EEt29J3D&#10;JGNXadthL3DX6nGWTbTDhuVCjYFWNZWn/dkZ+P3iUKx7XR6vq7D9K6bt5nz4Meb1ZVh+gko0pMfy&#10;vV1YA0Icf8jD4iMuoOc3AAAA//8DAFBLAQItABQABgAIAAAAIQDb4fbL7gAAAIUBAAATAAAAAAAA&#10;AAAAAAAAAAAAAABbQ29udGVudF9UeXBlc10ueG1sUEsBAi0AFAAGAAgAAAAhAFr0LFu/AAAAFQEA&#10;AAsAAAAAAAAAAAAAAAAAHwEAAF9yZWxzLy5yZWxzUEsBAi0AFAAGAAgAAAAhAOTWNhfHAAAA3wAA&#10;AA8AAAAAAAAAAAAAAAAABwIAAGRycy9kb3ducmV2LnhtbFBLBQYAAAAAAwADALcAAAD7AgAAAAA=&#10;" filled="f" stroked="f">
                  <v:textbox inset="0,0,0,0">
                    <w:txbxContent>
                      <w:p w14:paraId="71515CF7" w14:textId="77777777" w:rsidR="00B32EF2" w:rsidRDefault="00000000">
                        <w:r>
                          <w:rPr>
                            <w:rFonts w:ascii="Arial" w:eastAsia="Arial" w:hAnsi="Arial" w:cs="Arial"/>
                            <w:i/>
                            <w:sz w:val="18"/>
                          </w:rPr>
                          <w:t xml:space="preserve">. Senza pregiudizio dell’ulteriore azione accertatrice nei termini stabiliti </w:t>
                        </w:r>
                      </w:p>
                    </w:txbxContent>
                  </v:textbox>
                </v:rect>
                <v:rect id="Rectangle 200297" o:spid="_x0000_s3016" style="position:absolute;left:25469;top:36920;width:5123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aJlxwAAAN8AAAAPAAAAZHJzL2Rvd25yZXYueG1sRI9PawIx&#10;FMTvBb9DeEJvNauH1q5mRRTpHrzUKnh8bN7+0c1L2ER366dvCoUeh5n5DbNcDaYVd+p8Y1nBdJKA&#10;IC6sbrhScPzavcxB+ICssbVMCr7JwyobPS0x1bbnT7ofQiUihH2KCuoQXCqlL2oy6CfWEUevtJ3B&#10;EGVXSd1hH+GmlbMkeZUGG44LNTra1FRcDzej4Lxll+96WZSPjdtf8nn7cTuelHoeD+sFiEBD+A//&#10;tXOtIBJn72/w+yd+AZn9AAAA//8DAFBLAQItABQABgAIAAAAIQDb4fbL7gAAAIUBAAATAAAAAAAA&#10;AAAAAAAAAAAAAABbQ29udGVudF9UeXBlc10ueG1sUEsBAi0AFAAGAAgAAAAhAFr0LFu/AAAAFQEA&#10;AAsAAAAAAAAAAAAAAAAAHwEAAF9yZWxzLy5yZWxzUEsBAi0AFAAGAAgAAAAhAJVJomXHAAAA3wAA&#10;AA8AAAAAAAAAAAAAAAAABwIAAGRycy9kb3ducmV2LnhtbFBLBQYAAAAAAwADALcAAAD7AgAAAAA=&#10;" filled="f" stroked="f">
                  <v:textbox inset="0,0,0,0">
                    <w:txbxContent>
                      <w:p w14:paraId="154D8493" w14:textId="77777777" w:rsidR="00B32EF2" w:rsidRDefault="00000000">
                        <w:r>
                          <w:rPr>
                            <w:rFonts w:ascii="Arial" w:eastAsia="Arial" w:hAnsi="Arial" w:cs="Arial"/>
                            <w:i/>
                            <w:sz w:val="18"/>
                          </w:rPr>
                          <w:t>6</w:t>
                        </w:r>
                      </w:p>
                    </w:txbxContent>
                  </v:textbox>
                </v:rect>
                <v:rect id="Rectangle 17110" o:spid="_x0000_s3017" style="position:absolute;left:-11214;top:35686;width:500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GIHyAAAAN4AAAAPAAAAZHJzL2Rvd25yZXYueG1sRI9Pb8Iw&#10;DMXvk/YdIk/abaTdYUOFgBATWg+78GfSjlZj2kLjRE2g3T49PkziZsvP773ffDm6Tl2pj61nA/kk&#10;A0VcedtybeCw37xMQcWEbLHzTAZ+KcJy8fgwx8L6gbd03aVaiQnHAg00KYVC61g15DBOfCCW29H3&#10;DpOsfa1tj4OYu06/ZtmbdtiyJDQYaN1Qdd5dnIGfDw7lZtDV8W8dvk7ltPu8HL6NeX4aVzNQicZ0&#10;F/9/l1bqv+e5AAiOzKAXNwAAAP//AwBQSwECLQAUAAYACAAAACEA2+H2y+4AAACFAQAAEwAAAAAA&#10;AAAAAAAAAAAAAAAAW0NvbnRlbnRfVHlwZXNdLnhtbFBLAQItABQABgAIAAAAIQBa9CxbvwAAABUB&#10;AAALAAAAAAAAAAAAAAAAAB8BAABfcmVscy8ucmVsc1BLAQItABQABgAIAAAAIQBMOGIHyAAAAN4A&#10;AAAPAAAAAAAAAAAAAAAAAAcCAABkcnMvZG93bnJldi54bWxQSwUGAAAAAAMAAwC3AAAA/AIAAAAA&#10;" filled="f" stroked="f">
                  <v:textbox inset="0,0,0,0">
                    <w:txbxContent>
                      <w:p w14:paraId="125935A4" w14:textId="77777777" w:rsidR="00B32EF2" w:rsidRDefault="00000000">
                        <w:r>
                          <w:rPr>
                            <w:rFonts w:ascii="Arial" w:eastAsia="Arial" w:hAnsi="Arial" w:cs="Arial"/>
                            <w:i/>
                            <w:sz w:val="18"/>
                          </w:rPr>
                          <w:t>per i singoli tributi, l’abuso del diritto è accertato con apposito atto, pre</w:t>
                        </w:r>
                      </w:p>
                    </w:txbxContent>
                  </v:textbox>
                </v:rect>
                <v:rect id="Rectangle 17111" o:spid="_x0000_s3018" style="position:absolute;left:657;top:3568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ecxAAAAN4AAAAPAAAAZHJzL2Rvd25yZXYueG1sRE9Ni8Iw&#10;EL0v+B/CCN7WtHtQqUYRRbaHvegqeByasa02k9BE291fvxGEvc3jfc5i1ZtGPKj1tWUF6TgBQVxY&#10;XXOp4Pi9e5+B8AFZY2OZFPyQh9Vy8LbATNuO9/Q4hFLEEPYZKqhCcJmUvqjIoB9bRxy5i20Nhgjb&#10;UuoWuxhuGvmRJBNpsObYUKGjTUXF7XA3Cs5bdvmuk8Xld+O+rvms+bwfT0qNhv16DiJQH/7FL3eu&#10;4/xpmqbwfCfeIJd/AAAA//8DAFBLAQItABQABgAIAAAAIQDb4fbL7gAAAIUBAAATAAAAAAAAAAAA&#10;AAAAAAAAAABbQ29udGVudF9UeXBlc10ueG1sUEsBAi0AFAAGAAgAAAAhAFr0LFu/AAAAFQEAAAsA&#10;AAAAAAAAAAAAAAAAHwEAAF9yZWxzLy5yZWxzUEsBAi0AFAAGAAgAAAAhACN0x5zEAAAA3gAAAA8A&#10;AAAAAAAAAAAAAAAABwIAAGRycy9kb3ducmV2LnhtbFBLBQYAAAAAAwADALcAAAD4AgAAAAA=&#10;" filled="f" stroked="f">
                  <v:textbox inset="0,0,0,0">
                    <w:txbxContent>
                      <w:p w14:paraId="50FB9F7D" w14:textId="77777777" w:rsidR="00B32EF2" w:rsidRDefault="00000000">
                        <w:r>
                          <w:rPr>
                            <w:rFonts w:ascii="Arial" w:eastAsia="Arial" w:hAnsi="Arial" w:cs="Arial"/>
                            <w:i/>
                            <w:sz w:val="18"/>
                          </w:rPr>
                          <w:t>-</w:t>
                        </w:r>
                      </w:p>
                    </w:txbxContent>
                  </v:textbox>
                </v:rect>
                <v:rect id="Rectangle 17112" o:spid="_x0000_s3019" style="position:absolute;left:-12190;top:34453;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lnrxAAAAN4AAAAPAAAAZHJzL2Rvd25yZXYueG1sRE9Na8JA&#10;EL0X/A/LCL3VTTxUSV1FFDGHXrQRPA7ZMUnNzi7Z1aT99V1B6G0e73MWq8G04k6dbywrSCcJCOLS&#10;6oYrBcXX7m0Owgdkja1lUvBDHlbL0csCM217PtD9GCoRQ9hnqKAOwWVS+rImg35iHXHkLrYzGCLs&#10;Kqk77GO4aeU0Sd6lwYZjQ42ONjWV1+PNKDhv2eW7XpaX3437/M7n7f5WnJR6HQ/rDxCBhvAvfrpz&#10;HefP0nQKj3fiDXL5BwAA//8DAFBLAQItABQABgAIAAAAIQDb4fbL7gAAAIUBAAATAAAAAAAAAAAA&#10;AAAAAAAAAABbQ29udGVudF9UeXBlc10ueG1sUEsBAi0AFAAGAAgAAAAhAFr0LFu/AAAAFQEAAAsA&#10;AAAAAAAAAAAAAAAAHwEAAF9yZWxzLy5yZWxzUEsBAi0AFAAGAAgAAAAhANOmWevEAAAA3gAAAA8A&#10;AAAAAAAAAAAAAAAABwIAAGRycy9kb3ducmV2LnhtbFBLBQYAAAAAAwADALcAAAD4AgAAAAA=&#10;" filled="f" stroked="f">
                  <v:textbox inset="0,0,0,0">
                    <w:txbxContent>
                      <w:p w14:paraId="20868217" w14:textId="77777777" w:rsidR="00B32EF2" w:rsidRDefault="00000000">
                        <w:r>
                          <w:rPr>
                            <w:rFonts w:ascii="Arial" w:eastAsia="Arial" w:hAnsi="Arial" w:cs="Arial"/>
                            <w:i/>
                            <w:sz w:val="18"/>
                          </w:rPr>
                          <w:t xml:space="preserve">ceduto, a pena di nullità, dalla notifica al contribuente di una richiesta di </w:t>
                        </w:r>
                      </w:p>
                    </w:txbxContent>
                  </v:textbox>
                </v:rect>
                <v:rect id="Rectangle 17113" o:spid="_x0000_s3020" style="position:absolute;left:-12191;top:33220;width:509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vxwxAAAAN4AAAAPAAAAZHJzL2Rvd25yZXYueG1sRE9Na8JA&#10;EL0X/A/LCN7qJhZaia4iijQHL7UKHofsmESzs0t2NdFf3y0UepvH+5z5sjeNuFPra8sK0nECgriw&#10;uuZSweF7+zoF4QOyxsYyKXiQh+Vi8DLHTNuOv+i+D6WIIewzVFCF4DIpfVGRQT+2jjhyZ9saDBG2&#10;pdQtdjHcNHKSJO/SYM2xoUJH64qK6/5mFJw27PJtJ4vzc+12l3zafN4OR6VGw341AxGoD//iP3eu&#10;4/yPNH2D33fiDXLxAwAA//8DAFBLAQItABQABgAIAAAAIQDb4fbL7gAAAIUBAAATAAAAAAAAAAAA&#10;AAAAAAAAAABbQ29udGVudF9UeXBlc10ueG1sUEsBAi0AFAAGAAgAAAAhAFr0LFu/AAAAFQEAAAsA&#10;AAAAAAAAAAAAAAAAHwEAAF9yZWxzLy5yZWxzUEsBAi0AFAAGAAgAAAAhALzq/HDEAAAA3gAAAA8A&#10;AAAAAAAAAAAAAAAABwIAAGRycy9kb3ducmV2LnhtbFBLBQYAAAAAAwADALcAAAD4AgAAAAA=&#10;" filled="f" stroked="f">
                  <v:textbox inset="0,0,0,0">
                    <w:txbxContent>
                      <w:p w14:paraId="2ADC2307" w14:textId="77777777" w:rsidR="00B32EF2" w:rsidRDefault="00000000">
                        <w:r>
                          <w:rPr>
                            <w:rFonts w:ascii="Arial" w:eastAsia="Arial" w:hAnsi="Arial" w:cs="Arial"/>
                            <w:i/>
                            <w:sz w:val="18"/>
                          </w:rPr>
                          <w:t xml:space="preserve">chiarimenti da fornire entro il termine di sessanta giorni, in cui sono indicati </w:t>
                        </w:r>
                      </w:p>
                    </w:txbxContent>
                  </v:textbox>
                </v:rect>
                <v:rect id="Rectangle 17114" o:spid="_x0000_s3021" style="position:absolute;left:-2306;top:31986;width:41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2QExAAAAN4AAAAPAAAAZHJzL2Rvd25yZXYueG1sRE9Na8JA&#10;EL0X/A/LCN7qJlJaia4iijQHL7UKHofsmESzs0t2NdFf3y0UepvH+5z5sjeNuFPra8sK0nECgriw&#10;uuZSweF7+zoF4QOyxsYyKXiQh+Vi8DLHTNuOv+i+D6WIIewzVFCF4DIpfVGRQT+2jjhyZ9saDBG2&#10;pdQtdjHcNHKSJO/SYM2xoUJH64qK6/5mFJw27PJtJ4vzc+12l3zafN4OR6VGw341AxGoD//iP3eu&#10;4/yPNH2D33fiDXLxAwAA//8DAFBLAQItABQABgAIAAAAIQDb4fbL7gAAAIUBAAATAAAAAAAAAAAA&#10;AAAAAAAAAABbQ29udGVudF9UeXBlc10ueG1sUEsBAi0AFAAGAAgAAAAhAFr0LFu/AAAAFQEAAAsA&#10;AAAAAAAAAAAAAAAAHwEAAF9yZWxzLy5yZWxzUEsBAi0AFAAGAAgAAAAhADMDZATEAAAA3gAAAA8A&#10;AAAAAAAAAAAAAAAABwIAAGRycy9kb3ducmV2LnhtbFBLBQYAAAAAAwADALcAAAD4AgAAAAA=&#10;" filled="f" stroked="f">
                  <v:textbox inset="0,0,0,0">
                    <w:txbxContent>
                      <w:p w14:paraId="45DE4E19" w14:textId="77777777" w:rsidR="00B32EF2" w:rsidRDefault="00000000">
                        <w:r>
                          <w:rPr>
                            <w:rFonts w:ascii="Arial" w:eastAsia="Arial" w:hAnsi="Arial" w:cs="Arial"/>
                            <w:i/>
                            <w:sz w:val="18"/>
                          </w:rPr>
                          <w:t>i motivi per i quali si ritiene configurabile un abuso del diritto.</w:t>
                        </w:r>
                      </w:p>
                    </w:txbxContent>
                  </v:textbox>
                </v:rect>
                <v:rect id="Rectangle 200296" o:spid="_x0000_s3022" style="position:absolute;left:-12740;top:30753;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Qf+xwAAAN8AAAAPAAAAZHJzL2Rvd25yZXYueG1sRI9Ba8JA&#10;FITvBf/D8oTe6kYPIU1dpSjSHLyYWujxkX0mabNvl+yaxP76rlDocZiZb5j1djKdGKj3rWUFy0UC&#10;griyuuVawfn98JSB8AFZY2eZFNzIw3Yze1hjru3IJxrKUIsIYZ+jgiYEl0vpq4YM+oV1xNG72N5g&#10;iLKvpe5xjHDTyVWSpNJgy3GhQUe7hqrv8moUfO7ZFYdRVpefnTt+FVn3dj1/KPU4n15fQASawn/4&#10;r11oBZG4ek7h/id+Abn5BQAA//8DAFBLAQItABQABgAIAAAAIQDb4fbL7gAAAIUBAAATAAAAAAAA&#10;AAAAAAAAAAAAAABbQ29udGVudF9UeXBlc10ueG1sUEsBAi0AFAAGAAgAAAAhAFr0LFu/AAAAFQEA&#10;AAsAAAAAAAAAAAAAAAAAHwEAAF9yZWxzLy5yZWxzUEsBAi0AFAAGAAgAAAAhAPoFB/7HAAAA3wAA&#10;AA8AAAAAAAAAAAAAAAAABwIAAGRycy9kb3ducmV2LnhtbFBLBQYAAAAAAwADALcAAAD7AgAAAAA=&#10;" filled="f" stroked="f">
                  <v:textbox inset="0,0,0,0">
                    <w:txbxContent>
                      <w:p w14:paraId="1270165A" w14:textId="77777777" w:rsidR="00B32EF2" w:rsidRDefault="00000000">
                        <w:r>
                          <w:rPr>
                            <w:rFonts w:ascii="Arial" w:eastAsia="Arial" w:hAnsi="Arial" w:cs="Arial"/>
                            <w:i/>
                            <w:sz w:val="18"/>
                          </w:rPr>
                          <w:t xml:space="preserve">. La richiesta di chiarimenti è notificata dall’amministrazione finanziaria ai </w:t>
                        </w:r>
                      </w:p>
                    </w:txbxContent>
                  </v:textbox>
                </v:rect>
                <v:rect id="Rectangle 200295" o:spid="_x0000_s3023" style="position:absolute;left:25525;top:30753;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5mJxwAAAN8AAAAPAAAAZHJzL2Rvd25yZXYueG1sRI9PawIx&#10;FMTvBb9DeEJvNavQYlezIop0D15qFTw+Nm//6OYlbKK79dM3hUKPw8z8hlmuBtOKO3W+saxgOklA&#10;EBdWN1wpOH7tXuYgfEDW2FomBd/kYZWNnpaYatvzJ90PoRIRwj5FBXUILpXSFzUZ9BPriKNX2s5g&#10;iLKrpO6wj3DTylmSvEmDDceFGh1taiquh5tRcN6yy3e9LMrHxu0v+bz9uB1PSj2Ph/UCRKAh/If/&#10;2rlWEImz91f4/RO/gMx+AAAA//8DAFBLAQItABQABgAIAAAAIQDb4fbL7gAAAIUBAAATAAAAAAAA&#10;AAAAAAAAAAAAAABbQ29udGVudF9UeXBlc10ueG1sUEsBAi0AFAAGAAgAAAAhAFr0LFu/AAAAFQEA&#10;AAsAAAAAAAAAAAAAAAAAHwEAAF9yZWxzLy5yZWxzUEsBAi0AFAAGAAgAAAAhAArXmYnHAAAA3wAA&#10;AA8AAAAAAAAAAAAAAAAABwIAAGRycy9kb3ducmV2LnhtbFBLBQYAAAAAAwADALcAAAD7AgAAAAA=&#10;" filled="f" stroked="f">
                  <v:textbox inset="0,0,0,0">
                    <w:txbxContent>
                      <w:p w14:paraId="7B521B84" w14:textId="77777777" w:rsidR="00B32EF2" w:rsidRDefault="00000000">
                        <w:r>
                          <w:rPr>
                            <w:rFonts w:ascii="Arial" w:eastAsia="Arial" w:hAnsi="Arial" w:cs="Arial"/>
                            <w:i/>
                            <w:sz w:val="18"/>
                          </w:rPr>
                          <w:t>7</w:t>
                        </w:r>
                      </w:p>
                    </w:txbxContent>
                  </v:textbox>
                </v:rect>
                <v:rect id="Rectangle 17116" o:spid="_x0000_s3024" style="position:absolute;left:-11258;top:29520;width:500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V/oxAAAAN4AAAAPAAAAZHJzL2Rvd25yZXYueG1sRE9Na8JA&#10;EL0X/A/LCL3VTTyopK4iijSHXrQRPA7ZMUnNzi7Z1aT99V1B6G0e73OW68G04k6dbywrSCcJCOLS&#10;6oYrBcXX/m0Bwgdkja1lUvBDHtar0csSM217PtD9GCoRQ9hnqKAOwWVS+rImg35iHXHkLrYzGCLs&#10;Kqk77GO4aeU0SWbSYMOxoUZH25rK6/FmFJx37PJ9L8vL79Z9fueL9uNWnJR6HQ+bdxCBhvAvfrpz&#10;HefP03QGj3fiDXL1BwAA//8DAFBLAQItABQABgAIAAAAIQDb4fbL7gAAAIUBAAATAAAAAAAAAAAA&#10;AAAAAAAAAABbQ29udGVudF9UeXBlc10ueG1sUEsBAi0AFAAGAAgAAAAhAFr0LFu/AAAAFQEAAAsA&#10;AAAAAAAAAAAAAAAAHwEAAF9yZWxzLy5yZWxzUEsBAi0AFAAGAAgAAAAhAKydX+jEAAAA3gAAAA8A&#10;AAAAAAAAAAAAAAAABwIAAGRycy9kb3ducmV2LnhtbFBLBQYAAAAAAwADALcAAAD4AgAAAAA=&#10;" filled="f" stroked="f">
                  <v:textbox inset="0,0,0,0">
                    <w:txbxContent>
                      <w:p w14:paraId="678248C3" w14:textId="77777777" w:rsidR="00B32EF2" w:rsidRDefault="00000000">
                        <w:r>
                          <w:rPr>
                            <w:rFonts w:ascii="Arial" w:eastAsia="Arial" w:hAnsi="Arial" w:cs="Arial"/>
                            <w:i/>
                            <w:sz w:val="18"/>
                          </w:rPr>
                          <w:t>sensi dell’articolo 60 del decreto del Presidente della Repubblica 29 set</w:t>
                        </w:r>
                      </w:p>
                    </w:txbxContent>
                  </v:textbox>
                </v:rect>
                <v:rect id="Rectangle 17117" o:spid="_x0000_s3025" style="position:absolute;left:657;top:2952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fpzxQAAAN4AAAAPAAAAZHJzL2Rvd25yZXYueG1sRE9La8JA&#10;EL4L/odlhN50Ew9VUjciijSHXmpT6HHITh41O7tkV5P213cLhd7m43vObj+ZXtxp8J1lBekqAUFc&#10;Wd1xo6B8Oy+3IHxA1thbJgVf5GGfz2c7zLQd+ZXul9CIGMI+QwVtCC6T0lctGfQr64gjV9vBYIhw&#10;aKQecIzhppfrJHmUBjuODS06OrZUXS83o+DjxK44j7Kqv4/u5bPY9s+38l2ph8V0eAIRaAr/4j93&#10;oeP8TZpu4PedeIPMfwAAAP//AwBQSwECLQAUAAYACAAAACEA2+H2y+4AAACFAQAAEwAAAAAAAAAA&#10;AAAAAAAAAAAAW0NvbnRlbnRfVHlwZXNdLnhtbFBLAQItABQABgAIAAAAIQBa9CxbvwAAABUBAAAL&#10;AAAAAAAAAAAAAAAAAB8BAABfcmVscy8ucmVsc1BLAQItABQABgAIAAAAIQDD0fpzxQAAAN4AAAAP&#10;AAAAAAAAAAAAAAAAAAcCAABkcnMvZG93bnJldi54bWxQSwUGAAAAAAMAAwC3AAAA+QIAAAAA&#10;" filled="f" stroked="f">
                  <v:textbox inset="0,0,0,0">
                    <w:txbxContent>
                      <w:p w14:paraId="685C6B0A" w14:textId="77777777" w:rsidR="00B32EF2" w:rsidRDefault="00000000">
                        <w:r>
                          <w:rPr>
                            <w:rFonts w:ascii="Arial" w:eastAsia="Arial" w:hAnsi="Arial" w:cs="Arial"/>
                            <w:i/>
                            <w:sz w:val="18"/>
                          </w:rPr>
                          <w:t>-</w:t>
                        </w:r>
                      </w:p>
                    </w:txbxContent>
                  </v:textbox>
                </v:rect>
                <v:rect id="Rectangle 17118" o:spid="_x0000_s3026" style="position:absolute;left:-11225;top:28286;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m4ByAAAAN4AAAAPAAAAZHJzL2Rvd25yZXYueG1sRI9Pb8Iw&#10;DMXvk/YdIk/abaTdYUOFgBATWg+78GfSjlZj2kLjRE2g3T49PkziZus9v/fzfDm6Tl2pj61nA/kk&#10;A0VcedtybeCw37xMQcWEbLHzTAZ+KcJy8fgwx8L6gbd03aVaSQjHAg00KYVC61g15DBOfCAW7eh7&#10;h0nWvta2x0HCXadfs+xNO2xZGhoMtG6oOu8uzsDPB4dyM+jq+LcOX6dy2n1eDt/GPD+NqxmoRGO6&#10;m/+vSyv473kuvPKOzKAXNwAAAP//AwBQSwECLQAUAAYACAAAACEA2+H2y+4AAACFAQAAEwAAAAAA&#10;AAAAAAAAAAAAAAAAW0NvbnRlbnRfVHlwZXNdLnhtbFBLAQItABQABgAIAAAAIQBa9CxbvwAAABUB&#10;AAALAAAAAAAAAAAAAAAAAB8BAABfcmVscy8ucmVsc1BLAQItABQABgAIAAAAIQCyTm4ByAAAAN4A&#10;AAAPAAAAAAAAAAAAAAAAAAcCAABkcnMvZG93bnJldi54bWxQSwUGAAAAAAMAAwC3AAAA/AIAAAAA&#10;" filled="f" stroked="f">
                  <v:textbox inset="0,0,0,0">
                    <w:txbxContent>
                      <w:p w14:paraId="146485BD" w14:textId="77777777" w:rsidR="00B32EF2" w:rsidRDefault="00000000">
                        <w:r>
                          <w:rPr>
                            <w:rFonts w:ascii="Arial" w:eastAsia="Arial" w:hAnsi="Arial" w:cs="Arial"/>
                            <w:i/>
                            <w:sz w:val="18"/>
                          </w:rPr>
                          <w:t>tembre 1973, n. 600, e successive modificazioni, entro il termine di deca</w:t>
                        </w:r>
                      </w:p>
                    </w:txbxContent>
                  </v:textbox>
                </v:rect>
                <v:rect id="Rectangle 17119" o:spid="_x0000_s3027" style="position:absolute;left:657;top:2828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suaxAAAAN4AAAAPAAAAZHJzL2Rvd25yZXYueG1sRE9Na8JA&#10;EL0X/A/LCL3VTTy0NrqKKNIcvGgVPA7ZMYlmZ5fsalJ/fVco9DaP9zmzRW8acafW15YVpKMEBHFh&#10;dc2lgsP35m0CwgdkjY1lUvBDHhbzwcsMM2073tF9H0oRQ9hnqKAKwWVS+qIig35kHXHkzrY1GCJs&#10;S6lb7GK4aeQ4Sd6lwZpjQ4WOVhUV1/3NKDit2eWbThbnx8ptL/mk+bodjkq9DvvlFESgPvyL/9y5&#10;jvM/0vQTnu/EG+T8FwAA//8DAFBLAQItABQABgAIAAAAIQDb4fbL7gAAAIUBAAATAAAAAAAAAAAA&#10;AAAAAAAAAABbQ29udGVudF9UeXBlc10ueG1sUEsBAi0AFAAGAAgAAAAhAFr0LFu/AAAAFQEAAAsA&#10;AAAAAAAAAAAAAAAAHwEAAF9yZWxzLy5yZWxzUEsBAi0AFAAGAAgAAAAhAN0Cy5rEAAAA3gAAAA8A&#10;AAAAAAAAAAAAAAAABwIAAGRycy9kb3ducmV2LnhtbFBLBQYAAAAAAwADALcAAAD4AgAAAAA=&#10;" filled="f" stroked="f">
                  <v:textbox inset="0,0,0,0">
                    <w:txbxContent>
                      <w:p w14:paraId="06EEA961" w14:textId="77777777" w:rsidR="00B32EF2" w:rsidRDefault="00000000">
                        <w:r>
                          <w:rPr>
                            <w:rFonts w:ascii="Arial" w:eastAsia="Arial" w:hAnsi="Arial" w:cs="Arial"/>
                            <w:i/>
                            <w:sz w:val="18"/>
                          </w:rPr>
                          <w:t>-</w:t>
                        </w:r>
                      </w:p>
                    </w:txbxContent>
                  </v:textbox>
                </v:rect>
                <v:rect id="Rectangle 17120" o:spid="_x0000_s3028" style="position:absolute;left:-11215;top:27053;width:500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Ki6xwAAAN4AAAAPAAAAZHJzL2Rvd25yZXYueG1sRI9Pb8Iw&#10;DMXvk/YdIiPtNlI4DNQREGJC62GX8Ufa0WpMW2icqAm026efD0jcbPn5vfdbrAbXqht1sfFsYDLO&#10;QBGX3jZcGTjst69zUDEhW2w9k4FfirBaPj8tMLe+52+67VKlxIRjjgbqlEKudSxrchjHPhDL7eQ7&#10;h0nWrtK2w17MXaunWfamHTYsCTUG2tRUXnZXZ+Dng0Ox7XV5+tuEr3Mxbz+vh6MxL6Nh/Q4q0ZAe&#10;4vt3YaX+bDIVAMGRGfTyHwAA//8DAFBLAQItABQABgAIAAAAIQDb4fbL7gAAAIUBAAATAAAAAAAA&#10;AAAAAAAAAAAAAABbQ29udGVudF9UeXBlc10ueG1sUEsBAi0AFAAGAAgAAAAhAFr0LFu/AAAAFQEA&#10;AAsAAAAAAAAAAAAAAAAAHwEAAF9yZWxzLy5yZWxzUEsBAi0AFAAGAAgAAAAhAIJUqLrHAAAA3gAA&#10;AA8AAAAAAAAAAAAAAAAABwIAAGRycy9kb3ducmV2LnhtbFBLBQYAAAAAAwADALcAAAD7AgAAAAA=&#10;" filled="f" stroked="f">
                  <v:textbox inset="0,0,0,0">
                    <w:txbxContent>
                      <w:p w14:paraId="389B8C7C" w14:textId="77777777" w:rsidR="00B32EF2" w:rsidRDefault="00000000">
                        <w:r>
                          <w:rPr>
                            <w:rFonts w:ascii="Arial" w:eastAsia="Arial" w:hAnsi="Arial" w:cs="Arial"/>
                            <w:i/>
                            <w:sz w:val="18"/>
                          </w:rPr>
                          <w:t>denza previsto per la notificazione dell’atto impositivo. Tra la data di rice</w:t>
                        </w:r>
                      </w:p>
                    </w:txbxContent>
                  </v:textbox>
                </v:rect>
                <v:rect id="Rectangle 17121" o:spid="_x0000_s3029" style="position:absolute;left:657;top:2705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A0hxAAAAN4AAAAPAAAAZHJzL2Rvd25yZXYueG1sRE9Na8JA&#10;EL0X/A/LCL3VTTxUSV1FFDGHXrQRPA7ZMUnNzi7Z1aT99V1B6G0e73MWq8G04k6dbywrSCcJCOLS&#10;6oYrBcXX7m0Owgdkja1lUvBDHlbL0csCM217PtD9GCoRQ9hnqKAOwWVS+rImg35iHXHkLrYzGCLs&#10;Kqk77GO4aeU0Sd6lwYZjQ42ONjWV1+PNKDhv2eW7XpaX3437/M7n7f5WnJR6HQ/rDxCBhvAvfrpz&#10;HefP0mkKj3fiDXL5BwAA//8DAFBLAQItABQABgAIAAAAIQDb4fbL7gAAAIUBAAATAAAAAAAAAAAA&#10;AAAAAAAAAABbQ29udGVudF9UeXBlc10ueG1sUEsBAi0AFAAGAAgAAAAhAFr0LFu/AAAAFQEAAAsA&#10;AAAAAAAAAAAAAAAAHwEAAF9yZWxzLy5yZWxzUEsBAi0AFAAGAAgAAAAhAO0YDSHEAAAA3gAAAA8A&#10;AAAAAAAAAAAAAAAABwIAAGRycy9kb3ducmV2LnhtbFBLBQYAAAAAAwADALcAAAD4AgAAAAA=&#10;" filled="f" stroked="f">
                  <v:textbox inset="0,0,0,0">
                    <w:txbxContent>
                      <w:p w14:paraId="58DE6101" w14:textId="77777777" w:rsidR="00B32EF2" w:rsidRDefault="00000000">
                        <w:r>
                          <w:rPr>
                            <w:rFonts w:ascii="Arial" w:eastAsia="Arial" w:hAnsi="Arial" w:cs="Arial"/>
                            <w:i/>
                            <w:sz w:val="18"/>
                          </w:rPr>
                          <w:t>-</w:t>
                        </w:r>
                      </w:p>
                    </w:txbxContent>
                  </v:textbox>
                </v:rect>
                <v:rect id="Rectangle 17122" o:spid="_x0000_s3030" style="position:absolute;left:-12201;top:25820;width:510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pNWxAAAAN4AAAAPAAAAZHJzL2Rvd25yZXYueG1sRE9Na8JA&#10;EL0X/A/LCL3VjTlUSV1FFDGHXrQRPA7ZMUnNzi7Z1aT99V1B6G0e73MWq8G04k6dbywrmE4SEMSl&#10;1Q1XCoqv3dschA/IGlvLpOCHPKyWo5cFZtr2fKD7MVQihrDPUEEdgsuk9GVNBv3EOuLIXWxnMETY&#10;VVJ32Mdw08o0Sd6lwYZjQ42ONjWV1+PNKDhv2eW7XpaX3437/M7n7f5WnJR6HQ/rDxCBhvAvfrpz&#10;HefPpmkKj3fiDXL5BwAA//8DAFBLAQItABQABgAIAAAAIQDb4fbL7gAAAIUBAAATAAAAAAAAAAAA&#10;AAAAAAAAAABbQ29udGVudF9UeXBlc10ueG1sUEsBAi0AFAAGAAgAAAAhAFr0LFu/AAAAFQEAAAsA&#10;AAAAAAAAAAAAAAAAHwEAAF9yZWxzLy5yZWxzUEsBAi0AFAAGAAgAAAAhAB3Kk1bEAAAA3gAAAA8A&#10;AAAAAAAAAAAAAAAABwIAAGRycy9kb3ducmV2LnhtbFBLBQYAAAAAAwADALcAAAD4AgAAAAA=&#10;" filled="f" stroked="f">
                  <v:textbox inset="0,0,0,0">
                    <w:txbxContent>
                      <w:p w14:paraId="2FA309F6" w14:textId="77777777" w:rsidR="00B32EF2" w:rsidRDefault="00000000">
                        <w:r>
                          <w:rPr>
                            <w:rFonts w:ascii="Arial" w:eastAsia="Arial" w:hAnsi="Arial" w:cs="Arial"/>
                            <w:i/>
                            <w:sz w:val="18"/>
                          </w:rPr>
                          <w:t xml:space="preserve">vimento dei chiarimenti ovvero di inutile decorso del termine assegnato al </w:t>
                        </w:r>
                      </w:p>
                    </w:txbxContent>
                  </v:textbox>
                </v:rect>
                <v:rect id="Rectangle 17123" o:spid="_x0000_s3031" style="position:absolute;left:-11767;top:24587;width:5058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jbNxAAAAN4AAAAPAAAAZHJzL2Rvd25yZXYueG1sRE9Li8Iw&#10;EL4v+B/CCN7WVBd2pRpFFNkevKwP8Dg0Y1ttJqGJtvrrNwsL3ubje85s0Zla3KnxlWUFo2ECgji3&#10;uuJCwWG/eZ+A8AFZY22ZFDzIw2Lee5thqm3LP3TfhULEEPYpKihDcKmUPi/JoB9aRxy5s20Mhgib&#10;QuoG2xhuajlOkk9psOLYUKKjVUn5dXczCk5rdtmmlfn5uXLbSzapv2+Ho1KDfrecggjUhZf4353p&#10;OP9rNP6Av3fiDXL+CwAA//8DAFBLAQItABQABgAIAAAAIQDb4fbL7gAAAIUBAAATAAAAAAAAAAAA&#10;AAAAAAAAAABbQ29udGVudF9UeXBlc10ueG1sUEsBAi0AFAAGAAgAAAAhAFr0LFu/AAAAFQEAAAsA&#10;AAAAAAAAAAAAAAAAHwEAAF9yZWxzLy5yZWxzUEsBAi0AFAAGAAgAAAAhAHKGNs3EAAAA3gAAAA8A&#10;AAAAAAAAAAAAAAAABwIAAGRycy9kb3ducmV2LnhtbFBLBQYAAAAAAwADALcAAAD4AgAAAAA=&#10;" filled="f" stroked="f">
                  <v:textbox inset="0,0,0,0">
                    <w:txbxContent>
                      <w:p w14:paraId="56E466B8" w14:textId="77777777" w:rsidR="00B32EF2" w:rsidRDefault="00000000">
                        <w:r>
                          <w:rPr>
                            <w:rFonts w:ascii="Arial" w:eastAsia="Arial" w:hAnsi="Arial" w:cs="Arial"/>
                            <w:i/>
                            <w:sz w:val="18"/>
                          </w:rPr>
                          <w:t>contribuente per rispondere alla richiesta e quella di decadenza dell’ammi-</w:t>
                        </w:r>
                      </w:p>
                    </w:txbxContent>
                  </v:textbox>
                </v:rect>
                <v:rect id="Rectangle 17124" o:spid="_x0000_s3032" style="position:absolute;left:-12188;top:23353;width:510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665xAAAAN4AAAAPAAAAZHJzL2Rvd25yZXYueG1sRE9Li8Iw&#10;EL4v+B/CCN7WVFl2pRpFFNkevKwP8Dg0Y1ttJqGJtvrrNwsL3ubje85s0Zla3KnxlWUFo2ECgji3&#10;uuJCwWG/eZ+A8AFZY22ZFDzIw2Lee5thqm3LP3TfhULEEPYpKihDcKmUPi/JoB9aRxy5s20Mhgib&#10;QuoG2xhuajlOkk9psOLYUKKjVUn5dXczCk5rdtmmlfn5uXLbSzapv2+Ho1KDfrecggjUhZf4353p&#10;OP9rNP6Av3fiDXL+CwAA//8DAFBLAQItABQABgAIAAAAIQDb4fbL7gAAAIUBAAATAAAAAAAAAAAA&#10;AAAAAAAAAABbQ29udGVudF9UeXBlc10ueG1sUEsBAi0AFAAGAAgAAAAhAFr0LFu/AAAAFQEAAAsA&#10;AAAAAAAAAAAAAAAAHwEAAF9yZWxzLy5yZWxzUEsBAi0AFAAGAAgAAAAhAP1vrrnEAAAA3gAAAA8A&#10;AAAAAAAAAAAAAAAABwIAAGRycy9kb3ducmV2LnhtbFBLBQYAAAAAAwADALcAAAD4AgAAAAA=&#10;" filled="f" stroked="f">
                  <v:textbox inset="0,0,0,0">
                    <w:txbxContent>
                      <w:p w14:paraId="6FD5EB53" w14:textId="77777777" w:rsidR="00B32EF2" w:rsidRDefault="00000000">
                        <w:r>
                          <w:rPr>
                            <w:rFonts w:ascii="Arial" w:eastAsia="Arial" w:hAnsi="Arial" w:cs="Arial"/>
                            <w:i/>
                            <w:sz w:val="18"/>
                          </w:rPr>
                          <w:t xml:space="preserve">nistrazione dal potere di notificazione dell’atto impositivo intercorrono non </w:t>
                        </w:r>
                      </w:p>
                    </w:txbxContent>
                  </v:textbox>
                </v:rect>
                <v:rect id="Rectangle 17125" o:spid="_x0000_s3033" style="position:absolute;left:-11225;top:22120;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sixAAAAN4AAAAPAAAAZHJzL2Rvd25yZXYueG1sRE9Li8Iw&#10;EL4v+B/CCN7WVGF3pRpFFNkevKwP8Dg0Y1ttJqGJtvrrNwsL3ubje85s0Zla3KnxlWUFo2ECgji3&#10;uuJCwWG/eZ+A8AFZY22ZFDzIw2Lee5thqm3LP3TfhULEEPYpKihDcKmUPi/JoB9aRxy5s20Mhgib&#10;QuoG2xhuajlOkk9psOLYUKKjVUn5dXczCk5rdtmmlfn5uXLbSzapv2+Ho1KDfrecggjUhZf4353p&#10;OP9rNP6Av3fiDXL+CwAA//8DAFBLAQItABQABgAIAAAAIQDb4fbL7gAAAIUBAAATAAAAAAAAAAAA&#10;AAAAAAAAAABbQ29udGVudF9UeXBlc10ueG1sUEsBAi0AFAAGAAgAAAAhAFr0LFu/AAAAFQEAAAsA&#10;AAAAAAAAAAAAAAAAHwEAAF9yZWxzLy5yZWxzUEsBAi0AFAAGAAgAAAAhAJIjCyLEAAAA3gAAAA8A&#10;AAAAAAAAAAAAAAAABwIAAGRycy9kb3ducmV2LnhtbFBLBQYAAAAAAwADALcAAAD4AgAAAAA=&#10;" filled="f" stroked="f">
                  <v:textbox inset="0,0,0,0">
                    <w:txbxContent>
                      <w:p w14:paraId="49AF475C" w14:textId="77777777" w:rsidR="00B32EF2" w:rsidRDefault="00000000">
                        <w:r>
                          <w:rPr>
                            <w:rFonts w:ascii="Arial" w:eastAsia="Arial" w:hAnsi="Arial" w:cs="Arial"/>
                            <w:i/>
                            <w:sz w:val="18"/>
                          </w:rPr>
                          <w:t>meno di sessanta giorni. In difetto, il termine di decadenza per la notifica</w:t>
                        </w:r>
                      </w:p>
                    </w:txbxContent>
                  </v:textbox>
                </v:rect>
                <v:rect id="Rectangle 17126" o:spid="_x0000_s3034" style="position:absolute;left:657;top:2212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ZVVxAAAAN4AAAAPAAAAZHJzL2Rvd25yZXYueG1sRE9Li8Iw&#10;EL4v+B/CCHtbUz24Uo0iimwPXtYHeByasa02k9BEW/fXbwTB23x8z5ktOlOLOzW+sqxgOEhAEOdW&#10;V1woOOw3XxMQPiBrrC2Tggd5WMx7HzNMtW35l+67UIgYwj5FBWUILpXS5yUZ9APriCN3to3BEGFT&#10;SN1gG8NNLUdJMpYGK44NJTpalZRfdzej4LRml21amZ//Vm57ySb1z+1wVOqz3y2nIAJ14S1+uTMd&#10;538PR2N4vhNvkPN/AAAA//8DAFBLAQItABQABgAIAAAAIQDb4fbL7gAAAIUBAAATAAAAAAAAAAAA&#10;AAAAAAAAAABbQ29udGVudF9UeXBlc10ueG1sUEsBAi0AFAAGAAgAAAAhAFr0LFu/AAAAFQEAAAsA&#10;AAAAAAAAAAAAAAAAHwEAAF9yZWxzLy5yZWxzUEsBAi0AFAAGAAgAAAAhAGLxlVXEAAAA3gAAAA8A&#10;AAAAAAAAAAAAAAAABwIAAGRycy9kb3ducmV2LnhtbFBLBQYAAAAAAwADALcAAAD4AgAAAAA=&#10;" filled="f" stroked="f">
                  <v:textbox inset="0,0,0,0">
                    <w:txbxContent>
                      <w:p w14:paraId="253338AA" w14:textId="77777777" w:rsidR="00B32EF2" w:rsidRDefault="00000000">
                        <w:r>
                          <w:rPr>
                            <w:rFonts w:ascii="Arial" w:eastAsia="Arial" w:hAnsi="Arial" w:cs="Arial"/>
                            <w:i/>
                            <w:sz w:val="18"/>
                          </w:rPr>
                          <w:t>-</w:t>
                        </w:r>
                      </w:p>
                    </w:txbxContent>
                  </v:textbox>
                </v:rect>
                <v:rect id="Rectangle 17127" o:spid="_x0000_s3035" style="position:absolute;left:-12201;top:20887;width:51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TDOxAAAAN4AAAAPAAAAZHJzL2Rvd25yZXYueG1sRE9Li8Iw&#10;EL4v+B/CCN7WVA+rVKOIItuDl/UBHodmbKvNJDTRVn/9ZmHB23x8z5kvO1OLBzW+sqxgNExAEOdW&#10;V1woOB62n1MQPiBrrC2Tgid5WC56H3NMtW35hx77UIgYwj5FBWUILpXS5yUZ9EPriCN3sY3BEGFT&#10;SN1gG8NNLcdJ8iUNVhwbSnS0Lim/7e9GwXnDLtu2Mr+81m53zab19/14UmrQ71YzEIG68Bb/uzMd&#10;509G4wn8vRNvkItfAAAA//8DAFBLAQItABQABgAIAAAAIQDb4fbL7gAAAIUBAAATAAAAAAAAAAAA&#10;AAAAAAAAAABbQ29udGVudF9UeXBlc10ueG1sUEsBAi0AFAAGAAgAAAAhAFr0LFu/AAAAFQEAAAsA&#10;AAAAAAAAAAAAAAAAHwEAAF9yZWxzLy5yZWxzUEsBAi0AFAAGAAgAAAAhAA29MM7EAAAA3gAAAA8A&#10;AAAAAAAAAAAAAAAABwIAAGRycy9kb3ducmV2LnhtbFBLBQYAAAAAAwADALcAAAD4AgAAAAA=&#10;" filled="f" stroked="f">
                  <v:textbox inset="0,0,0,0">
                    <w:txbxContent>
                      <w:p w14:paraId="758F22A6" w14:textId="77777777" w:rsidR="00B32EF2" w:rsidRDefault="00000000">
                        <w:r>
                          <w:rPr>
                            <w:rFonts w:ascii="Arial" w:eastAsia="Arial" w:hAnsi="Arial" w:cs="Arial"/>
                            <w:i/>
                            <w:sz w:val="18"/>
                          </w:rPr>
                          <w:t xml:space="preserve">zione dell’atto impositivo è automaticamente prorogato, in deroga a quello </w:t>
                        </w:r>
                      </w:p>
                    </w:txbxContent>
                  </v:textbox>
                </v:rect>
                <v:rect id="Rectangle 17128" o:spid="_x0000_s3036" style="position:absolute;left:5614;top:19653;width:332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qS8xwAAAN4AAAAPAAAAZHJzL2Rvd25yZXYueG1sRI9Pb8Iw&#10;DMXvk/YdIiPtNlI4DNQREGJC62GX8Ufa0WpMW2icqAm026efD0jcbL3n935erAbXqht1sfFsYDLO&#10;QBGX3jZcGTjst69zUDEhW2w9k4FfirBaPj8tMLe+52+67VKlJIRjjgbqlEKudSxrchjHPhCLdvKd&#10;wyRrV2nbYS/hrtXTLHvTDhuWhhoDbWoqL7urM/DzwaHY9ro8/W3C17mYt5/Xw9GYl9GwfgeVaEgP&#10;8/26sII/m0yFV96RGfTyHwAA//8DAFBLAQItABQABgAIAAAAIQDb4fbL7gAAAIUBAAATAAAAAAAA&#10;AAAAAAAAAAAAAABbQ29udGVudF9UeXBlc10ueG1sUEsBAi0AFAAGAAgAAAAhAFr0LFu/AAAAFQEA&#10;AAsAAAAAAAAAAAAAAAAAHwEAAF9yZWxzLy5yZWxzUEsBAi0AFAAGAAgAAAAhAHwipLzHAAAA3gAA&#10;AA8AAAAAAAAAAAAAAAAABwIAAGRycy9kb3ducmV2LnhtbFBLBQYAAAAAAwADALcAAAD7AgAAAAA=&#10;" filled="f" stroked="f">
                  <v:textbox inset="0,0,0,0">
                    <w:txbxContent>
                      <w:p w14:paraId="6C8D76C4" w14:textId="77777777" w:rsidR="00B32EF2" w:rsidRDefault="00000000">
                        <w:r>
                          <w:rPr>
                            <w:rFonts w:ascii="Arial" w:eastAsia="Arial" w:hAnsi="Arial" w:cs="Arial"/>
                            <w:i/>
                            <w:sz w:val="18"/>
                          </w:rPr>
                          <w:t>ordinario, fino a concorrenza dei sessanta giorni.</w:t>
                        </w:r>
                      </w:p>
                    </w:txbxContent>
                  </v:textbox>
                </v:rect>
                <v:rect id="Rectangle 200293" o:spid="_x0000_s3037" style="position:absolute;left:25764;top:18420;width:500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qRmxwAAAN8AAAAPAAAAZHJzL2Rvd25yZXYueG1sRI9PawIx&#10;FMTvBb9DeEJvNauFYlezIop0D15qFTw+Nm//6OYlbKK79dM3hUKPw8z8hlmuBtOKO3W+saxgOklA&#10;EBdWN1wpOH7tXuYgfEDW2FomBd/kYZWNnpaYatvzJ90PoRIRwj5FBXUILpXSFzUZ9BPriKNX2s5g&#10;iLKrpO6wj3DTylmSvEmDDceFGh1taiquh5tRcN6yy3e9LMrHxu0v+bz9uB1PSj2Ph/UCRKAh/If/&#10;2rlWEImz91f4/RO/gMx+AAAA//8DAFBLAQItABQABgAIAAAAIQDb4fbL7gAAAIUBAAATAAAAAAAA&#10;AAAAAAAAAAAAAABbQ29udGVudF9UeXBlc10ueG1sUEsBAi0AFAAGAAgAAAAhAFr0LFu/AAAAFQEA&#10;AAsAAAAAAAAAAAAAAAAAHwEAAF9yZWxzLy5yZWxzUEsBAi0AFAAGAAgAAAAhAOpypGbHAAAA3wAA&#10;AA8AAAAAAAAAAAAAAAAABwIAAGRycy9kb3ducmV2LnhtbFBLBQYAAAAAAwADALcAAAD7AgAAAAA=&#10;" filled="f" stroked="f">
                  <v:textbox inset="0,0,0,0">
                    <w:txbxContent>
                      <w:p w14:paraId="786BB4DE" w14:textId="77777777" w:rsidR="00B32EF2" w:rsidRDefault="00000000">
                        <w:r>
                          <w:rPr>
                            <w:rFonts w:ascii="Arial" w:eastAsia="Arial" w:hAnsi="Arial" w:cs="Arial"/>
                            <w:i/>
                            <w:sz w:val="18"/>
                          </w:rPr>
                          <w:t>8</w:t>
                        </w:r>
                      </w:p>
                    </w:txbxContent>
                  </v:textbox>
                </v:rect>
                <v:rect id="Rectangle 200294" o:spid="_x0000_s3038" style="position:absolute;left:-11892;top:18420;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zwSxwAAAN8AAAAPAAAAZHJzL2Rvd25yZXYueG1sRI9PawIx&#10;FMTvBb9DeEJvNauUYlezIop0D15qFTw+Nm//6OYlbKK79dM3hUKPw8z8hlmuBtOKO3W+saxgOklA&#10;EBdWN1wpOH7tXuYgfEDW2FomBd/kYZWNnpaYatvzJ90PoRIRwj5FBXUILpXSFzUZ9BPriKNX2s5g&#10;iLKrpO6wj3DTylmSvEmDDceFGh1taiquh5tRcN6yy3e9LMrHxu0v+bz9uB1PSj2Ph/UCRKAh/If/&#10;2rlWEImz91f4/RO/gMx+AAAA//8DAFBLAQItABQABgAIAAAAIQDb4fbL7gAAAIUBAAATAAAAAAAA&#10;AAAAAAAAAAAAAABbQ29udGVudF9UeXBlc10ueG1sUEsBAi0AFAAGAAgAAAAhAFr0LFu/AAAAFQEA&#10;AAsAAAAAAAAAAAAAAAAAHwEAAF9yZWxzLy5yZWxzUEsBAi0AFAAGAAgAAAAhAGWbPBLHAAAA3wAA&#10;AA8AAAAAAAAAAAAAAAAABwIAAGRycy9kb3ducmV2LnhtbFBLBQYAAAAAAwADALcAAAD7AgAAAAA=&#10;" filled="f" stroked="f">
                  <v:textbox inset="0,0,0,0">
                    <w:txbxContent>
                      <w:p w14:paraId="34F02BDF" w14:textId="77777777" w:rsidR="00B32EF2" w:rsidRDefault="00000000">
                        <w:r>
                          <w:rPr>
                            <w:rFonts w:ascii="Arial" w:eastAsia="Arial" w:hAnsi="Arial" w:cs="Arial"/>
                            <w:i/>
                            <w:sz w:val="18"/>
                          </w:rPr>
                          <w:t>. Fermo quanto disposto per i singoli tributi, l’atto impositivo è specifica</w:t>
                        </w:r>
                      </w:p>
                    </w:txbxContent>
                  </v:textbox>
                </v:rect>
                <v:rect id="Rectangle 17130" o:spid="_x0000_s3039" style="position:absolute;left:657;top:1842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T5nyAAAAN4AAAAPAAAAZHJzL2Rvd25yZXYueG1sRI9Pa8JA&#10;EMXvhX6HZQq91Y0tWImuIhZpDr34p9DjkB2TaHZ2ya4m7ad3DkJvM8yb995vvhxcq67UxcazgfEo&#10;A0VcettwZeCw37xMQcWEbLH1TAZ+KcJy8fgwx9z6nrd03aVKiQnHHA3UKYVc61jW5DCOfCCW29F3&#10;DpOsXaVth72Yu1a/ZtlEO2xYEmoMtK6pPO8uzsDPB4di0+vy+LcOX6di2n5eDt/GPD8NqxmoREP6&#10;F9+/Cyv138dvAiA4MoNe3AAAAP//AwBQSwECLQAUAAYACAAAACEA2+H2y+4AAACFAQAAEwAAAAAA&#10;AAAAAAAAAAAAAAAAW0NvbnRlbnRfVHlwZXNdLnhtbFBLAQItABQABgAIAAAAIQBa9CxbvwAAABUB&#10;AAALAAAAAAAAAAAAAAAAAB8BAABfcmVscy8ucmVsc1BLAQItABQABgAIAAAAIQAHjT5nyAAAAN4A&#10;AAAPAAAAAAAAAAAAAAAAAAcCAABkcnMvZG93bnJldi54bWxQSwUGAAAAAAMAAwC3AAAA/AIAAAAA&#10;" filled="f" stroked="f">
                  <v:textbox inset="0,0,0,0">
                    <w:txbxContent>
                      <w:p w14:paraId="4EA710E4" w14:textId="77777777" w:rsidR="00B32EF2" w:rsidRDefault="00000000">
                        <w:r>
                          <w:rPr>
                            <w:rFonts w:ascii="Arial" w:eastAsia="Arial" w:hAnsi="Arial" w:cs="Arial"/>
                            <w:i/>
                            <w:sz w:val="18"/>
                          </w:rPr>
                          <w:t>-</w:t>
                        </w:r>
                      </w:p>
                    </w:txbxContent>
                  </v:textbox>
                </v:rect>
                <v:rect id="Rectangle 17131" o:spid="_x0000_s3040" style="position:absolute;left:-12227;top:17187;width:511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Zv8xAAAAN4AAAAPAAAAZHJzL2Rvd25yZXYueG1sRE9Na8JA&#10;EL0X/A/LCN7qJhZaia4iijQHL7UKHofsmESzs0t2NdFf3y0UepvH+5z5sjeNuFPra8sK0nECgriw&#10;uuZSweF7+zoF4QOyxsYyKXiQh+Vi8DLHTNuOv+i+D6WIIewzVFCF4DIpfVGRQT+2jjhyZ9saDBG2&#10;pdQtdjHcNHKSJO/SYM2xoUJH64qK6/5mFJw27PJtJ4vzc+12l3zafN4OR6VGw341AxGoD//iP3eu&#10;4/yP9C2F33fiDXLxAwAA//8DAFBLAQItABQABgAIAAAAIQDb4fbL7gAAAIUBAAATAAAAAAAAAAAA&#10;AAAAAAAAAABbQ29udGVudF9UeXBlc10ueG1sUEsBAi0AFAAGAAgAAAAhAFr0LFu/AAAAFQEAAAsA&#10;AAAAAAAAAAAAAAAAHwEAAF9yZWxzLy5yZWxzUEsBAi0AFAAGAAgAAAAhAGjBm/zEAAAA3gAAAA8A&#10;AAAAAAAAAAAAAAAABwIAAGRycy9kb3ducmV2LnhtbFBLBQYAAAAAAwADALcAAAD4AgAAAAA=&#10;" filled="f" stroked="f">
                  <v:textbox inset="0,0,0,0">
                    <w:txbxContent>
                      <w:p w14:paraId="00CB1365" w14:textId="77777777" w:rsidR="00B32EF2" w:rsidRDefault="00000000">
                        <w:r>
                          <w:rPr>
                            <w:rFonts w:ascii="Arial" w:eastAsia="Arial" w:hAnsi="Arial" w:cs="Arial"/>
                            <w:i/>
                            <w:sz w:val="18"/>
                          </w:rPr>
                          <w:t xml:space="preserve">mente motivato, a pena di nullità, in relazione alla condotta abusiva, alle </w:t>
                        </w:r>
                      </w:p>
                    </w:txbxContent>
                  </v:textbox>
                </v:rect>
                <v:rect id="Rectangle 17132" o:spid="_x0000_s3041" style="position:absolute;left:-12190;top:15953;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wWLxAAAAN4AAAAPAAAAZHJzL2Rvd25yZXYueG1sRE9Li8Iw&#10;EL4v+B/CCN7WVBd2pRpFFNkevKwP8Dg0Y1ttJqGJtvrrNwsL3ubje85s0Zla3KnxlWUFo2ECgji3&#10;uuJCwWG/eZ+A8AFZY22ZFDzIw2Lee5thqm3LP3TfhULEEPYpKihDcKmUPi/JoB9aRxy5s20Mhgib&#10;QuoG2xhuajlOkk9psOLYUKKjVUn5dXczCk5rdtmmlfn5uXLbSzapv2+Ho1KDfrecggjUhZf4353p&#10;OP9r9DGGv3fiDXL+CwAA//8DAFBLAQItABQABgAIAAAAIQDb4fbL7gAAAIUBAAATAAAAAAAAAAAA&#10;AAAAAAAAAABbQ29udGVudF9UeXBlc10ueG1sUEsBAi0AFAAGAAgAAAAhAFr0LFu/AAAAFQEAAAsA&#10;AAAAAAAAAAAAAAAAHwEAAF9yZWxzLy5yZWxzUEsBAi0AFAAGAAgAAAAhAJgTBYvEAAAA3gAAAA8A&#10;AAAAAAAAAAAAAAAABwIAAGRycy9kb3ducmV2LnhtbFBLBQYAAAAAAwADALcAAAD4AgAAAAA=&#10;" filled="f" stroked="f">
                  <v:textbox inset="0,0,0,0">
                    <w:txbxContent>
                      <w:p w14:paraId="51CE50E0" w14:textId="77777777" w:rsidR="00B32EF2" w:rsidRDefault="00000000">
                        <w:r>
                          <w:rPr>
                            <w:rFonts w:ascii="Arial" w:eastAsia="Arial" w:hAnsi="Arial" w:cs="Arial"/>
                            <w:i/>
                            <w:sz w:val="18"/>
                          </w:rPr>
                          <w:t xml:space="preserve">norme o ai principi elusi, agli indebiti vantaggi fiscali realizzati, nonchè ai </w:t>
                        </w:r>
                      </w:p>
                    </w:txbxContent>
                  </v:textbox>
                </v:rect>
                <v:rect id="Rectangle 17133" o:spid="_x0000_s3042" style="position:absolute;left:-5096;top:14720;width:439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6AQxAAAAN4AAAAPAAAAZHJzL2Rvd25yZXYueG1sRE9Li8Iw&#10;EL4L+x/CLHjT1BVWqUZZXGR78LI+wOPQjG21mYQm2uqv3ywI3ubje8582Zla3KjxlWUFo2ECgji3&#10;uuJCwX63HkxB+ICssbZMCu7kYbl4680x1bblX7ptQyFiCPsUFZQhuFRKn5dk0A+tI47cyTYGQ4RN&#10;IXWDbQw3tfxIkk9psOLYUKKjVUn5ZXs1Co7f7LJ1K/PTY+U252xa/1z3B6X6793XDESgLrzET3em&#10;4/zJaDyG/3fiDXLxBwAA//8DAFBLAQItABQABgAIAAAAIQDb4fbL7gAAAIUBAAATAAAAAAAAAAAA&#10;AAAAAAAAAABbQ29udGVudF9UeXBlc10ueG1sUEsBAi0AFAAGAAgAAAAhAFr0LFu/AAAAFQEAAAsA&#10;AAAAAAAAAAAAAAAAHwEAAF9yZWxzLy5yZWxzUEsBAi0AFAAGAAgAAAAhAPdfoBDEAAAA3gAAAA8A&#10;AAAAAAAAAAAAAAAABwIAAGRycy9kb3ducmV2LnhtbFBLBQYAAAAAAwADALcAAAD4AgAAAAA=&#10;" filled="f" stroked="f">
                  <v:textbox inset="0,0,0,0">
                    <w:txbxContent>
                      <w:p w14:paraId="1DD62C9D" w14:textId="77777777" w:rsidR="00B32EF2" w:rsidRDefault="00000000">
                        <w:r>
                          <w:rPr>
                            <w:rFonts w:ascii="Arial" w:eastAsia="Arial" w:hAnsi="Arial" w:cs="Arial"/>
                            <w:i/>
                            <w:sz w:val="18"/>
                          </w:rPr>
                          <w:t>chiarimenti forniti dal contribuente nel termine di cui al comma 6.</w:t>
                        </w:r>
                      </w:p>
                    </w:txbxContent>
                  </v:textbox>
                </v:rect>
                <v:rect id="Rectangle 200292" o:spid="_x0000_s3043" style="position:absolute;left:-11869;top:13487;width:500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gH9xgAAAN8AAAAPAAAAZHJzL2Rvd25yZXYueG1sRI9Ba8JA&#10;FITvhf6H5RV6q5vmUGx0laKIOfSijeDxkX0m0ezbJbua1F/vCoLHYWa+YabzwbTiQp1vLCv4HCUg&#10;iEurG64UFH+rjzEIH5A1tpZJwT95mM9eX6aYadvzhi7bUIkIYZ+hgjoEl0npy5oM+pF1xNE72M5g&#10;iLKrpO6wj3DTyjRJvqTBhuNCjY4WNZWn7dko2C/Z5atelofrwv0e83G7Phc7pd7fhp8JiEBDeIYf&#10;7VwriMT0O4X7n/gF5OwGAAD//wMAUEsBAi0AFAAGAAgAAAAhANvh9svuAAAAhQEAABMAAAAAAAAA&#10;AAAAAAAAAAAAAFtDb250ZW50X1R5cGVzXS54bWxQSwECLQAUAAYACAAAACEAWvQsW78AAAAVAQAA&#10;CwAAAAAAAAAAAAAAAAAfAQAAX3JlbHMvLnJlbHNQSwECLQAUAAYACAAAACEAhT4B/cYAAADfAAAA&#10;DwAAAAAAAAAAAAAAAAAHAgAAZHJzL2Rvd25yZXYueG1sUEsFBgAAAAADAAMAtwAAAPoCAAAAAA==&#10;" filled="f" stroked="f">
                  <v:textbox inset="0,0,0,0">
                    <w:txbxContent>
                      <w:p w14:paraId="3BFC5E0D" w14:textId="77777777" w:rsidR="00B32EF2" w:rsidRDefault="00000000">
                        <w:r>
                          <w:rPr>
                            <w:rFonts w:ascii="Arial" w:eastAsia="Arial" w:hAnsi="Arial" w:cs="Arial"/>
                            <w:i/>
                            <w:sz w:val="18"/>
                          </w:rPr>
                          <w:t>. L’amministrazione finanziaria ha l’onere di dimostrare la sussistenza del</w:t>
                        </w:r>
                      </w:p>
                    </w:txbxContent>
                  </v:textbox>
                </v:rect>
                <v:rect id="Rectangle 200291" o:spid="_x0000_s3044" style="position:absolute;left:25764;top:13487;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J+KxwAAAN8AAAAPAAAAZHJzL2Rvd25yZXYueG1sRI/NasMw&#10;EITvhb6D2EJujZwcgutGCSUl1Idc4qbQ42JtbLfWSljyT/r0VSCQ4zAz3zDr7WRaMVDnG8sKFvME&#10;BHFpdcOVgtPn/jkF4QOyxtYyKbiQh+3m8WGNmbYjH2koQiUihH2GCuoQXCalL2sy6OfWEUfvbDuD&#10;IcqukrrDMcJNK5dJspIGG44LNTra1VT+Fr1R8P3OLt+Psjz/7dzhJ0/bj/70pdTsaXp7BRFoCvfw&#10;rZ1rBZG4fFnA9U/8AnLzDwAA//8DAFBLAQItABQABgAIAAAAIQDb4fbL7gAAAIUBAAATAAAAAAAA&#10;AAAAAAAAAAAAAABbQ29udGVudF9UeXBlc10ueG1sUEsBAi0AFAAGAAgAAAAhAFr0LFu/AAAAFQEA&#10;AAsAAAAAAAAAAAAAAAAAHwEAAF9yZWxzLy5yZWxzUEsBAi0AFAAGAAgAAAAhAHXsn4rHAAAA3wAA&#10;AA8AAAAAAAAAAAAAAAAABwIAAGRycy9kb3ducmV2LnhtbFBLBQYAAAAAAwADALcAAAD7AgAAAAA=&#10;" filled="f" stroked="f">
                  <v:textbox inset="0,0,0,0">
                    <w:txbxContent>
                      <w:p w14:paraId="2B2BB475" w14:textId="77777777" w:rsidR="00B32EF2" w:rsidRDefault="00000000">
                        <w:r>
                          <w:rPr>
                            <w:rFonts w:ascii="Arial" w:eastAsia="Arial" w:hAnsi="Arial" w:cs="Arial"/>
                            <w:i/>
                            <w:sz w:val="18"/>
                          </w:rPr>
                          <w:t>9</w:t>
                        </w:r>
                      </w:p>
                    </w:txbxContent>
                  </v:textbox>
                </v:rect>
                <v:rect id="Rectangle 17135" o:spid="_x0000_s3045" style="position:absolute;left:657;top:1348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3/xQAAAN4AAAAPAAAAZHJzL2Rvd25yZXYueG1sRE9La8JA&#10;EL4X/A/LCN7qxkpVoquIRZpDL/UBHofsmESzs0t2NWl/fbcgeJuP7zmLVWdqcafGV5YVjIYJCOLc&#10;6ooLBYf99nUGwgdkjbVlUvBDHlbL3ssCU21b/qb7LhQihrBPUUEZgkul9HlJBv3QOuLInW1jMETY&#10;FFI32MZwU8u3JJlIgxXHhhIdbUrKr7ubUXD6YJdtW5mffzfu65LN6s/b4ajUoN+t5yACdeEpfrgz&#10;HedPR+N3+H8n3iCXfwAAAP//AwBQSwECLQAUAAYACAAAACEA2+H2y+4AAACFAQAAEwAAAAAAAAAA&#10;AAAAAAAAAAAAW0NvbnRlbnRfVHlwZXNdLnhtbFBLAQItABQABgAIAAAAIQBa9CxbvwAAABUBAAAL&#10;AAAAAAAAAAAAAAAAAB8BAABfcmVscy8ucmVsc1BLAQItABQABgAIAAAAIQAX+p3/xQAAAN4AAAAP&#10;AAAAAAAAAAAAAAAAAAcCAABkcnMvZG93bnJldi54bWxQSwUGAAAAAAMAAwC3AAAA+QIAAAAA&#10;" filled="f" stroked="f">
                  <v:textbox inset="0,0,0,0">
                    <w:txbxContent>
                      <w:p w14:paraId="68C21F3B" w14:textId="77777777" w:rsidR="00B32EF2" w:rsidRDefault="00000000">
                        <w:r>
                          <w:rPr>
                            <w:rFonts w:ascii="Arial" w:eastAsia="Arial" w:hAnsi="Arial" w:cs="Arial"/>
                            <w:i/>
                            <w:sz w:val="18"/>
                          </w:rPr>
                          <w:t>-</w:t>
                        </w:r>
                      </w:p>
                    </w:txbxContent>
                  </v:textbox>
                </v:rect>
                <v:rect id="Rectangle 17136" o:spid="_x0000_s3046" style="position:absolute;left:-12189;top:12254;width:5100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AOIxAAAAN4AAAAPAAAAZHJzL2Rvd25yZXYueG1sRE9Li8Iw&#10;EL4v7H8Is+BtTV1BpRplcZHtwcv6AI9DM7bVZhKaaKu/3iwI3ubje85s0ZlaXKnxlWUFg34Cgji3&#10;uuJCwW67+pyA8AFZY22ZFNzIw2L+/jbDVNuW/+i6CYWIIexTVFCG4FIpfV6SQd+3jjhyR9sYDBE2&#10;hdQNtjHc1PIrSUbSYMWxoURHy5Ly8+ZiFBx+2GWrVubH+9KtT9mk/r3s9kr1PrrvKYhAXXiJn+5M&#10;x/njwXAE/+/EG+T8AQAA//8DAFBLAQItABQABgAIAAAAIQDb4fbL7gAAAIUBAAATAAAAAAAAAAAA&#10;AAAAAAAAAABbQ29udGVudF9UeXBlc10ueG1sUEsBAi0AFAAGAAgAAAAhAFr0LFu/AAAAFQEAAAsA&#10;AAAAAAAAAAAAAAAAHwEAAF9yZWxzLy5yZWxzUEsBAi0AFAAGAAgAAAAhAOcoA4jEAAAA3gAAAA8A&#10;AAAAAAAAAAAAAAAABwIAAGRycy9kb3ducmV2LnhtbFBLBQYAAAAAAwADALcAAAD4AgAAAAA=&#10;" filled="f" stroked="f">
                  <v:textbox inset="0,0,0,0">
                    <w:txbxContent>
                      <w:p w14:paraId="5F8890B3" w14:textId="77777777" w:rsidR="00B32EF2" w:rsidRDefault="00000000">
                        <w:r>
                          <w:rPr>
                            <w:rFonts w:ascii="Arial" w:eastAsia="Arial" w:hAnsi="Arial" w:cs="Arial"/>
                            <w:i/>
                            <w:sz w:val="18"/>
                          </w:rPr>
                          <w:t xml:space="preserve">la condotta abusiva, non rilevabile d’ufficio, in relazione agli elementi di cui </w:t>
                        </w:r>
                      </w:p>
                    </w:txbxContent>
                  </v:textbox>
                </v:rect>
                <v:rect id="Rectangle 17137" o:spid="_x0000_s3047" style="position:absolute;left:-12241;top:11020;width:512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KYTxAAAAN4AAAAPAAAAZHJzL2Rvd25yZXYueG1sRE9Li8Iw&#10;EL4v7H8Is+BtTVVYpRplcRF72Isv8Dg0Y1ttJqGJtvrrzcKCt/n4njNbdKYWN2p8ZVnBoJ+AIM6t&#10;rrhQsN+tPicgfEDWWFsmBXfysJi/v80w1bblDd22oRAxhH2KCsoQXCqlz0sy6PvWEUfuZBuDIcKm&#10;kLrBNoabWg6T5EsarDg2lOhoWVJ+2V6NguMPu2zVyvz0WLrfczap19f9QaneR/c9BRGoCy/xvzvT&#10;cf54MBrD3zvxBjl/AgAA//8DAFBLAQItABQABgAIAAAAIQDb4fbL7gAAAIUBAAATAAAAAAAAAAAA&#10;AAAAAAAAAABbQ29udGVudF9UeXBlc10ueG1sUEsBAi0AFAAGAAgAAAAhAFr0LFu/AAAAFQEAAAsA&#10;AAAAAAAAAAAAAAAAHwEAAF9yZWxzLy5yZWxzUEsBAi0AFAAGAAgAAAAhAIhkphPEAAAA3gAAAA8A&#10;AAAAAAAAAAAAAAAABwIAAGRycy9kb3ducmV2LnhtbFBLBQYAAAAAAwADALcAAAD4AgAAAAA=&#10;" filled="f" stroked="f">
                  <v:textbox inset="0,0,0,0">
                    <w:txbxContent>
                      <w:p w14:paraId="230A06E8" w14:textId="77777777" w:rsidR="00B32EF2" w:rsidRDefault="00000000">
                        <w:r>
                          <w:rPr>
                            <w:rFonts w:ascii="Arial" w:eastAsia="Arial" w:hAnsi="Arial" w:cs="Arial"/>
                            <w:i/>
                            <w:sz w:val="18"/>
                          </w:rPr>
                          <w:t xml:space="preserve">ai commi 1 e 2. Il contribuente ha l’onere di dimostrare l’esistenza delle </w:t>
                        </w:r>
                      </w:p>
                    </w:txbxContent>
                  </v:textbox>
                </v:rect>
                <v:rect id="Rectangle 17138" o:spid="_x0000_s3048" style="position:absolute;left:13608;top:9787;width:252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JhyAAAAN4AAAAPAAAAZHJzL2Rvd25yZXYueG1sRI9Pa8JA&#10;EMXvhX6HZQq91Y0tWImuIhZpDr34p9DjkB2TaHZ2ya4m7ad3DkJvM7w37/1mvhxcq67UxcazgfEo&#10;A0VcettwZeCw37xMQcWEbLH1TAZ+KcJy8fgwx9z6nrd03aVKSQjHHA3UKYVc61jW5DCOfCAW7eg7&#10;h0nWrtK2w17CXatfs2yiHTYsDTUGWtdUnncXZ+Dng0Ox6XV5/FuHr1MxbT8vh29jnp+G1QxUoiH9&#10;m+/XhRX89/Gb8Mo7MoNe3AAAAP//AwBQSwECLQAUAAYACAAAACEA2+H2y+4AAACFAQAAEwAAAAAA&#10;AAAAAAAAAAAAAAAAW0NvbnRlbnRfVHlwZXNdLnhtbFBLAQItABQABgAIAAAAIQBa9CxbvwAAABUB&#10;AAALAAAAAAAAAAAAAAAAAB8BAABfcmVscy8ucmVsc1BLAQItABQABgAIAAAAIQD5+zJhyAAAAN4A&#10;AAAPAAAAAAAAAAAAAAAAAAcCAABkcnMvZG93bnJldi54bWxQSwUGAAAAAAMAAwC3AAAA/AIAAAAA&#10;" filled="f" stroked="f">
                  <v:textbox inset="0,0,0,0">
                    <w:txbxContent>
                      <w:p w14:paraId="6B9B06EC" w14:textId="77777777" w:rsidR="00B32EF2" w:rsidRDefault="00000000">
                        <w:r>
                          <w:rPr>
                            <w:rFonts w:ascii="Arial" w:eastAsia="Arial" w:hAnsi="Arial" w:cs="Arial"/>
                            <w:i/>
                            <w:sz w:val="18"/>
                          </w:rPr>
                          <w:t>ragioni extrafiscali di cui al comma 3.</w:t>
                        </w:r>
                      </w:p>
                    </w:txbxContent>
                  </v:textbox>
                </v:rect>
                <v:rect id="Rectangle 200289" o:spid="_x0000_s3049" style="position:absolute;left:24883;top:8554;width:511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wVRxgAAAN8AAAAPAAAAZHJzL2Rvd25yZXYueG1sRI9Ba8JA&#10;FITvhf6H5RV6q5t6KGl0laKIOfSijeDxkX0m0ezbJbua1F/vCoLHYWa+YabzwbTiQp1vLCv4HCUg&#10;iEurG64UFH+rjxSED8gaW8uk4J88zGevL1PMtO15Q5dtqESEsM9QQR2Cy6T0ZU0G/cg64ugdbGcw&#10;RNlVUnfYR7hp5ThJvqTBhuNCjY4WNZWn7dko2C/Z5atelofrwv0e87Rdn4udUu9vw88ERKAhPMOP&#10;dq4VROI4/Yb7n/gF5OwGAAD//wMAUEsBAi0AFAAGAAgAAAAhANvh9svuAAAAhQEAABMAAAAAAAAA&#10;AAAAAAAAAAAAAFtDb250ZW50X1R5cGVzXS54bWxQSwECLQAUAAYACAAAACEAWvQsW78AAAAVAQAA&#10;CwAAAAAAAAAAAAAAAAAfAQAAX3JlbHMvLnJlbHNQSwECLQAUAAYACAAAACEADkMFUcYAAADfAAAA&#10;DwAAAAAAAAAAAAAAAAAHAgAAZHJzL2Rvd25yZXYueG1sUEsFBgAAAAADAAMAtwAAAPoCAAAAAA==&#10;" filled="f" stroked="f">
                  <v:textbox inset="0,0,0,0">
                    <w:txbxContent>
                      <w:p w14:paraId="0EF37EC6" w14:textId="77777777" w:rsidR="00B32EF2" w:rsidRDefault="00000000">
                        <w:r>
                          <w:rPr>
                            <w:rFonts w:ascii="Arial" w:eastAsia="Arial" w:hAnsi="Arial" w:cs="Arial"/>
                            <w:i/>
                            <w:sz w:val="18"/>
                          </w:rPr>
                          <w:t>10</w:t>
                        </w:r>
                      </w:p>
                    </w:txbxContent>
                  </v:textbox>
                </v:rect>
                <v:rect id="Rectangle 200290" o:spid="_x0000_s3050" style="position:absolute;left:-13482;top:8554;width:511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DoRxgAAAN8AAAAPAAAAZHJzL2Rvd25yZXYueG1sRI9Ba8JA&#10;EIXvhf6HZQq91U09iE1dRSxiDl60FnocsmOSmp1dsqtJ/fXOQfA4vHnf45stBteqC3Wx8WzgfZSB&#10;Ii69bbgycPhev01BxYRssfVMBv4pwmL+/DTD3Pqed3TZp0oJhGOOBuqUQq51LGtyGEc+EEt29J3D&#10;JGdXadthL3DX6nGWTbTDhmWhxkCrmsrT/uwM/H5xKNa9Lo/XVdj+FdN2cz78GPP6Miw/QSUa0uP5&#10;3i6sASGOP8RAfMQF9PwGAAD//wMAUEsBAi0AFAAGAAgAAAAhANvh9svuAAAAhQEAABMAAAAAAAAA&#10;AAAAAAAAAAAAAFtDb250ZW50X1R5cGVzXS54bWxQSwECLQAUAAYACAAAACEAWvQsW78AAAAVAQAA&#10;CwAAAAAAAAAAAAAAAAAfAQAAX3JlbHMvLnJlbHNQSwECLQAUAAYACAAAACEAGqA6EcYAAADfAAAA&#10;DwAAAAAAAAAAAAAAAAAHAgAAZHJzL2Rvd25yZXYueG1sUEsFBgAAAAADAAMAtwAAAPoCAAAAAA==&#10;" filled="f" stroked="f">
                  <v:textbox inset="0,0,0,0">
                    <w:txbxContent>
                      <w:p w14:paraId="452E0B35" w14:textId="77777777" w:rsidR="00B32EF2" w:rsidRDefault="00000000">
                        <w:r>
                          <w:rPr>
                            <w:rFonts w:ascii="Arial" w:eastAsia="Arial" w:hAnsi="Arial" w:cs="Arial"/>
                            <w:i/>
                            <w:sz w:val="18"/>
                          </w:rPr>
                          <w:t xml:space="preserve">. In caso di ricorso, i tributi o i maggiori tributi accertati, unitamente ai </w:t>
                        </w:r>
                      </w:p>
                    </w:txbxContent>
                  </v:textbox>
                </v:rect>
                <v:rect id="Rectangle 17140" o:spid="_x0000_s3051" style="position:absolute;left:-11210;top:7320;width:50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00ayAAAAN4AAAAPAAAAZHJzL2Rvd25yZXYueG1sRI9Pa8JA&#10;EMXvhX6HZQq91Y2lWImuIhZpDr34p9DjkB2TaHZ2ya4m7ad3DkJvM8yb995vvhxcq67UxcazgfEo&#10;A0VcettwZeCw37xMQcWEbLH1TAZ+KcJy8fgwx9z6nrd03aVKiQnHHA3UKYVc61jW5DCOfCCW29F3&#10;DpOsXaVth72Yu1a/ZtlEO2xYEmoMtK6pPO8uzsDPB4di0+vy+LcOX6di2n5eDt/GPD8NqxmoREP6&#10;F9+/Cyv138dvAiA4MoNe3AAAAP//AwBQSwECLQAUAAYACAAAACEA2+H2y+4AAACFAQAAEwAAAAAA&#10;AAAAAAAAAAAAAAAAW0NvbnRlbnRfVHlwZXNdLnhtbFBLAQItABQABgAIAAAAIQBa9CxbvwAAABUB&#10;AAALAAAAAAAAAAAAAAAAAB8BAABfcmVscy8ucmVsc1BLAQItABQABgAIAAAAIQBfi00ayAAAAN4A&#10;AAAPAAAAAAAAAAAAAAAAAAcCAABkcnMvZG93bnJldi54bWxQSwUGAAAAAAMAAwC3AAAA/AIAAAAA&#10;" filled="f" stroked="f">
                  <v:textbox inset="0,0,0,0">
                    <w:txbxContent>
                      <w:p w14:paraId="0984C93C" w14:textId="77777777" w:rsidR="00B32EF2" w:rsidRDefault="00000000">
                        <w:r>
                          <w:rPr>
                            <w:rFonts w:ascii="Arial" w:eastAsia="Arial" w:hAnsi="Arial" w:cs="Arial"/>
                            <w:i/>
                            <w:sz w:val="18"/>
                          </w:rPr>
                          <w:t>relativi interessi, sono posti in riscossione, ai sensi dell’articolo 68 del de</w:t>
                        </w:r>
                      </w:p>
                    </w:txbxContent>
                  </v:textbox>
                </v:rect>
                <v:rect id="Rectangle 17141" o:spid="_x0000_s3052" style="position:absolute;left:657;top:732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iBxAAAAN4AAAAPAAAAZHJzL2Rvd25yZXYueG1sRE9Na8JA&#10;EL0X/A/LCN7qJlJaia4iijQHL7UKHofsmESzs0t2NdFf3y0UepvH+5z5sjeNuFPra8sK0nECgriw&#10;uuZSweF7+zoF4QOyxsYyKXiQh+Vi8DLHTNuOv+i+D6WIIewzVFCF4DIpfVGRQT+2jjhyZ9saDBG2&#10;pdQtdjHcNHKSJO/SYM2xoUJH64qK6/5mFJw27PJtJ4vzc+12l3zafN4OR6VGw341AxGoD//iP3eu&#10;4/yP9C2F33fiDXLxAwAA//8DAFBLAQItABQABgAIAAAAIQDb4fbL7gAAAIUBAAATAAAAAAAAAAAA&#10;AAAAAAAAAABbQ29udGVudF9UeXBlc10ueG1sUEsBAi0AFAAGAAgAAAAhAFr0LFu/AAAAFQEAAAsA&#10;AAAAAAAAAAAAAAAAHwEAAF9yZWxzLy5yZWxzUEsBAi0AFAAGAAgAAAAhADDH6IHEAAAA3gAAAA8A&#10;AAAAAAAAAAAAAAAABwIAAGRycy9kb3ducmV2LnhtbFBLBQYAAAAAAwADALcAAAD4AgAAAAA=&#10;" filled="f" stroked="f">
                  <v:textbox inset="0,0,0,0">
                    <w:txbxContent>
                      <w:p w14:paraId="229210DB" w14:textId="77777777" w:rsidR="00B32EF2" w:rsidRDefault="00000000">
                        <w:r>
                          <w:rPr>
                            <w:rFonts w:ascii="Arial" w:eastAsia="Arial" w:hAnsi="Arial" w:cs="Arial"/>
                            <w:i/>
                            <w:sz w:val="18"/>
                          </w:rPr>
                          <w:t>-</w:t>
                        </w:r>
                      </w:p>
                    </w:txbxContent>
                  </v:textbox>
                </v:rect>
                <v:rect id="Rectangle 17142" o:spid="_x0000_s3053" style="position:absolute;left:-12189;top:6087;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Xb2xAAAAN4AAAAPAAAAZHJzL2Rvd25yZXYueG1sRE9Li8Iw&#10;EL4v+B/CCN7WVFl2pRpFFNkevKwP8Dg0Y1ttJqGJtvrrNwsL3ubje85s0Zla3KnxlWUFo2ECgji3&#10;uuJCwWG/eZ+A8AFZY22ZFDzIw2Lee5thqm3LP3TfhULEEPYpKihDcKmUPi/JoB9aRxy5s20Mhgib&#10;QuoG2xhuajlOkk9psOLYUKKjVUn5dXczCk5rdtmmlfn5uXLbSzapv2+Ho1KDfrecggjUhZf4353p&#10;OP9r9DGGv3fiDXL+CwAA//8DAFBLAQItABQABgAIAAAAIQDb4fbL7gAAAIUBAAATAAAAAAAAAAAA&#10;AAAAAAAAAABbQ29udGVudF9UeXBlc10ueG1sUEsBAi0AFAAGAAgAAAAhAFr0LFu/AAAAFQEAAAsA&#10;AAAAAAAAAAAAAAAAHwEAAF9yZWxzLy5yZWxzUEsBAi0AFAAGAAgAAAAhAMAVdvbEAAAA3gAAAA8A&#10;AAAAAAAAAAAAAAAABwIAAGRycy9kb3ducmV2LnhtbFBLBQYAAAAAAwADALcAAAD4AgAAAAA=&#10;" filled="f" stroked="f">
                  <v:textbox inset="0,0,0,0">
                    <w:txbxContent>
                      <w:p w14:paraId="276C6517" w14:textId="77777777" w:rsidR="00B32EF2" w:rsidRDefault="00000000">
                        <w:r>
                          <w:rPr>
                            <w:rFonts w:ascii="Arial" w:eastAsia="Arial" w:hAnsi="Arial" w:cs="Arial"/>
                            <w:i/>
                            <w:sz w:val="18"/>
                          </w:rPr>
                          <w:t xml:space="preserve">creto legislativo 31 dicembre 1992, n. 546, e, successive modificazioni, e </w:t>
                        </w:r>
                      </w:p>
                    </w:txbxContent>
                  </v:textbox>
                </v:rect>
                <v:rect id="Rectangle 17143" o:spid="_x0000_s3054" style="position:absolute;left:-11767;top:4854;width:505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dNtxQAAAN4AAAAPAAAAZHJzL2Rvd25yZXYueG1sRE9La8JA&#10;EL4X/A/LCN7qxlpUoquIRZpDL/UBHofsmESzs0t2NWl/fbcgeJuP7zmLVWdqcafGV5YVjIYJCOLc&#10;6ooLBYf99nUGwgdkjbVlUvBDHlbL3ssCU21b/qb7LhQihrBPUUEZgkul9HlJBv3QOuLInW1jMETY&#10;FFI32MZwU8u3JJlIgxXHhhIdbUrKr7ubUXD6YJdtW5mffzfu65LN6s/b4ajUoN+t5yACdeEpfrgz&#10;HedPR+9j+H8n3iCXfwAAAP//AwBQSwECLQAUAAYACAAAACEA2+H2y+4AAACFAQAAEwAAAAAAAAAA&#10;AAAAAAAAAAAAW0NvbnRlbnRfVHlwZXNdLnhtbFBLAQItABQABgAIAAAAIQBa9CxbvwAAABUBAAAL&#10;AAAAAAAAAAAAAAAAAB8BAABfcmVscy8ucmVsc1BLAQItABQABgAIAAAAIQCvWdNtxQAAAN4AAAAP&#10;AAAAAAAAAAAAAAAAAAcCAABkcnMvZG93bnJldi54bWxQSwUGAAAAAAMAAwC3AAAA+QIAAAAA&#10;" filled="f" stroked="f">
                  <v:textbox inset="0,0,0,0">
                    <w:txbxContent>
                      <w:p w14:paraId="2CE68786" w14:textId="77777777" w:rsidR="00B32EF2" w:rsidRDefault="00000000">
                        <w:r>
                          <w:rPr>
                            <w:rFonts w:ascii="Arial" w:eastAsia="Arial" w:hAnsi="Arial" w:cs="Arial"/>
                            <w:i/>
                            <w:sz w:val="18"/>
                          </w:rPr>
                          <w:t>dell’articolo 19, comma 1, del decreto legislativo 18 dicembre 1997, n. 472.</w:t>
                        </w:r>
                      </w:p>
                    </w:txbxContent>
                  </v:textbox>
                </v:rect>
                <v:shape id="Shape 17144" o:spid="_x0000_s3055" style="position:absolute;top:4012;width:39600;height:58552;visibility:visible;mso-wrap-style:square;v-text-anchor:top" coordsize="3960000,585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LNmxAAAAN4AAAAPAAAAZHJzL2Rvd25yZXYueG1sRE/NasJA&#10;EL4X+g7LCN50o0Rb0mykKAXR9lDjAwzZaRLMzsbdrca3d4VCb/Px/U6+GkwnLuR8a1nBbJqAIK6s&#10;brlWcCw/Jq8gfEDW2FkmBTfysCqen3LMtL3yN10OoRYxhH2GCpoQ+kxKXzVk0E9tTxy5H+sMhghd&#10;LbXDaww3nZwnyVIabDk2NNjTuqHqdPg1Cr7Kz02yaNeoy+N8vztXpk6dUWo8Gt7fQAQawr/4z73V&#10;cf7LLE3h8U68QRZ3AAAA//8DAFBLAQItABQABgAIAAAAIQDb4fbL7gAAAIUBAAATAAAAAAAAAAAA&#10;AAAAAAAAAABbQ29udGVudF9UeXBlc10ueG1sUEsBAi0AFAAGAAgAAAAhAFr0LFu/AAAAFQEAAAsA&#10;AAAAAAAAAAAAAAAAHwEAAF9yZWxzLy5yZWxzUEsBAi0AFAAGAAgAAAAhAJAUs2bEAAAA3gAAAA8A&#10;AAAAAAAAAAAAAAAABwIAAGRycy9kb3ducmV2LnhtbFBLBQYAAAAAAwADALcAAAD4AgAAAAA=&#10;" path="m,5855297r3960000,l3960000,,,,,5855297xe" filled="f" strokeweight="1pt">
                  <v:stroke miterlimit="1" joinstyle="miter"/>
                  <v:path arrowok="t" textboxrect="0,0,3960000,5855297"/>
                </v:shape>
                <w10:anchorlock/>
              </v:group>
            </w:pict>
          </mc:Fallback>
        </mc:AlternateContent>
      </w:r>
    </w:p>
    <w:p w14:paraId="67EE731D" w14:textId="77777777" w:rsidR="00B32EF2" w:rsidRDefault="00000000">
      <w:pPr>
        <w:spacing w:after="0"/>
        <w:ind w:left="-356" w:right="-316"/>
      </w:pPr>
      <w:r>
        <w:rPr>
          <w:noProof/>
        </w:rPr>
        <w:lastRenderedPageBreak/>
        <mc:AlternateContent>
          <mc:Choice Requires="wpg">
            <w:drawing>
              <wp:inline distT="0" distB="0" distL="0" distR="0" wp14:anchorId="68CDA865" wp14:editId="34C208BA">
                <wp:extent cx="3998117" cy="6256497"/>
                <wp:effectExtent l="0" t="0" r="0" b="0"/>
                <wp:docPr id="200513" name="Group 200513"/>
                <wp:cNvGraphicFramePr/>
                <a:graphic xmlns:a="http://schemas.openxmlformats.org/drawingml/2006/main">
                  <a:graphicData uri="http://schemas.microsoft.com/office/word/2010/wordprocessingGroup">
                    <wpg:wgp>
                      <wpg:cNvGrpSpPr/>
                      <wpg:grpSpPr>
                        <a:xfrm>
                          <a:off x="0" y="0"/>
                          <a:ext cx="3998117" cy="6256497"/>
                          <a:chOff x="0" y="0"/>
                          <a:chExt cx="3998117" cy="6256497"/>
                        </a:xfrm>
                      </wpg:grpSpPr>
                      <wps:wsp>
                        <wps:cNvPr id="17166" name="Rectangle 17166"/>
                        <wps:cNvSpPr/>
                        <wps:spPr>
                          <a:xfrm rot="-10799999">
                            <a:off x="1900453" y="-62190"/>
                            <a:ext cx="178369" cy="250646"/>
                          </a:xfrm>
                          <a:prstGeom prst="rect">
                            <a:avLst/>
                          </a:prstGeom>
                          <a:ln>
                            <a:noFill/>
                          </a:ln>
                        </wps:spPr>
                        <wps:txbx>
                          <w:txbxContent>
                            <w:p w14:paraId="03C02462" w14:textId="77777777" w:rsidR="00B32EF2" w:rsidRDefault="00000000">
                              <w:r>
                                <w:rPr>
                                  <w:rFonts w:ascii="Times New Roman" w:eastAsia="Times New Roman" w:hAnsi="Times New Roman" w:cs="Times New Roman"/>
                                </w:rPr>
                                <w:t>75</w:t>
                              </w:r>
                            </w:p>
                          </w:txbxContent>
                        </wps:txbx>
                        <wps:bodyPr horzOverflow="overflow" vert="horz" lIns="0" tIns="0" rIns="0" bIns="0" rtlCol="0">
                          <a:noAutofit/>
                        </wps:bodyPr>
                      </wps:wsp>
                      <wps:wsp>
                        <wps:cNvPr id="17167" name="Rectangle 17167"/>
                        <wps:cNvSpPr/>
                        <wps:spPr>
                          <a:xfrm rot="-10799999">
                            <a:off x="1475220" y="3652991"/>
                            <a:ext cx="861644" cy="142889"/>
                          </a:xfrm>
                          <a:prstGeom prst="rect">
                            <a:avLst/>
                          </a:prstGeom>
                          <a:ln>
                            <a:noFill/>
                          </a:ln>
                        </wps:spPr>
                        <wps:txbx>
                          <w:txbxContent>
                            <w:p w14:paraId="2BD4BB12" w14:textId="77777777" w:rsidR="00B32EF2" w:rsidRDefault="00000000">
                              <w:r>
                                <w:rPr>
                                  <w:rFonts w:ascii="Arial" w:eastAsia="Arial" w:hAnsi="Arial" w:cs="Arial"/>
                                  <w:b/>
                                  <w:sz w:val="18"/>
                                </w:rPr>
                                <w:t>SEZIONE III</w:t>
                              </w:r>
                            </w:p>
                          </w:txbxContent>
                        </wps:txbx>
                        <wps:bodyPr horzOverflow="overflow" vert="horz" lIns="0" tIns="0" rIns="0" bIns="0" rtlCol="0">
                          <a:noAutofit/>
                        </wps:bodyPr>
                      </wps:wsp>
                      <wps:wsp>
                        <wps:cNvPr id="17168" name="Rectangle 17168"/>
                        <wps:cNvSpPr/>
                        <wps:spPr>
                          <a:xfrm rot="-10799999">
                            <a:off x="4245" y="3529661"/>
                            <a:ext cx="3216844" cy="142889"/>
                          </a:xfrm>
                          <a:prstGeom prst="rect">
                            <a:avLst/>
                          </a:prstGeom>
                          <a:ln>
                            <a:noFill/>
                          </a:ln>
                        </wps:spPr>
                        <wps:txbx>
                          <w:txbxContent>
                            <w:p w14:paraId="39156723" w14:textId="77777777" w:rsidR="00B32EF2" w:rsidRDefault="00000000">
                              <w:r>
                                <w:rPr>
                                  <w:rFonts w:ascii="Arial" w:eastAsia="Arial" w:hAnsi="Arial" w:cs="Arial"/>
                                  <w:b/>
                                  <w:sz w:val="18"/>
                                </w:rPr>
                                <w:t xml:space="preserve"> LA TRATTAZIONE DELLA CONTROVERSIA</w:t>
                              </w:r>
                            </w:p>
                          </w:txbxContent>
                        </wps:txbx>
                        <wps:bodyPr horzOverflow="overflow" vert="horz" lIns="0" tIns="0" rIns="0" bIns="0" rtlCol="0">
                          <a:noAutofit/>
                        </wps:bodyPr>
                      </wps:wsp>
                      <wps:wsp>
                        <wps:cNvPr id="17169" name="Rectangle 17169"/>
                        <wps:cNvSpPr/>
                        <wps:spPr>
                          <a:xfrm rot="-10799999">
                            <a:off x="1508579" y="3159672"/>
                            <a:ext cx="806339" cy="142889"/>
                          </a:xfrm>
                          <a:prstGeom prst="rect">
                            <a:avLst/>
                          </a:prstGeom>
                          <a:ln>
                            <a:noFill/>
                          </a:ln>
                        </wps:spPr>
                        <wps:txbx>
                          <w:txbxContent>
                            <w:p w14:paraId="19A49EAC" w14:textId="77777777" w:rsidR="00B32EF2" w:rsidRDefault="00000000">
                              <w:r>
                                <w:rPr>
                                  <w:rFonts w:ascii="Arial" w:eastAsia="Arial" w:hAnsi="Arial" w:cs="Arial"/>
                                  <w:b/>
                                  <w:sz w:val="18"/>
                                </w:rPr>
                                <w:t>Articolo 78</w:t>
                              </w:r>
                            </w:p>
                          </w:txbxContent>
                        </wps:txbx>
                        <wps:bodyPr horzOverflow="overflow" vert="horz" lIns="0" tIns="0" rIns="0" bIns="0" rtlCol="0">
                          <a:noAutofit/>
                        </wps:bodyPr>
                      </wps:wsp>
                      <wps:wsp>
                        <wps:cNvPr id="200271" name="Rectangle 200271"/>
                        <wps:cNvSpPr/>
                        <wps:spPr>
                          <a:xfrm rot="-10799999">
                            <a:off x="1160974" y="3036343"/>
                            <a:ext cx="1945311" cy="142889"/>
                          </a:xfrm>
                          <a:prstGeom prst="rect">
                            <a:avLst/>
                          </a:prstGeom>
                          <a:ln>
                            <a:noFill/>
                          </a:ln>
                        </wps:spPr>
                        <wps:txbx>
                          <w:txbxContent>
                            <w:p w14:paraId="3D3558F3" w14:textId="77777777" w:rsidR="00B32EF2" w:rsidRDefault="00000000">
                              <w:r>
                                <w:rPr>
                                  <w:rFonts w:ascii="Arial" w:eastAsia="Arial" w:hAnsi="Arial" w:cs="Arial"/>
                                  <w:i/>
                                  <w:sz w:val="18"/>
                                </w:rPr>
                                <w:t xml:space="preserve">articolo 30 D.lgs. n. </w:t>
                              </w:r>
                            </w:p>
                          </w:txbxContent>
                        </wps:txbx>
                        <wps:bodyPr horzOverflow="overflow" vert="horz" lIns="0" tIns="0" rIns="0" bIns="0" rtlCol="0">
                          <a:noAutofit/>
                        </wps:bodyPr>
                      </wps:wsp>
                      <wps:wsp>
                        <wps:cNvPr id="200270" name="Rectangle 200270"/>
                        <wps:cNvSpPr/>
                        <wps:spPr>
                          <a:xfrm rot="-10799999">
                            <a:off x="-266506" y="3036342"/>
                            <a:ext cx="1945311" cy="142889"/>
                          </a:xfrm>
                          <a:prstGeom prst="rect">
                            <a:avLst/>
                          </a:prstGeom>
                          <a:ln>
                            <a:noFill/>
                          </a:ln>
                        </wps:spPr>
                        <wps:txbx>
                          <w:txbxContent>
                            <w:p w14:paraId="65C392BD"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269" name="Rectangle 200269"/>
                        <wps:cNvSpPr/>
                        <wps:spPr>
                          <a:xfrm rot="-10799999">
                            <a:off x="2222352" y="3036343"/>
                            <a:ext cx="1945311" cy="142889"/>
                          </a:xfrm>
                          <a:prstGeom prst="rect">
                            <a:avLst/>
                          </a:prstGeom>
                          <a:ln>
                            <a:noFill/>
                          </a:ln>
                        </wps:spPr>
                        <wps:txbx>
                          <w:txbxContent>
                            <w:p w14:paraId="51B1A79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171" name="Rectangle 17171"/>
                        <wps:cNvSpPr/>
                        <wps:spPr>
                          <a:xfrm rot="-10799999">
                            <a:off x="-618037" y="2913013"/>
                            <a:ext cx="4188655" cy="142889"/>
                          </a:xfrm>
                          <a:prstGeom prst="rect">
                            <a:avLst/>
                          </a:prstGeom>
                          <a:ln>
                            <a:noFill/>
                          </a:ln>
                        </wps:spPr>
                        <wps:txbx>
                          <w:txbxContent>
                            <w:p w14:paraId="2A7381AB" w14:textId="77777777" w:rsidR="00B32EF2" w:rsidRDefault="00000000">
                              <w:r>
                                <w:rPr>
                                  <w:rFonts w:ascii="Arial" w:eastAsia="Arial" w:hAnsi="Arial" w:cs="Arial"/>
                                  <w:b/>
                                  <w:sz w:val="18"/>
                                </w:rPr>
                                <w:t xml:space="preserve">Nomina del relatore e fissazione della data di trattazione </w:t>
                              </w:r>
                            </w:p>
                          </w:txbxContent>
                        </wps:txbx>
                        <wps:bodyPr horzOverflow="overflow" vert="horz" lIns="0" tIns="0" rIns="0" bIns="0" rtlCol="0">
                          <a:noAutofit/>
                        </wps:bodyPr>
                      </wps:wsp>
                      <wps:wsp>
                        <wps:cNvPr id="200268" name="Rectangle 200268"/>
                        <wps:cNvSpPr/>
                        <wps:spPr>
                          <a:xfrm rot="-10799999">
                            <a:off x="-1376314" y="2789683"/>
                            <a:ext cx="5308946" cy="142889"/>
                          </a:xfrm>
                          <a:prstGeom prst="rect">
                            <a:avLst/>
                          </a:prstGeom>
                          <a:ln>
                            <a:noFill/>
                          </a:ln>
                        </wps:spPr>
                        <wps:txbx>
                          <w:txbxContent>
                            <w:p w14:paraId="0773B407" w14:textId="77777777" w:rsidR="00B32EF2" w:rsidRDefault="00000000">
                              <w:r>
                                <w:rPr>
                                  <w:rFonts w:ascii="Arial" w:eastAsia="Arial" w:hAnsi="Arial" w:cs="Arial"/>
                                  <w:sz w:val="18"/>
                                </w:rPr>
                                <w:t xml:space="preserve">. Se non ritiene di adottare preliminarmente i provvedimenti di cui all’articolo </w:t>
                              </w:r>
                            </w:p>
                          </w:txbxContent>
                        </wps:txbx>
                        <wps:bodyPr horzOverflow="overflow" vert="horz" lIns="0" tIns="0" rIns="0" bIns="0" rtlCol="0">
                          <a:noAutofit/>
                        </wps:bodyPr>
                      </wps:wsp>
                      <wps:wsp>
                        <wps:cNvPr id="200267" name="Rectangle 200267"/>
                        <wps:cNvSpPr/>
                        <wps:spPr>
                          <a:xfrm rot="-10799999">
                            <a:off x="2611005" y="2789683"/>
                            <a:ext cx="5308946" cy="142889"/>
                          </a:xfrm>
                          <a:prstGeom prst="rect">
                            <a:avLst/>
                          </a:prstGeom>
                          <a:ln>
                            <a:noFill/>
                          </a:ln>
                        </wps:spPr>
                        <wps:txbx>
                          <w:txbxContent>
                            <w:p w14:paraId="0A123376"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265" name="Rectangle 200265"/>
                        <wps:cNvSpPr/>
                        <wps:spPr>
                          <a:xfrm rot="-10799999">
                            <a:off x="-1443084" y="2666353"/>
                            <a:ext cx="5309112" cy="142889"/>
                          </a:xfrm>
                          <a:prstGeom prst="rect">
                            <a:avLst/>
                          </a:prstGeom>
                          <a:ln>
                            <a:noFill/>
                          </a:ln>
                        </wps:spPr>
                        <wps:txbx>
                          <w:txbxContent>
                            <w:p w14:paraId="5A4AC18A" w14:textId="77777777" w:rsidR="00B32EF2" w:rsidRDefault="00000000">
                              <w:r>
                                <w:rPr>
                                  <w:rFonts w:ascii="Arial" w:eastAsia="Arial" w:hAnsi="Arial" w:cs="Arial"/>
                                  <w:sz w:val="18"/>
                                </w:rPr>
                                <w:t xml:space="preserve">, il presidente, scaduto in ogni caso il termine per la costituzione delle parti, </w:t>
                              </w:r>
                            </w:p>
                          </w:txbxContent>
                        </wps:txbx>
                        <wps:bodyPr horzOverflow="overflow" vert="horz" lIns="0" tIns="0" rIns="0" bIns="0" rtlCol="0">
                          <a:noAutofit/>
                        </wps:bodyPr>
                      </wps:wsp>
                      <wps:wsp>
                        <wps:cNvPr id="200264" name="Rectangle 200264"/>
                        <wps:cNvSpPr/>
                        <wps:spPr>
                          <a:xfrm rot="-10799999">
                            <a:off x="2549253" y="2666353"/>
                            <a:ext cx="5309111" cy="142889"/>
                          </a:xfrm>
                          <a:prstGeom prst="rect">
                            <a:avLst/>
                          </a:prstGeom>
                          <a:ln>
                            <a:noFill/>
                          </a:ln>
                        </wps:spPr>
                        <wps:txbx>
                          <w:txbxContent>
                            <w:p w14:paraId="06871FE3" w14:textId="77777777" w:rsidR="00B32EF2" w:rsidRDefault="00000000">
                              <w:r>
                                <w:rPr>
                                  <w:rFonts w:ascii="Arial" w:eastAsia="Arial" w:hAnsi="Arial" w:cs="Arial"/>
                                  <w:sz w:val="18"/>
                                </w:rPr>
                                <w:t>75</w:t>
                              </w:r>
                            </w:p>
                          </w:txbxContent>
                        </wps:txbx>
                        <wps:bodyPr horzOverflow="overflow" vert="horz" lIns="0" tIns="0" rIns="0" bIns="0" rtlCol="0">
                          <a:noAutofit/>
                        </wps:bodyPr>
                      </wps:wsp>
                      <wps:wsp>
                        <wps:cNvPr id="17174" name="Rectangle 17174"/>
                        <wps:cNvSpPr/>
                        <wps:spPr>
                          <a:xfrm rot="-10799999">
                            <a:off x="-1317221" y="2543023"/>
                            <a:ext cx="5309036" cy="142889"/>
                          </a:xfrm>
                          <a:prstGeom prst="rect">
                            <a:avLst/>
                          </a:prstGeom>
                          <a:ln>
                            <a:noFill/>
                          </a:ln>
                        </wps:spPr>
                        <wps:txbx>
                          <w:txbxContent>
                            <w:p w14:paraId="703EEAD5" w14:textId="77777777" w:rsidR="00B32EF2" w:rsidRDefault="00000000">
                              <w:r>
                                <w:rPr>
                                  <w:rFonts w:ascii="Arial" w:eastAsia="Arial" w:hAnsi="Arial" w:cs="Arial"/>
                                  <w:sz w:val="18"/>
                                </w:rPr>
                                <w:t xml:space="preserve">fissa la trattazione della controversia secondo quanto previsto dagli articoli 81 </w:t>
                              </w:r>
                            </w:p>
                          </w:txbxContent>
                        </wps:txbx>
                        <wps:bodyPr horzOverflow="overflow" vert="horz" lIns="0" tIns="0" rIns="0" bIns="0" rtlCol="0">
                          <a:noAutofit/>
                        </wps:bodyPr>
                      </wps:wsp>
                      <wps:wsp>
                        <wps:cNvPr id="17175" name="Rectangle 17175"/>
                        <wps:cNvSpPr/>
                        <wps:spPr>
                          <a:xfrm rot="-10799999">
                            <a:off x="2307033" y="2419694"/>
                            <a:ext cx="1684781" cy="142889"/>
                          </a:xfrm>
                          <a:prstGeom prst="rect">
                            <a:avLst/>
                          </a:prstGeom>
                          <a:ln>
                            <a:noFill/>
                          </a:ln>
                        </wps:spPr>
                        <wps:txbx>
                          <w:txbxContent>
                            <w:p w14:paraId="4FA5C50A" w14:textId="77777777" w:rsidR="00B32EF2" w:rsidRDefault="00000000">
                              <w:r>
                                <w:rPr>
                                  <w:rFonts w:ascii="Arial" w:eastAsia="Arial" w:hAnsi="Arial" w:cs="Arial"/>
                                  <w:sz w:val="18"/>
                                </w:rPr>
                                <w:t>e 82 e nomina il relatore.</w:t>
                              </w:r>
                            </w:p>
                          </w:txbxContent>
                        </wps:txbx>
                        <wps:bodyPr horzOverflow="overflow" vert="horz" lIns="0" tIns="0" rIns="0" bIns="0" rtlCol="0">
                          <a:noAutofit/>
                        </wps:bodyPr>
                      </wps:wsp>
                      <wps:wsp>
                        <wps:cNvPr id="200263" name="Rectangle 200263"/>
                        <wps:cNvSpPr/>
                        <wps:spPr>
                          <a:xfrm rot="-10799999">
                            <a:off x="-1381778" y="2296364"/>
                            <a:ext cx="5309036" cy="142889"/>
                          </a:xfrm>
                          <a:prstGeom prst="rect">
                            <a:avLst/>
                          </a:prstGeom>
                          <a:ln>
                            <a:noFill/>
                          </a:ln>
                        </wps:spPr>
                        <wps:txbx>
                          <w:txbxContent>
                            <w:p w14:paraId="7A5730C5" w14:textId="77777777" w:rsidR="00B32EF2" w:rsidRDefault="00000000">
                              <w:r>
                                <w:rPr>
                                  <w:rFonts w:ascii="Arial" w:eastAsia="Arial" w:hAnsi="Arial" w:cs="Arial"/>
                                  <w:sz w:val="18"/>
                                </w:rPr>
                                <w:t xml:space="preserve">. Almeno una udienza per ogni mese e per ciascuna sezione è riservata </w:t>
                              </w:r>
                            </w:p>
                          </w:txbxContent>
                        </wps:txbx>
                        <wps:bodyPr horzOverflow="overflow" vert="horz" lIns="0" tIns="0" rIns="0" bIns="0" rtlCol="0">
                          <a:noAutofit/>
                        </wps:bodyPr>
                      </wps:wsp>
                      <wps:wsp>
                        <wps:cNvPr id="200262" name="Rectangle 200262"/>
                        <wps:cNvSpPr/>
                        <wps:spPr>
                          <a:xfrm rot="-10799999">
                            <a:off x="2610983" y="2296364"/>
                            <a:ext cx="5309036" cy="142889"/>
                          </a:xfrm>
                          <a:prstGeom prst="rect">
                            <a:avLst/>
                          </a:prstGeom>
                          <a:ln>
                            <a:noFill/>
                          </a:ln>
                        </wps:spPr>
                        <wps:txbx>
                          <w:txbxContent>
                            <w:p w14:paraId="02A4A1E8"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7177" name="Rectangle 17177"/>
                        <wps:cNvSpPr/>
                        <wps:spPr>
                          <a:xfrm rot="-10799999">
                            <a:off x="-1317206" y="2173034"/>
                            <a:ext cx="5309021" cy="142889"/>
                          </a:xfrm>
                          <a:prstGeom prst="rect">
                            <a:avLst/>
                          </a:prstGeom>
                          <a:ln>
                            <a:noFill/>
                          </a:ln>
                        </wps:spPr>
                        <wps:txbx>
                          <w:txbxContent>
                            <w:p w14:paraId="43401304" w14:textId="77777777" w:rsidR="00B32EF2" w:rsidRDefault="00000000">
                              <w:r>
                                <w:rPr>
                                  <w:rFonts w:ascii="Arial" w:eastAsia="Arial" w:hAnsi="Arial" w:cs="Arial"/>
                                  <w:sz w:val="18"/>
                                </w:rPr>
                                <w:t xml:space="preserve">alla trattazione di controversie per le quali l’ammontare dei tributi accertati </w:t>
                              </w:r>
                            </w:p>
                          </w:txbxContent>
                        </wps:txbx>
                        <wps:bodyPr horzOverflow="overflow" vert="horz" lIns="0" tIns="0" rIns="0" bIns="0" rtlCol="0">
                          <a:noAutofit/>
                        </wps:bodyPr>
                      </wps:wsp>
                      <wps:wsp>
                        <wps:cNvPr id="17178" name="Rectangle 17178"/>
                        <wps:cNvSpPr/>
                        <wps:spPr>
                          <a:xfrm rot="-10799999">
                            <a:off x="-1317221" y="2049704"/>
                            <a:ext cx="5309036" cy="142889"/>
                          </a:xfrm>
                          <a:prstGeom prst="rect">
                            <a:avLst/>
                          </a:prstGeom>
                          <a:ln>
                            <a:noFill/>
                          </a:ln>
                        </wps:spPr>
                        <wps:txbx>
                          <w:txbxContent>
                            <w:p w14:paraId="3426812F" w14:textId="77777777" w:rsidR="00B32EF2" w:rsidRDefault="00000000">
                              <w:r>
                                <w:rPr>
                                  <w:rFonts w:ascii="Arial" w:eastAsia="Arial" w:hAnsi="Arial" w:cs="Arial"/>
                                  <w:sz w:val="18"/>
                                </w:rPr>
                                <w:t xml:space="preserve">e delle conseguenti soprattasse e pene pecuniarie non sia inferiore ad euro </w:t>
                              </w:r>
                            </w:p>
                          </w:txbxContent>
                        </wps:txbx>
                        <wps:bodyPr horzOverflow="overflow" vert="horz" lIns="0" tIns="0" rIns="0" bIns="0" rtlCol="0">
                          <a:noAutofit/>
                        </wps:bodyPr>
                      </wps:wsp>
                      <wps:wsp>
                        <wps:cNvPr id="200260" name="Rectangle 200260"/>
                        <wps:cNvSpPr/>
                        <wps:spPr>
                          <a:xfrm rot="-10799999">
                            <a:off x="2191729" y="1926375"/>
                            <a:ext cx="5212443" cy="142889"/>
                          </a:xfrm>
                          <a:prstGeom prst="rect">
                            <a:avLst/>
                          </a:prstGeom>
                          <a:ln>
                            <a:noFill/>
                          </a:ln>
                        </wps:spPr>
                        <wps:txbx>
                          <w:txbxContent>
                            <w:p w14:paraId="03FEFC94" w14:textId="77777777" w:rsidR="00B32EF2" w:rsidRDefault="00000000">
                              <w:r>
                                <w:rPr>
                                  <w:rFonts w:ascii="Arial" w:eastAsia="Arial" w:hAnsi="Arial" w:cs="Arial"/>
                                  <w:sz w:val="18"/>
                                </w:rPr>
                                <w:t>51.645,69</w:t>
                              </w:r>
                            </w:p>
                          </w:txbxContent>
                        </wps:txbx>
                        <wps:bodyPr horzOverflow="overflow" vert="horz" lIns="0" tIns="0" rIns="0" bIns="0" rtlCol="0">
                          <a:noAutofit/>
                        </wps:bodyPr>
                      </wps:wsp>
                      <wps:wsp>
                        <wps:cNvPr id="200261" name="Rectangle 200261"/>
                        <wps:cNvSpPr/>
                        <wps:spPr>
                          <a:xfrm rot="-10799999">
                            <a:off x="-1726988" y="1926375"/>
                            <a:ext cx="5212443" cy="142889"/>
                          </a:xfrm>
                          <a:prstGeom prst="rect">
                            <a:avLst/>
                          </a:prstGeom>
                          <a:ln>
                            <a:noFill/>
                          </a:ln>
                        </wps:spPr>
                        <wps:txbx>
                          <w:txbxContent>
                            <w:p w14:paraId="0DC35A0A" w14:textId="77777777" w:rsidR="00B32EF2" w:rsidRDefault="00000000">
                              <w:r>
                                <w:rPr>
                                  <w:rFonts w:ascii="Arial" w:eastAsia="Arial" w:hAnsi="Arial" w:cs="Arial"/>
                                  <w:sz w:val="18"/>
                                </w:rPr>
                                <w:t>. Un’altra udienza per ogni mese e per ciascuna sezione è comun</w:t>
                              </w:r>
                            </w:p>
                          </w:txbxContent>
                        </wps:txbx>
                        <wps:bodyPr horzOverflow="overflow" vert="horz" lIns="0" tIns="0" rIns="0" bIns="0" rtlCol="0">
                          <a:noAutofit/>
                        </wps:bodyPr>
                      </wps:wsp>
                      <wps:wsp>
                        <wps:cNvPr id="17180" name="Rectangle 17180"/>
                        <wps:cNvSpPr/>
                        <wps:spPr>
                          <a:xfrm rot="-10799999">
                            <a:off x="19215" y="1926375"/>
                            <a:ext cx="50622" cy="142889"/>
                          </a:xfrm>
                          <a:prstGeom prst="rect">
                            <a:avLst/>
                          </a:prstGeom>
                          <a:ln>
                            <a:noFill/>
                          </a:ln>
                        </wps:spPr>
                        <wps:txbx>
                          <w:txbxContent>
                            <w:p w14:paraId="3B17986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7181" name="Rectangle 17181"/>
                        <wps:cNvSpPr/>
                        <wps:spPr>
                          <a:xfrm rot="-10799999">
                            <a:off x="-1229004" y="1803045"/>
                            <a:ext cx="5220819" cy="142889"/>
                          </a:xfrm>
                          <a:prstGeom prst="rect">
                            <a:avLst/>
                          </a:prstGeom>
                          <a:ln>
                            <a:noFill/>
                          </a:ln>
                        </wps:spPr>
                        <wps:txbx>
                          <w:txbxContent>
                            <w:p w14:paraId="50BD81C1" w14:textId="77777777" w:rsidR="00B32EF2" w:rsidRDefault="00000000">
                              <w:r>
                                <w:rPr>
                                  <w:rFonts w:ascii="Arial" w:eastAsia="Arial" w:hAnsi="Arial" w:cs="Arial"/>
                                  <w:sz w:val="18"/>
                                </w:rPr>
                                <w:t>que riservata alla trattazione di controversie nei confronti di società con per</w:t>
                              </w:r>
                            </w:p>
                          </w:txbxContent>
                        </wps:txbx>
                        <wps:bodyPr horzOverflow="overflow" vert="horz" lIns="0" tIns="0" rIns="0" bIns="0" rtlCol="0">
                          <a:noAutofit/>
                        </wps:bodyPr>
                      </wps:wsp>
                      <wps:wsp>
                        <wps:cNvPr id="17182" name="Rectangle 17182"/>
                        <wps:cNvSpPr/>
                        <wps:spPr>
                          <a:xfrm rot="-10799999">
                            <a:off x="19215" y="1803045"/>
                            <a:ext cx="50622" cy="142889"/>
                          </a:xfrm>
                          <a:prstGeom prst="rect">
                            <a:avLst/>
                          </a:prstGeom>
                          <a:ln>
                            <a:noFill/>
                          </a:ln>
                        </wps:spPr>
                        <wps:txbx>
                          <w:txbxContent>
                            <w:p w14:paraId="3B271F5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7183" name="Rectangle 17183"/>
                        <wps:cNvSpPr/>
                        <wps:spPr>
                          <a:xfrm rot="-10799999">
                            <a:off x="-1317206" y="1679715"/>
                            <a:ext cx="5309020" cy="142889"/>
                          </a:xfrm>
                          <a:prstGeom prst="rect">
                            <a:avLst/>
                          </a:prstGeom>
                          <a:ln>
                            <a:noFill/>
                          </a:ln>
                        </wps:spPr>
                        <wps:txbx>
                          <w:txbxContent>
                            <w:p w14:paraId="452437C9" w14:textId="77777777" w:rsidR="00B32EF2" w:rsidRDefault="00000000">
                              <w:r>
                                <w:rPr>
                                  <w:rFonts w:ascii="Arial" w:eastAsia="Arial" w:hAnsi="Arial" w:cs="Arial"/>
                                  <w:sz w:val="18"/>
                                </w:rPr>
                                <w:t xml:space="preserve">sonalità giuridica, nonché di controversie inerenti all’applicazione dell’ articolo </w:t>
                              </w:r>
                            </w:p>
                          </w:txbxContent>
                        </wps:txbx>
                        <wps:bodyPr horzOverflow="overflow" vert="horz" lIns="0" tIns="0" rIns="0" bIns="0" rtlCol="0">
                          <a:noAutofit/>
                        </wps:bodyPr>
                      </wps:wsp>
                      <wps:wsp>
                        <wps:cNvPr id="200257" name="Rectangle 200257"/>
                        <wps:cNvSpPr/>
                        <wps:spPr>
                          <a:xfrm rot="-10799999">
                            <a:off x="3139855" y="1556386"/>
                            <a:ext cx="2756288" cy="142889"/>
                          </a:xfrm>
                          <a:prstGeom prst="rect">
                            <a:avLst/>
                          </a:prstGeom>
                          <a:ln>
                            <a:noFill/>
                          </a:ln>
                        </wps:spPr>
                        <wps:txbx>
                          <w:txbxContent>
                            <w:p w14:paraId="6A0B8BF0" w14:textId="77777777" w:rsidR="00B32EF2" w:rsidRDefault="00000000">
                              <w:r>
                                <w:rPr>
                                  <w:rFonts w:ascii="Arial" w:eastAsia="Arial" w:hAnsi="Arial" w:cs="Arial"/>
                                  <w:sz w:val="18"/>
                                </w:rPr>
                                <w:t>10-</w:t>
                              </w:r>
                            </w:p>
                          </w:txbxContent>
                        </wps:txbx>
                        <wps:bodyPr horzOverflow="overflow" vert="horz" lIns="0" tIns="0" rIns="0" bIns="0" rtlCol="0">
                          <a:noAutofit/>
                        </wps:bodyPr>
                      </wps:wsp>
                      <wps:wsp>
                        <wps:cNvPr id="200258" name="Rectangle 200258"/>
                        <wps:cNvSpPr/>
                        <wps:spPr>
                          <a:xfrm rot="-10799999">
                            <a:off x="-619996" y="1556386"/>
                            <a:ext cx="2756287" cy="142889"/>
                          </a:xfrm>
                          <a:prstGeom prst="rect">
                            <a:avLst/>
                          </a:prstGeom>
                          <a:ln>
                            <a:noFill/>
                          </a:ln>
                        </wps:spPr>
                        <wps:txbx>
                          <w:txbxContent>
                            <w:p w14:paraId="39312633" w14:textId="77777777" w:rsidR="00B32EF2" w:rsidRDefault="00000000">
                              <w:r>
                                <w:rPr>
                                  <w:rFonts w:ascii="Arial" w:eastAsia="Arial" w:hAnsi="Arial" w:cs="Arial"/>
                                  <w:sz w:val="18"/>
                                </w:rPr>
                                <w:t>212.</w:t>
                              </w:r>
                            </w:p>
                          </w:txbxContent>
                        </wps:txbx>
                        <wps:bodyPr horzOverflow="overflow" vert="horz" lIns="0" tIns="0" rIns="0" bIns="0" rtlCol="0">
                          <a:noAutofit/>
                        </wps:bodyPr>
                      </wps:wsp>
                      <wps:wsp>
                        <wps:cNvPr id="200259" name="Rectangle 200259"/>
                        <wps:cNvSpPr/>
                        <wps:spPr>
                          <a:xfrm rot="-10799999">
                            <a:off x="1281372" y="1556386"/>
                            <a:ext cx="2756287" cy="142889"/>
                          </a:xfrm>
                          <a:prstGeom prst="rect">
                            <a:avLst/>
                          </a:prstGeom>
                          <a:ln>
                            <a:noFill/>
                          </a:ln>
                        </wps:spPr>
                        <wps:txbx>
                          <w:txbxContent>
                            <w:p w14:paraId="0308B050" w14:textId="77777777" w:rsidR="00B32EF2" w:rsidRDefault="00000000">
                              <w:r>
                                <w:rPr>
                                  <w:rFonts w:ascii="Arial" w:eastAsia="Arial" w:hAnsi="Arial" w:cs="Arial"/>
                                  <w:sz w:val="18"/>
                                </w:rPr>
                                <w:t xml:space="preserve">bis della legge 27 luglio 2000, n. </w:t>
                              </w:r>
                            </w:p>
                          </w:txbxContent>
                        </wps:txbx>
                        <wps:bodyPr horzOverflow="overflow" vert="horz" lIns="0" tIns="0" rIns="0" bIns="0" rtlCol="0">
                          <a:noAutofit/>
                        </wps:bodyPr>
                      </wps:wsp>
                      <wps:wsp>
                        <wps:cNvPr id="207866" name="Shape 207866"/>
                        <wps:cNvSpPr/>
                        <wps:spPr>
                          <a:xfrm>
                            <a:off x="31767" y="4127200"/>
                            <a:ext cx="3960000" cy="2129295"/>
                          </a:xfrm>
                          <a:custGeom>
                            <a:avLst/>
                            <a:gdLst/>
                            <a:ahLst/>
                            <a:cxnLst/>
                            <a:rect l="0" t="0" r="0" b="0"/>
                            <a:pathLst>
                              <a:path w="3960000" h="2129295">
                                <a:moveTo>
                                  <a:pt x="0" y="0"/>
                                </a:moveTo>
                                <a:lnTo>
                                  <a:pt x="3960000" y="0"/>
                                </a:lnTo>
                                <a:lnTo>
                                  <a:pt x="3960000" y="2129295"/>
                                </a:lnTo>
                                <a:lnTo>
                                  <a:pt x="0" y="2129295"/>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7186" name="Rectangle 17186"/>
                        <wps:cNvSpPr/>
                        <wps:spPr>
                          <a:xfrm rot="-10799999">
                            <a:off x="2306029" y="6035263"/>
                            <a:ext cx="1607388" cy="142891"/>
                          </a:xfrm>
                          <a:prstGeom prst="rect">
                            <a:avLst/>
                          </a:prstGeom>
                          <a:ln>
                            <a:noFill/>
                          </a:ln>
                        </wps:spPr>
                        <wps:txbx>
                          <w:txbxContent>
                            <w:p w14:paraId="38A563B0" w14:textId="77777777" w:rsidR="00B32EF2" w:rsidRDefault="00000000">
                              <w:r>
                                <w:rPr>
                                  <w:rFonts w:ascii="Arial" w:eastAsia="Arial" w:hAnsi="Arial" w:cs="Arial"/>
                                  <w:i/>
                                  <w:sz w:val="18"/>
                                </w:rPr>
                                <w:t xml:space="preserve">articoli 426, 427 e 439. </w:t>
                              </w:r>
                            </w:p>
                          </w:txbxContent>
                        </wps:txbx>
                        <wps:bodyPr horzOverflow="overflow" vert="horz" lIns="0" tIns="0" rIns="0" bIns="0" rtlCol="0">
                          <a:noAutofit/>
                        </wps:bodyPr>
                      </wps:wsp>
                      <wps:wsp>
                        <wps:cNvPr id="200278" name="Rectangle 200278"/>
                        <wps:cNvSpPr/>
                        <wps:spPr>
                          <a:xfrm rot="-10799999">
                            <a:off x="2580332" y="5911934"/>
                            <a:ext cx="5116610" cy="142889"/>
                          </a:xfrm>
                          <a:prstGeom prst="rect">
                            <a:avLst/>
                          </a:prstGeom>
                          <a:ln>
                            <a:noFill/>
                          </a:ln>
                        </wps:spPr>
                        <wps:txbx>
                          <w:txbxContent>
                            <w:p w14:paraId="3ABE2061" w14:textId="77777777" w:rsidR="00B32EF2" w:rsidRDefault="00000000">
                              <w:r>
                                <w:rPr>
                                  <w:rFonts w:ascii="Arial" w:eastAsia="Arial" w:hAnsi="Arial" w:cs="Arial"/>
                                  <w:i/>
                                  <w:sz w:val="18"/>
                                </w:rPr>
                                <w:t>6</w:t>
                              </w:r>
                            </w:p>
                          </w:txbxContent>
                        </wps:txbx>
                        <wps:bodyPr horzOverflow="overflow" vert="horz" lIns="0" tIns="0" rIns="0" bIns="0" rtlCol="0">
                          <a:noAutofit/>
                        </wps:bodyPr>
                      </wps:wsp>
                      <wps:wsp>
                        <wps:cNvPr id="200279" name="Rectangle 200279"/>
                        <wps:cNvSpPr/>
                        <wps:spPr>
                          <a:xfrm rot="-10799999">
                            <a:off x="-1258056" y="5911934"/>
                            <a:ext cx="5116610" cy="142889"/>
                          </a:xfrm>
                          <a:prstGeom prst="rect">
                            <a:avLst/>
                          </a:prstGeom>
                          <a:ln>
                            <a:noFill/>
                          </a:ln>
                        </wps:spPr>
                        <wps:txbx>
                          <w:txbxContent>
                            <w:p w14:paraId="63569405" w14:textId="77777777" w:rsidR="00B32EF2" w:rsidRDefault="00000000">
                              <w:r>
                                <w:rPr>
                                  <w:rFonts w:ascii="Arial" w:eastAsia="Arial" w:hAnsi="Arial" w:cs="Arial"/>
                                  <w:i/>
                                  <w:sz w:val="18"/>
                                </w:rPr>
                                <w:t xml:space="preserve">. Se una causa di competenza del giudice di pace sia connessa  per  i </w:t>
                              </w:r>
                            </w:p>
                          </w:txbxContent>
                        </wps:txbx>
                        <wps:bodyPr horzOverflow="overflow" vert="horz" lIns="0" tIns="0" rIns="0" bIns="0" rtlCol="0">
                          <a:noAutofit/>
                        </wps:bodyPr>
                      </wps:wsp>
                      <wps:wsp>
                        <wps:cNvPr id="17188" name="Rectangle 17188"/>
                        <wps:cNvSpPr/>
                        <wps:spPr>
                          <a:xfrm rot="-10799999">
                            <a:off x="-1185887" y="5788605"/>
                            <a:ext cx="5095419" cy="142889"/>
                          </a:xfrm>
                          <a:prstGeom prst="rect">
                            <a:avLst/>
                          </a:prstGeom>
                          <a:ln>
                            <a:noFill/>
                          </a:ln>
                        </wps:spPr>
                        <wps:txbx>
                          <w:txbxContent>
                            <w:p w14:paraId="4C9A2A37" w14:textId="77777777" w:rsidR="00B32EF2" w:rsidRDefault="00000000">
                              <w:r>
                                <w:rPr>
                                  <w:rFonts w:ascii="Arial" w:eastAsia="Arial" w:hAnsi="Arial" w:cs="Arial"/>
                                  <w:i/>
                                  <w:sz w:val="18"/>
                                </w:rPr>
                                <w:t xml:space="preserve">motivi di cui agli articoli 31, 32, 34, 35 e 36 con  altra  causa  di competenza </w:t>
                              </w:r>
                            </w:p>
                          </w:txbxContent>
                        </wps:txbx>
                        <wps:bodyPr horzOverflow="overflow" vert="horz" lIns="0" tIns="0" rIns="0" bIns="0" rtlCol="0">
                          <a:noAutofit/>
                        </wps:bodyPr>
                      </wps:wsp>
                      <wps:wsp>
                        <wps:cNvPr id="17189" name="Rectangle 17189"/>
                        <wps:cNvSpPr/>
                        <wps:spPr>
                          <a:xfrm rot="-10799999">
                            <a:off x="-1091032" y="5665275"/>
                            <a:ext cx="5004451" cy="142889"/>
                          </a:xfrm>
                          <a:prstGeom prst="rect">
                            <a:avLst/>
                          </a:prstGeom>
                          <a:ln>
                            <a:noFill/>
                          </a:ln>
                        </wps:spPr>
                        <wps:txbx>
                          <w:txbxContent>
                            <w:p w14:paraId="6226BE1C" w14:textId="77777777" w:rsidR="00B32EF2" w:rsidRDefault="00000000">
                              <w:r>
                                <w:rPr>
                                  <w:rFonts w:ascii="Arial" w:eastAsia="Arial" w:hAnsi="Arial" w:cs="Arial"/>
                                  <w:i/>
                                  <w:sz w:val="18"/>
                                </w:rPr>
                                <w:t>del tribunale, le relative domande possono essere proposte innanzi  al   tri</w:t>
                              </w:r>
                            </w:p>
                          </w:txbxContent>
                        </wps:txbx>
                        <wps:bodyPr horzOverflow="overflow" vert="horz" lIns="0" tIns="0" rIns="0" bIns="0" rtlCol="0">
                          <a:noAutofit/>
                        </wps:bodyPr>
                      </wps:wsp>
                      <wps:wsp>
                        <wps:cNvPr id="17190" name="Rectangle 17190"/>
                        <wps:cNvSpPr/>
                        <wps:spPr>
                          <a:xfrm rot="-10799999">
                            <a:off x="97524" y="5665275"/>
                            <a:ext cx="50622" cy="142889"/>
                          </a:xfrm>
                          <a:prstGeom prst="rect">
                            <a:avLst/>
                          </a:prstGeom>
                          <a:ln>
                            <a:noFill/>
                          </a:ln>
                        </wps:spPr>
                        <wps:txbx>
                          <w:txbxContent>
                            <w:p w14:paraId="68C2A03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191" name="Rectangle 17191"/>
                        <wps:cNvSpPr/>
                        <wps:spPr>
                          <a:xfrm rot="-10799999">
                            <a:off x="-62214" y="5541945"/>
                            <a:ext cx="3975631" cy="142889"/>
                          </a:xfrm>
                          <a:prstGeom prst="rect">
                            <a:avLst/>
                          </a:prstGeom>
                          <a:ln>
                            <a:noFill/>
                          </a:ln>
                        </wps:spPr>
                        <wps:txbx>
                          <w:txbxContent>
                            <w:p w14:paraId="54C1B6A7" w14:textId="77777777" w:rsidR="00B32EF2" w:rsidRDefault="00000000">
                              <w:r>
                                <w:rPr>
                                  <w:rFonts w:ascii="Arial" w:eastAsia="Arial" w:hAnsi="Arial" w:cs="Arial"/>
                                  <w:i/>
                                  <w:sz w:val="18"/>
                                </w:rPr>
                                <w:t xml:space="preserve">bunale   affinchè   siano   decise   nello   stesso processo. </w:t>
                              </w:r>
                            </w:p>
                          </w:txbxContent>
                        </wps:txbx>
                        <wps:bodyPr horzOverflow="overflow" vert="horz" lIns="0" tIns="0" rIns="0" bIns="0" rtlCol="0">
                          <a:noAutofit/>
                        </wps:bodyPr>
                      </wps:wsp>
                      <wps:wsp>
                        <wps:cNvPr id="200277" name="Rectangle 200277"/>
                        <wps:cNvSpPr/>
                        <wps:spPr>
                          <a:xfrm rot="-10799999">
                            <a:off x="-1244145" y="5418616"/>
                            <a:ext cx="5107763" cy="142889"/>
                          </a:xfrm>
                          <a:prstGeom prst="rect">
                            <a:avLst/>
                          </a:prstGeom>
                          <a:ln>
                            <a:noFill/>
                          </a:ln>
                        </wps:spPr>
                        <wps:txbx>
                          <w:txbxContent>
                            <w:p w14:paraId="73F6EC19" w14:textId="77777777" w:rsidR="00B32EF2" w:rsidRDefault="00000000">
                              <w:r>
                                <w:rPr>
                                  <w:rFonts w:ascii="Arial" w:eastAsia="Arial" w:hAnsi="Arial" w:cs="Arial"/>
                                  <w:i/>
                                  <w:sz w:val="18"/>
                                </w:rPr>
                                <w:t xml:space="preserve">. Se le cause connesse ai sensi del sesto comma sono proposte davanti </w:t>
                              </w:r>
                            </w:p>
                          </w:txbxContent>
                        </wps:txbx>
                        <wps:bodyPr horzOverflow="overflow" vert="horz" lIns="0" tIns="0" rIns="0" bIns="0" rtlCol="0">
                          <a:noAutofit/>
                        </wps:bodyPr>
                      </wps:wsp>
                      <wps:wsp>
                        <wps:cNvPr id="200276" name="Rectangle 200276"/>
                        <wps:cNvSpPr/>
                        <wps:spPr>
                          <a:xfrm rot="-10799999">
                            <a:off x="2582527" y="5418616"/>
                            <a:ext cx="5107763" cy="142889"/>
                          </a:xfrm>
                          <a:prstGeom prst="rect">
                            <a:avLst/>
                          </a:prstGeom>
                          <a:ln>
                            <a:noFill/>
                          </a:ln>
                        </wps:spPr>
                        <wps:txbx>
                          <w:txbxContent>
                            <w:p w14:paraId="5843C10B" w14:textId="77777777" w:rsidR="00B32EF2" w:rsidRDefault="00000000">
                              <w:r>
                                <w:rPr>
                                  <w:rFonts w:ascii="Arial" w:eastAsia="Arial" w:hAnsi="Arial" w:cs="Arial"/>
                                  <w:i/>
                                  <w:sz w:val="18"/>
                                </w:rPr>
                                <w:t>7</w:t>
                              </w:r>
                            </w:p>
                          </w:txbxContent>
                        </wps:txbx>
                        <wps:bodyPr horzOverflow="overflow" vert="horz" lIns="0" tIns="0" rIns="0" bIns="0" rtlCol="0">
                          <a:noAutofit/>
                        </wps:bodyPr>
                      </wps:wsp>
                      <wps:wsp>
                        <wps:cNvPr id="17193" name="Rectangle 17193"/>
                        <wps:cNvSpPr/>
                        <wps:spPr>
                          <a:xfrm rot="-10799999">
                            <a:off x="-1187699" y="5295286"/>
                            <a:ext cx="5102260" cy="142889"/>
                          </a:xfrm>
                          <a:prstGeom prst="rect">
                            <a:avLst/>
                          </a:prstGeom>
                          <a:ln>
                            <a:noFill/>
                          </a:ln>
                        </wps:spPr>
                        <wps:txbx>
                          <w:txbxContent>
                            <w:p w14:paraId="698FDD2D" w14:textId="77777777" w:rsidR="00B32EF2" w:rsidRDefault="00000000">
                              <w:r>
                                <w:rPr>
                                  <w:rFonts w:ascii="Arial" w:eastAsia="Arial" w:hAnsi="Arial" w:cs="Arial"/>
                                  <w:i/>
                                  <w:sz w:val="18"/>
                                </w:rPr>
                                <w:t xml:space="preserve">al  giudice  di  pace  e  al  tribunale,  il  giudice  di  pace  deve pronunziare </w:t>
                              </w:r>
                            </w:p>
                          </w:txbxContent>
                        </wps:txbx>
                        <wps:bodyPr horzOverflow="overflow" vert="horz" lIns="0" tIns="0" rIns="0" bIns="0" rtlCol="0">
                          <a:noAutofit/>
                        </wps:bodyPr>
                      </wps:wsp>
                      <wps:wsp>
                        <wps:cNvPr id="17194" name="Rectangle 17194"/>
                        <wps:cNvSpPr/>
                        <wps:spPr>
                          <a:xfrm rot="-10799999">
                            <a:off x="211693" y="5171956"/>
                            <a:ext cx="3701724" cy="142889"/>
                          </a:xfrm>
                          <a:prstGeom prst="rect">
                            <a:avLst/>
                          </a:prstGeom>
                          <a:ln>
                            <a:noFill/>
                          </a:ln>
                        </wps:spPr>
                        <wps:txbx>
                          <w:txbxContent>
                            <w:p w14:paraId="59B6A85E" w14:textId="77777777" w:rsidR="00B32EF2" w:rsidRDefault="00000000">
                              <w:r>
                                <w:rPr>
                                  <w:rFonts w:ascii="Arial" w:eastAsia="Arial" w:hAnsi="Arial" w:cs="Arial"/>
                                  <w:i/>
                                  <w:sz w:val="18"/>
                                </w:rPr>
                                <w:t>anche d’ufficio la connessione a  favore  del  tribunale.</w:t>
                              </w:r>
                            </w:p>
                          </w:txbxContent>
                        </wps:txbx>
                        <wps:bodyPr horzOverflow="overflow" vert="horz" lIns="0" tIns="0" rIns="0" bIns="0" rtlCol="0">
                          <a:noAutofit/>
                        </wps:bodyPr>
                      </wps:wsp>
                      <wps:wsp>
                        <wps:cNvPr id="17195" name="Rectangle 17195"/>
                        <wps:cNvSpPr/>
                        <wps:spPr>
                          <a:xfrm rot="-10799999">
                            <a:off x="-700115" y="5048627"/>
                            <a:ext cx="4613534" cy="142889"/>
                          </a:xfrm>
                          <a:prstGeom prst="rect">
                            <a:avLst/>
                          </a:prstGeom>
                          <a:ln>
                            <a:noFill/>
                          </a:ln>
                        </wps:spPr>
                        <wps:txbx>
                          <w:txbxContent>
                            <w:p w14:paraId="19DE28EF" w14:textId="77777777" w:rsidR="00B32EF2" w:rsidRDefault="00000000">
                              <w:r>
                                <w:rPr>
                                  <w:rFonts w:ascii="Arial" w:eastAsia="Arial" w:hAnsi="Arial" w:cs="Arial"/>
                                  <w:i/>
                                  <w:sz w:val="18"/>
                                </w:rPr>
                                <w:t xml:space="preserve">art. 273 c.p.c. “Riunione dei procedimenti relativi alla stessa causa” </w:t>
                              </w:r>
                            </w:p>
                          </w:txbxContent>
                        </wps:txbx>
                        <wps:bodyPr horzOverflow="overflow" vert="horz" lIns="0" tIns="0" rIns="0" bIns="0" rtlCol="0">
                          <a:noAutofit/>
                        </wps:bodyPr>
                      </wps:wsp>
                      <wps:wsp>
                        <wps:cNvPr id="200275" name="Rectangle 200275"/>
                        <wps:cNvSpPr/>
                        <wps:spPr>
                          <a:xfrm rot="-10799999">
                            <a:off x="-1149127" y="4925297"/>
                            <a:ext cx="5003144" cy="142889"/>
                          </a:xfrm>
                          <a:prstGeom prst="rect">
                            <a:avLst/>
                          </a:prstGeom>
                          <a:ln>
                            <a:noFill/>
                          </a:ln>
                        </wps:spPr>
                        <wps:txbx>
                          <w:txbxContent>
                            <w:p w14:paraId="5AAA531E" w14:textId="77777777" w:rsidR="00B32EF2" w:rsidRDefault="00000000">
                              <w:r>
                                <w:rPr>
                                  <w:rFonts w:ascii="Arial" w:eastAsia="Arial" w:hAnsi="Arial" w:cs="Arial"/>
                                  <w:i/>
                                  <w:sz w:val="18"/>
                                </w:rPr>
                                <w:t>. Se più procedimenti relativi alla stessa causa pendono davanti allo stes</w:t>
                              </w:r>
                            </w:p>
                          </w:txbxContent>
                        </wps:txbx>
                        <wps:bodyPr horzOverflow="overflow" vert="horz" lIns="0" tIns="0" rIns="0" bIns="0" rtlCol="0">
                          <a:noAutofit/>
                        </wps:bodyPr>
                      </wps:wsp>
                      <wps:wsp>
                        <wps:cNvPr id="200274" name="Rectangle 200274"/>
                        <wps:cNvSpPr/>
                        <wps:spPr>
                          <a:xfrm rot="-10799999">
                            <a:off x="2608485" y="4925297"/>
                            <a:ext cx="5003144" cy="142889"/>
                          </a:xfrm>
                          <a:prstGeom prst="rect">
                            <a:avLst/>
                          </a:prstGeom>
                          <a:ln>
                            <a:noFill/>
                          </a:ln>
                        </wps:spPr>
                        <wps:txbx>
                          <w:txbxContent>
                            <w:p w14:paraId="60DB7812"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17197" name="Rectangle 17197"/>
                        <wps:cNvSpPr/>
                        <wps:spPr>
                          <a:xfrm rot="-10799999">
                            <a:off x="97524" y="4925297"/>
                            <a:ext cx="50622" cy="142889"/>
                          </a:xfrm>
                          <a:prstGeom prst="rect">
                            <a:avLst/>
                          </a:prstGeom>
                          <a:ln>
                            <a:noFill/>
                          </a:ln>
                        </wps:spPr>
                        <wps:txbx>
                          <w:txbxContent>
                            <w:p w14:paraId="5C3E5A3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198" name="Rectangle 17198"/>
                        <wps:cNvSpPr/>
                        <wps:spPr>
                          <a:xfrm rot="-10799999">
                            <a:off x="85092" y="4801967"/>
                            <a:ext cx="3828325" cy="142889"/>
                          </a:xfrm>
                          <a:prstGeom prst="rect">
                            <a:avLst/>
                          </a:prstGeom>
                          <a:ln>
                            <a:noFill/>
                          </a:ln>
                        </wps:spPr>
                        <wps:txbx>
                          <w:txbxContent>
                            <w:p w14:paraId="3340D9F0" w14:textId="77777777" w:rsidR="00B32EF2" w:rsidRDefault="00000000">
                              <w:r>
                                <w:rPr>
                                  <w:rFonts w:ascii="Arial" w:eastAsia="Arial" w:hAnsi="Arial" w:cs="Arial"/>
                                  <w:i/>
                                  <w:sz w:val="18"/>
                                </w:rPr>
                                <w:t xml:space="preserve">so giudice, questi, anche d’ufficio, ne ordina la riunione. </w:t>
                              </w:r>
                            </w:p>
                          </w:txbxContent>
                        </wps:txbx>
                        <wps:bodyPr horzOverflow="overflow" vert="horz" lIns="0" tIns="0" rIns="0" bIns="0" rtlCol="0">
                          <a:noAutofit/>
                        </wps:bodyPr>
                      </wps:wsp>
                      <wps:wsp>
                        <wps:cNvPr id="200272" name="Rectangle 200272"/>
                        <wps:cNvSpPr/>
                        <wps:spPr>
                          <a:xfrm rot="-10799999">
                            <a:off x="2583338" y="4678638"/>
                            <a:ext cx="5104495" cy="142889"/>
                          </a:xfrm>
                          <a:prstGeom prst="rect">
                            <a:avLst/>
                          </a:prstGeom>
                          <a:ln>
                            <a:noFill/>
                          </a:ln>
                        </wps:spPr>
                        <wps:txbx>
                          <w:txbxContent>
                            <w:p w14:paraId="3F9EAFD6"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0273" name="Rectangle 200273"/>
                        <wps:cNvSpPr/>
                        <wps:spPr>
                          <a:xfrm rot="-10799999">
                            <a:off x="-1252490" y="4678638"/>
                            <a:ext cx="5104494" cy="142889"/>
                          </a:xfrm>
                          <a:prstGeom prst="rect">
                            <a:avLst/>
                          </a:prstGeom>
                          <a:ln>
                            <a:noFill/>
                          </a:ln>
                        </wps:spPr>
                        <wps:txbx>
                          <w:txbxContent>
                            <w:p w14:paraId="511B2C0F" w14:textId="77777777" w:rsidR="00B32EF2" w:rsidRDefault="00000000">
                              <w:r>
                                <w:rPr>
                                  <w:rFonts w:ascii="Arial" w:eastAsia="Arial" w:hAnsi="Arial" w:cs="Arial"/>
                                  <w:i/>
                                  <w:sz w:val="18"/>
                                </w:rPr>
                                <w:t xml:space="preserve">. Se il giudice istruttore o il presidente della sezione ha notizia che per la </w:t>
                              </w:r>
                            </w:p>
                          </w:txbxContent>
                        </wps:txbx>
                        <wps:bodyPr horzOverflow="overflow" vert="horz" lIns="0" tIns="0" rIns="0" bIns="0" rtlCol="0">
                          <a:noAutofit/>
                        </wps:bodyPr>
                      </wps:wsp>
                      <wps:wsp>
                        <wps:cNvPr id="17200" name="Rectangle 17200"/>
                        <wps:cNvSpPr/>
                        <wps:spPr>
                          <a:xfrm rot="-10799999">
                            <a:off x="-1088767" y="4555308"/>
                            <a:ext cx="5002185" cy="142889"/>
                          </a:xfrm>
                          <a:prstGeom prst="rect">
                            <a:avLst/>
                          </a:prstGeom>
                          <a:ln>
                            <a:noFill/>
                          </a:ln>
                        </wps:spPr>
                        <wps:txbx>
                          <w:txbxContent>
                            <w:p w14:paraId="40467C1B" w14:textId="77777777" w:rsidR="00B32EF2" w:rsidRDefault="00000000">
                              <w:r>
                                <w:rPr>
                                  <w:rFonts w:ascii="Arial" w:eastAsia="Arial" w:hAnsi="Arial" w:cs="Arial"/>
                                  <w:i/>
                                  <w:sz w:val="18"/>
                                </w:rPr>
                                <w:t>stessa causa pende procedimento davanti ad altro giudice o ad altra sezio</w:t>
                              </w:r>
                            </w:p>
                          </w:txbxContent>
                        </wps:txbx>
                        <wps:bodyPr horzOverflow="overflow" vert="horz" lIns="0" tIns="0" rIns="0" bIns="0" rtlCol="0">
                          <a:noAutofit/>
                        </wps:bodyPr>
                      </wps:wsp>
                      <wps:wsp>
                        <wps:cNvPr id="17201" name="Rectangle 17201"/>
                        <wps:cNvSpPr/>
                        <wps:spPr>
                          <a:xfrm rot="-10799999">
                            <a:off x="97524" y="4555308"/>
                            <a:ext cx="50622" cy="142889"/>
                          </a:xfrm>
                          <a:prstGeom prst="rect">
                            <a:avLst/>
                          </a:prstGeom>
                          <a:ln>
                            <a:noFill/>
                          </a:ln>
                        </wps:spPr>
                        <wps:txbx>
                          <w:txbxContent>
                            <w:p w14:paraId="761C0B2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202" name="Rectangle 17202"/>
                        <wps:cNvSpPr/>
                        <wps:spPr>
                          <a:xfrm rot="-10799999">
                            <a:off x="-1186375" y="4431978"/>
                            <a:ext cx="5098307" cy="142889"/>
                          </a:xfrm>
                          <a:prstGeom prst="rect">
                            <a:avLst/>
                          </a:prstGeom>
                          <a:ln>
                            <a:noFill/>
                          </a:ln>
                        </wps:spPr>
                        <wps:txbx>
                          <w:txbxContent>
                            <w:p w14:paraId="402730DC" w14:textId="77777777" w:rsidR="00B32EF2" w:rsidRDefault="00000000">
                              <w:r>
                                <w:rPr>
                                  <w:rFonts w:ascii="Arial" w:eastAsia="Arial" w:hAnsi="Arial" w:cs="Arial"/>
                                  <w:i/>
                                  <w:sz w:val="18"/>
                                </w:rPr>
                                <w:t xml:space="preserve">ne dello stesso tribunale, ne riferisce al presidente, il quale, sentite le parti, </w:t>
                              </w:r>
                            </w:p>
                          </w:txbxContent>
                        </wps:txbx>
                        <wps:bodyPr horzOverflow="overflow" vert="horz" lIns="0" tIns="0" rIns="0" bIns="0" rtlCol="0">
                          <a:noAutofit/>
                        </wps:bodyPr>
                      </wps:wsp>
                      <wps:wsp>
                        <wps:cNvPr id="17203" name="Rectangle 17203"/>
                        <wps:cNvSpPr/>
                        <wps:spPr>
                          <a:xfrm rot="-10799999">
                            <a:off x="-1192331" y="4308648"/>
                            <a:ext cx="5120837" cy="142889"/>
                          </a:xfrm>
                          <a:prstGeom prst="rect">
                            <a:avLst/>
                          </a:prstGeom>
                          <a:ln>
                            <a:noFill/>
                          </a:ln>
                        </wps:spPr>
                        <wps:txbx>
                          <w:txbxContent>
                            <w:p w14:paraId="61D66C5E" w14:textId="77777777" w:rsidR="00B32EF2" w:rsidRDefault="00000000">
                              <w:r>
                                <w:rPr>
                                  <w:rFonts w:ascii="Arial" w:eastAsia="Arial" w:hAnsi="Arial" w:cs="Arial"/>
                                  <w:i/>
                                  <w:sz w:val="18"/>
                                </w:rPr>
                                <w:t xml:space="preserve">ordina con decreto la riunione, determinando la sezione o designando il </w:t>
                              </w:r>
                            </w:p>
                          </w:txbxContent>
                        </wps:txbx>
                        <wps:bodyPr horzOverflow="overflow" vert="horz" lIns="0" tIns="0" rIns="0" bIns="0" rtlCol="0">
                          <a:noAutofit/>
                        </wps:bodyPr>
                      </wps:wsp>
                      <wps:wsp>
                        <wps:cNvPr id="17204" name="Rectangle 17204"/>
                        <wps:cNvSpPr/>
                        <wps:spPr>
                          <a:xfrm rot="-10799999">
                            <a:off x="38500" y="4185319"/>
                            <a:ext cx="3875603" cy="142889"/>
                          </a:xfrm>
                          <a:prstGeom prst="rect">
                            <a:avLst/>
                          </a:prstGeom>
                          <a:ln>
                            <a:noFill/>
                          </a:ln>
                        </wps:spPr>
                        <wps:txbx>
                          <w:txbxContent>
                            <w:p w14:paraId="2A04929F" w14:textId="77777777" w:rsidR="00B32EF2" w:rsidRDefault="00000000">
                              <w:r>
                                <w:rPr>
                                  <w:rFonts w:ascii="Arial" w:eastAsia="Arial" w:hAnsi="Arial" w:cs="Arial"/>
                                  <w:i/>
                                  <w:sz w:val="18"/>
                                </w:rPr>
                                <w:t>giudice davanti al quale il procedimento deve proseguire.</w:t>
                              </w:r>
                            </w:p>
                          </w:txbxContent>
                        </wps:txbx>
                        <wps:bodyPr horzOverflow="overflow" vert="horz" lIns="0" tIns="0" rIns="0" bIns="0" rtlCol="0">
                          <a:noAutofit/>
                        </wps:bodyPr>
                      </wps:wsp>
                      <wps:wsp>
                        <wps:cNvPr id="17205" name="Shape 17205"/>
                        <wps:cNvSpPr/>
                        <wps:spPr>
                          <a:xfrm>
                            <a:off x="31766" y="4127203"/>
                            <a:ext cx="3960000" cy="2129295"/>
                          </a:xfrm>
                          <a:custGeom>
                            <a:avLst/>
                            <a:gdLst/>
                            <a:ahLst/>
                            <a:cxnLst/>
                            <a:rect l="0" t="0" r="0" b="0"/>
                            <a:pathLst>
                              <a:path w="3960000" h="2129295">
                                <a:moveTo>
                                  <a:pt x="0" y="2129295"/>
                                </a:moveTo>
                                <a:lnTo>
                                  <a:pt x="3960000" y="2129295"/>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07867" name="Shape 207867"/>
                        <wps:cNvSpPr/>
                        <wps:spPr>
                          <a:xfrm>
                            <a:off x="38117" y="387698"/>
                            <a:ext cx="3960000" cy="1134796"/>
                          </a:xfrm>
                          <a:custGeom>
                            <a:avLst/>
                            <a:gdLst/>
                            <a:ahLst/>
                            <a:cxnLst/>
                            <a:rect l="0" t="0" r="0" b="0"/>
                            <a:pathLst>
                              <a:path w="3960000" h="1134796">
                                <a:moveTo>
                                  <a:pt x="0" y="0"/>
                                </a:moveTo>
                                <a:lnTo>
                                  <a:pt x="3960000" y="0"/>
                                </a:lnTo>
                                <a:lnTo>
                                  <a:pt x="3960000" y="1134796"/>
                                </a:lnTo>
                                <a:lnTo>
                                  <a:pt x="0" y="1134796"/>
                                </a:lnTo>
                                <a:lnTo>
                                  <a:pt x="0" y="0"/>
                                </a:lnTo>
                              </a:path>
                            </a:pathLst>
                          </a:custGeom>
                          <a:ln w="0" cap="flat">
                            <a:miter lim="100000"/>
                          </a:ln>
                        </wps:spPr>
                        <wps:style>
                          <a:lnRef idx="0">
                            <a:srgbClr val="000000">
                              <a:alpha val="0"/>
                            </a:srgbClr>
                          </a:lnRef>
                          <a:fillRef idx="1">
                            <a:srgbClr val="C3C3C3"/>
                          </a:fillRef>
                          <a:effectRef idx="0">
                            <a:scrgbClr r="0" g="0" b="0"/>
                          </a:effectRef>
                          <a:fontRef idx="none"/>
                        </wps:style>
                        <wps:bodyPr/>
                      </wps:wsp>
                      <wps:wsp>
                        <wps:cNvPr id="17207" name="Rectangle 17207"/>
                        <wps:cNvSpPr/>
                        <wps:spPr>
                          <a:xfrm rot="-10799999">
                            <a:off x="2335101" y="1301266"/>
                            <a:ext cx="1585695" cy="142889"/>
                          </a:xfrm>
                          <a:prstGeom prst="rect">
                            <a:avLst/>
                          </a:prstGeom>
                          <a:ln>
                            <a:noFill/>
                          </a:ln>
                        </wps:spPr>
                        <wps:txbx>
                          <w:txbxContent>
                            <w:p w14:paraId="335A6E11"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7208" name="Rectangle 17208"/>
                        <wps:cNvSpPr/>
                        <wps:spPr>
                          <a:xfrm rot="-10799999">
                            <a:off x="-1138513" y="1177935"/>
                            <a:ext cx="5058052" cy="142890"/>
                          </a:xfrm>
                          <a:prstGeom prst="rect">
                            <a:avLst/>
                          </a:prstGeom>
                          <a:ln>
                            <a:noFill/>
                          </a:ln>
                        </wps:spPr>
                        <wps:txbx>
                          <w:txbxContent>
                            <w:p w14:paraId="60EB8C85" w14:textId="77777777" w:rsidR="00B32EF2" w:rsidRDefault="00000000">
                              <w:r>
                                <w:rPr>
                                  <w:rFonts w:ascii="Arial" w:eastAsia="Arial" w:hAnsi="Arial" w:cs="Arial"/>
                                  <w:i/>
                                  <w:sz w:val="18"/>
                                </w:rPr>
                                <w:t>Art. 10-bis. L. 212/2000 “Disciplina dell’abuso del diritto o elusione fiscale”</w:t>
                              </w:r>
                            </w:p>
                          </w:txbxContent>
                        </wps:txbx>
                        <wps:bodyPr horzOverflow="overflow" vert="horz" lIns="0" tIns="0" rIns="0" bIns="0" rtlCol="0">
                          <a:noAutofit/>
                        </wps:bodyPr>
                      </wps:wsp>
                      <wps:wsp>
                        <wps:cNvPr id="200255" name="Rectangle 200255"/>
                        <wps:cNvSpPr/>
                        <wps:spPr>
                          <a:xfrm rot="-10799999">
                            <a:off x="2590650" y="1054606"/>
                            <a:ext cx="5100618" cy="142889"/>
                          </a:xfrm>
                          <a:prstGeom prst="rect">
                            <a:avLst/>
                          </a:prstGeom>
                          <a:ln>
                            <a:noFill/>
                          </a:ln>
                        </wps:spPr>
                        <wps:txbx>
                          <w:txbxContent>
                            <w:p w14:paraId="4800D84E"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0256" name="Rectangle 200256"/>
                        <wps:cNvSpPr/>
                        <wps:spPr>
                          <a:xfrm rot="-10799999">
                            <a:off x="-1240252" y="1054606"/>
                            <a:ext cx="5100618" cy="142889"/>
                          </a:xfrm>
                          <a:prstGeom prst="rect">
                            <a:avLst/>
                          </a:prstGeom>
                          <a:ln>
                            <a:noFill/>
                          </a:ln>
                        </wps:spPr>
                        <wps:txbx>
                          <w:txbxContent>
                            <w:p w14:paraId="68368309" w14:textId="77777777" w:rsidR="00B32EF2" w:rsidRDefault="00000000">
                              <w:r>
                                <w:rPr>
                                  <w:rFonts w:ascii="Arial" w:eastAsia="Arial" w:hAnsi="Arial" w:cs="Arial"/>
                                  <w:i/>
                                  <w:sz w:val="18"/>
                                </w:rPr>
                                <w:t xml:space="preserve">. Configurano abuso del diritto una o più operazioni prive di sostanza </w:t>
                              </w:r>
                            </w:p>
                          </w:txbxContent>
                        </wps:txbx>
                        <wps:bodyPr horzOverflow="overflow" vert="horz" lIns="0" tIns="0" rIns="0" bIns="0" rtlCol="0">
                          <a:noAutofit/>
                        </wps:bodyPr>
                      </wps:wsp>
                      <wps:wsp>
                        <wps:cNvPr id="17210" name="Rectangle 17210"/>
                        <wps:cNvSpPr/>
                        <wps:spPr>
                          <a:xfrm rot="-10799999">
                            <a:off x="-1083558" y="931276"/>
                            <a:ext cx="5003325" cy="142889"/>
                          </a:xfrm>
                          <a:prstGeom prst="rect">
                            <a:avLst/>
                          </a:prstGeom>
                          <a:ln>
                            <a:noFill/>
                          </a:ln>
                        </wps:spPr>
                        <wps:txbx>
                          <w:txbxContent>
                            <w:p w14:paraId="5A63596D" w14:textId="77777777" w:rsidR="00B32EF2" w:rsidRDefault="00000000">
                              <w:r>
                                <w:rPr>
                                  <w:rFonts w:ascii="Arial" w:eastAsia="Arial" w:hAnsi="Arial" w:cs="Arial"/>
                                  <w:i/>
                                  <w:sz w:val="18"/>
                                </w:rPr>
                                <w:t>economica che, pur nel rispetto formale delle norme fiscali, realizzano es</w:t>
                              </w:r>
                            </w:p>
                          </w:txbxContent>
                        </wps:txbx>
                        <wps:bodyPr horzOverflow="overflow" vert="horz" lIns="0" tIns="0" rIns="0" bIns="0" rtlCol="0">
                          <a:noAutofit/>
                        </wps:bodyPr>
                      </wps:wsp>
                      <wps:wsp>
                        <wps:cNvPr id="17211" name="Rectangle 17211"/>
                        <wps:cNvSpPr/>
                        <wps:spPr>
                          <a:xfrm rot="-10799999">
                            <a:off x="103874" y="931276"/>
                            <a:ext cx="50622" cy="142889"/>
                          </a:xfrm>
                          <a:prstGeom prst="rect">
                            <a:avLst/>
                          </a:prstGeom>
                          <a:ln>
                            <a:noFill/>
                          </a:ln>
                        </wps:spPr>
                        <wps:txbx>
                          <w:txbxContent>
                            <w:p w14:paraId="054A219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212" name="Rectangle 17212"/>
                        <wps:cNvSpPr/>
                        <wps:spPr>
                          <a:xfrm rot="-10799999">
                            <a:off x="-1180835" y="807947"/>
                            <a:ext cx="5100602" cy="142889"/>
                          </a:xfrm>
                          <a:prstGeom prst="rect">
                            <a:avLst/>
                          </a:prstGeom>
                          <a:ln>
                            <a:noFill/>
                          </a:ln>
                        </wps:spPr>
                        <wps:txbx>
                          <w:txbxContent>
                            <w:p w14:paraId="5D2DB7F2" w14:textId="77777777" w:rsidR="00B32EF2" w:rsidRDefault="00000000">
                              <w:r>
                                <w:rPr>
                                  <w:rFonts w:ascii="Arial" w:eastAsia="Arial" w:hAnsi="Arial" w:cs="Arial"/>
                                  <w:i/>
                                  <w:sz w:val="18"/>
                                </w:rPr>
                                <w:t xml:space="preserve">senzialmente vantaggi fiscali indebiti. Tali operazioni non sono opponibili </w:t>
                              </w:r>
                            </w:p>
                          </w:txbxContent>
                        </wps:txbx>
                        <wps:bodyPr horzOverflow="overflow" vert="horz" lIns="0" tIns="0" rIns="0" bIns="0" rtlCol="0">
                          <a:noAutofit/>
                        </wps:bodyPr>
                      </wps:wsp>
                      <wps:wsp>
                        <wps:cNvPr id="17213" name="Rectangle 17213"/>
                        <wps:cNvSpPr/>
                        <wps:spPr>
                          <a:xfrm rot="-10799999">
                            <a:off x="-1180774" y="684617"/>
                            <a:ext cx="5100542" cy="142889"/>
                          </a:xfrm>
                          <a:prstGeom prst="rect">
                            <a:avLst/>
                          </a:prstGeom>
                          <a:ln>
                            <a:noFill/>
                          </a:ln>
                        </wps:spPr>
                        <wps:txbx>
                          <w:txbxContent>
                            <w:p w14:paraId="37913E52" w14:textId="77777777" w:rsidR="00B32EF2" w:rsidRDefault="00000000">
                              <w:r>
                                <w:rPr>
                                  <w:rFonts w:ascii="Arial" w:eastAsia="Arial" w:hAnsi="Arial" w:cs="Arial"/>
                                  <w:i/>
                                  <w:sz w:val="18"/>
                                </w:rPr>
                                <w:t xml:space="preserve">all’amministrazione finanziaria, che ne disconosce i vantaggi determinando </w:t>
                              </w:r>
                            </w:p>
                          </w:txbxContent>
                        </wps:txbx>
                        <wps:bodyPr horzOverflow="overflow" vert="horz" lIns="0" tIns="0" rIns="0" bIns="0" rtlCol="0">
                          <a:noAutofit/>
                        </wps:bodyPr>
                      </wps:wsp>
                      <wps:wsp>
                        <wps:cNvPr id="17214" name="Rectangle 17214"/>
                        <wps:cNvSpPr/>
                        <wps:spPr>
                          <a:xfrm rot="-10799999">
                            <a:off x="-1182178" y="561287"/>
                            <a:ext cx="5105832" cy="142889"/>
                          </a:xfrm>
                          <a:prstGeom prst="rect">
                            <a:avLst/>
                          </a:prstGeom>
                          <a:ln>
                            <a:noFill/>
                          </a:ln>
                        </wps:spPr>
                        <wps:txbx>
                          <w:txbxContent>
                            <w:p w14:paraId="4CBB51FD" w14:textId="77777777" w:rsidR="00B32EF2" w:rsidRDefault="00000000">
                              <w:r>
                                <w:rPr>
                                  <w:rFonts w:ascii="Arial" w:eastAsia="Arial" w:hAnsi="Arial" w:cs="Arial"/>
                                  <w:i/>
                                  <w:sz w:val="18"/>
                                </w:rPr>
                                <w:t xml:space="preserve">i tributi sulla base delle norme e dei principi elusi e tenuto conto di quanto </w:t>
                              </w:r>
                            </w:p>
                          </w:txbxContent>
                        </wps:txbx>
                        <wps:bodyPr horzOverflow="overflow" vert="horz" lIns="0" tIns="0" rIns="0" bIns="0" rtlCol="0">
                          <a:noAutofit/>
                        </wps:bodyPr>
                      </wps:wsp>
                      <wps:wsp>
                        <wps:cNvPr id="17215" name="Rectangle 17215"/>
                        <wps:cNvSpPr/>
                        <wps:spPr>
                          <a:xfrm rot="-10799999">
                            <a:off x="196928" y="437958"/>
                            <a:ext cx="3722840" cy="142889"/>
                          </a:xfrm>
                          <a:prstGeom prst="rect">
                            <a:avLst/>
                          </a:prstGeom>
                          <a:ln>
                            <a:noFill/>
                          </a:ln>
                        </wps:spPr>
                        <wps:txbx>
                          <w:txbxContent>
                            <w:p w14:paraId="7CA5DBDA" w14:textId="77777777" w:rsidR="00B32EF2" w:rsidRDefault="00000000">
                              <w:r>
                                <w:rPr>
                                  <w:rFonts w:ascii="Arial" w:eastAsia="Arial" w:hAnsi="Arial" w:cs="Arial"/>
                                  <w:i/>
                                  <w:sz w:val="18"/>
                                </w:rPr>
                                <w:t>versato dal contribuente per effetto di dette operazioni.</w:t>
                              </w:r>
                            </w:p>
                          </w:txbxContent>
                        </wps:txbx>
                        <wps:bodyPr horzOverflow="overflow" vert="horz" lIns="0" tIns="0" rIns="0" bIns="0" rtlCol="0">
                          <a:noAutofit/>
                        </wps:bodyPr>
                      </wps:wsp>
                      <wps:wsp>
                        <wps:cNvPr id="17216" name="Shape 17216"/>
                        <wps:cNvSpPr/>
                        <wps:spPr>
                          <a:xfrm>
                            <a:off x="38116" y="387702"/>
                            <a:ext cx="3960000" cy="1134796"/>
                          </a:xfrm>
                          <a:custGeom>
                            <a:avLst/>
                            <a:gdLst/>
                            <a:ahLst/>
                            <a:cxnLst/>
                            <a:rect l="0" t="0" r="0" b="0"/>
                            <a:pathLst>
                              <a:path w="3960000" h="1134796">
                                <a:moveTo>
                                  <a:pt x="0" y="1134796"/>
                                </a:moveTo>
                                <a:lnTo>
                                  <a:pt x="3960000" y="1134796"/>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8CDA865" id="Group 200513" o:spid="_x0000_s3056" style="width:314.8pt;height:492.65pt;mso-position-horizontal-relative:char;mso-position-vertical-relative:line" coordsize="39981,62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T6MTgwAAB6EAAAOAAAAZHJzL2Uyb0RvYy54bWzsXWtv2zgW/b7A/AfD392IpEhJRtPBop0p&#10;FljsDObxAxRHfgCyZchqk+6v33NJibIVOhNIu2F2OCnQOLRESTw898V7qfffP+7L2deiPu2qw+2c&#10;vYvms+Kwqu53h83t/Pffflyk89mpyQ/3eVkditv5t+I0//7Dd397/3BcFrzaVuV9Uc/QyeG0fDje&#10;zrdNc1ze3JxW22Kfn95Vx+KAL9dVvc8b/Flvbu7r/AG978sbHkXq5qGq7491tSpOJ7R+Ml/OP+j+&#10;1+ti1fy0Xp+KZlbeznFvjf6/1v/f0f83H97ny02dH7e7VXsb+Yi72Oe7Ay5qu/qUN/nsS7170tV+&#10;t6qrU7Vu3q2q/U21Xu9WhX4GPA2LBk/zua6+HPWzbJYPm6MdJgztYJxGd7v619fP9fHX4881RuLh&#10;uMFY6L/oWR7X9Z5+4y5nj3rIvtkhKx6b2QqNIstSxpL5bIXvFJcqzhIzqKstRv7JeavtD39w5k13&#10;4ZuL23k4YoKc+jE4TRuDX7f5sdBDe1piDH6uZ7t7zN+EKTWfHfI9puovmDz5YVMWM9OsB0gfbYfr&#10;tDxh5LqxmtUV5teCRUlGP3o+tGPHsiiKpZjPMEoLxfGnGaRuGFmSCpWZUeQyUrGi7+1Q5MtjfWo+&#10;F9V+Rh9u5zXuTfeff/3nqTGHdofQ7ZQH+v9Q/bgrS/MttWBEuzumT83j3aN57CxmdD1qvKvuv2E0&#10;tlX975/A63VZPdzOq/bTnKiOy9O381n5jwNQIFZ1H+ruw133oW7Kj5Xmnrmhv39pqvVO33F/tfbO&#10;AK+5h1fBGXPWhbOevXRrmBUjcI4TyTmGBDgLJXmW6YHNlx3QqWIqjg3QLOZpmr0y0Dw4oKGBXECn&#10;3UCMAjrmsTQoA2SlBigLzlTqFWbRPV0wfIb0dMGs+TWezzJKZYKuic9MZirR/Dnjc6SEaAW3Fz7H&#10;QQENk48n7CnSbXurw0YxmjEVZQlEM0EdCSVizaEeapZBgzNcnEwdL1jL8LCGKh2yWmOt7afRtF5w&#10;pWBlnWE9oLV/rLUB2JtIf3KDjDAl+9eFNdqn8JrjR0h+hvWb47W1OUNR1i4RDicLzVOQXiiWRgJ2&#10;PeQzz5iI2ADpmKWpkrDbvElwa3QGgbRmtcP8btsnYc1EogQz6ponaabSAdhSRGkGP9of2FZuhQO2&#10;w6nWYFsJN8o044qxKDL+1tvEWlp7JBysgYdTXVsrdRTWCxbHYG5LbKWUQNgMkqK3w0HsjDEodF9S&#10;XFo1FQ7YwMMJtnU/R4HNZZzxNiwKk/wa1h59LhiOrZoKAmsywhxQm+aJ+polnANJMs4kKM4dtIbb&#10;7ZHW+oaCcbkIU4cIN81ToOYiSiJh1jp4zDKVaSHRC3CKjSapT1JbqRUEqbUFBjycAtxO+lECfMFE&#10;ypIENj7RGpFwoQZgk7b2S2trj4QDNowjJ9hWmY0CG2Z4lMHNesNYhxU1I1nt8LhM8xQRDlpDW7cB&#10;Us4SxMNdtCZ17s0Ity5lELQmTB2RFNM8HerOMIuQvhG5oPZqmAUYNbuy7qFsnGGcBGcZeG2WM1nG&#10;lYAFiMnTm2aSMw7/2yOtAwyaQYo6tbUNM4zCegGkVZYa0+xtgt3P5lBkeOrgNWQ4mqfIcKDLTHTU&#10;jXOkuMdwmUmOCcmvJt92yGhCeSqh4WAhjVDb37TShYzCofTmUco8ZqMo62AEQ2iHq0VQ24EYJbvP&#10;CO3E2TOhbcwgGJQd0RNC2Q7EKJQvvCymkiyBFL80xyh4QumkvrwsE80JRnZTpEw6POq2fYqOFkxk&#10;KeUeUPKYlEqkOlbRm948kQr5wB6xDi9QJh0utcbaepzjiK0Y8v9NetkzWGOieeN1WIEyjemV9DJp&#10;Pc5RWDOeIhUFVsDzvPaJdViRMh4laV/Eo+t8Zm3bH8pvCoW0FTsIgCqABlRjxhEL1R5aL61FpiL8&#10;GAYjaJLxTIvPs5Kd1RdTskOddmU6KBC7NwU7aNt2n1aPh+4jFfY8W6t2zBs6jzqljzNU59h72WIN&#10;pr0V+n6Psp3fKn1kMyjEwm3235aH86Nsb3h0/dA4tjui+33U/Z0f2V0XQ3z1eIwW+nz5kZdXR7f0&#10;wLp/OwhoPB/m8kDjQajkqCVcl7kpktrvGhQZlrs9VC9PCLbuNp/URJ2ab2VBQ1YefinWqI7ShW/U&#10;cKo3dx/LevY1p3Im/WMqsMrjNm9b237bQ9uhQD90/hqlWLZLpk+96PKjoH9tD+3BdF6hqxjtmZE5&#10;c9XejSllREEgHroraMSg2JP0latDY88/oAxTX4SMuvZpe/uOxoX+etVSLFhCTnfZ6qhRghnL0Cpq&#10;Y50qQgaw0oPbUxj5/ok4N7hMrRZGryt87Crq/kdFd8paGUH4UaSEXWsYbTumHs28cVhLuMnCKGGJ&#10;5LDsyXIVqjuweunR4LJWRjhYXzG4UE41BesF40BbGuv6bYKdaAXTS9U/efEGRUIcjpRpngY1S2Wa&#10;GjNMJkjeRxIwOuxluIwyiRQjf7zuSxaC4DVh6qC1aZ4GNZJ6o06EozoL4ZAh1FEcI/XWm89sSj9D&#10;YjV2KXAZZmbzgtHKOkOJvFnEkG6cva5WJTamGwqhYfY6UZ64WgUU2/IcSSJ6uFYlMA1QwOORzuEl&#10;gbqSxbT1bSNEo6xvWGRxzNr9EIA17XExkN3YEwXlWh7B1sokGNmtQXV41W37FEUN45tDOetQzhvF&#10;2sYNgpHg7uXJzKqykbRmaaKwjxFF7bDLieTDJSvJIs6RxOPPJLOCKxio3dU5psRitEnGER7BbNFA&#10;w5bP4F1fuFkiiZBNhkv7Wq9C3KgVWsEA7a7NMasMo4FeIPrN2lwxGcWpgiS/QDpWDAWXPpG20aEg&#10;kNYa2QF12z5FUy8YizOsd2haU50l77bm6zYjk1GEEnqPYPd5j+GA7RDgGmzrjoxS1lDDaZya9JI3&#10;irX1J4PAmtQoqOdIAzUsHC3C+/DJFZy9hk/6xMdgUHaHvjNrsYzic4rItlnPitMINbQDNS1SngoO&#10;uvsyyPrUxyBw1hLakerbtk9R03CohRCYRJRqopC7gs8XJhm8rDiG3ecPa6uawsHa4VFrrKe61LDC&#10;YgqrPw+2T5MsrEgZlbk6VzmoeQqtsQ00Vi67FDIpaTuqAa+RD4H1TY+8Di1Qhi3WXRYZNU+B+swi&#10;c+Ps1yILLUbGI4eiJp5Pq8mBOw3dTFumkOyOBcz7J4TG7ggRjH5vRpm1OYNQ1ISpQ0+b5imEBtQZ&#10;F7Q4SVBDcKt4CDVDpR1tNekN6rDCZISpI3BimqdALeBoteYYdDFIfamjRYpVappkvnDucy2CoTQk&#10;rImamNx9wtjapNd9acoKO0vdN+mBJnV/kPdr09YJ08ts9C7x9zyn/A2l7l/e7EsS+C/P6NL3u99P&#10;0/j7zHhTEnB5pCHK8JhVWZ0KcPDlCfo6CR+cupqkb7LrTZ+OF5e4kvQdGfVtkn7XjSsPv82mH5fa&#10;H06Svq6fsdHMs5oaa1u+jJjmVUGgHeQq9qYYyNrzkhrGRJyghM6A55WX3a2QhOk5Z7hzyYj+20ve&#10;WImDJx+y5/qR3XW7+XudkS8/8vLqL2csnvO/ytZJvNOlObqw5a+SGvdbrMDXTomev8WKmjGbRi89&#10;wCZGMNKYxbS9OrZsvaQwk6lUPkOVpoSHHjAYc8m5/ADvZBLS8IBgGWP/fPKA8H63JBNP0rGpCgOe&#10;dmcZG0v19aqnsDzSzuUgoKboM20fMFxQbNsn0VpmEV6HYrCOZKyw8R/6O6uywO7reLdCj/Vrv7Ws&#10;z2QLB+sr6ZsmNWu0CKdcXUwks7TI3ibYYS03wb+lwsQhr03zFFrTCoSQtMUFZHgm4HQNaY30H6+L&#10;yH0yWxC0JkjdCxBonoI0CqfS9s1lbpy9LkAYLy4km4xeTuHis7VYrnvLz7xDlhYgiNGazyleMhsP&#10;kkJgm1PJu0c1bd2LYPjsXn8wL56aoKSBdNIyGpvlK7xg+YlBJmOfSFv3Ihik3csPKHGbIrmJ09hf&#10;2+hoqbCZ0FOkkR/kE+ngFpooPd4lvV+wCPGM9Kb3YHCDcyySDGbZBaOxhRRPYwqzkcP96i+Ghhep&#10;Q4NBaWnrYdmFJlO3+LzcPl9oQjzbLDTB/kpMfkHvNduor4b0/ymefRlPfklU+/KMLqbd/f5rnWlS&#10;vPtNrDNhW6jN8mFz1Ot8mzo/bnerT3mTn/+tN49aFrzaVuV9UX/4DwAAAP//AwBQSwMEFAAGAAgA&#10;AAAhAPaZqKDdAAAABQEAAA8AAABkcnMvZG93bnJldi54bWxMj0FrwkAQhe+F/odlhN7qJopBYzYi&#10;0vYkhWqh9DZmxySYnQ3ZNYn/vtte7GXg8R7vfZNtRtOInjpXW1YQTyMQxIXVNZcKPo+vz0sQziNr&#10;bCyTghs52OSPDxmm2g78Qf3BlyKUsEtRQeV9m0rpiooMuqltiYN3tp1BH2RXSt3hEMpNI2dRlEiD&#10;NYeFClvaVVRcDlej4G3AYTuPX/r95by7fR8X71/7mJR6mozbNQhPo7+H4Rc/oEMemE72ytqJRkF4&#10;xP/d4CWzVQLipGC1XMxB5pn8T5//AAAA//8DAFBLAQItABQABgAIAAAAIQC2gziS/gAAAOEBAAAT&#10;AAAAAAAAAAAAAAAAAAAAAABbQ29udGVudF9UeXBlc10ueG1sUEsBAi0AFAAGAAgAAAAhADj9If/W&#10;AAAAlAEAAAsAAAAAAAAAAAAAAAAALwEAAF9yZWxzLy5yZWxzUEsBAi0AFAAGAAgAAAAhAKp5PoxO&#10;DAAAHoQAAA4AAAAAAAAAAAAAAAAALgIAAGRycy9lMm9Eb2MueG1sUEsBAi0AFAAGAAgAAAAhAPaZ&#10;qKDdAAAABQEAAA8AAAAAAAAAAAAAAAAAqA4AAGRycy9kb3ducmV2LnhtbFBLBQYAAAAABAAEAPMA&#10;AACyDwAAAAA=&#10;">
                <v:rect id="Rectangle 17166" o:spid="_x0000_s3057"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yyVxAAAAN4AAAAPAAAAZHJzL2Rvd25yZXYueG1sRE9Na8JA&#10;EL0L/Q/LFLzpRg+ppK4iipiDl9oIHofsmKRmZ5fsamJ/fbdQ6G0e73OW68G04kGdbywrmE0TEMSl&#10;1Q1XCorP/WQBwgdkja1lUvAkD+vVy2iJmbY9f9DjFCoRQ9hnqKAOwWVS+rImg35qHXHkrrYzGCLs&#10;Kqk77GO4aeU8SVJpsOHYUKOjbU3l7XQ3Ci47dvm+l+X1e+uOX/miPdyLs1Lj12HzDiLQEP7Ff+5c&#10;x/lvszSF33fiDXL1AwAA//8DAFBLAQItABQABgAIAAAAIQDb4fbL7gAAAIUBAAATAAAAAAAAAAAA&#10;AAAAAAAAAABbQ29udGVudF9UeXBlc10ueG1sUEsBAi0AFAAGAAgAAAAhAFr0LFu/AAAAFQEAAAsA&#10;AAAAAAAAAAAAAAAAHwEAAF9yZWxzLy5yZWxzUEsBAi0AFAAGAAgAAAAhAPSbLJXEAAAA3gAAAA8A&#10;AAAAAAAAAAAAAAAABwIAAGRycy9kb3ducmV2LnhtbFBLBQYAAAAAAwADALcAAAD4AgAAAAA=&#10;" filled="f" stroked="f">
                  <v:textbox inset="0,0,0,0">
                    <w:txbxContent>
                      <w:p w14:paraId="03C02462" w14:textId="77777777" w:rsidR="00B32EF2" w:rsidRDefault="00000000">
                        <w:r>
                          <w:rPr>
                            <w:rFonts w:ascii="Times New Roman" w:eastAsia="Times New Roman" w:hAnsi="Times New Roman" w:cs="Times New Roman"/>
                          </w:rPr>
                          <w:t>75</w:t>
                        </w:r>
                      </w:p>
                    </w:txbxContent>
                  </v:textbox>
                </v:rect>
                <v:rect id="Rectangle 17167" o:spid="_x0000_s3058" style="position:absolute;left:14752;top:36529;width:86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4kOwwAAAN4AAAAPAAAAZHJzL2Rvd25yZXYueG1sRE9Li8Iw&#10;EL4v+B/CCHtbU/egUo0iimwPe/EFHodmbKvNJDTRdvfXG0HwNh/fc2aLztTiTo2vLCsYDhIQxLnV&#10;FRcKDvvN1wSED8gaa8uk4I88LOa9jxmm2ra8pfsuFCKGsE9RQRmCS6X0eUkG/cA64sidbWMwRNgU&#10;UjfYxnBTy+8kGUmDFceGEh2tSsqvu5tRcFqzyzatzM//K/d7ySb1z+1wVOqz3y2nIAJ14S1+uTMd&#10;54+HozE834k3yPkDAAD//wMAUEsBAi0AFAAGAAgAAAAhANvh9svuAAAAhQEAABMAAAAAAAAAAAAA&#10;AAAAAAAAAFtDb250ZW50X1R5cGVzXS54bWxQSwECLQAUAAYACAAAACEAWvQsW78AAAAVAQAACwAA&#10;AAAAAAAAAAAAAAAfAQAAX3JlbHMvLnJlbHNQSwECLQAUAAYACAAAACEAm9eJDsMAAADeAAAADwAA&#10;AAAAAAAAAAAAAAAHAgAAZHJzL2Rvd25yZXYueG1sUEsFBgAAAAADAAMAtwAAAPcCAAAAAA==&#10;" filled="f" stroked="f">
                  <v:textbox inset="0,0,0,0">
                    <w:txbxContent>
                      <w:p w14:paraId="2BD4BB12" w14:textId="77777777" w:rsidR="00B32EF2" w:rsidRDefault="00000000">
                        <w:r>
                          <w:rPr>
                            <w:rFonts w:ascii="Arial" w:eastAsia="Arial" w:hAnsi="Arial" w:cs="Arial"/>
                            <w:b/>
                            <w:sz w:val="18"/>
                          </w:rPr>
                          <w:t>SEZIONE III</w:t>
                        </w:r>
                      </w:p>
                    </w:txbxContent>
                  </v:textbox>
                </v:rect>
                <v:rect id="Rectangle 17168" o:spid="_x0000_s3059" style="position:absolute;left:42;top:35296;width:321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B18xwAAAN4AAAAPAAAAZHJzL2Rvd25yZXYueG1sRI9Pb8Iw&#10;DMXvk/YdIiPtNlJ2ANQREGJC62GX8Ufa0WpMW2icqAm026efD0jcbL3n935erAbXqht1sfFsYDLO&#10;QBGX3jZcGTjst69zUDEhW2w9k4FfirBaPj8tMLe+52+67VKlJIRjjgbqlEKudSxrchjHPhCLdvKd&#10;wyRrV2nbYS/hrtVvWTbVDhuWhhoDbWoqL7urM/DzwaHY9ro8/W3C17mYt5/Xw9GYl9GwfgeVaEgP&#10;8/26sII/m0yFV96RGfTyHwAA//8DAFBLAQItABQABgAIAAAAIQDb4fbL7gAAAIUBAAATAAAAAAAA&#10;AAAAAAAAAAAAAABbQ29udGVudF9UeXBlc10ueG1sUEsBAi0AFAAGAAgAAAAhAFr0LFu/AAAAFQEA&#10;AAsAAAAAAAAAAAAAAAAAHwEAAF9yZWxzLy5yZWxzUEsBAi0AFAAGAAgAAAAhAOpIHXzHAAAA3gAA&#10;AA8AAAAAAAAAAAAAAAAABwIAAGRycy9kb3ducmV2LnhtbFBLBQYAAAAAAwADALcAAAD7AgAAAAA=&#10;" filled="f" stroked="f">
                  <v:textbox inset="0,0,0,0">
                    <w:txbxContent>
                      <w:p w14:paraId="39156723" w14:textId="77777777" w:rsidR="00B32EF2" w:rsidRDefault="00000000">
                        <w:r>
                          <w:rPr>
                            <w:rFonts w:ascii="Arial" w:eastAsia="Arial" w:hAnsi="Arial" w:cs="Arial"/>
                            <w:b/>
                            <w:sz w:val="18"/>
                          </w:rPr>
                          <w:t xml:space="preserve"> LA TRATTAZIONE DELLA CONTROVERSIA</w:t>
                        </w:r>
                      </w:p>
                    </w:txbxContent>
                  </v:textbox>
                </v:rect>
                <v:rect id="Rectangle 17169" o:spid="_x0000_s3060" style="position:absolute;left:15085;top:31596;width:80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LjnxAAAAN4AAAAPAAAAZHJzL2Rvd25yZXYueG1sRE9Li8Iw&#10;EL4v7H8II3jT1D242jWKuMj24MUX7HFoxrbaTEITbfXXbwRhb/PxPWe26EwtbtT4yrKC0TABQZxb&#10;XXGh4LBfDyYgfEDWWFsmBXfysJi/v80w1bblLd12oRAxhH2KCsoQXCqlz0sy6IfWEUfuZBuDIcKm&#10;kLrBNoabWn4kyVgarDg2lOhoVVJ+2V2Ngt9vdtm6lfnpsXKbczapf66Ho1L9Xrf8AhGoC//ilzvT&#10;cf7naDyF5zvxBjn/AwAA//8DAFBLAQItABQABgAIAAAAIQDb4fbL7gAAAIUBAAATAAAAAAAAAAAA&#10;AAAAAAAAAABbQ29udGVudF9UeXBlc10ueG1sUEsBAi0AFAAGAAgAAAAhAFr0LFu/AAAAFQEAAAsA&#10;AAAAAAAAAAAAAAAAHwEAAF9yZWxzLy5yZWxzUEsBAi0AFAAGAAgAAAAhAIUEuOfEAAAA3gAAAA8A&#10;AAAAAAAAAAAAAAAABwIAAGRycy9kb3ducmV2LnhtbFBLBQYAAAAAAwADALcAAAD4AgAAAAA=&#10;" filled="f" stroked="f">
                  <v:textbox inset="0,0,0,0">
                    <w:txbxContent>
                      <w:p w14:paraId="19A49EAC" w14:textId="77777777" w:rsidR="00B32EF2" w:rsidRDefault="00000000">
                        <w:r>
                          <w:rPr>
                            <w:rFonts w:ascii="Arial" w:eastAsia="Arial" w:hAnsi="Arial" w:cs="Arial"/>
                            <w:b/>
                            <w:sz w:val="18"/>
                          </w:rPr>
                          <w:t>Articolo 78</w:t>
                        </w:r>
                      </w:p>
                    </w:txbxContent>
                  </v:textbox>
                </v:rect>
                <v:rect id="Rectangle 200271" o:spid="_x0000_s3061" style="position:absolute;left:11609;top:30363;width:194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HlwxgAAAN8AAAAPAAAAZHJzL2Rvd25yZXYueG1sRI9Pi8Iw&#10;FMTvC36H8IS9rakeVqlGWVxke/DiP/D4aJ5t3eYlNNFWP70RBI/DzPyGmS06U4srNb6yrGA4SEAQ&#10;51ZXXCjY71ZfExA+IGusLZOCG3lYzHsfM0y1bXlD120oRISwT1FBGYJLpfR5SQb9wDri6J1sYzBE&#10;2RRSN9hGuKnlKEm+pcGK40KJjpYl5f/bi1Fw/GWXrVqZn+5Ltz5nk/rvsj8o9dnvfqYgAnXhHX61&#10;M60gEkfjITz/xC8g5w8AAAD//wMAUEsBAi0AFAAGAAgAAAAhANvh9svuAAAAhQEAABMAAAAAAAAA&#10;AAAAAAAAAAAAAFtDb250ZW50X1R5cGVzXS54bWxQSwECLQAUAAYACAAAACEAWvQsW78AAAAVAQAA&#10;CwAAAAAAAAAAAAAAAAAfAQAAX3JlbHMvLnJlbHNQSwECLQAUAAYACAAAACEAxeB5cMYAAADfAAAA&#10;DwAAAAAAAAAAAAAAAAAHAgAAZHJzL2Rvd25yZXYueG1sUEsFBgAAAAADAAMAtwAAAPoCAAAAAA==&#10;" filled="f" stroked="f">
                  <v:textbox inset="0,0,0,0">
                    <w:txbxContent>
                      <w:p w14:paraId="3D3558F3" w14:textId="77777777" w:rsidR="00B32EF2" w:rsidRDefault="00000000">
                        <w:r>
                          <w:rPr>
                            <w:rFonts w:ascii="Arial" w:eastAsia="Arial" w:hAnsi="Arial" w:cs="Arial"/>
                            <w:i/>
                            <w:sz w:val="18"/>
                          </w:rPr>
                          <w:t xml:space="preserve">articolo 30 D.lgs. n. </w:t>
                        </w:r>
                      </w:p>
                    </w:txbxContent>
                  </v:textbox>
                </v:rect>
                <v:rect id="Rectangle 200270" o:spid="_x0000_s3062" style="position:absolute;left:-2665;top:30363;width:194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NzrxwAAAN8AAAAPAAAAZHJzL2Rvd25yZXYueG1sRI9Na8JA&#10;EIbvhf6HZQq91U09VEldRSzSHLz4UehxyI5JanZ2ya4m9dc7B8Hj8M77vDyzxeBadaEuNp4NvI8y&#10;UMSltw1XBg779dsUVEzIFlvPZOCfIizmz08zzK3veUuXXaqUQDjmaKBOKeRax7Imh3HkA7FkR985&#10;THJ2lbYd9gJ3rR5n2Yd22LAs1BhoVVN52p2dgd8vDsW61+Xxugqbv2Lafp8PP8a8vgzLT1CJhvR4&#10;vrcLa0CI44kYiI+4gJ7fAAAA//8DAFBLAQItABQABgAIAAAAIQDb4fbL7gAAAIUBAAATAAAAAAAA&#10;AAAAAAAAAAAAAABbQ29udGVudF9UeXBlc10ueG1sUEsBAi0AFAAGAAgAAAAhAFr0LFu/AAAAFQEA&#10;AAsAAAAAAAAAAAAAAAAAHwEAAF9yZWxzLy5yZWxzUEsBAi0AFAAGAAgAAAAhAKqs3OvHAAAA3wAA&#10;AA8AAAAAAAAAAAAAAAAABwIAAGRycy9kb3ducmV2LnhtbFBLBQYAAAAAAwADALcAAAD7AgAAAAA=&#10;" filled="f" stroked="f">
                  <v:textbox inset="0,0,0,0">
                    <w:txbxContent>
                      <w:p w14:paraId="65C392BD" w14:textId="77777777" w:rsidR="00B32EF2" w:rsidRDefault="00000000">
                        <w:r>
                          <w:rPr>
                            <w:rFonts w:ascii="Arial" w:eastAsia="Arial" w:hAnsi="Arial" w:cs="Arial"/>
                            <w:i/>
                            <w:sz w:val="18"/>
                          </w:rPr>
                          <w:t>546/92)</w:t>
                        </w:r>
                      </w:p>
                    </w:txbxContent>
                  </v:textbox>
                </v:rect>
                <v:rect id="Rectangle 200269" o:spid="_x0000_s3063" style="position:absolute;left:22223;top:30363;width:194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rxwAAAN8AAAAPAAAAZHJzL2Rvd25yZXYueG1sRI9Ba8JA&#10;FITvBf/D8oTe6kYPIU1dpSjSHLyYWujxkX0mabNvl+yaxP76rlDocZiZb5j1djKdGKj3rWUFy0UC&#10;griyuuVawfn98JSB8AFZY2eZFNzIw3Yze1hjru3IJxrKUIsIYZ+jgiYEl0vpq4YM+oV1xNG72N5g&#10;iLKvpe5xjHDTyVWSpNJgy3GhQUe7hqrv8moUfO7ZFYdRVpefnTt+FVn3dj1/KPU4n15fQASawn/4&#10;r11oBZG4Sp/h/id+Abn5BQAA//8DAFBLAQItABQABgAIAAAAIQDb4fbL7gAAAIUBAAATAAAAAAAA&#10;AAAAAAAAAAAAAABbQ29udGVudF9UeXBlc10ueG1sUEsBAi0AFAAGAAgAAAAhAFr0LFu/AAAAFQEA&#10;AAsAAAAAAAAAAAAAAAAAHwEAAF9yZWxzLy5yZWxzUEsBAi0AFAAGAAgAAAAhAL5P46vHAAAA3wAA&#10;AA8AAAAAAAAAAAAAAAAABwIAAGRycy9kb3ducmV2LnhtbFBLBQYAAAAAAwADALcAAAD7AgAAAAA=&#10;" filled="f" stroked="f">
                  <v:textbox inset="0,0,0,0">
                    <w:txbxContent>
                      <w:p w14:paraId="51B1A798" w14:textId="77777777" w:rsidR="00B32EF2" w:rsidRDefault="00000000">
                        <w:r>
                          <w:rPr>
                            <w:rFonts w:ascii="Arial" w:eastAsia="Arial" w:hAnsi="Arial" w:cs="Arial"/>
                            <w:i/>
                            <w:sz w:val="18"/>
                          </w:rPr>
                          <w:t>(</w:t>
                        </w:r>
                      </w:p>
                    </w:txbxContent>
                  </v:textbox>
                </v:rect>
                <v:rect id="Rectangle 17171" o:spid="_x0000_s3064" style="position:absolute;left:-6180;top:29130;width:418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I8xQAAAN4AAAAPAAAAZHJzL2Rvd25yZXYueG1sRE9Ni8Iw&#10;EL0L+x/CLOxN0/WwStco4iL24MUv8Dg0Y9u1mYQm2uqvN4Ig7zLDm/fevMmsM7W4UuMrywq+BwkI&#10;4tzqigsF+92yPwbhA7LG2jIpuJGH2fSjN8FU25Y3dN2GQkQT9ikqKENwqZQ+L8mgH1hHHLmTbQyG&#10;uDaF1A220dzUcpgkP9JgxTGhREeLkvLz9mIUHP/YZctW5qf7wq3/s3G9uuwPSn19dvNfEIG68D5+&#10;qTMd3x9FwLNOnEFOHwAAAP//AwBQSwECLQAUAAYACAAAACEA2+H2y+4AAACFAQAAEwAAAAAAAAAA&#10;AAAAAAAAAAAAW0NvbnRlbnRfVHlwZXNdLnhtbFBLAQItABQABgAIAAAAIQBa9CxbvwAAABUBAAAL&#10;AAAAAAAAAAAAAAAAAB8BAABfcmVscy8ucmVsc1BLAQItABQABgAIAAAAIQD+qyI8xQAAAN4AAAAP&#10;AAAAAAAAAAAAAAAAAAcCAABkcnMvZG93bnJldi54bWxQSwUGAAAAAAMAAwC3AAAA+QIAAAAA&#10;" filled="f" stroked="f">
                  <v:textbox inset="0,0,0,0">
                    <w:txbxContent>
                      <w:p w14:paraId="2A7381AB" w14:textId="77777777" w:rsidR="00B32EF2" w:rsidRDefault="00000000">
                        <w:r>
                          <w:rPr>
                            <w:rFonts w:ascii="Arial" w:eastAsia="Arial" w:hAnsi="Arial" w:cs="Arial"/>
                            <w:b/>
                            <w:sz w:val="18"/>
                          </w:rPr>
                          <w:t xml:space="preserve">Nomina del relatore e fissazione della data di trattazione </w:t>
                        </w:r>
                      </w:p>
                    </w:txbxContent>
                  </v:textbox>
                </v:rect>
                <v:rect id="Rectangle 200268" o:spid="_x0000_s3065" style="position:absolute;left:-13763;top:2789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0YwxwAAAN8AAAAPAAAAZHJzL2Rvd25yZXYueG1sRI/BbsIw&#10;DIbvSHuHyJN2g3QcEOoIFeqE1sMuY0za0WpM29E4URNot6fHB6Qdrd//Z3+bYnK9utIQO88GnhcZ&#10;KOLa244bA8fP/XwNKiZki71nMvBLEYrtw2yDufUjf9D1kBolEI45GmhTCrnWsW7JYVz4QCzZyQ8O&#10;k4xDo+2Ao8Bdr5dZttIOO5YLLQYqW6rPh4sz8P3KodqPuj79leH9p1r3b5fjlzFPj9PuBVSiKf0v&#10;39uVNSDE5UoeFh9xAb29AQAA//8DAFBLAQItABQABgAIAAAAIQDb4fbL7gAAAIUBAAATAAAAAAAA&#10;AAAAAAAAAAAAAABbQ29udGVudF9UeXBlc10ueG1sUEsBAi0AFAAGAAgAAAAhAFr0LFu/AAAAFQEA&#10;AAsAAAAAAAAAAAAAAAAAHwEAAF9yZWxzLy5yZWxzUEsBAi0AFAAGAAgAAAAhANEDRjDHAAAA3wAA&#10;AA8AAAAAAAAAAAAAAAAABwIAAGRycy9kb3ducmV2LnhtbFBLBQYAAAAAAwADALcAAAD7AgAAAAA=&#10;" filled="f" stroked="f">
                  <v:textbox inset="0,0,0,0">
                    <w:txbxContent>
                      <w:p w14:paraId="0773B407" w14:textId="77777777" w:rsidR="00B32EF2" w:rsidRDefault="00000000">
                        <w:r>
                          <w:rPr>
                            <w:rFonts w:ascii="Arial" w:eastAsia="Arial" w:hAnsi="Arial" w:cs="Arial"/>
                            <w:sz w:val="18"/>
                          </w:rPr>
                          <w:t xml:space="preserve">. Se non ritiene di adottare preliminarmente i provvedimenti di cui all’articolo </w:t>
                        </w:r>
                      </w:p>
                    </w:txbxContent>
                  </v:textbox>
                </v:rect>
                <v:rect id="Rectangle 200267" o:spid="_x0000_s3066" style="position:absolute;left:26110;top:2789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NJCxQAAAN8AAAAPAAAAZHJzL2Rvd25yZXYueG1sRI9Bi8Iw&#10;FITvgv8hPMGbpnpQ6RplUcQevOgqeHw0z7a7zUtooq376zeCsMdhZr5hluvO1OJBja8sK5iMExDE&#10;udUVFwrOX7vRAoQPyBpry6TgSR7Wq35viam2LR/pcQqFiBD2KSooQ3CplD4vyaAfW0ccvZttDIYo&#10;m0LqBtsIN7WcJslMGqw4LpToaFNS/nO6GwXXLbts18r89rtxh+9sUe/v54tSw0H3+QEiUBf+w+92&#10;phVE4nQ2h9ef+AXk6g8AAP//AwBQSwECLQAUAAYACAAAACEA2+H2y+4AAACFAQAAEwAAAAAAAAAA&#10;AAAAAAAAAAAAW0NvbnRlbnRfVHlwZXNdLnhtbFBLAQItABQABgAIAAAAIQBa9CxbvwAAABUBAAAL&#10;AAAAAAAAAAAAAAAAAB8BAABfcmVscy8ucmVsc1BLAQItABQABgAIAAAAIQCgnNJCxQAAAN8AAAAP&#10;AAAAAAAAAAAAAAAAAAcCAABkcnMvZG93bnJldi54bWxQSwUGAAAAAAMAAwC3AAAA+QIAAAAA&#10;" filled="f" stroked="f">
                  <v:textbox inset="0,0,0,0">
                    <w:txbxContent>
                      <w:p w14:paraId="0A123376" w14:textId="77777777" w:rsidR="00B32EF2" w:rsidRDefault="00000000">
                        <w:r>
                          <w:rPr>
                            <w:rFonts w:ascii="Arial" w:eastAsia="Arial" w:hAnsi="Arial" w:cs="Arial"/>
                            <w:sz w:val="18"/>
                          </w:rPr>
                          <w:t>1</w:t>
                        </w:r>
                      </w:p>
                    </w:txbxContent>
                  </v:textbox>
                </v:rect>
                <v:rect id="Rectangle 200265" o:spid="_x0000_s3067" style="position:absolute;left:-14430;top:2666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muxwAAAN8AAAAPAAAAZHJzL2Rvd25yZXYueG1sRI9Ba8JA&#10;FITvQv/D8gq96aYBg0RXkRQxh15qLfT4yD6TaPbtkl2TtL++Wyj0OMzMN8xmN5lODNT71rKC50UC&#10;griyuuVawfn9MF+B8AFZY2eZFHyRh932YbbBXNuR32g4hVpECPscFTQhuFxKXzVk0C+sI47exfYG&#10;Q5R9LXWPY4SbTqZJkkmDLceFBh0VDVW3090o+HxhVx5GWV2+C/d6LVfd8X7+UOrpcdqvQQSawn/4&#10;r11qBZGYZkv4/RO/gNz+AAAA//8DAFBLAQItABQABgAIAAAAIQDb4fbL7gAAAIUBAAATAAAAAAAA&#10;AAAAAAAAAAAAAABbQ29udGVudF9UeXBlc10ueG1sUEsBAi0AFAAGAAgAAAAhAFr0LFu/AAAAFQEA&#10;AAsAAAAAAAAAAAAAAAAAHwEAAF9yZWxzLy5yZWxzUEsBAi0AFAAGAAgAAAAhAD8C6a7HAAAA3wAA&#10;AA8AAAAAAAAAAAAAAAAABwIAAGRycy9kb3ducmV2LnhtbFBLBQYAAAAAAwADALcAAAD7AgAAAAA=&#10;" filled="f" stroked="f">
                  <v:textbox inset="0,0,0,0">
                    <w:txbxContent>
                      <w:p w14:paraId="5A4AC18A" w14:textId="77777777" w:rsidR="00B32EF2" w:rsidRDefault="00000000">
                        <w:r>
                          <w:rPr>
                            <w:rFonts w:ascii="Arial" w:eastAsia="Arial" w:hAnsi="Arial" w:cs="Arial"/>
                            <w:sz w:val="18"/>
                          </w:rPr>
                          <w:t xml:space="preserve">, il presidente, scaduto in ogni caso il termine per la costituzione delle parti, </w:t>
                        </w:r>
                      </w:p>
                    </w:txbxContent>
                  </v:textbox>
                </v:rect>
                <v:rect id="Rectangle 200264" o:spid="_x0000_s3068" style="position:absolute;left:25492;top:26663;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kw1xwAAAN8AAAAPAAAAZHJzL2Rvd25yZXYueG1sRI9Ba8JA&#10;FITvQv/D8gq96aZBgkRXkRQxh15qLfT4yD6TaPbtkl2TtL++Wyj0OMzMN8xmN5lODNT71rKC50UC&#10;griyuuVawfn9MF+B8AFZY2eZFHyRh932YbbBXNuR32g4hVpECPscFTQhuFxKXzVk0C+sI47exfYG&#10;Q5R9LXWPY4SbTqZJkkmDLceFBh0VDVW3090o+HxhVx5GWV2+C/d6LVfd8X7+UOrpcdqvQQSawn/4&#10;r11qBZGYZkv4/RO/gNz+AAAA//8DAFBLAQItABQABgAIAAAAIQDb4fbL7gAAAIUBAAATAAAAAAAA&#10;AAAAAAAAAAAAAABbQ29udGVudF9UeXBlc10ueG1sUEsBAi0AFAAGAAgAAAAhAFr0LFu/AAAAFQEA&#10;AAsAAAAAAAAAAAAAAAAAHwEAAF9yZWxzLy5yZWxzUEsBAi0AFAAGAAgAAAAhAFBOTDXHAAAA3wAA&#10;AA8AAAAAAAAAAAAAAAAABwIAAGRycy9kb3ducmV2LnhtbFBLBQYAAAAAAwADALcAAAD7AgAAAAA=&#10;" filled="f" stroked="f">
                  <v:textbox inset="0,0,0,0">
                    <w:txbxContent>
                      <w:p w14:paraId="06871FE3" w14:textId="77777777" w:rsidR="00B32EF2" w:rsidRDefault="00000000">
                        <w:r>
                          <w:rPr>
                            <w:rFonts w:ascii="Arial" w:eastAsia="Arial" w:hAnsi="Arial" w:cs="Arial"/>
                            <w:sz w:val="18"/>
                          </w:rPr>
                          <w:t>75</w:t>
                        </w:r>
                      </w:p>
                    </w:txbxContent>
                  </v:textbox>
                </v:rect>
                <v:rect id="Rectangle 17174" o:spid="_x0000_s3069" style="position:absolute;left:-13172;top:2543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IGkxAAAAN4AAAAPAAAAZHJzL2Rvd25yZXYueG1sRE9Li8Iw&#10;EL4v7H8Is+BtTRVZpRplcRF72Isv8Dg0Y1ttJqGJtvrrzcKCt/n4njNbdKYWN2p8ZVnBoJ+AIM6t&#10;rrhQsN+tPicgfEDWWFsmBXfysJi/v80w1bblDd22oRAxhH2KCsoQXCqlz0sy6PvWEUfuZBuDIcKm&#10;kLrBNoabWg6T5EsarDg2lOhoWVJ+2V6NguMPu2zVyvz0WLrfczap19f9QaneR/c9BRGoCy/xvzvT&#10;cf54MB7B3zvxBjl/AgAA//8DAFBLAQItABQABgAIAAAAIQDb4fbL7gAAAIUBAAATAAAAAAAAAAAA&#10;AAAAAAAAAABbQ29udGVudF9UeXBlc10ueG1sUEsBAi0AFAAGAAgAAAAhAFr0LFu/AAAAFQEAAAsA&#10;AAAAAAAAAAAAAAAAHwEAAF9yZWxzLy5yZWxzUEsBAi0AFAAGAAgAAAAhAO7cgaTEAAAA3gAAAA8A&#10;AAAAAAAAAAAAAAAABwIAAGRycy9kb3ducmV2LnhtbFBLBQYAAAAAAwADALcAAAD4AgAAAAA=&#10;" filled="f" stroked="f">
                  <v:textbox inset="0,0,0,0">
                    <w:txbxContent>
                      <w:p w14:paraId="703EEAD5" w14:textId="77777777" w:rsidR="00B32EF2" w:rsidRDefault="00000000">
                        <w:r>
                          <w:rPr>
                            <w:rFonts w:ascii="Arial" w:eastAsia="Arial" w:hAnsi="Arial" w:cs="Arial"/>
                            <w:sz w:val="18"/>
                          </w:rPr>
                          <w:t xml:space="preserve">fissa la trattazione della controversia secondo quanto previsto dagli articoli 81 </w:t>
                        </w:r>
                      </w:p>
                    </w:txbxContent>
                  </v:textbox>
                </v:rect>
                <v:rect id="Rectangle 17175" o:spid="_x0000_s3070" style="position:absolute;left:23070;top:24196;width:168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CQ/xAAAAN4AAAAPAAAAZHJzL2Rvd25yZXYueG1sRE9Li8Iw&#10;EL4v7H8Is+BtTRVcpRplcRF72Isv8Dg0Y1ttJqGJtvrrzcKCt/n4njNbdKYWN2p8ZVnBoJ+AIM6t&#10;rrhQsN+tPicgfEDWWFsmBXfysJi/v80w1bblDd22oRAxhH2KCsoQXCqlz0sy6PvWEUfuZBuDIcKm&#10;kLrBNoabWg6T5EsarDg2lOhoWVJ+2V6NguMPu2zVyvz0WLrfczap19f9QaneR/c9BRGoCy/xvzvT&#10;cf54MB7B3zvxBjl/AgAA//8DAFBLAQItABQABgAIAAAAIQDb4fbL7gAAAIUBAAATAAAAAAAAAAAA&#10;AAAAAAAAAABbQ29udGVudF9UeXBlc10ueG1sUEsBAi0AFAAGAAgAAAAhAFr0LFu/AAAAFQEAAAsA&#10;AAAAAAAAAAAAAAAAHwEAAF9yZWxzLy5yZWxzUEsBAi0AFAAGAAgAAAAhAIGQJD/EAAAA3gAAAA8A&#10;AAAAAAAAAAAAAAAABwIAAGRycy9kb3ducmV2LnhtbFBLBQYAAAAAAwADALcAAAD4AgAAAAA=&#10;" filled="f" stroked="f">
                  <v:textbox inset="0,0,0,0">
                    <w:txbxContent>
                      <w:p w14:paraId="4FA5C50A" w14:textId="77777777" w:rsidR="00B32EF2" w:rsidRDefault="00000000">
                        <w:r>
                          <w:rPr>
                            <w:rFonts w:ascii="Arial" w:eastAsia="Arial" w:hAnsi="Arial" w:cs="Arial"/>
                            <w:sz w:val="18"/>
                          </w:rPr>
                          <w:t>e 82 e nomina il relatore.</w:t>
                        </w:r>
                      </w:p>
                    </w:txbxContent>
                  </v:textbox>
                </v:rect>
                <v:rect id="Rectangle 200263" o:spid="_x0000_s3071" style="position:absolute;left:-13817;top:2296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9RBxwAAAN8AAAAPAAAAZHJzL2Rvd25yZXYueG1sRI9Ba8JA&#10;FITvQv/D8gq96aYRgkRXkRQxh15qLfT4yD6TaPbtkl2TtL++Wyj0OMzMN8xmN5lODNT71rKC50UC&#10;griyuuVawfn9MF+B8AFZY2eZFHyRh932YbbBXNuR32g4hVpECPscFTQhuFxKXzVk0C+sI47exfYG&#10;Q5R9LXWPY4SbTqZJkkmDLceFBh0VDVW3090o+HxhVx5GWV2+C/d6LVfd8X7+UOrpcdqvQQSawn/4&#10;r11qBZGYZkv4/RO/gNz+AAAA//8DAFBLAQItABQABgAIAAAAIQDb4fbL7gAAAIUBAAATAAAAAAAA&#10;AAAAAAAAAAAAAABbQ29udGVudF9UeXBlc10ueG1sUEsBAi0AFAAGAAgAAAAhAFr0LFu/AAAAFQEA&#10;AAsAAAAAAAAAAAAAAAAAHwEAAF9yZWxzLy5yZWxzUEsBAi0AFAAGAAgAAAAhAN+n1EHHAAAA3wAA&#10;AA8AAAAAAAAAAAAAAAAABwIAAGRycy9kb3ducmV2LnhtbFBLBQYAAAAAAwADALcAAAD7AgAAAAA=&#10;" filled="f" stroked="f">
                  <v:textbox inset="0,0,0,0">
                    <w:txbxContent>
                      <w:p w14:paraId="7A5730C5" w14:textId="77777777" w:rsidR="00B32EF2" w:rsidRDefault="00000000">
                        <w:r>
                          <w:rPr>
                            <w:rFonts w:ascii="Arial" w:eastAsia="Arial" w:hAnsi="Arial" w:cs="Arial"/>
                            <w:sz w:val="18"/>
                          </w:rPr>
                          <w:t xml:space="preserve">. Almeno una udienza per ogni mese e per ciascuna sezione è riservata </w:t>
                        </w:r>
                      </w:p>
                    </w:txbxContent>
                  </v:textbox>
                </v:rect>
                <v:rect id="Rectangle 200262" o:spid="_x0000_s3072" style="position:absolute;left:26109;top:22963;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3HaxgAAAN8AAAAPAAAAZHJzL2Rvd25yZXYueG1sRI9Pi8Iw&#10;FMTvC36H8IS9rak9iFSjiCL2sJf1D3h8NM+22ryEJtrqp98sLHgcZuY3zHzZm0Y8qPW1ZQXjUQKC&#10;uLC65lLB8bD9moLwAVljY5kUPMnDcjH4mGOmbcc/9NiHUkQI+wwVVCG4TEpfVGTQj6wjjt7FtgZD&#10;lG0pdYtdhJtGpkkykQZrjgsVOlpXVNz2d6PgvGGXbztZXF5r933Np83ufjwp9TnsVzMQgfrwDv+3&#10;c60gEtNJCn9/4heQi18AAAD//wMAUEsBAi0AFAAGAAgAAAAhANvh9svuAAAAhQEAABMAAAAAAAAA&#10;AAAAAAAAAAAAAFtDb250ZW50X1R5cGVzXS54bWxQSwECLQAUAAYACAAAACEAWvQsW78AAAAVAQAA&#10;CwAAAAAAAAAAAAAAAAAfAQAAX3JlbHMvLnJlbHNQSwECLQAUAAYACAAAACEAsOtx2sYAAADfAAAA&#10;DwAAAAAAAAAAAAAAAAAHAgAAZHJzL2Rvd25yZXYueG1sUEsFBgAAAAADAAMAtwAAAPoCAAAAAA==&#10;" filled="f" stroked="f">
                  <v:textbox inset="0,0,0,0">
                    <w:txbxContent>
                      <w:p w14:paraId="02A4A1E8" w14:textId="77777777" w:rsidR="00B32EF2" w:rsidRDefault="00000000">
                        <w:r>
                          <w:rPr>
                            <w:rFonts w:ascii="Arial" w:eastAsia="Arial" w:hAnsi="Arial" w:cs="Arial"/>
                            <w:sz w:val="18"/>
                          </w:rPr>
                          <w:t>2</w:t>
                        </w:r>
                      </w:p>
                    </w:txbxContent>
                  </v:textbox>
                </v:rect>
                <v:rect id="Rectangle 17177" o:spid="_x0000_s3073" style="position:absolute;left:-13172;top:2173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h/TxAAAAN4AAAAPAAAAZHJzL2Rvd25yZXYueG1sRE9Li8Iw&#10;EL4L/ocwwt401cNWukYRRbaHvfhY2OPQjG3XZhKaaLv7640geJuP7zmLVW8acaPW15YVTCcJCOLC&#10;6ppLBafjbjwH4QOyxsYyKfgjD6vlcLDATNuO93Q7hFLEEPYZKqhCcJmUvqjIoJ9YRxy5s20Nhgjb&#10;UuoWuxhuGjlLkndpsObYUKGjTUXF5XA1Cn627PJdJ4vz/8Z9/ebz5vN6+lbqbdSvP0AE6sNL/HTn&#10;Os5Pp2kKj3fiDXJ5BwAA//8DAFBLAQItABQABgAIAAAAIQDb4fbL7gAAAIUBAAATAAAAAAAAAAAA&#10;AAAAAAAAAABbQ29udGVudF9UeXBlc10ueG1sUEsBAi0AFAAGAAgAAAAhAFr0LFu/AAAAFQEAAAsA&#10;AAAAAAAAAAAAAAAAHwEAAF9yZWxzLy5yZWxzUEsBAi0AFAAGAAgAAAAhAB4OH9PEAAAA3gAAAA8A&#10;AAAAAAAAAAAAAAAABwIAAGRycy9kb3ducmV2LnhtbFBLBQYAAAAAAwADALcAAAD4AgAAAAA=&#10;" filled="f" stroked="f">
                  <v:textbox inset="0,0,0,0">
                    <w:txbxContent>
                      <w:p w14:paraId="43401304" w14:textId="77777777" w:rsidR="00B32EF2" w:rsidRDefault="00000000">
                        <w:r>
                          <w:rPr>
                            <w:rFonts w:ascii="Arial" w:eastAsia="Arial" w:hAnsi="Arial" w:cs="Arial"/>
                            <w:sz w:val="18"/>
                          </w:rPr>
                          <w:t xml:space="preserve">alla trattazione di controversie per le quali l’ammontare dei tributi accertati </w:t>
                        </w:r>
                      </w:p>
                    </w:txbxContent>
                  </v:textbox>
                </v:rect>
                <v:rect id="Rectangle 17178" o:spid="_x0000_s3074" style="position:absolute;left:-13172;top:20497;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YuhxwAAAN4AAAAPAAAAZHJzL2Rvd25yZXYueG1sRI9Pb8Iw&#10;DMXvk/YdIiPtNlJ2GKgjIMSE1sMu/JN2tBrTFhonagLt9unnAxI3W+/5vZ/ny8G16kZdbDwbmIwz&#10;UMSltw1XBg77zesMVEzIFlvPZOCXIiwXz09zzK3veUu3XaqUhHDM0UCdUsi1jmVNDuPYB2LRTr5z&#10;mGTtKm077CXctfoty961w4alocZA65rKy+7qDPx8cig2vS5Pf+vwfS5m7df1cDTmZTSsPkAlGtLD&#10;fL8urOBPJ1PhlXdkBr34BwAA//8DAFBLAQItABQABgAIAAAAIQDb4fbL7gAAAIUBAAATAAAAAAAA&#10;AAAAAAAAAAAAAABbQ29udGVudF9UeXBlc10ueG1sUEsBAi0AFAAGAAgAAAAhAFr0LFu/AAAAFQEA&#10;AAsAAAAAAAAAAAAAAAAAHwEAAF9yZWxzLy5yZWxzUEsBAi0AFAAGAAgAAAAhAG+Ri6HHAAAA3gAA&#10;AA8AAAAAAAAAAAAAAAAABwIAAGRycy9kb3ducmV2LnhtbFBLBQYAAAAAAwADALcAAAD7AgAAAAA=&#10;" filled="f" stroked="f">
                  <v:textbox inset="0,0,0,0">
                    <w:txbxContent>
                      <w:p w14:paraId="3426812F" w14:textId="77777777" w:rsidR="00B32EF2" w:rsidRDefault="00000000">
                        <w:r>
                          <w:rPr>
                            <w:rFonts w:ascii="Arial" w:eastAsia="Arial" w:hAnsi="Arial" w:cs="Arial"/>
                            <w:sz w:val="18"/>
                          </w:rPr>
                          <w:t xml:space="preserve">e delle conseguenti soprattasse e pene pecuniarie non sia inferiore ad euro </w:t>
                        </w:r>
                      </w:p>
                    </w:txbxContent>
                  </v:textbox>
                </v:rect>
                <v:rect id="Rectangle 200260" o:spid="_x0000_s3075" style="position:absolute;left:21917;top:19263;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o2xwAAAN8AAAAPAAAAZHJzL2Rvd25yZXYueG1sRI9Ba8JA&#10;EIXvQv/DMoXedFMPIqlrkBRpDr3UWuhxyI5JanZ2ya4m7a93DkKPw5v3Pb5NMbleXWmInWcDz4sM&#10;FHHtbceNgePnfr4GFROyxd4zGfilCMX2YbbB3PqRP+h6SI0SCMccDbQphVzrWLfkMC58IJbs5AeH&#10;Sc6h0XbAUeCu18ssW2mHHctCi4HKlurz4eIMfL9yqPajrk9/ZXj/qdb92+X4ZczT47R7AZVoSv/P&#10;93ZlDQhxuRID8REX0NsbAAAA//8DAFBLAQItABQABgAIAAAAIQDb4fbL7gAAAIUBAAATAAAAAAAA&#10;AAAAAAAAAAAAAABbQ29udGVudF9UeXBlc10ueG1sUEsBAi0AFAAGAAgAAAAhAFr0LFu/AAAAFQEA&#10;AAsAAAAAAAAAAAAAAAAAHwEAAF9yZWxzLy5yZWxzUEsBAi0AFAAGAAgAAAAhAC91SjbHAAAA3wAA&#10;AA8AAAAAAAAAAAAAAAAABwIAAGRycy9kb3ducmV2LnhtbFBLBQYAAAAAAwADALcAAAD7AgAAAAA=&#10;" filled="f" stroked="f">
                  <v:textbox inset="0,0,0,0">
                    <w:txbxContent>
                      <w:p w14:paraId="03FEFC94" w14:textId="77777777" w:rsidR="00B32EF2" w:rsidRDefault="00000000">
                        <w:r>
                          <w:rPr>
                            <w:rFonts w:ascii="Arial" w:eastAsia="Arial" w:hAnsi="Arial" w:cs="Arial"/>
                            <w:sz w:val="18"/>
                          </w:rPr>
                          <w:t>51.645,69</w:t>
                        </w:r>
                      </w:p>
                    </w:txbxContent>
                  </v:textbox>
                </v:rect>
                <v:rect id="Rectangle 200261" o:spid="_x0000_s3076" style="position:absolute;left:-17269;top:19263;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e+txwAAAN8AAAAPAAAAZHJzL2Rvd25yZXYueG1sRI/NawIx&#10;FMTvBf+H8ITealYPItuNUhRxD71ULfT42Lz9aDcvYZP90L++KRQ8DjPzGybbTaYVA3W+saxguUhA&#10;EBdWN1wpuF6OLxsQPiBrbC2Tght52G1nTxmm2o78QcM5VCJC2KeooA7BpVL6oiaDfmEdcfRK2xkM&#10;UXaV1B2OEW5auUqStTTYcFyo0dG+puLn3BsFXwd2+XGURXnfu/fvfNOe+uunUs/z6e0VRKApPML/&#10;7VwriMTVegl/f+IXkNtfAAAA//8DAFBLAQItABQABgAIAAAAIQDb4fbL7gAAAIUBAAATAAAAAAAA&#10;AAAAAAAAAAAAAABbQ29udGVudF9UeXBlc10ueG1sUEsBAi0AFAAGAAgAAAAhAFr0LFu/AAAAFQEA&#10;AAsAAAAAAAAAAAAAAAAAHwEAAF9yZWxzLy5yZWxzUEsBAi0AFAAGAAgAAAAhAEA5763HAAAA3wAA&#10;AA8AAAAAAAAAAAAAAAAABwIAAGRycy9kb3ducmV2LnhtbFBLBQYAAAAAAwADALcAAAD7AgAAAAA=&#10;" filled="f" stroked="f">
                  <v:textbox inset="0,0,0,0">
                    <w:txbxContent>
                      <w:p w14:paraId="0DC35A0A" w14:textId="77777777" w:rsidR="00B32EF2" w:rsidRDefault="00000000">
                        <w:r>
                          <w:rPr>
                            <w:rFonts w:ascii="Arial" w:eastAsia="Arial" w:hAnsi="Arial" w:cs="Arial"/>
                            <w:sz w:val="18"/>
                          </w:rPr>
                          <w:t>. Un’altra udienza per ogni mese e per ciascuna sezione è comun</w:t>
                        </w:r>
                      </w:p>
                    </w:txbxContent>
                  </v:textbox>
                </v:rect>
                <v:rect id="Rectangle 17180" o:spid="_x0000_s3077" style="position:absolute;left:192;top:1926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veAxwAAAN4AAAAPAAAAZHJzL2Rvd25yZXYueG1sRI9Bb8Iw&#10;DIXvSPyHyEi7QQqHreoIaAKh9bALjEk7Wo1puzVO1ATa7dfjw6TdbPn5vfett6Pr1I362Ho2sFxk&#10;oIgrb1uuDZzfD/McVEzIFjvPZOCHImw308kaC+sHPtLtlGolJhwLNNCkFAqtY9WQw7jwgVhuF987&#10;TLL2tbY9DmLuOr3KskftsGVJaDDQrqHq+3R1Bj73HMrDoKvL7y68fZV593o9fxjzMBtfnkElGtO/&#10;+O+7tFL/aZkLgODIDHpzBwAA//8DAFBLAQItABQABgAIAAAAIQDb4fbL7gAAAIUBAAATAAAAAAAA&#10;AAAAAAAAAAAAAABbQ29udGVudF9UeXBlc10ueG1sUEsBAi0AFAAGAAgAAAAhAFr0LFu/AAAAFQEA&#10;AAsAAAAAAAAAAAAAAAAAHwEAAF9yZWxzLy5yZWxzUEsBAi0AFAAGAAgAAAAhAKQy94DHAAAA3gAA&#10;AA8AAAAAAAAAAAAAAAAABwIAAGRycy9kb3ducmV2LnhtbFBLBQYAAAAAAwADALcAAAD7AgAAAAA=&#10;" filled="f" stroked="f">
                  <v:textbox inset="0,0,0,0">
                    <w:txbxContent>
                      <w:p w14:paraId="3B179865" w14:textId="77777777" w:rsidR="00B32EF2" w:rsidRDefault="00000000">
                        <w:r>
                          <w:rPr>
                            <w:rFonts w:ascii="Arial" w:eastAsia="Arial" w:hAnsi="Arial" w:cs="Arial"/>
                            <w:sz w:val="18"/>
                          </w:rPr>
                          <w:t>-</w:t>
                        </w:r>
                      </w:p>
                    </w:txbxContent>
                  </v:textbox>
                </v:rect>
                <v:rect id="Rectangle 17181" o:spid="_x0000_s3078" style="position:absolute;left:-12290;top:18030;width:522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IbxAAAAN4AAAAPAAAAZHJzL2Rvd25yZXYueG1sRE9Na8JA&#10;EL0X/A/LCN7qJj1oSF1FFGkOXrQKPQ7ZMUmbnV2yq4n99V1B6G0e73MWq8G04kadbywrSKcJCOLS&#10;6oYrBafP3WsGwgdkja1lUnAnD6vl6GWBubY9H+h2DJWIIexzVFCH4HIpfVmTQT+1jjhyF9sZDBF2&#10;ldQd9jHctPItSWbSYMOxoUZHm5rKn+PVKPjasit2vSwvvxu3/y6y9uN6Ois1GQ/rdxCBhvAvfroL&#10;HefP0yyFxzvxBrn8AwAA//8DAFBLAQItABQABgAIAAAAIQDb4fbL7gAAAIUBAAATAAAAAAAAAAAA&#10;AAAAAAAAAABbQ29udGVudF9UeXBlc10ueG1sUEsBAi0AFAAGAAgAAAAhAFr0LFu/AAAAFQEAAAsA&#10;AAAAAAAAAAAAAAAAHwEAAF9yZWxzLy5yZWxzUEsBAi0AFAAGAAgAAAAhAMt+UhvEAAAA3gAAAA8A&#10;AAAAAAAAAAAAAAAABwIAAGRycy9kb3ducmV2LnhtbFBLBQYAAAAAAwADALcAAAD4AgAAAAA=&#10;" filled="f" stroked="f">
                  <v:textbox inset="0,0,0,0">
                    <w:txbxContent>
                      <w:p w14:paraId="50BD81C1" w14:textId="77777777" w:rsidR="00B32EF2" w:rsidRDefault="00000000">
                        <w:r>
                          <w:rPr>
                            <w:rFonts w:ascii="Arial" w:eastAsia="Arial" w:hAnsi="Arial" w:cs="Arial"/>
                            <w:sz w:val="18"/>
                          </w:rPr>
                          <w:t>que riservata alla trattazione di controversie nei confronti di società con per</w:t>
                        </w:r>
                      </w:p>
                    </w:txbxContent>
                  </v:textbox>
                </v:rect>
                <v:rect id="Rectangle 17182" o:spid="_x0000_s3079" style="position:absolute;left:192;top:1803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MxsxAAAAN4AAAAPAAAAZHJzL2Rvd25yZXYueG1sRE9Ni8Iw&#10;EL0v+B/CCN7WVA9aqlFEEXvYi64Lexyasa02k9BE291fvxGEvc3jfc5y3ZtGPKj1tWUFk3ECgriw&#10;uuZSwflz/56C8AFZY2OZFPyQh/Vq8LbETNuOj/Q4hVLEEPYZKqhCcJmUvqjIoB9bRxy5i20Nhgjb&#10;UuoWuxhuGjlNkpk0WHNsqNDRtqLidrobBd87dvm+k8Xld+s+rnnaHO7nL6VGw36zABGoD//ilzvX&#10;cf58kk7h+U68Qa7+AAAA//8DAFBLAQItABQABgAIAAAAIQDb4fbL7gAAAIUBAAATAAAAAAAAAAAA&#10;AAAAAAAAAABbQ29udGVudF9UeXBlc10ueG1sUEsBAi0AFAAGAAgAAAAhAFr0LFu/AAAAFQEAAAsA&#10;AAAAAAAAAAAAAAAAHwEAAF9yZWxzLy5yZWxzUEsBAi0AFAAGAAgAAAAhADuszGzEAAAA3gAAAA8A&#10;AAAAAAAAAAAAAAAABwIAAGRycy9kb3ducmV2LnhtbFBLBQYAAAAAAwADALcAAAD4AgAAAAA=&#10;" filled="f" stroked="f">
                  <v:textbox inset="0,0,0,0">
                    <w:txbxContent>
                      <w:p w14:paraId="3B271F58" w14:textId="77777777" w:rsidR="00B32EF2" w:rsidRDefault="00000000">
                        <w:r>
                          <w:rPr>
                            <w:rFonts w:ascii="Arial" w:eastAsia="Arial" w:hAnsi="Arial" w:cs="Arial"/>
                            <w:sz w:val="18"/>
                          </w:rPr>
                          <w:t>-</w:t>
                        </w:r>
                      </w:p>
                    </w:txbxContent>
                  </v:textbox>
                </v:rect>
                <v:rect id="Rectangle 17183" o:spid="_x0000_s3080" style="position:absolute;left:-13172;top:1679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Gn3xAAAAN4AAAAPAAAAZHJzL2Rvd25yZXYueG1sRE9Na8JA&#10;EL0X/A/LCN7qRgttiK4iijQHL7UKHofsmESzs0t2NdFf3y0UepvH+5z5sjeNuFPra8sKJuMEBHFh&#10;dc2lgsP39jUF4QOyxsYyKXiQh+Vi8DLHTNuOv+i+D6WIIewzVFCF4DIpfVGRQT+2jjhyZ9saDBG2&#10;pdQtdjHcNHKaJO/SYM2xoUJH64qK6/5mFJw27PJtJ4vzc+12lzxtPm+Ho1KjYb+agQjUh3/xnzvX&#10;cf7HJH2D33fiDXLxAwAA//8DAFBLAQItABQABgAIAAAAIQDb4fbL7gAAAIUBAAATAAAAAAAAAAAA&#10;AAAAAAAAAABbQ29udGVudF9UeXBlc10ueG1sUEsBAi0AFAAGAAgAAAAhAFr0LFu/AAAAFQEAAAsA&#10;AAAAAAAAAAAAAAAAHwEAAF9yZWxzLy5yZWxzUEsBAi0AFAAGAAgAAAAhAFTgaffEAAAA3gAAAA8A&#10;AAAAAAAAAAAAAAAABwIAAGRycy9kb3ducmV2LnhtbFBLBQYAAAAAAwADALcAAAD4AgAAAAA=&#10;" filled="f" stroked="f">
                  <v:textbox inset="0,0,0,0">
                    <w:txbxContent>
                      <w:p w14:paraId="452437C9" w14:textId="77777777" w:rsidR="00B32EF2" w:rsidRDefault="00000000">
                        <w:r>
                          <w:rPr>
                            <w:rFonts w:ascii="Arial" w:eastAsia="Arial" w:hAnsi="Arial" w:cs="Arial"/>
                            <w:sz w:val="18"/>
                          </w:rPr>
                          <w:t xml:space="preserve">sonalità giuridica, nonché di controversie inerenti all’applicazione dell’ articolo </w:t>
                        </w:r>
                      </w:p>
                    </w:txbxContent>
                  </v:textbox>
                </v:rect>
                <v:rect id="Rectangle 200257" o:spid="_x0000_s3081" style="position:absolute;left:31398;top:15563;width:275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Bj/xwAAAN8AAAAPAAAAZHJzL2Rvd25yZXYueG1sRI9Pa8JA&#10;FMTvhX6H5RV6q5sKVkndSLGIOXhRU+jxkX3502bfLtnVpH76riB4HGbmN8xyNZpOnKn3rWUFr5ME&#10;BHFpdcu1guK4eVmA8AFZY2eZFPyRh1X2+LDEVNuB93Q+hFpECPsUFTQhuFRKXzZk0E+sI45eZXuD&#10;Icq+lrrHIcJNJ6dJ8iYNthwXGnS0bqj8PZyMgu9PdvlmkGV1WbvdT77otqfiS6nnp/HjHUSgMdzD&#10;t3auFUTidDaH65/4BWT2DwAA//8DAFBLAQItABQABgAIAAAAIQDb4fbL7gAAAIUBAAATAAAAAAAA&#10;AAAAAAAAAAAAAABbQ29udGVudF9UeXBlc10ueG1sUEsBAi0AFAAGAAgAAAAhAFr0LFu/AAAAFQEA&#10;AAsAAAAAAAAAAAAAAAAAHwEAAF9yZWxzLy5yZWxzUEsBAi0AFAAGAAgAAAAhAG7wGP/HAAAA3wAA&#10;AA8AAAAAAAAAAAAAAAAABwIAAGRycy9kb3ducmV2LnhtbFBLBQYAAAAAAwADALcAAAD7AgAAAAA=&#10;" filled="f" stroked="f">
                  <v:textbox inset="0,0,0,0">
                    <w:txbxContent>
                      <w:p w14:paraId="6A0B8BF0" w14:textId="77777777" w:rsidR="00B32EF2" w:rsidRDefault="00000000">
                        <w:r>
                          <w:rPr>
                            <w:rFonts w:ascii="Arial" w:eastAsia="Arial" w:hAnsi="Arial" w:cs="Arial"/>
                            <w:sz w:val="18"/>
                          </w:rPr>
                          <w:t>10-</w:t>
                        </w:r>
                      </w:p>
                    </w:txbxContent>
                  </v:textbox>
                </v:rect>
                <v:rect id="Rectangle 200258" o:spid="_x0000_s3082" style="position:absolute;left:-6199;top:15563;width:275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4yNxwAAAN8AAAAPAAAAZHJzL2Rvd25yZXYueG1sRI9Na8JA&#10;EIbvhf6HZQq91U2FiqSuIhZpDl78KPQ4ZMckNTu7ZFeT+uudg+BxeOd9Zp7ZYnCtulAXG88G3kcZ&#10;KOLS24YrA4f9+m0KKiZki61nMvBPERbz56cZ5tb3vKXLLlVKIBxzNFCnFHKtY1mTwzjygViyo+8c&#10;Jhm7StsOe4G7Vo+zbKIdNiwXagy0qqk87c7OwO8Xh2Ld6/J4XYXNXzFtv8+HH2NeX4blJ6hEQ3os&#10;39uFNSDE8Yc8LD7iAnp+AwAA//8DAFBLAQItABQABgAIAAAAIQDb4fbL7gAAAIUBAAATAAAAAAAA&#10;AAAAAAAAAAAAAABbQ29udGVudF9UeXBlc10ueG1sUEsBAi0AFAAGAAgAAAAhAFr0LFu/AAAAFQEA&#10;AAsAAAAAAAAAAAAAAAAAHwEAAF9yZWxzLy5yZWxzUEsBAi0AFAAGAAgAAAAhAB9vjI3HAAAA3wAA&#10;AA8AAAAAAAAAAAAAAAAABwIAAGRycy9kb3ducmV2LnhtbFBLBQYAAAAAAwADALcAAAD7AgAAAAA=&#10;" filled="f" stroked="f">
                  <v:textbox inset="0,0,0,0">
                    <w:txbxContent>
                      <w:p w14:paraId="39312633" w14:textId="77777777" w:rsidR="00B32EF2" w:rsidRDefault="00000000">
                        <w:r>
                          <w:rPr>
                            <w:rFonts w:ascii="Arial" w:eastAsia="Arial" w:hAnsi="Arial" w:cs="Arial"/>
                            <w:sz w:val="18"/>
                          </w:rPr>
                          <w:t>212.</w:t>
                        </w:r>
                      </w:p>
                    </w:txbxContent>
                  </v:textbox>
                </v:rect>
                <v:rect id="Rectangle 200259" o:spid="_x0000_s3083" style="position:absolute;left:12813;top:15563;width:275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ykWxwAAAN8AAAAPAAAAZHJzL2Rvd25yZXYueG1sRI9PawIx&#10;FMTvBb9DeEJvNavQYlezIop0D15qFTw+Nm//6OYlbKK79dM3hUKPw8z8hlmuBtOKO3W+saxgOklA&#10;EBdWN1wpOH7tXuYgfEDW2FomBd/kYZWNnpaYatvzJ90PoRIRwj5FBXUILpXSFzUZ9BPriKNX2s5g&#10;iLKrpO6wj3DTylmSvEmDDceFGh1taiquh5tRcN6yy3e9LMrHxu0v+bz9uB1PSj2Ph/UCRKAh/If/&#10;2rlWEImz13f4/RO/gMx+AAAA//8DAFBLAQItABQABgAIAAAAIQDb4fbL7gAAAIUBAAATAAAAAAAA&#10;AAAAAAAAAAAAAABbQ29udGVudF9UeXBlc10ueG1sUEsBAi0AFAAGAAgAAAAhAFr0LFu/AAAAFQEA&#10;AAsAAAAAAAAAAAAAAAAAHwEAAF9yZWxzLy5yZWxzUEsBAi0AFAAGAAgAAAAhAHAjKRbHAAAA3wAA&#10;AA8AAAAAAAAAAAAAAAAABwIAAGRycy9kb3ducmV2LnhtbFBLBQYAAAAAAwADALcAAAD7AgAAAAA=&#10;" filled="f" stroked="f">
                  <v:textbox inset="0,0,0,0">
                    <w:txbxContent>
                      <w:p w14:paraId="0308B050" w14:textId="77777777" w:rsidR="00B32EF2" w:rsidRDefault="00000000">
                        <w:r>
                          <w:rPr>
                            <w:rFonts w:ascii="Arial" w:eastAsia="Arial" w:hAnsi="Arial" w:cs="Arial"/>
                            <w:sz w:val="18"/>
                          </w:rPr>
                          <w:t xml:space="preserve">bis della legge 27 luglio 2000, n. </w:t>
                        </w:r>
                      </w:p>
                    </w:txbxContent>
                  </v:textbox>
                </v:rect>
                <v:shape id="Shape 207866" o:spid="_x0000_s3084" style="position:absolute;left:317;top:41272;width:39600;height:21292;visibility:visible;mso-wrap-style:square;v-text-anchor:top" coordsize="3960000,212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MtzyAAAAN8AAAAPAAAAZHJzL2Rvd25yZXYueG1sRI9Pa8JA&#10;FMTvBb/D8oTe6kYLUVNXCUJB2kv9g+DtkX1Nortv0+wa02/fLQgeh5n5DbNY9daIjlpfO1YwHiUg&#10;iAunay4VHPbvLzMQPiBrNI5JwS95WC0HTwvMtLvxlrpdKEWEsM9QQRVCk0npi4os+pFriKP37VqL&#10;Icq2lLrFW4RbIydJkkqLNceFChtaV1RcdleroLyePvLzdm2O6ee8y83rz2XzhUo9D/v8DUSgPjzC&#10;9/ZGK5gk01mawv+f+AXk8g8AAP//AwBQSwECLQAUAAYACAAAACEA2+H2y+4AAACFAQAAEwAAAAAA&#10;AAAAAAAAAAAAAAAAW0NvbnRlbnRfVHlwZXNdLnhtbFBLAQItABQABgAIAAAAIQBa9CxbvwAAABUB&#10;AAALAAAAAAAAAAAAAAAAAB8BAABfcmVscy8ucmVsc1BLAQItABQABgAIAAAAIQA1OMtzyAAAAN8A&#10;AAAPAAAAAAAAAAAAAAAAAAcCAABkcnMvZG93bnJldi54bWxQSwUGAAAAAAMAAwC3AAAA/AIAAAAA&#10;" path="m,l3960000,r,2129295l,2129295,,e" fillcolor="#c3c3c3" stroked="f" strokeweight="0">
                  <v:stroke miterlimit="83231f" joinstyle="miter"/>
                  <v:path arrowok="t" textboxrect="0,0,3960000,2129295"/>
                </v:shape>
                <v:rect id="Rectangle 17186" o:spid="_x0000_s3085" style="position:absolute;left:23060;top:60352;width:160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8pvxAAAAN4AAAAPAAAAZHJzL2Rvd25yZXYueG1sRE9Ni8Iw&#10;EL0v+B/CCN7WVA9uqUYRRezBy7oKHodmbKvNJDTR1v31m4WFvc3jfc5i1ZtGPKn1tWUFk3ECgriw&#10;uuZSwelr956C8AFZY2OZFLzIw2o5eFtgpm3Hn/Q8hlLEEPYZKqhCcJmUvqjIoB9bRxy5q20Nhgjb&#10;UuoWuxhuGjlNkpk0WHNsqNDRpqLifnwYBZctu3zXyeL6vXGHW542+8fprNRo2K/nIAL14V/85851&#10;nP8xSWfw+068QS5/AAAA//8DAFBLAQItABQABgAIAAAAIQDb4fbL7gAAAIUBAAATAAAAAAAAAAAA&#10;AAAAAAAAAABbQ29udGVudF9UeXBlc10ueG1sUEsBAi0AFAAGAAgAAAAhAFr0LFu/AAAAFQEAAAsA&#10;AAAAAAAAAAAAAAAAHwEAAF9yZWxzLy5yZWxzUEsBAi0AFAAGAAgAAAAhAESXym/EAAAA3gAAAA8A&#10;AAAAAAAAAAAAAAAABwIAAGRycy9kb3ducmV2LnhtbFBLBQYAAAAAAwADALcAAAD4AgAAAAA=&#10;" filled="f" stroked="f">
                  <v:textbox inset="0,0,0,0">
                    <w:txbxContent>
                      <w:p w14:paraId="38A563B0" w14:textId="77777777" w:rsidR="00B32EF2" w:rsidRDefault="00000000">
                        <w:r>
                          <w:rPr>
                            <w:rFonts w:ascii="Arial" w:eastAsia="Arial" w:hAnsi="Arial" w:cs="Arial"/>
                            <w:i/>
                            <w:sz w:val="18"/>
                          </w:rPr>
                          <w:t xml:space="preserve">articoli 426, 427 e 439. </w:t>
                        </w:r>
                      </w:p>
                    </w:txbxContent>
                  </v:textbox>
                </v:rect>
                <v:rect id="Rectangle 200278" o:spid="_x0000_s3086" style="position:absolute;left:25803;top:59119;width:511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tDtxwAAAN8AAAAPAAAAZHJzL2Rvd25yZXYueG1sRI9Nb8Iw&#10;DIbvk/YfIk/abaTjMFBHQIgJrQcufEza0WpM29E4URNox6/HBySO1uv3sZ/ZYnCtulAXG88G3kcZ&#10;KOLS24YrA4f9+m0KKiZki61nMvBPERbz56cZ5tb3vKXLLlVKIBxzNFCnFHKtY1mTwzjygViyo+8c&#10;Jhm7StsOe4G7Vo+z7EM7bFgu1BhoVVN52p2dgd8vDsW61+Xxugqbv2Lafp8PP8a8vgzLT1CJhvRY&#10;vrcLa0CI44k8LD7iAnp+AwAA//8DAFBLAQItABQABgAIAAAAIQDb4fbL7gAAAIUBAAATAAAAAAAA&#10;AAAAAAAAAAAAAABbQ29udGVudF9UeXBlc10ueG1sUEsBAi0AFAAGAAgAAAAhAFr0LFu/AAAAFQEA&#10;AAsAAAAAAAAAAAAAAAAAHwEAAF9yZWxzLy5yZWxzUEsBAi0AFAAGAAgAAAAhAFTa0O3HAAAA3wAA&#10;AA8AAAAAAAAAAAAAAAAABwIAAGRycy9kb3ducmV2LnhtbFBLBQYAAAAAAwADALcAAAD7AgAAAAA=&#10;" filled="f" stroked="f">
                  <v:textbox inset="0,0,0,0">
                    <w:txbxContent>
                      <w:p w14:paraId="3ABE2061" w14:textId="77777777" w:rsidR="00B32EF2" w:rsidRDefault="00000000">
                        <w:r>
                          <w:rPr>
                            <w:rFonts w:ascii="Arial" w:eastAsia="Arial" w:hAnsi="Arial" w:cs="Arial"/>
                            <w:i/>
                            <w:sz w:val="18"/>
                          </w:rPr>
                          <w:t>6</w:t>
                        </w:r>
                      </w:p>
                    </w:txbxContent>
                  </v:textbox>
                </v:rect>
                <v:rect id="Rectangle 200279" o:spid="_x0000_s3087" style="position:absolute;left:-12580;top:59119;width:511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nV2xwAAAN8AAAAPAAAAZHJzL2Rvd25yZXYueG1sRI9PawIx&#10;FMTvBb9DeEJvNauH1q5mRRTpHrzUKnh8bN7+0c1L2ER366dvCoUeh5n5DbNcDaYVd+p8Y1nBdJKA&#10;IC6sbrhScPzavcxB+ICssbVMCr7JwyobPS0x1bbnT7ofQiUihH2KCuoQXCqlL2oy6CfWEUevtJ3B&#10;EGVXSd1hH+GmlbMkeZUGG44LNTra1FRcDzej4Lxll+96WZSPjdtf8nn7cTuelHoeD+sFiEBD+A//&#10;tXOtIBJnb+/w+yd+AZn9AAAA//8DAFBLAQItABQABgAIAAAAIQDb4fbL7gAAAIUBAAATAAAAAAAA&#10;AAAAAAAAAAAAAABbQ29udGVudF9UeXBlc10ueG1sUEsBAi0AFAAGAAgAAAAhAFr0LFu/AAAAFQEA&#10;AAsAAAAAAAAAAAAAAAAAHwEAAF9yZWxzLy5yZWxzUEsBAi0AFAAGAAgAAAAhADuWdXbHAAAA3wAA&#10;AA8AAAAAAAAAAAAAAAAABwIAAGRycy9kb3ducmV2LnhtbFBLBQYAAAAAAwADALcAAAD7AgAAAAA=&#10;" filled="f" stroked="f">
                  <v:textbox inset="0,0,0,0">
                    <w:txbxContent>
                      <w:p w14:paraId="63569405" w14:textId="77777777" w:rsidR="00B32EF2" w:rsidRDefault="00000000">
                        <w:r>
                          <w:rPr>
                            <w:rFonts w:ascii="Arial" w:eastAsia="Arial" w:hAnsi="Arial" w:cs="Arial"/>
                            <w:i/>
                            <w:sz w:val="18"/>
                          </w:rPr>
                          <w:t xml:space="preserve">. Se una causa di competenza del giudice di pace sia connessa  per  i </w:t>
                        </w:r>
                      </w:p>
                    </w:txbxContent>
                  </v:textbox>
                </v:rect>
                <v:rect id="Rectangle 17188" o:spid="_x0000_s3088" style="position:absolute;left:-11858;top:57886;width:5095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PuGxwAAAN4AAAAPAAAAZHJzL2Rvd25yZXYueG1sRI9Bb8Iw&#10;DIXvSPyHyEi7QQqHreoIaAKh9bALjEk7Wo1puzVO1ATa7dfjw6TdbL3n9z6vt6Pr1I362Ho2sFxk&#10;oIgrb1uuDZzfD/McVEzIFjvPZOCHImw308kaC+sHPtLtlGolIRwLNNCkFAqtY9WQw7jwgVi0i+8d&#10;Jln7WtseBwl3nV5l2aN22LI0NBho11D1fbo6A597DuVh0NXldxfevsq8e72eP4x5mI0vz6ASjenf&#10;/HddWsF/WubCK+/IDHpzBwAA//8DAFBLAQItABQABgAIAAAAIQDb4fbL7gAAAIUBAAATAAAAAAAA&#10;AAAAAAAAAAAAAABbQ29udGVudF9UeXBlc10ueG1sUEsBAi0AFAAGAAgAAAAhAFr0LFu/AAAAFQEA&#10;AAsAAAAAAAAAAAAAAAAAHwEAAF9yZWxzLy5yZWxzUEsBAi0AFAAGAAgAAAAhAFpE+4bHAAAA3gAA&#10;AA8AAAAAAAAAAAAAAAAABwIAAGRycy9kb3ducmV2LnhtbFBLBQYAAAAAAwADALcAAAD7AgAAAAA=&#10;" filled="f" stroked="f">
                  <v:textbox inset="0,0,0,0">
                    <w:txbxContent>
                      <w:p w14:paraId="4C9A2A37" w14:textId="77777777" w:rsidR="00B32EF2" w:rsidRDefault="00000000">
                        <w:r>
                          <w:rPr>
                            <w:rFonts w:ascii="Arial" w:eastAsia="Arial" w:hAnsi="Arial" w:cs="Arial"/>
                            <w:i/>
                            <w:sz w:val="18"/>
                          </w:rPr>
                          <w:t xml:space="preserve">motivi di cui agli articoli 31, 32, 34, 35 e 36 con  altra  causa  di competenza </w:t>
                        </w:r>
                      </w:p>
                    </w:txbxContent>
                  </v:textbox>
                </v:rect>
                <v:rect id="Rectangle 17189" o:spid="_x0000_s3089" style="position:absolute;left:-10910;top:56652;width:50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F4dxAAAAN4AAAAPAAAAZHJzL2Rvd25yZXYueG1sRE9Na8JA&#10;EL0X/A/LCN7qRg9tGl1FFGkOXmoVPA7ZMYlmZ5fsaqK/vlso9DaP9znzZW8acafW15YVTMYJCOLC&#10;6ppLBYfv7WsKwgdkjY1lUvAgD8vF4GWOmbYdf9F9H0oRQ9hnqKAKwWVS+qIig35sHXHkzrY1GCJs&#10;S6lb7GK4aeQ0Sd6kwZpjQ4WO1hUV1/3NKDht2OXbThbn59rtLnnafN4OR6VGw341AxGoD//iP3eu&#10;4/z3SfoBv+/EG+TiBwAA//8DAFBLAQItABQABgAIAAAAIQDb4fbL7gAAAIUBAAATAAAAAAAAAAAA&#10;AAAAAAAAAABbQ29udGVudF9UeXBlc10ueG1sUEsBAi0AFAAGAAgAAAAhAFr0LFu/AAAAFQEAAAsA&#10;AAAAAAAAAAAAAAAAHwEAAF9yZWxzLy5yZWxzUEsBAi0AFAAGAAgAAAAhADUIXh3EAAAA3gAAAA8A&#10;AAAAAAAAAAAAAAAABwIAAGRycy9kb3ducmV2LnhtbFBLBQYAAAAAAwADALcAAAD4AgAAAAA=&#10;" filled="f" stroked="f">
                  <v:textbox inset="0,0,0,0">
                    <w:txbxContent>
                      <w:p w14:paraId="6226BE1C" w14:textId="77777777" w:rsidR="00B32EF2" w:rsidRDefault="00000000">
                        <w:r>
                          <w:rPr>
                            <w:rFonts w:ascii="Arial" w:eastAsia="Arial" w:hAnsi="Arial" w:cs="Arial"/>
                            <w:i/>
                            <w:sz w:val="18"/>
                          </w:rPr>
                          <w:t>del tribunale, le relative domande possono essere proposte innanzi  al   tri</w:t>
                        </w:r>
                      </w:p>
                    </w:txbxContent>
                  </v:textbox>
                </v:rect>
                <v:rect id="Rectangle 17190" o:spid="_x0000_s3090" style="position:absolute;left:975;top:5665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2FdyAAAAN4AAAAPAAAAZHJzL2Rvd25yZXYueG1sRI9Pb8Iw&#10;DMXvSPsOkSftBik7bKwQ0MSE1sMu/JnE0WpMW2icqAm026fHh0m72fLze++3WA2uVTfqYuPZwHSS&#10;gSIuvW24MnDYb8YzUDEhW2w9k4EfirBaPowWmFvf85Zuu1QpMeGYo4E6pZBrHcuaHMaJD8RyO/nO&#10;YZK1q7TtsBdz1+rnLHvRDhuWhBoDrWsqL7urM3D84FBsel2eftfh61zM2s/r4duYp8fhfQ4q0ZD+&#10;xX/fhZX6r9M3ARAcmUEv7wAAAP//AwBQSwECLQAUAAYACAAAACEA2+H2y+4AAACFAQAAEwAAAAAA&#10;AAAAAAAAAAAAAAAAW0NvbnRlbnRfVHlwZXNdLnhtbFBLAQItABQABgAIAAAAIQBa9CxbvwAAABUB&#10;AAALAAAAAAAAAAAAAAAAAB8BAABfcmVscy8ucmVsc1BLAQItABQABgAIAAAAIQAh62FdyAAAAN4A&#10;AAAPAAAAAAAAAAAAAAAAAAcCAABkcnMvZG93bnJldi54bWxQSwUGAAAAAAMAAwC3AAAA/AIAAAAA&#10;" filled="f" stroked="f">
                  <v:textbox inset="0,0,0,0">
                    <w:txbxContent>
                      <w:p w14:paraId="68C2A034" w14:textId="77777777" w:rsidR="00B32EF2" w:rsidRDefault="00000000">
                        <w:r>
                          <w:rPr>
                            <w:rFonts w:ascii="Arial" w:eastAsia="Arial" w:hAnsi="Arial" w:cs="Arial"/>
                            <w:i/>
                            <w:sz w:val="18"/>
                          </w:rPr>
                          <w:t>-</w:t>
                        </w:r>
                      </w:p>
                    </w:txbxContent>
                  </v:textbox>
                </v:rect>
                <v:rect id="Rectangle 17191" o:spid="_x0000_s3091" style="position:absolute;left:-622;top:55419;width:397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8TGxAAAAN4AAAAPAAAAZHJzL2Rvd25yZXYueG1sRE9Na8JA&#10;EL0X/A/LCL3VTTy0NrqKKNIcvGgVPA7ZMYlmZ5fsalJ/fVco9DaP9zmzRW8acafW15YVpKMEBHFh&#10;dc2lgsP35m0CwgdkjY1lUvBDHhbzwcsMM2073tF9H0oRQ9hnqKAKwWVS+qIig35kHXHkzrY1GCJs&#10;S6lb7GK4aeQ4Sd6lwZpjQ4WOVhUV1/3NKDit2eWbThbnx8ptL/mk+bodjkq9DvvlFESgPvyL/9y5&#10;jvM/0s8Unu/EG+T8FwAA//8DAFBLAQItABQABgAIAAAAIQDb4fbL7gAAAIUBAAATAAAAAAAAAAAA&#10;AAAAAAAAAABbQ29udGVudF9UeXBlc10ueG1sUEsBAi0AFAAGAAgAAAAhAFr0LFu/AAAAFQEAAAsA&#10;AAAAAAAAAAAAAAAAHwEAAF9yZWxzLy5yZWxzUEsBAi0AFAAGAAgAAAAhAE6nxMbEAAAA3gAAAA8A&#10;AAAAAAAAAAAAAAAABwIAAGRycy9kb3ducmV2LnhtbFBLBQYAAAAAAwADALcAAAD4AgAAAAA=&#10;" filled="f" stroked="f">
                  <v:textbox inset="0,0,0,0">
                    <w:txbxContent>
                      <w:p w14:paraId="54C1B6A7" w14:textId="77777777" w:rsidR="00B32EF2" w:rsidRDefault="00000000">
                        <w:r>
                          <w:rPr>
                            <w:rFonts w:ascii="Arial" w:eastAsia="Arial" w:hAnsi="Arial" w:cs="Arial"/>
                            <w:i/>
                            <w:sz w:val="18"/>
                          </w:rPr>
                          <w:t xml:space="preserve">bunale   affinchè   siano   decise   nello   stesso processo. </w:t>
                        </w:r>
                      </w:p>
                    </w:txbxContent>
                  </v:textbox>
                </v:rect>
                <v:rect id="Rectangle 200277" o:spid="_x0000_s3092" style="position:absolute;left:-12441;top:54186;width:510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USfxwAAAN8AAAAPAAAAZHJzL2Rvd25yZXYueG1sRI9Ba8JA&#10;FITvQv/D8gq96aY5GImuIiliDr3UWujxkX0m0ezbJbsmaX99t1DocZiZb5jNbjKdGKj3rWUFz4sE&#10;BHFldcu1gvP7Yb4C4QOyxs4yKfgiD7vtw2yDubYjv9FwCrWIEPY5KmhCcLmUvmrIoF9YRxy9i+0N&#10;hij7Wuoexwg3nUyTZCkNthwXGnRUNFTdTnej4POFXXkYZXX5LtzrtVx1x/v5Q6mnx2m/BhFoCv/h&#10;v3apFURimmXw+yd+Abn9AQAA//8DAFBLAQItABQABgAIAAAAIQDb4fbL7gAAAIUBAAATAAAAAAAA&#10;AAAAAAAAAAAAAABbQ29udGVudF9UeXBlc10ueG1sUEsBAi0AFAAGAAgAAAAhAFr0LFu/AAAAFQEA&#10;AAsAAAAAAAAAAAAAAAAAHwEAAF9yZWxzLy5yZWxzUEsBAi0AFAAGAAgAAAAhACVFRJ/HAAAA3wAA&#10;AA8AAAAAAAAAAAAAAAAABwIAAGRycy9kb3ducmV2LnhtbFBLBQYAAAAAAwADALcAAAD7AgAAAAA=&#10;" filled="f" stroked="f">
                  <v:textbox inset="0,0,0,0">
                    <w:txbxContent>
                      <w:p w14:paraId="73F6EC19" w14:textId="77777777" w:rsidR="00B32EF2" w:rsidRDefault="00000000">
                        <w:r>
                          <w:rPr>
                            <w:rFonts w:ascii="Arial" w:eastAsia="Arial" w:hAnsi="Arial" w:cs="Arial"/>
                            <w:i/>
                            <w:sz w:val="18"/>
                          </w:rPr>
                          <w:t xml:space="preserve">. Se le cause connesse ai sensi del sesto comma sono proposte davanti </w:t>
                        </w:r>
                      </w:p>
                    </w:txbxContent>
                  </v:textbox>
                </v:rect>
                <v:rect id="Rectangle 200276" o:spid="_x0000_s3093" style="position:absolute;left:25825;top:54186;width:510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eEExQAAAN8AAAAPAAAAZHJzL2Rvd25yZXYueG1sRI9Bi8Iw&#10;FITvgv8hPMGbpnpQ6RplUcQevOgqeHw0z7a7zUtooq376zeCsMdhZr5hluvO1OJBja8sK5iMExDE&#10;udUVFwrOX7vRAoQPyBpry6TgSR7Wq35viam2LR/pcQqFiBD2KSooQ3CplD4vyaAfW0ccvZttDIYo&#10;m0LqBtsIN7WcJslMGqw4LpToaFNS/nO6GwXXLbts18r89rtxh+9sUe/v54tSw0H3+QEiUBf+w+92&#10;phVE4nQ+g9ef+AXk6g8AAP//AwBQSwECLQAUAAYACAAAACEA2+H2y+4AAACFAQAAEwAAAAAAAAAA&#10;AAAAAAAAAAAAW0NvbnRlbnRfVHlwZXNdLnhtbFBLAQItABQABgAIAAAAIQBa9CxbvwAAABUBAAAL&#10;AAAAAAAAAAAAAAAAAB8BAABfcmVscy8ucmVsc1BLAQItABQABgAIAAAAIQBKCeEExQAAAN8AAAAP&#10;AAAAAAAAAAAAAAAAAAcCAABkcnMvZG93bnJldi54bWxQSwUGAAAAAAMAAwC3AAAA+QIAAAAA&#10;" filled="f" stroked="f">
                  <v:textbox inset="0,0,0,0">
                    <w:txbxContent>
                      <w:p w14:paraId="5843C10B" w14:textId="77777777" w:rsidR="00B32EF2" w:rsidRDefault="00000000">
                        <w:r>
                          <w:rPr>
                            <w:rFonts w:ascii="Arial" w:eastAsia="Arial" w:hAnsi="Arial" w:cs="Arial"/>
                            <w:i/>
                            <w:sz w:val="18"/>
                          </w:rPr>
                          <w:t>7</w:t>
                        </w:r>
                      </w:p>
                    </w:txbxContent>
                  </v:textbox>
                </v:rect>
                <v:rect id="Rectangle 17193" o:spid="_x0000_s3094" style="position:absolute;left:-11876;top:52952;width:510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f8qxQAAAN4AAAAPAAAAZHJzL2Rvd25yZXYueG1sRE9La8JA&#10;EL4X/A/LCN7qxgpVo6uIRZpDL/UBHofsmESzs0t2NWl/fbcgeJuP7zmLVWdqcafGV5YVjIYJCOLc&#10;6ooLBYf99nUKwgdkjbVlUvBDHlbL3ssCU21b/qb7LhQihrBPUUEZgkul9HlJBv3QOuLInW1jMETY&#10;FFI32MZwU8u3JHmXBiuODSU62pSUX3c3o+D0wS7btjI//27c1yWb1p+3w1GpQb9bz0EE6sJT/HBn&#10;Os6fjGZj+H8n3iCXfwAAAP//AwBQSwECLQAUAAYACAAAACEA2+H2y+4AAACFAQAAEwAAAAAAAAAA&#10;AAAAAAAAAAAAW0NvbnRlbnRfVHlwZXNdLnhtbFBLAQItABQABgAIAAAAIQBa9CxbvwAAABUBAAAL&#10;AAAAAAAAAAAAAAAAAB8BAABfcmVscy8ucmVsc1BLAQItABQABgAIAAAAIQDROf8qxQAAAN4AAAAP&#10;AAAAAAAAAAAAAAAAAAcCAABkcnMvZG93bnJldi54bWxQSwUGAAAAAAMAAwC3AAAA+QIAAAAA&#10;" filled="f" stroked="f">
                  <v:textbox inset="0,0,0,0">
                    <w:txbxContent>
                      <w:p w14:paraId="698FDD2D" w14:textId="77777777" w:rsidR="00B32EF2" w:rsidRDefault="00000000">
                        <w:r>
                          <w:rPr>
                            <w:rFonts w:ascii="Arial" w:eastAsia="Arial" w:hAnsi="Arial" w:cs="Arial"/>
                            <w:i/>
                            <w:sz w:val="18"/>
                          </w:rPr>
                          <w:t xml:space="preserve">al  giudice  di  pace  e  al  tribunale,  il  giudice  di  pace  deve pronunziare </w:t>
                        </w:r>
                      </w:p>
                    </w:txbxContent>
                  </v:textbox>
                </v:rect>
                <v:rect id="Rectangle 17194" o:spid="_x0000_s3095" style="position:absolute;left:2116;top:51719;width:370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GdexQAAAN4AAAAPAAAAZHJzL2Rvd25yZXYueG1sRE9La8JA&#10;EL4X/A/LCN7qxiJVo6uIRZpDL/UBHofsmESzs0t2NWl/fbcgeJuP7zmLVWdqcafGV5YVjIYJCOLc&#10;6ooLBYf99nUKwgdkjbVlUvBDHlbL3ssCU21b/qb7LhQihrBPUUEZgkul9HlJBv3QOuLInW1jMETY&#10;FFI32MZwU8u3JHmXBiuODSU62pSUX3c3o+D0wS7btjI//27c1yWb1p+3w1GpQb9bz0EE6sJT/HBn&#10;Os6fjGZj+H8n3iCXfwAAAP//AwBQSwECLQAUAAYACAAAACEA2+H2y+4AAACFAQAAEwAAAAAAAAAA&#10;AAAAAAAAAAAAW0NvbnRlbnRfVHlwZXNdLnhtbFBLAQItABQABgAIAAAAIQBa9CxbvwAAABUBAAAL&#10;AAAAAAAAAAAAAAAAAB8BAABfcmVscy8ucmVsc1BLAQItABQABgAIAAAAIQBe0GdexQAAAN4AAAAP&#10;AAAAAAAAAAAAAAAAAAcCAABkcnMvZG93bnJldi54bWxQSwUGAAAAAAMAAwC3AAAA+QIAAAAA&#10;" filled="f" stroked="f">
                  <v:textbox inset="0,0,0,0">
                    <w:txbxContent>
                      <w:p w14:paraId="59B6A85E" w14:textId="77777777" w:rsidR="00B32EF2" w:rsidRDefault="00000000">
                        <w:r>
                          <w:rPr>
                            <w:rFonts w:ascii="Arial" w:eastAsia="Arial" w:hAnsi="Arial" w:cs="Arial"/>
                            <w:i/>
                            <w:sz w:val="18"/>
                          </w:rPr>
                          <w:t>anche d’ufficio la connessione a  favore  del  tribunale.</w:t>
                        </w:r>
                      </w:p>
                    </w:txbxContent>
                  </v:textbox>
                </v:rect>
                <v:rect id="Rectangle 17195" o:spid="_x0000_s3096" style="position:absolute;left:-7001;top:50486;width:461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MLFxQAAAN4AAAAPAAAAZHJzL2Rvd25yZXYueG1sRE9La8JA&#10;EL4X/A/LCN7qxoJVo6uIRZpDL/UBHofsmESzs0t2NWl/fbcgeJuP7zmLVWdqcafGV5YVjIYJCOLc&#10;6ooLBYf99nUKwgdkjbVlUvBDHlbL3ssCU21b/qb7LhQihrBPUUEZgkul9HlJBv3QOuLInW1jMETY&#10;FFI32MZwU8u3JHmXBiuODSU62pSUX3c3o+D0wS7btjI//27c1yWb1p+3w1GpQb9bz0EE6sJT/HBn&#10;Os6fjGZj+H8n3iCXfwAAAP//AwBQSwECLQAUAAYACAAAACEA2+H2y+4AAACFAQAAEwAAAAAAAAAA&#10;AAAAAAAAAAAAW0NvbnRlbnRfVHlwZXNdLnhtbFBLAQItABQABgAIAAAAIQBa9CxbvwAAABUBAAAL&#10;AAAAAAAAAAAAAAAAAB8BAABfcmVscy8ucmVsc1BLAQItABQABgAIAAAAIQAxnMLFxQAAAN4AAAAP&#10;AAAAAAAAAAAAAAAAAAcCAABkcnMvZG93bnJldi54bWxQSwUGAAAAAAMAAwC3AAAA+QIAAAAA&#10;" filled="f" stroked="f">
                  <v:textbox inset="0,0,0,0">
                    <w:txbxContent>
                      <w:p w14:paraId="19DE28EF" w14:textId="77777777" w:rsidR="00B32EF2" w:rsidRDefault="00000000">
                        <w:r>
                          <w:rPr>
                            <w:rFonts w:ascii="Arial" w:eastAsia="Arial" w:hAnsi="Arial" w:cs="Arial"/>
                            <w:i/>
                            <w:sz w:val="18"/>
                          </w:rPr>
                          <w:t xml:space="preserve">art. 273 c.p.c. “Riunione dei procedimenti relativi alla stessa causa” </w:t>
                        </w:r>
                      </w:p>
                    </w:txbxContent>
                  </v:textbox>
                </v:rect>
                <v:rect id="Rectangle 200275" o:spid="_x0000_s3097" style="position:absolute;left:-11491;top:49252;width:500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39zxwAAAN8AAAAPAAAAZHJzL2Rvd25yZXYueG1sRI9Pa8JA&#10;FMTvhX6H5RV6q5sKVkndSLGIOXhRU+jxkX3502bfLtnVpH76riB4HGbmN8xyNZpOnKn3rWUFr5ME&#10;BHFpdcu1guK4eVmA8AFZY2eZFPyRh1X2+LDEVNuB93Q+hFpECPsUFTQhuFRKXzZk0E+sI45eZXuD&#10;Icq+lrrHIcJNJ6dJ8iYNthwXGnS0bqj8PZyMgu9PdvlmkGV1WbvdT77otqfiS6nnp/HjHUSgMdzD&#10;t3auFUTidD6D65/4BWT2DwAA//8DAFBLAQItABQABgAIAAAAIQDb4fbL7gAAAIUBAAATAAAAAAAA&#10;AAAAAAAAAAAAAABbQ29udGVudF9UeXBlc10ueG1sUEsBAi0AFAAGAAgAAAAhAFr0LFu/AAAAFQEA&#10;AAsAAAAAAAAAAAAAAAAAHwEAAF9yZWxzLy5yZWxzUEsBAi0AFAAGAAgAAAAhALrbf3PHAAAA3wAA&#10;AA8AAAAAAAAAAAAAAAAABwIAAGRycy9kb3ducmV2LnhtbFBLBQYAAAAAAwADALcAAAD7AgAAAAA=&#10;" filled="f" stroked="f">
                  <v:textbox inset="0,0,0,0">
                    <w:txbxContent>
                      <w:p w14:paraId="5AAA531E" w14:textId="77777777" w:rsidR="00B32EF2" w:rsidRDefault="00000000">
                        <w:r>
                          <w:rPr>
                            <w:rFonts w:ascii="Arial" w:eastAsia="Arial" w:hAnsi="Arial" w:cs="Arial"/>
                            <w:i/>
                            <w:sz w:val="18"/>
                          </w:rPr>
                          <w:t>. Se più procedimenti relativi alla stessa causa pendono davanti allo stes</w:t>
                        </w:r>
                      </w:p>
                    </w:txbxContent>
                  </v:textbox>
                </v:rect>
                <v:rect id="Rectangle 200274" o:spid="_x0000_s3098" style="position:absolute;left:26084;top:49252;width:500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9roxwAAAN8AAAAPAAAAZHJzL2Rvd25yZXYueG1sRI9Pa8JA&#10;FMTvhX6H5RV6q5uKVEndSLGIOXhRU+jxkX3502bfLtnVpH76riB4HGbmN8xyNZpOnKn3rWUFr5ME&#10;BHFpdcu1guK4eVmA8AFZY2eZFPyRh1X2+LDEVNuB93Q+hFpECPsUFTQhuFRKXzZk0E+sI45eZXuD&#10;Icq+lrrHIcJNJ6dJ8iYNthwXGnS0bqj8PZyMgu9PdvlmkGV1WbvdT77otqfiS6nnp/HjHUSgMdzD&#10;t3auFUTidD6D65/4BWT2DwAA//8DAFBLAQItABQABgAIAAAAIQDb4fbL7gAAAIUBAAATAAAAAAAA&#10;AAAAAAAAAAAAAABbQ29udGVudF9UeXBlc10ueG1sUEsBAi0AFAAGAAgAAAAhAFr0LFu/AAAAFQEA&#10;AAsAAAAAAAAAAAAAAAAAHwEAAF9yZWxzLy5yZWxzUEsBAi0AFAAGAAgAAAAhANWX2ujHAAAA3wAA&#10;AA8AAAAAAAAAAAAAAAAABwIAAGRycy9kb3ducmV2LnhtbFBLBQYAAAAAAwADALcAAAD7AgAAAAA=&#10;" filled="f" stroked="f">
                  <v:textbox inset="0,0,0,0">
                    <w:txbxContent>
                      <w:p w14:paraId="60DB7812" w14:textId="77777777" w:rsidR="00B32EF2" w:rsidRDefault="00000000">
                        <w:r>
                          <w:rPr>
                            <w:rFonts w:ascii="Arial" w:eastAsia="Arial" w:hAnsi="Arial" w:cs="Arial"/>
                            <w:i/>
                            <w:sz w:val="18"/>
                          </w:rPr>
                          <w:t>1</w:t>
                        </w:r>
                      </w:p>
                    </w:txbxContent>
                  </v:textbox>
                </v:rect>
                <v:rect id="Rectangle 17197" o:spid="_x0000_s3099" style="position:absolute;left:975;top:4925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kpxQAAAN4AAAAPAAAAZHJzL2Rvd25yZXYueG1sRE9Li8Iw&#10;EL4L+x/CLHhbU/fgoxplcZHtwcv6AI9DM7bVZhKaaKu/3iwseJuP7znzZWdqcaPGV5YVDAcJCOLc&#10;6ooLBfvd+mMCwgdkjbVlUnAnD8vFW2+OqbYt/9JtGwoRQ9inqKAMwaVS+rwkg35gHXHkTrYxGCJs&#10;CqkbbGO4qeVnkoykwYpjQ4mOViXll+3VKDh+s8vWrcxPj5XbnLNJ/XPdH5Tqv3dfMxCBuvAS/7sz&#10;HeePh9Mx/L0Tb5CLJwAAAP//AwBQSwECLQAUAAYACAAAACEA2+H2y+4AAACFAQAAEwAAAAAAAAAA&#10;AAAAAAAAAAAAW0NvbnRlbnRfVHlwZXNdLnhtbFBLAQItABQABgAIAAAAIQBa9CxbvwAAABUBAAAL&#10;AAAAAAAAAAAAAAAAAB8BAABfcmVscy8ucmVsc1BLAQItABQABgAIAAAAIQCuAvkpxQAAAN4AAAAP&#10;AAAAAAAAAAAAAAAAAAcCAABkcnMvZG93bnJldi54bWxQSwUGAAAAAAMAAwC3AAAA+QIAAAAA&#10;" filled="f" stroked="f">
                  <v:textbox inset="0,0,0,0">
                    <w:txbxContent>
                      <w:p w14:paraId="5C3E5A37" w14:textId="77777777" w:rsidR="00B32EF2" w:rsidRDefault="00000000">
                        <w:r>
                          <w:rPr>
                            <w:rFonts w:ascii="Arial" w:eastAsia="Arial" w:hAnsi="Arial" w:cs="Arial"/>
                            <w:i/>
                            <w:sz w:val="18"/>
                          </w:rPr>
                          <w:t>-</w:t>
                        </w:r>
                      </w:p>
                    </w:txbxContent>
                  </v:textbox>
                </v:rect>
                <v:rect id="Rectangle 17198" o:spid="_x0000_s3100" style="position:absolute;left:850;top:48019;width:382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W1byAAAAN4AAAAPAAAAZHJzL2Rvd25yZXYueG1sRI9Pb8Iw&#10;DMXvSPsOkSftBik7bKwQ0MSE1sMu/JnE0WpMW2icqAm026fHh0m72XrP7/28WA2uVTfqYuPZwHSS&#10;gSIuvW24MnDYb8YzUDEhW2w9k4EfirBaPowWmFvf85Zuu1QpCeGYo4E6pZBrHcuaHMaJD8SinXzn&#10;MMnaVdp22Eu4a/Vzlr1ohw1LQ42B1jWVl93VGTh+cCg2vS5Pv+vwdS5m7ef18G3M0+PwPgeVaEj/&#10;5r/rwgr+6/RNeOUdmUEv7wAAAP//AwBQSwECLQAUAAYACAAAACEA2+H2y+4AAACFAQAAEwAAAAAA&#10;AAAAAAAAAAAAAAAAW0NvbnRlbnRfVHlwZXNdLnhtbFBLAQItABQABgAIAAAAIQBa9CxbvwAAABUB&#10;AAALAAAAAAAAAAAAAAAAAB8BAABfcmVscy8ucmVsc1BLAQItABQABgAIAAAAIQDfnW1byAAAAN4A&#10;AAAPAAAAAAAAAAAAAAAAAAcCAABkcnMvZG93bnJldi54bWxQSwUGAAAAAAMAAwC3AAAA/AIAAAAA&#10;" filled="f" stroked="f">
                  <v:textbox inset="0,0,0,0">
                    <w:txbxContent>
                      <w:p w14:paraId="3340D9F0" w14:textId="77777777" w:rsidR="00B32EF2" w:rsidRDefault="00000000">
                        <w:r>
                          <w:rPr>
                            <w:rFonts w:ascii="Arial" w:eastAsia="Arial" w:hAnsi="Arial" w:cs="Arial"/>
                            <w:i/>
                            <w:sz w:val="18"/>
                          </w:rPr>
                          <w:t xml:space="preserve">so giudice, questi, anche d’ufficio, ne ordina la riunione. </w:t>
                        </w:r>
                      </w:p>
                    </w:txbxContent>
                  </v:textbox>
                </v:rect>
                <v:rect id="Rectangle 200272" o:spid="_x0000_s3101" style="position:absolute;left:25833;top:46786;width:51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ucHxgAAAN8AAAAPAAAAZHJzL2Rvd25yZXYueG1sRI9Ba8JA&#10;FITvgv9heUJvumkOraSuUhQxh16qEXp8ZJ9J2uzbJbua1F/vCoLHYWa+YRarwbTiQp1vLCt4nSUg&#10;iEurG64UFIftdA7CB2SNrWVS8E8eVsvxaIGZtj1/02UfKhEh7DNUUIfgMil9WZNBP7OOOHon2xkM&#10;UXaV1B32EW5amSbJmzTYcFyo0dG6pvJvfzYKfjbs8m0vy9N17b5+83m7OxdHpV4mw+cHiEBDeIYf&#10;7VwriMT0PYX7n/gF5PIGAAD//wMAUEsBAi0AFAAGAAgAAAAhANvh9svuAAAAhQEAABMAAAAAAAAA&#10;AAAAAAAAAAAAAFtDb250ZW50X1R5cGVzXS54bWxQSwECLQAUAAYACAAAACEAWvQsW78AAAAVAQAA&#10;CwAAAAAAAAAAAAAAAAAfAQAAX3JlbHMvLnJlbHNQSwECLQAUAAYACAAAACEANTLnB8YAAADfAAAA&#10;DwAAAAAAAAAAAAAAAAAHAgAAZHJzL2Rvd25yZXYueG1sUEsFBgAAAAADAAMAtwAAAPoCAAAAAA==&#10;" filled="f" stroked="f">
                  <v:textbox inset="0,0,0,0">
                    <w:txbxContent>
                      <w:p w14:paraId="3F9EAFD6" w14:textId="77777777" w:rsidR="00B32EF2" w:rsidRDefault="00000000">
                        <w:r>
                          <w:rPr>
                            <w:rFonts w:ascii="Arial" w:eastAsia="Arial" w:hAnsi="Arial" w:cs="Arial"/>
                            <w:i/>
                            <w:sz w:val="18"/>
                          </w:rPr>
                          <w:t>2</w:t>
                        </w:r>
                      </w:p>
                    </w:txbxContent>
                  </v:textbox>
                </v:rect>
                <v:rect id="Rectangle 200273" o:spid="_x0000_s3102" style="position:absolute;left:-12524;top:46786;width:51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kKcxwAAAN8AAAAPAAAAZHJzL2Rvd25yZXYueG1sRI9Pa8JA&#10;FMTvhX6H5RV6q5sqVEndSLGIOXhRU+jxkX3502bfLtnVpH76riB4HGbmN8xyNZpOnKn3rWUFr5ME&#10;BHFpdcu1guK4eVmA8AFZY2eZFPyRh1X2+LDEVNuB93Q+hFpECPsUFTQhuFRKXzZk0E+sI45eZXuD&#10;Icq+lrrHIcJNJ6dJ8iYNthwXGnS0bqj8PZyMgu9PdvlmkGV1WbvdT77otqfiS6nnp/HjHUSgMdzD&#10;t3auFUTidD6D65/4BWT2DwAA//8DAFBLAQItABQABgAIAAAAIQDb4fbL7gAAAIUBAAATAAAAAAAA&#10;AAAAAAAAAAAAAABbQ29udGVudF9UeXBlc10ueG1sUEsBAi0AFAAGAAgAAAAhAFr0LFu/AAAAFQEA&#10;AAsAAAAAAAAAAAAAAAAAHwEAAF9yZWxzLy5yZWxzUEsBAi0AFAAGAAgAAAAhAFp+QpzHAAAA3wAA&#10;AA8AAAAAAAAAAAAAAAAABwIAAGRycy9kb3ducmV2LnhtbFBLBQYAAAAAAwADALcAAAD7AgAAAAA=&#10;" filled="f" stroked="f">
                  <v:textbox inset="0,0,0,0">
                    <w:txbxContent>
                      <w:p w14:paraId="511B2C0F" w14:textId="77777777" w:rsidR="00B32EF2" w:rsidRDefault="00000000">
                        <w:r>
                          <w:rPr>
                            <w:rFonts w:ascii="Arial" w:eastAsia="Arial" w:hAnsi="Arial" w:cs="Arial"/>
                            <w:i/>
                            <w:sz w:val="18"/>
                          </w:rPr>
                          <w:t xml:space="preserve">. Se il giudice istruttore o il presidente della sezione ha notizia che per la </w:t>
                        </w:r>
                      </w:p>
                    </w:txbxContent>
                  </v:textbox>
                </v:rect>
                <v:rect id="Rectangle 17200" o:spid="_x0000_s3103" style="position:absolute;left:-10887;top:45553;width:5002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WmxQAAAN4AAAAPAAAAZHJzL2Rvd25yZXYueG1sRI9Pi8Iw&#10;EMXvwn6HMAt703Q9rNI1iriIPXjxH3gcmrHt2kxCE2310xtB8DbDe+83byazztTiSo2vLCv4HiQg&#10;iHOrKy4U7HfL/hiED8gaa8uk4EYeZtOP3gRTbVve0HUbChEh7FNUUIbgUil9XpJBP7COOGon2xgM&#10;cW0KqRtsI9zUcpgkP9JgxfFCiY4WJeXn7cUoOP6xy5atzE/3hVv/Z+N6ddkflPr67Oa/IAJ14W1+&#10;pTMd648iE57vxBnk9AEAAP//AwBQSwECLQAUAAYACAAAACEA2+H2y+4AAACFAQAAEwAAAAAAAAAA&#10;AAAAAAAAAAAAW0NvbnRlbnRfVHlwZXNdLnhtbFBLAQItABQABgAIAAAAIQBa9CxbvwAAABUBAAAL&#10;AAAAAAAAAAAAAAAAAB8BAABfcmVscy8ucmVsc1BLAQItABQABgAIAAAAIQASxJWmxQAAAN4AAAAP&#10;AAAAAAAAAAAAAAAAAAcCAABkcnMvZG93bnJldi54bWxQSwUGAAAAAAMAAwC3AAAA+QIAAAAA&#10;" filled="f" stroked="f">
                  <v:textbox inset="0,0,0,0">
                    <w:txbxContent>
                      <w:p w14:paraId="40467C1B" w14:textId="77777777" w:rsidR="00B32EF2" w:rsidRDefault="00000000">
                        <w:r>
                          <w:rPr>
                            <w:rFonts w:ascii="Arial" w:eastAsia="Arial" w:hAnsi="Arial" w:cs="Arial"/>
                            <w:i/>
                            <w:sz w:val="18"/>
                          </w:rPr>
                          <w:t>stessa causa pende procedimento davanti ad altro giudice o ad altra sezio</w:t>
                        </w:r>
                      </w:p>
                    </w:txbxContent>
                  </v:textbox>
                </v:rect>
                <v:rect id="Rectangle 17201" o:spid="_x0000_s3104" style="position:absolute;left:975;top:45553;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DA9xAAAAN4AAAAPAAAAZHJzL2Rvd25yZXYueG1sRE9Li8Iw&#10;EL4L+x/CLHjTVA+udI0iitjDXtYHeByase3aTEITbddfbwTB23x8z5ktOlOLGzW+sqxgNExAEOdW&#10;V1woOOw3gykIH5A11pZJwT95WMw/ejNMtW35l267UIgYwj5FBWUILpXS5yUZ9EPriCN3to3BEGFT&#10;SN1gG8NNLcdJMpEGK44NJTpalZRfdlej4LRml21amZ/vK/fzl03r7fVwVKr/2S2/QQTqwlv8cmc6&#10;zv8aJyN4vhNvkPMHAAAA//8DAFBLAQItABQABgAIAAAAIQDb4fbL7gAAAIUBAAATAAAAAAAAAAAA&#10;AAAAAAAAAABbQ29udGVudF9UeXBlc10ueG1sUEsBAi0AFAAGAAgAAAAhAFr0LFu/AAAAFQEAAAsA&#10;AAAAAAAAAAAAAAAAHwEAAF9yZWxzLy5yZWxzUEsBAi0AFAAGAAgAAAAhAH2IMD3EAAAA3gAAAA8A&#10;AAAAAAAAAAAAAAAABwIAAGRycy9kb3ducmV2LnhtbFBLBQYAAAAAAwADALcAAAD4AgAAAAA=&#10;" filled="f" stroked="f">
                  <v:textbox inset="0,0,0,0">
                    <w:txbxContent>
                      <w:p w14:paraId="761C0B21" w14:textId="77777777" w:rsidR="00B32EF2" w:rsidRDefault="00000000">
                        <w:r>
                          <w:rPr>
                            <w:rFonts w:ascii="Arial" w:eastAsia="Arial" w:hAnsi="Arial" w:cs="Arial"/>
                            <w:i/>
                            <w:sz w:val="18"/>
                          </w:rPr>
                          <w:t>-</w:t>
                        </w:r>
                      </w:p>
                    </w:txbxContent>
                  </v:textbox>
                </v:rect>
                <v:rect id="Rectangle 17202" o:spid="_x0000_s3105" style="position:absolute;left:-11863;top:44319;width:509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q5KxAAAAN4AAAAPAAAAZHJzL2Rvd25yZXYueG1sRE9Na8JA&#10;EL0L/odlhN500xxaSV2lKGIOvVQj9DhkxyRtdnbJrib117uC4G0e73MWq8G04kKdbywreJ0lIIhL&#10;qxuuFBSH7XQOwgdkja1lUvBPHlbL8WiBmbY9f9NlHyoRQ9hnqKAOwWVS+rImg35mHXHkTrYzGCLs&#10;Kqk77GO4aWWaJG/SYMOxoUZH65rKv/3ZKPjZsMu3vSxP17X7+s3n7e5cHJV6mQyfHyACDeEpfrhz&#10;Hee/p0kK93fiDXJ5AwAA//8DAFBLAQItABQABgAIAAAAIQDb4fbL7gAAAIUBAAATAAAAAAAAAAAA&#10;AAAAAAAAAABbQ29udGVudF9UeXBlc10ueG1sUEsBAi0AFAAGAAgAAAAhAFr0LFu/AAAAFQEAAAsA&#10;AAAAAAAAAAAAAAAAHwEAAF9yZWxzLy5yZWxzUEsBAi0AFAAGAAgAAAAhAI1arkrEAAAA3gAAAA8A&#10;AAAAAAAAAAAAAAAABwIAAGRycy9kb3ducmV2LnhtbFBLBQYAAAAAAwADALcAAAD4AgAAAAA=&#10;" filled="f" stroked="f">
                  <v:textbox inset="0,0,0,0">
                    <w:txbxContent>
                      <w:p w14:paraId="402730DC" w14:textId="77777777" w:rsidR="00B32EF2" w:rsidRDefault="00000000">
                        <w:r>
                          <w:rPr>
                            <w:rFonts w:ascii="Arial" w:eastAsia="Arial" w:hAnsi="Arial" w:cs="Arial"/>
                            <w:i/>
                            <w:sz w:val="18"/>
                          </w:rPr>
                          <w:t xml:space="preserve">ne dello stesso tribunale, ne riferisce al presidente, il quale, sentite le parti, </w:t>
                        </w:r>
                      </w:p>
                    </w:txbxContent>
                  </v:textbox>
                </v:rect>
                <v:rect id="Rectangle 17203" o:spid="_x0000_s3106" style="position:absolute;left:-11923;top:43086;width:512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gvRxQAAAN4AAAAPAAAAZHJzL2Rvd25yZXYueG1sRE9La8JA&#10;EL4X+h+WKfRWN1WokrqRYhFz8KKm0OOQnTza7OySXU3qr+8Kgrf5+J6zXI2mE2fqfWtZweskAUFc&#10;Wt1yraA4bl4WIHxA1thZJgV/5GGVPT4sMdV24D2dD6EWMYR9igqaEFwqpS8bMugn1hFHrrK9wRBh&#10;X0vd4xDDTSenSfImDbYcGxp0tG6o/D2cjILvT3b5ZpBldVm73U++6Lan4kup56fx4x1EoDHcxTd3&#10;ruP8+TSZwfWdeIPM/gEAAP//AwBQSwECLQAUAAYACAAAACEA2+H2y+4AAACFAQAAEwAAAAAAAAAA&#10;AAAAAAAAAAAAW0NvbnRlbnRfVHlwZXNdLnhtbFBLAQItABQABgAIAAAAIQBa9CxbvwAAABUBAAAL&#10;AAAAAAAAAAAAAAAAAB8BAABfcmVscy8ucmVsc1BLAQItABQABgAIAAAAIQDiFgvRxQAAAN4AAAAP&#10;AAAAAAAAAAAAAAAAAAcCAABkcnMvZG93bnJldi54bWxQSwUGAAAAAAMAAwC3AAAA+QIAAAAA&#10;" filled="f" stroked="f">
                  <v:textbox inset="0,0,0,0">
                    <w:txbxContent>
                      <w:p w14:paraId="61D66C5E" w14:textId="77777777" w:rsidR="00B32EF2" w:rsidRDefault="00000000">
                        <w:r>
                          <w:rPr>
                            <w:rFonts w:ascii="Arial" w:eastAsia="Arial" w:hAnsi="Arial" w:cs="Arial"/>
                            <w:i/>
                            <w:sz w:val="18"/>
                          </w:rPr>
                          <w:t xml:space="preserve">ordina con decreto la riunione, determinando la sezione o designando il </w:t>
                        </w:r>
                      </w:p>
                    </w:txbxContent>
                  </v:textbox>
                </v:rect>
                <v:rect id="Rectangle 17204" o:spid="_x0000_s3107" style="position:absolute;left:385;top:41853;width:387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OlxQAAAN4AAAAPAAAAZHJzL2Rvd25yZXYueG1sRE9La8JA&#10;EL4X+h+WKfRWNxWpkrqRYhFz8KKm0OOQnTza7OySXU3qr+8Kgrf5+J6zXI2mE2fqfWtZweskAUFc&#10;Wt1yraA4bl4WIHxA1thZJgV/5GGVPT4sMdV24D2dD6EWMYR9igqaEFwqpS8bMugn1hFHrrK9wRBh&#10;X0vd4xDDTSenSfImDbYcGxp0tG6o/D2cjILvT3b5ZpBldVm73U++6Lan4kup56fx4x1EoDHcxTd3&#10;ruP8+TSZwfWdeIPM/gEAAP//AwBQSwECLQAUAAYACAAAACEA2+H2y+4AAACFAQAAEwAAAAAAAAAA&#10;AAAAAAAAAAAAW0NvbnRlbnRfVHlwZXNdLnhtbFBLAQItABQABgAIAAAAIQBa9CxbvwAAABUBAAAL&#10;AAAAAAAAAAAAAAAAAB8BAABfcmVscy8ucmVsc1BLAQItABQABgAIAAAAIQBt/5OlxQAAAN4AAAAP&#10;AAAAAAAAAAAAAAAAAAcCAABkcnMvZG93bnJldi54bWxQSwUGAAAAAAMAAwC3AAAA+QIAAAAA&#10;" filled="f" stroked="f">
                  <v:textbox inset="0,0,0,0">
                    <w:txbxContent>
                      <w:p w14:paraId="2A04929F" w14:textId="77777777" w:rsidR="00B32EF2" w:rsidRDefault="00000000">
                        <w:r>
                          <w:rPr>
                            <w:rFonts w:ascii="Arial" w:eastAsia="Arial" w:hAnsi="Arial" w:cs="Arial"/>
                            <w:i/>
                            <w:sz w:val="18"/>
                          </w:rPr>
                          <w:t>giudice davanti al quale il procedimento deve proseguire.</w:t>
                        </w:r>
                      </w:p>
                    </w:txbxContent>
                  </v:textbox>
                </v:rect>
                <v:shape id="Shape 17205" o:spid="_x0000_s3108" style="position:absolute;left:317;top:41272;width:39600;height:21292;visibility:visible;mso-wrap-style:square;v-text-anchor:top" coordsize="3960000,212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QKaxgAAAN4AAAAPAAAAZHJzL2Rvd25yZXYueG1sRE9Na8JA&#10;EL0L/odlBC9FNwqtGl2lCGIPvcR6iLcxO2bTZmfT7Krpv+8WCt7m8T5ntelsLW7U+sqxgsk4AUFc&#10;OF1xqeD4sRvNQfiArLF2TAp+yMNm3e+tMNXuzhndDqEUMYR9igpMCE0qpS8MWfRj1xBH7uJaiyHC&#10;tpS6xXsMt7WcJsmLtFhxbDDY0NZQ8XW4WgX5eXFalBl9Pu3zYz7fvWdu8m2UGg661yWIQF14iP/d&#10;bzrOn02TZ/h7J94g178AAAD//wMAUEsBAi0AFAAGAAgAAAAhANvh9svuAAAAhQEAABMAAAAAAAAA&#10;AAAAAAAAAAAAAFtDb250ZW50X1R5cGVzXS54bWxQSwECLQAUAAYACAAAACEAWvQsW78AAAAVAQAA&#10;CwAAAAAAAAAAAAAAAAAfAQAAX3JlbHMvLnJlbHNQSwECLQAUAAYACAAAACEAT60CmsYAAADeAAAA&#10;DwAAAAAAAAAAAAAAAAAHAgAAZHJzL2Rvd25yZXYueG1sUEsFBgAAAAADAAMAtwAAAPoCAAAAAA==&#10;" path="m,2129295r3960000,l3960000,,,,,2129295xe" filled="f" strokeweight="1pt">
                  <v:stroke miterlimit="1" joinstyle="miter"/>
                  <v:path arrowok="t" textboxrect="0,0,3960000,2129295"/>
                </v:shape>
                <v:shape id="Shape 207867" o:spid="_x0000_s3109" style="position:absolute;left:381;top:3876;width:39600;height:11348;visibility:visible;mso-wrap-style:square;v-text-anchor:top" coordsize="3960000,1134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sMcxwAAAN8AAAAPAAAAZHJzL2Rvd25yZXYueG1sRI9Bi8Iw&#10;FITvwv6H8Bb2IttUUVuqUVxZwZNQ14u3R/Nsi81LaaLWf78RBI/DzHzDLFa9acSNOldbVjCKYhDE&#10;hdU1lwqOf9vvFITzyBoby6TgQQ5Wy4/BAjNt75zT7eBLESDsMlRQed9mUrqiIoMusi1x8M62M+iD&#10;7EqpO7wHuGnkOI5n0mDNYaHCljYVFZfD1Sgoj0l+mtRuuC8208tP83u6Dh9Tpb4++/UchKfev8Ov&#10;9k4rGMdJOkvg+Sd8Abn8BwAA//8DAFBLAQItABQABgAIAAAAIQDb4fbL7gAAAIUBAAATAAAAAAAA&#10;AAAAAAAAAAAAAABbQ29udGVudF9UeXBlc10ueG1sUEsBAi0AFAAGAAgAAAAhAFr0LFu/AAAAFQEA&#10;AAsAAAAAAAAAAAAAAAAAHwEAAF9yZWxzLy5yZWxzUEsBAi0AFAAGAAgAAAAhAMfywxzHAAAA3wAA&#10;AA8AAAAAAAAAAAAAAAAABwIAAGRycy9kb3ducmV2LnhtbFBLBQYAAAAAAwADALcAAAD7AgAAAAA=&#10;" path="m,l3960000,r,1134796l,1134796,,e" fillcolor="#c3c3c3" stroked="f" strokeweight="0">
                  <v:stroke miterlimit="1" joinstyle="miter"/>
                  <v:path arrowok="t" textboxrect="0,0,3960000,1134796"/>
                </v:shape>
                <v:rect id="Rectangle 17207" o:spid="_x0000_s3110" style="position:absolute;left:23351;top:13012;width:158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Q3SxQAAAN4AAAAPAAAAZHJzL2Rvd25yZXYueG1sRE9Na8JA&#10;EL0L/Q/LFHrTTXMwEl1FUsQceqm10OOQHZNodnbJrknaX98tFHqbx/uczW4ynRio961lBc+LBARx&#10;ZXXLtYLz+2G+AuEDssbOMin4Ig+77cNsg7m2I7/RcAq1iCHsc1TQhOByKX3VkEG/sI44chfbGwwR&#10;9rXUPY4x3HQyTZKlNNhybGjQUdFQdTvdjYLPF3blYZTV5btwr9dy1R3v5w+lnh6n/RpEoCn8i//c&#10;pY7zszTJ4PedeIPc/gAAAP//AwBQSwECLQAUAAYACAAAACEA2+H2y+4AAACFAQAAEwAAAAAAAAAA&#10;AAAAAAAAAAAAW0NvbnRlbnRfVHlwZXNdLnhtbFBLAQItABQABgAIAAAAIQBa9CxbvwAAABUBAAAL&#10;AAAAAAAAAAAAAAAAAB8BAABfcmVscy8ucmVsc1BLAQItABQABgAIAAAAIQCdLQ3SxQAAAN4AAAAP&#10;AAAAAAAAAAAAAAAAAAcCAABkcnMvZG93bnJldi54bWxQSwUGAAAAAAMAAwC3AAAA+QIAAAAA&#10;" filled="f" stroked="f">
                  <v:textbox inset="0,0,0,0">
                    <w:txbxContent>
                      <w:p w14:paraId="335A6E11" w14:textId="77777777" w:rsidR="00B32EF2" w:rsidRDefault="00000000">
                        <w:r>
                          <w:rPr>
                            <w:rFonts w:ascii="Arial" w:eastAsia="Arial" w:hAnsi="Arial" w:cs="Arial"/>
                            <w:b/>
                            <w:i/>
                            <w:sz w:val="18"/>
                          </w:rPr>
                          <w:t>NORME RICHIAMATE</w:t>
                        </w:r>
                      </w:p>
                    </w:txbxContent>
                  </v:textbox>
                </v:rect>
                <v:rect id="Rectangle 17208" o:spid="_x0000_s3111" style="position:absolute;left:-11385;top:11779;width:505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pmgxwAAAN4AAAAPAAAAZHJzL2Rvd25yZXYueG1sRI9Pb8Iw&#10;DMXvk/YdIk/abaTjMFBHQIgJrQcu/Jm0o9WYtqNxoibQjk+PD0jcbL3n936eLQbXqgt1sfFs4H2U&#10;gSIuvW24MnDYr9+moGJCtth6JgP/FGExf36aYW59z1u67FKlJIRjjgbqlEKudSxrchhHPhCLdvSd&#10;wyRrV2nbYS/hrtXjLPvQDhuWhhoDrWoqT7uzM/D7xaFY97o8Xldh81dM2+/z4ceY15dh+Qkq0ZAe&#10;5vt1YQV/Ms6EV96RGfT8BgAA//8DAFBLAQItABQABgAIAAAAIQDb4fbL7gAAAIUBAAATAAAAAAAA&#10;AAAAAAAAAAAAAABbQ29udGVudF9UeXBlc10ueG1sUEsBAi0AFAAGAAgAAAAhAFr0LFu/AAAAFQEA&#10;AAsAAAAAAAAAAAAAAAAAHwEAAF9yZWxzLy5yZWxzUEsBAi0AFAAGAAgAAAAhAOyymaDHAAAA3gAA&#10;AA8AAAAAAAAAAAAAAAAABwIAAGRycy9kb3ducmV2LnhtbFBLBQYAAAAAAwADALcAAAD7AgAAAAA=&#10;" filled="f" stroked="f">
                  <v:textbox inset="0,0,0,0">
                    <w:txbxContent>
                      <w:p w14:paraId="60EB8C85" w14:textId="77777777" w:rsidR="00B32EF2" w:rsidRDefault="00000000">
                        <w:r>
                          <w:rPr>
                            <w:rFonts w:ascii="Arial" w:eastAsia="Arial" w:hAnsi="Arial" w:cs="Arial"/>
                            <w:i/>
                            <w:sz w:val="18"/>
                          </w:rPr>
                          <w:t>Art. 10-bis. L. 212/2000 “Disciplina dell’abuso del diritto o elusione fiscale”</w:t>
                        </w:r>
                      </w:p>
                    </w:txbxContent>
                  </v:textbox>
                </v:rect>
                <v:rect id="Rectangle 200255" o:spid="_x0000_s3112" style="position:absolute;left:25906;top:10546;width:510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MTxQAAAN8AAAAPAAAAZHJzL2Rvd25yZXYueG1sRI9Bi8Iw&#10;FITvgv8hPMGbpgqKdI2yKGIPXnQVPD6aZ9vd5iU00db99RtB2OMwM98wy3VnavGgxleWFUzGCQji&#10;3OqKCwXnr91oAcIHZI21ZVLwJA/rVb+3xFTblo/0OIVCRAj7FBWUIbhUSp+XZNCPrSOO3s02BkOU&#10;TSF1g22Em1pOk2QuDVYcF0p0tCkp/zndjYLrll22a2V++924w3e2qPf380Wp4aD7/AARqAv/4Xc7&#10;0woicTqbwetP/AJy9QcAAP//AwBQSwECLQAUAAYACAAAACEA2+H2y+4AAACFAQAAEwAAAAAAAAAA&#10;AAAAAAAAAAAAW0NvbnRlbnRfVHlwZXNdLnhtbFBLAQItABQABgAIAAAAIQBa9CxbvwAAABUBAAAL&#10;AAAAAAAAAAAAAAAAAB8BAABfcmVscy8ucmVsc1BLAQItABQABgAIAAAAIQDxbiMTxQAAAN8AAAAP&#10;AAAAAAAAAAAAAAAAAAcCAABkcnMvZG93bnJldi54bWxQSwUGAAAAAAMAAwC3AAAA+QIAAAAA&#10;" filled="f" stroked="f">
                  <v:textbox inset="0,0,0,0">
                    <w:txbxContent>
                      <w:p w14:paraId="4800D84E" w14:textId="77777777" w:rsidR="00B32EF2" w:rsidRDefault="00000000">
                        <w:r>
                          <w:rPr>
                            <w:rFonts w:ascii="Arial" w:eastAsia="Arial" w:hAnsi="Arial" w:cs="Arial"/>
                            <w:i/>
                            <w:sz w:val="18"/>
                          </w:rPr>
                          <w:t>1</w:t>
                        </w:r>
                      </w:p>
                    </w:txbxContent>
                  </v:textbox>
                </v:rect>
                <v:rect id="Rectangle 200256" o:spid="_x0000_s3113" style="position:absolute;left:-12402;top:10546;width:5100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L1kxwAAAN8AAAAPAAAAZHJzL2Rvd25yZXYueG1sRI9Ba8JA&#10;FITvQv/D8gq96aYBg0RXkRQxh15qLfT4yD6TaPbtkl2TtL++Wyj0OMzMN8xmN5lODNT71rKC50UC&#10;griyuuVawfn9MF+B8AFZY2eZFHyRh932YbbBXNuR32g4hVpECPscFTQhuFxKXzVk0C+sI47exfYG&#10;Q5R9LXWPY4SbTqZJkkmDLceFBh0VDVW3090o+HxhVx5GWV2+C/d6LVfd8X7+UOrpcdqvQQSawn/4&#10;r11qBZGYLjP4/RO/gNz+AAAA//8DAFBLAQItABQABgAIAAAAIQDb4fbL7gAAAIUBAAATAAAAAAAA&#10;AAAAAAAAAAAAAABbQ29udGVudF9UeXBlc10ueG1sUEsBAi0AFAAGAAgAAAAhAFr0LFu/AAAAFQEA&#10;AAsAAAAAAAAAAAAAAAAAHwEAAF9yZWxzLy5yZWxzUEsBAi0AFAAGAAgAAAAhAAG8vWTHAAAA3wAA&#10;AA8AAAAAAAAAAAAAAAAABwIAAGRycy9kb3ducmV2LnhtbFBLBQYAAAAAAwADALcAAAD7AgAAAAA=&#10;" filled="f" stroked="f">
                  <v:textbox inset="0,0,0,0">
                    <w:txbxContent>
                      <w:p w14:paraId="68368309" w14:textId="77777777" w:rsidR="00B32EF2" w:rsidRDefault="00000000">
                        <w:r>
                          <w:rPr>
                            <w:rFonts w:ascii="Arial" w:eastAsia="Arial" w:hAnsi="Arial" w:cs="Arial"/>
                            <w:i/>
                            <w:sz w:val="18"/>
                          </w:rPr>
                          <w:t xml:space="preserve">. Configurano abuso del diritto una o più operazioni prive di sostanza </w:t>
                        </w:r>
                      </w:p>
                    </w:txbxContent>
                  </v:textbox>
                </v:rect>
                <v:rect id="Rectangle 17210" o:spid="_x0000_s3114" style="position:absolute;left:-10835;top:9312;width:500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QN7xwAAAN4AAAAPAAAAZHJzL2Rvd25yZXYueG1sRI9Pb8Iw&#10;DMXvk/YdIiPtNlI4DNQREGJC62GX8Ufa0WpMW2icqAm026efD0jcbPn5vfdbrAbXqht1sfFsYDLO&#10;QBGX3jZcGTjst69zUDEhW2w9k4FfirBaPj8tMLe+52+67VKlxIRjjgbqlEKudSxrchjHPhDL7eQ7&#10;h0nWrtK2w17MXaunWfamHTYsCTUG2tRUXnZXZ+Dng0Ox7XV5+tuEr3Mxbz+vh6MxL6Nh/Q4q0ZAe&#10;4vt3YaX+bDoRAMGRGfTyHwAA//8DAFBLAQItABQABgAIAAAAIQDb4fbL7gAAAIUBAAATAAAAAAAA&#10;AAAAAAAAAAAAAABbQ29udGVudF9UeXBlc10ueG1sUEsBAi0AFAAGAAgAAAAhAFr0LFu/AAAAFQEA&#10;AAsAAAAAAAAAAAAAAAAAHwEAAF9yZWxzLy5yZWxzUEsBAi0AFAAGAAgAAAAhAJcdA3vHAAAA3gAA&#10;AA8AAAAAAAAAAAAAAAAABwIAAGRycy9kb3ducmV2LnhtbFBLBQYAAAAAAwADALcAAAD7AgAAAAA=&#10;" filled="f" stroked="f">
                  <v:textbox inset="0,0,0,0">
                    <w:txbxContent>
                      <w:p w14:paraId="5A63596D" w14:textId="77777777" w:rsidR="00B32EF2" w:rsidRDefault="00000000">
                        <w:r>
                          <w:rPr>
                            <w:rFonts w:ascii="Arial" w:eastAsia="Arial" w:hAnsi="Arial" w:cs="Arial"/>
                            <w:i/>
                            <w:sz w:val="18"/>
                          </w:rPr>
                          <w:t>economica che, pur nel rispetto formale delle norme fiscali, realizzano es</w:t>
                        </w:r>
                      </w:p>
                    </w:txbxContent>
                  </v:textbox>
                </v:rect>
                <v:rect id="Rectangle 17211" o:spid="_x0000_s3115" style="position:absolute;left:1038;top:931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abgxAAAAN4AAAAPAAAAZHJzL2Rvd25yZXYueG1sRE9Na8JA&#10;EL0X/A/LCL3VTTxUSV1FFDGHXrQRPA7ZMUnNzi7Z1aT99V1B6G0e73MWq8G04k6dbywrSCcJCOLS&#10;6oYrBcXX7m0Owgdkja1lUvBDHlbL0csCM217PtD9GCoRQ9hnqKAOwWVS+rImg35iHXHkLrYzGCLs&#10;Kqk77GO4aeU0Sd6lwYZjQ42ONjWV1+PNKDhv2eW7XpaX3437/M7n7f5WnJR6HQ/rDxCBhvAvfrpz&#10;HefPpmkKj3fiDXL5BwAA//8DAFBLAQItABQABgAIAAAAIQDb4fbL7gAAAIUBAAATAAAAAAAAAAAA&#10;AAAAAAAAAABbQ29udGVudF9UeXBlc10ueG1sUEsBAi0AFAAGAAgAAAAhAFr0LFu/AAAAFQEAAAsA&#10;AAAAAAAAAAAAAAAAHwEAAF9yZWxzLy5yZWxzUEsBAi0AFAAGAAgAAAAhAPhRpuDEAAAA3gAAAA8A&#10;AAAAAAAAAAAAAAAABwIAAGRycy9kb3ducmV2LnhtbFBLBQYAAAAAAwADALcAAAD4AgAAAAA=&#10;" filled="f" stroked="f">
                  <v:textbox inset="0,0,0,0">
                    <w:txbxContent>
                      <w:p w14:paraId="054A219E" w14:textId="77777777" w:rsidR="00B32EF2" w:rsidRDefault="00000000">
                        <w:r>
                          <w:rPr>
                            <w:rFonts w:ascii="Arial" w:eastAsia="Arial" w:hAnsi="Arial" w:cs="Arial"/>
                            <w:i/>
                            <w:sz w:val="18"/>
                          </w:rPr>
                          <w:t>-</w:t>
                        </w:r>
                      </w:p>
                    </w:txbxContent>
                  </v:textbox>
                </v:rect>
                <v:rect id="Rectangle 17212" o:spid="_x0000_s3116" style="position:absolute;left:-11808;top:8079;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ziXxAAAAN4AAAAPAAAAZHJzL2Rvd25yZXYueG1sRE9Na8JA&#10;EL0X/A/LCL3VjTlUSV1FFDGHXrQRPA7ZMUnNzi7Z1aT99V1B6G0e73MWq8G04k6dbywrmE4SEMSl&#10;1Q1XCoqv3dschA/IGlvLpOCHPKyWo5cFZtr2fKD7MVQihrDPUEEdgsuk9GVNBv3EOuLIXWxnMETY&#10;VVJ32Mdw08o0Sd6lwYZjQ42ONjWV1+PNKDhv2eW7XpaX3437/M7n7f5WnJR6HQ/rDxCBhvAvfrpz&#10;HefP0mkKj3fiDXL5BwAA//8DAFBLAQItABQABgAIAAAAIQDb4fbL7gAAAIUBAAATAAAAAAAAAAAA&#10;AAAAAAAAAABbQ29udGVudF9UeXBlc10ueG1sUEsBAi0AFAAGAAgAAAAhAFr0LFu/AAAAFQEAAAsA&#10;AAAAAAAAAAAAAAAAHwEAAF9yZWxzLy5yZWxzUEsBAi0AFAAGAAgAAAAhAAiDOJfEAAAA3gAAAA8A&#10;AAAAAAAAAAAAAAAABwIAAGRycy9kb3ducmV2LnhtbFBLBQYAAAAAAwADALcAAAD4AgAAAAA=&#10;" filled="f" stroked="f">
                  <v:textbox inset="0,0,0,0">
                    <w:txbxContent>
                      <w:p w14:paraId="5D2DB7F2" w14:textId="77777777" w:rsidR="00B32EF2" w:rsidRDefault="00000000">
                        <w:r>
                          <w:rPr>
                            <w:rFonts w:ascii="Arial" w:eastAsia="Arial" w:hAnsi="Arial" w:cs="Arial"/>
                            <w:i/>
                            <w:sz w:val="18"/>
                          </w:rPr>
                          <w:t xml:space="preserve">senzialmente vantaggi fiscali indebiti. Tali operazioni non sono opponibili </w:t>
                        </w:r>
                      </w:p>
                    </w:txbxContent>
                  </v:textbox>
                </v:rect>
                <v:rect id="Rectangle 17213" o:spid="_x0000_s3117" style="position:absolute;left:-11807;top:6846;width:510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50MxAAAAN4AAAAPAAAAZHJzL2Rvd25yZXYueG1sRE9Li8Iw&#10;EL4v+B/CCN7WVBd2pRpFFNkevKwP8Dg0Y1ttJqGJtvrrNwsL3ubje85s0Zla3KnxlWUFo2ECgji3&#10;uuJCwWG/eZ+A8AFZY22ZFDzIw2Lee5thqm3LP3TfhULEEPYpKihDcKmUPi/JoB9aRxy5s20Mhgib&#10;QuoG2xhuajlOkk9psOLYUKKjVUn5dXczCk5rdtmmlfn5uXLbSzapv2+Ho1KDfrecggjUhZf4353p&#10;OP9rPPqAv3fiDXL+CwAA//8DAFBLAQItABQABgAIAAAAIQDb4fbL7gAAAIUBAAATAAAAAAAAAAAA&#10;AAAAAAAAAABbQ29udGVudF9UeXBlc10ueG1sUEsBAi0AFAAGAAgAAAAhAFr0LFu/AAAAFQEAAAsA&#10;AAAAAAAAAAAAAAAAHwEAAF9yZWxzLy5yZWxzUEsBAi0AFAAGAAgAAAAhAGfPnQzEAAAA3gAAAA8A&#10;AAAAAAAAAAAAAAAABwIAAGRycy9kb3ducmV2LnhtbFBLBQYAAAAAAwADALcAAAD4AgAAAAA=&#10;" filled="f" stroked="f">
                  <v:textbox inset="0,0,0,0">
                    <w:txbxContent>
                      <w:p w14:paraId="37913E52" w14:textId="77777777" w:rsidR="00B32EF2" w:rsidRDefault="00000000">
                        <w:r>
                          <w:rPr>
                            <w:rFonts w:ascii="Arial" w:eastAsia="Arial" w:hAnsi="Arial" w:cs="Arial"/>
                            <w:i/>
                            <w:sz w:val="18"/>
                          </w:rPr>
                          <w:t xml:space="preserve">all’amministrazione finanziaria, che ne disconosce i vantaggi determinando </w:t>
                        </w:r>
                      </w:p>
                    </w:txbxContent>
                  </v:textbox>
                </v:rect>
                <v:rect id="Rectangle 17214" o:spid="_x0000_s3118" style="position:absolute;left:-11821;top:5612;width:51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gV4xAAAAN4AAAAPAAAAZHJzL2Rvd25yZXYueG1sRE9Li8Iw&#10;EL4v+B/CCN7WVFl2pRpFFNkevKwP8Dg0Y1ttJqGJtvrrNwsL3ubje85s0Zla3KnxlWUFo2ECgji3&#10;uuJCwWG/eZ+A8AFZY22ZFDzIw2Lee5thqm3LP3TfhULEEPYpKihDcKmUPi/JoB9aRxy5s20Mhgib&#10;QuoG2xhuajlOkk9psOLYUKKjVUn5dXczCk5rdtmmlfn5uXLbSzapv2+Ho1KDfrecggjUhZf4353p&#10;OP9rPPqAv3fiDXL+CwAA//8DAFBLAQItABQABgAIAAAAIQDb4fbL7gAAAIUBAAATAAAAAAAAAAAA&#10;AAAAAAAAAABbQ29udGVudF9UeXBlc10ueG1sUEsBAi0AFAAGAAgAAAAhAFr0LFu/AAAAFQEAAAsA&#10;AAAAAAAAAAAAAAAAHwEAAF9yZWxzLy5yZWxzUEsBAi0AFAAGAAgAAAAhAOgmBXjEAAAA3gAAAA8A&#10;AAAAAAAAAAAAAAAABwIAAGRycy9kb3ducmV2LnhtbFBLBQYAAAAAAwADALcAAAD4AgAAAAA=&#10;" filled="f" stroked="f">
                  <v:textbox inset="0,0,0,0">
                    <w:txbxContent>
                      <w:p w14:paraId="4CBB51FD" w14:textId="77777777" w:rsidR="00B32EF2" w:rsidRDefault="00000000">
                        <w:r>
                          <w:rPr>
                            <w:rFonts w:ascii="Arial" w:eastAsia="Arial" w:hAnsi="Arial" w:cs="Arial"/>
                            <w:i/>
                            <w:sz w:val="18"/>
                          </w:rPr>
                          <w:t xml:space="preserve">i tributi sulla base delle norme e dei principi elusi e tenuto conto di quanto </w:t>
                        </w:r>
                      </w:p>
                    </w:txbxContent>
                  </v:textbox>
                </v:rect>
                <v:rect id="Rectangle 17215" o:spid="_x0000_s3119" style="position:absolute;left:1969;top:4379;width:372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qDjxAAAAN4AAAAPAAAAZHJzL2Rvd25yZXYueG1sRE9Li8Iw&#10;EL4v+B/CCN7WVGF3pRpFFNkevKwP8Dg0Y1ttJqGJtvrrNwsL3ubje85s0Zla3KnxlWUFo2ECgji3&#10;uuJCwWG/eZ+A8AFZY22ZFDzIw2Lee5thqm3LP3TfhULEEPYpKihDcKmUPi/JoB9aRxy5s20Mhgib&#10;QuoG2xhuajlOkk9psOLYUKKjVUn5dXczCk5rdtmmlfn5uXLbSzapv2+Ho1KDfrecggjUhZf4353p&#10;OP9rPPqAv3fiDXL+CwAA//8DAFBLAQItABQABgAIAAAAIQDb4fbL7gAAAIUBAAATAAAAAAAAAAAA&#10;AAAAAAAAAABbQ29udGVudF9UeXBlc10ueG1sUEsBAi0AFAAGAAgAAAAhAFr0LFu/AAAAFQEAAAsA&#10;AAAAAAAAAAAAAAAAHwEAAF9yZWxzLy5yZWxzUEsBAi0AFAAGAAgAAAAhAIdqoOPEAAAA3gAAAA8A&#10;AAAAAAAAAAAAAAAABwIAAGRycy9kb3ducmV2LnhtbFBLBQYAAAAAAwADALcAAAD4AgAAAAA=&#10;" filled="f" stroked="f">
                  <v:textbox inset="0,0,0,0">
                    <w:txbxContent>
                      <w:p w14:paraId="7CA5DBDA" w14:textId="77777777" w:rsidR="00B32EF2" w:rsidRDefault="00000000">
                        <w:r>
                          <w:rPr>
                            <w:rFonts w:ascii="Arial" w:eastAsia="Arial" w:hAnsi="Arial" w:cs="Arial"/>
                            <w:i/>
                            <w:sz w:val="18"/>
                          </w:rPr>
                          <w:t>versato dal contribuente per effetto di dette operazioni.</w:t>
                        </w:r>
                      </w:p>
                    </w:txbxContent>
                  </v:textbox>
                </v:rect>
                <v:shape id="Shape 17216" o:spid="_x0000_s3120" style="position:absolute;left:381;top:3877;width:39600;height:11347;visibility:visible;mso-wrap-style:square;v-text-anchor:top" coordsize="3960000,1134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40xQAAAN4AAAAPAAAAZHJzL2Rvd25yZXYueG1sRE9La8JA&#10;EL4X/A/LCL3VjR7SNnUVFaQG6sFU2us0OybB7GzIbvP4912h4G0+vucs14OpRUetqywrmM8iEMS5&#10;1RUXCs6f+6cXEM4ja6wtk4KRHKxXk4clJtr2fKIu84UIIewSVFB63yRSurwkg25mG+LAXWxr0AfY&#10;FlK32IdwU8tFFMXSYMWhocSGdiXl1+zXKDgcT7u961/fv9Mfd663H+NXiplSj9Nh8wbC0+Dv4n/3&#10;QYf5z4t5DLd3wg1y9QcAAP//AwBQSwECLQAUAAYACAAAACEA2+H2y+4AAACFAQAAEwAAAAAAAAAA&#10;AAAAAAAAAAAAW0NvbnRlbnRfVHlwZXNdLnhtbFBLAQItABQABgAIAAAAIQBa9CxbvwAAABUBAAAL&#10;AAAAAAAAAAAAAAAAAB8BAABfcmVscy8ucmVsc1BLAQItABQABgAIAAAAIQCuYx40xQAAAN4AAAAP&#10;AAAAAAAAAAAAAAAAAAcCAABkcnMvZG93bnJldi54bWxQSwUGAAAAAAMAAwC3AAAA+QIAAAAA&#10;" path="m,1134796r3960000,l3960000,,,,,1134796xe" filled="f" strokeweight="1pt">
                  <v:stroke miterlimit="1" joinstyle="miter"/>
                  <v:path arrowok="t" textboxrect="0,0,3960000,1134796"/>
                </v:shape>
                <w10:anchorlock/>
              </v:group>
            </w:pict>
          </mc:Fallback>
        </mc:AlternateContent>
      </w:r>
    </w:p>
    <w:p w14:paraId="41C31313" w14:textId="77777777" w:rsidR="00B32EF2" w:rsidRDefault="00000000">
      <w:pPr>
        <w:spacing w:after="0"/>
        <w:ind w:left="-356" w:right="-306"/>
      </w:pPr>
      <w:r>
        <w:rPr>
          <w:noProof/>
        </w:rPr>
        <w:lastRenderedPageBreak/>
        <mc:AlternateContent>
          <mc:Choice Requires="wpg">
            <w:drawing>
              <wp:inline distT="0" distB="0" distL="0" distR="0" wp14:anchorId="12D59FD7" wp14:editId="2861AD89">
                <wp:extent cx="3991791" cy="6262854"/>
                <wp:effectExtent l="0" t="0" r="0" b="0"/>
                <wp:docPr id="200755" name="Group 200755"/>
                <wp:cNvGraphicFramePr/>
                <a:graphic xmlns:a="http://schemas.openxmlformats.org/drawingml/2006/main">
                  <a:graphicData uri="http://schemas.microsoft.com/office/word/2010/wordprocessingGroup">
                    <wpg:wgp>
                      <wpg:cNvGrpSpPr/>
                      <wpg:grpSpPr>
                        <a:xfrm>
                          <a:off x="0" y="0"/>
                          <a:ext cx="3991791" cy="6262854"/>
                          <a:chOff x="0" y="0"/>
                          <a:chExt cx="3991791" cy="6262854"/>
                        </a:xfrm>
                      </wpg:grpSpPr>
                      <wps:wsp>
                        <wps:cNvPr id="17295" name="Rectangle 17295"/>
                        <wps:cNvSpPr/>
                        <wps:spPr>
                          <a:xfrm rot="-10799999">
                            <a:off x="1900477" y="-62190"/>
                            <a:ext cx="178369" cy="250646"/>
                          </a:xfrm>
                          <a:prstGeom prst="rect">
                            <a:avLst/>
                          </a:prstGeom>
                          <a:ln>
                            <a:noFill/>
                          </a:ln>
                        </wps:spPr>
                        <wps:txbx>
                          <w:txbxContent>
                            <w:p w14:paraId="77C3AF63" w14:textId="77777777" w:rsidR="00B32EF2" w:rsidRDefault="00000000">
                              <w:r>
                                <w:rPr>
                                  <w:rFonts w:ascii="Times New Roman" w:eastAsia="Times New Roman" w:hAnsi="Times New Roman" w:cs="Times New Roman"/>
                                </w:rPr>
                                <w:t>74</w:t>
                              </w:r>
                            </w:p>
                          </w:txbxContent>
                        </wps:txbx>
                        <wps:bodyPr horzOverflow="overflow" vert="horz" lIns="0" tIns="0" rIns="0" bIns="0" rtlCol="0">
                          <a:noAutofit/>
                        </wps:bodyPr>
                      </wps:wsp>
                      <wps:wsp>
                        <wps:cNvPr id="17296" name="Rectangle 17296"/>
                        <wps:cNvSpPr/>
                        <wps:spPr>
                          <a:xfrm rot="-10799999">
                            <a:off x="3263775" y="6119964"/>
                            <a:ext cx="728703" cy="142890"/>
                          </a:xfrm>
                          <a:prstGeom prst="rect">
                            <a:avLst/>
                          </a:prstGeom>
                          <a:ln>
                            <a:noFill/>
                          </a:ln>
                        </wps:spPr>
                        <wps:txbx>
                          <w:txbxContent>
                            <w:p w14:paraId="23E04C82" w14:textId="77777777" w:rsidR="00B32EF2" w:rsidRDefault="00000000">
                              <w:r>
                                <w:rPr>
                                  <w:rFonts w:ascii="Arial" w:eastAsia="Arial" w:hAnsi="Arial" w:cs="Arial"/>
                                  <w:sz w:val="18"/>
                                </w:rPr>
                                <w:t>segreteria.</w:t>
                              </w:r>
                            </w:p>
                          </w:txbxContent>
                        </wps:txbx>
                        <wps:bodyPr horzOverflow="overflow" vert="horz" lIns="0" tIns="0" rIns="0" bIns="0" rtlCol="0">
                          <a:noAutofit/>
                        </wps:bodyPr>
                      </wps:wsp>
                      <wps:wsp>
                        <wps:cNvPr id="200587" name="Rectangle 200587"/>
                        <wps:cNvSpPr/>
                        <wps:spPr>
                          <a:xfrm rot="-10799999">
                            <a:off x="2634841" y="5996634"/>
                            <a:ext cx="5212793" cy="142891"/>
                          </a:xfrm>
                          <a:prstGeom prst="rect">
                            <a:avLst/>
                          </a:prstGeom>
                          <a:ln>
                            <a:noFill/>
                          </a:ln>
                        </wps:spPr>
                        <wps:txbx>
                          <w:txbxContent>
                            <w:p w14:paraId="3653F100"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590" name="Rectangle 200590"/>
                        <wps:cNvSpPr/>
                        <wps:spPr>
                          <a:xfrm rot="-10799999">
                            <a:off x="-1285558" y="5996634"/>
                            <a:ext cx="5212794" cy="142891"/>
                          </a:xfrm>
                          <a:prstGeom prst="rect">
                            <a:avLst/>
                          </a:prstGeom>
                          <a:ln>
                            <a:noFill/>
                          </a:ln>
                        </wps:spPr>
                        <wps:txbx>
                          <w:txbxContent>
                            <w:p w14:paraId="450BACFD" w14:textId="77777777" w:rsidR="00B32EF2" w:rsidRDefault="00000000">
                              <w:r>
                                <w:rPr>
                                  <w:rFonts w:ascii="Arial" w:eastAsia="Arial" w:hAnsi="Arial" w:cs="Arial"/>
                                  <w:sz w:val="18"/>
                                </w:rPr>
                                <w:t>. Il reclamante, nel termine perentorio di quindici giorni dall’ultima notifica</w:t>
                              </w:r>
                            </w:p>
                          </w:txbxContent>
                        </wps:txbx>
                        <wps:bodyPr horzOverflow="overflow" vert="horz" lIns="0" tIns="0" rIns="0" bIns="0" rtlCol="0">
                          <a:noAutofit/>
                        </wps:bodyPr>
                      </wps:wsp>
                      <wps:wsp>
                        <wps:cNvPr id="17298" name="Rectangle 17298"/>
                        <wps:cNvSpPr/>
                        <wps:spPr>
                          <a:xfrm rot="-10799999">
                            <a:off x="19192" y="5996635"/>
                            <a:ext cx="50622" cy="142890"/>
                          </a:xfrm>
                          <a:prstGeom prst="rect">
                            <a:avLst/>
                          </a:prstGeom>
                          <a:ln>
                            <a:noFill/>
                          </a:ln>
                        </wps:spPr>
                        <wps:txbx>
                          <w:txbxContent>
                            <w:p w14:paraId="2B6DD48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7299" name="Rectangle 17299"/>
                        <wps:cNvSpPr/>
                        <wps:spPr>
                          <a:xfrm rot="-10799999">
                            <a:off x="-1317016" y="5873305"/>
                            <a:ext cx="5308808" cy="142889"/>
                          </a:xfrm>
                          <a:prstGeom prst="rect">
                            <a:avLst/>
                          </a:prstGeom>
                          <a:ln>
                            <a:noFill/>
                          </a:ln>
                        </wps:spPr>
                        <wps:txbx>
                          <w:txbxContent>
                            <w:p w14:paraId="54DD3164" w14:textId="77777777" w:rsidR="00B32EF2" w:rsidRDefault="00000000">
                              <w:r>
                                <w:rPr>
                                  <w:rFonts w:ascii="Arial" w:eastAsia="Arial" w:hAnsi="Arial" w:cs="Arial"/>
                                  <w:sz w:val="18"/>
                                </w:rPr>
                                <w:t xml:space="preserve">zione, a pena d’inammissibilità rilevabile d’ufficio, effettua il deposito secondo </w:t>
                              </w:r>
                            </w:p>
                          </w:txbxContent>
                        </wps:txbx>
                        <wps:bodyPr horzOverflow="overflow" vert="horz" lIns="0" tIns="0" rIns="0" bIns="0" rtlCol="0">
                          <a:noAutofit/>
                        </wps:bodyPr>
                      </wps:wsp>
                      <wps:wsp>
                        <wps:cNvPr id="17300" name="Rectangle 17300"/>
                        <wps:cNvSpPr/>
                        <wps:spPr>
                          <a:xfrm rot="-10799999">
                            <a:off x="915245" y="5749976"/>
                            <a:ext cx="3076546" cy="142889"/>
                          </a:xfrm>
                          <a:prstGeom prst="rect">
                            <a:avLst/>
                          </a:prstGeom>
                          <a:ln>
                            <a:noFill/>
                          </a:ln>
                        </wps:spPr>
                        <wps:txbx>
                          <w:txbxContent>
                            <w:p w14:paraId="14CF2EA8" w14:textId="77777777" w:rsidR="00B32EF2" w:rsidRDefault="00000000">
                              <w:r>
                                <w:rPr>
                                  <w:rFonts w:ascii="Arial" w:eastAsia="Arial" w:hAnsi="Arial" w:cs="Arial"/>
                                  <w:sz w:val="18"/>
                                </w:rPr>
                                <w:t>quanto disposto dall’articolo 68, commi 1 e 3.</w:t>
                              </w:r>
                            </w:p>
                          </w:txbxContent>
                        </wps:txbx>
                        <wps:bodyPr horzOverflow="overflow" vert="horz" lIns="0" tIns="0" rIns="0" bIns="0" rtlCol="0">
                          <a:noAutofit/>
                        </wps:bodyPr>
                      </wps:wsp>
                      <wps:wsp>
                        <wps:cNvPr id="200585" name="Rectangle 200585"/>
                        <wps:cNvSpPr/>
                        <wps:spPr>
                          <a:xfrm rot="-10799999">
                            <a:off x="-1381691" y="5626646"/>
                            <a:ext cx="5308960" cy="142889"/>
                          </a:xfrm>
                          <a:prstGeom prst="rect">
                            <a:avLst/>
                          </a:prstGeom>
                          <a:ln>
                            <a:noFill/>
                          </a:ln>
                        </wps:spPr>
                        <wps:txbx>
                          <w:txbxContent>
                            <w:p w14:paraId="369B35B1" w14:textId="77777777" w:rsidR="00B32EF2" w:rsidRDefault="00000000">
                              <w:r>
                                <w:rPr>
                                  <w:rFonts w:ascii="Arial" w:eastAsia="Arial" w:hAnsi="Arial" w:cs="Arial"/>
                                  <w:sz w:val="18"/>
                                </w:rPr>
                                <w:t xml:space="preserve">. Nei successivi quindici giorni dalla notifica del reclamo le altre parti possono </w:t>
                              </w:r>
                            </w:p>
                          </w:txbxContent>
                        </wps:txbx>
                        <wps:bodyPr horzOverflow="overflow" vert="horz" lIns="0" tIns="0" rIns="0" bIns="0" rtlCol="0">
                          <a:noAutofit/>
                        </wps:bodyPr>
                      </wps:wsp>
                      <wps:wsp>
                        <wps:cNvPr id="200584" name="Rectangle 200584"/>
                        <wps:cNvSpPr/>
                        <wps:spPr>
                          <a:xfrm rot="-10799999">
                            <a:off x="2610980" y="5626646"/>
                            <a:ext cx="5308960" cy="142889"/>
                          </a:xfrm>
                          <a:prstGeom prst="rect">
                            <a:avLst/>
                          </a:prstGeom>
                          <a:ln>
                            <a:noFill/>
                          </a:ln>
                        </wps:spPr>
                        <wps:txbx>
                          <w:txbxContent>
                            <w:p w14:paraId="4E05DD22"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7302" name="Rectangle 17302"/>
                        <wps:cNvSpPr/>
                        <wps:spPr>
                          <a:xfrm rot="-10799999">
                            <a:off x="2570171" y="5503316"/>
                            <a:ext cx="1422305" cy="142889"/>
                          </a:xfrm>
                          <a:prstGeom prst="rect">
                            <a:avLst/>
                          </a:prstGeom>
                          <a:ln>
                            <a:noFill/>
                          </a:ln>
                        </wps:spPr>
                        <wps:txbx>
                          <w:txbxContent>
                            <w:p w14:paraId="1665002A" w14:textId="77777777" w:rsidR="00B32EF2" w:rsidRDefault="00000000">
                              <w:r>
                                <w:rPr>
                                  <w:rFonts w:ascii="Arial" w:eastAsia="Arial" w:hAnsi="Arial" w:cs="Arial"/>
                                  <w:sz w:val="18"/>
                                </w:rPr>
                                <w:t>presentare memorie.</w:t>
                              </w:r>
                            </w:p>
                          </w:txbxContent>
                        </wps:txbx>
                        <wps:bodyPr horzOverflow="overflow" vert="horz" lIns="0" tIns="0" rIns="0" bIns="0" rtlCol="0">
                          <a:noAutofit/>
                        </wps:bodyPr>
                      </wps:wsp>
                      <wps:wsp>
                        <wps:cNvPr id="200582" name="Rectangle 200582"/>
                        <wps:cNvSpPr/>
                        <wps:spPr>
                          <a:xfrm rot="-10799999">
                            <a:off x="-1380429" y="5379987"/>
                            <a:ext cx="5309082" cy="142889"/>
                          </a:xfrm>
                          <a:prstGeom prst="rect">
                            <a:avLst/>
                          </a:prstGeom>
                          <a:ln>
                            <a:noFill/>
                          </a:ln>
                        </wps:spPr>
                        <wps:txbx>
                          <w:txbxContent>
                            <w:p w14:paraId="67DF91AD" w14:textId="77777777" w:rsidR="00B32EF2" w:rsidRDefault="00000000">
                              <w:r>
                                <w:rPr>
                                  <w:rFonts w:ascii="Arial" w:eastAsia="Arial" w:hAnsi="Arial" w:cs="Arial"/>
                                  <w:sz w:val="18"/>
                                </w:rPr>
                                <w:t xml:space="preserve">. Scaduti i termini, la corte di giustizia tributaria decide immediatamente il </w:t>
                              </w:r>
                            </w:p>
                          </w:txbxContent>
                        </wps:txbx>
                        <wps:bodyPr horzOverflow="overflow" vert="horz" lIns="0" tIns="0" rIns="0" bIns="0" rtlCol="0">
                          <a:noAutofit/>
                        </wps:bodyPr>
                      </wps:wsp>
                      <wps:wsp>
                        <wps:cNvPr id="200581" name="Rectangle 200581"/>
                        <wps:cNvSpPr/>
                        <wps:spPr>
                          <a:xfrm rot="-10799999">
                            <a:off x="2610950" y="5379987"/>
                            <a:ext cx="5309082" cy="142889"/>
                          </a:xfrm>
                          <a:prstGeom prst="rect">
                            <a:avLst/>
                          </a:prstGeom>
                          <a:ln>
                            <a:noFill/>
                          </a:ln>
                        </wps:spPr>
                        <wps:txbx>
                          <w:txbxContent>
                            <w:p w14:paraId="075EDFC8"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7304" name="Rectangle 17304"/>
                        <wps:cNvSpPr/>
                        <wps:spPr>
                          <a:xfrm rot="-10799999">
                            <a:off x="1877891" y="5256657"/>
                            <a:ext cx="2113901" cy="142889"/>
                          </a:xfrm>
                          <a:prstGeom prst="rect">
                            <a:avLst/>
                          </a:prstGeom>
                          <a:ln>
                            <a:noFill/>
                          </a:ln>
                        </wps:spPr>
                        <wps:txbx>
                          <w:txbxContent>
                            <w:p w14:paraId="065124F9" w14:textId="77777777" w:rsidR="00B32EF2" w:rsidRDefault="00000000">
                              <w:r>
                                <w:rPr>
                                  <w:rFonts w:ascii="Arial" w:eastAsia="Arial" w:hAnsi="Arial" w:cs="Arial"/>
                                  <w:sz w:val="18"/>
                                </w:rPr>
                                <w:t>reclamo in camera di consiglio.</w:t>
                              </w:r>
                            </w:p>
                          </w:txbxContent>
                        </wps:txbx>
                        <wps:bodyPr horzOverflow="overflow" vert="horz" lIns="0" tIns="0" rIns="0" bIns="0" rtlCol="0">
                          <a:noAutofit/>
                        </wps:bodyPr>
                      </wps:wsp>
                      <wps:wsp>
                        <wps:cNvPr id="200580" name="Rectangle 200580"/>
                        <wps:cNvSpPr/>
                        <wps:spPr>
                          <a:xfrm rot="-10799999">
                            <a:off x="-1380780" y="5133327"/>
                            <a:ext cx="5305890" cy="142889"/>
                          </a:xfrm>
                          <a:prstGeom prst="rect">
                            <a:avLst/>
                          </a:prstGeom>
                          <a:ln>
                            <a:noFill/>
                          </a:ln>
                        </wps:spPr>
                        <wps:txbx>
                          <w:txbxContent>
                            <w:p w14:paraId="22227CFB" w14:textId="77777777" w:rsidR="00B32EF2" w:rsidRDefault="00000000">
                              <w:r>
                                <w:rPr>
                                  <w:rFonts w:ascii="Arial" w:eastAsia="Arial" w:hAnsi="Arial" w:cs="Arial"/>
                                  <w:sz w:val="18"/>
                                </w:rPr>
                                <w:t xml:space="preserve">. La corte di giustizia tributaria pronuncia sentenza se dichiara l’inammissibilità </w:t>
                              </w:r>
                            </w:p>
                          </w:txbxContent>
                        </wps:txbx>
                        <wps:bodyPr horzOverflow="overflow" vert="horz" lIns="0" tIns="0" rIns="0" bIns="0" rtlCol="0">
                          <a:noAutofit/>
                        </wps:bodyPr>
                      </wps:wsp>
                      <wps:wsp>
                        <wps:cNvPr id="200579" name="Rectangle 200579"/>
                        <wps:cNvSpPr/>
                        <wps:spPr>
                          <a:xfrm rot="-10799999">
                            <a:off x="2611742" y="5133327"/>
                            <a:ext cx="5305890" cy="142889"/>
                          </a:xfrm>
                          <a:prstGeom prst="rect">
                            <a:avLst/>
                          </a:prstGeom>
                          <a:ln>
                            <a:noFill/>
                          </a:ln>
                        </wps:spPr>
                        <wps:txbx>
                          <w:txbxContent>
                            <w:p w14:paraId="3E286BD2"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17306" name="Rectangle 17306"/>
                        <wps:cNvSpPr/>
                        <wps:spPr>
                          <a:xfrm rot="-10799999">
                            <a:off x="-1222025" y="5009998"/>
                            <a:ext cx="5208445" cy="142889"/>
                          </a:xfrm>
                          <a:prstGeom prst="rect">
                            <a:avLst/>
                          </a:prstGeom>
                          <a:ln>
                            <a:noFill/>
                          </a:ln>
                        </wps:spPr>
                        <wps:txbx>
                          <w:txbxContent>
                            <w:p w14:paraId="085D4D4D" w14:textId="77777777" w:rsidR="00B32EF2" w:rsidRDefault="00000000">
                              <w:r>
                                <w:rPr>
                                  <w:rFonts w:ascii="Arial" w:eastAsia="Arial" w:hAnsi="Arial" w:cs="Arial"/>
                                  <w:sz w:val="18"/>
                                </w:rPr>
                                <w:t>del ricorso o l’estinzione del processo; negli altri casi pronuncia ordinanza non im</w:t>
                              </w:r>
                            </w:p>
                          </w:txbxContent>
                        </wps:txbx>
                        <wps:bodyPr horzOverflow="overflow" vert="horz" lIns="0" tIns="0" rIns="0" bIns="0" rtlCol="0">
                          <a:noAutofit/>
                        </wps:bodyPr>
                      </wps:wsp>
                      <wps:wsp>
                        <wps:cNvPr id="17307" name="Rectangle 17307"/>
                        <wps:cNvSpPr/>
                        <wps:spPr>
                          <a:xfrm rot="-10799999">
                            <a:off x="19192" y="5009997"/>
                            <a:ext cx="50622" cy="142889"/>
                          </a:xfrm>
                          <a:prstGeom prst="rect">
                            <a:avLst/>
                          </a:prstGeom>
                          <a:ln>
                            <a:noFill/>
                          </a:ln>
                        </wps:spPr>
                        <wps:txbx>
                          <w:txbxContent>
                            <w:p w14:paraId="73341E8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7308" name="Rectangle 17308"/>
                        <wps:cNvSpPr/>
                        <wps:spPr>
                          <a:xfrm rot="-10799999">
                            <a:off x="-1274629" y="4886668"/>
                            <a:ext cx="5265163" cy="142889"/>
                          </a:xfrm>
                          <a:prstGeom prst="rect">
                            <a:avLst/>
                          </a:prstGeom>
                          <a:ln>
                            <a:noFill/>
                          </a:ln>
                        </wps:spPr>
                        <wps:txbx>
                          <w:txbxContent>
                            <w:p w14:paraId="1F6D37F1" w14:textId="77777777" w:rsidR="00B32EF2" w:rsidRDefault="00000000">
                              <w:r>
                                <w:rPr>
                                  <w:rFonts w:ascii="Arial" w:eastAsia="Arial" w:hAnsi="Arial" w:cs="Arial"/>
                                  <w:sz w:val="18"/>
                                </w:rPr>
                                <w:t>pugnabile nella quale sono dati i provvedimenti per la prosecuzione del processo.</w:t>
                              </w:r>
                            </w:p>
                          </w:txbxContent>
                        </wps:txbx>
                        <wps:bodyPr horzOverflow="overflow" vert="horz" lIns="0" tIns="0" rIns="0" bIns="0" rtlCol="0">
                          <a:noAutofit/>
                        </wps:bodyPr>
                      </wps:wsp>
                      <wps:wsp>
                        <wps:cNvPr id="17309" name="Rectangle 17309"/>
                        <wps:cNvSpPr/>
                        <wps:spPr>
                          <a:xfrm rot="-10799999">
                            <a:off x="1507539" y="4640009"/>
                            <a:ext cx="808042" cy="142889"/>
                          </a:xfrm>
                          <a:prstGeom prst="rect">
                            <a:avLst/>
                          </a:prstGeom>
                          <a:ln>
                            <a:noFill/>
                          </a:ln>
                        </wps:spPr>
                        <wps:txbx>
                          <w:txbxContent>
                            <w:p w14:paraId="1494FE6A" w14:textId="77777777" w:rsidR="00B32EF2" w:rsidRDefault="00000000">
                              <w:r>
                                <w:rPr>
                                  <w:rFonts w:ascii="Arial" w:eastAsia="Arial" w:hAnsi="Arial" w:cs="Arial"/>
                                  <w:b/>
                                  <w:sz w:val="18"/>
                                </w:rPr>
                                <w:t>Articolo 77</w:t>
                              </w:r>
                            </w:p>
                          </w:txbxContent>
                        </wps:txbx>
                        <wps:bodyPr horzOverflow="overflow" vert="horz" lIns="0" tIns="0" rIns="0" bIns="0" rtlCol="0">
                          <a:noAutofit/>
                        </wps:bodyPr>
                      </wps:wsp>
                      <wps:wsp>
                        <wps:cNvPr id="200575" name="Rectangle 200575"/>
                        <wps:cNvSpPr/>
                        <wps:spPr>
                          <a:xfrm rot="-10799999">
                            <a:off x="2222164" y="4516679"/>
                            <a:ext cx="1943213" cy="142889"/>
                          </a:xfrm>
                          <a:prstGeom prst="rect">
                            <a:avLst/>
                          </a:prstGeom>
                          <a:ln>
                            <a:noFill/>
                          </a:ln>
                        </wps:spPr>
                        <wps:txbx>
                          <w:txbxContent>
                            <w:p w14:paraId="5C960B5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578" name="Rectangle 200578"/>
                        <wps:cNvSpPr/>
                        <wps:spPr>
                          <a:xfrm rot="-10799999">
                            <a:off x="1162364" y="4516679"/>
                            <a:ext cx="1943213" cy="142889"/>
                          </a:xfrm>
                          <a:prstGeom prst="rect">
                            <a:avLst/>
                          </a:prstGeom>
                          <a:ln>
                            <a:noFill/>
                          </a:ln>
                        </wps:spPr>
                        <wps:txbx>
                          <w:txbxContent>
                            <w:p w14:paraId="6C0D2C5E" w14:textId="77777777" w:rsidR="00B32EF2" w:rsidRDefault="00000000">
                              <w:r>
                                <w:rPr>
                                  <w:rFonts w:ascii="Arial" w:eastAsia="Arial" w:hAnsi="Arial" w:cs="Arial"/>
                                  <w:i/>
                                  <w:sz w:val="18"/>
                                </w:rPr>
                                <w:t xml:space="preserve">articolo 29 D.lgs. n. </w:t>
                              </w:r>
                            </w:p>
                          </w:txbxContent>
                        </wps:txbx>
                        <wps:bodyPr horzOverflow="overflow" vert="horz" lIns="0" tIns="0" rIns="0" bIns="0" rtlCol="0">
                          <a:noAutofit/>
                        </wps:bodyPr>
                      </wps:wsp>
                      <wps:wsp>
                        <wps:cNvPr id="200576" name="Rectangle 200576"/>
                        <wps:cNvSpPr/>
                        <wps:spPr>
                          <a:xfrm rot="-10799999">
                            <a:off x="-263539" y="4516678"/>
                            <a:ext cx="1943213" cy="142889"/>
                          </a:xfrm>
                          <a:prstGeom prst="rect">
                            <a:avLst/>
                          </a:prstGeom>
                          <a:ln>
                            <a:noFill/>
                          </a:ln>
                        </wps:spPr>
                        <wps:txbx>
                          <w:txbxContent>
                            <w:p w14:paraId="5B346486"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7311" name="Rectangle 17311"/>
                        <wps:cNvSpPr/>
                        <wps:spPr>
                          <a:xfrm rot="-10799999">
                            <a:off x="1064915" y="4393349"/>
                            <a:ext cx="1491839" cy="142889"/>
                          </a:xfrm>
                          <a:prstGeom prst="rect">
                            <a:avLst/>
                          </a:prstGeom>
                          <a:ln>
                            <a:noFill/>
                          </a:ln>
                        </wps:spPr>
                        <wps:txbx>
                          <w:txbxContent>
                            <w:p w14:paraId="41EE3CA2" w14:textId="77777777" w:rsidR="00B32EF2" w:rsidRDefault="00000000">
                              <w:r>
                                <w:rPr>
                                  <w:rFonts w:ascii="Arial" w:eastAsia="Arial" w:hAnsi="Arial" w:cs="Arial"/>
                                  <w:b/>
                                  <w:sz w:val="18"/>
                                </w:rPr>
                                <w:t xml:space="preserve">Riunione dei ricorsi </w:t>
                              </w:r>
                            </w:p>
                          </w:txbxContent>
                        </wps:txbx>
                        <wps:bodyPr horzOverflow="overflow" vert="horz" lIns="0" tIns="0" rIns="0" bIns="0" rtlCol="0">
                          <a:noAutofit/>
                        </wps:bodyPr>
                      </wps:wsp>
                      <wps:wsp>
                        <wps:cNvPr id="200571" name="Rectangle 200571"/>
                        <wps:cNvSpPr/>
                        <wps:spPr>
                          <a:xfrm rot="-10799999">
                            <a:off x="2634962" y="4270019"/>
                            <a:ext cx="5212305" cy="142889"/>
                          </a:xfrm>
                          <a:prstGeom prst="rect">
                            <a:avLst/>
                          </a:prstGeom>
                          <a:ln>
                            <a:noFill/>
                          </a:ln>
                        </wps:spPr>
                        <wps:txbx>
                          <w:txbxContent>
                            <w:p w14:paraId="62758E39"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573" name="Rectangle 200573"/>
                        <wps:cNvSpPr/>
                        <wps:spPr>
                          <a:xfrm rot="-10799999">
                            <a:off x="-1279699" y="4270019"/>
                            <a:ext cx="5212306" cy="142889"/>
                          </a:xfrm>
                          <a:prstGeom prst="rect">
                            <a:avLst/>
                          </a:prstGeom>
                          <a:ln>
                            <a:noFill/>
                          </a:ln>
                        </wps:spPr>
                        <wps:txbx>
                          <w:txbxContent>
                            <w:p w14:paraId="2D7669C5" w14:textId="77777777" w:rsidR="00B32EF2" w:rsidRDefault="00000000">
                              <w:r>
                                <w:rPr>
                                  <w:rFonts w:ascii="Arial" w:eastAsia="Arial" w:hAnsi="Arial" w:cs="Arial"/>
                                  <w:sz w:val="18"/>
                                </w:rPr>
                                <w:t>. In qualunque momento il presidente della sezione dispone con decreto la ri</w:t>
                              </w:r>
                            </w:p>
                          </w:txbxContent>
                        </wps:txbx>
                        <wps:bodyPr horzOverflow="overflow" vert="horz" lIns="0" tIns="0" rIns="0" bIns="0" rtlCol="0">
                          <a:noAutofit/>
                        </wps:bodyPr>
                      </wps:wsp>
                      <wps:wsp>
                        <wps:cNvPr id="17313" name="Rectangle 17313"/>
                        <wps:cNvSpPr/>
                        <wps:spPr>
                          <a:xfrm rot="-10799999">
                            <a:off x="19192" y="4270019"/>
                            <a:ext cx="50622" cy="142889"/>
                          </a:xfrm>
                          <a:prstGeom prst="rect">
                            <a:avLst/>
                          </a:prstGeom>
                          <a:ln>
                            <a:noFill/>
                          </a:ln>
                        </wps:spPr>
                        <wps:txbx>
                          <w:txbxContent>
                            <w:p w14:paraId="3344531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7314" name="Rectangle 17314"/>
                        <wps:cNvSpPr/>
                        <wps:spPr>
                          <a:xfrm rot="-10799999">
                            <a:off x="-1317244" y="4146690"/>
                            <a:ext cx="5309035" cy="142889"/>
                          </a:xfrm>
                          <a:prstGeom prst="rect">
                            <a:avLst/>
                          </a:prstGeom>
                          <a:ln>
                            <a:noFill/>
                          </a:ln>
                        </wps:spPr>
                        <wps:txbx>
                          <w:txbxContent>
                            <w:p w14:paraId="52FE5A71" w14:textId="77777777" w:rsidR="00B32EF2" w:rsidRDefault="00000000">
                              <w:r>
                                <w:rPr>
                                  <w:rFonts w:ascii="Arial" w:eastAsia="Arial" w:hAnsi="Arial" w:cs="Arial"/>
                                  <w:sz w:val="18"/>
                                </w:rPr>
                                <w:t xml:space="preserve">unione dei ricorsi assegnati alla sezione da lui presieduta che hanno lo stesso </w:t>
                              </w:r>
                            </w:p>
                          </w:txbxContent>
                        </wps:txbx>
                        <wps:bodyPr horzOverflow="overflow" vert="horz" lIns="0" tIns="0" rIns="0" bIns="0" rtlCol="0">
                          <a:noAutofit/>
                        </wps:bodyPr>
                      </wps:wsp>
                      <wps:wsp>
                        <wps:cNvPr id="17315" name="Rectangle 17315"/>
                        <wps:cNvSpPr/>
                        <wps:spPr>
                          <a:xfrm rot="-10799999">
                            <a:off x="1755075" y="4023360"/>
                            <a:ext cx="2236717" cy="142889"/>
                          </a:xfrm>
                          <a:prstGeom prst="rect">
                            <a:avLst/>
                          </a:prstGeom>
                          <a:ln>
                            <a:noFill/>
                          </a:ln>
                        </wps:spPr>
                        <wps:txbx>
                          <w:txbxContent>
                            <w:p w14:paraId="79728783" w14:textId="77777777" w:rsidR="00B32EF2" w:rsidRDefault="00000000">
                              <w:r>
                                <w:rPr>
                                  <w:rFonts w:ascii="Arial" w:eastAsia="Arial" w:hAnsi="Arial" w:cs="Arial"/>
                                  <w:sz w:val="18"/>
                                </w:rPr>
                                <w:t>oggetto o sono fra loro connessi.</w:t>
                              </w:r>
                            </w:p>
                          </w:txbxContent>
                        </wps:txbx>
                        <wps:bodyPr horzOverflow="overflow" vert="horz" lIns="0" tIns="0" rIns="0" bIns="0" rtlCol="0">
                          <a:noAutofit/>
                        </wps:bodyPr>
                      </wps:wsp>
                      <wps:wsp>
                        <wps:cNvPr id="200570" name="Rectangle 200570"/>
                        <wps:cNvSpPr/>
                        <wps:spPr>
                          <a:xfrm rot="-10799999">
                            <a:off x="-1285436" y="3900030"/>
                            <a:ext cx="5212671" cy="142889"/>
                          </a:xfrm>
                          <a:prstGeom prst="rect">
                            <a:avLst/>
                          </a:prstGeom>
                          <a:ln>
                            <a:noFill/>
                          </a:ln>
                        </wps:spPr>
                        <wps:txbx>
                          <w:txbxContent>
                            <w:p w14:paraId="7096C401" w14:textId="77777777" w:rsidR="00B32EF2" w:rsidRDefault="00000000">
                              <w:r>
                                <w:rPr>
                                  <w:rFonts w:ascii="Arial" w:eastAsia="Arial" w:hAnsi="Arial" w:cs="Arial"/>
                                  <w:sz w:val="18"/>
                                </w:rPr>
                                <w:t>. Se i processi pendono dinanzi a sezioni diverse della stessa corte di giu</w:t>
                              </w:r>
                            </w:p>
                          </w:txbxContent>
                        </wps:txbx>
                        <wps:bodyPr horzOverflow="overflow" vert="horz" lIns="0" tIns="0" rIns="0" bIns="0" rtlCol="0">
                          <a:noAutofit/>
                        </wps:bodyPr>
                      </wps:wsp>
                      <wps:wsp>
                        <wps:cNvPr id="200568" name="Rectangle 200568"/>
                        <wps:cNvSpPr/>
                        <wps:spPr>
                          <a:xfrm rot="-10799999">
                            <a:off x="2634871" y="3900030"/>
                            <a:ext cx="5212671" cy="142889"/>
                          </a:xfrm>
                          <a:prstGeom prst="rect">
                            <a:avLst/>
                          </a:prstGeom>
                          <a:ln>
                            <a:noFill/>
                          </a:ln>
                        </wps:spPr>
                        <wps:txbx>
                          <w:txbxContent>
                            <w:p w14:paraId="50684377"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7317" name="Rectangle 17317"/>
                        <wps:cNvSpPr/>
                        <wps:spPr>
                          <a:xfrm rot="-10799999">
                            <a:off x="19192" y="3900030"/>
                            <a:ext cx="50622" cy="142889"/>
                          </a:xfrm>
                          <a:prstGeom prst="rect">
                            <a:avLst/>
                          </a:prstGeom>
                          <a:ln>
                            <a:noFill/>
                          </a:ln>
                        </wps:spPr>
                        <wps:txbx>
                          <w:txbxContent>
                            <w:p w14:paraId="1A775E3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7318" name="Rectangle 17318"/>
                        <wps:cNvSpPr/>
                        <wps:spPr>
                          <a:xfrm rot="-10799999">
                            <a:off x="-1317229" y="3776701"/>
                            <a:ext cx="5309021" cy="142889"/>
                          </a:xfrm>
                          <a:prstGeom prst="rect">
                            <a:avLst/>
                          </a:prstGeom>
                          <a:ln>
                            <a:noFill/>
                          </a:ln>
                        </wps:spPr>
                        <wps:txbx>
                          <w:txbxContent>
                            <w:p w14:paraId="3FBD4718" w14:textId="77777777" w:rsidR="00B32EF2" w:rsidRDefault="00000000">
                              <w:r>
                                <w:rPr>
                                  <w:rFonts w:ascii="Arial" w:eastAsia="Arial" w:hAnsi="Arial" w:cs="Arial"/>
                                  <w:sz w:val="18"/>
                                </w:rPr>
                                <w:t xml:space="preserve">stizia tributaria il presidente di questa, di ufficio o su istanza di parte o su </w:t>
                              </w:r>
                            </w:p>
                          </w:txbxContent>
                        </wps:txbx>
                        <wps:bodyPr horzOverflow="overflow" vert="horz" lIns="0" tIns="0" rIns="0" bIns="0" rtlCol="0">
                          <a:noAutofit/>
                        </wps:bodyPr>
                      </wps:wsp>
                      <wps:wsp>
                        <wps:cNvPr id="17319" name="Rectangle 17319"/>
                        <wps:cNvSpPr/>
                        <wps:spPr>
                          <a:xfrm rot="-10799999">
                            <a:off x="-1317425" y="3653371"/>
                            <a:ext cx="5309902" cy="142889"/>
                          </a:xfrm>
                          <a:prstGeom prst="rect">
                            <a:avLst/>
                          </a:prstGeom>
                          <a:ln>
                            <a:noFill/>
                          </a:ln>
                        </wps:spPr>
                        <wps:txbx>
                          <w:txbxContent>
                            <w:p w14:paraId="240C5D3E" w14:textId="77777777" w:rsidR="00B32EF2" w:rsidRDefault="00000000">
                              <w:r>
                                <w:rPr>
                                  <w:rFonts w:ascii="Arial" w:eastAsia="Arial" w:hAnsi="Arial" w:cs="Arial"/>
                                  <w:sz w:val="18"/>
                                </w:rPr>
                                <w:t xml:space="preserve">segnalazione dei presidenti delle sezioni, determina con decreto la sezione </w:t>
                              </w:r>
                            </w:p>
                          </w:txbxContent>
                        </wps:txbx>
                        <wps:bodyPr horzOverflow="overflow" vert="horz" lIns="0" tIns="0" rIns="0" bIns="0" rtlCol="0">
                          <a:noAutofit/>
                        </wps:bodyPr>
                      </wps:wsp>
                      <wps:wsp>
                        <wps:cNvPr id="17320" name="Rectangle 17320"/>
                        <wps:cNvSpPr/>
                        <wps:spPr>
                          <a:xfrm rot="-10799999">
                            <a:off x="-1317244" y="3530041"/>
                            <a:ext cx="5309035" cy="142889"/>
                          </a:xfrm>
                          <a:prstGeom prst="rect">
                            <a:avLst/>
                          </a:prstGeom>
                          <a:ln>
                            <a:noFill/>
                          </a:ln>
                        </wps:spPr>
                        <wps:txbx>
                          <w:txbxContent>
                            <w:p w14:paraId="0A2FB93D" w14:textId="77777777" w:rsidR="00B32EF2" w:rsidRDefault="00000000">
                              <w:r>
                                <w:rPr>
                                  <w:rFonts w:ascii="Arial" w:eastAsia="Arial" w:hAnsi="Arial" w:cs="Arial"/>
                                  <w:sz w:val="18"/>
                                </w:rPr>
                                <w:t xml:space="preserve">davanti alla quale i processi devono proseguire, riservando a tale sezione di </w:t>
                              </w:r>
                            </w:p>
                          </w:txbxContent>
                        </wps:txbx>
                        <wps:bodyPr horzOverflow="overflow" vert="horz" lIns="0" tIns="0" rIns="0" bIns="0" rtlCol="0">
                          <a:noAutofit/>
                        </wps:bodyPr>
                      </wps:wsp>
                      <wps:wsp>
                        <wps:cNvPr id="17321" name="Rectangle 17321"/>
                        <wps:cNvSpPr/>
                        <wps:spPr>
                          <a:xfrm rot="-10799999">
                            <a:off x="1701367" y="3406712"/>
                            <a:ext cx="2290424" cy="142889"/>
                          </a:xfrm>
                          <a:prstGeom prst="rect">
                            <a:avLst/>
                          </a:prstGeom>
                          <a:ln>
                            <a:noFill/>
                          </a:ln>
                        </wps:spPr>
                        <wps:txbx>
                          <w:txbxContent>
                            <w:p w14:paraId="753BF628" w14:textId="77777777" w:rsidR="00B32EF2" w:rsidRDefault="00000000">
                              <w:r>
                                <w:rPr>
                                  <w:rFonts w:ascii="Arial" w:eastAsia="Arial" w:hAnsi="Arial" w:cs="Arial"/>
                                  <w:sz w:val="18"/>
                                </w:rPr>
                                <w:t>provvedere ai sensi del comma 1.</w:t>
                              </w:r>
                            </w:p>
                          </w:txbxContent>
                        </wps:txbx>
                        <wps:bodyPr horzOverflow="overflow" vert="horz" lIns="0" tIns="0" rIns="0" bIns="0" rtlCol="0">
                          <a:noAutofit/>
                        </wps:bodyPr>
                      </wps:wsp>
                      <wps:wsp>
                        <wps:cNvPr id="200566" name="Rectangle 200566"/>
                        <wps:cNvSpPr/>
                        <wps:spPr>
                          <a:xfrm rot="-10799999">
                            <a:off x="-1380860" y="3283382"/>
                            <a:ext cx="5305843" cy="142889"/>
                          </a:xfrm>
                          <a:prstGeom prst="rect">
                            <a:avLst/>
                          </a:prstGeom>
                          <a:ln>
                            <a:noFill/>
                          </a:ln>
                        </wps:spPr>
                        <wps:txbx>
                          <w:txbxContent>
                            <w:p w14:paraId="1A78CC72" w14:textId="77777777" w:rsidR="00B32EF2" w:rsidRDefault="00000000">
                              <w:r>
                                <w:rPr>
                                  <w:rFonts w:ascii="Arial" w:eastAsia="Arial" w:hAnsi="Arial" w:cs="Arial"/>
                                  <w:sz w:val="18"/>
                                </w:rPr>
                                <w:t xml:space="preserve">. La corte, se rileva che la riunione dei processi connessi ritarda o rende più </w:t>
                              </w:r>
                            </w:p>
                          </w:txbxContent>
                        </wps:txbx>
                        <wps:bodyPr horzOverflow="overflow" vert="horz" lIns="0" tIns="0" rIns="0" bIns="0" rtlCol="0">
                          <a:noAutofit/>
                        </wps:bodyPr>
                      </wps:wsp>
                      <wps:wsp>
                        <wps:cNvPr id="200565" name="Rectangle 200565"/>
                        <wps:cNvSpPr/>
                        <wps:spPr>
                          <a:xfrm rot="-10799999">
                            <a:off x="2611753" y="3283382"/>
                            <a:ext cx="5305844" cy="142889"/>
                          </a:xfrm>
                          <a:prstGeom prst="rect">
                            <a:avLst/>
                          </a:prstGeom>
                          <a:ln>
                            <a:noFill/>
                          </a:ln>
                        </wps:spPr>
                        <wps:txbx>
                          <w:txbxContent>
                            <w:p w14:paraId="106BFF3B"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7323" name="Rectangle 17323"/>
                        <wps:cNvSpPr/>
                        <wps:spPr>
                          <a:xfrm rot="-10799999">
                            <a:off x="-1274198" y="3160052"/>
                            <a:ext cx="5263704" cy="142889"/>
                          </a:xfrm>
                          <a:prstGeom prst="rect">
                            <a:avLst/>
                          </a:prstGeom>
                          <a:ln>
                            <a:noFill/>
                          </a:ln>
                        </wps:spPr>
                        <wps:txbx>
                          <w:txbxContent>
                            <w:p w14:paraId="05E63150" w14:textId="77777777" w:rsidR="00B32EF2" w:rsidRDefault="00000000">
                              <w:r>
                                <w:rPr>
                                  <w:rFonts w:ascii="Arial" w:eastAsia="Arial" w:hAnsi="Arial" w:cs="Arial"/>
                                  <w:sz w:val="18"/>
                                </w:rPr>
                                <w:t>gravosa la loro trattazione, può, con ordinanza motivata, disporne la separazione.</w:t>
                              </w:r>
                            </w:p>
                          </w:txbxContent>
                        </wps:txbx>
                        <wps:bodyPr horzOverflow="overflow" vert="horz" lIns="0" tIns="0" rIns="0" bIns="0" rtlCol="0">
                          <a:noAutofit/>
                        </wps:bodyPr>
                      </wps:wsp>
                      <wps:wsp>
                        <wps:cNvPr id="207874" name="Shape 207874"/>
                        <wps:cNvSpPr/>
                        <wps:spPr>
                          <a:xfrm>
                            <a:off x="31791" y="387698"/>
                            <a:ext cx="3960000" cy="2736799"/>
                          </a:xfrm>
                          <a:custGeom>
                            <a:avLst/>
                            <a:gdLst/>
                            <a:ahLst/>
                            <a:cxnLst/>
                            <a:rect l="0" t="0" r="0" b="0"/>
                            <a:pathLst>
                              <a:path w="3960000" h="2736799">
                                <a:moveTo>
                                  <a:pt x="0" y="0"/>
                                </a:moveTo>
                                <a:lnTo>
                                  <a:pt x="3960000" y="0"/>
                                </a:lnTo>
                                <a:lnTo>
                                  <a:pt x="3960000" y="2736799"/>
                                </a:lnTo>
                                <a:lnTo>
                                  <a:pt x="0" y="2736799"/>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7325" name="Rectangle 17325"/>
                        <wps:cNvSpPr/>
                        <wps:spPr>
                          <a:xfrm rot="-10799999">
                            <a:off x="2356625" y="2903264"/>
                            <a:ext cx="1557845" cy="142889"/>
                          </a:xfrm>
                          <a:prstGeom prst="rect">
                            <a:avLst/>
                          </a:prstGeom>
                          <a:ln>
                            <a:noFill/>
                          </a:ln>
                        </wps:spPr>
                        <wps:txbx>
                          <w:txbxContent>
                            <w:p w14:paraId="3E2BDF70" w14:textId="77777777" w:rsidR="00B32EF2" w:rsidRDefault="00000000">
                              <w:r>
                                <w:rPr>
                                  <w:rFonts w:ascii="Arial" w:eastAsia="Arial" w:hAnsi="Arial" w:cs="Arial"/>
                                  <w:b/>
                                  <w:i/>
                                  <w:sz w:val="18"/>
                                </w:rPr>
                                <w:t>NORME COLLEGATE</w:t>
                              </w:r>
                            </w:p>
                          </w:txbxContent>
                        </wps:txbx>
                        <wps:bodyPr horzOverflow="overflow" vert="horz" lIns="0" tIns="0" rIns="0" bIns="0" rtlCol="0">
                          <a:noAutofit/>
                        </wps:bodyPr>
                      </wps:wsp>
                      <wps:wsp>
                        <wps:cNvPr id="17326" name="Rectangle 17326"/>
                        <wps:cNvSpPr/>
                        <wps:spPr>
                          <a:xfrm rot="-10799999">
                            <a:off x="1972264" y="2779934"/>
                            <a:ext cx="1941176" cy="142890"/>
                          </a:xfrm>
                          <a:prstGeom prst="rect">
                            <a:avLst/>
                          </a:prstGeom>
                          <a:ln>
                            <a:noFill/>
                          </a:ln>
                        </wps:spPr>
                        <wps:txbx>
                          <w:txbxContent>
                            <w:p w14:paraId="6ECF8BAE" w14:textId="77777777" w:rsidR="00B32EF2" w:rsidRDefault="00000000">
                              <w:r>
                                <w:rPr>
                                  <w:rFonts w:ascii="Arial" w:eastAsia="Arial" w:hAnsi="Arial" w:cs="Arial"/>
                                  <w:i/>
                                  <w:sz w:val="18"/>
                                </w:rPr>
                                <w:t xml:space="preserve">art. 40 c.p.c. “Connessione” </w:t>
                              </w:r>
                            </w:p>
                          </w:txbxContent>
                        </wps:txbx>
                        <wps:bodyPr horzOverflow="overflow" vert="horz" lIns="0" tIns="0" rIns="0" bIns="0" rtlCol="0">
                          <a:noAutofit/>
                        </wps:bodyPr>
                      </wps:wsp>
                      <wps:wsp>
                        <wps:cNvPr id="200564" name="Rectangle 200564"/>
                        <wps:cNvSpPr/>
                        <wps:spPr>
                          <a:xfrm rot="-10799999">
                            <a:off x="-1246354" y="2656604"/>
                            <a:ext cx="5098566" cy="142889"/>
                          </a:xfrm>
                          <a:prstGeom prst="rect">
                            <a:avLst/>
                          </a:prstGeom>
                          <a:ln>
                            <a:noFill/>
                          </a:ln>
                        </wps:spPr>
                        <wps:txbx>
                          <w:txbxContent>
                            <w:p w14:paraId="3258196A" w14:textId="77777777" w:rsidR="00B32EF2" w:rsidRDefault="00000000">
                              <w:r>
                                <w:rPr>
                                  <w:rFonts w:ascii="Arial" w:eastAsia="Arial" w:hAnsi="Arial" w:cs="Arial"/>
                                  <w:i/>
                                  <w:sz w:val="18"/>
                                </w:rPr>
                                <w:t xml:space="preserve">. Se sono proposte davanti a giudici diversi più cause le quali, per ragione </w:t>
                              </w:r>
                            </w:p>
                          </w:txbxContent>
                        </wps:txbx>
                        <wps:bodyPr horzOverflow="overflow" vert="horz" lIns="0" tIns="0" rIns="0" bIns="0" rtlCol="0">
                          <a:noAutofit/>
                        </wps:bodyPr>
                      </wps:wsp>
                      <wps:wsp>
                        <wps:cNvPr id="200563" name="Rectangle 200563"/>
                        <wps:cNvSpPr/>
                        <wps:spPr>
                          <a:xfrm rot="-10799999">
                            <a:off x="2584833" y="2656605"/>
                            <a:ext cx="5098566" cy="142889"/>
                          </a:xfrm>
                          <a:prstGeom prst="rect">
                            <a:avLst/>
                          </a:prstGeom>
                          <a:ln>
                            <a:noFill/>
                          </a:ln>
                        </wps:spPr>
                        <wps:txbx>
                          <w:txbxContent>
                            <w:p w14:paraId="6F8386FA"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17328" name="Rectangle 17328"/>
                        <wps:cNvSpPr/>
                        <wps:spPr>
                          <a:xfrm rot="-10799999">
                            <a:off x="-1187207" y="2533275"/>
                            <a:ext cx="5100648" cy="142889"/>
                          </a:xfrm>
                          <a:prstGeom prst="rect">
                            <a:avLst/>
                          </a:prstGeom>
                          <a:ln>
                            <a:noFill/>
                          </a:ln>
                        </wps:spPr>
                        <wps:txbx>
                          <w:txbxContent>
                            <w:p w14:paraId="1BCC2E1A" w14:textId="77777777" w:rsidR="00B32EF2" w:rsidRDefault="00000000">
                              <w:r>
                                <w:rPr>
                                  <w:rFonts w:ascii="Arial" w:eastAsia="Arial" w:hAnsi="Arial" w:cs="Arial"/>
                                  <w:i/>
                                  <w:sz w:val="18"/>
                                </w:rPr>
                                <w:t xml:space="preserve">di connessione, possono essere decise in un solo  processo, il giudice fissa </w:t>
                              </w:r>
                            </w:p>
                          </w:txbxContent>
                        </wps:txbx>
                        <wps:bodyPr horzOverflow="overflow" vert="horz" lIns="0" tIns="0" rIns="0" bIns="0" rtlCol="0">
                          <a:noAutofit/>
                        </wps:bodyPr>
                      </wps:wsp>
                      <wps:wsp>
                        <wps:cNvPr id="17329" name="Rectangle 17329"/>
                        <wps:cNvSpPr/>
                        <wps:spPr>
                          <a:xfrm rot="-10799999">
                            <a:off x="-1091298" y="2409945"/>
                            <a:ext cx="5004740" cy="142889"/>
                          </a:xfrm>
                          <a:prstGeom prst="rect">
                            <a:avLst/>
                          </a:prstGeom>
                          <a:ln>
                            <a:noFill/>
                          </a:ln>
                        </wps:spPr>
                        <wps:txbx>
                          <w:txbxContent>
                            <w:p w14:paraId="4CBC867F" w14:textId="77777777" w:rsidR="00B32EF2" w:rsidRDefault="00000000">
                              <w:r>
                                <w:rPr>
                                  <w:rFonts w:ascii="Arial" w:eastAsia="Arial" w:hAnsi="Arial" w:cs="Arial"/>
                                  <w:i/>
                                  <w:sz w:val="18"/>
                                </w:rPr>
                                <w:t>con ordinanza alle parti un  termine  perentori per la riassunzione della cau</w:t>
                              </w:r>
                            </w:p>
                          </w:txbxContent>
                        </wps:txbx>
                        <wps:bodyPr horzOverflow="overflow" vert="horz" lIns="0" tIns="0" rIns="0" bIns="0" rtlCol="0">
                          <a:noAutofit/>
                        </wps:bodyPr>
                      </wps:wsp>
                      <wps:wsp>
                        <wps:cNvPr id="17330" name="Rectangle 17330"/>
                        <wps:cNvSpPr/>
                        <wps:spPr>
                          <a:xfrm rot="-10799999">
                            <a:off x="97547" y="2409945"/>
                            <a:ext cx="50622" cy="142889"/>
                          </a:xfrm>
                          <a:prstGeom prst="rect">
                            <a:avLst/>
                          </a:prstGeom>
                          <a:ln>
                            <a:noFill/>
                          </a:ln>
                        </wps:spPr>
                        <wps:txbx>
                          <w:txbxContent>
                            <w:p w14:paraId="1BEF1DA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331" name="Rectangle 17331"/>
                        <wps:cNvSpPr/>
                        <wps:spPr>
                          <a:xfrm rot="-10799999">
                            <a:off x="-1189931" y="2286615"/>
                            <a:ext cx="5111031" cy="142889"/>
                          </a:xfrm>
                          <a:prstGeom prst="rect">
                            <a:avLst/>
                          </a:prstGeom>
                          <a:ln>
                            <a:noFill/>
                          </a:ln>
                        </wps:spPr>
                        <wps:txbx>
                          <w:txbxContent>
                            <w:p w14:paraId="50AE884D" w14:textId="77777777" w:rsidR="00B32EF2" w:rsidRDefault="00000000">
                              <w:r>
                                <w:rPr>
                                  <w:rFonts w:ascii="Arial" w:eastAsia="Arial" w:hAnsi="Arial" w:cs="Arial"/>
                                  <w:i/>
                                  <w:sz w:val="18"/>
                                </w:rPr>
                                <w:t xml:space="preserve">sa accessoria davanti al  giudice  della causa principale, e negli altri casi </w:t>
                              </w:r>
                            </w:p>
                          </w:txbxContent>
                        </wps:txbx>
                        <wps:bodyPr horzOverflow="overflow" vert="horz" lIns="0" tIns="0" rIns="0" bIns="0" rtlCol="0">
                          <a:noAutofit/>
                        </wps:bodyPr>
                      </wps:wsp>
                      <wps:wsp>
                        <wps:cNvPr id="17332" name="Rectangle 17332"/>
                        <wps:cNvSpPr/>
                        <wps:spPr>
                          <a:xfrm rot="-10799999">
                            <a:off x="1211744" y="2163286"/>
                            <a:ext cx="2701697" cy="142889"/>
                          </a:xfrm>
                          <a:prstGeom prst="rect">
                            <a:avLst/>
                          </a:prstGeom>
                          <a:ln>
                            <a:noFill/>
                          </a:ln>
                        </wps:spPr>
                        <wps:txbx>
                          <w:txbxContent>
                            <w:p w14:paraId="40D3D213" w14:textId="77777777" w:rsidR="00B32EF2" w:rsidRDefault="00000000">
                              <w:r>
                                <w:rPr>
                                  <w:rFonts w:ascii="Arial" w:eastAsia="Arial" w:hAnsi="Arial" w:cs="Arial"/>
                                  <w:i/>
                                  <w:sz w:val="18"/>
                                </w:rPr>
                                <w:t xml:space="preserve">davanti a quello preventivamente adito. </w:t>
                              </w:r>
                            </w:p>
                          </w:txbxContent>
                        </wps:txbx>
                        <wps:bodyPr horzOverflow="overflow" vert="horz" lIns="0" tIns="0" rIns="0" bIns="0" rtlCol="0">
                          <a:noAutofit/>
                        </wps:bodyPr>
                      </wps:wsp>
                      <wps:wsp>
                        <wps:cNvPr id="200561" name="Rectangle 200561"/>
                        <wps:cNvSpPr/>
                        <wps:spPr>
                          <a:xfrm rot="-10799999">
                            <a:off x="2585383" y="2039956"/>
                            <a:ext cx="5096347" cy="142889"/>
                          </a:xfrm>
                          <a:prstGeom prst="rect">
                            <a:avLst/>
                          </a:prstGeom>
                          <a:ln>
                            <a:noFill/>
                          </a:ln>
                        </wps:spPr>
                        <wps:txbx>
                          <w:txbxContent>
                            <w:p w14:paraId="3A74D8C4"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0562" name="Rectangle 200562"/>
                        <wps:cNvSpPr/>
                        <wps:spPr>
                          <a:xfrm rot="-10799999">
                            <a:off x="-1251302" y="2039956"/>
                            <a:ext cx="5096346" cy="142889"/>
                          </a:xfrm>
                          <a:prstGeom prst="rect">
                            <a:avLst/>
                          </a:prstGeom>
                          <a:ln>
                            <a:noFill/>
                          </a:ln>
                        </wps:spPr>
                        <wps:txbx>
                          <w:txbxContent>
                            <w:p w14:paraId="0D619812" w14:textId="77777777" w:rsidR="00B32EF2" w:rsidRDefault="00000000">
                              <w:r>
                                <w:rPr>
                                  <w:rFonts w:ascii="Arial" w:eastAsia="Arial" w:hAnsi="Arial" w:cs="Arial"/>
                                  <w:i/>
                                  <w:sz w:val="18"/>
                                </w:rPr>
                                <w:t xml:space="preserve">. La connessione non può essere eccepita dalle  parti  nè  rilevata d’ufficio </w:t>
                              </w:r>
                            </w:p>
                          </w:txbxContent>
                        </wps:txbx>
                        <wps:bodyPr horzOverflow="overflow" vert="horz" lIns="0" tIns="0" rIns="0" bIns="0" rtlCol="0">
                          <a:noAutofit/>
                        </wps:bodyPr>
                      </wps:wsp>
                      <wps:wsp>
                        <wps:cNvPr id="17334" name="Rectangle 17334"/>
                        <wps:cNvSpPr/>
                        <wps:spPr>
                          <a:xfrm rot="-10799999">
                            <a:off x="-1186936" y="1916626"/>
                            <a:ext cx="5099006" cy="142889"/>
                          </a:xfrm>
                          <a:prstGeom prst="rect">
                            <a:avLst/>
                          </a:prstGeom>
                          <a:ln>
                            <a:noFill/>
                          </a:ln>
                        </wps:spPr>
                        <wps:txbx>
                          <w:txbxContent>
                            <w:p w14:paraId="30374A67" w14:textId="77777777" w:rsidR="00B32EF2" w:rsidRDefault="00000000">
                              <w:r>
                                <w:rPr>
                                  <w:rFonts w:ascii="Arial" w:eastAsia="Arial" w:hAnsi="Arial" w:cs="Arial"/>
                                  <w:i/>
                                  <w:sz w:val="18"/>
                                </w:rPr>
                                <w:t xml:space="preserve">dopo la prima udienza, e  la  rimessione  non  può  essere ordinata quando </w:t>
                              </w:r>
                            </w:p>
                          </w:txbxContent>
                        </wps:txbx>
                        <wps:bodyPr horzOverflow="overflow" vert="horz" lIns="0" tIns="0" rIns="0" bIns="0" rtlCol="0">
                          <a:noAutofit/>
                        </wps:bodyPr>
                      </wps:wsp>
                      <wps:wsp>
                        <wps:cNvPr id="17349" name="Rectangle 17349"/>
                        <wps:cNvSpPr/>
                        <wps:spPr>
                          <a:xfrm rot="-10799999">
                            <a:off x="-1155295" y="1793296"/>
                            <a:ext cx="5098717" cy="142889"/>
                          </a:xfrm>
                          <a:prstGeom prst="rect">
                            <a:avLst/>
                          </a:prstGeom>
                          <a:ln>
                            <a:noFill/>
                          </a:ln>
                        </wps:spPr>
                        <wps:txbx>
                          <w:txbxContent>
                            <w:p w14:paraId="06D47BF8" w14:textId="77777777" w:rsidR="00B32EF2" w:rsidRDefault="00000000">
                              <w:r>
                                <w:rPr>
                                  <w:rFonts w:ascii="Arial" w:eastAsia="Arial" w:hAnsi="Arial" w:cs="Arial"/>
                                  <w:i/>
                                  <w:sz w:val="18"/>
                                </w:rPr>
                                <w:t>lo stato della  causa  principale  o  preventivamente proposta non consente</w:t>
                              </w:r>
                            </w:p>
                          </w:txbxContent>
                        </wps:txbx>
                        <wps:bodyPr horzOverflow="overflow" vert="horz" lIns="0" tIns="0" rIns="0" bIns="0" rtlCol="0">
                          <a:noAutofit/>
                        </wps:bodyPr>
                      </wps:wsp>
                      <wps:wsp>
                        <wps:cNvPr id="17350" name="Rectangle 17350"/>
                        <wps:cNvSpPr/>
                        <wps:spPr>
                          <a:xfrm rot="-10799999">
                            <a:off x="-4990780" y="1793296"/>
                            <a:ext cx="5098717" cy="142889"/>
                          </a:xfrm>
                          <a:prstGeom prst="rect">
                            <a:avLst/>
                          </a:prstGeom>
                          <a:ln>
                            <a:noFill/>
                          </a:ln>
                        </wps:spPr>
                        <wps:txbx>
                          <w:txbxContent>
                            <w:p w14:paraId="61A6663F" w14:textId="77777777" w:rsidR="00B32EF2" w:rsidRDefault="00000000">
                              <w:r>
                                <w:rPr>
                                  <w:rFonts w:ascii="Arial" w:eastAsia="Arial" w:hAnsi="Arial" w:cs="Arial"/>
                                  <w:i/>
                                  <w:sz w:val="18"/>
                                </w:rPr>
                                <w:t xml:space="preserve"> </w:t>
                              </w:r>
                            </w:p>
                          </w:txbxContent>
                        </wps:txbx>
                        <wps:bodyPr horzOverflow="overflow" vert="horz" lIns="0" tIns="0" rIns="0" bIns="0" rtlCol="0">
                          <a:noAutofit/>
                        </wps:bodyPr>
                      </wps:wsp>
                      <wps:wsp>
                        <wps:cNvPr id="17336" name="Rectangle 17336"/>
                        <wps:cNvSpPr/>
                        <wps:spPr>
                          <a:xfrm rot="-10799999">
                            <a:off x="-227618" y="1669967"/>
                            <a:ext cx="4141059" cy="142889"/>
                          </a:xfrm>
                          <a:prstGeom prst="rect">
                            <a:avLst/>
                          </a:prstGeom>
                          <a:ln>
                            <a:noFill/>
                          </a:ln>
                        </wps:spPr>
                        <wps:txbx>
                          <w:txbxContent>
                            <w:p w14:paraId="634B058C" w14:textId="77777777" w:rsidR="00B32EF2" w:rsidRDefault="00000000">
                              <w:r>
                                <w:rPr>
                                  <w:rFonts w:ascii="Arial" w:eastAsia="Arial" w:hAnsi="Arial" w:cs="Arial"/>
                                  <w:i/>
                                  <w:sz w:val="18"/>
                                </w:rPr>
                                <w:t xml:space="preserve">l’esauriente  trattazione  e  decisione  delle cause connesse. </w:t>
                              </w:r>
                            </w:p>
                          </w:txbxContent>
                        </wps:txbx>
                        <wps:bodyPr horzOverflow="overflow" vert="horz" lIns="0" tIns="0" rIns="0" bIns="0" rtlCol="0">
                          <a:noAutofit/>
                        </wps:bodyPr>
                      </wps:wsp>
                      <wps:wsp>
                        <wps:cNvPr id="200559" name="Rectangle 200559"/>
                        <wps:cNvSpPr/>
                        <wps:spPr>
                          <a:xfrm rot="-10799999">
                            <a:off x="2608479" y="1546637"/>
                            <a:ext cx="5003264" cy="142889"/>
                          </a:xfrm>
                          <a:prstGeom prst="rect">
                            <a:avLst/>
                          </a:prstGeom>
                          <a:ln>
                            <a:noFill/>
                          </a:ln>
                        </wps:spPr>
                        <wps:txbx>
                          <w:txbxContent>
                            <w:p w14:paraId="1175BF33"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0560" name="Rectangle 200560"/>
                        <wps:cNvSpPr/>
                        <wps:spPr>
                          <a:xfrm rot="-10799999">
                            <a:off x="-1156151" y="1546637"/>
                            <a:ext cx="5003265" cy="142889"/>
                          </a:xfrm>
                          <a:prstGeom prst="rect">
                            <a:avLst/>
                          </a:prstGeom>
                          <a:ln>
                            <a:noFill/>
                          </a:ln>
                        </wps:spPr>
                        <wps:txbx>
                          <w:txbxContent>
                            <w:p w14:paraId="1CABD361" w14:textId="77777777" w:rsidR="00B32EF2" w:rsidRDefault="00000000">
                              <w:r>
                                <w:rPr>
                                  <w:rFonts w:ascii="Arial" w:eastAsia="Arial" w:hAnsi="Arial" w:cs="Arial"/>
                                  <w:i/>
                                  <w:sz w:val="18"/>
                                </w:rPr>
                                <w:t>. Nei casi previsti negli articoli 31, 32, 34, 35  e  36,  le  cause, cumulati</w:t>
                              </w:r>
                            </w:p>
                          </w:txbxContent>
                        </wps:txbx>
                        <wps:bodyPr horzOverflow="overflow" vert="horz" lIns="0" tIns="0" rIns="0" bIns="0" rtlCol="0">
                          <a:noAutofit/>
                        </wps:bodyPr>
                      </wps:wsp>
                      <wps:wsp>
                        <wps:cNvPr id="17338" name="Rectangle 17338"/>
                        <wps:cNvSpPr/>
                        <wps:spPr>
                          <a:xfrm rot="-10799999">
                            <a:off x="97547" y="1546637"/>
                            <a:ext cx="50622" cy="142889"/>
                          </a:xfrm>
                          <a:prstGeom prst="rect">
                            <a:avLst/>
                          </a:prstGeom>
                          <a:ln>
                            <a:noFill/>
                          </a:ln>
                        </wps:spPr>
                        <wps:txbx>
                          <w:txbxContent>
                            <w:p w14:paraId="4D76092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339" name="Rectangle 17339"/>
                        <wps:cNvSpPr/>
                        <wps:spPr>
                          <a:xfrm rot="-10799999">
                            <a:off x="-1188535" y="1423307"/>
                            <a:ext cx="5105862" cy="142889"/>
                          </a:xfrm>
                          <a:prstGeom prst="rect">
                            <a:avLst/>
                          </a:prstGeom>
                          <a:ln>
                            <a:noFill/>
                          </a:ln>
                        </wps:spPr>
                        <wps:txbx>
                          <w:txbxContent>
                            <w:p w14:paraId="0F802B1E" w14:textId="77777777" w:rsidR="00B32EF2" w:rsidRDefault="00000000">
                              <w:r>
                                <w:rPr>
                                  <w:rFonts w:ascii="Arial" w:eastAsia="Arial" w:hAnsi="Arial" w:cs="Arial"/>
                                  <w:i/>
                                  <w:sz w:val="18"/>
                                </w:rPr>
                                <w:t xml:space="preserve">vamente proposte o successivamente  riunite,  debbono  essere trattate e </w:t>
                              </w:r>
                            </w:p>
                          </w:txbxContent>
                        </wps:txbx>
                        <wps:bodyPr horzOverflow="overflow" vert="horz" lIns="0" tIns="0" rIns="0" bIns="0" rtlCol="0">
                          <a:noAutofit/>
                        </wps:bodyPr>
                      </wps:wsp>
                      <wps:wsp>
                        <wps:cNvPr id="17340" name="Rectangle 17340"/>
                        <wps:cNvSpPr/>
                        <wps:spPr>
                          <a:xfrm rot="-10799999">
                            <a:off x="-1186853" y="1299978"/>
                            <a:ext cx="5099265" cy="142889"/>
                          </a:xfrm>
                          <a:prstGeom prst="rect">
                            <a:avLst/>
                          </a:prstGeom>
                          <a:ln>
                            <a:noFill/>
                          </a:ln>
                        </wps:spPr>
                        <wps:txbx>
                          <w:txbxContent>
                            <w:p w14:paraId="6094059C" w14:textId="77777777" w:rsidR="00B32EF2" w:rsidRDefault="00000000">
                              <w:r>
                                <w:rPr>
                                  <w:rFonts w:ascii="Arial" w:eastAsia="Arial" w:hAnsi="Arial" w:cs="Arial"/>
                                  <w:i/>
                                  <w:sz w:val="18"/>
                                </w:rPr>
                                <w:t xml:space="preserve">decise col rito ordinario, salva l’applicazione  del  solo rito speciale quando </w:t>
                              </w:r>
                            </w:p>
                          </w:txbxContent>
                        </wps:txbx>
                        <wps:bodyPr horzOverflow="overflow" vert="horz" lIns="0" tIns="0" rIns="0" bIns="0" rtlCol="0">
                          <a:noAutofit/>
                        </wps:bodyPr>
                      </wps:wsp>
                      <wps:wsp>
                        <wps:cNvPr id="17341" name="Rectangle 17341"/>
                        <wps:cNvSpPr/>
                        <wps:spPr>
                          <a:xfrm rot="-10799999">
                            <a:off x="-681196" y="1176648"/>
                            <a:ext cx="4594638" cy="142890"/>
                          </a:xfrm>
                          <a:prstGeom prst="rect">
                            <a:avLst/>
                          </a:prstGeom>
                          <a:ln>
                            <a:noFill/>
                          </a:ln>
                        </wps:spPr>
                        <wps:txbx>
                          <w:txbxContent>
                            <w:p w14:paraId="3351FE46" w14:textId="77777777" w:rsidR="00B32EF2" w:rsidRDefault="00000000">
                              <w:r>
                                <w:rPr>
                                  <w:rFonts w:ascii="Arial" w:eastAsia="Arial" w:hAnsi="Arial" w:cs="Arial"/>
                                  <w:i/>
                                  <w:sz w:val="18"/>
                                </w:rPr>
                                <w:t xml:space="preserve">una di tali cause rientri  fra  quelle  indicate negli articoli 409 e 442. </w:t>
                              </w:r>
                            </w:p>
                          </w:txbxContent>
                        </wps:txbx>
                        <wps:bodyPr horzOverflow="overflow" vert="horz" lIns="0" tIns="0" rIns="0" bIns="0" rtlCol="0">
                          <a:noAutofit/>
                        </wps:bodyPr>
                      </wps:wsp>
                      <wps:wsp>
                        <wps:cNvPr id="200557" name="Rectangle 200557"/>
                        <wps:cNvSpPr/>
                        <wps:spPr>
                          <a:xfrm rot="-10799999">
                            <a:off x="2585368" y="1053319"/>
                            <a:ext cx="5096408" cy="142889"/>
                          </a:xfrm>
                          <a:prstGeom prst="rect">
                            <a:avLst/>
                          </a:prstGeom>
                          <a:ln>
                            <a:noFill/>
                          </a:ln>
                        </wps:spPr>
                        <wps:txbx>
                          <w:txbxContent>
                            <w:p w14:paraId="3E42BEAC"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200558" name="Rectangle 200558"/>
                        <wps:cNvSpPr/>
                        <wps:spPr>
                          <a:xfrm rot="-10799999">
                            <a:off x="-1251341" y="1053319"/>
                            <a:ext cx="5096407" cy="142889"/>
                          </a:xfrm>
                          <a:prstGeom prst="rect">
                            <a:avLst/>
                          </a:prstGeom>
                          <a:ln>
                            <a:noFill/>
                          </a:ln>
                        </wps:spPr>
                        <wps:txbx>
                          <w:txbxContent>
                            <w:p w14:paraId="1D07A16A" w14:textId="77777777" w:rsidR="00B32EF2" w:rsidRDefault="00000000">
                              <w:r>
                                <w:rPr>
                                  <w:rFonts w:ascii="Arial" w:eastAsia="Arial" w:hAnsi="Arial" w:cs="Arial"/>
                                  <w:i/>
                                  <w:sz w:val="18"/>
                                </w:rPr>
                                <w:t xml:space="preserve">. Qualora le cause connesse  siano  assoggettate  a  differenti  riti speciali </w:t>
                              </w:r>
                            </w:p>
                          </w:txbxContent>
                        </wps:txbx>
                        <wps:bodyPr horzOverflow="overflow" vert="horz" lIns="0" tIns="0" rIns="0" bIns="0" rtlCol="0">
                          <a:noAutofit/>
                        </wps:bodyPr>
                      </wps:wsp>
                      <wps:wsp>
                        <wps:cNvPr id="17351" name="Rectangle 17351"/>
                        <wps:cNvSpPr/>
                        <wps:spPr>
                          <a:xfrm rot="-10799999">
                            <a:off x="-1157383" y="929989"/>
                            <a:ext cx="5106623" cy="142889"/>
                          </a:xfrm>
                          <a:prstGeom prst="rect">
                            <a:avLst/>
                          </a:prstGeom>
                          <a:ln>
                            <a:noFill/>
                          </a:ln>
                        </wps:spPr>
                        <wps:txbx>
                          <w:txbxContent>
                            <w:p w14:paraId="41FCB7A5" w14:textId="77777777" w:rsidR="00B32EF2" w:rsidRDefault="00000000">
                              <w:r>
                                <w:rPr>
                                  <w:rFonts w:ascii="Arial" w:eastAsia="Arial" w:hAnsi="Arial" w:cs="Arial"/>
                                  <w:i/>
                                  <w:sz w:val="18"/>
                                </w:rPr>
                                <w:t>debbono essere trattate  e  decise  col  rito  previsto  per quella  tra  esse</w:t>
                              </w:r>
                            </w:p>
                          </w:txbxContent>
                        </wps:txbx>
                        <wps:bodyPr horzOverflow="overflow" vert="horz" lIns="0" tIns="0" rIns="0" bIns="0" rtlCol="0">
                          <a:noAutofit/>
                        </wps:bodyPr>
                      </wps:wsp>
                      <wps:wsp>
                        <wps:cNvPr id="17352" name="Rectangle 17352"/>
                        <wps:cNvSpPr/>
                        <wps:spPr>
                          <a:xfrm rot="-10799999">
                            <a:off x="-4992970" y="929989"/>
                            <a:ext cx="5106623" cy="142889"/>
                          </a:xfrm>
                          <a:prstGeom prst="rect">
                            <a:avLst/>
                          </a:prstGeom>
                          <a:ln>
                            <a:noFill/>
                          </a:ln>
                        </wps:spPr>
                        <wps:txbx>
                          <w:txbxContent>
                            <w:p w14:paraId="77D65891" w14:textId="77777777" w:rsidR="00B32EF2" w:rsidRDefault="00000000">
                              <w:r>
                                <w:rPr>
                                  <w:rFonts w:ascii="Arial" w:eastAsia="Arial" w:hAnsi="Arial" w:cs="Arial"/>
                                  <w:i/>
                                  <w:sz w:val="18"/>
                                </w:rPr>
                                <w:t xml:space="preserve"> </w:t>
                              </w:r>
                            </w:p>
                          </w:txbxContent>
                        </wps:txbx>
                        <wps:bodyPr horzOverflow="overflow" vert="horz" lIns="0" tIns="0" rIns="0" bIns="0" rtlCol="0">
                          <a:noAutofit/>
                        </wps:bodyPr>
                      </wps:wsp>
                      <wps:wsp>
                        <wps:cNvPr id="17344" name="Rectangle 17344"/>
                        <wps:cNvSpPr/>
                        <wps:spPr>
                          <a:xfrm rot="-10799999">
                            <a:off x="-1186692" y="806659"/>
                            <a:ext cx="5096133" cy="142889"/>
                          </a:xfrm>
                          <a:prstGeom prst="rect">
                            <a:avLst/>
                          </a:prstGeom>
                          <a:ln>
                            <a:noFill/>
                          </a:ln>
                        </wps:spPr>
                        <wps:txbx>
                          <w:txbxContent>
                            <w:p w14:paraId="1A0A91C0" w14:textId="77777777" w:rsidR="00B32EF2" w:rsidRDefault="00000000">
                              <w:r>
                                <w:rPr>
                                  <w:rFonts w:ascii="Arial" w:eastAsia="Arial" w:hAnsi="Arial" w:cs="Arial"/>
                                  <w:i/>
                                  <w:sz w:val="18"/>
                                </w:rPr>
                                <w:t xml:space="preserve">in  ragione  della  quale  viene  determinata   la competenza o, in subordine, </w:t>
                              </w:r>
                            </w:p>
                          </w:txbxContent>
                        </wps:txbx>
                        <wps:bodyPr horzOverflow="overflow" vert="horz" lIns="0" tIns="0" rIns="0" bIns="0" rtlCol="0">
                          <a:noAutofit/>
                        </wps:bodyPr>
                      </wps:wsp>
                      <wps:wsp>
                        <wps:cNvPr id="17345" name="Rectangle 17345"/>
                        <wps:cNvSpPr/>
                        <wps:spPr>
                          <a:xfrm rot="-10799999">
                            <a:off x="737429" y="683330"/>
                            <a:ext cx="3176012" cy="142889"/>
                          </a:xfrm>
                          <a:prstGeom prst="rect">
                            <a:avLst/>
                          </a:prstGeom>
                          <a:ln>
                            <a:noFill/>
                          </a:ln>
                        </wps:spPr>
                        <wps:txbx>
                          <w:txbxContent>
                            <w:p w14:paraId="113B7C50" w14:textId="77777777" w:rsidR="00B32EF2" w:rsidRDefault="00000000">
                              <w:r>
                                <w:rPr>
                                  <w:rFonts w:ascii="Arial" w:eastAsia="Arial" w:hAnsi="Arial" w:cs="Arial"/>
                                  <w:i/>
                                  <w:sz w:val="18"/>
                                </w:rPr>
                                <w:t>col rito previsto per la causa di maggior valore.</w:t>
                              </w:r>
                            </w:p>
                          </w:txbxContent>
                        </wps:txbx>
                        <wps:bodyPr horzOverflow="overflow" vert="horz" lIns="0" tIns="0" rIns="0" bIns="0" rtlCol="0">
                          <a:noAutofit/>
                        </wps:bodyPr>
                      </wps:wsp>
                      <wps:wsp>
                        <wps:cNvPr id="200555" name="Rectangle 200555"/>
                        <wps:cNvSpPr/>
                        <wps:spPr>
                          <a:xfrm rot="-10799999">
                            <a:off x="2582463" y="560000"/>
                            <a:ext cx="5108113" cy="142889"/>
                          </a:xfrm>
                          <a:prstGeom prst="rect">
                            <a:avLst/>
                          </a:prstGeom>
                          <a:ln>
                            <a:noFill/>
                          </a:ln>
                        </wps:spPr>
                        <wps:txbx>
                          <w:txbxContent>
                            <w:p w14:paraId="1390CAC6"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200556" name="Rectangle 200556"/>
                        <wps:cNvSpPr/>
                        <wps:spPr>
                          <a:xfrm rot="-10799999">
                            <a:off x="-1256542" y="560000"/>
                            <a:ext cx="5108112" cy="142889"/>
                          </a:xfrm>
                          <a:prstGeom prst="rect">
                            <a:avLst/>
                          </a:prstGeom>
                          <a:ln>
                            <a:noFill/>
                          </a:ln>
                        </wps:spPr>
                        <wps:txbx>
                          <w:txbxContent>
                            <w:p w14:paraId="3C293BEB" w14:textId="77777777" w:rsidR="00B32EF2" w:rsidRDefault="00000000">
                              <w:r>
                                <w:rPr>
                                  <w:rFonts w:ascii="Arial" w:eastAsia="Arial" w:hAnsi="Arial" w:cs="Arial"/>
                                  <w:i/>
                                  <w:sz w:val="18"/>
                                </w:rPr>
                                <w:t xml:space="preserve">. Se la causa è  stata  trattata  con  un  rito  diverso  da  quello divenuto </w:t>
                              </w:r>
                            </w:p>
                          </w:txbxContent>
                        </wps:txbx>
                        <wps:bodyPr horzOverflow="overflow" vert="horz" lIns="0" tIns="0" rIns="0" bIns="0" rtlCol="0">
                          <a:noAutofit/>
                        </wps:bodyPr>
                      </wps:wsp>
                      <wps:wsp>
                        <wps:cNvPr id="17347" name="Rectangle 17347"/>
                        <wps:cNvSpPr/>
                        <wps:spPr>
                          <a:xfrm rot="-10799999">
                            <a:off x="-1190990" y="436670"/>
                            <a:ext cx="5117462" cy="142889"/>
                          </a:xfrm>
                          <a:prstGeom prst="rect">
                            <a:avLst/>
                          </a:prstGeom>
                          <a:ln>
                            <a:noFill/>
                          </a:ln>
                        </wps:spPr>
                        <wps:txbx>
                          <w:txbxContent>
                            <w:p w14:paraId="4F69F003" w14:textId="77777777" w:rsidR="00B32EF2" w:rsidRDefault="00000000">
                              <w:r>
                                <w:rPr>
                                  <w:rFonts w:ascii="Arial" w:eastAsia="Arial" w:hAnsi="Arial" w:cs="Arial"/>
                                  <w:i/>
                                  <w:sz w:val="18"/>
                                </w:rPr>
                                <w:t xml:space="preserve">applicabile ai sensi del terzo comma, il giudice provvede  a norma degli </w:t>
                              </w:r>
                            </w:p>
                          </w:txbxContent>
                        </wps:txbx>
                        <wps:bodyPr horzOverflow="overflow" vert="horz" lIns="0" tIns="0" rIns="0" bIns="0" rtlCol="0">
                          <a:noAutofit/>
                        </wps:bodyPr>
                      </wps:wsp>
                      <wps:wsp>
                        <wps:cNvPr id="17348" name="Shape 17348"/>
                        <wps:cNvSpPr/>
                        <wps:spPr>
                          <a:xfrm>
                            <a:off x="31790" y="387702"/>
                            <a:ext cx="3960000" cy="2736799"/>
                          </a:xfrm>
                          <a:custGeom>
                            <a:avLst/>
                            <a:gdLst/>
                            <a:ahLst/>
                            <a:cxnLst/>
                            <a:rect l="0" t="0" r="0" b="0"/>
                            <a:pathLst>
                              <a:path w="3960000" h="2736799">
                                <a:moveTo>
                                  <a:pt x="0" y="2736799"/>
                                </a:moveTo>
                                <a:lnTo>
                                  <a:pt x="3960000" y="2736799"/>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2D59FD7" id="Group 200755" o:spid="_x0000_s3121" style="width:314.3pt;height:493.15pt;mso-position-horizontal-relative:char;mso-position-vertical-relative:line" coordsize="39917,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t5wwAADuMAAAOAAAAZHJzL2Uyb0RvYy54bWzkXeuO27gZ/V+g72D4/2REUiIlI5NFkXSD&#10;AkV3sbt9AMUjXwDZMmQnM+nT93wkRdkyJ0ml1hyUM8CMTUuUxMPvfvHbn5539exL1R63zf5hzt4k&#10;81m1XzaP2/36Yf7PP36+y+ez46ncP5Z1s68e5l+r4/ynd3/+09unw6LizaapH6t2hkn2x8XT4WG+&#10;OZ0Oi/v743JT7crjm+ZQ7fHhqml35Qlv2/X9Y1s+YfZdfc+TRN4/Ne3joW2W1fGI0Q/mw/k7Pf9q&#10;VS1Pv6xWx+o0qx/muLeT/tvqv5/o7/27t+Vi3ZaHzXZpb6MccRe7crvHRd1UH8pTOfvcbq+m2m2X&#10;bXNsVqc3y2Z336xW22WlnwFPw5LB03xsm88H/SzrxdP64JYJSztYp9HTLv/x5WN7+P3wa4uVeDqs&#10;sRb6HT3L86rd0X/c5exZL9lXt2TV82m2xKAoCqYKNp8t8ZnkkudZahZ1ucHKX5233Pz1O2fedxe+&#10;v7idpwM2yLFfg+O0Nfh9Ux4qvbTHBdbg13a2fcT+VbzI5rN9ucNW/Q2bp9yv62pmhvUC6aPdch0X&#10;R6xct1aztsH+umOJKuhH7we7dqxIklSp+QyrdCc53ppF6paRqVzIwqwizxKZSvrcLUW5OLTH08eq&#10;2c3oxcO8xb3p+csvfz+ezKHdIXQ79Z7+7puft3VtPqURrGh3x/Tq9PzpWT82CInR9WjwU/P4Faux&#10;adp//QK6XtXN08O8sa/mROq4PH06n9V/2wMFoqruRdu9+NS9aE/1+0bTnrmhv3w+NautvuP+avbO&#10;AK+5h5vgLP0464WnW8Ou+M9xFlwKpbCFiBoYKwppqaEDWvFcJcIAzVKem41wQ6B5VEBjZ2c5yG5I&#10;0Xbc7vlRUAPpNE/B+QB1BqDx9pKmM864Ks6x1kR2Q6xFdFiDnLxYGzIbTdZ3DHIty6DLfBvs9Iyw&#10;bw223n09T42AgwOOIV2TpM67XT+KrFnBCn6GczYg6kRyfEzaThD2rW8nKpShFflQLiahfMcEUwmD&#10;DkAEnSshkiHQIsnzBFusgzrXV7wh93aaSCQqmUg8zJspGp4ipwuW8dRoZJlKi0LpdS0XnUYmEiUz&#10;6NvhgFbd80UBtFa9PEaWHZ8CNag6Z5KsUaJqWKPWjurBzkDVhcQ+C0bVTjrFAza0oiEH12A7jWWU&#10;oOaSJUUOKF8v1k5GRYE1sWqoRkOozfAUsuYZRLWyVJ0lQkBuY76eqqGJcRLgwaiaOREVBdKaej1Q&#10;2/EpWBMLT1IOpY/IWsCTBvP9Amyw8CLJz3TwWytmLC5fmQYVxDekazs+BWzNwjPLwl8n1nG5y4hX&#10;e6S1GZ6CNMuVyjvFjGdSZgOq5oyJAl7ocCw8PmcZKU9eqnbSbJRiplm46jQzJoTgA7DBwjPyfIcD&#10;26me0chr5fGjEAvH+BTCBgtnKoU0JnH9OrGOzWUmEm9oi4anIA0fOOcJt56UJEGEU9uyvRqe8SRP&#10;ydUSyrg2dkFE3lH4rq5ZOElr51IaxcHPfOAa5yH7vvSB31z/dg8XBfMmOL2RDhqeSNAqldbUSvNc&#10;SnlF0DJj8iyCeXOo3RNGA7VHTNMOmCalWZaoTBijOpVpAqq+NKoR6YDVHZBzu+eLAmiteL3gA0f2&#10;yBSqhpDmDFknpJCloF5pFLxeSrMiFZwFJGruzIt4sPYwcL0HHH8bJ6eZ5OJ1Yx2frwzxRa9VbeKO&#10;41NQkG/kWLim64GwDk/X0fnK4Am+ghrCuncQj6NqpH8iaG04uCiESAfCmuHjnKR5KDuLx+cro/CT&#10;z1eG8UnSGlmDhTTuk5Qr5OEOsKYkwqChLR6hqwzKkRdrt+1H0TUcKKqQyAvXqtnLYAdMRYF3x+7m&#10;KFQz4tUerM3wFLLuHSh+og7rQOHOERgNyv6gFnO8bSRBI4mQp9bWYqmUJs24t7V0rFoE9IiayEtM&#10;HlFSnIbMmwjacbZRUDOVkQvFsO6EC4EcMjCIHmkkoEjF4I0NppM5UzIKotbW8wvxS+UcDKOw1sn+&#10;qYAYhgsFQekkEQOwSSkD2gHBjs9dBt/0FV3TJjA+69Fmta7isbllrxNrs/miYuH+oBa4639HJ/Pj&#10;HFYnE86OjIJ9k0T2ELQZnoKyLuzgNqiFUkyJ1NFLSa11Mh6QeYv4/GT+oJbxdYxm3Rrq1CYkCJkJ&#10;YZwxvVJGUBeUkxxKKRPOYxALVSO4cyWmQdV9zGekSnZmacENjmJ6H1WHtLRM9W9MYpp4qMfSwvAU&#10;Bk5leTCljPKdJlCzNbvsiRrMHaFqGN3BiNqZklEQtVayX4hpSedJGkvWSDygciyytHguBPL6L8xq&#10;kHqWpwGD1TAD7W6OB2yPB0VvArfvR4GtM0UzQPltrEMStjMwosCaxLLf+93H90YhTYGOlCE7VEPN&#10;JKz0IVlTmxSqNAjGw2PzlqlcYbmNuNa9j2Y80WPfldXk5bRdjKCE2RoOkSs5TP8VKKzFjwGVKwhx&#10;xLow/VnJ/PKz6WJEc3adi9Az69H0MMLYpnu1fN53L6nX0Tfbdx3KE51Hk9LLGRoWuXvZPMy7W6HP&#10;d+hk9EejjzwNelPhNvtP6/35UW42sC7tCsSx3RHd/4Oe7/zI7rpmCbrjuv/meCP6fvzIy6vjNuiB&#10;9RK7RcDg+TLXe1oPQqVEe7VVXZq+UbvtCX3X6u0OfSwoFNlPfNUm6nj6Wle0ZPX+t2qFhlG6FxgN&#10;HNv1p/d1O/tSUocn/WOaUtWHTWlH7Q6wh+pb1fPQ+St0p3JTMn3qxZTvBf3aGezBdF6lG7u5MxNz&#10;5tLejenuhh5peOiuxxsWxZ2kr9zsT+78PTrT6YuQ9m6ftlfkCT56d8vuVIKsWp9uPVEEC1ReWYMZ&#10;WjSaVekAWK9bsyxTecgMfmS1YL37xf+/72IDDPxIO71zlAhmheKELklgrsCIh82pkC2Gwp2zVAMT&#10;ugSddF3/unZy/6OOc6nmONEgrRVoJ4H71oJ23G76UVhD3UqRG2jBliBxaFaYsCfrDI0SMBxO3TLe&#10;mrjA9qjWGmznEhwFNoc5DDvZELbGWouE14R1dO5t7o9kYHgaWaNoGkq6gRrebW4qA86gZmiAm+Li&#10;oawoOGZik9b+SAbiTdOgTgpGjeu0uE4RtIAONuDgaB8LkRkOapcqFYtvBHF3nwreh+NH8e9CZakl&#10;aT/OF+0Fb11vZ7ZdNHIaHjDE3b0oTwti3DGWQ+fG3KR/c5RWmvyzc97NWEIHBOPdzsCIhqARCPbY&#10;1H04fhRBM3QuUTYHFIV3iGLohe2RhncFPelA88GQjsutrZVsD1Xb8SlyGsp3JnKrfCdofZ8NsIah&#10;hYKOkFg7nTMKqtaYesjajk/BGlY1+plQ8gix8JfBDmlVO60zCrBJWns8KGZ4GtQsl4VN+EXpBnyk&#10;13SNPOCAUKNJmn3CWKBG0aNPWptaSNJQR0lrKGZZpr/jA1SNaJbgxTXUedBE/sypnrFATR0APYpZ&#10;v+fHQY1ezwhxYu7XC3V0rjJish6o+yybcVBzriTlExPSqMIqkD8Gdtnr4ClLWZKBo4TSwZH3EhP/&#10;Jv2LlnsItR2fIqy5RJMxamZHWKNvOxJJLrHOUK+jQ1/BsI7LVaZ1bQ8Ht+NTsCZpDc+JcaN8A2wE&#10;y4OB7SLysUhr4Y92YHgK1L1f9AWcg/pFjZ0flV/Uw73J0nIm5zhBDb8oXCimjhZd2/G1K0PuDTmd&#10;U0OMYAQdl7cMmFJYaSiozfAUgiYXuATWRlBzdAtVmkP0ShmcZQWXIXm3Y1mx8G76ujof1M7kHEfV&#10;MsdXHUKzJ5UMSUUUk8bW6ZFOswIZKmeB6lsnG0EXtXs5CqS1mg0v9BBqOz6FrLULnGqxCesEWQlX&#10;DYvgAk9Dfm+W6cwQjazWmHpUMjs+BWvjArdfcfkNsAPGO6TjXFEQNsQyWUNDujbD06BmmepCWwWk&#10;tck86Fl4xhK4xSHNQ+ll0AljYuEEqSewZYYnIQ23KC/QIoU4+OtEOi5fGSCl9AEPTWN4EtKkgUv7&#10;ZaY5yNdoQWc0DVGNr2wISNPuAWPh3lRb4UPaeZFGKeBK4Cs4jEtUIjl42K4IZVsyQRl1ON7tHi8K&#10;nLXq5QHajk+haajflOyvmXdmyu0w3RlJswS2WEiS1uHUuLRvT0xLQ+2WYhRRk/aNL6Y1CSgvYx2S&#10;rONzlXmMapLfbiFGIs0KalSjqRqN59Cz6NJ/klGKYUinaN9kLQoGTpA6k9pUS5uh77Ju4sVnxdIG&#10;UhRLKySSXTBqVyhM9tRl/W9XgLd8ncXSlzf7IyXTl2d0BdDd/+vC6b4W2RRhXx5p1nR4zLJujhVW&#10;+MdLonXZM3SiF8uiTT2zmbPe/1BZtKeG2ZZFd9Og6Jj2yEXls61fHldM/SrKolEgvV48rQ96/ddt&#10;edhslx/KU3n+Xi/gouLNpqkfq/bdvwEAAP//AwBQSwMEFAAGAAgAAAAhABgNBmzdAAAABQEAAA8A&#10;AABkcnMvZG93bnJldi54bWxMj0FLw0AQhe+C/2EZwZvdpMUQ02xKKeqpCLaC9DbNTpPQ7GzIbpP0&#10;37t6qZeBx3u8902+mkwrBupdY1lBPItAEJdWN1wp+Nq/PaUgnEfW2FomBVdysCru73LMtB35k4ad&#10;r0QoYZehgtr7LpPSlTUZdDPbEQfvZHuDPsi+krrHMZSbVs6jKJEGGw4LNXa0qak87y5GwfuI43oR&#10;vw7b82lzPeyfP763MSn1+DCtlyA8Tf4Whl/8gA5FYDraC2snWgXhEf93g5fM0wTEUcFLmixAFrn8&#10;T1/8AAAA//8DAFBLAQItABQABgAIAAAAIQC2gziS/gAAAOEBAAATAAAAAAAAAAAAAAAAAAAAAABb&#10;Q29udGVudF9UeXBlc10ueG1sUEsBAi0AFAAGAAgAAAAhADj9If/WAAAAlAEAAAsAAAAAAAAAAAAA&#10;AAAALwEAAF9yZWxzLy5yZWxzUEsBAi0AFAAGAAgAAAAhAL6Shy3nDAAAO4wAAA4AAAAAAAAAAAAA&#10;AAAALgIAAGRycy9lMm9Eb2MueG1sUEsBAi0AFAAGAAgAAAAhABgNBmzdAAAABQEAAA8AAAAAAAAA&#10;AAAAAAAAQQ8AAGRycy9kb3ducmV2LnhtbFBLBQYAAAAABAAEAPMAAABLEAAAAAA=&#10;">
                <v:rect id="Rectangle 17295" o:spid="_x0000_s3122"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aO5xQAAAN4AAAAPAAAAZHJzL2Rvd25yZXYueG1sRE9Na8JA&#10;EL0L/Q/LFLzpRsFqo6uIIs3BS62FHofsmESzs0t2NWl/vVsQvM3jfc5i1Zla3KjxlWUFo2ECgji3&#10;uuJCwfFrN5iB8AFZY22ZFPySh9XypbfAVNuWP+l2CIWIIexTVFCG4FIpfV6SQT+0jjhyJ9sYDBE2&#10;hdQNtjHc1HKcJG/SYMWxoURHm5Lyy+FqFPxs2WW7Vuanv43bn7NZ/XE9fivVf+3WcxCBuvAUP9yZ&#10;jvOn4/cJ/L8Tb5DLOwAAAP//AwBQSwECLQAUAAYACAAAACEA2+H2y+4AAACFAQAAEwAAAAAAAAAA&#10;AAAAAAAAAAAAW0NvbnRlbnRfVHlwZXNdLnhtbFBLAQItABQABgAIAAAAIQBa9CxbvwAAABUBAAAL&#10;AAAAAAAAAAAAAAAAAB8BAABfcmVscy8ucmVsc1BLAQItABQABgAIAAAAIQDquaO5xQAAAN4AAAAP&#10;AAAAAAAAAAAAAAAAAAcCAABkcnMvZG93bnJldi54bWxQSwUGAAAAAAMAAwC3AAAA+QIAAAAA&#10;" filled="f" stroked="f">
                  <v:textbox inset="0,0,0,0">
                    <w:txbxContent>
                      <w:p w14:paraId="77C3AF63" w14:textId="77777777" w:rsidR="00B32EF2" w:rsidRDefault="00000000">
                        <w:r>
                          <w:rPr>
                            <w:rFonts w:ascii="Times New Roman" w:eastAsia="Times New Roman" w:hAnsi="Times New Roman" w:cs="Times New Roman"/>
                          </w:rPr>
                          <w:t>74</w:t>
                        </w:r>
                      </w:p>
                    </w:txbxContent>
                  </v:textbox>
                </v:rect>
                <v:rect id="Rectangle 17296" o:spid="_x0000_s3123" style="position:absolute;left:32637;top:61199;width:72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z3OxAAAAN4AAAAPAAAAZHJzL2Rvd25yZXYueG1sRE9Ni8Iw&#10;EL0v+B/CCN401YPrdo0iitiDl1UX9jg0Y1ttJqGJtvrrNwvC3ubxPme+7Ewt7tT4yrKC8SgBQZxb&#10;XXGh4HTcDmcgfEDWWFsmBQ/ysFz03uaYatvyF90PoRAxhH2KCsoQXCqlz0sy6EfWEUfubBuDIcKm&#10;kLrBNoabWk6SZCoNVhwbSnS0Lim/Hm5Gwc+GXbZtZX5+rt3+ks3q3e30rdSg360+QQTqwr/45c50&#10;nP8++ZjC3zvxBrn4BQAA//8DAFBLAQItABQABgAIAAAAIQDb4fbL7gAAAIUBAAATAAAAAAAAAAAA&#10;AAAAAAAAAABbQ29udGVudF9UeXBlc10ueG1sUEsBAi0AFAAGAAgAAAAhAFr0LFu/AAAAFQEAAAsA&#10;AAAAAAAAAAAAAAAAHwEAAF9yZWxzLy5yZWxzUEsBAi0AFAAGAAgAAAAhABprPc7EAAAA3gAAAA8A&#10;AAAAAAAAAAAAAAAABwIAAGRycy9kb3ducmV2LnhtbFBLBQYAAAAAAwADALcAAAD4AgAAAAA=&#10;" filled="f" stroked="f">
                  <v:textbox inset="0,0,0,0">
                    <w:txbxContent>
                      <w:p w14:paraId="23E04C82" w14:textId="77777777" w:rsidR="00B32EF2" w:rsidRDefault="00000000">
                        <w:r>
                          <w:rPr>
                            <w:rFonts w:ascii="Arial" w:eastAsia="Arial" w:hAnsi="Arial" w:cs="Arial"/>
                            <w:sz w:val="18"/>
                          </w:rPr>
                          <w:t>segreteria.</w:t>
                        </w:r>
                      </w:p>
                    </w:txbxContent>
                  </v:textbox>
                </v:rect>
                <v:rect id="Rectangle 200587" o:spid="_x0000_s3124" style="position:absolute;left:26348;top:59966;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vndxwAAAN8AAAAPAAAAZHJzL2Rvd25yZXYueG1sRI9Ba8JA&#10;FITvgv9heUJvummhNaRuQrFIc/BSa6HHR/aZRLNvl+xqUn99tyB4HGbmG2ZVjKYTF+p9a1nB4yIB&#10;QVxZ3XKtYP+1macgfEDW2FkmBb/kocinkxVm2g78SZddqEWEsM9QQROCy6T0VUMG/cI64ugdbG8w&#10;RNnXUvc4RLjp5FOSvEiDLceFBh2tG6pOu7NR8PPOrtwMsjpc1257LNPu47z/VuphNr69ggg0hnv4&#10;1i61gkh8Tpfw/yd+AZn/AQAA//8DAFBLAQItABQABgAIAAAAIQDb4fbL7gAAAIUBAAATAAAAAAAA&#10;AAAAAAAAAAAAAABbQ29udGVudF9UeXBlc10ueG1sUEsBAi0AFAAGAAgAAAAhAFr0LFu/AAAAFQEA&#10;AAsAAAAAAAAAAAAAAAAAHwEAAF9yZWxzLy5yZWxzUEsBAi0AFAAGAAgAAAAhANA6+d3HAAAA3wAA&#10;AA8AAAAAAAAAAAAAAAAABwIAAGRycy9kb3ducmV2LnhtbFBLBQYAAAAAAwADALcAAAD7AgAAAAA=&#10;" filled="f" stroked="f">
                  <v:textbox inset="0,0,0,0">
                    <w:txbxContent>
                      <w:p w14:paraId="3653F100" w14:textId="77777777" w:rsidR="00B32EF2" w:rsidRDefault="00000000">
                        <w:r>
                          <w:rPr>
                            <w:rFonts w:ascii="Arial" w:eastAsia="Arial" w:hAnsi="Arial" w:cs="Arial"/>
                            <w:sz w:val="18"/>
                          </w:rPr>
                          <w:t>2</w:t>
                        </w:r>
                      </w:p>
                    </w:txbxContent>
                  </v:textbox>
                </v:rect>
                <v:rect id="Rectangle 200590" o:spid="_x0000_s3125" style="position:absolute;left:-12855;top:59966;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vd0xwAAAN8AAAAPAAAAZHJzL2Rvd25yZXYueG1sRI9Ba8JA&#10;EIXvhf6HZQq91U0LLTa6ilikOfSiVfA4ZMckmp1dsqtJ++udg+BxePO+xzedD65VF+pi49nA6ygD&#10;RVx623BlYPu7ehmDignZYuuZDPxRhPns8WGKufU9r+mySZUSCMccDdQphVzrWNbkMI58IJbs4DuH&#10;Sc6u0rbDXuCu1W9Z9qEdNiwLNQZa1lSeNmdnYP/FoVj1ujz8L8PPsRi33+ftzpjnp2ExAZVoSPfn&#10;W7uwBoT4/ikG4iMuoGdXAAAA//8DAFBLAQItABQABgAIAAAAIQDb4fbL7gAAAIUBAAATAAAAAAAA&#10;AAAAAAAAAAAAAABbQ29udGVudF9UeXBlc10ueG1sUEsBAi0AFAAGAAgAAAAhAFr0LFu/AAAAFQEA&#10;AAsAAAAAAAAAAAAAAAAAHwEAAF9yZWxzLy5yZWxzUEsBAi0AFAAGAAgAAAAhANoK93THAAAA3wAA&#10;AA8AAAAAAAAAAAAAAAAABwIAAGRycy9kb3ducmV2LnhtbFBLBQYAAAAAAwADALcAAAD7AgAAAAA=&#10;" filled="f" stroked="f">
                  <v:textbox inset="0,0,0,0">
                    <w:txbxContent>
                      <w:p w14:paraId="450BACFD" w14:textId="77777777" w:rsidR="00B32EF2" w:rsidRDefault="00000000">
                        <w:r>
                          <w:rPr>
                            <w:rFonts w:ascii="Arial" w:eastAsia="Arial" w:hAnsi="Arial" w:cs="Arial"/>
                            <w:sz w:val="18"/>
                          </w:rPr>
                          <w:t>. Il reclamante, nel termine perentorio di quindici giorni dall’ultima notifica</w:t>
                        </w:r>
                      </w:p>
                    </w:txbxContent>
                  </v:textbox>
                </v:rect>
                <v:rect id="Rectangle 17298" o:spid="_x0000_s3126" style="position:absolute;left:191;top:59966;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AwnyAAAAN4AAAAPAAAAZHJzL2Rvd25yZXYueG1sRI9Pb8Iw&#10;DMXvk/YdIk/iNlI4MNYREGJC62EX/kza0WpM261xoibQbp8eH5C42XrP7/28WA2uVRfqYuPZwGSc&#10;gSIuvW24MnA8bJ/noGJCtth6JgN/FGG1fHxYYG59zzu67FOlJIRjjgbqlEKudSxrchjHPhCLdvKd&#10;wyRrV2nbYS/hrtXTLJtphw1LQ42BNjWVv/uzM/D9zqHY9ro8/W/C508xbz/Oxy9jRk/D+g1UoiHd&#10;zbfrwgr+y/RVeOUdmUEvrwAAAP//AwBQSwECLQAUAAYACAAAACEA2+H2y+4AAACFAQAAEwAAAAAA&#10;AAAAAAAAAAAAAAAAW0NvbnRlbnRfVHlwZXNdLnhtbFBLAQItABQABgAIAAAAIQBa9CxbvwAAABUB&#10;AAALAAAAAAAAAAAAAAAAAB8BAABfcmVscy8ucmVsc1BLAQItABQABgAIAAAAIQAEuAwnyAAAAN4A&#10;AAAPAAAAAAAAAAAAAAAAAAcCAABkcnMvZG93bnJldi54bWxQSwUGAAAAAAMAAwC3AAAA/AIAAAAA&#10;" filled="f" stroked="f">
                  <v:textbox inset="0,0,0,0">
                    <w:txbxContent>
                      <w:p w14:paraId="2B6DD48C" w14:textId="77777777" w:rsidR="00B32EF2" w:rsidRDefault="00000000">
                        <w:r>
                          <w:rPr>
                            <w:rFonts w:ascii="Arial" w:eastAsia="Arial" w:hAnsi="Arial" w:cs="Arial"/>
                            <w:sz w:val="18"/>
                          </w:rPr>
                          <w:t>-</w:t>
                        </w:r>
                      </w:p>
                    </w:txbxContent>
                  </v:textbox>
                </v:rect>
                <v:rect id="Rectangle 17299" o:spid="_x0000_s3127" style="position:absolute;left:-13170;top:58733;width:5308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Km8xAAAAN4AAAAPAAAAZHJzL2Rvd25yZXYueG1sRE9Ni8Iw&#10;EL0L/ocwgjdN9eBq1yiiiD3sZV0X9jg0Y1ttJqGJtvrrNwsL3ubxPme57kwt7tT4yrKCyTgBQZxb&#10;XXGh4PS1H81B+ICssbZMCh7kYb3q95aYatvyJ92PoRAxhH2KCsoQXCqlz0sy6MfWEUfubBuDIcKm&#10;kLrBNoabWk6TZCYNVhwbSnS0LSm/Hm9Gwc+OXbZvZX5+bt3HJZvXh9vpW6nhoNu8gwjUhZf4353p&#10;OP9tuljA3zvxBrn6BQAA//8DAFBLAQItABQABgAIAAAAIQDb4fbL7gAAAIUBAAATAAAAAAAAAAAA&#10;AAAAAAAAAABbQ29udGVudF9UeXBlc10ueG1sUEsBAi0AFAAGAAgAAAAhAFr0LFu/AAAAFQEAAAsA&#10;AAAAAAAAAAAAAAAAHwEAAF9yZWxzLy5yZWxzUEsBAi0AFAAGAAgAAAAhAGv0qbzEAAAA3gAAAA8A&#10;AAAAAAAAAAAAAAAABwIAAGRycy9kb3ducmV2LnhtbFBLBQYAAAAAAwADALcAAAD4AgAAAAA=&#10;" filled="f" stroked="f">
                  <v:textbox inset="0,0,0,0">
                    <w:txbxContent>
                      <w:p w14:paraId="54DD3164" w14:textId="77777777" w:rsidR="00B32EF2" w:rsidRDefault="00000000">
                        <w:r>
                          <w:rPr>
                            <w:rFonts w:ascii="Arial" w:eastAsia="Arial" w:hAnsi="Arial" w:cs="Arial"/>
                            <w:sz w:val="18"/>
                          </w:rPr>
                          <w:t xml:space="preserve">zione, a pena d’inammissibilità rilevabile d’ufficio, effettua il deposito secondo </w:t>
                        </w:r>
                      </w:p>
                    </w:txbxContent>
                  </v:textbox>
                </v:rect>
                <v:rect id="Rectangle 17300" o:spid="_x0000_s3128" style="position:absolute;left:9152;top:57499;width:307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Zo7xwAAAN4AAAAPAAAAZHJzL2Rvd25yZXYueG1sRI9Ba8JA&#10;EIXvhf6HZQre6sYWrKSuIhZpDr1oLfQ4ZMckmp1dsquJ/fXOQehthnnz3vvmy8G16kJdbDwbmIwz&#10;UMSltw1XBvbfm+cZqJiQLbaeycCVIiwXjw9zzK3veUuXXaqUmHDM0UCdUsi1jmVNDuPYB2K5HXzn&#10;MMnaVdp22Iu5a/VLlk21w4YlocZA65rK0+7sDPx+cCg2vS4Pf+vwdSxm7ed5/2PM6GlYvYNKNKR/&#10;8f27sFL/7TUTAMGRGfTiBgAA//8DAFBLAQItABQABgAIAAAAIQDb4fbL7gAAAIUBAAATAAAAAAAA&#10;AAAAAAAAAAAAAABbQ29udGVudF9UeXBlc10ueG1sUEsBAi0AFAAGAAgAAAAhAFr0LFu/AAAAFQEA&#10;AAsAAAAAAAAAAAAAAAAAHwEAAF9yZWxzLy5yZWxzUEsBAi0AFAAGAAgAAAAhAGQlmjvHAAAA3gAA&#10;AA8AAAAAAAAAAAAAAAAABwIAAGRycy9kb3ducmV2LnhtbFBLBQYAAAAAAwADALcAAAD7AgAAAAA=&#10;" filled="f" stroked="f">
                  <v:textbox inset="0,0,0,0">
                    <w:txbxContent>
                      <w:p w14:paraId="14CF2EA8" w14:textId="77777777" w:rsidR="00B32EF2" w:rsidRDefault="00000000">
                        <w:r>
                          <w:rPr>
                            <w:rFonts w:ascii="Arial" w:eastAsia="Arial" w:hAnsi="Arial" w:cs="Arial"/>
                            <w:sz w:val="18"/>
                          </w:rPr>
                          <w:t>quanto disposto dall’articolo 68, commi 1 e 3.</w:t>
                        </w:r>
                      </w:p>
                    </w:txbxContent>
                  </v:textbox>
                </v:rect>
                <v:rect id="Rectangle 200585" o:spid="_x0000_s3129" style="position:absolute;left:-13816;top:56266;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MIxxwAAAN8AAAAPAAAAZHJzL2Rvd25yZXYueG1sRI9Pa8JA&#10;FMTvBb/D8gRvdVNBCakbKYqYQy9ahR4f2Zc/bfbtkl1N2k/fFYQeh5n5DbPejKYTN+p9a1nByzwB&#10;QVxa3XKt4Pyxf05B+ICssbNMCn7IwyafPK0x03bgI91OoRYRwj5DBU0ILpPSlw0Z9HPriKNX2d5g&#10;iLKvpe5xiHDTyUWSrKTBluNCg462DZXfp6tR8LljV+wHWVa/W/f+VaTd4Xq+KDWbjm+vIAKN4T/8&#10;aBdaQSQu0yXc/8QvIPM/AAAA//8DAFBLAQItABQABgAIAAAAIQDb4fbL7gAAAIUBAAATAAAAAAAA&#10;AAAAAAAAAAAAAABbQ29udGVudF9UeXBlc10ueG1sUEsBAi0AFAAGAAgAAAAhAFr0LFu/AAAAFQEA&#10;AAsAAAAAAAAAAAAAAAAAHwEAAF9yZWxzLy5yZWxzUEsBAi0AFAAGAAgAAAAhAE+kwjHHAAAA3wAA&#10;AA8AAAAAAAAAAAAAAAAABwIAAGRycy9kb3ducmV2LnhtbFBLBQYAAAAAAwADALcAAAD7AgAAAAA=&#10;" filled="f" stroked="f">
                  <v:textbox inset="0,0,0,0">
                    <w:txbxContent>
                      <w:p w14:paraId="369B35B1" w14:textId="77777777" w:rsidR="00B32EF2" w:rsidRDefault="00000000">
                        <w:r>
                          <w:rPr>
                            <w:rFonts w:ascii="Arial" w:eastAsia="Arial" w:hAnsi="Arial" w:cs="Arial"/>
                            <w:sz w:val="18"/>
                          </w:rPr>
                          <w:t xml:space="preserve">. Nei successivi quindici giorni dalla notifica del reclamo le altre parti possono </w:t>
                        </w:r>
                      </w:p>
                    </w:txbxContent>
                  </v:textbox>
                </v:rect>
                <v:rect id="Rectangle 200584" o:spid="_x0000_s3130" style="position:absolute;left:26109;top:562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GeqxwAAAN8AAAAPAAAAZHJzL2Rvd25yZXYueG1sRI9Ba8JA&#10;FITvgv9heUJvumlpJaRuQrFIc/BSa6HHR/aZRLNvl+xqUn99tyB4HGbmG2ZVjKYTF+p9a1nB4yIB&#10;QVxZ3XKtYP+1macgfEDW2FkmBb/kocinkxVm2g78SZddqEWEsM9QQROCy6T0VUMG/cI64ugdbG8w&#10;RNnXUvc4RLjp5FOSLKXBluNCg47WDVWn3dko+HlnV24GWR2ua7c9lmn3cd5/K/UwG99eQQQawz18&#10;a5daQSS+pM/w/yd+AZn/AQAA//8DAFBLAQItABQABgAIAAAAIQDb4fbL7gAAAIUBAAATAAAAAAAA&#10;AAAAAAAAAAAAAABbQ29udGVudF9UeXBlc10ueG1sUEsBAi0AFAAGAAgAAAAhAFr0LFu/AAAAFQEA&#10;AAsAAAAAAAAAAAAAAAAAHwEAAF9yZWxzLy5yZWxzUEsBAi0AFAAGAAgAAAAhACDoZ6rHAAAA3wAA&#10;AA8AAAAAAAAAAAAAAAAABwIAAGRycy9kb3ducmV2LnhtbFBLBQYAAAAAAwADALcAAAD7AgAAAAA=&#10;" filled="f" stroked="f">
                  <v:textbox inset="0,0,0,0">
                    <w:txbxContent>
                      <w:p w14:paraId="4E05DD22" w14:textId="77777777" w:rsidR="00B32EF2" w:rsidRDefault="00000000">
                        <w:r>
                          <w:rPr>
                            <w:rFonts w:ascii="Arial" w:eastAsia="Arial" w:hAnsi="Arial" w:cs="Arial"/>
                            <w:sz w:val="18"/>
                          </w:rPr>
                          <w:t>3</w:t>
                        </w:r>
                      </w:p>
                    </w:txbxContent>
                  </v:textbox>
                </v:rect>
                <v:rect id="Rectangle 17302" o:spid="_x0000_s3131" style="position:absolute;left:25701;top:55033;width:142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6HXxQAAAN4AAAAPAAAAZHJzL2Rvd25yZXYueG1sRE9La8JA&#10;EL4X+h+WKfRWN1WokrqRYhFz8KKm0OOQnTza7OySXU3qr+8Kgrf5+J6zXI2mE2fqfWtZweskAUFc&#10;Wt1yraA4bl4WIHxA1thZJgV/5GGVPT4sMdV24D2dD6EWMYR9igqaEFwqpS8bMugn1hFHrrK9wRBh&#10;X0vd4xDDTSenSfImDbYcGxp0tG6o/D2cjILvT3b5ZpBldVm73U++6Lan4kup56fx4x1EoDHcxTd3&#10;ruP8+SyZwvWdeIPM/gEAAP//AwBQSwECLQAUAAYACAAAACEA2+H2y+4AAACFAQAAEwAAAAAAAAAA&#10;AAAAAAAAAAAAW0NvbnRlbnRfVHlwZXNdLnhtbFBLAQItABQABgAIAAAAIQBa9CxbvwAAABUBAAAL&#10;AAAAAAAAAAAAAAAAAB8BAABfcmVscy8ucmVsc1BLAQItABQABgAIAAAAIQD7u6HXxQAAAN4AAAAP&#10;AAAAAAAAAAAAAAAAAAcCAABkcnMvZG93bnJldi54bWxQSwUGAAAAAAMAAwC3AAAA+QIAAAAA&#10;" filled="f" stroked="f">
                  <v:textbox inset="0,0,0,0">
                    <w:txbxContent>
                      <w:p w14:paraId="1665002A" w14:textId="77777777" w:rsidR="00B32EF2" w:rsidRDefault="00000000">
                        <w:r>
                          <w:rPr>
                            <w:rFonts w:ascii="Arial" w:eastAsia="Arial" w:hAnsi="Arial" w:cs="Arial"/>
                            <w:sz w:val="18"/>
                          </w:rPr>
                          <w:t>presentare memorie.</w:t>
                        </w:r>
                      </w:p>
                    </w:txbxContent>
                  </v:textbox>
                </v:rect>
                <v:rect id="Rectangle 200582" o:spid="_x0000_s3132" style="position:absolute;left:-13804;top:537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VpFxgAAAN8AAAAPAAAAZHJzL2Rvd25yZXYueG1sRI9Ba8JA&#10;FITvhf6H5RV6q5sKlRBdpShiDr1oI3h8ZJ9JNPt2ya4m9de7gtDjMDPfMLPFYFpxpc43lhV8jhIQ&#10;xKXVDVcKit/1RwrCB2SNrWVS8EceFvPXlxlm2va8pesuVCJC2GeooA7BZVL6siaDfmQdcfSOtjMY&#10;ouwqqTvsI9y0cpwkE2mw4bhQo6NlTeV5dzEKDit2+bqX5fG2dD+nPG03l2Kv1Pvb8D0FEWgI/+Fn&#10;O9cKIvErHcPjT/wCcn4HAAD//wMAUEsBAi0AFAAGAAgAAAAhANvh9svuAAAAhQEAABMAAAAAAAAA&#10;AAAAAAAAAAAAAFtDb250ZW50X1R5cGVzXS54bWxQSwECLQAUAAYACAAAACEAWvQsW78AAAAVAQAA&#10;CwAAAAAAAAAAAAAAAAAfAQAAX3JlbHMvLnJlbHNQSwECLQAUAAYACAAAACEAwE1aRcYAAADfAAAA&#10;DwAAAAAAAAAAAAAAAAAHAgAAZHJzL2Rvd25yZXYueG1sUEsFBgAAAAADAAMAtwAAAPoCAAAAAA==&#10;" filled="f" stroked="f">
                  <v:textbox inset="0,0,0,0">
                    <w:txbxContent>
                      <w:p w14:paraId="67DF91AD" w14:textId="77777777" w:rsidR="00B32EF2" w:rsidRDefault="00000000">
                        <w:r>
                          <w:rPr>
                            <w:rFonts w:ascii="Arial" w:eastAsia="Arial" w:hAnsi="Arial" w:cs="Arial"/>
                            <w:sz w:val="18"/>
                          </w:rPr>
                          <w:t xml:space="preserve">. Scaduti i termini, la corte di giustizia tributaria decide immediatamente il </w:t>
                        </w:r>
                      </w:p>
                    </w:txbxContent>
                  </v:textbox>
                </v:rect>
                <v:rect id="Rectangle 200581" o:spid="_x0000_s3133" style="position:absolute;left:26109;top:53799;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8QyxwAAAN8AAAAPAAAAZHJzL2Rvd25yZXYueG1sRI9Pa8JA&#10;FMTvBb/D8oTe6sZCJaRuRBRpDl60Cj0+si9/NPt2ya4m9tN3C4Ueh5n5DbNcjaYTd+p9a1nBfJaA&#10;IC6tbrlWcPrcvaQgfEDW2FkmBQ/ysMonT0vMtB34QPdjqEWEsM9QQROCy6T0ZUMG/cw64uhVtjcY&#10;ouxrqXscItx08jVJFtJgy3GhQUebhsrr8WYUfG3ZFbtBltX3xu0vRdp93E5npZ6n4/odRKAx/If/&#10;2oVWEIlv6Rx+/8QvIPMfAAAA//8DAFBLAQItABQABgAIAAAAIQDb4fbL7gAAAIUBAAATAAAAAAAA&#10;AAAAAAAAAAAAAABbQ29udGVudF9UeXBlc10ueG1sUEsBAi0AFAAGAAgAAAAhAFr0LFu/AAAAFQEA&#10;AAsAAAAAAAAAAAAAAAAAHwEAAF9yZWxzLy5yZWxzUEsBAi0AFAAGAAgAAAAhADCfxDLHAAAA3wAA&#10;AA8AAAAAAAAAAAAAAAAABwIAAGRycy9kb3ducmV2LnhtbFBLBQYAAAAAAwADALcAAAD7AgAAAAA=&#10;" filled="f" stroked="f">
                  <v:textbox inset="0,0,0,0">
                    <w:txbxContent>
                      <w:p w14:paraId="075EDFC8" w14:textId="77777777" w:rsidR="00B32EF2" w:rsidRDefault="00000000">
                        <w:r>
                          <w:rPr>
                            <w:rFonts w:ascii="Arial" w:eastAsia="Arial" w:hAnsi="Arial" w:cs="Arial"/>
                            <w:sz w:val="18"/>
                          </w:rPr>
                          <w:t>4</w:t>
                        </w:r>
                      </w:p>
                    </w:txbxContent>
                  </v:textbox>
                </v:rect>
                <v:rect id="Rectangle 17304" o:spid="_x0000_s3134" style="position:absolute;left:18778;top:52566;width:211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pw4xQAAAN4AAAAPAAAAZHJzL2Rvd25yZXYueG1sRE9LawIx&#10;EL4L/Q9hCr252T6wshqlWMQ99KK14HHYzD50Mwmb6K799Y0g9DYf33Pmy8G04kKdbywreE5SEMSF&#10;1Q1XCvbf6/EUhA/IGlvLpOBKHpaLh9EcM2173tJlFyoRQ9hnqKAOwWVS+qImgz6xjjhype0Mhgi7&#10;SuoO+xhuWvmSphNpsOHYUKOjVU3FaXc2Cg6f7PJ1L4vyd+W+jvm03Zz3P0o9PQ4fMxCBhvAvvrtz&#10;Hee/v6ZvcHsn3iAXfwAAAP//AwBQSwECLQAUAAYACAAAACEA2+H2y+4AAACFAQAAEwAAAAAAAAAA&#10;AAAAAAAAAAAAW0NvbnRlbnRfVHlwZXNdLnhtbFBLAQItABQABgAIAAAAIQBa9CxbvwAAABUBAAAL&#10;AAAAAAAAAAAAAAAAAB8BAABfcmVscy8ucmVsc1BLAQItABQABgAIAAAAIQAbHpw4xQAAAN4AAAAP&#10;AAAAAAAAAAAAAAAAAAcCAABkcnMvZG93bnJldi54bWxQSwUGAAAAAAMAAwC3AAAA+QIAAAAA&#10;" filled="f" stroked="f">
                  <v:textbox inset="0,0,0,0">
                    <w:txbxContent>
                      <w:p w14:paraId="065124F9" w14:textId="77777777" w:rsidR="00B32EF2" w:rsidRDefault="00000000">
                        <w:r>
                          <w:rPr>
                            <w:rFonts w:ascii="Arial" w:eastAsia="Arial" w:hAnsi="Arial" w:cs="Arial"/>
                            <w:sz w:val="18"/>
                          </w:rPr>
                          <w:t>reclamo in camera di consiglio.</w:t>
                        </w:r>
                      </w:p>
                    </w:txbxContent>
                  </v:textbox>
                </v:rect>
                <v:rect id="Rectangle 200580" o:spid="_x0000_s3135" style="position:absolute;left:-13807;top:51333;width:530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2GpxwAAAN8AAAAPAAAAZHJzL2Rvd25yZXYueG1sRI/LasMw&#10;EEX3hf6DmEJ2jdxCgnGjhJIS4kU3zQO6HKyJ7dYaCUuJnX59ZxHIcrhzz+UsVqPr1IX62Ho28DLN&#10;QBFX3rZcGzjsN885qJiQLXaeycCVIqyWjw8LLKwf+Isuu1QrgXAs0ECTUii0jlVDDuPUB2LJTr53&#10;mOTsa217HATuOv2aZXPtsGVZaDDQuqHqd3d2Br4/OJSbQVenv3X4/Cnzbns+HI2ZPI3vb6ASjen+&#10;fGuX1oAQZ7kYiI+4gF7+AwAA//8DAFBLAQItABQABgAIAAAAIQDb4fbL7gAAAIUBAAATAAAAAAAA&#10;AAAAAAAAAAAAAABbQ29udGVudF9UeXBlc10ueG1sUEsBAi0AFAAGAAgAAAAhAFr0LFu/AAAAFQEA&#10;AAsAAAAAAAAAAAAAAAAAHwEAAF9yZWxzLy5yZWxzUEsBAi0AFAAGAAgAAAAhAF/TYanHAAAA3wAA&#10;AA8AAAAAAAAAAAAAAAAABwIAAGRycy9kb3ducmV2LnhtbFBLBQYAAAAAAwADALcAAAD7AgAAAAA=&#10;" filled="f" stroked="f">
                  <v:textbox inset="0,0,0,0">
                    <w:txbxContent>
                      <w:p w14:paraId="22227CFB" w14:textId="77777777" w:rsidR="00B32EF2" w:rsidRDefault="00000000">
                        <w:r>
                          <w:rPr>
                            <w:rFonts w:ascii="Arial" w:eastAsia="Arial" w:hAnsi="Arial" w:cs="Arial"/>
                            <w:sz w:val="18"/>
                          </w:rPr>
                          <w:t xml:space="preserve">. La corte di giustizia tributaria pronuncia sentenza se dichiara l’inammissibilità </w:t>
                        </w:r>
                      </w:p>
                    </w:txbxContent>
                  </v:textbox>
                </v:rect>
                <v:rect id="Rectangle 200579" o:spid="_x0000_s3136" style="position:absolute;left:26117;top:51333;width:530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LgTxwAAAN8AAAAPAAAAZHJzL2Rvd25yZXYueG1sRI9Ba8JA&#10;FITvgv9heYI33Viw1egqYpHm0ItWweMj+0yi2bdLdjVpf31XKPQ4zMw3zHLdmVo8qPGVZQWTcQKC&#10;OLe64kLB8Ws3moHwAVljbZkUfJOH9arfW2Kqbct7ehxCISKEfYoKyhBcKqXPSzLox9YRR+9iG4Mh&#10;yqaQusE2wk0tX5LkVRqsOC6U6GhbUn473I2C8zu7bNfK/PKzdZ/XbFZ/3I8npYaDbrMAEagL/+G/&#10;dqYVROL0bQ7PP/ELyNUvAAAA//8DAFBLAQItABQABgAIAAAAIQDb4fbL7gAAAIUBAAATAAAAAAAA&#10;AAAAAAAAAAAAAABbQ29udGVudF9UeXBlc10ueG1sUEsBAi0AFAAGAAgAAAAhAFr0LFu/AAAAFQEA&#10;AAsAAAAAAAAAAAAAAAAAHwEAAF9yZWxzLy5yZWxzUEsBAi0AFAAGAAgAAAAhAPs8uBPHAAAA3wAA&#10;AA8AAAAAAAAAAAAAAAAABwIAAGRycy9kb3ducmV2LnhtbFBLBQYAAAAAAwADALcAAAD7AgAAAAA=&#10;" filled="f" stroked="f">
                  <v:textbox inset="0,0,0,0">
                    <w:txbxContent>
                      <w:p w14:paraId="3E286BD2" w14:textId="77777777" w:rsidR="00B32EF2" w:rsidRDefault="00000000">
                        <w:r>
                          <w:rPr>
                            <w:rFonts w:ascii="Arial" w:eastAsia="Arial" w:hAnsi="Arial" w:cs="Arial"/>
                            <w:sz w:val="18"/>
                          </w:rPr>
                          <w:t>5</w:t>
                        </w:r>
                      </w:p>
                    </w:txbxContent>
                  </v:textbox>
                </v:rect>
                <v:rect id="Rectangle 17306" o:spid="_x0000_s3137" style="position:absolute;left:-12220;top:50099;width:520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KfUxQAAAN4AAAAPAAAAZHJzL2Rvd25yZXYueG1sRE9LawIx&#10;EL4L/Q9hCt402wpWVrNSLNI99OKj0OOwmX3YzSRsorv66xuh4G0+vues1oNpxYU631hW8DJNQBAX&#10;VjdcKTgetpMFCB+QNbaWScGVPKyzp9EKU2173tFlHyoRQ9inqKAOwaVS+qImg35qHXHkStsZDBF2&#10;ldQd9jHctPI1SebSYMOxoUZHm5qK3/3ZKPj5YJdve1mUt437OuWL9vN8/FZq/Dy8L0EEGsJD/O/O&#10;dZz/NkvmcH8n3iCzPwAAAP//AwBQSwECLQAUAAYACAAAACEA2+H2y+4AAACFAQAAEwAAAAAAAAAA&#10;AAAAAAAAAAAAW0NvbnRlbnRfVHlwZXNdLnhtbFBLAQItABQABgAIAAAAIQBa9CxbvwAAABUBAAAL&#10;AAAAAAAAAAAAAAAAAB8BAABfcmVscy8ucmVsc1BLAQItABQABgAIAAAAIQCEgKfUxQAAAN4AAAAP&#10;AAAAAAAAAAAAAAAAAAcCAABkcnMvZG93bnJldi54bWxQSwUGAAAAAAMAAwC3AAAA+QIAAAAA&#10;" filled="f" stroked="f">
                  <v:textbox inset="0,0,0,0">
                    <w:txbxContent>
                      <w:p w14:paraId="085D4D4D" w14:textId="77777777" w:rsidR="00B32EF2" w:rsidRDefault="00000000">
                        <w:r>
                          <w:rPr>
                            <w:rFonts w:ascii="Arial" w:eastAsia="Arial" w:hAnsi="Arial" w:cs="Arial"/>
                            <w:sz w:val="18"/>
                          </w:rPr>
                          <w:t>del ricorso o l’estinzione del processo; negli altri casi pronuncia ordinanza non im</w:t>
                        </w:r>
                      </w:p>
                    </w:txbxContent>
                  </v:textbox>
                </v:rect>
                <v:rect id="Rectangle 17307" o:spid="_x0000_s3138" style="position:absolute;left:191;top:50099;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AJPxQAAAN4AAAAPAAAAZHJzL2Rvd25yZXYueG1sRE9LawIx&#10;EL4L/Q9hCt402wpVVrNSLNI99KK10OOwmX3YzSRsorv6640g9DYf33NW68G04kydbywreJkmIIgL&#10;qxuuFBy+t5MFCB+QNbaWScGFPKyzp9EKU2173tF5HyoRQ9inqKAOwaVS+qImg35qHXHkStsZDBF2&#10;ldQd9jHctPI1Sd6kwYZjQ42ONjUVf/uTUfD7wS7f9rIorxv3dcwX7efp8KPU+Hl4X4IINIR/8cOd&#10;6zh/PkvmcH8n3iCzGwAAAP//AwBQSwECLQAUAAYACAAAACEA2+H2y+4AAACFAQAAEwAAAAAAAAAA&#10;AAAAAAAAAAAAW0NvbnRlbnRfVHlwZXNdLnhtbFBLAQItABQABgAIAAAAIQBa9CxbvwAAABUBAAAL&#10;AAAAAAAAAAAAAAAAAB8BAABfcmVscy8ucmVsc1BLAQItABQABgAIAAAAIQDrzAJPxQAAAN4AAAAP&#10;AAAAAAAAAAAAAAAAAAcCAABkcnMvZG93bnJldi54bWxQSwUGAAAAAAMAAwC3AAAA+QIAAAAA&#10;" filled="f" stroked="f">
                  <v:textbox inset="0,0,0,0">
                    <w:txbxContent>
                      <w:p w14:paraId="73341E84" w14:textId="77777777" w:rsidR="00B32EF2" w:rsidRDefault="00000000">
                        <w:r>
                          <w:rPr>
                            <w:rFonts w:ascii="Arial" w:eastAsia="Arial" w:hAnsi="Arial" w:cs="Arial"/>
                            <w:sz w:val="18"/>
                          </w:rPr>
                          <w:t>-</w:t>
                        </w:r>
                      </w:p>
                    </w:txbxContent>
                  </v:textbox>
                </v:rect>
                <v:rect id="Rectangle 17308" o:spid="_x0000_s3139" style="position:absolute;left:-12746;top:48866;width:526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5Y9xwAAAN4AAAAPAAAAZHJzL2Rvd25yZXYueG1sRI9Ba8JA&#10;EIXvhf6HZQre6sYWrKSuIhZpDr1oLfQ4ZMckmp1dsquJ/fXOQehthvfmvW/my8G16kJdbDwbmIwz&#10;UMSltw1XBvbfm+cZqJiQLbaeycCVIiwXjw9zzK3veUuXXaqUhHDM0UCdUsi1jmVNDuPYB2LRDr5z&#10;mGTtKm077CXctfoly6baYcPSUGOgdU3laXd2Bn4/OBSbXpeHv3X4Ohaz9vO8/zFm9DSs3kElGtK/&#10;+X5dWMF/e82EV96RGfTiBgAA//8DAFBLAQItABQABgAIAAAAIQDb4fbL7gAAAIUBAAATAAAAAAAA&#10;AAAAAAAAAAAAAABbQ29udGVudF9UeXBlc10ueG1sUEsBAi0AFAAGAAgAAAAhAFr0LFu/AAAAFQEA&#10;AAsAAAAAAAAAAAAAAAAAHwEAAF9yZWxzLy5yZWxzUEsBAi0AFAAGAAgAAAAhAJpTlj3HAAAA3gAA&#10;AA8AAAAAAAAAAAAAAAAABwIAAGRycy9kb3ducmV2LnhtbFBLBQYAAAAAAwADALcAAAD7AgAAAAA=&#10;" filled="f" stroked="f">
                  <v:textbox inset="0,0,0,0">
                    <w:txbxContent>
                      <w:p w14:paraId="1F6D37F1" w14:textId="77777777" w:rsidR="00B32EF2" w:rsidRDefault="00000000">
                        <w:r>
                          <w:rPr>
                            <w:rFonts w:ascii="Arial" w:eastAsia="Arial" w:hAnsi="Arial" w:cs="Arial"/>
                            <w:sz w:val="18"/>
                          </w:rPr>
                          <w:t>pugnabile nella quale sono dati i provvedimenti per la prosecuzione del processo.</w:t>
                        </w:r>
                      </w:p>
                    </w:txbxContent>
                  </v:textbox>
                </v:rect>
                <v:rect id="Rectangle 17309" o:spid="_x0000_s3140" style="position:absolute;left:15075;top:46400;width:808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zOmxQAAAN4AAAAPAAAAZHJzL2Rvd25yZXYueG1sRE9La8JA&#10;EL4L/Q/LFHrTTS1YG12lKNIcvPgoeByyYxLNzi7Z1aT+elcoeJuP7znTeWdqcaXGV5YVvA8SEMS5&#10;1RUXCva7VX8MwgdkjbVlUvBHHuazl94UU21b3tB1GwoRQ9inqKAMwaVS+rwkg35gHXHkjrYxGCJs&#10;CqkbbGO4qeUwSUbSYMWxoURHi5Ly8/ZiFByW7LJVK/PjbeHWp2xc/1z2v0q9vXbfExCBuvAU/7sz&#10;Hed/fiRf8Hgn3iBndwAAAP//AwBQSwECLQAUAAYACAAAACEA2+H2y+4AAACFAQAAEwAAAAAAAAAA&#10;AAAAAAAAAAAAW0NvbnRlbnRfVHlwZXNdLnhtbFBLAQItABQABgAIAAAAIQBa9CxbvwAAABUBAAAL&#10;AAAAAAAAAAAAAAAAAB8BAABfcmVscy8ucmVsc1BLAQItABQABgAIAAAAIQD1HzOmxQAAAN4AAAAP&#10;AAAAAAAAAAAAAAAAAAcCAABkcnMvZG93bnJldi54bWxQSwUGAAAAAAMAAwC3AAAA+QIAAAAA&#10;" filled="f" stroked="f">
                  <v:textbox inset="0,0,0,0">
                    <w:txbxContent>
                      <w:p w14:paraId="1494FE6A" w14:textId="77777777" w:rsidR="00B32EF2" w:rsidRDefault="00000000">
                        <w:r>
                          <w:rPr>
                            <w:rFonts w:ascii="Arial" w:eastAsia="Arial" w:hAnsi="Arial" w:cs="Arial"/>
                            <w:b/>
                            <w:sz w:val="18"/>
                          </w:rPr>
                          <w:t>Articolo 77</w:t>
                        </w:r>
                      </w:p>
                    </w:txbxContent>
                  </v:textbox>
                </v:rect>
                <v:rect id="Rectangle 200575" o:spid="_x0000_s3141" style="position:absolute;left:22221;top:45166;width:194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bIWxwAAAN8AAAAPAAAAZHJzL2Rvd25yZXYueG1sRI9Pi8Iw&#10;FMTvwn6H8Ba8abqCf6hGERexh73ourDHR/Nsq81LaKKt++mNIOxxmJnfMItVZ2pxo8ZXlhV8DBMQ&#10;xLnVFRcKjt/bwQyED8gaa8uk4E4eVsu33gJTbVve0+0QChEh7FNUUIbgUil9XpJBP7SOOHon2xgM&#10;UTaF1A22EW5qOUqSiTRYcVwo0dGmpPxyuBoFv5/ssm0r89Pfxn2ds1m9ux5/lOq/d+s5iEBd+A+/&#10;2plWEInj6Rief+IXkMsHAAAA//8DAFBLAQItABQABgAIAAAAIQDb4fbL7gAAAIUBAAATAAAAAAAA&#10;AAAAAAAAAAAAAABbQ29udGVudF9UeXBlc10ueG1sUEsBAi0AFAAGAAgAAAAhAFr0LFu/AAAAFQEA&#10;AAsAAAAAAAAAAAAAAAAAHwEAAF9yZWxzLy5yZWxzUEsBAi0AFAAGAAgAAAAhAHpxshbHAAAA3wAA&#10;AA8AAAAAAAAAAAAAAAAABwIAAGRycy9kb3ducmV2LnhtbFBLBQYAAAAAAwADALcAAAD7AgAAAAA=&#10;" filled="f" stroked="f">
                  <v:textbox inset="0,0,0,0">
                    <w:txbxContent>
                      <w:p w14:paraId="5C960B55" w14:textId="77777777" w:rsidR="00B32EF2" w:rsidRDefault="00000000">
                        <w:r>
                          <w:rPr>
                            <w:rFonts w:ascii="Arial" w:eastAsia="Arial" w:hAnsi="Arial" w:cs="Arial"/>
                            <w:i/>
                            <w:sz w:val="18"/>
                          </w:rPr>
                          <w:t>(</w:t>
                        </w:r>
                      </w:p>
                    </w:txbxContent>
                  </v:textbox>
                </v:rect>
                <v:rect id="Rectangle 200578" o:spid="_x0000_s3142" style="position:absolute;left:11623;top:45166;width:194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B2IxwAAAN8AAAAPAAAAZHJzL2Rvd25yZXYueG1sRI/BasJA&#10;EIbvhb7DMgVvdWOhVlJXEYs0h160FnocsmMSzc4u2dXEPr1zEHoc/vm/mW++HFyrLtTFxrOByTgD&#10;RVx623BlYP+9eZ6BignZYuuZDFwpwnLx+DDH3Pqet3TZpUoJhGOOBuqUQq51LGtyGMc+EEt28J3D&#10;JGNXadthL3DX6pcsm2qHDcuFGgOtaypPu7Mz8PvBodj0ujz8rcPXsZi1n+f9jzGjp2H1DirRkP6X&#10;7+3CGhDi65s8LD7iAnpxAwAA//8DAFBLAQItABQABgAIAAAAIQDb4fbL7gAAAIUBAAATAAAAAAAA&#10;AAAAAAAAAAAAAABbQ29udGVudF9UeXBlc10ueG1sUEsBAi0AFAAGAAgAAAAhAFr0LFu/AAAAFQEA&#10;AAsAAAAAAAAAAAAAAAAAHwEAAF9yZWxzLy5yZWxzUEsBAi0AFAAGAAgAAAAhAJRwHYjHAAAA3wAA&#10;AA8AAAAAAAAAAAAAAAAABwIAAGRycy9kb3ducmV2LnhtbFBLBQYAAAAAAwADALcAAAD7AgAAAAA=&#10;" filled="f" stroked="f">
                  <v:textbox inset="0,0,0,0">
                    <w:txbxContent>
                      <w:p w14:paraId="6C0D2C5E" w14:textId="77777777" w:rsidR="00B32EF2" w:rsidRDefault="00000000">
                        <w:r>
                          <w:rPr>
                            <w:rFonts w:ascii="Arial" w:eastAsia="Arial" w:hAnsi="Arial" w:cs="Arial"/>
                            <w:i/>
                            <w:sz w:val="18"/>
                          </w:rPr>
                          <w:t xml:space="preserve">articolo 29 D.lgs. n. </w:t>
                        </w:r>
                      </w:p>
                    </w:txbxContent>
                  </v:textbox>
                </v:rect>
                <v:rect id="Rectangle 200576" o:spid="_x0000_s3143" style="position:absolute;left:-2635;top:45166;width:194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yxhxwAAAN8AAAAPAAAAZHJzL2Rvd25yZXYueG1sRI/NawIx&#10;FMTvQv+H8AreNNuCVlazUizSPfTiR6HHx+bth928hE10V//6Rih4HGbmN8xqPZhWXKjzjWUFL9ME&#10;BHFhdcOVguNhO1mA8AFZY2uZFFzJwzp7Gq0w1bbnHV32oRIRwj5FBXUILpXSFzUZ9FPriKNX2s5g&#10;iLKrpO6wj3DTytckmUuDDceFGh1taip+92ej4OeDXb7tZVHeNu7rlC/az/PxW6nx8/C+BBFoCI/w&#10;fzvXCiJx9jaH+5/4BWT2BwAA//8DAFBLAQItABQABgAIAAAAIQDb4fbL7gAAAIUBAAATAAAAAAAA&#10;AAAAAAAAAAAAAABbQ29udGVudF9UeXBlc10ueG1sUEsBAi0AFAAGAAgAAAAhAFr0LFu/AAAAFQEA&#10;AAsAAAAAAAAAAAAAAAAAHwEAAF9yZWxzLy5yZWxzUEsBAi0AFAAGAAgAAAAhAIqjLGHHAAAA3wAA&#10;AA8AAAAAAAAAAAAAAAAABwIAAGRycy9kb3ducmV2LnhtbFBLBQYAAAAAAwADALcAAAD7AgAAAAA=&#10;" filled="f" stroked="f">
                  <v:textbox inset="0,0,0,0">
                    <w:txbxContent>
                      <w:p w14:paraId="5B346486" w14:textId="77777777" w:rsidR="00B32EF2" w:rsidRDefault="00000000">
                        <w:r>
                          <w:rPr>
                            <w:rFonts w:ascii="Arial" w:eastAsia="Arial" w:hAnsi="Arial" w:cs="Arial"/>
                            <w:i/>
                            <w:sz w:val="18"/>
                          </w:rPr>
                          <w:t>546/92)</w:t>
                        </w:r>
                      </w:p>
                    </w:txbxContent>
                  </v:textbox>
                </v:rect>
                <v:rect id="Rectangle 17311" o:spid="_x0000_s3144" style="position:absolute;left:10649;top:43933;width:149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Kl9xAAAAN4AAAAPAAAAZHJzL2Rvd25yZXYueG1sRE9Na8JA&#10;EL0X/A/LCN7qJhZaia4iijQHL7UKHofsmESzs0t2NdFf3y0UepvH+5z5sjeNuFPra8sK0nECgriw&#10;uuZSweF7+zoF4QOyxsYyKXiQh+Vi8DLHTNuOv+i+D6WIIewzVFCF4DIpfVGRQT+2jjhyZ9saDBG2&#10;pdQtdjHcNHKSJO/SYM2xoUJH64qK6/5mFJw27PJtJ4vzc+12l3zafN4OR6VGw341AxGoD//iP3eu&#10;4/yPtzSF33fiDXLxAwAA//8DAFBLAQItABQABgAIAAAAIQDb4fbL7gAAAIUBAAATAAAAAAAAAAAA&#10;AAAAAAAAAABbQ29udGVudF9UeXBlc10ueG1sUEsBAi0AFAAGAAgAAAAhAFr0LFu/AAAAFQEAAAsA&#10;AAAAAAAAAAAAAAAAHwEAAF9yZWxzLy5yZWxzUEsBAi0AFAAGAAgAAAAhAI6wqX3EAAAA3gAAAA8A&#10;AAAAAAAAAAAAAAAABwIAAGRycy9kb3ducmV2LnhtbFBLBQYAAAAAAwADALcAAAD4AgAAAAA=&#10;" filled="f" stroked="f">
                  <v:textbox inset="0,0,0,0">
                    <w:txbxContent>
                      <w:p w14:paraId="41EE3CA2" w14:textId="77777777" w:rsidR="00B32EF2" w:rsidRDefault="00000000">
                        <w:r>
                          <w:rPr>
                            <w:rFonts w:ascii="Arial" w:eastAsia="Arial" w:hAnsi="Arial" w:cs="Arial"/>
                            <w:b/>
                            <w:sz w:val="18"/>
                          </w:rPr>
                          <w:t xml:space="preserve">Riunione dei ricorsi </w:t>
                        </w:r>
                      </w:p>
                    </w:txbxContent>
                  </v:textbox>
                </v:rect>
                <v:rect id="Rectangle 200571" o:spid="_x0000_s3145" style="position:absolute;left:26349;top:42700;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rQVxwAAAN8AAAAPAAAAZHJzL2Rvd25yZXYueG1sRI9PawIx&#10;FMTvgt8hPKE3zSq0ytasFEW6By+1Ch4fm7d/2s1L2ER366dvCkKPw8z8hllvBtOKG3W+saxgPktA&#10;EBdWN1wpOH3upysQPiBrbC2Tgh/ysMnGozWm2vb8QbdjqESEsE9RQR2CS6X0RU0G/cw64uiVtjMY&#10;ouwqqTvsI9y0cpEkL9Jgw3GhRkfbmorv49UouOzY5fteFuV96w5f+ap9v57OSj1NhrdXEIGG8B9+&#10;tHOtIBKfl3P4+xO/gMx+AQAA//8DAFBLAQItABQABgAIAAAAIQDb4fbL7gAAAIUBAAATAAAAAAAA&#10;AAAAAAAAAAAAAABbQ29udGVudF9UeXBlc10ueG1sUEsBAi0AFAAGAAgAAAAhAFr0LFu/AAAAFQEA&#10;AAsAAAAAAAAAAAAAAAAAHwEAAF9yZWxzLy5yZWxzUEsBAi0AFAAGAAgAAAAhAAVKtBXHAAAA3wAA&#10;AA8AAAAAAAAAAAAAAAAABwIAAGRycy9kb3ducmV2LnhtbFBLBQYAAAAAAwADALcAAAD7AgAAAAA=&#10;" filled="f" stroked="f">
                  <v:textbox inset="0,0,0,0">
                    <w:txbxContent>
                      <w:p w14:paraId="62758E39" w14:textId="77777777" w:rsidR="00B32EF2" w:rsidRDefault="00000000">
                        <w:r>
                          <w:rPr>
                            <w:rFonts w:ascii="Arial" w:eastAsia="Arial" w:hAnsi="Arial" w:cs="Arial"/>
                            <w:sz w:val="18"/>
                          </w:rPr>
                          <w:t>1</w:t>
                        </w:r>
                      </w:p>
                    </w:txbxContent>
                  </v:textbox>
                </v:rect>
                <v:rect id="Rectangle 200573" o:spid="_x0000_s3146" style="position:absolute;left:-12796;top:42700;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I/5xwAAAN8AAAAPAAAAZHJzL2Rvd25yZXYueG1sRI9PawIx&#10;FMTvBb9DeIK3btZKVbZGEYu4h15qFXp8bN7+aTcvYRPdtZ++KQg9DjPzG2a1GUwrrtT5xrKCaZKC&#10;IC6sbrhScPrYPy5B+ICssbVMCm7kYbMePaww07bnd7oeQyUihH2GCuoQXCalL2oy6BPriKNX2s5g&#10;iLKrpO6wj3DTyqc0nUuDDceFGh3taiq+jxej4POVXb7vZVH+7NzbV75sD5fTWanJeNi+gAg0hP/w&#10;vZ1rBZH4vJjB35/4BeT6FwAA//8DAFBLAQItABQABgAIAAAAIQDb4fbL7gAAAIUBAAATAAAAAAAA&#10;AAAAAAAAAAAAAABbQ29udGVudF9UeXBlc10ueG1sUEsBAi0AFAAGAAgAAAAhAFr0LFu/AAAAFQEA&#10;AAsAAAAAAAAAAAAAAAAAHwEAAF9yZWxzLy5yZWxzUEsBAi0AFAAGAAgAAAAhAJrUj/nHAAAA3wAA&#10;AA8AAAAAAAAAAAAAAAAABwIAAGRycy9kb3ducmV2LnhtbFBLBQYAAAAAAwADALcAAAD7AgAAAAA=&#10;" filled="f" stroked="f">
                  <v:textbox inset="0,0,0,0">
                    <w:txbxContent>
                      <w:p w14:paraId="2D7669C5" w14:textId="77777777" w:rsidR="00B32EF2" w:rsidRDefault="00000000">
                        <w:r>
                          <w:rPr>
                            <w:rFonts w:ascii="Arial" w:eastAsia="Arial" w:hAnsi="Arial" w:cs="Arial"/>
                            <w:sz w:val="18"/>
                          </w:rPr>
                          <w:t>. In qualunque momento il presidente della sezione dispone con decreto la ri</w:t>
                        </w:r>
                      </w:p>
                    </w:txbxContent>
                  </v:textbox>
                </v:rect>
                <v:rect id="Rectangle 17313" o:spid="_x0000_s3147" style="position:absolute;left:191;top:4270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KRxAAAAN4AAAAPAAAAZHJzL2Rvd25yZXYueG1sRE9Li8Iw&#10;EL4L+x/CLHjT1BVWqUZZXGR78LI+wOPQjG21mYQm2uqv3ywI3ubje8582Zla3KjxlWUFo2ECgji3&#10;uuJCwX63HkxB+ICssbZMCu7kYbl4680x1bblX7ptQyFiCPsUFZQhuFRKn5dk0A+tI47cyTYGQ4RN&#10;IXWDbQw3tfxIkk9psOLYUKKjVUn5ZXs1Co7f7LJ1K/PTY+U252xa/1z3B6X6793XDESgLrzET3em&#10;4/zJeDSG/3fiDXLxBwAA//8DAFBLAQItABQABgAIAAAAIQDb4fbL7gAAAIUBAAATAAAAAAAAAAAA&#10;AAAAAAAAAABbQ29udGVudF9UeXBlc10ueG1sUEsBAi0AFAAGAAgAAAAhAFr0LFu/AAAAFQEAAAsA&#10;AAAAAAAAAAAAAAAAHwEAAF9yZWxzLy5yZWxzUEsBAi0AFAAGAAgAAAAhABEukpHEAAAA3gAAAA8A&#10;AAAAAAAAAAAAAAAABwIAAGRycy9kb3ducmV2LnhtbFBLBQYAAAAAAwADALcAAAD4AgAAAAA=&#10;" filled="f" stroked="f">
                  <v:textbox inset="0,0,0,0">
                    <w:txbxContent>
                      <w:p w14:paraId="33445310" w14:textId="77777777" w:rsidR="00B32EF2" w:rsidRDefault="00000000">
                        <w:r>
                          <w:rPr>
                            <w:rFonts w:ascii="Arial" w:eastAsia="Arial" w:hAnsi="Arial" w:cs="Arial"/>
                            <w:sz w:val="18"/>
                          </w:rPr>
                          <w:t>-</w:t>
                        </w:r>
                      </w:p>
                    </w:txbxContent>
                  </v:textbox>
                </v:rect>
                <v:rect id="Rectangle 17314" o:spid="_x0000_s3148" style="position:absolute;left:-13172;top:414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wrlxQAAAN4AAAAPAAAAZHJzL2Rvd25yZXYueG1sRE9La8JA&#10;EL4X/A/LCN7qxlpUoquIRZpDL/UBHofsmESzs0t2NWl/fbcgeJuP7zmLVWdqcafGV5YVjIYJCOLc&#10;6ooLBYf99nUGwgdkjbVlUvBDHlbL3ssCU21b/qb7LhQihrBPUUEZgkul9HlJBv3QOuLInW1jMETY&#10;FFI32MZwU8u3JJlIgxXHhhIdbUrKr7ubUXD6YJdtW5mffzfu65LN6s/b4ajUoN+t5yACdeEpfrgz&#10;HedPx6N3+H8n3iCXfwAAAP//AwBQSwECLQAUAAYACAAAACEA2+H2y+4AAACFAQAAEwAAAAAAAAAA&#10;AAAAAAAAAAAAW0NvbnRlbnRfVHlwZXNdLnhtbFBLAQItABQABgAIAAAAIQBa9CxbvwAAABUBAAAL&#10;AAAAAAAAAAAAAAAAAB8BAABfcmVscy8ucmVsc1BLAQItABQABgAIAAAAIQCexwrlxQAAAN4AAAAP&#10;AAAAAAAAAAAAAAAAAAcCAABkcnMvZG93bnJldi54bWxQSwUGAAAAAAMAAwC3AAAA+QIAAAAA&#10;" filled="f" stroked="f">
                  <v:textbox inset="0,0,0,0">
                    <w:txbxContent>
                      <w:p w14:paraId="52FE5A71" w14:textId="77777777" w:rsidR="00B32EF2" w:rsidRDefault="00000000">
                        <w:r>
                          <w:rPr>
                            <w:rFonts w:ascii="Arial" w:eastAsia="Arial" w:hAnsi="Arial" w:cs="Arial"/>
                            <w:sz w:val="18"/>
                          </w:rPr>
                          <w:t xml:space="preserve">unione dei ricorsi assegnati alla sezione da lui presieduta che hanno lo stesso </w:t>
                        </w:r>
                      </w:p>
                    </w:txbxContent>
                  </v:textbox>
                </v:rect>
                <v:rect id="Rectangle 17315" o:spid="_x0000_s3149" style="position:absolute;left:17550;top:40233;width:223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69+xQAAAN4AAAAPAAAAZHJzL2Rvd25yZXYueG1sRE9La8JA&#10;EL4X/A/LCN7qxkpVoquIRZpDL/UBHofsmESzs0t2NWl/fbcgeJuP7zmLVWdqcafGV5YVjIYJCOLc&#10;6ooLBYf99nUGwgdkjbVlUvBDHlbL3ssCU21b/qb7LhQihrBPUUEZgkul9HlJBv3QOuLInW1jMETY&#10;FFI32MZwU8u3JJlIgxXHhhIdbUrKr7ubUXD6YJdtW5mffzfu65LN6s/b4ajUoN+t5yACdeEpfrgz&#10;HedPx6N3+H8n3iCXfwAAAP//AwBQSwECLQAUAAYACAAAACEA2+H2y+4AAACFAQAAEwAAAAAAAAAA&#10;AAAAAAAAAAAAW0NvbnRlbnRfVHlwZXNdLnhtbFBLAQItABQABgAIAAAAIQBa9CxbvwAAABUBAAAL&#10;AAAAAAAAAAAAAAAAAB8BAABfcmVscy8ucmVsc1BLAQItABQABgAIAAAAIQDxi69+xQAAAN4AAAAP&#10;AAAAAAAAAAAAAAAAAAcCAABkcnMvZG93bnJldi54bWxQSwUGAAAAAAMAAwC3AAAA+QIAAAAA&#10;" filled="f" stroked="f">
                  <v:textbox inset="0,0,0,0">
                    <w:txbxContent>
                      <w:p w14:paraId="79728783" w14:textId="77777777" w:rsidR="00B32EF2" w:rsidRDefault="00000000">
                        <w:r>
                          <w:rPr>
                            <w:rFonts w:ascii="Arial" w:eastAsia="Arial" w:hAnsi="Arial" w:cs="Arial"/>
                            <w:sz w:val="18"/>
                          </w:rPr>
                          <w:t>oggetto o sono fra loro connessi.</w:t>
                        </w:r>
                      </w:p>
                    </w:txbxContent>
                  </v:textbox>
                </v:rect>
                <v:rect id="Rectangle 200570" o:spid="_x0000_s3150" style="position:absolute;left:-12854;top:39000;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hGOxwAAAN8AAAAPAAAAZHJzL2Rvd25yZXYueG1sRI9Ba8JA&#10;EIXvhf6HZQre6sZCraSuIhZpDr1oLfQ4ZMckmp1dsquJ/fXOQehxePO+xzdfDq5VF+pi49nAZJyB&#10;Ii69bbgysP/ePM9AxYRssfVMBq4UYbl4fJhjbn3PW7rsUqUEwjFHA3VKIdc6ljU5jGMfiCU7+M5h&#10;krOrtO2wF7hr9UuWTbXDhmWhxkDrmsrT7uwM/H5wKDa9Lg9/6/B1LGbt53n/Y8zoaVi9g0o0pP/n&#10;e7uwBoT4+iYG4iMuoBc3AAAA//8DAFBLAQItABQABgAIAAAAIQDb4fbL7gAAAIUBAAATAAAAAAAA&#10;AAAAAAAAAAAAAABbQ29udGVudF9UeXBlc10ueG1sUEsBAi0AFAAGAAgAAAAhAFr0LFu/AAAAFQEA&#10;AAsAAAAAAAAAAAAAAAAAHwEAAF9yZWxzLy5yZWxzUEsBAi0AFAAGAAgAAAAhAGoGEY7HAAAA3wAA&#10;AA8AAAAAAAAAAAAAAAAABwIAAGRycy9kb3ducmV2LnhtbFBLBQYAAAAAAwADALcAAAD7AgAAAAA=&#10;" filled="f" stroked="f">
                  <v:textbox inset="0,0,0,0">
                    <w:txbxContent>
                      <w:p w14:paraId="7096C401" w14:textId="77777777" w:rsidR="00B32EF2" w:rsidRDefault="00000000">
                        <w:r>
                          <w:rPr>
                            <w:rFonts w:ascii="Arial" w:eastAsia="Arial" w:hAnsi="Arial" w:cs="Arial"/>
                            <w:sz w:val="18"/>
                          </w:rPr>
                          <w:t>. Se i processi pendono dinanzi a sezioni diverse della stessa corte di giu</w:t>
                        </w:r>
                      </w:p>
                    </w:txbxContent>
                  </v:textbox>
                </v:rect>
                <v:rect id="Rectangle 200568" o:spid="_x0000_s3151" style="position:absolute;left:26348;top:39000;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YtVxwAAAN8AAAAPAAAAZHJzL2Rvd25yZXYueG1sRI9Na8JA&#10;EIbvhf6HZQq91U0LFUldRSzSHLz4BR6H7JikZmeX7Gpif33nIHgc3nmfmWc6H1yrrtTFxrOB91EG&#10;irj0tuHKwH63epuAignZYuuZDNwownz2/DTF3PqeN3TdpkoJhGOOBuqUQq51LGtyGEc+EEt28p3D&#10;JGNXadthL3DX6o8sG2uHDcuFGgMtayrP24szcPzmUKx6XZ7+lmH9W0zan8v+YMzry7D4ApVoSI/l&#10;e7uwBoT4OZaHxUdcQM/+AQAA//8DAFBLAQItABQABgAIAAAAIQDb4fbL7gAAAIUBAAATAAAAAAAA&#10;AAAAAAAAAAAAAABbQ29udGVudF9UeXBlc10ueG1sUEsBAi0AFAAGAAgAAAAhAFr0LFu/AAAAFQEA&#10;AAsAAAAAAAAAAAAAAAAAHwEAAF9yZWxzLy5yZWxzUEsBAi0AFAAGAAgAAAAhABGpi1XHAAAA3wAA&#10;AA8AAAAAAAAAAAAAAAAABwIAAGRycy9kb3ducmV2LnhtbFBLBQYAAAAAAwADALcAAAD7AgAAAAA=&#10;" filled="f" stroked="f">
                  <v:textbox inset="0,0,0,0">
                    <w:txbxContent>
                      <w:p w14:paraId="50684377" w14:textId="77777777" w:rsidR="00B32EF2" w:rsidRDefault="00000000">
                        <w:r>
                          <w:rPr>
                            <w:rFonts w:ascii="Arial" w:eastAsia="Arial" w:hAnsi="Arial" w:cs="Arial"/>
                            <w:sz w:val="18"/>
                          </w:rPr>
                          <w:t>2</w:t>
                        </w:r>
                      </w:p>
                    </w:txbxContent>
                  </v:textbox>
                </v:rect>
                <v:rect id="Rectangle 17317" o:spid="_x0000_s3152" style="position:absolute;left:191;top:3900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ZSSxAAAAN4AAAAPAAAAZHJzL2Rvd25yZXYueG1sRE9Li8Iw&#10;EL4v7H8Is+BtTVVYpRplcRF72Isv8Dg0Y1ttJqGJtvrrzcKCt/n4njNbdKYWN2p8ZVnBoJ+AIM6t&#10;rrhQsN+tPicgfEDWWFsmBXfysJi/v80w1bblDd22oRAxhH2KCsoQXCqlz0sy6PvWEUfuZBuDIcKm&#10;kLrBNoabWg6T5EsarDg2lOhoWVJ+2V6NguMPu2zVyvz0WLrfczap19f9QaneR/c9BRGoCy/xvzvT&#10;cf54NBjD3zvxBjl/AgAA//8DAFBLAQItABQABgAIAAAAIQDb4fbL7gAAAIUBAAATAAAAAAAAAAAA&#10;AAAAAAAAAABbQ29udGVudF9UeXBlc10ueG1sUEsBAi0AFAAGAAgAAAAhAFr0LFu/AAAAFQEAAAsA&#10;AAAAAAAAAAAAAAAAHwEAAF9yZWxzLy5yZWxzUEsBAi0AFAAGAAgAAAAhAG4VlJLEAAAA3gAAAA8A&#10;AAAAAAAAAAAAAAAABwIAAGRycy9kb3ducmV2LnhtbFBLBQYAAAAAAwADALcAAAD4AgAAAAA=&#10;" filled="f" stroked="f">
                  <v:textbox inset="0,0,0,0">
                    <w:txbxContent>
                      <w:p w14:paraId="1A775E3E" w14:textId="77777777" w:rsidR="00B32EF2" w:rsidRDefault="00000000">
                        <w:r>
                          <w:rPr>
                            <w:rFonts w:ascii="Arial" w:eastAsia="Arial" w:hAnsi="Arial" w:cs="Arial"/>
                            <w:sz w:val="18"/>
                          </w:rPr>
                          <w:t>-</w:t>
                        </w:r>
                      </w:p>
                    </w:txbxContent>
                  </v:textbox>
                </v:rect>
                <v:rect id="Rectangle 17318" o:spid="_x0000_s3153" style="position:absolute;left:-13172;top:37767;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DgyAAAAN4AAAAPAAAAZHJzL2Rvd25yZXYueG1sRI9Pa8JA&#10;EMXvhX6HZQq91Y0tWImuIhZpDr34p9DjkB2TaHZ2ya4m7ad3DkJvM7w37/1mvhxcq67UxcazgfEo&#10;A0VcettwZeCw37xMQcWEbLH1TAZ+KcJy8fgwx9z6nrd03aVKSQjHHA3UKYVc61jW5DCOfCAW7eg7&#10;h0nWrtK2w17CXatfs2yiHTYsDTUGWtdUnncXZ+Dng0Ox6XV5/FuHr1MxbT8vh29jnp+G1QxUoiH9&#10;m+/XhRX897ex8Mo7MoNe3AAAAP//AwBQSwECLQAUAAYACAAAACEA2+H2y+4AAACFAQAAEwAAAAAA&#10;AAAAAAAAAAAAAAAAW0NvbnRlbnRfVHlwZXNdLnhtbFBLAQItABQABgAIAAAAIQBa9CxbvwAAABUB&#10;AAALAAAAAAAAAAAAAAAAAB8BAABfcmVscy8ucmVsc1BLAQItABQABgAIAAAAIQAfigDgyAAAAN4A&#10;AAAPAAAAAAAAAAAAAAAAAAcCAABkcnMvZG93bnJldi54bWxQSwUGAAAAAAMAAwC3AAAA/AIAAAAA&#10;" filled="f" stroked="f">
                  <v:textbox inset="0,0,0,0">
                    <w:txbxContent>
                      <w:p w14:paraId="3FBD4718" w14:textId="77777777" w:rsidR="00B32EF2" w:rsidRDefault="00000000">
                        <w:r>
                          <w:rPr>
                            <w:rFonts w:ascii="Arial" w:eastAsia="Arial" w:hAnsi="Arial" w:cs="Arial"/>
                            <w:sz w:val="18"/>
                          </w:rPr>
                          <w:t xml:space="preserve">stizia tributaria il presidente di questa, di ufficio o su istanza di parte o su </w:t>
                        </w:r>
                      </w:p>
                    </w:txbxContent>
                  </v:textbox>
                </v:rect>
                <v:rect id="Rectangle 17319" o:spid="_x0000_s3154" style="position:absolute;left:-13174;top:36533;width:53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qV7xQAAAN4AAAAPAAAAZHJzL2Rvd25yZXYueG1sRE9La8JA&#10;EL4X/A/LCN7qxgpVo6uIRZpDL/UBHofsmESzs0t2NWl/fbcgeJuP7zmLVWdqcafGV5YVjIYJCOLc&#10;6ooLBYf99nUKwgdkjbVlUvBDHlbL3ssCU21b/qb7LhQihrBPUUEZgkul9HlJBv3QOuLInW1jMETY&#10;FFI32MZwU8u3JHmXBiuODSU62pSUX3c3o+D0wS7btjI//27c1yWb1p+3w1GpQb9bz0EE6sJT/HBn&#10;Os6fjEcz+H8n3iCXfwAAAP//AwBQSwECLQAUAAYACAAAACEA2+H2y+4AAACFAQAAEwAAAAAAAAAA&#10;AAAAAAAAAAAAW0NvbnRlbnRfVHlwZXNdLnhtbFBLAQItABQABgAIAAAAIQBa9CxbvwAAABUBAAAL&#10;AAAAAAAAAAAAAAAAAB8BAABfcmVscy8ucmVsc1BLAQItABQABgAIAAAAIQBwxqV7xQAAAN4AAAAP&#10;AAAAAAAAAAAAAAAAAAcCAABkcnMvZG93bnJldi54bWxQSwUGAAAAAAMAAwC3AAAA+QIAAAAA&#10;" filled="f" stroked="f">
                  <v:textbox inset="0,0,0,0">
                    <w:txbxContent>
                      <w:p w14:paraId="240C5D3E" w14:textId="77777777" w:rsidR="00B32EF2" w:rsidRDefault="00000000">
                        <w:r>
                          <w:rPr>
                            <w:rFonts w:ascii="Arial" w:eastAsia="Arial" w:hAnsi="Arial" w:cs="Arial"/>
                            <w:sz w:val="18"/>
                          </w:rPr>
                          <w:t xml:space="preserve">segnalazione dei presidenti delle sezioni, determina con decreto la sezione </w:t>
                        </w:r>
                      </w:p>
                    </w:txbxContent>
                  </v:textbox>
                </v:rect>
                <v:rect id="Rectangle 17320" o:spid="_x0000_s3155" style="position:absolute;left:-13172;top:353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MZbxwAAAN4AAAAPAAAAZHJzL2Rvd25yZXYueG1sRI9Ba8JA&#10;EIXvQv/DMoXedFMFldRVikXMoZeqhR6H7Jikzc4u2dWk/fXOoeBthnnz3vtWm8G16kpdbDwbeJ5k&#10;oIhLbxuuDJyOu/ESVEzIFlvPZOCXImzWD6MV5tb3/EHXQ6qUmHDM0UCdUsi1jmVNDuPEB2K5nX3n&#10;MMnaVdp22Iu5a/U0y+baYcOSUGOgbU3lz+HiDHy9cSh2vS7Pf9vw/l0s2/3l9GnM0+Pw+gIq0ZDu&#10;4v/vwkr9xWwqAIIjM+j1DQAA//8DAFBLAQItABQABgAIAAAAIQDb4fbL7gAAAIUBAAATAAAAAAAA&#10;AAAAAAAAAAAAAABbQ29udGVudF9UeXBlc10ueG1sUEsBAi0AFAAGAAgAAAAhAFr0LFu/AAAAFQEA&#10;AAsAAAAAAAAAAAAAAAAAHwEAAF9yZWxzLy5yZWxzUEsBAi0AFAAGAAgAAAAhAC+QxlvHAAAA3gAA&#10;AA8AAAAAAAAAAAAAAAAABwIAAGRycy9kb3ducmV2LnhtbFBLBQYAAAAAAwADALcAAAD7AgAAAAA=&#10;" filled="f" stroked="f">
                  <v:textbox inset="0,0,0,0">
                    <w:txbxContent>
                      <w:p w14:paraId="0A2FB93D" w14:textId="77777777" w:rsidR="00B32EF2" w:rsidRDefault="00000000">
                        <w:r>
                          <w:rPr>
                            <w:rFonts w:ascii="Arial" w:eastAsia="Arial" w:hAnsi="Arial" w:cs="Arial"/>
                            <w:sz w:val="18"/>
                          </w:rPr>
                          <w:t xml:space="preserve">davanti alla quale i processi devono proseguire, riservando a tale sezione di </w:t>
                        </w:r>
                      </w:p>
                    </w:txbxContent>
                  </v:textbox>
                </v:rect>
                <v:rect id="Rectangle 17321" o:spid="_x0000_s3156" style="position:absolute;left:17013;top:34067;width:229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GPAxAAAAN4AAAAPAAAAZHJzL2Rvd25yZXYueG1sRE9Li8Iw&#10;EL4v+B/CCN7WVBd2pRpFFNkevKwP8Dg0Y1ttJqGJtvrrNwsL3ubje85s0Zla3KnxlWUFo2ECgji3&#10;uuJCwWG/eZ+A8AFZY22ZFDzIw2Lee5thqm3LP3TfhULEEPYpKihDcKmUPi/JoB9aRxy5s20Mhgib&#10;QuoG2xhuajlOkk9psOLYUKKjVUn5dXczCk5rdtmmlfn5uXLbSzapv2+Ho1KDfrecggjUhZf4353p&#10;OP/rYzyCv3fiDXL+CwAA//8DAFBLAQItABQABgAIAAAAIQDb4fbL7gAAAIUBAAATAAAAAAAAAAAA&#10;AAAAAAAAAABbQ29udGVudF9UeXBlc10ueG1sUEsBAi0AFAAGAAgAAAAhAFr0LFu/AAAAFQEAAAsA&#10;AAAAAAAAAAAAAAAAHwEAAF9yZWxzLy5yZWxzUEsBAi0AFAAGAAgAAAAhAEDcY8DEAAAA3gAAAA8A&#10;AAAAAAAAAAAAAAAABwIAAGRycy9kb3ducmV2LnhtbFBLBQYAAAAAAwADALcAAAD4AgAAAAA=&#10;" filled="f" stroked="f">
                  <v:textbox inset="0,0,0,0">
                    <w:txbxContent>
                      <w:p w14:paraId="753BF628" w14:textId="77777777" w:rsidR="00B32EF2" w:rsidRDefault="00000000">
                        <w:r>
                          <w:rPr>
                            <w:rFonts w:ascii="Arial" w:eastAsia="Arial" w:hAnsi="Arial" w:cs="Arial"/>
                            <w:sz w:val="18"/>
                          </w:rPr>
                          <w:t>provvedere ai sensi del comma 1.</w:t>
                        </w:r>
                      </w:p>
                    </w:txbxContent>
                  </v:textbox>
                </v:rect>
                <v:rect id="Rectangle 200566" o:spid="_x0000_s3157" style="position:absolute;left:-13808;top:32833;width:53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rq8xgAAAN8AAAAPAAAAZHJzL2Rvd25yZXYueG1sRI9Ba8JA&#10;FITvgv9heUJvuqnQIKmrFEWagxdthB4f2WeSNvt2ya4m9de7gtDjMDPfMMv1YFpxpc43lhW8zhIQ&#10;xKXVDVcKiq/ddAHCB2SNrWVS8Ece1qvxaImZtj0f6HoMlYgQ9hkqqENwmZS+rMmgn1lHHL2z7QyG&#10;KLtK6g77CDetnCdJKg02HBdqdLSpqfw9XoyC7y27fNfL8nzbuP1Pvmg/L8VJqZfJ8PEOItAQ/sPP&#10;dq4VROJbmsLjT/wCcnUHAAD//wMAUEsBAi0AFAAGAAgAAAAhANvh9svuAAAAhQEAABMAAAAAAAAA&#10;AAAAAAAAAAAAAFtDb250ZW50X1R5cGVzXS54bWxQSwECLQAUAAYACAAAACEAWvQsW78AAAAVAQAA&#10;CwAAAAAAAAAAAAAAAAAfAQAAX3JlbHMvLnJlbHNQSwECLQAUAAYACAAAACEAD3q6vMYAAADfAAAA&#10;DwAAAAAAAAAAAAAAAAAHAgAAZHJzL2Rvd25yZXYueG1sUEsFBgAAAAADAAMAtwAAAPoCAAAAAA==&#10;" filled="f" stroked="f">
                  <v:textbox inset="0,0,0,0">
                    <w:txbxContent>
                      <w:p w14:paraId="1A78CC72" w14:textId="77777777" w:rsidR="00B32EF2" w:rsidRDefault="00000000">
                        <w:r>
                          <w:rPr>
                            <w:rFonts w:ascii="Arial" w:eastAsia="Arial" w:hAnsi="Arial" w:cs="Arial"/>
                            <w:sz w:val="18"/>
                          </w:rPr>
                          <w:t xml:space="preserve">. La corte, se rileva che la riunione dei processi connessi ritarda o rende più </w:t>
                        </w:r>
                      </w:p>
                    </w:txbxContent>
                  </v:textbox>
                </v:rect>
                <v:rect id="Rectangle 200565" o:spid="_x0000_s3158" style="position:absolute;left:26117;top:32833;width:530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LxwAAAN8AAAAPAAAAZHJzL2Rvd25yZXYueG1sRI9Ba8JA&#10;FITvBf/D8gRvdWPBIKmrlEhoDr1ULfT4yD6TtNm3S3ZNYn99t1DwOMzMN8x2P5lODNT71rKC1TIB&#10;QVxZ3XKt4HwqHjcgfEDW2FkmBTfysN/NHraYaTvyOw3HUIsIYZ+hgiYEl0npq4YM+qV1xNG72N5g&#10;iLKvpe5xjHDTyackSaXBluNCg47yhqrv49Uo+DywK4tRVpef3L19lZvu9Xr+UGoxn16eQQSawj38&#10;3y61gkhcp2v4+xO/gNz9AgAA//8DAFBLAQItABQABgAIAAAAIQDb4fbL7gAAAIUBAAATAAAAAAAA&#10;AAAAAAAAAAAAAABbQ29udGVudF9UeXBlc10ueG1sUEsBAi0AFAAGAAgAAAAhAFr0LFu/AAAAFQEA&#10;AAsAAAAAAAAAAAAAAAAAHwEAAF9yZWxzLy5yZWxzUEsBAi0AFAAGAAgAAAAhAP+oJMvHAAAA3wAA&#10;AA8AAAAAAAAAAAAAAAAABwIAAGRycy9kb3ducmV2LnhtbFBLBQYAAAAAAwADALcAAAD7AgAAAAA=&#10;" filled="f" stroked="f">
                  <v:textbox inset="0,0,0,0">
                    <w:txbxContent>
                      <w:p w14:paraId="106BFF3B" w14:textId="77777777" w:rsidR="00B32EF2" w:rsidRDefault="00000000">
                        <w:r>
                          <w:rPr>
                            <w:rFonts w:ascii="Arial" w:eastAsia="Arial" w:hAnsi="Arial" w:cs="Arial"/>
                            <w:sz w:val="18"/>
                          </w:rPr>
                          <w:t>3</w:t>
                        </w:r>
                      </w:p>
                    </w:txbxContent>
                  </v:textbox>
                </v:rect>
                <v:rect id="Rectangle 17323" o:spid="_x0000_s3159" style="position:absolute;left:-12741;top:31600;width:526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lgsxAAAAN4AAAAPAAAAZHJzL2Rvd25yZXYueG1sRE9Ni8Iw&#10;EL0v+B/CCN7WVIVd6RpFFLEHL7ou7HFoxrbaTEITbfXXb4QFb/N4nzNbdKYWN2p8ZVnBaJiAIM6t&#10;rrhQcPzevE9B+ICssbZMCu7kYTHvvc0w1bblPd0OoRAxhH2KCsoQXCqlz0sy6IfWEUfuZBuDIcKm&#10;kLrBNoabWo6T5EMarDg2lOhoVVJ+OVyNgt81u2zTyvz0WLndOZvW2+vxR6lBv1t+gQjUhZf4353p&#10;OP9zMp7A8514g5z/AQAA//8DAFBLAQItABQABgAIAAAAIQDb4fbL7gAAAIUBAAATAAAAAAAAAAAA&#10;AAAAAAAAAABbQ29udGVudF9UeXBlc10ueG1sUEsBAi0AFAAGAAgAAAAhAFr0LFu/AAAAFQEAAAsA&#10;AAAAAAAAAAAAAAAAHwEAAF9yZWxzLy5yZWxzUEsBAi0AFAAGAAgAAAAhAN9CWCzEAAAA3gAAAA8A&#10;AAAAAAAAAAAAAAAABwIAAGRycy9kb3ducmV2LnhtbFBLBQYAAAAAAwADALcAAAD4AgAAAAA=&#10;" filled="f" stroked="f">
                  <v:textbox inset="0,0,0,0">
                    <w:txbxContent>
                      <w:p w14:paraId="05E63150" w14:textId="77777777" w:rsidR="00B32EF2" w:rsidRDefault="00000000">
                        <w:r>
                          <w:rPr>
                            <w:rFonts w:ascii="Arial" w:eastAsia="Arial" w:hAnsi="Arial" w:cs="Arial"/>
                            <w:sz w:val="18"/>
                          </w:rPr>
                          <w:t>gravosa la loro trattazione, può, con ordinanza motivata, disporne la separazione.</w:t>
                        </w:r>
                      </w:p>
                    </w:txbxContent>
                  </v:textbox>
                </v:rect>
                <v:shape id="Shape 207874" o:spid="_x0000_s3160" style="position:absolute;left:317;top:3876;width:39600;height:27368;visibility:visible;mso-wrap-style:square;v-text-anchor:top" coordsize="3960000,2736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CVgxgAAAN8AAAAPAAAAZHJzL2Rvd25yZXYueG1sRI9BawIx&#10;FITvhf6H8ITeaqKVrqxGkeKCx1aFXh/J62Zx87Jsoq7++kYo9DjMzDfMcj34Vlyoj01gDZOxAkFs&#10;gm241nA8VK9zEDEhW2wDk4YbRVivnp+WWNpw5S+67FMtMoRjiRpcSl0pZTSOPMZx6Iiz9xN6jynL&#10;vpa2x2uG+1ZOlXqXHhvOCw47+nBkTvuz17C9V2dzK4w6fH5vumGyZVed3rR+GQ2bBYhEQ/oP/7V3&#10;VsNUFfNiBo8/+QvI1S8AAAD//wMAUEsBAi0AFAAGAAgAAAAhANvh9svuAAAAhQEAABMAAAAAAAAA&#10;AAAAAAAAAAAAAFtDb250ZW50X1R5cGVzXS54bWxQSwECLQAUAAYACAAAACEAWvQsW78AAAAVAQAA&#10;CwAAAAAAAAAAAAAAAAAfAQAAX3JlbHMvLnJlbHNQSwECLQAUAAYACAAAACEAjMAlYMYAAADfAAAA&#10;DwAAAAAAAAAAAAAAAAAHAgAAZHJzL2Rvd25yZXYueG1sUEsFBgAAAAADAAMAtwAAAPoCAAAAAA==&#10;" path="m,l3960000,r,2736799l,2736799,,e" fillcolor="#c3c3c3" stroked="f" strokeweight="0">
                  <v:stroke miterlimit="83231f" joinstyle="miter"/>
                  <v:path arrowok="t" textboxrect="0,0,3960000,2736799"/>
                </v:shape>
                <v:rect id="Rectangle 17325" o:spid="_x0000_s3161" style="position:absolute;left:23566;top:29032;width:155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XDxQAAAN4AAAAPAAAAZHJzL2Rvd25yZXYueG1sRE9La8JA&#10;EL4X/A/LCN7qpkpVoqsUi5hDL/UBHofsmMRmZ5fsamJ/fbcgeJuP7zmLVWdqcaPGV5YVvA0TEMS5&#10;1RUXCg77zesMhA/IGmvLpOBOHlbL3ssCU21b/qbbLhQihrBPUUEZgkul9HlJBv3QOuLInW1jMETY&#10;FFI32MZwU8tRkkykwYpjQ4mO1iXlP7urUXD6ZJdtWpmff9fu65LN6u31cFRq0O8+5iACdeEpfrgz&#10;HedPx6N3+H8n3iCXfwAAAP//AwBQSwECLQAUAAYACAAAACEA2+H2y+4AAACFAQAAEwAAAAAAAAAA&#10;AAAAAAAAAAAAW0NvbnRlbnRfVHlwZXNdLnhtbFBLAQItABQABgAIAAAAIQBa9CxbvwAAABUBAAAL&#10;AAAAAAAAAAAAAAAAAB8BAABfcmVscy8ucmVsc1BLAQItABQABgAIAAAAIQA/52XDxQAAAN4AAAAP&#10;AAAAAAAAAAAAAAAAAAcCAABkcnMvZG93bnJldi54bWxQSwUGAAAAAAMAAwC3AAAA+QIAAAAA&#10;" filled="f" stroked="f">
                  <v:textbox inset="0,0,0,0">
                    <w:txbxContent>
                      <w:p w14:paraId="3E2BDF70" w14:textId="77777777" w:rsidR="00B32EF2" w:rsidRDefault="00000000">
                        <w:r>
                          <w:rPr>
                            <w:rFonts w:ascii="Arial" w:eastAsia="Arial" w:hAnsi="Arial" w:cs="Arial"/>
                            <w:b/>
                            <w:i/>
                            <w:sz w:val="18"/>
                          </w:rPr>
                          <w:t>NORME COLLEGATE</w:t>
                        </w:r>
                      </w:p>
                    </w:txbxContent>
                  </v:textbox>
                </v:rect>
                <v:rect id="Rectangle 17326" o:spid="_x0000_s3162" style="position:absolute;left:19722;top:27799;width:194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fu0xAAAAN4AAAAPAAAAZHJzL2Rvd25yZXYueG1sRE9Ni8Iw&#10;EL0L/ocwgjdNVXClaxRRxB72sq4Lexyasa02k9BEW/31m4UFb/N4n7Ncd6YWd2p8ZVnBZJyAIM6t&#10;rrhQcPrajxYgfEDWWFsmBQ/ysF71e0tMtW35k+7HUIgYwj5FBWUILpXS5yUZ9GPriCN3to3BEGFT&#10;SN1gG8NNLadJMpcGK44NJTralpRfjzej4GfHLtu3Mj8/t+7jki3qw+30rdRw0G3eQQTqwkv87850&#10;nP82m87h7514g1z9AgAA//8DAFBLAQItABQABgAIAAAAIQDb4fbL7gAAAIUBAAATAAAAAAAAAAAA&#10;AAAAAAAAAABbQ29udGVudF9UeXBlc10ueG1sUEsBAi0AFAAGAAgAAAAhAFr0LFu/AAAAFQEAAAsA&#10;AAAAAAAAAAAAAAAAHwEAAF9yZWxzLy5yZWxzUEsBAi0AFAAGAAgAAAAhAM81+7TEAAAA3gAAAA8A&#10;AAAAAAAAAAAAAAAABwIAAGRycy9kb3ducmV2LnhtbFBLBQYAAAAAAwADALcAAAD4AgAAAAA=&#10;" filled="f" stroked="f">
                  <v:textbox inset="0,0,0,0">
                    <w:txbxContent>
                      <w:p w14:paraId="6ECF8BAE" w14:textId="77777777" w:rsidR="00B32EF2" w:rsidRDefault="00000000">
                        <w:r>
                          <w:rPr>
                            <w:rFonts w:ascii="Arial" w:eastAsia="Arial" w:hAnsi="Arial" w:cs="Arial"/>
                            <w:i/>
                            <w:sz w:val="18"/>
                          </w:rPr>
                          <w:t xml:space="preserve">art. 40 c.p.c. “Connessione” </w:t>
                        </w:r>
                      </w:p>
                    </w:txbxContent>
                  </v:textbox>
                </v:rect>
                <v:rect id="Rectangle 200564" o:spid="_x0000_s3163" style="position:absolute;left:-12463;top:26566;width:5098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IFQxwAAAN8AAAAPAAAAZHJzL2Rvd25yZXYueG1sRI9PawIx&#10;FMTvQr9DeAVvmm2xIqtZKRbpHnrRWujxsXn7x25ewia6q5/eCEKPw8z8hlmtB9OKM3W+sazgZZqA&#10;IC6sbrhScPjeThYgfEDW2FomBRfysM6eRitMte15R+d9qESEsE9RQR2CS6X0RU0G/dQ64uiVtjMY&#10;ouwqqTvsI9y08jVJ5tJgw3GhRkebmoq//cko+P1gl297WZTXjfs65ov283T4UWr8PLwvQQQawn/4&#10;0c61gkh8m8/g/id+AZndAAAA//8DAFBLAQItABQABgAIAAAAIQDb4fbL7gAAAIUBAAATAAAAAAAA&#10;AAAAAAAAAAAAAABbQ29udGVudF9UeXBlc10ueG1sUEsBAi0AFAAGAAgAAAAhAFr0LFu/AAAAFQEA&#10;AAsAAAAAAAAAAAAAAAAAHwEAAF9yZWxzLy5yZWxzUEsBAi0AFAAGAAgAAAAhAJDkgVDHAAAA3wAA&#10;AA8AAAAAAAAAAAAAAAAABwIAAGRycy9kb3ducmV2LnhtbFBLBQYAAAAAAwADALcAAAD7AgAAAAA=&#10;" filled="f" stroked="f">
                  <v:textbox inset="0,0,0,0">
                    <w:txbxContent>
                      <w:p w14:paraId="3258196A" w14:textId="77777777" w:rsidR="00B32EF2" w:rsidRDefault="00000000">
                        <w:r>
                          <w:rPr>
                            <w:rFonts w:ascii="Arial" w:eastAsia="Arial" w:hAnsi="Arial" w:cs="Arial"/>
                            <w:i/>
                            <w:sz w:val="18"/>
                          </w:rPr>
                          <w:t xml:space="preserve">. Se sono proposte davanti a giudici diversi più cause le quali, per ragione </w:t>
                        </w:r>
                      </w:p>
                    </w:txbxContent>
                  </v:textbox>
                </v:rect>
                <v:rect id="Rectangle 200563" o:spid="_x0000_s3164" style="position:absolute;left:25848;top:26566;width:5098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RkkxwAAAN8AAAAPAAAAZHJzL2Rvd25yZXYueG1sRI9PawIx&#10;FMTvQr9DeAVvmm2lIqtZKRbpHnrRWujxsXn7x25ewia6q5/eCEKPw8z8hlmtB9OKM3W+sazgZZqA&#10;IC6sbrhScPjeThYgfEDW2FomBRfysM6eRitMte15R+d9qESEsE9RQR2CS6X0RU0G/dQ64uiVtjMY&#10;ouwqqTvsI9y08jVJ5tJgw3GhRkebmoq//cko+P1gl297WZTXjfs65ov283T4UWr8PLwvQQQawn/4&#10;0c61gkh8m8/g/id+AZndAAAA//8DAFBLAQItABQABgAIAAAAIQDb4fbL7gAAAIUBAAATAAAAAAAA&#10;AAAAAAAAAAAAAABbQ29udGVudF9UeXBlc10ueG1sUEsBAi0AFAAGAAgAAAAhAFr0LFu/AAAAFQEA&#10;AAsAAAAAAAAAAAAAAAAAHwEAAF9yZWxzLy5yZWxzUEsBAi0AFAAGAAgAAAAhAB8NGSTHAAAA3wAA&#10;AA8AAAAAAAAAAAAAAAAABwIAAGRycy9kb3ducmV2LnhtbFBLBQYAAAAAAwADALcAAAD7AgAAAAA=&#10;" filled="f" stroked="f">
                  <v:textbox inset="0,0,0,0">
                    <w:txbxContent>
                      <w:p w14:paraId="6F8386FA" w14:textId="77777777" w:rsidR="00B32EF2" w:rsidRDefault="00000000">
                        <w:r>
                          <w:rPr>
                            <w:rFonts w:ascii="Arial" w:eastAsia="Arial" w:hAnsi="Arial" w:cs="Arial"/>
                            <w:i/>
                            <w:sz w:val="18"/>
                          </w:rPr>
                          <w:t>1</w:t>
                        </w:r>
                      </w:p>
                    </w:txbxContent>
                  </v:textbox>
                </v:rect>
                <v:rect id="Rectangle 17328" o:spid="_x0000_s3165" style="position:absolute;left:-11872;top:25332;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spdxwAAAN4AAAAPAAAAZHJzL2Rvd25yZXYueG1sRI9Ba8JA&#10;EIXvQv/DMoXedFMFldRVikXMoZeqhR6H7Jikzc4u2dWk/fXOoeBthvfmvW9Wm8G16kpdbDwbeJ5k&#10;oIhLbxuuDJyOu/ESVEzIFlvPZOCXImzWD6MV5tb3/EHXQ6qUhHDM0UCdUsi1jmVNDuPEB2LRzr5z&#10;mGTtKm077CXctXqaZXPtsGFpqDHQtqby53BxBr7eOBS7Xpfnv214/y6W7f5y+jTm6XF4fQGVaEh3&#10;8/91YQV/MZsKr7wjM+j1DQAA//8DAFBLAQItABQABgAIAAAAIQDb4fbL7gAAAIUBAAATAAAAAAAA&#10;AAAAAAAAAAAAAABbQ29udGVudF9UeXBlc10ueG1sUEsBAi0AFAAGAAgAAAAhAFr0LFu/AAAAFQEA&#10;AAsAAAAAAAAAAAAAAAAAHwEAAF9yZWxzLy5yZWxzUEsBAi0AFAAGAAgAAAAhANHmyl3HAAAA3gAA&#10;AA8AAAAAAAAAAAAAAAAABwIAAGRycy9kb3ducmV2LnhtbFBLBQYAAAAAAwADALcAAAD7AgAAAAA=&#10;" filled="f" stroked="f">
                  <v:textbox inset="0,0,0,0">
                    <w:txbxContent>
                      <w:p w14:paraId="1BCC2E1A" w14:textId="77777777" w:rsidR="00B32EF2" w:rsidRDefault="00000000">
                        <w:r>
                          <w:rPr>
                            <w:rFonts w:ascii="Arial" w:eastAsia="Arial" w:hAnsi="Arial" w:cs="Arial"/>
                            <w:i/>
                            <w:sz w:val="18"/>
                          </w:rPr>
                          <w:t xml:space="preserve">di connessione, possono essere decise in un solo  processo, il giudice fissa </w:t>
                        </w:r>
                      </w:p>
                    </w:txbxContent>
                  </v:textbox>
                </v:rect>
                <v:rect id="Rectangle 17329" o:spid="_x0000_s3166" style="position:absolute;left:-10912;top:24099;width:500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GxQAAAN4AAAAPAAAAZHJzL2Rvd25yZXYueG1sRE9Na8JA&#10;EL0L/Q/LFLzpRoVqo6uIIs3BS62FHofsmESzs0t2NWl/vVsQvM3jfc5i1Zla3KjxlWUFo2ECgji3&#10;uuJCwfFrN5iB8AFZY22ZFPySh9XypbfAVNuWP+l2CIWIIexTVFCG4FIpfV6SQT+0jjhyJ9sYDBE2&#10;hdQNtjHc1HKcJG/SYMWxoURHm5Lyy+FqFPxs2WW7Vuanv43bn7NZ/XE9fivVf+3WcxCBuvAUP9yZ&#10;jvOnk/E7/L8Tb5DLOwAAAP//AwBQSwECLQAUAAYACAAAACEA2+H2y+4AAACFAQAAEwAAAAAAAAAA&#10;AAAAAAAAAAAAW0NvbnRlbnRfVHlwZXNdLnhtbFBLAQItABQABgAIAAAAIQBa9CxbvwAAABUBAAAL&#10;AAAAAAAAAAAAAAAAAB8BAABfcmVscy8ucmVsc1BLAQItABQABgAIAAAAIQC+qm/GxQAAAN4AAAAP&#10;AAAAAAAAAAAAAAAAAAcCAABkcnMvZG93bnJldi54bWxQSwUGAAAAAAMAAwC3AAAA+QIAAAAA&#10;" filled="f" stroked="f">
                  <v:textbox inset="0,0,0,0">
                    <w:txbxContent>
                      <w:p w14:paraId="4CBC867F" w14:textId="77777777" w:rsidR="00B32EF2" w:rsidRDefault="00000000">
                        <w:r>
                          <w:rPr>
                            <w:rFonts w:ascii="Arial" w:eastAsia="Arial" w:hAnsi="Arial" w:cs="Arial"/>
                            <w:i/>
                            <w:sz w:val="18"/>
                          </w:rPr>
                          <w:t>con ordinanza alle parti un  termine  perentori per la riassunzione della cau</w:t>
                        </w:r>
                      </w:p>
                    </w:txbxContent>
                  </v:textbox>
                </v:rect>
                <v:rect id="Rectangle 17330" o:spid="_x0000_s3167" style="position:absolute;left:975;top:240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VCGyAAAAN4AAAAPAAAAZHJzL2Rvd25yZXYueG1sRI9Pa8JA&#10;EMXvQr/DMgVvumkFK6mrFIs0h178U+hxyI5J2uzskl1N7Kd3DkJvM8yb995vuR5cqy7Uxcazgadp&#10;Boq49LbhysDxsJ0sQMWEbLH1TAauFGG9ehgtMbe+5x1d9qlSYsIxRwN1SiHXOpY1OYxTH4jldvKd&#10;wyRrV2nbYS/mrtXPWTbXDhuWhBoDbWoqf/dnZ+D7nUOx7XV5+tuEz59i0X6cj1/GjB+Ht1dQiYb0&#10;L75/F1bqv8xmAiA4MoNe3QAAAP//AwBQSwECLQAUAAYACAAAACEA2+H2y+4AAACFAQAAEwAAAAAA&#10;AAAAAAAAAAAAAAAAW0NvbnRlbnRfVHlwZXNdLnhtbFBLAQItABQABgAIAAAAIQBa9CxbvwAAABUB&#10;AAALAAAAAAAAAAAAAAAAAB8BAABfcmVscy8ucmVsc1BLAQItABQABgAIAAAAIQCqSVCGyAAAAN4A&#10;AAAPAAAAAAAAAAAAAAAAAAcCAABkcnMvZG93bnJldi54bWxQSwUGAAAAAAMAAwC3AAAA/AIAAAAA&#10;" filled="f" stroked="f">
                  <v:textbox inset="0,0,0,0">
                    <w:txbxContent>
                      <w:p w14:paraId="1BEF1DAD" w14:textId="77777777" w:rsidR="00B32EF2" w:rsidRDefault="00000000">
                        <w:r>
                          <w:rPr>
                            <w:rFonts w:ascii="Arial" w:eastAsia="Arial" w:hAnsi="Arial" w:cs="Arial"/>
                            <w:i/>
                            <w:sz w:val="18"/>
                          </w:rPr>
                          <w:t>-</w:t>
                        </w:r>
                      </w:p>
                    </w:txbxContent>
                  </v:textbox>
                </v:rect>
                <v:rect id="Rectangle 17331" o:spid="_x0000_s3168" style="position:absolute;left:-11899;top:22866;width:51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fUdxAAAAN4AAAAPAAAAZHJzL2Rvd25yZXYueG1sRE9Li8Iw&#10;EL4L+x/CLHjT1BVWqUZZXGR78LI+wOPQjG21mYQm2uqv3ywI3ubje8582Zla3KjxlWUFo2ECgji3&#10;uuJCwX63HkxB+ICssbZMCu7kYbl4680x1bblX7ptQyFiCPsUFZQhuFRKn5dk0A+tI47cyTYGQ4RN&#10;IXWDbQw3tfxIkk9psOLYUKKjVUn5ZXs1Co7f7LJ1K/PTY+U252xa/1z3B6X6793XDESgLrzET3em&#10;4/zJeDyC/3fiDXLxBwAA//8DAFBLAQItABQABgAIAAAAIQDb4fbL7gAAAIUBAAATAAAAAAAAAAAA&#10;AAAAAAAAAABbQ29udGVudF9UeXBlc10ueG1sUEsBAi0AFAAGAAgAAAAhAFr0LFu/AAAAFQEAAAsA&#10;AAAAAAAAAAAAAAAAHwEAAF9yZWxzLy5yZWxzUEsBAi0AFAAGAAgAAAAhAMUF9R3EAAAA3gAAAA8A&#10;AAAAAAAAAAAAAAAABwIAAGRycy9kb3ducmV2LnhtbFBLBQYAAAAAAwADALcAAAD4AgAAAAA=&#10;" filled="f" stroked="f">
                  <v:textbox inset="0,0,0,0">
                    <w:txbxContent>
                      <w:p w14:paraId="50AE884D" w14:textId="77777777" w:rsidR="00B32EF2" w:rsidRDefault="00000000">
                        <w:r>
                          <w:rPr>
                            <w:rFonts w:ascii="Arial" w:eastAsia="Arial" w:hAnsi="Arial" w:cs="Arial"/>
                            <w:i/>
                            <w:sz w:val="18"/>
                          </w:rPr>
                          <w:t xml:space="preserve">sa accessoria davanti al  giudice  della causa principale, e negli altri casi </w:t>
                        </w:r>
                      </w:p>
                    </w:txbxContent>
                  </v:textbox>
                </v:rect>
                <v:rect id="Rectangle 17332" o:spid="_x0000_s3169" style="position:absolute;left:12117;top:21632;width:270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2tqxAAAAN4AAAAPAAAAZHJzL2Rvd25yZXYueG1sRE9Ni8Iw&#10;EL0v+B/CCN7WVIVd6RpFFLEHL7ou7HFoxrbaTEITbfXXb4QFb/N4nzNbdKYWN2p8ZVnBaJiAIM6t&#10;rrhQcPzevE9B+ICssbZMCu7kYTHvvc0w1bblPd0OoRAxhH2KCsoQXCqlz0sy6IfWEUfuZBuDIcKm&#10;kLrBNoabWo6T5EMarDg2lOhoVVJ+OVyNgt81u2zTyvz0WLndOZvW2+vxR6lBv1t+gQjUhZf4353p&#10;OP9zMhnD8514g5z/AQAA//8DAFBLAQItABQABgAIAAAAIQDb4fbL7gAAAIUBAAATAAAAAAAAAAAA&#10;AAAAAAAAAABbQ29udGVudF9UeXBlc10ueG1sUEsBAi0AFAAGAAgAAAAhAFr0LFu/AAAAFQEAAAsA&#10;AAAAAAAAAAAAAAAAHwEAAF9yZWxzLy5yZWxzUEsBAi0AFAAGAAgAAAAhADXXa2rEAAAA3gAAAA8A&#10;AAAAAAAAAAAAAAAABwIAAGRycy9kb3ducmV2LnhtbFBLBQYAAAAAAwADALcAAAD4AgAAAAA=&#10;" filled="f" stroked="f">
                  <v:textbox inset="0,0,0,0">
                    <w:txbxContent>
                      <w:p w14:paraId="40D3D213" w14:textId="77777777" w:rsidR="00B32EF2" w:rsidRDefault="00000000">
                        <w:r>
                          <w:rPr>
                            <w:rFonts w:ascii="Arial" w:eastAsia="Arial" w:hAnsi="Arial" w:cs="Arial"/>
                            <w:i/>
                            <w:sz w:val="18"/>
                          </w:rPr>
                          <w:t xml:space="preserve">davanti a quello preventivamente adito. </w:t>
                        </w:r>
                      </w:p>
                    </w:txbxContent>
                  </v:textbox>
                </v:rect>
                <v:rect id="Rectangle 200561" o:spid="_x0000_s3170" style="position:absolute;left:25853;top:20399;width:509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yLIxwAAAN8AAAAPAAAAZHJzL2Rvd25yZXYueG1sRI9Ba8JA&#10;FITvhf6H5RV6qxsLDSF1FbFIc/BiaqHHR/aZpGbfLtk1Sf31riD0OMzMN8xiNZlODNT71rKC+SwB&#10;QVxZ3XKt4PC1fclA+ICssbNMCv7Iw2r5+LDAXNuR9zSUoRYRwj5HBU0ILpfSVw0Z9DPriKN3tL3B&#10;EGVfS93jGOGmk69JkkqDLceFBh1tGqpO5dko+PlgV2xHWR0vG7f7LbLu83z4Vur5aVq/gwg0hf/w&#10;vV1oBZH4ls7h9id+Abm8AgAA//8DAFBLAQItABQABgAIAAAAIQDb4fbL7gAAAIUBAAATAAAAAAAA&#10;AAAAAAAAAAAAAABbQ29udGVudF9UeXBlc10ueG1sUEsBAi0AFAAGAAgAAAAhAFr0LFu/AAAAFQEA&#10;AAsAAAAAAAAAAAAAAAAAHwEAAF9yZWxzLy5yZWxzUEsBAi0AFAAGAAgAAAAhAICTIsjHAAAA3wAA&#10;AA8AAAAAAAAAAAAAAAAABwIAAGRycy9kb3ducmV2LnhtbFBLBQYAAAAAAwADALcAAAD7AgAAAAA=&#10;" filled="f" stroked="f">
                  <v:textbox inset="0,0,0,0">
                    <w:txbxContent>
                      <w:p w14:paraId="3A74D8C4" w14:textId="77777777" w:rsidR="00B32EF2" w:rsidRDefault="00000000">
                        <w:r>
                          <w:rPr>
                            <w:rFonts w:ascii="Arial" w:eastAsia="Arial" w:hAnsi="Arial" w:cs="Arial"/>
                            <w:i/>
                            <w:sz w:val="18"/>
                          </w:rPr>
                          <w:t>2</w:t>
                        </w:r>
                      </w:p>
                    </w:txbxContent>
                  </v:textbox>
                </v:rect>
                <v:rect id="Rectangle 200562" o:spid="_x0000_s3171" style="position:absolute;left:-12513;top:20399;width:509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y/xwAAAN8AAAAPAAAAZHJzL2Rvd25yZXYueG1sRI9Ba8JA&#10;FITvQv/D8gq96aYBg0RXkRQxh15qLfT4yD6TaPbtkl2TtL++Wyj0OMzMN8xmN5lODNT71rKC50UC&#10;griyuuVawfn9MF+B8AFZY2eZFHyRh932YbbBXNuR32g4hVpECPscFTQhuFxKXzVk0C+sI47exfYG&#10;Q5R9LXWPY4SbTqZJkkmDLceFBh0VDVW3090o+HxhVx5GWV2+C/d6LVfd8X7+UOrpcdqvQQSawn/4&#10;r11qBZG4zFL4/RO/gNz+AAAA//8DAFBLAQItABQABgAIAAAAIQDb4fbL7gAAAIUBAAATAAAAAAAA&#10;AAAAAAAAAAAAAABbQ29udGVudF9UeXBlc10ueG1sUEsBAi0AFAAGAAgAAAAhAFr0LFu/AAAAFQEA&#10;AAsAAAAAAAAAAAAAAAAAHwEAAF9yZWxzLy5yZWxzUEsBAi0AFAAGAAgAAAAhAHBBvL/HAAAA3wAA&#10;AA8AAAAAAAAAAAAAAAAABwIAAGRycy9kb3ducmV2LnhtbFBLBQYAAAAAAwADALcAAAD7AgAAAAA=&#10;" filled="f" stroked="f">
                  <v:textbox inset="0,0,0,0">
                    <w:txbxContent>
                      <w:p w14:paraId="0D619812" w14:textId="77777777" w:rsidR="00B32EF2" w:rsidRDefault="00000000">
                        <w:r>
                          <w:rPr>
                            <w:rFonts w:ascii="Arial" w:eastAsia="Arial" w:hAnsi="Arial" w:cs="Arial"/>
                            <w:i/>
                            <w:sz w:val="18"/>
                          </w:rPr>
                          <w:t xml:space="preserve">. La connessione non può essere eccepita dalle  parti  nè  rilevata d’ufficio </w:t>
                        </w:r>
                      </w:p>
                    </w:txbxContent>
                  </v:textbox>
                </v:rect>
                <v:rect id="Rectangle 17334" o:spid="_x0000_s3172" style="position:absolute;left:-11869;top:19166;width:509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laFxQAAAN4AAAAPAAAAZHJzL2Rvd25yZXYueG1sRE9La8JA&#10;EL4X/A/LCN7qprWoRFcpiphDL/UBHofsmMRmZ5fsamJ/fbcgeJuP7znzZWdqcaPGV5YVvA0TEMS5&#10;1RUXCg77zesUhA/IGmvLpOBOHpaL3sscU21b/qbbLhQihrBPUUEZgkul9HlJBv3QOuLInW1jMETY&#10;FFI32MZwU8v3JBlLgxXHhhIdrUrKf3ZXo+C0ZpdtWpmff1fu65JN6+31cFRq0O8+ZyACdeEpfrgz&#10;HedPRqMP+H8n3iAXfwAAAP//AwBQSwECLQAUAAYACAAAACEA2+H2y+4AAACFAQAAEwAAAAAAAAAA&#10;AAAAAAAAAAAAW0NvbnRlbnRfVHlwZXNdLnhtbFBLAQItABQABgAIAAAAIQBa9CxbvwAAABUBAAAL&#10;AAAAAAAAAAAAAAAAAB8BAABfcmVscy8ucmVsc1BLAQItABQABgAIAAAAIQDVclaFxQAAAN4AAAAP&#10;AAAAAAAAAAAAAAAAAAcCAABkcnMvZG93bnJldi54bWxQSwUGAAAAAAMAAwC3AAAA+QIAAAAA&#10;" filled="f" stroked="f">
                  <v:textbox inset="0,0,0,0">
                    <w:txbxContent>
                      <w:p w14:paraId="30374A67" w14:textId="77777777" w:rsidR="00B32EF2" w:rsidRDefault="00000000">
                        <w:r>
                          <w:rPr>
                            <w:rFonts w:ascii="Arial" w:eastAsia="Arial" w:hAnsi="Arial" w:cs="Arial"/>
                            <w:i/>
                            <w:sz w:val="18"/>
                          </w:rPr>
                          <w:t xml:space="preserve">dopo la prima udienza, e  la  rimessione  non  può  essere ordinata quando </w:t>
                        </w:r>
                      </w:p>
                    </w:txbxContent>
                  </v:textbox>
                </v:rect>
                <v:rect id="Rectangle 17349" o:spid="_x0000_s3173" style="position:absolute;left:-11552;top:17932;width:509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pmxQAAAN4AAAAPAAAAZHJzL2Rvd25yZXYueG1sRE9Na8JA&#10;EL0X+h+WKXirm7ZSY+oqxSLm4EVrweOQHZO02dklu5ror3eFgrd5vM+ZznvTiBO1vras4GWYgCAu&#10;rK65VLD7Xj6nIHxA1thYJgVn8jCfPT5MMdO24w2dtqEUMYR9hgqqEFwmpS8qMuiH1hFH7mBbgyHC&#10;tpS6xS6Gm0a+Jsm7NFhzbKjQ0aKi4m97NAr2X+zyZSeLw2Xh1r952qyOux+lBk/95weIQH24i//d&#10;uY7zx2+jCdzeiTfI2RUAAP//AwBQSwECLQAUAAYACAAAACEA2+H2y+4AAACFAQAAEwAAAAAAAAAA&#10;AAAAAAAAAAAAW0NvbnRlbnRfVHlwZXNdLnhtbFBLAQItABQABgAIAAAAIQBa9CxbvwAAABUBAAAL&#10;AAAAAAAAAAAAAAAAAB8BAABfcmVscy8ucmVsc1BLAQItABQABgAIAAAAIQBjdYpmxQAAAN4AAAAP&#10;AAAAAAAAAAAAAAAAAAcCAABkcnMvZG93bnJldi54bWxQSwUGAAAAAAMAAwC3AAAA+QIAAAAA&#10;" filled="f" stroked="f">
                  <v:textbox inset="0,0,0,0">
                    <w:txbxContent>
                      <w:p w14:paraId="06D47BF8" w14:textId="77777777" w:rsidR="00B32EF2" w:rsidRDefault="00000000">
                        <w:r>
                          <w:rPr>
                            <w:rFonts w:ascii="Arial" w:eastAsia="Arial" w:hAnsi="Arial" w:cs="Arial"/>
                            <w:i/>
                            <w:sz w:val="18"/>
                          </w:rPr>
                          <w:t>lo stato della  causa  principale  o  preventivamente proposta non consente</w:t>
                        </w:r>
                      </w:p>
                    </w:txbxContent>
                  </v:textbox>
                </v:rect>
                <v:rect id="Rectangle 17350" o:spid="_x0000_s3174" style="position:absolute;left:-49907;top:17932;width:509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UmyAAAAN4AAAAPAAAAZHJzL2Rvd25yZXYueG1sRI9Bb8Iw&#10;DIXvk/YfIk/iNtJt2kAdAU1MiB64DJi0o9WYtlvjRE2gHb8eH5C42fLze++bLQbXqhN1sfFs4Gmc&#10;gSIuvW24MrDfrR6noGJCtth6JgP/FGExv7+bYW59z1902qZKiQnHHA3UKYVc61jW5DCOfSCW28F3&#10;DpOsXaVth72Yu1Y/Z9mbdtiwJNQYaFlT+bc9OgM/nxyKVa/Lw3kZNr/FtF0f99/GjB6Gj3dQiYZ0&#10;E1+/Cyv1Jy+vAiA4MoOeXwAAAP//AwBQSwECLQAUAAYACAAAACEA2+H2y+4AAACFAQAAEwAAAAAA&#10;AAAAAAAAAAAAAAAAW0NvbnRlbnRfVHlwZXNdLnhtbFBLAQItABQABgAIAAAAIQBa9CxbvwAAABUB&#10;AAALAAAAAAAAAAAAAAAAAB8BAABfcmVscy8ucmVsc1BLAQItABQABgAIAAAAIQB3lrUmyAAAAN4A&#10;AAAPAAAAAAAAAAAAAAAAAAcCAABkcnMvZG93bnJldi54bWxQSwUGAAAAAAMAAwC3AAAA/AIAAAAA&#10;" filled="f" stroked="f">
                  <v:textbox inset="0,0,0,0">
                    <w:txbxContent>
                      <w:p w14:paraId="61A6663F" w14:textId="77777777" w:rsidR="00B32EF2" w:rsidRDefault="00000000">
                        <w:r>
                          <w:rPr>
                            <w:rFonts w:ascii="Arial" w:eastAsia="Arial" w:hAnsi="Arial" w:cs="Arial"/>
                            <w:i/>
                            <w:sz w:val="18"/>
                          </w:rPr>
                          <w:t xml:space="preserve"> </w:t>
                        </w:r>
                      </w:p>
                    </w:txbxContent>
                  </v:textbox>
                </v:rect>
                <v:rect id="Rectangle 17336" o:spid="_x0000_s3175" style="position:absolute;left:-2276;top:16699;width:414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G1pxAAAAN4AAAAPAAAAZHJzL2Rvd25yZXYueG1sRE9Ni8Iw&#10;EL0L/ocwgjdNVXClaxRRxB72sq4Lexyasa02k9BEW/31m4UFb/N4n7Ncd6YWd2p8ZVnBZJyAIM6t&#10;rrhQcPrajxYgfEDWWFsmBQ/ysF71e0tMtW35k+7HUIgYwj5FBWUILpXS5yUZ9GPriCN3to3BEGFT&#10;SN1gG8NNLadJMpcGK44NJTralpRfjzej4GfHLtu3Mj8/t+7jki3qw+30rdRw0G3eQQTqwkv87850&#10;nP82m83h7514g1z9AgAA//8DAFBLAQItABQABgAIAAAAIQDb4fbL7gAAAIUBAAATAAAAAAAAAAAA&#10;AAAAAAAAAABbQ29udGVudF9UeXBlc10ueG1sUEsBAi0AFAAGAAgAAAAhAFr0LFu/AAAAFQEAAAsA&#10;AAAAAAAAAAAAAAAAHwEAAF9yZWxzLy5yZWxzUEsBAi0AFAAGAAgAAAAhAErsbWnEAAAA3gAAAA8A&#10;AAAAAAAAAAAAAAAABwIAAGRycy9kb3ducmV2LnhtbFBLBQYAAAAAAwADALcAAAD4AgAAAAA=&#10;" filled="f" stroked="f">
                  <v:textbox inset="0,0,0,0">
                    <w:txbxContent>
                      <w:p w14:paraId="634B058C" w14:textId="77777777" w:rsidR="00B32EF2" w:rsidRDefault="00000000">
                        <w:r>
                          <w:rPr>
                            <w:rFonts w:ascii="Arial" w:eastAsia="Arial" w:hAnsi="Arial" w:cs="Arial"/>
                            <w:i/>
                            <w:sz w:val="18"/>
                          </w:rPr>
                          <w:t xml:space="preserve">l’esauriente  trattazione  e  decisione  delle cause connesse. </w:t>
                        </w:r>
                      </w:p>
                    </w:txbxContent>
                  </v:textbox>
                </v:rect>
                <v:rect id="Rectangle 200559" o:spid="_x0000_s3176" style="position:absolute;left:26084;top:15466;width:500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RzxwAAAN8AAAAPAAAAZHJzL2Rvd25yZXYueG1sRI9PawIx&#10;FMTvBb9DeEJvmrWg2K1ZEUW6h15qFTw+Nm//1M1L2ER3209vCkKPw8z8hlmtB9OKG3W+saxgNk1A&#10;EBdWN1wpOH7tJ0sQPiBrbC2Tgh/ysM5GTytMte35k26HUIkIYZ+igjoEl0rpi5oM+ql1xNErbWcw&#10;RNlVUnfYR7hp5UuSLKTBhuNCjY62NRWXw9UoOO/Y5fteFuXv1n1858v2/Xo8KfU8HjZvIAIN4T/8&#10;aOdaQSTO56/w9yd+AZndAQAA//8DAFBLAQItABQABgAIAAAAIQDb4fbL7gAAAIUBAAATAAAAAAAA&#10;AAAAAAAAAAAAAABbQ29udGVudF9UeXBlc10ueG1sUEsBAi0AFAAGAAgAAAAhAFr0LFu/AAAAFQEA&#10;AAsAAAAAAAAAAAAAAAAAHwEAAF9yZWxzLy5yZWxzUEsBAi0AFAAGAAgAAAAhALCJ5HPHAAAA3wAA&#10;AA8AAAAAAAAAAAAAAAAABwIAAGRycy9kb3ducmV2LnhtbFBLBQYAAAAAAwADALcAAAD7AgAAAAA=&#10;" filled="f" stroked="f">
                  <v:textbox inset="0,0,0,0">
                    <w:txbxContent>
                      <w:p w14:paraId="1175BF33" w14:textId="77777777" w:rsidR="00B32EF2" w:rsidRDefault="00000000">
                        <w:r>
                          <w:rPr>
                            <w:rFonts w:ascii="Arial" w:eastAsia="Arial" w:hAnsi="Arial" w:cs="Arial"/>
                            <w:i/>
                            <w:sz w:val="18"/>
                          </w:rPr>
                          <w:t>3</w:t>
                        </w:r>
                      </w:p>
                    </w:txbxContent>
                  </v:textbox>
                </v:rect>
                <v:rect id="Rectangle 200560" o:spid="_x0000_s3177" style="position:absolute;left:-11561;top:15466;width:500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4dTxwAAAN8AAAAPAAAAZHJzL2Rvd25yZXYueG1sRI9Na8JA&#10;EIbvhf6HZQq91U0LFUldRSzSHLz4BR6H7JikZmeX7Gpif33nIHgc3nmfl2c6H1yrrtTFxrOB91EG&#10;irj0tuHKwH63epuAignZYuuZDNwownz2/DTF3PqeN3TdpkoJhGOOBuqUQq51LGtyGEc+EEt28p3D&#10;JGdXadthL3DX6o8sG2uHDctCjYGWNZXn7cUZOH5zKFa9Lk9/y7D+LSbtz2V/MOb1ZVh8gUo0pMfz&#10;vV1YA0L8HIuB+IgL6Nk/AAAA//8DAFBLAQItABQABgAIAAAAIQDb4fbL7gAAAIUBAAATAAAAAAAA&#10;AAAAAAAAAAAAAABbQ29udGVudF9UeXBlc10ueG1sUEsBAi0AFAAGAAgAAAAhAFr0LFu/AAAAFQEA&#10;AAsAAAAAAAAAAAAAAAAAHwEAAF9yZWxzLy5yZWxzUEsBAi0AFAAGAAgAAAAhAO/fh1PHAAAA3wAA&#10;AA8AAAAAAAAAAAAAAAAABwIAAGRycy9kb3ducmV2LnhtbFBLBQYAAAAAAwADALcAAAD7AgAAAAA=&#10;" filled="f" stroked="f">
                  <v:textbox inset="0,0,0,0">
                    <w:txbxContent>
                      <w:p w14:paraId="1CABD361" w14:textId="77777777" w:rsidR="00B32EF2" w:rsidRDefault="00000000">
                        <w:r>
                          <w:rPr>
                            <w:rFonts w:ascii="Arial" w:eastAsia="Arial" w:hAnsi="Arial" w:cs="Arial"/>
                            <w:i/>
                            <w:sz w:val="18"/>
                          </w:rPr>
                          <w:t>. Nei casi previsti negli articoli 31, 32, 34, 35  e  36,  le  cause, cumulati</w:t>
                        </w:r>
                      </w:p>
                    </w:txbxContent>
                  </v:textbox>
                </v:rect>
                <v:rect id="Rectangle 17338" o:spid="_x0000_s3178" style="position:absolute;left:975;top:154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1yAyAAAAN4AAAAPAAAAZHJzL2Rvd25yZXYueG1sRI9Pa8JA&#10;EMXvQr/DMgVvumkFK6mrFIs0h178U+hxyI5J2uzskl1N7Kd3DkJvM7w37/1muR5cqy7Uxcazgadp&#10;Boq49LbhysDxsJ0sQMWEbLH1TAauFGG9ehgtMbe+5x1d9qlSEsIxRwN1SiHXOpY1OYxTH4hFO/nO&#10;YZK1q7TtsJdw1+rnLJtrhw1LQ42BNjWVv/uzM/D9zqHY9ro8/W3C50+xaD/Oxy9jxo/D2yuoREP6&#10;N9+vCyv4L7OZ8Mo7MoNe3QAAAP//AwBQSwECLQAUAAYACAAAACEA2+H2y+4AAACFAQAAEwAAAAAA&#10;AAAAAAAAAAAAAAAAW0NvbnRlbnRfVHlwZXNdLnhtbFBLAQItABQABgAIAAAAIQBa9CxbvwAAABUB&#10;AAALAAAAAAAAAAAAAAAAAB8BAABfcmVscy8ucmVsc1BLAQItABQABgAIAAAAIQBUP1yAyAAAAN4A&#10;AAAPAAAAAAAAAAAAAAAAAAcCAABkcnMvZG93bnJldi54bWxQSwUGAAAAAAMAAwC3AAAA/AIAAAAA&#10;" filled="f" stroked="f">
                  <v:textbox inset="0,0,0,0">
                    <w:txbxContent>
                      <w:p w14:paraId="4D76092E" w14:textId="77777777" w:rsidR="00B32EF2" w:rsidRDefault="00000000">
                        <w:r>
                          <w:rPr>
                            <w:rFonts w:ascii="Arial" w:eastAsia="Arial" w:hAnsi="Arial" w:cs="Arial"/>
                            <w:i/>
                            <w:sz w:val="18"/>
                          </w:rPr>
                          <w:t>-</w:t>
                        </w:r>
                      </w:p>
                    </w:txbxContent>
                  </v:textbox>
                </v:rect>
                <v:rect id="Rectangle 17339" o:spid="_x0000_s3179" style="position:absolute;left:-11885;top:14233;width:5105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kbxQAAAN4AAAAPAAAAZHJzL2Rvd25yZXYueG1sRE9Na8JA&#10;EL0L/Q/LFLzpRoXWRlcRRczBS62FHofsmESzs0t2NbG/3i0UvM3jfc582Zla3KjxlWUFo2ECgji3&#10;uuJCwfFrO5iC8AFZY22ZFNzJw3Lx0ptjqm3Ln3Q7hELEEPYpKihDcKmUPi/JoB9aRxy5k20Mhgib&#10;QuoG2xhuajlOkjdpsOLYUKKjdUn55XA1Cn427LJtK/PT79rtz9m03l2P30r1X7vVDESgLjzF/+5M&#10;x/nvk8kH/L0Tb5CLBwAAAP//AwBQSwECLQAUAAYACAAAACEA2+H2y+4AAACFAQAAEwAAAAAAAAAA&#10;AAAAAAAAAAAAW0NvbnRlbnRfVHlwZXNdLnhtbFBLAQItABQABgAIAAAAIQBa9CxbvwAAABUBAAAL&#10;AAAAAAAAAAAAAAAAAB8BAABfcmVscy8ucmVsc1BLAQItABQABgAIAAAAIQA7c/kbxQAAAN4AAAAP&#10;AAAAAAAAAAAAAAAAAAcCAABkcnMvZG93bnJldi54bWxQSwUGAAAAAAMAAwC3AAAA+QIAAAAA&#10;" filled="f" stroked="f">
                  <v:textbox inset="0,0,0,0">
                    <w:txbxContent>
                      <w:p w14:paraId="0F802B1E" w14:textId="77777777" w:rsidR="00B32EF2" w:rsidRDefault="00000000">
                        <w:r>
                          <w:rPr>
                            <w:rFonts w:ascii="Arial" w:eastAsia="Arial" w:hAnsi="Arial" w:cs="Arial"/>
                            <w:i/>
                            <w:sz w:val="18"/>
                          </w:rPr>
                          <w:t xml:space="preserve">vamente proposte o successivamente  riunite,  debbono  essere trattate e </w:t>
                        </w:r>
                      </w:p>
                    </w:txbxContent>
                  </v:textbox>
                </v:rect>
                <v:rect id="Rectangle 17340" o:spid="_x0000_s3180" style="position:absolute;left:-11868;top:12999;width:509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yP7yAAAAN4AAAAPAAAAZHJzL2Rvd25yZXYueG1sRI9Pb8Iw&#10;DMXvk/YdIk/iNtL90UAdAU1MiB64DJi0o9WYtlvjRE2gHZ8eH5C42fLze+83WwyuVSfqYuPZwNM4&#10;A0VcettwZWC/Wz1OQcWEbLH1TAb+KcJifn83w9z6nr/otE2VEhOOORqoUwq51rGsyWEc+0Ast4Pv&#10;HCZZu0rbDnsxd61+zrI37bBhSagx0LKm8m97dAZ+PjkUq16Xh/MybH6Labs+7r+NGT0MH++gEg3p&#10;Jr5+F1bqT15eBUBwZAY9vwAAAP//AwBQSwECLQAUAAYACAAAACEA2+H2y+4AAACFAQAAEwAAAAAA&#10;AAAAAAAAAAAAAAAAW0NvbnRlbnRfVHlwZXNdLnhtbFBLAQItABQABgAIAAAAIQBa9CxbvwAAABUB&#10;AAALAAAAAAAAAAAAAAAAAB8BAABfcmVscy8ucmVsc1BLAQItABQABgAIAAAAIQDyTyP7yAAAAN4A&#10;AAAPAAAAAAAAAAAAAAAAAAcCAABkcnMvZG93bnJldi54bWxQSwUGAAAAAAMAAwC3AAAA/AIAAAAA&#10;" filled="f" stroked="f">
                  <v:textbox inset="0,0,0,0">
                    <w:txbxContent>
                      <w:p w14:paraId="6094059C" w14:textId="77777777" w:rsidR="00B32EF2" w:rsidRDefault="00000000">
                        <w:r>
                          <w:rPr>
                            <w:rFonts w:ascii="Arial" w:eastAsia="Arial" w:hAnsi="Arial" w:cs="Arial"/>
                            <w:i/>
                            <w:sz w:val="18"/>
                          </w:rPr>
                          <w:t xml:space="preserve">decise col rito ordinario, salva l’applicazione  del  solo rito speciale quando </w:t>
                        </w:r>
                      </w:p>
                    </w:txbxContent>
                  </v:textbox>
                </v:rect>
                <v:rect id="Rectangle 17341" o:spid="_x0000_s3181" style="position:absolute;left:-6811;top:11766;width:459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4ZgxQAAAN4AAAAPAAAAZHJzL2Rvd25yZXYueG1sRE9La8JA&#10;EL4X/A/LCN7qxlpUoquIRZpDL/UBHofsmESzs0t2NWl/fbcgeJuP7zmLVWdqcafGV5YVjIYJCOLc&#10;6ooLBYf99nUGwgdkjbVlUvBDHlbL3ssCU21b/qb7LhQihrBPUUEZgkul9HlJBv3QOuLInW1jMETY&#10;FFI32MZwU8u3JJlIgxXHhhIdbUrKr7ubUXD6YJdtW5mffzfu65LN6s/b4ajUoN+t5yACdeEpfrgz&#10;HedPx+8j+H8n3iCXfwAAAP//AwBQSwECLQAUAAYACAAAACEA2+H2y+4AAACFAQAAEwAAAAAAAAAA&#10;AAAAAAAAAAAAW0NvbnRlbnRfVHlwZXNdLnhtbFBLAQItABQABgAIAAAAIQBa9CxbvwAAABUBAAAL&#10;AAAAAAAAAAAAAAAAAB8BAABfcmVscy8ucmVsc1BLAQItABQABgAIAAAAIQCdA4ZgxQAAAN4AAAAP&#10;AAAAAAAAAAAAAAAAAAcCAABkcnMvZG93bnJldi54bWxQSwUGAAAAAAMAAwC3AAAA+QIAAAAA&#10;" filled="f" stroked="f">
                  <v:textbox inset="0,0,0,0">
                    <w:txbxContent>
                      <w:p w14:paraId="3351FE46" w14:textId="77777777" w:rsidR="00B32EF2" w:rsidRDefault="00000000">
                        <w:r>
                          <w:rPr>
                            <w:rFonts w:ascii="Arial" w:eastAsia="Arial" w:hAnsi="Arial" w:cs="Arial"/>
                            <w:i/>
                            <w:sz w:val="18"/>
                          </w:rPr>
                          <w:t xml:space="preserve">una di tali cause rientri  fra  quelle  indicate negli articoli 409 e 442. </w:t>
                        </w:r>
                      </w:p>
                    </w:txbxContent>
                  </v:textbox>
                </v:rect>
                <v:rect id="Rectangle 200557" o:spid="_x0000_s3182" style="position:absolute;left:25853;top:10533;width:509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tWaxwAAAN8AAAAPAAAAZHJzL2Rvd25yZXYueG1sRI9Pi8Iw&#10;FMTvwn6H8Ba8abqCf6hGERexh73ourDHR/Nsq81LaKKt++mNIOxxmJnfMItVZ2pxo8ZXlhV8DBMQ&#10;xLnVFRcKjt/bwQyED8gaa8uk4E4eVsu33gJTbVve0+0QChEh7FNUUIbgUil9XpJBP7SOOHon2xgM&#10;UTaF1A22EW5qOUqSiTRYcVwo0dGmpPxyuBoFv5/ssm0r89Pfxn2ds1m9ux5/lOq/d+s5iEBd+A+/&#10;2plWEInj8RSef+IXkMsHAAAA//8DAFBLAQItABQABgAIAAAAIQDb4fbL7gAAAIUBAAATAAAAAAAA&#10;AAAAAAAAAAAAAABbQ29udGVudF9UeXBlc10ueG1sUEsBAi0AFAAGAAgAAAAhAFr0LFu/AAAAFQEA&#10;AAsAAAAAAAAAAAAAAAAAHwEAAF9yZWxzLy5yZWxzUEsBAi0AFAAGAAgAAAAhAK5a1ZrHAAAA3wAA&#10;AA8AAAAAAAAAAAAAAAAABwIAAGRycy9kb3ducmV2LnhtbFBLBQYAAAAAAwADALcAAAD7AgAAAAA=&#10;" filled="f" stroked="f">
                  <v:textbox inset="0,0,0,0">
                    <w:txbxContent>
                      <w:p w14:paraId="3E42BEAC" w14:textId="77777777" w:rsidR="00B32EF2" w:rsidRDefault="00000000">
                        <w:r>
                          <w:rPr>
                            <w:rFonts w:ascii="Arial" w:eastAsia="Arial" w:hAnsi="Arial" w:cs="Arial"/>
                            <w:i/>
                            <w:sz w:val="18"/>
                          </w:rPr>
                          <w:t>4</w:t>
                        </w:r>
                      </w:p>
                    </w:txbxContent>
                  </v:textbox>
                </v:rect>
                <v:rect id="Rectangle 200558" o:spid="_x0000_s3183" style="position:absolute;left:-12513;top:10533;width:509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UHoxwAAAN8AAAAPAAAAZHJzL2Rvd25yZXYueG1sRI9Na8JA&#10;EIbvQv/DMoXedFPBIqmriEXMoRc/Cj0O2TFJzc4u2dWk/fXOoeBxeOd9Zp7FanCtulEXG88GXicZ&#10;KOLS24YrA6fjdjwHFROyxdYzGfilCKvl02iBufU97+l2SJUSCMccDdQphVzrWNbkME58IJbs7DuH&#10;Scau0rbDXuCu1dMse9MOG5YLNQba1FReDldn4PuDQ7HtdXn+24TPn2Le7q6nL2Nenof1O6hEQ3os&#10;/7cLa0CIs5k8LD7iAnp5BwAA//8DAFBLAQItABQABgAIAAAAIQDb4fbL7gAAAIUBAAATAAAAAAAA&#10;AAAAAAAAAAAAAABbQ29udGVudF9UeXBlc10ueG1sUEsBAi0AFAAGAAgAAAAhAFr0LFu/AAAAFQEA&#10;AAsAAAAAAAAAAAAAAAAAHwEAAF9yZWxzLy5yZWxzUEsBAi0AFAAGAAgAAAAhAN/FQejHAAAA3wAA&#10;AA8AAAAAAAAAAAAAAAAABwIAAGRycy9kb3ducmV2LnhtbFBLBQYAAAAAAwADALcAAAD7AgAAAAA=&#10;" filled="f" stroked="f">
                  <v:textbox inset="0,0,0,0">
                    <w:txbxContent>
                      <w:p w14:paraId="1D07A16A" w14:textId="77777777" w:rsidR="00B32EF2" w:rsidRDefault="00000000">
                        <w:r>
                          <w:rPr>
                            <w:rFonts w:ascii="Arial" w:eastAsia="Arial" w:hAnsi="Arial" w:cs="Arial"/>
                            <w:i/>
                            <w:sz w:val="18"/>
                          </w:rPr>
                          <w:t xml:space="preserve">. Qualora le cause connesse  siano  assoggettate  a  differenti  riti speciali </w:t>
                        </w:r>
                      </w:p>
                    </w:txbxContent>
                  </v:textbox>
                </v:rect>
                <v:rect id="Rectangle 17351" o:spid="_x0000_s3184" style="position:absolute;left:-11573;top:9299;width:510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C9xQAAAN4AAAAPAAAAZHJzL2Rvd25yZXYueG1sRE9La8JA&#10;EL4X/A/LCN7qxkpVoquIRZpDL/UBHofsmESzs0t2NWl/fbcgeJuP7zmLVWdqcafGV5YVjIYJCOLc&#10;6ooLBYf99nUGwgdkjbVlUvBDHlbL3ssCU21b/qb7LhQihrBPUUEZgkul9HlJBv3QOuLInW1jMETY&#10;FFI32MZwU8u3JJlIgxXHhhIdbUrKr7ubUXD6YJdtW5mffzfu65LN6s/b4ajUoN+t5yACdeEpfrgz&#10;HedPx+8j+H8n3iCXfwAAAP//AwBQSwECLQAUAAYACAAAACEA2+H2y+4AAACFAQAAEwAAAAAAAAAA&#10;AAAAAAAAAAAAW0NvbnRlbnRfVHlwZXNdLnhtbFBLAQItABQABgAIAAAAIQBa9CxbvwAAABUBAAAL&#10;AAAAAAAAAAAAAAAAAB8BAABfcmVscy8ucmVsc1BLAQItABQABgAIAAAAIQAY2hC9xQAAAN4AAAAP&#10;AAAAAAAAAAAAAAAAAAcCAABkcnMvZG93bnJldi54bWxQSwUGAAAAAAMAAwC3AAAA+QIAAAAA&#10;" filled="f" stroked="f">
                  <v:textbox inset="0,0,0,0">
                    <w:txbxContent>
                      <w:p w14:paraId="41FCB7A5" w14:textId="77777777" w:rsidR="00B32EF2" w:rsidRDefault="00000000">
                        <w:r>
                          <w:rPr>
                            <w:rFonts w:ascii="Arial" w:eastAsia="Arial" w:hAnsi="Arial" w:cs="Arial"/>
                            <w:i/>
                            <w:sz w:val="18"/>
                          </w:rPr>
                          <w:t>debbono essere trattate  e  decise  col  rito  previsto  per quella  tra  esse</w:t>
                        </w:r>
                      </w:p>
                    </w:txbxContent>
                  </v:textbox>
                </v:rect>
                <v:rect id="Rectangle 17352" o:spid="_x0000_s3185" style="position:absolute;left:-49929;top:9299;width:510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I7KxQAAAN4AAAAPAAAAZHJzL2Rvd25yZXYueG1sRE9La8JA&#10;EL4X/A/LCN7qpkpVoqsUi5hDL/UBHofsmMRmZ5fsamJ/fbcgeJuP7zmLVWdqcaPGV5YVvA0TEMS5&#10;1RUXCg77zesMhA/IGmvLpOBOHlbL3ssCU21b/qbbLhQihrBPUUEZgkul9HlJBv3QOuLInW1jMETY&#10;FFI32MZwU8tRkkykwYpjQ4mO1iXlP7urUXD6ZJdtWpmff9fu65LN6u31cFRq0O8+5iACdeEpfrgz&#10;HedPx+8j+H8n3iCXfwAAAP//AwBQSwECLQAUAAYACAAAACEA2+H2y+4AAACFAQAAEwAAAAAAAAAA&#10;AAAAAAAAAAAAW0NvbnRlbnRfVHlwZXNdLnhtbFBLAQItABQABgAIAAAAIQBa9CxbvwAAABUBAAAL&#10;AAAAAAAAAAAAAAAAAB8BAABfcmVscy8ucmVsc1BLAQItABQABgAIAAAAIQDoCI7KxQAAAN4AAAAP&#10;AAAAAAAAAAAAAAAAAAcCAABkcnMvZG93bnJldi54bWxQSwUGAAAAAAMAAwC3AAAA+QIAAAAA&#10;" filled="f" stroked="f">
                  <v:textbox inset="0,0,0,0">
                    <w:txbxContent>
                      <w:p w14:paraId="77D65891" w14:textId="77777777" w:rsidR="00B32EF2" w:rsidRDefault="00000000">
                        <w:r>
                          <w:rPr>
                            <w:rFonts w:ascii="Arial" w:eastAsia="Arial" w:hAnsi="Arial" w:cs="Arial"/>
                            <w:i/>
                            <w:sz w:val="18"/>
                          </w:rPr>
                          <w:t xml:space="preserve"> </w:t>
                        </w:r>
                      </w:p>
                    </w:txbxContent>
                  </v:textbox>
                </v:rect>
                <v:rect id="Rectangle 17344" o:spid="_x0000_s3186" style="position:absolute;left:-11866;top:8066;width:509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X4xQAAAN4AAAAPAAAAZHJzL2Rvd25yZXYueG1sRE9La8JA&#10;EL4X/A/LCN7qpq2oRFcpFjGHXuoDPA7ZMYnNzi7Z1UR/fbcgeJuP7znzZWdqcaXGV5YVvA0TEMS5&#10;1RUXCva79esUhA/IGmvLpOBGHpaL3sscU21b/qHrNhQihrBPUUEZgkul9HlJBv3QOuLInWxjMETY&#10;FFI32MZwU8v3JBlLgxXHhhIdrUrKf7cXo+D4xS5btzI/3Vfu+5xN681lf1Bq0O8+ZyACdeEpfrgz&#10;HedPPkYj+H8n3iAXfwAAAP//AwBQSwECLQAUAAYACAAAACEA2+H2y+4AAACFAQAAEwAAAAAAAAAA&#10;AAAAAAAAAAAAW0NvbnRlbnRfVHlwZXNdLnhtbFBLAQItABQABgAIAAAAIQBa9CxbvwAAABUBAAAL&#10;AAAAAAAAAAAAAAAAAB8BAABfcmVscy8ucmVsc1BLAQItABQABgAIAAAAIQCNdCX4xQAAAN4AAAAP&#10;AAAAAAAAAAAAAAAAAAcCAABkcnMvZG93bnJldi54bWxQSwUGAAAAAAMAAwC3AAAA+QIAAAAA&#10;" filled="f" stroked="f">
                  <v:textbox inset="0,0,0,0">
                    <w:txbxContent>
                      <w:p w14:paraId="1A0A91C0" w14:textId="77777777" w:rsidR="00B32EF2" w:rsidRDefault="00000000">
                        <w:r>
                          <w:rPr>
                            <w:rFonts w:ascii="Arial" w:eastAsia="Arial" w:hAnsi="Arial" w:cs="Arial"/>
                            <w:i/>
                            <w:sz w:val="18"/>
                          </w:rPr>
                          <w:t xml:space="preserve">in  ragione  della  quale  viene  determinata   la competenza o, in subordine, </w:t>
                        </w:r>
                      </w:p>
                    </w:txbxContent>
                  </v:textbox>
                </v:rect>
                <v:rect id="Rectangle 17345" o:spid="_x0000_s3187" style="position:absolute;left:7374;top:6833;width:317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IBjxQAAAN4AAAAPAAAAZHJzL2Rvd25yZXYueG1sRE9Na8JA&#10;EL0L/Q/LFHozG2ttJXWVokhz8KJV8DhkxyQ1O7tkV5P213cFobd5vM+ZLXrTiCu1vrasYJSkIIgL&#10;q2suFey/1sMpCB+QNTaWScEPeVjMHwYzzLTteEvXXShFDGGfoYIqBJdJ6YuKDPrEOuLInWxrMETY&#10;llK32MVw08jnNH2VBmuODRU6WlZUnHcXo+C4YpevO1mcfpdu851Pm8/L/qDU02P/8Q4iUB/+xXd3&#10;ruP8t/HLBG7vxBvk/A8AAP//AwBQSwECLQAUAAYACAAAACEA2+H2y+4AAACFAQAAEwAAAAAAAAAA&#10;AAAAAAAAAAAAW0NvbnRlbnRfVHlwZXNdLnhtbFBLAQItABQABgAIAAAAIQBa9CxbvwAAABUBAAAL&#10;AAAAAAAAAAAAAAAAAB8BAABfcmVscy8ucmVsc1BLAQItABQABgAIAAAAIQDiOIBjxQAAAN4AAAAP&#10;AAAAAAAAAAAAAAAAAAcCAABkcnMvZG93bnJldi54bWxQSwUGAAAAAAMAAwC3AAAA+QIAAAAA&#10;" filled="f" stroked="f">
                  <v:textbox inset="0,0,0,0">
                    <w:txbxContent>
                      <w:p w14:paraId="113B7C50" w14:textId="77777777" w:rsidR="00B32EF2" w:rsidRDefault="00000000">
                        <w:r>
                          <w:rPr>
                            <w:rFonts w:ascii="Arial" w:eastAsia="Arial" w:hAnsi="Arial" w:cs="Arial"/>
                            <w:i/>
                            <w:sz w:val="18"/>
                          </w:rPr>
                          <w:t>col rito previsto per la causa di maggior valore.</w:t>
                        </w:r>
                      </w:p>
                    </w:txbxContent>
                  </v:textbox>
                </v:rect>
                <v:rect id="Rectangle 200555" o:spid="_x0000_s3188" style="position:absolute;left:25824;top:5600;width:5108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O52xgAAAN8AAAAPAAAAZHJzL2Rvd25yZXYueG1sRI9Pi8Iw&#10;FMTvwn6H8Bb2pukKFalGWRTZHvbiP/D4aJ5ttXkJTbTd/fQbQfA4zMxvmPmyN424U+trywo+RwkI&#10;4sLqmksFh/1mOAXhA7LGxjIp+CUPy8XbYI6Zth1v6b4LpYgQ9hkqqEJwmZS+qMigH1lHHL2zbQ2G&#10;KNtS6ha7CDeNHCfJRBqsOS5U6GhVUXHd3YyC05pdvulkcf5buZ9LPm2+b4ejUh/v/dcMRKA+vMLP&#10;dq4VRGKapvD4E7+AXPwDAAD//wMAUEsBAi0AFAAGAAgAAAAhANvh9svuAAAAhQEAABMAAAAAAAAA&#10;AAAAAAAAAAAAAFtDb250ZW50X1R5cGVzXS54bWxQSwECLQAUAAYACAAAACEAWvQsW78AAAAVAQAA&#10;CwAAAAAAAAAAAAAAAAAfAQAAX3JlbHMvLnJlbHNQSwECLQAUAAYACAAAACEAMcTudsYAAADfAAAA&#10;DwAAAAAAAAAAAAAAAAAHAgAAZHJzL2Rvd25yZXYueG1sUEsFBgAAAAADAAMAtwAAAPoCAAAAAA==&#10;" filled="f" stroked="f">
                  <v:textbox inset="0,0,0,0">
                    <w:txbxContent>
                      <w:p w14:paraId="1390CAC6" w14:textId="77777777" w:rsidR="00B32EF2" w:rsidRDefault="00000000">
                        <w:r>
                          <w:rPr>
                            <w:rFonts w:ascii="Arial" w:eastAsia="Arial" w:hAnsi="Arial" w:cs="Arial"/>
                            <w:i/>
                            <w:sz w:val="18"/>
                          </w:rPr>
                          <w:t>5</w:t>
                        </w:r>
                      </w:p>
                    </w:txbxContent>
                  </v:textbox>
                </v:rect>
                <v:rect id="Rectangle 200556" o:spid="_x0000_s3189" style="position:absolute;left:-12565;top:5600;width:5108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nABxwAAAN8AAAAPAAAAZHJzL2Rvd25yZXYueG1sRI9Ba8JA&#10;FITvBf/D8gRvdWPBIKmrlEhoDr1ULfT4yD6TtNm3S3ZNYn99t1DwOMzMN8x2P5lODNT71rKC1TIB&#10;QVxZ3XKt4HwqHjcgfEDW2FkmBTfysN/NHraYaTvyOw3HUIsIYZ+hgiYEl0npq4YM+qV1xNG72N5g&#10;iLKvpe5xjHDTyackSaXBluNCg47yhqrv49Uo+DywK4tRVpef3L19lZvu9Xr+UGoxn16eQQSawj38&#10;3y61gkhcr1P4+xO/gNz9AgAA//8DAFBLAQItABQABgAIAAAAIQDb4fbL7gAAAIUBAAATAAAAAAAA&#10;AAAAAAAAAAAAAABbQ29udGVudF9UeXBlc10ueG1sUEsBAi0AFAAGAAgAAAAhAFr0LFu/AAAAFQEA&#10;AAsAAAAAAAAAAAAAAAAAHwEAAF9yZWxzLy5yZWxzUEsBAi0AFAAGAAgAAAAhAMEWcAHHAAAA3wAA&#10;AA8AAAAAAAAAAAAAAAAABwIAAGRycy9kb3ducmV2LnhtbFBLBQYAAAAAAwADALcAAAD7AgAAAAA=&#10;" filled="f" stroked="f">
                  <v:textbox inset="0,0,0,0">
                    <w:txbxContent>
                      <w:p w14:paraId="3C293BEB" w14:textId="77777777" w:rsidR="00B32EF2" w:rsidRDefault="00000000">
                        <w:r>
                          <w:rPr>
                            <w:rFonts w:ascii="Arial" w:eastAsia="Arial" w:hAnsi="Arial" w:cs="Arial"/>
                            <w:i/>
                            <w:sz w:val="18"/>
                          </w:rPr>
                          <w:t xml:space="preserve">. Se la causa è  stata  trattata  con  un  rito  diverso  da  quello divenuto </w:t>
                        </w:r>
                      </w:p>
                    </w:txbxContent>
                  </v:textbox>
                </v:rect>
                <v:rect id="Rectangle 17347" o:spid="_x0000_s3190" style="position:absolute;left:-11909;top:4366;width:511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ruPxQAAAN4AAAAPAAAAZHJzL2Rvd25yZXYueG1sRE9La8JA&#10;EL4X/A/LCN7qxlpUoquIRZpDL/UBHofsmESzs0t2NWl/fbcgeJuP7zmLVWdqcafGV5YVjIYJCOLc&#10;6ooLBYf99nUGwgdkjbVlUvBDHlbL3ssCU21b/qb7LhQihrBPUUEZgkul9HlJBv3QOuLInW1jMETY&#10;FFI32MZwU8u3JJlIgxXHhhIdbUrKr7ubUXD6YJdtW5mffzfu65LN6s/b4ajUoN+t5yACdeEpfrgz&#10;HedPx+9T+H8n3iCXfwAAAP//AwBQSwECLQAUAAYACAAAACEA2+H2y+4AAACFAQAAEwAAAAAAAAAA&#10;AAAAAAAAAAAAW0NvbnRlbnRfVHlwZXNdLnhtbFBLAQItABQABgAIAAAAIQBa9CxbvwAAABUBAAAL&#10;AAAAAAAAAAAAAAAAAB8BAABfcmVscy8ucmVsc1BLAQItABQABgAIAAAAIQB9pruPxQAAAN4AAAAP&#10;AAAAAAAAAAAAAAAAAAcCAABkcnMvZG93bnJldi54bWxQSwUGAAAAAAMAAwC3AAAA+QIAAAAA&#10;" filled="f" stroked="f">
                  <v:textbox inset="0,0,0,0">
                    <w:txbxContent>
                      <w:p w14:paraId="4F69F003" w14:textId="77777777" w:rsidR="00B32EF2" w:rsidRDefault="00000000">
                        <w:r>
                          <w:rPr>
                            <w:rFonts w:ascii="Arial" w:eastAsia="Arial" w:hAnsi="Arial" w:cs="Arial"/>
                            <w:i/>
                            <w:sz w:val="18"/>
                          </w:rPr>
                          <w:t xml:space="preserve">applicabile ai sensi del terzo comma, il giudice provvede  a norma degli </w:t>
                        </w:r>
                      </w:p>
                    </w:txbxContent>
                  </v:textbox>
                </v:rect>
                <v:shape id="Shape 17348" o:spid="_x0000_s3191" style="position:absolute;left:317;top:3877;width:39600;height:27368;visibility:visible;mso-wrap-style:square;v-text-anchor:top" coordsize="3960000,2736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ZiDyAAAAN4AAAAPAAAAZHJzL2Rvd25yZXYueG1sRI9BS8NA&#10;EIXvgv9hGaG3dtNUqqTdFikURPBg2h68jdlpEpqdjbtrGv31zkHwNsN789436+3oOjVQiK1nA/NZ&#10;Boq48rbl2sDxsJ8+gooJ2WLnmQx8U4Tt5vZmjYX1V36joUy1khCOBRpoUuoLrWPVkMM48z2xaGcf&#10;HCZZQ61twKuEu07nWbbUDluWhgZ72jVUXcovZyDPqpfX9yEM6fLz+VGfQnnK560xk7vxaQUq0Zj+&#10;zX/Xz1bwHxb3wivvyAx68wsAAP//AwBQSwECLQAUAAYACAAAACEA2+H2y+4AAACFAQAAEwAAAAAA&#10;AAAAAAAAAAAAAAAAW0NvbnRlbnRfVHlwZXNdLnhtbFBLAQItABQABgAIAAAAIQBa9CxbvwAAABUB&#10;AAALAAAAAAAAAAAAAAAAAB8BAABfcmVscy8ucmVsc1BLAQItABQABgAIAAAAIQAe7ZiDyAAAAN4A&#10;AAAPAAAAAAAAAAAAAAAAAAcCAABkcnMvZG93bnJldi54bWxQSwUGAAAAAAMAAwC3AAAA/AIAAAAA&#10;" path="m,2736799r3960000,l3960000,,,,,2736799xe" filled="f" strokeweight="1pt">
                  <v:stroke miterlimit="1" joinstyle="miter"/>
                  <v:path arrowok="t" textboxrect="0,0,3960000,2736799"/>
                </v:shape>
                <w10:anchorlock/>
              </v:group>
            </w:pict>
          </mc:Fallback>
        </mc:AlternateContent>
      </w:r>
    </w:p>
    <w:p w14:paraId="73BF9D2F" w14:textId="77777777" w:rsidR="00B32EF2" w:rsidRDefault="00000000">
      <w:pPr>
        <w:spacing w:after="0"/>
        <w:ind w:left="-356" w:right="-306"/>
      </w:pPr>
      <w:r>
        <w:rPr>
          <w:noProof/>
        </w:rPr>
        <w:lastRenderedPageBreak/>
        <mc:AlternateContent>
          <mc:Choice Requires="wpg">
            <w:drawing>
              <wp:inline distT="0" distB="0" distL="0" distR="0" wp14:anchorId="464B1D9C" wp14:editId="4ABBD664">
                <wp:extent cx="3991764" cy="6274508"/>
                <wp:effectExtent l="0" t="0" r="0" b="0"/>
                <wp:docPr id="200823" name="Group 200823"/>
                <wp:cNvGraphicFramePr/>
                <a:graphic xmlns:a="http://schemas.openxmlformats.org/drawingml/2006/main">
                  <a:graphicData uri="http://schemas.microsoft.com/office/word/2010/wordprocessingGroup">
                    <wpg:wgp>
                      <wpg:cNvGrpSpPr/>
                      <wpg:grpSpPr>
                        <a:xfrm>
                          <a:off x="0" y="0"/>
                          <a:ext cx="3991764" cy="6274508"/>
                          <a:chOff x="0" y="0"/>
                          <a:chExt cx="3991764" cy="6274508"/>
                        </a:xfrm>
                      </wpg:grpSpPr>
                      <wps:wsp>
                        <wps:cNvPr id="17382" name="Rectangle 17382"/>
                        <wps:cNvSpPr/>
                        <wps:spPr>
                          <a:xfrm rot="-10799999">
                            <a:off x="1900450" y="-62190"/>
                            <a:ext cx="178369" cy="250646"/>
                          </a:xfrm>
                          <a:prstGeom prst="rect">
                            <a:avLst/>
                          </a:prstGeom>
                          <a:ln>
                            <a:noFill/>
                          </a:ln>
                        </wps:spPr>
                        <wps:txbx>
                          <w:txbxContent>
                            <w:p w14:paraId="0BF7A21D" w14:textId="77777777" w:rsidR="00B32EF2" w:rsidRDefault="00000000">
                              <w:r>
                                <w:rPr>
                                  <w:rFonts w:ascii="Times New Roman" w:eastAsia="Times New Roman" w:hAnsi="Times New Roman" w:cs="Times New Roman"/>
                                </w:rPr>
                                <w:t>73</w:t>
                              </w:r>
                            </w:p>
                          </w:txbxContent>
                        </wps:txbx>
                        <wps:bodyPr horzOverflow="overflow" vert="horz" lIns="0" tIns="0" rIns="0" bIns="0" rtlCol="0">
                          <a:noAutofit/>
                        </wps:bodyPr>
                      </wps:wsp>
                      <wps:wsp>
                        <wps:cNvPr id="17383" name="Rectangle 17383"/>
                        <wps:cNvSpPr/>
                        <wps:spPr>
                          <a:xfrm rot="-10799999">
                            <a:off x="1504423" y="2912898"/>
                            <a:ext cx="812952" cy="142889"/>
                          </a:xfrm>
                          <a:prstGeom prst="rect">
                            <a:avLst/>
                          </a:prstGeom>
                          <a:ln>
                            <a:noFill/>
                          </a:ln>
                        </wps:spPr>
                        <wps:txbx>
                          <w:txbxContent>
                            <w:p w14:paraId="1064B7DD" w14:textId="77777777" w:rsidR="00B32EF2" w:rsidRDefault="00000000">
                              <w:r>
                                <w:rPr>
                                  <w:rFonts w:ascii="Arial" w:eastAsia="Arial" w:hAnsi="Arial" w:cs="Arial"/>
                                  <w:b/>
                                  <w:sz w:val="18"/>
                                </w:rPr>
                                <w:t>SEZIONE II</w:t>
                              </w:r>
                            </w:p>
                          </w:txbxContent>
                        </wps:txbx>
                        <wps:bodyPr horzOverflow="overflow" vert="horz" lIns="0" tIns="0" rIns="0" bIns="0" rtlCol="0">
                          <a:noAutofit/>
                        </wps:bodyPr>
                      </wps:wsp>
                      <wps:wsp>
                        <wps:cNvPr id="17384" name="Rectangle 17384"/>
                        <wps:cNvSpPr/>
                        <wps:spPr>
                          <a:xfrm rot="-10799999">
                            <a:off x="185114" y="2789569"/>
                            <a:ext cx="2926989" cy="142889"/>
                          </a:xfrm>
                          <a:prstGeom prst="rect">
                            <a:avLst/>
                          </a:prstGeom>
                          <a:ln>
                            <a:noFill/>
                          </a:ln>
                        </wps:spPr>
                        <wps:txbx>
                          <w:txbxContent>
                            <w:p w14:paraId="0EB83BD6" w14:textId="77777777" w:rsidR="00B32EF2" w:rsidRDefault="00000000">
                              <w:r>
                                <w:rPr>
                                  <w:rFonts w:ascii="Arial" w:eastAsia="Arial" w:hAnsi="Arial" w:cs="Arial"/>
                                  <w:b/>
                                  <w:sz w:val="18"/>
                                </w:rPr>
                                <w:t xml:space="preserve"> L’ESAME PRELIMINARE DEL RICORSO</w:t>
                              </w:r>
                            </w:p>
                          </w:txbxContent>
                        </wps:txbx>
                        <wps:bodyPr horzOverflow="overflow" vert="horz" lIns="0" tIns="0" rIns="0" bIns="0" rtlCol="0">
                          <a:noAutofit/>
                        </wps:bodyPr>
                      </wps:wsp>
                      <wps:wsp>
                        <wps:cNvPr id="17385" name="Rectangle 17385"/>
                        <wps:cNvSpPr/>
                        <wps:spPr>
                          <a:xfrm rot="-10799999">
                            <a:off x="1510526" y="2419579"/>
                            <a:ext cx="803192" cy="142889"/>
                          </a:xfrm>
                          <a:prstGeom prst="rect">
                            <a:avLst/>
                          </a:prstGeom>
                          <a:ln>
                            <a:noFill/>
                          </a:ln>
                        </wps:spPr>
                        <wps:txbx>
                          <w:txbxContent>
                            <w:p w14:paraId="39E58D53" w14:textId="77777777" w:rsidR="00B32EF2" w:rsidRDefault="00000000">
                              <w:r>
                                <w:rPr>
                                  <w:rFonts w:ascii="Arial" w:eastAsia="Arial" w:hAnsi="Arial" w:cs="Arial"/>
                                  <w:b/>
                                  <w:sz w:val="18"/>
                                </w:rPr>
                                <w:t>Articolo 75</w:t>
                              </w:r>
                            </w:p>
                          </w:txbxContent>
                        </wps:txbx>
                        <wps:bodyPr horzOverflow="overflow" vert="horz" lIns="0" tIns="0" rIns="0" bIns="0" rtlCol="0">
                          <a:noAutofit/>
                        </wps:bodyPr>
                      </wps:wsp>
                      <wps:wsp>
                        <wps:cNvPr id="200778" name="Rectangle 200778"/>
                        <wps:cNvSpPr/>
                        <wps:spPr>
                          <a:xfrm rot="-10799999">
                            <a:off x="2221742" y="2296249"/>
                            <a:ext cx="1940629" cy="142889"/>
                          </a:xfrm>
                          <a:prstGeom prst="rect">
                            <a:avLst/>
                          </a:prstGeom>
                          <a:ln>
                            <a:noFill/>
                          </a:ln>
                        </wps:spPr>
                        <wps:txbx>
                          <w:txbxContent>
                            <w:p w14:paraId="5625751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779" name="Rectangle 200779"/>
                        <wps:cNvSpPr/>
                        <wps:spPr>
                          <a:xfrm rot="-10799999">
                            <a:off x="-260075" y="2296249"/>
                            <a:ext cx="1940629" cy="142889"/>
                          </a:xfrm>
                          <a:prstGeom prst="rect">
                            <a:avLst/>
                          </a:prstGeom>
                          <a:ln>
                            <a:noFill/>
                          </a:ln>
                        </wps:spPr>
                        <wps:txbx>
                          <w:txbxContent>
                            <w:p w14:paraId="72C3D54E"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780" name="Rectangle 200780"/>
                        <wps:cNvSpPr/>
                        <wps:spPr>
                          <a:xfrm rot="-10799999">
                            <a:off x="1163885" y="2296249"/>
                            <a:ext cx="1940629" cy="142889"/>
                          </a:xfrm>
                          <a:prstGeom prst="rect">
                            <a:avLst/>
                          </a:prstGeom>
                          <a:ln>
                            <a:noFill/>
                          </a:ln>
                        </wps:spPr>
                        <wps:txbx>
                          <w:txbxContent>
                            <w:p w14:paraId="36E97C24" w14:textId="77777777" w:rsidR="00B32EF2" w:rsidRDefault="00000000">
                              <w:r>
                                <w:rPr>
                                  <w:rFonts w:ascii="Arial" w:eastAsia="Arial" w:hAnsi="Arial" w:cs="Arial"/>
                                  <w:i/>
                                  <w:sz w:val="18"/>
                                </w:rPr>
                                <w:t xml:space="preserve">articolo 27 D.lgs. n. </w:t>
                              </w:r>
                            </w:p>
                          </w:txbxContent>
                        </wps:txbx>
                        <wps:bodyPr horzOverflow="overflow" vert="horz" lIns="0" tIns="0" rIns="0" bIns="0" rtlCol="0">
                          <a:noAutofit/>
                        </wps:bodyPr>
                      </wps:wsp>
                      <wps:wsp>
                        <wps:cNvPr id="17387" name="Rectangle 17387"/>
                        <wps:cNvSpPr/>
                        <wps:spPr>
                          <a:xfrm rot="-10799999">
                            <a:off x="586195" y="2172919"/>
                            <a:ext cx="2258790" cy="142889"/>
                          </a:xfrm>
                          <a:prstGeom prst="rect">
                            <a:avLst/>
                          </a:prstGeom>
                          <a:ln>
                            <a:noFill/>
                          </a:ln>
                        </wps:spPr>
                        <wps:txbx>
                          <w:txbxContent>
                            <w:p w14:paraId="26FFD543" w14:textId="77777777" w:rsidR="00B32EF2" w:rsidRDefault="00000000">
                              <w:r>
                                <w:rPr>
                                  <w:rFonts w:ascii="Arial" w:eastAsia="Arial" w:hAnsi="Arial" w:cs="Arial"/>
                                  <w:b/>
                                  <w:sz w:val="18"/>
                                </w:rPr>
                                <w:t xml:space="preserve">Esame preliminare del ricorso </w:t>
                              </w:r>
                            </w:p>
                          </w:txbxContent>
                        </wps:txbx>
                        <wps:bodyPr horzOverflow="overflow" vert="horz" lIns="0" tIns="0" rIns="0" bIns="0" rtlCol="0">
                          <a:noAutofit/>
                        </wps:bodyPr>
                      </wps:wsp>
                      <wps:wsp>
                        <wps:cNvPr id="200776" name="Rectangle 200776"/>
                        <wps:cNvSpPr/>
                        <wps:spPr>
                          <a:xfrm rot="-10799999">
                            <a:off x="2610927" y="2049590"/>
                            <a:ext cx="5309035" cy="142889"/>
                          </a:xfrm>
                          <a:prstGeom prst="rect">
                            <a:avLst/>
                          </a:prstGeom>
                          <a:ln>
                            <a:noFill/>
                          </a:ln>
                        </wps:spPr>
                        <wps:txbx>
                          <w:txbxContent>
                            <w:p w14:paraId="3F568A2C"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777" name="Rectangle 200777"/>
                        <wps:cNvSpPr/>
                        <wps:spPr>
                          <a:xfrm rot="-10799999">
                            <a:off x="-1376462" y="2049590"/>
                            <a:ext cx="5309035" cy="142889"/>
                          </a:xfrm>
                          <a:prstGeom prst="rect">
                            <a:avLst/>
                          </a:prstGeom>
                          <a:ln>
                            <a:noFill/>
                          </a:ln>
                        </wps:spPr>
                        <wps:txbx>
                          <w:txbxContent>
                            <w:p w14:paraId="682D3EF4" w14:textId="77777777" w:rsidR="00B32EF2" w:rsidRDefault="00000000">
                              <w:r>
                                <w:rPr>
                                  <w:rFonts w:ascii="Arial" w:eastAsia="Arial" w:hAnsi="Arial" w:cs="Arial"/>
                                  <w:sz w:val="18"/>
                                </w:rPr>
                                <w:t xml:space="preserve">. Il presidente della sezione, scaduti i termini per la costituzione in giudizio </w:t>
                              </w:r>
                            </w:p>
                          </w:txbxContent>
                        </wps:txbx>
                        <wps:bodyPr horzOverflow="overflow" vert="horz" lIns="0" tIns="0" rIns="0" bIns="0" rtlCol="0">
                          <a:noAutofit/>
                        </wps:bodyPr>
                      </wps:wsp>
                      <wps:wsp>
                        <wps:cNvPr id="17389" name="Rectangle 17389"/>
                        <wps:cNvSpPr/>
                        <wps:spPr>
                          <a:xfrm rot="-10799999">
                            <a:off x="-1317224" y="1926260"/>
                            <a:ext cx="5309553" cy="142889"/>
                          </a:xfrm>
                          <a:prstGeom prst="rect">
                            <a:avLst/>
                          </a:prstGeom>
                          <a:ln>
                            <a:noFill/>
                          </a:ln>
                        </wps:spPr>
                        <wps:txbx>
                          <w:txbxContent>
                            <w:p w14:paraId="47FD5AA1" w14:textId="77777777" w:rsidR="00B32EF2" w:rsidRDefault="00000000">
                              <w:r>
                                <w:rPr>
                                  <w:rFonts w:ascii="Arial" w:eastAsia="Arial" w:hAnsi="Arial" w:cs="Arial"/>
                                  <w:sz w:val="18"/>
                                </w:rPr>
                                <w:t xml:space="preserve">delle parti, esamina preliminarmente il ricorso e ne dichiara l’inammissibilità </w:t>
                              </w:r>
                            </w:p>
                          </w:txbxContent>
                        </wps:txbx>
                        <wps:bodyPr horzOverflow="overflow" vert="horz" lIns="0" tIns="0" rIns="0" bIns="0" rtlCol="0">
                          <a:noAutofit/>
                        </wps:bodyPr>
                      </wps:wsp>
                      <wps:wsp>
                        <wps:cNvPr id="17390" name="Rectangle 17390"/>
                        <wps:cNvSpPr/>
                        <wps:spPr>
                          <a:xfrm rot="-10799999">
                            <a:off x="848019" y="1802931"/>
                            <a:ext cx="3143737" cy="142889"/>
                          </a:xfrm>
                          <a:prstGeom prst="rect">
                            <a:avLst/>
                          </a:prstGeom>
                          <a:ln>
                            <a:noFill/>
                          </a:ln>
                        </wps:spPr>
                        <wps:txbx>
                          <w:txbxContent>
                            <w:p w14:paraId="2BABA812" w14:textId="77777777" w:rsidR="00B32EF2" w:rsidRDefault="00000000">
                              <w:r>
                                <w:rPr>
                                  <w:rFonts w:ascii="Arial" w:eastAsia="Arial" w:hAnsi="Arial" w:cs="Arial"/>
                                  <w:sz w:val="18"/>
                                </w:rPr>
                                <w:t>nei casi espressamente previsti, se manifesta.</w:t>
                              </w:r>
                            </w:p>
                          </w:txbxContent>
                        </wps:txbx>
                        <wps:bodyPr horzOverflow="overflow" vert="horz" lIns="0" tIns="0" rIns="0" bIns="0" rtlCol="0">
                          <a:noAutofit/>
                        </wps:bodyPr>
                      </wps:wsp>
                      <wps:wsp>
                        <wps:cNvPr id="200775" name="Rectangle 200775"/>
                        <wps:cNvSpPr/>
                        <wps:spPr>
                          <a:xfrm rot="-10799999">
                            <a:off x="-1283342" y="1679601"/>
                            <a:ext cx="5210543" cy="142889"/>
                          </a:xfrm>
                          <a:prstGeom prst="rect">
                            <a:avLst/>
                          </a:prstGeom>
                          <a:ln>
                            <a:noFill/>
                          </a:ln>
                        </wps:spPr>
                        <wps:txbx>
                          <w:txbxContent>
                            <w:p w14:paraId="16CED329" w14:textId="77777777" w:rsidR="00B32EF2" w:rsidRDefault="00000000">
                              <w:r>
                                <w:rPr>
                                  <w:rFonts w:ascii="Arial" w:eastAsia="Arial" w:hAnsi="Arial" w:cs="Arial"/>
                                  <w:sz w:val="18"/>
                                </w:rPr>
                                <w:t>. Il presidente, ove ne sussistano i presupposti, dichiara inoltre la sospensio</w:t>
                              </w:r>
                            </w:p>
                          </w:txbxContent>
                        </wps:txbx>
                        <wps:bodyPr horzOverflow="overflow" vert="horz" lIns="0" tIns="0" rIns="0" bIns="0" rtlCol="0">
                          <a:noAutofit/>
                        </wps:bodyPr>
                      </wps:wsp>
                      <wps:wsp>
                        <wps:cNvPr id="200774" name="Rectangle 200774"/>
                        <wps:cNvSpPr/>
                        <wps:spPr>
                          <a:xfrm rot="-10799999">
                            <a:off x="2635365" y="1679601"/>
                            <a:ext cx="5210543" cy="142889"/>
                          </a:xfrm>
                          <a:prstGeom prst="rect">
                            <a:avLst/>
                          </a:prstGeom>
                          <a:ln>
                            <a:noFill/>
                          </a:ln>
                        </wps:spPr>
                        <wps:txbx>
                          <w:txbxContent>
                            <w:p w14:paraId="466D1751"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7392" name="Rectangle 17392"/>
                        <wps:cNvSpPr/>
                        <wps:spPr>
                          <a:xfrm rot="-10799999">
                            <a:off x="19158" y="1679601"/>
                            <a:ext cx="50622" cy="142889"/>
                          </a:xfrm>
                          <a:prstGeom prst="rect">
                            <a:avLst/>
                          </a:prstGeom>
                          <a:ln>
                            <a:noFill/>
                          </a:ln>
                        </wps:spPr>
                        <wps:txbx>
                          <w:txbxContent>
                            <w:p w14:paraId="2A40990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7393" name="Rectangle 17393"/>
                        <wps:cNvSpPr/>
                        <wps:spPr>
                          <a:xfrm rot="-10799999">
                            <a:off x="936691" y="1556271"/>
                            <a:ext cx="3055065" cy="142889"/>
                          </a:xfrm>
                          <a:prstGeom prst="rect">
                            <a:avLst/>
                          </a:prstGeom>
                          <a:ln>
                            <a:noFill/>
                          </a:ln>
                        </wps:spPr>
                        <wps:txbx>
                          <w:txbxContent>
                            <w:p w14:paraId="68CCE93D" w14:textId="77777777" w:rsidR="00B32EF2" w:rsidRDefault="00000000">
                              <w:r>
                                <w:rPr>
                                  <w:rFonts w:ascii="Arial" w:eastAsia="Arial" w:hAnsi="Arial" w:cs="Arial"/>
                                  <w:sz w:val="18"/>
                                </w:rPr>
                                <w:t xml:space="preserve">ne, l’interruzione e l’estinzione del processo. </w:t>
                              </w:r>
                            </w:p>
                          </w:txbxContent>
                        </wps:txbx>
                        <wps:bodyPr horzOverflow="overflow" vert="horz" lIns="0" tIns="0" rIns="0" bIns="0" rtlCol="0">
                          <a:noAutofit/>
                        </wps:bodyPr>
                      </wps:wsp>
                      <wps:wsp>
                        <wps:cNvPr id="200773" name="Rectangle 200773"/>
                        <wps:cNvSpPr/>
                        <wps:spPr>
                          <a:xfrm rot="-10799999">
                            <a:off x="-1381786" y="1432941"/>
                            <a:ext cx="5309021" cy="142889"/>
                          </a:xfrm>
                          <a:prstGeom prst="rect">
                            <a:avLst/>
                          </a:prstGeom>
                          <a:ln>
                            <a:noFill/>
                          </a:ln>
                        </wps:spPr>
                        <wps:txbx>
                          <w:txbxContent>
                            <w:p w14:paraId="231B09D2" w14:textId="77777777" w:rsidR="00B32EF2" w:rsidRDefault="00000000">
                              <w:r>
                                <w:rPr>
                                  <w:rFonts w:ascii="Arial" w:eastAsia="Arial" w:hAnsi="Arial" w:cs="Arial"/>
                                  <w:sz w:val="18"/>
                                </w:rPr>
                                <w:t xml:space="preserve">. I provvedimenti di cui ai commi precedenti hanno forma di decreto e sono </w:t>
                              </w:r>
                            </w:p>
                          </w:txbxContent>
                        </wps:txbx>
                        <wps:bodyPr horzOverflow="overflow" vert="horz" lIns="0" tIns="0" rIns="0" bIns="0" rtlCol="0">
                          <a:noAutofit/>
                        </wps:bodyPr>
                      </wps:wsp>
                      <wps:wsp>
                        <wps:cNvPr id="200772" name="Rectangle 200772"/>
                        <wps:cNvSpPr/>
                        <wps:spPr>
                          <a:xfrm rot="-10799999">
                            <a:off x="2610930" y="1432942"/>
                            <a:ext cx="5309021" cy="142889"/>
                          </a:xfrm>
                          <a:prstGeom prst="rect">
                            <a:avLst/>
                          </a:prstGeom>
                          <a:ln>
                            <a:noFill/>
                          </a:ln>
                        </wps:spPr>
                        <wps:txbx>
                          <w:txbxContent>
                            <w:p w14:paraId="49F4AD25"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7395" name="Rectangle 17395"/>
                        <wps:cNvSpPr/>
                        <wps:spPr>
                          <a:xfrm rot="-10799999">
                            <a:off x="79836" y="1309612"/>
                            <a:ext cx="3911920" cy="142889"/>
                          </a:xfrm>
                          <a:prstGeom prst="rect">
                            <a:avLst/>
                          </a:prstGeom>
                          <a:ln>
                            <a:noFill/>
                          </a:ln>
                        </wps:spPr>
                        <wps:txbx>
                          <w:txbxContent>
                            <w:p w14:paraId="73B5E088" w14:textId="77777777" w:rsidR="00B32EF2" w:rsidRDefault="00000000">
                              <w:r>
                                <w:rPr>
                                  <w:rFonts w:ascii="Arial" w:eastAsia="Arial" w:hAnsi="Arial" w:cs="Arial"/>
                                  <w:sz w:val="18"/>
                                </w:rPr>
                                <w:t>soggetti a reclamo innanzi alla corte di giustizia tributaria.</w:t>
                              </w:r>
                            </w:p>
                          </w:txbxContent>
                        </wps:txbx>
                        <wps:bodyPr horzOverflow="overflow" vert="horz" lIns="0" tIns="0" rIns="0" bIns="0" rtlCol="0">
                          <a:noAutofit/>
                        </wps:bodyPr>
                      </wps:wsp>
                      <wps:wsp>
                        <wps:cNvPr id="17396" name="Rectangle 17396"/>
                        <wps:cNvSpPr/>
                        <wps:spPr>
                          <a:xfrm rot="-10799999">
                            <a:off x="1509501" y="1062953"/>
                            <a:ext cx="804789" cy="142889"/>
                          </a:xfrm>
                          <a:prstGeom prst="rect">
                            <a:avLst/>
                          </a:prstGeom>
                          <a:ln>
                            <a:noFill/>
                          </a:ln>
                        </wps:spPr>
                        <wps:txbx>
                          <w:txbxContent>
                            <w:p w14:paraId="2A58D51C" w14:textId="77777777" w:rsidR="00B32EF2" w:rsidRDefault="00000000">
                              <w:r>
                                <w:rPr>
                                  <w:rFonts w:ascii="Arial" w:eastAsia="Arial" w:hAnsi="Arial" w:cs="Arial"/>
                                  <w:b/>
                                  <w:sz w:val="18"/>
                                </w:rPr>
                                <w:t>Articolo 76</w:t>
                              </w:r>
                            </w:p>
                          </w:txbxContent>
                        </wps:txbx>
                        <wps:bodyPr horzOverflow="overflow" vert="horz" lIns="0" tIns="0" rIns="0" bIns="0" rtlCol="0">
                          <a:noAutofit/>
                        </wps:bodyPr>
                      </wps:wsp>
                      <wps:wsp>
                        <wps:cNvPr id="200770" name="Rectangle 200770"/>
                        <wps:cNvSpPr/>
                        <wps:spPr>
                          <a:xfrm rot="-10799999">
                            <a:off x="-261384" y="939623"/>
                            <a:ext cx="1941572" cy="142889"/>
                          </a:xfrm>
                          <a:prstGeom prst="rect">
                            <a:avLst/>
                          </a:prstGeom>
                          <a:ln>
                            <a:noFill/>
                          </a:ln>
                        </wps:spPr>
                        <wps:txbx>
                          <w:txbxContent>
                            <w:p w14:paraId="376E849E"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771" name="Rectangle 200771"/>
                        <wps:cNvSpPr/>
                        <wps:spPr>
                          <a:xfrm rot="-10799999">
                            <a:off x="1163285" y="939623"/>
                            <a:ext cx="1941572" cy="142889"/>
                          </a:xfrm>
                          <a:prstGeom prst="rect">
                            <a:avLst/>
                          </a:prstGeom>
                          <a:ln>
                            <a:noFill/>
                          </a:ln>
                        </wps:spPr>
                        <wps:txbx>
                          <w:txbxContent>
                            <w:p w14:paraId="7ACA19E9" w14:textId="77777777" w:rsidR="00B32EF2" w:rsidRDefault="00000000">
                              <w:r>
                                <w:rPr>
                                  <w:rFonts w:ascii="Arial" w:eastAsia="Arial" w:hAnsi="Arial" w:cs="Arial"/>
                                  <w:i/>
                                  <w:sz w:val="18"/>
                                </w:rPr>
                                <w:t xml:space="preserve">articolo 28 D.lgs. n. </w:t>
                              </w:r>
                            </w:p>
                          </w:txbxContent>
                        </wps:txbx>
                        <wps:bodyPr horzOverflow="overflow" vert="horz" lIns="0" tIns="0" rIns="0" bIns="0" rtlCol="0">
                          <a:noAutofit/>
                        </wps:bodyPr>
                      </wps:wsp>
                      <wps:wsp>
                        <wps:cNvPr id="200769" name="Rectangle 200769"/>
                        <wps:cNvSpPr/>
                        <wps:spPr>
                          <a:xfrm rot="-10799999">
                            <a:off x="2221851" y="939623"/>
                            <a:ext cx="1941572" cy="142889"/>
                          </a:xfrm>
                          <a:prstGeom prst="rect">
                            <a:avLst/>
                          </a:prstGeom>
                          <a:ln>
                            <a:noFill/>
                          </a:ln>
                        </wps:spPr>
                        <wps:txbx>
                          <w:txbxContent>
                            <w:p w14:paraId="59913AE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398" name="Rectangle 17398"/>
                        <wps:cNvSpPr/>
                        <wps:spPr>
                          <a:xfrm rot="-10799999">
                            <a:off x="-119455" y="816293"/>
                            <a:ext cx="3389522" cy="142889"/>
                          </a:xfrm>
                          <a:prstGeom prst="rect">
                            <a:avLst/>
                          </a:prstGeom>
                          <a:ln>
                            <a:noFill/>
                          </a:ln>
                        </wps:spPr>
                        <wps:txbx>
                          <w:txbxContent>
                            <w:p w14:paraId="466F1282" w14:textId="77777777" w:rsidR="00B32EF2" w:rsidRDefault="00000000">
                              <w:r>
                                <w:rPr>
                                  <w:rFonts w:ascii="Arial" w:eastAsia="Arial" w:hAnsi="Arial" w:cs="Arial"/>
                                  <w:b/>
                                  <w:sz w:val="18"/>
                                </w:rPr>
                                <w:t xml:space="preserve">Reclamo contro i provvedimenti presidenziali </w:t>
                              </w:r>
                            </w:p>
                          </w:txbxContent>
                        </wps:txbx>
                        <wps:bodyPr horzOverflow="overflow" vert="horz" lIns="0" tIns="0" rIns="0" bIns="0" rtlCol="0">
                          <a:noAutofit/>
                        </wps:bodyPr>
                      </wps:wsp>
                      <wps:wsp>
                        <wps:cNvPr id="200767" name="Rectangle 200767"/>
                        <wps:cNvSpPr/>
                        <wps:spPr>
                          <a:xfrm rot="-10799999">
                            <a:off x="2610944" y="692964"/>
                            <a:ext cx="5308960" cy="142889"/>
                          </a:xfrm>
                          <a:prstGeom prst="rect">
                            <a:avLst/>
                          </a:prstGeom>
                          <a:ln>
                            <a:noFill/>
                          </a:ln>
                        </wps:spPr>
                        <wps:txbx>
                          <w:txbxContent>
                            <w:p w14:paraId="7F52B0AE"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768" name="Rectangle 200768"/>
                        <wps:cNvSpPr/>
                        <wps:spPr>
                          <a:xfrm rot="-10799999">
                            <a:off x="-1376388" y="692963"/>
                            <a:ext cx="5308960" cy="142889"/>
                          </a:xfrm>
                          <a:prstGeom prst="rect">
                            <a:avLst/>
                          </a:prstGeom>
                          <a:ln>
                            <a:noFill/>
                          </a:ln>
                        </wps:spPr>
                        <wps:txbx>
                          <w:txbxContent>
                            <w:p w14:paraId="1676086E" w14:textId="77777777" w:rsidR="00B32EF2" w:rsidRDefault="00000000">
                              <w:r>
                                <w:rPr>
                                  <w:rFonts w:ascii="Arial" w:eastAsia="Arial" w:hAnsi="Arial" w:cs="Arial"/>
                                  <w:sz w:val="18"/>
                                </w:rPr>
                                <w:t xml:space="preserve">. Contro i provvedimenti del presidente è ammesso reclamo da notificare </w:t>
                              </w:r>
                            </w:p>
                          </w:txbxContent>
                        </wps:txbx>
                        <wps:bodyPr horzOverflow="overflow" vert="horz" lIns="0" tIns="0" rIns="0" bIns="0" rtlCol="0">
                          <a:noAutofit/>
                        </wps:bodyPr>
                      </wps:wsp>
                      <wps:wsp>
                        <wps:cNvPr id="17400" name="Rectangle 17400"/>
                        <wps:cNvSpPr/>
                        <wps:spPr>
                          <a:xfrm rot="-10799999">
                            <a:off x="-1317249" y="569633"/>
                            <a:ext cx="5309005" cy="142889"/>
                          </a:xfrm>
                          <a:prstGeom prst="rect">
                            <a:avLst/>
                          </a:prstGeom>
                          <a:ln>
                            <a:noFill/>
                          </a:ln>
                        </wps:spPr>
                        <wps:txbx>
                          <w:txbxContent>
                            <w:p w14:paraId="0B4572D5" w14:textId="77777777" w:rsidR="00B32EF2" w:rsidRDefault="00000000">
                              <w:r>
                                <w:rPr>
                                  <w:rFonts w:ascii="Arial" w:eastAsia="Arial" w:hAnsi="Arial" w:cs="Arial"/>
                                  <w:sz w:val="18"/>
                                </w:rPr>
                                <w:t xml:space="preserve">alle altre parti costituite nelle forme di cui all’articolo 66, commi 1 e 2, entro </w:t>
                              </w:r>
                            </w:p>
                          </w:txbxContent>
                        </wps:txbx>
                        <wps:bodyPr horzOverflow="overflow" vert="horz" lIns="0" tIns="0" rIns="0" bIns="0" rtlCol="0">
                          <a:noAutofit/>
                        </wps:bodyPr>
                      </wps:wsp>
                      <wps:wsp>
                        <wps:cNvPr id="17401" name="Rectangle 17401"/>
                        <wps:cNvSpPr/>
                        <wps:spPr>
                          <a:xfrm rot="-10799999">
                            <a:off x="-1317218" y="446304"/>
                            <a:ext cx="5308975" cy="142889"/>
                          </a:xfrm>
                          <a:prstGeom prst="rect">
                            <a:avLst/>
                          </a:prstGeom>
                          <a:ln>
                            <a:noFill/>
                          </a:ln>
                        </wps:spPr>
                        <wps:txbx>
                          <w:txbxContent>
                            <w:p w14:paraId="484AD6ED" w14:textId="77777777" w:rsidR="00B32EF2" w:rsidRDefault="00000000">
                              <w:r>
                                <w:rPr>
                                  <w:rFonts w:ascii="Arial" w:eastAsia="Arial" w:hAnsi="Arial" w:cs="Arial"/>
                                  <w:sz w:val="18"/>
                                </w:rPr>
                                <w:t xml:space="preserve">il termine perentorio di giorni trenta dalla loro comunicazione da parte della </w:t>
                              </w:r>
                            </w:p>
                          </w:txbxContent>
                        </wps:txbx>
                        <wps:bodyPr horzOverflow="overflow" vert="horz" lIns="0" tIns="0" rIns="0" bIns="0" rtlCol="0">
                          <a:noAutofit/>
                        </wps:bodyPr>
                      </wps:wsp>
                      <wps:wsp>
                        <wps:cNvPr id="207880" name="Shape 207880"/>
                        <wps:cNvSpPr/>
                        <wps:spPr>
                          <a:xfrm>
                            <a:off x="31764" y="3263207"/>
                            <a:ext cx="3960000" cy="3011297"/>
                          </a:xfrm>
                          <a:custGeom>
                            <a:avLst/>
                            <a:gdLst/>
                            <a:ahLst/>
                            <a:cxnLst/>
                            <a:rect l="0" t="0" r="0" b="0"/>
                            <a:pathLst>
                              <a:path w="3960000" h="3011297">
                                <a:moveTo>
                                  <a:pt x="0" y="0"/>
                                </a:moveTo>
                                <a:lnTo>
                                  <a:pt x="3960000" y="0"/>
                                </a:lnTo>
                                <a:lnTo>
                                  <a:pt x="3960000" y="3011297"/>
                                </a:lnTo>
                                <a:lnTo>
                                  <a:pt x="0" y="3011297"/>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7403" name="Rectangle 17403"/>
                        <wps:cNvSpPr/>
                        <wps:spPr>
                          <a:xfrm rot="-10799999">
                            <a:off x="-1187272" y="6053264"/>
                            <a:ext cx="5100572" cy="142891"/>
                          </a:xfrm>
                          <a:prstGeom prst="rect">
                            <a:avLst/>
                          </a:prstGeom>
                          <a:ln>
                            <a:noFill/>
                          </a:ln>
                        </wps:spPr>
                        <wps:txbx>
                          <w:txbxContent>
                            <w:p w14:paraId="5705C6B7" w14:textId="77777777" w:rsidR="00B32EF2" w:rsidRDefault="00000000">
                              <w:r>
                                <w:rPr>
                                  <w:rFonts w:ascii="Arial" w:eastAsia="Arial" w:hAnsi="Arial" w:cs="Arial"/>
                                  <w:i/>
                                  <w:sz w:val="18"/>
                                </w:rPr>
                                <w:t xml:space="preserve">mento un termine non inferiore a quindici giorni ovvero, per il caso di cui al </w:t>
                              </w:r>
                            </w:p>
                          </w:txbxContent>
                        </wps:txbx>
                        <wps:bodyPr horzOverflow="overflow" vert="horz" lIns="0" tIns="0" rIns="0" bIns="0" rtlCol="0">
                          <a:noAutofit/>
                        </wps:bodyPr>
                      </wps:wsp>
                      <wps:wsp>
                        <wps:cNvPr id="17404" name="Rectangle 17404"/>
                        <wps:cNvSpPr/>
                        <wps:spPr>
                          <a:xfrm rot="-10799999">
                            <a:off x="-1190042" y="5929936"/>
                            <a:ext cx="5111000" cy="142889"/>
                          </a:xfrm>
                          <a:prstGeom prst="rect">
                            <a:avLst/>
                          </a:prstGeom>
                          <a:ln>
                            <a:noFill/>
                          </a:ln>
                        </wps:spPr>
                        <wps:txbx>
                          <w:txbxContent>
                            <w:p w14:paraId="43BE007F" w14:textId="77777777" w:rsidR="00B32EF2" w:rsidRDefault="00000000">
                              <w:r>
                                <w:rPr>
                                  <w:rFonts w:ascii="Arial" w:eastAsia="Arial" w:hAnsi="Arial" w:cs="Arial"/>
                                  <w:i/>
                                  <w:sz w:val="18"/>
                                </w:rPr>
                                <w:t xml:space="preserve">n. 7), non inferiore a trenta giorni. Il termine può essere prorogato per un </w:t>
                              </w:r>
                            </w:p>
                          </w:txbxContent>
                        </wps:txbx>
                        <wps:bodyPr horzOverflow="overflow" vert="horz" lIns="0" tIns="0" rIns="0" bIns="0" rtlCol="0">
                          <a:noAutofit/>
                        </wps:bodyPr>
                      </wps:wsp>
                      <wps:wsp>
                        <wps:cNvPr id="17405" name="Rectangle 17405"/>
                        <wps:cNvSpPr/>
                        <wps:spPr>
                          <a:xfrm rot="-10799999">
                            <a:off x="-1187188" y="5806606"/>
                            <a:ext cx="5100602" cy="142889"/>
                          </a:xfrm>
                          <a:prstGeom prst="rect">
                            <a:avLst/>
                          </a:prstGeom>
                          <a:ln>
                            <a:noFill/>
                          </a:ln>
                        </wps:spPr>
                        <wps:txbx>
                          <w:txbxContent>
                            <w:p w14:paraId="267ACF95" w14:textId="77777777" w:rsidR="00B32EF2" w:rsidRDefault="00000000">
                              <w:r>
                                <w:rPr>
                                  <w:rFonts w:ascii="Arial" w:eastAsia="Arial" w:hAnsi="Arial" w:cs="Arial"/>
                                  <w:i/>
                                  <w:sz w:val="18"/>
                                </w:rPr>
                                <w:t xml:space="preserve">periodo di venti giorni su istanza dell’operatore finanziario, per giustificati </w:t>
                              </w:r>
                            </w:p>
                          </w:txbxContent>
                        </wps:txbx>
                        <wps:bodyPr horzOverflow="overflow" vert="horz" lIns="0" tIns="0" rIns="0" bIns="0" rtlCol="0">
                          <a:noAutofit/>
                        </wps:bodyPr>
                      </wps:wsp>
                      <wps:wsp>
                        <wps:cNvPr id="17406" name="Rectangle 17406"/>
                        <wps:cNvSpPr/>
                        <wps:spPr>
                          <a:xfrm rot="-10799999">
                            <a:off x="-1186820" y="5683277"/>
                            <a:ext cx="5098520" cy="142889"/>
                          </a:xfrm>
                          <a:prstGeom prst="rect">
                            <a:avLst/>
                          </a:prstGeom>
                          <a:ln>
                            <a:noFill/>
                          </a:ln>
                        </wps:spPr>
                        <wps:txbx>
                          <w:txbxContent>
                            <w:p w14:paraId="7E4385AA" w14:textId="77777777" w:rsidR="00B32EF2" w:rsidRDefault="00000000">
                              <w:r>
                                <w:rPr>
                                  <w:rFonts w:ascii="Arial" w:eastAsia="Arial" w:hAnsi="Arial" w:cs="Arial"/>
                                  <w:i/>
                                  <w:sz w:val="18"/>
                                </w:rPr>
                                <w:t xml:space="preserve">motivi, dal competente direttore centrale o direttore regionale per l’Agenzia </w:t>
                              </w:r>
                            </w:p>
                          </w:txbxContent>
                        </wps:txbx>
                        <wps:bodyPr horzOverflow="overflow" vert="horz" lIns="0" tIns="0" rIns="0" bIns="0" rtlCol="0">
                          <a:noAutofit/>
                        </wps:bodyPr>
                      </wps:wsp>
                      <wps:wsp>
                        <wps:cNvPr id="17407" name="Rectangle 17407"/>
                        <wps:cNvSpPr/>
                        <wps:spPr>
                          <a:xfrm rot="-10799999">
                            <a:off x="-1187356" y="5559947"/>
                            <a:ext cx="5100770" cy="142889"/>
                          </a:xfrm>
                          <a:prstGeom prst="rect">
                            <a:avLst/>
                          </a:prstGeom>
                          <a:ln>
                            <a:noFill/>
                          </a:ln>
                        </wps:spPr>
                        <wps:txbx>
                          <w:txbxContent>
                            <w:p w14:paraId="64255ED2" w14:textId="77777777" w:rsidR="00B32EF2" w:rsidRDefault="00000000">
                              <w:r>
                                <w:rPr>
                                  <w:rFonts w:ascii="Arial" w:eastAsia="Arial" w:hAnsi="Arial" w:cs="Arial"/>
                                  <w:i/>
                                  <w:sz w:val="18"/>
                                </w:rPr>
                                <w:t xml:space="preserve">delle entrate, ovvero, per il Corpo della guardia di finanza, dal comandante </w:t>
                              </w:r>
                            </w:p>
                          </w:txbxContent>
                        </wps:txbx>
                        <wps:bodyPr horzOverflow="overflow" vert="horz" lIns="0" tIns="0" rIns="0" bIns="0" rtlCol="0">
                          <a:noAutofit/>
                        </wps:bodyPr>
                      </wps:wsp>
                      <wps:wsp>
                        <wps:cNvPr id="17408" name="Rectangle 17408"/>
                        <wps:cNvSpPr/>
                        <wps:spPr>
                          <a:xfrm rot="-10799999">
                            <a:off x="-1185243" y="5436617"/>
                            <a:ext cx="5092485" cy="142889"/>
                          </a:xfrm>
                          <a:prstGeom prst="rect">
                            <a:avLst/>
                          </a:prstGeom>
                          <a:ln>
                            <a:noFill/>
                          </a:ln>
                        </wps:spPr>
                        <wps:txbx>
                          <w:txbxContent>
                            <w:p w14:paraId="6B4A76AC" w14:textId="77777777" w:rsidR="00B32EF2" w:rsidRDefault="00000000">
                              <w:r>
                                <w:rPr>
                                  <w:rFonts w:ascii="Arial" w:eastAsia="Arial" w:hAnsi="Arial" w:cs="Arial"/>
                                  <w:i/>
                                  <w:sz w:val="18"/>
                                </w:rPr>
                                <w:t xml:space="preserve">regionale. Si applicano le disposizioni dell’art. 52 del decreto del Presidente </w:t>
                              </w:r>
                            </w:p>
                          </w:txbxContent>
                        </wps:txbx>
                        <wps:bodyPr horzOverflow="overflow" vert="horz" lIns="0" tIns="0" rIns="0" bIns="0" rtlCol="0">
                          <a:noAutofit/>
                        </wps:bodyPr>
                      </wps:wsp>
                      <wps:wsp>
                        <wps:cNvPr id="17409" name="Rectangle 17409"/>
                        <wps:cNvSpPr/>
                        <wps:spPr>
                          <a:xfrm rot="-10799999">
                            <a:off x="-1004902" y="5313288"/>
                            <a:ext cx="4918316" cy="142889"/>
                          </a:xfrm>
                          <a:prstGeom prst="rect">
                            <a:avLst/>
                          </a:prstGeom>
                          <a:ln>
                            <a:noFill/>
                          </a:ln>
                        </wps:spPr>
                        <wps:txbx>
                          <w:txbxContent>
                            <w:p w14:paraId="75FCF64F" w14:textId="77777777" w:rsidR="00B32EF2" w:rsidRDefault="00000000">
                              <w:r>
                                <w:rPr>
                                  <w:rFonts w:ascii="Arial" w:eastAsia="Arial" w:hAnsi="Arial" w:cs="Arial"/>
                                  <w:i/>
                                  <w:sz w:val="18"/>
                                </w:rPr>
                                <w:t>della Repubblica 29 settembre 1973, n. 600, e successive modificazioni.</w:t>
                              </w:r>
                            </w:p>
                          </w:txbxContent>
                        </wps:txbx>
                        <wps:bodyPr horzOverflow="overflow" vert="horz" lIns="0" tIns="0" rIns="0" bIns="0" rtlCol="0">
                          <a:noAutofit/>
                        </wps:bodyPr>
                      </wps:wsp>
                      <wps:wsp>
                        <wps:cNvPr id="200786" name="Rectangle 200786"/>
                        <wps:cNvSpPr/>
                        <wps:spPr>
                          <a:xfrm rot="-10799999">
                            <a:off x="-1259544" y="5189958"/>
                            <a:ext cx="5125032" cy="142889"/>
                          </a:xfrm>
                          <a:prstGeom prst="rect">
                            <a:avLst/>
                          </a:prstGeom>
                          <a:ln>
                            <a:noFill/>
                          </a:ln>
                        </wps:spPr>
                        <wps:txbx>
                          <w:txbxContent>
                            <w:p w14:paraId="0FAD90D7" w14:textId="77777777" w:rsidR="00B32EF2" w:rsidRDefault="00000000">
                              <w:r>
                                <w:rPr>
                                  <w:rFonts w:ascii="Arial" w:eastAsia="Arial" w:hAnsi="Arial" w:cs="Arial"/>
                                  <w:i/>
                                  <w:sz w:val="18"/>
                                </w:rPr>
                                <w:t xml:space="preserve">. Le richieste di cui al secondo comma, numero 7), nonchè le relative </w:t>
                              </w:r>
                            </w:p>
                          </w:txbxContent>
                        </wps:txbx>
                        <wps:bodyPr horzOverflow="overflow" vert="horz" lIns="0" tIns="0" rIns="0" bIns="0" rtlCol="0">
                          <a:noAutofit/>
                        </wps:bodyPr>
                      </wps:wsp>
                      <wps:wsp>
                        <wps:cNvPr id="200785" name="Rectangle 200785"/>
                        <wps:cNvSpPr/>
                        <wps:spPr>
                          <a:xfrm rot="-10799999">
                            <a:off x="2578239" y="5189958"/>
                            <a:ext cx="5125032" cy="142889"/>
                          </a:xfrm>
                          <a:prstGeom prst="rect">
                            <a:avLst/>
                          </a:prstGeom>
                          <a:ln>
                            <a:noFill/>
                          </a:ln>
                        </wps:spPr>
                        <wps:txbx>
                          <w:txbxContent>
                            <w:p w14:paraId="0AEC1246"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17411" name="Rectangle 17411"/>
                        <wps:cNvSpPr/>
                        <wps:spPr>
                          <a:xfrm rot="-10799999">
                            <a:off x="-1090839" y="5066628"/>
                            <a:ext cx="5004253" cy="142889"/>
                          </a:xfrm>
                          <a:prstGeom prst="rect">
                            <a:avLst/>
                          </a:prstGeom>
                          <a:ln>
                            <a:noFill/>
                          </a:ln>
                        </wps:spPr>
                        <wps:txbx>
                          <w:txbxContent>
                            <w:p w14:paraId="302373A6" w14:textId="77777777" w:rsidR="00B32EF2" w:rsidRDefault="00000000">
                              <w:r>
                                <w:rPr>
                                  <w:rFonts w:ascii="Arial" w:eastAsia="Arial" w:hAnsi="Arial" w:cs="Arial"/>
                                  <w:i/>
                                  <w:sz w:val="18"/>
                                </w:rPr>
                                <w:t>risposte, anche se negative, sono effettuate esclusivamente in via telemati</w:t>
                              </w:r>
                            </w:p>
                          </w:txbxContent>
                        </wps:txbx>
                        <wps:bodyPr horzOverflow="overflow" vert="horz" lIns="0" tIns="0" rIns="0" bIns="0" rtlCol="0">
                          <a:noAutofit/>
                        </wps:bodyPr>
                      </wps:wsp>
                      <wps:wsp>
                        <wps:cNvPr id="17412" name="Rectangle 17412"/>
                        <wps:cNvSpPr/>
                        <wps:spPr>
                          <a:xfrm rot="-10799999">
                            <a:off x="97520" y="5066628"/>
                            <a:ext cx="50622" cy="142889"/>
                          </a:xfrm>
                          <a:prstGeom prst="rect">
                            <a:avLst/>
                          </a:prstGeom>
                          <a:ln>
                            <a:noFill/>
                          </a:ln>
                        </wps:spPr>
                        <wps:txbx>
                          <w:txbxContent>
                            <w:p w14:paraId="56D451F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413" name="Rectangle 17413"/>
                        <wps:cNvSpPr/>
                        <wps:spPr>
                          <a:xfrm rot="-10799999">
                            <a:off x="-1090488" y="4943299"/>
                            <a:ext cx="5003903" cy="142889"/>
                          </a:xfrm>
                          <a:prstGeom prst="rect">
                            <a:avLst/>
                          </a:prstGeom>
                          <a:ln>
                            <a:noFill/>
                          </a:ln>
                        </wps:spPr>
                        <wps:txbx>
                          <w:txbxContent>
                            <w:p w14:paraId="3FD36619" w14:textId="77777777" w:rsidR="00B32EF2" w:rsidRDefault="00000000">
                              <w:r>
                                <w:rPr>
                                  <w:rFonts w:ascii="Arial" w:eastAsia="Arial" w:hAnsi="Arial" w:cs="Arial"/>
                                  <w:i/>
                                  <w:sz w:val="18"/>
                                </w:rPr>
                                <w:t>ca. Con provvedimento del direttore dell’Agenzia delle entrate sono stabili</w:t>
                              </w:r>
                            </w:p>
                          </w:txbxContent>
                        </wps:txbx>
                        <wps:bodyPr horzOverflow="overflow" vert="horz" lIns="0" tIns="0" rIns="0" bIns="0" rtlCol="0">
                          <a:noAutofit/>
                        </wps:bodyPr>
                      </wps:wsp>
                      <wps:wsp>
                        <wps:cNvPr id="17414" name="Rectangle 17414"/>
                        <wps:cNvSpPr/>
                        <wps:spPr>
                          <a:xfrm rot="-10799999">
                            <a:off x="97520" y="4943298"/>
                            <a:ext cx="50622" cy="142889"/>
                          </a:xfrm>
                          <a:prstGeom prst="rect">
                            <a:avLst/>
                          </a:prstGeom>
                          <a:ln>
                            <a:noFill/>
                          </a:ln>
                        </wps:spPr>
                        <wps:txbx>
                          <w:txbxContent>
                            <w:p w14:paraId="2F33275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415" name="Rectangle 17415"/>
                        <wps:cNvSpPr/>
                        <wps:spPr>
                          <a:xfrm rot="-10799999">
                            <a:off x="-1185566" y="4819969"/>
                            <a:ext cx="5094066" cy="142889"/>
                          </a:xfrm>
                          <a:prstGeom prst="rect">
                            <a:avLst/>
                          </a:prstGeom>
                          <a:ln>
                            <a:noFill/>
                          </a:ln>
                        </wps:spPr>
                        <wps:txbx>
                          <w:txbxContent>
                            <w:p w14:paraId="5B28BE98" w14:textId="77777777" w:rsidR="00B32EF2" w:rsidRDefault="00000000">
                              <w:r>
                                <w:rPr>
                                  <w:rFonts w:ascii="Arial" w:eastAsia="Arial" w:hAnsi="Arial" w:cs="Arial"/>
                                  <w:i/>
                                  <w:sz w:val="18"/>
                                </w:rPr>
                                <w:t xml:space="preserve">te le disposizioni attuative e le modalità di trasmissione delle richieste, delle </w:t>
                              </w:r>
                            </w:p>
                          </w:txbxContent>
                        </wps:txbx>
                        <wps:bodyPr horzOverflow="overflow" vert="horz" lIns="0" tIns="0" rIns="0" bIns="0" rtlCol="0">
                          <a:noAutofit/>
                        </wps:bodyPr>
                      </wps:wsp>
                      <wps:wsp>
                        <wps:cNvPr id="17416" name="Rectangle 17416"/>
                        <wps:cNvSpPr/>
                        <wps:spPr>
                          <a:xfrm rot="-10799999">
                            <a:off x="-1185911" y="4696639"/>
                            <a:ext cx="5096240" cy="142889"/>
                          </a:xfrm>
                          <a:prstGeom prst="rect">
                            <a:avLst/>
                          </a:prstGeom>
                          <a:ln>
                            <a:noFill/>
                          </a:ln>
                        </wps:spPr>
                        <wps:txbx>
                          <w:txbxContent>
                            <w:p w14:paraId="2E31ADB2" w14:textId="77777777" w:rsidR="00B32EF2" w:rsidRDefault="00000000">
                              <w:r>
                                <w:rPr>
                                  <w:rFonts w:ascii="Arial" w:eastAsia="Arial" w:hAnsi="Arial" w:cs="Arial"/>
                                  <w:i/>
                                  <w:sz w:val="18"/>
                                </w:rPr>
                                <w:t xml:space="preserve">risposte, nonchè dei dati e delle notizie riguardanti i rapporti e le operazioni </w:t>
                              </w:r>
                            </w:p>
                          </w:txbxContent>
                        </wps:txbx>
                        <wps:bodyPr horzOverflow="overflow" vert="horz" lIns="0" tIns="0" rIns="0" bIns="0" rtlCol="0">
                          <a:noAutofit/>
                        </wps:bodyPr>
                      </wps:wsp>
                      <wps:wsp>
                        <wps:cNvPr id="17417" name="Rectangle 17417"/>
                        <wps:cNvSpPr/>
                        <wps:spPr>
                          <a:xfrm rot="-10799999">
                            <a:off x="1993018" y="4573309"/>
                            <a:ext cx="1920395" cy="142889"/>
                          </a:xfrm>
                          <a:prstGeom prst="rect">
                            <a:avLst/>
                          </a:prstGeom>
                          <a:ln>
                            <a:noFill/>
                          </a:ln>
                        </wps:spPr>
                        <wps:txbx>
                          <w:txbxContent>
                            <w:p w14:paraId="57C9AFAF" w14:textId="77777777" w:rsidR="00B32EF2" w:rsidRDefault="00000000">
                              <w:r>
                                <w:rPr>
                                  <w:rFonts w:ascii="Arial" w:eastAsia="Arial" w:hAnsi="Arial" w:cs="Arial"/>
                                  <w:i/>
                                  <w:sz w:val="18"/>
                                </w:rPr>
                                <w:t>indicati nel citato numero 7).</w:t>
                              </w:r>
                            </w:p>
                          </w:txbxContent>
                        </wps:txbx>
                        <wps:bodyPr horzOverflow="overflow" vert="horz" lIns="0" tIns="0" rIns="0" bIns="0" rtlCol="0">
                          <a:noAutofit/>
                        </wps:bodyPr>
                      </wps:wsp>
                      <wps:wsp>
                        <wps:cNvPr id="200783" name="Rectangle 200783"/>
                        <wps:cNvSpPr/>
                        <wps:spPr>
                          <a:xfrm rot="-10799999">
                            <a:off x="2583704" y="4449980"/>
                            <a:ext cx="5103005" cy="142889"/>
                          </a:xfrm>
                          <a:prstGeom prst="rect">
                            <a:avLst/>
                          </a:prstGeom>
                          <a:ln>
                            <a:noFill/>
                          </a:ln>
                        </wps:spPr>
                        <wps:txbx>
                          <w:txbxContent>
                            <w:p w14:paraId="2D93754E"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200784" name="Rectangle 200784"/>
                        <wps:cNvSpPr/>
                        <wps:spPr>
                          <a:xfrm rot="-10799999">
                            <a:off x="-1253164" y="4449980"/>
                            <a:ext cx="5103004" cy="142889"/>
                          </a:xfrm>
                          <a:prstGeom prst="rect">
                            <a:avLst/>
                          </a:prstGeom>
                          <a:ln>
                            <a:noFill/>
                          </a:ln>
                        </wps:spPr>
                        <wps:txbx>
                          <w:txbxContent>
                            <w:p w14:paraId="06FDE1E8" w14:textId="77777777" w:rsidR="00B32EF2" w:rsidRDefault="00000000">
                              <w:r>
                                <w:rPr>
                                  <w:rFonts w:ascii="Arial" w:eastAsia="Arial" w:hAnsi="Arial" w:cs="Arial"/>
                                  <w:i/>
                                  <w:sz w:val="18"/>
                                </w:rPr>
                                <w:t xml:space="preserve">. Per l’inottemperanza agli inviti di cui al secondo comma, numeri 3) e 4), </w:t>
                              </w:r>
                            </w:p>
                          </w:txbxContent>
                        </wps:txbx>
                        <wps:bodyPr horzOverflow="overflow" vert="horz" lIns="0" tIns="0" rIns="0" bIns="0" rtlCol="0">
                          <a:noAutofit/>
                        </wps:bodyPr>
                      </wps:wsp>
                      <wps:wsp>
                        <wps:cNvPr id="17419" name="Rectangle 17419"/>
                        <wps:cNvSpPr/>
                        <wps:spPr>
                          <a:xfrm rot="-10799999">
                            <a:off x="-1188760" y="4326650"/>
                            <a:ext cx="5108690" cy="142889"/>
                          </a:xfrm>
                          <a:prstGeom prst="rect">
                            <a:avLst/>
                          </a:prstGeom>
                          <a:ln>
                            <a:noFill/>
                          </a:ln>
                        </wps:spPr>
                        <wps:txbx>
                          <w:txbxContent>
                            <w:p w14:paraId="50A1DDE0" w14:textId="77777777" w:rsidR="00B32EF2" w:rsidRDefault="00000000">
                              <w:r>
                                <w:rPr>
                                  <w:rFonts w:ascii="Arial" w:eastAsia="Arial" w:hAnsi="Arial" w:cs="Arial"/>
                                  <w:i/>
                                  <w:sz w:val="18"/>
                                </w:rPr>
                                <w:t xml:space="preserve">si applicano le disposizioni di cui ai commi terzo e quarto dell’ articolo 32 </w:t>
                              </w:r>
                            </w:p>
                          </w:txbxContent>
                        </wps:txbx>
                        <wps:bodyPr horzOverflow="overflow" vert="horz" lIns="0" tIns="0" rIns="0" bIns="0" rtlCol="0">
                          <a:noAutofit/>
                        </wps:bodyPr>
                      </wps:wsp>
                      <wps:wsp>
                        <wps:cNvPr id="17420" name="Rectangle 17420"/>
                        <wps:cNvSpPr/>
                        <wps:spPr>
                          <a:xfrm rot="-10799999">
                            <a:off x="-1188784" y="4203320"/>
                            <a:ext cx="5105284" cy="142889"/>
                          </a:xfrm>
                          <a:prstGeom prst="rect">
                            <a:avLst/>
                          </a:prstGeom>
                          <a:ln>
                            <a:noFill/>
                          </a:ln>
                        </wps:spPr>
                        <wps:txbx>
                          <w:txbxContent>
                            <w:p w14:paraId="11473154" w14:textId="77777777" w:rsidR="00B32EF2" w:rsidRDefault="00000000">
                              <w:r>
                                <w:rPr>
                                  <w:rFonts w:ascii="Arial" w:eastAsia="Arial" w:hAnsi="Arial" w:cs="Arial"/>
                                  <w:i/>
                                  <w:sz w:val="18"/>
                                </w:rPr>
                                <w:t xml:space="preserve">del decreto del Presidente della Repubblica 29 settembre 1973, n. 600 , e </w:t>
                              </w:r>
                            </w:p>
                          </w:txbxContent>
                        </wps:txbx>
                        <wps:bodyPr horzOverflow="overflow" vert="horz" lIns="0" tIns="0" rIns="0" bIns="0" rtlCol="0">
                          <a:noAutofit/>
                        </wps:bodyPr>
                      </wps:wsp>
                      <wps:wsp>
                        <wps:cNvPr id="17421" name="Rectangle 17421"/>
                        <wps:cNvSpPr/>
                        <wps:spPr>
                          <a:xfrm rot="-10799999">
                            <a:off x="2181600" y="4079991"/>
                            <a:ext cx="1732500" cy="142889"/>
                          </a:xfrm>
                          <a:prstGeom prst="rect">
                            <a:avLst/>
                          </a:prstGeom>
                          <a:ln>
                            <a:noFill/>
                          </a:ln>
                        </wps:spPr>
                        <wps:txbx>
                          <w:txbxContent>
                            <w:p w14:paraId="639B5C53" w14:textId="77777777" w:rsidR="00B32EF2" w:rsidRDefault="00000000">
                              <w:r>
                                <w:rPr>
                                  <w:rFonts w:ascii="Arial" w:eastAsia="Arial" w:hAnsi="Arial" w:cs="Arial"/>
                                  <w:i/>
                                  <w:sz w:val="18"/>
                                </w:rPr>
                                <w:t>successive modificazioni.</w:t>
                              </w:r>
                            </w:p>
                          </w:txbxContent>
                        </wps:txbx>
                        <wps:bodyPr horzOverflow="overflow" vert="horz" lIns="0" tIns="0" rIns="0" bIns="0" rtlCol="0">
                          <a:noAutofit/>
                        </wps:bodyPr>
                      </wps:wsp>
                      <wps:wsp>
                        <wps:cNvPr id="200781" name="Rectangle 200781"/>
                        <wps:cNvSpPr/>
                        <wps:spPr>
                          <a:xfrm rot="-10799999">
                            <a:off x="2608452" y="3956661"/>
                            <a:ext cx="5003265" cy="142889"/>
                          </a:xfrm>
                          <a:prstGeom prst="rect">
                            <a:avLst/>
                          </a:prstGeom>
                          <a:ln>
                            <a:noFill/>
                          </a:ln>
                        </wps:spPr>
                        <wps:txbx>
                          <w:txbxContent>
                            <w:p w14:paraId="4008A3FB"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200782" name="Rectangle 200782"/>
                        <wps:cNvSpPr/>
                        <wps:spPr>
                          <a:xfrm rot="-10799999">
                            <a:off x="-1156636" y="3956661"/>
                            <a:ext cx="5003265" cy="142889"/>
                          </a:xfrm>
                          <a:prstGeom prst="rect">
                            <a:avLst/>
                          </a:prstGeom>
                          <a:ln>
                            <a:noFill/>
                          </a:ln>
                        </wps:spPr>
                        <wps:txbx>
                          <w:txbxContent>
                            <w:p w14:paraId="3D4BB7F0" w14:textId="77777777" w:rsidR="00B32EF2" w:rsidRDefault="00000000">
                              <w:r>
                                <w:rPr>
                                  <w:rFonts w:ascii="Arial" w:eastAsia="Arial" w:hAnsi="Arial" w:cs="Arial"/>
                                  <w:i/>
                                  <w:sz w:val="18"/>
                                </w:rPr>
                                <w:t>. Quando l’Agenzia delle entrate riceve comunicazione da parte del pub</w:t>
                              </w:r>
                            </w:p>
                          </w:txbxContent>
                        </wps:txbx>
                        <wps:bodyPr horzOverflow="overflow" vert="horz" lIns="0" tIns="0" rIns="0" bIns="0" rtlCol="0">
                          <a:noAutofit/>
                        </wps:bodyPr>
                      </wps:wsp>
                      <wps:wsp>
                        <wps:cNvPr id="17423" name="Rectangle 17423"/>
                        <wps:cNvSpPr/>
                        <wps:spPr>
                          <a:xfrm rot="-10799999">
                            <a:off x="97520" y="3956661"/>
                            <a:ext cx="50622" cy="142889"/>
                          </a:xfrm>
                          <a:prstGeom prst="rect">
                            <a:avLst/>
                          </a:prstGeom>
                          <a:ln>
                            <a:noFill/>
                          </a:ln>
                        </wps:spPr>
                        <wps:txbx>
                          <w:txbxContent>
                            <w:p w14:paraId="4C79E1E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424" name="Rectangle 17424"/>
                        <wps:cNvSpPr/>
                        <wps:spPr>
                          <a:xfrm rot="-10799999">
                            <a:off x="-1192303" y="3833331"/>
                            <a:ext cx="5121034" cy="142889"/>
                          </a:xfrm>
                          <a:prstGeom prst="rect">
                            <a:avLst/>
                          </a:prstGeom>
                          <a:ln>
                            <a:noFill/>
                          </a:ln>
                        </wps:spPr>
                        <wps:txbx>
                          <w:txbxContent>
                            <w:p w14:paraId="6BB015DB" w14:textId="77777777" w:rsidR="00B32EF2" w:rsidRDefault="00000000">
                              <w:r>
                                <w:rPr>
                                  <w:rFonts w:ascii="Arial" w:eastAsia="Arial" w:hAnsi="Arial" w:cs="Arial"/>
                                  <w:i/>
                                  <w:sz w:val="18"/>
                                </w:rPr>
                                <w:t xml:space="preserve">blico ministero dell’esercizio dell’azione penale ai sensi dell’articolo 129, </w:t>
                              </w:r>
                            </w:p>
                          </w:txbxContent>
                        </wps:txbx>
                        <wps:bodyPr horzOverflow="overflow" vert="horz" lIns="0" tIns="0" rIns="0" bIns="0" rtlCol="0">
                          <a:noAutofit/>
                        </wps:bodyPr>
                      </wps:wsp>
                      <wps:wsp>
                        <wps:cNvPr id="17425" name="Rectangle 17425"/>
                        <wps:cNvSpPr/>
                        <wps:spPr>
                          <a:xfrm rot="-10799999">
                            <a:off x="-1090686" y="3710002"/>
                            <a:ext cx="5004100" cy="142889"/>
                          </a:xfrm>
                          <a:prstGeom prst="rect">
                            <a:avLst/>
                          </a:prstGeom>
                          <a:ln>
                            <a:noFill/>
                          </a:ln>
                        </wps:spPr>
                        <wps:txbx>
                          <w:txbxContent>
                            <w:p w14:paraId="7BFE9DF8" w14:textId="77777777" w:rsidR="00B32EF2" w:rsidRDefault="00000000">
                              <w:r>
                                <w:rPr>
                                  <w:rFonts w:ascii="Arial" w:eastAsia="Arial" w:hAnsi="Arial" w:cs="Arial"/>
                                  <w:i/>
                                  <w:sz w:val="18"/>
                                </w:rPr>
                                <w:t>comma 3-quater, delle disposizioni attuative del codice di procedura pena</w:t>
                              </w:r>
                            </w:p>
                          </w:txbxContent>
                        </wps:txbx>
                        <wps:bodyPr horzOverflow="overflow" vert="horz" lIns="0" tIns="0" rIns="0" bIns="0" rtlCol="0">
                          <a:noAutofit/>
                        </wps:bodyPr>
                      </wps:wsp>
                      <wps:wsp>
                        <wps:cNvPr id="17426" name="Rectangle 17426"/>
                        <wps:cNvSpPr/>
                        <wps:spPr>
                          <a:xfrm rot="-10799999">
                            <a:off x="97520" y="3710001"/>
                            <a:ext cx="50622" cy="142889"/>
                          </a:xfrm>
                          <a:prstGeom prst="rect">
                            <a:avLst/>
                          </a:prstGeom>
                          <a:ln>
                            <a:noFill/>
                          </a:ln>
                        </wps:spPr>
                        <wps:txbx>
                          <w:txbxContent>
                            <w:p w14:paraId="63C1FA9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427" name="Rectangle 17427"/>
                        <wps:cNvSpPr/>
                        <wps:spPr>
                          <a:xfrm rot="-10799999">
                            <a:off x="-1098029" y="3586672"/>
                            <a:ext cx="5011444" cy="142889"/>
                          </a:xfrm>
                          <a:prstGeom prst="rect">
                            <a:avLst/>
                          </a:prstGeom>
                          <a:ln>
                            <a:noFill/>
                          </a:ln>
                        </wps:spPr>
                        <wps:txbx>
                          <w:txbxContent>
                            <w:p w14:paraId="23FB507E" w14:textId="77777777" w:rsidR="00B32EF2" w:rsidRDefault="00000000">
                              <w:r>
                                <w:rPr>
                                  <w:rFonts w:ascii="Arial" w:eastAsia="Arial" w:hAnsi="Arial" w:cs="Arial"/>
                                  <w:i/>
                                  <w:sz w:val="18"/>
                                </w:rPr>
                                <w:t>le , di cui al decreto legislativo 28 luglio 1989, n. 271 , risponde senza ritar</w:t>
                              </w:r>
                            </w:p>
                          </w:txbxContent>
                        </wps:txbx>
                        <wps:bodyPr horzOverflow="overflow" vert="horz" lIns="0" tIns="0" rIns="0" bIns="0" rtlCol="0">
                          <a:noAutofit/>
                        </wps:bodyPr>
                      </wps:wsp>
                      <wps:wsp>
                        <wps:cNvPr id="17428" name="Rectangle 17428"/>
                        <wps:cNvSpPr/>
                        <wps:spPr>
                          <a:xfrm rot="-10799999">
                            <a:off x="97520" y="3586672"/>
                            <a:ext cx="50622" cy="142889"/>
                          </a:xfrm>
                          <a:prstGeom prst="rect">
                            <a:avLst/>
                          </a:prstGeom>
                          <a:ln>
                            <a:noFill/>
                          </a:ln>
                        </wps:spPr>
                        <wps:txbx>
                          <w:txbxContent>
                            <w:p w14:paraId="256D5C1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429" name="Rectangle 17429"/>
                        <wps:cNvSpPr/>
                        <wps:spPr>
                          <a:xfrm rot="-10799999">
                            <a:off x="-1187279" y="3463342"/>
                            <a:ext cx="5100694" cy="142889"/>
                          </a:xfrm>
                          <a:prstGeom prst="rect">
                            <a:avLst/>
                          </a:prstGeom>
                          <a:ln>
                            <a:noFill/>
                          </a:ln>
                        </wps:spPr>
                        <wps:txbx>
                          <w:txbxContent>
                            <w:p w14:paraId="33FF36C6" w14:textId="77777777" w:rsidR="00B32EF2" w:rsidRDefault="00000000">
                              <w:r>
                                <w:rPr>
                                  <w:rFonts w:ascii="Arial" w:eastAsia="Arial" w:hAnsi="Arial" w:cs="Arial"/>
                                  <w:i/>
                                  <w:sz w:val="18"/>
                                </w:rPr>
                                <w:t xml:space="preserve">do trasmettendo, anche al competente Comando della Guardia di finanza, </w:t>
                              </w:r>
                            </w:p>
                          </w:txbxContent>
                        </wps:txbx>
                        <wps:bodyPr horzOverflow="overflow" vert="horz" lIns="0" tIns="0" rIns="0" bIns="0" rtlCol="0">
                          <a:noAutofit/>
                        </wps:bodyPr>
                      </wps:wsp>
                      <wps:wsp>
                        <wps:cNvPr id="17430" name="Rectangle 17430"/>
                        <wps:cNvSpPr/>
                        <wps:spPr>
                          <a:xfrm rot="-10799999">
                            <a:off x="-900207" y="3340013"/>
                            <a:ext cx="4813622" cy="142889"/>
                          </a:xfrm>
                          <a:prstGeom prst="rect">
                            <a:avLst/>
                          </a:prstGeom>
                          <a:ln>
                            <a:noFill/>
                          </a:ln>
                        </wps:spPr>
                        <wps:txbx>
                          <w:txbxContent>
                            <w:p w14:paraId="50359E46" w14:textId="77777777" w:rsidR="00B32EF2" w:rsidRDefault="00000000">
                              <w:r>
                                <w:rPr>
                                  <w:rFonts w:ascii="Arial" w:eastAsia="Arial" w:hAnsi="Arial" w:cs="Arial"/>
                                  <w:i/>
                                  <w:sz w:val="18"/>
                                </w:rPr>
                                <w:t>l’attestazione relativa allo stato di definizione della violazione tributaria.</w:t>
                              </w:r>
                            </w:p>
                          </w:txbxContent>
                        </wps:txbx>
                        <wps:bodyPr horzOverflow="overflow" vert="horz" lIns="0" tIns="0" rIns="0" bIns="0" rtlCol="0">
                          <a:noAutofit/>
                        </wps:bodyPr>
                      </wps:wsp>
                      <wps:wsp>
                        <wps:cNvPr id="17431" name="Shape 17431"/>
                        <wps:cNvSpPr/>
                        <wps:spPr>
                          <a:xfrm>
                            <a:off x="31763" y="3263211"/>
                            <a:ext cx="3960000" cy="3011297"/>
                          </a:xfrm>
                          <a:custGeom>
                            <a:avLst/>
                            <a:gdLst/>
                            <a:ahLst/>
                            <a:cxnLst/>
                            <a:rect l="0" t="0" r="0" b="0"/>
                            <a:pathLst>
                              <a:path w="3960000" h="3011297">
                                <a:moveTo>
                                  <a:pt x="0" y="3011297"/>
                                </a:moveTo>
                                <a:lnTo>
                                  <a:pt x="3960000" y="3011297"/>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4B1D9C" id="Group 200823" o:spid="_x0000_s3192" style="width:314.3pt;height:494.05pt;mso-position-horizontal-relative:char;mso-position-vertical-relative:line" coordsize="39917,62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uBfAsAAOp6AAAOAAAAZHJzL2Uyb0RvYy54bWzkXWFv2zgS/X7A/QfD39OIpEiRQdPFontb&#10;HHC4Xezu/QDFsWMDsmVIbpPer783JCXZMtsuJFwZLFsgUWiJkuZxhjNvOPTbH1721eLTuml39eF+&#10;yd5ky8X6sKofd4en++V//vj5Ri8X7ak8PJZVfVjfLz+v2+UP7/7+t7fPx7s1r7d19bhuFujk0N49&#10;H++X29PpeHd72662633ZvqmP6wM+3NTNvjzhz+bp9rEpn9H7vrrlWaZun+vm8djUq3XbovUn9+Hy&#10;ne1/s1mvTr9sNu36tKjul3i2k/3Z2J8P9PP23dvy7qkpj9vdyj9GOeEp9uXugJv2Xf1UnsrFx2Z3&#10;1dV+t2rqtt6c3qzq/W292exWa/sOeBuWjd7mQ1N/PNp3ebp7fjr2YoJoR3Ka3O3q358+NMffj782&#10;kMTz8QmysH/Ru7xsmj39xlMuXqzIPvciW7+cFis0CmNYofLlYoXPFC9ymWkn1NUWkr+6brX9xzeu&#10;vO1ufHvxOM9HDJB2kEE7Twa/b8vj2oq2vYMMfm0Wu0eM30Jovlwcyj2G6m8YPOXhqVovXLMVkD27&#10;F1d710JynawWTY3xdcOywtA/Ox687JjJMohmuYCUbhTHn05InRhZoYUyTopcZipX9HkvivLu2LSn&#10;D+t6v6CD+2WDZ7P9l5/+1Z7cqd0p9DjVgX4e6p93VeU+pRZItHtiOjq9PLzY1+YZ7u1f76F+/Axp&#10;bOvmv79ArzdV/Xy/rP3RklQdt6dPl4vqnwegQFrVHTTdwUN30Jyq97XVPfdAP3481ZudfWJ6BHc3&#10;/2SAl8bgd8JZhHEWnSAwKibgLLM85+gaOHPDuDZeGzqgNeNGYoiRurCca20F//2ALuzAG0SfANAw&#10;TiGFzucBrSVj6JlwLrSRToHKuw5nbrgyADce0Kx7v2Q0WoaBlp0gJmo0yyRXDumcGVlYjR2Q1plg&#10;JqZG8+79kgAaTl9RwKkcq7Rv97PYJKg556zIASUpNTeK5yOomckzxWMqdT87pYM1xB3EuvdYJmF9&#10;wxUGEizG68W6n6CSwVrDlwxhjfY5es2YElq/aqz7OSoJrCmeKq6hds1zkJZaYYZ2Ss0KOOAjA865&#10;1AVir3hemY3rknG/7aQM3ymk1EUvikkGnCuWGY5RRAY8y40ch9RSZCYTGAzRQq2is1pJKLXFOqDV&#10;vn2OWt8wAY5Jec/sdYJt4/xkFJtMdcAxc80zoYbh5i6yRlyl4KeRGg3xFum1lKBYoul173kmodfA&#10;lGbMsQl3zXOg1rnOMEGTAWc640ZYxmIAWrBcFAIWJRbQg9uZBNDWUGO+HCPt2+dAfQMmVAgfWjNV&#10;GJWNwJYcNEseUat1WnyZBTXAjPr2OWBzJaRQzgt/pVinRZmRqYbvNNZr1zwHaWaYBBVHBjyo0yDL&#10;IhKjOi2yjOAM57TQPAdlI5QyzMEsJXK8I9MtMomMZcRAS6fHlBUBpK3pngc1Ai2NVLTLdsD94iYf&#10;gW2jao7REM0pS4sqs6AGjLdvn6PXlkERcO3Jflus7bQ4OODxse4poiQccLLgAf/bNc9BujBYXeJw&#10;RvCs2AhnYRgi7YisKMhg/3rJ4BwgRQnnfsBP4kSZBDWCyMpqNGUqQZNAsING6yzHYoWIxjstlswa&#10;6QB34tvnqDTyl5irHU1mMG6w5ugCaaSqmSxiet9psWQWUmjeOMjy7XOgpvQl9+nLVwm1y7wkw30T&#10;pLRWMwT1sI5ykgGnFShYWGYN+OuEOi2WjKbkwFoj1zxHp2/gceXScWSaYaYemW+B9IqMSZ6AMPLv&#10;l4RLZnX6C8lL1Xun03SaEtW5m6mVwbIyy1YMPhmiLA0+PJ5TNtBD6UAdUGo7BHr/dBLUNk+NpUbW&#10;flusR2odH+u0qDIs58wC/rdrnme/BdLUWB9KoRYWfytxjTRKPiKSomASUjLgBGnA/XbN85FmTqfz&#10;XIksZL9pJWksRnQgDRKx34UeForaOq4Fz2zbN3EmLsRXZEF/qWwN6iuQsEQHl/EzQuoM/xyqImMo&#10;27FnnFXqrD66kizqtCvDQgHgoyvIQtu2O1q9HLpDKtz6ai3isTzRddQpHS5QfdU/yxbH/lHo8z3K&#10;sv6o7ZmnUaEdHnP4tDqcn9X3hle3S2twbndG9/to+zs/s7svRPzF8yEtEueFsLoeu9+uZ3fm5d3R&#10;Lb2w7b8XAhrPxVwdSB6ESola0U1VuiK4/e6EItJqtweRzQuCrXvMq5q39vS5WpPIqsNv6w2q32xh&#10;IzW0zdPD+6pZfCqpXM3+cxV21XFb+lbfrz/ViwL90PUblNr1XTJ76UWX7wX99z34k+m6ta1S7a/M&#10;3JUr/zSuVBUFn3jprmAVQukvsneuD6f++gPKbO1NKB73bzuE5iQX+ut7ltrlWSBZRYbZCoOeZqKz&#10;xXTBieLCoFOZhBqPLTPDDHzOgSGL6QZGV9nalUz+n6oqnckYpP+XL7bLMTle8SIEde92ToWa6mcd&#10;1BIxFFLShORZEMUYwCbDgMEQo67S1XkmBXUwVZXD5wUy87Sa+RBK6kyp7ApqlP1nEZltVHb7N0zC&#10;3yL1DWarqHku1EpT3hE6K5UWvBg5YUhnaUknRNJqmJTuDZOBOkCC0QiYx4GB7tSFkC4HLaU0Jh9D&#10;DVkXKE6PB3VqzHaOjTqCc/VcDgwZDE4reUmrc6wdY2OoUbeTUz4rmlanxW2T+gbSVa55ngGHU2Zo&#10;KiaoBUOW0o6dwS3LDdOCQe2jQd3HGEkYcOKwafVeKDWJ9nlgc2mkz2NIpo3B0l90OIAtGXauEfEc&#10;MzZEGemAHXDC7SCY54VzWWguPLv9OrHuXzAJrGGsWZjeRvM8tUaVrO6gRril+FitKfKOWG/HhjAj&#10;GahhRMcmnEZA77dMYlFMYWMpmqvDOMes1sCmad04TgblMC3KepdlEsrYfs5kuSdQckPrukebIMgs&#10;Q0Unbh7NKesjjGSgDtOi2EBsju0eFNrhfGW44yp0cjQZCzhjZLZ7V2WiQiOglspxJ7lmxoz3mgNN&#10;Bi4uYpTFkqPJKKYNzdBzYyxAjWIMG1DnWFWi4Jhdxlgo3+B5RJpscDeTsd1hRtSxWpPzHFBjJMr9&#10;qhJZCNTlXCJNFTm2HCjWLD14m0kgbaPmgEfm2+fM09h0ShSUGYXrnee5MW5jiXPmJBMxF4uxwedM&#10;B+uAS2axnueTYacLMKF+ZdFXwMbdoyl2/4ZJgE0eWJj+drvDTTbhlNTSBa3cJr3G8hOFDb4vZ2uW&#10;aRVxuzk2uJ6pQE3Z4oBjhuY5FtxB7cvtckzMWDB4BbXkdEI0re5dz2SgDhOi2JxgDtQowGJY+umU&#10;2u7kb/sbJmsU/yDPEdMFT4sps5NyAGrfPgtrlemcduOHAYevDfJ7hDVRZTzi1iaYYbrBnIRWW0wD&#10;5Ldvn4M1TDgA9tsgvFKwk2PM6JsyQrP1PAp84EW/gHNUXnRwRZJQabjftJtnCOU+DpnKixouKI9B&#10;1hvbC4rxBpJYkMAyEdEnG1yRZKAOU+B8LgWOnJby21KJglZ6j7awwUSd02rNaO43arX97JQM1GEK&#10;HF+VMmeaPrPdFucrhyyu7e4npmRQDrPf2Hh9DsqUpKYtf53txq79CmU66HCIsrCNEQN9FlGh+9kp&#10;GajD64HdeqDJLNmZQodxjqvQ/cSUDMphLhS6OE+hbTGeV2hUSdNmz5cKjelZmZgK3U9MqUBNezsG&#10;/G40z4IapXhULm3dboH9FVzyaDDdWKMg4ip1Pzklg3TPj7l6eARdLhj6utmmCfesHN6HUlQO79L8&#10;A6Z9KTjR25cV3l0t7Xmd9isqh7982D9TFH95RVe43v2+Lo236vSNovjxOauqbtfQwj9f9G4L2+EO&#10;fbHw3VWsuz4DX/YaKnwPVKnbXoanDdW2+wr1aeXyr6Lw3X6zML5Q2crff/kzfWPz+d+2UH74iup3&#10;/wMAAP//AwBQSwMEFAAGAAgAAAAhAI5ASgHdAAAABQEAAA8AAABkcnMvZG93bnJldi54bWxMj0FL&#10;w0AQhe+C/2EZwZvdpNIQYzalFPVUCraCeJtmp0lodjZkt0n677v1opeBx3u8902+nEwrBupdY1lB&#10;PItAEJdWN1wp+Nq/P6UgnEfW2FomBRdysCzu73LMtB35k4adr0QoYZehgtr7LpPSlTUZdDPbEQfv&#10;aHuDPsi+krrHMZSbVs6jKJEGGw4LNXa0rqk87c5GwceI4+o5fhs2p+P68rNfbL83MSn1+DCtXkF4&#10;mvxfGG74AR2KwHSwZ9ZOtArCI/73Bi+ZpwmIg4KXNI1BFrn8T19cAQAA//8DAFBLAQItABQABgAI&#10;AAAAIQC2gziS/gAAAOEBAAATAAAAAAAAAAAAAAAAAAAAAABbQ29udGVudF9UeXBlc10ueG1sUEsB&#10;Ai0AFAAGAAgAAAAhADj9If/WAAAAlAEAAAsAAAAAAAAAAAAAAAAALwEAAF9yZWxzLy5yZWxzUEsB&#10;Ai0AFAAGAAgAAAAhAE7Ae4F8CwAA6noAAA4AAAAAAAAAAAAAAAAALgIAAGRycy9lMm9Eb2MueG1s&#10;UEsBAi0AFAAGAAgAAAAhAI5ASgHdAAAABQEAAA8AAAAAAAAAAAAAAAAA1g0AAGRycy9kb3ducmV2&#10;LnhtbFBLBQYAAAAABAAEAPMAAADgDgAAAAA=&#10;">
                <v:rect id="Rectangle 17382" o:spid="_x0000_s3193"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KKNxQAAAN4AAAAPAAAAZHJzL2Rvd25yZXYueG1sRE9La8JA&#10;EL4X/A/LCN7qRgttiK4iijSHXuoDPA7ZMYlmZ5fsamJ/fbdQ8DYf33Pmy9404k6try0rmIwTEMSF&#10;1TWXCg777WsKwgdkjY1lUvAgD8vF4GWOmbYdf9N9F0oRQ9hnqKAKwWVS+qIig35sHXHkzrY1GCJs&#10;S6lb7GK4aeQ0Sd6lwZpjQ4WO1hUV193NKDht2OXbThbnn7X7uuRp83k7HJUaDfvVDESgPjzF/+5c&#10;x/kfb+kU/t6JN8jFLwAAAP//AwBQSwECLQAUAAYACAAAACEA2+H2y+4AAACFAQAAEwAAAAAAAAAA&#10;AAAAAAAAAAAAW0NvbnRlbnRfVHlwZXNdLnhtbFBLAQItABQABgAIAAAAIQBa9CxbvwAAABUBAAAL&#10;AAAAAAAAAAAAAAAAAB8BAABfcmVscy8ucmVsc1BLAQItABQABgAIAAAAIQCWaKKNxQAAAN4AAAAP&#10;AAAAAAAAAAAAAAAAAAcCAABkcnMvZG93bnJldi54bWxQSwUGAAAAAAMAAwC3AAAA+QIAAAAA&#10;" filled="f" stroked="f">
                  <v:textbox inset="0,0,0,0">
                    <w:txbxContent>
                      <w:p w14:paraId="0BF7A21D" w14:textId="77777777" w:rsidR="00B32EF2" w:rsidRDefault="00000000">
                        <w:r>
                          <w:rPr>
                            <w:rFonts w:ascii="Times New Roman" w:eastAsia="Times New Roman" w:hAnsi="Times New Roman" w:cs="Times New Roman"/>
                          </w:rPr>
                          <w:t>73</w:t>
                        </w:r>
                      </w:p>
                    </w:txbxContent>
                  </v:textbox>
                </v:rect>
                <v:rect id="Rectangle 17383" o:spid="_x0000_s3194" style="position:absolute;left:15044;top:29128;width:81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AcWxAAAAN4AAAAPAAAAZHJzL2Rvd25yZXYueG1sRE9Na8JA&#10;EL0X/A/LCN7qxgptiK4iijQHL7UKHofsmESzs0t2NdFf3y0UepvH+5z5sjeNuFPra8sKJuMEBHFh&#10;dc2lgsP39jUF4QOyxsYyKXiQh+Vi8DLHTNuOv+i+D6WIIewzVFCF4DIpfVGRQT+2jjhyZ9saDBG2&#10;pdQtdjHcNPItSd6lwZpjQ4WO1hUV1/3NKDht2OXbThbn59rtLnnafN4OR6VGw341AxGoD//iP3eu&#10;4/yPaTqF33fiDXLxAwAA//8DAFBLAQItABQABgAIAAAAIQDb4fbL7gAAAIUBAAATAAAAAAAAAAAA&#10;AAAAAAAAAABbQ29udGVudF9UeXBlc10ueG1sUEsBAi0AFAAGAAgAAAAhAFr0LFu/AAAAFQEAAAsA&#10;AAAAAAAAAAAAAAAAHwEAAF9yZWxzLy5yZWxzUEsBAi0AFAAGAAgAAAAhAPkkBxbEAAAA3gAAAA8A&#10;AAAAAAAAAAAAAAAABwIAAGRycy9kb3ducmV2LnhtbFBLBQYAAAAAAwADALcAAAD4AgAAAAA=&#10;" filled="f" stroked="f">
                  <v:textbox inset="0,0,0,0">
                    <w:txbxContent>
                      <w:p w14:paraId="1064B7DD" w14:textId="77777777" w:rsidR="00B32EF2" w:rsidRDefault="00000000">
                        <w:r>
                          <w:rPr>
                            <w:rFonts w:ascii="Arial" w:eastAsia="Arial" w:hAnsi="Arial" w:cs="Arial"/>
                            <w:b/>
                            <w:sz w:val="18"/>
                          </w:rPr>
                          <w:t>SEZIONE II</w:t>
                        </w:r>
                      </w:p>
                    </w:txbxContent>
                  </v:textbox>
                </v:rect>
                <v:rect id="Rectangle 17384" o:spid="_x0000_s3195" style="position:absolute;left:1851;top:27895;width:292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Z9ixQAAAN4AAAAPAAAAZHJzL2Rvd25yZXYueG1sRE9Na8JA&#10;EL0X+h+WKXirm9aiIbpKsYg5eKlV8DhkxySanV2yq4n99W5B6G0e73Nmi9404kqtry0reBsmIIgL&#10;q2suFex+Vq8pCB+QNTaWScGNPCzmz08zzLTt+Juu21CKGMI+QwVVCC6T0hcVGfRD64gjd7StwRBh&#10;W0rdYhfDTSPfk2QsDdYcGyp0tKyoOG8vRsHhi12+6mRx/F26zSlPm/Vlt1dq8NJ/TkEE6sO/+OHO&#10;dZw/GaUf8PdOvEHO7wAAAP//AwBQSwECLQAUAAYACAAAACEA2+H2y+4AAACFAQAAEwAAAAAAAAAA&#10;AAAAAAAAAAAAW0NvbnRlbnRfVHlwZXNdLnhtbFBLAQItABQABgAIAAAAIQBa9CxbvwAAABUBAAAL&#10;AAAAAAAAAAAAAAAAAB8BAABfcmVscy8ucmVsc1BLAQItABQABgAIAAAAIQB2zZ9ixQAAAN4AAAAP&#10;AAAAAAAAAAAAAAAAAAcCAABkcnMvZG93bnJldi54bWxQSwUGAAAAAAMAAwC3AAAA+QIAAAAA&#10;" filled="f" stroked="f">
                  <v:textbox inset="0,0,0,0">
                    <w:txbxContent>
                      <w:p w14:paraId="0EB83BD6" w14:textId="77777777" w:rsidR="00B32EF2" w:rsidRDefault="00000000">
                        <w:r>
                          <w:rPr>
                            <w:rFonts w:ascii="Arial" w:eastAsia="Arial" w:hAnsi="Arial" w:cs="Arial"/>
                            <w:b/>
                            <w:sz w:val="18"/>
                          </w:rPr>
                          <w:t xml:space="preserve"> L’ESAME PRELIMINARE DEL RICORSO</w:t>
                        </w:r>
                      </w:p>
                    </w:txbxContent>
                  </v:textbox>
                </v:rect>
                <v:rect id="Rectangle 17385" o:spid="_x0000_s3196" style="position:absolute;left:15105;top:24195;width:80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Tr5xQAAAN4AAAAPAAAAZHJzL2Rvd25yZXYueG1sRE9Na8JA&#10;EL0X+h+WKXirm1aqIbpKsYg5eKlV8DhkxySanV2yq4n99W5B6G0e73Nmi9404kqtry0reBsmIIgL&#10;q2suFex+Vq8pCB+QNTaWScGNPCzmz08zzLTt+Juu21CKGMI+QwVVCC6T0hcVGfRD64gjd7StwRBh&#10;W0rdYhfDTSPfk2QsDdYcGyp0tKyoOG8vRsHhi12+6mRx/F26zSlPm/Vlt1dq8NJ/TkEE6sO/+OHO&#10;dZw/GaUf8PdOvEHO7wAAAP//AwBQSwECLQAUAAYACAAAACEA2+H2y+4AAACFAQAAEwAAAAAAAAAA&#10;AAAAAAAAAAAAW0NvbnRlbnRfVHlwZXNdLnhtbFBLAQItABQABgAIAAAAIQBa9CxbvwAAABUBAAAL&#10;AAAAAAAAAAAAAAAAAB8BAABfcmVscy8ucmVsc1BLAQItABQABgAIAAAAIQAZgTr5xQAAAN4AAAAP&#10;AAAAAAAAAAAAAAAAAAcCAABkcnMvZG93bnJldi54bWxQSwUGAAAAAAMAAwC3AAAA+QIAAAAA&#10;" filled="f" stroked="f">
                  <v:textbox inset="0,0,0,0">
                    <w:txbxContent>
                      <w:p w14:paraId="39E58D53" w14:textId="77777777" w:rsidR="00B32EF2" w:rsidRDefault="00000000">
                        <w:r>
                          <w:rPr>
                            <w:rFonts w:ascii="Arial" w:eastAsia="Arial" w:hAnsi="Arial" w:cs="Arial"/>
                            <w:b/>
                            <w:sz w:val="18"/>
                          </w:rPr>
                          <w:t>Articolo 75</w:t>
                        </w:r>
                      </w:p>
                    </w:txbxContent>
                  </v:textbox>
                </v:rect>
                <v:rect id="Rectangle 200778" o:spid="_x0000_s3197" style="position:absolute;left:22217;top:22962;width:194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HNpxwAAAN8AAAAPAAAAZHJzL2Rvd25yZXYueG1sRI9Nb8Iw&#10;DIbvk/YfIk/abaTbYaCOgBATWg9c+JI4Wo1pOxonagIt+/XzAYmj9fp97Gc6H1yrrtTFxrOB91EG&#10;irj0tuHKwH63epuAignZYuuZDNwownz2/DTF3PqeN3TdpkoJhGOOBuqUQq51LGtyGEc+EEt28p3D&#10;JGNXadthL3DX6o8s+9QOG5YLNQZa1lSetxdn4PjNoVj1ujz9LcP6t5i0P5f9wZjXl2HxBSrRkB7L&#10;93ZhDQhxPJaHxUdcQM/+AQAA//8DAFBLAQItABQABgAIAAAAIQDb4fbL7gAAAIUBAAATAAAAAAAA&#10;AAAAAAAAAAAAAABbQ29udGVudF9UeXBlc10ueG1sUEsBAi0AFAAGAAgAAAAhAFr0LFu/AAAAFQEA&#10;AAsAAAAAAAAAAAAAAAAAHwEAAF9yZWxzLy5yZWxzUEsBAi0AFAAGAAgAAAAhADm0c2nHAAAA3wAA&#10;AA8AAAAAAAAAAAAAAAAABwIAAGRycy9kb3ducmV2LnhtbFBLBQYAAAAAAwADALcAAAD7AgAAAAA=&#10;" filled="f" stroked="f">
                  <v:textbox inset="0,0,0,0">
                    <w:txbxContent>
                      <w:p w14:paraId="56257517" w14:textId="77777777" w:rsidR="00B32EF2" w:rsidRDefault="00000000">
                        <w:r>
                          <w:rPr>
                            <w:rFonts w:ascii="Arial" w:eastAsia="Arial" w:hAnsi="Arial" w:cs="Arial"/>
                            <w:i/>
                            <w:sz w:val="18"/>
                          </w:rPr>
                          <w:t>(</w:t>
                        </w:r>
                      </w:p>
                    </w:txbxContent>
                  </v:textbox>
                </v:rect>
                <v:rect id="Rectangle 200779" o:spid="_x0000_s3198" style="position:absolute;left:-2600;top:22962;width:194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yxwAAAN8AAAAPAAAAZHJzL2Rvd25yZXYueG1sRI9La8Mw&#10;EITvhf4HsYXcErk95OFEDiUl1Ide8ij0uFjrR2qthKXETn59FQj0OMzMN8xqPZhWXKjzjWUFr5ME&#10;BHFhdcOVguNhO56D8AFZY2uZFFzJwzp7flphqm3PO7rsQyUihH2KCuoQXCqlL2oy6CfWEUevtJ3B&#10;EGVXSd1hH+GmlW9JMpUGG44LNTra1FT87s9Gwc8Hu3zby6K8bdzXKZ+3n+fjt1Kjl+F9CSLQEP7D&#10;j3auFUTibLaA+5/4BWT2BwAA//8DAFBLAQItABQABgAIAAAAIQDb4fbL7gAAAIUBAAATAAAAAAAA&#10;AAAAAAAAAAAAAABbQ29udGVudF9UeXBlc10ueG1sUEsBAi0AFAAGAAgAAAAhAFr0LFu/AAAAFQEA&#10;AAsAAAAAAAAAAAAAAAAAHwEAAF9yZWxzLy5yZWxzUEsBAi0AFAAGAAgAAAAhAFb41vLHAAAA3wAA&#10;AA8AAAAAAAAAAAAAAAAABwIAAGRycy9kb3ducmV2LnhtbFBLBQYAAAAAAwADALcAAAD7AgAAAAA=&#10;" filled="f" stroked="f">
                  <v:textbox inset="0,0,0,0">
                    <w:txbxContent>
                      <w:p w14:paraId="72C3D54E" w14:textId="77777777" w:rsidR="00B32EF2" w:rsidRDefault="00000000">
                        <w:r>
                          <w:rPr>
                            <w:rFonts w:ascii="Arial" w:eastAsia="Arial" w:hAnsi="Arial" w:cs="Arial"/>
                            <w:i/>
                            <w:sz w:val="18"/>
                          </w:rPr>
                          <w:t>546/92)</w:t>
                        </w:r>
                      </w:p>
                    </w:txbxContent>
                  </v:textbox>
                </v:rect>
                <v:rect id="Rectangle 200780" o:spid="_x0000_s3199" style="position:absolute;left:11638;top:22962;width:194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w9IxwAAAN8AAAAPAAAAZHJzL2Rvd25yZXYueG1sRI/LasMw&#10;EEX3hf6DmEJ2jdwuEuNGCSUlxItumgd0OVgT2601EpYSO/36ziKQ5XDnnstZrEbXqQv1sfVs4GWa&#10;gSKuvG25NnDYb55zUDEhW+w8k4ErRVgtHx8WWFg/8BdddqlWAuFYoIEmpVBoHauGHMapD8SSnXzv&#10;MMnZ19r2OAjcdfo1y2baYcuy0GCgdUPV7+7sDHx/cCg3g65Of+vw+VPm3fZ8OBozeRrf30AlGtP9&#10;+dYurQEhznMxEB9xAb38BwAA//8DAFBLAQItABQABgAIAAAAIQDb4fbL7gAAAIUBAAATAAAAAAAA&#10;AAAAAAAAAAAAAABbQ29udGVudF9UeXBlc10ueG1sUEsBAi0AFAAGAAgAAAAhAFr0LFu/AAAAFQEA&#10;AAsAAAAAAAAAAAAAAAAAHwEAAF9yZWxzLy5yZWxzUEsBAi0AFAAGAAgAAAAhAPIXD0jHAAAA3wAA&#10;AA8AAAAAAAAAAAAAAAAABwIAAGRycy9kb3ducmV2LnhtbFBLBQYAAAAAAwADALcAAAD7AgAAAAA=&#10;" filled="f" stroked="f">
                  <v:textbox inset="0,0,0,0">
                    <w:txbxContent>
                      <w:p w14:paraId="36E97C24" w14:textId="77777777" w:rsidR="00B32EF2" w:rsidRDefault="00000000">
                        <w:r>
                          <w:rPr>
                            <w:rFonts w:ascii="Arial" w:eastAsia="Arial" w:hAnsi="Arial" w:cs="Arial"/>
                            <w:i/>
                            <w:sz w:val="18"/>
                          </w:rPr>
                          <w:t xml:space="preserve">articolo 27 D.lgs. n. </w:t>
                        </w:r>
                      </w:p>
                    </w:txbxContent>
                  </v:textbox>
                </v:rect>
                <v:rect id="Rectangle 17387" o:spid="_x0000_s3200" style="position:absolute;left:5861;top:21729;width:225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wEVxAAAAN4AAAAPAAAAZHJzL2Rvd25yZXYueG1sRE9Na8JA&#10;EL0X/A/LCN7qxgo1RFcRRZpDL7UKHofsmESzs0t2NdFf3y0UepvH+5zFqjeNuFPra8sKJuMEBHFh&#10;dc2lgsP37jUF4QOyxsYyKXiQh9Vy8LLATNuOv+i+D6WIIewzVFCF4DIpfVGRQT+2jjhyZ9saDBG2&#10;pdQtdjHcNPItSd6lwZpjQ4WONhUV1/3NKDht2eW7Thbn58Z9XvK0+bgdjkqNhv16DiJQH/7Ff+5c&#10;x/mzaTqD33fiDXL5AwAA//8DAFBLAQItABQABgAIAAAAIQDb4fbL7gAAAIUBAAATAAAAAAAAAAAA&#10;AAAAAAAAAABbQ29udGVudF9UeXBlc10ueG1sUEsBAi0AFAAGAAgAAAAhAFr0LFu/AAAAFQEAAAsA&#10;AAAAAAAAAAAAAAAAHwEAAF9yZWxzLy5yZWxzUEsBAi0AFAAGAAgAAAAhAIYfARXEAAAA3gAAAA8A&#10;AAAAAAAAAAAAAAAABwIAAGRycy9kb3ducmV2LnhtbFBLBQYAAAAAAwADALcAAAD4AgAAAAA=&#10;" filled="f" stroked="f">
                  <v:textbox inset="0,0,0,0">
                    <w:txbxContent>
                      <w:p w14:paraId="26FFD543" w14:textId="77777777" w:rsidR="00B32EF2" w:rsidRDefault="00000000">
                        <w:r>
                          <w:rPr>
                            <w:rFonts w:ascii="Arial" w:eastAsia="Arial" w:hAnsi="Arial" w:cs="Arial"/>
                            <w:b/>
                            <w:sz w:val="18"/>
                          </w:rPr>
                          <w:t xml:space="preserve">Esame preliminare del ricorso </w:t>
                        </w:r>
                      </w:p>
                    </w:txbxContent>
                  </v:textbox>
                </v:rect>
                <v:rect id="Rectangle 200776" o:spid="_x0000_s3201" style="position:absolute;left:26109;top:2049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0KAxwAAAN8AAAAPAAAAZHJzL2Rvd25yZXYueG1sRI9Ba8JA&#10;FITvBf/D8gRvdWMPRlJXKZHQHHqpWujxkX0mabNvl+yaxP76bqHgcZiZb5jtfjKdGKj3rWUFq2UC&#10;griyuuVawflUPG5A+ICssbNMCm7kYb+bPWwx03bkdxqOoRYRwj5DBU0ILpPSVw0Z9EvriKN3sb3B&#10;EGVfS93jGOGmk09JspYGW44LDTrKG6q+j1ej4PPArixGWV1+cvf2VW661+v5Q6nFfHp5BhFoCvfw&#10;f7vUCiIxTdfw9yd+Abn7BQAA//8DAFBLAQItABQABgAIAAAAIQDb4fbL7gAAAIUBAAATAAAAAAAA&#10;AAAAAAAAAAAAAABbQ29udGVudF9UeXBlc10ueG1sUEsBAi0AFAAGAAgAAAAhAFr0LFu/AAAAFQEA&#10;AAsAAAAAAAAAAAAAAAAAHwEAAF9yZWxzLy5yZWxzUEsBAi0AFAAGAAgAAAAhACdnQoDHAAAA3wAA&#10;AA8AAAAAAAAAAAAAAAAABwIAAGRycy9kb3ducmV2LnhtbFBLBQYAAAAAAwADALcAAAD7AgAAAAA=&#10;" filled="f" stroked="f">
                  <v:textbox inset="0,0,0,0">
                    <w:txbxContent>
                      <w:p w14:paraId="3F568A2C" w14:textId="77777777" w:rsidR="00B32EF2" w:rsidRDefault="00000000">
                        <w:r>
                          <w:rPr>
                            <w:rFonts w:ascii="Arial" w:eastAsia="Arial" w:hAnsi="Arial" w:cs="Arial"/>
                            <w:sz w:val="18"/>
                          </w:rPr>
                          <w:t>1</w:t>
                        </w:r>
                      </w:p>
                    </w:txbxContent>
                  </v:textbox>
                </v:rect>
                <v:rect id="Rectangle 200777" o:spid="_x0000_s3202" style="position:absolute;left:-13764;top:2049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cbxgAAAN8AAAAPAAAAZHJzL2Rvd25yZXYueG1sRI9Ba8JA&#10;FITvgv9heUJvuqmHRlJXKYo0By/aCD0+ss8kbfbtkl1N6q93BaHHYWa+YZbrwbTiSp1vLCt4nSUg&#10;iEurG64UFF+76QKED8gaW8uk4I88rFfj0RIzbXs+0PUYKhEh7DNUUIfgMil9WZNBP7OOOHpn2xkM&#10;UXaV1B32EW5aOU+SN2mw4bhQo6NNTeXv8WIUfG/Z5btelufbxu1/8kX7eSlOSr1Mho93EIGG8B9+&#10;tnOtIBLTNIXHn/gF5OoOAAD//wMAUEsBAi0AFAAGAAgAAAAhANvh9svuAAAAhQEAABMAAAAAAAAA&#10;AAAAAAAAAAAAAFtDb250ZW50X1R5cGVzXS54bWxQSwECLQAUAAYACAAAACEAWvQsW78AAAAVAQAA&#10;CwAAAAAAAAAAAAAAAAAfAQAAX3JlbHMvLnJlbHNQSwECLQAUAAYACAAAACEASCvnG8YAAADfAAAA&#10;DwAAAAAAAAAAAAAAAAAHAgAAZHJzL2Rvd25yZXYueG1sUEsFBgAAAAADAAMAtwAAAPoCAAAAAA==&#10;" filled="f" stroked="f">
                  <v:textbox inset="0,0,0,0">
                    <w:txbxContent>
                      <w:p w14:paraId="682D3EF4" w14:textId="77777777" w:rsidR="00B32EF2" w:rsidRDefault="00000000">
                        <w:r>
                          <w:rPr>
                            <w:rFonts w:ascii="Arial" w:eastAsia="Arial" w:hAnsi="Arial" w:cs="Arial"/>
                            <w:sz w:val="18"/>
                          </w:rPr>
                          <w:t xml:space="preserve">. Il presidente della sezione, scaduti i termini per la costituzione in giudizio </w:t>
                        </w:r>
                      </w:p>
                    </w:txbxContent>
                  </v:textbox>
                </v:rect>
                <v:rect id="Rectangle 17389" o:spid="_x0000_s3203" style="position:absolute;left:-13172;top:19262;width:530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DD8xQAAAN4AAAAPAAAAZHJzL2Rvd25yZXYueG1sRE9Na8JA&#10;EL0L/odlhN50o4U2ja4iipiDl1oLHofsmKTNzi7Z1cT+erdQ6G0e73MWq9404katry0rmE4SEMSF&#10;1TWXCk4fu3EKwgdkjY1lUnAnD6vlcLDATNuO3+l2DKWIIewzVFCF4DIpfVGRQT+xjjhyF9saDBG2&#10;pdQtdjHcNHKWJC/SYM2xoUJHm4qK7+PVKDhv2eW7ThaXn407fOVps7+ePpV6GvXrOYhAffgX/7lz&#10;Hee/Pqdv8PtOvEEuHwAAAP//AwBQSwECLQAUAAYACAAAACEA2+H2y+4AAACFAQAAEwAAAAAAAAAA&#10;AAAAAAAAAAAAW0NvbnRlbnRfVHlwZXNdLnhtbFBLAQItABQABgAIAAAAIQBa9CxbvwAAABUBAAAL&#10;AAAAAAAAAAAAAAAAAB8BAABfcmVscy8ucmVsc1BLAQItABQABgAIAAAAIQCYzDD8xQAAAN4AAAAP&#10;AAAAAAAAAAAAAAAAAAcCAABkcnMvZG93bnJldi54bWxQSwUGAAAAAAMAAwC3AAAA+QIAAAAA&#10;" filled="f" stroked="f">
                  <v:textbox inset="0,0,0,0">
                    <w:txbxContent>
                      <w:p w14:paraId="47FD5AA1" w14:textId="77777777" w:rsidR="00B32EF2" w:rsidRDefault="00000000">
                        <w:r>
                          <w:rPr>
                            <w:rFonts w:ascii="Arial" w:eastAsia="Arial" w:hAnsi="Arial" w:cs="Arial"/>
                            <w:sz w:val="18"/>
                          </w:rPr>
                          <w:t xml:space="preserve">delle parti, esamina preliminarmente il ricorso e ne dichiara l’inammissibilità </w:t>
                        </w:r>
                      </w:p>
                    </w:txbxContent>
                  </v:textbox>
                </v:rect>
                <v:rect id="Rectangle 17390" o:spid="_x0000_s3204" style="position:absolute;left:8480;top:18029;width:314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w+8yAAAAN4AAAAPAAAAZHJzL2Rvd25yZXYueG1sRI9Pb8Iw&#10;DMXvk/YdIk/iNtJt0sY6ApqYED1wGX+kHa3GtN0aJ2oC7fj0+IDEzZaf33u/6XxwrTpRFxvPBp7G&#10;GSji0tuGKwO77fJxAiomZIutZzLwTxHms/u7KebW9/xNp02qlJhwzNFAnVLItY5lTQ7j2AdiuR18&#10;5zDJ2lXadtiLuWv1c5a9aocNS0KNgRY1lX+bozPw88WhWPa6PJwXYf1bTNrVcbc3ZvQwfH6ASjSk&#10;m/j6XVip//byLgCCIzPo2QUAAP//AwBQSwECLQAUAAYACAAAACEA2+H2y+4AAACFAQAAEwAAAAAA&#10;AAAAAAAAAAAAAAAAW0NvbnRlbnRfVHlwZXNdLnhtbFBLAQItABQABgAIAAAAIQBa9CxbvwAAABUB&#10;AAALAAAAAAAAAAAAAAAAAB8BAABfcmVscy8ucmVsc1BLAQItABQABgAIAAAAIQCMLw+8yAAAAN4A&#10;AAAPAAAAAAAAAAAAAAAAAAcCAABkcnMvZG93bnJldi54bWxQSwUGAAAAAAMAAwC3AAAA/AIAAAAA&#10;" filled="f" stroked="f">
                  <v:textbox inset="0,0,0,0">
                    <w:txbxContent>
                      <w:p w14:paraId="2BABA812" w14:textId="77777777" w:rsidR="00B32EF2" w:rsidRDefault="00000000">
                        <w:r>
                          <w:rPr>
                            <w:rFonts w:ascii="Arial" w:eastAsia="Arial" w:hAnsi="Arial" w:cs="Arial"/>
                            <w:sz w:val="18"/>
                          </w:rPr>
                          <w:t>nei casi espressamente previsti, se manifesta.</w:t>
                        </w:r>
                      </w:p>
                    </w:txbxContent>
                  </v:textbox>
                </v:rect>
                <v:rect id="Rectangle 200775" o:spid="_x0000_s3205" style="position:absolute;left:-12833;top:16796;width:5210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dz3xwAAAN8AAAAPAAAAZHJzL2Rvd25yZXYueG1sRI9PawIx&#10;FMTvQr9DeAVvmm3BKqtZKRbpHnrRWujxsXn7x25ewia6q5/eCEKPw8z8hlmtB9OKM3W+sazgZZqA&#10;IC6sbrhScPjeThYgfEDW2FomBRfysM6eRitMte15R+d9qESEsE9RQR2CS6X0RU0G/dQ64uiVtjMY&#10;ouwqqTvsI9y08jVJ3qTBhuNCjY42NRV/+5NR8PvBLt/2siivG/d1zBft5+nwo9T4eXhfggg0hP/w&#10;o51rBZE4n8/g/id+AZndAAAA//8DAFBLAQItABQABgAIAAAAIQDb4fbL7gAAAIUBAAATAAAAAAAA&#10;AAAAAAAAAAAAAABbQ29udGVudF9UeXBlc10ueG1sUEsBAi0AFAAGAAgAAAAhAFr0LFu/AAAAFQEA&#10;AAsAAAAAAAAAAAAAAAAAHwEAAF9yZWxzLy5yZWxzUEsBAi0AFAAGAAgAAAAhANe13PfHAAAA3wAA&#10;AA8AAAAAAAAAAAAAAAAABwIAAGRycy9kb3ducmV2LnhtbFBLBQYAAAAAAwADALcAAAD7AgAAAAA=&#10;" filled="f" stroked="f">
                  <v:textbox inset="0,0,0,0">
                    <w:txbxContent>
                      <w:p w14:paraId="16CED329" w14:textId="77777777" w:rsidR="00B32EF2" w:rsidRDefault="00000000">
                        <w:r>
                          <w:rPr>
                            <w:rFonts w:ascii="Arial" w:eastAsia="Arial" w:hAnsi="Arial" w:cs="Arial"/>
                            <w:sz w:val="18"/>
                          </w:rPr>
                          <w:t>. Il presidente, ove ne sussistano i presupposti, dichiara inoltre la sospensio</w:t>
                        </w:r>
                      </w:p>
                    </w:txbxContent>
                  </v:textbox>
                </v:rect>
                <v:rect id="Rectangle 200774" o:spid="_x0000_s3206" style="position:absolute;left:26353;top:16796;width:521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lsxwAAAN8AAAAPAAAAZHJzL2Rvd25yZXYueG1sRI9PawIx&#10;FMTvQr9DeAVvmm2RKqtZKRbpHnrRWujxsXn7x25ewia6q5/eCEKPw8z8hlmtB9OKM3W+sazgZZqA&#10;IC6sbrhScPjeThYgfEDW2FomBRfysM6eRitMte15R+d9qESEsE9RQR2CS6X0RU0G/dQ64uiVtjMY&#10;ouwqqTvsI9y08jVJ3qTBhuNCjY42NRV/+5NR8PvBLt/2siivG/d1zBft5+nwo9T4eXhfggg0hP/w&#10;o51rBZE4n8/g/id+AZndAAAA//8DAFBLAQItABQABgAIAAAAIQDb4fbL7gAAAIUBAAATAAAAAAAA&#10;AAAAAAAAAAAAAABbQ29udGVudF9UeXBlc10ueG1sUEsBAi0AFAAGAAgAAAAhAFr0LFu/AAAAFQEA&#10;AAsAAAAAAAAAAAAAAAAAHwEAAF9yZWxzLy5yZWxzUEsBAi0AFAAGAAgAAAAhALj5eWzHAAAA3wAA&#10;AA8AAAAAAAAAAAAAAAAABwIAAGRycy9kb3ducmV2LnhtbFBLBQYAAAAAAwADALcAAAD7AgAAAAA=&#10;" filled="f" stroked="f">
                  <v:textbox inset="0,0,0,0">
                    <w:txbxContent>
                      <w:p w14:paraId="466D1751" w14:textId="77777777" w:rsidR="00B32EF2" w:rsidRDefault="00000000">
                        <w:r>
                          <w:rPr>
                            <w:rFonts w:ascii="Arial" w:eastAsia="Arial" w:hAnsi="Arial" w:cs="Arial"/>
                            <w:sz w:val="18"/>
                          </w:rPr>
                          <w:t>2</w:t>
                        </w:r>
                      </w:p>
                    </w:txbxContent>
                  </v:textbox>
                </v:rect>
                <v:rect id="Rectangle 17392" o:spid="_x0000_s3207" style="position:absolute;left:191;top:16796;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TRQxQAAAN4AAAAPAAAAZHJzL2Rvd25yZXYueG1sRE9Na8JA&#10;EL0L/Q/LFLzpRoVqo6uIIs3BS62FHofsmESzs0t2NWl/vVsQvM3jfc5i1Zla3KjxlWUFo2ECgji3&#10;uuJCwfFrN5iB8AFZY22ZFPySh9XypbfAVNuWP+l2CIWIIexTVFCG4FIpfV6SQT+0jjhyJ9sYDBE2&#10;hdQNtjHc1HKcJG/SYMWxoURHm5Lyy+FqFPxs2WW7Vuanv43bn7NZ/XE9fivVf+3WcxCBuvAUP9yZ&#10;jvOnk/cx/L8Tb5DLOwAAAP//AwBQSwECLQAUAAYACAAAACEA2+H2y+4AAACFAQAAEwAAAAAAAAAA&#10;AAAAAAAAAAAAW0NvbnRlbnRfVHlwZXNdLnhtbFBLAQItABQABgAIAAAAIQBa9CxbvwAAABUBAAAL&#10;AAAAAAAAAAAAAAAAAB8BAABfcmVscy8ucmVsc1BLAQItABQABgAIAAAAIQATsTRQxQAAAN4AAAAP&#10;AAAAAAAAAAAAAAAAAAcCAABkcnMvZG93bnJldi54bWxQSwUGAAAAAAMAAwC3AAAA+QIAAAAA&#10;" filled="f" stroked="f">
                  <v:textbox inset="0,0,0,0">
                    <w:txbxContent>
                      <w:p w14:paraId="2A409903" w14:textId="77777777" w:rsidR="00B32EF2" w:rsidRDefault="00000000">
                        <w:r>
                          <w:rPr>
                            <w:rFonts w:ascii="Arial" w:eastAsia="Arial" w:hAnsi="Arial" w:cs="Arial"/>
                            <w:sz w:val="18"/>
                          </w:rPr>
                          <w:t>-</w:t>
                        </w:r>
                      </w:p>
                    </w:txbxContent>
                  </v:textbox>
                </v:rect>
                <v:rect id="Rectangle 17393" o:spid="_x0000_s3208" style="position:absolute;left:9366;top:15562;width:305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HLxQAAAN4AAAAPAAAAZHJzL2Rvd25yZXYueG1sRE9Na8JA&#10;EL0L/Q/LFLzpRoXWRlcRRczBS62FHofsmESzs0t2NbG/3i0UvM3jfc582Zla3KjxlWUFo2ECgji3&#10;uuJCwfFrO5iC8AFZY22ZFNzJw3Lx0ptjqm3Ln3Q7hELEEPYpKihDcKmUPi/JoB9aRxy5k20Mhgib&#10;QuoG2xhuajlOkjdpsOLYUKKjdUn55XA1Cn427LJtK/PT79rtz9m03l2P30r1X7vVDESgLjzF/+5M&#10;x/nvk48J/L0Tb5CLBwAAAP//AwBQSwECLQAUAAYACAAAACEA2+H2y+4AAACFAQAAEwAAAAAAAAAA&#10;AAAAAAAAAAAAW0NvbnRlbnRfVHlwZXNdLnhtbFBLAQItABQABgAIAAAAIQBa9CxbvwAAABUBAAAL&#10;AAAAAAAAAAAAAAAAAB8BAABfcmVscy8ucmVsc1BLAQItABQABgAIAAAAIQB8/ZHLxQAAAN4AAAAP&#10;AAAAAAAAAAAAAAAAAAcCAABkcnMvZG93bnJldi54bWxQSwUGAAAAAAMAAwC3AAAA+QIAAAAA&#10;" filled="f" stroked="f">
                  <v:textbox inset="0,0,0,0">
                    <w:txbxContent>
                      <w:p w14:paraId="68CCE93D" w14:textId="77777777" w:rsidR="00B32EF2" w:rsidRDefault="00000000">
                        <w:r>
                          <w:rPr>
                            <w:rFonts w:ascii="Arial" w:eastAsia="Arial" w:hAnsi="Arial" w:cs="Arial"/>
                            <w:sz w:val="18"/>
                          </w:rPr>
                          <w:t xml:space="preserve">ne, l’interruzione e l’estinzione del processo. </w:t>
                        </w:r>
                      </w:p>
                    </w:txbxContent>
                  </v:textbox>
                </v:rect>
                <v:rect id="Rectangle 200773" o:spid="_x0000_s3209" style="position:absolute;left:-13817;top:1432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OEYxwAAAN8AAAAPAAAAZHJzL2Rvd25yZXYueG1sRI9PawIx&#10;FMTvQr9DeAVvmm2FKqtZKRbpHnrRWujxsXn7x25ewia6q5/eCEKPw8z8hlmtB9OKM3W+sazgZZqA&#10;IC6sbrhScPjeThYgfEDW2FomBRfysM6eRitMte15R+d9qESEsE9RQR2CS6X0RU0G/dQ64uiVtjMY&#10;ouwqqTvsI9y08jVJ3qTBhuNCjY42NRV/+5NR8PvBLt/2siivG/d1zBft5+nwo9T4eXhfggg0hP/w&#10;o51rBZE4n8/g/id+AZndAAAA//8DAFBLAQItABQABgAIAAAAIQDb4fbL7gAAAIUBAAATAAAAAAAA&#10;AAAAAAAAAAAAAABbQ29udGVudF9UeXBlc10ueG1sUEsBAi0AFAAGAAgAAAAhAFr0LFu/AAAAFQEA&#10;AAsAAAAAAAAAAAAAAAAAHwEAAF9yZWxzLy5yZWxzUEsBAi0AFAAGAAgAAAAhADcQ4RjHAAAA3wAA&#10;AA8AAAAAAAAAAAAAAAAABwIAAGRycy9kb3ducmV2LnhtbFBLBQYAAAAAAwADALcAAAD7AgAAAAA=&#10;" filled="f" stroked="f">
                  <v:textbox inset="0,0,0,0">
                    <w:txbxContent>
                      <w:p w14:paraId="231B09D2" w14:textId="77777777" w:rsidR="00B32EF2" w:rsidRDefault="00000000">
                        <w:r>
                          <w:rPr>
                            <w:rFonts w:ascii="Arial" w:eastAsia="Arial" w:hAnsi="Arial" w:cs="Arial"/>
                            <w:sz w:val="18"/>
                          </w:rPr>
                          <w:t xml:space="preserve">. I provvedimenti di cui ai commi precedenti hanno forma di decreto e sono </w:t>
                        </w:r>
                      </w:p>
                    </w:txbxContent>
                  </v:textbox>
                </v:rect>
                <v:rect id="Rectangle 200772" o:spid="_x0000_s3210" style="position:absolute;left:26109;top:1432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ESDxwAAAN8AAAAPAAAAZHJzL2Rvd25yZXYueG1sRI9Ba8JA&#10;FITvQv/D8gq96aY5GImuIiliDr3UWujxkX0m0ezbJbsmaX99t1DocZiZb5jNbjKdGKj3rWUFz4sE&#10;BHFldcu1gvP7Yb4C4QOyxs4yKfgiD7vtw2yDubYjv9FwCrWIEPY5KmhCcLmUvmrIoF9YRxy9i+0N&#10;hij7Wuoexwg3nUyTZCkNthwXGnRUNFTdTnej4POFXXkYZXX5LtzrtVx1x/v5Q6mnx2m/BhFoCv/h&#10;v3apFURilqXw+yd+Abn9AQAA//8DAFBLAQItABQABgAIAAAAIQDb4fbL7gAAAIUBAAATAAAAAAAA&#10;AAAAAAAAAAAAAABbQ29udGVudF9UeXBlc10ueG1sUEsBAi0AFAAGAAgAAAAhAFr0LFu/AAAAFQEA&#10;AAsAAAAAAAAAAAAAAAAAHwEAAF9yZWxzLy5yZWxzUEsBAi0AFAAGAAgAAAAhAFhcRIPHAAAA3wAA&#10;AA8AAAAAAAAAAAAAAAAABwIAAGRycy9kb3ducmV2LnhtbFBLBQYAAAAAAwADALcAAAD7AgAAAAA=&#10;" filled="f" stroked="f">
                  <v:textbox inset="0,0,0,0">
                    <w:txbxContent>
                      <w:p w14:paraId="49F4AD25" w14:textId="77777777" w:rsidR="00B32EF2" w:rsidRDefault="00000000">
                        <w:r>
                          <w:rPr>
                            <w:rFonts w:ascii="Arial" w:eastAsia="Arial" w:hAnsi="Arial" w:cs="Arial"/>
                            <w:sz w:val="18"/>
                          </w:rPr>
                          <w:t>3</w:t>
                        </w:r>
                      </w:p>
                    </w:txbxContent>
                  </v:textbox>
                </v:rect>
                <v:rect id="Rectangle 17395" o:spid="_x0000_s3211" style="position:absolute;left:798;top:13096;width:391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KwkxQAAAN4AAAAPAAAAZHJzL2Rvd25yZXYueG1sRE9Na8JA&#10;EL0X+h+WKXirm7ZYY+oqxSLm4EVrweOQHZO02dklu5ror3eFgrd5vM+ZznvTiBO1vras4GWYgCAu&#10;rK65VLD7Xj6nIHxA1thYJgVn8jCfPT5MMdO24w2dtqEUMYR9hgqqEFwmpS8qMuiH1hFH7mBbgyHC&#10;tpS6xS6Gm0a+Jsm7NFhzbKjQ0aKi4m97NAr2X+zyZSeLw2Xh1r952qyOux+lBk/95weIQH24i//d&#10;uY7zx2+TEdzeiTfI2RUAAP//AwBQSwECLQAUAAYACAAAACEA2+H2y+4AAACFAQAAEwAAAAAAAAAA&#10;AAAAAAAAAAAAW0NvbnRlbnRfVHlwZXNdLnhtbFBLAQItABQABgAIAAAAIQBa9CxbvwAAABUBAAAL&#10;AAAAAAAAAAAAAAAAAB8BAABfcmVscy8ucmVsc1BLAQItABQABgAIAAAAIQCcWKwkxQAAAN4AAAAP&#10;AAAAAAAAAAAAAAAAAAcCAABkcnMvZG93bnJldi54bWxQSwUGAAAAAAMAAwC3AAAA+QIAAAAA&#10;" filled="f" stroked="f">
                  <v:textbox inset="0,0,0,0">
                    <w:txbxContent>
                      <w:p w14:paraId="73B5E088" w14:textId="77777777" w:rsidR="00B32EF2" w:rsidRDefault="00000000">
                        <w:r>
                          <w:rPr>
                            <w:rFonts w:ascii="Arial" w:eastAsia="Arial" w:hAnsi="Arial" w:cs="Arial"/>
                            <w:sz w:val="18"/>
                          </w:rPr>
                          <w:t>soggetti a reclamo innanzi alla corte di giustizia tributaria.</w:t>
                        </w:r>
                      </w:p>
                    </w:txbxContent>
                  </v:textbox>
                </v:rect>
                <v:rect id="Rectangle 17396" o:spid="_x0000_s3212" style="position:absolute;left:15095;top:10629;width:80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jJTxQAAAN4AAAAPAAAAZHJzL2Rvd25yZXYueG1sRE9Na8JA&#10;EL0X+h+WKXirGxWsja4iipiDl1oLPQ7ZMYlmZ5fsaqK/3i0UvM3jfc5s0ZlaXKnxlWUFg34Cgji3&#10;uuJCweF78z4B4QOyxtoyKbiRh8X89WWGqbYtf9F1HwoRQ9inqKAMwaVS+rwkg75vHXHkjrYxGCJs&#10;CqkbbGO4qeUwScbSYMWxoURHq5Ly8/5iFPyu2WWbVubH+8rtTtmk3l4OP0r13rrlFESgLjzF/+5M&#10;x/kfo88x/L0Tb5DzBwAAAP//AwBQSwECLQAUAAYACAAAACEA2+H2y+4AAACFAQAAEwAAAAAAAAAA&#10;AAAAAAAAAAAAW0NvbnRlbnRfVHlwZXNdLnhtbFBLAQItABQABgAIAAAAIQBa9CxbvwAAABUBAAAL&#10;AAAAAAAAAAAAAAAAAB8BAABfcmVscy8ucmVsc1BLAQItABQABgAIAAAAIQBsijJTxQAAAN4AAAAP&#10;AAAAAAAAAAAAAAAAAAcCAABkcnMvZG93bnJldi54bWxQSwUGAAAAAAMAAwC3AAAA+QIAAAAA&#10;" filled="f" stroked="f">
                  <v:textbox inset="0,0,0,0">
                    <w:txbxContent>
                      <w:p w14:paraId="2A58D51C" w14:textId="77777777" w:rsidR="00B32EF2" w:rsidRDefault="00000000">
                        <w:r>
                          <w:rPr>
                            <w:rFonts w:ascii="Arial" w:eastAsia="Arial" w:hAnsi="Arial" w:cs="Arial"/>
                            <w:b/>
                            <w:sz w:val="18"/>
                          </w:rPr>
                          <w:t>Articolo 76</w:t>
                        </w:r>
                      </w:p>
                    </w:txbxContent>
                  </v:textbox>
                </v:rect>
                <v:rect id="Rectangle 200770" o:spid="_x0000_s3213" style="position:absolute;left:-2613;top:9396;width:194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n9vxwAAAN8AAAAPAAAAZHJzL2Rvd25yZXYueG1sRI9Na8JA&#10;EIbvhf6HZQq91U17qJK6ilikOXjxCzwO2TFJzc4u2dXE/vrOQfA4vPM+L890PrhWXamLjWcD76MM&#10;FHHpbcOVgf1u9TYBFROyxdYzGbhRhPns+WmKufU9b+i6TZUSCMccDdQphVzrWNbkMI58IJbs5DuH&#10;Sc6u0rbDXuCu1R9Z9qkdNiwLNQZa1lSetxdn4PjNoVj1ujz9LcP6t5i0P5f9wZjXl2HxBSrRkB7P&#10;93ZhDQhxPBYD8REX0LN/AAAA//8DAFBLAQItABQABgAIAAAAIQDb4fbL7gAAAIUBAAATAAAAAAAA&#10;AAAAAAAAAAAAAABbQ29udGVudF9UeXBlc10ueG1sUEsBAi0AFAAGAAgAAAAhAFr0LFu/AAAAFQEA&#10;AAsAAAAAAAAAAAAAAAAAHwEAAF9yZWxzLy5yZWxzUEsBAi0AFAAGAAgAAAAhAMfCf2/HAAAA3wAA&#10;AA8AAAAAAAAAAAAAAAAABwIAAGRycy9kb3ducmV2LnhtbFBLBQYAAAAAAwADALcAAAD7AgAAAAA=&#10;" filled="f" stroked="f">
                  <v:textbox inset="0,0,0,0">
                    <w:txbxContent>
                      <w:p w14:paraId="376E849E" w14:textId="77777777" w:rsidR="00B32EF2" w:rsidRDefault="00000000">
                        <w:r>
                          <w:rPr>
                            <w:rFonts w:ascii="Arial" w:eastAsia="Arial" w:hAnsi="Arial" w:cs="Arial"/>
                            <w:i/>
                            <w:sz w:val="18"/>
                          </w:rPr>
                          <w:t>546/92)</w:t>
                        </w:r>
                      </w:p>
                    </w:txbxContent>
                  </v:textbox>
                </v:rect>
                <v:rect id="Rectangle 200771" o:spid="_x0000_s3214" style="position:absolute;left:11632;top:9396;width:194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tr0xwAAAN8AAAAPAAAAZHJzL2Rvd25yZXYueG1sRI9Ba8JA&#10;FITvhf6H5RV6qxt7aELqKmKR5uDF1EKPj+wzSc2+XbJrkvrrXUHocZiZb5jFajKdGKj3rWUF81kC&#10;griyuuVaweFr+5KB8AFZY2eZFPyRh9Xy8WGBubYj72koQy0ihH2OCpoQXC6lrxoy6GfWEUfvaHuD&#10;Icq+lrrHMcJNJ1+T5E0abDkuNOho01B1Ks9Gwc8Hu2I7yup42bjdb5F1n+fDt1LPT9P6HUSgKfyH&#10;7+1CK4jENJ3D7U/8AnJ5BQAA//8DAFBLAQItABQABgAIAAAAIQDb4fbL7gAAAIUBAAATAAAAAAAA&#10;AAAAAAAAAAAAAABbQ29udGVudF9UeXBlc10ueG1sUEsBAi0AFAAGAAgAAAAhAFr0LFu/AAAAFQEA&#10;AAsAAAAAAAAAAAAAAAAAHwEAAF9yZWxzLy5yZWxzUEsBAi0AFAAGAAgAAAAhAKiO2vTHAAAA3wAA&#10;AA8AAAAAAAAAAAAAAAAABwIAAGRycy9kb3ducmV2LnhtbFBLBQYAAAAAAwADALcAAAD7AgAAAAA=&#10;" filled="f" stroked="f">
                  <v:textbox inset="0,0,0,0">
                    <w:txbxContent>
                      <w:p w14:paraId="7ACA19E9" w14:textId="77777777" w:rsidR="00B32EF2" w:rsidRDefault="00000000">
                        <w:r>
                          <w:rPr>
                            <w:rFonts w:ascii="Arial" w:eastAsia="Arial" w:hAnsi="Arial" w:cs="Arial"/>
                            <w:i/>
                            <w:sz w:val="18"/>
                          </w:rPr>
                          <w:t xml:space="preserve">articolo 28 D.lgs. n. </w:t>
                        </w:r>
                      </w:p>
                    </w:txbxContent>
                  </v:textbox>
                </v:rect>
                <v:rect id="Rectangle 200769" o:spid="_x0000_s3215" style="position:absolute;left:22218;top:9396;width:194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UAvxwAAAN8AAAAPAAAAZHJzL2Rvd25yZXYueG1sRI9PawIx&#10;FMTvBb9DeEJvmrUHtVuzIop0D73UKnh8bN7+qZuXsInutp/eFIQeh5n5DbNaD6YVN+p8Y1nBbJqA&#10;IC6sbrhScPzaT5YgfEDW2FomBT/kYZ2NnlaYatvzJ90OoRIRwj5FBXUILpXSFzUZ9FPriKNX2s5g&#10;iLKrpO6wj3DTypckmUuDDceFGh1tayouh6tRcN6xy/e9LMrfrfv4zpft+/V4Uup5PGzeQAQawn/4&#10;0c61gkhczF/h70/8AjK7AwAA//8DAFBLAQItABQABgAIAAAAIQDb4fbL7gAAAIUBAAATAAAAAAAA&#10;AAAAAAAAAAAAAABbQ29udGVudF9UeXBlc10ueG1sUEsBAi0AFAAGAAgAAAAhAFr0LFu/AAAAFQEA&#10;AAsAAAAAAAAAAAAAAAAAHwEAAF9yZWxzLy5yZWxzUEsBAi0AFAAGAAgAAAAhANMhQC/HAAAA3wAA&#10;AA8AAAAAAAAAAAAAAAAABwIAAGRycy9kb3ducmV2LnhtbFBLBQYAAAAAAwADALcAAAD7AgAAAAA=&#10;" filled="f" stroked="f">
                  <v:textbox inset="0,0,0,0">
                    <w:txbxContent>
                      <w:p w14:paraId="59913AE4" w14:textId="77777777" w:rsidR="00B32EF2" w:rsidRDefault="00000000">
                        <w:r>
                          <w:rPr>
                            <w:rFonts w:ascii="Arial" w:eastAsia="Arial" w:hAnsi="Arial" w:cs="Arial"/>
                            <w:i/>
                            <w:sz w:val="18"/>
                          </w:rPr>
                          <w:t>(</w:t>
                        </w:r>
                      </w:p>
                    </w:txbxContent>
                  </v:textbox>
                </v:rect>
                <v:rect id="Rectangle 17398" o:spid="_x0000_s3216" style="position:absolute;left:-1194;top:8162;width:338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QO6yAAAAN4AAAAPAAAAZHJzL2Rvd25yZXYueG1sRI9Pb8Iw&#10;DMXvk/YdIk/iNtJt0sY6ApqYED1wGX+kHa3GtN0aJ2oC7fj0+IDEzdZ7fu/n6XxwrTpRFxvPBp7G&#10;GSji0tuGKwO77fJxAiomZIutZzLwTxHms/u7KebW9/xNp02qlIRwzNFAnVLItY5lTQ7j2Adi0Q6+&#10;c5hk7SptO+wl3LX6OctetcOGpaHGQIuayr/N0Rn4+eJQLHtdHs6LsP4tJu3quNsbM3oYPj9AJRrS&#10;zXy9Lqzgv728C6+8IzPo2QUAAP//AwBQSwECLQAUAAYACAAAACEA2+H2y+4AAACFAQAAEwAAAAAA&#10;AAAAAAAAAAAAAAAAW0NvbnRlbnRfVHlwZXNdLnhtbFBLAQItABQABgAIAAAAIQBa9CxbvwAAABUB&#10;AAALAAAAAAAAAAAAAAAAAB8BAABfcmVscy8ucmVsc1BLAQItABQABgAIAAAAIQByWQO6yAAAAN4A&#10;AAAPAAAAAAAAAAAAAAAAAAcCAABkcnMvZG93bnJldi54bWxQSwUGAAAAAAMAAwC3AAAA/AIAAAAA&#10;" filled="f" stroked="f">
                  <v:textbox inset="0,0,0,0">
                    <w:txbxContent>
                      <w:p w14:paraId="466F1282" w14:textId="77777777" w:rsidR="00B32EF2" w:rsidRDefault="00000000">
                        <w:r>
                          <w:rPr>
                            <w:rFonts w:ascii="Arial" w:eastAsia="Arial" w:hAnsi="Arial" w:cs="Arial"/>
                            <w:b/>
                            <w:sz w:val="18"/>
                          </w:rPr>
                          <w:t xml:space="preserve">Reclamo contro i provvedimenti presidenziali </w:t>
                        </w:r>
                      </w:p>
                    </w:txbxContent>
                  </v:textbox>
                </v:rect>
                <v:rect id="Rectangle 200767" o:spid="_x0000_s3217" style="position:absolute;left:26109;top:692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nHGxwAAAN8AAAAPAAAAZHJzL2Rvd25yZXYueG1sRI9Ba8JA&#10;FITvBf/D8gRvdWMPRlJXKZHQHHqpWujxkX0mabNvl+yaxP76bqHgcZiZb5jtfjKdGKj3rWUFq2UC&#10;griyuuVawflUPG5A+ICssbNMCm7kYb+bPWwx03bkdxqOoRYRwj5DBU0ILpPSVw0Z9EvriKN3sb3B&#10;EGVfS93jGOGmk09JspYGW44LDTrKG6q+j1ej4PPArixGWV1+cvf2VW661+v5Q6nFfHp5BhFoCvfw&#10;f7vUCiIxXafw9yd+Abn7BQAA//8DAFBLAQItABQABgAIAAAAIQDb4fbL7gAAAIUBAAATAAAAAAAA&#10;AAAAAAAAAAAAAABbQ29udGVudF9UeXBlc10ueG1sUEsBAi0AFAAGAAgAAAAhAFr0LFu/AAAAFQEA&#10;AAsAAAAAAAAAAAAAAAAAHwEAAF9yZWxzLy5yZWxzUEsBAi0AFAAGAAgAAAAhAM3yccbHAAAA3wAA&#10;AA8AAAAAAAAAAAAAAAAABwIAAGRycy9kb3ducmV2LnhtbFBLBQYAAAAAAwADALcAAAD7AgAAAAA=&#10;" filled="f" stroked="f">
                  <v:textbox inset="0,0,0,0">
                    <w:txbxContent>
                      <w:p w14:paraId="7F52B0AE" w14:textId="77777777" w:rsidR="00B32EF2" w:rsidRDefault="00000000">
                        <w:r>
                          <w:rPr>
                            <w:rFonts w:ascii="Arial" w:eastAsia="Arial" w:hAnsi="Arial" w:cs="Arial"/>
                            <w:sz w:val="18"/>
                          </w:rPr>
                          <w:t>1</w:t>
                        </w:r>
                      </w:p>
                    </w:txbxContent>
                  </v:textbox>
                </v:rect>
                <v:rect id="Rectangle 200768" o:spid="_x0000_s3218" style="position:absolute;left:-13763;top:6929;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eW0xwAAAN8AAAAPAAAAZHJzL2Rvd25yZXYueG1sRI9Nb8Iw&#10;DIbvSPsPkSftBuk4MNQREGJC9LALH5N2tBrTdjRO1ATa7dfjwySO1uv3sZ/FanCtulEXG88GXicZ&#10;KOLS24YrA6fjdjwHFROyxdYzGfilCKvl02iBufU97+l2SJUSCMccDdQphVzrWNbkME58IJbs7DuH&#10;Scau0rbDXuCu1dMsm2mHDcuFGgNtaiovh6sz8P3Bodj2ujz/bcLnTzFvd9fTlzEvz8P6HVSiIT2W&#10;/9uFNSDEt5k8LD7iAnp5BwAA//8DAFBLAQItABQABgAIAAAAIQDb4fbL7gAAAIUBAAATAAAAAAAA&#10;AAAAAAAAAAAAAABbQ29udGVudF9UeXBlc10ueG1sUEsBAi0AFAAGAAgAAAAhAFr0LFu/AAAAFQEA&#10;AAsAAAAAAAAAAAAAAAAAHwEAAF9yZWxzLy5yZWxzUEsBAi0AFAAGAAgAAAAhALxt5bTHAAAA3wAA&#10;AA8AAAAAAAAAAAAAAAAABwIAAGRycy9kb3ducmV2LnhtbFBLBQYAAAAAAwADALcAAAD7AgAAAAA=&#10;" filled="f" stroked="f">
                  <v:textbox inset="0,0,0,0">
                    <w:txbxContent>
                      <w:p w14:paraId="1676086E" w14:textId="77777777" w:rsidR="00B32EF2" w:rsidRDefault="00000000">
                        <w:r>
                          <w:rPr>
                            <w:rFonts w:ascii="Arial" w:eastAsia="Arial" w:hAnsi="Arial" w:cs="Arial"/>
                            <w:sz w:val="18"/>
                          </w:rPr>
                          <w:t xml:space="preserve">. Contro i provvedimenti del presidente è ammesso reclamo da notificare </w:t>
                        </w:r>
                      </w:p>
                    </w:txbxContent>
                  </v:textbox>
                </v:rect>
                <v:rect id="Rectangle 17400" o:spid="_x0000_s3219" style="position:absolute;left:-13172;top:569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1dexwAAAN4AAAAPAAAAZHJzL2Rvd25yZXYueG1sRI9Ba8JA&#10;EIXvhf6HZQre6sZSrKSuIhZpDr1oLfQ4ZMckmp1dsquJ/fXOQehthnnz3vvmy8G16kJdbDwbmIwz&#10;UMSltw1XBvbfm+cZqJiQLbaeycCVIiwXjw9zzK3veUuXXaqUmHDM0UCdUsi1jmVNDuPYB2K5HXzn&#10;MMnaVdp22Iu5a/VLlk21w4YlocZA65rK0+7sDPx+cCg2vS4Pf+vwdSxm7ed5/2PM6GlYvYNKNKR/&#10;8f27sFL/7TUTAMGRGfTiBgAA//8DAFBLAQItABQABgAIAAAAIQDb4fbL7gAAAIUBAAATAAAAAAAA&#10;AAAAAAAAAAAAAABbQ29udGVudF9UeXBlc10ueG1sUEsBAi0AFAAGAAgAAAAhAFr0LFu/AAAAFQEA&#10;AAsAAAAAAAAAAAAAAAAAHwEAAF9yZWxzLy5yZWxzUEsBAi0AFAAGAAgAAAAhAKSPV17HAAAA3gAA&#10;AA8AAAAAAAAAAAAAAAAABwIAAGRycy9kb3ducmV2LnhtbFBLBQYAAAAAAwADALcAAAD7AgAAAAA=&#10;" filled="f" stroked="f">
                  <v:textbox inset="0,0,0,0">
                    <w:txbxContent>
                      <w:p w14:paraId="0B4572D5" w14:textId="77777777" w:rsidR="00B32EF2" w:rsidRDefault="00000000">
                        <w:r>
                          <w:rPr>
                            <w:rFonts w:ascii="Arial" w:eastAsia="Arial" w:hAnsi="Arial" w:cs="Arial"/>
                            <w:sz w:val="18"/>
                          </w:rPr>
                          <w:t xml:space="preserve">alle altre parti costituite nelle forme di cui all’articolo 66, commi 1 e 2, entro </w:t>
                        </w:r>
                      </w:p>
                    </w:txbxContent>
                  </v:textbox>
                </v:rect>
                <v:rect id="Rectangle 17401" o:spid="_x0000_s3220" style="position:absolute;left:-13172;top:4463;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LFxAAAAN4AAAAPAAAAZHJzL2Rvd25yZXYueG1sRE9Na8JA&#10;EL0X+h+WKXirG4tYia4iFjGHXtQUehyyYxLNzi7Z1cT+elcoeJvH+5z5sjeNuFLra8sKRsMEBHFh&#10;dc2lgvyweZ+C8AFZY2OZFNzIw3Lx+jLHVNuOd3Tdh1LEEPYpKqhCcKmUvqjIoB9aRxy5o20Nhgjb&#10;UuoWuxhuGvmRJBNpsObYUKGjdUXFeX8xCn6/2GWbThbHv7X7PmXTZnvJf5QavPWrGYhAfXiK/92Z&#10;jvM/x8kIHu/EG+TiDgAA//8DAFBLAQItABQABgAIAAAAIQDb4fbL7gAAAIUBAAATAAAAAAAAAAAA&#10;AAAAAAAAAABbQ29udGVudF9UeXBlc10ueG1sUEsBAi0AFAAGAAgAAAAhAFr0LFu/AAAAFQEAAAsA&#10;AAAAAAAAAAAAAAAAHwEAAF9yZWxzLy5yZWxzUEsBAi0AFAAGAAgAAAAhAMvD8sXEAAAA3gAAAA8A&#10;AAAAAAAAAAAAAAAABwIAAGRycy9kb3ducmV2LnhtbFBLBQYAAAAAAwADALcAAAD4AgAAAAA=&#10;" filled="f" stroked="f">
                  <v:textbox inset="0,0,0,0">
                    <w:txbxContent>
                      <w:p w14:paraId="484AD6ED" w14:textId="77777777" w:rsidR="00B32EF2" w:rsidRDefault="00000000">
                        <w:r>
                          <w:rPr>
                            <w:rFonts w:ascii="Arial" w:eastAsia="Arial" w:hAnsi="Arial" w:cs="Arial"/>
                            <w:sz w:val="18"/>
                          </w:rPr>
                          <w:t xml:space="preserve">il termine perentorio di giorni trenta dalla loro comunicazione da parte della </w:t>
                        </w:r>
                      </w:p>
                    </w:txbxContent>
                  </v:textbox>
                </v:rect>
                <v:shape id="Shape 207880" o:spid="_x0000_s3221" style="position:absolute;left:317;top:32632;width:39600;height:30113;visibility:visible;mso-wrap-style:square;v-text-anchor:top" coordsize="3960000,301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RUxgAAAN8AAAAPAAAAZHJzL2Rvd25yZXYueG1sRI/LagIx&#10;FIb3hb5DOIXuaqZCdTo1igqCKFS8bLo7TE4nQycnYxLH8e3NQujy57/xTWa9bURHPtSOFbwPMhDE&#10;pdM1VwpOx9VbDiJEZI2NY1JwowCz6fPTBAvtrryn7hArkUY4FKjAxNgWUobSkMUwcC1x8n6dtxiT&#10;9JXUHq9p3DZymGUjabHm9GCwpaWh8u9wsQo+/fg0+tl8LLvdGeOiNN/bW05Kvb708y8Qkfr4H360&#10;11rBMBvneSJIPIkF5PQOAAD//wMAUEsBAi0AFAAGAAgAAAAhANvh9svuAAAAhQEAABMAAAAAAAAA&#10;AAAAAAAAAAAAAFtDb250ZW50X1R5cGVzXS54bWxQSwECLQAUAAYACAAAACEAWvQsW78AAAAVAQAA&#10;CwAAAAAAAAAAAAAAAAAfAQAAX3JlbHMvLnJlbHNQSwECLQAUAAYACAAAACEAMw2EVMYAAADfAAAA&#10;DwAAAAAAAAAAAAAAAAAHAgAAZHJzL2Rvd25yZXYueG1sUEsFBgAAAAADAAMAtwAAAPoCAAAAAA==&#10;" path="m,l3960000,r,3011297l,3011297,,e" fillcolor="#c3c3c3" stroked="f" strokeweight="0">
                  <v:stroke miterlimit="83231f" joinstyle="miter"/>
                  <v:path arrowok="t" textboxrect="0,0,3960000,3011297"/>
                </v:shape>
                <v:rect id="Rectangle 17403" o:spid="_x0000_s3222" style="position:absolute;left:-11872;top:60532;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ckpxQAAAN4AAAAPAAAAZHJzL2Rvd25yZXYueG1sRE9LawIx&#10;EL4L/Q9hCr252T6wshqlWMQ99KK14HHYzD50Mwmb6K799Y0g9DYf33Pmy8G04kKdbywreE5SEMSF&#10;1Q1XCvbf6/EUhA/IGlvLpOBKHpaLh9EcM2173tJlFyoRQ9hnqKAOwWVS+qImgz6xjjhype0Mhgi7&#10;SuoO+xhuWvmSphNpsOHYUKOjVU3FaXc2Cg6f7PJ1L4vyd+W+jvm03Zz3P0o9PQ4fMxCBhvAvvrtz&#10;Hee/v6WvcHsn3iAXfwAAAP//AwBQSwECLQAUAAYACAAAACEA2+H2y+4AAACFAQAAEwAAAAAAAAAA&#10;AAAAAAAAAAAAW0NvbnRlbnRfVHlwZXNdLnhtbFBLAQItABQABgAIAAAAIQBa9CxbvwAAABUBAAAL&#10;AAAAAAAAAAAAAAAAAB8BAABfcmVscy8ucmVsc1BLAQItABQABgAIAAAAIQBUXckpxQAAAN4AAAAP&#10;AAAAAAAAAAAAAAAAAAcCAABkcnMvZG93bnJldi54bWxQSwUGAAAAAAMAAwC3AAAA+QIAAAAA&#10;" filled="f" stroked="f">
                  <v:textbox inset="0,0,0,0">
                    <w:txbxContent>
                      <w:p w14:paraId="5705C6B7" w14:textId="77777777" w:rsidR="00B32EF2" w:rsidRDefault="00000000">
                        <w:r>
                          <w:rPr>
                            <w:rFonts w:ascii="Arial" w:eastAsia="Arial" w:hAnsi="Arial" w:cs="Arial"/>
                            <w:i/>
                            <w:sz w:val="18"/>
                          </w:rPr>
                          <w:t xml:space="preserve">mento un termine non inferiore a quindici giorni ovvero, per il caso di cui al </w:t>
                        </w:r>
                      </w:p>
                    </w:txbxContent>
                  </v:textbox>
                </v:rect>
                <v:rect id="Rectangle 17404" o:spid="_x0000_s3223" style="position:absolute;left:-11900;top:59299;width:51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FdxAAAAN4AAAAPAAAAZHJzL2Rvd25yZXYueG1sRE9Ni8Iw&#10;EL0L+x/CLHjTdEVUqlHERexhL7ou7HFoxrbaTEITbd1fbwRhb/N4n7NYdaYWN2p8ZVnBxzABQZxb&#10;XXGh4Pi9HcxA+ICssbZMCu7kYbV86y0w1bblPd0OoRAxhH2KCsoQXCqlz0sy6IfWEUfuZBuDIcKm&#10;kLrBNoabWo6SZCINVhwbSnS0KSm/HK5Gwe8nu2zbyvz0t3Ff52xW767HH6X67916DiJQF/7FL3em&#10;4/zpOBnD8514g1w+AAAA//8DAFBLAQItABQABgAIAAAAIQDb4fbL7gAAAIUBAAATAAAAAAAAAAAA&#10;AAAAAAAAAABbQ29udGVudF9UeXBlc10ueG1sUEsBAi0AFAAGAAgAAAAhAFr0LFu/AAAAFQEAAAsA&#10;AAAAAAAAAAAAAAAAHwEAAF9yZWxzLy5yZWxzUEsBAi0AFAAGAAgAAAAhANu0UV3EAAAA3gAAAA8A&#10;AAAAAAAAAAAAAAAABwIAAGRycy9kb3ducmV2LnhtbFBLBQYAAAAAAwADALcAAAD4AgAAAAA=&#10;" filled="f" stroked="f">
                  <v:textbox inset="0,0,0,0">
                    <w:txbxContent>
                      <w:p w14:paraId="43BE007F" w14:textId="77777777" w:rsidR="00B32EF2" w:rsidRDefault="00000000">
                        <w:r>
                          <w:rPr>
                            <w:rFonts w:ascii="Arial" w:eastAsia="Arial" w:hAnsi="Arial" w:cs="Arial"/>
                            <w:i/>
                            <w:sz w:val="18"/>
                          </w:rPr>
                          <w:t xml:space="preserve">n. 7), non inferiore a trenta giorni. Il termine può essere prorogato per un </w:t>
                        </w:r>
                      </w:p>
                    </w:txbxContent>
                  </v:textbox>
                </v:rect>
                <v:rect id="Rectangle 17405" o:spid="_x0000_s3224" style="position:absolute;left:-11871;top:58066;width:5100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GxQAAAN4AAAAPAAAAZHJzL2Rvd25yZXYueG1sRE9LawIx&#10;EL4L/Q9hCr252ZbWymqUYhH30IvWgsdhM/vQzSRsorv21zeC0Nt8fM+ZLwfTigt1vrGs4DlJQRAX&#10;VjdcKdh/r8dTED4ga2wtk4IreVguHkZzzLTteUuXXahEDGGfoYI6BJdJ6YuaDPrEOuLIlbYzGCLs&#10;Kqk77GO4aeVLmk6kwYZjQ42OVjUVp93ZKDh8ssvXvSzK35X7OubTdnPe/yj19Dh8zEAEGsK/+O7O&#10;dZz//pq+we2deINc/AEAAP//AwBQSwECLQAUAAYACAAAACEA2+H2y+4AAACFAQAAEwAAAAAAAAAA&#10;AAAAAAAAAAAAW0NvbnRlbnRfVHlwZXNdLnhtbFBLAQItABQABgAIAAAAIQBa9CxbvwAAABUBAAAL&#10;AAAAAAAAAAAAAAAAAB8BAABfcmVscy8ucmVsc1BLAQItABQABgAIAAAAIQC0+PTGxQAAAN4AAAAP&#10;AAAAAAAAAAAAAAAAAAcCAABkcnMvZG93bnJldi54bWxQSwUGAAAAAAMAAwC3AAAA+QIAAAAA&#10;" filled="f" stroked="f">
                  <v:textbox inset="0,0,0,0">
                    <w:txbxContent>
                      <w:p w14:paraId="267ACF95" w14:textId="77777777" w:rsidR="00B32EF2" w:rsidRDefault="00000000">
                        <w:r>
                          <w:rPr>
                            <w:rFonts w:ascii="Arial" w:eastAsia="Arial" w:hAnsi="Arial" w:cs="Arial"/>
                            <w:i/>
                            <w:sz w:val="18"/>
                          </w:rPr>
                          <w:t xml:space="preserve">periodo di venti giorni su istanza dell’operatore finanziario, per giustificati </w:t>
                        </w:r>
                      </w:p>
                    </w:txbxContent>
                  </v:textbox>
                </v:rect>
                <v:rect id="Rectangle 17406" o:spid="_x0000_s3225" style="position:absolute;left:-11868;top:56832;width:509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mqxxQAAAN4AAAAPAAAAZHJzL2Rvd25yZXYueG1sRE9LawIx&#10;EL4L/Q9hCt402yJWVrNSLNI99OKj0OOwmX3YzSRsorv66xuh4G0+vues1oNpxYU631hW8DJNQBAX&#10;VjdcKTgetpMFCB+QNbaWScGVPKyzp9EKU2173tFlHyoRQ9inqKAOwaVS+qImg35qHXHkStsZDBF2&#10;ldQd9jHctPI1SebSYMOxoUZHm5qK3/3ZKPj5YJdve1mUt437OuWL9vN8/FZq/Dy8L0EEGsJD/O/O&#10;dZz/NkvmcH8n3iCzPwAAAP//AwBQSwECLQAUAAYACAAAACEA2+H2y+4AAACFAQAAEwAAAAAAAAAA&#10;AAAAAAAAAAAAW0NvbnRlbnRfVHlwZXNdLnhtbFBLAQItABQABgAIAAAAIQBa9CxbvwAAABUBAAAL&#10;AAAAAAAAAAAAAAAAAB8BAABfcmVscy8ucmVsc1BLAQItABQABgAIAAAAIQBEKmqxxQAAAN4AAAAP&#10;AAAAAAAAAAAAAAAAAAcCAABkcnMvZG93bnJldi54bWxQSwUGAAAAAAMAAwC3AAAA+QIAAAAA&#10;" filled="f" stroked="f">
                  <v:textbox inset="0,0,0,0">
                    <w:txbxContent>
                      <w:p w14:paraId="7E4385AA" w14:textId="77777777" w:rsidR="00B32EF2" w:rsidRDefault="00000000">
                        <w:r>
                          <w:rPr>
                            <w:rFonts w:ascii="Arial" w:eastAsia="Arial" w:hAnsi="Arial" w:cs="Arial"/>
                            <w:i/>
                            <w:sz w:val="18"/>
                          </w:rPr>
                          <w:t xml:space="preserve">motivi, dal competente direttore centrale o direttore regionale per l’Agenzia </w:t>
                        </w:r>
                      </w:p>
                    </w:txbxContent>
                  </v:textbox>
                </v:rect>
                <v:rect id="Rectangle 17407" o:spid="_x0000_s3226" style="position:absolute;left:-11873;top:55599;width:510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s8qxQAAAN4AAAAPAAAAZHJzL2Rvd25yZXYueG1sRE9LawIx&#10;EL4L/Q9hCt402yJVVrNSLNI99KK10OOwmX3YzSRsorv6640g9DYf33NW68G04kydbywreJkmIIgL&#10;qxuuFBy+t5MFCB+QNbaWScGFPKyzp9EKU2173tF5HyoRQ9inqKAOwaVS+qImg35qHXHkStsZDBF2&#10;ldQd9jHctPI1Sd6kwYZjQ42ONjUVf/uTUfD7wS7f9rIorxv3dcwX7efp8KPU+Hl4X4IINIR/8cOd&#10;6zh/PkvmcH8n3iCzGwAAAP//AwBQSwECLQAUAAYACAAAACEA2+H2y+4AAACFAQAAEwAAAAAAAAAA&#10;AAAAAAAAAAAAW0NvbnRlbnRfVHlwZXNdLnhtbFBLAQItABQABgAIAAAAIQBa9CxbvwAAABUBAAAL&#10;AAAAAAAAAAAAAAAAAB8BAABfcmVscy8ucmVsc1BLAQItABQABgAIAAAAIQArZs8qxQAAAN4AAAAP&#10;AAAAAAAAAAAAAAAAAAcCAABkcnMvZG93bnJldi54bWxQSwUGAAAAAAMAAwC3AAAA+QIAAAAA&#10;" filled="f" stroked="f">
                  <v:textbox inset="0,0,0,0">
                    <w:txbxContent>
                      <w:p w14:paraId="64255ED2" w14:textId="77777777" w:rsidR="00B32EF2" w:rsidRDefault="00000000">
                        <w:r>
                          <w:rPr>
                            <w:rFonts w:ascii="Arial" w:eastAsia="Arial" w:hAnsi="Arial" w:cs="Arial"/>
                            <w:i/>
                            <w:sz w:val="18"/>
                          </w:rPr>
                          <w:t xml:space="preserve">delle entrate, ovvero, per il Corpo della guardia di finanza, dal comandante </w:t>
                        </w:r>
                      </w:p>
                    </w:txbxContent>
                  </v:textbox>
                </v:rect>
                <v:rect id="Rectangle 17408" o:spid="_x0000_s3227" style="position:absolute;left:-11852;top:54366;width:509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tYxwAAAN4AAAAPAAAAZHJzL2Rvd25yZXYueG1sRI9Ba8JA&#10;EIXvhf6HZQre6sZSrKSuIhZpDr1oLfQ4ZMckmp1dsquJ/fXOQehthvfmvW/my8G16kJdbDwbmIwz&#10;UMSltw1XBvbfm+cZqJiQLbaeycCVIiwXjw9zzK3veUuXXaqUhHDM0UCdUsi1jmVNDuPYB2LRDr5z&#10;mGTtKm077CXctfoly6baYcPSUGOgdU3laXd2Bn4/OBSbXpeHv3X4Ohaz9vO8/zFm9DSs3kElGtK/&#10;+X5dWMF/e82EV96RGfTiBgAA//8DAFBLAQItABQABgAIAAAAIQDb4fbL7gAAAIUBAAATAAAAAAAA&#10;AAAAAAAAAAAAAABbQ29udGVudF9UeXBlc10ueG1sUEsBAi0AFAAGAAgAAAAhAFr0LFu/AAAAFQEA&#10;AAsAAAAAAAAAAAAAAAAAHwEAAF9yZWxzLy5yZWxzUEsBAi0AFAAGAAgAAAAhAFr5W1jHAAAA3gAA&#10;AA8AAAAAAAAAAAAAAAAABwIAAGRycy9kb3ducmV2LnhtbFBLBQYAAAAAAwADALcAAAD7AgAAAAA=&#10;" filled="f" stroked="f">
                  <v:textbox inset="0,0,0,0">
                    <w:txbxContent>
                      <w:p w14:paraId="6B4A76AC" w14:textId="77777777" w:rsidR="00B32EF2" w:rsidRDefault="00000000">
                        <w:r>
                          <w:rPr>
                            <w:rFonts w:ascii="Arial" w:eastAsia="Arial" w:hAnsi="Arial" w:cs="Arial"/>
                            <w:i/>
                            <w:sz w:val="18"/>
                          </w:rPr>
                          <w:t xml:space="preserve">regionale. Si applicano le disposizioni dell’art. 52 del decreto del Presidente </w:t>
                        </w:r>
                      </w:p>
                    </w:txbxContent>
                  </v:textbox>
                </v:rect>
                <v:rect id="Rectangle 17409" o:spid="_x0000_s3228" style="position:absolute;left:-10049;top:53132;width:491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f7DxQAAAN4AAAAPAAAAZHJzL2Rvd25yZXYueG1sRE9La8JA&#10;EL4L/Q/LFHrTTaVYG12lKNIcvPgoeByyYxLNzi7Z1aT+elcoeJuP7znTeWdqcaXGV5YVvA8SEMS5&#10;1RUXCva7VX8MwgdkjbVlUvBHHuazl94UU21b3tB1GwoRQ9inqKAMwaVS+rwkg35gHXHkjrYxGCJs&#10;CqkbbGO4qeUwSUbSYMWxoURHi5Ly8/ZiFByW7LJVK/PjbeHWp2xc/1z2v0q9vXbfExCBuvAU/7sz&#10;Hed/fiRf8Hgn3iBndwAAAP//AwBQSwECLQAUAAYACAAAACEA2+H2y+4AAACFAQAAEwAAAAAAAAAA&#10;AAAAAAAAAAAAW0NvbnRlbnRfVHlwZXNdLnhtbFBLAQItABQABgAIAAAAIQBa9CxbvwAAABUBAAAL&#10;AAAAAAAAAAAAAAAAAB8BAABfcmVscy8ucmVsc1BLAQItABQABgAIAAAAIQA1tf7DxQAAAN4AAAAP&#10;AAAAAAAAAAAAAAAAAAcCAABkcnMvZG93bnJldi54bWxQSwUGAAAAAAMAAwC3AAAA+QIAAAAA&#10;" filled="f" stroked="f">
                  <v:textbox inset="0,0,0,0">
                    <w:txbxContent>
                      <w:p w14:paraId="75FCF64F" w14:textId="77777777" w:rsidR="00B32EF2" w:rsidRDefault="00000000">
                        <w:r>
                          <w:rPr>
                            <w:rFonts w:ascii="Arial" w:eastAsia="Arial" w:hAnsi="Arial" w:cs="Arial"/>
                            <w:i/>
                            <w:sz w:val="18"/>
                          </w:rPr>
                          <w:t>della Repubblica 29 settembre 1973, n. 600, e successive modificazioni.</w:t>
                        </w:r>
                      </w:p>
                    </w:txbxContent>
                  </v:textbox>
                </v:rect>
                <v:rect id="Rectangle 200786" o:spid="_x0000_s3229" style="position:absolute;left:-12595;top:51899;width:512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jKnxwAAAN8AAAAPAAAAZHJzL2Rvd25yZXYueG1sRI9Pa8JA&#10;FMTvBb/D8gRvdVMPGlI3UhQxh160Cj0+si9/2uzbJbuatJ++Kwg9DjPzG2a9GU0nbtT71rKCl3kC&#10;gri0uuVawflj/5yC8AFZY2eZFPyQh00+eVpjpu3AR7qdQi0ihH2GCpoQXCalLxsy6OfWEUevsr3B&#10;EGVfS93jEOGmk4skWUqDLceFBh1tGyq/T1ej4HPHrtgPsqx+t+79q0i7w/V8UWo2Hd9eQQQaw3/4&#10;0S60gkhcpUu4/4lfQOZ/AAAA//8DAFBLAQItABQABgAIAAAAIQDb4fbL7gAAAIUBAAATAAAAAAAA&#10;AAAAAAAAAAAAAABbQ29udGVudF9UeXBlc10ueG1sUEsBAi0AFAAGAAgAAAAhAFr0LFu/AAAAFQEA&#10;AAsAAAAAAAAAAAAAAAAAHwEAAF9yZWxzLy5yZWxzUEsBAi0AFAAGAAgAAAAhABKyMqfHAAAA3wAA&#10;AA8AAAAAAAAAAAAAAAAABwIAAGRycy9kb3ducmV2LnhtbFBLBQYAAAAAAwADALcAAAD7AgAAAAA=&#10;" filled="f" stroked="f">
                  <v:textbox inset="0,0,0,0">
                    <w:txbxContent>
                      <w:p w14:paraId="0FAD90D7" w14:textId="77777777" w:rsidR="00B32EF2" w:rsidRDefault="00000000">
                        <w:r>
                          <w:rPr>
                            <w:rFonts w:ascii="Arial" w:eastAsia="Arial" w:hAnsi="Arial" w:cs="Arial"/>
                            <w:i/>
                            <w:sz w:val="18"/>
                          </w:rPr>
                          <w:t xml:space="preserve">. Le richieste di cui al secondo comma, numero 7), nonchè le relative </w:t>
                        </w:r>
                      </w:p>
                    </w:txbxContent>
                  </v:textbox>
                </v:rect>
                <v:rect id="Rectangle 200785" o:spid="_x0000_s3230" style="position:absolute;left:25782;top:51899;width:512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KzQxwAAAN8AAAAPAAAAZHJzL2Rvd25yZXYueG1sRI9Ba8JA&#10;FITvgv9heUJvummhNaRuQrFIc/BSa6HHR/aZRLNvl+xqUn99tyB4HGbmG2ZVjKYTF+p9a1nB4yIB&#10;QVxZ3XKtYP+1macgfEDW2FkmBb/kocinkxVm2g78SZddqEWEsM9QQROCy6T0VUMG/cI64ugdbG8w&#10;RNnXUvc4RLjp5FOSvEiDLceFBh2tG6pOu7NR8PPOrtwMsjpc1257LNPu47z/VuphNr69ggg0hnv4&#10;1i61gkhcps/w/yd+AZn/AQAA//8DAFBLAQItABQABgAIAAAAIQDb4fbL7gAAAIUBAAATAAAAAAAA&#10;AAAAAAAAAAAAAABbQ29udGVudF9UeXBlc10ueG1sUEsBAi0AFAAGAAgAAAAhAFr0LFu/AAAAFQEA&#10;AAsAAAAAAAAAAAAAAAAAHwEAAF9yZWxzLy5yZWxzUEsBAi0AFAAGAAgAAAAhAOJgrNDHAAAA3wAA&#10;AA8AAAAAAAAAAAAAAAAABwIAAGRycy9kb3ducmV2LnhtbFBLBQYAAAAAAwADALcAAAD7AgAAAAA=&#10;" filled="f" stroked="f">
                  <v:textbox inset="0,0,0,0">
                    <w:txbxContent>
                      <w:p w14:paraId="0AEC1246" w14:textId="77777777" w:rsidR="00B32EF2" w:rsidRDefault="00000000">
                        <w:r>
                          <w:rPr>
                            <w:rFonts w:ascii="Arial" w:eastAsia="Arial" w:hAnsi="Arial" w:cs="Arial"/>
                            <w:i/>
                            <w:sz w:val="18"/>
                          </w:rPr>
                          <w:t>3</w:t>
                        </w:r>
                      </w:p>
                    </w:txbxContent>
                  </v:textbox>
                </v:rect>
                <v:rect id="Rectangle 17411" o:spid="_x0000_s3231" style="position:absolute;left:-10908;top:50666;width:500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mQYxAAAAN4AAAAPAAAAZHJzL2Rvd25yZXYueG1sRE9Na8JA&#10;EL0X/A/LCN7qJlJaia4iijQHL7UKHofsmESzs0t2NdFf3y0UepvH+5z5sjeNuFPra8sK0nECgriw&#10;uuZSweF7+zoF4QOyxsYyKXiQh+Vi8DLHTNuOv+i+D6WIIewzVFCF4DIpfVGRQT+2jjhyZ9saDBG2&#10;pdQtdjHcNHKSJO/SYM2xoUJH64qK6/5mFJw27PJtJ4vzc+12l3zafN4OR6VGw341AxGoD//iP3eu&#10;4/yPtzSF33fiDXLxAwAA//8DAFBLAQItABQABgAIAAAAIQDb4fbL7gAAAIUBAAATAAAAAAAAAAAA&#10;AAAAAAAAAABbQ29udGVudF9UeXBlc10ueG1sUEsBAi0AFAAGAAgAAAAhAFr0LFu/AAAAFQEAAAsA&#10;AAAAAAAAAAAAAAAAHwEAAF9yZWxzLy5yZWxzUEsBAi0AFAAGAAgAAAAhAE4aZBjEAAAA3gAAAA8A&#10;AAAAAAAAAAAAAAAABwIAAGRycy9kb3ducmV2LnhtbFBLBQYAAAAAAwADALcAAAD4AgAAAAA=&#10;" filled="f" stroked="f">
                  <v:textbox inset="0,0,0,0">
                    <w:txbxContent>
                      <w:p w14:paraId="302373A6" w14:textId="77777777" w:rsidR="00B32EF2" w:rsidRDefault="00000000">
                        <w:r>
                          <w:rPr>
                            <w:rFonts w:ascii="Arial" w:eastAsia="Arial" w:hAnsi="Arial" w:cs="Arial"/>
                            <w:i/>
                            <w:sz w:val="18"/>
                          </w:rPr>
                          <w:t>risposte, anche se negative, sono effettuate esclusivamente in via telemati</w:t>
                        </w:r>
                      </w:p>
                    </w:txbxContent>
                  </v:textbox>
                </v:rect>
                <v:rect id="Rectangle 17412" o:spid="_x0000_s3232" style="position:absolute;left:975;top:506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pvxAAAAN4AAAAPAAAAZHJzL2Rvd25yZXYueG1sRE9Li8Iw&#10;EL4v+B/CCN7WVFl2pRpFFNkevKwP8Dg0Y1ttJqGJtvrrNwsL3ubje85s0Zla3KnxlWUFo2ECgji3&#10;uuJCwWG/eZ+A8AFZY22ZFDzIw2Lee5thqm3LP3TfhULEEPYpKihDcKmUPi/JoB9aRxy5s20Mhgib&#10;QuoG2xhuajlOkk9psOLYUKKjVUn5dXczCk5rdtmmlfn5uXLbSzapv2+Ho1KDfrecggjUhZf4353p&#10;OP/rYzSGv3fiDXL+CwAA//8DAFBLAQItABQABgAIAAAAIQDb4fbL7gAAAIUBAAATAAAAAAAAAAAA&#10;AAAAAAAAAABbQ29udGVudF9UeXBlc10ueG1sUEsBAi0AFAAGAAgAAAAhAFr0LFu/AAAAFQEAAAsA&#10;AAAAAAAAAAAAAAAAHwEAAF9yZWxzLy5yZWxzUEsBAi0AFAAGAAgAAAAhAL7I+m/EAAAA3gAAAA8A&#10;AAAAAAAAAAAAAAAABwIAAGRycy9kb3ducmV2LnhtbFBLBQYAAAAAAwADALcAAAD4AgAAAAA=&#10;" filled="f" stroked="f">
                  <v:textbox inset="0,0,0,0">
                    <w:txbxContent>
                      <w:p w14:paraId="56D451F7" w14:textId="77777777" w:rsidR="00B32EF2" w:rsidRDefault="00000000">
                        <w:r>
                          <w:rPr>
                            <w:rFonts w:ascii="Arial" w:eastAsia="Arial" w:hAnsi="Arial" w:cs="Arial"/>
                            <w:i/>
                            <w:sz w:val="18"/>
                          </w:rPr>
                          <w:t>-</w:t>
                        </w:r>
                      </w:p>
                    </w:txbxContent>
                  </v:textbox>
                </v:rect>
                <v:rect id="Rectangle 17413" o:spid="_x0000_s3233" style="position:absolute;left:-10904;top:49432;width:500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F/0xQAAAN4AAAAPAAAAZHJzL2Rvd25yZXYueG1sRE9La8JA&#10;EL4X/A/LCN7qxlpUoquIRZpDL/UBHofsmESzs0t2NWl/fbcgeJuP7zmLVWdqcafGV5YVjIYJCOLc&#10;6ooLBYf99nUGwgdkjbVlUvBDHlbL3ssCU21b/qb7LhQihrBPUUEZgkul9HlJBv3QOuLInW1jMETY&#10;FFI32MZwU8u3JJlIgxXHhhIdbUrKr7ubUXD6YJdtW5mffzfu65LN6s/b4ajUoN+t5yACdeEpfrgz&#10;HedP30dj+H8n3iCXfwAAAP//AwBQSwECLQAUAAYACAAAACEA2+H2y+4AAACFAQAAEwAAAAAAAAAA&#10;AAAAAAAAAAAAW0NvbnRlbnRfVHlwZXNdLnhtbFBLAQItABQABgAIAAAAIQBa9CxbvwAAABUBAAAL&#10;AAAAAAAAAAAAAAAAAB8BAABfcmVscy8ucmVsc1BLAQItABQABgAIAAAAIQDRhF/0xQAAAN4AAAAP&#10;AAAAAAAAAAAAAAAAAAcCAABkcnMvZG93bnJldi54bWxQSwUGAAAAAAMAAwC3AAAA+QIAAAAA&#10;" filled="f" stroked="f">
                  <v:textbox inset="0,0,0,0">
                    <w:txbxContent>
                      <w:p w14:paraId="3FD36619" w14:textId="77777777" w:rsidR="00B32EF2" w:rsidRDefault="00000000">
                        <w:r>
                          <w:rPr>
                            <w:rFonts w:ascii="Arial" w:eastAsia="Arial" w:hAnsi="Arial" w:cs="Arial"/>
                            <w:i/>
                            <w:sz w:val="18"/>
                          </w:rPr>
                          <w:t>ca. Con provvedimento del direttore dell’Agenzia delle entrate sono stabili</w:t>
                        </w:r>
                      </w:p>
                    </w:txbxContent>
                  </v:textbox>
                </v:rect>
                <v:rect id="Rectangle 17414" o:spid="_x0000_s3234" style="position:absolute;left:975;top:4943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eAxAAAAN4AAAAPAAAAZHJzL2Rvd25yZXYueG1sRE9Li8Iw&#10;EL4L+x/CLHjT1EVWqUZZXGR78LI+wOPQjG21mYQm2uqv3ywI3ubje8582Zla3KjxlWUFo2ECgji3&#10;uuJCwX63HkxB+ICssbZMCu7kYbl4680x1bblX7ptQyFiCPsUFZQhuFRKn5dk0A+tI47cyTYGQ4RN&#10;IXWDbQw3tfxIkk9psOLYUKKjVUn5ZXs1Co7f7LJ1K/PTY+U252xa/1z3B6X6793XDESgLrzET3em&#10;4/zJeDSG/3fiDXLxBwAA//8DAFBLAQItABQABgAIAAAAIQDb4fbL7gAAAIUBAAATAAAAAAAAAAAA&#10;AAAAAAAAAABbQ29udGVudF9UeXBlc10ueG1sUEsBAi0AFAAGAAgAAAAhAFr0LFu/AAAAFQEAAAsA&#10;AAAAAAAAAAAAAAAAHwEAAF9yZWxzLy5yZWxzUEsBAi0AFAAGAAgAAAAhAF5tx4DEAAAA3gAAAA8A&#10;AAAAAAAAAAAAAAAABwIAAGRycy9kb3ducmV2LnhtbFBLBQYAAAAAAwADALcAAAD4AgAAAAA=&#10;" filled="f" stroked="f">
                  <v:textbox inset="0,0,0,0">
                    <w:txbxContent>
                      <w:p w14:paraId="2F33275E" w14:textId="77777777" w:rsidR="00B32EF2" w:rsidRDefault="00000000">
                        <w:r>
                          <w:rPr>
                            <w:rFonts w:ascii="Arial" w:eastAsia="Arial" w:hAnsi="Arial" w:cs="Arial"/>
                            <w:i/>
                            <w:sz w:val="18"/>
                          </w:rPr>
                          <w:t>-</w:t>
                        </w:r>
                      </w:p>
                    </w:txbxContent>
                  </v:textbox>
                </v:rect>
                <v:rect id="Rectangle 17415" o:spid="_x0000_s3235" style="position:absolute;left:-11855;top:48199;width:509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IbxQAAAN4AAAAPAAAAZHJzL2Rvd25yZXYueG1sRE9La8JA&#10;EL4X/A/LCN7qxmJVoquIRZpDL/UBHofsmESzs0t2NWl/fbcgeJuP7zmLVWdqcafGV5YVjIYJCOLc&#10;6ooLBYf99nUGwgdkjbVlUvBDHlbL3ssCU21b/qb7LhQihrBPUUEZgkul9HlJBv3QOuLInW1jMETY&#10;FFI32MZwU8u3JJlIgxXHhhIdbUrKr7ubUXD6YJdtW5mffzfu65LN6s/b4ajUoN+t5yACdeEpfrgz&#10;HedPx6N3+H8n3iCXfwAAAP//AwBQSwECLQAUAAYACAAAACEA2+H2y+4AAACFAQAAEwAAAAAAAAAA&#10;AAAAAAAAAAAAW0NvbnRlbnRfVHlwZXNdLnhtbFBLAQItABQABgAIAAAAIQBa9CxbvwAAABUBAAAL&#10;AAAAAAAAAAAAAAAAAB8BAABfcmVscy8ucmVsc1BLAQItABQABgAIAAAAIQAxIWIbxQAAAN4AAAAP&#10;AAAAAAAAAAAAAAAAAAcCAABkcnMvZG93bnJldi54bWxQSwUGAAAAAAMAAwC3AAAA+QIAAAAA&#10;" filled="f" stroked="f">
                  <v:textbox inset="0,0,0,0">
                    <w:txbxContent>
                      <w:p w14:paraId="5B28BE98" w14:textId="77777777" w:rsidR="00B32EF2" w:rsidRDefault="00000000">
                        <w:r>
                          <w:rPr>
                            <w:rFonts w:ascii="Arial" w:eastAsia="Arial" w:hAnsi="Arial" w:cs="Arial"/>
                            <w:i/>
                            <w:sz w:val="18"/>
                          </w:rPr>
                          <w:t xml:space="preserve">te le disposizioni attuative e le modalità di trasmissione delle richieste, delle </w:t>
                        </w:r>
                      </w:p>
                    </w:txbxContent>
                  </v:textbox>
                </v:rect>
                <v:rect id="Rectangle 17416" o:spid="_x0000_s3236" style="position:absolute;left:-11859;top:46966;width:509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xsxAAAAN4AAAAPAAAAZHJzL2Rvd25yZXYueG1sRE9Li8Iw&#10;EL4v7H8Is+BtTV1EpRplcZHtwcv6AI9DM7bVZhKaaKu/3iwI3ubje85s0ZlaXKnxlWUFg34Cgji3&#10;uuJCwW67+pyA8AFZY22ZFNzIw2L+/jbDVNuW/+i6CYWIIexTVFCG4FIpfV6SQd+3jjhyR9sYDBE2&#10;hdQNtjHc1PIrSUbSYMWxoURHy5Ly8+ZiFBx+2GWrVubH+9KtT9mk/r3s9kr1PrrvKYhAXXiJn+5M&#10;x/nj4WAE/+/EG+T8AQAA//8DAFBLAQItABQABgAIAAAAIQDb4fbL7gAAAIUBAAATAAAAAAAAAAAA&#10;AAAAAAAAAABbQ29udGVudF9UeXBlc10ueG1sUEsBAi0AFAAGAAgAAAAhAFr0LFu/AAAAFQEAAAsA&#10;AAAAAAAAAAAAAAAAHwEAAF9yZWxzLy5yZWxzUEsBAi0AFAAGAAgAAAAhAMHz/GzEAAAA3gAAAA8A&#10;AAAAAAAAAAAAAAAABwIAAGRycy9kb3ducmV2LnhtbFBLBQYAAAAAAwADALcAAAD4AgAAAAA=&#10;" filled="f" stroked="f">
                  <v:textbox inset="0,0,0,0">
                    <w:txbxContent>
                      <w:p w14:paraId="2E31ADB2" w14:textId="77777777" w:rsidR="00B32EF2" w:rsidRDefault="00000000">
                        <w:r>
                          <w:rPr>
                            <w:rFonts w:ascii="Arial" w:eastAsia="Arial" w:hAnsi="Arial" w:cs="Arial"/>
                            <w:i/>
                            <w:sz w:val="18"/>
                          </w:rPr>
                          <w:t xml:space="preserve">risposte, nonchè dei dati e delle notizie riguardanti i rapporti e le operazioni </w:t>
                        </w:r>
                      </w:p>
                    </w:txbxContent>
                  </v:textbox>
                </v:rect>
                <v:rect id="Rectangle 17417" o:spid="_x0000_s3237" style="position:absolute;left:19930;top:45733;width:1920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1n3xAAAAN4AAAAPAAAAZHJzL2Rvd25yZXYueG1sRE9Li8Iw&#10;EL4v7H8Is+BtTRVZpRplcRF72Isv8Dg0Y1ttJqGJtvrrzcKCt/n4njNbdKYWN2p8ZVnBoJ+AIM6t&#10;rrhQsN+tPicgfEDWWFsmBXfysJi/v80w1bblDd22oRAxhH2KCsoQXCqlz0sy6PvWEUfuZBuDIcKm&#10;kLrBNoabWg6T5EsarDg2lOhoWVJ+2V6NguMPu2zVyvz0WLrfczap19f9QaneR/c9BRGoCy/xvzvT&#10;cf54NBjD3zvxBjl/AgAA//8DAFBLAQItABQABgAIAAAAIQDb4fbL7gAAAIUBAAATAAAAAAAAAAAA&#10;AAAAAAAAAABbQ29udGVudF9UeXBlc10ueG1sUEsBAi0AFAAGAAgAAAAhAFr0LFu/AAAAFQEAAAsA&#10;AAAAAAAAAAAAAAAAHwEAAF9yZWxzLy5yZWxzUEsBAi0AFAAGAAgAAAAhAK6/WffEAAAA3gAAAA8A&#10;AAAAAAAAAAAAAAAABwIAAGRycy9kb3ducmV2LnhtbFBLBQYAAAAAAwADALcAAAD4AgAAAAA=&#10;" filled="f" stroked="f">
                  <v:textbox inset="0,0,0,0">
                    <w:txbxContent>
                      <w:p w14:paraId="57C9AFAF" w14:textId="77777777" w:rsidR="00B32EF2" w:rsidRDefault="00000000">
                        <w:r>
                          <w:rPr>
                            <w:rFonts w:ascii="Arial" w:eastAsia="Arial" w:hAnsi="Arial" w:cs="Arial"/>
                            <w:i/>
                            <w:sz w:val="18"/>
                          </w:rPr>
                          <w:t>indicati nel citato numero 7).</w:t>
                        </w:r>
                      </w:p>
                    </w:txbxContent>
                  </v:textbox>
                </v:rect>
                <v:rect id="Rectangle 200783" o:spid="_x0000_s3238" style="position:absolute;left:25837;top:44499;width:510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ZE/xwAAAN8AAAAPAAAAZHJzL2Rvd25yZXYueG1sRI9Ba8JA&#10;FITvgv9heUJvumkLNaRuQrFIc/BSa6HHR/aZRLNvl+xqUn99tyB4HGbmG2ZVjKYTF+p9a1nB4yIB&#10;QVxZ3XKtYP+1macgfEDW2FkmBb/kocinkxVm2g78SZddqEWEsM9QQROCy6T0VUMG/cI64ugdbG8w&#10;RNnXUvc4RLjp5FOSvEiDLceFBh2tG6pOu7NR8PPOrtwMsjpc1257LNPu47z/VuphNr69ggg0hnv4&#10;1i61gkhcps/w/yd+AZn/AQAA//8DAFBLAQItABQABgAIAAAAIQDb4fbL7gAAAIUBAAATAAAAAAAA&#10;AAAAAAAAAAAAAABbQ29udGVudF9UeXBlc10ueG1sUEsBAi0AFAAGAAgAAAAhAFr0LFu/AAAAFQEA&#10;AAsAAAAAAAAAAAAAAAAAHwEAAF9yZWxzLy5yZWxzUEsBAi0AFAAGAAgAAAAhAALFkT/HAAAA3wAA&#10;AA8AAAAAAAAAAAAAAAAABwIAAGRycy9kb3ducmV2LnhtbFBLBQYAAAAAAwADALcAAAD7AgAAAAA=&#10;" filled="f" stroked="f">
                  <v:textbox inset="0,0,0,0">
                    <w:txbxContent>
                      <w:p w14:paraId="2D93754E" w14:textId="77777777" w:rsidR="00B32EF2" w:rsidRDefault="00000000">
                        <w:r>
                          <w:rPr>
                            <w:rFonts w:ascii="Arial" w:eastAsia="Arial" w:hAnsi="Arial" w:cs="Arial"/>
                            <w:i/>
                            <w:sz w:val="18"/>
                          </w:rPr>
                          <w:t>4</w:t>
                        </w:r>
                      </w:p>
                    </w:txbxContent>
                  </v:textbox>
                </v:rect>
                <v:rect id="Rectangle 200784" o:spid="_x0000_s3239" style="position:absolute;left:-12531;top:44499;width:510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AlLxwAAAN8AAAAPAAAAZHJzL2Rvd25yZXYueG1sRI9Ba8JA&#10;FITvgv9heUJvumkpNaRuQrFIc/BSa6HHR/aZRLNvl+xqUn99tyB4HGbmG2ZVjKYTF+p9a1nB4yIB&#10;QVxZ3XKtYP+1macgfEDW2FkmBb/kocinkxVm2g78SZddqEWEsM9QQROCy6T0VUMG/cI64ugdbG8w&#10;RNnXUvc4RLjp5FOSvEiDLceFBh2tG6pOu7NR8PPOrtwMsjpc1257LNPu47z/VuphNr69ggg0hnv4&#10;1i61gkhcps/w/yd+AZn/AQAA//8DAFBLAQItABQABgAIAAAAIQDb4fbL7gAAAIUBAAATAAAAAAAA&#10;AAAAAAAAAAAAAABbQ29udGVudF9UeXBlc10ueG1sUEsBAi0AFAAGAAgAAAAhAFr0LFu/AAAAFQEA&#10;AAsAAAAAAAAAAAAAAAAAHwEAAF9yZWxzLy5yZWxzUEsBAi0AFAAGAAgAAAAhAI0sCUvHAAAA3wAA&#10;AA8AAAAAAAAAAAAAAAAABwIAAGRycy9kb3ducmV2LnhtbFBLBQYAAAAAAwADALcAAAD7AgAAAAA=&#10;" filled="f" stroked="f">
                  <v:textbox inset="0,0,0,0">
                    <w:txbxContent>
                      <w:p w14:paraId="06FDE1E8" w14:textId="77777777" w:rsidR="00B32EF2" w:rsidRDefault="00000000">
                        <w:r>
                          <w:rPr>
                            <w:rFonts w:ascii="Arial" w:eastAsia="Arial" w:hAnsi="Arial" w:cs="Arial"/>
                            <w:i/>
                            <w:sz w:val="18"/>
                          </w:rPr>
                          <w:t xml:space="preserve">. Per l’inottemperanza agli inviti di cui al secondo comma, numeri 3) e 4), </w:t>
                        </w:r>
                      </w:p>
                    </w:txbxContent>
                  </v:textbox>
                </v:rect>
                <v:rect id="Rectangle 17419" o:spid="_x0000_s3240" style="position:absolute;left:-11887;top:43266;width:510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gexQAAAN4AAAAPAAAAZHJzL2Rvd25yZXYueG1sRE9La8JA&#10;EL4X/A/LCN7qxiJVo6uIRZpDL/UBHofsmESzs0t2NWl/fbcgeJuP7zmLVWdqcafGV5YVjIYJCOLc&#10;6ooLBYf99nUKwgdkjbVlUvBDHlbL3ssCU21b/qb7LhQihrBPUUEZgkul9HlJBv3QOuLInW1jMETY&#10;FFI32MZwU8u3JHmXBiuODSU62pSUX3c3o+D0wS7btjI//27c1yWb1p+3w1GpQb9bz0EE6sJT/HBn&#10;Os6fjEcz+H8n3iCXfwAAAP//AwBQSwECLQAUAAYACAAAACEA2+H2y+4AAACFAQAAEwAAAAAAAAAA&#10;AAAAAAAAAAAAW0NvbnRlbnRfVHlwZXNdLnhtbFBLAQItABQABgAIAAAAIQBa9CxbvwAAABUBAAAL&#10;AAAAAAAAAAAAAAAAAB8BAABfcmVscy8ucmVsc1BLAQItABQABgAIAAAAIQCwbGgexQAAAN4AAAAP&#10;AAAAAAAAAAAAAAAAAAcCAABkcnMvZG93bnJldi54bWxQSwUGAAAAAAMAAwC3AAAA+QIAAAAA&#10;" filled="f" stroked="f">
                  <v:textbox inset="0,0,0,0">
                    <w:txbxContent>
                      <w:p w14:paraId="50A1DDE0" w14:textId="77777777" w:rsidR="00B32EF2" w:rsidRDefault="00000000">
                        <w:r>
                          <w:rPr>
                            <w:rFonts w:ascii="Arial" w:eastAsia="Arial" w:hAnsi="Arial" w:cs="Arial"/>
                            <w:i/>
                            <w:sz w:val="18"/>
                          </w:rPr>
                          <w:t xml:space="preserve">si applicano le disposizioni di cui ai commi terzo e quarto dell’ articolo 32 </w:t>
                        </w:r>
                      </w:p>
                    </w:txbxContent>
                  </v:textbox>
                </v:rect>
                <v:rect id="Rectangle 17420" o:spid="_x0000_s3241" style="position:absolute;left:-11887;top:42033;width:510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gs+xwAAAN4AAAAPAAAAZHJzL2Rvd25yZXYueG1sRI9Ba8JA&#10;EIXvQv/DMoXedFMRldRVikXMoZeqhR6H7Jikzc4u2dWk/fXOoeBthnnz3vtWm8G16kpdbDwbeJ5k&#10;oIhLbxuuDJyOu/ESVEzIFlvPZOCXImzWD6MV5tb3/EHXQ6qUmHDM0UCdUsi1jmVNDuPEB2K5nX3n&#10;MMnaVdp22Iu5a/U0y+baYcOSUGOgbU3lz+HiDHy9cSh2vS7Pf9vw/l0s2/3l9GnM0+Pw+gIq0ZDu&#10;4v/vwkr9xWwqAIIjM+j1DQAA//8DAFBLAQItABQABgAIAAAAIQDb4fbL7gAAAIUBAAATAAAAAAAA&#10;AAAAAAAAAAAAAABbQ29udGVudF9UeXBlc10ueG1sUEsBAi0AFAAGAAgAAAAhAFr0LFu/AAAAFQEA&#10;AAsAAAAAAAAAAAAAAAAAHwEAAF9yZWxzLy5yZWxzUEsBAi0AFAAGAAgAAAAhAO86Cz7HAAAA3gAA&#10;AA8AAAAAAAAAAAAAAAAABwIAAGRycy9kb3ducmV2LnhtbFBLBQYAAAAAAwADALcAAAD7AgAAAAA=&#10;" filled="f" stroked="f">
                  <v:textbox inset="0,0,0,0">
                    <w:txbxContent>
                      <w:p w14:paraId="11473154" w14:textId="77777777" w:rsidR="00B32EF2" w:rsidRDefault="00000000">
                        <w:r>
                          <w:rPr>
                            <w:rFonts w:ascii="Arial" w:eastAsia="Arial" w:hAnsi="Arial" w:cs="Arial"/>
                            <w:i/>
                            <w:sz w:val="18"/>
                          </w:rPr>
                          <w:t xml:space="preserve">del decreto del Presidente della Repubblica 29 settembre 1973, n. 600 , e </w:t>
                        </w:r>
                      </w:p>
                    </w:txbxContent>
                  </v:textbox>
                </v:rect>
                <v:rect id="Rectangle 17421" o:spid="_x0000_s3242" style="position:absolute;left:21816;top:40799;width:173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q6lxAAAAN4AAAAPAAAAZHJzL2Rvd25yZXYueG1sRE9Li8Iw&#10;EL4v+B/CCN7WVFl2pRpFFNkevKwP8Dg0Y1ttJqGJtvrrNwsL3ubje85s0Zla3KnxlWUFo2ECgji3&#10;uuJCwWG/eZ+A8AFZY22ZFDzIw2Lee5thqm3LP3TfhULEEPYpKihDcKmUPi/JoB9aRxy5s20Mhgib&#10;QuoG2xhuajlOkk9psOLYUKKjVUn5dXczCk5rdtmmlfn5uXLbSzapv2+Ho1KDfrecggjUhZf4353p&#10;OP/rYzyCv3fiDXL+CwAA//8DAFBLAQItABQABgAIAAAAIQDb4fbL7gAAAIUBAAATAAAAAAAAAAAA&#10;AAAAAAAAAABbQ29udGVudF9UeXBlc10ueG1sUEsBAi0AFAAGAAgAAAAhAFr0LFu/AAAAFQEAAAsA&#10;AAAAAAAAAAAAAAAAHwEAAF9yZWxzLy5yZWxzUEsBAi0AFAAGAAgAAAAhAIB2rqXEAAAA3gAAAA8A&#10;AAAAAAAAAAAAAAAABwIAAGRycy9kb3ducmV2LnhtbFBLBQYAAAAAAwADALcAAAD4AgAAAAA=&#10;" filled="f" stroked="f">
                  <v:textbox inset="0,0,0,0">
                    <w:txbxContent>
                      <w:p w14:paraId="639B5C53" w14:textId="77777777" w:rsidR="00B32EF2" w:rsidRDefault="00000000">
                        <w:r>
                          <w:rPr>
                            <w:rFonts w:ascii="Arial" w:eastAsia="Arial" w:hAnsi="Arial" w:cs="Arial"/>
                            <w:i/>
                            <w:sz w:val="18"/>
                          </w:rPr>
                          <w:t>successive modificazioni.</w:t>
                        </w:r>
                      </w:p>
                    </w:txbxContent>
                  </v:textbox>
                </v:rect>
                <v:rect id="Rectangle 200781" o:spid="_x0000_s3243" style="position:absolute;left:26084;top:39566;width:500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6rTxwAAAN8AAAAPAAAAZHJzL2Rvd25yZXYueG1sRI9Pa8JA&#10;FMTvBb/D8oTe6sYeakjdiCjSHLxoFXp8ZF/+aPbtkl1N7KfvFgo9DjPzG2a5Gk0n7tT71rKC+SwB&#10;QVxa3XKt4PS5e0lB+ICssbNMCh7kYZVPnpaYaTvwge7HUIsIYZ+hgiYEl0npy4YM+pl1xNGrbG8w&#10;RNnXUvc4RLjp5GuSvEmDLceFBh1tGiqvx5tR8LVlV+wGWVbfG7e/FGn3cTudlXqejut3EIHG8B/+&#10;axdaQSQu0jn8/olfQOY/AAAA//8DAFBLAQItABQABgAIAAAAIQDb4fbL7gAAAIUBAAATAAAAAAAA&#10;AAAAAAAAAAAAAABbQ29udGVudF9UeXBlc10ueG1sUEsBAi0AFAAGAAgAAAAhAFr0LFu/AAAAFQEA&#10;AAsAAAAAAAAAAAAAAAAAHwEAAF9yZWxzLy5yZWxzUEsBAi0AFAAGAAgAAAAhAJ1bqtPHAAAA3wAA&#10;AA8AAAAAAAAAAAAAAAAABwIAAGRycy9kb3ducmV2LnhtbFBLBQYAAAAAAwADALcAAAD7AgAAAAA=&#10;" filled="f" stroked="f">
                  <v:textbox inset="0,0,0,0">
                    <w:txbxContent>
                      <w:p w14:paraId="4008A3FB" w14:textId="77777777" w:rsidR="00B32EF2" w:rsidRDefault="00000000">
                        <w:r>
                          <w:rPr>
                            <w:rFonts w:ascii="Arial" w:eastAsia="Arial" w:hAnsi="Arial" w:cs="Arial"/>
                            <w:i/>
                            <w:sz w:val="18"/>
                          </w:rPr>
                          <w:t>5</w:t>
                        </w:r>
                      </w:p>
                    </w:txbxContent>
                  </v:textbox>
                </v:rect>
                <v:rect id="Rectangle 200782" o:spid="_x0000_s3244" style="position:absolute;left:-11566;top:39566;width:500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SkxgAAAN8AAAAPAAAAZHJzL2Rvd25yZXYueG1sRI9Ba8JA&#10;FITvhf6H5RV6q5t6qCG6SlHEHHrRRvD4yD6TaPbtkl1N6q93BaHHYWa+YWaLwbTiSp1vLCv4HCUg&#10;iEurG64UFL/rjxSED8gaW8uk4I88LOavLzPMtO15S9ddqESEsM9QQR2Cy6T0ZU0G/cg64ugdbWcw&#10;RNlVUnfYR7hp5ThJvqTBhuNCjY6WNZXn3cUoOKzY5etelsfb0v2c8rTdXIq9Uu9vw/cURKAh/Ief&#10;7VwriMRJOobHn/gF5PwOAAD//wMAUEsBAi0AFAAGAAgAAAAhANvh9svuAAAAhQEAABMAAAAAAAAA&#10;AAAAAAAAAAAAAFtDb250ZW50X1R5cGVzXS54bWxQSwECLQAUAAYACAAAACEAWvQsW78AAAAVAQAA&#10;CwAAAAAAAAAAAAAAAAAfAQAAX3JlbHMvLnJlbHNQSwECLQAUAAYACAAAACEAbYk0pMYAAADfAAAA&#10;DwAAAAAAAAAAAAAAAAAHAgAAZHJzL2Rvd25yZXYueG1sUEsFBgAAAAADAAMAtwAAAPoCAAAAAA==&#10;" filled="f" stroked="f">
                  <v:textbox inset="0,0,0,0">
                    <w:txbxContent>
                      <w:p w14:paraId="3D4BB7F0" w14:textId="77777777" w:rsidR="00B32EF2" w:rsidRDefault="00000000">
                        <w:r>
                          <w:rPr>
                            <w:rFonts w:ascii="Arial" w:eastAsia="Arial" w:hAnsi="Arial" w:cs="Arial"/>
                            <w:i/>
                            <w:sz w:val="18"/>
                          </w:rPr>
                          <w:t>. Quando l’Agenzia delle entrate riceve comunicazione da parte del pub</w:t>
                        </w:r>
                      </w:p>
                    </w:txbxContent>
                  </v:textbox>
                </v:rect>
                <v:rect id="Rectangle 17423" o:spid="_x0000_s3245" style="position:absolute;left:975;top:395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JVJxQAAAN4AAAAPAAAAZHJzL2Rvd25yZXYueG1sRE9La8JA&#10;EL4X/A/LCN7qplpUoqsUi5hDL/UBHofsmMRmZ5fsamJ/fbcgeJuP7zmLVWdqcaPGV5YVvA0TEMS5&#10;1RUXCg77zesMhA/IGmvLpOBOHlbL3ssCU21b/qbbLhQihrBPUUEZgkul9HlJBv3QOuLInW1jMETY&#10;FFI32MZwU8tRkkykwYpjQ4mO1iXlP7urUXD6ZJdtWpmff9fu65LN6u31cFRq0O8+5iACdeEpfrgz&#10;HedP30dj+H8n3iCXfwAAAP//AwBQSwECLQAUAAYACAAAACEA2+H2y+4AAACFAQAAEwAAAAAAAAAA&#10;AAAAAAAAAAAAW0NvbnRlbnRfVHlwZXNdLnhtbFBLAQItABQABgAIAAAAIQBa9CxbvwAAABUBAAAL&#10;AAAAAAAAAAAAAAAAAB8BAABfcmVscy8ucmVsc1BLAQItABQABgAIAAAAIQAf6JVJxQAAAN4AAAAP&#10;AAAAAAAAAAAAAAAAAAcCAABkcnMvZG93bnJldi54bWxQSwUGAAAAAAMAAwC3AAAA+QIAAAAA&#10;" filled="f" stroked="f">
                  <v:textbox inset="0,0,0,0">
                    <w:txbxContent>
                      <w:p w14:paraId="4C79E1E7" w14:textId="77777777" w:rsidR="00B32EF2" w:rsidRDefault="00000000">
                        <w:r>
                          <w:rPr>
                            <w:rFonts w:ascii="Arial" w:eastAsia="Arial" w:hAnsi="Arial" w:cs="Arial"/>
                            <w:i/>
                            <w:sz w:val="18"/>
                          </w:rPr>
                          <w:t>-</w:t>
                        </w:r>
                      </w:p>
                    </w:txbxContent>
                  </v:textbox>
                </v:rect>
                <v:rect id="Rectangle 17424" o:spid="_x0000_s3246" style="position:absolute;left:-11923;top:38333;width:512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Q09xAAAAN4AAAAPAAAAZHJzL2Rvd25yZXYueG1sRE9Ni8Iw&#10;EL0v+B/CCN7WVJFd6RpFFLEHL7ou7HFoxrbaTEITbfXXb4QFb/N4nzNbdKYWN2p8ZVnBaJiAIM6t&#10;rrhQcPzevE9B+ICssbZMCu7kYTHvvc0w1bblPd0OoRAxhH2KCsoQXCqlz0sy6IfWEUfuZBuDIcKm&#10;kLrBNoabWo6T5EMarDg2lOhoVVJ+OVyNgt81u2zTyvz0WLndOZvW2+vxR6lBv1t+gQjUhZf4353p&#10;OP9zMp7A8514g5z/AQAA//8DAFBLAQItABQABgAIAAAAIQDb4fbL7gAAAIUBAAATAAAAAAAAAAAA&#10;AAAAAAAAAABbQ29udGVudF9UeXBlc10ueG1sUEsBAi0AFAAGAAgAAAAhAFr0LFu/AAAAFQEAAAsA&#10;AAAAAAAAAAAAAAAAHwEAAF9yZWxzLy5yZWxzUEsBAi0AFAAGAAgAAAAhAJABDT3EAAAA3gAAAA8A&#10;AAAAAAAAAAAAAAAABwIAAGRycy9kb3ducmV2LnhtbFBLBQYAAAAAAwADALcAAAD4AgAAAAA=&#10;" filled="f" stroked="f">
                  <v:textbox inset="0,0,0,0">
                    <w:txbxContent>
                      <w:p w14:paraId="6BB015DB" w14:textId="77777777" w:rsidR="00B32EF2" w:rsidRDefault="00000000">
                        <w:r>
                          <w:rPr>
                            <w:rFonts w:ascii="Arial" w:eastAsia="Arial" w:hAnsi="Arial" w:cs="Arial"/>
                            <w:i/>
                            <w:sz w:val="18"/>
                          </w:rPr>
                          <w:t xml:space="preserve">blico ministero dell’esercizio dell’azione penale ai sensi dell’articolo 129, </w:t>
                        </w:r>
                      </w:p>
                    </w:txbxContent>
                  </v:textbox>
                </v:rect>
                <v:rect id="Rectangle 17425" o:spid="_x0000_s3247" style="position:absolute;left:-10906;top:37100;width:5004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imxQAAAN4AAAAPAAAAZHJzL2Rvd25yZXYueG1sRE9La8JA&#10;EL4X/A/LCN7qpmJVoqsUi5hDL/UBHofsmMRmZ5fsamJ/fbcgeJuP7zmLVWdqcaPGV5YVvA0TEMS5&#10;1RUXCg77zesMhA/IGmvLpOBOHlbL3ssCU21b/qbbLhQihrBPUUEZgkul9HlJBv3QOuLInW1jMETY&#10;FFI32MZwU8tRkkykwYpjQ4mO1iXlP7urUXD6ZJdtWpmff9fu65LN6u31cFRq0O8+5iACdeEpfrgz&#10;HedPx6N3+H8n3iCXfwAAAP//AwBQSwECLQAUAAYACAAAACEA2+H2y+4AAACFAQAAEwAAAAAAAAAA&#10;AAAAAAAAAAAAW0NvbnRlbnRfVHlwZXNdLnhtbFBLAQItABQABgAIAAAAIQBa9CxbvwAAABUBAAAL&#10;AAAAAAAAAAAAAAAAAB8BAABfcmVscy8ucmVsc1BLAQItABQABgAIAAAAIQD/TaimxQAAAN4AAAAP&#10;AAAAAAAAAAAAAAAAAAcCAABkcnMvZG93bnJldi54bWxQSwUGAAAAAAMAAwC3AAAA+QIAAAAA&#10;" filled="f" stroked="f">
                  <v:textbox inset="0,0,0,0">
                    <w:txbxContent>
                      <w:p w14:paraId="7BFE9DF8" w14:textId="77777777" w:rsidR="00B32EF2" w:rsidRDefault="00000000">
                        <w:r>
                          <w:rPr>
                            <w:rFonts w:ascii="Arial" w:eastAsia="Arial" w:hAnsi="Arial" w:cs="Arial"/>
                            <w:i/>
                            <w:sz w:val="18"/>
                          </w:rPr>
                          <w:t>comma 3-quater, delle disposizioni attuative del codice di procedura pena</w:t>
                        </w:r>
                      </w:p>
                    </w:txbxContent>
                  </v:textbox>
                </v:rect>
                <v:rect id="Rectangle 17426" o:spid="_x0000_s3248" style="position:absolute;left:975;top:3710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zbRxAAAAN4AAAAPAAAAZHJzL2Rvd25yZXYueG1sRE9Ni8Iw&#10;EL0L/ocwgjdNFXGlaxRRxB72sq4Lexyasa02k9BEW/31m4UFb/N4n7Ncd6YWd2p8ZVnBZJyAIM6t&#10;rrhQcPrajxYgfEDWWFsmBQ/ysF71e0tMtW35k+7HUIgYwj5FBWUILpXS5yUZ9GPriCN3to3BEGFT&#10;SN1gG8NNLadJMpcGK44NJTralpRfjzej4GfHLtu3Mj8/t+7jki3qw+30rdRw0G3eQQTqwkv87850&#10;nP82m87h7514g1z9AgAA//8DAFBLAQItABQABgAIAAAAIQDb4fbL7gAAAIUBAAATAAAAAAAAAAAA&#10;AAAAAAAAAABbQ29udGVudF9UeXBlc10ueG1sUEsBAi0AFAAGAAgAAAAhAFr0LFu/AAAAFQEAAAsA&#10;AAAAAAAAAAAAAAAAHwEAAF9yZWxzLy5yZWxzUEsBAi0AFAAGAAgAAAAhAA+fNtHEAAAA3gAAAA8A&#10;AAAAAAAAAAAAAAAABwIAAGRycy9kb3ducmV2LnhtbFBLBQYAAAAAAwADALcAAAD4AgAAAAA=&#10;" filled="f" stroked="f">
                  <v:textbox inset="0,0,0,0">
                    <w:txbxContent>
                      <w:p w14:paraId="63C1FA90" w14:textId="77777777" w:rsidR="00B32EF2" w:rsidRDefault="00000000">
                        <w:r>
                          <w:rPr>
                            <w:rFonts w:ascii="Arial" w:eastAsia="Arial" w:hAnsi="Arial" w:cs="Arial"/>
                            <w:i/>
                            <w:sz w:val="18"/>
                          </w:rPr>
                          <w:t>-</w:t>
                        </w:r>
                      </w:p>
                    </w:txbxContent>
                  </v:textbox>
                </v:rect>
                <v:rect id="Rectangle 17427" o:spid="_x0000_s3249" style="position:absolute;left:-10980;top:35866;width:501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5NKxAAAAN4AAAAPAAAAZHJzL2Rvd25yZXYueG1sRE9Ni8Iw&#10;EL0L/ocwgjdNFVmlaxRRxB72sq4Lexyasa02k9BEW/31m4UFb/N4n7Ncd6YWd2p8ZVnBZJyAIM6t&#10;rrhQcPrajxYgfEDWWFsmBQ/ysF71e0tMtW35k+7HUIgYwj5FBWUILpXS5yUZ9GPriCN3to3BEGFT&#10;SN1gG8NNLadJ8iYNVhwbSnS0LSm/Hm9Gwc+OXbZvZX5+bt3HJVvUh9vpW6nhoNu8gwjUhZf4353p&#10;OH8+m87h7514g1z9AgAA//8DAFBLAQItABQABgAIAAAAIQDb4fbL7gAAAIUBAAATAAAAAAAAAAAA&#10;AAAAAAAAAABbQ29udGVudF9UeXBlc10ueG1sUEsBAi0AFAAGAAgAAAAhAFr0LFu/AAAAFQEAAAsA&#10;AAAAAAAAAAAAAAAAHwEAAF9yZWxzLy5yZWxzUEsBAi0AFAAGAAgAAAAhAGDTk0rEAAAA3gAAAA8A&#10;AAAAAAAAAAAAAAAABwIAAGRycy9kb3ducmV2LnhtbFBLBQYAAAAAAwADALcAAAD4AgAAAAA=&#10;" filled="f" stroked="f">
                  <v:textbox inset="0,0,0,0">
                    <w:txbxContent>
                      <w:p w14:paraId="23FB507E" w14:textId="77777777" w:rsidR="00B32EF2" w:rsidRDefault="00000000">
                        <w:r>
                          <w:rPr>
                            <w:rFonts w:ascii="Arial" w:eastAsia="Arial" w:hAnsi="Arial" w:cs="Arial"/>
                            <w:i/>
                            <w:sz w:val="18"/>
                          </w:rPr>
                          <w:t>le , di cui al decreto legislativo 28 luglio 1989, n. 271 , risponde senza ritar</w:t>
                        </w:r>
                      </w:p>
                    </w:txbxContent>
                  </v:textbox>
                </v:rect>
                <v:rect id="Rectangle 17428" o:spid="_x0000_s3250" style="position:absolute;left:975;top:358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Ac4xwAAAN4AAAAPAAAAZHJzL2Rvd25yZXYueG1sRI9Ba8JA&#10;EIXvQv/DMoXedFMRldRVikXMoZeqhR6H7Jikzc4u2dWk/fXOoeBthvfmvW9Wm8G16kpdbDwbeJ5k&#10;oIhLbxuuDJyOu/ESVEzIFlvPZOCXImzWD6MV5tb3/EHXQ6qUhHDM0UCdUsi1jmVNDuPEB2LRzr5z&#10;mGTtKm077CXctXqaZXPtsGFpqDHQtqby53BxBr7eOBS7Xpfnv214/y6W7f5y+jTm6XF4fQGVaEh3&#10;8/91YQV/MZsKr7wjM+j1DQAA//8DAFBLAQItABQABgAIAAAAIQDb4fbL7gAAAIUBAAATAAAAAAAA&#10;AAAAAAAAAAAAAABbQ29udGVudF9UeXBlc10ueG1sUEsBAi0AFAAGAAgAAAAhAFr0LFu/AAAAFQEA&#10;AAsAAAAAAAAAAAAAAAAAHwEAAF9yZWxzLy5yZWxzUEsBAi0AFAAGAAgAAAAhABFMBzjHAAAA3gAA&#10;AA8AAAAAAAAAAAAAAAAABwIAAGRycy9kb3ducmV2LnhtbFBLBQYAAAAAAwADALcAAAD7AgAAAAA=&#10;" filled="f" stroked="f">
                  <v:textbox inset="0,0,0,0">
                    <w:txbxContent>
                      <w:p w14:paraId="256D5C1B" w14:textId="77777777" w:rsidR="00B32EF2" w:rsidRDefault="00000000">
                        <w:r>
                          <w:rPr>
                            <w:rFonts w:ascii="Arial" w:eastAsia="Arial" w:hAnsi="Arial" w:cs="Arial"/>
                            <w:i/>
                            <w:sz w:val="18"/>
                          </w:rPr>
                          <w:t>-</w:t>
                        </w:r>
                      </w:p>
                    </w:txbxContent>
                  </v:textbox>
                </v:rect>
                <v:rect id="Rectangle 17429" o:spid="_x0000_s3251" style="position:absolute;left:-11872;top:34633;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KjxQAAAN4AAAAPAAAAZHJzL2Rvd25yZXYueG1sRE9Na8JA&#10;EL0L/Q/LFLzpRpFqo6uIIs3BS62FHofsmESzs0t2NWl/vVsQvM3jfc5i1Zla3KjxlWUFo2ECgji3&#10;uuJCwfFrN5iB8AFZY22ZFPySh9XypbfAVNuWP+l2CIWIIexTVFCG4FIpfV6SQT+0jjhyJ9sYDBE2&#10;hdQNtjHc1HKcJG/SYMWxoURHm5Lyy+FqFPxs2WW7Vuanv43bn7NZ/XE9fivVf+3WcxCBuvAUP9yZ&#10;jvOnk/E7/L8Tb5DLOwAAAP//AwBQSwECLQAUAAYACAAAACEA2+H2y+4AAACFAQAAEwAAAAAAAAAA&#10;AAAAAAAAAAAAW0NvbnRlbnRfVHlwZXNdLnhtbFBLAQItABQABgAIAAAAIQBa9CxbvwAAABUBAAAL&#10;AAAAAAAAAAAAAAAAAB8BAABfcmVscy8ucmVsc1BLAQItABQABgAIAAAAIQB+AKKjxQAAAN4AAAAP&#10;AAAAAAAAAAAAAAAAAAcCAABkcnMvZG93bnJldi54bWxQSwUGAAAAAAMAAwC3AAAA+QIAAAAA&#10;" filled="f" stroked="f">
                  <v:textbox inset="0,0,0,0">
                    <w:txbxContent>
                      <w:p w14:paraId="33FF36C6" w14:textId="77777777" w:rsidR="00B32EF2" w:rsidRDefault="00000000">
                        <w:r>
                          <w:rPr>
                            <w:rFonts w:ascii="Arial" w:eastAsia="Arial" w:hAnsi="Arial" w:cs="Arial"/>
                            <w:i/>
                            <w:sz w:val="18"/>
                          </w:rPr>
                          <w:t xml:space="preserve">do trasmettendo, anche al competente Comando della Guardia di finanza, </w:t>
                        </w:r>
                      </w:p>
                    </w:txbxContent>
                  </v:textbox>
                </v:rect>
                <v:rect id="Rectangle 17430" o:spid="_x0000_s3252" style="position:absolute;left:-9002;top:33400;width:481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53jyAAAAN4AAAAPAAAAZHJzL2Rvd25yZXYueG1sRI9Pb8Iw&#10;DMXvk/YdIk/iNtL90UAdAU1MiB64DJi0o9WYtlvjRE2gHZ8eH5C42fLze+83WwyuVSfqYuPZwNM4&#10;A0VcettwZWC/Wz1OQcWEbLH1TAb+KcJifn83w9z6nr/otE2VEhOOORqoUwq51rGsyWEc+0Ast4Pv&#10;HCZZu0rbDnsxd61+zrI37bBhSagx0LKm8m97dAZ+PjkUq16Xh/MybH6Labs+7r+NGT0MH++gEg3p&#10;Jr5+F1bqT15fBEBwZAY9vwAAAP//AwBQSwECLQAUAAYACAAAACEA2+H2y+4AAACFAQAAEwAAAAAA&#10;AAAAAAAAAAAAAAAAW0NvbnRlbnRfVHlwZXNdLnhtbFBLAQItABQABgAIAAAAIQBa9CxbvwAAABUB&#10;AAALAAAAAAAAAAAAAAAAAB8BAABfcmVscy8ucmVsc1BLAQItABQABgAIAAAAIQBq453jyAAAAN4A&#10;AAAPAAAAAAAAAAAAAAAAAAcCAABkcnMvZG93bnJldi54bWxQSwUGAAAAAAMAAwC3AAAA/AIAAAAA&#10;" filled="f" stroked="f">
                  <v:textbox inset="0,0,0,0">
                    <w:txbxContent>
                      <w:p w14:paraId="50359E46" w14:textId="77777777" w:rsidR="00B32EF2" w:rsidRDefault="00000000">
                        <w:r>
                          <w:rPr>
                            <w:rFonts w:ascii="Arial" w:eastAsia="Arial" w:hAnsi="Arial" w:cs="Arial"/>
                            <w:i/>
                            <w:sz w:val="18"/>
                          </w:rPr>
                          <w:t>l’attestazione relativa allo stato di definizione della violazione tributaria.</w:t>
                        </w:r>
                      </w:p>
                    </w:txbxContent>
                  </v:textbox>
                </v:rect>
                <v:shape id="Shape 17431" o:spid="_x0000_s3253" style="position:absolute;left:317;top:32632;width:39600;height:30113;visibility:visible;mso-wrap-style:square;v-text-anchor:top" coordsize="3960000,301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GNxAAAAN4AAAAPAAAAZHJzL2Rvd25yZXYueG1sRE/bisIw&#10;EH0X/IcwC74sa+oFL12jqCAo+7BU/YChmV7YZlKaWOvfG2HBtzmc66w2nalES40rLSsYDSMQxKnV&#10;JecKrpfD1wKE88gaK8uk4EEONut+b4WxtndOqD37XIQQdjEqKLyvYyldWpBBN7Q1ceAy2xj0ATa5&#10;1A3eQ7ip5DiKZtJgyaGhwJr2BaV/55tRMP6ZLi71yf9OlllyWn7ud5m7JkoNPrrtNwhPnX+L/91H&#10;HebPp5MRvN4JN8j1EwAA//8DAFBLAQItABQABgAIAAAAIQDb4fbL7gAAAIUBAAATAAAAAAAAAAAA&#10;AAAAAAAAAABbQ29udGVudF9UeXBlc10ueG1sUEsBAi0AFAAGAAgAAAAhAFr0LFu/AAAAFQEAAAsA&#10;AAAAAAAAAAAAAAAAHwEAAF9yZWxzLy5yZWxzUEsBAi0AFAAGAAgAAAAhAPaO0Y3EAAAA3gAAAA8A&#10;AAAAAAAAAAAAAAAABwIAAGRycy9kb3ducmV2LnhtbFBLBQYAAAAAAwADALcAAAD4AgAAAAA=&#10;" path="m,3011297r3960000,l3960000,,,,,3011297xe" filled="f" strokeweight="1pt">
                  <v:stroke miterlimit="1" joinstyle="miter"/>
                  <v:path arrowok="t" textboxrect="0,0,3960000,3011297"/>
                </v:shape>
                <w10:anchorlock/>
              </v:group>
            </w:pict>
          </mc:Fallback>
        </mc:AlternateContent>
      </w:r>
    </w:p>
    <w:p w14:paraId="18FE19C0" w14:textId="77777777" w:rsidR="00B32EF2" w:rsidRDefault="00000000">
      <w:pPr>
        <w:spacing w:after="0"/>
        <w:ind w:left="-296" w:right="-316"/>
      </w:pPr>
      <w:r>
        <w:rPr>
          <w:noProof/>
        </w:rPr>
        <w:lastRenderedPageBreak/>
        <mc:AlternateContent>
          <mc:Choice Requires="wpg">
            <w:drawing>
              <wp:inline distT="0" distB="0" distL="0" distR="0" wp14:anchorId="231CA9AC" wp14:editId="1DA6022E">
                <wp:extent cx="3960001" cy="6256510"/>
                <wp:effectExtent l="0" t="0" r="0" b="0"/>
                <wp:docPr id="200886" name="Group 200886"/>
                <wp:cNvGraphicFramePr/>
                <a:graphic xmlns:a="http://schemas.openxmlformats.org/drawingml/2006/main">
                  <a:graphicData uri="http://schemas.microsoft.com/office/word/2010/wordprocessingGroup">
                    <wpg:wgp>
                      <wpg:cNvGrpSpPr/>
                      <wpg:grpSpPr>
                        <a:xfrm>
                          <a:off x="0" y="0"/>
                          <a:ext cx="3960001" cy="6256510"/>
                          <a:chOff x="0" y="0"/>
                          <a:chExt cx="3960001" cy="6256510"/>
                        </a:xfrm>
                      </wpg:grpSpPr>
                      <wps:wsp>
                        <wps:cNvPr id="17511" name="Rectangle 17511"/>
                        <wps:cNvSpPr/>
                        <wps:spPr>
                          <a:xfrm rot="-10799999">
                            <a:off x="1862337" y="-62190"/>
                            <a:ext cx="178369" cy="250646"/>
                          </a:xfrm>
                          <a:prstGeom prst="rect">
                            <a:avLst/>
                          </a:prstGeom>
                          <a:ln>
                            <a:noFill/>
                          </a:ln>
                        </wps:spPr>
                        <wps:txbx>
                          <w:txbxContent>
                            <w:p w14:paraId="5D00FD4E" w14:textId="77777777" w:rsidR="00B32EF2" w:rsidRDefault="00000000">
                              <w:r>
                                <w:rPr>
                                  <w:rFonts w:ascii="Times New Roman" w:eastAsia="Times New Roman" w:hAnsi="Times New Roman" w:cs="Times New Roman"/>
                                </w:rPr>
                                <w:t>72</w:t>
                              </w:r>
                            </w:p>
                          </w:txbxContent>
                        </wps:txbx>
                        <wps:bodyPr horzOverflow="overflow" vert="horz" lIns="0" tIns="0" rIns="0" bIns="0" rtlCol="0">
                          <a:noAutofit/>
                        </wps:bodyPr>
                      </wps:wsp>
                      <wps:wsp>
                        <wps:cNvPr id="207886" name="Shape 207886"/>
                        <wps:cNvSpPr/>
                        <wps:spPr>
                          <a:xfrm>
                            <a:off x="1" y="311206"/>
                            <a:ext cx="3960000" cy="5945302"/>
                          </a:xfrm>
                          <a:custGeom>
                            <a:avLst/>
                            <a:gdLst/>
                            <a:ahLst/>
                            <a:cxnLst/>
                            <a:rect l="0" t="0" r="0" b="0"/>
                            <a:pathLst>
                              <a:path w="3960000" h="5945302">
                                <a:moveTo>
                                  <a:pt x="0" y="0"/>
                                </a:moveTo>
                                <a:lnTo>
                                  <a:pt x="3960000" y="0"/>
                                </a:lnTo>
                                <a:lnTo>
                                  <a:pt x="3960000" y="5945302"/>
                                </a:lnTo>
                                <a:lnTo>
                                  <a:pt x="0" y="5945302"/>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7513" name="Rectangle 17513"/>
                        <wps:cNvSpPr/>
                        <wps:spPr>
                          <a:xfrm rot="-10799999">
                            <a:off x="-1224436" y="6035263"/>
                            <a:ext cx="5122432" cy="142891"/>
                          </a:xfrm>
                          <a:prstGeom prst="rect">
                            <a:avLst/>
                          </a:prstGeom>
                          <a:ln>
                            <a:noFill/>
                          </a:ln>
                        </wps:spPr>
                        <wps:txbx>
                          <w:txbxContent>
                            <w:p w14:paraId="1B2055FD" w14:textId="77777777" w:rsidR="00B32EF2" w:rsidRDefault="00000000">
                              <w:r>
                                <w:rPr>
                                  <w:rFonts w:ascii="Arial" w:eastAsia="Arial" w:hAnsi="Arial" w:cs="Arial"/>
                                  <w:i/>
                                  <w:sz w:val="18"/>
                                </w:rPr>
                                <w:t xml:space="preserve">tamento dell’Agenzia delle entrate o del direttore regionale della stessa, </w:t>
                              </w:r>
                            </w:p>
                          </w:txbxContent>
                        </wps:txbx>
                        <wps:bodyPr horzOverflow="overflow" vert="horz" lIns="0" tIns="0" rIns="0" bIns="0" rtlCol="0">
                          <a:noAutofit/>
                        </wps:bodyPr>
                      </wps:wsp>
                      <wps:wsp>
                        <wps:cNvPr id="17514" name="Rectangle 17514"/>
                        <wps:cNvSpPr/>
                        <wps:spPr>
                          <a:xfrm rot="-10799999">
                            <a:off x="-1219072" y="5911934"/>
                            <a:ext cx="5100724" cy="142889"/>
                          </a:xfrm>
                          <a:prstGeom prst="rect">
                            <a:avLst/>
                          </a:prstGeom>
                          <a:ln>
                            <a:noFill/>
                          </a:ln>
                        </wps:spPr>
                        <wps:txbx>
                          <w:txbxContent>
                            <w:p w14:paraId="16AE251B" w14:textId="77777777" w:rsidR="00B32EF2" w:rsidRDefault="00000000">
                              <w:r>
                                <w:rPr>
                                  <w:rFonts w:ascii="Arial" w:eastAsia="Arial" w:hAnsi="Arial" w:cs="Arial"/>
                                  <w:i/>
                                  <w:sz w:val="18"/>
                                </w:rPr>
                                <w:t xml:space="preserve">ovvero, per il Corpo della guardia di finanza, del comandante regionale, ai </w:t>
                              </w:r>
                            </w:p>
                          </w:txbxContent>
                        </wps:txbx>
                        <wps:bodyPr horzOverflow="overflow" vert="horz" lIns="0" tIns="0" rIns="0" bIns="0" rtlCol="0">
                          <a:noAutofit/>
                        </wps:bodyPr>
                      </wps:wsp>
                      <wps:wsp>
                        <wps:cNvPr id="17515" name="Rectangle 17515"/>
                        <wps:cNvSpPr/>
                        <wps:spPr>
                          <a:xfrm rot="-10799999">
                            <a:off x="-1218981" y="5788605"/>
                            <a:ext cx="5100634" cy="142889"/>
                          </a:xfrm>
                          <a:prstGeom prst="rect">
                            <a:avLst/>
                          </a:prstGeom>
                          <a:ln>
                            <a:noFill/>
                          </a:ln>
                        </wps:spPr>
                        <wps:txbx>
                          <w:txbxContent>
                            <w:p w14:paraId="66FDB8EA" w14:textId="77777777" w:rsidR="00B32EF2" w:rsidRDefault="00000000">
                              <w:r>
                                <w:rPr>
                                  <w:rFonts w:ascii="Arial" w:eastAsia="Arial" w:hAnsi="Arial" w:cs="Arial"/>
                                  <w:i/>
                                  <w:sz w:val="18"/>
                                </w:rPr>
                                <w:t xml:space="preserve">soggetti sottoposti ad accertamento, ispezione o verifica il rilascio di una </w:t>
                              </w:r>
                            </w:p>
                          </w:txbxContent>
                        </wps:txbx>
                        <wps:bodyPr horzOverflow="overflow" vert="horz" lIns="0" tIns="0" rIns="0" bIns="0" rtlCol="0">
                          <a:noAutofit/>
                        </wps:bodyPr>
                      </wps:wsp>
                      <wps:wsp>
                        <wps:cNvPr id="17516" name="Rectangle 17516"/>
                        <wps:cNvSpPr/>
                        <wps:spPr>
                          <a:xfrm rot="-10799999">
                            <a:off x="-1227491" y="5665275"/>
                            <a:ext cx="5134974" cy="142889"/>
                          </a:xfrm>
                          <a:prstGeom prst="rect">
                            <a:avLst/>
                          </a:prstGeom>
                          <a:ln>
                            <a:noFill/>
                          </a:ln>
                        </wps:spPr>
                        <wps:txbx>
                          <w:txbxContent>
                            <w:p w14:paraId="11ABEA7C" w14:textId="77777777" w:rsidR="00B32EF2" w:rsidRDefault="00000000">
                              <w:r>
                                <w:rPr>
                                  <w:rFonts w:ascii="Arial" w:eastAsia="Arial" w:hAnsi="Arial" w:cs="Arial"/>
                                  <w:i/>
                                  <w:sz w:val="18"/>
                                </w:rPr>
                                <w:t xml:space="preserve">dichiarazione contenente l’indicazione della natura, del numero e degli </w:t>
                              </w:r>
                            </w:p>
                          </w:txbxContent>
                        </wps:txbx>
                        <wps:bodyPr horzOverflow="overflow" vert="horz" lIns="0" tIns="0" rIns="0" bIns="0" rtlCol="0">
                          <a:noAutofit/>
                        </wps:bodyPr>
                      </wps:wsp>
                      <wps:wsp>
                        <wps:cNvPr id="17517" name="Rectangle 17517"/>
                        <wps:cNvSpPr/>
                        <wps:spPr>
                          <a:xfrm rot="-10799999">
                            <a:off x="-1120701" y="5541945"/>
                            <a:ext cx="5002353" cy="142889"/>
                          </a:xfrm>
                          <a:prstGeom prst="rect">
                            <a:avLst/>
                          </a:prstGeom>
                          <a:ln>
                            <a:noFill/>
                          </a:ln>
                        </wps:spPr>
                        <wps:txbx>
                          <w:txbxContent>
                            <w:p w14:paraId="7E40AD73" w14:textId="77777777" w:rsidR="00B32EF2" w:rsidRDefault="00000000">
                              <w:r>
                                <w:rPr>
                                  <w:rFonts w:ascii="Arial" w:eastAsia="Arial" w:hAnsi="Arial" w:cs="Arial"/>
                                  <w:i/>
                                  <w:sz w:val="18"/>
                                </w:rPr>
                                <w:t>estremi identificativi dei rapporti intrattenuti con le banche, la società Po</w:t>
                              </w:r>
                            </w:p>
                          </w:txbxContent>
                        </wps:txbx>
                        <wps:bodyPr horzOverflow="overflow" vert="horz" lIns="0" tIns="0" rIns="0" bIns="0" rtlCol="0">
                          <a:noAutofit/>
                        </wps:bodyPr>
                      </wps:wsp>
                      <wps:wsp>
                        <wps:cNvPr id="17518" name="Rectangle 17518"/>
                        <wps:cNvSpPr/>
                        <wps:spPr>
                          <a:xfrm rot="-10799999">
                            <a:off x="65757" y="5541946"/>
                            <a:ext cx="50622" cy="142889"/>
                          </a:xfrm>
                          <a:prstGeom prst="rect">
                            <a:avLst/>
                          </a:prstGeom>
                          <a:ln>
                            <a:noFill/>
                          </a:ln>
                        </wps:spPr>
                        <wps:txbx>
                          <w:txbxContent>
                            <w:p w14:paraId="63658A7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519" name="Rectangle 17519"/>
                        <wps:cNvSpPr/>
                        <wps:spPr>
                          <a:xfrm rot="-10799999">
                            <a:off x="-1218936" y="5418616"/>
                            <a:ext cx="5100588" cy="142889"/>
                          </a:xfrm>
                          <a:prstGeom prst="rect">
                            <a:avLst/>
                          </a:prstGeom>
                          <a:ln>
                            <a:noFill/>
                          </a:ln>
                        </wps:spPr>
                        <wps:txbx>
                          <w:txbxContent>
                            <w:p w14:paraId="7EEF217C" w14:textId="77777777" w:rsidR="00B32EF2" w:rsidRDefault="00000000">
                              <w:r>
                                <w:rPr>
                                  <w:rFonts w:ascii="Arial" w:eastAsia="Arial" w:hAnsi="Arial" w:cs="Arial"/>
                                  <w:i/>
                                  <w:sz w:val="18"/>
                                </w:rPr>
                                <w:t xml:space="preserve">ste italiane Spa, gli intermediari finanziari, le imprese di investimento, gli </w:t>
                              </w:r>
                            </w:p>
                          </w:txbxContent>
                        </wps:txbx>
                        <wps:bodyPr horzOverflow="overflow" vert="horz" lIns="0" tIns="0" rIns="0" bIns="0" rtlCol="0">
                          <a:noAutofit/>
                        </wps:bodyPr>
                      </wps:wsp>
                      <wps:wsp>
                        <wps:cNvPr id="17520" name="Rectangle 17520"/>
                        <wps:cNvSpPr/>
                        <wps:spPr>
                          <a:xfrm rot="-10799999">
                            <a:off x="-1218908" y="5295286"/>
                            <a:ext cx="5099417" cy="142889"/>
                          </a:xfrm>
                          <a:prstGeom prst="rect">
                            <a:avLst/>
                          </a:prstGeom>
                          <a:ln>
                            <a:noFill/>
                          </a:ln>
                        </wps:spPr>
                        <wps:txbx>
                          <w:txbxContent>
                            <w:p w14:paraId="7BCDFBEB" w14:textId="77777777" w:rsidR="00B32EF2" w:rsidRDefault="00000000">
                              <w:r>
                                <w:rPr>
                                  <w:rFonts w:ascii="Arial" w:eastAsia="Arial" w:hAnsi="Arial" w:cs="Arial"/>
                                  <w:i/>
                                  <w:sz w:val="18"/>
                                </w:rPr>
                                <w:t xml:space="preserve">organismi di investimento collettivo del risparmio, le società di gestione del </w:t>
                              </w:r>
                            </w:p>
                          </w:txbxContent>
                        </wps:txbx>
                        <wps:bodyPr horzOverflow="overflow" vert="horz" lIns="0" tIns="0" rIns="0" bIns="0" rtlCol="0">
                          <a:noAutofit/>
                        </wps:bodyPr>
                      </wps:wsp>
                      <wps:wsp>
                        <wps:cNvPr id="17521" name="Rectangle 17521"/>
                        <wps:cNvSpPr/>
                        <wps:spPr>
                          <a:xfrm rot="-10799999">
                            <a:off x="-1218997" y="5171956"/>
                            <a:ext cx="5100648" cy="142889"/>
                          </a:xfrm>
                          <a:prstGeom prst="rect">
                            <a:avLst/>
                          </a:prstGeom>
                          <a:ln>
                            <a:noFill/>
                          </a:ln>
                        </wps:spPr>
                        <wps:txbx>
                          <w:txbxContent>
                            <w:p w14:paraId="308EFF14" w14:textId="77777777" w:rsidR="00B32EF2" w:rsidRDefault="00000000">
                              <w:r>
                                <w:rPr>
                                  <w:rFonts w:ascii="Arial" w:eastAsia="Arial" w:hAnsi="Arial" w:cs="Arial"/>
                                  <w:i/>
                                  <w:sz w:val="18"/>
                                </w:rPr>
                                <w:t xml:space="preserve">risparmio e le società fiduciarie, nazionali o stranieri, in corso ovvero estinti </w:t>
                              </w:r>
                            </w:p>
                          </w:txbxContent>
                        </wps:txbx>
                        <wps:bodyPr horzOverflow="overflow" vert="horz" lIns="0" tIns="0" rIns="0" bIns="0" rtlCol="0">
                          <a:noAutofit/>
                        </wps:bodyPr>
                      </wps:wsp>
                      <wps:wsp>
                        <wps:cNvPr id="17522" name="Rectangle 17522"/>
                        <wps:cNvSpPr/>
                        <wps:spPr>
                          <a:xfrm rot="-10799999">
                            <a:off x="-1221375" y="5048627"/>
                            <a:ext cx="5109314" cy="142889"/>
                          </a:xfrm>
                          <a:prstGeom prst="rect">
                            <a:avLst/>
                          </a:prstGeom>
                          <a:ln>
                            <a:noFill/>
                          </a:ln>
                        </wps:spPr>
                        <wps:txbx>
                          <w:txbxContent>
                            <w:p w14:paraId="3B2DA507" w14:textId="77777777" w:rsidR="00B32EF2" w:rsidRDefault="00000000">
                              <w:r>
                                <w:rPr>
                                  <w:rFonts w:ascii="Arial" w:eastAsia="Arial" w:hAnsi="Arial" w:cs="Arial"/>
                                  <w:i/>
                                  <w:sz w:val="18"/>
                                </w:rPr>
                                <w:t xml:space="preserve">da non più di cinque anni dalla data della richiesta. Il richiedente e coloro </w:t>
                              </w:r>
                            </w:p>
                          </w:txbxContent>
                        </wps:txbx>
                        <wps:bodyPr horzOverflow="overflow" vert="horz" lIns="0" tIns="0" rIns="0" bIns="0" rtlCol="0">
                          <a:noAutofit/>
                        </wps:bodyPr>
                      </wps:wsp>
                      <wps:wsp>
                        <wps:cNvPr id="17523" name="Rectangle 17523"/>
                        <wps:cNvSpPr/>
                        <wps:spPr>
                          <a:xfrm rot="-10799999">
                            <a:off x="-1217997" y="4925297"/>
                            <a:ext cx="5094963" cy="142889"/>
                          </a:xfrm>
                          <a:prstGeom prst="rect">
                            <a:avLst/>
                          </a:prstGeom>
                          <a:ln>
                            <a:noFill/>
                          </a:ln>
                        </wps:spPr>
                        <wps:txbx>
                          <w:txbxContent>
                            <w:p w14:paraId="4335E4CF" w14:textId="77777777" w:rsidR="00B32EF2" w:rsidRDefault="00000000">
                              <w:r>
                                <w:rPr>
                                  <w:rFonts w:ascii="Arial" w:eastAsia="Arial" w:hAnsi="Arial" w:cs="Arial"/>
                                  <w:i/>
                                  <w:sz w:val="18"/>
                                </w:rPr>
                                <w:t xml:space="preserve">che vengono in possesso dei dati raccolti devono assumere direttamente le </w:t>
                              </w:r>
                            </w:p>
                          </w:txbxContent>
                        </wps:txbx>
                        <wps:bodyPr horzOverflow="overflow" vert="horz" lIns="0" tIns="0" rIns="0" bIns="0" rtlCol="0">
                          <a:noAutofit/>
                        </wps:bodyPr>
                      </wps:wsp>
                      <wps:wsp>
                        <wps:cNvPr id="17524" name="Rectangle 17524"/>
                        <wps:cNvSpPr/>
                        <wps:spPr>
                          <a:xfrm rot="-10799999">
                            <a:off x="268934" y="4801967"/>
                            <a:ext cx="3612716" cy="142889"/>
                          </a:xfrm>
                          <a:prstGeom prst="rect">
                            <a:avLst/>
                          </a:prstGeom>
                          <a:ln>
                            <a:noFill/>
                          </a:ln>
                        </wps:spPr>
                        <wps:txbx>
                          <w:txbxContent>
                            <w:p w14:paraId="282F5322" w14:textId="77777777" w:rsidR="00B32EF2" w:rsidRDefault="00000000">
                              <w:r>
                                <w:rPr>
                                  <w:rFonts w:ascii="Arial" w:eastAsia="Arial" w:hAnsi="Arial" w:cs="Arial"/>
                                  <w:i/>
                                  <w:sz w:val="18"/>
                                </w:rPr>
                                <w:t>cautele necessarie alla riservatezza dei dati acquisiti;</w:t>
                              </w:r>
                            </w:p>
                          </w:txbxContent>
                        </wps:txbx>
                        <wps:bodyPr horzOverflow="overflow" vert="horz" lIns="0" tIns="0" rIns="0" bIns="0" rtlCol="0">
                          <a:noAutofit/>
                        </wps:bodyPr>
                      </wps:wsp>
                      <wps:wsp>
                        <wps:cNvPr id="200796" name="Rectangle 200796"/>
                        <wps:cNvSpPr/>
                        <wps:spPr>
                          <a:xfrm rot="-10799999">
                            <a:off x="2514309" y="4678638"/>
                            <a:ext cx="5095465" cy="142889"/>
                          </a:xfrm>
                          <a:prstGeom prst="rect">
                            <a:avLst/>
                          </a:prstGeom>
                          <a:ln>
                            <a:noFill/>
                          </a:ln>
                        </wps:spPr>
                        <wps:txbx>
                          <w:txbxContent>
                            <w:p w14:paraId="032E12E9" w14:textId="77777777" w:rsidR="00B32EF2" w:rsidRDefault="00000000">
                              <w:r>
                                <w:rPr>
                                  <w:rFonts w:ascii="Arial" w:eastAsia="Arial" w:hAnsi="Arial" w:cs="Arial"/>
                                  <w:i/>
                                  <w:sz w:val="18"/>
                                </w:rPr>
                                <w:t>7)</w:t>
                              </w:r>
                            </w:p>
                          </w:txbxContent>
                        </wps:txbx>
                        <wps:bodyPr horzOverflow="overflow" vert="horz" lIns="0" tIns="0" rIns="0" bIns="0" rtlCol="0">
                          <a:noAutofit/>
                        </wps:bodyPr>
                      </wps:wsp>
                      <wps:wsp>
                        <wps:cNvPr id="200797" name="Rectangle 200797"/>
                        <wps:cNvSpPr/>
                        <wps:spPr>
                          <a:xfrm rot="-10799999">
                            <a:off x="-1320752" y="4678638"/>
                            <a:ext cx="5095465" cy="142889"/>
                          </a:xfrm>
                          <a:prstGeom prst="rect">
                            <a:avLst/>
                          </a:prstGeom>
                          <a:ln>
                            <a:noFill/>
                          </a:ln>
                        </wps:spPr>
                        <wps:txbx>
                          <w:txbxContent>
                            <w:p w14:paraId="7D0E8185" w14:textId="77777777" w:rsidR="00B32EF2" w:rsidRDefault="00000000">
                              <w:r>
                                <w:rPr>
                                  <w:rFonts w:ascii="Arial" w:eastAsia="Arial" w:hAnsi="Arial" w:cs="Arial"/>
                                  <w:i/>
                                  <w:sz w:val="18"/>
                                </w:rPr>
                                <w:t xml:space="preserve"> richiedere, previa autorizzazione del direttore centrale dell’accertamento </w:t>
                              </w:r>
                            </w:p>
                          </w:txbxContent>
                        </wps:txbx>
                        <wps:bodyPr horzOverflow="overflow" vert="horz" lIns="0" tIns="0" rIns="0" bIns="0" rtlCol="0">
                          <a:noAutofit/>
                        </wps:bodyPr>
                      </wps:wsp>
                      <wps:wsp>
                        <wps:cNvPr id="17526" name="Rectangle 17526"/>
                        <wps:cNvSpPr/>
                        <wps:spPr>
                          <a:xfrm rot="-10799999">
                            <a:off x="-1218567" y="4555308"/>
                            <a:ext cx="5098733" cy="142889"/>
                          </a:xfrm>
                          <a:prstGeom prst="rect">
                            <a:avLst/>
                          </a:prstGeom>
                          <a:ln>
                            <a:noFill/>
                          </a:ln>
                        </wps:spPr>
                        <wps:txbx>
                          <w:txbxContent>
                            <w:p w14:paraId="7C877072" w14:textId="77777777" w:rsidR="00B32EF2" w:rsidRDefault="00000000">
                              <w:r>
                                <w:rPr>
                                  <w:rFonts w:ascii="Arial" w:eastAsia="Arial" w:hAnsi="Arial" w:cs="Arial"/>
                                  <w:i/>
                                  <w:sz w:val="18"/>
                                </w:rPr>
                                <w:t xml:space="preserve">dell’Agenzia delle entrate o del direttore regionale della stessa, ovvero, per </w:t>
                              </w:r>
                            </w:p>
                          </w:txbxContent>
                        </wps:txbx>
                        <wps:bodyPr horzOverflow="overflow" vert="horz" lIns="0" tIns="0" rIns="0" bIns="0" rtlCol="0">
                          <a:noAutofit/>
                        </wps:bodyPr>
                      </wps:wsp>
                      <wps:wsp>
                        <wps:cNvPr id="17527" name="Rectangle 17527"/>
                        <wps:cNvSpPr/>
                        <wps:spPr>
                          <a:xfrm rot="-10799999">
                            <a:off x="-1219194" y="4431978"/>
                            <a:ext cx="5100846" cy="142889"/>
                          </a:xfrm>
                          <a:prstGeom prst="rect">
                            <a:avLst/>
                          </a:prstGeom>
                          <a:ln>
                            <a:noFill/>
                          </a:ln>
                        </wps:spPr>
                        <wps:txbx>
                          <w:txbxContent>
                            <w:p w14:paraId="3D48D1FA" w14:textId="77777777" w:rsidR="00B32EF2" w:rsidRDefault="00000000">
                              <w:r>
                                <w:rPr>
                                  <w:rFonts w:ascii="Arial" w:eastAsia="Arial" w:hAnsi="Arial" w:cs="Arial"/>
                                  <w:i/>
                                  <w:sz w:val="18"/>
                                </w:rPr>
                                <w:t xml:space="preserve">il Corpo della guardia di finanza, del comandante regionale, alle banche, </w:t>
                              </w:r>
                            </w:p>
                          </w:txbxContent>
                        </wps:txbx>
                        <wps:bodyPr horzOverflow="overflow" vert="horz" lIns="0" tIns="0" rIns="0" bIns="0" rtlCol="0">
                          <a:noAutofit/>
                        </wps:bodyPr>
                      </wps:wsp>
                      <wps:wsp>
                        <wps:cNvPr id="17528" name="Rectangle 17528"/>
                        <wps:cNvSpPr/>
                        <wps:spPr>
                          <a:xfrm rot="-10799999">
                            <a:off x="-1219057" y="4308648"/>
                            <a:ext cx="5100709" cy="142889"/>
                          </a:xfrm>
                          <a:prstGeom prst="rect">
                            <a:avLst/>
                          </a:prstGeom>
                          <a:ln>
                            <a:noFill/>
                          </a:ln>
                        </wps:spPr>
                        <wps:txbx>
                          <w:txbxContent>
                            <w:p w14:paraId="4045766B" w14:textId="77777777" w:rsidR="00B32EF2" w:rsidRDefault="00000000">
                              <w:r>
                                <w:rPr>
                                  <w:rFonts w:ascii="Arial" w:eastAsia="Arial" w:hAnsi="Arial" w:cs="Arial"/>
                                  <w:i/>
                                  <w:sz w:val="18"/>
                                </w:rPr>
                                <w:t xml:space="preserve">alla società Poste italiane Spa, per le attività finanziarie e creditizie, alle </w:t>
                              </w:r>
                            </w:p>
                          </w:txbxContent>
                        </wps:txbx>
                        <wps:bodyPr horzOverflow="overflow" vert="horz" lIns="0" tIns="0" rIns="0" bIns="0" rtlCol="0">
                          <a:noAutofit/>
                        </wps:bodyPr>
                      </wps:wsp>
                      <wps:wsp>
                        <wps:cNvPr id="17529" name="Rectangle 17529"/>
                        <wps:cNvSpPr/>
                        <wps:spPr>
                          <a:xfrm rot="-10799999">
                            <a:off x="-1218996" y="4185319"/>
                            <a:ext cx="5100648" cy="142889"/>
                          </a:xfrm>
                          <a:prstGeom prst="rect">
                            <a:avLst/>
                          </a:prstGeom>
                          <a:ln>
                            <a:noFill/>
                          </a:ln>
                        </wps:spPr>
                        <wps:txbx>
                          <w:txbxContent>
                            <w:p w14:paraId="03FFB8A4" w14:textId="77777777" w:rsidR="00B32EF2" w:rsidRDefault="00000000">
                              <w:r>
                                <w:rPr>
                                  <w:rFonts w:ascii="Arial" w:eastAsia="Arial" w:hAnsi="Arial" w:cs="Arial"/>
                                  <w:i/>
                                  <w:sz w:val="18"/>
                                </w:rPr>
                                <w:t xml:space="preserve">società ed enti di assicurazione per le attività finanziarie, agli intermediari </w:t>
                              </w:r>
                            </w:p>
                          </w:txbxContent>
                        </wps:txbx>
                        <wps:bodyPr horzOverflow="overflow" vert="horz" lIns="0" tIns="0" rIns="0" bIns="0" rtlCol="0">
                          <a:noAutofit/>
                        </wps:bodyPr>
                      </wps:wsp>
                      <wps:wsp>
                        <wps:cNvPr id="17530" name="Rectangle 17530"/>
                        <wps:cNvSpPr/>
                        <wps:spPr>
                          <a:xfrm rot="-10799999">
                            <a:off x="-1122464" y="4061989"/>
                            <a:ext cx="5004116" cy="142889"/>
                          </a:xfrm>
                          <a:prstGeom prst="rect">
                            <a:avLst/>
                          </a:prstGeom>
                          <a:ln>
                            <a:noFill/>
                          </a:ln>
                        </wps:spPr>
                        <wps:txbx>
                          <w:txbxContent>
                            <w:p w14:paraId="38559BA7" w14:textId="77777777" w:rsidR="00B32EF2" w:rsidRDefault="00000000">
                              <w:r>
                                <w:rPr>
                                  <w:rFonts w:ascii="Arial" w:eastAsia="Arial" w:hAnsi="Arial" w:cs="Arial"/>
                                  <w:i/>
                                  <w:sz w:val="18"/>
                                </w:rPr>
                                <w:t>finanziari, alle imprese di investimento, agli organismi di investimento col</w:t>
                              </w:r>
                            </w:p>
                          </w:txbxContent>
                        </wps:txbx>
                        <wps:bodyPr horzOverflow="overflow" vert="horz" lIns="0" tIns="0" rIns="0" bIns="0" rtlCol="0">
                          <a:noAutofit/>
                        </wps:bodyPr>
                      </wps:wsp>
                      <wps:wsp>
                        <wps:cNvPr id="17531" name="Rectangle 17531"/>
                        <wps:cNvSpPr/>
                        <wps:spPr>
                          <a:xfrm rot="-10799999">
                            <a:off x="65757" y="4061989"/>
                            <a:ext cx="50622" cy="142889"/>
                          </a:xfrm>
                          <a:prstGeom prst="rect">
                            <a:avLst/>
                          </a:prstGeom>
                          <a:ln>
                            <a:noFill/>
                          </a:ln>
                        </wps:spPr>
                        <wps:txbx>
                          <w:txbxContent>
                            <w:p w14:paraId="2A7DA34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532" name="Rectangle 17532"/>
                        <wps:cNvSpPr/>
                        <wps:spPr>
                          <a:xfrm rot="-10799999">
                            <a:off x="-1224128" y="3938659"/>
                            <a:ext cx="5120639" cy="142889"/>
                          </a:xfrm>
                          <a:prstGeom prst="rect">
                            <a:avLst/>
                          </a:prstGeom>
                          <a:ln>
                            <a:noFill/>
                          </a:ln>
                        </wps:spPr>
                        <wps:txbx>
                          <w:txbxContent>
                            <w:p w14:paraId="11F693DF" w14:textId="77777777" w:rsidR="00B32EF2" w:rsidRDefault="00000000">
                              <w:r>
                                <w:rPr>
                                  <w:rFonts w:ascii="Arial" w:eastAsia="Arial" w:hAnsi="Arial" w:cs="Arial"/>
                                  <w:i/>
                                  <w:sz w:val="18"/>
                                </w:rPr>
                                <w:t xml:space="preserve">lettivo del risparmio, alle società di gestione del risparmio e alle società </w:t>
                              </w:r>
                            </w:p>
                          </w:txbxContent>
                        </wps:txbx>
                        <wps:bodyPr horzOverflow="overflow" vert="horz" lIns="0" tIns="0" rIns="0" bIns="0" rtlCol="0">
                          <a:noAutofit/>
                        </wps:bodyPr>
                      </wps:wsp>
                      <wps:wsp>
                        <wps:cNvPr id="17533" name="Rectangle 17533"/>
                        <wps:cNvSpPr/>
                        <wps:spPr>
                          <a:xfrm rot="-10799999">
                            <a:off x="-1219056" y="3815330"/>
                            <a:ext cx="5101165" cy="142889"/>
                          </a:xfrm>
                          <a:prstGeom prst="rect">
                            <a:avLst/>
                          </a:prstGeom>
                          <a:ln>
                            <a:noFill/>
                          </a:ln>
                        </wps:spPr>
                        <wps:txbx>
                          <w:txbxContent>
                            <w:p w14:paraId="25919CCA" w14:textId="77777777" w:rsidR="00B32EF2" w:rsidRDefault="00000000">
                              <w:r>
                                <w:rPr>
                                  <w:rFonts w:ascii="Arial" w:eastAsia="Arial" w:hAnsi="Arial" w:cs="Arial"/>
                                  <w:i/>
                                  <w:sz w:val="18"/>
                                </w:rPr>
                                <w:t xml:space="preserve">fiduciarie, dati, notizie e documenti relativi a qualsiasi rapporto intrattenuto </w:t>
                              </w:r>
                            </w:p>
                          </w:txbxContent>
                        </wps:txbx>
                        <wps:bodyPr horzOverflow="overflow" vert="horz" lIns="0" tIns="0" rIns="0" bIns="0" rtlCol="0">
                          <a:noAutofit/>
                        </wps:bodyPr>
                      </wps:wsp>
                      <wps:wsp>
                        <wps:cNvPr id="17534" name="Rectangle 17534"/>
                        <wps:cNvSpPr/>
                        <wps:spPr>
                          <a:xfrm rot="-10799999">
                            <a:off x="-1223986" y="3692000"/>
                            <a:ext cx="5119240" cy="142889"/>
                          </a:xfrm>
                          <a:prstGeom prst="rect">
                            <a:avLst/>
                          </a:prstGeom>
                          <a:ln>
                            <a:noFill/>
                          </a:ln>
                        </wps:spPr>
                        <wps:txbx>
                          <w:txbxContent>
                            <w:p w14:paraId="435AA112" w14:textId="77777777" w:rsidR="00B32EF2" w:rsidRDefault="00000000">
                              <w:r>
                                <w:rPr>
                                  <w:rFonts w:ascii="Arial" w:eastAsia="Arial" w:hAnsi="Arial" w:cs="Arial"/>
                                  <w:i/>
                                  <w:sz w:val="18"/>
                                </w:rPr>
                                <w:t xml:space="preserve">od operazione effettuata, ivi compresi i servizi prestati, con i loro clienti, </w:t>
                              </w:r>
                            </w:p>
                          </w:txbxContent>
                        </wps:txbx>
                        <wps:bodyPr horzOverflow="overflow" vert="horz" lIns="0" tIns="0" rIns="0" bIns="0" rtlCol="0">
                          <a:noAutofit/>
                        </wps:bodyPr>
                      </wps:wsp>
                      <wps:wsp>
                        <wps:cNvPr id="17535" name="Rectangle 17535"/>
                        <wps:cNvSpPr/>
                        <wps:spPr>
                          <a:xfrm rot="-10799999">
                            <a:off x="-1122875" y="3568671"/>
                            <a:ext cx="5004527" cy="142889"/>
                          </a:xfrm>
                          <a:prstGeom prst="rect">
                            <a:avLst/>
                          </a:prstGeom>
                          <a:ln>
                            <a:noFill/>
                          </a:ln>
                        </wps:spPr>
                        <wps:txbx>
                          <w:txbxContent>
                            <w:p w14:paraId="26EAF2CB" w14:textId="77777777" w:rsidR="00B32EF2" w:rsidRDefault="00000000">
                              <w:r>
                                <w:rPr>
                                  <w:rFonts w:ascii="Arial" w:eastAsia="Arial" w:hAnsi="Arial" w:cs="Arial"/>
                                  <w:i/>
                                  <w:sz w:val="18"/>
                                </w:rPr>
                                <w:t>nonchè alle garanzie prestate da terzi o dagli operatori finanziari sopra in</w:t>
                              </w:r>
                            </w:p>
                          </w:txbxContent>
                        </wps:txbx>
                        <wps:bodyPr horzOverflow="overflow" vert="horz" lIns="0" tIns="0" rIns="0" bIns="0" rtlCol="0">
                          <a:noAutofit/>
                        </wps:bodyPr>
                      </wps:wsp>
                      <wps:wsp>
                        <wps:cNvPr id="17536" name="Rectangle 17536"/>
                        <wps:cNvSpPr/>
                        <wps:spPr>
                          <a:xfrm rot="-10799999">
                            <a:off x="65757" y="3568670"/>
                            <a:ext cx="50622" cy="142889"/>
                          </a:xfrm>
                          <a:prstGeom prst="rect">
                            <a:avLst/>
                          </a:prstGeom>
                          <a:ln>
                            <a:noFill/>
                          </a:ln>
                        </wps:spPr>
                        <wps:txbx>
                          <w:txbxContent>
                            <w:p w14:paraId="755874E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537" name="Rectangle 17537"/>
                        <wps:cNvSpPr/>
                        <wps:spPr>
                          <a:xfrm rot="-10799999">
                            <a:off x="-1219042" y="3445341"/>
                            <a:ext cx="5100694" cy="142889"/>
                          </a:xfrm>
                          <a:prstGeom prst="rect">
                            <a:avLst/>
                          </a:prstGeom>
                          <a:ln>
                            <a:noFill/>
                          </a:ln>
                        </wps:spPr>
                        <wps:txbx>
                          <w:txbxContent>
                            <w:p w14:paraId="721DB78A" w14:textId="77777777" w:rsidR="00B32EF2" w:rsidRDefault="00000000">
                              <w:r>
                                <w:rPr>
                                  <w:rFonts w:ascii="Arial" w:eastAsia="Arial" w:hAnsi="Arial" w:cs="Arial"/>
                                  <w:i/>
                                  <w:sz w:val="18"/>
                                </w:rPr>
                                <w:t xml:space="preserve">dicati e le generalità dei soggetti per i quali gli stessi operatori finanziari </w:t>
                              </w:r>
                            </w:p>
                          </w:txbxContent>
                        </wps:txbx>
                        <wps:bodyPr horzOverflow="overflow" vert="horz" lIns="0" tIns="0" rIns="0" bIns="0" rtlCol="0">
                          <a:noAutofit/>
                        </wps:bodyPr>
                      </wps:wsp>
                      <wps:wsp>
                        <wps:cNvPr id="17538" name="Rectangle 17538"/>
                        <wps:cNvSpPr/>
                        <wps:spPr>
                          <a:xfrm rot="-10799999">
                            <a:off x="-1224326" y="3322011"/>
                            <a:ext cx="5120837" cy="142889"/>
                          </a:xfrm>
                          <a:prstGeom prst="rect">
                            <a:avLst/>
                          </a:prstGeom>
                          <a:ln>
                            <a:noFill/>
                          </a:ln>
                        </wps:spPr>
                        <wps:txbx>
                          <w:txbxContent>
                            <w:p w14:paraId="0435AC7C" w14:textId="77777777" w:rsidR="00B32EF2" w:rsidRDefault="00000000">
                              <w:r>
                                <w:rPr>
                                  <w:rFonts w:ascii="Arial" w:eastAsia="Arial" w:hAnsi="Arial" w:cs="Arial"/>
                                  <w:i/>
                                  <w:sz w:val="18"/>
                                </w:rPr>
                                <w:t xml:space="preserve">abbiano effettuato le suddette operazioni e servizi o con i quali abbiano </w:t>
                              </w:r>
                            </w:p>
                          </w:txbxContent>
                        </wps:txbx>
                        <wps:bodyPr horzOverflow="overflow" vert="horz" lIns="0" tIns="0" rIns="0" bIns="0" rtlCol="0">
                          <a:noAutofit/>
                        </wps:bodyPr>
                      </wps:wsp>
                      <wps:wsp>
                        <wps:cNvPr id="17539" name="Rectangle 17539"/>
                        <wps:cNvSpPr/>
                        <wps:spPr>
                          <a:xfrm rot="-10799999">
                            <a:off x="-1219026" y="3198682"/>
                            <a:ext cx="5100678" cy="142889"/>
                          </a:xfrm>
                          <a:prstGeom prst="rect">
                            <a:avLst/>
                          </a:prstGeom>
                          <a:ln>
                            <a:noFill/>
                          </a:ln>
                        </wps:spPr>
                        <wps:txbx>
                          <w:txbxContent>
                            <w:p w14:paraId="5C429ADE" w14:textId="77777777" w:rsidR="00B32EF2" w:rsidRDefault="00000000">
                              <w:r>
                                <w:rPr>
                                  <w:rFonts w:ascii="Arial" w:eastAsia="Arial" w:hAnsi="Arial" w:cs="Arial"/>
                                  <w:i/>
                                  <w:sz w:val="18"/>
                                </w:rPr>
                                <w:t xml:space="preserve">intrattenuto rapporti di natura finanziaria. Alle società fiduciarie di cui alla </w:t>
                              </w:r>
                            </w:p>
                          </w:txbxContent>
                        </wps:txbx>
                        <wps:bodyPr horzOverflow="overflow" vert="horz" lIns="0" tIns="0" rIns="0" bIns="0" rtlCol="0">
                          <a:noAutofit/>
                        </wps:bodyPr>
                      </wps:wsp>
                      <wps:wsp>
                        <wps:cNvPr id="17540" name="Rectangle 17540"/>
                        <wps:cNvSpPr/>
                        <wps:spPr>
                          <a:xfrm rot="-10799999">
                            <a:off x="-1218756" y="3075352"/>
                            <a:ext cx="5099265" cy="142889"/>
                          </a:xfrm>
                          <a:prstGeom prst="rect">
                            <a:avLst/>
                          </a:prstGeom>
                          <a:ln>
                            <a:noFill/>
                          </a:ln>
                        </wps:spPr>
                        <wps:txbx>
                          <w:txbxContent>
                            <w:p w14:paraId="57B88168" w14:textId="77777777" w:rsidR="00B32EF2" w:rsidRDefault="00000000">
                              <w:r>
                                <w:rPr>
                                  <w:rFonts w:ascii="Arial" w:eastAsia="Arial" w:hAnsi="Arial" w:cs="Arial"/>
                                  <w:i/>
                                  <w:sz w:val="18"/>
                                </w:rPr>
                                <w:t xml:space="preserve">legge 23 novembre 1939, n. 1966, e a quelle iscritte nella sezione speciale </w:t>
                              </w:r>
                            </w:p>
                          </w:txbxContent>
                        </wps:txbx>
                        <wps:bodyPr horzOverflow="overflow" vert="horz" lIns="0" tIns="0" rIns="0" bIns="0" rtlCol="0">
                          <a:noAutofit/>
                        </wps:bodyPr>
                      </wps:wsp>
                      <wps:wsp>
                        <wps:cNvPr id="17541" name="Rectangle 17541"/>
                        <wps:cNvSpPr/>
                        <wps:spPr>
                          <a:xfrm rot="-10799999">
                            <a:off x="-1121400" y="2952022"/>
                            <a:ext cx="5003053" cy="142889"/>
                          </a:xfrm>
                          <a:prstGeom prst="rect">
                            <a:avLst/>
                          </a:prstGeom>
                          <a:ln>
                            <a:noFill/>
                          </a:ln>
                        </wps:spPr>
                        <wps:txbx>
                          <w:txbxContent>
                            <w:p w14:paraId="030D5871" w14:textId="77777777" w:rsidR="00B32EF2" w:rsidRDefault="00000000">
                              <w:r>
                                <w:rPr>
                                  <w:rFonts w:ascii="Arial" w:eastAsia="Arial" w:hAnsi="Arial" w:cs="Arial"/>
                                  <w:i/>
                                  <w:sz w:val="18"/>
                                </w:rPr>
                                <w:t>dell’albo di cui all’ articolo 20 del testo unico delle disposizioni in mate</w:t>
                              </w:r>
                            </w:p>
                          </w:txbxContent>
                        </wps:txbx>
                        <wps:bodyPr horzOverflow="overflow" vert="horz" lIns="0" tIns="0" rIns="0" bIns="0" rtlCol="0">
                          <a:noAutofit/>
                        </wps:bodyPr>
                      </wps:wsp>
                      <wps:wsp>
                        <wps:cNvPr id="17542" name="Rectangle 17542"/>
                        <wps:cNvSpPr/>
                        <wps:spPr>
                          <a:xfrm rot="-10799999">
                            <a:off x="65757" y="2952022"/>
                            <a:ext cx="50622" cy="142889"/>
                          </a:xfrm>
                          <a:prstGeom prst="rect">
                            <a:avLst/>
                          </a:prstGeom>
                          <a:ln>
                            <a:noFill/>
                          </a:ln>
                        </wps:spPr>
                        <wps:txbx>
                          <w:txbxContent>
                            <w:p w14:paraId="40F5EF2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543" name="Rectangle 17543"/>
                        <wps:cNvSpPr/>
                        <wps:spPr>
                          <a:xfrm rot="-10799999">
                            <a:off x="-1218783" y="2828693"/>
                            <a:ext cx="5100435" cy="142889"/>
                          </a:xfrm>
                          <a:prstGeom prst="rect">
                            <a:avLst/>
                          </a:prstGeom>
                          <a:ln>
                            <a:noFill/>
                          </a:ln>
                        </wps:spPr>
                        <wps:txbx>
                          <w:txbxContent>
                            <w:p w14:paraId="0AE366C9" w14:textId="77777777" w:rsidR="00B32EF2" w:rsidRDefault="00000000">
                              <w:r>
                                <w:rPr>
                                  <w:rFonts w:ascii="Arial" w:eastAsia="Arial" w:hAnsi="Arial" w:cs="Arial"/>
                                  <w:i/>
                                  <w:sz w:val="18"/>
                                </w:rPr>
                                <w:t xml:space="preserve">ria di intermediazione finanziaria , di cui al decreto legislativo 24 febbraio </w:t>
                              </w:r>
                            </w:p>
                          </w:txbxContent>
                        </wps:txbx>
                        <wps:bodyPr horzOverflow="overflow" vert="horz" lIns="0" tIns="0" rIns="0" bIns="0" rtlCol="0">
                          <a:noAutofit/>
                        </wps:bodyPr>
                      </wps:wsp>
                      <wps:wsp>
                        <wps:cNvPr id="200794" name="Rectangle 200794"/>
                        <wps:cNvSpPr/>
                        <wps:spPr>
                          <a:xfrm rot="-10799999">
                            <a:off x="2360829" y="2705363"/>
                            <a:ext cx="5100663" cy="142889"/>
                          </a:xfrm>
                          <a:prstGeom prst="rect">
                            <a:avLst/>
                          </a:prstGeom>
                          <a:ln>
                            <a:noFill/>
                          </a:ln>
                        </wps:spPr>
                        <wps:txbx>
                          <w:txbxContent>
                            <w:p w14:paraId="5F7F251D" w14:textId="77777777" w:rsidR="00B32EF2" w:rsidRDefault="00000000">
                              <w:r>
                                <w:rPr>
                                  <w:rFonts w:ascii="Arial" w:eastAsia="Arial" w:hAnsi="Arial" w:cs="Arial"/>
                                  <w:i/>
                                  <w:sz w:val="18"/>
                                </w:rPr>
                                <w:t>1998</w:t>
                              </w:r>
                            </w:p>
                          </w:txbxContent>
                        </wps:txbx>
                        <wps:bodyPr horzOverflow="overflow" vert="horz" lIns="0" tIns="0" rIns="0" bIns="0" rtlCol="0">
                          <a:noAutofit/>
                        </wps:bodyPr>
                      </wps:wsp>
                      <wps:wsp>
                        <wps:cNvPr id="200795" name="Rectangle 200795"/>
                        <wps:cNvSpPr/>
                        <wps:spPr>
                          <a:xfrm rot="-10799999">
                            <a:off x="-1477386" y="2705362"/>
                            <a:ext cx="5100663" cy="142889"/>
                          </a:xfrm>
                          <a:prstGeom prst="rect">
                            <a:avLst/>
                          </a:prstGeom>
                          <a:ln>
                            <a:noFill/>
                          </a:ln>
                        </wps:spPr>
                        <wps:txbx>
                          <w:txbxContent>
                            <w:p w14:paraId="7685F685" w14:textId="77777777" w:rsidR="00B32EF2" w:rsidRDefault="00000000">
                              <w:r>
                                <w:rPr>
                                  <w:rFonts w:ascii="Arial" w:eastAsia="Arial" w:hAnsi="Arial" w:cs="Arial"/>
                                  <w:i/>
                                  <w:sz w:val="18"/>
                                </w:rPr>
                                <w:t xml:space="preserve">, n. 58, può essere richiesto, tra l’altro, specificando i periodi temporali </w:t>
                              </w:r>
                            </w:p>
                          </w:txbxContent>
                        </wps:txbx>
                        <wps:bodyPr horzOverflow="overflow" vert="horz" lIns="0" tIns="0" rIns="0" bIns="0" rtlCol="0">
                          <a:noAutofit/>
                        </wps:bodyPr>
                      </wps:wsp>
                      <wps:wsp>
                        <wps:cNvPr id="17545" name="Rectangle 17545"/>
                        <wps:cNvSpPr/>
                        <wps:spPr>
                          <a:xfrm rot="-10799999">
                            <a:off x="-1223299" y="2582032"/>
                            <a:ext cx="5119925" cy="142889"/>
                          </a:xfrm>
                          <a:prstGeom prst="rect">
                            <a:avLst/>
                          </a:prstGeom>
                          <a:ln>
                            <a:noFill/>
                          </a:ln>
                        </wps:spPr>
                        <wps:txbx>
                          <w:txbxContent>
                            <w:p w14:paraId="58E6DFAF" w14:textId="77777777" w:rsidR="00B32EF2" w:rsidRDefault="00000000">
                              <w:r>
                                <w:rPr>
                                  <w:rFonts w:ascii="Arial" w:eastAsia="Arial" w:hAnsi="Arial" w:cs="Arial"/>
                                  <w:i/>
                                  <w:sz w:val="18"/>
                                </w:rPr>
                                <w:t xml:space="preserve">di interesse, di comunicare le generalità dei soggetti per conto dei quali </w:t>
                              </w:r>
                            </w:p>
                          </w:txbxContent>
                        </wps:txbx>
                        <wps:bodyPr horzOverflow="overflow" vert="horz" lIns="0" tIns="0" rIns="0" bIns="0" rtlCol="0">
                          <a:noAutofit/>
                        </wps:bodyPr>
                      </wps:wsp>
                      <wps:wsp>
                        <wps:cNvPr id="17546" name="Rectangle 17546"/>
                        <wps:cNvSpPr/>
                        <wps:spPr>
                          <a:xfrm rot="-10799999">
                            <a:off x="-1218981" y="2458703"/>
                            <a:ext cx="5100634" cy="142889"/>
                          </a:xfrm>
                          <a:prstGeom prst="rect">
                            <a:avLst/>
                          </a:prstGeom>
                          <a:ln>
                            <a:noFill/>
                          </a:ln>
                        </wps:spPr>
                        <wps:txbx>
                          <w:txbxContent>
                            <w:p w14:paraId="670E4669" w14:textId="77777777" w:rsidR="00B32EF2" w:rsidRDefault="00000000">
                              <w:r>
                                <w:rPr>
                                  <w:rFonts w:ascii="Arial" w:eastAsia="Arial" w:hAnsi="Arial" w:cs="Arial"/>
                                  <w:i/>
                                  <w:sz w:val="18"/>
                                </w:rPr>
                                <w:t xml:space="preserve">esse hanno detenuto o amministrato o gestito beni, strumenti finanziari e </w:t>
                              </w:r>
                            </w:p>
                          </w:txbxContent>
                        </wps:txbx>
                        <wps:bodyPr horzOverflow="overflow" vert="horz" lIns="0" tIns="0" rIns="0" bIns="0" rtlCol="0">
                          <a:noAutofit/>
                        </wps:bodyPr>
                      </wps:wsp>
                      <wps:wsp>
                        <wps:cNvPr id="17547" name="Rectangle 17547"/>
                        <wps:cNvSpPr/>
                        <wps:spPr>
                          <a:xfrm rot="-10799999">
                            <a:off x="-1223916" y="2335373"/>
                            <a:ext cx="5119970" cy="142889"/>
                          </a:xfrm>
                          <a:prstGeom prst="rect">
                            <a:avLst/>
                          </a:prstGeom>
                          <a:ln>
                            <a:noFill/>
                          </a:ln>
                        </wps:spPr>
                        <wps:txbx>
                          <w:txbxContent>
                            <w:p w14:paraId="61CEFE1F" w14:textId="77777777" w:rsidR="00B32EF2" w:rsidRDefault="00000000">
                              <w:r>
                                <w:rPr>
                                  <w:rFonts w:ascii="Arial" w:eastAsia="Arial" w:hAnsi="Arial" w:cs="Arial"/>
                                  <w:i/>
                                  <w:sz w:val="18"/>
                                </w:rPr>
                                <w:t xml:space="preserve">partecipazioni in imprese, inequivocamente individuati. La richiesta deve </w:t>
                              </w:r>
                            </w:p>
                          </w:txbxContent>
                        </wps:txbx>
                        <wps:bodyPr horzOverflow="overflow" vert="horz" lIns="0" tIns="0" rIns="0" bIns="0" rtlCol="0">
                          <a:noAutofit/>
                        </wps:bodyPr>
                      </wps:wsp>
                      <wps:wsp>
                        <wps:cNvPr id="17548" name="Rectangle 17548"/>
                        <wps:cNvSpPr/>
                        <wps:spPr>
                          <a:xfrm rot="-10799999">
                            <a:off x="-1121081" y="2212043"/>
                            <a:ext cx="5002732" cy="142889"/>
                          </a:xfrm>
                          <a:prstGeom prst="rect">
                            <a:avLst/>
                          </a:prstGeom>
                          <a:ln>
                            <a:noFill/>
                          </a:ln>
                        </wps:spPr>
                        <wps:txbx>
                          <w:txbxContent>
                            <w:p w14:paraId="29EC55A0" w14:textId="77777777" w:rsidR="00B32EF2" w:rsidRDefault="00000000">
                              <w:r>
                                <w:rPr>
                                  <w:rFonts w:ascii="Arial" w:eastAsia="Arial" w:hAnsi="Arial" w:cs="Arial"/>
                                  <w:i/>
                                  <w:sz w:val="18"/>
                                </w:rPr>
                                <w:t>essere indirizzata al responsabile della struttura accentrata, ovvero al re</w:t>
                              </w:r>
                            </w:p>
                          </w:txbxContent>
                        </wps:txbx>
                        <wps:bodyPr horzOverflow="overflow" vert="horz" lIns="0" tIns="0" rIns="0" bIns="0" rtlCol="0">
                          <a:noAutofit/>
                        </wps:bodyPr>
                      </wps:wsp>
                      <wps:wsp>
                        <wps:cNvPr id="17549" name="Rectangle 17549"/>
                        <wps:cNvSpPr/>
                        <wps:spPr>
                          <a:xfrm rot="-10799999">
                            <a:off x="65757" y="2212044"/>
                            <a:ext cx="50622" cy="142889"/>
                          </a:xfrm>
                          <a:prstGeom prst="rect">
                            <a:avLst/>
                          </a:prstGeom>
                          <a:ln>
                            <a:noFill/>
                          </a:ln>
                        </wps:spPr>
                        <wps:txbx>
                          <w:txbxContent>
                            <w:p w14:paraId="3D0F321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550" name="Rectangle 17550"/>
                        <wps:cNvSpPr/>
                        <wps:spPr>
                          <a:xfrm rot="-10799999">
                            <a:off x="-1218996" y="2088714"/>
                            <a:ext cx="5100648" cy="142889"/>
                          </a:xfrm>
                          <a:prstGeom prst="rect">
                            <a:avLst/>
                          </a:prstGeom>
                          <a:ln>
                            <a:noFill/>
                          </a:ln>
                        </wps:spPr>
                        <wps:txbx>
                          <w:txbxContent>
                            <w:p w14:paraId="6647E5B2" w14:textId="77777777" w:rsidR="00B32EF2" w:rsidRDefault="00000000">
                              <w:r>
                                <w:rPr>
                                  <w:rFonts w:ascii="Arial" w:eastAsia="Arial" w:hAnsi="Arial" w:cs="Arial"/>
                                  <w:i/>
                                  <w:sz w:val="18"/>
                                </w:rPr>
                                <w:t xml:space="preserve">sponsabile della sede o dell’ufficio destinatario che ne dà notizia immediata </w:t>
                              </w:r>
                            </w:p>
                          </w:txbxContent>
                        </wps:txbx>
                        <wps:bodyPr horzOverflow="overflow" vert="horz" lIns="0" tIns="0" rIns="0" bIns="0" rtlCol="0">
                          <a:noAutofit/>
                        </wps:bodyPr>
                      </wps:wsp>
                      <wps:wsp>
                        <wps:cNvPr id="17551" name="Rectangle 17551"/>
                        <wps:cNvSpPr/>
                        <wps:spPr>
                          <a:xfrm rot="-10799999">
                            <a:off x="-1222584" y="1965384"/>
                            <a:ext cx="5116352" cy="142889"/>
                          </a:xfrm>
                          <a:prstGeom prst="rect">
                            <a:avLst/>
                          </a:prstGeom>
                          <a:ln>
                            <a:noFill/>
                          </a:ln>
                        </wps:spPr>
                        <wps:txbx>
                          <w:txbxContent>
                            <w:p w14:paraId="14D7F68C" w14:textId="77777777" w:rsidR="00B32EF2" w:rsidRDefault="00000000">
                              <w:r>
                                <w:rPr>
                                  <w:rFonts w:ascii="Arial" w:eastAsia="Arial" w:hAnsi="Arial" w:cs="Arial"/>
                                  <w:i/>
                                  <w:sz w:val="18"/>
                                </w:rPr>
                                <w:t xml:space="preserve">al soggetto interessato; la relativa risposta deve essere inviata al titolare </w:t>
                              </w:r>
                            </w:p>
                          </w:txbxContent>
                        </wps:txbx>
                        <wps:bodyPr horzOverflow="overflow" vert="horz" lIns="0" tIns="0" rIns="0" bIns="0" rtlCol="0">
                          <a:noAutofit/>
                        </wps:bodyPr>
                      </wps:wsp>
                      <wps:wsp>
                        <wps:cNvPr id="17552" name="Rectangle 17552"/>
                        <wps:cNvSpPr/>
                        <wps:spPr>
                          <a:xfrm rot="-10799999">
                            <a:off x="2344056" y="1842055"/>
                            <a:ext cx="1538281" cy="142889"/>
                          </a:xfrm>
                          <a:prstGeom prst="rect">
                            <a:avLst/>
                          </a:prstGeom>
                          <a:ln>
                            <a:noFill/>
                          </a:ln>
                        </wps:spPr>
                        <wps:txbx>
                          <w:txbxContent>
                            <w:p w14:paraId="4D891A3A" w14:textId="77777777" w:rsidR="00B32EF2" w:rsidRDefault="00000000">
                              <w:r>
                                <w:rPr>
                                  <w:rFonts w:ascii="Arial" w:eastAsia="Arial" w:hAnsi="Arial" w:cs="Arial"/>
                                  <w:i/>
                                  <w:sz w:val="18"/>
                                </w:rPr>
                                <w:t>dell’ufficio procedente;</w:t>
                              </w:r>
                            </w:p>
                          </w:txbxContent>
                        </wps:txbx>
                        <wps:bodyPr horzOverflow="overflow" vert="horz" lIns="0" tIns="0" rIns="0" bIns="0" rtlCol="0">
                          <a:noAutofit/>
                        </wps:bodyPr>
                      </wps:wsp>
                      <wps:wsp>
                        <wps:cNvPr id="200792" name="Rectangle 200792"/>
                        <wps:cNvSpPr/>
                        <wps:spPr>
                          <a:xfrm rot="-10799999">
                            <a:off x="2543141" y="1718725"/>
                            <a:ext cx="5004557" cy="142889"/>
                          </a:xfrm>
                          <a:prstGeom prst="rect">
                            <a:avLst/>
                          </a:prstGeom>
                          <a:ln>
                            <a:noFill/>
                          </a:ln>
                        </wps:spPr>
                        <wps:txbx>
                          <w:txbxContent>
                            <w:p w14:paraId="21BE1AAF" w14:textId="77777777" w:rsidR="00B32EF2" w:rsidRDefault="00000000">
                              <w:r>
                                <w:rPr>
                                  <w:rFonts w:ascii="Arial" w:eastAsia="Arial" w:hAnsi="Arial" w:cs="Arial"/>
                                  <w:i/>
                                  <w:sz w:val="18"/>
                                </w:rPr>
                                <w:t>7-</w:t>
                              </w:r>
                            </w:p>
                          </w:txbxContent>
                        </wps:txbx>
                        <wps:bodyPr horzOverflow="overflow" vert="horz" lIns="0" tIns="0" rIns="0" bIns="0" rtlCol="0">
                          <a:noAutofit/>
                        </wps:bodyPr>
                      </wps:wsp>
                      <wps:wsp>
                        <wps:cNvPr id="200793" name="Rectangle 200793"/>
                        <wps:cNvSpPr/>
                        <wps:spPr>
                          <a:xfrm rot="-10799999">
                            <a:off x="-1223500" y="1718725"/>
                            <a:ext cx="5004557" cy="142889"/>
                          </a:xfrm>
                          <a:prstGeom prst="rect">
                            <a:avLst/>
                          </a:prstGeom>
                          <a:ln>
                            <a:noFill/>
                          </a:ln>
                        </wps:spPr>
                        <wps:txbx>
                          <w:txbxContent>
                            <w:p w14:paraId="7E39B75B" w14:textId="77777777" w:rsidR="00B32EF2" w:rsidRDefault="00000000">
                              <w:r>
                                <w:rPr>
                                  <w:rFonts w:ascii="Arial" w:eastAsia="Arial" w:hAnsi="Arial" w:cs="Arial"/>
                                  <w:i/>
                                  <w:sz w:val="18"/>
                                </w:rPr>
                                <w:t>bis) richiedere, con modalità stabilite con decreto di natura non regola</w:t>
                              </w:r>
                            </w:p>
                          </w:txbxContent>
                        </wps:txbx>
                        <wps:bodyPr horzOverflow="overflow" vert="horz" lIns="0" tIns="0" rIns="0" bIns="0" rtlCol="0">
                          <a:noAutofit/>
                        </wps:bodyPr>
                      </wps:wsp>
                      <wps:wsp>
                        <wps:cNvPr id="17554" name="Rectangle 17554"/>
                        <wps:cNvSpPr/>
                        <wps:spPr>
                          <a:xfrm rot="-10799999">
                            <a:off x="65757" y="1718725"/>
                            <a:ext cx="50622" cy="142889"/>
                          </a:xfrm>
                          <a:prstGeom prst="rect">
                            <a:avLst/>
                          </a:prstGeom>
                          <a:ln>
                            <a:noFill/>
                          </a:ln>
                        </wps:spPr>
                        <wps:txbx>
                          <w:txbxContent>
                            <w:p w14:paraId="2679181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555" name="Rectangle 17555"/>
                        <wps:cNvSpPr/>
                        <wps:spPr>
                          <a:xfrm rot="-10799999">
                            <a:off x="-1218997" y="1595395"/>
                            <a:ext cx="5100648" cy="142889"/>
                          </a:xfrm>
                          <a:prstGeom prst="rect">
                            <a:avLst/>
                          </a:prstGeom>
                          <a:ln>
                            <a:noFill/>
                          </a:ln>
                        </wps:spPr>
                        <wps:txbx>
                          <w:txbxContent>
                            <w:p w14:paraId="44D05254" w14:textId="77777777" w:rsidR="00B32EF2" w:rsidRDefault="00000000">
                              <w:r>
                                <w:rPr>
                                  <w:rFonts w:ascii="Arial" w:eastAsia="Arial" w:hAnsi="Arial" w:cs="Arial"/>
                                  <w:i/>
                                  <w:sz w:val="18"/>
                                </w:rPr>
                                <w:t xml:space="preserve">mentare del Ministro dell’economia e delle finanze, da adottare d’intesa con </w:t>
                              </w:r>
                            </w:p>
                          </w:txbxContent>
                        </wps:txbx>
                        <wps:bodyPr horzOverflow="overflow" vert="horz" lIns="0" tIns="0" rIns="0" bIns="0" rtlCol="0">
                          <a:noAutofit/>
                        </wps:bodyPr>
                      </wps:wsp>
                      <wps:wsp>
                        <wps:cNvPr id="17556" name="Rectangle 17556"/>
                        <wps:cNvSpPr/>
                        <wps:spPr>
                          <a:xfrm rot="-10799999">
                            <a:off x="-1219632" y="1472065"/>
                            <a:ext cx="5105284" cy="142889"/>
                          </a:xfrm>
                          <a:prstGeom prst="rect">
                            <a:avLst/>
                          </a:prstGeom>
                          <a:ln>
                            <a:noFill/>
                          </a:ln>
                        </wps:spPr>
                        <wps:txbx>
                          <w:txbxContent>
                            <w:p w14:paraId="3D7F964E" w14:textId="77777777" w:rsidR="00B32EF2" w:rsidRDefault="00000000">
                              <w:r>
                                <w:rPr>
                                  <w:rFonts w:ascii="Arial" w:eastAsia="Arial" w:hAnsi="Arial" w:cs="Arial"/>
                                  <w:i/>
                                  <w:sz w:val="18"/>
                                </w:rPr>
                                <w:t xml:space="preserve">l’Autorità di vigilanza in coerenza con le regole europee e internazionali in </w:t>
                              </w:r>
                            </w:p>
                          </w:txbxContent>
                        </wps:txbx>
                        <wps:bodyPr horzOverflow="overflow" vert="horz" lIns="0" tIns="0" rIns="0" bIns="0" rtlCol="0">
                          <a:noAutofit/>
                        </wps:bodyPr>
                      </wps:wsp>
                      <wps:wsp>
                        <wps:cNvPr id="17557" name="Rectangle 17557"/>
                        <wps:cNvSpPr/>
                        <wps:spPr>
                          <a:xfrm rot="-10799999">
                            <a:off x="-1122708" y="1348736"/>
                            <a:ext cx="5004360" cy="142889"/>
                          </a:xfrm>
                          <a:prstGeom prst="rect">
                            <a:avLst/>
                          </a:prstGeom>
                          <a:ln>
                            <a:noFill/>
                          </a:ln>
                        </wps:spPr>
                        <wps:txbx>
                          <w:txbxContent>
                            <w:p w14:paraId="7E614120" w14:textId="77777777" w:rsidR="00B32EF2" w:rsidRDefault="00000000">
                              <w:r>
                                <w:rPr>
                                  <w:rFonts w:ascii="Arial" w:eastAsia="Arial" w:hAnsi="Arial" w:cs="Arial"/>
                                  <w:i/>
                                  <w:sz w:val="18"/>
                                </w:rPr>
                                <w:t>materia di vigilanza e, comunque, previa autorizzazione del direttore cen</w:t>
                              </w:r>
                            </w:p>
                          </w:txbxContent>
                        </wps:txbx>
                        <wps:bodyPr horzOverflow="overflow" vert="horz" lIns="0" tIns="0" rIns="0" bIns="0" rtlCol="0">
                          <a:noAutofit/>
                        </wps:bodyPr>
                      </wps:wsp>
                      <wps:wsp>
                        <wps:cNvPr id="17558" name="Rectangle 17558"/>
                        <wps:cNvSpPr/>
                        <wps:spPr>
                          <a:xfrm rot="-10799999">
                            <a:off x="65757" y="1348736"/>
                            <a:ext cx="50622" cy="142889"/>
                          </a:xfrm>
                          <a:prstGeom prst="rect">
                            <a:avLst/>
                          </a:prstGeom>
                          <a:ln>
                            <a:noFill/>
                          </a:ln>
                        </wps:spPr>
                        <wps:txbx>
                          <w:txbxContent>
                            <w:p w14:paraId="1AF9008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559" name="Rectangle 17559"/>
                        <wps:cNvSpPr/>
                        <wps:spPr>
                          <a:xfrm rot="-10799999">
                            <a:off x="-1221666" y="1225406"/>
                            <a:ext cx="5111776" cy="142890"/>
                          </a:xfrm>
                          <a:prstGeom prst="rect">
                            <a:avLst/>
                          </a:prstGeom>
                          <a:ln>
                            <a:noFill/>
                          </a:ln>
                        </wps:spPr>
                        <wps:txbx>
                          <w:txbxContent>
                            <w:p w14:paraId="54BC88C2" w14:textId="77777777" w:rsidR="00B32EF2" w:rsidRDefault="00000000">
                              <w:r>
                                <w:rPr>
                                  <w:rFonts w:ascii="Arial" w:eastAsia="Arial" w:hAnsi="Arial" w:cs="Arial"/>
                                  <w:i/>
                                  <w:sz w:val="18"/>
                                </w:rPr>
                                <w:t xml:space="preserve">trale dell’accertamento dell’Agenzia delle entrate o del direttore regionale </w:t>
                              </w:r>
                            </w:p>
                          </w:txbxContent>
                        </wps:txbx>
                        <wps:bodyPr horzOverflow="overflow" vert="horz" lIns="0" tIns="0" rIns="0" bIns="0" rtlCol="0">
                          <a:noAutofit/>
                        </wps:bodyPr>
                      </wps:wsp>
                      <wps:wsp>
                        <wps:cNvPr id="17560" name="Rectangle 17560"/>
                        <wps:cNvSpPr/>
                        <wps:spPr>
                          <a:xfrm rot="-10799999">
                            <a:off x="-1219012" y="1102076"/>
                            <a:ext cx="5100663" cy="142889"/>
                          </a:xfrm>
                          <a:prstGeom prst="rect">
                            <a:avLst/>
                          </a:prstGeom>
                          <a:ln>
                            <a:noFill/>
                          </a:ln>
                        </wps:spPr>
                        <wps:txbx>
                          <w:txbxContent>
                            <w:p w14:paraId="61494A6D" w14:textId="77777777" w:rsidR="00B32EF2" w:rsidRDefault="00000000">
                              <w:r>
                                <w:rPr>
                                  <w:rFonts w:ascii="Arial" w:eastAsia="Arial" w:hAnsi="Arial" w:cs="Arial"/>
                                  <w:i/>
                                  <w:sz w:val="18"/>
                                </w:rPr>
                                <w:t xml:space="preserve">della stessa, ovvero, per il Corpo della guardia di finanza, del comandante </w:t>
                              </w:r>
                            </w:p>
                          </w:txbxContent>
                        </wps:txbx>
                        <wps:bodyPr horzOverflow="overflow" vert="horz" lIns="0" tIns="0" rIns="0" bIns="0" rtlCol="0">
                          <a:noAutofit/>
                        </wps:bodyPr>
                      </wps:wsp>
                      <wps:wsp>
                        <wps:cNvPr id="17561" name="Rectangle 17561"/>
                        <wps:cNvSpPr/>
                        <wps:spPr>
                          <a:xfrm rot="-10799999">
                            <a:off x="-1122662" y="978747"/>
                            <a:ext cx="5004314" cy="142889"/>
                          </a:xfrm>
                          <a:prstGeom prst="rect">
                            <a:avLst/>
                          </a:prstGeom>
                          <a:ln>
                            <a:noFill/>
                          </a:ln>
                        </wps:spPr>
                        <wps:txbx>
                          <w:txbxContent>
                            <w:p w14:paraId="00122E04" w14:textId="77777777" w:rsidR="00B32EF2" w:rsidRDefault="00000000">
                              <w:r>
                                <w:rPr>
                                  <w:rFonts w:ascii="Arial" w:eastAsia="Arial" w:hAnsi="Arial" w:cs="Arial"/>
                                  <w:i/>
                                  <w:sz w:val="18"/>
                                </w:rPr>
                                <w:t>regionale, ad autorità ed enti, notizie, dati, documenti e informazioni di na</w:t>
                              </w:r>
                            </w:p>
                          </w:txbxContent>
                        </wps:txbx>
                        <wps:bodyPr horzOverflow="overflow" vert="horz" lIns="0" tIns="0" rIns="0" bIns="0" rtlCol="0">
                          <a:noAutofit/>
                        </wps:bodyPr>
                      </wps:wsp>
                      <wps:wsp>
                        <wps:cNvPr id="17562" name="Rectangle 17562"/>
                        <wps:cNvSpPr/>
                        <wps:spPr>
                          <a:xfrm rot="-10799999">
                            <a:off x="65757" y="978747"/>
                            <a:ext cx="50622" cy="142889"/>
                          </a:xfrm>
                          <a:prstGeom prst="rect">
                            <a:avLst/>
                          </a:prstGeom>
                          <a:ln>
                            <a:noFill/>
                          </a:ln>
                        </wps:spPr>
                        <wps:txbx>
                          <w:txbxContent>
                            <w:p w14:paraId="34277A8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563" name="Rectangle 17563"/>
                        <wps:cNvSpPr/>
                        <wps:spPr>
                          <a:xfrm rot="-10799999">
                            <a:off x="-1218966" y="855417"/>
                            <a:ext cx="5100618" cy="142889"/>
                          </a:xfrm>
                          <a:prstGeom prst="rect">
                            <a:avLst/>
                          </a:prstGeom>
                          <a:ln>
                            <a:noFill/>
                          </a:ln>
                        </wps:spPr>
                        <wps:txbx>
                          <w:txbxContent>
                            <w:p w14:paraId="02F5BBD2" w14:textId="77777777" w:rsidR="00B32EF2" w:rsidRDefault="00000000">
                              <w:r>
                                <w:rPr>
                                  <w:rFonts w:ascii="Arial" w:eastAsia="Arial" w:hAnsi="Arial" w:cs="Arial"/>
                                  <w:i/>
                                  <w:sz w:val="18"/>
                                </w:rPr>
                                <w:t xml:space="preserve">tura creditizia, finanziaria e assicurativa, relativi alle attività di controllo e </w:t>
                              </w:r>
                            </w:p>
                          </w:txbxContent>
                        </wps:txbx>
                        <wps:bodyPr horzOverflow="overflow" vert="horz" lIns="0" tIns="0" rIns="0" bIns="0" rtlCol="0">
                          <a:noAutofit/>
                        </wps:bodyPr>
                      </wps:wsp>
                      <wps:wsp>
                        <wps:cNvPr id="17564" name="Rectangle 17564"/>
                        <wps:cNvSpPr/>
                        <wps:spPr>
                          <a:xfrm rot="-10799999">
                            <a:off x="-1219026" y="732087"/>
                            <a:ext cx="5100678" cy="142889"/>
                          </a:xfrm>
                          <a:prstGeom prst="rect">
                            <a:avLst/>
                          </a:prstGeom>
                          <a:ln>
                            <a:noFill/>
                          </a:ln>
                        </wps:spPr>
                        <wps:txbx>
                          <w:txbxContent>
                            <w:p w14:paraId="4CC1956D" w14:textId="77777777" w:rsidR="00B32EF2" w:rsidRDefault="00000000">
                              <w:r>
                                <w:rPr>
                                  <w:rFonts w:ascii="Arial" w:eastAsia="Arial" w:hAnsi="Arial" w:cs="Arial"/>
                                  <w:i/>
                                  <w:sz w:val="18"/>
                                </w:rPr>
                                <w:t xml:space="preserve">di vigilanza svolte dagli stessi, anche in deroga a specifiche disposizioni </w:t>
                              </w:r>
                            </w:p>
                          </w:txbxContent>
                        </wps:txbx>
                        <wps:bodyPr horzOverflow="overflow" vert="horz" lIns="0" tIns="0" rIns="0" bIns="0" rtlCol="0">
                          <a:noAutofit/>
                        </wps:bodyPr>
                      </wps:wsp>
                      <wps:wsp>
                        <wps:cNvPr id="17565" name="Rectangle 17565"/>
                        <wps:cNvSpPr/>
                        <wps:spPr>
                          <a:xfrm rot="-10799999">
                            <a:off x="3300834" y="608758"/>
                            <a:ext cx="581503" cy="142888"/>
                          </a:xfrm>
                          <a:prstGeom prst="rect">
                            <a:avLst/>
                          </a:prstGeom>
                          <a:ln>
                            <a:noFill/>
                          </a:ln>
                        </wps:spPr>
                        <wps:txbx>
                          <w:txbxContent>
                            <w:p w14:paraId="2614EED1" w14:textId="77777777" w:rsidR="00B32EF2" w:rsidRDefault="00000000">
                              <w:r>
                                <w:rPr>
                                  <w:rFonts w:ascii="Arial" w:eastAsia="Arial" w:hAnsi="Arial" w:cs="Arial"/>
                                  <w:i/>
                                  <w:sz w:val="18"/>
                                </w:rPr>
                                <w:t>di legge.</w:t>
                              </w:r>
                            </w:p>
                          </w:txbxContent>
                        </wps:txbx>
                        <wps:bodyPr horzOverflow="overflow" vert="horz" lIns="0" tIns="0" rIns="0" bIns="0" rtlCol="0">
                          <a:noAutofit/>
                        </wps:bodyPr>
                      </wps:wsp>
                      <wps:wsp>
                        <wps:cNvPr id="200791" name="Rectangle 200791"/>
                        <wps:cNvSpPr/>
                        <wps:spPr>
                          <a:xfrm rot="-10799999">
                            <a:off x="-1284143" y="485428"/>
                            <a:ext cx="5104038" cy="142889"/>
                          </a:xfrm>
                          <a:prstGeom prst="rect">
                            <a:avLst/>
                          </a:prstGeom>
                          <a:ln>
                            <a:noFill/>
                          </a:ln>
                        </wps:spPr>
                        <wps:txbx>
                          <w:txbxContent>
                            <w:p w14:paraId="6F9B08F9" w14:textId="77777777" w:rsidR="00B32EF2" w:rsidRDefault="00000000">
                              <w:r>
                                <w:rPr>
                                  <w:rFonts w:ascii="Arial" w:eastAsia="Arial" w:hAnsi="Arial" w:cs="Arial"/>
                                  <w:i/>
                                  <w:sz w:val="18"/>
                                </w:rPr>
                                <w:t xml:space="preserve">. Gli inviti e le richieste di cui al precedente comma devono essere fatti a </w:t>
                              </w:r>
                            </w:p>
                          </w:txbxContent>
                        </wps:txbx>
                        <wps:bodyPr horzOverflow="overflow" vert="horz" lIns="0" tIns="0" rIns="0" bIns="0" rtlCol="0">
                          <a:noAutofit/>
                        </wps:bodyPr>
                      </wps:wsp>
                      <wps:wsp>
                        <wps:cNvPr id="200790" name="Rectangle 200790"/>
                        <wps:cNvSpPr/>
                        <wps:spPr>
                          <a:xfrm rot="-10799999">
                            <a:off x="2551685" y="485428"/>
                            <a:ext cx="5104038" cy="142889"/>
                          </a:xfrm>
                          <a:prstGeom prst="rect">
                            <a:avLst/>
                          </a:prstGeom>
                          <a:ln>
                            <a:noFill/>
                          </a:ln>
                        </wps:spPr>
                        <wps:txbx>
                          <w:txbxContent>
                            <w:p w14:paraId="026457C5"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17567" name="Rectangle 17567"/>
                        <wps:cNvSpPr/>
                        <wps:spPr>
                          <a:xfrm rot="-10799999">
                            <a:off x="-1122282" y="362098"/>
                            <a:ext cx="5003934" cy="142889"/>
                          </a:xfrm>
                          <a:prstGeom prst="rect">
                            <a:avLst/>
                          </a:prstGeom>
                          <a:ln>
                            <a:noFill/>
                          </a:ln>
                        </wps:spPr>
                        <wps:txbx>
                          <w:txbxContent>
                            <w:p w14:paraId="197A3738" w14:textId="77777777" w:rsidR="00B32EF2" w:rsidRDefault="00000000">
                              <w:r>
                                <w:rPr>
                                  <w:rFonts w:ascii="Arial" w:eastAsia="Arial" w:hAnsi="Arial" w:cs="Arial"/>
                                  <w:i/>
                                  <w:sz w:val="18"/>
                                </w:rPr>
                                <w:t>mezzo di raccomandata con avviso di ricevimento fissando per l’adempi</w:t>
                              </w:r>
                            </w:p>
                          </w:txbxContent>
                        </wps:txbx>
                        <wps:bodyPr horzOverflow="overflow" vert="horz" lIns="0" tIns="0" rIns="0" bIns="0" rtlCol="0">
                          <a:noAutofit/>
                        </wps:bodyPr>
                      </wps:wsp>
                      <wps:wsp>
                        <wps:cNvPr id="17568" name="Rectangle 17568"/>
                        <wps:cNvSpPr/>
                        <wps:spPr>
                          <a:xfrm rot="-10799999">
                            <a:off x="65757" y="362098"/>
                            <a:ext cx="50622" cy="142889"/>
                          </a:xfrm>
                          <a:prstGeom prst="rect">
                            <a:avLst/>
                          </a:prstGeom>
                          <a:ln>
                            <a:noFill/>
                          </a:ln>
                        </wps:spPr>
                        <wps:txbx>
                          <w:txbxContent>
                            <w:p w14:paraId="5A81B4E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569" name="Shape 17569"/>
                        <wps:cNvSpPr/>
                        <wps:spPr>
                          <a:xfrm>
                            <a:off x="0" y="311208"/>
                            <a:ext cx="3960000" cy="5945302"/>
                          </a:xfrm>
                          <a:custGeom>
                            <a:avLst/>
                            <a:gdLst/>
                            <a:ahLst/>
                            <a:cxnLst/>
                            <a:rect l="0" t="0" r="0" b="0"/>
                            <a:pathLst>
                              <a:path w="3960000" h="5945302">
                                <a:moveTo>
                                  <a:pt x="0" y="5945302"/>
                                </a:moveTo>
                                <a:lnTo>
                                  <a:pt x="3960000" y="5945302"/>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31CA9AC" id="Group 200886" o:spid="_x0000_s3254" style="width:311.8pt;height:492.65pt;mso-position-horizontal-relative:char;mso-position-vertical-relative:line" coordsize="39600,6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zavsgsAAKd+AAAOAAAAZHJzL2Uyb0RvYy54bWzkXe2O27gV/V+g72D4/2T4IVLSIJNFke0G&#10;BYruYnf7ABqPPTYgW4bsZCZ9+p5LUpQsc7aBhB0GZQKMZVmipHt0vw4vyfc/vOzrxZd1e9o1h/sl&#10;f8eWi/Vh1TzuDk/3y3///tNNsVycztXhsaqbw/p++XV9Wv7w4a9/ef98vFuLZtvUj+t2gUYOp7vn&#10;4/1yez4f725vT6vtel+d3jXH9QE/bpp2X53xtX26fWyrZ7S+r28FY/r2uWkfj22zWp9O2Puj/XH5&#10;wbS/2axX5583m9P6vKjvl7i3s/nbmr8P9Pf2w/vq7qmtjtvdyt1GNeEu9tXugIv6pn6sztXic7u7&#10;amq/W7XNqdmc362a/W2z2exWa/MMeBrORk/zqW0+H82zPN09Px29mCDakZwmN7v615dP7fG34y8t&#10;JPF8fIIszDd6lpdNu6dP3OXixYjsqxfZ+uW8WGGnLDVjjC8XK/ymhdKKO6GutpD81Xmr7d//x5m3&#10;3YVvL27n+YgX5NTL4DRPBr9tq+PaiPZ0Bxn80i52j3h/c8XxLIdqj1f1V7w81eGpXi/sbiMgc7QX&#10;1+nuBMl1slq0Dd6vG87ykv6Z98HJjhdaSJkvF5DSjRa8dELqxMjzQurSSlEopjNNb6YXRXV3bE/n&#10;T+tmv6CN+2WLezPtV1/+eTrbQ7tD6HbqA/09ND/t6tr+Snsg0e6Oaev88vBiHltwUdD1aOdD8/gV&#10;0tg27X9+hl5v6ub5ftm4rSWpOi5Pvy4X9T8OQIG0qttou42HbqM91x8bo3v2hv72+dxsduaO+6u5&#10;OwO89h7+dJwFy4tCd0Cbd2Hh9jkx4J14BWV6jg5Vg6fkXDCDV3XX4WnVAqIhtVBlpiQTI0RXny2i&#10;1F6HIuzHo8UT+7bd1url0G0S7n9oyo7Vmc6jRmlzAfD8vWz7W6Hf90D198YceR7pKV68/tf6MDzK&#10;t9bZAhzbHdF9Hk17wyMvRdAd133a4yGtK2F1R3SfwyONCvmrY4Me2CiNFwJ2DsVcH0gehEoFV7Op&#10;K6tD+90ZPqje7WEARA5z5pAKqMzp/LVek8jqw6/rDZTH2EXacWqfHj7W7eJLRW+7+WcVtD5uK7fX&#10;tesONbdq2qHzN9BU3yQ3p140+VHSf9eCO5jOWxsn589k9syVuxvr6eAv8NCdv4NQ/Enmys3h7M8/&#10;wEubixhTYZ+2V1QyJfTt7TSVTK/sFPXSIhth0N28rqt/YJFvuBBZJmEE8NJpJpXQpsFehxUdIYXV&#10;YZ6JouRO/J1j7Czun2WUS7peL/3/c6NMUGdhqLNOEFOhhsPNgaSxL5yX0jQ4hJrhd1yczDVBXRjR&#10;Q1PeCGppbE5SUKsw1Go21EVZIIYjqMnJM9PgJdQa+MeD2liRpKD2kdalATcx0ywDnmewyQZqrZXI&#10;r6CWWZnHhNrEfElBjRQnlD3lM7UaEXZOWSZptco4AmpqcKDVjAmpEChEM+A+GkkigSJfDWYnBLXP&#10;JCf5aq1yZdNki/Mor0JqLAYR2Zu7aR+IJIMySIkQyj40nYQygm9elC74hj4Xmo+B5oypAq9YNIX2&#10;gUgqUAvkiAGosdtlITOgZkCSbLcolQDxMrLdZZlxKH00qH0gkgzUYZJT+NB0BtSlM98856UaQw2t&#10;1llMrfaBSDJQw12GtNqHplOhFlwi4DZazTLQ20ayg4iMs1JSPh9Nq30gkgzUYaJM+NB0KtQcHRpW&#10;q7NSwIaPoWZlVoI9iwe1j0aSgRqKFdJqH59OglpoBGVoGZ46Kxgv9QhoqcGPI1KLBnTmY5EkgEYH&#10;d14GyBO3f05YJsC1SobgnrDWeaGlMZcD+81KlWkY+Fj2O/PBSDpYw8iOtdpg7aOWSWp9wyXoE2X5&#10;7+8UbB+OJAE26BMR0Gu7e45am8RawW4bvVYK/c7Xel3kMqKzznw4kgzUAbUmqOdqNcpIwIRaqDPJ&#10;y3wMNbKtApUk8Uy4D0eSgTpMivblNRMNOFUMOV4UbrugHPqSQwHUObnzaN46PboszIwKn4tMhroo&#10;KeijwIwXCnp9DXVUDsXWpqXUq4Xe+au4DAa877SfCDUVmGhnwJnmpe3OGMbgLONR8y3volIx4DLM&#10;jGL3nLCs79XKwjhH7dWyziQphQ6Toij2moOyKSmjUlqy3bKUhVZXthuVojKmm/beKRmFDpOiyIBm&#10;Qk0RmXXTsuBKWmcwsN2cwXRH5E9UWlwZ+eMwKWqL/WbVGcmSqsVJq3UJQsZIdgg1LwWoyWjBt/Le&#10;KRmtDlcPSp+FTI/ICterJZUudG4kO4CasYwS93hQexeVDNTQvDEpSsruO+0nQd1HZBbnsUrHrTNC&#10;JZvzTsmgHObIMGRqvpvOLPMtMwzDsb0KA4WmigQi0WIRJyo5jgw9TUGFNpTWLDeN0RrOTUuB4ZRj&#10;240i0oLG4EWD2nunZLQ6zJEhA5qv1R3UoE10YbziSKtBh8eD2nunVKCm+Dfgpvse+0lu2vRn5V2e&#10;hU5MjNOid2cANStLETXP8i4qGajDHFnfYT8RahQFZ8itKM+iOlGGSu8R1EyymEX+yruoZKAOE2WI&#10;qOYY8D74fgXnqHSoJe1SokPRJR+03T4LmajQKPLHvAZWoQvUfZemwYHtRvCdIWeP5qZ1WhyZqSUK&#10;kGRu/xyVFlKzAn2fxnjnsNLXo6mRaMUsEtVpkWQG0wBL5vbPwfqGZ3mO3o0B2GNPTVl1VLC9g0rG&#10;UwewBk1mB0rOyqqlwFw2Rq9VIZjtIxvacI4APKYN914qGajDjGhflzHdXXdD50WmipwF3HXUofOo&#10;lXB2Kxmow7Ro5nPOqVALWVJhCaVaEgOn8yuoodV5xC4tZPSpQR2mRfvijIlQI6tmbkIMgYm+EHBf&#10;ZdUiH05z89aDqnV6XFmYFs3m0aKDrNrgbIzlwFHH7dKyY4lSyqpRgBHKqvu6jIkKTUPnXYEoOjSK&#10;HIMsYSoHQFPwHXOQrU6OJkMBRhBqn3JOhVoIVdgCUYzGUxLbI6i5JkY8HoHiTVYqERlJO9DPYbsl&#10;JudZAp3TXTkZLzLBlIl/eqVGhRkYNLxmsTovEQymFJAZmiQAtdvvRDFJrYXCYB10llDwjUkSihzZ&#10;86VWU5ERjfaIhrW3W0lotcE0QIG7/XOwppJgqVyn1ncKdnJUGUpugibcswuT1LoPv1/BOWqnlk3w&#10;kwq/w4SodayTHbUpSOhmw+CqVLIcW+/Y4TdmPEzJU4PkpvqQUEzmiYVJCk1QY1oTBAHkqLMcQzeu&#10;ocZ0VhGLB+2Ml0lpdZgQRbQ0z03DT+dukjIuM4yQN+9OH3/Dh2Oy6IiEaO5f5iRiMtLqMCHaF+FM&#10;0uqBmw7jHNdN+/c4GZTDXGhfhDMJZYq7uQazbGw3WBSMuxwlWZzzHErlkyy7JMfbTfltZ2tIyXaT&#10;+Qy46b4IZyrUGIrHnZvmDFPdXEEduRohT44lQ7FNEGpPLEyEGmqttYUa053kth905KVjTjpYpMWS&#10;wUsTGiGl9qzCJKR7Lx2GOaqTBg2bWIJFpVwhkH3pzSSQbS7tnHRB832b6GegzpRK0zzjsYhQO64k&#10;KR8d5sb6ypvJSJfMjdhBsQErQkjHHLCDMuXUdDrMj/WFN5OQxjwIGGRnuyxREZzbbG2g0pgrAXVl&#10;vUabvuK3i7ptD2oyGm26MAKxmNs/jzMB9YVJRE2KlRUKqyaNMyyWMRrsGc16G7ouLawDKZbB2sel&#10;k7RaKMV1AYMBJvT7hDo5dozm+AyFZJ5AmgT0DdayFAJhDyEttWDlWKkZw8xGESlvGzkko9SUYYV5&#10;0L7KahLSfYYVhjluhpVcBRkt/mvV2a5GS7h71uh1gKnu72J5ZrMY7Uhn/UKs5IgvV2LtljccrpL6&#10;HS1Ge3mz37Ik7eUZ3bKx3ef1wrTGLyL87I7oPl9faBZLytbNaY3QCad945KzZllZBEKvLjtr14u1&#10;bX7jsrOBNWLdsrNdM1jUld6Pi5Vl3fqw0xar/S6WnTXLgmM1dCN/t3I7Lbc+/G6Wqe3Xl//wXwAA&#10;AP//AwBQSwMEFAAGAAgAAAAhABzue8jdAAAABQEAAA8AAABkcnMvZG93bnJldi54bWxMj0FLw0AQ&#10;he+C/2EZwZvdpKGhjdmUUtRTEWwF6W2anSah2dmQ3Sbpv3f1opeBx3u8902+nkwrBupdY1lBPItA&#10;EJdWN1wp+Dy8Pi1BOI+ssbVMCm7kYF3c3+WYaTvyBw17X4lQwi5DBbX3XSalK2sy6Ga2Iw7e2fYG&#10;fZB9JXWPYyg3rZxHUSoNNhwWauxoW1N52V+NgrcRx00Svwy7y3l7Ox4W71+7mJR6fJg2zyA8Tf4v&#10;DD/4AR2KwHSyV9ZOtArCI/73Bi+dJymIk4LVcpGALHL5n774BgAA//8DAFBLAQItABQABgAIAAAA&#10;IQC2gziS/gAAAOEBAAATAAAAAAAAAAAAAAAAAAAAAABbQ29udGVudF9UeXBlc10ueG1sUEsBAi0A&#10;FAAGAAgAAAAhADj9If/WAAAAlAEAAAsAAAAAAAAAAAAAAAAALwEAAF9yZWxzLy5yZWxzUEsBAi0A&#10;FAAGAAgAAAAhAJibNq+yCwAAp34AAA4AAAAAAAAAAAAAAAAALgIAAGRycy9lMm9Eb2MueG1sUEsB&#10;Ai0AFAAGAAgAAAAhABzue8jdAAAABQEAAA8AAAAAAAAAAAAAAAAADA4AAGRycy9kb3ducmV2Lnht&#10;bFBLBQYAAAAABAAEAPMAAAAWDwAAAAA=&#10;">
                <v:rect id="Rectangle 17511" o:spid="_x0000_s3255" style="position:absolute;left:18623;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uFxAAAAN4AAAAPAAAAZHJzL2Rvd25yZXYueG1sRE9Na8JA&#10;EL0X/A/LCN7qJkJbia4iijQHL7UKHofsmESzs0t2NdFf3y0UepvH+5z5sjeNuFPra8sK0nECgriw&#10;uuZSweF7+zoF4QOyxsYyKXiQh+Vi8DLHTNuOv+i+D6WIIewzVFCF4DIpfVGRQT+2jjhyZ9saDBG2&#10;pdQtdjHcNHKSJO/SYM2xoUJH64qK6/5mFJw27PJtJ4vzc+12l3zafN4OR6VGw341AxGoD//iP3eu&#10;4/yPtzSF33fiDXLxAwAA//8DAFBLAQItABQABgAIAAAAIQDb4fbL7gAAAIUBAAATAAAAAAAAAAAA&#10;AAAAAAAAAABbQ29udGVudF9UeXBlc10ueG1sUEsBAi0AFAAGAAgAAAAhAFr0LFu/AAAAFQEAAAsA&#10;AAAAAAAAAAAAAAAAHwEAAF9yZWxzLy5yZWxzUEsBAi0AFAAGAAgAAAAhADj7a4XEAAAA3gAAAA8A&#10;AAAAAAAAAAAAAAAABwIAAGRycy9kb3ducmV2LnhtbFBLBQYAAAAAAwADALcAAAD4AgAAAAA=&#10;" filled="f" stroked="f">
                  <v:textbox inset="0,0,0,0">
                    <w:txbxContent>
                      <w:p w14:paraId="5D00FD4E" w14:textId="77777777" w:rsidR="00B32EF2" w:rsidRDefault="00000000">
                        <w:r>
                          <w:rPr>
                            <w:rFonts w:ascii="Times New Roman" w:eastAsia="Times New Roman" w:hAnsi="Times New Roman" w:cs="Times New Roman"/>
                          </w:rPr>
                          <w:t>72</w:t>
                        </w:r>
                      </w:p>
                    </w:txbxContent>
                  </v:textbox>
                </v:rect>
                <v:shape id="Shape 207886" o:spid="_x0000_s3256" style="position:absolute;top:3112;width:39600;height:59453;visibility:visible;mso-wrap-style:square;v-text-anchor:top" coordsize="3960000,594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Sy+yAAAAN8AAAAPAAAAZHJzL2Rvd25yZXYueG1sRI9Ba8JA&#10;FITvgv9heYVepG7MQUPqKkW0Bnooaig9PrKvSWj2bciumvjruwXB4zAz3zDLdW8acaHO1ZYVzKYR&#10;COLC6ppLBflp95KAcB5ZY2OZFAzkYL0aj5aYanvlA12OvhQBwi5FBZX3bSqlKyoy6Ka2JQ7ej+0M&#10;+iC7UuoOrwFuGhlH0VwarDksVNjSpqLi93g2Ct4/+SMbdt+TLNvT1/ZG+bCJc6Wen/q3VxCeev8I&#10;39uZVhBHiySZw/+f8AXk6g8AAP//AwBQSwECLQAUAAYACAAAACEA2+H2y+4AAACFAQAAEwAAAAAA&#10;AAAAAAAAAAAAAAAAW0NvbnRlbnRfVHlwZXNdLnhtbFBLAQItABQABgAIAAAAIQBa9CxbvwAAABUB&#10;AAALAAAAAAAAAAAAAAAAAB8BAABfcmVscy8ucmVsc1BLAQItABQABgAIAAAAIQDezSy+yAAAAN8A&#10;AAAPAAAAAAAAAAAAAAAAAAcCAABkcnMvZG93bnJldi54bWxQSwUGAAAAAAMAAwC3AAAA/AIAAAAA&#10;" path="m,l3960000,r,5945302l,5945302,,e" fillcolor="#c3c3c3" stroked="f" strokeweight="0">
                  <v:stroke miterlimit="83231f" joinstyle="miter"/>
                  <v:path arrowok="t" textboxrect="0,0,3960000,5945302"/>
                </v:shape>
                <v:rect id="Rectangle 17513" o:spid="_x0000_s3257" style="position:absolute;left:-12244;top:60352;width:512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VBpxQAAAN4AAAAPAAAAZHJzL2Rvd25yZXYueG1sRE9La8JA&#10;EL4X/A/LCN7qxkpVoquIRZpDL/UBHofsmESzs0t2NWl/fbcgeJuP7zmLVWdqcafGV5YVjIYJCOLc&#10;6ooLBYf99nUGwgdkjbVlUvBDHlbL3ssCU21b/qb7LhQihrBPUUEZgkul9HlJBv3QOuLInW1jMETY&#10;FFI32MZwU8u3JJlIgxXHhhIdbUrKr7ubUXD6YJdtW5mffzfu65LN6s/b4ajUoN+t5yACdeEpfrgz&#10;HedP30dj+H8n3iCXfwAAAP//AwBQSwECLQAUAAYACAAAACEA2+H2y+4AAACFAQAAEwAAAAAAAAAA&#10;AAAAAAAAAAAAW0NvbnRlbnRfVHlwZXNdLnhtbFBLAQItABQABgAIAAAAIQBa9CxbvwAAABUBAAAL&#10;AAAAAAAAAAAAAAAAAB8BAABfcmVscy8ucmVsc1BLAQItABQABgAIAAAAIQCnZVBpxQAAAN4AAAAP&#10;AAAAAAAAAAAAAAAAAAcCAABkcnMvZG93bnJldi54bWxQSwUGAAAAAAMAAwC3AAAA+QIAAAAA&#10;" filled="f" stroked="f">
                  <v:textbox inset="0,0,0,0">
                    <w:txbxContent>
                      <w:p w14:paraId="1B2055FD" w14:textId="77777777" w:rsidR="00B32EF2" w:rsidRDefault="00000000">
                        <w:r>
                          <w:rPr>
                            <w:rFonts w:ascii="Arial" w:eastAsia="Arial" w:hAnsi="Arial" w:cs="Arial"/>
                            <w:i/>
                            <w:sz w:val="18"/>
                          </w:rPr>
                          <w:t xml:space="preserve">tamento dell’Agenzia delle entrate o del direttore regionale della stessa, </w:t>
                        </w:r>
                      </w:p>
                    </w:txbxContent>
                  </v:textbox>
                </v:rect>
                <v:rect id="Rectangle 17514" o:spid="_x0000_s3258" style="position:absolute;left:-12190;top:59119;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MgdxQAAAN4AAAAPAAAAZHJzL2Rvd25yZXYueG1sRE9La8JA&#10;EL4X/A/LCN7qxmJVoquIRZpDL/UBHofsmESzs0t2NWl/fbcgeJuP7zmLVWdqcafGV5YVjIYJCOLc&#10;6ooLBYf99nUGwgdkjbVlUvBDHlbL3ssCU21b/qb7LhQihrBPUUEZgkul9HlJBv3QOuLInW1jMETY&#10;FFI32MZwU8u3JJlIgxXHhhIdbUrKr7ubUXD6YJdtW5mffzfu65LN6s/b4ajUoN+t5yACdeEpfrgz&#10;HedP30dj+H8n3iCXfwAAAP//AwBQSwECLQAUAAYACAAAACEA2+H2y+4AAACFAQAAEwAAAAAAAAAA&#10;AAAAAAAAAAAAW0NvbnRlbnRfVHlwZXNdLnhtbFBLAQItABQABgAIAAAAIQBa9CxbvwAAABUBAAAL&#10;AAAAAAAAAAAAAAAAAB8BAABfcmVscy8ucmVsc1BLAQItABQABgAIAAAAIQAojMgdxQAAAN4AAAAP&#10;AAAAAAAAAAAAAAAAAAcCAABkcnMvZG93bnJldi54bWxQSwUGAAAAAAMAAwC3AAAA+QIAAAAA&#10;" filled="f" stroked="f">
                  <v:textbox inset="0,0,0,0">
                    <w:txbxContent>
                      <w:p w14:paraId="16AE251B" w14:textId="77777777" w:rsidR="00B32EF2" w:rsidRDefault="00000000">
                        <w:r>
                          <w:rPr>
                            <w:rFonts w:ascii="Arial" w:eastAsia="Arial" w:hAnsi="Arial" w:cs="Arial"/>
                            <w:i/>
                            <w:sz w:val="18"/>
                          </w:rPr>
                          <w:t xml:space="preserve">ovvero, per il Corpo della guardia di finanza, del comandante regionale, ai </w:t>
                        </w:r>
                      </w:p>
                    </w:txbxContent>
                  </v:textbox>
                </v:rect>
                <v:rect id="Rectangle 17515" o:spid="_x0000_s3259" style="position:absolute;left:-12189;top:57886;width:5100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2GxAAAAN4AAAAPAAAAZHJzL2Rvd25yZXYueG1sRE9Li8Iw&#10;EL4L+x/CLHjT1AVXqUZZXGR78LI+wOPQjG21mYQm2uqv3ywI3ubje8582Zla3KjxlWUFo2ECgji3&#10;uuJCwX63HkxB+ICssbZMCu7kYbl4680x1bblX7ptQyFiCPsUFZQhuFRKn5dk0A+tI47cyTYGQ4RN&#10;IXWDbQw3tfxIkk9psOLYUKKjVUn5ZXs1Co7f7LJ1K/PTY+U252xa/1z3B6X6793XDESgLrzET3em&#10;4/zJeDSG/3fiDXLxBwAA//8DAFBLAQItABQABgAIAAAAIQDb4fbL7gAAAIUBAAATAAAAAAAAAAAA&#10;AAAAAAAAAABbQ29udGVudF9UeXBlc10ueG1sUEsBAi0AFAAGAAgAAAAhAFr0LFu/AAAAFQEAAAsA&#10;AAAAAAAAAAAAAAAAHwEAAF9yZWxzLy5yZWxzUEsBAi0AFAAGAAgAAAAhAEfAbYbEAAAA3gAAAA8A&#10;AAAAAAAAAAAAAAAABwIAAGRycy9kb3ducmV2LnhtbFBLBQYAAAAAAwADALcAAAD4AgAAAAA=&#10;" filled="f" stroked="f">
                  <v:textbox inset="0,0,0,0">
                    <w:txbxContent>
                      <w:p w14:paraId="66FDB8EA" w14:textId="77777777" w:rsidR="00B32EF2" w:rsidRDefault="00000000">
                        <w:r>
                          <w:rPr>
                            <w:rFonts w:ascii="Arial" w:eastAsia="Arial" w:hAnsi="Arial" w:cs="Arial"/>
                            <w:i/>
                            <w:sz w:val="18"/>
                          </w:rPr>
                          <w:t xml:space="preserve">soggetti sottoposti ad accertamento, ispezione o verifica il rilascio di una </w:t>
                        </w:r>
                      </w:p>
                    </w:txbxContent>
                  </v:textbox>
                </v:rect>
                <v:rect id="Rectangle 17516" o:spid="_x0000_s3260" style="position:absolute;left:-12274;top:56652;width:513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vPxxAAAAN4AAAAPAAAAZHJzL2Rvd25yZXYueG1sRE9Li8Iw&#10;EL4v7H8Is+BtTV3wQTXK4iLbg5f1AR6HZmyrzSQ00VZ/vVkQvM3H95zZojO1uFLjK8sKBv0EBHFu&#10;dcWFgt129TkB4QOyxtoyKbiRh8X8/W2GqbYt/9F1EwoRQ9inqKAMwaVS+rwkg75vHXHkjrYxGCJs&#10;CqkbbGO4qeVXkoykwYpjQ4mOliXl583FKDj8sMtWrcyP96Vbn7JJ/XvZ7ZXqfXTfUxCBuvASP92Z&#10;jvPHw8EI/t+JN8j5AwAA//8DAFBLAQItABQABgAIAAAAIQDb4fbL7gAAAIUBAAATAAAAAAAAAAAA&#10;AAAAAAAAAABbQ29udGVudF9UeXBlc10ueG1sUEsBAi0AFAAGAAgAAAAhAFr0LFu/AAAAFQEAAAsA&#10;AAAAAAAAAAAAAAAAHwEAAF9yZWxzLy5yZWxzUEsBAi0AFAAGAAgAAAAhALcS8/HEAAAA3gAAAA8A&#10;AAAAAAAAAAAAAAAABwIAAGRycy9kb3ducmV2LnhtbFBLBQYAAAAAAwADALcAAAD4AgAAAAA=&#10;" filled="f" stroked="f">
                  <v:textbox inset="0,0,0,0">
                    <w:txbxContent>
                      <w:p w14:paraId="11ABEA7C" w14:textId="77777777" w:rsidR="00B32EF2" w:rsidRDefault="00000000">
                        <w:r>
                          <w:rPr>
                            <w:rFonts w:ascii="Arial" w:eastAsia="Arial" w:hAnsi="Arial" w:cs="Arial"/>
                            <w:i/>
                            <w:sz w:val="18"/>
                          </w:rPr>
                          <w:t xml:space="preserve">dichiarazione contenente l’indicazione della natura, del numero e degli </w:t>
                        </w:r>
                      </w:p>
                    </w:txbxContent>
                  </v:textbox>
                </v:rect>
                <v:rect id="Rectangle 17517" o:spid="_x0000_s3261" style="position:absolute;left:-11207;top:55419;width:500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lZqxAAAAN4AAAAPAAAAZHJzL2Rvd25yZXYueG1sRE9Li8Iw&#10;EL4v7H8Is+BtTRVcpRplcRF72Isv8Dg0Y1ttJqGJtvrrzcKCt/n4njNbdKYWN2p8ZVnBoJ+AIM6t&#10;rrhQsN+tPicgfEDWWFsmBXfysJi/v80w1bblDd22oRAxhH2KCsoQXCqlz0sy6PvWEUfuZBuDIcKm&#10;kLrBNoabWg6T5EsarDg2lOhoWVJ+2V6NguMPu2zVyvz0WLrfczap19f9QaneR/c9BRGoCy/xvzvT&#10;cf54NBjD3zvxBjl/AgAA//8DAFBLAQItABQABgAIAAAAIQDb4fbL7gAAAIUBAAATAAAAAAAAAAAA&#10;AAAAAAAAAABbQ29udGVudF9UeXBlc10ueG1sUEsBAi0AFAAGAAgAAAAhAFr0LFu/AAAAFQEAAAsA&#10;AAAAAAAAAAAAAAAAHwEAAF9yZWxzLy5yZWxzUEsBAi0AFAAGAAgAAAAhANheVmrEAAAA3gAAAA8A&#10;AAAAAAAAAAAAAAAABwIAAGRycy9kb3ducmV2LnhtbFBLBQYAAAAAAwADALcAAAD4AgAAAAA=&#10;" filled="f" stroked="f">
                  <v:textbox inset="0,0,0,0">
                    <w:txbxContent>
                      <w:p w14:paraId="7E40AD73" w14:textId="77777777" w:rsidR="00B32EF2" w:rsidRDefault="00000000">
                        <w:r>
                          <w:rPr>
                            <w:rFonts w:ascii="Arial" w:eastAsia="Arial" w:hAnsi="Arial" w:cs="Arial"/>
                            <w:i/>
                            <w:sz w:val="18"/>
                          </w:rPr>
                          <w:t>estremi identificativi dei rapporti intrattenuti con le banche, la società Po</w:t>
                        </w:r>
                      </w:p>
                    </w:txbxContent>
                  </v:textbox>
                </v:rect>
                <v:rect id="Rectangle 17518" o:spid="_x0000_s3262" style="position:absolute;left:657;top:5541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cIYyAAAAN4AAAAPAAAAZHJzL2Rvd25yZXYueG1sRI9Pa8JA&#10;EMXvhX6HZQq91Y2FWomuIhZpDr34p9DjkB2TaHZ2ya4m7ad3DkJvM7w37/1mvhxcq67UxcazgfEo&#10;A0VcettwZeCw37xMQcWEbLH1TAZ+KcJy8fgwx9z6nrd03aVKSQjHHA3UKYVc61jW5DCOfCAW7eg7&#10;h0nWrtK2w17CXatfs2yiHTYsDTUGWtdUnncXZ+Dng0Ox6XV5/FuHr1MxbT8vh29jnp+G1QxUoiH9&#10;m+/XhRX897ex8Mo7MoNe3AAAAP//AwBQSwECLQAUAAYACAAAACEA2+H2y+4AAACFAQAAEwAAAAAA&#10;AAAAAAAAAAAAAAAAW0NvbnRlbnRfVHlwZXNdLnhtbFBLAQItABQABgAIAAAAIQBa9CxbvwAAABUB&#10;AAALAAAAAAAAAAAAAAAAAB8BAABfcmVscy8ucmVsc1BLAQItABQABgAIAAAAIQCpwcIYyAAAAN4A&#10;AAAPAAAAAAAAAAAAAAAAAAcCAABkcnMvZG93bnJldi54bWxQSwUGAAAAAAMAAwC3AAAA/AIAAAAA&#10;" filled="f" stroked="f">
                  <v:textbox inset="0,0,0,0">
                    <w:txbxContent>
                      <w:p w14:paraId="63658A77" w14:textId="77777777" w:rsidR="00B32EF2" w:rsidRDefault="00000000">
                        <w:r>
                          <w:rPr>
                            <w:rFonts w:ascii="Arial" w:eastAsia="Arial" w:hAnsi="Arial" w:cs="Arial"/>
                            <w:i/>
                            <w:sz w:val="18"/>
                          </w:rPr>
                          <w:t>-</w:t>
                        </w:r>
                      </w:p>
                    </w:txbxContent>
                  </v:textbox>
                </v:rect>
                <v:rect id="Rectangle 17519" o:spid="_x0000_s3263" style="position:absolute;left:-12189;top:54186;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WeDxQAAAN4AAAAPAAAAZHJzL2Rvd25yZXYueG1sRE9La8JA&#10;EL4X/A/LCN7qxoJVo6uIRZpDL/UBHofsmESzs0t2NWl/fbcgeJuP7zmLVWdqcafGV5YVjIYJCOLc&#10;6ooLBYf99nUKwgdkjbVlUvBDHlbL3ssCU21b/qb7LhQihrBPUUEZgkul9HlJBv3QOuLInW1jMETY&#10;FFI32MZwU8u3JHmXBiuODSU62pSUX3c3o+D0wS7btjI//27c1yWb1p+3w1GpQb9bz0EE6sJT/HBn&#10;Os6fjEcz+H8n3iCXfwAAAP//AwBQSwECLQAUAAYACAAAACEA2+H2y+4AAACFAQAAEwAAAAAAAAAA&#10;AAAAAAAAAAAAW0NvbnRlbnRfVHlwZXNdLnhtbFBLAQItABQABgAIAAAAIQBa9CxbvwAAABUBAAAL&#10;AAAAAAAAAAAAAAAAAB8BAABfcmVscy8ucmVsc1BLAQItABQABgAIAAAAIQDGjWeDxQAAAN4AAAAP&#10;AAAAAAAAAAAAAAAAAAcCAABkcnMvZG93bnJldi54bWxQSwUGAAAAAAMAAwC3AAAA+QIAAAAA&#10;" filled="f" stroked="f">
                  <v:textbox inset="0,0,0,0">
                    <w:txbxContent>
                      <w:p w14:paraId="7EEF217C" w14:textId="77777777" w:rsidR="00B32EF2" w:rsidRDefault="00000000">
                        <w:r>
                          <w:rPr>
                            <w:rFonts w:ascii="Arial" w:eastAsia="Arial" w:hAnsi="Arial" w:cs="Arial"/>
                            <w:i/>
                            <w:sz w:val="18"/>
                          </w:rPr>
                          <w:t xml:space="preserve">ste italiane Spa, gli intermediari finanziari, le imprese di investimento, gli </w:t>
                        </w:r>
                      </w:p>
                    </w:txbxContent>
                  </v:textbox>
                </v:rect>
                <v:rect id="Rectangle 17520" o:spid="_x0000_s3264" style="position:absolute;left:-12189;top:52952;width:509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wSjyAAAAN4AAAAPAAAAZHJzL2Rvd25yZXYueG1sRI9Pa8JA&#10;EMXvQr/DMoXedFPBP6SuUixiDr1ULfQ4ZMckbXZ2ya4m7ad3DgVvM8yb995vtRlcq67UxcazgedJ&#10;Boq49LbhysDpuBsvQcWEbLH1TAZ+KcJm/TBaYW59zx90PaRKiQnHHA3UKYVc61jW5DBOfCCW29l3&#10;DpOsXaVth72Yu1ZPs2yuHTYsCTUG2tZU/hwuzsDXG4di1+vy/LcN79/Fst1fTp/GPD0Ory+gEg3p&#10;Lv7/LqzUX8ymAiA4MoNe3wAAAP//AwBQSwECLQAUAAYACAAAACEA2+H2y+4AAACFAQAAEwAAAAAA&#10;AAAAAAAAAAAAAAAAW0NvbnRlbnRfVHlwZXNdLnhtbFBLAQItABQABgAIAAAAIQBa9CxbvwAAABUB&#10;AAALAAAAAAAAAAAAAAAAAB8BAABfcmVscy8ucmVsc1BLAQItABQABgAIAAAAIQCZ2wSjyAAAAN4A&#10;AAAPAAAAAAAAAAAAAAAAAAcCAABkcnMvZG93bnJldi54bWxQSwUGAAAAAAMAAwC3AAAA/AIAAAAA&#10;" filled="f" stroked="f">
                  <v:textbox inset="0,0,0,0">
                    <w:txbxContent>
                      <w:p w14:paraId="7BCDFBEB" w14:textId="77777777" w:rsidR="00B32EF2" w:rsidRDefault="00000000">
                        <w:r>
                          <w:rPr>
                            <w:rFonts w:ascii="Arial" w:eastAsia="Arial" w:hAnsi="Arial" w:cs="Arial"/>
                            <w:i/>
                            <w:sz w:val="18"/>
                          </w:rPr>
                          <w:t xml:space="preserve">organismi di investimento collettivo del risparmio, le società di gestione del </w:t>
                        </w:r>
                      </w:p>
                    </w:txbxContent>
                  </v:textbox>
                </v:rect>
                <v:rect id="Rectangle 17521" o:spid="_x0000_s3265" style="position:absolute;left:-12189;top:51719;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6E4xAAAAN4AAAAPAAAAZHJzL2Rvd25yZXYueG1sRE9Li8Iw&#10;EL4v+B/CCN7WVGF3pRpFFNkevKwP8Dg0Y1ttJqGJtvrrNwsL3ubje85s0Zla3KnxlWUFo2ECgji3&#10;uuJCwWG/eZ+A8AFZY22ZFDzIw2Lee5thqm3LP3TfhULEEPYpKihDcKmUPi/JoB9aRxy5s20Mhgib&#10;QuoG2xhuajlOkk9psOLYUKKjVUn5dXczCk5rdtmmlfn5uXLbSzapv2+Ho1KDfrecggjUhZf4353p&#10;OP/rYzyCv3fiDXL+CwAA//8DAFBLAQItABQABgAIAAAAIQDb4fbL7gAAAIUBAAATAAAAAAAAAAAA&#10;AAAAAAAAAABbQ29udGVudF9UeXBlc10ueG1sUEsBAi0AFAAGAAgAAAAhAFr0LFu/AAAAFQEAAAsA&#10;AAAAAAAAAAAAAAAAHwEAAF9yZWxzLy5yZWxzUEsBAi0AFAAGAAgAAAAhAPaXoTjEAAAA3gAAAA8A&#10;AAAAAAAAAAAAAAAABwIAAGRycy9kb3ducmV2LnhtbFBLBQYAAAAAAwADALcAAAD4AgAAAAA=&#10;" filled="f" stroked="f">
                  <v:textbox inset="0,0,0,0">
                    <w:txbxContent>
                      <w:p w14:paraId="308EFF14" w14:textId="77777777" w:rsidR="00B32EF2" w:rsidRDefault="00000000">
                        <w:r>
                          <w:rPr>
                            <w:rFonts w:ascii="Arial" w:eastAsia="Arial" w:hAnsi="Arial" w:cs="Arial"/>
                            <w:i/>
                            <w:sz w:val="18"/>
                          </w:rPr>
                          <w:t xml:space="preserve">risparmio e le società fiduciarie, nazionali o stranieri, in corso ovvero estinti </w:t>
                        </w:r>
                      </w:p>
                    </w:txbxContent>
                  </v:textbox>
                </v:rect>
                <v:rect id="Rectangle 17522" o:spid="_x0000_s3266" style="position:absolute;left:-12213;top:50486;width:510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T9PxAAAAN4AAAAPAAAAZHJzL2Rvd25yZXYueG1sRE9Na8JA&#10;EL0X/A/LCN7qxkBbia4iijQHL7UKHofsmESzs0t2NdFf3y0UepvH+5z5sjeNuFPra8sKJuMEBHFh&#10;dc2lgsP39nUKwgdkjY1lUvAgD8vF4GWOmbYdf9F9H0oRQ9hnqKAKwWVS+qIig35sHXHkzrY1GCJs&#10;S6lb7GK4aWSaJO/SYM2xoUJH64qK6/5mFJw27PJtJ4vzc+12l3zafN4OR6VGw341AxGoD//iP3eu&#10;4/yPtzSF33fiDXLxAwAA//8DAFBLAQItABQABgAIAAAAIQDb4fbL7gAAAIUBAAATAAAAAAAAAAAA&#10;AAAAAAAAAABbQ29udGVudF9UeXBlc10ueG1sUEsBAi0AFAAGAAgAAAAhAFr0LFu/AAAAFQEAAAsA&#10;AAAAAAAAAAAAAAAAHwEAAF9yZWxzLy5yZWxzUEsBAi0AFAAGAAgAAAAhAAZFP0/EAAAA3gAAAA8A&#10;AAAAAAAAAAAAAAAABwIAAGRycy9kb3ducmV2LnhtbFBLBQYAAAAAAwADALcAAAD4AgAAAAA=&#10;" filled="f" stroked="f">
                  <v:textbox inset="0,0,0,0">
                    <w:txbxContent>
                      <w:p w14:paraId="3B2DA507" w14:textId="77777777" w:rsidR="00B32EF2" w:rsidRDefault="00000000">
                        <w:r>
                          <w:rPr>
                            <w:rFonts w:ascii="Arial" w:eastAsia="Arial" w:hAnsi="Arial" w:cs="Arial"/>
                            <w:i/>
                            <w:sz w:val="18"/>
                          </w:rPr>
                          <w:t xml:space="preserve">da non più di cinque anni dalla data della richiesta. Il richiedente e coloro </w:t>
                        </w:r>
                      </w:p>
                    </w:txbxContent>
                  </v:textbox>
                </v:rect>
                <v:rect id="Rectangle 17523" o:spid="_x0000_s3267" style="position:absolute;left:-12179;top:49252;width:509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ZrUxQAAAN4AAAAPAAAAZHJzL2Rvd25yZXYueG1sRE9La8JA&#10;EL4X/A/LCN7qpkpVoqsUi5hDL/UBHofsmMRmZ5fsamJ/fbcgeJuP7zmLVWdqcaPGV5YVvA0TEMS5&#10;1RUXCg77zesMhA/IGmvLpOBOHlbL3ssCU21b/qbbLhQihrBPUUEZgkul9HlJBv3QOuLInW1jMETY&#10;FFI32MZwU8tRkkykwYpjQ4mO1iXlP7urUXD6ZJdtWpmff9fu65LN6u31cFRq0O8+5iACdeEpfrgz&#10;HedP30dj+H8n3iCXfwAAAP//AwBQSwECLQAUAAYACAAAACEA2+H2y+4AAACFAQAAEwAAAAAAAAAA&#10;AAAAAAAAAAAAW0NvbnRlbnRfVHlwZXNdLnhtbFBLAQItABQABgAIAAAAIQBa9CxbvwAAABUBAAAL&#10;AAAAAAAAAAAAAAAAAB8BAABfcmVscy8ucmVsc1BLAQItABQABgAIAAAAIQBpCZrUxQAAAN4AAAAP&#10;AAAAAAAAAAAAAAAAAAcCAABkcnMvZG93bnJldi54bWxQSwUGAAAAAAMAAwC3AAAA+QIAAAAA&#10;" filled="f" stroked="f">
                  <v:textbox inset="0,0,0,0">
                    <w:txbxContent>
                      <w:p w14:paraId="4335E4CF" w14:textId="77777777" w:rsidR="00B32EF2" w:rsidRDefault="00000000">
                        <w:r>
                          <w:rPr>
                            <w:rFonts w:ascii="Arial" w:eastAsia="Arial" w:hAnsi="Arial" w:cs="Arial"/>
                            <w:i/>
                            <w:sz w:val="18"/>
                          </w:rPr>
                          <w:t xml:space="preserve">che vengono in possesso dei dati raccolti devono assumere direttamente le </w:t>
                        </w:r>
                      </w:p>
                    </w:txbxContent>
                  </v:textbox>
                </v:rect>
                <v:rect id="Rectangle 17524" o:spid="_x0000_s3268" style="position:absolute;left:2689;top:48019;width:36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AKgxQAAAN4AAAAPAAAAZHJzL2Rvd25yZXYueG1sRE9La8JA&#10;EL4X/A/LCN7qpmJVoqsUi5hDL/UBHofsmMRmZ5fsamJ/fbcgeJuP7zmLVWdqcaPGV5YVvA0TEMS5&#10;1RUXCg77zesMhA/IGmvLpOBOHlbL3ssCU21b/qbbLhQihrBPUUEZgkul9HlJBv3QOuLInW1jMETY&#10;FFI32MZwU8tRkkykwYpjQ4mO1iXlP7urUXD6ZJdtWpmff9fu65LN6u31cFRq0O8+5iACdeEpfrgz&#10;HedP30dj+H8n3iCXfwAAAP//AwBQSwECLQAUAAYACAAAACEA2+H2y+4AAACFAQAAEwAAAAAAAAAA&#10;AAAAAAAAAAAAW0NvbnRlbnRfVHlwZXNdLnhtbFBLAQItABQABgAIAAAAIQBa9CxbvwAAABUBAAAL&#10;AAAAAAAAAAAAAAAAAB8BAABfcmVscy8ucmVsc1BLAQItABQABgAIAAAAIQDm4AKgxQAAAN4AAAAP&#10;AAAAAAAAAAAAAAAAAAcCAABkcnMvZG93bnJldi54bWxQSwUGAAAAAAMAAwC3AAAA+QIAAAAA&#10;" filled="f" stroked="f">
                  <v:textbox inset="0,0,0,0">
                    <w:txbxContent>
                      <w:p w14:paraId="282F5322" w14:textId="77777777" w:rsidR="00B32EF2" w:rsidRDefault="00000000">
                        <w:r>
                          <w:rPr>
                            <w:rFonts w:ascii="Arial" w:eastAsia="Arial" w:hAnsi="Arial" w:cs="Arial"/>
                            <w:i/>
                            <w:sz w:val="18"/>
                          </w:rPr>
                          <w:t>cautele necessarie alla riservatezza dei dati acquisiti;</w:t>
                        </w:r>
                      </w:p>
                    </w:txbxContent>
                  </v:textbox>
                </v:rect>
                <v:rect id="Rectangle 200796" o:spid="_x0000_s3269" style="position:absolute;left:25143;top:46786;width:509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6R6xwAAAN8AAAAPAAAAZHJzL2Rvd25yZXYueG1sRI9PawIx&#10;FMTvBb9DeEJvmrUHtVuzIop0D73UKnh8bN7+qZuXsInutp/eFIQeh5n5DbNaD6YVN+p8Y1nBbJqA&#10;IC6sbrhScPzaT5YgfEDW2FomBT/kYZ2NnlaYatvzJ90OoRIRwj5FBXUILpXSFzUZ9FPriKNX2s5g&#10;iLKrpO6wj3DTypckmUuDDceFGh1tayouh6tRcN6xy/e9LMrfrfv4zpft+/V4Uup5PGzeQAQawn/4&#10;0c61gkhcvM7h70/8AjK7AwAA//8DAFBLAQItABQABgAIAAAAIQDb4fbL7gAAAIUBAAATAAAAAAAA&#10;AAAAAAAAAAAAAABbQ29udGVudF9UeXBlc10ueG1sUEsBAi0AFAAGAAgAAAAhAFr0LFu/AAAAFQEA&#10;AAsAAAAAAAAAAAAAAAAAHwEAAF9yZWxzLy5yZWxzUEsBAi0AFAAGAAgAAAAhAJdrpHrHAAAA3wAA&#10;AA8AAAAAAAAAAAAAAAAABwIAAGRycy9kb3ducmV2LnhtbFBLBQYAAAAAAwADALcAAAD7AgAAAAA=&#10;" filled="f" stroked="f">
                  <v:textbox inset="0,0,0,0">
                    <w:txbxContent>
                      <w:p w14:paraId="032E12E9" w14:textId="77777777" w:rsidR="00B32EF2" w:rsidRDefault="00000000">
                        <w:r>
                          <w:rPr>
                            <w:rFonts w:ascii="Arial" w:eastAsia="Arial" w:hAnsi="Arial" w:cs="Arial"/>
                            <w:i/>
                            <w:sz w:val="18"/>
                          </w:rPr>
                          <w:t>7)</w:t>
                        </w:r>
                      </w:p>
                    </w:txbxContent>
                  </v:textbox>
                </v:rect>
                <v:rect id="Rectangle 200797" o:spid="_x0000_s3270" style="position:absolute;left:-13207;top:46786;width:509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wHhxwAAAN8AAAAPAAAAZHJzL2Rvd25yZXYueG1sRI9La8Mw&#10;EITvhf4HsYXcErk95OFEDiUl1Ide8ij0uFjrR2qthKXETn59FQj0OMzMN8xqPZhWXKjzjWUFr5ME&#10;BHFhdcOVguNhO56D8AFZY2uZFFzJwzp7flphqm3PO7rsQyUihH2KCuoQXCqlL2oy6CfWEUevtJ3B&#10;EGVXSd1hH+GmlW9JMpUGG44LNTra1FT87s9Gwc8Hu3zby6K8bdzXKZ+3n+fjt1Kjl+F9CSLQEP7D&#10;j3auFUTibDGD+5/4BWT2BwAA//8DAFBLAQItABQABgAIAAAAIQDb4fbL7gAAAIUBAAATAAAAAAAA&#10;AAAAAAAAAAAAAABbQ29udGVudF9UeXBlc10ueG1sUEsBAi0AFAAGAAgAAAAhAFr0LFu/AAAAFQEA&#10;AAsAAAAAAAAAAAAAAAAAHwEAAF9yZWxzLy5yZWxzUEsBAi0AFAAGAAgAAAAhAPgnAeHHAAAA3wAA&#10;AA8AAAAAAAAAAAAAAAAABwIAAGRycy9kb3ducmV2LnhtbFBLBQYAAAAAAwADALcAAAD7AgAAAAA=&#10;" filled="f" stroked="f">
                  <v:textbox inset="0,0,0,0">
                    <w:txbxContent>
                      <w:p w14:paraId="7D0E8185" w14:textId="77777777" w:rsidR="00B32EF2" w:rsidRDefault="00000000">
                        <w:r>
                          <w:rPr>
                            <w:rFonts w:ascii="Arial" w:eastAsia="Arial" w:hAnsi="Arial" w:cs="Arial"/>
                            <w:i/>
                            <w:sz w:val="18"/>
                          </w:rPr>
                          <w:t xml:space="preserve"> richiedere, previa autorizzazione del direttore centrale dell’accertamento </w:t>
                        </w:r>
                      </w:p>
                    </w:txbxContent>
                  </v:textbox>
                </v:rect>
                <v:rect id="Rectangle 17526" o:spid="_x0000_s3271" style="position:absolute;left:-12185;top:45553;width:5098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jlMxAAAAN4AAAAPAAAAZHJzL2Rvd25yZXYueG1sRE9Ni8Iw&#10;EL0L/ocwgjdNFXSlaxRRxB72sq4Lexyasa02k9BEW/31m4UFb/N4n7Ncd6YWd2p8ZVnBZJyAIM6t&#10;rrhQcPrajxYgfEDWWFsmBQ/ysF71e0tMtW35k+7HUIgYwj5FBWUILpXS5yUZ9GPriCN3to3BEGFT&#10;SN1gG8NNLadJMpcGK44NJTralpRfjzej4GfHLtu3Mj8/t+7jki3qw+30rdRw0G3eQQTqwkv87850&#10;nP82m87h7514g1z9AgAA//8DAFBLAQItABQABgAIAAAAIQDb4fbL7gAAAIUBAAATAAAAAAAAAAAA&#10;AAAAAAAAAABbQ29udGVudF9UeXBlc10ueG1sUEsBAi0AFAAGAAgAAAAhAFr0LFu/AAAAFQEAAAsA&#10;AAAAAAAAAAAAAAAAHwEAAF9yZWxzLy5yZWxzUEsBAi0AFAAGAAgAAAAhAHl+OUzEAAAA3gAAAA8A&#10;AAAAAAAAAAAAAAAABwIAAGRycy9kb3ducmV2LnhtbFBLBQYAAAAAAwADALcAAAD4AgAAAAA=&#10;" filled="f" stroked="f">
                  <v:textbox inset="0,0,0,0">
                    <w:txbxContent>
                      <w:p w14:paraId="7C877072" w14:textId="77777777" w:rsidR="00B32EF2" w:rsidRDefault="00000000">
                        <w:r>
                          <w:rPr>
                            <w:rFonts w:ascii="Arial" w:eastAsia="Arial" w:hAnsi="Arial" w:cs="Arial"/>
                            <w:i/>
                            <w:sz w:val="18"/>
                          </w:rPr>
                          <w:t xml:space="preserve">dell’Agenzia delle entrate o del direttore regionale della stessa, ovvero, per </w:t>
                        </w:r>
                      </w:p>
                    </w:txbxContent>
                  </v:textbox>
                </v:rect>
                <v:rect id="Rectangle 17527" o:spid="_x0000_s3272" style="position:absolute;left:-12191;top:44319;width:510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zXxAAAAN4AAAAPAAAAZHJzL2Rvd25yZXYueG1sRE9Ni8Iw&#10;EL0L/ocwgjdNFVylaxRRxB72sq4Lexyasa02k9BEW/31m4UFb/N4n7Ncd6YWd2p8ZVnBZJyAIM6t&#10;rrhQcPrajxYgfEDWWFsmBQ/ysF71e0tMtW35k+7HUIgYwj5FBWUILpXS5yUZ9GPriCN3to3BEGFT&#10;SN1gG8NNLadJ8iYNVhwbSnS0LSm/Hm9Gwc+OXbZvZX5+bt3HJVvUh9vpW6nhoNu8gwjUhZf4353p&#10;OH8+m87h7514g1z9AgAA//8DAFBLAQItABQABgAIAAAAIQDb4fbL7gAAAIUBAAATAAAAAAAAAAAA&#10;AAAAAAAAAABbQ29udGVudF9UeXBlc10ueG1sUEsBAi0AFAAGAAgAAAAhAFr0LFu/AAAAFQEAAAsA&#10;AAAAAAAAAAAAAAAAHwEAAF9yZWxzLy5yZWxzUEsBAi0AFAAGAAgAAAAhABYynNfEAAAA3gAAAA8A&#10;AAAAAAAAAAAAAAAABwIAAGRycy9kb3ducmV2LnhtbFBLBQYAAAAAAwADALcAAAD4AgAAAAA=&#10;" filled="f" stroked="f">
                  <v:textbox inset="0,0,0,0">
                    <w:txbxContent>
                      <w:p w14:paraId="3D48D1FA" w14:textId="77777777" w:rsidR="00B32EF2" w:rsidRDefault="00000000">
                        <w:r>
                          <w:rPr>
                            <w:rFonts w:ascii="Arial" w:eastAsia="Arial" w:hAnsi="Arial" w:cs="Arial"/>
                            <w:i/>
                            <w:sz w:val="18"/>
                          </w:rPr>
                          <w:t xml:space="preserve">il Corpo della guardia di finanza, del comandante regionale, alle banche, </w:t>
                        </w:r>
                      </w:p>
                    </w:txbxContent>
                  </v:textbox>
                </v:rect>
                <v:rect id="Rectangle 17528" o:spid="_x0000_s3273" style="position:absolute;left:-12190;top:43086;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QilyAAAAN4AAAAPAAAAZHJzL2Rvd25yZXYueG1sRI9Pa8JA&#10;EMXvQr/DMoXedFPBP6SuUixiDr1ULfQ4ZMckbXZ2ya4m7ad3DgVvM7w37/1mtRlcq67UxcazgedJ&#10;Boq49LbhysDpuBsvQcWEbLH1TAZ+KcJm/TBaYW59zx90PaRKSQjHHA3UKYVc61jW5DBOfCAW7ew7&#10;h0nWrtK2w17CXaunWTbXDhuWhhoDbWsqfw4XZ+DrjUOx63V5/tuG9+9i2e4vp09jnh6H1xdQiYZ0&#10;N/9fF1bwF7Op8Mo7MoNe3wAAAP//AwBQSwECLQAUAAYACAAAACEA2+H2y+4AAACFAQAAEwAAAAAA&#10;AAAAAAAAAAAAAAAAW0NvbnRlbnRfVHlwZXNdLnhtbFBLAQItABQABgAIAAAAIQBa9CxbvwAAABUB&#10;AAALAAAAAAAAAAAAAAAAAB8BAABfcmVscy8ucmVsc1BLAQItABQABgAIAAAAIQBnrQilyAAAAN4A&#10;AAAPAAAAAAAAAAAAAAAAAAcCAABkcnMvZG93bnJldi54bWxQSwUGAAAAAAMAAwC3AAAA/AIAAAAA&#10;" filled="f" stroked="f">
                  <v:textbox inset="0,0,0,0">
                    <w:txbxContent>
                      <w:p w14:paraId="4045766B" w14:textId="77777777" w:rsidR="00B32EF2" w:rsidRDefault="00000000">
                        <w:r>
                          <w:rPr>
                            <w:rFonts w:ascii="Arial" w:eastAsia="Arial" w:hAnsi="Arial" w:cs="Arial"/>
                            <w:i/>
                            <w:sz w:val="18"/>
                          </w:rPr>
                          <w:t xml:space="preserve">alla società Poste italiane Spa, per le attività finanziarie e creditizie, alle </w:t>
                        </w:r>
                      </w:p>
                    </w:txbxContent>
                  </v:textbox>
                </v:rect>
                <v:rect id="Rectangle 17529" o:spid="_x0000_s3274" style="position:absolute;left:-12189;top:41853;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a0+xQAAAN4AAAAPAAAAZHJzL2Rvd25yZXYueG1sRE9Na8JA&#10;EL0L/Q/LFLzpRsFqo6uIIs3BS62FHofsmESzs0t2NWl/vVsQvM3jfc5i1Zla3KjxlWUFo2ECgji3&#10;uuJCwfFrN5iB8AFZY22ZFPySh9XypbfAVNuWP+l2CIWIIexTVFCG4FIpfV6SQT+0jjhyJ9sYDBE2&#10;hdQNtjHc1HKcJG/SYMWxoURHm5Lyy+FqFPxs2WW7Vuanv43bn7NZ/XE9fivVf+3WcxCBuvAUP9yZ&#10;jvOnk/E7/L8Tb5DLOwAAAP//AwBQSwECLQAUAAYACAAAACEA2+H2y+4AAACFAQAAEwAAAAAAAAAA&#10;AAAAAAAAAAAAW0NvbnRlbnRfVHlwZXNdLnhtbFBLAQItABQABgAIAAAAIQBa9CxbvwAAABUBAAAL&#10;AAAAAAAAAAAAAAAAAB8BAABfcmVscy8ucmVsc1BLAQItABQABgAIAAAAIQAI4a0+xQAAAN4AAAAP&#10;AAAAAAAAAAAAAAAAAAcCAABkcnMvZG93bnJldi54bWxQSwUGAAAAAAMAAwC3AAAA+QIAAAAA&#10;" filled="f" stroked="f">
                  <v:textbox inset="0,0,0,0">
                    <w:txbxContent>
                      <w:p w14:paraId="03FFB8A4" w14:textId="77777777" w:rsidR="00B32EF2" w:rsidRDefault="00000000">
                        <w:r>
                          <w:rPr>
                            <w:rFonts w:ascii="Arial" w:eastAsia="Arial" w:hAnsi="Arial" w:cs="Arial"/>
                            <w:i/>
                            <w:sz w:val="18"/>
                          </w:rPr>
                          <w:t xml:space="preserve">società ed enti di assicurazione per le attività finanziarie, agli intermediari </w:t>
                        </w:r>
                      </w:p>
                    </w:txbxContent>
                  </v:textbox>
                </v:rect>
                <v:rect id="Rectangle 17530" o:spid="_x0000_s3275" style="position:absolute;left:-11224;top:40619;width:500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J+yAAAAN4AAAAPAAAAZHJzL2Rvd25yZXYueG1sRI9Bb8Iw&#10;DIXvk/YfIk/iNtJt2kAdAU1MiB64DJi0o9WYtlvjRE2gHb8eH5C42fLze++bLQbXqhN1sfFs4Gmc&#10;gSIuvW24MrDfrR6noGJCtth6JgP/FGExv7+bYW59z1902qZKiQnHHA3UKYVc61jW5DCOfSCW28F3&#10;DpOsXaVth72Yu1Y/Z9mbdtiwJNQYaFlT+bc9OgM/nxyKVa/Lw3kZNr/FtF0f99/GjB6Gj3dQiYZ0&#10;E1+/Cyv1J68vAiA4MoOeXwAAAP//AwBQSwECLQAUAAYACAAAACEA2+H2y+4AAACFAQAAEwAAAAAA&#10;AAAAAAAAAAAAAAAAW0NvbnRlbnRfVHlwZXNdLnhtbFBLAQItABQABgAIAAAAIQBa9CxbvwAAABUB&#10;AAALAAAAAAAAAAAAAAAAAB8BAABfcmVscy8ucmVsc1BLAQItABQABgAIAAAAIQAcApJ+yAAAAN4A&#10;AAAPAAAAAAAAAAAAAAAAAAcCAABkcnMvZG93bnJldi54bWxQSwUGAAAAAAMAAwC3AAAA/AIAAAAA&#10;" filled="f" stroked="f">
                  <v:textbox inset="0,0,0,0">
                    <w:txbxContent>
                      <w:p w14:paraId="38559BA7" w14:textId="77777777" w:rsidR="00B32EF2" w:rsidRDefault="00000000">
                        <w:r>
                          <w:rPr>
                            <w:rFonts w:ascii="Arial" w:eastAsia="Arial" w:hAnsi="Arial" w:cs="Arial"/>
                            <w:i/>
                            <w:sz w:val="18"/>
                          </w:rPr>
                          <w:t>finanziari, alle imprese di investimento, agli organismi di investimento col</w:t>
                        </w:r>
                      </w:p>
                    </w:txbxContent>
                  </v:textbox>
                </v:rect>
                <v:rect id="Rectangle 17531" o:spid="_x0000_s3276" style="position:absolute;left:657;top:4061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jflxQAAAN4AAAAPAAAAZHJzL2Rvd25yZXYueG1sRE9La8JA&#10;EL4X/A/LCN7qxkpVoquIRZpDL/UBHofsmESzs0t2NWl/fbcgeJuP7zmLVWdqcafGV5YVjIYJCOLc&#10;6ooLBYf99nUGwgdkjbVlUvBDHlbL3ssCU21b/qb7LhQihrBPUUEZgkul9HlJBv3QOuLInW1jMETY&#10;FFI32MZwU8u3JJlIgxXHhhIdbUrKr7ubUXD6YJdtW5mffzfu65LN6s/b4ajUoN+t5yACdeEpfrgz&#10;HedP38cj+H8n3iCXfwAAAP//AwBQSwECLQAUAAYACAAAACEA2+H2y+4AAACFAQAAEwAAAAAAAAAA&#10;AAAAAAAAAAAAW0NvbnRlbnRfVHlwZXNdLnhtbFBLAQItABQABgAIAAAAIQBa9CxbvwAAABUBAAAL&#10;AAAAAAAAAAAAAAAAAB8BAABfcmVscy8ucmVsc1BLAQItABQABgAIAAAAIQBzTjflxQAAAN4AAAAP&#10;AAAAAAAAAAAAAAAAAAcCAABkcnMvZG93bnJldi54bWxQSwUGAAAAAAMAAwC3AAAA+QIAAAAA&#10;" filled="f" stroked="f">
                  <v:textbox inset="0,0,0,0">
                    <w:txbxContent>
                      <w:p w14:paraId="2A7DA343" w14:textId="77777777" w:rsidR="00B32EF2" w:rsidRDefault="00000000">
                        <w:r>
                          <w:rPr>
                            <w:rFonts w:ascii="Arial" w:eastAsia="Arial" w:hAnsi="Arial" w:cs="Arial"/>
                            <w:i/>
                            <w:sz w:val="18"/>
                          </w:rPr>
                          <w:t>-</w:t>
                        </w:r>
                      </w:p>
                    </w:txbxContent>
                  </v:textbox>
                </v:rect>
                <v:rect id="Rectangle 17532" o:spid="_x0000_s3277" style="position:absolute;left:-12241;top:39386;width:512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KmSxQAAAN4AAAAPAAAAZHJzL2Rvd25yZXYueG1sRE9La8JA&#10;EL4X/A/LCN7qpkpVoqsUi5hDL/UBHofsmMRmZ5fsamJ/fbcgeJuP7zmLVWdqcaPGV5YVvA0TEMS5&#10;1RUXCg77zesMhA/IGmvLpOBOHlbL3ssCU21b/qbbLhQihrBPUUEZgkul9HlJBv3QOuLInW1jMETY&#10;FFI32MZwU8tRkkykwYpjQ4mO1iXlP7urUXD6ZJdtWpmff9fu65LN6u31cFRq0O8+5iACdeEpfrgz&#10;HedP38cj+H8n3iCXfwAAAP//AwBQSwECLQAUAAYACAAAACEA2+H2y+4AAACFAQAAEwAAAAAAAAAA&#10;AAAAAAAAAAAAW0NvbnRlbnRfVHlwZXNdLnhtbFBLAQItABQABgAIAAAAIQBa9CxbvwAAABUBAAAL&#10;AAAAAAAAAAAAAAAAAB8BAABfcmVscy8ucmVsc1BLAQItABQABgAIAAAAIQCDnKmSxQAAAN4AAAAP&#10;AAAAAAAAAAAAAAAAAAcCAABkcnMvZG93bnJldi54bWxQSwUGAAAAAAMAAwC3AAAA+QIAAAAA&#10;" filled="f" stroked="f">
                  <v:textbox inset="0,0,0,0">
                    <w:txbxContent>
                      <w:p w14:paraId="11F693DF" w14:textId="77777777" w:rsidR="00B32EF2" w:rsidRDefault="00000000">
                        <w:r>
                          <w:rPr>
                            <w:rFonts w:ascii="Arial" w:eastAsia="Arial" w:hAnsi="Arial" w:cs="Arial"/>
                            <w:i/>
                            <w:sz w:val="18"/>
                          </w:rPr>
                          <w:t xml:space="preserve">lettivo del risparmio, alle società di gestione del risparmio e alle società </w:t>
                        </w:r>
                      </w:p>
                    </w:txbxContent>
                  </v:textbox>
                </v:rect>
                <v:rect id="Rectangle 17533" o:spid="_x0000_s3278" style="position:absolute;left:-12190;top:38153;width:510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AwJxQAAAN4AAAAPAAAAZHJzL2Rvd25yZXYueG1sRE9La8JA&#10;EL4X/A/LCN7qppWqRFcpiphDL/UBHofsmMRmZ5fsamJ/fbcgeJuP7znzZWdqcaPGV5YVvA0TEMS5&#10;1RUXCg77zesUhA/IGmvLpOBOHpaL3sscU21b/qbbLhQihrBPUUEZgkul9HlJBv3QOuLInW1jMETY&#10;FFI32MZwU8v3JBlLgxXHhhIdrUrKf3ZXo+C0ZpdtWpmff1fu65JN6+31cFRq0O8+ZyACdeEpfrgz&#10;HedPPkYj+H8n3iAXfwAAAP//AwBQSwECLQAUAAYACAAAACEA2+H2y+4AAACFAQAAEwAAAAAAAAAA&#10;AAAAAAAAAAAAW0NvbnRlbnRfVHlwZXNdLnhtbFBLAQItABQABgAIAAAAIQBa9CxbvwAAABUBAAAL&#10;AAAAAAAAAAAAAAAAAB8BAABfcmVscy8ucmVsc1BLAQItABQABgAIAAAAIQDs0AwJxQAAAN4AAAAP&#10;AAAAAAAAAAAAAAAAAAcCAABkcnMvZG93bnJldi54bWxQSwUGAAAAAAMAAwC3AAAA+QIAAAAA&#10;" filled="f" stroked="f">
                  <v:textbox inset="0,0,0,0">
                    <w:txbxContent>
                      <w:p w14:paraId="25919CCA" w14:textId="77777777" w:rsidR="00B32EF2" w:rsidRDefault="00000000">
                        <w:r>
                          <w:rPr>
                            <w:rFonts w:ascii="Arial" w:eastAsia="Arial" w:hAnsi="Arial" w:cs="Arial"/>
                            <w:i/>
                            <w:sz w:val="18"/>
                          </w:rPr>
                          <w:t xml:space="preserve">fiduciarie, dati, notizie e documenti relativi a qualsiasi rapporto intrattenuto </w:t>
                        </w:r>
                      </w:p>
                    </w:txbxContent>
                  </v:textbox>
                </v:rect>
                <v:rect id="Rectangle 17534" o:spid="_x0000_s3279" style="position:absolute;left:-12239;top:36920;width:5119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ZR9xQAAAN4AAAAPAAAAZHJzL2Rvd25yZXYueG1sRE9Na8JA&#10;EL0L/Q/LFHozG2ttJXWVokhz8KJV8DhkxyQ1O7tkV5P213cFobd5vM+ZLXrTiCu1vrasYJSkIIgL&#10;q2suFey/1sMpCB+QNTaWScEPeVjMHwYzzLTteEvXXShFDGGfoYIqBJdJ6YuKDPrEOuLInWxrMETY&#10;llK32MVw08jnNH2VBmuODRU6WlZUnHcXo+C4YpevO1mcfpdu851Pm8/L/qDU02P/8Q4iUB/+xXd3&#10;ruP8t8n4BW7vxBvk/A8AAP//AwBQSwECLQAUAAYACAAAACEA2+H2y+4AAACFAQAAEwAAAAAAAAAA&#10;AAAAAAAAAAAAW0NvbnRlbnRfVHlwZXNdLnhtbFBLAQItABQABgAIAAAAIQBa9CxbvwAAABUBAAAL&#10;AAAAAAAAAAAAAAAAAB8BAABfcmVscy8ucmVsc1BLAQItABQABgAIAAAAIQBjOZR9xQAAAN4AAAAP&#10;AAAAAAAAAAAAAAAAAAcCAABkcnMvZG93bnJldi54bWxQSwUGAAAAAAMAAwC3AAAA+QIAAAAA&#10;" filled="f" stroked="f">
                  <v:textbox inset="0,0,0,0">
                    <w:txbxContent>
                      <w:p w14:paraId="435AA112" w14:textId="77777777" w:rsidR="00B32EF2" w:rsidRDefault="00000000">
                        <w:r>
                          <w:rPr>
                            <w:rFonts w:ascii="Arial" w:eastAsia="Arial" w:hAnsi="Arial" w:cs="Arial"/>
                            <w:i/>
                            <w:sz w:val="18"/>
                          </w:rPr>
                          <w:t xml:space="preserve">od operazione effettuata, ivi compresi i servizi prestati, con i loro clienti, </w:t>
                        </w:r>
                      </w:p>
                    </w:txbxContent>
                  </v:textbox>
                </v:rect>
                <v:rect id="Rectangle 17535" o:spid="_x0000_s3280" style="position:absolute;left:-11228;top:35686;width:50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THmxQAAAN4AAAAPAAAAZHJzL2Rvd25yZXYueG1sRE9La8JA&#10;EL4X/A/LCN7qpi0+iK5SLGIOvdQHeByyYxKbnV2yq4n++m5B8DYf33Pmy87U4kqNrywreBsmIIhz&#10;qysuFOx369cpCB+QNdaWScGNPCwXvZc5ptq2/EPXbShEDGGfooIyBJdK6fOSDPqhdcSRO9nGYIiw&#10;KaRusI3hppbvSTKWBiuODSU6WpWU/24vRsHxi122bmV+uq/c9zmb1pvL/qDUoN99zkAE6sJT/HBn&#10;Os6fjD5G8P9OvEEu/gAAAP//AwBQSwECLQAUAAYACAAAACEA2+H2y+4AAACFAQAAEwAAAAAAAAAA&#10;AAAAAAAAAAAAW0NvbnRlbnRfVHlwZXNdLnhtbFBLAQItABQABgAIAAAAIQBa9CxbvwAAABUBAAAL&#10;AAAAAAAAAAAAAAAAAB8BAABfcmVscy8ucmVsc1BLAQItABQABgAIAAAAIQAMdTHmxQAAAN4AAAAP&#10;AAAAAAAAAAAAAAAAAAcCAABkcnMvZG93bnJldi54bWxQSwUGAAAAAAMAAwC3AAAA+QIAAAAA&#10;" filled="f" stroked="f">
                  <v:textbox inset="0,0,0,0">
                    <w:txbxContent>
                      <w:p w14:paraId="26EAF2CB" w14:textId="77777777" w:rsidR="00B32EF2" w:rsidRDefault="00000000">
                        <w:r>
                          <w:rPr>
                            <w:rFonts w:ascii="Arial" w:eastAsia="Arial" w:hAnsi="Arial" w:cs="Arial"/>
                            <w:i/>
                            <w:sz w:val="18"/>
                          </w:rPr>
                          <w:t>nonchè alle garanzie prestate da terzi o dagli operatori finanziari sopra in</w:t>
                        </w:r>
                      </w:p>
                    </w:txbxContent>
                  </v:textbox>
                </v:rect>
                <v:rect id="Rectangle 17536" o:spid="_x0000_s3281" style="position:absolute;left:657;top:3568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6+RxQAAAN4AAAAPAAAAZHJzL2Rvd25yZXYueG1sRE9La8JA&#10;EL4L/odlBG+6aYsPoqsUi5hDL/UBHofsmMRmZ5fsamJ/fbdQ8DYf33OW687U4k6NrywreBknIIhz&#10;qysuFBwP29EchA/IGmvLpOBBHtarfm+JqbYtf9F9HwoRQ9inqKAMwaVS+rwkg35sHXHkLrYxGCJs&#10;CqkbbGO4qeVrkkylwYpjQ4mONiXl3/ubUXD+YJdtW5lffjbu85rN693teFJqOOjeFyACdeEp/ndn&#10;Os6fTd6m8PdOvEGufgEAAP//AwBQSwECLQAUAAYACAAAACEA2+H2y+4AAACFAQAAEwAAAAAAAAAA&#10;AAAAAAAAAAAAW0NvbnRlbnRfVHlwZXNdLnhtbFBLAQItABQABgAIAAAAIQBa9CxbvwAAABUBAAAL&#10;AAAAAAAAAAAAAAAAAB8BAABfcmVscy8ucmVsc1BLAQItABQABgAIAAAAIQD8p6+RxQAAAN4AAAAP&#10;AAAAAAAAAAAAAAAAAAcCAABkcnMvZG93bnJldi54bWxQSwUGAAAAAAMAAwC3AAAA+QIAAAAA&#10;" filled="f" stroked="f">
                  <v:textbox inset="0,0,0,0">
                    <w:txbxContent>
                      <w:p w14:paraId="755874E3" w14:textId="77777777" w:rsidR="00B32EF2" w:rsidRDefault="00000000">
                        <w:r>
                          <w:rPr>
                            <w:rFonts w:ascii="Arial" w:eastAsia="Arial" w:hAnsi="Arial" w:cs="Arial"/>
                            <w:i/>
                            <w:sz w:val="18"/>
                          </w:rPr>
                          <w:t>-</w:t>
                        </w:r>
                      </w:p>
                    </w:txbxContent>
                  </v:textbox>
                </v:rect>
                <v:rect id="Rectangle 17537" o:spid="_x0000_s3282" style="position:absolute;left:-12190;top:34453;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woKxQAAAN4AAAAPAAAAZHJzL2Rvd25yZXYueG1sRE9La8JA&#10;EL4X/A/LCN7qxkpVoquIRZpDL/UBHofsmESzs0t2NWl/fbcgeJuP7zmLVWdqcafGV5YVjIYJCOLc&#10;6ooLBYf99nUGwgdkjbVlUvBDHlbL3ssCU21b/qb7LhQihrBPUUEZgkul9HlJBv3QOuLInW1jMETY&#10;FFI32MZwU8u3JJlIgxXHhhIdbUrKr7ubUXD6YJdtW5mffzfu65LN6s/b4ajUoN+t5yACdeEpfrgz&#10;HedP38dT+H8n3iCXfwAAAP//AwBQSwECLQAUAAYACAAAACEA2+H2y+4AAACFAQAAEwAAAAAAAAAA&#10;AAAAAAAAAAAAW0NvbnRlbnRfVHlwZXNdLnhtbFBLAQItABQABgAIAAAAIQBa9CxbvwAAABUBAAAL&#10;AAAAAAAAAAAAAAAAAB8BAABfcmVscy8ucmVsc1BLAQItABQABgAIAAAAIQCT6woKxQAAAN4AAAAP&#10;AAAAAAAAAAAAAAAAAAcCAABkcnMvZG93bnJldi54bWxQSwUGAAAAAAMAAwC3AAAA+QIAAAAA&#10;" filled="f" stroked="f">
                  <v:textbox inset="0,0,0,0">
                    <w:txbxContent>
                      <w:p w14:paraId="721DB78A" w14:textId="77777777" w:rsidR="00B32EF2" w:rsidRDefault="00000000">
                        <w:r>
                          <w:rPr>
                            <w:rFonts w:ascii="Arial" w:eastAsia="Arial" w:hAnsi="Arial" w:cs="Arial"/>
                            <w:i/>
                            <w:sz w:val="18"/>
                          </w:rPr>
                          <w:t xml:space="preserve">dicati e le generalità dei soggetti per i quali gli stessi operatori finanziari </w:t>
                        </w:r>
                      </w:p>
                    </w:txbxContent>
                  </v:textbox>
                </v:rect>
                <v:rect id="Rectangle 17538" o:spid="_x0000_s3283" style="position:absolute;left:-12243;top:33220;width:512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J54yAAAAN4AAAAPAAAAZHJzL2Rvd25yZXYueG1sRI9Bb8Iw&#10;DIXvk/YfIk/iNtJt2kAdAU1MiB64DJi0o9WYtlvjRE2gHb8eH5C42XrP732eLQbXqhN1sfFs4Gmc&#10;gSIuvW24MrDfrR6noGJCtth6JgP/FGExv7+bYW59z1902qZKSQjHHA3UKYVc61jW5DCOfSAW7eA7&#10;h0nWrtK2w17CXaufs+xNO2xYGmoMtKyp/NsenYGfTw7Fqtfl4bwMm99i2q6P+29jRg/DxzuoREO6&#10;ma/XhRX8yeuL8Mo7MoOeXwAAAP//AwBQSwECLQAUAAYACAAAACEA2+H2y+4AAACFAQAAEwAAAAAA&#10;AAAAAAAAAAAAAAAAW0NvbnRlbnRfVHlwZXNdLnhtbFBLAQItABQABgAIAAAAIQBa9CxbvwAAABUB&#10;AAALAAAAAAAAAAAAAAAAAB8BAABfcmVscy8ucmVsc1BLAQItABQABgAIAAAAIQDidJ54yAAAAN4A&#10;AAAPAAAAAAAAAAAAAAAAAAcCAABkcnMvZG93bnJldi54bWxQSwUGAAAAAAMAAwC3AAAA/AIAAAAA&#10;" filled="f" stroked="f">
                  <v:textbox inset="0,0,0,0">
                    <w:txbxContent>
                      <w:p w14:paraId="0435AC7C" w14:textId="77777777" w:rsidR="00B32EF2" w:rsidRDefault="00000000">
                        <w:r>
                          <w:rPr>
                            <w:rFonts w:ascii="Arial" w:eastAsia="Arial" w:hAnsi="Arial" w:cs="Arial"/>
                            <w:i/>
                            <w:sz w:val="18"/>
                          </w:rPr>
                          <w:t xml:space="preserve">abbiano effettuato le suddette operazioni e servizi o con i quali abbiano </w:t>
                        </w:r>
                      </w:p>
                    </w:txbxContent>
                  </v:textbox>
                </v:rect>
                <v:rect id="Rectangle 17539" o:spid="_x0000_s3284" style="position:absolute;left:-12190;top:31986;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DvjxQAAAN4AAAAPAAAAZHJzL2Rvd25yZXYueG1sRE9Na8JA&#10;EL0X+h+WKXirm7ZYY+oqxSLm4EVrweOQHZO02dklu5ror3eFgrd5vM+ZznvTiBO1vras4GWYgCAu&#10;rK65VLD7Xj6nIHxA1thYJgVn8jCfPT5MMdO24w2dtqEUMYR9hgqqEFwmpS8qMuiH1hFH7mBbgyHC&#10;tpS6xS6Gm0a+Jsm7NFhzbKjQ0aKi4m97NAr2X+zyZSeLw2Xh1r952qyOux+lBk/95weIQH24i//d&#10;uY7zx6O3CdzeiTfI2RUAAP//AwBQSwECLQAUAAYACAAAACEA2+H2y+4AAACFAQAAEwAAAAAAAAAA&#10;AAAAAAAAAAAAW0NvbnRlbnRfVHlwZXNdLnhtbFBLAQItABQABgAIAAAAIQBa9CxbvwAAABUBAAAL&#10;AAAAAAAAAAAAAAAAAB8BAABfcmVscy8ucmVsc1BLAQItABQABgAIAAAAIQCNODvjxQAAAN4AAAAP&#10;AAAAAAAAAAAAAAAAAAcCAABkcnMvZG93bnJldi54bWxQSwUGAAAAAAMAAwC3AAAA+QIAAAAA&#10;" filled="f" stroked="f">
                  <v:textbox inset="0,0,0,0">
                    <w:txbxContent>
                      <w:p w14:paraId="5C429ADE" w14:textId="77777777" w:rsidR="00B32EF2" w:rsidRDefault="00000000">
                        <w:r>
                          <w:rPr>
                            <w:rFonts w:ascii="Arial" w:eastAsia="Arial" w:hAnsi="Arial" w:cs="Arial"/>
                            <w:i/>
                            <w:sz w:val="18"/>
                          </w:rPr>
                          <w:t xml:space="preserve">intrattenuto rapporti di natura finanziaria. Alle società fiduciarie di cui alla </w:t>
                        </w:r>
                      </w:p>
                    </w:txbxContent>
                  </v:textbox>
                </v:rect>
                <v:rect id="Rectangle 17540" o:spid="_x0000_s3285" style="position:absolute;left:-12187;top:30753;width:509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EDyAAAAN4AAAAPAAAAZHJzL2Rvd25yZXYueG1sRI9Bb8Iw&#10;DIXvk/YfIk/iNtJN20AdAU1MiB64DJi0o9WYtlvjRE2gHb8eH5C42fLze++bLQbXqhN1sfFs4Gmc&#10;gSIuvW24MrDfrR6noGJCtth6JgP/FGExv7+bYW59z1902qZKiQnHHA3UKYVc61jW5DCOfSCW28F3&#10;DpOsXaVth72Yu1Y/Z9mbdtiwJNQYaFlT+bc9OgM/nxyKVa/Lw3kZNr/FtF0f99/GjB6Gj3dQiYZ0&#10;E1+/Cyv1J68vAiA4MoOeXwAAAP//AwBQSwECLQAUAAYACAAAACEA2+H2y+4AAACFAQAAEwAAAAAA&#10;AAAAAAAAAAAAAAAAW0NvbnRlbnRfVHlwZXNdLnhtbFBLAQItABQABgAIAAAAIQBa9CxbvwAAABUB&#10;AAALAAAAAAAAAAAAAAAAAB8BAABfcmVscy8ucmVsc1BLAQItABQABgAIAAAAIQBEBOEDyAAAAN4A&#10;AAAPAAAAAAAAAAAAAAAAAAcCAABkcnMvZG93bnJldi54bWxQSwUGAAAAAAMAAwC3AAAA/AIAAAAA&#10;" filled="f" stroked="f">
                  <v:textbox inset="0,0,0,0">
                    <w:txbxContent>
                      <w:p w14:paraId="57B88168" w14:textId="77777777" w:rsidR="00B32EF2" w:rsidRDefault="00000000">
                        <w:r>
                          <w:rPr>
                            <w:rFonts w:ascii="Arial" w:eastAsia="Arial" w:hAnsi="Arial" w:cs="Arial"/>
                            <w:i/>
                            <w:sz w:val="18"/>
                          </w:rPr>
                          <w:t xml:space="preserve">legge 23 novembre 1939, n. 1966, e a quelle iscritte nella sezione speciale </w:t>
                        </w:r>
                      </w:p>
                    </w:txbxContent>
                  </v:textbox>
                </v:rect>
                <v:rect id="Rectangle 17541" o:spid="_x0000_s3286" style="position:absolute;left:-11214;top:29520;width:500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ESYxQAAAN4AAAAPAAAAZHJzL2Rvd25yZXYueG1sRE9La8JA&#10;EL4X/A/LCN7qxmJVoquIRZpDL/UBHofsmESzs0t2NWl/fbcgeJuP7zmLVWdqcafGV5YVjIYJCOLc&#10;6ooLBYf99nUGwgdkjbVlUvBDHlbL3ssCU21b/qb7LhQihrBPUUEZgkul9HlJBv3QOuLInW1jMETY&#10;FFI32MZwU8u3JJlIgxXHhhIdbUrKr7ubUXD6YJdtW5mffzfu65LN6s/b4ajUoN+t5yACdeEpfrgz&#10;HedP38cj+H8n3iCXfwAAAP//AwBQSwECLQAUAAYACAAAACEA2+H2y+4AAACFAQAAEwAAAAAAAAAA&#10;AAAAAAAAAAAAW0NvbnRlbnRfVHlwZXNdLnhtbFBLAQItABQABgAIAAAAIQBa9CxbvwAAABUBAAAL&#10;AAAAAAAAAAAAAAAAAB8BAABfcmVscy8ucmVsc1BLAQItABQABgAIAAAAIQArSESYxQAAAN4AAAAP&#10;AAAAAAAAAAAAAAAAAAcCAABkcnMvZG93bnJldi54bWxQSwUGAAAAAAMAAwC3AAAA+QIAAAAA&#10;" filled="f" stroked="f">
                  <v:textbox inset="0,0,0,0">
                    <w:txbxContent>
                      <w:p w14:paraId="030D5871" w14:textId="77777777" w:rsidR="00B32EF2" w:rsidRDefault="00000000">
                        <w:r>
                          <w:rPr>
                            <w:rFonts w:ascii="Arial" w:eastAsia="Arial" w:hAnsi="Arial" w:cs="Arial"/>
                            <w:i/>
                            <w:sz w:val="18"/>
                          </w:rPr>
                          <w:t>dell’albo di cui all’ articolo 20 del testo unico delle disposizioni in mate</w:t>
                        </w:r>
                      </w:p>
                    </w:txbxContent>
                  </v:textbox>
                </v:rect>
                <v:rect id="Rectangle 17542" o:spid="_x0000_s3287" style="position:absolute;left:657;top:2952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trvxQAAAN4AAAAPAAAAZHJzL2Rvd25yZXYueG1sRE9La8JA&#10;EL4X/A/LCN7qpmJVoqsUi5hDL/UBHofsmMRmZ5fsamJ/fbcgeJuP7zmLVWdqcaPGV5YVvA0TEMS5&#10;1RUXCg77zesMhA/IGmvLpOBOHlbL3ssCU21b/qbbLhQihrBPUUEZgkul9HlJBv3QOuLInW1jMETY&#10;FFI32MZwU8tRkkykwYpjQ4mO1iXlP7urUXD6ZJdtWpmff9fu65LN6u31cFRq0O8+5iACdeEpfrgz&#10;HedP38cj+H8n3iCXfwAAAP//AwBQSwECLQAUAAYACAAAACEA2+H2y+4AAACFAQAAEwAAAAAAAAAA&#10;AAAAAAAAAAAAW0NvbnRlbnRfVHlwZXNdLnhtbFBLAQItABQABgAIAAAAIQBa9CxbvwAAABUBAAAL&#10;AAAAAAAAAAAAAAAAAB8BAABfcmVscy8ucmVsc1BLAQItABQABgAIAAAAIQDbmtrvxQAAAN4AAAAP&#10;AAAAAAAAAAAAAAAAAAcCAABkcnMvZG93bnJldi54bWxQSwUGAAAAAAMAAwC3AAAA+QIAAAAA&#10;" filled="f" stroked="f">
                  <v:textbox inset="0,0,0,0">
                    <w:txbxContent>
                      <w:p w14:paraId="40F5EF24" w14:textId="77777777" w:rsidR="00B32EF2" w:rsidRDefault="00000000">
                        <w:r>
                          <w:rPr>
                            <w:rFonts w:ascii="Arial" w:eastAsia="Arial" w:hAnsi="Arial" w:cs="Arial"/>
                            <w:i/>
                            <w:sz w:val="18"/>
                          </w:rPr>
                          <w:t>-</w:t>
                        </w:r>
                      </w:p>
                    </w:txbxContent>
                  </v:textbox>
                </v:rect>
                <v:rect id="Rectangle 17543" o:spid="_x0000_s3288" style="position:absolute;left:-12187;top:28286;width:510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n90xQAAAN4AAAAPAAAAZHJzL2Rvd25yZXYueG1sRE9Na8JA&#10;EL0L/Q/LFHozG2ttJXWVokhz8KJV8DhkxyQ1O7tkV5P213cFobd5vM+ZLXrTiCu1vrasYJSkIIgL&#10;q2suFey/1sMpCB+QNTaWScEPeVjMHwYzzLTteEvXXShFDGGfoYIqBJdJ6YuKDPrEOuLInWxrMETY&#10;llK32MVw08jnNH2VBmuODRU6WlZUnHcXo+C4YpevO1mcfpdu851Pm8/L/qDU02P/8Q4iUB/+xXd3&#10;ruP8t8nLGG7vxBvk/A8AAP//AwBQSwECLQAUAAYACAAAACEA2+H2y+4AAACFAQAAEwAAAAAAAAAA&#10;AAAAAAAAAAAAW0NvbnRlbnRfVHlwZXNdLnhtbFBLAQItABQABgAIAAAAIQBa9CxbvwAAABUBAAAL&#10;AAAAAAAAAAAAAAAAAB8BAABfcmVscy8ucmVsc1BLAQItABQABgAIAAAAIQC01n90xQAAAN4AAAAP&#10;AAAAAAAAAAAAAAAAAAcCAABkcnMvZG93bnJldi54bWxQSwUGAAAAAAMAAwC3AAAA+QIAAAAA&#10;" filled="f" stroked="f">
                  <v:textbox inset="0,0,0,0">
                    <w:txbxContent>
                      <w:p w14:paraId="0AE366C9" w14:textId="77777777" w:rsidR="00B32EF2" w:rsidRDefault="00000000">
                        <w:r>
                          <w:rPr>
                            <w:rFonts w:ascii="Arial" w:eastAsia="Arial" w:hAnsi="Arial" w:cs="Arial"/>
                            <w:i/>
                            <w:sz w:val="18"/>
                          </w:rPr>
                          <w:t xml:space="preserve">ria di intermediazione finanziaria , di cui al decreto legislativo 24 febbraio </w:t>
                        </w:r>
                      </w:p>
                    </w:txbxContent>
                  </v:textbox>
                </v:rect>
                <v:rect id="Rectangle 200794" o:spid="_x0000_s3289" style="position:absolute;left:23608;top:27053;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Z+WxwAAAN8AAAAPAAAAZHJzL2Rvd25yZXYueG1sRI9Ba8JA&#10;FITvgv9heYI33Vik1egqYpHm0ItWweMj+0yi2bdLdjVpf31XKPQ4zMw3zHLdmVo8qPGVZQWTcQKC&#10;OLe64kLB8Ws3moHwAVljbZkUfJOH9arfW2Kqbct7ehxCISKEfYoKyhBcKqXPSzLox9YRR+9iG4Mh&#10;yqaQusE2wk0tX5LkVRqsOC6U6GhbUn473I2C8zu7bNfK/PKzdZ/XbFZ/3I8npYaDbrMAEagL/+G/&#10;dqYVROLbfArPP/ELyNUvAAAA//8DAFBLAQItABQABgAIAAAAIQDb4fbL7gAAAIUBAAATAAAAAAAA&#10;AAAAAAAAAAAAAABbQ29udGVudF9UeXBlc10ueG1sUEsBAi0AFAAGAAgAAAAhAFr0LFu/AAAAFQEA&#10;AAsAAAAAAAAAAAAAAAAAHwEAAF9yZWxzLy5yZWxzUEsBAi0AFAAGAAgAAAAhAAj1n5bHAAAA3wAA&#10;AA8AAAAAAAAAAAAAAAAABwIAAGRycy9kb3ducmV2LnhtbFBLBQYAAAAAAwADALcAAAD7AgAAAAA=&#10;" filled="f" stroked="f">
                  <v:textbox inset="0,0,0,0">
                    <w:txbxContent>
                      <w:p w14:paraId="5F7F251D" w14:textId="77777777" w:rsidR="00B32EF2" w:rsidRDefault="00000000">
                        <w:r>
                          <w:rPr>
                            <w:rFonts w:ascii="Arial" w:eastAsia="Arial" w:hAnsi="Arial" w:cs="Arial"/>
                            <w:i/>
                            <w:sz w:val="18"/>
                          </w:rPr>
                          <w:t>1998</w:t>
                        </w:r>
                      </w:p>
                    </w:txbxContent>
                  </v:textbox>
                </v:rect>
                <v:rect id="Rectangle 200795" o:spid="_x0000_s3290" style="position:absolute;left:-14773;top:27053;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ToNxwAAAN8AAAAPAAAAZHJzL2Rvd25yZXYueG1sRI9Ba8JA&#10;FITvgv9heYI33Viw1egqYpHm0ItWweMj+0yi2bdLdjVpf31XKPQ4zMw3zHLdmVo8qPGVZQWTcQKC&#10;OLe64kLB8Ws3moHwAVljbZkUfJOH9arfW2Kqbct7ehxCISKEfYoKyhBcKqXPSzLox9YRR+9iG4Mh&#10;yqaQusE2wk0tX5LkVRqsOC6U6GhbUn473I2C8zu7bNfK/PKzdZ/XbFZ/3I8npYaDbrMAEagL/+G/&#10;dqYVROLbfArPP/ELyNUvAAAA//8DAFBLAQItABQABgAIAAAAIQDb4fbL7gAAAIUBAAATAAAAAAAA&#10;AAAAAAAAAAAAAABbQ29udGVudF9UeXBlc10ueG1sUEsBAi0AFAAGAAgAAAAhAFr0LFu/AAAAFQEA&#10;AAsAAAAAAAAAAAAAAAAAHwEAAF9yZWxzLy5yZWxzUEsBAi0AFAAGAAgAAAAhAGe5Og3HAAAA3wAA&#10;AA8AAAAAAAAAAAAAAAAABwIAAGRycy9kb3ducmV2LnhtbFBLBQYAAAAAAwADALcAAAD7AgAAAAA=&#10;" filled="f" stroked="f">
                  <v:textbox inset="0,0,0,0">
                    <w:txbxContent>
                      <w:p w14:paraId="7685F685" w14:textId="77777777" w:rsidR="00B32EF2" w:rsidRDefault="00000000">
                        <w:r>
                          <w:rPr>
                            <w:rFonts w:ascii="Arial" w:eastAsia="Arial" w:hAnsi="Arial" w:cs="Arial"/>
                            <w:i/>
                            <w:sz w:val="18"/>
                          </w:rPr>
                          <w:t xml:space="preserve">, n. 58, può essere richiesto, tra l’altro, specificando i periodi temporali </w:t>
                        </w:r>
                      </w:p>
                    </w:txbxContent>
                  </v:textbox>
                </v:rect>
                <v:rect id="Rectangle 17545" o:spid="_x0000_s3291" style="position:absolute;left:-12232;top:25820;width:511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0KbxQAAAN4AAAAPAAAAZHJzL2Rvd25yZXYueG1sRE9La8JA&#10;EL4X/A/LCN7qpqU+iK5SLGIOvdQHeByyYxKbnV2yq4n++m5B8DYf33Pmy87U4kqNrywreBsmIIhz&#10;qysuFOx369cpCB+QNdaWScGNPCwXvZc5ptq2/EPXbShEDGGfooIyBJdK6fOSDPqhdcSRO9nGYIiw&#10;KaRusI3hppbvSTKWBiuODSU6WpWU/24vRsHxi122bmV+uq/c9zmb1pvL/qDUoN99zkAE6sJT/HBn&#10;Os6fjD5G8P9OvEEu/gAAAP//AwBQSwECLQAUAAYACAAAACEA2+H2y+4AAACFAQAAEwAAAAAAAAAA&#10;AAAAAAAAAAAAW0NvbnRlbnRfVHlwZXNdLnhtbFBLAQItABQABgAIAAAAIQBa9CxbvwAAABUBAAAL&#10;AAAAAAAAAAAAAAAAAB8BAABfcmVscy8ucmVsc1BLAQItABQABgAIAAAAIQBUc0KbxQAAAN4AAAAP&#10;AAAAAAAAAAAAAAAAAAcCAABkcnMvZG93bnJldi54bWxQSwUGAAAAAAMAAwC3AAAA+QIAAAAA&#10;" filled="f" stroked="f">
                  <v:textbox inset="0,0,0,0">
                    <w:txbxContent>
                      <w:p w14:paraId="58E6DFAF" w14:textId="77777777" w:rsidR="00B32EF2" w:rsidRDefault="00000000">
                        <w:r>
                          <w:rPr>
                            <w:rFonts w:ascii="Arial" w:eastAsia="Arial" w:hAnsi="Arial" w:cs="Arial"/>
                            <w:i/>
                            <w:sz w:val="18"/>
                          </w:rPr>
                          <w:t xml:space="preserve">di interesse, di comunicare le generalità dei soggetti per conto dei quali </w:t>
                        </w:r>
                      </w:p>
                    </w:txbxContent>
                  </v:textbox>
                </v:rect>
                <v:rect id="Rectangle 17546" o:spid="_x0000_s3292" style="position:absolute;left:-12189;top:24587;width:5100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dzsxQAAAN4AAAAPAAAAZHJzL2Rvd25yZXYueG1sRE9La8JA&#10;EL4L/odlBG+6aakPoqsUi5hDL/UBHofsmMRmZ5fsamJ/fbdQ8DYf33OW687U4k6NrywreBknIIhz&#10;qysuFBwP29EchA/IGmvLpOBBHtarfm+JqbYtf9F9HwoRQ9inqKAMwaVS+rwkg35sHXHkLrYxGCJs&#10;CqkbbGO4qeVrkkylwYpjQ4mONiXl3/ubUXD+YJdtW5lffjbu85rN693teFJqOOjeFyACdeEp/ndn&#10;Os6fTd6m8PdOvEGufgEAAP//AwBQSwECLQAUAAYACAAAACEA2+H2y+4AAACFAQAAEwAAAAAAAAAA&#10;AAAAAAAAAAAAW0NvbnRlbnRfVHlwZXNdLnhtbFBLAQItABQABgAIAAAAIQBa9CxbvwAAABUBAAAL&#10;AAAAAAAAAAAAAAAAAB8BAABfcmVscy8ucmVsc1BLAQItABQABgAIAAAAIQCkodzsxQAAAN4AAAAP&#10;AAAAAAAAAAAAAAAAAAcCAABkcnMvZG93bnJldi54bWxQSwUGAAAAAAMAAwC3AAAA+QIAAAAA&#10;" filled="f" stroked="f">
                  <v:textbox inset="0,0,0,0">
                    <w:txbxContent>
                      <w:p w14:paraId="670E4669" w14:textId="77777777" w:rsidR="00B32EF2" w:rsidRDefault="00000000">
                        <w:r>
                          <w:rPr>
                            <w:rFonts w:ascii="Arial" w:eastAsia="Arial" w:hAnsi="Arial" w:cs="Arial"/>
                            <w:i/>
                            <w:sz w:val="18"/>
                          </w:rPr>
                          <w:t xml:space="preserve">esse hanno detenuto o amministrato o gestito beni, strumenti finanziari e </w:t>
                        </w:r>
                      </w:p>
                    </w:txbxContent>
                  </v:textbox>
                </v:rect>
                <v:rect id="Rectangle 17547" o:spid="_x0000_s3293" style="position:absolute;left:-12239;top:23353;width:511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Xl3xQAAAN4AAAAPAAAAZHJzL2Rvd25yZXYueG1sRE9La8JA&#10;EL4X/A/LCN7qxmJVoquIRZpDL/UBHofsmESzs0t2NWl/fbcgeJuP7zmLVWdqcafGV5YVjIYJCOLc&#10;6ooLBYf99nUGwgdkjbVlUvBDHlbL3ssCU21b/qb7LhQihrBPUUEZgkul9HlJBv3QOuLInW1jMETY&#10;FFI32MZwU8u3JJlIgxXHhhIdbUrKr7ubUXD6YJdtW5mffzfu65LN6s/b4ajUoN+t5yACdeEpfrgz&#10;HedP38dT+H8n3iCXfwAAAP//AwBQSwECLQAUAAYACAAAACEA2+H2y+4AAACFAQAAEwAAAAAAAAAA&#10;AAAAAAAAAAAAW0NvbnRlbnRfVHlwZXNdLnhtbFBLAQItABQABgAIAAAAIQBa9CxbvwAAABUBAAAL&#10;AAAAAAAAAAAAAAAAAB8BAABfcmVscy8ucmVsc1BLAQItABQABgAIAAAAIQDL7Xl3xQAAAN4AAAAP&#10;AAAAAAAAAAAAAAAAAAcCAABkcnMvZG93bnJldi54bWxQSwUGAAAAAAMAAwC3AAAA+QIAAAAA&#10;" filled="f" stroked="f">
                  <v:textbox inset="0,0,0,0">
                    <w:txbxContent>
                      <w:p w14:paraId="61CEFE1F" w14:textId="77777777" w:rsidR="00B32EF2" w:rsidRDefault="00000000">
                        <w:r>
                          <w:rPr>
                            <w:rFonts w:ascii="Arial" w:eastAsia="Arial" w:hAnsi="Arial" w:cs="Arial"/>
                            <w:i/>
                            <w:sz w:val="18"/>
                          </w:rPr>
                          <w:t xml:space="preserve">partecipazioni in imprese, inequivocamente individuati. La richiesta deve </w:t>
                        </w:r>
                      </w:p>
                    </w:txbxContent>
                  </v:textbox>
                </v:rect>
                <v:rect id="Rectangle 17548" o:spid="_x0000_s3294" style="position:absolute;left:-11210;top:22120;width:50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u0FyAAAAN4AAAAPAAAAZHJzL2Rvd25yZXYueG1sRI9Bb8Iw&#10;DIXvk/YfIk/iNtJN20AdAU1MiB64DJi0o9WYtlvjRE2gHb8eH5C42XrP732eLQbXqhN1sfFs4Gmc&#10;gSIuvW24MrDfrR6noGJCtth6JgP/FGExv7+bYW59z1902qZKSQjHHA3UKYVc61jW5DCOfSAW7eA7&#10;h0nWrtK2w17CXaufs+xNO2xYGmoMtKyp/NsenYGfTw7Fqtfl4bwMm99i2q6P+29jRg/DxzuoREO6&#10;ma/XhRX8yeuL8Mo7MoOeXwAAAP//AwBQSwECLQAUAAYACAAAACEA2+H2y+4AAACFAQAAEwAAAAAA&#10;AAAAAAAAAAAAAAAAW0NvbnRlbnRfVHlwZXNdLnhtbFBLAQItABQABgAIAAAAIQBa9CxbvwAAABUB&#10;AAALAAAAAAAAAAAAAAAAAB8BAABfcmVscy8ucmVsc1BLAQItABQABgAIAAAAIQC6cu0FyAAAAN4A&#10;AAAPAAAAAAAAAAAAAAAAAAcCAABkcnMvZG93bnJldi54bWxQSwUGAAAAAAMAAwC3AAAA/AIAAAAA&#10;" filled="f" stroked="f">
                  <v:textbox inset="0,0,0,0">
                    <w:txbxContent>
                      <w:p w14:paraId="29EC55A0" w14:textId="77777777" w:rsidR="00B32EF2" w:rsidRDefault="00000000">
                        <w:r>
                          <w:rPr>
                            <w:rFonts w:ascii="Arial" w:eastAsia="Arial" w:hAnsi="Arial" w:cs="Arial"/>
                            <w:i/>
                            <w:sz w:val="18"/>
                          </w:rPr>
                          <w:t>essere indirizzata al responsabile della struttura accentrata, ovvero al re</w:t>
                        </w:r>
                      </w:p>
                    </w:txbxContent>
                  </v:textbox>
                </v:rect>
                <v:rect id="Rectangle 17549" o:spid="_x0000_s3295" style="position:absolute;left:657;top:2212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kiexQAAAN4AAAAPAAAAZHJzL2Rvd25yZXYueG1sRE9Na8JA&#10;EL0X+h+WKXirm5ZaY+oqxSLm4EVrweOQHZO02dklu5ror3eFgrd5vM+ZznvTiBO1vras4GWYgCAu&#10;rK65VLD7Xj6nIHxA1thYJgVn8jCfPT5MMdO24w2dtqEUMYR9hgqqEFwmpS8qMuiH1hFH7mBbgyHC&#10;tpS6xS6Gm0a+Jsm7NFhzbKjQ0aKi4m97NAr2X+zyZSeLw2Xh1r952qyOux+lBk/95weIQH24i//d&#10;uY7zx6O3CdzeiTfI2RUAAP//AwBQSwECLQAUAAYACAAAACEA2+H2y+4AAACFAQAAEwAAAAAAAAAA&#10;AAAAAAAAAAAAW0NvbnRlbnRfVHlwZXNdLnhtbFBLAQItABQABgAIAAAAIQBa9CxbvwAAABUBAAAL&#10;AAAAAAAAAAAAAAAAAB8BAABfcmVscy8ucmVsc1BLAQItABQABgAIAAAAIQDVPkiexQAAAN4AAAAP&#10;AAAAAAAAAAAAAAAAAAcCAABkcnMvZG93bnJldi54bWxQSwUGAAAAAAMAAwC3AAAA+QIAAAAA&#10;" filled="f" stroked="f">
                  <v:textbox inset="0,0,0,0">
                    <w:txbxContent>
                      <w:p w14:paraId="3D0F321B" w14:textId="77777777" w:rsidR="00B32EF2" w:rsidRDefault="00000000">
                        <w:r>
                          <w:rPr>
                            <w:rFonts w:ascii="Arial" w:eastAsia="Arial" w:hAnsi="Arial" w:cs="Arial"/>
                            <w:i/>
                            <w:sz w:val="18"/>
                          </w:rPr>
                          <w:t>-</w:t>
                        </w:r>
                      </w:p>
                    </w:txbxContent>
                  </v:textbox>
                </v:rect>
                <v:rect id="Rectangle 17550" o:spid="_x0000_s3296" style="position:absolute;left:-12189;top:20887;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XfeyAAAAN4AAAAPAAAAZHJzL2Rvd25yZXYueG1sRI9Pa8JA&#10;EMXvQr/DMgVvumlBK6mrFIs0h178U+hxyI5J2uzskl1N7Kd3DkJvM8yb995vuR5cqy7Uxcazgadp&#10;Boq49LbhysDxsJ0sQMWEbLH1TAauFGG9ehgtMbe+5x1d9qlSYsIxRwN1SiHXOpY1OYxTH4jldvKd&#10;wyRrV2nbYS/mrtXPWTbXDhuWhBoDbWoqf/dnZ+D7nUOx7XV5+tuEz59i0X6cj1/GjB+Ht1dQiYb0&#10;L75/F1bqv8xmAiA4MoNe3QAAAP//AwBQSwECLQAUAAYACAAAACEA2+H2y+4AAACFAQAAEwAAAAAA&#10;AAAAAAAAAAAAAAAAW0NvbnRlbnRfVHlwZXNdLnhtbFBLAQItABQABgAIAAAAIQBa9CxbvwAAABUB&#10;AAALAAAAAAAAAAAAAAAAAB8BAABfcmVscy8ucmVsc1BLAQItABQABgAIAAAAIQDB3XfeyAAAAN4A&#10;AAAPAAAAAAAAAAAAAAAAAAcCAABkcnMvZG93bnJldi54bWxQSwUGAAAAAAMAAwC3AAAA/AIAAAAA&#10;" filled="f" stroked="f">
                  <v:textbox inset="0,0,0,0">
                    <w:txbxContent>
                      <w:p w14:paraId="6647E5B2" w14:textId="77777777" w:rsidR="00B32EF2" w:rsidRDefault="00000000">
                        <w:r>
                          <w:rPr>
                            <w:rFonts w:ascii="Arial" w:eastAsia="Arial" w:hAnsi="Arial" w:cs="Arial"/>
                            <w:i/>
                            <w:sz w:val="18"/>
                          </w:rPr>
                          <w:t xml:space="preserve">sponsabile della sede o dell’ufficio destinatario che ne dà notizia immediata </w:t>
                        </w:r>
                      </w:p>
                    </w:txbxContent>
                  </v:textbox>
                </v:rect>
                <v:rect id="Rectangle 17551" o:spid="_x0000_s3297" style="position:absolute;left:-12225;top:19653;width:511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dJFxAAAAN4AAAAPAAAAZHJzL2Rvd25yZXYueG1sRE9Li8Iw&#10;EL4L+x/CLHjT1AVXqUZZXGR78LI+wOPQjG21mYQm2uqv3ywI3ubje8582Zla3KjxlWUFo2ECgji3&#10;uuJCwX63HkxB+ICssbZMCu7kYbl4680x1bblX7ptQyFiCPsUFZQhuFRKn5dk0A+tI47cyTYGQ4RN&#10;IXWDbQw3tfxIkk9psOLYUKKjVUn5ZXs1Co7f7LJ1K/PTY+U252xa/1z3B6X6793XDESgLrzET3em&#10;4/zJeDyC/3fiDXLxBwAA//8DAFBLAQItABQABgAIAAAAIQDb4fbL7gAAAIUBAAATAAAAAAAAAAAA&#10;AAAAAAAAAABbQ29udGVudF9UeXBlc10ueG1sUEsBAi0AFAAGAAgAAAAhAFr0LFu/AAAAFQEAAAsA&#10;AAAAAAAAAAAAAAAAHwEAAF9yZWxzLy5yZWxzUEsBAi0AFAAGAAgAAAAhAK6R0kXEAAAA3gAAAA8A&#10;AAAAAAAAAAAAAAAABwIAAGRycy9kb3ducmV2LnhtbFBLBQYAAAAAAwADALcAAAD4AgAAAAA=&#10;" filled="f" stroked="f">
                  <v:textbox inset="0,0,0,0">
                    <w:txbxContent>
                      <w:p w14:paraId="14D7F68C" w14:textId="77777777" w:rsidR="00B32EF2" w:rsidRDefault="00000000">
                        <w:r>
                          <w:rPr>
                            <w:rFonts w:ascii="Arial" w:eastAsia="Arial" w:hAnsi="Arial" w:cs="Arial"/>
                            <w:i/>
                            <w:sz w:val="18"/>
                          </w:rPr>
                          <w:t xml:space="preserve">al soggetto interessato; la relativa risposta deve essere inviata al titolare </w:t>
                        </w:r>
                      </w:p>
                    </w:txbxContent>
                  </v:textbox>
                </v:rect>
                <v:rect id="Rectangle 17552" o:spid="_x0000_s3298" style="position:absolute;left:23440;top:18420;width:153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0wyxAAAAN4AAAAPAAAAZHJzL2Rvd25yZXYueG1sRE9Ni8Iw&#10;EL0v+B/CCN7WVMFd6RpFFLEHL7ou7HFoxrbaTEITbfXXb4QFb/N4nzNbdKYWN2p8ZVnBaJiAIM6t&#10;rrhQcPzevE9B+ICssbZMCu7kYTHvvc0w1bblPd0OoRAxhH2KCsoQXCqlz0sy6IfWEUfuZBuDIcKm&#10;kLrBNoabWo6T5EMarDg2lOhoVVJ+OVyNgt81u2zTyvz0WLndOZvW2+vxR6lBv1t+gQjUhZf4353p&#10;OP9zMhnD8514g5z/AQAA//8DAFBLAQItABQABgAIAAAAIQDb4fbL7gAAAIUBAAATAAAAAAAAAAAA&#10;AAAAAAAAAABbQ29udGVudF9UeXBlc10ueG1sUEsBAi0AFAAGAAgAAAAhAFr0LFu/AAAAFQEAAAsA&#10;AAAAAAAAAAAAAAAAHwEAAF9yZWxzLy5yZWxzUEsBAi0AFAAGAAgAAAAhAF5DTDLEAAAA3gAAAA8A&#10;AAAAAAAAAAAAAAAABwIAAGRycy9kb3ducmV2LnhtbFBLBQYAAAAAAwADALcAAAD4AgAAAAA=&#10;" filled="f" stroked="f">
                  <v:textbox inset="0,0,0,0">
                    <w:txbxContent>
                      <w:p w14:paraId="4D891A3A" w14:textId="77777777" w:rsidR="00B32EF2" w:rsidRDefault="00000000">
                        <w:r>
                          <w:rPr>
                            <w:rFonts w:ascii="Arial" w:eastAsia="Arial" w:hAnsi="Arial" w:cs="Arial"/>
                            <w:i/>
                            <w:sz w:val="18"/>
                          </w:rPr>
                          <w:t>dell’ufficio procedente;</w:t>
                        </w:r>
                      </w:p>
                    </w:txbxContent>
                  </v:textbox>
                </v:rect>
                <v:rect id="Rectangle 200792" o:spid="_x0000_s3299" style="position:absolute;left:25431;top:17187;width:50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J5xwAAAN8AAAAPAAAAZHJzL2Rvd25yZXYueG1sRI9PawIx&#10;FMTvBb9DeEJvNauH1q5mRRTpHrzUKnh8bN7+0c1L2ER366dvCoUeh5n5DbNcDaYVd+p8Y1nBdJKA&#10;IC6sbrhScPzavcxB+ICssbVMCr7JwyobPS0x1bbnT7ofQiUihH2KCuoQXCqlL2oy6CfWEUevtJ3B&#10;EGVXSd1hH+GmlbMkeZUGG44LNTra1FRcDzej4Lxll+96WZSPjdtf8nn7cTuelHoeD+sFiEBD+A//&#10;tXOtIBLf3mfw+yd+AZn9AAAA//8DAFBLAQItABQABgAIAAAAIQDb4fbL7gAAAIUBAAATAAAAAAAA&#10;AAAAAAAAAAAAAABbQ29udGVudF9UeXBlc10ueG1sUEsBAi0AFAAGAAgAAAAhAFr0LFu/AAAAFQEA&#10;AAsAAAAAAAAAAAAAAAAAHwEAAF9yZWxzLy5yZWxzUEsBAi0AFAAGAAgAAAAhAOhQonnHAAAA3wAA&#10;AA8AAAAAAAAAAAAAAAAABwIAAGRycy9kb3ducmV2LnhtbFBLBQYAAAAAAwADALcAAAD7AgAAAAA=&#10;" filled="f" stroked="f">
                  <v:textbox inset="0,0,0,0">
                    <w:txbxContent>
                      <w:p w14:paraId="21BE1AAF" w14:textId="77777777" w:rsidR="00B32EF2" w:rsidRDefault="00000000">
                        <w:r>
                          <w:rPr>
                            <w:rFonts w:ascii="Arial" w:eastAsia="Arial" w:hAnsi="Arial" w:cs="Arial"/>
                            <w:i/>
                            <w:sz w:val="18"/>
                          </w:rPr>
                          <w:t>7-</w:t>
                        </w:r>
                      </w:p>
                    </w:txbxContent>
                  </v:textbox>
                </v:rect>
                <v:rect id="Rectangle 200793" o:spid="_x0000_s3300" style="position:absolute;left:-12235;top:17187;width:50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fixwAAAN8AAAAPAAAAZHJzL2Rvd25yZXYueG1sRI9Ba8JA&#10;FITvgv9heYI33Vih1egqYpHm0ItWweMj+0yi2bdLdjVpf31XKPQ4zMw3zHLdmVo8qPGVZQWTcQKC&#10;OLe64kLB8Ws3moHwAVljbZkUfJOH9arfW2Kqbct7ehxCISKEfYoKyhBcKqXPSzLox9YRR+9iG4Mh&#10;yqaQusE2wk0tX5LkVRqsOC6U6GhbUn473I2C8zu7bNfK/PKzdZ/XbFZ/3I8npYaDbrMAEagL/+G/&#10;dqYVROLbfArPP/ELyNUvAAAA//8DAFBLAQItABQABgAIAAAAIQDb4fbL7gAAAIUBAAATAAAAAAAA&#10;AAAAAAAAAAAAAABbQ29udGVudF9UeXBlc10ueG1sUEsBAi0AFAAGAAgAAAAhAFr0LFu/AAAAFQEA&#10;AAsAAAAAAAAAAAAAAAAAHwEAAF9yZWxzLy5yZWxzUEsBAi0AFAAGAAgAAAAhAIccB+LHAAAA3wAA&#10;AA8AAAAAAAAAAAAAAAAABwIAAGRycy9kb3ducmV2LnhtbFBLBQYAAAAAAwADALcAAAD7AgAAAAA=&#10;" filled="f" stroked="f">
                  <v:textbox inset="0,0,0,0">
                    <w:txbxContent>
                      <w:p w14:paraId="7E39B75B" w14:textId="77777777" w:rsidR="00B32EF2" w:rsidRDefault="00000000">
                        <w:r>
                          <w:rPr>
                            <w:rFonts w:ascii="Arial" w:eastAsia="Arial" w:hAnsi="Arial" w:cs="Arial"/>
                            <w:i/>
                            <w:sz w:val="18"/>
                          </w:rPr>
                          <w:t>bis) richiedere, con modalità stabilite con decreto di natura non regola</w:t>
                        </w:r>
                      </w:p>
                    </w:txbxContent>
                  </v:textbox>
                </v:rect>
                <v:rect id="Rectangle 17554" o:spid="_x0000_s3301" style="position:absolute;left:657;top:1718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HdxQAAAN4AAAAPAAAAZHJzL2Rvd25yZXYueG1sRE9La8JA&#10;EL4X/A/LCN7qpqU+iK5SLGIOvdQHeByyYxKbnV2yq4n++m5B8DYf33Pmy87U4kqNrywreBsmIIhz&#10;qysuFOx369cpCB+QNdaWScGNPCwXvZc5ptq2/EPXbShEDGGfooIyBJdK6fOSDPqhdcSRO9nGYIiw&#10;KaRusI3hppbvSTKWBiuODSU6WpWU/24vRsHxi122bmV+uq/c9zmb1pvL/qDUoN99zkAE6sJT/HBn&#10;Os6fjEYf8P9OvEEu/gAAAP//AwBQSwECLQAUAAYACAAAACEA2+H2y+4AAACFAQAAEwAAAAAAAAAA&#10;AAAAAAAAAAAAW0NvbnRlbnRfVHlwZXNdLnhtbFBLAQItABQABgAIAAAAIQBa9CxbvwAAABUBAAAL&#10;AAAAAAAAAAAAAAAAAB8BAABfcmVscy8ucmVsc1BLAQItABQABgAIAAAAIQC+5nHdxQAAAN4AAAAP&#10;AAAAAAAAAAAAAAAAAAcCAABkcnMvZG93bnJldi54bWxQSwUGAAAAAAMAAwC3AAAA+QIAAAAA&#10;" filled="f" stroked="f">
                  <v:textbox inset="0,0,0,0">
                    <w:txbxContent>
                      <w:p w14:paraId="26791813" w14:textId="77777777" w:rsidR="00B32EF2" w:rsidRDefault="00000000">
                        <w:r>
                          <w:rPr>
                            <w:rFonts w:ascii="Arial" w:eastAsia="Arial" w:hAnsi="Arial" w:cs="Arial"/>
                            <w:i/>
                            <w:sz w:val="18"/>
                          </w:rPr>
                          <w:t>-</w:t>
                        </w:r>
                      </w:p>
                    </w:txbxContent>
                  </v:textbox>
                </v:rect>
                <v:rect id="Rectangle 17555" o:spid="_x0000_s3302" style="position:absolute;left:-12189;top:15953;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tRGxAAAAN4AAAAPAAAAZHJzL2Rvd25yZXYueG1sRE9Na8JA&#10;EL0X/A/LCN7qxkJaia4iijQHL7UKHofsmESzs0t2NdFf3y0UepvH+5z5sjeNuFPra8sKJuMEBHFh&#10;dc2lgsP39nUKwgdkjY1lUvAgD8vF4GWOmbYdf9F9H0oRQ9hnqKAKwWVS+qIig35sHXHkzrY1GCJs&#10;S6lb7GK4aeRbkrxLgzXHhgodrSsqrvubUXDasMu3nSzOz7XbXfJp83k7HJUaDfvVDESgPvyL/9y5&#10;jvM/0jSF33fiDXLxAwAA//8DAFBLAQItABQABgAIAAAAIQDb4fbL7gAAAIUBAAATAAAAAAAAAAAA&#10;AAAAAAAAAABbQ29udGVudF9UeXBlc10ueG1sUEsBAi0AFAAGAAgAAAAhAFr0LFu/AAAAFQEAAAsA&#10;AAAAAAAAAAAAAAAAHwEAAF9yZWxzLy5yZWxzUEsBAi0AFAAGAAgAAAAhANGq1EbEAAAA3gAAAA8A&#10;AAAAAAAAAAAAAAAABwIAAGRycy9kb3ducmV2LnhtbFBLBQYAAAAAAwADALcAAAD4AgAAAAA=&#10;" filled="f" stroked="f">
                  <v:textbox inset="0,0,0,0">
                    <w:txbxContent>
                      <w:p w14:paraId="44D05254" w14:textId="77777777" w:rsidR="00B32EF2" w:rsidRDefault="00000000">
                        <w:r>
                          <w:rPr>
                            <w:rFonts w:ascii="Arial" w:eastAsia="Arial" w:hAnsi="Arial" w:cs="Arial"/>
                            <w:i/>
                            <w:sz w:val="18"/>
                          </w:rPr>
                          <w:t xml:space="preserve">mentare del Ministro dell’economia e delle finanze, da adottare d’intesa con </w:t>
                        </w:r>
                      </w:p>
                    </w:txbxContent>
                  </v:textbox>
                </v:rect>
                <v:rect id="Rectangle 17556" o:spid="_x0000_s3303" style="position:absolute;left:-12196;top:14720;width:510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oxxAAAAN4AAAAPAAAAZHJzL2Rvd25yZXYueG1sRE9Ni8Iw&#10;EL0L/ocwgjdNFXSlaxRRxB72sq4Lexyasa02k9BEW/31m4UFb/N4n7Ncd6YWd2p8ZVnBZJyAIM6t&#10;rrhQcPrajxYgfEDWWFsmBQ/ysF71e0tMtW35k+7HUIgYwj5FBWUILpXS5yUZ9GPriCN3to3BEGFT&#10;SN1gG8NNLadJMpcGK44NJTralpRfjzej4GfHLtu3Mj8/t+7jki3qw+30rdRw0G3eQQTqwkv87850&#10;nP82m83h7514g1z9AgAA//8DAFBLAQItABQABgAIAAAAIQDb4fbL7gAAAIUBAAATAAAAAAAAAAAA&#10;AAAAAAAAAABbQ29udGVudF9UeXBlc10ueG1sUEsBAi0AFAAGAAgAAAAhAFr0LFu/AAAAFQEAAAsA&#10;AAAAAAAAAAAAAAAAHwEAAF9yZWxzLy5yZWxzUEsBAi0AFAAGAAgAAAAhACF4SjHEAAAA3gAAAA8A&#10;AAAAAAAAAAAAAAAABwIAAGRycy9kb3ducmV2LnhtbFBLBQYAAAAAAwADALcAAAD4AgAAAAA=&#10;" filled="f" stroked="f">
                  <v:textbox inset="0,0,0,0">
                    <w:txbxContent>
                      <w:p w14:paraId="3D7F964E" w14:textId="77777777" w:rsidR="00B32EF2" w:rsidRDefault="00000000">
                        <w:r>
                          <w:rPr>
                            <w:rFonts w:ascii="Arial" w:eastAsia="Arial" w:hAnsi="Arial" w:cs="Arial"/>
                            <w:i/>
                            <w:sz w:val="18"/>
                          </w:rPr>
                          <w:t xml:space="preserve">l’Autorità di vigilanza in coerenza con le regole europee e internazionali in </w:t>
                        </w:r>
                      </w:p>
                    </w:txbxContent>
                  </v:textbox>
                </v:rect>
                <v:rect id="Rectangle 17557" o:spid="_x0000_s3304" style="position:absolute;left:-11227;top:13487;width:500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O+qxAAAAN4AAAAPAAAAZHJzL2Rvd25yZXYueG1sRE9Ni8Iw&#10;EL0L/ocwgjdNFVylaxRRxB72sq4Lexyasa02k9BEW/31m4UFb/N4n7Ncd6YWd2p8ZVnBZJyAIM6t&#10;rrhQcPrajxYgfEDWWFsmBQ/ysF71e0tMtW35k+7HUIgYwj5FBWUILpXS5yUZ9GPriCN3to3BEGFT&#10;SN1gG8NNLadJ8iYNVhwbSnS0LSm/Hm9Gwc+OXbZvZX5+bt3HJVvUh9vpW6nhoNu8gwjUhZf4353p&#10;OH8+m83h7514g1z9AgAA//8DAFBLAQItABQABgAIAAAAIQDb4fbL7gAAAIUBAAATAAAAAAAAAAAA&#10;AAAAAAAAAABbQ29udGVudF9UeXBlc10ueG1sUEsBAi0AFAAGAAgAAAAhAFr0LFu/AAAAFQEAAAsA&#10;AAAAAAAAAAAAAAAAHwEAAF9yZWxzLy5yZWxzUEsBAi0AFAAGAAgAAAAhAE4076rEAAAA3gAAAA8A&#10;AAAAAAAAAAAAAAAABwIAAGRycy9kb3ducmV2LnhtbFBLBQYAAAAAAwADALcAAAD4AgAAAAA=&#10;" filled="f" stroked="f">
                  <v:textbox inset="0,0,0,0">
                    <w:txbxContent>
                      <w:p w14:paraId="7E614120" w14:textId="77777777" w:rsidR="00B32EF2" w:rsidRDefault="00000000">
                        <w:r>
                          <w:rPr>
                            <w:rFonts w:ascii="Arial" w:eastAsia="Arial" w:hAnsi="Arial" w:cs="Arial"/>
                            <w:i/>
                            <w:sz w:val="18"/>
                          </w:rPr>
                          <w:t>materia di vigilanza e, comunque, previa autorizzazione del direttore cen</w:t>
                        </w:r>
                      </w:p>
                    </w:txbxContent>
                  </v:textbox>
                </v:rect>
                <v:rect id="Rectangle 17558" o:spid="_x0000_s3305" style="position:absolute;left:657;top:1348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vYyAAAAN4AAAAPAAAAZHJzL2Rvd25yZXYueG1sRI9Pa8JA&#10;EMXvQr/DMgVvumlBK6mrFIs0h178U+hxyI5J2uzskl1N7Kd3DkJvM7w37/1muR5cqy7Uxcazgadp&#10;Boq49LbhysDxsJ0sQMWEbLH1TAauFGG9ehgtMbe+5x1d9qlSEsIxRwN1SiHXOpY1OYxTH4hFO/nO&#10;YZK1q7TtsJdw1+rnLJtrhw1LQ42BNjWVv/uzM/D9zqHY9ro8/W3C50+xaD/Oxy9jxo/D2yuoREP6&#10;N9+vCyv4L7OZ8Mo7MoNe3QAAAP//AwBQSwECLQAUAAYACAAAACEA2+H2y+4AAACFAQAAEwAAAAAA&#10;AAAAAAAAAAAAAAAAW0NvbnRlbnRfVHlwZXNdLnhtbFBLAQItABQABgAIAAAAIQBa9CxbvwAAABUB&#10;AAALAAAAAAAAAAAAAAAAAB8BAABfcmVscy8ucmVsc1BLAQItABQABgAIAAAAIQA/q3vYyAAAAN4A&#10;AAAPAAAAAAAAAAAAAAAAAAcCAABkcnMvZG93bnJldi54bWxQSwUGAAAAAAMAAwC3AAAA/AIAAAAA&#10;" filled="f" stroked="f">
                  <v:textbox inset="0,0,0,0">
                    <w:txbxContent>
                      <w:p w14:paraId="1AF90085" w14:textId="77777777" w:rsidR="00B32EF2" w:rsidRDefault="00000000">
                        <w:r>
                          <w:rPr>
                            <w:rFonts w:ascii="Arial" w:eastAsia="Arial" w:hAnsi="Arial" w:cs="Arial"/>
                            <w:i/>
                            <w:sz w:val="18"/>
                          </w:rPr>
                          <w:t>-</w:t>
                        </w:r>
                      </w:p>
                    </w:txbxContent>
                  </v:textbox>
                </v:rect>
                <v:rect id="Rectangle 17559" o:spid="_x0000_s3306" style="position:absolute;left:-12216;top:12254;width:5111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95DxQAAAN4AAAAPAAAAZHJzL2Rvd25yZXYueG1sRE9Na8JA&#10;EL0L/Q/LFLzpRsHWRlcRRczBS62FHofsmESzs0t2NbG/3i0UvM3jfc582Zla3KjxlWUFo2ECgji3&#10;uuJCwfFrO5iC8AFZY22ZFNzJw3Lx0ptjqm3Ln3Q7hELEEPYpKihDcKmUPi/JoB9aRxy5k20Mhgib&#10;QuoG2xhuajlOkjdpsOLYUKKjdUn55XA1Cn427LJtK/PT79rtz9m03l2P30r1X7vVDESgLjzF/+5M&#10;x/nvk8kH/L0Tb5CLBwAAAP//AwBQSwECLQAUAAYACAAAACEA2+H2y+4AAACFAQAAEwAAAAAAAAAA&#10;AAAAAAAAAAAAW0NvbnRlbnRfVHlwZXNdLnhtbFBLAQItABQABgAIAAAAIQBa9CxbvwAAABUBAAAL&#10;AAAAAAAAAAAAAAAAAB8BAABfcmVscy8ucmVsc1BLAQItABQABgAIAAAAIQBQ595DxQAAAN4AAAAP&#10;AAAAAAAAAAAAAAAAAAcCAABkcnMvZG93bnJldi54bWxQSwUGAAAAAAMAAwC3AAAA+QIAAAAA&#10;" filled="f" stroked="f">
                  <v:textbox inset="0,0,0,0">
                    <w:txbxContent>
                      <w:p w14:paraId="54BC88C2" w14:textId="77777777" w:rsidR="00B32EF2" w:rsidRDefault="00000000">
                        <w:r>
                          <w:rPr>
                            <w:rFonts w:ascii="Arial" w:eastAsia="Arial" w:hAnsi="Arial" w:cs="Arial"/>
                            <w:i/>
                            <w:sz w:val="18"/>
                          </w:rPr>
                          <w:t xml:space="preserve">trale dell’accertamento dell’Agenzia delle entrate o del direttore regionale </w:t>
                        </w:r>
                      </w:p>
                    </w:txbxContent>
                  </v:textbox>
                </v:rect>
                <v:rect id="Rectangle 17560" o:spid="_x0000_s3307" style="position:absolute;left:-12190;top:11020;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b1jxwAAAN4AAAAPAAAAZHJzL2Rvd25yZXYueG1sRI9Ba8JA&#10;EIXvQv/DMoXedFOhKqmrFIuYg5eqhR6H7Jikzc4u2dWk/fXOoeBthnnz3vuW68G16kpdbDwbeJ5k&#10;oIhLbxuuDJyO2/ECVEzIFlvPZOCXIqxXD6Ml5tb3/EHXQ6qUmHDM0UCdUsi1jmVNDuPEB2K5nX3n&#10;MMnaVdp22Iu5a/U0y2baYcOSUGOgTU3lz+HiDHy9cyi2vS7Pf5uw/y4W7e5y+jTm6XF4ewWVaEh3&#10;8f93YaX+/GUmAIIjM+jVDQAA//8DAFBLAQItABQABgAIAAAAIQDb4fbL7gAAAIUBAAATAAAAAAAA&#10;AAAAAAAAAAAAAABbQ29udGVudF9UeXBlc10ueG1sUEsBAi0AFAAGAAgAAAAhAFr0LFu/AAAAFQEA&#10;AAsAAAAAAAAAAAAAAAAAHwEAAF9yZWxzLy5yZWxzUEsBAi0AFAAGAAgAAAAhAA+xvWPHAAAA3gAA&#10;AA8AAAAAAAAAAAAAAAAABwIAAGRycy9kb3ducmV2LnhtbFBLBQYAAAAAAwADALcAAAD7AgAAAAA=&#10;" filled="f" stroked="f">
                  <v:textbox inset="0,0,0,0">
                    <w:txbxContent>
                      <w:p w14:paraId="61494A6D" w14:textId="77777777" w:rsidR="00B32EF2" w:rsidRDefault="00000000">
                        <w:r>
                          <w:rPr>
                            <w:rFonts w:ascii="Arial" w:eastAsia="Arial" w:hAnsi="Arial" w:cs="Arial"/>
                            <w:i/>
                            <w:sz w:val="18"/>
                          </w:rPr>
                          <w:t xml:space="preserve">della stessa, ovvero, per il Corpo della guardia di finanza, del comandante </w:t>
                        </w:r>
                      </w:p>
                    </w:txbxContent>
                  </v:textbox>
                </v:rect>
                <v:rect id="Rectangle 17561" o:spid="_x0000_s3308" style="position:absolute;left:-11226;top:9787;width:500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4xAAAAN4AAAAPAAAAZHJzL2Rvd25yZXYueG1sRE9Li8Iw&#10;EL4v7H8Is+BtTV3wQTXK4iLbg5f1AR6HZmyrzSQ00VZ/vVkQvM3H95zZojO1uFLjK8sKBv0EBHFu&#10;dcWFgt129TkB4QOyxtoyKbiRh8X8/W2GqbYt/9F1EwoRQ9inqKAMwaVS+rwkg75vHXHkjrYxGCJs&#10;CqkbbGO4qeVXkoykwYpjQ4mOliXl583FKDj8sMtWrcyP96Vbn7JJ/XvZ7ZXqfXTfUxCBuvASP92Z&#10;jvPHw9EA/t+JN8j5AwAA//8DAFBLAQItABQABgAIAAAAIQDb4fbL7gAAAIUBAAATAAAAAAAAAAAA&#10;AAAAAAAAAABbQ29udGVudF9UeXBlc10ueG1sUEsBAi0AFAAGAAgAAAAhAFr0LFu/AAAAFQEAAAsA&#10;AAAAAAAAAAAAAAAAHwEAAF9yZWxzLy5yZWxzUEsBAi0AFAAGAAgAAAAhAGD9GPjEAAAA3gAAAA8A&#10;AAAAAAAAAAAAAAAABwIAAGRycy9kb3ducmV2LnhtbFBLBQYAAAAAAwADALcAAAD4AgAAAAA=&#10;" filled="f" stroked="f">
                  <v:textbox inset="0,0,0,0">
                    <w:txbxContent>
                      <w:p w14:paraId="00122E04" w14:textId="77777777" w:rsidR="00B32EF2" w:rsidRDefault="00000000">
                        <w:r>
                          <w:rPr>
                            <w:rFonts w:ascii="Arial" w:eastAsia="Arial" w:hAnsi="Arial" w:cs="Arial"/>
                            <w:i/>
                            <w:sz w:val="18"/>
                          </w:rPr>
                          <w:t>regionale, ad autorità ed enti, notizie, dati, documenti e informazioni di na</w:t>
                        </w:r>
                      </w:p>
                    </w:txbxContent>
                  </v:textbox>
                </v:rect>
                <v:rect id="Rectangle 17562" o:spid="_x0000_s3309" style="position:absolute;left:657;top:978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4aPxAAAAN4AAAAPAAAAZHJzL2Rvd25yZXYueG1sRE9Ni8Iw&#10;EL0L/ocwgjdNFXSlaxRRxB72sq4Lexyasa02k9BEW/31m4UFb/N4n7Ncd6YWd2p8ZVnBZJyAIM6t&#10;rrhQcPrajxYgfEDWWFsmBQ/ysF71e0tMtW35k+7HUIgYwj5FBWUILpXS5yUZ9GPriCN3to3BEGFT&#10;SN1gG8NNLadJMpcGK44NJTralpRfjzej4GfHLtu3Mj8/t+7jki3qw+30rdRw0G3eQQTqwkv87850&#10;nP82m0/h7514g1z9AgAA//8DAFBLAQItABQABgAIAAAAIQDb4fbL7gAAAIUBAAATAAAAAAAAAAAA&#10;AAAAAAAAAABbQ29udGVudF9UeXBlc10ueG1sUEsBAi0AFAAGAAgAAAAhAFr0LFu/AAAAFQEAAAsA&#10;AAAAAAAAAAAAAAAAHwEAAF9yZWxzLy5yZWxzUEsBAi0AFAAGAAgAAAAhAJAvho/EAAAA3gAAAA8A&#10;AAAAAAAAAAAAAAAABwIAAGRycy9kb3ducmV2LnhtbFBLBQYAAAAAAwADALcAAAD4AgAAAAA=&#10;" filled="f" stroked="f">
                  <v:textbox inset="0,0,0,0">
                    <w:txbxContent>
                      <w:p w14:paraId="34277A88" w14:textId="77777777" w:rsidR="00B32EF2" w:rsidRDefault="00000000">
                        <w:r>
                          <w:rPr>
                            <w:rFonts w:ascii="Arial" w:eastAsia="Arial" w:hAnsi="Arial" w:cs="Arial"/>
                            <w:i/>
                            <w:sz w:val="18"/>
                          </w:rPr>
                          <w:t>-</w:t>
                        </w:r>
                      </w:p>
                    </w:txbxContent>
                  </v:textbox>
                </v:rect>
                <v:rect id="Rectangle 17563" o:spid="_x0000_s3310" style="position:absolute;left:-12189;top:8554;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MUxQAAAN4AAAAPAAAAZHJzL2Rvd25yZXYueG1sRE9La8JA&#10;EL4L/odlBG+6aYsPoqsUi5hDL/UBHofsmMRmZ5fsamJ/fbdQ8DYf33OW687U4k6NrywreBknIIhz&#10;qysuFBwP29EchA/IGmvLpOBBHtarfm+JqbYtf9F9HwoRQ9inqKAMwaVS+rwkg35sHXHkLrYxGCJs&#10;CqkbbGO4qeVrkkylwYpjQ4mONiXl3/ubUXD+YJdtW5lffjbu85rN693teFJqOOjeFyACdeEp/ndn&#10;Os6fTaZv8PdOvEGufgEAAP//AwBQSwECLQAUAAYACAAAACEA2+H2y+4AAACFAQAAEwAAAAAAAAAA&#10;AAAAAAAAAAAAW0NvbnRlbnRfVHlwZXNdLnhtbFBLAQItABQABgAIAAAAIQBa9CxbvwAAABUBAAAL&#10;AAAAAAAAAAAAAAAAAB8BAABfcmVscy8ucmVsc1BLAQItABQABgAIAAAAIQD/YyMUxQAAAN4AAAAP&#10;AAAAAAAAAAAAAAAAAAcCAABkcnMvZG93bnJldi54bWxQSwUGAAAAAAMAAwC3AAAA+QIAAAAA&#10;" filled="f" stroked="f">
                  <v:textbox inset="0,0,0,0">
                    <w:txbxContent>
                      <w:p w14:paraId="02F5BBD2" w14:textId="77777777" w:rsidR="00B32EF2" w:rsidRDefault="00000000">
                        <w:r>
                          <w:rPr>
                            <w:rFonts w:ascii="Arial" w:eastAsia="Arial" w:hAnsi="Arial" w:cs="Arial"/>
                            <w:i/>
                            <w:sz w:val="18"/>
                          </w:rPr>
                          <w:t xml:space="preserve">tura creditizia, finanziaria e assicurativa, relativi alle attività di controllo e </w:t>
                        </w:r>
                      </w:p>
                    </w:txbxContent>
                  </v:textbox>
                </v:rect>
                <v:rect id="Rectangle 17564" o:spid="_x0000_s3311" style="position:absolute;left:-12190;top:7320;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rtgxQAAAN4AAAAPAAAAZHJzL2Rvd25yZXYueG1sRE9La8JA&#10;EL4L/odlBG+6aakPoqsUi5hDL/UBHofsmMRmZ5fsamJ/fbdQ8DYf33OW687U4k6NrywreBknIIhz&#10;qysuFBwP29EchA/IGmvLpOBBHtarfm+JqbYtf9F9HwoRQ9inqKAMwaVS+rwkg35sHXHkLrYxGCJs&#10;CqkbbGO4qeVrkkylwYpjQ4mONiXl3/ubUXD+YJdtW5lffjbu85rN693teFJqOOjeFyACdeEp/ndn&#10;Os6fTaZv8PdOvEGufgEAAP//AwBQSwECLQAUAAYACAAAACEA2+H2y+4AAACFAQAAEwAAAAAAAAAA&#10;AAAAAAAAAAAAW0NvbnRlbnRfVHlwZXNdLnhtbFBLAQItABQABgAIAAAAIQBa9CxbvwAAABUBAAAL&#10;AAAAAAAAAAAAAAAAAB8BAABfcmVscy8ucmVsc1BLAQItABQABgAIAAAAIQBwirtgxQAAAN4AAAAP&#10;AAAAAAAAAAAAAAAAAAcCAABkcnMvZG93bnJldi54bWxQSwUGAAAAAAMAAwC3AAAA+QIAAAAA&#10;" filled="f" stroked="f">
                  <v:textbox inset="0,0,0,0">
                    <w:txbxContent>
                      <w:p w14:paraId="4CC1956D" w14:textId="77777777" w:rsidR="00B32EF2" w:rsidRDefault="00000000">
                        <w:r>
                          <w:rPr>
                            <w:rFonts w:ascii="Arial" w:eastAsia="Arial" w:hAnsi="Arial" w:cs="Arial"/>
                            <w:i/>
                            <w:sz w:val="18"/>
                          </w:rPr>
                          <w:t xml:space="preserve">di vigilanza svolte dagli stessi, anche in deroga a specifiche disposizioni </w:t>
                        </w:r>
                      </w:p>
                    </w:txbxContent>
                  </v:textbox>
                </v:rect>
                <v:rect id="Rectangle 17565" o:spid="_x0000_s3312" style="position:absolute;left:33008;top:6087;width:58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h77xAAAAN4AAAAPAAAAZHJzL2Rvd25yZXYueG1sRE9Ni8Iw&#10;EL0L/ocwgjdNFXSlaxRRxB72sq4Lexyasa02k9BEW/31m4UFb/N4n7Ncd6YWd2p8ZVnBZJyAIM6t&#10;rrhQcPrajxYgfEDWWFsmBQ/ysF71e0tMtW35k+7HUIgYwj5FBWUILpXS5yUZ9GPriCN3to3BEGFT&#10;SN1gG8NNLadJMpcGK44NJTralpRfjzej4GfHLtu3Mj8/t+7jki3qw+30rdRw0G3eQQTqwkv87850&#10;nP82m8/g7514g1z9AgAA//8DAFBLAQItABQABgAIAAAAIQDb4fbL7gAAAIUBAAATAAAAAAAAAAAA&#10;AAAAAAAAAABbQ29udGVudF9UeXBlc10ueG1sUEsBAi0AFAAGAAgAAAAhAFr0LFu/AAAAFQEAAAsA&#10;AAAAAAAAAAAAAAAAHwEAAF9yZWxzLy5yZWxzUEsBAi0AFAAGAAgAAAAhAB/GHvvEAAAA3gAAAA8A&#10;AAAAAAAAAAAAAAAABwIAAGRycy9kb3ducmV2LnhtbFBLBQYAAAAAAwADALcAAAD4AgAAAAA=&#10;" filled="f" stroked="f">
                  <v:textbox inset="0,0,0,0">
                    <w:txbxContent>
                      <w:p w14:paraId="2614EED1" w14:textId="77777777" w:rsidR="00B32EF2" w:rsidRDefault="00000000">
                        <w:r>
                          <w:rPr>
                            <w:rFonts w:ascii="Arial" w:eastAsia="Arial" w:hAnsi="Arial" w:cs="Arial"/>
                            <w:i/>
                            <w:sz w:val="18"/>
                          </w:rPr>
                          <w:t>di legge.</w:t>
                        </w:r>
                      </w:p>
                    </w:txbxContent>
                  </v:textbox>
                </v:rect>
                <v:rect id="Rectangle 200791" o:spid="_x0000_s3313" style="position:absolute;left:-12841;top:4854;width:510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jwOxwAAAN8AAAAPAAAAZHJzL2Rvd25yZXYueG1sRI9Pa8JA&#10;FMTvhX6H5RV60409WI1uRCxiDr1UU+jxkX35o9m3S3Y1aT99tyD0OMzMb5j1ZjSduFHvW8sKZtME&#10;BHFpdcu1guK0nyxA+ICssbNMCr7JwyZ7fFhjqu3AH3Q7hlpECPsUFTQhuFRKXzZk0E+tI45eZXuD&#10;Icq+lrrHIcJNJ1+SZC4NthwXGnS0a6i8HK9Gwdcbu3w/yLL62bn3c77oDtfiU6nnp3G7AhFoDP/h&#10;ezvXCiLxdTmDvz/xC8jsFwAA//8DAFBLAQItABQABgAIAAAAIQDb4fbL7gAAAIUBAAATAAAAAAAA&#10;AAAAAAAAAAAAAABbQ29udGVudF9UeXBlc10ueG1sUEsBAi0AFAAGAAgAAAAhAFr0LFu/AAAAFQEA&#10;AAsAAAAAAAAAAAAAAAAAHwEAAF9yZWxzLy5yZWxzUEsBAi0AFAAGAAgAAAAhABiCPA7HAAAA3wAA&#10;AA8AAAAAAAAAAAAAAAAABwIAAGRycy9kb3ducmV2LnhtbFBLBQYAAAAAAwADALcAAAD7AgAAAAA=&#10;" filled="f" stroked="f">
                  <v:textbox inset="0,0,0,0">
                    <w:txbxContent>
                      <w:p w14:paraId="6F9B08F9" w14:textId="77777777" w:rsidR="00B32EF2" w:rsidRDefault="00000000">
                        <w:r>
                          <w:rPr>
                            <w:rFonts w:ascii="Arial" w:eastAsia="Arial" w:hAnsi="Arial" w:cs="Arial"/>
                            <w:i/>
                            <w:sz w:val="18"/>
                          </w:rPr>
                          <w:t xml:space="preserve">. Gli inviti e le richieste di cui al precedente comma devono essere fatti a </w:t>
                        </w:r>
                      </w:p>
                    </w:txbxContent>
                  </v:textbox>
                </v:rect>
                <v:rect id="Rectangle 200790" o:spid="_x0000_s3314" style="position:absolute;left:25516;top:4854;width:51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pmVxwAAAN8AAAAPAAAAZHJzL2Rvd25yZXYueG1sRI8xb8Iw&#10;EIX3Sv0P1lXqVpx2aGnAIESFmqELFCTGU3wkgfhsxYak/fXcgMR4eve+p286H1yrLtTFxrOB11EG&#10;irj0tuHKwPZ39TIGFROyxdYzGfijCPPZ48MUc+t7XtNlkyolEI45GqhTCrnWsazJYRz5QCzZwXcO&#10;k5xdpW2HvcBdq9+y7F07bFgWagy0rKk8bc7OwP6LQ7HqdXn4X4afYzFuv8/bnTHPT8NiAirRkO7P&#10;t3ZhDQjx41MMxEdcQM+uAAAA//8DAFBLAQItABQABgAIAAAAIQDb4fbL7gAAAIUBAAATAAAAAAAA&#10;AAAAAAAAAAAAAABbQ29udGVudF9UeXBlc10ueG1sUEsBAi0AFAAGAAgAAAAhAFr0LFu/AAAAFQEA&#10;AAsAAAAAAAAAAAAAAAAAHwEAAF9yZWxzLy5yZWxzUEsBAi0AFAAGAAgAAAAhAHfOmZXHAAAA3wAA&#10;AA8AAAAAAAAAAAAAAAAABwIAAGRycy9kb3ducmV2LnhtbFBLBQYAAAAAAwADALcAAAD7AgAAAAA=&#10;" filled="f" stroked="f">
                  <v:textbox inset="0,0,0,0">
                    <w:txbxContent>
                      <w:p w14:paraId="026457C5" w14:textId="77777777" w:rsidR="00B32EF2" w:rsidRDefault="00000000">
                        <w:r>
                          <w:rPr>
                            <w:rFonts w:ascii="Arial" w:eastAsia="Arial" w:hAnsi="Arial" w:cs="Arial"/>
                            <w:i/>
                            <w:sz w:val="18"/>
                          </w:rPr>
                          <w:t>2</w:t>
                        </w:r>
                      </w:p>
                    </w:txbxContent>
                  </v:textbox>
                </v:rect>
                <v:rect id="Rectangle 17567" o:spid="_x0000_s3315" style="position:absolute;left:-11222;top:3620;width:500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CUXxAAAAN4AAAAPAAAAZHJzL2Rvd25yZXYueG1sRE9Ni8Iw&#10;EL0L/ocwgjdNFValaxRRZHvwsq4Lexyasa02k9BEW/31m4UFb/N4n7Ncd6YWd2p8ZVnBZJyAIM6t&#10;rrhQcPrajxYgfEDWWFsmBQ/ysF71e0tMtW35k+7HUIgYwj5FBWUILpXS5yUZ9GPriCN3to3BEGFT&#10;SN1gG8NNLadJMpMGK44NJTralpRfjzej4GfHLtu3Mj8/t+5wyRb1x+30rdRw0G3eQQTqwkv87850&#10;nD9/m83h7514g1z9AgAA//8DAFBLAQItABQABgAIAAAAIQDb4fbL7gAAAIUBAAATAAAAAAAAAAAA&#10;AAAAAAAAAABbQ29udGVudF9UeXBlc10ueG1sUEsBAi0AFAAGAAgAAAAhAFr0LFu/AAAAFQEAAAsA&#10;AAAAAAAAAAAAAAAAHwEAAF9yZWxzLy5yZWxzUEsBAi0AFAAGAAgAAAAhAIBYJRfEAAAA3gAAAA8A&#10;AAAAAAAAAAAAAAAABwIAAGRycy9kb3ducmV2LnhtbFBLBQYAAAAAAwADALcAAAD4AgAAAAA=&#10;" filled="f" stroked="f">
                  <v:textbox inset="0,0,0,0">
                    <w:txbxContent>
                      <w:p w14:paraId="197A3738" w14:textId="77777777" w:rsidR="00B32EF2" w:rsidRDefault="00000000">
                        <w:r>
                          <w:rPr>
                            <w:rFonts w:ascii="Arial" w:eastAsia="Arial" w:hAnsi="Arial" w:cs="Arial"/>
                            <w:i/>
                            <w:sz w:val="18"/>
                          </w:rPr>
                          <w:t>mezzo di raccomandata con avviso di ricevimento fissando per l’adempi</w:t>
                        </w:r>
                      </w:p>
                    </w:txbxContent>
                  </v:textbox>
                </v:rect>
                <v:rect id="Rectangle 17568" o:spid="_x0000_s3316" style="position:absolute;left:657;top:362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FlxwAAAN4AAAAPAAAAZHJzL2Rvd25yZXYueG1sRI9Ba8JA&#10;EIXvQv/DMoXedFOhKqmrFIuYg5eqhR6H7Jikzc4u2dWk/fXOoeBthvfmvW+W68G16kpdbDwbeJ5k&#10;oIhLbxuuDJyO2/ECVEzIFlvPZOCXIqxXD6Ml5tb3/EHXQ6qUhHDM0UCdUsi1jmVNDuPEB2LRzr5z&#10;mGTtKm077CXctXqaZTPtsGFpqDHQpqby53BxBr7eORTbXpfnv03YfxeLdnc5fRrz9Di8vYJKNKS7&#10;+f+6sII/f5kJr7wjM+jVDQAA//8DAFBLAQItABQABgAIAAAAIQDb4fbL7gAAAIUBAAATAAAAAAAA&#10;AAAAAAAAAAAAAABbQ29udGVudF9UeXBlc10ueG1sUEsBAi0AFAAGAAgAAAAhAFr0LFu/AAAAFQEA&#10;AAsAAAAAAAAAAAAAAAAAHwEAAF9yZWxzLy5yZWxzUEsBAi0AFAAGAAgAAAAhAPHHsWXHAAAA3gAA&#10;AA8AAAAAAAAAAAAAAAAABwIAAGRycy9kb3ducmV2LnhtbFBLBQYAAAAAAwADALcAAAD7AgAAAAA=&#10;" filled="f" stroked="f">
                  <v:textbox inset="0,0,0,0">
                    <w:txbxContent>
                      <w:p w14:paraId="5A81B4EC" w14:textId="77777777" w:rsidR="00B32EF2" w:rsidRDefault="00000000">
                        <w:r>
                          <w:rPr>
                            <w:rFonts w:ascii="Arial" w:eastAsia="Arial" w:hAnsi="Arial" w:cs="Arial"/>
                            <w:i/>
                            <w:sz w:val="18"/>
                          </w:rPr>
                          <w:t>-</w:t>
                        </w:r>
                      </w:p>
                    </w:txbxContent>
                  </v:textbox>
                </v:rect>
                <v:shape id="Shape 17569" o:spid="_x0000_s3317" style="position:absolute;top:3112;width:39600;height:59453;visibility:visible;mso-wrap-style:square;v-text-anchor:top" coordsize="3960000,594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QK6xQAAAN4AAAAPAAAAZHJzL2Rvd25yZXYueG1sRE9La8JA&#10;EL4L/Q/LFHrTjUp9pG6CCAVvbbSK3obsNFnMzobsqum/7xaE3ubje84q720jbtR541jBeJSAIC6d&#10;Nlwp+Nq/DxcgfEDW2DgmBT/kIc+eBitMtbtzQbddqEQMYZ+igjqENpXSlzVZ9CPXEkfu23UWQ4Rd&#10;JXWH9xhuGzlJkpm0aDg21NjSpqbysrtaBZ9lsf/op5vzYnms5mZ68OZUeKVenvv1G4hAffgXP9xb&#10;HefPX2dL+Hsn3iCzXwAAAP//AwBQSwECLQAUAAYACAAAACEA2+H2y+4AAACFAQAAEwAAAAAAAAAA&#10;AAAAAAAAAAAAW0NvbnRlbnRfVHlwZXNdLnhtbFBLAQItABQABgAIAAAAIQBa9CxbvwAAABUBAAAL&#10;AAAAAAAAAAAAAAAAAB8BAABfcmVscy8ucmVsc1BLAQItABQABgAIAAAAIQAPlQK6xQAAAN4AAAAP&#10;AAAAAAAAAAAAAAAAAAcCAABkcnMvZG93bnJldi54bWxQSwUGAAAAAAMAAwC3AAAA+QIAAAAA&#10;" path="m,5945302r3960000,l3960000,,,,,5945302xe" filled="f" strokeweight="1pt">
                  <v:stroke miterlimit="1" joinstyle="miter"/>
                  <v:path arrowok="t" textboxrect="0,0,3960000,5945302"/>
                </v:shape>
                <w10:anchorlock/>
              </v:group>
            </w:pict>
          </mc:Fallback>
        </mc:AlternateContent>
      </w:r>
    </w:p>
    <w:p w14:paraId="672E9006" w14:textId="77777777" w:rsidR="00B32EF2" w:rsidRDefault="00000000">
      <w:pPr>
        <w:spacing w:after="0"/>
        <w:ind w:left="-306" w:right="-306"/>
      </w:pPr>
      <w:r>
        <w:rPr>
          <w:noProof/>
        </w:rPr>
        <w:lastRenderedPageBreak/>
        <mc:AlternateContent>
          <mc:Choice Requires="wpg">
            <w:drawing>
              <wp:inline distT="0" distB="0" distL="0" distR="0" wp14:anchorId="04AE5843" wp14:editId="2F7CA2A3">
                <wp:extent cx="3960001" cy="6283511"/>
                <wp:effectExtent l="0" t="0" r="0" b="0"/>
                <wp:docPr id="200908" name="Group 200908"/>
                <wp:cNvGraphicFramePr/>
                <a:graphic xmlns:a="http://schemas.openxmlformats.org/drawingml/2006/main">
                  <a:graphicData uri="http://schemas.microsoft.com/office/word/2010/wordprocessingGroup">
                    <wpg:wgp>
                      <wpg:cNvGrpSpPr/>
                      <wpg:grpSpPr>
                        <a:xfrm>
                          <a:off x="0" y="0"/>
                          <a:ext cx="3960001" cy="6283511"/>
                          <a:chOff x="0" y="0"/>
                          <a:chExt cx="3960001" cy="6283511"/>
                        </a:xfrm>
                      </wpg:grpSpPr>
                      <wps:wsp>
                        <wps:cNvPr id="17580" name="Rectangle 17580"/>
                        <wps:cNvSpPr/>
                        <wps:spPr>
                          <a:xfrm rot="-10799999">
                            <a:off x="1868687" y="-62190"/>
                            <a:ext cx="178369" cy="250646"/>
                          </a:xfrm>
                          <a:prstGeom prst="rect">
                            <a:avLst/>
                          </a:prstGeom>
                          <a:ln>
                            <a:noFill/>
                          </a:ln>
                        </wps:spPr>
                        <wps:txbx>
                          <w:txbxContent>
                            <w:p w14:paraId="42BBE5D4" w14:textId="77777777" w:rsidR="00B32EF2" w:rsidRDefault="00000000">
                              <w:r>
                                <w:rPr>
                                  <w:rFonts w:ascii="Times New Roman" w:eastAsia="Times New Roman" w:hAnsi="Times New Roman" w:cs="Times New Roman"/>
                                </w:rPr>
                                <w:t>71</w:t>
                              </w:r>
                            </w:p>
                          </w:txbxContent>
                        </wps:txbx>
                        <wps:bodyPr horzOverflow="overflow" vert="horz" lIns="0" tIns="0" rIns="0" bIns="0" rtlCol="0">
                          <a:noAutofit/>
                        </wps:bodyPr>
                      </wps:wsp>
                      <wps:wsp>
                        <wps:cNvPr id="207892" name="Shape 207892"/>
                        <wps:cNvSpPr/>
                        <wps:spPr>
                          <a:xfrm>
                            <a:off x="1" y="338206"/>
                            <a:ext cx="3960000" cy="5945302"/>
                          </a:xfrm>
                          <a:custGeom>
                            <a:avLst/>
                            <a:gdLst/>
                            <a:ahLst/>
                            <a:cxnLst/>
                            <a:rect l="0" t="0" r="0" b="0"/>
                            <a:pathLst>
                              <a:path w="3960000" h="5945302">
                                <a:moveTo>
                                  <a:pt x="0" y="0"/>
                                </a:moveTo>
                                <a:lnTo>
                                  <a:pt x="3960000" y="0"/>
                                </a:lnTo>
                                <a:lnTo>
                                  <a:pt x="3960000" y="5945302"/>
                                </a:lnTo>
                                <a:lnTo>
                                  <a:pt x="0" y="5945302"/>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7582" name="Rectangle 17582"/>
                        <wps:cNvSpPr/>
                        <wps:spPr>
                          <a:xfrm rot="-10799999">
                            <a:off x="-1123073" y="6062263"/>
                            <a:ext cx="5004724" cy="142891"/>
                          </a:xfrm>
                          <a:prstGeom prst="rect">
                            <a:avLst/>
                          </a:prstGeom>
                          <a:ln>
                            <a:noFill/>
                          </a:ln>
                        </wps:spPr>
                        <wps:txbx>
                          <w:txbxContent>
                            <w:p w14:paraId="14B09C3D" w14:textId="77777777" w:rsidR="00B32EF2" w:rsidRDefault="00000000">
                              <w:r>
                                <w:rPr>
                                  <w:rFonts w:ascii="Arial" w:eastAsia="Arial" w:hAnsi="Arial" w:cs="Arial"/>
                                  <w:i/>
                                  <w:sz w:val="18"/>
                                </w:rPr>
                                <w:t>documenti e scritture, ad esclusione dei libri e dei registri in corso di scrittu</w:t>
                              </w:r>
                            </w:p>
                          </w:txbxContent>
                        </wps:txbx>
                        <wps:bodyPr horzOverflow="overflow" vert="horz" lIns="0" tIns="0" rIns="0" bIns="0" rtlCol="0">
                          <a:noAutofit/>
                        </wps:bodyPr>
                      </wps:wsp>
                      <wps:wsp>
                        <wps:cNvPr id="17583" name="Rectangle 17583"/>
                        <wps:cNvSpPr/>
                        <wps:spPr>
                          <a:xfrm rot="-10799999">
                            <a:off x="65757" y="6062264"/>
                            <a:ext cx="50622" cy="142889"/>
                          </a:xfrm>
                          <a:prstGeom prst="rect">
                            <a:avLst/>
                          </a:prstGeom>
                          <a:ln>
                            <a:noFill/>
                          </a:ln>
                        </wps:spPr>
                        <wps:txbx>
                          <w:txbxContent>
                            <w:p w14:paraId="381C5BA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584" name="Rectangle 17584"/>
                        <wps:cNvSpPr/>
                        <wps:spPr>
                          <a:xfrm rot="-10799999">
                            <a:off x="-1122541" y="5938934"/>
                            <a:ext cx="5004193" cy="142889"/>
                          </a:xfrm>
                          <a:prstGeom prst="rect">
                            <a:avLst/>
                          </a:prstGeom>
                          <a:ln>
                            <a:noFill/>
                          </a:ln>
                        </wps:spPr>
                        <wps:txbx>
                          <w:txbxContent>
                            <w:p w14:paraId="5DE1BEF2" w14:textId="77777777" w:rsidR="00B32EF2" w:rsidRDefault="00000000">
                              <w:r>
                                <w:rPr>
                                  <w:rFonts w:ascii="Arial" w:eastAsia="Arial" w:hAnsi="Arial" w:cs="Arial"/>
                                  <w:i/>
                                  <w:sz w:val="18"/>
                                </w:rPr>
                                <w:t>razione, o per fornire dati, notizie e chiarimenti rilevanti ai fini degli accerta</w:t>
                              </w:r>
                            </w:p>
                          </w:txbxContent>
                        </wps:txbx>
                        <wps:bodyPr horzOverflow="overflow" vert="horz" lIns="0" tIns="0" rIns="0" bIns="0" rtlCol="0">
                          <a:noAutofit/>
                        </wps:bodyPr>
                      </wps:wsp>
                      <wps:wsp>
                        <wps:cNvPr id="17585" name="Rectangle 17585"/>
                        <wps:cNvSpPr/>
                        <wps:spPr>
                          <a:xfrm rot="-10799999">
                            <a:off x="65757" y="5938935"/>
                            <a:ext cx="50622" cy="142889"/>
                          </a:xfrm>
                          <a:prstGeom prst="rect">
                            <a:avLst/>
                          </a:prstGeom>
                          <a:ln>
                            <a:noFill/>
                          </a:ln>
                        </wps:spPr>
                        <wps:txbx>
                          <w:txbxContent>
                            <w:p w14:paraId="67D094E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586" name="Rectangle 17586"/>
                        <wps:cNvSpPr/>
                        <wps:spPr>
                          <a:xfrm rot="-10799999">
                            <a:off x="-1220559" y="5815605"/>
                            <a:ext cx="5106212" cy="142889"/>
                          </a:xfrm>
                          <a:prstGeom prst="rect">
                            <a:avLst/>
                          </a:prstGeom>
                          <a:ln>
                            <a:noFill/>
                          </a:ln>
                        </wps:spPr>
                        <wps:txbx>
                          <w:txbxContent>
                            <w:p w14:paraId="04E6662C" w14:textId="77777777" w:rsidR="00B32EF2" w:rsidRDefault="00000000">
                              <w:r>
                                <w:rPr>
                                  <w:rFonts w:ascii="Arial" w:eastAsia="Arial" w:hAnsi="Arial" w:cs="Arial"/>
                                  <w:i/>
                                  <w:sz w:val="18"/>
                                </w:rPr>
                                <w:t xml:space="preserve">menti nei loro confronti anche relativamente ai rapporti ed alle operazioni, </w:t>
                              </w:r>
                            </w:p>
                          </w:txbxContent>
                        </wps:txbx>
                        <wps:bodyPr horzOverflow="overflow" vert="horz" lIns="0" tIns="0" rIns="0" bIns="0" rtlCol="0">
                          <a:noAutofit/>
                        </wps:bodyPr>
                      </wps:wsp>
                      <wps:wsp>
                        <wps:cNvPr id="17587" name="Rectangle 17587"/>
                        <wps:cNvSpPr/>
                        <wps:spPr>
                          <a:xfrm rot="-10799999">
                            <a:off x="-1221247" y="5692275"/>
                            <a:ext cx="5111928" cy="142889"/>
                          </a:xfrm>
                          <a:prstGeom prst="rect">
                            <a:avLst/>
                          </a:prstGeom>
                          <a:ln>
                            <a:noFill/>
                          </a:ln>
                        </wps:spPr>
                        <wps:txbx>
                          <w:txbxContent>
                            <w:p w14:paraId="58E187C6" w14:textId="77777777" w:rsidR="00B32EF2" w:rsidRDefault="00000000">
                              <w:r>
                                <w:rPr>
                                  <w:rFonts w:ascii="Arial" w:eastAsia="Arial" w:hAnsi="Arial" w:cs="Arial"/>
                                  <w:i/>
                                  <w:sz w:val="18"/>
                                </w:rPr>
                                <w:t xml:space="preserve">i cui dati, notizie e documenti siano stati acquisiti a norma del numero 7) </w:t>
                              </w:r>
                            </w:p>
                          </w:txbxContent>
                        </wps:txbx>
                        <wps:bodyPr horzOverflow="overflow" vert="horz" lIns="0" tIns="0" rIns="0" bIns="0" rtlCol="0">
                          <a:noAutofit/>
                        </wps:bodyPr>
                      </wps:wsp>
                      <wps:wsp>
                        <wps:cNvPr id="17588" name="Rectangle 17588"/>
                        <wps:cNvSpPr/>
                        <wps:spPr>
                          <a:xfrm rot="-10799999">
                            <a:off x="-1220559" y="5568945"/>
                            <a:ext cx="5106212" cy="142889"/>
                          </a:xfrm>
                          <a:prstGeom prst="rect">
                            <a:avLst/>
                          </a:prstGeom>
                          <a:ln>
                            <a:noFill/>
                          </a:ln>
                        </wps:spPr>
                        <wps:txbx>
                          <w:txbxContent>
                            <w:p w14:paraId="4CDEFE50" w14:textId="77777777" w:rsidR="00B32EF2" w:rsidRDefault="00000000">
                              <w:r>
                                <w:rPr>
                                  <w:rFonts w:ascii="Arial" w:eastAsia="Arial" w:hAnsi="Arial" w:cs="Arial"/>
                                  <w:i/>
                                  <w:sz w:val="18"/>
                                </w:rPr>
                                <w:t xml:space="preserve">del presente comma, ovvero rilevati a norma dell’art. 52, ultimo comma, o </w:t>
                              </w:r>
                            </w:p>
                          </w:txbxContent>
                        </wps:txbx>
                        <wps:bodyPr horzOverflow="overflow" vert="horz" lIns="0" tIns="0" rIns="0" bIns="0" rtlCol="0">
                          <a:noAutofit/>
                        </wps:bodyPr>
                      </wps:wsp>
                      <wps:wsp>
                        <wps:cNvPr id="17589" name="Rectangle 17589"/>
                        <wps:cNvSpPr/>
                        <wps:spPr>
                          <a:xfrm rot="-10799999">
                            <a:off x="-1217423" y="5445616"/>
                            <a:ext cx="5093245" cy="142889"/>
                          </a:xfrm>
                          <a:prstGeom prst="rect">
                            <a:avLst/>
                          </a:prstGeom>
                          <a:ln>
                            <a:noFill/>
                          </a:ln>
                        </wps:spPr>
                        <wps:txbx>
                          <w:txbxContent>
                            <w:p w14:paraId="24E49571" w14:textId="77777777" w:rsidR="00B32EF2" w:rsidRDefault="00000000">
                              <w:r>
                                <w:rPr>
                                  <w:rFonts w:ascii="Arial" w:eastAsia="Arial" w:hAnsi="Arial" w:cs="Arial"/>
                                  <w:i/>
                                  <w:sz w:val="18"/>
                                </w:rPr>
                                <w:t xml:space="preserve">dell’articolo 63, primo comma, o acquisiti ai sensi dell’articolo 18, comma 3, </w:t>
                              </w:r>
                            </w:p>
                          </w:txbxContent>
                        </wps:txbx>
                        <wps:bodyPr horzOverflow="overflow" vert="horz" lIns="0" tIns="0" rIns="0" bIns="0" rtlCol="0">
                          <a:noAutofit/>
                        </wps:bodyPr>
                      </wps:wsp>
                      <wps:wsp>
                        <wps:cNvPr id="17590" name="Rectangle 17590"/>
                        <wps:cNvSpPr/>
                        <wps:spPr>
                          <a:xfrm rot="-10799999">
                            <a:off x="-1219293" y="5322286"/>
                            <a:ext cx="5101059" cy="142889"/>
                          </a:xfrm>
                          <a:prstGeom prst="rect">
                            <a:avLst/>
                          </a:prstGeom>
                          <a:ln>
                            <a:noFill/>
                          </a:ln>
                        </wps:spPr>
                        <wps:txbx>
                          <w:txbxContent>
                            <w:p w14:paraId="4122AFEE" w14:textId="77777777" w:rsidR="00B32EF2" w:rsidRDefault="00000000">
                              <w:r>
                                <w:rPr>
                                  <w:rFonts w:ascii="Arial" w:eastAsia="Arial" w:hAnsi="Arial" w:cs="Arial"/>
                                  <w:i/>
                                  <w:sz w:val="18"/>
                                </w:rPr>
                                <w:t xml:space="preserve">lettera b), del decreto legislativo 26 ottobre 1995, n. 504. I dati ed elementi </w:t>
                              </w:r>
                            </w:p>
                          </w:txbxContent>
                        </wps:txbx>
                        <wps:bodyPr horzOverflow="overflow" vert="horz" lIns="0" tIns="0" rIns="0" bIns="0" rtlCol="0">
                          <a:noAutofit/>
                        </wps:bodyPr>
                      </wps:wsp>
                      <wps:wsp>
                        <wps:cNvPr id="17591" name="Rectangle 17591"/>
                        <wps:cNvSpPr/>
                        <wps:spPr>
                          <a:xfrm rot="-10799999">
                            <a:off x="-1221372" y="5198956"/>
                            <a:ext cx="5110909" cy="142889"/>
                          </a:xfrm>
                          <a:prstGeom prst="rect">
                            <a:avLst/>
                          </a:prstGeom>
                          <a:ln>
                            <a:noFill/>
                          </a:ln>
                        </wps:spPr>
                        <wps:txbx>
                          <w:txbxContent>
                            <w:p w14:paraId="7D2F5421" w14:textId="77777777" w:rsidR="00B32EF2" w:rsidRDefault="00000000">
                              <w:r>
                                <w:rPr>
                                  <w:rFonts w:ascii="Arial" w:eastAsia="Arial" w:hAnsi="Arial" w:cs="Arial"/>
                                  <w:i/>
                                  <w:sz w:val="18"/>
                                </w:rPr>
                                <w:t xml:space="preserve">attinenti ai rapporti ed alle operazioni acquisiti e rilevati rispettivamente a </w:t>
                              </w:r>
                            </w:p>
                          </w:txbxContent>
                        </wps:txbx>
                        <wps:bodyPr horzOverflow="overflow" vert="horz" lIns="0" tIns="0" rIns="0" bIns="0" rtlCol="0">
                          <a:noAutofit/>
                        </wps:bodyPr>
                      </wps:wsp>
                      <wps:wsp>
                        <wps:cNvPr id="17592" name="Rectangle 17592"/>
                        <wps:cNvSpPr/>
                        <wps:spPr>
                          <a:xfrm rot="-10799999">
                            <a:off x="-1223109" y="5075626"/>
                            <a:ext cx="5116762" cy="142889"/>
                          </a:xfrm>
                          <a:prstGeom prst="rect">
                            <a:avLst/>
                          </a:prstGeom>
                          <a:ln>
                            <a:noFill/>
                          </a:ln>
                        </wps:spPr>
                        <wps:txbx>
                          <w:txbxContent>
                            <w:p w14:paraId="7EB569F2" w14:textId="77777777" w:rsidR="00B32EF2" w:rsidRDefault="00000000">
                              <w:r>
                                <w:rPr>
                                  <w:rFonts w:ascii="Arial" w:eastAsia="Arial" w:hAnsi="Arial" w:cs="Arial"/>
                                  <w:i/>
                                  <w:sz w:val="18"/>
                                </w:rPr>
                                <w:t xml:space="preserve">norma del numero 7) e dell’articolo 52, ultimo comma, o dell’articolo 63, </w:t>
                              </w:r>
                            </w:p>
                          </w:txbxContent>
                        </wps:txbx>
                        <wps:bodyPr horzOverflow="overflow" vert="horz" lIns="0" tIns="0" rIns="0" bIns="0" rtlCol="0">
                          <a:noAutofit/>
                        </wps:bodyPr>
                      </wps:wsp>
                      <wps:wsp>
                        <wps:cNvPr id="17593" name="Rectangle 17593"/>
                        <wps:cNvSpPr/>
                        <wps:spPr>
                          <a:xfrm rot="-10799999">
                            <a:off x="-1220028" y="4952297"/>
                            <a:ext cx="5105680" cy="142889"/>
                          </a:xfrm>
                          <a:prstGeom prst="rect">
                            <a:avLst/>
                          </a:prstGeom>
                          <a:ln>
                            <a:noFill/>
                          </a:ln>
                        </wps:spPr>
                        <wps:txbx>
                          <w:txbxContent>
                            <w:p w14:paraId="0C8AE684" w14:textId="77777777" w:rsidR="00B32EF2" w:rsidRDefault="00000000">
                              <w:r>
                                <w:rPr>
                                  <w:rFonts w:ascii="Arial" w:eastAsia="Arial" w:hAnsi="Arial" w:cs="Arial"/>
                                  <w:i/>
                                  <w:sz w:val="18"/>
                                </w:rPr>
                                <w:t xml:space="preserve">primo comma, o acquisiti ai sensi dell’articolo 18, comma 3, lettera b), del </w:t>
                              </w:r>
                            </w:p>
                          </w:txbxContent>
                        </wps:txbx>
                        <wps:bodyPr horzOverflow="overflow" vert="horz" lIns="0" tIns="0" rIns="0" bIns="0" rtlCol="0">
                          <a:noAutofit/>
                        </wps:bodyPr>
                      </wps:wsp>
                      <wps:wsp>
                        <wps:cNvPr id="17594" name="Rectangle 17594"/>
                        <wps:cNvSpPr/>
                        <wps:spPr>
                          <a:xfrm rot="-10799999">
                            <a:off x="-1121020" y="4828967"/>
                            <a:ext cx="5002672" cy="142889"/>
                          </a:xfrm>
                          <a:prstGeom prst="rect">
                            <a:avLst/>
                          </a:prstGeom>
                          <a:ln>
                            <a:noFill/>
                          </a:ln>
                        </wps:spPr>
                        <wps:txbx>
                          <w:txbxContent>
                            <w:p w14:paraId="4761AEA0" w14:textId="77777777" w:rsidR="00B32EF2" w:rsidRDefault="00000000">
                              <w:r>
                                <w:rPr>
                                  <w:rFonts w:ascii="Arial" w:eastAsia="Arial" w:hAnsi="Arial" w:cs="Arial"/>
                                  <w:i/>
                                  <w:sz w:val="18"/>
                                </w:rPr>
                                <w:t>decreto legislativo 26 ottobre 1995, n. 504, sono posti a base delle rettifi</w:t>
                              </w:r>
                            </w:p>
                          </w:txbxContent>
                        </wps:txbx>
                        <wps:bodyPr horzOverflow="overflow" vert="horz" lIns="0" tIns="0" rIns="0" bIns="0" rtlCol="0">
                          <a:noAutofit/>
                        </wps:bodyPr>
                      </wps:wsp>
                      <wps:wsp>
                        <wps:cNvPr id="17595" name="Rectangle 17595"/>
                        <wps:cNvSpPr/>
                        <wps:spPr>
                          <a:xfrm rot="-10799999">
                            <a:off x="65757" y="4828968"/>
                            <a:ext cx="50622" cy="142889"/>
                          </a:xfrm>
                          <a:prstGeom prst="rect">
                            <a:avLst/>
                          </a:prstGeom>
                          <a:ln>
                            <a:noFill/>
                          </a:ln>
                        </wps:spPr>
                        <wps:txbx>
                          <w:txbxContent>
                            <w:p w14:paraId="6815110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596" name="Rectangle 17596"/>
                        <wps:cNvSpPr/>
                        <wps:spPr>
                          <a:xfrm rot="-10799999">
                            <a:off x="-1221345" y="4705637"/>
                            <a:ext cx="5109283" cy="142889"/>
                          </a:xfrm>
                          <a:prstGeom prst="rect">
                            <a:avLst/>
                          </a:prstGeom>
                          <a:ln>
                            <a:noFill/>
                          </a:ln>
                        </wps:spPr>
                        <wps:txbx>
                          <w:txbxContent>
                            <w:p w14:paraId="7EA991F0" w14:textId="77777777" w:rsidR="00B32EF2" w:rsidRDefault="00000000">
                              <w:r>
                                <w:rPr>
                                  <w:rFonts w:ascii="Arial" w:eastAsia="Arial" w:hAnsi="Arial" w:cs="Arial"/>
                                  <w:i/>
                                  <w:sz w:val="18"/>
                                </w:rPr>
                                <w:t xml:space="preserve">che e degli accertamenti previsti dagli artt. 54 e 55 se il contribuente non </w:t>
                              </w:r>
                            </w:p>
                          </w:txbxContent>
                        </wps:txbx>
                        <wps:bodyPr horzOverflow="overflow" vert="horz" lIns="0" tIns="0" rIns="0" bIns="0" rtlCol="0">
                          <a:noAutofit/>
                        </wps:bodyPr>
                      </wps:wsp>
                      <wps:wsp>
                        <wps:cNvPr id="17597" name="Rectangle 17597"/>
                        <wps:cNvSpPr/>
                        <wps:spPr>
                          <a:xfrm rot="-10799999">
                            <a:off x="-1218560" y="4582308"/>
                            <a:ext cx="5098383" cy="142889"/>
                          </a:xfrm>
                          <a:prstGeom prst="rect">
                            <a:avLst/>
                          </a:prstGeom>
                          <a:ln>
                            <a:noFill/>
                          </a:ln>
                        </wps:spPr>
                        <wps:txbx>
                          <w:txbxContent>
                            <w:p w14:paraId="1101D60C" w14:textId="77777777" w:rsidR="00B32EF2" w:rsidRDefault="00000000">
                              <w:r>
                                <w:rPr>
                                  <w:rFonts w:ascii="Arial" w:eastAsia="Arial" w:hAnsi="Arial" w:cs="Arial"/>
                                  <w:i/>
                                  <w:sz w:val="18"/>
                                </w:rPr>
                                <w:t xml:space="preserve">dimostra che ne ha tenuto conto nelle dichiarazioni o che non si riferiscono </w:t>
                              </w:r>
                            </w:p>
                          </w:txbxContent>
                        </wps:txbx>
                        <wps:bodyPr horzOverflow="overflow" vert="horz" lIns="0" tIns="0" rIns="0" bIns="0" rtlCol="0">
                          <a:noAutofit/>
                        </wps:bodyPr>
                      </wps:wsp>
                      <wps:wsp>
                        <wps:cNvPr id="17598" name="Rectangle 17598"/>
                        <wps:cNvSpPr/>
                        <wps:spPr>
                          <a:xfrm rot="-10799999">
                            <a:off x="-1122282" y="4458978"/>
                            <a:ext cx="5003934" cy="142889"/>
                          </a:xfrm>
                          <a:prstGeom prst="rect">
                            <a:avLst/>
                          </a:prstGeom>
                          <a:ln>
                            <a:noFill/>
                          </a:ln>
                        </wps:spPr>
                        <wps:txbx>
                          <w:txbxContent>
                            <w:p w14:paraId="7966021F" w14:textId="77777777" w:rsidR="00B32EF2" w:rsidRDefault="00000000">
                              <w:r>
                                <w:rPr>
                                  <w:rFonts w:ascii="Arial" w:eastAsia="Arial" w:hAnsi="Arial" w:cs="Arial"/>
                                  <w:i/>
                                  <w:sz w:val="18"/>
                                </w:rPr>
                                <w:t>ad operazioni imponibili; sia le operazioni imponibili sia gli acquisti si consi</w:t>
                              </w:r>
                            </w:p>
                          </w:txbxContent>
                        </wps:txbx>
                        <wps:bodyPr horzOverflow="overflow" vert="horz" lIns="0" tIns="0" rIns="0" bIns="0" rtlCol="0">
                          <a:noAutofit/>
                        </wps:bodyPr>
                      </wps:wsp>
                      <wps:wsp>
                        <wps:cNvPr id="17599" name="Rectangle 17599"/>
                        <wps:cNvSpPr/>
                        <wps:spPr>
                          <a:xfrm rot="-10799999">
                            <a:off x="65757" y="4458978"/>
                            <a:ext cx="50622" cy="142889"/>
                          </a:xfrm>
                          <a:prstGeom prst="rect">
                            <a:avLst/>
                          </a:prstGeom>
                          <a:ln>
                            <a:noFill/>
                          </a:ln>
                        </wps:spPr>
                        <wps:txbx>
                          <w:txbxContent>
                            <w:p w14:paraId="2CCB131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600" name="Rectangle 17600"/>
                        <wps:cNvSpPr/>
                        <wps:spPr>
                          <a:xfrm rot="-10799999">
                            <a:off x="-1221270" y="4335648"/>
                            <a:ext cx="5108523" cy="142889"/>
                          </a:xfrm>
                          <a:prstGeom prst="rect">
                            <a:avLst/>
                          </a:prstGeom>
                          <a:ln>
                            <a:noFill/>
                          </a:ln>
                        </wps:spPr>
                        <wps:txbx>
                          <w:txbxContent>
                            <w:p w14:paraId="18CAD288" w14:textId="77777777" w:rsidR="00B32EF2" w:rsidRDefault="00000000">
                              <w:r>
                                <w:rPr>
                                  <w:rFonts w:ascii="Arial" w:eastAsia="Arial" w:hAnsi="Arial" w:cs="Arial"/>
                                  <w:i/>
                                  <w:sz w:val="18"/>
                                </w:rPr>
                                <w:t xml:space="preserve">derano effettuati all’aliquota in prevalenza rispettivamente applicata o che </w:t>
                              </w:r>
                            </w:p>
                          </w:txbxContent>
                        </wps:txbx>
                        <wps:bodyPr horzOverflow="overflow" vert="horz" lIns="0" tIns="0" rIns="0" bIns="0" rtlCol="0">
                          <a:noAutofit/>
                        </wps:bodyPr>
                      </wps:wsp>
                      <wps:wsp>
                        <wps:cNvPr id="17601" name="Rectangle 17601"/>
                        <wps:cNvSpPr/>
                        <wps:spPr>
                          <a:xfrm rot="-10799999">
                            <a:off x="-1223372" y="4212319"/>
                            <a:ext cx="5118055" cy="142889"/>
                          </a:xfrm>
                          <a:prstGeom prst="rect">
                            <a:avLst/>
                          </a:prstGeom>
                          <a:ln>
                            <a:noFill/>
                          </a:ln>
                        </wps:spPr>
                        <wps:txbx>
                          <w:txbxContent>
                            <w:p w14:paraId="42512BD1" w14:textId="77777777" w:rsidR="00B32EF2" w:rsidRDefault="00000000">
                              <w:r>
                                <w:rPr>
                                  <w:rFonts w:ascii="Arial" w:eastAsia="Arial" w:hAnsi="Arial" w:cs="Arial"/>
                                  <w:i/>
                                  <w:sz w:val="18"/>
                                </w:rPr>
                                <w:t xml:space="preserve">avrebbe dovuto essere applicata. Le richieste fatte e le risposte ricevute </w:t>
                              </w:r>
                            </w:p>
                          </w:txbxContent>
                        </wps:txbx>
                        <wps:bodyPr horzOverflow="overflow" vert="horz" lIns="0" tIns="0" rIns="0" bIns="0" rtlCol="0">
                          <a:noAutofit/>
                        </wps:bodyPr>
                      </wps:wsp>
                      <wps:wsp>
                        <wps:cNvPr id="17602" name="Rectangle 17602"/>
                        <wps:cNvSpPr/>
                        <wps:spPr>
                          <a:xfrm rot="-10799999">
                            <a:off x="-1222148" y="4088989"/>
                            <a:ext cx="5114087" cy="142889"/>
                          </a:xfrm>
                          <a:prstGeom prst="rect">
                            <a:avLst/>
                          </a:prstGeom>
                          <a:ln>
                            <a:noFill/>
                          </a:ln>
                        </wps:spPr>
                        <wps:txbx>
                          <w:txbxContent>
                            <w:p w14:paraId="1A70C5A1" w14:textId="77777777" w:rsidR="00B32EF2" w:rsidRDefault="00000000">
                              <w:r>
                                <w:rPr>
                                  <w:rFonts w:ascii="Arial" w:eastAsia="Arial" w:hAnsi="Arial" w:cs="Arial"/>
                                  <w:i/>
                                  <w:sz w:val="18"/>
                                </w:rPr>
                                <w:t xml:space="preserve">devono essere verbalizzate a norma del sesto comma dell’articolo 52; 3) </w:t>
                              </w:r>
                            </w:p>
                          </w:txbxContent>
                        </wps:txbx>
                        <wps:bodyPr horzOverflow="overflow" vert="horz" lIns="0" tIns="0" rIns="0" bIns="0" rtlCol="0">
                          <a:noAutofit/>
                        </wps:bodyPr>
                      </wps:wsp>
                      <wps:wsp>
                        <wps:cNvPr id="17603" name="Rectangle 17603"/>
                        <wps:cNvSpPr/>
                        <wps:spPr>
                          <a:xfrm rot="-10799999">
                            <a:off x="-1222666" y="3965659"/>
                            <a:ext cx="5114147" cy="142889"/>
                          </a:xfrm>
                          <a:prstGeom prst="rect">
                            <a:avLst/>
                          </a:prstGeom>
                          <a:ln>
                            <a:noFill/>
                          </a:ln>
                        </wps:spPr>
                        <wps:txbx>
                          <w:txbxContent>
                            <w:p w14:paraId="711EE406" w14:textId="77777777" w:rsidR="00B32EF2" w:rsidRDefault="00000000">
                              <w:r>
                                <w:rPr>
                                  <w:rFonts w:ascii="Arial" w:eastAsia="Arial" w:hAnsi="Arial" w:cs="Arial"/>
                                  <w:i/>
                                  <w:sz w:val="18"/>
                                </w:rPr>
                                <w:t xml:space="preserve">inviare ai soggetti che esercitano imprese, arti e professioni, con invito a </w:t>
                              </w:r>
                            </w:p>
                          </w:txbxContent>
                        </wps:txbx>
                        <wps:bodyPr horzOverflow="overflow" vert="horz" lIns="0" tIns="0" rIns="0" bIns="0" rtlCol="0">
                          <a:noAutofit/>
                        </wps:bodyPr>
                      </wps:wsp>
                      <wps:wsp>
                        <wps:cNvPr id="17604" name="Rectangle 17604"/>
                        <wps:cNvSpPr/>
                        <wps:spPr>
                          <a:xfrm rot="-10799999">
                            <a:off x="-1218981" y="3842330"/>
                            <a:ext cx="5100634" cy="142889"/>
                          </a:xfrm>
                          <a:prstGeom prst="rect">
                            <a:avLst/>
                          </a:prstGeom>
                          <a:ln>
                            <a:noFill/>
                          </a:ln>
                        </wps:spPr>
                        <wps:txbx>
                          <w:txbxContent>
                            <w:p w14:paraId="3A9096F8" w14:textId="77777777" w:rsidR="00B32EF2" w:rsidRDefault="00000000">
                              <w:r>
                                <w:rPr>
                                  <w:rFonts w:ascii="Arial" w:eastAsia="Arial" w:hAnsi="Arial" w:cs="Arial"/>
                                  <w:i/>
                                  <w:sz w:val="18"/>
                                </w:rPr>
                                <w:t xml:space="preserve">restituirli compilati e firmati, questionari relativi a dati e notizie di carattere </w:t>
                              </w:r>
                            </w:p>
                          </w:txbxContent>
                        </wps:txbx>
                        <wps:bodyPr horzOverflow="overflow" vert="horz" lIns="0" tIns="0" rIns="0" bIns="0" rtlCol="0">
                          <a:noAutofit/>
                        </wps:bodyPr>
                      </wps:wsp>
                      <wps:wsp>
                        <wps:cNvPr id="17605" name="Rectangle 17605"/>
                        <wps:cNvSpPr/>
                        <wps:spPr>
                          <a:xfrm rot="-10799999">
                            <a:off x="-1218966" y="3719000"/>
                            <a:ext cx="5100618" cy="142889"/>
                          </a:xfrm>
                          <a:prstGeom prst="rect">
                            <a:avLst/>
                          </a:prstGeom>
                          <a:ln>
                            <a:noFill/>
                          </a:ln>
                        </wps:spPr>
                        <wps:txbx>
                          <w:txbxContent>
                            <w:p w14:paraId="0E1713BB" w14:textId="77777777" w:rsidR="00B32EF2" w:rsidRDefault="00000000">
                              <w:r>
                                <w:rPr>
                                  <w:rFonts w:ascii="Arial" w:eastAsia="Arial" w:hAnsi="Arial" w:cs="Arial"/>
                                  <w:i/>
                                  <w:sz w:val="18"/>
                                </w:rPr>
                                <w:t xml:space="preserve">specifico rilevanti ai fini dell’accertamento, anche nei confronti di loro clienti </w:t>
                              </w:r>
                            </w:p>
                          </w:txbxContent>
                        </wps:txbx>
                        <wps:bodyPr horzOverflow="overflow" vert="horz" lIns="0" tIns="0" rIns="0" bIns="0" rtlCol="0">
                          <a:noAutofit/>
                        </wps:bodyPr>
                      </wps:wsp>
                      <wps:wsp>
                        <wps:cNvPr id="17606" name="Rectangle 17606"/>
                        <wps:cNvSpPr/>
                        <wps:spPr>
                          <a:xfrm rot="-10799999">
                            <a:off x="3195935" y="3595670"/>
                            <a:ext cx="686746" cy="142889"/>
                          </a:xfrm>
                          <a:prstGeom prst="rect">
                            <a:avLst/>
                          </a:prstGeom>
                          <a:ln>
                            <a:noFill/>
                          </a:ln>
                        </wps:spPr>
                        <wps:txbx>
                          <w:txbxContent>
                            <w:p w14:paraId="4BBBFFB8" w14:textId="77777777" w:rsidR="00B32EF2" w:rsidRDefault="00000000">
                              <w:r>
                                <w:rPr>
                                  <w:rFonts w:ascii="Arial" w:eastAsia="Arial" w:hAnsi="Arial" w:cs="Arial"/>
                                  <w:i/>
                                  <w:sz w:val="18"/>
                                </w:rPr>
                                <w:t>e fornitori;</w:t>
                              </w:r>
                            </w:p>
                          </w:txbxContent>
                        </wps:txbx>
                        <wps:bodyPr horzOverflow="overflow" vert="horz" lIns="0" tIns="0" rIns="0" bIns="0" rtlCol="0">
                          <a:noAutofit/>
                        </wps:bodyPr>
                      </wps:wsp>
                      <wps:wsp>
                        <wps:cNvPr id="200849" name="Rectangle 200849"/>
                        <wps:cNvSpPr/>
                        <wps:spPr>
                          <a:xfrm rot="-10799999">
                            <a:off x="-1221970" y="3472341"/>
                            <a:ext cx="5002581" cy="142889"/>
                          </a:xfrm>
                          <a:prstGeom prst="rect">
                            <a:avLst/>
                          </a:prstGeom>
                          <a:ln>
                            <a:noFill/>
                          </a:ln>
                        </wps:spPr>
                        <wps:txbx>
                          <w:txbxContent>
                            <w:p w14:paraId="7D578BC0" w14:textId="77777777" w:rsidR="00B32EF2" w:rsidRDefault="00000000">
                              <w:r>
                                <w:rPr>
                                  <w:rFonts w:ascii="Arial" w:eastAsia="Arial" w:hAnsi="Arial" w:cs="Arial"/>
                                  <w:i/>
                                  <w:sz w:val="18"/>
                                </w:rPr>
                                <w:t xml:space="preserve"> invitare qualsiasi soggetto ad esibire o trasmettere, anche in copia fo</w:t>
                              </w:r>
                            </w:p>
                          </w:txbxContent>
                        </wps:txbx>
                        <wps:bodyPr horzOverflow="overflow" vert="horz" lIns="0" tIns="0" rIns="0" bIns="0" rtlCol="0">
                          <a:noAutofit/>
                        </wps:bodyPr>
                      </wps:wsp>
                      <wps:wsp>
                        <wps:cNvPr id="200848" name="Rectangle 200848"/>
                        <wps:cNvSpPr/>
                        <wps:spPr>
                          <a:xfrm rot="-10799999">
                            <a:off x="2539368" y="3472341"/>
                            <a:ext cx="5002580" cy="142889"/>
                          </a:xfrm>
                          <a:prstGeom prst="rect">
                            <a:avLst/>
                          </a:prstGeom>
                          <a:ln>
                            <a:noFill/>
                          </a:ln>
                        </wps:spPr>
                        <wps:txbx>
                          <w:txbxContent>
                            <w:p w14:paraId="6AD20F03"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17608" name="Rectangle 17608"/>
                        <wps:cNvSpPr/>
                        <wps:spPr>
                          <a:xfrm rot="-10799999">
                            <a:off x="65757" y="3472341"/>
                            <a:ext cx="50622" cy="142889"/>
                          </a:xfrm>
                          <a:prstGeom prst="rect">
                            <a:avLst/>
                          </a:prstGeom>
                          <a:ln>
                            <a:noFill/>
                          </a:ln>
                        </wps:spPr>
                        <wps:txbx>
                          <w:txbxContent>
                            <w:p w14:paraId="10365DC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609" name="Rectangle 17609"/>
                        <wps:cNvSpPr/>
                        <wps:spPr>
                          <a:xfrm rot="-10799999">
                            <a:off x="-1121430" y="3349011"/>
                            <a:ext cx="5003082" cy="142889"/>
                          </a:xfrm>
                          <a:prstGeom prst="rect">
                            <a:avLst/>
                          </a:prstGeom>
                          <a:ln>
                            <a:noFill/>
                          </a:ln>
                        </wps:spPr>
                        <wps:txbx>
                          <w:txbxContent>
                            <w:p w14:paraId="1DFCE38C" w14:textId="77777777" w:rsidR="00B32EF2" w:rsidRDefault="00000000">
                              <w:r>
                                <w:rPr>
                                  <w:rFonts w:ascii="Arial" w:eastAsia="Arial" w:hAnsi="Arial" w:cs="Arial"/>
                                  <w:i/>
                                  <w:sz w:val="18"/>
                                </w:rPr>
                                <w:t>tostatica, documenti e fatture relativi a determinate cessioni di beni o pre</w:t>
                              </w:r>
                            </w:p>
                          </w:txbxContent>
                        </wps:txbx>
                        <wps:bodyPr horzOverflow="overflow" vert="horz" lIns="0" tIns="0" rIns="0" bIns="0" rtlCol="0">
                          <a:noAutofit/>
                        </wps:bodyPr>
                      </wps:wsp>
                      <wps:wsp>
                        <wps:cNvPr id="17610" name="Rectangle 17610"/>
                        <wps:cNvSpPr/>
                        <wps:spPr>
                          <a:xfrm rot="-10799999">
                            <a:off x="65757" y="3349011"/>
                            <a:ext cx="50622" cy="142889"/>
                          </a:xfrm>
                          <a:prstGeom prst="rect">
                            <a:avLst/>
                          </a:prstGeom>
                          <a:ln>
                            <a:noFill/>
                          </a:ln>
                        </wps:spPr>
                        <wps:txbx>
                          <w:txbxContent>
                            <w:p w14:paraId="1759CBD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611" name="Rectangle 17611"/>
                        <wps:cNvSpPr/>
                        <wps:spPr>
                          <a:xfrm rot="-10799999">
                            <a:off x="-1121415" y="3225681"/>
                            <a:ext cx="5003067" cy="142889"/>
                          </a:xfrm>
                          <a:prstGeom prst="rect">
                            <a:avLst/>
                          </a:prstGeom>
                          <a:ln>
                            <a:noFill/>
                          </a:ln>
                        </wps:spPr>
                        <wps:txbx>
                          <w:txbxContent>
                            <w:p w14:paraId="4A8DD152" w14:textId="77777777" w:rsidR="00B32EF2" w:rsidRDefault="00000000">
                              <w:r>
                                <w:rPr>
                                  <w:rFonts w:ascii="Arial" w:eastAsia="Arial" w:hAnsi="Arial" w:cs="Arial"/>
                                  <w:i/>
                                  <w:sz w:val="18"/>
                                </w:rPr>
                                <w:t>stazioni di servizi ricevute ed a fornire ogni informazione relativa alle ope</w:t>
                              </w:r>
                            </w:p>
                          </w:txbxContent>
                        </wps:txbx>
                        <wps:bodyPr horzOverflow="overflow" vert="horz" lIns="0" tIns="0" rIns="0" bIns="0" rtlCol="0">
                          <a:noAutofit/>
                        </wps:bodyPr>
                      </wps:wsp>
                      <wps:wsp>
                        <wps:cNvPr id="17612" name="Rectangle 17612"/>
                        <wps:cNvSpPr/>
                        <wps:spPr>
                          <a:xfrm rot="-10799999">
                            <a:off x="65757" y="3225682"/>
                            <a:ext cx="50622" cy="142889"/>
                          </a:xfrm>
                          <a:prstGeom prst="rect">
                            <a:avLst/>
                          </a:prstGeom>
                          <a:ln>
                            <a:noFill/>
                          </a:ln>
                        </wps:spPr>
                        <wps:txbx>
                          <w:txbxContent>
                            <w:p w14:paraId="5C85E67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613" name="Rectangle 17613"/>
                        <wps:cNvSpPr/>
                        <wps:spPr>
                          <a:xfrm rot="-10799999">
                            <a:off x="2903560" y="3102351"/>
                            <a:ext cx="978090" cy="142889"/>
                          </a:xfrm>
                          <a:prstGeom prst="rect">
                            <a:avLst/>
                          </a:prstGeom>
                          <a:ln>
                            <a:noFill/>
                          </a:ln>
                        </wps:spPr>
                        <wps:txbx>
                          <w:txbxContent>
                            <w:p w14:paraId="39DD6223" w14:textId="77777777" w:rsidR="00B32EF2" w:rsidRDefault="00000000">
                              <w:r>
                                <w:rPr>
                                  <w:rFonts w:ascii="Arial" w:eastAsia="Arial" w:hAnsi="Arial" w:cs="Arial"/>
                                  <w:i/>
                                  <w:sz w:val="18"/>
                                </w:rPr>
                                <w:t>razioni stesse;</w:t>
                              </w:r>
                            </w:p>
                          </w:txbxContent>
                        </wps:txbx>
                        <wps:bodyPr horzOverflow="overflow" vert="horz" lIns="0" tIns="0" rIns="0" bIns="0" rtlCol="0">
                          <a:noAutofit/>
                        </wps:bodyPr>
                      </wps:wsp>
                      <wps:wsp>
                        <wps:cNvPr id="200846" name="Rectangle 200846"/>
                        <wps:cNvSpPr/>
                        <wps:spPr>
                          <a:xfrm rot="-10799999">
                            <a:off x="2538550" y="2979022"/>
                            <a:ext cx="5002793" cy="142889"/>
                          </a:xfrm>
                          <a:prstGeom prst="rect">
                            <a:avLst/>
                          </a:prstGeom>
                          <a:ln>
                            <a:noFill/>
                          </a:ln>
                        </wps:spPr>
                        <wps:txbx>
                          <w:txbxContent>
                            <w:p w14:paraId="1E5F8409"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200847" name="Rectangle 200847"/>
                        <wps:cNvSpPr/>
                        <wps:spPr>
                          <a:xfrm rot="-10799999">
                            <a:off x="-1222949" y="2979022"/>
                            <a:ext cx="5002794" cy="142889"/>
                          </a:xfrm>
                          <a:prstGeom prst="rect">
                            <a:avLst/>
                          </a:prstGeom>
                          <a:ln>
                            <a:noFill/>
                          </a:ln>
                        </wps:spPr>
                        <wps:txbx>
                          <w:txbxContent>
                            <w:p w14:paraId="6221C728" w14:textId="77777777" w:rsidR="00B32EF2" w:rsidRDefault="00000000">
                              <w:r>
                                <w:rPr>
                                  <w:rFonts w:ascii="Arial" w:eastAsia="Arial" w:hAnsi="Arial" w:cs="Arial"/>
                                  <w:i/>
                                  <w:sz w:val="18"/>
                                </w:rPr>
                                <w:t xml:space="preserve"> richiedere agli organi e alle Amministrazioni dello Stato, agli enti pub</w:t>
                              </w:r>
                            </w:p>
                          </w:txbxContent>
                        </wps:txbx>
                        <wps:bodyPr horzOverflow="overflow" vert="horz" lIns="0" tIns="0" rIns="0" bIns="0" rtlCol="0">
                          <a:noAutofit/>
                        </wps:bodyPr>
                      </wps:wsp>
                      <wps:wsp>
                        <wps:cNvPr id="17615" name="Rectangle 17615"/>
                        <wps:cNvSpPr/>
                        <wps:spPr>
                          <a:xfrm rot="-10799999">
                            <a:off x="65757" y="2979022"/>
                            <a:ext cx="50622" cy="142889"/>
                          </a:xfrm>
                          <a:prstGeom prst="rect">
                            <a:avLst/>
                          </a:prstGeom>
                          <a:ln>
                            <a:noFill/>
                          </a:ln>
                        </wps:spPr>
                        <wps:txbx>
                          <w:txbxContent>
                            <w:p w14:paraId="3381F90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616" name="Rectangle 17616"/>
                        <wps:cNvSpPr/>
                        <wps:spPr>
                          <a:xfrm rot="-10799999">
                            <a:off x="-1223739" y="2855692"/>
                            <a:ext cx="5120593" cy="142889"/>
                          </a:xfrm>
                          <a:prstGeom prst="rect">
                            <a:avLst/>
                          </a:prstGeom>
                          <a:ln>
                            <a:noFill/>
                          </a:ln>
                        </wps:spPr>
                        <wps:txbx>
                          <w:txbxContent>
                            <w:p w14:paraId="2B8C9784" w14:textId="77777777" w:rsidR="00B32EF2" w:rsidRDefault="00000000">
                              <w:r>
                                <w:rPr>
                                  <w:rFonts w:ascii="Arial" w:eastAsia="Arial" w:hAnsi="Arial" w:cs="Arial"/>
                                  <w:i/>
                                  <w:sz w:val="18"/>
                                </w:rPr>
                                <w:t xml:space="preserve">blici non economici, alle società ed enti di assicurazione ed alle società </w:t>
                              </w:r>
                            </w:p>
                          </w:txbxContent>
                        </wps:txbx>
                        <wps:bodyPr horzOverflow="overflow" vert="horz" lIns="0" tIns="0" rIns="0" bIns="0" rtlCol="0">
                          <a:noAutofit/>
                        </wps:bodyPr>
                      </wps:wsp>
                      <wps:wsp>
                        <wps:cNvPr id="17617" name="Rectangle 17617"/>
                        <wps:cNvSpPr/>
                        <wps:spPr>
                          <a:xfrm rot="-10799999">
                            <a:off x="-1220071" y="2732362"/>
                            <a:ext cx="5106410" cy="142889"/>
                          </a:xfrm>
                          <a:prstGeom prst="rect">
                            <a:avLst/>
                          </a:prstGeom>
                          <a:ln>
                            <a:noFill/>
                          </a:ln>
                        </wps:spPr>
                        <wps:txbx>
                          <w:txbxContent>
                            <w:p w14:paraId="73CF0928" w14:textId="77777777" w:rsidR="00B32EF2" w:rsidRDefault="00000000">
                              <w:r>
                                <w:rPr>
                                  <w:rFonts w:ascii="Arial" w:eastAsia="Arial" w:hAnsi="Arial" w:cs="Arial"/>
                                  <w:i/>
                                  <w:sz w:val="18"/>
                                </w:rPr>
                                <w:t xml:space="preserve">ed enti che effettuano istituzionalmente riscossioni e pagamenti per conto </w:t>
                              </w:r>
                            </w:p>
                          </w:txbxContent>
                        </wps:txbx>
                        <wps:bodyPr horzOverflow="overflow" vert="horz" lIns="0" tIns="0" rIns="0" bIns="0" rtlCol="0">
                          <a:noAutofit/>
                        </wps:bodyPr>
                      </wps:wsp>
                      <wps:wsp>
                        <wps:cNvPr id="17618" name="Rectangle 17618"/>
                        <wps:cNvSpPr/>
                        <wps:spPr>
                          <a:xfrm rot="-10799999">
                            <a:off x="-1218218" y="2609033"/>
                            <a:ext cx="5097927" cy="142889"/>
                          </a:xfrm>
                          <a:prstGeom prst="rect">
                            <a:avLst/>
                          </a:prstGeom>
                          <a:ln>
                            <a:noFill/>
                          </a:ln>
                        </wps:spPr>
                        <wps:txbx>
                          <w:txbxContent>
                            <w:p w14:paraId="3FA8E40C" w14:textId="77777777" w:rsidR="00B32EF2" w:rsidRDefault="00000000">
                              <w:r>
                                <w:rPr>
                                  <w:rFonts w:ascii="Arial" w:eastAsia="Arial" w:hAnsi="Arial" w:cs="Arial"/>
                                  <w:i/>
                                  <w:sz w:val="18"/>
                                </w:rPr>
                                <w:t xml:space="preserve">terzi la comunicazione, anche in deroga a contrarie disposizioni legislative, </w:t>
                              </w:r>
                            </w:p>
                          </w:txbxContent>
                        </wps:txbx>
                        <wps:bodyPr horzOverflow="overflow" vert="horz" lIns="0" tIns="0" rIns="0" bIns="0" rtlCol="0">
                          <a:noAutofit/>
                        </wps:bodyPr>
                      </wps:wsp>
                      <wps:wsp>
                        <wps:cNvPr id="17619" name="Rectangle 17619"/>
                        <wps:cNvSpPr/>
                        <wps:spPr>
                          <a:xfrm rot="-10799999">
                            <a:off x="-1120883" y="2485703"/>
                            <a:ext cx="5002535" cy="142889"/>
                          </a:xfrm>
                          <a:prstGeom prst="rect">
                            <a:avLst/>
                          </a:prstGeom>
                          <a:ln>
                            <a:noFill/>
                          </a:ln>
                        </wps:spPr>
                        <wps:txbx>
                          <w:txbxContent>
                            <w:p w14:paraId="61DA80A4" w14:textId="77777777" w:rsidR="00B32EF2" w:rsidRDefault="00000000">
                              <w:r>
                                <w:rPr>
                                  <w:rFonts w:ascii="Arial" w:eastAsia="Arial" w:hAnsi="Arial" w:cs="Arial"/>
                                  <w:i/>
                                  <w:sz w:val="18"/>
                                </w:rPr>
                                <w:t>statutarie o regolamentari, di dati e notizie relativi a soggetti indicati singo</w:t>
                              </w:r>
                            </w:p>
                          </w:txbxContent>
                        </wps:txbx>
                        <wps:bodyPr horzOverflow="overflow" vert="horz" lIns="0" tIns="0" rIns="0" bIns="0" rtlCol="0">
                          <a:noAutofit/>
                        </wps:bodyPr>
                      </wps:wsp>
                      <wps:wsp>
                        <wps:cNvPr id="17620" name="Rectangle 17620"/>
                        <wps:cNvSpPr/>
                        <wps:spPr>
                          <a:xfrm rot="-10799999">
                            <a:off x="65757" y="2485703"/>
                            <a:ext cx="50622" cy="142889"/>
                          </a:xfrm>
                          <a:prstGeom prst="rect">
                            <a:avLst/>
                          </a:prstGeom>
                          <a:ln>
                            <a:noFill/>
                          </a:ln>
                        </wps:spPr>
                        <wps:txbx>
                          <w:txbxContent>
                            <w:p w14:paraId="2C9E404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621" name="Rectangle 17621"/>
                        <wps:cNvSpPr/>
                        <wps:spPr>
                          <a:xfrm rot="-10799999">
                            <a:off x="-1220583" y="2362373"/>
                            <a:ext cx="5106121" cy="142889"/>
                          </a:xfrm>
                          <a:prstGeom prst="rect">
                            <a:avLst/>
                          </a:prstGeom>
                          <a:ln>
                            <a:noFill/>
                          </a:ln>
                        </wps:spPr>
                        <wps:txbx>
                          <w:txbxContent>
                            <w:p w14:paraId="06E224E8" w14:textId="77777777" w:rsidR="00B32EF2" w:rsidRDefault="00000000">
                              <w:r>
                                <w:rPr>
                                  <w:rFonts w:ascii="Arial" w:eastAsia="Arial" w:hAnsi="Arial" w:cs="Arial"/>
                                  <w:i/>
                                  <w:sz w:val="18"/>
                                </w:rPr>
                                <w:t xml:space="preserve">larmente o per categorie. Alle società ed enti di assicurazione, per quanto </w:t>
                              </w:r>
                            </w:p>
                          </w:txbxContent>
                        </wps:txbx>
                        <wps:bodyPr horzOverflow="overflow" vert="horz" lIns="0" tIns="0" rIns="0" bIns="0" rtlCol="0">
                          <a:noAutofit/>
                        </wps:bodyPr>
                      </wps:wsp>
                      <wps:wsp>
                        <wps:cNvPr id="17622" name="Rectangle 17622"/>
                        <wps:cNvSpPr/>
                        <wps:spPr>
                          <a:xfrm rot="-10799999">
                            <a:off x="-1218654" y="2239044"/>
                            <a:ext cx="5100193" cy="142889"/>
                          </a:xfrm>
                          <a:prstGeom prst="rect">
                            <a:avLst/>
                          </a:prstGeom>
                          <a:ln>
                            <a:noFill/>
                          </a:ln>
                        </wps:spPr>
                        <wps:txbx>
                          <w:txbxContent>
                            <w:p w14:paraId="3EF24620" w14:textId="77777777" w:rsidR="00B32EF2" w:rsidRDefault="00000000">
                              <w:r>
                                <w:rPr>
                                  <w:rFonts w:ascii="Arial" w:eastAsia="Arial" w:hAnsi="Arial" w:cs="Arial"/>
                                  <w:i/>
                                  <w:sz w:val="18"/>
                                </w:rPr>
                                <w:t xml:space="preserve">riguarda i rapporti con gli assicurati del ramo vita, possono essere richiesti </w:t>
                              </w:r>
                            </w:p>
                          </w:txbxContent>
                        </wps:txbx>
                        <wps:bodyPr horzOverflow="overflow" vert="horz" lIns="0" tIns="0" rIns="0" bIns="0" rtlCol="0">
                          <a:noAutofit/>
                        </wps:bodyPr>
                      </wps:wsp>
                      <wps:wsp>
                        <wps:cNvPr id="17623" name="Rectangle 17623"/>
                        <wps:cNvSpPr/>
                        <wps:spPr>
                          <a:xfrm rot="-10799999">
                            <a:off x="-1123087" y="2115714"/>
                            <a:ext cx="5004740" cy="142889"/>
                          </a:xfrm>
                          <a:prstGeom prst="rect">
                            <a:avLst/>
                          </a:prstGeom>
                          <a:ln>
                            <a:noFill/>
                          </a:ln>
                        </wps:spPr>
                        <wps:txbx>
                          <w:txbxContent>
                            <w:p w14:paraId="0FD051BB" w14:textId="77777777" w:rsidR="00B32EF2" w:rsidRDefault="00000000">
                              <w:r>
                                <w:rPr>
                                  <w:rFonts w:ascii="Arial" w:eastAsia="Arial" w:hAnsi="Arial" w:cs="Arial"/>
                                  <w:i/>
                                  <w:sz w:val="18"/>
                                </w:rPr>
                                <w:t>dati e notizie attinenti esclusivamente alla durata del contratto di assicura</w:t>
                              </w:r>
                            </w:p>
                          </w:txbxContent>
                        </wps:txbx>
                        <wps:bodyPr horzOverflow="overflow" vert="horz" lIns="0" tIns="0" rIns="0" bIns="0" rtlCol="0">
                          <a:noAutofit/>
                        </wps:bodyPr>
                      </wps:wsp>
                      <wps:wsp>
                        <wps:cNvPr id="17624" name="Rectangle 17624"/>
                        <wps:cNvSpPr/>
                        <wps:spPr>
                          <a:xfrm rot="-10799999">
                            <a:off x="65757" y="2115714"/>
                            <a:ext cx="50622" cy="142889"/>
                          </a:xfrm>
                          <a:prstGeom prst="rect">
                            <a:avLst/>
                          </a:prstGeom>
                          <a:ln>
                            <a:noFill/>
                          </a:ln>
                        </wps:spPr>
                        <wps:txbx>
                          <w:txbxContent>
                            <w:p w14:paraId="2844ACA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625" name="Rectangle 17625"/>
                        <wps:cNvSpPr/>
                        <wps:spPr>
                          <a:xfrm rot="-10799999">
                            <a:off x="-1218635" y="1992384"/>
                            <a:ext cx="5098686" cy="142889"/>
                          </a:xfrm>
                          <a:prstGeom prst="rect">
                            <a:avLst/>
                          </a:prstGeom>
                          <a:ln>
                            <a:noFill/>
                          </a:ln>
                        </wps:spPr>
                        <wps:txbx>
                          <w:txbxContent>
                            <w:p w14:paraId="1946494B" w14:textId="77777777" w:rsidR="00B32EF2" w:rsidRDefault="00000000">
                              <w:r>
                                <w:rPr>
                                  <w:rFonts w:ascii="Arial" w:eastAsia="Arial" w:hAnsi="Arial" w:cs="Arial"/>
                                  <w:i/>
                                  <w:sz w:val="18"/>
                                </w:rPr>
                                <w:t xml:space="preserve">zione, all’ammontare del premio e alla individuazione del soggetto tenuto a </w:t>
                              </w:r>
                            </w:p>
                          </w:txbxContent>
                        </wps:txbx>
                        <wps:bodyPr horzOverflow="overflow" vert="horz" lIns="0" tIns="0" rIns="0" bIns="0" rtlCol="0">
                          <a:noAutofit/>
                        </wps:bodyPr>
                      </wps:wsp>
                      <wps:wsp>
                        <wps:cNvPr id="17626" name="Rectangle 17626"/>
                        <wps:cNvSpPr/>
                        <wps:spPr>
                          <a:xfrm rot="-10799999">
                            <a:off x="-1121856" y="1869055"/>
                            <a:ext cx="5003508" cy="142889"/>
                          </a:xfrm>
                          <a:prstGeom prst="rect">
                            <a:avLst/>
                          </a:prstGeom>
                          <a:ln>
                            <a:noFill/>
                          </a:ln>
                        </wps:spPr>
                        <wps:txbx>
                          <w:txbxContent>
                            <w:p w14:paraId="36D6661E" w14:textId="77777777" w:rsidR="00B32EF2" w:rsidRDefault="00000000">
                              <w:r>
                                <w:rPr>
                                  <w:rFonts w:ascii="Arial" w:eastAsia="Arial" w:hAnsi="Arial" w:cs="Arial"/>
                                  <w:i/>
                                  <w:sz w:val="18"/>
                                </w:rPr>
                                <w:t>corrisponderlo. Le informazioni sulla categoria devono essere fornite, a se</w:t>
                              </w:r>
                            </w:p>
                          </w:txbxContent>
                        </wps:txbx>
                        <wps:bodyPr horzOverflow="overflow" vert="horz" lIns="0" tIns="0" rIns="0" bIns="0" rtlCol="0">
                          <a:noAutofit/>
                        </wps:bodyPr>
                      </wps:wsp>
                      <wps:wsp>
                        <wps:cNvPr id="17627" name="Rectangle 17627"/>
                        <wps:cNvSpPr/>
                        <wps:spPr>
                          <a:xfrm rot="-10799999">
                            <a:off x="65757" y="1869055"/>
                            <a:ext cx="50622" cy="142889"/>
                          </a:xfrm>
                          <a:prstGeom prst="rect">
                            <a:avLst/>
                          </a:prstGeom>
                          <a:ln>
                            <a:noFill/>
                          </a:ln>
                        </wps:spPr>
                        <wps:txbx>
                          <w:txbxContent>
                            <w:p w14:paraId="72FC8B6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628" name="Rectangle 17628"/>
                        <wps:cNvSpPr/>
                        <wps:spPr>
                          <a:xfrm rot="-10799999">
                            <a:off x="-1218996" y="1745725"/>
                            <a:ext cx="5100648" cy="142889"/>
                          </a:xfrm>
                          <a:prstGeom prst="rect">
                            <a:avLst/>
                          </a:prstGeom>
                          <a:ln>
                            <a:noFill/>
                          </a:ln>
                        </wps:spPr>
                        <wps:txbx>
                          <w:txbxContent>
                            <w:p w14:paraId="32DD1E08" w14:textId="77777777" w:rsidR="00B32EF2" w:rsidRDefault="00000000">
                              <w:r>
                                <w:rPr>
                                  <w:rFonts w:ascii="Arial" w:eastAsia="Arial" w:hAnsi="Arial" w:cs="Arial"/>
                                  <w:i/>
                                  <w:sz w:val="18"/>
                                </w:rPr>
                                <w:t xml:space="preserve">conda della richiesta, cumulativamente o specificamente per ogni soggetto </w:t>
                              </w:r>
                            </w:p>
                          </w:txbxContent>
                        </wps:txbx>
                        <wps:bodyPr horzOverflow="overflow" vert="horz" lIns="0" tIns="0" rIns="0" bIns="0" rtlCol="0">
                          <a:noAutofit/>
                        </wps:bodyPr>
                      </wps:wsp>
                      <wps:wsp>
                        <wps:cNvPr id="17629" name="Rectangle 17629"/>
                        <wps:cNvSpPr/>
                        <wps:spPr>
                          <a:xfrm rot="-10799999">
                            <a:off x="-1222440" y="1622395"/>
                            <a:ext cx="5113235" cy="142889"/>
                          </a:xfrm>
                          <a:prstGeom prst="rect">
                            <a:avLst/>
                          </a:prstGeom>
                          <a:ln>
                            <a:noFill/>
                          </a:ln>
                        </wps:spPr>
                        <wps:txbx>
                          <w:txbxContent>
                            <w:p w14:paraId="13A39405" w14:textId="77777777" w:rsidR="00B32EF2" w:rsidRDefault="00000000">
                              <w:r>
                                <w:rPr>
                                  <w:rFonts w:ascii="Arial" w:eastAsia="Arial" w:hAnsi="Arial" w:cs="Arial"/>
                                  <w:i/>
                                  <w:sz w:val="18"/>
                                </w:rPr>
                                <w:t xml:space="preserve">che ne fa parte. Questa disposizione non si applica all’Istituto centrale di </w:t>
                              </w:r>
                            </w:p>
                          </w:txbxContent>
                        </wps:txbx>
                        <wps:bodyPr horzOverflow="overflow" vert="horz" lIns="0" tIns="0" rIns="0" bIns="0" rtlCol="0">
                          <a:noAutofit/>
                        </wps:bodyPr>
                      </wps:wsp>
                      <wps:wsp>
                        <wps:cNvPr id="17630" name="Rectangle 17630"/>
                        <wps:cNvSpPr/>
                        <wps:spPr>
                          <a:xfrm rot="-10799999">
                            <a:off x="-1220346" y="1499066"/>
                            <a:ext cx="5105999" cy="142889"/>
                          </a:xfrm>
                          <a:prstGeom prst="rect">
                            <a:avLst/>
                          </a:prstGeom>
                          <a:ln>
                            <a:noFill/>
                          </a:ln>
                        </wps:spPr>
                        <wps:txbx>
                          <w:txbxContent>
                            <w:p w14:paraId="0DE4BA33" w14:textId="77777777" w:rsidR="00B32EF2" w:rsidRDefault="00000000">
                              <w:r>
                                <w:rPr>
                                  <w:rFonts w:ascii="Arial" w:eastAsia="Arial" w:hAnsi="Arial" w:cs="Arial"/>
                                  <w:i/>
                                  <w:sz w:val="18"/>
                                </w:rPr>
                                <w:t xml:space="preserve">statistica e agli ispettorati del lavoro per quanto riguarda le rilevazioni loro </w:t>
                              </w:r>
                            </w:p>
                          </w:txbxContent>
                        </wps:txbx>
                        <wps:bodyPr horzOverflow="overflow" vert="horz" lIns="0" tIns="0" rIns="0" bIns="0" rtlCol="0">
                          <a:noAutofit/>
                        </wps:bodyPr>
                      </wps:wsp>
                      <wps:wsp>
                        <wps:cNvPr id="17631" name="Rectangle 17631"/>
                        <wps:cNvSpPr/>
                        <wps:spPr>
                          <a:xfrm rot="-10799999">
                            <a:off x="-1217763" y="1375736"/>
                            <a:ext cx="5094385" cy="142889"/>
                          </a:xfrm>
                          <a:prstGeom prst="rect">
                            <a:avLst/>
                          </a:prstGeom>
                          <a:ln>
                            <a:noFill/>
                          </a:ln>
                        </wps:spPr>
                        <wps:txbx>
                          <w:txbxContent>
                            <w:p w14:paraId="046B82E4" w14:textId="77777777" w:rsidR="00B32EF2" w:rsidRDefault="00000000">
                              <w:r>
                                <w:rPr>
                                  <w:rFonts w:ascii="Arial" w:eastAsia="Arial" w:hAnsi="Arial" w:cs="Arial"/>
                                  <w:i/>
                                  <w:sz w:val="18"/>
                                </w:rPr>
                                <w:t xml:space="preserve">commesse dalla legge e, salvo il disposto del n. 7), alle banche, alla società </w:t>
                              </w:r>
                            </w:p>
                          </w:txbxContent>
                        </wps:txbx>
                        <wps:bodyPr horzOverflow="overflow" vert="horz" lIns="0" tIns="0" rIns="0" bIns="0" rtlCol="0">
                          <a:noAutofit/>
                        </wps:bodyPr>
                      </wps:wsp>
                      <wps:wsp>
                        <wps:cNvPr id="17632" name="Rectangle 17632"/>
                        <wps:cNvSpPr/>
                        <wps:spPr>
                          <a:xfrm rot="-10799999">
                            <a:off x="-1219103" y="1252406"/>
                            <a:ext cx="5100754" cy="142889"/>
                          </a:xfrm>
                          <a:prstGeom prst="rect">
                            <a:avLst/>
                          </a:prstGeom>
                          <a:ln>
                            <a:noFill/>
                          </a:ln>
                        </wps:spPr>
                        <wps:txbx>
                          <w:txbxContent>
                            <w:p w14:paraId="4414A9EA" w14:textId="77777777" w:rsidR="00B32EF2" w:rsidRDefault="00000000">
                              <w:r>
                                <w:rPr>
                                  <w:rFonts w:ascii="Arial" w:eastAsia="Arial" w:hAnsi="Arial" w:cs="Arial"/>
                                  <w:i/>
                                  <w:sz w:val="18"/>
                                </w:rPr>
                                <w:t xml:space="preserve">Poste italiane Spa, per le attività finanziarie e creditizie, alle società ed enti </w:t>
                              </w:r>
                            </w:p>
                          </w:txbxContent>
                        </wps:txbx>
                        <wps:bodyPr horzOverflow="overflow" vert="horz" lIns="0" tIns="0" rIns="0" bIns="0" rtlCol="0">
                          <a:noAutofit/>
                        </wps:bodyPr>
                      </wps:wsp>
                      <wps:wsp>
                        <wps:cNvPr id="17633" name="Rectangle 17633"/>
                        <wps:cNvSpPr/>
                        <wps:spPr>
                          <a:xfrm rot="-10799999">
                            <a:off x="-1219073" y="1129077"/>
                            <a:ext cx="5100724" cy="142889"/>
                          </a:xfrm>
                          <a:prstGeom prst="rect">
                            <a:avLst/>
                          </a:prstGeom>
                          <a:ln>
                            <a:noFill/>
                          </a:ln>
                        </wps:spPr>
                        <wps:txbx>
                          <w:txbxContent>
                            <w:p w14:paraId="65771C2E" w14:textId="77777777" w:rsidR="00B32EF2" w:rsidRDefault="00000000">
                              <w:r>
                                <w:rPr>
                                  <w:rFonts w:ascii="Arial" w:eastAsia="Arial" w:hAnsi="Arial" w:cs="Arial"/>
                                  <w:i/>
                                  <w:sz w:val="18"/>
                                </w:rPr>
                                <w:t xml:space="preserve">di assicurazione per le attività finanziarie, agli intermediari finanziari, alle </w:t>
                              </w:r>
                            </w:p>
                          </w:txbxContent>
                        </wps:txbx>
                        <wps:bodyPr horzOverflow="overflow" vert="horz" lIns="0" tIns="0" rIns="0" bIns="0" rtlCol="0">
                          <a:noAutofit/>
                        </wps:bodyPr>
                      </wps:wsp>
                      <wps:wsp>
                        <wps:cNvPr id="17634" name="Rectangle 17634"/>
                        <wps:cNvSpPr/>
                        <wps:spPr>
                          <a:xfrm rot="-10799999">
                            <a:off x="-1129914" y="1005747"/>
                            <a:ext cx="5011565" cy="142889"/>
                          </a:xfrm>
                          <a:prstGeom prst="rect">
                            <a:avLst/>
                          </a:prstGeom>
                          <a:ln>
                            <a:noFill/>
                          </a:ln>
                        </wps:spPr>
                        <wps:txbx>
                          <w:txbxContent>
                            <w:p w14:paraId="630297B9" w14:textId="77777777" w:rsidR="00B32EF2" w:rsidRDefault="00000000">
                              <w:r>
                                <w:rPr>
                                  <w:rFonts w:ascii="Arial" w:eastAsia="Arial" w:hAnsi="Arial" w:cs="Arial"/>
                                  <w:i/>
                                  <w:sz w:val="18"/>
                                </w:rPr>
                                <w:t>imprese di investimento, agli organismi di investimento collettivo del rispar</w:t>
                              </w:r>
                            </w:p>
                          </w:txbxContent>
                        </wps:txbx>
                        <wps:bodyPr horzOverflow="overflow" vert="horz" lIns="0" tIns="0" rIns="0" bIns="0" rtlCol="0">
                          <a:noAutofit/>
                        </wps:bodyPr>
                      </wps:wsp>
                      <wps:wsp>
                        <wps:cNvPr id="17635" name="Rectangle 17635"/>
                        <wps:cNvSpPr/>
                        <wps:spPr>
                          <a:xfrm rot="-10799999">
                            <a:off x="65757" y="1005747"/>
                            <a:ext cx="50622" cy="142889"/>
                          </a:xfrm>
                          <a:prstGeom prst="rect">
                            <a:avLst/>
                          </a:prstGeom>
                          <a:ln>
                            <a:noFill/>
                          </a:ln>
                        </wps:spPr>
                        <wps:txbx>
                          <w:txbxContent>
                            <w:p w14:paraId="4F27284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636" name="Rectangle 17636"/>
                        <wps:cNvSpPr/>
                        <wps:spPr>
                          <a:xfrm rot="-10799999">
                            <a:off x="-578403" y="882417"/>
                            <a:ext cx="4460055" cy="142889"/>
                          </a:xfrm>
                          <a:prstGeom prst="rect">
                            <a:avLst/>
                          </a:prstGeom>
                          <a:ln>
                            <a:noFill/>
                          </a:ln>
                        </wps:spPr>
                        <wps:txbx>
                          <w:txbxContent>
                            <w:p w14:paraId="3FBF2428" w14:textId="77777777" w:rsidR="00B32EF2" w:rsidRDefault="00000000">
                              <w:r>
                                <w:rPr>
                                  <w:rFonts w:ascii="Arial" w:eastAsia="Arial" w:hAnsi="Arial" w:cs="Arial"/>
                                  <w:i/>
                                  <w:sz w:val="18"/>
                                </w:rPr>
                                <w:t>mio, alle società di gestione del risparmio e alle società fiduciarie;</w:t>
                              </w:r>
                            </w:p>
                          </w:txbxContent>
                        </wps:txbx>
                        <wps:bodyPr horzOverflow="overflow" vert="horz" lIns="0" tIns="0" rIns="0" bIns="0" rtlCol="0">
                          <a:noAutofit/>
                        </wps:bodyPr>
                      </wps:wsp>
                      <wps:wsp>
                        <wps:cNvPr id="200842" name="Rectangle 200842"/>
                        <wps:cNvSpPr/>
                        <wps:spPr>
                          <a:xfrm rot="-10799999">
                            <a:off x="2511050" y="759088"/>
                            <a:ext cx="5111229" cy="142889"/>
                          </a:xfrm>
                          <a:prstGeom prst="rect">
                            <a:avLst/>
                          </a:prstGeom>
                          <a:ln>
                            <a:noFill/>
                          </a:ln>
                        </wps:spPr>
                        <wps:txbx>
                          <w:txbxContent>
                            <w:p w14:paraId="44A7BECE" w14:textId="77777777" w:rsidR="00B32EF2" w:rsidRDefault="00000000">
                              <w:r>
                                <w:rPr>
                                  <w:rFonts w:ascii="Arial" w:eastAsia="Arial" w:hAnsi="Arial" w:cs="Arial"/>
                                  <w:i/>
                                  <w:sz w:val="18"/>
                                </w:rPr>
                                <w:t>6)</w:t>
                              </w:r>
                            </w:p>
                          </w:txbxContent>
                        </wps:txbx>
                        <wps:bodyPr horzOverflow="overflow" vert="horz" lIns="0" tIns="0" rIns="0" bIns="0" rtlCol="0">
                          <a:noAutofit/>
                        </wps:bodyPr>
                      </wps:wsp>
                      <wps:wsp>
                        <wps:cNvPr id="200844" name="Rectangle 200844"/>
                        <wps:cNvSpPr/>
                        <wps:spPr>
                          <a:xfrm rot="-10799999">
                            <a:off x="-1324091" y="759088"/>
                            <a:ext cx="5111229" cy="142889"/>
                          </a:xfrm>
                          <a:prstGeom prst="rect">
                            <a:avLst/>
                          </a:prstGeom>
                          <a:ln>
                            <a:noFill/>
                          </a:ln>
                        </wps:spPr>
                        <wps:txbx>
                          <w:txbxContent>
                            <w:p w14:paraId="75A6A34C" w14:textId="77777777" w:rsidR="00B32EF2" w:rsidRDefault="00000000">
                              <w:r>
                                <w:rPr>
                                  <w:rFonts w:ascii="Arial" w:eastAsia="Arial" w:hAnsi="Arial" w:cs="Arial"/>
                                  <w:i/>
                                  <w:sz w:val="18"/>
                                </w:rPr>
                                <w:t xml:space="preserve"> richiedere copie o estratti degli atti e dei documenti depositati presso i </w:t>
                              </w:r>
                            </w:p>
                          </w:txbxContent>
                        </wps:txbx>
                        <wps:bodyPr horzOverflow="overflow" vert="horz" lIns="0" tIns="0" rIns="0" bIns="0" rtlCol="0">
                          <a:noAutofit/>
                        </wps:bodyPr>
                      </wps:wsp>
                      <wps:wsp>
                        <wps:cNvPr id="17638" name="Rectangle 17638"/>
                        <wps:cNvSpPr/>
                        <wps:spPr>
                          <a:xfrm rot="-10799999">
                            <a:off x="-1222711" y="635758"/>
                            <a:ext cx="5114422" cy="142889"/>
                          </a:xfrm>
                          <a:prstGeom prst="rect">
                            <a:avLst/>
                          </a:prstGeom>
                          <a:ln>
                            <a:noFill/>
                          </a:ln>
                        </wps:spPr>
                        <wps:txbx>
                          <w:txbxContent>
                            <w:p w14:paraId="12578CCC" w14:textId="77777777" w:rsidR="00B32EF2" w:rsidRDefault="00000000">
                              <w:r>
                                <w:rPr>
                                  <w:rFonts w:ascii="Arial" w:eastAsia="Arial" w:hAnsi="Arial" w:cs="Arial"/>
                                  <w:i/>
                                  <w:sz w:val="18"/>
                                </w:rPr>
                                <w:t xml:space="preserve">notai, i procuratori del registro, i conservatori dei registri immobiliari e gli </w:t>
                              </w:r>
                            </w:p>
                          </w:txbxContent>
                        </wps:txbx>
                        <wps:bodyPr horzOverflow="overflow" vert="horz" lIns="0" tIns="0" rIns="0" bIns="0" rtlCol="0">
                          <a:noAutofit/>
                        </wps:bodyPr>
                      </wps:wsp>
                      <wps:wsp>
                        <wps:cNvPr id="17639" name="Rectangle 17639"/>
                        <wps:cNvSpPr/>
                        <wps:spPr>
                          <a:xfrm rot="-10799999">
                            <a:off x="2500607" y="512428"/>
                            <a:ext cx="1382187" cy="142889"/>
                          </a:xfrm>
                          <a:prstGeom prst="rect">
                            <a:avLst/>
                          </a:prstGeom>
                          <a:ln>
                            <a:noFill/>
                          </a:ln>
                        </wps:spPr>
                        <wps:txbx>
                          <w:txbxContent>
                            <w:p w14:paraId="6700BD52" w14:textId="77777777" w:rsidR="00B32EF2" w:rsidRDefault="00000000">
                              <w:r>
                                <w:rPr>
                                  <w:rFonts w:ascii="Arial" w:eastAsia="Arial" w:hAnsi="Arial" w:cs="Arial"/>
                                  <w:i/>
                                  <w:sz w:val="18"/>
                                </w:rPr>
                                <w:t>altri pubblici ufficiali;</w:t>
                              </w:r>
                            </w:p>
                          </w:txbxContent>
                        </wps:txbx>
                        <wps:bodyPr horzOverflow="overflow" vert="horz" lIns="0" tIns="0" rIns="0" bIns="0" rtlCol="0">
                          <a:noAutofit/>
                        </wps:bodyPr>
                      </wps:wsp>
                      <wps:wsp>
                        <wps:cNvPr id="200838" name="Rectangle 200838"/>
                        <wps:cNvSpPr/>
                        <wps:spPr>
                          <a:xfrm rot="-10799999">
                            <a:off x="2530486" y="389099"/>
                            <a:ext cx="5011520" cy="142889"/>
                          </a:xfrm>
                          <a:prstGeom prst="rect">
                            <a:avLst/>
                          </a:prstGeom>
                          <a:ln>
                            <a:noFill/>
                          </a:ln>
                        </wps:spPr>
                        <wps:txbx>
                          <w:txbxContent>
                            <w:p w14:paraId="1FE04845" w14:textId="77777777" w:rsidR="00B32EF2" w:rsidRDefault="00000000">
                              <w:r>
                                <w:rPr>
                                  <w:rFonts w:ascii="Arial" w:eastAsia="Arial" w:hAnsi="Arial" w:cs="Arial"/>
                                  <w:i/>
                                  <w:sz w:val="18"/>
                                </w:rPr>
                                <w:t>6-</w:t>
                              </w:r>
                            </w:p>
                          </w:txbxContent>
                        </wps:txbx>
                        <wps:bodyPr horzOverflow="overflow" vert="horz" lIns="0" tIns="0" rIns="0" bIns="0" rtlCol="0">
                          <a:noAutofit/>
                        </wps:bodyPr>
                      </wps:wsp>
                      <wps:wsp>
                        <wps:cNvPr id="200840" name="Rectangle 200840"/>
                        <wps:cNvSpPr/>
                        <wps:spPr>
                          <a:xfrm rot="-10799999">
                            <a:off x="-1241390" y="389099"/>
                            <a:ext cx="5011520" cy="142889"/>
                          </a:xfrm>
                          <a:prstGeom prst="rect">
                            <a:avLst/>
                          </a:prstGeom>
                          <a:ln>
                            <a:noFill/>
                          </a:ln>
                        </wps:spPr>
                        <wps:txbx>
                          <w:txbxContent>
                            <w:p w14:paraId="3530CE28" w14:textId="77777777" w:rsidR="00B32EF2" w:rsidRDefault="00000000">
                              <w:r>
                                <w:rPr>
                                  <w:rFonts w:ascii="Arial" w:eastAsia="Arial" w:hAnsi="Arial" w:cs="Arial"/>
                                  <w:i/>
                                  <w:sz w:val="18"/>
                                </w:rPr>
                                <w:t>bis) richiedere, previa autorizzazione del direttore centrale dell’accer</w:t>
                              </w:r>
                            </w:p>
                          </w:txbxContent>
                        </wps:txbx>
                        <wps:bodyPr horzOverflow="overflow" vert="horz" lIns="0" tIns="0" rIns="0" bIns="0" rtlCol="0">
                          <a:noAutofit/>
                        </wps:bodyPr>
                      </wps:wsp>
                      <wps:wsp>
                        <wps:cNvPr id="17641" name="Rectangle 17641"/>
                        <wps:cNvSpPr/>
                        <wps:spPr>
                          <a:xfrm rot="-10799999">
                            <a:off x="65757" y="389099"/>
                            <a:ext cx="50622" cy="142889"/>
                          </a:xfrm>
                          <a:prstGeom prst="rect">
                            <a:avLst/>
                          </a:prstGeom>
                          <a:ln>
                            <a:noFill/>
                          </a:ln>
                        </wps:spPr>
                        <wps:txbx>
                          <w:txbxContent>
                            <w:p w14:paraId="38EA158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642" name="Shape 17642"/>
                        <wps:cNvSpPr/>
                        <wps:spPr>
                          <a:xfrm>
                            <a:off x="0" y="338209"/>
                            <a:ext cx="3960000" cy="5945302"/>
                          </a:xfrm>
                          <a:custGeom>
                            <a:avLst/>
                            <a:gdLst/>
                            <a:ahLst/>
                            <a:cxnLst/>
                            <a:rect l="0" t="0" r="0" b="0"/>
                            <a:pathLst>
                              <a:path w="3960000" h="5945302">
                                <a:moveTo>
                                  <a:pt x="0" y="5945302"/>
                                </a:moveTo>
                                <a:lnTo>
                                  <a:pt x="3960000" y="5945302"/>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4AE5843" id="Group 200908" o:spid="_x0000_s3318" style="width:311.8pt;height:494.75pt;mso-position-horizontal-relative:char;mso-position-vertical-relative:line" coordsize="39600,6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LIvHAwAAD+GAAAOAAAAZHJzL2Uyb0RvYy54bWzkXe2O27gV/V+g72D4/2T4IUqikcmiSLpB&#10;gaK72N0+gMYjfwCyZchKZtKn77mkRMk2Jw0kbBiUM8DYI0uyyMNz7+XhJfn2p5dDtfhcNud9fXxY&#10;8jdsuSiP6/ppf9w+LP/9x893+XJxbovjU1HVx/Jh+aU8L39699e/vH0+rUpR7+rqqWwWuMnxvHo+&#10;PSx3bXta3d+f17vyUJzf1KfyiA83dXMoWvzbbO+fmuIZdz9U94Kx9P65bp5OTb0uz2cc/WA/XL4z&#10;999synX7y2ZzLttF9bDEs7Xmb2P+PtLf+3dvi9W2KU67/bp7jGLCUxyK/RFf6m71oWiLxadmf3Or&#10;w37d1Od6075Z14f7erPZr0tTBpSGs6vSfGzqTydTlu3qeXty1YSqvaqnybdd/+vzx+b0++nXBjXx&#10;fNqiLsx/VJaXTXOgVzzl4sVU2RdXZeVLu1jjoNQpY4wvF2t8lopcKs5tpa53qPmb69a7v/+PK+/7&#10;L76/eJznExrIeaiD87w6+H1XnEpTtecV6uDXZrF/QvvNVI5WciwOaKq/ofEUx21VLuxhU0HmbFdd&#10;59UZNdfX1aKp0b7uOMs0/Zj20NUdz1P8ZssFaukuFVx3La+vRp7lMtW2FoViaZJSJbqqKFan5tx+&#10;LOvDgt48LBs8m7l/8fmf59ae2p9Cj1Md6e+x/nlfVfZTOoIa7Z+Y3rUvjy+m2ILnmr6PDj7WT19Q&#10;G7u6+c8v4PWmqp8flnX3bklUx9fTp8tF9Y8jUCBW9W+a/s1j/6Zpq/e14Z59oL99auvN3jzx8G3d&#10;kwFe+wx/Os6CZbkWPdCmLSy6Y101oE28gjKVo0fV4CllLpjBq1j1eFpaoGqIFkonSjJxhej6k0WU&#10;7tejCPvxZPHEsV3/bv1y7N8S7l81ZaeipevopvR2AfDcs+yGR6HPD0D1j9qc2V7xFA1v+LQ6js9y&#10;d+ttAc7tz+hfT+Z+4zMvq6A/r3+156O2biqrP6N/HZ9pKOS+HW+owIY0rhJwcFzN1ZHqg1Ap4Go2&#10;VWE5dNi38EHV/gADIDKYsw4pD2XO7ZeqpCqrjr+VG5DH2EU6cG62j++rZvG5oNZufixBq9Ou6I52&#10;9+1ONY9q7kPXb8BUd0tuLr245XtJv90dupPputI4OXcls1euu6exng7+AoXu/R0qxV1kvrk+tu76&#10;I7y0+RJjKmxpB6KSKaH/vh9TyfQ6ol5aZEMoeprXufoVi3zHuZAsk6bRpSwVIjW1O3BYMZZkIrEc&#10;5onItfFsqL7eMfYW908yytZJDLX/f26UCWrA4XO+BpnJUKcqU9b1WpwTauBjnAH+gLJ1hd8RZdOq&#10;okIZnPKhbHCZjDIRWqgEoajxIjLX8gZolnCNJkZOmQj93aF2JiuKKIsIrfxQK6LgZKgHQitNOJu7&#10;/TiEdtYqGpRTP8omKJ6M8h34zJRCr4gInXOVsmugOfw2D2m7ncmKBmo4Up/tzmYRmqDmIrFOWqVa&#10;iOwGas61gJgUzHY7kxUN1KhtH9T5bKgHVqs0R+f4Kh4Lzmpnt6KBGkbWB7VThSZ2sQTPEmG7WCpJ&#10;VMqvZBLFtBTAPxyrnd2KBWp0Kn1QD33NyVBrQbE1+WophMivoebQt8mZBzPgzm5FAzX6Qh5WWxlj&#10;VljGZYaoi6DmOtfqBmrONAsJtbNb0UDt18igcc/pZ1FYJoGlhZplKhW3UKdZGi4CxxBgX8JooPZr&#10;ZLC9c6FmjAJssDrRSghtXOOoVw3zndLoWCADjvHRvoTRQO0XyrTrdU701VxwJoAkQZ1D106voUZL&#10;SMnCB4Pa2a1ooPYLZdr1OidBPQhlFmcTAo0oTcMeAVF2JisalP1CmTZedWZERt0oInQGMy2vCQ0n&#10;jtyMgFA7kxUN1H6hzHrVOVDzHEKohRpDo5LdcFrnMijUzmRFA7VfKNOuwznJdpvxLEGD38TqROU6&#10;u4GaSRrkCuemnd2KBmq/UIZkrznB98hN+3EO66Zj08iQ0egTTujwHJTtIEfW2W4pVZpcE5qzXJFe&#10;GizudiYrEkKnlLp6q5HR4blQy14jSzC0JbmxEKPQm/McwyABoXYmKxqo4Up9ULu+5kQ3DbGbg8nG&#10;TTPklNiskguoE0a5v6FYzZ3digZqr0aWMtfhnA51mqIPh4gM2a0qxXgGzMQl1JyGsYNB7exWNFB7&#10;NbKUuQ7nVKiRE5/bZDKZYxBTGhKNocbsk5DBN/JeOhcVDdRejazLCprXpdY9qzNMzbBx3hXUHBY+&#10;GKud3YoGaq9QhvTdvs1PYjWiMCQMWp1MKoxbIhi/sN+YpJNh6k04oJ3VigJojN7liadH3R2fG4Fz&#10;3XW2JPL4JTKDL7BGer9AVmFAsOMSygyoHqWsOz4HbKGgg6U2BP8K1uh5B7PgznBFQWyepdClvb0t&#10;pzBMsuCDUvYKzkGVMh6fUuax3gS+ExcmoUzSN08QcZuOlkw06ycV9/MrYbwx8hFw7BLhYGexYiE0&#10;VAQfoQdxYRLUI0L7cQ5LaNeOo0HZr4da/s3oYxGheRd5Y5pWisDrOhqTDHkowTw08mFiI7RfDx10&#10;hbmENjgblWLUlw6bciKi08e4XwrF4VkRt2YYv+ocNJLJsOzHJZ8xWI0c4IB0jksdM50oj2bSHZ8F&#10;tZK5UhZqJIVqhpSxa9MtsoDTapGj3LflKLy0wdSTXdQdn4M1DVELTZIMRji+AnbAnBMsyNCVMAqw&#10;0ZmisMkzbonDc6AeAu9XcA4aeAtXuGhQ9lhvAt8JR5OiMTODI5MdoWHHMbf2ynpzTLIOar1dCaOB&#10;2mO8CWqnHk2GmrHMDlmKTAqJeTmXjhoTaxPqxodSQYUrYTRQ+1XQQT2aCjXPsWibddNQ25g0IdC4&#10;m4VIDdUdDur49DG/FGoTv2YpJ0gqQieOIrIkV5lNYhlDjXEsGtQMxuroRDKaO+WJyAYJaRKrRxGZ&#10;H+egEZnNf6F2HIvthlbkRdlJSJNQpoiMmYXOiNDw0RJr0N24acil4QgtXQmjgdovhVqlY4btho9O&#10;FTrLBLWQmiWm8zqy3Rxr54YMvmVcMhmibEqv99lupyFNZDWtJtkt8Cs4Vxm/hppWk0wCBt82RIzK&#10;gPtTQwcFaRLUIzftxzmsm45OHoNU5CW0U5AmoQw3Ddvd5QpyrQWSgK/cNNO0qHdAN+1KGI2b9mtk&#10;dlGSGW6asMYiNuSmAbqmeTmXERmyTRQlNIXqYsnoNDLSLnxu2ilIk1g92O5XcA5ru13hoiG0Xx7D&#10;MjRzhjaM7dZYVMEQOktUZocTLuNumn0ZjtCuhNFA7ZfHhBOPJhGaetMiobCabDfYK+2KKWOoOaTw&#10;gPIYBl+6xhwL1JS46bHdg4I0GWomaXYGQZ1ozTBn59JN0wKDmIofjNVoh7FB7dfIBgVpKtQ8y7Af&#10;g4FaYvV+GwCNWM10grSUgFBHp5FBKvKy2ilIk6HWHGMaBmqhRHK9lY6CRpaRiBYq+E5cCaMx4H6N&#10;bFCQpkPd77iCDH/NMhPwjlhNUI93XPnOGzSIxKmA0UDt18js1hmzutRaQwI1rGZMZZgUf+mrMaUD&#10;8+cDsjo6oYyCYF9Y5mSkSawedan9OAftUtu15WMSvREpeVF2CtIklO9Uliedl85zkdhcpcFyJwlW&#10;Rwq5nI3dMDEaoE2urycg6453vZBJUAvs4Mm6fO9MaSSfXFluThsthexlxSWTGUg9Xro7PgfqO0gj&#10;CcN68OSmf0yso9PJpF8SxeF5SEMnyzCLj5DGsBZ25rphdZKEXAwYkw66AkYTevsV0UEvnGi+sS4R&#10;w+gJgFbYU8lq6YOn5titlodcjQyuJSagyUz7ON0dn0NqpH2yhEagATW2wWN2FdIBakV9LMpVDKWc&#10;2EmBcQVlHu3beGrX6iexGuMcCUcC2Q+MdXQqGW016ulP23WGJksnQ3/aT+mg3WkVnT4G8bcD2e4S&#10;jwzCQQ9+ncq0KGS3SXzHWdok3oQ4g312G6STfb7cIb3fYXq8e/kPtEn85cN+y1bxl1f027n3r7cb&#10;xhtziU2Y+zP619c3gMdW71V9LuFQcdk3bgVvtnuHf3x1O3i7j7u95zduB+/Zu73bDr6/DTZbN/uu&#10;j3d87/Ztn7aJ/A+xHTw2ht+unrcnU//bpjjt9usPRVuM/zfbx69KUe/q6qls3v0XAAD//wMAUEsD&#10;BBQABgAIAAAAIQDk2JGG3QAAAAUBAAAPAAAAZHJzL2Rvd25yZXYueG1sTI9Ba8JAEIXvhf6HZYTe&#10;6iaKQWM2ItL2JIVqofQ2ZsckmJ0N2TWJ/77bXuxl4PEe732TbUbTiJ46V1tWEE8jEMSF1TWXCj6P&#10;r89LEM4ja2wsk4IbOdjkjw8ZptoO/EH9wZcilLBLUUHlfZtK6YqKDLqpbYmDd7adQR9kV0rd4RDK&#10;TSNnUZRIgzWHhQpb2lVUXA5Xo+BtwGE7j1/6/eW8u30fF+9f+5iUepqM2zUIT6O/h+EXP6BDHphO&#10;9sraiUZBeMT/3eAls3kC4qRgtVwtQOaZ/E+f/wAAAP//AwBQSwECLQAUAAYACAAAACEAtoM4kv4A&#10;AADhAQAAEwAAAAAAAAAAAAAAAAAAAAAAW0NvbnRlbnRfVHlwZXNdLnhtbFBLAQItABQABgAIAAAA&#10;IQA4/SH/1gAAAJQBAAALAAAAAAAAAAAAAAAAAC8BAABfcmVscy8ucmVsc1BLAQItABQABgAIAAAA&#10;IQC6QLIvHAwAAD+GAAAOAAAAAAAAAAAAAAAAAC4CAABkcnMvZTJvRG9jLnhtbFBLAQItABQABgAI&#10;AAAAIQDk2JGG3QAAAAUBAAAPAAAAAAAAAAAAAAAAAHYOAABkcnMvZG93bnJldi54bWxQSwUGAAAA&#10;AAQABADzAAAAgA8AAAAA&#10;">
                <v:rect id="Rectangle 17580" o:spid="_x0000_s3319" style="position:absolute;left:18686;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uZyAAAAN4AAAAPAAAAZHJzL2Rvd25yZXYueG1sRI9Pa8Mw&#10;DMXvg30Ho0Fvq7NBt5DVLaOjNIdd+g92FLGaZItlE7tNuk8/HQq7SejpvfebL0fXqQv1sfVs4Gma&#10;gSKuvG25NnDYrx9zUDEhW+w8k4ErRVgu7u/mWFg/8JYuu1QrMeFYoIEmpVBoHauGHMapD8RyO/ne&#10;YZK1r7XtcRBz1+nnLHvRDluWhAYDrRqqfnZnZ+Drg0O5HnR1+l2Fz+8y7zbnw9GYycP4/gYq0Zj+&#10;xbfv0kr911kuAIIjM+jFHwAAAP//AwBQSwECLQAUAAYACAAAACEA2+H2y+4AAACFAQAAEwAAAAAA&#10;AAAAAAAAAAAAAAAAW0NvbnRlbnRfVHlwZXNdLnhtbFBLAQItABQABgAIAAAAIQBa9CxbvwAAABUB&#10;AAALAAAAAAAAAAAAAAAAAB8BAABfcmVscy8ucmVsc1BLAQItABQABgAIAAAAIQC/vVuZyAAAAN4A&#10;AAAPAAAAAAAAAAAAAAAAAAcCAABkcnMvZG93bnJldi54bWxQSwUGAAAAAAMAAwC3AAAA/AIAAAAA&#10;" filled="f" stroked="f">
                  <v:textbox inset="0,0,0,0">
                    <w:txbxContent>
                      <w:p w14:paraId="42BBE5D4" w14:textId="77777777" w:rsidR="00B32EF2" w:rsidRDefault="00000000">
                        <w:r>
                          <w:rPr>
                            <w:rFonts w:ascii="Times New Roman" w:eastAsia="Times New Roman" w:hAnsi="Times New Roman" w:cs="Times New Roman"/>
                          </w:rPr>
                          <w:t>71</w:t>
                        </w:r>
                      </w:p>
                    </w:txbxContent>
                  </v:textbox>
                </v:rect>
                <v:shape id="Shape 207892" o:spid="_x0000_s3320" style="position:absolute;top:3382;width:39600;height:59453;visibility:visible;mso-wrap-style:square;v-text-anchor:top" coordsize="3960000,594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7xgyQAAAN8AAAAPAAAAZHJzL2Rvd25yZXYueG1sRI9Ba8JA&#10;FITvhf6H5RV6Kboxh1ajq4jUNuBB1CAeH9nXJDT7NmS3mvjrXaHgcZiZb5jZojO1OFPrKssKRsMI&#10;BHFudcWFguywHoxBOI+ssbZMCnpysJg/P80w0fbCOzrvfSEChF2CCkrvm0RKl5dk0A1tQxy8H9sa&#10;9EG2hdQtXgLc1DKOondpsOKwUGJDq5Ly3/2fUfC15U3ar09vafpNx88rZf0qzpR6femWUxCeOv8I&#10;/7dTrSCOPsaTGO5/wheQ8xsAAAD//wMAUEsBAi0AFAAGAAgAAAAhANvh9svuAAAAhQEAABMAAAAA&#10;AAAAAAAAAAAAAAAAAFtDb250ZW50X1R5cGVzXS54bWxQSwECLQAUAAYACAAAACEAWvQsW78AAAAV&#10;AQAACwAAAAAAAAAAAAAAAAAfAQAAX3JlbHMvLnJlbHNQSwECLQAUAAYACAAAACEAJC+8YMkAAADf&#10;AAAADwAAAAAAAAAAAAAAAAAHAgAAZHJzL2Rvd25yZXYueG1sUEsFBgAAAAADAAMAtwAAAP0CAAAA&#10;AA==&#10;" path="m,l3960000,r,5945302l,5945302,,e" fillcolor="#c3c3c3" stroked="f" strokeweight="0">
                  <v:stroke miterlimit="83231f" joinstyle="miter"/>
                  <v:path arrowok="t" textboxrect="0,0,3960000,5945302"/>
                </v:shape>
                <v:rect id="Rectangle 17582" o:spid="_x0000_s3321" style="position:absolute;left:-11230;top:60622;width:500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2B1xQAAAN4AAAAPAAAAZHJzL2Rvd25yZXYueG1sRE9La8JA&#10;EL4X/A/LCN7qRqFtiK4iijSHXuoDPA7ZMYlmZ5fsamJ/fbdQ8DYf33Pmy9404k6try0rmIwTEMSF&#10;1TWXCg777WsKwgdkjY1lUvAgD8vF4GWOmbYdf9N9F0oRQ9hnqKAKwWVS+qIig35sHXHkzrY1GCJs&#10;S6lb7GK4aeQ0Sd6lwZpjQ4WO1hUV193NKDht2OXbThbnn7X7uuRp83k7HJUaDfvVDESgPjzF/+5c&#10;x/kfb+kU/t6JN8jFLwAAAP//AwBQSwECLQAUAAYACAAAACEA2+H2y+4AAACFAQAAEwAAAAAAAAAA&#10;AAAAAAAAAAAAW0NvbnRlbnRfVHlwZXNdLnhtbFBLAQItABQABgAIAAAAIQBa9CxbvwAAABUBAAAL&#10;AAAAAAAAAAAAAAAAAB8BAABfcmVscy8ucmVsc1BLAQItABQABgAIAAAAIQAgI2B1xQAAAN4AAAAP&#10;AAAAAAAAAAAAAAAAAAcCAABkcnMvZG93bnJldi54bWxQSwUGAAAAAAMAAwC3AAAA+QIAAAAA&#10;" filled="f" stroked="f">
                  <v:textbox inset="0,0,0,0">
                    <w:txbxContent>
                      <w:p w14:paraId="14B09C3D" w14:textId="77777777" w:rsidR="00B32EF2" w:rsidRDefault="00000000">
                        <w:r>
                          <w:rPr>
                            <w:rFonts w:ascii="Arial" w:eastAsia="Arial" w:hAnsi="Arial" w:cs="Arial"/>
                            <w:i/>
                            <w:sz w:val="18"/>
                          </w:rPr>
                          <w:t>documenti e scritture, ad esclusione dei libri e dei registri in corso di scrittu</w:t>
                        </w:r>
                      </w:p>
                    </w:txbxContent>
                  </v:textbox>
                </v:rect>
                <v:rect id="Rectangle 17583" o:spid="_x0000_s3322" style="position:absolute;left:657;top:6062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8XuxQAAAN4AAAAPAAAAZHJzL2Rvd25yZXYueG1sRE9Na8JA&#10;EL0X+h+WKXirm1aqIbpKsYg5eKlV8DhkxySanV2yq4n99W5B6G0e73Nmi9404kqtry0reBsmIIgL&#10;q2suFex+Vq8pCB+QNTaWScGNPCzmz08zzLTt+Juu21CKGMI+QwVVCC6T0hcVGfRD64gjd7StwRBh&#10;W0rdYhfDTSPfk2QsDdYcGyp0tKyoOG8vRsHhi12+6mRx/F26zSlPm/Vlt1dq8NJ/TkEE6sO/+OHO&#10;dZw/+UhH8PdOvEHO7wAAAP//AwBQSwECLQAUAAYACAAAACEA2+H2y+4AAACFAQAAEwAAAAAAAAAA&#10;AAAAAAAAAAAAW0NvbnRlbnRfVHlwZXNdLnhtbFBLAQItABQABgAIAAAAIQBa9CxbvwAAABUBAAAL&#10;AAAAAAAAAAAAAAAAAB8BAABfcmVscy8ucmVsc1BLAQItABQABgAIAAAAIQBPb8XuxQAAAN4AAAAP&#10;AAAAAAAAAAAAAAAAAAcCAABkcnMvZG93bnJldi54bWxQSwUGAAAAAAMAAwC3AAAA+QIAAAAA&#10;" filled="f" stroked="f">
                  <v:textbox inset="0,0,0,0">
                    <w:txbxContent>
                      <w:p w14:paraId="381C5BA2" w14:textId="77777777" w:rsidR="00B32EF2" w:rsidRDefault="00000000">
                        <w:r>
                          <w:rPr>
                            <w:rFonts w:ascii="Arial" w:eastAsia="Arial" w:hAnsi="Arial" w:cs="Arial"/>
                            <w:i/>
                            <w:sz w:val="18"/>
                          </w:rPr>
                          <w:t>-</w:t>
                        </w:r>
                      </w:p>
                    </w:txbxContent>
                  </v:textbox>
                </v:rect>
                <v:rect id="Rectangle 17584" o:spid="_x0000_s3323" style="position:absolute;left:-11225;top:59389;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l2axQAAAN4AAAAPAAAAZHJzL2Rvd25yZXYueG1sRE9Na8JA&#10;EL0X+h+WKXirmxarIbpKsYg5eKlV8DhkxySanV2yq4n99W5B6G0e73Nmi9404kqtry0reBsmIIgL&#10;q2suFex+Vq8pCB+QNTaWScGNPCzmz08zzLTt+Juu21CKGMI+QwVVCC6T0hcVGfRD64gjd7StwRBh&#10;W0rdYhfDTSPfk2QsDdYcGyp0tKyoOG8vRsHhi12+6mRx/F26zSlPm/Vlt1dq8NJ/TkEE6sO/+OHO&#10;dZw/+UhH8PdOvEHO7wAAAP//AwBQSwECLQAUAAYACAAAACEA2+H2y+4AAACFAQAAEwAAAAAAAAAA&#10;AAAAAAAAAAAAW0NvbnRlbnRfVHlwZXNdLnhtbFBLAQItABQABgAIAAAAIQBa9CxbvwAAABUBAAAL&#10;AAAAAAAAAAAAAAAAAB8BAABfcmVscy8ucmVsc1BLAQItABQABgAIAAAAIQDAhl2axQAAAN4AAAAP&#10;AAAAAAAAAAAAAAAAAAcCAABkcnMvZG93bnJldi54bWxQSwUGAAAAAAMAAwC3AAAA+QIAAAAA&#10;" filled="f" stroked="f">
                  <v:textbox inset="0,0,0,0">
                    <w:txbxContent>
                      <w:p w14:paraId="5DE1BEF2" w14:textId="77777777" w:rsidR="00B32EF2" w:rsidRDefault="00000000">
                        <w:r>
                          <w:rPr>
                            <w:rFonts w:ascii="Arial" w:eastAsia="Arial" w:hAnsi="Arial" w:cs="Arial"/>
                            <w:i/>
                            <w:sz w:val="18"/>
                          </w:rPr>
                          <w:t>razione, o per fornire dati, notizie e chiarimenti rilevanti ai fini degli accerta</w:t>
                        </w:r>
                      </w:p>
                    </w:txbxContent>
                  </v:textbox>
                </v:rect>
                <v:rect id="Rectangle 17585" o:spid="_x0000_s3324" style="position:absolute;left:657;top:5938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vgBxAAAAN4AAAAPAAAAZHJzL2Rvd25yZXYueG1sRE9Na8JA&#10;EL0X/A/LCN7qxoJtiK4iijQHL7UKHofsmESzs0t2NdFf3y0UepvH+5z5sjeNuFPra8sKJuMEBHFh&#10;dc2lgsP39jUF4QOyxsYyKXiQh+Vi8DLHTNuOv+i+D6WIIewzVFCF4DIpfVGRQT+2jjhyZ9saDBG2&#10;pdQtdjHcNPItSd6lwZpjQ4WO1hUV1/3NKDht2OXbThbn59rtLnnafN4OR6VGw341AxGoD//iP3eu&#10;4/yPaTqF33fiDXLxAwAA//8DAFBLAQItABQABgAIAAAAIQDb4fbL7gAAAIUBAAATAAAAAAAAAAAA&#10;AAAAAAAAAABbQ29udGVudF9UeXBlc10ueG1sUEsBAi0AFAAGAAgAAAAhAFr0LFu/AAAAFQEAAAsA&#10;AAAAAAAAAAAAAAAAHwEAAF9yZWxzLy5yZWxzUEsBAi0AFAAGAAgAAAAhAK/K+AHEAAAA3gAAAA8A&#10;AAAAAAAAAAAAAAAABwIAAGRycy9kb3ducmV2LnhtbFBLBQYAAAAAAwADALcAAAD4AgAAAAA=&#10;" filled="f" stroked="f">
                  <v:textbox inset="0,0,0,0">
                    <w:txbxContent>
                      <w:p w14:paraId="67D094EA" w14:textId="77777777" w:rsidR="00B32EF2" w:rsidRDefault="00000000">
                        <w:r>
                          <w:rPr>
                            <w:rFonts w:ascii="Arial" w:eastAsia="Arial" w:hAnsi="Arial" w:cs="Arial"/>
                            <w:i/>
                            <w:sz w:val="18"/>
                          </w:rPr>
                          <w:t>-</w:t>
                        </w:r>
                      </w:p>
                    </w:txbxContent>
                  </v:textbox>
                </v:rect>
                <v:rect id="Rectangle 17586" o:spid="_x0000_s3325" style="position:absolute;left:-12205;top:58156;width:5106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GZ2xAAAAN4AAAAPAAAAZHJzL2Rvd25yZXYueG1sRE9Na8JA&#10;EL0X/A/LCN7qxoI2RFcRRZpDL7UKHofsmESzs0t2NdFf3y0UepvH+5zFqjeNuFPra8sKJuMEBHFh&#10;dc2lgsP37jUF4QOyxsYyKXiQh9Vy8LLATNuOv+i+D6WIIewzVFCF4DIpfVGRQT+2jjhyZ9saDBG2&#10;pdQtdjHcNPItSWbSYM2xoUJHm4qK6/5mFJy27PJdJ4vzc+M+L3nafNwOR6VGw349BxGoD//iP3eu&#10;4/z3aTqD33fiDXL5AwAA//8DAFBLAQItABQABgAIAAAAIQDb4fbL7gAAAIUBAAATAAAAAAAAAAAA&#10;AAAAAAAAAABbQ29udGVudF9UeXBlc10ueG1sUEsBAi0AFAAGAAgAAAAhAFr0LFu/AAAAFQEAAAsA&#10;AAAAAAAAAAAAAAAAHwEAAF9yZWxzLy5yZWxzUEsBAi0AFAAGAAgAAAAhAF8YZnbEAAAA3gAAAA8A&#10;AAAAAAAAAAAAAAAABwIAAGRycy9kb3ducmV2LnhtbFBLBQYAAAAAAwADALcAAAD4AgAAAAA=&#10;" filled="f" stroked="f">
                  <v:textbox inset="0,0,0,0">
                    <w:txbxContent>
                      <w:p w14:paraId="04E6662C" w14:textId="77777777" w:rsidR="00B32EF2" w:rsidRDefault="00000000">
                        <w:r>
                          <w:rPr>
                            <w:rFonts w:ascii="Arial" w:eastAsia="Arial" w:hAnsi="Arial" w:cs="Arial"/>
                            <w:i/>
                            <w:sz w:val="18"/>
                          </w:rPr>
                          <w:t xml:space="preserve">menti nei loro confronti anche relativamente ai rapporti ed alle operazioni, </w:t>
                        </w:r>
                      </w:p>
                    </w:txbxContent>
                  </v:textbox>
                </v:rect>
                <v:rect id="Rectangle 17587" o:spid="_x0000_s3326" style="position:absolute;left:-12212;top:56922;width:511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MPtxAAAAN4AAAAPAAAAZHJzL2Rvd25yZXYueG1sRE9Na8JA&#10;EL0X/A/LCN7qxoI1RFcRRZpDL7UKHofsmESzs0t2NdFf3y0UepvH+5zFqjeNuFPra8sKJuMEBHFh&#10;dc2lgsP37jUF4QOyxsYyKXiQh9Vy8LLATNuOv+i+D6WIIewzVFCF4DIpfVGRQT+2jjhyZ9saDBG2&#10;pdQtdjHcNPItSd6lwZpjQ4WONhUV1/3NKDht2eW7Thbn58Z9XvK0+bgdjkqNhv16DiJQH/7Ff+5c&#10;x/mzaTqD33fiDXL5AwAA//8DAFBLAQItABQABgAIAAAAIQDb4fbL7gAAAIUBAAATAAAAAAAAAAAA&#10;AAAAAAAAAABbQ29udGVudF9UeXBlc10ueG1sUEsBAi0AFAAGAAgAAAAhAFr0LFu/AAAAFQEAAAsA&#10;AAAAAAAAAAAAAAAAHwEAAF9yZWxzLy5yZWxzUEsBAi0AFAAGAAgAAAAhADBUw+3EAAAA3gAAAA8A&#10;AAAAAAAAAAAAAAAABwIAAGRycy9kb3ducmV2LnhtbFBLBQYAAAAAAwADALcAAAD4AgAAAAA=&#10;" filled="f" stroked="f">
                  <v:textbox inset="0,0,0,0">
                    <w:txbxContent>
                      <w:p w14:paraId="58E187C6" w14:textId="77777777" w:rsidR="00B32EF2" w:rsidRDefault="00000000">
                        <w:r>
                          <w:rPr>
                            <w:rFonts w:ascii="Arial" w:eastAsia="Arial" w:hAnsi="Arial" w:cs="Arial"/>
                            <w:i/>
                            <w:sz w:val="18"/>
                          </w:rPr>
                          <w:t xml:space="preserve">i cui dati, notizie e documenti siano stati acquisiti a norma del numero 7) </w:t>
                        </w:r>
                      </w:p>
                    </w:txbxContent>
                  </v:textbox>
                </v:rect>
                <v:rect id="Rectangle 17588" o:spid="_x0000_s3327" style="position:absolute;left:-12205;top:55689;width:510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1efyAAAAN4AAAAPAAAAZHJzL2Rvd25yZXYueG1sRI9Pa8Mw&#10;DMXvg30Ho0Fvq7NBt5DVLaOjNIdd+g92FLGaZItlE7tNuk8/HQq7Sbyn936aL0fXqQv1sfVs4Gma&#10;gSKuvG25NnDYrx9zUDEhW+w8k4ErRVgu7u/mWFg/8JYuu1QrCeFYoIEmpVBoHauGHMapD8SinXzv&#10;MMna19r2OEi46/Rzlr1ohy1LQ4OBVg1VP7uzM/D1waFcD7o6/a7C53eZd5vz4WjM5GF8fwOVaEz/&#10;5tt1aQX/dZYLr7wjM+jFHwAAAP//AwBQSwECLQAUAAYACAAAACEA2+H2y+4AAACFAQAAEwAAAAAA&#10;AAAAAAAAAAAAAAAAW0NvbnRlbnRfVHlwZXNdLnhtbFBLAQItABQABgAIAAAAIQBa9CxbvwAAABUB&#10;AAALAAAAAAAAAAAAAAAAAB8BAABfcmVscy8ucmVsc1BLAQItABQABgAIAAAAIQBBy1efyAAAAN4A&#10;AAAPAAAAAAAAAAAAAAAAAAcCAABkcnMvZG93bnJldi54bWxQSwUGAAAAAAMAAwC3AAAA/AIAAAAA&#10;" filled="f" stroked="f">
                  <v:textbox inset="0,0,0,0">
                    <w:txbxContent>
                      <w:p w14:paraId="4CDEFE50" w14:textId="77777777" w:rsidR="00B32EF2" w:rsidRDefault="00000000">
                        <w:r>
                          <w:rPr>
                            <w:rFonts w:ascii="Arial" w:eastAsia="Arial" w:hAnsi="Arial" w:cs="Arial"/>
                            <w:i/>
                            <w:sz w:val="18"/>
                          </w:rPr>
                          <w:t xml:space="preserve">del presente comma, ovvero rilevati a norma dell’art. 52, ultimo comma, o </w:t>
                        </w:r>
                      </w:p>
                    </w:txbxContent>
                  </v:textbox>
                </v:rect>
                <v:rect id="Rectangle 17589" o:spid="_x0000_s3328" style="position:absolute;left:-12174;top:54456;width:509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IExQAAAN4AAAAPAAAAZHJzL2Rvd25yZXYueG1sRE9Na8JA&#10;EL0L/odlhN50o9A2ja4iipiDl1oLHofsmKTNzi7Z1cT+erdQ6G0e73MWq9404katry0rmE4SEMSF&#10;1TWXCk4fu3EKwgdkjY1lUnAnD6vlcLDATNuO3+l2DKWIIewzVFCF4DIpfVGRQT+xjjhyF9saDBG2&#10;pdQtdjHcNHKWJC/SYM2xoUJHm4qK7+PVKDhv2eW7ThaXn407fOVps7+ePpV6GvXrOYhAffgX/7lz&#10;Hee/Pqdv8PtOvEEuHwAAAP//AwBQSwECLQAUAAYACAAAACEA2+H2y+4AAACFAQAAEwAAAAAAAAAA&#10;AAAAAAAAAAAAW0NvbnRlbnRfVHlwZXNdLnhtbFBLAQItABQABgAIAAAAIQBa9CxbvwAAABUBAAAL&#10;AAAAAAAAAAAAAAAAAB8BAABfcmVscy8ucmVsc1BLAQItABQABgAIAAAAIQAuh/IExQAAAN4AAAAP&#10;AAAAAAAAAAAAAAAAAAcCAABkcnMvZG93bnJldi54bWxQSwUGAAAAAAMAAwC3AAAA+QIAAAAA&#10;" filled="f" stroked="f">
                  <v:textbox inset="0,0,0,0">
                    <w:txbxContent>
                      <w:p w14:paraId="24E49571" w14:textId="77777777" w:rsidR="00B32EF2" w:rsidRDefault="00000000">
                        <w:r>
                          <w:rPr>
                            <w:rFonts w:ascii="Arial" w:eastAsia="Arial" w:hAnsi="Arial" w:cs="Arial"/>
                            <w:i/>
                            <w:sz w:val="18"/>
                          </w:rPr>
                          <w:t xml:space="preserve">dell’articolo 63, primo comma, o acquisiti ai sensi dell’articolo 18, comma 3, </w:t>
                        </w:r>
                      </w:p>
                    </w:txbxContent>
                  </v:textbox>
                </v:rect>
                <v:rect id="Rectangle 17590" o:spid="_x0000_s3329" style="position:absolute;left:-12192;top:53222;width:510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M1EyAAAAN4AAAAPAAAAZHJzL2Rvd25yZXYueG1sRI9Pb8Iw&#10;DMXvk/YdIk/iNtJN2sY6ApqYED1wGX+kHa3GtN0aJ2oC7fj0+IDEzZaf33u/6XxwrTpRFxvPBp7G&#10;GSji0tuGKwO77fJxAiomZIutZzLwTxHms/u7KebW9/xNp02qlJhwzNFAnVLItY5lTQ7j2AdiuR18&#10;5zDJ2lXadtiLuWv1c5a9aocNS0KNgRY1lX+bozPw88WhWPa6PJwXYf1bTNrVcbc3ZvQwfH6ASjSk&#10;m/j6XVip//byLgCCIzPo2QUAAP//AwBQSwECLQAUAAYACAAAACEA2+H2y+4AAACFAQAAEwAAAAAA&#10;AAAAAAAAAAAAAAAAW0NvbnRlbnRfVHlwZXNdLnhtbFBLAQItABQABgAIAAAAIQBa9CxbvwAAABUB&#10;AAALAAAAAAAAAAAAAAAAAB8BAABfcmVscy8ucmVsc1BLAQItABQABgAIAAAAIQA6ZM1EyAAAAN4A&#10;AAAPAAAAAAAAAAAAAAAAAAcCAABkcnMvZG93bnJldi54bWxQSwUGAAAAAAMAAwC3AAAA/AIAAAAA&#10;" filled="f" stroked="f">
                  <v:textbox inset="0,0,0,0">
                    <w:txbxContent>
                      <w:p w14:paraId="4122AFEE" w14:textId="77777777" w:rsidR="00B32EF2" w:rsidRDefault="00000000">
                        <w:r>
                          <w:rPr>
                            <w:rFonts w:ascii="Arial" w:eastAsia="Arial" w:hAnsi="Arial" w:cs="Arial"/>
                            <w:i/>
                            <w:sz w:val="18"/>
                          </w:rPr>
                          <w:t xml:space="preserve">lettera b), del decreto legislativo 26 ottobre 1995, n. 504. I dati ed elementi </w:t>
                        </w:r>
                      </w:p>
                    </w:txbxContent>
                  </v:textbox>
                </v:rect>
                <v:rect id="Rectangle 17591" o:spid="_x0000_s3330" style="position:absolute;left:-12213;top:51989;width:511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GjfxQAAAN4AAAAPAAAAZHJzL2Rvd25yZXYueG1sRE9La8JA&#10;EL4X/A/LCN7qxoJVo6uIRZpDL/UBHofsmESzs0t2NWl/fbcgeJuP7zmLVWdqcafGV5YVjIYJCOLc&#10;6ooLBYf99nUKwgdkjbVlUvBDHlbL3ssCU21b/qb7LhQihrBPUUEZgkul9HlJBv3QOuLInW1jMETY&#10;FFI32MZwU8u3JHmXBiuODSU62pSUX3c3o+D0wS7btjI//27c1yWb1p+3w1GpQb9bz0EE6sJT/HBn&#10;Os6fjGcj+H8n3iCXfwAAAP//AwBQSwECLQAUAAYACAAAACEA2+H2y+4AAACFAQAAEwAAAAAAAAAA&#10;AAAAAAAAAAAAW0NvbnRlbnRfVHlwZXNdLnhtbFBLAQItABQABgAIAAAAIQBa9CxbvwAAABUBAAAL&#10;AAAAAAAAAAAAAAAAAB8BAABfcmVscy8ucmVsc1BLAQItABQABgAIAAAAIQBVKGjfxQAAAN4AAAAP&#10;AAAAAAAAAAAAAAAAAAcCAABkcnMvZG93bnJldi54bWxQSwUGAAAAAAMAAwC3AAAA+QIAAAAA&#10;" filled="f" stroked="f">
                  <v:textbox inset="0,0,0,0">
                    <w:txbxContent>
                      <w:p w14:paraId="7D2F5421" w14:textId="77777777" w:rsidR="00B32EF2" w:rsidRDefault="00000000">
                        <w:r>
                          <w:rPr>
                            <w:rFonts w:ascii="Arial" w:eastAsia="Arial" w:hAnsi="Arial" w:cs="Arial"/>
                            <w:i/>
                            <w:sz w:val="18"/>
                          </w:rPr>
                          <w:t xml:space="preserve">attinenti ai rapporti ed alle operazioni acquisiti e rilevati rispettivamente a </w:t>
                        </w:r>
                      </w:p>
                    </w:txbxContent>
                  </v:textbox>
                </v:rect>
                <v:rect id="Rectangle 17592" o:spid="_x0000_s3331" style="position:absolute;left:-12231;top:50756;width:511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aoxQAAAN4AAAAPAAAAZHJzL2Rvd25yZXYueG1sRE9Na8JA&#10;EL0L/Q/LFLzpRsFqo6uIIs3BS62FHofsmESzs0t2NWl/vVsQvM3jfc5i1Zla3KjxlWUFo2ECgji3&#10;uuJCwfFrN5iB8AFZY22ZFPySh9XypbfAVNuWP+l2CIWIIexTVFCG4FIpfV6SQT+0jjhyJ9sYDBE2&#10;hdQNtjHc1HKcJG/SYMWxoURHm5Lyy+FqFPxs2WW7Vuanv43bn7NZ/XE9fivVf+3WcxCBuvAUP9yZ&#10;jvOnk/cx/L8Tb5DLOwAAAP//AwBQSwECLQAUAAYACAAAACEA2+H2y+4AAACFAQAAEwAAAAAAAAAA&#10;AAAAAAAAAAAAW0NvbnRlbnRfVHlwZXNdLnhtbFBLAQItABQABgAIAAAAIQBa9CxbvwAAABUBAAAL&#10;AAAAAAAAAAAAAAAAAB8BAABfcmVscy8ucmVsc1BLAQItABQABgAIAAAAIQCl+vaoxQAAAN4AAAAP&#10;AAAAAAAAAAAAAAAAAAcCAABkcnMvZG93bnJldi54bWxQSwUGAAAAAAMAAwC3AAAA+QIAAAAA&#10;" filled="f" stroked="f">
                  <v:textbox inset="0,0,0,0">
                    <w:txbxContent>
                      <w:p w14:paraId="7EB569F2" w14:textId="77777777" w:rsidR="00B32EF2" w:rsidRDefault="00000000">
                        <w:r>
                          <w:rPr>
                            <w:rFonts w:ascii="Arial" w:eastAsia="Arial" w:hAnsi="Arial" w:cs="Arial"/>
                            <w:i/>
                            <w:sz w:val="18"/>
                          </w:rPr>
                          <w:t xml:space="preserve">norma del numero 7) e dell’articolo 52, ultimo comma, o dell’articolo 63, </w:t>
                        </w:r>
                      </w:p>
                    </w:txbxContent>
                  </v:textbox>
                </v:rect>
                <v:rect id="Rectangle 17593" o:spid="_x0000_s3332" style="position:absolute;left:-12200;top:49522;width:510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lMzxQAAAN4AAAAPAAAAZHJzL2Rvd25yZXYueG1sRE9Na8JA&#10;EL0X+h+WKXirm7ZYY+oqxSLm4EVrweOQHZO02dklu5ror3eFgrd5vM+ZznvTiBO1vras4GWYgCAu&#10;rK65VLD7Xj6nIHxA1thYJgVn8jCfPT5MMdO24w2dtqEUMYR9hgqqEFwmpS8qMuiH1hFH7mBbgyHC&#10;tpS6xS6Gm0a+Jsm7NFhzbKjQ0aKi4m97NAr2X+zyZSeLw2Xh1r952qyOux+lBk/95weIQH24i//d&#10;uY7zx6PJG9zeiTfI2RUAAP//AwBQSwECLQAUAAYACAAAACEA2+H2y+4AAACFAQAAEwAAAAAAAAAA&#10;AAAAAAAAAAAAW0NvbnRlbnRfVHlwZXNdLnhtbFBLAQItABQABgAIAAAAIQBa9CxbvwAAABUBAAAL&#10;AAAAAAAAAAAAAAAAAB8BAABfcmVscy8ucmVsc1BLAQItABQABgAIAAAAIQDKtlMzxQAAAN4AAAAP&#10;AAAAAAAAAAAAAAAAAAcCAABkcnMvZG93bnJldi54bWxQSwUGAAAAAAMAAwC3AAAA+QIAAAAA&#10;" filled="f" stroked="f">
                  <v:textbox inset="0,0,0,0">
                    <w:txbxContent>
                      <w:p w14:paraId="0C8AE684" w14:textId="77777777" w:rsidR="00B32EF2" w:rsidRDefault="00000000">
                        <w:r>
                          <w:rPr>
                            <w:rFonts w:ascii="Arial" w:eastAsia="Arial" w:hAnsi="Arial" w:cs="Arial"/>
                            <w:i/>
                            <w:sz w:val="18"/>
                          </w:rPr>
                          <w:t xml:space="preserve">primo comma, o acquisiti ai sensi dell’articolo 18, comma 3, lettera b), del </w:t>
                        </w:r>
                      </w:p>
                    </w:txbxContent>
                  </v:textbox>
                </v:rect>
                <v:rect id="Rectangle 17594" o:spid="_x0000_s3333" style="position:absolute;left:-11210;top:48289;width:50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8tHxQAAAN4AAAAPAAAAZHJzL2Rvd25yZXYueG1sRE9Na8JA&#10;EL0X+h+WKXirm5ZaY+oqxSLm4EVrweOQHZO02dklu5ror3eFgrd5vM+ZznvTiBO1vras4GWYgCAu&#10;rK65VLD7Xj6nIHxA1thYJgVn8jCfPT5MMdO24w2dtqEUMYR9hgqqEFwmpS8qMuiH1hFH7mBbgyHC&#10;tpS6xS6Gm0a+Jsm7NFhzbKjQ0aKi4m97NAr2X+zyZSeLw2Xh1r952qyOux+lBk/95weIQH24i//d&#10;uY7zx6PJG9zeiTfI2RUAAP//AwBQSwECLQAUAAYACAAAACEA2+H2y+4AAACFAQAAEwAAAAAAAAAA&#10;AAAAAAAAAAAAW0NvbnRlbnRfVHlwZXNdLnhtbFBLAQItABQABgAIAAAAIQBa9CxbvwAAABUBAAAL&#10;AAAAAAAAAAAAAAAAAB8BAABfcmVscy8ucmVsc1BLAQItABQABgAIAAAAIQBFX8tHxQAAAN4AAAAP&#10;AAAAAAAAAAAAAAAAAAcCAABkcnMvZG93bnJldi54bWxQSwUGAAAAAAMAAwC3AAAA+QIAAAAA&#10;" filled="f" stroked="f">
                  <v:textbox inset="0,0,0,0">
                    <w:txbxContent>
                      <w:p w14:paraId="4761AEA0" w14:textId="77777777" w:rsidR="00B32EF2" w:rsidRDefault="00000000">
                        <w:r>
                          <w:rPr>
                            <w:rFonts w:ascii="Arial" w:eastAsia="Arial" w:hAnsi="Arial" w:cs="Arial"/>
                            <w:i/>
                            <w:sz w:val="18"/>
                          </w:rPr>
                          <w:t>decreto legislativo 26 ottobre 1995, n. 504, sono posti a base delle rettifi</w:t>
                        </w:r>
                      </w:p>
                    </w:txbxContent>
                  </v:textbox>
                </v:rect>
                <v:rect id="Rectangle 17595" o:spid="_x0000_s3334" style="position:absolute;left:657;top:4828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27cxQAAAN4AAAAPAAAAZHJzL2Rvd25yZXYueG1sRE9Na8JA&#10;EL0L/Q/LFLzpRsHWRlcRRczBS62FHofsmESzs0t2NbG/3i0UvM3jfc582Zla3KjxlWUFo2ECgji3&#10;uuJCwfFrO5iC8AFZY22ZFNzJw3Lx0ptjqm3Ln3Q7hELEEPYpKihDcKmUPi/JoB9aRxy5k20Mhgib&#10;QuoG2xhuajlOkjdpsOLYUKKjdUn55XA1Cn427LJtK/PT79rtz9m03l2P30r1X7vVDESgLjzF/+5M&#10;x/nvk48J/L0Tb5CLBwAAAP//AwBQSwECLQAUAAYACAAAACEA2+H2y+4AAACFAQAAEwAAAAAAAAAA&#10;AAAAAAAAAAAAW0NvbnRlbnRfVHlwZXNdLnhtbFBLAQItABQABgAIAAAAIQBa9CxbvwAAABUBAAAL&#10;AAAAAAAAAAAAAAAAAB8BAABfcmVscy8ucmVsc1BLAQItABQABgAIAAAAIQAqE27cxQAAAN4AAAAP&#10;AAAAAAAAAAAAAAAAAAcCAABkcnMvZG93bnJldi54bWxQSwUGAAAAAAMAAwC3AAAA+QIAAAAA&#10;" filled="f" stroked="f">
                  <v:textbox inset="0,0,0,0">
                    <w:txbxContent>
                      <w:p w14:paraId="68151108" w14:textId="77777777" w:rsidR="00B32EF2" w:rsidRDefault="00000000">
                        <w:r>
                          <w:rPr>
                            <w:rFonts w:ascii="Arial" w:eastAsia="Arial" w:hAnsi="Arial" w:cs="Arial"/>
                            <w:i/>
                            <w:sz w:val="18"/>
                          </w:rPr>
                          <w:t>-</w:t>
                        </w:r>
                      </w:p>
                    </w:txbxContent>
                  </v:textbox>
                </v:rect>
                <v:rect id="Rectangle 17596" o:spid="_x0000_s3335" style="position:absolute;left:-12213;top:47056;width:510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fCrxQAAAN4AAAAPAAAAZHJzL2Rvd25yZXYueG1sRE9Na8JA&#10;EL0X+h+WKXirGwWtja4iipiDl1oLPQ7ZMYlmZ5fsaqK/3i0UvM3jfc5s0ZlaXKnxlWUFg34Cgji3&#10;uuJCweF78z4B4QOyxtoyKbiRh8X89WWGqbYtf9F1HwoRQ9inqKAMwaVS+rwkg75vHXHkjrYxGCJs&#10;CqkbbGO4qeUwScbSYMWxoURHq5Ly8/5iFPyu2WWbVubH+8rtTtmk3l4OP0r13rrlFESgLjzF/+5M&#10;x/kfo88x/L0Tb5DzBwAAAP//AwBQSwECLQAUAAYACAAAACEA2+H2y+4AAACFAQAAEwAAAAAAAAAA&#10;AAAAAAAAAAAAW0NvbnRlbnRfVHlwZXNdLnhtbFBLAQItABQABgAIAAAAIQBa9CxbvwAAABUBAAAL&#10;AAAAAAAAAAAAAAAAAB8BAABfcmVscy8ucmVsc1BLAQItABQABgAIAAAAIQDawfCrxQAAAN4AAAAP&#10;AAAAAAAAAAAAAAAAAAcCAABkcnMvZG93bnJldi54bWxQSwUGAAAAAAMAAwC3AAAA+QIAAAAA&#10;" filled="f" stroked="f">
                  <v:textbox inset="0,0,0,0">
                    <w:txbxContent>
                      <w:p w14:paraId="7EA991F0" w14:textId="77777777" w:rsidR="00B32EF2" w:rsidRDefault="00000000">
                        <w:r>
                          <w:rPr>
                            <w:rFonts w:ascii="Arial" w:eastAsia="Arial" w:hAnsi="Arial" w:cs="Arial"/>
                            <w:i/>
                            <w:sz w:val="18"/>
                          </w:rPr>
                          <w:t xml:space="preserve">che e degli accertamenti previsti dagli artt. 54 e 55 se il contribuente non </w:t>
                        </w:r>
                      </w:p>
                    </w:txbxContent>
                  </v:textbox>
                </v:rect>
                <v:rect id="Rectangle 17597" o:spid="_x0000_s3336" style="position:absolute;left:-12185;top:45823;width:5098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VUwxQAAAN4AAAAPAAAAZHJzL2Rvd25yZXYueG1sRE9La8JA&#10;EL4X+h+WKXirGwUfja4iiphDL7UWehyyYxLNzi7Z1UR/vVsoeJuP7znzZWdqcaXGV5YVDPoJCOLc&#10;6ooLBYfv7fsUhA/IGmvLpOBGHpaL15c5ptq2/EXXfShEDGGfooIyBJdK6fOSDPq+dcSRO9rGYIiw&#10;KaRusI3hppbDJBlLgxXHhhIdrUvKz/uLUfC7YZdtW5kf72v3ecqm9e5y+FGq99atZiACdeEp/ndn&#10;Os6fjD4m8PdOvEEuHgAAAP//AwBQSwECLQAUAAYACAAAACEA2+H2y+4AAACFAQAAEwAAAAAAAAAA&#10;AAAAAAAAAAAAW0NvbnRlbnRfVHlwZXNdLnhtbFBLAQItABQABgAIAAAAIQBa9CxbvwAAABUBAAAL&#10;AAAAAAAAAAAAAAAAAB8BAABfcmVscy8ucmVsc1BLAQItABQABgAIAAAAIQC1jVUwxQAAAN4AAAAP&#10;AAAAAAAAAAAAAAAAAAcCAABkcnMvZG93bnJldi54bWxQSwUGAAAAAAMAAwC3AAAA+QIAAAAA&#10;" filled="f" stroked="f">
                  <v:textbox inset="0,0,0,0">
                    <w:txbxContent>
                      <w:p w14:paraId="1101D60C" w14:textId="77777777" w:rsidR="00B32EF2" w:rsidRDefault="00000000">
                        <w:r>
                          <w:rPr>
                            <w:rFonts w:ascii="Arial" w:eastAsia="Arial" w:hAnsi="Arial" w:cs="Arial"/>
                            <w:i/>
                            <w:sz w:val="18"/>
                          </w:rPr>
                          <w:t xml:space="preserve">dimostra che ne ha tenuto conto nelle dichiarazioni o che non si riferiscono </w:t>
                        </w:r>
                      </w:p>
                    </w:txbxContent>
                  </v:textbox>
                </v:rect>
                <v:rect id="Rectangle 17598" o:spid="_x0000_s3337" style="position:absolute;left:-11222;top:44589;width:500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sFCyAAAAN4AAAAPAAAAZHJzL2Rvd25yZXYueG1sRI9Pb8Iw&#10;DMXvk/YdIk/iNtJN2sY6ApqYED1wGX+kHa3GtN0aJ2oC7fj0+IDEzdZ7fu/n6XxwrTpRFxvPBp7G&#10;GSji0tuGKwO77fJxAiomZIutZzLwTxHms/u7KebW9/xNp02qlIRwzNFAnVLItY5lTQ7j2Adi0Q6+&#10;c5hk7SptO+wl3LX6OctetcOGpaHGQIuayr/N0Rn4+eJQLHtdHs6LsP4tJu3quNsbM3oYPj9AJRrS&#10;zXy9Lqzgv728C6+8IzPo2QUAAP//AwBQSwECLQAUAAYACAAAACEA2+H2y+4AAACFAQAAEwAAAAAA&#10;AAAAAAAAAAAAAAAAW0NvbnRlbnRfVHlwZXNdLnhtbFBLAQItABQABgAIAAAAIQBa9CxbvwAAABUB&#10;AAALAAAAAAAAAAAAAAAAAB8BAABfcmVscy8ucmVsc1BLAQItABQABgAIAAAAIQDEEsFCyAAAAN4A&#10;AAAPAAAAAAAAAAAAAAAAAAcCAABkcnMvZG93bnJldi54bWxQSwUGAAAAAAMAAwC3AAAA/AIAAAAA&#10;" filled="f" stroked="f">
                  <v:textbox inset="0,0,0,0">
                    <w:txbxContent>
                      <w:p w14:paraId="7966021F" w14:textId="77777777" w:rsidR="00B32EF2" w:rsidRDefault="00000000">
                        <w:r>
                          <w:rPr>
                            <w:rFonts w:ascii="Arial" w:eastAsia="Arial" w:hAnsi="Arial" w:cs="Arial"/>
                            <w:i/>
                            <w:sz w:val="18"/>
                          </w:rPr>
                          <w:t>ad operazioni imponibili; sia le operazioni imponibili sia gli acquisti si consi</w:t>
                        </w:r>
                      </w:p>
                    </w:txbxContent>
                  </v:textbox>
                </v:rect>
                <v:rect id="Rectangle 17599" o:spid="_x0000_s3338" style="position:absolute;left:657;top:4458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mTZxQAAAN4AAAAPAAAAZHJzL2Rvd25yZXYueG1sRE9La8JA&#10;EL4X/A/LCN7qxoJVo6uIRZpDL/UBHofsmESzs0t2NWl/fbcgeJuP7zmLVWdqcafGV5YVjIYJCOLc&#10;6ooLBYf99nUKwgdkjbVlUvBDHlbL3ssCU21b/qb7LhQihrBPUUEZgkul9HlJBv3QOuLInW1jMETY&#10;FFI32MZwU8u3JHmXBiuODSU62pSUX3c3o+D0wS7btjI//27c1yWb1p+3w1GpQb9bz0EE6sJT/HBn&#10;Os6fjGcz+H8n3iCXfwAAAP//AwBQSwECLQAUAAYACAAAACEA2+H2y+4AAACFAQAAEwAAAAAAAAAA&#10;AAAAAAAAAAAAW0NvbnRlbnRfVHlwZXNdLnhtbFBLAQItABQABgAIAAAAIQBa9CxbvwAAABUBAAAL&#10;AAAAAAAAAAAAAAAAAB8BAABfcmVscy8ucmVsc1BLAQItABQABgAIAAAAIQCrXmTZxQAAAN4AAAAP&#10;AAAAAAAAAAAAAAAAAAcCAABkcnMvZG93bnJldi54bWxQSwUGAAAAAAMAAwC3AAAA+QIAAAAA&#10;" filled="f" stroked="f">
                  <v:textbox inset="0,0,0,0">
                    <w:txbxContent>
                      <w:p w14:paraId="2CCB1316" w14:textId="77777777" w:rsidR="00B32EF2" w:rsidRDefault="00000000">
                        <w:r>
                          <w:rPr>
                            <w:rFonts w:ascii="Arial" w:eastAsia="Arial" w:hAnsi="Arial" w:cs="Arial"/>
                            <w:i/>
                            <w:sz w:val="18"/>
                          </w:rPr>
                          <w:t>-</w:t>
                        </w:r>
                      </w:p>
                    </w:txbxContent>
                  </v:textbox>
                </v:rect>
                <v:rect id="Rectangle 17600" o:spid="_x0000_s3339" style="position:absolute;left:-12212;top:43356;width:510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zm/xwAAAN4AAAAPAAAAZHJzL2Rvd25yZXYueG1sRI9Pb8Iw&#10;DMXvSPsOkSftBuk4MNQREGJC9LALfybtaDWm7WicqAm026fHh0ncbPn5vfdbrAbXqht1sfFs4HWS&#10;gSIuvW24MnA6bsdzUDEhW2w9k4FfirBaPo0WmFvf855uh1QpMeGYo4E6pZBrHcuaHMaJD8RyO/vO&#10;YZK1q7TtsBdz1+ppls20w4YlocZAm5rKy+HqDHx/cCi2vS7Pf5vw+VPM29319GXMy/OwfgeVaEgP&#10;8f93YaX+2ywTAMGRGfTyDgAA//8DAFBLAQItABQABgAIAAAAIQDb4fbL7gAAAIUBAAATAAAAAAAA&#10;AAAAAAAAAAAAAABbQ29udGVudF9UeXBlc10ueG1sUEsBAi0AFAAGAAgAAAAhAFr0LFu/AAAAFQEA&#10;AAsAAAAAAAAAAAAAAAAAHwEAAF9yZWxzLy5yZWxzUEsBAi0AFAAGAAgAAAAhAAlLOb/HAAAA3gAA&#10;AA8AAAAAAAAAAAAAAAAABwIAAGRycy9kb3ducmV2LnhtbFBLBQYAAAAAAwADALcAAAD7AgAAAAA=&#10;" filled="f" stroked="f">
                  <v:textbox inset="0,0,0,0">
                    <w:txbxContent>
                      <w:p w14:paraId="18CAD288" w14:textId="77777777" w:rsidR="00B32EF2" w:rsidRDefault="00000000">
                        <w:r>
                          <w:rPr>
                            <w:rFonts w:ascii="Arial" w:eastAsia="Arial" w:hAnsi="Arial" w:cs="Arial"/>
                            <w:i/>
                            <w:sz w:val="18"/>
                          </w:rPr>
                          <w:t xml:space="preserve">derano effettuati all’aliquota in prevalenza rispettivamente applicata o che </w:t>
                        </w:r>
                      </w:p>
                    </w:txbxContent>
                  </v:textbox>
                </v:rect>
                <v:rect id="Rectangle 17601" o:spid="_x0000_s3340" style="position:absolute;left:-12233;top:42123;width:511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5wkxQAAAN4AAAAPAAAAZHJzL2Rvd25yZXYueG1sRE9Na8JA&#10;EL0L/odlhN50Yw8xRFcpFmkOvZha6HHIjklsdnbJrknaX98tFHqbx/uc3WEynRio961lBetVAoK4&#10;srrlWsHl7bTMQPiArLGzTAq+yMNhP5/tMNd25DMNZahFDGGfo4ImBJdL6auGDPqVdcSRu9reYIiw&#10;r6XucYzhppOPSZJKgy3HhgYdHRuqPsu7UfDxzK44jbK6fh/d663Iupf75V2ph8X0tAURaAr/4j93&#10;oeP8TZqs4fedeIPc/wAAAP//AwBQSwECLQAUAAYACAAAACEA2+H2y+4AAACFAQAAEwAAAAAAAAAA&#10;AAAAAAAAAAAAW0NvbnRlbnRfVHlwZXNdLnhtbFBLAQItABQABgAIAAAAIQBa9CxbvwAAABUBAAAL&#10;AAAAAAAAAAAAAAAAAB8BAABfcmVscy8ucmVsc1BLAQItABQABgAIAAAAIQBmB5wkxQAAAN4AAAAP&#10;AAAAAAAAAAAAAAAAAAcCAABkcnMvZG93bnJldi54bWxQSwUGAAAAAAMAAwC3AAAA+QIAAAAA&#10;" filled="f" stroked="f">
                  <v:textbox inset="0,0,0,0">
                    <w:txbxContent>
                      <w:p w14:paraId="42512BD1" w14:textId="77777777" w:rsidR="00B32EF2" w:rsidRDefault="00000000">
                        <w:r>
                          <w:rPr>
                            <w:rFonts w:ascii="Arial" w:eastAsia="Arial" w:hAnsi="Arial" w:cs="Arial"/>
                            <w:i/>
                            <w:sz w:val="18"/>
                          </w:rPr>
                          <w:t xml:space="preserve">avrebbe dovuto essere applicata. Le richieste fatte e le risposte ricevute </w:t>
                        </w:r>
                      </w:p>
                    </w:txbxContent>
                  </v:textbox>
                </v:rect>
                <v:rect id="Rectangle 17602" o:spid="_x0000_s3341" style="position:absolute;left:-12221;top:40889;width:511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QJTwwAAAN4AAAAPAAAAZHJzL2Rvd25yZXYueG1sRE9Ni8Iw&#10;EL0L/ocwgjdN9aDSNcqiiD140VXwODRj291mEppo6/76jSDsbR7vc5brztTiQY2vLCuYjBMQxLnV&#10;FRcKzl+70QKED8gaa8uk4Eke1qt+b4mpti0f6XEKhYgh7FNUUIbgUil9XpJBP7aOOHI32xgMETaF&#10;1A22MdzUcpokM2mw4thQoqNNSfnP6W4UXLfssl0r89vvxh2+s0W9v58vSg0H3ecHiEBd+Be/3ZmO&#10;8+ezZAqvd+INcvUHAAD//wMAUEsBAi0AFAAGAAgAAAAhANvh9svuAAAAhQEAABMAAAAAAAAAAAAA&#10;AAAAAAAAAFtDb250ZW50X1R5cGVzXS54bWxQSwECLQAUAAYACAAAACEAWvQsW78AAAAVAQAACwAA&#10;AAAAAAAAAAAAAAAfAQAAX3JlbHMvLnJlbHNQSwECLQAUAAYACAAAACEAltUCU8MAAADeAAAADwAA&#10;AAAAAAAAAAAAAAAHAgAAZHJzL2Rvd25yZXYueG1sUEsFBgAAAAADAAMAtwAAAPcCAAAAAA==&#10;" filled="f" stroked="f">
                  <v:textbox inset="0,0,0,0">
                    <w:txbxContent>
                      <w:p w14:paraId="1A70C5A1" w14:textId="77777777" w:rsidR="00B32EF2" w:rsidRDefault="00000000">
                        <w:r>
                          <w:rPr>
                            <w:rFonts w:ascii="Arial" w:eastAsia="Arial" w:hAnsi="Arial" w:cs="Arial"/>
                            <w:i/>
                            <w:sz w:val="18"/>
                          </w:rPr>
                          <w:t xml:space="preserve">devono essere verbalizzate a norma del sesto comma dell’articolo 52; 3) </w:t>
                        </w:r>
                      </w:p>
                    </w:txbxContent>
                  </v:textbox>
                </v:rect>
                <v:rect id="Rectangle 17603" o:spid="_x0000_s3342" style="position:absolute;left:-12226;top:39656;width:511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afIxQAAAN4AAAAPAAAAZHJzL2Rvd25yZXYueG1sRE9LawIx&#10;EL4L/Q9hCt402wpWVrNSLNI99OKj0OOwmX3YzSRsorv66xuh4G0+vues1oNpxYU631hW8DJNQBAX&#10;VjdcKTgetpMFCB+QNbaWScGVPKyzp9EKU2173tFlHyoRQ9inqKAOwaVS+qImg35qHXHkStsZDBF2&#10;ldQd9jHctPI1SebSYMOxoUZHm5qK3/3ZKPj5YJdve1mUt437OuWL9vN8/FZq/Dy8L0EEGsJD/O/O&#10;dZz/Nk9mcH8n3iCzPwAAAP//AwBQSwECLQAUAAYACAAAACEA2+H2y+4AAACFAQAAEwAAAAAAAAAA&#10;AAAAAAAAAAAAW0NvbnRlbnRfVHlwZXNdLnhtbFBLAQItABQABgAIAAAAIQBa9CxbvwAAABUBAAAL&#10;AAAAAAAAAAAAAAAAAB8BAABfcmVscy8ucmVsc1BLAQItABQABgAIAAAAIQD5mafIxQAAAN4AAAAP&#10;AAAAAAAAAAAAAAAAAAcCAABkcnMvZG93bnJldi54bWxQSwUGAAAAAAMAAwC3AAAA+QIAAAAA&#10;" filled="f" stroked="f">
                  <v:textbox inset="0,0,0,0">
                    <w:txbxContent>
                      <w:p w14:paraId="711EE406" w14:textId="77777777" w:rsidR="00B32EF2" w:rsidRDefault="00000000">
                        <w:r>
                          <w:rPr>
                            <w:rFonts w:ascii="Arial" w:eastAsia="Arial" w:hAnsi="Arial" w:cs="Arial"/>
                            <w:i/>
                            <w:sz w:val="18"/>
                          </w:rPr>
                          <w:t xml:space="preserve">inviare ai soggetti che esercitano imprese, arti e professioni, con invito a </w:t>
                        </w:r>
                      </w:p>
                    </w:txbxContent>
                  </v:textbox>
                </v:rect>
                <v:rect id="Rectangle 17604" o:spid="_x0000_s3343" style="position:absolute;left:-12189;top:38423;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D+8xQAAAN4AAAAPAAAAZHJzL2Rvd25yZXYueG1sRE9LawIx&#10;EL4L/Q9hCt402yJWVrNSLNI99OKj0OOwmX3YzSRsorv66xuh4G0+vues1oNpxYU631hW8DJNQBAX&#10;VjdcKTgetpMFCB+QNbaWScGVPKyzp9EKU2173tFlHyoRQ9inqKAOwaVS+qImg35qHXHkStsZDBF2&#10;ldQd9jHctPI1SebSYMOxoUZHm5qK3/3ZKPj5YJdve1mUt437OuWL9vN8/FZq/Dy8L0EEGsJD/O/O&#10;dZz/Nk9mcH8n3iCzPwAAAP//AwBQSwECLQAUAAYACAAAACEA2+H2y+4AAACFAQAAEwAAAAAAAAAA&#10;AAAAAAAAAAAAW0NvbnRlbnRfVHlwZXNdLnhtbFBLAQItABQABgAIAAAAIQBa9CxbvwAAABUBAAAL&#10;AAAAAAAAAAAAAAAAAB8BAABfcmVscy8ucmVsc1BLAQItABQABgAIAAAAIQB2cD+8xQAAAN4AAAAP&#10;AAAAAAAAAAAAAAAAAAcCAABkcnMvZG93bnJldi54bWxQSwUGAAAAAAMAAwC3AAAA+QIAAAAA&#10;" filled="f" stroked="f">
                  <v:textbox inset="0,0,0,0">
                    <w:txbxContent>
                      <w:p w14:paraId="3A9096F8" w14:textId="77777777" w:rsidR="00B32EF2" w:rsidRDefault="00000000">
                        <w:r>
                          <w:rPr>
                            <w:rFonts w:ascii="Arial" w:eastAsia="Arial" w:hAnsi="Arial" w:cs="Arial"/>
                            <w:i/>
                            <w:sz w:val="18"/>
                          </w:rPr>
                          <w:t xml:space="preserve">restituirli compilati e firmati, questionari relativi a dati e notizie di carattere </w:t>
                        </w:r>
                      </w:p>
                    </w:txbxContent>
                  </v:textbox>
                </v:rect>
                <v:rect id="Rectangle 17605" o:spid="_x0000_s3344" style="position:absolute;left:-12189;top:37190;width:5100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JonxQAAAN4AAAAPAAAAZHJzL2Rvd25yZXYueG1sRE9LawIx&#10;EL4L/Q9hCt4024JWVrNSLNI99OKj0OOwmX3YzSRsorv66xuh4G0+vues1oNpxYU631hW8DJNQBAX&#10;VjdcKTgetpMFCB+QNbaWScGVPKyzp9EKU2173tFlHyoRQ9inqKAOwaVS+qImg35qHXHkStsZDBF2&#10;ldQd9jHctPI1SebSYMOxoUZHm5qK3/3ZKPj5YJdve1mUt437OuWL9vN8/FZq/Dy8L0EEGsJD/O/O&#10;dZz/Nk9mcH8n3iCzPwAAAP//AwBQSwECLQAUAAYACAAAACEA2+H2y+4AAACFAQAAEwAAAAAAAAAA&#10;AAAAAAAAAAAAW0NvbnRlbnRfVHlwZXNdLnhtbFBLAQItABQABgAIAAAAIQBa9CxbvwAAABUBAAAL&#10;AAAAAAAAAAAAAAAAAB8BAABfcmVscy8ucmVsc1BLAQItABQABgAIAAAAIQAZPJonxQAAAN4AAAAP&#10;AAAAAAAAAAAAAAAAAAcCAABkcnMvZG93bnJldi54bWxQSwUGAAAAAAMAAwC3AAAA+QIAAAAA&#10;" filled="f" stroked="f">
                  <v:textbox inset="0,0,0,0">
                    <w:txbxContent>
                      <w:p w14:paraId="0E1713BB" w14:textId="77777777" w:rsidR="00B32EF2" w:rsidRDefault="00000000">
                        <w:r>
                          <w:rPr>
                            <w:rFonts w:ascii="Arial" w:eastAsia="Arial" w:hAnsi="Arial" w:cs="Arial"/>
                            <w:i/>
                            <w:sz w:val="18"/>
                          </w:rPr>
                          <w:t xml:space="preserve">specifico rilevanti ai fini dell’accertamento, anche nei confronti di loro clienti </w:t>
                        </w:r>
                      </w:p>
                    </w:txbxContent>
                  </v:textbox>
                </v:rect>
                <v:rect id="Rectangle 17606" o:spid="_x0000_s3345" style="position:absolute;left:31959;top:35956;width:68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gRQxAAAAN4AAAAPAAAAZHJzL2Rvd25yZXYueG1sRE9Ni8Iw&#10;EL0v+B/CCN7WVA9dqUYRRezBy7oKHodmbKvNJDTR1v31m4WFvc3jfc5i1ZtGPKn1tWUFk3ECgriw&#10;uuZSwelr9z4D4QOyxsYyKXiRh9Vy8LbATNuOP+l5DKWIIewzVFCF4DIpfVGRQT+2jjhyV9saDBG2&#10;pdQtdjHcNHKaJKk0WHNsqNDRpqLifnwYBZctu3zXyeL6vXGHWz5r9o/TWanRsF/PQQTqw7/4z53r&#10;OP8jTVL4fSfeIJc/AAAA//8DAFBLAQItABQABgAIAAAAIQDb4fbL7gAAAIUBAAATAAAAAAAAAAAA&#10;AAAAAAAAAABbQ29udGVudF9UeXBlc10ueG1sUEsBAi0AFAAGAAgAAAAhAFr0LFu/AAAAFQEAAAsA&#10;AAAAAAAAAAAAAAAAHwEAAF9yZWxzLy5yZWxzUEsBAi0AFAAGAAgAAAAhAOnuBFDEAAAA3gAAAA8A&#10;AAAAAAAAAAAAAAAABwIAAGRycy9kb3ducmV2LnhtbFBLBQYAAAAAAwADALcAAAD4AgAAAAA=&#10;" filled="f" stroked="f">
                  <v:textbox inset="0,0,0,0">
                    <w:txbxContent>
                      <w:p w14:paraId="4BBBFFB8" w14:textId="77777777" w:rsidR="00B32EF2" w:rsidRDefault="00000000">
                        <w:r>
                          <w:rPr>
                            <w:rFonts w:ascii="Arial" w:eastAsia="Arial" w:hAnsi="Arial" w:cs="Arial"/>
                            <w:i/>
                            <w:sz w:val="18"/>
                          </w:rPr>
                          <w:t>e fornitori;</w:t>
                        </w:r>
                      </w:p>
                    </w:txbxContent>
                  </v:textbox>
                </v:rect>
                <v:rect id="Rectangle 200849" o:spid="_x0000_s3346" style="position:absolute;left:-12219;top:34723;width:500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gZxwAAAN8AAAAPAAAAZHJzL2Rvd25yZXYueG1sRI9Pa8JA&#10;FMTvBb/D8gRvddMikqauUixiDl78U+jxkX0m0ezbJbua6Kd3hUKPw8z8hpktetOIK7W+tqzgbZyA&#10;IC6srrlUcNivXlMQPiBrbCyTght5WMwHLzPMtO14S9ddKEWEsM9QQRWCy6T0RUUG/dg64ugdbWsw&#10;RNmWUrfYRbhp5HuSTKXBmuNChY6WFRXn3cUo+P1ml686WRzvS7c55Wmzvhx+lBoN+69PEIH68B/+&#10;a+daQSSmkw94/olfQM4fAAAA//8DAFBLAQItABQABgAIAAAAIQDb4fbL7gAAAIUBAAATAAAAAAAA&#10;AAAAAAAAAAAAAABbQ29udGVudF9UeXBlc10ueG1sUEsBAi0AFAAGAAgAAAAhAFr0LFu/AAAAFQEA&#10;AAsAAAAAAAAAAAAAAAAAHwEAAF9yZWxzLy5yZWxzUEsBAi0AFAAGAAgAAAAhAG4giBnHAAAA3wAA&#10;AA8AAAAAAAAAAAAAAAAABwIAAGRycy9kb3ducmV2LnhtbFBLBQYAAAAAAwADALcAAAD7AgAAAAA=&#10;" filled="f" stroked="f">
                  <v:textbox inset="0,0,0,0">
                    <w:txbxContent>
                      <w:p w14:paraId="7D578BC0" w14:textId="77777777" w:rsidR="00B32EF2" w:rsidRDefault="00000000">
                        <w:r>
                          <w:rPr>
                            <w:rFonts w:ascii="Arial" w:eastAsia="Arial" w:hAnsi="Arial" w:cs="Arial"/>
                            <w:i/>
                            <w:sz w:val="18"/>
                          </w:rPr>
                          <w:t xml:space="preserve"> invitare qualsiasi soggetto ad esibire o trasmettere, anche in copia fo</w:t>
                        </w:r>
                      </w:p>
                    </w:txbxContent>
                  </v:textbox>
                </v:rect>
                <v:rect id="Rectangle 200848" o:spid="_x0000_s3347" style="position:absolute;left:25393;top:34723;width:50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2CxwAAAN8AAAAPAAAAZHJzL2Rvd25yZXYueG1sRI9Na8Mw&#10;DIbvg/0Ho0Fvq7NRSsjqltFRmsMu6wfsKGI1yRbLJnabdL9+OhR6FK/eR3oWq9F16kJ9bD0beJlm&#10;oIgrb1uuDRz2m+ccVEzIFjvPZOBKEVbLx4cFFtYP/EWXXaqVQDgWaKBJKRRax6ohh3HqA7FkJ987&#10;TDL2tbY9DgJ3nX7Nsrl22LJcaDDQuqHqd3d2Br4/OJSbQVenv3X4/Cnzbns+HI2ZPI3vb6ASjem+&#10;fGuX1oAQ85k8LD7iAnr5DwAA//8DAFBLAQItABQABgAIAAAAIQDb4fbL7gAAAIUBAAATAAAAAAAA&#10;AAAAAAAAAAAAAABbQ29udGVudF9UeXBlc10ueG1sUEsBAi0AFAAGAAgAAAAhAFr0LFu/AAAAFQEA&#10;AAsAAAAAAAAAAAAAAAAAHwEAAF9yZWxzLy5yZWxzUEsBAi0AFAAGAAgAAAAhAAFsLYLHAAAA3wAA&#10;AA8AAAAAAAAAAAAAAAAABwIAAGRycy9kb3ducmV2LnhtbFBLBQYAAAAAAwADALcAAAD7AgAAAAA=&#10;" filled="f" stroked="f">
                  <v:textbox inset="0,0,0,0">
                    <w:txbxContent>
                      <w:p w14:paraId="6AD20F03" w14:textId="77777777" w:rsidR="00B32EF2" w:rsidRDefault="00000000">
                        <w:r>
                          <w:rPr>
                            <w:rFonts w:ascii="Arial" w:eastAsia="Arial" w:hAnsi="Arial" w:cs="Arial"/>
                            <w:i/>
                            <w:sz w:val="18"/>
                          </w:rPr>
                          <w:t>4)</w:t>
                        </w:r>
                      </w:p>
                    </w:txbxContent>
                  </v:textbox>
                </v:rect>
                <v:rect id="Rectangle 17608" o:spid="_x0000_s3348" style="position:absolute;left:657;top:3472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TW5xwAAAN4AAAAPAAAAZHJzL2Rvd25yZXYueG1sRI9Pb8Iw&#10;DMXvSPsOkSftBuk4MNQREGJC9LALfybtaDWm7WicqAm026fHh0ncbL3n935erAbXqht1sfFs4HWS&#10;gSIuvW24MnA6bsdzUDEhW2w9k4FfirBaPo0WmFvf855uh1QpCeGYo4E6pZBrHcuaHMaJD8SinX3n&#10;MMnaVdp22Eu4a/U0y2baYcPSUGOgTU3l5XB1Br4/OBTbXpfnv034/Cnm7e56+jLm5XlYv4NKNKSH&#10;+f+6sIL/NsuEV96RGfTyDgAA//8DAFBLAQItABQABgAIAAAAIQDb4fbL7gAAAIUBAAATAAAAAAAA&#10;AAAAAAAAAAAAAABbQ29udGVudF9UeXBlc10ueG1sUEsBAi0AFAAGAAgAAAAhAFr0LFu/AAAAFQEA&#10;AAsAAAAAAAAAAAAAAAAAHwEAAF9yZWxzLy5yZWxzUEsBAi0AFAAGAAgAAAAhAPc9NbnHAAAA3gAA&#10;AA8AAAAAAAAAAAAAAAAABwIAAGRycy9kb3ducmV2LnhtbFBLBQYAAAAAAwADALcAAAD7AgAAAAA=&#10;" filled="f" stroked="f">
                  <v:textbox inset="0,0,0,0">
                    <w:txbxContent>
                      <w:p w14:paraId="10365DCA" w14:textId="77777777" w:rsidR="00B32EF2" w:rsidRDefault="00000000">
                        <w:r>
                          <w:rPr>
                            <w:rFonts w:ascii="Arial" w:eastAsia="Arial" w:hAnsi="Arial" w:cs="Arial"/>
                            <w:i/>
                            <w:sz w:val="18"/>
                          </w:rPr>
                          <w:t>-</w:t>
                        </w:r>
                      </w:p>
                    </w:txbxContent>
                  </v:textbox>
                </v:rect>
                <v:rect id="Rectangle 17609" o:spid="_x0000_s3349" style="position:absolute;left:-11214;top:33490;width:500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AixQAAAN4AAAAPAAAAZHJzL2Rvd25yZXYueG1sRE9LawIx&#10;EL4X/A9hhN40aw9qt2ZFFOkeeqlV8DhsZh91Mwmb6G77601B6G0+vues1oNpxY0631hWMJsmIIgL&#10;qxuuFBy/9pMlCB+QNbaWScEPeVhno6cVptr2/Em3Q6hEDGGfooI6BJdK6YuaDPqpdcSRK21nMETY&#10;VVJ32Mdw08qXJJlLgw3HhhodbWsqLoerUXDescv3vSzK3637+M6X7fv1eFLqeTxs3kAEGsK/+OHO&#10;dZy/mCev8PdOvEFmdwAAAP//AwBQSwECLQAUAAYACAAAACEA2+H2y+4AAACFAQAAEwAAAAAAAAAA&#10;AAAAAAAAAAAAW0NvbnRlbnRfVHlwZXNdLnhtbFBLAQItABQABgAIAAAAIQBa9CxbvwAAABUBAAAL&#10;AAAAAAAAAAAAAAAAAB8BAABfcmVscy8ucmVsc1BLAQItABQABgAIAAAAIQCYcZAixQAAAN4AAAAP&#10;AAAAAAAAAAAAAAAAAAcCAABkcnMvZG93bnJldi54bWxQSwUGAAAAAAMAAwC3AAAA+QIAAAAA&#10;" filled="f" stroked="f">
                  <v:textbox inset="0,0,0,0">
                    <w:txbxContent>
                      <w:p w14:paraId="1DFCE38C" w14:textId="77777777" w:rsidR="00B32EF2" w:rsidRDefault="00000000">
                        <w:r>
                          <w:rPr>
                            <w:rFonts w:ascii="Arial" w:eastAsia="Arial" w:hAnsi="Arial" w:cs="Arial"/>
                            <w:i/>
                            <w:sz w:val="18"/>
                          </w:rPr>
                          <w:t>tostatica, documenti e fatture relativi a determinate cessioni di beni o pre</w:t>
                        </w:r>
                      </w:p>
                    </w:txbxContent>
                  </v:textbox>
                </v:rect>
                <v:rect id="Rectangle 17610" o:spid="_x0000_s3350" style="position:absolute;left:657;top:3349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q9ixwAAAN4AAAAPAAAAZHJzL2Rvd25yZXYueG1sRI9Pb8Iw&#10;DMXvk/YdIiPtNlJ2ANQREGJC62GX8Ufa0WpMW2icqAm026efD0jcbPn5vfdbrAbXqht1sfFsYDLO&#10;QBGX3jZcGTjst69zUDEhW2w9k4FfirBaPj8tMLe+52+67VKlxIRjjgbqlEKudSxrchjHPhDL7eQ7&#10;h0nWrtK2w17MXavfsmyqHTYsCTUG2tRUXnZXZ+Dng0Ox7XV5+tuEr3Mxbz+vh6MxL6Nh/Q4q0ZAe&#10;4vt3YaX+bDoRAMGRGfTyHwAA//8DAFBLAQItABQABgAIAAAAIQDb4fbL7gAAAIUBAAATAAAAAAAA&#10;AAAAAAAAAAAAAABbQ29udGVudF9UeXBlc10ueG1sUEsBAi0AFAAGAAgAAAAhAFr0LFu/AAAAFQEA&#10;AAsAAAAAAAAAAAAAAAAAHwEAAF9yZWxzLy5yZWxzUEsBAi0AFAAGAAgAAAAhAIySr2LHAAAA3gAA&#10;AA8AAAAAAAAAAAAAAAAABwIAAGRycy9kb3ducmV2LnhtbFBLBQYAAAAAAwADALcAAAD7AgAAAAA=&#10;" filled="f" stroked="f">
                  <v:textbox inset="0,0,0,0">
                    <w:txbxContent>
                      <w:p w14:paraId="1759CBD9" w14:textId="77777777" w:rsidR="00B32EF2" w:rsidRDefault="00000000">
                        <w:r>
                          <w:rPr>
                            <w:rFonts w:ascii="Arial" w:eastAsia="Arial" w:hAnsi="Arial" w:cs="Arial"/>
                            <w:i/>
                            <w:sz w:val="18"/>
                          </w:rPr>
                          <w:t>-</w:t>
                        </w:r>
                      </w:p>
                    </w:txbxContent>
                  </v:textbox>
                </v:rect>
                <v:rect id="Rectangle 17611" o:spid="_x0000_s3351" style="position:absolute;left:-11214;top:32256;width:500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gr5xAAAAN4AAAAPAAAAZHJzL2Rvd25yZXYueG1sRE9Na8JA&#10;EL0X/A/LCL3VTTyopK4iijSHXrQRPA7ZMUnNzi7Z1aT99V1B6G0e73OW68G04k6dbywrSCcJCOLS&#10;6oYrBcXX/m0Bwgdkja1lUvBDHtar0csSM217PtD9GCoRQ9hnqKAOwWVS+rImg35iHXHkLrYzGCLs&#10;Kqk77GO4aeU0SWbSYMOxoUZH25rK6/FmFJx37PJ9L8vL79Z9fueL9uNWnJR6HQ+bdxCBhvAvfrpz&#10;HefPZ2kKj3fiDXL1BwAA//8DAFBLAQItABQABgAIAAAAIQDb4fbL7gAAAIUBAAATAAAAAAAAAAAA&#10;AAAAAAAAAABbQ29udGVudF9UeXBlc10ueG1sUEsBAi0AFAAGAAgAAAAhAFr0LFu/AAAAFQEAAAsA&#10;AAAAAAAAAAAAAAAAHwEAAF9yZWxzLy5yZWxzUEsBAi0AFAAGAAgAAAAhAOPeCvnEAAAA3gAAAA8A&#10;AAAAAAAAAAAAAAAABwIAAGRycy9kb3ducmV2LnhtbFBLBQYAAAAAAwADALcAAAD4AgAAAAA=&#10;" filled="f" stroked="f">
                  <v:textbox inset="0,0,0,0">
                    <w:txbxContent>
                      <w:p w14:paraId="4A8DD152" w14:textId="77777777" w:rsidR="00B32EF2" w:rsidRDefault="00000000">
                        <w:r>
                          <w:rPr>
                            <w:rFonts w:ascii="Arial" w:eastAsia="Arial" w:hAnsi="Arial" w:cs="Arial"/>
                            <w:i/>
                            <w:sz w:val="18"/>
                          </w:rPr>
                          <w:t>stazioni di servizi ricevute ed a fornire ogni informazione relativa alle ope</w:t>
                        </w:r>
                      </w:p>
                    </w:txbxContent>
                  </v:textbox>
                </v:rect>
                <v:rect id="Rectangle 17612" o:spid="_x0000_s3352" style="position:absolute;left:657;top:3225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JSOxAAAAN4AAAAPAAAAZHJzL2Rvd25yZXYueG1sRE9Li8Iw&#10;EL4v+B/CCHtbUz24Uo0iimwPXtYHeByasa02k9BEW/fXbwTB23x8z5ktOlOLOzW+sqxgOEhAEOdW&#10;V1woOOw3XxMQPiBrrC2Tggd5WMx7HzNMtW35l+67UIgYwj5FBWUILpXS5yUZ9APriCN3to3BEGFT&#10;SN1gG8NNLUdJMpYGK44NJTpalZRfdzej4LRml21amZ//Vm57ySb1z+1wVOqz3y2nIAJ14S1+uTMd&#10;53+PhyN4vhNvkPN/AAAA//8DAFBLAQItABQABgAIAAAAIQDb4fbL7gAAAIUBAAATAAAAAAAAAAAA&#10;AAAAAAAAAABbQ29udGVudF9UeXBlc10ueG1sUEsBAi0AFAAGAAgAAAAhAFr0LFu/AAAAFQEAAAsA&#10;AAAAAAAAAAAAAAAAHwEAAF9yZWxzLy5yZWxzUEsBAi0AFAAGAAgAAAAhABMMlI7EAAAA3gAAAA8A&#10;AAAAAAAAAAAAAAAABwIAAGRycy9kb3ducmV2LnhtbFBLBQYAAAAAAwADALcAAAD4AgAAAAA=&#10;" filled="f" stroked="f">
                  <v:textbox inset="0,0,0,0">
                    <w:txbxContent>
                      <w:p w14:paraId="5C85E67C" w14:textId="77777777" w:rsidR="00B32EF2" w:rsidRDefault="00000000">
                        <w:r>
                          <w:rPr>
                            <w:rFonts w:ascii="Arial" w:eastAsia="Arial" w:hAnsi="Arial" w:cs="Arial"/>
                            <w:i/>
                            <w:sz w:val="18"/>
                          </w:rPr>
                          <w:t>-</w:t>
                        </w:r>
                      </w:p>
                    </w:txbxContent>
                  </v:textbox>
                </v:rect>
                <v:rect id="Rectangle 17613" o:spid="_x0000_s3353" style="position:absolute;left:29035;top:31023;width:97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DEVxAAAAN4AAAAPAAAAZHJzL2Rvd25yZXYueG1sRE9Li8Iw&#10;EL4v7H8Is+BtTV1BpRplcZHtwcv6AI9DM7bVZhKaaKu/3iwI3ubje85s0ZlaXKnxlWUFg34Cgji3&#10;uuJCwW67+pyA8AFZY22ZFNzIw2L+/jbDVNuW/+i6CYWIIexTVFCG4FIpfV6SQd+3jjhyR9sYDBE2&#10;hdQNtjHc1PIrSUbSYMWxoURHy5Ly8+ZiFBx+2GWrVubH+9KtT9mk/r3s9kr1PrrvKYhAXXiJn+5M&#10;x/nj0WAI/+/EG+T8AQAA//8DAFBLAQItABQABgAIAAAAIQDb4fbL7gAAAIUBAAATAAAAAAAAAAAA&#10;AAAAAAAAAABbQ29udGVudF9UeXBlc10ueG1sUEsBAi0AFAAGAAgAAAAhAFr0LFu/AAAAFQEAAAsA&#10;AAAAAAAAAAAAAAAAHwEAAF9yZWxzLy5yZWxzUEsBAi0AFAAGAAgAAAAhAHxAMRXEAAAA3gAAAA8A&#10;AAAAAAAAAAAAAAAABwIAAGRycy9kb3ducmV2LnhtbFBLBQYAAAAAAwADALcAAAD4AgAAAAA=&#10;" filled="f" stroked="f">
                  <v:textbox inset="0,0,0,0">
                    <w:txbxContent>
                      <w:p w14:paraId="39DD6223" w14:textId="77777777" w:rsidR="00B32EF2" w:rsidRDefault="00000000">
                        <w:r>
                          <w:rPr>
                            <w:rFonts w:ascii="Arial" w:eastAsia="Arial" w:hAnsi="Arial" w:cs="Arial"/>
                            <w:i/>
                            <w:sz w:val="18"/>
                          </w:rPr>
                          <w:t>razioni stesse;</w:t>
                        </w:r>
                      </w:p>
                    </w:txbxContent>
                  </v:textbox>
                </v:rect>
                <v:rect id="Rectangle 200846" o:spid="_x0000_s3354" style="position:absolute;left:25385;top:29790;width:500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xrxgAAAN8AAAAPAAAAZHJzL2Rvd25yZXYueG1sRI9Pi8Iw&#10;FMTvC36H8IS9remKSOkaZVHEHrz4D/b4aJ5td5uX0ETb9dMbQfA4zMxvmNmiN424Uutrywo+RwkI&#10;4sLqmksFx8P6IwXhA7LGxjIp+CcPi/ngbYaZth3v6LoPpYgQ9hkqqEJwmZS+qMigH1lHHL2zbQ2G&#10;KNtS6ha7CDeNHCfJVBqsOS5U6GhZUfG3vxgFPyt2+bqTxfm2dNvfPG02l+NJqfdh//0FIlAfXuFn&#10;O9cKIjGdTOHxJ34BOb8DAAD//wMAUEsBAi0AFAAGAAgAAAAhANvh9svuAAAAhQEAABMAAAAAAAAA&#10;AAAAAAAAAAAAAFtDb250ZW50X1R5cGVzXS54bWxQSwECLQAUAAYACAAAACEAWvQsW78AAAAVAQAA&#10;CwAAAAAAAAAAAAAAAAAfAQAAX3JlbHMvLnJlbHNQSwECLQAUAAYACAAAACEAH78ca8YAAADfAAAA&#10;DwAAAAAAAAAAAAAAAAAHAgAAZHJzL2Rvd25yZXYueG1sUEsFBgAAAAADAAMAtwAAAPoCAAAAAA==&#10;" filled="f" stroked="f">
                  <v:textbox inset="0,0,0,0">
                    <w:txbxContent>
                      <w:p w14:paraId="1E5F8409" w14:textId="77777777" w:rsidR="00B32EF2" w:rsidRDefault="00000000">
                        <w:r>
                          <w:rPr>
                            <w:rFonts w:ascii="Arial" w:eastAsia="Arial" w:hAnsi="Arial" w:cs="Arial"/>
                            <w:i/>
                            <w:sz w:val="18"/>
                          </w:rPr>
                          <w:t>5)</w:t>
                        </w:r>
                      </w:p>
                    </w:txbxContent>
                  </v:textbox>
                </v:rect>
                <v:rect id="Rectangle 200847" o:spid="_x0000_s3355" style="position:absolute;left:-12229;top:29790;width:500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7nwxwAAAN8AAAAPAAAAZHJzL2Rvd25yZXYueG1sRI9Ba8JA&#10;FITvgv9heUJvumkpNaRuQrFIc/BSa6HHR/aZRLNvl+xqUn99tyB4HGbmG2ZVjKYTF+p9a1nB4yIB&#10;QVxZ3XKtYP+1macgfEDW2FkmBb/kocinkxVm2g78SZddqEWEsM9QQROCy6T0VUMG/cI64ugdbG8w&#10;RNnXUvc4RLjp5FOSvEiDLceFBh2tG6pOu7NR8PPOrtwMsjpc1257LNPu47z/VuphNr69ggg0hnv4&#10;1i61gkhMn5fw/yd+AZn/AQAA//8DAFBLAQItABQABgAIAAAAIQDb4fbL7gAAAIUBAAATAAAAAAAA&#10;AAAAAAAAAAAAAABbQ29udGVudF9UeXBlc10ueG1sUEsBAi0AFAAGAAgAAAAhAFr0LFu/AAAAFQEA&#10;AAsAAAAAAAAAAAAAAAAAHwEAAF9yZWxzLy5yZWxzUEsBAi0AFAAGAAgAAAAhAHDzufDHAAAA3wAA&#10;AA8AAAAAAAAAAAAAAAAABwIAAGRycy9kb3ducmV2LnhtbFBLBQYAAAAAAwADALcAAAD7AgAAAAA=&#10;" filled="f" stroked="f">
                  <v:textbox inset="0,0,0,0">
                    <w:txbxContent>
                      <w:p w14:paraId="6221C728" w14:textId="77777777" w:rsidR="00B32EF2" w:rsidRDefault="00000000">
                        <w:r>
                          <w:rPr>
                            <w:rFonts w:ascii="Arial" w:eastAsia="Arial" w:hAnsi="Arial" w:cs="Arial"/>
                            <w:i/>
                            <w:sz w:val="18"/>
                          </w:rPr>
                          <w:t xml:space="preserve"> richiedere agli organi e alle Amministrazioni dello Stato, agli enti pub</w:t>
                        </w:r>
                      </w:p>
                    </w:txbxContent>
                  </v:textbox>
                </v:rect>
                <v:rect id="Rectangle 17615" o:spid="_x0000_s3356" style="position:absolute;left:657;top:2979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Qz6xAAAAN4AAAAPAAAAZHJzL2Rvd25yZXYueG1sRE9Li8Iw&#10;EL4v7H8Is+BtTV3wQTXK4iLbg5f1AR6HZmyrzSQ00VZ/vVkQvM3H95zZojO1uFLjK8sKBv0EBHFu&#10;dcWFgt129TkB4QOyxtoyKbiRh8X8/W2GqbYt/9F1EwoRQ9inqKAMwaVS+rwkg75vHXHkjrYxGCJs&#10;CqkbbGO4qeVXkoykwYpjQ4mOliXl583FKDj8sMtWrcyP96Vbn7JJ/XvZ7ZXqfXTfUxCBuvASP92Z&#10;jvPHo8EQ/t+JN8j5AwAA//8DAFBLAQItABQABgAIAAAAIQDb4fbL7gAAAIUBAAATAAAAAAAAAAAA&#10;AAAAAAAAAABbQ29udGVudF9UeXBlc10ueG1sUEsBAi0AFAAGAAgAAAAhAFr0LFu/AAAAFQEAAAsA&#10;AAAAAAAAAAAAAAAAHwEAAF9yZWxzLy5yZWxzUEsBAi0AFAAGAAgAAAAhAJzlDPrEAAAA3gAAAA8A&#10;AAAAAAAAAAAAAAAABwIAAGRycy9kb3ducmV2LnhtbFBLBQYAAAAAAwADALcAAAD4AgAAAAA=&#10;" filled="f" stroked="f">
                  <v:textbox inset="0,0,0,0">
                    <w:txbxContent>
                      <w:p w14:paraId="3381F907" w14:textId="77777777" w:rsidR="00B32EF2" w:rsidRDefault="00000000">
                        <w:r>
                          <w:rPr>
                            <w:rFonts w:ascii="Arial" w:eastAsia="Arial" w:hAnsi="Arial" w:cs="Arial"/>
                            <w:i/>
                            <w:sz w:val="18"/>
                          </w:rPr>
                          <w:t>-</w:t>
                        </w:r>
                      </w:p>
                    </w:txbxContent>
                  </v:textbox>
                </v:rect>
                <v:rect id="Rectangle 17616" o:spid="_x0000_s3357" style="position:absolute;left:-12237;top:28556;width:512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5KNxAAAAN4AAAAPAAAAZHJzL2Rvd25yZXYueG1sRE9Na8JA&#10;EL0L/Q/LFLzpRg+ppK4iipiDl9oIHofsmKRmZ5fsamJ/fbdQ6G0e73OW68G04kGdbywrmE0TEMSl&#10;1Q1XCorP/WQBwgdkja1lUvAkD+vVy2iJmbY9f9DjFCoRQ9hnqKAOwWVS+rImg35qHXHkrrYzGCLs&#10;Kqk77GO4aeU8SVJpsOHYUKOjbU3l7XQ3Ci47dvm+l+X1e+uOX/miPdyLs1Lj12HzDiLQEP7Ff+5c&#10;x/lv6SyF33fiDXL1AwAA//8DAFBLAQItABQABgAIAAAAIQDb4fbL7gAAAIUBAAATAAAAAAAAAAAA&#10;AAAAAAAAAABbQ29udGVudF9UeXBlc10ueG1sUEsBAi0AFAAGAAgAAAAhAFr0LFu/AAAAFQEAAAsA&#10;AAAAAAAAAAAAAAAAHwEAAF9yZWxzLy5yZWxzUEsBAi0AFAAGAAgAAAAhAGw3ko3EAAAA3gAAAA8A&#10;AAAAAAAAAAAAAAAABwIAAGRycy9kb3ducmV2LnhtbFBLBQYAAAAAAwADALcAAAD4AgAAAAA=&#10;" filled="f" stroked="f">
                  <v:textbox inset="0,0,0,0">
                    <w:txbxContent>
                      <w:p w14:paraId="2B8C9784" w14:textId="77777777" w:rsidR="00B32EF2" w:rsidRDefault="00000000">
                        <w:r>
                          <w:rPr>
                            <w:rFonts w:ascii="Arial" w:eastAsia="Arial" w:hAnsi="Arial" w:cs="Arial"/>
                            <w:i/>
                            <w:sz w:val="18"/>
                          </w:rPr>
                          <w:t xml:space="preserve">blici non economici, alle società ed enti di assicurazione ed alle società </w:t>
                        </w:r>
                      </w:p>
                    </w:txbxContent>
                  </v:textbox>
                </v:rect>
                <v:rect id="Rectangle 17617" o:spid="_x0000_s3358" style="position:absolute;left:-12200;top:27323;width:510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zcWwwAAAN4AAAAPAAAAZHJzL2Rvd25yZXYueG1sRE9Li8Iw&#10;EL4v+B/CCHtbU/egUo0iimwPe/EFHodmbKvNJDTRdvfXG0HwNh/fc2aLztTiTo2vLCsYDhIQxLnV&#10;FRcKDvvN1wSED8gaa8uk4I88LOa9jxmm2ra8pfsuFCKGsE9RQRmCS6X0eUkG/cA64sidbWMwRNgU&#10;UjfYxnBTy+8kGUmDFceGEh2tSsqvu5tRcFqzyzatzM//K/d7ySb1z+1wVOqz3y2nIAJ14S1+uTMd&#10;549HwzE834k3yPkDAAD//wMAUEsBAi0AFAAGAAgAAAAhANvh9svuAAAAhQEAABMAAAAAAAAAAAAA&#10;AAAAAAAAAFtDb250ZW50X1R5cGVzXS54bWxQSwECLQAUAAYACAAAACEAWvQsW78AAAAVAQAACwAA&#10;AAAAAAAAAAAAAAAfAQAAX3JlbHMvLnJlbHNQSwECLQAUAAYACAAAACEAA3s3FsMAAADeAAAADwAA&#10;AAAAAAAAAAAAAAAHAgAAZHJzL2Rvd25yZXYueG1sUEsFBgAAAAADAAMAtwAAAPcCAAAAAA==&#10;" filled="f" stroked="f">
                  <v:textbox inset="0,0,0,0">
                    <w:txbxContent>
                      <w:p w14:paraId="73CF0928" w14:textId="77777777" w:rsidR="00B32EF2" w:rsidRDefault="00000000">
                        <w:r>
                          <w:rPr>
                            <w:rFonts w:ascii="Arial" w:eastAsia="Arial" w:hAnsi="Arial" w:cs="Arial"/>
                            <w:i/>
                            <w:sz w:val="18"/>
                          </w:rPr>
                          <w:t xml:space="preserve">ed enti che effettuano istituzionalmente riscossioni e pagamenti per conto </w:t>
                        </w:r>
                      </w:p>
                    </w:txbxContent>
                  </v:textbox>
                </v:rect>
                <v:rect id="Rectangle 17618" o:spid="_x0000_s3359" style="position:absolute;left:-12182;top:26090;width:509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KNkxwAAAN4AAAAPAAAAZHJzL2Rvd25yZXYueG1sRI9Pb8Iw&#10;DMXvk/YdIiPtNlJ2ANQREGJC62GX8Ufa0WpMW2icqAm026efD0jcbL3n935erAbXqht1sfFsYDLO&#10;QBGX3jZcGTjst69zUDEhW2w9k4FfirBaPj8tMLe+52+67VKlJIRjjgbqlEKudSxrchjHPhCLdvKd&#10;wyRrV2nbYS/hrtVvWTbVDhuWhhoDbWoqL7urM/DzwaHY9ro8/W3C17mYt5/Xw9GYl9GwfgeVaEgP&#10;8/26sII/m06EV96RGfTyHwAA//8DAFBLAQItABQABgAIAAAAIQDb4fbL7gAAAIUBAAATAAAAAAAA&#10;AAAAAAAAAAAAAABbQ29udGVudF9UeXBlc10ueG1sUEsBAi0AFAAGAAgAAAAhAFr0LFu/AAAAFQEA&#10;AAsAAAAAAAAAAAAAAAAAHwEAAF9yZWxzLy5yZWxzUEsBAi0AFAAGAAgAAAAhAHLko2THAAAA3gAA&#10;AA8AAAAAAAAAAAAAAAAABwIAAGRycy9kb3ducmV2LnhtbFBLBQYAAAAAAwADALcAAAD7AgAAAAA=&#10;" filled="f" stroked="f">
                  <v:textbox inset="0,0,0,0">
                    <w:txbxContent>
                      <w:p w14:paraId="3FA8E40C" w14:textId="77777777" w:rsidR="00B32EF2" w:rsidRDefault="00000000">
                        <w:r>
                          <w:rPr>
                            <w:rFonts w:ascii="Arial" w:eastAsia="Arial" w:hAnsi="Arial" w:cs="Arial"/>
                            <w:i/>
                            <w:sz w:val="18"/>
                          </w:rPr>
                          <w:t xml:space="preserve">terzi la comunicazione, anche in deroga a contrarie disposizioni legislative, </w:t>
                        </w:r>
                      </w:p>
                    </w:txbxContent>
                  </v:textbox>
                </v:rect>
                <v:rect id="Rectangle 17619" o:spid="_x0000_s3360" style="position:absolute;left:-11208;top:24857;width:5002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Ab/xAAAAN4AAAAPAAAAZHJzL2Rvd25yZXYueG1sRE9Li8Iw&#10;EL4v7H8II3jT1D242jWKuMj24MUX7HFoxrbaTEITbfXXbwRhb/PxPWe26EwtbtT4yrKC0TABQZxb&#10;XXGh4LBfDyYgfEDWWFsmBXfysJi/v80w1bblLd12oRAxhH2KCsoQXCqlz0sy6IfWEUfuZBuDIcKm&#10;kLrBNoabWn4kyVgarDg2lOhoVVJ+2V2Ngt9vdtm6lfnpsXKbczapf66Ho1L9Xrf8AhGoC//ilzvT&#10;cf7neDSF5zvxBjn/AwAA//8DAFBLAQItABQABgAIAAAAIQDb4fbL7gAAAIUBAAATAAAAAAAAAAAA&#10;AAAAAAAAAABbQ29udGVudF9UeXBlc10ueG1sUEsBAi0AFAAGAAgAAAAhAFr0LFu/AAAAFQEAAAsA&#10;AAAAAAAAAAAAAAAAHwEAAF9yZWxzLy5yZWxzUEsBAi0AFAAGAAgAAAAhAB2oBv/EAAAA3gAAAA8A&#10;AAAAAAAAAAAAAAAABwIAAGRycy9kb3ducmV2LnhtbFBLBQYAAAAAAwADALcAAAD4AgAAAAA=&#10;" filled="f" stroked="f">
                  <v:textbox inset="0,0,0,0">
                    <w:txbxContent>
                      <w:p w14:paraId="61DA80A4" w14:textId="77777777" w:rsidR="00B32EF2" w:rsidRDefault="00000000">
                        <w:r>
                          <w:rPr>
                            <w:rFonts w:ascii="Arial" w:eastAsia="Arial" w:hAnsi="Arial" w:cs="Arial"/>
                            <w:i/>
                            <w:sz w:val="18"/>
                          </w:rPr>
                          <w:t>statutarie o regolamentari, di dati e notizie relativi a soggetti indicati singo</w:t>
                        </w:r>
                      </w:p>
                    </w:txbxContent>
                  </v:textbox>
                </v:rect>
                <v:rect id="Rectangle 17620" o:spid="_x0000_s3361" style="position:absolute;left:657;top:24857;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XfxwAAAN4AAAAPAAAAZHJzL2Rvd25yZXYueG1sRI9Pb8Iw&#10;DMXvk/gOkZF2GykcGOoICDGh9bAL/6Qdrca03RonagLt9unxYRI3W35+7/2W68G16kZdbDwbmE4y&#10;UMSltw1XBk7H3csCVEzIFlvPZOCXIqxXo6cl5tb3vKfbIVVKTDjmaKBOKeRax7Imh3HiA7HcLr5z&#10;mGTtKm077MXctXqWZXPtsGFJqDHQtqby53B1Br7eORS7XpeXv234/C4W7cf1dDbmeTxs3kAlGtJD&#10;/P9dWKn/Op8JgODIDHp1BwAA//8DAFBLAQItABQABgAIAAAAIQDb4fbL7gAAAIUBAAATAAAAAAAA&#10;AAAAAAAAAAAAAABbQ29udGVudF9UeXBlc10ueG1sUEsBAi0AFAAGAAgAAAAhAFr0LFu/AAAAFQEA&#10;AAsAAAAAAAAAAAAAAAAAHwEAAF9yZWxzLy5yZWxzUEsBAi0AFAAGAAgAAAAhAEL+Zd/HAAAA3gAA&#10;AA8AAAAAAAAAAAAAAAAABwIAAGRycy9kb3ducmV2LnhtbFBLBQYAAAAAAwADALcAAAD7AgAAAAA=&#10;" filled="f" stroked="f">
                  <v:textbox inset="0,0,0,0">
                    <w:txbxContent>
                      <w:p w14:paraId="2C9E4046" w14:textId="77777777" w:rsidR="00B32EF2" w:rsidRDefault="00000000">
                        <w:r>
                          <w:rPr>
                            <w:rFonts w:ascii="Arial" w:eastAsia="Arial" w:hAnsi="Arial" w:cs="Arial"/>
                            <w:i/>
                            <w:sz w:val="18"/>
                          </w:rPr>
                          <w:t>-</w:t>
                        </w:r>
                      </w:p>
                    </w:txbxContent>
                  </v:textbox>
                </v:rect>
                <v:rect id="Rectangle 17621" o:spid="_x0000_s3362" style="position:absolute;left:-12205;top:23623;width:510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sBExAAAAN4AAAAPAAAAZHJzL2Rvd25yZXYueG1sRE9Li8Iw&#10;EL4v+B/CCHtbUz24Uo0iimwPXtYHeByasa02k9BEW/fXbwTB23x8z5ktOlOLOzW+sqxgOEhAEOdW&#10;V1woOOw3XxMQPiBrrC2Tggd5WMx7HzNMtW35l+67UIgYwj5FBWUILpXS5yUZ9APriCN3to3BEGFT&#10;SN1gG8NNLUdJMpYGK44NJTpalZRfdzej4LRml21amZ//Vm57ySb1z+1wVOqz3y2nIAJ14S1+uTMd&#10;53+PR0N4vhNvkPN/AAAA//8DAFBLAQItABQABgAIAAAAIQDb4fbL7gAAAIUBAAATAAAAAAAAAAAA&#10;AAAAAAAAAABbQ29udGVudF9UeXBlc10ueG1sUEsBAi0AFAAGAAgAAAAhAFr0LFu/AAAAFQEAAAsA&#10;AAAAAAAAAAAAAAAAHwEAAF9yZWxzLy5yZWxzUEsBAi0AFAAGAAgAAAAhAC2ywETEAAAA3gAAAA8A&#10;AAAAAAAAAAAAAAAABwIAAGRycy9kb3ducmV2LnhtbFBLBQYAAAAAAwADALcAAAD4AgAAAAA=&#10;" filled="f" stroked="f">
                  <v:textbox inset="0,0,0,0">
                    <w:txbxContent>
                      <w:p w14:paraId="06E224E8" w14:textId="77777777" w:rsidR="00B32EF2" w:rsidRDefault="00000000">
                        <w:r>
                          <w:rPr>
                            <w:rFonts w:ascii="Arial" w:eastAsia="Arial" w:hAnsi="Arial" w:cs="Arial"/>
                            <w:i/>
                            <w:sz w:val="18"/>
                          </w:rPr>
                          <w:t xml:space="preserve">larmente o per categorie. Alle società ed enti di assicurazione, per quanto </w:t>
                        </w:r>
                      </w:p>
                    </w:txbxContent>
                  </v:textbox>
                </v:rect>
                <v:rect id="Rectangle 17622" o:spid="_x0000_s3363" style="position:absolute;left:-12186;top:22390;width:510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4zxAAAAN4AAAAPAAAAZHJzL2Rvd25yZXYueG1sRE9Na8JA&#10;EL0X/A/LFLzVTXOwkrqKKGIOXmojeByyY5KanV2yq4n+erdQ6G0e73Pmy8G04kadbywreJ8kIIhL&#10;qxuuFBTf27cZCB+QNbaWScGdPCwXo5c5Ztr2/EW3Q6hEDGGfoYI6BJdJ6cuaDPqJdcSRO9vOYIiw&#10;q6TusI/hppVpkkylwYZjQ42O1jWVl8PVKDht2OXbXpbnx9rtf/JZu7sWR6XGr8PqE0SgIfyL/9y5&#10;jvM/pmkKv+/EG+TiCQAA//8DAFBLAQItABQABgAIAAAAIQDb4fbL7gAAAIUBAAATAAAAAAAAAAAA&#10;AAAAAAAAAABbQ29udGVudF9UeXBlc10ueG1sUEsBAi0AFAAGAAgAAAAhAFr0LFu/AAAAFQEAAAsA&#10;AAAAAAAAAAAAAAAAHwEAAF9yZWxzLy5yZWxzUEsBAi0AFAAGAAgAAAAhAN1gXjPEAAAA3gAAAA8A&#10;AAAAAAAAAAAAAAAABwIAAGRycy9kb3ducmV2LnhtbFBLBQYAAAAAAwADALcAAAD4AgAAAAA=&#10;" filled="f" stroked="f">
                  <v:textbox inset="0,0,0,0">
                    <w:txbxContent>
                      <w:p w14:paraId="3EF24620" w14:textId="77777777" w:rsidR="00B32EF2" w:rsidRDefault="00000000">
                        <w:r>
                          <w:rPr>
                            <w:rFonts w:ascii="Arial" w:eastAsia="Arial" w:hAnsi="Arial" w:cs="Arial"/>
                            <w:i/>
                            <w:sz w:val="18"/>
                          </w:rPr>
                          <w:t xml:space="preserve">riguarda i rapporti con gli assicurati del ramo vita, possono essere richiesti </w:t>
                        </w:r>
                      </w:p>
                    </w:txbxContent>
                  </v:textbox>
                </v:rect>
                <v:rect id="Rectangle 17623" o:spid="_x0000_s3364" style="position:absolute;left:-11230;top:21157;width:500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uoxAAAAN4AAAAPAAAAZHJzL2Rvd25yZXYueG1sRE9Ni8Iw&#10;EL0L/ocwgjdNVXClaxRRxB72sq4Lexyasa02k9BEW/31m4UFb/N4n7Ncd6YWd2p8ZVnBZJyAIM6t&#10;rrhQcPrajxYgfEDWWFsmBQ/ysF71e0tMtW35k+7HUIgYwj5FBWUILpXS5yUZ9GPriCN3to3BEGFT&#10;SN1gG8NNLadJMpcGK44NJTralpRfjzej4GfHLtu3Mj8/t+7jki3qw+30rdRw0G3eQQTqwkv87850&#10;nP82n87g7514g1z9AgAA//8DAFBLAQItABQABgAIAAAAIQDb4fbL7gAAAIUBAAATAAAAAAAAAAAA&#10;AAAAAAAAAABbQ29udGVudF9UeXBlc10ueG1sUEsBAi0AFAAGAAgAAAAhAFr0LFu/AAAAFQEAAAsA&#10;AAAAAAAAAAAAAAAAHwEAAF9yZWxzLy5yZWxzUEsBAi0AFAAGAAgAAAAhALIs+6jEAAAA3gAAAA8A&#10;AAAAAAAAAAAAAAAABwIAAGRycy9kb3ducmV2LnhtbFBLBQYAAAAAAwADALcAAAD4AgAAAAA=&#10;" filled="f" stroked="f">
                  <v:textbox inset="0,0,0,0">
                    <w:txbxContent>
                      <w:p w14:paraId="0FD051BB" w14:textId="77777777" w:rsidR="00B32EF2" w:rsidRDefault="00000000">
                        <w:r>
                          <w:rPr>
                            <w:rFonts w:ascii="Arial" w:eastAsia="Arial" w:hAnsi="Arial" w:cs="Arial"/>
                            <w:i/>
                            <w:sz w:val="18"/>
                          </w:rPr>
                          <w:t>dati e notizie attinenti esclusivamente alla durata del contratto di assicura</w:t>
                        </w:r>
                      </w:p>
                    </w:txbxContent>
                  </v:textbox>
                </v:rect>
                <v:rect id="Rectangle 17624" o:spid="_x0000_s3365" style="position:absolute;left:657;top:2115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WPcxAAAAN4AAAAPAAAAZHJzL2Rvd25yZXYueG1sRE9Ni8Iw&#10;EL0L/ocwgjdNFXGlaxRRxB72sq4Lexyasa02k9BEW/31m4UFb/N4n7Ncd6YWd2p8ZVnBZJyAIM6t&#10;rrhQcPrajxYgfEDWWFsmBQ/ysF71e0tMtW35k+7HUIgYwj5FBWUILpXS5yUZ9GPriCN3to3BEGFT&#10;SN1gG8NNLadJMpcGK44NJTralpRfjzej4GfHLtu3Mj8/t+7jki3qw+30rdRw0G3eQQTqwkv87850&#10;nP82n87g7514g1z9AgAA//8DAFBLAQItABQABgAIAAAAIQDb4fbL7gAAAIUBAAATAAAAAAAAAAAA&#10;AAAAAAAAAABbQ29udGVudF9UeXBlc10ueG1sUEsBAi0AFAAGAAgAAAAhAFr0LFu/AAAAFQEAAAsA&#10;AAAAAAAAAAAAAAAAHwEAAF9yZWxzLy5yZWxzUEsBAi0AFAAGAAgAAAAhAD3FY9zEAAAA3gAAAA8A&#10;AAAAAAAAAAAAAAAABwIAAGRycy9kb3ducmV2LnhtbFBLBQYAAAAAAwADALcAAAD4AgAAAAA=&#10;" filled="f" stroked="f">
                  <v:textbox inset="0,0,0,0">
                    <w:txbxContent>
                      <w:p w14:paraId="2844ACA1" w14:textId="77777777" w:rsidR="00B32EF2" w:rsidRDefault="00000000">
                        <w:r>
                          <w:rPr>
                            <w:rFonts w:ascii="Arial" w:eastAsia="Arial" w:hAnsi="Arial" w:cs="Arial"/>
                            <w:i/>
                            <w:sz w:val="18"/>
                          </w:rPr>
                          <w:t>-</w:t>
                        </w:r>
                      </w:p>
                    </w:txbxContent>
                  </v:textbox>
                </v:rect>
                <v:rect id="Rectangle 17625" o:spid="_x0000_s3366" style="position:absolute;left:-12186;top:19923;width:509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cZHxAAAAN4AAAAPAAAAZHJzL2Rvd25yZXYueG1sRE9Ni8Iw&#10;EL0L/ocwgjdNFXSlaxRRxB72sq4Lexyasa02k9BEW/31m4UFb/N4n7Ncd6YWd2p8ZVnBZJyAIM6t&#10;rrhQcPrajxYgfEDWWFsmBQ/ysF71e0tMtW35k+7HUIgYwj5FBWUILpXS5yUZ9GPriCN3to3BEGFT&#10;SN1gG8NNLadJMpcGK44NJTralpRfjzej4GfHLtu3Mj8/t+7jki3qw+30rdRw0G3eQQTqwkv87850&#10;nP82n87g7514g1z9AgAA//8DAFBLAQItABQABgAIAAAAIQDb4fbL7gAAAIUBAAATAAAAAAAAAAAA&#10;AAAAAAAAAABbQ29udGVudF9UeXBlc10ueG1sUEsBAi0AFAAGAAgAAAAhAFr0LFu/AAAAFQEAAAsA&#10;AAAAAAAAAAAAAAAAHwEAAF9yZWxzLy5yZWxzUEsBAi0AFAAGAAgAAAAhAFKJxkfEAAAA3gAAAA8A&#10;AAAAAAAAAAAAAAAABwIAAGRycy9kb3ducmV2LnhtbFBLBQYAAAAAAwADALcAAAD4AgAAAAA=&#10;" filled="f" stroked="f">
                  <v:textbox inset="0,0,0,0">
                    <w:txbxContent>
                      <w:p w14:paraId="1946494B" w14:textId="77777777" w:rsidR="00B32EF2" w:rsidRDefault="00000000">
                        <w:r>
                          <w:rPr>
                            <w:rFonts w:ascii="Arial" w:eastAsia="Arial" w:hAnsi="Arial" w:cs="Arial"/>
                            <w:i/>
                            <w:sz w:val="18"/>
                          </w:rPr>
                          <w:t xml:space="preserve">zione, all’ammontare del premio e alla individuazione del soggetto tenuto a </w:t>
                        </w:r>
                      </w:p>
                    </w:txbxContent>
                  </v:textbox>
                </v:rect>
                <v:rect id="Rectangle 17626" o:spid="_x0000_s3367" style="position:absolute;left:-11218;top:18690;width:500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1gwxAAAAN4AAAAPAAAAZHJzL2Rvd25yZXYueG1sRE9Na8JA&#10;EL0X/A/LFLzVTT2kkrqKKGIOXmojeByyY5KanV2yq4n+erdQ6G0e73Pmy8G04kadbywreJ8kIIhL&#10;qxuuFBTf27cZCB+QNbaWScGdPCwXo5c5Ztr2/EW3Q6hEDGGfoYI6BJdJ6cuaDPqJdcSRO9vOYIiw&#10;q6TusI/hppXTJEmlwYZjQ42O1jWVl8PVKDht2OXbXpbnx9rtf/JZu7sWR6XGr8PqE0SgIfyL/9y5&#10;jvM/0mkKv+/EG+TiCQAA//8DAFBLAQItABQABgAIAAAAIQDb4fbL7gAAAIUBAAATAAAAAAAAAAAA&#10;AAAAAAAAAABbQ29udGVudF9UeXBlc10ueG1sUEsBAi0AFAAGAAgAAAAhAFr0LFu/AAAAFQEAAAsA&#10;AAAAAAAAAAAAAAAAHwEAAF9yZWxzLy5yZWxzUEsBAi0AFAAGAAgAAAAhAKJbWDDEAAAA3gAAAA8A&#10;AAAAAAAAAAAAAAAABwIAAGRycy9kb3ducmV2LnhtbFBLBQYAAAAAAwADALcAAAD4AgAAAAA=&#10;" filled="f" stroked="f">
                  <v:textbox inset="0,0,0,0">
                    <w:txbxContent>
                      <w:p w14:paraId="36D6661E" w14:textId="77777777" w:rsidR="00B32EF2" w:rsidRDefault="00000000">
                        <w:r>
                          <w:rPr>
                            <w:rFonts w:ascii="Arial" w:eastAsia="Arial" w:hAnsi="Arial" w:cs="Arial"/>
                            <w:i/>
                            <w:sz w:val="18"/>
                          </w:rPr>
                          <w:t>corrisponderlo. Le informazioni sulla categoria devono essere fornite, a se</w:t>
                        </w:r>
                      </w:p>
                    </w:txbxContent>
                  </v:textbox>
                </v:rect>
                <v:rect id="Rectangle 17627" o:spid="_x0000_s3368" style="position:absolute;left:657;top:1869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2rxAAAAN4AAAAPAAAAZHJzL2Rvd25yZXYueG1sRE9Li8Iw&#10;EL4v+B/CCN7WVA8q1SiiiD3sZX2Ax6EZ22ozCU20dX/9ZmHB23x8z1msOlOLJzW+sqxgNExAEOdW&#10;V1woOB13nzMQPiBrrC2Tghd5WC17HwtMtW35m56HUIgYwj5FBWUILpXS5yUZ9EPriCN3tY3BEGFT&#10;SN1gG8NNLcdJMpEGK44NJTralJTfDw+j4LJll+1amV9/Nu7rls3q/eN0VmrQ79ZzEIG68Bb/uzMd&#10;508n4yn8vRNvkMtfAAAA//8DAFBLAQItABQABgAIAAAAIQDb4fbL7gAAAIUBAAATAAAAAAAAAAAA&#10;AAAAAAAAAABbQ29udGVudF9UeXBlc10ueG1sUEsBAi0AFAAGAAgAAAAhAFr0LFu/AAAAFQEAAAsA&#10;AAAAAAAAAAAAAAAAHwEAAF9yZWxzLy5yZWxzUEsBAi0AFAAGAAgAAAAhAM0X/avEAAAA3gAAAA8A&#10;AAAAAAAAAAAAAAAABwIAAGRycy9kb3ducmV2LnhtbFBLBQYAAAAAAwADALcAAAD4AgAAAAA=&#10;" filled="f" stroked="f">
                  <v:textbox inset="0,0,0,0">
                    <w:txbxContent>
                      <w:p w14:paraId="72FC8B6B" w14:textId="77777777" w:rsidR="00B32EF2" w:rsidRDefault="00000000">
                        <w:r>
                          <w:rPr>
                            <w:rFonts w:ascii="Arial" w:eastAsia="Arial" w:hAnsi="Arial" w:cs="Arial"/>
                            <w:i/>
                            <w:sz w:val="18"/>
                          </w:rPr>
                          <w:t>-</w:t>
                        </w:r>
                      </w:p>
                    </w:txbxContent>
                  </v:textbox>
                </v:rect>
                <v:rect id="Rectangle 17628" o:spid="_x0000_s3369" style="position:absolute;left:-12189;top:17457;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GnZxwAAAN4AAAAPAAAAZHJzL2Rvd25yZXYueG1sRI9Pb8Iw&#10;DMXvk/gOkZF2GykcGOoICDGh9bAL/6Qdrca03RonagLt9unxYRI3W+/5vZ+X68G16kZdbDwbmE4y&#10;UMSltw1XBk7H3csCVEzIFlvPZOCXIqxXo6cl5tb3vKfbIVVKQjjmaKBOKeRax7Imh3HiA7FoF985&#10;TLJ2lbYd9hLuWj3Lsrl22LA01BhoW1P5c7g6A1/vHIpdr8vL3zZ8fheL9uN6OhvzPB42b6ASDelh&#10;/r8urOC/zmfCK+/IDHp1BwAA//8DAFBLAQItABQABgAIAAAAIQDb4fbL7gAAAIUBAAATAAAAAAAA&#10;AAAAAAAAAAAAAABbQ29udGVudF9UeXBlc10ueG1sUEsBAi0AFAAGAAgAAAAhAFr0LFu/AAAAFQEA&#10;AAsAAAAAAAAAAAAAAAAAHwEAAF9yZWxzLy5yZWxzUEsBAi0AFAAGAAgAAAAhALyIadnHAAAA3gAA&#10;AA8AAAAAAAAAAAAAAAAABwIAAGRycy9kb3ducmV2LnhtbFBLBQYAAAAAAwADALcAAAD7AgAAAAA=&#10;" filled="f" stroked="f">
                  <v:textbox inset="0,0,0,0">
                    <w:txbxContent>
                      <w:p w14:paraId="32DD1E08" w14:textId="77777777" w:rsidR="00B32EF2" w:rsidRDefault="00000000">
                        <w:r>
                          <w:rPr>
                            <w:rFonts w:ascii="Arial" w:eastAsia="Arial" w:hAnsi="Arial" w:cs="Arial"/>
                            <w:i/>
                            <w:sz w:val="18"/>
                          </w:rPr>
                          <w:t xml:space="preserve">conda della richiesta, cumulativamente o specificamente per ogni soggetto </w:t>
                        </w:r>
                      </w:p>
                    </w:txbxContent>
                  </v:textbox>
                </v:rect>
                <v:rect id="Rectangle 17629" o:spid="_x0000_s3370" style="position:absolute;left:-12224;top:16223;width:511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MxCxAAAAN4AAAAPAAAAZHJzL2Rvd25yZXYueG1sRE9Ni8Iw&#10;EL0v+B/CCN401YPrdo0iitiDl1UX9jg0Y1ttJqGJtvrrNwvC3ubxPme+7Ewt7tT4yrKC8SgBQZxb&#10;XXGh4HTcDmcgfEDWWFsmBQ/ysFz03uaYatvyF90PoRAxhH2KCsoQXCqlz0sy6EfWEUfubBuDIcKm&#10;kLrBNoabWk6SZCoNVhwbSnS0Lim/Hm5Gwc+GXbZtZX5+rt3+ks3q3e30rdSg360+QQTqwr/45c50&#10;nP8+nXzA3zvxBrn4BQAA//8DAFBLAQItABQABgAIAAAAIQDb4fbL7gAAAIUBAAATAAAAAAAAAAAA&#10;AAAAAAAAAABbQ29udGVudF9UeXBlc10ueG1sUEsBAi0AFAAGAAgAAAAhAFr0LFu/AAAAFQEAAAsA&#10;AAAAAAAAAAAAAAAAHwEAAF9yZWxzLy5yZWxzUEsBAi0AFAAGAAgAAAAhANPEzELEAAAA3gAAAA8A&#10;AAAAAAAAAAAAAAAABwIAAGRycy9kb3ducmV2LnhtbFBLBQYAAAAAAwADALcAAAD4AgAAAAA=&#10;" filled="f" stroked="f">
                  <v:textbox inset="0,0,0,0">
                    <w:txbxContent>
                      <w:p w14:paraId="13A39405" w14:textId="77777777" w:rsidR="00B32EF2" w:rsidRDefault="00000000">
                        <w:r>
                          <w:rPr>
                            <w:rFonts w:ascii="Arial" w:eastAsia="Arial" w:hAnsi="Arial" w:cs="Arial"/>
                            <w:i/>
                            <w:sz w:val="18"/>
                          </w:rPr>
                          <w:t xml:space="preserve">che ne fa parte. Questa disposizione non si applica all’Istituto centrale di </w:t>
                        </w:r>
                      </w:p>
                    </w:txbxContent>
                  </v:textbox>
                </v:rect>
                <v:rect id="Rectangle 17630" o:spid="_x0000_s3371" style="position:absolute;left:-12203;top:14990;width:510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MCxwAAAN4AAAAPAAAAZHJzL2Rvd25yZXYueG1sRI9Ba8JA&#10;EIXvQv/DMoXedFMLKqmrFIuYg5eqhR6H7Jikzc4u2dWk/fXOoeBthnnz3vuW68G16kpdbDwbeJ5k&#10;oIhLbxuuDJyO2/ECVEzIFlvPZOCXIqxXD6Ml5tb3/EHXQ6qUmHDM0UCdUsi1jmVNDuPEB2K5nX3n&#10;MMnaVdp22Iu5a/U0y2baYcOSUGOgTU3lz+HiDHy9cyi2vS7Pf5uw/y4W7e5y+jTm6XF4ewWVaEh3&#10;8f93YaX+fPYiAIIjM+jVDQAA//8DAFBLAQItABQABgAIAAAAIQDb4fbL7gAAAIUBAAATAAAAAAAA&#10;AAAAAAAAAAAAAABbQ29udGVudF9UeXBlc10ueG1sUEsBAi0AFAAGAAgAAAAhAFr0LFu/AAAAFQEA&#10;AAsAAAAAAAAAAAAAAAAAHwEAAF9yZWxzLy5yZWxzUEsBAi0AFAAGAAgAAAAhAMcn8wLHAAAA3gAA&#10;AA8AAAAAAAAAAAAAAAAABwIAAGRycy9kb3ducmV2LnhtbFBLBQYAAAAAAwADALcAAAD7AgAAAAA=&#10;" filled="f" stroked="f">
                  <v:textbox inset="0,0,0,0">
                    <w:txbxContent>
                      <w:p w14:paraId="0DE4BA33" w14:textId="77777777" w:rsidR="00B32EF2" w:rsidRDefault="00000000">
                        <w:r>
                          <w:rPr>
                            <w:rFonts w:ascii="Arial" w:eastAsia="Arial" w:hAnsi="Arial" w:cs="Arial"/>
                            <w:i/>
                            <w:sz w:val="18"/>
                          </w:rPr>
                          <w:t xml:space="preserve">statistica e agli ispettorati del lavoro per quanto riguarda le rilevazioni loro </w:t>
                        </w:r>
                      </w:p>
                    </w:txbxContent>
                  </v:textbox>
                </v:rect>
                <v:rect id="Rectangle 17631" o:spid="_x0000_s3372" style="position:absolute;left:-12177;top:13757;width:509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1aZxAAAAN4AAAAPAAAAZHJzL2Rvd25yZXYueG1sRE9Li8Iw&#10;EL4v7H8Is+BtTV1BpRplcZHtwcv6AI9DM7bVZhKaaKu/3iwI3ubje85s0ZlaXKnxlWUFg34Cgji3&#10;uuJCwW67+pyA8AFZY22ZFNzIw2L+/jbDVNuW/+i6CYWIIexTVFCG4FIpfV6SQd+3jjhyR9sYDBE2&#10;hdQNtjHc1PIrSUbSYMWxoURHy5Ly8+ZiFBx+2GWrVubH+9KtT9mk/r3s9kr1PrrvKYhAXXiJn+5M&#10;x/nj0XAA/+/EG+T8AQAA//8DAFBLAQItABQABgAIAAAAIQDb4fbL7gAAAIUBAAATAAAAAAAAAAAA&#10;AAAAAAAAAABbQ29udGVudF9UeXBlc10ueG1sUEsBAi0AFAAGAAgAAAAhAFr0LFu/AAAAFQEAAAsA&#10;AAAAAAAAAAAAAAAAHwEAAF9yZWxzLy5yZWxzUEsBAi0AFAAGAAgAAAAhAKhrVpnEAAAA3gAAAA8A&#10;AAAAAAAAAAAAAAAABwIAAGRycy9kb3ducmV2LnhtbFBLBQYAAAAAAwADALcAAAD4AgAAAAA=&#10;" filled="f" stroked="f">
                  <v:textbox inset="0,0,0,0">
                    <w:txbxContent>
                      <w:p w14:paraId="046B82E4" w14:textId="77777777" w:rsidR="00B32EF2" w:rsidRDefault="00000000">
                        <w:r>
                          <w:rPr>
                            <w:rFonts w:ascii="Arial" w:eastAsia="Arial" w:hAnsi="Arial" w:cs="Arial"/>
                            <w:i/>
                            <w:sz w:val="18"/>
                          </w:rPr>
                          <w:t xml:space="preserve">commesse dalla legge e, salvo il disposto del n. 7), alle banche, alla società </w:t>
                        </w:r>
                      </w:p>
                    </w:txbxContent>
                  </v:textbox>
                </v:rect>
                <v:rect id="Rectangle 17632" o:spid="_x0000_s3373" style="position:absolute;left:-12191;top:12524;width:510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cjuxAAAAN4AAAAPAAAAZHJzL2Rvd25yZXYueG1sRE9Ni8Iw&#10;EL0L/ocwgjdNVXClaxRRxB72sq4Lexyasa02k9BEW/31m4UFb/N4n7Ncd6YWd2p8ZVnBZJyAIM6t&#10;rrhQcPrajxYgfEDWWFsmBQ/ysF71e0tMtW35k+7HUIgYwj5FBWUILpXS5yUZ9GPriCN3to3BEGFT&#10;SN1gG8NNLadJMpcGK44NJTralpRfjzej4GfHLtu3Mj8/t+7jki3qw+30rdRw0G3eQQTqwkv87850&#10;nP82n03h7514g1z9AgAA//8DAFBLAQItABQABgAIAAAAIQDb4fbL7gAAAIUBAAATAAAAAAAAAAAA&#10;AAAAAAAAAABbQ29udGVudF9UeXBlc10ueG1sUEsBAi0AFAAGAAgAAAAhAFr0LFu/AAAAFQEAAAsA&#10;AAAAAAAAAAAAAAAAHwEAAF9yZWxzLy5yZWxzUEsBAi0AFAAGAAgAAAAhAFi5yO7EAAAA3gAAAA8A&#10;AAAAAAAAAAAAAAAABwIAAGRycy9kb3ducmV2LnhtbFBLBQYAAAAAAwADALcAAAD4AgAAAAA=&#10;" filled="f" stroked="f">
                  <v:textbox inset="0,0,0,0">
                    <w:txbxContent>
                      <w:p w14:paraId="4414A9EA" w14:textId="77777777" w:rsidR="00B32EF2" w:rsidRDefault="00000000">
                        <w:r>
                          <w:rPr>
                            <w:rFonts w:ascii="Arial" w:eastAsia="Arial" w:hAnsi="Arial" w:cs="Arial"/>
                            <w:i/>
                            <w:sz w:val="18"/>
                          </w:rPr>
                          <w:t xml:space="preserve">Poste italiane Spa, per le attività finanziarie e creditizie, alle società ed enti </w:t>
                        </w:r>
                      </w:p>
                    </w:txbxContent>
                  </v:textbox>
                </v:rect>
                <v:rect id="Rectangle 17633" o:spid="_x0000_s3374" style="position:absolute;left:-12190;top:11290;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11xAAAAN4AAAAPAAAAZHJzL2Rvd25yZXYueG1sRE9Ni8Iw&#10;EL0L/ocwgjdNVXClaxRRxB72sq4Lexyasa02k9BEW/31m4UFb/N4n7Ncd6YWd2p8ZVnBZJyAIM6t&#10;rrhQcPrajxYgfEDWWFsmBQ/ysF71e0tMtW35k+7HUIgYwj5FBWUILpXS5yUZ9GPriCN3to3BEGFT&#10;SN1gG8NNLadJMpcGK44NJTralpRfjzej4GfHLtu3Mj8/t+7jki3qw+30rdRw0G3eQQTqwkv87850&#10;nP82n83g7514g1z9AgAA//8DAFBLAQItABQABgAIAAAAIQDb4fbL7gAAAIUBAAATAAAAAAAAAAAA&#10;AAAAAAAAAABbQ29udGVudF9UeXBlc10ueG1sUEsBAi0AFAAGAAgAAAAhAFr0LFu/AAAAFQEAAAsA&#10;AAAAAAAAAAAAAAAAHwEAAF9yZWxzLy5yZWxzUEsBAi0AFAAGAAgAAAAhADf1bXXEAAAA3gAAAA8A&#10;AAAAAAAAAAAAAAAABwIAAGRycy9kb3ducmV2LnhtbFBLBQYAAAAAAwADALcAAAD4AgAAAAA=&#10;" filled="f" stroked="f">
                  <v:textbox inset="0,0,0,0">
                    <w:txbxContent>
                      <w:p w14:paraId="65771C2E" w14:textId="77777777" w:rsidR="00B32EF2" w:rsidRDefault="00000000">
                        <w:r>
                          <w:rPr>
                            <w:rFonts w:ascii="Arial" w:eastAsia="Arial" w:hAnsi="Arial" w:cs="Arial"/>
                            <w:i/>
                            <w:sz w:val="18"/>
                          </w:rPr>
                          <w:t xml:space="preserve">di assicurazione per le attività finanziarie, agli intermediari finanziari, alle </w:t>
                        </w:r>
                      </w:p>
                    </w:txbxContent>
                  </v:textbox>
                </v:rect>
                <v:rect id="Rectangle 17634" o:spid="_x0000_s3375" style="position:absolute;left:-11299;top:10057;width:501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PUBxQAAAN4AAAAPAAAAZHJzL2Rvd25yZXYueG1sRE9La8JA&#10;EL4L/odlBG+6aSsq0VWKRcyhl/oAj0N2TGKzs0t2NbG/vlsoeJuP7znLdWdqcafGV5YVvIwTEMS5&#10;1RUXCo6H7WgOwgdkjbVlUvAgD+tVv7fEVNuWv+i+D4WIIexTVFCG4FIpfV6SQT+2jjhyF9sYDBE2&#10;hdQNtjHc1PI1SabSYMWxoURHm5Ly7/3NKDh/sMu2rcwvPxv3ec3m9e52PCk1HHTvCxCBuvAU/7sz&#10;HefPpm8T+Hsn3iBXvwAAAP//AwBQSwECLQAUAAYACAAAACEA2+H2y+4AAACFAQAAEwAAAAAAAAAA&#10;AAAAAAAAAAAAW0NvbnRlbnRfVHlwZXNdLnhtbFBLAQItABQABgAIAAAAIQBa9CxbvwAAABUBAAAL&#10;AAAAAAAAAAAAAAAAAB8BAABfcmVscy8ucmVsc1BLAQItABQABgAIAAAAIQC4HPUBxQAAAN4AAAAP&#10;AAAAAAAAAAAAAAAAAAcCAABkcnMvZG93bnJldi54bWxQSwUGAAAAAAMAAwC3AAAA+QIAAAAA&#10;" filled="f" stroked="f">
                  <v:textbox inset="0,0,0,0">
                    <w:txbxContent>
                      <w:p w14:paraId="630297B9" w14:textId="77777777" w:rsidR="00B32EF2" w:rsidRDefault="00000000">
                        <w:r>
                          <w:rPr>
                            <w:rFonts w:ascii="Arial" w:eastAsia="Arial" w:hAnsi="Arial" w:cs="Arial"/>
                            <w:i/>
                            <w:sz w:val="18"/>
                          </w:rPr>
                          <w:t>imprese di investimento, agli organismi di investimento collettivo del rispar</w:t>
                        </w:r>
                      </w:p>
                    </w:txbxContent>
                  </v:textbox>
                </v:rect>
                <v:rect id="Rectangle 17635" o:spid="_x0000_s3376" style="position:absolute;left:657;top:1005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FCaxQAAAN4AAAAPAAAAZHJzL2Rvd25yZXYueG1sRE9La8JA&#10;EL4L/odlBG+6aYsPoqsUi5hDL/UBHofsmMRmZ5fsamJ/fbdQ8DYf33OW687U4k6NrywreBknIIhz&#10;qysuFBwP29EchA/IGmvLpOBBHtarfm+JqbYtf9F9HwoRQ9inqKAMwaVS+rwkg35sHXHkLrYxGCJs&#10;CqkbbGO4qeVrkkylwYpjQ4mONiXl3/ubUXD+YJdtW5lffjbu85rN693teFJqOOjeFyACdeEp/ndn&#10;Os6fTd8m8PdOvEGufgEAAP//AwBQSwECLQAUAAYACAAAACEA2+H2y+4AAACFAQAAEwAAAAAAAAAA&#10;AAAAAAAAAAAAW0NvbnRlbnRfVHlwZXNdLnhtbFBLAQItABQABgAIAAAAIQBa9CxbvwAAABUBAAAL&#10;AAAAAAAAAAAAAAAAAB8BAABfcmVscy8ucmVsc1BLAQItABQABgAIAAAAIQDXUFCaxQAAAN4AAAAP&#10;AAAAAAAAAAAAAAAAAAcCAABkcnMvZG93bnJldi54bWxQSwUGAAAAAAMAAwC3AAAA+QIAAAAA&#10;" filled="f" stroked="f">
                  <v:textbox inset="0,0,0,0">
                    <w:txbxContent>
                      <w:p w14:paraId="4F272843" w14:textId="77777777" w:rsidR="00B32EF2" w:rsidRDefault="00000000">
                        <w:r>
                          <w:rPr>
                            <w:rFonts w:ascii="Arial" w:eastAsia="Arial" w:hAnsi="Arial" w:cs="Arial"/>
                            <w:i/>
                            <w:sz w:val="18"/>
                          </w:rPr>
                          <w:t>-</w:t>
                        </w:r>
                      </w:p>
                    </w:txbxContent>
                  </v:textbox>
                </v:rect>
                <v:rect id="Rectangle 17636" o:spid="_x0000_s3377" style="position:absolute;left:-5784;top:8824;width:446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s7txAAAAN4AAAAPAAAAZHJzL2Rvd25yZXYueG1sRE9Na8JA&#10;EL0X+h+WEbzVjQpRUlcpFjEHL1ULPQ7ZMUmbnV2yq4n+ercgeJvH+5zFqjeNuFDra8sKxqMEBHFh&#10;dc2lguNh8zYH4QOyxsYyKbiSh9Xy9WWBmbYdf9FlH0oRQ9hnqKAKwWVS+qIig35kHXHkTrY1GCJs&#10;S6lb7GK4aeQkSVJpsObYUKGjdUXF3/5sFPx8sss3nSxOt7Xb/ebzZns+fis1HPQf7yAC9eEpfrhz&#10;HefP0mkK/+/EG+TyDgAA//8DAFBLAQItABQABgAIAAAAIQDb4fbL7gAAAIUBAAATAAAAAAAAAAAA&#10;AAAAAAAAAABbQ29udGVudF9UeXBlc10ueG1sUEsBAi0AFAAGAAgAAAAhAFr0LFu/AAAAFQEAAAsA&#10;AAAAAAAAAAAAAAAAHwEAAF9yZWxzLy5yZWxzUEsBAi0AFAAGAAgAAAAhACeCzu3EAAAA3gAAAA8A&#10;AAAAAAAAAAAAAAAABwIAAGRycy9kb3ducmV2LnhtbFBLBQYAAAAAAwADALcAAAD4AgAAAAA=&#10;" filled="f" stroked="f">
                  <v:textbox inset="0,0,0,0">
                    <w:txbxContent>
                      <w:p w14:paraId="3FBF2428" w14:textId="77777777" w:rsidR="00B32EF2" w:rsidRDefault="00000000">
                        <w:r>
                          <w:rPr>
                            <w:rFonts w:ascii="Arial" w:eastAsia="Arial" w:hAnsi="Arial" w:cs="Arial"/>
                            <w:i/>
                            <w:sz w:val="18"/>
                          </w:rPr>
                          <w:t>mio, alle società di gestione del risparmio e alle società fiduciarie;</w:t>
                        </w:r>
                      </w:p>
                    </w:txbxContent>
                  </v:textbox>
                </v:rect>
                <v:rect id="Rectangle 200842" o:spid="_x0000_s3378" style="position:absolute;left:25110;top:7590;width:511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BpoxgAAAN8AAAAPAAAAZHJzL2Rvd25yZXYueG1sRI9Ba8JA&#10;FITvhf6H5RV6q5tKkRBdpShiDr1oI3h8ZJ9JNPt2ya4m9de7gtDjMDPfMLPFYFpxpc43lhV8jhIQ&#10;xKXVDVcKit/1RwrCB2SNrWVS8EceFvPXlxlm2va8pesuVCJC2GeooA7BZVL6siaDfmQdcfSOtjMY&#10;ouwqqTvsI9y0cpwkE2mw4bhQo6NlTeV5dzEKDit2+bqX5fG2dD+nPG03l2Kv1Pvb8D0FEWgI/+Fn&#10;O9cKIjH9GsPjT/wCcn4HAAD//wMAUEsBAi0AFAAGAAgAAAAhANvh9svuAAAAhQEAABMAAAAAAAAA&#10;AAAAAAAAAAAAAFtDb250ZW50X1R5cGVzXS54bWxQSwECLQAUAAYACAAAACEAWvQsW78AAAAVAQAA&#10;CwAAAAAAAAAAAAAAAAAfAQAAX3JlbHMvLnJlbHNQSwECLQAUAAYACAAAACEAYIQaaMYAAADfAAAA&#10;DwAAAAAAAAAAAAAAAAAHAgAAZHJzL2Rvd25yZXYueG1sUEsFBgAAAAADAAMAtwAAAPoCAAAAAA==&#10;" filled="f" stroked="f">
                  <v:textbox inset="0,0,0,0">
                    <w:txbxContent>
                      <w:p w14:paraId="44A7BECE" w14:textId="77777777" w:rsidR="00B32EF2" w:rsidRDefault="00000000">
                        <w:r>
                          <w:rPr>
                            <w:rFonts w:ascii="Arial" w:eastAsia="Arial" w:hAnsi="Arial" w:cs="Arial"/>
                            <w:i/>
                            <w:sz w:val="18"/>
                          </w:rPr>
                          <w:t>6)</w:t>
                        </w:r>
                      </w:p>
                    </w:txbxContent>
                  </v:textbox>
                </v:rect>
                <v:rect id="Rectangle 200844" o:spid="_x0000_s3379" style="position:absolute;left:-13240;top:7590;width:511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SeHxwAAAN8AAAAPAAAAZHJzL2Rvd25yZXYueG1sRI9Pa8JA&#10;FMTvBb/D8gRvdVMRCakbKYqYQy9ahR4f2Zc/bfbtkl1N2k/fFYQeh5n5DbPejKYTN+p9a1nByzwB&#10;QVxa3XKt4Pyxf05B+ICssbNMCn7IwyafPK0x03bgI91OoRYRwj5DBU0ILpPSlw0Z9HPriKNX2d5g&#10;iLKvpe5xiHDTyUWSrKTBluNCg462DZXfp6tR8LljV+wHWVa/W/f+VaTd4Xq+KDWbjm+vIAKN4T/8&#10;aBdaQSSmyyXc/8QvIPM/AAAA//8DAFBLAQItABQABgAIAAAAIQDb4fbL7gAAAIUBAAATAAAAAAAA&#10;AAAAAAAAAAAAAABbQ29udGVudF9UeXBlc10ueG1sUEsBAi0AFAAGAAgAAAAhAFr0LFu/AAAAFQEA&#10;AAsAAAAAAAAAAAAAAAAAHwEAAF9yZWxzLy5yZWxzUEsBAi0AFAAGAAgAAAAhAIAhJ4fHAAAA3wAA&#10;AA8AAAAAAAAAAAAAAAAABwIAAGRycy9kb3ducmV2LnhtbFBLBQYAAAAAAwADALcAAAD7AgAAAAA=&#10;" filled="f" stroked="f">
                  <v:textbox inset="0,0,0,0">
                    <w:txbxContent>
                      <w:p w14:paraId="75A6A34C" w14:textId="77777777" w:rsidR="00B32EF2" w:rsidRDefault="00000000">
                        <w:r>
                          <w:rPr>
                            <w:rFonts w:ascii="Arial" w:eastAsia="Arial" w:hAnsi="Arial" w:cs="Arial"/>
                            <w:i/>
                            <w:sz w:val="18"/>
                          </w:rPr>
                          <w:t xml:space="preserve"> richiedere copie o estratti degli atti e dei documenti depositati presso i </w:t>
                        </w:r>
                      </w:p>
                    </w:txbxContent>
                  </v:textbox>
                </v:rect>
                <v:rect id="Rectangle 17638" o:spid="_x0000_s3380" style="position:absolute;left:-12227;top:6357;width:511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f8ExwAAAN4AAAAPAAAAZHJzL2Rvd25yZXYueG1sRI9Ba8JA&#10;EIXvQv/DMoXedFMLKqmrFIuYg5eqhR6H7Jikzc4u2dWk/fXOoeBthvfmvW+W68G16kpdbDwbeJ5k&#10;oIhLbxuuDJyO2/ECVEzIFlvPZOCXIqxXD6Ml5tb3/EHXQ6qUhHDM0UCdUsi1jmVNDuPEB2LRzr5z&#10;mGTtKm077CXctXqaZTPtsGFpqDHQpqby53BxBr7eORTbXpfnv03YfxeLdnc5fRrz9Di8vYJKNKS7&#10;+f+6sII/n70Ir7wjM+jVDQAA//8DAFBLAQItABQABgAIAAAAIQDb4fbL7gAAAIUBAAATAAAAAAAA&#10;AAAAAAAAAAAAAABbQ29udGVudF9UeXBlc10ueG1sUEsBAi0AFAAGAAgAAAAhAFr0LFu/AAAAFQEA&#10;AAsAAAAAAAAAAAAAAAAAHwEAAF9yZWxzLy5yZWxzUEsBAi0AFAAGAAgAAAAhADlR/wTHAAAA3gAA&#10;AA8AAAAAAAAAAAAAAAAABwIAAGRycy9kb3ducmV2LnhtbFBLBQYAAAAAAwADALcAAAD7AgAAAAA=&#10;" filled="f" stroked="f">
                  <v:textbox inset="0,0,0,0">
                    <w:txbxContent>
                      <w:p w14:paraId="12578CCC" w14:textId="77777777" w:rsidR="00B32EF2" w:rsidRDefault="00000000">
                        <w:r>
                          <w:rPr>
                            <w:rFonts w:ascii="Arial" w:eastAsia="Arial" w:hAnsi="Arial" w:cs="Arial"/>
                            <w:i/>
                            <w:sz w:val="18"/>
                          </w:rPr>
                          <w:t xml:space="preserve">notai, i procuratori del registro, i conservatori dei registri immobiliari e gli </w:t>
                        </w:r>
                      </w:p>
                    </w:txbxContent>
                  </v:textbox>
                </v:rect>
                <v:rect id="Rectangle 17639" o:spid="_x0000_s3381" style="position:absolute;left:25006;top:5124;width:138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VqfxQAAAN4AAAAPAAAAZHJzL2Rvd25yZXYueG1sRE9Na8JA&#10;EL0X+h+WKXirGxWsja4iipiDl1oLPQ7ZMYlmZ5fsaqK/3i0UvM3jfc5s0ZlaXKnxlWUFg34Cgji3&#10;uuJCweF78z4B4QOyxtoyKbiRh8X89WWGqbYtf9F1HwoRQ9inqKAMwaVS+rwkg75vHXHkjrYxGCJs&#10;CqkbbGO4qeUwScbSYMWxoURHq5Ly8/5iFPyu2WWbVubH+8rtTtmk3l4OP0r13rrlFESgLjzF/+5M&#10;x/kf49En/L0Tb5DzBwAAAP//AwBQSwECLQAUAAYACAAAACEA2+H2y+4AAACFAQAAEwAAAAAAAAAA&#10;AAAAAAAAAAAAW0NvbnRlbnRfVHlwZXNdLnhtbFBLAQItABQABgAIAAAAIQBa9CxbvwAAABUBAAAL&#10;AAAAAAAAAAAAAAAAAB8BAABfcmVscy8ucmVsc1BLAQItABQABgAIAAAAIQBWHVqfxQAAAN4AAAAP&#10;AAAAAAAAAAAAAAAAAAcCAABkcnMvZG93bnJldi54bWxQSwUGAAAAAAMAAwC3AAAA+QIAAAAA&#10;" filled="f" stroked="f">
                  <v:textbox inset="0,0,0,0">
                    <w:txbxContent>
                      <w:p w14:paraId="6700BD52" w14:textId="77777777" w:rsidR="00B32EF2" w:rsidRDefault="00000000">
                        <w:r>
                          <w:rPr>
                            <w:rFonts w:ascii="Arial" w:eastAsia="Arial" w:hAnsi="Arial" w:cs="Arial"/>
                            <w:i/>
                            <w:sz w:val="18"/>
                          </w:rPr>
                          <w:t>altri pubblici ufficiali;</w:t>
                        </w:r>
                      </w:p>
                    </w:txbxContent>
                  </v:textbox>
                </v:rect>
                <v:rect id="Rectangle 200838" o:spid="_x0000_s3382" style="position:absolute;left:25304;top:3890;width:501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l7/xwAAAN8AAAAPAAAAZHJzL2Rvd25yZXYueG1sRI9Na8Mw&#10;DIbvg/0Ho0Fvq7MVSsjqltFRmsMu6wfsKGI1yRbLJnabdL9+OhR6FK/eR3oWq9F16kJ9bD0beJlm&#10;oIgrb1uuDRz2m+ccVEzIFjvPZOBKEVbLx4cFFtYP/EWXXaqVQDgWaKBJKRRax6ohh3HqA7FkJ987&#10;TDL2tbY9DgJ3nX7Nsrl22LJcaDDQuqHqd3d2Br4/OJSbQVenv3X4/Cnzbns+HI2ZPI3vb6ASjem+&#10;fGuX1oAQ85k8LD7iAnr5DwAA//8DAFBLAQItABQABgAIAAAAIQDb4fbL7gAAAIUBAAATAAAAAAAA&#10;AAAAAAAAAAAAAABbQ29udGVudF9UeXBlc10ueG1sUEsBAi0AFAAGAAgAAAAhAFr0LFu/AAAAFQEA&#10;AAsAAAAAAAAAAAAAAAAAHwEAAF9yZWxzLy5yZWxzUEsBAi0AFAAGAAgAAAAhAFlqXv/HAAAA3wAA&#10;AA8AAAAAAAAAAAAAAAAABwIAAGRycy9kb3ducmV2LnhtbFBLBQYAAAAAAwADALcAAAD7AgAAAAA=&#10;" filled="f" stroked="f">
                  <v:textbox inset="0,0,0,0">
                    <w:txbxContent>
                      <w:p w14:paraId="1FE04845" w14:textId="77777777" w:rsidR="00B32EF2" w:rsidRDefault="00000000">
                        <w:r>
                          <w:rPr>
                            <w:rFonts w:ascii="Arial" w:eastAsia="Arial" w:hAnsi="Arial" w:cs="Arial"/>
                            <w:i/>
                            <w:sz w:val="18"/>
                          </w:rPr>
                          <w:t>6-</w:t>
                        </w:r>
                      </w:p>
                    </w:txbxContent>
                  </v:textbox>
                </v:rect>
                <v:rect id="Rectangle 200840" o:spid="_x0000_s3383" style="position:absolute;left:-12413;top:3890;width:501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GExwAAAN8AAAAPAAAAZHJzL2Rvd25yZXYueG1sRI/LasMw&#10;EEX3hf6DmEJ2jdwSgnGjhJIS4kU3zQO6HKyJ7dYaCUuJnX59ZxHIcrhzz+UsVqPr1IX62Ho28DLN&#10;QBFX3rZcGzjsN885qJiQLXaeycCVIqyWjw8LLKwf+Isuu1QrgXAs0ECTUii0jlVDDuPUB2LJTr53&#10;mOTsa217HATuOv2aZXPtsGVZaDDQuqHqd3d2Br4/OJSbQVenv3X4/Cnzbns+HI2ZPI3vb6ASjen+&#10;fGuX1oAQ85kYiI+4gF7+AwAA//8DAFBLAQItABQABgAIAAAAIQDb4fbL7gAAAIUBAAATAAAAAAAA&#10;AAAAAAAAAAAAAABbQ29udGVudF9UeXBlc10ueG1sUEsBAi0AFAAGAAgAAAAhAFr0LFu/AAAAFQEA&#10;AAsAAAAAAAAAAAAAAAAAHwEAAF9yZWxzLy5yZWxzUEsBAi0AFAAGAAgAAAAhAP8aIYTHAAAA3wAA&#10;AA8AAAAAAAAAAAAAAAAABwIAAGRycy9kb3ducmV2LnhtbFBLBQYAAAAAAwADALcAAAD7AgAAAAA=&#10;" filled="f" stroked="f">
                  <v:textbox inset="0,0,0,0">
                    <w:txbxContent>
                      <w:p w14:paraId="3530CE28" w14:textId="77777777" w:rsidR="00B32EF2" w:rsidRDefault="00000000">
                        <w:r>
                          <w:rPr>
                            <w:rFonts w:ascii="Arial" w:eastAsia="Arial" w:hAnsi="Arial" w:cs="Arial"/>
                            <w:i/>
                            <w:sz w:val="18"/>
                          </w:rPr>
                          <w:t>bis) richiedere, previa autorizzazione del direttore centrale dell’accer</w:t>
                        </w:r>
                      </w:p>
                    </w:txbxContent>
                  </v:textbox>
                </v:rect>
                <v:rect id="Rectangle 17641" o:spid="_x0000_s3384" style="position:absolute;left:657;top:389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SXkxAAAAN4AAAAPAAAAZHJzL2Rvd25yZXYueG1sRE9Li8Iw&#10;EL4v7H8Is+BtTV1EpRplcZHtwcv6AI9DM7bVZhKaaKu/3iwI3ubje85s0ZlaXKnxlWUFg34Cgji3&#10;uuJCwW67+pyA8AFZY22ZFNzIw2L+/jbDVNuW/+i6CYWIIexTVFCG4FIpfV6SQd+3jjhyR9sYDBE2&#10;hdQNtjHc1PIrSUbSYMWxoURHy5Ly8+ZiFBx+2GWrVubH+9KtT9mk/r3s9kr1PrrvKYhAXXiJn+5M&#10;x/nj0XAA/+/EG+T8AQAA//8DAFBLAQItABQABgAIAAAAIQDb4fbL7gAAAIUBAAATAAAAAAAAAAAA&#10;AAAAAAAAAABbQ29udGVudF9UeXBlc10ueG1sUEsBAi0AFAAGAAgAAAAhAFr0LFu/AAAAFQEAAAsA&#10;AAAAAAAAAAAAAAAAHwEAAF9yZWxzLy5yZWxzUEsBAi0AFAAGAAgAAAAhAPBtJeTEAAAA3gAAAA8A&#10;AAAAAAAAAAAAAAAABwIAAGRycy9kb3ducmV2LnhtbFBLBQYAAAAAAwADALcAAAD4AgAAAAA=&#10;" filled="f" stroked="f">
                  <v:textbox inset="0,0,0,0">
                    <w:txbxContent>
                      <w:p w14:paraId="38EA1584" w14:textId="77777777" w:rsidR="00B32EF2" w:rsidRDefault="00000000">
                        <w:r>
                          <w:rPr>
                            <w:rFonts w:ascii="Arial" w:eastAsia="Arial" w:hAnsi="Arial" w:cs="Arial"/>
                            <w:i/>
                            <w:sz w:val="18"/>
                          </w:rPr>
                          <w:t>-</w:t>
                        </w:r>
                      </w:p>
                    </w:txbxContent>
                  </v:textbox>
                </v:rect>
                <v:shape id="Shape 17642" o:spid="_x0000_s3385" style="position:absolute;top:3382;width:39600;height:59453;visibility:visible;mso-wrap-style:square;v-text-anchor:top" coordsize="3960000,594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a3XxAAAAN4AAAAPAAAAZHJzL2Rvd25yZXYueG1sRE9Li8Iw&#10;EL4L/ocwC940XV18dI0iguBtra7i3oZmtg3bTEoTtf57Iwh7m4/vOfNlaytxpcYbxwreBwkI4txp&#10;w4WC78OmPwXhA7LGyjEpuJOH5aLbmWOq3Y0zuu5DIWII+xQVlCHUqZQ+L8miH7iaOHK/rrEYImwK&#10;qRu8xXBbyWGSjKVFw7GhxJrWJeV/+4tVsMuzw1c7Wv9MZ6diYkZHb86ZV6r31q4+QQRqw7/45d7q&#10;OH8y/hjC8514g1w8AAAA//8DAFBLAQItABQABgAIAAAAIQDb4fbL7gAAAIUBAAATAAAAAAAAAAAA&#10;AAAAAAAAAABbQ29udGVudF9UeXBlc10ueG1sUEsBAi0AFAAGAAgAAAAhAFr0LFu/AAAAFQEAAAsA&#10;AAAAAAAAAAAAAAAAHwEAAF9yZWxzLy5yZWxzUEsBAi0AFAAGAAgAAAAhAJGhrdfEAAAA3gAAAA8A&#10;AAAAAAAAAAAAAAAABwIAAGRycy9kb3ducmV2LnhtbFBLBQYAAAAAAwADALcAAAD4AgAAAAA=&#10;" path="m,5945302r3960000,l3960000,,,,,5945302xe" filled="f" strokeweight="1pt">
                  <v:stroke miterlimit="1" joinstyle="miter"/>
                  <v:path arrowok="t" textboxrect="0,0,3960000,5945302"/>
                </v:shape>
                <w10:anchorlock/>
              </v:group>
            </w:pict>
          </mc:Fallback>
        </mc:AlternateContent>
      </w:r>
    </w:p>
    <w:p w14:paraId="005815A4" w14:textId="77777777" w:rsidR="00B32EF2" w:rsidRDefault="00000000">
      <w:pPr>
        <w:spacing w:after="0"/>
        <w:ind w:left="-306" w:right="-306"/>
      </w:pPr>
      <w:r>
        <w:rPr>
          <w:noProof/>
        </w:rPr>
        <w:lastRenderedPageBreak/>
        <mc:AlternateContent>
          <mc:Choice Requires="wpg">
            <w:drawing>
              <wp:inline distT="0" distB="0" distL="0" distR="0" wp14:anchorId="5B7805B4" wp14:editId="267FB6F7">
                <wp:extent cx="3960001" cy="6283511"/>
                <wp:effectExtent l="0" t="0" r="0" b="0"/>
                <wp:docPr id="200907" name="Group 200907"/>
                <wp:cNvGraphicFramePr/>
                <a:graphic xmlns:a="http://schemas.openxmlformats.org/drawingml/2006/main">
                  <a:graphicData uri="http://schemas.microsoft.com/office/word/2010/wordprocessingGroup">
                    <wpg:wgp>
                      <wpg:cNvGrpSpPr/>
                      <wpg:grpSpPr>
                        <a:xfrm>
                          <a:off x="0" y="0"/>
                          <a:ext cx="3960001" cy="6283511"/>
                          <a:chOff x="0" y="0"/>
                          <a:chExt cx="3960001" cy="6283511"/>
                        </a:xfrm>
                      </wpg:grpSpPr>
                      <wps:wsp>
                        <wps:cNvPr id="17710" name="Rectangle 17710"/>
                        <wps:cNvSpPr/>
                        <wps:spPr>
                          <a:xfrm rot="-10799999">
                            <a:off x="1868687" y="-62190"/>
                            <a:ext cx="178369" cy="250646"/>
                          </a:xfrm>
                          <a:prstGeom prst="rect">
                            <a:avLst/>
                          </a:prstGeom>
                          <a:ln>
                            <a:noFill/>
                          </a:ln>
                        </wps:spPr>
                        <wps:txbx>
                          <w:txbxContent>
                            <w:p w14:paraId="76AAE048" w14:textId="77777777" w:rsidR="00B32EF2" w:rsidRDefault="00000000">
                              <w:r>
                                <w:rPr>
                                  <w:rFonts w:ascii="Times New Roman" w:eastAsia="Times New Roman" w:hAnsi="Times New Roman" w:cs="Times New Roman"/>
                                </w:rPr>
                                <w:t>70</w:t>
                              </w:r>
                            </w:p>
                          </w:txbxContent>
                        </wps:txbx>
                        <wps:bodyPr horzOverflow="overflow" vert="horz" lIns="0" tIns="0" rIns="0" bIns="0" rtlCol="0">
                          <a:noAutofit/>
                        </wps:bodyPr>
                      </wps:wsp>
                      <wps:wsp>
                        <wps:cNvPr id="207898" name="Shape 207898"/>
                        <wps:cNvSpPr/>
                        <wps:spPr>
                          <a:xfrm>
                            <a:off x="1" y="338206"/>
                            <a:ext cx="3960000" cy="5945302"/>
                          </a:xfrm>
                          <a:custGeom>
                            <a:avLst/>
                            <a:gdLst/>
                            <a:ahLst/>
                            <a:cxnLst/>
                            <a:rect l="0" t="0" r="0" b="0"/>
                            <a:pathLst>
                              <a:path w="3960000" h="5945302">
                                <a:moveTo>
                                  <a:pt x="0" y="0"/>
                                </a:moveTo>
                                <a:lnTo>
                                  <a:pt x="3960000" y="0"/>
                                </a:lnTo>
                                <a:lnTo>
                                  <a:pt x="3960000" y="5945302"/>
                                </a:lnTo>
                                <a:lnTo>
                                  <a:pt x="0" y="5945302"/>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200843" name="Rectangle 200843"/>
                        <wps:cNvSpPr/>
                        <wps:spPr>
                          <a:xfrm rot="-10799999">
                            <a:off x="2576833" y="6062263"/>
                            <a:ext cx="5002686" cy="142891"/>
                          </a:xfrm>
                          <a:prstGeom prst="rect">
                            <a:avLst/>
                          </a:prstGeom>
                          <a:ln>
                            <a:noFill/>
                          </a:ln>
                        </wps:spPr>
                        <wps:txbx>
                          <w:txbxContent>
                            <w:p w14:paraId="6DE32190"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0845" name="Rectangle 200845"/>
                        <wps:cNvSpPr/>
                        <wps:spPr>
                          <a:xfrm rot="-10799999">
                            <a:off x="-1185763" y="6062263"/>
                            <a:ext cx="5002687" cy="142891"/>
                          </a:xfrm>
                          <a:prstGeom prst="rect">
                            <a:avLst/>
                          </a:prstGeom>
                          <a:ln>
                            <a:noFill/>
                          </a:ln>
                        </wps:spPr>
                        <wps:txbx>
                          <w:txbxContent>
                            <w:p w14:paraId="2D54B265" w14:textId="77777777" w:rsidR="00B32EF2" w:rsidRDefault="00000000">
                              <w:r>
                                <w:rPr>
                                  <w:rFonts w:ascii="Arial" w:eastAsia="Arial" w:hAnsi="Arial" w:cs="Arial"/>
                                  <w:i/>
                                  <w:sz w:val="18"/>
                                </w:rPr>
                                <w:t>. Gli inviti e le richieste di cui al presente articolo devono essere notifi</w:t>
                              </w:r>
                            </w:p>
                          </w:txbxContent>
                        </wps:txbx>
                        <wps:bodyPr horzOverflow="overflow" vert="horz" lIns="0" tIns="0" rIns="0" bIns="0" rtlCol="0">
                          <a:noAutofit/>
                        </wps:bodyPr>
                      </wps:wsp>
                      <wps:wsp>
                        <wps:cNvPr id="17713" name="Rectangle 17713"/>
                        <wps:cNvSpPr/>
                        <wps:spPr>
                          <a:xfrm rot="-10799999">
                            <a:off x="65757" y="6062264"/>
                            <a:ext cx="50622" cy="142889"/>
                          </a:xfrm>
                          <a:prstGeom prst="rect">
                            <a:avLst/>
                          </a:prstGeom>
                          <a:ln>
                            <a:noFill/>
                          </a:ln>
                        </wps:spPr>
                        <wps:txbx>
                          <w:txbxContent>
                            <w:p w14:paraId="0741B0B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714" name="Rectangle 17714"/>
                        <wps:cNvSpPr/>
                        <wps:spPr>
                          <a:xfrm rot="-10799999">
                            <a:off x="-1219058" y="5938934"/>
                            <a:ext cx="5100709" cy="142889"/>
                          </a:xfrm>
                          <a:prstGeom prst="rect">
                            <a:avLst/>
                          </a:prstGeom>
                          <a:ln>
                            <a:noFill/>
                          </a:ln>
                        </wps:spPr>
                        <wps:txbx>
                          <w:txbxContent>
                            <w:p w14:paraId="05CCD3BA" w14:textId="77777777" w:rsidR="00B32EF2" w:rsidRDefault="00000000">
                              <w:r>
                                <w:rPr>
                                  <w:rFonts w:ascii="Arial" w:eastAsia="Arial" w:hAnsi="Arial" w:cs="Arial"/>
                                  <w:i/>
                                  <w:sz w:val="18"/>
                                </w:rPr>
                                <w:t xml:space="preserve">cati ai sensi dell’art. 60. Dalla data di notifica decorre il termine fissato </w:t>
                              </w:r>
                            </w:p>
                          </w:txbxContent>
                        </wps:txbx>
                        <wps:bodyPr horzOverflow="overflow" vert="horz" lIns="0" tIns="0" rIns="0" bIns="0" rtlCol="0">
                          <a:noAutofit/>
                        </wps:bodyPr>
                      </wps:wsp>
                      <wps:wsp>
                        <wps:cNvPr id="17715" name="Rectangle 17715"/>
                        <wps:cNvSpPr/>
                        <wps:spPr>
                          <a:xfrm rot="-10799999">
                            <a:off x="-1218951" y="5815605"/>
                            <a:ext cx="5100602" cy="142889"/>
                          </a:xfrm>
                          <a:prstGeom prst="rect">
                            <a:avLst/>
                          </a:prstGeom>
                          <a:ln>
                            <a:noFill/>
                          </a:ln>
                        </wps:spPr>
                        <wps:txbx>
                          <w:txbxContent>
                            <w:p w14:paraId="2FBB411B" w14:textId="77777777" w:rsidR="00B32EF2" w:rsidRDefault="00000000">
                              <w:r>
                                <w:rPr>
                                  <w:rFonts w:ascii="Arial" w:eastAsia="Arial" w:hAnsi="Arial" w:cs="Arial"/>
                                  <w:i/>
                                  <w:sz w:val="18"/>
                                </w:rPr>
                                <w:t xml:space="preserve">dall’ufficio per l’adempimento, che non può essere inferiore a quindici giorni </w:t>
                              </w:r>
                            </w:p>
                          </w:txbxContent>
                        </wps:txbx>
                        <wps:bodyPr horzOverflow="overflow" vert="horz" lIns="0" tIns="0" rIns="0" bIns="0" rtlCol="0">
                          <a:noAutofit/>
                        </wps:bodyPr>
                      </wps:wsp>
                      <wps:wsp>
                        <wps:cNvPr id="17716" name="Rectangle 17716"/>
                        <wps:cNvSpPr/>
                        <wps:spPr>
                          <a:xfrm rot="-10799999">
                            <a:off x="-1121263" y="5692275"/>
                            <a:ext cx="5002916" cy="142889"/>
                          </a:xfrm>
                          <a:prstGeom prst="rect">
                            <a:avLst/>
                          </a:prstGeom>
                          <a:ln>
                            <a:noFill/>
                          </a:ln>
                        </wps:spPr>
                        <wps:txbx>
                          <w:txbxContent>
                            <w:p w14:paraId="25816312" w14:textId="77777777" w:rsidR="00B32EF2" w:rsidRDefault="00000000">
                              <w:r>
                                <w:rPr>
                                  <w:rFonts w:ascii="Arial" w:eastAsia="Arial" w:hAnsi="Arial" w:cs="Arial"/>
                                  <w:i/>
                                  <w:sz w:val="18"/>
                                </w:rPr>
                                <w:t>ovvero per il caso di cui al n. 7) a trenta giorni. Il termine può essere proro</w:t>
                              </w:r>
                            </w:p>
                          </w:txbxContent>
                        </wps:txbx>
                        <wps:bodyPr horzOverflow="overflow" vert="horz" lIns="0" tIns="0" rIns="0" bIns="0" rtlCol="0">
                          <a:noAutofit/>
                        </wps:bodyPr>
                      </wps:wsp>
                      <wps:wsp>
                        <wps:cNvPr id="17717" name="Rectangle 17717"/>
                        <wps:cNvSpPr/>
                        <wps:spPr>
                          <a:xfrm rot="-10799999">
                            <a:off x="65757" y="5692275"/>
                            <a:ext cx="50622" cy="142889"/>
                          </a:xfrm>
                          <a:prstGeom prst="rect">
                            <a:avLst/>
                          </a:prstGeom>
                          <a:ln>
                            <a:noFill/>
                          </a:ln>
                        </wps:spPr>
                        <wps:txbx>
                          <w:txbxContent>
                            <w:p w14:paraId="12C7027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718" name="Rectangle 17718"/>
                        <wps:cNvSpPr/>
                        <wps:spPr>
                          <a:xfrm rot="-10799999">
                            <a:off x="-1218966" y="5568945"/>
                            <a:ext cx="5100618" cy="142889"/>
                          </a:xfrm>
                          <a:prstGeom prst="rect">
                            <a:avLst/>
                          </a:prstGeom>
                          <a:ln>
                            <a:noFill/>
                          </a:ln>
                        </wps:spPr>
                        <wps:txbx>
                          <w:txbxContent>
                            <w:p w14:paraId="2A6E3A49" w14:textId="77777777" w:rsidR="00B32EF2" w:rsidRDefault="00000000">
                              <w:r>
                                <w:rPr>
                                  <w:rFonts w:ascii="Arial" w:eastAsia="Arial" w:hAnsi="Arial" w:cs="Arial"/>
                                  <w:i/>
                                  <w:sz w:val="18"/>
                                </w:rPr>
                                <w:t xml:space="preserve">gato per un periodo di venti giorni su istanza dell’operatore finanziario, per </w:t>
                              </w:r>
                            </w:p>
                          </w:txbxContent>
                        </wps:txbx>
                        <wps:bodyPr horzOverflow="overflow" vert="horz" lIns="0" tIns="0" rIns="0" bIns="0" rtlCol="0">
                          <a:noAutofit/>
                        </wps:bodyPr>
                      </wps:wsp>
                      <wps:wsp>
                        <wps:cNvPr id="17719" name="Rectangle 17719"/>
                        <wps:cNvSpPr/>
                        <wps:spPr>
                          <a:xfrm rot="-10799999">
                            <a:off x="-1219042" y="5445616"/>
                            <a:ext cx="5100694" cy="142889"/>
                          </a:xfrm>
                          <a:prstGeom prst="rect">
                            <a:avLst/>
                          </a:prstGeom>
                          <a:ln>
                            <a:noFill/>
                          </a:ln>
                        </wps:spPr>
                        <wps:txbx>
                          <w:txbxContent>
                            <w:p w14:paraId="6D55BDED" w14:textId="77777777" w:rsidR="00B32EF2" w:rsidRDefault="00000000">
                              <w:r>
                                <w:rPr>
                                  <w:rFonts w:ascii="Arial" w:eastAsia="Arial" w:hAnsi="Arial" w:cs="Arial"/>
                                  <w:i/>
                                  <w:sz w:val="18"/>
                                </w:rPr>
                                <w:t xml:space="preserve">giustificati motivi, dal competente direttore centrale o direttore regionale </w:t>
                              </w:r>
                            </w:p>
                          </w:txbxContent>
                        </wps:txbx>
                        <wps:bodyPr horzOverflow="overflow" vert="horz" lIns="0" tIns="0" rIns="0" bIns="0" rtlCol="0">
                          <a:noAutofit/>
                        </wps:bodyPr>
                      </wps:wsp>
                      <wps:wsp>
                        <wps:cNvPr id="17720" name="Rectangle 17720"/>
                        <wps:cNvSpPr/>
                        <wps:spPr>
                          <a:xfrm rot="-10799999">
                            <a:off x="-1218981" y="5322286"/>
                            <a:ext cx="5100634" cy="142889"/>
                          </a:xfrm>
                          <a:prstGeom prst="rect">
                            <a:avLst/>
                          </a:prstGeom>
                          <a:ln>
                            <a:noFill/>
                          </a:ln>
                        </wps:spPr>
                        <wps:txbx>
                          <w:txbxContent>
                            <w:p w14:paraId="547E9380" w14:textId="77777777" w:rsidR="00B32EF2" w:rsidRDefault="00000000">
                              <w:r>
                                <w:rPr>
                                  <w:rFonts w:ascii="Arial" w:eastAsia="Arial" w:hAnsi="Arial" w:cs="Arial"/>
                                  <w:i/>
                                  <w:sz w:val="18"/>
                                </w:rPr>
                                <w:t xml:space="preserve">per l’Agenzia delle entrate, ovvero, per il Corpo della guardia di finanza, dal </w:t>
                              </w:r>
                            </w:p>
                          </w:txbxContent>
                        </wps:txbx>
                        <wps:bodyPr horzOverflow="overflow" vert="horz" lIns="0" tIns="0" rIns="0" bIns="0" rtlCol="0">
                          <a:noAutofit/>
                        </wps:bodyPr>
                      </wps:wsp>
                      <wps:wsp>
                        <wps:cNvPr id="17721" name="Rectangle 17721"/>
                        <wps:cNvSpPr/>
                        <wps:spPr>
                          <a:xfrm rot="-10799999">
                            <a:off x="2318030" y="5198956"/>
                            <a:ext cx="1564078" cy="142889"/>
                          </a:xfrm>
                          <a:prstGeom prst="rect">
                            <a:avLst/>
                          </a:prstGeom>
                          <a:ln>
                            <a:noFill/>
                          </a:ln>
                        </wps:spPr>
                        <wps:txbx>
                          <w:txbxContent>
                            <w:p w14:paraId="2C511FBD" w14:textId="77777777" w:rsidR="00B32EF2" w:rsidRDefault="00000000">
                              <w:r>
                                <w:rPr>
                                  <w:rFonts w:ascii="Arial" w:eastAsia="Arial" w:hAnsi="Arial" w:cs="Arial"/>
                                  <w:i/>
                                  <w:sz w:val="18"/>
                                </w:rPr>
                                <w:t>comandante regionale.</w:t>
                              </w:r>
                            </w:p>
                          </w:txbxContent>
                        </wps:txbx>
                        <wps:bodyPr horzOverflow="overflow" vert="horz" lIns="0" tIns="0" rIns="0" bIns="0" rtlCol="0">
                          <a:noAutofit/>
                        </wps:bodyPr>
                      </wps:wsp>
                      <wps:wsp>
                        <wps:cNvPr id="200839" name="Rectangle 200839"/>
                        <wps:cNvSpPr/>
                        <wps:spPr>
                          <a:xfrm rot="-10799999">
                            <a:off x="2576516" y="5075626"/>
                            <a:ext cx="5003965" cy="142889"/>
                          </a:xfrm>
                          <a:prstGeom prst="rect">
                            <a:avLst/>
                          </a:prstGeom>
                          <a:ln>
                            <a:noFill/>
                          </a:ln>
                        </wps:spPr>
                        <wps:txbx>
                          <w:txbxContent>
                            <w:p w14:paraId="634314ED"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0841" name="Rectangle 200841"/>
                        <wps:cNvSpPr/>
                        <wps:spPr>
                          <a:xfrm rot="-10799999">
                            <a:off x="-1188640" y="5075626"/>
                            <a:ext cx="5003964" cy="142889"/>
                          </a:xfrm>
                          <a:prstGeom prst="rect">
                            <a:avLst/>
                          </a:prstGeom>
                          <a:ln>
                            <a:noFill/>
                          </a:ln>
                        </wps:spPr>
                        <wps:txbx>
                          <w:txbxContent>
                            <w:p w14:paraId="0B24A42F" w14:textId="77777777" w:rsidR="00B32EF2" w:rsidRDefault="00000000">
                              <w:r>
                                <w:rPr>
                                  <w:rFonts w:ascii="Arial" w:eastAsia="Arial" w:hAnsi="Arial" w:cs="Arial"/>
                                  <w:i/>
                                  <w:sz w:val="18"/>
                                </w:rPr>
                                <w:t>. Le richieste di cui al primo comma, numero 7), nonchè le relative ri</w:t>
                              </w:r>
                            </w:p>
                          </w:txbxContent>
                        </wps:txbx>
                        <wps:bodyPr horzOverflow="overflow" vert="horz" lIns="0" tIns="0" rIns="0" bIns="0" rtlCol="0">
                          <a:noAutofit/>
                        </wps:bodyPr>
                      </wps:wsp>
                      <wps:wsp>
                        <wps:cNvPr id="17723" name="Rectangle 17723"/>
                        <wps:cNvSpPr/>
                        <wps:spPr>
                          <a:xfrm rot="-10799999">
                            <a:off x="65757" y="5075627"/>
                            <a:ext cx="50622" cy="142889"/>
                          </a:xfrm>
                          <a:prstGeom prst="rect">
                            <a:avLst/>
                          </a:prstGeom>
                          <a:ln>
                            <a:noFill/>
                          </a:ln>
                        </wps:spPr>
                        <wps:txbx>
                          <w:txbxContent>
                            <w:p w14:paraId="0601F7E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724" name="Rectangle 17724"/>
                        <wps:cNvSpPr/>
                        <wps:spPr>
                          <a:xfrm rot="-10799999">
                            <a:off x="-1218647" y="4952297"/>
                            <a:ext cx="5100299" cy="142889"/>
                          </a:xfrm>
                          <a:prstGeom prst="rect">
                            <a:avLst/>
                          </a:prstGeom>
                          <a:ln>
                            <a:noFill/>
                          </a:ln>
                        </wps:spPr>
                        <wps:txbx>
                          <w:txbxContent>
                            <w:p w14:paraId="1A3D85FA" w14:textId="77777777" w:rsidR="00B32EF2" w:rsidRDefault="00000000">
                              <w:r>
                                <w:rPr>
                                  <w:rFonts w:ascii="Arial" w:eastAsia="Arial" w:hAnsi="Arial" w:cs="Arial"/>
                                  <w:i/>
                                  <w:sz w:val="18"/>
                                </w:rPr>
                                <w:t xml:space="preserve">sposte, anche se negative, devono essere effettuate esclusivamente in via </w:t>
                              </w:r>
                            </w:p>
                          </w:txbxContent>
                        </wps:txbx>
                        <wps:bodyPr horzOverflow="overflow" vert="horz" lIns="0" tIns="0" rIns="0" bIns="0" rtlCol="0">
                          <a:noAutofit/>
                        </wps:bodyPr>
                      </wps:wsp>
                      <wps:wsp>
                        <wps:cNvPr id="17725" name="Rectangle 17725"/>
                        <wps:cNvSpPr/>
                        <wps:spPr>
                          <a:xfrm rot="-10799999">
                            <a:off x="-1217495" y="4828967"/>
                            <a:ext cx="5094689" cy="142889"/>
                          </a:xfrm>
                          <a:prstGeom prst="rect">
                            <a:avLst/>
                          </a:prstGeom>
                          <a:ln>
                            <a:noFill/>
                          </a:ln>
                        </wps:spPr>
                        <wps:txbx>
                          <w:txbxContent>
                            <w:p w14:paraId="33C04E18" w14:textId="77777777" w:rsidR="00B32EF2" w:rsidRDefault="00000000">
                              <w:r>
                                <w:rPr>
                                  <w:rFonts w:ascii="Arial" w:eastAsia="Arial" w:hAnsi="Arial" w:cs="Arial"/>
                                  <w:i/>
                                  <w:sz w:val="18"/>
                                </w:rPr>
                                <w:t xml:space="preserve">telematica. Con provvedimento del direttore dell’Agenzia delle entrate sono </w:t>
                              </w:r>
                            </w:p>
                          </w:txbxContent>
                        </wps:txbx>
                        <wps:bodyPr horzOverflow="overflow" vert="horz" lIns="0" tIns="0" rIns="0" bIns="0" rtlCol="0">
                          <a:noAutofit/>
                        </wps:bodyPr>
                      </wps:wsp>
                      <wps:wsp>
                        <wps:cNvPr id="17726" name="Rectangle 17726"/>
                        <wps:cNvSpPr/>
                        <wps:spPr>
                          <a:xfrm rot="-10799999">
                            <a:off x="-1121553" y="4705637"/>
                            <a:ext cx="5003205" cy="142889"/>
                          </a:xfrm>
                          <a:prstGeom prst="rect">
                            <a:avLst/>
                          </a:prstGeom>
                          <a:ln>
                            <a:noFill/>
                          </a:ln>
                        </wps:spPr>
                        <wps:txbx>
                          <w:txbxContent>
                            <w:p w14:paraId="2E7B490C" w14:textId="77777777" w:rsidR="00B32EF2" w:rsidRDefault="00000000">
                              <w:r>
                                <w:rPr>
                                  <w:rFonts w:ascii="Arial" w:eastAsia="Arial" w:hAnsi="Arial" w:cs="Arial"/>
                                  <w:i/>
                                  <w:sz w:val="18"/>
                                </w:rPr>
                                <w:t>stabilite le disposizioni attuative e le modalità di trasmissione delle richie</w:t>
                              </w:r>
                            </w:p>
                          </w:txbxContent>
                        </wps:txbx>
                        <wps:bodyPr horzOverflow="overflow" vert="horz" lIns="0" tIns="0" rIns="0" bIns="0" rtlCol="0">
                          <a:noAutofit/>
                        </wps:bodyPr>
                      </wps:wsp>
                      <wps:wsp>
                        <wps:cNvPr id="17727" name="Rectangle 17727"/>
                        <wps:cNvSpPr/>
                        <wps:spPr>
                          <a:xfrm rot="-10799999">
                            <a:off x="65757" y="4705638"/>
                            <a:ext cx="50622" cy="142889"/>
                          </a:xfrm>
                          <a:prstGeom prst="rect">
                            <a:avLst/>
                          </a:prstGeom>
                          <a:ln>
                            <a:noFill/>
                          </a:ln>
                        </wps:spPr>
                        <wps:txbx>
                          <w:txbxContent>
                            <w:p w14:paraId="11F94C0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728" name="Rectangle 17728"/>
                        <wps:cNvSpPr/>
                        <wps:spPr>
                          <a:xfrm rot="-10799999">
                            <a:off x="-1219362" y="4582308"/>
                            <a:ext cx="5103643" cy="142889"/>
                          </a:xfrm>
                          <a:prstGeom prst="rect">
                            <a:avLst/>
                          </a:prstGeom>
                          <a:ln>
                            <a:noFill/>
                          </a:ln>
                        </wps:spPr>
                        <wps:txbx>
                          <w:txbxContent>
                            <w:p w14:paraId="65F8159F" w14:textId="77777777" w:rsidR="00B32EF2" w:rsidRDefault="00000000">
                              <w:r>
                                <w:rPr>
                                  <w:rFonts w:ascii="Arial" w:eastAsia="Arial" w:hAnsi="Arial" w:cs="Arial"/>
                                  <w:i/>
                                  <w:sz w:val="18"/>
                                </w:rPr>
                                <w:t xml:space="preserve">ste, delle risposte, nonchè dei dati e delle notizie riguardanti i rapporti e le </w:t>
                              </w:r>
                            </w:p>
                          </w:txbxContent>
                        </wps:txbx>
                        <wps:bodyPr horzOverflow="overflow" vert="horz" lIns="0" tIns="0" rIns="0" bIns="0" rtlCol="0">
                          <a:noAutofit/>
                        </wps:bodyPr>
                      </wps:wsp>
                      <wps:wsp>
                        <wps:cNvPr id="17729" name="Rectangle 17729"/>
                        <wps:cNvSpPr/>
                        <wps:spPr>
                          <a:xfrm rot="-10799999">
                            <a:off x="1209233" y="4458978"/>
                            <a:ext cx="2672418" cy="142889"/>
                          </a:xfrm>
                          <a:prstGeom prst="rect">
                            <a:avLst/>
                          </a:prstGeom>
                          <a:ln>
                            <a:noFill/>
                          </a:ln>
                        </wps:spPr>
                        <wps:txbx>
                          <w:txbxContent>
                            <w:p w14:paraId="4E9E96E3" w14:textId="77777777" w:rsidR="00B32EF2" w:rsidRDefault="00000000">
                              <w:r>
                                <w:rPr>
                                  <w:rFonts w:ascii="Arial" w:eastAsia="Arial" w:hAnsi="Arial" w:cs="Arial"/>
                                  <w:i/>
                                  <w:sz w:val="18"/>
                                </w:rPr>
                                <w:t>operazioni indicati nel citato numero 7).</w:t>
                              </w:r>
                            </w:p>
                          </w:txbxContent>
                        </wps:txbx>
                        <wps:bodyPr horzOverflow="overflow" vert="horz" lIns="0" tIns="0" rIns="0" bIns="0" rtlCol="0">
                          <a:noAutofit/>
                        </wps:bodyPr>
                      </wps:wsp>
                      <wps:wsp>
                        <wps:cNvPr id="200836" name="Rectangle 200836"/>
                        <wps:cNvSpPr/>
                        <wps:spPr>
                          <a:xfrm rot="-10799999">
                            <a:off x="2553783" y="4335648"/>
                            <a:ext cx="5095587" cy="142889"/>
                          </a:xfrm>
                          <a:prstGeom prst="rect">
                            <a:avLst/>
                          </a:prstGeom>
                          <a:ln>
                            <a:noFill/>
                          </a:ln>
                        </wps:spPr>
                        <wps:txbx>
                          <w:txbxContent>
                            <w:p w14:paraId="2C1DCDF0"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200837" name="Rectangle 200837"/>
                        <wps:cNvSpPr/>
                        <wps:spPr>
                          <a:xfrm rot="-10799999">
                            <a:off x="-1283566" y="4335648"/>
                            <a:ext cx="5095587" cy="142889"/>
                          </a:xfrm>
                          <a:prstGeom prst="rect">
                            <a:avLst/>
                          </a:prstGeom>
                          <a:ln>
                            <a:noFill/>
                          </a:ln>
                        </wps:spPr>
                        <wps:txbx>
                          <w:txbxContent>
                            <w:p w14:paraId="4DCEAB69" w14:textId="77777777" w:rsidR="00B32EF2" w:rsidRDefault="00000000">
                              <w:r>
                                <w:rPr>
                                  <w:rFonts w:ascii="Arial" w:eastAsia="Arial" w:hAnsi="Arial" w:cs="Arial"/>
                                  <w:i/>
                                  <w:sz w:val="18"/>
                                </w:rPr>
                                <w:t xml:space="preserve">. Le notizie ed i dati non addotti e gli atti, i documenti, i libri ed i registri non </w:t>
                              </w:r>
                            </w:p>
                          </w:txbxContent>
                        </wps:txbx>
                        <wps:bodyPr horzOverflow="overflow" vert="horz" lIns="0" tIns="0" rIns="0" bIns="0" rtlCol="0">
                          <a:noAutofit/>
                        </wps:bodyPr>
                      </wps:wsp>
                      <wps:wsp>
                        <wps:cNvPr id="17731" name="Rectangle 17731"/>
                        <wps:cNvSpPr/>
                        <wps:spPr>
                          <a:xfrm rot="-10799999">
                            <a:off x="-1218951" y="4212319"/>
                            <a:ext cx="5100602" cy="142889"/>
                          </a:xfrm>
                          <a:prstGeom prst="rect">
                            <a:avLst/>
                          </a:prstGeom>
                          <a:ln>
                            <a:noFill/>
                          </a:ln>
                        </wps:spPr>
                        <wps:txbx>
                          <w:txbxContent>
                            <w:p w14:paraId="72728203" w14:textId="77777777" w:rsidR="00B32EF2" w:rsidRDefault="00000000">
                              <w:r>
                                <w:rPr>
                                  <w:rFonts w:ascii="Arial" w:eastAsia="Arial" w:hAnsi="Arial" w:cs="Arial"/>
                                  <w:i/>
                                  <w:sz w:val="18"/>
                                </w:rPr>
                                <w:t xml:space="preserve">esibiti o non trasmessi in risposta agli inviti dell’ufficio non possono essere </w:t>
                              </w:r>
                            </w:p>
                          </w:txbxContent>
                        </wps:txbx>
                        <wps:bodyPr horzOverflow="overflow" vert="horz" lIns="0" tIns="0" rIns="0" bIns="0" rtlCol="0">
                          <a:noAutofit/>
                        </wps:bodyPr>
                      </wps:wsp>
                      <wps:wsp>
                        <wps:cNvPr id="17732" name="Rectangle 17732"/>
                        <wps:cNvSpPr/>
                        <wps:spPr>
                          <a:xfrm rot="-10799999">
                            <a:off x="-1219072" y="4088989"/>
                            <a:ext cx="5100724" cy="142889"/>
                          </a:xfrm>
                          <a:prstGeom prst="rect">
                            <a:avLst/>
                          </a:prstGeom>
                          <a:ln>
                            <a:noFill/>
                          </a:ln>
                        </wps:spPr>
                        <wps:txbx>
                          <w:txbxContent>
                            <w:p w14:paraId="4DDE56CF" w14:textId="77777777" w:rsidR="00B32EF2" w:rsidRDefault="00000000">
                              <w:r>
                                <w:rPr>
                                  <w:rFonts w:ascii="Arial" w:eastAsia="Arial" w:hAnsi="Arial" w:cs="Arial"/>
                                  <w:i/>
                                  <w:sz w:val="18"/>
                                </w:rPr>
                                <w:t xml:space="preserve">presi in considerazione a favore del contribuente, ai fini dell’accertamento </w:t>
                              </w:r>
                            </w:p>
                          </w:txbxContent>
                        </wps:txbx>
                        <wps:bodyPr horzOverflow="overflow" vert="horz" lIns="0" tIns="0" rIns="0" bIns="0" rtlCol="0">
                          <a:noAutofit/>
                        </wps:bodyPr>
                      </wps:wsp>
                      <wps:wsp>
                        <wps:cNvPr id="17733" name="Rectangle 17733"/>
                        <wps:cNvSpPr/>
                        <wps:spPr>
                          <a:xfrm rot="-10799999">
                            <a:off x="-1122738" y="3965659"/>
                            <a:ext cx="5004390" cy="142889"/>
                          </a:xfrm>
                          <a:prstGeom prst="rect">
                            <a:avLst/>
                          </a:prstGeom>
                          <a:ln>
                            <a:noFill/>
                          </a:ln>
                        </wps:spPr>
                        <wps:txbx>
                          <w:txbxContent>
                            <w:p w14:paraId="707B368D" w14:textId="77777777" w:rsidR="00B32EF2" w:rsidRDefault="00000000">
                              <w:r>
                                <w:rPr>
                                  <w:rFonts w:ascii="Arial" w:eastAsia="Arial" w:hAnsi="Arial" w:cs="Arial"/>
                                  <w:i/>
                                  <w:sz w:val="18"/>
                                </w:rPr>
                                <w:t>in sede amministrativa e contenziosa. Di ciò l’ufficio deve informare il con</w:t>
                              </w:r>
                            </w:p>
                          </w:txbxContent>
                        </wps:txbx>
                        <wps:bodyPr horzOverflow="overflow" vert="horz" lIns="0" tIns="0" rIns="0" bIns="0" rtlCol="0">
                          <a:noAutofit/>
                        </wps:bodyPr>
                      </wps:wsp>
                      <wps:wsp>
                        <wps:cNvPr id="17734" name="Rectangle 17734"/>
                        <wps:cNvSpPr/>
                        <wps:spPr>
                          <a:xfrm rot="-10799999">
                            <a:off x="65757" y="3965660"/>
                            <a:ext cx="50622" cy="142889"/>
                          </a:xfrm>
                          <a:prstGeom prst="rect">
                            <a:avLst/>
                          </a:prstGeom>
                          <a:ln>
                            <a:noFill/>
                          </a:ln>
                        </wps:spPr>
                        <wps:txbx>
                          <w:txbxContent>
                            <w:p w14:paraId="1849B2D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735" name="Rectangle 17735"/>
                        <wps:cNvSpPr/>
                        <wps:spPr>
                          <a:xfrm rot="-10799999">
                            <a:off x="1170925" y="3842330"/>
                            <a:ext cx="2710727" cy="142889"/>
                          </a:xfrm>
                          <a:prstGeom prst="rect">
                            <a:avLst/>
                          </a:prstGeom>
                          <a:ln>
                            <a:noFill/>
                          </a:ln>
                        </wps:spPr>
                        <wps:txbx>
                          <w:txbxContent>
                            <w:p w14:paraId="5E499754" w14:textId="77777777" w:rsidR="00B32EF2" w:rsidRDefault="00000000">
                              <w:r>
                                <w:rPr>
                                  <w:rFonts w:ascii="Arial" w:eastAsia="Arial" w:hAnsi="Arial" w:cs="Arial"/>
                                  <w:i/>
                                  <w:sz w:val="18"/>
                                </w:rPr>
                                <w:t>tribuente contestualmente alla richiesta.</w:t>
                              </w:r>
                            </w:p>
                          </w:txbxContent>
                        </wps:txbx>
                        <wps:bodyPr horzOverflow="overflow" vert="horz" lIns="0" tIns="0" rIns="0" bIns="0" rtlCol="0">
                          <a:noAutofit/>
                        </wps:bodyPr>
                      </wps:wsp>
                      <wps:wsp>
                        <wps:cNvPr id="17736" name="Rectangle 17736"/>
                        <wps:cNvSpPr/>
                        <wps:spPr>
                          <a:xfrm rot="-10799999">
                            <a:off x="-1123148" y="3719000"/>
                            <a:ext cx="5004801" cy="142889"/>
                          </a:xfrm>
                          <a:prstGeom prst="rect">
                            <a:avLst/>
                          </a:prstGeom>
                          <a:ln>
                            <a:noFill/>
                          </a:ln>
                        </wps:spPr>
                        <wps:txbx>
                          <w:txbxContent>
                            <w:p w14:paraId="42C9EABC" w14:textId="77777777" w:rsidR="00B32EF2" w:rsidRDefault="00000000">
                              <w:r>
                                <w:rPr>
                                  <w:rFonts w:ascii="Arial" w:eastAsia="Arial" w:hAnsi="Arial" w:cs="Arial"/>
                                  <w:i/>
                                  <w:sz w:val="18"/>
                                </w:rPr>
                                <w:t>Le cause di inutilizzabilità previste dal terzo comma non operano nei con</w:t>
                              </w:r>
                            </w:p>
                          </w:txbxContent>
                        </wps:txbx>
                        <wps:bodyPr horzOverflow="overflow" vert="horz" lIns="0" tIns="0" rIns="0" bIns="0" rtlCol="0">
                          <a:noAutofit/>
                        </wps:bodyPr>
                      </wps:wsp>
                      <wps:wsp>
                        <wps:cNvPr id="17737" name="Rectangle 17737"/>
                        <wps:cNvSpPr/>
                        <wps:spPr>
                          <a:xfrm rot="-10799999">
                            <a:off x="65757" y="3719000"/>
                            <a:ext cx="50622" cy="142889"/>
                          </a:xfrm>
                          <a:prstGeom prst="rect">
                            <a:avLst/>
                          </a:prstGeom>
                          <a:ln>
                            <a:noFill/>
                          </a:ln>
                        </wps:spPr>
                        <wps:txbx>
                          <w:txbxContent>
                            <w:p w14:paraId="27C91CA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738" name="Rectangle 17738"/>
                        <wps:cNvSpPr/>
                        <wps:spPr>
                          <a:xfrm rot="-10799999">
                            <a:off x="-1123086" y="3595670"/>
                            <a:ext cx="5005424" cy="142889"/>
                          </a:xfrm>
                          <a:prstGeom prst="rect">
                            <a:avLst/>
                          </a:prstGeom>
                          <a:ln>
                            <a:noFill/>
                          </a:ln>
                        </wps:spPr>
                        <wps:txbx>
                          <w:txbxContent>
                            <w:p w14:paraId="34C66598" w14:textId="77777777" w:rsidR="00B32EF2" w:rsidRDefault="00000000">
                              <w:r>
                                <w:rPr>
                                  <w:rFonts w:ascii="Arial" w:eastAsia="Arial" w:hAnsi="Arial" w:cs="Arial"/>
                                  <w:i/>
                                  <w:sz w:val="18"/>
                                </w:rPr>
                                <w:t>fronti del contribuente che depositi in allegato all’atto introduttivo del giu</w:t>
                              </w:r>
                            </w:p>
                          </w:txbxContent>
                        </wps:txbx>
                        <wps:bodyPr horzOverflow="overflow" vert="horz" lIns="0" tIns="0" rIns="0" bIns="0" rtlCol="0">
                          <a:noAutofit/>
                        </wps:bodyPr>
                      </wps:wsp>
                      <wps:wsp>
                        <wps:cNvPr id="17739" name="Rectangle 17739"/>
                        <wps:cNvSpPr/>
                        <wps:spPr>
                          <a:xfrm rot="-10799999">
                            <a:off x="65757" y="3595671"/>
                            <a:ext cx="50622" cy="142889"/>
                          </a:xfrm>
                          <a:prstGeom prst="rect">
                            <a:avLst/>
                          </a:prstGeom>
                          <a:ln>
                            <a:noFill/>
                          </a:ln>
                        </wps:spPr>
                        <wps:txbx>
                          <w:txbxContent>
                            <w:p w14:paraId="024B918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740" name="Rectangle 17740"/>
                        <wps:cNvSpPr/>
                        <wps:spPr>
                          <a:xfrm rot="-10799999">
                            <a:off x="-1224224" y="3472341"/>
                            <a:ext cx="5121764" cy="142889"/>
                          </a:xfrm>
                          <a:prstGeom prst="rect">
                            <a:avLst/>
                          </a:prstGeom>
                          <a:ln>
                            <a:noFill/>
                          </a:ln>
                        </wps:spPr>
                        <wps:txbx>
                          <w:txbxContent>
                            <w:p w14:paraId="75195AD0" w14:textId="77777777" w:rsidR="00B32EF2" w:rsidRDefault="00000000">
                              <w:r>
                                <w:rPr>
                                  <w:rFonts w:ascii="Arial" w:eastAsia="Arial" w:hAnsi="Arial" w:cs="Arial"/>
                                  <w:i/>
                                  <w:sz w:val="18"/>
                                </w:rPr>
                                <w:t xml:space="preserve">dizio di primo grado in sede contenziosa le notizie, i dati, i documenti, i </w:t>
                              </w:r>
                            </w:p>
                          </w:txbxContent>
                        </wps:txbx>
                        <wps:bodyPr horzOverflow="overflow" vert="horz" lIns="0" tIns="0" rIns="0" bIns="0" rtlCol="0">
                          <a:noAutofit/>
                        </wps:bodyPr>
                      </wps:wsp>
                      <wps:wsp>
                        <wps:cNvPr id="17741" name="Rectangle 17741"/>
                        <wps:cNvSpPr/>
                        <wps:spPr>
                          <a:xfrm rot="-10799999">
                            <a:off x="-1219736" y="3349011"/>
                            <a:ext cx="5103445" cy="142889"/>
                          </a:xfrm>
                          <a:prstGeom prst="rect">
                            <a:avLst/>
                          </a:prstGeom>
                          <a:ln>
                            <a:noFill/>
                          </a:ln>
                        </wps:spPr>
                        <wps:txbx>
                          <w:txbxContent>
                            <w:p w14:paraId="57983273" w14:textId="77777777" w:rsidR="00B32EF2" w:rsidRDefault="00000000">
                              <w:r>
                                <w:rPr>
                                  <w:rFonts w:ascii="Arial" w:eastAsia="Arial" w:hAnsi="Arial" w:cs="Arial"/>
                                  <w:i/>
                                  <w:sz w:val="18"/>
                                </w:rPr>
                                <w:t xml:space="preserve">libri e i registri, dichiarando comunque contestualmente di non aver potuto </w:t>
                              </w:r>
                            </w:p>
                          </w:txbxContent>
                        </wps:txbx>
                        <wps:bodyPr horzOverflow="overflow" vert="horz" lIns="0" tIns="0" rIns="0" bIns="0" rtlCol="0">
                          <a:noAutofit/>
                        </wps:bodyPr>
                      </wps:wsp>
                      <wps:wsp>
                        <wps:cNvPr id="17742" name="Rectangle 17742"/>
                        <wps:cNvSpPr/>
                        <wps:spPr>
                          <a:xfrm rot="-10799999">
                            <a:off x="-603852" y="3225681"/>
                            <a:ext cx="4485504" cy="142889"/>
                          </a:xfrm>
                          <a:prstGeom prst="rect">
                            <a:avLst/>
                          </a:prstGeom>
                          <a:ln>
                            <a:noFill/>
                          </a:ln>
                        </wps:spPr>
                        <wps:txbx>
                          <w:txbxContent>
                            <w:p w14:paraId="5D404614" w14:textId="77777777" w:rsidR="00B32EF2" w:rsidRDefault="00000000">
                              <w:r>
                                <w:rPr>
                                  <w:rFonts w:ascii="Arial" w:eastAsia="Arial" w:hAnsi="Arial" w:cs="Arial"/>
                                  <w:i/>
                                  <w:sz w:val="18"/>
                                </w:rPr>
                                <w:t>adempiere alle richieste degli uffici per causa a lui non imputabile.</w:t>
                              </w:r>
                            </w:p>
                          </w:txbxContent>
                        </wps:txbx>
                        <wps:bodyPr horzOverflow="overflow" vert="horz" lIns="0" tIns="0" rIns="0" bIns="0" rtlCol="0">
                          <a:noAutofit/>
                        </wps:bodyPr>
                      </wps:wsp>
                      <wps:wsp>
                        <wps:cNvPr id="200834" name="Rectangle 200834"/>
                        <wps:cNvSpPr/>
                        <wps:spPr>
                          <a:xfrm rot="-10799999">
                            <a:off x="2576433" y="3102351"/>
                            <a:ext cx="5004299" cy="142889"/>
                          </a:xfrm>
                          <a:prstGeom prst="rect">
                            <a:avLst/>
                          </a:prstGeom>
                          <a:ln>
                            <a:noFill/>
                          </a:ln>
                        </wps:spPr>
                        <wps:txbx>
                          <w:txbxContent>
                            <w:p w14:paraId="31023367"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200835" name="Rectangle 200835"/>
                        <wps:cNvSpPr/>
                        <wps:spPr>
                          <a:xfrm rot="-10799999">
                            <a:off x="-1191730" y="3102351"/>
                            <a:ext cx="5004298" cy="142889"/>
                          </a:xfrm>
                          <a:prstGeom prst="rect">
                            <a:avLst/>
                          </a:prstGeom>
                          <a:ln>
                            <a:noFill/>
                          </a:ln>
                        </wps:spPr>
                        <wps:txbx>
                          <w:txbxContent>
                            <w:p w14:paraId="4B94C82E" w14:textId="77777777" w:rsidR="00B32EF2" w:rsidRDefault="00000000">
                              <w:r>
                                <w:rPr>
                                  <w:rFonts w:ascii="Arial" w:eastAsia="Arial" w:hAnsi="Arial" w:cs="Arial"/>
                                  <w:i/>
                                  <w:sz w:val="18"/>
                                </w:rPr>
                                <w:t>. Quando l’Agenzia delle entrate riceve comunicazione da parte del pubbli</w:t>
                              </w:r>
                            </w:p>
                          </w:txbxContent>
                        </wps:txbx>
                        <wps:bodyPr horzOverflow="overflow" vert="horz" lIns="0" tIns="0" rIns="0" bIns="0" rtlCol="0">
                          <a:noAutofit/>
                        </wps:bodyPr>
                      </wps:wsp>
                      <wps:wsp>
                        <wps:cNvPr id="17744" name="Rectangle 17744"/>
                        <wps:cNvSpPr/>
                        <wps:spPr>
                          <a:xfrm rot="-10799999">
                            <a:off x="65757" y="3102352"/>
                            <a:ext cx="50622" cy="142889"/>
                          </a:xfrm>
                          <a:prstGeom prst="rect">
                            <a:avLst/>
                          </a:prstGeom>
                          <a:ln>
                            <a:noFill/>
                          </a:ln>
                        </wps:spPr>
                        <wps:txbx>
                          <w:txbxContent>
                            <w:p w14:paraId="451536C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745" name="Rectangle 17745"/>
                        <wps:cNvSpPr/>
                        <wps:spPr>
                          <a:xfrm rot="-10799999">
                            <a:off x="-1218901" y="2979022"/>
                            <a:ext cx="5099295" cy="142889"/>
                          </a:xfrm>
                          <a:prstGeom prst="rect">
                            <a:avLst/>
                          </a:prstGeom>
                          <a:ln>
                            <a:noFill/>
                          </a:ln>
                        </wps:spPr>
                        <wps:txbx>
                          <w:txbxContent>
                            <w:p w14:paraId="58337216" w14:textId="77777777" w:rsidR="00B32EF2" w:rsidRDefault="00000000">
                              <w:r>
                                <w:rPr>
                                  <w:rFonts w:ascii="Arial" w:eastAsia="Arial" w:hAnsi="Arial" w:cs="Arial"/>
                                  <w:i/>
                                  <w:sz w:val="18"/>
                                </w:rPr>
                                <w:t xml:space="preserve">co ministero dell’esercizio dell’azione penale ai sensi dell’articolo 129, comma </w:t>
                              </w:r>
                            </w:p>
                          </w:txbxContent>
                        </wps:txbx>
                        <wps:bodyPr horzOverflow="overflow" vert="horz" lIns="0" tIns="0" rIns="0" bIns="0" rtlCol="0">
                          <a:noAutofit/>
                        </wps:bodyPr>
                      </wps:wsp>
                      <wps:wsp>
                        <wps:cNvPr id="200832" name="Rectangle 200832"/>
                        <wps:cNvSpPr/>
                        <wps:spPr>
                          <a:xfrm rot="-10799999">
                            <a:off x="2511322" y="2855692"/>
                            <a:ext cx="5102488" cy="142889"/>
                          </a:xfrm>
                          <a:prstGeom prst="rect">
                            <a:avLst/>
                          </a:prstGeom>
                          <a:ln>
                            <a:noFill/>
                          </a:ln>
                        </wps:spPr>
                        <wps:txbx>
                          <w:txbxContent>
                            <w:p w14:paraId="1FEE465B"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0833" name="Rectangle 200833"/>
                        <wps:cNvSpPr/>
                        <wps:spPr>
                          <a:xfrm rot="-10799999">
                            <a:off x="-1326426" y="2855692"/>
                            <a:ext cx="5102488" cy="142889"/>
                          </a:xfrm>
                          <a:prstGeom prst="rect">
                            <a:avLst/>
                          </a:prstGeom>
                          <a:ln>
                            <a:noFill/>
                          </a:ln>
                        </wps:spPr>
                        <wps:txbx>
                          <w:txbxContent>
                            <w:p w14:paraId="11D4F1F9" w14:textId="77777777" w:rsidR="00B32EF2" w:rsidRDefault="00000000">
                              <w:r>
                                <w:rPr>
                                  <w:rFonts w:ascii="Arial" w:eastAsia="Arial" w:hAnsi="Arial" w:cs="Arial"/>
                                  <w:i/>
                                  <w:sz w:val="18"/>
                                </w:rPr>
                                <w:t xml:space="preserve">quater, delle disposizioni attuative del codice di procedura penale , di cui al </w:t>
                              </w:r>
                            </w:p>
                          </w:txbxContent>
                        </wps:txbx>
                        <wps:bodyPr horzOverflow="overflow" vert="horz" lIns="0" tIns="0" rIns="0" bIns="0" rtlCol="0">
                          <a:noAutofit/>
                        </wps:bodyPr>
                      </wps:wsp>
                      <wps:wsp>
                        <wps:cNvPr id="17747" name="Rectangle 17747"/>
                        <wps:cNvSpPr/>
                        <wps:spPr>
                          <a:xfrm rot="-10799999">
                            <a:off x="-1216794" y="2732362"/>
                            <a:ext cx="5091815" cy="142889"/>
                          </a:xfrm>
                          <a:prstGeom prst="rect">
                            <a:avLst/>
                          </a:prstGeom>
                          <a:ln>
                            <a:noFill/>
                          </a:ln>
                        </wps:spPr>
                        <wps:txbx>
                          <w:txbxContent>
                            <w:p w14:paraId="6C79232D" w14:textId="77777777" w:rsidR="00B32EF2" w:rsidRDefault="00000000">
                              <w:r>
                                <w:rPr>
                                  <w:rFonts w:ascii="Arial" w:eastAsia="Arial" w:hAnsi="Arial" w:cs="Arial"/>
                                  <w:i/>
                                  <w:sz w:val="18"/>
                                </w:rPr>
                                <w:t xml:space="preserve">decreto legislativo 28 luglio 1989, n. 271 , risponde senza ritardo trasmettendo, </w:t>
                              </w:r>
                            </w:p>
                          </w:txbxContent>
                        </wps:txbx>
                        <wps:bodyPr horzOverflow="overflow" vert="horz" lIns="0" tIns="0" rIns="0" bIns="0" rtlCol="0">
                          <a:noAutofit/>
                        </wps:bodyPr>
                      </wps:wsp>
                      <wps:wsp>
                        <wps:cNvPr id="17748" name="Rectangle 17748"/>
                        <wps:cNvSpPr/>
                        <wps:spPr>
                          <a:xfrm rot="-10799999">
                            <a:off x="-1218257" y="2609033"/>
                            <a:ext cx="5097622" cy="142889"/>
                          </a:xfrm>
                          <a:prstGeom prst="rect">
                            <a:avLst/>
                          </a:prstGeom>
                          <a:ln>
                            <a:noFill/>
                          </a:ln>
                        </wps:spPr>
                        <wps:txbx>
                          <w:txbxContent>
                            <w:p w14:paraId="15925E1D" w14:textId="77777777" w:rsidR="00B32EF2" w:rsidRDefault="00000000">
                              <w:r>
                                <w:rPr>
                                  <w:rFonts w:ascii="Arial" w:eastAsia="Arial" w:hAnsi="Arial" w:cs="Arial"/>
                                  <w:i/>
                                  <w:sz w:val="18"/>
                                </w:rPr>
                                <w:t xml:space="preserve">anche al competente Comando della Guardia di finanza, l’attestazione relativa </w:t>
                              </w:r>
                            </w:p>
                          </w:txbxContent>
                        </wps:txbx>
                        <wps:bodyPr horzOverflow="overflow" vert="horz" lIns="0" tIns="0" rIns="0" bIns="0" rtlCol="0">
                          <a:noAutofit/>
                        </wps:bodyPr>
                      </wps:wsp>
                      <wps:wsp>
                        <wps:cNvPr id="17749" name="Rectangle 17749"/>
                        <wps:cNvSpPr/>
                        <wps:spPr>
                          <a:xfrm rot="-10799999">
                            <a:off x="703674" y="2485703"/>
                            <a:ext cx="3175692" cy="142889"/>
                          </a:xfrm>
                          <a:prstGeom prst="rect">
                            <a:avLst/>
                          </a:prstGeom>
                          <a:ln>
                            <a:noFill/>
                          </a:ln>
                        </wps:spPr>
                        <wps:txbx>
                          <w:txbxContent>
                            <w:p w14:paraId="1C15CF35" w14:textId="77777777" w:rsidR="00B32EF2" w:rsidRDefault="00000000">
                              <w:r>
                                <w:rPr>
                                  <w:rFonts w:ascii="Arial" w:eastAsia="Arial" w:hAnsi="Arial" w:cs="Arial"/>
                                  <w:i/>
                                  <w:sz w:val="18"/>
                                </w:rPr>
                                <w:t>allo stato di definizione della violazione tributaria.</w:t>
                              </w:r>
                            </w:p>
                          </w:txbxContent>
                        </wps:txbx>
                        <wps:bodyPr horzOverflow="overflow" vert="horz" lIns="0" tIns="0" rIns="0" bIns="0" rtlCol="0">
                          <a:noAutofit/>
                        </wps:bodyPr>
                      </wps:wsp>
                      <wps:wsp>
                        <wps:cNvPr id="17750" name="Rectangle 17750"/>
                        <wps:cNvSpPr/>
                        <wps:spPr>
                          <a:xfrm rot="-10799999">
                            <a:off x="-1218242" y="2362373"/>
                            <a:ext cx="5097608" cy="142889"/>
                          </a:xfrm>
                          <a:prstGeom prst="rect">
                            <a:avLst/>
                          </a:prstGeom>
                          <a:ln>
                            <a:noFill/>
                          </a:ln>
                        </wps:spPr>
                        <wps:txbx>
                          <w:txbxContent>
                            <w:p w14:paraId="1E6AFF23" w14:textId="77777777" w:rsidR="00B32EF2" w:rsidRDefault="00000000">
                              <w:r>
                                <w:rPr>
                                  <w:rFonts w:ascii="Arial" w:eastAsia="Arial" w:hAnsi="Arial" w:cs="Arial"/>
                                  <w:i/>
                                  <w:sz w:val="18"/>
                                </w:rPr>
                                <w:t xml:space="preserve">art. 51 dpr. n. 633/72 “Attribuzione e poteri degli uffici dell’imposte sul valore </w:t>
                              </w:r>
                            </w:p>
                          </w:txbxContent>
                        </wps:txbx>
                        <wps:bodyPr horzOverflow="overflow" vert="horz" lIns="0" tIns="0" rIns="0" bIns="0" rtlCol="0">
                          <a:noAutofit/>
                        </wps:bodyPr>
                      </wps:wsp>
                      <wps:wsp>
                        <wps:cNvPr id="17751" name="Rectangle 17751"/>
                        <wps:cNvSpPr/>
                        <wps:spPr>
                          <a:xfrm rot="-10799999">
                            <a:off x="3230021" y="2239044"/>
                            <a:ext cx="651629" cy="142889"/>
                          </a:xfrm>
                          <a:prstGeom prst="rect">
                            <a:avLst/>
                          </a:prstGeom>
                          <a:ln>
                            <a:noFill/>
                          </a:ln>
                        </wps:spPr>
                        <wps:txbx>
                          <w:txbxContent>
                            <w:p w14:paraId="3D233AF4" w14:textId="77777777" w:rsidR="00B32EF2" w:rsidRDefault="00000000">
                              <w:r>
                                <w:rPr>
                                  <w:rFonts w:ascii="Arial" w:eastAsia="Arial" w:hAnsi="Arial" w:cs="Arial"/>
                                  <w:i/>
                                  <w:sz w:val="18"/>
                                </w:rPr>
                                <w:t xml:space="preserve">aggiunto. </w:t>
                              </w:r>
                            </w:p>
                          </w:txbxContent>
                        </wps:txbx>
                        <wps:bodyPr horzOverflow="overflow" vert="horz" lIns="0" tIns="0" rIns="0" bIns="0" rtlCol="0">
                          <a:noAutofit/>
                        </wps:bodyPr>
                      </wps:wsp>
                      <wps:wsp>
                        <wps:cNvPr id="200830" name="Rectangle 200830"/>
                        <wps:cNvSpPr/>
                        <wps:spPr>
                          <a:xfrm rot="-10799999">
                            <a:off x="2552534" y="2115714"/>
                            <a:ext cx="5100617" cy="142889"/>
                          </a:xfrm>
                          <a:prstGeom prst="rect">
                            <a:avLst/>
                          </a:prstGeom>
                          <a:ln>
                            <a:noFill/>
                          </a:ln>
                        </wps:spPr>
                        <wps:txbx>
                          <w:txbxContent>
                            <w:p w14:paraId="1AD905E4"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0831" name="Rectangle 200831"/>
                        <wps:cNvSpPr/>
                        <wps:spPr>
                          <a:xfrm rot="-10799999">
                            <a:off x="-1278368" y="2115714"/>
                            <a:ext cx="5100618" cy="142889"/>
                          </a:xfrm>
                          <a:prstGeom prst="rect">
                            <a:avLst/>
                          </a:prstGeom>
                          <a:ln>
                            <a:noFill/>
                          </a:ln>
                        </wps:spPr>
                        <wps:txbx>
                          <w:txbxContent>
                            <w:p w14:paraId="7BB56C23" w14:textId="77777777" w:rsidR="00B32EF2" w:rsidRDefault="00000000">
                              <w:r>
                                <w:rPr>
                                  <w:rFonts w:ascii="Arial" w:eastAsia="Arial" w:hAnsi="Arial" w:cs="Arial"/>
                                  <w:i/>
                                  <w:sz w:val="18"/>
                                </w:rPr>
                                <w:t xml:space="preserve">. Gli uffici dell’imposta sul valore aggiunto controllano le dichiarazioni </w:t>
                              </w:r>
                            </w:p>
                          </w:txbxContent>
                        </wps:txbx>
                        <wps:bodyPr horzOverflow="overflow" vert="horz" lIns="0" tIns="0" rIns="0" bIns="0" rtlCol="0">
                          <a:noAutofit/>
                        </wps:bodyPr>
                      </wps:wsp>
                      <wps:wsp>
                        <wps:cNvPr id="17753" name="Rectangle 17753"/>
                        <wps:cNvSpPr/>
                        <wps:spPr>
                          <a:xfrm rot="-10799999">
                            <a:off x="-1221040" y="1992384"/>
                            <a:ext cx="5108978" cy="142889"/>
                          </a:xfrm>
                          <a:prstGeom prst="rect">
                            <a:avLst/>
                          </a:prstGeom>
                          <a:ln>
                            <a:noFill/>
                          </a:ln>
                        </wps:spPr>
                        <wps:txbx>
                          <w:txbxContent>
                            <w:p w14:paraId="4C719846" w14:textId="77777777" w:rsidR="00B32EF2" w:rsidRDefault="00000000">
                              <w:r>
                                <w:rPr>
                                  <w:rFonts w:ascii="Arial" w:eastAsia="Arial" w:hAnsi="Arial" w:cs="Arial"/>
                                  <w:i/>
                                  <w:sz w:val="18"/>
                                </w:rPr>
                                <w:t xml:space="preserve">presentate e i versamenti eseguiti dai contribuenti, ne rilevano l’eventuale </w:t>
                              </w:r>
                            </w:p>
                          </w:txbxContent>
                        </wps:txbx>
                        <wps:bodyPr horzOverflow="overflow" vert="horz" lIns="0" tIns="0" rIns="0" bIns="0" rtlCol="0">
                          <a:noAutofit/>
                        </wps:bodyPr>
                      </wps:wsp>
                      <wps:wsp>
                        <wps:cNvPr id="17754" name="Rectangle 17754"/>
                        <wps:cNvSpPr/>
                        <wps:spPr>
                          <a:xfrm rot="-10799999">
                            <a:off x="-1220399" y="1869055"/>
                            <a:ext cx="5106395" cy="142889"/>
                          </a:xfrm>
                          <a:prstGeom prst="rect">
                            <a:avLst/>
                          </a:prstGeom>
                          <a:ln>
                            <a:noFill/>
                          </a:ln>
                        </wps:spPr>
                        <wps:txbx>
                          <w:txbxContent>
                            <w:p w14:paraId="32CA686A" w14:textId="77777777" w:rsidR="00B32EF2" w:rsidRDefault="00000000">
                              <w:r>
                                <w:rPr>
                                  <w:rFonts w:ascii="Arial" w:eastAsia="Arial" w:hAnsi="Arial" w:cs="Arial"/>
                                  <w:i/>
                                  <w:sz w:val="18"/>
                                </w:rPr>
                                <w:t xml:space="preserve">omissione e provvedono all’accertamento e alla riscossione delle imposte </w:t>
                              </w:r>
                            </w:p>
                          </w:txbxContent>
                        </wps:txbx>
                        <wps:bodyPr horzOverflow="overflow" vert="horz" lIns="0" tIns="0" rIns="0" bIns="0" rtlCol="0">
                          <a:noAutofit/>
                        </wps:bodyPr>
                      </wps:wsp>
                      <wps:wsp>
                        <wps:cNvPr id="17755" name="Rectangle 17755"/>
                        <wps:cNvSpPr/>
                        <wps:spPr>
                          <a:xfrm rot="-10799999">
                            <a:off x="-1222821" y="1745725"/>
                            <a:ext cx="5116018" cy="142889"/>
                          </a:xfrm>
                          <a:prstGeom prst="rect">
                            <a:avLst/>
                          </a:prstGeom>
                          <a:ln>
                            <a:noFill/>
                          </a:ln>
                        </wps:spPr>
                        <wps:txbx>
                          <w:txbxContent>
                            <w:p w14:paraId="1D5D3C14" w14:textId="77777777" w:rsidR="00B32EF2" w:rsidRDefault="00000000">
                              <w:r>
                                <w:rPr>
                                  <w:rFonts w:ascii="Arial" w:eastAsia="Arial" w:hAnsi="Arial" w:cs="Arial"/>
                                  <w:i/>
                                  <w:sz w:val="18"/>
                                </w:rPr>
                                <w:t xml:space="preserve">o maggiori imposte dovute; vigilano sull’osservanza degli obblighi relativi </w:t>
                              </w:r>
                            </w:p>
                          </w:txbxContent>
                        </wps:txbx>
                        <wps:bodyPr horzOverflow="overflow" vert="horz" lIns="0" tIns="0" rIns="0" bIns="0" rtlCol="0">
                          <a:noAutofit/>
                        </wps:bodyPr>
                      </wps:wsp>
                      <wps:wsp>
                        <wps:cNvPr id="17756" name="Rectangle 17756"/>
                        <wps:cNvSpPr/>
                        <wps:spPr>
                          <a:xfrm rot="-10799999">
                            <a:off x="-1123103" y="1622395"/>
                            <a:ext cx="5004754" cy="142889"/>
                          </a:xfrm>
                          <a:prstGeom prst="rect">
                            <a:avLst/>
                          </a:prstGeom>
                          <a:ln>
                            <a:noFill/>
                          </a:ln>
                        </wps:spPr>
                        <wps:txbx>
                          <w:txbxContent>
                            <w:p w14:paraId="6F66A70D" w14:textId="77777777" w:rsidR="00B32EF2" w:rsidRDefault="00000000">
                              <w:r>
                                <w:rPr>
                                  <w:rFonts w:ascii="Arial" w:eastAsia="Arial" w:hAnsi="Arial" w:cs="Arial"/>
                                  <w:i/>
                                  <w:sz w:val="18"/>
                                </w:rPr>
                                <w:t>alla fatturazione e registrazione delle operazioni e alla tenuta della con</w:t>
                              </w:r>
                            </w:p>
                          </w:txbxContent>
                        </wps:txbx>
                        <wps:bodyPr horzOverflow="overflow" vert="horz" lIns="0" tIns="0" rIns="0" bIns="0" rtlCol="0">
                          <a:noAutofit/>
                        </wps:bodyPr>
                      </wps:wsp>
                      <wps:wsp>
                        <wps:cNvPr id="17757" name="Rectangle 17757"/>
                        <wps:cNvSpPr/>
                        <wps:spPr>
                          <a:xfrm rot="-10799999">
                            <a:off x="65757" y="1622396"/>
                            <a:ext cx="50622" cy="142889"/>
                          </a:xfrm>
                          <a:prstGeom prst="rect">
                            <a:avLst/>
                          </a:prstGeom>
                          <a:ln>
                            <a:noFill/>
                          </a:ln>
                        </wps:spPr>
                        <wps:txbx>
                          <w:txbxContent>
                            <w:p w14:paraId="7DF906A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758" name="Rectangle 17758"/>
                        <wps:cNvSpPr/>
                        <wps:spPr>
                          <a:xfrm rot="-10799999">
                            <a:off x="-1222174" y="1499066"/>
                            <a:ext cx="5112855" cy="142889"/>
                          </a:xfrm>
                          <a:prstGeom prst="rect">
                            <a:avLst/>
                          </a:prstGeom>
                          <a:ln>
                            <a:noFill/>
                          </a:ln>
                        </wps:spPr>
                        <wps:txbx>
                          <w:txbxContent>
                            <w:p w14:paraId="770D64D1" w14:textId="77777777" w:rsidR="00B32EF2" w:rsidRDefault="00000000">
                              <w:r>
                                <w:rPr>
                                  <w:rFonts w:ascii="Arial" w:eastAsia="Arial" w:hAnsi="Arial" w:cs="Arial"/>
                                  <w:i/>
                                  <w:sz w:val="18"/>
                                </w:rPr>
                                <w:t xml:space="preserve">tabilità e degli altri obblighi stabiliti dal presente decreto; provvedono alla </w:t>
                              </w:r>
                            </w:p>
                          </w:txbxContent>
                        </wps:txbx>
                        <wps:bodyPr horzOverflow="overflow" vert="horz" lIns="0" tIns="0" rIns="0" bIns="0" rtlCol="0">
                          <a:noAutofit/>
                        </wps:bodyPr>
                      </wps:wsp>
                      <wps:wsp>
                        <wps:cNvPr id="17759" name="Rectangle 17759"/>
                        <wps:cNvSpPr/>
                        <wps:spPr>
                          <a:xfrm rot="-10799999">
                            <a:off x="-1221381" y="1375736"/>
                            <a:ext cx="5110119" cy="142889"/>
                          </a:xfrm>
                          <a:prstGeom prst="rect">
                            <a:avLst/>
                          </a:prstGeom>
                          <a:ln>
                            <a:noFill/>
                          </a:ln>
                        </wps:spPr>
                        <wps:txbx>
                          <w:txbxContent>
                            <w:p w14:paraId="028A6189" w14:textId="77777777" w:rsidR="00B32EF2" w:rsidRDefault="00000000">
                              <w:r>
                                <w:rPr>
                                  <w:rFonts w:ascii="Arial" w:eastAsia="Arial" w:hAnsi="Arial" w:cs="Arial"/>
                                  <w:i/>
                                  <w:sz w:val="18"/>
                                </w:rPr>
                                <w:t xml:space="preserve">irrogazione delle pene pecuniarie e delle sopratasse e alla presentazione </w:t>
                              </w:r>
                            </w:p>
                          </w:txbxContent>
                        </wps:txbx>
                        <wps:bodyPr horzOverflow="overflow" vert="horz" lIns="0" tIns="0" rIns="0" bIns="0" rtlCol="0">
                          <a:noAutofit/>
                        </wps:bodyPr>
                      </wps:wsp>
                      <wps:wsp>
                        <wps:cNvPr id="17760" name="Rectangle 17760"/>
                        <wps:cNvSpPr/>
                        <wps:spPr>
                          <a:xfrm rot="-10799999">
                            <a:off x="-1218370" y="1252406"/>
                            <a:ext cx="5098307" cy="142889"/>
                          </a:xfrm>
                          <a:prstGeom prst="rect">
                            <a:avLst/>
                          </a:prstGeom>
                          <a:ln>
                            <a:noFill/>
                          </a:ln>
                        </wps:spPr>
                        <wps:txbx>
                          <w:txbxContent>
                            <w:p w14:paraId="6C1F7B35" w14:textId="77777777" w:rsidR="00B32EF2" w:rsidRDefault="00000000">
                              <w:r>
                                <w:rPr>
                                  <w:rFonts w:ascii="Arial" w:eastAsia="Arial" w:hAnsi="Arial" w:cs="Arial"/>
                                  <w:i/>
                                  <w:sz w:val="18"/>
                                </w:rPr>
                                <w:t xml:space="preserve">del rapporto all’autorità giudiziaria per le violazioni sanzionate penalmente. </w:t>
                              </w:r>
                            </w:p>
                          </w:txbxContent>
                        </wps:txbx>
                        <wps:bodyPr horzOverflow="overflow" vert="horz" lIns="0" tIns="0" rIns="0" bIns="0" rtlCol="0">
                          <a:noAutofit/>
                        </wps:bodyPr>
                      </wps:wsp>
                      <wps:wsp>
                        <wps:cNvPr id="17761" name="Rectangle 17761"/>
                        <wps:cNvSpPr/>
                        <wps:spPr>
                          <a:xfrm rot="-10799999">
                            <a:off x="-1218753" y="1129077"/>
                            <a:ext cx="5100405" cy="142889"/>
                          </a:xfrm>
                          <a:prstGeom prst="rect">
                            <a:avLst/>
                          </a:prstGeom>
                          <a:ln>
                            <a:noFill/>
                          </a:ln>
                        </wps:spPr>
                        <wps:txbx>
                          <w:txbxContent>
                            <w:p w14:paraId="6FFEB430" w14:textId="77777777" w:rsidR="00B32EF2" w:rsidRDefault="00000000">
                              <w:r>
                                <w:rPr>
                                  <w:rFonts w:ascii="Arial" w:eastAsia="Arial" w:hAnsi="Arial" w:cs="Arial"/>
                                  <w:i/>
                                  <w:sz w:val="18"/>
                                </w:rPr>
                                <w:t xml:space="preserve">Per il controllo delle dichiarazioni presentate e l’individuazione dei soggetti </w:t>
                              </w:r>
                            </w:p>
                          </w:txbxContent>
                        </wps:txbx>
                        <wps:bodyPr horzOverflow="overflow" vert="horz" lIns="0" tIns="0" rIns="0" bIns="0" rtlCol="0">
                          <a:noAutofit/>
                        </wps:bodyPr>
                      </wps:wsp>
                      <wps:wsp>
                        <wps:cNvPr id="17762" name="Rectangle 17762"/>
                        <wps:cNvSpPr/>
                        <wps:spPr>
                          <a:xfrm rot="-10799999">
                            <a:off x="-1217824" y="1005747"/>
                            <a:ext cx="5093990" cy="142889"/>
                          </a:xfrm>
                          <a:prstGeom prst="rect">
                            <a:avLst/>
                          </a:prstGeom>
                          <a:ln>
                            <a:noFill/>
                          </a:ln>
                        </wps:spPr>
                        <wps:txbx>
                          <w:txbxContent>
                            <w:p w14:paraId="3292D516" w14:textId="77777777" w:rsidR="00B32EF2" w:rsidRDefault="00000000">
                              <w:r>
                                <w:rPr>
                                  <w:rFonts w:ascii="Arial" w:eastAsia="Arial" w:hAnsi="Arial" w:cs="Arial"/>
                                  <w:i/>
                                  <w:sz w:val="18"/>
                                </w:rPr>
                                <w:t xml:space="preserve">che ne hanno omesso la presentazione sono effettuate le opportune attività </w:t>
                              </w:r>
                            </w:p>
                          </w:txbxContent>
                        </wps:txbx>
                        <wps:bodyPr horzOverflow="overflow" vert="horz" lIns="0" tIns="0" rIns="0" bIns="0" rtlCol="0">
                          <a:noAutofit/>
                        </wps:bodyPr>
                      </wps:wsp>
                      <wps:wsp>
                        <wps:cNvPr id="17763" name="Rectangle 17763"/>
                        <wps:cNvSpPr/>
                        <wps:spPr>
                          <a:xfrm rot="-10799999">
                            <a:off x="2501714" y="882417"/>
                            <a:ext cx="1379937" cy="142889"/>
                          </a:xfrm>
                          <a:prstGeom prst="rect">
                            <a:avLst/>
                          </a:prstGeom>
                          <a:ln>
                            <a:noFill/>
                          </a:ln>
                        </wps:spPr>
                        <wps:txbx>
                          <w:txbxContent>
                            <w:p w14:paraId="5DD30262" w14:textId="77777777" w:rsidR="00B32EF2" w:rsidRDefault="00000000">
                              <w:r>
                                <w:rPr>
                                  <w:rFonts w:ascii="Arial" w:eastAsia="Arial" w:hAnsi="Arial" w:cs="Arial"/>
                                  <w:i/>
                                  <w:sz w:val="18"/>
                                </w:rPr>
                                <w:t>di analisi del rischio.</w:t>
                              </w:r>
                            </w:p>
                          </w:txbxContent>
                        </wps:txbx>
                        <wps:bodyPr horzOverflow="overflow" vert="horz" lIns="0" tIns="0" rIns="0" bIns="0" rtlCol="0">
                          <a:noAutofit/>
                        </wps:bodyPr>
                      </wps:wsp>
                      <wps:wsp>
                        <wps:cNvPr id="17764" name="Rectangle 17764"/>
                        <wps:cNvSpPr/>
                        <wps:spPr>
                          <a:xfrm rot="-10799999">
                            <a:off x="295797" y="759088"/>
                            <a:ext cx="3585855" cy="142889"/>
                          </a:xfrm>
                          <a:prstGeom prst="rect">
                            <a:avLst/>
                          </a:prstGeom>
                          <a:ln>
                            <a:noFill/>
                          </a:ln>
                        </wps:spPr>
                        <wps:txbx>
                          <w:txbxContent>
                            <w:p w14:paraId="0027435A" w14:textId="77777777" w:rsidR="00B32EF2" w:rsidRDefault="00000000">
                              <w:r>
                                <w:rPr>
                                  <w:rFonts w:ascii="Arial" w:eastAsia="Arial" w:hAnsi="Arial" w:cs="Arial"/>
                                  <w:i/>
                                  <w:sz w:val="18"/>
                                </w:rPr>
                                <w:t>Per l’adempimento dei loro compiti gli uffici possono:</w:t>
                              </w:r>
                            </w:p>
                          </w:txbxContent>
                        </wps:txbx>
                        <wps:bodyPr horzOverflow="overflow" vert="horz" lIns="0" tIns="0" rIns="0" bIns="0" rtlCol="0">
                          <a:noAutofit/>
                        </wps:bodyPr>
                      </wps:wsp>
                      <wps:wsp>
                        <wps:cNvPr id="200827" name="Rectangle 200827"/>
                        <wps:cNvSpPr/>
                        <wps:spPr>
                          <a:xfrm rot="-10799999">
                            <a:off x="2532001" y="635758"/>
                            <a:ext cx="5048673" cy="142889"/>
                          </a:xfrm>
                          <a:prstGeom prst="rect">
                            <a:avLst/>
                          </a:prstGeom>
                          <a:ln>
                            <a:noFill/>
                          </a:ln>
                        </wps:spPr>
                        <wps:txbx>
                          <w:txbxContent>
                            <w:p w14:paraId="6C07CDEC"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0828" name="Rectangle 200828"/>
                        <wps:cNvSpPr/>
                        <wps:spPr>
                          <a:xfrm rot="-10799999">
                            <a:off x="-1271537" y="635758"/>
                            <a:ext cx="5048673" cy="142889"/>
                          </a:xfrm>
                          <a:prstGeom prst="rect">
                            <a:avLst/>
                          </a:prstGeom>
                          <a:ln>
                            <a:noFill/>
                          </a:ln>
                        </wps:spPr>
                        <wps:txbx>
                          <w:txbxContent>
                            <w:p w14:paraId="2FDE9463" w14:textId="77777777" w:rsidR="00B32EF2" w:rsidRDefault="00000000">
                              <w:r>
                                <w:rPr>
                                  <w:rFonts w:ascii="Arial" w:eastAsia="Arial" w:hAnsi="Arial" w:cs="Arial"/>
                                  <w:i/>
                                  <w:sz w:val="18"/>
                                </w:rPr>
                                <w:t xml:space="preserve"> procedere all’esecuzione di accessi, ispezioni e verifiche ai sensi dell’art. 52;</w:t>
                              </w:r>
                            </w:p>
                          </w:txbxContent>
                        </wps:txbx>
                        <wps:bodyPr horzOverflow="overflow" vert="horz" lIns="0" tIns="0" rIns="0" bIns="0" rtlCol="0">
                          <a:noAutofit/>
                        </wps:bodyPr>
                      </wps:wsp>
                      <wps:wsp>
                        <wps:cNvPr id="200825" name="Rectangle 200825"/>
                        <wps:cNvSpPr/>
                        <wps:spPr>
                          <a:xfrm rot="-10799999">
                            <a:off x="2516224" y="512428"/>
                            <a:ext cx="5096043" cy="142889"/>
                          </a:xfrm>
                          <a:prstGeom prst="rect">
                            <a:avLst/>
                          </a:prstGeom>
                          <a:ln>
                            <a:noFill/>
                          </a:ln>
                        </wps:spPr>
                        <wps:txbx>
                          <w:txbxContent>
                            <w:p w14:paraId="6171DA18"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0826" name="Rectangle 200826"/>
                        <wps:cNvSpPr/>
                        <wps:spPr>
                          <a:xfrm rot="-10799999">
                            <a:off x="-1318814" y="512428"/>
                            <a:ext cx="5096042" cy="142889"/>
                          </a:xfrm>
                          <a:prstGeom prst="rect">
                            <a:avLst/>
                          </a:prstGeom>
                          <a:ln>
                            <a:noFill/>
                          </a:ln>
                        </wps:spPr>
                        <wps:txbx>
                          <w:txbxContent>
                            <w:p w14:paraId="1718D6BA" w14:textId="77777777" w:rsidR="00B32EF2" w:rsidRDefault="00000000">
                              <w:r>
                                <w:rPr>
                                  <w:rFonts w:ascii="Arial" w:eastAsia="Arial" w:hAnsi="Arial" w:cs="Arial"/>
                                  <w:i/>
                                  <w:sz w:val="18"/>
                                </w:rPr>
                                <w:t xml:space="preserve"> invitare i soggetti che esercitano imprese, arti o professioni, indicandone </w:t>
                              </w:r>
                            </w:p>
                          </w:txbxContent>
                        </wps:txbx>
                        <wps:bodyPr horzOverflow="overflow" vert="horz" lIns="0" tIns="0" rIns="0" bIns="0" rtlCol="0">
                          <a:noAutofit/>
                        </wps:bodyPr>
                      </wps:wsp>
                      <wps:wsp>
                        <wps:cNvPr id="17767" name="Rectangle 17767"/>
                        <wps:cNvSpPr/>
                        <wps:spPr>
                          <a:xfrm rot="-10799999">
                            <a:off x="-1222531" y="389099"/>
                            <a:ext cx="5113327" cy="142889"/>
                          </a:xfrm>
                          <a:prstGeom prst="rect">
                            <a:avLst/>
                          </a:prstGeom>
                          <a:ln>
                            <a:noFill/>
                          </a:ln>
                        </wps:spPr>
                        <wps:txbx>
                          <w:txbxContent>
                            <w:p w14:paraId="245DA587" w14:textId="77777777" w:rsidR="00B32EF2" w:rsidRDefault="00000000">
                              <w:r>
                                <w:rPr>
                                  <w:rFonts w:ascii="Arial" w:eastAsia="Arial" w:hAnsi="Arial" w:cs="Arial"/>
                                  <w:i/>
                                  <w:sz w:val="18"/>
                                </w:rPr>
                                <w:t xml:space="preserve">il motivo, a comparire di persona o a mezzo di rappresentanti per esibire </w:t>
                              </w:r>
                            </w:p>
                          </w:txbxContent>
                        </wps:txbx>
                        <wps:bodyPr horzOverflow="overflow" vert="horz" lIns="0" tIns="0" rIns="0" bIns="0" rtlCol="0">
                          <a:noAutofit/>
                        </wps:bodyPr>
                      </wps:wsp>
                      <wps:wsp>
                        <wps:cNvPr id="17768" name="Shape 17768"/>
                        <wps:cNvSpPr/>
                        <wps:spPr>
                          <a:xfrm>
                            <a:off x="0" y="338209"/>
                            <a:ext cx="3960000" cy="5945302"/>
                          </a:xfrm>
                          <a:custGeom>
                            <a:avLst/>
                            <a:gdLst/>
                            <a:ahLst/>
                            <a:cxnLst/>
                            <a:rect l="0" t="0" r="0" b="0"/>
                            <a:pathLst>
                              <a:path w="3960000" h="5945302">
                                <a:moveTo>
                                  <a:pt x="0" y="5945302"/>
                                </a:moveTo>
                                <a:lnTo>
                                  <a:pt x="3960000" y="5945302"/>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B7805B4" id="Group 200907" o:spid="_x0000_s3386" style="width:311.8pt;height:494.75pt;mso-position-horizontal-relative:char;mso-position-vertical-relative:line" coordsize="39600,6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doOdQwAAFuGAAAOAAAAZHJzL2Uyb0RvYy54bWzkXWtv2zgW/b7A/gfD39PwIephNB0s2p1i&#10;gcXOYGb2B6iO/ABsy5DdJt1fv+deSrSsMG0h7YTBcjpIHFqWJR6d+zi8JN/+9Ljfzb5UzWlbH+7m&#10;8o2Yz6rDsr7fHtZ383//8fNNPp+dzuXhvtzVh+pu/rU6zX9699e/vH04LipVb+rdfdXMcJLDafFw&#10;vJtvzufj4vb2tNxU+/L0pj5WB7y5qpt9ecafzfr2vikfcPb97lYJkd4+1M39samX1emE1g/2zfk7&#10;Pv9qVS3Pv6xWp+o8293NcW1n/tnwz0/08/bd23KxbsrjZrtsL6MccRX7cnvAl7pTfSjP5exzs31y&#10;qv122dSnenV+s6z3t/VqtV1WfA+4GykGd/OxqT8f+V7Wi4f10XUTunbQT6NPu/zXl4/N8ffjrw16&#10;4uG4Rl/wX3Qvj6tmT79xlbNH7rKvrsuqx/NsiUZdpEIIOZ8t8V6qcm2ktJ263KDnn3xuufn7dz55&#10;233x7dXlPBzxgJwufXCa1ge/b8pjxV17WqAPfm1m23s8v1km8ZQcyj0e1d/w8JSH9a6a2WbuID7a&#10;dddpcULPdX01a2o8XzdSZAX9x89D23cyT/Evm8/QSzepkkX75HXdKLNcp4XtRWVEmqTUia4rysWx&#10;OZ0/VvV+Ri/u5g2ujc9ffvnn6WwP7Q6hy9kd6Oeh/nm729l3qQU92l0xvTo/fnrk21bKJPR91Pip&#10;vv+K3tjUzX9+Aa9Xu/rhbl63r+ZEdXw9vTuf7f5xAArEqu5F07341L1ozrv3NXPPXtDfPp/r1Zav&#10;+PJt7ZUBXnsNfzrOSmR5ActkgeZnYda2td2AZ+IZlOk+OlQZT61zJRivctHhaWmBriFamCIxWqgB&#10;osvPFlE6X4ci7Me9xRNtm+7V8vHQvSTcv2nKjuWZPkcnpZczgOeuZXO5FHp/D1T/qPnI84CnePAu&#10;7+4O/aPc2TpbgGO7I7rfRz5f/8jrLuiO637b49FbTzqrO6L73T+SKeS+HS/ohpk0rhPQ2O/m3YH6&#10;g1Ap4WpWu9JyaL89wwfttnsYAJXBnLVIeShzOn/dVdRlu8Nv1QrkYbtIDadm/en9rpl9Kelp5/8s&#10;QXfHTdm2tudtD+VL5fPQ51dgqjul5I9enfK9pn/tGdqD6XMVOzn3SWE/uWyvxno6+AvcdOfv0Cnu&#10;Q/zN9eHsPn+Al+YvYVNh7/ZCVDIl9NdLMlXkie6YejHJ8P3U/l22fsMmK5Oluca58dSlIlUq5fNd&#10;SGyEUDDblsQyUXnBrg3913nGzuT+WVbZdDcYiVUGpuYZrF1XPG+Zv4H1jZQ54P4u2PDQZLGDgM0u&#10;5MK1/3MXTDGVh9e2eQqtU5MZG2hZUnNk0yc1mH5BOS9ak/pSlM6iojTBmTxltG2egvKNpCDaIIbj&#10;mEHnhR4CLYXIRBtTE6FfHOo8Oqg9xpugnmq7lcwLgxyToM6lSQWfsMdpQJ0iwHa2+8WhZisSle1G&#10;WORLk50TG+umlaQ4jKFOC6WyIdSIyQrZi8leGuqUs4OooIY39UHtPNkoqC9u2vhxDuqmU470o0LZ&#10;ySGXJItst3Nio1AmN50XKfhKttukOaQQ8ooD241vCWa7UxZmooIaQZGP0M6JjYa6EAm8MEGdJCaF&#10;mX4KdYFwsEuxXtx2O8Eginwa9FXQfTxQo3lq8A39tI3ItFIKKslTqBGRh4M6LkGboAYcPqidJxvF&#10;aqVlLnQrzcoCcfgAaYTjCdT0gEi77CIKUpPwqT0GvG2fQmsSRA3F1mTARWZSNcAagihEfSR5wQw4&#10;X1A0vppFbg+t2/YpWJMgmoO53wM7pAl3CUYUxCYT7hdE0TwF6l6mxaTmbu0F4DT0EZDSLsGIBmW/&#10;IKpcxDLKUXOmlSZW+U4Ko1QxBBoqmUJZQjjr7RKMaKD2C6LKhSyjoc4AMdvuJMe4ZDqEWhQJcu1w&#10;UGcuwYgGar8gakMoilhGQg0BxRgriCaZMKl+ArXQCoJ4MFZnLsGIBmq/IKoYmdFQX9y0xZn94qtx&#10;01l0KpnyC6JonhKM8bilhuZISVZicqXFEGgpdEolL6GSrMyFm9EQ2pNPUzju4pVRtlsqUai2vghy&#10;aF5AJcGjc6G0SjOVhJS+MxdyRoE0SyQeN922T6G1go9GCa9ltdbQxAZYG1EYQwXAwVjtYs54sPb4&#10;acZ6mqOGCUeZezumlbxOsOPSyWCrtUcms81TaG2HL9vSkwSlCVqyT7jYcBO69CRzD3MUvCZMETx5&#10;BjrQPBXqQiDM5cBMoFrMjk5eQw2HHdCEu9AzGqj9giiCqmlQSxQWacT3iMFpQCM1Q1YLkWjM0Qnn&#10;rV3oGQ3UflXUVnX+D5JqxtkWb/UoHVb7zqNTybRfEEXzFEJLiUJfiKrM5zxB0sUde8FZYVpfBn0m&#10;GJ9RK9HeYDR89iRa5LxdZDoqp8awJWIwJFcMdYYScDtb6wI1xqiTvJuQGqLsO3dxSDRQe/IsgtpF&#10;pqOgvuih2o9z0GFL5PqxEdqvhyKMmmK6mdCCJtlRLGZQXmSHjq4IbZKQYXcel0pGzPXroWieAnWP&#10;0Iwzu8Q+zmEJ7UKQWMw2Ff948mg0T0EZkolK8L8ldIKalmQINIY0szRgHm2LVaOpIgOhAYEXaheV&#10;jvLQPJZFER3bbp0Uolv7o1sGAeqYxtBHwLjbxSDRsNqvjqEufxKrU6FzY8Ux1HtjIseA1EmSGyNC&#10;ktrFIVEgzeMYHsmkbZ+CNZUBY1jDsloKhSV96Nnpe2pM8whZSGaV2WgMOGPqEU7a9ilYI/wuZNbW&#10;9+vnwUbsH2rg0i6VFA3Y5K09vLbNU6Duhd+MMzuEPqmDht92aZWoUPYwmlB2ecjomCxHIMbWGyXA&#10;hUBx98B6F4Wi4tFghHahSDye2hOUsfV2XTEKbIXF9hCNWawRf2Ei9QBrMD3JQxrvuGQyxtQzZtm2&#10;TzHfN0A6TVBOTMmWep1gRyeU0XQLn4Tiss5RtKa8Os1oojRBjXoHqhcd2nCJhVAC2nDnpaKw4eSX&#10;/fK3rfOjuGU01DkSLgt1Kgphaxv6cVmRhY3M3IhdNFD75e9kmvydoawbBbfMaYgl+POa01pixi0c&#10;eLi4zFmtWIA2fgUczdM8NdY8gQZuoYbt1raifsBp1P2HgzousQzmm2o4PZ7aSlujzTdcM+ZUtsmW&#10;QsUYUvcrR03z6TGNIBzQzmZFwWmOsz2kbtunsBoV/srQiiYUk0lpaF3DK6i5EliGqzHCk9iZrXiw&#10;9rCasZ48sEXrscNAfxvscBZcQ+Fpn+YowCYL7smrbfMUWtNwtRTtOhgSypi25R49Zy0FT90KZcPb&#10;leNjkkaxG4HXWTt9YWyupbB+DbwxWI0NGbB8LGexV1CnOqA0qm1OEBXUfhXcIjM6LiNWq7wNzCQ0&#10;9cwuudCHWqYi4NxLjbHy2Ay4vyLYLig2AWqqCAZxmNVQSojA14EZKoIzMimBBjy0Xa44Klb7dVHo&#10;XFN89WUEE0kVcGZhqkfpoJM5tN0CJiqU/ZIoFmWfgjLbbthsS+ikKASm2l4TGpMAMAASkNDuOY4m&#10;+PZLonbe3ATbjeBbt+uISo19G+z0kB6npURRYTgBpV2dIyZWY46cL/i+rHs+NviWuUZtP7tpZVQy&#10;3DILKyTkWoTUT+LSypA7Y5VzL9ROWxgPNafrlGdJhVnVbC/7rEZIFnDNKsSLnYuKxYDTikMe/fuy&#10;+PloqDOMdVhWC2EyjIhf+2pRIOUG7UMF37YkPSoD7hfK7O5mo301dqWUvJcPSJ0DcijdV0DDfRcF&#10;pvyFA9rVUkXDab9Mhqk1U+Jv1AZmWDqU/HRmCiyEcY2zNjn+BQy+sWtYe3tR4EzDGTRzfWi82/ZJ&#10;SBusHNmWiqYa26YNoMZ8jjzF2HU4SrsnOR6oPTk1Qz05qcY2XGSeQevXiXVcFWWMqUf7btun0Zrk&#10;MRuTGYlClCe0xp7dAReY1HZfmGhCMobUo3237VOgRlEwlvGnHRZB6+exDldUhqK2qLw1JdUeZ22b&#10;pyGNES1Dq9wBaex2KTCOifP1c2qpdcAlbvAgRoe089V2B3lC2XXC8/k0odZuIG/lMN5AfgAnRjdo&#10;D3Ebe13vnt7tVNvf2fwVbSB/fbE/so389Se6rd673083k2fxBrtwd0d0v5/fHB7bwO/qUwXC4GM/&#10;uE08bwWP/n92q3i7x7s95w9uFe/Z153PcrkjbMROz8fVbvDtnu7jNph/FVvFY9P49eJhfeT+Xzfl&#10;cbNdfijPZf9v3lp+Ual6U+/uq+bdfwEAAP//AwBQSwMEFAAGAAgAAAAhAOTYkYbdAAAABQEAAA8A&#10;AABkcnMvZG93bnJldi54bWxMj0FrwkAQhe+F/odlhN7qJopBYzYi0vYkhWqh9DZmxySYnQ3ZNYn/&#10;vtte7GXg8R7vfZNtRtOInjpXW1YQTyMQxIXVNZcKPo+vz0sQziNrbCyTghs52OSPDxmm2g78Qf3B&#10;lyKUsEtRQeV9m0rpiooMuqltiYN3tp1BH2RXSt3hEMpNI2dRlEiDNYeFClvaVVRcDlej4G3AYTuP&#10;X/r95by7fR8X71/7mJR6mozbNQhPo7+H4Rc/oEMemE72ytqJRkF4xP/d4CWzeQLipGC1XC1A5pn8&#10;T5//AAAA//8DAFBLAQItABQABgAIAAAAIQC2gziS/gAAAOEBAAATAAAAAAAAAAAAAAAAAAAAAABb&#10;Q29udGVudF9UeXBlc10ueG1sUEsBAi0AFAAGAAgAAAAhADj9If/WAAAAlAEAAAsAAAAAAAAAAAAA&#10;AAAALwEAAF9yZWxzLy5yZWxzUEsBAi0AFAAGAAgAAAAhAG+52g51DAAAW4YAAA4AAAAAAAAAAAAA&#10;AAAALgIAAGRycy9lMm9Eb2MueG1sUEsBAi0AFAAGAAgAAAAhAOTYkYbdAAAABQEAAA8AAAAAAAAA&#10;AAAAAAAAzw4AAGRycy9kb3ducmV2LnhtbFBLBQYAAAAABAAEAPMAAADZDwAAAAA=&#10;">
                <v:rect id="Rectangle 17710" o:spid="_x0000_s3387" style="position:absolute;left:18686;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6D/xwAAAN4AAAAPAAAAZHJzL2Rvd25yZXYueG1sRI9Pb8Iw&#10;DMXvk/YdIiPtNlJ2GKgjIMSE1sMu/JN2tBrTFhonagLt9unnAxI3W35+7/3my8G16kZdbDwbmIwz&#10;UMSltw1XBg77zesMVEzIFlvPZOCXIiwXz09zzK3veUu3XaqUmHDM0UCdUsi1jmVNDuPYB2K5nXzn&#10;MMnaVdp22Iu5a/Vblr1rhw1LQo2B1jWVl93VGfj55FBsel2e/tbh+1zM2q/r4WjMy2hYfYBKNKSH&#10;+P5dWKk/nU4EQHBkBr34BwAA//8DAFBLAQItABQABgAIAAAAIQDb4fbL7gAAAIUBAAATAAAAAAAA&#10;AAAAAAAAAAAAAABbQ29udGVudF9UeXBlc10ueG1sUEsBAi0AFAAGAAgAAAAhAFr0LFu/AAAAFQEA&#10;AAsAAAAAAAAAAAAAAAAAHwEAAF9yZWxzLy5yZWxzUEsBAi0AFAAGAAgAAAAhAPpzoP/HAAAA3gAA&#10;AA8AAAAAAAAAAAAAAAAABwIAAGRycy9kb3ducmV2LnhtbFBLBQYAAAAAAwADALcAAAD7AgAAAAA=&#10;" filled="f" stroked="f">
                  <v:textbox inset="0,0,0,0">
                    <w:txbxContent>
                      <w:p w14:paraId="76AAE048" w14:textId="77777777" w:rsidR="00B32EF2" w:rsidRDefault="00000000">
                        <w:r>
                          <w:rPr>
                            <w:rFonts w:ascii="Times New Roman" w:eastAsia="Times New Roman" w:hAnsi="Times New Roman" w:cs="Times New Roman"/>
                          </w:rPr>
                          <w:t>70</w:t>
                        </w:r>
                      </w:p>
                    </w:txbxContent>
                  </v:textbox>
                </v:rect>
                <v:shape id="Shape 207898" o:spid="_x0000_s3388" style="position:absolute;top:3382;width:39600;height:59453;visibility:visible;mso-wrap-style:square;v-text-anchor:top" coordsize="3960000,594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4uKxgAAAN8AAAAPAAAAZHJzL2Rvd25yZXYueG1sRE/LasJA&#10;FN0X/IfhCm6kTpqFj9RRimgNuCjVULq8ZK5JMHMnZKaa+PXOQujycN7LdWdqcaXWVZYVvE0iEMS5&#10;1RUXCrLT7nUOwnlkjbVlUtCTg/Vq8LLERNsbf9P16AsRQtglqKD0vkmkdHlJBt3ENsSBO9vWoA+w&#10;LaRu8RbCTS3jKJpKgxWHhhIb2pSUX45/RsHnFx/Sfvc7TtM9/WzvlPWbOFNqNOw+3kF46vy/+OlO&#10;tYI4ms0XYXD4E76AXD0AAAD//wMAUEsBAi0AFAAGAAgAAAAhANvh9svuAAAAhQEAABMAAAAAAAAA&#10;AAAAAAAAAAAAAFtDb250ZW50X1R5cGVzXS54bWxQSwECLQAUAAYACAAAACEAWvQsW78AAAAVAQAA&#10;CwAAAAAAAAAAAAAAAAAfAQAAX3JlbHMvLnJlbHNQSwECLQAUAAYACAAAACEARceLisYAAADfAAAA&#10;DwAAAAAAAAAAAAAAAAAHAgAAZHJzL2Rvd25yZXYueG1sUEsFBgAAAAADAAMAtwAAAPoCAAAAAA==&#10;" path="m,l3960000,r,5945302l,5945302,,e" fillcolor="#c3c3c3" stroked="f" strokeweight="0">
                  <v:stroke miterlimit="83231f" joinstyle="miter"/>
                  <v:path arrowok="t" textboxrect="0,0,3960000,5945302"/>
                </v:shape>
                <v:rect id="Rectangle 200843" o:spid="_x0000_s3389" style="position:absolute;left:25768;top:60622;width:500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L/zxwAAAN8AAAAPAAAAZHJzL2Rvd25yZXYueG1sRI9Pa8JA&#10;FMTvgt9heUJvuukfJKRuQrFIc/BSa6HHR/aZRLNvl+xqUj99tyB4HGbmN8yqGE0nLtT71rKCx0UC&#10;griyuuVawf5rM09B+ICssbNMCn7JQ5FPJyvMtB34ky67UIsIYZ+hgiYEl0npq4YM+oV1xNE72N5g&#10;iLKvpe5xiHDTyackWUqDLceFBh2tG6pOu7NR8PPOrtwMsjpc1257LNPu47z/VuphNr69ggg0hnv4&#10;1i61gkhMX57h/0/8AjL/AwAA//8DAFBLAQItABQABgAIAAAAIQDb4fbL7gAAAIUBAAATAAAAAAAA&#10;AAAAAAAAAAAAAABbQ29udGVudF9UeXBlc10ueG1sUEsBAi0AFAAGAAgAAAAhAFr0LFu/AAAAFQEA&#10;AAsAAAAAAAAAAAAAAAAAHwEAAF9yZWxzLy5yZWxzUEsBAi0AFAAGAAgAAAAhAA/Iv/PHAAAA3wAA&#10;AA8AAAAAAAAAAAAAAAAABwIAAGRycy9kb3ducmV2LnhtbFBLBQYAAAAAAwADALcAAAD7AgAAAAA=&#10;" filled="f" stroked="f">
                  <v:textbox inset="0,0,0,0">
                    <w:txbxContent>
                      <w:p w14:paraId="6DE32190" w14:textId="77777777" w:rsidR="00B32EF2" w:rsidRDefault="00000000">
                        <w:r>
                          <w:rPr>
                            <w:rFonts w:ascii="Arial" w:eastAsia="Arial" w:hAnsi="Arial" w:cs="Arial"/>
                            <w:i/>
                            <w:sz w:val="18"/>
                          </w:rPr>
                          <w:t>2</w:t>
                        </w:r>
                      </w:p>
                    </w:txbxContent>
                  </v:textbox>
                </v:rect>
                <v:rect id="Rectangle 200845" o:spid="_x0000_s3390" style="position:absolute;left:-11857;top:60622;width:50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YIcxwAAAN8AAAAPAAAAZHJzL2Rvd25yZXYueG1sRI9Ba8JA&#10;FITvgv9heUJvumlpJaRuQrFIc/BSa6HHR/aZRLNvl+xqUn99tyB4HGbmG2ZVjKYTF+p9a1nB4yIB&#10;QVxZ3XKtYP+1macgfEDW2FkmBb/kocinkxVm2g78SZddqEWEsM9QQROCy6T0VUMG/cI64ugdbG8w&#10;RNnXUvc4RLjp5FOSLKXBluNCg47WDVWn3dko+HlnV24GWR2ua7c9lmn3cd5/K/UwG99eQQQawz18&#10;a5daQSSmzy/w/yd+AZn/AQAA//8DAFBLAQItABQABgAIAAAAIQDb4fbL7gAAAIUBAAATAAAAAAAA&#10;AAAAAAAAAAAAAABbQ29udGVudF9UeXBlc10ueG1sUEsBAi0AFAAGAAgAAAAhAFr0LFu/AAAAFQEA&#10;AAsAAAAAAAAAAAAAAAAAHwEAAF9yZWxzLy5yZWxzUEsBAi0AFAAGAAgAAAAhAO9tghzHAAAA3wAA&#10;AA8AAAAAAAAAAAAAAAAABwIAAGRycy9kb3ducmV2LnhtbFBLBQYAAAAAAwADALcAAAD7AgAAAAA=&#10;" filled="f" stroked="f">
                  <v:textbox inset="0,0,0,0">
                    <w:txbxContent>
                      <w:p w14:paraId="2D54B265" w14:textId="77777777" w:rsidR="00B32EF2" w:rsidRDefault="00000000">
                        <w:r>
                          <w:rPr>
                            <w:rFonts w:ascii="Arial" w:eastAsia="Arial" w:hAnsi="Arial" w:cs="Arial"/>
                            <w:i/>
                            <w:sz w:val="18"/>
                          </w:rPr>
                          <w:t>. Gli inviti e le richieste di cui al presente articolo devono essere notifi</w:t>
                        </w:r>
                      </w:p>
                    </w:txbxContent>
                  </v:textbox>
                </v:rect>
                <v:rect id="Rectangle 17713" o:spid="_x0000_s3391" style="position:absolute;left:657;top:6062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6IxAAAAN4AAAAPAAAAZHJzL2Rvd25yZXYueG1sRE9Li8Iw&#10;EL4v7H8Is+BtTVVYpRplcRF72Isv8Dg0Y1ttJqGJtvrrzcKCt/n4njNbdKYWN2p8ZVnBoJ+AIM6t&#10;rrhQsN+tPicgfEDWWFsmBXfysJi/v80w1bblDd22oRAxhH2KCsoQXCqlz0sy6PvWEUfuZBuDIcKm&#10;kLrBNoabWg6T5EsarDg2lOhoWVJ+2V6NguMPu2zVyvz0WLrfczap19f9QaneR/c9BRGoCy/xvzvT&#10;cf54PBjB3zvxBjl/AgAA//8DAFBLAQItABQABgAIAAAAIQDb4fbL7gAAAIUBAAATAAAAAAAAAAAA&#10;AAAAAAAAAABbQ29udGVudF9UeXBlc10ueG1sUEsBAi0AFAAGAAgAAAAhAFr0LFu/AAAAFQEAAAsA&#10;AAAAAAAAAAAAAAAAHwEAAF9yZWxzLy5yZWxzUEsBAi0AFAAGAAgAAAAhAAqhPojEAAAA3gAAAA8A&#10;AAAAAAAAAAAAAAAABwIAAGRycy9kb3ducmV2LnhtbFBLBQYAAAAAAwADALcAAAD4AgAAAAA=&#10;" filled="f" stroked="f">
                  <v:textbox inset="0,0,0,0">
                    <w:txbxContent>
                      <w:p w14:paraId="0741B0BB" w14:textId="77777777" w:rsidR="00B32EF2" w:rsidRDefault="00000000">
                        <w:r>
                          <w:rPr>
                            <w:rFonts w:ascii="Arial" w:eastAsia="Arial" w:hAnsi="Arial" w:cs="Arial"/>
                            <w:i/>
                            <w:sz w:val="18"/>
                          </w:rPr>
                          <w:t>-</w:t>
                        </w:r>
                      </w:p>
                    </w:txbxContent>
                  </v:textbox>
                </v:rect>
                <v:rect id="Rectangle 17714" o:spid="_x0000_s3392" style="position:absolute;left:-12190;top:59389;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Kb8xAAAAN4AAAAPAAAAZHJzL2Rvd25yZXYueG1sRE9Li8Iw&#10;EL4v7H8Is+BtTRVZpRplcRF72Isv8Dg0Y1ttJqGJtvrrzcKCt/n4njNbdKYWN2p8ZVnBoJ+AIM6t&#10;rrhQsN+tPicgfEDWWFsmBXfysJi/v80w1bblDd22oRAxhH2KCsoQXCqlz0sy6PvWEUfuZBuDIcKm&#10;kLrBNoabWg6T5EsarDg2lOhoWVJ+2V6NguMPu2zVyvz0WLrfczap19f9QaneR/c9BRGoCy/xvzvT&#10;cf54PBjB3zvxBjl/AgAA//8DAFBLAQItABQABgAIAAAAIQDb4fbL7gAAAIUBAAATAAAAAAAAAAAA&#10;AAAAAAAAAABbQ29udGVudF9UeXBlc10ueG1sUEsBAi0AFAAGAAgAAAAhAFr0LFu/AAAAFQEAAAsA&#10;AAAAAAAAAAAAAAAAHwEAAF9yZWxzLy5yZWxzUEsBAi0AFAAGAAgAAAAhAIVIpvzEAAAA3gAAAA8A&#10;AAAAAAAAAAAAAAAABwIAAGRycy9kb3ducmV2LnhtbFBLBQYAAAAAAwADALcAAAD4AgAAAAA=&#10;" filled="f" stroked="f">
                  <v:textbox inset="0,0,0,0">
                    <w:txbxContent>
                      <w:p w14:paraId="05CCD3BA" w14:textId="77777777" w:rsidR="00B32EF2" w:rsidRDefault="00000000">
                        <w:r>
                          <w:rPr>
                            <w:rFonts w:ascii="Arial" w:eastAsia="Arial" w:hAnsi="Arial" w:cs="Arial"/>
                            <w:i/>
                            <w:sz w:val="18"/>
                          </w:rPr>
                          <w:t xml:space="preserve">cati ai sensi dell’art. 60. Dalla data di notifica decorre il termine fissato </w:t>
                        </w:r>
                      </w:p>
                    </w:txbxContent>
                  </v:textbox>
                </v:rect>
                <v:rect id="Rectangle 17715" o:spid="_x0000_s3393" style="position:absolute;left:-12189;top:58156;width:5100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NnxAAAAN4AAAAPAAAAZHJzL2Rvd25yZXYueG1sRE9Li8Iw&#10;EL4v7H8Is+BtTRVcpRplcRF72Isv8Dg0Y1ttJqGJtvrrzcKCt/n4njNbdKYWN2p8ZVnBoJ+AIM6t&#10;rrhQsN+tPicgfEDWWFsmBXfysJi/v80w1bblDd22oRAxhH2KCsoQXCqlz0sy6PvWEUfuZBuDIcKm&#10;kLrBNoabWg6T5EsarDg2lOhoWVJ+2V6NguMPu2zVyvz0WLrfczap19f9QaneR/c9BRGoCy/xvzvT&#10;cf54PBjB3zvxBjl/AgAA//8DAFBLAQItABQABgAIAAAAIQDb4fbL7gAAAIUBAAATAAAAAAAAAAAA&#10;AAAAAAAAAABbQ29udGVudF9UeXBlc10ueG1sUEsBAi0AFAAGAAgAAAAhAFr0LFu/AAAAFQEAAAsA&#10;AAAAAAAAAAAAAAAAHwEAAF9yZWxzLy5yZWxzUEsBAi0AFAAGAAgAAAAhAOoEA2fEAAAA3gAAAA8A&#10;AAAAAAAAAAAAAAAABwIAAGRycy9kb3ducmV2LnhtbFBLBQYAAAAAAwADALcAAAD4AgAAAAA=&#10;" filled="f" stroked="f">
                  <v:textbox inset="0,0,0,0">
                    <w:txbxContent>
                      <w:p w14:paraId="2FBB411B" w14:textId="77777777" w:rsidR="00B32EF2" w:rsidRDefault="00000000">
                        <w:r>
                          <w:rPr>
                            <w:rFonts w:ascii="Arial" w:eastAsia="Arial" w:hAnsi="Arial" w:cs="Arial"/>
                            <w:i/>
                            <w:sz w:val="18"/>
                          </w:rPr>
                          <w:t xml:space="preserve">dall’ufficio per l’adempimento, che non può essere inferiore a quindici giorni </w:t>
                        </w:r>
                      </w:p>
                    </w:txbxContent>
                  </v:textbox>
                </v:rect>
                <v:rect id="Rectangle 17716" o:spid="_x0000_s3394" style="position:absolute;left:-11212;top:56922;width:500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p0QwwAAAN4AAAAPAAAAZHJzL2Rvd25yZXYueG1sRE9Li8Iw&#10;EL4v+B/CCHtbU/egUo0iimwPe/EFHodmbKvNJDTRdvfXG0HwNh/fc2aLztTiTo2vLCsYDhIQxLnV&#10;FRcKDvvN1wSED8gaa8uk4I88LOa9jxmm2ra8pfsuFCKGsE9RQRmCS6X0eUkG/cA64sidbWMwRNgU&#10;UjfYxnBTy+8kGUmDFceGEh2tSsqvu5tRcFqzyzatzM//K/d7ySb1z+1wVOqz3y2nIAJ14S1+uTMd&#10;54/HwxE834k3yPkDAAD//wMAUEsBAi0AFAAGAAgAAAAhANvh9svuAAAAhQEAABMAAAAAAAAAAAAA&#10;AAAAAAAAAFtDb250ZW50X1R5cGVzXS54bWxQSwECLQAUAAYACAAAACEAWvQsW78AAAAVAQAACwAA&#10;AAAAAAAAAAAAAAAfAQAAX3JlbHMvLnJlbHNQSwECLQAUAAYACAAAACEAGtadEMMAAADeAAAADwAA&#10;AAAAAAAAAAAAAAAHAgAAZHJzL2Rvd25yZXYueG1sUEsFBgAAAAADAAMAtwAAAPcCAAAAAA==&#10;" filled="f" stroked="f">
                  <v:textbox inset="0,0,0,0">
                    <w:txbxContent>
                      <w:p w14:paraId="25816312" w14:textId="77777777" w:rsidR="00B32EF2" w:rsidRDefault="00000000">
                        <w:r>
                          <w:rPr>
                            <w:rFonts w:ascii="Arial" w:eastAsia="Arial" w:hAnsi="Arial" w:cs="Arial"/>
                            <w:i/>
                            <w:sz w:val="18"/>
                          </w:rPr>
                          <w:t>ovvero per il caso di cui al n. 7) a trenta giorni. Il termine può essere proro</w:t>
                        </w:r>
                      </w:p>
                    </w:txbxContent>
                  </v:textbox>
                </v:rect>
                <v:rect id="Rectangle 17717" o:spid="_x0000_s3395" style="position:absolute;left:657;top:5692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jiLxAAAAN4AAAAPAAAAZHJzL2Rvd25yZXYueG1sRE9Li8Iw&#10;EL4L/ocwwt401cNWukYRRbaHvfhY2OPQjG3XZhKaaLv7640geJuP7zmLVW8acaPW15YVTCcJCOLC&#10;6ppLBafjbjwH4QOyxsYyKfgjD6vlcLDATNuO93Q7hFLEEPYZKqhCcJmUvqjIoJ9YRxy5s20Nhgjb&#10;UuoWuxhuGjlLkndpsObYUKGjTUXF5XA1Cn627PJdJ4vz/8Z9/ebz5vN6+lbqbdSvP0AE6sNL/HTn&#10;Os5P02kKj3fiDXJ5BwAA//8DAFBLAQItABQABgAIAAAAIQDb4fbL7gAAAIUBAAATAAAAAAAAAAAA&#10;AAAAAAAAAABbQ29udGVudF9UeXBlc10ueG1sUEsBAi0AFAAGAAgAAAAhAFr0LFu/AAAAFQEAAAsA&#10;AAAAAAAAAAAAAAAAHwEAAF9yZWxzLy5yZWxzUEsBAi0AFAAGAAgAAAAhAHWaOIvEAAAA3gAAAA8A&#10;AAAAAAAAAAAAAAAABwIAAGRycy9kb3ducmV2LnhtbFBLBQYAAAAAAwADALcAAAD4AgAAAAA=&#10;" filled="f" stroked="f">
                  <v:textbox inset="0,0,0,0">
                    <w:txbxContent>
                      <w:p w14:paraId="12C70278" w14:textId="77777777" w:rsidR="00B32EF2" w:rsidRDefault="00000000">
                        <w:r>
                          <w:rPr>
                            <w:rFonts w:ascii="Arial" w:eastAsia="Arial" w:hAnsi="Arial" w:cs="Arial"/>
                            <w:i/>
                            <w:sz w:val="18"/>
                          </w:rPr>
                          <w:t>-</w:t>
                        </w:r>
                      </w:p>
                    </w:txbxContent>
                  </v:textbox>
                </v:rect>
                <v:rect id="Rectangle 17718" o:spid="_x0000_s3396" style="position:absolute;left:-12189;top:55689;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z5xwAAAN4AAAAPAAAAZHJzL2Rvd25yZXYueG1sRI9Pb8Iw&#10;DMXvk/YdIiPtNlJ2GKgjIMSE1sMu/JN2tBrTFhonagLt9unnAxI3W+/5vZ/ny8G16kZdbDwbmIwz&#10;UMSltw1XBg77zesMVEzIFlvPZOCXIiwXz09zzK3veUu3XaqUhHDM0UCdUsi1jmVNDuPYB2LRTr5z&#10;mGTtKm077CXctfoty961w4alocZA65rKy+7qDPx8cig2vS5Pf+vwfS5m7df1cDTmZTSsPkAlGtLD&#10;fL8urOBPpxPhlXdkBr34BwAA//8DAFBLAQItABQABgAIAAAAIQDb4fbL7gAAAIUBAAATAAAAAAAA&#10;AAAAAAAAAAAAAABbQ29udGVudF9UeXBlc10ueG1sUEsBAi0AFAAGAAgAAAAhAFr0LFu/AAAAFQEA&#10;AAsAAAAAAAAAAAAAAAAAHwEAAF9yZWxzLy5yZWxzUEsBAi0AFAAGAAgAAAAhAAQFrPnHAAAA3gAA&#10;AA8AAAAAAAAAAAAAAAAABwIAAGRycy9kb3ducmV2LnhtbFBLBQYAAAAAAwADALcAAAD7AgAAAAA=&#10;" filled="f" stroked="f">
                  <v:textbox inset="0,0,0,0">
                    <w:txbxContent>
                      <w:p w14:paraId="2A6E3A49" w14:textId="77777777" w:rsidR="00B32EF2" w:rsidRDefault="00000000">
                        <w:r>
                          <w:rPr>
                            <w:rFonts w:ascii="Arial" w:eastAsia="Arial" w:hAnsi="Arial" w:cs="Arial"/>
                            <w:i/>
                            <w:sz w:val="18"/>
                          </w:rPr>
                          <w:t xml:space="preserve">gato per un periodo di venti giorni su istanza dell’operatore finanziario, per </w:t>
                        </w:r>
                      </w:p>
                    </w:txbxContent>
                  </v:textbox>
                </v:rect>
                <v:rect id="Rectangle 17719" o:spid="_x0000_s3397" style="position:absolute;left:-12190;top:54456;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QlixQAAAN4AAAAPAAAAZHJzL2Rvd25yZXYueG1sRE9Li8Iw&#10;EL4L+x/CLHhbU/fgoxplcZHtwcv6AI9DM7bVZhKaaKu/3iwseJuP7znzZWdqcaPGV5YVDAcJCOLc&#10;6ooLBfvd+mMCwgdkjbVlUnAnD8vFW2+OqbYt/9JtGwoRQ9inqKAMwaVS+rwkg35gHXHkTrYxGCJs&#10;CqkbbGO4qeVnkoykwYpjQ4mOViXll+3VKDh+s8vWrcxPj5XbnLNJ/XPdH5Tqv3dfMxCBuvAS/7sz&#10;HeePx8Mp/L0Tb5CLJwAAAP//AwBQSwECLQAUAAYACAAAACEA2+H2y+4AAACFAQAAEwAAAAAAAAAA&#10;AAAAAAAAAAAAW0NvbnRlbnRfVHlwZXNdLnhtbFBLAQItABQABgAIAAAAIQBa9CxbvwAAABUBAAAL&#10;AAAAAAAAAAAAAAAAAB8BAABfcmVscy8ucmVsc1BLAQItABQABgAIAAAAIQBrSQlixQAAAN4AAAAP&#10;AAAAAAAAAAAAAAAAAAcCAABkcnMvZG93bnJldi54bWxQSwUGAAAAAAMAAwC3AAAA+QIAAAAA&#10;" filled="f" stroked="f">
                  <v:textbox inset="0,0,0,0">
                    <w:txbxContent>
                      <w:p w14:paraId="6D55BDED" w14:textId="77777777" w:rsidR="00B32EF2" w:rsidRDefault="00000000">
                        <w:r>
                          <w:rPr>
                            <w:rFonts w:ascii="Arial" w:eastAsia="Arial" w:hAnsi="Arial" w:cs="Arial"/>
                            <w:i/>
                            <w:sz w:val="18"/>
                          </w:rPr>
                          <w:t xml:space="preserve">giustificati motivi, dal competente direttore centrale o direttore regionale </w:t>
                        </w:r>
                      </w:p>
                    </w:txbxContent>
                  </v:textbox>
                </v:rect>
                <v:rect id="Rectangle 17720" o:spid="_x0000_s3398" style="position:absolute;left:-12189;top:53222;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2pCxwAAAN4AAAAPAAAAZHJzL2Rvd25yZXYueG1sRI9Bb8Iw&#10;DIXvSPsPkSftBuk4DNQR0MSE1sMugyLtaDWm7dY4URNox6/Hh0ncbPn5vfetNqPr1IX62Ho28DzL&#10;QBFX3rZcGygPu+kSVEzIFjvPZOCPImzWD5MV5tYP/EWXfaqVmHDM0UCTUsi1jlVDDuPMB2K5nXzv&#10;MMna19r2OIi56/Q8y160w5YlocFA24aq3/3ZGfh+51DsBl2drtvw+VMsu49zeTTm6XF8ewWVaEx3&#10;8f93YaX+YjEXAMGRGfT6BgAA//8DAFBLAQItABQABgAIAAAAIQDb4fbL7gAAAIUBAAATAAAAAAAA&#10;AAAAAAAAAAAAAABbQ29udGVudF9UeXBlc10ueG1sUEsBAi0AFAAGAAgAAAAhAFr0LFu/AAAAFQEA&#10;AAsAAAAAAAAAAAAAAAAAHwEAAF9yZWxzLy5yZWxzUEsBAi0AFAAGAAgAAAAhADQfakLHAAAA3gAA&#10;AA8AAAAAAAAAAAAAAAAABwIAAGRycy9kb3ducmV2LnhtbFBLBQYAAAAAAwADALcAAAD7AgAAAAA=&#10;" filled="f" stroked="f">
                  <v:textbox inset="0,0,0,0">
                    <w:txbxContent>
                      <w:p w14:paraId="547E9380" w14:textId="77777777" w:rsidR="00B32EF2" w:rsidRDefault="00000000">
                        <w:r>
                          <w:rPr>
                            <w:rFonts w:ascii="Arial" w:eastAsia="Arial" w:hAnsi="Arial" w:cs="Arial"/>
                            <w:i/>
                            <w:sz w:val="18"/>
                          </w:rPr>
                          <w:t xml:space="preserve">per l’Agenzia delle entrate, ovvero, per il Corpo della guardia di finanza, dal </w:t>
                        </w:r>
                      </w:p>
                    </w:txbxContent>
                  </v:textbox>
                </v:rect>
                <v:rect id="Rectangle 17721" o:spid="_x0000_s3399" style="position:absolute;left:23180;top:51989;width:156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8/ZxAAAAN4AAAAPAAAAZHJzL2Rvd25yZXYueG1sRE9Li8Iw&#10;EL4v+B/CCN7WVA+rVKOIItuDl/UBHodmbKvNJDTRVn/9ZmHB23x8z5kvO1OLBzW+sqxgNExAEOdW&#10;V1woOB62n1MQPiBrrC2Tgid5WC56H3NMtW35hx77UIgYwj5FBWUILpXS5yUZ9EPriCN3sY3BEGFT&#10;SN1gG8NNLcdJ8iUNVhwbSnS0Lim/7e9GwXnDLtu2Mr+81m53zab19/14UmrQ71YzEIG68Bb/uzMd&#10;508m4xH8vRNvkItfAAAA//8DAFBLAQItABQABgAIAAAAIQDb4fbL7gAAAIUBAAATAAAAAAAAAAAA&#10;AAAAAAAAAABbQ29udGVudF9UeXBlc10ueG1sUEsBAi0AFAAGAAgAAAAhAFr0LFu/AAAAFQEAAAsA&#10;AAAAAAAAAAAAAAAAHwEAAF9yZWxzLy5yZWxzUEsBAi0AFAAGAAgAAAAhAFtTz9nEAAAA3gAAAA8A&#10;AAAAAAAAAAAAAAAABwIAAGRycy9kb3ducmV2LnhtbFBLBQYAAAAAAwADALcAAAD4AgAAAAA=&#10;" filled="f" stroked="f">
                  <v:textbox inset="0,0,0,0">
                    <w:txbxContent>
                      <w:p w14:paraId="2C511FBD" w14:textId="77777777" w:rsidR="00B32EF2" w:rsidRDefault="00000000">
                        <w:r>
                          <w:rPr>
                            <w:rFonts w:ascii="Arial" w:eastAsia="Arial" w:hAnsi="Arial" w:cs="Arial"/>
                            <w:i/>
                            <w:sz w:val="18"/>
                          </w:rPr>
                          <w:t>comandante regionale.</w:t>
                        </w:r>
                      </w:p>
                    </w:txbxContent>
                  </v:textbox>
                </v:rect>
                <v:rect id="Rectangle 200839" o:spid="_x0000_s3400" style="position:absolute;left:25765;top:50756;width:500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vtkxwAAAN8AAAAPAAAAZHJzL2Rvd25yZXYueG1sRI9Pa8JA&#10;FMTvBb/D8gRvddMKkqauUixiDl78U+jxkX0m0ezbJbua6Kd3hUKPw8z8hpktetOIK7W+tqzgbZyA&#10;IC6srrlUcNivXlMQPiBrbCyTght5WMwHLzPMtO14S9ddKEWEsM9QQRWCy6T0RUUG/dg64ugdbWsw&#10;RNmWUrfYRbhp5HuSTKXBmuNChY6WFRXn3cUo+P1ml686WRzvS7c55Wmzvhx+lBoN+69PEIH68B/+&#10;a+daQSSmkw94/olfQM4fAAAA//8DAFBLAQItABQABgAIAAAAIQDb4fbL7gAAAIUBAAATAAAAAAAA&#10;AAAAAAAAAAAAAABbQ29udGVudF9UeXBlc10ueG1sUEsBAi0AFAAGAAgAAAAhAFr0LFu/AAAAFQEA&#10;AAsAAAAAAAAAAAAAAAAAHwEAAF9yZWxzLy5yZWxzUEsBAi0AFAAGAAgAAAAhADYm+2THAAAA3wAA&#10;AA8AAAAAAAAAAAAAAAAABwIAAGRycy9kb3ducmV2LnhtbFBLBQYAAAAAAwADALcAAAD7AgAAAAA=&#10;" filled="f" stroked="f">
                  <v:textbox inset="0,0,0,0">
                    <w:txbxContent>
                      <w:p w14:paraId="634314ED" w14:textId="77777777" w:rsidR="00B32EF2" w:rsidRDefault="00000000">
                        <w:r>
                          <w:rPr>
                            <w:rFonts w:ascii="Arial" w:eastAsia="Arial" w:hAnsi="Arial" w:cs="Arial"/>
                            <w:i/>
                            <w:sz w:val="18"/>
                          </w:rPr>
                          <w:t>3</w:t>
                        </w:r>
                      </w:p>
                    </w:txbxContent>
                  </v:textbox>
                </v:rect>
                <v:rect id="Rectangle 200841" o:spid="_x0000_s3401" style="position:absolute;left:-11886;top:50756;width:500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oQfxwAAAN8AAAAPAAAAZHJzL2Rvd25yZXYueG1sRI9Pa8JA&#10;FMTvBb/D8oTe6sZSJKRuRBRpDl60Cj0+si9/NPt2ya4m9tN3C4Ueh5n5DbNcjaYTd+p9a1nBfJaA&#10;IC6tbrlWcPrcvaQgfEDW2FkmBQ/ysMonT0vMtB34QPdjqEWEsM9QQROCy6T0ZUMG/cw64uhVtjcY&#10;ouxrqXscItx08jVJFtJgy3GhQUebhsrr8WYUfG3ZFbtBltX3xu0vRdp93E5npZ6n4/odRKAx/If/&#10;2oVWEInp2xx+/8QvIPMfAAAA//8DAFBLAQItABQABgAIAAAAIQDb4fbL7gAAAIUBAAATAAAAAAAA&#10;AAAAAAAAAAAAAABbQ29udGVudF9UeXBlc10ueG1sUEsBAi0AFAAGAAgAAAAhAFr0LFu/AAAAFQEA&#10;AAsAAAAAAAAAAAAAAAAAHwEAAF9yZWxzLy5yZWxzUEsBAi0AFAAGAAgAAAAhAJBWhB/HAAAA3wAA&#10;AA8AAAAAAAAAAAAAAAAABwIAAGRycy9kb3ducmV2LnhtbFBLBQYAAAAAAwADALcAAAD7AgAAAAA=&#10;" filled="f" stroked="f">
                  <v:textbox inset="0,0,0,0">
                    <w:txbxContent>
                      <w:p w14:paraId="0B24A42F" w14:textId="77777777" w:rsidR="00B32EF2" w:rsidRDefault="00000000">
                        <w:r>
                          <w:rPr>
                            <w:rFonts w:ascii="Arial" w:eastAsia="Arial" w:hAnsi="Arial" w:cs="Arial"/>
                            <w:i/>
                            <w:sz w:val="18"/>
                          </w:rPr>
                          <w:t>. Le richieste di cui al primo comma, numero 7), nonchè le relative ri</w:t>
                        </w:r>
                      </w:p>
                    </w:txbxContent>
                  </v:textbox>
                </v:rect>
                <v:rect id="Rectangle 17723" o:spid="_x0000_s3402" style="position:absolute;left:657;top:5075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fQ1xAAAAN4AAAAPAAAAZHJzL2Rvd25yZXYueG1sRE9Ni8Iw&#10;EL0L/ocwgjdNVVilaxRRxB72sq4Lexyasa02k9BEW/31m4UFb/N4n7Ncd6YWd2p8ZVnBZJyAIM6t&#10;rrhQcPrajxYgfEDWWFsmBQ/ysF71e0tMtW35k+7HUIgYwj5FBWUILpXS5yUZ9GPriCN3to3BEGFT&#10;SN1gG8NNLadJ8iYNVhwbSnS0LSm/Hm9Gwc+OXbZvZX5+bt3HJVvUh9vpW6nhoNu8gwjUhZf4353p&#10;OH8+n87g7514g1z9AgAA//8DAFBLAQItABQABgAIAAAAIQDb4fbL7gAAAIUBAAATAAAAAAAAAAAA&#10;AAAAAAAAAABbQ29udGVudF9UeXBlc10ueG1sUEsBAi0AFAAGAAgAAAAhAFr0LFu/AAAAFQEAAAsA&#10;AAAAAAAAAAAAAAAAHwEAAF9yZWxzLy5yZWxzUEsBAi0AFAAGAAgAAAAhAMTN9DXEAAAA3gAAAA8A&#10;AAAAAAAAAAAAAAAABwIAAGRycy9kb3ducmV2LnhtbFBLBQYAAAAAAwADALcAAAD4AgAAAAA=&#10;" filled="f" stroked="f">
                  <v:textbox inset="0,0,0,0">
                    <w:txbxContent>
                      <w:p w14:paraId="0601F7ED" w14:textId="77777777" w:rsidR="00B32EF2" w:rsidRDefault="00000000">
                        <w:r>
                          <w:rPr>
                            <w:rFonts w:ascii="Arial" w:eastAsia="Arial" w:hAnsi="Arial" w:cs="Arial"/>
                            <w:i/>
                            <w:sz w:val="18"/>
                          </w:rPr>
                          <w:t>-</w:t>
                        </w:r>
                      </w:p>
                    </w:txbxContent>
                  </v:textbox>
                </v:rect>
                <v:rect id="Rectangle 17724" o:spid="_x0000_s3403" style="position:absolute;left:-12186;top:49522;width:510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GxBxAAAAN4AAAAPAAAAZHJzL2Rvd25yZXYueG1sRE9Ni8Iw&#10;EL0L/ocwgjdNFVmlaxRRxB72sq4Lexyasa02k9BEW/31m4UFb/N4n7Ncd6YWd2p8ZVnBZJyAIM6t&#10;rrhQcPrajxYgfEDWWFsmBQ/ysF71e0tMtW35k+7HUIgYwj5FBWUILpXS5yUZ9GPriCN3to3BEGFT&#10;SN1gG8NNLadJ8iYNVhwbSnS0LSm/Hm9Gwc+OXbZvZX5+bt3HJVvUh9vpW6nhoNu8gwjUhZf4353p&#10;OH8+n87g7514g1z9AgAA//8DAFBLAQItABQABgAIAAAAIQDb4fbL7gAAAIUBAAATAAAAAAAAAAAA&#10;AAAAAAAAAABbQ29udGVudF9UeXBlc10ueG1sUEsBAi0AFAAGAAgAAAAhAFr0LFu/AAAAFQEAAAsA&#10;AAAAAAAAAAAAAAAAHwEAAF9yZWxzLy5yZWxzUEsBAi0AFAAGAAgAAAAhAEskbEHEAAAA3gAAAA8A&#10;AAAAAAAAAAAAAAAABwIAAGRycy9kb3ducmV2LnhtbFBLBQYAAAAAAwADALcAAAD4AgAAAAA=&#10;" filled="f" stroked="f">
                  <v:textbox inset="0,0,0,0">
                    <w:txbxContent>
                      <w:p w14:paraId="1A3D85FA" w14:textId="77777777" w:rsidR="00B32EF2" w:rsidRDefault="00000000">
                        <w:r>
                          <w:rPr>
                            <w:rFonts w:ascii="Arial" w:eastAsia="Arial" w:hAnsi="Arial" w:cs="Arial"/>
                            <w:i/>
                            <w:sz w:val="18"/>
                          </w:rPr>
                          <w:t xml:space="preserve">sposte, anche se negative, devono essere effettuate esclusivamente in via </w:t>
                        </w:r>
                      </w:p>
                    </w:txbxContent>
                  </v:textbox>
                </v:rect>
                <v:rect id="Rectangle 17725" o:spid="_x0000_s3404" style="position:absolute;left:-12174;top:48289;width:509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naxAAAAN4AAAAPAAAAZHJzL2Rvd25yZXYueG1sRE9Ni8Iw&#10;EL0L/ocwgjdNFVylaxRRxB72sq4Lexyasa02k9BEW/31m4UFb/N4n7Ncd6YWd2p8ZVnBZJyAIM6t&#10;rrhQcPrajxYgfEDWWFsmBQ/ysF71e0tMtW35k+7HUIgYwj5FBWUILpXS5yUZ9GPriCN3to3BEGFT&#10;SN1gG8NNLadJ8iYNVhwbSnS0LSm/Hm9Gwc+OXbZvZX5+bt3HJVvUh9vpW6nhoNu8gwjUhZf4353p&#10;OH8+n87g7514g1z9AgAA//8DAFBLAQItABQABgAIAAAAIQDb4fbL7gAAAIUBAAATAAAAAAAAAAAA&#10;AAAAAAAAAABbQ29udGVudF9UeXBlc10ueG1sUEsBAi0AFAAGAAgAAAAhAFr0LFu/AAAAFQEAAAsA&#10;AAAAAAAAAAAAAAAAHwEAAF9yZWxzLy5yZWxzUEsBAi0AFAAGAAgAAAAhACRoydrEAAAA3gAAAA8A&#10;AAAAAAAAAAAAAAAABwIAAGRycy9kb3ducmV2LnhtbFBLBQYAAAAAAwADALcAAAD4AgAAAAA=&#10;" filled="f" stroked="f">
                  <v:textbox inset="0,0,0,0">
                    <w:txbxContent>
                      <w:p w14:paraId="33C04E18" w14:textId="77777777" w:rsidR="00B32EF2" w:rsidRDefault="00000000">
                        <w:r>
                          <w:rPr>
                            <w:rFonts w:ascii="Arial" w:eastAsia="Arial" w:hAnsi="Arial" w:cs="Arial"/>
                            <w:i/>
                            <w:sz w:val="18"/>
                          </w:rPr>
                          <w:t xml:space="preserve">telematica. Con provvedimento del direttore dell’Agenzia delle entrate sono </w:t>
                        </w:r>
                      </w:p>
                    </w:txbxContent>
                  </v:textbox>
                </v:rect>
                <v:rect id="Rectangle 17726" o:spid="_x0000_s3405" style="position:absolute;left:-11215;top:47056;width:500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letxAAAAN4AAAAPAAAAZHJzL2Rvd25yZXYueG1sRE9Li8Iw&#10;EL4v+B/CCN7WVA8q1SiiiD3sZX2Ax6EZ22ozCU20dX/9ZmHB23x8z1msOlOLJzW+sqxgNExAEOdW&#10;V1woOB13nzMQPiBrrC2Tghd5WC17HwtMtW35m56HUIgYwj5FBWUILpXS5yUZ9EPriCN3tY3BEGFT&#10;SN1gG8NNLcdJMpEGK44NJTralJTfDw+j4LJll+1amV9/Nu7rls3q/eN0VmrQ79ZzEIG68Bb/uzMd&#10;50+n4wn8vRNvkMtfAAAA//8DAFBLAQItABQABgAIAAAAIQDb4fbL7gAAAIUBAAATAAAAAAAAAAAA&#10;AAAAAAAAAABbQ29udGVudF9UeXBlc10ueG1sUEsBAi0AFAAGAAgAAAAhAFr0LFu/AAAAFQEAAAsA&#10;AAAAAAAAAAAAAAAAHwEAAF9yZWxzLy5yZWxzUEsBAi0AFAAGAAgAAAAhANS6V63EAAAA3gAAAA8A&#10;AAAAAAAAAAAAAAAABwIAAGRycy9kb3ducmV2LnhtbFBLBQYAAAAAAwADALcAAAD4AgAAAAA=&#10;" filled="f" stroked="f">
                  <v:textbox inset="0,0,0,0">
                    <w:txbxContent>
                      <w:p w14:paraId="2E7B490C" w14:textId="77777777" w:rsidR="00B32EF2" w:rsidRDefault="00000000">
                        <w:r>
                          <w:rPr>
                            <w:rFonts w:ascii="Arial" w:eastAsia="Arial" w:hAnsi="Arial" w:cs="Arial"/>
                            <w:i/>
                            <w:sz w:val="18"/>
                          </w:rPr>
                          <w:t>stabilite le disposizioni attuative e le modalità di trasmissione delle richie</w:t>
                        </w:r>
                      </w:p>
                    </w:txbxContent>
                  </v:textbox>
                </v:rect>
                <v:rect id="Rectangle 17727" o:spid="_x0000_s3406" style="position:absolute;left:657;top:4705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vI2xAAAAN4AAAAPAAAAZHJzL2Rvd25yZXYueG1sRE9Na8JA&#10;EL0X/A/LFLzVTT00krqKKNIcvFQjeByyY5KanV2yq4n++m6h4G0e73Pmy8G04kadbywreJ8kIIhL&#10;qxuuFBSH7dsMhA/IGlvLpOBOHpaL0cscM217/qbbPlQihrDPUEEdgsuk9GVNBv3EOuLInW1nMETY&#10;VVJ32Mdw08ppknxIgw3HhhodrWsqL/urUXDasMu3vSzPj7Xb/eSz9utaHJUavw6rTxCBhvAU/7tz&#10;Heen6TSFv3fiDXLxCwAA//8DAFBLAQItABQABgAIAAAAIQDb4fbL7gAAAIUBAAATAAAAAAAAAAAA&#10;AAAAAAAAAABbQ29udGVudF9UeXBlc10ueG1sUEsBAi0AFAAGAAgAAAAhAFr0LFu/AAAAFQEAAAsA&#10;AAAAAAAAAAAAAAAAHwEAAF9yZWxzLy5yZWxzUEsBAi0AFAAGAAgAAAAhALv28jbEAAAA3gAAAA8A&#10;AAAAAAAAAAAAAAAABwIAAGRycy9kb3ducmV2LnhtbFBLBQYAAAAAAwADALcAAAD4AgAAAAA=&#10;" filled="f" stroked="f">
                  <v:textbox inset="0,0,0,0">
                    <w:txbxContent>
                      <w:p w14:paraId="11F94C09" w14:textId="77777777" w:rsidR="00B32EF2" w:rsidRDefault="00000000">
                        <w:r>
                          <w:rPr>
                            <w:rFonts w:ascii="Arial" w:eastAsia="Arial" w:hAnsi="Arial" w:cs="Arial"/>
                            <w:i/>
                            <w:sz w:val="18"/>
                          </w:rPr>
                          <w:t>-</w:t>
                        </w:r>
                      </w:p>
                    </w:txbxContent>
                  </v:textbox>
                </v:rect>
                <v:rect id="Rectangle 17728" o:spid="_x0000_s3407" style="position:absolute;left:-12193;top:45823;width:5103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WZExwAAAN4AAAAPAAAAZHJzL2Rvd25yZXYueG1sRI9Bb8Iw&#10;DIXvSPsPkSftBuk4DNQR0MSE1sMugyLtaDWm7dY4URNox6/Hh0ncbL3n9z6vNqPr1IX62Ho28DzL&#10;QBFX3rZcGygPu+kSVEzIFjvPZOCPImzWD5MV5tYP/EWXfaqVhHDM0UCTUsi1jlVDDuPMB2LRTr53&#10;mGTta217HCTcdXqeZS/aYcvS0GCgbUPV7/7sDHy/cyh2g65O1234/CmW3ce5PBrz9Di+vYJKNKa7&#10;+f+6sIK/WMyFV96RGfT6BgAA//8DAFBLAQItABQABgAIAAAAIQDb4fbL7gAAAIUBAAATAAAAAAAA&#10;AAAAAAAAAAAAAABbQ29udGVudF9UeXBlc10ueG1sUEsBAi0AFAAGAAgAAAAhAFr0LFu/AAAAFQEA&#10;AAsAAAAAAAAAAAAAAAAAHwEAAF9yZWxzLy5yZWxzUEsBAi0AFAAGAAgAAAAhAMppZkTHAAAA3gAA&#10;AA8AAAAAAAAAAAAAAAAABwIAAGRycy9kb3ducmV2LnhtbFBLBQYAAAAAAwADALcAAAD7AgAAAAA=&#10;" filled="f" stroked="f">
                  <v:textbox inset="0,0,0,0">
                    <w:txbxContent>
                      <w:p w14:paraId="65F8159F" w14:textId="77777777" w:rsidR="00B32EF2" w:rsidRDefault="00000000">
                        <w:r>
                          <w:rPr>
                            <w:rFonts w:ascii="Arial" w:eastAsia="Arial" w:hAnsi="Arial" w:cs="Arial"/>
                            <w:i/>
                            <w:sz w:val="18"/>
                          </w:rPr>
                          <w:t xml:space="preserve">ste, delle risposte, nonchè dei dati e delle notizie riguardanti i rapporti e le </w:t>
                        </w:r>
                      </w:p>
                    </w:txbxContent>
                  </v:textbox>
                </v:rect>
                <v:rect id="Rectangle 17729" o:spid="_x0000_s3408" style="position:absolute;left:12092;top:44589;width:267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cPfxAAAAN4AAAAPAAAAZHJzL2Rvd25yZXYueG1sRE9Li8Iw&#10;EL4v+B/CCN7WdD34qEZZXGR72Isv8Dg0Y1ttJqGJtvrrN8LC3ubje85i1Zla3KnxlWUFH8MEBHFu&#10;dcWFgsN+8z4F4QOyxtoyKXiQh9Wy97bAVNuWt3TfhULEEPYpKihDcKmUPi/JoB9aRxy5s20Mhgib&#10;QuoG2xhuajlKkrE0WHFsKNHRuqT8ursZBacvdtmmlfn5uXY/l2xaf98OR6UG/e5zDiJQF/7Ff+5M&#10;x/mTyWgGr3fiDXL5CwAA//8DAFBLAQItABQABgAIAAAAIQDb4fbL7gAAAIUBAAATAAAAAAAAAAAA&#10;AAAAAAAAAABbQ29udGVudF9UeXBlc10ueG1sUEsBAi0AFAAGAAgAAAAhAFr0LFu/AAAAFQEAAAsA&#10;AAAAAAAAAAAAAAAAHwEAAF9yZWxzLy5yZWxzUEsBAi0AFAAGAAgAAAAhAKUlw9/EAAAA3gAAAA8A&#10;AAAAAAAAAAAAAAAABwIAAGRycy9kb3ducmV2LnhtbFBLBQYAAAAAAwADALcAAAD4AgAAAAA=&#10;" filled="f" stroked="f">
                  <v:textbox inset="0,0,0,0">
                    <w:txbxContent>
                      <w:p w14:paraId="4E9E96E3" w14:textId="77777777" w:rsidR="00B32EF2" w:rsidRDefault="00000000">
                        <w:r>
                          <w:rPr>
                            <w:rFonts w:ascii="Arial" w:eastAsia="Arial" w:hAnsi="Arial" w:cs="Arial"/>
                            <w:i/>
                            <w:sz w:val="18"/>
                          </w:rPr>
                          <w:t>operazioni indicati nel citato numero 7).</w:t>
                        </w:r>
                      </w:p>
                    </w:txbxContent>
                  </v:textbox>
                </v:rect>
                <v:rect id="Rectangle 200836" o:spid="_x0000_s3409" style="position:absolute;left:25537;top:43356;width:509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W8WxgAAAN8AAAAPAAAAZHJzL2Rvd25yZXYueG1sRI9Pi8Iw&#10;FMTvC36H8IS9rekqSOkaZVHEHrz4D/b4aJ5td5uX0ETb9dMbQfA4zMxvmNmiN424Uutrywo+RwkI&#10;4sLqmksFx8P6IwXhA7LGxjIp+CcPi/ngbYaZth3v6LoPpYgQ9hkqqEJwmZS+qMigH1lHHL2zbQ2G&#10;KNtS6ha7CDeNHCfJVBqsOS5U6GhZUfG3vxgFPyt2+bqTxfm2dNvfPG02l+NJqfdh//0FIlAfXuFn&#10;O9cKIjGdTOHxJ34BOb8DAAD//wMAUEsBAi0AFAAGAAgAAAAhANvh9svuAAAAhQEAABMAAAAAAAAA&#10;AAAAAAAAAAAAAFtDb250ZW50X1R5cGVzXS54bWxQSwECLQAUAAYACAAAACEAWvQsW78AAAAVAQAA&#10;CwAAAAAAAAAAAAAAAAAfAQAAX3JlbHMvLnJlbHNQSwECLQAUAAYACAAAACEAR7lvFsYAAADfAAAA&#10;DwAAAAAAAAAAAAAAAAAHAgAAZHJzL2Rvd25yZXYueG1sUEsFBgAAAAADAAMAtwAAAPoCAAAAAA==&#10;" filled="f" stroked="f">
                  <v:textbox inset="0,0,0,0">
                    <w:txbxContent>
                      <w:p w14:paraId="2C1DCDF0" w14:textId="77777777" w:rsidR="00B32EF2" w:rsidRDefault="00000000">
                        <w:r>
                          <w:rPr>
                            <w:rFonts w:ascii="Arial" w:eastAsia="Arial" w:hAnsi="Arial" w:cs="Arial"/>
                            <w:i/>
                            <w:sz w:val="18"/>
                          </w:rPr>
                          <w:t>4</w:t>
                        </w:r>
                      </w:p>
                    </w:txbxContent>
                  </v:textbox>
                </v:rect>
                <v:rect id="Rectangle 200837" o:spid="_x0000_s3410" style="position:absolute;left:-12835;top:43356;width:509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cqNxwAAAN8AAAAPAAAAZHJzL2Rvd25yZXYueG1sRI9Ba8JA&#10;FITvgv9heUJvumkLNaRuQrFIc/BSa6HHR/aZRLNvl+xqUn99tyB4HGbmG2ZVjKYTF+p9a1nB4yIB&#10;QVxZ3XKtYP+1macgfEDW2FkmBb/kocinkxVm2g78SZddqEWEsM9QQROCy6T0VUMG/cI64ugdbG8w&#10;RNnXUvc4RLjp5FOSvEiDLceFBh2tG6pOu7NR8PPOrtwMsjpc1257LNPu47z/VuphNr69ggg0hnv4&#10;1i61gkhMn5fw/yd+AZn/AQAA//8DAFBLAQItABQABgAIAAAAIQDb4fbL7gAAAIUBAAATAAAAAAAA&#10;AAAAAAAAAAAAAABbQ29udGVudF9UeXBlc10ueG1sUEsBAi0AFAAGAAgAAAAhAFr0LFu/AAAAFQEA&#10;AAsAAAAAAAAAAAAAAAAAHwEAAF9yZWxzLy5yZWxzUEsBAi0AFAAGAAgAAAAhACj1yo3HAAAA3wAA&#10;AA8AAAAAAAAAAAAAAAAABwIAAGRycy9kb3ducmV2LnhtbFBLBQYAAAAAAwADALcAAAD7AgAAAAA=&#10;" filled="f" stroked="f">
                  <v:textbox inset="0,0,0,0">
                    <w:txbxContent>
                      <w:p w14:paraId="4DCEAB69" w14:textId="77777777" w:rsidR="00B32EF2" w:rsidRDefault="00000000">
                        <w:r>
                          <w:rPr>
                            <w:rFonts w:ascii="Arial" w:eastAsia="Arial" w:hAnsi="Arial" w:cs="Arial"/>
                            <w:i/>
                            <w:sz w:val="18"/>
                          </w:rPr>
                          <w:t xml:space="preserve">. Le notizie ed i dati non addotti e gli atti, i documenti, i libri ed i registri non </w:t>
                        </w:r>
                      </w:p>
                    </w:txbxContent>
                  </v:textbox>
                </v:rect>
                <v:rect id="Rectangle 17731" o:spid="_x0000_s3411" style="position:absolute;left:-12189;top:42123;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lkExAAAAN4AAAAPAAAAZHJzL2Rvd25yZXYueG1sRE9Li8Iw&#10;EL4v7H8Is+BtTVVYpRplcRF72Isv8Dg0Y1ttJqGJtvrrzcKCt/n4njNbdKYWN2p8ZVnBoJ+AIM6t&#10;rrhQsN+tPicgfEDWWFsmBXfysJi/v80w1bblDd22oRAxhH2KCsoQXCqlz0sy6PvWEUfuZBuDIcKm&#10;kLrBNoabWg6T5EsarDg2lOhoWVJ+2V6NguMPu2zVyvz0WLrfczap19f9QaneR/c9BRGoCy/xvzvT&#10;cf54PBrA3zvxBjl/AgAA//8DAFBLAQItABQABgAIAAAAIQDb4fbL7gAAAIUBAAATAAAAAAAAAAAA&#10;AAAAAAAAAABbQ29udGVudF9UeXBlc10ueG1sUEsBAi0AFAAGAAgAAAAhAFr0LFu/AAAAFQEAAAsA&#10;AAAAAAAAAAAAAAAAHwEAAF9yZWxzLy5yZWxzUEsBAi0AFAAGAAgAAAAhAN6KWQTEAAAA3gAAAA8A&#10;AAAAAAAAAAAAAAAABwIAAGRycy9kb3ducmV2LnhtbFBLBQYAAAAAAwADALcAAAD4AgAAAAA=&#10;" filled="f" stroked="f">
                  <v:textbox inset="0,0,0,0">
                    <w:txbxContent>
                      <w:p w14:paraId="72728203" w14:textId="77777777" w:rsidR="00B32EF2" w:rsidRDefault="00000000">
                        <w:r>
                          <w:rPr>
                            <w:rFonts w:ascii="Arial" w:eastAsia="Arial" w:hAnsi="Arial" w:cs="Arial"/>
                            <w:i/>
                            <w:sz w:val="18"/>
                          </w:rPr>
                          <w:t xml:space="preserve">esibiti o non trasmessi in risposta agli inviti dell’ufficio non possono essere </w:t>
                        </w:r>
                      </w:p>
                    </w:txbxContent>
                  </v:textbox>
                </v:rect>
                <v:rect id="Rectangle 17732" o:spid="_x0000_s3412" style="position:absolute;left:-12190;top:40889;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MdzxAAAAN4AAAAPAAAAZHJzL2Rvd25yZXYueG1sRE9Ni8Iw&#10;EL0L/ocwgjdNVVilaxRRxB72sq4Lexyasa02k9BEW/31m4UFb/N4n7Ncd6YWd2p8ZVnBZJyAIM6t&#10;rrhQcPrajxYgfEDWWFsmBQ/ysF71e0tMtW35k+7HUIgYwj5FBWUILpXS5yUZ9GPriCN3to3BEGFT&#10;SN1gG8NNLadJ8iYNVhwbSnS0LSm/Hm9Gwc+OXbZvZX5+bt3HJVvUh9vpW6nhoNu8gwjUhZf4353p&#10;OH8+n03h7514g1z9AgAA//8DAFBLAQItABQABgAIAAAAIQDb4fbL7gAAAIUBAAATAAAAAAAAAAAA&#10;AAAAAAAAAABbQ29udGVudF9UeXBlc10ueG1sUEsBAi0AFAAGAAgAAAAhAFr0LFu/AAAAFQEAAAsA&#10;AAAAAAAAAAAAAAAAHwEAAF9yZWxzLy5yZWxzUEsBAi0AFAAGAAgAAAAhAC5Yx3PEAAAA3gAAAA8A&#10;AAAAAAAAAAAAAAAABwIAAGRycy9kb3ducmV2LnhtbFBLBQYAAAAAAwADALcAAAD4AgAAAAA=&#10;" filled="f" stroked="f">
                  <v:textbox inset="0,0,0,0">
                    <w:txbxContent>
                      <w:p w14:paraId="4DDE56CF" w14:textId="77777777" w:rsidR="00B32EF2" w:rsidRDefault="00000000">
                        <w:r>
                          <w:rPr>
                            <w:rFonts w:ascii="Arial" w:eastAsia="Arial" w:hAnsi="Arial" w:cs="Arial"/>
                            <w:i/>
                            <w:sz w:val="18"/>
                          </w:rPr>
                          <w:t xml:space="preserve">presi in considerazione a favore del contribuente, ai fini dell’accertamento </w:t>
                        </w:r>
                      </w:p>
                    </w:txbxContent>
                  </v:textbox>
                </v:rect>
                <v:rect id="Rectangle 17733" o:spid="_x0000_s3413" style="position:absolute;left:-11227;top:39656;width:500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GLoxAAAAN4AAAAPAAAAZHJzL2Rvd25yZXYueG1sRE9Ni8Iw&#10;EL0L/ocwgjdNVVilaxRRxB72sq4Lexyasa02k9BEW/31m4UFb/N4n7Ncd6YWd2p8ZVnBZJyAIM6t&#10;rrhQcPrajxYgfEDWWFsmBQ/ysF71e0tMtW35k+7HUIgYwj5FBWUILpXS5yUZ9GPriCN3to3BEGFT&#10;SN1gG8NNLadJ8iYNVhwbSnS0LSm/Hm9Gwc+OXbZvZX5+bt3HJVvUh9vpW6nhoNu8gwjUhZf4353p&#10;OH8+n83g7514g1z9AgAA//8DAFBLAQItABQABgAIAAAAIQDb4fbL7gAAAIUBAAATAAAAAAAAAAAA&#10;AAAAAAAAAABbQ29udGVudF9UeXBlc10ueG1sUEsBAi0AFAAGAAgAAAAhAFr0LFu/AAAAFQEAAAsA&#10;AAAAAAAAAAAAAAAAHwEAAF9yZWxzLy5yZWxzUEsBAi0AFAAGAAgAAAAhAEEUYujEAAAA3gAAAA8A&#10;AAAAAAAAAAAAAAAABwIAAGRycy9kb3ducmV2LnhtbFBLBQYAAAAAAwADALcAAAD4AgAAAAA=&#10;" filled="f" stroked="f">
                  <v:textbox inset="0,0,0,0">
                    <w:txbxContent>
                      <w:p w14:paraId="707B368D" w14:textId="77777777" w:rsidR="00B32EF2" w:rsidRDefault="00000000">
                        <w:r>
                          <w:rPr>
                            <w:rFonts w:ascii="Arial" w:eastAsia="Arial" w:hAnsi="Arial" w:cs="Arial"/>
                            <w:i/>
                            <w:sz w:val="18"/>
                          </w:rPr>
                          <w:t>in sede amministrativa e contenziosa. Di ciò l’ufficio deve informare il con</w:t>
                        </w:r>
                      </w:p>
                    </w:txbxContent>
                  </v:textbox>
                </v:rect>
                <v:rect id="Rectangle 17734" o:spid="_x0000_s3414" style="position:absolute;left:657;top:3965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qcxQAAAN4AAAAPAAAAZHJzL2Rvd25yZXYueG1sRE9La8JA&#10;EL4X/A/LCN7qxlpUoquIRZpDL/UBHofsmESzs0t2NWl/fbcgeJuP7zmLVWdqcafGV5YVjIYJCOLc&#10;6ooLBYf99nUGwgdkjbVlUvBDHlbL3ssCU21b/qb7LhQihrBPUUEZgkul9HlJBv3QOuLInW1jMETY&#10;FFI32MZwU8u3JJlIgxXHhhIdbUrKr7ubUXD6YJdtW5mffzfu65LN6s/b4ajUoN+t5yACdeEpfrgz&#10;HedPp+N3+H8n3iCXfwAAAP//AwBQSwECLQAUAAYACAAAACEA2+H2y+4AAACFAQAAEwAAAAAAAAAA&#10;AAAAAAAAAAAAW0NvbnRlbnRfVHlwZXNdLnhtbFBLAQItABQABgAIAAAAIQBa9CxbvwAAABUBAAAL&#10;AAAAAAAAAAAAAAAAAB8BAABfcmVscy8ucmVsc1BLAQItABQABgAIAAAAIQDO/fqcxQAAAN4AAAAP&#10;AAAAAAAAAAAAAAAAAAcCAABkcnMvZG93bnJldi54bWxQSwUGAAAAAAMAAwC3AAAA+QIAAAAA&#10;" filled="f" stroked="f">
                  <v:textbox inset="0,0,0,0">
                    <w:txbxContent>
                      <w:p w14:paraId="1849B2D4" w14:textId="77777777" w:rsidR="00B32EF2" w:rsidRDefault="00000000">
                        <w:r>
                          <w:rPr>
                            <w:rFonts w:ascii="Arial" w:eastAsia="Arial" w:hAnsi="Arial" w:cs="Arial"/>
                            <w:i/>
                            <w:sz w:val="18"/>
                          </w:rPr>
                          <w:t>-</w:t>
                        </w:r>
                      </w:p>
                    </w:txbxContent>
                  </v:textbox>
                </v:rect>
                <v:rect id="Rectangle 17735" o:spid="_x0000_s3415" style="position:absolute;left:11709;top:38423;width:271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V8HxQAAAN4AAAAPAAAAZHJzL2Rvd25yZXYueG1sRE9La8JA&#10;EL4X/A/LCN7qxkpVoquIRZpDL/UBHofsmESzs0t2NWl/fbcgeJuP7zmLVWdqcafGV5YVjIYJCOLc&#10;6ooLBYf99nUGwgdkjbVlUvBDHlbL3ssCU21b/qb7LhQihrBPUUEZgkul9HlJBv3QOuLInW1jMETY&#10;FFI32MZwU8u3JJlIgxXHhhIdbUrKr7ubUXD6YJdtW5mffzfu65LN6s/b4ajUoN+t5yACdeEpfrgz&#10;HedPp+N3+H8n3iCXfwAAAP//AwBQSwECLQAUAAYACAAAACEA2+H2y+4AAACFAQAAEwAAAAAAAAAA&#10;AAAAAAAAAAAAW0NvbnRlbnRfVHlwZXNdLnhtbFBLAQItABQABgAIAAAAIQBa9CxbvwAAABUBAAAL&#10;AAAAAAAAAAAAAAAAAB8BAABfcmVscy8ucmVsc1BLAQItABQABgAIAAAAIQChsV8HxQAAAN4AAAAP&#10;AAAAAAAAAAAAAAAAAAcCAABkcnMvZG93bnJldi54bWxQSwUGAAAAAAMAAwC3AAAA+QIAAAAA&#10;" filled="f" stroked="f">
                  <v:textbox inset="0,0,0,0">
                    <w:txbxContent>
                      <w:p w14:paraId="5E499754" w14:textId="77777777" w:rsidR="00B32EF2" w:rsidRDefault="00000000">
                        <w:r>
                          <w:rPr>
                            <w:rFonts w:ascii="Arial" w:eastAsia="Arial" w:hAnsi="Arial" w:cs="Arial"/>
                            <w:i/>
                            <w:sz w:val="18"/>
                          </w:rPr>
                          <w:t>tribuente contestualmente alla richiesta.</w:t>
                        </w:r>
                      </w:p>
                    </w:txbxContent>
                  </v:textbox>
                </v:rect>
                <v:rect id="Rectangle 17736" o:spid="_x0000_s3416" style="position:absolute;left:-11231;top:37190;width:5004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8FwxAAAAN4AAAAPAAAAZHJzL2Rvd25yZXYueG1sRE9Ni8Iw&#10;EL0L/ocwgjdNdUGlaxRRZHvwsq4Lexyasa02k9BEW/31m4UFb/N4n7Ncd6YWd2p8ZVnBZJyAIM6t&#10;rrhQcPrajxYgfEDWWFsmBQ/ysF71e0tMtW35k+7HUIgYwj5FBWUILpXS5yUZ9GPriCN3to3BEGFT&#10;SN1gG8NNLadJMpMGK44NJTralpRfjzej4GfHLtu3Mj8/t+5wyRb1x+30rdRw0G3eQQTqwkv87850&#10;nD+fv83g7514g1z9AgAA//8DAFBLAQItABQABgAIAAAAIQDb4fbL7gAAAIUBAAATAAAAAAAAAAAA&#10;AAAAAAAAAABbQ29udGVudF9UeXBlc10ueG1sUEsBAi0AFAAGAAgAAAAhAFr0LFu/AAAAFQEAAAsA&#10;AAAAAAAAAAAAAAAAHwEAAF9yZWxzLy5yZWxzUEsBAi0AFAAGAAgAAAAhAFFjwXDEAAAA3gAAAA8A&#10;AAAAAAAAAAAAAAAABwIAAGRycy9kb3ducmV2LnhtbFBLBQYAAAAAAwADALcAAAD4AgAAAAA=&#10;" filled="f" stroked="f">
                  <v:textbox inset="0,0,0,0">
                    <w:txbxContent>
                      <w:p w14:paraId="42C9EABC" w14:textId="77777777" w:rsidR="00B32EF2" w:rsidRDefault="00000000">
                        <w:r>
                          <w:rPr>
                            <w:rFonts w:ascii="Arial" w:eastAsia="Arial" w:hAnsi="Arial" w:cs="Arial"/>
                            <w:i/>
                            <w:sz w:val="18"/>
                          </w:rPr>
                          <w:t>Le cause di inutilizzabilità previste dal terzo comma non operano nei con</w:t>
                        </w:r>
                      </w:p>
                    </w:txbxContent>
                  </v:textbox>
                </v:rect>
                <v:rect id="Rectangle 17737" o:spid="_x0000_s3417" style="position:absolute;left:657;top:3719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TrxQAAAN4AAAAPAAAAZHJzL2Rvd25yZXYueG1sRE9La8JA&#10;EL4X+h+WEbzVjQpGUlcpFjEHLz4KPQ7ZMUmbnV2yq4n+erdQ8DYf33MWq9404kqtry0rGI8SEMSF&#10;1TWXCk7HzdschA/IGhvLpOBGHlbL15cFZtp2vKfrIZQihrDPUEEVgsuk9EVFBv3IOuLInW1rMETY&#10;llK32MVw08hJksykwZpjQ4WO1hUVv4eLUfD9yS7fdLI439du95PPm+3l9KXUcNB/vIMI1Ien+N+d&#10;6zg/Tacp/L0Tb5DLBwAAAP//AwBQSwECLQAUAAYACAAAACEA2+H2y+4AAACFAQAAEwAAAAAAAAAA&#10;AAAAAAAAAAAAW0NvbnRlbnRfVHlwZXNdLnhtbFBLAQItABQABgAIAAAAIQBa9CxbvwAAABUBAAAL&#10;AAAAAAAAAAAAAAAAAB8BAABfcmVscy8ucmVsc1BLAQItABQABgAIAAAAIQA+L2TrxQAAAN4AAAAP&#10;AAAAAAAAAAAAAAAAAAcCAABkcnMvZG93bnJldi54bWxQSwUGAAAAAAMAAwC3AAAA+QIAAAAA&#10;" filled="f" stroked="f">
                  <v:textbox inset="0,0,0,0">
                    <w:txbxContent>
                      <w:p w14:paraId="27C91CA8" w14:textId="77777777" w:rsidR="00B32EF2" w:rsidRDefault="00000000">
                        <w:r>
                          <w:rPr>
                            <w:rFonts w:ascii="Arial" w:eastAsia="Arial" w:hAnsi="Arial" w:cs="Arial"/>
                            <w:i/>
                            <w:sz w:val="18"/>
                          </w:rPr>
                          <w:t>-</w:t>
                        </w:r>
                      </w:p>
                    </w:txbxContent>
                  </v:textbox>
                </v:rect>
                <v:rect id="Rectangle 17738" o:spid="_x0000_s3418" style="position:absolute;left:-11230;top:35956;width:500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PCZyAAAAN4AAAAPAAAAZHJzL2Rvd25yZXYueG1sRI9Pa8JA&#10;EMXvQr/DMoXedFMLKqmrFIuYgxf/FHocsmOSNju7ZFeT9tM7h0JvM7w37/1muR5cq27UxcazgedJ&#10;Boq49LbhysD5tB0vQMWEbLH1TAZ+KMJ69TBaYm59zwe6HVOlJIRjjgbqlEKudSxrchgnPhCLdvGd&#10;wyRrV2nbYS/hrtXTLJtphw1LQ42BNjWV38erM/D5zqHY9rq8/G7C/qtYtLvr+cOYp8fh7RVUoiH9&#10;m/+uCyv48/mL8Mo7MoNe3QEAAP//AwBQSwECLQAUAAYACAAAACEA2+H2y+4AAACFAQAAEwAAAAAA&#10;AAAAAAAAAAAAAAAAW0NvbnRlbnRfVHlwZXNdLnhtbFBLAQItABQABgAIAAAAIQBa9CxbvwAAABUB&#10;AAALAAAAAAAAAAAAAAAAAB8BAABfcmVscy8ucmVsc1BLAQItABQABgAIAAAAIQBPsPCZyAAAAN4A&#10;AAAPAAAAAAAAAAAAAAAAAAcCAABkcnMvZG93bnJldi54bWxQSwUGAAAAAAMAAwC3AAAA/AIAAAAA&#10;" filled="f" stroked="f">
                  <v:textbox inset="0,0,0,0">
                    <w:txbxContent>
                      <w:p w14:paraId="34C66598" w14:textId="77777777" w:rsidR="00B32EF2" w:rsidRDefault="00000000">
                        <w:r>
                          <w:rPr>
                            <w:rFonts w:ascii="Arial" w:eastAsia="Arial" w:hAnsi="Arial" w:cs="Arial"/>
                            <w:i/>
                            <w:sz w:val="18"/>
                          </w:rPr>
                          <w:t>fronti del contribuente che depositi in allegato all’atto introduttivo del giu</w:t>
                        </w:r>
                      </w:p>
                    </w:txbxContent>
                  </v:textbox>
                </v:rect>
                <v:rect id="Rectangle 17739" o:spid="_x0000_s3419" style="position:absolute;left:657;top:3595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UCxQAAAN4AAAAPAAAAZHJzL2Rvd25yZXYueG1sRE9Na8JA&#10;EL0X+h+WKXirGxXURlcRRcyhl1oLPQ7ZMYlmZ5fsaqK/3i0UvM3jfc582ZlaXKnxlWUFg34Cgji3&#10;uuJCweF7+z4F4QOyxtoyKbiRh+Xi9WWOqbYtf9F1HwoRQ9inqKAMwaVS+rwkg75vHXHkjrYxGCJs&#10;CqkbbGO4qeUwScbSYMWxoURH65Ly8/5iFPxu2GXbVubH+9p9nrJpvbscfpTqvXWrGYhAXXiK/92Z&#10;jvMnk9EH/L0Tb5CLBwAAAP//AwBQSwECLQAUAAYACAAAACEA2+H2y+4AAACFAQAAEwAAAAAAAAAA&#10;AAAAAAAAAAAAW0NvbnRlbnRfVHlwZXNdLnhtbFBLAQItABQABgAIAAAAIQBa9CxbvwAAABUBAAAL&#10;AAAAAAAAAAAAAAAAAB8BAABfcmVscy8ucmVsc1BLAQItABQABgAIAAAAIQAg/FUCxQAAAN4AAAAP&#10;AAAAAAAAAAAAAAAAAAcCAABkcnMvZG93bnJldi54bWxQSwUGAAAAAAMAAwC3AAAA+QIAAAAA&#10;" filled="f" stroked="f">
                  <v:textbox inset="0,0,0,0">
                    <w:txbxContent>
                      <w:p w14:paraId="024B9180" w14:textId="77777777" w:rsidR="00B32EF2" w:rsidRDefault="00000000">
                        <w:r>
                          <w:rPr>
                            <w:rFonts w:ascii="Arial" w:eastAsia="Arial" w:hAnsi="Arial" w:cs="Arial"/>
                            <w:i/>
                            <w:sz w:val="18"/>
                          </w:rPr>
                          <w:t>-</w:t>
                        </w:r>
                      </w:p>
                    </w:txbxContent>
                  </v:textbox>
                </v:rect>
                <v:rect id="Rectangle 17740" o:spid="_x0000_s3420" style="position:absolute;left:-12242;top:34723;width:512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I/iyAAAAN4AAAAPAAAAZHJzL2Rvd25yZXYueG1sRI9Pa8JA&#10;EMXvQr/DMoXedFMpKqmrFIuYgxf/FHocsmOSNju7ZFeT9tM7h0JvM8yb995vuR5cq27UxcazgedJ&#10;Boq49LbhysD5tB0vQMWEbLH1TAZ+KMJ69TBaYm59zwe6HVOlxIRjjgbqlEKudSxrchgnPhDL7eI7&#10;h0nWrtK2w17MXaunWTbTDhuWhBoDbWoqv49XZ+DznUOx7XV5+d2E/VexaHfX84cxT4/D2yuoREP6&#10;F/99F1bqz+cvAiA4MoNe3QEAAP//AwBQSwECLQAUAAYACAAAACEA2+H2y+4AAACFAQAAEwAAAAAA&#10;AAAAAAAAAAAAAAAAW0NvbnRlbnRfVHlwZXNdLnhtbFBLAQItABQABgAIAAAAIQBa9CxbvwAAABUB&#10;AAALAAAAAAAAAAAAAAAAAB8BAABfcmVscy8ucmVsc1BLAQItABQABgAIAAAAIQDpwI/iyAAAAN4A&#10;AAAPAAAAAAAAAAAAAAAAAAcCAABkcnMvZG93bnJldi54bWxQSwUGAAAAAAMAAwC3AAAA/AIAAAAA&#10;" filled="f" stroked="f">
                  <v:textbox inset="0,0,0,0">
                    <w:txbxContent>
                      <w:p w14:paraId="75195AD0" w14:textId="77777777" w:rsidR="00B32EF2" w:rsidRDefault="00000000">
                        <w:r>
                          <w:rPr>
                            <w:rFonts w:ascii="Arial" w:eastAsia="Arial" w:hAnsi="Arial" w:cs="Arial"/>
                            <w:i/>
                            <w:sz w:val="18"/>
                          </w:rPr>
                          <w:t xml:space="preserve">dizio di primo grado in sede contenziosa le notizie, i dati, i documenti, i </w:t>
                        </w:r>
                      </w:p>
                    </w:txbxContent>
                  </v:textbox>
                </v:rect>
                <v:rect id="Rectangle 17741" o:spid="_x0000_s3421" style="position:absolute;left:-12197;top:33490;width:510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Cp5xAAAAN4AAAAPAAAAZHJzL2Rvd25yZXYueG1sRE9Li8Iw&#10;EL4v7H8Is+BtTRVZpRplcRF72Isv8Dg0Y1ttJqGJtvrrzcKCt/n4njNbdKYWN2p8ZVnBoJ+AIM6t&#10;rrhQsN+tPicgfEDWWFsmBXfysJi/v80w1bblDd22oRAxhH2KCsoQXCqlz0sy6PvWEUfuZBuDIcKm&#10;kLrBNoabWg6T5EsarDg2lOhoWVJ+2V6NguMPu2zVyvz0WLrfczap19f9QaneR/c9BRGoCy/xvzvT&#10;cf54PBrA3zvxBjl/AgAA//8DAFBLAQItABQABgAIAAAAIQDb4fbL7gAAAIUBAAATAAAAAAAAAAAA&#10;AAAAAAAAAABbQ29udGVudF9UeXBlc10ueG1sUEsBAi0AFAAGAAgAAAAhAFr0LFu/AAAAFQEAAAsA&#10;AAAAAAAAAAAAAAAAHwEAAF9yZWxzLy5yZWxzUEsBAi0AFAAGAAgAAAAhAIaMKnnEAAAA3gAAAA8A&#10;AAAAAAAAAAAAAAAABwIAAGRycy9kb3ducmV2LnhtbFBLBQYAAAAAAwADALcAAAD4AgAAAAA=&#10;" filled="f" stroked="f">
                  <v:textbox inset="0,0,0,0">
                    <w:txbxContent>
                      <w:p w14:paraId="57983273" w14:textId="77777777" w:rsidR="00B32EF2" w:rsidRDefault="00000000">
                        <w:r>
                          <w:rPr>
                            <w:rFonts w:ascii="Arial" w:eastAsia="Arial" w:hAnsi="Arial" w:cs="Arial"/>
                            <w:i/>
                            <w:sz w:val="18"/>
                          </w:rPr>
                          <w:t xml:space="preserve">libri e i registri, dichiarando comunque contestualmente di non aver potuto </w:t>
                        </w:r>
                      </w:p>
                    </w:txbxContent>
                  </v:textbox>
                </v:rect>
                <v:rect id="Rectangle 17742" o:spid="_x0000_s3422" style="position:absolute;left:-6038;top:32256;width:448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rQOxAAAAN4AAAAPAAAAZHJzL2Rvd25yZXYueG1sRE9Ni8Iw&#10;EL0L/ocwgjdNFVmlaxRRxB72sq4Lexyasa02k9BEW/31m4UFb/N4n7Ncd6YWd2p8ZVnBZJyAIM6t&#10;rrhQcPrajxYgfEDWWFsmBQ/ysF71e0tMtW35k+7HUIgYwj5FBWUILpXS5yUZ9GPriCN3to3BEGFT&#10;SN1gG8NNLadJ8iYNVhwbSnS0LSm/Hm9Gwc+OXbZvZX5+bt3HJVvUh9vpW6nhoNu8gwjUhZf4353p&#10;OH8+n03h7514g1z9AgAA//8DAFBLAQItABQABgAIAAAAIQDb4fbL7gAAAIUBAAATAAAAAAAAAAAA&#10;AAAAAAAAAABbQ29udGVudF9UeXBlc10ueG1sUEsBAi0AFAAGAAgAAAAhAFr0LFu/AAAAFQEAAAsA&#10;AAAAAAAAAAAAAAAAHwEAAF9yZWxzLy5yZWxzUEsBAi0AFAAGAAgAAAAhAHZetA7EAAAA3gAAAA8A&#10;AAAAAAAAAAAAAAAABwIAAGRycy9kb3ducmV2LnhtbFBLBQYAAAAAAwADALcAAAD4AgAAAAA=&#10;" filled="f" stroked="f">
                  <v:textbox inset="0,0,0,0">
                    <w:txbxContent>
                      <w:p w14:paraId="5D404614" w14:textId="77777777" w:rsidR="00B32EF2" w:rsidRDefault="00000000">
                        <w:r>
                          <w:rPr>
                            <w:rFonts w:ascii="Arial" w:eastAsia="Arial" w:hAnsi="Arial" w:cs="Arial"/>
                            <w:i/>
                            <w:sz w:val="18"/>
                          </w:rPr>
                          <w:t>adempiere alle richieste degli uffici per causa a lui non imputabile.</w:t>
                        </w:r>
                      </w:p>
                    </w:txbxContent>
                  </v:textbox>
                </v:rect>
                <v:rect id="Rectangle 200834" o:spid="_x0000_s3423" style="position:absolute;left:25764;top:31023;width:500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1T6xwAAAN8AAAAPAAAAZHJzL2Rvd25yZXYueG1sRI9Pa8JA&#10;FMTvgt9heUJvuukfJKRuQrFIc/BSa6HHR/aZRLNvl+xqUj99tyB4HGbmN8yqGE0nLtT71rKCx0UC&#10;griyuuVawf5rM09B+ICssbNMCn7JQ5FPJyvMtB34ky67UIsIYZ+hgiYEl0npq4YM+oV1xNE72N5g&#10;iLKvpe5xiHDTyackWUqDLceFBh2tG6pOu7NR8PPOrtwMsjpc1257LNPu47z/VuphNr69ggg0hnv4&#10;1i61gkhMn1/g/0/8AjL/AwAA//8DAFBLAQItABQABgAIAAAAIQDb4fbL7gAAAIUBAAATAAAAAAAA&#10;AAAAAAAAAAAAAABbQ29udGVudF9UeXBlc10ueG1sUEsBAi0AFAAGAAgAAAAhAFr0LFu/AAAAFQEA&#10;AAsAAAAAAAAAAAAAAAAAHwEAAF9yZWxzLy5yZWxzUEsBAi0AFAAGAAgAAAAhANgnVPrHAAAA3wAA&#10;AA8AAAAAAAAAAAAAAAAABwIAAGRycy9kb3ducmV2LnhtbFBLBQYAAAAAAwADALcAAAD7AgAAAAA=&#10;" filled="f" stroked="f">
                  <v:textbox inset="0,0,0,0">
                    <w:txbxContent>
                      <w:p w14:paraId="31023367" w14:textId="77777777" w:rsidR="00B32EF2" w:rsidRDefault="00000000">
                        <w:r>
                          <w:rPr>
                            <w:rFonts w:ascii="Arial" w:eastAsia="Arial" w:hAnsi="Arial" w:cs="Arial"/>
                            <w:i/>
                            <w:sz w:val="18"/>
                          </w:rPr>
                          <w:t>5</w:t>
                        </w:r>
                      </w:p>
                    </w:txbxContent>
                  </v:textbox>
                </v:rect>
                <v:rect id="Rectangle 200835" o:spid="_x0000_s3424" style="position:absolute;left:-11917;top:31023;width:500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FhxwAAAN8AAAAPAAAAZHJzL2Rvd25yZXYueG1sRI9Ba8JA&#10;FITvgv9heUJvumlLJaRuQrFIc/BSa6HHR/aZRLNvl+xqUn99tyB4HGbmG2ZVjKYTF+p9a1nB4yIB&#10;QVxZ3XKtYP+1macgfEDW2FkmBb/kocinkxVm2g78SZddqEWEsM9QQROCy6T0VUMG/cI64ugdbG8w&#10;RNnXUvc4RLjp5FOSLKXBluNCg47WDVWn3dko+HlnV24GWR2ua7c9lmn3cd5/K/UwG99eQQQawz18&#10;a5daQSSmzy/w/yd+AZn/AQAA//8DAFBLAQItABQABgAIAAAAIQDb4fbL7gAAAIUBAAATAAAAAAAA&#10;AAAAAAAAAAAAAABbQ29udGVudF9UeXBlc10ueG1sUEsBAi0AFAAGAAgAAAAhAFr0LFu/AAAAFQEA&#10;AAsAAAAAAAAAAAAAAAAAHwEAAF9yZWxzLy5yZWxzUEsBAi0AFAAGAAgAAAAhALdr8WHHAAAA3wAA&#10;AA8AAAAAAAAAAAAAAAAABwIAAGRycy9kb3ducmV2LnhtbFBLBQYAAAAAAwADALcAAAD7AgAAAAA=&#10;" filled="f" stroked="f">
                  <v:textbox inset="0,0,0,0">
                    <w:txbxContent>
                      <w:p w14:paraId="4B94C82E" w14:textId="77777777" w:rsidR="00B32EF2" w:rsidRDefault="00000000">
                        <w:r>
                          <w:rPr>
                            <w:rFonts w:ascii="Arial" w:eastAsia="Arial" w:hAnsi="Arial" w:cs="Arial"/>
                            <w:i/>
                            <w:sz w:val="18"/>
                          </w:rPr>
                          <w:t>. Quando l’Agenzia delle entrate riceve comunicazione da parte del pubbli</w:t>
                        </w:r>
                      </w:p>
                    </w:txbxContent>
                  </v:textbox>
                </v:rect>
                <v:rect id="Rectangle 17744" o:spid="_x0000_s3425" style="position:absolute;left:657;top:3102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nhxAAAAN4AAAAPAAAAZHJzL2Rvd25yZXYueG1sRE9Ni8Iw&#10;EL0L/ocwgjdNFVmlaxRRxB72sq4Lexyasa02k9BEW/31m4UFb/N4n7Ncd6YWd2p8ZVnBZJyAIM6t&#10;rrhQcPrajxYgfEDWWFsmBQ/ysF71e0tMtW35k+7HUIgYwj5FBWUILpXS5yUZ9GPriCN3to3BEGFT&#10;SN1gG8NNLadJ8iYNVhwbSnS0LSm/Hm9Gwc+OXbZvZX5+bt3HJVvUh9vpW6nhoNu8gwjUhZf4353p&#10;OH8+n83g7514g1z9AgAA//8DAFBLAQItABQABgAIAAAAIQDb4fbL7gAAAIUBAAATAAAAAAAAAAAA&#10;AAAAAAAAAABbQ29udGVudF9UeXBlc10ueG1sUEsBAi0AFAAGAAgAAAAhAFr0LFu/AAAAFQEAAAsA&#10;AAAAAAAAAAAAAAAAHwEAAF9yZWxzLy5yZWxzUEsBAi0AFAAGAAgAAAAhAJb7ieHEAAAA3gAAAA8A&#10;AAAAAAAAAAAAAAAABwIAAGRycy9kb3ducmV2LnhtbFBLBQYAAAAAAwADALcAAAD4AgAAAAA=&#10;" filled="f" stroked="f">
                  <v:textbox inset="0,0,0,0">
                    <w:txbxContent>
                      <w:p w14:paraId="451536C0" w14:textId="77777777" w:rsidR="00B32EF2" w:rsidRDefault="00000000">
                        <w:r>
                          <w:rPr>
                            <w:rFonts w:ascii="Arial" w:eastAsia="Arial" w:hAnsi="Arial" w:cs="Arial"/>
                            <w:i/>
                            <w:sz w:val="18"/>
                          </w:rPr>
                          <w:t>-</w:t>
                        </w:r>
                      </w:p>
                    </w:txbxContent>
                  </v:textbox>
                </v:rect>
                <v:rect id="Rectangle 17745" o:spid="_x0000_s3426" style="position:absolute;left:-12189;top:29790;width:509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yx6xQAAAN4AAAAPAAAAZHJzL2Rvd25yZXYueG1sRE9La8JA&#10;EL4X/A/LCN7qxmJVoquIRZpDL/UBHofsmESzs0t2NWl/fbcgeJuP7zmLVWdqcafGV5YVjIYJCOLc&#10;6ooLBYf99nUGwgdkjbVlUvBDHlbL3ssCU21b/qb7LhQihrBPUUEZgkul9HlJBv3QOuLInW1jMETY&#10;FFI32MZwU8u3JJlIgxXHhhIdbUrKr7ubUXD6YJdtW5mffzfu65LN6s/b4ajUoN+t5yACdeEpfrgz&#10;HedPp+N3+H8n3iCXfwAAAP//AwBQSwECLQAUAAYACAAAACEA2+H2y+4AAACFAQAAEwAAAAAAAAAA&#10;AAAAAAAAAAAAW0NvbnRlbnRfVHlwZXNdLnhtbFBLAQItABQABgAIAAAAIQBa9CxbvwAAABUBAAAL&#10;AAAAAAAAAAAAAAAAAB8BAABfcmVscy8ucmVsc1BLAQItABQABgAIAAAAIQD5tyx6xQAAAN4AAAAP&#10;AAAAAAAAAAAAAAAAAAcCAABkcnMvZG93bnJldi54bWxQSwUGAAAAAAMAAwC3AAAA+QIAAAAA&#10;" filled="f" stroked="f">
                  <v:textbox inset="0,0,0,0">
                    <w:txbxContent>
                      <w:p w14:paraId="58337216" w14:textId="77777777" w:rsidR="00B32EF2" w:rsidRDefault="00000000">
                        <w:r>
                          <w:rPr>
                            <w:rFonts w:ascii="Arial" w:eastAsia="Arial" w:hAnsi="Arial" w:cs="Arial"/>
                            <w:i/>
                            <w:sz w:val="18"/>
                          </w:rPr>
                          <w:t xml:space="preserve">co ministero dell’esercizio dell’azione penale ai sensi dell’articolo 129, comma </w:t>
                        </w:r>
                      </w:p>
                    </w:txbxContent>
                  </v:textbox>
                </v:rect>
                <v:rect id="Rectangle 200832" o:spid="_x0000_s3427" style="position:absolute;left:25113;top:28556;width:510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mkVxgAAAN8AAAAPAAAAZHJzL2Rvd25yZXYueG1sRI9Ba8JA&#10;FITvhf6H5RV6q5takBBdpShiDr1oI3h8ZJ9JNPt2ya4m9de7gtDjMDPfMLPFYFpxpc43lhV8jhIQ&#10;xKXVDVcKit/1RwrCB2SNrWVS8EceFvPXlxlm2va8pesuVCJC2GeooA7BZVL6siaDfmQdcfSOtjMY&#10;ouwqqTvsI9y0cpwkE2mw4bhQo6NlTeV5dzEKDit2+bqX5fG2dD+nPG03l2Kv1Pvb8D0FEWgI/+Fn&#10;O9cKIjH9GsPjT/wCcn4HAAD//wMAUEsBAi0AFAAGAAgAAAAhANvh9svuAAAAhQEAABMAAAAAAAAA&#10;AAAAAAAAAAAAAFtDb250ZW50X1R5cGVzXS54bWxQSwECLQAUAAYACAAAACEAWvQsW78AAAAVAQAA&#10;CwAAAAAAAAAAAAAAAAAfAQAAX3JlbHMvLnJlbHNQSwECLQAUAAYACAAAACEAOIJpFcYAAADfAAAA&#10;DwAAAAAAAAAAAAAAAAAHAgAAZHJzL2Rvd25yZXYueG1sUEsFBgAAAAADAAMAtwAAAPoCAAAAAA==&#10;" filled="f" stroked="f">
                  <v:textbox inset="0,0,0,0">
                    <w:txbxContent>
                      <w:p w14:paraId="1FEE465B" w14:textId="77777777" w:rsidR="00B32EF2" w:rsidRDefault="00000000">
                        <w:r>
                          <w:rPr>
                            <w:rFonts w:ascii="Arial" w:eastAsia="Arial" w:hAnsi="Arial" w:cs="Arial"/>
                            <w:i/>
                            <w:sz w:val="18"/>
                          </w:rPr>
                          <w:t>3-</w:t>
                        </w:r>
                      </w:p>
                    </w:txbxContent>
                  </v:textbox>
                </v:rect>
                <v:rect id="Rectangle 200833" o:spid="_x0000_s3428" style="position:absolute;left:-13264;top:28556;width:510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syOxwAAAN8AAAAPAAAAZHJzL2Rvd25yZXYueG1sRI9Pa8JA&#10;FMTvBb/D8gRvdVMFCakbKYqYQy9ahR4f2Zc/bfbtkl1N2k/fFYQeh5n5DbPejKYTN+p9a1nByzwB&#10;QVxa3XKt4Pyxf05B+ICssbNMCn7IwyafPK0x03bgI91OoRYRwj5DBU0ILpPSlw0Z9HPriKNX2d5g&#10;iLKvpe5xiHDTyUWSrKTBluNCg462DZXfp6tR8LljV+wHWVa/W/f+VaTd4Xq+KDWbjm+vIAKN4T/8&#10;aBdaQSSmyyXc/8QvIPM/AAAA//8DAFBLAQItABQABgAIAAAAIQDb4fbL7gAAAIUBAAATAAAAAAAA&#10;AAAAAAAAAAAAAABbQ29udGVudF9UeXBlc10ueG1sUEsBAi0AFAAGAAgAAAAhAFr0LFu/AAAAFQEA&#10;AAsAAAAAAAAAAAAAAAAAHwEAAF9yZWxzLy5yZWxzUEsBAi0AFAAGAAgAAAAhAFfOzI7HAAAA3wAA&#10;AA8AAAAAAAAAAAAAAAAABwIAAGRycy9kb3ducmV2LnhtbFBLBQYAAAAAAwADALcAAAD7AgAAAAA=&#10;" filled="f" stroked="f">
                  <v:textbox inset="0,0,0,0">
                    <w:txbxContent>
                      <w:p w14:paraId="11D4F1F9" w14:textId="77777777" w:rsidR="00B32EF2" w:rsidRDefault="00000000">
                        <w:r>
                          <w:rPr>
                            <w:rFonts w:ascii="Arial" w:eastAsia="Arial" w:hAnsi="Arial" w:cs="Arial"/>
                            <w:i/>
                            <w:sz w:val="18"/>
                          </w:rPr>
                          <w:t xml:space="preserve">quater, delle disposizioni attuative del codice di procedura penale , di cui al </w:t>
                        </w:r>
                      </w:p>
                    </w:txbxContent>
                  </v:textbox>
                </v:rect>
                <v:rect id="Rectangle 17747" o:spid="_x0000_s3429" style="position:absolute;left:-12167;top:27323;width:509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ReWxQAAAN4AAAAPAAAAZHJzL2Rvd25yZXYueG1sRE9La8JA&#10;EL4X+h+WEbzVjSJGUlcpFjEHLz4KPQ7ZMUmbnV2yq4n+erdQ8DYf33MWq9404kqtry0rGI8SEMSF&#10;1TWXCk7HzdschA/IGhvLpOBGHlbL15cFZtp2vKfrIZQihrDPUEEVgsuk9EVFBv3IOuLInW1rMETY&#10;llK32MVw08hJksykwZpjQ4WO1hUVv4eLUfD9yS7fdLI439du95PPm+3l9KXUcNB/vIMI1Ien+N+d&#10;6zg/Tacp/L0Tb5DLBwAAAP//AwBQSwECLQAUAAYACAAAACEA2+H2y+4AAACFAQAAEwAAAAAAAAAA&#10;AAAAAAAAAAAAW0NvbnRlbnRfVHlwZXNdLnhtbFBLAQItABQABgAIAAAAIQBa9CxbvwAAABUBAAAL&#10;AAAAAAAAAAAAAAAAAB8BAABfcmVscy8ucmVsc1BLAQItABQABgAIAAAAIQBmKReWxQAAAN4AAAAP&#10;AAAAAAAAAAAAAAAAAAcCAABkcnMvZG93bnJldi54bWxQSwUGAAAAAAMAAwC3AAAA+QIAAAAA&#10;" filled="f" stroked="f">
                  <v:textbox inset="0,0,0,0">
                    <w:txbxContent>
                      <w:p w14:paraId="6C79232D" w14:textId="77777777" w:rsidR="00B32EF2" w:rsidRDefault="00000000">
                        <w:r>
                          <w:rPr>
                            <w:rFonts w:ascii="Arial" w:eastAsia="Arial" w:hAnsi="Arial" w:cs="Arial"/>
                            <w:i/>
                            <w:sz w:val="18"/>
                          </w:rPr>
                          <w:t xml:space="preserve">decreto legislativo 28 luglio 1989, n. 271 , risponde senza ritardo trasmettendo, </w:t>
                        </w:r>
                      </w:p>
                    </w:txbxContent>
                  </v:textbox>
                </v:rect>
                <v:rect id="Rectangle 17748" o:spid="_x0000_s3430" style="position:absolute;left:-12182;top:26090;width:509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oPkyAAAAN4AAAAPAAAAZHJzL2Rvd25yZXYueG1sRI9Pa8JA&#10;EMXvQr/DMoXedFMpKqmrFIuYgxf/FHocsmOSNju7ZFeT9tM7h0JvM7w37/1muR5cq27UxcazgedJ&#10;Boq49LbhysD5tB0vQMWEbLH1TAZ+KMJ69TBaYm59zwe6HVOlJIRjjgbqlEKudSxrchgnPhCLdvGd&#10;wyRrV2nbYS/hrtXTLJtphw1LQ42BNjWV38erM/D5zqHY9rq8/G7C/qtYtLvr+cOYp8fh7RVUoiH9&#10;m/+uCyv48/mL8Mo7MoNe3QEAAP//AwBQSwECLQAUAAYACAAAACEA2+H2y+4AAACFAQAAEwAAAAAA&#10;AAAAAAAAAAAAAAAAW0NvbnRlbnRfVHlwZXNdLnhtbFBLAQItABQABgAIAAAAIQBa9CxbvwAAABUB&#10;AAALAAAAAAAAAAAAAAAAAB8BAABfcmVscy8ucmVsc1BLAQItABQABgAIAAAAIQAXtoPkyAAAAN4A&#10;AAAPAAAAAAAAAAAAAAAAAAcCAABkcnMvZG93bnJldi54bWxQSwUGAAAAAAMAAwC3AAAA/AIAAAAA&#10;" filled="f" stroked="f">
                  <v:textbox inset="0,0,0,0">
                    <w:txbxContent>
                      <w:p w14:paraId="15925E1D" w14:textId="77777777" w:rsidR="00B32EF2" w:rsidRDefault="00000000">
                        <w:r>
                          <w:rPr>
                            <w:rFonts w:ascii="Arial" w:eastAsia="Arial" w:hAnsi="Arial" w:cs="Arial"/>
                            <w:i/>
                            <w:sz w:val="18"/>
                          </w:rPr>
                          <w:t xml:space="preserve">anche al competente Comando della Guardia di finanza, l’attestazione relativa </w:t>
                        </w:r>
                      </w:p>
                    </w:txbxContent>
                  </v:textbox>
                </v:rect>
                <v:rect id="Rectangle 17749" o:spid="_x0000_s3431" style="position:absolute;left:7036;top:24857;width:3175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Z/xQAAAN4AAAAPAAAAZHJzL2Rvd25yZXYueG1sRE9Na8JA&#10;EL0X+h+WKXirG0XURlcRRcyhl1oLPQ7ZMYlmZ5fsaqK/3i0UvM3jfc582ZlaXKnxlWUFg34Cgji3&#10;uuJCweF7+z4F4QOyxtoyKbiRh+Xi9WWOqbYtf9F1HwoRQ9inqKAMwaVS+rwkg75vHXHkjrYxGCJs&#10;CqkbbGO4qeUwScbSYMWxoURH65Ly8/5iFPxu2GXbVubH+9p9nrJpvbscfpTqvXWrGYhAXXiK/92Z&#10;jvMnk9EH/L0Tb5CLBwAAAP//AwBQSwECLQAUAAYACAAAACEA2+H2y+4AAACFAQAAEwAAAAAAAAAA&#10;AAAAAAAAAAAAW0NvbnRlbnRfVHlwZXNdLnhtbFBLAQItABQABgAIAAAAIQBa9CxbvwAAABUBAAAL&#10;AAAAAAAAAAAAAAAAAB8BAABfcmVscy8ucmVsc1BLAQItABQABgAIAAAAIQB4+iZ/xQAAAN4AAAAP&#10;AAAAAAAAAAAAAAAAAAcCAABkcnMvZG93bnJldi54bWxQSwUGAAAAAAMAAwC3AAAA+QIAAAAA&#10;" filled="f" stroked="f">
                  <v:textbox inset="0,0,0,0">
                    <w:txbxContent>
                      <w:p w14:paraId="1C15CF35" w14:textId="77777777" w:rsidR="00B32EF2" w:rsidRDefault="00000000">
                        <w:r>
                          <w:rPr>
                            <w:rFonts w:ascii="Arial" w:eastAsia="Arial" w:hAnsi="Arial" w:cs="Arial"/>
                            <w:i/>
                            <w:sz w:val="18"/>
                          </w:rPr>
                          <w:t>allo stato di definizione della violazione tributaria.</w:t>
                        </w:r>
                      </w:p>
                    </w:txbxContent>
                  </v:textbox>
                </v:rect>
                <v:rect id="Rectangle 17750" o:spid="_x0000_s3432" style="position:absolute;left:-12182;top:23623;width:509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Rk/yAAAAN4AAAAPAAAAZHJzL2Rvd25yZXYueG1sRI9Pa8JA&#10;EMXvQr/DMoXedFOhKqmrFIuYgxf/FHocsmOSNju7ZFeT9tM7h0JvM8yb995vuR5cq27UxcazgedJ&#10;Boq49LbhysD5tB0vQMWEbLH1TAZ+KMJ69TBaYm59zwe6HVOlxIRjjgbqlEKudSxrchgnPhDL7eI7&#10;h0nWrtK2w17MXaunWTbTDhuWhBoDbWoqv49XZ+DznUOx7XV5+d2E/VexaHfX84cxT4/D2yuoREP6&#10;F/99F1bqz+cvAiA4MoNe3QEAAP//AwBQSwECLQAUAAYACAAAACEA2+H2y+4AAACFAQAAEwAAAAAA&#10;AAAAAAAAAAAAAAAAW0NvbnRlbnRfVHlwZXNdLnhtbFBLAQItABQABgAIAAAAIQBa9CxbvwAAABUB&#10;AAALAAAAAAAAAAAAAAAAAB8BAABfcmVscy8ucmVsc1BLAQItABQABgAIAAAAIQBsGRk/yAAAAN4A&#10;AAAPAAAAAAAAAAAAAAAAAAcCAABkcnMvZG93bnJldi54bWxQSwUGAAAAAAMAAwC3AAAA/AIAAAAA&#10;" filled="f" stroked="f">
                  <v:textbox inset="0,0,0,0">
                    <w:txbxContent>
                      <w:p w14:paraId="1E6AFF23" w14:textId="77777777" w:rsidR="00B32EF2" w:rsidRDefault="00000000">
                        <w:r>
                          <w:rPr>
                            <w:rFonts w:ascii="Arial" w:eastAsia="Arial" w:hAnsi="Arial" w:cs="Arial"/>
                            <w:i/>
                            <w:sz w:val="18"/>
                          </w:rPr>
                          <w:t xml:space="preserve">art. 51 dpr. n. 633/72 “Attribuzione e poteri degli uffici dell’imposte sul valore </w:t>
                        </w:r>
                      </w:p>
                    </w:txbxContent>
                  </v:textbox>
                </v:rect>
                <v:rect id="Rectangle 17751" o:spid="_x0000_s3433" style="position:absolute;left:32300;top:22390;width:65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bykxAAAAN4AAAAPAAAAZHJzL2Rvd25yZXYueG1sRE9Li8Iw&#10;EL4v7H8Is+BtTRVcpRplcRF72Isv8Dg0Y1ttJqGJtvrrzcKCt/n4njNbdKYWN2p8ZVnBoJ+AIM6t&#10;rrhQsN+tPicgfEDWWFsmBXfysJi/v80w1bblDd22oRAxhH2KCsoQXCqlz0sy6PvWEUfuZBuDIcKm&#10;kLrBNoabWg6T5EsarDg2lOhoWVJ+2V6NguMPu2zVyvz0WLrfczap19f9QaneR/c9BRGoCy/xvzvT&#10;cf54PBrA3zvxBjl/AgAA//8DAFBLAQItABQABgAIAAAAIQDb4fbL7gAAAIUBAAATAAAAAAAAAAAA&#10;AAAAAAAAAABbQ29udGVudF9UeXBlc10ueG1sUEsBAi0AFAAGAAgAAAAhAFr0LFu/AAAAFQEAAAsA&#10;AAAAAAAAAAAAAAAAHwEAAF9yZWxzLy5yZWxzUEsBAi0AFAAGAAgAAAAhAANVvKTEAAAA3gAAAA8A&#10;AAAAAAAAAAAAAAAABwIAAGRycy9kb3ducmV2LnhtbFBLBQYAAAAAAwADALcAAAD4AgAAAAA=&#10;" filled="f" stroked="f">
                  <v:textbox inset="0,0,0,0">
                    <w:txbxContent>
                      <w:p w14:paraId="3D233AF4" w14:textId="77777777" w:rsidR="00B32EF2" w:rsidRDefault="00000000">
                        <w:r>
                          <w:rPr>
                            <w:rFonts w:ascii="Arial" w:eastAsia="Arial" w:hAnsi="Arial" w:cs="Arial"/>
                            <w:i/>
                            <w:sz w:val="18"/>
                          </w:rPr>
                          <w:t xml:space="preserve">aggiunto. </w:t>
                        </w:r>
                      </w:p>
                    </w:txbxContent>
                  </v:textbox>
                </v:rect>
                <v:rect id="Rectangle 200830" o:spid="_x0000_s3434" style="position:absolute;left:25525;top:21157;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FL5xwAAAN8AAAAPAAAAZHJzL2Rvd25yZXYueG1sRI/LasMw&#10;EEX3hf6DmEJ2jdwGgnGjhJIS4kU3zQO6HKyJ7dYaCUuJnX59ZxHIcrhzz+UsVqPr1IX62Ho28DLN&#10;QBFX3rZcGzjsN885qJiQLXaeycCVIqyWjw8LLKwf+Isuu1QrgXAs0ECTUii0jlVDDuPUB2LJTr53&#10;mOTsa217HATuOv2aZXPtsGVZaDDQuqHqd3d2Br4/OJSbQVenv3X4/Cnzbns+HI2ZPI3vb6ASjen+&#10;fGuX1oAQ85kYiI+4gF7+AwAA//8DAFBLAQItABQABgAIAAAAIQDb4fbL7gAAAIUBAAATAAAAAAAA&#10;AAAAAAAAAAAAAABbQ29udGVudF9UeXBlc10ueG1sUEsBAi0AFAAGAAgAAAAhAFr0LFu/AAAAFQEA&#10;AAsAAAAAAAAAAAAAAAAAHwEAAF9yZWxzLy5yZWxzUEsBAi0AFAAGAAgAAAAhAKccUvnHAAAA3wAA&#10;AA8AAAAAAAAAAAAAAAAABwIAAGRycy9kb3ducmV2LnhtbFBLBQYAAAAAAwADALcAAAD7AgAAAAA=&#10;" filled="f" stroked="f">
                  <v:textbox inset="0,0,0,0">
                    <w:txbxContent>
                      <w:p w14:paraId="1AD905E4" w14:textId="77777777" w:rsidR="00B32EF2" w:rsidRDefault="00000000">
                        <w:r>
                          <w:rPr>
                            <w:rFonts w:ascii="Arial" w:eastAsia="Arial" w:hAnsi="Arial" w:cs="Arial"/>
                            <w:i/>
                            <w:sz w:val="18"/>
                          </w:rPr>
                          <w:t>1</w:t>
                        </w:r>
                      </w:p>
                    </w:txbxContent>
                  </v:textbox>
                </v:rect>
                <v:rect id="Rectangle 200831" o:spid="_x0000_s3435" style="position:absolute;left:-12783;top:21157;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dixwAAAN8AAAAPAAAAZHJzL2Rvd25yZXYueG1sRI9Pa8JA&#10;FMTvBb/D8oTe6sYWJKRuRBRpDl60Cj0+si9/NPt2ya4m9tN3C4Ueh5n5DbNcjaYTd+p9a1nBfJaA&#10;IC6tbrlWcPrcvaQgfEDW2FkmBQ/ysMonT0vMtB34QPdjqEWEsM9QQROCy6T0ZUMG/cw64uhVtjcY&#10;ouxrqXscItx08jVJFtJgy3GhQUebhsrr8WYUfG3ZFbtBltX3xu0vRdp93E5npZ6n4/odRKAx/If/&#10;2oVWEInp2xx+/8QvIPMfAAAA//8DAFBLAQItABQABgAIAAAAIQDb4fbL7gAAAIUBAAATAAAAAAAA&#10;AAAAAAAAAAAAAABbQ29udGVudF9UeXBlc10ueG1sUEsBAi0AFAAGAAgAAAAhAFr0LFu/AAAAFQEA&#10;AAsAAAAAAAAAAAAAAAAAHwEAAF9yZWxzLy5yZWxzUEsBAi0AFAAGAAgAAAAhAMhQ92LHAAAA3wAA&#10;AA8AAAAAAAAAAAAAAAAABwIAAGRycy9kb3ducmV2LnhtbFBLBQYAAAAAAwADALcAAAD7AgAAAAA=&#10;" filled="f" stroked="f">
                  <v:textbox inset="0,0,0,0">
                    <w:txbxContent>
                      <w:p w14:paraId="7BB56C23" w14:textId="77777777" w:rsidR="00B32EF2" w:rsidRDefault="00000000">
                        <w:r>
                          <w:rPr>
                            <w:rFonts w:ascii="Arial" w:eastAsia="Arial" w:hAnsi="Arial" w:cs="Arial"/>
                            <w:i/>
                            <w:sz w:val="18"/>
                          </w:rPr>
                          <w:t xml:space="preserve">. Gli uffici dell’imposta sul valore aggiunto controllano le dichiarazioni </w:t>
                        </w:r>
                      </w:p>
                    </w:txbxContent>
                  </v:textbox>
                </v:rect>
                <v:rect id="Rectangle 17753" o:spid="_x0000_s3436" style="position:absolute;left:-12210;top:19923;width:51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4dIxQAAAN4AAAAPAAAAZHJzL2Rvd25yZXYueG1sRE9La8JA&#10;EL4X/A/LCN7qxkpVoquIRZpDL/UBHofsmESzs0t2NWl/fbcgeJuP7zmLVWdqcafGV5YVjIYJCOLc&#10;6ooLBYf99nUGwgdkjbVlUvBDHlbL3ssCU21b/qb7LhQihrBPUUEZgkul9HlJBv3QOuLInW1jMETY&#10;FFI32MZwU8u3JJlIgxXHhhIdbUrKr7ubUXD6YJdtW5mffzfu65LN6s/b4ajUoN+t5yACdeEpfrgz&#10;HedPp+9j+H8n3iCXfwAAAP//AwBQSwECLQAUAAYACAAAACEA2+H2y+4AAACFAQAAEwAAAAAAAAAA&#10;AAAAAAAAAAAAW0NvbnRlbnRfVHlwZXNdLnhtbFBLAQItABQABgAIAAAAIQBa9CxbvwAAABUBAAAL&#10;AAAAAAAAAAAAAAAAAB8BAABfcmVscy8ucmVsc1BLAQItABQABgAIAAAAIQCcy4dIxQAAAN4AAAAP&#10;AAAAAAAAAAAAAAAAAAcCAABkcnMvZG93bnJldi54bWxQSwUGAAAAAAMAAwC3AAAA+QIAAAAA&#10;" filled="f" stroked="f">
                  <v:textbox inset="0,0,0,0">
                    <w:txbxContent>
                      <w:p w14:paraId="4C719846" w14:textId="77777777" w:rsidR="00B32EF2" w:rsidRDefault="00000000">
                        <w:r>
                          <w:rPr>
                            <w:rFonts w:ascii="Arial" w:eastAsia="Arial" w:hAnsi="Arial" w:cs="Arial"/>
                            <w:i/>
                            <w:sz w:val="18"/>
                          </w:rPr>
                          <w:t xml:space="preserve">presentate e i versamenti eseguiti dai contribuenti, ne rilevano l’eventuale </w:t>
                        </w:r>
                      </w:p>
                    </w:txbxContent>
                  </v:textbox>
                </v:rect>
                <v:rect id="Rectangle 17754" o:spid="_x0000_s3437" style="position:absolute;left:-12203;top:18690;width:510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h88xQAAAN4AAAAPAAAAZHJzL2Rvd25yZXYueG1sRE9La8JA&#10;EL4X/A/LCN7qxmJVoquIRZpDL/UBHofsmESzs0t2NWl/fbcgeJuP7zmLVWdqcafGV5YVjIYJCOLc&#10;6ooLBYf99nUGwgdkjbVlUvBDHlbL3ssCU21b/qb7LhQihrBPUUEZgkul9HlJBv3QOuLInW1jMETY&#10;FFI32MZwU8u3JJlIgxXHhhIdbUrKr7ubUXD6YJdtW5mffzfu65LN6s/b4ajUoN+t5yACdeEpfrgz&#10;HedPp+9j+H8n3iCXfwAAAP//AwBQSwECLQAUAAYACAAAACEA2+H2y+4AAACFAQAAEwAAAAAAAAAA&#10;AAAAAAAAAAAAW0NvbnRlbnRfVHlwZXNdLnhtbFBLAQItABQABgAIAAAAIQBa9CxbvwAAABUBAAAL&#10;AAAAAAAAAAAAAAAAAB8BAABfcmVscy8ucmVsc1BLAQItABQABgAIAAAAIQATIh88xQAAAN4AAAAP&#10;AAAAAAAAAAAAAAAAAAcCAABkcnMvZG93bnJldi54bWxQSwUGAAAAAAMAAwC3AAAA+QIAAAAA&#10;" filled="f" stroked="f">
                  <v:textbox inset="0,0,0,0">
                    <w:txbxContent>
                      <w:p w14:paraId="32CA686A" w14:textId="77777777" w:rsidR="00B32EF2" w:rsidRDefault="00000000">
                        <w:r>
                          <w:rPr>
                            <w:rFonts w:ascii="Arial" w:eastAsia="Arial" w:hAnsi="Arial" w:cs="Arial"/>
                            <w:i/>
                            <w:sz w:val="18"/>
                          </w:rPr>
                          <w:t xml:space="preserve">omissione e provvedono all’accertamento e alla riscossione delle imposte </w:t>
                        </w:r>
                      </w:p>
                    </w:txbxContent>
                  </v:textbox>
                </v:rect>
                <v:rect id="Rectangle 17755" o:spid="_x0000_s3438" style="position:absolute;left:-12228;top:17457;width:511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rqnxAAAAN4AAAAPAAAAZHJzL2Rvd25yZXYueG1sRE9Ni8Iw&#10;EL0L/ocwgjdNFVylaxRRxB72sq4Lexyasa02k9BEW/31m4UFb/N4n7Ncd6YWd2p8ZVnBZJyAIM6t&#10;rrhQcPrajxYgfEDWWFsmBQ/ysF71e0tMtW35k+7HUIgYwj5FBWUILpXS5yUZ9GPriCN3to3BEGFT&#10;SN1gG8NNLadJ8iYNVhwbSnS0LSm/Hm9Gwc+OXbZvZX5+bt3HJVvUh9vpW6nhoNu8gwjUhZf4353p&#10;OH8+n83g7514g1z9AgAA//8DAFBLAQItABQABgAIAAAAIQDb4fbL7gAAAIUBAAATAAAAAAAAAAAA&#10;AAAAAAAAAABbQ29udGVudF9UeXBlc10ueG1sUEsBAi0AFAAGAAgAAAAhAFr0LFu/AAAAFQEAAAsA&#10;AAAAAAAAAAAAAAAAHwEAAF9yZWxzLy5yZWxzUEsBAi0AFAAGAAgAAAAhAHxuuqfEAAAA3gAAAA8A&#10;AAAAAAAAAAAAAAAABwIAAGRycy9kb3ducmV2LnhtbFBLBQYAAAAAAwADALcAAAD4AgAAAAA=&#10;" filled="f" stroked="f">
                  <v:textbox inset="0,0,0,0">
                    <w:txbxContent>
                      <w:p w14:paraId="1D5D3C14" w14:textId="77777777" w:rsidR="00B32EF2" w:rsidRDefault="00000000">
                        <w:r>
                          <w:rPr>
                            <w:rFonts w:ascii="Arial" w:eastAsia="Arial" w:hAnsi="Arial" w:cs="Arial"/>
                            <w:i/>
                            <w:sz w:val="18"/>
                          </w:rPr>
                          <w:t xml:space="preserve">o maggiori imposte dovute; vigilano sull’osservanza degli obblighi relativi </w:t>
                        </w:r>
                      </w:p>
                    </w:txbxContent>
                  </v:textbox>
                </v:rect>
                <v:rect id="Rectangle 17756" o:spid="_x0000_s3439" style="position:absolute;left:-11231;top:16223;width:500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CTQxAAAAN4AAAAPAAAAZHJzL2Rvd25yZXYueG1sRE9Ni8Iw&#10;EL0L/ocwgjdNFValaxRRZHvwsq4Lexyasa02k9BEW/31m4UFb/N4n7Ncd6YWd2p8ZVnBZJyAIM6t&#10;rrhQcPrajxYgfEDWWFsmBQ/ysF71e0tMtW35k+7HUIgYwj5FBWUILpXS5yUZ9GPriCN3to3BEGFT&#10;SN1gG8NNLadJMpMGK44NJTralpRfjzej4GfHLtu3Mj8/t+5wyRb1x+30rdRw0G3eQQTqwkv87850&#10;nD+fv83g7514g1z9AgAA//8DAFBLAQItABQABgAIAAAAIQDb4fbL7gAAAIUBAAATAAAAAAAAAAAA&#10;AAAAAAAAAABbQ29udGVudF9UeXBlc10ueG1sUEsBAi0AFAAGAAgAAAAhAFr0LFu/AAAAFQEAAAsA&#10;AAAAAAAAAAAAAAAAHwEAAF9yZWxzLy5yZWxzUEsBAi0AFAAGAAgAAAAhAIy8JNDEAAAA3gAAAA8A&#10;AAAAAAAAAAAAAAAABwIAAGRycy9kb3ducmV2LnhtbFBLBQYAAAAAAwADALcAAAD4AgAAAAA=&#10;" filled="f" stroked="f">
                  <v:textbox inset="0,0,0,0">
                    <w:txbxContent>
                      <w:p w14:paraId="6F66A70D" w14:textId="77777777" w:rsidR="00B32EF2" w:rsidRDefault="00000000">
                        <w:r>
                          <w:rPr>
                            <w:rFonts w:ascii="Arial" w:eastAsia="Arial" w:hAnsi="Arial" w:cs="Arial"/>
                            <w:i/>
                            <w:sz w:val="18"/>
                          </w:rPr>
                          <w:t>alla fatturazione e registrazione delle operazioni e alla tenuta della con</w:t>
                        </w:r>
                      </w:p>
                    </w:txbxContent>
                  </v:textbox>
                </v:rect>
                <v:rect id="Rectangle 17757" o:spid="_x0000_s3440" style="position:absolute;left:657;top:1622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IFLxQAAAN4AAAAPAAAAZHJzL2Rvd25yZXYueG1sRE9La8JA&#10;EL4X+h+WEbzVjYJGUlcpFjEHLz4KPQ7ZMUmbnV2yq4n+erdQ8DYf33MWq9404kqtry0rGI8SEMSF&#10;1TWXCk7HzdschA/IGhvLpOBGHlbL15cFZtp2vKfrIZQihrDPUEEVgsuk9EVFBv3IOuLInW1rMETY&#10;llK32MVw08hJksykwZpjQ4WO1hUVv4eLUfD9yS7fdLI439du95PPm+3l9KXUcNB/vIMI1Ien+N+d&#10;6zg/Tacp/L0Tb5DLBwAAAP//AwBQSwECLQAUAAYACAAAACEA2+H2y+4AAACFAQAAEwAAAAAAAAAA&#10;AAAAAAAAAAAAW0NvbnRlbnRfVHlwZXNdLnhtbFBLAQItABQABgAIAAAAIQBa9CxbvwAAABUBAAAL&#10;AAAAAAAAAAAAAAAAAB8BAABfcmVscy8ucmVsc1BLAQItABQABgAIAAAAIQDj8IFLxQAAAN4AAAAP&#10;AAAAAAAAAAAAAAAAAAcCAABkcnMvZG93bnJldi54bWxQSwUGAAAAAAMAAwC3AAAA+QIAAAAA&#10;" filled="f" stroked="f">
                  <v:textbox inset="0,0,0,0">
                    <w:txbxContent>
                      <w:p w14:paraId="7DF906AC" w14:textId="77777777" w:rsidR="00B32EF2" w:rsidRDefault="00000000">
                        <w:r>
                          <w:rPr>
                            <w:rFonts w:ascii="Arial" w:eastAsia="Arial" w:hAnsi="Arial" w:cs="Arial"/>
                            <w:i/>
                            <w:sz w:val="18"/>
                          </w:rPr>
                          <w:t>-</w:t>
                        </w:r>
                      </w:p>
                    </w:txbxContent>
                  </v:textbox>
                </v:rect>
                <v:rect id="Rectangle 17758" o:spid="_x0000_s3441" style="position:absolute;left:-12221;top:14990;width:51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U5yAAAAN4AAAAPAAAAZHJzL2Rvd25yZXYueG1sRI9Pa8JA&#10;EMXvQr/DMoXedFOhKqmrFIuYgxf/FHocsmOSNju7ZFeT9tM7h0JvM7w37/1muR5cq27UxcazgedJ&#10;Boq49LbhysD5tB0vQMWEbLH1TAZ+KMJ69TBaYm59zwe6HVOlJIRjjgbqlEKudSxrchgnPhCLdvGd&#10;wyRrV2nbYS/hrtXTLJtphw1LQ42BNjWV38erM/D5zqHY9rq8/G7C/qtYtLvr+cOYp8fh7RVUoiH9&#10;m/+uCyv48/mL8Mo7MoNe3QEAAP//AwBQSwECLQAUAAYACAAAACEA2+H2y+4AAACFAQAAEwAAAAAA&#10;AAAAAAAAAAAAAAAAW0NvbnRlbnRfVHlwZXNdLnhtbFBLAQItABQABgAIAAAAIQBa9CxbvwAAABUB&#10;AAALAAAAAAAAAAAAAAAAAB8BAABfcmVscy8ucmVsc1BLAQItABQABgAIAAAAIQCSbxU5yAAAAN4A&#10;AAAPAAAAAAAAAAAAAAAAAAcCAABkcnMvZG93bnJldi54bWxQSwUGAAAAAAMAAwC3AAAA/AIAAAAA&#10;" filled="f" stroked="f">
                  <v:textbox inset="0,0,0,0">
                    <w:txbxContent>
                      <w:p w14:paraId="770D64D1" w14:textId="77777777" w:rsidR="00B32EF2" w:rsidRDefault="00000000">
                        <w:r>
                          <w:rPr>
                            <w:rFonts w:ascii="Arial" w:eastAsia="Arial" w:hAnsi="Arial" w:cs="Arial"/>
                            <w:i/>
                            <w:sz w:val="18"/>
                          </w:rPr>
                          <w:t xml:space="preserve">tabilità e degli altri obblighi stabiliti dal presente decreto; provvedono alla </w:t>
                        </w:r>
                      </w:p>
                    </w:txbxContent>
                  </v:textbox>
                </v:rect>
                <v:rect id="Rectangle 17759" o:spid="_x0000_s3442" style="position:absolute;left:-12213;top:13757;width:511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7CixQAAAN4AAAAPAAAAZHJzL2Rvd25yZXYueG1sRE9La8JA&#10;EL4X+h+WKXirGwUfja4iiphDL7UWehyyYxLNzi7Z1UR/vVsoeJuP7znzZWdqcaXGV5YVDPoJCOLc&#10;6ooLBYfv7fsUhA/IGmvLpOBGHpaL15c5ptq2/EXXfShEDGGfooIyBJdK6fOSDPq+dcSRO9rGYIiw&#10;KaRusI3hppbDJBlLgxXHhhIdrUvKz/uLUfC7YZdtW5kf72v3ecqm9e5y+FGq99atZiACdeEp/ndn&#10;Os6fTEYf8PdOvEEuHgAAAP//AwBQSwECLQAUAAYACAAAACEA2+H2y+4AAACFAQAAEwAAAAAAAAAA&#10;AAAAAAAAAAAAW0NvbnRlbnRfVHlwZXNdLnhtbFBLAQItABQABgAIAAAAIQBa9CxbvwAAABUBAAAL&#10;AAAAAAAAAAAAAAAAAB8BAABfcmVscy8ucmVsc1BLAQItABQABgAIAAAAIQD9I7CixQAAAN4AAAAP&#10;AAAAAAAAAAAAAAAAAAcCAABkcnMvZG93bnJldi54bWxQSwUGAAAAAAMAAwC3AAAA+QIAAAAA&#10;" filled="f" stroked="f">
                  <v:textbox inset="0,0,0,0">
                    <w:txbxContent>
                      <w:p w14:paraId="028A6189" w14:textId="77777777" w:rsidR="00B32EF2" w:rsidRDefault="00000000">
                        <w:r>
                          <w:rPr>
                            <w:rFonts w:ascii="Arial" w:eastAsia="Arial" w:hAnsi="Arial" w:cs="Arial"/>
                            <w:i/>
                            <w:sz w:val="18"/>
                          </w:rPr>
                          <w:t xml:space="preserve">irrogazione delle pene pecuniarie e delle sopratasse e alla presentazione </w:t>
                        </w:r>
                      </w:p>
                    </w:txbxContent>
                  </v:textbox>
                </v:rect>
                <v:rect id="Rectangle 17760" o:spid="_x0000_s3443" style="position:absolute;left:-12183;top:12524;width:5098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dOCxwAAAN4AAAAPAAAAZHJzL2Rvd25yZXYueG1sRI9Pb8Iw&#10;DMXvk/YdIk/abaTbAVBHQBMTWg9c+CftaDWm7dY4URNo4dPjAxI3W35+7/1mi8G16kxdbDwbeB9l&#10;oIhLbxuuDOx3q7cpqJiQLbaeycCFIizmz08zzK3veUPnbaqUmHDM0UCdUsi1jmVNDuPIB2K5HX3n&#10;MMnaVdp22Iu5a/VHlo21w4YlocZAy5rK/+3JGfj95lCsel0er8uw/ium7c9pfzDm9WX4+gSVaEgP&#10;8f27sFJ/MhkLgODIDHp+AwAA//8DAFBLAQItABQABgAIAAAAIQDb4fbL7gAAAIUBAAATAAAAAAAA&#10;AAAAAAAAAAAAAABbQ29udGVudF9UeXBlc10ueG1sUEsBAi0AFAAGAAgAAAAhAFr0LFu/AAAAFQEA&#10;AAsAAAAAAAAAAAAAAAAAHwEAAF9yZWxzLy5yZWxzUEsBAi0AFAAGAAgAAAAhAKJ104LHAAAA3gAA&#10;AA8AAAAAAAAAAAAAAAAABwIAAGRycy9kb3ducmV2LnhtbFBLBQYAAAAAAwADALcAAAD7AgAAAAA=&#10;" filled="f" stroked="f">
                  <v:textbox inset="0,0,0,0">
                    <w:txbxContent>
                      <w:p w14:paraId="6C1F7B35" w14:textId="77777777" w:rsidR="00B32EF2" w:rsidRDefault="00000000">
                        <w:r>
                          <w:rPr>
                            <w:rFonts w:ascii="Arial" w:eastAsia="Arial" w:hAnsi="Arial" w:cs="Arial"/>
                            <w:i/>
                            <w:sz w:val="18"/>
                          </w:rPr>
                          <w:t xml:space="preserve">del rapporto all’autorità giudiziaria per le violazioni sanzionate penalmente. </w:t>
                        </w:r>
                      </w:p>
                    </w:txbxContent>
                  </v:textbox>
                </v:rect>
                <v:rect id="Rectangle 17761" o:spid="_x0000_s3444" style="position:absolute;left:-12187;top:11290;width:510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XYZwwAAAN4AAAAPAAAAZHJzL2Rvd25yZXYueG1sRE9Li8Iw&#10;EL4v+B/CCHtbU/egUo0iimwPe/EFHodmbKvNJDTRdvfXG0HwNh/fc2aLztTiTo2vLCsYDhIQxLnV&#10;FRcKDvvN1wSED8gaa8uk4I88LOa9jxmm2ra8pfsuFCKGsE9RQRmCS6X0eUkG/cA64sidbWMwRNgU&#10;UjfYxnBTy+8kGUmDFceGEh2tSsqvu5tRcFqzyzatzM//K/d7ySb1z+1wVOqz3y2nIAJ14S1+uTMd&#10;54/HoyE834k3yPkDAAD//wMAUEsBAi0AFAAGAAgAAAAhANvh9svuAAAAhQEAABMAAAAAAAAAAAAA&#10;AAAAAAAAAFtDb250ZW50X1R5cGVzXS54bWxQSwECLQAUAAYACAAAACEAWvQsW78AAAAVAQAACwAA&#10;AAAAAAAAAAAAAAAfAQAAX3JlbHMvLnJlbHNQSwECLQAUAAYACAAAACEAzTl2GcMAAADeAAAADwAA&#10;AAAAAAAAAAAAAAAHAgAAZHJzL2Rvd25yZXYueG1sUEsFBgAAAAADAAMAtwAAAPcCAAAAAA==&#10;" filled="f" stroked="f">
                  <v:textbox inset="0,0,0,0">
                    <w:txbxContent>
                      <w:p w14:paraId="6FFEB430" w14:textId="77777777" w:rsidR="00B32EF2" w:rsidRDefault="00000000">
                        <w:r>
                          <w:rPr>
                            <w:rFonts w:ascii="Arial" w:eastAsia="Arial" w:hAnsi="Arial" w:cs="Arial"/>
                            <w:i/>
                            <w:sz w:val="18"/>
                          </w:rPr>
                          <w:t xml:space="preserve">Per il controllo delle dichiarazioni presentate e l’individuazione dei soggetti </w:t>
                        </w:r>
                      </w:p>
                    </w:txbxContent>
                  </v:textbox>
                </v:rect>
                <v:rect id="Rectangle 17762" o:spid="_x0000_s3445" style="position:absolute;left:-12178;top:10057;width:509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huxAAAAN4AAAAPAAAAZHJzL2Rvd25yZXYueG1sRE9Li8Iw&#10;EL4v+B/CCN7WVA8q1SiiiD3sZX2Ax6EZ22ozCU20dX/9ZmHB23x8z1msOlOLJzW+sqxgNExAEOdW&#10;V1woOB13nzMQPiBrrC2Tghd5WC17HwtMtW35m56HUIgYwj5FBWUILpXS5yUZ9EPriCN3tY3BEGFT&#10;SN1gG8NNLcdJMpEGK44NJTralJTfDw+j4LJll+1amV9/Nu7rls3q/eN0VmrQ79ZzEIG68Bb/uzMd&#10;50+nkzH8vRNvkMtfAAAA//8DAFBLAQItABQABgAIAAAAIQDb4fbL7gAAAIUBAAATAAAAAAAAAAAA&#10;AAAAAAAAAABbQ29udGVudF9UeXBlc10ueG1sUEsBAi0AFAAGAAgAAAAhAFr0LFu/AAAAFQEAAAsA&#10;AAAAAAAAAAAAAAAAHwEAAF9yZWxzLy5yZWxzUEsBAi0AFAAGAAgAAAAhAD3r6G7EAAAA3gAAAA8A&#10;AAAAAAAAAAAAAAAABwIAAGRycy9kb3ducmV2LnhtbFBLBQYAAAAAAwADALcAAAD4AgAAAAA=&#10;" filled="f" stroked="f">
                  <v:textbox inset="0,0,0,0">
                    <w:txbxContent>
                      <w:p w14:paraId="3292D516" w14:textId="77777777" w:rsidR="00B32EF2" w:rsidRDefault="00000000">
                        <w:r>
                          <w:rPr>
                            <w:rFonts w:ascii="Arial" w:eastAsia="Arial" w:hAnsi="Arial" w:cs="Arial"/>
                            <w:i/>
                            <w:sz w:val="18"/>
                          </w:rPr>
                          <w:t xml:space="preserve">che ne hanno omesso la presentazione sono effettuate le opportune attività </w:t>
                        </w:r>
                      </w:p>
                    </w:txbxContent>
                  </v:textbox>
                </v:rect>
                <v:rect id="Rectangle 17763" o:spid="_x0000_s3446" style="position:absolute;left:25017;top:8824;width:137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031xAAAAN4AAAAPAAAAZHJzL2Rvd25yZXYueG1sRE9Ni8Iw&#10;EL0L/ocwgjdNdUGlaxRRZHvwsq4Lexyasa02k9BEW/31m4UFb/N4n7Ncd6YWd2p8ZVnBZJyAIM6t&#10;rrhQcPrajxYgfEDWWFsmBQ/ysF71e0tMtW35k+7HUIgYwj5FBWUILpXS5yUZ9GPriCN3to3BEGFT&#10;SN1gG8NNLadJMpMGK44NJTralpRfjzej4GfHLtu3Mj8/t+5wyRb1x+30rdRw0G3eQQTqwkv87850&#10;nD+fz97g7514g1z9AgAA//8DAFBLAQItABQABgAIAAAAIQDb4fbL7gAAAIUBAAATAAAAAAAAAAAA&#10;AAAAAAAAAABbQ29udGVudF9UeXBlc10ueG1sUEsBAi0AFAAGAAgAAAAhAFr0LFu/AAAAFQEAAAsA&#10;AAAAAAAAAAAAAAAAHwEAAF9yZWxzLy5yZWxzUEsBAi0AFAAGAAgAAAAhAFKnTfXEAAAA3gAAAA8A&#10;AAAAAAAAAAAAAAAABwIAAGRycy9kb3ducmV2LnhtbFBLBQYAAAAAAwADALcAAAD4AgAAAAA=&#10;" filled="f" stroked="f">
                  <v:textbox inset="0,0,0,0">
                    <w:txbxContent>
                      <w:p w14:paraId="5DD30262" w14:textId="77777777" w:rsidR="00B32EF2" w:rsidRDefault="00000000">
                        <w:r>
                          <w:rPr>
                            <w:rFonts w:ascii="Arial" w:eastAsia="Arial" w:hAnsi="Arial" w:cs="Arial"/>
                            <w:i/>
                            <w:sz w:val="18"/>
                          </w:rPr>
                          <w:t>di analisi del rischio.</w:t>
                        </w:r>
                      </w:p>
                    </w:txbxContent>
                  </v:textbox>
                </v:rect>
                <v:rect id="Rectangle 17764" o:spid="_x0000_s3447" style="position:absolute;left:2957;top:7590;width:358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tWBxAAAAN4AAAAPAAAAZHJzL2Rvd25yZXYueG1sRE9Ni8Iw&#10;EL0L/ocwgjdNlUWlaxRRZHvwsq4Lexyasa02k9BEW/31m4UFb/N4n7Ncd6YWd2p8ZVnBZJyAIM6t&#10;rrhQcPrajxYgfEDWWFsmBQ/ysF71e0tMtW35k+7HUIgYwj5FBWUILpXS5yUZ9GPriCN3to3BEGFT&#10;SN1gG8NNLadJMpMGK44NJTralpRfjzej4GfHLtu3Mj8/t+5wyRb1x+30rdRw0G3eQQTqwkv87850&#10;nD+fz97g7514g1z9AgAA//8DAFBLAQItABQABgAIAAAAIQDb4fbL7gAAAIUBAAATAAAAAAAAAAAA&#10;AAAAAAAAAABbQ29udGVudF9UeXBlc10ueG1sUEsBAi0AFAAGAAgAAAAhAFr0LFu/AAAAFQEAAAsA&#10;AAAAAAAAAAAAAAAAHwEAAF9yZWxzLy5yZWxzUEsBAi0AFAAGAAgAAAAhAN1O1YHEAAAA3gAAAA8A&#10;AAAAAAAAAAAAAAAABwIAAGRycy9kb3ducmV2LnhtbFBLBQYAAAAAAwADALcAAAD4AgAAAAA=&#10;" filled="f" stroked="f">
                  <v:textbox inset="0,0,0,0">
                    <w:txbxContent>
                      <w:p w14:paraId="0027435A" w14:textId="77777777" w:rsidR="00B32EF2" w:rsidRDefault="00000000">
                        <w:r>
                          <w:rPr>
                            <w:rFonts w:ascii="Arial" w:eastAsia="Arial" w:hAnsi="Arial" w:cs="Arial"/>
                            <w:i/>
                            <w:sz w:val="18"/>
                          </w:rPr>
                          <w:t>Per l’adempimento dei loro compiti gli uffici possono:</w:t>
                        </w:r>
                      </w:p>
                    </w:txbxContent>
                  </v:textbox>
                </v:rect>
                <v:rect id="Rectangle 200827" o:spid="_x0000_s3448" style="position:absolute;left:25320;top:6357;width:504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xQxgAAAN8AAAAPAAAAZHJzL2Rvd25yZXYueG1sRI9Ba8JA&#10;FITvhf6H5RV6q5t6qCG6SlHEHHrRRvD4yD6TaPbtkl1N6q93BaHHYWa+YWaLwbTiSp1vLCv4HCUg&#10;iEurG64UFL/rjxSED8gaW8uk4I88LOavLzPMtO15S9ddqESEsM9QQR2Cy6T0ZU0G/cg64ugdbWcw&#10;RNlVUnfYR7hp5ThJvqTBhuNCjY6WNZXn3cUoOKzY5etelsfb0v2c8rTdXIq9Uu9vw/cURKAh/Ief&#10;7VwriMR0PIHHn/gF5PwOAAD//wMAUEsBAi0AFAAGAAgAAAAhANvh9svuAAAAhQEAABMAAAAAAAAA&#10;AAAAAAAAAAAAAFtDb250ZW50X1R5cGVzXS54bWxQSwECLQAUAAYACAAAACEAWvQsW78AAAAVAQAA&#10;CwAAAAAAAAAAAAAAAAAfAQAAX3JlbHMvLnJlbHNQSwECLQAUAAYACAAAACEArSxcUMYAAADfAAAA&#10;DwAAAAAAAAAAAAAAAAAHAgAAZHJzL2Rvd25yZXYueG1sUEsFBgAAAAADAAMAtwAAAPoCAAAAAA==&#10;" filled="f" stroked="f">
                  <v:textbox inset="0,0,0,0">
                    <w:txbxContent>
                      <w:p w14:paraId="6C07CDEC" w14:textId="77777777" w:rsidR="00B32EF2" w:rsidRDefault="00000000">
                        <w:r>
                          <w:rPr>
                            <w:rFonts w:ascii="Arial" w:eastAsia="Arial" w:hAnsi="Arial" w:cs="Arial"/>
                            <w:i/>
                            <w:sz w:val="18"/>
                          </w:rPr>
                          <w:t>1)</w:t>
                        </w:r>
                      </w:p>
                    </w:txbxContent>
                  </v:textbox>
                </v:rect>
                <v:rect id="Rectangle 200828" o:spid="_x0000_s3449" style="position:absolute;left:-12715;top:6357;width:504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8gixwAAAN8AAAAPAAAAZHJzL2Rvd25yZXYueG1sRI9Na8Mw&#10;DIbvg/0Ho8Juq9MeRsjqltFRlsMu/YIdRawmaWPZxG6T9ddPh0GP4tX7SM9iNbpO3aiPrWcDs2kG&#10;irjytuXawGG/ec1BxYRssfNMBn4pwmr5/LTAwvqBt3TbpVoJhGOBBpqUQqF1rBpyGKc+EEt28r3D&#10;JGNfa9vjIHDX6XmWvWmHLcuFBgOtG6ouu6sz8PPJodwMujrd1+H7XObd1/VwNOZlMn68g0o0psfy&#10;f7u0BoSYz+Vh8REX0Ms/AAAA//8DAFBLAQItABQABgAIAAAAIQDb4fbL7gAAAIUBAAATAAAAAAAA&#10;AAAAAAAAAAAAAABbQ29udGVudF9UeXBlc10ueG1sUEsBAi0AFAAGAAgAAAAhAFr0LFu/AAAAFQEA&#10;AAsAAAAAAAAAAAAAAAAAHwEAAF9yZWxzLy5yZWxzUEsBAi0AFAAGAAgAAAAhANyzyCLHAAAA3wAA&#10;AA8AAAAAAAAAAAAAAAAABwIAAGRycy9kb3ducmV2LnhtbFBLBQYAAAAAAwADALcAAAD7AgAAAAA=&#10;" filled="f" stroked="f">
                  <v:textbox inset="0,0,0,0">
                    <w:txbxContent>
                      <w:p w14:paraId="2FDE9463" w14:textId="77777777" w:rsidR="00B32EF2" w:rsidRDefault="00000000">
                        <w:r>
                          <w:rPr>
                            <w:rFonts w:ascii="Arial" w:eastAsia="Arial" w:hAnsi="Arial" w:cs="Arial"/>
                            <w:i/>
                            <w:sz w:val="18"/>
                          </w:rPr>
                          <w:t xml:space="preserve"> procedere all’esecuzione di accessi, ispezioni e verifiche ai sensi dell’art. 52;</w:t>
                        </w:r>
                      </w:p>
                    </w:txbxContent>
                  </v:textbox>
                </v:rect>
                <v:rect id="Rectangle 200825" o:spid="_x0000_s3450" style="position:absolute;left:25162;top:5124;width:509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me8xgAAAN8AAAAPAAAAZHJzL2Rvd25yZXYueG1sRI9Ba8JA&#10;FITvhf6H5RV6q5sKlRBdpShiDr1oI3h8ZJ9JNPt2ya4m9de7gtDjMDPfMLPFYFpxpc43lhV8jhIQ&#10;xKXVDVcKit/1RwrCB2SNrWVS8EceFvPXlxlm2va8pesuVCJC2GeooA7BZVL6siaDfmQdcfSOtjMY&#10;ouwqqTvsI9y0cpwkE2mw4bhQo6NlTeV5dzEKDit2+bqX5fG2dD+nPG03l2Kv1Pvb8D0FEWgI/+Fn&#10;O9cKIjEdf8HjT/wCcn4HAAD//wMAUEsBAi0AFAAGAAgAAAAhANvh9svuAAAAhQEAABMAAAAAAAAA&#10;AAAAAAAAAAAAAFtDb250ZW50X1R5cGVzXS54bWxQSwECLQAUAAYACAAAACEAWvQsW78AAAAVAQAA&#10;CwAAAAAAAAAAAAAAAAAfAQAAX3JlbHMvLnJlbHNQSwECLQAUAAYACAAAACEAMrJnvMYAAADfAAAA&#10;DwAAAAAAAAAAAAAAAAAHAgAAZHJzL2Rvd25yZXYueG1sUEsFBgAAAAADAAMAtwAAAPoCAAAAAA==&#10;" filled="f" stroked="f">
                  <v:textbox inset="0,0,0,0">
                    <w:txbxContent>
                      <w:p w14:paraId="6171DA18" w14:textId="77777777" w:rsidR="00B32EF2" w:rsidRDefault="00000000">
                        <w:r>
                          <w:rPr>
                            <w:rFonts w:ascii="Arial" w:eastAsia="Arial" w:hAnsi="Arial" w:cs="Arial"/>
                            <w:i/>
                            <w:sz w:val="18"/>
                          </w:rPr>
                          <w:t>2)</w:t>
                        </w:r>
                      </w:p>
                    </w:txbxContent>
                  </v:textbox>
                </v:rect>
                <v:rect id="Rectangle 200826" o:spid="_x0000_s3451" style="position:absolute;left:-13188;top:5124;width:509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PnLxgAAAN8AAAAPAAAAZHJzL2Rvd25yZXYueG1sRI9Pi8Iw&#10;FMTvC36H8IS9rakepFSjiCL2sJf1D3h8NM+22ryEJtrqp98sLHgcZuY3zHzZm0Y8qPW1ZQXjUQKC&#10;uLC65lLB8bD9SkH4gKyxsUwKnuRhuRh8zDHTtuMfeuxDKSKEfYYKqhBcJqUvKjLoR9YRR+9iW4Mh&#10;yraUusUuwk0jJ0kylQZrjgsVOlpXVNz2d6PgvGGXbztZXF5r933N02Z3P56U+hz2qxmIQH14h//b&#10;uVYQielkCn9/4heQi18AAAD//wMAUEsBAi0AFAAGAAgAAAAhANvh9svuAAAAhQEAABMAAAAAAAAA&#10;AAAAAAAAAAAAAFtDb250ZW50X1R5cGVzXS54bWxQSwECLQAUAAYACAAAACEAWvQsW78AAAAVAQAA&#10;CwAAAAAAAAAAAAAAAAAfAQAAX3JlbHMvLnJlbHNQSwECLQAUAAYACAAAACEAwmD5y8YAAADfAAAA&#10;DwAAAAAAAAAAAAAAAAAHAgAAZHJzL2Rvd25yZXYueG1sUEsFBgAAAAADAAMAtwAAAPoCAAAAAA==&#10;" filled="f" stroked="f">
                  <v:textbox inset="0,0,0,0">
                    <w:txbxContent>
                      <w:p w14:paraId="1718D6BA" w14:textId="77777777" w:rsidR="00B32EF2" w:rsidRDefault="00000000">
                        <w:r>
                          <w:rPr>
                            <w:rFonts w:ascii="Arial" w:eastAsia="Arial" w:hAnsi="Arial" w:cs="Arial"/>
                            <w:i/>
                            <w:sz w:val="18"/>
                          </w:rPr>
                          <w:t xml:space="preserve"> invitare i soggetti che esercitano imprese, arti o professioni, indicandone </w:t>
                        </w:r>
                      </w:p>
                    </w:txbxContent>
                  </v:textbox>
                </v:rect>
                <v:rect id="Rectangle 17767" o:spid="_x0000_s3452" style="position:absolute;left:-12225;top:3890;width:511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Ev2xAAAAN4AAAAPAAAAZHJzL2Rvd25yZXYueG1sRE9Na8JA&#10;EL0X/A/LFLzVTXswkrqKKNIcvFQjeByyY5KanV2yq4n++m6h4G0e73Pmy8G04kadbywreJ8kIIhL&#10;qxuuFBSH7dsMhA/IGlvLpOBOHpaL0cscM217/qbbPlQihrDPUEEdgsuk9GVNBv3EOuLInW1nMETY&#10;VVJ32Mdw08qPJJlKgw3HhhodrWsqL/urUXDasMu3vSzPj7Xb/eSz9utaHJUavw6rTxCBhvAU/7tz&#10;Heen6TSFv3fiDXLxCwAA//8DAFBLAQItABQABgAIAAAAIQDb4fbL7gAAAIUBAAATAAAAAAAAAAAA&#10;AAAAAAAAAABbQ29udGVudF9UeXBlc10ueG1sUEsBAi0AFAAGAAgAAAAhAFr0LFu/AAAAFQEAAAsA&#10;AAAAAAAAAAAAAAAAHwEAAF9yZWxzLy5yZWxzUEsBAi0AFAAGAAgAAAAhAC2cS/bEAAAA3gAAAA8A&#10;AAAAAAAAAAAAAAAABwIAAGRycy9kb3ducmV2LnhtbFBLBQYAAAAAAwADALcAAAD4AgAAAAA=&#10;" filled="f" stroked="f">
                  <v:textbox inset="0,0,0,0">
                    <w:txbxContent>
                      <w:p w14:paraId="245DA587" w14:textId="77777777" w:rsidR="00B32EF2" w:rsidRDefault="00000000">
                        <w:r>
                          <w:rPr>
                            <w:rFonts w:ascii="Arial" w:eastAsia="Arial" w:hAnsi="Arial" w:cs="Arial"/>
                            <w:i/>
                            <w:sz w:val="18"/>
                          </w:rPr>
                          <w:t xml:space="preserve">il motivo, a comparire di persona o a mezzo di rappresentanti per esibire </w:t>
                        </w:r>
                      </w:p>
                    </w:txbxContent>
                  </v:textbox>
                </v:rect>
                <v:shape id="Shape 17768" o:spid="_x0000_s3453" style="position:absolute;top:3382;width:39600;height:59453;visibility:visible;mso-wrap-style:square;v-text-anchor:top" coordsize="3960000,594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cnAxwAAAN4AAAAPAAAAZHJzL2Rvd25yZXYueG1sRI9Ba8JA&#10;EIXvhf6HZQre6qYVjEZXKULBm422orchOyZLs7Mhu9X47zuHQm8zvDfvfbNcD75VV+qjC2zgZZyB&#10;Iq6CdVwb+Dy8P89AxYRssQ1MBu4UYb16fFhiYcONS7ruU60khGOBBpqUukLrWDXkMY5DRyzaJfQe&#10;k6x9rW2PNwn3rX7Nsqn26FgaGuxo01D1vf/xBj6q8rAbJpvzbH6sczf5iu5URmNGT8PbAlSiIf2b&#10;/663VvDzfCq88o7MoFe/AAAA//8DAFBLAQItABQABgAIAAAAIQDb4fbL7gAAAIUBAAATAAAAAAAA&#10;AAAAAAAAAAAAAABbQ29udGVudF9UeXBlc10ueG1sUEsBAi0AFAAGAAgAAAAhAFr0LFu/AAAAFQEA&#10;AAsAAAAAAAAAAAAAAAAAHwEAAF9yZWxzLy5yZWxzUEsBAi0AFAAGAAgAAAAhAM0dycDHAAAA3gAA&#10;AA8AAAAAAAAAAAAAAAAABwIAAGRycy9kb3ducmV2LnhtbFBLBQYAAAAAAwADALcAAAD7AgAAAAA=&#10;" path="m,5945302r3960000,l3960000,,,,,5945302xe" filled="f" strokeweight="1pt">
                  <v:stroke miterlimit="1" joinstyle="miter"/>
                  <v:path arrowok="t" textboxrect="0,0,3960000,5945302"/>
                </v:shape>
                <w10:anchorlock/>
              </v:group>
            </w:pict>
          </mc:Fallback>
        </mc:AlternateContent>
      </w:r>
    </w:p>
    <w:p w14:paraId="4E42F7CA" w14:textId="77777777" w:rsidR="00B32EF2" w:rsidRDefault="00000000">
      <w:pPr>
        <w:spacing w:after="0"/>
        <w:ind w:left="-306" w:right="-306"/>
      </w:pPr>
      <w:r>
        <w:rPr>
          <w:noProof/>
        </w:rPr>
        <w:lastRenderedPageBreak/>
        <mc:AlternateContent>
          <mc:Choice Requires="wpg">
            <w:drawing>
              <wp:inline distT="0" distB="0" distL="0" distR="0" wp14:anchorId="0C9ADCC7" wp14:editId="2C1476DE">
                <wp:extent cx="3960001" cy="6283511"/>
                <wp:effectExtent l="0" t="0" r="0" b="0"/>
                <wp:docPr id="200909" name="Group 200909"/>
                <wp:cNvGraphicFramePr/>
                <a:graphic xmlns:a="http://schemas.openxmlformats.org/drawingml/2006/main">
                  <a:graphicData uri="http://schemas.microsoft.com/office/word/2010/wordprocessingGroup">
                    <wpg:wgp>
                      <wpg:cNvGrpSpPr/>
                      <wpg:grpSpPr>
                        <a:xfrm>
                          <a:off x="0" y="0"/>
                          <a:ext cx="3960001" cy="6283511"/>
                          <a:chOff x="0" y="0"/>
                          <a:chExt cx="3960001" cy="6283511"/>
                        </a:xfrm>
                      </wpg:grpSpPr>
                      <wps:wsp>
                        <wps:cNvPr id="17787" name="Rectangle 17787"/>
                        <wps:cNvSpPr/>
                        <wps:spPr>
                          <a:xfrm rot="-10799999">
                            <a:off x="1868687" y="-62190"/>
                            <a:ext cx="178369" cy="250646"/>
                          </a:xfrm>
                          <a:prstGeom prst="rect">
                            <a:avLst/>
                          </a:prstGeom>
                          <a:ln>
                            <a:noFill/>
                          </a:ln>
                        </wps:spPr>
                        <wps:txbx>
                          <w:txbxContent>
                            <w:p w14:paraId="29910BA3" w14:textId="77777777" w:rsidR="00B32EF2" w:rsidRDefault="00000000">
                              <w:r>
                                <w:rPr>
                                  <w:rFonts w:ascii="Times New Roman" w:eastAsia="Times New Roman" w:hAnsi="Times New Roman" w:cs="Times New Roman"/>
                                </w:rPr>
                                <w:t>69</w:t>
                              </w:r>
                            </w:p>
                          </w:txbxContent>
                        </wps:txbx>
                        <wps:bodyPr horzOverflow="overflow" vert="horz" lIns="0" tIns="0" rIns="0" bIns="0" rtlCol="0">
                          <a:noAutofit/>
                        </wps:bodyPr>
                      </wps:wsp>
                      <wps:wsp>
                        <wps:cNvPr id="207904" name="Shape 207904"/>
                        <wps:cNvSpPr/>
                        <wps:spPr>
                          <a:xfrm>
                            <a:off x="1" y="351706"/>
                            <a:ext cx="3960000" cy="5931802"/>
                          </a:xfrm>
                          <a:custGeom>
                            <a:avLst/>
                            <a:gdLst/>
                            <a:ahLst/>
                            <a:cxnLst/>
                            <a:rect l="0" t="0" r="0" b="0"/>
                            <a:pathLst>
                              <a:path w="3960000" h="5931802">
                                <a:moveTo>
                                  <a:pt x="0" y="0"/>
                                </a:moveTo>
                                <a:lnTo>
                                  <a:pt x="3960000" y="0"/>
                                </a:lnTo>
                                <a:lnTo>
                                  <a:pt x="3960000" y="5931802"/>
                                </a:lnTo>
                                <a:lnTo>
                                  <a:pt x="0" y="5931802"/>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7789" name="Rectangle 17789"/>
                        <wps:cNvSpPr/>
                        <wps:spPr>
                          <a:xfrm rot="-10799999">
                            <a:off x="-1221375" y="6062263"/>
                            <a:ext cx="5109314" cy="142891"/>
                          </a:xfrm>
                          <a:prstGeom prst="rect">
                            <a:avLst/>
                          </a:prstGeom>
                          <a:ln>
                            <a:noFill/>
                          </a:ln>
                        </wps:spPr>
                        <wps:txbx>
                          <w:txbxContent>
                            <w:p w14:paraId="6D3597FB" w14:textId="77777777" w:rsidR="00B32EF2" w:rsidRDefault="00000000">
                              <w:r>
                                <w:rPr>
                                  <w:rFonts w:ascii="Arial" w:eastAsia="Arial" w:hAnsi="Arial" w:cs="Arial"/>
                                  <w:i/>
                                  <w:sz w:val="18"/>
                                </w:rPr>
                                <w:t xml:space="preserve">da non più di cinque anni dalla data della richiesta. Il richiedente e coloro </w:t>
                              </w:r>
                            </w:p>
                          </w:txbxContent>
                        </wps:txbx>
                        <wps:bodyPr horzOverflow="overflow" vert="horz" lIns="0" tIns="0" rIns="0" bIns="0" rtlCol="0">
                          <a:noAutofit/>
                        </wps:bodyPr>
                      </wps:wsp>
                      <wps:wsp>
                        <wps:cNvPr id="17790" name="Rectangle 17790"/>
                        <wps:cNvSpPr/>
                        <wps:spPr>
                          <a:xfrm rot="-10799999">
                            <a:off x="-1217998" y="5938934"/>
                            <a:ext cx="5094963" cy="142889"/>
                          </a:xfrm>
                          <a:prstGeom prst="rect">
                            <a:avLst/>
                          </a:prstGeom>
                          <a:ln>
                            <a:noFill/>
                          </a:ln>
                        </wps:spPr>
                        <wps:txbx>
                          <w:txbxContent>
                            <w:p w14:paraId="74956B2A" w14:textId="77777777" w:rsidR="00B32EF2" w:rsidRDefault="00000000">
                              <w:r>
                                <w:rPr>
                                  <w:rFonts w:ascii="Arial" w:eastAsia="Arial" w:hAnsi="Arial" w:cs="Arial"/>
                                  <w:i/>
                                  <w:sz w:val="18"/>
                                </w:rPr>
                                <w:t xml:space="preserve">che vengono in possesso dei dati raccolti devono assumere direttamente le </w:t>
                              </w:r>
                            </w:p>
                          </w:txbxContent>
                        </wps:txbx>
                        <wps:bodyPr horzOverflow="overflow" vert="horz" lIns="0" tIns="0" rIns="0" bIns="0" rtlCol="0">
                          <a:noAutofit/>
                        </wps:bodyPr>
                      </wps:wsp>
                      <wps:wsp>
                        <wps:cNvPr id="17791" name="Rectangle 17791"/>
                        <wps:cNvSpPr/>
                        <wps:spPr>
                          <a:xfrm rot="-10799999">
                            <a:off x="268934" y="5815605"/>
                            <a:ext cx="3612716" cy="142889"/>
                          </a:xfrm>
                          <a:prstGeom prst="rect">
                            <a:avLst/>
                          </a:prstGeom>
                          <a:ln>
                            <a:noFill/>
                          </a:ln>
                        </wps:spPr>
                        <wps:txbx>
                          <w:txbxContent>
                            <w:p w14:paraId="78571371" w14:textId="77777777" w:rsidR="00B32EF2" w:rsidRDefault="00000000">
                              <w:r>
                                <w:rPr>
                                  <w:rFonts w:ascii="Arial" w:eastAsia="Arial" w:hAnsi="Arial" w:cs="Arial"/>
                                  <w:i/>
                                  <w:sz w:val="18"/>
                                </w:rPr>
                                <w:t>cautele necessarie alla riservatezza dei dati acquisiti;</w:t>
                              </w:r>
                            </w:p>
                          </w:txbxContent>
                        </wps:txbx>
                        <wps:bodyPr horzOverflow="overflow" vert="horz" lIns="0" tIns="0" rIns="0" bIns="0" rtlCol="0">
                          <a:noAutofit/>
                        </wps:bodyPr>
                      </wps:wsp>
                      <wps:wsp>
                        <wps:cNvPr id="200865" name="Rectangle 200865"/>
                        <wps:cNvSpPr/>
                        <wps:spPr>
                          <a:xfrm rot="-10799999">
                            <a:off x="2514309" y="5692275"/>
                            <a:ext cx="5095465" cy="142889"/>
                          </a:xfrm>
                          <a:prstGeom prst="rect">
                            <a:avLst/>
                          </a:prstGeom>
                          <a:ln>
                            <a:noFill/>
                          </a:ln>
                        </wps:spPr>
                        <wps:txbx>
                          <w:txbxContent>
                            <w:p w14:paraId="57F7F764" w14:textId="77777777" w:rsidR="00B32EF2" w:rsidRDefault="00000000">
                              <w:r>
                                <w:rPr>
                                  <w:rFonts w:ascii="Arial" w:eastAsia="Arial" w:hAnsi="Arial" w:cs="Arial"/>
                                  <w:i/>
                                  <w:sz w:val="18"/>
                                </w:rPr>
                                <w:t>7)</w:t>
                              </w:r>
                            </w:p>
                          </w:txbxContent>
                        </wps:txbx>
                        <wps:bodyPr horzOverflow="overflow" vert="horz" lIns="0" tIns="0" rIns="0" bIns="0" rtlCol="0">
                          <a:noAutofit/>
                        </wps:bodyPr>
                      </wps:wsp>
                      <wps:wsp>
                        <wps:cNvPr id="200866" name="Rectangle 200866"/>
                        <wps:cNvSpPr/>
                        <wps:spPr>
                          <a:xfrm rot="-10799999">
                            <a:off x="-1320752" y="5692275"/>
                            <a:ext cx="5095465" cy="142889"/>
                          </a:xfrm>
                          <a:prstGeom prst="rect">
                            <a:avLst/>
                          </a:prstGeom>
                          <a:ln>
                            <a:noFill/>
                          </a:ln>
                        </wps:spPr>
                        <wps:txbx>
                          <w:txbxContent>
                            <w:p w14:paraId="0594E70B" w14:textId="77777777" w:rsidR="00B32EF2" w:rsidRDefault="00000000">
                              <w:r>
                                <w:rPr>
                                  <w:rFonts w:ascii="Arial" w:eastAsia="Arial" w:hAnsi="Arial" w:cs="Arial"/>
                                  <w:i/>
                                  <w:sz w:val="18"/>
                                </w:rPr>
                                <w:t xml:space="preserve"> richiedere, previa autorizzazione del direttore centrale dell’accertamento </w:t>
                              </w:r>
                            </w:p>
                          </w:txbxContent>
                        </wps:txbx>
                        <wps:bodyPr horzOverflow="overflow" vert="horz" lIns="0" tIns="0" rIns="0" bIns="0" rtlCol="0">
                          <a:noAutofit/>
                        </wps:bodyPr>
                      </wps:wsp>
                      <wps:wsp>
                        <wps:cNvPr id="17793" name="Rectangle 17793"/>
                        <wps:cNvSpPr/>
                        <wps:spPr>
                          <a:xfrm rot="-10799999">
                            <a:off x="-1218567" y="5568945"/>
                            <a:ext cx="5098733" cy="142889"/>
                          </a:xfrm>
                          <a:prstGeom prst="rect">
                            <a:avLst/>
                          </a:prstGeom>
                          <a:ln>
                            <a:noFill/>
                          </a:ln>
                        </wps:spPr>
                        <wps:txbx>
                          <w:txbxContent>
                            <w:p w14:paraId="38649A20" w14:textId="77777777" w:rsidR="00B32EF2" w:rsidRDefault="00000000">
                              <w:r>
                                <w:rPr>
                                  <w:rFonts w:ascii="Arial" w:eastAsia="Arial" w:hAnsi="Arial" w:cs="Arial"/>
                                  <w:i/>
                                  <w:sz w:val="18"/>
                                </w:rPr>
                                <w:t xml:space="preserve">dell’Agenzia delle entrate o del direttore regionale della stessa, ovvero, per </w:t>
                              </w:r>
                            </w:p>
                          </w:txbxContent>
                        </wps:txbx>
                        <wps:bodyPr horzOverflow="overflow" vert="horz" lIns="0" tIns="0" rIns="0" bIns="0" rtlCol="0">
                          <a:noAutofit/>
                        </wps:bodyPr>
                      </wps:wsp>
                      <wps:wsp>
                        <wps:cNvPr id="17794" name="Rectangle 17794"/>
                        <wps:cNvSpPr/>
                        <wps:spPr>
                          <a:xfrm rot="-10799999">
                            <a:off x="-1219195" y="5445616"/>
                            <a:ext cx="5100846" cy="142889"/>
                          </a:xfrm>
                          <a:prstGeom prst="rect">
                            <a:avLst/>
                          </a:prstGeom>
                          <a:ln>
                            <a:noFill/>
                          </a:ln>
                        </wps:spPr>
                        <wps:txbx>
                          <w:txbxContent>
                            <w:p w14:paraId="7DF74CF7" w14:textId="77777777" w:rsidR="00B32EF2" w:rsidRDefault="00000000">
                              <w:r>
                                <w:rPr>
                                  <w:rFonts w:ascii="Arial" w:eastAsia="Arial" w:hAnsi="Arial" w:cs="Arial"/>
                                  <w:i/>
                                  <w:sz w:val="18"/>
                                </w:rPr>
                                <w:t xml:space="preserve">il Corpo della guardia di finanza, del comandante regionale, alle banche, </w:t>
                              </w:r>
                            </w:p>
                          </w:txbxContent>
                        </wps:txbx>
                        <wps:bodyPr horzOverflow="overflow" vert="horz" lIns="0" tIns="0" rIns="0" bIns="0" rtlCol="0">
                          <a:noAutofit/>
                        </wps:bodyPr>
                      </wps:wsp>
                      <wps:wsp>
                        <wps:cNvPr id="17795" name="Rectangle 17795"/>
                        <wps:cNvSpPr/>
                        <wps:spPr>
                          <a:xfrm rot="-10799999">
                            <a:off x="-1219058" y="5322286"/>
                            <a:ext cx="5100709" cy="142889"/>
                          </a:xfrm>
                          <a:prstGeom prst="rect">
                            <a:avLst/>
                          </a:prstGeom>
                          <a:ln>
                            <a:noFill/>
                          </a:ln>
                        </wps:spPr>
                        <wps:txbx>
                          <w:txbxContent>
                            <w:p w14:paraId="15B2D568" w14:textId="77777777" w:rsidR="00B32EF2" w:rsidRDefault="00000000">
                              <w:r>
                                <w:rPr>
                                  <w:rFonts w:ascii="Arial" w:eastAsia="Arial" w:hAnsi="Arial" w:cs="Arial"/>
                                  <w:i/>
                                  <w:sz w:val="18"/>
                                </w:rPr>
                                <w:t xml:space="preserve">alla società Poste italiane Spa, per le attività finanziarie e creditizie, alle </w:t>
                              </w:r>
                            </w:p>
                          </w:txbxContent>
                        </wps:txbx>
                        <wps:bodyPr horzOverflow="overflow" vert="horz" lIns="0" tIns="0" rIns="0" bIns="0" rtlCol="0">
                          <a:noAutofit/>
                        </wps:bodyPr>
                      </wps:wsp>
                      <wps:wsp>
                        <wps:cNvPr id="17796" name="Rectangle 17796"/>
                        <wps:cNvSpPr/>
                        <wps:spPr>
                          <a:xfrm rot="-10799999">
                            <a:off x="-1219058" y="5198956"/>
                            <a:ext cx="5100709" cy="142889"/>
                          </a:xfrm>
                          <a:prstGeom prst="rect">
                            <a:avLst/>
                          </a:prstGeom>
                          <a:ln>
                            <a:noFill/>
                          </a:ln>
                        </wps:spPr>
                        <wps:txbx>
                          <w:txbxContent>
                            <w:p w14:paraId="24058A54" w14:textId="77777777" w:rsidR="00B32EF2" w:rsidRDefault="00000000">
                              <w:r>
                                <w:rPr>
                                  <w:rFonts w:ascii="Arial" w:eastAsia="Arial" w:hAnsi="Arial" w:cs="Arial"/>
                                  <w:i/>
                                  <w:sz w:val="18"/>
                                </w:rPr>
                                <w:t xml:space="preserve">società ed enti di assicurazione per le attività finanziarie, agli intermediari </w:t>
                              </w:r>
                            </w:p>
                          </w:txbxContent>
                        </wps:txbx>
                        <wps:bodyPr horzOverflow="overflow" vert="horz" lIns="0" tIns="0" rIns="0" bIns="0" rtlCol="0">
                          <a:noAutofit/>
                        </wps:bodyPr>
                      </wps:wsp>
                      <wps:wsp>
                        <wps:cNvPr id="17797" name="Rectangle 17797"/>
                        <wps:cNvSpPr/>
                        <wps:spPr>
                          <a:xfrm rot="-10799999">
                            <a:off x="-1122464" y="5075626"/>
                            <a:ext cx="5004116" cy="142889"/>
                          </a:xfrm>
                          <a:prstGeom prst="rect">
                            <a:avLst/>
                          </a:prstGeom>
                          <a:ln>
                            <a:noFill/>
                          </a:ln>
                        </wps:spPr>
                        <wps:txbx>
                          <w:txbxContent>
                            <w:p w14:paraId="0EC363C7" w14:textId="77777777" w:rsidR="00B32EF2" w:rsidRDefault="00000000">
                              <w:r>
                                <w:rPr>
                                  <w:rFonts w:ascii="Arial" w:eastAsia="Arial" w:hAnsi="Arial" w:cs="Arial"/>
                                  <w:i/>
                                  <w:sz w:val="18"/>
                                </w:rPr>
                                <w:t>finanziari, alle imprese di investimento, agli organismi di investimento col</w:t>
                              </w:r>
                            </w:p>
                          </w:txbxContent>
                        </wps:txbx>
                        <wps:bodyPr horzOverflow="overflow" vert="horz" lIns="0" tIns="0" rIns="0" bIns="0" rtlCol="0">
                          <a:noAutofit/>
                        </wps:bodyPr>
                      </wps:wsp>
                      <wps:wsp>
                        <wps:cNvPr id="17798" name="Rectangle 17798"/>
                        <wps:cNvSpPr/>
                        <wps:spPr>
                          <a:xfrm rot="-10799999">
                            <a:off x="65757" y="5075627"/>
                            <a:ext cx="50622" cy="142889"/>
                          </a:xfrm>
                          <a:prstGeom prst="rect">
                            <a:avLst/>
                          </a:prstGeom>
                          <a:ln>
                            <a:noFill/>
                          </a:ln>
                        </wps:spPr>
                        <wps:txbx>
                          <w:txbxContent>
                            <w:p w14:paraId="7EDFF77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799" name="Rectangle 17799"/>
                        <wps:cNvSpPr/>
                        <wps:spPr>
                          <a:xfrm rot="-10799999">
                            <a:off x="-1224158" y="4952297"/>
                            <a:ext cx="5120669" cy="142889"/>
                          </a:xfrm>
                          <a:prstGeom prst="rect">
                            <a:avLst/>
                          </a:prstGeom>
                          <a:ln>
                            <a:noFill/>
                          </a:ln>
                        </wps:spPr>
                        <wps:txbx>
                          <w:txbxContent>
                            <w:p w14:paraId="4A5EF5D8" w14:textId="77777777" w:rsidR="00B32EF2" w:rsidRDefault="00000000">
                              <w:r>
                                <w:rPr>
                                  <w:rFonts w:ascii="Arial" w:eastAsia="Arial" w:hAnsi="Arial" w:cs="Arial"/>
                                  <w:i/>
                                  <w:sz w:val="18"/>
                                </w:rPr>
                                <w:t xml:space="preserve">lettivo del risparmio, alle società di gestione del risparmio e alle società </w:t>
                              </w:r>
                            </w:p>
                          </w:txbxContent>
                        </wps:txbx>
                        <wps:bodyPr horzOverflow="overflow" vert="horz" lIns="0" tIns="0" rIns="0" bIns="0" rtlCol="0">
                          <a:noAutofit/>
                        </wps:bodyPr>
                      </wps:wsp>
                      <wps:wsp>
                        <wps:cNvPr id="17800" name="Rectangle 17800"/>
                        <wps:cNvSpPr/>
                        <wps:spPr>
                          <a:xfrm rot="-10799999">
                            <a:off x="-1219056" y="4828967"/>
                            <a:ext cx="5101165" cy="142889"/>
                          </a:xfrm>
                          <a:prstGeom prst="rect">
                            <a:avLst/>
                          </a:prstGeom>
                          <a:ln>
                            <a:noFill/>
                          </a:ln>
                        </wps:spPr>
                        <wps:txbx>
                          <w:txbxContent>
                            <w:p w14:paraId="7D5085D5" w14:textId="77777777" w:rsidR="00B32EF2" w:rsidRDefault="00000000">
                              <w:r>
                                <w:rPr>
                                  <w:rFonts w:ascii="Arial" w:eastAsia="Arial" w:hAnsi="Arial" w:cs="Arial"/>
                                  <w:i/>
                                  <w:sz w:val="18"/>
                                </w:rPr>
                                <w:t xml:space="preserve">fiduciarie, dati, notizie e documenti relativi a qualsiasi rapporto intrattenuto </w:t>
                              </w:r>
                            </w:p>
                          </w:txbxContent>
                        </wps:txbx>
                        <wps:bodyPr horzOverflow="overflow" vert="horz" lIns="0" tIns="0" rIns="0" bIns="0" rtlCol="0">
                          <a:noAutofit/>
                        </wps:bodyPr>
                      </wps:wsp>
                      <wps:wsp>
                        <wps:cNvPr id="17801" name="Rectangle 17801"/>
                        <wps:cNvSpPr/>
                        <wps:spPr>
                          <a:xfrm rot="-10799999">
                            <a:off x="-1223986" y="4705637"/>
                            <a:ext cx="5119240" cy="142889"/>
                          </a:xfrm>
                          <a:prstGeom prst="rect">
                            <a:avLst/>
                          </a:prstGeom>
                          <a:ln>
                            <a:noFill/>
                          </a:ln>
                        </wps:spPr>
                        <wps:txbx>
                          <w:txbxContent>
                            <w:p w14:paraId="3384171F" w14:textId="77777777" w:rsidR="00B32EF2" w:rsidRDefault="00000000">
                              <w:r>
                                <w:rPr>
                                  <w:rFonts w:ascii="Arial" w:eastAsia="Arial" w:hAnsi="Arial" w:cs="Arial"/>
                                  <w:i/>
                                  <w:sz w:val="18"/>
                                </w:rPr>
                                <w:t xml:space="preserve">od operazione effettuata, ivi compresi i servizi prestati, con i loro clienti, </w:t>
                              </w:r>
                            </w:p>
                          </w:txbxContent>
                        </wps:txbx>
                        <wps:bodyPr horzOverflow="overflow" vert="horz" lIns="0" tIns="0" rIns="0" bIns="0" rtlCol="0">
                          <a:noAutofit/>
                        </wps:bodyPr>
                      </wps:wsp>
                      <wps:wsp>
                        <wps:cNvPr id="17802" name="Rectangle 17802"/>
                        <wps:cNvSpPr/>
                        <wps:spPr>
                          <a:xfrm rot="-10799999">
                            <a:off x="-1122875" y="4582308"/>
                            <a:ext cx="5004527" cy="142889"/>
                          </a:xfrm>
                          <a:prstGeom prst="rect">
                            <a:avLst/>
                          </a:prstGeom>
                          <a:ln>
                            <a:noFill/>
                          </a:ln>
                        </wps:spPr>
                        <wps:txbx>
                          <w:txbxContent>
                            <w:p w14:paraId="2A950202" w14:textId="77777777" w:rsidR="00B32EF2" w:rsidRDefault="00000000">
                              <w:r>
                                <w:rPr>
                                  <w:rFonts w:ascii="Arial" w:eastAsia="Arial" w:hAnsi="Arial" w:cs="Arial"/>
                                  <w:i/>
                                  <w:sz w:val="18"/>
                                </w:rPr>
                                <w:t>nonchè alle garanzie prestate da terzi o dagli operatori finanziari sopra in</w:t>
                              </w:r>
                            </w:p>
                          </w:txbxContent>
                        </wps:txbx>
                        <wps:bodyPr horzOverflow="overflow" vert="horz" lIns="0" tIns="0" rIns="0" bIns="0" rtlCol="0">
                          <a:noAutofit/>
                        </wps:bodyPr>
                      </wps:wsp>
                      <wps:wsp>
                        <wps:cNvPr id="17803" name="Rectangle 17803"/>
                        <wps:cNvSpPr/>
                        <wps:spPr>
                          <a:xfrm rot="-10799999">
                            <a:off x="65757" y="4582308"/>
                            <a:ext cx="50622" cy="142889"/>
                          </a:xfrm>
                          <a:prstGeom prst="rect">
                            <a:avLst/>
                          </a:prstGeom>
                          <a:ln>
                            <a:noFill/>
                          </a:ln>
                        </wps:spPr>
                        <wps:txbx>
                          <w:txbxContent>
                            <w:p w14:paraId="4CBEE92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804" name="Rectangle 17804"/>
                        <wps:cNvSpPr/>
                        <wps:spPr>
                          <a:xfrm rot="-10799999">
                            <a:off x="-1219042" y="4458978"/>
                            <a:ext cx="5100694" cy="142889"/>
                          </a:xfrm>
                          <a:prstGeom prst="rect">
                            <a:avLst/>
                          </a:prstGeom>
                          <a:ln>
                            <a:noFill/>
                          </a:ln>
                        </wps:spPr>
                        <wps:txbx>
                          <w:txbxContent>
                            <w:p w14:paraId="226CA722" w14:textId="77777777" w:rsidR="00B32EF2" w:rsidRDefault="00000000">
                              <w:r>
                                <w:rPr>
                                  <w:rFonts w:ascii="Arial" w:eastAsia="Arial" w:hAnsi="Arial" w:cs="Arial"/>
                                  <w:i/>
                                  <w:sz w:val="18"/>
                                </w:rPr>
                                <w:t xml:space="preserve">dicati e le generalità dei soggetti per i quali gli stessi operatori finanziari </w:t>
                              </w:r>
                            </w:p>
                          </w:txbxContent>
                        </wps:txbx>
                        <wps:bodyPr horzOverflow="overflow" vert="horz" lIns="0" tIns="0" rIns="0" bIns="0" rtlCol="0">
                          <a:noAutofit/>
                        </wps:bodyPr>
                      </wps:wsp>
                      <wps:wsp>
                        <wps:cNvPr id="17805" name="Rectangle 17805"/>
                        <wps:cNvSpPr/>
                        <wps:spPr>
                          <a:xfrm rot="-10799999">
                            <a:off x="-1224326" y="4335648"/>
                            <a:ext cx="5120837" cy="142889"/>
                          </a:xfrm>
                          <a:prstGeom prst="rect">
                            <a:avLst/>
                          </a:prstGeom>
                          <a:ln>
                            <a:noFill/>
                          </a:ln>
                        </wps:spPr>
                        <wps:txbx>
                          <w:txbxContent>
                            <w:p w14:paraId="70D78137" w14:textId="77777777" w:rsidR="00B32EF2" w:rsidRDefault="00000000">
                              <w:r>
                                <w:rPr>
                                  <w:rFonts w:ascii="Arial" w:eastAsia="Arial" w:hAnsi="Arial" w:cs="Arial"/>
                                  <w:i/>
                                  <w:sz w:val="18"/>
                                </w:rPr>
                                <w:t xml:space="preserve">abbiano effettuato le suddette operazioni e servizi o con i quali abbiano </w:t>
                              </w:r>
                            </w:p>
                          </w:txbxContent>
                        </wps:txbx>
                        <wps:bodyPr horzOverflow="overflow" vert="horz" lIns="0" tIns="0" rIns="0" bIns="0" rtlCol="0">
                          <a:noAutofit/>
                        </wps:bodyPr>
                      </wps:wsp>
                      <wps:wsp>
                        <wps:cNvPr id="17806" name="Rectangle 17806"/>
                        <wps:cNvSpPr/>
                        <wps:spPr>
                          <a:xfrm rot="-10799999">
                            <a:off x="-1219026" y="4212319"/>
                            <a:ext cx="5100678" cy="142889"/>
                          </a:xfrm>
                          <a:prstGeom prst="rect">
                            <a:avLst/>
                          </a:prstGeom>
                          <a:ln>
                            <a:noFill/>
                          </a:ln>
                        </wps:spPr>
                        <wps:txbx>
                          <w:txbxContent>
                            <w:p w14:paraId="0709DE85" w14:textId="77777777" w:rsidR="00B32EF2" w:rsidRDefault="00000000">
                              <w:r>
                                <w:rPr>
                                  <w:rFonts w:ascii="Arial" w:eastAsia="Arial" w:hAnsi="Arial" w:cs="Arial"/>
                                  <w:i/>
                                  <w:sz w:val="18"/>
                                </w:rPr>
                                <w:t xml:space="preserve">intrattenuto rapporti di natura finanziaria. Alle società fiduciarie di cui alla </w:t>
                              </w:r>
                            </w:p>
                          </w:txbxContent>
                        </wps:txbx>
                        <wps:bodyPr horzOverflow="overflow" vert="horz" lIns="0" tIns="0" rIns="0" bIns="0" rtlCol="0">
                          <a:noAutofit/>
                        </wps:bodyPr>
                      </wps:wsp>
                      <wps:wsp>
                        <wps:cNvPr id="17807" name="Rectangle 17807"/>
                        <wps:cNvSpPr/>
                        <wps:spPr>
                          <a:xfrm rot="-10799999">
                            <a:off x="-1122145" y="4088989"/>
                            <a:ext cx="5003797" cy="142889"/>
                          </a:xfrm>
                          <a:prstGeom prst="rect">
                            <a:avLst/>
                          </a:prstGeom>
                          <a:ln>
                            <a:noFill/>
                          </a:ln>
                        </wps:spPr>
                        <wps:txbx>
                          <w:txbxContent>
                            <w:p w14:paraId="412C15ED" w14:textId="77777777" w:rsidR="00B32EF2" w:rsidRDefault="00000000">
                              <w:r>
                                <w:rPr>
                                  <w:rFonts w:ascii="Arial" w:eastAsia="Arial" w:hAnsi="Arial" w:cs="Arial"/>
                                  <w:i/>
                                  <w:sz w:val="18"/>
                                </w:rPr>
                                <w:t>legge 23 novembre 1939, n. 1966, e a quelle iscritte nella sezione specia</w:t>
                              </w:r>
                            </w:p>
                          </w:txbxContent>
                        </wps:txbx>
                        <wps:bodyPr horzOverflow="overflow" vert="horz" lIns="0" tIns="0" rIns="0" bIns="0" rtlCol="0">
                          <a:noAutofit/>
                        </wps:bodyPr>
                      </wps:wsp>
                      <wps:wsp>
                        <wps:cNvPr id="17808" name="Rectangle 17808"/>
                        <wps:cNvSpPr/>
                        <wps:spPr>
                          <a:xfrm rot="-10799999">
                            <a:off x="65757" y="4088989"/>
                            <a:ext cx="50622" cy="142889"/>
                          </a:xfrm>
                          <a:prstGeom prst="rect">
                            <a:avLst/>
                          </a:prstGeom>
                          <a:ln>
                            <a:noFill/>
                          </a:ln>
                        </wps:spPr>
                        <wps:txbx>
                          <w:txbxContent>
                            <w:p w14:paraId="0989079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809" name="Rectangle 17809"/>
                        <wps:cNvSpPr/>
                        <wps:spPr>
                          <a:xfrm rot="-10799999">
                            <a:off x="-1121568" y="3965659"/>
                            <a:ext cx="5003219" cy="142889"/>
                          </a:xfrm>
                          <a:prstGeom prst="rect">
                            <a:avLst/>
                          </a:prstGeom>
                          <a:ln>
                            <a:noFill/>
                          </a:ln>
                        </wps:spPr>
                        <wps:txbx>
                          <w:txbxContent>
                            <w:p w14:paraId="6FD2DF8F" w14:textId="77777777" w:rsidR="00B32EF2" w:rsidRDefault="00000000">
                              <w:r>
                                <w:rPr>
                                  <w:rFonts w:ascii="Arial" w:eastAsia="Arial" w:hAnsi="Arial" w:cs="Arial"/>
                                  <w:i/>
                                  <w:sz w:val="18"/>
                                </w:rPr>
                                <w:t>le dell’albo di cui all’articolo 20 del testo unico delle disposizioni in mate</w:t>
                              </w:r>
                            </w:p>
                          </w:txbxContent>
                        </wps:txbx>
                        <wps:bodyPr horzOverflow="overflow" vert="horz" lIns="0" tIns="0" rIns="0" bIns="0" rtlCol="0">
                          <a:noAutofit/>
                        </wps:bodyPr>
                      </wps:wsp>
                      <wps:wsp>
                        <wps:cNvPr id="17810" name="Rectangle 17810"/>
                        <wps:cNvSpPr/>
                        <wps:spPr>
                          <a:xfrm rot="-10799999">
                            <a:off x="65757" y="3965660"/>
                            <a:ext cx="50622" cy="142889"/>
                          </a:xfrm>
                          <a:prstGeom prst="rect">
                            <a:avLst/>
                          </a:prstGeom>
                          <a:ln>
                            <a:noFill/>
                          </a:ln>
                        </wps:spPr>
                        <wps:txbx>
                          <w:txbxContent>
                            <w:p w14:paraId="6A514E0F"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811" name="Rectangle 17811"/>
                        <wps:cNvSpPr/>
                        <wps:spPr>
                          <a:xfrm rot="-10799999">
                            <a:off x="-1219011" y="3842330"/>
                            <a:ext cx="5100663" cy="142889"/>
                          </a:xfrm>
                          <a:prstGeom prst="rect">
                            <a:avLst/>
                          </a:prstGeom>
                          <a:ln>
                            <a:noFill/>
                          </a:ln>
                        </wps:spPr>
                        <wps:txbx>
                          <w:txbxContent>
                            <w:p w14:paraId="64A422C7" w14:textId="77777777" w:rsidR="00B32EF2" w:rsidRDefault="00000000">
                              <w:r>
                                <w:rPr>
                                  <w:rFonts w:ascii="Arial" w:eastAsia="Arial" w:hAnsi="Arial" w:cs="Arial"/>
                                  <w:i/>
                                  <w:sz w:val="18"/>
                                </w:rPr>
                                <w:t xml:space="preserve">ria di intermediazione finanziaria, di cui al decreto legislativo 24 febbraio </w:t>
                              </w:r>
                            </w:p>
                          </w:txbxContent>
                        </wps:txbx>
                        <wps:bodyPr horzOverflow="overflow" vert="horz" lIns="0" tIns="0" rIns="0" bIns="0" rtlCol="0">
                          <a:noAutofit/>
                        </wps:bodyPr>
                      </wps:wsp>
                      <wps:wsp>
                        <wps:cNvPr id="200863" name="Rectangle 200863"/>
                        <wps:cNvSpPr/>
                        <wps:spPr>
                          <a:xfrm rot="-10799999">
                            <a:off x="2360829" y="3719000"/>
                            <a:ext cx="5100663" cy="142889"/>
                          </a:xfrm>
                          <a:prstGeom prst="rect">
                            <a:avLst/>
                          </a:prstGeom>
                          <a:ln>
                            <a:noFill/>
                          </a:ln>
                        </wps:spPr>
                        <wps:txbx>
                          <w:txbxContent>
                            <w:p w14:paraId="63D8C10F" w14:textId="77777777" w:rsidR="00B32EF2" w:rsidRDefault="00000000">
                              <w:r>
                                <w:rPr>
                                  <w:rFonts w:ascii="Arial" w:eastAsia="Arial" w:hAnsi="Arial" w:cs="Arial"/>
                                  <w:i/>
                                  <w:sz w:val="18"/>
                                </w:rPr>
                                <w:t>1998</w:t>
                              </w:r>
                            </w:p>
                          </w:txbxContent>
                        </wps:txbx>
                        <wps:bodyPr horzOverflow="overflow" vert="horz" lIns="0" tIns="0" rIns="0" bIns="0" rtlCol="0">
                          <a:noAutofit/>
                        </wps:bodyPr>
                      </wps:wsp>
                      <wps:wsp>
                        <wps:cNvPr id="200864" name="Rectangle 200864"/>
                        <wps:cNvSpPr/>
                        <wps:spPr>
                          <a:xfrm rot="-10799999">
                            <a:off x="-1477387" y="3719000"/>
                            <a:ext cx="5100663" cy="142889"/>
                          </a:xfrm>
                          <a:prstGeom prst="rect">
                            <a:avLst/>
                          </a:prstGeom>
                          <a:ln>
                            <a:noFill/>
                          </a:ln>
                        </wps:spPr>
                        <wps:txbx>
                          <w:txbxContent>
                            <w:p w14:paraId="19E21071" w14:textId="77777777" w:rsidR="00B32EF2" w:rsidRDefault="00000000">
                              <w:r>
                                <w:rPr>
                                  <w:rFonts w:ascii="Arial" w:eastAsia="Arial" w:hAnsi="Arial" w:cs="Arial"/>
                                  <w:i/>
                                  <w:sz w:val="18"/>
                                </w:rPr>
                                <w:t xml:space="preserve">, n. 58, può essere richiesto, tra l’altro, specificando i periodi temporali </w:t>
                              </w:r>
                            </w:p>
                          </w:txbxContent>
                        </wps:txbx>
                        <wps:bodyPr horzOverflow="overflow" vert="horz" lIns="0" tIns="0" rIns="0" bIns="0" rtlCol="0">
                          <a:noAutofit/>
                        </wps:bodyPr>
                      </wps:wsp>
                      <wps:wsp>
                        <wps:cNvPr id="17813" name="Rectangle 17813"/>
                        <wps:cNvSpPr/>
                        <wps:spPr>
                          <a:xfrm rot="-10799999">
                            <a:off x="-1223299" y="3595670"/>
                            <a:ext cx="5119925" cy="142889"/>
                          </a:xfrm>
                          <a:prstGeom prst="rect">
                            <a:avLst/>
                          </a:prstGeom>
                          <a:ln>
                            <a:noFill/>
                          </a:ln>
                        </wps:spPr>
                        <wps:txbx>
                          <w:txbxContent>
                            <w:p w14:paraId="06CEADB9" w14:textId="77777777" w:rsidR="00B32EF2" w:rsidRDefault="00000000">
                              <w:r>
                                <w:rPr>
                                  <w:rFonts w:ascii="Arial" w:eastAsia="Arial" w:hAnsi="Arial" w:cs="Arial"/>
                                  <w:i/>
                                  <w:sz w:val="18"/>
                                </w:rPr>
                                <w:t xml:space="preserve">di interesse, di comunicare le generalità dei soggetti per conto dei quali </w:t>
                              </w:r>
                            </w:p>
                          </w:txbxContent>
                        </wps:txbx>
                        <wps:bodyPr horzOverflow="overflow" vert="horz" lIns="0" tIns="0" rIns="0" bIns="0" rtlCol="0">
                          <a:noAutofit/>
                        </wps:bodyPr>
                      </wps:wsp>
                      <wps:wsp>
                        <wps:cNvPr id="17814" name="Rectangle 17814"/>
                        <wps:cNvSpPr/>
                        <wps:spPr>
                          <a:xfrm rot="-10799999">
                            <a:off x="-1218981" y="3472341"/>
                            <a:ext cx="5100634" cy="142889"/>
                          </a:xfrm>
                          <a:prstGeom prst="rect">
                            <a:avLst/>
                          </a:prstGeom>
                          <a:ln>
                            <a:noFill/>
                          </a:ln>
                        </wps:spPr>
                        <wps:txbx>
                          <w:txbxContent>
                            <w:p w14:paraId="797E4083" w14:textId="77777777" w:rsidR="00B32EF2" w:rsidRDefault="00000000">
                              <w:r>
                                <w:rPr>
                                  <w:rFonts w:ascii="Arial" w:eastAsia="Arial" w:hAnsi="Arial" w:cs="Arial"/>
                                  <w:i/>
                                  <w:sz w:val="18"/>
                                </w:rPr>
                                <w:t xml:space="preserve">esse hanno detenuto o amministrato o gestito beni, strumenti finanziari e </w:t>
                              </w:r>
                            </w:p>
                          </w:txbxContent>
                        </wps:txbx>
                        <wps:bodyPr horzOverflow="overflow" vert="horz" lIns="0" tIns="0" rIns="0" bIns="0" rtlCol="0">
                          <a:noAutofit/>
                        </wps:bodyPr>
                      </wps:wsp>
                      <wps:wsp>
                        <wps:cNvPr id="17815" name="Rectangle 17815"/>
                        <wps:cNvSpPr/>
                        <wps:spPr>
                          <a:xfrm rot="-10799999">
                            <a:off x="-1223916" y="3349011"/>
                            <a:ext cx="5119970" cy="142889"/>
                          </a:xfrm>
                          <a:prstGeom prst="rect">
                            <a:avLst/>
                          </a:prstGeom>
                          <a:ln>
                            <a:noFill/>
                          </a:ln>
                        </wps:spPr>
                        <wps:txbx>
                          <w:txbxContent>
                            <w:p w14:paraId="249CF954" w14:textId="77777777" w:rsidR="00B32EF2" w:rsidRDefault="00000000">
                              <w:r>
                                <w:rPr>
                                  <w:rFonts w:ascii="Arial" w:eastAsia="Arial" w:hAnsi="Arial" w:cs="Arial"/>
                                  <w:i/>
                                  <w:sz w:val="18"/>
                                </w:rPr>
                                <w:t xml:space="preserve">partecipazioni in imprese, inequivocamente individuati. La richiesta deve </w:t>
                              </w:r>
                            </w:p>
                          </w:txbxContent>
                        </wps:txbx>
                        <wps:bodyPr horzOverflow="overflow" vert="horz" lIns="0" tIns="0" rIns="0" bIns="0" rtlCol="0">
                          <a:noAutofit/>
                        </wps:bodyPr>
                      </wps:wsp>
                      <wps:wsp>
                        <wps:cNvPr id="17816" name="Rectangle 17816"/>
                        <wps:cNvSpPr/>
                        <wps:spPr>
                          <a:xfrm rot="-10799999">
                            <a:off x="-1121081" y="3225681"/>
                            <a:ext cx="5002733" cy="142889"/>
                          </a:xfrm>
                          <a:prstGeom prst="rect">
                            <a:avLst/>
                          </a:prstGeom>
                          <a:ln>
                            <a:noFill/>
                          </a:ln>
                        </wps:spPr>
                        <wps:txbx>
                          <w:txbxContent>
                            <w:p w14:paraId="221E3BFA" w14:textId="77777777" w:rsidR="00B32EF2" w:rsidRDefault="00000000">
                              <w:r>
                                <w:rPr>
                                  <w:rFonts w:ascii="Arial" w:eastAsia="Arial" w:hAnsi="Arial" w:cs="Arial"/>
                                  <w:i/>
                                  <w:sz w:val="18"/>
                                </w:rPr>
                                <w:t>essere indirizzata al responsabile della struttura accentrata, ovvero al re</w:t>
                              </w:r>
                            </w:p>
                          </w:txbxContent>
                        </wps:txbx>
                        <wps:bodyPr horzOverflow="overflow" vert="horz" lIns="0" tIns="0" rIns="0" bIns="0" rtlCol="0">
                          <a:noAutofit/>
                        </wps:bodyPr>
                      </wps:wsp>
                      <wps:wsp>
                        <wps:cNvPr id="17817" name="Rectangle 17817"/>
                        <wps:cNvSpPr/>
                        <wps:spPr>
                          <a:xfrm rot="-10799999">
                            <a:off x="65757" y="3225682"/>
                            <a:ext cx="50622" cy="142889"/>
                          </a:xfrm>
                          <a:prstGeom prst="rect">
                            <a:avLst/>
                          </a:prstGeom>
                          <a:ln>
                            <a:noFill/>
                          </a:ln>
                        </wps:spPr>
                        <wps:txbx>
                          <w:txbxContent>
                            <w:p w14:paraId="1184EB8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818" name="Rectangle 17818"/>
                        <wps:cNvSpPr/>
                        <wps:spPr>
                          <a:xfrm rot="-10799999">
                            <a:off x="-1218996" y="3102351"/>
                            <a:ext cx="5100648" cy="142889"/>
                          </a:xfrm>
                          <a:prstGeom prst="rect">
                            <a:avLst/>
                          </a:prstGeom>
                          <a:ln>
                            <a:noFill/>
                          </a:ln>
                        </wps:spPr>
                        <wps:txbx>
                          <w:txbxContent>
                            <w:p w14:paraId="71352A57" w14:textId="77777777" w:rsidR="00B32EF2" w:rsidRDefault="00000000">
                              <w:r>
                                <w:rPr>
                                  <w:rFonts w:ascii="Arial" w:eastAsia="Arial" w:hAnsi="Arial" w:cs="Arial"/>
                                  <w:i/>
                                  <w:sz w:val="18"/>
                                </w:rPr>
                                <w:t xml:space="preserve">sponsabile della sede o dell’ufficio destinatario che ne dà notizia immediata </w:t>
                              </w:r>
                            </w:p>
                          </w:txbxContent>
                        </wps:txbx>
                        <wps:bodyPr horzOverflow="overflow" vert="horz" lIns="0" tIns="0" rIns="0" bIns="0" rtlCol="0">
                          <a:noAutofit/>
                        </wps:bodyPr>
                      </wps:wsp>
                      <wps:wsp>
                        <wps:cNvPr id="17819" name="Rectangle 17819"/>
                        <wps:cNvSpPr/>
                        <wps:spPr>
                          <a:xfrm rot="-10799999">
                            <a:off x="-1222584" y="2979022"/>
                            <a:ext cx="5116352" cy="142889"/>
                          </a:xfrm>
                          <a:prstGeom prst="rect">
                            <a:avLst/>
                          </a:prstGeom>
                          <a:ln>
                            <a:noFill/>
                          </a:ln>
                        </wps:spPr>
                        <wps:txbx>
                          <w:txbxContent>
                            <w:p w14:paraId="487AE42C" w14:textId="77777777" w:rsidR="00B32EF2" w:rsidRDefault="00000000">
                              <w:r>
                                <w:rPr>
                                  <w:rFonts w:ascii="Arial" w:eastAsia="Arial" w:hAnsi="Arial" w:cs="Arial"/>
                                  <w:i/>
                                  <w:sz w:val="18"/>
                                </w:rPr>
                                <w:t xml:space="preserve">al soggetto interessato; la relativa risposta deve essere inviata al titolare </w:t>
                              </w:r>
                            </w:p>
                          </w:txbxContent>
                        </wps:txbx>
                        <wps:bodyPr horzOverflow="overflow" vert="horz" lIns="0" tIns="0" rIns="0" bIns="0" rtlCol="0">
                          <a:noAutofit/>
                        </wps:bodyPr>
                      </wps:wsp>
                      <wps:wsp>
                        <wps:cNvPr id="17820" name="Rectangle 17820"/>
                        <wps:cNvSpPr/>
                        <wps:spPr>
                          <a:xfrm rot="-10799999">
                            <a:off x="2344056" y="2855692"/>
                            <a:ext cx="1538281" cy="142889"/>
                          </a:xfrm>
                          <a:prstGeom prst="rect">
                            <a:avLst/>
                          </a:prstGeom>
                          <a:ln>
                            <a:noFill/>
                          </a:ln>
                        </wps:spPr>
                        <wps:txbx>
                          <w:txbxContent>
                            <w:p w14:paraId="12BF623C" w14:textId="77777777" w:rsidR="00B32EF2" w:rsidRDefault="00000000">
                              <w:r>
                                <w:rPr>
                                  <w:rFonts w:ascii="Arial" w:eastAsia="Arial" w:hAnsi="Arial" w:cs="Arial"/>
                                  <w:i/>
                                  <w:sz w:val="18"/>
                                </w:rPr>
                                <w:t>dell’ufficio procedente;</w:t>
                              </w:r>
                            </w:p>
                          </w:txbxContent>
                        </wps:txbx>
                        <wps:bodyPr horzOverflow="overflow" vert="horz" lIns="0" tIns="0" rIns="0" bIns="0" rtlCol="0">
                          <a:noAutofit/>
                        </wps:bodyPr>
                      </wps:wsp>
                      <wps:wsp>
                        <wps:cNvPr id="200861" name="Rectangle 200861"/>
                        <wps:cNvSpPr/>
                        <wps:spPr>
                          <a:xfrm rot="-10799999">
                            <a:off x="2543126" y="2732363"/>
                            <a:ext cx="5004618" cy="142889"/>
                          </a:xfrm>
                          <a:prstGeom prst="rect">
                            <a:avLst/>
                          </a:prstGeom>
                          <a:ln>
                            <a:noFill/>
                          </a:ln>
                        </wps:spPr>
                        <wps:txbx>
                          <w:txbxContent>
                            <w:p w14:paraId="4A5E3F4D" w14:textId="77777777" w:rsidR="00B32EF2" w:rsidRDefault="00000000">
                              <w:r>
                                <w:rPr>
                                  <w:rFonts w:ascii="Arial" w:eastAsia="Arial" w:hAnsi="Arial" w:cs="Arial"/>
                                  <w:i/>
                                  <w:sz w:val="18"/>
                                </w:rPr>
                                <w:t>7-</w:t>
                              </w:r>
                            </w:p>
                          </w:txbxContent>
                        </wps:txbx>
                        <wps:bodyPr horzOverflow="overflow" vert="horz" lIns="0" tIns="0" rIns="0" bIns="0" rtlCol="0">
                          <a:noAutofit/>
                        </wps:bodyPr>
                      </wps:wsp>
                      <wps:wsp>
                        <wps:cNvPr id="200862" name="Rectangle 200862"/>
                        <wps:cNvSpPr/>
                        <wps:spPr>
                          <a:xfrm rot="-10799999">
                            <a:off x="-1223561" y="2732362"/>
                            <a:ext cx="5004618" cy="142889"/>
                          </a:xfrm>
                          <a:prstGeom prst="rect">
                            <a:avLst/>
                          </a:prstGeom>
                          <a:ln>
                            <a:noFill/>
                          </a:ln>
                        </wps:spPr>
                        <wps:txbx>
                          <w:txbxContent>
                            <w:p w14:paraId="0CD1B901" w14:textId="77777777" w:rsidR="00B32EF2" w:rsidRDefault="00000000">
                              <w:r>
                                <w:rPr>
                                  <w:rFonts w:ascii="Arial" w:eastAsia="Arial" w:hAnsi="Arial" w:cs="Arial"/>
                                  <w:i/>
                                  <w:sz w:val="18"/>
                                </w:rPr>
                                <w:t>bis) richiedere, con modalità stabilite con decreto di natura non regola</w:t>
                              </w:r>
                            </w:p>
                          </w:txbxContent>
                        </wps:txbx>
                        <wps:bodyPr horzOverflow="overflow" vert="horz" lIns="0" tIns="0" rIns="0" bIns="0" rtlCol="0">
                          <a:noAutofit/>
                        </wps:bodyPr>
                      </wps:wsp>
                      <wps:wsp>
                        <wps:cNvPr id="17822" name="Rectangle 17822"/>
                        <wps:cNvSpPr/>
                        <wps:spPr>
                          <a:xfrm rot="-10799999">
                            <a:off x="65757" y="2732363"/>
                            <a:ext cx="50622" cy="142889"/>
                          </a:xfrm>
                          <a:prstGeom prst="rect">
                            <a:avLst/>
                          </a:prstGeom>
                          <a:ln>
                            <a:noFill/>
                          </a:ln>
                        </wps:spPr>
                        <wps:txbx>
                          <w:txbxContent>
                            <w:p w14:paraId="43644A4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823" name="Rectangle 17823"/>
                        <wps:cNvSpPr/>
                        <wps:spPr>
                          <a:xfrm rot="-10799999">
                            <a:off x="-1218996" y="2609033"/>
                            <a:ext cx="5100648" cy="142889"/>
                          </a:xfrm>
                          <a:prstGeom prst="rect">
                            <a:avLst/>
                          </a:prstGeom>
                          <a:ln>
                            <a:noFill/>
                          </a:ln>
                        </wps:spPr>
                        <wps:txbx>
                          <w:txbxContent>
                            <w:p w14:paraId="75541D5F" w14:textId="77777777" w:rsidR="00B32EF2" w:rsidRDefault="00000000">
                              <w:r>
                                <w:rPr>
                                  <w:rFonts w:ascii="Arial" w:eastAsia="Arial" w:hAnsi="Arial" w:cs="Arial"/>
                                  <w:i/>
                                  <w:sz w:val="18"/>
                                </w:rPr>
                                <w:t xml:space="preserve">mentare del Ministro dell’economia e delle finanze, da adottare d’intesa con </w:t>
                              </w:r>
                            </w:p>
                          </w:txbxContent>
                        </wps:txbx>
                        <wps:bodyPr horzOverflow="overflow" vert="horz" lIns="0" tIns="0" rIns="0" bIns="0" rtlCol="0">
                          <a:noAutofit/>
                        </wps:bodyPr>
                      </wps:wsp>
                      <wps:wsp>
                        <wps:cNvPr id="17824" name="Rectangle 17824"/>
                        <wps:cNvSpPr/>
                        <wps:spPr>
                          <a:xfrm rot="-10799999">
                            <a:off x="-1219632" y="2485703"/>
                            <a:ext cx="5105284" cy="142889"/>
                          </a:xfrm>
                          <a:prstGeom prst="rect">
                            <a:avLst/>
                          </a:prstGeom>
                          <a:ln>
                            <a:noFill/>
                          </a:ln>
                        </wps:spPr>
                        <wps:txbx>
                          <w:txbxContent>
                            <w:p w14:paraId="5AD04A92" w14:textId="77777777" w:rsidR="00B32EF2" w:rsidRDefault="00000000">
                              <w:r>
                                <w:rPr>
                                  <w:rFonts w:ascii="Arial" w:eastAsia="Arial" w:hAnsi="Arial" w:cs="Arial"/>
                                  <w:i/>
                                  <w:sz w:val="18"/>
                                </w:rPr>
                                <w:t xml:space="preserve">l’Autorità di vigilanza in coerenza con le regole europee e internazionali in </w:t>
                              </w:r>
                            </w:p>
                          </w:txbxContent>
                        </wps:txbx>
                        <wps:bodyPr horzOverflow="overflow" vert="horz" lIns="0" tIns="0" rIns="0" bIns="0" rtlCol="0">
                          <a:noAutofit/>
                        </wps:bodyPr>
                      </wps:wsp>
                      <wps:wsp>
                        <wps:cNvPr id="17825" name="Rectangle 17825"/>
                        <wps:cNvSpPr/>
                        <wps:spPr>
                          <a:xfrm rot="-10799999">
                            <a:off x="-1122708" y="2362373"/>
                            <a:ext cx="5004360" cy="142889"/>
                          </a:xfrm>
                          <a:prstGeom prst="rect">
                            <a:avLst/>
                          </a:prstGeom>
                          <a:ln>
                            <a:noFill/>
                          </a:ln>
                        </wps:spPr>
                        <wps:txbx>
                          <w:txbxContent>
                            <w:p w14:paraId="6A51C15D" w14:textId="77777777" w:rsidR="00B32EF2" w:rsidRDefault="00000000">
                              <w:r>
                                <w:rPr>
                                  <w:rFonts w:ascii="Arial" w:eastAsia="Arial" w:hAnsi="Arial" w:cs="Arial"/>
                                  <w:i/>
                                  <w:sz w:val="18"/>
                                </w:rPr>
                                <w:t>materia di vigilanza e, comunque, previa autorizzazione del direttore cen</w:t>
                              </w:r>
                            </w:p>
                          </w:txbxContent>
                        </wps:txbx>
                        <wps:bodyPr horzOverflow="overflow" vert="horz" lIns="0" tIns="0" rIns="0" bIns="0" rtlCol="0">
                          <a:noAutofit/>
                        </wps:bodyPr>
                      </wps:wsp>
                      <wps:wsp>
                        <wps:cNvPr id="17826" name="Rectangle 17826"/>
                        <wps:cNvSpPr/>
                        <wps:spPr>
                          <a:xfrm rot="-10799999">
                            <a:off x="65757" y="2362374"/>
                            <a:ext cx="50622" cy="142889"/>
                          </a:xfrm>
                          <a:prstGeom prst="rect">
                            <a:avLst/>
                          </a:prstGeom>
                          <a:ln>
                            <a:noFill/>
                          </a:ln>
                        </wps:spPr>
                        <wps:txbx>
                          <w:txbxContent>
                            <w:p w14:paraId="4454A36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827" name="Rectangle 17827"/>
                        <wps:cNvSpPr/>
                        <wps:spPr>
                          <a:xfrm rot="-10799999">
                            <a:off x="-1221681" y="2239044"/>
                            <a:ext cx="5111791" cy="142889"/>
                          </a:xfrm>
                          <a:prstGeom prst="rect">
                            <a:avLst/>
                          </a:prstGeom>
                          <a:ln>
                            <a:noFill/>
                          </a:ln>
                        </wps:spPr>
                        <wps:txbx>
                          <w:txbxContent>
                            <w:p w14:paraId="060FEFCF" w14:textId="77777777" w:rsidR="00B32EF2" w:rsidRDefault="00000000">
                              <w:r>
                                <w:rPr>
                                  <w:rFonts w:ascii="Arial" w:eastAsia="Arial" w:hAnsi="Arial" w:cs="Arial"/>
                                  <w:i/>
                                  <w:sz w:val="18"/>
                                </w:rPr>
                                <w:t xml:space="preserve">trale dell’accertamento dell’Agenzia delle entrate o del direttore regionale </w:t>
                              </w:r>
                            </w:p>
                          </w:txbxContent>
                        </wps:txbx>
                        <wps:bodyPr horzOverflow="overflow" vert="horz" lIns="0" tIns="0" rIns="0" bIns="0" rtlCol="0">
                          <a:noAutofit/>
                        </wps:bodyPr>
                      </wps:wsp>
                      <wps:wsp>
                        <wps:cNvPr id="17828" name="Rectangle 17828"/>
                        <wps:cNvSpPr/>
                        <wps:spPr>
                          <a:xfrm rot="-10799999">
                            <a:off x="-1219011" y="2115714"/>
                            <a:ext cx="5100663" cy="142889"/>
                          </a:xfrm>
                          <a:prstGeom prst="rect">
                            <a:avLst/>
                          </a:prstGeom>
                          <a:ln>
                            <a:noFill/>
                          </a:ln>
                        </wps:spPr>
                        <wps:txbx>
                          <w:txbxContent>
                            <w:p w14:paraId="4CE40DD0" w14:textId="77777777" w:rsidR="00B32EF2" w:rsidRDefault="00000000">
                              <w:r>
                                <w:rPr>
                                  <w:rFonts w:ascii="Arial" w:eastAsia="Arial" w:hAnsi="Arial" w:cs="Arial"/>
                                  <w:i/>
                                  <w:sz w:val="18"/>
                                </w:rPr>
                                <w:t xml:space="preserve">della stessa, ovvero, per il Corpo della guardia di finanza, del comandante </w:t>
                              </w:r>
                            </w:p>
                          </w:txbxContent>
                        </wps:txbx>
                        <wps:bodyPr horzOverflow="overflow" vert="horz" lIns="0" tIns="0" rIns="0" bIns="0" rtlCol="0">
                          <a:noAutofit/>
                        </wps:bodyPr>
                      </wps:wsp>
                      <wps:wsp>
                        <wps:cNvPr id="17829" name="Rectangle 17829"/>
                        <wps:cNvSpPr/>
                        <wps:spPr>
                          <a:xfrm rot="-10799999">
                            <a:off x="-1122661" y="1992384"/>
                            <a:ext cx="5004314" cy="142889"/>
                          </a:xfrm>
                          <a:prstGeom prst="rect">
                            <a:avLst/>
                          </a:prstGeom>
                          <a:ln>
                            <a:noFill/>
                          </a:ln>
                        </wps:spPr>
                        <wps:txbx>
                          <w:txbxContent>
                            <w:p w14:paraId="7581A46D" w14:textId="77777777" w:rsidR="00B32EF2" w:rsidRDefault="00000000">
                              <w:r>
                                <w:rPr>
                                  <w:rFonts w:ascii="Arial" w:eastAsia="Arial" w:hAnsi="Arial" w:cs="Arial"/>
                                  <w:i/>
                                  <w:sz w:val="18"/>
                                </w:rPr>
                                <w:t>regionale, ad autorità ed enti, notizie, dati, documenti e informazioni di na</w:t>
                              </w:r>
                            </w:p>
                          </w:txbxContent>
                        </wps:txbx>
                        <wps:bodyPr horzOverflow="overflow" vert="horz" lIns="0" tIns="0" rIns="0" bIns="0" rtlCol="0">
                          <a:noAutofit/>
                        </wps:bodyPr>
                      </wps:wsp>
                      <wps:wsp>
                        <wps:cNvPr id="17830" name="Rectangle 17830"/>
                        <wps:cNvSpPr/>
                        <wps:spPr>
                          <a:xfrm rot="-10799999">
                            <a:off x="65757" y="1992385"/>
                            <a:ext cx="50622" cy="142889"/>
                          </a:xfrm>
                          <a:prstGeom prst="rect">
                            <a:avLst/>
                          </a:prstGeom>
                          <a:ln>
                            <a:noFill/>
                          </a:ln>
                        </wps:spPr>
                        <wps:txbx>
                          <w:txbxContent>
                            <w:p w14:paraId="2574620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831" name="Rectangle 17831"/>
                        <wps:cNvSpPr/>
                        <wps:spPr>
                          <a:xfrm rot="-10799999">
                            <a:off x="-1218966" y="1869055"/>
                            <a:ext cx="5100618" cy="142889"/>
                          </a:xfrm>
                          <a:prstGeom prst="rect">
                            <a:avLst/>
                          </a:prstGeom>
                          <a:ln>
                            <a:noFill/>
                          </a:ln>
                        </wps:spPr>
                        <wps:txbx>
                          <w:txbxContent>
                            <w:p w14:paraId="7340532D" w14:textId="77777777" w:rsidR="00B32EF2" w:rsidRDefault="00000000">
                              <w:r>
                                <w:rPr>
                                  <w:rFonts w:ascii="Arial" w:eastAsia="Arial" w:hAnsi="Arial" w:cs="Arial"/>
                                  <w:i/>
                                  <w:sz w:val="18"/>
                                </w:rPr>
                                <w:t xml:space="preserve">tura creditizia, finanziaria e assicurativa, relativi alle attività di controllo e </w:t>
                              </w:r>
                            </w:p>
                          </w:txbxContent>
                        </wps:txbx>
                        <wps:bodyPr horzOverflow="overflow" vert="horz" lIns="0" tIns="0" rIns="0" bIns="0" rtlCol="0">
                          <a:noAutofit/>
                        </wps:bodyPr>
                      </wps:wsp>
                      <wps:wsp>
                        <wps:cNvPr id="17832" name="Rectangle 17832"/>
                        <wps:cNvSpPr/>
                        <wps:spPr>
                          <a:xfrm rot="-10799999">
                            <a:off x="-1219026" y="1745725"/>
                            <a:ext cx="5100678" cy="142889"/>
                          </a:xfrm>
                          <a:prstGeom prst="rect">
                            <a:avLst/>
                          </a:prstGeom>
                          <a:ln>
                            <a:noFill/>
                          </a:ln>
                        </wps:spPr>
                        <wps:txbx>
                          <w:txbxContent>
                            <w:p w14:paraId="43285390" w14:textId="77777777" w:rsidR="00B32EF2" w:rsidRDefault="00000000">
                              <w:r>
                                <w:rPr>
                                  <w:rFonts w:ascii="Arial" w:eastAsia="Arial" w:hAnsi="Arial" w:cs="Arial"/>
                                  <w:i/>
                                  <w:sz w:val="18"/>
                                </w:rPr>
                                <w:t xml:space="preserve">di vigilanza svolte dagli stessi, anche in deroga a specifiche disposizioni </w:t>
                              </w:r>
                            </w:p>
                          </w:txbxContent>
                        </wps:txbx>
                        <wps:bodyPr horzOverflow="overflow" vert="horz" lIns="0" tIns="0" rIns="0" bIns="0" rtlCol="0">
                          <a:noAutofit/>
                        </wps:bodyPr>
                      </wps:wsp>
                      <wps:wsp>
                        <wps:cNvPr id="17833" name="Rectangle 17833"/>
                        <wps:cNvSpPr/>
                        <wps:spPr>
                          <a:xfrm rot="-10799999">
                            <a:off x="3303464" y="1622396"/>
                            <a:ext cx="578873" cy="142889"/>
                          </a:xfrm>
                          <a:prstGeom prst="rect">
                            <a:avLst/>
                          </a:prstGeom>
                          <a:ln>
                            <a:noFill/>
                          </a:ln>
                        </wps:spPr>
                        <wps:txbx>
                          <w:txbxContent>
                            <w:p w14:paraId="7E20FEA0" w14:textId="77777777" w:rsidR="00B32EF2" w:rsidRDefault="00000000">
                              <w:r>
                                <w:rPr>
                                  <w:rFonts w:ascii="Arial" w:eastAsia="Arial" w:hAnsi="Arial" w:cs="Arial"/>
                                  <w:i/>
                                  <w:sz w:val="18"/>
                                </w:rPr>
                                <w:t>di legge;</w:t>
                              </w:r>
                            </w:p>
                          </w:txbxContent>
                        </wps:txbx>
                        <wps:bodyPr horzOverflow="overflow" vert="horz" lIns="0" tIns="0" rIns="0" bIns="0" rtlCol="0">
                          <a:noAutofit/>
                        </wps:bodyPr>
                      </wps:wsp>
                      <wps:wsp>
                        <wps:cNvPr id="200859" name="Rectangle 200859"/>
                        <wps:cNvSpPr/>
                        <wps:spPr>
                          <a:xfrm rot="-10799999">
                            <a:off x="2508902" y="1499066"/>
                            <a:ext cx="5120761" cy="142889"/>
                          </a:xfrm>
                          <a:prstGeom prst="rect">
                            <a:avLst/>
                          </a:prstGeom>
                          <a:ln>
                            <a:noFill/>
                          </a:ln>
                        </wps:spPr>
                        <wps:txbx>
                          <w:txbxContent>
                            <w:p w14:paraId="56C48E48" w14:textId="77777777" w:rsidR="00B32EF2" w:rsidRDefault="00000000">
                              <w:r>
                                <w:rPr>
                                  <w:rFonts w:ascii="Arial" w:eastAsia="Arial" w:hAnsi="Arial" w:cs="Arial"/>
                                  <w:i/>
                                  <w:sz w:val="18"/>
                                </w:rPr>
                                <w:t>8)</w:t>
                              </w:r>
                            </w:p>
                          </w:txbxContent>
                        </wps:txbx>
                        <wps:bodyPr horzOverflow="overflow" vert="horz" lIns="0" tIns="0" rIns="0" bIns="0" rtlCol="0">
                          <a:noAutofit/>
                        </wps:bodyPr>
                      </wps:wsp>
                      <wps:wsp>
                        <wps:cNvPr id="200860" name="Rectangle 200860"/>
                        <wps:cNvSpPr/>
                        <wps:spPr>
                          <a:xfrm rot="-10799999">
                            <a:off x="-1325748" y="1499066"/>
                            <a:ext cx="5120761" cy="142889"/>
                          </a:xfrm>
                          <a:prstGeom prst="rect">
                            <a:avLst/>
                          </a:prstGeom>
                          <a:ln>
                            <a:noFill/>
                          </a:ln>
                        </wps:spPr>
                        <wps:txbx>
                          <w:txbxContent>
                            <w:p w14:paraId="28776B85" w14:textId="77777777" w:rsidR="00B32EF2" w:rsidRDefault="00000000">
                              <w:r>
                                <w:rPr>
                                  <w:rFonts w:ascii="Arial" w:eastAsia="Arial" w:hAnsi="Arial" w:cs="Arial"/>
                                  <w:i/>
                                  <w:sz w:val="18"/>
                                </w:rPr>
                                <w:t xml:space="preserve"> richiedere ai soggetti indicati nell’articolo 13 dati, notizie e documenti </w:t>
                              </w:r>
                            </w:p>
                          </w:txbxContent>
                        </wps:txbx>
                        <wps:bodyPr horzOverflow="overflow" vert="horz" lIns="0" tIns="0" rIns="0" bIns="0" rtlCol="0">
                          <a:noAutofit/>
                        </wps:bodyPr>
                      </wps:wsp>
                      <wps:wsp>
                        <wps:cNvPr id="17835" name="Rectangle 17835"/>
                        <wps:cNvSpPr/>
                        <wps:spPr>
                          <a:xfrm rot="-10799999">
                            <a:off x="-1219043" y="1375736"/>
                            <a:ext cx="5100695" cy="142889"/>
                          </a:xfrm>
                          <a:prstGeom prst="rect">
                            <a:avLst/>
                          </a:prstGeom>
                          <a:ln>
                            <a:noFill/>
                          </a:ln>
                        </wps:spPr>
                        <wps:txbx>
                          <w:txbxContent>
                            <w:p w14:paraId="164E33A6" w14:textId="77777777" w:rsidR="00B32EF2" w:rsidRDefault="00000000">
                              <w:r>
                                <w:rPr>
                                  <w:rFonts w:ascii="Arial" w:eastAsia="Arial" w:hAnsi="Arial" w:cs="Arial"/>
                                  <w:i/>
                                  <w:sz w:val="18"/>
                                </w:rPr>
                                <w:t xml:space="preserve">relativi ad attività svolte in un determinato periodo d’imposta, rilevanti ai fini </w:t>
                              </w:r>
                            </w:p>
                          </w:txbxContent>
                        </wps:txbx>
                        <wps:bodyPr horzOverflow="overflow" vert="horz" lIns="0" tIns="0" rIns="0" bIns="0" rtlCol="0">
                          <a:noAutofit/>
                        </wps:bodyPr>
                      </wps:wsp>
                      <wps:wsp>
                        <wps:cNvPr id="17836" name="Rectangle 17836"/>
                        <wps:cNvSpPr/>
                        <wps:spPr>
                          <a:xfrm rot="-10799999">
                            <a:off x="-1218847" y="1252406"/>
                            <a:ext cx="5099356" cy="142889"/>
                          </a:xfrm>
                          <a:prstGeom prst="rect">
                            <a:avLst/>
                          </a:prstGeom>
                          <a:ln>
                            <a:noFill/>
                          </a:ln>
                        </wps:spPr>
                        <wps:txbx>
                          <w:txbxContent>
                            <w:p w14:paraId="595C890F" w14:textId="77777777" w:rsidR="00B32EF2" w:rsidRDefault="00000000">
                              <w:r>
                                <w:rPr>
                                  <w:rFonts w:ascii="Arial" w:eastAsia="Arial" w:hAnsi="Arial" w:cs="Arial"/>
                                  <w:i/>
                                  <w:sz w:val="18"/>
                                </w:rPr>
                                <w:t xml:space="preserve">dell’accertamento, nei confronti di loro clienti, fornitori e prestatori di lavoro </w:t>
                              </w:r>
                            </w:p>
                          </w:txbxContent>
                        </wps:txbx>
                        <wps:bodyPr horzOverflow="overflow" vert="horz" lIns="0" tIns="0" rIns="0" bIns="0" rtlCol="0">
                          <a:noAutofit/>
                        </wps:bodyPr>
                      </wps:wsp>
                      <wps:wsp>
                        <wps:cNvPr id="17837" name="Rectangle 17837"/>
                        <wps:cNvSpPr/>
                        <wps:spPr>
                          <a:xfrm rot="-10799999">
                            <a:off x="3158750" y="1129077"/>
                            <a:ext cx="723929" cy="142889"/>
                          </a:xfrm>
                          <a:prstGeom prst="rect">
                            <a:avLst/>
                          </a:prstGeom>
                          <a:ln>
                            <a:noFill/>
                          </a:ln>
                        </wps:spPr>
                        <wps:txbx>
                          <w:txbxContent>
                            <w:p w14:paraId="5EFCAFB8" w14:textId="77777777" w:rsidR="00B32EF2" w:rsidRDefault="00000000">
                              <w:r>
                                <w:rPr>
                                  <w:rFonts w:ascii="Arial" w:eastAsia="Arial" w:hAnsi="Arial" w:cs="Arial"/>
                                  <w:i/>
                                  <w:sz w:val="18"/>
                                </w:rPr>
                                <w:t>autonomo;</w:t>
                              </w:r>
                            </w:p>
                          </w:txbxContent>
                        </wps:txbx>
                        <wps:bodyPr horzOverflow="overflow" vert="horz" lIns="0" tIns="0" rIns="0" bIns="0" rtlCol="0">
                          <a:noAutofit/>
                        </wps:bodyPr>
                      </wps:wsp>
                      <wps:wsp>
                        <wps:cNvPr id="200857" name="Rectangle 200857"/>
                        <wps:cNvSpPr/>
                        <wps:spPr>
                          <a:xfrm rot="-10799999">
                            <a:off x="2507334" y="1005747"/>
                            <a:ext cx="5107777" cy="142889"/>
                          </a:xfrm>
                          <a:prstGeom prst="rect">
                            <a:avLst/>
                          </a:prstGeom>
                          <a:ln>
                            <a:noFill/>
                          </a:ln>
                        </wps:spPr>
                        <wps:txbx>
                          <w:txbxContent>
                            <w:p w14:paraId="2B349139" w14:textId="77777777" w:rsidR="00B32EF2" w:rsidRDefault="00000000">
                              <w:r>
                                <w:rPr>
                                  <w:rFonts w:ascii="Arial" w:eastAsia="Arial" w:hAnsi="Arial" w:cs="Arial"/>
                                  <w:i/>
                                  <w:sz w:val="18"/>
                                </w:rPr>
                                <w:t>8-</w:t>
                              </w:r>
                            </w:p>
                          </w:txbxContent>
                        </wps:txbx>
                        <wps:bodyPr horzOverflow="overflow" vert="horz" lIns="0" tIns="0" rIns="0" bIns="0" rtlCol="0">
                          <a:noAutofit/>
                        </wps:bodyPr>
                      </wps:wsp>
                      <wps:wsp>
                        <wps:cNvPr id="200858" name="Rectangle 200858"/>
                        <wps:cNvSpPr/>
                        <wps:spPr>
                          <a:xfrm rot="-10799999">
                            <a:off x="-1331659" y="1005747"/>
                            <a:ext cx="5107778" cy="142889"/>
                          </a:xfrm>
                          <a:prstGeom prst="rect">
                            <a:avLst/>
                          </a:prstGeom>
                          <a:ln>
                            <a:noFill/>
                          </a:ln>
                        </wps:spPr>
                        <wps:txbx>
                          <w:txbxContent>
                            <w:p w14:paraId="05F5BD5C" w14:textId="77777777" w:rsidR="00B32EF2" w:rsidRDefault="00000000">
                              <w:r>
                                <w:rPr>
                                  <w:rFonts w:ascii="Arial" w:eastAsia="Arial" w:hAnsi="Arial" w:cs="Arial"/>
                                  <w:i/>
                                  <w:sz w:val="18"/>
                                </w:rPr>
                                <w:t xml:space="preserve">bis) invitare ogni altro soggetto ad esibire o trasmettere, anche in copia </w:t>
                              </w:r>
                            </w:p>
                          </w:txbxContent>
                        </wps:txbx>
                        <wps:bodyPr horzOverflow="overflow" vert="horz" lIns="0" tIns="0" rIns="0" bIns="0" rtlCol="0">
                          <a:noAutofit/>
                        </wps:bodyPr>
                      </wps:wsp>
                      <wps:wsp>
                        <wps:cNvPr id="17839" name="Rectangle 17839"/>
                        <wps:cNvSpPr/>
                        <wps:spPr>
                          <a:xfrm rot="-10799999">
                            <a:off x="-1121005" y="882417"/>
                            <a:ext cx="5002657" cy="142889"/>
                          </a:xfrm>
                          <a:prstGeom prst="rect">
                            <a:avLst/>
                          </a:prstGeom>
                          <a:ln>
                            <a:noFill/>
                          </a:ln>
                        </wps:spPr>
                        <wps:txbx>
                          <w:txbxContent>
                            <w:p w14:paraId="7E382B2A" w14:textId="77777777" w:rsidR="00B32EF2" w:rsidRDefault="00000000">
                              <w:r>
                                <w:rPr>
                                  <w:rFonts w:ascii="Arial" w:eastAsia="Arial" w:hAnsi="Arial" w:cs="Arial"/>
                                  <w:i/>
                                  <w:sz w:val="18"/>
                                </w:rPr>
                                <w:t>fotostatica, atti o documenti fiscalmente rilevanti concernenti specifici rap</w:t>
                              </w:r>
                            </w:p>
                          </w:txbxContent>
                        </wps:txbx>
                        <wps:bodyPr horzOverflow="overflow" vert="horz" lIns="0" tIns="0" rIns="0" bIns="0" rtlCol="0">
                          <a:noAutofit/>
                        </wps:bodyPr>
                      </wps:wsp>
                      <wps:wsp>
                        <wps:cNvPr id="17840" name="Rectangle 17840"/>
                        <wps:cNvSpPr/>
                        <wps:spPr>
                          <a:xfrm rot="-10799999">
                            <a:off x="65757" y="882417"/>
                            <a:ext cx="50622" cy="142889"/>
                          </a:xfrm>
                          <a:prstGeom prst="rect">
                            <a:avLst/>
                          </a:prstGeom>
                          <a:ln>
                            <a:noFill/>
                          </a:ln>
                        </wps:spPr>
                        <wps:txbx>
                          <w:txbxContent>
                            <w:p w14:paraId="75749EA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841" name="Rectangle 17841"/>
                        <wps:cNvSpPr/>
                        <wps:spPr>
                          <a:xfrm rot="-10799999">
                            <a:off x="-612152" y="759088"/>
                            <a:ext cx="4493804" cy="142889"/>
                          </a:xfrm>
                          <a:prstGeom prst="rect">
                            <a:avLst/>
                          </a:prstGeom>
                          <a:ln>
                            <a:noFill/>
                          </a:ln>
                        </wps:spPr>
                        <wps:txbx>
                          <w:txbxContent>
                            <w:p w14:paraId="72B68A1E" w14:textId="77777777" w:rsidR="00B32EF2" w:rsidRDefault="00000000">
                              <w:r>
                                <w:rPr>
                                  <w:rFonts w:ascii="Arial" w:eastAsia="Arial" w:hAnsi="Arial" w:cs="Arial"/>
                                  <w:i/>
                                  <w:sz w:val="18"/>
                                </w:rPr>
                                <w:t>porti intrattenuti con il contribuente e a fornire i chiarimenti relativi;</w:t>
                              </w:r>
                            </w:p>
                          </w:txbxContent>
                        </wps:txbx>
                        <wps:bodyPr horzOverflow="overflow" vert="horz" lIns="0" tIns="0" rIns="0" bIns="0" rtlCol="0">
                          <a:noAutofit/>
                        </wps:bodyPr>
                      </wps:wsp>
                      <wps:wsp>
                        <wps:cNvPr id="200855" name="Rectangle 200855"/>
                        <wps:cNvSpPr/>
                        <wps:spPr>
                          <a:xfrm rot="-10799999">
                            <a:off x="2509114" y="635758"/>
                            <a:ext cx="5100602" cy="142889"/>
                          </a:xfrm>
                          <a:prstGeom prst="rect">
                            <a:avLst/>
                          </a:prstGeom>
                          <a:ln>
                            <a:noFill/>
                          </a:ln>
                        </wps:spPr>
                        <wps:txbx>
                          <w:txbxContent>
                            <w:p w14:paraId="55744904" w14:textId="77777777" w:rsidR="00B32EF2" w:rsidRDefault="00000000">
                              <w:r>
                                <w:rPr>
                                  <w:rFonts w:ascii="Arial" w:eastAsia="Arial" w:hAnsi="Arial" w:cs="Arial"/>
                                  <w:i/>
                                  <w:sz w:val="18"/>
                                </w:rPr>
                                <w:t>8-</w:t>
                              </w:r>
                            </w:p>
                          </w:txbxContent>
                        </wps:txbx>
                        <wps:bodyPr horzOverflow="overflow" vert="horz" lIns="0" tIns="0" rIns="0" bIns="0" rtlCol="0">
                          <a:noAutofit/>
                        </wps:bodyPr>
                      </wps:wsp>
                      <wps:wsp>
                        <wps:cNvPr id="200856" name="Rectangle 200856"/>
                        <wps:cNvSpPr/>
                        <wps:spPr>
                          <a:xfrm rot="-10799999">
                            <a:off x="-1329536" y="635758"/>
                            <a:ext cx="5100602" cy="142889"/>
                          </a:xfrm>
                          <a:prstGeom prst="rect">
                            <a:avLst/>
                          </a:prstGeom>
                          <a:ln>
                            <a:noFill/>
                          </a:ln>
                        </wps:spPr>
                        <wps:txbx>
                          <w:txbxContent>
                            <w:p w14:paraId="5747C687" w14:textId="77777777" w:rsidR="00B32EF2" w:rsidRDefault="00000000">
                              <w:r>
                                <w:rPr>
                                  <w:rFonts w:ascii="Arial" w:eastAsia="Arial" w:hAnsi="Arial" w:cs="Arial"/>
                                  <w:i/>
                                  <w:sz w:val="18"/>
                                </w:rPr>
                                <w:t xml:space="preserve">ter) richiedere agli amministratori di condominio negli edifici dati, notizie </w:t>
                              </w:r>
                            </w:p>
                          </w:txbxContent>
                        </wps:txbx>
                        <wps:bodyPr horzOverflow="overflow" vert="horz" lIns="0" tIns="0" rIns="0" bIns="0" rtlCol="0">
                          <a:noAutofit/>
                        </wps:bodyPr>
                      </wps:wsp>
                      <wps:wsp>
                        <wps:cNvPr id="17843" name="Rectangle 17843"/>
                        <wps:cNvSpPr/>
                        <wps:spPr>
                          <a:xfrm rot="-10799999">
                            <a:off x="656684" y="512428"/>
                            <a:ext cx="3225996" cy="142889"/>
                          </a:xfrm>
                          <a:prstGeom prst="rect">
                            <a:avLst/>
                          </a:prstGeom>
                          <a:ln>
                            <a:noFill/>
                          </a:ln>
                        </wps:spPr>
                        <wps:txbx>
                          <w:txbxContent>
                            <w:p w14:paraId="21879DAD" w14:textId="77777777" w:rsidR="00B32EF2" w:rsidRDefault="00000000">
                              <w:r>
                                <w:rPr>
                                  <w:rFonts w:ascii="Arial" w:eastAsia="Arial" w:hAnsi="Arial" w:cs="Arial"/>
                                  <w:i/>
                                  <w:sz w:val="18"/>
                                </w:rPr>
                                <w:t>e documenti relativi alla gestione condominiale.</w:t>
                              </w:r>
                            </w:p>
                          </w:txbxContent>
                        </wps:txbx>
                        <wps:bodyPr horzOverflow="overflow" vert="horz" lIns="0" tIns="0" rIns="0" bIns="0" rtlCol="0">
                          <a:noAutofit/>
                        </wps:bodyPr>
                      </wps:wsp>
                      <wps:wsp>
                        <wps:cNvPr id="200852" name="Rectangle 200852"/>
                        <wps:cNvSpPr/>
                        <wps:spPr>
                          <a:xfrm rot="-10799999">
                            <a:off x="2764265" y="389099"/>
                            <a:ext cx="4072270" cy="142889"/>
                          </a:xfrm>
                          <a:prstGeom prst="rect">
                            <a:avLst/>
                          </a:prstGeom>
                          <a:ln>
                            <a:noFill/>
                          </a:ln>
                        </wps:spPr>
                        <wps:txbx>
                          <w:txbxContent>
                            <w:p w14:paraId="4B558F07" w14:textId="77777777" w:rsidR="00B32EF2" w:rsidRDefault="00000000">
                              <w:r>
                                <w:rPr>
                                  <w:rFonts w:ascii="Arial" w:eastAsia="Arial" w:hAnsi="Arial" w:cs="Arial"/>
                                  <w:i/>
                                  <w:sz w:val="18"/>
                                </w:rPr>
                                <w:t>8-</w:t>
                              </w:r>
                            </w:p>
                          </w:txbxContent>
                        </wps:txbx>
                        <wps:bodyPr horzOverflow="overflow" vert="horz" lIns="0" tIns="0" rIns="0" bIns="0" rtlCol="0">
                          <a:noAutofit/>
                        </wps:bodyPr>
                      </wps:wsp>
                      <wps:wsp>
                        <wps:cNvPr id="200854" name="Rectangle 200854"/>
                        <wps:cNvSpPr/>
                        <wps:spPr>
                          <a:xfrm rot="-10799999">
                            <a:off x="-302884" y="389099"/>
                            <a:ext cx="4072270" cy="142889"/>
                          </a:xfrm>
                          <a:prstGeom prst="rect">
                            <a:avLst/>
                          </a:prstGeom>
                          <a:ln>
                            <a:noFill/>
                          </a:ln>
                        </wps:spPr>
                        <wps:txbx>
                          <w:txbxContent>
                            <w:p w14:paraId="02540789" w14:textId="77777777" w:rsidR="00B32EF2" w:rsidRDefault="00000000">
                              <w:r>
                                <w:rPr>
                                  <w:rFonts w:ascii="Arial" w:eastAsia="Arial" w:hAnsi="Arial" w:cs="Arial"/>
                                  <w:i/>
                                  <w:sz w:val="18"/>
                                </w:rPr>
                                <w:t>quater) svolgere le opportune attività di analisi del rischio.</w:t>
                              </w:r>
                            </w:p>
                          </w:txbxContent>
                        </wps:txbx>
                        <wps:bodyPr horzOverflow="overflow" vert="horz" lIns="0" tIns="0" rIns="0" bIns="0" rtlCol="0">
                          <a:noAutofit/>
                        </wps:bodyPr>
                      </wps:wsp>
                      <wps:wsp>
                        <wps:cNvPr id="17845" name="Shape 17845"/>
                        <wps:cNvSpPr/>
                        <wps:spPr>
                          <a:xfrm>
                            <a:off x="0" y="351710"/>
                            <a:ext cx="3960000" cy="5931802"/>
                          </a:xfrm>
                          <a:custGeom>
                            <a:avLst/>
                            <a:gdLst/>
                            <a:ahLst/>
                            <a:cxnLst/>
                            <a:rect l="0" t="0" r="0" b="0"/>
                            <a:pathLst>
                              <a:path w="3960000" h="5931802">
                                <a:moveTo>
                                  <a:pt x="0" y="5931802"/>
                                </a:moveTo>
                                <a:lnTo>
                                  <a:pt x="3960000" y="5931802"/>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C9ADCC7" id="Group 200909" o:spid="_x0000_s3454" style="width:311.8pt;height:494.75pt;mso-position-horizontal-relative:char;mso-position-vertical-relative:line" coordsize="39600,6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t9IQwAAGyEAAAOAAAAZHJzL2Uyb0RvYy54bWzkXduO2zgSfV9g/8Hwe6d50dVIZ7BIdoIF&#10;FjuDuXyA4pYvgGwZspPu7NfvqaJEyTJ7JpAwYWOZAN1uWqJlHp6q4mGRfPvD86FafCmb874+Pizl&#10;G7FclMd1/bg/bh+Wv//24122XJwvxfGxqOpj+bD8Wp6XP7z7+9/ePp1Wpap3dfVYNgtUcjyvnk4P&#10;y93lclrd35/Xu/JQnN/Up/KINzd1cygu+LPZ3j82xRNqP1T3Sojk/qluHk9NvS7PZ5R+MG8u33H9&#10;m025vvy02ZzLy6J6WOLZLvyz4Z+f6Of9u7fFatsUp91+3T5GMeEpDsX+iA+1VX0oLsXic7O/qeqw&#10;Xzf1ud5c3qzrw3292ezXJX8HfBspRt/mY1N/PvF32a6etifbTGjaUTtNrnb9ny8fm9Ovp58btMTT&#10;aYu24L/ouzxvmgP9xlMunrnJvtomK58vizUKdZ4IIeRyscZ7icp0LKVp1PUOLX9z33r3zz+58777&#10;4Purx3k6oYOc+zY4z2uDX3fFqeSmPa/QBj83i/0j+m+aZulycSwO6Kq/oPMUx21VLkwxNxBfbZvr&#10;vDqj5bq2WjQ1+tedFGlO/7g/tG0nswT/UTVa6S5RMm97XteMMs10kptWVLFIooQa0TZFsTo158vH&#10;sj4s6MXDssGzcf3Fl3+fL+bS7hJ6nOpIP4/1j/uqMu9SCVq0e2J6dXn+9MxfW2mZ0+dR4af68Sta&#10;Y1c3//0JvN5U9dPDsm5fLYnq+Hh6d7mo/nUECsSq7kXTvfjUvWgu1fuauWce6B+fL/Vmz0/cf1r7&#10;ZIDXPMNfjrMCRCLqgOa+sGjL2mZAn3gBZfoeHaqMJ7p8KhivYtXhaWiBpiFaxLmWmVAjRNefDaJU&#10;X4ci7MejwRNlu+7V+vnYvSTc/9CUnYoL3UeV0ssFwLPPsusfhd4/ANXfar7yMuIpOl7/bnUcXmVr&#10;62wBru2u6H6fuL7hlddN0F3X/TbXo7VuGqu7ovs9vJIpZD8dL+gLM2lsI6Bw2MzVkdqDUCngajZV&#10;YTh02F/gg6r9AQZApTBnLVIOypwvX6uSmqw6/lJuQB62i1Rwbraf3lfN4ktBvZ3/GYJWp13Rlrb1&#10;tpfyo3I9dP8GTLVVSr71qsr3mv63NbQX030lOzl7pzB3rtunMZ4O/gJfuvN3aBR7E39yfbzY+4/w&#10;0vwhbCrMt+2JSqaE/vp+TCXTC7vossjWZL3M1T+wyHdSKanTmDtdIhKlEm7dnsOxFCAurARxWEYq&#10;y9mzofk6x9hZ3L/IKCvuiH3r/58bZUANt+iC2nhLaoipUEu4ZESixr5kuY6ojw+gFnmUA38LNfoc&#10;9fXvBzV3raCgRszoYLXh2GSoVcLgMtCZjBMRXwOtE1h4mXgEmsOAYIDGEC1LYGPHSLfl4Nh0qGMZ&#10;aQHfQKROcqVgy8ekjiP68M5+f3dSs0MJC2tQy4k1x8eTsb6TGuF5rF4z2OxSggGbnDX85RhrUzyH&#10;1ojLZBYnZqgcx7Dn0S2vs1T7dNb8QEFBbcfKV6JIbvv85Lgsl7kJweMoihN45msTLuE/oIX4M+HW&#10;bgWhixB9Hd7aFM9ldS7iNgTXSqnMAXVK7tybt06p7wXFaoezJqhtn5/Oagu1zLM8fnVQZ8FB7Va1&#10;c9vnJ0INESVK4BwoBkeAlqgx1EJE0ut4y6pEwRhwGFlXWGb7/CSokziN25iMceaOMxRQIKD5s906&#10;PKXMLYpi1mmmm1aRbN10lMdKGQsxAFoqkXQzVSSKfu9BtQ5NKcswH+EgNBXPhBqzkHDNZLujDOo2&#10;xlyocAi1gOn2qJ/osLQyzAHTRPqt7abimVArnSPgZqhTgK5voJa5imhiDJ3BC6vDksoIarhLF9S2&#10;z09y03cSEVnWzmpFcaa0YL8/YDUisljBlXuD2ooGgURkmXAKZVQ8h9V9RPYCzn4jstA0sqzPJxlq&#10;ZFQ8B2WSQ5GqYpRvSGRZno4JDY0sgRLnj9BWLwiG0E6NLDOTjTMmOTCY1hhBs5vWOk6iG6iVyOC7&#10;/UFt9YJgoHZqZJnJ95oDNVjdQa1kl4A3cNPEalDdH9RWLwgGaqdGlgnb56dHZBJzWMxqgfGyGTEP&#10;oBZCpxhn+4PaigbBQO3UyDITK09m9SAic+PsNSLD8K4NRIJB2amRZZhkmheRISTDvDQTGjmucRJz&#10;hdeERtTmj9CR1QtCgVq6NTIUz4G6JzTjnHBtQ5z9EtpKBcGg7JbHzIqTyWbbDLFQCXlonUVKm+mE&#10;AdAUjPlMD42sVBAE1Jwd6BBN2vI5lFY6EZmCbSasUwThRkZ/TVhbwSAcrB3pRYy1bYqJoXeUprpd&#10;dfVKwQ5OJpMOXkMOR/EcWtNqDq0w+8m8jpFyko6dtZR5rjzOZpklfeSlguA1YeqgtSmeCbXEILp1&#10;11GqtAl3RyYcSzy8DagjKxkEA7VbEZXWvE004GB1TulD5K11lGNCmszEEGqwGlT3B3VwMhnB4Zi4&#10;NKm7M4JwjKpFx2qlMMAeQy2E8pr2HVndIBhWuxVRac3bJFYPRtWMMw9jB5SmtZj+CB1bySAYlN1i&#10;qLSWbRLKvI4jRy4x224pFJbJj203RtWY4vJmu80DBRWRuRXRfveHqVCDyBkCLrhpZAxiZmvMaSSS&#10;aVq+5SvpBJ/dxpyhsBqLx11uul9TPglqBNtRlzSoMizPykdIy1gjlxDBuTek7UAyCKRZJnHIom35&#10;nIGWiiMt2zlqRF5Qzrhph55aRAnchD+srT4UDtaOtEHG2hq4Sbxm/QTr74wJZ7BHxI6RN+gXbDuW&#10;DAJsCCUUBjtGWsa5Th5p9eH3C6T2G34Hl0ym3IIoiucY76vwWyUiF1gxPZJOfIffdhgZDKHdgqiy&#10;bmyq7ZbYvAbGgsLvKItTk1k8cNRSxIric29BmR1LBgO1WxDFBMQ8VmOeI0WaEkOtE6XTMavhpjHF&#10;6RHq4FQyCpFdbtp6skmsHrhpxpltxIDSflUykwoTknRCS2ZcKFsnNgllirslSd1MaEx2iGgMtJTY&#10;vMzjgBqDgtZkBWO73YKosk5sKtRIN2nTjJSUcYr50duIzGeaUWIHkcFA7RZEkSA0200n7Wia0g6Q&#10;VTaCmtz0cG/J772M2mg5IRlwJPW5DHi/dcAkVvdu2uDM8d3rcdPc7YJC2aGFQkrpdw2YhLIZTSdm&#10;Mgt7eWPh/BhoShH1qYVioX5gbppGvI6IrN81YDLUdmmWTKM4NWO2Aad9L81CPwwNardGZiStyUoo&#10;8rx1t3uRhOqJJP+Rl04z7DTobyxtduQIxnzTPAbW0tyQui2fE5HhTIUMrOZhlozyHOn8I6ixr01K&#10;EZsviQwLikIiNc9ZOSKytnwO1rRZbJxSYgn00FcKth1fhDLQ0m49FMXzoObdEWCiCWrs5p/qG14j&#10;LqM9LX3x2uShB2PDKdZ266EGmcnOmkPwDJnVDLWKsV3RGGqR59g0wSPUwSlltBeFKwSfJ4pq7ECX&#10;Ig+TkZYqFynX10fgyPnPaQ2XN06HpZNx/OVAui2fY8ARlyGn22QOYlgFtz2CGoewpPjnEWs7Dx+E&#10;q2ZMHfp3Wz4Ha8RlGvsJgrfkrF8GG5/ujdjh6WWO8Rb5cBugThRRaDUH9kMiqLMMe4qOaY3FHJBO&#10;PSJtA88gaA1IaXtHh6/utwWZhHSvf7th9ppMlnKEGFLsjaWQTpBtZDoJ5DucmiTb01fSOMfmNtfi&#10;SRTlmve/82a3bcAZBJvZGTsG1G35HCeNgCyXNDEJw40lGyn2gkZ1feiNeEwkJKR5gzo8nYzGtGPL&#10;zVBb8zaN1dDJ8phG668WaxuFBEFrctLuiY5+/5dJSGOPqqRdnhVLhU3brzmN41hiXqnni9NZWGsu&#10;mbuOycu2fJb5TpMIgTVTWmPGw5wH0JvvSKSUQOrPfJtV3cGEZAypI+u7LZ8D9Z0WOH3BeOrXCXVY&#10;KhlZbxuTmSPFTdGfgkzxVXuiuBE96URxs3Vdz1x7mjYZ6evjtLvjiIdHXb+iE8WvH/ZbzhW/vqM7&#10;+7v7fXu6OLsPHNbbXdH9fvm0cJwLXtXnEtDgtm88N5zPBoflfPHscHPot6nzG88Odxz03Z4d3lWD&#10;k7mpf1wdD94e8j3txPFXcXY4ThHfrp62J27/bVOcdvv1h+JSDP/G66fTqlT1rq4ey+bd/wAAAP//&#10;AwBQSwMEFAAGAAgAAAAhAOTYkYbdAAAABQEAAA8AAABkcnMvZG93bnJldi54bWxMj0FrwkAQhe+F&#10;/odlhN7qJopBYzYi0vYkhWqh9DZmxySYnQ3ZNYn/vtte7GXg8R7vfZNtRtOInjpXW1YQTyMQxIXV&#10;NZcKPo+vz0sQziNrbCyTghs52OSPDxmm2g78Qf3BlyKUsEtRQeV9m0rpiooMuqltiYN3tp1BH2RX&#10;St3hEMpNI2dRlEiDNYeFClvaVVRcDlej4G3AYTuPX/r95by7fR8X71/7mJR6mozbNQhPo7+H4Rc/&#10;oEMemE72ytqJRkF4xP/d4CWzeQLipGC1XC1A5pn8T5//AAAA//8DAFBLAQItABQABgAIAAAAIQC2&#10;gziS/gAAAOEBAAATAAAAAAAAAAAAAAAAAAAAAABbQ29udGVudF9UeXBlc10ueG1sUEsBAi0AFAAG&#10;AAgAAAAhADj9If/WAAAAlAEAAAsAAAAAAAAAAAAAAAAALwEAAF9yZWxzLy5yZWxzUEsBAi0AFAAG&#10;AAgAAAAhAIB3G30hDAAAbIQAAA4AAAAAAAAAAAAAAAAALgIAAGRycy9lMm9Eb2MueG1sUEsBAi0A&#10;FAAGAAgAAAAhAOTYkYbdAAAABQEAAA8AAAAAAAAAAAAAAAAAew4AAGRycy9kb3ducmV2LnhtbFBL&#10;BQYAAAAABAAEAPMAAACFDwAAAAA=&#10;">
                <v:rect id="Rectangle 17787" o:spid="_x0000_s3455" style="position:absolute;left:18686;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K0MxAAAAN4AAAAPAAAAZHJzL2Rvd25yZXYueG1sRE9Na8JA&#10;EL0X/A/LCN7qRg8mRFcRRcyhl1oFj0N2TNJmZ5fsamJ/fbdQ6G0e73NWm8G04kGdbywrmE0TEMSl&#10;1Q1XCs4fh9cMhA/IGlvLpOBJHjbr0csKc217fqfHKVQihrDPUUEdgsul9GVNBv3UOuLI3WxnMETY&#10;VVJ32Mdw08p5kiykwYZjQ42OdjWVX6e7UXDdsysOvSxv3zv39llk7fF+vig1GQ/bJYhAQ/gX/7kL&#10;HeenaZbC7zvxBrn+AQAA//8DAFBLAQItABQABgAIAAAAIQDb4fbL7gAAAIUBAAATAAAAAAAAAAAA&#10;AAAAAAAAAABbQ29udGVudF9UeXBlc10ueG1sUEsBAi0AFAAGAAgAAAAhAFr0LFu/AAAAFQEAAAsA&#10;AAAAAAAAAAAAAAAAHwEAAF9yZWxzLy5yZWxzUEsBAi0AFAAGAAgAAAAhAJ2QrQzEAAAA3gAAAA8A&#10;AAAAAAAAAAAAAAAABwIAAGRycy9kb3ducmV2LnhtbFBLBQYAAAAAAwADALcAAAD4AgAAAAA=&#10;" filled="f" stroked="f">
                  <v:textbox inset="0,0,0,0">
                    <w:txbxContent>
                      <w:p w14:paraId="29910BA3" w14:textId="77777777" w:rsidR="00B32EF2" w:rsidRDefault="00000000">
                        <w:r>
                          <w:rPr>
                            <w:rFonts w:ascii="Times New Roman" w:eastAsia="Times New Roman" w:hAnsi="Times New Roman" w:cs="Times New Roman"/>
                          </w:rPr>
                          <w:t>69</w:t>
                        </w:r>
                      </w:p>
                    </w:txbxContent>
                  </v:textbox>
                </v:rect>
                <v:shape id="Shape 207904" o:spid="_x0000_s3456" style="position:absolute;top:3517;width:39600;height:59318;visibility:visible;mso-wrap-style:square;v-text-anchor:top" coordsize="3960000,593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4FoxwAAAN8AAAAPAAAAZHJzL2Rvd25yZXYueG1sRI/RagIx&#10;FETfC/5DuAVfSk2U0tqtUUQQxIeVqh9wu7nuLt3crElct39vBKGPw8ycYWaL3jaiIx9qxxrGIwWC&#10;uHCm5lLD8bB+nYIIEdlg45g0/FGAxXzwNMPMuCt/U7ePpUgQDhlqqGJsMylDUZHFMHItcfJOzluM&#10;SfpSGo/XBLeNnCj1Li3WnBYqbGlVUfG7v1gN+cv5tNp6ed7l9ZI6ifn2Z5prPXzul18gIvXxP/xo&#10;b4yGifr4VG9w/5O+gJzfAAAA//8DAFBLAQItABQABgAIAAAAIQDb4fbL7gAAAIUBAAATAAAAAAAA&#10;AAAAAAAAAAAAAABbQ29udGVudF9UeXBlc10ueG1sUEsBAi0AFAAGAAgAAAAhAFr0LFu/AAAAFQEA&#10;AAsAAAAAAAAAAAAAAAAAHwEAAF9yZWxzLy5yZWxzUEsBAi0AFAAGAAgAAAAhAFlngWjHAAAA3wAA&#10;AA8AAAAAAAAAAAAAAAAABwIAAGRycy9kb3ducmV2LnhtbFBLBQYAAAAAAwADALcAAAD7AgAAAAA=&#10;" path="m,l3960000,r,5931802l,5931802,,e" fillcolor="#c3c3c3" stroked="f" strokeweight="0">
                  <v:stroke miterlimit="83231f" joinstyle="miter"/>
                  <v:path arrowok="t" textboxrect="0,0,3960000,5931802"/>
                </v:shape>
                <v:rect id="Rectangle 17789" o:spid="_x0000_s3457" style="position:absolute;left:-12213;top:60622;width:510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5zlxAAAAN4AAAAPAAAAZHJzL2Rvd25yZXYueG1sRE9Na8JA&#10;EL0X/A/LCN7qxh40ja4iijSHXmoVPA7ZMYlmZ5fsaqK/vlso9DaP9zmLVW8acafW15YVTMYJCOLC&#10;6ppLBYfv3WsKwgdkjY1lUvAgD6vl4GWBmbYdf9F9H0oRQ9hnqKAKwWVS+qIig35sHXHkzrY1GCJs&#10;S6lb7GK4aeRbkkylwZpjQ4WONhUV1/3NKDht2eW7Thbn58Z9XvK0+bgdjkqNhv16DiJQH/7Ff+5c&#10;x/mzWfoOv+/EG+TyBwAA//8DAFBLAQItABQABgAIAAAAIQDb4fbL7gAAAIUBAAATAAAAAAAAAAAA&#10;AAAAAAAAAABbQ29udGVudF9UeXBlc10ueG1sUEsBAi0AFAAGAAgAAAAhAFr0LFu/AAAAFQEAAAsA&#10;AAAAAAAAAAAAAAAAHwEAAF9yZWxzLy5yZWxzUEsBAi0AFAAGAAgAAAAhAINDnOXEAAAA3gAAAA8A&#10;AAAAAAAAAAAAAAAABwIAAGRycy9kb3ducmV2LnhtbFBLBQYAAAAAAwADALcAAAD4AgAAAAA=&#10;" filled="f" stroked="f">
                  <v:textbox inset="0,0,0,0">
                    <w:txbxContent>
                      <w:p w14:paraId="6D3597FB" w14:textId="77777777" w:rsidR="00B32EF2" w:rsidRDefault="00000000">
                        <w:r>
                          <w:rPr>
                            <w:rFonts w:ascii="Arial" w:eastAsia="Arial" w:hAnsi="Arial" w:cs="Arial"/>
                            <w:i/>
                            <w:sz w:val="18"/>
                          </w:rPr>
                          <w:t xml:space="preserve">da non più di cinque anni dalla data della richiesta. Il richiedente e coloro </w:t>
                        </w:r>
                      </w:p>
                    </w:txbxContent>
                  </v:textbox>
                </v:rect>
                <v:rect id="Rectangle 17790" o:spid="_x0000_s3458" style="position:absolute;left:-12179;top:59389;width:509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KOlyAAAAN4AAAAPAAAAZHJzL2Rvd25yZXYueG1sRI9Pb8Iw&#10;DMXvSHyHyEi7QbodBusIaGJC62EX/kza0WpM261xoibQbp8eH5C42fLze++3XA+uVRfqYuPZwOMs&#10;A0VcettwZeB42E4XoGJCtth6JgN/FGG9Go+WmFvf844u+1QpMeGYo4E6pZBrHcuaHMaZD8RyO/nO&#10;YZK1q7TtsBdz1+qnLHvWDhuWhBoDbWoqf/dnZ+D7nUOx7XV5+t+Ez59i0X6cj1/GPEyGt1dQiYZ0&#10;F9++Cyv15/MXARAcmUGvrgAAAP//AwBQSwECLQAUAAYACAAAACEA2+H2y+4AAACFAQAAEwAAAAAA&#10;AAAAAAAAAAAAAAAAW0NvbnRlbnRfVHlwZXNdLnhtbFBLAQItABQABgAIAAAAIQBa9CxbvwAAABUB&#10;AAALAAAAAAAAAAAAAAAAAB8BAABfcmVscy8ucmVsc1BLAQItABQABgAIAAAAIQCXoKOlyAAAAN4A&#10;AAAPAAAAAAAAAAAAAAAAAAcCAABkcnMvZG93bnJldi54bWxQSwUGAAAAAAMAAwC3AAAA/AIAAAAA&#10;" filled="f" stroked="f">
                  <v:textbox inset="0,0,0,0">
                    <w:txbxContent>
                      <w:p w14:paraId="74956B2A" w14:textId="77777777" w:rsidR="00B32EF2" w:rsidRDefault="00000000">
                        <w:r>
                          <w:rPr>
                            <w:rFonts w:ascii="Arial" w:eastAsia="Arial" w:hAnsi="Arial" w:cs="Arial"/>
                            <w:i/>
                            <w:sz w:val="18"/>
                          </w:rPr>
                          <w:t xml:space="preserve">che vengono in possesso dei dati raccolti devono assumere direttamente le </w:t>
                        </w:r>
                      </w:p>
                    </w:txbxContent>
                  </v:textbox>
                </v:rect>
                <v:rect id="Rectangle 17791" o:spid="_x0000_s3459" style="position:absolute;left:2689;top:58156;width:3612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AY+xQAAAN4AAAAPAAAAZHJzL2Rvd25yZXYueG1sRE9Li8Iw&#10;EL4L+x/CLHhbU/fgoxplcZHtwcv6AI9DM7bVZhKaaKu/3iwseJuP7znzZWdqcaPGV5YVDAcJCOLc&#10;6ooLBfvd+mMCwgdkjbVlUnAnD8vFW2+OqbYt/9JtGwoRQ9inqKAMwaVS+rwkg35gHXHkTrYxGCJs&#10;CqkbbGO4qeVnkoykwYpjQ4mOViXll+3VKDh+s8vWrcxPj5XbnLNJ/XPdH5Tqv3dfMxCBuvAS/7sz&#10;HeePx9Mh/L0Tb5CLJwAAAP//AwBQSwECLQAUAAYACAAAACEA2+H2y+4AAACFAQAAEwAAAAAAAAAA&#10;AAAAAAAAAAAAW0NvbnRlbnRfVHlwZXNdLnhtbFBLAQItABQABgAIAAAAIQBa9CxbvwAAABUBAAAL&#10;AAAAAAAAAAAAAAAAAB8BAABfcmVscy8ucmVsc1BLAQItABQABgAIAAAAIQD47AY+xQAAAN4AAAAP&#10;AAAAAAAAAAAAAAAAAAcCAABkcnMvZG93bnJldi54bWxQSwUGAAAAAAMAAwC3AAAA+QIAAAAA&#10;" filled="f" stroked="f">
                  <v:textbox inset="0,0,0,0">
                    <w:txbxContent>
                      <w:p w14:paraId="78571371" w14:textId="77777777" w:rsidR="00B32EF2" w:rsidRDefault="00000000">
                        <w:r>
                          <w:rPr>
                            <w:rFonts w:ascii="Arial" w:eastAsia="Arial" w:hAnsi="Arial" w:cs="Arial"/>
                            <w:i/>
                            <w:sz w:val="18"/>
                          </w:rPr>
                          <w:t>cautele necessarie alla riservatezza dei dati acquisiti;</w:t>
                        </w:r>
                      </w:p>
                    </w:txbxContent>
                  </v:textbox>
                </v:rect>
                <v:rect id="Rectangle 200865" o:spid="_x0000_s3460" style="position:absolute;left:25143;top:56922;width:509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N58xgAAAN8AAAAPAAAAZHJzL2Rvd25yZXYueG1sRI9Pi8Iw&#10;FMTvC36H8IS9rekKSukaZVHEHrz4D/b4aJ5td5uX0ETb9dMbQfA4zMxvmNmiN424Uutrywo+RwkI&#10;4sLqmksFx8P6IwXhA7LGxjIp+CcPi/ngbYaZth3v6LoPpYgQ9hkqqEJwmZS+qMigH1lHHL2zbQ2G&#10;KNtS6ha7CDeNHCfJVBqsOS5U6GhZUfG3vxgFPyt2+bqTxfm2dNvfPG02l+NJqfdh//0FIlAfXuFn&#10;O9cKIjGdTuDxJ34BOb8DAAD//wMAUEsBAi0AFAAGAAgAAAAhANvh9svuAAAAhQEAABMAAAAAAAAA&#10;AAAAAAAAAAAAAFtDb250ZW50X1R5cGVzXS54bWxQSwECLQAUAAYACAAAACEAWvQsW78AAAAVAQAA&#10;CwAAAAAAAAAAAAAAAAAfAQAAX3JlbHMvLnJlbHNQSwECLQAUAAYACAAAACEApNjefMYAAADfAAAA&#10;DwAAAAAAAAAAAAAAAAAHAgAAZHJzL2Rvd25yZXYueG1sUEsFBgAAAAADAAMAtwAAAPoCAAAAAA==&#10;" filled="f" stroked="f">
                  <v:textbox inset="0,0,0,0">
                    <w:txbxContent>
                      <w:p w14:paraId="57F7F764" w14:textId="77777777" w:rsidR="00B32EF2" w:rsidRDefault="00000000">
                        <w:r>
                          <w:rPr>
                            <w:rFonts w:ascii="Arial" w:eastAsia="Arial" w:hAnsi="Arial" w:cs="Arial"/>
                            <w:i/>
                            <w:sz w:val="18"/>
                          </w:rPr>
                          <w:t>7)</w:t>
                        </w:r>
                      </w:p>
                    </w:txbxContent>
                  </v:textbox>
                </v:rect>
                <v:rect id="Rectangle 200866" o:spid="_x0000_s3461" style="position:absolute;left:-13207;top:56922;width:509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ALxgAAAN8AAAAPAAAAZHJzL2Rvd25yZXYueG1sRI9Ba8JA&#10;FITvgv9heYI33dRDCKmriEXMwYvWQo+P7DNJzb5dsqtJ++tdQehxmJlvmOV6MK24U+cbywre5gkI&#10;4tLqhisF58/dLAPhA7LG1jIp+CUP69V4tMRc256PdD+FSkQI+xwV1CG4XEpf1mTQz60jjt7FdgZD&#10;lF0ldYd9hJtWLpIklQYbjgs1OtrWVF5PN6Pg+4NdsetlefnbusNPkbX72/lLqelk2LyDCDSE//Cr&#10;XWgFkZilKTz/xC8gVw8AAAD//wMAUEsBAi0AFAAGAAgAAAAhANvh9svuAAAAhQEAABMAAAAAAAAA&#10;AAAAAAAAAAAAAFtDb250ZW50X1R5cGVzXS54bWxQSwECLQAUAAYACAAAACEAWvQsW78AAAAVAQAA&#10;CwAAAAAAAAAAAAAAAAAfAQAAX3JlbHMvLnJlbHNQSwECLQAUAAYACAAAACEAVApAC8YAAADfAAAA&#10;DwAAAAAAAAAAAAAAAAAHAgAAZHJzL2Rvd25yZXYueG1sUEsFBgAAAAADAAMAtwAAAPoCAAAAAA==&#10;" filled="f" stroked="f">
                  <v:textbox inset="0,0,0,0">
                    <w:txbxContent>
                      <w:p w14:paraId="0594E70B" w14:textId="77777777" w:rsidR="00B32EF2" w:rsidRDefault="00000000">
                        <w:r>
                          <w:rPr>
                            <w:rFonts w:ascii="Arial" w:eastAsia="Arial" w:hAnsi="Arial" w:cs="Arial"/>
                            <w:i/>
                            <w:sz w:val="18"/>
                          </w:rPr>
                          <w:t xml:space="preserve"> richiedere, previa autorizzazione del direttore centrale dell’accertamento </w:t>
                        </w:r>
                      </w:p>
                    </w:txbxContent>
                  </v:textbox>
                </v:rect>
                <v:rect id="Rectangle 17793" o:spid="_x0000_s3462" style="position:absolute;left:-12185;top:55689;width:509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j3SxQAAAN4AAAAPAAAAZHJzL2Rvd25yZXYueG1sRE9Na8JA&#10;EL0X+h+WKXirGxXURlcRRcyhl1oLPQ7ZMYlmZ5fsaqK/3i0UvM3jfc582ZlaXKnxlWUFg34Cgji3&#10;uuJCweF7+z4F4QOyxtoyKbiRh+Xi9WWOqbYtf9F1HwoRQ9inqKAMwaVS+rwkg75vHXHkjrYxGCJs&#10;CqkbbGO4qeUwScbSYMWxoURH65Ly8/5iFPxu2GXbVubH+9p9nrJpvbscfpTqvXWrGYhAXXiK/92Z&#10;jvMnk48R/L0Tb5CLBwAAAP//AwBQSwECLQAUAAYACAAAACEA2+H2y+4AAACFAQAAEwAAAAAAAAAA&#10;AAAAAAAAAAAAW0NvbnRlbnRfVHlwZXNdLnhtbFBLAQItABQABgAIAAAAIQBa9CxbvwAAABUBAAAL&#10;AAAAAAAAAAAAAAAAAB8BAABfcmVscy8ucmVsc1BLAQItABQABgAIAAAAIQBncj3SxQAAAN4AAAAP&#10;AAAAAAAAAAAAAAAAAAcCAABkcnMvZG93bnJldi54bWxQSwUGAAAAAAMAAwC3AAAA+QIAAAAA&#10;" filled="f" stroked="f">
                  <v:textbox inset="0,0,0,0">
                    <w:txbxContent>
                      <w:p w14:paraId="38649A20" w14:textId="77777777" w:rsidR="00B32EF2" w:rsidRDefault="00000000">
                        <w:r>
                          <w:rPr>
                            <w:rFonts w:ascii="Arial" w:eastAsia="Arial" w:hAnsi="Arial" w:cs="Arial"/>
                            <w:i/>
                            <w:sz w:val="18"/>
                          </w:rPr>
                          <w:t xml:space="preserve">dell’Agenzia delle entrate o del direttore regionale della stessa, ovvero, per </w:t>
                        </w:r>
                      </w:p>
                    </w:txbxContent>
                  </v:textbox>
                </v:rect>
                <v:rect id="Rectangle 17794" o:spid="_x0000_s3463" style="position:absolute;left:-12191;top:54456;width:510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6WmxQAAAN4AAAAPAAAAZHJzL2Rvd25yZXYueG1sRE9Na8JA&#10;EL0X+h+WKXirG0XURlcRRcyhl1oLPQ7ZMYlmZ5fsaqK/3i0UvM3jfc582ZlaXKnxlWUFg34Cgji3&#10;uuJCweF7+z4F4QOyxtoyKbiRh+Xi9WWOqbYtf9F1HwoRQ9inqKAMwaVS+rwkg75vHXHkjrYxGCJs&#10;CqkbbGO4qeUwScbSYMWxoURH65Ly8/5iFPxu2GXbVubH+9p9nrJpvbscfpTqvXWrGYhAXXiK/92Z&#10;jvMnk48R/L0Tb5CLBwAAAP//AwBQSwECLQAUAAYACAAAACEA2+H2y+4AAACFAQAAEwAAAAAAAAAA&#10;AAAAAAAAAAAAW0NvbnRlbnRfVHlwZXNdLnhtbFBLAQItABQABgAIAAAAIQBa9CxbvwAAABUBAAAL&#10;AAAAAAAAAAAAAAAAAB8BAABfcmVscy8ucmVsc1BLAQItABQABgAIAAAAIQDom6WmxQAAAN4AAAAP&#10;AAAAAAAAAAAAAAAAAAcCAABkcnMvZG93bnJldi54bWxQSwUGAAAAAAMAAwC3AAAA+QIAAAAA&#10;" filled="f" stroked="f">
                  <v:textbox inset="0,0,0,0">
                    <w:txbxContent>
                      <w:p w14:paraId="7DF74CF7" w14:textId="77777777" w:rsidR="00B32EF2" w:rsidRDefault="00000000">
                        <w:r>
                          <w:rPr>
                            <w:rFonts w:ascii="Arial" w:eastAsia="Arial" w:hAnsi="Arial" w:cs="Arial"/>
                            <w:i/>
                            <w:sz w:val="18"/>
                          </w:rPr>
                          <w:t xml:space="preserve">il Corpo della guardia di finanza, del comandante regionale, alle banche, </w:t>
                        </w:r>
                      </w:p>
                    </w:txbxContent>
                  </v:textbox>
                </v:rect>
                <v:rect id="Rectangle 17795" o:spid="_x0000_s3464" style="position:absolute;left:-12190;top:53222;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wA9xQAAAN4AAAAPAAAAZHJzL2Rvd25yZXYueG1sRE9La8JA&#10;EL4X+h+WKXirGwUfja4iiphDL7UWehyyYxLNzi7Z1UR/vVsoeJuP7znzZWdqcaXGV5YVDPoJCOLc&#10;6ooLBYfv7fsUhA/IGmvLpOBGHpaL15c5ptq2/EXXfShEDGGfooIyBJdK6fOSDPq+dcSRO9rGYIiw&#10;KaRusI3hppbDJBlLgxXHhhIdrUvKz/uLUfC7YZdtW5kf72v3ecqm9e5y+FGq99atZiACdeEp/ndn&#10;Os6fTD5G8PdOvEEuHgAAAP//AwBQSwECLQAUAAYACAAAACEA2+H2y+4AAACFAQAAEwAAAAAAAAAA&#10;AAAAAAAAAAAAW0NvbnRlbnRfVHlwZXNdLnhtbFBLAQItABQABgAIAAAAIQBa9CxbvwAAABUBAAAL&#10;AAAAAAAAAAAAAAAAAB8BAABfcmVscy8ucmVsc1BLAQItABQABgAIAAAAIQCH1wA9xQAAAN4AAAAP&#10;AAAAAAAAAAAAAAAAAAcCAABkcnMvZG93bnJldi54bWxQSwUGAAAAAAMAAwC3AAAA+QIAAAAA&#10;" filled="f" stroked="f">
                  <v:textbox inset="0,0,0,0">
                    <w:txbxContent>
                      <w:p w14:paraId="15B2D568" w14:textId="77777777" w:rsidR="00B32EF2" w:rsidRDefault="00000000">
                        <w:r>
                          <w:rPr>
                            <w:rFonts w:ascii="Arial" w:eastAsia="Arial" w:hAnsi="Arial" w:cs="Arial"/>
                            <w:i/>
                            <w:sz w:val="18"/>
                          </w:rPr>
                          <w:t xml:space="preserve">alla società Poste italiane Spa, per le attività finanziarie e creditizie, alle </w:t>
                        </w:r>
                      </w:p>
                    </w:txbxContent>
                  </v:textbox>
                </v:rect>
                <v:rect id="Rectangle 17796" o:spid="_x0000_s3465" style="position:absolute;left:-12190;top:51989;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Z5KxAAAAN4AAAAPAAAAZHJzL2Rvd25yZXYueG1sRE9Li8Iw&#10;EL4v+B/CCN7WdPfgoxplcRF72Isv8Dg0Y1ttJqGJtvrrN8LC3ubje8582Zla3KnxlWUFH8MEBHFu&#10;dcWFgsN+/T4B4QOyxtoyKXiQh+Wi9zbHVNuWt3TfhULEEPYpKihDcKmUPi/JoB9aRxy5s20Mhgib&#10;QuoG2xhuavmZJCNpsOLYUKKjVUn5dXczCk7f7LJ1K/Pzc+V+Ltmk3twOR6UG/e5rBiJQF/7Ff+5M&#10;x/nj8XQEr3fiDXLxCwAA//8DAFBLAQItABQABgAIAAAAIQDb4fbL7gAAAIUBAAATAAAAAAAAAAAA&#10;AAAAAAAAAABbQ29udGVudF9UeXBlc10ueG1sUEsBAi0AFAAGAAgAAAAhAFr0LFu/AAAAFQEAAAsA&#10;AAAAAAAAAAAAAAAAHwEAAF9yZWxzLy5yZWxzUEsBAi0AFAAGAAgAAAAhAHcFnkrEAAAA3gAAAA8A&#10;AAAAAAAAAAAAAAAABwIAAGRycy9kb3ducmV2LnhtbFBLBQYAAAAAAwADALcAAAD4AgAAAAA=&#10;" filled="f" stroked="f">
                  <v:textbox inset="0,0,0,0">
                    <w:txbxContent>
                      <w:p w14:paraId="24058A54" w14:textId="77777777" w:rsidR="00B32EF2" w:rsidRDefault="00000000">
                        <w:r>
                          <w:rPr>
                            <w:rFonts w:ascii="Arial" w:eastAsia="Arial" w:hAnsi="Arial" w:cs="Arial"/>
                            <w:i/>
                            <w:sz w:val="18"/>
                          </w:rPr>
                          <w:t xml:space="preserve">società ed enti di assicurazione per le attività finanziarie, agli intermediari </w:t>
                        </w:r>
                      </w:p>
                    </w:txbxContent>
                  </v:textbox>
                </v:rect>
                <v:rect id="Rectangle 17797" o:spid="_x0000_s3466" style="position:absolute;left:-11224;top:50756;width:500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TvRxAAAAN4AAAAPAAAAZHJzL2Rvd25yZXYueG1sRE9Na8JA&#10;EL0X/A/LCN7qxh6Mja4iijSHXmoVPA7ZMYlmZ5fsaqK/vlso9DaP9zmLVW8acafW15YVTMYJCOLC&#10;6ppLBYfv3esMhA/IGhvLpOBBHlbLwcsCM207/qL7PpQihrDPUEEVgsuk9EVFBv3YOuLInW1rMETY&#10;llK32MVw08i3JJlKgzXHhgodbSoqrvubUXDasst3nSzOz437vOSz5uN2OCo1GvbrOYhAffgX/7lz&#10;Heen6XsKv+/EG+TyBwAA//8DAFBLAQItABQABgAIAAAAIQDb4fbL7gAAAIUBAAATAAAAAAAAAAAA&#10;AAAAAAAAAABbQ29udGVudF9UeXBlc10ueG1sUEsBAi0AFAAGAAgAAAAhAFr0LFu/AAAAFQEAAAsA&#10;AAAAAAAAAAAAAAAAHwEAAF9yZWxzLy5yZWxzUEsBAi0AFAAGAAgAAAAhABhJO9HEAAAA3gAAAA8A&#10;AAAAAAAAAAAAAAAABwIAAGRycy9kb3ducmV2LnhtbFBLBQYAAAAAAwADALcAAAD4AgAAAAA=&#10;" filled="f" stroked="f">
                  <v:textbox inset="0,0,0,0">
                    <w:txbxContent>
                      <w:p w14:paraId="0EC363C7" w14:textId="77777777" w:rsidR="00B32EF2" w:rsidRDefault="00000000">
                        <w:r>
                          <w:rPr>
                            <w:rFonts w:ascii="Arial" w:eastAsia="Arial" w:hAnsi="Arial" w:cs="Arial"/>
                            <w:i/>
                            <w:sz w:val="18"/>
                          </w:rPr>
                          <w:t>finanziari, alle imprese di investimento, agli organismi di investimento col</w:t>
                        </w:r>
                      </w:p>
                    </w:txbxContent>
                  </v:textbox>
                </v:rect>
                <v:rect id="Rectangle 17798" o:spid="_x0000_s3467" style="position:absolute;left:657;top:5075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q+jyAAAAN4AAAAPAAAAZHJzL2Rvd25yZXYueG1sRI9Pb8Iw&#10;DMXvSHyHyEi7QbodBusIaGJC62EX/kza0WpM261xoibQbp8eH5C42XrP7/28XA+uVRfqYuPZwOMs&#10;A0VcettwZeB42E4XoGJCtth6JgN/FGG9Go+WmFvf844u+1QpCeGYo4E6pZBrHcuaHMaZD8SinXzn&#10;MMnaVdp22Eu4a/VTlj1rhw1LQ42BNjWVv/uzM/D9zqHY9ro8/W/C50+xaD/Oxy9jHibD2yuoREO6&#10;m2/XhRX8+fxFeOUdmUGvrgAAAP//AwBQSwECLQAUAAYACAAAACEA2+H2y+4AAACFAQAAEwAAAAAA&#10;AAAAAAAAAAAAAAAAW0NvbnRlbnRfVHlwZXNdLnhtbFBLAQItABQABgAIAAAAIQBa9CxbvwAAABUB&#10;AAALAAAAAAAAAAAAAAAAAB8BAABfcmVscy8ucmVsc1BLAQItABQABgAIAAAAIQBp1q+jyAAAAN4A&#10;AAAPAAAAAAAAAAAAAAAAAAcCAABkcnMvZG93bnJldi54bWxQSwUGAAAAAAMAAwC3AAAA/AIAAAAA&#10;" filled="f" stroked="f">
                  <v:textbox inset="0,0,0,0">
                    <w:txbxContent>
                      <w:p w14:paraId="7EDFF777" w14:textId="77777777" w:rsidR="00B32EF2" w:rsidRDefault="00000000">
                        <w:r>
                          <w:rPr>
                            <w:rFonts w:ascii="Arial" w:eastAsia="Arial" w:hAnsi="Arial" w:cs="Arial"/>
                            <w:i/>
                            <w:sz w:val="18"/>
                          </w:rPr>
                          <w:t>-</w:t>
                        </w:r>
                      </w:p>
                    </w:txbxContent>
                  </v:textbox>
                </v:rect>
                <v:rect id="Rectangle 17799" o:spid="_x0000_s3468" style="position:absolute;left:-12241;top:49522;width:512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go4xAAAAN4AAAAPAAAAZHJzL2Rvd25yZXYueG1sRE9Ni8Iw&#10;EL0L/ocwgjdN9bBq1yiiyPbgZV0X9jg0Y1ttJqGJtvrrNwsL3ubxPme57kwt7tT4yrKCyTgBQZxb&#10;XXGh4PS1H81B+ICssbZMCh7kYb3q95aYatvyJ92PoRAxhH2KCsoQXCqlz0sy6MfWEUfubBuDIcKm&#10;kLrBNoabWk6T5E0arDg2lOhoW1J+Pd6Mgp8du2zfyvz83LrDJZvXH7fTt1LDQbd5BxGoCy/xvzvT&#10;cf5stljA3zvxBrn6BQAA//8DAFBLAQItABQABgAIAAAAIQDb4fbL7gAAAIUBAAATAAAAAAAAAAAA&#10;AAAAAAAAAABbQ29udGVudF9UeXBlc10ueG1sUEsBAi0AFAAGAAgAAAAhAFr0LFu/AAAAFQEAAAsA&#10;AAAAAAAAAAAAAAAAHwEAAF9yZWxzLy5yZWxzUEsBAi0AFAAGAAgAAAAhAAaaCjjEAAAA3gAAAA8A&#10;AAAAAAAAAAAAAAAABwIAAGRycy9kb3ducmV2LnhtbFBLBQYAAAAAAwADALcAAAD4AgAAAAA=&#10;" filled="f" stroked="f">
                  <v:textbox inset="0,0,0,0">
                    <w:txbxContent>
                      <w:p w14:paraId="4A5EF5D8" w14:textId="77777777" w:rsidR="00B32EF2" w:rsidRDefault="00000000">
                        <w:r>
                          <w:rPr>
                            <w:rFonts w:ascii="Arial" w:eastAsia="Arial" w:hAnsi="Arial" w:cs="Arial"/>
                            <w:i/>
                            <w:sz w:val="18"/>
                          </w:rPr>
                          <w:t xml:space="preserve">lettivo del risparmio, alle società di gestione del risparmio e alle società </w:t>
                        </w:r>
                      </w:p>
                    </w:txbxContent>
                  </v:textbox>
                </v:rect>
                <v:rect id="Rectangle 17800" o:spid="_x0000_s3469" style="position:absolute;left:-12190;top:48289;width:510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qJ0xwAAAN4AAAAPAAAAZHJzL2Rvd25yZXYueG1sRI9Bb8Iw&#10;DIXvk/YfIk/iNtLtwKpCQBMTooddxkDiaDWmLTRO1ARa9uvnw6TdbPn5vfctVqPr1I362Ho28DLN&#10;QBFX3rZcG9h/b55zUDEhW+w8k4E7RVgtHx8WWFg/8BfddqlWYsKxQANNSqHQOlYNOYxTH4jldvK9&#10;wyRrX2vb4yDmrtOvWTbTDluWhAYDrRuqLrurM3D84FBuBl2dftbh81zm3fa6PxgzeRrf56ASjelf&#10;/PddWqn/lmcCIDgyg17+AgAA//8DAFBLAQItABQABgAIAAAAIQDb4fbL7gAAAIUBAAATAAAAAAAA&#10;AAAAAAAAAAAAAABbQ29udGVudF9UeXBlc10ueG1sUEsBAi0AFAAGAAgAAAAhAFr0LFu/AAAAFQEA&#10;AAsAAAAAAAAAAAAAAAAAHwEAAF9yZWxzLy5yZWxzUEsBAi0AFAAGAAgAAAAhAIkeonTHAAAA3gAA&#10;AA8AAAAAAAAAAAAAAAAABwIAAGRycy9kb3ducmV2LnhtbFBLBQYAAAAAAwADALcAAAD7AgAAAAA=&#10;" filled="f" stroked="f">
                  <v:textbox inset="0,0,0,0">
                    <w:txbxContent>
                      <w:p w14:paraId="7D5085D5" w14:textId="77777777" w:rsidR="00B32EF2" w:rsidRDefault="00000000">
                        <w:r>
                          <w:rPr>
                            <w:rFonts w:ascii="Arial" w:eastAsia="Arial" w:hAnsi="Arial" w:cs="Arial"/>
                            <w:i/>
                            <w:sz w:val="18"/>
                          </w:rPr>
                          <w:t xml:space="preserve">fiduciarie, dati, notizie e documenti relativi a qualsiasi rapporto intrattenuto </w:t>
                        </w:r>
                      </w:p>
                    </w:txbxContent>
                  </v:textbox>
                </v:rect>
                <v:rect id="Rectangle 17801" o:spid="_x0000_s3470" style="position:absolute;left:-12239;top:47056;width:511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gfvxAAAAN4AAAAPAAAAZHJzL2Rvd25yZXYueG1sRE9Na8JA&#10;EL0L/odlhN50o4c2pK4iiphDL7URehyyYxLNzi7Z1aT+erdQ6G0e73OW68G04k6dbywrmM8SEMSl&#10;1Q1XCoqv/TQF4QOyxtYyKfghD+vVeLTETNueP+l+DJWIIewzVFCH4DIpfVmTQT+zjjhyZ9sZDBF2&#10;ldQd9jHctHKRJK/SYMOxoUZH25rK6/FmFHzv2OX7Xpbnx9Z9XPK0PdyKk1Ivk2HzDiLQEP7Ff+5c&#10;x/lvaTKH33fiDXL1BAAA//8DAFBLAQItABQABgAIAAAAIQDb4fbL7gAAAIUBAAATAAAAAAAAAAAA&#10;AAAAAAAAAABbQ29udGVudF9UeXBlc10ueG1sUEsBAi0AFAAGAAgAAAAhAFr0LFu/AAAAFQEAAAsA&#10;AAAAAAAAAAAAAAAAHwEAAF9yZWxzLy5yZWxzUEsBAi0AFAAGAAgAAAAhAOZSB+/EAAAA3gAAAA8A&#10;AAAAAAAAAAAAAAAABwIAAGRycy9kb3ducmV2LnhtbFBLBQYAAAAAAwADALcAAAD4AgAAAAA=&#10;" filled="f" stroked="f">
                  <v:textbox inset="0,0,0,0">
                    <w:txbxContent>
                      <w:p w14:paraId="3384171F" w14:textId="77777777" w:rsidR="00B32EF2" w:rsidRDefault="00000000">
                        <w:r>
                          <w:rPr>
                            <w:rFonts w:ascii="Arial" w:eastAsia="Arial" w:hAnsi="Arial" w:cs="Arial"/>
                            <w:i/>
                            <w:sz w:val="18"/>
                          </w:rPr>
                          <w:t xml:space="preserve">od operazione effettuata, ivi compresi i servizi prestati, con i loro clienti, </w:t>
                        </w:r>
                      </w:p>
                    </w:txbxContent>
                  </v:textbox>
                </v:rect>
                <v:rect id="Rectangle 17802" o:spid="_x0000_s3471" style="position:absolute;left:-11228;top:45823;width:5004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JmYxQAAAN4AAAAPAAAAZHJzL2Rvd25yZXYueG1sRE9La8JA&#10;EL4L/Q/LFHrTTT20IbqRoog59FIf4HHITh6anV2yq0n767uFgrf5+J6zXI2mE3fqfWtZwessAUFc&#10;Wt1yreB42E5TED4ga+wsk4Jv8rDKnyZLzLQd+Ivu+1CLGMI+QwVNCC6T0pcNGfQz64gjV9neYIiw&#10;r6XucYjhppPzJHmTBluODQ06WjdUXvc3o+C8YVdsB1lWP2v3eSnSbnc7npR6eR4/FiACjeEh/ncX&#10;Os5/T5M5/L0Tb5D5LwAAAP//AwBQSwECLQAUAAYACAAAACEA2+H2y+4AAACFAQAAEwAAAAAAAAAA&#10;AAAAAAAAAAAAW0NvbnRlbnRfVHlwZXNdLnhtbFBLAQItABQABgAIAAAAIQBa9CxbvwAAABUBAAAL&#10;AAAAAAAAAAAAAAAAAB8BAABfcmVscy8ucmVsc1BLAQItABQABgAIAAAAIQAWgJmYxQAAAN4AAAAP&#10;AAAAAAAAAAAAAAAAAAcCAABkcnMvZG93bnJldi54bWxQSwUGAAAAAAMAAwC3AAAA+QIAAAAA&#10;" filled="f" stroked="f">
                  <v:textbox inset="0,0,0,0">
                    <w:txbxContent>
                      <w:p w14:paraId="2A950202" w14:textId="77777777" w:rsidR="00B32EF2" w:rsidRDefault="00000000">
                        <w:r>
                          <w:rPr>
                            <w:rFonts w:ascii="Arial" w:eastAsia="Arial" w:hAnsi="Arial" w:cs="Arial"/>
                            <w:i/>
                            <w:sz w:val="18"/>
                          </w:rPr>
                          <w:t>nonchè alle garanzie prestate da terzi o dagli operatori finanziari sopra in</w:t>
                        </w:r>
                      </w:p>
                    </w:txbxContent>
                  </v:textbox>
                </v:rect>
                <v:rect id="Rectangle 17803" o:spid="_x0000_s3472" style="position:absolute;left:657;top:45823;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DwDxAAAAN4AAAAPAAAAZHJzL2Rvd25yZXYueG1sRE9Na8JA&#10;EL0X/A/LCN7qphVsSF2lWMQcvGgt9DhkxySanV2yq4n+elcoeJvH+5zZojeNuFDra8sK3sYJCOLC&#10;6ppLBfuf1WsKwgdkjY1lUnAlD4v54GWGmbYdb+myC6WIIewzVFCF4DIpfVGRQT+2jjhyB9saDBG2&#10;pdQtdjHcNPI9SabSYM2xoUJHy4qK0+5sFPx9s8tXnSwOt6XbHPO0WZ/3v0qNhv3XJ4hAfXiK/925&#10;jvM/0mQCj3fiDXJ+BwAA//8DAFBLAQItABQABgAIAAAAIQDb4fbL7gAAAIUBAAATAAAAAAAAAAAA&#10;AAAAAAAAAABbQ29udGVudF9UeXBlc10ueG1sUEsBAi0AFAAGAAgAAAAhAFr0LFu/AAAAFQEAAAsA&#10;AAAAAAAAAAAAAAAAHwEAAF9yZWxzLy5yZWxzUEsBAi0AFAAGAAgAAAAhAHnMPAPEAAAA3gAAAA8A&#10;AAAAAAAAAAAAAAAABwIAAGRycy9kb3ducmV2LnhtbFBLBQYAAAAAAwADALcAAAD4AgAAAAA=&#10;" filled="f" stroked="f">
                  <v:textbox inset="0,0,0,0">
                    <w:txbxContent>
                      <w:p w14:paraId="4CBEE921" w14:textId="77777777" w:rsidR="00B32EF2" w:rsidRDefault="00000000">
                        <w:r>
                          <w:rPr>
                            <w:rFonts w:ascii="Arial" w:eastAsia="Arial" w:hAnsi="Arial" w:cs="Arial"/>
                            <w:i/>
                            <w:sz w:val="18"/>
                          </w:rPr>
                          <w:t>-</w:t>
                        </w:r>
                      </w:p>
                    </w:txbxContent>
                  </v:textbox>
                </v:rect>
                <v:rect id="Rectangle 17804" o:spid="_x0000_s3473" style="position:absolute;left:-12190;top:44589;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aR3xAAAAN4AAAAPAAAAZHJzL2Rvd25yZXYueG1sRE9Na8JA&#10;EL0X/A/LCN7qpkVsSF2lWMQcvGgt9DhkxySanV2yq4n+elcoeJvH+5zZojeNuFDra8sK3sYJCOLC&#10;6ppLBfuf1WsKwgdkjY1lUnAlD4v54GWGmbYdb+myC6WIIewzVFCF4DIpfVGRQT+2jjhyB9saDBG2&#10;pdQtdjHcNPI9SabSYM2xoUJHy4qK0+5sFPx9s8tXnSwOt6XbHPO0WZ/3v0qNhv3XJ4hAfXiK/925&#10;jvM/0mQCj3fiDXJ+BwAA//8DAFBLAQItABQABgAIAAAAIQDb4fbL7gAAAIUBAAATAAAAAAAAAAAA&#10;AAAAAAAAAABbQ29udGVudF9UeXBlc10ueG1sUEsBAi0AFAAGAAgAAAAhAFr0LFu/AAAAFQEAAAsA&#10;AAAAAAAAAAAAAAAAHwEAAF9yZWxzLy5yZWxzUEsBAi0AFAAGAAgAAAAhAPYlpHfEAAAA3gAAAA8A&#10;AAAAAAAAAAAAAAAABwIAAGRycy9kb3ducmV2LnhtbFBLBQYAAAAAAwADALcAAAD4AgAAAAA=&#10;" filled="f" stroked="f">
                  <v:textbox inset="0,0,0,0">
                    <w:txbxContent>
                      <w:p w14:paraId="226CA722" w14:textId="77777777" w:rsidR="00B32EF2" w:rsidRDefault="00000000">
                        <w:r>
                          <w:rPr>
                            <w:rFonts w:ascii="Arial" w:eastAsia="Arial" w:hAnsi="Arial" w:cs="Arial"/>
                            <w:i/>
                            <w:sz w:val="18"/>
                          </w:rPr>
                          <w:t xml:space="preserve">dicati e le generalità dei soggetti per i quali gli stessi operatori finanziari </w:t>
                        </w:r>
                      </w:p>
                    </w:txbxContent>
                  </v:textbox>
                </v:rect>
                <v:rect id="Rectangle 17805" o:spid="_x0000_s3474" style="position:absolute;left:-12243;top:43356;width:512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QHsxAAAAN4AAAAPAAAAZHJzL2Rvd25yZXYueG1sRE9Na8JA&#10;EL0X/A/LCN7qpgVtSF2lWMQcvGgt9DhkxySanV2yq4n+elcoeJvH+5zZojeNuFDra8sK3sYJCOLC&#10;6ppLBfuf1WsKwgdkjY1lUnAlD4v54GWGmbYdb+myC6WIIewzVFCF4DIpfVGRQT+2jjhyB9saDBG2&#10;pdQtdjHcNPI9SabSYM2xoUJHy4qK0+5sFPx9s8tXnSwOt6XbHPO0WZ/3v0qNhv3XJ4hAfXiK/925&#10;jvM/0mQCj3fiDXJ+BwAA//8DAFBLAQItABQABgAIAAAAIQDb4fbL7gAAAIUBAAATAAAAAAAAAAAA&#10;AAAAAAAAAABbQ29udGVudF9UeXBlc10ueG1sUEsBAi0AFAAGAAgAAAAhAFr0LFu/AAAAFQEAAAsA&#10;AAAAAAAAAAAAAAAAHwEAAF9yZWxzLy5yZWxzUEsBAi0AFAAGAAgAAAAhAJlpAezEAAAA3gAAAA8A&#10;AAAAAAAAAAAAAAAABwIAAGRycy9kb3ducmV2LnhtbFBLBQYAAAAAAwADALcAAAD4AgAAAAA=&#10;" filled="f" stroked="f">
                  <v:textbox inset="0,0,0,0">
                    <w:txbxContent>
                      <w:p w14:paraId="70D78137" w14:textId="77777777" w:rsidR="00B32EF2" w:rsidRDefault="00000000">
                        <w:r>
                          <w:rPr>
                            <w:rFonts w:ascii="Arial" w:eastAsia="Arial" w:hAnsi="Arial" w:cs="Arial"/>
                            <w:i/>
                            <w:sz w:val="18"/>
                          </w:rPr>
                          <w:t xml:space="preserve">abbiano effettuato le suddette operazioni e servizi o con i quali abbiano </w:t>
                        </w:r>
                      </w:p>
                    </w:txbxContent>
                  </v:textbox>
                </v:rect>
                <v:rect id="Rectangle 17806" o:spid="_x0000_s3475" style="position:absolute;left:-12190;top:42123;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5+bxAAAAN4AAAAPAAAAZHJzL2Rvd25yZXYueG1sRE9La8JA&#10;EL4X/A/LCN7qph40pG6kKGIOvWgVehyyk0ebnV2yq0n767uC0Nt8fM9Zb0bTiRv1vrWs4GWegCAu&#10;rW65VnD+2D+nIHxA1thZJgU/5GGTT57WmGk78JFup1CLGMI+QwVNCC6T0pcNGfRz64gjV9neYIiw&#10;r6XucYjhppOLJFlKgy3HhgYdbRsqv09Xo+Bzx67YD7Ksfrfu/atIu8P1fFFqNh3fXkEEGsO/+OEu&#10;dJy/SpMl3N+JN8j8DwAA//8DAFBLAQItABQABgAIAAAAIQDb4fbL7gAAAIUBAAATAAAAAAAAAAAA&#10;AAAAAAAAAABbQ29udGVudF9UeXBlc10ueG1sUEsBAi0AFAAGAAgAAAAhAFr0LFu/AAAAFQEAAAsA&#10;AAAAAAAAAAAAAAAAHwEAAF9yZWxzLy5yZWxzUEsBAi0AFAAGAAgAAAAhAGm7n5vEAAAA3gAAAA8A&#10;AAAAAAAAAAAAAAAABwIAAGRycy9kb3ducmV2LnhtbFBLBQYAAAAAAwADALcAAAD4AgAAAAA=&#10;" filled="f" stroked="f">
                  <v:textbox inset="0,0,0,0">
                    <w:txbxContent>
                      <w:p w14:paraId="0709DE85" w14:textId="77777777" w:rsidR="00B32EF2" w:rsidRDefault="00000000">
                        <w:r>
                          <w:rPr>
                            <w:rFonts w:ascii="Arial" w:eastAsia="Arial" w:hAnsi="Arial" w:cs="Arial"/>
                            <w:i/>
                            <w:sz w:val="18"/>
                          </w:rPr>
                          <w:t xml:space="preserve">intrattenuto rapporti di natura finanziaria. Alle società fiduciarie di cui alla </w:t>
                        </w:r>
                      </w:p>
                    </w:txbxContent>
                  </v:textbox>
                </v:rect>
                <v:rect id="Rectangle 17807" o:spid="_x0000_s3476" style="position:absolute;left:-11221;top:40889;width:500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zoAxAAAAN4AAAAPAAAAZHJzL2Rvd25yZXYueG1sRE9Li8Iw&#10;EL4v+B/CCHtb0/WgpWuURRF78OIL9jg0Y9vdZhKaaLv+eiMI3ubje85s0ZtGXKn1tWUFn6MEBHFh&#10;dc2lguNh/ZGC8AFZY2OZFPyTh8V88DbDTNuOd3Tdh1LEEPYZKqhCcJmUvqjIoB9ZRxy5s20Nhgjb&#10;UuoWuxhuGjlOkok0WHNsqNDRsqLib38xCn5W7PJ1J4vzbem2v3nabC7Hk1Lvw/77C0SgPrzET3eu&#10;4/xpmkzh8U68Qc7vAAAA//8DAFBLAQItABQABgAIAAAAIQDb4fbL7gAAAIUBAAATAAAAAAAAAAAA&#10;AAAAAAAAAABbQ29udGVudF9UeXBlc10ueG1sUEsBAi0AFAAGAAgAAAAhAFr0LFu/AAAAFQEAAAsA&#10;AAAAAAAAAAAAAAAAHwEAAF9yZWxzLy5yZWxzUEsBAi0AFAAGAAgAAAAhAAb3OgDEAAAA3gAAAA8A&#10;AAAAAAAAAAAAAAAABwIAAGRycy9kb3ducmV2LnhtbFBLBQYAAAAAAwADALcAAAD4AgAAAAA=&#10;" filled="f" stroked="f">
                  <v:textbox inset="0,0,0,0">
                    <w:txbxContent>
                      <w:p w14:paraId="412C15ED" w14:textId="77777777" w:rsidR="00B32EF2" w:rsidRDefault="00000000">
                        <w:r>
                          <w:rPr>
                            <w:rFonts w:ascii="Arial" w:eastAsia="Arial" w:hAnsi="Arial" w:cs="Arial"/>
                            <w:i/>
                            <w:sz w:val="18"/>
                          </w:rPr>
                          <w:t>legge 23 novembre 1939, n. 1966, e a quelle iscritte nella sezione specia</w:t>
                        </w:r>
                      </w:p>
                    </w:txbxContent>
                  </v:textbox>
                </v:rect>
                <v:rect id="Rectangle 17808" o:spid="_x0000_s3477" style="position:absolute;left:657;top:4088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K5yxwAAAN4AAAAPAAAAZHJzL2Rvd25yZXYueG1sRI9Bb8Iw&#10;DIXvk/YfIk/iNtLtwKpCQBMTooddxkDiaDWmLTRO1ARa9uvnw6TdbL3n9z4vVqPr1I362Ho28DLN&#10;QBFX3rZcG9h/b55zUDEhW+w8k4E7RVgtHx8WWFg/8BfddqlWEsKxQANNSqHQOlYNOYxTH4hFO/ne&#10;YZK1r7XtcZBw1+nXLJtphy1LQ4OB1g1Vl93VGTh+cCg3g65OP+vweS7zbnvdH4yZPI3vc1CJxvRv&#10;/rsureC/5Znwyjsyg17+AgAA//8DAFBLAQItABQABgAIAAAAIQDb4fbL7gAAAIUBAAATAAAAAAAA&#10;AAAAAAAAAAAAAABbQ29udGVudF9UeXBlc10ueG1sUEsBAi0AFAAGAAgAAAAhAFr0LFu/AAAAFQEA&#10;AAsAAAAAAAAAAAAAAAAAHwEAAF9yZWxzLy5yZWxzUEsBAi0AFAAGAAgAAAAhAHdornLHAAAA3gAA&#10;AA8AAAAAAAAAAAAAAAAABwIAAGRycy9kb3ducmV2LnhtbFBLBQYAAAAAAwADALcAAAD7AgAAAAA=&#10;" filled="f" stroked="f">
                  <v:textbox inset="0,0,0,0">
                    <w:txbxContent>
                      <w:p w14:paraId="09890790" w14:textId="77777777" w:rsidR="00B32EF2" w:rsidRDefault="00000000">
                        <w:r>
                          <w:rPr>
                            <w:rFonts w:ascii="Arial" w:eastAsia="Arial" w:hAnsi="Arial" w:cs="Arial"/>
                            <w:i/>
                            <w:sz w:val="18"/>
                          </w:rPr>
                          <w:t>-</w:t>
                        </w:r>
                      </w:p>
                    </w:txbxContent>
                  </v:textbox>
                </v:rect>
                <v:rect id="Rectangle 17809" o:spid="_x0000_s3478" style="position:absolute;left:-11215;top:39656;width:500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AvpxQAAAN4AAAAPAAAAZHJzL2Rvd25yZXYueG1sRE9La8JA&#10;EL4X/A/LCN7qpj1omrpKsYg5ePFR6HHIjkk0O7tkVxP99a5Q6G0+vufMFr1pxJVaX1tW8DZOQBAX&#10;VtdcKjjsV68pCB+QNTaWScGNPCzmg5cZZtp2vKXrLpQihrDPUEEVgsuk9EVFBv3YOuLIHW1rMETY&#10;llK32MVw08j3JJlIgzXHhgodLSsqzruLUfD7zS5fdbI43pduc8rTZn05/Cg1GvZfnyAC9eFf/OfO&#10;dZw/TZMPeL4Tb5DzBwAAAP//AwBQSwECLQAUAAYACAAAACEA2+H2y+4AAACFAQAAEwAAAAAAAAAA&#10;AAAAAAAAAAAAW0NvbnRlbnRfVHlwZXNdLnhtbFBLAQItABQABgAIAAAAIQBa9CxbvwAAABUBAAAL&#10;AAAAAAAAAAAAAAAAAB8BAABfcmVscy8ucmVsc1BLAQItABQABgAIAAAAIQAYJAvpxQAAAN4AAAAP&#10;AAAAAAAAAAAAAAAAAAcCAABkcnMvZG93bnJldi54bWxQSwUGAAAAAAMAAwC3AAAA+QIAAAAA&#10;" filled="f" stroked="f">
                  <v:textbox inset="0,0,0,0">
                    <w:txbxContent>
                      <w:p w14:paraId="6FD2DF8F" w14:textId="77777777" w:rsidR="00B32EF2" w:rsidRDefault="00000000">
                        <w:r>
                          <w:rPr>
                            <w:rFonts w:ascii="Arial" w:eastAsia="Arial" w:hAnsi="Arial" w:cs="Arial"/>
                            <w:i/>
                            <w:sz w:val="18"/>
                          </w:rPr>
                          <w:t>le dell’albo di cui all’articolo 20 del testo unico delle disposizioni in mate</w:t>
                        </w:r>
                      </w:p>
                    </w:txbxContent>
                  </v:textbox>
                </v:rect>
                <v:rect id="Rectangle 17810" o:spid="_x0000_s3479" style="position:absolute;left:657;top:3965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zSpxwAAAN4AAAAPAAAAZHJzL2Rvd25yZXYueG1sRI9Bb8Iw&#10;DIXvSPyHyEi7QQqHreoIaAKh9bALjEk7Wo1puzVO1ATa7dfjw6TdbPn5vfett6Pr1I362Ho2sFxk&#10;oIgrb1uuDZzfD/McVEzIFjvPZOCHImw308kaC+sHPtLtlGolJhwLNNCkFAqtY9WQw7jwgVhuF987&#10;TLL2tbY9DmLuOr3KskftsGVJaDDQrqHq+3R1Bj73HMrDoKvL7y68fZV593o9fxjzMBtfnkElGtO/&#10;+O+7tFL/KV8KgODIDHpzBwAA//8DAFBLAQItABQABgAIAAAAIQDb4fbL7gAAAIUBAAATAAAAAAAA&#10;AAAAAAAAAAAAAABbQ29udGVudF9UeXBlc10ueG1sUEsBAi0AFAAGAAgAAAAhAFr0LFu/AAAAFQEA&#10;AAsAAAAAAAAAAAAAAAAAHwEAAF9yZWxzLy5yZWxzUEsBAi0AFAAGAAgAAAAhAAzHNKnHAAAA3gAA&#10;AA8AAAAAAAAAAAAAAAAABwIAAGRycy9kb3ducmV2LnhtbFBLBQYAAAAAAwADALcAAAD7AgAAAAA=&#10;" filled="f" stroked="f">
                  <v:textbox inset="0,0,0,0">
                    <w:txbxContent>
                      <w:p w14:paraId="6A514E0F" w14:textId="77777777" w:rsidR="00B32EF2" w:rsidRDefault="00000000">
                        <w:r>
                          <w:rPr>
                            <w:rFonts w:ascii="Arial" w:eastAsia="Arial" w:hAnsi="Arial" w:cs="Arial"/>
                            <w:i/>
                            <w:sz w:val="18"/>
                          </w:rPr>
                          <w:t>-</w:t>
                        </w:r>
                      </w:p>
                    </w:txbxContent>
                  </v:textbox>
                </v:rect>
                <v:rect id="Rectangle 17811" o:spid="_x0000_s3480" style="position:absolute;left:-12190;top:38423;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5EyxAAAAN4AAAAPAAAAZHJzL2Rvd25yZXYueG1sRE9Na8JA&#10;EL0X/A/LCN7qJj1oSF1FFGkOXrQKPQ7ZMUmbnV2yq4n99V1B6G0e73MWq8G04kadbywrSKcJCOLS&#10;6oYrBafP3WsGwgdkja1lUnAnD6vl6GWBubY9H+h2DJWIIexzVFCH4HIpfVmTQT+1jjhyF9sZDBF2&#10;ldQd9jHctPItSWbSYMOxoUZHm5rKn+PVKPjasit2vSwvvxu3/y6y9uN6Ois1GQ/rdxCBhvAvfroL&#10;HefPszSFxzvxBrn8AwAA//8DAFBLAQItABQABgAIAAAAIQDb4fbL7gAAAIUBAAATAAAAAAAAAAAA&#10;AAAAAAAAAABbQ29udGVudF9UeXBlc10ueG1sUEsBAi0AFAAGAAgAAAAhAFr0LFu/AAAAFQEAAAsA&#10;AAAAAAAAAAAAAAAAHwEAAF9yZWxzLy5yZWxzUEsBAi0AFAAGAAgAAAAhAGOLkTLEAAAA3gAAAA8A&#10;AAAAAAAAAAAAAAAABwIAAGRycy9kb3ducmV2LnhtbFBLBQYAAAAAAwADALcAAAD4AgAAAAA=&#10;" filled="f" stroked="f">
                  <v:textbox inset="0,0,0,0">
                    <w:txbxContent>
                      <w:p w14:paraId="64A422C7" w14:textId="77777777" w:rsidR="00B32EF2" w:rsidRDefault="00000000">
                        <w:r>
                          <w:rPr>
                            <w:rFonts w:ascii="Arial" w:eastAsia="Arial" w:hAnsi="Arial" w:cs="Arial"/>
                            <w:i/>
                            <w:sz w:val="18"/>
                          </w:rPr>
                          <w:t xml:space="preserve">ria di intermediazione finanziaria, di cui al decreto legislativo 24 febbraio </w:t>
                        </w:r>
                      </w:p>
                    </w:txbxContent>
                  </v:textbox>
                </v:rect>
                <v:rect id="Rectangle 200863" o:spid="_x0000_s3481" style="position:absolute;left:23608;top:37190;width:510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eOTxgAAAN8AAAAPAAAAZHJzL2Rvd25yZXYueG1sRI9Pi8Iw&#10;FMTvC36H8IS9rekqSOkaZVHEHrz4D/b4aJ5td5uX0ETb9dMbQfA4zMxvmNmiN424Uutrywo+RwkI&#10;4sLqmksFx8P6IwXhA7LGxjIp+CcPi/ngbYaZth3v6LoPpYgQ9hkqqEJwmZS+qMigH1lHHL2zbQ2G&#10;KNtS6ha7CDeNHCfJVBqsOS5U6GhZUfG3vxgFPyt2+bqTxfm2dNvfPG02l+NJqfdh//0FIlAfXuFn&#10;O9cKIjGdTuDxJ34BOb8DAAD//wMAUEsBAi0AFAAGAAgAAAAhANvh9svuAAAAhQEAABMAAAAAAAAA&#10;AAAAAAAAAAAAAFtDb250ZW50X1R5cGVzXS54bWxQSwECLQAUAAYACAAAACEAWvQsW78AAAAVAQAA&#10;CwAAAAAAAAAAAAAAAAAfAQAAX3JlbHMvLnJlbHNQSwECLQAUAAYACAAAACEARH3jk8YAAADfAAAA&#10;DwAAAAAAAAAAAAAAAAAHAgAAZHJzL2Rvd25yZXYueG1sUEsFBgAAAAADAAMAtwAAAPoCAAAAAA==&#10;" filled="f" stroked="f">
                  <v:textbox inset="0,0,0,0">
                    <w:txbxContent>
                      <w:p w14:paraId="63D8C10F" w14:textId="77777777" w:rsidR="00B32EF2" w:rsidRDefault="00000000">
                        <w:r>
                          <w:rPr>
                            <w:rFonts w:ascii="Arial" w:eastAsia="Arial" w:hAnsi="Arial" w:cs="Arial"/>
                            <w:i/>
                            <w:sz w:val="18"/>
                          </w:rPr>
                          <w:t>1998</w:t>
                        </w:r>
                      </w:p>
                    </w:txbxContent>
                  </v:textbox>
                </v:rect>
                <v:rect id="Rectangle 200864" o:spid="_x0000_s3482" style="position:absolute;left:-14773;top:37190;width:5100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vnxgAAAN8AAAAPAAAAZHJzL2Rvd25yZXYueG1sRI9Pi8Iw&#10;FMTvC36H8IS9remKSOkaZVHEHrz4D/b4aJ5td5uX0ETb9dMbQfA4zMxvmNmiN424Uutrywo+RwkI&#10;4sLqmksFx8P6IwXhA7LGxjIp+CcPi/ngbYaZth3v6LoPpYgQ9hkqqEJwmZS+qMigH1lHHL2zbQ2G&#10;KNtS6ha7CDeNHCfJVBqsOS5U6GhZUfG3vxgFPyt2+bqTxfm2dNvfPG02l+NJqfdh//0FIlAfXuFn&#10;O9cKIjGdTuDxJ34BOb8DAAD//wMAUEsBAi0AFAAGAAgAAAAhANvh9svuAAAAhQEAABMAAAAAAAAA&#10;AAAAAAAAAAAAAFtDb250ZW50X1R5cGVzXS54bWxQSwECLQAUAAYACAAAACEAWvQsW78AAAAVAQAA&#10;CwAAAAAAAAAAAAAAAAAfAQAAX3JlbHMvLnJlbHNQSwECLQAUAAYACAAAACEAy5R758YAAADfAAAA&#10;DwAAAAAAAAAAAAAAAAAHAgAAZHJzL2Rvd25yZXYueG1sUEsFBgAAAAADAAMAtwAAAPoCAAAAAA==&#10;" filled="f" stroked="f">
                  <v:textbox inset="0,0,0,0">
                    <w:txbxContent>
                      <w:p w14:paraId="19E21071" w14:textId="77777777" w:rsidR="00B32EF2" w:rsidRDefault="00000000">
                        <w:r>
                          <w:rPr>
                            <w:rFonts w:ascii="Arial" w:eastAsia="Arial" w:hAnsi="Arial" w:cs="Arial"/>
                            <w:i/>
                            <w:sz w:val="18"/>
                          </w:rPr>
                          <w:t xml:space="preserve">, n. 58, può essere richiesto, tra l’altro, specificando i periodi temporali </w:t>
                        </w:r>
                      </w:p>
                    </w:txbxContent>
                  </v:textbox>
                </v:rect>
                <v:rect id="Rectangle 17813" o:spid="_x0000_s3483" style="position:absolute;left:-12232;top:35956;width:511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arexAAAAN4AAAAPAAAAZHJzL2Rvd25yZXYueG1sRE9Na8JA&#10;EL0X/A/LCN7qRgttiK4iijQHL7UKHofsmESzs0t2NdFf3y0UepvH+5z5sjeNuFPra8sKJuMEBHFh&#10;dc2lgsP39jUF4QOyxsYyKXiQh+Vi8DLHTNuOv+i+D6WIIewzVFCF4DIpfVGRQT+2jjhyZ9saDBG2&#10;pdQtdjHcNHKaJO/SYM2xoUJH64qK6/5mFJw27PJtJ4vzc+12lzxtPm+Ho1KjYb+agQjUh3/xnzvX&#10;cf5HOnmD33fiDXLxAwAA//8DAFBLAQItABQABgAIAAAAIQDb4fbL7gAAAIUBAAATAAAAAAAAAAAA&#10;AAAAAAAAAABbQ29udGVudF9UeXBlc10ueG1sUEsBAi0AFAAGAAgAAAAhAFr0LFu/AAAAFQEAAAsA&#10;AAAAAAAAAAAAAAAAHwEAAF9yZWxzLy5yZWxzUEsBAi0AFAAGAAgAAAAhAPwVqt7EAAAA3gAAAA8A&#10;AAAAAAAAAAAAAAAABwIAAGRycy9kb3ducmV2LnhtbFBLBQYAAAAAAwADALcAAAD4AgAAAAA=&#10;" filled="f" stroked="f">
                  <v:textbox inset="0,0,0,0">
                    <w:txbxContent>
                      <w:p w14:paraId="06CEADB9" w14:textId="77777777" w:rsidR="00B32EF2" w:rsidRDefault="00000000">
                        <w:r>
                          <w:rPr>
                            <w:rFonts w:ascii="Arial" w:eastAsia="Arial" w:hAnsi="Arial" w:cs="Arial"/>
                            <w:i/>
                            <w:sz w:val="18"/>
                          </w:rPr>
                          <w:t xml:space="preserve">di interesse, di comunicare le generalità dei soggetti per conto dei quali </w:t>
                        </w:r>
                      </w:p>
                    </w:txbxContent>
                  </v:textbox>
                </v:rect>
                <v:rect id="Rectangle 17814" o:spid="_x0000_s3484" style="position:absolute;left:-12189;top:34723;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KqxAAAAN4AAAAPAAAAZHJzL2Rvd25yZXYueG1sRE9Na8JA&#10;EL0X/A/LCN7qRiltiK4iijQHL7UKHofsmESzs0t2NdFf3y0UepvH+5z5sjeNuFPra8sKJuMEBHFh&#10;dc2lgsP39jUF4QOyxsYyKXiQh+Vi8DLHTNuOv+i+D6WIIewzVFCF4DIpfVGRQT+2jjhyZ9saDBG2&#10;pdQtdjHcNHKaJO/SYM2xoUJH64qK6/5mFJw27PJtJ4vzc+12lzxtPm+Ho1KjYb+agQjUh3/xnzvX&#10;cf5HOnmD33fiDXLxAwAA//8DAFBLAQItABQABgAIAAAAIQDb4fbL7gAAAIUBAAATAAAAAAAAAAAA&#10;AAAAAAAAAABbQ29udGVudF9UeXBlc10ueG1sUEsBAi0AFAAGAAgAAAAhAFr0LFu/AAAAFQEAAAsA&#10;AAAAAAAAAAAAAAAAHwEAAF9yZWxzLy5yZWxzUEsBAi0AFAAGAAgAAAAhAHP8MqrEAAAA3gAAAA8A&#10;AAAAAAAAAAAAAAAABwIAAGRycy9kb3ducmV2LnhtbFBLBQYAAAAAAwADALcAAAD4AgAAAAA=&#10;" filled="f" stroked="f">
                  <v:textbox inset="0,0,0,0">
                    <w:txbxContent>
                      <w:p w14:paraId="797E4083" w14:textId="77777777" w:rsidR="00B32EF2" w:rsidRDefault="00000000">
                        <w:r>
                          <w:rPr>
                            <w:rFonts w:ascii="Arial" w:eastAsia="Arial" w:hAnsi="Arial" w:cs="Arial"/>
                            <w:i/>
                            <w:sz w:val="18"/>
                          </w:rPr>
                          <w:t xml:space="preserve">esse hanno detenuto o amministrato o gestito beni, strumenti finanziari e </w:t>
                        </w:r>
                      </w:p>
                    </w:txbxContent>
                  </v:textbox>
                </v:rect>
                <v:rect id="Rectangle 17815" o:spid="_x0000_s3485" style="position:absolute;left:-12239;top:33490;width:511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JcxxAAAAN4AAAAPAAAAZHJzL2Rvd25yZXYueG1sRE9Na8JA&#10;EL0X/A/LCN7qRqFtiK4iijQHL7UKHofsmESzs0t2NdFf3y0UepvH+5z5sjeNuFPra8sKJuMEBHFh&#10;dc2lgsP39jUF4QOyxsYyKXiQh+Vi8DLHTNuOv+i+D6WIIewzVFCF4DIpfVGRQT+2jjhyZ9saDBG2&#10;pdQtdjHcNHKaJO/SYM2xoUJH64qK6/5mFJw27PJtJ4vzc+12lzxtPm+Ho1KjYb+agQjUh3/xnzvX&#10;cf5HOnmD33fiDXLxAwAA//8DAFBLAQItABQABgAIAAAAIQDb4fbL7gAAAIUBAAATAAAAAAAAAAAA&#10;AAAAAAAAAABbQ29udGVudF9UeXBlc10ueG1sUEsBAi0AFAAGAAgAAAAhAFr0LFu/AAAAFQEAAAsA&#10;AAAAAAAAAAAAAAAAHwEAAF9yZWxzLy5yZWxzUEsBAi0AFAAGAAgAAAAhABywlzHEAAAA3gAAAA8A&#10;AAAAAAAAAAAAAAAABwIAAGRycy9kb3ducmV2LnhtbFBLBQYAAAAAAwADALcAAAD4AgAAAAA=&#10;" filled="f" stroked="f">
                  <v:textbox inset="0,0,0,0">
                    <w:txbxContent>
                      <w:p w14:paraId="249CF954" w14:textId="77777777" w:rsidR="00B32EF2" w:rsidRDefault="00000000">
                        <w:r>
                          <w:rPr>
                            <w:rFonts w:ascii="Arial" w:eastAsia="Arial" w:hAnsi="Arial" w:cs="Arial"/>
                            <w:i/>
                            <w:sz w:val="18"/>
                          </w:rPr>
                          <w:t xml:space="preserve">partecipazioni in imprese, inequivocamente individuati. La richiesta deve </w:t>
                        </w:r>
                      </w:p>
                    </w:txbxContent>
                  </v:textbox>
                </v:rect>
                <v:rect id="Rectangle 17816" o:spid="_x0000_s3486" style="position:absolute;left:-11210;top:32256;width:50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glGxAAAAN4AAAAPAAAAZHJzL2Rvd25yZXYueG1sRE9Ni8Iw&#10;EL0v+B/CCN7WVA9uqUYRRezBy7oKHodmbKvNJDTR1v31m4WFvc3jfc5i1ZtGPKn1tWUFk3ECgriw&#10;uuZSwelr956C8AFZY2OZFLzIw2o5eFtgpm3Hn/Q8hlLEEPYZKqhCcJmUvqjIoB9bRxy5q20Nhgjb&#10;UuoWuxhuGjlNkpk0WHNsqNDRpqLifnwYBZctu3zXyeL6vXGHW542+8fprNRo2K/nIAL14V/85851&#10;nP+RTmbw+068QS5/AAAA//8DAFBLAQItABQABgAIAAAAIQDb4fbL7gAAAIUBAAATAAAAAAAAAAAA&#10;AAAAAAAAAABbQ29udGVudF9UeXBlc10ueG1sUEsBAi0AFAAGAAgAAAAhAFr0LFu/AAAAFQEAAAsA&#10;AAAAAAAAAAAAAAAAHwEAAF9yZWxzLy5yZWxzUEsBAi0AFAAGAAgAAAAhAOxiCUbEAAAA3gAAAA8A&#10;AAAAAAAAAAAAAAAABwIAAGRycy9kb3ducmV2LnhtbFBLBQYAAAAAAwADALcAAAD4AgAAAAA=&#10;" filled="f" stroked="f">
                  <v:textbox inset="0,0,0,0">
                    <w:txbxContent>
                      <w:p w14:paraId="221E3BFA" w14:textId="77777777" w:rsidR="00B32EF2" w:rsidRDefault="00000000">
                        <w:r>
                          <w:rPr>
                            <w:rFonts w:ascii="Arial" w:eastAsia="Arial" w:hAnsi="Arial" w:cs="Arial"/>
                            <w:i/>
                            <w:sz w:val="18"/>
                          </w:rPr>
                          <w:t>essere indirizzata al responsabile della struttura accentrata, ovvero al re</w:t>
                        </w:r>
                      </w:p>
                    </w:txbxContent>
                  </v:textbox>
                </v:rect>
                <v:rect id="Rectangle 17817" o:spid="_x0000_s3487" style="position:absolute;left:657;top:3225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qzdxAAAAN4AAAAPAAAAZHJzL2Rvd25yZXYueG1sRE9Li8Iw&#10;EL4L/ocwwt401cNaukYRRbaHvfhY2OPQjG3XZhKaaLv7640geJuP7zmLVW8acaPW15YVTCcJCOLC&#10;6ppLBafjbpyC8AFZY2OZFPyRh9VyOFhgpm3He7odQiliCPsMFVQhuExKX1Rk0E+sI47c2bYGQ4Rt&#10;KXWLXQw3jZwlybs0WHNsqNDRpqLicrgaBT9bdvmuk8X5f+O+fvO0+byevpV6G/XrDxCB+vASP925&#10;jvPn6XQOj3fiDXJ5BwAA//8DAFBLAQItABQABgAIAAAAIQDb4fbL7gAAAIUBAAATAAAAAAAAAAAA&#10;AAAAAAAAAABbQ29udGVudF9UeXBlc10ueG1sUEsBAi0AFAAGAAgAAAAhAFr0LFu/AAAAFQEAAAsA&#10;AAAAAAAAAAAAAAAAHwEAAF9yZWxzLy5yZWxzUEsBAi0AFAAGAAgAAAAhAIMurN3EAAAA3gAAAA8A&#10;AAAAAAAAAAAAAAAABwIAAGRycy9kb3ducmV2LnhtbFBLBQYAAAAAAwADALcAAAD4AgAAAAA=&#10;" filled="f" stroked="f">
                  <v:textbox inset="0,0,0,0">
                    <w:txbxContent>
                      <w:p w14:paraId="1184EB81" w14:textId="77777777" w:rsidR="00B32EF2" w:rsidRDefault="00000000">
                        <w:r>
                          <w:rPr>
                            <w:rFonts w:ascii="Arial" w:eastAsia="Arial" w:hAnsi="Arial" w:cs="Arial"/>
                            <w:i/>
                            <w:sz w:val="18"/>
                          </w:rPr>
                          <w:t>-</w:t>
                        </w:r>
                      </w:p>
                    </w:txbxContent>
                  </v:textbox>
                </v:rect>
                <v:rect id="Rectangle 17818" o:spid="_x0000_s3488" style="position:absolute;left:-12189;top:31023;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TivxwAAAN4AAAAPAAAAZHJzL2Rvd25yZXYueG1sRI9Bb8Iw&#10;DIXvSPyHyEi7QQqHreoIaAKh9bALjEk7Wo1puzVO1ATa7dfjw6TdbL3n9z6vt6Pr1I362Ho2sFxk&#10;oIgrb1uuDZzfD/McVEzIFjvPZOCHImw308kaC+sHPtLtlGolIRwLNNCkFAqtY9WQw7jwgVi0i+8d&#10;Jln7WtseBwl3nV5l2aN22LI0NBho11D1fbo6A597DuVh0NXldxfevsq8e72eP4x5mI0vz6ASjenf&#10;/HddWsF/ypfCK+/IDHpzBwAA//8DAFBLAQItABQABgAIAAAAIQDb4fbL7gAAAIUBAAATAAAAAAAA&#10;AAAAAAAAAAAAAABbQ29udGVudF9UeXBlc10ueG1sUEsBAi0AFAAGAAgAAAAhAFr0LFu/AAAAFQEA&#10;AAsAAAAAAAAAAAAAAAAAHwEAAF9yZWxzLy5yZWxzUEsBAi0AFAAGAAgAAAAhAPKxOK/HAAAA3gAA&#10;AA8AAAAAAAAAAAAAAAAABwIAAGRycy9kb3ducmV2LnhtbFBLBQYAAAAAAwADALcAAAD7AgAAAAA=&#10;" filled="f" stroked="f">
                  <v:textbox inset="0,0,0,0">
                    <w:txbxContent>
                      <w:p w14:paraId="71352A57" w14:textId="77777777" w:rsidR="00B32EF2" w:rsidRDefault="00000000">
                        <w:r>
                          <w:rPr>
                            <w:rFonts w:ascii="Arial" w:eastAsia="Arial" w:hAnsi="Arial" w:cs="Arial"/>
                            <w:i/>
                            <w:sz w:val="18"/>
                          </w:rPr>
                          <w:t xml:space="preserve">sponsabile della sede o dell’ufficio destinatario che ne dà notizia immediata </w:t>
                        </w:r>
                      </w:p>
                    </w:txbxContent>
                  </v:textbox>
                </v:rect>
                <v:rect id="Rectangle 17819" o:spid="_x0000_s3489" style="position:absolute;left:-12225;top:29790;width:511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00xAAAAN4AAAAPAAAAZHJzL2Rvd25yZXYueG1sRE9Na8JA&#10;EL0X/A/LCN7qRg9tGl1FFGkOXmoVPA7ZMYlmZ5fsaqK/vlso9DaP9znzZW8acafW15YVTMYJCOLC&#10;6ppLBYfv7WsKwgdkjY1lUvAgD8vF4GWOmbYdf9F9H0oRQ9hnqKAKwWVS+qIig35sHXHkzrY1GCJs&#10;S6lb7GK4aeQ0Sd6kwZpjQ4WO1hUV1/3NKDht2OXbThbn59rtLnnafN4OR6VGw341AxGoD//iP3eu&#10;4/z3dPIBv+/EG+TiBwAA//8DAFBLAQItABQABgAIAAAAIQDb4fbL7gAAAIUBAAATAAAAAAAAAAAA&#10;AAAAAAAAAABbQ29udGVudF9UeXBlc10ueG1sUEsBAi0AFAAGAAgAAAAhAFr0LFu/AAAAFQEAAAsA&#10;AAAAAAAAAAAAAAAAHwEAAF9yZWxzLy5yZWxzUEsBAi0AFAAGAAgAAAAhAJ39nTTEAAAA3gAAAA8A&#10;AAAAAAAAAAAAAAAABwIAAGRycy9kb3ducmV2LnhtbFBLBQYAAAAAAwADALcAAAD4AgAAAAA=&#10;" filled="f" stroked="f">
                  <v:textbox inset="0,0,0,0">
                    <w:txbxContent>
                      <w:p w14:paraId="487AE42C" w14:textId="77777777" w:rsidR="00B32EF2" w:rsidRDefault="00000000">
                        <w:r>
                          <w:rPr>
                            <w:rFonts w:ascii="Arial" w:eastAsia="Arial" w:hAnsi="Arial" w:cs="Arial"/>
                            <w:i/>
                            <w:sz w:val="18"/>
                          </w:rPr>
                          <w:t xml:space="preserve">al soggetto interessato; la relativa risposta deve essere inviata al titolare </w:t>
                        </w:r>
                      </w:p>
                    </w:txbxContent>
                  </v:textbox>
                </v:rect>
                <v:rect id="Rectangle 17820" o:spid="_x0000_s3490" style="position:absolute;left:23440;top:28556;width:153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4UyAAAAN4AAAAPAAAAZHJzL2Rvd25yZXYueG1sRI9Pb8Iw&#10;DMXvk/YdIk/abaTjsFWFgBATWg+78GfSjlZj2kLjRE2g3T49PkziZsvP773ffDm6Tl2pj61nA6+T&#10;DBRx5W3LtYHDfvOSg4oJ2WLnmQz8UoTl4vFhjoX1A2/puku1EhOOBRpoUgqF1rFqyGGc+EAst6Pv&#10;HSZZ+1rbHgcxd52eZtmbdtiyJDQYaN1Qdd5dnIGfDw7lZtDV8W8dvk5l3n1eDt/GPD+NqxmoRGO6&#10;i/+/Syv13/OpAAiOzKAXNwAAAP//AwBQSwECLQAUAAYACAAAACEA2+H2y+4AAACFAQAAEwAAAAAA&#10;AAAAAAAAAAAAAAAAW0NvbnRlbnRfVHlwZXNdLnhtbFBLAQItABQABgAIAAAAIQBa9CxbvwAAABUB&#10;AAALAAAAAAAAAAAAAAAAAB8BAABfcmVscy8ucmVsc1BLAQItABQABgAIAAAAIQDCq/4UyAAAAN4A&#10;AAAPAAAAAAAAAAAAAAAAAAcCAABkcnMvZG93bnJldi54bWxQSwUGAAAAAAMAAwC3AAAA/AIAAAAA&#10;" filled="f" stroked="f">
                  <v:textbox inset="0,0,0,0">
                    <w:txbxContent>
                      <w:p w14:paraId="12BF623C" w14:textId="77777777" w:rsidR="00B32EF2" w:rsidRDefault="00000000">
                        <w:r>
                          <w:rPr>
                            <w:rFonts w:ascii="Arial" w:eastAsia="Arial" w:hAnsi="Arial" w:cs="Arial"/>
                            <w:i/>
                            <w:sz w:val="18"/>
                          </w:rPr>
                          <w:t>dell’ufficio procedente;</w:t>
                        </w:r>
                      </w:p>
                    </w:txbxContent>
                  </v:textbox>
                </v:rect>
                <v:rect id="Rectangle 200861" o:spid="_x0000_s3491" style="position:absolute;left:25431;top:27323;width:500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9h/xgAAAN8AAAAPAAAAZHJzL2Rvd25yZXYueG1sRI9Pi8Iw&#10;FMTvC36H8ARva6oHKdUooog9eFn/gMdH82yrzUtoou3up98sLHgcZuY3zGLVm0a8qPW1ZQWTcQKC&#10;uLC65lLB+bT7TEH4gKyxsUwKvsnDajn4WGCmbcdf9DqGUkQI+wwVVCG4TEpfVGTQj60jjt7NtgZD&#10;lG0pdYtdhJtGTpNkJg3WHBcqdLSpqHgcn0bBdcsu33WyuP1s3OGep83+eb4oNRr26zmIQH14h//b&#10;uVYQielsAn9/4heQy18AAAD//wMAUEsBAi0AFAAGAAgAAAAhANvh9svuAAAAhQEAABMAAAAAAAAA&#10;AAAAAAAAAAAAAFtDb250ZW50X1R5cGVzXS54bWxQSwECLQAUAAYACAAAACEAWvQsW78AAAAVAQAA&#10;CwAAAAAAAAAAAAAAAAAfAQAAX3JlbHMvLnJlbHNQSwECLQAUAAYACAAAACEA2+PYf8YAAADfAAAA&#10;DwAAAAAAAAAAAAAAAAAHAgAAZHJzL2Rvd25yZXYueG1sUEsFBgAAAAADAAMAtwAAAPoCAAAAAA==&#10;" filled="f" stroked="f">
                  <v:textbox inset="0,0,0,0">
                    <w:txbxContent>
                      <w:p w14:paraId="4A5E3F4D" w14:textId="77777777" w:rsidR="00B32EF2" w:rsidRDefault="00000000">
                        <w:r>
                          <w:rPr>
                            <w:rFonts w:ascii="Arial" w:eastAsia="Arial" w:hAnsi="Arial" w:cs="Arial"/>
                            <w:i/>
                            <w:sz w:val="18"/>
                          </w:rPr>
                          <w:t>7-</w:t>
                        </w:r>
                      </w:p>
                    </w:txbxContent>
                  </v:textbox>
                </v:rect>
                <v:rect id="Rectangle 200862" o:spid="_x0000_s3492" style="position:absolute;left:-12235;top:27323;width:50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YIxgAAAN8AAAAPAAAAZHJzL2Rvd25yZXYueG1sRI9Pi8Iw&#10;FMTvC36H8IS9rakepFSjiCL2sJf1D3h8NM+22ryEJtrqp98sLHgcZuY3zHzZm0Y8qPW1ZQXjUQKC&#10;uLC65lLB8bD9SkH4gKyxsUwKnuRhuRh8zDHTtuMfeuxDKSKEfYYKqhBcJqUvKjLoR9YRR+9iW4Mh&#10;yraUusUuwk0jJ0kylQZrjgsVOlpXVNz2d6PgvGGXbztZXF5r933N02Z3P56U+hz2qxmIQH14h//b&#10;uVYQiel0An9/4heQi18AAAD//wMAUEsBAi0AFAAGAAgAAAAhANvh9svuAAAAhQEAABMAAAAAAAAA&#10;AAAAAAAAAAAAAFtDb250ZW50X1R5cGVzXS54bWxQSwECLQAUAAYACAAAACEAWvQsW78AAAAVAQAA&#10;CwAAAAAAAAAAAAAAAAAfAQAAX3JlbHMvLnJlbHNQSwECLQAUAAYACAAAACEAKzFGCMYAAADfAAAA&#10;DwAAAAAAAAAAAAAAAAAHAgAAZHJzL2Rvd25yZXYueG1sUEsFBgAAAAADAAMAtwAAAPoCAAAAAA==&#10;" filled="f" stroked="f">
                  <v:textbox inset="0,0,0,0">
                    <w:txbxContent>
                      <w:p w14:paraId="0CD1B901" w14:textId="77777777" w:rsidR="00B32EF2" w:rsidRDefault="00000000">
                        <w:r>
                          <w:rPr>
                            <w:rFonts w:ascii="Arial" w:eastAsia="Arial" w:hAnsi="Arial" w:cs="Arial"/>
                            <w:i/>
                            <w:sz w:val="18"/>
                          </w:rPr>
                          <w:t>bis) richiedere, con modalità stabilite con decreto di natura non regola</w:t>
                        </w:r>
                      </w:p>
                    </w:txbxContent>
                  </v:textbox>
                </v:rect>
                <v:rect id="Rectangle 17822" o:spid="_x0000_s3493" style="position:absolute;left:657;top:2732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cX4xQAAAN4AAAAPAAAAZHJzL2Rvd25yZXYueG1sRE9Na8JA&#10;EL0X/A/LCL3VTXOoIXUTiiLm4EWr0OOQHZO02dklu5rYX98tFHqbx/ucVTmZXtxo8J1lBc+LBARx&#10;bXXHjYLT+/YpA+EDssbeMim4k4eymD2sMNd25APdjqERMYR9jgraEFwupa9bMugX1hFH7mIHgyHC&#10;oZF6wDGGm16mSfIiDXYcG1p0tG6p/jpejYKPDbtqO8r68r12+88q63fX01mpx/n09goi0BT+xX/u&#10;Ssf5yyxN4fedeIMsfgAAAP//AwBQSwECLQAUAAYACAAAACEA2+H2y+4AAACFAQAAEwAAAAAAAAAA&#10;AAAAAAAAAAAAW0NvbnRlbnRfVHlwZXNdLnhtbFBLAQItABQABgAIAAAAIQBa9CxbvwAAABUBAAAL&#10;AAAAAAAAAAAAAAAAAB8BAABfcmVscy8ucmVsc1BLAQItABQABgAIAAAAIQBdNcX4xQAAAN4AAAAP&#10;AAAAAAAAAAAAAAAAAAcCAABkcnMvZG93bnJldi54bWxQSwUGAAAAAAMAAwC3AAAA+QIAAAAA&#10;" filled="f" stroked="f">
                  <v:textbox inset="0,0,0,0">
                    <w:txbxContent>
                      <w:p w14:paraId="43644A41" w14:textId="77777777" w:rsidR="00B32EF2" w:rsidRDefault="00000000">
                        <w:r>
                          <w:rPr>
                            <w:rFonts w:ascii="Arial" w:eastAsia="Arial" w:hAnsi="Arial" w:cs="Arial"/>
                            <w:i/>
                            <w:sz w:val="18"/>
                          </w:rPr>
                          <w:t>-</w:t>
                        </w:r>
                      </w:p>
                    </w:txbxContent>
                  </v:textbox>
                </v:rect>
                <v:rect id="Rectangle 17823" o:spid="_x0000_s3494" style="position:absolute;left:-12189;top:26090;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WBjxQAAAN4AAAAPAAAAZHJzL2Rvd25yZXYueG1sRE9La8JA&#10;EL4X/A/LCN7qRgttiK4iijSHXuoDPA7ZMYlmZ5fsamJ/fbdQ8DYf33Pmy9404k6try0rmIwTEMSF&#10;1TWXCg777WsKwgdkjY1lUvAgD8vF4GWOmbYdf9N9F0oRQ9hnqKAKwWVS+qIig35sHXHkzrY1GCJs&#10;S6lb7GK4aeQ0Sd6lwZpjQ4WO1hUV193NKDht2OXbThbnn7X7uuRp83k7HJUaDfvVDESgPjzF/+5c&#10;x/kf6fQN/t6JN8jFLwAAAP//AwBQSwECLQAUAAYACAAAACEA2+H2y+4AAACFAQAAEwAAAAAAAAAA&#10;AAAAAAAAAAAAW0NvbnRlbnRfVHlwZXNdLnhtbFBLAQItABQABgAIAAAAIQBa9CxbvwAAABUBAAAL&#10;AAAAAAAAAAAAAAAAAB8BAABfcmVscy8ucmVsc1BLAQItABQABgAIAAAAIQAyeWBjxQAAAN4AAAAP&#10;AAAAAAAAAAAAAAAAAAcCAABkcnMvZG93bnJldi54bWxQSwUGAAAAAAMAAwC3AAAA+QIAAAAA&#10;" filled="f" stroked="f">
                  <v:textbox inset="0,0,0,0">
                    <w:txbxContent>
                      <w:p w14:paraId="75541D5F" w14:textId="77777777" w:rsidR="00B32EF2" w:rsidRDefault="00000000">
                        <w:r>
                          <w:rPr>
                            <w:rFonts w:ascii="Arial" w:eastAsia="Arial" w:hAnsi="Arial" w:cs="Arial"/>
                            <w:i/>
                            <w:sz w:val="18"/>
                          </w:rPr>
                          <w:t xml:space="preserve">mentare del Ministro dell’economia e delle finanze, da adottare d’intesa con </w:t>
                        </w:r>
                      </w:p>
                    </w:txbxContent>
                  </v:textbox>
                </v:rect>
                <v:rect id="Rectangle 17824" o:spid="_x0000_s3495" style="position:absolute;left:-12196;top:24857;width:5105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PgXxQAAAN4AAAAPAAAAZHJzL2Rvd25yZXYueG1sRE9La8JA&#10;EL4X/A/LCN7qRiltiK4iijSHXuoDPA7ZMYlmZ5fsamJ/fbdQ8DYf33Pmy9404k6try0rmIwTEMSF&#10;1TWXCg777WsKwgdkjY1lUvAgD8vF4GWOmbYdf9N9F0oRQ9hnqKAKwWVS+qIig35sHXHkzrY1GCJs&#10;S6lb7GK4aeQ0Sd6lwZpjQ4WO1hUV193NKDht2OXbThbnn7X7uuRp83k7HJUaDfvVDESgPjzF/+5c&#10;x/kf6fQN/t6JN8jFLwAAAP//AwBQSwECLQAUAAYACAAAACEA2+H2y+4AAACFAQAAEwAAAAAAAAAA&#10;AAAAAAAAAAAAW0NvbnRlbnRfVHlwZXNdLnhtbFBLAQItABQABgAIAAAAIQBa9CxbvwAAABUBAAAL&#10;AAAAAAAAAAAAAAAAAB8BAABfcmVscy8ucmVsc1BLAQItABQABgAIAAAAIQC9kPgXxQAAAN4AAAAP&#10;AAAAAAAAAAAAAAAAAAcCAABkcnMvZG93bnJldi54bWxQSwUGAAAAAAMAAwC3AAAA+QIAAAAA&#10;" filled="f" stroked="f">
                  <v:textbox inset="0,0,0,0">
                    <w:txbxContent>
                      <w:p w14:paraId="5AD04A92" w14:textId="77777777" w:rsidR="00B32EF2" w:rsidRDefault="00000000">
                        <w:r>
                          <w:rPr>
                            <w:rFonts w:ascii="Arial" w:eastAsia="Arial" w:hAnsi="Arial" w:cs="Arial"/>
                            <w:i/>
                            <w:sz w:val="18"/>
                          </w:rPr>
                          <w:t xml:space="preserve">l’Autorità di vigilanza in coerenza con le regole europee e internazionali in </w:t>
                        </w:r>
                      </w:p>
                    </w:txbxContent>
                  </v:textbox>
                </v:rect>
                <v:rect id="Rectangle 17825" o:spid="_x0000_s3496" style="position:absolute;left:-11227;top:23623;width:500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F2MxQAAAN4AAAAPAAAAZHJzL2Rvd25yZXYueG1sRE9La8JA&#10;EL4X/A/LCN7qRqFtiK4iijSHXuoDPA7ZMYlmZ5fsamJ/fbdQ8DYf33Pmy9404k6try0rmIwTEMSF&#10;1TWXCg777WsKwgdkjY1lUvAgD8vF4GWOmbYdf9N9F0oRQ9hnqKAKwWVS+qIig35sHXHkzrY1GCJs&#10;S6lb7GK4aeQ0Sd6lwZpjQ4WO1hUV193NKDht2OXbThbnn7X7uuRp83k7HJUaDfvVDESgPjzF/+5c&#10;x/kf6fQN/t6JN8jFLwAAAP//AwBQSwECLQAUAAYACAAAACEA2+H2y+4AAACFAQAAEwAAAAAAAAAA&#10;AAAAAAAAAAAAW0NvbnRlbnRfVHlwZXNdLnhtbFBLAQItABQABgAIAAAAIQBa9CxbvwAAABUBAAAL&#10;AAAAAAAAAAAAAAAAAB8BAABfcmVscy8ucmVsc1BLAQItABQABgAIAAAAIQDS3F2MxQAAAN4AAAAP&#10;AAAAAAAAAAAAAAAAAAcCAABkcnMvZG93bnJldi54bWxQSwUGAAAAAAMAAwC3AAAA+QIAAAAA&#10;" filled="f" stroked="f">
                  <v:textbox inset="0,0,0,0">
                    <w:txbxContent>
                      <w:p w14:paraId="6A51C15D" w14:textId="77777777" w:rsidR="00B32EF2" w:rsidRDefault="00000000">
                        <w:r>
                          <w:rPr>
                            <w:rFonts w:ascii="Arial" w:eastAsia="Arial" w:hAnsi="Arial" w:cs="Arial"/>
                            <w:i/>
                            <w:sz w:val="18"/>
                          </w:rPr>
                          <w:t>materia di vigilanza e, comunque, previa autorizzazione del direttore cen</w:t>
                        </w:r>
                      </w:p>
                    </w:txbxContent>
                  </v:textbox>
                </v:rect>
                <v:rect id="Rectangle 17826" o:spid="_x0000_s3497" style="position:absolute;left:657;top:2362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sP7xAAAAN4AAAAPAAAAZHJzL2Rvd25yZXYueG1sRE9Na8JA&#10;EL0L/odlCt50Uw82pK4iipiDl9oUehyyY5KanV2yq4n+erdQ6G0e73OW68G04kadbywreJ0lIIhL&#10;qxuuFBSf+2kKwgdkja1lUnAnD+vVeLTETNueP+h2CpWIIewzVFCH4DIpfVmTQT+zjjhyZ9sZDBF2&#10;ldQd9jHctHKeJAtpsOHYUKOjbU3l5XQ1Cr537PJ9L8vzY+uOP3naHq7Fl1KTl2HzDiLQEP7Ff+5c&#10;x/lv6XwBv+/EG+TqCQAA//8DAFBLAQItABQABgAIAAAAIQDb4fbL7gAAAIUBAAATAAAAAAAAAAAA&#10;AAAAAAAAAABbQ29udGVudF9UeXBlc10ueG1sUEsBAi0AFAAGAAgAAAAhAFr0LFu/AAAAFQEAAAsA&#10;AAAAAAAAAAAAAAAAHwEAAF9yZWxzLy5yZWxzUEsBAi0AFAAGAAgAAAAhACIOw/vEAAAA3gAAAA8A&#10;AAAAAAAAAAAAAAAABwIAAGRycy9kb3ducmV2LnhtbFBLBQYAAAAAAwADALcAAAD4AgAAAAA=&#10;" filled="f" stroked="f">
                  <v:textbox inset="0,0,0,0">
                    <w:txbxContent>
                      <w:p w14:paraId="4454A36C" w14:textId="77777777" w:rsidR="00B32EF2" w:rsidRDefault="00000000">
                        <w:r>
                          <w:rPr>
                            <w:rFonts w:ascii="Arial" w:eastAsia="Arial" w:hAnsi="Arial" w:cs="Arial"/>
                            <w:i/>
                            <w:sz w:val="18"/>
                          </w:rPr>
                          <w:t>-</w:t>
                        </w:r>
                      </w:p>
                    </w:txbxContent>
                  </v:textbox>
                </v:rect>
                <v:rect id="Rectangle 17827" o:spid="_x0000_s3498" style="position:absolute;left:-12216;top:22390;width:511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mZgxAAAAN4AAAAPAAAAZHJzL2Rvd25yZXYueG1sRE9Na8JA&#10;EL0X/A/LFLzVTT3UkLqKKNIcvFQjeByyY5KanV2yq4n++m6h4G0e73Pmy8G04kadbywreJ8kIIhL&#10;qxuuFBSH7VsKwgdkja1lUnAnD8vF6GWOmbY9f9NtHyoRQ9hnqKAOwWVS+rImg35iHXHkzrYzGCLs&#10;Kqk77GO4aeU0ST6kwYZjQ42O1jWVl/3VKDht2OXbXpbnx9rtfvK0/boWR6XGr8PqE0SgITzF/+5c&#10;x/mzdDqDv3fiDXLxCwAA//8DAFBLAQItABQABgAIAAAAIQDb4fbL7gAAAIUBAAATAAAAAAAAAAAA&#10;AAAAAAAAAABbQ29udGVudF9UeXBlc10ueG1sUEsBAi0AFAAGAAgAAAAhAFr0LFu/AAAAFQEAAAsA&#10;AAAAAAAAAAAAAAAAHwEAAF9yZWxzLy5yZWxzUEsBAi0AFAAGAAgAAAAhAE1CZmDEAAAA3gAAAA8A&#10;AAAAAAAAAAAAAAAABwIAAGRycy9kb3ducmV2LnhtbFBLBQYAAAAAAwADALcAAAD4AgAAAAA=&#10;" filled="f" stroked="f">
                  <v:textbox inset="0,0,0,0">
                    <w:txbxContent>
                      <w:p w14:paraId="060FEFCF" w14:textId="77777777" w:rsidR="00B32EF2" w:rsidRDefault="00000000">
                        <w:r>
                          <w:rPr>
                            <w:rFonts w:ascii="Arial" w:eastAsia="Arial" w:hAnsi="Arial" w:cs="Arial"/>
                            <w:i/>
                            <w:sz w:val="18"/>
                          </w:rPr>
                          <w:t xml:space="preserve">trale dell’accertamento dell’Agenzia delle entrate o del direttore regionale </w:t>
                        </w:r>
                      </w:p>
                    </w:txbxContent>
                  </v:textbox>
                </v:rect>
                <v:rect id="Rectangle 17828" o:spid="_x0000_s3499" style="position:absolute;left:-12190;top:21157;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fISyAAAAN4AAAAPAAAAZHJzL2Rvd25yZXYueG1sRI9Pb8Iw&#10;DMXvk/YdIk/abaTjsFWFgBATWg+78GfSjlZj2kLjRE2g3T49PkziZus9v/fzfDm6Tl2pj61nA6+T&#10;DBRx5W3LtYHDfvOSg4oJ2WLnmQz8UoTl4vFhjoX1A2/puku1khCOBRpoUgqF1rFqyGGc+EAs2tH3&#10;DpOsfa1tj4OEu05Ps+xNO2xZGhoMtG6oOu8uzsDPB4dyM+jq+LcOX6cy7z4vh29jnp/G1QxUojHd&#10;zf/XpRX893wqvPKOzKAXNwAAAP//AwBQSwECLQAUAAYACAAAACEA2+H2y+4AAACFAQAAEwAAAAAA&#10;AAAAAAAAAAAAAAAAW0NvbnRlbnRfVHlwZXNdLnhtbFBLAQItABQABgAIAAAAIQBa9CxbvwAAABUB&#10;AAALAAAAAAAAAAAAAAAAAB8BAABfcmVscy8ucmVsc1BLAQItABQABgAIAAAAIQA83fISyAAAAN4A&#10;AAAPAAAAAAAAAAAAAAAAAAcCAABkcnMvZG93bnJldi54bWxQSwUGAAAAAAMAAwC3AAAA/AIAAAAA&#10;" filled="f" stroked="f">
                  <v:textbox inset="0,0,0,0">
                    <w:txbxContent>
                      <w:p w14:paraId="4CE40DD0" w14:textId="77777777" w:rsidR="00B32EF2" w:rsidRDefault="00000000">
                        <w:r>
                          <w:rPr>
                            <w:rFonts w:ascii="Arial" w:eastAsia="Arial" w:hAnsi="Arial" w:cs="Arial"/>
                            <w:i/>
                            <w:sz w:val="18"/>
                          </w:rPr>
                          <w:t xml:space="preserve">della stessa, ovvero, per il Corpo della guardia di finanza, del comandante </w:t>
                        </w:r>
                      </w:p>
                    </w:txbxContent>
                  </v:textbox>
                </v:rect>
                <v:rect id="Rectangle 17829" o:spid="_x0000_s3500" style="position:absolute;left:-11226;top:19923;width:500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eJxQAAAN4AAAAPAAAAZHJzL2Rvd25yZXYueG1sRE9La8JA&#10;EL4X/A/LCN7qRg9tjK4iijSHXuoDPA7ZMYlmZ5fsamJ/fbdQ6G0+vucsVr1pxINaX1tWMBknIIgL&#10;q2suFRwPu9cUhA/IGhvLpOBJHlbLwcsCM207/qLHPpQihrDPUEEVgsuk9EVFBv3YOuLIXWxrMETY&#10;llK32MVw08hpkrxJgzXHhgodbSoqbvu7UXDesst3nSwu3xv3ec3T5uN+PCk1GvbrOYhAffgX/7lz&#10;Hee/p9MZ/L4Tb5DLHwAAAP//AwBQSwECLQAUAAYACAAAACEA2+H2y+4AAACFAQAAEwAAAAAAAAAA&#10;AAAAAAAAAAAAW0NvbnRlbnRfVHlwZXNdLnhtbFBLAQItABQABgAIAAAAIQBa9CxbvwAAABUBAAAL&#10;AAAAAAAAAAAAAAAAAB8BAABfcmVscy8ucmVsc1BLAQItABQABgAIAAAAIQBTkVeJxQAAAN4AAAAP&#10;AAAAAAAAAAAAAAAAAAcCAABkcnMvZG93bnJldi54bWxQSwUGAAAAAAMAAwC3AAAA+QIAAAAA&#10;" filled="f" stroked="f">
                  <v:textbox inset="0,0,0,0">
                    <w:txbxContent>
                      <w:p w14:paraId="7581A46D" w14:textId="77777777" w:rsidR="00B32EF2" w:rsidRDefault="00000000">
                        <w:r>
                          <w:rPr>
                            <w:rFonts w:ascii="Arial" w:eastAsia="Arial" w:hAnsi="Arial" w:cs="Arial"/>
                            <w:i/>
                            <w:sz w:val="18"/>
                          </w:rPr>
                          <w:t>regionale, ad autorità ed enti, notizie, dati, documenti e informazioni di na</w:t>
                        </w:r>
                      </w:p>
                    </w:txbxContent>
                  </v:textbox>
                </v:rect>
                <v:rect id="Rectangle 17830" o:spid="_x0000_s3501" style="position:absolute;left:657;top:1992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mjJyAAAAN4AAAAPAAAAZHJzL2Rvd25yZXYueG1sRI9Pa8Mw&#10;DMXvg30Ho0Fvq7MVtpDVLaOjNIdd+g92FLGaZItlE7tNuk8/HQq7SejpvfebL0fXqQv1sfVs4Gma&#10;gSKuvG25NnDYrx9zUDEhW+w8k4ErRVgu7u/mWFg/8JYuu1QrMeFYoIEmpVBoHauGHMapD8RyO/ne&#10;YZK1r7XtcRBz1+nnLHvRDluWhAYDrRqqfnZnZ+Drg0O5HnR1+l2Fz+8y7zbnw9GYycP4/gYq0Zj+&#10;xbfv0kr913wmAIIjM+jFHwAAAP//AwBQSwECLQAUAAYACAAAACEA2+H2y+4AAACFAQAAEwAAAAAA&#10;AAAAAAAAAAAAAAAAW0NvbnRlbnRfVHlwZXNdLnhtbFBLAQItABQABgAIAAAAIQBa9CxbvwAAABUB&#10;AAALAAAAAAAAAAAAAAAAAB8BAABfcmVscy8ucmVsc1BLAQItABQABgAIAAAAIQBHcmjJyAAAAN4A&#10;AAAPAAAAAAAAAAAAAAAAAAcCAABkcnMvZG93bnJldi54bWxQSwUGAAAAAAMAAwC3AAAA/AIAAAAA&#10;" filled="f" stroked="f">
                  <v:textbox inset="0,0,0,0">
                    <w:txbxContent>
                      <w:p w14:paraId="25746208" w14:textId="77777777" w:rsidR="00B32EF2" w:rsidRDefault="00000000">
                        <w:r>
                          <w:rPr>
                            <w:rFonts w:ascii="Arial" w:eastAsia="Arial" w:hAnsi="Arial" w:cs="Arial"/>
                            <w:i/>
                            <w:sz w:val="18"/>
                          </w:rPr>
                          <w:t>-</w:t>
                        </w:r>
                      </w:p>
                    </w:txbxContent>
                  </v:textbox>
                </v:rect>
                <v:rect id="Rectangle 17831" o:spid="_x0000_s3502" style="position:absolute;left:-12189;top:18690;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s1SxAAAAN4AAAAPAAAAZHJzL2Rvd25yZXYueG1sRE9Na8JA&#10;EL0X/A/LCN7qRgttiK4iijQHL7UKHofsmESzs0t2NdFf3y0UepvH+5z5sjeNuFPra8sKJuMEBHFh&#10;dc2lgsP39jUF4QOyxsYyKXiQh+Vi8DLHTNuOv+i+D6WIIewzVFCF4DIpfVGRQT+2jjhyZ9saDBG2&#10;pdQtdjHcNHKaJO/SYM2xoUJH64qK6/5mFJw27PJtJ4vzc+12lzxtPm+Ho1KjYb+agQjUh3/xnzvX&#10;cf5H+jaB33fiDXLxAwAA//8DAFBLAQItABQABgAIAAAAIQDb4fbL7gAAAIUBAAATAAAAAAAAAAAA&#10;AAAAAAAAAABbQ29udGVudF9UeXBlc10ueG1sUEsBAi0AFAAGAAgAAAAhAFr0LFu/AAAAFQEAAAsA&#10;AAAAAAAAAAAAAAAAHwEAAF9yZWxzLy5yZWxzUEsBAi0AFAAGAAgAAAAhACg+zVLEAAAA3gAAAA8A&#10;AAAAAAAAAAAAAAAABwIAAGRycy9kb3ducmV2LnhtbFBLBQYAAAAAAwADALcAAAD4AgAAAAA=&#10;" filled="f" stroked="f">
                  <v:textbox inset="0,0,0,0">
                    <w:txbxContent>
                      <w:p w14:paraId="7340532D" w14:textId="77777777" w:rsidR="00B32EF2" w:rsidRDefault="00000000">
                        <w:r>
                          <w:rPr>
                            <w:rFonts w:ascii="Arial" w:eastAsia="Arial" w:hAnsi="Arial" w:cs="Arial"/>
                            <w:i/>
                            <w:sz w:val="18"/>
                          </w:rPr>
                          <w:t xml:space="preserve">tura creditizia, finanziaria e assicurativa, relativi alle attività di controllo e </w:t>
                        </w:r>
                      </w:p>
                    </w:txbxContent>
                  </v:textbox>
                </v:rect>
                <v:rect id="Rectangle 17832" o:spid="_x0000_s3503" style="position:absolute;left:-12190;top:17457;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FMlxQAAAN4AAAAPAAAAZHJzL2Rvd25yZXYueG1sRE9La8JA&#10;EL4X/A/LCN7qRgttiK4iijSHXuoDPA7ZMYlmZ5fsamJ/fbdQ8DYf33Pmy9404k6try0rmIwTEMSF&#10;1TWXCg777WsKwgdkjY1lUvAgD8vF4GWOmbYdf9N9F0oRQ9hnqKAKwWVS+qIig35sHXHkzrY1GCJs&#10;S6lb7GK4aeQ0Sd6lwZpjQ4WO1hUV193NKDht2OXbThbnn7X7uuRp83k7HJUaDfvVDESgPjzF/+5c&#10;x/kf6dsU/t6JN8jFLwAAAP//AwBQSwECLQAUAAYACAAAACEA2+H2y+4AAACFAQAAEwAAAAAAAAAA&#10;AAAAAAAAAAAAW0NvbnRlbnRfVHlwZXNdLnhtbFBLAQItABQABgAIAAAAIQBa9CxbvwAAABUBAAAL&#10;AAAAAAAAAAAAAAAAAB8BAABfcmVscy8ucmVsc1BLAQItABQABgAIAAAAIQDY7FMlxQAAAN4AAAAP&#10;AAAAAAAAAAAAAAAAAAcCAABkcnMvZG93bnJldi54bWxQSwUGAAAAAAMAAwC3AAAA+QIAAAAA&#10;" filled="f" stroked="f">
                  <v:textbox inset="0,0,0,0">
                    <w:txbxContent>
                      <w:p w14:paraId="43285390" w14:textId="77777777" w:rsidR="00B32EF2" w:rsidRDefault="00000000">
                        <w:r>
                          <w:rPr>
                            <w:rFonts w:ascii="Arial" w:eastAsia="Arial" w:hAnsi="Arial" w:cs="Arial"/>
                            <w:i/>
                            <w:sz w:val="18"/>
                          </w:rPr>
                          <w:t xml:space="preserve">di vigilanza svolte dagli stessi, anche in deroga a specifiche disposizioni </w:t>
                        </w:r>
                      </w:p>
                    </w:txbxContent>
                  </v:textbox>
                </v:rect>
                <v:rect id="Rectangle 17833" o:spid="_x0000_s3504" style="position:absolute;left:33034;top:16223;width:57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Pa+xAAAAN4AAAAPAAAAZHJzL2Rvd25yZXYueG1sRE9Na8JA&#10;EL0X/A/LCN7qxgptiK4iijQHL7UKHofsmESzs0t2NdFf3y0UepvH+5z5sjeNuFPra8sKJuMEBHFh&#10;dc2lgsP39jUF4QOyxsYyKXiQh+Vi8DLHTNuOv+i+D6WIIewzVFCF4DIpfVGRQT+2jjhyZ9saDBG2&#10;pdQtdjHcNPItSd6lwZpjQ4WO1hUV1/3NKDht2OXbThbn59rtLnnafN4OR6VGw341AxGoD//iP3eu&#10;4/yPdDqF33fiDXLxAwAA//8DAFBLAQItABQABgAIAAAAIQDb4fbL7gAAAIUBAAATAAAAAAAAAAAA&#10;AAAAAAAAAABbQ29udGVudF9UeXBlc10ueG1sUEsBAi0AFAAGAAgAAAAhAFr0LFu/AAAAFQEAAAsA&#10;AAAAAAAAAAAAAAAAHwEAAF9yZWxzLy5yZWxzUEsBAi0AFAAGAAgAAAAhALeg9r7EAAAA3gAAAA8A&#10;AAAAAAAAAAAAAAAABwIAAGRycy9kb3ducmV2LnhtbFBLBQYAAAAAAwADALcAAAD4AgAAAAA=&#10;" filled="f" stroked="f">
                  <v:textbox inset="0,0,0,0">
                    <w:txbxContent>
                      <w:p w14:paraId="7E20FEA0" w14:textId="77777777" w:rsidR="00B32EF2" w:rsidRDefault="00000000">
                        <w:r>
                          <w:rPr>
                            <w:rFonts w:ascii="Arial" w:eastAsia="Arial" w:hAnsi="Arial" w:cs="Arial"/>
                            <w:i/>
                            <w:sz w:val="18"/>
                          </w:rPr>
                          <w:t>di legge;</w:t>
                        </w:r>
                      </w:p>
                    </w:txbxContent>
                  </v:textbox>
                </v:rect>
                <v:rect id="Rectangle 200859" o:spid="_x0000_s3505" style="position:absolute;left:25089;top:14990;width:512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7ExwAAAN8AAAAPAAAAZHJzL2Rvd25yZXYueG1sRI9Pa8JA&#10;FMTvBb/D8gRvddOCkqauUixiDl78U+jxkX0m0ezbJbua6Kd3hUKPw8z8hpktetOIK7W+tqzgbZyA&#10;IC6srrlUcNivXlMQPiBrbCyTght5WMwHLzPMtO14S9ddKEWEsM9QQRWCy6T0RUUG/dg64ugdbWsw&#10;RNmWUrfYRbhp5HuSTKXBmuNChY6WFRXn3cUo+P1ml686WRzvS7c55Wmzvhx+lBoN+69PEIH68B/+&#10;a+daQSSmkw94/olfQM4fAAAA//8DAFBLAQItABQABgAIAAAAIQDb4fbL7gAAAIUBAAATAAAAAAAA&#10;AAAAAAAAAAAAAABbQ29udGVudF9UeXBlc10ueG1sUEsBAi0AFAAGAAgAAAAhAFr0LFu/AAAAFQEA&#10;AAsAAAAAAAAAAAAAAAAAHwEAAF9yZWxzLy5yZWxzUEsBAi0AFAAGAAgAAAAhAOv5HsTHAAAA3wAA&#10;AA8AAAAAAAAAAAAAAAAABwIAAGRycy9kb3ducmV2LnhtbFBLBQYAAAAAAwADALcAAAD7AgAAAAA=&#10;" filled="f" stroked="f">
                  <v:textbox inset="0,0,0,0">
                    <w:txbxContent>
                      <w:p w14:paraId="56C48E48" w14:textId="77777777" w:rsidR="00B32EF2" w:rsidRDefault="00000000">
                        <w:r>
                          <w:rPr>
                            <w:rFonts w:ascii="Arial" w:eastAsia="Arial" w:hAnsi="Arial" w:cs="Arial"/>
                            <w:i/>
                            <w:sz w:val="18"/>
                          </w:rPr>
                          <w:t>8)</w:t>
                        </w:r>
                      </w:p>
                    </w:txbxContent>
                  </v:textbox>
                </v:rect>
                <v:rect id="Rectangle 200860" o:spid="_x0000_s3506" style="position:absolute;left:-13257;top:14990;width:512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33kxgAAAN8AAAAPAAAAZHJzL2Rvd25yZXYueG1sRI/LasMw&#10;EEX3hf6DmEB3jZwugnGjhJIS6kU3eUGXgzWxnVgjYSmxm6/vLApZDnfuuZzFanSdulEfW88GZtMM&#10;FHHlbcu1gcN+85qDignZYueZDPxShNXy+WmBhfUDb+m2S7USCMcCDTQphULrWDXkME59IJbs5HuH&#10;Sc6+1rbHQeCu029ZNtcOW5aFBgOtG6ouu6sz8PPJodwMujrd1+H7XObd1/VwNOZlMn68g0o0psfz&#10;f7u0BoSYz8VAfMQF9PIPAAD//wMAUEsBAi0AFAAGAAgAAAAhANvh9svuAAAAhQEAABMAAAAAAAAA&#10;AAAAAAAAAAAAAFtDb250ZW50X1R5cGVzXS54bWxQSwECLQAUAAYACAAAACEAWvQsW78AAAAVAQAA&#10;CwAAAAAAAAAAAAAAAAAfAQAAX3JlbHMvLnJlbHNQSwECLQAUAAYACAAAACEAtK995MYAAADfAAAA&#10;DwAAAAAAAAAAAAAAAAAHAgAAZHJzL2Rvd25yZXYueG1sUEsFBgAAAAADAAMAtwAAAPoCAAAAAA==&#10;" filled="f" stroked="f">
                  <v:textbox inset="0,0,0,0">
                    <w:txbxContent>
                      <w:p w14:paraId="28776B85" w14:textId="77777777" w:rsidR="00B32EF2" w:rsidRDefault="00000000">
                        <w:r>
                          <w:rPr>
                            <w:rFonts w:ascii="Arial" w:eastAsia="Arial" w:hAnsi="Arial" w:cs="Arial"/>
                            <w:i/>
                            <w:sz w:val="18"/>
                          </w:rPr>
                          <w:t xml:space="preserve"> richiedere ai soggetti indicati nell’articolo 13 dati, notizie e documenti </w:t>
                        </w:r>
                      </w:p>
                    </w:txbxContent>
                  </v:textbox>
                </v:rect>
                <v:rect id="Rectangle 17835" o:spid="_x0000_s3507" style="position:absolute;left:-12190;top:13757;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ctRxQAAAN4AAAAPAAAAZHJzL2Rvd25yZXYueG1sRE9Na8JA&#10;EL0X+h+WKXirm1aqIbpKsYg5eKlV8DhkxySanV2yq4n99W5B6G0e73Nmi9404kqtry0reBsmIIgL&#10;q2suFex+Vq8pCB+QNTaWScGNPCzmz08zzLTt+Juu21CKGMI+QwVVCC6T0hcVGfRD64gjd7StwRBh&#10;W0rdYhfDTSPfk2QsDdYcGyp0tKyoOG8vRsHhi12+6mRx/F26zSlPm/Vlt1dq8NJ/TkEE6sO/+OHO&#10;dZw/SUcf8PdOvEHO7wAAAP//AwBQSwECLQAUAAYACAAAACEA2+H2y+4AAACFAQAAEwAAAAAAAAAA&#10;AAAAAAAAAAAAW0NvbnRlbnRfVHlwZXNdLnhtbFBLAQItABQABgAIAAAAIQBa9CxbvwAAABUBAAAL&#10;AAAAAAAAAAAAAAAAAB8BAABfcmVscy8ucmVsc1BLAQItABQABgAIAAAAIQBXBctRxQAAAN4AAAAP&#10;AAAAAAAAAAAAAAAAAAcCAABkcnMvZG93bnJldi54bWxQSwUGAAAAAAMAAwC3AAAA+QIAAAAA&#10;" filled="f" stroked="f">
                  <v:textbox inset="0,0,0,0">
                    <w:txbxContent>
                      <w:p w14:paraId="164E33A6" w14:textId="77777777" w:rsidR="00B32EF2" w:rsidRDefault="00000000">
                        <w:r>
                          <w:rPr>
                            <w:rFonts w:ascii="Arial" w:eastAsia="Arial" w:hAnsi="Arial" w:cs="Arial"/>
                            <w:i/>
                            <w:sz w:val="18"/>
                          </w:rPr>
                          <w:t xml:space="preserve">relativi ad attività svolte in un determinato periodo d’imposta, rilevanti ai fini </w:t>
                        </w:r>
                      </w:p>
                    </w:txbxContent>
                  </v:textbox>
                </v:rect>
                <v:rect id="Rectangle 17836" o:spid="_x0000_s3508" style="position:absolute;left:-12188;top:12524;width:5099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1UmxAAAAN4AAAAPAAAAZHJzL2Rvd25yZXYueG1sRE9Na8JA&#10;EL0X/A/LCN7qxgo2RFcRRZpDL7UKHofsmESzs0t2NdFf3y0UepvH+5zFqjeNuFPra8sKJuMEBHFh&#10;dc2lgsP37jUF4QOyxsYyKXiQh9Vy8LLATNuOv+i+D6WIIewzVFCF4DIpfVGRQT+2jjhyZ9saDBG2&#10;pdQtdjHcNPItSWbSYM2xoUJHm4qK6/5mFJy27PJdJ4vzc+M+L3nafNwOR6VGw349BxGoD//iP3eu&#10;4/z3dDqD33fiDXL5AwAA//8DAFBLAQItABQABgAIAAAAIQDb4fbL7gAAAIUBAAATAAAAAAAAAAAA&#10;AAAAAAAAAABbQ29udGVudF9UeXBlc10ueG1sUEsBAi0AFAAGAAgAAAAhAFr0LFu/AAAAFQEAAAsA&#10;AAAAAAAAAAAAAAAAHwEAAF9yZWxzLy5yZWxzUEsBAi0AFAAGAAgAAAAhAKfXVSbEAAAA3gAAAA8A&#10;AAAAAAAAAAAAAAAABwIAAGRycy9kb3ducmV2LnhtbFBLBQYAAAAAAwADALcAAAD4AgAAAAA=&#10;" filled="f" stroked="f">
                  <v:textbox inset="0,0,0,0">
                    <w:txbxContent>
                      <w:p w14:paraId="595C890F" w14:textId="77777777" w:rsidR="00B32EF2" w:rsidRDefault="00000000">
                        <w:r>
                          <w:rPr>
                            <w:rFonts w:ascii="Arial" w:eastAsia="Arial" w:hAnsi="Arial" w:cs="Arial"/>
                            <w:i/>
                            <w:sz w:val="18"/>
                          </w:rPr>
                          <w:t xml:space="preserve">dell’accertamento, nei confronti di loro clienti, fornitori e prestatori di lavoro </w:t>
                        </w:r>
                      </w:p>
                    </w:txbxContent>
                  </v:textbox>
                </v:rect>
                <v:rect id="Rectangle 17837" o:spid="_x0000_s3509" style="position:absolute;left:31587;top:11290;width:72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C9xAAAAN4AAAAPAAAAZHJzL2Rvd25yZXYueG1sRE9Na8JA&#10;EL0X/A/LCN7qxgo1RFcRRZpDL7UKHofsmESzs0t2NdFf3y0UepvH+5zFqjeNuFPra8sKJuMEBHFh&#10;dc2lgsP37jUF4QOyxsYyKXiQh9Vy8LLATNuOv+i+D6WIIewzVFCF4DIpfVGRQT+2jjhyZ9saDBG2&#10;pdQtdjHcNPItSd6lwZpjQ4WONhUV1/3NKDht2eW7Thbn58Z9XvK0+bgdjkqNhv16DiJQH/7Ff+5c&#10;x/mzdDqD33fiDXL5AwAA//8DAFBLAQItABQABgAIAAAAIQDb4fbL7gAAAIUBAAATAAAAAAAAAAAA&#10;AAAAAAAAAABbQ29udGVudF9UeXBlc10ueG1sUEsBAi0AFAAGAAgAAAAhAFr0LFu/AAAAFQEAAAsA&#10;AAAAAAAAAAAAAAAAHwEAAF9yZWxzLy5yZWxzUEsBAi0AFAAGAAgAAAAhAMib8L3EAAAA3gAAAA8A&#10;AAAAAAAAAAAAAAAABwIAAGRycy9kb3ducmV2LnhtbFBLBQYAAAAAAwADALcAAAD4AgAAAAA=&#10;" filled="f" stroked="f">
                  <v:textbox inset="0,0,0,0">
                    <w:txbxContent>
                      <w:p w14:paraId="5EFCAFB8" w14:textId="77777777" w:rsidR="00B32EF2" w:rsidRDefault="00000000">
                        <w:r>
                          <w:rPr>
                            <w:rFonts w:ascii="Arial" w:eastAsia="Arial" w:hAnsi="Arial" w:cs="Arial"/>
                            <w:i/>
                            <w:sz w:val="18"/>
                          </w:rPr>
                          <w:t>autonomo;</w:t>
                        </w:r>
                      </w:p>
                    </w:txbxContent>
                  </v:textbox>
                </v:rect>
                <v:rect id="Rectangle 200857" o:spid="_x0000_s3510" style="position:absolute;left:25073;top:10057;width:510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i8txwAAAN8AAAAPAAAAZHJzL2Rvd25yZXYueG1sRI9Ba8JA&#10;FITvgv9heUJvummhNaRuQrFIc/BSa6HHR/aZRLNvl+xqUn99tyB4HGbmG2ZVjKYTF+p9a1nB4yIB&#10;QVxZ3XKtYP+1macgfEDW2FkmBb/kocinkxVm2g78SZddqEWEsM9QQROCy6T0VUMG/cI64ugdbG8w&#10;RNnXUvc4RLjp5FOSvEiDLceFBh2tG6pOu7NR8PPOrtwMsjpc1257LNPu47z/VuphNr69ggg0hnv4&#10;1i61gkhMn5fw/yd+AZn/AQAA//8DAFBLAQItABQABgAIAAAAIQDb4fbL7gAAAIUBAAATAAAAAAAA&#10;AAAAAAAAAAAAAABbQ29udGVudF9UeXBlc10ueG1sUEsBAi0AFAAGAAgAAAAhAFr0LFu/AAAAFQEA&#10;AAsAAAAAAAAAAAAAAAAAHwEAAF9yZWxzLy5yZWxzUEsBAi0AFAAGAAgAAAAhAPUqLy3HAAAA3wAA&#10;AA8AAAAAAAAAAAAAAAAABwIAAGRycy9kb3ducmV2LnhtbFBLBQYAAAAAAwADALcAAAD7AgAAAAA=&#10;" filled="f" stroked="f">
                  <v:textbox inset="0,0,0,0">
                    <w:txbxContent>
                      <w:p w14:paraId="2B349139" w14:textId="77777777" w:rsidR="00B32EF2" w:rsidRDefault="00000000">
                        <w:r>
                          <w:rPr>
                            <w:rFonts w:ascii="Arial" w:eastAsia="Arial" w:hAnsi="Arial" w:cs="Arial"/>
                            <w:i/>
                            <w:sz w:val="18"/>
                          </w:rPr>
                          <w:t>8-</w:t>
                        </w:r>
                      </w:p>
                    </w:txbxContent>
                  </v:textbox>
                </v:rect>
                <v:rect id="Rectangle 200858" o:spid="_x0000_s3511" style="position:absolute;left:-13316;top:10057;width:510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btfxwAAAN8AAAAPAAAAZHJzL2Rvd25yZXYueG1sRI9Na8Mw&#10;DIbvg/0Ho0Fvq7NBS8jqltFRmsMu6wfsKGI1yRbLJnabdL9+OhR6FK/eR3oWq9F16kJ9bD0beJlm&#10;oIgrb1uuDRz2m+ccVEzIFjvPZOBKEVbLx4cFFtYP/EWXXaqVQDgWaKBJKRRax6ohh3HqA7FkJ987&#10;TDL2tbY9DgJ3nX7Nsrl22LJcaDDQuqHqd3d2Br4/OJSbQVenv3X4/Cnzbns+HI2ZPI3vb6ASjem+&#10;fGuX1oAQ85k8LD7iAnr5DwAA//8DAFBLAQItABQABgAIAAAAIQDb4fbL7gAAAIUBAAATAAAAAAAA&#10;AAAAAAAAAAAAAABbQ29udGVudF9UeXBlc10ueG1sUEsBAi0AFAAGAAgAAAAhAFr0LFu/AAAAFQEA&#10;AAsAAAAAAAAAAAAAAAAAHwEAAF9yZWxzLy5yZWxzUEsBAi0AFAAGAAgAAAAhAIS1u1/HAAAA3wAA&#10;AA8AAAAAAAAAAAAAAAAABwIAAGRycy9kb3ducmV2LnhtbFBLBQYAAAAAAwADALcAAAD7AgAAAAA=&#10;" filled="f" stroked="f">
                  <v:textbox inset="0,0,0,0">
                    <w:txbxContent>
                      <w:p w14:paraId="05F5BD5C" w14:textId="77777777" w:rsidR="00B32EF2" w:rsidRDefault="00000000">
                        <w:r>
                          <w:rPr>
                            <w:rFonts w:ascii="Arial" w:eastAsia="Arial" w:hAnsi="Arial" w:cs="Arial"/>
                            <w:i/>
                            <w:sz w:val="18"/>
                          </w:rPr>
                          <w:t xml:space="preserve">bis) invitare ogni altro soggetto ad esibire o trasmettere, anche in copia </w:t>
                        </w:r>
                      </w:p>
                    </w:txbxContent>
                  </v:textbox>
                </v:rect>
                <v:rect id="Rectangle 17839" o:spid="_x0000_s3512" style="position:absolute;left:-11210;top:8824;width:50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MFUxQAAAN4AAAAPAAAAZHJzL2Rvd25yZXYueG1sRE9Na8JA&#10;EL0L/odlhN50o4U2ja4iipiDl1oLHofsmKTNzi7Z1cT+erdQ6G0e73MWq9404katry0rmE4SEMSF&#10;1TWXCk4fu3EKwgdkjY1lUnAnD6vlcLDATNuO3+l2DKWIIewzVFCF4DIpfVGRQT+xjjhyF9saDBG2&#10;pdQtdjHcNHKWJC/SYM2xoUJHm4qK7+PVKDhv2eW7ThaXn407fOVps7+ePpV6GvXrOYhAffgX/7lz&#10;Hee/ps9v8PtOvEEuHwAAAP//AwBQSwECLQAUAAYACAAAACEA2+H2y+4AAACFAQAAEwAAAAAAAAAA&#10;AAAAAAAAAAAAW0NvbnRlbnRfVHlwZXNdLnhtbFBLAQItABQABgAIAAAAIQBa9CxbvwAAABUBAAAL&#10;AAAAAAAAAAAAAAAAAB8BAABfcmVscy8ucmVsc1BLAQItABQABgAIAAAAIQDWSMFUxQAAAN4AAAAP&#10;AAAAAAAAAAAAAAAAAAcCAABkcnMvZG93bnJldi54bWxQSwUGAAAAAAMAAwC3AAAA+QIAAAAA&#10;" filled="f" stroked="f">
                  <v:textbox inset="0,0,0,0">
                    <w:txbxContent>
                      <w:p w14:paraId="7E382B2A" w14:textId="77777777" w:rsidR="00B32EF2" w:rsidRDefault="00000000">
                        <w:r>
                          <w:rPr>
                            <w:rFonts w:ascii="Arial" w:eastAsia="Arial" w:hAnsi="Arial" w:cs="Arial"/>
                            <w:i/>
                            <w:sz w:val="18"/>
                          </w:rPr>
                          <w:t>fotostatica, atti o documenti fiscalmente rilevanti concernenti specifici rap</w:t>
                        </w:r>
                      </w:p>
                    </w:txbxContent>
                  </v:textbox>
                </v:rect>
                <v:rect id="Rectangle 17840" o:spid="_x0000_s3513" style="position:absolute;left:657;top:882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Bu0yAAAAN4AAAAPAAAAZHJzL2Rvd25yZXYueG1sRI9Pa8Mw&#10;DMXvg30Ho0Fvq7NRtpDVLaOjNIdd+g92FLGaZItlE7tNuk8/HQq7SejpvfebL0fXqQv1sfVs4Gma&#10;gSKuvG25NnDYrx9zUDEhW+w8k4ErRVgu7u/mWFg/8JYuu1QrMeFYoIEmpVBoHauGHMapD8RyO/ne&#10;YZK1r7XtcRBz1+nnLHvRDluWhAYDrRqqfnZnZ+Drg0O5HnR1+l2Fz+8y7zbnw9GYycP4/gYq0Zj+&#10;xbfv0kr913wmAIIjM+jFHwAAAP//AwBQSwECLQAUAAYACAAAACEA2+H2y+4AAACFAQAAEwAAAAAA&#10;AAAAAAAAAAAAAAAAW0NvbnRlbnRfVHlwZXNdLnhtbFBLAQItABQABgAIAAAAIQBa9CxbvwAAABUB&#10;AAALAAAAAAAAAAAAAAAAAB8BAABfcmVscy8ucmVsc1BLAQItABQABgAIAAAAIQAfdBu0yAAAAN4A&#10;AAAPAAAAAAAAAAAAAAAAAAcCAABkcnMvZG93bnJldi54bWxQSwUGAAAAAAMAAwC3AAAA/AIAAAAA&#10;" filled="f" stroked="f">
                  <v:textbox inset="0,0,0,0">
                    <w:txbxContent>
                      <w:p w14:paraId="75749EAD" w14:textId="77777777" w:rsidR="00B32EF2" w:rsidRDefault="00000000">
                        <w:r>
                          <w:rPr>
                            <w:rFonts w:ascii="Arial" w:eastAsia="Arial" w:hAnsi="Arial" w:cs="Arial"/>
                            <w:i/>
                            <w:sz w:val="18"/>
                          </w:rPr>
                          <w:t>-</w:t>
                        </w:r>
                      </w:p>
                    </w:txbxContent>
                  </v:textbox>
                </v:rect>
                <v:rect id="Rectangle 17841" o:spid="_x0000_s3514" style="position:absolute;left:-6121;top:7590;width:449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L4vxAAAAN4AAAAPAAAAZHJzL2Rvd25yZXYueG1sRE9Na8JA&#10;EL0X/A/LCN7qRiltiK4iijQHL7UKHofsmESzs0t2NdFf3y0UepvH+5z5sjeNuFPra8sKJuMEBHFh&#10;dc2lgsP39jUF4QOyxsYyKXiQh+Vi8DLHTNuOv+i+D6WIIewzVFCF4DIpfVGRQT+2jjhyZ9saDBG2&#10;pdQtdjHcNHKaJO/SYM2xoUJH64qK6/5mFJw27PJtJ4vzc+12lzxtPm+Ho1KjYb+agQjUh3/xnzvX&#10;cf5H+jaB33fiDXLxAwAA//8DAFBLAQItABQABgAIAAAAIQDb4fbL7gAAAIUBAAATAAAAAAAAAAAA&#10;AAAAAAAAAABbQ29udGVudF9UeXBlc10ueG1sUEsBAi0AFAAGAAgAAAAhAFr0LFu/AAAAFQEAAAsA&#10;AAAAAAAAAAAAAAAAHwEAAF9yZWxzLy5yZWxzUEsBAi0AFAAGAAgAAAAhAHA4vi/EAAAA3gAAAA8A&#10;AAAAAAAAAAAAAAAABwIAAGRycy9kb3ducmV2LnhtbFBLBQYAAAAAAwADALcAAAD4AgAAAAA=&#10;" filled="f" stroked="f">
                  <v:textbox inset="0,0,0,0">
                    <w:txbxContent>
                      <w:p w14:paraId="72B68A1E" w14:textId="77777777" w:rsidR="00B32EF2" w:rsidRDefault="00000000">
                        <w:r>
                          <w:rPr>
                            <w:rFonts w:ascii="Arial" w:eastAsia="Arial" w:hAnsi="Arial" w:cs="Arial"/>
                            <w:i/>
                            <w:sz w:val="18"/>
                          </w:rPr>
                          <w:t>porti intrattenuti con il contribuente e a fornire i chiarimenti relativi;</w:t>
                        </w:r>
                      </w:p>
                    </w:txbxContent>
                  </v:textbox>
                </v:rect>
                <v:rect id="Rectangle 200855" o:spid="_x0000_s3515" style="position:absolute;left:25091;top:6357;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BTBxwAAAN8AAAAPAAAAZHJzL2Rvd25yZXYueG1sRI9Pa8JA&#10;FMTvBb/D8gRvdVNBCakbKYqYQy9ahR4f2Zc/bfbtkl1N2k/fFYQeh5n5DbPejKYTN+p9a1nByzwB&#10;QVxa3XKt4Pyxf05B+ICssbNMCn7IwyafPK0x03bgI91OoRYRwj5DBU0ILpPSlw0Z9HPriKNX2d5g&#10;iLKvpe5xiHDTyUWSrKTBluNCg462DZXfp6tR8LljV+wHWVa/W/f+VaTd4Xq+KDWbjm+vIAKN4T/8&#10;aBdaQSSmyyXc/8QvIPM/AAAA//8DAFBLAQItABQABgAIAAAAIQDb4fbL7gAAAIUBAAATAAAAAAAA&#10;AAAAAAAAAAAAAABbQ29udGVudF9UeXBlc10ueG1sUEsBAi0AFAAGAAgAAAAhAFr0LFu/AAAAFQEA&#10;AAsAAAAAAAAAAAAAAAAAHwEAAF9yZWxzLy5yZWxzUEsBAi0AFAAGAAgAAAAhAGq0FMHHAAAA3wAA&#10;AA8AAAAAAAAAAAAAAAAABwIAAGRycy9kb3ducmV2LnhtbFBLBQYAAAAAAwADALcAAAD7AgAAAAA=&#10;" filled="f" stroked="f">
                  <v:textbox inset="0,0,0,0">
                    <w:txbxContent>
                      <w:p w14:paraId="55744904" w14:textId="77777777" w:rsidR="00B32EF2" w:rsidRDefault="00000000">
                        <w:r>
                          <w:rPr>
                            <w:rFonts w:ascii="Arial" w:eastAsia="Arial" w:hAnsi="Arial" w:cs="Arial"/>
                            <w:i/>
                            <w:sz w:val="18"/>
                          </w:rPr>
                          <w:t>8-</w:t>
                        </w:r>
                      </w:p>
                    </w:txbxContent>
                  </v:textbox>
                </v:rect>
                <v:rect id="Rectangle 200856" o:spid="_x0000_s3516" style="position:absolute;left:-13295;top:6357;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oq2xgAAAN8AAAAPAAAAZHJzL2Rvd25yZXYueG1sRI9Pi8Iw&#10;FMTvC36H8IS9rekKSukaZVHEHrz4D/b4aJ5td5uX0ETb9dMbQfA4zMxvmNmiN424Uutrywo+RwkI&#10;4sLqmksFx8P6IwXhA7LGxjIp+CcPi/ngbYaZth3v6LoPpYgQ9hkqqEJwmZS+qMigH1lHHL2zbQ2G&#10;KNtS6ha7CDeNHCfJVBqsOS5U6GhZUfG3vxgFPyt2+bqTxfm2dNvfPG02l+NJqfdh//0FIlAfXuFn&#10;O9cKIjGdTOHxJ34BOb8DAAD//wMAUEsBAi0AFAAGAAgAAAAhANvh9svuAAAAhQEAABMAAAAAAAAA&#10;AAAAAAAAAAAAAFtDb250ZW50X1R5cGVzXS54bWxQSwECLQAUAAYACAAAACEAWvQsW78AAAAVAQAA&#10;CwAAAAAAAAAAAAAAAAAfAQAAX3JlbHMvLnJlbHNQSwECLQAUAAYACAAAACEAmmaKtsYAAADfAAAA&#10;DwAAAAAAAAAAAAAAAAAHAgAAZHJzL2Rvd25yZXYueG1sUEsFBgAAAAADAAMAtwAAAPoCAAAAAA==&#10;" filled="f" stroked="f">
                  <v:textbox inset="0,0,0,0">
                    <w:txbxContent>
                      <w:p w14:paraId="5747C687" w14:textId="77777777" w:rsidR="00B32EF2" w:rsidRDefault="00000000">
                        <w:r>
                          <w:rPr>
                            <w:rFonts w:ascii="Arial" w:eastAsia="Arial" w:hAnsi="Arial" w:cs="Arial"/>
                            <w:i/>
                            <w:sz w:val="18"/>
                          </w:rPr>
                          <w:t xml:space="preserve">ter) richiedere agli amministratori di condominio negli edifici dati, notizie </w:t>
                        </w:r>
                      </w:p>
                    </w:txbxContent>
                  </v:textbox>
                </v:rect>
                <v:rect id="Rectangle 17843" o:spid="_x0000_s3517" style="position:absolute;left:6566;top:5124;width:322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oXDxQAAAN4AAAAPAAAAZHJzL2Rvd25yZXYueG1sRE9Na8JA&#10;EL0X+h+WKXirm9aiIbpKsYg5eKlV8DhkxySanV2yq4n99W5B6G0e73Nmi9404kqtry0reBsmIIgL&#10;q2suFex+Vq8pCB+QNTaWScGNPCzmz08zzLTt+Juu21CKGMI+QwVVCC6T0hcVGfRD64gjd7StwRBh&#10;W0rdYhfDTSPfk2QsDdYcGyp0tKyoOG8vRsHhi12+6mRx/F26zSlPm/Vlt1dq8NJ/TkEE6sO/+OHO&#10;dZw/ST9G8PdOvEHO7wAAAP//AwBQSwECLQAUAAYACAAAACEA2+H2y+4AAACFAQAAEwAAAAAAAAAA&#10;AAAAAAAAAAAAW0NvbnRlbnRfVHlwZXNdLnhtbFBLAQItABQABgAIAAAAIQBa9CxbvwAAABUBAAAL&#10;AAAAAAAAAAAAAAAAAB8BAABfcmVscy8ucmVsc1BLAQItABQABgAIAAAAIQDvpoXDxQAAAN4AAAAP&#10;AAAAAAAAAAAAAAAAAAcCAABkcnMvZG93bnJldi54bWxQSwUGAAAAAAMAAwC3AAAA+QIAAAAA&#10;" filled="f" stroked="f">
                  <v:textbox inset="0,0,0,0">
                    <w:txbxContent>
                      <w:p w14:paraId="21879DAD" w14:textId="77777777" w:rsidR="00B32EF2" w:rsidRDefault="00000000">
                        <w:r>
                          <w:rPr>
                            <w:rFonts w:ascii="Arial" w:eastAsia="Arial" w:hAnsi="Arial" w:cs="Arial"/>
                            <w:i/>
                            <w:sz w:val="18"/>
                          </w:rPr>
                          <w:t>e documenti relativi alla gestione condominiale.</w:t>
                        </w:r>
                      </w:p>
                    </w:txbxContent>
                  </v:textbox>
                </v:rect>
                <v:rect id="Rectangle 200852" o:spid="_x0000_s3518" style="position:absolute;left:27642;top:3890;width:407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Yy1xgAAAN8AAAAPAAAAZHJzL2Rvd25yZXYueG1sRI9Ba8JA&#10;FITvhf6H5RV6q5sKlRBdpShiDr1oI3h8ZJ9JNPt2ya4m9de7gtDjMDPfMLPFYFpxpc43lhV8jhIQ&#10;xKXVDVcKit/1RwrCB2SNrWVS8EceFvPXlxlm2va8pesuVCJC2GeooA7BZVL6siaDfmQdcfSOtjMY&#10;ouwqqTvsI9y0cpwkE2mw4bhQo6NlTeV5dzEKDit2+bqX5fG2dD+nPG03l2Kv1Pvb8D0FEWgI/+Fn&#10;O9cKIjH9GsPjT/wCcn4HAAD//wMAUEsBAi0AFAAGAAgAAAAhANvh9svuAAAAhQEAABMAAAAAAAAA&#10;AAAAAAAAAAAAAFtDb250ZW50X1R5cGVzXS54bWxQSwECLQAUAAYACAAAACEAWvQsW78AAAAVAQAA&#10;CwAAAAAAAAAAAAAAAAAfAQAAX3JlbHMvLnJlbHNQSwECLQAUAAYACAAAACEA5V2MtcYAAADfAAAA&#10;DwAAAAAAAAAAAAAAAAAHAgAAZHJzL2Rvd25yZXYueG1sUEsFBgAAAAADAAMAtwAAAPoCAAAAAA==&#10;" filled="f" stroked="f">
                  <v:textbox inset="0,0,0,0">
                    <w:txbxContent>
                      <w:p w14:paraId="4B558F07" w14:textId="77777777" w:rsidR="00B32EF2" w:rsidRDefault="00000000">
                        <w:r>
                          <w:rPr>
                            <w:rFonts w:ascii="Arial" w:eastAsia="Arial" w:hAnsi="Arial" w:cs="Arial"/>
                            <w:i/>
                            <w:sz w:val="18"/>
                          </w:rPr>
                          <w:t>8-</w:t>
                        </w:r>
                      </w:p>
                    </w:txbxContent>
                  </v:textbox>
                </v:rect>
                <v:rect id="Rectangle 200854" o:spid="_x0000_s3519" style="position:absolute;left:-3028;top:3890;width:407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FaxwAAAN8AAAAPAAAAZHJzL2Rvd25yZXYueG1sRI9Ba8JA&#10;FITvgv9heUJvumlpJaRuQrFIc/BSa6HHR/aZRLNvl+xqUn99tyB4HGbmG2ZVjKYTF+p9a1nB4yIB&#10;QVxZ3XKtYP+1macgfEDW2FkmBb/kocinkxVm2g78SZddqEWEsM9QQROCy6T0VUMG/cI64ugdbG8w&#10;RNnXUvc4RLjp5FOSLKXBluNCg47WDVWn3dko+HlnV24GWR2ua7c9lmn3cd5/K/UwG99eQQQawz18&#10;a5daQSSmL8/w/yd+AZn/AQAA//8DAFBLAQItABQABgAIAAAAIQDb4fbL7gAAAIUBAAATAAAAAAAA&#10;AAAAAAAAAAAAAABbQ29udGVudF9UeXBlc10ueG1sUEsBAi0AFAAGAAgAAAAhAFr0LFu/AAAAFQEA&#10;AAsAAAAAAAAAAAAAAAAAHwEAAF9yZWxzLy5yZWxzUEsBAi0AFAAGAAgAAAAhAAX4sVrHAAAA3wAA&#10;AA8AAAAAAAAAAAAAAAAABwIAAGRycy9kb3ducmV2LnhtbFBLBQYAAAAAAwADALcAAAD7AgAAAAA=&#10;" filled="f" stroked="f">
                  <v:textbox inset="0,0,0,0">
                    <w:txbxContent>
                      <w:p w14:paraId="02540789" w14:textId="77777777" w:rsidR="00B32EF2" w:rsidRDefault="00000000">
                        <w:r>
                          <w:rPr>
                            <w:rFonts w:ascii="Arial" w:eastAsia="Arial" w:hAnsi="Arial" w:cs="Arial"/>
                            <w:i/>
                            <w:sz w:val="18"/>
                          </w:rPr>
                          <w:t>quater) svolgere le opportune attività di analisi del rischio.</w:t>
                        </w:r>
                      </w:p>
                    </w:txbxContent>
                  </v:textbox>
                </v:rect>
                <v:shape id="Shape 17845" o:spid="_x0000_s3520" style="position:absolute;top:3517;width:39600;height:59318;visibility:visible;mso-wrap-style:square;v-text-anchor:top" coordsize="3960000,593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5cPxQAAAN4AAAAPAAAAZHJzL2Rvd25yZXYueG1sRE9NawIx&#10;EL0X/A9hhN5q1sVWWY0iQqFoL7V68DZuxuziZrImqbv9902h0Ns83ucsVr1txJ18qB0rGI8yEMSl&#10;0zUbBYfP16cZiBCRNTaOScE3BVgtBw8LLLTr+IPu+2hECuFQoIIqxraQMpQVWQwj1xIn7uK8xZig&#10;N1J77FK4bWSeZS/SYs2pocKWNhWV1/2XVXDOT9PuODmfvHGU0+b91pvdVqnHYb+eg4jUx3/xn/tN&#10;p/nT2eQZft9JN8jlDwAAAP//AwBQSwECLQAUAAYACAAAACEA2+H2y+4AAACFAQAAEwAAAAAAAAAA&#10;AAAAAAAAAAAAW0NvbnRlbnRfVHlwZXNdLnhtbFBLAQItABQABgAIAAAAIQBa9CxbvwAAABUBAAAL&#10;AAAAAAAAAAAAAAAAAB8BAABfcmVscy8ucmVsc1BLAQItABQABgAIAAAAIQAp85cPxQAAAN4AAAAP&#10;AAAAAAAAAAAAAAAAAAcCAABkcnMvZG93bnJldi54bWxQSwUGAAAAAAMAAwC3AAAA+QIAAAAA&#10;" path="m,5931802r3960000,l3960000,,,,,5931802xe" filled="f" strokeweight="1pt">
                  <v:stroke miterlimit="1" joinstyle="miter"/>
                  <v:path arrowok="t" textboxrect="0,0,3960000,5931802"/>
                </v:shape>
                <w10:anchorlock/>
              </v:group>
            </w:pict>
          </mc:Fallback>
        </mc:AlternateContent>
      </w:r>
    </w:p>
    <w:p w14:paraId="7A28D799" w14:textId="77777777" w:rsidR="00B32EF2" w:rsidRDefault="00000000">
      <w:pPr>
        <w:spacing w:after="0"/>
        <w:ind w:left="-306" w:right="-306"/>
      </w:pPr>
      <w:r>
        <w:rPr>
          <w:noProof/>
        </w:rPr>
        <w:lastRenderedPageBreak/>
        <mc:AlternateContent>
          <mc:Choice Requires="wpg">
            <w:drawing>
              <wp:inline distT="0" distB="0" distL="0" distR="0" wp14:anchorId="2820DB72" wp14:editId="0F8F721E">
                <wp:extent cx="3960001" cy="6273007"/>
                <wp:effectExtent l="0" t="0" r="0" b="0"/>
                <wp:docPr id="200894" name="Group 200894"/>
                <wp:cNvGraphicFramePr/>
                <a:graphic xmlns:a="http://schemas.openxmlformats.org/drawingml/2006/main">
                  <a:graphicData uri="http://schemas.microsoft.com/office/word/2010/wordprocessingGroup">
                    <wpg:wgp>
                      <wpg:cNvGrpSpPr/>
                      <wpg:grpSpPr>
                        <a:xfrm>
                          <a:off x="0" y="0"/>
                          <a:ext cx="3960001" cy="6273007"/>
                          <a:chOff x="0" y="0"/>
                          <a:chExt cx="3960001" cy="6273007"/>
                        </a:xfrm>
                      </wpg:grpSpPr>
                      <wps:wsp>
                        <wps:cNvPr id="17919" name="Rectangle 17919"/>
                        <wps:cNvSpPr/>
                        <wps:spPr>
                          <a:xfrm rot="-10799999">
                            <a:off x="1868687" y="-62190"/>
                            <a:ext cx="178369" cy="250646"/>
                          </a:xfrm>
                          <a:prstGeom prst="rect">
                            <a:avLst/>
                          </a:prstGeom>
                          <a:ln>
                            <a:noFill/>
                          </a:ln>
                        </wps:spPr>
                        <wps:txbx>
                          <w:txbxContent>
                            <w:p w14:paraId="7993C1A1" w14:textId="77777777" w:rsidR="00B32EF2" w:rsidRDefault="00000000">
                              <w:r>
                                <w:rPr>
                                  <w:rFonts w:ascii="Times New Roman" w:eastAsia="Times New Roman" w:hAnsi="Times New Roman" w:cs="Times New Roman"/>
                                </w:rPr>
                                <w:t>68</w:t>
                              </w:r>
                            </w:p>
                          </w:txbxContent>
                        </wps:txbx>
                        <wps:bodyPr horzOverflow="overflow" vert="horz" lIns="0" tIns="0" rIns="0" bIns="0" rtlCol="0">
                          <a:noAutofit/>
                        </wps:bodyPr>
                      </wps:wsp>
                      <wps:wsp>
                        <wps:cNvPr id="207910" name="Shape 207910"/>
                        <wps:cNvSpPr/>
                        <wps:spPr>
                          <a:xfrm>
                            <a:off x="1" y="324706"/>
                            <a:ext cx="3960000" cy="5948299"/>
                          </a:xfrm>
                          <a:custGeom>
                            <a:avLst/>
                            <a:gdLst/>
                            <a:ahLst/>
                            <a:cxnLst/>
                            <a:rect l="0" t="0" r="0" b="0"/>
                            <a:pathLst>
                              <a:path w="3960000" h="5948299">
                                <a:moveTo>
                                  <a:pt x="0" y="0"/>
                                </a:moveTo>
                                <a:lnTo>
                                  <a:pt x="3960000" y="0"/>
                                </a:lnTo>
                                <a:lnTo>
                                  <a:pt x="3960000" y="5948299"/>
                                </a:lnTo>
                                <a:lnTo>
                                  <a:pt x="0" y="5948299"/>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7921" name="Rectangle 17921"/>
                        <wps:cNvSpPr/>
                        <wps:spPr>
                          <a:xfrm rot="-10799999">
                            <a:off x="-1219347" y="6051765"/>
                            <a:ext cx="5100542" cy="142891"/>
                          </a:xfrm>
                          <a:prstGeom prst="rect">
                            <a:avLst/>
                          </a:prstGeom>
                          <a:ln>
                            <a:noFill/>
                          </a:ln>
                        </wps:spPr>
                        <wps:txbx>
                          <w:txbxContent>
                            <w:p w14:paraId="02905050" w14:textId="77777777" w:rsidR="00B32EF2" w:rsidRDefault="00000000">
                              <w:r>
                                <w:rPr>
                                  <w:rFonts w:ascii="Arial" w:eastAsia="Arial" w:hAnsi="Arial" w:cs="Arial"/>
                                  <w:i/>
                                  <w:sz w:val="18"/>
                                </w:rPr>
                                <w:t xml:space="preserve">richieste fatte e le risposte ricevute devono risultare da verbale sottoscritto </w:t>
                              </w:r>
                            </w:p>
                          </w:txbxContent>
                        </wps:txbx>
                        <wps:bodyPr horzOverflow="overflow" vert="horz" lIns="0" tIns="0" rIns="0" bIns="0" rtlCol="0">
                          <a:noAutofit/>
                        </wps:bodyPr>
                      </wps:wsp>
                      <wps:wsp>
                        <wps:cNvPr id="17922" name="Rectangle 17922"/>
                        <wps:cNvSpPr/>
                        <wps:spPr>
                          <a:xfrm rot="-10799999">
                            <a:off x="-1217661" y="5928436"/>
                            <a:ext cx="5095313" cy="142889"/>
                          </a:xfrm>
                          <a:prstGeom prst="rect">
                            <a:avLst/>
                          </a:prstGeom>
                          <a:ln>
                            <a:noFill/>
                          </a:ln>
                        </wps:spPr>
                        <wps:txbx>
                          <w:txbxContent>
                            <w:p w14:paraId="5AB52A06" w14:textId="77777777" w:rsidR="00B32EF2" w:rsidRDefault="00000000">
                              <w:r>
                                <w:rPr>
                                  <w:rFonts w:ascii="Arial" w:eastAsia="Arial" w:hAnsi="Arial" w:cs="Arial"/>
                                  <w:i/>
                                  <w:sz w:val="18"/>
                                </w:rPr>
                                <w:t xml:space="preserve">anche dal contribuente o dal suo rappresentante; in mancanza deve essere </w:t>
                              </w:r>
                            </w:p>
                          </w:txbxContent>
                        </wps:txbx>
                        <wps:bodyPr horzOverflow="overflow" vert="horz" lIns="0" tIns="0" rIns="0" bIns="0" rtlCol="0">
                          <a:noAutofit/>
                        </wps:bodyPr>
                      </wps:wsp>
                      <wps:wsp>
                        <wps:cNvPr id="17923" name="Rectangle 17923"/>
                        <wps:cNvSpPr/>
                        <wps:spPr>
                          <a:xfrm rot="-10799999">
                            <a:off x="-1219120" y="5805106"/>
                            <a:ext cx="5103172" cy="142889"/>
                          </a:xfrm>
                          <a:prstGeom prst="rect">
                            <a:avLst/>
                          </a:prstGeom>
                          <a:ln>
                            <a:noFill/>
                          </a:ln>
                        </wps:spPr>
                        <wps:txbx>
                          <w:txbxContent>
                            <w:p w14:paraId="48398693" w14:textId="77777777" w:rsidR="00B32EF2" w:rsidRDefault="00000000">
                              <w:r>
                                <w:rPr>
                                  <w:rFonts w:ascii="Arial" w:eastAsia="Arial" w:hAnsi="Arial" w:cs="Arial"/>
                                  <w:i/>
                                  <w:sz w:val="18"/>
                                </w:rPr>
                                <w:t xml:space="preserve">indicato il motivo della mancata sottoscrizione. Il contribuente ha diritto ad </w:t>
                              </w:r>
                            </w:p>
                          </w:txbxContent>
                        </wps:txbx>
                        <wps:bodyPr horzOverflow="overflow" vert="horz" lIns="0" tIns="0" rIns="0" bIns="0" rtlCol="0">
                          <a:noAutofit/>
                        </wps:bodyPr>
                      </wps:wsp>
                      <wps:wsp>
                        <wps:cNvPr id="17924" name="Rectangle 17924"/>
                        <wps:cNvSpPr/>
                        <wps:spPr>
                          <a:xfrm rot="-10799999">
                            <a:off x="2258741" y="5681777"/>
                            <a:ext cx="1622910" cy="142889"/>
                          </a:xfrm>
                          <a:prstGeom prst="rect">
                            <a:avLst/>
                          </a:prstGeom>
                          <a:ln>
                            <a:noFill/>
                          </a:ln>
                        </wps:spPr>
                        <wps:txbx>
                          <w:txbxContent>
                            <w:p w14:paraId="4AB61567" w14:textId="77777777" w:rsidR="00B32EF2" w:rsidRDefault="00000000">
                              <w:r>
                                <w:rPr>
                                  <w:rFonts w:ascii="Arial" w:eastAsia="Arial" w:hAnsi="Arial" w:cs="Arial"/>
                                  <w:i/>
                                  <w:sz w:val="18"/>
                                </w:rPr>
                                <w:t>avere copia del verbale;</w:t>
                              </w:r>
                            </w:p>
                          </w:txbxContent>
                        </wps:txbx>
                        <wps:bodyPr horzOverflow="overflow" vert="horz" lIns="0" tIns="0" rIns="0" bIns="0" rtlCol="0">
                          <a:noAutofit/>
                        </wps:bodyPr>
                      </wps:wsp>
                      <wps:wsp>
                        <wps:cNvPr id="200807" name="Rectangle 200807"/>
                        <wps:cNvSpPr/>
                        <wps:spPr>
                          <a:xfrm rot="-10799999">
                            <a:off x="-1322607" y="5558447"/>
                            <a:ext cx="5107778" cy="142889"/>
                          </a:xfrm>
                          <a:prstGeom prst="rect">
                            <a:avLst/>
                          </a:prstGeom>
                          <a:ln>
                            <a:noFill/>
                          </a:ln>
                        </wps:spPr>
                        <wps:txbx>
                          <w:txbxContent>
                            <w:p w14:paraId="697F6E13" w14:textId="77777777" w:rsidR="00B32EF2" w:rsidRDefault="00000000">
                              <w:r>
                                <w:rPr>
                                  <w:rFonts w:ascii="Arial" w:eastAsia="Arial" w:hAnsi="Arial" w:cs="Arial"/>
                                  <w:i/>
                                  <w:sz w:val="18"/>
                                </w:rPr>
                                <w:t xml:space="preserve"> invitare i contribuenti, indicandone il motivo, a esibire o trasmettere atti </w:t>
                              </w:r>
                            </w:p>
                          </w:txbxContent>
                        </wps:txbx>
                        <wps:bodyPr horzOverflow="overflow" vert="horz" lIns="0" tIns="0" rIns="0" bIns="0" rtlCol="0">
                          <a:noAutofit/>
                        </wps:bodyPr>
                      </wps:wsp>
                      <wps:wsp>
                        <wps:cNvPr id="200806" name="Rectangle 200806"/>
                        <wps:cNvSpPr/>
                        <wps:spPr>
                          <a:xfrm rot="-10799999">
                            <a:off x="2512454" y="5558447"/>
                            <a:ext cx="5107778" cy="142889"/>
                          </a:xfrm>
                          <a:prstGeom prst="rect">
                            <a:avLst/>
                          </a:prstGeom>
                          <a:ln>
                            <a:noFill/>
                          </a:ln>
                        </wps:spPr>
                        <wps:txbx>
                          <w:txbxContent>
                            <w:p w14:paraId="45858DE5"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17926" name="Rectangle 17926"/>
                        <wps:cNvSpPr/>
                        <wps:spPr>
                          <a:xfrm rot="-10799999">
                            <a:off x="-1218966" y="5435117"/>
                            <a:ext cx="5100618" cy="142889"/>
                          </a:xfrm>
                          <a:prstGeom prst="rect">
                            <a:avLst/>
                          </a:prstGeom>
                          <a:ln>
                            <a:noFill/>
                          </a:ln>
                        </wps:spPr>
                        <wps:txbx>
                          <w:txbxContent>
                            <w:p w14:paraId="5C9BA32E" w14:textId="77777777" w:rsidR="00B32EF2" w:rsidRDefault="00000000">
                              <w:r>
                                <w:rPr>
                                  <w:rFonts w:ascii="Arial" w:eastAsia="Arial" w:hAnsi="Arial" w:cs="Arial"/>
                                  <w:i/>
                                  <w:sz w:val="18"/>
                                </w:rPr>
                                <w:t xml:space="preserve">e documenti rilevanti ai fini dell’accertamento nei loro confronti, compresi </w:t>
                              </w:r>
                            </w:p>
                          </w:txbxContent>
                        </wps:txbx>
                        <wps:bodyPr horzOverflow="overflow" vert="horz" lIns="0" tIns="0" rIns="0" bIns="0" rtlCol="0">
                          <a:noAutofit/>
                        </wps:bodyPr>
                      </wps:wsp>
                      <wps:wsp>
                        <wps:cNvPr id="17927" name="Rectangle 17927"/>
                        <wps:cNvSpPr/>
                        <wps:spPr>
                          <a:xfrm rot="-10799999">
                            <a:off x="-1219942" y="5311788"/>
                            <a:ext cx="5106623" cy="142889"/>
                          </a:xfrm>
                          <a:prstGeom prst="rect">
                            <a:avLst/>
                          </a:prstGeom>
                          <a:ln>
                            <a:noFill/>
                          </a:ln>
                        </wps:spPr>
                        <wps:txbx>
                          <w:txbxContent>
                            <w:p w14:paraId="1EA0BF22" w14:textId="77777777" w:rsidR="00B32EF2" w:rsidRDefault="00000000">
                              <w:r>
                                <w:rPr>
                                  <w:rFonts w:ascii="Arial" w:eastAsia="Arial" w:hAnsi="Arial" w:cs="Arial"/>
                                  <w:i/>
                                  <w:sz w:val="18"/>
                                </w:rPr>
                                <w:t xml:space="preserve">i documenti di cui al successivo art. 34. Ai soggetti obbligati alla tenuta di </w:t>
                              </w:r>
                            </w:p>
                          </w:txbxContent>
                        </wps:txbx>
                        <wps:bodyPr horzOverflow="overflow" vert="horz" lIns="0" tIns="0" rIns="0" bIns="0" rtlCol="0">
                          <a:noAutofit/>
                        </wps:bodyPr>
                      </wps:wsp>
                      <wps:wsp>
                        <wps:cNvPr id="17928" name="Rectangle 17928"/>
                        <wps:cNvSpPr/>
                        <wps:spPr>
                          <a:xfrm rot="-10799999">
                            <a:off x="-1220452" y="5188458"/>
                            <a:ext cx="5106562" cy="142889"/>
                          </a:xfrm>
                          <a:prstGeom prst="rect">
                            <a:avLst/>
                          </a:prstGeom>
                          <a:ln>
                            <a:noFill/>
                          </a:ln>
                        </wps:spPr>
                        <wps:txbx>
                          <w:txbxContent>
                            <w:p w14:paraId="4FEA0215" w14:textId="77777777" w:rsidR="00B32EF2" w:rsidRDefault="00000000">
                              <w:r>
                                <w:rPr>
                                  <w:rFonts w:ascii="Arial" w:eastAsia="Arial" w:hAnsi="Arial" w:cs="Arial"/>
                                  <w:i/>
                                  <w:sz w:val="18"/>
                                </w:rPr>
                                <w:t xml:space="preserve">scritture contabili secondo le disposizioni del titolo III può essere richiesta </w:t>
                              </w:r>
                            </w:p>
                          </w:txbxContent>
                        </wps:txbx>
                        <wps:bodyPr horzOverflow="overflow" vert="horz" lIns="0" tIns="0" rIns="0" bIns="0" rtlCol="0">
                          <a:noAutofit/>
                        </wps:bodyPr>
                      </wps:wsp>
                      <wps:wsp>
                        <wps:cNvPr id="17929" name="Rectangle 17929"/>
                        <wps:cNvSpPr/>
                        <wps:spPr>
                          <a:xfrm rot="-10799999">
                            <a:off x="-1220024" y="5065128"/>
                            <a:ext cx="5107276" cy="142889"/>
                          </a:xfrm>
                          <a:prstGeom prst="rect">
                            <a:avLst/>
                          </a:prstGeom>
                          <a:ln>
                            <a:noFill/>
                          </a:ln>
                        </wps:spPr>
                        <wps:txbx>
                          <w:txbxContent>
                            <w:p w14:paraId="5106765E" w14:textId="77777777" w:rsidR="00B32EF2" w:rsidRDefault="00000000">
                              <w:r>
                                <w:rPr>
                                  <w:rFonts w:ascii="Arial" w:eastAsia="Arial" w:hAnsi="Arial" w:cs="Arial"/>
                                  <w:i/>
                                  <w:sz w:val="18"/>
                                </w:rPr>
                                <w:t xml:space="preserve">anche l’esibizione dei bilanci o rendiconti e dei libri o registri previsti dalle </w:t>
                              </w:r>
                            </w:p>
                          </w:txbxContent>
                        </wps:txbx>
                        <wps:bodyPr horzOverflow="overflow" vert="horz" lIns="0" tIns="0" rIns="0" bIns="0" rtlCol="0">
                          <a:noAutofit/>
                        </wps:bodyPr>
                      </wps:wsp>
                      <wps:wsp>
                        <wps:cNvPr id="17930" name="Rectangle 17930"/>
                        <wps:cNvSpPr/>
                        <wps:spPr>
                          <a:xfrm rot="-10799999">
                            <a:off x="-1122541" y="4941799"/>
                            <a:ext cx="5004193" cy="142889"/>
                          </a:xfrm>
                          <a:prstGeom prst="rect">
                            <a:avLst/>
                          </a:prstGeom>
                          <a:ln>
                            <a:noFill/>
                          </a:ln>
                        </wps:spPr>
                        <wps:txbx>
                          <w:txbxContent>
                            <w:p w14:paraId="61416D99" w14:textId="77777777" w:rsidR="00B32EF2" w:rsidRDefault="00000000">
                              <w:r>
                                <w:rPr>
                                  <w:rFonts w:ascii="Arial" w:eastAsia="Arial" w:hAnsi="Arial" w:cs="Arial"/>
                                  <w:i/>
                                  <w:sz w:val="18"/>
                                </w:rPr>
                                <w:t>disposizioni tributarie. L’ufficio può estrarne copia ovvero trattenerli, rila</w:t>
                              </w:r>
                            </w:p>
                          </w:txbxContent>
                        </wps:txbx>
                        <wps:bodyPr horzOverflow="overflow" vert="horz" lIns="0" tIns="0" rIns="0" bIns="0" rtlCol="0">
                          <a:noAutofit/>
                        </wps:bodyPr>
                      </wps:wsp>
                      <wps:wsp>
                        <wps:cNvPr id="17931" name="Rectangle 17931"/>
                        <wps:cNvSpPr/>
                        <wps:spPr>
                          <a:xfrm rot="-10799999">
                            <a:off x="65757" y="4941798"/>
                            <a:ext cx="50622" cy="142889"/>
                          </a:xfrm>
                          <a:prstGeom prst="rect">
                            <a:avLst/>
                          </a:prstGeom>
                          <a:ln>
                            <a:noFill/>
                          </a:ln>
                        </wps:spPr>
                        <wps:txbx>
                          <w:txbxContent>
                            <w:p w14:paraId="4491D47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932" name="Rectangle 17932"/>
                        <wps:cNvSpPr/>
                        <wps:spPr>
                          <a:xfrm rot="-10799999">
                            <a:off x="-1221896" y="4818469"/>
                            <a:ext cx="5113950" cy="142889"/>
                          </a:xfrm>
                          <a:prstGeom prst="rect">
                            <a:avLst/>
                          </a:prstGeom>
                          <a:ln>
                            <a:noFill/>
                          </a:ln>
                        </wps:spPr>
                        <wps:txbx>
                          <w:txbxContent>
                            <w:p w14:paraId="5593912D" w14:textId="77777777" w:rsidR="00B32EF2" w:rsidRDefault="00000000">
                              <w:r>
                                <w:rPr>
                                  <w:rFonts w:ascii="Arial" w:eastAsia="Arial" w:hAnsi="Arial" w:cs="Arial"/>
                                  <w:i/>
                                  <w:sz w:val="18"/>
                                </w:rPr>
                                <w:t xml:space="preserve">sciandone ricevuta, per un periodo non superiore a sessanta giorni dalla </w:t>
                              </w:r>
                            </w:p>
                          </w:txbxContent>
                        </wps:txbx>
                        <wps:bodyPr horzOverflow="overflow" vert="horz" lIns="0" tIns="0" rIns="0" bIns="0" rtlCol="0">
                          <a:noAutofit/>
                        </wps:bodyPr>
                      </wps:wsp>
                      <wps:wsp>
                        <wps:cNvPr id="17933" name="Rectangle 17933"/>
                        <wps:cNvSpPr/>
                        <wps:spPr>
                          <a:xfrm rot="-10799999">
                            <a:off x="-1093657" y="4695139"/>
                            <a:ext cx="4975309" cy="142889"/>
                          </a:xfrm>
                          <a:prstGeom prst="rect">
                            <a:avLst/>
                          </a:prstGeom>
                          <a:ln>
                            <a:noFill/>
                          </a:ln>
                        </wps:spPr>
                        <wps:txbx>
                          <w:txbxContent>
                            <w:p w14:paraId="2AA3A002" w14:textId="77777777" w:rsidR="00B32EF2" w:rsidRDefault="00000000">
                              <w:r>
                                <w:rPr>
                                  <w:rFonts w:ascii="Arial" w:eastAsia="Arial" w:hAnsi="Arial" w:cs="Arial"/>
                                  <w:i/>
                                  <w:sz w:val="18"/>
                                </w:rPr>
                                <w:t>ricezione. Non possono essere trattenute le scritture cronologiche in uso;</w:t>
                              </w:r>
                            </w:p>
                          </w:txbxContent>
                        </wps:txbx>
                        <wps:bodyPr horzOverflow="overflow" vert="horz" lIns="0" tIns="0" rIns="0" bIns="0" rtlCol="0">
                          <a:noAutofit/>
                        </wps:bodyPr>
                      </wps:wsp>
                      <wps:wsp>
                        <wps:cNvPr id="200804" name="Rectangle 200804"/>
                        <wps:cNvSpPr/>
                        <wps:spPr>
                          <a:xfrm rot="-10799999">
                            <a:off x="2539172" y="4571810"/>
                            <a:ext cx="5003372" cy="142889"/>
                          </a:xfrm>
                          <a:prstGeom prst="rect">
                            <a:avLst/>
                          </a:prstGeom>
                          <a:ln>
                            <a:noFill/>
                          </a:ln>
                        </wps:spPr>
                        <wps:txbx>
                          <w:txbxContent>
                            <w:p w14:paraId="096842E3"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200805" name="Rectangle 200805"/>
                        <wps:cNvSpPr/>
                        <wps:spPr>
                          <a:xfrm rot="-10799999">
                            <a:off x="-1222761" y="4571810"/>
                            <a:ext cx="5003372" cy="142889"/>
                          </a:xfrm>
                          <a:prstGeom prst="rect">
                            <a:avLst/>
                          </a:prstGeom>
                          <a:ln>
                            <a:noFill/>
                          </a:ln>
                        </wps:spPr>
                        <wps:txbx>
                          <w:txbxContent>
                            <w:p w14:paraId="045C370E" w14:textId="77777777" w:rsidR="00B32EF2" w:rsidRDefault="00000000">
                              <w:r>
                                <w:rPr>
                                  <w:rFonts w:ascii="Arial" w:eastAsia="Arial" w:hAnsi="Arial" w:cs="Arial"/>
                                  <w:i/>
                                  <w:sz w:val="18"/>
                                </w:rPr>
                                <w:t xml:space="preserve"> inviare ai contribuenti questionari relativi a dati e notizie di carattere spe</w:t>
                              </w:r>
                            </w:p>
                          </w:txbxContent>
                        </wps:txbx>
                        <wps:bodyPr horzOverflow="overflow" vert="horz" lIns="0" tIns="0" rIns="0" bIns="0" rtlCol="0">
                          <a:noAutofit/>
                        </wps:bodyPr>
                      </wps:wsp>
                      <wps:wsp>
                        <wps:cNvPr id="17935" name="Rectangle 17935"/>
                        <wps:cNvSpPr/>
                        <wps:spPr>
                          <a:xfrm rot="-10799999">
                            <a:off x="65757" y="4571809"/>
                            <a:ext cx="50622" cy="142889"/>
                          </a:xfrm>
                          <a:prstGeom prst="rect">
                            <a:avLst/>
                          </a:prstGeom>
                          <a:ln>
                            <a:noFill/>
                          </a:ln>
                        </wps:spPr>
                        <wps:txbx>
                          <w:txbxContent>
                            <w:p w14:paraId="2A0C452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936" name="Rectangle 17936"/>
                        <wps:cNvSpPr/>
                        <wps:spPr>
                          <a:xfrm rot="-10799999">
                            <a:off x="-1122708" y="4448480"/>
                            <a:ext cx="5004360" cy="142889"/>
                          </a:xfrm>
                          <a:prstGeom prst="rect">
                            <a:avLst/>
                          </a:prstGeom>
                          <a:ln>
                            <a:noFill/>
                          </a:ln>
                        </wps:spPr>
                        <wps:txbx>
                          <w:txbxContent>
                            <w:p w14:paraId="4EE0C1C8" w14:textId="77777777" w:rsidR="00B32EF2" w:rsidRDefault="00000000">
                              <w:r>
                                <w:rPr>
                                  <w:rFonts w:ascii="Arial" w:eastAsia="Arial" w:hAnsi="Arial" w:cs="Arial"/>
                                  <w:i/>
                                  <w:sz w:val="18"/>
                                </w:rPr>
                                <w:t>cifico rilevanti ai fini dell’accertamento nei loro confronti nonchè nei con</w:t>
                              </w:r>
                            </w:p>
                          </w:txbxContent>
                        </wps:txbx>
                        <wps:bodyPr horzOverflow="overflow" vert="horz" lIns="0" tIns="0" rIns="0" bIns="0" rtlCol="0">
                          <a:noAutofit/>
                        </wps:bodyPr>
                      </wps:wsp>
                      <wps:wsp>
                        <wps:cNvPr id="17937" name="Rectangle 17937"/>
                        <wps:cNvSpPr/>
                        <wps:spPr>
                          <a:xfrm rot="-10799999">
                            <a:off x="65757" y="4448479"/>
                            <a:ext cx="50622" cy="142889"/>
                          </a:xfrm>
                          <a:prstGeom prst="rect">
                            <a:avLst/>
                          </a:prstGeom>
                          <a:ln>
                            <a:noFill/>
                          </a:ln>
                        </wps:spPr>
                        <wps:txbx>
                          <w:txbxContent>
                            <w:p w14:paraId="3089AFE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938" name="Rectangle 17938"/>
                        <wps:cNvSpPr/>
                        <wps:spPr>
                          <a:xfrm rot="-10799999">
                            <a:off x="-1218256" y="4325150"/>
                            <a:ext cx="5098079" cy="142889"/>
                          </a:xfrm>
                          <a:prstGeom prst="rect">
                            <a:avLst/>
                          </a:prstGeom>
                          <a:ln>
                            <a:noFill/>
                          </a:ln>
                        </wps:spPr>
                        <wps:txbx>
                          <w:txbxContent>
                            <w:p w14:paraId="69209C36" w14:textId="77777777" w:rsidR="00B32EF2" w:rsidRDefault="00000000">
                              <w:r>
                                <w:rPr>
                                  <w:rFonts w:ascii="Arial" w:eastAsia="Arial" w:hAnsi="Arial" w:cs="Arial"/>
                                  <w:i/>
                                  <w:sz w:val="18"/>
                                </w:rPr>
                                <w:t xml:space="preserve">fronti di altri contribuenti con i quali abbiano intrattenuto rapporti, con invito </w:t>
                              </w:r>
                            </w:p>
                          </w:txbxContent>
                        </wps:txbx>
                        <wps:bodyPr horzOverflow="overflow" vert="horz" lIns="0" tIns="0" rIns="0" bIns="0" rtlCol="0">
                          <a:noAutofit/>
                        </wps:bodyPr>
                      </wps:wsp>
                      <wps:wsp>
                        <wps:cNvPr id="17939" name="Rectangle 17939"/>
                        <wps:cNvSpPr/>
                        <wps:spPr>
                          <a:xfrm rot="-10799999">
                            <a:off x="1892619" y="4201821"/>
                            <a:ext cx="1989032" cy="142889"/>
                          </a:xfrm>
                          <a:prstGeom prst="rect">
                            <a:avLst/>
                          </a:prstGeom>
                          <a:ln>
                            <a:noFill/>
                          </a:ln>
                        </wps:spPr>
                        <wps:txbx>
                          <w:txbxContent>
                            <w:p w14:paraId="1414ABD4" w14:textId="77777777" w:rsidR="00B32EF2" w:rsidRDefault="00000000">
                              <w:r>
                                <w:rPr>
                                  <w:rFonts w:ascii="Arial" w:eastAsia="Arial" w:hAnsi="Arial" w:cs="Arial"/>
                                  <w:i/>
                                  <w:sz w:val="18"/>
                                </w:rPr>
                                <w:t>a restituirli compilati e firmati;</w:t>
                              </w:r>
                            </w:p>
                          </w:txbxContent>
                        </wps:txbx>
                        <wps:bodyPr horzOverflow="overflow" vert="horz" lIns="0" tIns="0" rIns="0" bIns="0" rtlCol="0">
                          <a:noAutofit/>
                        </wps:bodyPr>
                      </wps:wsp>
                      <wps:wsp>
                        <wps:cNvPr id="200802" name="Rectangle 200802"/>
                        <wps:cNvSpPr/>
                        <wps:spPr>
                          <a:xfrm rot="-10799999">
                            <a:off x="2538274" y="4078491"/>
                            <a:ext cx="5003903" cy="142889"/>
                          </a:xfrm>
                          <a:prstGeom prst="rect">
                            <a:avLst/>
                          </a:prstGeom>
                          <a:ln>
                            <a:noFill/>
                          </a:ln>
                        </wps:spPr>
                        <wps:txbx>
                          <w:txbxContent>
                            <w:p w14:paraId="2FA1CDAC"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200803" name="Rectangle 200803"/>
                        <wps:cNvSpPr/>
                        <wps:spPr>
                          <a:xfrm rot="-10799999">
                            <a:off x="-1224058" y="4078491"/>
                            <a:ext cx="5003903" cy="142889"/>
                          </a:xfrm>
                          <a:prstGeom prst="rect">
                            <a:avLst/>
                          </a:prstGeom>
                          <a:ln>
                            <a:noFill/>
                          </a:ln>
                        </wps:spPr>
                        <wps:txbx>
                          <w:txbxContent>
                            <w:p w14:paraId="7D7E8246" w14:textId="77777777" w:rsidR="00B32EF2" w:rsidRDefault="00000000">
                              <w:r>
                                <w:rPr>
                                  <w:rFonts w:ascii="Arial" w:eastAsia="Arial" w:hAnsi="Arial" w:cs="Arial"/>
                                  <w:i/>
                                  <w:sz w:val="18"/>
                                </w:rPr>
                                <w:t xml:space="preserve"> richiedere agli organi e alle Amministrazioni dello Stato, agli enti pubbli</w:t>
                              </w:r>
                            </w:p>
                          </w:txbxContent>
                        </wps:txbx>
                        <wps:bodyPr horzOverflow="overflow" vert="horz" lIns="0" tIns="0" rIns="0" bIns="0" rtlCol="0">
                          <a:noAutofit/>
                        </wps:bodyPr>
                      </wps:wsp>
                      <wps:wsp>
                        <wps:cNvPr id="17941" name="Rectangle 17941"/>
                        <wps:cNvSpPr/>
                        <wps:spPr>
                          <a:xfrm rot="-10799999">
                            <a:off x="65757" y="4078490"/>
                            <a:ext cx="50622" cy="142889"/>
                          </a:xfrm>
                          <a:prstGeom prst="rect">
                            <a:avLst/>
                          </a:prstGeom>
                          <a:ln>
                            <a:noFill/>
                          </a:ln>
                        </wps:spPr>
                        <wps:txbx>
                          <w:txbxContent>
                            <w:p w14:paraId="5C080DE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942" name="Rectangle 17942"/>
                        <wps:cNvSpPr/>
                        <wps:spPr>
                          <a:xfrm rot="-10799999">
                            <a:off x="-1222140" y="3955161"/>
                            <a:ext cx="5114193" cy="142889"/>
                          </a:xfrm>
                          <a:prstGeom prst="rect">
                            <a:avLst/>
                          </a:prstGeom>
                          <a:ln>
                            <a:noFill/>
                          </a:ln>
                        </wps:spPr>
                        <wps:txbx>
                          <w:txbxContent>
                            <w:p w14:paraId="764C7472" w14:textId="77777777" w:rsidR="00B32EF2" w:rsidRDefault="00000000">
                              <w:r>
                                <w:rPr>
                                  <w:rFonts w:ascii="Arial" w:eastAsia="Arial" w:hAnsi="Arial" w:cs="Arial"/>
                                  <w:i/>
                                  <w:sz w:val="18"/>
                                </w:rPr>
                                <w:t xml:space="preserve">ci non economici, alle società ed enti di assicurazione ed alle società ed </w:t>
                              </w:r>
                            </w:p>
                          </w:txbxContent>
                        </wps:txbx>
                        <wps:bodyPr horzOverflow="overflow" vert="horz" lIns="0" tIns="0" rIns="0" bIns="0" rtlCol="0">
                          <a:noAutofit/>
                        </wps:bodyPr>
                      </wps:wsp>
                      <wps:wsp>
                        <wps:cNvPr id="17943" name="Rectangle 17943"/>
                        <wps:cNvSpPr/>
                        <wps:spPr>
                          <a:xfrm rot="-10799999">
                            <a:off x="-1221908" y="3831831"/>
                            <a:ext cx="5112475" cy="142889"/>
                          </a:xfrm>
                          <a:prstGeom prst="rect">
                            <a:avLst/>
                          </a:prstGeom>
                          <a:ln>
                            <a:noFill/>
                          </a:ln>
                        </wps:spPr>
                        <wps:txbx>
                          <w:txbxContent>
                            <w:p w14:paraId="48F59583" w14:textId="77777777" w:rsidR="00B32EF2" w:rsidRDefault="00000000">
                              <w:r>
                                <w:rPr>
                                  <w:rFonts w:ascii="Arial" w:eastAsia="Arial" w:hAnsi="Arial" w:cs="Arial"/>
                                  <w:i/>
                                  <w:sz w:val="18"/>
                                </w:rPr>
                                <w:t xml:space="preserve">enti che effettuano istituzionalmente riscossioni e pagamenti per conto di </w:t>
                              </w:r>
                            </w:p>
                          </w:txbxContent>
                        </wps:txbx>
                        <wps:bodyPr horzOverflow="overflow" vert="horz" lIns="0" tIns="0" rIns="0" bIns="0" rtlCol="0">
                          <a:noAutofit/>
                        </wps:bodyPr>
                      </wps:wsp>
                      <wps:wsp>
                        <wps:cNvPr id="17944" name="Rectangle 17944"/>
                        <wps:cNvSpPr/>
                        <wps:spPr>
                          <a:xfrm rot="-10799999">
                            <a:off x="-1218218" y="3708502"/>
                            <a:ext cx="5097927" cy="142889"/>
                          </a:xfrm>
                          <a:prstGeom prst="rect">
                            <a:avLst/>
                          </a:prstGeom>
                          <a:ln>
                            <a:noFill/>
                          </a:ln>
                        </wps:spPr>
                        <wps:txbx>
                          <w:txbxContent>
                            <w:p w14:paraId="0A584123" w14:textId="77777777" w:rsidR="00B32EF2" w:rsidRDefault="00000000">
                              <w:r>
                                <w:rPr>
                                  <w:rFonts w:ascii="Arial" w:eastAsia="Arial" w:hAnsi="Arial" w:cs="Arial"/>
                                  <w:i/>
                                  <w:sz w:val="18"/>
                                </w:rPr>
                                <w:t xml:space="preserve">terzi la comunicazione, anche in deroga a contrarie disposizioni legislative, </w:t>
                              </w:r>
                            </w:p>
                          </w:txbxContent>
                        </wps:txbx>
                        <wps:bodyPr horzOverflow="overflow" vert="horz" lIns="0" tIns="0" rIns="0" bIns="0" rtlCol="0">
                          <a:noAutofit/>
                        </wps:bodyPr>
                      </wps:wsp>
                      <wps:wsp>
                        <wps:cNvPr id="17945" name="Rectangle 17945"/>
                        <wps:cNvSpPr/>
                        <wps:spPr>
                          <a:xfrm rot="-10799999">
                            <a:off x="-1120883" y="3585172"/>
                            <a:ext cx="5002535" cy="142889"/>
                          </a:xfrm>
                          <a:prstGeom prst="rect">
                            <a:avLst/>
                          </a:prstGeom>
                          <a:ln>
                            <a:noFill/>
                          </a:ln>
                        </wps:spPr>
                        <wps:txbx>
                          <w:txbxContent>
                            <w:p w14:paraId="620F0DFD" w14:textId="77777777" w:rsidR="00B32EF2" w:rsidRDefault="00000000">
                              <w:r>
                                <w:rPr>
                                  <w:rFonts w:ascii="Arial" w:eastAsia="Arial" w:hAnsi="Arial" w:cs="Arial"/>
                                  <w:i/>
                                  <w:sz w:val="18"/>
                                </w:rPr>
                                <w:t>statutarie o regolamentari, di dati e notizie relativi a soggetti indicati singo</w:t>
                              </w:r>
                            </w:p>
                          </w:txbxContent>
                        </wps:txbx>
                        <wps:bodyPr horzOverflow="overflow" vert="horz" lIns="0" tIns="0" rIns="0" bIns="0" rtlCol="0">
                          <a:noAutofit/>
                        </wps:bodyPr>
                      </wps:wsp>
                      <wps:wsp>
                        <wps:cNvPr id="17946" name="Rectangle 17946"/>
                        <wps:cNvSpPr/>
                        <wps:spPr>
                          <a:xfrm rot="-10799999">
                            <a:off x="65757" y="3585172"/>
                            <a:ext cx="50622" cy="142889"/>
                          </a:xfrm>
                          <a:prstGeom prst="rect">
                            <a:avLst/>
                          </a:prstGeom>
                          <a:ln>
                            <a:noFill/>
                          </a:ln>
                        </wps:spPr>
                        <wps:txbx>
                          <w:txbxContent>
                            <w:p w14:paraId="52BD260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947" name="Rectangle 17947"/>
                        <wps:cNvSpPr/>
                        <wps:spPr>
                          <a:xfrm rot="-10799999">
                            <a:off x="-1220583" y="3461842"/>
                            <a:ext cx="5106121" cy="142889"/>
                          </a:xfrm>
                          <a:prstGeom prst="rect">
                            <a:avLst/>
                          </a:prstGeom>
                          <a:ln>
                            <a:noFill/>
                          </a:ln>
                        </wps:spPr>
                        <wps:txbx>
                          <w:txbxContent>
                            <w:p w14:paraId="58ED2709" w14:textId="77777777" w:rsidR="00B32EF2" w:rsidRDefault="00000000">
                              <w:r>
                                <w:rPr>
                                  <w:rFonts w:ascii="Arial" w:eastAsia="Arial" w:hAnsi="Arial" w:cs="Arial"/>
                                  <w:i/>
                                  <w:sz w:val="18"/>
                                </w:rPr>
                                <w:t xml:space="preserve">larmente o per categorie. Alle società ed enti di assicurazione, per quanto </w:t>
                              </w:r>
                            </w:p>
                          </w:txbxContent>
                        </wps:txbx>
                        <wps:bodyPr horzOverflow="overflow" vert="horz" lIns="0" tIns="0" rIns="0" bIns="0" rtlCol="0">
                          <a:noAutofit/>
                        </wps:bodyPr>
                      </wps:wsp>
                      <wps:wsp>
                        <wps:cNvPr id="17948" name="Rectangle 17948"/>
                        <wps:cNvSpPr/>
                        <wps:spPr>
                          <a:xfrm rot="-10799999">
                            <a:off x="-1218639" y="3338513"/>
                            <a:ext cx="5100177" cy="142889"/>
                          </a:xfrm>
                          <a:prstGeom prst="rect">
                            <a:avLst/>
                          </a:prstGeom>
                          <a:ln>
                            <a:noFill/>
                          </a:ln>
                        </wps:spPr>
                        <wps:txbx>
                          <w:txbxContent>
                            <w:p w14:paraId="0D3FD909" w14:textId="77777777" w:rsidR="00B32EF2" w:rsidRDefault="00000000">
                              <w:r>
                                <w:rPr>
                                  <w:rFonts w:ascii="Arial" w:eastAsia="Arial" w:hAnsi="Arial" w:cs="Arial"/>
                                  <w:i/>
                                  <w:sz w:val="18"/>
                                </w:rPr>
                                <w:t xml:space="preserve">riguarda i rapporti con gli assicurati del ramo vita, possono essere richiesti </w:t>
                              </w:r>
                            </w:p>
                          </w:txbxContent>
                        </wps:txbx>
                        <wps:bodyPr horzOverflow="overflow" vert="horz" lIns="0" tIns="0" rIns="0" bIns="0" rtlCol="0">
                          <a:noAutofit/>
                        </wps:bodyPr>
                      </wps:wsp>
                      <wps:wsp>
                        <wps:cNvPr id="17949" name="Rectangle 17949"/>
                        <wps:cNvSpPr/>
                        <wps:spPr>
                          <a:xfrm rot="-10799999">
                            <a:off x="-1123088" y="3215183"/>
                            <a:ext cx="5004740" cy="142889"/>
                          </a:xfrm>
                          <a:prstGeom prst="rect">
                            <a:avLst/>
                          </a:prstGeom>
                          <a:ln>
                            <a:noFill/>
                          </a:ln>
                        </wps:spPr>
                        <wps:txbx>
                          <w:txbxContent>
                            <w:p w14:paraId="7684AC81" w14:textId="77777777" w:rsidR="00B32EF2" w:rsidRDefault="00000000">
                              <w:r>
                                <w:rPr>
                                  <w:rFonts w:ascii="Arial" w:eastAsia="Arial" w:hAnsi="Arial" w:cs="Arial"/>
                                  <w:i/>
                                  <w:sz w:val="18"/>
                                </w:rPr>
                                <w:t>dati e notizie attinenti esclusivamente alla durata del contratto di assicura</w:t>
                              </w:r>
                            </w:p>
                          </w:txbxContent>
                        </wps:txbx>
                        <wps:bodyPr horzOverflow="overflow" vert="horz" lIns="0" tIns="0" rIns="0" bIns="0" rtlCol="0">
                          <a:noAutofit/>
                        </wps:bodyPr>
                      </wps:wsp>
                      <wps:wsp>
                        <wps:cNvPr id="17950" name="Rectangle 17950"/>
                        <wps:cNvSpPr/>
                        <wps:spPr>
                          <a:xfrm rot="-10799999">
                            <a:off x="65757" y="3215183"/>
                            <a:ext cx="50622" cy="142889"/>
                          </a:xfrm>
                          <a:prstGeom prst="rect">
                            <a:avLst/>
                          </a:prstGeom>
                          <a:ln>
                            <a:noFill/>
                          </a:ln>
                        </wps:spPr>
                        <wps:txbx>
                          <w:txbxContent>
                            <w:p w14:paraId="15D89ED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951" name="Rectangle 17951"/>
                        <wps:cNvSpPr/>
                        <wps:spPr>
                          <a:xfrm rot="-10799999">
                            <a:off x="-1221901" y="3091853"/>
                            <a:ext cx="5112354" cy="142889"/>
                          </a:xfrm>
                          <a:prstGeom prst="rect">
                            <a:avLst/>
                          </a:prstGeom>
                          <a:ln>
                            <a:noFill/>
                          </a:ln>
                        </wps:spPr>
                        <wps:txbx>
                          <w:txbxContent>
                            <w:p w14:paraId="1F29C399" w14:textId="77777777" w:rsidR="00B32EF2" w:rsidRDefault="00000000">
                              <w:r>
                                <w:rPr>
                                  <w:rFonts w:ascii="Arial" w:eastAsia="Arial" w:hAnsi="Arial" w:cs="Arial"/>
                                  <w:i/>
                                  <w:sz w:val="18"/>
                                </w:rPr>
                                <w:t xml:space="preserve">zione, all’ammontare del premio e alla individuazione del soggetto tenuto </w:t>
                              </w:r>
                            </w:p>
                          </w:txbxContent>
                        </wps:txbx>
                        <wps:bodyPr horzOverflow="overflow" vert="horz" lIns="0" tIns="0" rIns="0" bIns="0" rtlCol="0">
                          <a:noAutofit/>
                        </wps:bodyPr>
                      </wps:wsp>
                      <wps:wsp>
                        <wps:cNvPr id="17952" name="Rectangle 17952"/>
                        <wps:cNvSpPr/>
                        <wps:spPr>
                          <a:xfrm rot="-10799999">
                            <a:off x="-1221978" y="2968524"/>
                            <a:ext cx="5111746" cy="142889"/>
                          </a:xfrm>
                          <a:prstGeom prst="rect">
                            <a:avLst/>
                          </a:prstGeom>
                          <a:ln>
                            <a:noFill/>
                          </a:ln>
                        </wps:spPr>
                        <wps:txbx>
                          <w:txbxContent>
                            <w:p w14:paraId="0F229586" w14:textId="77777777" w:rsidR="00B32EF2" w:rsidRDefault="00000000">
                              <w:r>
                                <w:rPr>
                                  <w:rFonts w:ascii="Arial" w:eastAsia="Arial" w:hAnsi="Arial" w:cs="Arial"/>
                                  <w:i/>
                                  <w:sz w:val="18"/>
                                </w:rPr>
                                <w:t xml:space="preserve">a corrisponderlo. Le informazioni sulla categoria devono essere fornite, a </w:t>
                              </w:r>
                            </w:p>
                          </w:txbxContent>
                        </wps:txbx>
                        <wps:bodyPr horzOverflow="overflow" vert="horz" lIns="0" tIns="0" rIns="0" bIns="0" rtlCol="0">
                          <a:noAutofit/>
                        </wps:bodyPr>
                      </wps:wsp>
                      <wps:wsp>
                        <wps:cNvPr id="17953" name="Rectangle 17953"/>
                        <wps:cNvSpPr/>
                        <wps:spPr>
                          <a:xfrm rot="-10799999">
                            <a:off x="-1122297" y="2845194"/>
                            <a:ext cx="5003949" cy="142889"/>
                          </a:xfrm>
                          <a:prstGeom prst="rect">
                            <a:avLst/>
                          </a:prstGeom>
                          <a:ln>
                            <a:noFill/>
                          </a:ln>
                        </wps:spPr>
                        <wps:txbx>
                          <w:txbxContent>
                            <w:p w14:paraId="698E4CCB" w14:textId="77777777" w:rsidR="00B32EF2" w:rsidRDefault="00000000">
                              <w:r>
                                <w:rPr>
                                  <w:rFonts w:ascii="Arial" w:eastAsia="Arial" w:hAnsi="Arial" w:cs="Arial"/>
                                  <w:i/>
                                  <w:sz w:val="18"/>
                                </w:rPr>
                                <w:t>seconda della richiesta, cumulativamente o specificamente per ogni sog</w:t>
                              </w:r>
                            </w:p>
                          </w:txbxContent>
                        </wps:txbx>
                        <wps:bodyPr horzOverflow="overflow" vert="horz" lIns="0" tIns="0" rIns="0" bIns="0" rtlCol="0">
                          <a:noAutofit/>
                        </wps:bodyPr>
                      </wps:wsp>
                      <wps:wsp>
                        <wps:cNvPr id="17954" name="Rectangle 17954"/>
                        <wps:cNvSpPr/>
                        <wps:spPr>
                          <a:xfrm rot="-10799999">
                            <a:off x="65757" y="2845194"/>
                            <a:ext cx="50622" cy="142889"/>
                          </a:xfrm>
                          <a:prstGeom prst="rect">
                            <a:avLst/>
                          </a:prstGeom>
                          <a:ln>
                            <a:noFill/>
                          </a:ln>
                        </wps:spPr>
                        <wps:txbx>
                          <w:txbxContent>
                            <w:p w14:paraId="0EB7669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955" name="Rectangle 17955"/>
                        <wps:cNvSpPr/>
                        <wps:spPr>
                          <a:xfrm rot="-10799999">
                            <a:off x="-1216542" y="2721863"/>
                            <a:ext cx="5091908" cy="142889"/>
                          </a:xfrm>
                          <a:prstGeom prst="rect">
                            <a:avLst/>
                          </a:prstGeom>
                          <a:ln>
                            <a:noFill/>
                          </a:ln>
                        </wps:spPr>
                        <wps:txbx>
                          <w:txbxContent>
                            <w:p w14:paraId="1F4A2BF5" w14:textId="77777777" w:rsidR="00B32EF2" w:rsidRDefault="00000000">
                              <w:r>
                                <w:rPr>
                                  <w:rFonts w:ascii="Arial" w:eastAsia="Arial" w:hAnsi="Arial" w:cs="Arial"/>
                                  <w:i/>
                                  <w:sz w:val="18"/>
                                </w:rPr>
                                <w:t xml:space="preserve">getto che ne fa parte. Questa disposizione non si applica all’Istituto centrale </w:t>
                              </w:r>
                            </w:p>
                          </w:txbxContent>
                        </wps:txbx>
                        <wps:bodyPr horzOverflow="overflow" vert="horz" lIns="0" tIns="0" rIns="0" bIns="0" rtlCol="0">
                          <a:noAutofit/>
                        </wps:bodyPr>
                      </wps:wsp>
                      <wps:wsp>
                        <wps:cNvPr id="17956" name="Rectangle 17956"/>
                        <wps:cNvSpPr/>
                        <wps:spPr>
                          <a:xfrm rot="-10799999">
                            <a:off x="-1218863" y="2598534"/>
                            <a:ext cx="5099143" cy="142889"/>
                          </a:xfrm>
                          <a:prstGeom prst="rect">
                            <a:avLst/>
                          </a:prstGeom>
                          <a:ln>
                            <a:noFill/>
                          </a:ln>
                        </wps:spPr>
                        <wps:txbx>
                          <w:txbxContent>
                            <w:p w14:paraId="3BD78DB0" w14:textId="77777777" w:rsidR="00B32EF2" w:rsidRDefault="00000000">
                              <w:r>
                                <w:rPr>
                                  <w:rFonts w:ascii="Arial" w:eastAsia="Arial" w:hAnsi="Arial" w:cs="Arial"/>
                                  <w:i/>
                                  <w:sz w:val="18"/>
                                </w:rPr>
                                <w:t xml:space="preserve">di statistica, agli ispettorati del lavoro per quanto riguarda le rilevazioni loro </w:t>
                              </w:r>
                            </w:p>
                          </w:txbxContent>
                        </wps:txbx>
                        <wps:bodyPr horzOverflow="overflow" vert="horz" lIns="0" tIns="0" rIns="0" bIns="0" rtlCol="0">
                          <a:noAutofit/>
                        </wps:bodyPr>
                      </wps:wsp>
                      <wps:wsp>
                        <wps:cNvPr id="17957" name="Rectangle 17957"/>
                        <wps:cNvSpPr/>
                        <wps:spPr>
                          <a:xfrm rot="-10799999">
                            <a:off x="-1219640" y="2475204"/>
                            <a:ext cx="5101865" cy="142889"/>
                          </a:xfrm>
                          <a:prstGeom prst="rect">
                            <a:avLst/>
                          </a:prstGeom>
                          <a:ln>
                            <a:noFill/>
                          </a:ln>
                        </wps:spPr>
                        <wps:txbx>
                          <w:txbxContent>
                            <w:p w14:paraId="1F1FB7FB" w14:textId="77777777" w:rsidR="00B32EF2" w:rsidRDefault="00000000">
                              <w:r>
                                <w:rPr>
                                  <w:rFonts w:ascii="Arial" w:eastAsia="Arial" w:hAnsi="Arial" w:cs="Arial"/>
                                  <w:i/>
                                  <w:sz w:val="18"/>
                                </w:rPr>
                                <w:t xml:space="preserve">commesse dalla legge, e, salvo il disposto del numero 7), alle banche, alla </w:t>
                              </w:r>
                            </w:p>
                          </w:txbxContent>
                        </wps:txbx>
                        <wps:bodyPr horzOverflow="overflow" vert="horz" lIns="0" tIns="0" rIns="0" bIns="0" rtlCol="0">
                          <a:noAutofit/>
                        </wps:bodyPr>
                      </wps:wsp>
                      <wps:wsp>
                        <wps:cNvPr id="17958" name="Rectangle 17958"/>
                        <wps:cNvSpPr/>
                        <wps:spPr>
                          <a:xfrm rot="-10799999">
                            <a:off x="-1219026" y="2351874"/>
                            <a:ext cx="5100678" cy="142889"/>
                          </a:xfrm>
                          <a:prstGeom prst="rect">
                            <a:avLst/>
                          </a:prstGeom>
                          <a:ln>
                            <a:noFill/>
                          </a:ln>
                        </wps:spPr>
                        <wps:txbx>
                          <w:txbxContent>
                            <w:p w14:paraId="5B7C33F5" w14:textId="77777777" w:rsidR="00B32EF2" w:rsidRDefault="00000000">
                              <w:r>
                                <w:rPr>
                                  <w:rFonts w:ascii="Arial" w:eastAsia="Arial" w:hAnsi="Arial" w:cs="Arial"/>
                                  <w:i/>
                                  <w:sz w:val="18"/>
                                </w:rPr>
                                <w:t xml:space="preserve">società Poste italiane Spa, per le attività finanziarie e creditizie, alle società </w:t>
                              </w:r>
                            </w:p>
                          </w:txbxContent>
                        </wps:txbx>
                        <wps:bodyPr horzOverflow="overflow" vert="horz" lIns="0" tIns="0" rIns="0" bIns="0" rtlCol="0">
                          <a:noAutofit/>
                        </wps:bodyPr>
                      </wps:wsp>
                      <wps:wsp>
                        <wps:cNvPr id="17959" name="Rectangle 17959"/>
                        <wps:cNvSpPr/>
                        <wps:spPr>
                          <a:xfrm rot="-10799999">
                            <a:off x="-1219042" y="2228545"/>
                            <a:ext cx="5100694" cy="142889"/>
                          </a:xfrm>
                          <a:prstGeom prst="rect">
                            <a:avLst/>
                          </a:prstGeom>
                          <a:ln>
                            <a:noFill/>
                          </a:ln>
                        </wps:spPr>
                        <wps:txbx>
                          <w:txbxContent>
                            <w:p w14:paraId="6AE1C954" w14:textId="77777777" w:rsidR="00B32EF2" w:rsidRDefault="00000000">
                              <w:r>
                                <w:rPr>
                                  <w:rFonts w:ascii="Arial" w:eastAsia="Arial" w:hAnsi="Arial" w:cs="Arial"/>
                                  <w:i/>
                                  <w:sz w:val="18"/>
                                </w:rPr>
                                <w:t xml:space="preserve">ed enti di assicurazione per le attività finanziarie, agli intermediari finanziari, </w:t>
                              </w:r>
                            </w:p>
                          </w:txbxContent>
                        </wps:txbx>
                        <wps:bodyPr horzOverflow="overflow" vert="horz" lIns="0" tIns="0" rIns="0" bIns="0" rtlCol="0">
                          <a:noAutofit/>
                        </wps:bodyPr>
                      </wps:wsp>
                      <wps:wsp>
                        <wps:cNvPr id="17960" name="Rectangle 17960"/>
                        <wps:cNvSpPr/>
                        <wps:spPr>
                          <a:xfrm rot="-10799999">
                            <a:off x="-1223498" y="2105215"/>
                            <a:ext cx="5119438" cy="142889"/>
                          </a:xfrm>
                          <a:prstGeom prst="rect">
                            <a:avLst/>
                          </a:prstGeom>
                          <a:ln>
                            <a:noFill/>
                          </a:ln>
                        </wps:spPr>
                        <wps:txbx>
                          <w:txbxContent>
                            <w:p w14:paraId="506CD5BB" w14:textId="77777777" w:rsidR="00B32EF2" w:rsidRDefault="00000000">
                              <w:r>
                                <w:rPr>
                                  <w:rFonts w:ascii="Arial" w:eastAsia="Arial" w:hAnsi="Arial" w:cs="Arial"/>
                                  <w:i/>
                                  <w:sz w:val="18"/>
                                </w:rPr>
                                <w:t xml:space="preserve">alle imprese di investimento, agli organismi di investimento collettivo del </w:t>
                              </w:r>
                            </w:p>
                          </w:txbxContent>
                        </wps:txbx>
                        <wps:bodyPr horzOverflow="overflow" vert="horz" lIns="0" tIns="0" rIns="0" bIns="0" rtlCol="0">
                          <a:noAutofit/>
                        </wps:bodyPr>
                      </wps:wsp>
                      <wps:wsp>
                        <wps:cNvPr id="17961" name="Rectangle 17961"/>
                        <wps:cNvSpPr/>
                        <wps:spPr>
                          <a:xfrm rot="-10799999">
                            <a:off x="-968119" y="1981885"/>
                            <a:ext cx="4849771" cy="142889"/>
                          </a:xfrm>
                          <a:prstGeom prst="rect">
                            <a:avLst/>
                          </a:prstGeom>
                          <a:ln>
                            <a:noFill/>
                          </a:ln>
                        </wps:spPr>
                        <wps:txbx>
                          <w:txbxContent>
                            <w:p w14:paraId="76DF9A6C" w14:textId="77777777" w:rsidR="00B32EF2" w:rsidRDefault="00000000">
                              <w:r>
                                <w:rPr>
                                  <w:rFonts w:ascii="Arial" w:eastAsia="Arial" w:hAnsi="Arial" w:cs="Arial"/>
                                  <w:i/>
                                  <w:sz w:val="18"/>
                                </w:rPr>
                                <w:t>risparmio, alle società di gestione del risparmio e alle società fiduciarie;</w:t>
                              </w:r>
                            </w:p>
                          </w:txbxContent>
                        </wps:txbx>
                        <wps:bodyPr horzOverflow="overflow" vert="horz" lIns="0" tIns="0" rIns="0" bIns="0" rtlCol="0">
                          <a:noAutofit/>
                        </wps:bodyPr>
                      </wps:wsp>
                      <wps:wsp>
                        <wps:cNvPr id="200800" name="Rectangle 200800"/>
                        <wps:cNvSpPr/>
                        <wps:spPr>
                          <a:xfrm rot="-10799999">
                            <a:off x="2511049" y="1858556"/>
                            <a:ext cx="5111229" cy="142889"/>
                          </a:xfrm>
                          <a:prstGeom prst="rect">
                            <a:avLst/>
                          </a:prstGeom>
                          <a:ln>
                            <a:noFill/>
                          </a:ln>
                        </wps:spPr>
                        <wps:txbx>
                          <w:txbxContent>
                            <w:p w14:paraId="18A62670" w14:textId="77777777" w:rsidR="00B32EF2" w:rsidRDefault="00000000">
                              <w:r>
                                <w:rPr>
                                  <w:rFonts w:ascii="Arial" w:eastAsia="Arial" w:hAnsi="Arial" w:cs="Arial"/>
                                  <w:i/>
                                  <w:sz w:val="18"/>
                                </w:rPr>
                                <w:t>6)</w:t>
                              </w:r>
                            </w:p>
                          </w:txbxContent>
                        </wps:txbx>
                        <wps:bodyPr horzOverflow="overflow" vert="horz" lIns="0" tIns="0" rIns="0" bIns="0" rtlCol="0">
                          <a:noAutofit/>
                        </wps:bodyPr>
                      </wps:wsp>
                      <wps:wsp>
                        <wps:cNvPr id="200801" name="Rectangle 200801"/>
                        <wps:cNvSpPr/>
                        <wps:spPr>
                          <a:xfrm rot="-10799999">
                            <a:off x="-1324091" y="1858556"/>
                            <a:ext cx="5111229" cy="142889"/>
                          </a:xfrm>
                          <a:prstGeom prst="rect">
                            <a:avLst/>
                          </a:prstGeom>
                          <a:ln>
                            <a:noFill/>
                          </a:ln>
                        </wps:spPr>
                        <wps:txbx>
                          <w:txbxContent>
                            <w:p w14:paraId="37565507" w14:textId="77777777" w:rsidR="00B32EF2" w:rsidRDefault="00000000">
                              <w:r>
                                <w:rPr>
                                  <w:rFonts w:ascii="Arial" w:eastAsia="Arial" w:hAnsi="Arial" w:cs="Arial"/>
                                  <w:i/>
                                  <w:sz w:val="18"/>
                                </w:rPr>
                                <w:t xml:space="preserve"> richiedere copie o estratti degli atti e dei documenti depositati presso i </w:t>
                              </w:r>
                            </w:p>
                          </w:txbxContent>
                        </wps:txbx>
                        <wps:bodyPr horzOverflow="overflow" vert="horz" lIns="0" tIns="0" rIns="0" bIns="0" rtlCol="0">
                          <a:noAutofit/>
                        </wps:bodyPr>
                      </wps:wsp>
                      <wps:wsp>
                        <wps:cNvPr id="17963" name="Rectangle 17963"/>
                        <wps:cNvSpPr/>
                        <wps:spPr>
                          <a:xfrm rot="-10799999">
                            <a:off x="-1222711" y="1735226"/>
                            <a:ext cx="5114421" cy="142889"/>
                          </a:xfrm>
                          <a:prstGeom prst="rect">
                            <a:avLst/>
                          </a:prstGeom>
                          <a:ln>
                            <a:noFill/>
                          </a:ln>
                        </wps:spPr>
                        <wps:txbx>
                          <w:txbxContent>
                            <w:p w14:paraId="1AE4001F" w14:textId="77777777" w:rsidR="00B32EF2" w:rsidRDefault="00000000">
                              <w:r>
                                <w:rPr>
                                  <w:rFonts w:ascii="Arial" w:eastAsia="Arial" w:hAnsi="Arial" w:cs="Arial"/>
                                  <w:i/>
                                  <w:sz w:val="18"/>
                                </w:rPr>
                                <w:t xml:space="preserve">notai, i procuratori del registro, i conservatori dei registri immobiliari e gli </w:t>
                              </w:r>
                            </w:p>
                          </w:txbxContent>
                        </wps:txbx>
                        <wps:bodyPr horzOverflow="overflow" vert="horz" lIns="0" tIns="0" rIns="0" bIns="0" rtlCol="0">
                          <a:noAutofit/>
                        </wps:bodyPr>
                      </wps:wsp>
                      <wps:wsp>
                        <wps:cNvPr id="17964" name="Rectangle 17964"/>
                        <wps:cNvSpPr/>
                        <wps:spPr>
                          <a:xfrm rot="-10799999">
                            <a:off x="-1219723" y="1611896"/>
                            <a:ext cx="5102518" cy="142889"/>
                          </a:xfrm>
                          <a:prstGeom prst="rect">
                            <a:avLst/>
                          </a:prstGeom>
                          <a:ln>
                            <a:noFill/>
                          </a:ln>
                        </wps:spPr>
                        <wps:txbx>
                          <w:txbxContent>
                            <w:p w14:paraId="73E92392" w14:textId="77777777" w:rsidR="00B32EF2" w:rsidRDefault="00000000">
                              <w:r>
                                <w:rPr>
                                  <w:rFonts w:ascii="Arial" w:eastAsia="Arial" w:hAnsi="Arial" w:cs="Arial"/>
                                  <w:i/>
                                  <w:sz w:val="18"/>
                                </w:rPr>
                                <w:t xml:space="preserve">altri pubblici ufficiali. Le copie e gli estratti, con l’attestazione di conformità </w:t>
                              </w:r>
                            </w:p>
                          </w:txbxContent>
                        </wps:txbx>
                        <wps:bodyPr horzOverflow="overflow" vert="horz" lIns="0" tIns="0" rIns="0" bIns="0" rtlCol="0">
                          <a:noAutofit/>
                        </wps:bodyPr>
                      </wps:wsp>
                      <wps:wsp>
                        <wps:cNvPr id="17965" name="Rectangle 17965"/>
                        <wps:cNvSpPr/>
                        <wps:spPr>
                          <a:xfrm rot="-10799999">
                            <a:off x="345126" y="1488567"/>
                            <a:ext cx="3536525" cy="142889"/>
                          </a:xfrm>
                          <a:prstGeom prst="rect">
                            <a:avLst/>
                          </a:prstGeom>
                          <a:ln>
                            <a:noFill/>
                          </a:ln>
                        </wps:spPr>
                        <wps:txbx>
                          <w:txbxContent>
                            <w:p w14:paraId="62111403" w14:textId="77777777" w:rsidR="00B32EF2" w:rsidRDefault="00000000">
                              <w:r>
                                <w:rPr>
                                  <w:rFonts w:ascii="Arial" w:eastAsia="Arial" w:hAnsi="Arial" w:cs="Arial"/>
                                  <w:i/>
                                  <w:sz w:val="18"/>
                                </w:rPr>
                                <w:t>all’originale, devono essere rilasciate gratuitamente;</w:t>
                              </w:r>
                            </w:p>
                          </w:txbxContent>
                        </wps:txbx>
                        <wps:bodyPr horzOverflow="overflow" vert="horz" lIns="0" tIns="0" rIns="0" bIns="0" rtlCol="0">
                          <a:noAutofit/>
                        </wps:bodyPr>
                      </wps:wsp>
                      <wps:wsp>
                        <wps:cNvPr id="200798" name="Rectangle 200798"/>
                        <wps:cNvSpPr/>
                        <wps:spPr>
                          <a:xfrm rot="-10799999">
                            <a:off x="2530486" y="1365237"/>
                            <a:ext cx="5011520" cy="142889"/>
                          </a:xfrm>
                          <a:prstGeom prst="rect">
                            <a:avLst/>
                          </a:prstGeom>
                          <a:ln>
                            <a:noFill/>
                          </a:ln>
                        </wps:spPr>
                        <wps:txbx>
                          <w:txbxContent>
                            <w:p w14:paraId="6F37AF1B" w14:textId="77777777" w:rsidR="00B32EF2" w:rsidRDefault="00000000">
                              <w:r>
                                <w:rPr>
                                  <w:rFonts w:ascii="Arial" w:eastAsia="Arial" w:hAnsi="Arial" w:cs="Arial"/>
                                  <w:i/>
                                  <w:sz w:val="18"/>
                                </w:rPr>
                                <w:t>6-</w:t>
                              </w:r>
                            </w:p>
                          </w:txbxContent>
                        </wps:txbx>
                        <wps:bodyPr horzOverflow="overflow" vert="horz" lIns="0" tIns="0" rIns="0" bIns="0" rtlCol="0">
                          <a:noAutofit/>
                        </wps:bodyPr>
                      </wps:wsp>
                      <wps:wsp>
                        <wps:cNvPr id="200799" name="Rectangle 200799"/>
                        <wps:cNvSpPr/>
                        <wps:spPr>
                          <a:xfrm rot="-10799999">
                            <a:off x="-1241391" y="1365237"/>
                            <a:ext cx="5011520" cy="142889"/>
                          </a:xfrm>
                          <a:prstGeom prst="rect">
                            <a:avLst/>
                          </a:prstGeom>
                          <a:ln>
                            <a:noFill/>
                          </a:ln>
                        </wps:spPr>
                        <wps:txbx>
                          <w:txbxContent>
                            <w:p w14:paraId="74D5CBBB" w14:textId="77777777" w:rsidR="00B32EF2" w:rsidRDefault="00000000">
                              <w:r>
                                <w:rPr>
                                  <w:rFonts w:ascii="Arial" w:eastAsia="Arial" w:hAnsi="Arial" w:cs="Arial"/>
                                  <w:i/>
                                  <w:sz w:val="18"/>
                                </w:rPr>
                                <w:t>bis) richiedere, previa autorizzazione del direttore centrale dell’accer</w:t>
                              </w:r>
                            </w:p>
                          </w:txbxContent>
                        </wps:txbx>
                        <wps:bodyPr horzOverflow="overflow" vert="horz" lIns="0" tIns="0" rIns="0" bIns="0" rtlCol="0">
                          <a:noAutofit/>
                        </wps:bodyPr>
                      </wps:wsp>
                      <wps:wsp>
                        <wps:cNvPr id="17967" name="Rectangle 17967"/>
                        <wps:cNvSpPr/>
                        <wps:spPr>
                          <a:xfrm rot="-10799999">
                            <a:off x="65757" y="1365237"/>
                            <a:ext cx="50622" cy="142889"/>
                          </a:xfrm>
                          <a:prstGeom prst="rect">
                            <a:avLst/>
                          </a:prstGeom>
                          <a:ln>
                            <a:noFill/>
                          </a:ln>
                        </wps:spPr>
                        <wps:txbx>
                          <w:txbxContent>
                            <w:p w14:paraId="1836BA6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968" name="Rectangle 17968"/>
                        <wps:cNvSpPr/>
                        <wps:spPr>
                          <a:xfrm rot="-10799999">
                            <a:off x="-1224436" y="1241907"/>
                            <a:ext cx="5122432" cy="142889"/>
                          </a:xfrm>
                          <a:prstGeom prst="rect">
                            <a:avLst/>
                          </a:prstGeom>
                          <a:ln>
                            <a:noFill/>
                          </a:ln>
                        </wps:spPr>
                        <wps:txbx>
                          <w:txbxContent>
                            <w:p w14:paraId="76C87C37" w14:textId="77777777" w:rsidR="00B32EF2" w:rsidRDefault="00000000">
                              <w:r>
                                <w:rPr>
                                  <w:rFonts w:ascii="Arial" w:eastAsia="Arial" w:hAnsi="Arial" w:cs="Arial"/>
                                  <w:i/>
                                  <w:sz w:val="18"/>
                                </w:rPr>
                                <w:t xml:space="preserve">tamento dell’Agenzia delle entrate o del direttore regionale della stessa, </w:t>
                              </w:r>
                            </w:p>
                          </w:txbxContent>
                        </wps:txbx>
                        <wps:bodyPr horzOverflow="overflow" vert="horz" lIns="0" tIns="0" rIns="0" bIns="0" rtlCol="0">
                          <a:noAutofit/>
                        </wps:bodyPr>
                      </wps:wsp>
                      <wps:wsp>
                        <wps:cNvPr id="17969" name="Rectangle 17969"/>
                        <wps:cNvSpPr/>
                        <wps:spPr>
                          <a:xfrm rot="-10799999">
                            <a:off x="-1219073" y="1118578"/>
                            <a:ext cx="5100724" cy="142889"/>
                          </a:xfrm>
                          <a:prstGeom prst="rect">
                            <a:avLst/>
                          </a:prstGeom>
                          <a:ln>
                            <a:noFill/>
                          </a:ln>
                        </wps:spPr>
                        <wps:txbx>
                          <w:txbxContent>
                            <w:p w14:paraId="61AD38FF" w14:textId="77777777" w:rsidR="00B32EF2" w:rsidRDefault="00000000">
                              <w:r>
                                <w:rPr>
                                  <w:rFonts w:ascii="Arial" w:eastAsia="Arial" w:hAnsi="Arial" w:cs="Arial"/>
                                  <w:i/>
                                  <w:sz w:val="18"/>
                                </w:rPr>
                                <w:t xml:space="preserve">ovvero, per il Corpo della guardia di finanza, del comandante regionale, ai </w:t>
                              </w:r>
                            </w:p>
                          </w:txbxContent>
                        </wps:txbx>
                        <wps:bodyPr horzOverflow="overflow" vert="horz" lIns="0" tIns="0" rIns="0" bIns="0" rtlCol="0">
                          <a:noAutofit/>
                        </wps:bodyPr>
                      </wps:wsp>
                      <wps:wsp>
                        <wps:cNvPr id="17970" name="Rectangle 17970"/>
                        <wps:cNvSpPr/>
                        <wps:spPr>
                          <a:xfrm rot="-10799999">
                            <a:off x="-1218982" y="995248"/>
                            <a:ext cx="5100633" cy="142889"/>
                          </a:xfrm>
                          <a:prstGeom prst="rect">
                            <a:avLst/>
                          </a:prstGeom>
                          <a:ln>
                            <a:noFill/>
                          </a:ln>
                        </wps:spPr>
                        <wps:txbx>
                          <w:txbxContent>
                            <w:p w14:paraId="70F6CD5B" w14:textId="77777777" w:rsidR="00B32EF2" w:rsidRDefault="00000000">
                              <w:r>
                                <w:rPr>
                                  <w:rFonts w:ascii="Arial" w:eastAsia="Arial" w:hAnsi="Arial" w:cs="Arial"/>
                                  <w:i/>
                                  <w:sz w:val="18"/>
                                </w:rPr>
                                <w:t xml:space="preserve">soggetti sottoposti ad accertamento, ispezione o verifica il rilascio di una </w:t>
                              </w:r>
                            </w:p>
                          </w:txbxContent>
                        </wps:txbx>
                        <wps:bodyPr horzOverflow="overflow" vert="horz" lIns="0" tIns="0" rIns="0" bIns="0" rtlCol="0">
                          <a:noAutofit/>
                        </wps:bodyPr>
                      </wps:wsp>
                      <wps:wsp>
                        <wps:cNvPr id="17971" name="Rectangle 17971"/>
                        <wps:cNvSpPr/>
                        <wps:spPr>
                          <a:xfrm rot="-10799999">
                            <a:off x="-1227490" y="871918"/>
                            <a:ext cx="5134974" cy="142889"/>
                          </a:xfrm>
                          <a:prstGeom prst="rect">
                            <a:avLst/>
                          </a:prstGeom>
                          <a:ln>
                            <a:noFill/>
                          </a:ln>
                        </wps:spPr>
                        <wps:txbx>
                          <w:txbxContent>
                            <w:p w14:paraId="3DE01882" w14:textId="77777777" w:rsidR="00B32EF2" w:rsidRDefault="00000000">
                              <w:r>
                                <w:rPr>
                                  <w:rFonts w:ascii="Arial" w:eastAsia="Arial" w:hAnsi="Arial" w:cs="Arial"/>
                                  <w:i/>
                                  <w:sz w:val="18"/>
                                </w:rPr>
                                <w:t xml:space="preserve">dichiarazione contenente l’indicazione della natura, del numero e degli </w:t>
                              </w:r>
                            </w:p>
                          </w:txbxContent>
                        </wps:txbx>
                        <wps:bodyPr horzOverflow="overflow" vert="horz" lIns="0" tIns="0" rIns="0" bIns="0" rtlCol="0">
                          <a:noAutofit/>
                        </wps:bodyPr>
                      </wps:wsp>
                      <wps:wsp>
                        <wps:cNvPr id="17972" name="Rectangle 17972"/>
                        <wps:cNvSpPr/>
                        <wps:spPr>
                          <a:xfrm rot="-10799999">
                            <a:off x="-1120701" y="748589"/>
                            <a:ext cx="5002353" cy="142889"/>
                          </a:xfrm>
                          <a:prstGeom prst="rect">
                            <a:avLst/>
                          </a:prstGeom>
                          <a:ln>
                            <a:noFill/>
                          </a:ln>
                        </wps:spPr>
                        <wps:txbx>
                          <w:txbxContent>
                            <w:p w14:paraId="32A6A4DF" w14:textId="77777777" w:rsidR="00B32EF2" w:rsidRDefault="00000000">
                              <w:r>
                                <w:rPr>
                                  <w:rFonts w:ascii="Arial" w:eastAsia="Arial" w:hAnsi="Arial" w:cs="Arial"/>
                                  <w:i/>
                                  <w:sz w:val="18"/>
                                </w:rPr>
                                <w:t>estremi identificativi dei rapporti intrattenuti con le banche, la società Po</w:t>
                              </w:r>
                            </w:p>
                          </w:txbxContent>
                        </wps:txbx>
                        <wps:bodyPr horzOverflow="overflow" vert="horz" lIns="0" tIns="0" rIns="0" bIns="0" rtlCol="0">
                          <a:noAutofit/>
                        </wps:bodyPr>
                      </wps:wsp>
                      <wps:wsp>
                        <wps:cNvPr id="17973" name="Rectangle 17973"/>
                        <wps:cNvSpPr/>
                        <wps:spPr>
                          <a:xfrm rot="-10799999">
                            <a:off x="65757" y="748589"/>
                            <a:ext cx="50622" cy="142889"/>
                          </a:xfrm>
                          <a:prstGeom prst="rect">
                            <a:avLst/>
                          </a:prstGeom>
                          <a:ln>
                            <a:noFill/>
                          </a:ln>
                        </wps:spPr>
                        <wps:txbx>
                          <w:txbxContent>
                            <w:p w14:paraId="0152511F"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7974" name="Rectangle 17974"/>
                        <wps:cNvSpPr/>
                        <wps:spPr>
                          <a:xfrm rot="-10799999">
                            <a:off x="-1218936" y="625259"/>
                            <a:ext cx="5100588" cy="142889"/>
                          </a:xfrm>
                          <a:prstGeom prst="rect">
                            <a:avLst/>
                          </a:prstGeom>
                          <a:ln>
                            <a:noFill/>
                          </a:ln>
                        </wps:spPr>
                        <wps:txbx>
                          <w:txbxContent>
                            <w:p w14:paraId="4139DDBD" w14:textId="77777777" w:rsidR="00B32EF2" w:rsidRDefault="00000000">
                              <w:r>
                                <w:rPr>
                                  <w:rFonts w:ascii="Arial" w:eastAsia="Arial" w:hAnsi="Arial" w:cs="Arial"/>
                                  <w:i/>
                                  <w:sz w:val="18"/>
                                </w:rPr>
                                <w:t xml:space="preserve">ste italiane Spa, gli intermediari finanziari, le imprese di investimento, gli </w:t>
                              </w:r>
                            </w:p>
                          </w:txbxContent>
                        </wps:txbx>
                        <wps:bodyPr horzOverflow="overflow" vert="horz" lIns="0" tIns="0" rIns="0" bIns="0" rtlCol="0">
                          <a:noAutofit/>
                        </wps:bodyPr>
                      </wps:wsp>
                      <wps:wsp>
                        <wps:cNvPr id="17975" name="Rectangle 17975"/>
                        <wps:cNvSpPr/>
                        <wps:spPr>
                          <a:xfrm rot="-10799999">
                            <a:off x="-1218908" y="501929"/>
                            <a:ext cx="5099417" cy="142889"/>
                          </a:xfrm>
                          <a:prstGeom prst="rect">
                            <a:avLst/>
                          </a:prstGeom>
                          <a:ln>
                            <a:noFill/>
                          </a:ln>
                        </wps:spPr>
                        <wps:txbx>
                          <w:txbxContent>
                            <w:p w14:paraId="68C12F53" w14:textId="77777777" w:rsidR="00B32EF2" w:rsidRDefault="00000000">
                              <w:r>
                                <w:rPr>
                                  <w:rFonts w:ascii="Arial" w:eastAsia="Arial" w:hAnsi="Arial" w:cs="Arial"/>
                                  <w:i/>
                                  <w:sz w:val="18"/>
                                </w:rPr>
                                <w:t xml:space="preserve">organismi di investimento collettivo del risparmio, le società di gestione del </w:t>
                              </w:r>
                            </w:p>
                          </w:txbxContent>
                        </wps:txbx>
                        <wps:bodyPr horzOverflow="overflow" vert="horz" lIns="0" tIns="0" rIns="0" bIns="0" rtlCol="0">
                          <a:noAutofit/>
                        </wps:bodyPr>
                      </wps:wsp>
                      <wps:wsp>
                        <wps:cNvPr id="17976" name="Rectangle 17976"/>
                        <wps:cNvSpPr/>
                        <wps:spPr>
                          <a:xfrm rot="-10799999">
                            <a:off x="-1218996" y="378599"/>
                            <a:ext cx="5100648" cy="142889"/>
                          </a:xfrm>
                          <a:prstGeom prst="rect">
                            <a:avLst/>
                          </a:prstGeom>
                          <a:ln>
                            <a:noFill/>
                          </a:ln>
                        </wps:spPr>
                        <wps:txbx>
                          <w:txbxContent>
                            <w:p w14:paraId="258AC315" w14:textId="77777777" w:rsidR="00B32EF2" w:rsidRDefault="00000000">
                              <w:r>
                                <w:rPr>
                                  <w:rFonts w:ascii="Arial" w:eastAsia="Arial" w:hAnsi="Arial" w:cs="Arial"/>
                                  <w:i/>
                                  <w:sz w:val="18"/>
                                </w:rPr>
                                <w:t xml:space="preserve">risparmio e le società fiduciarie, nazionali o stranieri, in corso ovvero estinti </w:t>
                              </w:r>
                            </w:p>
                          </w:txbxContent>
                        </wps:txbx>
                        <wps:bodyPr horzOverflow="overflow" vert="horz" lIns="0" tIns="0" rIns="0" bIns="0" rtlCol="0">
                          <a:noAutofit/>
                        </wps:bodyPr>
                      </wps:wsp>
                      <wps:wsp>
                        <wps:cNvPr id="17977" name="Shape 17977"/>
                        <wps:cNvSpPr/>
                        <wps:spPr>
                          <a:xfrm>
                            <a:off x="0" y="324708"/>
                            <a:ext cx="3960000" cy="5948299"/>
                          </a:xfrm>
                          <a:custGeom>
                            <a:avLst/>
                            <a:gdLst/>
                            <a:ahLst/>
                            <a:cxnLst/>
                            <a:rect l="0" t="0" r="0" b="0"/>
                            <a:pathLst>
                              <a:path w="3960000" h="5948299">
                                <a:moveTo>
                                  <a:pt x="0" y="5948299"/>
                                </a:moveTo>
                                <a:lnTo>
                                  <a:pt x="3960000" y="5948299"/>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20DB72" id="Group 200894" o:spid="_x0000_s3521" style="width:311.8pt;height:493.95pt;mso-position-horizontal-relative:char;mso-position-vertical-relative:line" coordsize="39600,6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tvH7AsAAJeAAAAOAAAAZHJzL2Uyb0RvYy54bWzkXWtv2zoS/b7A/gfD39OQFKmH0fRi0e4t&#10;FljsvbiPH6A4cmxAtgxZbdL99XuGpChbZm4LCS2DZVPEDi3R1BzOzJnh6+1Pz/t68blqT7vmcLfk&#10;b9hyUR3WzcPu8Hi3/POPn2/y5eLUlYeHsm4O1d3yS3Va/vTu7397+3RcVaLZNvVD1S5QyeG0ejre&#10;Lbddd1zd3p7W22pfnt40x+qADzdNuy87/Nk+3j605RNq39e3grH09qlpH45ts65OJ5R+MB8u3+n6&#10;N5tq3f2y2ZyqblHfLdG2Tv9u9e97+n377m25emzL43a3ts0oJ7RiX+4O+FJX1YeyKxef2t1VVfvd&#10;um1OzaZ7s272t81ms1tX+hnwNJyNnuZj23w66md5XD09Hp2YINqRnCZXu/7P54/t8ffjry0k8XR8&#10;hCz0X/Qsz5t2T69o5eJZi+yLE1n13C3WKEyKlDHGl4s1PktFljCWGaGut5D81X3r7T+/cudt/8W3&#10;F815OqKDnAYZnObJ4Pdteay0aE8ryODXdrF7QP/NCl4sF4dyj676GzpPeXisq4Up1gLSVztxnVYn&#10;SK6X1aJt0L9uOMsK+qf7g5Udz1P8ZMsFpHSTCl7YnteLkWd5kuKbSYpCsVSmJEQninJ1bE/dx6rZ&#10;L+jN3bJF23T95ed/nzpzaX8JNac+0O9D8/Ours2nVAKJ9i2md93z/bN+bJHkCX0fFd43D18gjW3T&#10;/vcX6PWmbp7ulo19tyRVx9fTp8tF/a8DUCCt6t+0/Zv7/k3b1e8brXumQf/41DWbnW7x8G22ZYDX&#10;tOG74ywAEUfDDdC6LyxsmRUD+sQLKNNz9KhqPBMhM6bxKlc9nkYt8A0EqCpkLtAfDBC9Vq0/GUSp&#10;vh5F2I8HgyfKtv279fOhf0u4/6UpO5Yd3UeV0tsFwHNt2Q5Noc/3QPWPRl/ZjfQUHW/4tD6cX+Vq&#10;w4PpToxr+yv616Ou7/zKSxH01/Wv5npI60pY/RX96/mVl9+OZtADa6VxQkDhuZjrA8mDUCnhajZ1&#10;aXRov+vgg+rdHgZAZDBnFimPypy6L3VFIqsPv1UbKI+2i1Rwah/v39ft4nNJvV3/MwpaH7elLbX1&#10;2kt1U3U9dP8Gmuqq5PrWiyrfJ/Rja7AX032VdnLuTmbuXNvWGE8Hf4GH7v0dhOJu0t/cHDp3/wFe&#10;Wn+JNhXmaQdFpR5Mf/04TYXpFfAuHouM4q/q6l9Y5BsOK5xIY5JTpniWKqpw0GHFGVNSGB3mUuSF&#10;/kaIr1fh3uJ+L6Ms+yeMwigT1JC2D2rRC+Jls/wVqLM0RTfS9kXkMhmZa8UKlfBkgDofW+vvDbXu&#10;e4Oi/Z/7X4Ia0vZB7YjIZKgLLqwryaHWY8+MkoRnZ1r9w6HWfS8qqKUfamfeJkEthMozaZU6zXmW&#10;2cCj52A8FUKzPOJgZL9/ONK6QdEgjXA8R/B3pdW2fJ6zToRIqXKy4ErlEo577KzRAZBsCAZ23vuo&#10;KJy1BjV9AWxn4aYptuJCKtiM14u1ZgfRKDZ5aw/UpnieWgueFynqJqhloji/VmuW8oBqbRI1UUHt&#10;MeEEtXNmk5Rah1sFRVMEdQKgc20wL8KtNCVWGMqCm/AuKqihWD4O7lzZVKgFk8pCzfNcKg/UKg3I&#10;wQsXUEbhrEl9/WltFM804CACwvpqlsJzX0OdiQwWPphWu4AyFqgTRL8erUbxPKg5Ii4bb8lCok/p&#10;vnNmwBmTSKkFhNoFlNFA7U+NJvNSo6nKlAm1DM5jlWYIrAOiHF2qLIG0fQrtnNhkN03sWzMymfNc&#10;YgByFFPzpFA0XALOFiKBgsZZkxWNQvuzoolzYhOhZkUCrTZQp4UCrpdQyyJTCbMD0EGgduFFFFDr&#10;9IknLWrL5zhqoZJCJ7ihtFJlPMdA96VaM5YkITPghYsv4sFaXZtwjbVzZhMVWwiwa5MEf6Vguwgj&#10;CrBBixMP1qZ4jlqfkTJSatjqkVKHJGXSzJmIKXeCIWQvKXOUZaJCI8rKGPIyZL2lzGV+bb0xfB2O&#10;lElM9rP9OBqF9mdEE0dZJkF9ptCEc/bKFNoFF9Gg7E+GJo6sTEKZ8t65UDbKSoTiCKhGlrvAsGk4&#10;6i2ZCy6igdqfDDVBETmxSVAjmBYpTR8m043Z3LmZoTYkyHiRF4yC+UDxtGRxJcg0wfbkTmz5HDaG&#10;ICsXmcl7S5bl0gweDVgrBFkAOyDWLrKIQqs1pp7kiS2fgzVMuJAMY1hasV8n2I51RgE2oikaiPDk&#10;RFE8B+ozTqZxvnLVYYMsRzijQdljvQl8R04nOWpSaMGlmSSKDLfiyKBccjLOgw5lSUSAth9HA7XH&#10;eBPUjpxOhhqLrYztxionjv9XUGP9DlI2wUhZdAky6Ul8E9SOnU6Fmii3hRo5FMW0mTjnZIWexxQM&#10;apOJjylLJv25UBTPcdM3HFP8c6xZJEaWqByLd66gZqDoAbWaOyISjQH3J0TNStbJQfXAyF7AOSgj&#10;446IRIOyPxdqpuNPRpkYGSIsq9ASM34NxTuz3VjIg1RaODeN1WGxMTJ/QlQ6ajrdTadItWnbnSQw&#10;3lqyF1AzrOYJCLUjItFotT8hKh01nQg1Fwn8tIFacAX2PSLfmDKYUSAWinxzR0RigZrmc3kSJ2ZU&#10;YrIBP3PTfpzDuuno0mPKnx5D8TzejbxJQbu9EO9mBc/VWKHBzBNauxVMoaPLkdFCC59CO2o60XYT&#10;1LSgElCLIs0VZvmj75y7aSziAbsPB7UjItHYbn+OzCjhZNtN0TRWSpvZodgcQfFiDDUNZoEMhIPa&#10;EZFooPbnyGBa5xjwwU2/gHNQN41tGyILsZQ/PYbiOSjTnJNU71xDtjtDTjQdu2n4bp0VD+Wmh817&#10;olFof3oMM4PmQp0TvNpNqwKE7Mp2FwXHKEow2421QrFptT9HhvUXc6EuUjtqSUNWWGRLFZ4zMkw6&#10;wi5W4aDWZoaISDRa7c+RmQXPMxgZhVm05wIZcGyLgI1urqBmacDtTqSJBqKC2p8jU46aTo2zALXd&#10;FwE0PFdmbOxCq1kKRh5Oqx0biUWraXq9J6RG8UwDLhKJxU9aqzlTyJSNtRqhFyYch4PasZFooPYn&#10;ysyEoOkGHAkTbqcCY9Yv9sAYIY0J/0WWBRzOGrZziQJpPQ3Uo9W2fI5aY0o/Z5Qcga9GQjRXhtKf&#10;G3BKsATMnpg9OaLx1RpTj1rb8jlY33Bs9ozY+TWD7fhIFIqNeWMU/fq8tQtGphIzrMTDNB6t11mi&#10;sAHhlbeWMuSUhGFHl2ig9mdF03lZUcqXFRltPUYmPOV6V4xxZA0zH5CYDTu6RAO1PzVqNumeTMwS&#10;jG7YuJpLsLJU52QGX50o7JMhAqZQsDzMOqgogIZPzigiGttvWz7HV2P+J5O5yaFwQtWs1x2wVoxz&#10;JNHCRVvDri7xYO1JomisHWuZ6qwl9rSxzvp1gu18VBRgEy/zp8GNyZ1swYchzBeUOugQJqacx2S+&#10;CWWP9TbFc4w3TQiWdEyDpmQCi7H6Y6X63d3hx4UMuZjanCERTVRNmHqMtymeCTWha9k3yLfCuAYq&#10;PHPUOIglo01GQ41WDzt9xGK7M0+uDFCjeC7UeZFjwhoCraLAlDIP0iloUTiko5tTRknoMfsmpOfP&#10;FM0kNk8npPOMY6roWKcxFEIbKATTacc4o9Fp/0RRs3RuMh/Ta/EyOyc4k0iAa8GeWW9sEI2wOhzS&#10;mDJhjVY0SEPaPp2elxEdmLcf5qDEe9j4IRqQ/blQM1NkhjpjuiA2i9WGOxXIhY3VmU7FozU9oQz3&#10;sPlDNEj7U6HYtGA+GbNbIyAXRkcEXNJuVtA27wGRdvYqGqShdz7D7aZlTM2OQaftTt9Jlqurnfuh&#10;0ym4eDidji45RutbDdLm9GGi3N8wP5TC4ovjuPXhwyNu7Q7eJRN9efJuf3Lp+am4r+jw4cvGfssR&#10;xJd39McE96/XBxFrLogjXPsr+teXDxbGEcJ1c6pgGnHbNx4xrI8Rhjq9eMywOR/Y1PmNxwx7zgS2&#10;xwz31eAQX+ofFycJ2/OApx1O/CqOGdbHwD894mhwyP+xLY/b3fpD2ZXnf+tjiVeVaLZN/VC17/4H&#10;AAD//wMAUEsDBBQABgAIAAAAIQDkg6B/3gAAAAUBAAAPAAAAZHJzL2Rvd25yZXYueG1sTI9Ba8JA&#10;EIXvhf6HZQq91U2UphqzEZG2JymoheJtzI5JMDsbsmsS/323vbSXgcd7vPdNthpNI3rqXG1ZQTyJ&#10;QBAXVtdcKvg8vD3NQTiPrLGxTApu5GCV399lmGo78I76vS9FKGGXooLK+zaV0hUVGXQT2xIH72w7&#10;gz7IrpS6wyGUm0ZOoyiRBmsOCxW2tKmouOyvRsH7gMN6Fr/228t5czsenj++tjEp9fgwrpcgPI3+&#10;Lww/+AEd8sB0slfWTjQKwiP+9wYvmc4SECcFi/nLAmSeyf/0+TcAAAD//wMAUEsBAi0AFAAGAAgA&#10;AAAhALaDOJL+AAAA4QEAABMAAAAAAAAAAAAAAAAAAAAAAFtDb250ZW50X1R5cGVzXS54bWxQSwEC&#10;LQAUAAYACAAAACEAOP0h/9YAAACUAQAACwAAAAAAAAAAAAAAAAAvAQAAX3JlbHMvLnJlbHNQSwEC&#10;LQAUAAYACAAAACEA1fbbx+wLAACXgAAADgAAAAAAAAAAAAAAAAAuAgAAZHJzL2Uyb0RvYy54bWxQ&#10;SwECLQAUAAYACAAAACEA5IOgf94AAAAFAQAADwAAAAAAAAAAAAAAAABGDgAAZHJzL2Rvd25yZXYu&#10;eG1sUEsFBgAAAAAEAAQA8wAAAFEPAAAAAA==&#10;">
                <v:rect id="Rectangle 17919" o:spid="_x0000_s3522" style="position:absolute;left:18686;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JKpxAAAAN4AAAAPAAAAZHJzL2Rvd25yZXYueG1sRE9Li8Iw&#10;EL4v7H8Is+BtTfXgajXK4iL2sBdf4HFoxrbaTEITbfXXm4UFb/PxPWe26EwtbtT4yrKCQT8BQZxb&#10;XXGhYL9bfY5B+ICssbZMCu7kYTF/f5thqm3LG7ptQyFiCPsUFZQhuFRKn5dk0PetI47cyTYGQ4RN&#10;IXWDbQw3tRwmyUgarDg2lOhoWVJ+2V6NguMPu2zVyvz0WLrfczau19f9QaneR/c9BRGoCy/xvzvT&#10;cf7XZDCBv3fiDXL+BAAA//8DAFBLAQItABQABgAIAAAAIQDb4fbL7gAAAIUBAAATAAAAAAAAAAAA&#10;AAAAAAAAAABbQ29udGVudF9UeXBlc10ueG1sUEsBAi0AFAAGAAgAAAAhAFr0LFu/AAAAFQEAAAsA&#10;AAAAAAAAAAAAAAAAHwEAAF9yZWxzLy5yZWxzUEsBAi0AFAAGAAgAAAAhAOsckqnEAAAA3gAAAA8A&#10;AAAAAAAAAAAAAAAABwIAAGRycy9kb3ducmV2LnhtbFBLBQYAAAAAAwADALcAAAD4AgAAAAA=&#10;" filled="f" stroked="f">
                  <v:textbox inset="0,0,0,0">
                    <w:txbxContent>
                      <w:p w14:paraId="7993C1A1" w14:textId="77777777" w:rsidR="00B32EF2" w:rsidRDefault="00000000">
                        <w:r>
                          <w:rPr>
                            <w:rFonts w:ascii="Times New Roman" w:eastAsia="Times New Roman" w:hAnsi="Times New Roman" w:cs="Times New Roman"/>
                          </w:rPr>
                          <w:t>68</w:t>
                        </w:r>
                      </w:p>
                    </w:txbxContent>
                  </v:textbox>
                </v:rect>
                <v:shape id="Shape 207910" o:spid="_x0000_s3523" style="position:absolute;top:3247;width:39600;height:59483;visibility:visible;mso-wrap-style:square;v-text-anchor:top" coordsize="3960000,594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6pdwwAAAN8AAAAPAAAAZHJzL2Rvd25yZXYueG1sRI/NagIx&#10;FIX3gu8QrtCdZrSgdmqUUrSU0k1GH+AyuU6Ck5thEnV8+2ZRcHk4f3yb3eBbcaM+usAK5rMCBHEd&#10;jONGwel4mK5BxIRssA1MCh4UYbcdjzZYmnBnTbcqNSKPcCxRgU2pK6WMtSWPcRY64uydQ+8xZdk3&#10;0vR4z+O+lYuiWEqPjvODxY4+LdWX6uoV8K/VS97/ON18ycOrHlxw+qHUy2T4eAeRaEjP8H/72yhY&#10;FKu3eSbIPJkF5PYPAAD//wMAUEsBAi0AFAAGAAgAAAAhANvh9svuAAAAhQEAABMAAAAAAAAAAAAA&#10;AAAAAAAAAFtDb250ZW50X1R5cGVzXS54bWxQSwECLQAUAAYACAAAACEAWvQsW78AAAAVAQAACwAA&#10;AAAAAAAAAAAAAAAfAQAAX3JlbHMvLnJlbHNQSwECLQAUAAYACAAAACEAw2uqXcMAAADfAAAADwAA&#10;AAAAAAAAAAAAAAAHAgAAZHJzL2Rvd25yZXYueG1sUEsFBgAAAAADAAMAtwAAAPcCAAAAAA==&#10;" path="m,l3960000,r,5948299l,5948299,,e" fillcolor="#c3c3c3" stroked="f" strokeweight="0">
                  <v:stroke miterlimit="83231f" joinstyle="miter"/>
                  <v:path arrowok="t" textboxrect="0,0,3960000,5948299"/>
                </v:shape>
                <v:rect id="Rectangle 17921" o:spid="_x0000_s3524" style="position:absolute;left:-12193;top:60517;width:510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QSxAAAAN4AAAAPAAAAZHJzL2Rvd25yZXYueG1sRE9Li8Iw&#10;EL4L+x/CLHhbUz2sWo2yuMj24GV9gMehGdtqMwlNtNVfbxYWvM3H95z5sjO1uFHjK8sKhoMEBHFu&#10;dcWFgv1u/TEB4QOyxtoyKbiTh+XirTfHVNuWf+m2DYWIIexTVFCG4FIpfV6SQT+wjjhyJ9sYDBE2&#10;hdQNtjHc1HKUJJ/SYMWxoURHq5Lyy/ZqFBy/2WXrVuanx8ptztmk/rnuD0r137uvGYhAXXiJ/92Z&#10;jvPH09EQ/t6JN8jFEwAA//8DAFBLAQItABQABgAIAAAAIQDb4fbL7gAAAIUBAAATAAAAAAAAAAAA&#10;AAAAAAAAAABbQ29udGVudF9UeXBlc10ueG1sUEsBAi0AFAAGAAgAAAAhAFr0LFu/AAAAFQEAAAsA&#10;AAAAAAAAAAAAAAAAHwEAAF9yZWxzLy5yZWxzUEsBAi0AFAAGAAgAAAAhANsGVBLEAAAA3gAAAA8A&#10;AAAAAAAAAAAAAAAABwIAAGRycy9kb3ducmV2LnhtbFBLBQYAAAAAAwADALcAAAD4AgAAAAA=&#10;" filled="f" stroked="f">
                  <v:textbox inset="0,0,0,0">
                    <w:txbxContent>
                      <w:p w14:paraId="02905050" w14:textId="77777777" w:rsidR="00B32EF2" w:rsidRDefault="00000000">
                        <w:r>
                          <w:rPr>
                            <w:rFonts w:ascii="Arial" w:eastAsia="Arial" w:hAnsi="Arial" w:cs="Arial"/>
                            <w:i/>
                            <w:sz w:val="18"/>
                          </w:rPr>
                          <w:t xml:space="preserve">richieste fatte e le risposte ricevute devono risultare da verbale sottoscritto </w:t>
                        </w:r>
                      </w:p>
                    </w:txbxContent>
                  </v:textbox>
                </v:rect>
                <v:rect id="Rectangle 17922" o:spid="_x0000_s3525" style="position:absolute;left:-12176;top:59284;width:509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plxAAAAN4AAAAPAAAAZHJzL2Rvd25yZXYueG1sRE9Na8JA&#10;EL0X/A/LCN7qxhxaG11FFGkOXmoVPA7ZMYlmZ5fsaqK/vlso9DaP9znzZW8acafW15YVTMYJCOLC&#10;6ppLBYfv7esUhA/IGhvLpOBBHpaLwcscM207/qL7PpQihrDPUEEVgsuk9EVFBv3YOuLInW1rMETY&#10;llK32MVw08g0Sd6kwZpjQ4WO1hUV1/3NKDht2OXbThbn59rtLvm0+bwdjkqNhv1qBiJQH/7Ff+5c&#10;x/nvH2kKv+/EG+TiBwAA//8DAFBLAQItABQABgAIAAAAIQDb4fbL7gAAAIUBAAATAAAAAAAAAAAA&#10;AAAAAAAAAABbQ29udGVudF9UeXBlc10ueG1sUEsBAi0AFAAGAAgAAAAhAFr0LFu/AAAAFQEAAAsA&#10;AAAAAAAAAAAAAAAAHwEAAF9yZWxzLy5yZWxzUEsBAi0AFAAGAAgAAAAhACvUymXEAAAA3gAAAA8A&#10;AAAAAAAAAAAAAAAABwIAAGRycy9kb3ducmV2LnhtbFBLBQYAAAAAAwADALcAAAD4AgAAAAA=&#10;" filled="f" stroked="f">
                  <v:textbox inset="0,0,0,0">
                    <w:txbxContent>
                      <w:p w14:paraId="5AB52A06" w14:textId="77777777" w:rsidR="00B32EF2" w:rsidRDefault="00000000">
                        <w:r>
                          <w:rPr>
                            <w:rFonts w:ascii="Arial" w:eastAsia="Arial" w:hAnsi="Arial" w:cs="Arial"/>
                            <w:i/>
                            <w:sz w:val="18"/>
                          </w:rPr>
                          <w:t xml:space="preserve">anche dal contribuente o dal suo rappresentante; in mancanza deve essere </w:t>
                        </w:r>
                      </w:p>
                    </w:txbxContent>
                  </v:textbox>
                </v:rect>
                <v:rect id="Rectangle 17923" o:spid="_x0000_s3526" style="position:absolute;left:-12191;top:58051;width:5103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G/+xQAAAN4AAAAPAAAAZHJzL2Rvd25yZXYueG1sRE9Na8JA&#10;EL0L/Q/LFLzpRoVqo6uIIs3BS62FHofsmESzs0t2NWl/vVsQvM3jfc5i1Zla3KjxlWUFo2ECgji3&#10;uuJCwfFrN5iB8AFZY22ZFPySh9XypbfAVNuWP+l2CIWIIexTVFCG4FIpfV6SQT+0jjhyJ9sYDBE2&#10;hdQNtjHc1HKcJG/SYMWxoURHm5Lyy+FqFPxs2WW7Vuanv43bn7NZ/XE9fivVf+3WcxCBuvAUP9yZ&#10;jvOn7+MJ/L8Tb5DLOwAAAP//AwBQSwECLQAUAAYACAAAACEA2+H2y+4AAACFAQAAEwAAAAAAAAAA&#10;AAAAAAAAAAAAW0NvbnRlbnRfVHlwZXNdLnhtbFBLAQItABQABgAIAAAAIQBa9CxbvwAAABUBAAAL&#10;AAAAAAAAAAAAAAAAAB8BAABfcmVscy8ucmVsc1BLAQItABQABgAIAAAAIQBEmG/+xQAAAN4AAAAP&#10;AAAAAAAAAAAAAAAAAAcCAABkcnMvZG93bnJldi54bWxQSwUGAAAAAAMAAwC3AAAA+QIAAAAA&#10;" filled="f" stroked="f">
                  <v:textbox inset="0,0,0,0">
                    <w:txbxContent>
                      <w:p w14:paraId="48398693" w14:textId="77777777" w:rsidR="00B32EF2" w:rsidRDefault="00000000">
                        <w:r>
                          <w:rPr>
                            <w:rFonts w:ascii="Arial" w:eastAsia="Arial" w:hAnsi="Arial" w:cs="Arial"/>
                            <w:i/>
                            <w:sz w:val="18"/>
                          </w:rPr>
                          <w:t xml:space="preserve">indicato il motivo della mancata sottoscrizione. Il contribuente ha diritto ad </w:t>
                        </w:r>
                      </w:p>
                    </w:txbxContent>
                  </v:textbox>
                </v:rect>
                <v:rect id="Rectangle 17924" o:spid="_x0000_s3527" style="position:absolute;left:22587;top:56817;width:162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feKxQAAAN4AAAAPAAAAZHJzL2Rvd25yZXYueG1sRE9Na8JA&#10;EL0L/Q/LFLzpRpFqo6uIIs3BS62FHofsmESzs0t2NWl/vVsQvM3jfc5i1Zla3KjxlWUFo2ECgji3&#10;uuJCwfFrN5iB8AFZY22ZFPySh9XypbfAVNuWP+l2CIWIIexTVFCG4FIpfV6SQT+0jjhyJ9sYDBE2&#10;hdQNtjHc1HKcJG/SYMWxoURHm5Lyy+FqFPxs2WW7Vuanv43bn7NZ/XE9fivVf+3WcxCBuvAUP9yZ&#10;jvOn7+MJ/L8Tb5DLOwAAAP//AwBQSwECLQAUAAYACAAAACEA2+H2y+4AAACFAQAAEwAAAAAAAAAA&#10;AAAAAAAAAAAAW0NvbnRlbnRfVHlwZXNdLnhtbFBLAQItABQABgAIAAAAIQBa9CxbvwAAABUBAAAL&#10;AAAAAAAAAAAAAAAAAB8BAABfcmVscy8ucmVsc1BLAQItABQABgAIAAAAIQDLcfeKxQAAAN4AAAAP&#10;AAAAAAAAAAAAAAAAAAcCAABkcnMvZG93bnJldi54bWxQSwUGAAAAAAMAAwC3AAAA+QIAAAAA&#10;" filled="f" stroked="f">
                  <v:textbox inset="0,0,0,0">
                    <w:txbxContent>
                      <w:p w14:paraId="4AB61567" w14:textId="77777777" w:rsidR="00B32EF2" w:rsidRDefault="00000000">
                        <w:r>
                          <w:rPr>
                            <w:rFonts w:ascii="Arial" w:eastAsia="Arial" w:hAnsi="Arial" w:cs="Arial"/>
                            <w:i/>
                            <w:sz w:val="18"/>
                          </w:rPr>
                          <w:t>avere copia del verbale;</w:t>
                        </w:r>
                      </w:p>
                    </w:txbxContent>
                  </v:textbox>
                </v:rect>
                <v:rect id="Rectangle 200807" o:spid="_x0000_s3528" style="position:absolute;left:-13226;top:55584;width:510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QAwxwAAAN8AAAAPAAAAZHJzL2Rvd25yZXYueG1sRI9Pa8JA&#10;FMTvgt9heYI33diDDakbKYo0By+1Fnp8ZF/+tNm3S3Y10U/vFgo9DjPzG2azHU0nrtT71rKC1TIB&#10;QVxa3XKt4PxxWKQgfEDW2FkmBTfysM2nkw1m2g78TtdTqEWEsM9QQROCy6T0ZUMG/dI64uhVtjcY&#10;ouxrqXscItx08ilJ1tJgy3GhQUe7hsqf08Uo+NqzKw6DLKv7zh2/i7R7u5w/lZrPxtcXEIHG8B/+&#10;axdaQSSmyTP8/olfQOYPAAAA//8DAFBLAQItABQABgAIAAAAIQDb4fbL7gAAAIUBAAATAAAAAAAA&#10;AAAAAAAAAAAAAABbQ29udGVudF9UeXBlc10ueG1sUEsBAi0AFAAGAAgAAAAhAFr0LFu/AAAAFQEA&#10;AAsAAAAAAAAAAAAAAAAAHwEAAF9yZWxzLy5yZWxzUEsBAi0AFAAGAAgAAAAhAOaZADDHAAAA3wAA&#10;AA8AAAAAAAAAAAAAAAAABwIAAGRycy9kb3ducmV2LnhtbFBLBQYAAAAAAwADALcAAAD7AgAAAAA=&#10;" filled="f" stroked="f">
                  <v:textbox inset="0,0,0,0">
                    <w:txbxContent>
                      <w:p w14:paraId="697F6E13" w14:textId="77777777" w:rsidR="00B32EF2" w:rsidRDefault="00000000">
                        <w:r>
                          <w:rPr>
                            <w:rFonts w:ascii="Arial" w:eastAsia="Arial" w:hAnsi="Arial" w:cs="Arial"/>
                            <w:i/>
                            <w:sz w:val="18"/>
                          </w:rPr>
                          <w:t xml:space="preserve"> invitare i contribuenti, indicandone il motivo, a esibire o trasmettere atti </w:t>
                        </w:r>
                      </w:p>
                    </w:txbxContent>
                  </v:textbox>
                </v:rect>
                <v:rect id="Rectangle 200806" o:spid="_x0000_s3529" style="position:absolute;left:25124;top:55584;width:510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aWrxwAAAN8AAAAPAAAAZHJzL2Rvd25yZXYueG1sRI/NasMw&#10;EITvhbyD2EBvjZwcjHGihJJg4kMvTVPocbE2tlNrJSz5p336qlDocZiZb5jdYTadGKn3rWUF61UC&#10;griyuuVawfWteMpA+ICssbNMCr7Iw2G/eNhhru3ErzReQi0ihH2OCpoQXC6lrxoy6FfWEUfvZnuD&#10;Icq+lrrHKcJNJzdJkkqDLceFBh0dG6o+L4NR8HFiVxaTrG7fR/dyL7PuPFzflXpczs9bEIHm8B/+&#10;a5daQSRmSQq/f+IXkPsfAAAA//8DAFBLAQItABQABgAIAAAAIQDb4fbL7gAAAIUBAAATAAAAAAAA&#10;AAAAAAAAAAAAAABbQ29udGVudF9UeXBlc10ueG1sUEsBAi0AFAAGAAgAAAAhAFr0LFu/AAAAFQEA&#10;AAsAAAAAAAAAAAAAAAAAHwEAAF9yZWxzLy5yZWxzUEsBAi0AFAAGAAgAAAAhAInVpavHAAAA3wAA&#10;AA8AAAAAAAAAAAAAAAAABwIAAGRycy9kb3ducmV2LnhtbFBLBQYAAAAAAwADALcAAAD7AgAAAAA=&#10;" filled="f" stroked="f">
                  <v:textbox inset="0,0,0,0">
                    <w:txbxContent>
                      <w:p w14:paraId="45858DE5" w14:textId="77777777" w:rsidR="00B32EF2" w:rsidRDefault="00000000">
                        <w:r>
                          <w:rPr>
                            <w:rFonts w:ascii="Arial" w:eastAsia="Arial" w:hAnsi="Arial" w:cs="Arial"/>
                            <w:i/>
                            <w:sz w:val="18"/>
                          </w:rPr>
                          <w:t>3)</w:t>
                        </w:r>
                      </w:p>
                    </w:txbxContent>
                  </v:textbox>
                </v:rect>
                <v:rect id="Rectangle 17926" o:spid="_x0000_s3530" style="position:absolute;left:-12189;top:54351;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xmxAAAAN4AAAAPAAAAZHJzL2Rvd25yZXYueG1sRE9Ni8Iw&#10;EL0v+B/CCN401YPrdo0iitiDl1UX9jg0Y1ttJqGJtvrrNwvC3ubxPme+7Ewt7tT4yrKC8SgBQZxb&#10;XXGh4HTcDmcgfEDWWFsmBQ/ysFz03uaYatvyF90PoRAxhH2KCsoQXCqlz0sy6EfWEUfubBuDIcKm&#10;kLrBNoabWk6SZCoNVhwbSnS0Lim/Hm5Gwc+GXbZtZX5+rt3+ks3q3e30rdSg360+QQTqwr/45c50&#10;nP/+MZnC3zvxBrn4BQAA//8DAFBLAQItABQABgAIAAAAIQDb4fbL7gAAAIUBAAATAAAAAAAAAAAA&#10;AAAAAAAAAABbQ29udGVudF9UeXBlc10ueG1sUEsBAi0AFAAGAAgAAAAhAFr0LFu/AAAAFQEAAAsA&#10;AAAAAAAAAAAAAAAAHwEAAF9yZWxzLy5yZWxzUEsBAi0AFAAGAAgAAAAhAFTvzGbEAAAA3gAAAA8A&#10;AAAAAAAAAAAAAAAABwIAAGRycy9kb3ducmV2LnhtbFBLBQYAAAAAAwADALcAAAD4AgAAAAA=&#10;" filled="f" stroked="f">
                  <v:textbox inset="0,0,0,0">
                    <w:txbxContent>
                      <w:p w14:paraId="5C9BA32E" w14:textId="77777777" w:rsidR="00B32EF2" w:rsidRDefault="00000000">
                        <w:r>
                          <w:rPr>
                            <w:rFonts w:ascii="Arial" w:eastAsia="Arial" w:hAnsi="Arial" w:cs="Arial"/>
                            <w:i/>
                            <w:sz w:val="18"/>
                          </w:rPr>
                          <w:t xml:space="preserve">e documenti rilevanti ai fini dell’accertamento nei loro confronti, compresi </w:t>
                        </w:r>
                      </w:p>
                    </w:txbxContent>
                  </v:textbox>
                </v:rect>
                <v:rect id="Rectangle 17927" o:spid="_x0000_s3531" style="position:absolute;left:-12199;top:53117;width:510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2n9xAAAAN4AAAAPAAAAZHJzL2Rvd25yZXYueG1sRE9Li8Iw&#10;EL4v+B/CCN7WdD34qEZZXGR72Isv8Dg0Y1ttJqGJtvrrN8LC3ubje85i1Zla3KnxlWUFH8MEBHFu&#10;dcWFgsN+8z4F4QOyxtoyKXiQh9Wy97bAVNuWt3TfhULEEPYpKihDcKmUPi/JoB9aRxy5s20Mhgib&#10;QuoG2xhuajlKkrE0WHFsKNHRuqT8ursZBacvdtmmlfn5uXY/l2xaf98OR6UG/e5zDiJQF/7Ff+5M&#10;x/mT2WgCr3fiDXL5CwAA//8DAFBLAQItABQABgAIAAAAIQDb4fbL7gAAAIUBAAATAAAAAAAAAAAA&#10;AAAAAAAAAABbQ29udGVudF9UeXBlc10ueG1sUEsBAi0AFAAGAAgAAAAhAFr0LFu/AAAAFQEAAAsA&#10;AAAAAAAAAAAAAAAAHwEAAF9yZWxzLy5yZWxzUEsBAi0AFAAGAAgAAAAhADujaf3EAAAA3gAAAA8A&#10;AAAAAAAAAAAAAAAABwIAAGRycy9kb3ducmV2LnhtbFBLBQYAAAAAAwADALcAAAD4AgAAAAA=&#10;" filled="f" stroked="f">
                  <v:textbox inset="0,0,0,0">
                    <w:txbxContent>
                      <w:p w14:paraId="1EA0BF22" w14:textId="77777777" w:rsidR="00B32EF2" w:rsidRDefault="00000000">
                        <w:r>
                          <w:rPr>
                            <w:rFonts w:ascii="Arial" w:eastAsia="Arial" w:hAnsi="Arial" w:cs="Arial"/>
                            <w:i/>
                            <w:sz w:val="18"/>
                          </w:rPr>
                          <w:t xml:space="preserve">i documenti di cui al successivo art. 34. Ai soggetti obbligati alla tenuta di </w:t>
                        </w:r>
                      </w:p>
                    </w:txbxContent>
                  </v:textbox>
                </v:rect>
                <v:rect id="Rectangle 17928" o:spid="_x0000_s3532" style="position:absolute;left:-12204;top:51884;width:510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2PyAAAAN4AAAAPAAAAZHJzL2Rvd25yZXYueG1sRI9Pb8Iw&#10;DMXvk/YdIk/iNlI4MNYREGJC62EX/kza0WpM261xoibQbp8eH5C42XrP7/28WA2uVRfqYuPZwGSc&#10;gSIuvW24MnA8bJ/noGJCtth6JgN/FGG1fHxYYG59zzu67FOlJIRjjgbqlEKudSxrchjHPhCLdvKd&#10;wyRrV2nbYS/hrtXTLJtphw1LQ42BNjWVv/uzM/D9zqHY9ro8/W/C508xbz/Oxy9jRk/D+g1UoiHd&#10;zbfrwgr+y+tUeOUdmUEvrwAAAP//AwBQSwECLQAUAAYACAAAACEA2+H2y+4AAACFAQAAEwAAAAAA&#10;AAAAAAAAAAAAAAAAW0NvbnRlbnRfVHlwZXNdLnhtbFBLAQItABQABgAIAAAAIQBa9CxbvwAAABUB&#10;AAALAAAAAAAAAAAAAAAAAB8BAABfcmVscy8ucmVsc1BLAQItABQABgAIAAAAIQBKPP2PyAAAAN4A&#10;AAAPAAAAAAAAAAAAAAAAAAcCAABkcnMvZG93bnJldi54bWxQSwUGAAAAAAMAAwC3AAAA/AIAAAAA&#10;" filled="f" stroked="f">
                  <v:textbox inset="0,0,0,0">
                    <w:txbxContent>
                      <w:p w14:paraId="4FEA0215" w14:textId="77777777" w:rsidR="00B32EF2" w:rsidRDefault="00000000">
                        <w:r>
                          <w:rPr>
                            <w:rFonts w:ascii="Arial" w:eastAsia="Arial" w:hAnsi="Arial" w:cs="Arial"/>
                            <w:i/>
                            <w:sz w:val="18"/>
                          </w:rPr>
                          <w:t xml:space="preserve">scritture contabili secondo le disposizioni del titolo III può essere richiesta </w:t>
                        </w:r>
                      </w:p>
                    </w:txbxContent>
                  </v:textbox>
                </v:rect>
                <v:rect id="Rectangle 17929" o:spid="_x0000_s3533" style="position:absolute;left:-12200;top:50651;width:510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FgUxAAAAN4AAAAPAAAAZHJzL2Rvd25yZXYueG1sRE9Ni8Iw&#10;EL0L/ocwgjdN9eBq1yiiiD3sZV0X9jg0Y1ttJqGJtvrrNwsL3ubxPme57kwt7tT4yrKCyTgBQZxb&#10;XXGh4PS1H81B+ICssbZMCh7kYb3q95aYatvyJ92PoRAxhH2KCsoQXCqlz0sy6MfWEUfubBuDIcKm&#10;kLrBNoabWk6TZCYNVhwbSnS0LSm/Hm9Gwc+OXbZvZX5+bt3HJZvXh9vpW6nhoNu8gwjUhZf4353p&#10;OP9tMV3A3zvxBrn6BQAA//8DAFBLAQItABQABgAIAAAAIQDb4fbL7gAAAIUBAAATAAAAAAAAAAAA&#10;AAAAAAAAAABbQ29udGVudF9UeXBlc10ueG1sUEsBAi0AFAAGAAgAAAAhAFr0LFu/AAAAFQEAAAsA&#10;AAAAAAAAAAAAAAAAHwEAAF9yZWxzLy5yZWxzUEsBAi0AFAAGAAgAAAAhACVwWBTEAAAA3gAAAA8A&#10;AAAAAAAAAAAAAAAABwIAAGRycy9kb3ducmV2LnhtbFBLBQYAAAAAAwADALcAAAD4AgAAAAA=&#10;" filled="f" stroked="f">
                  <v:textbox inset="0,0,0,0">
                    <w:txbxContent>
                      <w:p w14:paraId="5106765E" w14:textId="77777777" w:rsidR="00B32EF2" w:rsidRDefault="00000000">
                        <w:r>
                          <w:rPr>
                            <w:rFonts w:ascii="Arial" w:eastAsia="Arial" w:hAnsi="Arial" w:cs="Arial"/>
                            <w:i/>
                            <w:sz w:val="18"/>
                          </w:rPr>
                          <w:t xml:space="preserve">anche l’esibizione dei bilanci o rendiconti e dei libri o registri previsti dalle </w:t>
                        </w:r>
                      </w:p>
                    </w:txbxContent>
                  </v:textbox>
                </v:rect>
                <v:rect id="Rectangle 17930" o:spid="_x0000_s3534" style="position:absolute;left:-11225;top:49417;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2dUyAAAAN4AAAAPAAAAZHJzL2Rvd25yZXYueG1sRI9Pb8Iw&#10;DMXvk/YdIk/iNtJt0sY6ApqYED1wGX+kHa3GtN0aJ2oC7fj0+IDEzZaf33u/6XxwrTpRFxvPBp7G&#10;GSji0tuGKwO77fJxAiomZIutZzLwTxHms/u7KebW9/xNp02qlJhwzNFAnVLItY5lTQ7j2AdiuR18&#10;5zDJ2lXadtiLuWv1c5a9aocNS0KNgRY1lX+bozPw88WhWPa6PJwXYf1bTNrVcbc3ZvQwfH6ASjSk&#10;m/j6XVip//b+IgCCIzPo2QUAAP//AwBQSwECLQAUAAYACAAAACEA2+H2y+4AAACFAQAAEwAAAAAA&#10;AAAAAAAAAAAAAAAAW0NvbnRlbnRfVHlwZXNdLnhtbFBLAQItABQABgAIAAAAIQBa9CxbvwAAABUB&#10;AAALAAAAAAAAAAAAAAAAAB8BAABfcmVscy8ucmVsc1BLAQItABQABgAIAAAAIQAxk2dUyAAAAN4A&#10;AAAPAAAAAAAAAAAAAAAAAAcCAABkcnMvZG93bnJldi54bWxQSwUGAAAAAAMAAwC3AAAA/AIAAAAA&#10;" filled="f" stroked="f">
                  <v:textbox inset="0,0,0,0">
                    <w:txbxContent>
                      <w:p w14:paraId="61416D99" w14:textId="77777777" w:rsidR="00B32EF2" w:rsidRDefault="00000000">
                        <w:r>
                          <w:rPr>
                            <w:rFonts w:ascii="Arial" w:eastAsia="Arial" w:hAnsi="Arial" w:cs="Arial"/>
                            <w:i/>
                            <w:sz w:val="18"/>
                          </w:rPr>
                          <w:t>disposizioni tributarie. L’ufficio può estrarne copia ovvero trattenerli, rila</w:t>
                        </w:r>
                      </w:p>
                    </w:txbxContent>
                  </v:textbox>
                </v:rect>
                <v:rect id="Rectangle 17931" o:spid="_x0000_s3535" style="position:absolute;left:657;top:4941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8LPxQAAAN4AAAAPAAAAZHJzL2Rvd25yZXYueG1sRE9La8JA&#10;EL4X/A/LCN7qxgpVo6uIRZpDL/UBHofsmESzs0t2NWl/fbcgeJuP7zmLVWdqcafGV5YVjIYJCOLc&#10;6ooLBYf99nUKwgdkjbVlUvBDHlbL3ssCU21b/qb7LhQihrBPUUEZgkul9HlJBv3QOuLInW1jMETY&#10;FFI32MZwU8u3JHmXBiuODSU62pSUX3c3o+D0wS7btjI//27c1yWb1p+3w1GpQb9bz0EE6sJT/HBn&#10;Os6fzMYj+H8n3iCXfwAAAP//AwBQSwECLQAUAAYACAAAACEA2+H2y+4AAACFAQAAEwAAAAAAAAAA&#10;AAAAAAAAAAAAW0NvbnRlbnRfVHlwZXNdLnhtbFBLAQItABQABgAIAAAAIQBa9CxbvwAAABUBAAAL&#10;AAAAAAAAAAAAAAAAAB8BAABfcmVscy8ucmVsc1BLAQItABQABgAIAAAAIQBe38LPxQAAAN4AAAAP&#10;AAAAAAAAAAAAAAAAAAcCAABkcnMvZG93bnJldi54bWxQSwUGAAAAAAMAAwC3AAAA+QIAAAAA&#10;" filled="f" stroked="f">
                  <v:textbox inset="0,0,0,0">
                    <w:txbxContent>
                      <w:p w14:paraId="4491D47E" w14:textId="77777777" w:rsidR="00B32EF2" w:rsidRDefault="00000000">
                        <w:r>
                          <w:rPr>
                            <w:rFonts w:ascii="Arial" w:eastAsia="Arial" w:hAnsi="Arial" w:cs="Arial"/>
                            <w:i/>
                            <w:sz w:val="18"/>
                          </w:rPr>
                          <w:t>-</w:t>
                        </w:r>
                      </w:p>
                    </w:txbxContent>
                  </v:textbox>
                </v:rect>
                <v:rect id="Rectangle 17932" o:spid="_x0000_s3536" style="position:absolute;left:-12218;top:48184;width:511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y4xQAAAN4AAAAPAAAAZHJzL2Rvd25yZXYueG1sRE9Na8JA&#10;EL0L/Q/LFLzpRoVqo6uIIs3BS62FHofsmESzs0t2NWl/vVsQvM3jfc5i1Zla3KjxlWUFo2ECgji3&#10;uuJCwfFrN5iB8AFZY22ZFPySh9XypbfAVNuWP+l2CIWIIexTVFCG4FIpfV6SQT+0jjhyJ9sYDBE2&#10;hdQNtjHc1HKcJG/SYMWxoURHm5Lyy+FqFPxs2WW7Vuanv43bn7NZ/XE9fivVf+3WcxCBuvAUP9yZ&#10;jvOn75Mx/L8Tb5DLOwAAAP//AwBQSwECLQAUAAYACAAAACEA2+H2y+4AAACFAQAAEwAAAAAAAAAA&#10;AAAAAAAAAAAAW0NvbnRlbnRfVHlwZXNdLnhtbFBLAQItABQABgAIAAAAIQBa9CxbvwAAABUBAAAL&#10;AAAAAAAAAAAAAAAAAB8BAABfcmVscy8ucmVsc1BLAQItABQABgAIAAAAIQCuDVy4xQAAAN4AAAAP&#10;AAAAAAAAAAAAAAAAAAcCAABkcnMvZG93bnJldi54bWxQSwUGAAAAAAMAAwC3AAAA+QIAAAAA&#10;" filled="f" stroked="f">
                  <v:textbox inset="0,0,0,0">
                    <w:txbxContent>
                      <w:p w14:paraId="5593912D" w14:textId="77777777" w:rsidR="00B32EF2" w:rsidRDefault="00000000">
                        <w:r>
                          <w:rPr>
                            <w:rFonts w:ascii="Arial" w:eastAsia="Arial" w:hAnsi="Arial" w:cs="Arial"/>
                            <w:i/>
                            <w:sz w:val="18"/>
                          </w:rPr>
                          <w:t xml:space="preserve">sciandone ricevuta, per un periodo non superiore a sessanta giorni dalla </w:t>
                        </w:r>
                      </w:p>
                    </w:txbxContent>
                  </v:textbox>
                </v:rect>
                <v:rect id="Rectangle 17933" o:spid="_x0000_s3537" style="position:absolute;left:-10936;top:46951;width:497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kjxQAAAN4AAAAPAAAAZHJzL2Rvd25yZXYueG1sRE9Na8JA&#10;EL0L/Q/LFLzpRoXWRlcRRczBS62FHofsmESzs0t2NbG/3i0UvM3jfc582Zla3KjxlWUFo2ECgji3&#10;uuJCwfFrO5iC8AFZY22ZFNzJw3Lx0ptjqm3Ln3Q7hELEEPYpKihDcKmUPi/JoB9aRxy5k20Mhgib&#10;QuoG2xhuajlOkjdpsOLYUKKjdUn55XA1Cn427LJtK/PT79rtz9m03l2P30r1X7vVDESgLjzF/+5M&#10;x/nvH5MJ/L0Tb5CLBwAAAP//AwBQSwECLQAUAAYACAAAACEA2+H2y+4AAACFAQAAEwAAAAAAAAAA&#10;AAAAAAAAAAAAW0NvbnRlbnRfVHlwZXNdLnhtbFBLAQItABQABgAIAAAAIQBa9CxbvwAAABUBAAAL&#10;AAAAAAAAAAAAAAAAAB8BAABfcmVscy8ucmVsc1BLAQItABQABgAIAAAAIQDBQfkjxQAAAN4AAAAP&#10;AAAAAAAAAAAAAAAAAAcCAABkcnMvZG93bnJldi54bWxQSwUGAAAAAAMAAwC3AAAA+QIAAAAA&#10;" filled="f" stroked="f">
                  <v:textbox inset="0,0,0,0">
                    <w:txbxContent>
                      <w:p w14:paraId="2AA3A002" w14:textId="77777777" w:rsidR="00B32EF2" w:rsidRDefault="00000000">
                        <w:r>
                          <w:rPr>
                            <w:rFonts w:ascii="Arial" w:eastAsia="Arial" w:hAnsi="Arial" w:cs="Arial"/>
                            <w:i/>
                            <w:sz w:val="18"/>
                          </w:rPr>
                          <w:t>ricezione. Non possono essere trattenute le scritture cronologiche in uso;</w:t>
                        </w:r>
                      </w:p>
                    </w:txbxContent>
                  </v:textbox>
                </v:rect>
                <v:rect id="Rectangle 200804" o:spid="_x0000_s3538" style="position:absolute;left:25391;top:45718;width:5003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55HxwAAAN8AAAAPAAAAZHJzL2Rvd25yZXYueG1sRI9Pa8JA&#10;FMTvgt9heYI33VikhNSNFEWag5daCz0+si9/2uzbJbua6Kd3C4Ueh5n5DbPZjqYTV+p9a1nBapmA&#10;IC6tbrlWcP44LFIQPiBr7CyTght52ObTyQYzbQd+p+sp1CJC2GeooAnBZVL6siGDfmkdcfQq2xsM&#10;Ufa11D0OEW46+ZQkz9Jgy3GhQUe7hsqf08Uo+NqzKw6DLKv7zh2/i7R7u5w/lZrPxtcXEIHG8B/+&#10;axdaQSSmyRp+/8QvIPMHAAAA//8DAFBLAQItABQABgAIAAAAIQDb4fbL7gAAAIUBAAATAAAAAAAA&#10;AAAAAAAAAAAAAABbQ29udGVudF9UeXBlc10ueG1sUEsBAi0AFAAGAAgAAAAhAFr0LFu/AAAAFQEA&#10;AAsAAAAAAAAAAAAAAAAAHwEAAF9yZWxzLy5yZWxzUEsBAi0AFAAGAAgAAAAhABZLnkfHAAAA3wAA&#10;AA8AAAAAAAAAAAAAAAAABwIAAGRycy9kb3ducmV2LnhtbFBLBQYAAAAAAwADALcAAAD7AgAAAAA=&#10;" filled="f" stroked="f">
                  <v:textbox inset="0,0,0,0">
                    <w:txbxContent>
                      <w:p w14:paraId="096842E3" w14:textId="77777777" w:rsidR="00B32EF2" w:rsidRDefault="00000000">
                        <w:r>
                          <w:rPr>
                            <w:rFonts w:ascii="Arial" w:eastAsia="Arial" w:hAnsi="Arial" w:cs="Arial"/>
                            <w:i/>
                            <w:sz w:val="18"/>
                          </w:rPr>
                          <w:t>4)</w:t>
                        </w:r>
                      </w:p>
                    </w:txbxContent>
                  </v:textbox>
                </v:rect>
                <v:rect id="Rectangle 200805" o:spid="_x0000_s3539" style="position:absolute;left:-12227;top:45718;width:5003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zvcxwAAAN8AAAAPAAAAZHJzL2Rvd25yZXYueG1sRI9Pa8JA&#10;FMTvgt9heYI33ViwhNSNFEWag5daCz0+si9/2uzbJbua6Kd3C4Ueh5n5DbPZjqYTV+p9a1nBapmA&#10;IC6tbrlWcP44LFIQPiBr7CyTght52ObTyQYzbQd+p+sp1CJC2GeooAnBZVL6siGDfmkdcfQq2xsM&#10;Ufa11D0OEW46+ZQkz9Jgy3GhQUe7hsqf08Uo+NqzKw6DLKv7zh2/i7R7u5w/lZrPxtcXEIHG8B/+&#10;axdaQSSmyRp+/8QvIPMHAAAA//8DAFBLAQItABQABgAIAAAAIQDb4fbL7gAAAIUBAAATAAAAAAAA&#10;AAAAAAAAAAAAAABbQ29udGVudF9UeXBlc10ueG1sUEsBAi0AFAAGAAgAAAAhAFr0LFu/AAAAFQEA&#10;AAsAAAAAAAAAAAAAAAAAHwEAAF9yZWxzLy5yZWxzUEsBAi0AFAAGAAgAAAAhAHkHO9zHAAAA3wAA&#10;AA8AAAAAAAAAAAAAAAAABwIAAGRycy9kb3ducmV2LnhtbFBLBQYAAAAAAwADALcAAAD7AgAAAAA=&#10;" filled="f" stroked="f">
                  <v:textbox inset="0,0,0,0">
                    <w:txbxContent>
                      <w:p w14:paraId="045C370E" w14:textId="77777777" w:rsidR="00B32EF2" w:rsidRDefault="00000000">
                        <w:r>
                          <w:rPr>
                            <w:rFonts w:ascii="Arial" w:eastAsia="Arial" w:hAnsi="Arial" w:cs="Arial"/>
                            <w:i/>
                            <w:sz w:val="18"/>
                          </w:rPr>
                          <w:t xml:space="preserve"> inviare ai contribuenti questionari relativi a dati e notizie di carattere spe</w:t>
                        </w:r>
                      </w:p>
                    </w:txbxContent>
                  </v:textbox>
                </v:rect>
                <v:rect id="Rectangle 17935" o:spid="_x0000_s3540" style="position:absolute;left:657;top:45718;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MTMxQAAAN4AAAAPAAAAZHJzL2Rvd25yZXYueG1sRE9Na8JA&#10;EL0X+h+WKXirm7ZYY+oqxSLm4EVrweOQHZO02dklu5ror3eFgrd5vM+ZznvTiBO1vras4GWYgCAu&#10;rK65VLD7Xj6nIHxA1thYJgVn8jCfPT5MMdO24w2dtqEUMYR9hgqqEFwmpS8qMuiH1hFH7mBbgyHC&#10;tpS6xS6Gm0a+Jsm7NFhzbKjQ0aKi4m97NAr2X+zyZSeLw2Xh1r952qyOux+lBk/95weIQH24i//d&#10;uY7zx5O3EdzeiTfI2RUAAP//AwBQSwECLQAUAAYACAAAACEA2+H2y+4AAACFAQAAEwAAAAAAAAAA&#10;AAAAAAAAAAAAW0NvbnRlbnRfVHlwZXNdLnhtbFBLAQItABQABgAIAAAAIQBa9CxbvwAAABUBAAAL&#10;AAAAAAAAAAAAAAAAAB8BAABfcmVscy8ucmVsc1BLAQItABQABgAIAAAAIQAh5MTMxQAAAN4AAAAP&#10;AAAAAAAAAAAAAAAAAAcCAABkcnMvZG93bnJldi54bWxQSwUGAAAAAAMAAwC3AAAA+QIAAAAA&#10;" filled="f" stroked="f">
                  <v:textbox inset="0,0,0,0">
                    <w:txbxContent>
                      <w:p w14:paraId="2A0C4529" w14:textId="77777777" w:rsidR="00B32EF2" w:rsidRDefault="00000000">
                        <w:r>
                          <w:rPr>
                            <w:rFonts w:ascii="Arial" w:eastAsia="Arial" w:hAnsi="Arial" w:cs="Arial"/>
                            <w:i/>
                            <w:sz w:val="18"/>
                          </w:rPr>
                          <w:t>-</w:t>
                        </w:r>
                      </w:p>
                    </w:txbxContent>
                  </v:textbox>
                </v:rect>
                <v:rect id="Rectangle 17936" o:spid="_x0000_s3541" style="position:absolute;left:-11227;top:44484;width:500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q7xQAAAN4AAAAPAAAAZHJzL2Rvd25yZXYueG1sRE9Na8JA&#10;EL0X+h+WKXirGxWsja4iipiDl1oLPQ7ZMYlmZ5fsaqK/3i0UvM3jfc5s0ZlaXKnxlWUFg34Cgji3&#10;uuJCweF78z4B4QOyxtoyKbiRh8X89WWGqbYtf9F1HwoRQ9inqKAMwaVS+rwkg75vHXHkjrYxGCJs&#10;CqkbbGO4qeUwScbSYMWxoURHq5Ly8/5iFPyu2WWbVubH+8rtTtmk3l4OP0r13rrlFESgLjzF/+5M&#10;x/kfn6Mx/L0Tb5DzBwAAAP//AwBQSwECLQAUAAYACAAAACEA2+H2y+4AAACFAQAAEwAAAAAAAAAA&#10;AAAAAAAAAAAAW0NvbnRlbnRfVHlwZXNdLnhtbFBLAQItABQABgAIAAAAIQBa9CxbvwAAABUBAAAL&#10;AAAAAAAAAAAAAAAAAB8BAABfcmVscy8ucmVsc1BLAQItABQABgAIAAAAIQDRNlq7xQAAAN4AAAAP&#10;AAAAAAAAAAAAAAAAAAcCAABkcnMvZG93bnJldi54bWxQSwUGAAAAAAMAAwC3AAAA+QIAAAAA&#10;" filled="f" stroked="f">
                  <v:textbox inset="0,0,0,0">
                    <w:txbxContent>
                      <w:p w14:paraId="4EE0C1C8" w14:textId="77777777" w:rsidR="00B32EF2" w:rsidRDefault="00000000">
                        <w:r>
                          <w:rPr>
                            <w:rFonts w:ascii="Arial" w:eastAsia="Arial" w:hAnsi="Arial" w:cs="Arial"/>
                            <w:i/>
                            <w:sz w:val="18"/>
                          </w:rPr>
                          <w:t>cifico rilevanti ai fini dell’accertamento nei loro confronti nonchè nei con</w:t>
                        </w:r>
                      </w:p>
                    </w:txbxContent>
                  </v:textbox>
                </v:rect>
                <v:rect id="Rectangle 17937" o:spid="_x0000_s3542" style="position:absolute;left:657;top:4448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8gxQAAAN4AAAAPAAAAZHJzL2Rvd25yZXYueG1sRE9Na8JA&#10;EL0X+h+WKXirGxXURlcRRcyhl1oLPQ7ZMYlmZ5fsaqK/3i0UvM3jfc582ZlaXKnxlWUFg34Cgji3&#10;uuJCweF7+z4F4QOyxtoyKbiRh+Xi9WWOqbYtf9F1HwoRQ9inqKAMwaVS+rwkg75vHXHkjrYxGCJs&#10;CqkbbGO4qeUwScbSYMWxoURH65Ly8/5iFPxu2GXbVubH+9p9nrJpvbscfpTqvXWrGYhAXXiK/92Z&#10;jvMnH6MJ/L0Tb5CLBwAAAP//AwBQSwECLQAUAAYACAAAACEA2+H2y+4AAACFAQAAEwAAAAAAAAAA&#10;AAAAAAAAAAAAW0NvbnRlbnRfVHlwZXNdLnhtbFBLAQItABQABgAIAAAAIQBa9CxbvwAAABUBAAAL&#10;AAAAAAAAAAAAAAAAAB8BAABfcmVscy8ucmVsc1BLAQItABQABgAIAAAAIQC+ev8gxQAAAN4AAAAP&#10;AAAAAAAAAAAAAAAAAAcCAABkcnMvZG93bnJldi54bWxQSwUGAAAAAAMAAwC3AAAA+QIAAAAA&#10;" filled="f" stroked="f">
                  <v:textbox inset="0,0,0,0">
                    <w:txbxContent>
                      <w:p w14:paraId="3089AFEA" w14:textId="77777777" w:rsidR="00B32EF2" w:rsidRDefault="00000000">
                        <w:r>
                          <w:rPr>
                            <w:rFonts w:ascii="Arial" w:eastAsia="Arial" w:hAnsi="Arial" w:cs="Arial"/>
                            <w:i/>
                            <w:sz w:val="18"/>
                          </w:rPr>
                          <w:t>-</w:t>
                        </w:r>
                      </w:p>
                    </w:txbxContent>
                  </v:textbox>
                </v:rect>
                <v:rect id="Rectangle 17938" o:spid="_x0000_s3543" style="position:absolute;left:-12182;top:43251;width:509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WtSyAAAAN4AAAAPAAAAZHJzL2Rvd25yZXYueG1sRI9Pb8Iw&#10;DMXvk/YdIk/iNtJt0sY6ApqYED1wGX+kHa3GtN0aJ2oC7fj0+IDEzdZ7fu/n6XxwrTpRFxvPBp7G&#10;GSji0tuGKwO77fJxAiomZIutZzLwTxHms/u7KebW9/xNp02qlIRwzNFAnVLItY5lTQ7j2Adi0Q6+&#10;c5hk7SptO+wl3LX6OctetcOGpaHGQIuayr/N0Rn4+eJQLHtdHs6LsP4tJu3quNsbM3oYPj9AJRrS&#10;zXy9Lqzgv72/CK+8IzPo2QUAAP//AwBQSwECLQAUAAYACAAAACEA2+H2y+4AAACFAQAAEwAAAAAA&#10;AAAAAAAAAAAAAAAAW0NvbnRlbnRfVHlwZXNdLnhtbFBLAQItABQABgAIAAAAIQBa9CxbvwAAABUB&#10;AAALAAAAAAAAAAAAAAAAAB8BAABfcmVscy8ucmVsc1BLAQItABQABgAIAAAAIQDP5WtSyAAAAN4A&#10;AAAPAAAAAAAAAAAAAAAAAAcCAABkcnMvZG93bnJldi54bWxQSwUGAAAAAAMAAwC3AAAA/AIAAAAA&#10;" filled="f" stroked="f">
                  <v:textbox inset="0,0,0,0">
                    <w:txbxContent>
                      <w:p w14:paraId="69209C36" w14:textId="77777777" w:rsidR="00B32EF2" w:rsidRDefault="00000000">
                        <w:r>
                          <w:rPr>
                            <w:rFonts w:ascii="Arial" w:eastAsia="Arial" w:hAnsi="Arial" w:cs="Arial"/>
                            <w:i/>
                            <w:sz w:val="18"/>
                          </w:rPr>
                          <w:t xml:space="preserve">fronti di altri contribuenti con i quali abbiano intrattenuto rapporti, con invito </w:t>
                        </w:r>
                      </w:p>
                    </w:txbxContent>
                  </v:textbox>
                </v:rect>
                <v:rect id="Rectangle 17939" o:spid="_x0000_s3544" style="position:absolute;left:18926;top:42018;width:198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c7JxQAAAN4AAAAPAAAAZHJzL2Rvd25yZXYueG1sRE9La8JA&#10;EL4X/A/LCN7qxgpVo6uIRZpDL/UBHofsmESzs0t2NWl/fbcgeJuP7zmLVWdqcafGV5YVjIYJCOLc&#10;6ooLBYf99nUKwgdkjbVlUvBDHlbL3ssCU21b/qb7LhQihrBPUUEZgkul9HlJBv3QOuLInW1jMETY&#10;FFI32MZwU8u3JHmXBiuODSU62pSUX3c3o+D0wS7btjI//27c1yWb1p+3w1GpQb9bz0EE6sJT/HBn&#10;Os6fzMYz+H8n3iCXfwAAAP//AwBQSwECLQAUAAYACAAAACEA2+H2y+4AAACFAQAAEwAAAAAAAAAA&#10;AAAAAAAAAAAAW0NvbnRlbnRfVHlwZXNdLnhtbFBLAQItABQABgAIAAAAIQBa9CxbvwAAABUBAAAL&#10;AAAAAAAAAAAAAAAAAB8BAABfcmVscy8ucmVsc1BLAQItABQABgAIAAAAIQCgqc7JxQAAAN4AAAAP&#10;AAAAAAAAAAAAAAAAAAcCAABkcnMvZG93bnJldi54bWxQSwUGAAAAAAMAAwC3AAAA+QIAAAAA&#10;" filled="f" stroked="f">
                  <v:textbox inset="0,0,0,0">
                    <w:txbxContent>
                      <w:p w14:paraId="1414ABD4" w14:textId="77777777" w:rsidR="00B32EF2" w:rsidRDefault="00000000">
                        <w:r>
                          <w:rPr>
                            <w:rFonts w:ascii="Arial" w:eastAsia="Arial" w:hAnsi="Arial" w:cs="Arial"/>
                            <w:i/>
                            <w:sz w:val="18"/>
                          </w:rPr>
                          <w:t>a restituirli compilati e firmati;</w:t>
                        </w:r>
                      </w:p>
                    </w:txbxContent>
                  </v:textbox>
                </v:rect>
                <v:rect id="Rectangle 200802" o:spid="_x0000_s3545" style="position:absolute;left:25382;top:40784;width:500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qOoxwAAAN8AAAAPAAAAZHJzL2Rvd25yZXYueG1sRI/BasMw&#10;EETvhfyD2EBvjRwfinGihJJg4kMudV3ocbE2tlNrJSwldvv1VaHQ4zAzb5jtfjaDuNPoe8sK1qsE&#10;BHFjdc+tgvqteMpA+ICscbBMCr7Iw363eNhiru3Er3SvQisihH2OCroQXC6lbzoy6FfWEUfvYkeD&#10;IcqxlXrEKcLNINMkeZYGe44LHTo6dNR8Vjej4OPIriwm2Vy+D+58LbPhdKvflXpczi8bEIHm8B/+&#10;a5daQSRmSQq/f+IXkLsfAAAA//8DAFBLAQItABQABgAIAAAAIQDb4fbL7gAAAIUBAAATAAAAAAAA&#10;AAAAAAAAAAAAAABbQ29udGVudF9UeXBlc10ueG1sUEsBAi0AFAAGAAgAAAAhAFr0LFu/AAAAFQEA&#10;AAsAAAAAAAAAAAAAAAAAHwEAAF9yZWxzLy5yZWxzUEsBAi0AFAAGAAgAAAAhAPbuo6jHAAAA3wAA&#10;AA8AAAAAAAAAAAAAAAAABwIAAGRycy9kb3ducmV2LnhtbFBLBQYAAAAAAwADALcAAAD7AgAAAAA=&#10;" filled="f" stroked="f">
                  <v:textbox inset="0,0,0,0">
                    <w:txbxContent>
                      <w:p w14:paraId="2FA1CDAC" w14:textId="77777777" w:rsidR="00B32EF2" w:rsidRDefault="00000000">
                        <w:r>
                          <w:rPr>
                            <w:rFonts w:ascii="Arial" w:eastAsia="Arial" w:hAnsi="Arial" w:cs="Arial"/>
                            <w:i/>
                            <w:sz w:val="18"/>
                          </w:rPr>
                          <w:t>5)</w:t>
                        </w:r>
                      </w:p>
                    </w:txbxContent>
                  </v:textbox>
                </v:rect>
                <v:rect id="Rectangle 200803" o:spid="_x0000_s3546" style="position:absolute;left:-12240;top:40784;width:500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gYzxwAAAN8AAAAPAAAAZHJzL2Rvd25yZXYueG1sRI9Pa8JA&#10;FMTvgt9heYI33VihhNSNFEWag5daCz0+si9/2uzbJbua6Kd3C4Ueh5n5DbPZjqYTV+p9a1nBapmA&#10;IC6tbrlWcP44LFIQPiBr7CyTght52ObTyQYzbQd+p+sp1CJC2GeooAnBZVL6siGDfmkdcfQq2xsM&#10;Ufa11D0OEW46+ZQkz9Jgy3GhQUe7hsqf08Uo+NqzKw6DLKv7zh2/i7R7u5w/lZrPxtcXEIHG8B/+&#10;axdaQSSmyRp+/8QvIPMHAAAA//8DAFBLAQItABQABgAIAAAAIQDb4fbL7gAAAIUBAAATAAAAAAAA&#10;AAAAAAAAAAAAAABbQ29udGVudF9UeXBlc10ueG1sUEsBAi0AFAAGAAgAAAAhAFr0LFu/AAAAFQEA&#10;AAsAAAAAAAAAAAAAAAAAHwEAAF9yZWxzLy5yZWxzUEsBAi0AFAAGAAgAAAAhAJmiBjPHAAAA3wAA&#10;AA8AAAAAAAAAAAAAAAAABwIAAGRycy9kb3ducmV2LnhtbFBLBQYAAAAAAwADALcAAAD7AgAAAAA=&#10;" filled="f" stroked="f">
                  <v:textbox inset="0,0,0,0">
                    <w:txbxContent>
                      <w:p w14:paraId="7D7E8246" w14:textId="77777777" w:rsidR="00B32EF2" w:rsidRDefault="00000000">
                        <w:r>
                          <w:rPr>
                            <w:rFonts w:ascii="Arial" w:eastAsia="Arial" w:hAnsi="Arial" w:cs="Arial"/>
                            <w:i/>
                            <w:sz w:val="18"/>
                          </w:rPr>
                          <w:t xml:space="preserve"> richiedere agli organi e alle Amministrazioni dello Stato, agli enti pubbli</w:t>
                        </w:r>
                      </w:p>
                    </w:txbxContent>
                  </v:textbox>
                </v:rect>
                <v:rect id="Rectangle 17941" o:spid="_x0000_s3547" style="position:absolute;left:657;top:4078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bGyxQAAAN4AAAAPAAAAZHJzL2Rvd25yZXYueG1sRE9La8JA&#10;EL4X/A/LCN7qxiJVo6uIRZpDL/UBHofsmESzs0t2NWl/fbcgeJuP7zmLVWdqcafGV5YVjIYJCOLc&#10;6ooLBYf99nUKwgdkjbVlUvBDHlbL3ssCU21b/qb7LhQihrBPUUEZgkul9HlJBv3QOuLInW1jMETY&#10;FFI32MZwU8u3JHmXBiuODSU62pSUX3c3o+D0wS7btjI//27c1yWb1p+3w1GpQb9bz0EE6sJT/HBn&#10;Os6fzMYj+H8n3iCXfwAAAP//AwBQSwECLQAUAAYACAAAACEA2+H2y+4AAACFAQAAEwAAAAAAAAAA&#10;AAAAAAAAAAAAW0NvbnRlbnRfVHlwZXNdLnhtbFBLAQItABQABgAIAAAAIQBa9CxbvwAAABUBAAAL&#10;AAAAAAAAAAAAAAAAAB8BAABfcmVscy8ucmVsc1BLAQItABQABgAIAAAAIQAG2bGyxQAAAN4AAAAP&#10;AAAAAAAAAAAAAAAAAAcCAABkcnMvZG93bnJldi54bWxQSwUGAAAAAAMAAwC3AAAA+QIAAAAA&#10;" filled="f" stroked="f">
                  <v:textbox inset="0,0,0,0">
                    <w:txbxContent>
                      <w:p w14:paraId="5C080DE8" w14:textId="77777777" w:rsidR="00B32EF2" w:rsidRDefault="00000000">
                        <w:r>
                          <w:rPr>
                            <w:rFonts w:ascii="Arial" w:eastAsia="Arial" w:hAnsi="Arial" w:cs="Arial"/>
                            <w:i/>
                            <w:sz w:val="18"/>
                          </w:rPr>
                          <w:t>-</w:t>
                        </w:r>
                      </w:p>
                    </w:txbxContent>
                  </v:textbox>
                </v:rect>
                <v:rect id="Rectangle 17942" o:spid="_x0000_s3548" style="position:absolute;left:-12221;top:39551;width:511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y/FxQAAAN4AAAAPAAAAZHJzL2Rvd25yZXYueG1sRE9Na8JA&#10;EL0L/Q/LFLzpRpFqo6uIIs3BS62FHofsmESzs0t2NWl/vVsQvM3jfc5i1Zla3KjxlWUFo2ECgji3&#10;uuJCwfFrN5iB8AFZY22ZFPySh9XypbfAVNuWP+l2CIWIIexTVFCG4FIpfV6SQT+0jjhyJ9sYDBE2&#10;hdQNtjHc1HKcJG/SYMWxoURHm5Lyy+FqFPxs2WW7Vuanv43bn7NZ/XE9fivVf+3WcxCBuvAUP9yZ&#10;jvOn75Mx/L8Tb5DLOwAAAP//AwBQSwECLQAUAAYACAAAACEA2+H2y+4AAACFAQAAEwAAAAAAAAAA&#10;AAAAAAAAAAAAW0NvbnRlbnRfVHlwZXNdLnhtbFBLAQItABQABgAIAAAAIQBa9CxbvwAAABUBAAAL&#10;AAAAAAAAAAAAAAAAAB8BAABfcmVscy8ucmVsc1BLAQItABQABgAIAAAAIQD2Cy/FxQAAAN4AAAAP&#10;AAAAAAAAAAAAAAAAAAcCAABkcnMvZG93bnJldi54bWxQSwUGAAAAAAMAAwC3AAAA+QIAAAAA&#10;" filled="f" stroked="f">
                  <v:textbox inset="0,0,0,0">
                    <w:txbxContent>
                      <w:p w14:paraId="764C7472" w14:textId="77777777" w:rsidR="00B32EF2" w:rsidRDefault="00000000">
                        <w:r>
                          <w:rPr>
                            <w:rFonts w:ascii="Arial" w:eastAsia="Arial" w:hAnsi="Arial" w:cs="Arial"/>
                            <w:i/>
                            <w:sz w:val="18"/>
                          </w:rPr>
                          <w:t xml:space="preserve">ci non economici, alle società ed enti di assicurazione ed alle società ed </w:t>
                        </w:r>
                      </w:p>
                    </w:txbxContent>
                  </v:textbox>
                </v:rect>
                <v:rect id="Rectangle 17943" o:spid="_x0000_s3549" style="position:absolute;left:-12219;top:38318;width:51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4pexQAAAN4AAAAPAAAAZHJzL2Rvd25yZXYueG1sRE9Na8JA&#10;EL0X+h+WKXirm7ZSY+oqxSLm4EVrweOQHZO02dklu5ror3eFgrd5vM+ZznvTiBO1vras4GWYgCAu&#10;rK65VLD7Xj6nIHxA1thYJgVn8jCfPT5MMdO24w2dtqEUMYR9hgqqEFwmpS8qMuiH1hFH7mBbgyHC&#10;tpS6xS6Gm0a+Jsm7NFhzbKjQ0aKi4m97NAr2X+zyZSeLw2Xh1r952qyOux+lBk/95weIQH24i//d&#10;uY7zx5PRG9zeiTfI2RUAAP//AwBQSwECLQAUAAYACAAAACEA2+H2y+4AAACFAQAAEwAAAAAAAAAA&#10;AAAAAAAAAAAAW0NvbnRlbnRfVHlwZXNdLnhtbFBLAQItABQABgAIAAAAIQBa9CxbvwAAABUBAAAL&#10;AAAAAAAAAAAAAAAAAB8BAABfcmVscy8ucmVsc1BLAQItABQABgAIAAAAIQCZR4pexQAAAN4AAAAP&#10;AAAAAAAAAAAAAAAAAAcCAABkcnMvZG93bnJldi54bWxQSwUGAAAAAAMAAwC3AAAA+QIAAAAA&#10;" filled="f" stroked="f">
                  <v:textbox inset="0,0,0,0">
                    <w:txbxContent>
                      <w:p w14:paraId="48F59583" w14:textId="77777777" w:rsidR="00B32EF2" w:rsidRDefault="00000000">
                        <w:r>
                          <w:rPr>
                            <w:rFonts w:ascii="Arial" w:eastAsia="Arial" w:hAnsi="Arial" w:cs="Arial"/>
                            <w:i/>
                            <w:sz w:val="18"/>
                          </w:rPr>
                          <w:t xml:space="preserve">enti che effettuano istituzionalmente riscossioni e pagamenti per conto di </w:t>
                        </w:r>
                      </w:p>
                    </w:txbxContent>
                  </v:textbox>
                </v:rect>
                <v:rect id="Rectangle 17944" o:spid="_x0000_s3550" style="position:absolute;left:-12182;top:37085;width:5097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hIqxQAAAN4AAAAPAAAAZHJzL2Rvd25yZXYueG1sRE9Na8JA&#10;EL0L/Q/LFLzpRpHWRlcRRczBS62FHofsmESzs0t2NbG/3i0UvM3jfc582Zla3KjxlWUFo2ECgji3&#10;uuJCwfFrO5iC8AFZY22ZFNzJw3Lx0ptjqm3Ln3Q7hELEEPYpKihDcKmUPi/JoB9aRxy5k20Mhgib&#10;QuoG2xhuajlOkjdpsOLYUKKjdUn55XA1Cn427LJtK/PT79rtz9m03l2P30r1X7vVDESgLjzF/+5M&#10;x/nvH5MJ/L0Tb5CLBwAAAP//AwBQSwECLQAUAAYACAAAACEA2+H2y+4AAACFAQAAEwAAAAAAAAAA&#10;AAAAAAAAAAAAW0NvbnRlbnRfVHlwZXNdLnhtbFBLAQItABQABgAIAAAAIQBa9CxbvwAAABUBAAAL&#10;AAAAAAAAAAAAAAAAAB8BAABfcmVscy8ucmVsc1BLAQItABQABgAIAAAAIQAWrhIqxQAAAN4AAAAP&#10;AAAAAAAAAAAAAAAAAAcCAABkcnMvZG93bnJldi54bWxQSwUGAAAAAAMAAwC3AAAA+QIAAAAA&#10;" filled="f" stroked="f">
                  <v:textbox inset="0,0,0,0">
                    <w:txbxContent>
                      <w:p w14:paraId="0A584123" w14:textId="77777777" w:rsidR="00B32EF2" w:rsidRDefault="00000000">
                        <w:r>
                          <w:rPr>
                            <w:rFonts w:ascii="Arial" w:eastAsia="Arial" w:hAnsi="Arial" w:cs="Arial"/>
                            <w:i/>
                            <w:sz w:val="18"/>
                          </w:rPr>
                          <w:t xml:space="preserve">terzi la comunicazione, anche in deroga a contrarie disposizioni legislative, </w:t>
                        </w:r>
                      </w:p>
                    </w:txbxContent>
                  </v:textbox>
                </v:rect>
                <v:rect id="Rectangle 17945" o:spid="_x0000_s3551" style="position:absolute;left:-11208;top:35851;width:500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rexxQAAAN4AAAAPAAAAZHJzL2Rvd25yZXYueG1sRE9Na8JA&#10;EL0X+h+WKXirm5ZaY+oqxSLm4EVrweOQHZO02dklu5ror3eFgrd5vM+ZznvTiBO1vras4GWYgCAu&#10;rK65VLD7Xj6nIHxA1thYJgVn8jCfPT5MMdO24w2dtqEUMYR9hgqqEFwmpS8qMuiH1hFH7mBbgyHC&#10;tpS6xS6Gm0a+Jsm7NFhzbKjQ0aKi4m97NAr2X+zyZSeLw2Xh1r952qyOux+lBk/95weIQH24i//d&#10;uY7zx5O3EdzeiTfI2RUAAP//AwBQSwECLQAUAAYACAAAACEA2+H2y+4AAACFAQAAEwAAAAAAAAAA&#10;AAAAAAAAAAAAW0NvbnRlbnRfVHlwZXNdLnhtbFBLAQItABQABgAIAAAAIQBa9CxbvwAAABUBAAAL&#10;AAAAAAAAAAAAAAAAAB8BAABfcmVscy8ucmVsc1BLAQItABQABgAIAAAAIQB54rexxQAAAN4AAAAP&#10;AAAAAAAAAAAAAAAAAAcCAABkcnMvZG93bnJldi54bWxQSwUGAAAAAAMAAwC3AAAA+QIAAAAA&#10;" filled="f" stroked="f">
                  <v:textbox inset="0,0,0,0">
                    <w:txbxContent>
                      <w:p w14:paraId="620F0DFD" w14:textId="77777777" w:rsidR="00B32EF2" w:rsidRDefault="00000000">
                        <w:r>
                          <w:rPr>
                            <w:rFonts w:ascii="Arial" w:eastAsia="Arial" w:hAnsi="Arial" w:cs="Arial"/>
                            <w:i/>
                            <w:sz w:val="18"/>
                          </w:rPr>
                          <w:t>statutarie o regolamentari, di dati e notizie relativi a soggetti indicati singo</w:t>
                        </w:r>
                      </w:p>
                    </w:txbxContent>
                  </v:textbox>
                </v:rect>
                <v:rect id="Rectangle 17946" o:spid="_x0000_s3552" style="position:absolute;left:657;top:3585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CnGxQAAAN4AAAAPAAAAZHJzL2Rvd25yZXYueG1sRE9Na8JA&#10;EL0X+h+WKXirG0Wsja4iipiDl1oLPQ7ZMYlmZ5fsaqK/3i0UvM3jfc5s0ZlaXKnxlWUFg34Cgji3&#10;uuJCweF78z4B4QOyxtoyKbiRh8X89WWGqbYtf9F1HwoRQ9inqKAMwaVS+rwkg75vHXHkjrYxGCJs&#10;CqkbbGO4qeUwScbSYMWxoURHq5Ly8/5iFPyu2WWbVubH+8rtTtmk3l4OP0r13rrlFESgLjzF/+5M&#10;x/kfn6Mx/L0Tb5DzBwAAAP//AwBQSwECLQAUAAYACAAAACEA2+H2y+4AAACFAQAAEwAAAAAAAAAA&#10;AAAAAAAAAAAAW0NvbnRlbnRfVHlwZXNdLnhtbFBLAQItABQABgAIAAAAIQBa9CxbvwAAABUBAAAL&#10;AAAAAAAAAAAAAAAAAB8BAABfcmVscy8ucmVsc1BLAQItABQABgAIAAAAIQCJMCnGxQAAAN4AAAAP&#10;AAAAAAAAAAAAAAAAAAcCAABkcnMvZG93bnJldi54bWxQSwUGAAAAAAMAAwC3AAAA+QIAAAAA&#10;" filled="f" stroked="f">
                  <v:textbox inset="0,0,0,0">
                    <w:txbxContent>
                      <w:p w14:paraId="52BD2602" w14:textId="77777777" w:rsidR="00B32EF2" w:rsidRDefault="00000000">
                        <w:r>
                          <w:rPr>
                            <w:rFonts w:ascii="Arial" w:eastAsia="Arial" w:hAnsi="Arial" w:cs="Arial"/>
                            <w:i/>
                            <w:sz w:val="18"/>
                          </w:rPr>
                          <w:t>-</w:t>
                        </w:r>
                      </w:p>
                    </w:txbxContent>
                  </v:textbox>
                </v:rect>
                <v:rect id="Rectangle 17947" o:spid="_x0000_s3553" style="position:absolute;left:-12205;top:34618;width:510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IxdxQAAAN4AAAAPAAAAZHJzL2Rvd25yZXYueG1sRE9Na8JA&#10;EL0X+h+WKXirG0XURlcRRcyhl1oLPQ7ZMYlmZ5fsaqK/3i0UvM3jfc582ZlaXKnxlWUFg34Cgji3&#10;uuJCweF7+z4F4QOyxtoyKbiRh+Xi9WWOqbYtf9F1HwoRQ9inqKAMwaVS+rwkg75vHXHkjrYxGCJs&#10;CqkbbGO4qeUwScbSYMWxoURH65Ly8/5iFPxu2GXbVubH+9p9nrJpvbscfpTqvXWrGYhAXXiK/92Z&#10;jvMnH6MJ/L0Tb5CLBwAAAP//AwBQSwECLQAUAAYACAAAACEA2+H2y+4AAACFAQAAEwAAAAAAAAAA&#10;AAAAAAAAAAAAW0NvbnRlbnRfVHlwZXNdLnhtbFBLAQItABQABgAIAAAAIQBa9CxbvwAAABUBAAAL&#10;AAAAAAAAAAAAAAAAAB8BAABfcmVscy8ucmVsc1BLAQItABQABgAIAAAAIQDmfIxdxQAAAN4AAAAP&#10;AAAAAAAAAAAAAAAAAAcCAABkcnMvZG93bnJldi54bWxQSwUGAAAAAAMAAwC3AAAA+QIAAAAA&#10;" filled="f" stroked="f">
                  <v:textbox inset="0,0,0,0">
                    <w:txbxContent>
                      <w:p w14:paraId="58ED2709" w14:textId="77777777" w:rsidR="00B32EF2" w:rsidRDefault="00000000">
                        <w:r>
                          <w:rPr>
                            <w:rFonts w:ascii="Arial" w:eastAsia="Arial" w:hAnsi="Arial" w:cs="Arial"/>
                            <w:i/>
                            <w:sz w:val="18"/>
                          </w:rPr>
                          <w:t xml:space="preserve">larmente o per categorie. Alle società ed enti di assicurazione, per quanto </w:t>
                        </w:r>
                      </w:p>
                    </w:txbxContent>
                  </v:textbox>
                </v:rect>
                <v:rect id="Rectangle 17948" o:spid="_x0000_s3554" style="position:absolute;left:-12186;top:33385;width:510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xgvyAAAAN4AAAAPAAAAZHJzL2Rvd25yZXYueG1sRI9Pb8Iw&#10;DMXvk/YdIk/iNtJN08Y6ApqYED1wGX+kHa3GtN0aJ2oC7fj0+IDEzdZ7fu/n6XxwrTpRFxvPBp7G&#10;GSji0tuGKwO77fJxAiomZIutZzLwTxHms/u7KebW9/xNp02qlIRwzNFAnVLItY5lTQ7j2Adi0Q6+&#10;c5hk7SptO+wl3LX6OctetcOGpaHGQIuayr/N0Rn4+eJQLHtdHs6LsP4tJu3quNsbM3oYPj9AJRrS&#10;zXy9Lqzgv72/CK+8IzPo2QUAAP//AwBQSwECLQAUAAYACAAAACEA2+H2y+4AAACFAQAAEwAAAAAA&#10;AAAAAAAAAAAAAAAAW0NvbnRlbnRfVHlwZXNdLnhtbFBLAQItABQABgAIAAAAIQBa9CxbvwAAABUB&#10;AAALAAAAAAAAAAAAAAAAAB8BAABfcmVscy8ucmVsc1BLAQItABQABgAIAAAAIQCX4xgvyAAAAN4A&#10;AAAPAAAAAAAAAAAAAAAAAAcCAABkcnMvZG93bnJldi54bWxQSwUGAAAAAAMAAwC3AAAA/AIAAAAA&#10;" filled="f" stroked="f">
                  <v:textbox inset="0,0,0,0">
                    <w:txbxContent>
                      <w:p w14:paraId="0D3FD909" w14:textId="77777777" w:rsidR="00B32EF2" w:rsidRDefault="00000000">
                        <w:r>
                          <w:rPr>
                            <w:rFonts w:ascii="Arial" w:eastAsia="Arial" w:hAnsi="Arial" w:cs="Arial"/>
                            <w:i/>
                            <w:sz w:val="18"/>
                          </w:rPr>
                          <w:t xml:space="preserve">riguarda i rapporti con gli assicurati del ramo vita, possono essere richiesti </w:t>
                        </w:r>
                      </w:p>
                    </w:txbxContent>
                  </v:textbox>
                </v:rect>
                <v:rect id="Rectangle 17949" o:spid="_x0000_s3555" style="position:absolute;left:-11230;top:32151;width:500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720xQAAAN4AAAAPAAAAZHJzL2Rvd25yZXYueG1sRE9La8JA&#10;EL4X/A/LCN7qxiJVo6uIRZpDL/UBHofsmESzs0t2NWl/fbcgeJuP7zmLVWdqcafGV5YVjIYJCOLc&#10;6ooLBYf99nUKwgdkjbVlUvBDHlbL3ssCU21b/qb7LhQihrBPUUEZgkul9HlJBv3QOuLInW1jMETY&#10;FFI32MZwU8u3JHmXBiuODSU62pSUX3c3o+D0wS7btjI//27c1yWb1p+3w1GpQb9bz0EE6sJT/HBn&#10;Os6fzMYz+H8n3iCXfwAAAP//AwBQSwECLQAUAAYACAAAACEA2+H2y+4AAACFAQAAEwAAAAAAAAAA&#10;AAAAAAAAAAAAW0NvbnRlbnRfVHlwZXNdLnhtbFBLAQItABQABgAIAAAAIQBa9CxbvwAAABUBAAAL&#10;AAAAAAAAAAAAAAAAAB8BAABfcmVscy8ucmVsc1BLAQItABQABgAIAAAAIQD4r720xQAAAN4AAAAP&#10;AAAAAAAAAAAAAAAAAAcCAABkcnMvZG93bnJldi54bWxQSwUGAAAAAAMAAwC3AAAA+QIAAAAA&#10;" filled="f" stroked="f">
                  <v:textbox inset="0,0,0,0">
                    <w:txbxContent>
                      <w:p w14:paraId="7684AC81" w14:textId="77777777" w:rsidR="00B32EF2" w:rsidRDefault="00000000">
                        <w:r>
                          <w:rPr>
                            <w:rFonts w:ascii="Arial" w:eastAsia="Arial" w:hAnsi="Arial" w:cs="Arial"/>
                            <w:i/>
                            <w:sz w:val="18"/>
                          </w:rPr>
                          <w:t>dati e notizie attinenti esclusivamente alla durata del contratto di assicura</w:t>
                        </w:r>
                      </w:p>
                    </w:txbxContent>
                  </v:textbox>
                </v:rect>
                <v:rect id="Rectangle 17950" o:spid="_x0000_s3556" style="position:absolute;left:657;top:3215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IL0yAAAAN4AAAAPAAAAZHJzL2Rvd25yZXYueG1sRI9Pb8Iw&#10;DMXvk/YdIk/iNtJN2sY6ApqYED1wGX+kHa3GtN0aJ2oC7fj0+IDEzZaf33u/6XxwrTpRFxvPBp7G&#10;GSji0tuGKwO77fJxAiomZIutZzLwTxHms/u7KebW9/xNp02qlJhwzNFAnVLItY5lTQ7j2AdiuR18&#10;5zDJ2lXadtiLuWv1c5a9aocNS0KNgRY1lX+bozPw88WhWPa6PJwXYf1bTNrVcbc3ZvQwfH6ASjSk&#10;m/j6XVip//b+IgCCIzPo2QUAAP//AwBQSwECLQAUAAYACAAAACEA2+H2y+4AAACFAQAAEwAAAAAA&#10;AAAAAAAAAAAAAAAAW0NvbnRlbnRfVHlwZXNdLnhtbFBLAQItABQABgAIAAAAIQBa9CxbvwAAABUB&#10;AAALAAAAAAAAAAAAAAAAAB8BAABfcmVscy8ucmVsc1BLAQItABQABgAIAAAAIQDsTIL0yAAAAN4A&#10;AAAPAAAAAAAAAAAAAAAAAAcCAABkcnMvZG93bnJldi54bWxQSwUGAAAAAAMAAwC3AAAA/AIAAAAA&#10;" filled="f" stroked="f">
                  <v:textbox inset="0,0,0,0">
                    <w:txbxContent>
                      <w:p w14:paraId="15D89ED7" w14:textId="77777777" w:rsidR="00B32EF2" w:rsidRDefault="00000000">
                        <w:r>
                          <w:rPr>
                            <w:rFonts w:ascii="Arial" w:eastAsia="Arial" w:hAnsi="Arial" w:cs="Arial"/>
                            <w:i/>
                            <w:sz w:val="18"/>
                          </w:rPr>
                          <w:t>-</w:t>
                        </w:r>
                      </w:p>
                    </w:txbxContent>
                  </v:textbox>
                </v:rect>
                <v:rect id="Rectangle 17951" o:spid="_x0000_s3557" style="position:absolute;left:-12219;top:30918;width:51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CdvxQAAAN4AAAAPAAAAZHJzL2Rvd25yZXYueG1sRE9La8JA&#10;EL4X/A/LCN7qxoJVo6uIRZpDL/UBHofsmESzs0t2NWl/fbcgeJuP7zmLVWdqcafGV5YVjIYJCOLc&#10;6ooLBYf99nUKwgdkjbVlUvBDHlbL3ssCU21b/qb7LhQihrBPUUEZgkul9HlJBv3QOuLInW1jMETY&#10;FFI32MZwU8u3JHmXBiuODSU62pSUX3c3o+D0wS7btjI//27c1yWb1p+3w1GpQb9bz0EE6sJT/HBn&#10;Os6fzMYj+H8n3iCXfwAAAP//AwBQSwECLQAUAAYACAAAACEA2+H2y+4AAACFAQAAEwAAAAAAAAAA&#10;AAAAAAAAAAAAW0NvbnRlbnRfVHlwZXNdLnhtbFBLAQItABQABgAIAAAAIQBa9CxbvwAAABUBAAAL&#10;AAAAAAAAAAAAAAAAAB8BAABfcmVscy8ucmVsc1BLAQItABQABgAIAAAAIQCDACdvxQAAAN4AAAAP&#10;AAAAAAAAAAAAAAAAAAcCAABkcnMvZG93bnJldi54bWxQSwUGAAAAAAMAAwC3AAAA+QIAAAAA&#10;" filled="f" stroked="f">
                  <v:textbox inset="0,0,0,0">
                    <w:txbxContent>
                      <w:p w14:paraId="1F29C399" w14:textId="77777777" w:rsidR="00B32EF2" w:rsidRDefault="00000000">
                        <w:r>
                          <w:rPr>
                            <w:rFonts w:ascii="Arial" w:eastAsia="Arial" w:hAnsi="Arial" w:cs="Arial"/>
                            <w:i/>
                            <w:sz w:val="18"/>
                          </w:rPr>
                          <w:t xml:space="preserve">zione, all’ammontare del premio e alla individuazione del soggetto tenuto </w:t>
                        </w:r>
                      </w:p>
                    </w:txbxContent>
                  </v:textbox>
                </v:rect>
                <v:rect id="Rectangle 17952" o:spid="_x0000_s3558" style="position:absolute;left:-12219;top:29685;width:511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rkYxQAAAN4AAAAPAAAAZHJzL2Rvd25yZXYueG1sRE9Na8JA&#10;EL0L/Q/LFLzpRsFqo6uIIs3BS62FHofsmESzs0t2NWl/vVsQvM3jfc5i1Zla3KjxlWUFo2ECgji3&#10;uuJCwfFrN5iB8AFZY22ZFPySh9XypbfAVNuWP+l2CIWIIexTVFCG4FIpfV6SQT+0jjhyJ9sYDBE2&#10;hdQNtjHc1HKcJG/SYMWxoURHm5Lyy+FqFPxs2WW7Vuanv43bn7NZ/XE9fivVf+3WcxCBuvAUP9yZ&#10;jvOn75Mx/L8Tb5DLOwAAAP//AwBQSwECLQAUAAYACAAAACEA2+H2y+4AAACFAQAAEwAAAAAAAAAA&#10;AAAAAAAAAAAAW0NvbnRlbnRfVHlwZXNdLnhtbFBLAQItABQABgAIAAAAIQBa9CxbvwAAABUBAAAL&#10;AAAAAAAAAAAAAAAAAB8BAABfcmVscy8ucmVsc1BLAQItABQABgAIAAAAIQBz0rkYxQAAAN4AAAAP&#10;AAAAAAAAAAAAAAAAAAcCAABkcnMvZG93bnJldi54bWxQSwUGAAAAAAMAAwC3AAAA+QIAAAAA&#10;" filled="f" stroked="f">
                  <v:textbox inset="0,0,0,0">
                    <w:txbxContent>
                      <w:p w14:paraId="0F229586" w14:textId="77777777" w:rsidR="00B32EF2" w:rsidRDefault="00000000">
                        <w:r>
                          <w:rPr>
                            <w:rFonts w:ascii="Arial" w:eastAsia="Arial" w:hAnsi="Arial" w:cs="Arial"/>
                            <w:i/>
                            <w:sz w:val="18"/>
                          </w:rPr>
                          <w:t xml:space="preserve">a corrisponderlo. Le informazioni sulla categoria devono essere fornite, a </w:t>
                        </w:r>
                      </w:p>
                    </w:txbxContent>
                  </v:textbox>
                </v:rect>
                <v:rect id="Rectangle 17953" o:spid="_x0000_s3559" style="position:absolute;left:-11222;top:28451;width:500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hyDxQAAAN4AAAAPAAAAZHJzL2Rvd25yZXYueG1sRE9Na8JA&#10;EL0X+h+WKXirm7ZYY+oqxSLm4EVrweOQHZO02dklu5ror3eFgrd5vM+ZznvTiBO1vras4GWYgCAu&#10;rK65VLD7Xj6nIHxA1thYJgVn8jCfPT5MMdO24w2dtqEUMYR9hgqqEFwmpS8qMuiH1hFH7mBbgyHC&#10;tpS6xS6Gm0a+Jsm7NFhzbKjQ0aKi4m97NAr2X+zyZSeLw2Xh1r952qyOux+lBk/95weIQH24i//d&#10;uY7zx5PRG9zeiTfI2RUAAP//AwBQSwECLQAUAAYACAAAACEA2+H2y+4AAACFAQAAEwAAAAAAAAAA&#10;AAAAAAAAAAAAW0NvbnRlbnRfVHlwZXNdLnhtbFBLAQItABQABgAIAAAAIQBa9CxbvwAAABUBAAAL&#10;AAAAAAAAAAAAAAAAAB8BAABfcmVscy8ucmVsc1BLAQItABQABgAIAAAAIQAcnhyDxQAAAN4AAAAP&#10;AAAAAAAAAAAAAAAAAAcCAABkcnMvZG93bnJldi54bWxQSwUGAAAAAAMAAwC3AAAA+QIAAAAA&#10;" filled="f" stroked="f">
                  <v:textbox inset="0,0,0,0">
                    <w:txbxContent>
                      <w:p w14:paraId="698E4CCB" w14:textId="77777777" w:rsidR="00B32EF2" w:rsidRDefault="00000000">
                        <w:r>
                          <w:rPr>
                            <w:rFonts w:ascii="Arial" w:eastAsia="Arial" w:hAnsi="Arial" w:cs="Arial"/>
                            <w:i/>
                            <w:sz w:val="18"/>
                          </w:rPr>
                          <w:t>seconda della richiesta, cumulativamente o specificamente per ogni sog</w:t>
                        </w:r>
                      </w:p>
                    </w:txbxContent>
                  </v:textbox>
                </v:rect>
                <v:rect id="Rectangle 17954" o:spid="_x0000_s3560" style="position:absolute;left:657;top:2845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4T3xQAAAN4AAAAPAAAAZHJzL2Rvd25yZXYueG1sRE9Na8JA&#10;EL0X+h+WKXirm5ZaY+oqxSLm4EVrweOQHZO02dklu5ror3eFgrd5vM+ZznvTiBO1vras4GWYgCAu&#10;rK65VLD7Xj6nIHxA1thYJgVn8jCfPT5MMdO24w2dtqEUMYR9hgqqEFwmpS8qMuiH1hFH7mBbgyHC&#10;tpS6xS6Gm0a+Jsm7NFhzbKjQ0aKi4m97NAr2X+zyZSeLw2Xh1r952qyOux+lBk/95weIQH24i//d&#10;uY7zx5PRG9zeiTfI2RUAAP//AwBQSwECLQAUAAYACAAAACEA2+H2y+4AAACFAQAAEwAAAAAAAAAA&#10;AAAAAAAAAAAAW0NvbnRlbnRfVHlwZXNdLnhtbFBLAQItABQABgAIAAAAIQBa9CxbvwAAABUBAAAL&#10;AAAAAAAAAAAAAAAAAB8BAABfcmVscy8ucmVsc1BLAQItABQABgAIAAAAIQCTd4T3xQAAAN4AAAAP&#10;AAAAAAAAAAAAAAAAAAcCAABkcnMvZG93bnJldi54bWxQSwUGAAAAAAMAAwC3AAAA+QIAAAAA&#10;" filled="f" stroked="f">
                  <v:textbox inset="0,0,0,0">
                    <w:txbxContent>
                      <w:p w14:paraId="0EB76691" w14:textId="77777777" w:rsidR="00B32EF2" w:rsidRDefault="00000000">
                        <w:r>
                          <w:rPr>
                            <w:rFonts w:ascii="Arial" w:eastAsia="Arial" w:hAnsi="Arial" w:cs="Arial"/>
                            <w:i/>
                            <w:sz w:val="18"/>
                          </w:rPr>
                          <w:t>-</w:t>
                        </w:r>
                      </w:p>
                    </w:txbxContent>
                  </v:textbox>
                </v:rect>
                <v:rect id="Rectangle 17955" o:spid="_x0000_s3561" style="position:absolute;left:-12165;top:27218;width:509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yFsxQAAAN4AAAAPAAAAZHJzL2Rvd25yZXYueG1sRE9Na8JA&#10;EL0L/Q/LFLzpRsHWRlcRRczBS62FHofsmESzs0t2NbG/3i0UvM3jfc582Zla3KjxlWUFo2ECgji3&#10;uuJCwfFrO5iC8AFZY22ZFNzJw3Lx0ptjqm3Ln3Q7hELEEPYpKihDcKmUPi/JoB9aRxy5k20Mhgib&#10;QuoG2xhuajlOkjdpsOLYUKKjdUn55XA1Cn427LJtK/PT79rtz9m03l2P30r1X7vVDESgLjzF/+5M&#10;x/nvH5MJ/L0Tb5CLBwAAAP//AwBQSwECLQAUAAYACAAAACEA2+H2y+4AAACFAQAAEwAAAAAAAAAA&#10;AAAAAAAAAAAAW0NvbnRlbnRfVHlwZXNdLnhtbFBLAQItABQABgAIAAAAIQBa9CxbvwAAABUBAAAL&#10;AAAAAAAAAAAAAAAAAB8BAABfcmVscy8ucmVsc1BLAQItABQABgAIAAAAIQD8OyFsxQAAAN4AAAAP&#10;AAAAAAAAAAAAAAAAAAcCAABkcnMvZG93bnJldi54bWxQSwUGAAAAAAMAAwC3AAAA+QIAAAAA&#10;" filled="f" stroked="f">
                  <v:textbox inset="0,0,0,0">
                    <w:txbxContent>
                      <w:p w14:paraId="1F4A2BF5" w14:textId="77777777" w:rsidR="00B32EF2" w:rsidRDefault="00000000">
                        <w:r>
                          <w:rPr>
                            <w:rFonts w:ascii="Arial" w:eastAsia="Arial" w:hAnsi="Arial" w:cs="Arial"/>
                            <w:i/>
                            <w:sz w:val="18"/>
                          </w:rPr>
                          <w:t xml:space="preserve">getto che ne fa parte. Questa disposizione non si applica all’Istituto centrale </w:t>
                        </w:r>
                      </w:p>
                    </w:txbxContent>
                  </v:textbox>
                </v:rect>
                <v:rect id="Rectangle 17956" o:spid="_x0000_s3562" style="position:absolute;left:-12188;top:25985;width:509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b8bxQAAAN4AAAAPAAAAZHJzL2Rvd25yZXYueG1sRE9Na8JA&#10;EL0X+h+WKXirGwWtja4iipiDl1oLPQ7ZMYlmZ5fsaqK/3i0UvM3jfc5s0ZlaXKnxlWUFg34Cgji3&#10;uuJCweF78z4B4QOyxtoyKbiRh8X89WWGqbYtf9F1HwoRQ9inqKAMwaVS+rwkg75vHXHkjrYxGCJs&#10;CqkbbGO4qeUwScbSYMWxoURHq5Ly8/5iFPyu2WWbVubH+8rtTtmk3l4OP0r13rrlFESgLjzF/+5M&#10;x/kfn6Mx/L0Tb5DzBwAAAP//AwBQSwECLQAUAAYACAAAACEA2+H2y+4AAACFAQAAEwAAAAAAAAAA&#10;AAAAAAAAAAAAW0NvbnRlbnRfVHlwZXNdLnhtbFBLAQItABQABgAIAAAAIQBa9CxbvwAAABUBAAAL&#10;AAAAAAAAAAAAAAAAAB8BAABfcmVscy8ucmVsc1BLAQItABQABgAIAAAAIQAM6b8bxQAAAN4AAAAP&#10;AAAAAAAAAAAAAAAAAAcCAABkcnMvZG93bnJldi54bWxQSwUGAAAAAAMAAwC3AAAA+QIAAAAA&#10;" filled="f" stroked="f">
                  <v:textbox inset="0,0,0,0">
                    <w:txbxContent>
                      <w:p w14:paraId="3BD78DB0" w14:textId="77777777" w:rsidR="00B32EF2" w:rsidRDefault="00000000">
                        <w:r>
                          <w:rPr>
                            <w:rFonts w:ascii="Arial" w:eastAsia="Arial" w:hAnsi="Arial" w:cs="Arial"/>
                            <w:i/>
                            <w:sz w:val="18"/>
                          </w:rPr>
                          <w:t xml:space="preserve">di statistica, agli ispettorati del lavoro per quanto riguarda le rilevazioni loro </w:t>
                        </w:r>
                      </w:p>
                    </w:txbxContent>
                  </v:textbox>
                </v:rect>
                <v:rect id="Rectangle 17957" o:spid="_x0000_s3563" style="position:absolute;left:-12196;top:24752;width:5101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RqAxQAAAN4AAAAPAAAAZHJzL2Rvd25yZXYueG1sRE9La8JA&#10;EL4X+h+WKXirGwUfja4iiphDL7UWehyyYxLNzi7Z1UR/vVsoeJuP7znzZWdqcaXGV5YVDPoJCOLc&#10;6ooLBYfv7fsUhA/IGmvLpOBGHpaL15c5ptq2/EXXfShEDGGfooIyBJdK6fOSDPq+dcSRO9rGYIiw&#10;KaRusI3hppbDJBlLgxXHhhIdrUvKz/uLUfC7YZdtW5kf72v3ecqm9e5y+FGq99atZiACdeEp/ndn&#10;Os6ffIwm8PdOvEEuHgAAAP//AwBQSwECLQAUAAYACAAAACEA2+H2y+4AAACFAQAAEwAAAAAAAAAA&#10;AAAAAAAAAAAAW0NvbnRlbnRfVHlwZXNdLnhtbFBLAQItABQABgAIAAAAIQBa9CxbvwAAABUBAAAL&#10;AAAAAAAAAAAAAAAAAB8BAABfcmVscy8ucmVsc1BLAQItABQABgAIAAAAIQBjpRqAxQAAAN4AAAAP&#10;AAAAAAAAAAAAAAAAAAcCAABkcnMvZG93bnJldi54bWxQSwUGAAAAAAMAAwC3AAAA+QIAAAAA&#10;" filled="f" stroked="f">
                  <v:textbox inset="0,0,0,0">
                    <w:txbxContent>
                      <w:p w14:paraId="1F1FB7FB" w14:textId="77777777" w:rsidR="00B32EF2" w:rsidRDefault="00000000">
                        <w:r>
                          <w:rPr>
                            <w:rFonts w:ascii="Arial" w:eastAsia="Arial" w:hAnsi="Arial" w:cs="Arial"/>
                            <w:i/>
                            <w:sz w:val="18"/>
                          </w:rPr>
                          <w:t xml:space="preserve">commesse dalla legge, e, salvo il disposto del numero 7), alle banche, alla </w:t>
                        </w:r>
                      </w:p>
                    </w:txbxContent>
                  </v:textbox>
                </v:rect>
                <v:rect id="Rectangle 17958" o:spid="_x0000_s3564" style="position:absolute;left:-12190;top:23518;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7yyAAAAN4AAAAPAAAAZHJzL2Rvd25yZXYueG1sRI9Pb8Iw&#10;DMXvk/YdIk/iNtJN2sY6ApqYED1wGX+kHa3GtN0aJ2oC7fj0+IDEzdZ7fu/n6XxwrTpRFxvPBp7G&#10;GSji0tuGKwO77fJxAiomZIutZzLwTxHms/u7KebW9/xNp02qlIRwzNFAnVLItY5lTQ7j2Adi0Q6+&#10;c5hk7SptO+wl3LX6OctetcOGpaHGQIuayr/N0Rn4+eJQLHtdHs6LsP4tJu3quNsbM3oYPj9AJRrS&#10;zXy9Lqzgv72/CK+8IzPo2QUAAP//AwBQSwECLQAUAAYACAAAACEA2+H2y+4AAACFAQAAEwAAAAAA&#10;AAAAAAAAAAAAAAAAW0NvbnRlbnRfVHlwZXNdLnhtbFBLAQItABQABgAIAAAAIQBa9CxbvwAAABUB&#10;AAALAAAAAAAAAAAAAAAAAB8BAABfcmVscy8ucmVsc1BLAQItABQABgAIAAAAIQASOo7yyAAAAN4A&#10;AAAPAAAAAAAAAAAAAAAAAAcCAABkcnMvZG93bnJldi54bWxQSwUGAAAAAAMAAwC3AAAA/AIAAAAA&#10;" filled="f" stroked="f">
                  <v:textbox inset="0,0,0,0">
                    <w:txbxContent>
                      <w:p w14:paraId="5B7C33F5" w14:textId="77777777" w:rsidR="00B32EF2" w:rsidRDefault="00000000">
                        <w:r>
                          <w:rPr>
                            <w:rFonts w:ascii="Arial" w:eastAsia="Arial" w:hAnsi="Arial" w:cs="Arial"/>
                            <w:i/>
                            <w:sz w:val="18"/>
                          </w:rPr>
                          <w:t xml:space="preserve">società Poste italiane Spa, per le attività finanziarie e creditizie, alle società </w:t>
                        </w:r>
                      </w:p>
                    </w:txbxContent>
                  </v:textbox>
                </v:rect>
                <v:rect id="Rectangle 17959" o:spid="_x0000_s3565" style="position:absolute;left:-12190;top:22285;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itpxQAAAN4AAAAPAAAAZHJzL2Rvd25yZXYueG1sRE9La8JA&#10;EL4X/A/LCN7qxoJVo6uIRZpDL/UBHofsmESzs0t2NWl/fbcgeJuP7zmLVWdqcafGV5YVjIYJCOLc&#10;6ooLBYf99nUKwgdkjbVlUvBDHlbL3ssCU21b/qb7LhQihrBPUUEZgkul9HlJBv3QOuLInW1jMETY&#10;FFI32MZwU8u3JHmXBiuODSU62pSUX3c3o+D0wS7btjI//27c1yWb1p+3w1GpQb9bz0EE6sJT/HBn&#10;Os6fzMYz+H8n3iCXfwAAAP//AwBQSwECLQAUAAYACAAAACEA2+H2y+4AAACFAQAAEwAAAAAAAAAA&#10;AAAAAAAAAAAAW0NvbnRlbnRfVHlwZXNdLnhtbFBLAQItABQABgAIAAAAIQBa9CxbvwAAABUBAAAL&#10;AAAAAAAAAAAAAAAAAB8BAABfcmVscy8ucmVsc1BLAQItABQABgAIAAAAIQB9ditpxQAAAN4AAAAP&#10;AAAAAAAAAAAAAAAAAAcCAABkcnMvZG93bnJldi54bWxQSwUGAAAAAAMAAwC3AAAA+QIAAAAA&#10;" filled="f" stroked="f">
                  <v:textbox inset="0,0,0,0">
                    <w:txbxContent>
                      <w:p w14:paraId="6AE1C954" w14:textId="77777777" w:rsidR="00B32EF2" w:rsidRDefault="00000000">
                        <w:r>
                          <w:rPr>
                            <w:rFonts w:ascii="Arial" w:eastAsia="Arial" w:hAnsi="Arial" w:cs="Arial"/>
                            <w:i/>
                            <w:sz w:val="18"/>
                          </w:rPr>
                          <w:t xml:space="preserve">ed enti di assicurazione per le attività finanziarie, agli intermediari finanziari, </w:t>
                        </w:r>
                      </w:p>
                    </w:txbxContent>
                  </v:textbox>
                </v:rect>
                <v:rect id="Rectangle 17960" o:spid="_x0000_s3566" style="position:absolute;left:-12234;top:21052;width:511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EhJyAAAAN4AAAAPAAAAZHJzL2Rvd25yZXYueG1sRI9Pb8Iw&#10;DMXvk/YdIk/abaTswFhHQIgJrYdd+DNpR6sxbbfGiZpAC58eH5C42fLze+83WwyuVSfqYuPZwHiU&#10;gSIuvW24MrDfrV+moGJCtth6JgNnirCYPz7MMLe+5w2dtqlSYsIxRwN1SiHXOpY1OYwjH4jldvCd&#10;wyRrV2nbYS/mrtWvWTbRDhuWhBoDrWoq/7dHZ+D3k0Ox7nV5uKzC918xbb+O+x9jnp+G5QeoREO6&#10;i2/fhZX6b+8TARAcmUHPrwAAAP//AwBQSwECLQAUAAYACAAAACEA2+H2y+4AAACFAQAAEwAAAAAA&#10;AAAAAAAAAAAAAAAAW0NvbnRlbnRfVHlwZXNdLnhtbFBLAQItABQABgAIAAAAIQBa9CxbvwAAABUB&#10;AAALAAAAAAAAAAAAAAAAAB8BAABfcmVscy8ucmVsc1BLAQItABQABgAIAAAAIQAiIEhJyAAAAN4A&#10;AAAPAAAAAAAAAAAAAAAAAAcCAABkcnMvZG93bnJldi54bWxQSwUGAAAAAAMAAwC3AAAA/AIAAAAA&#10;" filled="f" stroked="f">
                  <v:textbox inset="0,0,0,0">
                    <w:txbxContent>
                      <w:p w14:paraId="506CD5BB" w14:textId="77777777" w:rsidR="00B32EF2" w:rsidRDefault="00000000">
                        <w:r>
                          <w:rPr>
                            <w:rFonts w:ascii="Arial" w:eastAsia="Arial" w:hAnsi="Arial" w:cs="Arial"/>
                            <w:i/>
                            <w:sz w:val="18"/>
                          </w:rPr>
                          <w:t xml:space="preserve">alle imprese di investimento, agli organismi di investimento collettivo del </w:t>
                        </w:r>
                      </w:p>
                    </w:txbxContent>
                  </v:textbox>
                </v:rect>
                <v:rect id="Rectangle 17961" o:spid="_x0000_s3567" style="position:absolute;left:-9681;top:19818;width:484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O3SxAAAAN4AAAAPAAAAZHJzL2Rvd25yZXYueG1sRE9Li8Iw&#10;EL4v7H8II3jT1D242jWKuMj24MUX7HFoxrbaTEITbfXXbwRhb/PxPWe26EwtbtT4yrKC0TABQZxb&#10;XXGh4LBfDyYgfEDWWFsmBXfysJi/v80w1bblLd12oRAxhH2KCsoQXCqlz0sy6IfWEUfuZBuDIcKm&#10;kLrBNoabWn4kyVgarDg2lOhoVVJ+2V2Ngt9vdtm6lfnpsXKbczapf66Ho1L9Xrf8AhGoC//ilzvT&#10;cf7ndDyC5zvxBjn/AwAA//8DAFBLAQItABQABgAIAAAAIQDb4fbL7gAAAIUBAAATAAAAAAAAAAAA&#10;AAAAAAAAAABbQ29udGVudF9UeXBlc10ueG1sUEsBAi0AFAAGAAgAAAAhAFr0LFu/AAAAFQEAAAsA&#10;AAAAAAAAAAAAAAAAHwEAAF9yZWxzLy5yZWxzUEsBAi0AFAAGAAgAAAAhAE1s7dLEAAAA3gAAAA8A&#10;AAAAAAAAAAAAAAAABwIAAGRycy9kb3ducmV2LnhtbFBLBQYAAAAAAwADALcAAAD4AgAAAAA=&#10;" filled="f" stroked="f">
                  <v:textbox inset="0,0,0,0">
                    <w:txbxContent>
                      <w:p w14:paraId="76DF9A6C" w14:textId="77777777" w:rsidR="00B32EF2" w:rsidRDefault="00000000">
                        <w:r>
                          <w:rPr>
                            <w:rFonts w:ascii="Arial" w:eastAsia="Arial" w:hAnsi="Arial" w:cs="Arial"/>
                            <w:i/>
                            <w:sz w:val="18"/>
                          </w:rPr>
                          <w:t>risparmio, alle società di gestione del risparmio e alle società fiduciarie;</w:t>
                        </w:r>
                      </w:p>
                    </w:txbxContent>
                  </v:textbox>
                </v:rect>
                <v:rect id="Rectangle 200800" o:spid="_x0000_s3568" style="position:absolute;left:25110;top:18585;width:511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JhExwAAAN8AAAAPAAAAZHJzL2Rvd25yZXYueG1sRI9Na8JA&#10;EIbvhf6HZQre6qY9SEhdRSzSHLz4UehxyI5JanZ2ya4m+us7h4LH4Z33eXnmy9F16kp9bD0beJtm&#10;oIgrb1uuDRwPm9ccVEzIFjvPZOBGEZaL56c5FtYPvKPrPtVKIBwLNNCkFAqtY9WQwzj1gViyk+8d&#10;Jjn7WtseB4G7Tr9n2Uw7bFkWGgy0bqg67y/OwM8nh3Iz6Op0X4ftb5l3X5fjtzGTl3H1ASrRmB7P&#10;/+3SGhBinomB+IgL6MUfAAAA//8DAFBLAQItABQABgAIAAAAIQDb4fbL7gAAAIUBAAATAAAAAAAA&#10;AAAAAAAAAAAAAABbQ29udGVudF9UeXBlc10ueG1sUEsBAi0AFAAGAAgAAAAhAFr0LFu/AAAAFQEA&#10;AAsAAAAAAAAAAAAAAAAAHwEAAF9yZWxzLy5yZWxzUEsBAi0AFAAGAAgAAAAhAGlwmETHAAAA3wAA&#10;AA8AAAAAAAAAAAAAAAAABwIAAGRycy9kb3ducmV2LnhtbFBLBQYAAAAAAwADALcAAAD7AgAAAAA=&#10;" filled="f" stroked="f">
                  <v:textbox inset="0,0,0,0">
                    <w:txbxContent>
                      <w:p w14:paraId="18A62670" w14:textId="77777777" w:rsidR="00B32EF2" w:rsidRDefault="00000000">
                        <w:r>
                          <w:rPr>
                            <w:rFonts w:ascii="Arial" w:eastAsia="Arial" w:hAnsi="Arial" w:cs="Arial"/>
                            <w:i/>
                            <w:sz w:val="18"/>
                          </w:rPr>
                          <w:t>6)</w:t>
                        </w:r>
                      </w:p>
                    </w:txbxContent>
                  </v:textbox>
                </v:rect>
                <v:rect id="Rectangle 200801" o:spid="_x0000_s3569" style="position:absolute;left:-13240;top:18585;width:511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D3fxwAAAN8AAAAPAAAAZHJzL2Rvd25yZXYueG1sRI/BasMw&#10;EETvhfyD2EButewegnGthJJg4kMvTVLocbE2tltrJSwldvv1VaGQ4zAzb5hyO5tB3Gj0vWUFWZKC&#10;IG6s7rlVcD5VjzkIH5A1DpZJwTd52G4WDyUW2k78RrdjaEWEsC9QQReCK6T0TUcGfWIdcfQudjQY&#10;ohxbqUecItwM8ilN19Jgz3GhQ0e7jpqv49Uo+Nizq6tJNpefnXv9rPPhcD2/K7Vazi/PIALN4R7+&#10;b9daQSTmaQZ/f+IXkJtfAAAA//8DAFBLAQItABQABgAIAAAAIQDb4fbL7gAAAIUBAAATAAAAAAAA&#10;AAAAAAAAAAAAAABbQ29udGVudF9UeXBlc10ueG1sUEsBAi0AFAAGAAgAAAAhAFr0LFu/AAAAFQEA&#10;AAsAAAAAAAAAAAAAAAAAHwEAAF9yZWxzLy5yZWxzUEsBAi0AFAAGAAgAAAAhAAY8Pd/HAAAA3wAA&#10;AA8AAAAAAAAAAAAAAAAABwIAAGRycy9kb3ducmV2LnhtbFBLBQYAAAAAAwADALcAAAD7AgAAAAA=&#10;" filled="f" stroked="f">
                  <v:textbox inset="0,0,0,0">
                    <w:txbxContent>
                      <w:p w14:paraId="37565507" w14:textId="77777777" w:rsidR="00B32EF2" w:rsidRDefault="00000000">
                        <w:r>
                          <w:rPr>
                            <w:rFonts w:ascii="Arial" w:eastAsia="Arial" w:hAnsi="Arial" w:cs="Arial"/>
                            <w:i/>
                            <w:sz w:val="18"/>
                          </w:rPr>
                          <w:t xml:space="preserve"> richiedere copie o estratti degli atti e dei documenti depositati presso i </w:t>
                        </w:r>
                      </w:p>
                    </w:txbxContent>
                  </v:textbox>
                </v:rect>
                <v:rect id="Rectangle 17963" o:spid="_x0000_s3570" style="position:absolute;left:-12227;top:17352;width:511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tY+xQAAAN4AAAAPAAAAZHJzL2Rvd25yZXYueG1sRE9Na8JA&#10;EL0X+h+WKXirGxWsja4iipiDl1oLPQ7ZMYlmZ5fsaqK/3i0UvM3jfc5s0ZlaXKnxlWUFg34Cgji3&#10;uuJCweF78z4B4QOyxtoyKbiRh8X89WWGqbYtf9F1HwoRQ9inqKAMwaVS+rwkg75vHXHkjrYxGCJs&#10;CqkbbGO4qeUwScbSYMWxoURHq5Ly8/5iFPyu2WWbVubH+8rtTtmk3l4OP0r13rrlFESgLjzF/+5M&#10;x/kfn+MR/L0Tb5DzBwAAAP//AwBQSwECLQAUAAYACAAAACEA2+H2y+4AAACFAQAAEwAAAAAAAAAA&#10;AAAAAAAAAAAAW0NvbnRlbnRfVHlwZXNdLnhtbFBLAQItABQABgAIAAAAIQBa9CxbvwAAABUBAAAL&#10;AAAAAAAAAAAAAAAAAB8BAABfcmVscy8ucmVsc1BLAQItABQABgAIAAAAIQDS8tY+xQAAAN4AAAAP&#10;AAAAAAAAAAAAAAAAAAcCAABkcnMvZG93bnJldi54bWxQSwUGAAAAAAMAAwC3AAAA+QIAAAAA&#10;" filled="f" stroked="f">
                  <v:textbox inset="0,0,0,0">
                    <w:txbxContent>
                      <w:p w14:paraId="1AE4001F" w14:textId="77777777" w:rsidR="00B32EF2" w:rsidRDefault="00000000">
                        <w:r>
                          <w:rPr>
                            <w:rFonts w:ascii="Arial" w:eastAsia="Arial" w:hAnsi="Arial" w:cs="Arial"/>
                            <w:i/>
                            <w:sz w:val="18"/>
                          </w:rPr>
                          <w:t xml:space="preserve">notai, i procuratori del registro, i conservatori dei registri immobiliari e gli </w:t>
                        </w:r>
                      </w:p>
                    </w:txbxContent>
                  </v:textbox>
                </v:rect>
                <v:rect id="Rectangle 17964" o:spid="_x0000_s3571" style="position:absolute;left:-12197;top:16118;width:510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05KxQAAAN4AAAAPAAAAZHJzL2Rvd25yZXYueG1sRE9Na8JA&#10;EL0X+h+WKXirG0Wsja4iipiDl1oLPQ7ZMYlmZ5fsaqK/3i0UvM3jfc5s0ZlaXKnxlWUFg34Cgji3&#10;uuJCweF78z4B4QOyxtoyKbiRh8X89WWGqbYtf9F1HwoRQ9inqKAMwaVS+rwkg75vHXHkjrYxGCJs&#10;CqkbbGO4qeUwScbSYMWxoURHq5Ly8/5iFPyu2WWbVubH+8rtTtmk3l4OP0r13rrlFESgLjzF/+5M&#10;x/kfn+MR/L0Tb5DzBwAAAP//AwBQSwECLQAUAAYACAAAACEA2+H2y+4AAACFAQAAEwAAAAAAAAAA&#10;AAAAAAAAAAAAW0NvbnRlbnRfVHlwZXNdLnhtbFBLAQItABQABgAIAAAAIQBa9CxbvwAAABUBAAAL&#10;AAAAAAAAAAAAAAAAAB8BAABfcmVscy8ucmVsc1BLAQItABQABgAIAAAAIQBdG05KxQAAAN4AAAAP&#10;AAAAAAAAAAAAAAAAAAcCAABkcnMvZG93bnJldi54bWxQSwUGAAAAAAMAAwC3AAAA+QIAAAAA&#10;" filled="f" stroked="f">
                  <v:textbox inset="0,0,0,0">
                    <w:txbxContent>
                      <w:p w14:paraId="73E92392" w14:textId="77777777" w:rsidR="00B32EF2" w:rsidRDefault="00000000">
                        <w:r>
                          <w:rPr>
                            <w:rFonts w:ascii="Arial" w:eastAsia="Arial" w:hAnsi="Arial" w:cs="Arial"/>
                            <w:i/>
                            <w:sz w:val="18"/>
                          </w:rPr>
                          <w:t xml:space="preserve">altri pubblici ufficiali. Le copie e gli estratti, con l’attestazione di conformità </w:t>
                        </w:r>
                      </w:p>
                    </w:txbxContent>
                  </v:textbox>
                </v:rect>
                <v:rect id="Rectangle 17965" o:spid="_x0000_s3572" style="position:absolute;left:3451;top:14885;width:353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RxQAAAN4AAAAPAAAAZHJzL2Rvd25yZXYueG1sRE9Na8JA&#10;EL0X+h+WKXirGwWtja4iipiDl1oLPQ7ZMYlmZ5fsaqK/3i0UvM3jfc5s0ZlaXKnxlWUFg34Cgji3&#10;uuJCweF78z4B4QOyxtoyKbiRh8X89WWGqbYtf9F1HwoRQ9inqKAMwaVS+rwkg75vHXHkjrYxGCJs&#10;CqkbbGO4qeUwScbSYMWxoURHq5Ly8/5iFPyu2WWbVubH+8rtTtmk3l4OP0r13rrlFESgLjzF/+5M&#10;x/kfn+MR/L0Tb5DzBwAAAP//AwBQSwECLQAUAAYACAAAACEA2+H2y+4AAACFAQAAEwAAAAAAAAAA&#10;AAAAAAAAAAAAW0NvbnRlbnRfVHlwZXNdLnhtbFBLAQItABQABgAIAAAAIQBa9CxbvwAAABUBAAAL&#10;AAAAAAAAAAAAAAAAAB8BAABfcmVscy8ucmVsc1BLAQItABQABgAIAAAAIQAyV+vRxQAAAN4AAAAP&#10;AAAAAAAAAAAAAAAAAAcCAABkcnMvZG93bnJldi54bWxQSwUGAAAAAAMAAwC3AAAA+QIAAAAA&#10;" filled="f" stroked="f">
                  <v:textbox inset="0,0,0,0">
                    <w:txbxContent>
                      <w:p w14:paraId="62111403" w14:textId="77777777" w:rsidR="00B32EF2" w:rsidRDefault="00000000">
                        <w:r>
                          <w:rPr>
                            <w:rFonts w:ascii="Arial" w:eastAsia="Arial" w:hAnsi="Arial" w:cs="Arial"/>
                            <w:i/>
                            <w:sz w:val="18"/>
                          </w:rPr>
                          <w:t>all’originale, devono essere rilasciate gratuitamente;</w:t>
                        </w:r>
                      </w:p>
                    </w:txbxContent>
                  </v:textbox>
                </v:rect>
                <v:rect id="Rectangle 200798" o:spid="_x0000_s3573" style="position:absolute;left:25304;top:13652;width:501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JWTxwAAAN8AAAAPAAAAZHJzL2Rvd25yZXYueG1sRI/BbsIw&#10;DIbvk/YOkSftNtLtsLFCQIgJrYddYCBxtBrTFhonagLt9vT4gMTR+v1/9jedD65VF+pi49nA6ygD&#10;RVx623BlYPu7ehmDignZYuuZDPxRhPns8WGKufU9r+mySZUSCMccDdQphVzrWNbkMI58IJbs4DuH&#10;Scau0rbDXuCu1W9Z9q4dNiwXagy0rKk8bc7OwP6LQ7HqdXn4X4afYzFuv8/bnTHPT8NiAirRkO7L&#10;t3ZhDQjx41MeFh9xAT27AgAA//8DAFBLAQItABQABgAIAAAAIQDb4fbL7gAAAIUBAAATAAAAAAAA&#10;AAAAAAAAAAAAAABbQ29udGVudF9UeXBlc10ueG1sUEsBAi0AFAAGAAgAAAAhAFr0LFu/AAAAFQEA&#10;AAsAAAAAAAAAAAAAAAAAHwEAAF9yZWxzLy5yZWxzUEsBAi0AFAAGAAgAAAAhAIm4lZPHAAAA3wAA&#10;AA8AAAAAAAAAAAAAAAAABwIAAGRycy9kb3ducmV2LnhtbFBLBQYAAAAAAwADALcAAAD7AgAAAAA=&#10;" filled="f" stroked="f">
                  <v:textbox inset="0,0,0,0">
                    <w:txbxContent>
                      <w:p w14:paraId="6F37AF1B" w14:textId="77777777" w:rsidR="00B32EF2" w:rsidRDefault="00000000">
                        <w:r>
                          <w:rPr>
                            <w:rFonts w:ascii="Arial" w:eastAsia="Arial" w:hAnsi="Arial" w:cs="Arial"/>
                            <w:i/>
                            <w:sz w:val="18"/>
                          </w:rPr>
                          <w:t>6-</w:t>
                        </w:r>
                      </w:p>
                    </w:txbxContent>
                  </v:textbox>
                </v:rect>
                <v:rect id="Rectangle 200799" o:spid="_x0000_s3574" style="position:absolute;left:-12413;top:13652;width:501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DAIxwAAAN8AAAAPAAAAZHJzL2Rvd25yZXYueG1sRI9PawIx&#10;FMTvQr9DeAVvmm0PVlezUizSPfSitdDjY/P2j928hE10Vz+9EYQeh5n5DbNaD6YVZ+p8Y1nByzQB&#10;QVxY3XCl4PC9ncxB+ICssbVMCi7kYZ09jVaYatvzjs77UIkIYZ+igjoEl0rpi5oM+ql1xNErbWcw&#10;RNlVUnfYR7hp5WuSzKTBhuNCjY42NRV/+5NR8PvBLt/2siivG/d1zOft5+nwo9T4eXhfggg0hP/w&#10;o51rBZH4tljA/U/8AjK7AQAA//8DAFBLAQItABQABgAIAAAAIQDb4fbL7gAAAIUBAAATAAAAAAAA&#10;AAAAAAAAAAAAAABbQ29udGVudF9UeXBlc10ueG1sUEsBAi0AFAAGAAgAAAAhAFr0LFu/AAAAFQEA&#10;AAsAAAAAAAAAAAAAAAAAHwEAAF9yZWxzLy5yZWxzUEsBAi0AFAAGAAgAAAAhAOb0MAjHAAAA3wAA&#10;AA8AAAAAAAAAAAAAAAAABwIAAGRycy9kb3ducmV2LnhtbFBLBQYAAAAAAwADALcAAAD7AgAAAAA=&#10;" filled="f" stroked="f">
                  <v:textbox inset="0,0,0,0">
                    <w:txbxContent>
                      <w:p w14:paraId="74D5CBBB" w14:textId="77777777" w:rsidR="00B32EF2" w:rsidRDefault="00000000">
                        <w:r>
                          <w:rPr>
                            <w:rFonts w:ascii="Arial" w:eastAsia="Arial" w:hAnsi="Arial" w:cs="Arial"/>
                            <w:i/>
                            <w:sz w:val="18"/>
                          </w:rPr>
                          <w:t>bis) richiedere, previa autorizzazione del direttore centrale dell’accer</w:t>
                        </w:r>
                      </w:p>
                    </w:txbxContent>
                  </v:textbox>
                </v:rect>
                <v:rect id="Rectangle 17967" o:spid="_x0000_s3575" style="position:absolute;left:657;top:1365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dA9xAAAAN4AAAAPAAAAZHJzL2Rvd25yZXYueG1sRE9Li8Iw&#10;EL4v+B/CCN7WdPfgoxplcRF72Isv8Dg0Y1ttJqGJtvrrN8LC3ubje8582Zla3KnxlWUFH8MEBHFu&#10;dcWFgsN+/T4B4QOyxtoyKXiQh+Wi9zbHVNuWt3TfhULEEPYpKihDcKmUPi/JoB9aRxy5s20Mhgib&#10;QuoG2xhuavmZJCNpsOLYUKKjVUn5dXczCk7f7LJ1K/Pzc+V+Ltmk3twOR6UG/e5rBiJQF/7Ff+5M&#10;x/nj6WgMr3fiDXLxCwAA//8DAFBLAQItABQABgAIAAAAIQDb4fbL7gAAAIUBAAATAAAAAAAAAAAA&#10;AAAAAAAAAABbQ29udGVudF9UeXBlc10ueG1sUEsBAi0AFAAGAAgAAAAhAFr0LFu/AAAAFQEAAAsA&#10;AAAAAAAAAAAAAAAAHwEAAF9yZWxzLy5yZWxzUEsBAi0AFAAGAAgAAAAhAK3J0D3EAAAA3gAAAA8A&#10;AAAAAAAAAAAAAAAABwIAAGRycy9kb3ducmV2LnhtbFBLBQYAAAAAAwADALcAAAD4AgAAAAA=&#10;" filled="f" stroked="f">
                  <v:textbox inset="0,0,0,0">
                    <w:txbxContent>
                      <w:p w14:paraId="1836BA6D" w14:textId="77777777" w:rsidR="00B32EF2" w:rsidRDefault="00000000">
                        <w:r>
                          <w:rPr>
                            <w:rFonts w:ascii="Arial" w:eastAsia="Arial" w:hAnsi="Arial" w:cs="Arial"/>
                            <w:i/>
                            <w:sz w:val="18"/>
                          </w:rPr>
                          <w:t>-</w:t>
                        </w:r>
                      </w:p>
                    </w:txbxContent>
                  </v:textbox>
                </v:rect>
                <v:rect id="Rectangle 17968" o:spid="_x0000_s3576" style="position:absolute;left:-12244;top:12419;width:5122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kRPyAAAAN4AAAAPAAAAZHJzL2Rvd25yZXYueG1sRI9Pb8Iw&#10;DMXvk/YdIk/abaTswFhHQIgJrYdd+DNpR6sxbbfGiZpAC58eH5C42XrP7/08WwyuVSfqYuPZwHiU&#10;gSIuvW24MrDfrV+moGJCtth6JgNnirCYPz7MMLe+5w2dtqlSEsIxRwN1SiHXOpY1OYwjH4hFO/jO&#10;YZK1q7TtsJdw1+rXLJtohw1LQ42BVjWV/9ujM/D7yaFY97o8XFbh+6+Ytl/H/Y8xz0/D8gNUoiHd&#10;zbfrwgr+2/tEeOUdmUHPrwAAAP//AwBQSwECLQAUAAYACAAAACEA2+H2y+4AAACFAQAAEwAAAAAA&#10;AAAAAAAAAAAAAAAAW0NvbnRlbnRfVHlwZXNdLnhtbFBLAQItABQABgAIAAAAIQBa9CxbvwAAABUB&#10;AAALAAAAAAAAAAAAAAAAAB8BAABfcmVscy8ucmVsc1BLAQItABQABgAIAAAAIQDcVkRPyAAAAN4A&#10;AAAPAAAAAAAAAAAAAAAAAAcCAABkcnMvZG93bnJldi54bWxQSwUGAAAAAAMAAwC3AAAA/AIAAAAA&#10;" filled="f" stroked="f">
                  <v:textbox inset="0,0,0,0">
                    <w:txbxContent>
                      <w:p w14:paraId="76C87C37" w14:textId="77777777" w:rsidR="00B32EF2" w:rsidRDefault="00000000">
                        <w:r>
                          <w:rPr>
                            <w:rFonts w:ascii="Arial" w:eastAsia="Arial" w:hAnsi="Arial" w:cs="Arial"/>
                            <w:i/>
                            <w:sz w:val="18"/>
                          </w:rPr>
                          <w:t xml:space="preserve">tamento dell’Agenzia delle entrate o del direttore regionale della stessa, </w:t>
                        </w:r>
                      </w:p>
                    </w:txbxContent>
                  </v:textbox>
                </v:rect>
                <v:rect id="Rectangle 17969" o:spid="_x0000_s3577" style="position:absolute;left:-12190;top:11185;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HUxAAAAN4AAAAPAAAAZHJzL2Rvd25yZXYueG1sRE9Ni8Iw&#10;EL0L/ocwgjdN9eBq1yiiiD3sZV0X9jg0Y1ttJqGJtvrrNwsL3ubxPme57kwt7tT4yrKCyTgBQZxb&#10;XXGh4PS1H81B+ICssbZMCh7kYb3q95aYatvyJ92PoRAxhH2KCsoQXCqlz0sy6MfWEUfubBuDIcKm&#10;kLrBNoabWk6TZCYNVhwbSnS0LSm/Hm9Gwc+OXbZvZX5+bt3HJZvXh9vpW6nhoNu8gwjUhZf4353p&#10;OP9tMVvA3zvxBrn6BQAA//8DAFBLAQItABQABgAIAAAAIQDb4fbL7gAAAIUBAAATAAAAAAAAAAAA&#10;AAAAAAAAAABbQ29udGVudF9UeXBlc10ueG1sUEsBAi0AFAAGAAgAAAAhAFr0LFu/AAAAFQEAAAsA&#10;AAAAAAAAAAAAAAAAHwEAAF9yZWxzLy5yZWxzUEsBAi0AFAAGAAgAAAAhALMa4dTEAAAA3gAAAA8A&#10;AAAAAAAAAAAAAAAABwIAAGRycy9kb3ducmV2LnhtbFBLBQYAAAAAAwADALcAAAD4AgAAAAA=&#10;" filled="f" stroked="f">
                  <v:textbox inset="0,0,0,0">
                    <w:txbxContent>
                      <w:p w14:paraId="61AD38FF" w14:textId="77777777" w:rsidR="00B32EF2" w:rsidRDefault="00000000">
                        <w:r>
                          <w:rPr>
                            <w:rFonts w:ascii="Arial" w:eastAsia="Arial" w:hAnsi="Arial" w:cs="Arial"/>
                            <w:i/>
                            <w:sz w:val="18"/>
                          </w:rPr>
                          <w:t xml:space="preserve">ovvero, per il Corpo della guardia di finanza, del comandante regionale, ai </w:t>
                        </w:r>
                      </w:p>
                    </w:txbxContent>
                  </v:textbox>
                </v:rect>
                <v:rect id="Rectangle 17970" o:spid="_x0000_s3578" style="position:absolute;left:-12189;top:9952;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6UyAAAAN4AAAAPAAAAZHJzL2Rvd25yZXYueG1sRI9Pb8Iw&#10;DMXvSHyHyEi7QbodBusIaGJC62EX/kza0WpM261xoibQbp8eH5C42fLze++3XA+uVRfqYuPZwOMs&#10;A0VcettwZeB42E4XoGJCtth6JgN/FGG9Go+WmFvf844u+1QpMeGYo4E6pZBrHcuaHMaZD8RyO/nO&#10;YZK1q7TtsBdz1+qnLHvWDhuWhBoDbWoqf/dnZ+D7nUOx7XV5+t+Ez59i0X6cj1/GPEyGt1dQiYZ0&#10;F9++Cyv15y9zARAcmUGvrgAAAP//AwBQSwECLQAUAAYACAAAACEA2+H2y+4AAACFAQAAEwAAAAAA&#10;AAAAAAAAAAAAAAAAW0NvbnRlbnRfVHlwZXNdLnhtbFBLAQItABQABgAIAAAAIQBa9CxbvwAAABUB&#10;AAALAAAAAAAAAAAAAAAAAB8BAABfcmVscy8ucmVsc1BLAQItABQABgAIAAAAIQCn+d6UyAAAAN4A&#10;AAAPAAAAAAAAAAAAAAAAAAcCAABkcnMvZG93bnJldi54bWxQSwUGAAAAAAMAAwC3AAAA/AIAAAAA&#10;" filled="f" stroked="f">
                  <v:textbox inset="0,0,0,0">
                    <w:txbxContent>
                      <w:p w14:paraId="70F6CD5B" w14:textId="77777777" w:rsidR="00B32EF2" w:rsidRDefault="00000000">
                        <w:r>
                          <w:rPr>
                            <w:rFonts w:ascii="Arial" w:eastAsia="Arial" w:hAnsi="Arial" w:cs="Arial"/>
                            <w:i/>
                            <w:sz w:val="18"/>
                          </w:rPr>
                          <w:t xml:space="preserve">soggetti sottoposti ad accertamento, ispezione o verifica il rilascio di una </w:t>
                        </w:r>
                      </w:p>
                    </w:txbxContent>
                  </v:textbox>
                </v:rect>
                <v:rect id="Rectangle 17971" o:spid="_x0000_s3579" style="position:absolute;left:-12274;top:8719;width:513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XsPxQAAAN4AAAAPAAAAZHJzL2Rvd25yZXYueG1sRE9Li8Iw&#10;EL4L+x/CLHhbU/fgoxplcZHtwcv6AI9DM7bVZhKaaKu/3iwseJuP7znzZWdqcaPGV5YVDAcJCOLc&#10;6ooLBfvd+mMCwgdkjbVlUnAnD8vFW2+OqbYt/9JtGwoRQ9inqKAMwaVS+rwkg35gHXHkTrYxGCJs&#10;CqkbbGO4qeVnkoykwYpjQ4mOViXll+3VKDh+s8vWrcxPj5XbnLNJ/XPdH5Tqv3dfMxCBuvAS/7sz&#10;HeePp+Mh/L0Tb5CLJwAAAP//AwBQSwECLQAUAAYACAAAACEA2+H2y+4AAACFAQAAEwAAAAAAAAAA&#10;AAAAAAAAAAAAW0NvbnRlbnRfVHlwZXNdLnhtbFBLAQItABQABgAIAAAAIQBa9CxbvwAAABUBAAAL&#10;AAAAAAAAAAAAAAAAAB8BAABfcmVscy8ucmVsc1BLAQItABQABgAIAAAAIQDItXsPxQAAAN4AAAAP&#10;AAAAAAAAAAAAAAAAAAcCAABkcnMvZG93bnJldi54bWxQSwUGAAAAAAMAAwC3AAAA+QIAAAAA&#10;" filled="f" stroked="f">
                  <v:textbox inset="0,0,0,0">
                    <w:txbxContent>
                      <w:p w14:paraId="3DE01882" w14:textId="77777777" w:rsidR="00B32EF2" w:rsidRDefault="00000000">
                        <w:r>
                          <w:rPr>
                            <w:rFonts w:ascii="Arial" w:eastAsia="Arial" w:hAnsi="Arial" w:cs="Arial"/>
                            <w:i/>
                            <w:sz w:val="18"/>
                          </w:rPr>
                          <w:t xml:space="preserve">dichiarazione contenente l’indicazione della natura, del numero e degli </w:t>
                        </w:r>
                      </w:p>
                    </w:txbxContent>
                  </v:textbox>
                </v:rect>
                <v:rect id="Rectangle 17972" o:spid="_x0000_s3580" style="position:absolute;left:-11207;top:7485;width:500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V4xAAAAN4AAAAPAAAAZHJzL2Rvd25yZXYueG1sRE9Li8Iw&#10;EL4v+B/CCN7WdD34qEZZXGR72Isv8Dg0Y1ttJqGJtvrrN8LC3ubje85i1Zla3KnxlWUFH8MEBHFu&#10;dcWFgsN+8z4F4QOyxtoyKXiQh9Wy97bAVNuWt3TfhULEEPYpKihDcKmUPi/JoB9aRxy5s20Mhgib&#10;QuoG2xhuajlKkrE0WHFsKNHRuqT8ursZBacvdtmmlfn5uXY/l2xaf98OR6UG/e5zDiJQF/7Ff+5M&#10;x/mT2WQEr3fiDXL5CwAA//8DAFBLAQItABQABgAIAAAAIQDb4fbL7gAAAIUBAAATAAAAAAAAAAAA&#10;AAAAAAAAAABbQ29udGVudF9UeXBlc10ueG1sUEsBAi0AFAAGAAgAAAAhAFr0LFu/AAAAFQEAAAsA&#10;AAAAAAAAAAAAAAAAHwEAAF9yZWxzLy5yZWxzUEsBAi0AFAAGAAgAAAAhADhn5XjEAAAA3gAAAA8A&#10;AAAAAAAAAAAAAAAABwIAAGRycy9kb3ducmV2LnhtbFBLBQYAAAAAAwADALcAAAD4AgAAAAA=&#10;" filled="f" stroked="f">
                  <v:textbox inset="0,0,0,0">
                    <w:txbxContent>
                      <w:p w14:paraId="32A6A4DF" w14:textId="77777777" w:rsidR="00B32EF2" w:rsidRDefault="00000000">
                        <w:r>
                          <w:rPr>
                            <w:rFonts w:ascii="Arial" w:eastAsia="Arial" w:hAnsi="Arial" w:cs="Arial"/>
                            <w:i/>
                            <w:sz w:val="18"/>
                          </w:rPr>
                          <w:t>estremi identificativi dei rapporti intrattenuti con le banche, la società Po</w:t>
                        </w:r>
                      </w:p>
                    </w:txbxContent>
                  </v:textbox>
                </v:rect>
                <v:rect id="Rectangle 17973" o:spid="_x0000_s3581" style="position:absolute;left:657;top:748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0DjxQAAAN4AAAAPAAAAZHJzL2Rvd25yZXYueG1sRE9Na8JA&#10;EL0X+h+WKXirGxXURlcRRcyhl1oLPQ7ZMYlmZ5fsaqK/3i0UvM3jfc582ZlaXKnxlWUFg34Cgji3&#10;uuJCweF7+z4F4QOyxtoyKbiRh+Xi9WWOqbYtf9F1HwoRQ9inqKAMwaVS+rwkg75vHXHkjrYxGCJs&#10;CqkbbGO4qeUwScbSYMWxoURH65Ly8/5iFPxu2GXbVubH+9p9nrJpvbscfpTqvXWrGYhAXXiK/92Z&#10;jvMnH5MR/L0Tb5CLBwAAAP//AwBQSwECLQAUAAYACAAAACEA2+H2y+4AAACFAQAAEwAAAAAAAAAA&#10;AAAAAAAAAAAAW0NvbnRlbnRfVHlwZXNdLnhtbFBLAQItABQABgAIAAAAIQBa9CxbvwAAABUBAAAL&#10;AAAAAAAAAAAAAAAAAB8BAABfcmVscy8ucmVsc1BLAQItABQABgAIAAAAIQBXK0DjxQAAAN4AAAAP&#10;AAAAAAAAAAAAAAAAAAcCAABkcnMvZG93bnJldi54bWxQSwUGAAAAAAMAAwC3AAAA+QIAAAAA&#10;" filled="f" stroked="f">
                  <v:textbox inset="0,0,0,0">
                    <w:txbxContent>
                      <w:p w14:paraId="0152511F" w14:textId="77777777" w:rsidR="00B32EF2" w:rsidRDefault="00000000">
                        <w:r>
                          <w:rPr>
                            <w:rFonts w:ascii="Arial" w:eastAsia="Arial" w:hAnsi="Arial" w:cs="Arial"/>
                            <w:i/>
                            <w:sz w:val="18"/>
                          </w:rPr>
                          <w:t>-</w:t>
                        </w:r>
                      </w:p>
                    </w:txbxContent>
                  </v:textbox>
                </v:rect>
                <v:rect id="Rectangle 17974" o:spid="_x0000_s3582" style="position:absolute;left:-12189;top:6252;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tiXxQAAAN4AAAAPAAAAZHJzL2Rvd25yZXYueG1sRE9Na8JA&#10;EL0X+h+WKXirG0XURlcRRcyhl1oLPQ7ZMYlmZ5fsaqK/3i0UvM3jfc582ZlaXKnxlWUFg34Cgji3&#10;uuJCweF7+z4F4QOyxtoyKbiRh+Xi9WWOqbYtf9F1HwoRQ9inqKAMwaVS+rwkg75vHXHkjrYxGCJs&#10;CqkbbGO4qeUwScbSYMWxoURH65Ly8/5iFPxu2GXbVubH+9p9nrJpvbscfpTqvXWrGYhAXXiK/92Z&#10;jvMnH5MR/L0Tb5CLBwAAAP//AwBQSwECLQAUAAYACAAAACEA2+H2y+4AAACFAQAAEwAAAAAAAAAA&#10;AAAAAAAAAAAAW0NvbnRlbnRfVHlwZXNdLnhtbFBLAQItABQABgAIAAAAIQBa9CxbvwAAABUBAAAL&#10;AAAAAAAAAAAAAAAAAB8BAABfcmVscy8ucmVsc1BLAQItABQABgAIAAAAIQDYwtiXxQAAAN4AAAAP&#10;AAAAAAAAAAAAAAAAAAcCAABkcnMvZG93bnJldi54bWxQSwUGAAAAAAMAAwC3AAAA+QIAAAAA&#10;" filled="f" stroked="f">
                  <v:textbox inset="0,0,0,0">
                    <w:txbxContent>
                      <w:p w14:paraId="4139DDBD" w14:textId="77777777" w:rsidR="00B32EF2" w:rsidRDefault="00000000">
                        <w:r>
                          <w:rPr>
                            <w:rFonts w:ascii="Arial" w:eastAsia="Arial" w:hAnsi="Arial" w:cs="Arial"/>
                            <w:i/>
                            <w:sz w:val="18"/>
                          </w:rPr>
                          <w:t xml:space="preserve">ste italiane Spa, gli intermediari finanziari, le imprese di investimento, gli </w:t>
                        </w:r>
                      </w:p>
                    </w:txbxContent>
                  </v:textbox>
                </v:rect>
                <v:rect id="Rectangle 17975" o:spid="_x0000_s3583" style="position:absolute;left:-12189;top:5019;width:509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n0MxQAAAN4AAAAPAAAAZHJzL2Rvd25yZXYueG1sRE9La8JA&#10;EL4X+h+WKXirGwUfja4iiphDL7UWehyyYxLNzi7Z1UR/vVsoeJuP7znzZWdqcaXGV5YVDPoJCOLc&#10;6ooLBYfv7fsUhA/IGmvLpOBGHpaL15c5ptq2/EXXfShEDGGfooIyBJdK6fOSDPq+dcSRO9rGYIiw&#10;KaRusI3hppbDJBlLgxXHhhIdrUvKz/uLUfC7YZdtW5kf72v3ecqm9e5y+FGq99atZiACdeEp/ndn&#10;Os6ffExG8PdOvEEuHgAAAP//AwBQSwECLQAUAAYACAAAACEA2+H2y+4AAACFAQAAEwAAAAAAAAAA&#10;AAAAAAAAAAAAW0NvbnRlbnRfVHlwZXNdLnhtbFBLAQItABQABgAIAAAAIQBa9CxbvwAAABUBAAAL&#10;AAAAAAAAAAAAAAAAAB8BAABfcmVscy8ucmVsc1BLAQItABQABgAIAAAAIQC3jn0MxQAAAN4AAAAP&#10;AAAAAAAAAAAAAAAAAAcCAABkcnMvZG93bnJldi54bWxQSwUGAAAAAAMAAwC3AAAA+QIAAAAA&#10;" filled="f" stroked="f">
                  <v:textbox inset="0,0,0,0">
                    <w:txbxContent>
                      <w:p w14:paraId="68C12F53" w14:textId="77777777" w:rsidR="00B32EF2" w:rsidRDefault="00000000">
                        <w:r>
                          <w:rPr>
                            <w:rFonts w:ascii="Arial" w:eastAsia="Arial" w:hAnsi="Arial" w:cs="Arial"/>
                            <w:i/>
                            <w:sz w:val="18"/>
                          </w:rPr>
                          <w:t xml:space="preserve">organismi di investimento collettivo del risparmio, le società di gestione del </w:t>
                        </w:r>
                      </w:p>
                    </w:txbxContent>
                  </v:textbox>
                </v:rect>
                <v:rect id="Rectangle 17976" o:spid="_x0000_s3584" style="position:absolute;left:-12189;top:3785;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ON7xAAAAN4AAAAPAAAAZHJzL2Rvd25yZXYueG1sRE9Li8Iw&#10;EL4v+B/CCN7WdPfgoxplcRF72Isv8Dg0Y1ttJqGJtvrrN8LC3ubje8582Zla3KnxlWUFH8MEBHFu&#10;dcWFgsN+/T4B4QOyxtoyKXiQh+Wi9zbHVNuWt3TfhULEEPYpKihDcKmUPi/JoB9aRxy5s20Mhgib&#10;QuoG2xhuavmZJCNpsOLYUKKjVUn5dXczCk7f7LJ1K/Pzc+V+Ltmk3twOR6UG/e5rBiJQF/7Ff+5M&#10;x/nj6XgEr3fiDXLxCwAA//8DAFBLAQItABQABgAIAAAAIQDb4fbL7gAAAIUBAAATAAAAAAAAAAAA&#10;AAAAAAAAAABbQ29udGVudF9UeXBlc10ueG1sUEsBAi0AFAAGAAgAAAAhAFr0LFu/AAAAFQEAAAsA&#10;AAAAAAAAAAAAAAAAHwEAAF9yZWxzLy5yZWxzUEsBAi0AFAAGAAgAAAAhAEdc43vEAAAA3gAAAA8A&#10;AAAAAAAAAAAAAAAABwIAAGRycy9kb3ducmV2LnhtbFBLBQYAAAAAAwADALcAAAD4AgAAAAA=&#10;" filled="f" stroked="f">
                  <v:textbox inset="0,0,0,0">
                    <w:txbxContent>
                      <w:p w14:paraId="258AC315" w14:textId="77777777" w:rsidR="00B32EF2" w:rsidRDefault="00000000">
                        <w:r>
                          <w:rPr>
                            <w:rFonts w:ascii="Arial" w:eastAsia="Arial" w:hAnsi="Arial" w:cs="Arial"/>
                            <w:i/>
                            <w:sz w:val="18"/>
                          </w:rPr>
                          <w:t xml:space="preserve">risparmio e le società fiduciarie, nazionali o stranieri, in corso ovvero estinti </w:t>
                        </w:r>
                      </w:p>
                    </w:txbxContent>
                  </v:textbox>
                </v:rect>
                <v:shape id="Shape 17977" o:spid="_x0000_s3585" style="position:absolute;top:3247;width:39600;height:59483;visibility:visible;mso-wrap-style:square;v-text-anchor:top" coordsize="3960000,594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tGJxQAAAN4AAAAPAAAAZHJzL2Rvd25yZXYueG1sRE9Na8JA&#10;EL0X/A/LCN7qxrY0Gl3FFlpbL2IUvA7ZMQlmZ0N2jdt/7xYKvc3jfc5iFUwjeupcbVnBZJyAIC6s&#10;rrlUcDx8PE5BOI+ssbFMCn7IwWo5eFhgpu2N99TnvhQxhF2GCirv20xKV1Rk0I1tSxy5s+0M+gi7&#10;UuoObzHcNPIpSV6lwZpjQ4UtvVdUXPKrUbCV/njJp7wOb5tw+n7+3L2kk16p0TCs5yA8Bf8v/nN/&#10;6Tg/naUp/L4Tb5DLOwAAAP//AwBQSwECLQAUAAYACAAAACEA2+H2y+4AAACFAQAAEwAAAAAAAAAA&#10;AAAAAAAAAAAAW0NvbnRlbnRfVHlwZXNdLnhtbFBLAQItABQABgAIAAAAIQBa9CxbvwAAABUBAAAL&#10;AAAAAAAAAAAAAAAAAB8BAABfcmVscy8ucmVsc1BLAQItABQABgAIAAAAIQCdbtGJxQAAAN4AAAAP&#10;AAAAAAAAAAAAAAAAAAcCAABkcnMvZG93bnJldi54bWxQSwUGAAAAAAMAAwC3AAAA+QIAAAAA&#10;" path="m,5948299r3960000,l3960000,,,,,5948299xe" filled="f" strokeweight="1pt">
                  <v:stroke miterlimit="1" joinstyle="miter"/>
                  <v:path arrowok="t" textboxrect="0,0,3960000,5948299"/>
                </v:shape>
                <w10:anchorlock/>
              </v:group>
            </w:pict>
          </mc:Fallback>
        </mc:AlternateContent>
      </w:r>
    </w:p>
    <w:p w14:paraId="0BE4014C" w14:textId="77777777" w:rsidR="00B32EF2" w:rsidRDefault="00000000">
      <w:pPr>
        <w:spacing w:after="0"/>
        <w:ind w:left="-357" w:right="-306"/>
      </w:pPr>
      <w:r>
        <w:rPr>
          <w:noProof/>
        </w:rPr>
        <w:lastRenderedPageBreak/>
        <mc:AlternateContent>
          <mc:Choice Requires="wpg">
            <w:drawing>
              <wp:inline distT="0" distB="0" distL="0" distR="0" wp14:anchorId="0D19AA3D" wp14:editId="2CA4A8A0">
                <wp:extent cx="3992099" cy="6262854"/>
                <wp:effectExtent l="0" t="0" r="0" b="0"/>
                <wp:docPr id="200888" name="Group 200888"/>
                <wp:cNvGraphicFramePr/>
                <a:graphic xmlns:a="http://schemas.openxmlformats.org/drawingml/2006/main">
                  <a:graphicData uri="http://schemas.microsoft.com/office/word/2010/wordprocessingGroup">
                    <wpg:wgp>
                      <wpg:cNvGrpSpPr/>
                      <wpg:grpSpPr>
                        <a:xfrm>
                          <a:off x="0" y="0"/>
                          <a:ext cx="3992099" cy="6262854"/>
                          <a:chOff x="0" y="0"/>
                          <a:chExt cx="3992099" cy="6262854"/>
                        </a:xfrm>
                      </wpg:grpSpPr>
                      <wps:wsp>
                        <wps:cNvPr id="17990" name="Rectangle 17990"/>
                        <wps:cNvSpPr/>
                        <wps:spPr>
                          <a:xfrm rot="-10799999">
                            <a:off x="1900785" y="-62190"/>
                            <a:ext cx="178369" cy="250646"/>
                          </a:xfrm>
                          <a:prstGeom prst="rect">
                            <a:avLst/>
                          </a:prstGeom>
                          <a:ln>
                            <a:noFill/>
                          </a:ln>
                        </wps:spPr>
                        <wps:txbx>
                          <w:txbxContent>
                            <w:p w14:paraId="387ECD98" w14:textId="77777777" w:rsidR="00B32EF2" w:rsidRDefault="00000000">
                              <w:r>
                                <w:rPr>
                                  <w:rFonts w:ascii="Times New Roman" w:eastAsia="Times New Roman" w:hAnsi="Times New Roman" w:cs="Times New Roman"/>
                                </w:rPr>
                                <w:t>67</w:t>
                              </w:r>
                            </w:p>
                          </w:txbxContent>
                        </wps:txbx>
                        <wps:bodyPr horzOverflow="overflow" vert="horz" lIns="0" tIns="0" rIns="0" bIns="0" rtlCol="0">
                          <a:noAutofit/>
                        </wps:bodyPr>
                      </wps:wsp>
                      <wps:wsp>
                        <wps:cNvPr id="17991" name="Rectangle 17991"/>
                        <wps:cNvSpPr/>
                        <wps:spPr>
                          <a:xfrm rot="-10799999">
                            <a:off x="-1316905" y="6119964"/>
                            <a:ext cx="5309005" cy="142890"/>
                          </a:xfrm>
                          <a:prstGeom prst="rect">
                            <a:avLst/>
                          </a:prstGeom>
                          <a:ln>
                            <a:noFill/>
                          </a:ln>
                        </wps:spPr>
                        <wps:txbx>
                          <w:txbxContent>
                            <w:p w14:paraId="2C5B884C" w14:textId="77777777" w:rsidR="00B32EF2" w:rsidRDefault="00000000">
                              <w:r>
                                <w:rPr>
                                  <w:rFonts w:ascii="Arial" w:eastAsia="Arial" w:hAnsi="Arial" w:cs="Arial"/>
                                  <w:sz w:val="18"/>
                                </w:rPr>
                                <w:t xml:space="preserve">ove occorra sommarie informazioni. In tal caso fissa, con lo stesso decreto, la </w:t>
                              </w:r>
                            </w:p>
                          </w:txbxContent>
                        </wps:txbx>
                        <wps:bodyPr horzOverflow="overflow" vert="horz" lIns="0" tIns="0" rIns="0" bIns="0" rtlCol="0">
                          <a:noAutofit/>
                        </wps:bodyPr>
                      </wps:wsp>
                      <wps:wsp>
                        <wps:cNvPr id="17992" name="Rectangle 17992"/>
                        <wps:cNvSpPr/>
                        <wps:spPr>
                          <a:xfrm rot="-10799999">
                            <a:off x="-1316921" y="5996748"/>
                            <a:ext cx="5309021" cy="142890"/>
                          </a:xfrm>
                          <a:prstGeom prst="rect">
                            <a:avLst/>
                          </a:prstGeom>
                          <a:ln>
                            <a:noFill/>
                          </a:ln>
                        </wps:spPr>
                        <wps:txbx>
                          <w:txbxContent>
                            <w:p w14:paraId="6729AD86" w14:textId="77777777" w:rsidR="00B32EF2" w:rsidRDefault="00000000">
                              <w:r>
                                <w:rPr>
                                  <w:rFonts w:ascii="Arial" w:eastAsia="Arial" w:hAnsi="Arial" w:cs="Arial"/>
                                  <w:sz w:val="18"/>
                                </w:rPr>
                                <w:t xml:space="preserve">camera di consiglio entro un termine non superiore a trenta giorni assegnando </w:t>
                              </w:r>
                            </w:p>
                          </w:txbxContent>
                        </wps:txbx>
                        <wps:bodyPr horzOverflow="overflow" vert="horz" lIns="0" tIns="0" rIns="0" bIns="0" rtlCol="0">
                          <a:noAutofit/>
                        </wps:bodyPr>
                      </wps:wsp>
                      <wps:wsp>
                        <wps:cNvPr id="17993" name="Rectangle 17993"/>
                        <wps:cNvSpPr/>
                        <wps:spPr>
                          <a:xfrm rot="-10799999">
                            <a:off x="-1221162" y="5873534"/>
                            <a:ext cx="5213948" cy="142889"/>
                          </a:xfrm>
                          <a:prstGeom prst="rect">
                            <a:avLst/>
                          </a:prstGeom>
                          <a:ln>
                            <a:noFill/>
                          </a:ln>
                        </wps:spPr>
                        <wps:txbx>
                          <w:txbxContent>
                            <w:p w14:paraId="3161450A" w14:textId="77777777" w:rsidR="00B32EF2" w:rsidRDefault="00000000">
                              <w:r>
                                <w:rPr>
                                  <w:rFonts w:ascii="Arial" w:eastAsia="Arial" w:hAnsi="Arial" w:cs="Arial"/>
                                  <w:sz w:val="18"/>
                                </w:rPr>
                                <w:t>all’istante un termine perentorio non superiore a quindici giorni per la notifica</w:t>
                              </w:r>
                            </w:p>
                          </w:txbxContent>
                        </wps:txbx>
                        <wps:bodyPr horzOverflow="overflow" vert="horz" lIns="0" tIns="0" rIns="0" bIns="0" rtlCol="0">
                          <a:noAutofit/>
                        </wps:bodyPr>
                      </wps:wsp>
                      <wps:wsp>
                        <wps:cNvPr id="17994" name="Rectangle 17994"/>
                        <wps:cNvSpPr/>
                        <wps:spPr>
                          <a:xfrm rot="-10799999">
                            <a:off x="19501" y="5873534"/>
                            <a:ext cx="50622" cy="142889"/>
                          </a:xfrm>
                          <a:prstGeom prst="rect">
                            <a:avLst/>
                          </a:prstGeom>
                          <a:ln>
                            <a:noFill/>
                          </a:ln>
                        </wps:spPr>
                        <wps:txbx>
                          <w:txbxContent>
                            <w:p w14:paraId="2120728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7995" name="Rectangle 17995"/>
                        <wps:cNvSpPr/>
                        <wps:spPr>
                          <a:xfrm rot="-10799999">
                            <a:off x="-1316966" y="5750318"/>
                            <a:ext cx="5309066" cy="142889"/>
                          </a:xfrm>
                          <a:prstGeom prst="rect">
                            <a:avLst/>
                          </a:prstGeom>
                          <a:ln>
                            <a:noFill/>
                          </a:ln>
                        </wps:spPr>
                        <wps:txbx>
                          <w:txbxContent>
                            <w:p w14:paraId="60701C92" w14:textId="77777777" w:rsidR="00B32EF2" w:rsidRDefault="00000000">
                              <w:r>
                                <w:rPr>
                                  <w:rFonts w:ascii="Arial" w:eastAsia="Arial" w:hAnsi="Arial" w:cs="Arial"/>
                                  <w:sz w:val="18"/>
                                </w:rPr>
                                <w:t xml:space="preserve">zione del ricorso e del decreto. A tale udienza la corte di giustizia tributaria, </w:t>
                              </w:r>
                            </w:p>
                          </w:txbxContent>
                        </wps:txbx>
                        <wps:bodyPr horzOverflow="overflow" vert="horz" lIns="0" tIns="0" rIns="0" bIns="0" rtlCol="0">
                          <a:noAutofit/>
                        </wps:bodyPr>
                      </wps:wsp>
                      <wps:wsp>
                        <wps:cNvPr id="17996" name="Rectangle 17996"/>
                        <wps:cNvSpPr/>
                        <wps:spPr>
                          <a:xfrm rot="-10799999">
                            <a:off x="-1218883" y="5627103"/>
                            <a:ext cx="5210984" cy="142889"/>
                          </a:xfrm>
                          <a:prstGeom prst="rect">
                            <a:avLst/>
                          </a:prstGeom>
                          <a:ln>
                            <a:noFill/>
                          </a:ln>
                        </wps:spPr>
                        <wps:txbx>
                          <w:txbxContent>
                            <w:p w14:paraId="005C08EE" w14:textId="77777777" w:rsidR="00B32EF2" w:rsidRDefault="00000000">
                              <w:r>
                                <w:rPr>
                                  <w:rFonts w:ascii="Arial" w:eastAsia="Arial" w:hAnsi="Arial" w:cs="Arial"/>
                                  <w:sz w:val="18"/>
                                </w:rPr>
                                <w:t>con ordinanza, conferma, modifica o revoca i provvedimenti emanati con de</w:t>
                              </w:r>
                            </w:p>
                          </w:txbxContent>
                        </wps:txbx>
                        <wps:bodyPr horzOverflow="overflow" vert="horz" lIns="0" tIns="0" rIns="0" bIns="0" rtlCol="0">
                          <a:noAutofit/>
                        </wps:bodyPr>
                      </wps:wsp>
                      <wps:wsp>
                        <wps:cNvPr id="17997" name="Rectangle 17997"/>
                        <wps:cNvSpPr/>
                        <wps:spPr>
                          <a:xfrm rot="-10799999">
                            <a:off x="19501" y="5627103"/>
                            <a:ext cx="50622" cy="142889"/>
                          </a:xfrm>
                          <a:prstGeom prst="rect">
                            <a:avLst/>
                          </a:prstGeom>
                          <a:ln>
                            <a:noFill/>
                          </a:ln>
                        </wps:spPr>
                        <wps:txbx>
                          <w:txbxContent>
                            <w:p w14:paraId="5B7B9CB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7998" name="Rectangle 17998"/>
                        <wps:cNvSpPr/>
                        <wps:spPr>
                          <a:xfrm rot="-10799999">
                            <a:off x="3610415" y="5503887"/>
                            <a:ext cx="380656" cy="142889"/>
                          </a:xfrm>
                          <a:prstGeom prst="rect">
                            <a:avLst/>
                          </a:prstGeom>
                          <a:ln>
                            <a:noFill/>
                          </a:ln>
                        </wps:spPr>
                        <wps:txbx>
                          <w:txbxContent>
                            <w:p w14:paraId="60461BFF" w14:textId="77777777" w:rsidR="00B32EF2" w:rsidRDefault="00000000">
                              <w:r>
                                <w:rPr>
                                  <w:rFonts w:ascii="Arial" w:eastAsia="Arial" w:hAnsi="Arial" w:cs="Arial"/>
                                  <w:sz w:val="18"/>
                                </w:rPr>
                                <w:t>creto.</w:t>
                              </w:r>
                            </w:p>
                          </w:txbxContent>
                        </wps:txbx>
                        <wps:bodyPr horzOverflow="overflow" vert="horz" lIns="0" tIns="0" rIns="0" bIns="0" rtlCol="0">
                          <a:noAutofit/>
                        </wps:bodyPr>
                      </wps:wsp>
                      <wps:wsp>
                        <wps:cNvPr id="200819" name="Rectangle 200819"/>
                        <wps:cNvSpPr/>
                        <wps:spPr>
                          <a:xfrm rot="-10799999">
                            <a:off x="-1369472" y="5380673"/>
                            <a:ext cx="5309006" cy="142889"/>
                          </a:xfrm>
                          <a:prstGeom prst="rect">
                            <a:avLst/>
                          </a:prstGeom>
                          <a:ln>
                            <a:noFill/>
                          </a:ln>
                        </wps:spPr>
                        <wps:txbx>
                          <w:txbxContent>
                            <w:p w14:paraId="0F2E5B2F" w14:textId="77777777" w:rsidR="00B32EF2" w:rsidRDefault="00000000">
                              <w:r>
                                <w:rPr>
                                  <w:rFonts w:ascii="Arial" w:eastAsia="Arial" w:hAnsi="Arial" w:cs="Arial"/>
                                  <w:sz w:val="18"/>
                                </w:rPr>
                                <w:t xml:space="preserve">. Le parti interessate possono prestare, in corso di giudizio, la garanzia di </w:t>
                              </w:r>
                            </w:p>
                          </w:txbxContent>
                        </wps:txbx>
                        <wps:bodyPr horzOverflow="overflow" vert="horz" lIns="0" tIns="0" rIns="0" bIns="0" rtlCol="0">
                          <a:noAutofit/>
                        </wps:bodyPr>
                      </wps:wsp>
                      <wps:wsp>
                        <wps:cNvPr id="200818" name="Rectangle 200818"/>
                        <wps:cNvSpPr/>
                        <wps:spPr>
                          <a:xfrm rot="-10799999">
                            <a:off x="2611277" y="5380673"/>
                            <a:ext cx="5309006" cy="142889"/>
                          </a:xfrm>
                          <a:prstGeom prst="rect">
                            <a:avLst/>
                          </a:prstGeom>
                          <a:ln>
                            <a:noFill/>
                          </a:ln>
                        </wps:spPr>
                        <wps:txbx>
                          <w:txbxContent>
                            <w:p w14:paraId="6BDF4BD2"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18000" name="Rectangle 18000"/>
                        <wps:cNvSpPr/>
                        <wps:spPr>
                          <a:xfrm rot="-10799999">
                            <a:off x="-1316906" y="5257456"/>
                            <a:ext cx="5309006" cy="142889"/>
                          </a:xfrm>
                          <a:prstGeom prst="rect">
                            <a:avLst/>
                          </a:prstGeom>
                          <a:ln>
                            <a:noFill/>
                          </a:ln>
                        </wps:spPr>
                        <wps:txbx>
                          <w:txbxContent>
                            <w:p w14:paraId="12082542" w14:textId="77777777" w:rsidR="00B32EF2" w:rsidRDefault="00000000">
                              <w:r>
                                <w:rPr>
                                  <w:rFonts w:ascii="Arial" w:eastAsia="Arial" w:hAnsi="Arial" w:cs="Arial"/>
                                  <w:sz w:val="18"/>
                                </w:rPr>
                                <w:t xml:space="preserve">cui all’articolo 127 comma 2. In tal caso l’organo dinanzi al quale è in corso il </w:t>
                              </w:r>
                            </w:p>
                          </w:txbxContent>
                        </wps:txbx>
                        <wps:bodyPr horzOverflow="overflow" vert="horz" lIns="0" tIns="0" rIns="0" bIns="0" rtlCol="0">
                          <a:noAutofit/>
                        </wps:bodyPr>
                      </wps:wsp>
                      <wps:wsp>
                        <wps:cNvPr id="18001" name="Rectangle 18001"/>
                        <wps:cNvSpPr/>
                        <wps:spPr>
                          <a:xfrm rot="-10799999">
                            <a:off x="-1218853" y="5134242"/>
                            <a:ext cx="5210953" cy="142889"/>
                          </a:xfrm>
                          <a:prstGeom prst="rect">
                            <a:avLst/>
                          </a:prstGeom>
                          <a:ln>
                            <a:noFill/>
                          </a:ln>
                        </wps:spPr>
                        <wps:txbx>
                          <w:txbxContent>
                            <w:p w14:paraId="13959A43" w14:textId="77777777" w:rsidR="00B32EF2" w:rsidRDefault="00000000">
                              <w:r>
                                <w:rPr>
                                  <w:rFonts w:ascii="Arial" w:eastAsia="Arial" w:hAnsi="Arial" w:cs="Arial"/>
                                  <w:sz w:val="18"/>
                                </w:rPr>
                                <w:t>procedimento può non adottare ovvero adottare solo parzialmente il provve</w:t>
                              </w:r>
                            </w:p>
                          </w:txbxContent>
                        </wps:txbx>
                        <wps:bodyPr horzOverflow="overflow" vert="horz" lIns="0" tIns="0" rIns="0" bIns="0" rtlCol="0">
                          <a:noAutofit/>
                        </wps:bodyPr>
                      </wps:wsp>
                      <wps:wsp>
                        <wps:cNvPr id="18002" name="Rectangle 18002"/>
                        <wps:cNvSpPr/>
                        <wps:spPr>
                          <a:xfrm rot="-10799999">
                            <a:off x="19501" y="5134242"/>
                            <a:ext cx="50622" cy="142889"/>
                          </a:xfrm>
                          <a:prstGeom prst="rect">
                            <a:avLst/>
                          </a:prstGeom>
                          <a:ln>
                            <a:noFill/>
                          </a:ln>
                        </wps:spPr>
                        <wps:txbx>
                          <w:txbxContent>
                            <w:p w14:paraId="0FA9C84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003" name="Rectangle 18003"/>
                        <wps:cNvSpPr/>
                        <wps:spPr>
                          <a:xfrm rot="-10799999">
                            <a:off x="2745771" y="5011026"/>
                            <a:ext cx="1246328" cy="142889"/>
                          </a:xfrm>
                          <a:prstGeom prst="rect">
                            <a:avLst/>
                          </a:prstGeom>
                          <a:ln>
                            <a:noFill/>
                          </a:ln>
                        </wps:spPr>
                        <wps:txbx>
                          <w:txbxContent>
                            <w:p w14:paraId="6BFE1B45" w14:textId="77777777" w:rsidR="00B32EF2" w:rsidRDefault="00000000">
                              <w:r>
                                <w:rPr>
                                  <w:rFonts w:ascii="Arial" w:eastAsia="Arial" w:hAnsi="Arial" w:cs="Arial"/>
                                  <w:sz w:val="18"/>
                                </w:rPr>
                                <w:t xml:space="preserve">dimento richiesto. </w:t>
                              </w:r>
                            </w:p>
                          </w:txbxContent>
                        </wps:txbx>
                        <wps:bodyPr horzOverflow="overflow" vert="horz" lIns="0" tIns="0" rIns="0" bIns="0" rtlCol="0">
                          <a:noAutofit/>
                        </wps:bodyPr>
                      </wps:wsp>
                      <wps:wsp>
                        <wps:cNvPr id="200817" name="Rectangle 200817"/>
                        <wps:cNvSpPr/>
                        <wps:spPr>
                          <a:xfrm rot="-10799999">
                            <a:off x="-1381420" y="4887811"/>
                            <a:ext cx="5307410" cy="142889"/>
                          </a:xfrm>
                          <a:prstGeom prst="rect">
                            <a:avLst/>
                          </a:prstGeom>
                          <a:ln>
                            <a:noFill/>
                          </a:ln>
                        </wps:spPr>
                        <wps:txbx>
                          <w:txbxContent>
                            <w:p w14:paraId="71A085D0" w14:textId="77777777" w:rsidR="00B32EF2" w:rsidRDefault="00000000">
                              <w:r>
                                <w:rPr>
                                  <w:rFonts w:ascii="Arial" w:eastAsia="Arial" w:hAnsi="Arial" w:cs="Arial"/>
                                  <w:sz w:val="18"/>
                                </w:rPr>
                                <w:t xml:space="preserve">. I provvedimenti cautelari pronunciati ai sensi del comma 1 perdono efficacia: </w:t>
                              </w:r>
                            </w:p>
                          </w:txbxContent>
                        </wps:txbx>
                        <wps:bodyPr horzOverflow="overflow" vert="horz" lIns="0" tIns="0" rIns="0" bIns="0" rtlCol="0">
                          <a:noAutofit/>
                        </wps:bodyPr>
                      </wps:wsp>
                      <wps:wsp>
                        <wps:cNvPr id="200816" name="Rectangle 200816"/>
                        <wps:cNvSpPr/>
                        <wps:spPr>
                          <a:xfrm rot="-10799999">
                            <a:off x="2611673" y="4887811"/>
                            <a:ext cx="5307410" cy="142889"/>
                          </a:xfrm>
                          <a:prstGeom prst="rect">
                            <a:avLst/>
                          </a:prstGeom>
                          <a:ln>
                            <a:noFill/>
                          </a:ln>
                        </wps:spPr>
                        <wps:txbx>
                          <w:txbxContent>
                            <w:p w14:paraId="7AB1F577" w14:textId="77777777" w:rsidR="00B32EF2" w:rsidRDefault="00000000">
                              <w:r>
                                <w:rPr>
                                  <w:rFonts w:ascii="Arial" w:eastAsia="Arial" w:hAnsi="Arial" w:cs="Arial"/>
                                  <w:sz w:val="18"/>
                                </w:rPr>
                                <w:t>8</w:t>
                              </w:r>
                            </w:p>
                          </w:txbxContent>
                        </wps:txbx>
                        <wps:bodyPr horzOverflow="overflow" vert="horz" lIns="0" tIns="0" rIns="0" bIns="0" rtlCol="0">
                          <a:noAutofit/>
                        </wps:bodyPr>
                      </wps:wsp>
                      <wps:wsp>
                        <wps:cNvPr id="18005" name="Rectangle 18005"/>
                        <wps:cNvSpPr/>
                        <wps:spPr>
                          <a:xfrm rot="-10799999">
                            <a:off x="-1157483" y="4764595"/>
                            <a:ext cx="5149583" cy="142889"/>
                          </a:xfrm>
                          <a:prstGeom prst="rect">
                            <a:avLst/>
                          </a:prstGeom>
                          <a:ln>
                            <a:noFill/>
                          </a:ln>
                        </wps:spPr>
                        <wps:txbx>
                          <w:txbxContent>
                            <w:p w14:paraId="098C690A" w14:textId="77777777" w:rsidR="00B32EF2" w:rsidRDefault="00000000">
                              <w:r>
                                <w:rPr>
                                  <w:rFonts w:ascii="Arial" w:eastAsia="Arial" w:hAnsi="Arial" w:cs="Arial"/>
                                  <w:sz w:val="18"/>
                                </w:rPr>
                                <w:t xml:space="preserve">a) se non sono eseguiti nel termine di sessanta giorni dalla comunicazione; </w:t>
                              </w:r>
                            </w:p>
                          </w:txbxContent>
                        </wps:txbx>
                        <wps:bodyPr horzOverflow="overflow" vert="horz" lIns="0" tIns="0" rIns="0" bIns="0" rtlCol="0">
                          <a:noAutofit/>
                        </wps:bodyPr>
                      </wps:wsp>
                      <wps:wsp>
                        <wps:cNvPr id="18006" name="Rectangle 18006"/>
                        <wps:cNvSpPr/>
                        <wps:spPr>
                          <a:xfrm rot="-10799999">
                            <a:off x="-1316906" y="4641381"/>
                            <a:ext cx="5309006" cy="142889"/>
                          </a:xfrm>
                          <a:prstGeom prst="rect">
                            <a:avLst/>
                          </a:prstGeom>
                          <a:ln>
                            <a:noFill/>
                          </a:ln>
                        </wps:spPr>
                        <wps:txbx>
                          <w:txbxContent>
                            <w:p w14:paraId="0CA883AA" w14:textId="77777777" w:rsidR="00B32EF2" w:rsidRDefault="00000000">
                              <w:r>
                                <w:rPr>
                                  <w:rFonts w:ascii="Arial" w:eastAsia="Arial" w:hAnsi="Arial" w:cs="Arial"/>
                                  <w:sz w:val="18"/>
                                </w:rPr>
                                <w:t xml:space="preserve">b) se, nel termine di centoventi giorni dalla loro adozione, non viene notificato </w:t>
                              </w:r>
                            </w:p>
                          </w:txbxContent>
                        </wps:txbx>
                        <wps:bodyPr horzOverflow="overflow" vert="horz" lIns="0" tIns="0" rIns="0" bIns="0" rtlCol="0">
                          <a:noAutofit/>
                        </wps:bodyPr>
                      </wps:wsp>
                      <wps:wsp>
                        <wps:cNvPr id="18007" name="Rectangle 18007"/>
                        <wps:cNvSpPr/>
                        <wps:spPr>
                          <a:xfrm rot="-10799999">
                            <a:off x="-1316936" y="4518164"/>
                            <a:ext cx="5309035" cy="142889"/>
                          </a:xfrm>
                          <a:prstGeom prst="rect">
                            <a:avLst/>
                          </a:prstGeom>
                          <a:ln>
                            <a:noFill/>
                          </a:ln>
                        </wps:spPr>
                        <wps:txbx>
                          <w:txbxContent>
                            <w:p w14:paraId="38156A11" w14:textId="77777777" w:rsidR="00B32EF2" w:rsidRDefault="00000000">
                              <w:r>
                                <w:rPr>
                                  <w:rFonts w:ascii="Arial" w:eastAsia="Arial" w:hAnsi="Arial" w:cs="Arial"/>
                                  <w:sz w:val="18"/>
                                </w:rPr>
                                <w:t xml:space="preserve">atto impositivo, di contestazione o di irrogazione; in tal caso, il presidente della </w:t>
                              </w:r>
                            </w:p>
                          </w:txbxContent>
                        </wps:txbx>
                        <wps:bodyPr horzOverflow="overflow" vert="horz" lIns="0" tIns="0" rIns="0" bIns="0" rtlCol="0">
                          <a:noAutofit/>
                        </wps:bodyPr>
                      </wps:wsp>
                      <wps:wsp>
                        <wps:cNvPr id="18008" name="Rectangle 18008"/>
                        <wps:cNvSpPr/>
                        <wps:spPr>
                          <a:xfrm rot="-10799999">
                            <a:off x="-1218853" y="4394950"/>
                            <a:ext cx="5210953" cy="142889"/>
                          </a:xfrm>
                          <a:prstGeom prst="rect">
                            <a:avLst/>
                          </a:prstGeom>
                          <a:ln>
                            <a:noFill/>
                          </a:ln>
                        </wps:spPr>
                        <wps:txbx>
                          <w:txbxContent>
                            <w:p w14:paraId="23CAF66F" w14:textId="77777777" w:rsidR="00B32EF2" w:rsidRDefault="00000000">
                              <w:r>
                                <w:rPr>
                                  <w:rFonts w:ascii="Arial" w:eastAsia="Arial" w:hAnsi="Arial" w:cs="Arial"/>
                                  <w:sz w:val="18"/>
                                </w:rPr>
                                <w:t>corte di giustizia tributaria su istanza di parte e sentito l’ufficio o l’ente richie</w:t>
                              </w:r>
                            </w:p>
                          </w:txbxContent>
                        </wps:txbx>
                        <wps:bodyPr horzOverflow="overflow" vert="horz" lIns="0" tIns="0" rIns="0" bIns="0" rtlCol="0">
                          <a:noAutofit/>
                        </wps:bodyPr>
                      </wps:wsp>
                      <wps:wsp>
                        <wps:cNvPr id="18009" name="Rectangle 18009"/>
                        <wps:cNvSpPr/>
                        <wps:spPr>
                          <a:xfrm rot="-10799999">
                            <a:off x="19501" y="4394949"/>
                            <a:ext cx="50622" cy="142889"/>
                          </a:xfrm>
                          <a:prstGeom prst="rect">
                            <a:avLst/>
                          </a:prstGeom>
                          <a:ln>
                            <a:noFill/>
                          </a:ln>
                        </wps:spPr>
                        <wps:txbx>
                          <w:txbxContent>
                            <w:p w14:paraId="4D395C5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010" name="Rectangle 18010"/>
                        <wps:cNvSpPr/>
                        <wps:spPr>
                          <a:xfrm rot="-10799999">
                            <a:off x="949013" y="4271734"/>
                            <a:ext cx="3043086" cy="142889"/>
                          </a:xfrm>
                          <a:prstGeom prst="rect">
                            <a:avLst/>
                          </a:prstGeom>
                          <a:ln>
                            <a:noFill/>
                          </a:ln>
                        </wps:spPr>
                        <wps:txbx>
                          <w:txbxContent>
                            <w:p w14:paraId="516A5740" w14:textId="77777777" w:rsidR="00B32EF2" w:rsidRDefault="00000000">
                              <w:r>
                                <w:rPr>
                                  <w:rFonts w:ascii="Arial" w:eastAsia="Arial" w:hAnsi="Arial" w:cs="Arial"/>
                                  <w:sz w:val="18"/>
                                </w:rPr>
                                <w:t xml:space="preserve">dente, dispone la cancellazione dell’ipoteca; </w:t>
                              </w:r>
                            </w:p>
                          </w:txbxContent>
                        </wps:txbx>
                        <wps:bodyPr horzOverflow="overflow" vert="horz" lIns="0" tIns="0" rIns="0" bIns="0" rtlCol="0">
                          <a:noAutofit/>
                        </wps:bodyPr>
                      </wps:wsp>
                      <wps:wsp>
                        <wps:cNvPr id="18011" name="Rectangle 18011"/>
                        <wps:cNvSpPr/>
                        <wps:spPr>
                          <a:xfrm rot="-10799999">
                            <a:off x="-1316936" y="4148519"/>
                            <a:ext cx="5309035" cy="142889"/>
                          </a:xfrm>
                          <a:prstGeom prst="rect">
                            <a:avLst/>
                          </a:prstGeom>
                          <a:ln>
                            <a:noFill/>
                          </a:ln>
                        </wps:spPr>
                        <wps:txbx>
                          <w:txbxContent>
                            <w:p w14:paraId="1DDF09BB" w14:textId="77777777" w:rsidR="00B32EF2" w:rsidRDefault="00000000">
                              <w:r>
                                <w:rPr>
                                  <w:rFonts w:ascii="Arial" w:eastAsia="Arial" w:hAnsi="Arial" w:cs="Arial"/>
                                  <w:sz w:val="18"/>
                                </w:rPr>
                                <w:t xml:space="preserve">c) a seguito della sentenza, anche non passata in giudicato, che accoglie il </w:t>
                              </w:r>
                            </w:p>
                          </w:txbxContent>
                        </wps:txbx>
                        <wps:bodyPr horzOverflow="overflow" vert="horz" lIns="0" tIns="0" rIns="0" bIns="0" rtlCol="0">
                          <a:noAutofit/>
                        </wps:bodyPr>
                      </wps:wsp>
                      <wps:wsp>
                        <wps:cNvPr id="18012" name="Rectangle 18012"/>
                        <wps:cNvSpPr/>
                        <wps:spPr>
                          <a:xfrm rot="-10799999">
                            <a:off x="-1316936" y="4025303"/>
                            <a:ext cx="5309035" cy="142889"/>
                          </a:xfrm>
                          <a:prstGeom prst="rect">
                            <a:avLst/>
                          </a:prstGeom>
                          <a:ln>
                            <a:noFill/>
                          </a:ln>
                        </wps:spPr>
                        <wps:txbx>
                          <w:txbxContent>
                            <w:p w14:paraId="5965D0B6" w14:textId="77777777" w:rsidR="00B32EF2" w:rsidRDefault="00000000">
                              <w:r>
                                <w:rPr>
                                  <w:rFonts w:ascii="Arial" w:eastAsia="Arial" w:hAnsi="Arial" w:cs="Arial"/>
                                  <w:sz w:val="18"/>
                                </w:rPr>
                                <w:t xml:space="preserve">ricorso avverso gli atti di cui alla lettera b). La sentenza costituisce titolo per </w:t>
                              </w:r>
                            </w:p>
                          </w:txbxContent>
                        </wps:txbx>
                        <wps:bodyPr horzOverflow="overflow" vert="horz" lIns="0" tIns="0" rIns="0" bIns="0" rtlCol="0">
                          <a:noAutofit/>
                        </wps:bodyPr>
                      </wps:wsp>
                      <wps:wsp>
                        <wps:cNvPr id="18013" name="Rectangle 18013"/>
                        <wps:cNvSpPr/>
                        <wps:spPr>
                          <a:xfrm rot="-10799999">
                            <a:off x="-1316921" y="3902088"/>
                            <a:ext cx="5309021" cy="142889"/>
                          </a:xfrm>
                          <a:prstGeom prst="rect">
                            <a:avLst/>
                          </a:prstGeom>
                          <a:ln>
                            <a:noFill/>
                          </a:ln>
                        </wps:spPr>
                        <wps:txbx>
                          <w:txbxContent>
                            <w:p w14:paraId="7B3AC084" w14:textId="77777777" w:rsidR="00B32EF2" w:rsidRDefault="00000000">
                              <w:r>
                                <w:rPr>
                                  <w:rFonts w:ascii="Arial" w:eastAsia="Arial" w:hAnsi="Arial" w:cs="Arial"/>
                                  <w:sz w:val="18"/>
                                </w:rPr>
                                <w:t xml:space="preserve">la cancellazione dell’ipoteca. In caso di accoglimento parziale, su istanza di </w:t>
                              </w:r>
                            </w:p>
                          </w:txbxContent>
                        </wps:txbx>
                        <wps:bodyPr horzOverflow="overflow" vert="horz" lIns="0" tIns="0" rIns="0" bIns="0" rtlCol="0">
                          <a:noAutofit/>
                        </wps:bodyPr>
                      </wps:wsp>
                      <wps:wsp>
                        <wps:cNvPr id="18014" name="Rectangle 18014"/>
                        <wps:cNvSpPr/>
                        <wps:spPr>
                          <a:xfrm rot="-10799999">
                            <a:off x="-1220297" y="3778872"/>
                            <a:ext cx="5212398" cy="142889"/>
                          </a:xfrm>
                          <a:prstGeom prst="rect">
                            <a:avLst/>
                          </a:prstGeom>
                          <a:ln>
                            <a:noFill/>
                          </a:ln>
                        </wps:spPr>
                        <wps:txbx>
                          <w:txbxContent>
                            <w:p w14:paraId="3144DE0B" w14:textId="77777777" w:rsidR="00B32EF2" w:rsidRDefault="00000000">
                              <w:r>
                                <w:rPr>
                                  <w:rFonts w:ascii="Arial" w:eastAsia="Arial" w:hAnsi="Arial" w:cs="Arial"/>
                                  <w:sz w:val="18"/>
                                </w:rPr>
                                <w:t>parte, il giudice che ha pronunciato la sentenza riduce proporzionalmente l’en</w:t>
                              </w:r>
                            </w:p>
                          </w:txbxContent>
                        </wps:txbx>
                        <wps:bodyPr horzOverflow="overflow" vert="horz" lIns="0" tIns="0" rIns="0" bIns="0" rtlCol="0">
                          <a:noAutofit/>
                        </wps:bodyPr>
                      </wps:wsp>
                      <wps:wsp>
                        <wps:cNvPr id="18015" name="Rectangle 18015"/>
                        <wps:cNvSpPr/>
                        <wps:spPr>
                          <a:xfrm rot="-10799999">
                            <a:off x="19501" y="3778873"/>
                            <a:ext cx="50622" cy="142889"/>
                          </a:xfrm>
                          <a:prstGeom prst="rect">
                            <a:avLst/>
                          </a:prstGeom>
                          <a:ln>
                            <a:noFill/>
                          </a:ln>
                        </wps:spPr>
                        <wps:txbx>
                          <w:txbxContent>
                            <w:p w14:paraId="3C9A131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016" name="Rectangle 18016"/>
                        <wps:cNvSpPr/>
                        <wps:spPr>
                          <a:xfrm rot="-10799999">
                            <a:off x="-1317033" y="3655658"/>
                            <a:ext cx="5309704" cy="142889"/>
                          </a:xfrm>
                          <a:prstGeom prst="rect">
                            <a:avLst/>
                          </a:prstGeom>
                          <a:ln>
                            <a:noFill/>
                          </a:ln>
                        </wps:spPr>
                        <wps:txbx>
                          <w:txbxContent>
                            <w:p w14:paraId="379BE8BA" w14:textId="77777777" w:rsidR="00B32EF2" w:rsidRDefault="00000000">
                              <w:r>
                                <w:rPr>
                                  <w:rFonts w:ascii="Arial" w:eastAsia="Arial" w:hAnsi="Arial" w:cs="Arial"/>
                                  <w:sz w:val="18"/>
                                </w:rPr>
                                <w:t xml:space="preserve">tità dell’iscrizione o del sequestro; se la sentenza è pronunciata dalla Corte di </w:t>
                              </w:r>
                            </w:p>
                          </w:txbxContent>
                        </wps:txbx>
                        <wps:bodyPr horzOverflow="overflow" vert="horz" lIns="0" tIns="0" rIns="0" bIns="0" rtlCol="0">
                          <a:noAutofit/>
                        </wps:bodyPr>
                      </wps:wsp>
                      <wps:wsp>
                        <wps:cNvPr id="18017" name="Rectangle 18017"/>
                        <wps:cNvSpPr/>
                        <wps:spPr>
                          <a:xfrm rot="-10799999">
                            <a:off x="-1317392" y="3532441"/>
                            <a:ext cx="5309492" cy="142889"/>
                          </a:xfrm>
                          <a:prstGeom prst="rect">
                            <a:avLst/>
                          </a:prstGeom>
                          <a:ln>
                            <a:noFill/>
                          </a:ln>
                        </wps:spPr>
                        <wps:txbx>
                          <w:txbxContent>
                            <w:p w14:paraId="5C8E132A" w14:textId="77777777" w:rsidR="00B32EF2" w:rsidRDefault="00000000">
                              <w:r>
                                <w:rPr>
                                  <w:rFonts w:ascii="Arial" w:eastAsia="Arial" w:hAnsi="Arial" w:cs="Arial"/>
                                  <w:sz w:val="18"/>
                                </w:rPr>
                                <w:t xml:space="preserve">cassazione, provvede il giudice la cui sentenza è stata impugnata con ricorso </w:t>
                              </w:r>
                            </w:p>
                          </w:txbxContent>
                        </wps:txbx>
                        <wps:bodyPr horzOverflow="overflow" vert="horz" lIns="0" tIns="0" rIns="0" bIns="0" rtlCol="0">
                          <a:noAutofit/>
                        </wps:bodyPr>
                      </wps:wsp>
                      <wps:wsp>
                        <wps:cNvPr id="18018" name="Rectangle 18018"/>
                        <wps:cNvSpPr/>
                        <wps:spPr>
                          <a:xfrm rot="-10799999">
                            <a:off x="2910971" y="3409227"/>
                            <a:ext cx="1081129" cy="142889"/>
                          </a:xfrm>
                          <a:prstGeom prst="rect">
                            <a:avLst/>
                          </a:prstGeom>
                          <a:ln>
                            <a:noFill/>
                          </a:ln>
                        </wps:spPr>
                        <wps:txbx>
                          <w:txbxContent>
                            <w:p w14:paraId="08024B22" w14:textId="77777777" w:rsidR="00B32EF2" w:rsidRDefault="00000000">
                              <w:r>
                                <w:rPr>
                                  <w:rFonts w:ascii="Arial" w:eastAsia="Arial" w:hAnsi="Arial" w:cs="Arial"/>
                                  <w:sz w:val="18"/>
                                </w:rPr>
                                <w:t>per cassazione.</w:t>
                              </w:r>
                            </w:p>
                          </w:txbxContent>
                        </wps:txbx>
                        <wps:bodyPr horzOverflow="overflow" vert="horz" lIns="0" tIns="0" rIns="0" bIns="0" rtlCol="0">
                          <a:noAutofit/>
                        </wps:bodyPr>
                      </wps:wsp>
                      <wps:wsp>
                        <wps:cNvPr id="207916" name="Shape 207916"/>
                        <wps:cNvSpPr/>
                        <wps:spPr>
                          <a:xfrm>
                            <a:off x="32099" y="437203"/>
                            <a:ext cx="3960000" cy="2975305"/>
                          </a:xfrm>
                          <a:custGeom>
                            <a:avLst/>
                            <a:gdLst/>
                            <a:ahLst/>
                            <a:cxnLst/>
                            <a:rect l="0" t="0" r="0" b="0"/>
                            <a:pathLst>
                              <a:path w="3960000" h="2975305">
                                <a:moveTo>
                                  <a:pt x="0" y="0"/>
                                </a:moveTo>
                                <a:lnTo>
                                  <a:pt x="3960000" y="0"/>
                                </a:lnTo>
                                <a:lnTo>
                                  <a:pt x="3960000" y="2975305"/>
                                </a:lnTo>
                                <a:lnTo>
                                  <a:pt x="0" y="2975305"/>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8020" name="Rectangle 18020"/>
                        <wps:cNvSpPr/>
                        <wps:spPr>
                          <a:xfrm rot="-10799999">
                            <a:off x="2356933" y="3191264"/>
                            <a:ext cx="1557845" cy="142889"/>
                          </a:xfrm>
                          <a:prstGeom prst="rect">
                            <a:avLst/>
                          </a:prstGeom>
                          <a:ln>
                            <a:noFill/>
                          </a:ln>
                        </wps:spPr>
                        <wps:txbx>
                          <w:txbxContent>
                            <w:p w14:paraId="054774D0" w14:textId="77777777" w:rsidR="00B32EF2" w:rsidRDefault="00000000">
                              <w:r>
                                <w:rPr>
                                  <w:rFonts w:ascii="Arial" w:eastAsia="Arial" w:hAnsi="Arial" w:cs="Arial"/>
                                  <w:b/>
                                  <w:i/>
                                  <w:sz w:val="18"/>
                                </w:rPr>
                                <w:t>NORME COLLEGATE</w:t>
                              </w:r>
                            </w:p>
                          </w:txbxContent>
                        </wps:txbx>
                        <wps:bodyPr horzOverflow="overflow" vert="horz" lIns="0" tIns="0" rIns="0" bIns="0" rtlCol="0">
                          <a:noAutofit/>
                        </wps:bodyPr>
                      </wps:wsp>
                      <wps:wsp>
                        <wps:cNvPr id="18021" name="Rectangle 18021"/>
                        <wps:cNvSpPr/>
                        <wps:spPr>
                          <a:xfrm rot="-10799999">
                            <a:off x="1184779" y="3067934"/>
                            <a:ext cx="2728970" cy="142889"/>
                          </a:xfrm>
                          <a:prstGeom prst="rect">
                            <a:avLst/>
                          </a:prstGeom>
                          <a:ln>
                            <a:noFill/>
                          </a:ln>
                        </wps:spPr>
                        <wps:txbx>
                          <w:txbxContent>
                            <w:p w14:paraId="6D7D77D2" w14:textId="77777777" w:rsidR="00B32EF2" w:rsidRDefault="00000000">
                              <w:r>
                                <w:rPr>
                                  <w:rFonts w:ascii="Arial" w:eastAsia="Arial" w:hAnsi="Arial" w:cs="Arial"/>
                                  <w:i/>
                                  <w:sz w:val="18"/>
                                </w:rPr>
                                <w:t>art. 32 dpr. n. 600/73 “Poteri degli uffici”</w:t>
                              </w:r>
                            </w:p>
                          </w:txbxContent>
                        </wps:txbx>
                        <wps:bodyPr horzOverflow="overflow" vert="horz" lIns="0" tIns="0" rIns="0" bIns="0" rtlCol="0">
                          <a:noAutofit/>
                        </wps:bodyPr>
                      </wps:wsp>
                      <wps:wsp>
                        <wps:cNvPr id="200813" name="Rectangle 200813"/>
                        <wps:cNvSpPr/>
                        <wps:spPr>
                          <a:xfrm rot="-10799999">
                            <a:off x="2684320" y="2944604"/>
                            <a:ext cx="4698847" cy="142889"/>
                          </a:xfrm>
                          <a:prstGeom prst="rect">
                            <a:avLst/>
                          </a:prstGeom>
                          <a:ln>
                            <a:noFill/>
                          </a:ln>
                        </wps:spPr>
                        <wps:txbx>
                          <w:txbxContent>
                            <w:p w14:paraId="74C28289"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0815" name="Rectangle 200815"/>
                        <wps:cNvSpPr/>
                        <wps:spPr>
                          <a:xfrm rot="-10799999">
                            <a:off x="-814758" y="2944604"/>
                            <a:ext cx="4698847" cy="142889"/>
                          </a:xfrm>
                          <a:prstGeom prst="rect">
                            <a:avLst/>
                          </a:prstGeom>
                          <a:ln>
                            <a:noFill/>
                          </a:ln>
                        </wps:spPr>
                        <wps:txbx>
                          <w:txbxContent>
                            <w:p w14:paraId="342235EC" w14:textId="77777777" w:rsidR="00B32EF2" w:rsidRDefault="00000000">
                              <w:r>
                                <w:rPr>
                                  <w:rFonts w:ascii="Arial" w:eastAsia="Arial" w:hAnsi="Arial" w:cs="Arial"/>
                                  <w:i/>
                                  <w:sz w:val="18"/>
                                </w:rPr>
                                <w:t>. Per l’adempimento dei loro compiti gli uffici delle imposte possono</w:t>
                              </w:r>
                            </w:p>
                          </w:txbxContent>
                        </wps:txbx>
                        <wps:bodyPr horzOverflow="overflow" vert="horz" lIns="0" tIns="0" rIns="0" bIns="0" rtlCol="0">
                          <a:noAutofit/>
                        </wps:bodyPr>
                      </wps:wsp>
                      <wps:wsp>
                        <wps:cNvPr id="200814" name="Rectangle 200814"/>
                        <wps:cNvSpPr/>
                        <wps:spPr>
                          <a:xfrm rot="-10799999">
                            <a:off x="-4286289" y="2944604"/>
                            <a:ext cx="4698847" cy="142889"/>
                          </a:xfrm>
                          <a:prstGeom prst="rect">
                            <a:avLst/>
                          </a:prstGeom>
                          <a:ln>
                            <a:noFill/>
                          </a:ln>
                        </wps:spPr>
                        <wps:txbx>
                          <w:txbxContent>
                            <w:p w14:paraId="5AD0FEF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811" name="Rectangle 200811"/>
                        <wps:cNvSpPr/>
                        <wps:spPr>
                          <a:xfrm rot="-10799999">
                            <a:off x="2551215" y="2821275"/>
                            <a:ext cx="5100602" cy="142889"/>
                          </a:xfrm>
                          <a:prstGeom prst="rect">
                            <a:avLst/>
                          </a:prstGeom>
                          <a:ln>
                            <a:noFill/>
                          </a:ln>
                        </wps:spPr>
                        <wps:txbx>
                          <w:txbxContent>
                            <w:p w14:paraId="1C1F367E"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0812" name="Rectangle 200812"/>
                        <wps:cNvSpPr/>
                        <wps:spPr>
                          <a:xfrm rot="-10799999">
                            <a:off x="-1283824" y="2821275"/>
                            <a:ext cx="5100602" cy="142889"/>
                          </a:xfrm>
                          <a:prstGeom prst="rect">
                            <a:avLst/>
                          </a:prstGeom>
                          <a:ln>
                            <a:noFill/>
                          </a:ln>
                        </wps:spPr>
                        <wps:txbx>
                          <w:txbxContent>
                            <w:p w14:paraId="1051C150" w14:textId="77777777" w:rsidR="00B32EF2" w:rsidRDefault="00000000">
                              <w:r>
                                <w:rPr>
                                  <w:rFonts w:ascii="Arial" w:eastAsia="Arial" w:hAnsi="Arial" w:cs="Arial"/>
                                  <w:i/>
                                  <w:sz w:val="18"/>
                                </w:rPr>
                                <w:t xml:space="preserve"> procedere all’esecuzione di accessi, ispezioni e verifiche a norma del </w:t>
                              </w:r>
                            </w:p>
                          </w:txbxContent>
                        </wps:txbx>
                        <wps:bodyPr horzOverflow="overflow" vert="horz" lIns="0" tIns="0" rIns="0" bIns="0" rtlCol="0">
                          <a:noAutofit/>
                        </wps:bodyPr>
                      </wps:wsp>
                      <wps:wsp>
                        <wps:cNvPr id="18024" name="Rectangle 18024"/>
                        <wps:cNvSpPr/>
                        <wps:spPr>
                          <a:xfrm rot="-10799999">
                            <a:off x="2356612" y="2697946"/>
                            <a:ext cx="1557708" cy="142889"/>
                          </a:xfrm>
                          <a:prstGeom prst="rect">
                            <a:avLst/>
                          </a:prstGeom>
                          <a:ln>
                            <a:noFill/>
                          </a:ln>
                        </wps:spPr>
                        <wps:txbx>
                          <w:txbxContent>
                            <w:p w14:paraId="470C82A2" w14:textId="77777777" w:rsidR="00B32EF2" w:rsidRDefault="00000000">
                              <w:r>
                                <w:rPr>
                                  <w:rFonts w:ascii="Arial" w:eastAsia="Arial" w:hAnsi="Arial" w:cs="Arial"/>
                                  <w:i/>
                                  <w:sz w:val="18"/>
                                </w:rPr>
                                <w:t>successivo articolo 33;</w:t>
                              </w:r>
                            </w:p>
                          </w:txbxContent>
                        </wps:txbx>
                        <wps:bodyPr horzOverflow="overflow" vert="horz" lIns="0" tIns="0" rIns="0" bIns="0" rtlCol="0">
                          <a:noAutofit/>
                        </wps:bodyPr>
                      </wps:wsp>
                      <wps:wsp>
                        <wps:cNvPr id="200810" name="Rectangle 200810"/>
                        <wps:cNvSpPr/>
                        <wps:spPr>
                          <a:xfrm rot="-10799999">
                            <a:off x="-1286146" y="2574615"/>
                            <a:ext cx="5092500" cy="142889"/>
                          </a:xfrm>
                          <a:prstGeom prst="rect">
                            <a:avLst/>
                          </a:prstGeom>
                          <a:ln>
                            <a:noFill/>
                          </a:ln>
                        </wps:spPr>
                        <wps:txbx>
                          <w:txbxContent>
                            <w:p w14:paraId="7E103FE2" w14:textId="77777777" w:rsidR="00B32EF2" w:rsidRDefault="00000000">
                              <w:r>
                                <w:rPr>
                                  <w:rFonts w:ascii="Arial" w:eastAsia="Arial" w:hAnsi="Arial" w:cs="Arial"/>
                                  <w:i/>
                                  <w:sz w:val="18"/>
                                </w:rPr>
                                <w:t xml:space="preserve"> invitare i contribuenti, indicandone il motivo, a comparire di persona o per </w:t>
                              </w:r>
                            </w:p>
                          </w:txbxContent>
                        </wps:txbx>
                        <wps:bodyPr horzOverflow="overflow" vert="horz" lIns="0" tIns="0" rIns="0" bIns="0" rtlCol="0">
                          <a:noAutofit/>
                        </wps:bodyPr>
                      </wps:wsp>
                      <wps:wsp>
                        <wps:cNvPr id="200808" name="Rectangle 200808"/>
                        <wps:cNvSpPr/>
                        <wps:spPr>
                          <a:xfrm rot="-10799999">
                            <a:off x="2549201" y="2574616"/>
                            <a:ext cx="5092500" cy="142889"/>
                          </a:xfrm>
                          <a:prstGeom prst="rect">
                            <a:avLst/>
                          </a:prstGeom>
                          <a:ln>
                            <a:noFill/>
                          </a:ln>
                        </wps:spPr>
                        <wps:txbx>
                          <w:txbxContent>
                            <w:p w14:paraId="6818B8F2"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18026" name="Rectangle 18026"/>
                        <wps:cNvSpPr/>
                        <wps:spPr>
                          <a:xfrm rot="-10799999">
                            <a:off x="-1090443" y="2451286"/>
                            <a:ext cx="5004193" cy="142889"/>
                          </a:xfrm>
                          <a:prstGeom prst="rect">
                            <a:avLst/>
                          </a:prstGeom>
                          <a:ln>
                            <a:noFill/>
                          </a:ln>
                        </wps:spPr>
                        <wps:txbx>
                          <w:txbxContent>
                            <w:p w14:paraId="0D52B377" w14:textId="77777777" w:rsidR="00B32EF2" w:rsidRDefault="00000000">
                              <w:r>
                                <w:rPr>
                                  <w:rFonts w:ascii="Arial" w:eastAsia="Arial" w:hAnsi="Arial" w:cs="Arial"/>
                                  <w:i/>
                                  <w:sz w:val="18"/>
                                </w:rPr>
                                <w:t>mezzo di rappresentanti per fornire dati e notizie rilevanti ai fini dell’accerta</w:t>
                              </w:r>
                            </w:p>
                          </w:txbxContent>
                        </wps:txbx>
                        <wps:bodyPr horzOverflow="overflow" vert="horz" lIns="0" tIns="0" rIns="0" bIns="0" rtlCol="0">
                          <a:noAutofit/>
                        </wps:bodyPr>
                      </wps:wsp>
                      <wps:wsp>
                        <wps:cNvPr id="18027" name="Rectangle 18027"/>
                        <wps:cNvSpPr/>
                        <wps:spPr>
                          <a:xfrm rot="-10799999">
                            <a:off x="97855" y="2451286"/>
                            <a:ext cx="50622" cy="142889"/>
                          </a:xfrm>
                          <a:prstGeom prst="rect">
                            <a:avLst/>
                          </a:prstGeom>
                          <a:ln>
                            <a:noFill/>
                          </a:ln>
                        </wps:spPr>
                        <wps:txbx>
                          <w:txbxContent>
                            <w:p w14:paraId="0E87C44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028" name="Rectangle 18028"/>
                        <wps:cNvSpPr/>
                        <wps:spPr>
                          <a:xfrm rot="-10799999">
                            <a:off x="-1185363" y="2327956"/>
                            <a:ext cx="5096027" cy="142889"/>
                          </a:xfrm>
                          <a:prstGeom prst="rect">
                            <a:avLst/>
                          </a:prstGeom>
                          <a:ln>
                            <a:noFill/>
                          </a:ln>
                        </wps:spPr>
                        <wps:txbx>
                          <w:txbxContent>
                            <w:p w14:paraId="6B97C256" w14:textId="77777777" w:rsidR="00B32EF2" w:rsidRDefault="00000000">
                              <w:r>
                                <w:rPr>
                                  <w:rFonts w:ascii="Arial" w:eastAsia="Arial" w:hAnsi="Arial" w:cs="Arial"/>
                                  <w:i/>
                                  <w:sz w:val="18"/>
                                </w:rPr>
                                <w:t xml:space="preserve">mento nei loro confronti, anche relativamente ai rapporti ed alle operazioni, </w:t>
                              </w:r>
                            </w:p>
                          </w:txbxContent>
                        </wps:txbx>
                        <wps:bodyPr horzOverflow="overflow" vert="horz" lIns="0" tIns="0" rIns="0" bIns="0" rtlCol="0">
                          <a:noAutofit/>
                        </wps:bodyPr>
                      </wps:wsp>
                      <wps:wsp>
                        <wps:cNvPr id="18029" name="Rectangle 18029"/>
                        <wps:cNvSpPr/>
                        <wps:spPr>
                          <a:xfrm rot="-10799999">
                            <a:off x="-1189709" y="2204626"/>
                            <a:ext cx="5110317" cy="142889"/>
                          </a:xfrm>
                          <a:prstGeom prst="rect">
                            <a:avLst/>
                          </a:prstGeom>
                          <a:ln>
                            <a:noFill/>
                          </a:ln>
                        </wps:spPr>
                        <wps:txbx>
                          <w:txbxContent>
                            <w:p w14:paraId="0AF52E7B" w14:textId="77777777" w:rsidR="00B32EF2" w:rsidRDefault="00000000">
                              <w:r>
                                <w:rPr>
                                  <w:rFonts w:ascii="Arial" w:eastAsia="Arial" w:hAnsi="Arial" w:cs="Arial"/>
                                  <w:i/>
                                  <w:sz w:val="18"/>
                                </w:rPr>
                                <w:t xml:space="preserve">i cui dati, notizie e documenti siano stati acquisiti a norma del numero 7), </w:t>
                              </w:r>
                            </w:p>
                          </w:txbxContent>
                        </wps:txbx>
                        <wps:bodyPr horzOverflow="overflow" vert="horz" lIns="0" tIns="0" rIns="0" bIns="0" rtlCol="0">
                          <a:noAutofit/>
                        </wps:bodyPr>
                      </wps:wsp>
                      <wps:wsp>
                        <wps:cNvPr id="18030" name="Rectangle 18030"/>
                        <wps:cNvSpPr/>
                        <wps:spPr>
                          <a:xfrm rot="-10799999">
                            <a:off x="-1186325" y="2081297"/>
                            <a:ext cx="5098019" cy="142889"/>
                          </a:xfrm>
                          <a:prstGeom prst="rect">
                            <a:avLst/>
                          </a:prstGeom>
                          <a:ln>
                            <a:noFill/>
                          </a:ln>
                        </wps:spPr>
                        <wps:txbx>
                          <w:txbxContent>
                            <w:p w14:paraId="053B7F2E" w14:textId="77777777" w:rsidR="00B32EF2" w:rsidRDefault="00000000">
                              <w:r>
                                <w:rPr>
                                  <w:rFonts w:ascii="Arial" w:eastAsia="Arial" w:hAnsi="Arial" w:cs="Arial"/>
                                  <w:i/>
                                  <w:sz w:val="18"/>
                                </w:rPr>
                                <w:t xml:space="preserve">ovvero rilevati a norma dell’articolo 33, secondo e terzo comma, o acquisiti </w:t>
                              </w:r>
                            </w:p>
                          </w:txbxContent>
                        </wps:txbx>
                        <wps:bodyPr horzOverflow="overflow" vert="horz" lIns="0" tIns="0" rIns="0" bIns="0" rtlCol="0">
                          <a:noAutofit/>
                        </wps:bodyPr>
                      </wps:wsp>
                      <wps:wsp>
                        <wps:cNvPr id="18031" name="Rectangle 18031"/>
                        <wps:cNvSpPr/>
                        <wps:spPr>
                          <a:xfrm rot="-10799999">
                            <a:off x="-1093117" y="1957967"/>
                            <a:ext cx="5006868" cy="142889"/>
                          </a:xfrm>
                          <a:prstGeom prst="rect">
                            <a:avLst/>
                          </a:prstGeom>
                          <a:ln>
                            <a:noFill/>
                          </a:ln>
                        </wps:spPr>
                        <wps:txbx>
                          <w:txbxContent>
                            <w:p w14:paraId="246CA467" w14:textId="77777777" w:rsidR="00B32EF2" w:rsidRDefault="00000000">
                              <w:r>
                                <w:rPr>
                                  <w:rFonts w:ascii="Arial" w:eastAsia="Arial" w:hAnsi="Arial" w:cs="Arial"/>
                                  <w:i/>
                                  <w:sz w:val="18"/>
                                </w:rPr>
                                <w:t>ai sensi dell’articolo 18, comma 3, lettera b), del decreto legislativo 26 ot</w:t>
                              </w:r>
                            </w:p>
                          </w:txbxContent>
                        </wps:txbx>
                        <wps:bodyPr horzOverflow="overflow" vert="horz" lIns="0" tIns="0" rIns="0" bIns="0" rtlCol="0">
                          <a:noAutofit/>
                        </wps:bodyPr>
                      </wps:wsp>
                      <wps:wsp>
                        <wps:cNvPr id="18032" name="Rectangle 18032"/>
                        <wps:cNvSpPr/>
                        <wps:spPr>
                          <a:xfrm rot="-10799999">
                            <a:off x="97855" y="1957967"/>
                            <a:ext cx="50622" cy="142889"/>
                          </a:xfrm>
                          <a:prstGeom prst="rect">
                            <a:avLst/>
                          </a:prstGeom>
                          <a:ln>
                            <a:noFill/>
                          </a:ln>
                        </wps:spPr>
                        <wps:txbx>
                          <w:txbxContent>
                            <w:p w14:paraId="4F49990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033" name="Rectangle 18033"/>
                        <wps:cNvSpPr/>
                        <wps:spPr>
                          <a:xfrm rot="-10799999">
                            <a:off x="-1186352" y="1834637"/>
                            <a:ext cx="5099417" cy="142889"/>
                          </a:xfrm>
                          <a:prstGeom prst="rect">
                            <a:avLst/>
                          </a:prstGeom>
                          <a:ln>
                            <a:noFill/>
                          </a:ln>
                        </wps:spPr>
                        <wps:txbx>
                          <w:txbxContent>
                            <w:p w14:paraId="423FF444" w14:textId="77777777" w:rsidR="00B32EF2" w:rsidRDefault="00000000">
                              <w:r>
                                <w:rPr>
                                  <w:rFonts w:ascii="Arial" w:eastAsia="Arial" w:hAnsi="Arial" w:cs="Arial"/>
                                  <w:i/>
                                  <w:sz w:val="18"/>
                                </w:rPr>
                                <w:t xml:space="preserve">tobre 1995, n. 504. I dati ed elementi attinenti ai rapporti ed alle operazioni </w:t>
                              </w:r>
                            </w:p>
                          </w:txbxContent>
                        </wps:txbx>
                        <wps:bodyPr horzOverflow="overflow" vert="horz" lIns="0" tIns="0" rIns="0" bIns="0" rtlCol="0">
                          <a:noAutofit/>
                        </wps:bodyPr>
                      </wps:wsp>
                      <wps:wsp>
                        <wps:cNvPr id="18034" name="Rectangle 18034"/>
                        <wps:cNvSpPr/>
                        <wps:spPr>
                          <a:xfrm rot="-10799999">
                            <a:off x="-1187317" y="1711308"/>
                            <a:ext cx="5100724" cy="142889"/>
                          </a:xfrm>
                          <a:prstGeom prst="rect">
                            <a:avLst/>
                          </a:prstGeom>
                          <a:ln>
                            <a:noFill/>
                          </a:ln>
                        </wps:spPr>
                        <wps:txbx>
                          <w:txbxContent>
                            <w:p w14:paraId="262B929A" w14:textId="77777777" w:rsidR="00B32EF2" w:rsidRDefault="00000000">
                              <w:r>
                                <w:rPr>
                                  <w:rFonts w:ascii="Arial" w:eastAsia="Arial" w:hAnsi="Arial" w:cs="Arial"/>
                                  <w:i/>
                                  <w:sz w:val="18"/>
                                </w:rPr>
                                <w:t xml:space="preserve">acquisiti e rilevati rispettivamente a norma del numero 7) e dell’articolo 33, </w:t>
                              </w:r>
                            </w:p>
                          </w:txbxContent>
                        </wps:txbx>
                        <wps:bodyPr horzOverflow="overflow" vert="horz" lIns="0" tIns="0" rIns="0" bIns="0" rtlCol="0">
                          <a:noAutofit/>
                        </wps:bodyPr>
                      </wps:wsp>
                      <wps:wsp>
                        <wps:cNvPr id="18035" name="Rectangle 18035"/>
                        <wps:cNvSpPr/>
                        <wps:spPr>
                          <a:xfrm rot="-10799999">
                            <a:off x="-1093893" y="1587978"/>
                            <a:ext cx="5007643" cy="142889"/>
                          </a:xfrm>
                          <a:prstGeom prst="rect">
                            <a:avLst/>
                          </a:prstGeom>
                          <a:ln>
                            <a:noFill/>
                          </a:ln>
                        </wps:spPr>
                        <wps:txbx>
                          <w:txbxContent>
                            <w:p w14:paraId="57DF6B52" w14:textId="77777777" w:rsidR="00B32EF2" w:rsidRDefault="00000000">
                              <w:r>
                                <w:rPr>
                                  <w:rFonts w:ascii="Arial" w:eastAsia="Arial" w:hAnsi="Arial" w:cs="Arial"/>
                                  <w:i/>
                                  <w:sz w:val="18"/>
                                </w:rPr>
                                <w:t>secondo e terzo comma, o acquisiti ai sensi dell’articolo 18, comma 3, let</w:t>
                              </w:r>
                            </w:p>
                          </w:txbxContent>
                        </wps:txbx>
                        <wps:bodyPr horzOverflow="overflow" vert="horz" lIns="0" tIns="0" rIns="0" bIns="0" rtlCol="0">
                          <a:noAutofit/>
                        </wps:bodyPr>
                      </wps:wsp>
                      <wps:wsp>
                        <wps:cNvPr id="18036" name="Rectangle 18036"/>
                        <wps:cNvSpPr/>
                        <wps:spPr>
                          <a:xfrm rot="-10799999">
                            <a:off x="97855" y="1587978"/>
                            <a:ext cx="50622" cy="142889"/>
                          </a:xfrm>
                          <a:prstGeom prst="rect">
                            <a:avLst/>
                          </a:prstGeom>
                          <a:ln>
                            <a:noFill/>
                          </a:ln>
                        </wps:spPr>
                        <wps:txbx>
                          <w:txbxContent>
                            <w:p w14:paraId="72FCB68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037" name="Rectangle 18037"/>
                        <wps:cNvSpPr/>
                        <wps:spPr>
                          <a:xfrm rot="-10799999">
                            <a:off x="-1189434" y="1464648"/>
                            <a:ext cx="5110727" cy="142889"/>
                          </a:xfrm>
                          <a:prstGeom prst="rect">
                            <a:avLst/>
                          </a:prstGeom>
                          <a:ln>
                            <a:noFill/>
                          </a:ln>
                        </wps:spPr>
                        <wps:txbx>
                          <w:txbxContent>
                            <w:p w14:paraId="64CE0099" w14:textId="77777777" w:rsidR="00B32EF2" w:rsidRDefault="00000000">
                              <w:r>
                                <w:rPr>
                                  <w:rFonts w:ascii="Arial" w:eastAsia="Arial" w:hAnsi="Arial" w:cs="Arial"/>
                                  <w:i/>
                                  <w:sz w:val="18"/>
                                </w:rPr>
                                <w:t xml:space="preserve">tera b), del decreto legislativo 26 ottobre 1995, n. 504, sono posti a base </w:t>
                              </w:r>
                            </w:p>
                          </w:txbxContent>
                        </wps:txbx>
                        <wps:bodyPr horzOverflow="overflow" vert="horz" lIns="0" tIns="0" rIns="0" bIns="0" rtlCol="0">
                          <a:noAutofit/>
                        </wps:bodyPr>
                      </wps:wsp>
                      <wps:wsp>
                        <wps:cNvPr id="18038" name="Rectangle 18038"/>
                        <wps:cNvSpPr/>
                        <wps:spPr>
                          <a:xfrm rot="-10799999">
                            <a:off x="-1186792" y="1341319"/>
                            <a:ext cx="5100542" cy="142889"/>
                          </a:xfrm>
                          <a:prstGeom prst="rect">
                            <a:avLst/>
                          </a:prstGeom>
                          <a:ln>
                            <a:noFill/>
                          </a:ln>
                        </wps:spPr>
                        <wps:txbx>
                          <w:txbxContent>
                            <w:p w14:paraId="034D216F" w14:textId="77777777" w:rsidR="00B32EF2" w:rsidRDefault="00000000">
                              <w:r>
                                <w:rPr>
                                  <w:rFonts w:ascii="Arial" w:eastAsia="Arial" w:hAnsi="Arial" w:cs="Arial"/>
                                  <w:i/>
                                  <w:sz w:val="18"/>
                                </w:rPr>
                                <w:t xml:space="preserve">delle rettifiche e degli accertamenti previsti dagli artt. 38, 39, 40 e 41 se il </w:t>
                              </w:r>
                            </w:p>
                          </w:txbxContent>
                        </wps:txbx>
                        <wps:bodyPr horzOverflow="overflow" vert="horz" lIns="0" tIns="0" rIns="0" bIns="0" rtlCol="0">
                          <a:noAutofit/>
                        </wps:bodyPr>
                      </wps:wsp>
                      <wps:wsp>
                        <wps:cNvPr id="18039" name="Rectangle 18039"/>
                        <wps:cNvSpPr/>
                        <wps:spPr>
                          <a:xfrm rot="-10799999">
                            <a:off x="-1191140" y="1217989"/>
                            <a:ext cx="5117006" cy="142890"/>
                          </a:xfrm>
                          <a:prstGeom prst="rect">
                            <a:avLst/>
                          </a:prstGeom>
                          <a:ln>
                            <a:noFill/>
                          </a:ln>
                        </wps:spPr>
                        <wps:txbx>
                          <w:txbxContent>
                            <w:p w14:paraId="7903E122" w14:textId="77777777" w:rsidR="00B32EF2" w:rsidRDefault="00000000">
                              <w:r>
                                <w:rPr>
                                  <w:rFonts w:ascii="Arial" w:eastAsia="Arial" w:hAnsi="Arial" w:cs="Arial"/>
                                  <w:i/>
                                  <w:sz w:val="18"/>
                                </w:rPr>
                                <w:t xml:space="preserve">contribuente non dimostra che ne ha tenuto conto per la determinazione </w:t>
                              </w:r>
                            </w:p>
                          </w:txbxContent>
                        </wps:txbx>
                        <wps:bodyPr horzOverflow="overflow" vert="horz" lIns="0" tIns="0" rIns="0" bIns="0" rtlCol="0">
                          <a:noAutofit/>
                        </wps:bodyPr>
                      </wps:wsp>
                      <wps:wsp>
                        <wps:cNvPr id="18040" name="Rectangle 18040"/>
                        <wps:cNvSpPr/>
                        <wps:spPr>
                          <a:xfrm rot="-10799999">
                            <a:off x="-1186945" y="1094659"/>
                            <a:ext cx="5100695" cy="142889"/>
                          </a:xfrm>
                          <a:prstGeom prst="rect">
                            <a:avLst/>
                          </a:prstGeom>
                          <a:ln>
                            <a:noFill/>
                          </a:ln>
                        </wps:spPr>
                        <wps:txbx>
                          <w:txbxContent>
                            <w:p w14:paraId="5F4287C8" w14:textId="77777777" w:rsidR="00B32EF2" w:rsidRDefault="00000000">
                              <w:r>
                                <w:rPr>
                                  <w:rFonts w:ascii="Arial" w:eastAsia="Arial" w:hAnsi="Arial" w:cs="Arial"/>
                                  <w:i/>
                                  <w:sz w:val="18"/>
                                </w:rPr>
                                <w:t xml:space="preserve">del reddito soggetto ad imposta o che non hanno rilevanza allo stesso fine; </w:t>
                              </w:r>
                            </w:p>
                          </w:txbxContent>
                        </wps:txbx>
                        <wps:bodyPr horzOverflow="overflow" vert="horz" lIns="0" tIns="0" rIns="0" bIns="0" rtlCol="0">
                          <a:noAutofit/>
                        </wps:bodyPr>
                      </wps:wsp>
                      <wps:wsp>
                        <wps:cNvPr id="18041" name="Rectangle 18041"/>
                        <wps:cNvSpPr/>
                        <wps:spPr>
                          <a:xfrm rot="-10799999">
                            <a:off x="-1191831" y="971330"/>
                            <a:ext cx="5120898" cy="142889"/>
                          </a:xfrm>
                          <a:prstGeom prst="rect">
                            <a:avLst/>
                          </a:prstGeom>
                          <a:ln>
                            <a:noFill/>
                          </a:ln>
                        </wps:spPr>
                        <wps:txbx>
                          <w:txbxContent>
                            <w:p w14:paraId="78B82C2C" w14:textId="77777777" w:rsidR="00B32EF2" w:rsidRDefault="00000000">
                              <w:r>
                                <w:rPr>
                                  <w:rFonts w:ascii="Arial" w:eastAsia="Arial" w:hAnsi="Arial" w:cs="Arial"/>
                                  <w:i/>
                                  <w:sz w:val="18"/>
                                </w:rPr>
                                <w:t xml:space="preserve">alle stesse condizioni sono altresì posti come ricavi a base delle stesse </w:t>
                              </w:r>
                            </w:p>
                          </w:txbxContent>
                        </wps:txbx>
                        <wps:bodyPr horzOverflow="overflow" vert="horz" lIns="0" tIns="0" rIns="0" bIns="0" rtlCol="0">
                          <a:noAutofit/>
                        </wps:bodyPr>
                      </wps:wsp>
                      <wps:wsp>
                        <wps:cNvPr id="18042" name="Rectangle 18042"/>
                        <wps:cNvSpPr/>
                        <wps:spPr>
                          <a:xfrm rot="-10799999">
                            <a:off x="-1089500" y="848000"/>
                            <a:ext cx="5003250" cy="142889"/>
                          </a:xfrm>
                          <a:prstGeom prst="rect">
                            <a:avLst/>
                          </a:prstGeom>
                          <a:ln>
                            <a:noFill/>
                          </a:ln>
                        </wps:spPr>
                        <wps:txbx>
                          <w:txbxContent>
                            <w:p w14:paraId="6FEF9A90" w14:textId="77777777" w:rsidR="00B32EF2" w:rsidRDefault="00000000">
                              <w:r>
                                <w:rPr>
                                  <w:rFonts w:ascii="Arial" w:eastAsia="Arial" w:hAnsi="Arial" w:cs="Arial"/>
                                  <w:i/>
                                  <w:sz w:val="18"/>
                                </w:rPr>
                                <w:t>rettifiche ed accertamenti, se il contribuente non ne indica il soggetto bene</w:t>
                              </w:r>
                            </w:p>
                          </w:txbxContent>
                        </wps:txbx>
                        <wps:bodyPr horzOverflow="overflow" vert="horz" lIns="0" tIns="0" rIns="0" bIns="0" rtlCol="0">
                          <a:noAutofit/>
                        </wps:bodyPr>
                      </wps:wsp>
                      <wps:wsp>
                        <wps:cNvPr id="18043" name="Rectangle 18043"/>
                        <wps:cNvSpPr/>
                        <wps:spPr>
                          <a:xfrm rot="-10799999">
                            <a:off x="97855" y="848000"/>
                            <a:ext cx="50622" cy="142889"/>
                          </a:xfrm>
                          <a:prstGeom prst="rect">
                            <a:avLst/>
                          </a:prstGeom>
                          <a:ln>
                            <a:noFill/>
                          </a:ln>
                        </wps:spPr>
                        <wps:txbx>
                          <w:txbxContent>
                            <w:p w14:paraId="43FF045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044" name="Rectangle 18044"/>
                        <wps:cNvSpPr/>
                        <wps:spPr>
                          <a:xfrm rot="-10799999">
                            <a:off x="-1186884" y="724670"/>
                            <a:ext cx="5100633" cy="142889"/>
                          </a:xfrm>
                          <a:prstGeom prst="rect">
                            <a:avLst/>
                          </a:prstGeom>
                          <a:ln>
                            <a:noFill/>
                          </a:ln>
                        </wps:spPr>
                        <wps:txbx>
                          <w:txbxContent>
                            <w:p w14:paraId="07EB9327" w14:textId="77777777" w:rsidR="00B32EF2" w:rsidRDefault="00000000">
                              <w:r>
                                <w:rPr>
                                  <w:rFonts w:ascii="Arial" w:eastAsia="Arial" w:hAnsi="Arial" w:cs="Arial"/>
                                  <w:i/>
                                  <w:sz w:val="18"/>
                                </w:rPr>
                                <w:t xml:space="preserve">ficiario e semprechè non risultino dalle scritture contabili, i prelevamenti o </w:t>
                              </w:r>
                            </w:p>
                          </w:txbxContent>
                        </wps:txbx>
                        <wps:bodyPr horzOverflow="overflow" vert="horz" lIns="0" tIns="0" rIns="0" bIns="0" rtlCol="0">
                          <a:noAutofit/>
                        </wps:bodyPr>
                      </wps:wsp>
                      <wps:wsp>
                        <wps:cNvPr id="18045" name="Rectangle 18045"/>
                        <wps:cNvSpPr/>
                        <wps:spPr>
                          <a:xfrm rot="-10799999">
                            <a:off x="-1184836" y="601341"/>
                            <a:ext cx="5093442" cy="142889"/>
                          </a:xfrm>
                          <a:prstGeom prst="rect">
                            <a:avLst/>
                          </a:prstGeom>
                          <a:ln>
                            <a:noFill/>
                          </a:ln>
                        </wps:spPr>
                        <wps:txbx>
                          <w:txbxContent>
                            <w:p w14:paraId="01A859A0" w14:textId="77777777" w:rsidR="00B32EF2" w:rsidRDefault="00000000">
                              <w:r>
                                <w:rPr>
                                  <w:rFonts w:ascii="Arial" w:eastAsia="Arial" w:hAnsi="Arial" w:cs="Arial"/>
                                  <w:i/>
                                  <w:sz w:val="18"/>
                                </w:rPr>
                                <w:t xml:space="preserve">gli importi riscossi nell’ambito dei predetti rapporti od operazioni per importi </w:t>
                              </w:r>
                            </w:p>
                          </w:txbxContent>
                        </wps:txbx>
                        <wps:bodyPr horzOverflow="overflow" vert="horz" lIns="0" tIns="0" rIns="0" bIns="0" rtlCol="0">
                          <a:noAutofit/>
                        </wps:bodyPr>
                      </wps:wsp>
                      <wps:wsp>
                        <wps:cNvPr id="18046" name="Rectangle 18046"/>
                        <wps:cNvSpPr/>
                        <wps:spPr>
                          <a:xfrm rot="-10799999">
                            <a:off x="-1190486" y="478011"/>
                            <a:ext cx="5116581" cy="142889"/>
                          </a:xfrm>
                          <a:prstGeom prst="rect">
                            <a:avLst/>
                          </a:prstGeom>
                          <a:ln>
                            <a:noFill/>
                          </a:ln>
                        </wps:spPr>
                        <wps:txbx>
                          <w:txbxContent>
                            <w:p w14:paraId="68DF0A68" w14:textId="77777777" w:rsidR="00B32EF2" w:rsidRDefault="00000000">
                              <w:r>
                                <w:rPr>
                                  <w:rFonts w:ascii="Arial" w:eastAsia="Arial" w:hAnsi="Arial" w:cs="Arial"/>
                                  <w:i/>
                                  <w:sz w:val="18"/>
                                </w:rPr>
                                <w:t xml:space="preserve">superiori a euro 1.000 giornalieri e, comunque, a euro 5.000 mensili. Le </w:t>
                              </w:r>
                            </w:p>
                          </w:txbxContent>
                        </wps:txbx>
                        <wps:bodyPr horzOverflow="overflow" vert="horz" lIns="0" tIns="0" rIns="0" bIns="0" rtlCol="0">
                          <a:noAutofit/>
                        </wps:bodyPr>
                      </wps:wsp>
                      <wps:wsp>
                        <wps:cNvPr id="18047" name="Shape 18047"/>
                        <wps:cNvSpPr/>
                        <wps:spPr>
                          <a:xfrm>
                            <a:off x="32098" y="437207"/>
                            <a:ext cx="3960000" cy="2975305"/>
                          </a:xfrm>
                          <a:custGeom>
                            <a:avLst/>
                            <a:gdLst/>
                            <a:ahLst/>
                            <a:cxnLst/>
                            <a:rect l="0" t="0" r="0" b="0"/>
                            <a:pathLst>
                              <a:path w="3960000" h="2975305">
                                <a:moveTo>
                                  <a:pt x="0" y="2975305"/>
                                </a:moveTo>
                                <a:lnTo>
                                  <a:pt x="3960000" y="2975305"/>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D19AA3D" id="Group 200888" o:spid="_x0000_s3586" style="width:314.35pt;height:493.15pt;mso-position-horizontal-relative:char;mso-position-vertical-relative:line" coordsize="39920,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VzH1QsAAJ2AAAAOAAAAZHJzL2Uyb0RvYy54bWzkXe2O27gV/V+g72D4/2TED1GikcmiSLpB&#10;gaK72N0+gOKRxwZky5CdzKRP33NJitbITJNKxXBQJsCMh6ZoiYf36/Be+u1PT/tm8aXuTrv2cLdk&#10;b7Lloj6s2/vd4eFu+c8/fr4pl4vTuTrcV017qO+WX+vT8qd3f/7T28fjqubttm3u626BQQ6n1ePx&#10;brk9n4+r29vTelvvq9Ob9lgf8Oam7fbVGX92D7f3XfWI0ffNLc8ydfvYdvfHrl3XpxNaP9g3l+/M&#10;+JtNvT7/stmc6vOiuVvi3s7mZ2d+fqKft+/eVquHrjpud2t3G9WEu9hXuwM+1A/1oTpXi8/d7mqo&#10;/W7dtad2c36zbve37WazW9fmGfA0LBs9zceu/Xw0z/Kwenw4+mnC1I7mafKw6398+dgdfz/+2mEm&#10;Ho8PmAvzFz3L06bb02/c5eLJTNlXP2X103mxRqPQmmdaLxdrvKe44mUu7aSut5j5q+vW279+58rb&#10;/oNvn93O4xEL5HSZg9O8Ofh9Wx1rM7WnFebg126xu8f6LbTGKjlUeyzV37B4qsNDUy9ss5kg09tP&#10;12l1wsz1c7XoWqyvG5ZhFPwz68HNHdNZVpT5coFZulEcf9pJ6qeRFaVQbhZ5nimp6H0/FdXq2J3O&#10;H+t2v6AXd8sO92bGr778/XS2XfsudDvNgX4e2p93TWPfpRbMaH/H9Or89OnJPDaXMqfPo8ZP7f1X&#10;zMa27f71C+R607SPd8vWvVqSqOPj6d3lovnbASiQVPUvuv7Fp/5Fd27et0b27A395fO53ezMHV8+&#10;zd0Z4LX38CI4szDOrJ8IrIr/HucbJpjSmQVaMaa1cuLQI52LDGsBHUhgmOSlXQovCLVZWpfJTwBq&#10;Hoaa/w+g5lhGADIH0IUsacBq9Qxq6hAN6qJ/wmSkWoShFv1ETJRqzhlTWEYEdVmIXIylmjOhgb+H&#10;utT0iS8o1WbtJSXVMgy1QYYmYhLUTOeZE+kgzpniWAa9QL84ymZVJYUyLGXIHfP+yiSUrZlWygp0&#10;kWeChXQ3dYgFdW48xKSgxmyHoPb+ykSoOSvLEnaBdLfiBcuMMRiYac4yXUKbRIPa+5zJmOkiDLX3&#10;VyZBPdDdQZzj6u7cu5vJoAx/KCTQ3lWZhLJQLJPMRlg5NHdZmlVzkWdRZiqPqbm9s5kE0GDhSgbq&#10;Yoy0a3e0wiSoYaaVloXzuwnXYqy7TTQdE2zvbqYDdkCsDdjz5JqDLuEFDAPZ6deJtXc6k8CalVkW&#10;IkNN80yxJpIMUktQ87yQUNfXzAl1iOaSeaczGahDfCig9r7pRA1O3nfuvG8mJJfGDbpY65y8b+oQ&#10;DWrvdCYDdYgPBdTeQZ0E9cD7DuIc2fv2xikZlENUKFD23ukklDmUdVE4hixjLOMj1c24VIJHZELz&#10;tDgy43kFwmnXPtNOl9ihgg8AOy0RZ5XMWIOB8hZZIRk6xFLeKi2WzIAKtygYa3mXZZpgw/2m8OoV&#10;Y+1dkWRUeIj8hgr3ccgkpG8Yg8vtGFFZKJlrM+BArJnUOXWIJtbeFUkG6oBUUwA2T6hdOoKNtKSS&#10;TJTXGhzpCBEjLeX9kWSgDlhrgtrHIROlmjJPhIM6ZyULZp6IQebJS+9e2htKZ0sLmAaoMoLaByMT&#10;oR4E1RJ5B9izHvEnsYNq5U1UMlIdoMAJah+NTIL6ElQbnKUZbWCo4wbV2B938UUqKFOsM3a+gTKa&#10;5wRakOCMOdcbG9TFOLtIZFJkZUwj7W1TMkCH6VAbAE/OLrL+WG+kmSxz7JxdM99RjbS3TclAHaZD&#10;mY9BJmnu51BnHHm/ob3LqFB725QM1GFOFLp3jvq2ULtMYKEznpVGiAZ2mraph5nAL+16F95AJQN1&#10;KD0Ultrv10+Uas4zru0utSgKkKLX+1lc6Ij8N8j51JyyME2GHKE5Un1xvS3OY+0d1/W2yy6lWJrB&#10;/w253j4GmSjQghWZsM63UHmu8oDuLrKI6aE25ykpqMMMGfNRyHSohbbZZCjhQNVbgAyV1CEW7114&#10;65SMmQ4zZDYdf3KcxTWSStwutZCZ5twsnYtDxpCzyLgruKQqvBd3yLxxSgJpjprYiwI3xbcL1/Zd&#10;G00lda6MVthaY9qOFgUfB1RCK2Ssud1oOGkIucwsD6qw1p9tGS2N2ZfOomj73hbRom3bv1o/HfqX&#10;VGz7H+vHj9WZrqNB6eUCFbP+XrZ3y/5W6P09Smn/aE3P86g4Grd5ebc5DHv50fDkxpNH375H//to&#10;xhv27D8XM/zN/nZz/8d7Pv90DEsPbMb3k4DG4TQ3B5oPQqVCff+mqWzh8n53RuF/s9ujCpYXBFt/&#10;m64a2FZWkwo4nb82NU1Zc/it3qBi2RSjU8Ope/j0vukWXyoqMTb/bFV0c9xWrtWN67q6qcA4dP0G&#10;5dF+SGYufTbke0H/3QiuM11Xm5MF/JWZvXLt7sYeL4AifTx0f8gAJsVfZD65PZz99QccjWA+ZPC0&#10;F3tP80J/vWB5dIkYNuhtoRm3Q3czyQRzkWOPyjlbTDM+3qNieV6UKEaPZ4G9O5mEXgZ3TbREwK9G&#10;8xykGStlUcDAQmMJ5O3rMafNC5S+g5aIh7T3JpNA2qQOBegv1z4Ha65KCctssOZaSoVoCeNdvC2p&#10;dInlEBHrtEhtg2mAFHHtc7C+QUZggRCZ5PqVYp0Wq20wDXCdrn0W1oiLcKCPVeKvE+zS+yPpKPGA&#10;vTZgzzPYPM8Zd2WVvOTwyU3sdFHiOUOeGGoEohlsm7p28Yv/zw+uMZgGtiZd+yzBZrwUJYfWIC3+&#10;OsH2u69JCDb54QElbpvnQE0Rl8JWtkFa6ULbk8UuYk0RV0F5arE4T+QZuwdMAmkjvoHg2rXPwfoG&#10;Yq0YADZgI8db2S2wC9g5qNC8Z8hi0J44ZiM1sEM5oAT2zCRQnmOnwh1VRCW0CvQqpvY1YZ0WxU26&#10;OrxFaUvkJpNmOFBSZ1Ja1oxLuGlIBRxBjRMxNDpE0+HpsWbhLUq7zzQZao0zQhG3k1cWxjnq6WP2&#10;oJVkHHAS6PDuJJrn2WmGkngUvhigBS/01fkHGbaysJbiCbR/wiScMoI6nL+P5rlQg+V2FArPJI5I&#10;Hulu1FAjBSUi1P4JU4FaBNxvrAA0z4Uale9OfSO/AJuqI6hxzFxGRyXFMtP2qOGUFLgIkGUE9Tyu&#10;jDwywUhoYamRJ1jg8N8x1JkqVcSoWvsnTEaqA1wZQe2JpEk71heP7Bs4R/XIkKvmVFYyKAe2MAll&#10;TyJNQhkl8aUSOKHRCHQpcITJlUBrLWOaaYR3qUEdJkRtIsHkEIugLozDRbq7YAyVdSPdjY2OgtjY&#10;aGY6LZKMxDewWW2b53lkMNMl8SIENc5thzIfQQ2kFTEr0aBOjiOj4sdAuhGa50A9MNNhnOOaaf9w&#10;yZjpMD1mreos3a0lDIARaJxnoq6+cgPRdBGTOLExX1IhVpgjE55Bmu6RFa5YA+cJ4nt1DE8x2N+A&#10;mc5xmmQ83e2fMBmpDnNkwjNIU6HWjEmbP4gclELbYowh1KjRGh5S9NLfmYQv80rM+SY4AmYazXPM&#10;tImzNOV3k0eWIRnBntY4hBpA4zyyWFJNu+OpQR3myGxx3BxbrVlJ/BugRi2WsPTqEGnUyUcslKbv&#10;+UkN6TBFZo9knoE0cDRZJUC6lDjzyIjQAGkcOou0k4gynRxNRjFtSH17EmmSpb5EWWGYYwZZ+CaQ&#10;5MQ5TJBJTx9NAtnYaJRrGMUNHkzZs0MG4kyJwFTEFYk0yW15SUoxFnlMIXH27NFkpHEOrM0XVDiB&#10;7KoeHvyZjBhi5ZeTblMJsSh7M4S0Z5CmIo0UMjpBDiZaFtiFNr7PUKYZDr6AsxZNpv0DJoO0p8hs&#10;OTz4bpTIfTe6ohTPQTU8yBeClKrhRztWvhKcIH1e4N1/sfewTPsVVcM/v9kfqYl/fkVfEd//vq6M&#10;Nw7qd2rix33WTXuqAc+P17ybunaI1Dfr3m3Buh0z8P3cobr3QJG6q3vvhwmVtrsC9WnV8q+i7t18&#10;GfzjA74gHPP/0FXH7W79oTpXw79Nnfyq5u22be7r7t2/AQAA//8DAFBLAwQUAAYACAAAACEABfCz&#10;bd0AAAAFAQAADwAAAGRycy9kb3ducmV2LnhtbEyPQUvDQBCF74L/YRnBm92kxZim2ZRS1FMRbAXx&#10;Ns1Ok9DsbMhuk/Tfu3rRy8DjPd77Jl9PphUD9a6xrCCeRSCIS6sbrhR8HF4eUhDOI2tsLZOCKzlY&#10;F7c3OWbajvxOw95XIpSwy1BB7X2XSenKmgy6me2Ig3eyvUEfZF9J3eMYyk0r51GUSIMNh4UaO9rW&#10;VJ73F6PgdcRxs4ifh935tL1+HR7fPncxKXV/N21WIDxN/i8MP/gBHYrAdLQX1k60CsIj/vcGL5mn&#10;TyCOCpZpsgBZ5PI/ffENAAD//wMAUEsBAi0AFAAGAAgAAAAhALaDOJL+AAAA4QEAABMAAAAAAAAA&#10;AAAAAAAAAAAAAFtDb250ZW50X1R5cGVzXS54bWxQSwECLQAUAAYACAAAACEAOP0h/9YAAACUAQAA&#10;CwAAAAAAAAAAAAAAAAAvAQAAX3JlbHMvLnJlbHNQSwECLQAUAAYACAAAACEAy31cx9ULAACdgAAA&#10;DgAAAAAAAAAAAAAAAAAuAgAAZHJzL2Uyb0RvYy54bWxQSwECLQAUAAYACAAAACEABfCzbd0AAAAF&#10;AQAADwAAAAAAAAAAAAAAAAAvDgAAZHJzL2Rvd25yZXYueG1sUEsFBgAAAAAEAAQA8wAAADkPAAAA&#10;AA==&#10;">
                <v:rect id="Rectangle 17990" o:spid="_x0000_s3587" style="position:absolute;left:19007;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ThuyAAAAN4AAAAPAAAAZHJzL2Rvd25yZXYueG1sRI9Pb8Iw&#10;DMXvSPsOkSftBuk4DOgIaGJC9MCFP5N2tBrTdmucqAm026fHh0m72fLze++3XA+uVTfqYuPZwPMk&#10;A0VcettwZeB82o7noGJCtth6JgM/FGG9ehgtMbe+5wPdjqlSYsIxRwN1SiHXOpY1OYwTH4jldvGd&#10;wyRrV2nbYS/mrtXTLHvRDhuWhBoDbWoqv49XZ+DznUOx7XV5+d2E/Vcxb3fX84cxT4/D2yuoREP6&#10;F/99F1bqzxYLARAcmUGv7gAAAP//AwBQSwECLQAUAAYACAAAACEA2+H2y+4AAACFAQAAEwAAAAAA&#10;AAAAAAAAAAAAAAAAW0NvbnRlbnRfVHlwZXNdLnhtbFBLAQItABQABgAIAAAAIQBa9CxbvwAAABUB&#10;AAALAAAAAAAAAAAAAAAAAB8BAABfcmVscy8ucmVsc1BLAQItABQABgAIAAAAIQAX9ThuyAAAAN4A&#10;AAAPAAAAAAAAAAAAAAAAAAcCAABkcnMvZG93bnJldi54bWxQSwUGAAAAAAMAAwC3AAAA/AIAAAAA&#10;" filled="f" stroked="f">
                  <v:textbox inset="0,0,0,0">
                    <w:txbxContent>
                      <w:p w14:paraId="387ECD98" w14:textId="77777777" w:rsidR="00B32EF2" w:rsidRDefault="00000000">
                        <w:r>
                          <w:rPr>
                            <w:rFonts w:ascii="Times New Roman" w:eastAsia="Times New Roman" w:hAnsi="Times New Roman" w:cs="Times New Roman"/>
                          </w:rPr>
                          <w:t>67</w:t>
                        </w:r>
                      </w:p>
                    </w:txbxContent>
                  </v:textbox>
                </v:rect>
                <v:rect id="Rectangle 17991" o:spid="_x0000_s3588" style="position:absolute;left:-13169;top:611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Z31xAAAAN4AAAAPAAAAZHJzL2Rvd25yZXYueG1sRE9Li8Iw&#10;EL4v7H8Is+BtTfXgajXK4iL2sBdf4HFoxrbaTEITbfXXm4UFb/PxPWe26EwtbtT4yrKCQT8BQZxb&#10;XXGhYL9bfY5B+ICssbZMCu7kYTF/f5thqm3LG7ptQyFiCPsUFZQhuFRKn5dk0PetI47cyTYGQ4RN&#10;IXWDbQw3tRwmyUgarDg2lOhoWVJ+2V6NguMPu2zVyvz0WLrfczau19f9QaneR/c9BRGoCy/xvzvT&#10;cf7XZDKAv3fiDXL+BAAA//8DAFBLAQItABQABgAIAAAAIQDb4fbL7gAAAIUBAAATAAAAAAAAAAAA&#10;AAAAAAAAAABbQ29udGVudF9UeXBlc10ueG1sUEsBAi0AFAAGAAgAAAAhAFr0LFu/AAAAFQEAAAsA&#10;AAAAAAAAAAAAAAAAHwEAAF9yZWxzLy5yZWxzUEsBAi0AFAAGAAgAAAAhAHi5nfXEAAAA3gAAAA8A&#10;AAAAAAAAAAAAAAAABwIAAGRycy9kb3ducmV2LnhtbFBLBQYAAAAAAwADALcAAAD4AgAAAAA=&#10;" filled="f" stroked="f">
                  <v:textbox inset="0,0,0,0">
                    <w:txbxContent>
                      <w:p w14:paraId="2C5B884C" w14:textId="77777777" w:rsidR="00B32EF2" w:rsidRDefault="00000000">
                        <w:r>
                          <w:rPr>
                            <w:rFonts w:ascii="Arial" w:eastAsia="Arial" w:hAnsi="Arial" w:cs="Arial"/>
                            <w:sz w:val="18"/>
                          </w:rPr>
                          <w:t xml:space="preserve">ove occorra sommarie informazioni. In tal caso fissa, con lo stesso decreto, la </w:t>
                        </w:r>
                      </w:p>
                    </w:txbxContent>
                  </v:textbox>
                </v:rect>
                <v:rect id="Rectangle 17992" o:spid="_x0000_s3589" style="position:absolute;left:-13169;top:599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wOCxAAAAN4AAAAPAAAAZHJzL2Rvd25yZXYueG1sRE9Ni8Iw&#10;EL0L/ocwgjdN9eBq1yiiiD3sZV0X9jg0Y1ttJqGJtvrrNwsL3ubxPme57kwt7tT4yrKCyTgBQZxb&#10;XXGh4PS1H81B+ICssbZMCh7kYb3q95aYatvyJ92PoRAxhH2KCsoQXCqlz0sy6MfWEUfubBuDIcKm&#10;kLrBNoabWk6TZCYNVhwbSnS0LSm/Hm9Gwc+OXbZvZX5+bt3HJZvXh9vpW6nhoNu8gwjUhZf4353p&#10;OP9tsZjC3zvxBrn6BQAA//8DAFBLAQItABQABgAIAAAAIQDb4fbL7gAAAIUBAAATAAAAAAAAAAAA&#10;AAAAAAAAAABbQ29udGVudF9UeXBlc10ueG1sUEsBAi0AFAAGAAgAAAAhAFr0LFu/AAAAFQEAAAsA&#10;AAAAAAAAAAAAAAAAHwEAAF9yZWxzLy5yZWxzUEsBAi0AFAAGAAgAAAAhAIhrA4LEAAAA3gAAAA8A&#10;AAAAAAAAAAAAAAAABwIAAGRycy9kb3ducmV2LnhtbFBLBQYAAAAAAwADALcAAAD4AgAAAAA=&#10;" filled="f" stroked="f">
                  <v:textbox inset="0,0,0,0">
                    <w:txbxContent>
                      <w:p w14:paraId="6729AD86" w14:textId="77777777" w:rsidR="00B32EF2" w:rsidRDefault="00000000">
                        <w:r>
                          <w:rPr>
                            <w:rFonts w:ascii="Arial" w:eastAsia="Arial" w:hAnsi="Arial" w:cs="Arial"/>
                            <w:sz w:val="18"/>
                          </w:rPr>
                          <w:t xml:space="preserve">camera di consiglio entro un termine non superiore a trenta giorni assegnando </w:t>
                        </w:r>
                      </w:p>
                    </w:txbxContent>
                  </v:textbox>
                </v:rect>
                <v:rect id="Rectangle 17993" o:spid="_x0000_s3590" style="position:absolute;left:-12211;top:58735;width:521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6YZxQAAAN4AAAAPAAAAZHJzL2Rvd25yZXYueG1sRE9La8JA&#10;EL4X/A/LCN7qxgpVo6uIRZpDL/UBHofsmESzs0t2NWl/fbcgeJuP7zmLVWdqcafGV5YVjIYJCOLc&#10;6ooLBYf99nUKwgdkjbVlUvBDHlbL3ssCU21b/qb7LhQihrBPUUEZgkul9HlJBv3QOuLInW1jMETY&#10;FFI32MZwU8u3JHmXBiuODSU62pSUX3c3o+D0wS7btjI//27c1yWb1p+3w1GpQb9bz0EE6sJT/HBn&#10;Os6fzGZj+H8n3iCXfwAAAP//AwBQSwECLQAUAAYACAAAACEA2+H2y+4AAACFAQAAEwAAAAAAAAAA&#10;AAAAAAAAAAAAW0NvbnRlbnRfVHlwZXNdLnhtbFBLAQItABQABgAIAAAAIQBa9CxbvwAAABUBAAAL&#10;AAAAAAAAAAAAAAAAAB8BAABfcmVscy8ucmVsc1BLAQItABQABgAIAAAAIQDnJ6YZxQAAAN4AAAAP&#10;AAAAAAAAAAAAAAAAAAcCAABkcnMvZG93bnJldi54bWxQSwUGAAAAAAMAAwC3AAAA+QIAAAAA&#10;" filled="f" stroked="f">
                  <v:textbox inset="0,0,0,0">
                    <w:txbxContent>
                      <w:p w14:paraId="3161450A" w14:textId="77777777" w:rsidR="00B32EF2" w:rsidRDefault="00000000">
                        <w:r>
                          <w:rPr>
                            <w:rFonts w:ascii="Arial" w:eastAsia="Arial" w:hAnsi="Arial" w:cs="Arial"/>
                            <w:sz w:val="18"/>
                          </w:rPr>
                          <w:t>all’istante un termine perentorio non superiore a quindici giorni per la notifica</w:t>
                        </w:r>
                      </w:p>
                    </w:txbxContent>
                  </v:textbox>
                </v:rect>
                <v:rect id="Rectangle 17994" o:spid="_x0000_s3591" style="position:absolute;left:195;top:5873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j5txQAAAN4AAAAPAAAAZHJzL2Rvd25yZXYueG1sRE9La8JA&#10;EL4X/A/LCN7qxiJVo6uIRZpDL/UBHofsmESzs0t2NWl/fbcgeJuP7zmLVWdqcafGV5YVjIYJCOLc&#10;6ooLBYf99nUKwgdkjbVlUvBDHlbL3ssCU21b/qb7LhQihrBPUUEZgkul9HlJBv3QOuLInW1jMETY&#10;FFI32MZwU8u3JHmXBiuODSU62pSUX3c3o+D0wS7btjI//27c1yWb1p+3w1GpQb9bz0EE6sJT/HBn&#10;Os6fzGZj+H8n3iCXfwAAAP//AwBQSwECLQAUAAYACAAAACEA2+H2y+4AAACFAQAAEwAAAAAAAAAA&#10;AAAAAAAAAAAAW0NvbnRlbnRfVHlwZXNdLnhtbFBLAQItABQABgAIAAAAIQBa9CxbvwAAABUBAAAL&#10;AAAAAAAAAAAAAAAAAB8BAABfcmVscy8ucmVsc1BLAQItABQABgAIAAAAIQBozj5txQAAAN4AAAAP&#10;AAAAAAAAAAAAAAAAAAcCAABkcnMvZG93bnJldi54bWxQSwUGAAAAAAMAAwC3AAAA+QIAAAAA&#10;" filled="f" stroked="f">
                  <v:textbox inset="0,0,0,0">
                    <w:txbxContent>
                      <w:p w14:paraId="21207287" w14:textId="77777777" w:rsidR="00B32EF2" w:rsidRDefault="00000000">
                        <w:r>
                          <w:rPr>
                            <w:rFonts w:ascii="Arial" w:eastAsia="Arial" w:hAnsi="Arial" w:cs="Arial"/>
                            <w:sz w:val="18"/>
                          </w:rPr>
                          <w:t>-</w:t>
                        </w:r>
                      </w:p>
                    </w:txbxContent>
                  </v:textbox>
                </v:rect>
                <v:rect id="Rectangle 17995" o:spid="_x0000_s3592" style="position:absolute;left:-13169;top:5750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pv2xQAAAN4AAAAPAAAAZHJzL2Rvd25yZXYueG1sRE9La8JA&#10;EL4X/A/LCN7qxoJVo6uIRZpDL/UBHofsmESzs0t2NWl/fbcgeJuP7zmLVWdqcafGV5YVjIYJCOLc&#10;6ooLBYf99nUKwgdkjbVlUvBDHlbL3ssCU21b/qb7LhQihrBPUUEZgkul9HlJBv3QOuLInW1jMETY&#10;FFI32MZwU8u3JHmXBiuODSU62pSUX3c3o+D0wS7btjI//27c1yWb1p+3w1GpQb9bz0EE6sJT/HBn&#10;Os6fzGZj+H8n3iCXfwAAAP//AwBQSwECLQAUAAYACAAAACEA2+H2y+4AAACFAQAAEwAAAAAAAAAA&#10;AAAAAAAAAAAAW0NvbnRlbnRfVHlwZXNdLnhtbFBLAQItABQABgAIAAAAIQBa9CxbvwAAABUBAAAL&#10;AAAAAAAAAAAAAAAAAB8BAABfcmVscy8ucmVsc1BLAQItABQABgAIAAAAIQAHgpv2xQAAAN4AAAAP&#10;AAAAAAAAAAAAAAAAAAcCAABkcnMvZG93bnJldi54bWxQSwUGAAAAAAMAAwC3AAAA+QIAAAAA&#10;" filled="f" stroked="f">
                  <v:textbox inset="0,0,0,0">
                    <w:txbxContent>
                      <w:p w14:paraId="60701C92" w14:textId="77777777" w:rsidR="00B32EF2" w:rsidRDefault="00000000">
                        <w:r>
                          <w:rPr>
                            <w:rFonts w:ascii="Arial" w:eastAsia="Arial" w:hAnsi="Arial" w:cs="Arial"/>
                            <w:sz w:val="18"/>
                          </w:rPr>
                          <w:t xml:space="preserve">zione del ricorso e del decreto. A tale udienza la corte di giustizia tributaria, </w:t>
                        </w:r>
                      </w:p>
                    </w:txbxContent>
                  </v:textbox>
                </v:rect>
                <v:rect id="Rectangle 17996" o:spid="_x0000_s3593" style="position:absolute;left:-12188;top:56271;width:5210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WBxAAAAN4AAAAPAAAAZHJzL2Rvd25yZXYueG1sRE9Ni8Iw&#10;EL0L/ocwgjdN9eBq1yiiiD3sZV0X9jg0Y1ttJqGJtvrrNwsL3ubxPme57kwt7tT4yrKCyTgBQZxb&#10;XXGh4PS1H81B+ICssbZMCh7kYb3q95aYatvyJ92PoRAxhH2KCsoQXCqlz0sy6MfWEUfubBuDIcKm&#10;kLrBNoabWk6TZCYNVhwbSnS0LSm/Hm9Gwc+OXbZvZX5+bt3HJZvXh9vpW6nhoNu8gwjUhZf4353p&#10;OP9tsZjB3zvxBrn6BQAA//8DAFBLAQItABQABgAIAAAAIQDb4fbL7gAAAIUBAAATAAAAAAAAAAAA&#10;AAAAAAAAAABbQ29udGVudF9UeXBlc10ueG1sUEsBAi0AFAAGAAgAAAAhAFr0LFu/AAAAFQEAAAsA&#10;AAAAAAAAAAAAAAAAHwEAAF9yZWxzLy5yZWxzUEsBAi0AFAAGAAgAAAAhAPdQBYHEAAAA3gAAAA8A&#10;AAAAAAAAAAAAAAAABwIAAGRycy9kb3ducmV2LnhtbFBLBQYAAAAAAwADALcAAAD4AgAAAAA=&#10;" filled="f" stroked="f">
                  <v:textbox inset="0,0,0,0">
                    <w:txbxContent>
                      <w:p w14:paraId="005C08EE" w14:textId="77777777" w:rsidR="00B32EF2" w:rsidRDefault="00000000">
                        <w:r>
                          <w:rPr>
                            <w:rFonts w:ascii="Arial" w:eastAsia="Arial" w:hAnsi="Arial" w:cs="Arial"/>
                            <w:sz w:val="18"/>
                          </w:rPr>
                          <w:t>con ordinanza, conferma, modifica o revoca i provvedimenti emanati con de</w:t>
                        </w:r>
                      </w:p>
                    </w:txbxContent>
                  </v:textbox>
                </v:rect>
                <v:rect id="Rectangle 17997" o:spid="_x0000_s3594" style="position:absolute;left:195;top:56271;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KAaxAAAAN4AAAAPAAAAZHJzL2Rvd25yZXYueG1sRE9Ni8Iw&#10;EL0L/ocwgjdN9bBq1yiiyPbgZV0X9jg0Y1ttJqGJtvrrNwsL3ubxPme57kwt7tT4yrKCyTgBQZxb&#10;XXGh4PS1H81B+ICssbZMCh7kYb3q95aYatvyJ92PoRAxhH2KCsoQXCqlz0sy6MfWEUfubBuDIcKm&#10;kLrBNoabWk6T5E0arDg2lOhoW1J+Pd6Mgp8du2zfyvz83LrDJZvXH7fTt1LDQbd5BxGoCy/xvzvT&#10;cf5ssZjB3zvxBrn6BQAA//8DAFBLAQItABQABgAIAAAAIQDb4fbL7gAAAIUBAAATAAAAAAAAAAAA&#10;AAAAAAAAAABbQ29udGVudF9UeXBlc10ueG1sUEsBAi0AFAAGAAgAAAAhAFr0LFu/AAAAFQEAAAsA&#10;AAAAAAAAAAAAAAAAHwEAAF9yZWxzLy5yZWxzUEsBAi0AFAAGAAgAAAAhAJgcoBrEAAAA3gAAAA8A&#10;AAAAAAAAAAAAAAAABwIAAGRycy9kb3ducmV2LnhtbFBLBQYAAAAAAwADALcAAAD4AgAAAAA=&#10;" filled="f" stroked="f">
                  <v:textbox inset="0,0,0,0">
                    <w:txbxContent>
                      <w:p w14:paraId="5B7B9CB4" w14:textId="77777777" w:rsidR="00B32EF2" w:rsidRDefault="00000000">
                        <w:r>
                          <w:rPr>
                            <w:rFonts w:ascii="Arial" w:eastAsia="Arial" w:hAnsi="Arial" w:cs="Arial"/>
                            <w:sz w:val="18"/>
                          </w:rPr>
                          <w:t>-</w:t>
                        </w:r>
                      </w:p>
                    </w:txbxContent>
                  </v:textbox>
                </v:rect>
                <v:rect id="Rectangle 17998" o:spid="_x0000_s3595" style="position:absolute;left:36104;top:55038;width:38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zRoyAAAAN4AAAAPAAAAZHJzL2Rvd25yZXYueG1sRI9Pb8Iw&#10;DMXvSPsOkSftBuk4DOgIaGJC9MCFP5N2tBrTdmucqAm026fHh0m72XrP7/28XA+uVTfqYuPZwPMk&#10;A0VcettwZeB82o7noGJCtth6JgM/FGG9ehgtMbe+5wPdjqlSEsIxRwN1SiHXOpY1OYwTH4hFu/jO&#10;YZK1q7TtsJdw1+pplr1ohw1LQ42BNjWV38erM/D5zqHY9rq8/G7C/quYt7vr+cOYp8fh7RVUoiH9&#10;m/+uCyv4s8VCeOUdmUGv7gAAAP//AwBQSwECLQAUAAYACAAAACEA2+H2y+4AAACFAQAAEwAAAAAA&#10;AAAAAAAAAAAAAAAAW0NvbnRlbnRfVHlwZXNdLnhtbFBLAQItABQABgAIAAAAIQBa9CxbvwAAABUB&#10;AAALAAAAAAAAAAAAAAAAAB8BAABfcmVscy8ucmVsc1BLAQItABQABgAIAAAAIQDpgzRoyAAAAN4A&#10;AAAPAAAAAAAAAAAAAAAAAAcCAABkcnMvZG93bnJldi54bWxQSwUGAAAAAAMAAwC3AAAA/AIAAAAA&#10;" filled="f" stroked="f">
                  <v:textbox inset="0,0,0,0">
                    <w:txbxContent>
                      <w:p w14:paraId="60461BFF" w14:textId="77777777" w:rsidR="00B32EF2" w:rsidRDefault="00000000">
                        <w:r>
                          <w:rPr>
                            <w:rFonts w:ascii="Arial" w:eastAsia="Arial" w:hAnsi="Arial" w:cs="Arial"/>
                            <w:sz w:val="18"/>
                          </w:rPr>
                          <w:t>creto.</w:t>
                        </w:r>
                      </w:p>
                    </w:txbxContent>
                  </v:textbox>
                </v:rect>
                <v:rect id="Rectangle 200819" o:spid="_x0000_s3596" style="position:absolute;left:-13694;top:5380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6cExgAAAN8AAAAPAAAAZHJzL2Rvd25yZXYueG1sRI9Pi8Iw&#10;FMTvC36H8ARva+oepFajiCLbw17WP+Dx0TzbavMSmmi7++k3C4LHYWZ+wyxWvWnEg1pfW1YwGScg&#10;iAuray4VHA+79xSED8gaG8uk4Ic8rJaDtwVm2nb8TY99KEWEsM9QQRWCy6T0RUUG/dg64uhdbGsw&#10;RNmWUrfYRbhp5EeSTKXBmuNChY42FRW3/d0oOG/Z5btOFpffjfu65mnzeT+elBoN+/UcRKA+vMLP&#10;dq4VRGI6mcH/n/gF5PIPAAD//wMAUEsBAi0AFAAGAAgAAAAhANvh9svuAAAAhQEAABMAAAAAAAAA&#10;AAAAAAAAAAAAAFtDb250ZW50X1R5cGVzXS54bWxQSwECLQAUAAYACAAAACEAWvQsW78AAAAVAQAA&#10;CwAAAAAAAAAAAAAAAAAfAQAAX3JlbHMvLnJlbHNQSwECLQAUAAYACAAAACEAfZOnBMYAAADfAAAA&#10;DwAAAAAAAAAAAAAAAAAHAgAAZHJzL2Rvd25yZXYueG1sUEsFBgAAAAADAAMAtwAAAPoCAAAAAA==&#10;" filled="f" stroked="f">
                  <v:textbox inset="0,0,0,0">
                    <w:txbxContent>
                      <w:p w14:paraId="0F2E5B2F" w14:textId="77777777" w:rsidR="00B32EF2" w:rsidRDefault="00000000">
                        <w:r>
                          <w:rPr>
                            <w:rFonts w:ascii="Arial" w:eastAsia="Arial" w:hAnsi="Arial" w:cs="Arial"/>
                            <w:sz w:val="18"/>
                          </w:rPr>
                          <w:t xml:space="preserve">. Le parti interessate possono prestare, in corso di giudizio, la garanzia di </w:t>
                        </w:r>
                      </w:p>
                    </w:txbxContent>
                  </v:textbox>
                </v:rect>
                <v:rect id="Rectangle 200818" o:spid="_x0000_s3597" style="position:absolute;left:26112;top:5380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wKfxwAAAN8AAAAPAAAAZHJzL2Rvd25yZXYueG1sRI/BbsIw&#10;DIbvSHuHyJN2oyk7oKojoIkJrQcuMJB2tBrTdmucqAm04+nnw6Qdrd//Z3+rzeR6daMhdp4NLLIc&#10;FHHtbceNgdPHbl6AignZYu+ZDPxQhM36YbbC0vqRD3Q7pkYJhGOJBtqUQql1rFtyGDMfiCW7+MFh&#10;knFotB1wFLjr9XOeL7XDjuVCi4G2LdXfx6sz8PnGodqNur7ct2H/VRX9+/V0NubpcXp9AZVoSv/L&#10;f+3KGhBisZCHxUdcQK9/AQAA//8DAFBLAQItABQABgAIAAAAIQDb4fbL7gAAAIUBAAATAAAAAAAA&#10;AAAAAAAAAAAAAABbQ29udGVudF9UeXBlc10ueG1sUEsBAi0AFAAGAAgAAAAhAFr0LFu/AAAAFQEA&#10;AAsAAAAAAAAAAAAAAAAAHwEAAF9yZWxzLy5yZWxzUEsBAi0AFAAGAAgAAAAhABLfAp/HAAAA3wAA&#10;AA8AAAAAAAAAAAAAAAAABwIAAGRycy9kb3ducmV2LnhtbFBLBQYAAAAAAwADALcAAAD7AgAAAAA=&#10;" filled="f" stroked="f">
                  <v:textbox inset="0,0,0,0">
                    <w:txbxContent>
                      <w:p w14:paraId="6BDF4BD2" w14:textId="77777777" w:rsidR="00B32EF2" w:rsidRDefault="00000000">
                        <w:r>
                          <w:rPr>
                            <w:rFonts w:ascii="Arial" w:eastAsia="Arial" w:hAnsi="Arial" w:cs="Arial"/>
                            <w:sz w:val="18"/>
                          </w:rPr>
                          <w:t>7</w:t>
                        </w:r>
                      </w:p>
                    </w:txbxContent>
                  </v:textbox>
                </v:rect>
                <v:rect id="Rectangle 18000" o:spid="_x0000_s3598" style="position:absolute;left:-13169;top:5257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3MTxwAAAN4AAAAPAAAAZHJzL2Rvd25yZXYueG1sRI9BT8Mw&#10;DIXvSPsPkSdxYwk7oKosm6ahaT1wYQyJo9V4bVnjRE22Fn49PiBxs+Xn99632ky+VzcaUhfYwuPC&#10;gCKug+u4sXB63z8UoFJGdtgHJgvflGCznt2tsHRh5De6HXOjxIRTiRbanGOpdapb8pgWIRLL7RwG&#10;j1nWodFuwFHMfa+Xxjxpjx1LQouRdi3Vl+PVW/h84VjtR12ff3bx9asq+sP19GHt/XzaPoPKNOV/&#10;8d935aR+YYwACI7MoNe/AAAA//8DAFBLAQItABQABgAIAAAAIQDb4fbL7gAAAIUBAAATAAAAAAAA&#10;AAAAAAAAAAAAAABbQ29udGVudF9UeXBlc10ueG1sUEsBAi0AFAAGAAgAAAAhAFr0LFu/AAAAFQEA&#10;AAsAAAAAAAAAAAAAAAAAHwEAAF9yZWxzLy5yZWxzUEsBAi0AFAAGAAgAAAAhACLDcxPHAAAA3gAA&#10;AA8AAAAAAAAAAAAAAAAABwIAAGRycy9kb3ducmV2LnhtbFBLBQYAAAAAAwADALcAAAD7AgAAAAA=&#10;" filled="f" stroked="f">
                  <v:textbox inset="0,0,0,0">
                    <w:txbxContent>
                      <w:p w14:paraId="12082542" w14:textId="77777777" w:rsidR="00B32EF2" w:rsidRDefault="00000000">
                        <w:r>
                          <w:rPr>
                            <w:rFonts w:ascii="Arial" w:eastAsia="Arial" w:hAnsi="Arial" w:cs="Arial"/>
                            <w:sz w:val="18"/>
                          </w:rPr>
                          <w:t xml:space="preserve">cui all’articolo 127 comma 2. In tal caso l’organo dinanzi al quale è in corso il </w:t>
                        </w:r>
                      </w:p>
                    </w:txbxContent>
                  </v:textbox>
                </v:rect>
                <v:rect id="Rectangle 18001" o:spid="_x0000_s3599" style="position:absolute;left:-12188;top:51342;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9aIxAAAAN4AAAAPAAAAZHJzL2Rvd25yZXYueG1sRE9NawIx&#10;EL0X/A9hhN5qYg9lWY0iiriHXmot9Dhsxt3VzSRsorv66xtB6G0e73Pmy8G24kpdaBxrmE4UCOLS&#10;mYYrDYfv7VsGIkRkg61j0nCjAMvF6GWOuXE9f9F1HyuRQjjkqKGO0edShrImi2HiPHHijq6zGBPs&#10;Kmk67FO4beW7Uh/SYsOpoUZP65rK8/5iNfxu2BfbXpbH+9p/noqs3V0OP1q/jofVDESkIf6Ln+7C&#10;pPmZUlN4vJNukIs/AAAA//8DAFBLAQItABQABgAIAAAAIQDb4fbL7gAAAIUBAAATAAAAAAAAAAAA&#10;AAAAAAAAAABbQ29udGVudF9UeXBlc10ueG1sUEsBAi0AFAAGAAgAAAAhAFr0LFu/AAAAFQEAAAsA&#10;AAAAAAAAAAAAAAAAHwEAAF9yZWxzLy5yZWxzUEsBAi0AFAAGAAgAAAAhAE2P1ojEAAAA3gAAAA8A&#10;AAAAAAAAAAAAAAAABwIAAGRycy9kb3ducmV2LnhtbFBLBQYAAAAAAwADALcAAAD4AgAAAAA=&#10;" filled="f" stroked="f">
                  <v:textbox inset="0,0,0,0">
                    <w:txbxContent>
                      <w:p w14:paraId="13959A43" w14:textId="77777777" w:rsidR="00B32EF2" w:rsidRDefault="00000000">
                        <w:r>
                          <w:rPr>
                            <w:rFonts w:ascii="Arial" w:eastAsia="Arial" w:hAnsi="Arial" w:cs="Arial"/>
                            <w:sz w:val="18"/>
                          </w:rPr>
                          <w:t>procedimento può non adottare ovvero adottare solo parzialmente il provve</w:t>
                        </w:r>
                      </w:p>
                    </w:txbxContent>
                  </v:textbox>
                </v:rect>
                <v:rect id="Rectangle 18002" o:spid="_x0000_s3600" style="position:absolute;left:195;top:5134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Uj/xAAAAN4AAAAPAAAAZHJzL2Rvd25yZXYueG1sRE9NawIx&#10;EL0L/ocwQm+a1ENZtkYpFnEPXrQKHofNuLvtZhI20d321xtB6G0e73MWq8G24kZdaBxreJ0pEMSl&#10;Mw1XGo5fm2kGIkRkg61j0vBLAVbL8WiBuXE97+l2iJVIIRxy1FDH6HMpQ1mTxTBznjhxF9dZjAl2&#10;lTQd9inctnKu1Ju02HBqqNHTuqby53C1Gs6f7ItNL8vL39rvvous3V6PJ61fJsPHO4hIQ/wXP92F&#10;SfMzpebweCfdIJd3AAAA//8DAFBLAQItABQABgAIAAAAIQDb4fbL7gAAAIUBAAATAAAAAAAAAAAA&#10;AAAAAAAAAABbQ29udGVudF9UeXBlc10ueG1sUEsBAi0AFAAGAAgAAAAhAFr0LFu/AAAAFQEAAAsA&#10;AAAAAAAAAAAAAAAAHwEAAF9yZWxzLy5yZWxzUEsBAi0AFAAGAAgAAAAhAL1dSP/EAAAA3gAAAA8A&#10;AAAAAAAAAAAAAAAABwIAAGRycy9kb3ducmV2LnhtbFBLBQYAAAAAAwADALcAAAD4AgAAAAA=&#10;" filled="f" stroked="f">
                  <v:textbox inset="0,0,0,0">
                    <w:txbxContent>
                      <w:p w14:paraId="0FA9C84D" w14:textId="77777777" w:rsidR="00B32EF2" w:rsidRDefault="00000000">
                        <w:r>
                          <w:rPr>
                            <w:rFonts w:ascii="Arial" w:eastAsia="Arial" w:hAnsi="Arial" w:cs="Arial"/>
                            <w:sz w:val="18"/>
                          </w:rPr>
                          <w:t>-</w:t>
                        </w:r>
                      </w:p>
                    </w:txbxContent>
                  </v:textbox>
                </v:rect>
                <v:rect id="Rectangle 18003" o:spid="_x0000_s3601" style="position:absolute;left:27457;top:50110;width:124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e1kxAAAAN4AAAAPAAAAZHJzL2Rvd25yZXYueG1sRE9LawIx&#10;EL4X/A9hhN5qYguybI1SFOkeevEFHofNuLvtZhI20d321zeC4G0+vufMl4NtxZW60DjWMJ0oEMSl&#10;Mw1XGg77zUsGIkRkg61j0vBLAZaL0dMcc+N63tJ1FyuRQjjkqKGO0edShrImi2HiPHHizq6zGBPs&#10;Kmk67FO4beWrUjNpseHUUKOnVU3lz+5iNZzW7ItNL8vz38p/fRdZ+3k5HLV+Hg8f7yAiDfEhvrsL&#10;k+ZnSr3B7Z10g1z8AwAA//8DAFBLAQItABQABgAIAAAAIQDb4fbL7gAAAIUBAAATAAAAAAAAAAAA&#10;AAAAAAAAAABbQ29udGVudF9UeXBlc10ueG1sUEsBAi0AFAAGAAgAAAAhAFr0LFu/AAAAFQEAAAsA&#10;AAAAAAAAAAAAAAAAHwEAAF9yZWxzLy5yZWxzUEsBAi0AFAAGAAgAAAAhANIR7WTEAAAA3gAAAA8A&#10;AAAAAAAAAAAAAAAABwIAAGRycy9kb3ducmV2LnhtbFBLBQYAAAAAAwADALcAAAD4AgAAAAA=&#10;" filled="f" stroked="f">
                  <v:textbox inset="0,0,0,0">
                    <w:txbxContent>
                      <w:p w14:paraId="6BFE1B45" w14:textId="77777777" w:rsidR="00B32EF2" w:rsidRDefault="00000000">
                        <w:r>
                          <w:rPr>
                            <w:rFonts w:ascii="Arial" w:eastAsia="Arial" w:hAnsi="Arial" w:cs="Arial"/>
                            <w:sz w:val="18"/>
                          </w:rPr>
                          <w:t xml:space="preserve">dimento richiesto. </w:t>
                        </w:r>
                      </w:p>
                    </w:txbxContent>
                  </v:textbox>
                </v:rect>
                <v:rect id="Rectangle 200817" o:spid="_x0000_s3602" style="position:absolute;left:-13814;top:48878;width:530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JbtxwAAAN8AAAAPAAAAZHJzL2Rvd25yZXYueG1sRI9Pa8JA&#10;FMTvBb/D8oTe6sYeakjdiCjSHLxoFXp8ZF/+aPbtkl1N7KfvFgo9DjPzG2a5Gk0n7tT71rKC+SwB&#10;QVxa3XKt4PS5e0lB+ICssbNMCh7kYZVPnpaYaTvwge7HUIsIYZ+hgiYEl0npy4YM+pl1xNGrbG8w&#10;RNnXUvc4RLjp5GuSvEmDLceFBh1tGiqvx5tR8LVlV+wGWVbfG7e/FGn3cTudlXqejut3EIHG8B/+&#10;axdaQSSm8wX8/olfQOY/AAAA//8DAFBLAQItABQABgAIAAAAIQDb4fbL7gAAAIUBAAATAAAAAAAA&#10;AAAAAAAAAAAAAABbQ29udGVudF9UeXBlc10ueG1sUEsBAi0AFAAGAAgAAAAhAFr0LFu/AAAAFQEA&#10;AAsAAAAAAAAAAAAAAAAAHwEAAF9yZWxzLy5yZWxzUEsBAi0AFAAGAAgAAAAhAGNAlu3HAAAA3wAA&#10;AA8AAAAAAAAAAAAAAAAABwIAAGRycy9kb3ducmV2LnhtbFBLBQYAAAAAAwADALcAAAD7AgAAAAA=&#10;" filled="f" stroked="f">
                  <v:textbox inset="0,0,0,0">
                    <w:txbxContent>
                      <w:p w14:paraId="71A085D0" w14:textId="77777777" w:rsidR="00B32EF2" w:rsidRDefault="00000000">
                        <w:r>
                          <w:rPr>
                            <w:rFonts w:ascii="Arial" w:eastAsia="Arial" w:hAnsi="Arial" w:cs="Arial"/>
                            <w:sz w:val="18"/>
                          </w:rPr>
                          <w:t xml:space="preserve">. I provvedimenti cautelari pronunciati ai sensi del comma 1 perdono efficacia: </w:t>
                        </w:r>
                      </w:p>
                    </w:txbxContent>
                  </v:textbox>
                </v:rect>
                <v:rect id="Rectangle 200816" o:spid="_x0000_s3603" style="position:absolute;left:26116;top:48878;width:530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DN2xgAAAN8AAAAPAAAAZHJzL2Rvd25yZXYueG1sRI9Pi8Iw&#10;FMTvC36H8ARva6oHKdUooog9eFn/gMdH82yrzUtoou3up98sLHgcZuY3zGLVm0a8qPW1ZQWTcQKC&#10;uLC65lLB+bT7TEH4gKyxsUwKvsnDajn4WGCmbcdf9DqGUkQI+wwVVCG4TEpfVGTQj60jjt7NtgZD&#10;lG0pdYtdhJtGTpNkJg3WHBcqdLSpqHgcn0bBdcsu33WyuP1s3OGep83+eb4oNRr26zmIQH14h//b&#10;uVYQielkBn9/4heQy18AAAD//wMAUEsBAi0AFAAGAAgAAAAhANvh9svuAAAAhQEAABMAAAAAAAAA&#10;AAAAAAAAAAAAAFtDb250ZW50X1R5cGVzXS54bWxQSwECLQAUAAYACAAAACEAWvQsW78AAAAVAQAA&#10;CwAAAAAAAAAAAAAAAAAfAQAAX3JlbHMvLnJlbHNQSwECLQAUAAYACAAAACEADAwzdsYAAADfAAAA&#10;DwAAAAAAAAAAAAAAAAAHAgAAZHJzL2Rvd25yZXYueG1sUEsFBgAAAAADAAMAtwAAAPoCAAAAAA==&#10;" filled="f" stroked="f">
                  <v:textbox inset="0,0,0,0">
                    <w:txbxContent>
                      <w:p w14:paraId="7AB1F577" w14:textId="77777777" w:rsidR="00B32EF2" w:rsidRDefault="00000000">
                        <w:r>
                          <w:rPr>
                            <w:rFonts w:ascii="Arial" w:eastAsia="Arial" w:hAnsi="Arial" w:cs="Arial"/>
                            <w:sz w:val="18"/>
                          </w:rPr>
                          <w:t>8</w:t>
                        </w:r>
                      </w:p>
                    </w:txbxContent>
                  </v:textbox>
                </v:rect>
                <v:rect id="Rectangle 18005" o:spid="_x0000_s3604" style="position:absolute;left:-11574;top:47645;width:514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NCLxAAAAN4AAAAPAAAAZHJzL2Rvd25yZXYueG1sRE9LawIx&#10;EL4X/A9hhN5qYqGybI1SFOkeevEFHofNuLvtZhI20d321zeC4G0+vufMl4NtxZW60DjWMJ0oEMSl&#10;Mw1XGg77zUsGIkRkg61j0vBLAZaL0dMcc+N63tJ1FyuRQjjkqKGO0edShrImi2HiPHHizq6zGBPs&#10;Kmk67FO4beWrUjNpseHUUKOnVU3lz+5iNZzW7ItNL8vz38p/fRdZ+3k5HLV+Hg8f7yAiDfEhvrsL&#10;k+ZnSr3B7Z10g1z8AwAA//8DAFBLAQItABQABgAIAAAAIQDb4fbL7gAAAIUBAAATAAAAAAAAAAAA&#10;AAAAAAAAAABbQ29udGVudF9UeXBlc10ueG1sUEsBAi0AFAAGAAgAAAAhAFr0LFu/AAAAFQEAAAsA&#10;AAAAAAAAAAAAAAAAHwEAAF9yZWxzLy5yZWxzUEsBAi0AFAAGAAgAAAAhADK00IvEAAAA3gAAAA8A&#10;AAAAAAAAAAAAAAAABwIAAGRycy9kb3ducmV2LnhtbFBLBQYAAAAAAwADALcAAAD4AgAAAAA=&#10;" filled="f" stroked="f">
                  <v:textbox inset="0,0,0,0">
                    <w:txbxContent>
                      <w:p w14:paraId="098C690A" w14:textId="77777777" w:rsidR="00B32EF2" w:rsidRDefault="00000000">
                        <w:r>
                          <w:rPr>
                            <w:rFonts w:ascii="Arial" w:eastAsia="Arial" w:hAnsi="Arial" w:cs="Arial"/>
                            <w:sz w:val="18"/>
                          </w:rPr>
                          <w:t xml:space="preserve">a) se non sono eseguiti nel termine di sessanta giorni dalla comunicazione; </w:t>
                        </w:r>
                      </w:p>
                    </w:txbxContent>
                  </v:textbox>
                </v:rect>
                <v:rect id="Rectangle 18006" o:spid="_x0000_s3605" style="position:absolute;left:-13169;top:4641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k78xgAAAN4AAAAPAAAAZHJzL2Rvd25yZXYueG1sRI/NasMw&#10;EITvhbyD2EJujdwegnGihJBg4kMvdRPIcbE2tltrJSz5p336qlDobZeZ+XZ2u59NJ0bqfWtZwfMq&#10;AUFcWd1yreDynj+lIHxA1thZJgVf5GG/WzxsMdN24jcay1CLCGGfoYImBJdJ6auGDPqVdcRRu9ve&#10;YIhrX0vd4xThppMvSbKWBluOFxp0dGyo+iwHo+B2Ylfkk6zu30f3+lGk3Xm4XJVaPs6HDYhAc/g3&#10;/6ULHeunEQm/78QZ5O4HAAD//wMAUEsBAi0AFAAGAAgAAAAhANvh9svuAAAAhQEAABMAAAAAAAAA&#10;AAAAAAAAAAAAAFtDb250ZW50X1R5cGVzXS54bWxQSwECLQAUAAYACAAAACEAWvQsW78AAAAVAQAA&#10;CwAAAAAAAAAAAAAAAAAfAQAAX3JlbHMvLnJlbHNQSwECLQAUAAYACAAAACEAwmZO/MYAAADeAAAA&#10;DwAAAAAAAAAAAAAAAAAHAgAAZHJzL2Rvd25yZXYueG1sUEsFBgAAAAADAAMAtwAAAPoCAAAAAA==&#10;" filled="f" stroked="f">
                  <v:textbox inset="0,0,0,0">
                    <w:txbxContent>
                      <w:p w14:paraId="0CA883AA" w14:textId="77777777" w:rsidR="00B32EF2" w:rsidRDefault="00000000">
                        <w:r>
                          <w:rPr>
                            <w:rFonts w:ascii="Arial" w:eastAsia="Arial" w:hAnsi="Arial" w:cs="Arial"/>
                            <w:sz w:val="18"/>
                          </w:rPr>
                          <w:t xml:space="preserve">b) se, nel termine di centoventi giorni dalla loro adozione, non viene notificato </w:t>
                        </w:r>
                      </w:p>
                    </w:txbxContent>
                  </v:textbox>
                </v:rect>
                <v:rect id="Rectangle 18007" o:spid="_x0000_s3606" style="position:absolute;left:-13169;top:4518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tnxAAAAN4AAAAPAAAAZHJzL2Rvd25yZXYueG1sRE9LawIx&#10;EL4X/A9hhN5qYg912RqlKNI99OILPA6bcXfbzSRsorvtr28Ewdt8fM+ZLwfbiit1oXGsYTpRIIhL&#10;ZxquNBz2m5cMRIjIBlvHpOGXAiwXo6c55sb1vKXrLlYihXDIUUMdo8+lDGVNFsPEeeLEnV1nMSbY&#10;VdJ02Kdw28pXpd6kxYZTQ42eVjWVP7uL1XBasy82vSzPfyv/9V1k7eflcNT6eTx8vIOINMSH+O4u&#10;TJqfKTWD2zvpBrn4BwAA//8DAFBLAQItABQABgAIAAAAIQDb4fbL7gAAAIUBAAATAAAAAAAAAAAA&#10;AAAAAAAAAABbQ29udGVudF9UeXBlc10ueG1sUEsBAi0AFAAGAAgAAAAhAFr0LFu/AAAAFQEAAAsA&#10;AAAAAAAAAAAAAAAAHwEAAF9yZWxzLy5yZWxzUEsBAi0AFAAGAAgAAAAhAK0q62fEAAAA3gAAAA8A&#10;AAAAAAAAAAAAAAAABwIAAGRycy9kb3ducmV2LnhtbFBLBQYAAAAAAwADALcAAAD4AgAAAAA=&#10;" filled="f" stroked="f">
                  <v:textbox inset="0,0,0,0">
                    <w:txbxContent>
                      <w:p w14:paraId="38156A11" w14:textId="77777777" w:rsidR="00B32EF2" w:rsidRDefault="00000000">
                        <w:r>
                          <w:rPr>
                            <w:rFonts w:ascii="Arial" w:eastAsia="Arial" w:hAnsi="Arial" w:cs="Arial"/>
                            <w:sz w:val="18"/>
                          </w:rPr>
                          <w:t xml:space="preserve">atto impositivo, di contestazione o di irrogazione; in tal caso, il presidente della </w:t>
                        </w:r>
                      </w:p>
                    </w:txbxContent>
                  </v:textbox>
                </v:rect>
                <v:rect id="Rectangle 18008" o:spid="_x0000_s3607" style="position:absolute;left:-12188;top:43949;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X8VxwAAAN4AAAAPAAAAZHJzL2Rvd25yZXYueG1sRI9BT8Mw&#10;DIXvSPsPkSdxYwk7oKosm6ahaT1wYQyJo9V4bVnjRE22Fn49PiBxs/We3/u82ky+VzcaUhfYwuPC&#10;gCKug+u4sXB63z8UoFJGdtgHJgvflGCznt2tsHRh5De6HXOjJIRTiRbanGOpdapb8pgWIRKLdg6D&#10;xyzr0Gg34CjhvtdLY560x46locVIu5bqy/HqLXy+cKz2o67PP7v4+lUV/eF6+rD2fj5tn0FlmvK/&#10;+e+6coJfGCO88o7MoNe/AAAA//8DAFBLAQItABQABgAIAAAAIQDb4fbL7gAAAIUBAAATAAAAAAAA&#10;AAAAAAAAAAAAAABbQ29udGVudF9UeXBlc10ueG1sUEsBAi0AFAAGAAgAAAAhAFr0LFu/AAAAFQEA&#10;AAsAAAAAAAAAAAAAAAAAHwEAAF9yZWxzLy5yZWxzUEsBAi0AFAAGAAgAAAAhANy1fxXHAAAA3gAA&#10;AA8AAAAAAAAAAAAAAAAABwIAAGRycy9kb3ducmV2LnhtbFBLBQYAAAAAAwADALcAAAD7AgAAAAA=&#10;" filled="f" stroked="f">
                  <v:textbox inset="0,0,0,0">
                    <w:txbxContent>
                      <w:p w14:paraId="23CAF66F" w14:textId="77777777" w:rsidR="00B32EF2" w:rsidRDefault="00000000">
                        <w:r>
                          <w:rPr>
                            <w:rFonts w:ascii="Arial" w:eastAsia="Arial" w:hAnsi="Arial" w:cs="Arial"/>
                            <w:sz w:val="18"/>
                          </w:rPr>
                          <w:t>corte di giustizia tributaria su istanza di parte e sentito l’ufficio o l’ente richie</w:t>
                        </w:r>
                      </w:p>
                    </w:txbxContent>
                  </v:textbox>
                </v:rect>
                <v:rect id="Rectangle 18009" o:spid="_x0000_s3608" style="position:absolute;left:195;top:4394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qOxAAAAN4AAAAPAAAAZHJzL2Rvd25yZXYueG1sRE9LawIx&#10;EL4X/A9hhN5qYg9l3RqlKNI99OILPA6bcXfbzSRsorvtr28Ewdt8fM+ZLwfbiit1oXGsYTpRIIhL&#10;ZxquNBz2m5cMRIjIBlvHpOGXAiwXo6c55sb1vKXrLlYihXDIUUMdo8+lDGVNFsPEeeLEnV1nMSbY&#10;VdJ02Kdw28pXpd6kxYZTQ42eVjWVP7uL1XBasy82vSzPfyv/9V1k7eflcNT6eTx8vIOINMSH+O4u&#10;TJqfKTWD2zvpBrn4BwAA//8DAFBLAQItABQABgAIAAAAIQDb4fbL7gAAAIUBAAATAAAAAAAAAAAA&#10;AAAAAAAAAABbQ29udGVudF9UeXBlc10ueG1sUEsBAi0AFAAGAAgAAAAhAFr0LFu/AAAAFQEAAAsA&#10;AAAAAAAAAAAAAAAAHwEAAF9yZWxzLy5yZWxzUEsBAi0AFAAGAAgAAAAhALP52o7EAAAA3gAAAA8A&#10;AAAAAAAAAAAAAAAABwIAAGRycy9kb3ducmV2LnhtbFBLBQYAAAAAAwADALcAAAD4AgAAAAA=&#10;" filled="f" stroked="f">
                  <v:textbox inset="0,0,0,0">
                    <w:txbxContent>
                      <w:p w14:paraId="4D395C53" w14:textId="77777777" w:rsidR="00B32EF2" w:rsidRDefault="00000000">
                        <w:r>
                          <w:rPr>
                            <w:rFonts w:ascii="Arial" w:eastAsia="Arial" w:hAnsi="Arial" w:cs="Arial"/>
                            <w:sz w:val="18"/>
                          </w:rPr>
                          <w:t>-</w:t>
                        </w:r>
                      </w:p>
                    </w:txbxContent>
                  </v:textbox>
                </v:rect>
                <v:rect id="Rectangle 18010" o:spid="_x0000_s3609" style="position:absolute;left:9490;top:42717;width:304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uXOxwAAAN4AAAAPAAAAZHJzL2Rvd25yZXYueG1sRI9Bb8Iw&#10;DIXvSPsPkSftRlN2QFVHQBMTWg9cYCDtaDWm7dY4URNox6+fD5N2s+Xn99632kyuVzcaYufZwCLL&#10;QRHX3nbcGDh97OYFqJiQLfaeycAPRdisH2YrLK0f+UC3Y2qUmHAs0UCbUii1jnVLDmPmA7HcLn5w&#10;mGQdGm0HHMXc9fo5z5faYceS0GKgbUv19/HqDHy+cah2o64v923Yf1VF/349nY15epxeX0AlmtK/&#10;+O+7slK/yBcCIDgyg17/AgAA//8DAFBLAQItABQABgAIAAAAIQDb4fbL7gAAAIUBAAATAAAAAAAA&#10;AAAAAAAAAAAAAABbQ29udGVudF9UeXBlc10ueG1sUEsBAi0AFAAGAAgAAAAhAFr0LFu/AAAAFQEA&#10;AAsAAAAAAAAAAAAAAAAAHwEAAF9yZWxzLy5yZWxzUEsBAi0AFAAGAAgAAAAhAKca5c7HAAAA3gAA&#10;AA8AAAAAAAAAAAAAAAAABwIAAGRycy9kb3ducmV2LnhtbFBLBQYAAAAAAwADALcAAAD7AgAAAAA=&#10;" filled="f" stroked="f">
                  <v:textbox inset="0,0,0,0">
                    <w:txbxContent>
                      <w:p w14:paraId="516A5740" w14:textId="77777777" w:rsidR="00B32EF2" w:rsidRDefault="00000000">
                        <w:r>
                          <w:rPr>
                            <w:rFonts w:ascii="Arial" w:eastAsia="Arial" w:hAnsi="Arial" w:cs="Arial"/>
                            <w:sz w:val="18"/>
                          </w:rPr>
                          <w:t xml:space="preserve">dente, dispone la cancellazione dell’ipoteca; </w:t>
                        </w:r>
                      </w:p>
                    </w:txbxContent>
                  </v:textbox>
                </v:rect>
                <v:rect id="Rectangle 18011" o:spid="_x0000_s3610" style="position:absolute;left:-13169;top:4148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kBVxAAAAN4AAAAPAAAAZHJzL2Rvd25yZXYueG1sRE9Na8JA&#10;EL0L/odlCt7MJj1ISF1FLGIOvWgVPA7ZMUnNzi7Z1aT99W6h0Ns83ucs16PpxIN631pWkCUpCOLK&#10;6pZrBafP3TwH4QOyxs4yKfgmD+vVdLLEQtuBD/Q4hlrEEPYFKmhCcIWUvmrIoE+sI47c1fYGQ4R9&#10;LXWPQww3nXxN04U02HJsaNDRtqHqdrwbBZd3duVukNX1Z+s+vsq8299PZ6VmL+PmDUSgMfyL/9yl&#10;jvPzNMvg9514g1w9AQAA//8DAFBLAQItABQABgAIAAAAIQDb4fbL7gAAAIUBAAATAAAAAAAAAAAA&#10;AAAAAAAAAABbQ29udGVudF9UeXBlc10ueG1sUEsBAi0AFAAGAAgAAAAhAFr0LFu/AAAAFQEAAAsA&#10;AAAAAAAAAAAAAAAAHwEAAF9yZWxzLy5yZWxzUEsBAi0AFAAGAAgAAAAhAMhWQFXEAAAA3gAAAA8A&#10;AAAAAAAAAAAAAAAABwIAAGRycy9kb3ducmV2LnhtbFBLBQYAAAAAAwADALcAAAD4AgAAAAA=&#10;" filled="f" stroked="f">
                  <v:textbox inset="0,0,0,0">
                    <w:txbxContent>
                      <w:p w14:paraId="1DDF09BB" w14:textId="77777777" w:rsidR="00B32EF2" w:rsidRDefault="00000000">
                        <w:r>
                          <w:rPr>
                            <w:rFonts w:ascii="Arial" w:eastAsia="Arial" w:hAnsi="Arial" w:cs="Arial"/>
                            <w:sz w:val="18"/>
                          </w:rPr>
                          <w:t xml:space="preserve">c) a seguito della sentenza, anche non passata in giudicato, che accoglie il </w:t>
                        </w:r>
                      </w:p>
                    </w:txbxContent>
                  </v:textbox>
                </v:rect>
                <v:rect id="Rectangle 18012" o:spid="_x0000_s3611" style="position:absolute;left:-13169;top:40253;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N4iwwAAAN4AAAAPAAAAZHJzL2Rvd25yZXYueG1sRE9Ni8Iw&#10;EL0L+x/CLHjTVA9SukYRRezBi67CHodmbKvNJDTRdvfXG0HY2zze58yXvWnEg1pfW1YwGScgiAur&#10;ay4VnL63oxSED8gaG8uk4Jc8LBcfgzlm2nZ8oMcxlCKGsM9QQRWCy6T0RUUG/dg64shdbGswRNiW&#10;UrfYxXDTyGmSzKTBmmNDhY7WFRW3490o+Nmwy7edLC5/a7e/5mmzu5/OSg0/+9UXiEB9+Be/3bmO&#10;89NkMoXXO/EGuXgCAAD//wMAUEsBAi0AFAAGAAgAAAAhANvh9svuAAAAhQEAABMAAAAAAAAAAAAA&#10;AAAAAAAAAFtDb250ZW50X1R5cGVzXS54bWxQSwECLQAUAAYACAAAACEAWvQsW78AAAAVAQAACwAA&#10;AAAAAAAAAAAAAAAfAQAAX3JlbHMvLnJlbHNQSwECLQAUAAYACAAAACEAOITeIsMAAADeAAAADwAA&#10;AAAAAAAAAAAAAAAHAgAAZHJzL2Rvd25yZXYueG1sUEsFBgAAAAADAAMAtwAAAPcCAAAAAA==&#10;" filled="f" stroked="f">
                  <v:textbox inset="0,0,0,0">
                    <w:txbxContent>
                      <w:p w14:paraId="5965D0B6" w14:textId="77777777" w:rsidR="00B32EF2" w:rsidRDefault="00000000">
                        <w:r>
                          <w:rPr>
                            <w:rFonts w:ascii="Arial" w:eastAsia="Arial" w:hAnsi="Arial" w:cs="Arial"/>
                            <w:sz w:val="18"/>
                          </w:rPr>
                          <w:t xml:space="preserve">ricorso avverso gli atti di cui alla lettera b). La sentenza costituisce titolo per </w:t>
                        </w:r>
                      </w:p>
                    </w:txbxContent>
                  </v:textbox>
                </v:rect>
                <v:rect id="Rectangle 18013" o:spid="_x0000_s3612" style="position:absolute;left:-13169;top:3902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Hu5xAAAAN4AAAAPAAAAZHJzL2Rvd25yZXYueG1sRE9Na8JA&#10;EL0L/odlhN50o4USUlcRRcyhl9oIPQ7ZMYlmZ5fsalJ/vVso9DaP9znL9WBacafON5YVzGcJCOLS&#10;6oYrBcXXfpqC8AFZY2uZFPyQh/VqPFpipm3Pn3Q/hkrEEPYZKqhDcJmUvqzJoJ9ZRxy5s+0Mhgi7&#10;SuoO+xhuWrlIkjdpsOHYUKOjbU3l9XgzCr537PJ9L8vzY+s+LnnaHm7FSamXybB5BxFoCP/iP3eu&#10;4/w0mb/C7zvxBrl6AgAA//8DAFBLAQItABQABgAIAAAAIQDb4fbL7gAAAIUBAAATAAAAAAAAAAAA&#10;AAAAAAAAAABbQ29udGVudF9UeXBlc10ueG1sUEsBAi0AFAAGAAgAAAAhAFr0LFu/AAAAFQEAAAsA&#10;AAAAAAAAAAAAAAAAHwEAAF9yZWxzLy5yZWxzUEsBAi0AFAAGAAgAAAAhAFfIe7nEAAAA3gAAAA8A&#10;AAAAAAAAAAAAAAAABwIAAGRycy9kb3ducmV2LnhtbFBLBQYAAAAAAwADALcAAAD4AgAAAAA=&#10;" filled="f" stroked="f">
                  <v:textbox inset="0,0,0,0">
                    <w:txbxContent>
                      <w:p w14:paraId="7B3AC084" w14:textId="77777777" w:rsidR="00B32EF2" w:rsidRDefault="00000000">
                        <w:r>
                          <w:rPr>
                            <w:rFonts w:ascii="Arial" w:eastAsia="Arial" w:hAnsi="Arial" w:cs="Arial"/>
                            <w:sz w:val="18"/>
                          </w:rPr>
                          <w:t xml:space="preserve">la cancellazione dell’ipoteca. In caso di accoglimento parziale, su istanza di </w:t>
                        </w:r>
                      </w:p>
                    </w:txbxContent>
                  </v:textbox>
                </v:rect>
                <v:rect id="Rectangle 18014" o:spid="_x0000_s3613" style="position:absolute;left:-12202;top:37788;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ePNxAAAAN4AAAAPAAAAZHJzL2Rvd25yZXYueG1sRE9Na8JA&#10;EL0L/odlhN50o5QSUlcRRcyhl9oIPQ7ZMYlmZ5fsalJ/vVso9DaP9znL9WBacafON5YVzGcJCOLS&#10;6oYrBcXXfpqC8AFZY2uZFPyQh/VqPFpipm3Pn3Q/hkrEEPYZKqhDcJmUvqzJoJ9ZRxy5s+0Mhgi7&#10;SuoO+xhuWrlIkjdpsOHYUKOjbU3l9XgzCr537PJ9L8vzY+s+LnnaHm7FSamXybB5BxFoCP/iP3eu&#10;4/w0mb/C7zvxBrl6AgAA//8DAFBLAQItABQABgAIAAAAIQDb4fbL7gAAAIUBAAATAAAAAAAAAAAA&#10;AAAAAAAAAABbQ29udGVudF9UeXBlc10ueG1sUEsBAi0AFAAGAAgAAAAhAFr0LFu/AAAAFQEAAAsA&#10;AAAAAAAAAAAAAAAAHwEAAF9yZWxzLy5yZWxzUEsBAi0AFAAGAAgAAAAhANgh483EAAAA3gAAAA8A&#10;AAAAAAAAAAAAAAAABwIAAGRycy9kb3ducmV2LnhtbFBLBQYAAAAAAwADALcAAAD4AgAAAAA=&#10;" filled="f" stroked="f">
                  <v:textbox inset="0,0,0,0">
                    <w:txbxContent>
                      <w:p w14:paraId="3144DE0B" w14:textId="77777777" w:rsidR="00B32EF2" w:rsidRDefault="00000000">
                        <w:r>
                          <w:rPr>
                            <w:rFonts w:ascii="Arial" w:eastAsia="Arial" w:hAnsi="Arial" w:cs="Arial"/>
                            <w:sz w:val="18"/>
                          </w:rPr>
                          <w:t>parte, il giudice che ha pronunciato la sentenza riduce proporzionalmente l’en</w:t>
                        </w:r>
                      </w:p>
                    </w:txbxContent>
                  </v:textbox>
                </v:rect>
                <v:rect id="Rectangle 18015" o:spid="_x0000_s3614" style="position:absolute;left:195;top:3778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UZWxAAAAN4AAAAPAAAAZHJzL2Rvd25yZXYueG1sRE9Na8JA&#10;EL0L/odlhN50o9ASUlcRRcyhl9oIPQ7ZMYlmZ5fsalJ/vVso9DaP9znL9WBacafON5YVzGcJCOLS&#10;6oYrBcXXfpqC8AFZY2uZFPyQh/VqPFpipm3Pn3Q/hkrEEPYZKqhDcJmUvqzJoJ9ZRxy5s+0Mhgi7&#10;SuoO+xhuWrlIkjdpsOHYUKOjbU3l9XgzCr537PJ9L8vzY+s+LnnaHm7FSamXybB5BxFoCP/iP3eu&#10;4/w0mb/C7zvxBrl6AgAA//8DAFBLAQItABQABgAIAAAAIQDb4fbL7gAAAIUBAAATAAAAAAAAAAAA&#10;AAAAAAAAAABbQ29udGVudF9UeXBlc10ueG1sUEsBAi0AFAAGAAgAAAAhAFr0LFu/AAAAFQEAAAsA&#10;AAAAAAAAAAAAAAAAHwEAAF9yZWxzLy5yZWxzUEsBAi0AFAAGAAgAAAAhALdtRlbEAAAA3gAAAA8A&#10;AAAAAAAAAAAAAAAABwIAAGRycy9kb3ducmV2LnhtbFBLBQYAAAAAAwADALcAAAD4AgAAAAA=&#10;" filled="f" stroked="f">
                  <v:textbox inset="0,0,0,0">
                    <w:txbxContent>
                      <w:p w14:paraId="3C9A1311" w14:textId="77777777" w:rsidR="00B32EF2" w:rsidRDefault="00000000">
                        <w:r>
                          <w:rPr>
                            <w:rFonts w:ascii="Arial" w:eastAsia="Arial" w:hAnsi="Arial" w:cs="Arial"/>
                            <w:sz w:val="18"/>
                          </w:rPr>
                          <w:t>-</w:t>
                        </w:r>
                      </w:p>
                    </w:txbxContent>
                  </v:textbox>
                </v:rect>
                <v:rect id="Rectangle 18016" o:spid="_x0000_s3615" style="position:absolute;left:-13170;top:36556;width:530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9ghwwAAAN4AAAAPAAAAZHJzL2Rvd25yZXYueG1sRE9Ni8Iw&#10;EL0L+x/CLOxNUz1I6RpFFLGHvegq7HFoxrbaTEITbfXXG0HY2zze58wWvWnEjVpfW1YwHiUgiAur&#10;ay4VHH43wxSED8gaG8uk4E4eFvOPwQwzbTve0W0fShFD2GeooArBZVL6oiKDfmQdceROtjUYImxL&#10;qVvsYrhp5CRJptJgzbGhQkeriorL/moU/K3Z5ZtOFqfHyv2c87TZXg9Hpb4+++U3iEB9+Be/3bmO&#10;89NkPIXXO/EGOX8CAAD//wMAUEsBAi0AFAAGAAgAAAAhANvh9svuAAAAhQEAABMAAAAAAAAAAAAA&#10;AAAAAAAAAFtDb250ZW50X1R5cGVzXS54bWxQSwECLQAUAAYACAAAACEAWvQsW78AAAAVAQAACwAA&#10;AAAAAAAAAAAAAAAfAQAAX3JlbHMvLnJlbHNQSwECLQAUAAYACAAAACEAR7/YIcMAAADeAAAADwAA&#10;AAAAAAAAAAAAAAAHAgAAZHJzL2Rvd25yZXYueG1sUEsFBgAAAAADAAMAtwAAAPcCAAAAAA==&#10;" filled="f" stroked="f">
                  <v:textbox inset="0,0,0,0">
                    <w:txbxContent>
                      <w:p w14:paraId="379BE8BA" w14:textId="77777777" w:rsidR="00B32EF2" w:rsidRDefault="00000000">
                        <w:r>
                          <w:rPr>
                            <w:rFonts w:ascii="Arial" w:eastAsia="Arial" w:hAnsi="Arial" w:cs="Arial"/>
                            <w:sz w:val="18"/>
                          </w:rPr>
                          <w:t xml:space="preserve">tità dell’iscrizione o del sequestro; se la sentenza è pronunciata dalla Corte di </w:t>
                        </w:r>
                      </w:p>
                    </w:txbxContent>
                  </v:textbox>
                </v:rect>
                <v:rect id="Rectangle 18017" o:spid="_x0000_s3616" style="position:absolute;left:-13173;top:35324;width:530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326xAAAAN4AAAAPAAAAZHJzL2Rvd25yZXYueG1sRE9Na8JA&#10;EL0L/odlhN50o4c2pK4iiphDL7URehyyYxLNzi7Z1aT+erdQ6G0e73OW68G04k6dbywrmM8SEMSl&#10;1Q1XCoqv/TQF4QOyxtYyKfghD+vVeLTETNueP+l+DJWIIewzVFCH4DIpfVmTQT+zjjhyZ9sZDBF2&#10;ldQd9jHctHKRJK/SYMOxoUZH25rK6/FmFHzv2OX7Xpbnx9Z9XPK0PdyKk1Ivk2HzDiLQEP7Ff+5c&#10;x/lpMn+D33fiDXL1BAAA//8DAFBLAQItABQABgAIAAAAIQDb4fbL7gAAAIUBAAATAAAAAAAAAAAA&#10;AAAAAAAAAABbQ29udGVudF9UeXBlc10ueG1sUEsBAi0AFAAGAAgAAAAhAFr0LFu/AAAAFQEAAAsA&#10;AAAAAAAAAAAAAAAAHwEAAF9yZWxzLy5yZWxzUEsBAi0AFAAGAAgAAAAhACjzfbrEAAAA3gAAAA8A&#10;AAAAAAAAAAAAAAAABwIAAGRycy9kb3ducmV2LnhtbFBLBQYAAAAAAwADALcAAAD4AgAAAAA=&#10;" filled="f" stroked="f">
                  <v:textbox inset="0,0,0,0">
                    <w:txbxContent>
                      <w:p w14:paraId="5C8E132A" w14:textId="77777777" w:rsidR="00B32EF2" w:rsidRDefault="00000000">
                        <w:r>
                          <w:rPr>
                            <w:rFonts w:ascii="Arial" w:eastAsia="Arial" w:hAnsi="Arial" w:cs="Arial"/>
                            <w:sz w:val="18"/>
                          </w:rPr>
                          <w:t xml:space="preserve">cassazione, provvede il giudice la cui sentenza è stata impugnata con ricorso </w:t>
                        </w:r>
                      </w:p>
                    </w:txbxContent>
                  </v:textbox>
                </v:rect>
                <v:rect id="Rectangle 18018" o:spid="_x0000_s3617" style="position:absolute;left:29109;top:34092;width:108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OnIxwAAAN4AAAAPAAAAZHJzL2Rvd25yZXYueG1sRI9Bb8Iw&#10;DIXvSPsPkSftRlN2QFVHQBMTWg9cYCDtaDWm7dY4URNox6+fD5N2s/We3/u82kyuVzcaYufZwCLL&#10;QRHX3nbcGDh97OYFqJiQLfaeycAPRdisH2YrLK0f+UC3Y2qUhHAs0UCbUii1jnVLDmPmA7FoFz84&#10;TLIOjbYDjhLuev2c50vtsGNpaDHQtqX6+3h1Bj7fOFS7UdeX+zbsv6qif7+ezsY8PU6vL6ASTenf&#10;/HddWcEv8oXwyjsyg17/AgAA//8DAFBLAQItABQABgAIAAAAIQDb4fbL7gAAAIUBAAATAAAAAAAA&#10;AAAAAAAAAAAAAABbQ29udGVudF9UeXBlc10ueG1sUEsBAi0AFAAGAAgAAAAhAFr0LFu/AAAAFQEA&#10;AAsAAAAAAAAAAAAAAAAAHwEAAF9yZWxzLy5yZWxzUEsBAi0AFAAGAAgAAAAhAFls6cjHAAAA3gAA&#10;AA8AAAAAAAAAAAAAAAAABwIAAGRycy9kb3ducmV2LnhtbFBLBQYAAAAAAwADALcAAAD7AgAAAAA=&#10;" filled="f" stroked="f">
                  <v:textbox inset="0,0,0,0">
                    <w:txbxContent>
                      <w:p w14:paraId="08024B22" w14:textId="77777777" w:rsidR="00B32EF2" w:rsidRDefault="00000000">
                        <w:r>
                          <w:rPr>
                            <w:rFonts w:ascii="Arial" w:eastAsia="Arial" w:hAnsi="Arial" w:cs="Arial"/>
                            <w:sz w:val="18"/>
                          </w:rPr>
                          <w:t>per cassazione.</w:t>
                        </w:r>
                      </w:p>
                    </w:txbxContent>
                  </v:textbox>
                </v:rect>
                <v:shape id="Shape 207916" o:spid="_x0000_s3618" style="position:absolute;left:320;top:4372;width:39600;height:29753;visibility:visible;mso-wrap-style:square;v-text-anchor:top" coordsize="3960000,297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2M4xgAAAN8AAAAPAAAAZHJzL2Rvd25yZXYueG1sRI/RisIw&#10;FETfBf8h3IV906SCrts1igiCD7qg3Q+4NNe22NyUJtb27zeC4OMwM2eY1aa3teio9ZVjDclUgSDO&#10;nam40PCX7SdLED4gG6wdk4aBPGzW49EKU+MefKbuEgoRIexT1FCG0KRS+rwki37qGuLoXV1rMUTZ&#10;FtK0+IhwW8uZUgtpseK4UGJDu5Ly2+VuNVyTLEtuv+q4PZ27ec1uOO4Pg9afH/32B0SgPrzDr/bB&#10;aJipr+9kAc8/8QvI9T8AAAD//wMAUEsBAi0AFAAGAAgAAAAhANvh9svuAAAAhQEAABMAAAAAAAAA&#10;AAAAAAAAAAAAAFtDb250ZW50X1R5cGVzXS54bWxQSwECLQAUAAYACAAAACEAWvQsW78AAAAVAQAA&#10;CwAAAAAAAAAAAAAAAAAfAQAAX3JlbHMvLnJlbHNQSwECLQAUAAYACAAAACEAU5NjOMYAAADfAAAA&#10;DwAAAAAAAAAAAAAAAAAHAgAAZHJzL2Rvd25yZXYueG1sUEsFBgAAAAADAAMAtwAAAPoCAAAAAA==&#10;" path="m,l3960000,r,2975305l,2975305,,e" fillcolor="#c3c3c3" stroked="f" strokeweight="0">
                  <v:stroke miterlimit="83231f" joinstyle="miter"/>
                  <v:path arrowok="t" textboxrect="0,0,3960000,2975305"/>
                </v:shape>
                <v:rect id="Rectangle 18020" o:spid="_x0000_s3619" style="position:absolute;left:23569;top:31912;width:155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i9zxwAAAN4AAAAPAAAAZHJzL2Rvd25yZXYueG1sRI9Pa8Mw&#10;DMXvg30Ho8Juq9MeRsjqltFRlsMu/Qc7ilhN0sayid0m66efDoPeJPT03vstVqPr1I362Ho2MJtm&#10;oIgrb1uuDRz2m9ccVEzIFjvPZOCXIqyWz08LLKwfeEu3XaqVmHAs0ECTUii0jlVDDuPUB2K5nXzv&#10;MMna19r2OIi56/Q8y960w5YlocFA64aqy+7qDPx8cig3g65O93X4Ppd593U9HI15mYwf76ASjekh&#10;/v8urdTPs7kACI7MoJd/AAAA//8DAFBLAQItABQABgAIAAAAIQDb4fbL7gAAAIUBAAATAAAAAAAA&#10;AAAAAAAAAAAAAABbQ29udGVudF9UeXBlc10ueG1sUEsBAi0AFAAGAAgAAAAhAFr0LFu/AAAAFQEA&#10;AAsAAAAAAAAAAAAAAAAAHwEAAF9yZWxzLy5yZWxzUEsBAi0AFAAGAAgAAAAhAGl2L3PHAAAA3gAA&#10;AA8AAAAAAAAAAAAAAAAABwIAAGRycy9kb3ducmV2LnhtbFBLBQYAAAAAAwADALcAAAD7AgAAAAA=&#10;" filled="f" stroked="f">
                  <v:textbox inset="0,0,0,0">
                    <w:txbxContent>
                      <w:p w14:paraId="054774D0" w14:textId="77777777" w:rsidR="00B32EF2" w:rsidRDefault="00000000">
                        <w:r>
                          <w:rPr>
                            <w:rFonts w:ascii="Arial" w:eastAsia="Arial" w:hAnsi="Arial" w:cs="Arial"/>
                            <w:b/>
                            <w:i/>
                            <w:sz w:val="18"/>
                          </w:rPr>
                          <w:t>NORME COLLEGATE</w:t>
                        </w:r>
                      </w:p>
                    </w:txbxContent>
                  </v:textbox>
                </v:rect>
                <v:rect id="Rectangle 18021" o:spid="_x0000_s3620" style="position:absolute;left:11847;top:30679;width:272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orowwAAAN4AAAAPAAAAZHJzL2Rvd25yZXYueG1sRE9Ni8Iw&#10;EL0L+x/CLHjTVA9SukYRRezBi67CHodmbKvNJDTRdvfXG0HY2zze58yXvWnEg1pfW1YwGScgiAur&#10;ay4VnL63oxSED8gaG8uk4Jc8LBcfgzlm2nZ8oMcxlCKGsM9QQRWCy6T0RUUG/dg64shdbGswRNiW&#10;UrfYxXDTyGmSzKTBmmNDhY7WFRW3490o+Nmwy7edLC5/a7e/5mmzu5/OSg0/+9UXiEB9+Be/3bmO&#10;89NkOoHXO/EGuXgCAAD//wMAUEsBAi0AFAAGAAgAAAAhANvh9svuAAAAhQEAABMAAAAAAAAAAAAA&#10;AAAAAAAAAFtDb250ZW50X1R5cGVzXS54bWxQSwECLQAUAAYACAAAACEAWvQsW78AAAAVAQAACwAA&#10;AAAAAAAAAAAAAAAfAQAAX3JlbHMvLnJlbHNQSwECLQAUAAYACAAAACEABjqK6MMAAADeAAAADwAA&#10;AAAAAAAAAAAAAAAHAgAAZHJzL2Rvd25yZXYueG1sUEsFBgAAAAADAAMAtwAAAPcCAAAAAA==&#10;" filled="f" stroked="f">
                  <v:textbox inset="0,0,0,0">
                    <w:txbxContent>
                      <w:p w14:paraId="6D7D77D2" w14:textId="77777777" w:rsidR="00B32EF2" w:rsidRDefault="00000000">
                        <w:r>
                          <w:rPr>
                            <w:rFonts w:ascii="Arial" w:eastAsia="Arial" w:hAnsi="Arial" w:cs="Arial"/>
                            <w:i/>
                            <w:sz w:val="18"/>
                          </w:rPr>
                          <w:t>art. 32 dpr. n. 600/73 “Poteri degli uffici”</w:t>
                        </w:r>
                      </w:p>
                    </w:txbxContent>
                  </v:textbox>
                </v:rect>
                <v:rect id="Rectangle 200813" o:spid="_x0000_s3621" style="position:absolute;left:26843;top:29446;width:4698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5DuxwAAAN8AAAAPAAAAZHJzL2Rvd25yZXYueG1sRI9Pa8JA&#10;FMTvBb/D8oTe6sYWJKRuRBRpDl60Cj0+si9/NPt2ya4m9tN3C4Ueh5n5DbNcjaYTd+p9a1nBfJaA&#10;IC6tbrlWcPrcvaQgfEDW2FkmBQ/ysMonT0vMtB34QPdjqEWEsM9QQROCy6T0ZUMG/cw64uhVtjcY&#10;ouxrqXscItx08jVJFtJgy3GhQUebhsrr8WYUfG3ZFbtBltX3xu0vRdp93E5npZ6n4/odRKAx/If/&#10;2oVWEInp/A1+/8QvIPMfAAAA//8DAFBLAQItABQABgAIAAAAIQDb4fbL7gAAAIUBAAATAAAAAAAA&#10;AAAAAAAAAAAAAABbQ29udGVudF9UeXBlc10ueG1sUEsBAi0AFAAGAAgAAAAhAFr0LFu/AAAAFQEA&#10;AAsAAAAAAAAAAAAAAAAAHwEAAF9yZWxzLy5yZWxzUEsBAi0AFAAGAAgAAAAhABx7kO7HAAAA3wAA&#10;AA8AAAAAAAAAAAAAAAAABwIAAGRycy9kb3ducmV2LnhtbFBLBQYAAAAAAwADALcAAAD7AgAAAAA=&#10;" filled="f" stroked="f">
                  <v:textbox inset="0,0,0,0">
                    <w:txbxContent>
                      <w:p w14:paraId="74C28289" w14:textId="77777777" w:rsidR="00B32EF2" w:rsidRDefault="00000000">
                        <w:r>
                          <w:rPr>
                            <w:rFonts w:ascii="Arial" w:eastAsia="Arial" w:hAnsi="Arial" w:cs="Arial"/>
                            <w:i/>
                            <w:sz w:val="18"/>
                          </w:rPr>
                          <w:t>1</w:t>
                        </w:r>
                      </w:p>
                    </w:txbxContent>
                  </v:textbox>
                </v:rect>
                <v:rect id="Rectangle 200815" o:spid="_x0000_s3622" style="position:absolute;left:-8147;top:29446;width:4698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q0BxwAAAN8AAAAPAAAAZHJzL2Rvd25yZXYueG1sRI9Pa8JA&#10;FMTvBb/D8oTe6sZCJaRuRBRpDl60Cj0+si9/NPt2ya4m9tN3C4Ueh5n5DbNcjaYTd+p9a1nBfJaA&#10;IC6tbrlWcPrcvaQgfEDW2FkmBQ/ysMonT0vMtB34QPdjqEWEsM9QQROCy6T0ZUMG/cw64uhVtjcY&#10;ouxrqXscItx08jVJFtJgy3GhQUebhsrr8WYUfG3ZFbtBltX3xu0vRdp93E5npZ6n4/odRKAx/If/&#10;2oVWEInp/A1+/8QvIPMfAAAA//8DAFBLAQItABQABgAIAAAAIQDb4fbL7gAAAIUBAAATAAAAAAAA&#10;AAAAAAAAAAAAAABbQ29udGVudF9UeXBlc10ueG1sUEsBAi0AFAAGAAgAAAAhAFr0LFu/AAAAFQEA&#10;AAsAAAAAAAAAAAAAAAAAHwEAAF9yZWxzLy5yZWxzUEsBAi0AFAAGAAgAAAAhAPzerQHHAAAA3wAA&#10;AA8AAAAAAAAAAAAAAAAABwIAAGRycy9kb3ducmV2LnhtbFBLBQYAAAAAAwADALcAAAD7AgAAAAA=&#10;" filled="f" stroked="f">
                  <v:textbox inset="0,0,0,0">
                    <w:txbxContent>
                      <w:p w14:paraId="342235EC" w14:textId="77777777" w:rsidR="00B32EF2" w:rsidRDefault="00000000">
                        <w:r>
                          <w:rPr>
                            <w:rFonts w:ascii="Arial" w:eastAsia="Arial" w:hAnsi="Arial" w:cs="Arial"/>
                            <w:i/>
                            <w:sz w:val="18"/>
                          </w:rPr>
                          <w:t>. Per l’adempimento dei loro compiti gli uffici delle imposte possono</w:t>
                        </w:r>
                      </w:p>
                    </w:txbxContent>
                  </v:textbox>
                </v:rect>
                <v:rect id="Rectangle 200814" o:spid="_x0000_s3623" style="position:absolute;left:-42862;top:29446;width:4698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giaxwAAAN8AAAAPAAAAZHJzL2Rvd25yZXYueG1sRI9Pa8JA&#10;FMTvBb/D8oTe6sZSJKRuRBRpDl60Cj0+si9/NPt2ya4m9tN3C4Ueh5n5DbNcjaYTd+p9a1nBfJaA&#10;IC6tbrlWcPrcvaQgfEDW2FkmBQ/ysMonT0vMtB34QPdjqEWEsM9QQROCy6T0ZUMG/cw64uhVtjcY&#10;ouxrqXscItx08jVJFtJgy3GhQUebhsrr8WYUfG3ZFbtBltX3xu0vRdp93E5npZ6n4/odRKAx/If/&#10;2oVWEInp/A1+/8QvIPMfAAAA//8DAFBLAQItABQABgAIAAAAIQDb4fbL7gAAAIUBAAATAAAAAAAA&#10;AAAAAAAAAAAAAABbQ29udGVudF9UeXBlc10ueG1sUEsBAi0AFAAGAAgAAAAhAFr0LFu/AAAAFQEA&#10;AAsAAAAAAAAAAAAAAAAAHwEAAF9yZWxzLy5yZWxzUEsBAi0AFAAGAAgAAAAhAJOSCJrHAAAA3wAA&#10;AA8AAAAAAAAAAAAAAAAABwIAAGRycy9kb3ducmV2LnhtbFBLBQYAAAAAAwADALcAAAD7AgAAAAA=&#10;" filled="f" stroked="f">
                  <v:textbox inset="0,0,0,0">
                    <w:txbxContent>
                      <w:p w14:paraId="5AD0FEFC" w14:textId="77777777" w:rsidR="00B32EF2" w:rsidRDefault="00000000">
                        <w:r>
                          <w:rPr>
                            <w:rFonts w:ascii="Arial" w:eastAsia="Arial" w:hAnsi="Arial" w:cs="Arial"/>
                            <w:i/>
                            <w:sz w:val="18"/>
                          </w:rPr>
                          <w:t>:</w:t>
                        </w:r>
                      </w:p>
                    </w:txbxContent>
                  </v:textbox>
                </v:rect>
                <v:rect id="Rectangle 200811" o:spid="_x0000_s3624" style="position:absolute;left:25512;top:28212;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asCxgAAAN8AAAAPAAAAZHJzL2Rvd25yZXYueG1sRI9Ba8JA&#10;FITvBf/D8gRvdRMPEqKriCLm4KXWQo+P7DOJZt8u2dWk/fVdQehxmJlvmOV6MK14UOcbywrSaQKC&#10;uLS64UrB+XP/noHwAVlja5kU/JCH9Wr0tsRc254/6HEKlYgQ9jkqqENwuZS+rMmgn1pHHL2L7QyG&#10;KLtK6g77CDetnCXJXBpsOC7U6GhbU3k73Y2C7x27Yt/L8vK7dcdrkbWH+/lLqcl42CxABBrCf/jV&#10;LrSCSMzSFJ5/4heQqz8AAAD//wMAUEsBAi0AFAAGAAgAAAAhANvh9svuAAAAhQEAABMAAAAAAAAA&#10;AAAAAAAAAAAAAFtDb250ZW50X1R5cGVzXS54bWxQSwECLQAUAAYACAAAACEAWvQsW78AAAAVAQAA&#10;CwAAAAAAAAAAAAAAAAAfAQAAX3JlbHMvLnJlbHNQSwECLQAUAAYACAAAACEAg+WrAsYAAADfAAAA&#10;DwAAAAAAAAAAAAAAAAAHAgAAZHJzL2Rvd25yZXYueG1sUEsFBgAAAAADAAMAtwAAAPoCAAAAAA==&#10;" filled="f" stroked="f">
                  <v:textbox inset="0,0,0,0">
                    <w:txbxContent>
                      <w:p w14:paraId="1C1F367E" w14:textId="77777777" w:rsidR="00B32EF2" w:rsidRDefault="00000000">
                        <w:r>
                          <w:rPr>
                            <w:rFonts w:ascii="Arial" w:eastAsia="Arial" w:hAnsi="Arial" w:cs="Arial"/>
                            <w:i/>
                            <w:sz w:val="18"/>
                          </w:rPr>
                          <w:t>1)</w:t>
                        </w:r>
                      </w:p>
                    </w:txbxContent>
                  </v:textbox>
                </v:rect>
                <v:rect id="Rectangle 200812" o:spid="_x0000_s3625" style="position:absolute;left:-12838;top:28212;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zV1xgAAAN8AAAAPAAAAZHJzL2Rvd25yZXYueG1sRI9Pi8Iw&#10;FMTvC36H8IS9rakellKNIorYg5f1D3h8NM+22ryEJtrqp98sLHgcZuY3zGzRm0Y8qPW1ZQXjUQKC&#10;uLC65lLB8bD5SkH4gKyxsUwKnuRhMR98zDDTtuMfeuxDKSKEfYYKqhBcJqUvKjLoR9YRR+9iW4Mh&#10;yraUusUuwk0jJ0nyLQ3WHBcqdLSqqLjt70bBec0u33SyuLxWbnfN02Z7P56U+hz2yymIQH14h//b&#10;uVYQiel4An9/4heQ818AAAD//wMAUEsBAi0AFAAGAAgAAAAhANvh9svuAAAAhQEAABMAAAAAAAAA&#10;AAAAAAAAAAAAAFtDb250ZW50X1R5cGVzXS54bWxQSwECLQAUAAYACAAAACEAWvQsW78AAAAVAQAA&#10;CwAAAAAAAAAAAAAAAAAfAQAAX3JlbHMvLnJlbHNQSwECLQAUAAYACAAAACEAczc1dcYAAADfAAAA&#10;DwAAAAAAAAAAAAAAAAAHAgAAZHJzL2Rvd25yZXYueG1sUEsFBgAAAAADAAMAtwAAAPoCAAAAAA==&#10;" filled="f" stroked="f">
                  <v:textbox inset="0,0,0,0">
                    <w:txbxContent>
                      <w:p w14:paraId="1051C150" w14:textId="77777777" w:rsidR="00B32EF2" w:rsidRDefault="00000000">
                        <w:r>
                          <w:rPr>
                            <w:rFonts w:ascii="Arial" w:eastAsia="Arial" w:hAnsi="Arial" w:cs="Arial"/>
                            <w:i/>
                            <w:sz w:val="18"/>
                          </w:rPr>
                          <w:t xml:space="preserve"> procedere all’esecuzione di accessi, ispezioni e verifiche a norma del </w:t>
                        </w:r>
                      </w:p>
                    </w:txbxContent>
                  </v:textbox>
                </v:rect>
                <v:rect id="Rectangle 18024" o:spid="_x0000_s3626" style="position:absolute;left:23566;top:26979;width:155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SlwxAAAAN4AAAAPAAAAZHJzL2Rvd25yZXYueG1sRE9La8JA&#10;EL4L/Q/LFHrTTaWUEN1IUcQceqkP8DhkJw/Nzi7Z1aT99d1Cwdt8fM9ZrkbTiTv1vrWs4HWWgCAu&#10;rW65VnA8bKcpCB+QNXaWScE3eVjlT5MlZtoO/EX3fahFDGGfoYImBJdJ6cuGDPqZdcSRq2xvMETY&#10;11L3OMRw08l5krxLgy3HhgYdrRsqr/ubUXDesCu2gyyrn7X7vBRpt7sdT0q9PI8fCxCBxvAQ/7sL&#10;HeenyfwN/t6JN8j8FwAA//8DAFBLAQItABQABgAIAAAAIQDb4fbL7gAAAIUBAAATAAAAAAAAAAAA&#10;AAAAAAAAAABbQ29udGVudF9UeXBlc10ueG1sUEsBAi0AFAAGAAgAAAAhAFr0LFu/AAAAFQEAAAsA&#10;AAAAAAAAAAAAAAAAHwEAAF9yZWxzLy5yZWxzUEsBAi0AFAAGAAgAAAAhABZNKXDEAAAA3gAAAA8A&#10;AAAAAAAAAAAAAAAABwIAAGRycy9kb3ducmV2LnhtbFBLBQYAAAAAAwADALcAAAD4AgAAAAA=&#10;" filled="f" stroked="f">
                  <v:textbox inset="0,0,0,0">
                    <w:txbxContent>
                      <w:p w14:paraId="470C82A2" w14:textId="77777777" w:rsidR="00B32EF2" w:rsidRDefault="00000000">
                        <w:r>
                          <w:rPr>
                            <w:rFonts w:ascii="Arial" w:eastAsia="Arial" w:hAnsi="Arial" w:cs="Arial"/>
                            <w:i/>
                            <w:sz w:val="18"/>
                          </w:rPr>
                          <w:t>successivo articolo 33;</w:t>
                        </w:r>
                      </w:p>
                    </w:txbxContent>
                  </v:textbox>
                </v:rect>
                <v:rect id="Rectangle 200810" o:spid="_x0000_s3627" style="position:absolute;left:-12861;top:25746;width:509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Q6ZxgAAAN8AAAAPAAAAZHJzL2Rvd25yZXYueG1sRI9Ba8JA&#10;EIXvQv/DMoXezMYeJKSuUizSHLxoFXocsmOSNju7ZFeT+us7h0KPw5v3Pb7VZnK9utEQO88GFlkO&#10;irj2tuPGwOljNy9AxYRssfdMBn4owmb9MFthaf3IB7odU6MEwrFEA21KodQ61i05jJkPxJJd/OAw&#10;yTk02g44Ctz1+jnPl9phx7LQYqBtS/X38eoMfL5xqHajri/3bdh/VUX/fj2djXl6nF5fQCWa0v/z&#10;X7uyBoRYLMRAfMQF9PoXAAD//wMAUEsBAi0AFAAGAAgAAAAhANvh9svuAAAAhQEAABMAAAAAAAAA&#10;AAAAAAAAAAAAAFtDb250ZW50X1R5cGVzXS54bWxQSwECLQAUAAYACAAAACEAWvQsW78AAAAVAQAA&#10;CwAAAAAAAAAAAAAAAAAfAQAAX3JlbHMvLnJlbHNQSwECLQAUAAYACAAAACEA7KkOmcYAAADfAAAA&#10;DwAAAAAAAAAAAAAAAAAHAgAAZHJzL2Rvd25yZXYueG1sUEsFBgAAAAADAAMAtwAAAPoCAAAAAA==&#10;" filled="f" stroked="f">
                  <v:textbox inset="0,0,0,0">
                    <w:txbxContent>
                      <w:p w14:paraId="7E103FE2" w14:textId="77777777" w:rsidR="00B32EF2" w:rsidRDefault="00000000">
                        <w:r>
                          <w:rPr>
                            <w:rFonts w:ascii="Arial" w:eastAsia="Arial" w:hAnsi="Arial" w:cs="Arial"/>
                            <w:i/>
                            <w:sz w:val="18"/>
                          </w:rPr>
                          <w:t xml:space="preserve"> invitare i contribuenti, indicandone il motivo, a comparire di persona o per </w:t>
                        </w:r>
                      </w:p>
                    </w:txbxContent>
                  </v:textbox>
                </v:rect>
                <v:rect id="Rectangle 200808" o:spid="_x0000_s3628" style="position:absolute;left:25492;top:25746;width:509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pRCxwAAAN8AAAAPAAAAZHJzL2Rvd25yZXYueG1sRI9Nb8Iw&#10;DIbvk/YfIk/iNtLtgKqOgBATWg9c+Ji0o9WYtqNxoibQwq+fD5M4Wq/fx37my9F16kp9bD0beJtm&#10;oIgrb1uuDRwPm9ccVEzIFjvPZOBGEZaL56c5FtYPvKPrPtVKIBwLNNCkFAqtY9WQwzj1gViyk+8d&#10;Jhn7WtseB4G7Tr9n2Uw7bFkuNBho3VB13l+cgZ9PDuVm0NXpvg7b3zLvvi7Hb2MmL+PqA1SiMT2W&#10;/9ulNSDEPJOHxUdcQC/+AAAA//8DAFBLAQItABQABgAIAAAAIQDb4fbL7gAAAIUBAAATAAAAAAAA&#10;AAAAAAAAAAAAAABbQ29udGVudF9UeXBlc10ueG1sUEsBAi0AFAAGAAgAAAAhAFr0LFu/AAAAFQEA&#10;AAsAAAAAAAAAAAAAAAAAHwEAAF9yZWxzLy5yZWxzUEsBAi0AFAAGAAgAAAAhAJcGlELHAAAA3wAA&#10;AA8AAAAAAAAAAAAAAAAABwIAAGRycy9kb3ducmV2LnhtbFBLBQYAAAAAAwADALcAAAD7AgAAAAA=&#10;" filled="f" stroked="f">
                  <v:textbox inset="0,0,0,0">
                    <w:txbxContent>
                      <w:p w14:paraId="6818B8F2" w14:textId="77777777" w:rsidR="00B32EF2" w:rsidRDefault="00000000">
                        <w:r>
                          <w:rPr>
                            <w:rFonts w:ascii="Arial" w:eastAsia="Arial" w:hAnsi="Arial" w:cs="Arial"/>
                            <w:i/>
                            <w:sz w:val="18"/>
                          </w:rPr>
                          <w:t>2)</w:t>
                        </w:r>
                      </w:p>
                    </w:txbxContent>
                  </v:textbox>
                </v:rect>
                <v:rect id="Rectangle 18026" o:spid="_x0000_s3629" style="position:absolute;left:-10904;top:24512;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xKcwwAAAN4AAAAPAAAAZHJzL2Rvd25yZXYueG1sRE9Li8Iw&#10;EL4v+B/CCHtbUz1IqUYRRexhL+sDPA7N2FabSWiirf76zcKCt/n4njNf9qYRD2p9bVnBeJSAIC6s&#10;rrlUcDxsv1IQPiBrbCyTgid5WC4GH3PMtO34hx77UIoYwj5DBVUILpPSFxUZ9CPriCN3sa3BEGFb&#10;St1iF8NNIydJMpUGa44NFTpaV1Tc9nej4Lxhl287WVxea/d9zdNmdz+elPoc9qsZiEB9eIv/3bmO&#10;89NkMoW/d+INcvELAAD//wMAUEsBAi0AFAAGAAgAAAAhANvh9svuAAAAhQEAABMAAAAAAAAAAAAA&#10;AAAAAAAAAFtDb250ZW50X1R5cGVzXS54bWxQSwECLQAUAAYACAAAACEAWvQsW78AAAAVAQAACwAA&#10;AAAAAAAAAAAAAAAfAQAAX3JlbHMvLnJlbHNQSwECLQAUAAYACAAAACEAidMSnMMAAADeAAAADwAA&#10;AAAAAAAAAAAAAAAHAgAAZHJzL2Rvd25yZXYueG1sUEsFBgAAAAADAAMAtwAAAPcCAAAAAA==&#10;" filled="f" stroked="f">
                  <v:textbox inset="0,0,0,0">
                    <w:txbxContent>
                      <w:p w14:paraId="0D52B377" w14:textId="77777777" w:rsidR="00B32EF2" w:rsidRDefault="00000000">
                        <w:r>
                          <w:rPr>
                            <w:rFonts w:ascii="Arial" w:eastAsia="Arial" w:hAnsi="Arial" w:cs="Arial"/>
                            <w:i/>
                            <w:sz w:val="18"/>
                          </w:rPr>
                          <w:t>mezzo di rappresentanti per fornire dati e notizie rilevanti ai fini dell’accerta</w:t>
                        </w:r>
                      </w:p>
                    </w:txbxContent>
                  </v:textbox>
                </v:rect>
                <v:rect id="Rectangle 18027" o:spid="_x0000_s3630" style="position:absolute;left:978;top:2451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7cHxQAAAN4AAAAPAAAAZHJzL2Rvd25yZXYueG1sRE9La8JA&#10;EL4L/Q/LFHrTTT20IbqRoog59FIf4HHITh6anV2yq0n767uFgrf5+J6zXI2mE3fqfWtZwessAUFc&#10;Wt1yreB42E5TED4ga+wsk4Jv8rDKnyZLzLQd+Ivu+1CLGMI+QwVNCC6T0pcNGfQz64gjV9neYIiw&#10;r6XucYjhppPzJHmTBluODQ06WjdUXvc3o+C8YVdsB1lWP2v3eSnSbnc7npR6eR4/FiACjeEh/ncX&#10;Os5Pk/k7/L0Tb5D5LwAAAP//AwBQSwECLQAUAAYACAAAACEA2+H2y+4AAACFAQAAEwAAAAAAAAAA&#10;AAAAAAAAAAAAW0NvbnRlbnRfVHlwZXNdLnhtbFBLAQItABQABgAIAAAAIQBa9CxbvwAAABUBAAAL&#10;AAAAAAAAAAAAAAAAAB8BAABfcmVscy8ucmVsc1BLAQItABQABgAIAAAAIQDmn7cHxQAAAN4AAAAP&#10;AAAAAAAAAAAAAAAAAAcCAABkcnMvZG93bnJldi54bWxQSwUGAAAAAAMAAwC3AAAA+QIAAAAA&#10;" filled="f" stroked="f">
                  <v:textbox inset="0,0,0,0">
                    <w:txbxContent>
                      <w:p w14:paraId="0E87C44D" w14:textId="77777777" w:rsidR="00B32EF2" w:rsidRDefault="00000000">
                        <w:r>
                          <w:rPr>
                            <w:rFonts w:ascii="Arial" w:eastAsia="Arial" w:hAnsi="Arial" w:cs="Arial"/>
                            <w:i/>
                            <w:sz w:val="18"/>
                          </w:rPr>
                          <w:t>-</w:t>
                        </w:r>
                      </w:p>
                    </w:txbxContent>
                  </v:textbox>
                </v:rect>
                <v:rect id="Rectangle 18028" o:spid="_x0000_s3631" style="position:absolute;left:-11853;top:23279;width:509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CN1xwAAAN4AAAAPAAAAZHJzL2Rvd25yZXYueG1sRI9Pa8Mw&#10;DMXvg30Ho8Juq9MeRsjqltFRlsMu/Qc7ilhN0sayid0m66efDoPeJN7Tez8tVqPr1I362Ho2MJtm&#10;oIgrb1uuDRz2m9ccVEzIFjvPZOCXIqyWz08LLKwfeEu3XaqVhHAs0ECTUii0jlVDDuPUB2LRTr53&#10;mGTta217HCTcdXqeZW/aYcvS0GCgdUPVZXd1Bn4+OZSbQVen+zp8n8u8+7oejsa8TMaPd1CJxvQw&#10;/1+XVvDzbC688o7MoJd/AAAA//8DAFBLAQItABQABgAIAAAAIQDb4fbL7gAAAIUBAAATAAAAAAAA&#10;AAAAAAAAAAAAAABbQ29udGVudF9UeXBlc10ueG1sUEsBAi0AFAAGAAgAAAAhAFr0LFu/AAAAFQEA&#10;AAsAAAAAAAAAAAAAAAAAHwEAAF9yZWxzLy5yZWxzUEsBAi0AFAAGAAgAAAAhAJcAI3XHAAAA3gAA&#10;AA8AAAAAAAAAAAAAAAAABwIAAGRycy9kb3ducmV2LnhtbFBLBQYAAAAAAwADALcAAAD7AgAAAAA=&#10;" filled="f" stroked="f">
                  <v:textbox inset="0,0,0,0">
                    <w:txbxContent>
                      <w:p w14:paraId="6B97C256" w14:textId="77777777" w:rsidR="00B32EF2" w:rsidRDefault="00000000">
                        <w:r>
                          <w:rPr>
                            <w:rFonts w:ascii="Arial" w:eastAsia="Arial" w:hAnsi="Arial" w:cs="Arial"/>
                            <w:i/>
                            <w:sz w:val="18"/>
                          </w:rPr>
                          <w:t xml:space="preserve">mento nei loro confronti, anche relativamente ai rapporti ed alle operazioni, </w:t>
                        </w:r>
                      </w:p>
                    </w:txbxContent>
                  </v:textbox>
                </v:rect>
                <v:rect id="Rectangle 18029" o:spid="_x0000_s3632" style="position:absolute;left:-11897;top:22046;width:511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IbuxQAAAN4AAAAPAAAAZHJzL2Rvd25yZXYueG1sRE9La8JA&#10;EL4L/Q/LFHrTTT2UGN1IUcQceqkP8DhkJw/Nzi7Z1aT99d1Cobf5+J6zWo+mEw/qfWtZwessAUFc&#10;Wt1yreB03E1TED4ga+wsk4Iv8rDOnyYrzLQd+JMeh1CLGMI+QwVNCC6T0pcNGfQz64gjV9neYIiw&#10;r6XucYjhppPzJHmTBluODQ062jRU3g53o+CyZVfsBllW3xv3cS3Sbn8/nZV6eR7flyACjeFf/Ocu&#10;dJyfJvMF/L4Tb5D5DwAAAP//AwBQSwECLQAUAAYACAAAACEA2+H2y+4AAACFAQAAEwAAAAAAAAAA&#10;AAAAAAAAAAAAW0NvbnRlbnRfVHlwZXNdLnhtbFBLAQItABQABgAIAAAAIQBa9CxbvwAAABUBAAAL&#10;AAAAAAAAAAAAAAAAAB8BAABfcmVscy8ucmVsc1BLAQItABQABgAIAAAAIQD4TIbuxQAAAN4AAAAP&#10;AAAAAAAAAAAAAAAAAAcCAABkcnMvZG93bnJldi54bWxQSwUGAAAAAAMAAwC3AAAA+QIAAAAA&#10;" filled="f" stroked="f">
                  <v:textbox inset="0,0,0,0">
                    <w:txbxContent>
                      <w:p w14:paraId="0AF52E7B" w14:textId="77777777" w:rsidR="00B32EF2" w:rsidRDefault="00000000">
                        <w:r>
                          <w:rPr>
                            <w:rFonts w:ascii="Arial" w:eastAsia="Arial" w:hAnsi="Arial" w:cs="Arial"/>
                            <w:i/>
                            <w:sz w:val="18"/>
                          </w:rPr>
                          <w:t xml:space="preserve">i cui dati, notizie e documenti siano stati acquisiti a norma del numero 7), </w:t>
                        </w:r>
                      </w:p>
                    </w:txbxContent>
                  </v:textbox>
                </v:rect>
                <v:rect id="Rectangle 18030" o:spid="_x0000_s3633" style="position:absolute;left:-11863;top:20812;width:509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7muxwAAAN4AAAAPAAAAZHJzL2Rvd25yZXYueG1sRI9Ba8JA&#10;EIXvhf6HZQre6qYVSoiuUixiDr3UKngcsmMSzc4u2dXE/vrOodDbDPPmvfctVqPr1I362Ho28DLN&#10;QBFX3rZcG9h/b55zUDEhW+w8k4E7RVgtHx8WWFg/8BfddqlWYsKxQANNSqHQOlYNOYxTH4jldvK9&#10;wyRrX2vb4yDmrtOvWfamHbYsCQ0GWjdUXXZXZ+D4waHcDLo6/azD57nMu+11fzBm8jS+z0ElGtO/&#10;+O+7tFI/z2YCIDgyg17+AgAA//8DAFBLAQItABQABgAIAAAAIQDb4fbL7gAAAIUBAAATAAAAAAAA&#10;AAAAAAAAAAAAAABbQ29udGVudF9UeXBlc10ueG1sUEsBAi0AFAAGAAgAAAAhAFr0LFu/AAAAFQEA&#10;AAsAAAAAAAAAAAAAAAAAHwEAAF9yZWxzLy5yZWxzUEsBAi0AFAAGAAgAAAAhAOyvua7HAAAA3gAA&#10;AA8AAAAAAAAAAAAAAAAABwIAAGRycy9kb3ducmV2LnhtbFBLBQYAAAAAAwADALcAAAD7AgAAAAA=&#10;" filled="f" stroked="f">
                  <v:textbox inset="0,0,0,0">
                    <w:txbxContent>
                      <w:p w14:paraId="053B7F2E" w14:textId="77777777" w:rsidR="00B32EF2" w:rsidRDefault="00000000">
                        <w:r>
                          <w:rPr>
                            <w:rFonts w:ascii="Arial" w:eastAsia="Arial" w:hAnsi="Arial" w:cs="Arial"/>
                            <w:i/>
                            <w:sz w:val="18"/>
                          </w:rPr>
                          <w:t xml:space="preserve">ovvero rilevati a norma dell’articolo 33, secondo e terzo comma, o acquisiti </w:t>
                        </w:r>
                      </w:p>
                    </w:txbxContent>
                  </v:textbox>
                </v:rect>
                <v:rect id="Rectangle 18031" o:spid="_x0000_s3634" style="position:absolute;left:-10931;top:19579;width:500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xw1xAAAAN4AAAAPAAAAZHJzL2Rvd25yZXYueG1sRE9Na8JA&#10;EL0L/odlhN50o4USUlcRRcyhl9oIPQ7ZMYlmZ5fsalJ/vVso9DaP9znL9WBacafON5YVzGcJCOLS&#10;6oYrBcXXfpqC8AFZY2uZFPyQh/VqPFpipm3Pn3Q/hkrEEPYZKqhDcJmUvqzJoJ9ZRxy5s+0Mhgi7&#10;SuoO+xhuWrlIkjdpsOHYUKOjbU3l9XgzCr537PJ9L8vzY+s+LnnaHm7FSamXybB5BxFoCP/iP3eu&#10;4/w0eZ3D7zvxBrl6AgAA//8DAFBLAQItABQABgAIAAAAIQDb4fbL7gAAAIUBAAATAAAAAAAAAAAA&#10;AAAAAAAAAABbQ29udGVudF9UeXBlc10ueG1sUEsBAi0AFAAGAAgAAAAhAFr0LFu/AAAAFQEAAAsA&#10;AAAAAAAAAAAAAAAAHwEAAF9yZWxzLy5yZWxzUEsBAi0AFAAGAAgAAAAhAIPjHDXEAAAA3gAAAA8A&#10;AAAAAAAAAAAAAAAABwIAAGRycy9kb3ducmV2LnhtbFBLBQYAAAAAAwADALcAAAD4AgAAAAA=&#10;" filled="f" stroked="f">
                  <v:textbox inset="0,0,0,0">
                    <w:txbxContent>
                      <w:p w14:paraId="246CA467" w14:textId="77777777" w:rsidR="00B32EF2" w:rsidRDefault="00000000">
                        <w:r>
                          <w:rPr>
                            <w:rFonts w:ascii="Arial" w:eastAsia="Arial" w:hAnsi="Arial" w:cs="Arial"/>
                            <w:i/>
                            <w:sz w:val="18"/>
                          </w:rPr>
                          <w:t>ai sensi dell’articolo 18, comma 3, lettera b), del decreto legislativo 26 ot</w:t>
                        </w:r>
                      </w:p>
                    </w:txbxContent>
                  </v:textbox>
                </v:rect>
                <v:rect id="Rectangle 18032" o:spid="_x0000_s3635" style="position:absolute;left:978;top:1957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YJCxAAAAN4AAAAPAAAAZHJzL2Rvd25yZXYueG1sRE9La8JA&#10;EL4L/Q/LFHrTTS2UEN1IUcQceqkP8DhkJw/Nzi7Z1aT99d1Cwdt8fM9ZrkbTiTv1vrWs4HWWgCAu&#10;rW65VnA8bKcpCB+QNXaWScE3eVjlT5MlZtoO/EX3fahFDGGfoYImBJdJ6cuGDPqZdcSRq2xvMETY&#10;11L3OMRw08l5krxLgy3HhgYdrRsqr/ubUXDesCu2gyyrn7X7vBRpt7sdT0q9PI8fCxCBxvAQ/7sL&#10;Heenydsc/t6JN8j8FwAA//8DAFBLAQItABQABgAIAAAAIQDb4fbL7gAAAIUBAAATAAAAAAAAAAAA&#10;AAAAAAAAAABbQ29udGVudF9UeXBlc10ueG1sUEsBAi0AFAAGAAgAAAAhAFr0LFu/AAAAFQEAAAsA&#10;AAAAAAAAAAAAAAAAHwEAAF9yZWxzLy5yZWxzUEsBAi0AFAAGAAgAAAAhAHMxgkLEAAAA3gAAAA8A&#10;AAAAAAAAAAAAAAAABwIAAGRycy9kb3ducmV2LnhtbFBLBQYAAAAAAwADALcAAAD4AgAAAAA=&#10;" filled="f" stroked="f">
                  <v:textbox inset="0,0,0,0">
                    <w:txbxContent>
                      <w:p w14:paraId="4F499908" w14:textId="77777777" w:rsidR="00B32EF2" w:rsidRDefault="00000000">
                        <w:r>
                          <w:rPr>
                            <w:rFonts w:ascii="Arial" w:eastAsia="Arial" w:hAnsi="Arial" w:cs="Arial"/>
                            <w:i/>
                            <w:sz w:val="18"/>
                          </w:rPr>
                          <w:t>-</w:t>
                        </w:r>
                      </w:p>
                    </w:txbxContent>
                  </v:textbox>
                </v:rect>
                <v:rect id="Rectangle 18033" o:spid="_x0000_s3636" style="position:absolute;left:-11863;top:18346;width:509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SfZxAAAAN4AAAAPAAAAZHJzL2Rvd25yZXYueG1sRE9La8JA&#10;EL4X/A/LCN7qpgoSUjdSFDGHXrQKPQ7ZyaPNzi7Z1aT99V1B6G0+vuesN6PpxI1631pW8DJPQBCX&#10;VrdcKzh/7J9TED4ga+wsk4If8rDJJ09rzLQd+Ei3U6hFDGGfoYImBJdJ6cuGDPq5dcSRq2xvMETY&#10;11L3OMRw08lFkqykwZZjQ4OOtg2V36erUfC5Y1fsB1lWv1v3/lWk3eF6vig1m45vryACjeFf/HAX&#10;Os5Pk+US7u/EG2T+BwAA//8DAFBLAQItABQABgAIAAAAIQDb4fbL7gAAAIUBAAATAAAAAAAAAAAA&#10;AAAAAAAAAABbQ29udGVudF9UeXBlc10ueG1sUEsBAi0AFAAGAAgAAAAhAFr0LFu/AAAAFQEAAAsA&#10;AAAAAAAAAAAAAAAAHwEAAF9yZWxzLy5yZWxzUEsBAi0AFAAGAAgAAAAhABx9J9nEAAAA3gAAAA8A&#10;AAAAAAAAAAAAAAAABwIAAGRycy9kb3ducmV2LnhtbFBLBQYAAAAAAwADALcAAAD4AgAAAAA=&#10;" filled="f" stroked="f">
                  <v:textbox inset="0,0,0,0">
                    <w:txbxContent>
                      <w:p w14:paraId="423FF444" w14:textId="77777777" w:rsidR="00B32EF2" w:rsidRDefault="00000000">
                        <w:r>
                          <w:rPr>
                            <w:rFonts w:ascii="Arial" w:eastAsia="Arial" w:hAnsi="Arial" w:cs="Arial"/>
                            <w:i/>
                            <w:sz w:val="18"/>
                          </w:rPr>
                          <w:t xml:space="preserve">tobre 1995, n. 504. I dati ed elementi attinenti ai rapporti ed alle operazioni </w:t>
                        </w:r>
                      </w:p>
                    </w:txbxContent>
                  </v:textbox>
                </v:rect>
                <v:rect id="Rectangle 18034" o:spid="_x0000_s3637" style="position:absolute;left:-11873;top:17113;width:510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L+txAAAAN4AAAAPAAAAZHJzL2Rvd25yZXYueG1sRE9Na8JA&#10;EL0X/A/LCN7qplVKSF2lWMQcvGgt9DhkxySanV2yq4n+elcoeJvH+5zZojeNuFDra8sK3sYJCOLC&#10;6ppLBfuf1WsKwgdkjY1lUnAlD4v54GWGmbYdb+myC6WIIewzVFCF4DIpfVGRQT+2jjhyB9saDBG2&#10;pdQtdjHcNPI9ST6kwZpjQ4WOlhUVp93ZKPj7ZpevOlkcbku3OeZpsz7vf5UaDfuvTxCB+vAU/7tz&#10;HeenyWQKj3fiDXJ+BwAA//8DAFBLAQItABQABgAIAAAAIQDb4fbL7gAAAIUBAAATAAAAAAAAAAAA&#10;AAAAAAAAAABbQ29udGVudF9UeXBlc10ueG1sUEsBAi0AFAAGAAgAAAAhAFr0LFu/AAAAFQEAAAsA&#10;AAAAAAAAAAAAAAAAHwEAAF9yZWxzLy5yZWxzUEsBAi0AFAAGAAgAAAAhAJOUv63EAAAA3gAAAA8A&#10;AAAAAAAAAAAAAAAABwIAAGRycy9kb3ducmV2LnhtbFBLBQYAAAAAAwADALcAAAD4AgAAAAA=&#10;" filled="f" stroked="f">
                  <v:textbox inset="0,0,0,0">
                    <w:txbxContent>
                      <w:p w14:paraId="262B929A" w14:textId="77777777" w:rsidR="00B32EF2" w:rsidRDefault="00000000">
                        <w:r>
                          <w:rPr>
                            <w:rFonts w:ascii="Arial" w:eastAsia="Arial" w:hAnsi="Arial" w:cs="Arial"/>
                            <w:i/>
                            <w:sz w:val="18"/>
                          </w:rPr>
                          <w:t xml:space="preserve">acquisiti e rilevati rispettivamente a norma del numero 7) e dell’articolo 33, </w:t>
                        </w:r>
                      </w:p>
                    </w:txbxContent>
                  </v:textbox>
                </v:rect>
                <v:rect id="Rectangle 18035" o:spid="_x0000_s3638" style="position:absolute;left:-10938;top:15879;width:500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Bo2xAAAAN4AAAAPAAAAZHJzL2Rvd25yZXYueG1sRE9Na8JA&#10;EL0X/A/LCN7qphVLSF2lWMQcvGgt9DhkxySanV2yq4n+elcoeJvH+5zZojeNuFDra8sK3sYJCOLC&#10;6ppLBfuf1WsKwgdkjY1lUnAlD4v54GWGmbYdb+myC6WIIewzVFCF4DIpfVGRQT+2jjhyB9saDBG2&#10;pdQtdjHcNPI9ST6kwZpjQ4WOlhUVp93ZKPj7ZpevOlkcbku3OeZpsz7vf5UaDfuvTxCB+vAU/7tz&#10;HeenyWQKj3fiDXJ+BwAA//8DAFBLAQItABQABgAIAAAAIQDb4fbL7gAAAIUBAAATAAAAAAAAAAAA&#10;AAAAAAAAAABbQ29udGVudF9UeXBlc10ueG1sUEsBAi0AFAAGAAgAAAAhAFr0LFu/AAAAFQEAAAsA&#10;AAAAAAAAAAAAAAAAHwEAAF9yZWxzLy5yZWxzUEsBAi0AFAAGAAgAAAAhAPzYGjbEAAAA3gAAAA8A&#10;AAAAAAAAAAAAAAAABwIAAGRycy9kb3ducmV2LnhtbFBLBQYAAAAAAwADALcAAAD4AgAAAAA=&#10;" filled="f" stroked="f">
                  <v:textbox inset="0,0,0,0">
                    <w:txbxContent>
                      <w:p w14:paraId="57DF6B52" w14:textId="77777777" w:rsidR="00B32EF2" w:rsidRDefault="00000000">
                        <w:r>
                          <w:rPr>
                            <w:rFonts w:ascii="Arial" w:eastAsia="Arial" w:hAnsi="Arial" w:cs="Arial"/>
                            <w:i/>
                            <w:sz w:val="18"/>
                          </w:rPr>
                          <w:t>secondo e terzo comma, o acquisiti ai sensi dell’articolo 18, comma 3, let</w:t>
                        </w:r>
                      </w:p>
                    </w:txbxContent>
                  </v:textbox>
                </v:rect>
                <v:rect id="Rectangle 18036" o:spid="_x0000_s3639" style="position:absolute;left:978;top:1587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oRBxAAAAN4AAAAPAAAAZHJzL2Rvd25yZXYueG1sRE9Li8Iw&#10;EL4v+B/CCHtb01WQ0jXKoog9ePEFexyase1uMwlNtF1/vREEb/PxPWe26E0jrtT62rKCz1ECgriw&#10;uuZSwfGw/khB+ICssbFMCv7Jw2I+eJthpm3HO7ruQyliCPsMFVQhuExKX1Rk0I+sI47c2bYGQ4Rt&#10;KXWLXQw3jRwnyVQarDk2VOhoWVHxt78YBT8rdvm6k8X5tnTb3zxtNpfjSan3Yf/9BSJQH17ipzvX&#10;cX6aTKbweCfeIOd3AAAA//8DAFBLAQItABQABgAIAAAAIQDb4fbL7gAAAIUBAAATAAAAAAAAAAAA&#10;AAAAAAAAAABbQ29udGVudF9UeXBlc10ueG1sUEsBAi0AFAAGAAgAAAAhAFr0LFu/AAAAFQEAAAsA&#10;AAAAAAAAAAAAAAAAHwEAAF9yZWxzLy5yZWxzUEsBAi0AFAAGAAgAAAAhAAwKhEHEAAAA3gAAAA8A&#10;AAAAAAAAAAAAAAAABwIAAGRycy9kb3ducmV2LnhtbFBLBQYAAAAAAwADALcAAAD4AgAAAAA=&#10;" filled="f" stroked="f">
                  <v:textbox inset="0,0,0,0">
                    <w:txbxContent>
                      <w:p w14:paraId="72FCB681" w14:textId="77777777" w:rsidR="00B32EF2" w:rsidRDefault="00000000">
                        <w:r>
                          <w:rPr>
                            <w:rFonts w:ascii="Arial" w:eastAsia="Arial" w:hAnsi="Arial" w:cs="Arial"/>
                            <w:i/>
                            <w:sz w:val="18"/>
                          </w:rPr>
                          <w:t>-</w:t>
                        </w:r>
                      </w:p>
                    </w:txbxContent>
                  </v:textbox>
                </v:rect>
                <v:rect id="Rectangle 18037" o:spid="_x0000_s3640" style="position:absolute;left:-11894;top:14646;width:511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iHaxAAAAN4AAAAPAAAAZHJzL2Rvd25yZXYueG1sRE9Na8JA&#10;EL0X/A/LCN7qphVsSF2lWMQcvGgt9DhkxySanV2yq4n+elcoeJvH+5zZojeNuFDra8sK3sYJCOLC&#10;6ppLBfuf1WsKwgdkjY1lUnAlD4v54GWGmbYdb+myC6WIIewzVFCF4DIpfVGRQT+2jjhyB9saDBG2&#10;pdQtdjHcNPI9SabSYM2xoUJHy4qK0+5sFPx9s8tXnSwOt6XbHPO0WZ/3v0qNhv3XJ4hAfXiK/925&#10;jvPTZPIBj3fiDXJ+BwAA//8DAFBLAQItABQABgAIAAAAIQDb4fbL7gAAAIUBAAATAAAAAAAAAAAA&#10;AAAAAAAAAABbQ29udGVudF9UeXBlc10ueG1sUEsBAi0AFAAGAAgAAAAhAFr0LFu/AAAAFQEAAAsA&#10;AAAAAAAAAAAAAAAAHwEAAF9yZWxzLy5yZWxzUEsBAi0AFAAGAAgAAAAhAGNGIdrEAAAA3gAAAA8A&#10;AAAAAAAAAAAAAAAABwIAAGRycy9kb3ducmV2LnhtbFBLBQYAAAAAAwADALcAAAD4AgAAAAA=&#10;" filled="f" stroked="f">
                  <v:textbox inset="0,0,0,0">
                    <w:txbxContent>
                      <w:p w14:paraId="64CE0099" w14:textId="77777777" w:rsidR="00B32EF2" w:rsidRDefault="00000000">
                        <w:r>
                          <w:rPr>
                            <w:rFonts w:ascii="Arial" w:eastAsia="Arial" w:hAnsi="Arial" w:cs="Arial"/>
                            <w:i/>
                            <w:sz w:val="18"/>
                          </w:rPr>
                          <w:t xml:space="preserve">tera b), del decreto legislativo 26 ottobre 1995, n. 504, sono posti a base </w:t>
                        </w:r>
                      </w:p>
                    </w:txbxContent>
                  </v:textbox>
                </v:rect>
                <v:rect id="Rectangle 18038" o:spid="_x0000_s3641" style="position:absolute;left:-11867;top:13413;width:510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bWoxwAAAN4AAAAPAAAAZHJzL2Rvd25yZXYueG1sRI9Ba8JA&#10;EIXvhf6HZQre6qYVSoiuUixiDr3UKngcsmMSzc4u2dXE/vrOodDbDO/Ne98sVqPr1I362Ho28DLN&#10;QBFX3rZcG9h/b55zUDEhW+w8k4E7RVgtHx8WWFg/8BfddqlWEsKxQANNSqHQOlYNOYxTH4hFO/ne&#10;YZK1r7XtcZBw1+nXLHvTDluWhgYDrRuqLrurM3D84FBuBl2dftbh81zm3fa6PxgzeRrf56ASjenf&#10;/HddWsHPs5nwyjsyg17+AgAA//8DAFBLAQItABQABgAIAAAAIQDb4fbL7gAAAIUBAAATAAAAAAAA&#10;AAAAAAAAAAAAAABbQ29udGVudF9UeXBlc10ueG1sUEsBAi0AFAAGAAgAAAAhAFr0LFu/AAAAFQEA&#10;AAsAAAAAAAAAAAAAAAAAHwEAAF9yZWxzLy5yZWxzUEsBAi0AFAAGAAgAAAAhABLZtajHAAAA3gAA&#10;AA8AAAAAAAAAAAAAAAAABwIAAGRycy9kb3ducmV2LnhtbFBLBQYAAAAAAwADALcAAAD7AgAAAAA=&#10;" filled="f" stroked="f">
                  <v:textbox inset="0,0,0,0">
                    <w:txbxContent>
                      <w:p w14:paraId="034D216F" w14:textId="77777777" w:rsidR="00B32EF2" w:rsidRDefault="00000000">
                        <w:r>
                          <w:rPr>
                            <w:rFonts w:ascii="Arial" w:eastAsia="Arial" w:hAnsi="Arial" w:cs="Arial"/>
                            <w:i/>
                            <w:sz w:val="18"/>
                          </w:rPr>
                          <w:t xml:space="preserve">delle rettifiche e degli accertamenti previsti dagli artt. 38, 39, 40 e 41 se il </w:t>
                        </w:r>
                      </w:p>
                    </w:txbxContent>
                  </v:textbox>
                </v:rect>
                <v:rect id="Rectangle 18039" o:spid="_x0000_s3642" style="position:absolute;left:-11911;top:12179;width:511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RAzxAAAAN4AAAAPAAAAZHJzL2Rvd25yZXYueG1sRE9La8JA&#10;EL4X/A/LCN7qphUkTV2lWMQcvPgo9DhkxySanV2yq4n+elco9DYf33Nmi9404kqtry0reBsnIIgL&#10;q2suFRz2q9cUhA/IGhvLpOBGHhbzwcsMM2073tJ1F0oRQ9hnqKAKwWVS+qIig35sHXHkjrY1GCJs&#10;S6lb7GK4aeR7kkylwZpjQ4WOlhUV593FKPj9ZpevOlkc70u3OeVps74cfpQaDfuvTxCB+vAv/nPn&#10;Os5Pk8kHPN+JN8j5AwAA//8DAFBLAQItABQABgAIAAAAIQDb4fbL7gAAAIUBAAATAAAAAAAAAAAA&#10;AAAAAAAAAABbQ29udGVudF9UeXBlc10ueG1sUEsBAi0AFAAGAAgAAAAhAFr0LFu/AAAAFQEAAAsA&#10;AAAAAAAAAAAAAAAAHwEAAF9yZWxzLy5yZWxzUEsBAi0AFAAGAAgAAAAhAH2VEDPEAAAA3gAAAA8A&#10;AAAAAAAAAAAAAAAABwIAAGRycy9kb3ducmV2LnhtbFBLBQYAAAAAAwADALcAAAD4AgAAAAA=&#10;" filled="f" stroked="f">
                  <v:textbox inset="0,0,0,0">
                    <w:txbxContent>
                      <w:p w14:paraId="7903E122" w14:textId="77777777" w:rsidR="00B32EF2" w:rsidRDefault="00000000">
                        <w:r>
                          <w:rPr>
                            <w:rFonts w:ascii="Arial" w:eastAsia="Arial" w:hAnsi="Arial" w:cs="Arial"/>
                            <w:i/>
                            <w:sz w:val="18"/>
                          </w:rPr>
                          <w:t xml:space="preserve">contribuente non dimostra che ne ha tenuto conto per la determinazione </w:t>
                        </w:r>
                      </w:p>
                    </w:txbxContent>
                  </v:textbox>
                </v:rect>
                <v:rect id="Rectangle 18040" o:spid="_x0000_s3643" style="position:absolute;left:-11869;top:10946;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crTxwAAAN4AAAAPAAAAZHJzL2Rvd25yZXYueG1sRI9Ba8JA&#10;EIXvhf6HZQre6qZFSoiuUixiDr3UKngcsmMSzc4u2dXE/vrOodDbDPPmvfctVqPr1I362Ho28DLN&#10;QBFX3rZcG9h/b55zUDEhW+w8k4E7RVgtHx8WWFg/8BfddqlWYsKxQANNSqHQOlYNOYxTH4jldvK9&#10;wyRrX2vb4yDmrtOvWfamHbYsCQ0GWjdUXXZXZ+D4waHcDLo6/azD57nMu+11fzBm8jS+z0ElGtO/&#10;+O+7tFI/z2YCIDgyg17+AgAA//8DAFBLAQItABQABgAIAAAAIQDb4fbL7gAAAIUBAAATAAAAAAAA&#10;AAAAAAAAAAAAAABbQ29udGVudF9UeXBlc10ueG1sUEsBAi0AFAAGAAgAAAAhAFr0LFu/AAAAFQEA&#10;AAsAAAAAAAAAAAAAAAAAHwEAAF9yZWxzLy5yZWxzUEsBAi0AFAAGAAgAAAAhALSpytPHAAAA3gAA&#10;AA8AAAAAAAAAAAAAAAAABwIAAGRycy9kb3ducmV2LnhtbFBLBQYAAAAAAwADALcAAAD7AgAAAAA=&#10;" filled="f" stroked="f">
                  <v:textbox inset="0,0,0,0">
                    <w:txbxContent>
                      <w:p w14:paraId="5F4287C8" w14:textId="77777777" w:rsidR="00B32EF2" w:rsidRDefault="00000000">
                        <w:r>
                          <w:rPr>
                            <w:rFonts w:ascii="Arial" w:eastAsia="Arial" w:hAnsi="Arial" w:cs="Arial"/>
                            <w:i/>
                            <w:sz w:val="18"/>
                          </w:rPr>
                          <w:t xml:space="preserve">del reddito soggetto ad imposta o che non hanno rilevanza allo stesso fine; </w:t>
                        </w:r>
                      </w:p>
                    </w:txbxContent>
                  </v:textbox>
                </v:rect>
                <v:rect id="Rectangle 18041" o:spid="_x0000_s3644" style="position:absolute;left:-11918;top:9713;width:512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W9IxAAAAN4AAAAPAAAAZHJzL2Rvd25yZXYueG1sRE9Na8JA&#10;EL0L/odlhN50o5QSUlcRRcyhl9oIPQ7ZMYlmZ5fsalJ/vVso9DaP9znL9WBacafON5YVzGcJCOLS&#10;6oYrBcXXfpqC8AFZY2uZFPyQh/VqPFpipm3Pn3Q/hkrEEPYZKqhDcJmUvqzJoJ9ZRxy5s+0Mhgi7&#10;SuoO+xhuWrlIkjdpsOHYUKOjbU3l9XgzCr537PJ9L8vzY+s+LnnaHm7FSamXybB5BxFoCP/iP3eu&#10;4/w0eZ3D7zvxBrl6AgAA//8DAFBLAQItABQABgAIAAAAIQDb4fbL7gAAAIUBAAATAAAAAAAAAAAA&#10;AAAAAAAAAABbQ29udGVudF9UeXBlc10ueG1sUEsBAi0AFAAGAAgAAAAhAFr0LFu/AAAAFQEAAAsA&#10;AAAAAAAAAAAAAAAAHwEAAF9yZWxzLy5yZWxzUEsBAi0AFAAGAAgAAAAhANvlb0jEAAAA3gAAAA8A&#10;AAAAAAAAAAAAAAAABwIAAGRycy9kb3ducmV2LnhtbFBLBQYAAAAAAwADALcAAAD4AgAAAAA=&#10;" filled="f" stroked="f">
                  <v:textbox inset="0,0,0,0">
                    <w:txbxContent>
                      <w:p w14:paraId="78B82C2C" w14:textId="77777777" w:rsidR="00B32EF2" w:rsidRDefault="00000000">
                        <w:r>
                          <w:rPr>
                            <w:rFonts w:ascii="Arial" w:eastAsia="Arial" w:hAnsi="Arial" w:cs="Arial"/>
                            <w:i/>
                            <w:sz w:val="18"/>
                          </w:rPr>
                          <w:t xml:space="preserve">alle stesse condizioni sono altresì posti come ricavi a base delle stesse </w:t>
                        </w:r>
                      </w:p>
                    </w:txbxContent>
                  </v:textbox>
                </v:rect>
                <v:rect id="Rectangle 18042" o:spid="_x0000_s3645" style="position:absolute;left:-10895;top:8480;width:5003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xAAAAN4AAAAPAAAAZHJzL2Rvd25yZXYueG1sRE9La8JA&#10;EL4L/Q/LFHrTTaWUEN1IUcQceqkP8DhkJw/Nzi7Z1aT99d1Cwdt8fM9ZrkbTiTv1vrWs4HWWgCAu&#10;rW65VnA8bKcpCB+QNXaWScE3eVjlT5MlZtoO/EX3fahFDGGfoYImBJdJ6cuGDPqZdcSRq2xvMETY&#10;11L3OMRw08l5krxLgy3HhgYdrRsqr/ubUXDesCu2gyyrn7X7vBRpt7sdT0q9PI8fCxCBxvAQ/7sL&#10;Heenydsc/t6JN8j8FwAA//8DAFBLAQItABQABgAIAAAAIQDb4fbL7gAAAIUBAAATAAAAAAAAAAAA&#10;AAAAAAAAAABbQ29udGVudF9UeXBlc10ueG1sUEsBAi0AFAAGAAgAAAAhAFr0LFu/AAAAFQEAAAsA&#10;AAAAAAAAAAAAAAAAHwEAAF9yZWxzLy5yZWxzUEsBAi0AFAAGAAgAAAAhACs38T/EAAAA3gAAAA8A&#10;AAAAAAAAAAAAAAAABwIAAGRycy9kb3ducmV2LnhtbFBLBQYAAAAAAwADALcAAAD4AgAAAAA=&#10;" filled="f" stroked="f">
                  <v:textbox inset="0,0,0,0">
                    <w:txbxContent>
                      <w:p w14:paraId="6FEF9A90" w14:textId="77777777" w:rsidR="00B32EF2" w:rsidRDefault="00000000">
                        <w:r>
                          <w:rPr>
                            <w:rFonts w:ascii="Arial" w:eastAsia="Arial" w:hAnsi="Arial" w:cs="Arial"/>
                            <w:i/>
                            <w:sz w:val="18"/>
                          </w:rPr>
                          <w:t>rettifiche ed accertamenti, se il contribuente non ne indica il soggetto bene</w:t>
                        </w:r>
                      </w:p>
                    </w:txbxContent>
                  </v:textbox>
                </v:rect>
                <v:rect id="Rectangle 18043" o:spid="_x0000_s3646" style="position:absolute;left:978;top:848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1SkxAAAAN4AAAAPAAAAZHJzL2Rvd25yZXYueG1sRE9Na8JA&#10;EL0X/A/LCN7qplVKSF2lWMQcvGgt9DhkxySanV2yq4n+elcoeJvH+5zZojeNuFDra8sK3sYJCOLC&#10;6ppLBfuf1WsKwgdkjY1lUnAlD4v54GWGmbYdb+myC6WIIewzVFCF4DIpfVGRQT+2jjhyB9saDBG2&#10;pdQtdjHcNPI9ST6kwZpjQ4WOlhUVp93ZKPj7ZpevOlkcbku3OeZpsz7vf5UaDfuvTxCB+vAU/7tz&#10;HeenyXQCj3fiDXJ+BwAA//8DAFBLAQItABQABgAIAAAAIQDb4fbL7gAAAIUBAAATAAAAAAAAAAAA&#10;AAAAAAAAAABbQ29udGVudF9UeXBlc10ueG1sUEsBAi0AFAAGAAgAAAAhAFr0LFu/AAAAFQEAAAsA&#10;AAAAAAAAAAAAAAAAHwEAAF9yZWxzLy5yZWxzUEsBAi0AFAAGAAgAAAAhAER7VKTEAAAA3gAAAA8A&#10;AAAAAAAAAAAAAAAABwIAAGRycy9kb3ducmV2LnhtbFBLBQYAAAAAAwADALcAAAD4AgAAAAA=&#10;" filled="f" stroked="f">
                  <v:textbox inset="0,0,0,0">
                    <w:txbxContent>
                      <w:p w14:paraId="43FF045B" w14:textId="77777777" w:rsidR="00B32EF2" w:rsidRDefault="00000000">
                        <w:r>
                          <w:rPr>
                            <w:rFonts w:ascii="Arial" w:eastAsia="Arial" w:hAnsi="Arial" w:cs="Arial"/>
                            <w:i/>
                            <w:sz w:val="18"/>
                          </w:rPr>
                          <w:t>-</w:t>
                        </w:r>
                      </w:p>
                    </w:txbxContent>
                  </v:textbox>
                </v:rect>
                <v:rect id="Rectangle 18044" o:spid="_x0000_s3647" style="position:absolute;left:-11868;top:7246;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zQxAAAAN4AAAAPAAAAZHJzL2Rvd25yZXYueG1sRE9La8JA&#10;EL4X/A/LCN7qpiISUjdSFDGHXrQKPQ7ZyaPNzi7Z1aT99V1B6G0+vuesN6PpxI1631pW8DJPQBCX&#10;VrdcKzh/7J9TED4ga+wsk4If8rDJJ09rzLQd+Ei3U6hFDGGfoYImBJdJ6cuGDPq5dcSRq2xvMETY&#10;11L3OMRw08lFkqykwZZjQ4OOtg2V36erUfC5Y1fsB1lWv1v3/lWk3eF6vig1m45vryACjeFf/HAX&#10;Os5Pk+US7u/EG2T+BwAA//8DAFBLAQItABQABgAIAAAAIQDb4fbL7gAAAIUBAAATAAAAAAAAAAAA&#10;AAAAAAAAAABbQ29udGVudF9UeXBlc10ueG1sUEsBAi0AFAAGAAgAAAAhAFr0LFu/AAAAFQEAAAsA&#10;AAAAAAAAAAAAAAAAHwEAAF9yZWxzLy5yZWxzUEsBAi0AFAAGAAgAAAAhAMuSzNDEAAAA3gAAAA8A&#10;AAAAAAAAAAAAAAAABwIAAGRycy9kb3ducmV2LnhtbFBLBQYAAAAAAwADALcAAAD4AgAAAAA=&#10;" filled="f" stroked="f">
                  <v:textbox inset="0,0,0,0">
                    <w:txbxContent>
                      <w:p w14:paraId="07EB9327" w14:textId="77777777" w:rsidR="00B32EF2" w:rsidRDefault="00000000">
                        <w:r>
                          <w:rPr>
                            <w:rFonts w:ascii="Arial" w:eastAsia="Arial" w:hAnsi="Arial" w:cs="Arial"/>
                            <w:i/>
                            <w:sz w:val="18"/>
                          </w:rPr>
                          <w:t xml:space="preserve">ficiario e semprechè non risultino dalle scritture contabili, i prelevamenti o </w:t>
                        </w:r>
                      </w:p>
                    </w:txbxContent>
                  </v:textbox>
                </v:rect>
                <v:rect id="Rectangle 18045" o:spid="_x0000_s3648" style="position:absolute;left:-11848;top:6013;width:509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mlLxAAAAN4AAAAPAAAAZHJzL2Rvd25yZXYueG1sRE9Na8JA&#10;EL0X/A/LCN7qpkVLSF2lWMQcvGgt9DhkxySanV2yq4n+elcoeJvH+5zZojeNuFDra8sK3sYJCOLC&#10;6ppLBfuf1WsKwgdkjY1lUnAlD4v54GWGmbYdb+myC6WIIewzVFCF4DIpfVGRQT+2jjhyB9saDBG2&#10;pdQtdjHcNPI9ST6kwZpjQ4WOlhUVp93ZKPj7ZpevOlkcbku3OeZpsz7vf5UaDfuvTxCB+vAU/7tz&#10;HeenyWQKj3fiDXJ+BwAA//8DAFBLAQItABQABgAIAAAAIQDb4fbL7gAAAIUBAAATAAAAAAAAAAAA&#10;AAAAAAAAAABbQ29udGVudF9UeXBlc10ueG1sUEsBAi0AFAAGAAgAAAAhAFr0LFu/AAAAFQEAAAsA&#10;AAAAAAAAAAAAAAAAHwEAAF9yZWxzLy5yZWxzUEsBAi0AFAAGAAgAAAAhAKTeaUvEAAAA3gAAAA8A&#10;AAAAAAAAAAAAAAAABwIAAGRycy9kb3ducmV2LnhtbFBLBQYAAAAAAwADALcAAAD4AgAAAAA=&#10;" filled="f" stroked="f">
                  <v:textbox inset="0,0,0,0">
                    <w:txbxContent>
                      <w:p w14:paraId="01A859A0" w14:textId="77777777" w:rsidR="00B32EF2" w:rsidRDefault="00000000">
                        <w:r>
                          <w:rPr>
                            <w:rFonts w:ascii="Arial" w:eastAsia="Arial" w:hAnsi="Arial" w:cs="Arial"/>
                            <w:i/>
                            <w:sz w:val="18"/>
                          </w:rPr>
                          <w:t xml:space="preserve">gli importi riscossi nell’ambito dei predetti rapporti od operazioni per importi </w:t>
                        </w:r>
                      </w:p>
                    </w:txbxContent>
                  </v:textbox>
                </v:rect>
                <v:rect id="Rectangle 18046" o:spid="_x0000_s3649" style="position:absolute;left:-11904;top:4780;width:511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Pc8xAAAAN4AAAAPAAAAZHJzL2Rvd25yZXYueG1sRE9Li8Iw&#10;EL4v+B/CCHtb0xWR0jXKoog9ePEFexyase1uMwlNtF1/vREEb/PxPWe26E0jrtT62rKCz1ECgriw&#10;uuZSwfGw/khB+ICssbFMCv7Jw2I+eJthpm3HO7ruQyliCPsMFVQhuExKX1Rk0I+sI47c2bYGQ4Rt&#10;KXWLXQw3jRwnyVQarDk2VOhoWVHxt78YBT8rdvm6k8X5tnTb3zxtNpfjSan3Yf/9BSJQH17ipzvX&#10;cX6aTKbweCfeIOd3AAAA//8DAFBLAQItABQABgAIAAAAIQDb4fbL7gAAAIUBAAATAAAAAAAAAAAA&#10;AAAAAAAAAABbQ29udGVudF9UeXBlc10ueG1sUEsBAi0AFAAGAAgAAAAhAFr0LFu/AAAAFQEAAAsA&#10;AAAAAAAAAAAAAAAAHwEAAF9yZWxzLy5yZWxzUEsBAi0AFAAGAAgAAAAhAFQM9zzEAAAA3gAAAA8A&#10;AAAAAAAAAAAAAAAABwIAAGRycy9kb3ducmV2LnhtbFBLBQYAAAAAAwADALcAAAD4AgAAAAA=&#10;" filled="f" stroked="f">
                  <v:textbox inset="0,0,0,0">
                    <w:txbxContent>
                      <w:p w14:paraId="68DF0A68" w14:textId="77777777" w:rsidR="00B32EF2" w:rsidRDefault="00000000">
                        <w:r>
                          <w:rPr>
                            <w:rFonts w:ascii="Arial" w:eastAsia="Arial" w:hAnsi="Arial" w:cs="Arial"/>
                            <w:i/>
                            <w:sz w:val="18"/>
                          </w:rPr>
                          <w:t xml:space="preserve">superiori a euro 1.000 giornalieri e, comunque, a euro 5.000 mensili. Le </w:t>
                        </w:r>
                      </w:p>
                    </w:txbxContent>
                  </v:textbox>
                </v:rect>
                <v:shape id="Shape 18047" o:spid="_x0000_s3650" style="position:absolute;left:320;top:4372;width:39600;height:29753;visibility:visible;mso-wrap-style:square;v-text-anchor:top" coordsize="3960000,297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IVwgAAAN4AAAAPAAAAZHJzL2Rvd25yZXYueG1sRE/bisIw&#10;EH1f8B/CCL4smu4iKtUosrKwPnr5gDEZ22IzKUls6369ERb2bQ7nOqtNb2vRkg+VYwUfkwwEsXam&#10;4kLB+fQ9XoAIEdlg7ZgUPCjAZj14W2FuXMcHao+xECmEQ44KyhibXMqgS7IYJq4hTtzVeYsxQV9I&#10;47FL4baWn1k2kxYrTg0lNvRVkr4d71ZB696vl5lFf+70Yb/b9VLff1ulRsN+uwQRqY//4j/3j0nz&#10;F9l0Dq930g1y/QQAAP//AwBQSwECLQAUAAYACAAAACEA2+H2y+4AAACFAQAAEwAAAAAAAAAAAAAA&#10;AAAAAAAAW0NvbnRlbnRfVHlwZXNdLnhtbFBLAQItABQABgAIAAAAIQBa9CxbvwAAABUBAAALAAAA&#10;AAAAAAAAAAAAAB8BAABfcmVscy8ucmVsc1BLAQItABQABgAIAAAAIQDuUcIVwgAAAN4AAAAPAAAA&#10;AAAAAAAAAAAAAAcCAABkcnMvZG93bnJldi54bWxQSwUGAAAAAAMAAwC3AAAA9gIAAAAA&#10;" path="m,2975305r3960000,l3960000,,,,,2975305xe" filled="f" strokeweight="1pt">
                  <v:stroke miterlimit="1" joinstyle="miter"/>
                  <v:path arrowok="t" textboxrect="0,0,3960000,2975305"/>
                </v:shape>
                <w10:anchorlock/>
              </v:group>
            </w:pict>
          </mc:Fallback>
        </mc:AlternateContent>
      </w:r>
    </w:p>
    <w:p w14:paraId="451265B3" w14:textId="77777777" w:rsidR="00B32EF2" w:rsidRDefault="00000000">
      <w:pPr>
        <w:spacing w:after="0"/>
        <w:ind w:left="-356" w:right="-306"/>
      </w:pPr>
      <w:r>
        <w:rPr>
          <w:noProof/>
        </w:rPr>
        <w:lastRenderedPageBreak/>
        <mc:AlternateContent>
          <mc:Choice Requires="wpg">
            <w:drawing>
              <wp:inline distT="0" distB="0" distL="0" distR="0" wp14:anchorId="43E5BA06" wp14:editId="5F1E3EFC">
                <wp:extent cx="3991893" cy="6262854"/>
                <wp:effectExtent l="0" t="0" r="0" b="0"/>
                <wp:docPr id="200955" name="Group 200955"/>
                <wp:cNvGraphicFramePr/>
                <a:graphic xmlns:a="http://schemas.openxmlformats.org/drawingml/2006/main">
                  <a:graphicData uri="http://schemas.microsoft.com/office/word/2010/wordprocessingGroup">
                    <wpg:wgp>
                      <wpg:cNvGrpSpPr/>
                      <wpg:grpSpPr>
                        <a:xfrm>
                          <a:off x="0" y="0"/>
                          <a:ext cx="3991893" cy="6262854"/>
                          <a:chOff x="0" y="0"/>
                          <a:chExt cx="3991893" cy="6262854"/>
                        </a:xfrm>
                      </wpg:grpSpPr>
                      <wps:wsp>
                        <wps:cNvPr id="18118" name="Rectangle 18118"/>
                        <wps:cNvSpPr/>
                        <wps:spPr>
                          <a:xfrm rot="-10799999">
                            <a:off x="1900494" y="-62190"/>
                            <a:ext cx="178369" cy="250646"/>
                          </a:xfrm>
                          <a:prstGeom prst="rect">
                            <a:avLst/>
                          </a:prstGeom>
                          <a:ln>
                            <a:noFill/>
                          </a:ln>
                        </wps:spPr>
                        <wps:txbx>
                          <w:txbxContent>
                            <w:p w14:paraId="284F360D" w14:textId="77777777" w:rsidR="00B32EF2" w:rsidRDefault="00000000">
                              <w:r>
                                <w:rPr>
                                  <w:rFonts w:ascii="Times New Roman" w:eastAsia="Times New Roman" w:hAnsi="Times New Roman" w:cs="Times New Roman"/>
                                </w:rPr>
                                <w:t>66</w:t>
                              </w:r>
                            </w:p>
                          </w:txbxContent>
                        </wps:txbx>
                        <wps:bodyPr horzOverflow="overflow" vert="horz" lIns="0" tIns="0" rIns="0" bIns="0" rtlCol="0">
                          <a:noAutofit/>
                        </wps:bodyPr>
                      </wps:wsp>
                      <wps:wsp>
                        <wps:cNvPr id="18119" name="Rectangle 18119"/>
                        <wps:cNvSpPr/>
                        <wps:spPr>
                          <a:xfrm rot="-10799999">
                            <a:off x="1508537" y="6119965"/>
                            <a:ext cx="806461" cy="142889"/>
                          </a:xfrm>
                          <a:prstGeom prst="rect">
                            <a:avLst/>
                          </a:prstGeom>
                          <a:ln>
                            <a:noFill/>
                          </a:ln>
                        </wps:spPr>
                        <wps:txbx>
                          <w:txbxContent>
                            <w:p w14:paraId="08229E4E" w14:textId="77777777" w:rsidR="00B32EF2" w:rsidRDefault="00000000">
                              <w:r>
                                <w:rPr>
                                  <w:rFonts w:ascii="Arial" w:eastAsia="Arial" w:hAnsi="Arial" w:cs="Arial"/>
                                  <w:b/>
                                  <w:sz w:val="18"/>
                                </w:rPr>
                                <w:t>Articolo 73</w:t>
                              </w:r>
                            </w:p>
                          </w:txbxContent>
                        </wps:txbx>
                        <wps:bodyPr horzOverflow="overflow" vert="horz" lIns="0" tIns="0" rIns="0" bIns="0" rtlCol="0">
                          <a:noAutofit/>
                        </wps:bodyPr>
                      </wps:wsp>
                      <wps:wsp>
                        <wps:cNvPr id="200929" name="Rectangle 200929"/>
                        <wps:cNvSpPr/>
                        <wps:spPr>
                          <a:xfrm rot="-10799999">
                            <a:off x="2221998" y="5996635"/>
                            <a:ext cx="1942453" cy="142890"/>
                          </a:xfrm>
                          <a:prstGeom prst="rect">
                            <a:avLst/>
                          </a:prstGeom>
                          <a:ln>
                            <a:noFill/>
                          </a:ln>
                        </wps:spPr>
                        <wps:txbx>
                          <w:txbxContent>
                            <w:p w14:paraId="6629523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930" name="Rectangle 200930"/>
                        <wps:cNvSpPr/>
                        <wps:spPr>
                          <a:xfrm rot="-10799999">
                            <a:off x="-262563" y="5996635"/>
                            <a:ext cx="1942453" cy="142890"/>
                          </a:xfrm>
                          <a:prstGeom prst="rect">
                            <a:avLst/>
                          </a:prstGeom>
                          <a:ln>
                            <a:noFill/>
                          </a:ln>
                        </wps:spPr>
                        <wps:txbx>
                          <w:txbxContent>
                            <w:p w14:paraId="24A822D5"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931" name="Rectangle 200931"/>
                        <wps:cNvSpPr/>
                        <wps:spPr>
                          <a:xfrm rot="-10799999">
                            <a:off x="1162769" y="5996635"/>
                            <a:ext cx="1942453" cy="142890"/>
                          </a:xfrm>
                          <a:prstGeom prst="rect">
                            <a:avLst/>
                          </a:prstGeom>
                          <a:ln>
                            <a:noFill/>
                          </a:ln>
                        </wps:spPr>
                        <wps:txbx>
                          <w:txbxContent>
                            <w:p w14:paraId="648B91D8" w14:textId="77777777" w:rsidR="00B32EF2" w:rsidRDefault="00000000">
                              <w:r>
                                <w:rPr>
                                  <w:rFonts w:ascii="Arial" w:eastAsia="Arial" w:hAnsi="Arial" w:cs="Arial"/>
                                  <w:i/>
                                  <w:sz w:val="18"/>
                                </w:rPr>
                                <w:t xml:space="preserve">articolo 26 D.lgs. n. </w:t>
                              </w:r>
                            </w:p>
                          </w:txbxContent>
                        </wps:txbx>
                        <wps:bodyPr horzOverflow="overflow" vert="horz" lIns="0" tIns="0" rIns="0" bIns="0" rtlCol="0">
                          <a:noAutofit/>
                        </wps:bodyPr>
                      </wps:wsp>
                      <wps:wsp>
                        <wps:cNvPr id="18121" name="Rectangle 18121"/>
                        <wps:cNvSpPr/>
                        <wps:spPr>
                          <a:xfrm rot="-10799999">
                            <a:off x="793828" y="5873305"/>
                            <a:ext cx="1926020" cy="142889"/>
                          </a:xfrm>
                          <a:prstGeom prst="rect">
                            <a:avLst/>
                          </a:prstGeom>
                          <a:ln>
                            <a:noFill/>
                          </a:ln>
                        </wps:spPr>
                        <wps:txbx>
                          <w:txbxContent>
                            <w:p w14:paraId="5EFE70C3" w14:textId="77777777" w:rsidR="00B32EF2" w:rsidRDefault="00000000">
                              <w:r>
                                <w:rPr>
                                  <w:rFonts w:ascii="Arial" w:eastAsia="Arial" w:hAnsi="Arial" w:cs="Arial"/>
                                  <w:b/>
                                  <w:sz w:val="18"/>
                                </w:rPr>
                                <w:t xml:space="preserve">Assegnazione del ricorso </w:t>
                              </w:r>
                            </w:p>
                          </w:txbxContent>
                        </wps:txbx>
                        <wps:bodyPr horzOverflow="overflow" vert="horz" lIns="0" tIns="0" rIns="0" bIns="0" rtlCol="0">
                          <a:noAutofit/>
                        </wps:bodyPr>
                      </wps:wsp>
                      <wps:wsp>
                        <wps:cNvPr id="200927" name="Rectangle 200927"/>
                        <wps:cNvSpPr/>
                        <wps:spPr>
                          <a:xfrm rot="-10799999">
                            <a:off x="2634825" y="5749976"/>
                            <a:ext cx="5212809" cy="142889"/>
                          </a:xfrm>
                          <a:prstGeom prst="rect">
                            <a:avLst/>
                          </a:prstGeom>
                          <a:ln>
                            <a:noFill/>
                          </a:ln>
                        </wps:spPr>
                        <wps:txbx>
                          <w:txbxContent>
                            <w:p w14:paraId="380CCDD0"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928" name="Rectangle 200928"/>
                        <wps:cNvSpPr/>
                        <wps:spPr>
                          <a:xfrm rot="-10799999">
                            <a:off x="-1280212" y="5749976"/>
                            <a:ext cx="5212808" cy="142889"/>
                          </a:xfrm>
                          <a:prstGeom prst="rect">
                            <a:avLst/>
                          </a:prstGeom>
                          <a:ln>
                            <a:noFill/>
                          </a:ln>
                        </wps:spPr>
                        <wps:txbx>
                          <w:txbxContent>
                            <w:p w14:paraId="6A2453C3" w14:textId="77777777" w:rsidR="00B32EF2" w:rsidRDefault="00000000">
                              <w:r>
                                <w:rPr>
                                  <w:rFonts w:ascii="Arial" w:eastAsia="Arial" w:hAnsi="Arial" w:cs="Arial"/>
                                  <w:sz w:val="18"/>
                                </w:rPr>
                                <w:t>. Il presidente della corte di giustizia tributaria di primo e secondo grado as</w:t>
                              </w:r>
                            </w:p>
                          </w:txbxContent>
                        </wps:txbx>
                        <wps:bodyPr horzOverflow="overflow" vert="horz" lIns="0" tIns="0" rIns="0" bIns="0" rtlCol="0">
                          <a:noAutofit/>
                        </wps:bodyPr>
                      </wps:wsp>
                      <wps:wsp>
                        <wps:cNvPr id="18123" name="Rectangle 18123"/>
                        <wps:cNvSpPr/>
                        <wps:spPr>
                          <a:xfrm rot="-10799999">
                            <a:off x="19181" y="5749975"/>
                            <a:ext cx="50622" cy="142889"/>
                          </a:xfrm>
                          <a:prstGeom prst="rect">
                            <a:avLst/>
                          </a:prstGeom>
                          <a:ln>
                            <a:noFill/>
                          </a:ln>
                        </wps:spPr>
                        <wps:txbx>
                          <w:txbxContent>
                            <w:p w14:paraId="4FDE77B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124" name="Rectangle 18124"/>
                        <wps:cNvSpPr/>
                        <wps:spPr>
                          <a:xfrm rot="-10799999">
                            <a:off x="-1317286" y="5626646"/>
                            <a:ext cx="5309066" cy="142889"/>
                          </a:xfrm>
                          <a:prstGeom prst="rect">
                            <a:avLst/>
                          </a:prstGeom>
                          <a:ln>
                            <a:noFill/>
                          </a:ln>
                        </wps:spPr>
                        <wps:txbx>
                          <w:txbxContent>
                            <w:p w14:paraId="55C10187" w14:textId="77777777" w:rsidR="00B32EF2" w:rsidRDefault="00000000">
                              <w:r>
                                <w:rPr>
                                  <w:rFonts w:ascii="Arial" w:eastAsia="Arial" w:hAnsi="Arial" w:cs="Arial"/>
                                  <w:sz w:val="18"/>
                                </w:rPr>
                                <w:t xml:space="preserve">segna il ricorso ad una delle sezioni; al di fuori dei casi di cui all’articolo 77, </w:t>
                              </w:r>
                            </w:p>
                          </w:txbxContent>
                        </wps:txbx>
                        <wps:bodyPr horzOverflow="overflow" vert="horz" lIns="0" tIns="0" rIns="0" bIns="0" rtlCol="0">
                          <a:noAutofit/>
                        </wps:bodyPr>
                      </wps:wsp>
                      <wps:wsp>
                        <wps:cNvPr id="18125" name="Rectangle 18125"/>
                        <wps:cNvSpPr/>
                        <wps:spPr>
                          <a:xfrm rot="-10799999">
                            <a:off x="-1317210" y="5503316"/>
                            <a:ext cx="5308990" cy="142889"/>
                          </a:xfrm>
                          <a:prstGeom prst="rect">
                            <a:avLst/>
                          </a:prstGeom>
                          <a:ln>
                            <a:noFill/>
                          </a:ln>
                        </wps:spPr>
                        <wps:txbx>
                          <w:txbxContent>
                            <w:p w14:paraId="72BC2263" w14:textId="77777777" w:rsidR="00B32EF2" w:rsidRDefault="00000000">
                              <w:r>
                                <w:rPr>
                                  <w:rFonts w:ascii="Arial" w:eastAsia="Arial" w:hAnsi="Arial" w:cs="Arial"/>
                                  <w:sz w:val="18"/>
                                </w:rPr>
                                <w:t xml:space="preserve">comma 1, il presidente della corte di giustizia tributaria potrà assumere gli </w:t>
                              </w:r>
                            </w:p>
                          </w:txbxContent>
                        </wps:txbx>
                        <wps:bodyPr horzOverflow="overflow" vert="horz" lIns="0" tIns="0" rIns="0" bIns="0" rtlCol="0">
                          <a:noAutofit/>
                        </wps:bodyPr>
                      </wps:wsp>
                      <wps:wsp>
                        <wps:cNvPr id="18126" name="Rectangle 18126"/>
                        <wps:cNvSpPr/>
                        <wps:spPr>
                          <a:xfrm rot="-10799999">
                            <a:off x="-1317210" y="5379987"/>
                            <a:ext cx="5308990" cy="142889"/>
                          </a:xfrm>
                          <a:prstGeom prst="rect">
                            <a:avLst/>
                          </a:prstGeom>
                          <a:ln>
                            <a:noFill/>
                          </a:ln>
                        </wps:spPr>
                        <wps:txbx>
                          <w:txbxContent>
                            <w:p w14:paraId="6F31EE73" w14:textId="77777777" w:rsidR="00B32EF2" w:rsidRDefault="00000000">
                              <w:r>
                                <w:rPr>
                                  <w:rFonts w:ascii="Arial" w:eastAsia="Arial" w:hAnsi="Arial" w:cs="Arial"/>
                                  <w:sz w:val="18"/>
                                </w:rPr>
                                <w:t xml:space="preserve">opportuni provvedimenti affinché i ricorsi concernenti identiche questioni di </w:t>
                              </w:r>
                            </w:p>
                          </w:txbxContent>
                        </wps:txbx>
                        <wps:bodyPr horzOverflow="overflow" vert="horz" lIns="0" tIns="0" rIns="0" bIns="0" rtlCol="0">
                          <a:noAutofit/>
                        </wps:bodyPr>
                      </wps:wsp>
                      <wps:wsp>
                        <wps:cNvPr id="18127" name="Rectangle 18127"/>
                        <wps:cNvSpPr/>
                        <wps:spPr>
                          <a:xfrm rot="-10799999">
                            <a:off x="-1221028" y="5256657"/>
                            <a:ext cx="5212808" cy="142889"/>
                          </a:xfrm>
                          <a:prstGeom prst="rect">
                            <a:avLst/>
                          </a:prstGeom>
                          <a:ln>
                            <a:noFill/>
                          </a:ln>
                        </wps:spPr>
                        <wps:txbx>
                          <w:txbxContent>
                            <w:p w14:paraId="2F5B160A" w14:textId="77777777" w:rsidR="00B32EF2" w:rsidRDefault="00000000">
                              <w:r>
                                <w:rPr>
                                  <w:rFonts w:ascii="Arial" w:eastAsia="Arial" w:hAnsi="Arial" w:cs="Arial"/>
                                  <w:sz w:val="18"/>
                                </w:rPr>
                                <w:t>diritto a carattere ripetitivo vengano assegnati alla medesima sezione per es</w:t>
                              </w:r>
                            </w:p>
                          </w:txbxContent>
                        </wps:txbx>
                        <wps:bodyPr horzOverflow="overflow" vert="horz" lIns="0" tIns="0" rIns="0" bIns="0" rtlCol="0">
                          <a:noAutofit/>
                        </wps:bodyPr>
                      </wps:wsp>
                      <wps:wsp>
                        <wps:cNvPr id="18128" name="Rectangle 18128"/>
                        <wps:cNvSpPr/>
                        <wps:spPr>
                          <a:xfrm rot="-10799999">
                            <a:off x="19181" y="5256657"/>
                            <a:ext cx="50622" cy="142889"/>
                          </a:xfrm>
                          <a:prstGeom prst="rect">
                            <a:avLst/>
                          </a:prstGeom>
                          <a:ln>
                            <a:noFill/>
                          </a:ln>
                        </wps:spPr>
                        <wps:txbx>
                          <w:txbxContent>
                            <w:p w14:paraId="6370E6A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129" name="Rectangle 18129"/>
                        <wps:cNvSpPr/>
                        <wps:spPr>
                          <a:xfrm rot="-10799999">
                            <a:off x="2038335" y="5133327"/>
                            <a:ext cx="1953444" cy="142889"/>
                          </a:xfrm>
                          <a:prstGeom prst="rect">
                            <a:avLst/>
                          </a:prstGeom>
                          <a:ln>
                            <a:noFill/>
                          </a:ln>
                        </wps:spPr>
                        <wps:txbx>
                          <w:txbxContent>
                            <w:p w14:paraId="7939D12A" w14:textId="77777777" w:rsidR="00B32EF2" w:rsidRDefault="00000000">
                              <w:r>
                                <w:rPr>
                                  <w:rFonts w:ascii="Arial" w:eastAsia="Arial" w:hAnsi="Arial" w:cs="Arial"/>
                                  <w:sz w:val="18"/>
                                </w:rPr>
                                <w:t>sere trattati congiuntamente.</w:t>
                              </w:r>
                            </w:p>
                          </w:txbxContent>
                        </wps:txbx>
                        <wps:bodyPr horzOverflow="overflow" vert="horz" lIns="0" tIns="0" rIns="0" bIns="0" rtlCol="0">
                          <a:noAutofit/>
                        </wps:bodyPr>
                      </wps:wsp>
                      <wps:wsp>
                        <wps:cNvPr id="18130" name="Rectangle 18130"/>
                        <wps:cNvSpPr/>
                        <wps:spPr>
                          <a:xfrm rot="-10799999">
                            <a:off x="1514259" y="4886668"/>
                            <a:ext cx="797309" cy="142889"/>
                          </a:xfrm>
                          <a:prstGeom prst="rect">
                            <a:avLst/>
                          </a:prstGeom>
                          <a:ln>
                            <a:noFill/>
                          </a:ln>
                        </wps:spPr>
                        <wps:txbx>
                          <w:txbxContent>
                            <w:p w14:paraId="1768817C" w14:textId="77777777" w:rsidR="00B32EF2" w:rsidRDefault="00000000">
                              <w:r>
                                <w:rPr>
                                  <w:rFonts w:ascii="Arial" w:eastAsia="Arial" w:hAnsi="Arial" w:cs="Arial"/>
                                  <w:b/>
                                  <w:sz w:val="18"/>
                                </w:rPr>
                                <w:t>Articolo 74</w:t>
                              </w:r>
                            </w:p>
                          </w:txbxContent>
                        </wps:txbx>
                        <wps:bodyPr horzOverflow="overflow" vert="horz" lIns="0" tIns="0" rIns="0" bIns="0" rtlCol="0">
                          <a:noAutofit/>
                        </wps:bodyPr>
                      </wps:wsp>
                      <wps:wsp>
                        <wps:cNvPr id="200924" name="Rectangle 200924"/>
                        <wps:cNvSpPr/>
                        <wps:spPr>
                          <a:xfrm rot="-10799999">
                            <a:off x="2221266" y="4763338"/>
                            <a:ext cx="1936191" cy="142889"/>
                          </a:xfrm>
                          <a:prstGeom prst="rect">
                            <a:avLst/>
                          </a:prstGeom>
                          <a:ln>
                            <a:noFill/>
                          </a:ln>
                        </wps:spPr>
                        <wps:txbx>
                          <w:txbxContent>
                            <w:p w14:paraId="6221EFB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925" name="Rectangle 200925"/>
                        <wps:cNvSpPr/>
                        <wps:spPr>
                          <a:xfrm rot="-10799999">
                            <a:off x="-258025" y="4763337"/>
                            <a:ext cx="1936190" cy="142889"/>
                          </a:xfrm>
                          <a:prstGeom prst="rect">
                            <a:avLst/>
                          </a:prstGeom>
                          <a:ln>
                            <a:noFill/>
                          </a:ln>
                        </wps:spPr>
                        <wps:txbx>
                          <w:txbxContent>
                            <w:p w14:paraId="67B3232E" w14:textId="77777777" w:rsidR="00B32EF2" w:rsidRDefault="00000000">
                              <w:r>
                                <w:rPr>
                                  <w:rFonts w:ascii="Arial" w:eastAsia="Arial" w:hAnsi="Arial" w:cs="Arial"/>
                                  <w:i/>
                                  <w:sz w:val="18"/>
                                </w:rPr>
                                <w:t>472/97)</w:t>
                              </w:r>
                            </w:p>
                          </w:txbxContent>
                        </wps:txbx>
                        <wps:bodyPr horzOverflow="overflow" vert="horz" lIns="0" tIns="0" rIns="0" bIns="0" rtlCol="0">
                          <a:noAutofit/>
                        </wps:bodyPr>
                      </wps:wsp>
                      <wps:wsp>
                        <wps:cNvPr id="200926" name="Rectangle 200926"/>
                        <wps:cNvSpPr/>
                        <wps:spPr>
                          <a:xfrm rot="-10799999">
                            <a:off x="1162597" y="4763338"/>
                            <a:ext cx="1936190" cy="142889"/>
                          </a:xfrm>
                          <a:prstGeom prst="rect">
                            <a:avLst/>
                          </a:prstGeom>
                          <a:ln>
                            <a:noFill/>
                          </a:ln>
                        </wps:spPr>
                        <wps:txbx>
                          <w:txbxContent>
                            <w:p w14:paraId="2A3E858A" w14:textId="77777777" w:rsidR="00B32EF2" w:rsidRDefault="00000000">
                              <w:r>
                                <w:rPr>
                                  <w:rFonts w:ascii="Arial" w:eastAsia="Arial" w:hAnsi="Arial" w:cs="Arial"/>
                                  <w:i/>
                                  <w:sz w:val="18"/>
                                </w:rPr>
                                <w:t xml:space="preserve">articolo 22 D.lgs. n. </w:t>
                              </w:r>
                            </w:p>
                          </w:txbxContent>
                        </wps:txbx>
                        <wps:bodyPr horzOverflow="overflow" vert="horz" lIns="0" tIns="0" rIns="0" bIns="0" rtlCol="0">
                          <a:noAutofit/>
                        </wps:bodyPr>
                      </wps:wsp>
                      <wps:wsp>
                        <wps:cNvPr id="18132" name="Rectangle 18132"/>
                        <wps:cNvSpPr/>
                        <wps:spPr>
                          <a:xfrm rot="-10799999">
                            <a:off x="434556" y="4640009"/>
                            <a:ext cx="2502005" cy="142889"/>
                          </a:xfrm>
                          <a:prstGeom prst="rect">
                            <a:avLst/>
                          </a:prstGeom>
                          <a:ln>
                            <a:noFill/>
                          </a:ln>
                        </wps:spPr>
                        <wps:txbx>
                          <w:txbxContent>
                            <w:p w14:paraId="7F1075DC" w14:textId="77777777" w:rsidR="00B32EF2" w:rsidRDefault="00000000">
                              <w:r>
                                <w:rPr>
                                  <w:rFonts w:ascii="Arial" w:eastAsia="Arial" w:hAnsi="Arial" w:cs="Arial"/>
                                  <w:b/>
                                  <w:sz w:val="18"/>
                                </w:rPr>
                                <w:t xml:space="preserve">Ipoteca e sequestro conservativo </w:t>
                              </w:r>
                            </w:p>
                          </w:txbxContent>
                        </wps:txbx>
                        <wps:bodyPr horzOverflow="overflow" vert="horz" lIns="0" tIns="0" rIns="0" bIns="0" rtlCol="0">
                          <a:noAutofit/>
                        </wps:bodyPr>
                      </wps:wsp>
                      <wps:wsp>
                        <wps:cNvPr id="200923" name="Rectangle 200923"/>
                        <wps:cNvSpPr/>
                        <wps:spPr>
                          <a:xfrm rot="-10799999">
                            <a:off x="-1279673" y="4516679"/>
                            <a:ext cx="5212382" cy="142889"/>
                          </a:xfrm>
                          <a:prstGeom prst="rect">
                            <a:avLst/>
                          </a:prstGeom>
                          <a:ln>
                            <a:noFill/>
                          </a:ln>
                        </wps:spPr>
                        <wps:txbx>
                          <w:txbxContent>
                            <w:p w14:paraId="7FAE574D" w14:textId="77777777" w:rsidR="00B32EF2" w:rsidRDefault="00000000">
                              <w:r>
                                <w:rPr>
                                  <w:rFonts w:ascii="Arial" w:eastAsia="Arial" w:hAnsi="Arial" w:cs="Arial"/>
                                  <w:sz w:val="18"/>
                                </w:rPr>
                                <w:t>. In base all’atto di contestazione, al provvedimento di irrogazione della san</w:t>
                              </w:r>
                            </w:p>
                          </w:txbxContent>
                        </wps:txbx>
                        <wps:bodyPr horzOverflow="overflow" vert="horz" lIns="0" tIns="0" rIns="0" bIns="0" rtlCol="0">
                          <a:noAutofit/>
                        </wps:bodyPr>
                      </wps:wsp>
                      <wps:wsp>
                        <wps:cNvPr id="200922" name="Rectangle 200922"/>
                        <wps:cNvSpPr/>
                        <wps:spPr>
                          <a:xfrm rot="-10799999">
                            <a:off x="2635044" y="4516679"/>
                            <a:ext cx="5212383" cy="142889"/>
                          </a:xfrm>
                          <a:prstGeom prst="rect">
                            <a:avLst/>
                          </a:prstGeom>
                          <a:ln>
                            <a:noFill/>
                          </a:ln>
                        </wps:spPr>
                        <wps:txbx>
                          <w:txbxContent>
                            <w:p w14:paraId="7666235D"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8134" name="Rectangle 18134"/>
                        <wps:cNvSpPr/>
                        <wps:spPr>
                          <a:xfrm rot="-10799999">
                            <a:off x="19295" y="4516678"/>
                            <a:ext cx="50622" cy="142889"/>
                          </a:xfrm>
                          <a:prstGeom prst="rect">
                            <a:avLst/>
                          </a:prstGeom>
                          <a:ln>
                            <a:noFill/>
                          </a:ln>
                        </wps:spPr>
                        <wps:txbx>
                          <w:txbxContent>
                            <w:p w14:paraId="6F839DF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135" name="Rectangle 18135"/>
                        <wps:cNvSpPr/>
                        <wps:spPr>
                          <a:xfrm rot="-10799999">
                            <a:off x="-1317112" y="4393349"/>
                            <a:ext cx="5309005" cy="142889"/>
                          </a:xfrm>
                          <a:prstGeom prst="rect">
                            <a:avLst/>
                          </a:prstGeom>
                          <a:ln>
                            <a:noFill/>
                          </a:ln>
                        </wps:spPr>
                        <wps:txbx>
                          <w:txbxContent>
                            <w:p w14:paraId="3CDD7CED" w14:textId="77777777" w:rsidR="00B32EF2" w:rsidRDefault="00000000">
                              <w:r>
                                <w:rPr>
                                  <w:rFonts w:ascii="Arial" w:eastAsia="Arial" w:hAnsi="Arial" w:cs="Arial"/>
                                  <w:sz w:val="18"/>
                                </w:rPr>
                                <w:t xml:space="preserve">zione o al processo verbale di constatazione e dopo la loro notifica, l’ufficio o </w:t>
                              </w:r>
                            </w:p>
                          </w:txbxContent>
                        </wps:txbx>
                        <wps:bodyPr horzOverflow="overflow" vert="horz" lIns="0" tIns="0" rIns="0" bIns="0" rtlCol="0">
                          <a:noAutofit/>
                        </wps:bodyPr>
                      </wps:wsp>
                      <wps:wsp>
                        <wps:cNvPr id="18136" name="Rectangle 18136"/>
                        <wps:cNvSpPr/>
                        <wps:spPr>
                          <a:xfrm rot="-10799999">
                            <a:off x="-1317081" y="4270019"/>
                            <a:ext cx="5308975" cy="142889"/>
                          </a:xfrm>
                          <a:prstGeom prst="rect">
                            <a:avLst/>
                          </a:prstGeom>
                          <a:ln>
                            <a:noFill/>
                          </a:ln>
                        </wps:spPr>
                        <wps:txbx>
                          <w:txbxContent>
                            <w:p w14:paraId="7A11A43B" w14:textId="77777777" w:rsidR="00B32EF2" w:rsidRDefault="00000000">
                              <w:r>
                                <w:rPr>
                                  <w:rFonts w:ascii="Arial" w:eastAsia="Arial" w:hAnsi="Arial" w:cs="Arial"/>
                                  <w:sz w:val="18"/>
                                </w:rPr>
                                <w:t xml:space="preserve">l’ente, quando ha fondato timore di perdere la garanzia del proprio credito, può </w:t>
                              </w:r>
                            </w:p>
                          </w:txbxContent>
                        </wps:txbx>
                        <wps:bodyPr horzOverflow="overflow" vert="horz" lIns="0" tIns="0" rIns="0" bIns="0" rtlCol="0">
                          <a:noAutofit/>
                        </wps:bodyPr>
                      </wps:wsp>
                      <wps:wsp>
                        <wps:cNvPr id="18137" name="Rectangle 18137"/>
                        <wps:cNvSpPr/>
                        <wps:spPr>
                          <a:xfrm rot="-10799999">
                            <a:off x="-1317096" y="4146690"/>
                            <a:ext cx="5308990" cy="142889"/>
                          </a:xfrm>
                          <a:prstGeom prst="rect">
                            <a:avLst/>
                          </a:prstGeom>
                          <a:ln>
                            <a:noFill/>
                          </a:ln>
                        </wps:spPr>
                        <wps:txbx>
                          <w:txbxContent>
                            <w:p w14:paraId="67769A35" w14:textId="77777777" w:rsidR="00B32EF2" w:rsidRDefault="00000000">
                              <w:r>
                                <w:rPr>
                                  <w:rFonts w:ascii="Arial" w:eastAsia="Arial" w:hAnsi="Arial" w:cs="Arial"/>
                                  <w:sz w:val="18"/>
                                </w:rPr>
                                <w:t xml:space="preserve">chiedere, con istanza motivata, al presidente della corte di giustizia tributaria </w:t>
                              </w:r>
                            </w:p>
                          </w:txbxContent>
                        </wps:txbx>
                        <wps:bodyPr horzOverflow="overflow" vert="horz" lIns="0" tIns="0" rIns="0" bIns="0" rtlCol="0">
                          <a:noAutofit/>
                        </wps:bodyPr>
                      </wps:wsp>
                      <wps:wsp>
                        <wps:cNvPr id="18138" name="Rectangle 18138"/>
                        <wps:cNvSpPr/>
                        <wps:spPr>
                          <a:xfrm rot="-10799999">
                            <a:off x="-1317051" y="4023360"/>
                            <a:ext cx="5308946" cy="142889"/>
                          </a:xfrm>
                          <a:prstGeom prst="rect">
                            <a:avLst/>
                          </a:prstGeom>
                          <a:ln>
                            <a:noFill/>
                          </a:ln>
                        </wps:spPr>
                        <wps:txbx>
                          <w:txbxContent>
                            <w:p w14:paraId="3C851161" w14:textId="77777777" w:rsidR="00B32EF2" w:rsidRDefault="00000000">
                              <w:r>
                                <w:rPr>
                                  <w:rFonts w:ascii="Arial" w:eastAsia="Arial" w:hAnsi="Arial" w:cs="Arial"/>
                                  <w:sz w:val="18"/>
                                </w:rPr>
                                <w:t xml:space="preserve">di primo grado l’iscrizione di ipoteca sui beni del trasgressore e dei soggetti </w:t>
                              </w:r>
                            </w:p>
                          </w:txbxContent>
                        </wps:txbx>
                        <wps:bodyPr horzOverflow="overflow" vert="horz" lIns="0" tIns="0" rIns="0" bIns="0" rtlCol="0">
                          <a:noAutofit/>
                        </wps:bodyPr>
                      </wps:wsp>
                      <wps:wsp>
                        <wps:cNvPr id="18139" name="Rectangle 18139"/>
                        <wps:cNvSpPr/>
                        <wps:spPr>
                          <a:xfrm rot="-10799999">
                            <a:off x="-1220458" y="3900030"/>
                            <a:ext cx="5212352" cy="142889"/>
                          </a:xfrm>
                          <a:prstGeom prst="rect">
                            <a:avLst/>
                          </a:prstGeom>
                          <a:ln>
                            <a:noFill/>
                          </a:ln>
                        </wps:spPr>
                        <wps:txbx>
                          <w:txbxContent>
                            <w:p w14:paraId="74381265" w14:textId="77777777" w:rsidR="00B32EF2" w:rsidRDefault="00000000">
                              <w:r>
                                <w:rPr>
                                  <w:rFonts w:ascii="Arial" w:eastAsia="Arial" w:hAnsi="Arial" w:cs="Arial"/>
                                  <w:sz w:val="18"/>
                                </w:rPr>
                                <w:t>obbligati in solido e l’autorizzazione a procedere, a mezzo di ufficiale giudi</w:t>
                              </w:r>
                            </w:p>
                          </w:txbxContent>
                        </wps:txbx>
                        <wps:bodyPr horzOverflow="overflow" vert="horz" lIns="0" tIns="0" rIns="0" bIns="0" rtlCol="0">
                          <a:noAutofit/>
                        </wps:bodyPr>
                      </wps:wsp>
                      <wps:wsp>
                        <wps:cNvPr id="18140" name="Rectangle 18140"/>
                        <wps:cNvSpPr/>
                        <wps:spPr>
                          <a:xfrm rot="-10799999">
                            <a:off x="19295" y="3900030"/>
                            <a:ext cx="50622" cy="142889"/>
                          </a:xfrm>
                          <a:prstGeom prst="rect">
                            <a:avLst/>
                          </a:prstGeom>
                          <a:ln>
                            <a:noFill/>
                          </a:ln>
                        </wps:spPr>
                        <wps:txbx>
                          <w:txbxContent>
                            <w:p w14:paraId="31D560C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141" name="Rectangle 18141"/>
                        <wps:cNvSpPr/>
                        <wps:spPr>
                          <a:xfrm rot="-10799999">
                            <a:off x="-1317172" y="3776701"/>
                            <a:ext cx="5309066" cy="142889"/>
                          </a:xfrm>
                          <a:prstGeom prst="rect">
                            <a:avLst/>
                          </a:prstGeom>
                          <a:ln>
                            <a:noFill/>
                          </a:ln>
                        </wps:spPr>
                        <wps:txbx>
                          <w:txbxContent>
                            <w:p w14:paraId="087F92F0" w14:textId="77777777" w:rsidR="00B32EF2" w:rsidRDefault="00000000">
                              <w:r>
                                <w:rPr>
                                  <w:rFonts w:ascii="Arial" w:eastAsia="Arial" w:hAnsi="Arial" w:cs="Arial"/>
                                  <w:sz w:val="18"/>
                                </w:rPr>
                                <w:t xml:space="preserve">ziario, al sequestro conservativo dei loro beni, compresa l’azienda. A tal fine </w:t>
                              </w:r>
                            </w:p>
                          </w:txbxContent>
                        </wps:txbx>
                        <wps:bodyPr horzOverflow="overflow" vert="horz" lIns="0" tIns="0" rIns="0" bIns="0" rtlCol="0">
                          <a:noAutofit/>
                        </wps:bodyPr>
                      </wps:wsp>
                      <wps:wsp>
                        <wps:cNvPr id="18142" name="Rectangle 18142"/>
                        <wps:cNvSpPr/>
                        <wps:spPr>
                          <a:xfrm rot="-10799999">
                            <a:off x="-1317051" y="3653371"/>
                            <a:ext cx="5308946" cy="142889"/>
                          </a:xfrm>
                          <a:prstGeom prst="rect">
                            <a:avLst/>
                          </a:prstGeom>
                          <a:ln>
                            <a:noFill/>
                          </a:ln>
                        </wps:spPr>
                        <wps:txbx>
                          <w:txbxContent>
                            <w:p w14:paraId="7BC7A92A" w14:textId="77777777" w:rsidR="00B32EF2" w:rsidRDefault="00000000">
                              <w:r>
                                <w:rPr>
                                  <w:rFonts w:ascii="Arial" w:eastAsia="Arial" w:hAnsi="Arial" w:cs="Arial"/>
                                  <w:sz w:val="18"/>
                                </w:rPr>
                                <w:t xml:space="preserve">l’Agenzia delle entrate si avvale anche del potere di cui agli articoli 32, primo </w:t>
                              </w:r>
                            </w:p>
                          </w:txbxContent>
                        </wps:txbx>
                        <wps:bodyPr horzOverflow="overflow" vert="horz" lIns="0" tIns="0" rIns="0" bIns="0" rtlCol="0">
                          <a:noAutofit/>
                        </wps:bodyPr>
                      </wps:wsp>
                      <wps:wsp>
                        <wps:cNvPr id="18143" name="Rectangle 18143"/>
                        <wps:cNvSpPr/>
                        <wps:spPr>
                          <a:xfrm rot="-10799999">
                            <a:off x="-1316990" y="3530041"/>
                            <a:ext cx="5308884" cy="142889"/>
                          </a:xfrm>
                          <a:prstGeom prst="rect">
                            <a:avLst/>
                          </a:prstGeom>
                          <a:ln>
                            <a:noFill/>
                          </a:ln>
                        </wps:spPr>
                        <wps:txbx>
                          <w:txbxContent>
                            <w:p w14:paraId="79253AB7" w14:textId="77777777" w:rsidR="00B32EF2" w:rsidRDefault="00000000">
                              <w:r>
                                <w:rPr>
                                  <w:rFonts w:ascii="Arial" w:eastAsia="Arial" w:hAnsi="Arial" w:cs="Arial"/>
                                  <w:sz w:val="18"/>
                                </w:rPr>
                                <w:t xml:space="preserve">comma, numero 7), del decreto del Presidente della Repubblica 29 settembre </w:t>
                              </w:r>
                            </w:p>
                          </w:txbxContent>
                        </wps:txbx>
                        <wps:bodyPr horzOverflow="overflow" vert="horz" lIns="0" tIns="0" rIns="0" bIns="0" rtlCol="0">
                          <a:noAutofit/>
                        </wps:bodyPr>
                      </wps:wsp>
                      <wps:wsp>
                        <wps:cNvPr id="200920" name="Rectangle 200920"/>
                        <wps:cNvSpPr/>
                        <wps:spPr>
                          <a:xfrm rot="-10799999">
                            <a:off x="2424845" y="3406712"/>
                            <a:ext cx="5308946" cy="142889"/>
                          </a:xfrm>
                          <a:prstGeom prst="rect">
                            <a:avLst/>
                          </a:prstGeom>
                          <a:ln>
                            <a:noFill/>
                          </a:ln>
                        </wps:spPr>
                        <wps:txbx>
                          <w:txbxContent>
                            <w:p w14:paraId="5A6EDFF0" w14:textId="77777777" w:rsidR="00B32EF2" w:rsidRDefault="00000000">
                              <w:r>
                                <w:rPr>
                                  <w:rFonts w:ascii="Arial" w:eastAsia="Arial" w:hAnsi="Arial" w:cs="Arial"/>
                                  <w:sz w:val="18"/>
                                </w:rPr>
                                <w:t>1973</w:t>
                              </w:r>
                            </w:p>
                          </w:txbxContent>
                        </wps:txbx>
                        <wps:bodyPr horzOverflow="overflow" vert="horz" lIns="0" tIns="0" rIns="0" bIns="0" rtlCol="0">
                          <a:noAutofit/>
                        </wps:bodyPr>
                      </wps:wsp>
                      <wps:wsp>
                        <wps:cNvPr id="200921" name="Rectangle 200921"/>
                        <wps:cNvSpPr/>
                        <wps:spPr>
                          <a:xfrm rot="-10799999">
                            <a:off x="-1567551" y="3406712"/>
                            <a:ext cx="5308945" cy="142889"/>
                          </a:xfrm>
                          <a:prstGeom prst="rect">
                            <a:avLst/>
                          </a:prstGeom>
                          <a:ln>
                            <a:noFill/>
                          </a:ln>
                        </wps:spPr>
                        <wps:txbx>
                          <w:txbxContent>
                            <w:p w14:paraId="76A28C2B" w14:textId="77777777" w:rsidR="00B32EF2" w:rsidRDefault="00000000">
                              <w:r>
                                <w:rPr>
                                  <w:rFonts w:ascii="Arial" w:eastAsia="Arial" w:hAnsi="Arial" w:cs="Arial"/>
                                  <w:sz w:val="18"/>
                                </w:rPr>
                                <w:t xml:space="preserve">, n. 600 e 51, secondo comma, numero 7), del decreto del Presidente </w:t>
                              </w:r>
                            </w:p>
                          </w:txbxContent>
                        </wps:txbx>
                        <wps:bodyPr horzOverflow="overflow" vert="horz" lIns="0" tIns="0" rIns="0" bIns="0" rtlCol="0">
                          <a:noAutofit/>
                        </wps:bodyPr>
                      </wps:wsp>
                      <wps:wsp>
                        <wps:cNvPr id="18145" name="Rectangle 18145"/>
                        <wps:cNvSpPr/>
                        <wps:spPr>
                          <a:xfrm rot="-10799999">
                            <a:off x="1188268" y="3283382"/>
                            <a:ext cx="2803626" cy="142889"/>
                          </a:xfrm>
                          <a:prstGeom prst="rect">
                            <a:avLst/>
                          </a:prstGeom>
                          <a:ln>
                            <a:noFill/>
                          </a:ln>
                        </wps:spPr>
                        <wps:txbx>
                          <w:txbxContent>
                            <w:p w14:paraId="707CB81F" w14:textId="77777777" w:rsidR="00B32EF2" w:rsidRDefault="00000000">
                              <w:r>
                                <w:rPr>
                                  <w:rFonts w:ascii="Arial" w:eastAsia="Arial" w:hAnsi="Arial" w:cs="Arial"/>
                                  <w:sz w:val="18"/>
                                </w:rPr>
                                <w:t>della Repubblica 26 ottobre 1972, n. 633.</w:t>
                              </w:r>
                            </w:p>
                          </w:txbxContent>
                        </wps:txbx>
                        <wps:bodyPr horzOverflow="overflow" vert="horz" lIns="0" tIns="0" rIns="0" bIns="0" rtlCol="0">
                          <a:noAutofit/>
                        </wps:bodyPr>
                      </wps:wsp>
                      <wps:wsp>
                        <wps:cNvPr id="200919" name="Rectangle 200919"/>
                        <wps:cNvSpPr/>
                        <wps:spPr>
                          <a:xfrm rot="-10799999">
                            <a:off x="-1283646" y="3160166"/>
                            <a:ext cx="5210984" cy="142889"/>
                          </a:xfrm>
                          <a:prstGeom prst="rect">
                            <a:avLst/>
                          </a:prstGeom>
                          <a:ln>
                            <a:noFill/>
                          </a:ln>
                        </wps:spPr>
                        <wps:txbx>
                          <w:txbxContent>
                            <w:p w14:paraId="3B1243D7" w14:textId="77777777" w:rsidR="00B32EF2" w:rsidRDefault="00000000">
                              <w:r>
                                <w:rPr>
                                  <w:rFonts w:ascii="Arial" w:eastAsia="Arial" w:hAnsi="Arial" w:cs="Arial"/>
                                  <w:sz w:val="18"/>
                                </w:rPr>
                                <w:t>. Al fine di rafforzare le misure poste a garanzia del credito erariale e a soste</w:t>
                              </w:r>
                            </w:p>
                          </w:txbxContent>
                        </wps:txbx>
                        <wps:bodyPr horzOverflow="overflow" vert="horz" lIns="0" tIns="0" rIns="0" bIns="0" rtlCol="0">
                          <a:noAutofit/>
                        </wps:bodyPr>
                      </wps:wsp>
                      <wps:wsp>
                        <wps:cNvPr id="200918" name="Rectangle 200918"/>
                        <wps:cNvSpPr/>
                        <wps:spPr>
                          <a:xfrm rot="-10799999">
                            <a:off x="2635391" y="3160166"/>
                            <a:ext cx="5210984" cy="142889"/>
                          </a:xfrm>
                          <a:prstGeom prst="rect">
                            <a:avLst/>
                          </a:prstGeom>
                          <a:ln>
                            <a:noFill/>
                          </a:ln>
                        </wps:spPr>
                        <wps:txbx>
                          <w:txbxContent>
                            <w:p w14:paraId="03AD6B8F"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8147" name="Rectangle 18147"/>
                        <wps:cNvSpPr/>
                        <wps:spPr>
                          <a:xfrm rot="-10799999">
                            <a:off x="19295" y="3160166"/>
                            <a:ext cx="50622" cy="142889"/>
                          </a:xfrm>
                          <a:prstGeom prst="rect">
                            <a:avLst/>
                          </a:prstGeom>
                          <a:ln>
                            <a:noFill/>
                          </a:ln>
                        </wps:spPr>
                        <wps:txbx>
                          <w:txbxContent>
                            <w:p w14:paraId="4535826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148" name="Rectangle 18148"/>
                        <wps:cNvSpPr/>
                        <wps:spPr>
                          <a:xfrm rot="-10799999">
                            <a:off x="-1220944" y="3036951"/>
                            <a:ext cx="5212838" cy="142889"/>
                          </a:xfrm>
                          <a:prstGeom prst="rect">
                            <a:avLst/>
                          </a:prstGeom>
                          <a:ln>
                            <a:noFill/>
                          </a:ln>
                        </wps:spPr>
                        <wps:txbx>
                          <w:txbxContent>
                            <w:p w14:paraId="22D39B26" w14:textId="77777777" w:rsidR="00B32EF2" w:rsidRDefault="00000000">
                              <w:r>
                                <w:rPr>
                                  <w:rFonts w:ascii="Arial" w:eastAsia="Arial" w:hAnsi="Arial" w:cs="Arial"/>
                                  <w:sz w:val="18"/>
                                </w:rPr>
                                <w:t>gno delle relative procedure di riscossione, le istanze di cui al comma 1 pos</w:t>
                              </w:r>
                            </w:p>
                          </w:txbxContent>
                        </wps:txbx>
                        <wps:bodyPr horzOverflow="overflow" vert="horz" lIns="0" tIns="0" rIns="0" bIns="0" rtlCol="0">
                          <a:noAutofit/>
                        </wps:bodyPr>
                      </wps:wsp>
                      <wps:wsp>
                        <wps:cNvPr id="18149" name="Rectangle 18149"/>
                        <wps:cNvSpPr/>
                        <wps:spPr>
                          <a:xfrm rot="-10799999">
                            <a:off x="19295" y="3036951"/>
                            <a:ext cx="50622" cy="142889"/>
                          </a:xfrm>
                          <a:prstGeom prst="rect">
                            <a:avLst/>
                          </a:prstGeom>
                          <a:ln>
                            <a:noFill/>
                          </a:ln>
                        </wps:spPr>
                        <wps:txbx>
                          <w:txbxContent>
                            <w:p w14:paraId="6793838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150" name="Rectangle 18150"/>
                        <wps:cNvSpPr/>
                        <wps:spPr>
                          <a:xfrm rot="-10799999">
                            <a:off x="-1317081" y="2913735"/>
                            <a:ext cx="5308975" cy="142889"/>
                          </a:xfrm>
                          <a:prstGeom prst="rect">
                            <a:avLst/>
                          </a:prstGeom>
                          <a:ln>
                            <a:noFill/>
                          </a:ln>
                        </wps:spPr>
                        <wps:txbx>
                          <w:txbxContent>
                            <w:p w14:paraId="0A09FF80" w14:textId="77777777" w:rsidR="00B32EF2" w:rsidRDefault="00000000">
                              <w:r>
                                <w:rPr>
                                  <w:rFonts w:ascii="Arial" w:eastAsia="Arial" w:hAnsi="Arial" w:cs="Arial"/>
                                  <w:sz w:val="18"/>
                                </w:rPr>
                                <w:t xml:space="preserve">sono essere inoltrate dal comandante provinciale della Guardia di finanza, in </w:t>
                              </w:r>
                            </w:p>
                          </w:txbxContent>
                        </wps:txbx>
                        <wps:bodyPr horzOverflow="overflow" vert="horz" lIns="0" tIns="0" rIns="0" bIns="0" rtlCol="0">
                          <a:noAutofit/>
                        </wps:bodyPr>
                      </wps:wsp>
                      <wps:wsp>
                        <wps:cNvPr id="18151" name="Rectangle 18151"/>
                        <wps:cNvSpPr/>
                        <wps:spPr>
                          <a:xfrm rot="-10799999">
                            <a:off x="-1317187" y="2790520"/>
                            <a:ext cx="5309082" cy="142889"/>
                          </a:xfrm>
                          <a:prstGeom prst="rect">
                            <a:avLst/>
                          </a:prstGeom>
                          <a:ln>
                            <a:noFill/>
                          </a:ln>
                        </wps:spPr>
                        <wps:txbx>
                          <w:txbxContent>
                            <w:p w14:paraId="34748610" w14:textId="77777777" w:rsidR="00B32EF2" w:rsidRDefault="00000000">
                              <w:r>
                                <w:rPr>
                                  <w:rFonts w:ascii="Arial" w:eastAsia="Arial" w:hAnsi="Arial" w:cs="Arial"/>
                                  <w:sz w:val="18"/>
                                </w:rPr>
                                <w:t xml:space="preserve">relazione ai processi verbali di constatazione rilasciati dai reparti dipendenti, </w:t>
                              </w:r>
                            </w:p>
                          </w:txbxContent>
                        </wps:txbx>
                        <wps:bodyPr horzOverflow="overflow" vert="horz" lIns="0" tIns="0" rIns="0" bIns="0" rtlCol="0">
                          <a:noAutofit/>
                        </wps:bodyPr>
                      </wps:wsp>
                      <wps:wsp>
                        <wps:cNvPr id="18152" name="Rectangle 18152"/>
                        <wps:cNvSpPr/>
                        <wps:spPr>
                          <a:xfrm rot="-10799999">
                            <a:off x="-1317066" y="2667304"/>
                            <a:ext cx="5308960" cy="142889"/>
                          </a:xfrm>
                          <a:prstGeom prst="rect">
                            <a:avLst/>
                          </a:prstGeom>
                          <a:ln>
                            <a:noFill/>
                          </a:ln>
                        </wps:spPr>
                        <wps:txbx>
                          <w:txbxContent>
                            <w:p w14:paraId="6318F57A" w14:textId="77777777" w:rsidR="00B32EF2" w:rsidRDefault="00000000">
                              <w:r>
                                <w:rPr>
                                  <w:rFonts w:ascii="Arial" w:eastAsia="Arial" w:hAnsi="Arial" w:cs="Arial"/>
                                  <w:sz w:val="18"/>
                                </w:rPr>
                                <w:t xml:space="preserve">dando tempestiva comunicazione alla direzione provinciale dell’Agenzia delle </w:t>
                              </w:r>
                            </w:p>
                          </w:txbxContent>
                        </wps:txbx>
                        <wps:bodyPr horzOverflow="overflow" vert="horz" lIns="0" tIns="0" rIns="0" bIns="0" rtlCol="0">
                          <a:noAutofit/>
                        </wps:bodyPr>
                      </wps:wsp>
                      <wps:wsp>
                        <wps:cNvPr id="18153" name="Rectangle 18153"/>
                        <wps:cNvSpPr/>
                        <wps:spPr>
                          <a:xfrm rot="-10799999">
                            <a:off x="-1317112" y="2544089"/>
                            <a:ext cx="5309005" cy="142889"/>
                          </a:xfrm>
                          <a:prstGeom prst="rect">
                            <a:avLst/>
                          </a:prstGeom>
                          <a:ln>
                            <a:noFill/>
                          </a:ln>
                        </wps:spPr>
                        <wps:txbx>
                          <w:txbxContent>
                            <w:p w14:paraId="1D60111E" w14:textId="77777777" w:rsidR="00B32EF2" w:rsidRDefault="00000000">
                              <w:r>
                                <w:rPr>
                                  <w:rFonts w:ascii="Arial" w:eastAsia="Arial" w:hAnsi="Arial" w:cs="Arial"/>
                                  <w:sz w:val="18"/>
                                </w:rPr>
                                <w:t xml:space="preserve">entrate, che esamina l’istanza e comunica le proprie eventuali osservazioni al </w:t>
                              </w:r>
                            </w:p>
                          </w:txbxContent>
                        </wps:txbx>
                        <wps:bodyPr horzOverflow="overflow" vert="horz" lIns="0" tIns="0" rIns="0" bIns="0" rtlCol="0">
                          <a:noAutofit/>
                        </wps:bodyPr>
                      </wps:wsp>
                      <wps:wsp>
                        <wps:cNvPr id="18154" name="Rectangle 18154"/>
                        <wps:cNvSpPr/>
                        <wps:spPr>
                          <a:xfrm rot="-10799999">
                            <a:off x="-1220503" y="2420874"/>
                            <a:ext cx="5212398" cy="142889"/>
                          </a:xfrm>
                          <a:prstGeom prst="rect">
                            <a:avLst/>
                          </a:prstGeom>
                          <a:ln>
                            <a:noFill/>
                          </a:ln>
                        </wps:spPr>
                        <wps:txbx>
                          <w:txbxContent>
                            <w:p w14:paraId="2BCBE003" w14:textId="77777777" w:rsidR="00B32EF2" w:rsidRDefault="00000000">
                              <w:r>
                                <w:rPr>
                                  <w:rFonts w:ascii="Arial" w:eastAsia="Arial" w:hAnsi="Arial" w:cs="Arial"/>
                                  <w:sz w:val="18"/>
                                </w:rPr>
                                <w:t>presidente della corte di giustizia tributaria di primo grado, nonché al coman</w:t>
                              </w:r>
                            </w:p>
                          </w:txbxContent>
                        </wps:txbx>
                        <wps:bodyPr horzOverflow="overflow" vert="horz" lIns="0" tIns="0" rIns="0" bIns="0" rtlCol="0">
                          <a:noAutofit/>
                        </wps:bodyPr>
                      </wps:wsp>
                      <wps:wsp>
                        <wps:cNvPr id="18155" name="Rectangle 18155"/>
                        <wps:cNvSpPr/>
                        <wps:spPr>
                          <a:xfrm rot="-10799999">
                            <a:off x="19295" y="2420874"/>
                            <a:ext cx="50622" cy="142889"/>
                          </a:xfrm>
                          <a:prstGeom prst="rect">
                            <a:avLst/>
                          </a:prstGeom>
                          <a:ln>
                            <a:noFill/>
                          </a:ln>
                        </wps:spPr>
                        <wps:txbx>
                          <w:txbxContent>
                            <w:p w14:paraId="6C841D6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156" name="Rectangle 18156"/>
                        <wps:cNvSpPr/>
                        <wps:spPr>
                          <a:xfrm rot="-10799999">
                            <a:off x="-1317142" y="2297658"/>
                            <a:ext cx="5309036" cy="142889"/>
                          </a:xfrm>
                          <a:prstGeom prst="rect">
                            <a:avLst/>
                          </a:prstGeom>
                          <a:ln>
                            <a:noFill/>
                          </a:ln>
                        </wps:spPr>
                        <wps:txbx>
                          <w:txbxContent>
                            <w:p w14:paraId="646B51ED" w14:textId="77777777" w:rsidR="00B32EF2" w:rsidRDefault="00000000">
                              <w:r>
                                <w:rPr>
                                  <w:rFonts w:ascii="Arial" w:eastAsia="Arial" w:hAnsi="Arial" w:cs="Arial"/>
                                  <w:sz w:val="18"/>
                                </w:rPr>
                                <w:t xml:space="preserve">dante provinciale richiedente. Decorso il termine di venti giorni dal ricevimento </w:t>
                              </w:r>
                            </w:p>
                          </w:txbxContent>
                        </wps:txbx>
                        <wps:bodyPr horzOverflow="overflow" vert="horz" lIns="0" tIns="0" rIns="0" bIns="0" rtlCol="0">
                          <a:noAutofit/>
                        </wps:bodyPr>
                      </wps:wsp>
                      <wps:wsp>
                        <wps:cNvPr id="18157" name="Rectangle 18157"/>
                        <wps:cNvSpPr/>
                        <wps:spPr>
                          <a:xfrm rot="-10799999">
                            <a:off x="-1279289" y="2174443"/>
                            <a:ext cx="5271183" cy="142889"/>
                          </a:xfrm>
                          <a:prstGeom prst="rect">
                            <a:avLst/>
                          </a:prstGeom>
                          <a:ln>
                            <a:noFill/>
                          </a:ln>
                        </wps:spPr>
                        <wps:txbx>
                          <w:txbxContent>
                            <w:p w14:paraId="2D12FA2E" w14:textId="77777777" w:rsidR="00B32EF2" w:rsidRDefault="00000000">
                              <w:r>
                                <w:rPr>
                                  <w:rFonts w:ascii="Arial" w:eastAsia="Arial" w:hAnsi="Arial" w:cs="Arial"/>
                                  <w:sz w:val="18"/>
                                </w:rPr>
                                <w:t xml:space="preserve">dell’istanza, si intende acquisito il conforme parere dell’Agenzia delle entrate. </w:t>
                              </w:r>
                            </w:p>
                          </w:txbxContent>
                        </wps:txbx>
                        <wps:bodyPr horzOverflow="overflow" vert="horz" lIns="0" tIns="0" rIns="0" bIns="0" rtlCol="0">
                          <a:noAutofit/>
                        </wps:bodyPr>
                      </wps:wsp>
                      <wps:wsp>
                        <wps:cNvPr id="200917" name="Rectangle 200917"/>
                        <wps:cNvSpPr/>
                        <wps:spPr>
                          <a:xfrm rot="-10799999">
                            <a:off x="-1381649" y="2051228"/>
                            <a:ext cx="5309020" cy="142889"/>
                          </a:xfrm>
                          <a:prstGeom prst="rect">
                            <a:avLst/>
                          </a:prstGeom>
                          <a:ln>
                            <a:noFill/>
                          </a:ln>
                        </wps:spPr>
                        <wps:txbx>
                          <w:txbxContent>
                            <w:p w14:paraId="46FB1C72" w14:textId="77777777" w:rsidR="00B32EF2" w:rsidRDefault="00000000">
                              <w:r>
                                <w:rPr>
                                  <w:rFonts w:ascii="Arial" w:eastAsia="Arial" w:hAnsi="Arial" w:cs="Arial"/>
                                  <w:sz w:val="18"/>
                                </w:rPr>
                                <w:t xml:space="preserve">. Nei casi di cui al comma 2, la Guardia di finanza fornisce all’Agenzia delle </w:t>
                              </w:r>
                            </w:p>
                          </w:txbxContent>
                        </wps:txbx>
                        <wps:bodyPr horzOverflow="overflow" vert="horz" lIns="0" tIns="0" rIns="0" bIns="0" rtlCol="0">
                          <a:noAutofit/>
                        </wps:bodyPr>
                      </wps:wsp>
                      <wps:wsp>
                        <wps:cNvPr id="200916" name="Rectangle 200916"/>
                        <wps:cNvSpPr/>
                        <wps:spPr>
                          <a:xfrm rot="-10799999">
                            <a:off x="2611066" y="2051228"/>
                            <a:ext cx="5309021" cy="142889"/>
                          </a:xfrm>
                          <a:prstGeom prst="rect">
                            <a:avLst/>
                          </a:prstGeom>
                          <a:ln>
                            <a:noFill/>
                          </a:ln>
                        </wps:spPr>
                        <wps:txbx>
                          <w:txbxContent>
                            <w:p w14:paraId="6811CC1F"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8159" name="Rectangle 18159"/>
                        <wps:cNvSpPr/>
                        <wps:spPr>
                          <a:xfrm rot="-10799999">
                            <a:off x="-1317095" y="1928012"/>
                            <a:ext cx="5308989" cy="142889"/>
                          </a:xfrm>
                          <a:prstGeom prst="rect">
                            <a:avLst/>
                          </a:prstGeom>
                          <a:ln>
                            <a:noFill/>
                          </a:ln>
                        </wps:spPr>
                        <wps:txbx>
                          <w:txbxContent>
                            <w:p w14:paraId="19A1062D" w14:textId="77777777" w:rsidR="00B32EF2" w:rsidRDefault="00000000">
                              <w:r>
                                <w:rPr>
                                  <w:rFonts w:ascii="Arial" w:eastAsia="Arial" w:hAnsi="Arial" w:cs="Arial"/>
                                  <w:sz w:val="18"/>
                                </w:rPr>
                                <w:t xml:space="preserve">entrate ogni elemento richiesto ai fini dell’istruttoria e della partecipazione alla </w:t>
                              </w:r>
                            </w:p>
                          </w:txbxContent>
                        </wps:txbx>
                        <wps:bodyPr horzOverflow="overflow" vert="horz" lIns="0" tIns="0" rIns="0" bIns="0" rtlCol="0">
                          <a:noAutofit/>
                        </wps:bodyPr>
                      </wps:wsp>
                      <wps:wsp>
                        <wps:cNvPr id="18160" name="Rectangle 18160"/>
                        <wps:cNvSpPr/>
                        <wps:spPr>
                          <a:xfrm rot="-10799999">
                            <a:off x="-1228986" y="1804797"/>
                            <a:ext cx="5220880" cy="142889"/>
                          </a:xfrm>
                          <a:prstGeom prst="rect">
                            <a:avLst/>
                          </a:prstGeom>
                          <a:ln>
                            <a:noFill/>
                          </a:ln>
                        </wps:spPr>
                        <wps:txbx>
                          <w:txbxContent>
                            <w:p w14:paraId="517BF531" w14:textId="77777777" w:rsidR="00B32EF2" w:rsidRDefault="00000000">
                              <w:r>
                                <w:rPr>
                                  <w:rFonts w:ascii="Arial" w:eastAsia="Arial" w:hAnsi="Arial" w:cs="Arial"/>
                                  <w:sz w:val="18"/>
                                </w:rPr>
                                <w:t>procedura di cui al presente articolo. In caso di richiesta di chiarimenti, è inter</w:t>
                              </w:r>
                            </w:p>
                          </w:txbxContent>
                        </wps:txbx>
                        <wps:bodyPr horzOverflow="overflow" vert="horz" lIns="0" tIns="0" rIns="0" bIns="0" rtlCol="0">
                          <a:noAutofit/>
                        </wps:bodyPr>
                      </wps:wsp>
                      <wps:wsp>
                        <wps:cNvPr id="18161" name="Rectangle 18161"/>
                        <wps:cNvSpPr/>
                        <wps:spPr>
                          <a:xfrm rot="-10799999">
                            <a:off x="19295" y="1804797"/>
                            <a:ext cx="50622" cy="142889"/>
                          </a:xfrm>
                          <a:prstGeom prst="rect">
                            <a:avLst/>
                          </a:prstGeom>
                          <a:ln>
                            <a:noFill/>
                          </a:ln>
                        </wps:spPr>
                        <wps:txbx>
                          <w:txbxContent>
                            <w:p w14:paraId="39B931F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162" name="Rectangle 18162"/>
                        <wps:cNvSpPr/>
                        <wps:spPr>
                          <a:xfrm rot="-10799999">
                            <a:off x="399198" y="1681582"/>
                            <a:ext cx="3592695" cy="142889"/>
                          </a:xfrm>
                          <a:prstGeom prst="rect">
                            <a:avLst/>
                          </a:prstGeom>
                          <a:ln>
                            <a:noFill/>
                          </a:ln>
                        </wps:spPr>
                        <wps:txbx>
                          <w:txbxContent>
                            <w:p w14:paraId="7F09C48B" w14:textId="77777777" w:rsidR="00B32EF2" w:rsidRDefault="00000000">
                              <w:r>
                                <w:rPr>
                                  <w:rFonts w:ascii="Arial" w:eastAsia="Arial" w:hAnsi="Arial" w:cs="Arial"/>
                                  <w:sz w:val="18"/>
                                </w:rPr>
                                <w:t>rotto, per una sola volta, il termine di cui al comma 2.</w:t>
                              </w:r>
                            </w:p>
                          </w:txbxContent>
                        </wps:txbx>
                        <wps:bodyPr horzOverflow="overflow" vert="horz" lIns="0" tIns="0" rIns="0" bIns="0" rtlCol="0">
                          <a:noAutofit/>
                        </wps:bodyPr>
                      </wps:wsp>
                      <wps:wsp>
                        <wps:cNvPr id="200915" name="Rectangle 200915"/>
                        <wps:cNvSpPr/>
                        <wps:spPr>
                          <a:xfrm rot="-10799999">
                            <a:off x="-1291928" y="1558366"/>
                            <a:ext cx="5220682" cy="142889"/>
                          </a:xfrm>
                          <a:prstGeom prst="rect">
                            <a:avLst/>
                          </a:prstGeom>
                          <a:ln>
                            <a:noFill/>
                          </a:ln>
                        </wps:spPr>
                        <wps:txbx>
                          <w:txbxContent>
                            <w:p w14:paraId="29C1C9F3" w14:textId="77777777" w:rsidR="00B32EF2" w:rsidRDefault="00000000">
                              <w:r>
                                <w:rPr>
                                  <w:rFonts w:ascii="Arial" w:eastAsia="Arial" w:hAnsi="Arial" w:cs="Arial"/>
                                  <w:sz w:val="18"/>
                                </w:rPr>
                                <w:t>. Le istanze di cui al comma 1 devono essere notificate, anche tramite il ser</w:t>
                              </w:r>
                            </w:p>
                          </w:txbxContent>
                        </wps:txbx>
                        <wps:bodyPr horzOverflow="overflow" vert="horz" lIns="0" tIns="0" rIns="0" bIns="0" rtlCol="0">
                          <a:noAutofit/>
                        </wps:bodyPr>
                      </wps:wsp>
                      <wps:wsp>
                        <wps:cNvPr id="200914" name="Rectangle 200914"/>
                        <wps:cNvSpPr/>
                        <wps:spPr>
                          <a:xfrm rot="-10799999">
                            <a:off x="2632984" y="1558367"/>
                            <a:ext cx="5220682" cy="142889"/>
                          </a:xfrm>
                          <a:prstGeom prst="rect">
                            <a:avLst/>
                          </a:prstGeom>
                          <a:ln>
                            <a:noFill/>
                          </a:ln>
                        </wps:spPr>
                        <wps:txbx>
                          <w:txbxContent>
                            <w:p w14:paraId="1ADA9542"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8164" name="Rectangle 18164"/>
                        <wps:cNvSpPr/>
                        <wps:spPr>
                          <a:xfrm rot="-10799999">
                            <a:off x="19295" y="1558367"/>
                            <a:ext cx="50622" cy="142889"/>
                          </a:xfrm>
                          <a:prstGeom prst="rect">
                            <a:avLst/>
                          </a:prstGeom>
                          <a:ln>
                            <a:noFill/>
                          </a:ln>
                        </wps:spPr>
                        <wps:txbx>
                          <w:txbxContent>
                            <w:p w14:paraId="6F20578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165" name="Rectangle 18165"/>
                        <wps:cNvSpPr/>
                        <wps:spPr>
                          <a:xfrm rot="-10799999">
                            <a:off x="-1317112" y="1435151"/>
                            <a:ext cx="5309006" cy="142889"/>
                          </a:xfrm>
                          <a:prstGeom prst="rect">
                            <a:avLst/>
                          </a:prstGeom>
                          <a:ln>
                            <a:noFill/>
                          </a:ln>
                        </wps:spPr>
                        <wps:txbx>
                          <w:txbxContent>
                            <w:p w14:paraId="4CC0A5D9" w14:textId="77777777" w:rsidR="00B32EF2" w:rsidRDefault="00000000">
                              <w:r>
                                <w:rPr>
                                  <w:rFonts w:ascii="Arial" w:eastAsia="Arial" w:hAnsi="Arial" w:cs="Arial"/>
                                  <w:sz w:val="18"/>
                                </w:rPr>
                                <w:t xml:space="preserve">vizio postale, alle parti interessate, le quali possono, entro venti giorni dalla </w:t>
                              </w:r>
                            </w:p>
                          </w:txbxContent>
                        </wps:txbx>
                        <wps:bodyPr horzOverflow="overflow" vert="horz" lIns="0" tIns="0" rIns="0" bIns="0" rtlCol="0">
                          <a:noAutofit/>
                        </wps:bodyPr>
                      </wps:wsp>
                      <wps:wsp>
                        <wps:cNvPr id="18166" name="Rectangle 18166"/>
                        <wps:cNvSpPr/>
                        <wps:spPr>
                          <a:xfrm rot="-10799999">
                            <a:off x="487915" y="1311936"/>
                            <a:ext cx="3503977" cy="142889"/>
                          </a:xfrm>
                          <a:prstGeom prst="rect">
                            <a:avLst/>
                          </a:prstGeom>
                          <a:ln>
                            <a:noFill/>
                          </a:ln>
                        </wps:spPr>
                        <wps:txbx>
                          <w:txbxContent>
                            <w:p w14:paraId="5203C47D" w14:textId="77777777" w:rsidR="00B32EF2" w:rsidRDefault="00000000">
                              <w:r>
                                <w:rPr>
                                  <w:rFonts w:ascii="Arial" w:eastAsia="Arial" w:hAnsi="Arial" w:cs="Arial"/>
                                  <w:sz w:val="18"/>
                                </w:rPr>
                                <w:t xml:space="preserve">notifica, depositare memorie e documenti difensivi. </w:t>
                              </w:r>
                            </w:p>
                          </w:txbxContent>
                        </wps:txbx>
                        <wps:bodyPr horzOverflow="overflow" vert="horz" lIns="0" tIns="0" rIns="0" bIns="0" rtlCol="0">
                          <a:noAutofit/>
                        </wps:bodyPr>
                      </wps:wsp>
                      <wps:wsp>
                        <wps:cNvPr id="200913" name="Rectangle 200913"/>
                        <wps:cNvSpPr/>
                        <wps:spPr>
                          <a:xfrm rot="-10799999">
                            <a:off x="-1381524" y="1188720"/>
                            <a:ext cx="5309021" cy="142890"/>
                          </a:xfrm>
                          <a:prstGeom prst="rect">
                            <a:avLst/>
                          </a:prstGeom>
                          <a:ln>
                            <a:noFill/>
                          </a:ln>
                        </wps:spPr>
                        <wps:txbx>
                          <w:txbxContent>
                            <w:p w14:paraId="0D95D697" w14:textId="77777777" w:rsidR="00B32EF2" w:rsidRDefault="00000000">
                              <w:r>
                                <w:rPr>
                                  <w:rFonts w:ascii="Arial" w:eastAsia="Arial" w:hAnsi="Arial" w:cs="Arial"/>
                                  <w:sz w:val="18"/>
                                </w:rPr>
                                <w:t xml:space="preserve">. Il presidente, decorso il termine di cui al comma 4, fissa con decreto la </w:t>
                              </w:r>
                            </w:p>
                          </w:txbxContent>
                        </wps:txbx>
                        <wps:bodyPr horzOverflow="overflow" vert="horz" lIns="0" tIns="0" rIns="0" bIns="0" rtlCol="0">
                          <a:noAutofit/>
                        </wps:bodyPr>
                      </wps:wsp>
                      <wps:wsp>
                        <wps:cNvPr id="200912" name="Rectangle 200912"/>
                        <wps:cNvSpPr/>
                        <wps:spPr>
                          <a:xfrm rot="-10799999">
                            <a:off x="2611066" y="1188720"/>
                            <a:ext cx="5309020" cy="142890"/>
                          </a:xfrm>
                          <a:prstGeom prst="rect">
                            <a:avLst/>
                          </a:prstGeom>
                          <a:ln>
                            <a:noFill/>
                          </a:ln>
                        </wps:spPr>
                        <wps:txbx>
                          <w:txbxContent>
                            <w:p w14:paraId="2A1E0C23"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18168" name="Rectangle 18168"/>
                        <wps:cNvSpPr/>
                        <wps:spPr>
                          <a:xfrm rot="-10799999">
                            <a:off x="-1317096" y="1065505"/>
                            <a:ext cx="5308990" cy="142889"/>
                          </a:xfrm>
                          <a:prstGeom prst="rect">
                            <a:avLst/>
                          </a:prstGeom>
                          <a:ln>
                            <a:noFill/>
                          </a:ln>
                        </wps:spPr>
                        <wps:txbx>
                          <w:txbxContent>
                            <w:p w14:paraId="52DB12BA" w14:textId="77777777" w:rsidR="00B32EF2" w:rsidRDefault="00000000">
                              <w:r>
                                <w:rPr>
                                  <w:rFonts w:ascii="Arial" w:eastAsia="Arial" w:hAnsi="Arial" w:cs="Arial"/>
                                  <w:sz w:val="18"/>
                                </w:rPr>
                                <w:t xml:space="preserve">trattazione dell’istanza per la prima camera di consiglio utile, disponendo che </w:t>
                              </w:r>
                            </w:p>
                          </w:txbxContent>
                        </wps:txbx>
                        <wps:bodyPr horzOverflow="overflow" vert="horz" lIns="0" tIns="0" rIns="0" bIns="0" rtlCol="0">
                          <a:noAutofit/>
                        </wps:bodyPr>
                      </wps:wsp>
                      <wps:wsp>
                        <wps:cNvPr id="18169" name="Rectangle 18169"/>
                        <wps:cNvSpPr/>
                        <wps:spPr>
                          <a:xfrm rot="-10799999">
                            <a:off x="-1317127" y="942290"/>
                            <a:ext cx="5309021" cy="142889"/>
                          </a:xfrm>
                          <a:prstGeom prst="rect">
                            <a:avLst/>
                          </a:prstGeom>
                          <a:ln>
                            <a:noFill/>
                          </a:ln>
                        </wps:spPr>
                        <wps:txbx>
                          <w:txbxContent>
                            <w:p w14:paraId="3BA070B7" w14:textId="77777777" w:rsidR="00B32EF2" w:rsidRDefault="00000000">
                              <w:r>
                                <w:rPr>
                                  <w:rFonts w:ascii="Arial" w:eastAsia="Arial" w:hAnsi="Arial" w:cs="Arial"/>
                                  <w:sz w:val="18"/>
                                </w:rPr>
                                <w:t xml:space="preserve">ne sia data comunicazione alle parti almeno dieci giorni prima. Nel caso in cui </w:t>
                              </w:r>
                            </w:p>
                          </w:txbxContent>
                        </wps:txbx>
                        <wps:bodyPr horzOverflow="overflow" vert="horz" lIns="0" tIns="0" rIns="0" bIns="0" rtlCol="0">
                          <a:noAutofit/>
                        </wps:bodyPr>
                      </wps:wsp>
                      <wps:wsp>
                        <wps:cNvPr id="18170" name="Rectangle 18170"/>
                        <wps:cNvSpPr/>
                        <wps:spPr>
                          <a:xfrm rot="-10799999">
                            <a:off x="-1317112" y="819074"/>
                            <a:ext cx="5309006" cy="142889"/>
                          </a:xfrm>
                          <a:prstGeom prst="rect">
                            <a:avLst/>
                          </a:prstGeom>
                          <a:ln>
                            <a:noFill/>
                          </a:ln>
                        </wps:spPr>
                        <wps:txbx>
                          <w:txbxContent>
                            <w:p w14:paraId="4608C1FF" w14:textId="77777777" w:rsidR="00B32EF2" w:rsidRDefault="00000000">
                              <w:r>
                                <w:rPr>
                                  <w:rFonts w:ascii="Arial" w:eastAsia="Arial" w:hAnsi="Arial" w:cs="Arial"/>
                                  <w:sz w:val="18"/>
                                </w:rPr>
                                <w:t xml:space="preserve">la notificazione debba effettuarsi all’estero, il termine è triplicato. La corte di </w:t>
                              </w:r>
                            </w:p>
                          </w:txbxContent>
                        </wps:txbx>
                        <wps:bodyPr horzOverflow="overflow" vert="horz" lIns="0" tIns="0" rIns="0" bIns="0" rtlCol="0">
                          <a:noAutofit/>
                        </wps:bodyPr>
                      </wps:wsp>
                      <wps:wsp>
                        <wps:cNvPr id="18171" name="Rectangle 18171"/>
                        <wps:cNvSpPr/>
                        <wps:spPr>
                          <a:xfrm rot="-10799999">
                            <a:off x="1248741" y="695859"/>
                            <a:ext cx="2743153" cy="142889"/>
                          </a:xfrm>
                          <a:prstGeom prst="rect">
                            <a:avLst/>
                          </a:prstGeom>
                          <a:ln>
                            <a:noFill/>
                          </a:ln>
                        </wps:spPr>
                        <wps:txbx>
                          <w:txbxContent>
                            <w:p w14:paraId="03DB6DD3" w14:textId="77777777" w:rsidR="00B32EF2" w:rsidRDefault="00000000">
                              <w:r>
                                <w:rPr>
                                  <w:rFonts w:ascii="Arial" w:eastAsia="Arial" w:hAnsi="Arial" w:cs="Arial"/>
                                  <w:sz w:val="18"/>
                                </w:rPr>
                                <w:t xml:space="preserve">giustizia tributaria decide con sentenza. </w:t>
                              </w:r>
                            </w:p>
                          </w:txbxContent>
                        </wps:txbx>
                        <wps:bodyPr horzOverflow="overflow" vert="horz" lIns="0" tIns="0" rIns="0" bIns="0" rtlCol="0">
                          <a:noAutofit/>
                        </wps:bodyPr>
                      </wps:wsp>
                      <wps:wsp>
                        <wps:cNvPr id="200911" name="Rectangle 200911"/>
                        <wps:cNvSpPr/>
                        <wps:spPr>
                          <a:xfrm rot="-10799999">
                            <a:off x="-1285188" y="572643"/>
                            <a:ext cx="5212777" cy="142889"/>
                          </a:xfrm>
                          <a:prstGeom prst="rect">
                            <a:avLst/>
                          </a:prstGeom>
                          <a:ln>
                            <a:noFill/>
                          </a:ln>
                        </wps:spPr>
                        <wps:txbx>
                          <w:txbxContent>
                            <w:p w14:paraId="6652F717" w14:textId="77777777" w:rsidR="00B32EF2" w:rsidRDefault="00000000">
                              <w:r>
                                <w:rPr>
                                  <w:rFonts w:ascii="Arial" w:eastAsia="Arial" w:hAnsi="Arial" w:cs="Arial"/>
                                  <w:sz w:val="18"/>
                                </w:rPr>
                                <w:t>. Quando la convocazione della controparte potrebbe pregiudicare l’attua</w:t>
                              </w:r>
                            </w:p>
                          </w:txbxContent>
                        </wps:txbx>
                        <wps:bodyPr horzOverflow="overflow" vert="horz" lIns="0" tIns="0" rIns="0" bIns="0" rtlCol="0">
                          <a:noAutofit/>
                        </wps:bodyPr>
                      </wps:wsp>
                      <wps:wsp>
                        <wps:cNvPr id="200910" name="Rectangle 200910"/>
                        <wps:cNvSpPr/>
                        <wps:spPr>
                          <a:xfrm rot="-10799999">
                            <a:off x="2634946" y="572643"/>
                            <a:ext cx="5212777" cy="142889"/>
                          </a:xfrm>
                          <a:prstGeom prst="rect">
                            <a:avLst/>
                          </a:prstGeom>
                          <a:ln>
                            <a:noFill/>
                          </a:ln>
                        </wps:spPr>
                        <wps:txbx>
                          <w:txbxContent>
                            <w:p w14:paraId="414D1B35"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18173" name="Rectangle 18173"/>
                        <wps:cNvSpPr/>
                        <wps:spPr>
                          <a:xfrm rot="-10799999">
                            <a:off x="19295" y="572643"/>
                            <a:ext cx="50622" cy="142889"/>
                          </a:xfrm>
                          <a:prstGeom prst="rect">
                            <a:avLst/>
                          </a:prstGeom>
                          <a:ln>
                            <a:noFill/>
                          </a:ln>
                        </wps:spPr>
                        <wps:txbx>
                          <w:txbxContent>
                            <w:p w14:paraId="6002935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174" name="Rectangle 18174"/>
                        <wps:cNvSpPr/>
                        <wps:spPr>
                          <a:xfrm rot="-10799999">
                            <a:off x="-1317081" y="449427"/>
                            <a:ext cx="5308975" cy="142889"/>
                          </a:xfrm>
                          <a:prstGeom prst="rect">
                            <a:avLst/>
                          </a:prstGeom>
                          <a:ln>
                            <a:noFill/>
                          </a:ln>
                        </wps:spPr>
                        <wps:txbx>
                          <w:txbxContent>
                            <w:p w14:paraId="3DB5EC43" w14:textId="77777777" w:rsidR="00B32EF2" w:rsidRDefault="00000000">
                              <w:r>
                                <w:rPr>
                                  <w:rFonts w:ascii="Arial" w:eastAsia="Arial" w:hAnsi="Arial" w:cs="Arial"/>
                                  <w:sz w:val="18"/>
                                </w:rPr>
                                <w:t xml:space="preserve">zione del provvedimento, il presidente provvede con decreto motivato assunte </w:t>
                              </w:r>
                            </w:p>
                          </w:txbxContent>
                        </wps:txbx>
                        <wps:bodyPr horzOverflow="overflow" vert="horz" lIns="0" tIns="0" rIns="0" bIns="0" rtlCol="0">
                          <a:noAutofit/>
                        </wps:bodyPr>
                      </wps:wsp>
                    </wpg:wgp>
                  </a:graphicData>
                </a:graphic>
              </wp:inline>
            </w:drawing>
          </mc:Choice>
          <mc:Fallback>
            <w:pict>
              <v:group w14:anchorId="43E5BA06" id="Group 200955" o:spid="_x0000_s3651" style="width:314.3pt;height:493.15pt;mso-position-horizontal-relative:char;mso-position-vertical-relative:line" coordsize="39918,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NpwoAAMiGAAAOAAAAZHJzL2Uyb0RvYy54bWzknVuP47YVx98L9DsYfp81LyIlGjsbFN1m&#10;UaBogqT9AFqPb4BtGbJ3PdtP3z9JmbI1ZxNADIaDMA8TDz1rS/zx3A+p9z8873eTr8v2tG0Oj1P+&#10;jk0ny8Oiedoe1o/T//7nx4dqOjmd68NTvWsOy8fpt+Vp+sOHv/7l/eU4X4pm0+yelu0EH3I4zS/H&#10;x+nmfD7OZ7PTYrPc16d3zXF5wJurpt3XZ/zarmdPbX3Bp+93M8GYnl2a9unYNovl6YTRj/7N6Qf3&#10;+avVcnH+abU6Lc+T3eMU13Z2P1v387P9Ofvwvp6v2/q42S66y6hHXMW+3h7wpeGjPtbnevKl3b74&#10;qP120TanZnV+t2j2s2a12i6W7h5wN5wN7uZT23w5untZzy/rY5gmTO1gnkZ/7OLfXz+1x1+PP7eY&#10;ictxjblwv9l7eV61e/t/XOXk2U3ZtzBly+fzZIFBaQyvjJxOFnhPCy0qVfhJXWww8y/+3WLzj9/5&#10;l7PrF8/uLudyxAI59XNwipuDXzf1cemm9jTHHPzcTrZPWL8V51iwh3qPpfoLFk99WO+WEz/sJsj9&#10;dZiu0/yEmbvO1aRtsL4eOCuN/c+th27uuGGsMMV0gll60AK/+km6TiMvK6mNn0WhmC60fT9MRT0/&#10;tqfzp2Wzn9gXj9MW1+Y+v/76r9PZ/+n1T+zl7A7256H5cbvb+XftCGb0esX21fn587O7bXxjab/P&#10;Dn5unr5hNjZN+7+fINerXXN5nDbdq6kVdXy9fXc62f3zAApWqq4v2uuLz9cX7Xn398bJnr+gv305&#10;N6utu+L+27orA15/Da/CGbNNcTbXicCqGMFZsUrJ0nHWnBuj1T3oyrLlHjQvRFW573tF0NX1/rIA&#10;DRNhBEG6G+/W/CjUQkCMDbQFRFoBtJYD1NwUolCdarSsvdC/IuuwlrNhLaGNhlJtWWM8hvUDDJvS&#10;QPlmWfNwg/mwhholWfMo1pxrUVpb/HZZhxvMgjW8L0Gg9sMxUl0aWYlOgVellOyFAheaCWgU69um&#10;MNZcXFdyFqCdUYbvRAm1CA7qOGOtZVEJ5YW6LIwpnYNdz68OuBJcVKzzwJOwlvmxJkIttwaCjzqK&#10;9YMlCZy/BxvfnkywXYzcB0B//nBLwHkayrXV4GHVj0LNkXyAabCW2gn1QIEjkBZYBskou8vJijIy&#10;HBTlsNxHUX7gkpei0h40kkxdeuRGe0tmmMYfJEPtzElWqGFMKdRhzUegRjDjZFoxKfnQUEtWGUTS&#10;6VAHTyQLp8wqaQgWhTqs+T8AtUTOtHIzeyfViVEHRyQb1IT7bVdAWPMjUSNXxq6hFjIpWg1RO/c7&#10;pUeWV67MMiW8bz8cE1PfeGQk57QeGYL57uayEWgi+W0ph+U+SqAFk5VEvttZaS6l9AqiV93cKFkU&#10;8AZTOWTIGGVGmkp9g3Rk5psrJEOUz4YWVaW1djaxJ12aEs53QtAZ5siIKMvlTeLCLFvQQmzlhLoo&#10;NaR6gJobqaHfE7IO2YIs1LdjSoRZ3XiMmX4QCjkyr8A964FD5lknDLNEWMz5sCbiLMc6LtCyBS1l&#10;fE/Cb8h1StYhaZAFa2uVkZYkQmoMx0h1IQulOgWuC4a6t/243lajzwfrCVKfzCsLKzkL0E54icR3&#10;Nx6DGkWO0ujStyQUimtdDmDbihbqmwlhh6RBPrAJsXaw4+RaoLeI2WgKhY7fYI3FkEyws8uUScIJ&#10;t4o9uC2jAmuObrXOK3MyPfDAExe0+qxBFhJtcRLutx+OU94oaPGuQl1II2UxVN62oJXSUvdpg2xQ&#10;E963RR1cllEC7WqXrCtSF6JkjL9EXZkyoVMm80uV0VUO9G1HSzUznf/NC62HXf4qde2yjy+ykWq6&#10;yuFTW7ZeHyHVyreeFExIqQcbOhxq7OJI5pHJvHJlVlPTpQ4Mx0m1EKxQWEZwviWMMvOmsY+qXaCl&#10;EgZavc+Zi1QXSFYR6RMMx6DunW+ac9rapd9eklOLUUF3fWM4hrLzyNBP5gW6LHXJ3AfeCHTqbrLe&#10;58xGoInECVR6EZc38c53Z6alVlKWL1FXJqmZDj5nNqiJhKhFHfyV0R6Zdn2B1kzD+2JeTdxJdVVV&#10;CVsSep8zC9Qu70nY6W48RoULbKysCp8nkwXTpd8oc886rVgHpzMf1oS1dqxjzbXSpbrq8O/DTphA&#10;6d3OLGBbZU2nRTEcI9Y4e6ES6C9ykZZAgxmqV/i8Xqyxr0ei/T9dUN27nlmQtuKLdOWLUKsbj2Ft&#10;N2lJu4/DweaaoYJ5DxthNTMp7XXvfOYDm8iWOdihvDfKObP1S2kbx6xv9jZZB+8zC9ZWhdM5cAzH&#10;iPVNCoXknDaFghJ6d3PZUCYE2sKPk2cob8FM15AgYZMN/LM7S+22UyPgSZb+7l2RbFAThtqiDpHI&#10;KNV9I9Ak58QCHYqzuVBWREQNyhiOUdt3VWphuCyHhxm5elbKKnVvmLJBTQTUFnVsPG17T7DV0jpj&#10;6CFkym+K6qMsoDYsZeNgb52yQU2nv1FUjJfqbkcHdnZgo45zgO5QVwal63RmOlinbFDT6W+cExeN&#10;+tpRJlRRYJP8wCNL3VHWm6hsUNMtov6A1IjeEzjfOBnBK/BCsKocSrXt/LYnE6bqBu5NVDao6YSo&#10;ikyIhm5gVDwIzmmd7946ZUMZ6Uqi7QRbbuJ1N7KNziMTOJoM3Ub4wDszbRB9JRToYJ2yQU2nx/y5&#10;FTG6uzQ4CNaj5iW2yLuZvUEt0BheJdzJ0VunLFC77DbBuhuPlOuKa+RfnFwzhaQZJdcpD5js7VM+&#10;sAkd7mDHKXGB077dCWQ2qv4+a4T0yZyycINZsLaZEjojiuFIseYl63ZpIT1aMbL7xCr5ZKhDEScX&#10;1DaHQXhmvis/xlzDWHcHD/KKFTjsZOCZIRarqoQJFO8q5tQVbJ+eQKGOS4v2dQ6ac+JQK6isbASa&#10;zojquIyofVpN98gGrmEghg1GUhmBYmY6zd0rrCxAO8eLSJ1043FmGnUsWGfnfXOl0G3kHKDbUEsw&#10;nbLOAU3W3WE+sImUqIMdOjNGVanRYCRcrxi8b8+asNNpWQfFlQVreN+aQO2HY8T6xk47mR5yTmun&#10;8YiYnCTa4iS0tx+Ooez3aHUHJGBriOqq3jfK25WzEqZEsbxzQ01kTizqkFcYpbqLqjQci8hqbokn&#10;pvm9bz1onHwjTYkMXapg2j/BLZsIy1ljokbdjUdKNXxuHOznYKPZvyRbT+zDfq6wX/uRaf1izsJM&#10;O6hEpNWNx8C+TYjajR3fYX2TOnl11vllyehuYH+kb0SWDB1l13NPkARXavggLdc8mPKZDf0dZiHW&#10;1irTuW8Mxwi198tw2LfV4Hi8pSBOuDF49lKvwF/7+ab9DeZCuqRT3xiOJ9154BWeV/yiySi1A97f&#10;YDak6cy3P9NgtPrm2Etd2qM2INLIfVa+PNY74KIsJL99jO1ri3R/f1mAdr4XQbobjxNqPJ4dvphj&#10;rUqhX3af4FjZlMEWjmXpbjAf1oT+dqzjFDhSonjgPEJ2iPXbRJ1drsye1kxULjEcI9R9RpTEnDYh&#10;6r2GbJIncLxxxyTkkC4clSW726BVQLCHD9xJvj8Le8PeiOaeXY7r+WV9/PB+Vs/XbX3cbBcf63N9&#10;+zteX47zpWg2ze5p2X74PwAAAP//AwBQSwMEFAAGAAgAAAAhABgNBmzdAAAABQEAAA8AAABkcnMv&#10;ZG93bnJldi54bWxMj0FLw0AQhe+C/2EZwZvdpMUQ02xKKeqpCLaC9DbNTpPQ7GzIbpP037t6qZeB&#10;x3u8902+mkwrBupdY1lBPItAEJdWN1wp+Nq/PaUgnEfW2FomBVdysCru73LMtB35k4adr0QoYZeh&#10;gtr7LpPSlTUZdDPbEQfvZHuDPsi+krrHMZSbVs6jKJEGGw4LNXa0qak87y5GwfuI43oRvw7b82lz&#10;PeyfP763MSn1+DCtlyA8Tf4Whl/8gA5FYDraC2snWgXhEf93g5fM0wTEUcFLmixAFrn8T1/8AAAA&#10;//8DAFBLAQItABQABgAIAAAAIQC2gziS/gAAAOEBAAATAAAAAAAAAAAAAAAAAAAAAABbQ29udGVu&#10;dF9UeXBlc10ueG1sUEsBAi0AFAAGAAgAAAAhADj9If/WAAAAlAEAAAsAAAAAAAAAAAAAAAAALwEA&#10;AF9yZWxzLy5yZWxzUEsBAi0AFAAGAAgAAAAhAL4cyY2nCgAAyIYAAA4AAAAAAAAAAAAAAAAALgIA&#10;AGRycy9lMm9Eb2MueG1sUEsBAi0AFAAGAAgAAAAhABgNBmzdAAAABQEAAA8AAAAAAAAAAAAAAAAA&#10;AQ0AAGRycy9kb3ducmV2LnhtbFBLBQYAAAAABAAEAPMAAAALDgAAAAA=&#10;">
                <v:rect id="Rectangle 18118" o:spid="_x0000_s3652"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eZVxwAAAN4AAAAPAAAAZHJzL2Rvd25yZXYueG1sRI9Bb8Iw&#10;DIXvk/gPkZF2G2l3mKpCQBMTWg+7jIHE0WpMW2icqAm026+fD5N2s/We3/u82kyuV3caYufZQL7I&#10;QBHX3nbcGDh87Z4KUDEhW+w9k4FvirBZzx5WWFo/8ifd96lREsKxRANtSqHUOtYtOYwLH4hFO/vB&#10;YZJ1aLQdcJRw1+vnLHvRDjuWhhYDbVuqr/ubM3B641DtRl2ff7bh41IV/fvtcDTmcT69LkElmtK/&#10;+e+6soJf5Lnwyjsyg17/AgAA//8DAFBLAQItABQABgAIAAAAIQDb4fbL7gAAAIUBAAATAAAAAAAA&#10;AAAAAAAAAAAAAABbQ29udGVudF9UeXBlc10ueG1sUEsBAi0AFAAGAAgAAAAhAFr0LFu/AAAAFQEA&#10;AAsAAAAAAAAAAAAAAAAAHwEAAF9yZWxzLy5yZWxzUEsBAi0AFAAGAAgAAAAhAC+N5lXHAAAA3gAA&#10;AA8AAAAAAAAAAAAAAAAABwIAAGRycy9kb3ducmV2LnhtbFBLBQYAAAAAAwADALcAAAD7AgAAAAA=&#10;" filled="f" stroked="f">
                  <v:textbox inset="0,0,0,0">
                    <w:txbxContent>
                      <w:p w14:paraId="284F360D" w14:textId="77777777" w:rsidR="00B32EF2" w:rsidRDefault="00000000">
                        <w:r>
                          <w:rPr>
                            <w:rFonts w:ascii="Times New Roman" w:eastAsia="Times New Roman" w:hAnsi="Times New Roman" w:cs="Times New Roman"/>
                          </w:rPr>
                          <w:t>66</w:t>
                        </w:r>
                      </w:p>
                    </w:txbxContent>
                  </v:textbox>
                </v:rect>
                <v:rect id="Rectangle 18119" o:spid="_x0000_s3653" style="position:absolute;left:15085;top:61199;width:80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UPOxAAAAN4AAAAPAAAAZHJzL2Rvd25yZXYueG1sRE9Na8JA&#10;EL0X/A/LCN7qJj1ImrqKKNIcvGgVehyyY5I2O7tkVxP767uC4G0e73Pmy8G04kqdbywrSKcJCOLS&#10;6oYrBcev7WsGwgdkja1lUnAjD8vF6GWOubY97+l6CJWIIexzVFCH4HIpfVmTQT+1jjhyZ9sZDBF2&#10;ldQd9jHctPItSWbSYMOxoUZH65rK38PFKPjesCu2vSzPf2u3+ymy9vNyPCk1GQ+rDxCBhvAUP9yF&#10;jvOzNH2H+zvxBrn4BwAA//8DAFBLAQItABQABgAIAAAAIQDb4fbL7gAAAIUBAAATAAAAAAAAAAAA&#10;AAAAAAAAAABbQ29udGVudF9UeXBlc10ueG1sUEsBAi0AFAAGAAgAAAAhAFr0LFu/AAAAFQEAAAsA&#10;AAAAAAAAAAAAAAAAHwEAAF9yZWxzLy5yZWxzUEsBAi0AFAAGAAgAAAAhAEDBQ87EAAAA3gAAAA8A&#10;AAAAAAAAAAAAAAAABwIAAGRycy9kb3ducmV2LnhtbFBLBQYAAAAAAwADALcAAAD4AgAAAAA=&#10;" filled="f" stroked="f">
                  <v:textbox inset="0,0,0,0">
                    <w:txbxContent>
                      <w:p w14:paraId="08229E4E" w14:textId="77777777" w:rsidR="00B32EF2" w:rsidRDefault="00000000">
                        <w:r>
                          <w:rPr>
                            <w:rFonts w:ascii="Arial" w:eastAsia="Arial" w:hAnsi="Arial" w:cs="Arial"/>
                            <w:b/>
                            <w:sz w:val="18"/>
                          </w:rPr>
                          <w:t>Articolo 73</w:t>
                        </w:r>
                      </w:p>
                    </w:txbxContent>
                  </v:textbox>
                </v:rect>
                <v:rect id="Rectangle 200929" o:spid="_x0000_s3654" style="position:absolute;left:22219;top:59966;width:194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mIkxwAAAN8AAAAPAAAAZHJzL2Rvd25yZXYueG1sRI9Ba8JA&#10;FITvQv/D8gq96aY5SIyuIiliDr3UWujxkX0m0ezbJbsmaX99t1DocZiZb5jNbjKdGKj3rWUFz4sE&#10;BHFldcu1gvP7YZ6B8AFZY2eZFHyRh932YbbBXNuR32g4hVpECPscFTQhuFxKXzVk0C+sI47exfYG&#10;Q5R9LXWPY4SbTqZJspQGW44LDToqGqpup7tR8PnCrjyMsrp8F+71Wmbd8X7+UOrpcdqvQQSawn/4&#10;r11qBZG4Slfw+yd+Abn9AQAA//8DAFBLAQItABQABgAIAAAAIQDb4fbL7gAAAIUBAAATAAAAAAAA&#10;AAAAAAAAAAAAAABbQ29udGVudF9UeXBlc10ueG1sUEsBAi0AFAAGAAgAAAAhAFr0LFu/AAAAFQEA&#10;AAsAAAAAAAAAAAAAAAAAHwEAAF9yZWxzLy5yZWxzUEsBAi0AFAAGAAgAAAAhAMUeYiTHAAAA3wAA&#10;AA8AAAAAAAAAAAAAAAAABwIAAGRycy9kb3ducmV2LnhtbFBLBQYAAAAAAwADALcAAAD7AgAAAAA=&#10;" filled="f" stroked="f">
                  <v:textbox inset="0,0,0,0">
                    <w:txbxContent>
                      <w:p w14:paraId="6629523E" w14:textId="77777777" w:rsidR="00B32EF2" w:rsidRDefault="00000000">
                        <w:r>
                          <w:rPr>
                            <w:rFonts w:ascii="Arial" w:eastAsia="Arial" w:hAnsi="Arial" w:cs="Arial"/>
                            <w:i/>
                            <w:sz w:val="18"/>
                          </w:rPr>
                          <w:t>(</w:t>
                        </w:r>
                      </w:p>
                    </w:txbxContent>
                  </v:textbox>
                </v:rect>
                <v:rect id="Rectangle 200930" o:spid="_x0000_s3655" style="position:absolute;left:-2625;top:59966;width:194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1kxwAAAN8AAAAPAAAAZHJzL2Rvd25yZXYueG1sRI9Ba8JA&#10;EIXvhf6HZQq91U1bKDa6ilikOfSiVfA4ZMckmp1dsqtJ++udg+BxePO+xzedD65VF+pi49nA6ygD&#10;RVx623BlYPu7ehmDignZYuuZDPxRhPns8WGKufU9r+mySZUSCMccDdQphVzrWNbkMI58IJbs4DuH&#10;Sc6u0rbDXuCu1W9Z9qEdNiwLNQZa1lSeNmdnYP/FoVj1ujz8L8PPsRi33+ftzpjnp2ExAZVoSPfn&#10;W7uwBoT4+S4G4iMuoGdXAAAA//8DAFBLAQItABQABgAIAAAAIQDb4fbL7gAAAIUBAAATAAAAAAAA&#10;AAAAAAAAAAAAAABbQ29udGVudF9UeXBlc10ueG1sUEsBAi0AFAAGAAgAAAAhAFr0LFu/AAAAFQEA&#10;AAsAAAAAAAAAAAAAAAAAHwEAAF9yZWxzLy5yZWxzUEsBAi0AFAAGAAgAAAAhANH9XWTHAAAA3wAA&#10;AA8AAAAAAAAAAAAAAAAABwIAAGRycy9kb3ducmV2LnhtbFBLBQYAAAAAAwADALcAAAD7AgAAAAA=&#10;" filled="f" stroked="f">
                  <v:textbox inset="0,0,0,0">
                    <w:txbxContent>
                      <w:p w14:paraId="24A822D5" w14:textId="77777777" w:rsidR="00B32EF2" w:rsidRDefault="00000000">
                        <w:r>
                          <w:rPr>
                            <w:rFonts w:ascii="Arial" w:eastAsia="Arial" w:hAnsi="Arial" w:cs="Arial"/>
                            <w:i/>
                            <w:sz w:val="18"/>
                          </w:rPr>
                          <w:t>546/92)</w:t>
                        </w:r>
                      </w:p>
                    </w:txbxContent>
                  </v:textbox>
                </v:rect>
                <v:rect id="Rectangle 200931" o:spid="_x0000_s3656" style="position:absolute;left:11627;top:59966;width:194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j/xwAAAN8AAAAPAAAAZHJzL2Rvd25yZXYueG1sRI9Pa8JA&#10;FMTvhX6H5RV6040VikY3IhYxh16qKfT4yL780ezbJbuatJ++WxB6HGbmN8x6M5pO3Kj3rWUFs2kC&#10;gri0uuVaQXHaTxYgfEDW2FkmBd/kYZM9Pqwx1XbgD7odQy0ihH2KCpoQXCqlLxsy6KfWEUevsr3B&#10;EGVfS93jEOGmky9J8ioNthwXGnS0a6i8HK9Gwdcbu3w/yLL62bn3c77oDtfiU6nnp3G7AhFoDP/h&#10;ezvXCiJxOZ/B35/4BWT2CwAA//8DAFBLAQItABQABgAIAAAAIQDb4fbL7gAAAIUBAAATAAAAAAAA&#10;AAAAAAAAAAAAAABbQ29udGVudF9UeXBlc10ueG1sUEsBAi0AFAAGAAgAAAAhAFr0LFu/AAAAFQEA&#10;AAsAAAAAAAAAAAAAAAAAHwEAAF9yZWxzLy5yZWxzUEsBAi0AFAAGAAgAAAAhAL6x+P/HAAAA3wAA&#10;AA8AAAAAAAAAAAAAAAAABwIAAGRycy9kb3ducmV2LnhtbFBLBQYAAAAAAwADALcAAAD7AgAAAAA=&#10;" filled="f" stroked="f">
                  <v:textbox inset="0,0,0,0">
                    <w:txbxContent>
                      <w:p w14:paraId="648B91D8" w14:textId="77777777" w:rsidR="00B32EF2" w:rsidRDefault="00000000">
                        <w:r>
                          <w:rPr>
                            <w:rFonts w:ascii="Arial" w:eastAsia="Arial" w:hAnsi="Arial" w:cs="Arial"/>
                            <w:i/>
                            <w:sz w:val="18"/>
                          </w:rPr>
                          <w:t xml:space="preserve">articolo 26 D.lgs. n. </w:t>
                        </w:r>
                      </w:p>
                    </w:txbxContent>
                  </v:textbox>
                </v:rect>
                <v:rect id="Rectangle 18121" o:spid="_x0000_s3657" style="position:absolute;left:7938;top:58733;width:1926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4V1xAAAAN4AAAAPAAAAZHJzL2Rvd25yZXYueG1sRE9Li8Iw&#10;EL4v+B/CCN7WtB6kVKOIIvbgZX2Ax6EZ2+42k9BE291fv1lY8DYf33OW68G04kmdbywrSKcJCOLS&#10;6oYrBZfz/j0D4QOyxtYyKfgmD+vV6G2JubY9f9DzFCoRQ9jnqKAOweVS+rImg35qHXHk7rYzGCLs&#10;Kqk77GO4aeUsSebSYMOxoUZH25rKr9PDKLjt2BX7Xpb3n607fhZZe3hcrkpNxsNmASLQEF7if3eh&#10;4/wsnaXw9068Qa5+AQAA//8DAFBLAQItABQABgAIAAAAIQDb4fbL7gAAAIUBAAATAAAAAAAAAAAA&#10;AAAAAAAAAABbQ29udGVudF9UeXBlc10ueG1sUEsBAi0AFAAGAAgAAAAhAFr0LFu/AAAAFQEAAAsA&#10;AAAAAAAAAAAAAAAAHwEAAF9yZWxzLy5yZWxzUEsBAi0AFAAGAAgAAAAhAHDbhXXEAAAA3gAAAA8A&#10;AAAAAAAAAAAAAAAABwIAAGRycy9kb3ducmV2LnhtbFBLBQYAAAAAAwADALcAAAD4AgAAAAA=&#10;" filled="f" stroked="f">
                  <v:textbox inset="0,0,0,0">
                    <w:txbxContent>
                      <w:p w14:paraId="5EFE70C3" w14:textId="77777777" w:rsidR="00B32EF2" w:rsidRDefault="00000000">
                        <w:r>
                          <w:rPr>
                            <w:rFonts w:ascii="Arial" w:eastAsia="Arial" w:hAnsi="Arial" w:cs="Arial"/>
                            <w:b/>
                            <w:sz w:val="18"/>
                          </w:rPr>
                          <w:t xml:space="preserve">Assegnazione del ricorso </w:t>
                        </w:r>
                      </w:p>
                    </w:txbxContent>
                  </v:textbox>
                </v:rect>
                <v:rect id="Rectangle 200927" o:spid="_x0000_s3658" style="position:absolute;left:26348;top:57499;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VPNxwAAAN8AAAAPAAAAZHJzL2Rvd25yZXYueG1sRI9PawIx&#10;FMTvBb9DeEJvNauH1q5mRRTpHrzUKnh8bN7+0c1L2ER366dvCoUeh5n5DbNcDaYVd+p8Y1nBdJKA&#10;IC6sbrhScPzavcxB+ICssbVMCr7JwyobPS0x1bbnT7ofQiUihH2KCuoQXCqlL2oy6CfWEUevtJ3B&#10;EGVXSd1hH+GmlbMkeZUGG44LNTra1FRcDzej4Lxll+96WZSPjdtf8nn7cTuelHoeD+sFiEBD+A//&#10;tXOtIBLfZ2/w+yd+AZn9AAAA//8DAFBLAQItABQABgAIAAAAIQDb4fbL7gAAAIUBAAATAAAAAAAA&#10;AAAAAAAAAAAAAABbQ29udGVudF9UeXBlc10ueG1sUEsBAi0AFAAGAAgAAAAhAFr0LFu/AAAAFQEA&#10;AAsAAAAAAAAAAAAAAAAAHwEAAF9yZWxzLy5yZWxzUEsBAi0AFAAGAAgAAAAhANvNU83HAAAA3wAA&#10;AA8AAAAAAAAAAAAAAAAABwIAAGRycy9kb3ducmV2LnhtbFBLBQYAAAAAAwADALcAAAD7AgAAAAA=&#10;" filled="f" stroked="f">
                  <v:textbox inset="0,0,0,0">
                    <w:txbxContent>
                      <w:p w14:paraId="380CCDD0" w14:textId="77777777" w:rsidR="00B32EF2" w:rsidRDefault="00000000">
                        <w:r>
                          <w:rPr>
                            <w:rFonts w:ascii="Arial" w:eastAsia="Arial" w:hAnsi="Arial" w:cs="Arial"/>
                            <w:sz w:val="18"/>
                          </w:rPr>
                          <w:t>1</w:t>
                        </w:r>
                      </w:p>
                    </w:txbxContent>
                  </v:textbox>
                </v:rect>
                <v:rect id="Rectangle 200928" o:spid="_x0000_s3659" style="position:absolute;left:-12802;top:57499;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se/xwAAAN8AAAAPAAAAZHJzL2Rvd25yZXYueG1sRI/BbsIw&#10;DIbvk/YOkSftNtJxQKwjIMSE6IELjEk7Wo1pOxonagLteHp8QOJo/f4/+5stBteqC3Wx8WzgfZSB&#10;Ii69bbgycPhev01BxYRssfVMBv4pwmL+/DTD3Pqed3TZp0oJhGOOBuqUQq51LGtyGEc+EEt29J3D&#10;JGNXadthL3DX6nGWTbTDhuVCjYFWNZWn/dkZ+P3iUKx7XR6vq7D9K6bt5nz4Meb1ZVh+gko0pMfy&#10;vV1YA0L8GMvD4iMuoOc3AAAA//8DAFBLAQItABQABgAIAAAAIQDb4fbL7gAAAIUBAAATAAAAAAAA&#10;AAAAAAAAAAAAAABbQ29udGVudF9UeXBlc10ueG1sUEsBAi0AFAAGAAgAAAAhAFr0LFu/AAAAFQEA&#10;AAsAAAAAAAAAAAAAAAAAHwEAAF9yZWxzLy5yZWxzUEsBAi0AFAAGAAgAAAAhAKpSx7/HAAAA3wAA&#10;AA8AAAAAAAAAAAAAAAAABwIAAGRycy9kb3ducmV2LnhtbFBLBQYAAAAAAwADALcAAAD7AgAAAAA=&#10;" filled="f" stroked="f">
                  <v:textbox inset="0,0,0,0">
                    <w:txbxContent>
                      <w:p w14:paraId="6A2453C3" w14:textId="77777777" w:rsidR="00B32EF2" w:rsidRDefault="00000000">
                        <w:r>
                          <w:rPr>
                            <w:rFonts w:ascii="Arial" w:eastAsia="Arial" w:hAnsi="Arial" w:cs="Arial"/>
                            <w:sz w:val="18"/>
                          </w:rPr>
                          <w:t>. Il presidente della corte di giustizia tributaria di primo e secondo grado as</w:t>
                        </w:r>
                      </w:p>
                    </w:txbxContent>
                  </v:textbox>
                </v:rect>
                <v:rect id="Rectangle 18123" o:spid="_x0000_s3660" style="position:absolute;left:191;top:57499;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b6ZxAAAAN4AAAAPAAAAZHJzL2Rvd25yZXYueG1sRE9Ni8Iw&#10;EL0v+B/CCN7WVAUp1SiiiD3sRdeFPQ7N2FabSWii7e6v3wjC3ubxPme57k0jHtT62rKCyTgBQVxY&#10;XXOp4Py5f09B+ICssbFMCn7Iw3o1eFtipm3HR3qcQiliCPsMFVQhuExKX1Rk0I+tI47cxbYGQ4Rt&#10;KXWLXQw3jZwmyVwarDk2VOhoW1FxO92Ngu8du3zfyeLyu3Uf1zxtDvfzl1KjYb9ZgAjUh3/xy53r&#10;OD+dTGfwfCfeIFd/AAAA//8DAFBLAQItABQABgAIAAAAIQDb4fbL7gAAAIUBAAATAAAAAAAAAAAA&#10;AAAAAAAAAABbQ29udGVudF9UeXBlc10ueG1sUEsBAi0AFAAGAAgAAAAhAFr0LFu/AAAAFQEAAAsA&#10;AAAAAAAAAAAAAAAAHwEAAF9yZWxzLy5yZWxzUEsBAi0AFAAGAAgAAAAhAO9FvpnEAAAA3gAAAA8A&#10;AAAAAAAAAAAAAAAABwIAAGRycy9kb3ducmV2LnhtbFBLBQYAAAAAAwADALcAAAD4AgAAAAA=&#10;" filled="f" stroked="f">
                  <v:textbox inset="0,0,0,0">
                    <w:txbxContent>
                      <w:p w14:paraId="4FDE77BD" w14:textId="77777777" w:rsidR="00B32EF2" w:rsidRDefault="00000000">
                        <w:r>
                          <w:rPr>
                            <w:rFonts w:ascii="Arial" w:eastAsia="Arial" w:hAnsi="Arial" w:cs="Arial"/>
                            <w:sz w:val="18"/>
                          </w:rPr>
                          <w:t>-</w:t>
                        </w:r>
                      </w:p>
                    </w:txbxContent>
                  </v:textbox>
                </v:rect>
                <v:rect id="Rectangle 18124" o:spid="_x0000_s3661" style="position:absolute;left:-13172;top:562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CbtxAAAAN4AAAAPAAAAZHJzL2Rvd25yZXYueG1sRE9Ni8Iw&#10;EL0v+B/CCN7WVBEp1SiiiD3sRdeFPQ7N2FabSWii7e6v3wjC3ubxPme57k0jHtT62rKCyTgBQVxY&#10;XXOp4Py5f09B+ICssbFMCn7Iw3o1eFtipm3HR3qcQiliCPsMFVQhuExKX1Rk0I+tI47cxbYGQ4Rt&#10;KXWLXQw3jZwmyVwarDk2VOhoW1FxO92Ngu8du3zfyeLyu3Uf1zxtDvfzl1KjYb9ZgAjUh3/xy53r&#10;OD+dTGfwfCfeIFd/AAAA//8DAFBLAQItABQABgAIAAAAIQDb4fbL7gAAAIUBAAATAAAAAAAAAAAA&#10;AAAAAAAAAABbQ29udGVudF9UeXBlc10ueG1sUEsBAi0AFAAGAAgAAAAhAFr0LFu/AAAAFQEAAAsA&#10;AAAAAAAAAAAAAAAAHwEAAF9yZWxzLy5yZWxzUEsBAi0AFAAGAAgAAAAhAGCsJu3EAAAA3gAAAA8A&#10;AAAAAAAAAAAAAAAABwIAAGRycy9kb3ducmV2LnhtbFBLBQYAAAAAAwADALcAAAD4AgAAAAA=&#10;" filled="f" stroked="f">
                  <v:textbox inset="0,0,0,0">
                    <w:txbxContent>
                      <w:p w14:paraId="55C10187" w14:textId="77777777" w:rsidR="00B32EF2" w:rsidRDefault="00000000">
                        <w:r>
                          <w:rPr>
                            <w:rFonts w:ascii="Arial" w:eastAsia="Arial" w:hAnsi="Arial" w:cs="Arial"/>
                            <w:sz w:val="18"/>
                          </w:rPr>
                          <w:t xml:space="preserve">segna il ricorso ad una delle sezioni; al di fuori dei casi di cui all’articolo 77, </w:t>
                        </w:r>
                      </w:p>
                    </w:txbxContent>
                  </v:textbox>
                </v:rect>
                <v:rect id="Rectangle 18125" o:spid="_x0000_s3662" style="position:absolute;left:-13172;top:550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IN2xAAAAN4AAAAPAAAAZHJzL2Rvd25yZXYueG1sRE9Ni8Iw&#10;EL0v+B/CCN7WVEEp1SiiiD3sRdeFPQ7N2FabSWii7e6v3wjC3ubxPme57k0jHtT62rKCyTgBQVxY&#10;XXOp4Py5f09B+ICssbFMCn7Iw3o1eFtipm3HR3qcQiliCPsMFVQhuExKX1Rk0I+tI47cxbYGQ4Rt&#10;KXWLXQw3jZwmyVwarDk2VOhoW1FxO92Ngu8du3zfyeLyu3Uf1zxtDvfzl1KjYb9ZgAjUh3/xy53r&#10;OD+dTGfwfCfeIFd/AAAA//8DAFBLAQItABQABgAIAAAAIQDb4fbL7gAAAIUBAAATAAAAAAAAAAAA&#10;AAAAAAAAAABbQ29udGVudF9UeXBlc10ueG1sUEsBAi0AFAAGAAgAAAAhAFr0LFu/AAAAFQEAAAsA&#10;AAAAAAAAAAAAAAAAHwEAAF9yZWxzLy5yZWxzUEsBAi0AFAAGAAgAAAAhAA/gg3bEAAAA3gAAAA8A&#10;AAAAAAAAAAAAAAAABwIAAGRycy9kb3ducmV2LnhtbFBLBQYAAAAAAwADALcAAAD4AgAAAAA=&#10;" filled="f" stroked="f">
                  <v:textbox inset="0,0,0,0">
                    <w:txbxContent>
                      <w:p w14:paraId="72BC2263" w14:textId="77777777" w:rsidR="00B32EF2" w:rsidRDefault="00000000">
                        <w:r>
                          <w:rPr>
                            <w:rFonts w:ascii="Arial" w:eastAsia="Arial" w:hAnsi="Arial" w:cs="Arial"/>
                            <w:sz w:val="18"/>
                          </w:rPr>
                          <w:t xml:space="preserve">comma 1, il presidente della corte di giustizia tributaria potrà assumere gli </w:t>
                        </w:r>
                      </w:p>
                    </w:txbxContent>
                  </v:textbox>
                </v:rect>
                <v:rect id="Rectangle 18126" o:spid="_x0000_s3663" style="position:absolute;left:-13172;top:537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0BwwAAAN4AAAAPAAAAZHJzL2Rvd25yZXYueG1sRE9Ni8Iw&#10;EL0v+B/CCHtbUz1IqUYRRexhL6su7HFoxrbaTEITbfXXbwTB2zze58yXvWnEjVpfW1YwHiUgiAur&#10;ay4VHA/brxSED8gaG8uk4E4elovBxxwzbTv+ods+lCKGsM9QQRWCy6T0RUUG/cg64sidbGswRNiW&#10;UrfYxXDTyEmSTKXBmmNDhY7WFRWX/dUo+Nuwy7edLE6Ptfs+52mzux5/lfoc9qsZiEB9eItf7lzH&#10;+el4MoXnO/EGufgHAAD//wMAUEsBAi0AFAAGAAgAAAAhANvh9svuAAAAhQEAABMAAAAAAAAAAAAA&#10;AAAAAAAAAFtDb250ZW50X1R5cGVzXS54bWxQSwECLQAUAAYACAAAACEAWvQsW78AAAAVAQAACwAA&#10;AAAAAAAAAAAAAAAfAQAAX3JlbHMvLnJlbHNQSwECLQAUAAYACAAAACEA/zIdAcMAAADeAAAADwAA&#10;AAAAAAAAAAAAAAAHAgAAZHJzL2Rvd25yZXYueG1sUEsFBgAAAAADAAMAtwAAAPcCAAAAAA==&#10;" filled="f" stroked="f">
                  <v:textbox inset="0,0,0,0">
                    <w:txbxContent>
                      <w:p w14:paraId="6F31EE73" w14:textId="77777777" w:rsidR="00B32EF2" w:rsidRDefault="00000000">
                        <w:r>
                          <w:rPr>
                            <w:rFonts w:ascii="Arial" w:eastAsia="Arial" w:hAnsi="Arial" w:cs="Arial"/>
                            <w:sz w:val="18"/>
                          </w:rPr>
                          <w:t xml:space="preserve">opportuni provvedimenti affinché i ricorsi concernenti identiche questioni di </w:t>
                        </w:r>
                      </w:p>
                    </w:txbxContent>
                  </v:textbox>
                </v:rect>
                <v:rect id="Rectangle 18127" o:spid="_x0000_s3664" style="position:absolute;left:-12210;top:52566;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riaxAAAAN4AAAAPAAAAZHJzL2Rvd25yZXYueG1sRE9Ni8Iw&#10;EL0v+B/CCN7WVA9aqlFEEXvYi64Lexyasa02k9BE291fvxGEvc3jfc5y3ZtGPKj1tWUFk3ECgriw&#10;uuZSwflz/56C8AFZY2OZFPyQh/Vq8LbETNuOj/Q4hVLEEPYZKqhCcJmUvqjIoB9bRxy5i20Nhgjb&#10;UuoWuxhuGjlNkpk0WHNsqNDRtqLidrobBd87dvm+k8Xld+s+rnnaHO7nL6VGw36zABGoD//ilzvX&#10;cX46mc7h+U68Qa7+AAAA//8DAFBLAQItABQABgAIAAAAIQDb4fbL7gAAAIUBAAATAAAAAAAAAAAA&#10;AAAAAAAAAABbQ29udGVudF9UeXBlc10ueG1sUEsBAi0AFAAGAAgAAAAhAFr0LFu/AAAAFQEAAAsA&#10;AAAAAAAAAAAAAAAAHwEAAF9yZWxzLy5yZWxzUEsBAi0AFAAGAAgAAAAhAJB+uJrEAAAA3gAAAA8A&#10;AAAAAAAAAAAAAAAABwIAAGRycy9kb3ducmV2LnhtbFBLBQYAAAAAAwADALcAAAD4AgAAAAA=&#10;" filled="f" stroked="f">
                  <v:textbox inset="0,0,0,0">
                    <w:txbxContent>
                      <w:p w14:paraId="2F5B160A" w14:textId="77777777" w:rsidR="00B32EF2" w:rsidRDefault="00000000">
                        <w:r>
                          <w:rPr>
                            <w:rFonts w:ascii="Arial" w:eastAsia="Arial" w:hAnsi="Arial" w:cs="Arial"/>
                            <w:sz w:val="18"/>
                          </w:rPr>
                          <w:t>diritto a carattere ripetitivo vengano assegnati alla medesima sezione per es</w:t>
                        </w:r>
                      </w:p>
                    </w:txbxContent>
                  </v:textbox>
                </v:rect>
                <v:rect id="Rectangle 18128" o:spid="_x0000_s3665" style="position:absolute;left:191;top:52566;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SzoxwAAAN4AAAAPAAAAZHJzL2Rvd25yZXYueG1sRI9Bb8Iw&#10;DIXvSPsPkSftBikcUFUICDGh9cBljEk7Wo1pC40TNYF2+/XzYdJutt7ze5/X29F16kF9bD0bmM8y&#10;UMSVty3XBs4fh2kOKiZki51nMvBNEbabp8kaC+sHfqfHKdVKQjgWaKBJKRRax6ohh3HmA7FoF987&#10;TLL2tbY9DhLuOr3IsqV22LI0NBho31B1O92dga9XDuVh0NXlZx+O1zLv3u7nT2NensfdClSiMf2b&#10;/65LK/j5fCG88o7MoDe/AAAA//8DAFBLAQItABQABgAIAAAAIQDb4fbL7gAAAIUBAAATAAAAAAAA&#10;AAAAAAAAAAAAAABbQ29udGVudF9UeXBlc10ueG1sUEsBAi0AFAAGAAgAAAAhAFr0LFu/AAAAFQEA&#10;AAsAAAAAAAAAAAAAAAAAHwEAAF9yZWxzLy5yZWxzUEsBAi0AFAAGAAgAAAAhAOHhLOjHAAAA3gAA&#10;AA8AAAAAAAAAAAAAAAAABwIAAGRycy9kb3ducmV2LnhtbFBLBQYAAAAAAwADALcAAAD7AgAAAAA=&#10;" filled="f" stroked="f">
                  <v:textbox inset="0,0,0,0">
                    <w:txbxContent>
                      <w:p w14:paraId="6370E6A0" w14:textId="77777777" w:rsidR="00B32EF2" w:rsidRDefault="00000000">
                        <w:r>
                          <w:rPr>
                            <w:rFonts w:ascii="Arial" w:eastAsia="Arial" w:hAnsi="Arial" w:cs="Arial"/>
                            <w:sz w:val="18"/>
                          </w:rPr>
                          <w:t>-</w:t>
                        </w:r>
                      </w:p>
                    </w:txbxContent>
                  </v:textbox>
                </v:rect>
                <v:rect id="Rectangle 18129" o:spid="_x0000_s3666" style="position:absolute;left:20383;top:51333;width:195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YlzxAAAAN4AAAAPAAAAZHJzL2Rvd25yZXYueG1sRE9Ni8Iw&#10;EL0v+B/CCN7WVA/SrUYRRexhL7ou7HFoxrbaTEITbXd//UYQvM3jfc5i1ZtG3Kn1tWUFk3ECgriw&#10;uuZSwelr956C8AFZY2OZFPySh9Vy8LbATNuOD3Q/hlLEEPYZKqhCcJmUvqjIoB9bRxy5s20Nhgjb&#10;UuoWuxhuGjlNkpk0WHNsqNDRpqLierwZBT9bdvmuk8X5b+M+L3na7G+nb6VGw349BxGoDy/x053r&#10;OD+dTD/g8U68QS7/AQAA//8DAFBLAQItABQABgAIAAAAIQDb4fbL7gAAAIUBAAATAAAAAAAAAAAA&#10;AAAAAAAAAABbQ29udGVudF9UeXBlc10ueG1sUEsBAi0AFAAGAAgAAAAhAFr0LFu/AAAAFQEAAAsA&#10;AAAAAAAAAAAAAAAAHwEAAF9yZWxzLy5yZWxzUEsBAi0AFAAGAAgAAAAhAI6tiXPEAAAA3gAAAA8A&#10;AAAAAAAAAAAAAAAABwIAAGRycy9kb3ducmV2LnhtbFBLBQYAAAAAAwADALcAAAD4AgAAAAA=&#10;" filled="f" stroked="f">
                  <v:textbox inset="0,0,0,0">
                    <w:txbxContent>
                      <w:p w14:paraId="7939D12A" w14:textId="77777777" w:rsidR="00B32EF2" w:rsidRDefault="00000000">
                        <w:r>
                          <w:rPr>
                            <w:rFonts w:ascii="Arial" w:eastAsia="Arial" w:hAnsi="Arial" w:cs="Arial"/>
                            <w:sz w:val="18"/>
                          </w:rPr>
                          <w:t>sere trattati congiuntamente.</w:t>
                        </w:r>
                      </w:p>
                    </w:txbxContent>
                  </v:textbox>
                </v:rect>
                <v:rect id="Rectangle 18130" o:spid="_x0000_s3667" style="position:absolute;left:15142;top:48866;width:79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rYzxwAAAN4AAAAPAAAAZHJzL2Rvd25yZXYueG1sRI9Ba8JA&#10;EIXvgv9hGaE33WihhNRViiLNoRethR6H7Jikzc4u2dWk/fXOodDbDPPmvfett6Pr1I362Ho2sFxk&#10;oIgrb1uuDZzfD/McVEzIFjvPZOCHImw308kaC+sHPtLtlGolJhwLNNCkFAqtY9WQw7jwgVhuF987&#10;TLL2tbY9DmLuOr3KsiftsGVJaDDQrqHq+3R1Bj73HMrDoKvL7y68fZV593o9fxjzMBtfnkElGtO/&#10;+O+7tFI/Xz4KgODIDHpzBwAA//8DAFBLAQItABQABgAIAAAAIQDb4fbL7gAAAIUBAAATAAAAAAAA&#10;AAAAAAAAAAAAAABbQ29udGVudF9UeXBlc10ueG1sUEsBAi0AFAAGAAgAAAAhAFr0LFu/AAAAFQEA&#10;AAsAAAAAAAAAAAAAAAAAHwEAAF9yZWxzLy5yZWxzUEsBAi0AFAAGAAgAAAAhAJpOtjPHAAAA3gAA&#10;AA8AAAAAAAAAAAAAAAAABwIAAGRycy9kb3ducmV2LnhtbFBLBQYAAAAAAwADALcAAAD7AgAAAAA=&#10;" filled="f" stroked="f">
                  <v:textbox inset="0,0,0,0">
                    <w:txbxContent>
                      <w:p w14:paraId="1768817C" w14:textId="77777777" w:rsidR="00B32EF2" w:rsidRDefault="00000000">
                        <w:r>
                          <w:rPr>
                            <w:rFonts w:ascii="Arial" w:eastAsia="Arial" w:hAnsi="Arial" w:cs="Arial"/>
                            <w:b/>
                            <w:sz w:val="18"/>
                          </w:rPr>
                          <w:t>Articolo 74</w:t>
                        </w:r>
                      </w:p>
                    </w:txbxContent>
                  </v:textbox>
                </v:rect>
                <v:rect id="Rectangle 200924" o:spid="_x0000_s3668" style="position:absolute;left:22212;top:47633;width:193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826xwAAAN8AAAAPAAAAZHJzL2Rvd25yZXYueG1sRI9PawIx&#10;FMTvBb9DeEJvNauUYlezIop0D15qFTw+Nm//6OYlbKK79dM3hUKPw8z8hlmuBtOKO3W+saxgOklA&#10;EBdWN1wpOH7tXuYgfEDW2FomBd/kYZWNnpaYatvzJ90PoRIRwj5FBXUILpXSFzUZ9BPriKNX2s5g&#10;iLKrpO6wj3DTylmSvEmDDceFGh1taiquh5tRcN6yy3e9LMrHxu0v+bz9uB1PSj2Ph/UCRKAh/If/&#10;2rlWEInvs1f4/RO/gMx+AAAA//8DAFBLAQItABQABgAIAAAAIQDb4fbL7gAAAIUBAAATAAAAAAAA&#10;AAAAAAAAAAAAAABbQ29udGVudF9UeXBlc10ueG1sUEsBAi0AFAAGAAgAAAAhAFr0LFu/AAAAFQEA&#10;AAsAAAAAAAAAAAAAAAAAHwEAAF9yZWxzLy5yZWxzUEsBAi0AFAAGAAgAAAAhACsfzbrHAAAA3wAA&#10;AA8AAAAAAAAAAAAAAAAABwIAAGRycy9kb3ducmV2LnhtbFBLBQYAAAAAAwADALcAAAD7AgAAAAA=&#10;" filled="f" stroked="f">
                  <v:textbox inset="0,0,0,0">
                    <w:txbxContent>
                      <w:p w14:paraId="6221EFB8" w14:textId="77777777" w:rsidR="00B32EF2" w:rsidRDefault="00000000">
                        <w:r>
                          <w:rPr>
                            <w:rFonts w:ascii="Arial" w:eastAsia="Arial" w:hAnsi="Arial" w:cs="Arial"/>
                            <w:i/>
                            <w:sz w:val="18"/>
                          </w:rPr>
                          <w:t>(</w:t>
                        </w:r>
                      </w:p>
                    </w:txbxContent>
                  </v:textbox>
                </v:rect>
                <v:rect id="Rectangle 200925" o:spid="_x0000_s3669" style="position:absolute;left:-2580;top:47633;width:193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2ghxwAAAN8AAAAPAAAAZHJzL2Rvd25yZXYueG1sRI9PawIx&#10;FMTvBb9DeEJvNavQYlezIop0D15qFTw+Nm//6OYlbKK79dM3hUKPw8z8hlmuBtOKO3W+saxgOklA&#10;EBdWN1wpOH7tXuYgfEDW2FomBd/kYZWNnpaYatvzJ90PoRIRwj5FBXUILpXSFzUZ9BPriKNX2s5g&#10;iLKrpO6wj3DTylmSvEmDDceFGh1taiquh5tRcN6yy3e9LMrHxu0v+bz9uB1PSj2Ph/UCRKAh/If/&#10;2rlWEInvs1f4/RO/gMx+AAAA//8DAFBLAQItABQABgAIAAAAIQDb4fbL7gAAAIUBAAATAAAAAAAA&#10;AAAAAAAAAAAAAABbQ29udGVudF9UeXBlc10ueG1sUEsBAi0AFAAGAAgAAAAhAFr0LFu/AAAAFQEA&#10;AAsAAAAAAAAAAAAAAAAAHwEAAF9yZWxzLy5yZWxzUEsBAi0AFAAGAAgAAAAhAERTaCHHAAAA3wAA&#10;AA8AAAAAAAAAAAAAAAAABwIAAGRycy9kb3ducmV2LnhtbFBLBQYAAAAAAwADALcAAAD7AgAAAAA=&#10;" filled="f" stroked="f">
                  <v:textbox inset="0,0,0,0">
                    <w:txbxContent>
                      <w:p w14:paraId="67B3232E" w14:textId="77777777" w:rsidR="00B32EF2" w:rsidRDefault="00000000">
                        <w:r>
                          <w:rPr>
                            <w:rFonts w:ascii="Arial" w:eastAsia="Arial" w:hAnsi="Arial" w:cs="Arial"/>
                            <w:i/>
                            <w:sz w:val="18"/>
                          </w:rPr>
                          <w:t>472/97)</w:t>
                        </w:r>
                      </w:p>
                    </w:txbxContent>
                  </v:textbox>
                </v:rect>
                <v:rect id="Rectangle 200926" o:spid="_x0000_s3670" style="position:absolute;left:11625;top:47633;width:193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fZWxwAAAN8AAAAPAAAAZHJzL2Rvd25yZXYueG1sRI9Ba8JA&#10;FITvBf/D8oTe6kYPIU1dpSjSHLyYWujxkX0mabNvl+yaxP76rlDocZiZb5j1djKdGKj3rWUFy0UC&#10;griyuuVawfn98JSB8AFZY2eZFNzIw3Yze1hjru3IJxrKUIsIYZ+jgiYEl0vpq4YM+oV1xNG72N5g&#10;iLKvpe5xjHDTyVWSpNJgy3GhQUe7hqrv8moUfO7ZFYdRVpefnTt+FVn3dj1/KPU4n15fQASawn/4&#10;r11oBZH4vErh/id+Abn5BQAA//8DAFBLAQItABQABgAIAAAAIQDb4fbL7gAAAIUBAAATAAAAAAAA&#10;AAAAAAAAAAAAAABbQ29udGVudF9UeXBlc10ueG1sUEsBAi0AFAAGAAgAAAAhAFr0LFu/AAAAFQEA&#10;AAsAAAAAAAAAAAAAAAAAHwEAAF9yZWxzLy5yZWxzUEsBAi0AFAAGAAgAAAAhALSB9lbHAAAA3wAA&#10;AA8AAAAAAAAAAAAAAAAABwIAAGRycy9kb3ducmV2LnhtbFBLBQYAAAAAAwADALcAAAD7AgAAAAA=&#10;" filled="f" stroked="f">
                  <v:textbox inset="0,0,0,0">
                    <w:txbxContent>
                      <w:p w14:paraId="2A3E858A" w14:textId="77777777" w:rsidR="00B32EF2" w:rsidRDefault="00000000">
                        <w:r>
                          <w:rPr>
                            <w:rFonts w:ascii="Arial" w:eastAsia="Arial" w:hAnsi="Arial" w:cs="Arial"/>
                            <w:i/>
                            <w:sz w:val="18"/>
                          </w:rPr>
                          <w:t xml:space="preserve">articolo 22 D.lgs. n. </w:t>
                        </w:r>
                      </w:p>
                    </w:txbxContent>
                  </v:textbox>
                </v:rect>
                <v:rect id="Rectangle 18132" o:spid="_x0000_s3671" style="position:absolute;left:4345;top:46400;width:2502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I3fxAAAAN4AAAAPAAAAZHJzL2Rvd25yZXYueG1sRE9Ni8Iw&#10;EL0v+B/CCN7WVAUp1SiiiD3sRdeFPQ7N2FabSWii7e6v3wjC3ubxPme57k0jHtT62rKCyTgBQVxY&#10;XXOp4Py5f09B+ICssbFMCn7Iw3o1eFtipm3HR3qcQiliCPsMFVQhuExKX1Rk0I+tI47cxbYGQ4Rt&#10;KXWLXQw3jZwmyVwarDk2VOhoW1FxO92Ngu8du3zfyeLyu3Uf1zxtDvfzl1KjYb9ZgAjUh3/xy53r&#10;OD+dzKbwfCfeIFd/AAAA//8DAFBLAQItABQABgAIAAAAIQDb4fbL7gAAAIUBAAATAAAAAAAAAAAA&#10;AAAAAAAAAABbQ29udGVudF9UeXBlc10ueG1sUEsBAi0AFAAGAAgAAAAhAFr0LFu/AAAAFQEAAAsA&#10;AAAAAAAAAAAAAAAAHwEAAF9yZWxzLy5yZWxzUEsBAi0AFAAGAAgAAAAhAAXQjd/EAAAA3gAAAA8A&#10;AAAAAAAAAAAAAAAABwIAAGRycy9kb3ducmV2LnhtbFBLBQYAAAAAAwADALcAAAD4AgAAAAA=&#10;" filled="f" stroked="f">
                  <v:textbox inset="0,0,0,0">
                    <w:txbxContent>
                      <w:p w14:paraId="7F1075DC" w14:textId="77777777" w:rsidR="00B32EF2" w:rsidRDefault="00000000">
                        <w:r>
                          <w:rPr>
                            <w:rFonts w:ascii="Arial" w:eastAsia="Arial" w:hAnsi="Arial" w:cs="Arial"/>
                            <w:b/>
                            <w:sz w:val="18"/>
                          </w:rPr>
                          <w:t xml:space="preserve">Ipoteca e sequestro conservativo </w:t>
                        </w:r>
                      </w:p>
                    </w:txbxContent>
                  </v:textbox>
                </v:rect>
                <v:rect id="Rectangle 200923" o:spid="_x0000_s3672" style="position:absolute;left:-12796;top:45166;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XOxwAAAN8AAAAPAAAAZHJzL2Rvd25yZXYueG1sRI9PawIx&#10;FMTvBb9DeEJvNauFYlezIop0D15qFTw+Nm//6OYlbKK79dM3hUKPw8z8hlmuBtOKO3W+saxgOklA&#10;EBdWN1wpOH7tXuYgfEDW2FomBd/kYZWNnpaYatvzJ90PoRIRwj5FBXUILpXSFzUZ9BPriKNX2s5g&#10;iLKrpO6wj3DTylmSvEmDDceFGh1taiquh5tRcN6yy3e9LMrHxu0v+bz9uB1PSj2Ph/UCRKAh/If/&#10;2rlWEInvs1f4/RO/gMx+AAAA//8DAFBLAQItABQABgAIAAAAIQDb4fbL7gAAAIUBAAATAAAAAAAA&#10;AAAAAAAAAAAAAABbQ29udGVudF9UeXBlc10ueG1sUEsBAi0AFAAGAAgAAAAhAFr0LFu/AAAAFQEA&#10;AAsAAAAAAAAAAAAAAAAAHwEAAF9yZWxzLy5yZWxzUEsBAi0AFAAGAAgAAAAhAKT2Vc7HAAAA3wAA&#10;AA8AAAAAAAAAAAAAAAAABwIAAGRycy9kb3ducmV2LnhtbFBLBQYAAAAAAwADALcAAAD7AgAAAAA=&#10;" filled="f" stroked="f">
                  <v:textbox inset="0,0,0,0">
                    <w:txbxContent>
                      <w:p w14:paraId="7FAE574D" w14:textId="77777777" w:rsidR="00B32EF2" w:rsidRDefault="00000000">
                        <w:r>
                          <w:rPr>
                            <w:rFonts w:ascii="Arial" w:eastAsia="Arial" w:hAnsi="Arial" w:cs="Arial"/>
                            <w:sz w:val="18"/>
                          </w:rPr>
                          <w:t>. In base all’atto di contestazione, al provvedimento di irrogazione della san</w:t>
                        </w:r>
                      </w:p>
                    </w:txbxContent>
                  </v:textbox>
                </v:rect>
                <v:rect id="Rectangle 200922" o:spid="_x0000_s3673" style="position:absolute;left:26350;top:45166;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vBVxgAAAN8AAAAPAAAAZHJzL2Rvd25yZXYueG1sRI9Ba8JA&#10;FITvhf6H5RV6q5vmUGx0laKIOfSijeDxkX0m0ezbJbua1F/vCoLHYWa+YabzwbTiQp1vLCv4HCUg&#10;iEurG64UFH+rjzEIH5A1tpZJwT95mM9eX6aYadvzhi7bUIkIYZ+hgjoEl0npy5oM+pF1xNE72M5g&#10;iLKrpO6wj3DTyjRJvqTBhuNCjY4WNZWn7dko2C/Z5atelofrwv0e83G7Phc7pd7fhp8JiEBDeIYf&#10;7VwriMTvNIX7n/gF5OwGAAD//wMAUEsBAi0AFAAGAAgAAAAhANvh9svuAAAAhQEAABMAAAAAAAAA&#10;AAAAAAAAAAAAAFtDb250ZW50X1R5cGVzXS54bWxQSwECLQAUAAYACAAAACEAWvQsW78AAAAVAQAA&#10;CwAAAAAAAAAAAAAAAAAfAQAAX3JlbHMvLnJlbHNQSwECLQAUAAYACAAAACEAy7rwVcYAAADfAAAA&#10;DwAAAAAAAAAAAAAAAAAHAgAAZHJzL2Rvd25yZXYueG1sUEsFBgAAAAADAAMAtwAAAPoCAAAAAA==&#10;" filled="f" stroked="f">
                  <v:textbox inset="0,0,0,0">
                    <w:txbxContent>
                      <w:p w14:paraId="7666235D" w14:textId="77777777" w:rsidR="00B32EF2" w:rsidRDefault="00000000">
                        <w:r>
                          <w:rPr>
                            <w:rFonts w:ascii="Arial" w:eastAsia="Arial" w:hAnsi="Arial" w:cs="Arial"/>
                            <w:sz w:val="18"/>
                          </w:rPr>
                          <w:t>1</w:t>
                        </w:r>
                      </w:p>
                    </w:txbxContent>
                  </v:textbox>
                </v:rect>
                <v:rect id="Rectangle 18134" o:spid="_x0000_s3674" style="position:absolute;left:192;top:45166;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AwxAAAAN4AAAAPAAAAZHJzL2Rvd25yZXYueG1sRE9Na8JA&#10;EL0X/A/LCN7qRltKiK4iijQHL7UKHofsmESzs0t2NdFf3y0UepvH+5z5sjeNuFPra8sKJuMEBHFh&#10;dc2lgsP39jUF4QOyxsYyKXiQh+Vi8DLHTNuOv+i+D6WIIewzVFCF4DIpfVGRQT+2jjhyZ9saDBG2&#10;pdQtdjHcNHKaJB/SYM2xoUJH64qK6/5mFJw27PJtJ4vzc+12lzxtPm+Ho1KjYb+agQjUh3/xnzvX&#10;cX46eXuH33fiDXLxAwAA//8DAFBLAQItABQABgAIAAAAIQDb4fbL7gAAAIUBAAATAAAAAAAAAAAA&#10;AAAAAAAAAABbQ29udGVudF9UeXBlc10ueG1sUEsBAi0AFAAGAAgAAAAhAFr0LFu/AAAAFQEAAAsA&#10;AAAAAAAAAAAAAAAAHwEAAF9yZWxzLy5yZWxzUEsBAi0AFAAGAAgAAAAhAOV1sDDEAAAA3gAAAA8A&#10;AAAAAAAAAAAAAAAABwIAAGRycy9kb3ducmV2LnhtbFBLBQYAAAAAAwADALcAAAD4AgAAAAA=&#10;" filled="f" stroked="f">
                  <v:textbox inset="0,0,0,0">
                    <w:txbxContent>
                      <w:p w14:paraId="6F839DF6" w14:textId="77777777" w:rsidR="00B32EF2" w:rsidRDefault="00000000">
                        <w:r>
                          <w:rPr>
                            <w:rFonts w:ascii="Arial" w:eastAsia="Arial" w:hAnsi="Arial" w:cs="Arial"/>
                            <w:sz w:val="18"/>
                          </w:rPr>
                          <w:t>-</w:t>
                        </w:r>
                      </w:p>
                    </w:txbxContent>
                  </v:textbox>
                </v:rect>
                <v:rect id="Rectangle 18135" o:spid="_x0000_s3675" style="position:absolute;left:-13171;top:439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RWrxAAAAN4AAAAPAAAAZHJzL2Rvd25yZXYueG1sRE9Na8JA&#10;EL0X/A/LCN7qRktLiK4iijQHL7UKHofsmESzs0t2NdFf3y0UepvH+5z5sjeNuFPra8sKJuMEBHFh&#10;dc2lgsP39jUF4QOyxsYyKXiQh+Vi8DLHTNuOv+i+D6WIIewzVFCF4DIpfVGRQT+2jjhyZ9saDBG2&#10;pdQtdjHcNHKaJB/SYM2xoUJH64qK6/5mFJw27PJtJ4vzc+12lzxtPm+Ho1KjYb+agQjUh3/xnzvX&#10;cX46eXuH33fiDXLxAwAA//8DAFBLAQItABQABgAIAAAAIQDb4fbL7gAAAIUBAAATAAAAAAAAAAAA&#10;AAAAAAAAAABbQ29udGVudF9UeXBlc10ueG1sUEsBAi0AFAAGAAgAAAAhAFr0LFu/AAAAFQEAAAsA&#10;AAAAAAAAAAAAAAAAHwEAAF9yZWxzLy5yZWxzUEsBAi0AFAAGAAgAAAAhAIo5FavEAAAA3gAAAA8A&#10;AAAAAAAAAAAAAAAABwIAAGRycy9kb3ducmV2LnhtbFBLBQYAAAAAAwADALcAAAD4AgAAAAA=&#10;" filled="f" stroked="f">
                  <v:textbox inset="0,0,0,0">
                    <w:txbxContent>
                      <w:p w14:paraId="3CDD7CED" w14:textId="77777777" w:rsidR="00B32EF2" w:rsidRDefault="00000000">
                        <w:r>
                          <w:rPr>
                            <w:rFonts w:ascii="Arial" w:eastAsia="Arial" w:hAnsi="Arial" w:cs="Arial"/>
                            <w:sz w:val="18"/>
                          </w:rPr>
                          <w:t xml:space="preserve">zione o al processo verbale di constatazione e dopo la loro notifica, l’ufficio o </w:t>
                        </w:r>
                      </w:p>
                    </w:txbxContent>
                  </v:textbox>
                </v:rect>
                <v:rect id="Rectangle 18136" o:spid="_x0000_s3676" style="position:absolute;left:-13170;top:42700;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4vcxAAAAN4AAAAPAAAAZHJzL2Rvd25yZXYueG1sRE9Li8Iw&#10;EL4L/ocwwt401QUpXaOIItvDXnws7HFoxrZrMwlNtN399UYQvM3H95zFqjeNuFHra8sKppMEBHFh&#10;dc2lgtNxN05B+ICssbFMCv7Iw2o5HCww07bjPd0OoRQxhH2GCqoQXCalLyoy6CfWEUfubFuDIcK2&#10;lLrFLoabRs6SZC4N1hwbKnS0qai4HK5Gwc+WXb7rZHH+37iv3zxtPq+nb6XeRv36A0SgPrzET3eu&#10;4/x0+j6HxzvxBrm8AwAA//8DAFBLAQItABQABgAIAAAAIQDb4fbL7gAAAIUBAAATAAAAAAAAAAAA&#10;AAAAAAAAAABbQ29udGVudF9UeXBlc10ueG1sUEsBAi0AFAAGAAgAAAAhAFr0LFu/AAAAFQEAAAsA&#10;AAAAAAAAAAAAAAAAHwEAAF9yZWxzLy5yZWxzUEsBAi0AFAAGAAgAAAAhAHrri9zEAAAA3gAAAA8A&#10;AAAAAAAAAAAAAAAABwIAAGRycy9kb3ducmV2LnhtbFBLBQYAAAAAAwADALcAAAD4AgAAAAA=&#10;" filled="f" stroked="f">
                  <v:textbox inset="0,0,0,0">
                    <w:txbxContent>
                      <w:p w14:paraId="7A11A43B" w14:textId="77777777" w:rsidR="00B32EF2" w:rsidRDefault="00000000">
                        <w:r>
                          <w:rPr>
                            <w:rFonts w:ascii="Arial" w:eastAsia="Arial" w:hAnsi="Arial" w:cs="Arial"/>
                            <w:sz w:val="18"/>
                          </w:rPr>
                          <w:t xml:space="preserve">l’ente, quando ha fondato timore di perdere la garanzia del proprio credito, può </w:t>
                        </w:r>
                      </w:p>
                    </w:txbxContent>
                  </v:textbox>
                </v:rect>
                <v:rect id="Rectangle 18137" o:spid="_x0000_s3677" style="position:absolute;left:-13170;top:41466;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y5HxAAAAN4AAAAPAAAAZHJzL2Rvd25yZXYueG1sRE9Na8JA&#10;EL0X/A/LCN7qRgttiK4iijQHL7UKHofsmESzs0t2NdFf3y0UepvH+5z5sjeNuFPra8sKJuMEBHFh&#10;dc2lgsP39jUF4QOyxsYyKXiQh+Vi8DLHTNuOv+i+D6WIIewzVFCF4DIpfVGRQT+2jjhyZ9saDBG2&#10;pdQtdjHcNHKaJO/SYM2xoUJH64qK6/5mFJw27PJtJ4vzc+12lzxtPm+Ho1KjYb+agQjUh3/xnzvX&#10;cX46efuA33fiDXLxAwAA//8DAFBLAQItABQABgAIAAAAIQDb4fbL7gAAAIUBAAATAAAAAAAAAAAA&#10;AAAAAAAAAABbQ29udGVudF9UeXBlc10ueG1sUEsBAi0AFAAGAAgAAAAhAFr0LFu/AAAAFQEAAAsA&#10;AAAAAAAAAAAAAAAAHwEAAF9yZWxzLy5yZWxzUEsBAi0AFAAGAAgAAAAhABWnLkfEAAAA3gAAAA8A&#10;AAAAAAAAAAAAAAAABwIAAGRycy9kb3ducmV2LnhtbFBLBQYAAAAAAwADALcAAAD4AgAAAAA=&#10;" filled="f" stroked="f">
                  <v:textbox inset="0,0,0,0">
                    <w:txbxContent>
                      <w:p w14:paraId="67769A35" w14:textId="77777777" w:rsidR="00B32EF2" w:rsidRDefault="00000000">
                        <w:r>
                          <w:rPr>
                            <w:rFonts w:ascii="Arial" w:eastAsia="Arial" w:hAnsi="Arial" w:cs="Arial"/>
                            <w:sz w:val="18"/>
                          </w:rPr>
                          <w:t xml:space="preserve">chiedere, con istanza motivata, al presidente della corte di giustizia tributaria </w:t>
                        </w:r>
                      </w:p>
                    </w:txbxContent>
                  </v:textbox>
                </v:rect>
                <v:rect id="Rectangle 18138" o:spid="_x0000_s3678" style="position:absolute;left:-13170;top:40233;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Lo1xwAAAN4AAAAPAAAAZHJzL2Rvd25yZXYueG1sRI9Ba8JA&#10;EIXvgv9hGaE33WihhNRViiLNoRethR6H7Jikzc4u2dWk/fXOodDbDO/Ne9+st6Pr1I362Ho2sFxk&#10;oIgrb1uuDZzfD/McVEzIFjvPZOCHImw308kaC+sHPtLtlGolIRwLNNCkFAqtY9WQw7jwgVi0i+8d&#10;Jln7WtseBwl3nV5l2ZN22LI0NBho11D1fbo6A597DuVh0NXldxfevsq8e72eP4x5mI0vz6ASjenf&#10;/HddWsHPl4/CK+/IDHpzBwAA//8DAFBLAQItABQABgAIAAAAIQDb4fbL7gAAAIUBAAATAAAAAAAA&#10;AAAAAAAAAAAAAABbQ29udGVudF9UeXBlc10ueG1sUEsBAi0AFAAGAAgAAAAhAFr0LFu/AAAAFQEA&#10;AAsAAAAAAAAAAAAAAAAAHwEAAF9yZWxzLy5yZWxzUEsBAi0AFAAGAAgAAAAhAGQ4ujXHAAAA3gAA&#10;AA8AAAAAAAAAAAAAAAAABwIAAGRycy9kb3ducmV2LnhtbFBLBQYAAAAAAwADALcAAAD7AgAAAAA=&#10;" filled="f" stroked="f">
                  <v:textbox inset="0,0,0,0">
                    <w:txbxContent>
                      <w:p w14:paraId="3C851161" w14:textId="77777777" w:rsidR="00B32EF2" w:rsidRDefault="00000000">
                        <w:r>
                          <w:rPr>
                            <w:rFonts w:ascii="Arial" w:eastAsia="Arial" w:hAnsi="Arial" w:cs="Arial"/>
                            <w:sz w:val="18"/>
                          </w:rPr>
                          <w:t xml:space="preserve">di primo grado l’iscrizione di ipoteca sui beni del trasgressore e dei soggetti </w:t>
                        </w:r>
                      </w:p>
                    </w:txbxContent>
                  </v:textbox>
                </v:rect>
                <v:rect id="Rectangle 18139" o:spid="_x0000_s3679" style="position:absolute;left:-12204;top:39000;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B+uxAAAAN4AAAAPAAAAZHJzL2Rvd25yZXYueG1sRE9Na8JA&#10;EL0X/A/LCN7qRgslja4iijQHL7UKHofsmESzs0t2NdFf3y0UepvH+5z5sjeNuFPra8sKJuMEBHFh&#10;dc2lgsP39jUF4QOyxsYyKXiQh+Vi8DLHTNuOv+i+D6WIIewzVFCF4DIpfVGRQT+2jjhyZ9saDBG2&#10;pdQtdjHcNHKaJO/SYM2xoUJH64qK6/5mFJw27PJtJ4vzc+12lzxtPm+Ho1KjYb+agQjUh3/xnzvX&#10;cX46efuA33fiDXLxAwAA//8DAFBLAQItABQABgAIAAAAIQDb4fbL7gAAAIUBAAATAAAAAAAAAAAA&#10;AAAAAAAAAABbQ29udGVudF9UeXBlc10ueG1sUEsBAi0AFAAGAAgAAAAhAFr0LFu/AAAAFQEAAAsA&#10;AAAAAAAAAAAAAAAAHwEAAF9yZWxzLy5yZWxzUEsBAi0AFAAGAAgAAAAhAAt0H67EAAAA3gAAAA8A&#10;AAAAAAAAAAAAAAAABwIAAGRycy9kb3ducmV2LnhtbFBLBQYAAAAAAwADALcAAAD4AgAAAAA=&#10;" filled="f" stroked="f">
                  <v:textbox inset="0,0,0,0">
                    <w:txbxContent>
                      <w:p w14:paraId="74381265" w14:textId="77777777" w:rsidR="00B32EF2" w:rsidRDefault="00000000">
                        <w:r>
                          <w:rPr>
                            <w:rFonts w:ascii="Arial" w:eastAsia="Arial" w:hAnsi="Arial" w:cs="Arial"/>
                            <w:sz w:val="18"/>
                          </w:rPr>
                          <w:t>obbligati in solido e l’autorizzazione a procedere, a mezzo di ufficiale giudi</w:t>
                        </w:r>
                      </w:p>
                    </w:txbxContent>
                  </v:textbox>
                </v:rect>
                <v:rect id="Rectangle 18140" o:spid="_x0000_s3680" style="position:absolute;left:192;top:3900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MVOxwAAAN4AAAAPAAAAZHJzL2Rvd25yZXYueG1sRI9Ba8JA&#10;EIXvgv9hGaE33SilhNRViiLNoRethR6H7Jikzc4u2dWk/fXOodDbDPPmvfett6Pr1I362Ho2sFxk&#10;oIgrb1uuDZzfD/McVEzIFjvPZOCHImw308kaC+sHPtLtlGolJhwLNNCkFAqtY9WQw7jwgVhuF987&#10;TLL2tbY9DmLuOr3KsiftsGVJaDDQrqHq+3R1Bj73HMrDoKvL7y68fZV593o9fxjzMBtfnkElGtO/&#10;+O+7tFI/Xz4KgODIDHpzBwAA//8DAFBLAQItABQABgAIAAAAIQDb4fbL7gAAAIUBAAATAAAAAAAA&#10;AAAAAAAAAAAAAABbQ29udGVudF9UeXBlc10ueG1sUEsBAi0AFAAGAAgAAAAhAFr0LFu/AAAAFQEA&#10;AAsAAAAAAAAAAAAAAAAAHwEAAF9yZWxzLy5yZWxzUEsBAi0AFAAGAAgAAAAhAMJIxU7HAAAA3gAA&#10;AA8AAAAAAAAAAAAAAAAABwIAAGRycy9kb3ducmV2LnhtbFBLBQYAAAAAAwADALcAAAD7AgAAAAA=&#10;" filled="f" stroked="f">
                  <v:textbox inset="0,0,0,0">
                    <w:txbxContent>
                      <w:p w14:paraId="31D560C5" w14:textId="77777777" w:rsidR="00B32EF2" w:rsidRDefault="00000000">
                        <w:r>
                          <w:rPr>
                            <w:rFonts w:ascii="Arial" w:eastAsia="Arial" w:hAnsi="Arial" w:cs="Arial"/>
                            <w:sz w:val="18"/>
                          </w:rPr>
                          <w:t>-</w:t>
                        </w:r>
                      </w:p>
                    </w:txbxContent>
                  </v:textbox>
                </v:rect>
                <v:rect id="Rectangle 18141" o:spid="_x0000_s3681" style="position:absolute;left:-13171;top:37767;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GDVxAAAAN4AAAAPAAAAZHJzL2Rvd25yZXYueG1sRE9Na8JA&#10;EL0X/A/LCN7qJkUkpK4iijQHL1qFHofsmKTNzi7Z1cT++q4g9DaP9zmL1WBacaPON5YVpNMEBHFp&#10;dcOVgtPn7jUD4QOyxtYyKbiTh9Vy9LLAXNueD3Q7hkrEEPY5KqhDcLmUvqzJoJ9aRxy5i+0Mhgi7&#10;SuoO+xhuWvmWJHNpsOHYUKOjTU3lz/FqFHxt2RW7XpaX343bfxdZ+3E9nZWajIf1O4hAQ/gXP92F&#10;jvOzdJbC4514g1z+AQAA//8DAFBLAQItABQABgAIAAAAIQDb4fbL7gAAAIUBAAATAAAAAAAAAAAA&#10;AAAAAAAAAABbQ29udGVudF9UeXBlc10ueG1sUEsBAi0AFAAGAAgAAAAhAFr0LFu/AAAAFQEAAAsA&#10;AAAAAAAAAAAAAAAAHwEAAF9yZWxzLy5yZWxzUEsBAi0AFAAGAAgAAAAhAK0EYNXEAAAA3gAAAA8A&#10;AAAAAAAAAAAAAAAABwIAAGRycy9kb3ducmV2LnhtbFBLBQYAAAAAAwADALcAAAD4AgAAAAA=&#10;" filled="f" stroked="f">
                  <v:textbox inset="0,0,0,0">
                    <w:txbxContent>
                      <w:p w14:paraId="087F92F0" w14:textId="77777777" w:rsidR="00B32EF2" w:rsidRDefault="00000000">
                        <w:r>
                          <w:rPr>
                            <w:rFonts w:ascii="Arial" w:eastAsia="Arial" w:hAnsi="Arial" w:cs="Arial"/>
                            <w:sz w:val="18"/>
                          </w:rPr>
                          <w:t xml:space="preserve">ziario, al sequestro conservativo dei loro beni, compresa l’azienda. A tal fine </w:t>
                        </w:r>
                      </w:p>
                    </w:txbxContent>
                  </v:textbox>
                </v:rect>
                <v:rect id="Rectangle 18142" o:spid="_x0000_s3682" style="position:absolute;left:-13170;top:36533;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v6ixAAAAN4AAAAPAAAAZHJzL2Rvd25yZXYueG1sRE9Ni8Iw&#10;EL0v+B/CCN7WVBEp1SiiiD3sRdeFPQ7N2FabSWii7e6v3wjC3ubxPme57k0jHtT62rKCyTgBQVxY&#10;XXOp4Py5f09B+ICssbFMCn7Iw3o1eFtipm3HR3qcQiliCPsMFVQhuExKX1Rk0I+tI47cxbYGQ4Rt&#10;KXWLXQw3jZwmyVwarDk2VOhoW1FxO92Ngu8du3zfyeLyu3Uf1zxtDvfzl1KjYb9ZgAjUh3/xy53r&#10;OD+dzKbwfCfeIFd/AAAA//8DAFBLAQItABQABgAIAAAAIQDb4fbL7gAAAIUBAAATAAAAAAAAAAAA&#10;AAAAAAAAAABbQ29udGVudF9UeXBlc10ueG1sUEsBAi0AFAAGAAgAAAAhAFr0LFu/AAAAFQEAAAsA&#10;AAAAAAAAAAAAAAAAHwEAAF9yZWxzLy5yZWxzUEsBAi0AFAAGAAgAAAAhAF3W/qLEAAAA3gAAAA8A&#10;AAAAAAAAAAAAAAAABwIAAGRycy9kb3ducmV2LnhtbFBLBQYAAAAAAwADALcAAAD4AgAAAAA=&#10;" filled="f" stroked="f">
                  <v:textbox inset="0,0,0,0">
                    <w:txbxContent>
                      <w:p w14:paraId="7BC7A92A" w14:textId="77777777" w:rsidR="00B32EF2" w:rsidRDefault="00000000">
                        <w:r>
                          <w:rPr>
                            <w:rFonts w:ascii="Arial" w:eastAsia="Arial" w:hAnsi="Arial" w:cs="Arial"/>
                            <w:sz w:val="18"/>
                          </w:rPr>
                          <w:t xml:space="preserve">l’Agenzia delle entrate si avvale anche del potere di cui agli articoli 32, primo </w:t>
                        </w:r>
                      </w:p>
                    </w:txbxContent>
                  </v:textbox>
                </v:rect>
                <v:rect id="Rectangle 18143" o:spid="_x0000_s3683" style="position:absolute;left:-13169;top:35300;width:530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ls5xAAAAN4AAAAPAAAAZHJzL2Rvd25yZXYueG1sRE9Na8JA&#10;EL0X/A/LCN7qRltKiK4iijQHL7UKHofsmESzs0t2NdFf3y0UepvH+5z5sjeNuFPra8sKJuMEBHFh&#10;dc2lgsP39jUF4QOyxsYyKXiQh+Vi8DLHTNuOv+i+D6WIIewzVFCF4DIpfVGRQT+2jjhyZ9saDBG2&#10;pdQtdjHcNHKaJB/SYM2xoUJH64qK6/5mFJw27PJtJ4vzc+12lzxtPm+Ho1KjYb+agQjUh3/xnzvX&#10;cX46eX+D33fiDXLxAwAA//8DAFBLAQItABQABgAIAAAAIQDb4fbL7gAAAIUBAAATAAAAAAAAAAAA&#10;AAAAAAAAAABbQ29udGVudF9UeXBlc10ueG1sUEsBAi0AFAAGAAgAAAAhAFr0LFu/AAAAFQEAAAsA&#10;AAAAAAAAAAAAAAAAHwEAAF9yZWxzLy5yZWxzUEsBAi0AFAAGAAgAAAAhADKaWznEAAAA3gAAAA8A&#10;AAAAAAAAAAAAAAAABwIAAGRycy9kb3ducmV2LnhtbFBLBQYAAAAAAwADALcAAAD4AgAAAAA=&#10;" filled="f" stroked="f">
                  <v:textbox inset="0,0,0,0">
                    <w:txbxContent>
                      <w:p w14:paraId="79253AB7" w14:textId="77777777" w:rsidR="00B32EF2" w:rsidRDefault="00000000">
                        <w:r>
                          <w:rPr>
                            <w:rFonts w:ascii="Arial" w:eastAsia="Arial" w:hAnsi="Arial" w:cs="Arial"/>
                            <w:sz w:val="18"/>
                          </w:rPr>
                          <w:t xml:space="preserve">comma, numero 7), del decreto del Presidente della Repubblica 29 settembre </w:t>
                        </w:r>
                      </w:p>
                    </w:txbxContent>
                  </v:textbox>
                </v:rect>
                <v:rect id="Rectangle 200920" o:spid="_x0000_s3684" style="position:absolute;left:24248;top:340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Mu5xgAAAN8AAAAPAAAAZHJzL2Rvd25yZXYueG1sRI9Ba8JA&#10;EIXvhf6HZQq91U09iE1dRSxiDl60FnocsmOSmp1dsqtJ/fXOQfA4vHnf45stBteqC3Wx8WzgfZSB&#10;Ii69bbgycPhev01BxYRssfVMBv4pwmL+/DTD3Pqed3TZp0oJhGOOBuqUQq51LGtyGEc+EEt29J3D&#10;JGdXadthL3DX6nGWTbTDhmWhxkCrmsrT/uwM/H5xKNa9Lo/XVdj+FdN2cz78GPP6Miw/QSUa0uP5&#10;3i6sASF+jMVAfMQF9PwGAAD//wMAUEsBAi0AFAAGAAgAAAAhANvh9svuAAAAhQEAABMAAAAAAAAA&#10;AAAAAAAAAAAAAFtDb250ZW50X1R5cGVzXS54bWxQSwECLQAUAAYACAAAACEAWvQsW78AAAAVAQAA&#10;CwAAAAAAAAAAAAAAAAAfAQAAX3JlbHMvLnJlbHNQSwECLQAUAAYACAAAACEAVCTLucYAAADfAAAA&#10;DwAAAAAAAAAAAAAAAAAHAgAAZHJzL2Rvd25yZXYueG1sUEsFBgAAAAADAAMAtwAAAPoCAAAAAA==&#10;" filled="f" stroked="f">
                  <v:textbox inset="0,0,0,0">
                    <w:txbxContent>
                      <w:p w14:paraId="5A6EDFF0" w14:textId="77777777" w:rsidR="00B32EF2" w:rsidRDefault="00000000">
                        <w:r>
                          <w:rPr>
                            <w:rFonts w:ascii="Arial" w:eastAsia="Arial" w:hAnsi="Arial" w:cs="Arial"/>
                            <w:sz w:val="18"/>
                          </w:rPr>
                          <w:t>1973</w:t>
                        </w:r>
                      </w:p>
                    </w:txbxContent>
                  </v:textbox>
                </v:rect>
                <v:rect id="Rectangle 200921" o:spid="_x0000_s3685" style="position:absolute;left:-15675;top:34067;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G4ixwAAAN8AAAAPAAAAZHJzL2Rvd25yZXYueG1sRI/NasMw&#10;EITvhb6D2EJujZwcgutGCSUl1Idc4qbQ42JtbLfWSljyT/r0VSCQ4zAz3zDr7WRaMVDnG8sKFvME&#10;BHFpdcOVgtPn/jkF4QOyxtYyKbiQh+3m8WGNmbYjH2koQiUihH2GCuoQXCalL2sy6OfWEUfvbDuD&#10;IcqukrrDMcJNK5dJspIGG44LNTra1VT+Fr1R8P3OLt+Psjz/7dzhJ0/bj/70pdTsaXp7BRFoCvfw&#10;rZ1rBZH4slzA9U/8AnLzDwAA//8DAFBLAQItABQABgAIAAAAIQDb4fbL7gAAAIUBAAATAAAAAAAA&#10;AAAAAAAAAAAAAABbQ29udGVudF9UeXBlc10ueG1sUEsBAi0AFAAGAAgAAAAhAFr0LFu/AAAAFQEA&#10;AAsAAAAAAAAAAAAAAAAAHwEAAF9yZWxzLy5yZWxzUEsBAi0AFAAGAAgAAAAhADtobiLHAAAA3wAA&#10;AA8AAAAAAAAAAAAAAAAABwIAAGRycy9kb3ducmV2LnhtbFBLBQYAAAAAAwADALcAAAD7AgAAAAA=&#10;" filled="f" stroked="f">
                  <v:textbox inset="0,0,0,0">
                    <w:txbxContent>
                      <w:p w14:paraId="76A28C2B" w14:textId="77777777" w:rsidR="00B32EF2" w:rsidRDefault="00000000">
                        <w:r>
                          <w:rPr>
                            <w:rFonts w:ascii="Arial" w:eastAsia="Arial" w:hAnsi="Arial" w:cs="Arial"/>
                            <w:sz w:val="18"/>
                          </w:rPr>
                          <w:t xml:space="preserve">, n. 600 e 51, secondo comma, numero 7), del decreto del Presidente </w:t>
                        </w:r>
                      </w:p>
                    </w:txbxContent>
                  </v:textbox>
                </v:rect>
                <v:rect id="Rectangle 18145" o:spid="_x0000_s3686" style="position:absolute;left:11882;top:32833;width:280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2bWxAAAAN4AAAAPAAAAZHJzL2Rvd25yZXYueG1sRE9Na8JA&#10;EL0X/A/LCN7qRmlLiK4iijQHL7UKHofsmESzs0t2NdFf3y0UepvH+5z5sjeNuFPra8sKJuMEBHFh&#10;dc2lgsP39jUF4QOyxsYyKXiQh+Vi8DLHTNuOv+i+D6WIIewzVFCF4DIpfVGRQT+2jjhyZ9saDBG2&#10;pdQtdjHcNHKaJB/SYM2xoUJH64qK6/5mFJw27PJtJ4vzc+12lzxtPm+Ho1KjYb+agQjUh3/xnzvX&#10;cX46eXuH33fiDXLxAwAA//8DAFBLAQItABQABgAIAAAAIQDb4fbL7gAAAIUBAAATAAAAAAAAAAAA&#10;AAAAAAAAAABbQ29udGVudF9UeXBlc10ueG1sUEsBAi0AFAAGAAgAAAAhAFr0LFu/AAAAFQEAAAsA&#10;AAAAAAAAAAAAAAAAHwEAAF9yZWxzLy5yZWxzUEsBAi0AFAAGAAgAAAAhANI/ZtbEAAAA3gAAAA8A&#10;AAAAAAAAAAAAAAAABwIAAGRycy9kb3ducmV2LnhtbFBLBQYAAAAAAwADALcAAAD4AgAAAAA=&#10;" filled="f" stroked="f">
                  <v:textbox inset="0,0,0,0">
                    <w:txbxContent>
                      <w:p w14:paraId="707CB81F" w14:textId="77777777" w:rsidR="00B32EF2" w:rsidRDefault="00000000">
                        <w:r>
                          <w:rPr>
                            <w:rFonts w:ascii="Arial" w:eastAsia="Arial" w:hAnsi="Arial" w:cs="Arial"/>
                            <w:sz w:val="18"/>
                          </w:rPr>
                          <w:t>della Repubblica 26 ottobre 1972, n. 633.</w:t>
                        </w:r>
                      </w:p>
                    </w:txbxContent>
                  </v:textbox>
                </v:rect>
                <v:rect id="Rectangle 200919" o:spid="_x0000_s3687" style="position:absolute;left:-12836;top:31601;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qiZxwAAAN8AAAAPAAAAZHJzL2Rvd25yZXYueG1sRI9Ba8JA&#10;FITvhf6H5RV6qxt7KEnqKmKR5uDF1EKPj+wzSc2+XbJrkvrrXUHocZiZb5jFajKdGKj3rWUF81kC&#10;griyuuVaweFr+5KC8AFZY2eZFPyRh9Xy8WGBubYj72koQy0ihH2OCpoQXC6lrxoy6GfWEUfvaHuD&#10;Icq+lrrHMcJNJ1+T5E0abDkuNOho01B1Ks9Gwc8Hu2I7yup42bjdb5F2n+fDt1LPT9P6HUSgKfyH&#10;7+1CK4jEbJ7B7U/8AnJ5BQAA//8DAFBLAQItABQABgAIAAAAIQDb4fbL7gAAAIUBAAATAAAAAAAA&#10;AAAAAAAAAAAAAABbQ29udGVudF9UeXBlc10ueG1sUEsBAi0AFAAGAAgAAAAhAFr0LFu/AAAAFQEA&#10;AAsAAAAAAAAAAAAAAAAAHwEAAF9yZWxzLy5yZWxzUEsBAi0AFAAGAAgAAAAhAAtyqJnHAAAA3wAA&#10;AA8AAAAAAAAAAAAAAAAABwIAAGRycy9kb3ducmV2LnhtbFBLBQYAAAAAAwADALcAAAD7AgAAAAA=&#10;" filled="f" stroked="f">
                  <v:textbox inset="0,0,0,0">
                    <w:txbxContent>
                      <w:p w14:paraId="3B1243D7" w14:textId="77777777" w:rsidR="00B32EF2" w:rsidRDefault="00000000">
                        <w:r>
                          <w:rPr>
                            <w:rFonts w:ascii="Arial" w:eastAsia="Arial" w:hAnsi="Arial" w:cs="Arial"/>
                            <w:sz w:val="18"/>
                          </w:rPr>
                          <w:t>. Al fine di rafforzare le misure poste a garanzia del credito erariale e a soste</w:t>
                        </w:r>
                      </w:p>
                    </w:txbxContent>
                  </v:textbox>
                </v:rect>
                <v:rect id="Rectangle 200918" o:spid="_x0000_s3688" style="position:absolute;left:26353;top:31601;width:52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g0CxwAAAN8AAAAPAAAAZHJzL2Rvd25yZXYueG1sRI/BbsIw&#10;DIbvk/YOkSdxGyk7INYREGJC9LALjEk7Wo1pOxonagIte3p8QOJo/f4/+5svB9eqC3Wx8WxgMs5A&#10;EZfeNlwZOHxvXmegYkK22HomA1eKsFw8P80xt77nHV32qVIC4ZijgTqlkGsdy5ocxrEPxJIdfecw&#10;ydhV2nbYC9y1+i3Lptphw3KhxkDrmsrT/uwM/H5yKDa9Lo//6/D1V8za7fnwY8zoZVh9gEo0pMfy&#10;vV1YA0J8n8jD4iMuoBc3AAAA//8DAFBLAQItABQABgAIAAAAIQDb4fbL7gAAAIUBAAATAAAAAAAA&#10;AAAAAAAAAAAAAABbQ29udGVudF9UeXBlc10ueG1sUEsBAi0AFAAGAAgAAAAhAFr0LFu/AAAAFQEA&#10;AAsAAAAAAAAAAAAAAAAAHwEAAF9yZWxzLy5yZWxzUEsBAi0AFAAGAAgAAAAhAGQ+DQLHAAAA3wAA&#10;AA8AAAAAAAAAAAAAAAAABwIAAGRycy9kb3ducmV2LnhtbFBLBQYAAAAAAwADALcAAAD7AgAAAAA=&#10;" filled="f" stroked="f">
                  <v:textbox inset="0,0,0,0">
                    <w:txbxContent>
                      <w:p w14:paraId="03AD6B8F" w14:textId="77777777" w:rsidR="00B32EF2" w:rsidRDefault="00000000">
                        <w:r>
                          <w:rPr>
                            <w:rFonts w:ascii="Arial" w:eastAsia="Arial" w:hAnsi="Arial" w:cs="Arial"/>
                            <w:sz w:val="18"/>
                          </w:rPr>
                          <w:t>2</w:t>
                        </w:r>
                      </w:p>
                    </w:txbxContent>
                  </v:textbox>
                </v:rect>
                <v:rect id="Rectangle 18147" o:spid="_x0000_s3689" style="position:absolute;left:192;top:31601;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V06xAAAAN4AAAAPAAAAZHJzL2Rvd25yZXYueG1sRE9Na8JA&#10;EL0X/A/LCN7qRiltiK4iijQHL7UKHofsmESzs0t2NdFf3y0UepvH+5z5sjeNuFPra8sKJuMEBHFh&#10;dc2lgsP39jUF4QOyxsYyKXiQh+Vi8DLHTNuOv+i+D6WIIewzVFCF4DIpfVGRQT+2jjhyZ9saDBG2&#10;pdQtdjHcNHKaJO/SYM2xoUJH64qK6/5mFJw27PJtJ4vzc+12lzxtPm+Ho1KjYb+agQjUh3/xnzvX&#10;cX46efuA33fiDXLxAwAA//8DAFBLAQItABQABgAIAAAAIQDb4fbL7gAAAIUBAAATAAAAAAAAAAAA&#10;AAAAAAAAAABbQ29udGVudF9UeXBlc10ueG1sUEsBAi0AFAAGAAgAAAAhAFr0LFu/AAAAFQEAAAsA&#10;AAAAAAAAAAAAAAAAHwEAAF9yZWxzLy5yZWxzUEsBAi0AFAAGAAgAAAAhAE2hXTrEAAAA3gAAAA8A&#10;AAAAAAAAAAAAAAAABwIAAGRycy9kb3ducmV2LnhtbFBLBQYAAAAAAwADALcAAAD4AgAAAAA=&#10;" filled="f" stroked="f">
                  <v:textbox inset="0,0,0,0">
                    <w:txbxContent>
                      <w:p w14:paraId="4535826E" w14:textId="77777777" w:rsidR="00B32EF2" w:rsidRDefault="00000000">
                        <w:r>
                          <w:rPr>
                            <w:rFonts w:ascii="Arial" w:eastAsia="Arial" w:hAnsi="Arial" w:cs="Arial"/>
                            <w:sz w:val="18"/>
                          </w:rPr>
                          <w:t>-</w:t>
                        </w:r>
                      </w:p>
                    </w:txbxContent>
                  </v:textbox>
                </v:rect>
                <v:rect id="Rectangle 18148" o:spid="_x0000_s3690" style="position:absolute;left:-12209;top:30369;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slIxwAAAN4AAAAPAAAAZHJzL2Rvd25yZXYueG1sRI9Ba8JA&#10;EIXvgv9hGaE33SilhNRViiLNoRethR6H7Jikzc4u2dWk/fXOodDbDO/Ne9+st6Pr1I362Ho2sFxk&#10;oIgrb1uuDZzfD/McVEzIFjvPZOCHImw308kaC+sHPtLtlGolIRwLNNCkFAqtY9WQw7jwgVi0i+8d&#10;Jln7WtseBwl3nV5l2ZN22LI0NBho11D1fbo6A597DuVh0NXldxfevsq8e72eP4x5mI0vz6ASjenf&#10;/HddWsHPl4/CK+/IDHpzBwAA//8DAFBLAQItABQABgAIAAAAIQDb4fbL7gAAAIUBAAATAAAAAAAA&#10;AAAAAAAAAAAAAABbQ29udGVudF9UeXBlc10ueG1sUEsBAi0AFAAGAAgAAAAhAFr0LFu/AAAAFQEA&#10;AAsAAAAAAAAAAAAAAAAAHwEAAF9yZWxzLy5yZWxzUEsBAi0AFAAGAAgAAAAhADw+yUjHAAAA3gAA&#10;AA8AAAAAAAAAAAAAAAAABwIAAGRycy9kb3ducmV2LnhtbFBLBQYAAAAAAwADALcAAAD7AgAAAAA=&#10;" filled="f" stroked="f">
                  <v:textbox inset="0,0,0,0">
                    <w:txbxContent>
                      <w:p w14:paraId="22D39B26" w14:textId="77777777" w:rsidR="00B32EF2" w:rsidRDefault="00000000">
                        <w:r>
                          <w:rPr>
                            <w:rFonts w:ascii="Arial" w:eastAsia="Arial" w:hAnsi="Arial" w:cs="Arial"/>
                            <w:sz w:val="18"/>
                          </w:rPr>
                          <w:t>gno delle relative procedure di riscossione, le istanze di cui al comma 1 pos</w:t>
                        </w:r>
                      </w:p>
                    </w:txbxContent>
                  </v:textbox>
                </v:rect>
                <v:rect id="Rectangle 18149" o:spid="_x0000_s3691" style="position:absolute;left:192;top:30369;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zTxAAAAN4AAAAPAAAAZHJzL2Rvd25yZXYueG1sRE9Na8JA&#10;EL0X/A/LCN7qRiklja4iijQHL7UKHofsmESzs0t2NdFf3y0UepvH+5z5sjeNuFPra8sKJuMEBHFh&#10;dc2lgsP39jUF4QOyxsYyKXiQh+Vi8DLHTNuOv+i+D6WIIewzVFCF4DIpfVGRQT+2jjhyZ9saDBG2&#10;pdQtdjHcNHKaJO/SYM2xoUJH64qK6/5mFJw27PJtJ4vzc+12lzxtPm+Ho1KjYb+agQjUh3/xnzvX&#10;cX46efuA33fiDXLxAwAA//8DAFBLAQItABQABgAIAAAAIQDb4fbL7gAAAIUBAAATAAAAAAAAAAAA&#10;AAAAAAAAAABbQ29udGVudF9UeXBlc10ueG1sUEsBAi0AFAAGAAgAAAAhAFr0LFu/AAAAFQEAAAsA&#10;AAAAAAAAAAAAAAAAHwEAAF9yZWxzLy5yZWxzUEsBAi0AFAAGAAgAAAAhAFNybNPEAAAA3gAAAA8A&#10;AAAAAAAAAAAAAAAABwIAAGRycy9kb3ducmV2LnhtbFBLBQYAAAAAAwADALcAAAD4AgAAAAA=&#10;" filled="f" stroked="f">
                  <v:textbox inset="0,0,0,0">
                    <w:txbxContent>
                      <w:p w14:paraId="6793838F" w14:textId="77777777" w:rsidR="00B32EF2" w:rsidRDefault="00000000">
                        <w:r>
                          <w:rPr>
                            <w:rFonts w:ascii="Arial" w:eastAsia="Arial" w:hAnsi="Arial" w:cs="Arial"/>
                            <w:sz w:val="18"/>
                          </w:rPr>
                          <w:t>-</w:t>
                        </w:r>
                      </w:p>
                    </w:txbxContent>
                  </v:textbox>
                </v:rect>
                <v:rect id="Rectangle 18150" o:spid="_x0000_s3692" style="position:absolute;left:-13170;top:29137;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VOTxwAAAN4AAAAPAAAAZHJzL2Rvd25yZXYueG1sRI9Ba8JA&#10;EIXvgv9hGaE33Si0hNRViiLNoRethR6H7Jikzc4u2dWk/fXOodDbDPPmvfett6Pr1I362Ho2sFxk&#10;oIgrb1uuDZzfD/McVEzIFjvPZOCHImw308kaC+sHPtLtlGolJhwLNNCkFAqtY9WQw7jwgVhuF987&#10;TLL2tbY9DmLuOr3KsiftsGVJaDDQrqHq+3R1Bj73HMrDoKvL7y68fZV593o9fxjzMBtfnkElGtO/&#10;+O+7tFI/Xz4KgODIDHpzBwAA//8DAFBLAQItABQABgAIAAAAIQDb4fbL7gAAAIUBAAATAAAAAAAA&#10;AAAAAAAAAAAAAABbQ29udGVudF9UeXBlc10ueG1sUEsBAi0AFAAGAAgAAAAhAFr0LFu/AAAAFQEA&#10;AAsAAAAAAAAAAAAAAAAAHwEAAF9yZWxzLy5yZWxzUEsBAi0AFAAGAAgAAAAhAEeRU5PHAAAA3gAA&#10;AA8AAAAAAAAAAAAAAAAABwIAAGRycy9kb3ducmV2LnhtbFBLBQYAAAAAAwADALcAAAD7AgAAAAA=&#10;" filled="f" stroked="f">
                  <v:textbox inset="0,0,0,0">
                    <w:txbxContent>
                      <w:p w14:paraId="0A09FF80" w14:textId="77777777" w:rsidR="00B32EF2" w:rsidRDefault="00000000">
                        <w:r>
                          <w:rPr>
                            <w:rFonts w:ascii="Arial" w:eastAsia="Arial" w:hAnsi="Arial" w:cs="Arial"/>
                            <w:sz w:val="18"/>
                          </w:rPr>
                          <w:t xml:space="preserve">sono essere inoltrate dal comandante provinciale della Guardia di finanza, in </w:t>
                        </w:r>
                      </w:p>
                    </w:txbxContent>
                  </v:textbox>
                </v:rect>
                <v:rect id="Rectangle 18151" o:spid="_x0000_s3693" style="position:absolute;left:-13171;top:2790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fYIxAAAAN4AAAAPAAAAZHJzL2Rvd25yZXYueG1sRE9Na8JA&#10;EL0X/A/LCN7qJgUlpK4iijQHL1qFHofsmKTNzi7Z1cT++q4g9DaP9zmL1WBacaPON5YVpNMEBHFp&#10;dcOVgtPn7jUD4QOyxtYyKbiTh9Vy9LLAXNueD3Q7hkrEEPY5KqhDcLmUvqzJoJ9aRxy5i+0Mhgi7&#10;SuoO+xhuWvmWJHNpsOHYUKOjTU3lz/FqFHxt2RW7XpaX343bfxdZ+3E9nZWajIf1O4hAQ/gXP92F&#10;jvOzdJbC4514g1z+AQAA//8DAFBLAQItABQABgAIAAAAIQDb4fbL7gAAAIUBAAATAAAAAAAAAAAA&#10;AAAAAAAAAABbQ29udGVudF9UeXBlc10ueG1sUEsBAi0AFAAGAAgAAAAhAFr0LFu/AAAAFQEAAAsA&#10;AAAAAAAAAAAAAAAAHwEAAF9yZWxzLy5yZWxzUEsBAi0AFAAGAAgAAAAhACjd9gjEAAAA3gAAAA8A&#10;AAAAAAAAAAAAAAAABwIAAGRycy9kb3ducmV2LnhtbFBLBQYAAAAAAwADALcAAAD4AgAAAAA=&#10;" filled="f" stroked="f">
                  <v:textbox inset="0,0,0,0">
                    <w:txbxContent>
                      <w:p w14:paraId="34748610" w14:textId="77777777" w:rsidR="00B32EF2" w:rsidRDefault="00000000">
                        <w:r>
                          <w:rPr>
                            <w:rFonts w:ascii="Arial" w:eastAsia="Arial" w:hAnsi="Arial" w:cs="Arial"/>
                            <w:sz w:val="18"/>
                          </w:rPr>
                          <w:t xml:space="preserve">relazione ai processi verbali di constatazione rilasciati dai reparti dipendenti, </w:t>
                        </w:r>
                      </w:p>
                    </w:txbxContent>
                  </v:textbox>
                </v:rect>
                <v:rect id="Rectangle 18152" o:spid="_x0000_s3694" style="position:absolute;left:-13170;top:26673;width:5308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2h/xAAAAN4AAAAPAAAAZHJzL2Rvd25yZXYueG1sRE9Ni8Iw&#10;EL0v+B/CCN7WVEEp1SiiiD3sRdeFPQ7N2FabSWii7e6v3wjC3ubxPme57k0jHtT62rKCyTgBQVxY&#10;XXOp4Py5f09B+ICssbFMCn7Iw3o1eFtipm3HR3qcQiliCPsMFVQhuExKX1Rk0I+tI47cxbYGQ4Rt&#10;KXWLXQw3jZwmyVwarDk2VOhoW1FxO92Ngu8du3zfyeLyu3Uf1zxtDvfzl1KjYb9ZgAjUh3/xy53r&#10;OD+dzKbwfCfeIFd/AAAA//8DAFBLAQItABQABgAIAAAAIQDb4fbL7gAAAIUBAAATAAAAAAAAAAAA&#10;AAAAAAAAAABbQ29udGVudF9UeXBlc10ueG1sUEsBAi0AFAAGAAgAAAAhAFr0LFu/AAAAFQEAAAsA&#10;AAAAAAAAAAAAAAAAHwEAAF9yZWxzLy5yZWxzUEsBAi0AFAAGAAgAAAAhANgPaH/EAAAA3gAAAA8A&#10;AAAAAAAAAAAAAAAABwIAAGRycy9kb3ducmV2LnhtbFBLBQYAAAAAAwADALcAAAD4AgAAAAA=&#10;" filled="f" stroked="f">
                  <v:textbox inset="0,0,0,0">
                    <w:txbxContent>
                      <w:p w14:paraId="6318F57A" w14:textId="77777777" w:rsidR="00B32EF2" w:rsidRDefault="00000000">
                        <w:r>
                          <w:rPr>
                            <w:rFonts w:ascii="Arial" w:eastAsia="Arial" w:hAnsi="Arial" w:cs="Arial"/>
                            <w:sz w:val="18"/>
                          </w:rPr>
                          <w:t xml:space="preserve">dando tempestiva comunicazione alla direzione provinciale dell’Agenzia delle </w:t>
                        </w:r>
                      </w:p>
                    </w:txbxContent>
                  </v:textbox>
                </v:rect>
                <v:rect id="Rectangle 18153" o:spid="_x0000_s3695" style="position:absolute;left:-13171;top:2544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83kxAAAAN4AAAAPAAAAZHJzL2Rvd25yZXYueG1sRE9Na8JA&#10;EL0X/A/LCN7qRktLiK4iijQHL7UKHofsmESzs0t2NdFf3y0UepvH+5z5sjeNuFPra8sKJuMEBHFh&#10;dc2lgsP39jUF4QOyxsYyKXiQh+Vi8DLHTNuOv+i+D6WIIewzVFCF4DIpfVGRQT+2jjhyZ9saDBG2&#10;pdQtdjHcNHKaJB/SYM2xoUJH64qK6/5mFJw27PJtJ4vzc+12lzxtPm+Ho1KjYb+agQjUh3/xnzvX&#10;cX46eX+D33fiDXLxAwAA//8DAFBLAQItABQABgAIAAAAIQDb4fbL7gAAAIUBAAATAAAAAAAAAAAA&#10;AAAAAAAAAABbQ29udGVudF9UeXBlc10ueG1sUEsBAi0AFAAGAAgAAAAhAFr0LFu/AAAAFQEAAAsA&#10;AAAAAAAAAAAAAAAAHwEAAF9yZWxzLy5yZWxzUEsBAi0AFAAGAAgAAAAhALdDzeTEAAAA3gAAAA8A&#10;AAAAAAAAAAAAAAAABwIAAGRycy9kb3ducmV2LnhtbFBLBQYAAAAAAwADALcAAAD4AgAAAAA=&#10;" filled="f" stroked="f">
                  <v:textbox inset="0,0,0,0">
                    <w:txbxContent>
                      <w:p w14:paraId="1D60111E" w14:textId="77777777" w:rsidR="00B32EF2" w:rsidRDefault="00000000">
                        <w:r>
                          <w:rPr>
                            <w:rFonts w:ascii="Arial" w:eastAsia="Arial" w:hAnsi="Arial" w:cs="Arial"/>
                            <w:sz w:val="18"/>
                          </w:rPr>
                          <w:t xml:space="preserve">entrate, che esamina l’istanza e comunica le proprie eventuali osservazioni al </w:t>
                        </w:r>
                      </w:p>
                    </w:txbxContent>
                  </v:textbox>
                </v:rect>
                <v:rect id="Rectangle 18154" o:spid="_x0000_s3696" style="position:absolute;left:-12205;top:24208;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lWQxAAAAN4AAAAPAAAAZHJzL2Rvd25yZXYueG1sRE9Na8JA&#10;EL0X/A/LCN7qRmlLiK4iijQHL7UKHofsmESzs0t2NdFf3y0UepvH+5z5sjeNuFPra8sKJuMEBHFh&#10;dc2lgsP39jUF4QOyxsYyKXiQh+Vi8DLHTNuOv+i+D6WIIewzVFCF4DIpfVGRQT+2jjhyZ9saDBG2&#10;pdQtdjHcNHKaJB/SYM2xoUJH64qK6/5mFJw27PJtJ4vzc+12lzxtPm+Ho1KjYb+agQjUh3/xnzvX&#10;cX46eX+D33fiDXLxAwAA//8DAFBLAQItABQABgAIAAAAIQDb4fbL7gAAAIUBAAATAAAAAAAAAAAA&#10;AAAAAAAAAABbQ29udGVudF9UeXBlc10ueG1sUEsBAi0AFAAGAAgAAAAhAFr0LFu/AAAAFQEAAAsA&#10;AAAAAAAAAAAAAAAAHwEAAF9yZWxzLy5yZWxzUEsBAi0AFAAGAAgAAAAhADiqVZDEAAAA3gAAAA8A&#10;AAAAAAAAAAAAAAAABwIAAGRycy9kb3ducmV2LnhtbFBLBQYAAAAAAwADALcAAAD4AgAAAAA=&#10;" filled="f" stroked="f">
                  <v:textbox inset="0,0,0,0">
                    <w:txbxContent>
                      <w:p w14:paraId="2BCBE003" w14:textId="77777777" w:rsidR="00B32EF2" w:rsidRDefault="00000000">
                        <w:r>
                          <w:rPr>
                            <w:rFonts w:ascii="Arial" w:eastAsia="Arial" w:hAnsi="Arial" w:cs="Arial"/>
                            <w:sz w:val="18"/>
                          </w:rPr>
                          <w:t>presidente della corte di giustizia tributaria di primo grado, nonché al coman</w:t>
                        </w:r>
                      </w:p>
                    </w:txbxContent>
                  </v:textbox>
                </v:rect>
                <v:rect id="Rectangle 18155" o:spid="_x0000_s3697" style="position:absolute;left:192;top:24208;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vALxAAAAN4AAAAPAAAAZHJzL2Rvd25yZXYueG1sRE9Ni8Iw&#10;EL0v+B/CCN7WVMGlVKOIIvbgZV0Fj0MzttVmEppo6/76zcLC3ubxPmex6k0jntT62rKCyTgBQVxY&#10;XXOp4PS1e09B+ICssbFMCl7kYbUcvC0w07bjT3oeQyliCPsMFVQhuExKX1Rk0I+tI47c1bYGQ4Rt&#10;KXWLXQw3jZwmyYc0WHNsqNDRpqLifnwYBZctu3zXyeL6vXGHW542+8fprNRo2K/nIAL14V/85851&#10;nJ9OZjP4fSfeIJc/AAAA//8DAFBLAQItABQABgAIAAAAIQDb4fbL7gAAAIUBAAATAAAAAAAAAAAA&#10;AAAAAAAAAABbQ29udGVudF9UeXBlc10ueG1sUEsBAi0AFAAGAAgAAAAhAFr0LFu/AAAAFQEAAAsA&#10;AAAAAAAAAAAAAAAAHwEAAF9yZWxzLy5yZWxzUEsBAi0AFAAGAAgAAAAhAFfm8AvEAAAA3gAAAA8A&#10;AAAAAAAAAAAAAAAABwIAAGRycy9kb3ducmV2LnhtbFBLBQYAAAAAAwADALcAAAD4AgAAAAA=&#10;" filled="f" stroked="f">
                  <v:textbox inset="0,0,0,0">
                    <w:txbxContent>
                      <w:p w14:paraId="6C841D60" w14:textId="77777777" w:rsidR="00B32EF2" w:rsidRDefault="00000000">
                        <w:r>
                          <w:rPr>
                            <w:rFonts w:ascii="Arial" w:eastAsia="Arial" w:hAnsi="Arial" w:cs="Arial"/>
                            <w:sz w:val="18"/>
                          </w:rPr>
                          <w:t>-</w:t>
                        </w:r>
                      </w:p>
                    </w:txbxContent>
                  </v:textbox>
                </v:rect>
                <v:rect id="Rectangle 18156" o:spid="_x0000_s3698" style="position:absolute;left:-13171;top:2297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G58xAAAAN4AAAAPAAAAZHJzL2Rvd25yZXYueG1sRE9Li8Iw&#10;EL4L/ocwwt40VVgpXaOIItvDXnws7HFoxrZrMwlNtN399UYQvM3H95zFqjeNuFHra8sKppMEBHFh&#10;dc2lgtNxN05B+ICssbFMCv7Iw2o5HCww07bjPd0OoRQxhH2GCqoQXCalLyoy6CfWEUfubFuDIcK2&#10;lLrFLoabRs6SZC4N1hwbKnS0qai4HK5Gwc+WXb7rZHH+37iv3zxtPq+nb6XeRv36A0SgPrzET3eu&#10;4/x0+j6HxzvxBrm8AwAA//8DAFBLAQItABQABgAIAAAAIQDb4fbL7gAAAIUBAAATAAAAAAAAAAAA&#10;AAAAAAAAAABbQ29udGVudF9UeXBlc10ueG1sUEsBAi0AFAAGAAgAAAAhAFr0LFu/AAAAFQEAAAsA&#10;AAAAAAAAAAAAAAAAHwEAAF9yZWxzLy5yZWxzUEsBAi0AFAAGAAgAAAAhAKc0bnzEAAAA3gAAAA8A&#10;AAAAAAAAAAAAAAAABwIAAGRycy9kb3ducmV2LnhtbFBLBQYAAAAAAwADALcAAAD4AgAAAAA=&#10;" filled="f" stroked="f">
                  <v:textbox inset="0,0,0,0">
                    <w:txbxContent>
                      <w:p w14:paraId="646B51ED" w14:textId="77777777" w:rsidR="00B32EF2" w:rsidRDefault="00000000">
                        <w:r>
                          <w:rPr>
                            <w:rFonts w:ascii="Arial" w:eastAsia="Arial" w:hAnsi="Arial" w:cs="Arial"/>
                            <w:sz w:val="18"/>
                          </w:rPr>
                          <w:t xml:space="preserve">dante provinciale richiedente. Decorso il termine di venti giorni dal ricevimento </w:t>
                        </w:r>
                      </w:p>
                    </w:txbxContent>
                  </v:textbox>
                </v:rect>
                <v:rect id="Rectangle 18157" o:spid="_x0000_s3699" style="position:absolute;left:-12792;top:21744;width:527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MvnxAAAAN4AAAAPAAAAZHJzL2Rvd25yZXYueG1sRE9Na8JA&#10;EL0X/A/LCN7qRqFtiK4iijQHL7UKHofsmESzs0t2NdFf3y0UepvH+5z5sjeNuFPra8sKJuMEBHFh&#10;dc2lgsP39jUF4QOyxsYyKXiQh+Vi8DLHTNuOv+i+D6WIIewzVFCF4DIpfVGRQT+2jjhyZ9saDBG2&#10;pdQtdjHcNHKaJO/SYM2xoUJH64qK6/5mFJw27PJtJ4vzc+12lzxtPm+Ho1KjYb+agQjUh3/xnzvX&#10;cX46efuA33fiDXLxAwAA//8DAFBLAQItABQABgAIAAAAIQDb4fbL7gAAAIUBAAATAAAAAAAAAAAA&#10;AAAAAAAAAABbQ29udGVudF9UeXBlc10ueG1sUEsBAi0AFAAGAAgAAAAhAFr0LFu/AAAAFQEAAAsA&#10;AAAAAAAAAAAAAAAAHwEAAF9yZWxzLy5yZWxzUEsBAi0AFAAGAAgAAAAhAMh4y+fEAAAA3gAAAA8A&#10;AAAAAAAAAAAAAAAABwIAAGRycy9kb3ducmV2LnhtbFBLBQYAAAAAAwADALcAAAD4AgAAAAA=&#10;" filled="f" stroked="f">
                  <v:textbox inset="0,0,0,0">
                    <w:txbxContent>
                      <w:p w14:paraId="2D12FA2E" w14:textId="77777777" w:rsidR="00B32EF2" w:rsidRDefault="00000000">
                        <w:r>
                          <w:rPr>
                            <w:rFonts w:ascii="Arial" w:eastAsia="Arial" w:hAnsi="Arial" w:cs="Arial"/>
                            <w:sz w:val="18"/>
                          </w:rPr>
                          <w:t xml:space="preserve">dell’istanza, si intende acquisito il conforme parere dell’Agenzia delle entrate. </w:t>
                        </w:r>
                      </w:p>
                    </w:txbxContent>
                  </v:textbox>
                </v:rect>
                <v:rect id="Rectangle 200917" o:spid="_x0000_s3700" style="position:absolute;left:-13816;top:2051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ZlwxwAAAN8AAAAPAAAAZHJzL2Rvd25yZXYueG1sRI9Pa8JA&#10;FMTvhX6H5RV60409WI1uRCxiDr1UU+jxkX35o9m3S3Y1aT99tyD0OMzMb5j1ZjSduFHvW8sKZtME&#10;BHFpdcu1guK0nyxA+ICssbNMCr7JwyZ7fFhjqu3AH3Q7hlpECPsUFTQhuFRKXzZk0E+tI45eZXuD&#10;Icq+lrrHIcJNJ1+SZC4NthwXGnS0a6i8HK9Gwdcbu3w/yLL62bn3c77oDtfiU6nnp3G7AhFoDP/h&#10;ezvXCiJxOXuFvz/xC8jsFwAA//8DAFBLAQItABQABgAIAAAAIQDb4fbL7gAAAIUBAAATAAAAAAAA&#10;AAAAAAAAAAAAAABbQ29udGVudF9UeXBlc10ueG1sUEsBAi0AFAAGAAgAAAAhAFr0LFu/AAAAFQEA&#10;AAsAAAAAAAAAAAAAAAAAHwEAAF9yZWxzLy5yZWxzUEsBAi0AFAAGAAgAAAAhABWhmXDHAAAA3wAA&#10;AA8AAAAAAAAAAAAAAAAABwIAAGRycy9kb3ducmV2LnhtbFBLBQYAAAAAAwADALcAAAD7AgAAAAA=&#10;" filled="f" stroked="f">
                  <v:textbox inset="0,0,0,0">
                    <w:txbxContent>
                      <w:p w14:paraId="46FB1C72" w14:textId="77777777" w:rsidR="00B32EF2" w:rsidRDefault="00000000">
                        <w:r>
                          <w:rPr>
                            <w:rFonts w:ascii="Arial" w:eastAsia="Arial" w:hAnsi="Arial" w:cs="Arial"/>
                            <w:sz w:val="18"/>
                          </w:rPr>
                          <w:t xml:space="preserve">. Nei casi di cui al comma 2, la Guardia di finanza fornisce all’Agenzia delle </w:t>
                        </w:r>
                      </w:p>
                    </w:txbxContent>
                  </v:textbox>
                </v:rect>
                <v:rect id="Rectangle 200916" o:spid="_x0000_s3701" style="position:absolute;left:26110;top:2051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TzrxgAAAN8AAAAPAAAAZHJzL2Rvd25yZXYueG1sRI9Pi8Iw&#10;FMTvgt8hPGFvmroH0WqUxUW2h734Dzw+mmdbt3kJTbRdP70RBI/DzPyGWaw6U4sbNb6yrGA8SkAQ&#10;51ZXXCg47DfDKQgfkDXWlknBP3lYLfu9Babatryl2y4UIkLYp6igDMGlUvq8JIN+ZB1x9M62MRii&#10;bAqpG2wj3NTyM0km0mDFcaFER+uS8r/d1Sg4fbPLNq3Mz/e1+71k0/rnejgq9THovuYgAnXhHX61&#10;M60gEmfjCTz/xC8glw8AAAD//wMAUEsBAi0AFAAGAAgAAAAhANvh9svuAAAAhQEAABMAAAAAAAAA&#10;AAAAAAAAAAAAAFtDb250ZW50X1R5cGVzXS54bWxQSwECLQAUAAYACAAAACEAWvQsW78AAAAVAQAA&#10;CwAAAAAAAAAAAAAAAAAfAQAAX3JlbHMvLnJlbHNQSwECLQAUAAYACAAAACEAeu0868YAAADfAAAA&#10;DwAAAAAAAAAAAAAAAAAHAgAAZHJzL2Rvd25yZXYueG1sUEsFBgAAAAADAAMAtwAAAPoCAAAAAA==&#10;" filled="f" stroked="f">
                  <v:textbox inset="0,0,0,0">
                    <w:txbxContent>
                      <w:p w14:paraId="6811CC1F" w14:textId="77777777" w:rsidR="00B32EF2" w:rsidRDefault="00000000">
                        <w:r>
                          <w:rPr>
                            <w:rFonts w:ascii="Arial" w:eastAsia="Arial" w:hAnsi="Arial" w:cs="Arial"/>
                            <w:sz w:val="18"/>
                          </w:rPr>
                          <w:t>3</w:t>
                        </w:r>
                      </w:p>
                    </w:txbxContent>
                  </v:textbox>
                </v:rect>
                <v:rect id="Rectangle 18159" o:spid="_x0000_s3702" style="position:absolute;left:-13170;top:19280;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OxAAAAN4AAAAPAAAAZHJzL2Rvd25yZXYueG1sRE9Na8JA&#10;EL0X/A/LCN7qRqElja4iijQHL7UKHofsmESzs0t2NdFf3y0UepvH+5z5sjeNuFPra8sKJuMEBHFh&#10;dc2lgsP39jUF4QOyxsYyKXiQh+Vi8DLHTNuOv+i+D6WIIewzVFCF4DIpfVGRQT+2jjhyZ9saDBG2&#10;pdQtdjHcNHKaJO/SYM2xoUJH64qK6/5mFJw27PJtJ4vzc+12lzxtPm+Ho1KjYb+agQjUh3/xnzvX&#10;cX46efuA33fiDXLxAwAA//8DAFBLAQItABQABgAIAAAAIQDb4fbL7gAAAIUBAAATAAAAAAAAAAAA&#10;AAAAAAAAAABbQ29udGVudF9UeXBlc10ueG1sUEsBAi0AFAAGAAgAAAAhAFr0LFu/AAAAFQEAAAsA&#10;AAAAAAAAAAAAAAAAHwEAAF9yZWxzLy5yZWxzUEsBAi0AFAAGAAgAAAAhANar+g7EAAAA3gAAAA8A&#10;AAAAAAAAAAAAAAAABwIAAGRycy9kb3ducmV2LnhtbFBLBQYAAAAAAwADALcAAAD4AgAAAAA=&#10;" filled="f" stroked="f">
                  <v:textbox inset="0,0,0,0">
                    <w:txbxContent>
                      <w:p w14:paraId="19A1062D" w14:textId="77777777" w:rsidR="00B32EF2" w:rsidRDefault="00000000">
                        <w:r>
                          <w:rPr>
                            <w:rFonts w:ascii="Arial" w:eastAsia="Arial" w:hAnsi="Arial" w:cs="Arial"/>
                            <w:sz w:val="18"/>
                          </w:rPr>
                          <w:t xml:space="preserve">entrate ogni elemento richiesto ai fini dell’istruttoria e della partecipazione alla </w:t>
                        </w:r>
                      </w:p>
                    </w:txbxContent>
                  </v:textbox>
                </v:rect>
                <v:rect id="Rectangle 18160" o:spid="_x0000_s3703" style="position:absolute;left:-12289;top:18047;width:522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kuxwAAAN4AAAAPAAAAZHJzL2Rvd25yZXYueG1sRI9Pa8Mw&#10;DMXvg30Ho8Fui9MdSsjqltFRlsMu6x/oUcRqki2WTew22T59dSj0JqGn995vsZpcry40xM6zgVmW&#10;gyKuve24MbDfbV4KUDEhW+w9k4E/irBaPj4ssLR+5G+6bFOjxIRjiQbalEKpdaxbchgzH4jldvKD&#10;wyTr0Gg74CjmrteveT7XDjuWhBYDrVuqf7dnZ+D4waHajLo+/a/D109V9J/n/cGY56fp/Q1Uoind&#10;xbfvykr9YjYXAMGRGfTyCgAA//8DAFBLAQItABQABgAIAAAAIQDb4fbL7gAAAIUBAAATAAAAAAAA&#10;AAAAAAAAAAAAAABbQ29udGVudF9UeXBlc10ueG1sUEsBAi0AFAAGAAgAAAAhAFr0LFu/AAAAFQEA&#10;AAsAAAAAAAAAAAAAAAAAHwEAAF9yZWxzLy5yZWxzUEsBAi0AFAAGAAgAAAAhAIn9mS7HAAAA3gAA&#10;AA8AAAAAAAAAAAAAAAAABwIAAGRycy9kb3ducmV2LnhtbFBLBQYAAAAAAwADALcAAAD7AgAAAAA=&#10;" filled="f" stroked="f">
                  <v:textbox inset="0,0,0,0">
                    <w:txbxContent>
                      <w:p w14:paraId="517BF531" w14:textId="77777777" w:rsidR="00B32EF2" w:rsidRDefault="00000000">
                        <w:r>
                          <w:rPr>
                            <w:rFonts w:ascii="Arial" w:eastAsia="Arial" w:hAnsi="Arial" w:cs="Arial"/>
                            <w:sz w:val="18"/>
                          </w:rPr>
                          <w:t>procedura di cui al presente articolo. In caso di richiesta di chiarimenti, è inter</w:t>
                        </w:r>
                      </w:p>
                    </w:txbxContent>
                  </v:textbox>
                </v:rect>
                <v:rect id="Rectangle 18161" o:spid="_x0000_s3704" style="position:absolute;left:192;top:1804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Ty1xAAAAN4AAAAPAAAAZHJzL2Rvd25yZXYueG1sRE9Li8Iw&#10;EL4v+B/CCHtb03qQUo0iitjDXtYHeByase1uMwlNtNVfv1lY8DYf33MWq8G04k6dbywrSCcJCOLS&#10;6oYrBafj7iMD4QOyxtYyKXiQh9Vy9LbAXNuev+h+CJWIIexzVFCH4HIpfVmTQT+xjjhyV9sZDBF2&#10;ldQd9jHctHKaJDNpsOHYUKOjTU3lz+FmFFy27IpdL8vrc+M+v4us3d9OZ6Xex8N6DiLQEF7if3eh&#10;4/wsnaXw9068QS5/AQAA//8DAFBLAQItABQABgAIAAAAIQDb4fbL7gAAAIUBAAATAAAAAAAAAAAA&#10;AAAAAAAAAABbQ29udGVudF9UeXBlc10ueG1sUEsBAi0AFAAGAAgAAAAhAFr0LFu/AAAAFQEAAAsA&#10;AAAAAAAAAAAAAAAAHwEAAF9yZWxzLy5yZWxzUEsBAi0AFAAGAAgAAAAhAOaxPLXEAAAA3gAAAA8A&#10;AAAAAAAAAAAAAAAABwIAAGRycy9kb3ducmV2LnhtbFBLBQYAAAAAAwADALcAAAD4AgAAAAA=&#10;" filled="f" stroked="f">
                  <v:textbox inset="0,0,0,0">
                    <w:txbxContent>
                      <w:p w14:paraId="39B931F7" w14:textId="77777777" w:rsidR="00B32EF2" w:rsidRDefault="00000000">
                        <w:r>
                          <w:rPr>
                            <w:rFonts w:ascii="Arial" w:eastAsia="Arial" w:hAnsi="Arial" w:cs="Arial"/>
                            <w:sz w:val="18"/>
                          </w:rPr>
                          <w:t>-</w:t>
                        </w:r>
                      </w:p>
                    </w:txbxContent>
                  </v:textbox>
                </v:rect>
                <v:rect id="Rectangle 18162" o:spid="_x0000_s3705" style="position:absolute;left:3991;top:16815;width:359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6LCwwAAAN4AAAAPAAAAZHJzL2Rvd25yZXYueG1sRE9Ni8Iw&#10;EL0v+B/CCHtbUz1IqUYRRexhL6su7HFoxrbaTEITbfXXbwTB2zze58yXvWnEjVpfW1YwHiUgiAur&#10;ay4VHA/brxSED8gaG8uk4E4elovBxxwzbTv+ods+lCKGsM9QQRWCy6T0RUUG/cg64sidbGswRNiW&#10;UrfYxXDTyEmSTKXBmmNDhY7WFRWX/dUo+Nuwy7edLE6Ptfs+52mzux5/lfoc9qsZiEB9eItf7lzH&#10;+el4OoHnO/EGufgHAAD//wMAUEsBAi0AFAAGAAgAAAAhANvh9svuAAAAhQEAABMAAAAAAAAAAAAA&#10;AAAAAAAAAFtDb250ZW50X1R5cGVzXS54bWxQSwECLQAUAAYACAAAACEAWvQsW78AAAAVAQAACwAA&#10;AAAAAAAAAAAAAAAfAQAAX3JlbHMvLnJlbHNQSwECLQAUAAYACAAAACEAFmOiwsMAAADeAAAADwAA&#10;AAAAAAAAAAAAAAAHAgAAZHJzL2Rvd25yZXYueG1sUEsFBgAAAAADAAMAtwAAAPcCAAAAAA==&#10;" filled="f" stroked="f">
                  <v:textbox inset="0,0,0,0">
                    <w:txbxContent>
                      <w:p w14:paraId="7F09C48B" w14:textId="77777777" w:rsidR="00B32EF2" w:rsidRDefault="00000000">
                        <w:r>
                          <w:rPr>
                            <w:rFonts w:ascii="Arial" w:eastAsia="Arial" w:hAnsi="Arial" w:cs="Arial"/>
                            <w:sz w:val="18"/>
                          </w:rPr>
                          <w:t>rotto, per una sola volta, il termine di cui al comma 2.</w:t>
                        </w:r>
                      </w:p>
                    </w:txbxContent>
                  </v:textbox>
                </v:rect>
                <v:rect id="Rectangle 200915" o:spid="_x0000_s3706" style="position:absolute;left:-12919;top:15583;width:522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6KcxwAAAN8AAAAPAAAAZHJzL2Rvd25yZXYueG1sRI9Pa8JA&#10;FMTvhX6H5RV6040Fi0Y3IhYxh16qKfT4yL780ezbJbuatJ++WxB6HGbmN8x6M5pO3Kj3rWUFs2kC&#10;gri0uuVaQXHaTxYgfEDW2FkmBd/kYZM9Pqwx1XbgD7odQy0ihH2KCpoQXCqlLxsy6KfWEUevsr3B&#10;EGVfS93jEOGmky9J8ioNthwXGnS0a6i8HK9Gwdcbu3w/yLL62bn3c77oDtfiU6nnp3G7AhFoDP/h&#10;ezvXCiJxOZvD35/4BWT2CwAA//8DAFBLAQItABQABgAIAAAAIQDb4fbL7gAAAIUBAAATAAAAAAAA&#10;AAAAAAAAAAAAAABbQ29udGVudF9UeXBlc10ueG1sUEsBAi0AFAAGAAgAAAAhAFr0LFu/AAAAFQEA&#10;AAsAAAAAAAAAAAAAAAAAHwEAAF9yZWxzLy5yZWxzUEsBAi0AFAAGAAgAAAAhAIo/opzHAAAA3wAA&#10;AA8AAAAAAAAAAAAAAAAABwIAAGRycy9kb3ducmV2LnhtbFBLBQYAAAAAAwADALcAAAD7AgAAAAA=&#10;" filled="f" stroked="f">
                  <v:textbox inset="0,0,0,0">
                    <w:txbxContent>
                      <w:p w14:paraId="29C1C9F3" w14:textId="77777777" w:rsidR="00B32EF2" w:rsidRDefault="00000000">
                        <w:r>
                          <w:rPr>
                            <w:rFonts w:ascii="Arial" w:eastAsia="Arial" w:hAnsi="Arial" w:cs="Arial"/>
                            <w:sz w:val="18"/>
                          </w:rPr>
                          <w:t>. Le istanze di cui al comma 1 devono essere notificate, anche tramite il ser</w:t>
                        </w:r>
                      </w:p>
                    </w:txbxContent>
                  </v:textbox>
                </v:rect>
                <v:rect id="Rectangle 200914" o:spid="_x0000_s3707" style="position:absolute;left:26329;top:15583;width:522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wcHxwAAAN8AAAAPAAAAZHJzL2Rvd25yZXYueG1sRI9Pa8JA&#10;FMTvhX6H5RV6041FikY3IhYxh16qKfT4yL780ezbJbuatJ++WxB6HGbmN8x6M5pO3Kj3rWUFs2kC&#10;gri0uuVaQXHaTxYgfEDW2FkmBd/kYZM9Pqwx1XbgD7odQy0ihH2KCpoQXCqlLxsy6KfWEUevsr3B&#10;EGVfS93jEOGmky9J8ioNthwXGnS0a6i8HK9Gwdcbu3w/yLL62bn3c77oDtfiU6nnp3G7AhFoDP/h&#10;ezvXCiJxOZvD35/4BWT2CwAA//8DAFBLAQItABQABgAIAAAAIQDb4fbL7gAAAIUBAAATAAAAAAAA&#10;AAAAAAAAAAAAAABbQ29udGVudF9UeXBlc10ueG1sUEsBAi0AFAAGAAgAAAAhAFr0LFu/AAAAFQEA&#10;AAsAAAAAAAAAAAAAAAAAHwEAAF9yZWxzLy5yZWxzUEsBAi0AFAAGAAgAAAAhAOVzBwfHAAAA3wAA&#10;AA8AAAAAAAAAAAAAAAAABwIAAGRycy9kb3ducmV2LnhtbFBLBQYAAAAAAwADALcAAAD7AgAAAAA=&#10;" filled="f" stroked="f">
                  <v:textbox inset="0,0,0,0">
                    <w:txbxContent>
                      <w:p w14:paraId="1ADA9542" w14:textId="77777777" w:rsidR="00B32EF2" w:rsidRDefault="00000000">
                        <w:r>
                          <w:rPr>
                            <w:rFonts w:ascii="Arial" w:eastAsia="Arial" w:hAnsi="Arial" w:cs="Arial"/>
                            <w:sz w:val="18"/>
                          </w:rPr>
                          <w:t>4</w:t>
                        </w:r>
                      </w:p>
                    </w:txbxContent>
                  </v:textbox>
                </v:rect>
                <v:rect id="Rectangle 18164" o:spid="_x0000_s3708" style="position:absolute;left:192;top:15583;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p8txAAAAN4AAAAPAAAAZHJzL2Rvd25yZXYueG1sRE9Li8Iw&#10;EL4L/ocwwt40VRYpXaOIItvDXnws7HFoxrZrMwlNtN399UYQvM3H95zFqjeNuFHra8sKppMEBHFh&#10;dc2lgtNxN05B+ICssbFMCv7Iw2o5HCww07bjPd0OoRQxhH2GCqoQXCalLyoy6CfWEUfubFuDIcK2&#10;lLrFLoabRs6SZC4N1hwbKnS0qai4HK5Gwc+WXb7rZHH+37iv3zxtPq+nb6XeRv36A0SgPrzET3eu&#10;4/x0On+HxzvxBrm8AwAA//8DAFBLAQItABQABgAIAAAAIQDb4fbL7gAAAIUBAAATAAAAAAAAAAAA&#10;AAAAAAAAAABbQ29udGVudF9UeXBlc10ueG1sUEsBAi0AFAAGAAgAAAAhAFr0LFu/AAAAFQEAAAsA&#10;AAAAAAAAAAAAAAAAHwEAAF9yZWxzLy5yZWxzUEsBAi0AFAAGAAgAAAAhAPbGny3EAAAA3gAAAA8A&#10;AAAAAAAAAAAAAAAABwIAAGRycy9kb3ducmV2LnhtbFBLBQYAAAAAAwADALcAAAD4AgAAAAA=&#10;" filled="f" stroked="f">
                  <v:textbox inset="0,0,0,0">
                    <w:txbxContent>
                      <w:p w14:paraId="6F205781" w14:textId="77777777" w:rsidR="00B32EF2" w:rsidRDefault="00000000">
                        <w:r>
                          <w:rPr>
                            <w:rFonts w:ascii="Arial" w:eastAsia="Arial" w:hAnsi="Arial" w:cs="Arial"/>
                            <w:sz w:val="18"/>
                          </w:rPr>
                          <w:t>-</w:t>
                        </w:r>
                      </w:p>
                    </w:txbxContent>
                  </v:textbox>
                </v:rect>
                <v:rect id="Rectangle 18165" o:spid="_x0000_s3709" style="position:absolute;left:-13171;top:1435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jq2xAAAAN4AAAAPAAAAZHJzL2Rvd25yZXYueG1sRE9Li8Iw&#10;EL4L/ocwwt40VVgpXaOIItvDXnws7HFoxrZrMwlNtN399UYQvM3H95zFqjeNuFHra8sKppMEBHFh&#10;dc2lgtNxN05B+ICssbFMCv7Iw2o5HCww07bjPd0OoRQxhH2GCqoQXCalLyoy6CfWEUfubFuDIcK2&#10;lLrFLoabRs6SZC4N1hwbKnS0qai4HK5Gwc+WXb7rZHH+37iv3zxtPq+nb6XeRv36A0SgPrzET3eu&#10;4/x0On+HxzvxBrm8AwAA//8DAFBLAQItABQABgAIAAAAIQDb4fbL7gAAAIUBAAATAAAAAAAAAAAA&#10;AAAAAAAAAABbQ29udGVudF9UeXBlc10ueG1sUEsBAi0AFAAGAAgAAAAhAFr0LFu/AAAAFQEAAAsA&#10;AAAAAAAAAAAAAAAAHwEAAF9yZWxzLy5yZWxzUEsBAi0AFAAGAAgAAAAhAJmKOrbEAAAA3gAAAA8A&#10;AAAAAAAAAAAAAAAABwIAAGRycy9kb3ducmV2LnhtbFBLBQYAAAAAAwADALcAAAD4AgAAAAA=&#10;" filled="f" stroked="f">
                  <v:textbox inset="0,0,0,0">
                    <w:txbxContent>
                      <w:p w14:paraId="4CC0A5D9" w14:textId="77777777" w:rsidR="00B32EF2" w:rsidRDefault="00000000">
                        <w:r>
                          <w:rPr>
                            <w:rFonts w:ascii="Arial" w:eastAsia="Arial" w:hAnsi="Arial" w:cs="Arial"/>
                            <w:sz w:val="18"/>
                          </w:rPr>
                          <w:t xml:space="preserve">vizio postale, alle parti interessate, le quali possono, entro venti giorni dalla </w:t>
                        </w:r>
                      </w:p>
                    </w:txbxContent>
                  </v:textbox>
                </v:rect>
                <v:rect id="Rectangle 18166" o:spid="_x0000_s3710" style="position:absolute;left:4879;top:13119;width:350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KTBxAAAAN4AAAAPAAAAZHJzL2Rvd25yZXYueG1sRE9Li8Iw&#10;EL4L+x/CLOxNUz2UUo0iitjDXtYHeByase1uMwlNtN399RtB8DYf33MWq8G04k6dbywrmE4SEMSl&#10;1Q1XCk7H3TgD4QOyxtYyKfglD6vl22iBubY9f9H9ECoRQ9jnqKAOweVS+rImg35iHXHkrrYzGCLs&#10;Kqk77GO4aeUsSVJpsOHYUKOjTU3lz+FmFFy27IpdL8vr38Z9fhdZu7+dzkp9vA/rOYhAQ3iJn+5C&#10;x/nZNE3h8U68QS7/AQAA//8DAFBLAQItABQABgAIAAAAIQDb4fbL7gAAAIUBAAATAAAAAAAAAAAA&#10;AAAAAAAAAABbQ29udGVudF9UeXBlc10ueG1sUEsBAi0AFAAGAAgAAAAhAFr0LFu/AAAAFQEAAAsA&#10;AAAAAAAAAAAAAAAAHwEAAF9yZWxzLy5yZWxzUEsBAi0AFAAGAAgAAAAhAGlYpMHEAAAA3gAAAA8A&#10;AAAAAAAAAAAAAAAABwIAAGRycy9kb3ducmV2LnhtbFBLBQYAAAAAAwADALcAAAD4AgAAAAA=&#10;" filled="f" stroked="f">
                  <v:textbox inset="0,0,0,0">
                    <w:txbxContent>
                      <w:p w14:paraId="5203C47D" w14:textId="77777777" w:rsidR="00B32EF2" w:rsidRDefault="00000000">
                        <w:r>
                          <w:rPr>
                            <w:rFonts w:ascii="Arial" w:eastAsia="Arial" w:hAnsi="Arial" w:cs="Arial"/>
                            <w:sz w:val="18"/>
                          </w:rPr>
                          <w:t xml:space="preserve">notifica, depositare memorie e documenti difensivi. </w:t>
                        </w:r>
                      </w:p>
                    </w:txbxContent>
                  </v:textbox>
                </v:rect>
                <v:rect id="Rectangle 200913" o:spid="_x0000_s3711" style="position:absolute;left:-13815;top:1188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9zxwAAAN8AAAAPAAAAZHJzL2Rvd25yZXYueG1sRI9Pa8JA&#10;FMTvhX6H5RV6040VikY3IhYxh16qKfT4yL780ezbJbuatJ++WxB6HGbmN8x6M5pO3Kj3rWUFs2kC&#10;gri0uuVaQXHaTxYgfEDW2FkmBd/kYZM9Pqwx1XbgD7odQy0ihH2KCpoQXCqlLxsy6KfWEUevsr3B&#10;EGVfS93jEOGmky9J8ioNthwXGnS0a6i8HK9Gwdcbu3w/yLL62bn3c77oDtfiU6nnp3G7AhFoDP/h&#10;ezvXCiJxOZvD35/4BWT2CwAA//8DAFBLAQItABQABgAIAAAAIQDb4fbL7gAAAIUBAAATAAAAAAAA&#10;AAAAAAAAAAAAAABbQ29udGVudF9UeXBlc10ueG1sUEsBAi0AFAAGAAgAAAAhAFr0LFu/AAAAFQEA&#10;AAsAAAAAAAAAAAAAAAAAHwEAAF9yZWxzLy5yZWxzUEsBAi0AFAAGAAgAAAAhAGqan3PHAAAA3wAA&#10;AA8AAAAAAAAAAAAAAAAABwIAAGRycy9kb3ducmV2LnhtbFBLBQYAAAAAAwADALcAAAD7AgAAAAA=&#10;" filled="f" stroked="f">
                  <v:textbox inset="0,0,0,0">
                    <w:txbxContent>
                      <w:p w14:paraId="0D95D697" w14:textId="77777777" w:rsidR="00B32EF2" w:rsidRDefault="00000000">
                        <w:r>
                          <w:rPr>
                            <w:rFonts w:ascii="Arial" w:eastAsia="Arial" w:hAnsi="Arial" w:cs="Arial"/>
                            <w:sz w:val="18"/>
                          </w:rPr>
                          <w:t xml:space="preserve">. Il presidente, decorso il termine di cui al comma 4, fissa con decreto la </w:t>
                        </w:r>
                      </w:p>
                    </w:txbxContent>
                  </v:textbox>
                </v:rect>
                <v:rect id="Rectangle 200912" o:spid="_x0000_s3712" style="position:absolute;left:26110;top:1188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jroxwAAAN8AAAAPAAAAZHJzL2Rvd25yZXYueG1sRI/NasMw&#10;EITvhb6D2EJujZwcgutGCSUl1Idc4qbQ42JtbLfWSljyT/r0VSCQ4zAz3zDr7WRaMVDnG8sKFvME&#10;BHFpdcOVgtPn/jkF4QOyxtYyKbiQh+3m8WGNmbYjH2koQiUihH2GCuoQXCalL2sy6OfWEUfvbDuD&#10;IcqukrrDMcJNK5dJspIGG44LNTra1VT+Fr1R8P3OLt+Psjz/7dzhJ0/bj/70pdTsaXp7BRFoCvfw&#10;rZ1rBZH4sljC9U/8AnLzDwAA//8DAFBLAQItABQABgAIAAAAIQDb4fbL7gAAAIUBAAATAAAAAAAA&#10;AAAAAAAAAAAAAABbQ29udGVudF9UeXBlc10ueG1sUEsBAi0AFAAGAAgAAAAhAFr0LFu/AAAAFQEA&#10;AAsAAAAAAAAAAAAAAAAAHwEAAF9yZWxzLy5yZWxzUEsBAi0AFAAGAAgAAAAhAAXWOujHAAAA3wAA&#10;AA8AAAAAAAAAAAAAAAAABwIAAGRycy9kb3ducmV2LnhtbFBLBQYAAAAAAwADALcAAAD7AgAAAAA=&#10;" filled="f" stroked="f">
                  <v:textbox inset="0,0,0,0">
                    <w:txbxContent>
                      <w:p w14:paraId="2A1E0C23" w14:textId="77777777" w:rsidR="00B32EF2" w:rsidRDefault="00000000">
                        <w:r>
                          <w:rPr>
                            <w:rFonts w:ascii="Arial" w:eastAsia="Arial" w:hAnsi="Arial" w:cs="Arial"/>
                            <w:sz w:val="18"/>
                          </w:rPr>
                          <w:t>5</w:t>
                        </w:r>
                      </w:p>
                    </w:txbxContent>
                  </v:textbox>
                </v:rect>
                <v:rect id="Rectangle 18168" o:spid="_x0000_s3713" style="position:absolute;left:-13170;top:10655;width:5308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5UoxwAAAN4AAAAPAAAAZHJzL2Rvd25yZXYueG1sRI9Pa8Mw&#10;DMXvg30Ho8Fui9MdSsjqltFRlsMu6x/oUcRqki2WTew22T59dSj0JvGe3vtpsZpcry40xM6zgVmW&#10;gyKuve24MbDfbV4KUDEhW+w9k4E/irBaPj4ssLR+5G+6bFOjJIRjiQbalEKpdaxbchgzH4hFO/nB&#10;YZJ1aLQdcJRw1+vXPJ9rhx1LQ4uB1i3Vv9uzM3D84FBtRl2f/tfh66cq+s/z/mDM89P0/gYq0ZTu&#10;5tt1ZQW/mM2FV96RGfTyCgAA//8DAFBLAQItABQABgAIAAAAIQDb4fbL7gAAAIUBAAATAAAAAAAA&#10;AAAAAAAAAAAAAABbQ29udGVudF9UeXBlc10ueG1sUEsBAi0AFAAGAAgAAAAhAFr0LFu/AAAAFQEA&#10;AAsAAAAAAAAAAAAAAAAAHwEAAF9yZWxzLy5yZWxzUEsBAi0AFAAGAAgAAAAhAHeLlSjHAAAA3gAA&#10;AA8AAAAAAAAAAAAAAAAABwIAAGRycy9kb3ducmV2LnhtbFBLBQYAAAAAAwADALcAAAD7AgAAAAA=&#10;" filled="f" stroked="f">
                  <v:textbox inset="0,0,0,0">
                    <w:txbxContent>
                      <w:p w14:paraId="52DB12BA" w14:textId="77777777" w:rsidR="00B32EF2" w:rsidRDefault="00000000">
                        <w:r>
                          <w:rPr>
                            <w:rFonts w:ascii="Arial" w:eastAsia="Arial" w:hAnsi="Arial" w:cs="Arial"/>
                            <w:sz w:val="18"/>
                          </w:rPr>
                          <w:t xml:space="preserve">trattazione dell’istanza per la prima camera di consiglio utile, disponendo che </w:t>
                        </w:r>
                      </w:p>
                    </w:txbxContent>
                  </v:textbox>
                </v:rect>
                <v:rect id="Rectangle 18169" o:spid="_x0000_s3714" style="position:absolute;left:-13171;top:942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zCzxAAAAN4AAAAPAAAAZHJzL2Rvd25yZXYueG1sRE9Ni8Iw&#10;EL0v+B/CCN7WVA/SrUYRRezBy7oKHodmbKvNJDTR1v31m4WFvc3jfc5i1ZtGPKn1tWUFk3ECgriw&#10;uuZSwelr956C8AFZY2OZFLzIw2o5eFtgpm3Hn/Q8hlLEEPYZKqhCcJmUvqjIoB9bRxy5q20Nhgjb&#10;UuoWuxhuGjlNkpk0WHNsqNDRpqLifnwYBZctu3zXyeL6vXGHW542+8fprNRo2K/nIAL14V/85851&#10;nJ9OZh/w+068QS5/AAAA//8DAFBLAQItABQABgAIAAAAIQDb4fbL7gAAAIUBAAATAAAAAAAAAAAA&#10;AAAAAAAAAABbQ29udGVudF9UeXBlc10ueG1sUEsBAi0AFAAGAAgAAAAhAFr0LFu/AAAAFQEAAAsA&#10;AAAAAAAAAAAAAAAAHwEAAF9yZWxzLy5yZWxzUEsBAi0AFAAGAAgAAAAhABjHMLPEAAAA3gAAAA8A&#10;AAAAAAAAAAAAAAAABwIAAGRycy9kb3ducmV2LnhtbFBLBQYAAAAAAwADALcAAAD4AgAAAAA=&#10;" filled="f" stroked="f">
                  <v:textbox inset="0,0,0,0">
                    <w:txbxContent>
                      <w:p w14:paraId="3BA070B7" w14:textId="77777777" w:rsidR="00B32EF2" w:rsidRDefault="00000000">
                        <w:r>
                          <w:rPr>
                            <w:rFonts w:ascii="Arial" w:eastAsia="Arial" w:hAnsi="Arial" w:cs="Arial"/>
                            <w:sz w:val="18"/>
                          </w:rPr>
                          <w:t xml:space="preserve">ne sia data comunicazione alle parti almeno dieci giorni prima. Nel caso in cui </w:t>
                        </w:r>
                      </w:p>
                    </w:txbxContent>
                  </v:textbox>
                </v:rect>
                <v:rect id="Rectangle 18170" o:spid="_x0000_s3715" style="position:absolute;left:-13171;top:819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zxwAAAN4AAAAPAAAAZHJzL2Rvd25yZXYueG1sRI9Bb8Iw&#10;DIXvSPyHyEi7QQqHreoIaAKh9bALjEk7Wo1puzVO1ATa7dfjw6TdbPn5vfett6Pr1I362Ho2sFxk&#10;oIgrb1uuDZzfD/McVEzIFjvPZOCHImw308kaC+sHPtLtlGolJhwLNNCkFAqtY9WQw7jwgVhuF987&#10;TLL2tbY9DmLuOr3KskftsGVJaDDQrqHq+3R1Bj73HMrDoKvL7y68fZV593o9fxjzMBtfnkElGtO/&#10;+O+7tFI/Xz4JgODIDHpzBwAA//8DAFBLAQItABQABgAIAAAAIQDb4fbL7gAAAIUBAAATAAAAAAAA&#10;AAAAAAAAAAAAAABbQ29udGVudF9UeXBlc10ueG1sUEsBAi0AFAAGAAgAAAAhAFr0LFu/AAAAFQEA&#10;AAsAAAAAAAAAAAAAAAAAHwEAAF9yZWxzLy5yZWxzUEsBAi0AFAAGAAgAAAAhAAwkD/PHAAAA3gAA&#10;AA8AAAAAAAAAAAAAAAAABwIAAGRycy9kb3ducmV2LnhtbFBLBQYAAAAAAwADALcAAAD7AgAAAAA=&#10;" filled="f" stroked="f">
                  <v:textbox inset="0,0,0,0">
                    <w:txbxContent>
                      <w:p w14:paraId="4608C1FF" w14:textId="77777777" w:rsidR="00B32EF2" w:rsidRDefault="00000000">
                        <w:r>
                          <w:rPr>
                            <w:rFonts w:ascii="Arial" w:eastAsia="Arial" w:hAnsi="Arial" w:cs="Arial"/>
                            <w:sz w:val="18"/>
                          </w:rPr>
                          <w:t xml:space="preserve">la notificazione debba effettuarsi all’estero, il termine è triplicato. La corte di </w:t>
                        </w:r>
                      </w:p>
                    </w:txbxContent>
                  </v:textbox>
                </v:rect>
                <v:rect id="Rectangle 18171" o:spid="_x0000_s3716" style="position:absolute;left:12487;top:6958;width:274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poxAAAAN4AAAAPAAAAZHJzL2Rvd25yZXYueG1sRE9Na8JA&#10;EL0X/A/LCN7qJj1oSF1FFGkOXrQKPQ7ZMUmbnV2yq4n99V1B6G0e73MWq8G04kadbywrSKcJCOLS&#10;6oYrBafP3WsGwgdkja1lUnAnD6vl6GWBubY9H+h2DJWIIexzVFCH4HIpfVmTQT+1jjhyF9sZDBF2&#10;ldQd9jHctPItSWbSYMOxoUZHm5rKn+PVKPjasit2vSwvvxu3/y6y9uN6Ois1GQ/rdxCBhvAvfroL&#10;Hedn6TyFxzvxBrn8AwAA//8DAFBLAQItABQABgAIAAAAIQDb4fbL7gAAAIUBAAATAAAAAAAAAAAA&#10;AAAAAAAAAABbQ29udGVudF9UeXBlc10ueG1sUEsBAi0AFAAGAAgAAAAhAFr0LFu/AAAAFQEAAAsA&#10;AAAAAAAAAAAAAAAAHwEAAF9yZWxzLy5yZWxzUEsBAi0AFAAGAAgAAAAhAGNoqmjEAAAA3gAAAA8A&#10;AAAAAAAAAAAAAAAABwIAAGRycy9kb3ducmV2LnhtbFBLBQYAAAAAAwADALcAAAD4AgAAAAA=&#10;" filled="f" stroked="f">
                  <v:textbox inset="0,0,0,0">
                    <w:txbxContent>
                      <w:p w14:paraId="03DB6DD3" w14:textId="77777777" w:rsidR="00B32EF2" w:rsidRDefault="00000000">
                        <w:r>
                          <w:rPr>
                            <w:rFonts w:ascii="Arial" w:eastAsia="Arial" w:hAnsi="Arial" w:cs="Arial"/>
                            <w:sz w:val="18"/>
                          </w:rPr>
                          <w:t xml:space="preserve">giustizia tributaria decide con sentenza. </w:t>
                        </w:r>
                      </w:p>
                    </w:txbxContent>
                  </v:textbox>
                </v:rect>
                <v:rect id="Rectangle 200911" o:spid="_x0000_s3717" style="position:absolute;left:-12851;top:5726;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KSfxgAAAN8AAAAPAAAAZHJzL2Rvd25yZXYueG1sRI9Ba8JA&#10;FITvQv/D8gRvukkPoqmriEWaQy/VCD0+ss8kmn27ZFeT+uvdQqHHYWa+YVabwbTiTp1vLCtIZwkI&#10;4tLqhisFxXE/XYDwAVlja5kU/JCHzfpltMJM256/6H4IlYgQ9hkqqENwmZS+rMmgn1lHHL2z7QyG&#10;KLtK6g77CDetfE2SuTTYcFyo0dGupvJ6uBkF3+/s8n0vy/Nj5z4v+aL9uBUnpSbjYfsGItAQ/sN/&#10;7VwriMRlmsLvn/gF5PoJAAD//wMAUEsBAi0AFAAGAAgAAAAhANvh9svuAAAAhQEAABMAAAAAAAAA&#10;AAAAAAAAAAAAAFtDb250ZW50X1R5cGVzXS54bWxQSwECLQAUAAYACAAAACEAWvQsW78AAAAVAQAA&#10;CwAAAAAAAAAAAAAAAAAfAQAAX3JlbHMvLnJlbHNQSwECLQAUAAYACAAAACEA9QSkn8YAAADfAAAA&#10;DwAAAAAAAAAAAAAAAAAHAgAAZHJzL2Rvd25yZXYueG1sUEsFBgAAAAADAAMAtwAAAPoCAAAAAA==&#10;" filled="f" stroked="f">
                  <v:textbox inset="0,0,0,0">
                    <w:txbxContent>
                      <w:p w14:paraId="6652F717" w14:textId="77777777" w:rsidR="00B32EF2" w:rsidRDefault="00000000">
                        <w:r>
                          <w:rPr>
                            <w:rFonts w:ascii="Arial" w:eastAsia="Arial" w:hAnsi="Arial" w:cs="Arial"/>
                            <w:sz w:val="18"/>
                          </w:rPr>
                          <w:t>. Quando la convocazione della controparte potrebbe pregiudicare l’attua</w:t>
                        </w:r>
                      </w:p>
                    </w:txbxContent>
                  </v:textbox>
                </v:rect>
                <v:rect id="Rectangle 200910" o:spid="_x0000_s3718" style="position:absolute;left:26349;top:5726;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AEExgAAAN8AAAAPAAAAZHJzL2Rvd25yZXYueG1sRI9Ba8JA&#10;EIXvhf6HZQre6sYexKauIhYxh160FnocsmOSmp1dsquJ/fXOQfA4vHnf45svB9eqC3Wx8WxgMs5A&#10;EZfeNlwZOHxvXmegYkK22HomA1eKsFw8P80xt77nHV32qVIC4ZijgTqlkGsdy5ocxrEPxJIdfecw&#10;ydlV2nbYC9y1+i3Lptphw7JQY6B1TeVpf3YGfj85FJtel8f/dfj6K2bt9nz4MWb0Mqw+QCUa0uP5&#10;3i6sASG+T8RAfMQF9OIGAAD//wMAUEsBAi0AFAAGAAgAAAAhANvh9svuAAAAhQEAABMAAAAAAAAA&#10;AAAAAAAAAAAAAFtDb250ZW50X1R5cGVzXS54bWxQSwECLQAUAAYACAAAACEAWvQsW78AAAAVAQAA&#10;CwAAAAAAAAAAAAAAAAAfAQAAX3JlbHMvLnJlbHNQSwECLQAUAAYACAAAACEAmkgBBMYAAADfAAAA&#10;DwAAAAAAAAAAAAAAAAAHAgAAZHJzL2Rvd25yZXYueG1sUEsFBgAAAAADAAMAtwAAAPoCAAAAAA==&#10;" filled="f" stroked="f">
                  <v:textbox inset="0,0,0,0">
                    <w:txbxContent>
                      <w:p w14:paraId="414D1B35" w14:textId="77777777" w:rsidR="00B32EF2" w:rsidRDefault="00000000">
                        <w:r>
                          <w:rPr>
                            <w:rFonts w:ascii="Arial" w:eastAsia="Arial" w:hAnsi="Arial" w:cs="Arial"/>
                            <w:sz w:val="18"/>
                          </w:rPr>
                          <w:t>6</w:t>
                        </w:r>
                      </w:p>
                    </w:txbxContent>
                  </v:textbox>
                </v:rect>
                <v:rect id="Rectangle 18173" o:spid="_x0000_s3719" style="position:absolute;left:192;top:5726;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pGExAAAAN4AAAAPAAAAZHJzL2Rvd25yZXYueG1sRE9Na8JA&#10;EL0X/A/LCN7qRgttiK4iijQHL7UKHofsmESzs0t2NdFf3y0UepvH+5z5sjeNuFPra8sKJuMEBHFh&#10;dc2lgsP39jUF4QOyxsYyKXiQh+Vi8DLHTNuOv+i+D6WIIewzVFCF4DIpfVGRQT+2jjhyZ9saDBG2&#10;pdQtdjHcNHKaJO/SYM2xoUJH64qK6/5mFJw27PJtJ4vzc+12lzxtPm+Ho1KjYb+agQjUh3/xnzvX&#10;cX46+XiD33fiDXLxAwAA//8DAFBLAQItABQABgAIAAAAIQDb4fbL7gAAAIUBAAATAAAAAAAAAAAA&#10;AAAAAAAAAABbQ29udGVudF9UeXBlc10ueG1sUEsBAi0AFAAGAAgAAAAhAFr0LFu/AAAAFQEAAAsA&#10;AAAAAAAAAAAAAAAAHwEAAF9yZWxzLy5yZWxzUEsBAi0AFAAGAAgAAAAhAPz2kYTEAAAA3gAAAA8A&#10;AAAAAAAAAAAAAAAABwIAAGRycy9kb3ducmV2LnhtbFBLBQYAAAAAAwADALcAAAD4AgAAAAA=&#10;" filled="f" stroked="f">
                  <v:textbox inset="0,0,0,0">
                    <w:txbxContent>
                      <w:p w14:paraId="60029356" w14:textId="77777777" w:rsidR="00B32EF2" w:rsidRDefault="00000000">
                        <w:r>
                          <w:rPr>
                            <w:rFonts w:ascii="Arial" w:eastAsia="Arial" w:hAnsi="Arial" w:cs="Arial"/>
                            <w:sz w:val="18"/>
                          </w:rPr>
                          <w:t>-</w:t>
                        </w:r>
                      </w:p>
                    </w:txbxContent>
                  </v:textbox>
                </v:rect>
                <v:rect id="Rectangle 18174" o:spid="_x0000_s3720" style="position:absolute;left:-13170;top:4494;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nwxAAAAN4AAAAPAAAAZHJzL2Rvd25yZXYueG1sRE9Na8JA&#10;EL0X/A/LCN7qRiltiK4iijQHL7UKHofsmESzs0t2NdFf3y0UepvH+5z5sjeNuFPra8sKJuMEBHFh&#10;dc2lgsP39jUF4QOyxsYyKXiQh+Vi8DLHTNuOv+i+D6WIIewzVFCF4DIpfVGRQT+2jjhyZ9saDBG2&#10;pdQtdjHcNHKaJO/SYM2xoUJH64qK6/5mFJw27PJtJ4vzc+12lzxtPm+Ho1KjYb+agQjUh3/xnzvX&#10;cX46+XiD33fiDXLxAwAA//8DAFBLAQItABQABgAIAAAAIQDb4fbL7gAAAIUBAAATAAAAAAAAAAAA&#10;AAAAAAAAAABbQ29udGVudF9UeXBlc10ueG1sUEsBAi0AFAAGAAgAAAAhAFr0LFu/AAAAFQEAAAsA&#10;AAAAAAAAAAAAAAAAHwEAAF9yZWxzLy5yZWxzUEsBAi0AFAAGAAgAAAAhAHMfCfDEAAAA3gAAAA8A&#10;AAAAAAAAAAAAAAAABwIAAGRycy9kb3ducmV2LnhtbFBLBQYAAAAAAwADALcAAAD4AgAAAAA=&#10;" filled="f" stroked="f">
                  <v:textbox inset="0,0,0,0">
                    <w:txbxContent>
                      <w:p w14:paraId="3DB5EC43" w14:textId="77777777" w:rsidR="00B32EF2" w:rsidRDefault="00000000">
                        <w:r>
                          <w:rPr>
                            <w:rFonts w:ascii="Arial" w:eastAsia="Arial" w:hAnsi="Arial" w:cs="Arial"/>
                            <w:sz w:val="18"/>
                          </w:rPr>
                          <w:t xml:space="preserve">zione del provvedimento, il presidente provvede con decreto motivato assunte </w:t>
                        </w:r>
                      </w:p>
                    </w:txbxContent>
                  </v:textbox>
                </v:rect>
                <w10:anchorlock/>
              </v:group>
            </w:pict>
          </mc:Fallback>
        </mc:AlternateContent>
      </w:r>
    </w:p>
    <w:p w14:paraId="6DD45A7E" w14:textId="77777777" w:rsidR="00B32EF2" w:rsidRDefault="00000000">
      <w:pPr>
        <w:spacing w:after="656"/>
        <w:ind w:left="-1440" w:right="7064"/>
      </w:pPr>
      <w:r>
        <w:rPr>
          <w:noProof/>
        </w:rPr>
        <w:lastRenderedPageBreak/>
        <mc:AlternateContent>
          <mc:Choice Requires="wpg">
            <w:drawing>
              <wp:anchor distT="0" distB="0" distL="114300" distR="114300" simplePos="0" relativeHeight="251664384" behindDoc="0" locked="0" layoutInCell="1" allowOverlap="1" wp14:anchorId="26633C57" wp14:editId="480E9392">
                <wp:simplePos x="0" y="0"/>
                <wp:positionH relativeFrom="page">
                  <wp:posOffset>2632944</wp:posOffset>
                </wp:positionH>
                <wp:positionV relativeFrom="page">
                  <wp:posOffset>397149</wp:posOffset>
                </wp:positionV>
                <wp:extent cx="134112" cy="188456"/>
                <wp:effectExtent l="0" t="0" r="0" b="0"/>
                <wp:wrapTopAndBottom/>
                <wp:docPr id="201005" name="Group 201005"/>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18199" name="Rectangle 18199"/>
                        <wps:cNvSpPr/>
                        <wps:spPr>
                          <a:xfrm rot="-10799999">
                            <a:off x="-44256" y="-62190"/>
                            <a:ext cx="178369" cy="250646"/>
                          </a:xfrm>
                          <a:prstGeom prst="rect">
                            <a:avLst/>
                          </a:prstGeom>
                          <a:ln>
                            <a:noFill/>
                          </a:ln>
                        </wps:spPr>
                        <wps:txbx>
                          <w:txbxContent>
                            <w:p w14:paraId="307F88AD" w14:textId="77777777" w:rsidR="00B32EF2" w:rsidRDefault="00000000">
                              <w:r>
                                <w:rPr>
                                  <w:rFonts w:ascii="Times New Roman" w:eastAsia="Times New Roman" w:hAnsi="Times New Roman" w:cs="Times New Roman"/>
                                </w:rPr>
                                <w:t>65</w:t>
                              </w:r>
                            </w:p>
                          </w:txbxContent>
                        </wps:txbx>
                        <wps:bodyPr horzOverflow="overflow" vert="horz" lIns="0" tIns="0" rIns="0" bIns="0" rtlCol="0">
                          <a:noAutofit/>
                        </wps:bodyPr>
                      </wps:wsp>
                    </wpg:wgp>
                  </a:graphicData>
                </a:graphic>
              </wp:anchor>
            </w:drawing>
          </mc:Choice>
          <mc:Fallback>
            <w:pict>
              <v:group w14:anchorId="26633C57" id="Group 201005" o:spid="_x0000_s3721" style="position:absolute;left:0;text-align:left;margin-left:207.3pt;margin-top:31.25pt;width:10.55pt;height:14.85pt;z-index:251664384;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YnGgIAAIEEAAAOAAAAZHJzL2Uyb0RvYy54bWyklNtu2zAMhu8H7B0E3Sc+NEkTI04xrGsw&#10;YFiLdnsARZYPgCwKkhI7e/pRiu1sLbCLLhcKRcnkz8+kt3d9K8lJGNuAymkyjykRikPRqCqnP388&#10;zNaUWMdUwSQokdOzsPRu9/HDttOZSKEGWQhDMIiyWadzWjunsyiyvBYts3PQQuFhCaZlDremigrD&#10;OozeyiiN41XUgSm0AS6sRe/95ZDuQvyyFNw9lqUVjsicojYXVhPWg1+j3ZZllWG6bvggg71DRcsa&#10;hUmnUPfMMXI0zZtQbcMNWCjdnEMbQVk2XIQasJokflXN3sBRh1qqrKv0hAnRvuL07rD8+2lv9It+&#10;Mkii0xWyCDtfS1+a1v+jStIHZOcJmegd4ehMbhZJklLC8ShZrxfL1QUpr5H7m6d4/eWfz0Vj0ugv&#10;KZ3G5rDX+u3/1f9SMy0CVpth/U+GNIVXn2w2lCjWYps+Y+MwVUlBLu4AJ9yeUNnMIrWREzGAvTVL&#10;4tuN/4VeGLjNFosUsRAkNFulyWZouong7fpmhYk9wXQZrxaB4ESCZdpYtxfQEm/k1KC0EJ6dvlmH&#10;wvDqeMWrkcqvCh4aKS+n3oNAR8Hecv2hD1Wny9uQzzsPUJwRRg3m1yOOdCmhyykMFvVTjun9KSXy&#10;q8KX4AdqNMxoHEbDOPkZwthdBH06OiiboPiabVCGbzdYoc9DScNM+kH6cx9uXb8cu98AAAD//wMA&#10;UEsDBBQABgAIAAAAIQD34GMw4AAAAAkBAAAPAAAAZHJzL2Rvd25yZXYueG1sTI9BT4NAEIXvJv6H&#10;zZh4swsUUJGhaRr11DSxNTHepjAFUnaXsFug/971pMfJ+/LeN/lqVp0YebCt0QjhIgDBujRVq2uE&#10;z8PbwxMI60hX1BnNCFe2sCpub3LKKjPpDx73rha+RNuMEBrn+kxKWzasyC5Mz9pnJzMocv4calkN&#10;NPly1ckoCFKpqNV+oaGeNw2X5/1FIbxPNK2X4eu4PZ821+9Dsvvahox4fzevX0A4nt0fDL/6Xh0K&#10;73Q0F11Z0SHEYZx6FCGNEhAeiJfJI4gjwnMUgSxy+f+D4gcAAP//AwBQSwECLQAUAAYACAAAACEA&#10;toM4kv4AAADhAQAAEwAAAAAAAAAAAAAAAAAAAAAAW0NvbnRlbnRfVHlwZXNdLnhtbFBLAQItABQA&#10;BgAIAAAAIQA4/SH/1gAAAJQBAAALAAAAAAAAAAAAAAAAAC8BAABfcmVscy8ucmVsc1BLAQItABQA&#10;BgAIAAAAIQDAduYnGgIAAIEEAAAOAAAAAAAAAAAAAAAAAC4CAABkcnMvZTJvRG9jLnhtbFBLAQIt&#10;ABQABgAIAAAAIQD34GMw4AAAAAkBAAAPAAAAAAAAAAAAAAAAAHQEAABkcnMvZG93bnJldi54bWxQ&#10;SwUGAAAAAAQABADzAAAAgQUAAAAA&#10;">
                <v:rect id="Rectangle 18199" o:spid="_x0000_s3722"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kCUxAAAAN4AAAAPAAAAZHJzL2Rvd25yZXYueG1sRE9Li8Iw&#10;EL4L/ocwwt401cNSu0YRRbaHvfhY2OPQjG3XZhKaaLv7640geJuP7zmLVW8acaPW15YVTCcJCOLC&#10;6ppLBafjbpyC8AFZY2OZFPyRh9VyOFhgpm3He7odQiliCPsMFVQhuExKX1Rk0E+sI47c2bYGQ4Rt&#10;KXWLXQw3jZwlybs0WHNsqNDRpqLicrgaBT9bdvmuk8X5f+O+fvO0+byevpV6G/XrDxCB+vASP925&#10;jvPT6XwOj3fiDXJ5BwAA//8DAFBLAQItABQABgAIAAAAIQDb4fbL7gAAAIUBAAATAAAAAAAAAAAA&#10;AAAAAAAAAABbQ29udGVudF9UeXBlc10ueG1sUEsBAi0AFAAGAAgAAAAhAFr0LFu/AAAAFQEAAAsA&#10;AAAAAAAAAAAAAAAAHwEAAF9yZWxzLy5yZWxzUEsBAi0AFAAGAAgAAAAhAC0SQJTEAAAA3gAAAA8A&#10;AAAAAAAAAAAAAAAABwIAAGRycy9kb3ducmV2LnhtbFBLBQYAAAAAAwADALcAAAD4AgAAAAA=&#10;" filled="f" stroked="f">
                  <v:textbox inset="0,0,0,0">
                    <w:txbxContent>
                      <w:p w14:paraId="307F88AD" w14:textId="77777777" w:rsidR="00B32EF2" w:rsidRDefault="00000000">
                        <w:r>
                          <w:rPr>
                            <w:rFonts w:ascii="Times New Roman" w:eastAsia="Times New Roman" w:hAnsi="Times New Roman" w:cs="Times New Roman"/>
                          </w:rPr>
                          <w:t>65</w:t>
                        </w:r>
                      </w:p>
                    </w:txbxContent>
                  </v:textbox>
                </v:rect>
                <w10:wrap type="topAndBottom" anchorx="page" anchory="page"/>
              </v:group>
            </w:pict>
          </mc:Fallback>
        </mc:AlternateContent>
      </w:r>
    </w:p>
    <w:p w14:paraId="06A08525" w14:textId="77777777" w:rsidR="00B32EF2" w:rsidRDefault="00000000">
      <w:pPr>
        <w:spacing w:after="0"/>
        <w:ind w:left="-356" w:right="-316"/>
      </w:pPr>
      <w:r>
        <w:rPr>
          <w:noProof/>
        </w:rPr>
        <w:lastRenderedPageBreak/>
        <mc:AlternateContent>
          <mc:Choice Requires="wpg">
            <w:drawing>
              <wp:inline distT="0" distB="0" distL="0" distR="0" wp14:anchorId="72402A31" wp14:editId="229F980F">
                <wp:extent cx="3998141" cy="5528649"/>
                <wp:effectExtent l="0" t="0" r="0" b="0"/>
                <wp:docPr id="201006" name="Group 201006"/>
                <wp:cNvGraphicFramePr/>
                <a:graphic xmlns:a="http://schemas.openxmlformats.org/drawingml/2006/main">
                  <a:graphicData uri="http://schemas.microsoft.com/office/word/2010/wordprocessingGroup">
                    <wpg:wgp>
                      <wpg:cNvGrpSpPr/>
                      <wpg:grpSpPr>
                        <a:xfrm>
                          <a:off x="0" y="0"/>
                          <a:ext cx="3998141" cy="5528649"/>
                          <a:chOff x="0" y="0"/>
                          <a:chExt cx="3998141" cy="5528649"/>
                        </a:xfrm>
                      </wpg:grpSpPr>
                      <wps:wsp>
                        <wps:cNvPr id="18200" name="Rectangle 18200"/>
                        <wps:cNvSpPr/>
                        <wps:spPr>
                          <a:xfrm rot="-10799999">
                            <a:off x="-1317244" y="5385759"/>
                            <a:ext cx="5309036" cy="142890"/>
                          </a:xfrm>
                          <a:prstGeom prst="rect">
                            <a:avLst/>
                          </a:prstGeom>
                          <a:ln>
                            <a:noFill/>
                          </a:ln>
                        </wps:spPr>
                        <wps:txbx>
                          <w:txbxContent>
                            <w:p w14:paraId="6AE081FD" w14:textId="77777777" w:rsidR="00B32EF2" w:rsidRDefault="00000000">
                              <w:r>
                                <w:rPr>
                                  <w:rFonts w:ascii="Arial" w:eastAsia="Arial" w:hAnsi="Arial" w:cs="Arial"/>
                                  <w:sz w:val="18"/>
                                </w:rPr>
                                <w:t xml:space="preserve">telematiche dell’ufficio di segreteria, equivalgono all’originale anche se privi </w:t>
                              </w:r>
                            </w:p>
                          </w:txbxContent>
                        </wps:txbx>
                        <wps:bodyPr horzOverflow="overflow" vert="horz" lIns="0" tIns="0" rIns="0" bIns="0" rtlCol="0">
                          <a:noAutofit/>
                        </wps:bodyPr>
                      </wps:wsp>
                      <wps:wsp>
                        <wps:cNvPr id="18201" name="Rectangle 18201"/>
                        <wps:cNvSpPr/>
                        <wps:spPr>
                          <a:xfrm rot="-10799999">
                            <a:off x="-1113904" y="5262429"/>
                            <a:ext cx="5105696" cy="142891"/>
                          </a:xfrm>
                          <a:prstGeom prst="rect">
                            <a:avLst/>
                          </a:prstGeom>
                          <a:ln>
                            <a:noFill/>
                          </a:ln>
                        </wps:spPr>
                        <wps:txbx>
                          <w:txbxContent>
                            <w:p w14:paraId="733EBBBF" w14:textId="77777777" w:rsidR="00B32EF2" w:rsidRDefault="00000000">
                              <w:r>
                                <w:rPr>
                                  <w:rFonts w:ascii="Arial" w:eastAsia="Arial" w:hAnsi="Arial" w:cs="Arial"/>
                                  <w:sz w:val="18"/>
                                </w:rPr>
                                <w:t>dell’attestazione di conformità all’originale da parte dell’ufficio di segreteria.</w:t>
                              </w:r>
                            </w:p>
                          </w:txbxContent>
                        </wps:txbx>
                        <wps:bodyPr horzOverflow="overflow" vert="horz" lIns="0" tIns="0" rIns="0" bIns="0" rtlCol="0">
                          <a:noAutofit/>
                        </wps:bodyPr>
                      </wps:wsp>
                      <wps:wsp>
                        <wps:cNvPr id="200954" name="Rectangle 200954"/>
                        <wps:cNvSpPr/>
                        <wps:spPr>
                          <a:xfrm rot="-10799999">
                            <a:off x="-1381766" y="5139101"/>
                            <a:ext cx="5309035" cy="142889"/>
                          </a:xfrm>
                          <a:prstGeom prst="rect">
                            <a:avLst/>
                          </a:prstGeom>
                          <a:ln>
                            <a:noFill/>
                          </a:ln>
                        </wps:spPr>
                        <wps:txbx>
                          <w:txbxContent>
                            <w:p w14:paraId="758886EA" w14:textId="77777777" w:rsidR="00B32EF2" w:rsidRDefault="00000000">
                              <w:r>
                                <w:rPr>
                                  <w:rFonts w:ascii="Arial" w:eastAsia="Arial" w:hAnsi="Arial" w:cs="Arial"/>
                                  <w:sz w:val="18"/>
                                </w:rPr>
                                <w:t xml:space="preserve">. La copia informatica o cartacea munita dell’attestazione di conformità ai </w:t>
                              </w:r>
                            </w:p>
                          </w:txbxContent>
                        </wps:txbx>
                        <wps:bodyPr horzOverflow="overflow" vert="horz" lIns="0" tIns="0" rIns="0" bIns="0" rtlCol="0">
                          <a:noAutofit/>
                        </wps:bodyPr>
                      </wps:wsp>
                      <wps:wsp>
                        <wps:cNvPr id="200953" name="Rectangle 200953"/>
                        <wps:cNvSpPr/>
                        <wps:spPr>
                          <a:xfrm rot="-10799999">
                            <a:off x="2610961" y="5139101"/>
                            <a:ext cx="5309036" cy="142889"/>
                          </a:xfrm>
                          <a:prstGeom prst="rect">
                            <a:avLst/>
                          </a:prstGeom>
                          <a:ln>
                            <a:noFill/>
                          </a:ln>
                        </wps:spPr>
                        <wps:txbx>
                          <w:txbxContent>
                            <w:p w14:paraId="2C865D0D"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8203" name="Rectangle 18203"/>
                        <wps:cNvSpPr/>
                        <wps:spPr>
                          <a:xfrm rot="-10799999">
                            <a:off x="-1224115" y="5015771"/>
                            <a:ext cx="5216593" cy="142889"/>
                          </a:xfrm>
                          <a:prstGeom prst="rect">
                            <a:avLst/>
                          </a:prstGeom>
                          <a:ln>
                            <a:noFill/>
                          </a:ln>
                        </wps:spPr>
                        <wps:txbx>
                          <w:txbxContent>
                            <w:p w14:paraId="2A774391" w14:textId="77777777" w:rsidR="00B32EF2" w:rsidRDefault="00000000">
                              <w:r>
                                <w:rPr>
                                  <w:rFonts w:ascii="Arial" w:eastAsia="Arial" w:hAnsi="Arial" w:cs="Arial"/>
                                  <w:sz w:val="18"/>
                                </w:rPr>
                                <w:t>sensi dei commi precedenti equivale all’originale o alla copia conforme dell’at</w:t>
                              </w:r>
                            </w:p>
                          </w:txbxContent>
                        </wps:txbx>
                        <wps:bodyPr horzOverflow="overflow" vert="horz" lIns="0" tIns="0" rIns="0" bIns="0" rtlCol="0">
                          <a:noAutofit/>
                        </wps:bodyPr>
                      </wps:wsp>
                      <wps:wsp>
                        <wps:cNvPr id="18204" name="Rectangle 18204"/>
                        <wps:cNvSpPr/>
                        <wps:spPr>
                          <a:xfrm rot="-10799999">
                            <a:off x="19192" y="5015770"/>
                            <a:ext cx="50622" cy="142889"/>
                          </a:xfrm>
                          <a:prstGeom prst="rect">
                            <a:avLst/>
                          </a:prstGeom>
                          <a:ln>
                            <a:noFill/>
                          </a:ln>
                        </wps:spPr>
                        <wps:txbx>
                          <w:txbxContent>
                            <w:p w14:paraId="78336A9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205" name="Rectangle 18205"/>
                        <wps:cNvSpPr/>
                        <wps:spPr>
                          <a:xfrm rot="-10799999">
                            <a:off x="-1072584" y="4892441"/>
                            <a:ext cx="5064376" cy="142889"/>
                          </a:xfrm>
                          <a:prstGeom prst="rect">
                            <a:avLst/>
                          </a:prstGeom>
                          <a:ln>
                            <a:noFill/>
                          </a:ln>
                        </wps:spPr>
                        <wps:txbx>
                          <w:txbxContent>
                            <w:p w14:paraId="37906925" w14:textId="77777777" w:rsidR="00B32EF2" w:rsidRDefault="00000000">
                              <w:r>
                                <w:rPr>
                                  <w:rFonts w:ascii="Arial" w:eastAsia="Arial" w:hAnsi="Arial" w:cs="Arial"/>
                                  <w:sz w:val="18"/>
                                </w:rPr>
                                <w:t>to o del provvedimento detenuto ovvero presente nel fascicolo informatico.</w:t>
                              </w:r>
                            </w:p>
                          </w:txbxContent>
                        </wps:txbx>
                        <wps:bodyPr horzOverflow="overflow" vert="horz" lIns="0" tIns="0" rIns="0" bIns="0" rtlCol="0">
                          <a:noAutofit/>
                        </wps:bodyPr>
                      </wps:wsp>
                      <wps:wsp>
                        <wps:cNvPr id="200952" name="Rectangle 200952"/>
                        <wps:cNvSpPr/>
                        <wps:spPr>
                          <a:xfrm rot="-10799999">
                            <a:off x="-1380384" y="4769111"/>
                            <a:ext cx="5309035" cy="142889"/>
                          </a:xfrm>
                          <a:prstGeom prst="rect">
                            <a:avLst/>
                          </a:prstGeom>
                          <a:ln>
                            <a:noFill/>
                          </a:ln>
                        </wps:spPr>
                        <wps:txbx>
                          <w:txbxContent>
                            <w:p w14:paraId="3F446DFF" w14:textId="77777777" w:rsidR="00B32EF2" w:rsidRDefault="00000000">
                              <w:r>
                                <w:rPr>
                                  <w:rFonts w:ascii="Arial" w:eastAsia="Arial" w:hAnsi="Arial" w:cs="Arial"/>
                                  <w:sz w:val="18"/>
                                </w:rPr>
                                <w:t xml:space="preserve">. L’estrazione di copie autentiche ai sensi del presente articolo, esonera dal </w:t>
                              </w:r>
                            </w:p>
                          </w:txbxContent>
                        </wps:txbx>
                        <wps:bodyPr horzOverflow="overflow" vert="horz" lIns="0" tIns="0" rIns="0" bIns="0" rtlCol="0">
                          <a:noAutofit/>
                        </wps:bodyPr>
                      </wps:wsp>
                      <wps:wsp>
                        <wps:cNvPr id="200951" name="Rectangle 200951"/>
                        <wps:cNvSpPr/>
                        <wps:spPr>
                          <a:xfrm rot="-10799999">
                            <a:off x="2610961" y="4769111"/>
                            <a:ext cx="5309036" cy="142889"/>
                          </a:xfrm>
                          <a:prstGeom prst="rect">
                            <a:avLst/>
                          </a:prstGeom>
                          <a:ln>
                            <a:noFill/>
                          </a:ln>
                        </wps:spPr>
                        <wps:txbx>
                          <w:txbxContent>
                            <w:p w14:paraId="11E305AA"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8207" name="Rectangle 18207"/>
                        <wps:cNvSpPr/>
                        <wps:spPr>
                          <a:xfrm rot="-10799999">
                            <a:off x="1945979" y="4645782"/>
                            <a:ext cx="2045811" cy="142889"/>
                          </a:xfrm>
                          <a:prstGeom prst="rect">
                            <a:avLst/>
                          </a:prstGeom>
                          <a:ln>
                            <a:noFill/>
                          </a:ln>
                        </wps:spPr>
                        <wps:txbx>
                          <w:txbxContent>
                            <w:p w14:paraId="04302E5C" w14:textId="77777777" w:rsidR="00B32EF2" w:rsidRDefault="00000000">
                              <w:r>
                                <w:rPr>
                                  <w:rFonts w:ascii="Arial" w:eastAsia="Arial" w:hAnsi="Arial" w:cs="Arial"/>
                                  <w:sz w:val="18"/>
                                </w:rPr>
                                <w:t xml:space="preserve">pagamento dei diritti di copia. </w:t>
                              </w:r>
                            </w:p>
                          </w:txbxContent>
                        </wps:txbx>
                        <wps:bodyPr horzOverflow="overflow" vert="horz" lIns="0" tIns="0" rIns="0" bIns="0" rtlCol="0">
                          <a:noAutofit/>
                        </wps:bodyPr>
                      </wps:wsp>
                      <wps:wsp>
                        <wps:cNvPr id="200950" name="Rectangle 200950"/>
                        <wps:cNvSpPr/>
                        <wps:spPr>
                          <a:xfrm rot="-10799999">
                            <a:off x="-1381611" y="4522452"/>
                            <a:ext cx="5309006" cy="142889"/>
                          </a:xfrm>
                          <a:prstGeom prst="rect">
                            <a:avLst/>
                          </a:prstGeom>
                          <a:ln>
                            <a:noFill/>
                          </a:ln>
                        </wps:spPr>
                        <wps:txbx>
                          <w:txbxContent>
                            <w:p w14:paraId="10764DED" w14:textId="77777777" w:rsidR="00B32EF2" w:rsidRDefault="00000000">
                              <w:r>
                                <w:rPr>
                                  <w:rFonts w:ascii="Arial" w:eastAsia="Arial" w:hAnsi="Arial" w:cs="Arial"/>
                                  <w:sz w:val="18"/>
                                </w:rPr>
                                <w:t xml:space="preserve">. Nel compimento dell’attestazione di conformità i soggetti di cui al presente </w:t>
                              </w:r>
                            </w:p>
                          </w:txbxContent>
                        </wps:txbx>
                        <wps:bodyPr horzOverflow="overflow" vert="horz" lIns="0" tIns="0" rIns="0" bIns="0" rtlCol="0">
                          <a:noAutofit/>
                        </wps:bodyPr>
                      </wps:wsp>
                      <wps:wsp>
                        <wps:cNvPr id="200949" name="Rectangle 200949"/>
                        <wps:cNvSpPr/>
                        <wps:spPr>
                          <a:xfrm rot="-10799999">
                            <a:off x="2610968" y="4522452"/>
                            <a:ext cx="5309006" cy="142889"/>
                          </a:xfrm>
                          <a:prstGeom prst="rect">
                            <a:avLst/>
                          </a:prstGeom>
                          <a:ln>
                            <a:noFill/>
                          </a:ln>
                        </wps:spPr>
                        <wps:txbx>
                          <w:txbxContent>
                            <w:p w14:paraId="5DE7C267"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18209" name="Rectangle 18209"/>
                        <wps:cNvSpPr/>
                        <wps:spPr>
                          <a:xfrm rot="-10799999">
                            <a:off x="-186284" y="4399122"/>
                            <a:ext cx="4178075" cy="142889"/>
                          </a:xfrm>
                          <a:prstGeom prst="rect">
                            <a:avLst/>
                          </a:prstGeom>
                          <a:ln>
                            <a:noFill/>
                          </a:ln>
                        </wps:spPr>
                        <wps:txbx>
                          <w:txbxContent>
                            <w:p w14:paraId="3F63B319" w14:textId="77777777" w:rsidR="00B32EF2" w:rsidRDefault="00000000">
                              <w:r>
                                <w:rPr>
                                  <w:rFonts w:ascii="Arial" w:eastAsia="Arial" w:hAnsi="Arial" w:cs="Arial"/>
                                  <w:sz w:val="18"/>
                                </w:rPr>
                                <w:t xml:space="preserve">articolo assumono ad ogni effetto la veste di pubblici ufficiali. </w:t>
                              </w:r>
                            </w:p>
                          </w:txbxContent>
                        </wps:txbx>
                        <wps:bodyPr horzOverflow="overflow" vert="horz" lIns="0" tIns="0" rIns="0" bIns="0" rtlCol="0">
                          <a:noAutofit/>
                        </wps:bodyPr>
                      </wps:wsp>
                      <wps:wsp>
                        <wps:cNvPr id="200948" name="Rectangle 200948"/>
                        <wps:cNvSpPr/>
                        <wps:spPr>
                          <a:xfrm rot="-10799999">
                            <a:off x="-1285336" y="4275793"/>
                            <a:ext cx="5212823" cy="142889"/>
                          </a:xfrm>
                          <a:prstGeom prst="rect">
                            <a:avLst/>
                          </a:prstGeom>
                          <a:ln>
                            <a:noFill/>
                          </a:ln>
                        </wps:spPr>
                        <wps:txbx>
                          <w:txbxContent>
                            <w:p w14:paraId="5547061F" w14:textId="77777777" w:rsidR="00B32EF2" w:rsidRDefault="00000000">
                              <w:r>
                                <w:rPr>
                                  <w:rFonts w:ascii="Arial" w:eastAsia="Arial" w:hAnsi="Arial" w:cs="Arial"/>
                                  <w:sz w:val="18"/>
                                </w:rPr>
                                <w:t>. Gli atti e i documenti del fascicolo telematico non devono essere nuova</w:t>
                              </w:r>
                            </w:p>
                          </w:txbxContent>
                        </wps:txbx>
                        <wps:bodyPr horzOverflow="overflow" vert="horz" lIns="0" tIns="0" rIns="0" bIns="0" rtlCol="0">
                          <a:noAutofit/>
                        </wps:bodyPr>
                      </wps:wsp>
                      <wps:wsp>
                        <wps:cNvPr id="200947" name="Rectangle 200947"/>
                        <wps:cNvSpPr/>
                        <wps:spPr>
                          <a:xfrm rot="-10799999">
                            <a:off x="2634833" y="4275793"/>
                            <a:ext cx="5212824" cy="142889"/>
                          </a:xfrm>
                          <a:prstGeom prst="rect">
                            <a:avLst/>
                          </a:prstGeom>
                          <a:ln>
                            <a:noFill/>
                          </a:ln>
                        </wps:spPr>
                        <wps:txbx>
                          <w:txbxContent>
                            <w:p w14:paraId="663B5E57"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18211" name="Rectangle 18211"/>
                        <wps:cNvSpPr/>
                        <wps:spPr>
                          <a:xfrm rot="-10799999">
                            <a:off x="19192" y="4275792"/>
                            <a:ext cx="50622" cy="142889"/>
                          </a:xfrm>
                          <a:prstGeom prst="rect">
                            <a:avLst/>
                          </a:prstGeom>
                          <a:ln>
                            <a:noFill/>
                          </a:ln>
                        </wps:spPr>
                        <wps:txbx>
                          <w:txbxContent>
                            <w:p w14:paraId="0ADA76C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212" name="Rectangle 18212"/>
                        <wps:cNvSpPr/>
                        <wps:spPr>
                          <a:xfrm rot="-10799999">
                            <a:off x="-1317290" y="4152463"/>
                            <a:ext cx="5309082" cy="142889"/>
                          </a:xfrm>
                          <a:prstGeom prst="rect">
                            <a:avLst/>
                          </a:prstGeom>
                          <a:ln>
                            <a:noFill/>
                          </a:ln>
                        </wps:spPr>
                        <wps:txbx>
                          <w:txbxContent>
                            <w:p w14:paraId="4E708E5E" w14:textId="77777777" w:rsidR="00B32EF2" w:rsidRDefault="00000000">
                              <w:r>
                                <w:rPr>
                                  <w:rFonts w:ascii="Arial" w:eastAsia="Arial" w:hAnsi="Arial" w:cs="Arial"/>
                                  <w:sz w:val="18"/>
                                </w:rPr>
                                <w:t xml:space="preserve">mente depositati nelle fasi successive del giudizio o nei suoi ulteriori gradi. </w:t>
                              </w:r>
                            </w:p>
                          </w:txbxContent>
                        </wps:txbx>
                        <wps:bodyPr horzOverflow="overflow" vert="horz" lIns="0" tIns="0" rIns="0" bIns="0" rtlCol="0">
                          <a:noAutofit/>
                        </wps:bodyPr>
                      </wps:wsp>
                      <wps:wsp>
                        <wps:cNvPr id="18213" name="Rectangle 18213"/>
                        <wps:cNvSpPr/>
                        <wps:spPr>
                          <a:xfrm rot="-10799999">
                            <a:off x="-1317108" y="4029133"/>
                            <a:ext cx="5308899" cy="142889"/>
                          </a:xfrm>
                          <a:prstGeom prst="rect">
                            <a:avLst/>
                          </a:prstGeom>
                          <a:ln>
                            <a:noFill/>
                          </a:ln>
                        </wps:spPr>
                        <wps:txbx>
                          <w:txbxContent>
                            <w:p w14:paraId="13971900" w14:textId="77777777" w:rsidR="00B32EF2" w:rsidRDefault="00000000">
                              <w:r>
                                <w:rPr>
                                  <w:rFonts w:ascii="Arial" w:eastAsia="Arial" w:hAnsi="Arial" w:cs="Arial"/>
                                  <w:sz w:val="18"/>
                                </w:rPr>
                                <w:t xml:space="preserve">Il giudice non tiene conto degli atti e dei documenti su supporto cartaceo dei </w:t>
                              </w:r>
                            </w:p>
                          </w:txbxContent>
                        </wps:txbx>
                        <wps:bodyPr horzOverflow="overflow" vert="horz" lIns="0" tIns="0" rIns="0" bIns="0" rtlCol="0">
                          <a:noAutofit/>
                        </wps:bodyPr>
                      </wps:wsp>
                      <wps:wsp>
                        <wps:cNvPr id="18214" name="Rectangle 18214"/>
                        <wps:cNvSpPr/>
                        <wps:spPr>
                          <a:xfrm rot="-10799999">
                            <a:off x="-1317244" y="3905804"/>
                            <a:ext cx="5309035" cy="142889"/>
                          </a:xfrm>
                          <a:prstGeom prst="rect">
                            <a:avLst/>
                          </a:prstGeom>
                          <a:ln>
                            <a:noFill/>
                          </a:ln>
                        </wps:spPr>
                        <wps:txbx>
                          <w:txbxContent>
                            <w:p w14:paraId="69206E13" w14:textId="77777777" w:rsidR="00B32EF2" w:rsidRDefault="00000000">
                              <w:r>
                                <w:rPr>
                                  <w:rFonts w:ascii="Arial" w:eastAsia="Arial" w:hAnsi="Arial" w:cs="Arial"/>
                                  <w:sz w:val="18"/>
                                </w:rPr>
                                <w:t xml:space="preserve">quali non è depositata nel fascicolo telematico la copia informatica, anche </w:t>
                              </w:r>
                            </w:p>
                          </w:txbxContent>
                        </wps:txbx>
                        <wps:bodyPr horzOverflow="overflow" vert="horz" lIns="0" tIns="0" rIns="0" bIns="0" rtlCol="0">
                          <a:noAutofit/>
                        </wps:bodyPr>
                      </wps:wsp>
                      <wps:wsp>
                        <wps:cNvPr id="18215" name="Rectangle 18215"/>
                        <wps:cNvSpPr/>
                        <wps:spPr>
                          <a:xfrm rot="-10799999">
                            <a:off x="-1317244" y="3782474"/>
                            <a:ext cx="5309035" cy="142889"/>
                          </a:xfrm>
                          <a:prstGeom prst="rect">
                            <a:avLst/>
                          </a:prstGeom>
                          <a:ln>
                            <a:noFill/>
                          </a:ln>
                        </wps:spPr>
                        <wps:txbx>
                          <w:txbxContent>
                            <w:p w14:paraId="5484B535" w14:textId="77777777" w:rsidR="00B32EF2" w:rsidRDefault="00000000">
                              <w:r>
                                <w:rPr>
                                  <w:rFonts w:ascii="Arial" w:eastAsia="Arial" w:hAnsi="Arial" w:cs="Arial"/>
                                  <w:sz w:val="18"/>
                                </w:rPr>
                                <w:t xml:space="preserve">per immagine, munita di attestazione di conformità al documento analogico </w:t>
                              </w:r>
                            </w:p>
                          </w:txbxContent>
                        </wps:txbx>
                        <wps:bodyPr horzOverflow="overflow" vert="horz" lIns="0" tIns="0" rIns="0" bIns="0" rtlCol="0">
                          <a:noAutofit/>
                        </wps:bodyPr>
                      </wps:wsp>
                      <wps:wsp>
                        <wps:cNvPr id="18216" name="Rectangle 18216"/>
                        <wps:cNvSpPr/>
                        <wps:spPr>
                          <a:xfrm rot="-10799999">
                            <a:off x="2223581" y="3659144"/>
                            <a:ext cx="1768209" cy="142889"/>
                          </a:xfrm>
                          <a:prstGeom prst="rect">
                            <a:avLst/>
                          </a:prstGeom>
                          <a:ln>
                            <a:noFill/>
                          </a:ln>
                        </wps:spPr>
                        <wps:txbx>
                          <w:txbxContent>
                            <w:p w14:paraId="6B6D658A" w14:textId="77777777" w:rsidR="00B32EF2" w:rsidRDefault="00000000">
                              <w:r>
                                <w:rPr>
                                  <w:rFonts w:ascii="Arial" w:eastAsia="Arial" w:hAnsi="Arial" w:cs="Arial"/>
                                  <w:sz w:val="18"/>
                                </w:rPr>
                                <w:t>detenuto dal difensore. (1)</w:t>
                              </w:r>
                            </w:p>
                          </w:txbxContent>
                        </wps:txbx>
                        <wps:bodyPr horzOverflow="overflow" vert="horz" lIns="0" tIns="0" rIns="0" bIns="0" rtlCol="0">
                          <a:noAutofit/>
                        </wps:bodyPr>
                      </wps:wsp>
                      <wps:wsp>
                        <wps:cNvPr id="200946" name="Rectangle 200946"/>
                        <wps:cNvSpPr/>
                        <wps:spPr>
                          <a:xfrm rot="-10799999">
                            <a:off x="-1417471" y="3566032"/>
                            <a:ext cx="5301954" cy="119075"/>
                          </a:xfrm>
                          <a:prstGeom prst="rect">
                            <a:avLst/>
                          </a:prstGeom>
                          <a:ln>
                            <a:noFill/>
                          </a:ln>
                        </wps:spPr>
                        <wps:txbx>
                          <w:txbxContent>
                            <w:p w14:paraId="6BEA6292" w14:textId="77777777" w:rsidR="00B32EF2" w:rsidRDefault="00000000">
                              <w:r>
                                <w:rPr>
                                  <w:rFonts w:ascii="Arial" w:eastAsia="Arial" w:hAnsi="Arial" w:cs="Arial"/>
                                  <w:sz w:val="15"/>
                                </w:rPr>
                                <w:t xml:space="preserve"> L’art 16 del D.lgs. n. 81 del 12/06/2025, ha modificato il presente articolo, sostituendo </w:t>
                              </w:r>
                            </w:p>
                          </w:txbxContent>
                        </wps:txbx>
                        <wps:bodyPr horzOverflow="overflow" vert="horz" lIns="0" tIns="0" rIns="0" bIns="0" rtlCol="0">
                          <a:noAutofit/>
                        </wps:bodyPr>
                      </wps:wsp>
                      <wps:wsp>
                        <wps:cNvPr id="200945" name="Rectangle 200945"/>
                        <wps:cNvSpPr/>
                        <wps:spPr>
                          <a:xfrm rot="-10799999">
                            <a:off x="2568959" y="3566032"/>
                            <a:ext cx="5301955" cy="119075"/>
                          </a:xfrm>
                          <a:prstGeom prst="rect">
                            <a:avLst/>
                          </a:prstGeom>
                          <a:ln>
                            <a:noFill/>
                          </a:ln>
                        </wps:spPr>
                        <wps:txbx>
                          <w:txbxContent>
                            <w:p w14:paraId="07FEA5E6" w14:textId="77777777" w:rsidR="00B32EF2" w:rsidRDefault="00000000">
                              <w:r>
                                <w:rPr>
                                  <w:rFonts w:ascii="Arial" w:eastAsia="Arial" w:hAnsi="Arial" w:cs="Arial"/>
                                  <w:sz w:val="15"/>
                                </w:rPr>
                                <w:t>(1)</w:t>
                              </w:r>
                            </w:p>
                          </w:txbxContent>
                        </wps:txbx>
                        <wps:bodyPr horzOverflow="overflow" vert="horz" lIns="0" tIns="0" rIns="0" bIns="0" rtlCol="0">
                          <a:noAutofit/>
                        </wps:bodyPr>
                      </wps:wsp>
                      <wps:wsp>
                        <wps:cNvPr id="18218" name="Rectangle 18218"/>
                        <wps:cNvSpPr/>
                        <wps:spPr>
                          <a:xfrm rot="-10799999">
                            <a:off x="-1162755" y="3442683"/>
                            <a:ext cx="5154547" cy="119075"/>
                          </a:xfrm>
                          <a:prstGeom prst="rect">
                            <a:avLst/>
                          </a:prstGeom>
                          <a:ln>
                            <a:noFill/>
                          </a:ln>
                        </wps:spPr>
                        <wps:txbx>
                          <w:txbxContent>
                            <w:p w14:paraId="5AEEEC20" w14:textId="77777777" w:rsidR="00B32EF2" w:rsidRDefault="00000000">
                              <w:r>
                                <w:rPr>
                                  <w:rFonts w:ascii="Arial" w:eastAsia="Arial" w:hAnsi="Arial" w:cs="Arial"/>
                                  <w:sz w:val="15"/>
                                </w:rPr>
                                <w:t>al comma 6 le parole «all’originale» con «al documento analogico detenuto dal difensore»;</w:t>
                              </w:r>
                            </w:p>
                          </w:txbxContent>
                        </wps:txbx>
                        <wps:bodyPr horzOverflow="overflow" vert="horz" lIns="0" tIns="0" rIns="0" bIns="0" rtlCol="0">
                          <a:noAutofit/>
                        </wps:bodyPr>
                      </wps:wsp>
                      <wps:wsp>
                        <wps:cNvPr id="207928" name="Shape 207928"/>
                        <wps:cNvSpPr/>
                        <wps:spPr>
                          <a:xfrm>
                            <a:off x="38141" y="0"/>
                            <a:ext cx="3960000" cy="3407296"/>
                          </a:xfrm>
                          <a:custGeom>
                            <a:avLst/>
                            <a:gdLst/>
                            <a:ahLst/>
                            <a:cxnLst/>
                            <a:rect l="0" t="0" r="0" b="0"/>
                            <a:pathLst>
                              <a:path w="3960000" h="3407296">
                                <a:moveTo>
                                  <a:pt x="0" y="0"/>
                                </a:moveTo>
                                <a:lnTo>
                                  <a:pt x="3960000" y="0"/>
                                </a:lnTo>
                                <a:lnTo>
                                  <a:pt x="3960000" y="3407296"/>
                                </a:lnTo>
                                <a:lnTo>
                                  <a:pt x="0" y="3407296"/>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8220" name="Rectangle 18220"/>
                        <wps:cNvSpPr/>
                        <wps:spPr>
                          <a:xfrm rot="-10799999">
                            <a:off x="2335125" y="3186060"/>
                            <a:ext cx="1585695" cy="142889"/>
                          </a:xfrm>
                          <a:prstGeom prst="rect">
                            <a:avLst/>
                          </a:prstGeom>
                          <a:ln>
                            <a:noFill/>
                          </a:ln>
                        </wps:spPr>
                        <wps:txbx>
                          <w:txbxContent>
                            <w:p w14:paraId="6C184C91"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8221" name="Rectangle 18221"/>
                        <wps:cNvSpPr/>
                        <wps:spPr>
                          <a:xfrm rot="-10799999">
                            <a:off x="-1179816" y="3062730"/>
                            <a:ext cx="5096179" cy="142889"/>
                          </a:xfrm>
                          <a:prstGeom prst="rect">
                            <a:avLst/>
                          </a:prstGeom>
                          <a:ln>
                            <a:noFill/>
                          </a:ln>
                        </wps:spPr>
                        <wps:txbx>
                          <w:txbxContent>
                            <w:p w14:paraId="1CE91D7E" w14:textId="77777777" w:rsidR="00B32EF2" w:rsidRDefault="00000000">
                              <w:r>
                                <w:rPr>
                                  <w:rFonts w:ascii="Arial" w:eastAsia="Arial" w:hAnsi="Arial" w:cs="Arial"/>
                                  <w:i/>
                                  <w:sz w:val="18"/>
                                </w:rPr>
                                <w:t xml:space="preserve">art. 53 D.lgs. 446/1997 “Albo per l’accertamento e riscossione delle entrate </w:t>
                              </w:r>
                            </w:p>
                          </w:txbxContent>
                        </wps:txbx>
                        <wps:bodyPr horzOverflow="overflow" vert="horz" lIns="0" tIns="0" rIns="0" bIns="0" rtlCol="0">
                          <a:noAutofit/>
                        </wps:bodyPr>
                      </wps:wsp>
                      <wps:wsp>
                        <wps:cNvPr id="18222" name="Rectangle 18222"/>
                        <wps:cNvSpPr/>
                        <wps:spPr>
                          <a:xfrm rot="-10799999">
                            <a:off x="2811130" y="2939401"/>
                            <a:ext cx="1108660" cy="142889"/>
                          </a:xfrm>
                          <a:prstGeom prst="rect">
                            <a:avLst/>
                          </a:prstGeom>
                          <a:ln>
                            <a:noFill/>
                          </a:ln>
                        </wps:spPr>
                        <wps:txbx>
                          <w:txbxContent>
                            <w:p w14:paraId="16F8C519" w14:textId="77777777" w:rsidR="00B32EF2" w:rsidRDefault="00000000">
                              <w:r>
                                <w:rPr>
                                  <w:rFonts w:ascii="Arial" w:eastAsia="Arial" w:hAnsi="Arial" w:cs="Arial"/>
                                  <w:i/>
                                  <w:sz w:val="18"/>
                                </w:rPr>
                                <w:t xml:space="preserve">degli enti locali” </w:t>
                              </w:r>
                            </w:p>
                          </w:txbxContent>
                        </wps:txbx>
                        <wps:bodyPr horzOverflow="overflow" vert="horz" lIns="0" tIns="0" rIns="0" bIns="0" rtlCol="0">
                          <a:noAutofit/>
                        </wps:bodyPr>
                      </wps:wsp>
                      <wps:wsp>
                        <wps:cNvPr id="18223" name="Rectangle 18223"/>
                        <wps:cNvSpPr/>
                        <wps:spPr>
                          <a:xfrm rot="-10799999">
                            <a:off x="314052" y="2816071"/>
                            <a:ext cx="3605739" cy="142889"/>
                          </a:xfrm>
                          <a:prstGeom prst="rect">
                            <a:avLst/>
                          </a:prstGeom>
                          <a:ln>
                            <a:noFill/>
                          </a:ln>
                        </wps:spPr>
                        <wps:txbx>
                          <w:txbxContent>
                            <w:p w14:paraId="0DC8A244" w14:textId="77777777" w:rsidR="00B32EF2" w:rsidRDefault="00000000">
                              <w:r>
                                <w:rPr>
                                  <w:rFonts w:ascii="Arial" w:eastAsia="Arial" w:hAnsi="Arial" w:cs="Arial"/>
                                  <w:i/>
                                  <w:sz w:val="18"/>
                                </w:rPr>
                                <w:t>D.lgs. 82/2005 “Codice dell’amministrazione digitale”</w:t>
                              </w:r>
                            </w:p>
                          </w:txbxContent>
                        </wps:txbx>
                        <wps:bodyPr horzOverflow="overflow" vert="horz" lIns="0" tIns="0" rIns="0" bIns="0" rtlCol="0">
                          <a:noAutofit/>
                        </wps:bodyPr>
                      </wps:wsp>
                      <wps:wsp>
                        <wps:cNvPr id="18224" name="Rectangle 18224"/>
                        <wps:cNvSpPr/>
                        <wps:spPr>
                          <a:xfrm rot="-10799999">
                            <a:off x="798491" y="2692741"/>
                            <a:ext cx="3121300" cy="142889"/>
                          </a:xfrm>
                          <a:prstGeom prst="rect">
                            <a:avLst/>
                          </a:prstGeom>
                          <a:ln>
                            <a:noFill/>
                          </a:ln>
                        </wps:spPr>
                        <wps:txbx>
                          <w:txbxContent>
                            <w:p w14:paraId="2663D325" w14:textId="77777777" w:rsidR="00B32EF2" w:rsidRDefault="00000000">
                              <w:r>
                                <w:rPr>
                                  <w:rFonts w:ascii="Arial" w:eastAsia="Arial" w:hAnsi="Arial" w:cs="Arial"/>
                                  <w:i/>
                                  <w:sz w:val="18"/>
                                </w:rPr>
                                <w:t xml:space="preserve">art. 14 D.M. 163/2013 “Fascicolo informatico” </w:t>
                              </w:r>
                            </w:p>
                          </w:txbxContent>
                        </wps:txbx>
                        <wps:bodyPr horzOverflow="overflow" vert="horz" lIns="0" tIns="0" rIns="0" bIns="0" rtlCol="0">
                          <a:noAutofit/>
                        </wps:bodyPr>
                      </wps:wsp>
                      <wps:wsp>
                        <wps:cNvPr id="200944" name="Rectangle 200944"/>
                        <wps:cNvSpPr/>
                        <wps:spPr>
                          <a:xfrm rot="-10799999">
                            <a:off x="-1240324" y="2569412"/>
                            <a:ext cx="5101971" cy="142889"/>
                          </a:xfrm>
                          <a:prstGeom prst="rect">
                            <a:avLst/>
                          </a:prstGeom>
                          <a:ln>
                            <a:noFill/>
                          </a:ln>
                        </wps:spPr>
                        <wps:txbx>
                          <w:txbxContent>
                            <w:p w14:paraId="6F50BECF" w14:textId="77777777" w:rsidR="00B32EF2" w:rsidRDefault="00000000">
                              <w:r>
                                <w:rPr>
                                  <w:rFonts w:ascii="Arial" w:eastAsia="Arial" w:hAnsi="Arial" w:cs="Arial"/>
                                  <w:i/>
                                  <w:sz w:val="18"/>
                                </w:rPr>
                                <w:t xml:space="preserve">. La segreteria della Commissione tributaria forma il fascicolo informatico </w:t>
                              </w:r>
                            </w:p>
                          </w:txbxContent>
                        </wps:txbx>
                        <wps:bodyPr horzOverflow="overflow" vert="horz" lIns="0" tIns="0" rIns="0" bIns="0" rtlCol="0">
                          <a:noAutofit/>
                        </wps:bodyPr>
                      </wps:wsp>
                      <wps:wsp>
                        <wps:cNvPr id="200943" name="Rectangle 200943"/>
                        <wps:cNvSpPr/>
                        <wps:spPr>
                          <a:xfrm rot="-10799999">
                            <a:off x="2590338" y="2569412"/>
                            <a:ext cx="5101971" cy="142889"/>
                          </a:xfrm>
                          <a:prstGeom prst="rect">
                            <a:avLst/>
                          </a:prstGeom>
                          <a:ln>
                            <a:noFill/>
                          </a:ln>
                        </wps:spPr>
                        <wps:txbx>
                          <w:txbxContent>
                            <w:p w14:paraId="464CCE22"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18226" name="Rectangle 18226"/>
                        <wps:cNvSpPr/>
                        <wps:spPr>
                          <a:xfrm rot="-10799999">
                            <a:off x="-1180303" y="2446082"/>
                            <a:ext cx="5096666" cy="142889"/>
                          </a:xfrm>
                          <a:prstGeom prst="rect">
                            <a:avLst/>
                          </a:prstGeom>
                          <a:ln>
                            <a:noFill/>
                          </a:ln>
                        </wps:spPr>
                        <wps:txbx>
                          <w:txbxContent>
                            <w:p w14:paraId="3198809B" w14:textId="77777777" w:rsidR="00B32EF2" w:rsidRDefault="00000000">
                              <w:r>
                                <w:rPr>
                                  <w:rFonts w:ascii="Arial" w:eastAsia="Arial" w:hAnsi="Arial" w:cs="Arial"/>
                                  <w:i/>
                                  <w:sz w:val="18"/>
                                </w:rPr>
                                <w:t xml:space="preserve">ai sensi dell’articolo 41, comma 2-bis, del decreto legislativo 7 marzo 2005, </w:t>
                              </w:r>
                            </w:p>
                          </w:txbxContent>
                        </wps:txbx>
                        <wps:bodyPr horzOverflow="overflow" vert="horz" lIns="0" tIns="0" rIns="0" bIns="0" rtlCol="0">
                          <a:noAutofit/>
                        </wps:bodyPr>
                      </wps:wsp>
                      <wps:wsp>
                        <wps:cNvPr id="18227" name="Rectangle 18227"/>
                        <wps:cNvSpPr/>
                        <wps:spPr>
                          <a:xfrm rot="-10799999">
                            <a:off x="-1084370" y="2322752"/>
                            <a:ext cx="5004162" cy="142889"/>
                          </a:xfrm>
                          <a:prstGeom prst="rect">
                            <a:avLst/>
                          </a:prstGeom>
                          <a:ln>
                            <a:noFill/>
                          </a:ln>
                        </wps:spPr>
                        <wps:txbx>
                          <w:txbxContent>
                            <w:p w14:paraId="56D5C4D5" w14:textId="77777777" w:rsidR="00B32EF2" w:rsidRDefault="00000000">
                              <w:r>
                                <w:rPr>
                                  <w:rFonts w:ascii="Arial" w:eastAsia="Arial" w:hAnsi="Arial" w:cs="Arial"/>
                                  <w:i/>
                                  <w:sz w:val="18"/>
                                </w:rPr>
                                <w:t>n. 82, con le modalità tecnico-operative stabilite dal decreto di cui all’arti</w:t>
                              </w:r>
                            </w:p>
                          </w:txbxContent>
                        </wps:txbx>
                        <wps:bodyPr horzOverflow="overflow" vert="horz" lIns="0" tIns="0" rIns="0" bIns="0" rtlCol="0">
                          <a:noAutofit/>
                        </wps:bodyPr>
                      </wps:wsp>
                      <wps:wsp>
                        <wps:cNvPr id="18228" name="Rectangle 18228"/>
                        <wps:cNvSpPr/>
                        <wps:spPr>
                          <a:xfrm rot="-10799999">
                            <a:off x="103897" y="2322752"/>
                            <a:ext cx="50622" cy="142889"/>
                          </a:xfrm>
                          <a:prstGeom prst="rect">
                            <a:avLst/>
                          </a:prstGeom>
                          <a:ln>
                            <a:noFill/>
                          </a:ln>
                        </wps:spPr>
                        <wps:txbx>
                          <w:txbxContent>
                            <w:p w14:paraId="5D46B25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229" name="Rectangle 18229"/>
                        <wps:cNvSpPr/>
                        <wps:spPr>
                          <a:xfrm rot="-10799999">
                            <a:off x="-1179111" y="2199422"/>
                            <a:ext cx="5095130" cy="142889"/>
                          </a:xfrm>
                          <a:prstGeom prst="rect">
                            <a:avLst/>
                          </a:prstGeom>
                          <a:ln>
                            <a:noFill/>
                          </a:ln>
                        </wps:spPr>
                        <wps:txbx>
                          <w:txbxContent>
                            <w:p w14:paraId="6199B06C" w14:textId="77777777" w:rsidR="00B32EF2" w:rsidRDefault="00000000">
                              <w:r>
                                <w:rPr>
                                  <w:rFonts w:ascii="Arial" w:eastAsia="Arial" w:hAnsi="Arial" w:cs="Arial"/>
                                  <w:i/>
                                  <w:sz w:val="18"/>
                                </w:rPr>
                                <w:t xml:space="preserve">colo 3, comma 3, inserendovi anche le attestazioni rilasciate dal S.I.Gi.T ed </w:t>
                              </w:r>
                            </w:p>
                          </w:txbxContent>
                        </wps:txbx>
                        <wps:bodyPr horzOverflow="overflow" vert="horz" lIns="0" tIns="0" rIns="0" bIns="0" rtlCol="0">
                          <a:noAutofit/>
                        </wps:bodyPr>
                      </wps:wsp>
                      <wps:wsp>
                        <wps:cNvPr id="18230" name="Rectangle 18230"/>
                        <wps:cNvSpPr/>
                        <wps:spPr>
                          <a:xfrm rot="-10799999">
                            <a:off x="-182731" y="2076093"/>
                            <a:ext cx="4102522" cy="142889"/>
                          </a:xfrm>
                          <a:prstGeom prst="rect">
                            <a:avLst/>
                          </a:prstGeom>
                          <a:ln>
                            <a:noFill/>
                          </a:ln>
                        </wps:spPr>
                        <wps:txbx>
                          <w:txbxContent>
                            <w:p w14:paraId="2D2298DA" w14:textId="77777777" w:rsidR="00B32EF2" w:rsidRDefault="00000000">
                              <w:r>
                                <w:rPr>
                                  <w:rFonts w:ascii="Arial" w:eastAsia="Arial" w:hAnsi="Arial" w:cs="Arial"/>
                                  <w:i/>
                                  <w:sz w:val="18"/>
                                </w:rPr>
                                <w:t>ogni altro atto e documento informatico acquisito dal SI.Gi.T.</w:t>
                              </w:r>
                            </w:p>
                          </w:txbxContent>
                        </wps:txbx>
                        <wps:bodyPr horzOverflow="overflow" vert="horz" lIns="0" tIns="0" rIns="0" bIns="0" rtlCol="0">
                          <a:noAutofit/>
                        </wps:bodyPr>
                      </wps:wsp>
                      <wps:wsp>
                        <wps:cNvPr id="200941" name="Rectangle 200941"/>
                        <wps:cNvSpPr/>
                        <wps:spPr>
                          <a:xfrm rot="-10799999">
                            <a:off x="2589127" y="1952763"/>
                            <a:ext cx="5106851" cy="142889"/>
                          </a:xfrm>
                          <a:prstGeom prst="rect">
                            <a:avLst/>
                          </a:prstGeom>
                          <a:ln>
                            <a:noFill/>
                          </a:ln>
                        </wps:spPr>
                        <wps:txbx>
                          <w:txbxContent>
                            <w:p w14:paraId="1B473B85"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0942" name="Rectangle 200942"/>
                        <wps:cNvSpPr/>
                        <wps:spPr>
                          <a:xfrm rot="-10799999">
                            <a:off x="-1246529" y="1952762"/>
                            <a:ext cx="5106851" cy="142889"/>
                          </a:xfrm>
                          <a:prstGeom prst="rect">
                            <a:avLst/>
                          </a:prstGeom>
                          <a:ln>
                            <a:noFill/>
                          </a:ln>
                        </wps:spPr>
                        <wps:txbx>
                          <w:txbxContent>
                            <w:p w14:paraId="539916BB" w14:textId="77777777" w:rsidR="00B32EF2" w:rsidRDefault="00000000">
                              <w:r>
                                <w:rPr>
                                  <w:rFonts w:ascii="Arial" w:eastAsia="Arial" w:hAnsi="Arial" w:cs="Arial"/>
                                  <w:i/>
                                  <w:sz w:val="18"/>
                                </w:rPr>
                                <w:t xml:space="preserve">. Il fascicolo informatico contiene anche le copie informatiche degli atti e </w:t>
                              </w:r>
                            </w:p>
                          </w:txbxContent>
                        </wps:txbx>
                        <wps:bodyPr horzOverflow="overflow" vert="horz" lIns="0" tIns="0" rIns="0" bIns="0" rtlCol="0">
                          <a:noAutofit/>
                        </wps:bodyPr>
                      </wps:wsp>
                      <wps:wsp>
                        <wps:cNvPr id="18232" name="Rectangle 18232"/>
                        <wps:cNvSpPr/>
                        <wps:spPr>
                          <a:xfrm rot="-10799999">
                            <a:off x="-546801" y="1829433"/>
                            <a:ext cx="4466592" cy="142889"/>
                          </a:xfrm>
                          <a:prstGeom prst="rect">
                            <a:avLst/>
                          </a:prstGeom>
                          <a:ln>
                            <a:noFill/>
                          </a:ln>
                        </wps:spPr>
                        <wps:txbx>
                          <w:txbxContent>
                            <w:p w14:paraId="1AF598F8" w14:textId="77777777" w:rsidR="00B32EF2" w:rsidRDefault="00000000">
                              <w:r>
                                <w:rPr>
                                  <w:rFonts w:ascii="Arial" w:eastAsia="Arial" w:hAnsi="Arial" w:cs="Arial"/>
                                  <w:i/>
                                  <w:sz w:val="18"/>
                                </w:rPr>
                                <w:t>dei documenti cartacei prodotti e acquisiti ai sensi dell’articolo 12.</w:t>
                              </w:r>
                            </w:p>
                          </w:txbxContent>
                        </wps:txbx>
                        <wps:bodyPr horzOverflow="overflow" vert="horz" lIns="0" tIns="0" rIns="0" bIns="0" rtlCol="0">
                          <a:noAutofit/>
                        </wps:bodyPr>
                      </wps:wsp>
                      <wps:wsp>
                        <wps:cNvPr id="200939" name="Rectangle 200939"/>
                        <wps:cNvSpPr/>
                        <wps:spPr>
                          <a:xfrm rot="-10799999">
                            <a:off x="2590674" y="1706103"/>
                            <a:ext cx="5100617" cy="142889"/>
                          </a:xfrm>
                          <a:prstGeom prst="rect">
                            <a:avLst/>
                          </a:prstGeom>
                          <a:ln>
                            <a:noFill/>
                          </a:ln>
                        </wps:spPr>
                        <wps:txbx>
                          <w:txbxContent>
                            <w:p w14:paraId="487EC3AD"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0940" name="Rectangle 200940"/>
                        <wps:cNvSpPr/>
                        <wps:spPr>
                          <a:xfrm rot="-10799999">
                            <a:off x="-1247154" y="1706103"/>
                            <a:ext cx="5100618" cy="142889"/>
                          </a:xfrm>
                          <a:prstGeom prst="rect">
                            <a:avLst/>
                          </a:prstGeom>
                          <a:ln>
                            <a:noFill/>
                          </a:ln>
                        </wps:spPr>
                        <wps:txbx>
                          <w:txbxContent>
                            <w:p w14:paraId="36369098" w14:textId="77777777" w:rsidR="00B32EF2" w:rsidRDefault="00000000">
                              <w:r>
                                <w:rPr>
                                  <w:rFonts w:ascii="Arial" w:eastAsia="Arial" w:hAnsi="Arial" w:cs="Arial"/>
                                  <w:i/>
                                  <w:sz w:val="18"/>
                                </w:rPr>
                                <w:t xml:space="preserve">. Il fascicolo informatico sostituisce il fascicolo d’ufficio di cui all’articolo </w:t>
                              </w:r>
                            </w:p>
                          </w:txbxContent>
                        </wps:txbx>
                        <wps:bodyPr horzOverflow="overflow" vert="horz" lIns="0" tIns="0" rIns="0" bIns="0" rtlCol="0">
                          <a:noAutofit/>
                        </wps:bodyPr>
                      </wps:wsp>
                      <wps:wsp>
                        <wps:cNvPr id="200936" name="Rectangle 200936"/>
                        <wps:cNvSpPr/>
                        <wps:spPr>
                          <a:xfrm rot="-10799999">
                            <a:off x="2537475" y="1582774"/>
                            <a:ext cx="5058433" cy="142889"/>
                          </a:xfrm>
                          <a:prstGeom prst="rect">
                            <a:avLst/>
                          </a:prstGeom>
                          <a:ln>
                            <a:noFill/>
                          </a:ln>
                        </wps:spPr>
                        <wps:txbx>
                          <w:txbxContent>
                            <w:p w14:paraId="0B7D8D92" w14:textId="77777777" w:rsidR="00B32EF2" w:rsidRDefault="00000000">
                              <w:r>
                                <w:rPr>
                                  <w:rFonts w:ascii="Arial" w:eastAsia="Arial" w:hAnsi="Arial" w:cs="Arial"/>
                                  <w:i/>
                                  <w:sz w:val="18"/>
                                </w:rPr>
                                <w:t>25</w:t>
                              </w:r>
                            </w:p>
                          </w:txbxContent>
                        </wps:txbx>
                        <wps:bodyPr horzOverflow="overflow" vert="horz" lIns="0" tIns="0" rIns="0" bIns="0" rtlCol="0">
                          <a:noAutofit/>
                        </wps:bodyPr>
                      </wps:wsp>
                      <wps:wsp>
                        <wps:cNvPr id="200937" name="Rectangle 200937"/>
                        <wps:cNvSpPr/>
                        <wps:spPr>
                          <a:xfrm rot="-10799999">
                            <a:off x="-4903912" y="1582773"/>
                            <a:ext cx="5058433" cy="142889"/>
                          </a:xfrm>
                          <a:prstGeom prst="rect">
                            <a:avLst/>
                          </a:prstGeom>
                          <a:ln>
                            <a:noFill/>
                          </a:ln>
                        </wps:spPr>
                        <wps:txbx>
                          <w:txbxContent>
                            <w:p w14:paraId="03B3C2D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938" name="Rectangle 200938"/>
                        <wps:cNvSpPr/>
                        <wps:spPr>
                          <a:xfrm rot="-10799999">
                            <a:off x="-1224926" y="1582773"/>
                            <a:ext cx="5058433" cy="142889"/>
                          </a:xfrm>
                          <a:prstGeom prst="rect">
                            <a:avLst/>
                          </a:prstGeom>
                          <a:ln>
                            <a:noFill/>
                          </a:ln>
                        </wps:spPr>
                        <wps:txbx>
                          <w:txbxContent>
                            <w:p w14:paraId="124697EB" w14:textId="77777777" w:rsidR="00B32EF2" w:rsidRDefault="00000000">
                              <w:r>
                                <w:rPr>
                                  <w:rFonts w:ascii="Arial" w:eastAsia="Arial" w:hAnsi="Arial" w:cs="Arial"/>
                                  <w:i/>
                                  <w:sz w:val="18"/>
                                </w:rPr>
                                <w:t xml:space="preserve"> del decreto legislativo 31 dicembre 1992, n. 546, a condizione che con</w:t>
                              </w:r>
                            </w:p>
                          </w:txbxContent>
                        </wps:txbx>
                        <wps:bodyPr horzOverflow="overflow" vert="horz" lIns="0" tIns="0" rIns="0" bIns="0" rtlCol="0">
                          <a:noAutofit/>
                        </wps:bodyPr>
                      </wps:wsp>
                      <wps:wsp>
                        <wps:cNvPr id="18235" name="Rectangle 18235"/>
                        <wps:cNvSpPr/>
                        <wps:spPr>
                          <a:xfrm rot="-10799999">
                            <a:off x="-1183812" y="1459444"/>
                            <a:ext cx="5113205" cy="142889"/>
                          </a:xfrm>
                          <a:prstGeom prst="rect">
                            <a:avLst/>
                          </a:prstGeom>
                          <a:ln>
                            <a:noFill/>
                          </a:ln>
                        </wps:spPr>
                        <wps:txbx>
                          <w:txbxContent>
                            <w:p w14:paraId="3AB70ACB" w14:textId="77777777" w:rsidR="00B32EF2" w:rsidRDefault="00000000">
                              <w:r>
                                <w:rPr>
                                  <w:rFonts w:ascii="Arial" w:eastAsia="Arial" w:hAnsi="Arial" w:cs="Arial"/>
                                  <w:i/>
                                  <w:sz w:val="18"/>
                                </w:rPr>
                                <w:t xml:space="preserve">tenga anche tutti gli atti e documenti cartacei prodotti e acquisiti ai sensi </w:t>
                              </w:r>
                            </w:p>
                          </w:txbxContent>
                        </wps:txbx>
                        <wps:bodyPr horzOverflow="overflow" vert="horz" lIns="0" tIns="0" rIns="0" bIns="0" rtlCol="0">
                          <a:noAutofit/>
                        </wps:bodyPr>
                      </wps:wsp>
                      <wps:wsp>
                        <wps:cNvPr id="18236" name="Rectangle 18236"/>
                        <wps:cNvSpPr/>
                        <wps:spPr>
                          <a:xfrm rot="-10799999">
                            <a:off x="2892516" y="1336114"/>
                            <a:ext cx="1027846" cy="142889"/>
                          </a:xfrm>
                          <a:prstGeom prst="rect">
                            <a:avLst/>
                          </a:prstGeom>
                          <a:ln>
                            <a:noFill/>
                          </a:ln>
                        </wps:spPr>
                        <wps:txbx>
                          <w:txbxContent>
                            <w:p w14:paraId="19012DDB" w14:textId="77777777" w:rsidR="00B32EF2" w:rsidRDefault="00000000">
                              <w:r>
                                <w:rPr>
                                  <w:rFonts w:ascii="Arial" w:eastAsia="Arial" w:hAnsi="Arial" w:cs="Arial"/>
                                  <w:i/>
                                  <w:sz w:val="18"/>
                                </w:rPr>
                                <w:t>dell’articolo 12.</w:t>
                              </w:r>
                            </w:p>
                          </w:txbxContent>
                        </wps:txbx>
                        <wps:bodyPr horzOverflow="overflow" vert="horz" lIns="0" tIns="0" rIns="0" bIns="0" rtlCol="0">
                          <a:noAutofit/>
                        </wps:bodyPr>
                      </wps:wsp>
                      <wps:wsp>
                        <wps:cNvPr id="200934" name="Rectangle 200934"/>
                        <wps:cNvSpPr/>
                        <wps:spPr>
                          <a:xfrm rot="-10799999">
                            <a:off x="2614663" y="1212785"/>
                            <a:ext cx="5003933" cy="142889"/>
                          </a:xfrm>
                          <a:prstGeom prst="rect">
                            <a:avLst/>
                          </a:prstGeom>
                          <a:ln>
                            <a:noFill/>
                          </a:ln>
                        </wps:spPr>
                        <wps:txbx>
                          <w:txbxContent>
                            <w:p w14:paraId="50F08021"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200935" name="Rectangle 200935"/>
                        <wps:cNvSpPr/>
                        <wps:spPr>
                          <a:xfrm rot="-10799999">
                            <a:off x="-1149659" y="1212784"/>
                            <a:ext cx="5003934" cy="142889"/>
                          </a:xfrm>
                          <a:prstGeom prst="rect">
                            <a:avLst/>
                          </a:prstGeom>
                          <a:ln>
                            <a:noFill/>
                          </a:ln>
                        </wps:spPr>
                        <wps:txbx>
                          <w:txbxContent>
                            <w:p w14:paraId="303C5423" w14:textId="77777777" w:rsidR="00B32EF2" w:rsidRDefault="00000000">
                              <w:r>
                                <w:rPr>
                                  <w:rFonts w:ascii="Arial" w:eastAsia="Arial" w:hAnsi="Arial" w:cs="Arial"/>
                                  <w:i/>
                                  <w:sz w:val="18"/>
                                </w:rPr>
                                <w:t>. Il fascicolo informatico consente ai giudici tributari e agli altri soggetti abi</w:t>
                              </w:r>
                            </w:p>
                          </w:txbxContent>
                        </wps:txbx>
                        <wps:bodyPr horzOverflow="overflow" vert="horz" lIns="0" tIns="0" rIns="0" bIns="0" rtlCol="0">
                          <a:noAutofit/>
                        </wps:bodyPr>
                      </wps:wsp>
                      <wps:wsp>
                        <wps:cNvPr id="18238" name="Rectangle 18238"/>
                        <wps:cNvSpPr/>
                        <wps:spPr>
                          <a:xfrm rot="-10799999">
                            <a:off x="103897" y="1212785"/>
                            <a:ext cx="50622" cy="142889"/>
                          </a:xfrm>
                          <a:prstGeom prst="rect">
                            <a:avLst/>
                          </a:prstGeom>
                          <a:ln>
                            <a:noFill/>
                          </a:ln>
                        </wps:spPr>
                        <wps:txbx>
                          <w:txbxContent>
                            <w:p w14:paraId="33EC192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239" name="Rectangle 18239"/>
                        <wps:cNvSpPr/>
                        <wps:spPr>
                          <a:xfrm rot="-10799999">
                            <a:off x="-1181926" y="1089454"/>
                            <a:ext cx="5105832" cy="142889"/>
                          </a:xfrm>
                          <a:prstGeom prst="rect">
                            <a:avLst/>
                          </a:prstGeom>
                          <a:ln>
                            <a:noFill/>
                          </a:ln>
                        </wps:spPr>
                        <wps:txbx>
                          <w:txbxContent>
                            <w:p w14:paraId="10E4FB27" w14:textId="77777777" w:rsidR="00B32EF2" w:rsidRDefault="00000000">
                              <w:r>
                                <w:rPr>
                                  <w:rFonts w:ascii="Arial" w:eastAsia="Arial" w:hAnsi="Arial" w:cs="Arial"/>
                                  <w:i/>
                                  <w:sz w:val="18"/>
                                </w:rPr>
                                <w:t xml:space="preserve">litati al SI.Gi.T. di cui all’articolo 3, comma 2, la diretta consultazione dello </w:t>
                              </w:r>
                            </w:p>
                          </w:txbxContent>
                        </wps:txbx>
                        <wps:bodyPr horzOverflow="overflow" vert="horz" lIns="0" tIns="0" rIns="0" bIns="0" rtlCol="0">
                          <a:noAutofit/>
                        </wps:bodyPr>
                      </wps:wsp>
                      <wps:wsp>
                        <wps:cNvPr id="18240" name="Rectangle 18240"/>
                        <wps:cNvSpPr/>
                        <wps:spPr>
                          <a:xfrm rot="-10799999">
                            <a:off x="-1182608" y="966125"/>
                            <a:ext cx="5107200" cy="142889"/>
                          </a:xfrm>
                          <a:prstGeom prst="rect">
                            <a:avLst/>
                          </a:prstGeom>
                          <a:ln>
                            <a:noFill/>
                          </a:ln>
                        </wps:spPr>
                        <wps:txbx>
                          <w:txbxContent>
                            <w:p w14:paraId="4648ECE0" w14:textId="77777777" w:rsidR="00B32EF2" w:rsidRDefault="00000000">
                              <w:r>
                                <w:rPr>
                                  <w:rFonts w:ascii="Arial" w:eastAsia="Arial" w:hAnsi="Arial" w:cs="Arial"/>
                                  <w:i/>
                                  <w:sz w:val="18"/>
                                </w:rPr>
                                <w:t xml:space="preserve">stesso, ed esonera le segreterie delle Commissioni tributarie dal produrre </w:t>
                              </w:r>
                            </w:p>
                          </w:txbxContent>
                        </wps:txbx>
                        <wps:bodyPr horzOverflow="overflow" vert="horz" lIns="0" tIns="0" rIns="0" bIns="0" rtlCol="0">
                          <a:noAutofit/>
                        </wps:bodyPr>
                      </wps:wsp>
                      <wps:wsp>
                        <wps:cNvPr id="18241" name="Rectangle 18241"/>
                        <wps:cNvSpPr/>
                        <wps:spPr>
                          <a:xfrm rot="-10799999">
                            <a:off x="-1179511" y="842795"/>
                            <a:ext cx="5093473" cy="142889"/>
                          </a:xfrm>
                          <a:prstGeom prst="rect">
                            <a:avLst/>
                          </a:prstGeom>
                          <a:ln>
                            <a:noFill/>
                          </a:ln>
                        </wps:spPr>
                        <wps:txbx>
                          <w:txbxContent>
                            <w:p w14:paraId="7662D0E5" w14:textId="77777777" w:rsidR="00B32EF2" w:rsidRDefault="00000000">
                              <w:r>
                                <w:rPr>
                                  <w:rFonts w:ascii="Arial" w:eastAsia="Arial" w:hAnsi="Arial" w:cs="Arial"/>
                                  <w:i/>
                                  <w:sz w:val="18"/>
                                </w:rPr>
                                <w:t xml:space="preserve">e rilasciare copie su supporto cartaceo degli atti e dei documenti informatici </w:t>
                              </w:r>
                            </w:p>
                          </w:txbxContent>
                        </wps:txbx>
                        <wps:bodyPr horzOverflow="overflow" vert="horz" lIns="0" tIns="0" rIns="0" bIns="0" rtlCol="0">
                          <a:noAutofit/>
                        </wps:bodyPr>
                      </wps:wsp>
                      <wps:wsp>
                        <wps:cNvPr id="18242" name="Rectangle 18242"/>
                        <wps:cNvSpPr/>
                        <wps:spPr>
                          <a:xfrm rot="-10799999">
                            <a:off x="528109" y="719466"/>
                            <a:ext cx="3391681" cy="142889"/>
                          </a:xfrm>
                          <a:prstGeom prst="rect">
                            <a:avLst/>
                          </a:prstGeom>
                          <a:ln>
                            <a:noFill/>
                          </a:ln>
                        </wps:spPr>
                        <wps:txbx>
                          <w:txbxContent>
                            <w:p w14:paraId="1569D49E" w14:textId="77777777" w:rsidR="00B32EF2" w:rsidRDefault="00000000">
                              <w:r>
                                <w:rPr>
                                  <w:rFonts w:ascii="Arial" w:eastAsia="Arial" w:hAnsi="Arial" w:cs="Arial"/>
                                  <w:i/>
                                  <w:sz w:val="18"/>
                                </w:rPr>
                                <w:t>ivi contenuti ai soggetti abilitati alla consultazione.</w:t>
                              </w:r>
                            </w:p>
                          </w:txbxContent>
                        </wps:txbx>
                        <wps:bodyPr horzOverflow="overflow" vert="horz" lIns="0" tIns="0" rIns="0" bIns="0" rtlCol="0">
                          <a:noAutofit/>
                        </wps:bodyPr>
                      </wps:wsp>
                      <wps:wsp>
                        <wps:cNvPr id="200932" name="Rectangle 200932"/>
                        <wps:cNvSpPr/>
                        <wps:spPr>
                          <a:xfrm rot="-10799999">
                            <a:off x="2614349" y="596136"/>
                            <a:ext cx="5005195" cy="142889"/>
                          </a:xfrm>
                          <a:prstGeom prst="rect">
                            <a:avLst/>
                          </a:prstGeom>
                          <a:ln>
                            <a:noFill/>
                          </a:ln>
                        </wps:spPr>
                        <wps:txbx>
                          <w:txbxContent>
                            <w:p w14:paraId="7D7CBD4F"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200933" name="Rectangle 200933"/>
                        <wps:cNvSpPr/>
                        <wps:spPr>
                          <a:xfrm rot="-10799999">
                            <a:off x="-1152190" y="596136"/>
                            <a:ext cx="5005195" cy="142889"/>
                          </a:xfrm>
                          <a:prstGeom prst="rect">
                            <a:avLst/>
                          </a:prstGeom>
                          <a:ln>
                            <a:noFill/>
                          </a:ln>
                        </wps:spPr>
                        <wps:txbx>
                          <w:txbxContent>
                            <w:p w14:paraId="42368C53" w14:textId="77777777" w:rsidR="00B32EF2" w:rsidRDefault="00000000">
                              <w:r>
                                <w:rPr>
                                  <w:rFonts w:ascii="Arial" w:eastAsia="Arial" w:hAnsi="Arial" w:cs="Arial"/>
                                  <w:i/>
                                  <w:sz w:val="18"/>
                                </w:rPr>
                                <w:t>. Nel caso di richiesta delle parti di ottenere copia autentica degli atti con</w:t>
                              </w:r>
                            </w:p>
                          </w:txbxContent>
                        </wps:txbx>
                        <wps:bodyPr horzOverflow="overflow" vert="horz" lIns="0" tIns="0" rIns="0" bIns="0" rtlCol="0">
                          <a:noAutofit/>
                        </wps:bodyPr>
                      </wps:wsp>
                      <wps:wsp>
                        <wps:cNvPr id="18244" name="Rectangle 18244"/>
                        <wps:cNvSpPr/>
                        <wps:spPr>
                          <a:xfrm rot="-10799999">
                            <a:off x="103897" y="596136"/>
                            <a:ext cx="50622" cy="142889"/>
                          </a:xfrm>
                          <a:prstGeom prst="rect">
                            <a:avLst/>
                          </a:prstGeom>
                          <a:ln>
                            <a:noFill/>
                          </a:ln>
                        </wps:spPr>
                        <wps:txbx>
                          <w:txbxContent>
                            <w:p w14:paraId="6C81DAC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245" name="Rectangle 18245"/>
                        <wps:cNvSpPr/>
                        <wps:spPr>
                          <a:xfrm rot="-10799999">
                            <a:off x="-1184647" y="472806"/>
                            <a:ext cx="5114953" cy="142890"/>
                          </a:xfrm>
                          <a:prstGeom prst="rect">
                            <a:avLst/>
                          </a:prstGeom>
                          <a:ln>
                            <a:noFill/>
                          </a:ln>
                        </wps:spPr>
                        <wps:txbx>
                          <w:txbxContent>
                            <w:p w14:paraId="6D6EFF7A" w14:textId="77777777" w:rsidR="00B32EF2" w:rsidRDefault="00000000">
                              <w:r>
                                <w:rPr>
                                  <w:rFonts w:ascii="Arial" w:eastAsia="Arial" w:hAnsi="Arial" w:cs="Arial"/>
                                  <w:i/>
                                  <w:sz w:val="18"/>
                                </w:rPr>
                                <w:t xml:space="preserve">tenuti nel fascicolo informatico, ai sensi degli articoli 25 e 38 del decreto </w:t>
                              </w:r>
                            </w:p>
                          </w:txbxContent>
                        </wps:txbx>
                        <wps:bodyPr horzOverflow="overflow" vert="horz" lIns="0" tIns="0" rIns="0" bIns="0" rtlCol="0">
                          <a:noAutofit/>
                        </wps:bodyPr>
                      </wps:wsp>
                      <wps:wsp>
                        <wps:cNvPr id="18246" name="Rectangle 18246"/>
                        <wps:cNvSpPr/>
                        <wps:spPr>
                          <a:xfrm rot="-10799999">
                            <a:off x="-1082546" y="349477"/>
                            <a:ext cx="5002338" cy="142889"/>
                          </a:xfrm>
                          <a:prstGeom prst="rect">
                            <a:avLst/>
                          </a:prstGeom>
                          <a:ln>
                            <a:noFill/>
                          </a:ln>
                        </wps:spPr>
                        <wps:txbx>
                          <w:txbxContent>
                            <w:p w14:paraId="368688CF" w14:textId="77777777" w:rsidR="00B32EF2" w:rsidRDefault="00000000">
                              <w:r>
                                <w:rPr>
                                  <w:rFonts w:ascii="Arial" w:eastAsia="Arial" w:hAnsi="Arial" w:cs="Arial"/>
                                  <w:i/>
                                  <w:sz w:val="18"/>
                                </w:rPr>
                                <w:t>legislativo 31 dicembre 1992, n. 546, l’ufficio di segreteria della Commissio</w:t>
                              </w:r>
                            </w:p>
                          </w:txbxContent>
                        </wps:txbx>
                        <wps:bodyPr horzOverflow="overflow" vert="horz" lIns="0" tIns="0" rIns="0" bIns="0" rtlCol="0">
                          <a:noAutofit/>
                        </wps:bodyPr>
                      </wps:wsp>
                      <wps:wsp>
                        <wps:cNvPr id="18247" name="Rectangle 18247"/>
                        <wps:cNvSpPr/>
                        <wps:spPr>
                          <a:xfrm rot="-10799999">
                            <a:off x="103897" y="349477"/>
                            <a:ext cx="50622" cy="142889"/>
                          </a:xfrm>
                          <a:prstGeom prst="rect">
                            <a:avLst/>
                          </a:prstGeom>
                          <a:ln>
                            <a:noFill/>
                          </a:ln>
                        </wps:spPr>
                        <wps:txbx>
                          <w:txbxContent>
                            <w:p w14:paraId="1546D1A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248" name="Rectangle 18248"/>
                        <wps:cNvSpPr/>
                        <wps:spPr>
                          <a:xfrm rot="-10799999">
                            <a:off x="-1182720" y="226147"/>
                            <a:ext cx="5108112" cy="142889"/>
                          </a:xfrm>
                          <a:prstGeom prst="rect">
                            <a:avLst/>
                          </a:prstGeom>
                          <a:ln>
                            <a:noFill/>
                          </a:ln>
                        </wps:spPr>
                        <wps:txbx>
                          <w:txbxContent>
                            <w:p w14:paraId="75E3BD56" w14:textId="77777777" w:rsidR="00B32EF2" w:rsidRDefault="00000000">
                              <w:r>
                                <w:rPr>
                                  <w:rFonts w:ascii="Arial" w:eastAsia="Arial" w:hAnsi="Arial" w:cs="Arial"/>
                                  <w:i/>
                                  <w:sz w:val="18"/>
                                </w:rPr>
                                <w:t xml:space="preserve">ne tributaria, previo pagamento delle spese, provvede all’invio della copia </w:t>
                              </w:r>
                            </w:p>
                          </w:txbxContent>
                        </wps:txbx>
                        <wps:bodyPr horzOverflow="overflow" vert="horz" lIns="0" tIns="0" rIns="0" bIns="0" rtlCol="0">
                          <a:noAutofit/>
                        </wps:bodyPr>
                      </wps:wsp>
                      <wps:wsp>
                        <wps:cNvPr id="18249" name="Rectangle 18249"/>
                        <wps:cNvSpPr/>
                        <wps:spPr>
                          <a:xfrm rot="-10799999">
                            <a:off x="2563066" y="102817"/>
                            <a:ext cx="1356724" cy="142889"/>
                          </a:xfrm>
                          <a:prstGeom prst="rect">
                            <a:avLst/>
                          </a:prstGeom>
                          <a:ln>
                            <a:noFill/>
                          </a:ln>
                        </wps:spPr>
                        <wps:txbx>
                          <w:txbxContent>
                            <w:p w14:paraId="7F4AF1D9" w14:textId="77777777" w:rsidR="00B32EF2" w:rsidRDefault="00000000">
                              <w:r>
                                <w:rPr>
                                  <w:rFonts w:ascii="Arial" w:eastAsia="Arial" w:hAnsi="Arial" w:cs="Arial"/>
                                  <w:i/>
                                  <w:sz w:val="18"/>
                                </w:rPr>
                                <w:t>stessa tramite PEC.</w:t>
                              </w:r>
                            </w:p>
                          </w:txbxContent>
                        </wps:txbx>
                        <wps:bodyPr horzOverflow="overflow" vert="horz" lIns="0" tIns="0" rIns="0" bIns="0" rtlCol="0">
                          <a:noAutofit/>
                        </wps:bodyPr>
                      </wps:wsp>
                      <wps:wsp>
                        <wps:cNvPr id="18250" name="Shape 18250"/>
                        <wps:cNvSpPr/>
                        <wps:spPr>
                          <a:xfrm>
                            <a:off x="38140" y="4"/>
                            <a:ext cx="3960000" cy="3407296"/>
                          </a:xfrm>
                          <a:custGeom>
                            <a:avLst/>
                            <a:gdLst/>
                            <a:ahLst/>
                            <a:cxnLst/>
                            <a:rect l="0" t="0" r="0" b="0"/>
                            <a:pathLst>
                              <a:path w="3960000" h="3407296">
                                <a:moveTo>
                                  <a:pt x="0" y="3407296"/>
                                </a:moveTo>
                                <a:lnTo>
                                  <a:pt x="3960000" y="3407296"/>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2402A31" id="Group 201006" o:spid="_x0000_s3723" style="width:314.8pt;height:435.35pt;mso-position-horizontal-relative:char;mso-position-vertical-relative:line" coordsize="39981,55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jT3QsAAMZ+AAAOAAAAZHJzL2Uyb0RvYy54bWzkXe1u2zgW/b/AvoPh/2lEitRH0HSw6OwU&#10;Cyx2BjOzD6A4cmxAtgzJbdJ9+j33UqJkhW0KCQiDYQskDi1REg/v5eXh4dX7n54O1epL2bT7+ni7&#10;Fu+i9ao8bur7/fHhdv3fP3+5ytar9lwc74uqPpa3669lu/7pw9//9v7xdFPKeldX92WzQiXH9ubx&#10;dLvenc+nm+vrdrMrD0X7rj6VR3y5rZtDccafzcP1fVM8ovZDdS2jKLl+rJv7U1NvyrZF6c/my/UH&#10;rn+7LTfnX7fbtjyvqts17u3MPxv+eUc/rz+8L24emuK022+62yhm3MWh2B9xUVvVz8W5WH1u9s+q&#10;Ouw3Td3W2/O7TX24rrfb/abkZ8DTiGjyNJ+a+vOJn+Xh5vHhZJsJTTtpp9nVbv7z5VNz+uP0W4OW&#10;eDw9oC34L3qWp21zoN+4y9UTN9lX22Tl03m1QWGc55lQYr3a4DutZZao3DTqZoeWf3beZvfPF868&#10;7i98fXE7jyd0kHZog3ZZG/yxK04lN217gzb4rVnt79F/M/Sp9epYHNBVf0fnKY4PVbkyxdxAfLRt&#10;rvamRcv1bbVqavSvKxGlOf3j/tC13ZWIRSqVWq+omeJMp7prpr4hdRzlUZyYhhRKZjl3Ttsaxc2p&#10;ac+fyvqwog+36wa3x5covvy7PePmcGh/CN1RdaSfx/qXfVWZb6kEjdrfNH06P9098ZNLnaaEGxXe&#10;1fdf0SC7uvnfrzDtbVU/3q7r7tOarB2Xp2/Xq+pfRwBBhtV/aPoPd/2H5lx9rNn8zA394/O53u75&#10;joerdXcGhM09vArU6LYuqEXfEOgYc6AWIs6jDmqZSCWnUItIJ/kYar7iK0Kd9U8YBNSw6VwDjynW&#10;XflCu85EmgBLsmvgLiLGsri5tGs92HXGveEVwebrDZb2F7drBjX+Bthx3+9nWbZMRJQncBrfx3pk&#10;2K+NdcZjRjBY07jsgNoULzNrKZUQsFqCOhIYHKdmLUWic1yc4h4arl8dajtKBeHDCVOHCzfFS6AW&#10;ucjlCOduSmDdd5RIfO0NZdl7rGBQhtFNB2pCWfcNMct1U1AudWaCMpXlCMWnBh0lKk59+m47OAUB&#10;NY/TsKwp1l35EpPGZCuL4h7sNMmFmILNky2PQRlurnvCcMB2zLYYbDuQzbLscVCmvo21T8O2risI&#10;rMlZp8/t2hQvMWuRK52nOY/VKlE6zXhwHKZaiBB0BlP3N1on4Vm1gy5jq7YzkVlWTS5cJIQlwmul&#10;EY3rCdjMl0U+zTosvoxABbXrHK8N5UvTzllgGxeOhYK3i3VYhBn5agfUpniJC78SWSL7wAxLBwJz&#10;K9Q3uHAl0ixKfQZm4bFlCpbnisJRvgxrmemYVjTIrGWqU9AlF2BrKWQmPXIoZoklGLqMXbgjNOvK&#10;l4Atk1hlMaD8PtaYf/tiUnI7zQglCqfoaWrXcOFmLjx7sB74MmPTEweu/fJloPK6bhwMyg4OhVC2&#10;DTErJDPr1fCPbNBCS5VMnTdRKJiB+TPosPgywtS91oHiJa6boRZRF35HMhfw45fjdBxheQMBoTff&#10;HRZbRlC71zpQvBjqXoUCjYLOsKYyhRoqFI/xdx4cWUarjK5h2jbEAgfeCY5iUGUqfXNQh8WWkVVj&#10;MuSC2jbELKillDF4Tx6qYyxKC6B+YdQQqJgJvTf/HSBV5oCa51nLsL6C1jJVECNQXBbrJIniaQAe&#10;R4LVTgy2yIlNQW94Pb1RbmmDIEJwBtXhwrvyJcO11EmWQyf6Atb9aO0D67DYMnLhDrLMFC9B+kqI&#10;BAwZkCSzVkom2TQGF1ppBfLGk1kn0EV3TxiIWae5tFizWnyFdU0qexFoIrQ73TdWsUgcD1QnuqI4&#10;R4uS1pzwjBXUKRAEo+aRn958Nnpvqq7XeGODwb1Re6Ns13/aPB37j6QK/+5eh1NxpvOoUvq4grTb&#10;3stuuBX6/gDN9581H3meCPlxm8O31XF8lK2tf2gc2x/R/z5xfeMjL5ugP67/bY43bMSPH8lNbq+O&#10;D/TA3MS2EVA4bubqSO1BqBTYi7KtCqOwP+zP2KRS7Q+Q+smUYDNIOQT17flrVVKTVcffyy2k9bxx&#10;ggra5uHuY9WsvhSkhed/Rr5fnXZFV9rV2x3Kt8r10Plb6PhtlYJPvajyY0z/uxq6g+m8knfB2DMj&#10;c+amuxuzFQYbSvDQ/YYYNIo9ia9cH8/2/CO28fBFiEHsnnZg0Kld6K9X1fFL3LsjrEYxbmc20Snj&#10;WAvZuWSsW0XJxISFziDj70ff15eAJkZqPjT+X1zZjWFWuiltFC9BGqNvil1MZqUqBoGdxhOoNem+&#10;SXriaQaVRJbODWL0JajdvLZZMJ5v1NAHCaBLI7LM41xNt2sIMKGYVXlE2rK5wSDtprWxMLzEqGOh&#10;ImiGGGjYdjQV8MdJpNPYp0lbLjcYoN2ktrQNMYv+gutWWNxloJNcplNhdyywcNJH2h52aqCf9R05&#10;CKCZ+HAg3ZUvsekrIRUIL1RO7hvBlzLLnIN+SGP/XU70mLeB2vJ74YDt8N8M9jIHLjVWomKzLPlG&#10;sQ6L1qagzMFqm+JlZi2wX4N28pFZK5WQrgAVjswa8Tf+eTRrS/sEYdaEqUMoZoqXQR1l2GbVBeAx&#10;rvJM1x1FCmSoR6iD47QHnvMi5cWPUJ3fSXkhsAUrRycim3YD7XNnJbZyBxWVkelisuOiyWx/nxV+&#10;M3lCG+wYaJHnaqrpBnmCzAgep9SD4jEU502t7YDa0FqzyROo90GNdUhHaRJNBd1KRBJ7dfz57kH1&#10;GATSHGUDjynUXfmSgRqbpbE7w7hv6Alk+kz/KaIk0x5nWoPsMRysHZwoY23Z4ZkuHPJeTcMDxmoD&#10;9jT+9g625YiCABuOFrqeZ3ZtipeY9ZVWSQbOm5HOZK6mWl/MviAh8+nCw2PLiIV2uXCUL8GaCJQE&#10;qk/GOo0Q8TIhM5pVCyRQFL2mxMMCJpbcugcMwqrZVTsis658CdbEjKaQCL0ENug0X8woOlpoYNPm&#10;R6dh234/a7yWOoYG1CgTIEKQ6TNpN5T95Nn9YR0WXUYGHDv4sq58kWErsOCIxI1hM9hTL+4dbDtM&#10;BePFaVnCadi2388ybHhxqXIi2SkQf5NgD6KqIMCmiBuOdoq1KV5k10JkEId2do3ENmq6a0NDqEJp&#10;z7w58UFVFQzUjvGaoF44XCPdnO7UZdhbiaw20/05kUwz5XF1axBVBYE0D8vfUCjElmiY5cGRygYT&#10;aLOSCd0JcOXp7GjOFWE49xmaDbKqcLB2eHDuA5ZqmIU1Vj5UDrLEjNYM9sSwNYONnuZrzjVIq4IA&#10;m3y1IzIzxUtG69Fa5jes2utaJlTqIU2tCU8HZWaKl8AMi86QDbiLv6MMCQenFo3U/RlRs94s2sYi&#10;oVi0cjBmgBrFS6GWEBqx84a4iHZ6oL7RQE0Zg33KRrH4FphR0045x0zLCHoXrFpj5wYmU4x0hqRF&#10;JsXECGmQNyr1yJYNQptgbBoe1IX0snVMvH0IL2hgnFMki4Ve8MKiY/BoCeVJ8Oa7AyTKHEBz6L0M&#10;aZpmxZSNFDyZxtYsM0Mfm3SksZDtD+pBaROESTOk8KBTm+7KFw7UyBPZZSJ7m1jb3YdBYE2xl4M8&#10;McVLkB5Nstw4e51jmTwrIW22VQ7ahFC2k825rAm4TspkAd+tUpkhh/fFMI1QTeV6FI698ovwEiOJ&#10;CQppN+8NSnqJPeOdK5mE3oiRxmitzBsGL0ZpbLL3KEkYyN5gPLdjlZps2s41Z9n0yHO7cfbrua3D&#10;CgZlNwm6OKE3ego4EbZnbAUTpteM7BkGL2hJ09cEa1ioCwZpNw+69IUMOkEajJ4Gxaya3cMAtEDm&#10;ObzN1iPQ1l+FArS2LKjJRQVTRNGLwzMxmqNUVMZ2J5y2TcNEZnuZXal/A/Q4R9IbSkV1ebM/kpDq&#10;8ow+vVT/+3laKm5im0JqSGQ1Tkg1PWZT1W0JZH484RQnlYI1fTPplMkWZer8waRTjgxRXdKpvhqk&#10;dOLsTuO8Ul12qHmpqt5E0il+azhels7t373Ynd7GPv6bk1QNr5//8H8AAAD//wMAUEsDBBQABgAI&#10;AAAAIQDlr3c53QAAAAUBAAAPAAAAZHJzL2Rvd25yZXYueG1sTI9Ba8JAEIXvhf6HZQq91U0sRptm&#10;IyJtT1KoCtLbmB2TYHY2ZNck/nu3vbSXgcd7vPdNthxNI3rqXG1ZQTyJQBAXVtdcKtjv3p8WIJxH&#10;1thYJgVXcrDM7+8yTLUd+Iv6rS9FKGGXooLK+zaV0hUVGXQT2xIH72Q7gz7IrpS6wyGUm0ZOoyiR&#10;BmsOCxW2tK6oOG8vRsHHgMPqOX7rN+fT+vq9m30eNjEp9fgwrl5BeBr9Xxh+8AM65IHpaC+snWgU&#10;hEf87w1eMn1JQBwVLObRHGSeyf/0+Q0AAP//AwBQSwECLQAUAAYACAAAACEAtoM4kv4AAADhAQAA&#10;EwAAAAAAAAAAAAAAAAAAAAAAW0NvbnRlbnRfVHlwZXNdLnhtbFBLAQItABQABgAIAAAAIQA4/SH/&#10;1gAAAJQBAAALAAAAAAAAAAAAAAAAAC8BAABfcmVscy8ucmVsc1BLAQItABQABgAIAAAAIQDHxRjT&#10;3QsAAMZ+AAAOAAAAAAAAAAAAAAAAAC4CAABkcnMvZTJvRG9jLnhtbFBLAQItABQABgAIAAAAIQDl&#10;r3c53QAAAAUBAAAPAAAAAAAAAAAAAAAAADcOAABkcnMvZG93bnJldi54bWxQSwUGAAAAAAQABADz&#10;AAAAQQ8AAAAA&#10;">
                <v:rect id="Rectangle 18200" o:spid="_x0000_s3724" style="position:absolute;left:-13172;top:5385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x3yxgAAAN4AAAAPAAAAZHJzL2Rvd25yZXYueG1sRI/NasMw&#10;EITvhbyD2EJujdwegnGihJBg4kMvdRPIcbE2tltrJSz5p336qlDobZeZ+XZ2u59NJ0bqfWtZwfMq&#10;AUFcWd1yreDynj+lIHxA1thZJgVf5GG/WzxsMdN24jcay1CLCGGfoYImBJdJ6auGDPqVdcRRu9ve&#10;YIhrX0vd4xThppMvSbKWBluOFxp0dGyo+iwHo+B2Ylfkk6zu30f3+lGk3Xm4XJVaPs6HDYhAc/g3&#10;/6ULHeunkQm/78QZ5O4HAAD//wMAUEsBAi0AFAAGAAgAAAAhANvh9svuAAAAhQEAABMAAAAAAAAA&#10;AAAAAAAAAAAAAFtDb250ZW50X1R5cGVzXS54bWxQSwECLQAUAAYACAAAACEAWvQsW78AAAAVAQAA&#10;CwAAAAAAAAAAAAAAAAAfAQAAX3JlbHMvLnJlbHNQSwECLQAUAAYACAAAACEAjwcd8sYAAADeAAAA&#10;DwAAAAAAAAAAAAAAAAAHAgAAZHJzL2Rvd25yZXYueG1sUEsFBgAAAAADAAMAtwAAAPoCAAAAAA==&#10;" filled="f" stroked="f">
                  <v:textbox inset="0,0,0,0">
                    <w:txbxContent>
                      <w:p w14:paraId="6AE081FD" w14:textId="77777777" w:rsidR="00B32EF2" w:rsidRDefault="00000000">
                        <w:r>
                          <w:rPr>
                            <w:rFonts w:ascii="Arial" w:eastAsia="Arial" w:hAnsi="Arial" w:cs="Arial"/>
                            <w:sz w:val="18"/>
                          </w:rPr>
                          <w:t xml:space="preserve">telematiche dell’ufficio di segreteria, equivalgono all’originale anche se privi </w:t>
                        </w:r>
                      </w:p>
                    </w:txbxContent>
                  </v:textbox>
                </v:rect>
                <v:rect id="Rectangle 18201" o:spid="_x0000_s3725" style="position:absolute;left:-11139;top:52624;width:510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7hpwwAAAN4AAAAPAAAAZHJzL2Rvd25yZXYueG1sRE9Ni8Iw&#10;EL0L+x/CLHjTVA9SukYRRezBi67CHodmbKvNJDTRdvfXG0HY2zze58yXvWnEg1pfW1YwGScgiAur&#10;ay4VnL63oxSED8gaG8uk4Jc8LBcfgzlm2nZ8oMcxlCKGsM9QQRWCy6T0RUUG/dg64shdbGswRNiW&#10;UrfYxXDTyGmSzKTBmmNDhY7WFRW3490o+Nmwy7edLC5/a7e/5mmzu5/OSg0/+9UXiEB9+Be/3bmO&#10;89NpMoHXO/EGuXgCAAD//wMAUEsBAi0AFAAGAAgAAAAhANvh9svuAAAAhQEAABMAAAAAAAAAAAAA&#10;AAAAAAAAAFtDb250ZW50X1R5cGVzXS54bWxQSwECLQAUAAYACAAAACEAWvQsW78AAAAVAQAACwAA&#10;AAAAAAAAAAAAAAAfAQAAX3JlbHMvLnJlbHNQSwECLQAUAAYACAAAACEA4Eu4acMAAADeAAAADwAA&#10;AAAAAAAAAAAAAAAHAgAAZHJzL2Rvd25yZXYueG1sUEsFBgAAAAADAAMAtwAAAPcCAAAAAA==&#10;" filled="f" stroked="f">
                  <v:textbox inset="0,0,0,0">
                    <w:txbxContent>
                      <w:p w14:paraId="733EBBBF" w14:textId="77777777" w:rsidR="00B32EF2" w:rsidRDefault="00000000">
                        <w:r>
                          <w:rPr>
                            <w:rFonts w:ascii="Arial" w:eastAsia="Arial" w:hAnsi="Arial" w:cs="Arial"/>
                            <w:sz w:val="18"/>
                          </w:rPr>
                          <w:t>dell’attestazione di conformità all’originale da parte dell’ufficio di segreteria.</w:t>
                        </w:r>
                      </w:p>
                    </w:txbxContent>
                  </v:textbox>
                </v:rect>
                <v:rect id="Rectangle 200954" o:spid="_x0000_s3726" style="position:absolute;left:-13817;top:51391;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b7HxwAAAN8AAAAPAAAAZHJzL2Rvd25yZXYueG1sRI9Ba8JA&#10;FITvgv9heYI33Vhs0egqYpHm0ItWweMj+0yi2bdLdjVpf31XKPQ4zMw3zHLdmVo8qPGVZQWTcQKC&#10;OLe64kLB8Ws3moHwAVljbZkUfJOH9arfW2Kqbct7ehxCISKEfYoKyhBcKqXPSzLox9YRR+9iG4Mh&#10;yqaQusE2wk0tX5LkTRqsOC6U6GhbUn473I2C8zu7bNfK/PKzdZ/XbFZ/3I8npYaDbrMAEagL/+G/&#10;dqYVROL8dQrPP/ELyNUvAAAA//8DAFBLAQItABQABgAIAAAAIQDb4fbL7gAAAIUBAAATAAAAAAAA&#10;AAAAAAAAAAAAAABbQ29udGVudF9UeXBlc10ueG1sUEsBAi0AFAAGAAgAAAAhAFr0LFu/AAAAFQEA&#10;AAsAAAAAAAAAAAAAAAAAHwEAAF9yZWxzLy5yZWxzUEsBAi0AFAAGAAgAAAAhAHMZvsfHAAAA3wAA&#10;AA8AAAAAAAAAAAAAAAAABwIAAGRycy9kb3ducmV2LnhtbFBLBQYAAAAAAwADALcAAAD7AgAAAAA=&#10;" filled="f" stroked="f">
                  <v:textbox inset="0,0,0,0">
                    <w:txbxContent>
                      <w:p w14:paraId="758886EA" w14:textId="77777777" w:rsidR="00B32EF2" w:rsidRDefault="00000000">
                        <w:r>
                          <w:rPr>
                            <w:rFonts w:ascii="Arial" w:eastAsia="Arial" w:hAnsi="Arial" w:cs="Arial"/>
                            <w:sz w:val="18"/>
                          </w:rPr>
                          <w:t xml:space="preserve">. La copia informatica o cartacea munita dell’attestazione di conformità ai </w:t>
                        </w:r>
                      </w:p>
                    </w:txbxContent>
                  </v:textbox>
                </v:rect>
                <v:rect id="Rectangle 200953" o:spid="_x0000_s3727" style="position:absolute;left:26109;top:51391;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CazxwAAAN8AAAAPAAAAZHJzL2Rvd25yZXYueG1sRI9Ba8JA&#10;FITvgv9heYI33Vhp0egqYpHm0ItWweMj+0yi2bdLdjVpf31XKPQ4zMw3zHLdmVo8qPGVZQWTcQKC&#10;OLe64kLB8Ws3moHwAVljbZkUfJOH9arfW2Kqbct7ehxCISKEfYoKyhBcKqXPSzLox9YRR+9iG4Mh&#10;yqaQusE2wk0tX5LkTRqsOC6U6GhbUn473I2C8zu7bNfK/PKzdZ/XbFZ/3I8npYaDbrMAEagL/+G/&#10;dqYVROL8dQrPP/ELyNUvAAAA//8DAFBLAQItABQABgAIAAAAIQDb4fbL7gAAAIUBAAATAAAAAAAA&#10;AAAAAAAAAAAAAABbQ29udGVudF9UeXBlc10ueG1sUEsBAi0AFAAGAAgAAAAhAFr0LFu/AAAAFQEA&#10;AAsAAAAAAAAAAAAAAAAAHwEAAF9yZWxzLy5yZWxzUEsBAi0AFAAGAAgAAAAhAPzwJrPHAAAA3wAA&#10;AA8AAAAAAAAAAAAAAAAABwIAAGRycy9kb3ducmV2LnhtbFBLBQYAAAAAAwADALcAAAD7AgAAAAA=&#10;" filled="f" stroked="f">
                  <v:textbox inset="0,0,0,0">
                    <w:txbxContent>
                      <w:p w14:paraId="2C865D0D" w14:textId="77777777" w:rsidR="00B32EF2" w:rsidRDefault="00000000">
                        <w:r>
                          <w:rPr>
                            <w:rFonts w:ascii="Arial" w:eastAsia="Arial" w:hAnsi="Arial" w:cs="Arial"/>
                            <w:sz w:val="18"/>
                          </w:rPr>
                          <w:t>3</w:t>
                        </w:r>
                      </w:p>
                    </w:txbxContent>
                  </v:textbox>
                </v:rect>
                <v:rect id="Rectangle 18203" o:spid="_x0000_s3728" style="position:absolute;left:-12241;top:50157;width:521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OFxAAAAN4AAAAPAAAAZHJzL2Rvd25yZXYueG1sRE9La8JA&#10;EL4L/Q/LFHrTTS2UEN1IUcQceqkP8DhkJw/Nzi7Z1aT99d1Cwdt8fM9ZrkbTiTv1vrWs4HWWgCAu&#10;rW65VnA8bKcpCB+QNXaWScE3eVjlT5MlZtoO/EX3fahFDGGfoYImBJdJ6cuGDPqZdcSRq2xvMETY&#10;11L3OMRw08l5krxLgy3HhgYdrRsqr/ubUXDesCu2gyyrn7X7vBRpt7sdT0q9PI8fCxCBxvAQ/7sL&#10;Heen8+QN/t6JN8j8FwAA//8DAFBLAQItABQABgAIAAAAIQDb4fbL7gAAAIUBAAATAAAAAAAAAAAA&#10;AAAAAAAAAABbQ29udGVudF9UeXBlc10ueG1sUEsBAi0AFAAGAAgAAAAhAFr0LFu/AAAAFQEAAAsA&#10;AAAAAAAAAAAAAAAAHwEAAF9yZWxzLy5yZWxzUEsBAi0AFAAGAAgAAAAhAH/Vg4XEAAAA3gAAAA8A&#10;AAAAAAAAAAAAAAAABwIAAGRycy9kb3ducmV2LnhtbFBLBQYAAAAAAwADALcAAAD4AgAAAAA=&#10;" filled="f" stroked="f">
                  <v:textbox inset="0,0,0,0">
                    <w:txbxContent>
                      <w:p w14:paraId="2A774391" w14:textId="77777777" w:rsidR="00B32EF2" w:rsidRDefault="00000000">
                        <w:r>
                          <w:rPr>
                            <w:rFonts w:ascii="Arial" w:eastAsia="Arial" w:hAnsi="Arial" w:cs="Arial"/>
                            <w:sz w:val="18"/>
                          </w:rPr>
                          <w:t>sensi dei commi precedenti equivale all’originale o alla copia conforme dell’at</w:t>
                        </w:r>
                      </w:p>
                    </w:txbxContent>
                  </v:textbox>
                </v:rect>
                <v:rect id="Rectangle 18204" o:spid="_x0000_s3729" style="position:absolute;left:191;top:5015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BvxxAAAAN4AAAAPAAAAZHJzL2Rvd25yZXYueG1sRE9La8JA&#10;EL4L/Q/LFHrTTaWUEN1IUcQceqkP8DhkJw/Nzi7Z1aT99d1Cwdt8fM9ZrkbTiTv1vrWs4HWWgCAu&#10;rW65VnA8bKcpCB+QNXaWScE3eVjlT5MlZtoO/EX3fahFDGGfoYImBJdJ6cuGDPqZdcSRq2xvMETY&#10;11L3OMRw08l5krxLgy3HhgYdrRsqr/ubUXDesCu2gyyrn7X7vBRpt7sdT0q9PI8fCxCBxvAQ/7sL&#10;Heen8+QN/t6JN8j8FwAA//8DAFBLAQItABQABgAIAAAAIQDb4fbL7gAAAIUBAAATAAAAAAAAAAAA&#10;AAAAAAAAAABbQ29udGVudF9UeXBlc10ueG1sUEsBAi0AFAAGAAgAAAAhAFr0LFu/AAAAFQEAAAsA&#10;AAAAAAAAAAAAAAAAHwEAAF9yZWxzLy5yZWxzUEsBAi0AFAAGAAgAAAAhAPA8G/HEAAAA3gAAAA8A&#10;AAAAAAAAAAAAAAAABwIAAGRycy9kb3ducmV2LnhtbFBLBQYAAAAAAwADALcAAAD4AgAAAAA=&#10;" filled="f" stroked="f">
                  <v:textbox inset="0,0,0,0">
                    <w:txbxContent>
                      <w:p w14:paraId="78336A99" w14:textId="77777777" w:rsidR="00B32EF2" w:rsidRDefault="00000000">
                        <w:r>
                          <w:rPr>
                            <w:rFonts w:ascii="Arial" w:eastAsia="Arial" w:hAnsi="Arial" w:cs="Arial"/>
                            <w:sz w:val="18"/>
                          </w:rPr>
                          <w:t>-</w:t>
                        </w:r>
                      </w:p>
                    </w:txbxContent>
                  </v:textbox>
                </v:rect>
                <v:rect id="Rectangle 18205" o:spid="_x0000_s3730" style="position:absolute;left:-10725;top:48924;width:506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L5qxAAAAN4AAAAPAAAAZHJzL2Rvd25yZXYueG1sRE9La8JA&#10;EL4L/Q/LFHrTTYWWEN1IUcQceqkP8DhkJw/Nzi7Z1aT99d1Cwdt8fM9ZrkbTiTv1vrWs4HWWgCAu&#10;rW65VnA8bKcpCB+QNXaWScE3eVjlT5MlZtoO/EX3fahFDGGfoYImBJdJ6cuGDPqZdcSRq2xvMETY&#10;11L3OMRw08l5krxLgy3HhgYdrRsqr/ubUXDesCu2gyyrn7X7vBRpt7sdT0q9PI8fCxCBxvAQ/7sL&#10;Heen8+QN/t6JN8j8FwAA//8DAFBLAQItABQABgAIAAAAIQDb4fbL7gAAAIUBAAATAAAAAAAAAAAA&#10;AAAAAAAAAABbQ29udGVudF9UeXBlc10ueG1sUEsBAi0AFAAGAAgAAAAhAFr0LFu/AAAAFQEAAAsA&#10;AAAAAAAAAAAAAAAAHwEAAF9yZWxzLy5yZWxzUEsBAi0AFAAGAAgAAAAhAJ9wvmrEAAAA3gAAAA8A&#10;AAAAAAAAAAAAAAAABwIAAGRycy9kb3ducmV2LnhtbFBLBQYAAAAAAwADALcAAAD4AgAAAAA=&#10;" filled="f" stroked="f">
                  <v:textbox inset="0,0,0,0">
                    <w:txbxContent>
                      <w:p w14:paraId="37906925" w14:textId="77777777" w:rsidR="00B32EF2" w:rsidRDefault="00000000">
                        <w:r>
                          <w:rPr>
                            <w:rFonts w:ascii="Arial" w:eastAsia="Arial" w:hAnsi="Arial" w:cs="Arial"/>
                            <w:sz w:val="18"/>
                          </w:rPr>
                          <w:t>to o del provvedimento detenuto ovvero presente nel fascicolo informatico.</w:t>
                        </w:r>
                      </w:p>
                    </w:txbxContent>
                  </v:textbox>
                </v:rect>
                <v:rect id="Rectangle 200952" o:spid="_x0000_s3731" style="position:absolute;left:-13803;top:4769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IMoxwAAAN8AAAAPAAAAZHJzL2Rvd25yZXYueG1sRI9PawIx&#10;FMTvBb9DeEJvNavQYlezIop0D15qFTw+Nm//6OYlbKK79dM3hUKPw8z8hlmuBtOKO3W+saxgOklA&#10;EBdWN1wpOH7tXuYgfEDW2FomBd/kYZWNnpaYatvzJ90PoRIRwj5FBXUILpXSFzUZ9BPriKNX2s5g&#10;iLKrpO6wj3DTylmSvEmDDceFGh1taiquh5tRcN6yy3e9LMrHxu0v+bz9uB1PSj2Ph/UCRKAh/If/&#10;2rlWEInvrzP4/RO/gMx+AAAA//8DAFBLAQItABQABgAIAAAAIQDb4fbL7gAAAIUBAAATAAAAAAAA&#10;AAAAAAAAAAAAAABbQ29udGVudF9UeXBlc10ueG1sUEsBAi0AFAAGAAgAAAAhAFr0LFu/AAAAFQEA&#10;AAsAAAAAAAAAAAAAAAAAHwEAAF9yZWxzLy5yZWxzUEsBAi0AFAAGAAgAAAAhAJO8gyjHAAAA3wAA&#10;AA8AAAAAAAAAAAAAAAAABwIAAGRycy9kb3ducmV2LnhtbFBLBQYAAAAAAwADALcAAAD7AgAAAAA=&#10;" filled="f" stroked="f">
                  <v:textbox inset="0,0,0,0">
                    <w:txbxContent>
                      <w:p w14:paraId="3F446DFF" w14:textId="77777777" w:rsidR="00B32EF2" w:rsidRDefault="00000000">
                        <w:r>
                          <w:rPr>
                            <w:rFonts w:ascii="Arial" w:eastAsia="Arial" w:hAnsi="Arial" w:cs="Arial"/>
                            <w:sz w:val="18"/>
                          </w:rPr>
                          <w:t xml:space="preserve">. L’estrazione di copie autentiche ai sensi del presente articolo, esonera dal </w:t>
                        </w:r>
                      </w:p>
                    </w:txbxContent>
                  </v:textbox>
                </v:rect>
                <v:rect id="Rectangle 200951" o:spid="_x0000_s3732" style="position:absolute;left:26109;top:4769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h1fxwAAAN8AAAAPAAAAZHJzL2Rvd25yZXYueG1sRI9Pa8JA&#10;FMTvhX6H5RV6040Fi0Y3IhYxh16qKfT4yL780ezbJbuatJ++WxB6HGbmN8x6M5pO3Kj3rWUFs2kC&#10;gri0uuVaQXHaTxYgfEDW2FkmBd/kYZM9Pqwx1XbgD7odQy0ihH2KCpoQXCqlLxsy6KfWEUevsr3B&#10;EGVfS93jEOGmky9J8ioNthwXGnS0a6i8HK9Gwdcbu3w/yLL62bn3c77oDtfiU6nnp3G7AhFoDP/h&#10;ezvXCiJxOZ/B35/4BWT2CwAA//8DAFBLAQItABQABgAIAAAAIQDb4fbL7gAAAIUBAAATAAAAAAAA&#10;AAAAAAAAAAAAAABbQ29udGVudF9UeXBlc10ueG1sUEsBAi0AFAAGAAgAAAAhAFr0LFu/AAAAFQEA&#10;AAsAAAAAAAAAAAAAAAAAHwEAAF9yZWxzLy5yZWxzUEsBAi0AFAAGAAgAAAAhAGNuHV/HAAAA3wAA&#10;AA8AAAAAAAAAAAAAAAAABwIAAGRycy9kb3ducmV2LnhtbFBLBQYAAAAAAwADALcAAAD7AgAAAAA=&#10;" filled="f" stroked="f">
                  <v:textbox inset="0,0,0,0">
                    <w:txbxContent>
                      <w:p w14:paraId="11E305AA" w14:textId="77777777" w:rsidR="00B32EF2" w:rsidRDefault="00000000">
                        <w:r>
                          <w:rPr>
                            <w:rFonts w:ascii="Arial" w:eastAsia="Arial" w:hAnsi="Arial" w:cs="Arial"/>
                            <w:sz w:val="18"/>
                          </w:rPr>
                          <w:t>4</w:t>
                        </w:r>
                      </w:p>
                    </w:txbxContent>
                  </v:textbox>
                </v:rect>
                <v:rect id="Rectangle 18207" o:spid="_x0000_s3733" style="position:absolute;left:19459;top:46457;width:204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oWGxQAAAN4AAAAPAAAAZHJzL2Rvd25yZXYueG1sRE9La8JA&#10;EL4L/Q/LFHrTTT20IbqRoog59FIf4HHITh6anV2yq0n767uFgrf5+J6zXI2mE3fqfWtZwessAUFc&#10;Wt1yreB42E5TED4ga+wsk4Jv8rDKnyZLzLQd+Ivu+1CLGMI+QwVNCC6T0pcNGfQz64gjV9neYIiw&#10;r6XucYjhppPzJHmTBluODQ06WjdUXvc3o+C8YVdsB1lWP2v3eSnSbnc7npR6eR4/FiACjeEh/ncX&#10;Os5P58k7/L0Tb5D5LwAAAP//AwBQSwECLQAUAAYACAAAACEA2+H2y+4AAACFAQAAEwAAAAAAAAAA&#10;AAAAAAAAAAAAW0NvbnRlbnRfVHlwZXNdLnhtbFBLAQItABQABgAIAAAAIQBa9CxbvwAAABUBAAAL&#10;AAAAAAAAAAAAAAAAAB8BAABfcmVscy8ucmVsc1BLAQItABQABgAIAAAAIQAA7oWGxQAAAN4AAAAP&#10;AAAAAAAAAAAAAAAAAAcCAABkcnMvZG93bnJldi54bWxQSwUGAAAAAAMAAwC3AAAA+QIAAAAA&#10;" filled="f" stroked="f">
                  <v:textbox inset="0,0,0,0">
                    <w:txbxContent>
                      <w:p w14:paraId="04302E5C" w14:textId="77777777" w:rsidR="00B32EF2" w:rsidRDefault="00000000">
                        <w:r>
                          <w:rPr>
                            <w:rFonts w:ascii="Arial" w:eastAsia="Arial" w:hAnsi="Arial" w:cs="Arial"/>
                            <w:sz w:val="18"/>
                          </w:rPr>
                          <w:t xml:space="preserve">pagamento dei diritti di copia. </w:t>
                        </w:r>
                      </w:p>
                    </w:txbxContent>
                  </v:textbox>
                </v:rect>
                <v:rect id="Rectangle 200950" o:spid="_x0000_s3734" style="position:absolute;left:-13816;top:4522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rjExwAAAN8AAAAPAAAAZHJzL2Rvd25yZXYueG1sRI9Ba8JA&#10;EIXvhf6HZQq91U0LLTa6ilikOfSiVfA4ZMckmp1dsqtJ++udg+BxePO+xzedD65VF+pi49nA6ygD&#10;RVx623BlYPu7ehmDignZYuuZDPxRhPns8WGKufU9r+mySZUSCMccDdQphVzrWNbkMI58IJbs4DuH&#10;Sc6u0rbDXuCu1W9Z9qEdNiwLNQZa1lSeNmdnYP/FoVj1ujz8L8PPsRi33+ftzpjnp2ExAZVoSPfn&#10;W7uwBoT4+S4G4iMuoGdXAAAA//8DAFBLAQItABQABgAIAAAAIQDb4fbL7gAAAIUBAAATAAAAAAAA&#10;AAAAAAAAAAAAAABbQ29udGVudF9UeXBlc10ueG1sUEsBAi0AFAAGAAgAAAAhAFr0LFu/AAAAFQEA&#10;AAsAAAAAAAAAAAAAAAAAHwEAAF9yZWxzLy5yZWxzUEsBAi0AFAAGAAgAAAAhAAwiuMTHAAAA3wAA&#10;AA8AAAAAAAAAAAAAAAAABwIAAGRycy9kb3ducmV2LnhtbFBLBQYAAAAAAwADALcAAAD7AgAAAAA=&#10;" filled="f" stroked="f">
                  <v:textbox inset="0,0,0,0">
                    <w:txbxContent>
                      <w:p w14:paraId="10764DED" w14:textId="77777777" w:rsidR="00B32EF2" w:rsidRDefault="00000000">
                        <w:r>
                          <w:rPr>
                            <w:rFonts w:ascii="Arial" w:eastAsia="Arial" w:hAnsi="Arial" w:cs="Arial"/>
                            <w:sz w:val="18"/>
                          </w:rPr>
                          <w:t xml:space="preserve">. Nel compimento dell’attestazione di conformità i soggetti di cui al presente </w:t>
                        </w:r>
                      </w:p>
                    </w:txbxContent>
                  </v:textbox>
                </v:rect>
                <v:rect id="Rectangle 200949" o:spid="_x0000_s3735" style="position:absolute;left:26109;top:4522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YeExwAAAN8AAAAPAAAAZHJzL2Rvd25yZXYueG1sRI9PawIx&#10;FMTvQr9DeAVvmm2RoqtZKRbpHnrRWujxsXn7x25ewia6q5/eCEKPw8z8hlmtB9OKM3W+sazgZZqA&#10;IC6sbrhScPjeTuYgfEDW2FomBRfysM6eRitMte15R+d9qESEsE9RQR2CS6X0RU0G/dQ64uiVtjMY&#10;ouwqqTvsI9y08jVJ3qTBhuNCjY42NRV/+5NR8PvBLt/2siivG/d1zOft5+nwo9T4eXhfggg0hP/w&#10;o51rBZG4mC3g/id+AZndAAAA//8DAFBLAQItABQABgAIAAAAIQDb4fbL7gAAAIUBAAATAAAAAAAA&#10;AAAAAAAAAAAAAABbQ29udGVudF9UeXBlc10ueG1sUEsBAi0AFAAGAAgAAAAhAFr0LFu/AAAAFQEA&#10;AAsAAAAAAAAAAAAAAAAAHwEAAF9yZWxzLy5yZWxzUEsBAi0AFAAGAAgAAAAhABjBh4THAAAA3wAA&#10;AA8AAAAAAAAAAAAAAAAABwIAAGRycy9kb3ducmV2LnhtbFBLBQYAAAAAAwADALcAAAD7AgAAAAA=&#10;" filled="f" stroked="f">
                  <v:textbox inset="0,0,0,0">
                    <w:txbxContent>
                      <w:p w14:paraId="5DE7C267" w14:textId="77777777" w:rsidR="00B32EF2" w:rsidRDefault="00000000">
                        <w:r>
                          <w:rPr>
                            <w:rFonts w:ascii="Arial" w:eastAsia="Arial" w:hAnsi="Arial" w:cs="Arial"/>
                            <w:sz w:val="18"/>
                          </w:rPr>
                          <w:t>5</w:t>
                        </w:r>
                      </w:p>
                    </w:txbxContent>
                  </v:textbox>
                </v:rect>
                <v:rect id="Rectangle 18209" o:spid="_x0000_s3736" style="position:absolute;left:-1862;top:43991;width:417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bRvxQAAAN4AAAAPAAAAZHJzL2Rvd25yZXYueG1sRE9La8JA&#10;EL4L/Q/LFHrTTT2UGN1IUcQceqkP8DhkJw/Nzi7Z1aT99d1Cobf5+J6zWo+mEw/qfWtZwessAUFc&#10;Wt1yreB03E1TED4ga+wsk4Iv8rDOnyYrzLQd+JMeh1CLGMI+QwVNCC6T0pcNGfQz64gjV9neYIiw&#10;r6XucYjhppPzJHmTBluODQ062jRU3g53o+CyZVfsBllW3xv3cS3Sbn8/nZV6eR7flyACjeFf/Ocu&#10;dJyfzpMF/L4Tb5D5DwAAAP//AwBQSwECLQAUAAYACAAAACEA2+H2y+4AAACFAQAAEwAAAAAAAAAA&#10;AAAAAAAAAAAAW0NvbnRlbnRfVHlwZXNdLnhtbFBLAQItABQABgAIAAAAIQBa9CxbvwAAABUBAAAL&#10;AAAAAAAAAAAAAAAAAB8BAABfcmVscy8ucmVsc1BLAQItABQABgAIAAAAIQAePbRvxQAAAN4AAAAP&#10;AAAAAAAAAAAAAAAAAAcCAABkcnMvZG93bnJldi54bWxQSwUGAAAAAAMAAwC3AAAA+QIAAAAA&#10;" filled="f" stroked="f">
                  <v:textbox inset="0,0,0,0">
                    <w:txbxContent>
                      <w:p w14:paraId="3F63B319" w14:textId="77777777" w:rsidR="00B32EF2" w:rsidRDefault="00000000">
                        <w:r>
                          <w:rPr>
                            <w:rFonts w:ascii="Arial" w:eastAsia="Arial" w:hAnsi="Arial" w:cs="Arial"/>
                            <w:sz w:val="18"/>
                          </w:rPr>
                          <w:t xml:space="preserve">articolo assumono ad ogni effetto la veste di pubblici ufficiali. </w:t>
                        </w:r>
                      </w:p>
                    </w:txbxContent>
                  </v:textbox>
                </v:rect>
                <v:rect id="Rectangle 200948" o:spid="_x0000_s3737" style="position:absolute;left:-12853;top:42757;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SIfxwAAAN8AAAAPAAAAZHJzL2Rvd25yZXYueG1sRI/BasJA&#10;EIbvhb7DMoXe6qalFBtdRSzSHHrRKngcsmMSzc4u2dWkfXrnIHgc/vm/mW86H1yrLtTFxrOB11EG&#10;irj0tuHKwPZ39TIGFROyxdYzGfijCPPZ48MUc+t7XtNlkyolEI45GqhTCrnWsazJYRz5QCzZwXcO&#10;k4xdpW2HvcBdq9+y7EM7bFgu1BhoWVN52pydgf0Xh2LV6/Lwvww/x2Lcfp+3O2Oen4bFBFSiId2X&#10;b+3CGhDi57s8LD7iAnp2BQAA//8DAFBLAQItABQABgAIAAAAIQDb4fbL7gAAAIUBAAATAAAAAAAA&#10;AAAAAAAAAAAAAABbQ29udGVudF9UeXBlc10ueG1sUEsBAi0AFAAGAAgAAAAhAFr0LFu/AAAAFQEA&#10;AAsAAAAAAAAAAAAAAAAAHwEAAF9yZWxzLy5yZWxzUEsBAi0AFAAGAAgAAAAhAHeNIh/HAAAA3wAA&#10;AA8AAAAAAAAAAAAAAAAABwIAAGRycy9kb3ducmV2LnhtbFBLBQYAAAAAAwADALcAAAD7AgAAAAA=&#10;" filled="f" stroked="f">
                  <v:textbox inset="0,0,0,0">
                    <w:txbxContent>
                      <w:p w14:paraId="5547061F" w14:textId="77777777" w:rsidR="00B32EF2" w:rsidRDefault="00000000">
                        <w:r>
                          <w:rPr>
                            <w:rFonts w:ascii="Arial" w:eastAsia="Arial" w:hAnsi="Arial" w:cs="Arial"/>
                            <w:sz w:val="18"/>
                          </w:rPr>
                          <w:t>. Gli atti e i documenti del fascicolo telematico non devono essere nuova</w:t>
                        </w:r>
                      </w:p>
                    </w:txbxContent>
                  </v:textbox>
                </v:rect>
                <v:rect id="Rectangle 200947" o:spid="_x0000_s3738" style="position:absolute;left:26348;top:42757;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ZtxwAAAN8AAAAPAAAAZHJzL2Rvd25yZXYueG1sRI9Ba8JA&#10;FITvgv9heYI33Vik1egqYpHm0ItWweMj+0yi2bdLdjVpf31XKPQ4zMw3zHLdmVo8qPGVZQWTcQKC&#10;OLe64kLB8Ws3moHwAVljbZkUfJOH9arfW2Kqbct7ehxCISKEfYoKyhBcKqXPSzLox9YRR+9iG4Mh&#10;yqaQusE2wk0tX5LkVRqsOC6U6GhbUn473I2C8zu7bNfK/PKzdZ/XbFZ/3I8npYaDbrMAEagL/+G/&#10;dqYVROJ8+gbPP/ELyNUvAAAA//8DAFBLAQItABQABgAIAAAAIQDb4fbL7gAAAIUBAAATAAAAAAAA&#10;AAAAAAAAAAAAAABbQ29udGVudF9UeXBlc10ueG1sUEsBAi0AFAAGAAgAAAAhAFr0LFu/AAAAFQEA&#10;AAsAAAAAAAAAAAAAAAAAHwEAAF9yZWxzLy5yZWxzUEsBAi0AFAAGAAgAAAAhAAYStm3HAAAA3wAA&#10;AA8AAAAAAAAAAAAAAAAABwIAAGRycy9kb3ducmV2LnhtbFBLBQYAAAAAAwADALcAAAD7AgAAAAA=&#10;" filled="f" stroked="f">
                  <v:textbox inset="0,0,0,0">
                    <w:txbxContent>
                      <w:p w14:paraId="663B5E57" w14:textId="77777777" w:rsidR="00B32EF2" w:rsidRDefault="00000000">
                        <w:r>
                          <w:rPr>
                            <w:rFonts w:ascii="Arial" w:eastAsia="Arial" w:hAnsi="Arial" w:cs="Arial"/>
                            <w:sz w:val="18"/>
                          </w:rPr>
                          <w:t>6</w:t>
                        </w:r>
                      </w:p>
                    </w:txbxContent>
                  </v:textbox>
                </v:rect>
                <v:rect id="Rectangle 18211" o:spid="_x0000_s3739" style="position:absolute;left:191;top:4275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i60xAAAAN4AAAAPAAAAZHJzL2Rvd25yZXYueG1sRE9Li8Iw&#10;EL4v+B/CCN7WtB6kVKOIIvbgZX2Ax6EZ2+42k9BE291fv1lY8DYf33OW68G04kmdbywrSKcJCOLS&#10;6oYrBZfz/j0D4QOyxtYyKfgmD+vV6G2JubY9f9DzFCoRQ9jnqKAOweVS+rImg35qHXHk7rYzGCLs&#10;Kqk77GO4aeUsSebSYMOxoUZH25rKr9PDKLjt2BX7Xpb3n607fhZZe3hcrkpNxsNmASLQEF7if3eh&#10;4/xslqbw9068Qa5+AQAA//8DAFBLAQItABQABgAIAAAAIQDb4fbL7gAAAIUBAAATAAAAAAAAAAAA&#10;AAAAAAAAAABbQ29udGVudF9UeXBlc10ueG1sUEsBAi0AFAAGAAgAAAAhAFr0LFu/AAAAFQEAAAsA&#10;AAAAAAAAAAAAAAAAHwEAAF9yZWxzLy5yZWxzUEsBAi0AFAAGAAgAAAAhAGWSLrTEAAAA3gAAAA8A&#10;AAAAAAAAAAAAAAAABwIAAGRycy9kb3ducmV2LnhtbFBLBQYAAAAAAwADALcAAAD4AgAAAAA=&#10;" filled="f" stroked="f">
                  <v:textbox inset="0,0,0,0">
                    <w:txbxContent>
                      <w:p w14:paraId="0ADA76CF" w14:textId="77777777" w:rsidR="00B32EF2" w:rsidRDefault="00000000">
                        <w:r>
                          <w:rPr>
                            <w:rFonts w:ascii="Arial" w:eastAsia="Arial" w:hAnsi="Arial" w:cs="Arial"/>
                            <w:sz w:val="18"/>
                          </w:rPr>
                          <w:t>-</w:t>
                        </w:r>
                      </w:p>
                    </w:txbxContent>
                  </v:textbox>
                </v:rect>
                <v:rect id="Rectangle 18212" o:spid="_x0000_s3740" style="position:absolute;left:-13172;top:4152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LDDxAAAAN4AAAAPAAAAZHJzL2Rvd25yZXYueG1sRE9Na8JA&#10;EL0L/Q/LFHozG3MoIbpKsYg5eNEqeByyY5I2O7tkV5P217uC0Ns83ucsVqPpxI1631pWMEtSEMSV&#10;1S3XCo5fm2kOwgdkjZ1lUvBLHlbLl8kCC20H3tPtEGoRQ9gXqKAJwRVS+qohgz6xjjhyF9sbDBH2&#10;tdQ9DjHcdDJL03dpsOXY0KCjdUPVz+FqFJw/2ZWbQVaXv7XbfZd5t70eT0q9vY4fcxCBxvAvfrpL&#10;Hefn2SyDxzvxBrm8AwAA//8DAFBLAQItABQABgAIAAAAIQDb4fbL7gAAAIUBAAATAAAAAAAAAAAA&#10;AAAAAAAAAABbQ29udGVudF9UeXBlc10ueG1sUEsBAi0AFAAGAAgAAAAhAFr0LFu/AAAAFQEAAAsA&#10;AAAAAAAAAAAAAAAAHwEAAF9yZWxzLy5yZWxzUEsBAi0AFAAGAAgAAAAhAJVAsMPEAAAA3gAAAA8A&#10;AAAAAAAAAAAAAAAABwIAAGRycy9kb3ducmV2LnhtbFBLBQYAAAAAAwADALcAAAD4AgAAAAA=&#10;" filled="f" stroked="f">
                  <v:textbox inset="0,0,0,0">
                    <w:txbxContent>
                      <w:p w14:paraId="4E708E5E" w14:textId="77777777" w:rsidR="00B32EF2" w:rsidRDefault="00000000">
                        <w:r>
                          <w:rPr>
                            <w:rFonts w:ascii="Arial" w:eastAsia="Arial" w:hAnsi="Arial" w:cs="Arial"/>
                            <w:sz w:val="18"/>
                          </w:rPr>
                          <w:t xml:space="preserve">mente depositati nelle fasi successive del giudizio o nei suoi ulteriori gradi. </w:t>
                        </w:r>
                      </w:p>
                    </w:txbxContent>
                  </v:textbox>
                </v:rect>
                <v:rect id="Rectangle 18213" o:spid="_x0000_s3741" style="position:absolute;left:-13171;top:40291;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BVYxAAAAN4AAAAPAAAAZHJzL2Rvd25yZXYueG1sRE9Ni8Iw&#10;EL0v+B/CCN7WVAUp1SiiiD3sRdeFPQ7N2FabSWii7e6v3wjC3ubxPme57k0jHtT62rKCyTgBQVxY&#10;XXOp4Py5f09B+ICssbFMCn7Iw3o1eFtipm3HR3qcQiliCPsMFVQhuExKX1Rk0I+tI47cxbYGQ4Rt&#10;KXWLXQw3jZwmyVwarDk2VOhoW1FxO92Ngu8du3zfyeLyu3Uf1zxtDvfzl1KjYb9ZgAjUh3/xy53r&#10;OD+dTmbwfCfeIFd/AAAA//8DAFBLAQItABQABgAIAAAAIQDb4fbL7gAAAIUBAAATAAAAAAAAAAAA&#10;AAAAAAAAAABbQ29udGVudF9UeXBlc10ueG1sUEsBAi0AFAAGAAgAAAAhAFr0LFu/AAAAFQEAAAsA&#10;AAAAAAAAAAAAAAAAHwEAAF9yZWxzLy5yZWxzUEsBAi0AFAAGAAgAAAAhAPoMFVjEAAAA3gAAAA8A&#10;AAAAAAAAAAAAAAAABwIAAGRycy9kb3ducmV2LnhtbFBLBQYAAAAAAwADALcAAAD4AgAAAAA=&#10;" filled="f" stroked="f">
                  <v:textbox inset="0,0,0,0">
                    <w:txbxContent>
                      <w:p w14:paraId="13971900" w14:textId="77777777" w:rsidR="00B32EF2" w:rsidRDefault="00000000">
                        <w:r>
                          <w:rPr>
                            <w:rFonts w:ascii="Arial" w:eastAsia="Arial" w:hAnsi="Arial" w:cs="Arial"/>
                            <w:sz w:val="18"/>
                          </w:rPr>
                          <w:t xml:space="preserve">Il giudice non tiene conto degli atti e dei documenti su supporto cartaceo dei </w:t>
                        </w:r>
                      </w:p>
                    </w:txbxContent>
                  </v:textbox>
                </v:rect>
                <v:rect id="Rectangle 18214" o:spid="_x0000_s3742" style="position:absolute;left:-13172;top:39058;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Y0sxAAAAN4AAAAPAAAAZHJzL2Rvd25yZXYueG1sRE9Ni8Iw&#10;EL0v+B/CCN7WVBEp1SiiiD3sRdeFPQ7N2FabSWii7e6v3wjC3ubxPme57k0jHtT62rKCyTgBQVxY&#10;XXOp4Py5f09B+ICssbFMCn7Iw3o1eFtipm3HR3qcQiliCPsMFVQhuExKX1Rk0I+tI47cxbYGQ4Rt&#10;KXWLXQw3jZwmyVwarDk2VOhoW1FxO92Ngu8du3zfyeLyu3Uf1zxtDvfzl1KjYb9ZgAjUh3/xy53r&#10;OD+dTmbwfCfeIFd/AAAA//8DAFBLAQItABQABgAIAAAAIQDb4fbL7gAAAIUBAAATAAAAAAAAAAAA&#10;AAAAAAAAAABbQ29udGVudF9UeXBlc10ueG1sUEsBAi0AFAAGAAgAAAAhAFr0LFu/AAAAFQEAAAsA&#10;AAAAAAAAAAAAAAAAHwEAAF9yZWxzLy5yZWxzUEsBAi0AFAAGAAgAAAAhAHXljSzEAAAA3gAAAA8A&#10;AAAAAAAAAAAAAAAABwIAAGRycy9kb3ducmV2LnhtbFBLBQYAAAAAAwADALcAAAD4AgAAAAA=&#10;" filled="f" stroked="f">
                  <v:textbox inset="0,0,0,0">
                    <w:txbxContent>
                      <w:p w14:paraId="69206E13" w14:textId="77777777" w:rsidR="00B32EF2" w:rsidRDefault="00000000">
                        <w:r>
                          <w:rPr>
                            <w:rFonts w:ascii="Arial" w:eastAsia="Arial" w:hAnsi="Arial" w:cs="Arial"/>
                            <w:sz w:val="18"/>
                          </w:rPr>
                          <w:t xml:space="preserve">quali non è depositata nel fascicolo telematico la copia informatica, anche </w:t>
                        </w:r>
                      </w:p>
                    </w:txbxContent>
                  </v:textbox>
                </v:rect>
                <v:rect id="Rectangle 18215" o:spid="_x0000_s3743" style="position:absolute;left:-13172;top:3782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Si3xAAAAN4AAAAPAAAAZHJzL2Rvd25yZXYueG1sRE9Ni8Iw&#10;EL0v+B/CCN7WVEEp1SiiiD3sRdeFPQ7N2FabSWii7e6v3wjC3ubxPme57k0jHtT62rKCyTgBQVxY&#10;XXOp4Py5f09B+ICssbFMCn7Iw3o1eFtipm3HR3qcQiliCPsMFVQhuExKX1Rk0I+tI47cxbYGQ4Rt&#10;KXWLXQw3jZwmyVwarDk2VOhoW1FxO92Ngu8du3zfyeLyu3Uf1zxtDvfzl1KjYb9ZgAjUh3/xy53r&#10;OD+dTmbwfCfeIFd/AAAA//8DAFBLAQItABQABgAIAAAAIQDb4fbL7gAAAIUBAAATAAAAAAAAAAAA&#10;AAAAAAAAAABbQ29udGVudF9UeXBlc10ueG1sUEsBAi0AFAAGAAgAAAAhAFr0LFu/AAAAFQEAAAsA&#10;AAAAAAAAAAAAAAAAHwEAAF9yZWxzLy5yZWxzUEsBAi0AFAAGAAgAAAAhABqpKLfEAAAA3gAAAA8A&#10;AAAAAAAAAAAAAAAABwIAAGRycy9kb3ducmV2LnhtbFBLBQYAAAAAAwADALcAAAD4AgAAAAA=&#10;" filled="f" stroked="f">
                  <v:textbox inset="0,0,0,0">
                    <w:txbxContent>
                      <w:p w14:paraId="5484B535" w14:textId="77777777" w:rsidR="00B32EF2" w:rsidRDefault="00000000">
                        <w:r>
                          <w:rPr>
                            <w:rFonts w:ascii="Arial" w:eastAsia="Arial" w:hAnsi="Arial" w:cs="Arial"/>
                            <w:sz w:val="18"/>
                          </w:rPr>
                          <w:t xml:space="preserve">per immagine, munita di attestazione di conformità al documento analogico </w:t>
                        </w:r>
                      </w:p>
                    </w:txbxContent>
                  </v:textbox>
                </v:rect>
                <v:rect id="Rectangle 18216" o:spid="_x0000_s3744" style="position:absolute;left:22235;top:36591;width:176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7bAwwAAAN4AAAAPAAAAZHJzL2Rvd25yZXYueG1sRE9Ni8Iw&#10;EL0v+B/CCHtbUz1IqUYRRexhL6su7HFoxrbaTEITbfXXbwTB2zze58yXvWnEjVpfW1YwHiUgiAur&#10;ay4VHA/brxSED8gaG8uk4E4elovBxxwzbTv+ods+lCKGsM9QQRWCy6T0RUUG/cg64sidbGswRNiW&#10;UrfYxXDTyEmSTKXBmmNDhY7WFRWX/dUo+Nuwy7edLE6Ptfs+52mzux5/lfoc9qsZiEB9eItf7lzH&#10;+elkPIXnO/EGufgHAAD//wMAUEsBAi0AFAAGAAgAAAAhANvh9svuAAAAhQEAABMAAAAAAAAAAAAA&#10;AAAAAAAAAFtDb250ZW50X1R5cGVzXS54bWxQSwECLQAUAAYACAAAACEAWvQsW78AAAAVAQAACwAA&#10;AAAAAAAAAAAAAAAfAQAAX3JlbHMvLnJlbHNQSwECLQAUAAYACAAAACEA6nu2wMMAAADeAAAADwAA&#10;AAAAAAAAAAAAAAAHAgAAZHJzL2Rvd25yZXYueG1sUEsFBgAAAAADAAMAtwAAAPcCAAAAAA==&#10;" filled="f" stroked="f">
                  <v:textbox inset="0,0,0,0">
                    <w:txbxContent>
                      <w:p w14:paraId="6B6D658A" w14:textId="77777777" w:rsidR="00B32EF2" w:rsidRDefault="00000000">
                        <w:r>
                          <w:rPr>
                            <w:rFonts w:ascii="Arial" w:eastAsia="Arial" w:hAnsi="Arial" w:cs="Arial"/>
                            <w:sz w:val="18"/>
                          </w:rPr>
                          <w:t>detenuto dal difensore. (1)</w:t>
                        </w:r>
                      </w:p>
                    </w:txbxContent>
                  </v:textbox>
                </v:rect>
                <v:rect id="Rectangle 200946" o:spid="_x0000_s3745" style="position:absolute;left:-14174;top:35660;width:53018;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hP2xwAAAN8AAAAPAAAAZHJzL2Rvd25yZXYueG1sRI/NawIx&#10;FMTvhf4P4RW8abZFRFezUizSPfTiR6HHx+bth928hE10V//6RhB6HGbmN8xqPZhWXKjzjWUFr5ME&#10;BHFhdcOVguNhO56D8AFZY2uZFFzJwzp7flphqm3PO7rsQyUihH2KCuoQXCqlL2oy6CfWEUevtJ3B&#10;EGVXSd1hH+GmlW9JMpMGG44LNTra1FT87s9Gwc8Hu3zby6K8bdzXKZ+3n+fjt1Kjl+F9CSLQEP7D&#10;j3auFUTiYjqD+5/4BWT2BwAA//8DAFBLAQItABQABgAIAAAAIQDb4fbL7gAAAIUBAAATAAAAAAAA&#10;AAAAAAAAAAAAAABbQ29udGVudF9UeXBlc10ueG1sUEsBAi0AFAAGAAgAAAAhAFr0LFu/AAAAFQEA&#10;AAsAAAAAAAAAAAAAAAAAHwEAAF9yZWxzLy5yZWxzUEsBAi0AFAAGAAgAAAAhAGleE/bHAAAA3wAA&#10;AA8AAAAAAAAAAAAAAAAABwIAAGRycy9kb3ducmV2LnhtbFBLBQYAAAAAAwADALcAAAD7AgAAAAA=&#10;" filled="f" stroked="f">
                  <v:textbox inset="0,0,0,0">
                    <w:txbxContent>
                      <w:p w14:paraId="6BEA6292" w14:textId="77777777" w:rsidR="00B32EF2" w:rsidRDefault="00000000">
                        <w:r>
                          <w:rPr>
                            <w:rFonts w:ascii="Arial" w:eastAsia="Arial" w:hAnsi="Arial" w:cs="Arial"/>
                            <w:sz w:val="15"/>
                          </w:rPr>
                          <w:t xml:space="preserve"> L’art 16 del D.lgs. n. 81 del 12/06/2025, ha modificato il presente articolo, sostituendo </w:t>
                        </w:r>
                      </w:p>
                    </w:txbxContent>
                  </v:textbox>
                </v:rect>
                <v:rect id="Rectangle 200945" o:spid="_x0000_s3746" style="position:absolute;left:25689;top:35660;width:53020;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I2BxwAAAN8AAAAPAAAAZHJzL2Rvd25yZXYueG1sRI9Ba8JA&#10;FITvgv9heYI33Vhs0egqYpHm0ItWweMj+0yi2bdLdjVpf31XKPQ4zMw3zHLdmVo8qPGVZQWTcQKC&#10;OLe64kLB8Ws3moHwAVljbZkUfJOH9arfW2Kqbct7ehxCISKEfYoKyhBcKqXPSzLox9YRR+9iG4Mh&#10;yqaQusE2wk0tX5LkTRqsOC6U6GhbUn473I2C8zu7bNfK/PKzdZ/XbFZ/3I8npYaDbrMAEagL/+G/&#10;dqYVROJ8+grPP/ELyNUvAAAA//8DAFBLAQItABQABgAIAAAAIQDb4fbL7gAAAIUBAAATAAAAAAAA&#10;AAAAAAAAAAAAAABbQ29udGVudF9UeXBlc10ueG1sUEsBAi0AFAAGAAgAAAAhAFr0LFu/AAAAFQEA&#10;AAsAAAAAAAAAAAAAAAAAHwEAAF9yZWxzLy5yZWxzUEsBAi0AFAAGAAgAAAAhAJmMjYHHAAAA3wAA&#10;AA8AAAAAAAAAAAAAAAAABwIAAGRycy9kb3ducmV2LnhtbFBLBQYAAAAAAwADALcAAAD7AgAAAAA=&#10;" filled="f" stroked="f">
                  <v:textbox inset="0,0,0,0">
                    <w:txbxContent>
                      <w:p w14:paraId="07FEA5E6" w14:textId="77777777" w:rsidR="00B32EF2" w:rsidRDefault="00000000">
                        <w:r>
                          <w:rPr>
                            <w:rFonts w:ascii="Arial" w:eastAsia="Arial" w:hAnsi="Arial" w:cs="Arial"/>
                            <w:sz w:val="15"/>
                          </w:rPr>
                          <w:t>(1)</w:t>
                        </w:r>
                      </w:p>
                    </w:txbxContent>
                  </v:textbox>
                </v:rect>
                <v:rect id="Rectangle 18218" o:spid="_x0000_s3747" style="position:absolute;left:-11627;top:34426;width:51544;height:1191;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IcpxwAAAN4AAAAPAAAAZHJzL2Rvd25yZXYueG1sRI9Bb8Iw&#10;DIXvSPsPkSftBikcUFUICDGh9cBljEk7Wo1pC40TNYF2+/XzYdJutt7ze5/X29F16kF9bD0bmM8y&#10;UMSVty3XBs4fh2kOKiZki51nMvBNEbabp8kaC+sHfqfHKdVKQjgWaKBJKRRax6ohh3HmA7FoF987&#10;TLL2tbY9DhLuOr3IsqV22LI0NBho31B1O92dga9XDuVh0NXlZx+O1zLv3u7nT2NensfdClSiMf2b&#10;/65LK/j5Yi688o7MoDe/AAAA//8DAFBLAQItABQABgAIAAAAIQDb4fbL7gAAAIUBAAATAAAAAAAA&#10;AAAAAAAAAAAAAABbQ29udGVudF9UeXBlc10ueG1sUEsBAi0AFAAGAAgAAAAhAFr0LFu/AAAAFQEA&#10;AAsAAAAAAAAAAAAAAAAAHwEAAF9yZWxzLy5yZWxzUEsBAi0AFAAGAAgAAAAhAPSohynHAAAA3gAA&#10;AA8AAAAAAAAAAAAAAAAABwIAAGRycy9kb3ducmV2LnhtbFBLBQYAAAAAAwADALcAAAD7AgAAAAA=&#10;" filled="f" stroked="f">
                  <v:textbox inset="0,0,0,0">
                    <w:txbxContent>
                      <w:p w14:paraId="5AEEEC20" w14:textId="77777777" w:rsidR="00B32EF2" w:rsidRDefault="00000000">
                        <w:r>
                          <w:rPr>
                            <w:rFonts w:ascii="Arial" w:eastAsia="Arial" w:hAnsi="Arial" w:cs="Arial"/>
                            <w:sz w:val="15"/>
                          </w:rPr>
                          <w:t>al comma 6 le parole «all’originale» con «al documento analogico detenuto dal difensore»;</w:t>
                        </w:r>
                      </w:p>
                    </w:txbxContent>
                  </v:textbox>
                </v:rect>
                <v:shape id="Shape 207928" o:spid="_x0000_s3748" style="position:absolute;left:381;width:39600;height:34072;visibility:visible;mso-wrap-style:square;v-text-anchor:top" coordsize="3960000,3407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0zlwwAAAN8AAAAPAAAAZHJzL2Rvd25yZXYueG1sRE/Pa8Iw&#10;FL4P/B/CE7yIJvawzWoUHUx6nQ7B26N5ptXmpTRR639vDoMdP77fy3XvGnGnLtSeNcymCgRx6U3N&#10;VsPv4XvyCSJEZIONZ9LwpADr1eBtibnxD/6h+z5akUI45KihirHNpQxlRQ7D1LfEiTv7zmFMsLPS&#10;dPhI4a6RmVLv0mHNqaHClr4qKq/7m9Ow29j2EI52XlDYXsan7a0YK9J6NOw3CxCR+vgv/nMXRkOm&#10;PuZZGpz+pC8gVy8AAAD//wMAUEsBAi0AFAAGAAgAAAAhANvh9svuAAAAhQEAABMAAAAAAAAAAAAA&#10;AAAAAAAAAFtDb250ZW50X1R5cGVzXS54bWxQSwECLQAUAAYACAAAACEAWvQsW78AAAAVAQAACwAA&#10;AAAAAAAAAAAAAAAfAQAAX3JlbHMvLnJlbHNQSwECLQAUAAYACAAAACEAjNdM5cMAAADfAAAADwAA&#10;AAAAAAAAAAAAAAAHAgAAZHJzL2Rvd25yZXYueG1sUEsFBgAAAAADAAMAtwAAAPcCAAAAAA==&#10;" path="m,l3960000,r,3407296l,3407296,,e" fillcolor="#c3c3c3" stroked="f" strokeweight="0">
                  <v:stroke miterlimit="83231f" joinstyle="miter"/>
                  <v:path arrowok="t" textboxrect="0,0,3960000,3407296"/>
                </v:shape>
                <v:rect id="Rectangle 18220" o:spid="_x0000_s3749" style="position:absolute;left:23351;top:31860;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kGSxwAAAN4AAAAPAAAAZHJzL2Rvd25yZXYueG1sRI9Bb8Iw&#10;DIXvk/YfIiPtNlJ6mKpCQBMTWg+7jIHE0WpMW2icqAm026+fD5N2s+Xn99632kyuV3caYufZwGKe&#10;gSKuve24MXD42j0XoGJCtth7JgPfFGGzfnxYYWn9yJ9036dGiQnHEg20KYVS61i35DDOfSCW29kP&#10;DpOsQ6PtgKOYu17nWfaiHXYsCS0G2rZUX/c3Z+D0xqHajbo+/2zDx6Uq+vfb4WjM02x6XYJKNKV/&#10;8d93ZaV+kecCIDgyg17/AgAA//8DAFBLAQItABQABgAIAAAAIQDb4fbL7gAAAIUBAAATAAAAAAAA&#10;AAAAAAAAAAAAAABbQ29udGVudF9UeXBlc10ueG1sUEsBAi0AFAAGAAgAAAAhAFr0LFu/AAAAFQEA&#10;AAsAAAAAAAAAAAAAAAAAHwEAAF9yZWxzLy5yZWxzUEsBAi0AFAAGAAgAAAAhAMSyQZLHAAAA3gAA&#10;AA8AAAAAAAAAAAAAAAAABwIAAGRycy9kb3ducmV2LnhtbFBLBQYAAAAAAwADALcAAAD7AgAAAAA=&#10;" filled="f" stroked="f">
                  <v:textbox inset="0,0,0,0">
                    <w:txbxContent>
                      <w:p w14:paraId="6C184C91" w14:textId="77777777" w:rsidR="00B32EF2" w:rsidRDefault="00000000">
                        <w:r>
                          <w:rPr>
                            <w:rFonts w:ascii="Arial" w:eastAsia="Arial" w:hAnsi="Arial" w:cs="Arial"/>
                            <w:b/>
                            <w:i/>
                            <w:sz w:val="18"/>
                          </w:rPr>
                          <w:t>NORME RICHIAMATE</w:t>
                        </w:r>
                      </w:p>
                    </w:txbxContent>
                  </v:textbox>
                </v:rect>
                <v:rect id="Rectangle 18221" o:spid="_x0000_s3750" style="position:absolute;left:-11798;top:30627;width:509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QJxAAAAN4AAAAPAAAAZHJzL2Rvd25yZXYueG1sRE9Na8JA&#10;EL0L/Q/LFHozG3MoIbpKsYg5eNEqeByyY5I2O7tkV5P217uC0Ns83ucsVqPpxI1631pWMEtSEMSV&#10;1S3XCo5fm2kOwgdkjZ1lUvBLHlbLl8kCC20H3tPtEGoRQ9gXqKAJwRVS+qohgz6xjjhyF9sbDBH2&#10;tdQ9DjHcdDJL03dpsOXY0KCjdUPVz+FqFJw/2ZWbQVaXv7XbfZd5t70eT0q9vY4fcxCBxvAvfrpL&#10;HefnWTaDxzvxBrm8AwAA//8DAFBLAQItABQABgAIAAAAIQDb4fbL7gAAAIUBAAATAAAAAAAAAAAA&#10;AAAAAAAAAABbQ29udGVudF9UeXBlc10ueG1sUEsBAi0AFAAGAAgAAAAhAFr0LFu/AAAAFQEAAAsA&#10;AAAAAAAAAAAAAAAAHwEAAF9yZWxzLy5yZWxzUEsBAi0AFAAGAAgAAAAhAKv+5AnEAAAA3gAAAA8A&#10;AAAAAAAAAAAAAAAABwIAAGRycy9kb3ducmV2LnhtbFBLBQYAAAAAAwADALcAAAD4AgAAAAA=&#10;" filled="f" stroked="f">
                  <v:textbox inset="0,0,0,0">
                    <w:txbxContent>
                      <w:p w14:paraId="1CE91D7E" w14:textId="77777777" w:rsidR="00B32EF2" w:rsidRDefault="00000000">
                        <w:r>
                          <w:rPr>
                            <w:rFonts w:ascii="Arial" w:eastAsia="Arial" w:hAnsi="Arial" w:cs="Arial"/>
                            <w:i/>
                            <w:sz w:val="18"/>
                          </w:rPr>
                          <w:t xml:space="preserve">art. 53 D.lgs. 446/1997 “Albo per l’accertamento e riscossione delle entrate </w:t>
                        </w:r>
                      </w:p>
                    </w:txbxContent>
                  </v:textbox>
                </v:rect>
                <v:rect id="Rectangle 18222" o:spid="_x0000_s3751" style="position:absolute;left:28111;top:29394;width:1108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p+xAAAAN4AAAAPAAAAZHJzL2Rvd25yZXYueG1sRE9La8JA&#10;EL4X+h+WKXirm+YgIWYVsUhz6KXWQo9DdvLQ7OySXU3013cFobf5+J5TrCfTiwsNvrOs4G2egCCu&#10;rO64UXD43r1mIHxA1thbJgVX8rBePT8VmGs78hdd9qERMYR9jgraEFwupa9aMujn1hFHrraDwRDh&#10;0Eg94BjDTS/TJFlIgx3HhhYdbVuqTvuzUfD7zq7cjbKqb1v3eSyz/uN8+FFq9jJtliACTeFf/HCX&#10;Os7P0jSF+zvxBrn6AwAA//8DAFBLAQItABQABgAIAAAAIQDb4fbL7gAAAIUBAAATAAAAAAAAAAAA&#10;AAAAAAAAAABbQ29udGVudF9UeXBlc10ueG1sUEsBAi0AFAAGAAgAAAAhAFr0LFu/AAAAFQEAAAsA&#10;AAAAAAAAAAAAAAAAHwEAAF9yZWxzLy5yZWxzUEsBAi0AFAAGAAgAAAAhAFssen7EAAAA3gAAAA8A&#10;AAAAAAAAAAAAAAAABwIAAGRycy9kb3ducmV2LnhtbFBLBQYAAAAAAwADALcAAAD4AgAAAAA=&#10;" filled="f" stroked="f">
                  <v:textbox inset="0,0,0,0">
                    <w:txbxContent>
                      <w:p w14:paraId="16F8C519" w14:textId="77777777" w:rsidR="00B32EF2" w:rsidRDefault="00000000">
                        <w:r>
                          <w:rPr>
                            <w:rFonts w:ascii="Arial" w:eastAsia="Arial" w:hAnsi="Arial" w:cs="Arial"/>
                            <w:i/>
                            <w:sz w:val="18"/>
                          </w:rPr>
                          <w:t xml:space="preserve">degli enti locali” </w:t>
                        </w:r>
                      </w:p>
                    </w:txbxContent>
                  </v:textbox>
                </v:rect>
                <v:rect id="Rectangle 18223" o:spid="_x0000_s3752" style="position:absolute;left:3140;top:28160;width:36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N/lxQAAAN4AAAAPAAAAZHJzL2Rvd25yZXYueG1sRE9Na8JA&#10;EL0X/A/LCL3VTVOQkLoJRRFz8KJV6HHIjkna7OySXU3sr+8WCr3N433OqpxML240+M6ygudFAoK4&#10;trrjRsHpffuUgfABWWNvmRTcyUNZzB5WmGs78oFux9CIGMI+RwVtCC6X0tctGfQL64gjd7GDwRDh&#10;0Eg94BjDTS/TJFlKgx3HhhYdrVuqv45Xo+Bjw67ajrK+fK/d/rPK+t31dFbqcT69vYIINIV/8Z+7&#10;0nF+lqYv8PtOvEEWPwAAAP//AwBQSwECLQAUAAYACAAAACEA2+H2y+4AAACFAQAAEwAAAAAAAAAA&#10;AAAAAAAAAAAAW0NvbnRlbnRfVHlwZXNdLnhtbFBLAQItABQABgAIAAAAIQBa9CxbvwAAABUBAAAL&#10;AAAAAAAAAAAAAAAAAB8BAABfcmVscy8ucmVsc1BLAQItABQABgAIAAAAIQA0YN/lxQAAAN4AAAAP&#10;AAAAAAAAAAAAAAAAAAcCAABkcnMvZG93bnJldi54bWxQSwUGAAAAAAMAAwC3AAAA+QIAAAAA&#10;" filled="f" stroked="f">
                  <v:textbox inset="0,0,0,0">
                    <w:txbxContent>
                      <w:p w14:paraId="0DC8A244" w14:textId="77777777" w:rsidR="00B32EF2" w:rsidRDefault="00000000">
                        <w:r>
                          <w:rPr>
                            <w:rFonts w:ascii="Arial" w:eastAsia="Arial" w:hAnsi="Arial" w:cs="Arial"/>
                            <w:i/>
                            <w:sz w:val="18"/>
                          </w:rPr>
                          <w:t>D.lgs. 82/2005 “Codice dell’amministrazione digitale”</w:t>
                        </w:r>
                      </w:p>
                    </w:txbxContent>
                  </v:textbox>
                </v:rect>
                <v:rect id="Rectangle 18224" o:spid="_x0000_s3753" style="position:absolute;left:7984;top:26927;width:312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UeRxQAAAN4AAAAPAAAAZHJzL2Rvd25yZXYueG1sRE9Na8JA&#10;EL0X/A/LCL3VTUORkLoJRRFz8KJV6HHIjkna7OySXU3sr+8WCr3N433OqpxML240+M6ygudFAoK4&#10;trrjRsHpffuUgfABWWNvmRTcyUNZzB5WmGs78oFux9CIGMI+RwVtCC6X0tctGfQL64gjd7GDwRDh&#10;0Eg94BjDTS/TJFlKgx3HhhYdrVuqv45Xo+Bjw67ajrK+fK/d/rPK+t31dFbqcT69vYIINIV/8Z+7&#10;0nF+lqYv8PtOvEEWPwAAAP//AwBQSwECLQAUAAYACAAAACEA2+H2y+4AAACFAQAAEwAAAAAAAAAA&#10;AAAAAAAAAAAAW0NvbnRlbnRfVHlwZXNdLnhtbFBLAQItABQABgAIAAAAIQBa9CxbvwAAABUBAAAL&#10;AAAAAAAAAAAAAAAAAB8BAABfcmVscy8ucmVsc1BLAQItABQABgAIAAAAIQC7iUeRxQAAAN4AAAAP&#10;AAAAAAAAAAAAAAAAAAcCAABkcnMvZG93bnJldi54bWxQSwUGAAAAAAMAAwC3AAAA+QIAAAAA&#10;" filled="f" stroked="f">
                  <v:textbox inset="0,0,0,0">
                    <w:txbxContent>
                      <w:p w14:paraId="2663D325" w14:textId="77777777" w:rsidR="00B32EF2" w:rsidRDefault="00000000">
                        <w:r>
                          <w:rPr>
                            <w:rFonts w:ascii="Arial" w:eastAsia="Arial" w:hAnsi="Arial" w:cs="Arial"/>
                            <w:i/>
                            <w:sz w:val="18"/>
                          </w:rPr>
                          <w:t xml:space="preserve">art. 14 D.M. 163/2013 “Fascicolo informatico” </w:t>
                        </w:r>
                      </w:p>
                    </w:txbxContent>
                  </v:textbox>
                </v:rect>
                <v:rect id="Rectangle 200944" o:spid="_x0000_s3754" style="position:absolute;left:-12403;top:25694;width:510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CgaxwAAAN8AAAAPAAAAZHJzL2Rvd25yZXYueG1sRI9PawIx&#10;FMTvBb9DeEJvmrWI2K1ZEUW6h15qFTw+Nm//1M1L2ER3209vCkKPw8z8hlmtB9OKG3W+saxgNk1A&#10;EBdWN1wpOH7tJ0sQPiBrbC2Tgh/ysM5GTytMte35k26HUIkIYZ+igjoEl0rpi5oM+ql1xNErbWcw&#10;RNlVUnfYR7hp5UuSLKTBhuNCjY62NRWXw9UoOO/Y5fteFuXv1n1858v2/Xo8KfU8HjZvIAIN4T/8&#10;aOdaQSS+zufw9yd+AZndAQAA//8DAFBLAQItABQABgAIAAAAIQDb4fbL7gAAAIUBAAATAAAAAAAA&#10;AAAAAAAAAAAAAABbQ29udGVudF9UeXBlc10ueG1sUEsBAi0AFAAGAAgAAAAhAFr0LFu/AAAAFQEA&#10;AAsAAAAAAAAAAAAAAAAAHwEAAF9yZWxzLy5yZWxzUEsBAi0AFAAGAAgAAAAhAPbAKBrHAAAA3wAA&#10;AA8AAAAAAAAAAAAAAAAABwIAAGRycy9kb3ducmV2LnhtbFBLBQYAAAAAAwADALcAAAD7AgAAAAA=&#10;" filled="f" stroked="f">
                  <v:textbox inset="0,0,0,0">
                    <w:txbxContent>
                      <w:p w14:paraId="6F50BECF" w14:textId="77777777" w:rsidR="00B32EF2" w:rsidRDefault="00000000">
                        <w:r>
                          <w:rPr>
                            <w:rFonts w:ascii="Arial" w:eastAsia="Arial" w:hAnsi="Arial" w:cs="Arial"/>
                            <w:i/>
                            <w:sz w:val="18"/>
                          </w:rPr>
                          <w:t xml:space="preserve">. La segreteria della Commissione tributaria forma il fascicolo informatico </w:t>
                        </w:r>
                      </w:p>
                    </w:txbxContent>
                  </v:textbox>
                </v:rect>
                <v:rect id="Rectangle 200943" o:spid="_x0000_s3755" style="position:absolute;left:25903;top:25694;width:510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bBuxwAAAN8AAAAPAAAAZHJzL2Rvd25yZXYueG1sRI9Ba8JA&#10;FITvgv9heYI33VhL0egqYpHm0ItWweMj+0yi2bdLdjVpf31XKPQ4zMw3zHLdmVo8qPGVZQWTcQKC&#10;OLe64kLB8Ws3moHwAVljbZkUfJOH9arfW2Kqbct7ehxCISKEfYoKyhBcKqXPSzLox9YRR+9iG4Mh&#10;yqaQusE2wk0tX5LkTRqsOC6U6GhbUn473I2C8zu7bNfK/PKzdZ/XbFZ/3I8npYaDbrMAEagL/+G/&#10;dqYVROL8dQrPP/ELyNUvAAAA//8DAFBLAQItABQABgAIAAAAIQDb4fbL7gAAAIUBAAATAAAAAAAA&#10;AAAAAAAAAAAAAABbQ29udGVudF9UeXBlc10ueG1sUEsBAi0AFAAGAAgAAAAhAFr0LFu/AAAAFQEA&#10;AAsAAAAAAAAAAAAAAAAAHwEAAF9yZWxzLy5yZWxzUEsBAi0AFAAGAAgAAAAhAHkpsG7HAAAA3wAA&#10;AA8AAAAAAAAAAAAAAAAABwIAAGRycy9kb3ducmV2LnhtbFBLBQYAAAAAAwADALcAAAD7AgAAAAA=&#10;" filled="f" stroked="f">
                  <v:textbox inset="0,0,0,0">
                    <w:txbxContent>
                      <w:p w14:paraId="464CCE22" w14:textId="77777777" w:rsidR="00B32EF2" w:rsidRDefault="00000000">
                        <w:r>
                          <w:rPr>
                            <w:rFonts w:ascii="Arial" w:eastAsia="Arial" w:hAnsi="Arial" w:cs="Arial"/>
                            <w:i/>
                            <w:sz w:val="18"/>
                          </w:rPr>
                          <w:t>1</w:t>
                        </w:r>
                      </w:p>
                    </w:txbxContent>
                  </v:textbox>
                </v:rect>
                <v:rect id="Rectangle 18226" o:spid="_x0000_s3756" style="position:absolute;left:-11803;top:24460;width:509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3x9xQAAAN4AAAAPAAAAZHJzL2Rvd25yZXYueG1sRE87a8Mw&#10;EN4L/Q/iAt0aOR6CcSKbkhLqoUvzgIyHdbGdWCdhKbHbX18VCtnu43veupxML+40+M6ygsU8AUFc&#10;W91xo+Cw375mIHxA1thbJgXf5KEsnp/WmGs78hfdd6ERMYR9jgraEFwupa9bMujn1hFH7mwHgyHC&#10;oZF6wDGGm16mSbKUBjuODS062rRUX3c3o+D0zq7ajrI+/2zc56XK+o/b4ajUy2x6W4EINIWH+N9d&#10;6Tg/S9Ml/L0Tb5DFLwAAAP//AwBQSwECLQAUAAYACAAAACEA2+H2y+4AAACFAQAAEwAAAAAAAAAA&#10;AAAAAAAAAAAAW0NvbnRlbnRfVHlwZXNdLnhtbFBLAQItABQABgAIAAAAIQBa9CxbvwAAABUBAAAL&#10;AAAAAAAAAAAAAAAAAB8BAABfcmVscy8ucmVsc1BLAQItABQABgAIAAAAIQAkF3x9xQAAAN4AAAAP&#10;AAAAAAAAAAAAAAAAAAcCAABkcnMvZG93bnJldi54bWxQSwUGAAAAAAMAAwC3AAAA+QIAAAAA&#10;" filled="f" stroked="f">
                  <v:textbox inset="0,0,0,0">
                    <w:txbxContent>
                      <w:p w14:paraId="3198809B" w14:textId="77777777" w:rsidR="00B32EF2" w:rsidRDefault="00000000">
                        <w:r>
                          <w:rPr>
                            <w:rFonts w:ascii="Arial" w:eastAsia="Arial" w:hAnsi="Arial" w:cs="Arial"/>
                            <w:i/>
                            <w:sz w:val="18"/>
                          </w:rPr>
                          <w:t xml:space="preserve">ai sensi dell’articolo 41, comma 2-bis, del decreto legislativo 7 marzo 2005, </w:t>
                        </w:r>
                      </w:p>
                    </w:txbxContent>
                  </v:textbox>
                </v:rect>
                <v:rect id="Rectangle 18227" o:spid="_x0000_s3757" style="position:absolute;left:-10843;top:23227;width:500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9nmxQAAAN4AAAAPAAAAZHJzL2Rvd25yZXYueG1sRE9Na8JA&#10;EL0X/A/LCL3VTXOoIXUTiiLm4EWr0OOQHZO02dklu5rYX98tFHqbx/ucVTmZXtxo8J1lBc+LBARx&#10;bXXHjYLT+/YpA+EDssbeMim4k4eymD2sMNd25APdjqERMYR9jgraEFwupa9bMugX1hFH7mIHgyHC&#10;oZF6wDGGm16mSfIiDXYcG1p0tG6p/jpejYKPDbtqO8r68r12+88q63fX01mpx/n09goi0BT+xX/u&#10;Ssf5WZou4fedeIMsfgAAAP//AwBQSwECLQAUAAYACAAAACEA2+H2y+4AAACFAQAAEwAAAAAAAAAA&#10;AAAAAAAAAAAAW0NvbnRlbnRfVHlwZXNdLnhtbFBLAQItABQABgAIAAAAIQBa9CxbvwAAABUBAAAL&#10;AAAAAAAAAAAAAAAAAB8BAABfcmVscy8ucmVsc1BLAQItABQABgAIAAAAIQBLW9nmxQAAAN4AAAAP&#10;AAAAAAAAAAAAAAAAAAcCAABkcnMvZG93bnJldi54bWxQSwUGAAAAAAMAAwC3AAAA+QIAAAAA&#10;" filled="f" stroked="f">
                  <v:textbox inset="0,0,0,0">
                    <w:txbxContent>
                      <w:p w14:paraId="56D5C4D5" w14:textId="77777777" w:rsidR="00B32EF2" w:rsidRDefault="00000000">
                        <w:r>
                          <w:rPr>
                            <w:rFonts w:ascii="Arial" w:eastAsia="Arial" w:hAnsi="Arial" w:cs="Arial"/>
                            <w:i/>
                            <w:sz w:val="18"/>
                          </w:rPr>
                          <w:t>n. 82, con le modalità tecnico-operative stabilite dal decreto di cui all’arti</w:t>
                        </w:r>
                      </w:p>
                    </w:txbxContent>
                  </v:textbox>
                </v:rect>
                <v:rect id="Rectangle 18228" o:spid="_x0000_s3758" style="position:absolute;left:1038;top:2322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E2UxwAAAN4AAAAPAAAAZHJzL2Rvd25yZXYueG1sRI9Bb8Iw&#10;DIXvk/YfIiPtNlJ6mKpCQBMTWg+7jIHE0WpMW2icqAm026+fD5N2s/We3/u82kyuV3caYufZwGKe&#10;gSKuve24MXD42j0XoGJCtth7JgPfFGGzfnxYYWn9yJ9036dGSQjHEg20KYVS61i35DDOfSAW7ewH&#10;h0nWodF2wFHCXa/zLHvRDjuWhhYDbVuqr/ubM3B641DtRl2ff7bh41IV/fvtcDTmaTa9LkElmtK/&#10;+e+6soJf5Lnwyjsyg17/AgAA//8DAFBLAQItABQABgAIAAAAIQDb4fbL7gAAAIUBAAATAAAAAAAA&#10;AAAAAAAAAAAAAABbQ29udGVudF9UeXBlc10ueG1sUEsBAi0AFAAGAAgAAAAhAFr0LFu/AAAAFQEA&#10;AAsAAAAAAAAAAAAAAAAAHwEAAF9yZWxzLy5yZWxzUEsBAi0AFAAGAAgAAAAhADrETZTHAAAA3gAA&#10;AA8AAAAAAAAAAAAAAAAABwIAAGRycy9kb3ducmV2LnhtbFBLBQYAAAAAAwADALcAAAD7AgAAAAA=&#10;" filled="f" stroked="f">
                  <v:textbox inset="0,0,0,0">
                    <w:txbxContent>
                      <w:p w14:paraId="5D46B250" w14:textId="77777777" w:rsidR="00B32EF2" w:rsidRDefault="00000000">
                        <w:r>
                          <w:rPr>
                            <w:rFonts w:ascii="Arial" w:eastAsia="Arial" w:hAnsi="Arial" w:cs="Arial"/>
                            <w:i/>
                            <w:sz w:val="18"/>
                          </w:rPr>
                          <w:t>-</w:t>
                        </w:r>
                      </w:p>
                    </w:txbxContent>
                  </v:textbox>
                </v:rect>
                <v:rect id="Rectangle 18229" o:spid="_x0000_s3759" style="position:absolute;left:-11791;top:21994;width:509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OgPxAAAAN4AAAAPAAAAZHJzL2Rvd25yZXYueG1sRE9La8JA&#10;EL4X/A/LCN7qxhwkpq4iiphDL/UBPQ7ZMUmbnV2yq0n767sFwdt8fM9ZrgfTijt1vrGsYDZNQBCX&#10;VjdcKTif9q8ZCB+QNbaWScEPeVivRi9LzLXt+YPux1CJGMI+RwV1CC6X0pc1GfRT64gjd7WdwRBh&#10;V0ndYR/DTSvTJJlLgw3HhhodbWsqv483o+Bzx67Y97K8/m7d+1eRtYfb+aLUZDxs3kAEGsJT/HAX&#10;Os7P0nQB/+/EG+TqDwAA//8DAFBLAQItABQABgAIAAAAIQDb4fbL7gAAAIUBAAATAAAAAAAAAAAA&#10;AAAAAAAAAABbQ29udGVudF9UeXBlc10ueG1sUEsBAi0AFAAGAAgAAAAhAFr0LFu/AAAAFQEAAAsA&#10;AAAAAAAAAAAAAAAAHwEAAF9yZWxzLy5yZWxzUEsBAi0AFAAGAAgAAAAhAFWI6A/EAAAA3gAAAA8A&#10;AAAAAAAAAAAAAAAABwIAAGRycy9kb3ducmV2LnhtbFBLBQYAAAAAAwADALcAAAD4AgAAAAA=&#10;" filled="f" stroked="f">
                  <v:textbox inset="0,0,0,0">
                    <w:txbxContent>
                      <w:p w14:paraId="6199B06C" w14:textId="77777777" w:rsidR="00B32EF2" w:rsidRDefault="00000000">
                        <w:r>
                          <w:rPr>
                            <w:rFonts w:ascii="Arial" w:eastAsia="Arial" w:hAnsi="Arial" w:cs="Arial"/>
                            <w:i/>
                            <w:sz w:val="18"/>
                          </w:rPr>
                          <w:t xml:space="preserve">colo 3, comma 3, inserendovi anche le attestazioni rilasciate dal S.I.Gi.T ed </w:t>
                        </w:r>
                      </w:p>
                    </w:txbxContent>
                  </v:textbox>
                </v:rect>
                <v:rect id="Rectangle 18230" o:spid="_x0000_s3760" style="position:absolute;left:-1827;top:20760;width:410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9dPyAAAAN4AAAAPAAAAZHJzL2Rvd25yZXYueG1sRI9Pa8Mw&#10;DMXvg30Ho8Fuq7MORkjrltJRlsMu/TPYUcRqkjaWTew22T59dRj0JqGn995vvhxdp67Ux9azgddJ&#10;Boq48rbl2sBhv3nJQcWEbLHzTAZ+KcJy8fgwx8L6gbd03aVaiQnHAg00KYVC61g15DBOfCCW29H3&#10;DpOsfa1tj4OYu05Ps+xdO2xZEhoMtG6oOu8uzsDPB4dyM+jq+LcOX6cy7z4vh29jnp/G1QxUojHd&#10;xf/fpZX6+fRNAARHZtCLGwAAAP//AwBQSwECLQAUAAYACAAAACEA2+H2y+4AAACFAQAAEwAAAAAA&#10;AAAAAAAAAAAAAAAAW0NvbnRlbnRfVHlwZXNdLnhtbFBLAQItABQABgAIAAAAIQBa9CxbvwAAABUB&#10;AAALAAAAAAAAAAAAAAAAAB8BAABfcmVscy8ucmVsc1BLAQItABQABgAIAAAAIQBBa9dPyAAAAN4A&#10;AAAPAAAAAAAAAAAAAAAAAAcCAABkcnMvZG93bnJldi54bWxQSwUGAAAAAAMAAwC3AAAA/AIAAAAA&#10;" filled="f" stroked="f">
                  <v:textbox inset="0,0,0,0">
                    <w:txbxContent>
                      <w:p w14:paraId="2D2298DA" w14:textId="77777777" w:rsidR="00B32EF2" w:rsidRDefault="00000000">
                        <w:r>
                          <w:rPr>
                            <w:rFonts w:ascii="Arial" w:eastAsia="Arial" w:hAnsi="Arial" w:cs="Arial"/>
                            <w:i/>
                            <w:sz w:val="18"/>
                          </w:rPr>
                          <w:t>ogni altro atto e documento informatico acquisito dal SI.Gi.T.</w:t>
                        </w:r>
                      </w:p>
                    </w:txbxContent>
                  </v:textbox>
                </v:rect>
                <v:rect id="Rectangle 200941" o:spid="_x0000_s3761" style="position:absolute;left:25891;top:19527;width:510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4uCxwAAAN8AAAAPAAAAZHJzL2Rvd25yZXYueG1sRI9Pa8JA&#10;FMTvhX6H5RV6041FikY3IhYxh16qKfT4yL780ezbJbuatJ++WxB6HGbmN8x6M5pO3Kj3rWUFs2kC&#10;gri0uuVaQXHaTxYgfEDW2FkmBd/kYZM9Pqwx1XbgD7odQy0ihH2KCpoQXCqlLxsy6KfWEUevsr3B&#10;EGVfS93jEOGmky9J8ioNthwXGnS0a6i8HK9Gwdcbu3w/yLL62bn3c77oDtfiU6nnp3G7AhFoDP/h&#10;ezvXCiJxOZ/B35/4BWT2CwAA//8DAFBLAQItABQABgAIAAAAIQDb4fbL7gAAAIUBAAATAAAAAAAA&#10;AAAAAAAAAAAAAABbQ29udGVudF9UeXBlc10ueG1sUEsBAi0AFAAGAAgAAAAhAFr0LFu/AAAAFQEA&#10;AAsAAAAAAAAAAAAAAAAAHwEAAF9yZWxzLy5yZWxzUEsBAi0AFAAGAAgAAAAhAOa3i4LHAAAA3wAA&#10;AA8AAAAAAAAAAAAAAAAABwIAAGRycy9kb3ducmV2LnhtbFBLBQYAAAAAAwADALcAAAD7AgAAAAA=&#10;" filled="f" stroked="f">
                  <v:textbox inset="0,0,0,0">
                    <w:txbxContent>
                      <w:p w14:paraId="1B473B85" w14:textId="77777777" w:rsidR="00B32EF2" w:rsidRDefault="00000000">
                        <w:r>
                          <w:rPr>
                            <w:rFonts w:ascii="Arial" w:eastAsia="Arial" w:hAnsi="Arial" w:cs="Arial"/>
                            <w:i/>
                            <w:sz w:val="18"/>
                          </w:rPr>
                          <w:t>2</w:t>
                        </w:r>
                      </w:p>
                    </w:txbxContent>
                  </v:textbox>
                </v:rect>
                <v:rect id="Rectangle 200942" o:spid="_x0000_s3762" style="position:absolute;left:-12465;top:19527;width:510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RX1xwAAAN8AAAAPAAAAZHJzL2Rvd25yZXYueG1sRI9PawIx&#10;FMTvBb9DeEJvNauUYlezIop0D15qFTw+Nm//6OYlbKK79dM3hUKPw8z8hlmuBtOKO3W+saxgOklA&#10;EBdWN1wpOH7tXuYgfEDW2FomBd/kYZWNnpaYatvzJ90PoRIRwj5FBXUILpXSFzUZ9BPriKNX2s5g&#10;iLKrpO6wj3DTylmSvEmDDceFGh1taiquh5tRcN6yy3e9LMrHxu0v+bz9uB1PSj2Ph/UCRKAh/If/&#10;2rlWEInvrzP4/RO/gMx+AAAA//8DAFBLAQItABQABgAIAAAAIQDb4fbL7gAAAIUBAAATAAAAAAAA&#10;AAAAAAAAAAAAAABbQ29udGVudF9UeXBlc10ueG1sUEsBAi0AFAAGAAgAAAAhAFr0LFu/AAAAFQEA&#10;AAsAAAAAAAAAAAAAAAAAHwEAAF9yZWxzLy5yZWxzUEsBAi0AFAAGAAgAAAAhABZlFfXHAAAA3wAA&#10;AA8AAAAAAAAAAAAAAAAABwIAAGRycy9kb3ducmV2LnhtbFBLBQYAAAAAAwADALcAAAD7AgAAAAA=&#10;" filled="f" stroked="f">
                  <v:textbox inset="0,0,0,0">
                    <w:txbxContent>
                      <w:p w14:paraId="539916BB" w14:textId="77777777" w:rsidR="00B32EF2" w:rsidRDefault="00000000">
                        <w:r>
                          <w:rPr>
                            <w:rFonts w:ascii="Arial" w:eastAsia="Arial" w:hAnsi="Arial" w:cs="Arial"/>
                            <w:i/>
                            <w:sz w:val="18"/>
                          </w:rPr>
                          <w:t xml:space="preserve">. Il fascicolo informatico contiene anche le copie informatiche degli atti e </w:t>
                        </w:r>
                      </w:p>
                    </w:txbxContent>
                  </v:textbox>
                </v:rect>
                <v:rect id="Rectangle 18232" o:spid="_x0000_s3763" style="position:absolute;left:-5468;top:18294;width:446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eyjxQAAAN4AAAAPAAAAZHJzL2Rvd25yZXYueG1sRE9Na8JA&#10;EL0X/A/LCL3VTVOQkLoJRRFz8KJV6HHIjkna7OySXU3sr+8WCr3N433OqpxML240+M6ygudFAoK4&#10;trrjRsHpffuUgfABWWNvmRTcyUNZzB5WmGs78oFux9CIGMI+RwVtCC6X0tctGfQL64gjd7GDwRDh&#10;0Eg94BjDTS/TJFlKgx3HhhYdrVuqv45Xo+Bjw67ajrK+fK/d/rPK+t31dFbqcT69vYIINIV/8Z+7&#10;0nF+lr6k8PtOvEEWPwAAAP//AwBQSwECLQAUAAYACAAAACEA2+H2y+4AAACFAQAAEwAAAAAAAAAA&#10;AAAAAAAAAAAAW0NvbnRlbnRfVHlwZXNdLnhtbFBLAQItABQABgAIAAAAIQBa9CxbvwAAABUBAAAL&#10;AAAAAAAAAAAAAAAAAB8BAABfcmVscy8ucmVsc1BLAQItABQABgAIAAAAIQDe9eyjxQAAAN4AAAAP&#10;AAAAAAAAAAAAAAAAAAcCAABkcnMvZG93bnJldi54bWxQSwUGAAAAAAMAAwC3AAAA+QIAAAAA&#10;" filled="f" stroked="f">
                  <v:textbox inset="0,0,0,0">
                    <w:txbxContent>
                      <w:p w14:paraId="1AF598F8" w14:textId="77777777" w:rsidR="00B32EF2" w:rsidRDefault="00000000">
                        <w:r>
                          <w:rPr>
                            <w:rFonts w:ascii="Arial" w:eastAsia="Arial" w:hAnsi="Arial" w:cs="Arial"/>
                            <w:i/>
                            <w:sz w:val="18"/>
                          </w:rPr>
                          <w:t>dei documenti cartacei prodotti e acquisiti ai sensi dell’articolo 12.</w:t>
                        </w:r>
                      </w:p>
                    </w:txbxContent>
                  </v:textbox>
                </v:rect>
                <v:rect id="Rectangle 200939" o:spid="_x0000_s3764" style="position:absolute;left:25906;top:17061;width:510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T5xwAAAN8AAAAPAAAAZHJzL2Rvd25yZXYueG1sRI9PawIx&#10;FMTvQr9DeAVvmm2FoqtZKRbpHnrRWujxsXn7x25ewia6q5/eCEKPw8z8hlmtB9OKM3W+sazgZZqA&#10;IC6sbrhScPjeTuYgfEDW2FomBRfysM6eRitMte15R+d9qESEsE9RQR2CS6X0RU0G/dQ64uiVtjMY&#10;ouwqqTvsI9y08jVJ3qTBhuNCjY42NRV/+5NR8PvBLt/2siivG/d1zOft5+nwo9T4eXhfggg0hP/w&#10;o51rBZG4mC3g/id+AZndAAAA//8DAFBLAQItABQABgAIAAAAIQDb4fbL7gAAAIUBAAATAAAAAAAA&#10;AAAAAAAAAAAAAABbQ29udGVudF9UeXBlc10ueG1sUEsBAi0AFAAGAAgAAAAhAFr0LFu/AAAAFQEA&#10;AAsAAAAAAAAAAAAAAAAAHwEAAF9yZWxzLy5yZWxzUEsBAi0AFAAGAAgAAAAhAEDH9PnHAAAA3wAA&#10;AA8AAAAAAAAAAAAAAAAABwIAAGRycy9kb3ducmV2LnhtbFBLBQYAAAAAAwADALcAAAD7AgAAAAA=&#10;" filled="f" stroked="f">
                  <v:textbox inset="0,0,0,0">
                    <w:txbxContent>
                      <w:p w14:paraId="487EC3AD" w14:textId="77777777" w:rsidR="00B32EF2" w:rsidRDefault="00000000">
                        <w:r>
                          <w:rPr>
                            <w:rFonts w:ascii="Arial" w:eastAsia="Arial" w:hAnsi="Arial" w:cs="Arial"/>
                            <w:i/>
                            <w:sz w:val="18"/>
                          </w:rPr>
                          <w:t>3</w:t>
                        </w:r>
                      </w:p>
                    </w:txbxContent>
                  </v:textbox>
                </v:rect>
                <v:rect id="Rectangle 200940" o:spid="_x0000_s3765" style="position:absolute;left:-12471;top:17061;width:5100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4ZxwAAAN8AAAAPAAAAZHJzL2Rvd25yZXYueG1sRI9Ba8JA&#10;EIXvhf6HZQq91U1LKTa6ilikOfSiVfA4ZMckmp1dsqtJ++udg+BxePO+xzedD65VF+pi49nA6ygD&#10;RVx623BlYPu7ehmDignZYuuZDPxRhPns8WGKufU9r+mySZUSCMccDdQphVzrWNbkMI58IJbs4DuH&#10;Sc6u0rbDXuCu1W9Z9qEdNiwLNQZa1lSeNmdnYP/FoVj1ujz8L8PPsRi33+ftzpjnp2ExAZVoSPfn&#10;W7uwBoT4+S4G4iMuoGdXAAAA//8DAFBLAQItABQABgAIAAAAIQDb4fbL7gAAAIUBAAATAAAAAAAA&#10;AAAAAAAAAAAAAABbQ29udGVudF9UeXBlc10ueG1sUEsBAi0AFAAGAAgAAAAhAFr0LFu/AAAAFQEA&#10;AAsAAAAAAAAAAAAAAAAAHwEAAF9yZWxzLy5yZWxzUEsBAi0AFAAGAAgAAAAhAIn7LhnHAAAA3wAA&#10;AA8AAAAAAAAAAAAAAAAABwIAAGRycy9kb3ducmV2LnhtbFBLBQYAAAAAAwADALcAAAD7AgAAAAA=&#10;" filled="f" stroked="f">
                  <v:textbox inset="0,0,0,0">
                    <w:txbxContent>
                      <w:p w14:paraId="36369098" w14:textId="77777777" w:rsidR="00B32EF2" w:rsidRDefault="00000000">
                        <w:r>
                          <w:rPr>
                            <w:rFonts w:ascii="Arial" w:eastAsia="Arial" w:hAnsi="Arial" w:cs="Arial"/>
                            <w:i/>
                            <w:sz w:val="18"/>
                          </w:rPr>
                          <w:t xml:space="preserve">. Il fascicolo informatico sostituisce il fascicolo d’ufficio di cui all’articolo </w:t>
                        </w:r>
                      </w:p>
                    </w:txbxContent>
                  </v:textbox>
                </v:rect>
                <v:rect id="Rectangle 200936" o:spid="_x0000_s3766" style="position:absolute;left:25374;top:15827;width:505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GCLxwAAAN8AAAAPAAAAZHJzL2Rvd25yZXYueG1sRI/NawIx&#10;FMTvhf4P4RW8abYVRFezUizSPfTiR6HHx+bth928hE10V//6RhB6HGbmN8xqPZhWXKjzjWUFr5ME&#10;BHFhdcOVguNhO56D8AFZY2uZFFzJwzp7flphqm3PO7rsQyUihH2KCuoQXCqlL2oy6CfWEUevtJ3B&#10;EGVXSd1hH+GmlW9JMpMGG44LNTra1FT87s9Gwc8Hu3zby6K8bdzXKZ+3n+fjt1Kjl+F9CSLQEP7D&#10;j3auFUTiYjqD+5/4BWT2BwAA//8DAFBLAQItABQABgAIAAAAIQDb4fbL7gAAAIUBAAATAAAAAAAA&#10;AAAAAAAAAAAAAABbQ29udGVudF9UeXBlc10ueG1sUEsBAi0AFAAGAAgAAAAhAFr0LFu/AAAAFQEA&#10;AAsAAAAAAAAAAAAAAAAAHwEAAF9yZWxzLy5yZWxzUEsBAi0AFAAGAAgAAAAhADFYYIvHAAAA3wAA&#10;AA8AAAAAAAAAAAAAAAAABwIAAGRycy9kb3ducmV2LnhtbFBLBQYAAAAAAwADALcAAAD7AgAAAAA=&#10;" filled="f" stroked="f">
                  <v:textbox inset="0,0,0,0">
                    <w:txbxContent>
                      <w:p w14:paraId="0B7D8D92" w14:textId="77777777" w:rsidR="00B32EF2" w:rsidRDefault="00000000">
                        <w:r>
                          <w:rPr>
                            <w:rFonts w:ascii="Arial" w:eastAsia="Arial" w:hAnsi="Arial" w:cs="Arial"/>
                            <w:i/>
                            <w:sz w:val="18"/>
                          </w:rPr>
                          <w:t>25</w:t>
                        </w:r>
                      </w:p>
                    </w:txbxContent>
                  </v:textbox>
                </v:rect>
                <v:rect id="Rectangle 200937" o:spid="_x0000_s3767" style="position:absolute;left:-49039;top:15827;width:505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MUQxwAAAN8AAAAPAAAAZHJzL2Rvd25yZXYueG1sRI9Ba8JA&#10;FITvgv9heYI33Vih1egqYpHm0ItWweMj+0yi2bdLdjVpf31XKPQ4zMw3zHLdmVo8qPGVZQWTcQKC&#10;OLe64kLB8Ws3moHwAVljbZkUfJOH9arfW2Kqbct7ehxCISKEfYoKyhBcKqXPSzLox9YRR+9iG4Mh&#10;yqaQusE2wk0tX5LkVRqsOC6U6GhbUn473I2C8zu7bNfK/PKzdZ/XbFZ/3I8npYaDbrMAEagL/+G/&#10;dqYVROJ8+gbPP/ELyNUvAAAA//8DAFBLAQItABQABgAIAAAAIQDb4fbL7gAAAIUBAAATAAAAAAAA&#10;AAAAAAAAAAAAAABbQ29udGVudF9UeXBlc10ueG1sUEsBAi0AFAAGAAgAAAAhAFr0LFu/AAAAFQEA&#10;AAsAAAAAAAAAAAAAAAAAHwEAAF9yZWxzLy5yZWxzUEsBAi0AFAAGAAgAAAAhAF4UxRDHAAAA3wAA&#10;AA8AAAAAAAAAAAAAAAAABwIAAGRycy9kb3ducmV2LnhtbFBLBQYAAAAAAwADALcAAAD7AgAAAAA=&#10;" filled="f" stroked="f">
                  <v:textbox inset="0,0,0,0">
                    <w:txbxContent>
                      <w:p w14:paraId="03B3C2DA" w14:textId="77777777" w:rsidR="00B32EF2" w:rsidRDefault="00000000">
                        <w:r>
                          <w:rPr>
                            <w:rFonts w:ascii="Arial" w:eastAsia="Arial" w:hAnsi="Arial" w:cs="Arial"/>
                            <w:i/>
                            <w:sz w:val="18"/>
                          </w:rPr>
                          <w:t>-</w:t>
                        </w:r>
                      </w:p>
                    </w:txbxContent>
                  </v:textbox>
                </v:rect>
                <v:rect id="Rectangle 200938" o:spid="_x0000_s3768" style="position:absolute;left:-12249;top:15827;width:505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1FixwAAAN8AAAAPAAAAZHJzL2Rvd25yZXYueG1sRI/BasJA&#10;EIbvhb7DMoXe6qYtFBtdRSzSHHrRKngcsmMSzc4u2dWkfXrnIHgc/vm/mW86H1yrLtTFxrOB11EG&#10;irj0tuHKwPZ39TIGFROyxdYzGfijCPPZ48MUc+t7XtNlkyolEI45GqhTCrnWsazJYRz5QCzZwXcO&#10;k4xdpW2HvcBdq9+y7EM7bFgu1BhoWVN52pydgf0Xh2LV6/Lwvww/x2Lcfp+3O2Oen4bFBFSiId2X&#10;b+3CGhDi57s8LD7iAnp2BQAA//8DAFBLAQItABQABgAIAAAAIQDb4fbL7gAAAIUBAAATAAAAAAAA&#10;AAAAAAAAAAAAAABbQ29udGVudF9UeXBlc10ueG1sUEsBAi0AFAAGAAgAAAAhAFr0LFu/AAAAFQEA&#10;AAsAAAAAAAAAAAAAAAAAHwEAAF9yZWxzLy5yZWxzUEsBAi0AFAAGAAgAAAAhAC+LUWLHAAAA3wAA&#10;AA8AAAAAAAAAAAAAAAAABwIAAGRycy9kb3ducmV2LnhtbFBLBQYAAAAAAwADALcAAAD7AgAAAAA=&#10;" filled="f" stroked="f">
                  <v:textbox inset="0,0,0,0">
                    <w:txbxContent>
                      <w:p w14:paraId="124697EB" w14:textId="77777777" w:rsidR="00B32EF2" w:rsidRDefault="00000000">
                        <w:r>
                          <w:rPr>
                            <w:rFonts w:ascii="Arial" w:eastAsia="Arial" w:hAnsi="Arial" w:cs="Arial"/>
                            <w:i/>
                            <w:sz w:val="18"/>
                          </w:rPr>
                          <w:t xml:space="preserve"> del decreto legislativo 31 dicembre 1992, n. 546, a condizione che con</w:t>
                        </w:r>
                      </w:p>
                    </w:txbxContent>
                  </v:textbox>
                </v:rect>
                <v:rect id="Rectangle 18235" o:spid="_x0000_s3769" style="position:absolute;left:-11838;top:14594;width:511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HTXxQAAAN4AAAAPAAAAZHJzL2Rvd25yZXYueG1sRE9La8JA&#10;EL4X/A/LCN7qRktLiK4iijSHXuoDPA7ZMYlmZ5fsamJ/fbdQ8DYf33Pmy9404k6try0rmIwTEMSF&#10;1TWXCg777WsKwgdkjY1lUvAgD8vF4GWOmbYdf9N9F0oRQ9hnqKAKwWVS+qIig35sHXHkzrY1GCJs&#10;S6lb7GK4aeQ0ST6kwZpjQ4WO1hUV193NKDht2OXbThbnn7X7uuRp83k7HJUaDfvVDESgPjzF/+5c&#10;x/np9O0d/t6JN8jFLwAAAP//AwBQSwECLQAUAAYACAAAACEA2+H2y+4AAACFAQAAEwAAAAAAAAAA&#10;AAAAAAAAAAAAW0NvbnRlbnRfVHlwZXNdLnhtbFBLAQItABQABgAIAAAAIQBa9CxbvwAAABUBAAAL&#10;AAAAAAAAAAAAAAAAAB8BAABfcmVscy8ucmVsc1BLAQItABQABgAIAAAAIQBRHHTXxQAAAN4AAAAP&#10;AAAAAAAAAAAAAAAAAAcCAABkcnMvZG93bnJldi54bWxQSwUGAAAAAAMAAwC3AAAA+QIAAAAA&#10;" filled="f" stroked="f">
                  <v:textbox inset="0,0,0,0">
                    <w:txbxContent>
                      <w:p w14:paraId="3AB70ACB" w14:textId="77777777" w:rsidR="00B32EF2" w:rsidRDefault="00000000">
                        <w:r>
                          <w:rPr>
                            <w:rFonts w:ascii="Arial" w:eastAsia="Arial" w:hAnsi="Arial" w:cs="Arial"/>
                            <w:i/>
                            <w:sz w:val="18"/>
                          </w:rPr>
                          <w:t xml:space="preserve">tenga anche tutti gli atti e documenti cartacei prodotti e acquisiti ai sensi </w:t>
                        </w:r>
                      </w:p>
                    </w:txbxContent>
                  </v:textbox>
                </v:rect>
                <v:rect id="Rectangle 18236" o:spid="_x0000_s3770" style="position:absolute;left:28925;top:13361;width:102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qgxAAAAN4AAAAPAAAAZHJzL2Rvd25yZXYueG1sRE9Na8JA&#10;EL0X/A/LFLzVTS1ISF1FFGkOXqoRPA7ZMUnNzi7Z1UR/fbdQ8DaP9znz5WBacaPON5YVvE8SEMSl&#10;1Q1XCorD9i0F4QOyxtYyKbiTh+Vi9DLHTNuev+m2D5WIIewzVFCH4DIpfVmTQT+xjjhyZ9sZDBF2&#10;ldQd9jHctHKaJDNpsOHYUKOjdU3lZX81Ck4bdvm2l+X5sXa7nzxtv67FUanx67D6BBFoCE/xvzvX&#10;cX46/ZjB3zvxBrn4BQAA//8DAFBLAQItABQABgAIAAAAIQDb4fbL7gAAAIUBAAATAAAAAAAAAAAA&#10;AAAAAAAAAABbQ29udGVudF9UeXBlc10ueG1sUEsBAi0AFAAGAAgAAAAhAFr0LFu/AAAAFQEAAAsA&#10;AAAAAAAAAAAAAAAAHwEAAF9yZWxzLy5yZWxzUEsBAi0AFAAGAAgAAAAhAKHO6qDEAAAA3gAAAA8A&#10;AAAAAAAAAAAAAAAABwIAAGRycy9kb3ducmV2LnhtbFBLBQYAAAAAAwADALcAAAD4AgAAAAA=&#10;" filled="f" stroked="f">
                  <v:textbox inset="0,0,0,0">
                    <w:txbxContent>
                      <w:p w14:paraId="19012DDB" w14:textId="77777777" w:rsidR="00B32EF2" w:rsidRDefault="00000000">
                        <w:r>
                          <w:rPr>
                            <w:rFonts w:ascii="Arial" w:eastAsia="Arial" w:hAnsi="Arial" w:cs="Arial"/>
                            <w:i/>
                            <w:sz w:val="18"/>
                          </w:rPr>
                          <w:t>dell’articolo 12.</w:t>
                        </w:r>
                      </w:p>
                    </w:txbxContent>
                  </v:textbox>
                </v:rect>
                <v:rect id="Rectangle 200934" o:spid="_x0000_s3771" style="position:absolute;left:26146;top:12127;width:500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ltnxwAAAN8AAAAPAAAAZHJzL2Rvd25yZXYueG1sRI9Ba8JA&#10;FITvgv9heYI33VhL0egqYpHm0ItWweMj+0yi2bdLdjVpf31XKPQ4zMw3zHLdmVo8qPGVZQWTcQKC&#10;OLe64kLB8Ws3moHwAVljbZkUfJOH9arfW2Kqbct7ehxCISKEfYoKyhBcKqXPSzLox9YRR+9iG4Mh&#10;yqaQusE2wk0tX5LkTRqsOC6U6GhbUn473I2C8zu7bNfK/PKzdZ/XbFZ/3I8npYaDbrMAEagL/+G/&#10;dqYVROJ8+grPP/ELyNUvAAAA//8DAFBLAQItABQABgAIAAAAIQDb4fbL7gAAAIUBAAATAAAAAAAA&#10;AAAAAAAAAAAAAABbQ29udGVudF9UeXBlc10ueG1sUEsBAi0AFAAGAAgAAAAhAFr0LFu/AAAAFQEA&#10;AAsAAAAAAAAAAAAAAAAAHwEAAF9yZWxzLy5yZWxzUEsBAi0AFAAGAAgAAAAhAK7GW2fHAAAA3wAA&#10;AA8AAAAAAAAAAAAAAAAABwIAAGRycy9kb3ducmV2LnhtbFBLBQYAAAAAAwADALcAAAD7AgAAAAA=&#10;" filled="f" stroked="f">
                  <v:textbox inset="0,0,0,0">
                    <w:txbxContent>
                      <w:p w14:paraId="50F08021" w14:textId="77777777" w:rsidR="00B32EF2" w:rsidRDefault="00000000">
                        <w:r>
                          <w:rPr>
                            <w:rFonts w:ascii="Arial" w:eastAsia="Arial" w:hAnsi="Arial" w:cs="Arial"/>
                            <w:i/>
                            <w:sz w:val="18"/>
                          </w:rPr>
                          <w:t>4</w:t>
                        </w:r>
                      </w:p>
                    </w:txbxContent>
                  </v:textbox>
                </v:rect>
                <v:rect id="Rectangle 200935" o:spid="_x0000_s3772" style="position:absolute;left:-11496;top:12127;width:500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v78xwAAAN8AAAAPAAAAZHJzL2Rvd25yZXYueG1sRI9Ba8JA&#10;FITvgv9heYI33Vhp0egqYpHm0ItWweMj+0yi2bdLdjVpf31XKPQ4zMw3zHLdmVo8qPGVZQWTcQKC&#10;OLe64kLB8Ws3moHwAVljbZkUfJOH9arfW2Kqbct7ehxCISKEfYoKyhBcKqXPSzLox9YRR+9iG4Mh&#10;yqaQusE2wk0tX5LkTRqsOC6U6GhbUn473I2C8zu7bNfK/PKzdZ/XbFZ/3I8npYaDbrMAEagL/+G/&#10;dqYVROJ8+grPP/ELyNUvAAAA//8DAFBLAQItABQABgAIAAAAIQDb4fbL7gAAAIUBAAATAAAAAAAA&#10;AAAAAAAAAAAAAABbQ29udGVudF9UeXBlc10ueG1sUEsBAi0AFAAGAAgAAAAhAFr0LFu/AAAAFQEA&#10;AAsAAAAAAAAAAAAAAAAAHwEAAF9yZWxzLy5yZWxzUEsBAi0AFAAGAAgAAAAhAMGK/vzHAAAA3wAA&#10;AA8AAAAAAAAAAAAAAAAABwIAAGRycy9kb3ducmV2LnhtbFBLBQYAAAAAAwADALcAAAD7AgAAAAA=&#10;" filled="f" stroked="f">
                  <v:textbox inset="0,0,0,0">
                    <w:txbxContent>
                      <w:p w14:paraId="303C5423" w14:textId="77777777" w:rsidR="00B32EF2" w:rsidRDefault="00000000">
                        <w:r>
                          <w:rPr>
                            <w:rFonts w:ascii="Arial" w:eastAsia="Arial" w:hAnsi="Arial" w:cs="Arial"/>
                            <w:i/>
                            <w:sz w:val="18"/>
                          </w:rPr>
                          <w:t>. Il fascicolo informatico consente ai giudici tributari e agli altri soggetti abi</w:t>
                        </w:r>
                      </w:p>
                    </w:txbxContent>
                  </v:textbox>
                </v:rect>
                <v:rect id="Rectangle 18238" o:spid="_x0000_s3773" style="position:absolute;left:1038;top:1212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tJyAAAAN4AAAAPAAAAZHJzL2Rvd25yZXYueG1sRI9Pa8Mw&#10;DMXvg30Ho8Fuq7MORkjrltJRlsMu/TPYUcRqkjaWTew22T59dRj0JvGe3vtpvhxdp67Ux9azgddJ&#10;Boq48rbl2sBhv3nJQcWEbLHzTAZ+KcJy8fgwx8L6gbd03aVaSQjHAg00KYVC61g15DBOfCAW7eh7&#10;h0nWvta2x0HCXaenWfauHbYsDQ0GWjdUnXcXZ+Dng0O5GXR1/FuHr1OZd5+Xw7cxz0/jagYq0Zju&#10;5v/r0gp+Pn0TXnlHZtCLGwAAAP//AwBQSwECLQAUAAYACAAAACEA2+H2y+4AAACFAQAAEwAAAAAA&#10;AAAAAAAAAAAAAAAAW0NvbnRlbnRfVHlwZXNdLnhtbFBLAQItABQABgAIAAAAIQBa9CxbvwAAABUB&#10;AAALAAAAAAAAAAAAAAAAAB8BAABfcmVscy8ucmVsc1BLAQItABQABgAIAAAAIQC/HdtJyAAAAN4A&#10;AAAPAAAAAAAAAAAAAAAAAAcCAABkcnMvZG93bnJldi54bWxQSwUGAAAAAAMAAwC3AAAA/AIAAAAA&#10;" filled="f" stroked="f">
                  <v:textbox inset="0,0,0,0">
                    <w:txbxContent>
                      <w:p w14:paraId="33EC192D" w14:textId="77777777" w:rsidR="00B32EF2" w:rsidRDefault="00000000">
                        <w:r>
                          <w:rPr>
                            <w:rFonts w:ascii="Arial" w:eastAsia="Arial" w:hAnsi="Arial" w:cs="Arial"/>
                            <w:i/>
                            <w:sz w:val="18"/>
                          </w:rPr>
                          <w:t>-</w:t>
                        </w:r>
                      </w:p>
                    </w:txbxContent>
                  </v:textbox>
                </v:rect>
                <v:rect id="Rectangle 18239" o:spid="_x0000_s3774" style="position:absolute;left:-11819;top:10894;width:510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X7SxQAAAN4AAAAPAAAAZHJzL2Rvd25yZXYueG1sRE9La8JA&#10;EL4X/A/LCN7qRgslRlcRRZpDL/UBHofsmESzs0t2NbG/vlso9DYf33MWq9404kGtry0rmIwTEMSF&#10;1TWXCo6H3WsKwgdkjY1lUvAkD6vl4GWBmbYdf9FjH0oRQ9hnqKAKwWVS+qIig35sHXHkLrY1GCJs&#10;S6lb7GK4aeQ0Sd6lwZpjQ4WONhUVt/3dKDhv2eW7ThaX7437vOZp83E/npQaDfv1HESgPvyL/9y5&#10;jvPT6dsMft+JN8jlDwAAAP//AwBQSwECLQAUAAYACAAAACEA2+H2y+4AAACFAQAAEwAAAAAAAAAA&#10;AAAAAAAAAAAAW0NvbnRlbnRfVHlwZXNdLnhtbFBLAQItABQABgAIAAAAIQBa9CxbvwAAABUBAAAL&#10;AAAAAAAAAAAAAAAAAB8BAABfcmVscy8ucmVsc1BLAQItABQABgAIAAAAIQDQUX7SxQAAAN4AAAAP&#10;AAAAAAAAAAAAAAAAAAcCAABkcnMvZG93bnJldi54bWxQSwUGAAAAAAMAAwC3AAAA+QIAAAAA&#10;" filled="f" stroked="f">
                  <v:textbox inset="0,0,0,0">
                    <w:txbxContent>
                      <w:p w14:paraId="10E4FB27" w14:textId="77777777" w:rsidR="00B32EF2" w:rsidRDefault="00000000">
                        <w:r>
                          <w:rPr>
                            <w:rFonts w:ascii="Arial" w:eastAsia="Arial" w:hAnsi="Arial" w:cs="Arial"/>
                            <w:i/>
                            <w:sz w:val="18"/>
                          </w:rPr>
                          <w:t xml:space="preserve">litati al SI.Gi.T. di cui all’articolo 3, comma 2, la diretta consultazione dello </w:t>
                        </w:r>
                      </w:p>
                    </w:txbxContent>
                  </v:textbox>
                </v:rect>
                <v:rect id="Rectangle 18240" o:spid="_x0000_s3775" style="position:absolute;left:-11826;top:9661;width:51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aQyyAAAAN4AAAAPAAAAZHJzL2Rvd25yZXYueG1sRI9Pa8Mw&#10;DMXvg30Ho8Fuq7MyRkjrltJRlsMu/TPYUcRqkjaWTew22T59dRj0JqGn995vvhxdp67Ux9azgddJ&#10;Boq48rbl2sBhv3nJQcWEbLHzTAZ+KcJy8fgwx8L6gbd03aVaiQnHAg00KYVC61g15DBOfCCW29H3&#10;DpOsfa1tj4OYu05Ps+xdO2xZEhoMtG6oOu8uzsDPB4dyM+jq+LcOX6cy7z4vh29jnp/G1QxUojHd&#10;xf/fpZX6+fRNAARHZtCLGwAAAP//AwBQSwECLQAUAAYACAAAACEA2+H2y+4AAACFAQAAEwAAAAAA&#10;AAAAAAAAAAAAAAAAW0NvbnRlbnRfVHlwZXNdLnhtbFBLAQItABQABgAIAAAAIQBa9CxbvwAAABUB&#10;AAALAAAAAAAAAAAAAAAAAB8BAABfcmVscy8ucmVsc1BLAQItABQABgAIAAAAIQAZbaQyyAAAAN4A&#10;AAAPAAAAAAAAAAAAAAAAAAcCAABkcnMvZG93bnJldi54bWxQSwUGAAAAAAMAAwC3AAAA/AIAAAAA&#10;" filled="f" stroked="f">
                  <v:textbox inset="0,0,0,0">
                    <w:txbxContent>
                      <w:p w14:paraId="4648ECE0" w14:textId="77777777" w:rsidR="00B32EF2" w:rsidRDefault="00000000">
                        <w:r>
                          <w:rPr>
                            <w:rFonts w:ascii="Arial" w:eastAsia="Arial" w:hAnsi="Arial" w:cs="Arial"/>
                            <w:i/>
                            <w:sz w:val="18"/>
                          </w:rPr>
                          <w:t xml:space="preserve">stesso, ed esonera le segreterie delle Commissioni tributarie dal produrre </w:t>
                        </w:r>
                      </w:p>
                    </w:txbxContent>
                  </v:textbox>
                </v:rect>
                <v:rect id="Rectangle 18241" o:spid="_x0000_s3776" style="position:absolute;left:-11795;top:8427;width:509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QGpxAAAAN4AAAAPAAAAZHJzL2Rvd25yZXYueG1sRE9Ni8Iw&#10;EL0v+B/CCN7WVBEp1SiiiD3sRdeFPQ7N2FabSWii7e6v3wjC3ubxPme57k0jHtT62rKCyTgBQVxY&#10;XXOp4Py5f09B+ICssbFMCn7Iw3o1eFtipm3HR3qcQiliCPsMFVQhuExKX1Rk0I+tI47cxbYGQ4Rt&#10;KXWLXQw3jZwmyVwarDk2VOhoW1FxO92Ngu8du3zfyeLyu3Uf1zxtDvfzl1KjYb9ZgAjUh3/xy53r&#10;OD+dzibwfCfeIFd/AAAA//8DAFBLAQItABQABgAIAAAAIQDb4fbL7gAAAIUBAAATAAAAAAAAAAAA&#10;AAAAAAAAAABbQ29udGVudF9UeXBlc10ueG1sUEsBAi0AFAAGAAgAAAAhAFr0LFu/AAAAFQEAAAsA&#10;AAAAAAAAAAAAAAAAHwEAAF9yZWxzLy5yZWxzUEsBAi0AFAAGAAgAAAAhAHYhAanEAAAA3gAAAA8A&#10;AAAAAAAAAAAAAAAABwIAAGRycy9kb3ducmV2LnhtbFBLBQYAAAAAAwADALcAAAD4AgAAAAA=&#10;" filled="f" stroked="f">
                  <v:textbox inset="0,0,0,0">
                    <w:txbxContent>
                      <w:p w14:paraId="7662D0E5" w14:textId="77777777" w:rsidR="00B32EF2" w:rsidRDefault="00000000">
                        <w:r>
                          <w:rPr>
                            <w:rFonts w:ascii="Arial" w:eastAsia="Arial" w:hAnsi="Arial" w:cs="Arial"/>
                            <w:i/>
                            <w:sz w:val="18"/>
                          </w:rPr>
                          <w:t xml:space="preserve">e rilasciare copie su supporto cartaceo degli atti e dei documenti informatici </w:t>
                        </w:r>
                      </w:p>
                    </w:txbxContent>
                  </v:textbox>
                </v:rect>
                <v:rect id="Rectangle 18242" o:spid="_x0000_s3777" style="position:absolute;left:5281;top:7194;width:339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5/exQAAAN4AAAAPAAAAZHJzL2Rvd25yZXYueG1sRE9Na8JA&#10;EL0X/A/LCL3VTUORkLoJRRFz8KJV6HHIjkna7OySXU3sr+8WCr3N433OqpxML240+M6ygudFAoK4&#10;trrjRsHpffuUgfABWWNvmRTcyUNZzB5WmGs78oFux9CIGMI+RwVtCC6X0tctGfQL64gjd7GDwRDh&#10;0Eg94BjDTS/TJFlKgx3HhhYdrVuqv45Xo+Bjw67ajrK+fK/d/rPK+t31dFbqcT69vYIINIV/8Z+7&#10;0nF+lr6k8PtOvEEWPwAAAP//AwBQSwECLQAUAAYACAAAACEA2+H2y+4AAACFAQAAEwAAAAAAAAAA&#10;AAAAAAAAAAAAW0NvbnRlbnRfVHlwZXNdLnhtbFBLAQItABQABgAIAAAAIQBa9CxbvwAAABUBAAAL&#10;AAAAAAAAAAAAAAAAAB8BAABfcmVscy8ucmVsc1BLAQItABQABgAIAAAAIQCG85/exQAAAN4AAAAP&#10;AAAAAAAAAAAAAAAAAAcCAABkcnMvZG93bnJldi54bWxQSwUGAAAAAAMAAwC3AAAA+QIAAAAA&#10;" filled="f" stroked="f">
                  <v:textbox inset="0,0,0,0">
                    <w:txbxContent>
                      <w:p w14:paraId="1569D49E" w14:textId="77777777" w:rsidR="00B32EF2" w:rsidRDefault="00000000">
                        <w:r>
                          <w:rPr>
                            <w:rFonts w:ascii="Arial" w:eastAsia="Arial" w:hAnsi="Arial" w:cs="Arial"/>
                            <w:i/>
                            <w:sz w:val="18"/>
                          </w:rPr>
                          <w:t>ivi contenuti ai soggetti abilitati alla consultazione.</w:t>
                        </w:r>
                      </w:p>
                    </w:txbxContent>
                  </v:textbox>
                </v:rect>
                <v:rect id="Rectangle 200932" o:spid="_x0000_s3778" style="position:absolute;left:26143;top:5961;width:500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2aIxwAAAN8AAAAPAAAAZHJzL2Rvd25yZXYueG1sRI9PawIx&#10;FMTvBb9DeEJvNauFYlezIop0D15qFTw+Nm//6OYlbKK79dM3hUKPw8z8hlmuBtOKO3W+saxgOklA&#10;EBdWN1wpOH7tXuYgfEDW2FomBd/kYZWNnpaYatvzJ90PoRIRwj5FBXUILpXSFzUZ9BPriKNX2s5g&#10;iLKrpO6wj3DTylmSvEmDDceFGh1taiquh5tRcN6yy3e9LMrHxu0v+bz9uB1PSj2Ph/UCRKAh/If/&#10;2rlWEInvrzP4/RO/gMx+AAAA//8DAFBLAQItABQABgAIAAAAIQDb4fbL7gAAAIUBAAATAAAAAAAA&#10;AAAAAAAAAAAAAABbQ29udGVudF9UeXBlc10ueG1sUEsBAi0AFAAGAAgAAAAhAFr0LFu/AAAAFQEA&#10;AAsAAAAAAAAAAAAAAAAAHwEAAF9yZWxzLy5yZWxzUEsBAi0AFAAGAAgAAAAhAE5jZojHAAAA3wAA&#10;AA8AAAAAAAAAAAAAAAAABwIAAGRycy9kb3ducmV2LnhtbFBLBQYAAAAAAwADALcAAAD7AgAAAAA=&#10;" filled="f" stroked="f">
                  <v:textbox inset="0,0,0,0">
                    <w:txbxContent>
                      <w:p w14:paraId="7D7CBD4F" w14:textId="77777777" w:rsidR="00B32EF2" w:rsidRDefault="00000000">
                        <w:r>
                          <w:rPr>
                            <w:rFonts w:ascii="Arial" w:eastAsia="Arial" w:hAnsi="Arial" w:cs="Arial"/>
                            <w:i/>
                            <w:sz w:val="18"/>
                          </w:rPr>
                          <w:t>5</w:t>
                        </w:r>
                      </w:p>
                    </w:txbxContent>
                  </v:textbox>
                </v:rect>
                <v:rect id="Rectangle 200933" o:spid="_x0000_s3779" style="position:absolute;left:-11521;top:5961;width:500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8MTxwAAAN8AAAAPAAAAZHJzL2Rvd25yZXYueG1sRI9PawIx&#10;FMTvBb9DeEJvmrWC2K1ZEUW6h15qFTw+Nm//1M1L2ER3209vCkKPw8z8hlmtB9OKG3W+saxgNk1A&#10;EBdWN1wpOH7tJ0sQPiBrbC2Tgh/ysM5GTytMte35k26HUIkIYZ+igjoEl0rpi5oM+ql1xNErbWcw&#10;RNlVUnfYR7hp5UuSLKTBhuNCjY62NRWXw9UoOO/Y5fteFuXv1n1858v2/Xo8KfU8HjZvIAIN4T/8&#10;aOdaQSS+zufw9yd+AZndAQAA//8DAFBLAQItABQABgAIAAAAIQDb4fbL7gAAAIUBAAATAAAAAAAA&#10;AAAAAAAAAAAAAABbQ29udGVudF9UeXBlc10ueG1sUEsBAi0AFAAGAAgAAAAhAFr0LFu/AAAAFQEA&#10;AAsAAAAAAAAAAAAAAAAAHwEAAF9yZWxzLy5yZWxzUEsBAi0AFAAGAAgAAAAhACEvwxPHAAAA3wAA&#10;AA8AAAAAAAAAAAAAAAAABwIAAGRycy9kb3ducmV2LnhtbFBLBQYAAAAAAwADALcAAAD7AgAAAAA=&#10;" filled="f" stroked="f">
                  <v:textbox inset="0,0,0,0">
                    <w:txbxContent>
                      <w:p w14:paraId="42368C53" w14:textId="77777777" w:rsidR="00B32EF2" w:rsidRDefault="00000000">
                        <w:r>
                          <w:rPr>
                            <w:rFonts w:ascii="Arial" w:eastAsia="Arial" w:hAnsi="Arial" w:cs="Arial"/>
                            <w:i/>
                            <w:sz w:val="18"/>
                          </w:rPr>
                          <w:t>. Nel caso di richiesta delle parti di ottenere copia autentica degli atti con</w:t>
                        </w:r>
                      </w:p>
                    </w:txbxContent>
                  </v:textbox>
                </v:rect>
                <v:rect id="Rectangle 18244" o:spid="_x0000_s3780" style="position:absolute;left:1038;top:5961;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qIxxAAAAN4AAAAPAAAAZHJzL2Rvd25yZXYueG1sRE9Na8JA&#10;EL0L/odlCt50U5ESUlcRRczBS20KPQ7ZMUnNzi7Z1UR/vVso9DaP9znL9WBacaPON5YVvM4SEMSl&#10;1Q1XCorP/TQF4QOyxtYyKbiTh/VqPFpipm3PH3Q7hUrEEPYZKqhDcJmUvqzJoJ9ZRxy5s+0Mhgi7&#10;SuoO+xhuWjlPkjdpsOHYUKOjbU3l5XQ1Cr537PJ9L8vzY+uOP3naHq7Fl1KTl2HzDiLQEP7Ff+5c&#10;x/npfLGA33fiDXL1BAAA//8DAFBLAQItABQABgAIAAAAIQDb4fbL7gAAAIUBAAATAAAAAAAAAAAA&#10;AAAAAAAAAABbQ29udGVudF9UeXBlc10ueG1sUEsBAi0AFAAGAAgAAAAhAFr0LFu/AAAAFQEAAAsA&#10;AAAAAAAAAAAAAAAAHwEAAF9yZWxzLy5yZWxzUEsBAi0AFAAGAAgAAAAhAGZWojHEAAAA3gAAAA8A&#10;AAAAAAAAAAAAAAAABwIAAGRycy9kb3ducmV2LnhtbFBLBQYAAAAAAwADALcAAAD4AgAAAAA=&#10;" filled="f" stroked="f">
                  <v:textbox inset="0,0,0,0">
                    <w:txbxContent>
                      <w:p w14:paraId="6C81DAC2" w14:textId="77777777" w:rsidR="00B32EF2" w:rsidRDefault="00000000">
                        <w:r>
                          <w:rPr>
                            <w:rFonts w:ascii="Arial" w:eastAsia="Arial" w:hAnsi="Arial" w:cs="Arial"/>
                            <w:i/>
                            <w:sz w:val="18"/>
                          </w:rPr>
                          <w:t>-</w:t>
                        </w:r>
                      </w:p>
                    </w:txbxContent>
                  </v:textbox>
                </v:rect>
                <v:rect id="Rectangle 18245" o:spid="_x0000_s3781" style="position:absolute;left:-11846;top:4728;width:5114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geqxQAAAN4AAAAPAAAAZHJzL2Rvd25yZXYueG1sRE9La8JA&#10;EL4X/A/LCN7qRmlLiK4iijSHXuoDPA7ZMYlmZ5fsamJ/fbdQ8DYf33Pmy9404k6try0rmIwTEMSF&#10;1TWXCg777WsKwgdkjY1lUvAgD8vF4GWOmbYdf9N9F0oRQ9hnqKAKwWVS+qIig35sHXHkzrY1GCJs&#10;S6lb7GK4aeQ0ST6kwZpjQ4WO1hUV193NKDht2OXbThbnn7X7uuRp83k7HJUaDfvVDESgPjzF/+5c&#10;x/np9O0d/t6JN8jFLwAAAP//AwBQSwECLQAUAAYACAAAACEA2+H2y+4AAACFAQAAEwAAAAAAAAAA&#10;AAAAAAAAAAAAW0NvbnRlbnRfVHlwZXNdLnhtbFBLAQItABQABgAIAAAAIQBa9CxbvwAAABUBAAAL&#10;AAAAAAAAAAAAAAAAAB8BAABfcmVscy8ucmVsc1BLAQItABQABgAIAAAAIQAJGgeqxQAAAN4AAAAP&#10;AAAAAAAAAAAAAAAAAAcCAABkcnMvZG93bnJldi54bWxQSwUGAAAAAAMAAwC3AAAA+QIAAAAA&#10;" filled="f" stroked="f">
                  <v:textbox inset="0,0,0,0">
                    <w:txbxContent>
                      <w:p w14:paraId="6D6EFF7A" w14:textId="77777777" w:rsidR="00B32EF2" w:rsidRDefault="00000000">
                        <w:r>
                          <w:rPr>
                            <w:rFonts w:ascii="Arial" w:eastAsia="Arial" w:hAnsi="Arial" w:cs="Arial"/>
                            <w:i/>
                            <w:sz w:val="18"/>
                          </w:rPr>
                          <w:t xml:space="preserve">tenuti nel fascicolo informatico, ai sensi degli articoli 25 e 38 del decreto </w:t>
                        </w:r>
                      </w:p>
                    </w:txbxContent>
                  </v:textbox>
                </v:rect>
                <v:rect id="Rectangle 18246" o:spid="_x0000_s3782" style="position:absolute;left:-10825;top:3494;width:500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ndxAAAAN4AAAAPAAAAZHJzL2Rvd25yZXYueG1sRE9Na8JA&#10;EL0X/A/LFLzVTaVISF1FFGkOXqoRPA7ZMUnNzi7Z1UR/fbdQ8DaP9znz5WBacaPON5YVvE8SEMSl&#10;1Q1XCorD9i0F4QOyxtYyKbiTh+Vi9DLHTNuev+m2D5WIIewzVFCH4DIpfVmTQT+xjjhyZ9sZDBF2&#10;ldQd9jHctHKaJDNpsOHYUKOjdU3lZX81Ck4bdvm2l+X5sXa7nzxtv67FUanx67D6BBFoCE/xvzvX&#10;cX46/ZjB3zvxBrn4BQAA//8DAFBLAQItABQABgAIAAAAIQDb4fbL7gAAAIUBAAATAAAAAAAAAAAA&#10;AAAAAAAAAABbQ29udGVudF9UeXBlc10ueG1sUEsBAi0AFAAGAAgAAAAhAFr0LFu/AAAAFQEAAAsA&#10;AAAAAAAAAAAAAAAAHwEAAF9yZWxzLy5yZWxzUEsBAi0AFAAGAAgAAAAhAPnImd3EAAAA3gAAAA8A&#10;AAAAAAAAAAAAAAAABwIAAGRycy9kb3ducmV2LnhtbFBLBQYAAAAAAwADALcAAAD4AgAAAAA=&#10;" filled="f" stroked="f">
                  <v:textbox inset="0,0,0,0">
                    <w:txbxContent>
                      <w:p w14:paraId="368688CF" w14:textId="77777777" w:rsidR="00B32EF2" w:rsidRDefault="00000000">
                        <w:r>
                          <w:rPr>
                            <w:rFonts w:ascii="Arial" w:eastAsia="Arial" w:hAnsi="Arial" w:cs="Arial"/>
                            <w:i/>
                            <w:sz w:val="18"/>
                          </w:rPr>
                          <w:t>legislativo 31 dicembre 1992, n. 546, l’ufficio di segreteria della Commissio</w:t>
                        </w:r>
                      </w:p>
                    </w:txbxContent>
                  </v:textbox>
                </v:rect>
                <v:rect id="Rectangle 18247" o:spid="_x0000_s3783" style="position:absolute;left:1038;top:3494;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DxGxQAAAN4AAAAPAAAAZHJzL2Rvd25yZXYueG1sRE9La8JA&#10;EL4X/A/LCN7qRiltiK4iijSHXuoDPA7ZMYlmZ5fsamJ/fbdQ8DYf33Pmy9404k6try0rmIwTEMSF&#10;1TWXCg777WsKwgdkjY1lUvAgD8vF4GWOmbYdf9N9F0oRQ9hnqKAKwWVS+qIig35sHXHkzrY1GCJs&#10;S6lb7GK4aeQ0Sd6lwZpjQ4WO1hUV193NKDht2OXbThbnn7X7uuRp83k7HJUaDfvVDESgPjzF/+5c&#10;x/np9O0D/t6JN8jFLwAAAP//AwBQSwECLQAUAAYACAAAACEA2+H2y+4AAACFAQAAEwAAAAAAAAAA&#10;AAAAAAAAAAAAW0NvbnRlbnRfVHlwZXNdLnhtbFBLAQItABQABgAIAAAAIQBa9CxbvwAAABUBAAAL&#10;AAAAAAAAAAAAAAAAAB8BAABfcmVscy8ucmVsc1BLAQItABQABgAIAAAAIQCWhDxGxQAAAN4AAAAP&#10;AAAAAAAAAAAAAAAAAAcCAABkcnMvZG93bnJldi54bWxQSwUGAAAAAAMAAwC3AAAA+QIAAAAA&#10;" filled="f" stroked="f">
                  <v:textbox inset="0,0,0,0">
                    <w:txbxContent>
                      <w:p w14:paraId="1546D1A5" w14:textId="77777777" w:rsidR="00B32EF2" w:rsidRDefault="00000000">
                        <w:r>
                          <w:rPr>
                            <w:rFonts w:ascii="Arial" w:eastAsia="Arial" w:hAnsi="Arial" w:cs="Arial"/>
                            <w:i/>
                            <w:sz w:val="18"/>
                          </w:rPr>
                          <w:t>-</w:t>
                        </w:r>
                      </w:p>
                    </w:txbxContent>
                  </v:textbox>
                </v:rect>
                <v:rect id="Rectangle 18248" o:spid="_x0000_s3784" style="position:absolute;left:-11827;top:2261;width:510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6g0yAAAAN4AAAAPAAAAZHJzL2Rvd25yZXYueG1sRI9Pa8Mw&#10;DMXvg30Ho8Fuq7MyRkjrltJRlsMu/TPYUcRqkjaWTew22T59dRj0JvGe3vtpvhxdp67Ux9azgddJ&#10;Boq48rbl2sBhv3nJQcWEbLHzTAZ+KcJy8fgwx8L6gbd03aVaSQjHAg00KYVC61g15DBOfCAW7eh7&#10;h0nWvta2x0HCXaenWfauHbYsDQ0GWjdUnXcXZ+Dng0O5GXR1/FuHr1OZd5+Xw7cxz0/jagYq0Zju&#10;5v/r0gp+Pn0TXnlHZtCLGwAAAP//AwBQSwECLQAUAAYACAAAACEA2+H2y+4AAACFAQAAEwAAAAAA&#10;AAAAAAAAAAAAAAAAW0NvbnRlbnRfVHlwZXNdLnhtbFBLAQItABQABgAIAAAAIQBa9CxbvwAAABUB&#10;AAALAAAAAAAAAAAAAAAAAB8BAABfcmVscy8ucmVsc1BLAQItABQABgAIAAAAIQDnG6g0yAAAAN4A&#10;AAAPAAAAAAAAAAAAAAAAAAcCAABkcnMvZG93bnJldi54bWxQSwUGAAAAAAMAAwC3AAAA/AIAAAAA&#10;" filled="f" stroked="f">
                  <v:textbox inset="0,0,0,0">
                    <w:txbxContent>
                      <w:p w14:paraId="75E3BD56" w14:textId="77777777" w:rsidR="00B32EF2" w:rsidRDefault="00000000">
                        <w:r>
                          <w:rPr>
                            <w:rFonts w:ascii="Arial" w:eastAsia="Arial" w:hAnsi="Arial" w:cs="Arial"/>
                            <w:i/>
                            <w:sz w:val="18"/>
                          </w:rPr>
                          <w:t xml:space="preserve">ne tributaria, previo pagamento delle spese, provvede all’invio della copia </w:t>
                        </w:r>
                      </w:p>
                    </w:txbxContent>
                  </v:textbox>
                </v:rect>
                <v:rect id="Rectangle 18249" o:spid="_x0000_s3785" style="position:absolute;left:25630;top:1028;width:13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w2vxQAAAN4AAAAPAAAAZHJzL2Rvd25yZXYueG1sRE9La8JA&#10;EL4X/A/LCN7qRiklRlcRRZpDL/UBHofsmESzs0t2NbG/vlso9DYf33MWq9404kGtry0rmIwTEMSF&#10;1TWXCo6H3WsKwgdkjY1lUvAkD6vl4GWBmbYdf9FjH0oRQ9hnqKAKwWVS+qIig35sHXHkLrY1GCJs&#10;S6lb7GK4aeQ0Sd6lwZpjQ4WONhUVt/3dKDhv2eW7ThaX7437vOZp83E/npQaDfv1HESgPvyL/9y5&#10;jvPT6dsMft+JN8jlDwAAAP//AwBQSwECLQAUAAYACAAAACEA2+H2y+4AAACFAQAAEwAAAAAAAAAA&#10;AAAAAAAAAAAAW0NvbnRlbnRfVHlwZXNdLnhtbFBLAQItABQABgAIAAAAIQBa9CxbvwAAABUBAAAL&#10;AAAAAAAAAAAAAAAAAB8BAABfcmVscy8ucmVsc1BLAQItABQABgAIAAAAIQCIVw2vxQAAAN4AAAAP&#10;AAAAAAAAAAAAAAAAAAcCAABkcnMvZG93bnJldi54bWxQSwUGAAAAAAMAAwC3AAAA+QIAAAAA&#10;" filled="f" stroked="f">
                  <v:textbox inset="0,0,0,0">
                    <w:txbxContent>
                      <w:p w14:paraId="7F4AF1D9" w14:textId="77777777" w:rsidR="00B32EF2" w:rsidRDefault="00000000">
                        <w:r>
                          <w:rPr>
                            <w:rFonts w:ascii="Arial" w:eastAsia="Arial" w:hAnsi="Arial" w:cs="Arial"/>
                            <w:i/>
                            <w:sz w:val="18"/>
                          </w:rPr>
                          <w:t>stessa tramite PEC.</w:t>
                        </w:r>
                      </w:p>
                    </w:txbxContent>
                  </v:textbox>
                </v:rect>
                <v:shape id="Shape 18250" o:spid="_x0000_s3786" style="position:absolute;left:381;width:39600;height:34073;visibility:visible;mso-wrap-style:square;v-text-anchor:top" coordsize="3960000,3407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4z6xgAAAN4AAAAPAAAAZHJzL2Rvd25yZXYueG1sRI/BasNA&#10;DETvhf7DokJvzbqBhuBkE+JCobdQ1x8gvKrtxKt1vYrj9OurQ6E3CY1m5m33c+jNRGPqIjt4XmRg&#10;iOvoO24cVJ9vT2swSZA99pHJwY0S7Hf3d1vMfbzyB02lNEZNOOXooBUZcmtT3VLAtIgDsd6+4hhQ&#10;dB0b60e8qnno7TLLVjZgx5rQ4kCvLdXn8hIcHAo8Tt/FrVhdfqpzeZTqdJLKuceH+bABIzTLv/jv&#10;+91r/fXyRQEUR2ewu18AAAD//wMAUEsBAi0AFAAGAAgAAAAhANvh9svuAAAAhQEAABMAAAAAAAAA&#10;AAAAAAAAAAAAAFtDb250ZW50X1R5cGVzXS54bWxQSwECLQAUAAYACAAAACEAWvQsW78AAAAVAQAA&#10;CwAAAAAAAAAAAAAAAAAfAQAAX3JlbHMvLnJlbHNQSwECLQAUAAYACAAAACEA1mOM+sYAAADeAAAA&#10;DwAAAAAAAAAAAAAAAAAHAgAAZHJzL2Rvd25yZXYueG1sUEsFBgAAAAADAAMAtwAAAPoCAAAAAA==&#10;" path="m,3407296r3960000,l3960000,,,,,3407296xe" filled="f" strokeweight="1pt">
                  <v:stroke miterlimit="1" joinstyle="miter"/>
                  <v:path arrowok="t" textboxrect="0,0,3960000,3407296"/>
                </v:shape>
                <w10:anchorlock/>
              </v:group>
            </w:pict>
          </mc:Fallback>
        </mc:AlternateContent>
      </w:r>
    </w:p>
    <w:p w14:paraId="5720892C" w14:textId="77777777" w:rsidR="00B32EF2" w:rsidRDefault="00000000">
      <w:pPr>
        <w:spacing w:after="0"/>
        <w:ind w:left="-356" w:right="-306"/>
      </w:pPr>
      <w:r>
        <w:rPr>
          <w:noProof/>
        </w:rPr>
        <w:lastRenderedPageBreak/>
        <mc:AlternateContent>
          <mc:Choice Requires="wpg">
            <w:drawing>
              <wp:inline distT="0" distB="0" distL="0" distR="0" wp14:anchorId="5F992D79" wp14:editId="12725360">
                <wp:extent cx="3991893" cy="6262854"/>
                <wp:effectExtent l="0" t="0" r="0" b="0"/>
                <wp:docPr id="201010" name="Group 201010"/>
                <wp:cNvGraphicFramePr/>
                <a:graphic xmlns:a="http://schemas.openxmlformats.org/drawingml/2006/main">
                  <a:graphicData uri="http://schemas.microsoft.com/office/word/2010/wordprocessingGroup">
                    <wpg:wgp>
                      <wpg:cNvGrpSpPr/>
                      <wpg:grpSpPr>
                        <a:xfrm>
                          <a:off x="0" y="0"/>
                          <a:ext cx="3991893" cy="6262854"/>
                          <a:chOff x="0" y="0"/>
                          <a:chExt cx="3991893" cy="6262854"/>
                        </a:xfrm>
                      </wpg:grpSpPr>
                      <wps:wsp>
                        <wps:cNvPr id="18329" name="Rectangle 18329"/>
                        <wps:cNvSpPr/>
                        <wps:spPr>
                          <a:xfrm rot="-10799999">
                            <a:off x="1900579" y="-62190"/>
                            <a:ext cx="178369" cy="250646"/>
                          </a:xfrm>
                          <a:prstGeom prst="rect">
                            <a:avLst/>
                          </a:prstGeom>
                          <a:ln>
                            <a:noFill/>
                          </a:ln>
                        </wps:spPr>
                        <wps:txbx>
                          <w:txbxContent>
                            <w:p w14:paraId="4E2B76D8" w14:textId="77777777" w:rsidR="00B32EF2" w:rsidRDefault="00000000">
                              <w:r>
                                <w:rPr>
                                  <w:rFonts w:ascii="Times New Roman" w:eastAsia="Times New Roman" w:hAnsi="Times New Roman" w:cs="Times New Roman"/>
                                </w:rPr>
                                <w:t>64</w:t>
                              </w:r>
                            </w:p>
                          </w:txbxContent>
                        </wps:txbx>
                        <wps:bodyPr horzOverflow="overflow" vert="horz" lIns="0" tIns="0" rIns="0" bIns="0" rtlCol="0">
                          <a:noAutofit/>
                        </wps:bodyPr>
                      </wps:wsp>
                      <wps:wsp>
                        <wps:cNvPr id="18330" name="Rectangle 18330"/>
                        <wps:cNvSpPr/>
                        <wps:spPr>
                          <a:xfrm rot="-10799999">
                            <a:off x="-1274859" y="6119964"/>
                            <a:ext cx="5265954" cy="142890"/>
                          </a:xfrm>
                          <a:prstGeom prst="rect">
                            <a:avLst/>
                          </a:prstGeom>
                          <a:ln>
                            <a:noFill/>
                          </a:ln>
                        </wps:spPr>
                        <wps:txbx>
                          <w:txbxContent>
                            <w:p w14:paraId="33528C82" w14:textId="77777777" w:rsidR="00B32EF2" w:rsidRDefault="00000000">
                              <w:r>
                                <w:rPr>
                                  <w:rFonts w:ascii="Arial" w:eastAsia="Arial" w:hAnsi="Arial" w:cs="Arial"/>
                                  <w:sz w:val="18"/>
                                </w:rPr>
                                <w:t>originale ed in numero di copie in carta semplice pari a quello delle altre parti.</w:t>
                              </w:r>
                            </w:p>
                          </w:txbxContent>
                        </wps:txbx>
                        <wps:bodyPr horzOverflow="overflow" vert="horz" lIns="0" tIns="0" rIns="0" bIns="0" rtlCol="0">
                          <a:noAutofit/>
                        </wps:bodyPr>
                      </wps:wsp>
                      <wps:wsp>
                        <wps:cNvPr id="200996" name="Rectangle 200996"/>
                        <wps:cNvSpPr/>
                        <wps:spPr>
                          <a:xfrm rot="-10799999">
                            <a:off x="-1285196" y="5996634"/>
                            <a:ext cx="5212535" cy="142891"/>
                          </a:xfrm>
                          <a:prstGeom prst="rect">
                            <a:avLst/>
                          </a:prstGeom>
                          <a:ln>
                            <a:noFill/>
                          </a:ln>
                        </wps:spPr>
                        <wps:txbx>
                          <w:txbxContent>
                            <w:p w14:paraId="70C3CB6F" w14:textId="77777777" w:rsidR="00B32EF2" w:rsidRDefault="00000000">
                              <w:r>
                                <w:rPr>
                                  <w:rFonts w:ascii="Arial" w:eastAsia="Arial" w:hAnsi="Arial" w:cs="Arial"/>
                                  <w:sz w:val="18"/>
                                </w:rPr>
                                <w:t>. L’integrazione dei motivi di ricorso, resa necessaria dal deposito di docu</w:t>
                              </w:r>
                            </w:p>
                          </w:txbxContent>
                        </wps:txbx>
                        <wps:bodyPr horzOverflow="overflow" vert="horz" lIns="0" tIns="0" rIns="0" bIns="0" rtlCol="0">
                          <a:noAutofit/>
                        </wps:bodyPr>
                      </wps:wsp>
                      <wps:wsp>
                        <wps:cNvPr id="200995" name="Rectangle 200995"/>
                        <wps:cNvSpPr/>
                        <wps:spPr>
                          <a:xfrm rot="-10799999">
                            <a:off x="2635008" y="5996634"/>
                            <a:ext cx="5212535" cy="142891"/>
                          </a:xfrm>
                          <a:prstGeom prst="rect">
                            <a:avLst/>
                          </a:prstGeom>
                          <a:ln>
                            <a:noFill/>
                          </a:ln>
                        </wps:spPr>
                        <wps:txbx>
                          <w:txbxContent>
                            <w:p w14:paraId="66E09172"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8332" name="Rectangle 18332"/>
                        <wps:cNvSpPr/>
                        <wps:spPr>
                          <a:xfrm rot="-10799999">
                            <a:off x="19295" y="5996635"/>
                            <a:ext cx="50622" cy="142890"/>
                          </a:xfrm>
                          <a:prstGeom prst="rect">
                            <a:avLst/>
                          </a:prstGeom>
                          <a:ln>
                            <a:noFill/>
                          </a:ln>
                        </wps:spPr>
                        <wps:txbx>
                          <w:txbxContent>
                            <w:p w14:paraId="2C191E6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333" name="Rectangle 18333"/>
                        <wps:cNvSpPr/>
                        <wps:spPr>
                          <a:xfrm rot="-10799999">
                            <a:off x="-1220761" y="5873305"/>
                            <a:ext cx="5212656" cy="142889"/>
                          </a:xfrm>
                          <a:prstGeom prst="rect">
                            <a:avLst/>
                          </a:prstGeom>
                          <a:ln>
                            <a:noFill/>
                          </a:ln>
                        </wps:spPr>
                        <wps:txbx>
                          <w:txbxContent>
                            <w:p w14:paraId="0855A060" w14:textId="77777777" w:rsidR="00B32EF2" w:rsidRDefault="00000000">
                              <w:r>
                                <w:rPr>
                                  <w:rFonts w:ascii="Arial" w:eastAsia="Arial" w:hAnsi="Arial" w:cs="Arial"/>
                                  <w:sz w:val="18"/>
                                </w:rPr>
                                <w:t>menti non conosciuti ad opera delle altre parti o per ordine della corte di giu</w:t>
                              </w:r>
                            </w:p>
                          </w:txbxContent>
                        </wps:txbx>
                        <wps:bodyPr horzOverflow="overflow" vert="horz" lIns="0" tIns="0" rIns="0" bIns="0" rtlCol="0">
                          <a:noAutofit/>
                        </wps:bodyPr>
                      </wps:wsp>
                      <wps:wsp>
                        <wps:cNvPr id="18334" name="Rectangle 18334"/>
                        <wps:cNvSpPr/>
                        <wps:spPr>
                          <a:xfrm rot="-10799999">
                            <a:off x="19295" y="5873305"/>
                            <a:ext cx="50622" cy="142889"/>
                          </a:xfrm>
                          <a:prstGeom prst="rect">
                            <a:avLst/>
                          </a:prstGeom>
                          <a:ln>
                            <a:noFill/>
                          </a:ln>
                        </wps:spPr>
                        <wps:txbx>
                          <w:txbxContent>
                            <w:p w14:paraId="1DD7721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335" name="Rectangle 18335"/>
                        <wps:cNvSpPr/>
                        <wps:spPr>
                          <a:xfrm rot="-10799999">
                            <a:off x="-1317127" y="5749976"/>
                            <a:ext cx="5309021" cy="142889"/>
                          </a:xfrm>
                          <a:prstGeom prst="rect">
                            <a:avLst/>
                          </a:prstGeom>
                          <a:ln>
                            <a:noFill/>
                          </a:ln>
                        </wps:spPr>
                        <wps:txbx>
                          <w:txbxContent>
                            <w:p w14:paraId="0A243486" w14:textId="77777777" w:rsidR="00B32EF2" w:rsidRDefault="00000000">
                              <w:r>
                                <w:rPr>
                                  <w:rFonts w:ascii="Arial" w:eastAsia="Arial" w:hAnsi="Arial" w:cs="Arial"/>
                                  <w:sz w:val="18"/>
                                </w:rPr>
                                <w:t xml:space="preserve">stizia tributaria, è ammessa entro il termine perentorio di sessanta giorni dalla </w:t>
                              </w:r>
                            </w:p>
                          </w:txbxContent>
                        </wps:txbx>
                        <wps:bodyPr horzOverflow="overflow" vert="horz" lIns="0" tIns="0" rIns="0" bIns="0" rtlCol="0">
                          <a:noAutofit/>
                        </wps:bodyPr>
                      </wps:wsp>
                      <wps:wsp>
                        <wps:cNvPr id="18336" name="Rectangle 18336"/>
                        <wps:cNvSpPr/>
                        <wps:spPr>
                          <a:xfrm rot="-10799999">
                            <a:off x="615293" y="5626646"/>
                            <a:ext cx="3376601" cy="142889"/>
                          </a:xfrm>
                          <a:prstGeom prst="rect">
                            <a:avLst/>
                          </a:prstGeom>
                          <a:ln>
                            <a:noFill/>
                          </a:ln>
                        </wps:spPr>
                        <wps:txbx>
                          <w:txbxContent>
                            <w:p w14:paraId="507C4C34" w14:textId="77777777" w:rsidR="00B32EF2" w:rsidRDefault="00000000">
                              <w:r>
                                <w:rPr>
                                  <w:rFonts w:ascii="Arial" w:eastAsia="Arial" w:hAnsi="Arial" w:cs="Arial"/>
                                  <w:sz w:val="18"/>
                                </w:rPr>
                                <w:t>data in cui l’interessato ha notizia di tale deposito.</w:t>
                              </w:r>
                            </w:p>
                          </w:txbxContent>
                        </wps:txbx>
                        <wps:bodyPr horzOverflow="overflow" vert="horz" lIns="0" tIns="0" rIns="0" bIns="0" rtlCol="0">
                          <a:noAutofit/>
                        </wps:bodyPr>
                      </wps:wsp>
                      <wps:wsp>
                        <wps:cNvPr id="200985" name="Rectangle 200985"/>
                        <wps:cNvSpPr/>
                        <wps:spPr>
                          <a:xfrm rot="-10799999">
                            <a:off x="2611071" y="5503316"/>
                            <a:ext cx="5309005" cy="142889"/>
                          </a:xfrm>
                          <a:prstGeom prst="rect">
                            <a:avLst/>
                          </a:prstGeom>
                          <a:ln>
                            <a:noFill/>
                          </a:ln>
                        </wps:spPr>
                        <wps:txbx>
                          <w:txbxContent>
                            <w:p w14:paraId="2BA2D862"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0986" name="Rectangle 200986"/>
                        <wps:cNvSpPr/>
                        <wps:spPr>
                          <a:xfrm rot="-10799999">
                            <a:off x="-1381634" y="5503316"/>
                            <a:ext cx="5309005" cy="142889"/>
                          </a:xfrm>
                          <a:prstGeom prst="rect">
                            <a:avLst/>
                          </a:prstGeom>
                          <a:ln>
                            <a:noFill/>
                          </a:ln>
                        </wps:spPr>
                        <wps:txbx>
                          <w:txbxContent>
                            <w:p w14:paraId="2CABB60A" w14:textId="77777777" w:rsidR="00B32EF2" w:rsidRDefault="00000000">
                              <w:r>
                                <w:rPr>
                                  <w:rFonts w:ascii="Arial" w:eastAsia="Arial" w:hAnsi="Arial" w:cs="Arial"/>
                                  <w:sz w:val="18"/>
                                </w:rPr>
                                <w:t xml:space="preserve">. Se è stata già fissata la trattazione della controversia, l’interessato, a pena </w:t>
                              </w:r>
                            </w:p>
                          </w:txbxContent>
                        </wps:txbx>
                        <wps:bodyPr horzOverflow="overflow" vert="horz" lIns="0" tIns="0" rIns="0" bIns="0" rtlCol="0">
                          <a:noAutofit/>
                        </wps:bodyPr>
                      </wps:wsp>
                      <wps:wsp>
                        <wps:cNvPr id="18338" name="Rectangle 18338"/>
                        <wps:cNvSpPr/>
                        <wps:spPr>
                          <a:xfrm rot="-10799999">
                            <a:off x="-1220457" y="5379987"/>
                            <a:ext cx="5212351" cy="142889"/>
                          </a:xfrm>
                          <a:prstGeom prst="rect">
                            <a:avLst/>
                          </a:prstGeom>
                          <a:ln>
                            <a:noFill/>
                          </a:ln>
                        </wps:spPr>
                        <wps:txbx>
                          <w:txbxContent>
                            <w:p w14:paraId="2E09A4B0" w14:textId="77777777" w:rsidR="00B32EF2" w:rsidRDefault="00000000">
                              <w:r>
                                <w:rPr>
                                  <w:rFonts w:ascii="Arial" w:eastAsia="Arial" w:hAnsi="Arial" w:cs="Arial"/>
                                  <w:sz w:val="18"/>
                                </w:rPr>
                                <w:t>di inammissibilità, deve dichiarare, non oltre la trattazione in camera di consi</w:t>
                              </w:r>
                            </w:p>
                          </w:txbxContent>
                        </wps:txbx>
                        <wps:bodyPr horzOverflow="overflow" vert="horz" lIns="0" tIns="0" rIns="0" bIns="0" rtlCol="0">
                          <a:noAutofit/>
                        </wps:bodyPr>
                      </wps:wsp>
                      <wps:wsp>
                        <wps:cNvPr id="18339" name="Rectangle 18339"/>
                        <wps:cNvSpPr/>
                        <wps:spPr>
                          <a:xfrm rot="-10799999">
                            <a:off x="19295" y="5379986"/>
                            <a:ext cx="50622" cy="142889"/>
                          </a:xfrm>
                          <a:prstGeom prst="rect">
                            <a:avLst/>
                          </a:prstGeom>
                          <a:ln>
                            <a:noFill/>
                          </a:ln>
                        </wps:spPr>
                        <wps:txbx>
                          <w:txbxContent>
                            <w:p w14:paraId="69E5243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340" name="Rectangle 18340"/>
                        <wps:cNvSpPr/>
                        <wps:spPr>
                          <a:xfrm rot="-10799999">
                            <a:off x="-1317127" y="5256657"/>
                            <a:ext cx="5309021" cy="142889"/>
                          </a:xfrm>
                          <a:prstGeom prst="rect">
                            <a:avLst/>
                          </a:prstGeom>
                          <a:ln>
                            <a:noFill/>
                          </a:ln>
                        </wps:spPr>
                        <wps:txbx>
                          <w:txbxContent>
                            <w:p w14:paraId="34432D22" w14:textId="77777777" w:rsidR="00B32EF2" w:rsidRDefault="00000000">
                              <w:r>
                                <w:rPr>
                                  <w:rFonts w:ascii="Arial" w:eastAsia="Arial" w:hAnsi="Arial" w:cs="Arial"/>
                                  <w:sz w:val="18"/>
                                </w:rPr>
                                <w:t xml:space="preserve">glio o la discussione in pubblica udienza, che intende proporre motivi aggiunti. </w:t>
                              </w:r>
                            </w:p>
                          </w:txbxContent>
                        </wps:txbx>
                        <wps:bodyPr horzOverflow="overflow" vert="horz" lIns="0" tIns="0" rIns="0" bIns="0" rtlCol="0">
                          <a:noAutofit/>
                        </wps:bodyPr>
                      </wps:wsp>
                      <wps:wsp>
                        <wps:cNvPr id="18341" name="Rectangle 18341"/>
                        <wps:cNvSpPr/>
                        <wps:spPr>
                          <a:xfrm rot="-10799999">
                            <a:off x="-1317096" y="5133327"/>
                            <a:ext cx="5308990" cy="142889"/>
                          </a:xfrm>
                          <a:prstGeom prst="rect">
                            <a:avLst/>
                          </a:prstGeom>
                          <a:ln>
                            <a:noFill/>
                          </a:ln>
                        </wps:spPr>
                        <wps:txbx>
                          <w:txbxContent>
                            <w:p w14:paraId="4D2EF779" w14:textId="77777777" w:rsidR="00B32EF2" w:rsidRDefault="00000000">
                              <w:r>
                                <w:rPr>
                                  <w:rFonts w:ascii="Arial" w:eastAsia="Arial" w:hAnsi="Arial" w:cs="Arial"/>
                                  <w:sz w:val="18"/>
                                </w:rPr>
                                <w:t xml:space="preserve">In tal caso la trattazione o l’udienza sono rinviate ad altra data per consentire </w:t>
                              </w:r>
                            </w:p>
                          </w:txbxContent>
                        </wps:txbx>
                        <wps:bodyPr horzOverflow="overflow" vert="horz" lIns="0" tIns="0" rIns="0" bIns="0" rtlCol="0">
                          <a:noAutofit/>
                        </wps:bodyPr>
                      </wps:wsp>
                      <wps:wsp>
                        <wps:cNvPr id="18342" name="Rectangle 18342"/>
                        <wps:cNvSpPr/>
                        <wps:spPr>
                          <a:xfrm rot="-10799999">
                            <a:off x="1639202" y="5009998"/>
                            <a:ext cx="2352692" cy="142889"/>
                          </a:xfrm>
                          <a:prstGeom prst="rect">
                            <a:avLst/>
                          </a:prstGeom>
                          <a:ln>
                            <a:noFill/>
                          </a:ln>
                        </wps:spPr>
                        <wps:txbx>
                          <w:txbxContent>
                            <w:p w14:paraId="207EA40A" w14:textId="77777777" w:rsidR="00B32EF2" w:rsidRDefault="00000000">
                              <w:r>
                                <w:rPr>
                                  <w:rFonts w:ascii="Arial" w:eastAsia="Arial" w:hAnsi="Arial" w:cs="Arial"/>
                                  <w:sz w:val="18"/>
                                </w:rPr>
                                <w:t>gli adempimenti di cui al comma 4.</w:t>
                              </w:r>
                            </w:p>
                          </w:txbxContent>
                        </wps:txbx>
                        <wps:bodyPr horzOverflow="overflow" vert="horz" lIns="0" tIns="0" rIns="0" bIns="0" rtlCol="0">
                          <a:noAutofit/>
                        </wps:bodyPr>
                      </wps:wsp>
                      <wps:wsp>
                        <wps:cNvPr id="200983" name="Rectangle 200983"/>
                        <wps:cNvSpPr/>
                        <wps:spPr>
                          <a:xfrm rot="-10799999">
                            <a:off x="2611079" y="4886668"/>
                            <a:ext cx="5308975" cy="142889"/>
                          </a:xfrm>
                          <a:prstGeom prst="rect">
                            <a:avLst/>
                          </a:prstGeom>
                          <a:ln>
                            <a:noFill/>
                          </a:ln>
                        </wps:spPr>
                        <wps:txbx>
                          <w:txbxContent>
                            <w:p w14:paraId="6AEC3C38"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0984" name="Rectangle 200984"/>
                        <wps:cNvSpPr/>
                        <wps:spPr>
                          <a:xfrm rot="-10799999">
                            <a:off x="-1380220" y="4886668"/>
                            <a:ext cx="5308975" cy="142889"/>
                          </a:xfrm>
                          <a:prstGeom prst="rect">
                            <a:avLst/>
                          </a:prstGeom>
                          <a:ln>
                            <a:noFill/>
                          </a:ln>
                        </wps:spPr>
                        <wps:txbx>
                          <w:txbxContent>
                            <w:p w14:paraId="3BC31C6C" w14:textId="77777777" w:rsidR="00B32EF2" w:rsidRDefault="00000000">
                              <w:r>
                                <w:rPr>
                                  <w:rFonts w:ascii="Arial" w:eastAsia="Arial" w:hAnsi="Arial" w:cs="Arial"/>
                                  <w:sz w:val="18"/>
                                </w:rPr>
                                <w:t xml:space="preserve">. L’integrazione dei motivi si effettua mediante atto avente i requisiti di cui </w:t>
                              </w:r>
                            </w:p>
                          </w:txbxContent>
                        </wps:txbx>
                        <wps:bodyPr horzOverflow="overflow" vert="horz" lIns="0" tIns="0" rIns="0" bIns="0" rtlCol="0">
                          <a:noAutofit/>
                        </wps:bodyPr>
                      </wps:wsp>
                      <wps:wsp>
                        <wps:cNvPr id="18344" name="Rectangle 18344"/>
                        <wps:cNvSpPr/>
                        <wps:spPr>
                          <a:xfrm rot="-10799999">
                            <a:off x="-1317172" y="4763338"/>
                            <a:ext cx="5309066" cy="142889"/>
                          </a:xfrm>
                          <a:prstGeom prst="rect">
                            <a:avLst/>
                          </a:prstGeom>
                          <a:ln>
                            <a:noFill/>
                          </a:ln>
                        </wps:spPr>
                        <wps:txbx>
                          <w:txbxContent>
                            <w:p w14:paraId="1D7BE659" w14:textId="77777777" w:rsidR="00B32EF2" w:rsidRDefault="00000000">
                              <w:r>
                                <w:rPr>
                                  <w:rFonts w:ascii="Arial" w:eastAsia="Arial" w:hAnsi="Arial" w:cs="Arial"/>
                                  <w:sz w:val="18"/>
                                </w:rPr>
                                <w:t xml:space="preserve">all’articolo 64 per quanto applicabile. Si applicano l’articolo 66, commi 1 e 2, </w:t>
                              </w:r>
                            </w:p>
                          </w:txbxContent>
                        </wps:txbx>
                        <wps:bodyPr horzOverflow="overflow" vert="horz" lIns="0" tIns="0" rIns="0" bIns="0" rtlCol="0">
                          <a:noAutofit/>
                        </wps:bodyPr>
                      </wps:wsp>
                      <wps:wsp>
                        <wps:cNvPr id="18345" name="Rectangle 18345"/>
                        <wps:cNvSpPr/>
                        <wps:spPr>
                          <a:xfrm rot="-10799999">
                            <a:off x="200282" y="4640009"/>
                            <a:ext cx="3791612" cy="142889"/>
                          </a:xfrm>
                          <a:prstGeom prst="rect">
                            <a:avLst/>
                          </a:prstGeom>
                          <a:ln>
                            <a:noFill/>
                          </a:ln>
                        </wps:spPr>
                        <wps:txbx>
                          <w:txbxContent>
                            <w:p w14:paraId="0B574301" w14:textId="77777777" w:rsidR="00B32EF2" w:rsidRDefault="00000000">
                              <w:r>
                                <w:rPr>
                                  <w:rFonts w:ascii="Arial" w:eastAsia="Arial" w:hAnsi="Arial" w:cs="Arial"/>
                                  <w:sz w:val="18"/>
                                </w:rPr>
                                <w:t>l’articolo 68, commi 1, 2, 3 e 5, e l’articolo 69, comma 3.</w:t>
                              </w:r>
                            </w:p>
                          </w:txbxContent>
                        </wps:txbx>
                        <wps:bodyPr horzOverflow="overflow" vert="horz" lIns="0" tIns="0" rIns="0" bIns="0" rtlCol="0">
                          <a:noAutofit/>
                        </wps:bodyPr>
                      </wps:wsp>
                      <wps:wsp>
                        <wps:cNvPr id="18346" name="Rectangle 18346"/>
                        <wps:cNvSpPr/>
                        <wps:spPr>
                          <a:xfrm rot="-10799999">
                            <a:off x="1511497" y="4393349"/>
                            <a:ext cx="801900" cy="142889"/>
                          </a:xfrm>
                          <a:prstGeom prst="rect">
                            <a:avLst/>
                          </a:prstGeom>
                          <a:ln>
                            <a:noFill/>
                          </a:ln>
                        </wps:spPr>
                        <wps:txbx>
                          <w:txbxContent>
                            <w:p w14:paraId="25EEF1F7" w14:textId="77777777" w:rsidR="00B32EF2" w:rsidRDefault="00000000">
                              <w:r>
                                <w:rPr>
                                  <w:rFonts w:ascii="Arial" w:eastAsia="Arial" w:hAnsi="Arial" w:cs="Arial"/>
                                  <w:b/>
                                  <w:sz w:val="18"/>
                                </w:rPr>
                                <w:t>Articolo 71</w:t>
                              </w:r>
                            </w:p>
                          </w:txbxContent>
                        </wps:txbx>
                        <wps:bodyPr horzOverflow="overflow" vert="horz" lIns="0" tIns="0" rIns="0" bIns="0" rtlCol="0">
                          <a:noAutofit/>
                        </wps:bodyPr>
                      </wps:wsp>
                      <wps:wsp>
                        <wps:cNvPr id="200978" name="Rectangle 200978"/>
                        <wps:cNvSpPr/>
                        <wps:spPr>
                          <a:xfrm rot="-10799999">
                            <a:off x="2222033" y="4270019"/>
                            <a:ext cx="1941389" cy="142889"/>
                          </a:xfrm>
                          <a:prstGeom prst="rect">
                            <a:avLst/>
                          </a:prstGeom>
                          <a:ln>
                            <a:noFill/>
                          </a:ln>
                        </wps:spPr>
                        <wps:txbx>
                          <w:txbxContent>
                            <w:p w14:paraId="5D4691E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981" name="Rectangle 200981"/>
                        <wps:cNvSpPr/>
                        <wps:spPr>
                          <a:xfrm rot="-10799999">
                            <a:off x="1163605" y="4270019"/>
                            <a:ext cx="1941389" cy="142889"/>
                          </a:xfrm>
                          <a:prstGeom prst="rect">
                            <a:avLst/>
                          </a:prstGeom>
                          <a:ln>
                            <a:noFill/>
                          </a:ln>
                        </wps:spPr>
                        <wps:txbx>
                          <w:txbxContent>
                            <w:p w14:paraId="6DA0308A" w14:textId="77777777" w:rsidR="00B32EF2" w:rsidRDefault="00000000">
                              <w:r>
                                <w:rPr>
                                  <w:rFonts w:ascii="Arial" w:eastAsia="Arial" w:hAnsi="Arial" w:cs="Arial"/>
                                  <w:i/>
                                  <w:sz w:val="18"/>
                                </w:rPr>
                                <w:t xml:space="preserve">articolo 25 D.lgs. n. </w:t>
                              </w:r>
                            </w:p>
                          </w:txbxContent>
                        </wps:txbx>
                        <wps:bodyPr horzOverflow="overflow" vert="horz" lIns="0" tIns="0" rIns="0" bIns="0" rtlCol="0">
                          <a:noAutofit/>
                        </wps:bodyPr>
                      </wps:wsp>
                      <wps:wsp>
                        <wps:cNvPr id="200980" name="Rectangle 200980"/>
                        <wps:cNvSpPr/>
                        <wps:spPr>
                          <a:xfrm rot="-10799999">
                            <a:off x="-260927" y="4270019"/>
                            <a:ext cx="1941389" cy="142889"/>
                          </a:xfrm>
                          <a:prstGeom prst="rect">
                            <a:avLst/>
                          </a:prstGeom>
                          <a:ln>
                            <a:noFill/>
                          </a:ln>
                        </wps:spPr>
                        <wps:txbx>
                          <w:txbxContent>
                            <w:p w14:paraId="1CB0175F"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8348" name="Rectangle 18348"/>
                        <wps:cNvSpPr/>
                        <wps:spPr>
                          <a:xfrm rot="-10799999">
                            <a:off x="-1169621" y="4146690"/>
                            <a:ext cx="5131569" cy="142889"/>
                          </a:xfrm>
                          <a:prstGeom prst="rect">
                            <a:avLst/>
                          </a:prstGeom>
                          <a:ln>
                            <a:noFill/>
                          </a:ln>
                        </wps:spPr>
                        <wps:txbx>
                          <w:txbxContent>
                            <w:p w14:paraId="24A132DA" w14:textId="77777777" w:rsidR="00B32EF2" w:rsidRDefault="00000000">
                              <w:r>
                                <w:rPr>
                                  <w:rFonts w:ascii="Arial" w:eastAsia="Arial" w:hAnsi="Arial" w:cs="Arial"/>
                                  <w:b/>
                                  <w:sz w:val="18"/>
                                </w:rPr>
                                <w:t>Iscrizione del ricorso nel registro generale. Fascicolo d’ufficio del pro</w:t>
                              </w:r>
                            </w:p>
                          </w:txbxContent>
                        </wps:txbx>
                        <wps:bodyPr horzOverflow="overflow" vert="horz" lIns="0" tIns="0" rIns="0" bIns="0" rtlCol="0">
                          <a:noAutofit/>
                        </wps:bodyPr>
                      </wps:wsp>
                      <wps:wsp>
                        <wps:cNvPr id="18349" name="Rectangle 18349"/>
                        <wps:cNvSpPr/>
                        <wps:spPr>
                          <a:xfrm rot="-10799999">
                            <a:off x="49356" y="4146689"/>
                            <a:ext cx="50622" cy="142889"/>
                          </a:xfrm>
                          <a:prstGeom prst="rect">
                            <a:avLst/>
                          </a:prstGeom>
                          <a:ln>
                            <a:noFill/>
                          </a:ln>
                        </wps:spPr>
                        <wps:txbx>
                          <w:txbxContent>
                            <w:p w14:paraId="497A5B5F" w14:textId="77777777" w:rsidR="00B32EF2" w:rsidRDefault="00000000">
                              <w:r>
                                <w:rPr>
                                  <w:rFonts w:ascii="Arial" w:eastAsia="Arial" w:hAnsi="Arial" w:cs="Arial"/>
                                  <w:b/>
                                  <w:sz w:val="18"/>
                                </w:rPr>
                                <w:t>-</w:t>
                              </w:r>
                            </w:p>
                          </w:txbxContent>
                        </wps:txbx>
                        <wps:bodyPr horzOverflow="overflow" vert="horz" lIns="0" tIns="0" rIns="0" bIns="0" rtlCol="0">
                          <a:noAutofit/>
                        </wps:bodyPr>
                      </wps:wsp>
                      <wps:wsp>
                        <wps:cNvPr id="18350" name="Rectangle 18350"/>
                        <wps:cNvSpPr/>
                        <wps:spPr>
                          <a:xfrm rot="-10799999">
                            <a:off x="822230" y="4023360"/>
                            <a:ext cx="1880931" cy="142889"/>
                          </a:xfrm>
                          <a:prstGeom prst="rect">
                            <a:avLst/>
                          </a:prstGeom>
                          <a:ln>
                            <a:noFill/>
                          </a:ln>
                        </wps:spPr>
                        <wps:txbx>
                          <w:txbxContent>
                            <w:p w14:paraId="6489DE76" w14:textId="77777777" w:rsidR="00B32EF2" w:rsidRDefault="00000000">
                              <w:r>
                                <w:rPr>
                                  <w:rFonts w:ascii="Arial" w:eastAsia="Arial" w:hAnsi="Arial" w:cs="Arial"/>
                                  <w:b/>
                                  <w:sz w:val="18"/>
                                </w:rPr>
                                <w:t xml:space="preserve">cesso e fascicoli di parte </w:t>
                              </w:r>
                            </w:p>
                          </w:txbxContent>
                        </wps:txbx>
                        <wps:bodyPr horzOverflow="overflow" vert="horz" lIns="0" tIns="0" rIns="0" bIns="0" rtlCol="0">
                          <a:noAutofit/>
                        </wps:bodyPr>
                      </wps:wsp>
                      <wps:wsp>
                        <wps:cNvPr id="200976" name="Rectangle 200976"/>
                        <wps:cNvSpPr/>
                        <wps:spPr>
                          <a:xfrm rot="-10799999">
                            <a:off x="-1376296" y="3900030"/>
                            <a:ext cx="5309005" cy="142889"/>
                          </a:xfrm>
                          <a:prstGeom prst="rect">
                            <a:avLst/>
                          </a:prstGeom>
                          <a:ln>
                            <a:noFill/>
                          </a:ln>
                        </wps:spPr>
                        <wps:txbx>
                          <w:txbxContent>
                            <w:p w14:paraId="59F357A6" w14:textId="77777777" w:rsidR="00B32EF2" w:rsidRDefault="00000000">
                              <w:r>
                                <w:rPr>
                                  <w:rFonts w:ascii="Arial" w:eastAsia="Arial" w:hAnsi="Arial" w:cs="Arial"/>
                                  <w:sz w:val="18"/>
                                </w:rPr>
                                <w:t xml:space="preserve">. La segreteria della corte di giustizia tributaria di primo e secondo grado </w:t>
                              </w:r>
                            </w:p>
                          </w:txbxContent>
                        </wps:txbx>
                        <wps:bodyPr horzOverflow="overflow" vert="horz" lIns="0" tIns="0" rIns="0" bIns="0" rtlCol="0">
                          <a:noAutofit/>
                        </wps:bodyPr>
                      </wps:wsp>
                      <wps:wsp>
                        <wps:cNvPr id="200975" name="Rectangle 200975"/>
                        <wps:cNvSpPr/>
                        <wps:spPr>
                          <a:xfrm rot="-10799999">
                            <a:off x="2611071" y="3900030"/>
                            <a:ext cx="5309006" cy="142889"/>
                          </a:xfrm>
                          <a:prstGeom prst="rect">
                            <a:avLst/>
                          </a:prstGeom>
                          <a:ln>
                            <a:noFill/>
                          </a:ln>
                        </wps:spPr>
                        <wps:txbx>
                          <w:txbxContent>
                            <w:p w14:paraId="4100C5E0"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8352" name="Rectangle 18352"/>
                        <wps:cNvSpPr/>
                        <wps:spPr>
                          <a:xfrm rot="-10799999">
                            <a:off x="-1317172" y="3776701"/>
                            <a:ext cx="5309066" cy="142889"/>
                          </a:xfrm>
                          <a:prstGeom prst="rect">
                            <a:avLst/>
                          </a:prstGeom>
                          <a:ln>
                            <a:noFill/>
                          </a:ln>
                        </wps:spPr>
                        <wps:txbx>
                          <w:txbxContent>
                            <w:p w14:paraId="719E0127" w14:textId="77777777" w:rsidR="00B32EF2" w:rsidRDefault="00000000">
                              <w:r>
                                <w:rPr>
                                  <w:rFonts w:ascii="Arial" w:eastAsia="Arial" w:hAnsi="Arial" w:cs="Arial"/>
                                  <w:sz w:val="18"/>
                                </w:rPr>
                                <w:t xml:space="preserve">iscrive il ricorso nel registro generale e forma il fascicolo d’ufficio del processo, </w:t>
                              </w:r>
                            </w:p>
                          </w:txbxContent>
                        </wps:txbx>
                        <wps:bodyPr horzOverflow="overflow" vert="horz" lIns="0" tIns="0" rIns="0" bIns="0" rtlCol="0">
                          <a:noAutofit/>
                        </wps:bodyPr>
                      </wps:wsp>
                      <wps:wsp>
                        <wps:cNvPr id="18353" name="Rectangle 18353"/>
                        <wps:cNvSpPr/>
                        <wps:spPr>
                          <a:xfrm rot="-10799999">
                            <a:off x="-1317141" y="3653371"/>
                            <a:ext cx="5309035" cy="142889"/>
                          </a:xfrm>
                          <a:prstGeom prst="rect">
                            <a:avLst/>
                          </a:prstGeom>
                          <a:ln>
                            <a:noFill/>
                          </a:ln>
                        </wps:spPr>
                        <wps:txbx>
                          <w:txbxContent>
                            <w:p w14:paraId="589E45F2" w14:textId="77777777" w:rsidR="00B32EF2" w:rsidRDefault="00000000">
                              <w:r>
                                <w:rPr>
                                  <w:rFonts w:ascii="Arial" w:eastAsia="Arial" w:hAnsi="Arial" w:cs="Arial"/>
                                  <w:sz w:val="18"/>
                                </w:rPr>
                                <w:t xml:space="preserve">inserendovi i fascicoli del ricorrente e delle altre parti, con gli atti e i documenti </w:t>
                              </w:r>
                            </w:p>
                          </w:txbxContent>
                        </wps:txbx>
                        <wps:bodyPr horzOverflow="overflow" vert="horz" lIns="0" tIns="0" rIns="0" bIns="0" rtlCol="0">
                          <a:noAutofit/>
                        </wps:bodyPr>
                      </wps:wsp>
                      <wps:wsp>
                        <wps:cNvPr id="18354" name="Rectangle 18354"/>
                        <wps:cNvSpPr/>
                        <wps:spPr>
                          <a:xfrm rot="-10799999">
                            <a:off x="-1317111" y="3530041"/>
                            <a:ext cx="5309006" cy="142889"/>
                          </a:xfrm>
                          <a:prstGeom prst="rect">
                            <a:avLst/>
                          </a:prstGeom>
                          <a:ln>
                            <a:noFill/>
                          </a:ln>
                        </wps:spPr>
                        <wps:txbx>
                          <w:txbxContent>
                            <w:p w14:paraId="310576F2" w14:textId="77777777" w:rsidR="00B32EF2" w:rsidRDefault="00000000">
                              <w:r>
                                <w:rPr>
                                  <w:rFonts w:ascii="Arial" w:eastAsia="Arial" w:hAnsi="Arial" w:cs="Arial"/>
                                  <w:sz w:val="18"/>
                                </w:rPr>
                                <w:t xml:space="preserve">prodotti, nonché, successivamente, gli originali dei verbali di udienza, delle </w:t>
                              </w:r>
                            </w:p>
                          </w:txbxContent>
                        </wps:txbx>
                        <wps:bodyPr horzOverflow="overflow" vert="horz" lIns="0" tIns="0" rIns="0" bIns="0" rtlCol="0">
                          <a:noAutofit/>
                        </wps:bodyPr>
                      </wps:wsp>
                      <wps:wsp>
                        <wps:cNvPr id="18355" name="Rectangle 18355"/>
                        <wps:cNvSpPr/>
                        <wps:spPr>
                          <a:xfrm rot="-10799999">
                            <a:off x="828529" y="3406712"/>
                            <a:ext cx="3163364" cy="142889"/>
                          </a:xfrm>
                          <a:prstGeom prst="rect">
                            <a:avLst/>
                          </a:prstGeom>
                          <a:ln>
                            <a:noFill/>
                          </a:ln>
                        </wps:spPr>
                        <wps:txbx>
                          <w:txbxContent>
                            <w:p w14:paraId="55E7CA96" w14:textId="77777777" w:rsidR="00B32EF2" w:rsidRDefault="00000000">
                              <w:r>
                                <w:rPr>
                                  <w:rFonts w:ascii="Arial" w:eastAsia="Arial" w:hAnsi="Arial" w:cs="Arial"/>
                                  <w:sz w:val="18"/>
                                </w:rPr>
                                <w:t>ordinanze e dei decreti e copia delle sentenze.</w:t>
                              </w:r>
                            </w:p>
                          </w:txbxContent>
                        </wps:txbx>
                        <wps:bodyPr horzOverflow="overflow" vert="horz" lIns="0" tIns="0" rIns="0" bIns="0" rtlCol="0">
                          <a:noAutofit/>
                        </wps:bodyPr>
                      </wps:wsp>
                      <wps:wsp>
                        <wps:cNvPr id="200971" name="Rectangle 200971"/>
                        <wps:cNvSpPr/>
                        <wps:spPr>
                          <a:xfrm rot="-10799999">
                            <a:off x="-1381698" y="3283382"/>
                            <a:ext cx="5309035" cy="142889"/>
                          </a:xfrm>
                          <a:prstGeom prst="rect">
                            <a:avLst/>
                          </a:prstGeom>
                          <a:ln>
                            <a:noFill/>
                          </a:ln>
                        </wps:spPr>
                        <wps:txbx>
                          <w:txbxContent>
                            <w:p w14:paraId="7F7541D0" w14:textId="77777777" w:rsidR="00B32EF2" w:rsidRDefault="00000000">
                              <w:r>
                                <w:rPr>
                                  <w:rFonts w:ascii="Arial" w:eastAsia="Arial" w:hAnsi="Arial" w:cs="Arial"/>
                                  <w:sz w:val="18"/>
                                </w:rPr>
                                <w:t xml:space="preserve">. I fascicoli delle parti restano acquisiti al fascicolo d’ufficio e sono ad esse </w:t>
                              </w:r>
                            </w:p>
                          </w:txbxContent>
                        </wps:txbx>
                        <wps:bodyPr horzOverflow="overflow" vert="horz" lIns="0" tIns="0" rIns="0" bIns="0" rtlCol="0">
                          <a:noAutofit/>
                        </wps:bodyPr>
                      </wps:wsp>
                      <wps:wsp>
                        <wps:cNvPr id="200970" name="Rectangle 200970"/>
                        <wps:cNvSpPr/>
                        <wps:spPr>
                          <a:xfrm rot="-10799999">
                            <a:off x="2611064" y="3283382"/>
                            <a:ext cx="5309035" cy="142889"/>
                          </a:xfrm>
                          <a:prstGeom prst="rect">
                            <a:avLst/>
                          </a:prstGeom>
                          <a:ln>
                            <a:noFill/>
                          </a:ln>
                        </wps:spPr>
                        <wps:txbx>
                          <w:txbxContent>
                            <w:p w14:paraId="2C0F3417"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8357" name="Rectangle 18357"/>
                        <wps:cNvSpPr/>
                        <wps:spPr>
                          <a:xfrm rot="-10799999">
                            <a:off x="-1317035" y="3160052"/>
                            <a:ext cx="5308929" cy="142889"/>
                          </a:xfrm>
                          <a:prstGeom prst="rect">
                            <a:avLst/>
                          </a:prstGeom>
                          <a:ln>
                            <a:noFill/>
                          </a:ln>
                        </wps:spPr>
                        <wps:txbx>
                          <w:txbxContent>
                            <w:p w14:paraId="78AFDEED" w14:textId="77777777" w:rsidR="00B32EF2" w:rsidRDefault="00000000">
                              <w:r>
                                <w:rPr>
                                  <w:rFonts w:ascii="Arial" w:eastAsia="Arial" w:hAnsi="Arial" w:cs="Arial"/>
                                  <w:sz w:val="18"/>
                                </w:rPr>
                                <w:t xml:space="preserve">restituiti al termine del processo. Le parti possono ottenere copia autentica </w:t>
                              </w:r>
                            </w:p>
                          </w:txbxContent>
                        </wps:txbx>
                        <wps:bodyPr horzOverflow="overflow" vert="horz" lIns="0" tIns="0" rIns="0" bIns="0" rtlCol="0">
                          <a:noAutofit/>
                        </wps:bodyPr>
                      </wps:wsp>
                      <wps:wsp>
                        <wps:cNvPr id="18358" name="Rectangle 18358"/>
                        <wps:cNvSpPr/>
                        <wps:spPr>
                          <a:xfrm rot="-10799999">
                            <a:off x="-310304" y="3036723"/>
                            <a:ext cx="4302199" cy="142889"/>
                          </a:xfrm>
                          <a:prstGeom prst="rect">
                            <a:avLst/>
                          </a:prstGeom>
                          <a:ln>
                            <a:noFill/>
                          </a:ln>
                        </wps:spPr>
                        <wps:txbx>
                          <w:txbxContent>
                            <w:p w14:paraId="6BA76DFE" w14:textId="77777777" w:rsidR="00B32EF2" w:rsidRDefault="00000000">
                              <w:r>
                                <w:rPr>
                                  <w:rFonts w:ascii="Arial" w:eastAsia="Arial" w:hAnsi="Arial" w:cs="Arial"/>
                                  <w:sz w:val="18"/>
                                </w:rPr>
                                <w:t xml:space="preserve">degli atti e documenti contenuti nei fascicoli di parte e d’ufficio. </w:t>
                              </w:r>
                            </w:p>
                          </w:txbxContent>
                        </wps:txbx>
                        <wps:bodyPr horzOverflow="overflow" vert="horz" lIns="0" tIns="0" rIns="0" bIns="0" rtlCol="0">
                          <a:noAutofit/>
                        </wps:bodyPr>
                      </wps:wsp>
                      <wps:wsp>
                        <wps:cNvPr id="200966" name="Rectangle 200966"/>
                        <wps:cNvSpPr/>
                        <wps:spPr>
                          <a:xfrm rot="-10799999">
                            <a:off x="2611067" y="2913393"/>
                            <a:ext cx="5309020" cy="142889"/>
                          </a:xfrm>
                          <a:prstGeom prst="rect">
                            <a:avLst/>
                          </a:prstGeom>
                          <a:ln>
                            <a:noFill/>
                          </a:ln>
                        </wps:spPr>
                        <wps:txbx>
                          <w:txbxContent>
                            <w:p w14:paraId="05EB1FCB"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0968" name="Rectangle 200968"/>
                        <wps:cNvSpPr/>
                        <wps:spPr>
                          <a:xfrm rot="-10799999">
                            <a:off x="-1381649" y="2913393"/>
                            <a:ext cx="5309021" cy="142889"/>
                          </a:xfrm>
                          <a:prstGeom prst="rect">
                            <a:avLst/>
                          </a:prstGeom>
                          <a:ln>
                            <a:noFill/>
                          </a:ln>
                        </wps:spPr>
                        <wps:txbx>
                          <w:txbxContent>
                            <w:p w14:paraId="3C341DC0" w14:textId="77777777" w:rsidR="00B32EF2" w:rsidRDefault="00000000">
                              <w:r>
                                <w:rPr>
                                  <w:rFonts w:ascii="Arial" w:eastAsia="Arial" w:hAnsi="Arial" w:cs="Arial"/>
                                  <w:sz w:val="18"/>
                                </w:rPr>
                                <w:t xml:space="preserve">. La segreteria sottopone al presidente della corte di giustizia tributaria di </w:t>
                              </w:r>
                            </w:p>
                          </w:txbxContent>
                        </wps:txbx>
                        <wps:bodyPr horzOverflow="overflow" vert="horz" lIns="0" tIns="0" rIns="0" bIns="0" rtlCol="0">
                          <a:noAutofit/>
                        </wps:bodyPr>
                      </wps:wsp>
                      <wps:wsp>
                        <wps:cNvPr id="18360" name="Rectangle 18360"/>
                        <wps:cNvSpPr/>
                        <wps:spPr>
                          <a:xfrm rot="-10799999">
                            <a:off x="-419302" y="2790063"/>
                            <a:ext cx="4411197" cy="142889"/>
                          </a:xfrm>
                          <a:prstGeom prst="rect">
                            <a:avLst/>
                          </a:prstGeom>
                          <a:ln>
                            <a:noFill/>
                          </a:ln>
                        </wps:spPr>
                        <wps:txbx>
                          <w:txbxContent>
                            <w:p w14:paraId="08D3D329" w14:textId="77777777" w:rsidR="00B32EF2" w:rsidRDefault="00000000">
                              <w:r>
                                <w:rPr>
                                  <w:rFonts w:ascii="Arial" w:eastAsia="Arial" w:hAnsi="Arial" w:cs="Arial"/>
                                  <w:sz w:val="18"/>
                                </w:rPr>
                                <w:t>primo e secondo grado il fascicolo del processo appena formato.</w:t>
                              </w:r>
                            </w:p>
                          </w:txbxContent>
                        </wps:txbx>
                        <wps:bodyPr horzOverflow="overflow" vert="horz" lIns="0" tIns="0" rIns="0" bIns="0" rtlCol="0">
                          <a:noAutofit/>
                        </wps:bodyPr>
                      </wps:wsp>
                      <wps:wsp>
                        <wps:cNvPr id="18361" name="Rectangle 18361"/>
                        <wps:cNvSpPr/>
                        <wps:spPr>
                          <a:xfrm rot="-10799999">
                            <a:off x="1508492" y="2543403"/>
                            <a:ext cx="806734" cy="142889"/>
                          </a:xfrm>
                          <a:prstGeom prst="rect">
                            <a:avLst/>
                          </a:prstGeom>
                          <a:ln>
                            <a:noFill/>
                          </a:ln>
                        </wps:spPr>
                        <wps:txbx>
                          <w:txbxContent>
                            <w:p w14:paraId="7A54DA1B" w14:textId="77777777" w:rsidR="00B32EF2" w:rsidRDefault="00000000">
                              <w:r>
                                <w:rPr>
                                  <w:rFonts w:ascii="Arial" w:eastAsia="Arial" w:hAnsi="Arial" w:cs="Arial"/>
                                  <w:b/>
                                  <w:sz w:val="18"/>
                                </w:rPr>
                                <w:t>Articolo 72</w:t>
                              </w:r>
                            </w:p>
                          </w:txbxContent>
                        </wps:txbx>
                        <wps:bodyPr horzOverflow="overflow" vert="horz" lIns="0" tIns="0" rIns="0" bIns="0" rtlCol="0">
                          <a:noAutofit/>
                        </wps:bodyPr>
                      </wps:wsp>
                      <wps:wsp>
                        <wps:cNvPr id="200963" name="Rectangle 200963"/>
                        <wps:cNvSpPr/>
                        <wps:spPr>
                          <a:xfrm rot="-10799999">
                            <a:off x="2252422" y="2420074"/>
                            <a:ext cx="2179618" cy="142889"/>
                          </a:xfrm>
                          <a:prstGeom prst="rect">
                            <a:avLst/>
                          </a:prstGeom>
                          <a:ln>
                            <a:noFill/>
                          </a:ln>
                        </wps:spPr>
                        <wps:txbx>
                          <w:txbxContent>
                            <w:p w14:paraId="4C25527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965" name="Rectangle 200965"/>
                        <wps:cNvSpPr/>
                        <wps:spPr>
                          <a:xfrm rot="-10799999">
                            <a:off x="1014873" y="2420073"/>
                            <a:ext cx="2179618" cy="142889"/>
                          </a:xfrm>
                          <a:prstGeom prst="rect">
                            <a:avLst/>
                          </a:prstGeom>
                          <a:ln>
                            <a:noFill/>
                          </a:ln>
                        </wps:spPr>
                        <wps:txbx>
                          <w:txbxContent>
                            <w:p w14:paraId="07D59B6A" w14:textId="77777777" w:rsidR="00B32EF2" w:rsidRDefault="00000000">
                              <w:r>
                                <w:rPr>
                                  <w:rFonts w:ascii="Arial" w:eastAsia="Arial" w:hAnsi="Arial" w:cs="Arial"/>
                                  <w:i/>
                                  <w:sz w:val="18"/>
                                </w:rPr>
                                <w:t xml:space="preserve">articolo 25 bis D.lgs. n. </w:t>
                              </w:r>
                            </w:p>
                          </w:txbxContent>
                        </wps:txbx>
                        <wps:bodyPr horzOverflow="overflow" vert="horz" lIns="0" tIns="0" rIns="0" bIns="0" rtlCol="0">
                          <a:noAutofit/>
                        </wps:bodyPr>
                      </wps:wsp>
                      <wps:wsp>
                        <wps:cNvPr id="200964" name="Rectangle 200964"/>
                        <wps:cNvSpPr/>
                        <wps:spPr>
                          <a:xfrm rot="-10799999">
                            <a:off x="-588778" y="2420073"/>
                            <a:ext cx="2179618" cy="142889"/>
                          </a:xfrm>
                          <a:prstGeom prst="rect">
                            <a:avLst/>
                          </a:prstGeom>
                          <a:ln>
                            <a:noFill/>
                          </a:ln>
                        </wps:spPr>
                        <wps:txbx>
                          <w:txbxContent>
                            <w:p w14:paraId="30C75582"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8363" name="Rectangle 18363"/>
                        <wps:cNvSpPr/>
                        <wps:spPr>
                          <a:xfrm rot="-10799999">
                            <a:off x="262260" y="2296744"/>
                            <a:ext cx="2778086" cy="142889"/>
                          </a:xfrm>
                          <a:prstGeom prst="rect">
                            <a:avLst/>
                          </a:prstGeom>
                          <a:ln>
                            <a:noFill/>
                          </a:ln>
                        </wps:spPr>
                        <wps:txbx>
                          <w:txbxContent>
                            <w:p w14:paraId="1F0BD143" w14:textId="77777777" w:rsidR="00B32EF2" w:rsidRDefault="00000000">
                              <w:r>
                                <w:rPr>
                                  <w:rFonts w:ascii="Arial" w:eastAsia="Arial" w:hAnsi="Arial" w:cs="Arial"/>
                                  <w:b/>
                                  <w:sz w:val="18"/>
                                </w:rPr>
                                <w:t xml:space="preserve">Potere di certificazione di conformità </w:t>
                              </w:r>
                            </w:p>
                          </w:txbxContent>
                        </wps:txbx>
                        <wps:bodyPr horzOverflow="overflow" vert="horz" lIns="0" tIns="0" rIns="0" bIns="0" rtlCol="0">
                          <a:noAutofit/>
                        </wps:bodyPr>
                      </wps:wsp>
                      <wps:wsp>
                        <wps:cNvPr id="200962" name="Rectangle 200962"/>
                        <wps:cNvSpPr/>
                        <wps:spPr>
                          <a:xfrm rot="-10799999">
                            <a:off x="-1376379" y="2173414"/>
                            <a:ext cx="5308975" cy="142889"/>
                          </a:xfrm>
                          <a:prstGeom prst="rect">
                            <a:avLst/>
                          </a:prstGeom>
                          <a:ln>
                            <a:noFill/>
                          </a:ln>
                        </wps:spPr>
                        <wps:txbx>
                          <w:txbxContent>
                            <w:p w14:paraId="5D192E30" w14:textId="77777777" w:rsidR="00B32EF2" w:rsidRDefault="00000000">
                              <w:r>
                                <w:rPr>
                                  <w:rFonts w:ascii="Arial" w:eastAsia="Arial" w:hAnsi="Arial" w:cs="Arial"/>
                                  <w:sz w:val="18"/>
                                </w:rPr>
                                <w:t xml:space="preserve">. Al fine del deposito e della notifica con modalità telematiche della copia </w:t>
                              </w:r>
                            </w:p>
                          </w:txbxContent>
                        </wps:txbx>
                        <wps:bodyPr horzOverflow="overflow" vert="horz" lIns="0" tIns="0" rIns="0" bIns="0" rtlCol="0">
                          <a:noAutofit/>
                        </wps:bodyPr>
                      </wps:wsp>
                      <wps:wsp>
                        <wps:cNvPr id="200961" name="Rectangle 200961"/>
                        <wps:cNvSpPr/>
                        <wps:spPr>
                          <a:xfrm rot="-10799999">
                            <a:off x="2610964" y="2173414"/>
                            <a:ext cx="5308975" cy="142889"/>
                          </a:xfrm>
                          <a:prstGeom prst="rect">
                            <a:avLst/>
                          </a:prstGeom>
                          <a:ln>
                            <a:noFill/>
                          </a:ln>
                        </wps:spPr>
                        <wps:txbx>
                          <w:txbxContent>
                            <w:p w14:paraId="6FDE8E61"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8365" name="Rectangle 18365"/>
                        <wps:cNvSpPr/>
                        <wps:spPr>
                          <a:xfrm rot="-10799999">
                            <a:off x="-1223643" y="2050084"/>
                            <a:ext cx="5215423" cy="142889"/>
                          </a:xfrm>
                          <a:prstGeom prst="rect">
                            <a:avLst/>
                          </a:prstGeom>
                          <a:ln>
                            <a:noFill/>
                          </a:ln>
                        </wps:spPr>
                        <wps:txbx>
                          <w:txbxContent>
                            <w:p w14:paraId="2121E290" w14:textId="77777777" w:rsidR="00B32EF2" w:rsidRDefault="00000000">
                              <w:r>
                                <w:rPr>
                                  <w:rFonts w:ascii="Arial" w:eastAsia="Arial" w:hAnsi="Arial" w:cs="Arial"/>
                                  <w:sz w:val="18"/>
                                </w:rPr>
                                <w:t>informatica, anche per immagine, di un atto processuale di parte, di un prov</w:t>
                              </w:r>
                            </w:p>
                          </w:txbxContent>
                        </wps:txbx>
                        <wps:bodyPr horzOverflow="overflow" vert="horz" lIns="0" tIns="0" rIns="0" bIns="0" rtlCol="0">
                          <a:noAutofit/>
                        </wps:bodyPr>
                      </wps:wsp>
                      <wps:wsp>
                        <wps:cNvPr id="18366" name="Rectangle 18366"/>
                        <wps:cNvSpPr/>
                        <wps:spPr>
                          <a:xfrm rot="-10799999">
                            <a:off x="19181" y="2050085"/>
                            <a:ext cx="50622" cy="142889"/>
                          </a:xfrm>
                          <a:prstGeom prst="rect">
                            <a:avLst/>
                          </a:prstGeom>
                          <a:ln>
                            <a:noFill/>
                          </a:ln>
                        </wps:spPr>
                        <wps:txbx>
                          <w:txbxContent>
                            <w:p w14:paraId="32BCF2A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367" name="Rectangle 18367"/>
                        <wps:cNvSpPr/>
                        <wps:spPr>
                          <a:xfrm rot="-10799999">
                            <a:off x="-1317195" y="1926755"/>
                            <a:ext cx="5308975" cy="142889"/>
                          </a:xfrm>
                          <a:prstGeom prst="rect">
                            <a:avLst/>
                          </a:prstGeom>
                          <a:ln>
                            <a:noFill/>
                          </a:ln>
                        </wps:spPr>
                        <wps:txbx>
                          <w:txbxContent>
                            <w:p w14:paraId="5C4B66C6" w14:textId="77777777" w:rsidR="00B32EF2" w:rsidRDefault="00000000">
                              <w:r>
                                <w:rPr>
                                  <w:rFonts w:ascii="Arial" w:eastAsia="Arial" w:hAnsi="Arial" w:cs="Arial"/>
                                  <w:sz w:val="18"/>
                                </w:rPr>
                                <w:t xml:space="preserve">vedimento del giudice o di un documento formato su supporto analogico e </w:t>
                              </w:r>
                            </w:p>
                          </w:txbxContent>
                        </wps:txbx>
                        <wps:bodyPr horzOverflow="overflow" vert="horz" lIns="0" tIns="0" rIns="0" bIns="0" rtlCol="0">
                          <a:noAutofit/>
                        </wps:bodyPr>
                      </wps:wsp>
                      <wps:wsp>
                        <wps:cNvPr id="18368" name="Rectangle 18368"/>
                        <wps:cNvSpPr/>
                        <wps:spPr>
                          <a:xfrm rot="-10799999">
                            <a:off x="-1317240" y="1803425"/>
                            <a:ext cx="5309020" cy="142889"/>
                          </a:xfrm>
                          <a:prstGeom prst="rect">
                            <a:avLst/>
                          </a:prstGeom>
                          <a:ln>
                            <a:noFill/>
                          </a:ln>
                        </wps:spPr>
                        <wps:txbx>
                          <w:txbxContent>
                            <w:p w14:paraId="0870B4FD" w14:textId="77777777" w:rsidR="00B32EF2" w:rsidRDefault="00000000">
                              <w:r>
                                <w:rPr>
                                  <w:rFonts w:ascii="Arial" w:eastAsia="Arial" w:hAnsi="Arial" w:cs="Arial"/>
                                  <w:sz w:val="18"/>
                                </w:rPr>
                                <w:t xml:space="preserve">detenuto in originale o in copia conforme, il difensore e il dipendente di cui </w:t>
                              </w:r>
                            </w:p>
                          </w:txbxContent>
                        </wps:txbx>
                        <wps:bodyPr horzOverflow="overflow" vert="horz" lIns="0" tIns="0" rIns="0" bIns="0" rtlCol="0">
                          <a:noAutofit/>
                        </wps:bodyPr>
                      </wps:wsp>
                      <wps:wsp>
                        <wps:cNvPr id="18369" name="Rectangle 18369"/>
                        <wps:cNvSpPr/>
                        <wps:spPr>
                          <a:xfrm rot="-10799999">
                            <a:off x="-1317256" y="1680095"/>
                            <a:ext cx="5309036" cy="142889"/>
                          </a:xfrm>
                          <a:prstGeom prst="rect">
                            <a:avLst/>
                          </a:prstGeom>
                          <a:ln>
                            <a:noFill/>
                          </a:ln>
                        </wps:spPr>
                        <wps:txbx>
                          <w:txbxContent>
                            <w:p w14:paraId="1F92F722" w14:textId="77777777" w:rsidR="00B32EF2" w:rsidRDefault="00000000">
                              <w:r>
                                <w:rPr>
                                  <w:rFonts w:ascii="Arial" w:eastAsia="Arial" w:hAnsi="Arial" w:cs="Arial"/>
                                  <w:sz w:val="18"/>
                                </w:rPr>
                                <w:t xml:space="preserve">si avvalgono l’ente impositore, l’agente della riscossione ed i soggetti iscritti </w:t>
                              </w:r>
                            </w:p>
                          </w:txbxContent>
                        </wps:txbx>
                        <wps:bodyPr horzOverflow="overflow" vert="horz" lIns="0" tIns="0" rIns="0" bIns="0" rtlCol="0">
                          <a:noAutofit/>
                        </wps:bodyPr>
                      </wps:wsp>
                      <wps:wsp>
                        <wps:cNvPr id="18370" name="Rectangle 18370"/>
                        <wps:cNvSpPr/>
                        <wps:spPr>
                          <a:xfrm rot="-10799999">
                            <a:off x="-1317286" y="1556766"/>
                            <a:ext cx="5309066" cy="142889"/>
                          </a:xfrm>
                          <a:prstGeom prst="rect">
                            <a:avLst/>
                          </a:prstGeom>
                          <a:ln>
                            <a:noFill/>
                          </a:ln>
                        </wps:spPr>
                        <wps:txbx>
                          <w:txbxContent>
                            <w:p w14:paraId="2A86CD8A" w14:textId="77777777" w:rsidR="00B32EF2" w:rsidRDefault="00000000">
                              <w:r>
                                <w:rPr>
                                  <w:rFonts w:ascii="Arial" w:eastAsia="Arial" w:hAnsi="Arial" w:cs="Arial"/>
                                  <w:sz w:val="18"/>
                                </w:rPr>
                                <w:t xml:space="preserve">nell’albo di cui all’articolo 53 del decreto legislativo 15 dicembre 1997, n. 446, </w:t>
                              </w:r>
                            </w:p>
                          </w:txbxContent>
                        </wps:txbx>
                        <wps:bodyPr horzOverflow="overflow" vert="horz" lIns="0" tIns="0" rIns="0" bIns="0" rtlCol="0">
                          <a:noAutofit/>
                        </wps:bodyPr>
                      </wps:wsp>
                      <wps:wsp>
                        <wps:cNvPr id="18371" name="Rectangle 18371"/>
                        <wps:cNvSpPr/>
                        <wps:spPr>
                          <a:xfrm rot="-10799999">
                            <a:off x="-1317256" y="1433436"/>
                            <a:ext cx="5309035" cy="142889"/>
                          </a:xfrm>
                          <a:prstGeom prst="rect">
                            <a:avLst/>
                          </a:prstGeom>
                          <a:ln>
                            <a:noFill/>
                          </a:ln>
                        </wps:spPr>
                        <wps:txbx>
                          <w:txbxContent>
                            <w:p w14:paraId="4B389209" w14:textId="77777777" w:rsidR="00B32EF2" w:rsidRDefault="00000000">
                              <w:r>
                                <w:rPr>
                                  <w:rFonts w:ascii="Arial" w:eastAsia="Arial" w:hAnsi="Arial" w:cs="Arial"/>
                                  <w:sz w:val="18"/>
                                </w:rPr>
                                <w:t xml:space="preserve">attestano la conformità della copia al predetto atto secondo le modalità di cui </w:t>
                              </w:r>
                            </w:p>
                          </w:txbxContent>
                        </wps:txbx>
                        <wps:bodyPr horzOverflow="overflow" vert="horz" lIns="0" tIns="0" rIns="0" bIns="0" rtlCol="0">
                          <a:noAutofit/>
                        </wps:bodyPr>
                      </wps:wsp>
                      <wps:wsp>
                        <wps:cNvPr id="18372" name="Rectangle 18372"/>
                        <wps:cNvSpPr/>
                        <wps:spPr>
                          <a:xfrm rot="-10799999">
                            <a:off x="1144904" y="1310107"/>
                            <a:ext cx="2846875" cy="142889"/>
                          </a:xfrm>
                          <a:prstGeom prst="rect">
                            <a:avLst/>
                          </a:prstGeom>
                          <a:ln>
                            <a:noFill/>
                          </a:ln>
                        </wps:spPr>
                        <wps:txbx>
                          <w:txbxContent>
                            <w:p w14:paraId="4D283F86" w14:textId="77777777" w:rsidR="00B32EF2" w:rsidRDefault="00000000">
                              <w:r>
                                <w:rPr>
                                  <w:rFonts w:ascii="Arial" w:eastAsia="Arial" w:hAnsi="Arial" w:cs="Arial"/>
                                  <w:sz w:val="18"/>
                                </w:rPr>
                                <w:t>al decreto legislativo 7 marzo 2005, n. 82.</w:t>
                              </w:r>
                            </w:p>
                          </w:txbxContent>
                        </wps:txbx>
                        <wps:bodyPr horzOverflow="overflow" vert="horz" lIns="0" tIns="0" rIns="0" bIns="0" rtlCol="0">
                          <a:noAutofit/>
                        </wps:bodyPr>
                      </wps:wsp>
                      <wps:wsp>
                        <wps:cNvPr id="200959" name="Rectangle 200959"/>
                        <wps:cNvSpPr/>
                        <wps:spPr>
                          <a:xfrm rot="-10799999">
                            <a:off x="2634835" y="1186777"/>
                            <a:ext cx="5212763" cy="142890"/>
                          </a:xfrm>
                          <a:prstGeom prst="rect">
                            <a:avLst/>
                          </a:prstGeom>
                          <a:ln>
                            <a:noFill/>
                          </a:ln>
                        </wps:spPr>
                        <wps:txbx>
                          <w:txbxContent>
                            <w:p w14:paraId="25179209"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960" name="Rectangle 200960"/>
                        <wps:cNvSpPr/>
                        <wps:spPr>
                          <a:xfrm rot="-10799999">
                            <a:off x="-1285539" y="1186776"/>
                            <a:ext cx="5212762" cy="142890"/>
                          </a:xfrm>
                          <a:prstGeom prst="rect">
                            <a:avLst/>
                          </a:prstGeom>
                          <a:ln>
                            <a:noFill/>
                          </a:ln>
                        </wps:spPr>
                        <wps:txbx>
                          <w:txbxContent>
                            <w:p w14:paraId="7A5D0349" w14:textId="77777777" w:rsidR="00B32EF2" w:rsidRDefault="00000000">
                              <w:r>
                                <w:rPr>
                                  <w:rFonts w:ascii="Arial" w:eastAsia="Arial" w:hAnsi="Arial" w:cs="Arial"/>
                                  <w:sz w:val="18"/>
                                </w:rPr>
                                <w:t>. Analogo potere di attestazione di conformità è esteso, anche per l’estra</w:t>
                              </w:r>
                            </w:p>
                          </w:txbxContent>
                        </wps:txbx>
                        <wps:bodyPr horzOverflow="overflow" vert="horz" lIns="0" tIns="0" rIns="0" bIns="0" rtlCol="0">
                          <a:noAutofit/>
                        </wps:bodyPr>
                      </wps:wsp>
                      <wps:wsp>
                        <wps:cNvPr id="18374" name="Rectangle 18374"/>
                        <wps:cNvSpPr/>
                        <wps:spPr>
                          <a:xfrm rot="-10799999">
                            <a:off x="19181" y="1186777"/>
                            <a:ext cx="50622" cy="142889"/>
                          </a:xfrm>
                          <a:prstGeom prst="rect">
                            <a:avLst/>
                          </a:prstGeom>
                          <a:ln>
                            <a:noFill/>
                          </a:ln>
                        </wps:spPr>
                        <wps:txbx>
                          <w:txbxContent>
                            <w:p w14:paraId="7CF267C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375" name="Rectangle 18375"/>
                        <wps:cNvSpPr/>
                        <wps:spPr>
                          <a:xfrm rot="-10799999">
                            <a:off x="-1317256" y="1063447"/>
                            <a:ext cx="5309035" cy="142889"/>
                          </a:xfrm>
                          <a:prstGeom prst="rect">
                            <a:avLst/>
                          </a:prstGeom>
                          <a:ln>
                            <a:noFill/>
                          </a:ln>
                        </wps:spPr>
                        <wps:txbx>
                          <w:txbxContent>
                            <w:p w14:paraId="3FD31077" w14:textId="77777777" w:rsidR="00B32EF2" w:rsidRDefault="00000000">
                              <w:r>
                                <w:rPr>
                                  <w:rFonts w:ascii="Arial" w:eastAsia="Arial" w:hAnsi="Arial" w:cs="Arial"/>
                                  <w:sz w:val="18"/>
                                </w:rPr>
                                <w:t xml:space="preserve">zione di copia analogica, agli atti e ai provvedimenti presenti nel fascicolo </w:t>
                              </w:r>
                            </w:p>
                          </w:txbxContent>
                        </wps:txbx>
                        <wps:bodyPr horzOverflow="overflow" vert="horz" lIns="0" tIns="0" rIns="0" bIns="0" rtlCol="0">
                          <a:noAutofit/>
                        </wps:bodyPr>
                      </wps:wsp>
                      <wps:wsp>
                        <wps:cNvPr id="18376" name="Rectangle 18376"/>
                        <wps:cNvSpPr/>
                        <wps:spPr>
                          <a:xfrm rot="-10799999">
                            <a:off x="-1317241" y="940117"/>
                            <a:ext cx="5309021" cy="142889"/>
                          </a:xfrm>
                          <a:prstGeom prst="rect">
                            <a:avLst/>
                          </a:prstGeom>
                          <a:ln>
                            <a:noFill/>
                          </a:ln>
                        </wps:spPr>
                        <wps:txbx>
                          <w:txbxContent>
                            <w:p w14:paraId="62AB27BA" w14:textId="77777777" w:rsidR="00B32EF2" w:rsidRDefault="00000000">
                              <w:r>
                                <w:rPr>
                                  <w:rFonts w:ascii="Arial" w:eastAsia="Arial" w:hAnsi="Arial" w:cs="Arial"/>
                                  <w:sz w:val="18"/>
                                </w:rPr>
                                <w:t xml:space="preserve">informatico, formato dalla segreteria della corte di giustizia tributaria di primo </w:t>
                              </w:r>
                            </w:p>
                          </w:txbxContent>
                        </wps:txbx>
                        <wps:bodyPr horzOverflow="overflow" vert="horz" lIns="0" tIns="0" rIns="0" bIns="0" rtlCol="0">
                          <a:noAutofit/>
                        </wps:bodyPr>
                      </wps:wsp>
                      <wps:wsp>
                        <wps:cNvPr id="18377" name="Rectangle 18377"/>
                        <wps:cNvSpPr/>
                        <wps:spPr>
                          <a:xfrm rot="-10799999">
                            <a:off x="-1218859" y="816788"/>
                            <a:ext cx="5211668" cy="142889"/>
                          </a:xfrm>
                          <a:prstGeom prst="rect">
                            <a:avLst/>
                          </a:prstGeom>
                          <a:ln>
                            <a:noFill/>
                          </a:ln>
                        </wps:spPr>
                        <wps:txbx>
                          <w:txbxContent>
                            <w:p w14:paraId="73F18623" w14:textId="77777777" w:rsidR="00B32EF2" w:rsidRDefault="00000000">
                              <w:r>
                                <w:rPr>
                                  <w:rFonts w:ascii="Arial" w:eastAsia="Arial" w:hAnsi="Arial" w:cs="Arial"/>
                                  <w:sz w:val="18"/>
                                </w:rPr>
                                <w:t>e secondo grado ai sensi dell’articolo 14 del decreto del Ministro dell’econo</w:t>
                              </w:r>
                            </w:p>
                          </w:txbxContent>
                        </wps:txbx>
                        <wps:bodyPr horzOverflow="overflow" vert="horz" lIns="0" tIns="0" rIns="0" bIns="0" rtlCol="0">
                          <a:noAutofit/>
                        </wps:bodyPr>
                      </wps:wsp>
                      <wps:wsp>
                        <wps:cNvPr id="18378" name="Rectangle 18378"/>
                        <wps:cNvSpPr/>
                        <wps:spPr>
                          <a:xfrm rot="-10799999">
                            <a:off x="19181" y="816788"/>
                            <a:ext cx="50622" cy="142889"/>
                          </a:xfrm>
                          <a:prstGeom prst="rect">
                            <a:avLst/>
                          </a:prstGeom>
                          <a:ln>
                            <a:noFill/>
                          </a:ln>
                        </wps:spPr>
                        <wps:txbx>
                          <w:txbxContent>
                            <w:p w14:paraId="7894C51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379" name="Rectangle 18379"/>
                        <wps:cNvSpPr/>
                        <wps:spPr>
                          <a:xfrm rot="-10799999">
                            <a:off x="-1317256" y="693458"/>
                            <a:ext cx="5309035" cy="142889"/>
                          </a:xfrm>
                          <a:prstGeom prst="rect">
                            <a:avLst/>
                          </a:prstGeom>
                          <a:ln>
                            <a:noFill/>
                          </a:ln>
                        </wps:spPr>
                        <wps:txbx>
                          <w:txbxContent>
                            <w:p w14:paraId="01BFDE3C" w14:textId="77777777" w:rsidR="00B32EF2" w:rsidRDefault="00000000">
                              <w:r>
                                <w:rPr>
                                  <w:rFonts w:ascii="Arial" w:eastAsia="Arial" w:hAnsi="Arial" w:cs="Arial"/>
                                  <w:sz w:val="18"/>
                                </w:rPr>
                                <w:t xml:space="preserve">mia e delle finanze 23 dicembre 2013, n. 163, o trasmessi in allegato alle </w:t>
                              </w:r>
                            </w:p>
                          </w:txbxContent>
                        </wps:txbx>
                        <wps:bodyPr horzOverflow="overflow" vert="horz" lIns="0" tIns="0" rIns="0" bIns="0" rtlCol="0">
                          <a:noAutofit/>
                        </wps:bodyPr>
                      </wps:wsp>
                      <wps:wsp>
                        <wps:cNvPr id="18380" name="Rectangle 18380"/>
                        <wps:cNvSpPr/>
                        <wps:spPr>
                          <a:xfrm rot="-10799999">
                            <a:off x="-1317286" y="570128"/>
                            <a:ext cx="5309066" cy="142889"/>
                          </a:xfrm>
                          <a:prstGeom prst="rect">
                            <a:avLst/>
                          </a:prstGeom>
                          <a:ln>
                            <a:noFill/>
                          </a:ln>
                        </wps:spPr>
                        <wps:txbx>
                          <w:txbxContent>
                            <w:p w14:paraId="52D56996" w14:textId="77777777" w:rsidR="00B32EF2" w:rsidRDefault="00000000">
                              <w:r>
                                <w:rPr>
                                  <w:rFonts w:ascii="Arial" w:eastAsia="Arial" w:hAnsi="Arial" w:cs="Arial"/>
                                  <w:sz w:val="18"/>
                                </w:rPr>
                                <w:t xml:space="preserve">comunicazioni telematiche dell’ufficio di segreteria. Detti atti e provvedimenti, </w:t>
                              </w:r>
                            </w:p>
                          </w:txbxContent>
                        </wps:txbx>
                        <wps:bodyPr horzOverflow="overflow" vert="horz" lIns="0" tIns="0" rIns="0" bIns="0" rtlCol="0">
                          <a:noAutofit/>
                        </wps:bodyPr>
                      </wps:wsp>
                      <wps:wsp>
                        <wps:cNvPr id="18381" name="Rectangle 18381"/>
                        <wps:cNvSpPr/>
                        <wps:spPr>
                          <a:xfrm rot="-10799999">
                            <a:off x="-1317241" y="446798"/>
                            <a:ext cx="5309021" cy="142889"/>
                          </a:xfrm>
                          <a:prstGeom prst="rect">
                            <a:avLst/>
                          </a:prstGeom>
                          <a:ln>
                            <a:noFill/>
                          </a:ln>
                        </wps:spPr>
                        <wps:txbx>
                          <w:txbxContent>
                            <w:p w14:paraId="25645914" w14:textId="77777777" w:rsidR="00B32EF2" w:rsidRDefault="00000000">
                              <w:r>
                                <w:rPr>
                                  <w:rFonts w:ascii="Arial" w:eastAsia="Arial" w:hAnsi="Arial" w:cs="Arial"/>
                                  <w:sz w:val="18"/>
                                </w:rPr>
                                <w:t xml:space="preserve">presenti nel fascicolo informatico o trasmessi in allegato alle comunicazioni </w:t>
                              </w:r>
                            </w:p>
                          </w:txbxContent>
                        </wps:txbx>
                        <wps:bodyPr horzOverflow="overflow" vert="horz" lIns="0" tIns="0" rIns="0" bIns="0" rtlCol="0">
                          <a:noAutofit/>
                        </wps:bodyPr>
                      </wps:wsp>
                    </wpg:wgp>
                  </a:graphicData>
                </a:graphic>
              </wp:inline>
            </w:drawing>
          </mc:Choice>
          <mc:Fallback>
            <w:pict>
              <v:group w14:anchorId="5F992D79" id="Group 201010" o:spid="_x0000_s3787" style="width:314.3pt;height:493.15pt;mso-position-horizontal-relative:char;mso-position-vertical-relative:line" coordsize="39918,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9jfgoAACl/AAAOAAAAZHJzL2Uyb0RvYy54bWzkXWGPGjkS/X7S/QfE9wm223a7USar0+1t&#10;dNLpdrV79wMIAzNIQKOGZCb36++VbdxMY+1q2xJGcj5MGJNAdz2/qvJzufrjD2+77eTbqjtu2v3j&#10;lH9g08lqv2yfNvvnx+l///PTg5lOjqfF/mmxbferx+n31XH6w6e//uXj62G+Eu1Lu31adRN8yP44&#10;fz08Tl9Op8N8NjsuX1a7xfFDe1jt8ea67XaLE37tnmdP3eIVn77bzgRjevbadk+Hrl2ujkeM/uje&#10;nH6yn79er5ann9fr4+o02T5OcW0n+7OzP7/Qz9mnj4v5c7c4vGyW/jIWI65it9js8aXho35cnBaT&#10;r93m6qN2m2XXHtv16cOy3c3a9XqzXNl7wN1wNribz1379WDv5Xn++nwIZoJpB3Ya/bHLf3/73B1+&#10;O/zSwRKvh2fYwv5G9/K27nb0N65y8mZN9j2YbPV2miwxWDUNN001nSzxnhZaGCWdUZcvsPzV/1u+&#10;/OMP/ufs/MWzd5fzesAEOfY2OKbZ4LeXxWFlTXucwwa/dJPNE+avqUQznewXO0zVXzF5Fvvn7Wri&#10;hq2B7L8O5jrOj7Dc2VaTrsX8euCsbuiPnQ/edrxhTNX4aFjpQQv86ox0NiOvTaXxNllRKKalpveD&#10;KRbzQ3c8fV61uwm9eJx2uDb7+Ytv/zqe3D89/xO6nO2efu7bnzbbrXuXRmDR8xXTq9Pblzd720JX&#10;hr6PBr+0T99hjZe2+9/P4PV6274+Tlv/akpUx9fTu9PJ9p97oECsOr/ozi++nF90p+3fW8s9d0F/&#10;+3pq1xt7xf23+SsDvO4aboFzheuO4IxhbwjMij+P8wMXtTTKAa05bxrt6XBGWgmtGnDEQs2lMG4q&#10;3BDq5nyHRUCNIAEQrrH244lgG8Xpw8FahW/R1RXYXKhKXYDNb8trGaZzOWDD3ENiW7DVed6PYjZ8&#10;pGIM2cz9Ym3nVu9VC/Dh4hpqxOpKJCHNG9FgDgWc7bxZzIMDZ1rgeylS53DfMtxcEYwmOJFdDgnt&#10;hhOdt2C15g5oU1cVGwItOGI1vPsZamMj5+0itazO87gYqJEXxaC2YZU82yjXfUHoKM7vCX1zlMPN&#10;FYNyJEITodMC9AOveI302xG6lk1T20XUheeuWMMEGJ+N0OEOi4E6knkT1BaZ0YTWXAnSHChEQ3Pw&#10;q+Ue6KqqtWY5gQ73VwTQlF6bCKn9eEqYFlhEs9pHacWqisdIjdCdj9R1UVHaYhphtR9PwRoe3HBa&#10;Q1ti3yfY5elkWPLGUrJgiFEpGXQywaTywbqCYGosjXofrpB9VyqnDy9LJ6OoHJe+MZzC6ovs2+I8&#10;9N95s29VlkAGlCEJxgjdK4UjCX2ZfQulNciNaXNB6NzZN5yJn8dFJGUENdxnxHdjOIXQdqHFzrI3&#10;hz6DRdcQatNgXyNbTqaKE8kgC0ahDoYYxWpkY41g+GhaadFGSmPDfk9qhGihmws59NbqiSpLI7NZ&#10;dkQP9eMptHYrLbdzKY3RWg+wVhUzTZ1xpeUqC4rZ4LCYRgRRP56CNa20GDJwS+w7Bbs4rUxGsKYg&#10;HvThUS7cyaK18+Gy1gjX17xumM64z4E9Fj+Zi0nMImIZQR3m/Cio4RiE8UBryRCv36dlWH5xzXMG&#10;67KkMkI0opS54RT3zRXnsnHiiayaqpIDpA2jgrOM+XdQh4pgNEXkOqKT+fEUqAX+QPV2gVrUDMC+&#10;JzVvJIK5Lx2kgoSbZ+BBHioGaxNZV9usLG1hzbHc0rSVgdWWvEusdVlqmcU0Ipf58RRePwjNGr9Z&#10;fadYh8lcBK8pKkdcuBtOQhq0blDy7WjNpdbD4m+FygV1rv7O4cJ1UImKgTq+1eHyqNF1CbKpqF6M&#10;3Dfh7CJxL5ahrv+ycvDWgVqXJZWBudjciYmi/Z7PqGWWQUpGpwcIZiZQy2KDYg8zN4Y1VcadS3fk&#10;oCidDKVeV0jb7DtIC6OghnhSa+G3OiosqZg7H9KDDVGUjvbkW2rpoBkU4bstqBH1xI+nBOrLUqPf&#10;wTqjUAaRzt9gEViTB4daFdnB7Pf3xtIapaJeE63qWtcoFoRlB7TOqYnq4qQy7ORFoQ5ZSwLUtBGO&#10;cF1phdLQGNSXZ7RunpeVJZYRq+M7Hf3+XgLU3EONwMxcocOA1SynAy9LKyOoI7HaDaeEaoNj5nRQ&#10;mzgtmUbZ/3v3jSph5OWYZbkq/evyhDIq0h6GapuVBR1pLKtRFIy6Ewu2QJUitriuY3VOB+4iSlnr&#10;rcjK2oId5v0osG0KTrwlYt8n1sVJZVSkPeQ1efCQoI5C2hUREmsJaq6xhr6mtcFJ3Iw+PGSexay2&#10;4gK4CgnqOKgrDtnEk5pVuhbWsH1aJiucykO/lHzROpTYFIE0OWpa2w5Z7cdTEjPnwF1lgmhQG4xj&#10;etfBmgrPsmVm5ellKOSMY53Ia3tcC1sm5MJ/B+yMSrg7AVxMZoawjM2IK6zdcAqtHyRv4KQd0jUE&#10;b7eXdOHCJUezI/A+G61DOlKECydII+stN5yCNFfMSCroJ04ridX1wIEbLLfpiGY2oIPTKgJoG5Mj&#10;yqgfT4FaCCUkbUgT1BIfWNs0qCe14HWjOYJHNqzLksssphG9zI+nYM0Zl+h9coH1gNbZsTZBOSiH&#10;13Cj0Rw8LEfGrbeUMTWVowZe3x3WQRIsAmuKyhEX7oZTWI12qygjdECjSqF2R0UuHDimATMZ9zuc&#10;VFtM/m0ddWTH2o+nQG0rUXCAw4HNkYLxQbTOfjzPWDdTFtiRHNyCHRzcKA8OFQUKjVPMEJjvEesQ&#10;oorx4JHEjDx4kJNGIU19ULBR6RMzRh1Gh7QWXEkoptmScDR28o6rGKgj2ihBHaqvRkHN0Sgd7oKS&#10;MouzNWsfqzMXByNLKA3l+L5WX3g1CmV33Nb3j0XrG12jAgKWvQA69zF612mpmDhNzI0I4G44MSVD&#10;DSG10wGnuWGVFNdQo+Fkxs0OU5ZYRpgiQx6uqd1wOtT+bAfXBhtoMajR1jJfmC5LKwOmqLGKQd2X&#10;Xo134IIWzcRqpTRaiV458Lz9Etz5sZIceKy2jGZA2jLLxmq0KnNQSxyjd31p38XqhuUsLWvCHZaS&#10;fFNVfsSBYzjFgaNfgmx8DQpOW+JRS3a/sEdaGKlNzuZG2HPzN1gE0qSS0GNyhlD78RSs8aQOifo0&#10;x2pudF0PsKbWomiE08fqWz+CxxXFFOPArSIWCdZ+PAVr6CdGKWpcStHagj2M1hZsOJXzJubNwS5O&#10;KsM+8hWvKVoHQ4xKzHr9xOE8JHXew9VuPVAMpQnOuCCK4TRCo49syMlQZyTlEGg6cZs1JytOKoud&#10;rqYZEAwxitAu/fZH8xrJOI8hnfN5HShoKyknI0jjoqjLoMi7jURaoCmCfyoiTvPUTpfqs29kZJz6&#10;jYYgfeszmK6vbVHuO66Jom4kxX33QToKc+YYXZ5EFllhEcuDIUbS+SJG6wZtK+2kuaBz5hCNNnnn&#10;WVzEYhqQonwulnP3VXUJSHsxVKFLgoghnbFPgm/cUJLjjjUfpAkQlMIEpH0yJqWuh53ebaObjMlY&#10;jeMHd5KM2QeT43ns9gHd/tnx9MD3y9/tI637J9x/+j8AAAD//wMAUEsDBBQABgAIAAAAIQAYDQZs&#10;3QAAAAUBAAAPAAAAZHJzL2Rvd25yZXYueG1sTI9BS8NAEIXvgv9hGcGb3aTFENNsSinqqQi2gvQ2&#10;zU6T0OxsyG6T9N+7eqmXgcd7vPdNvppMKwbqXWNZQTyLQBCXVjdcKfjavz2lIJxH1thaJgVXcrAq&#10;7u9yzLQd+ZOGna9EKGGXoYLa+y6T0pU1GXQz2xEH72R7gz7IvpK6xzGUm1bOoyiRBhsOCzV2tKmp&#10;PO8uRsH7iON6Eb8O2/Npcz3snz++tzEp9fgwrZcgPE3+FoZf/IAORWA62gtrJ1oF4RH/d4OXzNME&#10;xFHBS5osQBa5/E9f/AAAAP//AwBQSwECLQAUAAYACAAAACEAtoM4kv4AAADhAQAAEwAAAAAAAAAA&#10;AAAAAAAAAAAAW0NvbnRlbnRfVHlwZXNdLnhtbFBLAQItABQABgAIAAAAIQA4/SH/1gAAAJQBAAAL&#10;AAAAAAAAAAAAAAAAAC8BAABfcmVscy8ucmVsc1BLAQItABQABgAIAAAAIQARgm9jfgoAACl/AAAO&#10;AAAAAAAAAAAAAAAAAC4CAABkcnMvZTJvRG9jLnhtbFBLAQItABQABgAIAAAAIQAYDQZs3QAAAAUB&#10;AAAPAAAAAAAAAAAAAAAAANgMAABkcnMvZG93bnJldi54bWxQSwUGAAAAAAQABADzAAAA4g0AAAAA&#10;">
                <v:rect id="Rectangle 18329" o:spid="_x0000_s3788" style="position:absolute;left:19005;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eSxQAAAN4AAAAPAAAAZHJzL2Rvd25yZXYueG1sRE9La8JA&#10;EL4X/A/LCN7qRgslRlcRRZpDL/UBHofsmESzs0t2NbG/vlso9DYf33MWq9404kGtry0rmIwTEMSF&#10;1TWXCo6H3WsKwgdkjY1lUvAkD6vl4GWBmbYdf9FjH0oRQ9hnqKAKwWVS+qIig35sHXHkLrY1GCJs&#10;S6lb7GK4aeQ0Sd6lwZpjQ4WONhUVt/3dKDhv2eW7ThaX7437vOZp83E/npQaDfv1HESgPvyL/9y5&#10;jvPTt+kMft+JN8jlDwAAAP//AwBQSwECLQAUAAYACAAAACEA2+H2y+4AAACFAQAAEwAAAAAAAAAA&#10;AAAAAAAAAAAAW0NvbnRlbnRfVHlwZXNdLnhtbFBLAQItABQABgAIAAAAIQBa9CxbvwAAABUBAAAL&#10;AAAAAAAAAAAAAAAAAB8BAABfcmVscy8ucmVsc1BLAQItABQABgAIAAAAIQAjaeeSxQAAAN4AAAAP&#10;AAAAAAAAAAAAAAAAAAcCAABkcnMvZG93bnJldi54bWxQSwUGAAAAAAMAAwC3AAAA+QIAAAAA&#10;" filled="f" stroked="f">
                  <v:textbox inset="0,0,0,0">
                    <w:txbxContent>
                      <w:p w14:paraId="4E2B76D8" w14:textId="77777777" w:rsidR="00B32EF2" w:rsidRDefault="00000000">
                        <w:r>
                          <w:rPr>
                            <w:rFonts w:ascii="Times New Roman" w:eastAsia="Times New Roman" w:hAnsi="Times New Roman" w:cs="Times New Roman"/>
                          </w:rPr>
                          <w:t>64</w:t>
                        </w:r>
                      </w:p>
                    </w:txbxContent>
                  </v:textbox>
                </v:rect>
                <v:rect id="Rectangle 18330" o:spid="_x0000_s3789" style="position:absolute;left:-12748;top:61199;width:526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tjSyAAAAN4AAAAPAAAAZHJzL2Rvd25yZXYueG1sRI9Pa8Mw&#10;DMXvg30Ho8Fuq7MVSsjqltFRlkMv/TPYUcRqki2WTew2WT99dSj0JqGn995vvhxdp87Ux9azgddJ&#10;Boq48rbl2sBhv37JQcWEbLHzTAb+KcJy8fgwx8L6gbd03qVaiQnHAg00KYVC61g15DBOfCCW29H3&#10;DpOsfa1tj4OYu06/ZdlMO2xZEhoMtGqo+tudnIGfTw7letDV8bIKm98y775Oh29jnp/Gj3dQicZ0&#10;F9++Syv18+lUAARHZtCLKwAAAP//AwBQSwECLQAUAAYACAAAACEA2+H2y+4AAACFAQAAEwAAAAAA&#10;AAAAAAAAAAAAAAAAW0NvbnRlbnRfVHlwZXNdLnhtbFBLAQItABQABgAIAAAAIQBa9CxbvwAAABUB&#10;AAALAAAAAAAAAAAAAAAAAB8BAABfcmVscy8ucmVsc1BLAQItABQABgAIAAAAIQA3itjSyAAAAN4A&#10;AAAPAAAAAAAAAAAAAAAAAAcCAABkcnMvZG93bnJldi54bWxQSwUGAAAAAAMAAwC3AAAA/AIAAAAA&#10;" filled="f" stroked="f">
                  <v:textbox inset="0,0,0,0">
                    <w:txbxContent>
                      <w:p w14:paraId="33528C82" w14:textId="77777777" w:rsidR="00B32EF2" w:rsidRDefault="00000000">
                        <w:r>
                          <w:rPr>
                            <w:rFonts w:ascii="Arial" w:eastAsia="Arial" w:hAnsi="Arial" w:cs="Arial"/>
                            <w:sz w:val="18"/>
                          </w:rPr>
                          <w:t>originale ed in numero di copie in carta semplice pari a quello delle altre parti.</w:t>
                        </w:r>
                      </w:p>
                    </w:txbxContent>
                  </v:textbox>
                </v:rect>
                <v:rect id="Rectangle 200996" o:spid="_x0000_s3790" style="position:absolute;left:-12851;top:59966;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xxwAAAN8AAAAPAAAAZHJzL2Rvd25yZXYueG1sRI9Ba8JA&#10;FITvBf/D8gRvdWMPElNXKZHQHHqpWujxkX0mabNvl+yaxP76bqHgcZiZb5jtfjKdGKj3rWUFq2UC&#10;griyuuVawflUPKYgfEDW2FkmBTfysN/NHraYaTvyOw3HUIsIYZ+hgiYEl0npq4YM+qV1xNG72N5g&#10;iLKvpe5xjHDTyackWUuDLceFBh3lDVXfx6tR8HlgVxajrC4/uXv7KtPu9Xr+UGoxn16eQQSawj38&#10;3y61gkjcbNbw9yd+Abn7BQAA//8DAFBLAQItABQABgAIAAAAIQDb4fbL7gAAAIUBAAATAAAAAAAA&#10;AAAAAAAAAAAAAABbQ29udGVudF9UeXBlc10ueG1sUEsBAi0AFAAGAAgAAAAhAFr0LFu/AAAAFQEA&#10;AAsAAAAAAAAAAAAAAAAAHwEAAF9yZWxzLy5yZWxzUEsBAi0AFAAGAAgAAAAhABc+P7HHAAAA3wAA&#10;AA8AAAAAAAAAAAAAAAAABwIAAGRycy9kb3ducmV2LnhtbFBLBQYAAAAAAwADALcAAAD7AgAAAAA=&#10;" filled="f" stroked="f">
                  <v:textbox inset="0,0,0,0">
                    <w:txbxContent>
                      <w:p w14:paraId="70C3CB6F" w14:textId="77777777" w:rsidR="00B32EF2" w:rsidRDefault="00000000">
                        <w:r>
                          <w:rPr>
                            <w:rFonts w:ascii="Arial" w:eastAsia="Arial" w:hAnsi="Arial" w:cs="Arial"/>
                            <w:sz w:val="18"/>
                          </w:rPr>
                          <w:t>. L’integrazione dei motivi di ricorso, resa necessaria dal deposito di docu</w:t>
                        </w:r>
                      </w:p>
                    </w:txbxContent>
                  </v:textbox>
                </v:rect>
                <v:rect id="Rectangle 200995" o:spid="_x0000_s3791" style="position:absolute;left:26350;top:59966;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KHGxwAAAN8AAAAPAAAAZHJzL2Rvd25yZXYueG1sRI9PawIx&#10;FMTvQr9DeAVvmm3BoqtZKRbpHnrRWujxsXn7x25ewia6q5/eCEKPw8z8hlmtB9OKM3W+sazgZZqA&#10;IC6sbrhScPjeTuYgfEDW2FomBRfysM6eRitMte15R+d9qESEsE9RQR2CS6X0RU0G/dQ64uiVtjMY&#10;ouwqqTvsI9y08jVJ3qTBhuNCjY42NRV/+5NR8PvBLt/2siivG/d1zOft5+nwo9T4eXhfggg0hP/w&#10;o51rBZG4WMzg/id+AZndAAAA//8DAFBLAQItABQABgAIAAAAIQDb4fbL7gAAAIUBAAATAAAAAAAA&#10;AAAAAAAAAAAAAABbQ29udGVudF9UeXBlc10ueG1sUEsBAi0AFAAGAAgAAAAhAFr0LFu/AAAAFQEA&#10;AAsAAAAAAAAAAAAAAAAAHwEAAF9yZWxzLy5yZWxzUEsBAi0AFAAGAAgAAAAhAOfsocbHAAAA3wAA&#10;AA8AAAAAAAAAAAAAAAAABwIAAGRycy9kb3ducmV2LnhtbFBLBQYAAAAAAwADALcAAAD7AgAAAAA=&#10;" filled="f" stroked="f">
                  <v:textbox inset="0,0,0,0">
                    <w:txbxContent>
                      <w:p w14:paraId="66E09172" w14:textId="77777777" w:rsidR="00B32EF2" w:rsidRDefault="00000000">
                        <w:r>
                          <w:rPr>
                            <w:rFonts w:ascii="Arial" w:eastAsia="Arial" w:hAnsi="Arial" w:cs="Arial"/>
                            <w:sz w:val="18"/>
                          </w:rPr>
                          <w:t>2</w:t>
                        </w:r>
                      </w:p>
                    </w:txbxContent>
                  </v:textbox>
                </v:rect>
                <v:rect id="Rectangle 18332" o:spid="_x0000_s3792" style="position:absolute;left:192;top:59966;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OM+xAAAAN4AAAAPAAAAZHJzL2Rvd25yZXYueG1sRE9Na8JA&#10;EL0L/odlCt50U4USUlcRRczBS20KPQ7ZMUnNzi7Z1UR/vVso9DaP9znL9WBacaPON5YVvM4SEMSl&#10;1Q1XCorP/TQF4QOyxtYyKbiTh/VqPFpipm3PH3Q7hUrEEPYZKqhDcJmUvqzJoJ9ZRxy5s+0Mhgi7&#10;SuoO+xhuWjlPkjdpsOHYUKOjbU3l5XQ1Cr537PJ9L8vzY+uOP3naHq7Fl1KTl2HzDiLQEP7Ff+5c&#10;x/npYjGH33fiDXL1BAAA//8DAFBLAQItABQABgAIAAAAIQDb4fbL7gAAAIUBAAATAAAAAAAAAAAA&#10;AAAAAAAAAABbQ29udGVudF9UeXBlc10ueG1sUEsBAi0AFAAGAAgAAAAhAFr0LFu/AAAAFQEAAAsA&#10;AAAAAAAAAAAAAAAAHwEAAF9yZWxzLy5yZWxzUEsBAi0AFAAGAAgAAAAhAKgU4z7EAAAA3gAAAA8A&#10;AAAAAAAAAAAAAAAABwIAAGRycy9kb3ducmV2LnhtbFBLBQYAAAAAAwADALcAAAD4AgAAAAA=&#10;" filled="f" stroked="f">
                  <v:textbox inset="0,0,0,0">
                    <w:txbxContent>
                      <w:p w14:paraId="2C191E60" w14:textId="77777777" w:rsidR="00B32EF2" w:rsidRDefault="00000000">
                        <w:r>
                          <w:rPr>
                            <w:rFonts w:ascii="Arial" w:eastAsia="Arial" w:hAnsi="Arial" w:cs="Arial"/>
                            <w:sz w:val="18"/>
                          </w:rPr>
                          <w:t>-</w:t>
                        </w:r>
                      </w:p>
                    </w:txbxContent>
                  </v:textbox>
                </v:rect>
                <v:rect id="Rectangle 18333" o:spid="_x0000_s3793" style="position:absolute;left:-12207;top:58733;width:5212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alxAAAAN4AAAAPAAAAZHJzL2Rvd25yZXYueG1sRE9Na8JA&#10;EL0L/odlBG+6qQEJqasURcyhF61Cj0N2TNJmZ5fsalJ/vVso9DaP9zmrzWBacafON5YVvMwTEMSl&#10;1Q1XCs4f+1kGwgdkja1lUvBDHjbr8WiFubY9H+l+CpWIIexzVFCH4HIpfVmTQT+3jjhyV9sZDBF2&#10;ldQd9jHctHKRJEtpsOHYUKOjbU3l9+lmFHzu2BX7XpbXx9a9fxVZe7idL0pNJ8PbK4hAQ/gX/7kL&#10;HednaZrC7zvxBrl+AgAA//8DAFBLAQItABQABgAIAAAAIQDb4fbL7gAAAIUBAAATAAAAAAAAAAAA&#10;AAAAAAAAAABbQ29udGVudF9UeXBlc10ueG1sUEsBAi0AFAAGAAgAAAAhAFr0LFu/AAAAFQEAAAsA&#10;AAAAAAAAAAAAAAAAHwEAAF9yZWxzLy5yZWxzUEsBAi0AFAAGAAgAAAAhAMdYRqXEAAAA3gAAAA8A&#10;AAAAAAAAAAAAAAAABwIAAGRycy9kb3ducmV2LnhtbFBLBQYAAAAAAwADALcAAAD4AgAAAAA=&#10;" filled="f" stroked="f">
                  <v:textbox inset="0,0,0,0">
                    <w:txbxContent>
                      <w:p w14:paraId="0855A060" w14:textId="77777777" w:rsidR="00B32EF2" w:rsidRDefault="00000000">
                        <w:r>
                          <w:rPr>
                            <w:rFonts w:ascii="Arial" w:eastAsia="Arial" w:hAnsi="Arial" w:cs="Arial"/>
                            <w:sz w:val="18"/>
                          </w:rPr>
                          <w:t>menti non conosciuti ad opera delle altre parti o per ordine della corte di giu</w:t>
                        </w:r>
                      </w:p>
                    </w:txbxContent>
                  </v:textbox>
                </v:rect>
                <v:rect id="Rectangle 18334" o:spid="_x0000_s3794" style="position:absolute;left:192;top:58733;width:5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d7RxAAAAN4AAAAPAAAAZHJzL2Rvd25yZXYueG1sRE9Na8JA&#10;EL0X/A/LCN7qxlpKiK4iijQHL7UKHofsmESzs0t2NdFf3y0UepvH+5z5sjeNuFPra8sKJuMEBHFh&#10;dc2lgsP39jUF4QOyxsYyKXiQh+Vi8DLHTNuOv+i+D6WIIewzVFCF4DIpfVGRQT+2jjhyZ9saDBG2&#10;pdQtdjHcNPItST6kwZpjQ4WO1hUV1/3NKDht2OXbThbn59rtLnnafN4OR6VGw341AxGoD//iP3eu&#10;4/x0On2H33fiDXLxAwAA//8DAFBLAQItABQABgAIAAAAIQDb4fbL7gAAAIUBAAATAAAAAAAAAAAA&#10;AAAAAAAAAABbQ29udGVudF9UeXBlc10ueG1sUEsBAi0AFAAGAAgAAAAhAFr0LFu/AAAAFQEAAAsA&#10;AAAAAAAAAAAAAAAAHwEAAF9yZWxzLy5yZWxzUEsBAi0AFAAGAAgAAAAhAEix3tHEAAAA3gAAAA8A&#10;AAAAAAAAAAAAAAAABwIAAGRycy9kb3ducmV2LnhtbFBLBQYAAAAAAwADALcAAAD4AgAAAAA=&#10;" filled="f" stroked="f">
                  <v:textbox inset="0,0,0,0">
                    <w:txbxContent>
                      <w:p w14:paraId="1DD7721E" w14:textId="77777777" w:rsidR="00B32EF2" w:rsidRDefault="00000000">
                        <w:r>
                          <w:rPr>
                            <w:rFonts w:ascii="Arial" w:eastAsia="Arial" w:hAnsi="Arial" w:cs="Arial"/>
                            <w:sz w:val="18"/>
                          </w:rPr>
                          <w:t>-</w:t>
                        </w:r>
                      </w:p>
                    </w:txbxContent>
                  </v:textbox>
                </v:rect>
                <v:rect id="Rectangle 18335" o:spid="_x0000_s3795" style="position:absolute;left:-13171;top:57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KxAAAAN4AAAAPAAAAZHJzL2Rvd25yZXYueG1sRE9Na8JA&#10;EL0X/A/LCN7qxkpLiK4iijQHL7UKHofsmESzs0t2NdFf3y0UepvH+5z5sjeNuFPra8sKJuMEBHFh&#10;dc2lgsP39jUF4QOyxsYyKXiQh+Vi8DLHTNuOv+i+D6WIIewzVFCF4DIpfVGRQT+2jjhyZ9saDBG2&#10;pdQtdjHcNPItST6kwZpjQ4WO1hUV1/3NKDht2OXbThbn59rtLnnafN4OR6VGw341AxGoD//iP3eu&#10;4/x0On2H33fiDXLxAwAA//8DAFBLAQItABQABgAIAAAAIQDb4fbL7gAAAIUBAAATAAAAAAAAAAAA&#10;AAAAAAAAAABbQ29udGVudF9UeXBlc10ueG1sUEsBAi0AFAAGAAgAAAAhAFr0LFu/AAAAFQEAAAsA&#10;AAAAAAAAAAAAAAAAHwEAAF9yZWxzLy5yZWxzUEsBAi0AFAAGAAgAAAAhACf9e0rEAAAA3gAAAA8A&#10;AAAAAAAAAAAAAAAABwIAAGRycy9kb3ducmV2LnhtbFBLBQYAAAAAAwADALcAAAD4AgAAAAA=&#10;" filled="f" stroked="f">
                  <v:textbox inset="0,0,0,0">
                    <w:txbxContent>
                      <w:p w14:paraId="0A243486" w14:textId="77777777" w:rsidR="00B32EF2" w:rsidRDefault="00000000">
                        <w:r>
                          <w:rPr>
                            <w:rFonts w:ascii="Arial" w:eastAsia="Arial" w:hAnsi="Arial" w:cs="Arial"/>
                            <w:sz w:val="18"/>
                          </w:rPr>
                          <w:t xml:space="preserve">stizia tributaria, è ammessa entro il termine perentorio di sessanta giorni dalla </w:t>
                        </w:r>
                      </w:p>
                    </w:txbxContent>
                  </v:textbox>
                </v:rect>
                <v:rect id="Rectangle 18336" o:spid="_x0000_s3796" style="position:absolute;left:6152;top:56266;width:337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U9xAAAAN4AAAAPAAAAZHJzL2Rvd25yZXYueG1sRE9Na8JA&#10;EL0X/A/LFLzVTStISF1FFGkOXqoRPA7ZMUnNzi7Z1UR/fbdQ8DaP9znz5WBacaPON5YVvE8SEMSl&#10;1Q1XCorD9i0F4QOyxtYyKbiTh+Vi9DLHTNuev+m2D5WIIewzVFCH4DIpfVmTQT+xjjhyZ9sZDBF2&#10;ldQd9jHctPIjSWbSYMOxoUZH65rKy/5qFJw27PJtL8vzY+12P3nafl2Lo1Lj12H1CSLQEJ7if3eu&#10;4/x0Op3B3zvxBrn4BQAA//8DAFBLAQItABQABgAIAAAAIQDb4fbL7gAAAIUBAAATAAAAAAAAAAAA&#10;AAAAAAAAAABbQ29udGVudF9UeXBlc10ueG1sUEsBAi0AFAAGAAgAAAAhAFr0LFu/AAAAFQEAAAsA&#10;AAAAAAAAAAAAAAAAHwEAAF9yZWxzLy5yZWxzUEsBAi0AFAAGAAgAAAAhANcv5T3EAAAA3gAAAA8A&#10;AAAAAAAAAAAAAAAABwIAAGRycy9kb3ducmV2LnhtbFBLBQYAAAAAAwADALcAAAD4AgAAAAA=&#10;" filled="f" stroked="f">
                  <v:textbox inset="0,0,0,0">
                    <w:txbxContent>
                      <w:p w14:paraId="507C4C34" w14:textId="77777777" w:rsidR="00B32EF2" w:rsidRDefault="00000000">
                        <w:r>
                          <w:rPr>
                            <w:rFonts w:ascii="Arial" w:eastAsia="Arial" w:hAnsi="Arial" w:cs="Arial"/>
                            <w:sz w:val="18"/>
                          </w:rPr>
                          <w:t>data in cui l’interessato ha notizia di tale deposito.</w:t>
                        </w:r>
                      </w:p>
                    </w:txbxContent>
                  </v:textbox>
                </v:rect>
                <v:rect id="Rectangle 200985" o:spid="_x0000_s3797" style="position:absolute;left:26110;top:550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TcbxwAAAN8AAAAPAAAAZHJzL2Rvd25yZXYueG1sRI9Pa8JA&#10;FMTvBb/D8gRvddOCkqauUixiDl78U+jxkX0m0ezbJbua6Kd3hUKPw8z8hpktetOIK7W+tqzgbZyA&#10;IC6srrlUcNivXlMQPiBrbCyTght5WMwHLzPMtO14S9ddKEWEsM9QQRWCy6T0RUUG/dg64ugdbWsw&#10;RNmWUrfYRbhp5HuSTKXBmuNChY6WFRXn3cUo+P1ml686WRzvS7c55Wmzvhx+lBoN+69PEIH68B/+&#10;a+daQSR+pBN4/olfQM4fAAAA//8DAFBLAQItABQABgAIAAAAIQDb4fbL7gAAAIUBAAATAAAAAAAA&#10;AAAAAAAAAAAAAABbQ29udGVudF9UeXBlc10ueG1sUEsBAi0AFAAGAAgAAAAhAFr0LFu/AAAAFQEA&#10;AAsAAAAAAAAAAAAAAAAAHwEAAF9yZWxzLy5yZWxzUEsBAi0AFAAGAAgAAAAhAGI1NxvHAAAA3wAA&#10;AA8AAAAAAAAAAAAAAAAABwIAAGRycy9kb3ducmV2LnhtbFBLBQYAAAAAAwADALcAAAD7AgAAAAA=&#10;" filled="f" stroked="f">
                  <v:textbox inset="0,0,0,0">
                    <w:txbxContent>
                      <w:p w14:paraId="2BA2D862" w14:textId="77777777" w:rsidR="00B32EF2" w:rsidRDefault="00000000">
                        <w:r>
                          <w:rPr>
                            <w:rFonts w:ascii="Arial" w:eastAsia="Arial" w:hAnsi="Arial" w:cs="Arial"/>
                            <w:sz w:val="18"/>
                          </w:rPr>
                          <w:t>3</w:t>
                        </w:r>
                      </w:p>
                    </w:txbxContent>
                  </v:textbox>
                </v:rect>
                <v:rect id="Rectangle 200986" o:spid="_x0000_s3798" style="position:absolute;left:-13816;top:550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6lsxgAAAN8AAAAPAAAAZHJzL2Rvd25yZXYueG1sRI9Ba8JA&#10;FITvBf/D8gRvdVMPkqauUhQxh160EXp8ZJ9J2uzbJbua1F/vCoLHYWa+YRarwbTiQp1vLCt4myYg&#10;iEurG64UFN/b1xSED8gaW8uk4J88rJajlwVm2va8p8shVCJC2GeooA7BZVL6siaDfmodcfROtjMY&#10;ouwqqTvsI9y0cpYkc2mw4bhQo6N1TeXf4WwU/GzY5dtelqfr2n395mm7OxdHpSbj4fMDRKAhPMOP&#10;dq4VROJ7Oof7n/gF5PIGAAD//wMAUEsBAi0AFAAGAAgAAAAhANvh9svuAAAAhQEAABMAAAAAAAAA&#10;AAAAAAAAAAAAAFtDb250ZW50X1R5cGVzXS54bWxQSwECLQAUAAYACAAAACEAWvQsW78AAAAVAQAA&#10;CwAAAAAAAAAAAAAAAAAfAQAAX3JlbHMvLnJlbHNQSwECLQAUAAYACAAAACEAkuepbMYAAADfAAAA&#10;DwAAAAAAAAAAAAAAAAAHAgAAZHJzL2Rvd25yZXYueG1sUEsFBgAAAAADAAMAtwAAAPoCAAAAAA==&#10;" filled="f" stroked="f">
                  <v:textbox inset="0,0,0,0">
                    <w:txbxContent>
                      <w:p w14:paraId="2CABB60A" w14:textId="77777777" w:rsidR="00B32EF2" w:rsidRDefault="00000000">
                        <w:r>
                          <w:rPr>
                            <w:rFonts w:ascii="Arial" w:eastAsia="Arial" w:hAnsi="Arial" w:cs="Arial"/>
                            <w:sz w:val="18"/>
                          </w:rPr>
                          <w:t xml:space="preserve">. Se è stata già fissata la trattazione della controversia, l’interessato, a pena </w:t>
                        </w:r>
                      </w:p>
                    </w:txbxContent>
                  </v:textbox>
                </v:rect>
                <v:rect id="Rectangle 18338" o:spid="_x0000_s3799" style="position:absolute;left:-12204;top:53799;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TUyAAAAN4AAAAPAAAAZHJzL2Rvd25yZXYueG1sRI9Pa8Mw&#10;DMXvg30Ho8Fuq7MVSsjqltFRlkMv/TPYUcRqki2WTew2WT99dSj0JvGe3vtpvhxdp87Ux9azgddJ&#10;Boq48rbl2sBhv37JQcWEbLHzTAb+KcJy8fgwx8L6gbd03qVaSQjHAg00KYVC61g15DBOfCAW7eh7&#10;h0nWvta2x0HCXaffsmymHbYsDQ0GWjVU/e1OzsDPJ4dyPejqeFmFzW+Zd1+nw7cxz0/jxzuoRGO6&#10;m2/XpRX8fDoVXnlHZtCLKwAAAP//AwBQSwECLQAUAAYACAAAACEA2+H2y+4AAACFAQAAEwAAAAAA&#10;AAAAAAAAAAAAAAAAW0NvbnRlbnRfVHlwZXNdLnhtbFBLAQItABQABgAIAAAAIQBa9CxbvwAAABUB&#10;AAALAAAAAAAAAAAAAAAAAB8BAABfcmVscy8ucmVsc1BLAQItABQABgAIAAAAIQDJ/NTUyAAAAN4A&#10;AAAPAAAAAAAAAAAAAAAAAAcCAABkcnMvZG93bnJldi54bWxQSwUGAAAAAAMAAwC3AAAA/AIAAAAA&#10;" filled="f" stroked="f">
                  <v:textbox inset="0,0,0,0">
                    <w:txbxContent>
                      <w:p w14:paraId="2E09A4B0" w14:textId="77777777" w:rsidR="00B32EF2" w:rsidRDefault="00000000">
                        <w:r>
                          <w:rPr>
                            <w:rFonts w:ascii="Arial" w:eastAsia="Arial" w:hAnsi="Arial" w:cs="Arial"/>
                            <w:sz w:val="18"/>
                          </w:rPr>
                          <w:t>di inammissibilità, deve dichiarare, non oltre la trattazione in camera di consi</w:t>
                        </w:r>
                      </w:p>
                    </w:txbxContent>
                  </v:textbox>
                </v:rect>
                <v:rect id="Rectangle 18339" o:spid="_x0000_s3800" style="position:absolute;left:192;top:53799;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HFPxAAAAN4AAAAPAAAAZHJzL2Rvd25yZXYueG1sRE9Na8JA&#10;EL0X/A/LCN7qxgolja4iijQHL7UKHofsmESzs0t2NdFf3y0UepvH+5z5sjeNuFPra8sKJuMEBHFh&#10;dc2lgsP39jUF4QOyxsYyKXiQh+Vi8DLHTNuOv+i+D6WIIewzVFCF4DIpfVGRQT+2jjhyZ9saDBG2&#10;pdQtdjHcNPItSd6lwZpjQ4WO1hUV1/3NKDht2OXbThbn59rtLnnafN4OR6VGw341AxGoD//iP3eu&#10;4/x0Ov2A33fiDXLxAwAA//8DAFBLAQItABQABgAIAAAAIQDb4fbL7gAAAIUBAAATAAAAAAAAAAAA&#10;AAAAAAAAAABbQ29udGVudF9UeXBlc10ueG1sUEsBAi0AFAAGAAgAAAAhAFr0LFu/AAAAFQEAAAsA&#10;AAAAAAAAAAAAAAAAHwEAAF9yZWxzLy5yZWxzUEsBAi0AFAAGAAgAAAAhAKawcU/EAAAA3gAAAA8A&#10;AAAAAAAAAAAAAAAABwIAAGRycy9kb3ducmV2LnhtbFBLBQYAAAAAAwADALcAAAD4AgAAAAA=&#10;" filled="f" stroked="f">
                  <v:textbox inset="0,0,0,0">
                    <w:txbxContent>
                      <w:p w14:paraId="69E52434" w14:textId="77777777" w:rsidR="00B32EF2" w:rsidRDefault="00000000">
                        <w:r>
                          <w:rPr>
                            <w:rFonts w:ascii="Arial" w:eastAsia="Arial" w:hAnsi="Arial" w:cs="Arial"/>
                            <w:sz w:val="18"/>
                          </w:rPr>
                          <w:t>-</w:t>
                        </w:r>
                      </w:p>
                    </w:txbxContent>
                  </v:textbox>
                </v:rect>
                <v:rect id="Rectangle 18340" o:spid="_x0000_s3801" style="position:absolute;left:-13171;top:525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KuvyAAAAN4AAAAPAAAAZHJzL2Rvd25yZXYueG1sRI9Pa8Mw&#10;DMXvg30Ho0Fvq7N1jJDVLaOjNIdd+g92FLGaZItlE7tNuk8/HQq7SejpvfebL0fXqQv1sfVs4Gma&#10;gSKuvG25NnDYrx9zUDEhW+w8k4ErRVgu7u/mWFg/8JYuu1QrMeFYoIEmpVBoHauGHMapD8RyO/ne&#10;YZK1r7XtcRBz1+nnLHvVDluWhAYDrRqqfnZnZ+Drg0O5HnR1+l2Fz+8y7zbnw9GYycP4/gYq0Zj+&#10;xbfv0kr9fPYiAIIjM+jFHwAAAP//AwBQSwECLQAUAAYACAAAACEA2+H2y+4AAACFAQAAEwAAAAAA&#10;AAAAAAAAAAAAAAAAW0NvbnRlbnRfVHlwZXNdLnhtbFBLAQItABQABgAIAAAAIQBa9CxbvwAAABUB&#10;AAALAAAAAAAAAAAAAAAAAB8BAABfcmVscy8ucmVsc1BLAQItABQABgAIAAAAIQBvjKuvyAAAAN4A&#10;AAAPAAAAAAAAAAAAAAAAAAcCAABkcnMvZG93bnJldi54bWxQSwUGAAAAAAMAAwC3AAAA/AIAAAAA&#10;" filled="f" stroked="f">
                  <v:textbox inset="0,0,0,0">
                    <w:txbxContent>
                      <w:p w14:paraId="34432D22" w14:textId="77777777" w:rsidR="00B32EF2" w:rsidRDefault="00000000">
                        <w:r>
                          <w:rPr>
                            <w:rFonts w:ascii="Arial" w:eastAsia="Arial" w:hAnsi="Arial" w:cs="Arial"/>
                            <w:sz w:val="18"/>
                          </w:rPr>
                          <w:t xml:space="preserve">glio o la discussione in pubblica udienza, che intende proporre motivi aggiunti. </w:t>
                        </w:r>
                      </w:p>
                    </w:txbxContent>
                  </v:textbox>
                </v:rect>
                <v:rect id="Rectangle 18341" o:spid="_x0000_s3802" style="position:absolute;left:-13170;top:51333;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A40xAAAAN4AAAAPAAAAZHJzL2Rvd25yZXYueG1sRE9Na8JA&#10;EL0X/A/LCN7qRltKiK4iijQHL7UKHofsmESzs0t2NdFf3y0UepvH+5z5sjeNuFPra8sKJuMEBHFh&#10;dc2lgsP39jUF4QOyxsYyKXiQh+Vi8DLHTNuOv+i+D6WIIewzVFCF4DIpfVGRQT+2jjhyZ9saDBG2&#10;pdQtdjHcNHKaJB/SYM2xoUJH64qK6/5mFJw27PJtJ4vzc+12lzxtPm+Ho1KjYb+agQjUh3/xnzvX&#10;cX769j6B33fiDXLxAwAA//8DAFBLAQItABQABgAIAAAAIQDb4fbL7gAAAIUBAAATAAAAAAAAAAAA&#10;AAAAAAAAAABbQ29udGVudF9UeXBlc10ueG1sUEsBAi0AFAAGAAgAAAAhAFr0LFu/AAAAFQEAAAsA&#10;AAAAAAAAAAAAAAAAHwEAAF9yZWxzLy5yZWxzUEsBAi0AFAAGAAgAAAAhAADADjTEAAAA3gAAAA8A&#10;AAAAAAAAAAAAAAAABwIAAGRycy9kb3ducmV2LnhtbFBLBQYAAAAAAwADALcAAAD4AgAAAAA=&#10;" filled="f" stroked="f">
                  <v:textbox inset="0,0,0,0">
                    <w:txbxContent>
                      <w:p w14:paraId="4D2EF779" w14:textId="77777777" w:rsidR="00B32EF2" w:rsidRDefault="00000000">
                        <w:r>
                          <w:rPr>
                            <w:rFonts w:ascii="Arial" w:eastAsia="Arial" w:hAnsi="Arial" w:cs="Arial"/>
                            <w:sz w:val="18"/>
                          </w:rPr>
                          <w:t xml:space="preserve">In tal caso la trattazione o l’udienza sono rinviate ad altra data per consentire </w:t>
                        </w:r>
                      </w:p>
                    </w:txbxContent>
                  </v:textbox>
                </v:rect>
                <v:rect id="Rectangle 18342" o:spid="_x0000_s3803" style="position:absolute;left:16392;top:50099;width:235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pBDxQAAAN4AAAAPAAAAZHJzL2Rvd25yZXYueG1sRE9La8JA&#10;EL4X/A/LCN7qRltKiK4iijSHXuoDPA7ZMYlmZ5fsamJ/fbdQ8DYf33Pmy9404k6try0rmIwTEMSF&#10;1TWXCg777WsKwgdkjY1lUvAgD8vF4GWOmbYdf9N9F0oRQ9hnqKAKwWVS+qIig35sHXHkzrY1GCJs&#10;S6lb7GK4aeQ0ST6kwZpjQ4WO1hUV193NKDht2OXbThbnn7X7uuRp83k7HJUaDfvVDESgPjzF/+5c&#10;x/np2/sU/t6JN8jFLwAAAP//AwBQSwECLQAUAAYACAAAACEA2+H2y+4AAACFAQAAEwAAAAAAAAAA&#10;AAAAAAAAAAAAW0NvbnRlbnRfVHlwZXNdLnhtbFBLAQItABQABgAIAAAAIQBa9CxbvwAAABUBAAAL&#10;AAAAAAAAAAAAAAAAAB8BAABfcmVscy8ucmVsc1BLAQItABQABgAIAAAAIQDwEpBDxQAAAN4AAAAP&#10;AAAAAAAAAAAAAAAAAAcCAABkcnMvZG93bnJldi54bWxQSwUGAAAAAAMAAwC3AAAA+QIAAAAA&#10;" filled="f" stroked="f">
                  <v:textbox inset="0,0,0,0">
                    <w:txbxContent>
                      <w:p w14:paraId="207EA40A" w14:textId="77777777" w:rsidR="00B32EF2" w:rsidRDefault="00000000">
                        <w:r>
                          <w:rPr>
                            <w:rFonts w:ascii="Arial" w:eastAsia="Arial" w:hAnsi="Arial" w:cs="Arial"/>
                            <w:sz w:val="18"/>
                          </w:rPr>
                          <w:t>gli adempimenti di cui al comma 4.</w:t>
                        </w:r>
                      </w:p>
                    </w:txbxContent>
                  </v:textbox>
                </v:rect>
                <v:rect id="Rectangle 200983" o:spid="_x0000_s3804" style="position:absolute;left:26110;top:488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Ar0xwAAAN8AAAAPAAAAZHJzL2Rvd25yZXYueG1sRI9Pa8JA&#10;FMTvBb/D8gRvddMKkqauUixiDl78U+jxkX0m0ezbJbua6Kd3hUKPw8z8hpktetOIK7W+tqzgbZyA&#10;IC6srrlUcNivXlMQPiBrbCyTght5WMwHLzPMtO14S9ddKEWEsM9QQRWCy6T0RUUG/dg64ugdbWsw&#10;RNmWUrfYRbhp5HuSTKXBmuNChY6WFRXn3cUo+P1ml686WRzvS7c55Wmzvhx+lBoN+69PEIH68B/+&#10;a+daQSR+pBN4/olfQM4fAAAA//8DAFBLAQItABQABgAIAAAAIQDb4fbL7gAAAIUBAAATAAAAAAAA&#10;AAAAAAAAAAAAAABbQ29udGVudF9UeXBlc10ueG1sUEsBAi0AFAAGAAgAAAAhAFr0LFu/AAAAFQEA&#10;AAsAAAAAAAAAAAAAAAAAHwEAAF9yZWxzLy5yZWxzUEsBAi0AFAAGAAgAAAAhAIKQCvTHAAAA3wAA&#10;AA8AAAAAAAAAAAAAAAAABwIAAGRycy9kb3ducmV2LnhtbFBLBQYAAAAAAwADALcAAAD7AgAAAAA=&#10;" filled="f" stroked="f">
                  <v:textbox inset="0,0,0,0">
                    <w:txbxContent>
                      <w:p w14:paraId="6AEC3C38" w14:textId="77777777" w:rsidR="00B32EF2" w:rsidRDefault="00000000">
                        <w:r>
                          <w:rPr>
                            <w:rFonts w:ascii="Arial" w:eastAsia="Arial" w:hAnsi="Arial" w:cs="Arial"/>
                            <w:sz w:val="18"/>
                          </w:rPr>
                          <w:t>4</w:t>
                        </w:r>
                      </w:p>
                    </w:txbxContent>
                  </v:textbox>
                </v:rect>
                <v:rect id="Rectangle 200984" o:spid="_x0000_s3805" style="position:absolute;left:-13802;top:488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ZKAxwAAAN8AAAAPAAAAZHJzL2Rvd25yZXYueG1sRI9Pa8JA&#10;FMTvBb/D8gRvddMikqauUixiDl78U+jxkX0m0ezbJbua6Kd3hUKPw8z8hpktetOIK7W+tqzgbZyA&#10;IC6srrlUcNivXlMQPiBrbCyTght5WMwHLzPMtO14S9ddKEWEsM9QQRWCy6T0RUUG/dg64ugdbWsw&#10;RNmWUrfYRbhp5HuSTKXBmuNChY6WFRXn3cUo+P1ml686WRzvS7c55Wmzvhx+lBoN+69PEIH68B/+&#10;a+daQSR+pBN4/olfQM4fAAAA//8DAFBLAQItABQABgAIAAAAIQDb4fbL7gAAAIUBAAATAAAAAAAA&#10;AAAAAAAAAAAAAABbQ29udGVudF9UeXBlc10ueG1sUEsBAi0AFAAGAAgAAAAhAFr0LFu/AAAAFQEA&#10;AAsAAAAAAAAAAAAAAAAAHwEAAF9yZWxzLy5yZWxzUEsBAi0AFAAGAAgAAAAhAA15koDHAAAA3wAA&#10;AA8AAAAAAAAAAAAAAAAABwIAAGRycy9kb3ducmV2LnhtbFBLBQYAAAAAAwADALcAAAD7AgAAAAA=&#10;" filled="f" stroked="f">
                  <v:textbox inset="0,0,0,0">
                    <w:txbxContent>
                      <w:p w14:paraId="3BC31C6C" w14:textId="77777777" w:rsidR="00B32EF2" w:rsidRDefault="00000000">
                        <w:r>
                          <w:rPr>
                            <w:rFonts w:ascii="Arial" w:eastAsia="Arial" w:hAnsi="Arial" w:cs="Arial"/>
                            <w:sz w:val="18"/>
                          </w:rPr>
                          <w:t xml:space="preserve">. L’integrazione dei motivi si effettua mediante atto avente i requisiti di cui </w:t>
                        </w:r>
                      </w:p>
                    </w:txbxContent>
                  </v:textbox>
                </v:rect>
                <v:rect id="Rectangle 18344" o:spid="_x0000_s3806" style="position:absolute;left:-13171;top:476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62sxAAAAN4AAAAPAAAAZHJzL2Rvd25yZXYueG1sRE9Na8JA&#10;EL0X/A/LCN7qxiolRFcRRZpDL7UKHofsmESzs0t2NdFf3y0UepvH+5zFqjeNuFPra8sKJuMEBHFh&#10;dc2lgsP37jUF4QOyxsYyKXiQh9Vy8LLATNuOv+i+D6WIIewzVFCF4DIpfVGRQT+2jjhyZ9saDBG2&#10;pdQtdjHcNPItSd6lwZpjQ4WONhUV1/3NKDht2eW7Thbn58Z9XvK0+bgdjkqNhv16DiJQH/7Ff+5c&#10;x/npdDaD33fiDXL5AwAA//8DAFBLAQItABQABgAIAAAAIQDb4fbL7gAAAIUBAAATAAAAAAAAAAAA&#10;AAAAAAAAAABbQ29udGVudF9UeXBlc10ueG1sUEsBAi0AFAAGAAgAAAAhAFr0LFu/AAAAFQEAAAsA&#10;AAAAAAAAAAAAAAAAHwEAAF9yZWxzLy5yZWxzUEsBAi0AFAAGAAgAAAAhABC3razEAAAA3gAAAA8A&#10;AAAAAAAAAAAAAAAABwIAAGRycy9kb3ducmV2LnhtbFBLBQYAAAAAAwADALcAAAD4AgAAAAA=&#10;" filled="f" stroked="f">
                  <v:textbox inset="0,0,0,0">
                    <w:txbxContent>
                      <w:p w14:paraId="1D7BE659" w14:textId="77777777" w:rsidR="00B32EF2" w:rsidRDefault="00000000">
                        <w:r>
                          <w:rPr>
                            <w:rFonts w:ascii="Arial" w:eastAsia="Arial" w:hAnsi="Arial" w:cs="Arial"/>
                            <w:sz w:val="18"/>
                          </w:rPr>
                          <w:t xml:space="preserve">all’articolo 64 per quanto applicabile. Si applicano l’articolo 66, commi 1 e 2, </w:t>
                        </w:r>
                      </w:p>
                    </w:txbxContent>
                  </v:textbox>
                </v:rect>
                <v:rect id="Rectangle 18345" o:spid="_x0000_s3807" style="position:absolute;left:2002;top:46400;width:3791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3xQAAAN4AAAAPAAAAZHJzL2Rvd25yZXYueG1sRE9Na8JA&#10;EL0X+h+WKXirm9YqIbpKsYg5eKlV8DhkxySanV2yq4n99W5B6G0e73Nmi9404kqtry0reBsmIIgL&#10;q2suFex+Vq8pCB+QNTaWScGNPCzmz08zzLTt+Juu21CKGMI+QwVVCC6T0hcVGfRD64gjd7StwRBh&#10;W0rdYhfDTSPfk2QiDdYcGyp0tKyoOG8vRsHhi12+6mRx/F26zSlPm/Vlt1dq8NJ/TkEE6sO/+OHO&#10;dZyfjj7G8PdOvEHO7wAAAP//AwBQSwECLQAUAAYACAAAACEA2+H2y+4AAACFAQAAEwAAAAAAAAAA&#10;AAAAAAAAAAAAW0NvbnRlbnRfVHlwZXNdLnhtbFBLAQItABQABgAIAAAAIQBa9CxbvwAAABUBAAAL&#10;AAAAAAAAAAAAAAAAAB8BAABfcmVscy8ucmVsc1BLAQItABQABgAIAAAAIQB/+wg3xQAAAN4AAAAP&#10;AAAAAAAAAAAAAAAAAAcCAABkcnMvZG93bnJldi54bWxQSwUGAAAAAAMAAwC3AAAA+QIAAAAA&#10;" filled="f" stroked="f">
                  <v:textbox inset="0,0,0,0">
                    <w:txbxContent>
                      <w:p w14:paraId="0B574301" w14:textId="77777777" w:rsidR="00B32EF2" w:rsidRDefault="00000000">
                        <w:r>
                          <w:rPr>
                            <w:rFonts w:ascii="Arial" w:eastAsia="Arial" w:hAnsi="Arial" w:cs="Arial"/>
                            <w:sz w:val="18"/>
                          </w:rPr>
                          <w:t>l’articolo 68, commi 1, 2, 3 e 5, e l’articolo 69, comma 3.</w:t>
                        </w:r>
                      </w:p>
                    </w:txbxContent>
                  </v:textbox>
                </v:rect>
                <v:rect id="Rectangle 18346" o:spid="_x0000_s3808" style="position:absolute;left:15114;top:43933;width:80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ZZAxAAAAN4AAAAPAAAAZHJzL2Rvd25yZXYueG1sRE9Na8JA&#10;EL0X/A/LCN7qxlokRFcRRZpDL7UKHofsmESzs0t2NdFf3y0UepvH+5zFqjeNuFPra8sKJuMEBHFh&#10;dc2lgsP37jUF4QOyxsYyKXiQh9Vy8LLATNuOv+i+D6WIIewzVFCF4DIpfVGRQT+2jjhyZ9saDBG2&#10;pdQtdjHcNPItSWbSYM2xoUJHm4qK6/5mFJy27PJdJ4vzc+M+L3nafNwOR6VGw349BxGoD//iP3eu&#10;4/x0+j6D33fiDXL5AwAA//8DAFBLAQItABQABgAIAAAAIQDb4fbL7gAAAIUBAAATAAAAAAAAAAAA&#10;AAAAAAAAAABbQ29udGVudF9UeXBlc10ueG1sUEsBAi0AFAAGAAgAAAAhAFr0LFu/AAAAFQEAAAsA&#10;AAAAAAAAAAAAAAAAHwEAAF9yZWxzLy5yZWxzUEsBAi0AFAAGAAgAAAAhAI8plkDEAAAA3gAAAA8A&#10;AAAAAAAAAAAAAAAABwIAAGRycy9kb3ducmV2LnhtbFBLBQYAAAAAAwADALcAAAD4AgAAAAA=&#10;" filled="f" stroked="f">
                  <v:textbox inset="0,0,0,0">
                    <w:txbxContent>
                      <w:p w14:paraId="25EEF1F7" w14:textId="77777777" w:rsidR="00B32EF2" w:rsidRDefault="00000000">
                        <w:r>
                          <w:rPr>
                            <w:rFonts w:ascii="Arial" w:eastAsia="Arial" w:hAnsi="Arial" w:cs="Arial"/>
                            <w:b/>
                            <w:sz w:val="18"/>
                          </w:rPr>
                          <w:t>Articolo 71</w:t>
                        </w:r>
                      </w:p>
                    </w:txbxContent>
                  </v:textbox>
                </v:rect>
                <v:rect id="Rectangle 200978" o:spid="_x0000_s3809" style="position:absolute;left:22220;top:42700;width:194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eiixwAAAN8AAAAPAAAAZHJzL2Rvd25yZXYueG1sRI/BbsIw&#10;DIbvk/YOkSftNtLtsLFCQIgJrYddYCBxtBrTFhonagLt9vT4gMTR+v1/9jedD65VF+pi49nA6ygD&#10;RVx623BlYPu7ehmDignZYuuZDPxRhPns8WGKufU9r+mySZUSCMccDdQphVzrWNbkMI58IJbs4DuH&#10;Scau0rbDXuCu1W9Z9q4dNiwXagy0rKk8bc7OwP6LQ7HqdXn4X4afYzFuv8/bnTHPT8NiAirRkO7L&#10;t3ZhDQjx80MeFh9xAT27AgAA//8DAFBLAQItABQABgAIAAAAIQDb4fbL7gAAAIUBAAATAAAAAAAA&#10;AAAAAAAAAAAAAABbQ29udGVudF9UeXBlc10ueG1sUEsBAi0AFAAGAAgAAAAhAFr0LFu/AAAAFQEA&#10;AAsAAAAAAAAAAAAAAAAAHwEAAF9yZWxzLy5yZWxzUEsBAi0AFAAGAAgAAAAhALnh6KLHAAAA3wAA&#10;AA8AAAAAAAAAAAAAAAAABwIAAGRycy9kb3ducmV2LnhtbFBLBQYAAAAAAwADALcAAAD7AgAAAAA=&#10;" filled="f" stroked="f">
                  <v:textbox inset="0,0,0,0">
                    <w:txbxContent>
                      <w:p w14:paraId="5D4691E1" w14:textId="77777777" w:rsidR="00B32EF2" w:rsidRDefault="00000000">
                        <w:r>
                          <w:rPr>
                            <w:rFonts w:ascii="Arial" w:eastAsia="Arial" w:hAnsi="Arial" w:cs="Arial"/>
                            <w:i/>
                            <w:sz w:val="18"/>
                          </w:rPr>
                          <w:t>(</w:t>
                        </w:r>
                      </w:p>
                    </w:txbxContent>
                  </v:textbox>
                </v:rect>
                <v:rect id="Rectangle 200981" o:spid="_x0000_s3810" style="position:absolute;left:11636;top:42700;width:194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jEYxgAAAN8AAAAPAAAAZHJzL2Rvd25yZXYueG1sRI9Pi8Iw&#10;FMTvC36H8ARva+oepFajiCLbw17WP+Dx0TzbavMSmmi7++k3C4LHYWZ+wyxWvWnEg1pfW1YwGScg&#10;iAuray4VHA+79xSED8gaG8uk4Ic8rJaDtwVm2nb8TY99KEWEsM9QQRWCy6T0RUUG/dg64uhdbGsw&#10;RNmWUrfYRbhp5EeSTKXBmuNChY42FRW3/d0oOG/Z5btOFpffjfu65mnzeT+elBoN+/UcRKA+vMLP&#10;dq4VROIsncD/n/gF5PIPAAD//wMAUEsBAi0AFAAGAAgAAAAhANvh9svuAAAAhQEAABMAAAAAAAAA&#10;AAAAAAAAAAAAAFtDb250ZW50X1R5cGVzXS54bWxQSwECLQAUAAYACAAAACEAWvQsW78AAAAVAQAA&#10;CwAAAAAAAAAAAAAAAAAfAQAAX3JlbHMvLnJlbHNQSwECLQAUAAYACAAAACEAHQ4xGMYAAADfAAAA&#10;DwAAAAAAAAAAAAAAAAAHAgAAZHJzL2Rvd25yZXYueG1sUEsFBgAAAAADAAMAtwAAAPoCAAAAAA==&#10;" filled="f" stroked="f">
                  <v:textbox inset="0,0,0,0">
                    <w:txbxContent>
                      <w:p w14:paraId="6DA0308A" w14:textId="77777777" w:rsidR="00B32EF2" w:rsidRDefault="00000000">
                        <w:r>
                          <w:rPr>
                            <w:rFonts w:ascii="Arial" w:eastAsia="Arial" w:hAnsi="Arial" w:cs="Arial"/>
                            <w:i/>
                            <w:sz w:val="18"/>
                          </w:rPr>
                          <w:t xml:space="preserve">articolo 25 D.lgs. n. </w:t>
                        </w:r>
                      </w:p>
                    </w:txbxContent>
                  </v:textbox>
                </v:rect>
                <v:rect id="Rectangle 200980" o:spid="_x0000_s3811" style="position:absolute;left:-2609;top:42700;width:194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pSDxwAAAN8AAAAPAAAAZHJzL2Rvd25yZXYueG1sRI/LasMw&#10;EEX3hf6DmEJ2jdwuguNGCSUlxItumgd0OVgT2601EpYSO/36ziKQ5XDnnstZrEbXqQv1sfVs4GWa&#10;gSKuvG25NnDYb55zUDEhW+w8k4ErRVgtHx8WWFg/8BdddqlWAuFYoIEmpVBoHauGHMapD8SSnXzv&#10;MMnZ19r2OAjcdfo1y2baYcuy0GCgdUPV7+7sDHx/cCg3g65Of+vw+VPm3fZ8OBozeRrf30AlGtP9&#10;+dYurQEhznMxEB9xAb38BwAA//8DAFBLAQItABQABgAIAAAAIQDb4fbL7gAAAIUBAAATAAAAAAAA&#10;AAAAAAAAAAAAAABbQ29udGVudF9UeXBlc10ueG1sUEsBAi0AFAAGAAgAAAAhAFr0LFu/AAAAFQEA&#10;AAsAAAAAAAAAAAAAAAAAHwEAAF9yZWxzLy5yZWxzUEsBAi0AFAAGAAgAAAAhAHJClIPHAAAA3wAA&#10;AA8AAAAAAAAAAAAAAAAABwIAAGRycy9kb3ducmV2LnhtbFBLBQYAAAAAAwADALcAAAD7AgAAAAA=&#10;" filled="f" stroked="f">
                  <v:textbox inset="0,0,0,0">
                    <w:txbxContent>
                      <w:p w14:paraId="1CB0175F" w14:textId="77777777" w:rsidR="00B32EF2" w:rsidRDefault="00000000">
                        <w:r>
                          <w:rPr>
                            <w:rFonts w:ascii="Arial" w:eastAsia="Arial" w:hAnsi="Arial" w:cs="Arial"/>
                            <w:i/>
                            <w:sz w:val="18"/>
                          </w:rPr>
                          <w:t>546/92)</w:t>
                        </w:r>
                      </w:p>
                    </w:txbxContent>
                  </v:textbox>
                </v:rect>
                <v:rect id="Rectangle 18348" o:spid="_x0000_s3812" style="position:absolute;left:-11696;top:41466;width:513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epyAAAAN4AAAAPAAAAZHJzL2Rvd25yZXYueG1sRI9Pa8Mw&#10;DMXvg30Ho0Fvq7N1jJDVLaOjNIdd+g92FLGaZItlE7tNuk8/HQq7Sbyn936aL0fXqQv1sfVs4Gma&#10;gSKuvG25NnDYrx9zUDEhW+w8k4ErRVgu7u/mWFg/8JYuu1QrCeFYoIEmpVBoHauGHMapD8SinXzv&#10;MMna19r2OEi46/Rzlr1qhy1LQ4OBVg1VP7uzM/D1waFcD7o6/a7C53eZd5vz4WjM5GF8fwOVaEz/&#10;5tt1aQU/n70Ir7wjM+jFHwAAAP//AwBQSwECLQAUAAYACAAAACEA2+H2y+4AAACFAQAAEwAAAAAA&#10;AAAAAAAAAAAAAAAAW0NvbnRlbnRfVHlwZXNdLnhtbFBLAQItABQABgAIAAAAIQBa9CxbvwAAABUB&#10;AAALAAAAAAAAAAAAAAAAAB8BAABfcmVscy8ucmVsc1BLAQItABQABgAIAAAAIQCR+qepyAAAAN4A&#10;AAAPAAAAAAAAAAAAAAAAAAcCAABkcnMvZG93bnJldi54bWxQSwUGAAAAAAMAAwC3AAAA/AIAAAAA&#10;" filled="f" stroked="f">
                  <v:textbox inset="0,0,0,0">
                    <w:txbxContent>
                      <w:p w14:paraId="24A132DA" w14:textId="77777777" w:rsidR="00B32EF2" w:rsidRDefault="00000000">
                        <w:r>
                          <w:rPr>
                            <w:rFonts w:ascii="Arial" w:eastAsia="Arial" w:hAnsi="Arial" w:cs="Arial"/>
                            <w:b/>
                            <w:sz w:val="18"/>
                          </w:rPr>
                          <w:t>Iscrizione del ricorso nel registro generale. Fascicolo d’ufficio del pro</w:t>
                        </w:r>
                      </w:p>
                    </w:txbxContent>
                  </v:textbox>
                </v:rect>
                <v:rect id="Rectangle 18349" o:spid="_x0000_s3813" style="position:absolute;left:493;top:414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yxQAAAN4AAAAPAAAAZHJzL2Rvd25yZXYueG1sRE9Na8JA&#10;EL0L/odlhN50oy0lja4iipiDl1oLHofsmKTNzi7Z1cT+erdQ6G0e73MWq9404katry0rmE4SEMSF&#10;1TWXCk4fu3EKwgdkjY1lUnAnD6vlcLDATNuO3+l2DKWIIewzVFCF4DIpfVGRQT+xjjhyF9saDBG2&#10;pdQtdjHcNHKWJK/SYM2xoUJHm4qK7+PVKDhv2eW7ThaXn407fOVps7+ePpV6GvXrOYhAffgX/7lz&#10;Heenzy9v8PtOvEEuHwAAAP//AwBQSwECLQAUAAYACAAAACEA2+H2y+4AAACFAQAAEwAAAAAAAAAA&#10;AAAAAAAAAAAAW0NvbnRlbnRfVHlwZXNdLnhtbFBLAQItABQABgAIAAAAIQBa9CxbvwAAABUBAAAL&#10;AAAAAAAAAAAAAAAAAB8BAABfcmVscy8ucmVsc1BLAQItABQABgAIAAAAIQD+tgIyxQAAAN4AAAAP&#10;AAAAAAAAAAAAAAAAAAcCAABkcnMvZG93bnJldi54bWxQSwUGAAAAAAMAAwC3AAAA+QIAAAAA&#10;" filled="f" stroked="f">
                  <v:textbox inset="0,0,0,0">
                    <w:txbxContent>
                      <w:p w14:paraId="497A5B5F" w14:textId="77777777" w:rsidR="00B32EF2" w:rsidRDefault="00000000">
                        <w:r>
                          <w:rPr>
                            <w:rFonts w:ascii="Arial" w:eastAsia="Arial" w:hAnsi="Arial" w:cs="Arial"/>
                            <w:b/>
                            <w:sz w:val="18"/>
                          </w:rPr>
                          <w:t>-</w:t>
                        </w:r>
                      </w:p>
                    </w:txbxContent>
                  </v:textbox>
                </v:rect>
                <v:rect id="Rectangle 18350" o:spid="_x0000_s3814" style="position:absolute;left:8222;top:40233;width:188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T1yyAAAAN4AAAAPAAAAZHJzL2Rvd25yZXYueG1sRI9Pa8Mw&#10;DMXvg30Ho0Fvq7OVjZDVLaOjNIdd+g92FLGaZItlE7tNuk8/HQq7SejpvfebL0fXqQv1sfVs4Gma&#10;gSKuvG25NnDYrx9zUDEhW+w8k4ErRVgu7u/mWFg/8JYuu1QrMeFYoIEmpVBoHauGHMapD8RyO/ne&#10;YZK1r7XtcRBz1+nnLHvVDluWhAYDrRqqfnZnZ+Drg0O5HnR1+l2Fz+8y7zbnw9GYycP4/gYq0Zj+&#10;xbfv0kr9fPYiAIIjM+jFHwAAAP//AwBQSwECLQAUAAYACAAAACEA2+H2y+4AAACFAQAAEwAAAAAA&#10;AAAAAAAAAAAAAAAAW0NvbnRlbnRfVHlwZXNdLnhtbFBLAQItABQABgAIAAAAIQBa9CxbvwAAABUB&#10;AAALAAAAAAAAAAAAAAAAAB8BAABfcmVscy8ucmVsc1BLAQItABQABgAIAAAAIQDqVT1yyAAAAN4A&#10;AAAPAAAAAAAAAAAAAAAAAAcCAABkcnMvZG93bnJldi54bWxQSwUGAAAAAAMAAwC3AAAA/AIAAAAA&#10;" filled="f" stroked="f">
                  <v:textbox inset="0,0,0,0">
                    <w:txbxContent>
                      <w:p w14:paraId="6489DE76" w14:textId="77777777" w:rsidR="00B32EF2" w:rsidRDefault="00000000">
                        <w:r>
                          <w:rPr>
                            <w:rFonts w:ascii="Arial" w:eastAsia="Arial" w:hAnsi="Arial" w:cs="Arial"/>
                            <w:b/>
                            <w:sz w:val="18"/>
                          </w:rPr>
                          <w:t xml:space="preserve">cesso e fascicoli di parte </w:t>
                        </w:r>
                      </w:p>
                    </w:txbxContent>
                  </v:textbox>
                </v:rect>
                <v:rect id="Rectangle 200976" o:spid="_x0000_s3815" style="position:absolute;left:-13762;top:390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tlLxwAAAN8AAAAPAAAAZHJzL2Rvd25yZXYueG1sRI9PawIx&#10;FMTvBb9DeEJvmrUHtVuzIop0D73UKnh8bN7+qZuXsInutp/eFIQeh5n5DbNaD6YVN+p8Y1nBbJqA&#10;IC6sbrhScPzaT5YgfEDW2FomBT/kYZ2NnlaYatvzJ90OoRIRwj5FBXUILpXSFzUZ9FPriKNX2s5g&#10;iLKrpO6wj3DTypckmUuDDceFGh1tayouh6tRcN6xy/e9LMrfrfv4zpft+/V4Uup5PGzeQAQawn/4&#10;0c61gkh8Xczh70/8AjK7AwAA//8DAFBLAQItABQABgAIAAAAIQDb4fbL7gAAAIUBAAATAAAAAAAA&#10;AAAAAAAAAAAAAABbQ29udGVudF9UeXBlc10ueG1sUEsBAi0AFAAGAAgAAAAhAFr0LFu/AAAAFQEA&#10;AAsAAAAAAAAAAAAAAAAAHwEAAF9yZWxzLy5yZWxzUEsBAi0AFAAGAAgAAAAhAKcy2UvHAAAA3wAA&#10;AA8AAAAAAAAAAAAAAAAABwIAAGRycy9kb3ducmV2LnhtbFBLBQYAAAAAAwADALcAAAD7AgAAAAA=&#10;" filled="f" stroked="f">
                  <v:textbox inset="0,0,0,0">
                    <w:txbxContent>
                      <w:p w14:paraId="59F357A6" w14:textId="77777777" w:rsidR="00B32EF2" w:rsidRDefault="00000000">
                        <w:r>
                          <w:rPr>
                            <w:rFonts w:ascii="Arial" w:eastAsia="Arial" w:hAnsi="Arial" w:cs="Arial"/>
                            <w:sz w:val="18"/>
                          </w:rPr>
                          <w:t xml:space="preserve">. La segreteria della corte di giustizia tributaria di primo e secondo grado </w:t>
                        </w:r>
                      </w:p>
                    </w:txbxContent>
                  </v:textbox>
                </v:rect>
                <v:rect id="Rectangle 200975" o:spid="_x0000_s3816" style="position:absolute;left:26110;top:390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c8xwAAAN8AAAAPAAAAZHJzL2Rvd25yZXYueG1sRI9Ba8JA&#10;FITvgv9heYI33Viw1egqYpHm0ItWweMj+0yi2bdLdjVpf31XKPQ4zMw3zHLdmVo8qPGVZQWTcQKC&#10;OLe64kLB8Ws3moHwAVljbZkUfJOH9arfW2Kqbct7ehxCISKEfYoKyhBcKqXPSzLox9YRR+9iG4Mh&#10;yqaQusE2wk0tX5LkVRqsOC6U6GhbUn473I2C8zu7bNfK/PKzdZ/XbFZ/3I8npYaDbrMAEagL/+G/&#10;dqYVROL8bQrPP/ELyNUvAAAA//8DAFBLAQItABQABgAIAAAAIQDb4fbL7gAAAIUBAAATAAAAAAAA&#10;AAAAAAAAAAAAAABbQ29udGVudF9UeXBlc10ueG1sUEsBAi0AFAAGAAgAAAAhAFr0LFu/AAAAFQEA&#10;AAsAAAAAAAAAAAAAAAAAHwEAAF9yZWxzLy5yZWxzUEsBAi0AFAAGAAgAAAAhAFfgRzzHAAAA3wAA&#10;AA8AAAAAAAAAAAAAAAAABwIAAGRycy9kb3ducmV2LnhtbFBLBQYAAAAAAwADALcAAAD7AgAAAAA=&#10;" filled="f" stroked="f">
                  <v:textbox inset="0,0,0,0">
                    <w:txbxContent>
                      <w:p w14:paraId="4100C5E0" w14:textId="77777777" w:rsidR="00B32EF2" w:rsidRDefault="00000000">
                        <w:r>
                          <w:rPr>
                            <w:rFonts w:ascii="Arial" w:eastAsia="Arial" w:hAnsi="Arial" w:cs="Arial"/>
                            <w:sz w:val="18"/>
                          </w:rPr>
                          <w:t>1</w:t>
                        </w:r>
                      </w:p>
                    </w:txbxContent>
                  </v:textbox>
                </v:rect>
                <v:rect id="Rectangle 18352" o:spid="_x0000_s3817" style="position:absolute;left:-13171;top:37767;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waexQAAAN4AAAAPAAAAZHJzL2Rvd25yZXYueG1sRE9La8JA&#10;EL4X/A/LCN7qRktLiK4iijSHXuoDPA7ZMYlmZ5fsamJ/fbdQ8DYf33Pmy9404k6try0rmIwTEMSF&#10;1TWXCg777WsKwgdkjY1lUvAgD8vF4GWOmbYdf9N9F0oRQ9hnqKAKwWVS+qIig35sHXHkzrY1GCJs&#10;S6lb7GK4aeQ0ST6kwZpjQ4WO1hUV193NKDht2OXbThbnn7X7uuRp83k7HJUaDfvVDESgPjzF/+5c&#10;x/np2/sU/t6JN8jFLwAAAP//AwBQSwECLQAUAAYACAAAACEA2+H2y+4AAACFAQAAEwAAAAAAAAAA&#10;AAAAAAAAAAAAW0NvbnRlbnRfVHlwZXNdLnhtbFBLAQItABQABgAIAAAAIQBa9CxbvwAAABUBAAAL&#10;AAAAAAAAAAAAAAAAAB8BAABfcmVscy8ucmVsc1BLAQItABQABgAIAAAAIQB1ywaexQAAAN4AAAAP&#10;AAAAAAAAAAAAAAAAAAcCAABkcnMvZG93bnJldi54bWxQSwUGAAAAAAMAAwC3AAAA+QIAAAAA&#10;" filled="f" stroked="f">
                  <v:textbox inset="0,0,0,0">
                    <w:txbxContent>
                      <w:p w14:paraId="719E0127" w14:textId="77777777" w:rsidR="00B32EF2" w:rsidRDefault="00000000">
                        <w:r>
                          <w:rPr>
                            <w:rFonts w:ascii="Arial" w:eastAsia="Arial" w:hAnsi="Arial" w:cs="Arial"/>
                            <w:sz w:val="18"/>
                          </w:rPr>
                          <w:t xml:space="preserve">iscrive il ricorso nel registro generale e forma il fascicolo d’ufficio del processo, </w:t>
                        </w:r>
                      </w:p>
                    </w:txbxContent>
                  </v:textbox>
                </v:rect>
                <v:rect id="Rectangle 18353" o:spid="_x0000_s3818" style="position:absolute;left:-13171;top:365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6MFxAAAAN4AAAAPAAAAZHJzL2Rvd25yZXYueG1sRE9Na8JA&#10;EL0X/A/LCN7qxkpLiK4iijQHL7UKHofsmESzs0t2NdFf3y0UepvH+5z5sjeNuFPra8sKJuMEBHFh&#10;dc2lgsP39jUF4QOyxsYyKXiQh+Vi8DLHTNuOv+i+D6WIIewzVFCF4DIpfVGRQT+2jjhyZ9saDBG2&#10;pdQtdjHcNPItST6kwZpjQ4WO1hUV1/3NKDht2OXbThbn59rtLnnafN4OR6VGw341AxGoD//iP3eu&#10;4/x0+j6F33fiDXLxAwAA//8DAFBLAQItABQABgAIAAAAIQDb4fbL7gAAAIUBAAATAAAAAAAAAAAA&#10;AAAAAAAAAABbQ29udGVudF9UeXBlc10ueG1sUEsBAi0AFAAGAAgAAAAhAFr0LFu/AAAAFQEAAAsA&#10;AAAAAAAAAAAAAAAAHwEAAF9yZWxzLy5yZWxzUEsBAi0AFAAGAAgAAAAhABqHowXEAAAA3gAAAA8A&#10;AAAAAAAAAAAAAAAABwIAAGRycy9kb3ducmV2LnhtbFBLBQYAAAAAAwADALcAAAD4AgAAAAA=&#10;" filled="f" stroked="f">
                  <v:textbox inset="0,0,0,0">
                    <w:txbxContent>
                      <w:p w14:paraId="589E45F2" w14:textId="77777777" w:rsidR="00B32EF2" w:rsidRDefault="00000000">
                        <w:r>
                          <w:rPr>
                            <w:rFonts w:ascii="Arial" w:eastAsia="Arial" w:hAnsi="Arial" w:cs="Arial"/>
                            <w:sz w:val="18"/>
                          </w:rPr>
                          <w:t xml:space="preserve">inserendovi i fascicoli del ricorrente e delle altre parti, con gli atti e i documenti </w:t>
                        </w:r>
                      </w:p>
                    </w:txbxContent>
                  </v:textbox>
                </v:rect>
                <v:rect id="Rectangle 18354" o:spid="_x0000_s3819" style="position:absolute;left:-13171;top:353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jtxxQAAAN4AAAAPAAAAZHJzL2Rvd25yZXYueG1sRE9Na8JA&#10;EL0X+h+WKXirm9YqIbpKsYg5eKlV8DhkxySanV2yq4n99W5B6G0e73Nmi9404kqtry0reBsmIIgL&#10;q2suFex+Vq8pCB+QNTaWScGNPCzmz08zzLTt+Juu21CKGMI+QwVVCC6T0hcVGfRD64gjd7StwRBh&#10;W0rdYhfDTSPfk2QiDdYcGyp0tKyoOG8vRsHhi12+6mRx/F26zSlPm/Vlt1dq8NJ/TkEE6sO/+OHO&#10;dZyfjsYf8PdOvEHO7wAAAP//AwBQSwECLQAUAAYACAAAACEA2+H2y+4AAACFAQAAEwAAAAAAAAAA&#10;AAAAAAAAAAAAW0NvbnRlbnRfVHlwZXNdLnhtbFBLAQItABQABgAIAAAAIQBa9CxbvwAAABUBAAAL&#10;AAAAAAAAAAAAAAAAAB8BAABfcmVscy8ucmVsc1BLAQItABQABgAIAAAAIQCVbjtxxQAAAN4AAAAP&#10;AAAAAAAAAAAAAAAAAAcCAABkcnMvZG93bnJldi54bWxQSwUGAAAAAAMAAwC3AAAA+QIAAAAA&#10;" filled="f" stroked="f">
                  <v:textbox inset="0,0,0,0">
                    <w:txbxContent>
                      <w:p w14:paraId="310576F2" w14:textId="77777777" w:rsidR="00B32EF2" w:rsidRDefault="00000000">
                        <w:r>
                          <w:rPr>
                            <w:rFonts w:ascii="Arial" w:eastAsia="Arial" w:hAnsi="Arial" w:cs="Arial"/>
                            <w:sz w:val="18"/>
                          </w:rPr>
                          <w:t xml:space="preserve">prodotti, nonché, successivamente, gli originali dei verbali di udienza, delle </w:t>
                        </w:r>
                      </w:p>
                    </w:txbxContent>
                  </v:textbox>
                </v:rect>
                <v:rect id="Rectangle 18355" o:spid="_x0000_s3820" style="position:absolute;left:8285;top:34067;width:316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p7qxAAAAN4AAAAPAAAAZHJzL2Rvd25yZXYueG1sRE9Na8JA&#10;EL0X/A/LCN7qxoolRFcRRZpDL7UKHofsmESzs0t2NdFf3y0UepvH+5zFqjeNuFPra8sKJuMEBHFh&#10;dc2lgsP37jUF4QOyxsYyKXiQh9Vy8LLATNuOv+i+D6WIIewzVFCF4DIpfVGRQT+2jjhyZ9saDBG2&#10;pdQtdjHcNPItSd6lwZpjQ4WONhUV1/3NKDht2eW7Thbn58Z9XvK0+bgdjkqNhv16DiJQH/7Ff+5c&#10;x/npdDaD33fiDXL5AwAA//8DAFBLAQItABQABgAIAAAAIQDb4fbL7gAAAIUBAAATAAAAAAAAAAAA&#10;AAAAAAAAAABbQ29udGVudF9UeXBlc10ueG1sUEsBAi0AFAAGAAgAAAAhAFr0LFu/AAAAFQEAAAsA&#10;AAAAAAAAAAAAAAAAHwEAAF9yZWxzLy5yZWxzUEsBAi0AFAAGAAgAAAAhAPoinurEAAAA3gAAAA8A&#10;AAAAAAAAAAAAAAAABwIAAGRycy9kb3ducmV2LnhtbFBLBQYAAAAAAwADALcAAAD4AgAAAAA=&#10;" filled="f" stroked="f">
                  <v:textbox inset="0,0,0,0">
                    <w:txbxContent>
                      <w:p w14:paraId="55E7CA96" w14:textId="77777777" w:rsidR="00B32EF2" w:rsidRDefault="00000000">
                        <w:r>
                          <w:rPr>
                            <w:rFonts w:ascii="Arial" w:eastAsia="Arial" w:hAnsi="Arial" w:cs="Arial"/>
                            <w:sz w:val="18"/>
                          </w:rPr>
                          <w:t>ordinanze e dei decreti e copia delle sentenze.</w:t>
                        </w:r>
                      </w:p>
                    </w:txbxContent>
                  </v:textbox>
                </v:rect>
                <v:rect id="Rectangle 200971" o:spid="_x0000_s3821" style="position:absolute;left:-13816;top:328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0E/xwAAAN8AAAAPAAAAZHJzL2Rvd25yZXYueG1sRI9Pa8JA&#10;FMTvhX6H5RV60409WI1uRCxiDr1UU+jxkX35o9m3S3Y1aT99tyD0OMzMb5j1ZjSduFHvW8sKZtME&#10;BHFpdcu1guK0nyxA+ICssbNMCr7JwyZ7fFhjqu3AH3Q7hlpECPsUFTQhuFRKXzZk0E+tI45eZXuD&#10;Icq+lrrHIcJNJ1+SZC4NthwXGnS0a6i8HK9Gwdcbu3w/yLL62bn3c77oDtfiU6nnp3G7AhFoDP/h&#10;ezvXCiJx+TqDvz/xC8jsFwAA//8DAFBLAQItABQABgAIAAAAIQDb4fbL7gAAAIUBAAATAAAAAAAA&#10;AAAAAAAAAAAAAABbQ29udGVudF9UeXBlc10ueG1sUEsBAi0AFAAGAAgAAAAhAFr0LFu/AAAAFQEA&#10;AAsAAAAAAAAAAAAAAAAAHwEAAF9yZWxzLy5yZWxzUEsBAi0AFAAGAAgAAAAhACjbQT/HAAAA3wAA&#10;AA8AAAAAAAAAAAAAAAAABwIAAGRycy9kb3ducmV2LnhtbFBLBQYAAAAAAwADALcAAAD7AgAAAAA=&#10;" filled="f" stroked="f">
                  <v:textbox inset="0,0,0,0">
                    <w:txbxContent>
                      <w:p w14:paraId="7F7541D0" w14:textId="77777777" w:rsidR="00B32EF2" w:rsidRDefault="00000000">
                        <w:r>
                          <w:rPr>
                            <w:rFonts w:ascii="Arial" w:eastAsia="Arial" w:hAnsi="Arial" w:cs="Arial"/>
                            <w:sz w:val="18"/>
                          </w:rPr>
                          <w:t xml:space="preserve">. I fascicoli delle parti restano acquisiti al fascicolo d’ufficio e sono ad esse </w:t>
                        </w:r>
                      </w:p>
                    </w:txbxContent>
                  </v:textbox>
                </v:rect>
                <v:rect id="Rectangle 200970" o:spid="_x0000_s3822" style="position:absolute;left:26110;top:328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SkxwAAAN8AAAAPAAAAZHJzL2Rvd25yZXYueG1sRI8xb8Iw&#10;EIX3Sv0P1lXqVpx2aGnAIESFmqELFCTGU3wkgfhsxYak/fXcgMR4eve+p286H1yrLtTFxrOB11EG&#10;irj0tuHKwPZ39TIGFROyxdYzGfijCPPZ48MUc+t7XtNlkyolEI45GqhTCrnWsazJYRz5QCzZwXcO&#10;k5xdpW2HvcBdq9+y7F07bFgWagy0rKk8bc7OwP6LQ7HqdXn4X4afYzFuv8/bnTHPT8NiAirRkO7P&#10;t3ZhDQjx80MMxEdcQM+uAAAA//8DAFBLAQItABQABgAIAAAAIQDb4fbL7gAAAIUBAAATAAAAAAAA&#10;AAAAAAAAAAAAAABbQ29udGVudF9UeXBlc10ueG1sUEsBAi0AFAAGAAgAAAAhAFr0LFu/AAAAFQEA&#10;AAsAAAAAAAAAAAAAAAAAHwEAAF9yZWxzLy5yZWxzUEsBAi0AFAAGAAgAAAAhAEeX5KTHAAAA3wAA&#10;AA8AAAAAAAAAAAAAAAAABwIAAGRycy9kb3ducmV2LnhtbFBLBQYAAAAAAwADALcAAAD7AgAAAAA=&#10;" filled="f" stroked="f">
                  <v:textbox inset="0,0,0,0">
                    <w:txbxContent>
                      <w:p w14:paraId="2C0F3417" w14:textId="77777777" w:rsidR="00B32EF2" w:rsidRDefault="00000000">
                        <w:r>
                          <w:rPr>
                            <w:rFonts w:ascii="Arial" w:eastAsia="Arial" w:hAnsi="Arial" w:cs="Arial"/>
                            <w:sz w:val="18"/>
                          </w:rPr>
                          <w:t>2</w:t>
                        </w:r>
                      </w:p>
                    </w:txbxContent>
                  </v:textbox>
                </v:rect>
                <v:rect id="Rectangle 18357" o:spid="_x0000_s3823" style="position:absolute;left:-13170;top:31600;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KUGxQAAAN4AAAAPAAAAZHJzL2Rvd25yZXYueG1sRE9Na8JA&#10;EL0X+h+WKXirm1aqIbpKsYg5eKlV8DhkxySanV2yq4n99W5B6G0e73Nmi9404kqtry0reBsmIIgL&#10;q2suFex+Vq8pCB+QNTaWScGNPCzmz08zzLTt+Juu21CKGMI+QwVVCC6T0hcVGfRD64gjd7StwRBh&#10;W0rdYhfDTSPfk2QsDdYcGyp0tKyoOG8vRsHhi12+6mRx/F26zSlPm/Vlt1dq8NJ/TkEE6sO/+OHO&#10;dZyfjj4m8PdOvEHO7wAAAP//AwBQSwECLQAUAAYACAAAACEA2+H2y+4AAACFAQAAEwAAAAAAAAAA&#10;AAAAAAAAAAAAW0NvbnRlbnRfVHlwZXNdLnhtbFBLAQItABQABgAIAAAAIQBa9CxbvwAAABUBAAAL&#10;AAAAAAAAAAAAAAAAAB8BAABfcmVscy8ucmVsc1BLAQItABQABgAIAAAAIQBlvKUGxQAAAN4AAAAP&#10;AAAAAAAAAAAAAAAAAAcCAABkcnMvZG93bnJldi54bWxQSwUGAAAAAAMAAwC3AAAA+QIAAAAA&#10;" filled="f" stroked="f">
                  <v:textbox inset="0,0,0,0">
                    <w:txbxContent>
                      <w:p w14:paraId="78AFDEED" w14:textId="77777777" w:rsidR="00B32EF2" w:rsidRDefault="00000000">
                        <w:r>
                          <w:rPr>
                            <w:rFonts w:ascii="Arial" w:eastAsia="Arial" w:hAnsi="Arial" w:cs="Arial"/>
                            <w:sz w:val="18"/>
                          </w:rPr>
                          <w:t xml:space="preserve">restituiti al termine del processo. Le parti possono ottenere copia autentica </w:t>
                        </w:r>
                      </w:p>
                    </w:txbxContent>
                  </v:textbox>
                </v:rect>
                <v:rect id="Rectangle 18358" o:spid="_x0000_s3824" style="position:absolute;left:-3103;top:30367;width:430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zF0yAAAAN4AAAAPAAAAZHJzL2Rvd25yZXYueG1sRI9Pa8Mw&#10;DMXvg30Ho0Fvq7OVjZDVLaOjNIdd+g92FLGaZItlE7tNuk8/HQq7Sbyn936aL0fXqQv1sfVs4Gma&#10;gSKuvG25NnDYrx9zUDEhW+w8k4ErRVgu7u/mWFg/8JYuu1QrCeFYoIEmpVBoHauGHMapD8SinXzv&#10;MMna19r2OEi46/Rzlr1qhy1LQ4OBVg1VP7uzM/D1waFcD7o6/a7C53eZd5vz4WjM5GF8fwOVaEz/&#10;5tt1aQU/n70Ir7wjM+jFHwAAAP//AwBQSwECLQAUAAYACAAAACEA2+H2y+4AAACFAQAAEwAAAAAA&#10;AAAAAAAAAAAAAAAAW0NvbnRlbnRfVHlwZXNdLnhtbFBLAQItABQABgAIAAAAIQBa9CxbvwAAABUB&#10;AAALAAAAAAAAAAAAAAAAAB8BAABfcmVscy8ucmVsc1BLAQItABQABgAIAAAAIQAUIzF0yAAAAN4A&#10;AAAPAAAAAAAAAAAAAAAAAAcCAABkcnMvZG93bnJldi54bWxQSwUGAAAAAAMAAwC3AAAA/AIAAAAA&#10;" filled="f" stroked="f">
                  <v:textbox inset="0,0,0,0">
                    <w:txbxContent>
                      <w:p w14:paraId="6BA76DFE" w14:textId="77777777" w:rsidR="00B32EF2" w:rsidRDefault="00000000">
                        <w:r>
                          <w:rPr>
                            <w:rFonts w:ascii="Arial" w:eastAsia="Arial" w:hAnsi="Arial" w:cs="Arial"/>
                            <w:sz w:val="18"/>
                          </w:rPr>
                          <w:t xml:space="preserve">degli atti e documenti contenuti nei fascicoli di parte e d’ufficio. </w:t>
                        </w:r>
                      </w:p>
                    </w:txbxContent>
                  </v:textbox>
                </v:rect>
                <v:rect id="Rectangle 200966" o:spid="_x0000_s3825" style="position:absolute;left:26110;top:291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0+WxgAAAN8AAAAPAAAAZHJzL2Rvd25yZXYueG1sRI9Ba8JA&#10;FITvBf/D8oTe6sYegk1dRSzSHHrRRujxkX0m0ezbJbua1F/vCoLHYWa+YebLwbTiQp1vLCuYThIQ&#10;xKXVDVcKit/N2wyED8gaW8uk4J88LBejlzlm2va8pcsuVCJC2GeooA7BZVL6siaDfmIdcfQOtjMY&#10;ouwqqTvsI9y08j1JUmmw4bhQo6N1TeVpdzYK/r7Y5Ztelofr2v0c81n7fS72Sr2Oh9UniEBDeIYf&#10;7VwriMSPNIX7n/gF5OIGAAD//wMAUEsBAi0AFAAGAAgAAAAhANvh9svuAAAAhQEAABMAAAAAAAAA&#10;AAAAAAAAAAAAAFtDb250ZW50X1R5cGVzXS54bWxQSwECLQAUAAYACAAAACEAWvQsW78AAAAVAQAA&#10;CwAAAAAAAAAAAAAAAAAfAQAAX3JlbHMvLnJlbHNQSwECLQAUAAYACAAAACEAIutPlsYAAADfAAAA&#10;DwAAAAAAAAAAAAAAAAAHAgAAZHJzL2Rvd25yZXYueG1sUEsFBgAAAAADAAMAtwAAAPoCAAAAAA==&#10;" filled="f" stroked="f">
                  <v:textbox inset="0,0,0,0">
                    <w:txbxContent>
                      <w:p w14:paraId="05EB1FCB" w14:textId="77777777" w:rsidR="00B32EF2" w:rsidRDefault="00000000">
                        <w:r>
                          <w:rPr>
                            <w:rFonts w:ascii="Arial" w:eastAsia="Arial" w:hAnsi="Arial" w:cs="Arial"/>
                            <w:sz w:val="18"/>
                          </w:rPr>
                          <w:t>3</w:t>
                        </w:r>
                      </w:p>
                    </w:txbxContent>
                  </v:textbox>
                </v:rect>
                <v:rect id="Rectangle 200968" o:spid="_x0000_s3826" style="position:absolute;left:-13816;top:291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H5/xwAAAN8AAAAPAAAAZHJzL2Rvd25yZXYueG1sRI9Nb8Iw&#10;DIbvSPsPkSftBuk4IOgICDEhetiFj0k7Wo1pOxonagLt9uvxYdKO1uv3sZ/lenCtulMXG88GXicZ&#10;KOLS24YrA+fTbjwHFROyxdYzGfihCOvV02iJufU9H+h+TJUSCMccDdQphVzrWNbkME58IJbs4juH&#10;Scau0rbDXuCu1dMsm2mHDcuFGgNtayqvx5sz8PXOodj1urz8bsPHdzFv97fzpzEvz8PmDVSiIf0v&#10;/7ULa0CIi5k8LD7iAnr1AAAA//8DAFBLAQItABQABgAIAAAAIQDb4fbL7gAAAIUBAAATAAAAAAAA&#10;AAAAAAAAAAAAAABbQ29udGVudF9UeXBlc10ueG1sUEsBAi0AFAAGAAgAAAAhAFr0LFu/AAAAFQEA&#10;AAsAAAAAAAAAAAAAAAAAHwEAAF9yZWxzLy5yZWxzUEsBAi0AFAAGAAgAAAAhADw4fn/HAAAA3wAA&#10;AA8AAAAAAAAAAAAAAAAABwIAAGRycy9kb3ducmV2LnhtbFBLBQYAAAAAAwADALcAAAD7AgAAAAA=&#10;" filled="f" stroked="f">
                  <v:textbox inset="0,0,0,0">
                    <w:txbxContent>
                      <w:p w14:paraId="3C341DC0" w14:textId="77777777" w:rsidR="00B32EF2" w:rsidRDefault="00000000">
                        <w:r>
                          <w:rPr>
                            <w:rFonts w:ascii="Arial" w:eastAsia="Arial" w:hAnsi="Arial" w:cs="Arial"/>
                            <w:sz w:val="18"/>
                          </w:rPr>
                          <w:t xml:space="preserve">. La segreteria sottopone al presidente della corte di giustizia tributaria di </w:t>
                        </w:r>
                      </w:p>
                    </w:txbxContent>
                  </v:textbox>
                </v:rect>
                <v:rect id="Rectangle 18360" o:spid="_x0000_s3827" style="position:absolute;left:-4193;top:27900;width:441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ffPyAAAAN4AAAAPAAAAZHJzL2Rvd25yZXYueG1sRI9Pa8Mw&#10;DMXvg30Ho8Fuq7MNSkjrltJRlsMu/TPYUcRqkjaWTew22T79dCj0JqGn995vvhxdp67Ux9azgddJ&#10;Boq48rbl2sBhv3nJQcWEbLHzTAZ+KcJy8fgwx8L6gbd03aVaiQnHAg00KYVC61g15DBOfCCW29H3&#10;DpOsfa1tj4OYu06/ZdlUO2xZEhoMtG6oOu8uzsDPB4dyM+jq+LcOX6cy7z4vh29jnp/G1QxUojHd&#10;xbfv0kr9/H0qAIIjM+jFPwAAAP//AwBQSwECLQAUAAYACAAAACEA2+H2y+4AAACFAQAAEwAAAAAA&#10;AAAAAAAAAAAAAAAAW0NvbnRlbnRfVHlwZXNdLnhtbFBLAQItABQABgAIAAAAIQBa9CxbvwAAABUB&#10;AAALAAAAAAAAAAAAAAAAAB8BAABfcmVscy8ucmVsc1BLAQItABQABgAIAAAAIQAkOffPyAAAAN4A&#10;AAAPAAAAAAAAAAAAAAAAAAcCAABkcnMvZG93bnJldi54bWxQSwUGAAAAAAMAAwC3AAAA/AIAAAAA&#10;" filled="f" stroked="f">
                  <v:textbox inset="0,0,0,0">
                    <w:txbxContent>
                      <w:p w14:paraId="08D3D329" w14:textId="77777777" w:rsidR="00B32EF2" w:rsidRDefault="00000000">
                        <w:r>
                          <w:rPr>
                            <w:rFonts w:ascii="Arial" w:eastAsia="Arial" w:hAnsi="Arial" w:cs="Arial"/>
                            <w:sz w:val="18"/>
                          </w:rPr>
                          <w:t>primo e secondo grado il fascicolo del processo appena formato.</w:t>
                        </w:r>
                      </w:p>
                    </w:txbxContent>
                  </v:textbox>
                </v:rect>
                <v:rect id="Rectangle 18361" o:spid="_x0000_s3828" style="position:absolute;left:15084;top:25434;width:806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VJUxAAAAN4AAAAPAAAAZHJzL2Rvd25yZXYueG1sRE9Li8Iw&#10;EL4L/ocwwt401QUpXaOIItvDXnws7HFoxrZrMwlNtN399UYQvM3H95zFqjeNuFHra8sKppMEBHFh&#10;dc2lgtNxN05B+ICssbFMCv7Iw2o5HCww07bjPd0OoRQxhH2GCqoQXCalLyoy6CfWEUfubFuDIcK2&#10;lLrFLoabRs6SZC4N1hwbKnS0qai4HK5Gwc+WXb7rZHH+37iv3zxtPq+nb6XeRv36A0SgPrzET3eu&#10;4/z0fT6FxzvxBrm8AwAA//8DAFBLAQItABQABgAIAAAAIQDb4fbL7gAAAIUBAAATAAAAAAAAAAAA&#10;AAAAAAAAAABbQ29udGVudF9UeXBlc10ueG1sUEsBAi0AFAAGAAgAAAAhAFr0LFu/AAAAFQEAAAsA&#10;AAAAAAAAAAAAAAAAHwEAAF9yZWxzLy5yZWxzUEsBAi0AFAAGAAgAAAAhAEt1UlTEAAAA3gAAAA8A&#10;AAAAAAAAAAAAAAAABwIAAGRycy9kb3ducmV2LnhtbFBLBQYAAAAAAwADALcAAAD4AgAAAAA=&#10;" filled="f" stroked="f">
                  <v:textbox inset="0,0,0,0">
                    <w:txbxContent>
                      <w:p w14:paraId="7A54DA1B" w14:textId="77777777" w:rsidR="00B32EF2" w:rsidRDefault="00000000">
                        <w:r>
                          <w:rPr>
                            <w:rFonts w:ascii="Arial" w:eastAsia="Arial" w:hAnsi="Arial" w:cs="Arial"/>
                            <w:b/>
                            <w:sz w:val="18"/>
                          </w:rPr>
                          <w:t>Articolo 72</w:t>
                        </w:r>
                      </w:p>
                    </w:txbxContent>
                  </v:textbox>
                </v:rect>
                <v:rect id="Rectangle 200963" o:spid="_x0000_s3829" style="position:absolute;left:22524;top:24200;width:217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wOxwAAAN8AAAAPAAAAZHJzL2Rvd25yZXYueG1sRI/NawIx&#10;FMTvhf4P4RW8abYVRFezUizSPfTiR6HHx+bth928hE10V//6RhB6HGbmN8xqPZhWXKjzjWUFr5ME&#10;BHFhdcOVguNhO56D8AFZY2uZFFzJwzp7flphqm3PO7rsQyUihH2KCuoQXCqlL2oy6CfWEUevtJ3B&#10;EGVXSd1hH+GmlW9JMpMGG44LNTra1FT87s9Gwc8Hu3zby6K8bdzXKZ+3n+fjt1Kjl+F9CSLQEP7D&#10;j3auFUTiYjaF+5/4BWT2BwAA//8DAFBLAQItABQABgAIAAAAIQDb4fbL7gAAAIUBAAATAAAAAAAA&#10;AAAAAAAAAAAAAABbQ29udGVudF9UeXBlc10ueG1sUEsBAi0AFAAGAAgAAAAhAFr0LFu/AAAAFQEA&#10;AAsAAAAAAAAAAAAAAAAAHwEAAF9yZWxzLy5yZWxzUEsBAi0AFAAGAAgAAAAhADKc7A7HAAAA3wAA&#10;AA8AAAAAAAAAAAAAAAAABwIAAGRycy9kb3ducmV2LnhtbFBLBQYAAAAAAwADALcAAAD7AgAAAAA=&#10;" filled="f" stroked="f">
                  <v:textbox inset="0,0,0,0">
                    <w:txbxContent>
                      <w:p w14:paraId="4C255277" w14:textId="77777777" w:rsidR="00B32EF2" w:rsidRDefault="00000000">
                        <w:r>
                          <w:rPr>
                            <w:rFonts w:ascii="Arial" w:eastAsia="Arial" w:hAnsi="Arial" w:cs="Arial"/>
                            <w:i/>
                            <w:sz w:val="18"/>
                          </w:rPr>
                          <w:t>(</w:t>
                        </w:r>
                      </w:p>
                    </w:txbxContent>
                  </v:textbox>
                </v:rect>
                <v:rect id="Rectangle 200965" o:spid="_x0000_s3830" style="position:absolute;left:10148;top:24200;width:217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dHhxwAAAN8AAAAPAAAAZHJzL2Rvd25yZXYueG1sRI/NawIx&#10;FMTvhf4P4RW8abYFRVezUizSPfTiR6HHx+bth928hE10V//6RhB6HGbmN8xqPZhWXKjzjWUFr5ME&#10;BHFhdcOVguNhO56D8AFZY2uZFFzJwzp7flphqm3PO7rsQyUihH2KCuoQXCqlL2oy6CfWEUevtJ3B&#10;EGVXSd1hH+GmlW9JMpMGG44LNTra1FT87s9Gwc8Hu3zby6K8bdzXKZ+3n+fjt1Kjl+F9CSLQEP7D&#10;j3auFUTiYjaF+5/4BWT2BwAA//8DAFBLAQItABQABgAIAAAAIQDb4fbL7gAAAIUBAAATAAAAAAAA&#10;AAAAAAAAAAAAAABbQ29udGVudF9UeXBlc10ueG1sUEsBAi0AFAAGAAgAAAAhAFr0LFu/AAAAFQEA&#10;AAsAAAAAAAAAAAAAAAAAHwEAAF9yZWxzLy5yZWxzUEsBAi0AFAAGAAgAAAAhANI50eHHAAAA3wAA&#10;AA8AAAAAAAAAAAAAAAAABwIAAGRycy9kb3ducmV2LnhtbFBLBQYAAAAAAwADALcAAAD7AgAAAAA=&#10;" filled="f" stroked="f">
                  <v:textbox inset="0,0,0,0">
                    <w:txbxContent>
                      <w:p w14:paraId="07D59B6A" w14:textId="77777777" w:rsidR="00B32EF2" w:rsidRDefault="00000000">
                        <w:r>
                          <w:rPr>
                            <w:rFonts w:ascii="Arial" w:eastAsia="Arial" w:hAnsi="Arial" w:cs="Arial"/>
                            <w:i/>
                            <w:sz w:val="18"/>
                          </w:rPr>
                          <w:t xml:space="preserve">articolo 25 bis D.lgs. n. </w:t>
                        </w:r>
                      </w:p>
                    </w:txbxContent>
                  </v:textbox>
                </v:rect>
                <v:rect id="Rectangle 200964" o:spid="_x0000_s3831" style="position:absolute;left:-5887;top:24200;width:217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XR6xwAAAN8AAAAPAAAAZHJzL2Rvd25yZXYueG1sRI/NawIx&#10;FMTvhf4P4RW8abZFRFezUizSPfTiR6HHx+bth928hE10V//6RhB6HGbmN8xqPZhWXKjzjWUFr5ME&#10;BHFhdcOVguNhO56D8AFZY2uZFFzJwzp7flphqm3PO7rsQyUihH2KCuoQXCqlL2oy6CfWEUevtJ3B&#10;EGVXSd1hH+GmlW9JMpMGG44LNTra1FT87s9Gwc8Hu3zby6K8bdzXKZ+3n+fjt1Kjl+F9CSLQEP7D&#10;j3auFUTiYjaF+5/4BWT2BwAA//8DAFBLAQItABQABgAIAAAAIQDb4fbL7gAAAIUBAAATAAAAAAAA&#10;AAAAAAAAAAAAAABbQ29udGVudF9UeXBlc10ueG1sUEsBAi0AFAAGAAgAAAAhAFr0LFu/AAAAFQEA&#10;AAsAAAAAAAAAAAAAAAAAHwEAAF9yZWxzLy5yZWxzUEsBAi0AFAAGAAgAAAAhAL11dHrHAAAA3wAA&#10;AA8AAAAAAAAAAAAAAAAABwIAAGRycy9kb3ducmV2LnhtbFBLBQYAAAAAAwADALcAAAD7AgAAAAA=&#10;" filled="f" stroked="f">
                  <v:textbox inset="0,0,0,0">
                    <w:txbxContent>
                      <w:p w14:paraId="30C75582" w14:textId="77777777" w:rsidR="00B32EF2" w:rsidRDefault="00000000">
                        <w:r>
                          <w:rPr>
                            <w:rFonts w:ascii="Arial" w:eastAsia="Arial" w:hAnsi="Arial" w:cs="Arial"/>
                            <w:i/>
                            <w:sz w:val="18"/>
                          </w:rPr>
                          <w:t>546/92)</w:t>
                        </w:r>
                      </w:p>
                    </w:txbxContent>
                  </v:textbox>
                </v:rect>
                <v:rect id="Rectangle 18363" o:spid="_x0000_s3832" style="position:absolute;left:2622;top:22967;width:277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2m4xAAAAN4AAAAPAAAAZHJzL2Rvd25yZXYueG1sRE9Na8JA&#10;EL0X/A/LFLzVTStISF1FFGkOXqoRPA7ZMUnNzi7Z1UR/fbdQ8DaP9znz5WBacaPON5YVvE8SEMSl&#10;1Q1XCorD9i0F4QOyxtYyKbiTh+Vi9DLHTNuev+m2D5WIIewzVFCH4DIpfVmTQT+xjjhyZ9sZDBF2&#10;ldQd9jHctPIjSWbSYMOxoUZH65rKy/5qFJw27PJtL8vzY+12P3nafl2Lo1Lj12H1CSLQEJ7if3eu&#10;4/x0OpvC3zvxBrn4BQAA//8DAFBLAQItABQABgAIAAAAIQDb4fbL7gAAAIUBAAATAAAAAAAAAAAA&#10;AAAAAAAAAABbQ29udGVudF9UeXBlc10ueG1sUEsBAi0AFAAGAAgAAAAhAFr0LFu/AAAAFQEAAAsA&#10;AAAAAAAAAAAAAAAAHwEAAF9yZWxzLy5yZWxzUEsBAi0AFAAGAAgAAAAhANTrabjEAAAA3gAAAA8A&#10;AAAAAAAAAAAAAAAABwIAAGRycy9kb3ducmV2LnhtbFBLBQYAAAAAAwADALcAAAD4AgAAAAA=&#10;" filled="f" stroked="f">
                  <v:textbox inset="0,0,0,0">
                    <w:txbxContent>
                      <w:p w14:paraId="1F0BD143" w14:textId="77777777" w:rsidR="00B32EF2" w:rsidRDefault="00000000">
                        <w:r>
                          <w:rPr>
                            <w:rFonts w:ascii="Arial" w:eastAsia="Arial" w:hAnsi="Arial" w:cs="Arial"/>
                            <w:b/>
                            <w:sz w:val="18"/>
                          </w:rPr>
                          <w:t xml:space="preserve">Potere di certificazione di conformità </w:t>
                        </w:r>
                      </w:p>
                    </w:txbxContent>
                  </v:textbox>
                </v:rect>
                <v:rect id="Rectangle 200962" o:spid="_x0000_s3833" style="position:absolute;left:-13763;top:21734;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EmVxwAAAN8AAAAPAAAAZHJzL2Rvd25yZXYueG1sRI9Ba8JA&#10;FITvBf/D8oTe6kYPIU1dpSjSHLyYWujxkX0mabNvl+yaxP76rlDocZiZb5j1djKdGKj3rWUFy0UC&#10;griyuuVawfn98JSB8AFZY2eZFNzIw3Yze1hjru3IJxrKUIsIYZ+jgiYEl0vpq4YM+oV1xNG72N5g&#10;iLKvpe5xjHDTyVWSpNJgy3GhQUe7hqrv8moUfO7ZFYdRVpefnTt+FVn3dj1/KPU4n15fQASawn/4&#10;r11oBZH4nK7g/id+Abn5BQAA//8DAFBLAQItABQABgAIAAAAIQDb4fbL7gAAAIUBAAATAAAAAAAA&#10;AAAAAAAAAAAAAABbQ29udGVudF9UeXBlc10ueG1sUEsBAi0AFAAGAAgAAAAhAFr0LFu/AAAAFQEA&#10;AAsAAAAAAAAAAAAAAAAAHwEAAF9yZWxzLy5yZWxzUEsBAi0AFAAGAAgAAAAhAF3QSZXHAAAA3wAA&#10;AA8AAAAAAAAAAAAAAAAABwIAAGRycy9kb3ducmV2LnhtbFBLBQYAAAAAAwADALcAAAD7AgAAAAA=&#10;" filled="f" stroked="f">
                  <v:textbox inset="0,0,0,0">
                    <w:txbxContent>
                      <w:p w14:paraId="5D192E30" w14:textId="77777777" w:rsidR="00B32EF2" w:rsidRDefault="00000000">
                        <w:r>
                          <w:rPr>
                            <w:rFonts w:ascii="Arial" w:eastAsia="Arial" w:hAnsi="Arial" w:cs="Arial"/>
                            <w:sz w:val="18"/>
                          </w:rPr>
                          <w:t xml:space="preserve">. Al fine del deposito e della notifica con modalità telematiche della copia </w:t>
                        </w:r>
                      </w:p>
                    </w:txbxContent>
                  </v:textbox>
                </v:rect>
                <v:rect id="Rectangle 200961" o:spid="_x0000_s3834" style="position:absolute;left:26109;top:217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tfixgAAAN8AAAAPAAAAZHJzL2Rvd25yZXYueG1sRI9Pi8Iw&#10;FMTvgt8hPGFvmroH0WqUxUW2h734Dzw+mmdbt3kJTbRdP70RBI/DzPyGWaw6U4sbNb6yrGA8SkAQ&#10;51ZXXCg47DfDKQgfkDXWlknBP3lYLfu9Babatryl2y4UIkLYp6igDMGlUvq8JIN+ZB1x9M62MRii&#10;bAqpG2wj3NTyM0km0mDFcaFER+uS8r/d1Sg4fbPLNq3Mz/e1+71k0/rnejgq9THovuYgAnXhHX61&#10;M60gEmeTMTz/xC8glw8AAAD//wMAUEsBAi0AFAAGAAgAAAAhANvh9svuAAAAhQEAABMAAAAAAAAA&#10;AAAAAAAAAAAAAFtDb250ZW50X1R5cGVzXS54bWxQSwECLQAUAAYACAAAACEAWvQsW78AAAAVAQAA&#10;CwAAAAAAAAAAAAAAAAAfAQAAX3JlbHMvLnJlbHNQSwECLQAUAAYACAAAACEArQLX4sYAAADfAAAA&#10;DwAAAAAAAAAAAAAAAAAHAgAAZHJzL2Rvd25yZXYueG1sUEsFBgAAAAADAAMAtwAAAPoCAAAAAA==&#10;" filled="f" stroked="f">
                  <v:textbox inset="0,0,0,0">
                    <w:txbxContent>
                      <w:p w14:paraId="6FDE8E61" w14:textId="77777777" w:rsidR="00B32EF2" w:rsidRDefault="00000000">
                        <w:r>
                          <w:rPr>
                            <w:rFonts w:ascii="Arial" w:eastAsia="Arial" w:hAnsi="Arial" w:cs="Arial"/>
                            <w:sz w:val="18"/>
                          </w:rPr>
                          <w:t>1</w:t>
                        </w:r>
                      </w:p>
                    </w:txbxContent>
                  </v:textbox>
                </v:rect>
                <v:rect id="Rectangle 18365" o:spid="_x0000_s3835" style="position:absolute;left:-12236;top:20500;width:521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lRXxAAAAN4AAAAPAAAAZHJzL2Rvd25yZXYueG1sRE9Na8JA&#10;EL0X/A/LCN7qxkolRFcRRZpDL7UKHofsmESzs0t2NdFf3y0UepvH+5zFqjeNuFPra8sKJuMEBHFh&#10;dc2lgsP37jUF4QOyxsYyKXiQh9Vy8LLATNuOv+i+D6WIIewzVFCF4DIpfVGRQT+2jjhyZ9saDBG2&#10;pdQtdjHcNPItSWbSYM2xoUJHm4qK6/5mFJy27PJdJ4vzc+M+L3nafNwOR6VGw349BxGoD//iP3eu&#10;4/x0OnuH33fiDXL5AwAA//8DAFBLAQItABQABgAIAAAAIQDb4fbL7gAAAIUBAAATAAAAAAAAAAAA&#10;AAAAAAAAAABbQ29udGVudF9UeXBlc10ueG1sUEsBAi0AFAAGAAgAAAAhAFr0LFu/AAAAFQEAAAsA&#10;AAAAAAAAAAAAAAAAHwEAAF9yZWxzLy5yZWxzUEsBAi0AFAAGAAgAAAAhADROVFfEAAAA3gAAAA8A&#10;AAAAAAAAAAAAAAAABwIAAGRycy9kb3ducmV2LnhtbFBLBQYAAAAAAwADALcAAAD4AgAAAAA=&#10;" filled="f" stroked="f">
                  <v:textbox inset="0,0,0,0">
                    <w:txbxContent>
                      <w:p w14:paraId="2121E290" w14:textId="77777777" w:rsidR="00B32EF2" w:rsidRDefault="00000000">
                        <w:r>
                          <w:rPr>
                            <w:rFonts w:ascii="Arial" w:eastAsia="Arial" w:hAnsi="Arial" w:cs="Arial"/>
                            <w:sz w:val="18"/>
                          </w:rPr>
                          <w:t>informatica, anche per immagine, di un atto processuale di parte, di un prov</w:t>
                        </w:r>
                      </w:p>
                    </w:txbxContent>
                  </v:textbox>
                </v:rect>
                <v:rect id="Rectangle 18366" o:spid="_x0000_s3836" style="position:absolute;left:191;top:2050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MogxAAAAN4AAAAPAAAAZHJzL2Rvd25yZXYueG1sRE9Na8JA&#10;EL0X/A/LCN7qRoUQoquIIubQS62CxyE7Jmmzs0t2NbG/vlso9DaP9zmrzWBa8aDON5YVzKYJCOLS&#10;6oYrBeePw2sGwgdkja1lUvAkD5v16GWFubY9v9PjFCoRQ9jnqKAOweVS+rImg35qHXHkbrYzGCLs&#10;Kqk77GO4aeU8SVJpsOHYUKOjXU3l1+luFFz37IpDL8vb9869fRZZe7yfL0pNxsN2CSLQEP7Ff+5C&#10;x/nZIk3h9514g1z/AAAA//8DAFBLAQItABQABgAIAAAAIQDb4fbL7gAAAIUBAAATAAAAAAAAAAAA&#10;AAAAAAAAAABbQ29udGVudF9UeXBlc10ueG1sUEsBAi0AFAAGAAgAAAAhAFr0LFu/AAAAFQEAAAsA&#10;AAAAAAAAAAAAAAAAHwEAAF9yZWxzLy5yZWxzUEsBAi0AFAAGAAgAAAAhAMScyiDEAAAA3gAAAA8A&#10;AAAAAAAAAAAAAAAABwIAAGRycy9kb3ducmV2LnhtbFBLBQYAAAAAAwADALcAAAD4AgAAAAA=&#10;" filled="f" stroked="f">
                  <v:textbox inset="0,0,0,0">
                    <w:txbxContent>
                      <w:p w14:paraId="32BCF2A2" w14:textId="77777777" w:rsidR="00B32EF2" w:rsidRDefault="00000000">
                        <w:r>
                          <w:rPr>
                            <w:rFonts w:ascii="Arial" w:eastAsia="Arial" w:hAnsi="Arial" w:cs="Arial"/>
                            <w:sz w:val="18"/>
                          </w:rPr>
                          <w:t>-</w:t>
                        </w:r>
                      </w:p>
                    </w:txbxContent>
                  </v:textbox>
                </v:rect>
                <v:rect id="Rectangle 18367" o:spid="_x0000_s3837" style="position:absolute;left:-13171;top:19267;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G+7xAAAAN4AAAAPAAAAZHJzL2Rvd25yZXYueG1sRE9Na8JA&#10;EL0X/A/LCN7qxgo2RFcRRZpDL7UKHofsmESzs0t2NdFf3y0UepvH+5zFqjeNuFPra8sKJuMEBHFh&#10;dc2lgsP37jUF4QOyxsYyKXiQh9Vy8LLATNuOv+i+D6WIIewzVFCF4DIpfVGRQT+2jjhyZ9saDBG2&#10;pdQtdjHcNPItSWbSYM2xoUJHm4qK6/5mFJy27PJdJ4vzc+M+L3nafNwOR6VGw349BxGoD//iP3eu&#10;4/x0OnuH33fiDXL5AwAA//8DAFBLAQItABQABgAIAAAAIQDb4fbL7gAAAIUBAAATAAAAAAAAAAAA&#10;AAAAAAAAAABbQ29udGVudF9UeXBlc10ueG1sUEsBAi0AFAAGAAgAAAAhAFr0LFu/AAAAFQEAAAsA&#10;AAAAAAAAAAAAAAAAHwEAAF9yZWxzLy5yZWxzUEsBAi0AFAAGAAgAAAAhAKvQb7vEAAAA3gAAAA8A&#10;AAAAAAAAAAAAAAAABwIAAGRycy9kb3ducmV2LnhtbFBLBQYAAAAAAwADALcAAAD4AgAAAAA=&#10;" filled="f" stroked="f">
                  <v:textbox inset="0,0,0,0">
                    <w:txbxContent>
                      <w:p w14:paraId="5C4B66C6" w14:textId="77777777" w:rsidR="00B32EF2" w:rsidRDefault="00000000">
                        <w:r>
                          <w:rPr>
                            <w:rFonts w:ascii="Arial" w:eastAsia="Arial" w:hAnsi="Arial" w:cs="Arial"/>
                            <w:sz w:val="18"/>
                          </w:rPr>
                          <w:t xml:space="preserve">vedimento del giudice o di un documento formato su supporto analogico e </w:t>
                        </w:r>
                      </w:p>
                    </w:txbxContent>
                  </v:textbox>
                </v:rect>
                <v:rect id="Rectangle 18368" o:spid="_x0000_s3838" style="position:absolute;left:-13172;top:180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vJyAAAAN4AAAAPAAAAZHJzL2Rvd25yZXYueG1sRI9Pa8Mw&#10;DMXvg30Ho8Fuq7MNSkjrltJRlsMu/TPYUcRqkjaWTew22T79dCj0JvGe3vtpvhxdp67Ux9azgddJ&#10;Boq48rbl2sBhv3nJQcWEbLHzTAZ+KcJy8fgwx8L6gbd03aVaSQjHAg00KYVC61g15DBOfCAW7eh7&#10;h0nWvta2x0HCXaffsmyqHbYsDQ0GWjdUnXcXZ+Dng0O5GXR1/FuHr1OZd5+Xw7cxz0/jagYq0Zju&#10;5tt1aQU/f58Kr7wjM+jFPwAAAP//AwBQSwECLQAUAAYACAAAACEA2+H2y+4AAACFAQAAEwAAAAAA&#10;AAAAAAAAAAAAAAAAW0NvbnRlbnRfVHlwZXNdLnhtbFBLAQItABQABgAIAAAAIQBa9CxbvwAAABUB&#10;AAALAAAAAAAAAAAAAAAAAB8BAABfcmVscy8ucmVsc1BLAQItABQABgAIAAAAIQDaT/vJyAAAAN4A&#10;AAAPAAAAAAAAAAAAAAAAAAcCAABkcnMvZG93bnJldi54bWxQSwUGAAAAAAMAAwC3AAAA/AIAAAAA&#10;" filled="f" stroked="f">
                  <v:textbox inset="0,0,0,0">
                    <w:txbxContent>
                      <w:p w14:paraId="0870B4FD" w14:textId="77777777" w:rsidR="00B32EF2" w:rsidRDefault="00000000">
                        <w:r>
                          <w:rPr>
                            <w:rFonts w:ascii="Arial" w:eastAsia="Arial" w:hAnsi="Arial" w:cs="Arial"/>
                            <w:sz w:val="18"/>
                          </w:rPr>
                          <w:t xml:space="preserve">detenuto in originale o in copia conforme, il difensore e il dipendente di cui </w:t>
                        </w:r>
                      </w:p>
                    </w:txbxContent>
                  </v:textbox>
                </v:rect>
                <v:rect id="Rectangle 18369" o:spid="_x0000_s3839" style="position:absolute;left:-13172;top:168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15SxAAAAN4AAAAPAAAAZHJzL2Rvd25yZXYueG1sRE9Na8JA&#10;EL0X/A/LCN7qxgqSRlcRRZpDL7UKHofsmESzs0t2NdFf3y0UepvH+5zFqjeNuFPra8sKJuMEBHFh&#10;dc2lgsP37jUF4QOyxsYyKXiQh9Vy8LLATNuOv+i+D6WIIewzVFCF4DIpfVGRQT+2jjhyZ9saDBG2&#10;pdQtdjHcNPItSWbSYM2xoUJHm4qK6/5mFJy27PJdJ4vzc+M+L3nafNwOR6VGw349BxGoD//iP3eu&#10;4/x0OnuH33fiDXL5AwAA//8DAFBLAQItABQABgAIAAAAIQDb4fbL7gAAAIUBAAATAAAAAAAAAAAA&#10;AAAAAAAAAABbQ29udGVudF9UeXBlc10ueG1sUEsBAi0AFAAGAAgAAAAhAFr0LFu/AAAAFQEAAAsA&#10;AAAAAAAAAAAAAAAAHwEAAF9yZWxzLy5yZWxzUEsBAi0AFAAGAAgAAAAhALUDXlLEAAAA3gAAAA8A&#10;AAAAAAAAAAAAAAAABwIAAGRycy9kb3ducmV2LnhtbFBLBQYAAAAAAwADALcAAAD4AgAAAAA=&#10;" filled="f" stroked="f">
                  <v:textbox inset="0,0,0,0">
                    <w:txbxContent>
                      <w:p w14:paraId="1F92F722" w14:textId="77777777" w:rsidR="00B32EF2" w:rsidRDefault="00000000">
                        <w:r>
                          <w:rPr>
                            <w:rFonts w:ascii="Arial" w:eastAsia="Arial" w:hAnsi="Arial" w:cs="Arial"/>
                            <w:sz w:val="18"/>
                          </w:rPr>
                          <w:t xml:space="preserve">si avvalgono l’ente impositore, l’agente della riscossione ed i soggetti iscritti </w:t>
                        </w:r>
                      </w:p>
                    </w:txbxContent>
                  </v:textbox>
                </v:rect>
                <v:rect id="Rectangle 18370" o:spid="_x0000_s3840" style="position:absolute;left:-13172;top:155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GESyAAAAN4AAAAPAAAAZHJzL2Rvd25yZXYueG1sRI9Pa8Mw&#10;DMXvg30Ho0Fvq7MVtpDVLaOjNIdd+g92FLGaZItlE7tNuk8/HQq7SejpvfebL0fXqQv1sfVs4Gma&#10;gSKuvG25NnDYrx9zUDEhW+w8k4ErRVgu7u/mWFg/8JYuu1QrMeFYoIEmpVBoHauGHMapD8RyO/ne&#10;YZK1r7XtcRBz1+nnLHvRDluWhAYDrRqqfnZnZ+Drg0O5HnR1+l2Fz+8y7zbnw9GYycP4/gYq0Zj+&#10;xbfv0kr9fPYqAIIjM+jFHwAAAP//AwBQSwECLQAUAAYACAAAACEA2+H2y+4AAACFAQAAEwAAAAAA&#10;AAAAAAAAAAAAAAAAW0NvbnRlbnRfVHlwZXNdLnhtbFBLAQItABQABgAIAAAAIQBa9CxbvwAAABUB&#10;AAALAAAAAAAAAAAAAAAAAB8BAABfcmVscy8ucmVsc1BLAQItABQABgAIAAAAIQCh4GESyAAAAN4A&#10;AAAPAAAAAAAAAAAAAAAAAAcCAABkcnMvZG93bnJldi54bWxQSwUGAAAAAAMAAwC3AAAA/AIAAAAA&#10;" filled="f" stroked="f">
                  <v:textbox inset="0,0,0,0">
                    <w:txbxContent>
                      <w:p w14:paraId="2A86CD8A" w14:textId="77777777" w:rsidR="00B32EF2" w:rsidRDefault="00000000">
                        <w:r>
                          <w:rPr>
                            <w:rFonts w:ascii="Arial" w:eastAsia="Arial" w:hAnsi="Arial" w:cs="Arial"/>
                            <w:sz w:val="18"/>
                          </w:rPr>
                          <w:t xml:space="preserve">nell’albo di cui all’articolo 53 del decreto legislativo 15 dicembre 1997, n. 446, </w:t>
                        </w:r>
                      </w:p>
                    </w:txbxContent>
                  </v:textbox>
                </v:rect>
                <v:rect id="Rectangle 18371" o:spid="_x0000_s3841" style="position:absolute;left:-13172;top:143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SJxAAAAN4AAAAPAAAAZHJzL2Rvd25yZXYueG1sRE9Na8JA&#10;EL0X/A/LCN7qRgttiK4iijQHL7UKHofsmESzs0t2NdFf3y0UepvH+5z5sjeNuFPra8sKJuMEBHFh&#10;dc2lgsP39jUF4QOyxsYyKXiQh+Vi8DLHTNuOv+i+D6WIIewzVFCF4DIpfVGRQT+2jjhyZ9saDBG2&#10;pdQtdjHcNHKaJO/SYM2xoUJH64qK6/5mFJw27PJtJ4vzc+12lzxtPm+Ho1KjYb+agQjUh3/xnzvX&#10;cX769jGB33fiDXLxAwAA//8DAFBLAQItABQABgAIAAAAIQDb4fbL7gAAAIUBAAATAAAAAAAAAAAA&#10;AAAAAAAAAABbQ29udGVudF9UeXBlc10ueG1sUEsBAi0AFAAGAAgAAAAhAFr0LFu/AAAAFQEAAAsA&#10;AAAAAAAAAAAAAAAAHwEAAF9yZWxzLy5yZWxzUEsBAi0AFAAGAAgAAAAhAM6sxInEAAAA3gAAAA8A&#10;AAAAAAAAAAAAAAAABwIAAGRycy9kb3ducmV2LnhtbFBLBQYAAAAAAwADALcAAAD4AgAAAAA=&#10;" filled="f" stroked="f">
                  <v:textbox inset="0,0,0,0">
                    <w:txbxContent>
                      <w:p w14:paraId="4B389209" w14:textId="77777777" w:rsidR="00B32EF2" w:rsidRDefault="00000000">
                        <w:r>
                          <w:rPr>
                            <w:rFonts w:ascii="Arial" w:eastAsia="Arial" w:hAnsi="Arial" w:cs="Arial"/>
                            <w:sz w:val="18"/>
                          </w:rPr>
                          <w:t xml:space="preserve">attestano la conformità della copia al predetto atto secondo le modalità di cui </w:t>
                        </w:r>
                      </w:p>
                    </w:txbxContent>
                  </v:textbox>
                </v:rect>
                <v:rect id="Rectangle 18372" o:spid="_x0000_s3842" style="position:absolute;left:11449;top:13101;width:2846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r+xQAAAN4AAAAPAAAAZHJzL2Rvd25yZXYueG1sRE9La8JA&#10;EL4X/A/LCN7qRgttiK4iijSHXuoDPA7ZMYlmZ5fsamJ/fbdQ8DYf33Pmy9404k6try0rmIwTEMSF&#10;1TWXCg777WsKwgdkjY1lUvAgD8vF4GWOmbYdf9N9F0oRQ9hnqKAKwWVS+qIig35sHXHkzrY1GCJs&#10;S6lb7GK4aeQ0Sd6lwZpjQ4WO1hUV193NKDht2OXbThbnn7X7uuRp83k7HJUaDfvVDESgPjzF/+5c&#10;x/np28cU/t6JN8jFLwAAAP//AwBQSwECLQAUAAYACAAAACEA2+H2y+4AAACFAQAAEwAAAAAAAAAA&#10;AAAAAAAAAAAAW0NvbnRlbnRfVHlwZXNdLnhtbFBLAQItABQABgAIAAAAIQBa9CxbvwAAABUBAAAL&#10;AAAAAAAAAAAAAAAAAB8BAABfcmVscy8ucmVsc1BLAQItABQABgAIAAAAIQA+flr+xQAAAN4AAAAP&#10;AAAAAAAAAAAAAAAAAAcCAABkcnMvZG93bnJldi54bWxQSwUGAAAAAAMAAwC3AAAA+QIAAAAA&#10;" filled="f" stroked="f">
                  <v:textbox inset="0,0,0,0">
                    <w:txbxContent>
                      <w:p w14:paraId="4D283F86" w14:textId="77777777" w:rsidR="00B32EF2" w:rsidRDefault="00000000">
                        <w:r>
                          <w:rPr>
                            <w:rFonts w:ascii="Arial" w:eastAsia="Arial" w:hAnsi="Arial" w:cs="Arial"/>
                            <w:sz w:val="18"/>
                          </w:rPr>
                          <w:t>al decreto legislativo 7 marzo 2005, n. 82.</w:t>
                        </w:r>
                      </w:p>
                    </w:txbxContent>
                  </v:textbox>
                </v:rect>
                <v:rect id="Rectangle 200959" o:spid="_x0000_s3843" style="position:absolute;left:26348;top:11867;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FZxwAAAN8AAAAPAAAAZHJzL2Rvd25yZXYueG1sRI9PawIx&#10;FMTvQr9DeAVvmm3BoqtZKRbpHnrRWujxsXn7x25ewia6q5/eCEKPw8z8hlmtB9OKM3W+sazgZZqA&#10;IC6sbrhScPjeTuYgfEDW2FomBRfysM6eRitMte15R+d9qESEsE9RQR2CS6X0RU0G/dQ64uiVtjMY&#10;ouwqqTvsI9y08jVJ3qTBhuNCjY42NRV/+5NR8PvBLt/2siivG/d1zOft5+nwo9T4eXhfggg0hP/w&#10;o51rBZG4mC3g/id+AZndAAAA//8DAFBLAQItABQABgAIAAAAIQDb4fbL7gAAAIUBAAATAAAAAAAA&#10;AAAAAAAAAAAAAABbQ29udGVudF9UeXBlc10ueG1sUEsBAi0AFAAGAAgAAAAhAFr0LFu/AAAAFQEA&#10;AAsAAAAAAAAAAAAAAAAAHwEAAF9yZWxzLy5yZWxzUEsBAi0AFAAGAAgAAAAhAJ0YEVnHAAAA3wAA&#10;AA8AAAAAAAAAAAAAAAAABwIAAGRycy9kb3ducmV2LnhtbFBLBQYAAAAAAwADALcAAAD7AgAAAAA=&#10;" filled="f" stroked="f">
                  <v:textbox inset="0,0,0,0">
                    <w:txbxContent>
                      <w:p w14:paraId="25179209" w14:textId="77777777" w:rsidR="00B32EF2" w:rsidRDefault="00000000">
                        <w:r>
                          <w:rPr>
                            <w:rFonts w:ascii="Arial" w:eastAsia="Arial" w:hAnsi="Arial" w:cs="Arial"/>
                            <w:sz w:val="18"/>
                          </w:rPr>
                          <w:t>2</w:t>
                        </w:r>
                      </w:p>
                    </w:txbxContent>
                  </v:textbox>
                </v:rect>
                <v:rect id="Rectangle 200960" o:spid="_x0000_s3844" style="position:absolute;left:-12855;top:11867;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nJ5xwAAAN8AAAAPAAAAZHJzL2Rvd25yZXYueG1sRI9Na8JA&#10;EIbvQv/DMoXedFMPoqmriEXMoRc/Cj0O2TFJzc4u2dWk/fXOodDj8M77vDzL9eBadacuNp4NvE4y&#10;UMSltw1XBs6n3XgOKiZki61nMvBDEdarp9ESc+t7PtD9mColEI45GqhTCrnWsazJYZz4QCzZxXcO&#10;k5xdpW2HvcBdq6dZNtMOG5aFGgNtayqvx5sz8PXOodj1urz8bsPHdzFv97fzpzEvz8PmDVSiIf0/&#10;/7ULa0CIi5kYiI+4gF49AAAA//8DAFBLAQItABQABgAIAAAAIQDb4fbL7gAAAIUBAAATAAAAAAAA&#10;AAAAAAAAAAAAAABbQ29udGVudF9UeXBlc10ueG1sUEsBAi0AFAAGAAgAAAAhAFr0LFu/AAAAFQEA&#10;AAsAAAAAAAAAAAAAAAAAHwEAAF9yZWxzLy5yZWxzUEsBAi0AFAAGAAgAAAAhAMJOcnnHAAAA3wAA&#10;AA8AAAAAAAAAAAAAAAAABwIAAGRycy9kb3ducmV2LnhtbFBLBQYAAAAAAwADALcAAAD7AgAAAAA=&#10;" filled="f" stroked="f">
                  <v:textbox inset="0,0,0,0">
                    <w:txbxContent>
                      <w:p w14:paraId="7A5D0349" w14:textId="77777777" w:rsidR="00B32EF2" w:rsidRDefault="00000000">
                        <w:r>
                          <w:rPr>
                            <w:rFonts w:ascii="Arial" w:eastAsia="Arial" w:hAnsi="Arial" w:cs="Arial"/>
                            <w:sz w:val="18"/>
                          </w:rPr>
                          <w:t>. Analogo potere di attestazione di conformità è esteso, anche per l’estra</w:t>
                        </w:r>
                      </w:p>
                    </w:txbxContent>
                  </v:textbox>
                </v:rect>
                <v:rect id="Rectangle 18374" o:spid="_x0000_s3845" style="position:absolute;left:191;top:1186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2cRxQAAAN4AAAAPAAAAZHJzL2Rvd25yZXYueG1sRE9Na8JA&#10;EL0X+h+WKXirm9aiIbpKsYg5eKlV8DhkxySanV2yq4n99W5B6G0e73Nmi9404kqtry0reBsmIIgL&#10;q2suFex+Vq8pCB+QNTaWScGNPCzmz08zzLTt+Juu21CKGMI+QwVVCC6T0hcVGfRD64gjd7StwRBh&#10;W0rdYhfDTSPfk2QsDdYcGyp0tKyoOG8vRsHhi12+6mRx/F26zSlPm/Vlt1dq8NJ/TkEE6sO/+OHO&#10;dZyfjiYf8PdOvEHO7wAAAP//AwBQSwECLQAUAAYACAAAACEA2+H2y+4AAACFAQAAEwAAAAAAAAAA&#10;AAAAAAAAAAAAW0NvbnRlbnRfVHlwZXNdLnhtbFBLAQItABQABgAIAAAAIQBa9CxbvwAAABUBAAAL&#10;AAAAAAAAAAAAAAAAAB8BAABfcmVscy8ucmVsc1BLAQItABQABgAIAAAAIQDe22cRxQAAAN4AAAAP&#10;AAAAAAAAAAAAAAAAAAcCAABkcnMvZG93bnJldi54bWxQSwUGAAAAAAMAAwC3AAAA+QIAAAAA&#10;" filled="f" stroked="f">
                  <v:textbox inset="0,0,0,0">
                    <w:txbxContent>
                      <w:p w14:paraId="7CF267C7" w14:textId="77777777" w:rsidR="00B32EF2" w:rsidRDefault="00000000">
                        <w:r>
                          <w:rPr>
                            <w:rFonts w:ascii="Arial" w:eastAsia="Arial" w:hAnsi="Arial" w:cs="Arial"/>
                            <w:sz w:val="18"/>
                          </w:rPr>
                          <w:t>-</w:t>
                        </w:r>
                      </w:p>
                    </w:txbxContent>
                  </v:textbox>
                </v:rect>
                <v:rect id="Rectangle 18375" o:spid="_x0000_s3846" style="position:absolute;left:-13172;top:106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8KKxQAAAN4AAAAPAAAAZHJzL2Rvd25yZXYueG1sRE9Na8JA&#10;EL0X+h+WKXirm1aqIbpKsYg5eKlV8DhkxySanV2yq4n99W5B6G0e73Nmi9404kqtry0reBsmIIgL&#10;q2suFex+Vq8pCB+QNTaWScGNPCzmz08zzLTt+Juu21CKGMI+QwVVCC6T0hcVGfRD64gjd7StwRBh&#10;W0rdYhfDTSPfk2QsDdYcGyp0tKyoOG8vRsHhi12+6mRx/F26zSlPm/Vlt1dq8NJ/TkEE6sO/+OHO&#10;dZyfjiYf8PdOvEHO7wAAAP//AwBQSwECLQAUAAYACAAAACEA2+H2y+4AAACFAQAAEwAAAAAAAAAA&#10;AAAAAAAAAAAAW0NvbnRlbnRfVHlwZXNdLnhtbFBLAQItABQABgAIAAAAIQBa9CxbvwAAABUBAAAL&#10;AAAAAAAAAAAAAAAAAB8BAABfcmVscy8ucmVsc1BLAQItABQABgAIAAAAIQCxl8KKxQAAAN4AAAAP&#10;AAAAAAAAAAAAAAAAAAcCAABkcnMvZG93bnJldi54bWxQSwUGAAAAAAMAAwC3AAAA+QIAAAAA&#10;" filled="f" stroked="f">
                  <v:textbox inset="0,0,0,0">
                    <w:txbxContent>
                      <w:p w14:paraId="3FD31077" w14:textId="77777777" w:rsidR="00B32EF2" w:rsidRDefault="00000000">
                        <w:r>
                          <w:rPr>
                            <w:rFonts w:ascii="Arial" w:eastAsia="Arial" w:hAnsi="Arial" w:cs="Arial"/>
                            <w:sz w:val="18"/>
                          </w:rPr>
                          <w:t xml:space="preserve">zione di copia analogica, agli atti e ai provvedimenti presenti nel fascicolo </w:t>
                        </w:r>
                      </w:p>
                    </w:txbxContent>
                  </v:textbox>
                </v:rect>
                <v:rect id="Rectangle 18376" o:spid="_x0000_s3847" style="position:absolute;left:-13172;top:940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z9xAAAAN4AAAAPAAAAZHJzL2Rvd25yZXYueG1sRE9Na8JA&#10;EL0X/A/LCN7qxgo2RFcRRZpDL7UKHofsmESzs0t2NdFf3y0UepvH+5zFqjeNuFPra8sKJuMEBHFh&#10;dc2lgsP37jUF4QOyxsYyKXiQh9Vy8LLATNuOv+i+D6WIIewzVFCF4DIpfVGRQT+2jjhyZ9saDBG2&#10;pdQtdjHcNPItSWbSYM2xoUJHm4qK6/5mFJy27PJdJ4vzc+M+L3nafNwOR6VGw349BxGoD//iP3eu&#10;4/x0+j6D33fiDXL5AwAA//8DAFBLAQItABQABgAIAAAAIQDb4fbL7gAAAIUBAAATAAAAAAAAAAAA&#10;AAAAAAAAAABbQ29udGVudF9UeXBlc10ueG1sUEsBAi0AFAAGAAgAAAAhAFr0LFu/AAAAFQEAAAsA&#10;AAAAAAAAAAAAAAAAHwEAAF9yZWxzLy5yZWxzUEsBAi0AFAAGAAgAAAAhAEFFXP3EAAAA3gAAAA8A&#10;AAAAAAAAAAAAAAAABwIAAGRycy9kb3ducmV2LnhtbFBLBQYAAAAAAwADALcAAAD4AgAAAAA=&#10;" filled="f" stroked="f">
                  <v:textbox inset="0,0,0,0">
                    <w:txbxContent>
                      <w:p w14:paraId="62AB27BA" w14:textId="77777777" w:rsidR="00B32EF2" w:rsidRDefault="00000000">
                        <w:r>
                          <w:rPr>
                            <w:rFonts w:ascii="Arial" w:eastAsia="Arial" w:hAnsi="Arial" w:cs="Arial"/>
                            <w:sz w:val="18"/>
                          </w:rPr>
                          <w:t xml:space="preserve">informatico, formato dalla segreteria della corte di giustizia tributaria di primo </w:t>
                        </w:r>
                      </w:p>
                    </w:txbxContent>
                  </v:textbox>
                </v:rect>
                <v:rect id="Rectangle 18377" o:spid="_x0000_s3848" style="position:absolute;left:-12188;top:8167;width:521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lmxAAAAN4AAAAPAAAAZHJzL2Rvd25yZXYueG1sRE9Na8JA&#10;EL0X/A/LCN7qxgo1RFcRRZpDL7UKHofsmESzs0t2NdFf3y0UepvH+5zFqjeNuFPra8sKJuMEBHFh&#10;dc2lgsP37jUF4QOyxsYyKXiQh9Vy8LLATNuOv+i+D6WIIewzVFCF4DIpfVGRQT+2jjhyZ9saDBG2&#10;pdQtdjHcNPItSd6lwZpjQ4WONhUV1/3NKDht2eW7Thbn58Z9XvK0+bgdjkqNhv16DiJQH/7Ff+5c&#10;x/npdDaD33fiDXL5AwAA//8DAFBLAQItABQABgAIAAAAIQDb4fbL7gAAAIUBAAATAAAAAAAAAAAA&#10;AAAAAAAAAABbQ29udGVudF9UeXBlc10ueG1sUEsBAi0AFAAGAAgAAAAhAFr0LFu/AAAAFQEAAAsA&#10;AAAAAAAAAAAAAAAAHwEAAF9yZWxzLy5yZWxzUEsBAi0AFAAGAAgAAAAhAC4J+WbEAAAA3gAAAA8A&#10;AAAAAAAAAAAAAAAABwIAAGRycy9kb3ducmV2LnhtbFBLBQYAAAAAAwADALcAAAD4AgAAAAA=&#10;" filled="f" stroked="f">
                  <v:textbox inset="0,0,0,0">
                    <w:txbxContent>
                      <w:p w14:paraId="73F18623" w14:textId="77777777" w:rsidR="00B32EF2" w:rsidRDefault="00000000">
                        <w:r>
                          <w:rPr>
                            <w:rFonts w:ascii="Arial" w:eastAsia="Arial" w:hAnsi="Arial" w:cs="Arial"/>
                            <w:sz w:val="18"/>
                          </w:rPr>
                          <w:t>e secondo grado ai sensi dell’articolo 14 del decreto del Ministro dell’econo</w:t>
                        </w:r>
                      </w:p>
                    </w:txbxContent>
                  </v:textbox>
                </v:rect>
                <v:rect id="Rectangle 18378" o:spid="_x0000_s3849" style="position:absolute;left:191;top:816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m0UyAAAAN4AAAAPAAAAZHJzL2Rvd25yZXYueG1sRI9Pa8Mw&#10;DMXvg30Ho0Fvq7MVtpDVLaOjNIdd+g92FLGaZItlE7tNuk8/HQq7Sbyn936aL0fXqQv1sfVs4Gma&#10;gSKuvG25NnDYrx9zUDEhW+w8k4ErRVgu7u/mWFg/8JYuu1QrCeFYoIEmpVBoHauGHMapD8SinXzv&#10;MMna19r2OEi46/Rzlr1ohy1LQ4OBVg1VP7uzM/D1waFcD7o6/a7C53eZd5vz4WjM5GF8fwOVaEz/&#10;5tt1aQU/n70Kr7wjM+jFHwAAAP//AwBQSwECLQAUAAYACAAAACEA2+H2y+4AAACFAQAAEwAAAAAA&#10;AAAAAAAAAAAAAAAAW0NvbnRlbnRfVHlwZXNdLnhtbFBLAQItABQABgAIAAAAIQBa9CxbvwAAABUB&#10;AAALAAAAAAAAAAAAAAAAAB8BAABfcmVscy8ucmVsc1BLAQItABQABgAIAAAAIQBflm0UyAAAAN4A&#10;AAAPAAAAAAAAAAAAAAAAAAcCAABkcnMvZG93bnJldi54bWxQSwUGAAAAAAMAAwC3AAAA/AIAAAAA&#10;" filled="f" stroked="f">
                  <v:textbox inset="0,0,0,0">
                    <w:txbxContent>
                      <w:p w14:paraId="7894C51D" w14:textId="77777777" w:rsidR="00B32EF2" w:rsidRDefault="00000000">
                        <w:r>
                          <w:rPr>
                            <w:rFonts w:ascii="Arial" w:eastAsia="Arial" w:hAnsi="Arial" w:cs="Arial"/>
                            <w:sz w:val="18"/>
                          </w:rPr>
                          <w:t>-</w:t>
                        </w:r>
                      </w:p>
                    </w:txbxContent>
                  </v:textbox>
                </v:rect>
                <v:rect id="Rectangle 18379" o:spid="_x0000_s3850" style="position:absolute;left:-13172;top:69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siPxQAAAN4AAAAPAAAAZHJzL2Rvd25yZXYueG1sRE9Na8JA&#10;EL0L/odlhN50o4U2ja4iipiDl1oLHofsmKTNzi7Z1cT+erdQ6G0e73MWq9404katry0rmE4SEMSF&#10;1TWXCk4fu3EKwgdkjY1lUnAnD6vlcLDATNuO3+l2DKWIIewzVFCF4DIpfVGRQT+xjjhyF9saDBG2&#10;pdQtdjHcNHKWJC/SYM2xoUJHm4qK7+PVKDhv2eW7ThaXn407fOVps7+ePpV6GvXrOYhAffgX/7lz&#10;Heenz69v8PtOvEEuHwAAAP//AwBQSwECLQAUAAYACAAAACEA2+H2y+4AAACFAQAAEwAAAAAAAAAA&#10;AAAAAAAAAAAAW0NvbnRlbnRfVHlwZXNdLnhtbFBLAQItABQABgAIAAAAIQBa9CxbvwAAABUBAAAL&#10;AAAAAAAAAAAAAAAAAB8BAABfcmVscy8ucmVsc1BLAQItABQABgAIAAAAIQAw2siPxQAAAN4AAAAP&#10;AAAAAAAAAAAAAAAAAAcCAABkcnMvZG93bnJldi54bWxQSwUGAAAAAAMAAwC3AAAA+QIAAAAA&#10;" filled="f" stroked="f">
                  <v:textbox inset="0,0,0,0">
                    <w:txbxContent>
                      <w:p w14:paraId="01BFDE3C" w14:textId="77777777" w:rsidR="00B32EF2" w:rsidRDefault="00000000">
                        <w:r>
                          <w:rPr>
                            <w:rFonts w:ascii="Arial" w:eastAsia="Arial" w:hAnsi="Arial" w:cs="Arial"/>
                            <w:sz w:val="18"/>
                          </w:rPr>
                          <w:t xml:space="preserve">mia e delle finanze 23 dicembre 2013, n. 163, o trasmessi in allegato alle </w:t>
                        </w:r>
                      </w:p>
                    </w:txbxContent>
                  </v:textbox>
                </v:rect>
                <v:rect id="Rectangle 18380" o:spid="_x0000_s3851" style="position:absolute;left:-13172;top:570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RE1xwAAAN4AAAAPAAAAZHJzL2Rvd25yZXYueG1sRI9Ba8JA&#10;EIXvhf6HZQre6qYVSoiuUixiDr3UKngcsmMSzc4u2dXE/vrOodDbDPPmvfctVqPr1I362Ho28DLN&#10;QBFX3rZcG9h/b55zUDEhW+w8k4E7RVgtHx8WWFg/8BfddqlWYsKxQANNSqHQOlYNOYxTH4jldvK9&#10;wyRrX2vb4yDmrtOvWfamHbYsCQ0GWjdUXXZXZ+D4waHcDLo6/azD57nMu+11fzBm8jS+z0ElGtO/&#10;+O+7tFI/n+UCIDgyg17+AgAA//8DAFBLAQItABQABgAIAAAAIQDb4fbL7gAAAIUBAAATAAAAAAAA&#10;AAAAAAAAAAAAAABbQ29udGVudF9UeXBlc10ueG1sUEsBAi0AFAAGAAgAAAAhAFr0LFu/AAAAFQEA&#10;AAsAAAAAAAAAAAAAAAAAHwEAAF9yZWxzLy5yZWxzUEsBAi0AFAAGAAgAAAAhAJQ1ETXHAAAA3gAA&#10;AA8AAAAAAAAAAAAAAAAABwIAAGRycy9kb3ducmV2LnhtbFBLBQYAAAAAAwADALcAAAD7AgAAAAA=&#10;" filled="f" stroked="f">
                  <v:textbox inset="0,0,0,0">
                    <w:txbxContent>
                      <w:p w14:paraId="52D56996" w14:textId="77777777" w:rsidR="00B32EF2" w:rsidRDefault="00000000">
                        <w:r>
                          <w:rPr>
                            <w:rFonts w:ascii="Arial" w:eastAsia="Arial" w:hAnsi="Arial" w:cs="Arial"/>
                            <w:sz w:val="18"/>
                          </w:rPr>
                          <w:t xml:space="preserve">comunicazioni telematiche dell’ufficio di segreteria. Detti atti e provvedimenti, </w:t>
                        </w:r>
                      </w:p>
                    </w:txbxContent>
                  </v:textbox>
                </v:rect>
                <v:rect id="Rectangle 18381" o:spid="_x0000_s3852" style="position:absolute;left:-13172;top:44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bSuxAAAAN4AAAAPAAAAZHJzL2Rvd25yZXYueG1sRE9Ni8Iw&#10;EL0L/ocwwt40dRekdI0iimwPXnQV9jg0Y1ttJqGJtvrrzcLC3ubxPme+7E0j7tT62rKC6SQBQVxY&#10;XXOp4Pi9HacgfEDW2FgmBQ/ysFwMB3PMtO14T/dDKEUMYZ+hgioEl0npi4oM+ol1xJE729ZgiLAt&#10;pW6xi+Gmke9JMpMGa44NFTpaV1RcDzej4GfDLt92sjg/1253ydPm63Y8KfU26lefIAL14V/85851&#10;nJ9+pFP4fSfeIBcvAAAA//8DAFBLAQItABQABgAIAAAAIQDb4fbL7gAAAIUBAAATAAAAAAAAAAAA&#10;AAAAAAAAAABbQ29udGVudF9UeXBlc10ueG1sUEsBAi0AFAAGAAgAAAAhAFr0LFu/AAAAFQEAAAsA&#10;AAAAAAAAAAAAAAAAHwEAAF9yZWxzLy5yZWxzUEsBAi0AFAAGAAgAAAAhAPt5tK7EAAAA3gAAAA8A&#10;AAAAAAAAAAAAAAAABwIAAGRycy9kb3ducmV2LnhtbFBLBQYAAAAAAwADALcAAAD4AgAAAAA=&#10;" filled="f" stroked="f">
                  <v:textbox inset="0,0,0,0">
                    <w:txbxContent>
                      <w:p w14:paraId="25645914" w14:textId="77777777" w:rsidR="00B32EF2" w:rsidRDefault="00000000">
                        <w:r>
                          <w:rPr>
                            <w:rFonts w:ascii="Arial" w:eastAsia="Arial" w:hAnsi="Arial" w:cs="Arial"/>
                            <w:sz w:val="18"/>
                          </w:rPr>
                          <w:t xml:space="preserve">presenti nel fascicolo informatico o trasmessi in allegato alle comunicazioni </w:t>
                        </w:r>
                      </w:p>
                    </w:txbxContent>
                  </v:textbox>
                </v:rect>
                <w10:anchorlock/>
              </v:group>
            </w:pict>
          </mc:Fallback>
        </mc:AlternateContent>
      </w:r>
    </w:p>
    <w:p w14:paraId="163B47AF" w14:textId="77777777" w:rsidR="00B32EF2" w:rsidRDefault="00000000">
      <w:pPr>
        <w:spacing w:after="0"/>
        <w:ind w:left="-357" w:right="-306"/>
      </w:pPr>
      <w:r>
        <w:rPr>
          <w:noProof/>
        </w:rPr>
        <w:lastRenderedPageBreak/>
        <mc:AlternateContent>
          <mc:Choice Requires="wpg">
            <w:drawing>
              <wp:inline distT="0" distB="0" distL="0" distR="0" wp14:anchorId="46F54A3D" wp14:editId="4B2DE11F">
                <wp:extent cx="3992202" cy="6256497"/>
                <wp:effectExtent l="0" t="0" r="0" b="0"/>
                <wp:docPr id="201161" name="Group 201161"/>
                <wp:cNvGraphicFramePr/>
                <a:graphic xmlns:a="http://schemas.openxmlformats.org/drawingml/2006/main">
                  <a:graphicData uri="http://schemas.microsoft.com/office/word/2010/wordprocessingGroup">
                    <wpg:wgp>
                      <wpg:cNvGrpSpPr/>
                      <wpg:grpSpPr>
                        <a:xfrm>
                          <a:off x="0" y="0"/>
                          <a:ext cx="3992202" cy="6256497"/>
                          <a:chOff x="0" y="0"/>
                          <a:chExt cx="3992202" cy="6256497"/>
                        </a:xfrm>
                      </wpg:grpSpPr>
                      <wps:wsp>
                        <wps:cNvPr id="18406" name="Rectangle 18406"/>
                        <wps:cNvSpPr/>
                        <wps:spPr>
                          <a:xfrm rot="-10799999">
                            <a:off x="1900888" y="-62190"/>
                            <a:ext cx="178369" cy="250646"/>
                          </a:xfrm>
                          <a:prstGeom prst="rect">
                            <a:avLst/>
                          </a:prstGeom>
                          <a:ln>
                            <a:noFill/>
                          </a:ln>
                        </wps:spPr>
                        <wps:txbx>
                          <w:txbxContent>
                            <w:p w14:paraId="1E6E62B0" w14:textId="77777777" w:rsidR="00B32EF2" w:rsidRDefault="00000000">
                              <w:r>
                                <w:rPr>
                                  <w:rFonts w:ascii="Times New Roman" w:eastAsia="Times New Roman" w:hAnsi="Times New Roman" w:cs="Times New Roman"/>
                                </w:rPr>
                                <w:t>63</w:t>
                              </w:r>
                            </w:p>
                          </w:txbxContent>
                        </wps:txbx>
                        <wps:bodyPr horzOverflow="overflow" vert="horz" lIns="0" tIns="0" rIns="0" bIns="0" rtlCol="0">
                          <a:noAutofit/>
                        </wps:bodyPr>
                      </wps:wsp>
                      <wps:wsp>
                        <wps:cNvPr id="18407" name="Rectangle 18407"/>
                        <wps:cNvSpPr/>
                        <wps:spPr>
                          <a:xfrm rot="-10799999">
                            <a:off x="1507044" y="3899687"/>
                            <a:ext cx="809486" cy="142889"/>
                          </a:xfrm>
                          <a:prstGeom prst="rect">
                            <a:avLst/>
                          </a:prstGeom>
                          <a:ln>
                            <a:noFill/>
                          </a:ln>
                        </wps:spPr>
                        <wps:txbx>
                          <w:txbxContent>
                            <w:p w14:paraId="4747E01E" w14:textId="77777777" w:rsidR="00B32EF2" w:rsidRDefault="00000000">
                              <w:r>
                                <w:rPr>
                                  <w:rFonts w:ascii="Arial" w:eastAsia="Arial" w:hAnsi="Arial" w:cs="Arial"/>
                                  <w:b/>
                                  <w:sz w:val="18"/>
                                </w:rPr>
                                <w:t>Articolo 69</w:t>
                              </w:r>
                            </w:p>
                          </w:txbxContent>
                        </wps:txbx>
                        <wps:bodyPr horzOverflow="overflow" vert="horz" lIns="0" tIns="0" rIns="0" bIns="0" rtlCol="0">
                          <a:noAutofit/>
                        </wps:bodyPr>
                      </wps:wsp>
                      <wps:wsp>
                        <wps:cNvPr id="200990" name="Rectangle 200990"/>
                        <wps:cNvSpPr/>
                        <wps:spPr>
                          <a:xfrm rot="-10799999">
                            <a:off x="2222259" y="3776357"/>
                            <a:ext cx="1941131" cy="142889"/>
                          </a:xfrm>
                          <a:prstGeom prst="rect">
                            <a:avLst/>
                          </a:prstGeom>
                          <a:ln>
                            <a:noFill/>
                          </a:ln>
                        </wps:spPr>
                        <wps:txbx>
                          <w:txbxContent>
                            <w:p w14:paraId="2C21132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991" name="Rectangle 200991"/>
                        <wps:cNvSpPr/>
                        <wps:spPr>
                          <a:xfrm rot="-10799999">
                            <a:off x="-260313" y="3776356"/>
                            <a:ext cx="1941131" cy="142889"/>
                          </a:xfrm>
                          <a:prstGeom prst="rect">
                            <a:avLst/>
                          </a:prstGeom>
                          <a:ln>
                            <a:noFill/>
                          </a:ln>
                        </wps:spPr>
                        <wps:txbx>
                          <w:txbxContent>
                            <w:p w14:paraId="7196BDAF"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992" name="Rectangle 200992"/>
                        <wps:cNvSpPr/>
                        <wps:spPr>
                          <a:xfrm rot="-10799999">
                            <a:off x="1164024" y="3776357"/>
                            <a:ext cx="1941131" cy="142889"/>
                          </a:xfrm>
                          <a:prstGeom prst="rect">
                            <a:avLst/>
                          </a:prstGeom>
                          <a:ln>
                            <a:noFill/>
                          </a:ln>
                        </wps:spPr>
                        <wps:txbx>
                          <w:txbxContent>
                            <w:p w14:paraId="476D567C" w14:textId="77777777" w:rsidR="00B32EF2" w:rsidRDefault="00000000">
                              <w:r>
                                <w:rPr>
                                  <w:rFonts w:ascii="Arial" w:eastAsia="Arial" w:hAnsi="Arial" w:cs="Arial"/>
                                  <w:i/>
                                  <w:sz w:val="18"/>
                                </w:rPr>
                                <w:t xml:space="preserve">articolo 23 D.lgs. n. </w:t>
                              </w:r>
                            </w:p>
                          </w:txbxContent>
                        </wps:txbx>
                        <wps:bodyPr horzOverflow="overflow" vert="horz" lIns="0" tIns="0" rIns="0" bIns="0" rtlCol="0">
                          <a:noAutofit/>
                        </wps:bodyPr>
                      </wps:wsp>
                      <wps:wsp>
                        <wps:cNvPr id="18409" name="Rectangle 18409"/>
                        <wps:cNvSpPr/>
                        <wps:spPr>
                          <a:xfrm rot="-10799999">
                            <a:off x="-120637" y="3653028"/>
                            <a:ext cx="3392259" cy="142889"/>
                          </a:xfrm>
                          <a:prstGeom prst="rect">
                            <a:avLst/>
                          </a:prstGeom>
                          <a:ln>
                            <a:noFill/>
                          </a:ln>
                        </wps:spPr>
                        <wps:txbx>
                          <w:txbxContent>
                            <w:p w14:paraId="1758713C" w14:textId="77777777" w:rsidR="00B32EF2" w:rsidRDefault="00000000">
                              <w:r>
                                <w:rPr>
                                  <w:rFonts w:ascii="Arial" w:eastAsia="Arial" w:hAnsi="Arial" w:cs="Arial"/>
                                  <w:b/>
                                  <w:sz w:val="18"/>
                                </w:rPr>
                                <w:t xml:space="preserve">Costituzione in giudizio della parte resistente </w:t>
                              </w:r>
                            </w:p>
                          </w:txbxContent>
                        </wps:txbx>
                        <wps:bodyPr horzOverflow="overflow" vert="horz" lIns="0" tIns="0" rIns="0" bIns="0" rtlCol="0">
                          <a:noAutofit/>
                        </wps:bodyPr>
                      </wps:wsp>
                      <wps:wsp>
                        <wps:cNvPr id="200988" name="Rectangle 200988"/>
                        <wps:cNvSpPr/>
                        <wps:spPr>
                          <a:xfrm rot="-10799999">
                            <a:off x="2611345" y="3529698"/>
                            <a:ext cx="5309005" cy="142889"/>
                          </a:xfrm>
                          <a:prstGeom prst="rect">
                            <a:avLst/>
                          </a:prstGeom>
                          <a:ln>
                            <a:noFill/>
                          </a:ln>
                        </wps:spPr>
                        <wps:txbx>
                          <w:txbxContent>
                            <w:p w14:paraId="1A782575"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989" name="Rectangle 200989"/>
                        <wps:cNvSpPr/>
                        <wps:spPr>
                          <a:xfrm rot="-10799999">
                            <a:off x="-1376021" y="3529698"/>
                            <a:ext cx="5309006" cy="142889"/>
                          </a:xfrm>
                          <a:prstGeom prst="rect">
                            <a:avLst/>
                          </a:prstGeom>
                          <a:ln>
                            <a:noFill/>
                          </a:ln>
                        </wps:spPr>
                        <wps:txbx>
                          <w:txbxContent>
                            <w:p w14:paraId="08878B81" w14:textId="77777777" w:rsidR="00B32EF2" w:rsidRDefault="00000000">
                              <w:r>
                                <w:rPr>
                                  <w:rFonts w:ascii="Arial" w:eastAsia="Arial" w:hAnsi="Arial" w:cs="Arial"/>
                                  <w:sz w:val="18"/>
                                </w:rPr>
                                <w:t xml:space="preserve">. L’ente impositore, l’agente della riscossione ed i soggetti iscritti all’albo di cui </w:t>
                              </w:r>
                            </w:p>
                          </w:txbxContent>
                        </wps:txbx>
                        <wps:bodyPr horzOverflow="overflow" vert="horz" lIns="0" tIns="0" rIns="0" bIns="0" rtlCol="0">
                          <a:noAutofit/>
                        </wps:bodyPr>
                      </wps:wsp>
                      <wps:wsp>
                        <wps:cNvPr id="18411" name="Rectangle 18411"/>
                        <wps:cNvSpPr/>
                        <wps:spPr>
                          <a:xfrm rot="-10799999">
                            <a:off x="-1316897" y="3406368"/>
                            <a:ext cx="5309066" cy="142889"/>
                          </a:xfrm>
                          <a:prstGeom prst="rect">
                            <a:avLst/>
                          </a:prstGeom>
                          <a:ln>
                            <a:noFill/>
                          </a:ln>
                        </wps:spPr>
                        <wps:txbx>
                          <w:txbxContent>
                            <w:p w14:paraId="32FD237D" w14:textId="77777777" w:rsidR="00B32EF2" w:rsidRDefault="00000000">
                              <w:r>
                                <w:rPr>
                                  <w:rFonts w:ascii="Arial" w:eastAsia="Arial" w:hAnsi="Arial" w:cs="Arial"/>
                                  <w:sz w:val="18"/>
                                </w:rPr>
                                <w:t xml:space="preserve">all’articolo 53 del decreto legislativo 15 dicembre 1997, n. 446, nei cui confronti </w:t>
                              </w:r>
                            </w:p>
                          </w:txbxContent>
                        </wps:txbx>
                        <wps:bodyPr horzOverflow="overflow" vert="horz" lIns="0" tIns="0" rIns="0" bIns="0" rtlCol="0">
                          <a:noAutofit/>
                        </wps:bodyPr>
                      </wps:wsp>
                      <wps:wsp>
                        <wps:cNvPr id="18412" name="Rectangle 18412"/>
                        <wps:cNvSpPr/>
                        <wps:spPr>
                          <a:xfrm rot="-10799999">
                            <a:off x="-1317565" y="3283038"/>
                            <a:ext cx="5310191" cy="142889"/>
                          </a:xfrm>
                          <a:prstGeom prst="rect">
                            <a:avLst/>
                          </a:prstGeom>
                          <a:ln>
                            <a:noFill/>
                          </a:ln>
                        </wps:spPr>
                        <wps:txbx>
                          <w:txbxContent>
                            <w:p w14:paraId="2ECC1ED8" w14:textId="77777777" w:rsidR="00B32EF2" w:rsidRDefault="00000000">
                              <w:r>
                                <w:rPr>
                                  <w:rFonts w:ascii="Arial" w:eastAsia="Arial" w:hAnsi="Arial" w:cs="Arial"/>
                                  <w:sz w:val="18"/>
                                </w:rPr>
                                <w:t xml:space="preserve">è stato proposto il ricorso si costituiscono in giudizio entro sessanta giorni dal </w:t>
                              </w:r>
                            </w:p>
                          </w:txbxContent>
                        </wps:txbx>
                        <wps:bodyPr horzOverflow="overflow" vert="horz" lIns="0" tIns="0" rIns="0" bIns="0" rtlCol="0">
                          <a:noAutofit/>
                        </wps:bodyPr>
                      </wps:wsp>
                      <wps:wsp>
                        <wps:cNvPr id="18413" name="Rectangle 18413"/>
                        <wps:cNvSpPr/>
                        <wps:spPr>
                          <a:xfrm rot="-10799999">
                            <a:off x="-1316821" y="3159709"/>
                            <a:ext cx="5308990" cy="142889"/>
                          </a:xfrm>
                          <a:prstGeom prst="rect">
                            <a:avLst/>
                          </a:prstGeom>
                          <a:ln>
                            <a:noFill/>
                          </a:ln>
                        </wps:spPr>
                        <wps:txbx>
                          <w:txbxContent>
                            <w:p w14:paraId="02E67262" w14:textId="77777777" w:rsidR="00B32EF2" w:rsidRDefault="00000000">
                              <w:r>
                                <w:rPr>
                                  <w:rFonts w:ascii="Arial" w:eastAsia="Arial" w:hAnsi="Arial" w:cs="Arial"/>
                                  <w:sz w:val="18"/>
                                </w:rPr>
                                <w:t xml:space="preserve">giorno in cui il ricorso è stato notificato, consegnato o ricevuto a mezzo del </w:t>
                              </w:r>
                            </w:p>
                          </w:txbxContent>
                        </wps:txbx>
                        <wps:bodyPr horzOverflow="overflow" vert="horz" lIns="0" tIns="0" rIns="0" bIns="0" rtlCol="0">
                          <a:noAutofit/>
                        </wps:bodyPr>
                      </wps:wsp>
                      <wps:wsp>
                        <wps:cNvPr id="18414" name="Rectangle 18414"/>
                        <wps:cNvSpPr/>
                        <wps:spPr>
                          <a:xfrm rot="-10799999">
                            <a:off x="2881896" y="3036379"/>
                            <a:ext cx="1110271" cy="142889"/>
                          </a:xfrm>
                          <a:prstGeom prst="rect">
                            <a:avLst/>
                          </a:prstGeom>
                          <a:ln>
                            <a:noFill/>
                          </a:ln>
                        </wps:spPr>
                        <wps:txbx>
                          <w:txbxContent>
                            <w:p w14:paraId="7DA2D4DB" w14:textId="77777777" w:rsidR="00B32EF2" w:rsidRDefault="00000000">
                              <w:r>
                                <w:rPr>
                                  <w:rFonts w:ascii="Arial" w:eastAsia="Arial" w:hAnsi="Arial" w:cs="Arial"/>
                                  <w:sz w:val="18"/>
                                </w:rPr>
                                <w:t>servizio postale.</w:t>
                              </w:r>
                            </w:p>
                          </w:txbxContent>
                        </wps:txbx>
                        <wps:bodyPr horzOverflow="overflow" vert="horz" lIns="0" tIns="0" rIns="0" bIns="0" rtlCol="0">
                          <a:noAutofit/>
                        </wps:bodyPr>
                      </wps:wsp>
                      <wps:wsp>
                        <wps:cNvPr id="200982" name="Rectangle 200982"/>
                        <wps:cNvSpPr/>
                        <wps:spPr>
                          <a:xfrm rot="-10799999">
                            <a:off x="2611337" y="2913049"/>
                            <a:ext cx="5309036" cy="142889"/>
                          </a:xfrm>
                          <a:prstGeom prst="rect">
                            <a:avLst/>
                          </a:prstGeom>
                          <a:ln>
                            <a:noFill/>
                          </a:ln>
                        </wps:spPr>
                        <wps:txbx>
                          <w:txbxContent>
                            <w:p w14:paraId="4FA4666A"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0987" name="Rectangle 200987"/>
                        <wps:cNvSpPr/>
                        <wps:spPr>
                          <a:xfrm rot="-10799999">
                            <a:off x="-1381423" y="2913049"/>
                            <a:ext cx="5309036" cy="142889"/>
                          </a:xfrm>
                          <a:prstGeom prst="rect">
                            <a:avLst/>
                          </a:prstGeom>
                          <a:ln>
                            <a:noFill/>
                          </a:ln>
                        </wps:spPr>
                        <wps:txbx>
                          <w:txbxContent>
                            <w:p w14:paraId="391C9248" w14:textId="77777777" w:rsidR="00B32EF2" w:rsidRDefault="00000000">
                              <w:r>
                                <w:rPr>
                                  <w:rFonts w:ascii="Arial" w:eastAsia="Arial" w:hAnsi="Arial" w:cs="Arial"/>
                                  <w:sz w:val="18"/>
                                </w:rPr>
                                <w:t xml:space="preserve">. La costituzione della parte resistente è fatta mediante deposito telematico </w:t>
                              </w:r>
                            </w:p>
                          </w:txbxContent>
                        </wps:txbx>
                        <wps:bodyPr horzOverflow="overflow" vert="horz" lIns="0" tIns="0" rIns="0" bIns="0" rtlCol="0">
                          <a:noAutofit/>
                        </wps:bodyPr>
                      </wps:wsp>
                      <wps:wsp>
                        <wps:cNvPr id="18416" name="Rectangle 18416"/>
                        <wps:cNvSpPr/>
                        <wps:spPr>
                          <a:xfrm rot="-10799999">
                            <a:off x="-1220152" y="2789720"/>
                            <a:ext cx="5212321" cy="142889"/>
                          </a:xfrm>
                          <a:prstGeom prst="rect">
                            <a:avLst/>
                          </a:prstGeom>
                          <a:ln>
                            <a:noFill/>
                          </a:ln>
                        </wps:spPr>
                        <wps:txbx>
                          <w:txbxContent>
                            <w:p w14:paraId="51706A1A" w14:textId="77777777" w:rsidR="00B32EF2" w:rsidRDefault="00000000">
                              <w:r>
                                <w:rPr>
                                  <w:rFonts w:ascii="Arial" w:eastAsia="Arial" w:hAnsi="Arial" w:cs="Arial"/>
                                  <w:sz w:val="18"/>
                                </w:rPr>
                                <w:t>presso la segreteria della corte di giustizia tributaria adita del proprio fasci</w:t>
                              </w:r>
                            </w:p>
                          </w:txbxContent>
                        </wps:txbx>
                        <wps:bodyPr horzOverflow="overflow" vert="horz" lIns="0" tIns="0" rIns="0" bIns="0" rtlCol="0">
                          <a:noAutofit/>
                        </wps:bodyPr>
                      </wps:wsp>
                      <wps:wsp>
                        <wps:cNvPr id="18417" name="Rectangle 18417"/>
                        <wps:cNvSpPr/>
                        <wps:spPr>
                          <a:xfrm rot="-10799999">
                            <a:off x="19569" y="2789719"/>
                            <a:ext cx="50622" cy="142889"/>
                          </a:xfrm>
                          <a:prstGeom prst="rect">
                            <a:avLst/>
                          </a:prstGeom>
                          <a:ln>
                            <a:noFill/>
                          </a:ln>
                        </wps:spPr>
                        <wps:txbx>
                          <w:txbxContent>
                            <w:p w14:paraId="73BB8BC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418" name="Rectangle 18418"/>
                        <wps:cNvSpPr/>
                        <wps:spPr>
                          <a:xfrm rot="-10799999">
                            <a:off x="-1316897" y="2666389"/>
                            <a:ext cx="5309066" cy="142889"/>
                          </a:xfrm>
                          <a:prstGeom prst="rect">
                            <a:avLst/>
                          </a:prstGeom>
                          <a:ln>
                            <a:noFill/>
                          </a:ln>
                        </wps:spPr>
                        <wps:txbx>
                          <w:txbxContent>
                            <w:p w14:paraId="6E408883" w14:textId="77777777" w:rsidR="00B32EF2" w:rsidRDefault="00000000">
                              <w:r>
                                <w:rPr>
                                  <w:rFonts w:ascii="Arial" w:eastAsia="Arial" w:hAnsi="Arial" w:cs="Arial"/>
                                  <w:sz w:val="18"/>
                                </w:rPr>
                                <w:t xml:space="preserve">colo contenente le controdeduzioni e i documenti offerti in comunicazione. </w:t>
                              </w:r>
                            </w:p>
                          </w:txbxContent>
                        </wps:txbx>
                        <wps:bodyPr horzOverflow="overflow" vert="horz" lIns="0" tIns="0" rIns="0" bIns="0" rtlCol="0">
                          <a:noAutofit/>
                        </wps:bodyPr>
                      </wps:wsp>
                      <wps:wsp>
                        <wps:cNvPr id="18419" name="Rectangle 18419"/>
                        <wps:cNvSpPr/>
                        <wps:spPr>
                          <a:xfrm rot="-10799999">
                            <a:off x="-1316791" y="2543060"/>
                            <a:ext cx="5308960" cy="142889"/>
                          </a:xfrm>
                          <a:prstGeom prst="rect">
                            <a:avLst/>
                          </a:prstGeom>
                          <a:ln>
                            <a:noFill/>
                          </a:ln>
                        </wps:spPr>
                        <wps:txbx>
                          <w:txbxContent>
                            <w:p w14:paraId="7B437F63" w14:textId="77777777" w:rsidR="00B32EF2" w:rsidRDefault="00000000">
                              <w:r>
                                <w:rPr>
                                  <w:rFonts w:ascii="Arial" w:eastAsia="Arial" w:hAnsi="Arial" w:cs="Arial"/>
                                  <w:sz w:val="18"/>
                                </w:rPr>
                                <w:t xml:space="preserve">Le controdeduzioni e i documenti di cui al periodo precedente, nei casi di cui </w:t>
                              </w:r>
                            </w:p>
                          </w:txbxContent>
                        </wps:txbx>
                        <wps:bodyPr horzOverflow="overflow" vert="horz" lIns="0" tIns="0" rIns="0" bIns="0" rtlCol="0">
                          <a:noAutofit/>
                        </wps:bodyPr>
                      </wps:wsp>
                      <wps:wsp>
                        <wps:cNvPr id="18420" name="Rectangle 18420"/>
                        <wps:cNvSpPr/>
                        <wps:spPr>
                          <a:xfrm rot="-10799999">
                            <a:off x="-1316867" y="2419730"/>
                            <a:ext cx="5309036" cy="142889"/>
                          </a:xfrm>
                          <a:prstGeom prst="rect">
                            <a:avLst/>
                          </a:prstGeom>
                          <a:ln>
                            <a:noFill/>
                          </a:ln>
                        </wps:spPr>
                        <wps:txbx>
                          <w:txbxContent>
                            <w:p w14:paraId="715CF378" w14:textId="77777777" w:rsidR="00B32EF2" w:rsidRDefault="00000000">
                              <w:r>
                                <w:rPr>
                                  <w:rFonts w:ascii="Arial" w:eastAsia="Arial" w:hAnsi="Arial" w:cs="Arial"/>
                                  <w:sz w:val="18"/>
                                </w:rPr>
                                <w:t xml:space="preserve">all’articolo 129 comma 3, sono depositati in tante copie quante sono le parti </w:t>
                              </w:r>
                            </w:p>
                          </w:txbxContent>
                        </wps:txbx>
                        <wps:bodyPr horzOverflow="overflow" vert="horz" lIns="0" tIns="0" rIns="0" bIns="0" rtlCol="0">
                          <a:noAutofit/>
                        </wps:bodyPr>
                      </wps:wsp>
                      <wps:wsp>
                        <wps:cNvPr id="18421" name="Rectangle 18421"/>
                        <wps:cNvSpPr/>
                        <wps:spPr>
                          <a:xfrm rot="-10799999">
                            <a:off x="3226219" y="2296401"/>
                            <a:ext cx="765948" cy="142889"/>
                          </a:xfrm>
                          <a:prstGeom prst="rect">
                            <a:avLst/>
                          </a:prstGeom>
                          <a:ln>
                            <a:noFill/>
                          </a:ln>
                        </wps:spPr>
                        <wps:txbx>
                          <w:txbxContent>
                            <w:p w14:paraId="7BEE0AFD" w14:textId="77777777" w:rsidR="00B32EF2" w:rsidRDefault="00000000">
                              <w:r>
                                <w:rPr>
                                  <w:rFonts w:ascii="Arial" w:eastAsia="Arial" w:hAnsi="Arial" w:cs="Arial"/>
                                  <w:sz w:val="18"/>
                                </w:rPr>
                                <w:t xml:space="preserve">in giudizio. </w:t>
                              </w:r>
                            </w:p>
                          </w:txbxContent>
                        </wps:txbx>
                        <wps:bodyPr horzOverflow="overflow" vert="horz" lIns="0" tIns="0" rIns="0" bIns="0" rtlCol="0">
                          <a:noAutofit/>
                        </wps:bodyPr>
                      </wps:wsp>
                      <wps:wsp>
                        <wps:cNvPr id="200979" name="Rectangle 200979"/>
                        <wps:cNvSpPr/>
                        <wps:spPr>
                          <a:xfrm rot="-10799999">
                            <a:off x="-1381343" y="2173071"/>
                            <a:ext cx="5308990" cy="142889"/>
                          </a:xfrm>
                          <a:prstGeom prst="rect">
                            <a:avLst/>
                          </a:prstGeom>
                          <a:ln>
                            <a:noFill/>
                          </a:ln>
                        </wps:spPr>
                        <wps:txbx>
                          <w:txbxContent>
                            <w:p w14:paraId="0DBC190A" w14:textId="77777777" w:rsidR="00B32EF2" w:rsidRDefault="00000000">
                              <w:r>
                                <w:rPr>
                                  <w:rFonts w:ascii="Arial" w:eastAsia="Arial" w:hAnsi="Arial" w:cs="Arial"/>
                                  <w:sz w:val="18"/>
                                </w:rPr>
                                <w:t xml:space="preserve">. Nelle controdeduzioni la parte resistente espone le sue difese prendendo </w:t>
                              </w:r>
                            </w:p>
                          </w:txbxContent>
                        </wps:txbx>
                        <wps:bodyPr horzOverflow="overflow" vert="horz" lIns="0" tIns="0" rIns="0" bIns="0" rtlCol="0">
                          <a:noAutofit/>
                        </wps:bodyPr>
                      </wps:wsp>
                      <wps:wsp>
                        <wps:cNvPr id="200977" name="Rectangle 200977"/>
                        <wps:cNvSpPr/>
                        <wps:spPr>
                          <a:xfrm rot="-10799999">
                            <a:off x="2611349" y="2173071"/>
                            <a:ext cx="5308989" cy="142889"/>
                          </a:xfrm>
                          <a:prstGeom prst="rect">
                            <a:avLst/>
                          </a:prstGeom>
                          <a:ln>
                            <a:noFill/>
                          </a:ln>
                        </wps:spPr>
                        <wps:txbx>
                          <w:txbxContent>
                            <w:p w14:paraId="5A9998B4"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8423" name="Rectangle 18423"/>
                        <wps:cNvSpPr/>
                        <wps:spPr>
                          <a:xfrm rot="-10799999">
                            <a:off x="-1220548" y="2049741"/>
                            <a:ext cx="5212717" cy="142889"/>
                          </a:xfrm>
                          <a:prstGeom prst="rect">
                            <a:avLst/>
                          </a:prstGeom>
                          <a:ln>
                            <a:noFill/>
                          </a:ln>
                        </wps:spPr>
                        <wps:txbx>
                          <w:txbxContent>
                            <w:p w14:paraId="5233E228" w14:textId="77777777" w:rsidR="00B32EF2" w:rsidRDefault="00000000">
                              <w:r>
                                <w:rPr>
                                  <w:rFonts w:ascii="Arial" w:eastAsia="Arial" w:hAnsi="Arial" w:cs="Arial"/>
                                  <w:sz w:val="18"/>
                                </w:rPr>
                                <w:t>posizione sui motivi dedotti dal ricorrente e indica le prove di cui intende va</w:t>
                              </w:r>
                            </w:p>
                          </w:txbxContent>
                        </wps:txbx>
                        <wps:bodyPr horzOverflow="overflow" vert="horz" lIns="0" tIns="0" rIns="0" bIns="0" rtlCol="0">
                          <a:noAutofit/>
                        </wps:bodyPr>
                      </wps:wsp>
                      <wps:wsp>
                        <wps:cNvPr id="18424" name="Rectangle 18424"/>
                        <wps:cNvSpPr/>
                        <wps:spPr>
                          <a:xfrm rot="-10799999">
                            <a:off x="19569" y="2049741"/>
                            <a:ext cx="50622" cy="142889"/>
                          </a:xfrm>
                          <a:prstGeom prst="rect">
                            <a:avLst/>
                          </a:prstGeom>
                          <a:ln>
                            <a:noFill/>
                          </a:ln>
                        </wps:spPr>
                        <wps:txbx>
                          <w:txbxContent>
                            <w:p w14:paraId="33DEF51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425" name="Rectangle 18425"/>
                        <wps:cNvSpPr/>
                        <wps:spPr>
                          <a:xfrm rot="-10799999">
                            <a:off x="-1316897" y="1926411"/>
                            <a:ext cx="5309066" cy="142889"/>
                          </a:xfrm>
                          <a:prstGeom prst="rect">
                            <a:avLst/>
                          </a:prstGeom>
                          <a:ln>
                            <a:noFill/>
                          </a:ln>
                        </wps:spPr>
                        <wps:txbx>
                          <w:txbxContent>
                            <w:p w14:paraId="6C53B452" w14:textId="77777777" w:rsidR="00B32EF2" w:rsidRDefault="00000000">
                              <w:r>
                                <w:rPr>
                                  <w:rFonts w:ascii="Arial" w:eastAsia="Arial" w:hAnsi="Arial" w:cs="Arial"/>
                                  <w:sz w:val="18"/>
                                </w:rPr>
                                <w:t xml:space="preserve">lersi, proponendo altresì le eccezioni processuali e di merito che non siano </w:t>
                              </w:r>
                            </w:p>
                          </w:txbxContent>
                        </wps:txbx>
                        <wps:bodyPr horzOverflow="overflow" vert="horz" lIns="0" tIns="0" rIns="0" bIns="0" rtlCol="0">
                          <a:noAutofit/>
                        </wps:bodyPr>
                      </wps:wsp>
                      <wps:wsp>
                        <wps:cNvPr id="18426" name="Rectangle 18426"/>
                        <wps:cNvSpPr/>
                        <wps:spPr>
                          <a:xfrm rot="-10799999">
                            <a:off x="-1032986" y="1803081"/>
                            <a:ext cx="5025155" cy="142889"/>
                          </a:xfrm>
                          <a:prstGeom prst="rect">
                            <a:avLst/>
                          </a:prstGeom>
                          <a:ln>
                            <a:noFill/>
                          </a:ln>
                        </wps:spPr>
                        <wps:txbx>
                          <w:txbxContent>
                            <w:p w14:paraId="568D60C8" w14:textId="77777777" w:rsidR="00B32EF2" w:rsidRDefault="00000000">
                              <w:r>
                                <w:rPr>
                                  <w:rFonts w:ascii="Arial" w:eastAsia="Arial" w:hAnsi="Arial" w:cs="Arial"/>
                                  <w:sz w:val="18"/>
                                </w:rPr>
                                <w:t>rilevabili d’ufficio e instando, se del caso, per la chiamata di terzi in causa.</w:t>
                              </w:r>
                            </w:p>
                          </w:txbxContent>
                        </wps:txbx>
                        <wps:bodyPr horzOverflow="overflow" vert="horz" lIns="0" tIns="0" rIns="0" bIns="0" rtlCol="0">
                          <a:noAutofit/>
                        </wps:bodyPr>
                      </wps:wsp>
                      <wps:wsp>
                        <wps:cNvPr id="18427" name="Rectangle 18427"/>
                        <wps:cNvSpPr/>
                        <wps:spPr>
                          <a:xfrm rot="-10799999">
                            <a:off x="1509548" y="939660"/>
                            <a:ext cx="805382" cy="142889"/>
                          </a:xfrm>
                          <a:prstGeom prst="rect">
                            <a:avLst/>
                          </a:prstGeom>
                          <a:ln>
                            <a:noFill/>
                          </a:ln>
                        </wps:spPr>
                        <wps:txbx>
                          <w:txbxContent>
                            <w:p w14:paraId="4CD1003E" w14:textId="77777777" w:rsidR="00B32EF2" w:rsidRDefault="00000000">
                              <w:r>
                                <w:rPr>
                                  <w:rFonts w:ascii="Arial" w:eastAsia="Arial" w:hAnsi="Arial" w:cs="Arial"/>
                                  <w:b/>
                                  <w:sz w:val="18"/>
                                </w:rPr>
                                <w:t>Articolo 70</w:t>
                              </w:r>
                            </w:p>
                          </w:txbxContent>
                        </wps:txbx>
                        <wps:bodyPr horzOverflow="overflow" vert="horz" lIns="0" tIns="0" rIns="0" bIns="0" rtlCol="0">
                          <a:noAutofit/>
                        </wps:bodyPr>
                      </wps:wsp>
                      <wps:wsp>
                        <wps:cNvPr id="200974" name="Rectangle 200974"/>
                        <wps:cNvSpPr/>
                        <wps:spPr>
                          <a:xfrm rot="-10799999">
                            <a:off x="1165457" y="816330"/>
                            <a:ext cx="1938668" cy="142889"/>
                          </a:xfrm>
                          <a:prstGeom prst="rect">
                            <a:avLst/>
                          </a:prstGeom>
                          <a:ln>
                            <a:noFill/>
                          </a:ln>
                        </wps:spPr>
                        <wps:txbx>
                          <w:txbxContent>
                            <w:p w14:paraId="5B2917D7" w14:textId="77777777" w:rsidR="00B32EF2" w:rsidRDefault="00000000">
                              <w:r>
                                <w:rPr>
                                  <w:rFonts w:ascii="Arial" w:eastAsia="Arial" w:hAnsi="Arial" w:cs="Arial"/>
                                  <w:i/>
                                  <w:sz w:val="18"/>
                                </w:rPr>
                                <w:t xml:space="preserve">articolo 24 D.lgs. n. </w:t>
                              </w:r>
                            </w:p>
                          </w:txbxContent>
                        </wps:txbx>
                        <wps:bodyPr horzOverflow="overflow" vert="horz" lIns="0" tIns="0" rIns="0" bIns="0" rtlCol="0">
                          <a:noAutofit/>
                        </wps:bodyPr>
                      </wps:wsp>
                      <wps:wsp>
                        <wps:cNvPr id="200973" name="Rectangle 200973"/>
                        <wps:cNvSpPr/>
                        <wps:spPr>
                          <a:xfrm rot="-10799999">
                            <a:off x="-257028" y="816330"/>
                            <a:ext cx="1938668" cy="142889"/>
                          </a:xfrm>
                          <a:prstGeom prst="rect">
                            <a:avLst/>
                          </a:prstGeom>
                          <a:ln>
                            <a:noFill/>
                          </a:ln>
                        </wps:spPr>
                        <wps:txbx>
                          <w:txbxContent>
                            <w:p w14:paraId="3F9057DA"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972" name="Rectangle 200972"/>
                        <wps:cNvSpPr/>
                        <wps:spPr>
                          <a:xfrm rot="-10799999">
                            <a:off x="2221840" y="816330"/>
                            <a:ext cx="1938668" cy="142889"/>
                          </a:xfrm>
                          <a:prstGeom prst="rect">
                            <a:avLst/>
                          </a:prstGeom>
                          <a:ln>
                            <a:noFill/>
                          </a:ln>
                        </wps:spPr>
                        <wps:txbx>
                          <w:txbxContent>
                            <w:p w14:paraId="1BA8C4A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429" name="Rectangle 18429"/>
                        <wps:cNvSpPr/>
                        <wps:spPr>
                          <a:xfrm rot="-10799999">
                            <a:off x="20132" y="693000"/>
                            <a:ext cx="3166450" cy="142889"/>
                          </a:xfrm>
                          <a:prstGeom prst="rect">
                            <a:avLst/>
                          </a:prstGeom>
                          <a:ln>
                            <a:noFill/>
                          </a:ln>
                        </wps:spPr>
                        <wps:txbx>
                          <w:txbxContent>
                            <w:p w14:paraId="47F08B6D" w14:textId="77777777" w:rsidR="00B32EF2" w:rsidRDefault="00000000">
                              <w:r>
                                <w:rPr>
                                  <w:rFonts w:ascii="Arial" w:eastAsia="Arial" w:hAnsi="Arial" w:cs="Arial"/>
                                  <w:b/>
                                  <w:sz w:val="18"/>
                                </w:rPr>
                                <w:t xml:space="preserve">Produzione di documenti e motivi aggiunti </w:t>
                              </w:r>
                            </w:p>
                          </w:txbxContent>
                        </wps:txbx>
                        <wps:bodyPr horzOverflow="overflow" vert="horz" lIns="0" tIns="0" rIns="0" bIns="0" rtlCol="0">
                          <a:noAutofit/>
                        </wps:bodyPr>
                      </wps:wsp>
                      <wps:wsp>
                        <wps:cNvPr id="200969" name="Rectangle 200969"/>
                        <wps:cNvSpPr/>
                        <wps:spPr>
                          <a:xfrm rot="-10799999">
                            <a:off x="-1282522" y="569670"/>
                            <a:ext cx="5215392" cy="142889"/>
                          </a:xfrm>
                          <a:prstGeom prst="rect">
                            <a:avLst/>
                          </a:prstGeom>
                          <a:ln>
                            <a:noFill/>
                          </a:ln>
                        </wps:spPr>
                        <wps:txbx>
                          <w:txbxContent>
                            <w:p w14:paraId="109B36F5" w14:textId="77777777" w:rsidR="00B32EF2" w:rsidRDefault="00000000">
                              <w:r>
                                <w:rPr>
                                  <w:rFonts w:ascii="Arial" w:eastAsia="Arial" w:hAnsi="Arial" w:cs="Arial"/>
                                  <w:sz w:val="18"/>
                                </w:rPr>
                                <w:t>. I documenti devono essere elencati negli atti di parte cui sono allegati ov</w:t>
                              </w:r>
                            </w:p>
                          </w:txbxContent>
                        </wps:txbx>
                        <wps:bodyPr horzOverflow="overflow" vert="horz" lIns="0" tIns="0" rIns="0" bIns="0" rtlCol="0">
                          <a:noAutofit/>
                        </wps:bodyPr>
                      </wps:wsp>
                      <wps:wsp>
                        <wps:cNvPr id="200967" name="Rectangle 200967"/>
                        <wps:cNvSpPr/>
                        <wps:spPr>
                          <a:xfrm rot="-10799999">
                            <a:off x="2634458" y="569671"/>
                            <a:ext cx="5215392" cy="142889"/>
                          </a:xfrm>
                          <a:prstGeom prst="rect">
                            <a:avLst/>
                          </a:prstGeom>
                          <a:ln>
                            <a:noFill/>
                          </a:ln>
                        </wps:spPr>
                        <wps:txbx>
                          <w:txbxContent>
                            <w:p w14:paraId="3F3C0951"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8431" name="Rectangle 18431"/>
                        <wps:cNvSpPr/>
                        <wps:spPr>
                          <a:xfrm rot="-10799999">
                            <a:off x="19455" y="569671"/>
                            <a:ext cx="50622" cy="142889"/>
                          </a:xfrm>
                          <a:prstGeom prst="rect">
                            <a:avLst/>
                          </a:prstGeom>
                          <a:ln>
                            <a:noFill/>
                          </a:ln>
                        </wps:spPr>
                        <wps:txbx>
                          <w:txbxContent>
                            <w:p w14:paraId="59B1AEA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432" name="Rectangle 18432"/>
                        <wps:cNvSpPr/>
                        <wps:spPr>
                          <a:xfrm rot="-10799999">
                            <a:off x="-1316875" y="446341"/>
                            <a:ext cx="5308929" cy="142889"/>
                          </a:xfrm>
                          <a:prstGeom prst="rect">
                            <a:avLst/>
                          </a:prstGeom>
                          <a:ln>
                            <a:noFill/>
                          </a:ln>
                        </wps:spPr>
                        <wps:txbx>
                          <w:txbxContent>
                            <w:p w14:paraId="17CEDC6D" w14:textId="77777777" w:rsidR="00B32EF2" w:rsidRDefault="00000000">
                              <w:r>
                                <w:rPr>
                                  <w:rFonts w:ascii="Arial" w:eastAsia="Arial" w:hAnsi="Arial" w:cs="Arial"/>
                                  <w:sz w:val="18"/>
                                </w:rPr>
                                <w:t xml:space="preserve">vero, se prodotti separatamente, in apposita nota sottoscritta da depositare in </w:t>
                              </w:r>
                            </w:p>
                          </w:txbxContent>
                        </wps:txbx>
                        <wps:bodyPr horzOverflow="overflow" vert="horz" lIns="0" tIns="0" rIns="0" bIns="0" rtlCol="0">
                          <a:noAutofit/>
                        </wps:bodyPr>
                      </wps:wsp>
                      <wps:wsp>
                        <wps:cNvPr id="207936" name="Shape 207936"/>
                        <wps:cNvSpPr/>
                        <wps:spPr>
                          <a:xfrm>
                            <a:off x="32202" y="4152397"/>
                            <a:ext cx="3960000" cy="2104098"/>
                          </a:xfrm>
                          <a:custGeom>
                            <a:avLst/>
                            <a:gdLst/>
                            <a:ahLst/>
                            <a:cxnLst/>
                            <a:rect l="0" t="0" r="0" b="0"/>
                            <a:pathLst>
                              <a:path w="3960000" h="2104098">
                                <a:moveTo>
                                  <a:pt x="0" y="0"/>
                                </a:moveTo>
                                <a:lnTo>
                                  <a:pt x="3960000" y="0"/>
                                </a:lnTo>
                                <a:lnTo>
                                  <a:pt x="3960000" y="2104098"/>
                                </a:lnTo>
                                <a:lnTo>
                                  <a:pt x="0" y="2104098"/>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8434" name="Rectangle 18434"/>
                        <wps:cNvSpPr/>
                        <wps:spPr>
                          <a:xfrm rot="-10799999">
                            <a:off x="-1186765" y="6035263"/>
                            <a:ext cx="5100618" cy="142891"/>
                          </a:xfrm>
                          <a:prstGeom prst="rect">
                            <a:avLst/>
                          </a:prstGeom>
                          <a:ln>
                            <a:noFill/>
                          </a:ln>
                        </wps:spPr>
                        <wps:txbx>
                          <w:txbxContent>
                            <w:p w14:paraId="5138F20A" w14:textId="77777777" w:rsidR="00B32EF2" w:rsidRDefault="00000000">
                              <w:r>
                                <w:rPr>
                                  <w:rFonts w:ascii="Arial" w:eastAsia="Arial" w:hAnsi="Arial" w:cs="Arial"/>
                                  <w:i/>
                                  <w:sz w:val="18"/>
                                </w:rPr>
                                <w:t xml:space="preserve">l’ufficiale giudiziario consegna o deposita la copia dell’atto da notificare in </w:t>
                              </w:r>
                            </w:p>
                          </w:txbxContent>
                        </wps:txbx>
                        <wps:bodyPr horzOverflow="overflow" vert="horz" lIns="0" tIns="0" rIns="0" bIns="0" rtlCol="0">
                          <a:noAutofit/>
                        </wps:bodyPr>
                      </wps:wsp>
                      <wps:wsp>
                        <wps:cNvPr id="18435" name="Rectangle 18435"/>
                        <wps:cNvSpPr/>
                        <wps:spPr>
                          <a:xfrm rot="-10799999">
                            <a:off x="-1186264" y="5911934"/>
                            <a:ext cx="5096802" cy="142889"/>
                          </a:xfrm>
                          <a:prstGeom prst="rect">
                            <a:avLst/>
                          </a:prstGeom>
                          <a:ln>
                            <a:noFill/>
                          </a:ln>
                        </wps:spPr>
                        <wps:txbx>
                          <w:txbxContent>
                            <w:p w14:paraId="70FC32D5" w14:textId="77777777" w:rsidR="00B32EF2" w:rsidRDefault="00000000">
                              <w:r>
                                <w:rPr>
                                  <w:rFonts w:ascii="Arial" w:eastAsia="Arial" w:hAnsi="Arial" w:cs="Arial"/>
                                  <w:i/>
                                  <w:sz w:val="18"/>
                                </w:rPr>
                                <w:t xml:space="preserve">busta che provvede a sigillare e su cui trascrive il numero cronologico della </w:t>
                              </w:r>
                            </w:p>
                          </w:txbxContent>
                        </wps:txbx>
                        <wps:bodyPr horzOverflow="overflow" vert="horz" lIns="0" tIns="0" rIns="0" bIns="0" rtlCol="0">
                          <a:noAutofit/>
                        </wps:bodyPr>
                      </wps:wsp>
                      <wps:wsp>
                        <wps:cNvPr id="18436" name="Rectangle 18436"/>
                        <wps:cNvSpPr/>
                        <wps:spPr>
                          <a:xfrm rot="-10799999">
                            <a:off x="-1186749" y="5788605"/>
                            <a:ext cx="5100602" cy="142889"/>
                          </a:xfrm>
                          <a:prstGeom prst="rect">
                            <a:avLst/>
                          </a:prstGeom>
                          <a:ln>
                            <a:noFill/>
                          </a:ln>
                        </wps:spPr>
                        <wps:txbx>
                          <w:txbxContent>
                            <w:p w14:paraId="55CBBA59" w14:textId="77777777" w:rsidR="00B32EF2" w:rsidRDefault="00000000">
                              <w:r>
                                <w:rPr>
                                  <w:rFonts w:ascii="Arial" w:eastAsia="Arial" w:hAnsi="Arial" w:cs="Arial"/>
                                  <w:i/>
                                  <w:sz w:val="18"/>
                                </w:rPr>
                                <w:t xml:space="preserve">notificazione, dandone atto nella relazione in calce all’originale e alla copia </w:t>
                              </w:r>
                            </w:p>
                          </w:txbxContent>
                        </wps:txbx>
                        <wps:bodyPr horzOverflow="overflow" vert="horz" lIns="0" tIns="0" rIns="0" bIns="0" rtlCol="0">
                          <a:noAutofit/>
                        </wps:bodyPr>
                      </wps:wsp>
                      <wps:wsp>
                        <wps:cNvPr id="18437" name="Rectangle 18437"/>
                        <wps:cNvSpPr/>
                        <wps:spPr>
                          <a:xfrm rot="-10799999">
                            <a:off x="-1188813" y="5665275"/>
                            <a:ext cx="5107352" cy="142889"/>
                          </a:xfrm>
                          <a:prstGeom prst="rect">
                            <a:avLst/>
                          </a:prstGeom>
                          <a:ln>
                            <a:noFill/>
                          </a:ln>
                        </wps:spPr>
                        <wps:txbx>
                          <w:txbxContent>
                            <w:p w14:paraId="618DC8B3" w14:textId="77777777" w:rsidR="00B32EF2" w:rsidRDefault="00000000">
                              <w:r>
                                <w:rPr>
                                  <w:rFonts w:ascii="Arial" w:eastAsia="Arial" w:hAnsi="Arial" w:cs="Arial"/>
                                  <w:i/>
                                  <w:sz w:val="18"/>
                                </w:rPr>
                                <w:t xml:space="preserve">dell’atto stesso. Sulla busta non sono apposti segni o indicazioni dai quali </w:t>
                              </w:r>
                            </w:p>
                          </w:txbxContent>
                        </wps:txbx>
                        <wps:bodyPr horzOverflow="overflow" vert="horz" lIns="0" tIns="0" rIns="0" bIns="0" rtlCol="0">
                          <a:noAutofit/>
                        </wps:bodyPr>
                      </wps:wsp>
                      <wps:wsp>
                        <wps:cNvPr id="18438" name="Rectangle 18438"/>
                        <wps:cNvSpPr/>
                        <wps:spPr>
                          <a:xfrm rot="-10799999">
                            <a:off x="1263644" y="5541945"/>
                            <a:ext cx="2650209" cy="142889"/>
                          </a:xfrm>
                          <a:prstGeom prst="rect">
                            <a:avLst/>
                          </a:prstGeom>
                          <a:ln>
                            <a:noFill/>
                          </a:ln>
                        </wps:spPr>
                        <wps:txbx>
                          <w:txbxContent>
                            <w:p w14:paraId="5A1F2E8D" w14:textId="77777777" w:rsidR="00B32EF2" w:rsidRDefault="00000000">
                              <w:r>
                                <w:rPr>
                                  <w:rFonts w:ascii="Arial" w:eastAsia="Arial" w:hAnsi="Arial" w:cs="Arial"/>
                                  <w:i/>
                                  <w:sz w:val="18"/>
                                </w:rPr>
                                <w:t>possa desumersi il contenuto dell’atto .</w:t>
                              </w:r>
                            </w:p>
                          </w:txbxContent>
                        </wps:txbx>
                        <wps:bodyPr horzOverflow="overflow" vert="horz" lIns="0" tIns="0" rIns="0" bIns="0" rtlCol="0">
                          <a:noAutofit/>
                        </wps:bodyPr>
                      </wps:wsp>
                      <wps:wsp>
                        <wps:cNvPr id="200999" name="Rectangle 200999"/>
                        <wps:cNvSpPr/>
                        <wps:spPr>
                          <a:xfrm rot="-10799999">
                            <a:off x="2608785" y="5418616"/>
                            <a:ext cx="5003691" cy="142889"/>
                          </a:xfrm>
                          <a:prstGeom prst="rect">
                            <a:avLst/>
                          </a:prstGeom>
                          <a:ln>
                            <a:noFill/>
                          </a:ln>
                        </wps:spPr>
                        <wps:txbx>
                          <w:txbxContent>
                            <w:p w14:paraId="1C53D664"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201000" name="Rectangle 201000"/>
                        <wps:cNvSpPr/>
                        <wps:spPr>
                          <a:xfrm rot="-10799999">
                            <a:off x="-1156624" y="5418616"/>
                            <a:ext cx="5003691" cy="142889"/>
                          </a:xfrm>
                          <a:prstGeom prst="rect">
                            <a:avLst/>
                          </a:prstGeom>
                          <a:ln>
                            <a:noFill/>
                          </a:ln>
                        </wps:spPr>
                        <wps:txbx>
                          <w:txbxContent>
                            <w:p w14:paraId="5EA336E2" w14:textId="77777777" w:rsidR="00B32EF2" w:rsidRDefault="00000000">
                              <w:r>
                                <w:rPr>
                                  <w:rFonts w:ascii="Arial" w:eastAsia="Arial" w:hAnsi="Arial" w:cs="Arial"/>
                                  <w:i/>
                                  <w:sz w:val="18"/>
                                </w:rPr>
                                <w:t>.Le disposizioni di cui al quarto comma si applicano anche alle comunica</w:t>
                              </w:r>
                            </w:p>
                          </w:txbxContent>
                        </wps:txbx>
                        <wps:bodyPr horzOverflow="overflow" vert="horz" lIns="0" tIns="0" rIns="0" bIns="0" rtlCol="0">
                          <a:noAutofit/>
                        </wps:bodyPr>
                      </wps:wsp>
                      <wps:wsp>
                        <wps:cNvPr id="18440" name="Rectangle 18440"/>
                        <wps:cNvSpPr/>
                        <wps:spPr>
                          <a:xfrm rot="-10799999">
                            <a:off x="97959" y="5418616"/>
                            <a:ext cx="50622" cy="142889"/>
                          </a:xfrm>
                          <a:prstGeom prst="rect">
                            <a:avLst/>
                          </a:prstGeom>
                          <a:ln>
                            <a:noFill/>
                          </a:ln>
                        </wps:spPr>
                        <wps:txbx>
                          <w:txbxContent>
                            <w:p w14:paraId="04536DD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441" name="Rectangle 18441"/>
                        <wps:cNvSpPr/>
                        <wps:spPr>
                          <a:xfrm rot="-10799999">
                            <a:off x="-1129408" y="5295286"/>
                            <a:ext cx="5043261" cy="142889"/>
                          </a:xfrm>
                          <a:prstGeom prst="rect">
                            <a:avLst/>
                          </a:prstGeom>
                          <a:ln>
                            <a:noFill/>
                          </a:ln>
                        </wps:spPr>
                        <wps:txbx>
                          <w:txbxContent>
                            <w:p w14:paraId="60B2873E" w14:textId="77777777" w:rsidR="00B32EF2" w:rsidRDefault="00000000">
                              <w:r>
                                <w:rPr>
                                  <w:rFonts w:ascii="Arial" w:eastAsia="Arial" w:hAnsi="Arial" w:cs="Arial"/>
                                  <w:i/>
                                  <w:sz w:val="18"/>
                                </w:rPr>
                                <w:t>zioni effettuate con biglietto di cancelleria ai sensi degli articoli 133 e 136 .</w:t>
                              </w:r>
                            </w:p>
                          </w:txbxContent>
                        </wps:txbx>
                        <wps:bodyPr horzOverflow="overflow" vert="horz" lIns="0" tIns="0" rIns="0" bIns="0" rtlCol="0">
                          <a:noAutofit/>
                        </wps:bodyPr>
                      </wps:wsp>
                      <wps:wsp>
                        <wps:cNvPr id="200998" name="Rectangle 200998"/>
                        <wps:cNvSpPr/>
                        <wps:spPr>
                          <a:xfrm rot="-10799999">
                            <a:off x="-1253303" y="5171956"/>
                            <a:ext cx="5100634" cy="142889"/>
                          </a:xfrm>
                          <a:prstGeom prst="rect">
                            <a:avLst/>
                          </a:prstGeom>
                          <a:ln>
                            <a:noFill/>
                          </a:ln>
                        </wps:spPr>
                        <wps:txbx>
                          <w:txbxContent>
                            <w:p w14:paraId="2F91063C" w14:textId="77777777" w:rsidR="00B32EF2" w:rsidRDefault="00000000">
                              <w:r>
                                <w:rPr>
                                  <w:rFonts w:ascii="Arial" w:eastAsia="Arial" w:hAnsi="Arial" w:cs="Arial"/>
                                  <w:i/>
                                  <w:sz w:val="18"/>
                                </w:rPr>
                                <w:t xml:space="preserve">.L’avvocato esegue le notificazioni nei casi e con le modalità previste dalla </w:t>
                              </w:r>
                            </w:p>
                          </w:txbxContent>
                        </wps:txbx>
                        <wps:bodyPr horzOverflow="overflow" vert="horz" lIns="0" tIns="0" rIns="0" bIns="0" rtlCol="0">
                          <a:noAutofit/>
                        </wps:bodyPr>
                      </wps:wsp>
                      <wps:wsp>
                        <wps:cNvPr id="200997" name="Rectangle 200997"/>
                        <wps:cNvSpPr/>
                        <wps:spPr>
                          <a:xfrm rot="-10799999">
                            <a:off x="2584731" y="5171956"/>
                            <a:ext cx="5100634" cy="142889"/>
                          </a:xfrm>
                          <a:prstGeom prst="rect">
                            <a:avLst/>
                          </a:prstGeom>
                          <a:ln>
                            <a:noFill/>
                          </a:ln>
                        </wps:spPr>
                        <wps:txbx>
                          <w:txbxContent>
                            <w:p w14:paraId="0F8746B9" w14:textId="77777777" w:rsidR="00B32EF2" w:rsidRDefault="00000000">
                              <w:r>
                                <w:rPr>
                                  <w:rFonts w:ascii="Arial" w:eastAsia="Arial" w:hAnsi="Arial" w:cs="Arial"/>
                                  <w:i/>
                                  <w:sz w:val="18"/>
                                </w:rPr>
                                <w:t>6</w:t>
                              </w:r>
                            </w:p>
                          </w:txbxContent>
                        </wps:txbx>
                        <wps:bodyPr horzOverflow="overflow" vert="horz" lIns="0" tIns="0" rIns="0" bIns="0" rtlCol="0">
                          <a:noAutofit/>
                        </wps:bodyPr>
                      </wps:wsp>
                      <wps:wsp>
                        <wps:cNvPr id="18443" name="Rectangle 18443"/>
                        <wps:cNvSpPr/>
                        <wps:spPr>
                          <a:xfrm rot="-10799999">
                            <a:off x="3495057" y="5048627"/>
                            <a:ext cx="419481" cy="142889"/>
                          </a:xfrm>
                          <a:prstGeom prst="rect">
                            <a:avLst/>
                          </a:prstGeom>
                          <a:ln>
                            <a:noFill/>
                          </a:ln>
                        </wps:spPr>
                        <wps:txbx>
                          <w:txbxContent>
                            <w:p w14:paraId="45D5D9D0" w14:textId="77777777" w:rsidR="00B32EF2" w:rsidRDefault="00000000">
                              <w:r>
                                <w:rPr>
                                  <w:rFonts w:ascii="Arial" w:eastAsia="Arial" w:hAnsi="Arial" w:cs="Arial"/>
                                  <w:i/>
                                  <w:sz w:val="18"/>
                                </w:rPr>
                                <w:t>legge.</w:t>
                              </w:r>
                            </w:p>
                          </w:txbxContent>
                        </wps:txbx>
                        <wps:bodyPr horzOverflow="overflow" vert="horz" lIns="0" tIns="0" rIns="0" bIns="0" rtlCol="0">
                          <a:noAutofit/>
                        </wps:bodyPr>
                      </wps:wsp>
                      <wps:wsp>
                        <wps:cNvPr id="200993" name="Rectangle 200993"/>
                        <wps:cNvSpPr/>
                        <wps:spPr>
                          <a:xfrm rot="-10799999">
                            <a:off x="2584445" y="4925297"/>
                            <a:ext cx="5101788" cy="142889"/>
                          </a:xfrm>
                          <a:prstGeom prst="rect">
                            <a:avLst/>
                          </a:prstGeom>
                          <a:ln>
                            <a:noFill/>
                          </a:ln>
                        </wps:spPr>
                        <wps:txbx>
                          <w:txbxContent>
                            <w:p w14:paraId="1D651094" w14:textId="77777777" w:rsidR="00B32EF2" w:rsidRDefault="00000000">
                              <w:r>
                                <w:rPr>
                                  <w:rFonts w:ascii="Arial" w:eastAsia="Arial" w:hAnsi="Arial" w:cs="Arial"/>
                                  <w:i/>
                                  <w:sz w:val="18"/>
                                </w:rPr>
                                <w:t>7</w:t>
                              </w:r>
                            </w:p>
                          </w:txbxContent>
                        </wps:txbx>
                        <wps:bodyPr horzOverflow="overflow" vert="horz" lIns="0" tIns="0" rIns="0" bIns="0" rtlCol="0">
                          <a:noAutofit/>
                        </wps:bodyPr>
                      </wps:wsp>
                      <wps:wsp>
                        <wps:cNvPr id="200994" name="Rectangle 200994"/>
                        <wps:cNvSpPr/>
                        <wps:spPr>
                          <a:xfrm rot="-10799999">
                            <a:off x="-1242079" y="4925297"/>
                            <a:ext cx="5101788" cy="142889"/>
                          </a:xfrm>
                          <a:prstGeom prst="rect">
                            <a:avLst/>
                          </a:prstGeom>
                          <a:ln>
                            <a:noFill/>
                          </a:ln>
                        </wps:spPr>
                        <wps:txbx>
                          <w:txbxContent>
                            <w:p w14:paraId="48148962" w14:textId="77777777" w:rsidR="00B32EF2" w:rsidRDefault="00000000">
                              <w:r>
                                <w:rPr>
                                  <w:rFonts w:ascii="Arial" w:eastAsia="Arial" w:hAnsi="Arial" w:cs="Arial"/>
                                  <w:i/>
                                  <w:sz w:val="18"/>
                                </w:rPr>
                                <w:t xml:space="preserve">.L’ufficiale giudiziario esegue la notificazione su richiesta dell’avvocato se </w:t>
                              </w:r>
                            </w:p>
                          </w:txbxContent>
                        </wps:txbx>
                        <wps:bodyPr horzOverflow="overflow" vert="horz" lIns="0" tIns="0" rIns="0" bIns="0" rtlCol="0">
                          <a:noAutofit/>
                        </wps:bodyPr>
                      </wps:wsp>
                      <wps:wsp>
                        <wps:cNvPr id="18445" name="Rectangle 18445"/>
                        <wps:cNvSpPr/>
                        <wps:spPr>
                          <a:xfrm rot="-10799999">
                            <a:off x="-1186780" y="4801967"/>
                            <a:ext cx="5100634" cy="142889"/>
                          </a:xfrm>
                          <a:prstGeom prst="rect">
                            <a:avLst/>
                          </a:prstGeom>
                          <a:ln>
                            <a:noFill/>
                          </a:ln>
                        </wps:spPr>
                        <wps:txbx>
                          <w:txbxContent>
                            <w:p w14:paraId="003533B2" w14:textId="77777777" w:rsidR="00B32EF2" w:rsidRDefault="00000000">
                              <w:r>
                                <w:rPr>
                                  <w:rFonts w:ascii="Arial" w:eastAsia="Arial" w:hAnsi="Arial" w:cs="Arial"/>
                                  <w:i/>
                                  <w:sz w:val="18"/>
                                </w:rPr>
                                <w:t xml:space="preserve">quest’ultimo non deve eseguirla a mezzo di posta elettronica certificata o </w:t>
                              </w:r>
                            </w:p>
                          </w:txbxContent>
                        </wps:txbx>
                        <wps:bodyPr horzOverflow="overflow" vert="horz" lIns="0" tIns="0" rIns="0" bIns="0" rtlCol="0">
                          <a:noAutofit/>
                        </wps:bodyPr>
                      </wps:wsp>
                      <wps:wsp>
                        <wps:cNvPr id="18446" name="Rectangle 18446"/>
                        <wps:cNvSpPr/>
                        <wps:spPr>
                          <a:xfrm rot="-10799999">
                            <a:off x="-1186765" y="4678638"/>
                            <a:ext cx="5100618" cy="142889"/>
                          </a:xfrm>
                          <a:prstGeom prst="rect">
                            <a:avLst/>
                          </a:prstGeom>
                          <a:ln>
                            <a:noFill/>
                          </a:ln>
                        </wps:spPr>
                        <wps:txbx>
                          <w:txbxContent>
                            <w:p w14:paraId="4E56DE63" w14:textId="77777777" w:rsidR="00B32EF2" w:rsidRDefault="00000000">
                              <w:r>
                                <w:rPr>
                                  <w:rFonts w:ascii="Arial" w:eastAsia="Arial" w:hAnsi="Arial" w:cs="Arial"/>
                                  <w:i/>
                                  <w:sz w:val="18"/>
                                </w:rPr>
                                <w:t xml:space="preserve">servizio elettronico di recapito certificato qualificato, o con altra modalità </w:t>
                              </w:r>
                            </w:p>
                          </w:txbxContent>
                        </wps:txbx>
                        <wps:bodyPr horzOverflow="overflow" vert="horz" lIns="0" tIns="0" rIns="0" bIns="0" rtlCol="0">
                          <a:noAutofit/>
                        </wps:bodyPr>
                      </wps:wsp>
                      <wps:wsp>
                        <wps:cNvPr id="18447" name="Rectangle 18447"/>
                        <wps:cNvSpPr/>
                        <wps:spPr>
                          <a:xfrm rot="-10799999">
                            <a:off x="-1186841" y="4555308"/>
                            <a:ext cx="5100694" cy="142889"/>
                          </a:xfrm>
                          <a:prstGeom prst="rect">
                            <a:avLst/>
                          </a:prstGeom>
                          <a:ln>
                            <a:noFill/>
                          </a:ln>
                        </wps:spPr>
                        <wps:txbx>
                          <w:txbxContent>
                            <w:p w14:paraId="599533CB" w14:textId="77777777" w:rsidR="00B32EF2" w:rsidRDefault="00000000">
                              <w:r>
                                <w:rPr>
                                  <w:rFonts w:ascii="Arial" w:eastAsia="Arial" w:hAnsi="Arial" w:cs="Arial"/>
                                  <w:i/>
                                  <w:sz w:val="18"/>
                                </w:rPr>
                                <w:t xml:space="preserve">prevista dalla legge, salvo che l’avvocato dichiari che la notificazione con le </w:t>
                              </w:r>
                            </w:p>
                          </w:txbxContent>
                        </wps:txbx>
                        <wps:bodyPr horzOverflow="overflow" vert="horz" lIns="0" tIns="0" rIns="0" bIns="0" rtlCol="0">
                          <a:noAutofit/>
                        </wps:bodyPr>
                      </wps:wsp>
                      <wps:wsp>
                        <wps:cNvPr id="18448" name="Rectangle 18448"/>
                        <wps:cNvSpPr/>
                        <wps:spPr>
                          <a:xfrm rot="-10799999">
                            <a:off x="-1188969" y="4431978"/>
                            <a:ext cx="5108994" cy="142889"/>
                          </a:xfrm>
                          <a:prstGeom prst="rect">
                            <a:avLst/>
                          </a:prstGeom>
                          <a:ln>
                            <a:noFill/>
                          </a:ln>
                        </wps:spPr>
                        <wps:txbx>
                          <w:txbxContent>
                            <w:p w14:paraId="73E4BA1F" w14:textId="77777777" w:rsidR="00B32EF2" w:rsidRDefault="00000000">
                              <w:r>
                                <w:rPr>
                                  <w:rFonts w:ascii="Arial" w:eastAsia="Arial" w:hAnsi="Arial" w:cs="Arial"/>
                                  <w:i/>
                                  <w:sz w:val="18"/>
                                </w:rPr>
                                <w:t xml:space="preserve">predette modalità non è possibile o non ha avuto esito positivo per cause </w:t>
                              </w:r>
                            </w:p>
                          </w:txbxContent>
                        </wps:txbx>
                        <wps:bodyPr horzOverflow="overflow" vert="horz" lIns="0" tIns="0" rIns="0" bIns="0" rtlCol="0">
                          <a:noAutofit/>
                        </wps:bodyPr>
                      </wps:wsp>
                      <wps:wsp>
                        <wps:cNvPr id="18449" name="Rectangle 18449"/>
                        <wps:cNvSpPr/>
                        <wps:spPr>
                          <a:xfrm rot="-10799999">
                            <a:off x="-1185016" y="4308648"/>
                            <a:ext cx="5092925" cy="142889"/>
                          </a:xfrm>
                          <a:prstGeom prst="rect">
                            <a:avLst/>
                          </a:prstGeom>
                          <a:ln>
                            <a:noFill/>
                          </a:ln>
                        </wps:spPr>
                        <wps:txbx>
                          <w:txbxContent>
                            <w:p w14:paraId="2F77F2CA" w14:textId="77777777" w:rsidR="00B32EF2" w:rsidRDefault="00000000">
                              <w:r>
                                <w:rPr>
                                  <w:rFonts w:ascii="Arial" w:eastAsia="Arial" w:hAnsi="Arial" w:cs="Arial"/>
                                  <w:i/>
                                  <w:sz w:val="18"/>
                                </w:rPr>
                                <w:t xml:space="preserve">non imputabili al destinatario. Della dichiarazione è dato atto nella relazione </w:t>
                              </w:r>
                            </w:p>
                          </w:txbxContent>
                        </wps:txbx>
                        <wps:bodyPr horzOverflow="overflow" vert="horz" lIns="0" tIns="0" rIns="0" bIns="0" rtlCol="0">
                          <a:noAutofit/>
                        </wps:bodyPr>
                      </wps:wsp>
                      <wps:wsp>
                        <wps:cNvPr id="18450" name="Rectangle 18450"/>
                        <wps:cNvSpPr/>
                        <wps:spPr>
                          <a:xfrm rot="-10799999">
                            <a:off x="2852576" y="4185319"/>
                            <a:ext cx="1061275" cy="142889"/>
                          </a:xfrm>
                          <a:prstGeom prst="rect">
                            <a:avLst/>
                          </a:prstGeom>
                          <a:ln>
                            <a:noFill/>
                          </a:ln>
                        </wps:spPr>
                        <wps:txbx>
                          <w:txbxContent>
                            <w:p w14:paraId="41F6F875" w14:textId="77777777" w:rsidR="00B32EF2" w:rsidRDefault="00000000">
                              <w:r>
                                <w:rPr>
                                  <w:rFonts w:ascii="Arial" w:eastAsia="Arial" w:hAnsi="Arial" w:cs="Arial"/>
                                  <w:i/>
                                  <w:sz w:val="18"/>
                                </w:rPr>
                                <w:t>di notificazione.</w:t>
                              </w:r>
                            </w:p>
                          </w:txbxContent>
                        </wps:txbx>
                        <wps:bodyPr horzOverflow="overflow" vert="horz" lIns="0" tIns="0" rIns="0" bIns="0" rtlCol="0">
                          <a:noAutofit/>
                        </wps:bodyPr>
                      </wps:wsp>
                      <wps:wsp>
                        <wps:cNvPr id="18451" name="Shape 18451"/>
                        <wps:cNvSpPr/>
                        <wps:spPr>
                          <a:xfrm>
                            <a:off x="32201" y="4152400"/>
                            <a:ext cx="3960000" cy="2104098"/>
                          </a:xfrm>
                          <a:custGeom>
                            <a:avLst/>
                            <a:gdLst/>
                            <a:ahLst/>
                            <a:cxnLst/>
                            <a:rect l="0" t="0" r="0" b="0"/>
                            <a:pathLst>
                              <a:path w="3960000" h="2104098">
                                <a:moveTo>
                                  <a:pt x="0" y="2104098"/>
                                </a:moveTo>
                                <a:lnTo>
                                  <a:pt x="3960000" y="2104098"/>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07937" name="Shape 207937"/>
                        <wps:cNvSpPr/>
                        <wps:spPr>
                          <a:xfrm>
                            <a:off x="32202" y="1247196"/>
                            <a:ext cx="3960000" cy="527304"/>
                          </a:xfrm>
                          <a:custGeom>
                            <a:avLst/>
                            <a:gdLst/>
                            <a:ahLst/>
                            <a:cxnLst/>
                            <a:rect l="0" t="0" r="0" b="0"/>
                            <a:pathLst>
                              <a:path w="3960000" h="527304">
                                <a:moveTo>
                                  <a:pt x="0" y="0"/>
                                </a:moveTo>
                                <a:lnTo>
                                  <a:pt x="3960000" y="0"/>
                                </a:lnTo>
                                <a:lnTo>
                                  <a:pt x="3960000" y="527304"/>
                                </a:lnTo>
                                <a:lnTo>
                                  <a:pt x="0" y="527304"/>
                                </a:lnTo>
                                <a:lnTo>
                                  <a:pt x="0" y="0"/>
                                </a:lnTo>
                              </a:path>
                            </a:pathLst>
                          </a:custGeom>
                          <a:ln w="0" cap="flat">
                            <a:miter lim="100000"/>
                          </a:ln>
                        </wps:spPr>
                        <wps:style>
                          <a:lnRef idx="0">
                            <a:srgbClr val="000000">
                              <a:alpha val="0"/>
                            </a:srgbClr>
                          </a:lnRef>
                          <a:fillRef idx="1">
                            <a:srgbClr val="C3C3C3"/>
                          </a:fillRef>
                          <a:effectRef idx="0">
                            <a:scrgbClr r="0" g="0" b="0"/>
                          </a:effectRef>
                          <a:fontRef idx="none"/>
                        </wps:style>
                        <wps:bodyPr/>
                      </wps:wsp>
                      <wps:wsp>
                        <wps:cNvPr id="18453" name="Rectangle 18453"/>
                        <wps:cNvSpPr/>
                        <wps:spPr>
                          <a:xfrm rot="-10799999">
                            <a:off x="2329186" y="1553264"/>
                            <a:ext cx="1585695" cy="142889"/>
                          </a:xfrm>
                          <a:prstGeom prst="rect">
                            <a:avLst/>
                          </a:prstGeom>
                          <a:ln>
                            <a:noFill/>
                          </a:ln>
                        </wps:spPr>
                        <wps:txbx>
                          <w:txbxContent>
                            <w:p w14:paraId="1D408FB5"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8454" name="Rectangle 18454"/>
                        <wps:cNvSpPr/>
                        <wps:spPr>
                          <a:xfrm rot="-10799999">
                            <a:off x="-1185755" y="1429934"/>
                            <a:ext cx="5096179" cy="142889"/>
                          </a:xfrm>
                          <a:prstGeom prst="rect">
                            <a:avLst/>
                          </a:prstGeom>
                          <a:ln>
                            <a:noFill/>
                          </a:ln>
                        </wps:spPr>
                        <wps:txbx>
                          <w:txbxContent>
                            <w:p w14:paraId="35DA6352" w14:textId="77777777" w:rsidR="00B32EF2" w:rsidRDefault="00000000">
                              <w:r>
                                <w:rPr>
                                  <w:rFonts w:ascii="Arial" w:eastAsia="Arial" w:hAnsi="Arial" w:cs="Arial"/>
                                  <w:i/>
                                  <w:sz w:val="18"/>
                                </w:rPr>
                                <w:t xml:space="preserve">art. 53 D.lgs. 446/1997 “Albo per l’accertamento e riscossione delle entrate </w:t>
                              </w:r>
                            </w:p>
                          </w:txbxContent>
                        </wps:txbx>
                        <wps:bodyPr horzOverflow="overflow" vert="horz" lIns="0" tIns="0" rIns="0" bIns="0" rtlCol="0">
                          <a:noAutofit/>
                        </wps:bodyPr>
                      </wps:wsp>
                      <wps:wsp>
                        <wps:cNvPr id="18455" name="Rectangle 18455"/>
                        <wps:cNvSpPr/>
                        <wps:spPr>
                          <a:xfrm rot="-10799999">
                            <a:off x="2805192" y="1306604"/>
                            <a:ext cx="1108660" cy="142889"/>
                          </a:xfrm>
                          <a:prstGeom prst="rect">
                            <a:avLst/>
                          </a:prstGeom>
                          <a:ln>
                            <a:noFill/>
                          </a:ln>
                        </wps:spPr>
                        <wps:txbx>
                          <w:txbxContent>
                            <w:p w14:paraId="0C7521C7" w14:textId="77777777" w:rsidR="00B32EF2" w:rsidRDefault="00000000">
                              <w:r>
                                <w:rPr>
                                  <w:rFonts w:ascii="Arial" w:eastAsia="Arial" w:hAnsi="Arial" w:cs="Arial"/>
                                  <w:i/>
                                  <w:sz w:val="18"/>
                                </w:rPr>
                                <w:t xml:space="preserve">degli enti locali” </w:t>
                              </w:r>
                            </w:p>
                          </w:txbxContent>
                        </wps:txbx>
                        <wps:bodyPr horzOverflow="overflow" vert="horz" lIns="0" tIns="0" rIns="0" bIns="0" rtlCol="0">
                          <a:noAutofit/>
                        </wps:bodyPr>
                      </wps:wsp>
                      <wps:wsp>
                        <wps:cNvPr id="18456" name="Shape 18456"/>
                        <wps:cNvSpPr/>
                        <wps:spPr>
                          <a:xfrm>
                            <a:off x="32201" y="1247200"/>
                            <a:ext cx="3960000" cy="527304"/>
                          </a:xfrm>
                          <a:custGeom>
                            <a:avLst/>
                            <a:gdLst/>
                            <a:ahLst/>
                            <a:cxnLst/>
                            <a:rect l="0" t="0" r="0" b="0"/>
                            <a:pathLst>
                              <a:path w="3960000" h="527304">
                                <a:moveTo>
                                  <a:pt x="0" y="527304"/>
                                </a:moveTo>
                                <a:lnTo>
                                  <a:pt x="3960000" y="527304"/>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F54A3D" id="Group 201161" o:spid="_x0000_s3853" style="width:314.35pt;height:492.65pt;mso-position-horizontal-relative:char;mso-position-vertical-relative:line" coordsize="39922,62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04LwwAAEqAAAAOAAAAZHJzL2Uyb0RvYy54bWzsXe1u2zgW/b/AvoPh/2lISqSkoOlg0O4U&#10;Cyx2BjOzD6A6cmxAtgxZbdJ9+j2XpChbZtpA2gmD4bRAbNMSRfLwfl9ev/3hcVcvvlTtcdvsb5f8&#10;DVsuqv2qudvu72+X//n9p6t8uTh25f6urJt9dbv8Wh2XP7z7+9/ePhxuKtFsmvquahfoZH+8eTjc&#10;Ljddd7i5vj6uNtWuPL5pDtUeX66bdld2+NjeX9+15QN639XXgjF1/dC0d4e2WVXHI1o/mC+X73T/&#10;63W16n5er49Vt6hvlxhbp/+2+u8n+nv97m15c9+Wh812ZYdRThjFrtzu8VDX1YeyKxef2+1FV7vt&#10;qm2Ozbp7s2p21816vV1Veg6YDWej2Xxsm88HPZf7m4f7g1smLO1onSZ3u/r3l4/t4bfDLy1W4uFw&#10;j7XQn2guj+t2R68Y5eJRL9lXt2TVY7dYoTEpCiGYWC5W+E4JqdIiM4u62mDlL+5bbf7xnTuv+wdf&#10;nw3n4YANchzW4DhvDX7blIdKL+3xBmvwS7vY3mH/5ilTy8W+3GGr/orNU+7v62phmvUC6avdch1v&#10;jli5fq0WbYP9dcVZVtA/vR/s2vGCsTwHLWCVrpTAR7NI/TLyLE9UYVZRSKZSRd+7pShvDu2x+1g1&#10;uwW9uV22GJvuv/zyr2NnLu0voeHUe/q7b37a1rX5llqwov2I6V33+OlRT1tkLKHnUeOn5u4rVmPT&#10;tP/9GXS9rpuH22Vj3y2J1PF4+na5qP+5BwpEVf2btn/zqX/TdvX7RtOeGdCPn7tmvdUjHp5mRwZ4&#10;zRheBOfMj7PevTQ07IoJOEuWsTTVOCd5UajcUkMPdM6KNMcWI3Lhqcjz4oWBTqMCGiKiAK1dULRt&#10;t3t+EtSC/knQLJBMskwlcgQ1L1LOEx4Qaxkf1ljuMffWWPN+KSZhfSUUS3hygrXmz+VNT9bhsdYD&#10;Gljqn5yBa0yhdXixFrOw5lylTFgW/jrp2smoaIQ12OwYalLKtPCcLKyvuGAqgR5AHFzJhImcds5A&#10;1UkC5ZZYfDBprQcUFVWTkjyGmqgd7bOktYIsTqXBWopCFSOsAT90dFwQDGu3maOgao2ph6xt+xys&#10;r3iSKSagChBhPw12QDWca/svGsIGr+Yezcw0z4SaqxwuBw01jPdE+ehahYTaqZ5R0DVh6lHMTPNc&#10;qDOpLAsXecKSC6g540VAgwsTtzOMBmrYRGNpTVA7d9I0cwtms8p7Bs5lkRlNb9DMIK3hXYFhH0pa&#10;DzOMBmqYRD6onUNpEtTwgPG8AHsmUc0SqONaDRqQ5pwzkYUkajfBKJDW+peHgdv2ORxckA5u7S1R&#10;8ISlI6y1Dp6ElNXxeczgoL4ga421czJMomvo4Dn828Zl9krBjstlRmIZpOVj4W4hJkKNCCCX4Bng&#10;4SKDNi5G0S0puEhInAeT1m4zR8HDCWoPWZvmORycF5KilD3OfMy/mRLYBsFQdi6iaFD2OMsIZbcQ&#10;Ewma1G9rVAulFCKZ545RLaiDGtV6QFH5Tzy+MoLaLcR0qDOymYmmZZowNebdZGmhMRhVG2ESE9SY&#10;sU9MDwsxHepcGVeZwMbJkkuoC5hgAaGOzlVGSpFHI0PzHDGdCEE5RoaoEetIme5vMKozJZGGEhDo&#10;uBxlZE/Br3GBtG2fA7W2s5LU2lkcNA1fCTocsA7uKoMRaGcYhVqmQfVo37Z9DtjagQKniRbWT2IN&#10;ZS2csI7LWQYFjFwcPg7uNv1EYQ2bWhKLJr0MjrIsHZM1bOqMrLxQ1paIy1dGUPs94GieQ9QnNrUX&#10;57A2tXC+oSiYN6GMCKOPoN12n0jQJzY1L4SigPhYThcspE0tonOSYXN7oXZ7fiLULBEFJXmDd/Oc&#10;wYAeQ82E5DJgrpFJdIvKpvZoZETsbs9PgppLVvRSukgKNXae5EwmeUCPqHDeoSi4t1axPULats+S&#10;0lzJFBn+RNM5V8nYd8KLJFfIPQqmjpkBRUPSGlKP6m3b50B9JWRGqcCvF2otTuKC+omMhMw5kibx&#10;b5zggRCAu/XVUrWbXxQMnCSyx09mmufQNALUiQlQqyJhbOT4hmquUhkwxpE4b0EUMBOTpjjy2Myy&#10;7XOAxpmOXEiKQoOkEaxW2Qhr5CJIHOsIKKiduyAerD3Kt8Z6nvYtVJKm0ghqDfXYzAoOtfMZRAE1&#10;2DQddx1TtWmeQ9Q4XUnWck/RY5jDesgQMLVziwZkjzJGIDtdZZIuhkgWsk4yg3OagrbHOFMmAqkH&#10;oTzeSF2NCWmBOhaUDWDoWRfMWNi27xIzBSBt6QsEo6k+CIg3RZJg0pcH6U9Ow2sCfczqXoIzHOrU&#10;2UsntS9Wn03tC+q0r3eBSit3pvIF2jb9u9Xjvn9LFTK+WfTlUHZ0H3VKbxcoc+HGskHQxQ6Fvt+h&#10;/sXvjb6yG1U0wTCHb+v96VWuN0xdKyG4tr+ifz3o/k6v7J+LJX7yemOwPP/K86ejW5qw7t8tAhpP&#10;l7ne03oQKiWK8qzr0lQb2W07VOuptzs4NlE0xOjRepgXxUWO3de6oiWr979Wa5QZ0RVkqOHY3n96&#10;X7eLLyXVBdH/TCmT+rApbSsRGvq1l9qlQD90/xo1TVyXXN961uX7hP7bHuzFdF+lywG5O5m5c2VH&#10;Y2oCobIOJt1XBsII3E36yc2+c/fvUc9IP4QMcTvbwSan8dOnF61pknh8X8SYncY5kTFzpA3Zg1eo&#10;gyChd9HET1IMOCoxIenQcWYklBkA+xJCfW2axR9TvsacBBtW/09e/YAw9Uep0IyFp4WYDjViU0bX&#10;Kji8mnrvnEANyy3v6z2FKGCTxOXSJqidDD6rSDXondOhzmwyiczyXOHw+yVVh4Qajjm7maPRrD2G&#10;Mu0Ap3hOhhrH7EyOmFRKCmjZY6gz8PWBgb90WSqj60fFwCEufZbyvNR9DtmsbP0xKZHki5IXZ0gL&#10;JZnAaVonql8caWclRkHU5OZCKcALqG275W+TyBo1qfIst34RnPlQON51hrVkyOYOeR4eaal2gpFg&#10;DT0Y5sOYrKmypzGV5ihmYNy2KhXo+jWC7ayMKMCGWKbA4Rhr0zyHrJEpbqsKPoFz0DN2Rp7EJKih&#10;mnhR1ibuHIIWRcps8EIUUiBhbMS94VFVeHgod6epQRsN1Foie5Qy2z6HpBGUlMgYsgo4zyjldwQ2&#10;eVDIfRMMbGdiRMG9NageY8u2zwFbyDzNKA5G4arXibWzMaLAmkSyJ1PMNM9BOkkLyWxOoGQo62yy&#10;SQdnGdlfyP0NR9Rx+co08XqQtu1zoCaiRq6BCWMVSDAZh7EkSo/BiRYOa6Qv2QlGQdQaU0+4w7bP&#10;wRrSOqU452sG2ymfUYBNrNof7xjMkUkulCtOoa0cdhyFp3NUD8T5eOydgYWDrsMqZvDKxkTXBLU/&#10;3jGYIzOgtlHMFKCjqokH6tMo5ku7RmVc7jKC2qOCm+Z5DBxUjdIohqqlpBPwHqiLgOaWjM9Z5jGt&#10;CWpni0ymapSnsbIa6YdFdgk1KoWGhNqF5KOR1Z54B0HtrJHJUEtGJexIVoOkldk7J7KaIT2Qju+G&#10;cqIYr040HjNgSocmPC7wwRiZBLXIJc5gWaR5LkHW5/ybI92IgtjhkI7LXUZIQ5wapE0mqGn6rpgm&#10;XfokEdTKZCSCpiYiNlCvS4Ik6j3PbeyzyE4zFF9RIuj5YJ+TDnp+R58M2r9eJoWeJ3AOaaTmSmO+&#10;jK9Z1c2xAj5IYnxmuqdO6QRNPZnyaXI1TZ+e35PzpXx68jN1L8NofVmdNjdzWqJoPCmfOhvbqdAn&#10;GdqOOz3NfkeEaTK04flAcGIUmzgjTOQOoW4zcWPsq6B0aUdC8xhIzkcQw7dTCcytALn0Txeg77B/&#10;PX38sy8cSIGyx59PriD7/yupziI6neVNWPyVnf3UL4vCvPfqSs7qf5pYv/HLoiisXMDc1Voxaoog&#10;ZDzK2OUyx+G4kLqSM/FiMYBg3XuRdkb/JKTJWSkzexAOqdeFNzmbk+M6mAHkTLxooPb7pYESROTk&#10;7BCBwjEoEmWIGjV5lRG5g7KMH8VAuRGSABBJIdLwTaWbqExd55YeDCCtKX0b5ZGeZQwg0rMQqTo3&#10;ap2WQZieaQ+vW886G+pzlK2zG3rVqX/9y/iZpYe9CuNH/3I7frBea7P3bXnYbFcfyq48/Yz3D4eb&#10;SjSbpr6r2nf/AwAA//8DAFBLAwQUAAYACAAAACEAz70awt4AAAAFAQAADwAAAGRycy9kb3ducmV2&#10;LnhtbEyPQWvCQBCF74X+h2UKvdVNFG1MsxGRticpqIXibcyOSTA7G7JrEv99t720l4HHe7z3TbYa&#10;TSN66lxtWUE8iUAQF1bXXCr4PLw9JSCcR9bYWCYFN3Kwyu/vMky1HXhH/d6XIpSwS1FB5X2bSumK&#10;igy6iW2Jg3e2nUEfZFdK3eEQyk0jp1G0kAZrDgsVtrSpqLjsr0bB+4DDeha/9tvLeXM7HuYfX9uY&#10;lHp8GNcvIDyN/i8MP/gBHfLAdLJX1k40CsIj/vcGbzFNnkGcFCyT+Qxknsn/9Pk3AAAA//8DAFBL&#10;AQItABQABgAIAAAAIQC2gziS/gAAAOEBAAATAAAAAAAAAAAAAAAAAAAAAABbQ29udGVudF9UeXBl&#10;c10ueG1sUEsBAi0AFAAGAAgAAAAhADj9If/WAAAAlAEAAAsAAAAAAAAAAAAAAAAALwEAAF9yZWxz&#10;Ly5yZWxzUEsBAi0AFAAGAAgAAAAhAFgWnTgvDAAASoAAAA4AAAAAAAAAAAAAAAAALgIAAGRycy9l&#10;Mm9Eb2MueG1sUEsBAi0AFAAGAAgAAAAhAM+9GsLeAAAABQEAAA8AAAAAAAAAAAAAAAAAiQ4AAGRy&#10;cy9kb3ducmV2LnhtbFBLBQYAAAAABAAEAPMAAACUDwAAAAA=&#10;">
                <v:rect id="Rectangle 18406" o:spid="_x0000_s3854" style="position:absolute;left:19008;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eLlxAAAAN4AAAAPAAAAZHJzL2Rvd25yZXYueG1sRE9Li8Iw&#10;EL4v+B/CCHtb0xWR0jXKoog9ePEFexyase1uMwlNtF1/vREEb/PxPWe26E0jrtT62rKCz1ECgriw&#10;uuZSwfGw/khB+ICssbFMCv7Jw2I+eJthpm3HO7ruQyliCPsMFVQhuExKX1Rk0I+sI47c2bYGQ4Rt&#10;KXWLXQw3jRwnyVQarDk2VOhoWVHxt78YBT8rdvm6k8X5tnTb3zxtNpfjSan3Yf/9BSJQH17ipzvX&#10;cX46SabweCfeIOd3AAAA//8DAFBLAQItABQABgAIAAAAIQDb4fbL7gAAAIUBAAATAAAAAAAAAAAA&#10;AAAAAAAAAABbQ29udGVudF9UeXBlc10ueG1sUEsBAi0AFAAGAAgAAAAhAFr0LFu/AAAAFQEAAAsA&#10;AAAAAAAAAAAAAAAAHwEAAF9yZWxzLy5yZWxzUEsBAi0AFAAGAAgAAAAhANnp4uXEAAAA3gAAAA8A&#10;AAAAAAAAAAAAAAAABwIAAGRycy9kb3ducmV2LnhtbFBLBQYAAAAAAwADALcAAAD4AgAAAAA=&#10;" filled="f" stroked="f">
                  <v:textbox inset="0,0,0,0">
                    <w:txbxContent>
                      <w:p w14:paraId="1E6E62B0" w14:textId="77777777" w:rsidR="00B32EF2" w:rsidRDefault="00000000">
                        <w:r>
                          <w:rPr>
                            <w:rFonts w:ascii="Times New Roman" w:eastAsia="Times New Roman" w:hAnsi="Times New Roman" w:cs="Times New Roman"/>
                          </w:rPr>
                          <w:t>63</w:t>
                        </w:r>
                      </w:p>
                    </w:txbxContent>
                  </v:textbox>
                </v:rect>
                <v:rect id="Rectangle 18407" o:spid="_x0000_s3855" style="position:absolute;left:15070;top:38996;width:80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Ud+xAAAAN4AAAAPAAAAZHJzL2Rvd25yZXYueG1sRE9Na8JA&#10;EL0X/A/LCN7qpkVsSF2lWMQcvGgt9DhkxySanV2yq4n+elcoeJvH+5zZojeNuFDra8sK3sYJCOLC&#10;6ppLBfuf1WsKwgdkjY1lUnAlD4v54GWGmbYdb+myC6WIIewzVFCF4DIpfVGRQT+2jjhyB9saDBG2&#10;pdQtdjHcNPI9SabSYM2xoUJHy4qK0+5sFPx9s8tXnSwOt6XbHPO0WZ/3v0qNhv3XJ4hAfXiK/925&#10;jvPTSfIBj3fiDXJ+BwAA//8DAFBLAQItABQABgAIAAAAIQDb4fbL7gAAAIUBAAATAAAAAAAAAAAA&#10;AAAAAAAAAABbQ29udGVudF9UeXBlc10ueG1sUEsBAi0AFAAGAAgAAAAhAFr0LFu/AAAAFQEAAAsA&#10;AAAAAAAAAAAAAAAAHwEAAF9yZWxzLy5yZWxzUEsBAi0AFAAGAAgAAAAhALalR37EAAAA3gAAAA8A&#10;AAAAAAAAAAAAAAAABwIAAGRycy9kb3ducmV2LnhtbFBLBQYAAAAAAwADALcAAAD4AgAAAAA=&#10;" filled="f" stroked="f">
                  <v:textbox inset="0,0,0,0">
                    <w:txbxContent>
                      <w:p w14:paraId="4747E01E" w14:textId="77777777" w:rsidR="00B32EF2" w:rsidRDefault="00000000">
                        <w:r>
                          <w:rPr>
                            <w:rFonts w:ascii="Arial" w:eastAsia="Arial" w:hAnsi="Arial" w:cs="Arial"/>
                            <w:b/>
                            <w:sz w:val="18"/>
                          </w:rPr>
                          <w:t>Articolo 69</w:t>
                        </w:r>
                      </w:p>
                    </w:txbxContent>
                  </v:textbox>
                </v:rect>
                <v:rect id="Rectangle 200990" o:spid="_x0000_s3856" style="position:absolute;left:22222;top:37763;width:194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wJexwAAAN8AAAAPAAAAZHJzL2Rvd25yZXYueG1sRI9Na8JA&#10;EIbvhf6HZQq91U17KJq6ilikOXjxCzwO2TFJzc4u2dXE/vrOQfA4vPM+L890PrhWXamLjWcD76MM&#10;FHHpbcOVgf1u9TYGFROyxdYzGbhRhPns+WmKufU9b+i6TZUSCMccDdQphVzrWNbkMI58IJbs5DuH&#10;Sc6u0rbDXuCu1R9Z9qkdNiwLNQZa1lSetxdn4PjNoVj1ujz9LcP6txi3P5f9wZjXl2HxBSrRkB7P&#10;93ZhDQhxMhED8REX0LN/AAAA//8DAFBLAQItABQABgAIAAAAIQDb4fbL7gAAAIUBAAATAAAAAAAA&#10;AAAAAAAAAAAAAABbQ29udGVudF9UeXBlc10ueG1sUEsBAi0AFAAGAAgAAAAhAFr0LFu/AAAAFQEA&#10;AAsAAAAAAAAAAAAAAAAAHwEAAF9yZWxzLy5yZWxzUEsBAi0AFAAGAAgAAAAhAPebAl7HAAAA3wAA&#10;AA8AAAAAAAAAAAAAAAAABwIAAGRycy9kb3ducmV2LnhtbFBLBQYAAAAAAwADALcAAAD7AgAAAAA=&#10;" filled="f" stroked="f">
                  <v:textbox inset="0,0,0,0">
                    <w:txbxContent>
                      <w:p w14:paraId="2C211327" w14:textId="77777777" w:rsidR="00B32EF2" w:rsidRDefault="00000000">
                        <w:r>
                          <w:rPr>
                            <w:rFonts w:ascii="Arial" w:eastAsia="Arial" w:hAnsi="Arial" w:cs="Arial"/>
                            <w:i/>
                            <w:sz w:val="18"/>
                          </w:rPr>
                          <w:t>(</w:t>
                        </w:r>
                      </w:p>
                    </w:txbxContent>
                  </v:textbox>
                </v:rect>
                <v:rect id="Rectangle 200991" o:spid="_x0000_s3857" style="position:absolute;left:-2603;top:37763;width:194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6fFxwAAAN8AAAAPAAAAZHJzL2Rvd25yZXYueG1sRI9Ba8JA&#10;FITvhf6H5RV6qxt7KEnqKmKR5uDF1EKPj+wzSc2+XbJrkvrrXUHocZiZb5jFajKdGKj3rWUF81kC&#10;griyuuVaweFr+5KC8AFZY2eZFPyRh9Xy8WGBubYj72koQy0ihH2OCpoQXC6lrxoy6GfWEUfvaHuD&#10;Icq+lrrHMcJNJ1+T5E0abDkuNOho01B1Ks9Gwc8Hu2I7yup42bjdb5F2n+fDt1LPT9P6HUSgKfyH&#10;7+1CK4jELJvD7U/8AnJ5BQAA//8DAFBLAQItABQABgAIAAAAIQDb4fbL7gAAAIUBAAATAAAAAAAA&#10;AAAAAAAAAAAAAABbQ29udGVudF9UeXBlc10ueG1sUEsBAi0AFAAGAAgAAAAhAFr0LFu/AAAAFQEA&#10;AAsAAAAAAAAAAAAAAAAAHwEAAF9yZWxzLy5yZWxzUEsBAi0AFAAGAAgAAAAhAJjXp8XHAAAA3wAA&#10;AA8AAAAAAAAAAAAAAAAABwIAAGRycy9kb3ducmV2LnhtbFBLBQYAAAAAAwADALcAAAD7AgAAAAA=&#10;" filled="f" stroked="f">
                  <v:textbox inset="0,0,0,0">
                    <w:txbxContent>
                      <w:p w14:paraId="7196BDAF" w14:textId="77777777" w:rsidR="00B32EF2" w:rsidRDefault="00000000">
                        <w:r>
                          <w:rPr>
                            <w:rFonts w:ascii="Arial" w:eastAsia="Arial" w:hAnsi="Arial" w:cs="Arial"/>
                            <w:i/>
                            <w:sz w:val="18"/>
                          </w:rPr>
                          <w:t>546/92)</w:t>
                        </w:r>
                      </w:p>
                    </w:txbxContent>
                  </v:textbox>
                </v:rect>
                <v:rect id="Rectangle 200992" o:spid="_x0000_s3858" style="position:absolute;left:11640;top:37763;width:194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TmyxwAAAN8AAAAPAAAAZHJzL2Rvd25yZXYueG1sRI9Ba8JA&#10;FITvQv/D8gq96aY5SIyuIiliDr3UWujxkX0m0ezbJbsmaX99t1DocZiZb5jNbjKdGKj3rWUFz4sE&#10;BHFldcu1gvP7YZ6B8AFZY2eZFHyRh932YbbBXNuR32g4hVpECPscFTQhuFxKXzVk0C+sI47exfYG&#10;Q5R9LXWPY4SbTqZJspQGW44LDToqGqpup7tR8PnCrjyMsrp8F+71Wmbd8X7+UOrpcdqvQQSawn/4&#10;r11qBZG4WqXw+yd+Abn9AQAA//8DAFBLAQItABQABgAIAAAAIQDb4fbL7gAAAIUBAAATAAAAAAAA&#10;AAAAAAAAAAAAAABbQ29udGVudF9UeXBlc10ueG1sUEsBAi0AFAAGAAgAAAAhAFr0LFu/AAAAFQEA&#10;AAsAAAAAAAAAAAAAAAAAHwEAAF9yZWxzLy5yZWxzUEsBAi0AFAAGAAgAAAAhAGgFObLHAAAA3wAA&#10;AA8AAAAAAAAAAAAAAAAABwIAAGRycy9kb3ducmV2LnhtbFBLBQYAAAAAAwADALcAAAD7AgAAAAA=&#10;" filled="f" stroked="f">
                  <v:textbox inset="0,0,0,0">
                    <w:txbxContent>
                      <w:p w14:paraId="476D567C" w14:textId="77777777" w:rsidR="00B32EF2" w:rsidRDefault="00000000">
                        <w:r>
                          <w:rPr>
                            <w:rFonts w:ascii="Arial" w:eastAsia="Arial" w:hAnsi="Arial" w:cs="Arial"/>
                            <w:i/>
                            <w:sz w:val="18"/>
                          </w:rPr>
                          <w:t xml:space="preserve">articolo 23 D.lgs. n. </w:t>
                        </w:r>
                      </w:p>
                    </w:txbxContent>
                  </v:textbox>
                </v:rect>
                <v:rect id="Rectangle 18409" o:spid="_x0000_s3859" style="position:absolute;left:-1206;top:36530;width:339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aXxAAAAN4AAAAPAAAAZHJzL2Rvd25yZXYueG1sRE9La8JA&#10;EL4X/A/LCN7qpkUkTV2lWMQcvPgo9DhkxySanV2yq4n+elco9DYf33Nmi9404kqtry0reBsnIIgL&#10;q2suFRz2q9cUhA/IGhvLpOBGHhbzwcsMM2073tJ1F0oRQ9hnqKAKwWVS+qIig35sHXHkjrY1GCJs&#10;S6lb7GK4aeR7kkylwZpjQ4WOlhUV593FKPj9ZpevOlkc70u3OeVps74cfpQaDfuvTxCB+vAv/nPn&#10;Os5PJ8kHPN+JN8j5AwAA//8DAFBLAQItABQABgAIAAAAIQDb4fbL7gAAAIUBAAATAAAAAAAAAAAA&#10;AAAAAAAAAABbQ29udGVudF9UeXBlc10ueG1sUEsBAi0AFAAGAAgAAAAhAFr0LFu/AAAAFQEAAAsA&#10;AAAAAAAAAAAAAAAAHwEAAF9yZWxzLy5yZWxzUEsBAi0AFAAGAAgAAAAhAKh2dpfEAAAA3gAAAA8A&#10;AAAAAAAAAAAAAAAABwIAAGRycy9kb3ducmV2LnhtbFBLBQYAAAAAAwADALcAAAD4AgAAAAA=&#10;" filled="f" stroked="f">
                  <v:textbox inset="0,0,0,0">
                    <w:txbxContent>
                      <w:p w14:paraId="1758713C" w14:textId="77777777" w:rsidR="00B32EF2" w:rsidRDefault="00000000">
                        <w:r>
                          <w:rPr>
                            <w:rFonts w:ascii="Arial" w:eastAsia="Arial" w:hAnsi="Arial" w:cs="Arial"/>
                            <w:b/>
                            <w:sz w:val="18"/>
                          </w:rPr>
                          <w:t xml:space="preserve">Costituzione in giudizio della parte resistente </w:t>
                        </w:r>
                      </w:p>
                    </w:txbxContent>
                  </v:textbox>
                </v:rect>
                <v:rect id="Rectangle 200988" o:spid="_x0000_s3860" style="position:absolute;left:26113;top:3529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JiFxwAAAN8AAAAPAAAAZHJzL2Rvd25yZXYueG1sRI9Nb8Iw&#10;DIbvk/YfIk/iNtLtgEpHQBMTooddxoe0o9WYtlvjRE2gZb9+PiBxtF6/j/0sVqPr1IX62Ho28DLN&#10;QBFX3rZcGzjsN885qJiQLXaeycCVIqyWjw8LLKwf+Isuu1QrgXAs0ECTUii0jlVDDuPUB2LJTr53&#10;mGTsa217HATuOv2aZTPtsGW50GCgdUPV7+7sDHx/cCg3g65Of+vw+VPm3fZ8OBozeRrf30AlGtN9&#10;+dYurQEhznN5WHzEBfTyHwAA//8DAFBLAQItABQABgAIAAAAIQDb4fbL7gAAAIUBAAATAAAAAAAA&#10;AAAAAAAAAAAAAABbQ29udGVudF9UeXBlc10ueG1sUEsBAi0AFAAGAAgAAAAhAFr0LFu/AAAAFQEA&#10;AAsAAAAAAAAAAAAAAAAAHwEAAF9yZWxzLy5yZWxzUEsBAi0AFAAGAAgAAAAhAIw0mIXHAAAA3wAA&#10;AA8AAAAAAAAAAAAAAAAABwIAAGRycy9kb3ducmV2LnhtbFBLBQYAAAAAAwADALcAAAD7AgAAAAA=&#10;" filled="f" stroked="f">
                  <v:textbox inset="0,0,0,0">
                    <w:txbxContent>
                      <w:p w14:paraId="1A782575" w14:textId="77777777" w:rsidR="00B32EF2" w:rsidRDefault="00000000">
                        <w:r>
                          <w:rPr>
                            <w:rFonts w:ascii="Arial" w:eastAsia="Arial" w:hAnsi="Arial" w:cs="Arial"/>
                            <w:sz w:val="18"/>
                          </w:rPr>
                          <w:t>1</w:t>
                        </w:r>
                      </w:p>
                    </w:txbxContent>
                  </v:textbox>
                </v:rect>
                <v:rect id="Rectangle 200989" o:spid="_x0000_s3861" style="position:absolute;left:-13760;top:3529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D0exgAAAN8AAAAPAAAAZHJzL2Rvd25yZXYueG1sRI9Ba8JA&#10;FITvgv9heUJvuqmHElNXKYo0By/aCD0+ss8kbfbtkl1N6q93BaHHYWa+YZbrwbTiSp1vLCt4nSUg&#10;iEurG64UFF+7aQrCB2SNrWVS8Ece1qvxaImZtj0f6HoMlYgQ9hkqqENwmZS+rMmgn1lHHL2z7QyG&#10;KLtK6g77CDetnCfJmzTYcFyo0dGmpvL3eDEKvrfs8l0vy/Nt4/Y/edp+XoqTUi+T4eMdRKAh/Ief&#10;7VwriMRFuoDHn/gF5OoOAAD//wMAUEsBAi0AFAAGAAgAAAAhANvh9svuAAAAhQEAABMAAAAAAAAA&#10;AAAAAAAAAAAAAFtDb250ZW50X1R5cGVzXS54bWxQSwECLQAUAAYACAAAACEAWvQsW78AAAAVAQAA&#10;CwAAAAAAAAAAAAAAAAAfAQAAX3JlbHMvLnJlbHNQSwECLQAUAAYACAAAACEA43g9HsYAAADfAAAA&#10;DwAAAAAAAAAAAAAAAAAHAgAAZHJzL2Rvd25yZXYueG1sUEsFBgAAAAADAAMAtwAAAPoCAAAAAA==&#10;" filled="f" stroked="f">
                  <v:textbox inset="0,0,0,0">
                    <w:txbxContent>
                      <w:p w14:paraId="08878B81" w14:textId="77777777" w:rsidR="00B32EF2" w:rsidRDefault="00000000">
                        <w:r>
                          <w:rPr>
                            <w:rFonts w:ascii="Arial" w:eastAsia="Arial" w:hAnsi="Arial" w:cs="Arial"/>
                            <w:sz w:val="18"/>
                          </w:rPr>
                          <w:t xml:space="preserve">. L’ente impositore, l’agente della riscossione ed i soggetti iscritti all’albo di cui </w:t>
                        </w:r>
                      </w:p>
                    </w:txbxContent>
                  </v:textbox>
                </v:rect>
                <v:rect id="Rectangle 18411" o:spid="_x0000_s3862" style="position:absolute;left:-13168;top:3406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exMxAAAAN4AAAAPAAAAZHJzL2Rvd25yZXYueG1sRE9Na8JA&#10;EL0X/A/LCN7qJkUkpK4iijQHL1qFHofsmKTNzi7Z1cT++q4g9DaP9zmL1WBacaPON5YVpNMEBHFp&#10;dcOVgtPn7jUD4QOyxtYyKbiTh9Vy9LLAXNueD3Q7hkrEEPY5KqhDcLmUvqzJoJ9aRxy5i+0Mhgi7&#10;SuoO+xhuWvmWJHNpsOHYUKOjTU3lz/FqFHxt2RW7XpaX343bfxdZ+3E9nZWajIf1O4hAQ/gXP92F&#10;jvOzWZrC4514g1z+AQAA//8DAFBLAQItABQABgAIAAAAIQDb4fbL7gAAAIUBAAATAAAAAAAAAAAA&#10;AAAAAAAAAABbQ29udGVudF9UeXBlc10ueG1sUEsBAi0AFAAGAAgAAAAhAFr0LFu/AAAAFQEAAAsA&#10;AAAAAAAAAAAAAAAAHwEAAF9yZWxzLy5yZWxzUEsBAi0AFAAGAAgAAAAhANPZ7EzEAAAA3gAAAA8A&#10;AAAAAAAAAAAAAAAABwIAAGRycy9kb3ducmV2LnhtbFBLBQYAAAAAAwADALcAAAD4AgAAAAA=&#10;" filled="f" stroked="f">
                  <v:textbox inset="0,0,0,0">
                    <w:txbxContent>
                      <w:p w14:paraId="32FD237D" w14:textId="77777777" w:rsidR="00B32EF2" w:rsidRDefault="00000000">
                        <w:r>
                          <w:rPr>
                            <w:rFonts w:ascii="Arial" w:eastAsia="Arial" w:hAnsi="Arial" w:cs="Arial"/>
                            <w:sz w:val="18"/>
                          </w:rPr>
                          <w:t xml:space="preserve">all’articolo 53 del decreto legislativo 15 dicembre 1997, n. 446, nei cui confronti </w:t>
                        </w:r>
                      </w:p>
                    </w:txbxContent>
                  </v:textbox>
                </v:rect>
                <v:rect id="Rectangle 18412" o:spid="_x0000_s3863" style="position:absolute;left:-13175;top:32830;width:531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3I7xAAAAN4AAAAPAAAAZHJzL2Rvd25yZXYueG1sRE9Ni8Iw&#10;EL0v+B/CCN7WVBEp1SiiiD3sRdeFPQ7N2FabSWii7e6v3wjC3ubxPme57k0jHtT62rKCyTgBQVxY&#10;XXOp4Py5f09B+ICssbFMCn7Iw3o1eFtipm3HR3qcQiliCPsMFVQhuExKX1Rk0I+tI47cxbYGQ4Rt&#10;KXWLXQw3jZwmyVwarDk2VOhoW1FxO92Ngu8du3zfyeLyu3Uf1zxtDvfzl1KjYb9ZgAjUh3/xy53r&#10;OD+dTabwfCfeIFd/AAAA//8DAFBLAQItABQABgAIAAAAIQDb4fbL7gAAAIUBAAATAAAAAAAAAAAA&#10;AAAAAAAAAABbQ29udGVudF9UeXBlc10ueG1sUEsBAi0AFAAGAAgAAAAhAFr0LFu/AAAAFQEAAAsA&#10;AAAAAAAAAAAAAAAAHwEAAF9yZWxzLy5yZWxzUEsBAi0AFAAGAAgAAAAhACMLcjvEAAAA3gAAAA8A&#10;AAAAAAAAAAAAAAAABwIAAGRycy9kb3ducmV2LnhtbFBLBQYAAAAAAwADALcAAAD4AgAAAAA=&#10;" filled="f" stroked="f">
                  <v:textbox inset="0,0,0,0">
                    <w:txbxContent>
                      <w:p w14:paraId="2ECC1ED8" w14:textId="77777777" w:rsidR="00B32EF2" w:rsidRDefault="00000000">
                        <w:r>
                          <w:rPr>
                            <w:rFonts w:ascii="Arial" w:eastAsia="Arial" w:hAnsi="Arial" w:cs="Arial"/>
                            <w:sz w:val="18"/>
                          </w:rPr>
                          <w:t xml:space="preserve">è stato proposto il ricorso si costituiscono in giudizio entro sessanta giorni dal </w:t>
                        </w:r>
                      </w:p>
                    </w:txbxContent>
                  </v:textbox>
                </v:rect>
                <v:rect id="Rectangle 18413" o:spid="_x0000_s3864" style="position:absolute;left:-13168;top:31597;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9egxAAAAN4AAAAPAAAAZHJzL2Rvd25yZXYueG1sRE9Na8JA&#10;EL0X/A/LCN7qRltKiK4iijQHL7UKHofsmESzs0t2NdFf3y0UepvH+5z5sjeNuFPra8sKJuMEBHFh&#10;dc2lgsP39jUF4QOyxsYyKXiQh+Vi8DLHTNuOv+i+D6WIIewzVFCF4DIpfVGRQT+2jjhyZ9saDBG2&#10;pdQtdjHcNHKaJB/SYM2xoUJH64qK6/5mFJw27PJtJ4vzc+12lzxtPm+Ho1KjYb+agQjUh3/xnzvX&#10;cX76PnmD33fiDXLxAwAA//8DAFBLAQItABQABgAIAAAAIQDb4fbL7gAAAIUBAAATAAAAAAAAAAAA&#10;AAAAAAAAAABbQ29udGVudF9UeXBlc10ueG1sUEsBAi0AFAAGAAgAAAAhAFr0LFu/AAAAFQEAAAsA&#10;AAAAAAAAAAAAAAAAHwEAAF9yZWxzLy5yZWxzUEsBAi0AFAAGAAgAAAAhAExH16DEAAAA3gAAAA8A&#10;AAAAAAAAAAAAAAAABwIAAGRycy9kb3ducmV2LnhtbFBLBQYAAAAAAwADALcAAAD4AgAAAAA=&#10;" filled="f" stroked="f">
                  <v:textbox inset="0,0,0,0">
                    <w:txbxContent>
                      <w:p w14:paraId="02E67262" w14:textId="77777777" w:rsidR="00B32EF2" w:rsidRDefault="00000000">
                        <w:r>
                          <w:rPr>
                            <w:rFonts w:ascii="Arial" w:eastAsia="Arial" w:hAnsi="Arial" w:cs="Arial"/>
                            <w:sz w:val="18"/>
                          </w:rPr>
                          <w:t xml:space="preserve">giorno in cui il ricorso è stato notificato, consegnato o ricevuto a mezzo del </w:t>
                        </w:r>
                      </w:p>
                    </w:txbxContent>
                  </v:textbox>
                </v:rect>
                <v:rect id="Rectangle 18414" o:spid="_x0000_s3865" style="position:absolute;left:28818;top:30363;width:111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k/UxAAAAN4AAAAPAAAAZHJzL2Rvd25yZXYueG1sRE9Ni8Iw&#10;EL0v+B/CCN7WVJGlVKOIIvbgZV0Fj0MzttVmEppo6/76zcLC3ubxPmex6k0jntT62rKCyTgBQVxY&#10;XXOp4PS1e09B+ICssbFMCl7kYbUcvC0w07bjT3oeQyliCPsMFVQhuExKX1Rk0I+tI47c1bYGQ4Rt&#10;KXWLXQw3jZwmyYc0WHNsqNDRpqLifnwYBZctu3zXyeL6vXGHW542+8fprNRo2K/nIAL14V/85851&#10;nJ/OJjP4fSfeIJc/AAAA//8DAFBLAQItABQABgAIAAAAIQDb4fbL7gAAAIUBAAATAAAAAAAAAAAA&#10;AAAAAAAAAABbQ29udGVudF9UeXBlc10ueG1sUEsBAi0AFAAGAAgAAAAhAFr0LFu/AAAAFQEAAAsA&#10;AAAAAAAAAAAAAAAAHwEAAF9yZWxzLy5yZWxzUEsBAi0AFAAGAAgAAAAhAMOuT9TEAAAA3gAAAA8A&#10;AAAAAAAAAAAAAAAABwIAAGRycy9kb3ducmV2LnhtbFBLBQYAAAAAAwADALcAAAD4AgAAAAA=&#10;" filled="f" stroked="f">
                  <v:textbox inset="0,0,0,0">
                    <w:txbxContent>
                      <w:p w14:paraId="7DA2D4DB" w14:textId="77777777" w:rsidR="00B32EF2" w:rsidRDefault="00000000">
                        <w:r>
                          <w:rPr>
                            <w:rFonts w:ascii="Arial" w:eastAsia="Arial" w:hAnsi="Arial" w:cs="Arial"/>
                            <w:sz w:val="18"/>
                          </w:rPr>
                          <w:t>servizio postale.</w:t>
                        </w:r>
                      </w:p>
                    </w:txbxContent>
                  </v:textbox>
                </v:rect>
                <v:rect id="Rectangle 200982" o:spid="_x0000_s3866" style="position:absolute;left:26113;top:2913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K9vxgAAAN8AAAAPAAAAZHJzL2Rvd25yZXYueG1sRI9Ba8JA&#10;FITvhf6H5RV6q5t6KGl0laKIOfSijeDxkX0m0ezbJbua1F/vCoLHYWa+YabzwbTiQp1vLCv4HCUg&#10;iEurG64UFH+rjxSED8gaW8uk4J88zGevL1PMtO15Q5dtqESEsM9QQR2Cy6T0ZU0G/cg64ugdbGcw&#10;RNlVUnfYR7hp5ThJvqTBhuNCjY4WNZWn7dko2C/Z5atelofrwv0e87Rdn4udUu9vw88ERKAhPMOP&#10;dq4VROJ3Oob7n/gF5OwGAAD//wMAUEsBAi0AFAAGAAgAAAAhANvh9svuAAAAhQEAABMAAAAAAAAA&#10;AAAAAAAAAAAAAFtDb250ZW50X1R5cGVzXS54bWxQSwECLQAUAAYACAAAACEAWvQsW78AAAAVAQAA&#10;CwAAAAAAAAAAAAAAAAAfAQAAX3JlbHMvLnJlbHNQSwECLQAUAAYACAAAACEA7dyvb8YAAADfAAAA&#10;DwAAAAAAAAAAAAAAAAAHAgAAZHJzL2Rvd25yZXYueG1sUEsFBgAAAAADAAMAtwAAAPoCAAAAAA==&#10;" filled="f" stroked="f">
                  <v:textbox inset="0,0,0,0">
                    <w:txbxContent>
                      <w:p w14:paraId="4FA4666A" w14:textId="77777777" w:rsidR="00B32EF2" w:rsidRDefault="00000000">
                        <w:r>
                          <w:rPr>
                            <w:rFonts w:ascii="Arial" w:eastAsia="Arial" w:hAnsi="Arial" w:cs="Arial"/>
                            <w:sz w:val="18"/>
                          </w:rPr>
                          <w:t>2</w:t>
                        </w:r>
                      </w:p>
                    </w:txbxContent>
                  </v:textbox>
                </v:rect>
                <v:rect id="Rectangle 200987" o:spid="_x0000_s3867" style="position:absolute;left:-13814;top:2913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wz3xwAAAN8AAAAPAAAAZHJzL2Rvd25yZXYueG1sRI9Pa8JA&#10;FMTvBb/D8gRvddMeNE1dpVjEHLz4p9DjI/tMotm3S3Y10U/vCoUeh5n5DTNb9KYRV2p9bVnB2zgB&#10;QVxYXXOp4LBfvaYgfEDW2FgmBTfysJgPXmaYadvxlq67UIoIYZ+hgioEl0npi4oM+rF1xNE72tZg&#10;iLItpW6xi3DTyPckmUiDNceFCh0tKyrOu4tR8PvNLl91sjjel25zytNmfTn8KDUa9l+fIAL14T/8&#10;1861gkj8SKfw/BO/gJw/AAAA//8DAFBLAQItABQABgAIAAAAIQDb4fbL7gAAAIUBAAATAAAAAAAA&#10;AAAAAAAAAAAAAABbQ29udGVudF9UeXBlc10ueG1sUEsBAi0AFAAGAAgAAAAhAFr0LFu/AAAAFQEA&#10;AAsAAAAAAAAAAAAAAAAAHwEAAF9yZWxzLy5yZWxzUEsBAi0AFAAGAAgAAAAhAP2rDPfHAAAA3wAA&#10;AA8AAAAAAAAAAAAAAAAABwIAAGRycy9kb3ducmV2LnhtbFBLBQYAAAAAAwADALcAAAD7AgAAAAA=&#10;" filled="f" stroked="f">
                  <v:textbox inset="0,0,0,0">
                    <w:txbxContent>
                      <w:p w14:paraId="391C9248" w14:textId="77777777" w:rsidR="00B32EF2" w:rsidRDefault="00000000">
                        <w:r>
                          <w:rPr>
                            <w:rFonts w:ascii="Arial" w:eastAsia="Arial" w:hAnsi="Arial" w:cs="Arial"/>
                            <w:sz w:val="18"/>
                          </w:rPr>
                          <w:t xml:space="preserve">. La costituzione della parte resistente è fatta mediante deposito telematico </w:t>
                        </w:r>
                      </w:p>
                    </w:txbxContent>
                  </v:textbox>
                </v:rect>
                <v:rect id="Rectangle 18416" o:spid="_x0000_s3868" style="position:absolute;left:-12201;top:27897;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HQ4xAAAAN4AAAAPAAAAZHJzL2Rvd25yZXYueG1sRE9Li8Iw&#10;EL4L/ocwwt40VRYpXaOIItvDXnws7HFoxrZrMwlNtN399UYQvM3H95zFqjeNuFHra8sKppMEBHFh&#10;dc2lgtNxN05B+ICssbFMCv7Iw2o5HCww07bjPd0OoRQxhH2GCqoQXCalLyoy6CfWEUfubFuDIcK2&#10;lLrFLoabRs6SZC4N1hwbKnS0qai4HK5Gwc+WXb7rZHH+37iv3zxtPq+nb6XeRv36A0SgPrzET3eu&#10;4/z0fTqHxzvxBrm8AwAA//8DAFBLAQItABQABgAIAAAAIQDb4fbL7gAAAIUBAAATAAAAAAAAAAAA&#10;AAAAAAAAAABbQ29udGVudF9UeXBlc10ueG1sUEsBAi0AFAAGAAgAAAAhAFr0LFu/AAAAFQEAAAsA&#10;AAAAAAAAAAAAAAAAHwEAAF9yZWxzLy5yZWxzUEsBAi0AFAAGAAgAAAAhAFwwdDjEAAAA3gAAAA8A&#10;AAAAAAAAAAAAAAAABwIAAGRycy9kb3ducmV2LnhtbFBLBQYAAAAAAwADALcAAAD4AgAAAAA=&#10;" filled="f" stroked="f">
                  <v:textbox inset="0,0,0,0">
                    <w:txbxContent>
                      <w:p w14:paraId="51706A1A" w14:textId="77777777" w:rsidR="00B32EF2" w:rsidRDefault="00000000">
                        <w:r>
                          <w:rPr>
                            <w:rFonts w:ascii="Arial" w:eastAsia="Arial" w:hAnsi="Arial" w:cs="Arial"/>
                            <w:sz w:val="18"/>
                          </w:rPr>
                          <w:t>presso la segreteria della corte di giustizia tributaria adita del proprio fasci</w:t>
                        </w:r>
                      </w:p>
                    </w:txbxContent>
                  </v:textbox>
                </v:rect>
                <v:rect id="Rectangle 18417" o:spid="_x0000_s3869" style="position:absolute;left:195;top:2789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NGjxAAAAN4AAAAPAAAAZHJzL2Rvd25yZXYueG1sRE9Na8JA&#10;EL0X/A/LCN7qRiltiK4iijQHL7UKHofsmESzs0t2NdFf3y0UepvH+5z5sjeNuFPra8sKJuMEBHFh&#10;dc2lgsP39jUF4QOyxsYyKXiQh+Vi8DLHTNuOv+i+D6WIIewzVFCF4DIpfVGRQT+2jjhyZ9saDBG2&#10;pdQtdjHcNHKaJO/SYM2xoUJH64qK6/5mFJw27PJtJ4vzc+12lzxtPm+Ho1KjYb+agQjUh3/xnzvX&#10;cX76NvmA33fiDXLxAwAA//8DAFBLAQItABQABgAIAAAAIQDb4fbL7gAAAIUBAAATAAAAAAAAAAAA&#10;AAAAAAAAAABbQ29udGVudF9UeXBlc10ueG1sUEsBAi0AFAAGAAgAAAAhAFr0LFu/AAAAFQEAAAsA&#10;AAAAAAAAAAAAAAAAHwEAAF9yZWxzLy5yZWxzUEsBAi0AFAAGAAgAAAAhADN80aPEAAAA3gAAAA8A&#10;AAAAAAAAAAAAAAAABwIAAGRycy9kb3ducmV2LnhtbFBLBQYAAAAAAwADALcAAAD4AgAAAAA=&#10;" filled="f" stroked="f">
                  <v:textbox inset="0,0,0,0">
                    <w:txbxContent>
                      <w:p w14:paraId="73BB8BCA" w14:textId="77777777" w:rsidR="00B32EF2" w:rsidRDefault="00000000">
                        <w:r>
                          <w:rPr>
                            <w:rFonts w:ascii="Arial" w:eastAsia="Arial" w:hAnsi="Arial" w:cs="Arial"/>
                            <w:sz w:val="18"/>
                          </w:rPr>
                          <w:t>-</w:t>
                        </w:r>
                      </w:p>
                    </w:txbxContent>
                  </v:textbox>
                </v:rect>
                <v:rect id="Rectangle 18418" o:spid="_x0000_s3870" style="position:absolute;left:-13168;top:2666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0XRxwAAAN4AAAAPAAAAZHJzL2Rvd25yZXYueG1sRI9Ba8JA&#10;EIXvgv9hGaE33SilhNRViiLNoRethR6H7Jikzc4u2dWk/fXOodDbDO/Ne9+st6Pr1I362Ho2sFxk&#10;oIgrb1uuDZzfD/McVEzIFjvPZOCHImw308kaC+sHPtLtlGolIRwLNNCkFAqtY9WQw7jwgVi0i+8d&#10;Jln7WtseBwl3nV5l2ZN22LI0NBho11D1fbo6A597DuVh0NXldxfevsq8e72eP4x5mI0vz6ASjenf&#10;/HddWsHPH5fCK+/IDHpzBwAA//8DAFBLAQItABQABgAIAAAAIQDb4fbL7gAAAIUBAAATAAAAAAAA&#10;AAAAAAAAAAAAAABbQ29udGVudF9UeXBlc10ueG1sUEsBAi0AFAAGAAgAAAAhAFr0LFu/AAAAFQEA&#10;AAsAAAAAAAAAAAAAAAAAHwEAAF9yZWxzLy5yZWxzUEsBAi0AFAAGAAgAAAAhAELjRdHHAAAA3gAA&#10;AA8AAAAAAAAAAAAAAAAABwIAAGRycy9kb3ducmV2LnhtbFBLBQYAAAAAAwADALcAAAD7AgAAAAA=&#10;" filled="f" stroked="f">
                  <v:textbox inset="0,0,0,0">
                    <w:txbxContent>
                      <w:p w14:paraId="6E408883" w14:textId="77777777" w:rsidR="00B32EF2" w:rsidRDefault="00000000">
                        <w:r>
                          <w:rPr>
                            <w:rFonts w:ascii="Arial" w:eastAsia="Arial" w:hAnsi="Arial" w:cs="Arial"/>
                            <w:sz w:val="18"/>
                          </w:rPr>
                          <w:t xml:space="preserve">colo contenente le controdeduzioni e i documenti offerti in comunicazione. </w:t>
                        </w:r>
                      </w:p>
                    </w:txbxContent>
                  </v:textbox>
                </v:rect>
                <v:rect id="Rectangle 18419" o:spid="_x0000_s3871" style="position:absolute;left:-13167;top:25430;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BKxAAAAN4AAAAPAAAAZHJzL2Rvd25yZXYueG1sRE9Na8JA&#10;EL0X/A/LCN7qRiklja4iijQHL7UKHofsmESzs0t2NdFf3y0UepvH+5z5sjeNuFPra8sKJuMEBHFh&#10;dc2lgsP39jUF4QOyxsYyKXiQh+Vi8DLHTNuOv+i+D6WIIewzVFCF4DIpfVGRQT+2jjhyZ9saDBG2&#10;pdQtdjHcNHKaJO/SYM2xoUJH64qK6/5mFJw27PJtJ4vzc+12lzxtPm+Ho1KjYb+agQjUh3/xnzvX&#10;cX76NvmA33fiDXLxAwAA//8DAFBLAQItABQABgAIAAAAIQDb4fbL7gAAAIUBAAATAAAAAAAAAAAA&#10;AAAAAAAAAABbQ29udGVudF9UeXBlc10ueG1sUEsBAi0AFAAGAAgAAAAhAFr0LFu/AAAAFQEAAAsA&#10;AAAAAAAAAAAAAAAAHwEAAF9yZWxzLy5yZWxzUEsBAi0AFAAGAAgAAAAhAC2v4ErEAAAA3gAAAA8A&#10;AAAAAAAAAAAAAAAABwIAAGRycy9kb3ducmV2LnhtbFBLBQYAAAAAAwADALcAAAD4AgAAAAA=&#10;" filled="f" stroked="f">
                  <v:textbox inset="0,0,0,0">
                    <w:txbxContent>
                      <w:p w14:paraId="7B437F63" w14:textId="77777777" w:rsidR="00B32EF2" w:rsidRDefault="00000000">
                        <w:r>
                          <w:rPr>
                            <w:rFonts w:ascii="Arial" w:eastAsia="Arial" w:hAnsi="Arial" w:cs="Arial"/>
                            <w:sz w:val="18"/>
                          </w:rPr>
                          <w:t xml:space="preserve">Le controdeduzioni e i documenti di cui al periodo precedente, nei casi di cui </w:t>
                        </w:r>
                      </w:p>
                    </w:txbxContent>
                  </v:textbox>
                </v:rect>
                <v:rect id="Rectangle 18420" o:spid="_x0000_s3872" style="position:absolute;left:-13168;top:2419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NqyAAAAN4AAAAPAAAAZHJzL2Rvd25yZXYueG1sRI9Pa8Mw&#10;DMXvg30Ho8Fuq7MyRkjrltJRlsMu/TPYUcRqkjaWTew22T59dRj0JqGn995vvhxdp67Ux9azgddJ&#10;Boq48rbl2sBhv3nJQcWEbLHzTAZ+KcJy8fgwx8L6gbd03aVaiQnHAg00KYVC61g15DBOfCCW29H3&#10;DpOsfa1tj4OYu05Ps+xdO2xZEhoMtG6oOu8uzsDPB4dyM+jq+LcOX6cy7z4vh29jnp/G1QxUojHd&#10;xf/fpZX6+dtUAARHZtCLGwAAAP//AwBQSwECLQAUAAYACAAAACEA2+H2y+4AAACFAQAAEwAAAAAA&#10;AAAAAAAAAAAAAAAAW0NvbnRlbnRfVHlwZXNdLnhtbFBLAQItABQABgAIAAAAIQBa9CxbvwAAABUB&#10;AAALAAAAAAAAAAAAAAAAAB8BAABfcmVscy8ucmVsc1BLAQItABQABgAIAAAAIQBy+YNqyAAAAN4A&#10;AAAPAAAAAAAAAAAAAAAAAAcCAABkcnMvZG93bnJldi54bWxQSwUGAAAAAAMAAwC3AAAA/AIAAAAA&#10;" filled="f" stroked="f">
                  <v:textbox inset="0,0,0,0">
                    <w:txbxContent>
                      <w:p w14:paraId="715CF378" w14:textId="77777777" w:rsidR="00B32EF2" w:rsidRDefault="00000000">
                        <w:r>
                          <w:rPr>
                            <w:rFonts w:ascii="Arial" w:eastAsia="Arial" w:hAnsi="Arial" w:cs="Arial"/>
                            <w:sz w:val="18"/>
                          </w:rPr>
                          <w:t xml:space="preserve">all’articolo 129 comma 3, sono depositati in tante copie quante sono le parti </w:t>
                        </w:r>
                      </w:p>
                    </w:txbxContent>
                  </v:textbox>
                </v:rect>
                <v:rect id="Rectangle 18421" o:spid="_x0000_s3873" style="position:absolute;left:32262;top:22964;width:765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SbxxAAAAN4AAAAPAAAAZHJzL2Rvd25yZXYueG1sRE9Ni8Iw&#10;EL0v+B/CCN7WVBEp1SiiiD3sRdeFPQ7N2FabSWii7e6v3wjC3ubxPme57k0jHtT62rKCyTgBQVxY&#10;XXOp4Py5f09B+ICssbFMCn7Iw3o1eFtipm3HR3qcQiliCPsMFVQhuExKX1Rk0I+tI47cxbYGQ4Rt&#10;KXWLXQw3jZwmyVwarDk2VOhoW1FxO92Ngu8du3zfyeLyu3Uf1zxtDvfzl1KjYb9ZgAjUh3/xy53r&#10;OD+dTSfwfCfeIFd/AAAA//8DAFBLAQItABQABgAIAAAAIQDb4fbL7gAAAIUBAAATAAAAAAAAAAAA&#10;AAAAAAAAAABbQ29udGVudF9UeXBlc10ueG1sUEsBAi0AFAAGAAgAAAAhAFr0LFu/AAAAFQEAAAsA&#10;AAAAAAAAAAAAAAAAHwEAAF9yZWxzLy5yZWxzUEsBAi0AFAAGAAgAAAAhAB21JvHEAAAA3gAAAA8A&#10;AAAAAAAAAAAAAAAABwIAAGRycy9kb3ducmV2LnhtbFBLBQYAAAAAAwADALcAAAD4AgAAAAA=&#10;" filled="f" stroked="f">
                  <v:textbox inset="0,0,0,0">
                    <w:txbxContent>
                      <w:p w14:paraId="7BEE0AFD" w14:textId="77777777" w:rsidR="00B32EF2" w:rsidRDefault="00000000">
                        <w:r>
                          <w:rPr>
                            <w:rFonts w:ascii="Arial" w:eastAsia="Arial" w:hAnsi="Arial" w:cs="Arial"/>
                            <w:sz w:val="18"/>
                          </w:rPr>
                          <w:t xml:space="preserve">in giudizio. </w:t>
                        </w:r>
                      </w:p>
                    </w:txbxContent>
                  </v:textbox>
                </v:rect>
                <v:rect id="Rectangle 200979" o:spid="_x0000_s3874" style="position:absolute;left:-13813;top:2173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05xwAAAN8AAAAPAAAAZHJzL2Rvd25yZXYueG1sRI9PawIx&#10;FMTvQr9DeAVvmm0PVlezUizSPfSitdDjY/P2j928hE10Vz+9EYQeh5n5DbNaD6YVZ+p8Y1nByzQB&#10;QVxY3XCl4PC9ncxB+ICssbVMCi7kYZ09jVaYatvzjs77UIkIYZ+igjoEl0rpi5oM+ql1xNErbWcw&#10;RNlVUnfYR7hp5WuSzKTBhuNCjY42NRV/+5NR8PvBLt/2siivG/d1zOft5+nwo9T4eXhfggg0hP/w&#10;o51rBZG4eFvA/U/8AjK7AQAA//8DAFBLAQItABQABgAIAAAAIQDb4fbL7gAAAIUBAAATAAAAAAAA&#10;AAAAAAAAAAAAAABbQ29udGVudF9UeXBlc10ueG1sUEsBAi0AFAAGAAgAAAAhAFr0LFu/AAAAFQEA&#10;AAsAAAAAAAAAAAAAAAAAHwEAAF9yZWxzLy5yZWxzUEsBAi0AFAAGAAgAAAAhANatTTnHAAAA3wAA&#10;AA8AAAAAAAAAAAAAAAAABwIAAGRycy9kb3ducmV2LnhtbFBLBQYAAAAAAwADALcAAAD7AgAAAAA=&#10;" filled="f" stroked="f">
                  <v:textbox inset="0,0,0,0">
                    <w:txbxContent>
                      <w:p w14:paraId="0DBC190A" w14:textId="77777777" w:rsidR="00B32EF2" w:rsidRDefault="00000000">
                        <w:r>
                          <w:rPr>
                            <w:rFonts w:ascii="Arial" w:eastAsia="Arial" w:hAnsi="Arial" w:cs="Arial"/>
                            <w:sz w:val="18"/>
                          </w:rPr>
                          <w:t xml:space="preserve">. Nelle controdeduzioni la parte resistente espone le sue difese prendendo </w:t>
                        </w:r>
                      </w:p>
                    </w:txbxContent>
                  </v:textbox>
                </v:rect>
                <v:rect id="Rectangle 200977" o:spid="_x0000_s3875" style="position:absolute;left:26113;top:2173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nzQxwAAAN8AAAAPAAAAZHJzL2Rvd25yZXYueG1sRI9La8Mw&#10;EITvhf4HsYXcErk95OFEDiUl1Ide8ij0uFjrR2qthKXETn59FQj0OMzMN8xqPZhWXKjzjWUFr5ME&#10;BHFhdcOVguNhO56D8AFZY2uZFFzJwzp7flphqm3PO7rsQyUihH2KCuoQXCqlL2oy6CfWEUevtJ3B&#10;EGVXSd1hH+GmlW9JMpUGG44LNTra1FT87s9Gwc8Hu3zby6K8bdzXKZ+3n+fjt1Kjl+F9CSLQEP7D&#10;j3auFUTiYjaD+5/4BWT2BwAA//8DAFBLAQItABQABgAIAAAAIQDb4fbL7gAAAIUBAAATAAAAAAAA&#10;AAAAAAAAAAAAAABbQ29udGVudF9UeXBlc10ueG1sUEsBAi0AFAAGAAgAAAAhAFr0LFu/AAAAFQEA&#10;AAsAAAAAAAAAAAAAAAAAHwEAAF9yZWxzLy5yZWxzUEsBAi0AFAAGAAgAAAAhAMh+fNDHAAAA3wAA&#10;AA8AAAAAAAAAAAAAAAAABwIAAGRycy9kb3ducmV2LnhtbFBLBQYAAAAAAwADALcAAAD7AgAAAAA=&#10;" filled="f" stroked="f">
                  <v:textbox inset="0,0,0,0">
                    <w:txbxContent>
                      <w:p w14:paraId="5A9998B4" w14:textId="77777777" w:rsidR="00B32EF2" w:rsidRDefault="00000000">
                        <w:r>
                          <w:rPr>
                            <w:rFonts w:ascii="Arial" w:eastAsia="Arial" w:hAnsi="Arial" w:cs="Arial"/>
                            <w:sz w:val="18"/>
                          </w:rPr>
                          <w:t>3</w:t>
                        </w:r>
                      </w:p>
                    </w:txbxContent>
                  </v:textbox>
                </v:rect>
                <v:rect id="Rectangle 18423" o:spid="_x0000_s3876" style="position:absolute;left:-12205;top:20497;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x0dxQAAAN4AAAAPAAAAZHJzL2Rvd25yZXYueG1sRE9La8JA&#10;EL4X/A/LCN7qRltKiK4iijSHXuoDPA7ZMYlmZ5fsamJ/fbdQ8DYf33Pmy9404k6try0rmIwTEMSF&#10;1TWXCg777WsKwgdkjY1lUvAgD8vF4GWOmbYdf9N9F0oRQ9hnqKAKwWVS+qIig35sHXHkzrY1GCJs&#10;S6lb7GK4aeQ0ST6kwZpjQ4WO1hUV193NKDht2OXbThbnn7X7uuRp83k7HJUaDfvVDESgPjzF/+5c&#10;x/np+/QN/t6JN8jFLwAAAP//AwBQSwECLQAUAAYACAAAACEA2+H2y+4AAACFAQAAEwAAAAAAAAAA&#10;AAAAAAAAAAAAW0NvbnRlbnRfVHlwZXNdLnhtbFBLAQItABQABgAIAAAAIQBa9CxbvwAAABUBAAAL&#10;AAAAAAAAAAAAAAAAAB8BAABfcmVscy8ucmVsc1BLAQItABQABgAIAAAAIQCCKx0dxQAAAN4AAAAP&#10;AAAAAAAAAAAAAAAAAAcCAABkcnMvZG93bnJldi54bWxQSwUGAAAAAAMAAwC3AAAA+QIAAAAA&#10;" filled="f" stroked="f">
                  <v:textbox inset="0,0,0,0">
                    <w:txbxContent>
                      <w:p w14:paraId="5233E228" w14:textId="77777777" w:rsidR="00B32EF2" w:rsidRDefault="00000000">
                        <w:r>
                          <w:rPr>
                            <w:rFonts w:ascii="Arial" w:eastAsia="Arial" w:hAnsi="Arial" w:cs="Arial"/>
                            <w:sz w:val="18"/>
                          </w:rPr>
                          <w:t>posizione sui motivi dedotti dal ricorrente e indica le prove di cui intende va</w:t>
                        </w:r>
                      </w:p>
                    </w:txbxContent>
                  </v:textbox>
                </v:rect>
                <v:rect id="Rectangle 18424" o:spid="_x0000_s3877" style="position:absolute;left:195;top:2049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oVpxAAAAN4AAAAPAAAAZHJzL2Rvd25yZXYueG1sRE9Na8JA&#10;EL0L/odlCt50U5ESUlcRRczBS20KPQ7ZMUnNzi7Z1UR/vVso9DaP9znL9WBacaPON5YVvM4SEMSl&#10;1Q1XCorP/TQF4QOyxtYyKbiTh/VqPFpipm3PH3Q7hUrEEPYZKqhDcJmUvqzJoJ9ZRxy5s+0Mhgi7&#10;SuoO+xhuWjlPkjdpsOHYUKOjbU3l5XQ1Cr537PJ9L8vzY+uOP3naHq7Fl1KTl2HzDiLQEP7Ff+5c&#10;x/npYr6A33fiDXL1BAAA//8DAFBLAQItABQABgAIAAAAIQDb4fbL7gAAAIUBAAATAAAAAAAAAAAA&#10;AAAAAAAAAABbQ29udGVudF9UeXBlc10ueG1sUEsBAi0AFAAGAAgAAAAhAFr0LFu/AAAAFQEAAAsA&#10;AAAAAAAAAAAAAAAAHwEAAF9yZWxzLy5yZWxzUEsBAi0AFAAGAAgAAAAhAA3ChWnEAAAA3gAAAA8A&#10;AAAAAAAAAAAAAAAABwIAAGRycy9kb3ducmV2LnhtbFBLBQYAAAAAAwADALcAAAD4AgAAAAA=&#10;" filled="f" stroked="f">
                  <v:textbox inset="0,0,0,0">
                    <w:txbxContent>
                      <w:p w14:paraId="33DEF515" w14:textId="77777777" w:rsidR="00B32EF2" w:rsidRDefault="00000000">
                        <w:r>
                          <w:rPr>
                            <w:rFonts w:ascii="Arial" w:eastAsia="Arial" w:hAnsi="Arial" w:cs="Arial"/>
                            <w:sz w:val="18"/>
                          </w:rPr>
                          <w:t>-</w:t>
                        </w:r>
                      </w:p>
                    </w:txbxContent>
                  </v:textbox>
                </v:rect>
                <v:rect id="Rectangle 18425" o:spid="_x0000_s3878" style="position:absolute;left:-13168;top:1926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iDyxQAAAN4AAAAPAAAAZHJzL2Rvd25yZXYueG1sRE9La8JA&#10;EL4X/A/LCN7qRmlLiK4iijSHXuoDPA7ZMYlmZ5fsamJ/fbdQ8DYf33Pmy9404k6try0rmIwTEMSF&#10;1TWXCg777WsKwgdkjY1lUvAgD8vF4GWOmbYdf9N9F0oRQ9hnqKAKwWVS+qIig35sHXHkzrY1GCJs&#10;S6lb7GK4aeQ0ST6kwZpjQ4WO1hUV193NKDht2OXbThbnn7X7uuRp83k7HJUaDfvVDESgPjzF/+5c&#10;x/np2/Qd/t6JN8jFLwAAAP//AwBQSwECLQAUAAYACAAAACEA2+H2y+4AAACFAQAAEwAAAAAAAAAA&#10;AAAAAAAAAAAAW0NvbnRlbnRfVHlwZXNdLnhtbFBLAQItABQABgAIAAAAIQBa9CxbvwAAABUBAAAL&#10;AAAAAAAAAAAAAAAAAB8BAABfcmVscy8ucmVsc1BLAQItABQABgAIAAAAIQBijiDyxQAAAN4AAAAP&#10;AAAAAAAAAAAAAAAAAAcCAABkcnMvZG93bnJldi54bWxQSwUGAAAAAAMAAwC3AAAA+QIAAAAA&#10;" filled="f" stroked="f">
                  <v:textbox inset="0,0,0,0">
                    <w:txbxContent>
                      <w:p w14:paraId="6C53B452" w14:textId="77777777" w:rsidR="00B32EF2" w:rsidRDefault="00000000">
                        <w:r>
                          <w:rPr>
                            <w:rFonts w:ascii="Arial" w:eastAsia="Arial" w:hAnsi="Arial" w:cs="Arial"/>
                            <w:sz w:val="18"/>
                          </w:rPr>
                          <w:t xml:space="preserve">lersi, proponendo altresì le eccezioni processuali e di merito che non siano </w:t>
                        </w:r>
                      </w:p>
                    </w:txbxContent>
                  </v:textbox>
                </v:rect>
                <v:rect id="Rectangle 18426" o:spid="_x0000_s3879" style="position:absolute;left:-10329;top:18030;width:502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L6FxAAAAN4AAAAPAAAAZHJzL2Rvd25yZXYueG1sRE9Na8JA&#10;EL0X/A/LFLzVTaVISF1FFGkOXqoRPA7ZMUnNzi7Z1UR/fbdQ8DaP9znz5WBacaPON5YVvE8SEMSl&#10;1Q1XCorD9i0F4QOyxtYyKbiTh+Vi9DLHTNuev+m2D5WIIewzVFCH4DIpfVmTQT+xjjhyZ9sZDBF2&#10;ldQd9jHctHKaJDNpsOHYUKOjdU3lZX81Ck4bdvm2l+X5sXa7nzxtv67FUanx67D6BBFoCE/xvzvX&#10;cX76MZ3B3zvxBrn4BQAA//8DAFBLAQItABQABgAIAAAAIQDb4fbL7gAAAIUBAAATAAAAAAAAAAAA&#10;AAAAAAAAAABbQ29udGVudF9UeXBlc10ueG1sUEsBAi0AFAAGAAgAAAAhAFr0LFu/AAAAFQEAAAsA&#10;AAAAAAAAAAAAAAAAHwEAAF9yZWxzLy5yZWxzUEsBAi0AFAAGAAgAAAAhAJJcvoXEAAAA3gAAAA8A&#10;AAAAAAAAAAAAAAAABwIAAGRycy9kb3ducmV2LnhtbFBLBQYAAAAAAwADALcAAAD4AgAAAAA=&#10;" filled="f" stroked="f">
                  <v:textbox inset="0,0,0,0">
                    <w:txbxContent>
                      <w:p w14:paraId="568D60C8" w14:textId="77777777" w:rsidR="00B32EF2" w:rsidRDefault="00000000">
                        <w:r>
                          <w:rPr>
                            <w:rFonts w:ascii="Arial" w:eastAsia="Arial" w:hAnsi="Arial" w:cs="Arial"/>
                            <w:sz w:val="18"/>
                          </w:rPr>
                          <w:t>rilevabili d’ufficio e instando, se del caso, per la chiamata di terzi in causa.</w:t>
                        </w:r>
                      </w:p>
                    </w:txbxContent>
                  </v:textbox>
                </v:rect>
                <v:rect id="Rectangle 18427" o:spid="_x0000_s3880" style="position:absolute;left:15095;top:9396;width:80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BsexQAAAN4AAAAPAAAAZHJzL2Rvd25yZXYueG1sRE9La8JA&#10;EL4X/A/LCN7qRiltiK4iijSHXuoDPA7ZMYlmZ5fsamJ/fbdQ8DYf33Pmy9404k6try0rmIwTEMSF&#10;1TWXCg777WsKwgdkjY1lUvAgD8vF4GWOmbYdf9N9F0oRQ9hnqKAKwWVS+qIig35sHXHkzrY1GCJs&#10;S6lb7GK4aeQ0Sd6lwZpjQ4WO1hUV193NKDht2OXbThbnn7X7uuRp83k7HJUaDfvVDESgPjzF/+5c&#10;x/np2/QD/t6JN8jFLwAAAP//AwBQSwECLQAUAAYACAAAACEA2+H2y+4AAACFAQAAEwAAAAAAAAAA&#10;AAAAAAAAAAAAW0NvbnRlbnRfVHlwZXNdLnhtbFBLAQItABQABgAIAAAAIQBa9CxbvwAAABUBAAAL&#10;AAAAAAAAAAAAAAAAAB8BAABfcmVscy8ucmVsc1BLAQItABQABgAIAAAAIQD9EBsexQAAAN4AAAAP&#10;AAAAAAAAAAAAAAAAAAcCAABkcnMvZG93bnJldi54bWxQSwUGAAAAAAMAAwC3AAAA+QIAAAAA&#10;" filled="f" stroked="f">
                  <v:textbox inset="0,0,0,0">
                    <w:txbxContent>
                      <w:p w14:paraId="4CD1003E" w14:textId="77777777" w:rsidR="00B32EF2" w:rsidRDefault="00000000">
                        <w:r>
                          <w:rPr>
                            <w:rFonts w:ascii="Arial" w:eastAsia="Arial" w:hAnsi="Arial" w:cs="Arial"/>
                            <w:b/>
                            <w:sz w:val="18"/>
                          </w:rPr>
                          <w:t>Articolo 70</w:t>
                        </w:r>
                      </w:p>
                    </w:txbxContent>
                  </v:textbox>
                </v:rect>
                <v:rect id="Rectangle 200974" o:spid="_x0000_s3881" style="position:absolute;left:11654;top:8163;width:193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OKnxwAAAN8AAAAPAAAAZHJzL2Rvd25yZXYueG1sRI9Ba8JA&#10;FITvgv9heYI33Vik1egqYpHm0ItWweMj+0yi2bdLdjVpf31XKPQ4zMw3zHLdmVo8qPGVZQWTcQKC&#10;OLe64kLB8Ws3moHwAVljbZkUfJOH9arfW2Kqbct7ehxCISKEfYoKyhBcKqXPSzLox9YRR+9iG4Mh&#10;yqaQusE2wk0tX5LkVRqsOC6U6GhbUn473I2C8zu7bNfK/PKzdZ/XbFZ/3I8npYaDbrMAEagL/+G/&#10;dqYVROL8bQrPP/ELyNUvAAAA//8DAFBLAQItABQABgAIAAAAIQDb4fbL7gAAAIUBAAATAAAAAAAA&#10;AAAAAAAAAAAAAABbQ29udGVudF9UeXBlc10ueG1sUEsBAi0AFAAGAAgAAAAhAFr0LFu/AAAAFQEA&#10;AAsAAAAAAAAAAAAAAAAAHwEAAF9yZWxzLy5yZWxzUEsBAi0AFAAGAAgAAAAhADis4qfHAAAA3wAA&#10;AA8AAAAAAAAAAAAAAAAABwIAAGRycy9kb3ducmV2LnhtbFBLBQYAAAAAAwADALcAAAD7AgAAAAA=&#10;" filled="f" stroked="f">
                  <v:textbox inset="0,0,0,0">
                    <w:txbxContent>
                      <w:p w14:paraId="5B2917D7" w14:textId="77777777" w:rsidR="00B32EF2" w:rsidRDefault="00000000">
                        <w:r>
                          <w:rPr>
                            <w:rFonts w:ascii="Arial" w:eastAsia="Arial" w:hAnsi="Arial" w:cs="Arial"/>
                            <w:i/>
                            <w:sz w:val="18"/>
                          </w:rPr>
                          <w:t xml:space="preserve">articolo 24 D.lgs. n. </w:t>
                        </w:r>
                      </w:p>
                    </w:txbxContent>
                  </v:textbox>
                </v:rect>
                <v:rect id="Rectangle 200973" o:spid="_x0000_s3882" style="position:absolute;left:-2570;top:8163;width:193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XrTxwAAAN8AAAAPAAAAZHJzL2Rvd25yZXYueG1sRI9Ba8JA&#10;FITvgv9heYI33Vih1egqYpHm0ItWweMj+0yi2bdLdjVpf31XKPQ4zMw3zHLdmVo8qPGVZQWTcQKC&#10;OLe64kLB8Ws3moHwAVljbZkUfJOH9arfW2Kqbct7ehxCISKEfYoKyhBcKqXPSzLox9YRR+9iG4Mh&#10;yqaQusE2wk0tX5LkVRqsOC6U6GhbUn473I2C8zu7bNfK/PKzdZ/XbFZ/3I8npYaDbrMAEagL/+G/&#10;dqYVROL8bQrPP/ELyNUvAAAA//8DAFBLAQItABQABgAIAAAAIQDb4fbL7gAAAIUBAAATAAAAAAAA&#10;AAAAAAAAAAAAAABbQ29udGVudF9UeXBlc10ueG1sUEsBAi0AFAAGAAgAAAAhAFr0LFu/AAAAFQEA&#10;AAsAAAAAAAAAAAAAAAAAHwEAAF9yZWxzLy5yZWxzUEsBAi0AFAAGAAgAAAAhALdFetPHAAAA3wAA&#10;AA8AAAAAAAAAAAAAAAAABwIAAGRycy9kb3ducmV2LnhtbFBLBQYAAAAAAwADALcAAAD7AgAAAAA=&#10;" filled="f" stroked="f">
                  <v:textbox inset="0,0,0,0">
                    <w:txbxContent>
                      <w:p w14:paraId="3F9057DA" w14:textId="77777777" w:rsidR="00B32EF2" w:rsidRDefault="00000000">
                        <w:r>
                          <w:rPr>
                            <w:rFonts w:ascii="Arial" w:eastAsia="Arial" w:hAnsi="Arial" w:cs="Arial"/>
                            <w:i/>
                            <w:sz w:val="18"/>
                          </w:rPr>
                          <w:t>546/92)</w:t>
                        </w:r>
                      </w:p>
                    </w:txbxContent>
                  </v:textbox>
                </v:rect>
                <v:rect id="Rectangle 200972" o:spid="_x0000_s3883" style="position:absolute;left:22218;top:8163;width:193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d9IxwAAAN8AAAAPAAAAZHJzL2Rvd25yZXYueG1sRI9PawIx&#10;FMTvBb9DeEJvNauH1q5mRRTpHrzUKnh8bN7+0c1L2ER366dvCoUeh5n5DbNcDaYVd+p8Y1nBdJKA&#10;IC6sbrhScPzavcxB+ICssbVMCr7JwyobPS0x1bbnT7ofQiUihH2KCuoQXCqlL2oy6CfWEUevtJ3B&#10;EGVXSd1hH+GmlbMkeZUGG44LNTra1FRcDzej4Lxll+96WZSPjdtf8nn7cTuelHoeD+sFiEBD+A//&#10;tXOtIBLf32bw+yd+AZn9AAAA//8DAFBLAQItABQABgAIAAAAIQDb4fbL7gAAAIUBAAATAAAAAAAA&#10;AAAAAAAAAAAAAABbQ29udGVudF9UeXBlc10ueG1sUEsBAi0AFAAGAAgAAAAhAFr0LFu/AAAAFQEA&#10;AAsAAAAAAAAAAAAAAAAAHwEAAF9yZWxzLy5yZWxzUEsBAi0AFAAGAAgAAAAhANgJ30jHAAAA3wAA&#10;AA8AAAAAAAAAAAAAAAAABwIAAGRycy9kb3ducmV2LnhtbFBLBQYAAAAAAwADALcAAAD7AgAAAAA=&#10;" filled="f" stroked="f">
                  <v:textbox inset="0,0,0,0">
                    <w:txbxContent>
                      <w:p w14:paraId="1BA8C4AE" w14:textId="77777777" w:rsidR="00B32EF2" w:rsidRDefault="00000000">
                        <w:r>
                          <w:rPr>
                            <w:rFonts w:ascii="Arial" w:eastAsia="Arial" w:hAnsi="Arial" w:cs="Arial"/>
                            <w:i/>
                            <w:sz w:val="18"/>
                          </w:rPr>
                          <w:t>(</w:t>
                        </w:r>
                      </w:p>
                    </w:txbxContent>
                  </v:textbox>
                </v:rect>
                <v:rect id="Rectangle 18429" o:spid="_x0000_s3884" style="position:absolute;left:201;top:6930;width:3166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yr3xQAAAN4AAAAPAAAAZHJzL2Rvd25yZXYueG1sRE9La8JA&#10;EL4X/A/LCN7qRiklRlcRRZpDL/UBHofsmESzs0t2NbG/vlso9DYf33MWq9404kGtry0rmIwTEMSF&#10;1TWXCo6H3WsKwgdkjY1lUvAkD6vl4GWBmbYdf9FjH0oRQ9hnqKAKwWVS+qIig35sHXHkLrY1GCJs&#10;S6lb7GK4aeQ0Sd6lwZpjQ4WONhUVt/3dKDhv2eW7ThaX7437vOZp83E/npQaDfv1HESgPvyL/9y5&#10;jvPTt+kMft+JN8jlDwAAAP//AwBQSwECLQAUAAYACAAAACEA2+H2y+4AAACFAQAAEwAAAAAAAAAA&#10;AAAAAAAAAAAAW0NvbnRlbnRfVHlwZXNdLnhtbFBLAQItABQABgAIAAAAIQBa9CxbvwAAABUBAAAL&#10;AAAAAAAAAAAAAAAAAB8BAABfcmVscy8ucmVsc1BLAQItABQABgAIAAAAIQDjwyr3xQAAAN4AAAAP&#10;AAAAAAAAAAAAAAAAAAcCAABkcnMvZG93bnJldi54bWxQSwUGAAAAAAMAAwC3AAAA+QIAAAAA&#10;" filled="f" stroked="f">
                  <v:textbox inset="0,0,0,0">
                    <w:txbxContent>
                      <w:p w14:paraId="47F08B6D" w14:textId="77777777" w:rsidR="00B32EF2" w:rsidRDefault="00000000">
                        <w:r>
                          <w:rPr>
                            <w:rFonts w:ascii="Arial" w:eastAsia="Arial" w:hAnsi="Arial" w:cs="Arial"/>
                            <w:b/>
                            <w:sz w:val="18"/>
                          </w:rPr>
                          <w:t xml:space="preserve">Produzione di documenti e motivi aggiunti </w:t>
                        </w:r>
                      </w:p>
                    </w:txbxContent>
                  </v:textbox>
                </v:rect>
                <v:rect id="Rectangle 200969" o:spid="_x0000_s3885" style="position:absolute;left:-12825;top:5696;width:521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NvkxwAAAN8AAAAPAAAAZHJzL2Rvd25yZXYueG1sRI9Ba8JA&#10;FITvBf/D8gRvdWMPElNXKZHQHHqpWujxkX0mabNvl+yaxP76bqHgcZiZb5jtfjKdGKj3rWUFq2UC&#10;griyuuVawflUPKYgfEDW2FkmBTfysN/NHraYaTvyOw3HUIsIYZ+hgiYEl0npq4YM+qV1xNG72N5g&#10;iLKvpe5xjHDTyackWUuDLceFBh3lDVXfx6tR8HlgVxajrC4/uXv7KtPu9Xr+UGoxn16eQQSawj38&#10;3y61gkjcrDfw9yd+Abn7BQAA//8DAFBLAQItABQABgAIAAAAIQDb4fbL7gAAAIUBAAATAAAAAAAA&#10;AAAAAAAAAAAAAABbQ29udGVudF9UeXBlc10ueG1sUEsBAi0AFAAGAAgAAAAhAFr0LFu/AAAAFQEA&#10;AAsAAAAAAAAAAAAAAAAAHwEAAF9yZWxzLy5yZWxzUEsBAi0AFAAGAAgAAAAhAFN02+THAAAA3wAA&#10;AA8AAAAAAAAAAAAAAAAABwIAAGRycy9kb3ducmV2LnhtbFBLBQYAAAAAAwADALcAAAD7AgAAAAA=&#10;" filled="f" stroked="f">
                  <v:textbox inset="0,0,0,0">
                    <w:txbxContent>
                      <w:p w14:paraId="109B36F5" w14:textId="77777777" w:rsidR="00B32EF2" w:rsidRDefault="00000000">
                        <w:r>
                          <w:rPr>
                            <w:rFonts w:ascii="Arial" w:eastAsia="Arial" w:hAnsi="Arial" w:cs="Arial"/>
                            <w:sz w:val="18"/>
                          </w:rPr>
                          <w:t>. I documenti devono essere elencati negli atti di parte cui sono allegati ov</w:t>
                        </w:r>
                      </w:p>
                    </w:txbxContent>
                  </v:textbox>
                </v:rect>
                <v:rect id="Rectangle 200967" o:spid="_x0000_s3886" style="position:absolute;left:26344;top:5696;width:521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oNxwAAAN8AAAAPAAAAZHJzL2Rvd25yZXYueG1sRI9PawIx&#10;FMTvBb9DeEJvmrUHtVuzIop0D73UKnh8bN7+qZuXsInutp/eFIQeh5n5DbNaD6YVN+p8Y1nBbJqA&#10;IC6sbrhScPzaT5YgfEDW2FomBT/kYZ2NnlaYatvzJ90OoRIRwj5FBXUILpXSFzUZ9FPriKNX2s5g&#10;iLKrpO6wj3DTypckmUuDDceFGh1tayouh6tRcN6xy/e9LMrfrfv4zpft+/V4Uup5PGzeQAQawn/4&#10;0c61gkh8nS/g70/8AjK7AwAA//8DAFBLAQItABQABgAIAAAAIQDb4fbL7gAAAIUBAAATAAAAAAAA&#10;AAAAAAAAAAAAAABbQ29udGVudF9UeXBlc10ueG1sUEsBAi0AFAAGAAgAAAAhAFr0LFu/AAAAFQEA&#10;AAsAAAAAAAAAAAAAAAAAHwEAAF9yZWxzLy5yZWxzUEsBAi0AFAAGAAgAAAAhAE2n6g3HAAAA3wAA&#10;AA8AAAAAAAAAAAAAAAAABwIAAGRycy9kb3ducmV2LnhtbFBLBQYAAAAAAwADALcAAAD7AgAAAAA=&#10;" filled="f" stroked="f">
                  <v:textbox inset="0,0,0,0">
                    <w:txbxContent>
                      <w:p w14:paraId="3F3C0951" w14:textId="77777777" w:rsidR="00B32EF2" w:rsidRDefault="00000000">
                        <w:r>
                          <w:rPr>
                            <w:rFonts w:ascii="Arial" w:eastAsia="Arial" w:hAnsi="Arial" w:cs="Arial"/>
                            <w:sz w:val="18"/>
                          </w:rPr>
                          <w:t>1</w:t>
                        </w:r>
                      </w:p>
                    </w:txbxContent>
                  </v:textbox>
                </v:rect>
                <v:rect id="Rectangle 18431" o:spid="_x0000_s3887" style="position:absolute;left:194;top:569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LAsxAAAAN4AAAAPAAAAZHJzL2Rvd25yZXYueG1sRE9Na8JA&#10;EL0X/A/LCN7qRltKiK4iijQHL7UKHofsmESzs0t2NdFf3y0UepvH+5z5sjeNuFPra8sKJuMEBHFh&#10;dc2lgsP39jUF4QOyxsYyKXiQh+Vi8DLHTNuOv+i+D6WIIewzVFCF4DIpfVGRQT+2jjhyZ9saDBG2&#10;pdQtdjHcNHKaJB/SYM2xoUJH64qK6/5mFJw27PJtJ4vzc+12lzxtPm+Ho1KjYb+agQjUh3/xnzvX&#10;cX76/jaB33fiDXLxAwAA//8DAFBLAQItABQABgAIAAAAIQDb4fbL7gAAAIUBAAATAAAAAAAAAAAA&#10;AAAAAAAAAABbQ29udGVudF9UeXBlc10ueG1sUEsBAi0AFAAGAAgAAAAhAFr0LFu/AAAAFQEAAAsA&#10;AAAAAAAAAAAAAAAAHwEAAF9yZWxzLy5yZWxzUEsBAi0AFAAGAAgAAAAhAJhssCzEAAAA3gAAAA8A&#10;AAAAAAAAAAAAAAAABwIAAGRycy9kb3ducmV2LnhtbFBLBQYAAAAAAwADALcAAAD4AgAAAAA=&#10;" filled="f" stroked="f">
                  <v:textbox inset="0,0,0,0">
                    <w:txbxContent>
                      <w:p w14:paraId="59B1AEAA" w14:textId="77777777" w:rsidR="00B32EF2" w:rsidRDefault="00000000">
                        <w:r>
                          <w:rPr>
                            <w:rFonts w:ascii="Arial" w:eastAsia="Arial" w:hAnsi="Arial" w:cs="Arial"/>
                            <w:sz w:val="18"/>
                          </w:rPr>
                          <w:t>-</w:t>
                        </w:r>
                      </w:p>
                    </w:txbxContent>
                  </v:textbox>
                </v:rect>
                <v:rect id="Rectangle 18432" o:spid="_x0000_s3888" style="position:absolute;left:-13168;top:4463;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i5bxQAAAN4AAAAPAAAAZHJzL2Rvd25yZXYueG1sRE9La8JA&#10;EL4X/A/LCN7qRltKiK4iijSHXuoDPA7ZMYlmZ5fsamJ/fbdQ8DYf33Pmy9404k6try0rmIwTEMSF&#10;1TWXCg777WsKwgdkjY1lUvAgD8vF4GWOmbYdf9N9F0oRQ9hnqKAKwWVS+qIig35sHXHkzrY1GCJs&#10;S6lb7GK4aeQ0ST6kwZpjQ4WO1hUV193NKDht2OXbThbnn7X7uuRp83k7HJUaDfvVDESgPjzF/+5c&#10;x/np+9sU/t6JN8jFLwAAAP//AwBQSwECLQAUAAYACAAAACEA2+H2y+4AAACFAQAAEwAAAAAAAAAA&#10;AAAAAAAAAAAAW0NvbnRlbnRfVHlwZXNdLnhtbFBLAQItABQABgAIAAAAIQBa9CxbvwAAABUBAAAL&#10;AAAAAAAAAAAAAAAAAB8BAABfcmVscy8ucmVsc1BLAQItABQABgAIAAAAIQBovi5bxQAAAN4AAAAP&#10;AAAAAAAAAAAAAAAAAAcCAABkcnMvZG93bnJldi54bWxQSwUGAAAAAAMAAwC3AAAA+QIAAAAA&#10;" filled="f" stroked="f">
                  <v:textbox inset="0,0,0,0">
                    <w:txbxContent>
                      <w:p w14:paraId="17CEDC6D" w14:textId="77777777" w:rsidR="00B32EF2" w:rsidRDefault="00000000">
                        <w:r>
                          <w:rPr>
                            <w:rFonts w:ascii="Arial" w:eastAsia="Arial" w:hAnsi="Arial" w:cs="Arial"/>
                            <w:sz w:val="18"/>
                          </w:rPr>
                          <w:t xml:space="preserve">vero, se prodotti separatamente, in apposita nota sottoscritta da depositare in </w:t>
                        </w:r>
                      </w:p>
                    </w:txbxContent>
                  </v:textbox>
                </v:rect>
                <v:shape id="Shape 207936" o:spid="_x0000_s3889" style="position:absolute;left:322;top:41523;width:39600;height:21041;visibility:visible;mso-wrap-style:square;v-text-anchor:top" coordsize="3960000,2104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UyfxQAAAN8AAAAPAAAAZHJzL2Rvd25yZXYueG1sRI9Bi8Iw&#10;EIXvgv8hjLA3TVXQtRpFBMGDK+p68Dg0Y1PaTEoTbfffb4SFPT7evO/NW206W4kXNb5wrGA8SkAQ&#10;Z04XnCu4fe+HnyB8QNZYOSYFP+Rhs+73Vphq1/KFXteQiwhhn6ICE0KdSukzQxb9yNXE0Xu4xmKI&#10;ssmlbrCNcFvJSZLMpMWCY4PBmnaGsvL6tPENY/dt1vpneTzJ8n4u8fhFqNTHoNsuQQTqwv/xX/qg&#10;FUyS+WI6g/eeCAG5/gUAAP//AwBQSwECLQAUAAYACAAAACEA2+H2y+4AAACFAQAAEwAAAAAAAAAA&#10;AAAAAAAAAAAAW0NvbnRlbnRfVHlwZXNdLnhtbFBLAQItABQABgAIAAAAIQBa9CxbvwAAABUBAAAL&#10;AAAAAAAAAAAAAAAAAB8BAABfcmVscy8ucmVsc1BLAQItABQABgAIAAAAIQC7KUyfxQAAAN8AAAAP&#10;AAAAAAAAAAAAAAAAAAcCAABkcnMvZG93bnJldi54bWxQSwUGAAAAAAMAAwC3AAAA+QIAAAAA&#10;" path="m,l3960000,r,2104098l,2104098,,e" fillcolor="#c3c3c3" stroked="f" strokeweight="0">
                  <v:stroke miterlimit="83231f" joinstyle="miter"/>
                  <v:path arrowok="t" textboxrect="0,0,3960000,2104098"/>
                </v:shape>
                <v:rect id="Rectangle 18434" o:spid="_x0000_s3890" style="position:absolute;left:-11867;top:60352;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O0xAAAAN4AAAAPAAAAZHJzL2Rvd25yZXYueG1sRE9Na8JA&#10;EL0X/A/LCN7qxiolRFcRRZpDL7UKHofsmESzs0t2NdFf3y0UepvH+5zFqjeNuFPra8sKJuMEBHFh&#10;dc2lgsP37jUF4QOyxsYyKXiQh9Vy8LLATNuOv+i+D6WIIewzVFCF4DIpfVGRQT+2jjhyZ9saDBG2&#10;pdQtdjHcNPItSd6lwZpjQ4WONhUV1/3NKDht2eW7Thbn58Z9XvK0+bgdjkqNhv16DiJQH/7Ff+5c&#10;x/npbDqD33fiDXL5AwAA//8DAFBLAQItABQABgAIAAAAIQDb4fbL7gAAAIUBAAATAAAAAAAAAAAA&#10;AAAAAAAAAABbQ29udGVudF9UeXBlc10ueG1sUEsBAi0AFAAGAAgAAAAhAFr0LFu/AAAAFQEAAAsA&#10;AAAAAAAAAAAAAAAAHwEAAF9yZWxzLy5yZWxzUEsBAi0AFAAGAAgAAAAhAIgbE7TEAAAA3gAAAA8A&#10;AAAAAAAAAAAAAAAABwIAAGRycy9kb3ducmV2LnhtbFBLBQYAAAAAAwADALcAAAD4AgAAAAA=&#10;" filled="f" stroked="f">
                  <v:textbox inset="0,0,0,0">
                    <w:txbxContent>
                      <w:p w14:paraId="5138F20A" w14:textId="77777777" w:rsidR="00B32EF2" w:rsidRDefault="00000000">
                        <w:r>
                          <w:rPr>
                            <w:rFonts w:ascii="Arial" w:eastAsia="Arial" w:hAnsi="Arial" w:cs="Arial"/>
                            <w:i/>
                            <w:sz w:val="18"/>
                          </w:rPr>
                          <w:t xml:space="preserve">l’ufficiale giudiziario consegna o deposita la copia dell’atto da notificare in </w:t>
                        </w:r>
                      </w:p>
                    </w:txbxContent>
                  </v:textbox>
                </v:rect>
                <v:rect id="Rectangle 18435" o:spid="_x0000_s3891" style="position:absolute;left:-11862;top:59119;width:509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7YvxQAAAN4AAAAPAAAAZHJzL2Rvd25yZXYueG1sRE9Na8JA&#10;EL0X+h+WKXirm9YqIbpKsYg5eKlV8DhkxySanV2yq4n99W5B6G0e73Nmi9404kqtry0reBsmIIgL&#10;q2suFex+Vq8pCB+QNTaWScGNPCzmz08zzLTt+Juu21CKGMI+QwVVCC6T0hcVGfRD64gjd7StwRBh&#10;W0rdYhfDTSPfk2QiDdYcGyp0tKyoOG8vRsHhi12+6mRx/F26zSlPm/Vlt1dq8NJ/TkEE6sO/+OHO&#10;dZyffozG8PdOvEHO7wAAAP//AwBQSwECLQAUAAYACAAAACEA2+H2y+4AAACFAQAAEwAAAAAAAAAA&#10;AAAAAAAAAAAAW0NvbnRlbnRfVHlwZXNdLnhtbFBLAQItABQABgAIAAAAIQBa9CxbvwAAABUBAAAL&#10;AAAAAAAAAAAAAAAAAB8BAABfcmVscy8ucmVsc1BLAQItABQABgAIAAAAIQDnV7YvxQAAAN4AAAAP&#10;AAAAAAAAAAAAAAAAAAcCAABkcnMvZG93bnJldi54bWxQSwUGAAAAAAMAAwC3AAAA+QIAAAAA&#10;" filled="f" stroked="f">
                  <v:textbox inset="0,0,0,0">
                    <w:txbxContent>
                      <w:p w14:paraId="70FC32D5" w14:textId="77777777" w:rsidR="00B32EF2" w:rsidRDefault="00000000">
                        <w:r>
                          <w:rPr>
                            <w:rFonts w:ascii="Arial" w:eastAsia="Arial" w:hAnsi="Arial" w:cs="Arial"/>
                            <w:i/>
                            <w:sz w:val="18"/>
                          </w:rPr>
                          <w:t xml:space="preserve">busta che provvede a sigillare e su cui trascrive il numero cronologico della </w:t>
                        </w:r>
                      </w:p>
                    </w:txbxContent>
                  </v:textbox>
                </v:rect>
                <v:rect id="Rectangle 18436" o:spid="_x0000_s3892" style="position:absolute;left:-11867;top:57886;width:5100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ShYxAAAAN4AAAAPAAAAZHJzL2Rvd25yZXYueG1sRE9Na8JA&#10;EL0X/A/LCN7qxlokRFcRRZpDL7UKHofsmESzs0t2NdFf3y0UepvH+5zFqjeNuFPra8sKJuMEBHFh&#10;dc2lgsP37jUF4QOyxsYyKXiQh9Vy8LLATNuOv+i+D6WIIewzVFCF4DIpfVGRQT+2jjhyZ9saDBG2&#10;pdQtdjHcNPItSWbSYM2xoUJHm4qK6/5mFJy27PJdJ4vzc+M+L3nafNwOR6VGw349BxGoD//iP3eu&#10;4/z0fTqD33fiDXL5AwAA//8DAFBLAQItABQABgAIAAAAIQDb4fbL7gAAAIUBAAATAAAAAAAAAAAA&#10;AAAAAAAAAABbQ29udGVudF9UeXBlc10ueG1sUEsBAi0AFAAGAAgAAAAhAFr0LFu/AAAAFQEAAAsA&#10;AAAAAAAAAAAAAAAAHwEAAF9yZWxzLy5yZWxzUEsBAi0AFAAGAAgAAAAhABeFKFjEAAAA3gAAAA8A&#10;AAAAAAAAAAAAAAAABwIAAGRycy9kb3ducmV2LnhtbFBLBQYAAAAAAwADALcAAAD4AgAAAAA=&#10;" filled="f" stroked="f">
                  <v:textbox inset="0,0,0,0">
                    <w:txbxContent>
                      <w:p w14:paraId="55CBBA59" w14:textId="77777777" w:rsidR="00B32EF2" w:rsidRDefault="00000000">
                        <w:r>
                          <w:rPr>
                            <w:rFonts w:ascii="Arial" w:eastAsia="Arial" w:hAnsi="Arial" w:cs="Arial"/>
                            <w:i/>
                            <w:sz w:val="18"/>
                          </w:rPr>
                          <w:t xml:space="preserve">notificazione, dandone atto nella relazione in calce all’originale e alla copia </w:t>
                        </w:r>
                      </w:p>
                    </w:txbxContent>
                  </v:textbox>
                </v:rect>
                <v:rect id="Rectangle 18437" o:spid="_x0000_s3893" style="position:absolute;left:-11888;top:56652;width:510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Y3DxQAAAN4AAAAPAAAAZHJzL2Rvd25yZXYueG1sRE9Na8JA&#10;EL0X+h+WKXirm9aiIbpKsYg5eKlV8DhkxySanV2yq4n99W5B6G0e73Nmi9404kqtry0reBsmIIgL&#10;q2suFex+Vq8pCB+QNTaWScGNPCzmz08zzLTt+Juu21CKGMI+QwVVCC6T0hcVGfRD64gjd7StwRBh&#10;W0rdYhfDTSPfk2QsDdYcGyp0tKyoOG8vRsHhi12+6mRx/F26zSlPm/Vlt1dq8NJ/TkEE6sO/+OHO&#10;dZyffowm8PdOvEHO7wAAAP//AwBQSwECLQAUAAYACAAAACEA2+H2y+4AAACFAQAAEwAAAAAAAAAA&#10;AAAAAAAAAAAAW0NvbnRlbnRfVHlwZXNdLnhtbFBLAQItABQABgAIAAAAIQBa9CxbvwAAABUBAAAL&#10;AAAAAAAAAAAAAAAAAB8BAABfcmVscy8ucmVsc1BLAQItABQABgAIAAAAIQB4yY3DxQAAAN4AAAAP&#10;AAAAAAAAAAAAAAAAAAcCAABkcnMvZG93bnJldi54bWxQSwUGAAAAAAMAAwC3AAAA+QIAAAAA&#10;" filled="f" stroked="f">
                  <v:textbox inset="0,0,0,0">
                    <w:txbxContent>
                      <w:p w14:paraId="618DC8B3" w14:textId="77777777" w:rsidR="00B32EF2" w:rsidRDefault="00000000">
                        <w:r>
                          <w:rPr>
                            <w:rFonts w:ascii="Arial" w:eastAsia="Arial" w:hAnsi="Arial" w:cs="Arial"/>
                            <w:i/>
                            <w:sz w:val="18"/>
                          </w:rPr>
                          <w:t xml:space="preserve">dell’atto stesso. Sulla busta non sono apposti segni o indicazioni dai quali </w:t>
                        </w:r>
                      </w:p>
                    </w:txbxContent>
                  </v:textbox>
                </v:rect>
                <v:rect id="Rectangle 18438" o:spid="_x0000_s3894" style="position:absolute;left:12636;top:55419;width:265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hmxyAAAAN4AAAAPAAAAZHJzL2Rvd25yZXYueG1sRI9Pa8Mw&#10;DMXvg30Ho0Fvq7N1jJDVLaOjNIdd+g92FLGaZItlE7tNuk8/HQq7Sbyn936aL0fXqQv1sfVs4Gma&#10;gSKuvG25NnDYrx9zUDEhW+w8k4ErRVgu7u/mWFg/8JYuu1QrCeFYoIEmpVBoHauGHMapD8SinXzv&#10;MMna19r2OEi46/Rzlr1qhy1LQ4OBVg1VP7uzM/D1waFcD7o6/a7C53eZd5vz4WjM5GF8fwOVaEz/&#10;5tt1aQU/f5kJr7wjM+jFHwAAAP//AwBQSwECLQAUAAYACAAAACEA2+H2y+4AAACFAQAAEwAAAAAA&#10;AAAAAAAAAAAAAAAAW0NvbnRlbnRfVHlwZXNdLnhtbFBLAQItABQABgAIAAAAIQBa9CxbvwAAABUB&#10;AAALAAAAAAAAAAAAAAAAAB8BAABfcmVscy8ucmVsc1BLAQItABQABgAIAAAAIQAJVhmxyAAAAN4A&#10;AAAPAAAAAAAAAAAAAAAAAAcCAABkcnMvZG93bnJldi54bWxQSwUGAAAAAAMAAwC3AAAA/AIAAAAA&#10;" filled="f" stroked="f">
                  <v:textbox inset="0,0,0,0">
                    <w:txbxContent>
                      <w:p w14:paraId="5A1F2E8D" w14:textId="77777777" w:rsidR="00B32EF2" w:rsidRDefault="00000000">
                        <w:r>
                          <w:rPr>
                            <w:rFonts w:ascii="Arial" w:eastAsia="Arial" w:hAnsi="Arial" w:cs="Arial"/>
                            <w:i/>
                            <w:sz w:val="18"/>
                          </w:rPr>
                          <w:t>possa desumersi il contenuto dell’atto .</w:t>
                        </w:r>
                      </w:p>
                    </w:txbxContent>
                  </v:textbox>
                </v:rect>
                <v:rect id="Rectangle 200999" o:spid="_x0000_s3895" style="position:absolute;left:26087;top:54186;width:500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vDxgAAAN8AAAAPAAAAZHJzL2Rvd25yZXYueG1sRI9Pi8Iw&#10;FMTvC36H8IS9rel6ENs1yqKIPXjxH+zx0Tzb7jYvoYm266c3guBxmJnfMLNFbxpxpdbXlhV8jhIQ&#10;xIXVNZcKjof1xxSED8gaG8uk4J88LOaDtxlm2na8o+s+lCJC2GeooArBZVL6oiKDfmQdcfTOtjUY&#10;omxLqVvsItw0cpwkE2mw5rhQoaNlRcXf/mIU/KzY5etOFufb0m1/82mzuRxPSr0P++8vEIH68Ao/&#10;27lWEIlpmsLjT/wCcn4HAAD//wMAUEsBAi0AFAAGAAgAAAAhANvh9svuAAAAhQEAABMAAAAAAAAA&#10;AAAAAAAAAAAAAFtDb250ZW50X1R5cGVzXS54bWxQSwECLQAUAAYACAAAACEAWvQsW78AAAAVAQAA&#10;CwAAAAAAAAAAAAAAAAAfAQAAX3JlbHMvLnJlbHNQSwECLQAUAAYACAAAACEAZqGrw8YAAADfAAAA&#10;DwAAAAAAAAAAAAAAAAAHAgAAZHJzL2Rvd25yZXYueG1sUEsFBgAAAAADAAMAtwAAAPoCAAAAAA==&#10;" filled="f" stroked="f">
                  <v:textbox inset="0,0,0,0">
                    <w:txbxContent>
                      <w:p w14:paraId="1C53D664" w14:textId="77777777" w:rsidR="00B32EF2" w:rsidRDefault="00000000">
                        <w:r>
                          <w:rPr>
                            <w:rFonts w:ascii="Arial" w:eastAsia="Arial" w:hAnsi="Arial" w:cs="Arial"/>
                            <w:i/>
                            <w:sz w:val="18"/>
                          </w:rPr>
                          <w:t>5</w:t>
                        </w:r>
                      </w:p>
                    </w:txbxContent>
                  </v:textbox>
                </v:rect>
                <v:rect id="Rectangle 201000" o:spid="_x0000_s3896" style="position:absolute;left:-11566;top:54186;width:500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TrOxQAAAN8AAAAPAAAAZHJzL2Rvd25yZXYueG1sRI/NisIw&#10;FIX3A75DuIK7MdGFSDWKKGIXbsZRcHlprm21uQlNtHWefrIYmOXh/PEt171txIvaUDvWMBkrEMSF&#10;MzWXGs7f+885iBCRDTaOScObAqxXg48lZsZ1/EWvUyxFGuGQoYYqRp9JGYqKLIax88TJu7nWYkyy&#10;LaVpsUvjtpFTpWbSYs3poUJP24qKx+lpNVx37PN9J4vbz9Yf7/m8OTzPF61Hw36zABGpj//hv3Zu&#10;NEzVRKlEkHgSC8jVLwAAAP//AwBQSwECLQAUAAYACAAAACEA2+H2y+4AAACFAQAAEwAAAAAAAAAA&#10;AAAAAAAAAAAAW0NvbnRlbnRfVHlwZXNdLnhtbFBLAQItABQABgAIAAAAIQBa9CxbvwAAABUBAAAL&#10;AAAAAAAAAAAAAAAAAB8BAABfcmVscy8ucmVsc1BLAQItABQABgAIAAAAIQC3tTrOxQAAAN8AAAAP&#10;AAAAAAAAAAAAAAAAAAcCAABkcnMvZG93bnJldi54bWxQSwUGAAAAAAMAAwC3AAAA+QIAAAAA&#10;" filled="f" stroked="f">
                  <v:textbox inset="0,0,0,0">
                    <w:txbxContent>
                      <w:p w14:paraId="5EA336E2" w14:textId="77777777" w:rsidR="00B32EF2" w:rsidRDefault="00000000">
                        <w:r>
                          <w:rPr>
                            <w:rFonts w:ascii="Arial" w:eastAsia="Arial" w:hAnsi="Arial" w:cs="Arial"/>
                            <w:i/>
                            <w:sz w:val="18"/>
                          </w:rPr>
                          <w:t>.Le disposizioni di cui al quarto comma si applicano anche alle comunica</w:t>
                        </w:r>
                      </w:p>
                    </w:txbxContent>
                  </v:textbox>
                </v:rect>
                <v:rect id="Rectangle 18440" o:spid="_x0000_s3897" style="position:absolute;left:979;top:5418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mbKyAAAAN4AAAAPAAAAZHJzL2Rvd25yZXYueG1sRI9Pa8Mw&#10;DMXvg30Ho8Fuq7NRSsjqltFRlkMv/TPYUcRqki2WTew2WT99dSj0JqGn995vvhxdp87Ux9azgddJ&#10;Boq48rbl2sBhv37JQcWEbLHzTAb+KcJy8fgwx8L6gbd03qVaiQnHAg00KYVC61g15DBOfCCW29H3&#10;DpOsfa1tj4OYu06/ZdlMO2xZEhoMtGqo+tudnIGfTw7letDV8bIKm98y775Oh29jnp/Gj3dQicZ0&#10;F9++Syv18+lUAARHZtCLKwAAAP//AwBQSwECLQAUAAYACAAAACEA2+H2y+4AAACFAQAAEwAAAAAA&#10;AAAAAAAAAAAAAAAAW0NvbnRlbnRfVHlwZXNdLnhtbFBLAQItABQABgAIAAAAIQBa9CxbvwAAABUB&#10;AAALAAAAAAAAAAAAAAAAAB8BAABfcmVscy8ucmVsc1BLAQItABQABgAIAAAAIQCvJmbKyAAAAN4A&#10;AAAPAAAAAAAAAAAAAAAAAAcCAABkcnMvZG93bnJldi54bWxQSwUGAAAAAAMAAwC3AAAA/AIAAAAA&#10;" filled="f" stroked="f">
                  <v:textbox inset="0,0,0,0">
                    <w:txbxContent>
                      <w:p w14:paraId="04536DD3" w14:textId="77777777" w:rsidR="00B32EF2" w:rsidRDefault="00000000">
                        <w:r>
                          <w:rPr>
                            <w:rFonts w:ascii="Arial" w:eastAsia="Arial" w:hAnsi="Arial" w:cs="Arial"/>
                            <w:i/>
                            <w:sz w:val="18"/>
                          </w:rPr>
                          <w:t>-</w:t>
                        </w:r>
                      </w:p>
                    </w:txbxContent>
                  </v:textbox>
                </v:rect>
                <v:rect id="Rectangle 18441" o:spid="_x0000_s3898" style="position:absolute;left:-11294;top:52952;width:504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sNRxAAAAN4AAAAPAAAAZHJzL2Rvd25yZXYueG1sRE9Ni8Iw&#10;EL0v+B/CCN7WVJGlVKOIIvbgZV0Fj0MzttVmEppo6/76zcLC3ubxPmex6k0jntT62rKCyTgBQVxY&#10;XXOp4PS1e09B+ICssbFMCl7kYbUcvC0w07bjT3oeQyliCPsMFVQhuExKX1Rk0I+tI47c1bYGQ4Rt&#10;KXWLXQw3jZwmyYc0WHNsqNDRpqLifnwYBZctu3zXyeL6vXGHW542+8fprNRo2K/nIAL14V/85851&#10;nJ/OZhP4fSfeIJc/AAAA//8DAFBLAQItABQABgAIAAAAIQDb4fbL7gAAAIUBAAATAAAAAAAAAAAA&#10;AAAAAAAAAABbQ29udGVudF9UeXBlc10ueG1sUEsBAi0AFAAGAAgAAAAhAFr0LFu/AAAAFQEAAAsA&#10;AAAAAAAAAAAAAAAAHwEAAF9yZWxzLy5yZWxzUEsBAi0AFAAGAAgAAAAhAMBqw1HEAAAA3gAAAA8A&#10;AAAAAAAAAAAAAAAABwIAAGRycy9kb3ducmV2LnhtbFBLBQYAAAAAAwADALcAAAD4AgAAAAA=&#10;" filled="f" stroked="f">
                  <v:textbox inset="0,0,0,0">
                    <w:txbxContent>
                      <w:p w14:paraId="60B2873E" w14:textId="77777777" w:rsidR="00B32EF2" w:rsidRDefault="00000000">
                        <w:r>
                          <w:rPr>
                            <w:rFonts w:ascii="Arial" w:eastAsia="Arial" w:hAnsi="Arial" w:cs="Arial"/>
                            <w:i/>
                            <w:sz w:val="18"/>
                          </w:rPr>
                          <w:t>zioni effettuate con biglietto di cancelleria ai sensi degli articoli 133 e 136 .</w:t>
                        </w:r>
                      </w:p>
                    </w:txbxContent>
                  </v:textbox>
                </v:rect>
                <v:rect id="Rectangle 200998" o:spid="_x0000_s3899" style="position:absolute;left:-12533;top:51719;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Q5YxwAAAN8AAAAPAAAAZHJzL2Rvd25yZXYueG1sRI9Nb8Iw&#10;DIbvk/YfIk/abaTbYYKOgBATWg9c+JI4Wo1pOxonagIt+/XzAYmj9fp97Gc6H1yrrtTFxrOB91EG&#10;irj0tuHKwH63ehuDignZYuuZDNwownz2/DTF3PqeN3TdpkoJhGOOBuqUQq51LGtyGEc+EEt28p3D&#10;JGNXadthL3DX6o8s+9QOG5YLNQZa1lSetxdn4PjNoVj1ujz9LcP6txi3P5f9wZjXl2HxBSrRkB7L&#10;93ZhDQhxMpGHxUdcQM/+AQAA//8DAFBLAQItABQABgAIAAAAIQDb4fbL7gAAAIUBAAATAAAAAAAA&#10;AAAAAAAAAAAAAABbQ29udGVudF9UeXBlc10ueG1sUEsBAi0AFAAGAAgAAAAhAFr0LFu/AAAAFQEA&#10;AAsAAAAAAAAAAAAAAAAAHwEAAF9yZWxzLy5yZWxzUEsBAi0AFAAGAAgAAAAhAAntDljHAAAA3wAA&#10;AA8AAAAAAAAAAAAAAAAABwIAAGRycy9kb3ducmV2LnhtbFBLBQYAAAAAAwADALcAAAD7AgAAAAA=&#10;" filled="f" stroked="f">
                  <v:textbox inset="0,0,0,0">
                    <w:txbxContent>
                      <w:p w14:paraId="2F91063C" w14:textId="77777777" w:rsidR="00B32EF2" w:rsidRDefault="00000000">
                        <w:r>
                          <w:rPr>
                            <w:rFonts w:ascii="Arial" w:eastAsia="Arial" w:hAnsi="Arial" w:cs="Arial"/>
                            <w:i/>
                            <w:sz w:val="18"/>
                          </w:rPr>
                          <w:t xml:space="preserve">.L’avvocato esegue le notificazioni nei casi e con le modalità previste dalla </w:t>
                        </w:r>
                      </w:p>
                    </w:txbxContent>
                  </v:textbox>
                </v:rect>
                <v:rect id="Rectangle 200997" o:spid="_x0000_s3900" style="position:absolute;left:25847;top:51719;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poqxwAAAN8AAAAPAAAAZHJzL2Rvd25yZXYueG1sRI9PawIx&#10;FMTvQr9DeAVvmm0PVlezUizSPfSitdDjY/P2j928hE10Vz+9EYQeh5n5DbNaD6YVZ+p8Y1nByzQB&#10;QVxY3XCl4PC9ncxB+ICssbVMCi7kYZ09jVaYatvzjs77UIkIYZ+igjoEl0rpi5oM+ql1xNErbWcw&#10;RNlVUnfYR7hp5WuSzKTBhuNCjY42NRV/+5NR8PvBLt/2siivG/d1zOft5+nwo9T4eXhfggg0hP/w&#10;o51rBZG4WLzB/U/8AjK7AQAA//8DAFBLAQItABQABgAIAAAAIQDb4fbL7gAAAIUBAAATAAAAAAAA&#10;AAAAAAAAAAAAAABbQ29udGVudF9UeXBlc10ueG1sUEsBAi0AFAAGAAgAAAAhAFr0LFu/AAAAFQEA&#10;AAsAAAAAAAAAAAAAAAAAHwEAAF9yZWxzLy5yZWxzUEsBAi0AFAAGAAgAAAAhAHhymirHAAAA3wAA&#10;AA8AAAAAAAAAAAAAAAAABwIAAGRycy9kb3ducmV2LnhtbFBLBQYAAAAAAwADALcAAAD7AgAAAAA=&#10;" filled="f" stroked="f">
                  <v:textbox inset="0,0,0,0">
                    <w:txbxContent>
                      <w:p w14:paraId="0F8746B9" w14:textId="77777777" w:rsidR="00B32EF2" w:rsidRDefault="00000000">
                        <w:r>
                          <w:rPr>
                            <w:rFonts w:ascii="Arial" w:eastAsia="Arial" w:hAnsi="Arial" w:cs="Arial"/>
                            <w:i/>
                            <w:sz w:val="18"/>
                          </w:rPr>
                          <w:t>6</w:t>
                        </w:r>
                      </w:p>
                    </w:txbxContent>
                  </v:textbox>
                </v:rect>
                <v:rect id="Rectangle 18443" o:spid="_x0000_s3901" style="position:absolute;left:34950;top:50486;width:41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Pi9xAAAAN4AAAAPAAAAZHJzL2Rvd25yZXYueG1sRE9Na8JA&#10;EL0X/A/LCN7qxiolRFcRRZpDL7UKHofsmESzs0t2NdFf3y0UepvH+5zFqjeNuFPra8sKJuMEBHFh&#10;dc2lgsP37jUF4QOyxsYyKXiQh9Vy8LLATNuOv+i+D6WIIewzVFCF4DIpfVGRQT+2jjhyZ9saDBG2&#10;pdQtdjHcNPItSd6lwZpjQ4WONhUV1/3NKDht2eW7Thbn58Z9XvK0+bgdjkqNhv16DiJQH/7Ff+5c&#10;x/npbDaF33fiDXL5AwAA//8DAFBLAQItABQABgAIAAAAIQDb4fbL7gAAAIUBAAATAAAAAAAAAAAA&#10;AAAAAAAAAABbQ29udGVudF9UeXBlc10ueG1sUEsBAi0AFAAGAAgAAAAhAFr0LFu/AAAAFQEAAAsA&#10;AAAAAAAAAAAAAAAAHwEAAF9yZWxzLy5yZWxzUEsBAi0AFAAGAAgAAAAhAF/0+L3EAAAA3gAAAA8A&#10;AAAAAAAAAAAAAAAABwIAAGRycy9kb3ducmV2LnhtbFBLBQYAAAAAAwADALcAAAD4AgAAAAA=&#10;" filled="f" stroked="f">
                  <v:textbox inset="0,0,0,0">
                    <w:txbxContent>
                      <w:p w14:paraId="45D5D9D0" w14:textId="77777777" w:rsidR="00B32EF2" w:rsidRDefault="00000000">
                        <w:r>
                          <w:rPr>
                            <w:rFonts w:ascii="Arial" w:eastAsia="Arial" w:hAnsi="Arial" w:cs="Arial"/>
                            <w:i/>
                            <w:sz w:val="18"/>
                          </w:rPr>
                          <w:t>legge.</w:t>
                        </w:r>
                      </w:p>
                    </w:txbxContent>
                  </v:textbox>
                </v:rect>
                <v:rect id="Rectangle 200993" o:spid="_x0000_s3902" style="position:absolute;left:25844;top:49252;width:510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ZwpxwAAAN8AAAAPAAAAZHJzL2Rvd25yZXYueG1sRI9PawIx&#10;FMTvQr9DeAVvmm2FoqtZKRbpHnrRWujxsXn7x25ewia6q5/eCEKPw8z8hlmtB9OKM3W+sazgZZqA&#10;IC6sbrhScPjeTuYgfEDW2FomBRfysM6eRitMte15R+d9qESEsE9RQR2CS6X0RU0G/dQ64uiVtjMY&#10;ouwqqTvsI9y08jVJ3qTBhuNCjY42NRV/+5NR8PvBLt/2siivG/d1zOft5+nwo9T4eXhfggg0hP/w&#10;o51rBZG4WMzg/id+AZndAAAA//8DAFBLAQItABQABgAIAAAAIQDb4fbL7gAAAIUBAAATAAAAAAAA&#10;AAAAAAAAAAAAAABbQ29udGVudF9UeXBlc10ueG1sUEsBAi0AFAAGAAgAAAAhAFr0LFu/AAAAFQEA&#10;AAsAAAAAAAAAAAAAAAAAHwEAAF9yZWxzLy5yZWxzUEsBAi0AFAAGAAgAAAAhAAdJnCnHAAAA3wAA&#10;AA8AAAAAAAAAAAAAAAAABwIAAGRycy9kb3ducmV2LnhtbFBLBQYAAAAAAwADALcAAAD7AgAAAAA=&#10;" filled="f" stroked="f">
                  <v:textbox inset="0,0,0,0">
                    <w:txbxContent>
                      <w:p w14:paraId="1D651094" w14:textId="77777777" w:rsidR="00B32EF2" w:rsidRDefault="00000000">
                        <w:r>
                          <w:rPr>
                            <w:rFonts w:ascii="Arial" w:eastAsia="Arial" w:hAnsi="Arial" w:cs="Arial"/>
                            <w:i/>
                            <w:sz w:val="18"/>
                          </w:rPr>
                          <w:t>7</w:t>
                        </w:r>
                      </w:p>
                    </w:txbxContent>
                  </v:textbox>
                </v:rect>
                <v:rect id="Rectangle 200994" o:spid="_x0000_s3903" style="position:absolute;left:-12420;top:49252;width:510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ARdxwAAAN8AAAAPAAAAZHJzL2Rvd25yZXYueG1sRI9PawIx&#10;FMTvQr9DeAVvmm2RoqtZKRbpHnrRWujxsXn7x25ewia6q5/eCEKPw8z8hlmtB9OKM3W+sazgZZqA&#10;IC6sbrhScPjeTuYgfEDW2FomBRfysM6eRitMte15R+d9qESEsE9RQR2CS6X0RU0G/dQ64uiVtjMY&#10;ouwqqTvsI9y08jVJ3qTBhuNCjY42NRV/+5NR8PvBLt/2siivG/d1zOft5+nwo9T4eXhfggg0hP/w&#10;o51rBZG4WMzg/id+AZndAAAA//8DAFBLAQItABQABgAIAAAAIQDb4fbL7gAAAIUBAAATAAAAAAAA&#10;AAAAAAAAAAAAAABbQ29udGVudF9UeXBlc10ueG1sUEsBAi0AFAAGAAgAAAAhAFr0LFu/AAAAFQEA&#10;AAsAAAAAAAAAAAAAAAAAHwEAAF9yZWxzLy5yZWxzUEsBAi0AFAAGAAgAAAAhAIigBF3HAAAA3wAA&#10;AA8AAAAAAAAAAAAAAAAABwIAAGRycy9kb3ducmV2LnhtbFBLBQYAAAAAAwADALcAAAD7AgAAAAA=&#10;" filled="f" stroked="f">
                  <v:textbox inset="0,0,0,0">
                    <w:txbxContent>
                      <w:p w14:paraId="48148962" w14:textId="77777777" w:rsidR="00B32EF2" w:rsidRDefault="00000000">
                        <w:r>
                          <w:rPr>
                            <w:rFonts w:ascii="Arial" w:eastAsia="Arial" w:hAnsi="Arial" w:cs="Arial"/>
                            <w:i/>
                            <w:sz w:val="18"/>
                          </w:rPr>
                          <w:t xml:space="preserve">.L’ufficiale giudiziario esegue la notificazione su richiesta dell’avvocato se </w:t>
                        </w:r>
                      </w:p>
                    </w:txbxContent>
                  </v:textbox>
                </v:rect>
                <v:rect id="Rectangle 18445" o:spid="_x0000_s3904" style="position:absolute;left:-11867;top:48019;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VSxAAAAN4AAAAPAAAAZHJzL2Rvd25yZXYueG1sRE9Na8JA&#10;EL0X/A/LCN7qxmJLiK4iijQHL7UKHofsmESzs0t2NdFf3y0UepvH+5z5sjeNuFPra8sKJuMEBHFh&#10;dc2lgsP39jUF4QOyxsYyKXiQh+Vi8DLHTNuOv+i+D6WIIewzVFCF4DIpfVGRQT+2jjhyZ9saDBG2&#10;pdQtdjHcNPItST6kwZpjQ4WO1hUV1/3NKDht2OXbThbn59rtLnnafN4OR6VGw341AxGoD//iP3eu&#10;4/x0On2H33fiDXLxAwAA//8DAFBLAQItABQABgAIAAAAIQDb4fbL7gAAAIUBAAATAAAAAAAAAAAA&#10;AAAAAAAAAABbQ29udGVudF9UeXBlc10ueG1sUEsBAi0AFAAGAAgAAAAhAFr0LFu/AAAAFQEAAAsA&#10;AAAAAAAAAAAAAAAAHwEAAF9yZWxzLy5yZWxzUEsBAi0AFAAGAAgAAAAhAL9RxVLEAAAA3gAAAA8A&#10;AAAAAAAAAAAAAAAABwIAAGRycy9kb3ducmV2LnhtbFBLBQYAAAAAAwADALcAAAD4AgAAAAA=&#10;" filled="f" stroked="f">
                  <v:textbox inset="0,0,0,0">
                    <w:txbxContent>
                      <w:p w14:paraId="003533B2" w14:textId="77777777" w:rsidR="00B32EF2" w:rsidRDefault="00000000">
                        <w:r>
                          <w:rPr>
                            <w:rFonts w:ascii="Arial" w:eastAsia="Arial" w:hAnsi="Arial" w:cs="Arial"/>
                            <w:i/>
                            <w:sz w:val="18"/>
                          </w:rPr>
                          <w:t xml:space="preserve">quest’ultimo non deve eseguirla a mezzo di posta elettronica certificata o </w:t>
                        </w:r>
                      </w:p>
                    </w:txbxContent>
                  </v:textbox>
                </v:rect>
                <v:rect id="Rectangle 18446" o:spid="_x0000_s3905" style="position:absolute;left:-11867;top:46786;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1slxAAAAN4AAAAPAAAAZHJzL2Rvd25yZXYueG1sRE9Na8JA&#10;EL0X/A/LFLzVTYtISF1FFGkOXqoRPA7ZMUnNzi7Z1UR/fbdQ8DaP9znz5WBacaPON5YVvE8SEMSl&#10;1Q1XCorD9i0F4QOyxtYyKbiTh+Vi9DLHTNuev+m2D5WIIewzVFCH4DIpfVmTQT+xjjhyZ9sZDBF2&#10;ldQd9jHctPIjSWbSYMOxoUZH65rKy/5qFJw27PJtL8vzY+12P3nafl2Lo1Lj12H1CSLQEJ7if3eu&#10;4/x0Op3B3zvxBrn4BQAA//8DAFBLAQItABQABgAIAAAAIQDb4fbL7gAAAIUBAAATAAAAAAAAAAAA&#10;AAAAAAAAAABbQ29udGVudF9UeXBlc10ueG1sUEsBAi0AFAAGAAgAAAAhAFr0LFu/AAAAFQEAAAsA&#10;AAAAAAAAAAAAAAAAHwEAAF9yZWxzLy5yZWxzUEsBAi0AFAAGAAgAAAAhAE+DWyXEAAAA3gAAAA8A&#10;AAAAAAAAAAAAAAAABwIAAGRycy9kb3ducmV2LnhtbFBLBQYAAAAAAwADALcAAAD4AgAAAAA=&#10;" filled="f" stroked="f">
                  <v:textbox inset="0,0,0,0">
                    <w:txbxContent>
                      <w:p w14:paraId="4E56DE63" w14:textId="77777777" w:rsidR="00B32EF2" w:rsidRDefault="00000000">
                        <w:r>
                          <w:rPr>
                            <w:rFonts w:ascii="Arial" w:eastAsia="Arial" w:hAnsi="Arial" w:cs="Arial"/>
                            <w:i/>
                            <w:sz w:val="18"/>
                          </w:rPr>
                          <w:t xml:space="preserve">servizio elettronico di recapito certificato qualificato, o con altra modalità </w:t>
                        </w:r>
                      </w:p>
                    </w:txbxContent>
                  </v:textbox>
                </v:rect>
                <v:rect id="Rectangle 18447" o:spid="_x0000_s3906" style="position:absolute;left:-11868;top:45553;width:510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6+xAAAAN4AAAAPAAAAZHJzL2Rvd25yZXYueG1sRE9Na8JA&#10;EL0X/A/LCN7qxiJtiK4iijQHL7UKHofsmESzs0t2NdFf3y0UepvH+5z5sjeNuFPra8sKJuMEBHFh&#10;dc2lgsP39jUF4QOyxsYyKXiQh+Vi8DLHTNuOv+i+D6WIIewzVFCF4DIpfVGRQT+2jjhyZ9saDBG2&#10;pdQtdjHcNPItSd6lwZpjQ4WO1hUV1/3NKDht2OXbThbn59rtLnnafN4OR6VGw341AxGoD//iP3eu&#10;4/x0Ov2A33fiDXLxAwAA//8DAFBLAQItABQABgAIAAAAIQDb4fbL7gAAAIUBAAATAAAAAAAAAAAA&#10;AAAAAAAAAABbQ29udGVudF9UeXBlc10ueG1sUEsBAi0AFAAGAAgAAAAhAFr0LFu/AAAAFQEAAAsA&#10;AAAAAAAAAAAAAAAAHwEAAF9yZWxzLy5yZWxzUEsBAi0AFAAGAAgAAAAhACDP/r7EAAAA3gAAAA8A&#10;AAAAAAAAAAAAAAAABwIAAGRycy9kb3ducmV2LnhtbFBLBQYAAAAAAwADALcAAAD4AgAAAAA=&#10;" filled="f" stroked="f">
                  <v:textbox inset="0,0,0,0">
                    <w:txbxContent>
                      <w:p w14:paraId="599533CB" w14:textId="77777777" w:rsidR="00B32EF2" w:rsidRDefault="00000000">
                        <w:r>
                          <w:rPr>
                            <w:rFonts w:ascii="Arial" w:eastAsia="Arial" w:hAnsi="Arial" w:cs="Arial"/>
                            <w:i/>
                            <w:sz w:val="18"/>
                          </w:rPr>
                          <w:t xml:space="preserve">prevista dalla legge, salvo che l’avvocato dichiari che la notificazione con le </w:t>
                        </w:r>
                      </w:p>
                    </w:txbxContent>
                  </v:textbox>
                </v:rect>
                <v:rect id="Rectangle 18448" o:spid="_x0000_s3907" style="position:absolute;left:-11889;top:44319;width:51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GrMyAAAAN4AAAAPAAAAZHJzL2Rvd25yZXYueG1sRI9Pa8Mw&#10;DMXvg30Ho8Fuq7NRSsjqltFRlkMv/TPYUcRqki2WTew2WT99dSj0JvGe3vtpvhxdp87Ux9azgddJ&#10;Boq48rbl2sBhv37JQcWEbLHzTAb+KcJy8fgwx8L6gbd03qVaSQjHAg00KYVC61g15DBOfCAW7eh7&#10;h0nWvta2x0HCXaffsmymHbYsDQ0GWjVU/e1OzsDPJ4dyPejqeFmFzW+Zd1+nw7cxz0/jxzuoRGO6&#10;m2/XpRX8fDoVXnlHZtCLKwAAAP//AwBQSwECLQAUAAYACAAAACEA2+H2y+4AAACFAQAAEwAAAAAA&#10;AAAAAAAAAAAAAAAAW0NvbnRlbnRfVHlwZXNdLnhtbFBLAQItABQABgAIAAAAIQBa9CxbvwAAABUB&#10;AAALAAAAAAAAAAAAAAAAAB8BAABfcmVscy8ucmVsc1BLAQItABQABgAIAAAAIQBRUGrMyAAAAN4A&#10;AAAPAAAAAAAAAAAAAAAAAAcCAABkcnMvZG93bnJldi54bWxQSwUGAAAAAAMAAwC3AAAA/AIAAAAA&#10;" filled="f" stroked="f">
                  <v:textbox inset="0,0,0,0">
                    <w:txbxContent>
                      <w:p w14:paraId="73E4BA1F" w14:textId="77777777" w:rsidR="00B32EF2" w:rsidRDefault="00000000">
                        <w:r>
                          <w:rPr>
                            <w:rFonts w:ascii="Arial" w:eastAsia="Arial" w:hAnsi="Arial" w:cs="Arial"/>
                            <w:i/>
                            <w:sz w:val="18"/>
                          </w:rPr>
                          <w:t xml:space="preserve">predette modalità non è possibile o non ha avuto esito positivo per cause </w:t>
                        </w:r>
                      </w:p>
                    </w:txbxContent>
                  </v:textbox>
                </v:rect>
                <v:rect id="Rectangle 18449" o:spid="_x0000_s3908" style="position:absolute;left:-11850;top:43086;width:509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9XxAAAAN4AAAAPAAAAZHJzL2Rvd25yZXYueG1sRE9Na8JA&#10;EL0X/A/LCN7qxiIlja4iijQHL7UKHofsmESzs0t2NdFf3y0UepvH+5z5sjeNuFPra8sKJuMEBHFh&#10;dc2lgsP39jUF4QOyxsYyKXiQh+Vi8DLHTNuOv+i+D6WIIewzVFCF4DIpfVGRQT+2jjhyZ9saDBG2&#10;pdQtdjHcNPItSd6lwZpjQ4WO1hUV1/3NKDht2OXbThbn59rtLnnafN4OR6VGw341AxGoD//iP3eu&#10;4/x0Ov2A33fiDXLxAwAA//8DAFBLAQItABQABgAIAAAAIQDb4fbL7gAAAIUBAAATAAAAAAAAAAAA&#10;AAAAAAAAAABbQ29udGVudF9UeXBlc10ueG1sUEsBAi0AFAAGAAgAAAAhAFr0LFu/AAAAFQEAAAsA&#10;AAAAAAAAAAAAAAAAHwEAAF9yZWxzLy5yZWxzUEsBAi0AFAAGAAgAAAAhAD4cz1fEAAAA3gAAAA8A&#10;AAAAAAAAAAAAAAAABwIAAGRycy9kb3ducmV2LnhtbFBLBQYAAAAAAwADALcAAAD4AgAAAAA=&#10;" filled="f" stroked="f">
                  <v:textbox inset="0,0,0,0">
                    <w:txbxContent>
                      <w:p w14:paraId="2F77F2CA" w14:textId="77777777" w:rsidR="00B32EF2" w:rsidRDefault="00000000">
                        <w:r>
                          <w:rPr>
                            <w:rFonts w:ascii="Arial" w:eastAsia="Arial" w:hAnsi="Arial" w:cs="Arial"/>
                            <w:i/>
                            <w:sz w:val="18"/>
                          </w:rPr>
                          <w:t xml:space="preserve">non imputabili al destinatario. Della dichiarazione è dato atto nella relazione </w:t>
                        </w:r>
                      </w:p>
                    </w:txbxContent>
                  </v:textbox>
                </v:rect>
                <v:rect id="Rectangle 18450" o:spid="_x0000_s3909" style="position:absolute;left:28525;top:41853;width:106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XyAAAAN4AAAAPAAAAZHJzL2Rvd25yZXYueG1sRI9Pa8Mw&#10;DMXvg30Ho0Fvq7PRjZDVLaOjNIdd+g92FLGaZItlE7tNuk8/HQq7SejpvfebL0fXqQv1sfVs4Gma&#10;gSKuvG25NnDYrx9zUDEhW+w8k4ErRVgu7u/mWFg/8JYuu1QrMeFYoIEmpVBoHauGHMapD8RyO/ne&#10;YZK1r7XtcRBz1+nnLHvVDluWhAYDrRqqfnZnZ+Drg0O5HnR1+l2Fz+8y7zbnw9GYycP4/gYq0Zj+&#10;xbfv0kr9fPYiAIIjM+jFHwAAAP//AwBQSwECLQAUAAYACAAAACEA2+H2y+4AAACFAQAAEwAAAAAA&#10;AAAAAAAAAAAAAAAAW0NvbnRlbnRfVHlwZXNdLnhtbFBLAQItABQABgAIAAAAIQBa9CxbvwAAABUB&#10;AAALAAAAAAAAAAAAAAAAAB8BAABfcmVscy8ucmVsc1BLAQItABQABgAIAAAAIQAq//AXyAAAAN4A&#10;AAAPAAAAAAAAAAAAAAAAAAcCAABkcnMvZG93bnJldi54bWxQSwUGAAAAAAMAAwC3AAAA/AIAAAAA&#10;" filled="f" stroked="f">
                  <v:textbox inset="0,0,0,0">
                    <w:txbxContent>
                      <w:p w14:paraId="41F6F875" w14:textId="77777777" w:rsidR="00B32EF2" w:rsidRDefault="00000000">
                        <w:r>
                          <w:rPr>
                            <w:rFonts w:ascii="Arial" w:eastAsia="Arial" w:hAnsi="Arial" w:cs="Arial"/>
                            <w:i/>
                            <w:sz w:val="18"/>
                          </w:rPr>
                          <w:t>di notificazione.</w:t>
                        </w:r>
                      </w:p>
                    </w:txbxContent>
                  </v:textbox>
                </v:rect>
                <v:shape id="Shape 18451" o:spid="_x0000_s3910" style="position:absolute;left:322;top:41524;width:39600;height:21040;visibility:visible;mso-wrap-style:square;v-text-anchor:top" coordsize="3960000,2104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GwcxgAAAN4AAAAPAAAAZHJzL2Rvd25yZXYueG1sRE9Na8JA&#10;EL0X/A/LFHoJulGaqKmriFCw9NSooLchO01Cs7Mxu9Xk33cLhd7m8T5ntelNI27UudqygukkBkFc&#10;WF1zqeB4eB0vQDiPrLGxTAoGcrBZjx5WmGl75w+65b4UIYRdhgoq79tMSldUZNBNbEscuE/bGfQB&#10;dqXUHd5DuGnkLI5TabDm0FBhS7uKiq/82yhI3vfn8jTMD1e/fONlitH20kdKPT322xcQnnr/L/5z&#10;73WYv3hOpvD7TrhBrn8AAAD//wMAUEsBAi0AFAAGAAgAAAAhANvh9svuAAAAhQEAABMAAAAAAAAA&#10;AAAAAAAAAAAAAFtDb250ZW50X1R5cGVzXS54bWxQSwECLQAUAAYACAAAACEAWvQsW78AAAAVAQAA&#10;CwAAAAAAAAAAAAAAAAAfAQAAX3JlbHMvLnJlbHNQSwECLQAUAAYACAAAACEAIsBsHMYAAADeAAAA&#10;DwAAAAAAAAAAAAAAAAAHAgAAZHJzL2Rvd25yZXYueG1sUEsFBgAAAAADAAMAtwAAAPoCAAAAAA==&#10;" path="m,2104098r3960000,l3960000,,,,,2104098xe" filled="f" strokeweight="1pt">
                  <v:stroke miterlimit="1" joinstyle="miter"/>
                  <v:path arrowok="t" textboxrect="0,0,3960000,2104098"/>
                </v:shape>
                <v:shape id="Shape 207937" o:spid="_x0000_s3911" style="position:absolute;left:322;top:12471;width:39600;height:5274;visibility:visible;mso-wrap-style:square;v-text-anchor:top" coordsize="3960000,52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XpGxwAAAN8AAAAPAAAAZHJzL2Rvd25yZXYueG1sRI/BbsIw&#10;EETvlfoP1lbqrThAS0rAIIqERA8cSPsB23iJA/Haig2Ev6+RKvU4mpk3mvmyt624UBcaxwqGgwwE&#10;ceV0w7WC76/NyzuIEJE1to5JwY0CLBePD3MstLvyni5lrEWCcChQgYnRF1KGypDFMHCeOHkH11mM&#10;SXa11B1eE9y2cpRlE2mx4bRg0NPaUHUqz1ZBs4qf47ef22u5O7L8yNfe5K1X6vmpX81AROrjf/iv&#10;vdUKRlk+Hedw/5O+gFz8AgAA//8DAFBLAQItABQABgAIAAAAIQDb4fbL7gAAAIUBAAATAAAAAAAA&#10;AAAAAAAAAAAAAABbQ29udGVudF9UeXBlc10ueG1sUEsBAi0AFAAGAAgAAAAhAFr0LFu/AAAAFQEA&#10;AAsAAAAAAAAAAAAAAAAAHwEAAF9yZWxzLy5yZWxzUEsBAi0AFAAGAAgAAAAhANxFekbHAAAA3wAA&#10;AA8AAAAAAAAAAAAAAAAABwIAAGRycy9kb3ducmV2LnhtbFBLBQYAAAAAAwADALcAAAD7AgAAAAA=&#10;" path="m,l3960000,r,527304l,527304,,e" fillcolor="#c3c3c3" stroked="f" strokeweight="0">
                  <v:stroke miterlimit="1" joinstyle="miter"/>
                  <v:path arrowok="t" textboxrect="0,0,3960000,527304"/>
                </v:shape>
                <v:rect id="Rectangle 18453" o:spid="_x0000_s3912" style="position:absolute;left:23291;top:1553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W5gxQAAAN4AAAAPAAAAZHJzL2Rvd25yZXYueG1sRE9Na8JA&#10;EL0X+h+WKXirm9YqIbpKsYg5eKlV8DhkxySanV2yq4n99W5B6G0e73Nmi9404kqtry0reBsmIIgL&#10;q2suFex+Vq8pCB+QNTaWScGNPCzmz08zzLTt+Juu21CKGMI+QwVVCC6T0hcVGfRD64gjd7StwRBh&#10;W0rdYhfDTSPfk2QiDdYcGyp0tKyoOG8vRsHhi12+6mRx/F26zSlPm/Vlt1dq8NJ/TkEE6sO/+OHO&#10;dZyffoxH8PdOvEHO7wAAAP//AwBQSwECLQAUAAYACAAAACEA2+H2y+4AAACFAQAAEwAAAAAAAAAA&#10;AAAAAAAAAAAAW0NvbnRlbnRfVHlwZXNdLnhtbFBLAQItABQABgAIAAAAIQBa9CxbvwAAABUBAAAL&#10;AAAAAAAAAAAAAAAAAB8BAABfcmVscy8ucmVsc1BLAQItABQABgAIAAAAIQDaLW5gxQAAAN4AAAAP&#10;AAAAAAAAAAAAAAAAAAcCAABkcnMvZG93bnJldi54bWxQSwUGAAAAAAMAAwC3AAAA+QIAAAAA&#10;" filled="f" stroked="f">
                  <v:textbox inset="0,0,0,0">
                    <w:txbxContent>
                      <w:p w14:paraId="1D408FB5" w14:textId="77777777" w:rsidR="00B32EF2" w:rsidRDefault="00000000">
                        <w:r>
                          <w:rPr>
                            <w:rFonts w:ascii="Arial" w:eastAsia="Arial" w:hAnsi="Arial" w:cs="Arial"/>
                            <w:b/>
                            <w:i/>
                            <w:sz w:val="18"/>
                          </w:rPr>
                          <w:t>NORME RICHIAMATE</w:t>
                        </w:r>
                      </w:p>
                    </w:txbxContent>
                  </v:textbox>
                </v:rect>
                <v:rect id="Rectangle 18454" o:spid="_x0000_s3913" style="position:absolute;left:-11857;top:14299;width:509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PYUxAAAAN4AAAAPAAAAZHJzL2Rvd25yZXYueG1sRE9Na8JA&#10;EL0X/A/LCN7qxmJLiK4iijQHL7UKHofsmESzs0t2NdFf3y0UepvH+5z5sjeNuFPra8sKJuMEBHFh&#10;dc2lgsP39jUF4QOyxsYyKXiQh+Vi8DLHTNuOv+i+D6WIIewzVFCF4DIpfVGRQT+2jjhyZ9saDBG2&#10;pdQtdjHcNPItST6kwZpjQ4WO1hUV1/3NKDht2OXbThbn59rtLnnafN4OR6VGw341AxGoD//iP3eu&#10;4/x0+j6F33fiDXLxAwAA//8DAFBLAQItABQABgAIAAAAIQDb4fbL7gAAAIUBAAATAAAAAAAAAAAA&#10;AAAAAAAAAABbQ29udGVudF9UeXBlc10ueG1sUEsBAi0AFAAGAAgAAAAhAFr0LFu/AAAAFQEAAAsA&#10;AAAAAAAAAAAAAAAAHwEAAF9yZWxzLy5yZWxzUEsBAi0AFAAGAAgAAAAhAFXE9hTEAAAA3gAAAA8A&#10;AAAAAAAAAAAAAAAABwIAAGRycy9kb3ducmV2LnhtbFBLBQYAAAAAAwADALcAAAD4AgAAAAA=&#10;" filled="f" stroked="f">
                  <v:textbox inset="0,0,0,0">
                    <w:txbxContent>
                      <w:p w14:paraId="35DA6352" w14:textId="77777777" w:rsidR="00B32EF2" w:rsidRDefault="00000000">
                        <w:r>
                          <w:rPr>
                            <w:rFonts w:ascii="Arial" w:eastAsia="Arial" w:hAnsi="Arial" w:cs="Arial"/>
                            <w:i/>
                            <w:sz w:val="18"/>
                          </w:rPr>
                          <w:t xml:space="preserve">art. 53 D.lgs. 446/1997 “Albo per l’accertamento e riscossione delle entrate </w:t>
                        </w:r>
                      </w:p>
                    </w:txbxContent>
                  </v:textbox>
                </v:rect>
                <v:rect id="Rectangle 18455" o:spid="_x0000_s3914" style="position:absolute;left:28051;top:13066;width:1108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OPxAAAAN4AAAAPAAAAZHJzL2Rvd25yZXYueG1sRE9Na8JA&#10;EL0X/A/LCN7qxqIlRFcRRZpDL7UKHofsmESzs0t2NdFf3y0UepvH+5zFqjeNuFPra8sKJuMEBHFh&#10;dc2lgsP37jUF4QOyxsYyKXiQh9Vy8LLATNuOv+i+D6WIIewzVFCF4DIpfVGRQT+2jjhyZ9saDBG2&#10;pdQtdjHcNPItSd6lwZpjQ4WONhUV1/3NKDht2eW7Thbn58Z9XvK0+bgdjkqNhv16DiJQH/7Ff+5c&#10;x/npdDaD33fiDXL5AwAA//8DAFBLAQItABQABgAIAAAAIQDb4fbL7gAAAIUBAAATAAAAAAAAAAAA&#10;AAAAAAAAAABbQ29udGVudF9UeXBlc10ueG1sUEsBAi0AFAAGAAgAAAAhAFr0LFu/AAAAFQEAAAsA&#10;AAAAAAAAAAAAAAAAHwEAAF9yZWxzLy5yZWxzUEsBAi0AFAAGAAgAAAAhADqIU4/EAAAA3gAAAA8A&#10;AAAAAAAAAAAAAAAABwIAAGRycy9kb3ducmV2LnhtbFBLBQYAAAAAAwADALcAAAD4AgAAAAA=&#10;" filled="f" stroked="f">
                  <v:textbox inset="0,0,0,0">
                    <w:txbxContent>
                      <w:p w14:paraId="0C7521C7" w14:textId="77777777" w:rsidR="00B32EF2" w:rsidRDefault="00000000">
                        <w:r>
                          <w:rPr>
                            <w:rFonts w:ascii="Arial" w:eastAsia="Arial" w:hAnsi="Arial" w:cs="Arial"/>
                            <w:i/>
                            <w:sz w:val="18"/>
                          </w:rPr>
                          <w:t xml:space="preserve">degli enti locali” </w:t>
                        </w:r>
                      </w:p>
                    </w:txbxContent>
                  </v:textbox>
                </v:rect>
                <v:shape id="Shape 18456" o:spid="_x0000_s3915" style="position:absolute;left:322;top:12472;width:39600;height:5273;visibility:visible;mso-wrap-style:square;v-text-anchor:top" coordsize="3960000,52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pTxAAAAN4AAAAPAAAAZHJzL2Rvd25yZXYueG1sRE/NasJA&#10;EL4X+g7LFHopummxUWI2IgGrPUlTH2DIjtlgdjZmt5q+vSsUepuP73fy1Wg7caHBt44VvE4TEMS1&#10;0y03Cg7fm8kChA/IGjvHpOCXPKyKx4ccM+2u/EWXKjQihrDPUIEJoc+k9LUhi37qeuLIHd1gMUQ4&#10;NFIPeI3htpNvSZJKiy3HBoM9lYbqU/VjFWw/uHyhzw2Wid3N97Yaz31tlHp+GtdLEIHG8C/+c+90&#10;nL+YvadwfyfeIIsbAAAA//8DAFBLAQItABQABgAIAAAAIQDb4fbL7gAAAIUBAAATAAAAAAAAAAAA&#10;AAAAAAAAAABbQ29udGVudF9UeXBlc10ueG1sUEsBAi0AFAAGAAgAAAAhAFr0LFu/AAAAFQEAAAsA&#10;AAAAAAAAAAAAAAAAHwEAAF9yZWxzLy5yZWxzUEsBAi0AFAAGAAgAAAAhAMJ9ilPEAAAA3gAAAA8A&#10;AAAAAAAAAAAAAAAABwIAAGRycy9kb3ducmV2LnhtbFBLBQYAAAAAAwADALcAAAD4AgAAAAA=&#10;" path="m,527304r3960000,l3960000,,,,,527304xe" filled="f" strokeweight="1pt">
                  <v:stroke miterlimit="1" joinstyle="miter"/>
                  <v:path arrowok="t" textboxrect="0,0,3960000,527304"/>
                </v:shape>
                <w10:anchorlock/>
              </v:group>
            </w:pict>
          </mc:Fallback>
        </mc:AlternateContent>
      </w:r>
    </w:p>
    <w:p w14:paraId="7B39D139" w14:textId="77777777" w:rsidR="00B32EF2" w:rsidRDefault="00000000">
      <w:pPr>
        <w:spacing w:after="0"/>
        <w:ind w:left="-356" w:right="-306"/>
      </w:pPr>
      <w:r>
        <w:rPr>
          <w:noProof/>
        </w:rPr>
        <w:lastRenderedPageBreak/>
        <mc:AlternateContent>
          <mc:Choice Requires="wpg">
            <w:drawing>
              <wp:inline distT="0" distB="0" distL="0" distR="0" wp14:anchorId="3A224FBC" wp14:editId="5159A13C">
                <wp:extent cx="3991836" cy="6262854"/>
                <wp:effectExtent l="0" t="0" r="0" b="0"/>
                <wp:docPr id="201307" name="Group 201307"/>
                <wp:cNvGraphicFramePr/>
                <a:graphic xmlns:a="http://schemas.openxmlformats.org/drawingml/2006/main">
                  <a:graphicData uri="http://schemas.microsoft.com/office/word/2010/wordprocessingGroup">
                    <wpg:wgp>
                      <wpg:cNvGrpSpPr/>
                      <wpg:grpSpPr>
                        <a:xfrm>
                          <a:off x="0" y="0"/>
                          <a:ext cx="3991836" cy="6262854"/>
                          <a:chOff x="0" y="0"/>
                          <a:chExt cx="3991836" cy="6262854"/>
                        </a:xfrm>
                      </wpg:grpSpPr>
                      <wps:wsp>
                        <wps:cNvPr id="18538" name="Rectangle 18538"/>
                        <wps:cNvSpPr/>
                        <wps:spPr>
                          <a:xfrm rot="-10799999">
                            <a:off x="1900419" y="-62190"/>
                            <a:ext cx="178369" cy="250646"/>
                          </a:xfrm>
                          <a:prstGeom prst="rect">
                            <a:avLst/>
                          </a:prstGeom>
                          <a:ln>
                            <a:noFill/>
                          </a:ln>
                        </wps:spPr>
                        <wps:txbx>
                          <w:txbxContent>
                            <w:p w14:paraId="2D0FCA50" w14:textId="77777777" w:rsidR="00B32EF2" w:rsidRDefault="00000000">
                              <w:r>
                                <w:rPr>
                                  <w:rFonts w:ascii="Times New Roman" w:eastAsia="Times New Roman" w:hAnsi="Times New Roman" w:cs="Times New Roman"/>
                                </w:rPr>
                                <w:t>62</w:t>
                              </w:r>
                            </w:p>
                          </w:txbxContent>
                        </wps:txbx>
                        <wps:bodyPr horzOverflow="overflow" vert="horz" lIns="0" tIns="0" rIns="0" bIns="0" rtlCol="0">
                          <a:noAutofit/>
                        </wps:bodyPr>
                      </wps:wsp>
                      <wps:wsp>
                        <wps:cNvPr id="18539" name="Rectangle 18539"/>
                        <wps:cNvSpPr/>
                        <wps:spPr>
                          <a:xfrm rot="-10799999">
                            <a:off x="1506536" y="6119965"/>
                            <a:ext cx="809547" cy="142889"/>
                          </a:xfrm>
                          <a:prstGeom prst="rect">
                            <a:avLst/>
                          </a:prstGeom>
                          <a:ln>
                            <a:noFill/>
                          </a:ln>
                        </wps:spPr>
                        <wps:txbx>
                          <w:txbxContent>
                            <w:p w14:paraId="6083FE7B" w14:textId="77777777" w:rsidR="00B32EF2" w:rsidRDefault="00000000">
                              <w:r>
                                <w:rPr>
                                  <w:rFonts w:ascii="Arial" w:eastAsia="Arial" w:hAnsi="Arial" w:cs="Arial"/>
                                  <w:b/>
                                  <w:sz w:val="18"/>
                                </w:rPr>
                                <w:t>Articolo 68</w:t>
                              </w:r>
                            </w:p>
                          </w:txbxContent>
                        </wps:txbx>
                        <wps:bodyPr horzOverflow="overflow" vert="horz" lIns="0" tIns="0" rIns="0" bIns="0" rtlCol="0">
                          <a:noAutofit/>
                        </wps:bodyPr>
                      </wps:wsp>
                      <wps:wsp>
                        <wps:cNvPr id="201182" name="Rectangle 201182"/>
                        <wps:cNvSpPr/>
                        <wps:spPr>
                          <a:xfrm rot="-10799999">
                            <a:off x="2221897" y="5996635"/>
                            <a:ext cx="1941709" cy="142890"/>
                          </a:xfrm>
                          <a:prstGeom prst="rect">
                            <a:avLst/>
                          </a:prstGeom>
                          <a:ln>
                            <a:noFill/>
                          </a:ln>
                        </wps:spPr>
                        <wps:txbx>
                          <w:txbxContent>
                            <w:p w14:paraId="56595C3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183" name="Rectangle 201183"/>
                        <wps:cNvSpPr/>
                        <wps:spPr>
                          <a:xfrm rot="-10799999">
                            <a:off x="-261544" y="5996635"/>
                            <a:ext cx="1941709" cy="142890"/>
                          </a:xfrm>
                          <a:prstGeom prst="rect">
                            <a:avLst/>
                          </a:prstGeom>
                          <a:ln>
                            <a:noFill/>
                          </a:ln>
                        </wps:spPr>
                        <wps:txbx>
                          <w:txbxContent>
                            <w:p w14:paraId="0725046D"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184" name="Rectangle 201184"/>
                        <wps:cNvSpPr/>
                        <wps:spPr>
                          <a:xfrm rot="-10799999">
                            <a:off x="1163227" y="5996635"/>
                            <a:ext cx="1941709" cy="142890"/>
                          </a:xfrm>
                          <a:prstGeom prst="rect">
                            <a:avLst/>
                          </a:prstGeom>
                          <a:ln>
                            <a:noFill/>
                          </a:ln>
                        </wps:spPr>
                        <wps:txbx>
                          <w:txbxContent>
                            <w:p w14:paraId="2D5291F8" w14:textId="77777777" w:rsidR="00B32EF2" w:rsidRDefault="00000000">
                              <w:r>
                                <w:rPr>
                                  <w:rFonts w:ascii="Arial" w:eastAsia="Arial" w:hAnsi="Arial" w:cs="Arial"/>
                                  <w:i/>
                                  <w:sz w:val="18"/>
                                </w:rPr>
                                <w:t xml:space="preserve">articolo 22 D.lgs. n. </w:t>
                              </w:r>
                            </w:p>
                          </w:txbxContent>
                        </wps:txbx>
                        <wps:bodyPr horzOverflow="overflow" vert="horz" lIns="0" tIns="0" rIns="0" bIns="0" rtlCol="0">
                          <a:noAutofit/>
                        </wps:bodyPr>
                      </wps:wsp>
                      <wps:wsp>
                        <wps:cNvPr id="18541" name="Rectangle 18541"/>
                        <wps:cNvSpPr/>
                        <wps:spPr>
                          <a:xfrm rot="-10799999">
                            <a:off x="230941" y="5873305"/>
                            <a:ext cx="2828208" cy="142889"/>
                          </a:xfrm>
                          <a:prstGeom prst="rect">
                            <a:avLst/>
                          </a:prstGeom>
                          <a:ln>
                            <a:noFill/>
                          </a:ln>
                        </wps:spPr>
                        <wps:txbx>
                          <w:txbxContent>
                            <w:p w14:paraId="1E44E553" w14:textId="77777777" w:rsidR="00B32EF2" w:rsidRDefault="00000000">
                              <w:r>
                                <w:rPr>
                                  <w:rFonts w:ascii="Arial" w:eastAsia="Arial" w:hAnsi="Arial" w:cs="Arial"/>
                                  <w:b/>
                                  <w:sz w:val="18"/>
                                </w:rPr>
                                <w:t xml:space="preserve">Costituzione in giudizio del ricorrente </w:t>
                              </w:r>
                            </w:p>
                          </w:txbxContent>
                        </wps:txbx>
                        <wps:bodyPr horzOverflow="overflow" vert="horz" lIns="0" tIns="0" rIns="0" bIns="0" rtlCol="0">
                          <a:noAutofit/>
                        </wps:bodyPr>
                      </wps:wsp>
                      <wps:wsp>
                        <wps:cNvPr id="201180" name="Rectangle 201180"/>
                        <wps:cNvSpPr/>
                        <wps:spPr>
                          <a:xfrm rot="-10799999">
                            <a:off x="2635052" y="5749976"/>
                            <a:ext cx="5212125" cy="142889"/>
                          </a:xfrm>
                          <a:prstGeom prst="rect">
                            <a:avLst/>
                          </a:prstGeom>
                          <a:ln>
                            <a:noFill/>
                          </a:ln>
                        </wps:spPr>
                        <wps:txbx>
                          <w:txbxContent>
                            <w:p w14:paraId="2BCF4895"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181" name="Rectangle 201181"/>
                        <wps:cNvSpPr/>
                        <wps:spPr>
                          <a:xfrm rot="-10799999">
                            <a:off x="-1279472" y="5749976"/>
                            <a:ext cx="5212124" cy="142889"/>
                          </a:xfrm>
                          <a:prstGeom prst="rect">
                            <a:avLst/>
                          </a:prstGeom>
                          <a:ln>
                            <a:noFill/>
                          </a:ln>
                        </wps:spPr>
                        <wps:txbx>
                          <w:txbxContent>
                            <w:p w14:paraId="53E29009" w14:textId="77777777" w:rsidR="00B32EF2" w:rsidRDefault="00000000">
                              <w:r>
                                <w:rPr>
                                  <w:rFonts w:ascii="Arial" w:eastAsia="Arial" w:hAnsi="Arial" w:cs="Arial"/>
                                  <w:sz w:val="18"/>
                                </w:rPr>
                                <w:t>. Il ricorrente, entro trenta giorni dalla proposizione del ricorso, a pena d’inam</w:t>
                              </w:r>
                            </w:p>
                          </w:txbxContent>
                        </wps:txbx>
                        <wps:bodyPr horzOverflow="overflow" vert="horz" lIns="0" tIns="0" rIns="0" bIns="0" rtlCol="0">
                          <a:noAutofit/>
                        </wps:bodyPr>
                      </wps:wsp>
                      <wps:wsp>
                        <wps:cNvPr id="18543" name="Rectangle 18543"/>
                        <wps:cNvSpPr/>
                        <wps:spPr>
                          <a:xfrm rot="-10799999">
                            <a:off x="19238" y="5749975"/>
                            <a:ext cx="50622" cy="142889"/>
                          </a:xfrm>
                          <a:prstGeom prst="rect">
                            <a:avLst/>
                          </a:prstGeom>
                          <a:ln>
                            <a:noFill/>
                          </a:ln>
                        </wps:spPr>
                        <wps:txbx>
                          <w:txbxContent>
                            <w:p w14:paraId="1BF5FB3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544" name="Rectangle 18544"/>
                        <wps:cNvSpPr/>
                        <wps:spPr>
                          <a:xfrm rot="-10799999">
                            <a:off x="-1317184" y="5626646"/>
                            <a:ext cx="5309021" cy="142889"/>
                          </a:xfrm>
                          <a:prstGeom prst="rect">
                            <a:avLst/>
                          </a:prstGeom>
                          <a:ln>
                            <a:noFill/>
                          </a:ln>
                        </wps:spPr>
                        <wps:txbx>
                          <w:txbxContent>
                            <w:p w14:paraId="7F78BA89" w14:textId="77777777" w:rsidR="00B32EF2" w:rsidRDefault="00000000">
                              <w:r>
                                <w:rPr>
                                  <w:rFonts w:ascii="Arial" w:eastAsia="Arial" w:hAnsi="Arial" w:cs="Arial"/>
                                  <w:sz w:val="18"/>
                                </w:rPr>
                                <w:t xml:space="preserve">missibilità lo deposita telematicamente, nella segreteria della corte di giustizia </w:t>
                              </w:r>
                            </w:p>
                          </w:txbxContent>
                        </wps:txbx>
                        <wps:bodyPr horzOverflow="overflow" vert="horz" lIns="0" tIns="0" rIns="0" bIns="0" rtlCol="0">
                          <a:noAutofit/>
                        </wps:bodyPr>
                      </wps:wsp>
                      <wps:wsp>
                        <wps:cNvPr id="18545" name="Rectangle 18545"/>
                        <wps:cNvSpPr/>
                        <wps:spPr>
                          <a:xfrm rot="-10799999">
                            <a:off x="-1317099" y="5503316"/>
                            <a:ext cx="5309508" cy="142889"/>
                          </a:xfrm>
                          <a:prstGeom prst="rect">
                            <a:avLst/>
                          </a:prstGeom>
                          <a:ln>
                            <a:noFill/>
                          </a:ln>
                        </wps:spPr>
                        <wps:txbx>
                          <w:txbxContent>
                            <w:p w14:paraId="6CFF1D34" w14:textId="77777777" w:rsidR="00B32EF2" w:rsidRDefault="00000000">
                              <w:r>
                                <w:rPr>
                                  <w:rFonts w:ascii="Arial" w:eastAsia="Arial" w:hAnsi="Arial" w:cs="Arial"/>
                                  <w:sz w:val="18"/>
                                </w:rPr>
                                <w:t xml:space="preserve">tributaria di primo e secondo grado adita, ovvero, nei casi previsti dall’articolo </w:t>
                              </w:r>
                            </w:p>
                          </w:txbxContent>
                        </wps:txbx>
                        <wps:bodyPr horzOverflow="overflow" vert="horz" lIns="0" tIns="0" rIns="0" bIns="0" rtlCol="0">
                          <a:noAutofit/>
                        </wps:bodyPr>
                      </wps:wsp>
                      <wps:wsp>
                        <wps:cNvPr id="201178" name="Rectangle 201178"/>
                        <wps:cNvSpPr/>
                        <wps:spPr>
                          <a:xfrm rot="-10799999">
                            <a:off x="2549889" y="5379987"/>
                            <a:ext cx="5309037" cy="142889"/>
                          </a:xfrm>
                          <a:prstGeom prst="rect">
                            <a:avLst/>
                          </a:prstGeom>
                          <a:ln>
                            <a:noFill/>
                          </a:ln>
                        </wps:spPr>
                        <wps:txbx>
                          <w:txbxContent>
                            <w:p w14:paraId="17AD8C16" w14:textId="77777777" w:rsidR="00B32EF2" w:rsidRDefault="00000000">
                              <w:r>
                                <w:rPr>
                                  <w:rFonts w:ascii="Arial" w:eastAsia="Arial" w:hAnsi="Arial" w:cs="Arial"/>
                                  <w:sz w:val="18"/>
                                </w:rPr>
                                <w:t>61</w:t>
                              </w:r>
                            </w:p>
                          </w:txbxContent>
                        </wps:txbx>
                        <wps:bodyPr horzOverflow="overflow" vert="horz" lIns="0" tIns="0" rIns="0" bIns="0" rtlCol="0">
                          <a:noAutofit/>
                        </wps:bodyPr>
                      </wps:wsp>
                      <wps:wsp>
                        <wps:cNvPr id="201179" name="Rectangle 201179"/>
                        <wps:cNvSpPr/>
                        <wps:spPr>
                          <a:xfrm rot="-10799999">
                            <a:off x="-1441866" y="5379987"/>
                            <a:ext cx="5309036" cy="142889"/>
                          </a:xfrm>
                          <a:prstGeom prst="rect">
                            <a:avLst/>
                          </a:prstGeom>
                          <a:ln>
                            <a:noFill/>
                          </a:ln>
                        </wps:spPr>
                        <wps:txbx>
                          <w:txbxContent>
                            <w:p w14:paraId="7D3067B3" w14:textId="77777777" w:rsidR="00B32EF2" w:rsidRDefault="00000000">
                              <w:r>
                                <w:rPr>
                                  <w:rFonts w:ascii="Arial" w:eastAsia="Arial" w:hAnsi="Arial" w:cs="Arial"/>
                                  <w:sz w:val="18"/>
                                </w:rPr>
                                <w:t xml:space="preserve"> comma 3, trasmette a mezzo posta, in plico raccomandato senza busta con </w:t>
                              </w:r>
                            </w:p>
                          </w:txbxContent>
                        </wps:txbx>
                        <wps:bodyPr horzOverflow="overflow" vert="horz" lIns="0" tIns="0" rIns="0" bIns="0" rtlCol="0">
                          <a:noAutofit/>
                        </wps:bodyPr>
                      </wps:wsp>
                      <wps:wsp>
                        <wps:cNvPr id="18547" name="Rectangle 18547"/>
                        <wps:cNvSpPr/>
                        <wps:spPr>
                          <a:xfrm rot="-10799999">
                            <a:off x="-1317138" y="5256657"/>
                            <a:ext cx="5308975" cy="142889"/>
                          </a:xfrm>
                          <a:prstGeom prst="rect">
                            <a:avLst/>
                          </a:prstGeom>
                          <a:ln>
                            <a:noFill/>
                          </a:ln>
                        </wps:spPr>
                        <wps:txbx>
                          <w:txbxContent>
                            <w:p w14:paraId="4166F521" w14:textId="77777777" w:rsidR="00B32EF2" w:rsidRDefault="00000000">
                              <w:r>
                                <w:rPr>
                                  <w:rFonts w:ascii="Arial" w:eastAsia="Arial" w:hAnsi="Arial" w:cs="Arial"/>
                                  <w:sz w:val="18"/>
                                </w:rPr>
                                <w:t xml:space="preserve">avviso di ricevimento, l’originale del ricorso notificato a norma degli articoli 137 </w:t>
                              </w:r>
                            </w:p>
                          </w:txbxContent>
                        </wps:txbx>
                        <wps:bodyPr horzOverflow="overflow" vert="horz" lIns="0" tIns="0" rIns="0" bIns="0" rtlCol="0">
                          <a:noAutofit/>
                        </wps:bodyPr>
                      </wps:wsp>
                      <wps:wsp>
                        <wps:cNvPr id="18548" name="Rectangle 18548"/>
                        <wps:cNvSpPr/>
                        <wps:spPr>
                          <a:xfrm rot="-10799999">
                            <a:off x="-1317169" y="5133327"/>
                            <a:ext cx="5309006" cy="142889"/>
                          </a:xfrm>
                          <a:prstGeom prst="rect">
                            <a:avLst/>
                          </a:prstGeom>
                          <a:ln>
                            <a:noFill/>
                          </a:ln>
                        </wps:spPr>
                        <wps:txbx>
                          <w:txbxContent>
                            <w:p w14:paraId="3D208B51" w14:textId="77777777" w:rsidR="00B32EF2" w:rsidRDefault="00000000">
                              <w:r>
                                <w:rPr>
                                  <w:rFonts w:ascii="Arial" w:eastAsia="Arial" w:hAnsi="Arial" w:cs="Arial"/>
                                  <w:sz w:val="18"/>
                                </w:rPr>
                                <w:t xml:space="preserve">e seguenti del codice di procedura civile ovvero copia del ricorso consegnato </w:t>
                              </w:r>
                            </w:p>
                          </w:txbxContent>
                        </wps:txbx>
                        <wps:bodyPr horzOverflow="overflow" vert="horz" lIns="0" tIns="0" rIns="0" bIns="0" rtlCol="0">
                          <a:noAutofit/>
                        </wps:bodyPr>
                      </wps:wsp>
                      <wps:wsp>
                        <wps:cNvPr id="18549" name="Rectangle 18549"/>
                        <wps:cNvSpPr/>
                        <wps:spPr>
                          <a:xfrm rot="-10799999">
                            <a:off x="-1317138" y="5009998"/>
                            <a:ext cx="5308975" cy="142889"/>
                          </a:xfrm>
                          <a:prstGeom prst="rect">
                            <a:avLst/>
                          </a:prstGeom>
                          <a:ln>
                            <a:noFill/>
                          </a:ln>
                        </wps:spPr>
                        <wps:txbx>
                          <w:txbxContent>
                            <w:p w14:paraId="621EB74C" w14:textId="77777777" w:rsidR="00B32EF2" w:rsidRDefault="00000000">
                              <w:r>
                                <w:rPr>
                                  <w:rFonts w:ascii="Arial" w:eastAsia="Arial" w:hAnsi="Arial" w:cs="Arial"/>
                                  <w:sz w:val="18"/>
                                </w:rPr>
                                <w:t xml:space="preserve">o spedito per posta, con fotocopia della ricevuta di deposito o della spedizione </w:t>
                              </w:r>
                            </w:p>
                          </w:txbxContent>
                        </wps:txbx>
                        <wps:bodyPr horzOverflow="overflow" vert="horz" lIns="0" tIns="0" rIns="0" bIns="0" rtlCol="0">
                          <a:noAutofit/>
                        </wps:bodyPr>
                      </wps:wsp>
                      <wps:wsp>
                        <wps:cNvPr id="18550" name="Rectangle 18550"/>
                        <wps:cNvSpPr/>
                        <wps:spPr>
                          <a:xfrm rot="-10799999">
                            <a:off x="-1317184" y="4886668"/>
                            <a:ext cx="5309021" cy="142889"/>
                          </a:xfrm>
                          <a:prstGeom prst="rect">
                            <a:avLst/>
                          </a:prstGeom>
                          <a:ln>
                            <a:noFill/>
                          </a:ln>
                        </wps:spPr>
                        <wps:txbx>
                          <w:txbxContent>
                            <w:p w14:paraId="4E802AF0" w14:textId="77777777" w:rsidR="00B32EF2" w:rsidRDefault="00000000">
                              <w:r>
                                <w:rPr>
                                  <w:rFonts w:ascii="Arial" w:eastAsia="Arial" w:hAnsi="Arial" w:cs="Arial"/>
                                  <w:sz w:val="18"/>
                                </w:rPr>
                                <w:t xml:space="preserve">per raccomandata a mezzo del servizio postale. All’atto della costituzione in </w:t>
                              </w:r>
                            </w:p>
                          </w:txbxContent>
                        </wps:txbx>
                        <wps:bodyPr horzOverflow="overflow" vert="horz" lIns="0" tIns="0" rIns="0" bIns="0" rtlCol="0">
                          <a:noAutofit/>
                        </wps:bodyPr>
                      </wps:wsp>
                      <wps:wsp>
                        <wps:cNvPr id="18551" name="Rectangle 18551"/>
                        <wps:cNvSpPr/>
                        <wps:spPr>
                          <a:xfrm rot="-10799999">
                            <a:off x="-1317153" y="4763338"/>
                            <a:ext cx="5308990" cy="142889"/>
                          </a:xfrm>
                          <a:prstGeom prst="rect">
                            <a:avLst/>
                          </a:prstGeom>
                          <a:ln>
                            <a:noFill/>
                          </a:ln>
                        </wps:spPr>
                        <wps:txbx>
                          <w:txbxContent>
                            <w:p w14:paraId="5241E76A" w14:textId="77777777" w:rsidR="00B32EF2" w:rsidRDefault="00000000">
                              <w:r>
                                <w:rPr>
                                  <w:rFonts w:ascii="Arial" w:eastAsia="Arial" w:hAnsi="Arial" w:cs="Arial"/>
                                  <w:sz w:val="18"/>
                                </w:rPr>
                                <w:t xml:space="preserve">giudizio, il ricorrente deve depositare la nota di iscrizione al ruolo, contenente </w:t>
                              </w:r>
                            </w:p>
                          </w:txbxContent>
                        </wps:txbx>
                        <wps:bodyPr horzOverflow="overflow" vert="horz" lIns="0" tIns="0" rIns="0" bIns="0" rtlCol="0">
                          <a:noAutofit/>
                        </wps:bodyPr>
                      </wps:wsp>
                      <wps:wsp>
                        <wps:cNvPr id="18552" name="Rectangle 18552"/>
                        <wps:cNvSpPr/>
                        <wps:spPr>
                          <a:xfrm rot="-10799999">
                            <a:off x="-1317305" y="4640009"/>
                            <a:ext cx="5309142" cy="142889"/>
                          </a:xfrm>
                          <a:prstGeom prst="rect">
                            <a:avLst/>
                          </a:prstGeom>
                          <a:ln>
                            <a:noFill/>
                          </a:ln>
                        </wps:spPr>
                        <wps:txbx>
                          <w:txbxContent>
                            <w:p w14:paraId="4DAABF4A" w14:textId="77777777" w:rsidR="00B32EF2" w:rsidRDefault="00000000">
                              <w:r>
                                <w:rPr>
                                  <w:rFonts w:ascii="Arial" w:eastAsia="Arial" w:hAnsi="Arial" w:cs="Arial"/>
                                  <w:sz w:val="18"/>
                                </w:rPr>
                                <w:t xml:space="preserve">l’indicazione delle parti, del difensore che si costituisce, dell’atto impugnato, </w:t>
                              </w:r>
                            </w:p>
                          </w:txbxContent>
                        </wps:txbx>
                        <wps:bodyPr horzOverflow="overflow" vert="horz" lIns="0" tIns="0" rIns="0" bIns="0" rtlCol="0">
                          <a:noAutofit/>
                        </wps:bodyPr>
                      </wps:wsp>
                      <wps:wsp>
                        <wps:cNvPr id="18553" name="Rectangle 18553"/>
                        <wps:cNvSpPr/>
                        <wps:spPr>
                          <a:xfrm rot="-10799999">
                            <a:off x="-1218645" y="4516679"/>
                            <a:ext cx="5210482" cy="142889"/>
                          </a:xfrm>
                          <a:prstGeom prst="rect">
                            <a:avLst/>
                          </a:prstGeom>
                          <a:ln>
                            <a:noFill/>
                          </a:ln>
                        </wps:spPr>
                        <wps:txbx>
                          <w:txbxContent>
                            <w:p w14:paraId="0CAA4514" w14:textId="77777777" w:rsidR="00B32EF2" w:rsidRDefault="00000000">
                              <w:r>
                                <w:rPr>
                                  <w:rFonts w:ascii="Arial" w:eastAsia="Arial" w:hAnsi="Arial" w:cs="Arial"/>
                                  <w:sz w:val="18"/>
                                </w:rPr>
                                <w:t>della materia del contendere, del valore della controversia e della data di no</w:t>
                              </w:r>
                            </w:p>
                          </w:txbxContent>
                        </wps:txbx>
                        <wps:bodyPr horzOverflow="overflow" vert="horz" lIns="0" tIns="0" rIns="0" bIns="0" rtlCol="0">
                          <a:noAutofit/>
                        </wps:bodyPr>
                      </wps:wsp>
                      <wps:wsp>
                        <wps:cNvPr id="18554" name="Rectangle 18554"/>
                        <wps:cNvSpPr/>
                        <wps:spPr>
                          <a:xfrm rot="-10799999">
                            <a:off x="19238" y="4516678"/>
                            <a:ext cx="50622" cy="142889"/>
                          </a:xfrm>
                          <a:prstGeom prst="rect">
                            <a:avLst/>
                          </a:prstGeom>
                          <a:ln>
                            <a:noFill/>
                          </a:ln>
                        </wps:spPr>
                        <wps:txbx>
                          <w:txbxContent>
                            <w:p w14:paraId="67F26A4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555" name="Rectangle 18555"/>
                        <wps:cNvSpPr/>
                        <wps:spPr>
                          <a:xfrm rot="-10799999">
                            <a:off x="2457463" y="4393349"/>
                            <a:ext cx="1534373" cy="142889"/>
                          </a:xfrm>
                          <a:prstGeom prst="rect">
                            <a:avLst/>
                          </a:prstGeom>
                          <a:ln>
                            <a:noFill/>
                          </a:ln>
                        </wps:spPr>
                        <wps:txbx>
                          <w:txbxContent>
                            <w:p w14:paraId="297712E2" w14:textId="77777777" w:rsidR="00B32EF2" w:rsidRDefault="00000000">
                              <w:r>
                                <w:rPr>
                                  <w:rFonts w:ascii="Arial" w:eastAsia="Arial" w:hAnsi="Arial" w:cs="Arial"/>
                                  <w:sz w:val="18"/>
                                </w:rPr>
                                <w:t xml:space="preserve">tificazione del ricorso. </w:t>
                              </w:r>
                            </w:p>
                          </w:txbxContent>
                        </wps:txbx>
                        <wps:bodyPr horzOverflow="overflow" vert="horz" lIns="0" tIns="0" rIns="0" bIns="0" rtlCol="0">
                          <a:noAutofit/>
                        </wps:bodyPr>
                      </wps:wsp>
                      <wps:wsp>
                        <wps:cNvPr id="201177" name="Rectangle 201177"/>
                        <wps:cNvSpPr/>
                        <wps:spPr>
                          <a:xfrm rot="-10799999">
                            <a:off x="-1381770" y="4270019"/>
                            <a:ext cx="5309051" cy="142889"/>
                          </a:xfrm>
                          <a:prstGeom prst="rect">
                            <a:avLst/>
                          </a:prstGeom>
                          <a:ln>
                            <a:noFill/>
                          </a:ln>
                        </wps:spPr>
                        <wps:txbx>
                          <w:txbxContent>
                            <w:p w14:paraId="4E96522C" w14:textId="77777777" w:rsidR="00B32EF2" w:rsidRDefault="00000000">
                              <w:r>
                                <w:rPr>
                                  <w:rFonts w:ascii="Arial" w:eastAsia="Arial" w:hAnsi="Arial" w:cs="Arial"/>
                                  <w:sz w:val="18"/>
                                </w:rPr>
                                <w:t xml:space="preserve">. L’inammissibilità del ricorso è rilevabile d’ufficio in ogni stato e grado del </w:t>
                              </w:r>
                            </w:p>
                          </w:txbxContent>
                        </wps:txbx>
                        <wps:bodyPr horzOverflow="overflow" vert="horz" lIns="0" tIns="0" rIns="0" bIns="0" rtlCol="0">
                          <a:noAutofit/>
                        </wps:bodyPr>
                      </wps:wsp>
                      <wps:wsp>
                        <wps:cNvPr id="201176" name="Rectangle 201176"/>
                        <wps:cNvSpPr/>
                        <wps:spPr>
                          <a:xfrm rot="-10799999">
                            <a:off x="2611003" y="4270019"/>
                            <a:ext cx="5309051" cy="142889"/>
                          </a:xfrm>
                          <a:prstGeom prst="rect">
                            <a:avLst/>
                          </a:prstGeom>
                          <a:ln>
                            <a:noFill/>
                          </a:ln>
                        </wps:spPr>
                        <wps:txbx>
                          <w:txbxContent>
                            <w:p w14:paraId="302B63FB"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8557" name="Rectangle 18557"/>
                        <wps:cNvSpPr/>
                        <wps:spPr>
                          <a:xfrm rot="-10799999">
                            <a:off x="-1142043" y="4146690"/>
                            <a:ext cx="5133880" cy="142889"/>
                          </a:xfrm>
                          <a:prstGeom prst="rect">
                            <a:avLst/>
                          </a:prstGeom>
                          <a:ln>
                            <a:noFill/>
                          </a:ln>
                        </wps:spPr>
                        <wps:txbx>
                          <w:txbxContent>
                            <w:p w14:paraId="3065B72A" w14:textId="77777777" w:rsidR="00B32EF2" w:rsidRDefault="00000000">
                              <w:r>
                                <w:rPr>
                                  <w:rFonts w:ascii="Arial" w:eastAsia="Arial" w:hAnsi="Arial" w:cs="Arial"/>
                                  <w:sz w:val="18"/>
                                </w:rPr>
                                <w:t xml:space="preserve">giudizio, anche se la parte resistente si costituisce a norma dell’articolo 69. </w:t>
                              </w:r>
                            </w:p>
                          </w:txbxContent>
                        </wps:txbx>
                        <wps:bodyPr horzOverflow="overflow" vert="horz" lIns="0" tIns="0" rIns="0" bIns="0" rtlCol="0">
                          <a:noAutofit/>
                        </wps:bodyPr>
                      </wps:wsp>
                      <wps:wsp>
                        <wps:cNvPr id="201174" name="Rectangle 201174"/>
                        <wps:cNvSpPr/>
                        <wps:spPr>
                          <a:xfrm rot="-10799999">
                            <a:off x="2611078" y="4023360"/>
                            <a:ext cx="5308748" cy="142889"/>
                          </a:xfrm>
                          <a:prstGeom prst="rect">
                            <a:avLst/>
                          </a:prstGeom>
                          <a:ln>
                            <a:noFill/>
                          </a:ln>
                        </wps:spPr>
                        <wps:txbx>
                          <w:txbxContent>
                            <w:p w14:paraId="67E2831E"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1175" name="Rectangle 201175"/>
                        <wps:cNvSpPr/>
                        <wps:spPr>
                          <a:xfrm rot="-10799999">
                            <a:off x="-1381432" y="4023360"/>
                            <a:ext cx="5308747" cy="142889"/>
                          </a:xfrm>
                          <a:prstGeom prst="rect">
                            <a:avLst/>
                          </a:prstGeom>
                          <a:ln>
                            <a:noFill/>
                          </a:ln>
                        </wps:spPr>
                        <wps:txbx>
                          <w:txbxContent>
                            <w:p w14:paraId="0D7A674D" w14:textId="77777777" w:rsidR="00B32EF2" w:rsidRDefault="00000000">
                              <w:r>
                                <w:rPr>
                                  <w:rFonts w:ascii="Arial" w:eastAsia="Arial" w:hAnsi="Arial" w:cs="Arial"/>
                                  <w:sz w:val="18"/>
                                </w:rPr>
                                <w:t xml:space="preserve">. In caso di consegna o spedizione a mezzo di servizio postale la conformità </w:t>
                              </w:r>
                            </w:p>
                          </w:txbxContent>
                        </wps:txbx>
                        <wps:bodyPr horzOverflow="overflow" vert="horz" lIns="0" tIns="0" rIns="0" bIns="0" rtlCol="0">
                          <a:noAutofit/>
                        </wps:bodyPr>
                      </wps:wsp>
                      <wps:wsp>
                        <wps:cNvPr id="18559" name="Rectangle 18559"/>
                        <wps:cNvSpPr/>
                        <wps:spPr>
                          <a:xfrm rot="-10799999">
                            <a:off x="-1317138" y="3900030"/>
                            <a:ext cx="5308975" cy="142889"/>
                          </a:xfrm>
                          <a:prstGeom prst="rect">
                            <a:avLst/>
                          </a:prstGeom>
                          <a:ln>
                            <a:noFill/>
                          </a:ln>
                        </wps:spPr>
                        <wps:txbx>
                          <w:txbxContent>
                            <w:p w14:paraId="563D2B2D" w14:textId="77777777" w:rsidR="00B32EF2" w:rsidRDefault="00000000">
                              <w:r>
                                <w:rPr>
                                  <w:rFonts w:ascii="Arial" w:eastAsia="Arial" w:hAnsi="Arial" w:cs="Arial"/>
                                  <w:sz w:val="18"/>
                                </w:rPr>
                                <w:t xml:space="preserve">dell’atto depositato a quello consegnato o spedito è attestata conforme dallo </w:t>
                              </w:r>
                            </w:p>
                          </w:txbxContent>
                        </wps:txbx>
                        <wps:bodyPr horzOverflow="overflow" vert="horz" lIns="0" tIns="0" rIns="0" bIns="0" rtlCol="0">
                          <a:noAutofit/>
                        </wps:bodyPr>
                      </wps:wsp>
                      <wps:wsp>
                        <wps:cNvPr id="18560" name="Rectangle 18560"/>
                        <wps:cNvSpPr/>
                        <wps:spPr>
                          <a:xfrm rot="-10799999">
                            <a:off x="-1317214" y="3776701"/>
                            <a:ext cx="5309051" cy="142889"/>
                          </a:xfrm>
                          <a:prstGeom prst="rect">
                            <a:avLst/>
                          </a:prstGeom>
                          <a:ln>
                            <a:noFill/>
                          </a:ln>
                        </wps:spPr>
                        <wps:txbx>
                          <w:txbxContent>
                            <w:p w14:paraId="4DBBBBC8" w14:textId="77777777" w:rsidR="00B32EF2" w:rsidRDefault="00000000">
                              <w:r>
                                <w:rPr>
                                  <w:rFonts w:ascii="Arial" w:eastAsia="Arial" w:hAnsi="Arial" w:cs="Arial"/>
                                  <w:sz w:val="18"/>
                                </w:rPr>
                                <w:t xml:space="preserve">stesso ricorrente. Se l’atto depositato nella segreteria della corte di giustizia </w:t>
                              </w:r>
                            </w:p>
                          </w:txbxContent>
                        </wps:txbx>
                        <wps:bodyPr horzOverflow="overflow" vert="horz" lIns="0" tIns="0" rIns="0" bIns="0" rtlCol="0">
                          <a:noAutofit/>
                        </wps:bodyPr>
                      </wps:wsp>
                      <wps:wsp>
                        <wps:cNvPr id="18561" name="Rectangle 18561"/>
                        <wps:cNvSpPr/>
                        <wps:spPr>
                          <a:xfrm rot="-10799999">
                            <a:off x="-1220576" y="3653371"/>
                            <a:ext cx="5212413" cy="142889"/>
                          </a:xfrm>
                          <a:prstGeom prst="rect">
                            <a:avLst/>
                          </a:prstGeom>
                          <a:ln>
                            <a:noFill/>
                          </a:ln>
                        </wps:spPr>
                        <wps:txbx>
                          <w:txbxContent>
                            <w:p w14:paraId="7B9F732F" w14:textId="77777777" w:rsidR="00B32EF2" w:rsidRDefault="00000000">
                              <w:r>
                                <w:rPr>
                                  <w:rFonts w:ascii="Arial" w:eastAsia="Arial" w:hAnsi="Arial" w:cs="Arial"/>
                                  <w:sz w:val="18"/>
                                </w:rPr>
                                <w:t>tributaria non è conforme a quello consegnato o spedito alla parte nei cui con</w:t>
                              </w:r>
                            </w:p>
                          </w:txbxContent>
                        </wps:txbx>
                        <wps:bodyPr horzOverflow="overflow" vert="horz" lIns="0" tIns="0" rIns="0" bIns="0" rtlCol="0">
                          <a:noAutofit/>
                        </wps:bodyPr>
                      </wps:wsp>
                      <wps:wsp>
                        <wps:cNvPr id="18562" name="Rectangle 18562"/>
                        <wps:cNvSpPr/>
                        <wps:spPr>
                          <a:xfrm rot="-10799999">
                            <a:off x="19238" y="3653371"/>
                            <a:ext cx="50622" cy="142889"/>
                          </a:xfrm>
                          <a:prstGeom prst="rect">
                            <a:avLst/>
                          </a:prstGeom>
                          <a:ln>
                            <a:noFill/>
                          </a:ln>
                        </wps:spPr>
                        <wps:txbx>
                          <w:txbxContent>
                            <w:p w14:paraId="7FFD00D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563" name="Rectangle 18563"/>
                        <wps:cNvSpPr/>
                        <wps:spPr>
                          <a:xfrm rot="-10799999">
                            <a:off x="-1139747" y="3530041"/>
                            <a:ext cx="5131584" cy="142889"/>
                          </a:xfrm>
                          <a:prstGeom prst="rect">
                            <a:avLst/>
                          </a:prstGeom>
                          <a:ln>
                            <a:noFill/>
                          </a:ln>
                        </wps:spPr>
                        <wps:txbx>
                          <w:txbxContent>
                            <w:p w14:paraId="67A316D9" w14:textId="77777777" w:rsidR="00B32EF2" w:rsidRDefault="00000000">
                              <w:r>
                                <w:rPr>
                                  <w:rFonts w:ascii="Arial" w:eastAsia="Arial" w:hAnsi="Arial" w:cs="Arial"/>
                                  <w:sz w:val="18"/>
                                </w:rPr>
                                <w:t>fronti il ricorso è proposto, il ricorso è inammissibile e si applica il comma 2.</w:t>
                              </w:r>
                            </w:p>
                          </w:txbxContent>
                        </wps:txbx>
                        <wps:bodyPr horzOverflow="overflow" vert="horz" lIns="0" tIns="0" rIns="0" bIns="0" rtlCol="0">
                          <a:noAutofit/>
                        </wps:bodyPr>
                      </wps:wsp>
                      <wps:wsp>
                        <wps:cNvPr id="201173" name="Rectangle 201173"/>
                        <wps:cNvSpPr/>
                        <wps:spPr>
                          <a:xfrm rot="-10799999">
                            <a:off x="-1282316" y="3406712"/>
                            <a:ext cx="5211014" cy="142889"/>
                          </a:xfrm>
                          <a:prstGeom prst="rect">
                            <a:avLst/>
                          </a:prstGeom>
                          <a:ln>
                            <a:noFill/>
                          </a:ln>
                        </wps:spPr>
                        <wps:txbx>
                          <w:txbxContent>
                            <w:p w14:paraId="6A18FF0A" w14:textId="77777777" w:rsidR="00B32EF2" w:rsidRDefault="00000000">
                              <w:r>
                                <w:rPr>
                                  <w:rFonts w:ascii="Arial" w:eastAsia="Arial" w:hAnsi="Arial" w:cs="Arial"/>
                                  <w:sz w:val="18"/>
                                </w:rPr>
                                <w:t>. Unitamente al ricorso ed ai documenti previsti al comma 1, il ricorrente de</w:t>
                              </w:r>
                            </w:p>
                          </w:txbxContent>
                        </wps:txbx>
                        <wps:bodyPr horzOverflow="overflow" vert="horz" lIns="0" tIns="0" rIns="0" bIns="0" rtlCol="0">
                          <a:noAutofit/>
                        </wps:bodyPr>
                      </wps:wsp>
                      <wps:wsp>
                        <wps:cNvPr id="201172" name="Rectangle 201172"/>
                        <wps:cNvSpPr/>
                        <wps:spPr>
                          <a:xfrm rot="-10799999">
                            <a:off x="2635328" y="3406712"/>
                            <a:ext cx="5211013" cy="142889"/>
                          </a:xfrm>
                          <a:prstGeom prst="rect">
                            <a:avLst/>
                          </a:prstGeom>
                          <a:ln>
                            <a:noFill/>
                          </a:ln>
                        </wps:spPr>
                        <wps:txbx>
                          <w:txbxContent>
                            <w:p w14:paraId="145A3507"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8565" name="Rectangle 18565"/>
                        <wps:cNvSpPr/>
                        <wps:spPr>
                          <a:xfrm rot="-10799999">
                            <a:off x="19238" y="3406711"/>
                            <a:ext cx="50622" cy="142889"/>
                          </a:xfrm>
                          <a:prstGeom prst="rect">
                            <a:avLst/>
                          </a:prstGeom>
                          <a:ln>
                            <a:noFill/>
                          </a:ln>
                        </wps:spPr>
                        <wps:txbx>
                          <w:txbxContent>
                            <w:p w14:paraId="1989629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566" name="Rectangle 18566"/>
                        <wps:cNvSpPr/>
                        <wps:spPr>
                          <a:xfrm rot="-10799999">
                            <a:off x="-1317169" y="3283382"/>
                            <a:ext cx="5309006" cy="142889"/>
                          </a:xfrm>
                          <a:prstGeom prst="rect">
                            <a:avLst/>
                          </a:prstGeom>
                          <a:ln>
                            <a:noFill/>
                          </a:ln>
                        </wps:spPr>
                        <wps:txbx>
                          <w:txbxContent>
                            <w:p w14:paraId="53F9FB5A" w14:textId="77777777" w:rsidR="00B32EF2" w:rsidRDefault="00000000">
                              <w:r>
                                <w:rPr>
                                  <w:rFonts w:ascii="Arial" w:eastAsia="Arial" w:hAnsi="Arial" w:cs="Arial"/>
                                  <w:sz w:val="18"/>
                                </w:rPr>
                                <w:t xml:space="preserve">posita il proprio fascicolo, con l’originale o la fotocopia dell’atto impugnato, se </w:t>
                              </w:r>
                            </w:p>
                          </w:txbxContent>
                        </wps:txbx>
                        <wps:bodyPr horzOverflow="overflow" vert="horz" lIns="0" tIns="0" rIns="0" bIns="0" rtlCol="0">
                          <a:noAutofit/>
                        </wps:bodyPr>
                      </wps:wsp>
                      <wps:wsp>
                        <wps:cNvPr id="18567" name="Rectangle 18567"/>
                        <wps:cNvSpPr/>
                        <wps:spPr>
                          <a:xfrm rot="-10799999">
                            <a:off x="-311320" y="3160052"/>
                            <a:ext cx="4303156" cy="142889"/>
                          </a:xfrm>
                          <a:prstGeom prst="rect">
                            <a:avLst/>
                          </a:prstGeom>
                          <a:ln>
                            <a:noFill/>
                          </a:ln>
                        </wps:spPr>
                        <wps:txbx>
                          <w:txbxContent>
                            <w:p w14:paraId="201F9E07" w14:textId="77777777" w:rsidR="00B32EF2" w:rsidRDefault="00000000">
                              <w:r>
                                <w:rPr>
                                  <w:rFonts w:ascii="Arial" w:eastAsia="Arial" w:hAnsi="Arial" w:cs="Arial"/>
                                  <w:sz w:val="18"/>
                                </w:rPr>
                                <w:t xml:space="preserve">notificato, ed i documenti che produce, in originale o fotocopia. </w:t>
                              </w:r>
                            </w:p>
                          </w:txbxContent>
                        </wps:txbx>
                        <wps:bodyPr horzOverflow="overflow" vert="horz" lIns="0" tIns="0" rIns="0" bIns="0" rtlCol="0">
                          <a:noAutofit/>
                        </wps:bodyPr>
                      </wps:wsp>
                      <wps:wsp>
                        <wps:cNvPr id="201170" name="Rectangle 201170"/>
                        <wps:cNvSpPr/>
                        <wps:spPr>
                          <a:xfrm rot="-10799999">
                            <a:off x="2634996" y="3036723"/>
                            <a:ext cx="5212351" cy="142889"/>
                          </a:xfrm>
                          <a:prstGeom prst="rect">
                            <a:avLst/>
                          </a:prstGeom>
                          <a:ln>
                            <a:noFill/>
                          </a:ln>
                        </wps:spPr>
                        <wps:txbx>
                          <w:txbxContent>
                            <w:p w14:paraId="6FE7F2BD"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01171" name="Rectangle 201171"/>
                        <wps:cNvSpPr/>
                        <wps:spPr>
                          <a:xfrm rot="-10799999">
                            <a:off x="-1284911" y="3036723"/>
                            <a:ext cx="5212352" cy="142889"/>
                          </a:xfrm>
                          <a:prstGeom prst="rect">
                            <a:avLst/>
                          </a:prstGeom>
                          <a:ln>
                            <a:noFill/>
                          </a:ln>
                        </wps:spPr>
                        <wps:txbx>
                          <w:txbxContent>
                            <w:p w14:paraId="431B47EE" w14:textId="77777777" w:rsidR="00B32EF2" w:rsidRDefault="00000000">
                              <w:r>
                                <w:rPr>
                                  <w:rFonts w:ascii="Arial" w:eastAsia="Arial" w:hAnsi="Arial" w:cs="Arial"/>
                                  <w:sz w:val="18"/>
                                </w:rPr>
                                <w:t>. Ove sorgano contestazioni il giudice tributario ordina l’esibizione degli origi</w:t>
                              </w:r>
                            </w:p>
                          </w:txbxContent>
                        </wps:txbx>
                        <wps:bodyPr horzOverflow="overflow" vert="horz" lIns="0" tIns="0" rIns="0" bIns="0" rtlCol="0">
                          <a:noAutofit/>
                        </wps:bodyPr>
                      </wps:wsp>
                      <wps:wsp>
                        <wps:cNvPr id="18569" name="Rectangle 18569"/>
                        <wps:cNvSpPr/>
                        <wps:spPr>
                          <a:xfrm rot="-10799999">
                            <a:off x="19238" y="3036722"/>
                            <a:ext cx="50622" cy="142889"/>
                          </a:xfrm>
                          <a:prstGeom prst="rect">
                            <a:avLst/>
                          </a:prstGeom>
                          <a:ln>
                            <a:noFill/>
                          </a:ln>
                        </wps:spPr>
                        <wps:txbx>
                          <w:txbxContent>
                            <w:p w14:paraId="7C73AB2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570" name="Rectangle 18570"/>
                        <wps:cNvSpPr/>
                        <wps:spPr>
                          <a:xfrm rot="-10799999">
                            <a:off x="391646" y="2913393"/>
                            <a:ext cx="3600190" cy="142889"/>
                          </a:xfrm>
                          <a:prstGeom prst="rect">
                            <a:avLst/>
                          </a:prstGeom>
                          <a:ln>
                            <a:noFill/>
                          </a:ln>
                        </wps:spPr>
                        <wps:txbx>
                          <w:txbxContent>
                            <w:p w14:paraId="68D56594" w14:textId="77777777" w:rsidR="00B32EF2" w:rsidRDefault="00000000">
                              <w:r>
                                <w:rPr>
                                  <w:rFonts w:ascii="Arial" w:eastAsia="Arial" w:hAnsi="Arial" w:cs="Arial"/>
                                  <w:sz w:val="18"/>
                                </w:rPr>
                                <w:t>nali degli atti e documenti di cui ai precedenti commi.</w:t>
                              </w:r>
                            </w:p>
                          </w:txbxContent>
                        </wps:txbx>
                        <wps:bodyPr horzOverflow="overflow" vert="horz" lIns="0" tIns="0" rIns="0" bIns="0" rtlCol="0">
                          <a:noAutofit/>
                        </wps:bodyPr>
                      </wps:wsp>
                      <wps:wsp>
                        <wps:cNvPr id="207944" name="Shape 207944"/>
                        <wps:cNvSpPr/>
                        <wps:spPr>
                          <a:xfrm>
                            <a:off x="25383" y="419207"/>
                            <a:ext cx="3960000" cy="2507297"/>
                          </a:xfrm>
                          <a:custGeom>
                            <a:avLst/>
                            <a:gdLst/>
                            <a:ahLst/>
                            <a:cxnLst/>
                            <a:rect l="0" t="0" r="0" b="0"/>
                            <a:pathLst>
                              <a:path w="3960000" h="2507297">
                                <a:moveTo>
                                  <a:pt x="0" y="0"/>
                                </a:moveTo>
                                <a:lnTo>
                                  <a:pt x="3960000" y="0"/>
                                </a:lnTo>
                                <a:lnTo>
                                  <a:pt x="3960000" y="2507297"/>
                                </a:lnTo>
                                <a:lnTo>
                                  <a:pt x="0" y="2507297"/>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8572" name="Rectangle 18572"/>
                        <wps:cNvSpPr/>
                        <wps:spPr>
                          <a:xfrm rot="-10799999">
                            <a:off x="2322367" y="2705266"/>
                            <a:ext cx="1585695" cy="142889"/>
                          </a:xfrm>
                          <a:prstGeom prst="rect">
                            <a:avLst/>
                          </a:prstGeom>
                          <a:ln>
                            <a:noFill/>
                          </a:ln>
                        </wps:spPr>
                        <wps:txbx>
                          <w:txbxContent>
                            <w:p w14:paraId="60EAD9A2"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8573" name="Rectangle 18573"/>
                        <wps:cNvSpPr/>
                        <wps:spPr>
                          <a:xfrm rot="-10799999">
                            <a:off x="1948876" y="2581936"/>
                            <a:ext cx="1958156" cy="142889"/>
                          </a:xfrm>
                          <a:prstGeom prst="rect">
                            <a:avLst/>
                          </a:prstGeom>
                          <a:ln>
                            <a:noFill/>
                          </a:ln>
                        </wps:spPr>
                        <wps:txbx>
                          <w:txbxContent>
                            <w:p w14:paraId="5E41FED9" w14:textId="77777777" w:rsidR="00B32EF2" w:rsidRDefault="00000000">
                              <w:r>
                                <w:rPr>
                                  <w:rFonts w:ascii="Arial" w:eastAsia="Arial" w:hAnsi="Arial" w:cs="Arial"/>
                                  <w:i/>
                                  <w:sz w:val="18"/>
                                </w:rPr>
                                <w:t xml:space="preserve">art. 137 c.p.c. “Notificazioni” </w:t>
                              </w:r>
                            </w:p>
                          </w:txbxContent>
                        </wps:txbx>
                        <wps:bodyPr horzOverflow="overflow" vert="horz" lIns="0" tIns="0" rIns="0" bIns="0" rtlCol="0">
                          <a:noAutofit/>
                        </wps:bodyPr>
                      </wps:wsp>
                      <wps:wsp>
                        <wps:cNvPr id="201168" name="Rectangle 201168"/>
                        <wps:cNvSpPr/>
                        <wps:spPr>
                          <a:xfrm rot="-10799999">
                            <a:off x="2601169" y="2458606"/>
                            <a:ext cx="5006899" cy="142889"/>
                          </a:xfrm>
                          <a:prstGeom prst="rect">
                            <a:avLst/>
                          </a:prstGeom>
                          <a:ln>
                            <a:noFill/>
                          </a:ln>
                        </wps:spPr>
                        <wps:txbx>
                          <w:txbxContent>
                            <w:p w14:paraId="74959903"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169" name="Rectangle 201169"/>
                        <wps:cNvSpPr/>
                        <wps:spPr>
                          <a:xfrm rot="-10799999">
                            <a:off x="-1159266" y="2458606"/>
                            <a:ext cx="5006899" cy="142889"/>
                          </a:xfrm>
                          <a:prstGeom prst="rect">
                            <a:avLst/>
                          </a:prstGeom>
                          <a:ln>
                            <a:noFill/>
                          </a:ln>
                        </wps:spPr>
                        <wps:txbx>
                          <w:txbxContent>
                            <w:p w14:paraId="10FB310C" w14:textId="77777777" w:rsidR="00B32EF2" w:rsidRDefault="00000000">
                              <w:r>
                                <w:rPr>
                                  <w:rFonts w:ascii="Arial" w:eastAsia="Arial" w:hAnsi="Arial" w:cs="Arial"/>
                                  <w:i/>
                                  <w:sz w:val="18"/>
                                </w:rPr>
                                <w:t>. Le notificazioni, quando non è disposto altrimenti, sono eseguite dall’uf</w:t>
                              </w:r>
                            </w:p>
                          </w:txbxContent>
                        </wps:txbx>
                        <wps:bodyPr horzOverflow="overflow" vert="horz" lIns="0" tIns="0" rIns="0" bIns="0" rtlCol="0">
                          <a:noAutofit/>
                        </wps:bodyPr>
                      </wps:wsp>
                      <wps:wsp>
                        <wps:cNvPr id="18575" name="Rectangle 18575"/>
                        <wps:cNvSpPr/>
                        <wps:spPr>
                          <a:xfrm rot="-10799999">
                            <a:off x="91139" y="2458606"/>
                            <a:ext cx="50622" cy="142889"/>
                          </a:xfrm>
                          <a:prstGeom prst="rect">
                            <a:avLst/>
                          </a:prstGeom>
                          <a:ln>
                            <a:noFill/>
                          </a:ln>
                        </wps:spPr>
                        <wps:txbx>
                          <w:txbxContent>
                            <w:p w14:paraId="6F01D04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576" name="Rectangle 18576"/>
                        <wps:cNvSpPr/>
                        <wps:spPr>
                          <a:xfrm rot="-10799999">
                            <a:off x="-1193584" y="2335276"/>
                            <a:ext cx="5100618" cy="142889"/>
                          </a:xfrm>
                          <a:prstGeom prst="rect">
                            <a:avLst/>
                          </a:prstGeom>
                          <a:ln>
                            <a:noFill/>
                          </a:ln>
                        </wps:spPr>
                        <wps:txbx>
                          <w:txbxContent>
                            <w:p w14:paraId="266193A8" w14:textId="77777777" w:rsidR="00B32EF2" w:rsidRDefault="00000000">
                              <w:r>
                                <w:rPr>
                                  <w:rFonts w:ascii="Arial" w:eastAsia="Arial" w:hAnsi="Arial" w:cs="Arial"/>
                                  <w:i/>
                                  <w:sz w:val="18"/>
                                </w:rPr>
                                <w:t xml:space="preserve">ficiale giudiziario, su istanza di parte o su richiesta del pubblico ministero </w:t>
                              </w:r>
                            </w:p>
                          </w:txbxContent>
                        </wps:txbx>
                        <wps:bodyPr horzOverflow="overflow" vert="horz" lIns="0" tIns="0" rIns="0" bIns="0" rtlCol="0">
                          <a:noAutofit/>
                        </wps:bodyPr>
                      </wps:wsp>
                      <wps:wsp>
                        <wps:cNvPr id="18577" name="Rectangle 18577"/>
                        <wps:cNvSpPr/>
                        <wps:spPr>
                          <a:xfrm rot="-10799999">
                            <a:off x="2752670" y="2211947"/>
                            <a:ext cx="1154934" cy="142889"/>
                          </a:xfrm>
                          <a:prstGeom prst="rect">
                            <a:avLst/>
                          </a:prstGeom>
                          <a:ln>
                            <a:noFill/>
                          </a:ln>
                        </wps:spPr>
                        <wps:txbx>
                          <w:txbxContent>
                            <w:p w14:paraId="71BEA6F4" w14:textId="77777777" w:rsidR="00B32EF2" w:rsidRDefault="00000000">
                              <w:r>
                                <w:rPr>
                                  <w:rFonts w:ascii="Arial" w:eastAsia="Arial" w:hAnsi="Arial" w:cs="Arial"/>
                                  <w:i/>
                                  <w:sz w:val="18"/>
                                </w:rPr>
                                <w:t>o del cancelliere.</w:t>
                              </w:r>
                            </w:p>
                          </w:txbxContent>
                        </wps:txbx>
                        <wps:bodyPr horzOverflow="overflow" vert="horz" lIns="0" tIns="0" rIns="0" bIns="0" rtlCol="0">
                          <a:noAutofit/>
                        </wps:bodyPr>
                      </wps:wsp>
                      <wps:wsp>
                        <wps:cNvPr id="201167" name="Rectangle 201167"/>
                        <wps:cNvSpPr/>
                        <wps:spPr>
                          <a:xfrm rot="-10799999">
                            <a:off x="-1162100" y="2088617"/>
                            <a:ext cx="5004406" cy="142889"/>
                          </a:xfrm>
                          <a:prstGeom prst="rect">
                            <a:avLst/>
                          </a:prstGeom>
                          <a:ln>
                            <a:noFill/>
                          </a:ln>
                        </wps:spPr>
                        <wps:txbx>
                          <w:txbxContent>
                            <w:p w14:paraId="40513BB4" w14:textId="77777777" w:rsidR="00B32EF2" w:rsidRDefault="00000000">
                              <w:r>
                                <w:rPr>
                                  <w:rFonts w:ascii="Arial" w:eastAsia="Arial" w:hAnsi="Arial" w:cs="Arial"/>
                                  <w:i/>
                                  <w:sz w:val="18"/>
                                </w:rPr>
                                <w:t>.L’ufficiale giudiziario o l’avvocato esegue la notificazione mediante con</w:t>
                              </w:r>
                            </w:p>
                          </w:txbxContent>
                        </wps:txbx>
                        <wps:bodyPr horzOverflow="overflow" vert="horz" lIns="0" tIns="0" rIns="0" bIns="0" rtlCol="0">
                          <a:noAutofit/>
                        </wps:bodyPr>
                      </wps:wsp>
                      <wps:wsp>
                        <wps:cNvPr id="201166" name="Rectangle 201166"/>
                        <wps:cNvSpPr/>
                        <wps:spPr>
                          <a:xfrm rot="-10799999">
                            <a:off x="2601788" y="2088617"/>
                            <a:ext cx="5004406" cy="142889"/>
                          </a:xfrm>
                          <a:prstGeom prst="rect">
                            <a:avLst/>
                          </a:prstGeom>
                          <a:ln>
                            <a:noFill/>
                          </a:ln>
                        </wps:spPr>
                        <wps:txbx>
                          <w:txbxContent>
                            <w:p w14:paraId="5CF3DD19"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18579" name="Rectangle 18579"/>
                        <wps:cNvSpPr/>
                        <wps:spPr>
                          <a:xfrm rot="-10799999">
                            <a:off x="91139" y="2088617"/>
                            <a:ext cx="50622" cy="142889"/>
                          </a:xfrm>
                          <a:prstGeom prst="rect">
                            <a:avLst/>
                          </a:prstGeom>
                          <a:ln>
                            <a:noFill/>
                          </a:ln>
                        </wps:spPr>
                        <wps:txbx>
                          <w:txbxContent>
                            <w:p w14:paraId="52BEA5FF"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580" name="Rectangle 18580"/>
                        <wps:cNvSpPr/>
                        <wps:spPr>
                          <a:xfrm rot="-10799999">
                            <a:off x="-1118654" y="1965287"/>
                            <a:ext cx="5025687" cy="142889"/>
                          </a:xfrm>
                          <a:prstGeom prst="rect">
                            <a:avLst/>
                          </a:prstGeom>
                          <a:ln>
                            <a:noFill/>
                          </a:ln>
                        </wps:spPr>
                        <wps:txbx>
                          <w:txbxContent>
                            <w:p w14:paraId="6408116E" w14:textId="77777777" w:rsidR="00B32EF2" w:rsidRDefault="00000000">
                              <w:r>
                                <w:rPr>
                                  <w:rFonts w:ascii="Arial" w:eastAsia="Arial" w:hAnsi="Arial" w:cs="Arial"/>
                                  <w:i/>
                                  <w:sz w:val="18"/>
                                </w:rPr>
                                <w:t>segna al destinatario di copia conforme all’originale dell’atto da notificarsi.</w:t>
                              </w:r>
                            </w:p>
                          </w:txbxContent>
                        </wps:txbx>
                        <wps:bodyPr horzOverflow="overflow" vert="horz" lIns="0" tIns="0" rIns="0" bIns="0" rtlCol="0">
                          <a:noAutofit/>
                        </wps:bodyPr>
                      </wps:wsp>
                      <wps:wsp>
                        <wps:cNvPr id="201165" name="Rectangle 201165"/>
                        <wps:cNvSpPr/>
                        <wps:spPr>
                          <a:xfrm rot="-10799999">
                            <a:off x="-1170677" y="1841957"/>
                            <a:ext cx="5011383" cy="142889"/>
                          </a:xfrm>
                          <a:prstGeom prst="rect">
                            <a:avLst/>
                          </a:prstGeom>
                          <a:ln>
                            <a:noFill/>
                          </a:ln>
                        </wps:spPr>
                        <wps:txbx>
                          <w:txbxContent>
                            <w:p w14:paraId="7F75EB92" w14:textId="77777777" w:rsidR="00B32EF2" w:rsidRDefault="00000000">
                              <w:r>
                                <w:rPr>
                                  <w:rFonts w:ascii="Arial" w:eastAsia="Arial" w:hAnsi="Arial" w:cs="Arial"/>
                                  <w:i/>
                                  <w:sz w:val="18"/>
                                </w:rPr>
                                <w:t>.Se l’atto da notificare o comunicare è costituito da un documento infor</w:t>
                              </w:r>
                            </w:p>
                          </w:txbxContent>
                        </wps:txbx>
                        <wps:bodyPr horzOverflow="overflow" vert="horz" lIns="0" tIns="0" rIns="0" bIns="0" rtlCol="0">
                          <a:noAutofit/>
                        </wps:bodyPr>
                      </wps:wsp>
                      <wps:wsp>
                        <wps:cNvPr id="201164" name="Rectangle 201164"/>
                        <wps:cNvSpPr/>
                        <wps:spPr>
                          <a:xfrm rot="-10799999">
                            <a:off x="2600057" y="1841958"/>
                            <a:ext cx="5011383" cy="142889"/>
                          </a:xfrm>
                          <a:prstGeom prst="rect">
                            <a:avLst/>
                          </a:prstGeom>
                          <a:ln>
                            <a:noFill/>
                          </a:ln>
                        </wps:spPr>
                        <wps:txbx>
                          <w:txbxContent>
                            <w:p w14:paraId="18CF7835"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18582" name="Rectangle 18582"/>
                        <wps:cNvSpPr/>
                        <wps:spPr>
                          <a:xfrm rot="-10799999">
                            <a:off x="91139" y="1841958"/>
                            <a:ext cx="50622" cy="142889"/>
                          </a:xfrm>
                          <a:prstGeom prst="rect">
                            <a:avLst/>
                          </a:prstGeom>
                          <a:ln>
                            <a:noFill/>
                          </a:ln>
                        </wps:spPr>
                        <wps:txbx>
                          <w:txbxContent>
                            <w:p w14:paraId="32A2AAE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583" name="Rectangle 18583"/>
                        <wps:cNvSpPr/>
                        <wps:spPr>
                          <a:xfrm rot="-10799999">
                            <a:off x="-1095638" y="1718628"/>
                            <a:ext cx="5002672" cy="142889"/>
                          </a:xfrm>
                          <a:prstGeom prst="rect">
                            <a:avLst/>
                          </a:prstGeom>
                          <a:ln>
                            <a:noFill/>
                          </a:ln>
                        </wps:spPr>
                        <wps:txbx>
                          <w:txbxContent>
                            <w:p w14:paraId="390059FB" w14:textId="77777777" w:rsidR="00B32EF2" w:rsidRDefault="00000000">
                              <w:r>
                                <w:rPr>
                                  <w:rFonts w:ascii="Arial" w:eastAsia="Arial" w:hAnsi="Arial" w:cs="Arial"/>
                                  <w:i/>
                                  <w:sz w:val="18"/>
                                </w:rPr>
                                <w:t>matico e il destinatario non possiede indirizzo di posta elettronica certifi</w:t>
                              </w:r>
                            </w:p>
                          </w:txbxContent>
                        </wps:txbx>
                        <wps:bodyPr horzOverflow="overflow" vert="horz" lIns="0" tIns="0" rIns="0" bIns="0" rtlCol="0">
                          <a:noAutofit/>
                        </wps:bodyPr>
                      </wps:wsp>
                      <wps:wsp>
                        <wps:cNvPr id="18584" name="Rectangle 18584"/>
                        <wps:cNvSpPr/>
                        <wps:spPr>
                          <a:xfrm rot="-10799999">
                            <a:off x="91139" y="1718628"/>
                            <a:ext cx="50622" cy="142889"/>
                          </a:xfrm>
                          <a:prstGeom prst="rect">
                            <a:avLst/>
                          </a:prstGeom>
                          <a:ln>
                            <a:noFill/>
                          </a:ln>
                        </wps:spPr>
                        <wps:txbx>
                          <w:txbxContent>
                            <w:p w14:paraId="649A6D4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585" name="Rectangle 18585"/>
                        <wps:cNvSpPr/>
                        <wps:spPr>
                          <a:xfrm rot="-10799999">
                            <a:off x="-1193508" y="1595298"/>
                            <a:ext cx="5100542" cy="142889"/>
                          </a:xfrm>
                          <a:prstGeom prst="rect">
                            <a:avLst/>
                          </a:prstGeom>
                          <a:ln>
                            <a:noFill/>
                          </a:ln>
                        </wps:spPr>
                        <wps:txbx>
                          <w:txbxContent>
                            <w:p w14:paraId="2263E20F" w14:textId="77777777" w:rsidR="00B32EF2" w:rsidRDefault="00000000">
                              <w:r>
                                <w:rPr>
                                  <w:rFonts w:ascii="Arial" w:eastAsia="Arial" w:hAnsi="Arial" w:cs="Arial"/>
                                  <w:i/>
                                  <w:sz w:val="18"/>
                                </w:rPr>
                                <w:t xml:space="preserve">cata, l’ufficiale giudiziario esegue la notificazione mediante consegna di </w:t>
                              </w:r>
                            </w:p>
                          </w:txbxContent>
                        </wps:txbx>
                        <wps:bodyPr horzOverflow="overflow" vert="horz" lIns="0" tIns="0" rIns="0" bIns="0" rtlCol="0">
                          <a:noAutofit/>
                        </wps:bodyPr>
                      </wps:wsp>
                      <wps:wsp>
                        <wps:cNvPr id="18586" name="Rectangle 18586"/>
                        <wps:cNvSpPr/>
                        <wps:spPr>
                          <a:xfrm rot="-10799999">
                            <a:off x="-1097463" y="1471968"/>
                            <a:ext cx="5004497" cy="142889"/>
                          </a:xfrm>
                          <a:prstGeom prst="rect">
                            <a:avLst/>
                          </a:prstGeom>
                          <a:ln>
                            <a:noFill/>
                          </a:ln>
                        </wps:spPr>
                        <wps:txbx>
                          <w:txbxContent>
                            <w:p w14:paraId="094892CB" w14:textId="77777777" w:rsidR="00B32EF2" w:rsidRDefault="00000000">
                              <w:r>
                                <w:rPr>
                                  <w:rFonts w:ascii="Arial" w:eastAsia="Arial" w:hAnsi="Arial" w:cs="Arial"/>
                                  <w:i/>
                                  <w:sz w:val="18"/>
                                </w:rPr>
                                <w:t>una copia dell’atto su supporto cartaceo, da lui dichiarata conforme all’ori</w:t>
                              </w:r>
                            </w:p>
                          </w:txbxContent>
                        </wps:txbx>
                        <wps:bodyPr horzOverflow="overflow" vert="horz" lIns="0" tIns="0" rIns="0" bIns="0" rtlCol="0">
                          <a:noAutofit/>
                        </wps:bodyPr>
                      </wps:wsp>
                      <wps:wsp>
                        <wps:cNvPr id="18587" name="Rectangle 18587"/>
                        <wps:cNvSpPr/>
                        <wps:spPr>
                          <a:xfrm rot="-10799999">
                            <a:off x="91139" y="1471969"/>
                            <a:ext cx="50622" cy="142889"/>
                          </a:xfrm>
                          <a:prstGeom prst="rect">
                            <a:avLst/>
                          </a:prstGeom>
                          <a:ln>
                            <a:noFill/>
                          </a:ln>
                        </wps:spPr>
                        <wps:txbx>
                          <w:txbxContent>
                            <w:p w14:paraId="2A4116D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588" name="Rectangle 18588"/>
                        <wps:cNvSpPr/>
                        <wps:spPr>
                          <a:xfrm rot="-10799999">
                            <a:off x="-1196424" y="1348639"/>
                            <a:ext cx="5110773" cy="142889"/>
                          </a:xfrm>
                          <a:prstGeom prst="rect">
                            <a:avLst/>
                          </a:prstGeom>
                          <a:ln>
                            <a:noFill/>
                          </a:ln>
                        </wps:spPr>
                        <wps:txbx>
                          <w:txbxContent>
                            <w:p w14:paraId="59E5900E" w14:textId="77777777" w:rsidR="00B32EF2" w:rsidRDefault="00000000">
                              <w:r>
                                <w:rPr>
                                  <w:rFonts w:ascii="Arial" w:eastAsia="Arial" w:hAnsi="Arial" w:cs="Arial"/>
                                  <w:i/>
                                  <w:sz w:val="18"/>
                                </w:rPr>
                                <w:t xml:space="preserve">ginale, e conserva il documento informatico per i due anni successivi. Se </w:t>
                              </w:r>
                            </w:p>
                          </w:txbxContent>
                        </wps:txbx>
                        <wps:bodyPr horzOverflow="overflow" vert="horz" lIns="0" tIns="0" rIns="0" bIns="0" rtlCol="0">
                          <a:noAutofit/>
                        </wps:bodyPr>
                      </wps:wsp>
                      <wps:wsp>
                        <wps:cNvPr id="18589" name="Rectangle 18589"/>
                        <wps:cNvSpPr/>
                        <wps:spPr>
                          <a:xfrm rot="-10799999">
                            <a:off x="-1097387" y="1225309"/>
                            <a:ext cx="5004420" cy="142890"/>
                          </a:xfrm>
                          <a:prstGeom prst="rect">
                            <a:avLst/>
                          </a:prstGeom>
                          <a:ln>
                            <a:noFill/>
                          </a:ln>
                        </wps:spPr>
                        <wps:txbx>
                          <w:txbxContent>
                            <w:p w14:paraId="275A984F" w14:textId="77777777" w:rsidR="00B32EF2" w:rsidRDefault="00000000">
                              <w:r>
                                <w:rPr>
                                  <w:rFonts w:ascii="Arial" w:eastAsia="Arial" w:hAnsi="Arial" w:cs="Arial"/>
                                  <w:i/>
                                  <w:sz w:val="18"/>
                                </w:rPr>
                                <w:t>richiesto, l’ufficiale giudiziario invia l’atto notificato anche attraverso stru</w:t>
                              </w:r>
                            </w:p>
                          </w:txbxContent>
                        </wps:txbx>
                        <wps:bodyPr horzOverflow="overflow" vert="horz" lIns="0" tIns="0" rIns="0" bIns="0" rtlCol="0">
                          <a:noAutofit/>
                        </wps:bodyPr>
                      </wps:wsp>
                      <wps:wsp>
                        <wps:cNvPr id="18590" name="Rectangle 18590"/>
                        <wps:cNvSpPr/>
                        <wps:spPr>
                          <a:xfrm rot="-10799999">
                            <a:off x="91139" y="1225309"/>
                            <a:ext cx="50622" cy="142889"/>
                          </a:xfrm>
                          <a:prstGeom prst="rect">
                            <a:avLst/>
                          </a:prstGeom>
                          <a:ln>
                            <a:noFill/>
                          </a:ln>
                        </wps:spPr>
                        <wps:txbx>
                          <w:txbxContent>
                            <w:p w14:paraId="484604D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591" name="Rectangle 18591"/>
                        <wps:cNvSpPr/>
                        <wps:spPr>
                          <a:xfrm rot="-10799999">
                            <a:off x="-1195509" y="1101980"/>
                            <a:ext cx="5108143" cy="142889"/>
                          </a:xfrm>
                          <a:prstGeom prst="rect">
                            <a:avLst/>
                          </a:prstGeom>
                          <a:ln>
                            <a:noFill/>
                          </a:ln>
                        </wps:spPr>
                        <wps:txbx>
                          <w:txbxContent>
                            <w:p w14:paraId="20BCB698" w14:textId="77777777" w:rsidR="00B32EF2" w:rsidRDefault="00000000">
                              <w:r>
                                <w:rPr>
                                  <w:rFonts w:ascii="Arial" w:eastAsia="Arial" w:hAnsi="Arial" w:cs="Arial"/>
                                  <w:i/>
                                  <w:sz w:val="18"/>
                                </w:rPr>
                                <w:t xml:space="preserve">menti telematici all’indirizzo di posta elettronica dichiarato dal destinatario </w:t>
                              </w:r>
                            </w:p>
                          </w:txbxContent>
                        </wps:txbx>
                        <wps:bodyPr horzOverflow="overflow" vert="horz" lIns="0" tIns="0" rIns="0" bIns="0" rtlCol="0">
                          <a:noAutofit/>
                        </wps:bodyPr>
                      </wps:wsp>
                      <wps:wsp>
                        <wps:cNvPr id="18592" name="Rectangle 18592"/>
                        <wps:cNvSpPr/>
                        <wps:spPr>
                          <a:xfrm rot="-10799999">
                            <a:off x="-1193630" y="978650"/>
                            <a:ext cx="5100663" cy="142889"/>
                          </a:xfrm>
                          <a:prstGeom prst="rect">
                            <a:avLst/>
                          </a:prstGeom>
                          <a:ln>
                            <a:noFill/>
                          </a:ln>
                        </wps:spPr>
                        <wps:txbx>
                          <w:txbxContent>
                            <w:p w14:paraId="0B7638ED" w14:textId="77777777" w:rsidR="00B32EF2" w:rsidRDefault="00000000">
                              <w:r>
                                <w:rPr>
                                  <w:rFonts w:ascii="Arial" w:eastAsia="Arial" w:hAnsi="Arial" w:cs="Arial"/>
                                  <w:i/>
                                  <w:sz w:val="18"/>
                                </w:rPr>
                                <w:t xml:space="preserve">della notifica o dal suo procuratore, ovvero consegna ai medesimi, previa </w:t>
                              </w:r>
                            </w:p>
                          </w:txbxContent>
                        </wps:txbx>
                        <wps:bodyPr horzOverflow="overflow" vert="horz" lIns="0" tIns="0" rIns="0" bIns="0" rtlCol="0">
                          <a:noAutofit/>
                        </wps:bodyPr>
                      </wps:wsp>
                      <wps:wsp>
                        <wps:cNvPr id="18593" name="Rectangle 18593"/>
                        <wps:cNvSpPr/>
                        <wps:spPr>
                          <a:xfrm rot="-10799999">
                            <a:off x="-1193585" y="855320"/>
                            <a:ext cx="5100618" cy="142889"/>
                          </a:xfrm>
                          <a:prstGeom prst="rect">
                            <a:avLst/>
                          </a:prstGeom>
                          <a:ln>
                            <a:noFill/>
                          </a:ln>
                        </wps:spPr>
                        <wps:txbx>
                          <w:txbxContent>
                            <w:p w14:paraId="33C41A04" w14:textId="77777777" w:rsidR="00B32EF2" w:rsidRDefault="00000000">
                              <w:r>
                                <w:rPr>
                                  <w:rFonts w:ascii="Arial" w:eastAsia="Arial" w:hAnsi="Arial" w:cs="Arial"/>
                                  <w:i/>
                                  <w:sz w:val="18"/>
                                </w:rPr>
                                <w:t xml:space="preserve">esazione dei relativi diritti, copia dell’atto notificato, su supporto informatico </w:t>
                              </w:r>
                            </w:p>
                          </w:txbxContent>
                        </wps:txbx>
                        <wps:bodyPr horzOverflow="overflow" vert="horz" lIns="0" tIns="0" rIns="0" bIns="0" rtlCol="0">
                          <a:noAutofit/>
                        </wps:bodyPr>
                      </wps:wsp>
                      <wps:wsp>
                        <wps:cNvPr id="18594" name="Rectangle 18594"/>
                        <wps:cNvSpPr/>
                        <wps:spPr>
                          <a:xfrm rot="-10799999">
                            <a:off x="2839220" y="731991"/>
                            <a:ext cx="1067812" cy="142889"/>
                          </a:xfrm>
                          <a:prstGeom prst="rect">
                            <a:avLst/>
                          </a:prstGeom>
                          <a:ln>
                            <a:noFill/>
                          </a:ln>
                        </wps:spPr>
                        <wps:txbx>
                          <w:txbxContent>
                            <w:p w14:paraId="3F42EAE9" w14:textId="77777777" w:rsidR="00B32EF2" w:rsidRDefault="00000000">
                              <w:r>
                                <w:rPr>
                                  <w:rFonts w:ascii="Arial" w:eastAsia="Arial" w:hAnsi="Arial" w:cs="Arial"/>
                                  <w:i/>
                                  <w:sz w:val="18"/>
                                </w:rPr>
                                <w:t>non riscrivibile .</w:t>
                              </w:r>
                            </w:p>
                          </w:txbxContent>
                        </wps:txbx>
                        <wps:bodyPr horzOverflow="overflow" vert="horz" lIns="0" tIns="0" rIns="0" bIns="0" rtlCol="0">
                          <a:noAutofit/>
                        </wps:bodyPr>
                      </wps:wsp>
                      <wps:wsp>
                        <wps:cNvPr id="201163" name="Rectangle 201163"/>
                        <wps:cNvSpPr/>
                        <wps:spPr>
                          <a:xfrm rot="-10799999">
                            <a:off x="-1162645" y="608660"/>
                            <a:ext cx="5004162" cy="142890"/>
                          </a:xfrm>
                          <a:prstGeom prst="rect">
                            <a:avLst/>
                          </a:prstGeom>
                          <a:ln>
                            <a:noFill/>
                          </a:ln>
                        </wps:spPr>
                        <wps:txbx>
                          <w:txbxContent>
                            <w:p w14:paraId="3B8CACD5" w14:textId="77777777" w:rsidR="00B32EF2" w:rsidRDefault="00000000">
                              <w:r>
                                <w:rPr>
                                  <w:rFonts w:ascii="Arial" w:eastAsia="Arial" w:hAnsi="Arial" w:cs="Arial"/>
                                  <w:i/>
                                  <w:sz w:val="18"/>
                                </w:rPr>
                                <w:t>.Se la notificazione non può essere eseguita in mani proprie del destina</w:t>
                              </w:r>
                            </w:p>
                          </w:txbxContent>
                        </wps:txbx>
                        <wps:bodyPr horzOverflow="overflow" vert="horz" lIns="0" tIns="0" rIns="0" bIns="0" rtlCol="0">
                          <a:noAutofit/>
                        </wps:bodyPr>
                      </wps:wsp>
                      <wps:wsp>
                        <wps:cNvPr id="201162" name="Rectangle 201162"/>
                        <wps:cNvSpPr/>
                        <wps:spPr>
                          <a:xfrm rot="-10799999">
                            <a:off x="2601848" y="608660"/>
                            <a:ext cx="5004161" cy="142890"/>
                          </a:xfrm>
                          <a:prstGeom prst="rect">
                            <a:avLst/>
                          </a:prstGeom>
                          <a:ln>
                            <a:noFill/>
                          </a:ln>
                        </wps:spPr>
                        <wps:txbx>
                          <w:txbxContent>
                            <w:p w14:paraId="0CC71865"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18596" name="Rectangle 18596"/>
                        <wps:cNvSpPr/>
                        <wps:spPr>
                          <a:xfrm rot="-10799999">
                            <a:off x="91139" y="608660"/>
                            <a:ext cx="50622" cy="142889"/>
                          </a:xfrm>
                          <a:prstGeom prst="rect">
                            <a:avLst/>
                          </a:prstGeom>
                          <a:ln>
                            <a:noFill/>
                          </a:ln>
                        </wps:spPr>
                        <wps:txbx>
                          <w:txbxContent>
                            <w:p w14:paraId="032EB71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597" name="Rectangle 18597"/>
                        <wps:cNvSpPr/>
                        <wps:spPr>
                          <a:xfrm rot="-10799999">
                            <a:off x="-1198233" y="485331"/>
                            <a:ext cx="5118525" cy="142889"/>
                          </a:xfrm>
                          <a:prstGeom prst="rect">
                            <a:avLst/>
                          </a:prstGeom>
                          <a:ln>
                            <a:noFill/>
                          </a:ln>
                        </wps:spPr>
                        <wps:txbx>
                          <w:txbxContent>
                            <w:p w14:paraId="67BEEDE3" w14:textId="77777777" w:rsidR="00B32EF2" w:rsidRDefault="00000000">
                              <w:r>
                                <w:rPr>
                                  <w:rFonts w:ascii="Arial" w:eastAsia="Arial" w:hAnsi="Arial" w:cs="Arial"/>
                                  <w:i/>
                                  <w:sz w:val="18"/>
                                </w:rPr>
                                <w:t xml:space="preserve">tario, tranne che nel caso previsto dal secondo comma dell’articolo 143, </w:t>
                              </w:r>
                            </w:p>
                          </w:txbxContent>
                        </wps:txbx>
                        <wps:bodyPr horzOverflow="overflow" vert="horz" lIns="0" tIns="0" rIns="0" bIns="0" rtlCol="0">
                          <a:noAutofit/>
                        </wps:bodyPr>
                      </wps:wsp>
                      <wps:wsp>
                        <wps:cNvPr id="18598" name="Shape 18598"/>
                        <wps:cNvSpPr/>
                        <wps:spPr>
                          <a:xfrm>
                            <a:off x="25382" y="419210"/>
                            <a:ext cx="3960000" cy="2507297"/>
                          </a:xfrm>
                          <a:custGeom>
                            <a:avLst/>
                            <a:gdLst/>
                            <a:ahLst/>
                            <a:cxnLst/>
                            <a:rect l="0" t="0" r="0" b="0"/>
                            <a:pathLst>
                              <a:path w="3960000" h="2507297">
                                <a:moveTo>
                                  <a:pt x="0" y="2507297"/>
                                </a:moveTo>
                                <a:lnTo>
                                  <a:pt x="3960000" y="2507297"/>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224FBC" id="Group 201307" o:spid="_x0000_s3916" style="width:314.3pt;height:493.15pt;mso-position-horizontal-relative:char;mso-position-vertical-relative:line" coordsize="39918,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B7YEA0AAN6RAAAOAAAAZHJzL2Uyb0RvYy54bWzkXW1v47gR/l6g/8Hw92xEUi+UsdlDsdtb&#10;FCh6h7vrD1AcOzYgW4bs3WT76/vMkKJsmbldSGgYlAkQO7RES/NwXjkzev/T866efV21x22zv5uL&#10;d8l8ttovm4ft/vFu/u8/fr7R89nxVO0fqrrZr+7m31bH+U8f/vqX90+HxUo2m6Z+WLUzTLI/Lp4O&#10;d/PN6XRY3N4el5vVrjq+aw6rPT5cN+2uOuHf9vH2oa2eMPuuvpVJkt8+Ne3DoW2Wq+MRo5/Mh/MP&#10;PP96vVqeflmvj6vTrL6b49pO/Lflv/f09/bD+2rx2FaHzXZpL6MacRW7arvHl7qpPlWnaval3V5N&#10;tdsu2+bYrE/vls3utlmvt8sV3wPuRiSDu/ncNl8OfC+Pi6fHgyMTSDug0+hpl//6+rk9/H74tQUl&#10;ng6PoAX/R/fyvG539IqrnD0zyb45kq2eT7MlBlVZCq3y+WyJz3KZS52lhqjLDSh/dd5y8/fvnHnb&#10;ffHtxeU8HbBAjj0NjtNo8PumOqyYtMcFaPBrO9s+YP3qTGHB7qsdlupvWDzV/rFezcwwE4iPduQ6&#10;Lo6gXEerWdtgfd2IpCjph9eDpZ0okyQV5XwGKt3kEv8aInVkFAWIiI+JijJL8jSnzx0pqsWhPZ4+&#10;r5rdjN7czVtcG89fff3n8WQO7Q6hy6n39Hff/Lyta/MpjYCi3RXTu9Pz/TPftixyQd9Hg/fNwzdQ&#10;Y9O0//kFfL2um6e7eWPfzYnV8fX06XxW/2MPFIirujdt9+a+e9Oe6o8N8565oL99OTXrLV9x/232&#10;ygCvuYZXwRnU9uFcdoTAqhiBM7DLiB2IG4Qoyzy7BFonZZYWBmiRSq35+14RaNndXxRAQ6gKLa+R&#10;tuN2zY+CWkopdAkoAXUGoHM1gFqUqSgSy9SEtWH6V8RaxYe1egFrR4pRWN/IXGRp+paxZq3bi9T/&#10;cwHO/As8hhLcjk/hayFyJeWb5msWNNFgDesrFddQm+EpSEuVQEQbptaFUslAgEuN3wT2IFllQZQ1&#10;W4HRAM3MC3PSy9RsMBMpRglwCe2cZDAESFkXaVkWTNpq0RngmRT4zQJiXcSnrD1czWvAOSOjsL4R&#10;sijT4rtgQ30EY2wdFdgkqj2GmRmeIsFFKclfd0w9EOBwxiSWQTCUnS8Zha9FcHpMMjM8BeUboUQh&#10;tDW/EWSy4ZEz6Q1NnkiIk1BQF049RQM1dOVQURPUzjYdKbsBdYLYGfN0liglhooaUGchjbLCaaco&#10;oCaFXHhionZ8Cl/LLC0pAMZYKwRNNdtAA7ZWAaNlMCLsDcaDtScuylg7ZTaSsdNU6NxERrOXwbY7&#10;CSG8rcLFiKIAm4Q1WMsnw50rMhJqUtedXSazPM+u+RqR04DOVhFXtIyg9ohwMzxFghvLjDauyAQX&#10;SikEzjDhQIQnIbnaGSTRcLVHghPUUwX4OVcnsNFKdmIvoA7M1XGFy4Bp5omWmeHpXG39rVRDa+fX&#10;UAf2t5yKioWrM0+wjKB23sgEXZ0hOAMBnhY5JPg11LrEzmU41zq6WBnFqT1mGYYnczXtcTDUeZpA&#10;hl/rahjeAaF2KioarvaHRcGQ06BGakKOUAxDnYk8L4ZQS5GklBgRKmCmowuYIS/Oy9XOFRklwPsI&#10;eMo4D6V32Ai4dtopGob2h0Uz54WMQlmm2LTMrZZWpVLGmO9tb5GpVCGAEY6fnXKKAmmOiHmiJ3Z8&#10;mvBWWhTYUGDhLYskQd4oJuzBzmi3g+zBYMLbqad4wEYIY2iTMdjO5xzH2EgSTRLL2G8Ta6efosCa&#10;XCoPX5vhaWwN0zqhbXDytESa58MccIqfadhF4djaKakooGb29RhldnwK2EgXRRWAyUxIE6lUPsj3&#10;hwjXBcVkg4lwJ7fiwdpjmjHWbtmPEuGIgWuRKvhSxNgvgx1wG9Psq0aTR0jC2h8Dx/AUtjbbHXZn&#10;S6GkJ1Eevg66s6Wji5ZBtF5ZZlgBRuKOThhlqKUwOUeqKPIiYV/2LVnhbjFHIcIJU38MvC9eGynA&#10;pUwyJASTAFco31ImxecMaqQGpyKgd21MxZgEeO6PgWN4igDvo2V+nMNGy8roomUU0hp61cTnLr4w&#10;kqGFKgtKbiGGhqmN0ttBBAUZpRltcIYyv0u3jqOQ3Wxme7C241NYGtn+WlKWKIOdJnkhmLYX0lsk&#10;pMmDge2Wczxge8Q3g+3W/SjOpjIeJY1frV7GOqSmji5chgp3rwyf5lWfaWrGeSjAA2tqd3NRcDSp&#10;ZE/82wxPE96UVGbzB8HYCIAOhTftdYTMHyzjCpQRpv74N4YnQa2EUNLsakFdJ1SNifl6NZ2qBEYZ&#10;llkwNe1uMAqmZnXsiZ3Y8SlYQ02jxNaaZInKC8kWUI81VduqkDuYJnc1GoeaMfUET+z4FKzJ/k5L&#10;gcnJ2XoZ7IC5Rigns3cYBWOTCPeHvzE8Beozm4xxHgjwsNW2Ookuo4xyRDzRk74WdZSPpUpB9bXE&#10;zrLElnQ5kN3Yy0RGCr46kJ7WJhAfkexGNwO3Tc1962YSLeYw9l1mJvvKdqCT6GwHvxioog8dzr80&#10;vlQJVMFBDCoa0BUSna0w/VmzquUX04GO5uy6zqHf4YPpP4exTfdu+bzv3lKfuj9tvXioTnQeTUpv&#10;Z2g2565lw73w+FLo8x260P3R8JGnQV9BXGb/ab0/P8rNhjtnCYFjuyO61wPPd37kJQm647pXczyo&#10;RTxyQazuiO71/MjLb8dl0A0ziR0RMHhO5npP9CBUKrTGXNeV6fm3257QM7Pe7tCVhnKG+omvWvwd&#10;T9/qFZGs3v+2WqPZH/dxpIFj+3j/sW5nXyvqzsc/pqFgfdhUdtSuAHsoXyrPQ+ev0VnQTSn41Isp&#10;Pyr6tTPYg+m8FTfldGcm5sylvRrTmRP9LXHTXX9OEMWdxN/c7E/u/D26ivKXkDywd9uLBlrB9N+r&#10;dhakziM+sTwx9IWmVLCkzZor4D3BI8ft9TY1AtrQ+wjGBJPL7gZjMbMo4daHtIv3jlLA6Buotd2O&#10;lJkWJfpJXiJdYjSgp6yRsIgL6tksgmZzqIC7gpq8J1MZR6QYhbXMaQ5TP4skb50j1HWBdYbgF+qv&#10;AnK1MzOi4GrG1OM92XG77EdhfSNEVpLYZrPhbYIdXVybuhD4RLgjxCioEQ9Rf8rUIftSaSNjohHf&#10;iIeQNvWh7GL7o1AGQ5eK0wjID1AqQx/tgfRGcn8uwqX5auPnRQW1f/eicMH9UVDLAga3rclB32eY&#10;aAMHGrI9LVW4JAONlljR2WQeqFlPT8MabI0O/RQMIbZO0P9ADMCGUZZiVzqgUeYCufEYZR4RzmBP&#10;k+FkgBdImn67WIv44toe+5uUuFv0o0T4mU3m5+mgNhk20GIS34CTKt08NlnfGGAUyhDeaH1AtfYQ&#10;3gKP35BXTQUTtCTDYLA4mclPjMYmYyHt8bLs+ESPukDCpwmKokGsKK86zSG8wvseoYKiqBqIia8Z&#10;VLdZ1T9ByY5PARuaGklD51hf9boIjXVcoTKS4f6tDpPENzoo2mtqw9NXOIfV1C40FIXtTSj7tzkw&#10;PIWf8Zy0EpUexvSm/t54dhxN2O9owc2C0x0ucUib3tPRaGqC2iO7zfAUqM8Y2o9zWIZ24YJoGNpj&#10;jhHKTrKNNb0RDqXW7GR6Z2UmrzqEIqqSBWwwpxGKtes4Gqg9YROCelrUhGS3a0gl0gKO1rXsTlN6&#10;Ol4ww9tFC6KBGtT2OdROvI3i6jPZzTgzWc91dFDZjYKC2Bga8tWHspNso1Cmraw8lTZsolKdY//y&#10;0hijjjYBO8xpPN4lNqj9cVDzyNjR3hXLbkUBMFLTEnmhV31gaXsDnOVkt2k/gDy87onQ3aOG/zdP&#10;I9Z4aFNkUFM+tYer+74Po7j6THb7cQ4ru53/GIuGRoMHL8pOso1CmWQ3OsGbfBNIaVGaGPqZkhYJ&#10;tajqGfqVnzqtoVhiY2h/ZKzv+zAaapWj6RTJ7rLARgfbPxdIJ3gSdUCknQ8ZDVP7o2OmbGaClubc&#10;IjjqQBr9zKh0dmCPBU4tks6FjAZpf3CsdMJtFE+j6r1EAyoGulCiNF2AepYW2OHS2DN01tirC2/n&#10;QEYBNG9VeXjajls9Ngpqzizq+vLnCR6sMmRqalVEra+6qMmrW97OjYwHa4+mZqydEzIKa0os0tTh&#10;FfL7ZahhEAaDOroAGXUk8DlZTpGNArp3svwwB/WxTH/SmHawKObsA9kpsVEgk4+FNmNQC2DnVKNH&#10;5LAhEdKOsoDPj9fmgqJC2kVCTVE0AOjberyMMu0wn9VEQ/oTpKiJNomWveHl6oFJQl+W+XZxsPNi&#10;3TdUE315sT9SGX15Rle93L1e10ez3YKAYHdE9/pyvTMqm+vmuIL5hNN+sPKZq5uhIV+sfjZly2bO&#10;ev9D1c+eUmVb/dxNg9piLjM+L3C2ZcrjaqbfRPUz6qAfF0+PB6b/Y1sdNtvlp+pUnf/PBFysZLNp&#10;6odV++G/AAAA//8DAFBLAwQUAAYACAAAACEAGA0GbN0AAAAFAQAADwAAAGRycy9kb3ducmV2Lnht&#10;bEyPQUvDQBCF74L/YRnBm92kxRDTbEop6qkItoL0Ns1Ok9DsbMhuk/Tfu3qpl4HHe7z3Tb6aTCsG&#10;6l1jWUE8i0AQl1Y3XCn42r89pSCcR9bYWiYFV3KwKu7vcsy0HfmThp2vRChhl6GC2vsuk9KVNRl0&#10;M9sRB+9ke4M+yL6SuscxlJtWzqMokQYbDgs1drSpqTzvLkbB+4jjehG/DtvzaXM97J8/vrcxKfX4&#10;MK2XIDxN/haGX/yADkVgOtoLaydaBeER/3eDl8zTBMRRwUuaLEAWufxPX/wAAAD//wMAUEsBAi0A&#10;FAAGAAgAAAAhALaDOJL+AAAA4QEAABMAAAAAAAAAAAAAAAAAAAAAAFtDb250ZW50X1R5cGVzXS54&#10;bWxQSwECLQAUAAYACAAAACEAOP0h/9YAAACUAQAACwAAAAAAAAAAAAAAAAAvAQAAX3JlbHMvLnJl&#10;bHNQSwECLQAUAAYACAAAACEAkOwe2BANAADekQAADgAAAAAAAAAAAAAAAAAuAgAAZHJzL2Uyb0Rv&#10;Yy54bWxQSwECLQAUAAYACAAAACEAGA0GbN0AAAAFAQAADwAAAAAAAAAAAAAAAABqDwAAZHJzL2Rv&#10;d25yZXYueG1sUEsFBgAAAAAEAAQA8wAAAHQQAAAAAA==&#10;">
                <v:rect id="Rectangle 18538" o:spid="_x0000_s3917" style="position:absolute;left:19004;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YsyAAAAN4AAAAPAAAAZHJzL2Rvd25yZXYueG1sRI9Pa8Mw&#10;DMXvg30Ho0Fvq7OVjZDVLaOjNIdd+g92FLGaZItlE7tNuk8/HQq7Sbyn936aL0fXqQv1sfVs4Gma&#10;gSKuvG25NnDYrx9zUDEhW+w8k4ErRVgu7u/mWFg/8JYuu1QrCeFYoIEmpVBoHauGHMapD8SinXzv&#10;MMna19r2OEi46/Rzlr1qhy1LQ4OBVg1VP7uzM/D1waFcD7o6/a7C53eZd5vz4WjM5GF8fwOVaEz/&#10;5tt1aQU/f5kJr7wjM+jFHwAAAP//AwBQSwECLQAUAAYACAAAACEA2+H2y+4AAACFAQAAEwAAAAAA&#10;AAAAAAAAAAAAAAAAW0NvbnRlbnRfVHlwZXNdLnhtbFBLAQItABQABgAIAAAAIQBa9CxbvwAAABUB&#10;AAALAAAAAAAAAAAAAAAAAB8BAABfcmVscy8ucmVsc1BLAQItABQABgAIAAAAIQB/txYsyAAAAN4A&#10;AAAPAAAAAAAAAAAAAAAAAAcCAABkcnMvZG93bnJldi54bWxQSwUGAAAAAAMAAwC3AAAA/AIAAAAA&#10;" filled="f" stroked="f">
                  <v:textbox inset="0,0,0,0">
                    <w:txbxContent>
                      <w:p w14:paraId="2D0FCA50" w14:textId="77777777" w:rsidR="00B32EF2" w:rsidRDefault="00000000">
                        <w:r>
                          <w:rPr>
                            <w:rFonts w:ascii="Times New Roman" w:eastAsia="Times New Roman" w:hAnsi="Times New Roman" w:cs="Times New Roman"/>
                          </w:rPr>
                          <w:t>62</w:t>
                        </w:r>
                      </w:p>
                    </w:txbxContent>
                  </v:textbox>
                </v:rect>
                <v:rect id="Rectangle 18539" o:spid="_x0000_s3918" style="position:absolute;left:15065;top:61199;width:80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O3xQAAAN4AAAAPAAAAZHJzL2Rvd25yZXYueG1sRE9Na8JA&#10;EL0L/odlhN50o6Ulja4iipiDl1oLHofsmKTNzi7Z1cT+erdQ6G0e73MWq9404katry0rmE4SEMSF&#10;1TWXCk4fu3EKwgdkjY1lUnAnD6vlcLDATNuO3+l2DKWIIewzVFCF4DIpfVGRQT+xjjhyF9saDBG2&#10;pdQtdjHcNHKWJK/SYM2xoUJHm4qK7+PVKDhv2eW7ThaXn407fOVps7+ePpV6GvXrOYhAffgX/7lz&#10;HeenL89v8PtOvEEuHwAAAP//AwBQSwECLQAUAAYACAAAACEA2+H2y+4AAACFAQAAEwAAAAAAAAAA&#10;AAAAAAAAAAAAW0NvbnRlbnRfVHlwZXNdLnhtbFBLAQItABQABgAIAAAAIQBa9CxbvwAAABUBAAAL&#10;AAAAAAAAAAAAAAAAAB8BAABfcmVscy8ucmVsc1BLAQItABQABgAIAAAAIQAQ+7O3xQAAAN4AAAAP&#10;AAAAAAAAAAAAAAAAAAcCAABkcnMvZG93bnJldi54bWxQSwUGAAAAAAMAAwC3AAAA+QIAAAAA&#10;" filled="f" stroked="f">
                  <v:textbox inset="0,0,0,0">
                    <w:txbxContent>
                      <w:p w14:paraId="6083FE7B" w14:textId="77777777" w:rsidR="00B32EF2" w:rsidRDefault="00000000">
                        <w:r>
                          <w:rPr>
                            <w:rFonts w:ascii="Arial" w:eastAsia="Arial" w:hAnsi="Arial" w:cs="Arial"/>
                            <w:b/>
                            <w:sz w:val="18"/>
                          </w:rPr>
                          <w:t>Articolo 68</w:t>
                        </w:r>
                      </w:p>
                    </w:txbxContent>
                  </v:textbox>
                </v:rect>
                <v:rect id="Rectangle 201182" o:spid="_x0000_s3919" style="position:absolute;left:22218;top:59966;width:194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Q3lxwAAAN8AAAAPAAAAZHJzL2Rvd25yZXYueG1sRI9Ba8JA&#10;FITvQv/D8gredJMcJKSuUizSHHrRKvT4yD6TaPbtkl1N2l/vCkKPw8x8wyzXo+nEjXrfWlaQzhMQ&#10;xJXVLdcKDt/bWQ7CB2SNnWVS8Ese1quXyRILbQfe0W0fahEh7AtU0ITgCil91ZBBP7eOOHon2xsM&#10;Ufa11D0OEW46mSXJQhpsOS406GjTUHXZX42Cnw925XaQ1elv477OZd59Xg9Hpaav4/sbiEBj+A8/&#10;26VWkCVpmmfw+BO/gFzdAQAA//8DAFBLAQItABQABgAIAAAAIQDb4fbL7gAAAIUBAAATAAAAAAAA&#10;AAAAAAAAAAAAAABbQ29udGVudF9UeXBlc10ueG1sUEsBAi0AFAAGAAgAAAAhAFr0LFu/AAAAFQEA&#10;AAsAAAAAAAAAAAAAAAAAHwEAAF9yZWxzLy5yZWxzUEsBAi0AFAAGAAgAAAAhADMZDeXHAAAA3wAA&#10;AA8AAAAAAAAAAAAAAAAABwIAAGRycy9kb3ducmV2LnhtbFBLBQYAAAAAAwADALcAAAD7AgAAAAA=&#10;" filled="f" stroked="f">
                  <v:textbox inset="0,0,0,0">
                    <w:txbxContent>
                      <w:p w14:paraId="56595C39" w14:textId="77777777" w:rsidR="00B32EF2" w:rsidRDefault="00000000">
                        <w:r>
                          <w:rPr>
                            <w:rFonts w:ascii="Arial" w:eastAsia="Arial" w:hAnsi="Arial" w:cs="Arial"/>
                            <w:i/>
                            <w:sz w:val="18"/>
                          </w:rPr>
                          <w:t>(</w:t>
                        </w:r>
                      </w:p>
                    </w:txbxContent>
                  </v:textbox>
                </v:rect>
                <v:rect id="Rectangle 201183" o:spid="_x0000_s3920" style="position:absolute;left:-2615;top:59966;width:194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ah+xwAAAN8AAAAPAAAAZHJzL2Rvd25yZXYueG1sRI9Ba8JA&#10;FITvgv9heUJvuomFElJXKYqYQy9VCz0+ss8kbfbtkl1N6q93BcHjMDPfMIvVYFpxoc43lhWkswQE&#10;cWl1w5WC42E7zUD4gKyxtUwK/snDajkeLTDXtucvuuxDJSKEfY4K6hBcLqUvazLoZ9YRR+9kO4Mh&#10;yq6SusM+wk0r50nyJg02HBdqdLSuqfzbn42Cnw27YtvL8nRdu8/fImt35+O3Ui+T4eMdRKAhPMOP&#10;dqEVzJM0zV7h/id+Abm8AQAA//8DAFBLAQItABQABgAIAAAAIQDb4fbL7gAAAIUBAAATAAAAAAAA&#10;AAAAAAAAAAAAAABbQ29udGVudF9UeXBlc10ueG1sUEsBAi0AFAAGAAgAAAAhAFr0LFu/AAAAFQEA&#10;AAsAAAAAAAAAAAAAAAAAHwEAAF9yZWxzLy5yZWxzUEsBAi0AFAAGAAgAAAAhAFxVqH7HAAAA3wAA&#10;AA8AAAAAAAAAAAAAAAAABwIAAGRycy9kb3ducmV2LnhtbFBLBQYAAAAAAwADALcAAAD7AgAAAAA=&#10;" filled="f" stroked="f">
                  <v:textbox inset="0,0,0,0">
                    <w:txbxContent>
                      <w:p w14:paraId="0725046D" w14:textId="77777777" w:rsidR="00B32EF2" w:rsidRDefault="00000000">
                        <w:r>
                          <w:rPr>
                            <w:rFonts w:ascii="Arial" w:eastAsia="Arial" w:hAnsi="Arial" w:cs="Arial"/>
                            <w:i/>
                            <w:sz w:val="18"/>
                          </w:rPr>
                          <w:t>546/92)</w:t>
                        </w:r>
                      </w:p>
                    </w:txbxContent>
                  </v:textbox>
                </v:rect>
                <v:rect id="Rectangle 201184" o:spid="_x0000_s3921" style="position:absolute;left:11632;top:59966;width:194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DAKxwAAAN8AAAAPAAAAZHJzL2Rvd25yZXYueG1sRI9Ba8JA&#10;FITvgv9heUJvuomUElJXKYqYQy9VCz0+ss8kbfbtkl1N6q93BcHjMDPfMIvVYFpxoc43lhWkswQE&#10;cWl1w5WC42E7zUD4gKyxtUwK/snDajkeLTDXtucvuuxDJSKEfY4K6hBcLqUvazLoZ9YRR+9kO4Mh&#10;yq6SusM+wk0r50nyJg02HBdqdLSuqfzbn42Cnw27YtvL8nRdu8/fImt35+O3Ui+T4eMdRKAhPMOP&#10;dqEVzJM0zV7h/id+Abm8AQAA//8DAFBLAQItABQABgAIAAAAIQDb4fbL7gAAAIUBAAATAAAAAAAA&#10;AAAAAAAAAAAAAABbQ29udGVudF9UeXBlc10ueG1sUEsBAi0AFAAGAAgAAAAhAFr0LFu/AAAAFQEA&#10;AAsAAAAAAAAAAAAAAAAAHwEAAF9yZWxzLy5yZWxzUEsBAi0AFAAGAAgAAAAhANO8MArHAAAA3wAA&#10;AA8AAAAAAAAAAAAAAAAABwIAAGRycy9kb3ducmV2LnhtbFBLBQYAAAAAAwADALcAAAD7AgAAAAA=&#10;" filled="f" stroked="f">
                  <v:textbox inset="0,0,0,0">
                    <w:txbxContent>
                      <w:p w14:paraId="2D5291F8" w14:textId="77777777" w:rsidR="00B32EF2" w:rsidRDefault="00000000">
                        <w:r>
                          <w:rPr>
                            <w:rFonts w:ascii="Arial" w:eastAsia="Arial" w:hAnsi="Arial" w:cs="Arial"/>
                            <w:i/>
                            <w:sz w:val="18"/>
                          </w:rPr>
                          <w:t xml:space="preserve">articolo 22 D.lgs. n. </w:t>
                        </w:r>
                      </w:p>
                    </w:txbxContent>
                  </v:textbox>
                </v:rect>
                <v:rect id="Rectangle 18541" o:spid="_x0000_s3922" style="position:absolute;left:2309;top:58733;width:2828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8zMxAAAAN4AAAAPAAAAZHJzL2Rvd25yZXYueG1sRE9Na8JA&#10;EL0X/A/LCN7qRmlLiK4iijQHL7UKHofsmESzs0t2NdFf3y0UepvH+5z5sjeNuFPra8sKJuMEBHFh&#10;dc2lgsP39jUF4QOyxsYyKXiQh+Vi8DLHTNuOv+i+D6WIIewzVFCF4DIpfVGRQT+2jjhyZ9saDBG2&#10;pdQtdjHcNHKaJB/SYM2xoUJH64qK6/5mFJw27PJtJ4vzc+12lzxtPm+Ho1KjYb+agQjUh3/xnzvX&#10;cX76/jaB33fiDXLxAwAA//8DAFBLAQItABQABgAIAAAAIQDb4fbL7gAAAIUBAAATAAAAAAAAAAAA&#10;AAAAAAAAAABbQ29udGVudF9UeXBlc10ueG1sUEsBAi0AFAAGAAgAAAAhAFr0LFu/AAAAFQEAAAsA&#10;AAAAAAAAAAAAAAAAHwEAAF9yZWxzLy5yZWxzUEsBAi0AFAAGAAgAAAAhALaLzMzEAAAA3gAAAA8A&#10;AAAAAAAAAAAAAAAABwIAAGRycy9kb3ducmV2LnhtbFBLBQYAAAAAAwADALcAAAD4AgAAAAA=&#10;" filled="f" stroked="f">
                  <v:textbox inset="0,0,0,0">
                    <w:txbxContent>
                      <w:p w14:paraId="1E44E553" w14:textId="77777777" w:rsidR="00B32EF2" w:rsidRDefault="00000000">
                        <w:r>
                          <w:rPr>
                            <w:rFonts w:ascii="Arial" w:eastAsia="Arial" w:hAnsi="Arial" w:cs="Arial"/>
                            <w:b/>
                            <w:sz w:val="18"/>
                          </w:rPr>
                          <w:t xml:space="preserve">Costituzione in giudizio del ricorrente </w:t>
                        </w:r>
                      </w:p>
                    </w:txbxContent>
                  </v:textbox>
                </v:rect>
                <v:rect id="Rectangle 201180" o:spid="_x0000_s3923" style="position:absolute;left:26350;top:57499;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zYJxQAAAN8AAAAPAAAAZHJzL2Rvd25yZXYueG1sRI/NisIw&#10;FIX3A75DuIK7Ma0LKdUooohduBnHgVlemmtbbW5CE22dpzcLYZaH88e3XA+mFQ/qfGNZQTpNQBCX&#10;VjdcKTh/7z8zED4ga2wtk4IneVivRh9LzLXt+Ysep1CJOMI+RwV1CC6X0pc1GfRT64ijd7GdwRBl&#10;V0ndYR/HTStnSTKXBhuODzU62tZU3k53o+B3x67Y97K8/G3d8Vpk7eF+/lFqMh42CxCBhvAffrcL&#10;rWCWpGkWCSJPZAG5egEAAP//AwBQSwECLQAUAAYACAAAACEA2+H2y+4AAACFAQAAEwAAAAAAAAAA&#10;AAAAAAAAAAAAW0NvbnRlbnRfVHlwZXNdLnhtbFBLAQItABQABgAIAAAAIQBa9CxbvwAAABUBAAAL&#10;AAAAAAAAAAAAAAAAAB8BAABfcmVscy8ucmVsc1BLAQItABQABgAIAAAAIQCshzYJxQAAAN8AAAAP&#10;AAAAAAAAAAAAAAAAAAcCAABkcnMvZG93bnJldi54bWxQSwUGAAAAAAMAAwC3AAAA+QIAAAAA&#10;" filled="f" stroked="f">
                  <v:textbox inset="0,0,0,0">
                    <w:txbxContent>
                      <w:p w14:paraId="2BCF4895" w14:textId="77777777" w:rsidR="00B32EF2" w:rsidRDefault="00000000">
                        <w:r>
                          <w:rPr>
                            <w:rFonts w:ascii="Arial" w:eastAsia="Arial" w:hAnsi="Arial" w:cs="Arial"/>
                            <w:sz w:val="18"/>
                          </w:rPr>
                          <w:t>1</w:t>
                        </w:r>
                      </w:p>
                    </w:txbxContent>
                  </v:textbox>
                </v:rect>
                <v:rect id="Rectangle 201181" o:spid="_x0000_s3924" style="position:absolute;left:-12794;top:57499;width:521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5OSxwAAAN8AAAAPAAAAZHJzL2Rvd25yZXYueG1sRI9Pi8Iw&#10;FMTvC36H8ARva1oPUqpRRBF78LL+AY+P5tl2t3kJTbTd/fSbhQWPw8z8hlmuB9OKJ3W+sawgnSYg&#10;iEurG64UXM779wyED8gaW8uk4Js8rFejtyXm2vb8Qc9TqESEsM9RQR2Cy6X0ZU0G/dQ64ujdbWcw&#10;RNlVUnfYR7hp5SxJ5tJgw3GhRkfbmsqv08MouO3YFftelvefrTt+Fll7eFyuSk3Gw2YBItAQXuH/&#10;dqEVzJI0zVL4+xO/gFz9AgAA//8DAFBLAQItABQABgAIAAAAIQDb4fbL7gAAAIUBAAATAAAAAAAA&#10;AAAAAAAAAAAAAABbQ29udGVudF9UeXBlc10ueG1sUEsBAi0AFAAGAAgAAAAhAFr0LFu/AAAAFQEA&#10;AAsAAAAAAAAAAAAAAAAAHwEAAF9yZWxzLy5yZWxzUEsBAi0AFAAGAAgAAAAhAMPLk5LHAAAA3wAA&#10;AA8AAAAAAAAAAAAAAAAABwIAAGRycy9kb3ducmV2LnhtbFBLBQYAAAAAAwADALcAAAD7AgAAAAA=&#10;" filled="f" stroked="f">
                  <v:textbox inset="0,0,0,0">
                    <w:txbxContent>
                      <w:p w14:paraId="53E29009" w14:textId="77777777" w:rsidR="00B32EF2" w:rsidRDefault="00000000">
                        <w:r>
                          <w:rPr>
                            <w:rFonts w:ascii="Arial" w:eastAsia="Arial" w:hAnsi="Arial" w:cs="Arial"/>
                            <w:sz w:val="18"/>
                          </w:rPr>
                          <w:t>. Il ricorrente, entro trenta giorni dalla proposizione del ricorso, a pena d’inam</w:t>
                        </w:r>
                      </w:p>
                    </w:txbxContent>
                  </v:textbox>
                </v:rect>
                <v:rect id="Rectangle 18543" o:spid="_x0000_s3925" style="position:absolute;left:192;top:574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fcgxQAAAN4AAAAPAAAAZHJzL2Rvd25yZXYueG1sRE9Na8JA&#10;EL0X+h+WKXirm9YqIbpKsYg5eKlV8DhkxySanV2yq4n99W5B6G0e73Nmi9404kqtry0reBsmIIgL&#10;q2suFex+Vq8pCB+QNTaWScGNPCzmz08zzLTt+Juu21CKGMI+QwVVCC6T0hcVGfRD64gjd7StwRBh&#10;W0rdYhfDTSPfk2QiDdYcGyp0tKyoOG8vRsHhi12+6mRx/F26zSlPm/Vlt1dq8NJ/TkEE6sO/+OHO&#10;dZyfjj9G8PdOvEHO7wAAAP//AwBQSwECLQAUAAYACAAAACEA2+H2y+4AAACFAQAAEwAAAAAAAAAA&#10;AAAAAAAAAAAAW0NvbnRlbnRfVHlwZXNdLnhtbFBLAQItABQABgAIAAAAIQBa9CxbvwAAABUBAAAL&#10;AAAAAAAAAAAAAAAAAB8BAABfcmVscy8ucmVsc1BLAQItABQABgAIAAAAIQApFfcgxQAAAN4AAAAP&#10;AAAAAAAAAAAAAAAAAAcCAABkcnMvZG93bnJldi54bWxQSwUGAAAAAAMAAwC3AAAA+QIAAAAA&#10;" filled="f" stroked="f">
                  <v:textbox inset="0,0,0,0">
                    <w:txbxContent>
                      <w:p w14:paraId="1BF5FB3C" w14:textId="77777777" w:rsidR="00B32EF2" w:rsidRDefault="00000000">
                        <w:r>
                          <w:rPr>
                            <w:rFonts w:ascii="Arial" w:eastAsia="Arial" w:hAnsi="Arial" w:cs="Arial"/>
                            <w:sz w:val="18"/>
                          </w:rPr>
                          <w:t>-</w:t>
                        </w:r>
                      </w:p>
                    </w:txbxContent>
                  </v:textbox>
                </v:rect>
                <v:rect id="Rectangle 18544" o:spid="_x0000_s3926" style="position:absolute;left:-13171;top:562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9UxAAAAN4AAAAPAAAAZHJzL2Rvd25yZXYueG1sRE9Na8JA&#10;EL0X/A/LCN7qxmJLiK4iijQHL7UKHofsmESzs0t2NdFf3y0UepvH+5z5sjeNuFPra8sKJuMEBHFh&#10;dc2lgsP39jUF4QOyxsYyKXiQh+Vi8DLHTNuOv+i+D6WIIewzVFCF4DIpfVGRQT+2jjhyZ9saDBG2&#10;pdQtdjHcNPItST6kwZpjQ4WO1hUV1/3NKDht2OXbThbn59rtLnnafN4OR6VGw341AxGoD//iP3eu&#10;4/z0fTqF33fiDXLxAwAA//8DAFBLAQItABQABgAIAAAAIQDb4fbL7gAAAIUBAAATAAAAAAAAAAAA&#10;AAAAAAAAAABbQ29udGVudF9UeXBlc10ueG1sUEsBAi0AFAAGAAgAAAAhAFr0LFu/AAAAFQEAAAsA&#10;AAAAAAAAAAAAAAAAHwEAAF9yZWxzLy5yZWxzUEsBAi0AFAAGAAgAAAAhAKb8b1TEAAAA3gAAAA8A&#10;AAAAAAAAAAAAAAAABwIAAGRycy9kb3ducmV2LnhtbFBLBQYAAAAAAwADALcAAAD4AgAAAAA=&#10;" filled="f" stroked="f">
                  <v:textbox inset="0,0,0,0">
                    <w:txbxContent>
                      <w:p w14:paraId="7F78BA89" w14:textId="77777777" w:rsidR="00B32EF2" w:rsidRDefault="00000000">
                        <w:r>
                          <w:rPr>
                            <w:rFonts w:ascii="Arial" w:eastAsia="Arial" w:hAnsi="Arial" w:cs="Arial"/>
                            <w:sz w:val="18"/>
                          </w:rPr>
                          <w:t xml:space="preserve">missibilità lo deposita telematicamente, nella segreteria della corte di giustizia </w:t>
                        </w:r>
                      </w:p>
                    </w:txbxContent>
                  </v:textbox>
                </v:rect>
                <v:rect id="Rectangle 18545" o:spid="_x0000_s3927" style="position:absolute;left:-13170;top:55033;width:530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MrPxAAAAN4AAAAPAAAAZHJzL2Rvd25yZXYueG1sRE9Na8JA&#10;EL0X/A/LCN7qxqIlRFcRRZpDL7UKHofsmESzs0t2NdFf3y0UepvH+5zFqjeNuFPra8sKJuMEBHFh&#10;dc2lgsP37jUF4QOyxsYyKXiQh9Vy8LLATNuOv+i+D6WIIewzVFCF4DIpfVGRQT+2jjhyZ9saDBG2&#10;pdQtdjHcNPItSd6lwZpjQ4WONhUV1/3NKDht2eW7Thbn58Z9XvK0+bgdjkqNhv16DiJQH/7Ff+5c&#10;x/npbDqD33fiDXL5AwAA//8DAFBLAQItABQABgAIAAAAIQDb4fbL7gAAAIUBAAATAAAAAAAAAAAA&#10;AAAAAAAAAABbQ29udGVudF9UeXBlc10ueG1sUEsBAi0AFAAGAAgAAAAhAFr0LFu/AAAAFQEAAAsA&#10;AAAAAAAAAAAAAAAAHwEAAF9yZWxzLy5yZWxzUEsBAi0AFAAGAAgAAAAhAMmwys/EAAAA3gAAAA8A&#10;AAAAAAAAAAAAAAAABwIAAGRycy9kb3ducmV2LnhtbFBLBQYAAAAAAwADALcAAAD4AgAAAAA=&#10;" filled="f" stroked="f">
                  <v:textbox inset="0,0,0,0">
                    <w:txbxContent>
                      <w:p w14:paraId="6CFF1D34" w14:textId="77777777" w:rsidR="00B32EF2" w:rsidRDefault="00000000">
                        <w:r>
                          <w:rPr>
                            <w:rFonts w:ascii="Arial" w:eastAsia="Arial" w:hAnsi="Arial" w:cs="Arial"/>
                            <w:sz w:val="18"/>
                          </w:rPr>
                          <w:t xml:space="preserve">tributaria di primo e secondo grado adita, ovvero, nei casi previsti dall’articolo </w:t>
                        </w:r>
                      </w:p>
                    </w:txbxContent>
                  </v:textbox>
                </v:rect>
                <v:rect id="Rectangle 201178" o:spid="_x0000_s3928" style="position:absolute;left:25498;top:53799;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EooxAAAAN8AAAAPAAAAZHJzL2Rvd25yZXYueG1sRE/LisIw&#10;FN0P+A/hCu7GtC5mpBpFFJkuZuMLXF6aa1ttbkITbZ2vN4sBl4fzni9704gHtb62rCAdJyCIC6tr&#10;LhUcD9vPKQgfkDU2lknBkzwsF4OPOWbadryjxz6UIoawz1BBFYLLpPRFRQb92DriyF1sazBE2JZS&#10;t9jFcNPISZJ8SYM1x4YKHa0rKm77u1Fw3rDLt50sLn9r93vNp83P/XhSajTsVzMQgfrwFv+7c61g&#10;kqTpdxwc/8QvIBcvAAAA//8DAFBLAQItABQABgAIAAAAIQDb4fbL7gAAAIUBAAATAAAAAAAAAAAA&#10;AAAAAAAAAABbQ29udGVudF9UeXBlc10ueG1sUEsBAi0AFAAGAAgAAAAhAFr0LFu/AAAAFQEAAAsA&#10;AAAAAAAAAAAAAAAAHwEAAF9yZWxzLy5yZWxzUEsBAi0AFAAGAAgAAAAhAGckSijEAAAA3wAAAA8A&#10;AAAAAAAAAAAAAAAABwIAAGRycy9kb3ducmV2LnhtbFBLBQYAAAAAAwADALcAAAD4AgAAAAA=&#10;" filled="f" stroked="f">
                  <v:textbox inset="0,0,0,0">
                    <w:txbxContent>
                      <w:p w14:paraId="17AD8C16" w14:textId="77777777" w:rsidR="00B32EF2" w:rsidRDefault="00000000">
                        <w:r>
                          <w:rPr>
                            <w:rFonts w:ascii="Arial" w:eastAsia="Arial" w:hAnsi="Arial" w:cs="Arial"/>
                            <w:sz w:val="18"/>
                          </w:rPr>
                          <w:t>61</w:t>
                        </w:r>
                      </w:p>
                    </w:txbxContent>
                  </v:textbox>
                </v:rect>
                <v:rect id="Rectangle 201179" o:spid="_x0000_s3929" style="position:absolute;left:-14418;top:537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O+zyAAAAN8AAAAPAAAAZHJzL2Rvd25yZXYueG1sRI9Pa8JA&#10;FMTvBb/D8gRvuomHalNXEUWaQy/+KfT4yD6TtNm3S3Y1sZ/eFYQeh5n5DbNY9aYRV2p9bVlBOklA&#10;EBdW11wqOB134zkIH5A1NpZJwY08rJaDlwVm2na8p+shlCJC2GeooArBZVL6oiKDfmIdcfTOtjUY&#10;omxLqVvsItw0cpokr9JgzXGhQkebiorfw8Uo+N6yy3edLM5/G/f5k8+bj8vpS6nRsF+/gwjUh//w&#10;s51rBdMkTWdv8PgTv4Bc3gEAAP//AwBQSwECLQAUAAYACAAAACEA2+H2y+4AAACFAQAAEwAAAAAA&#10;AAAAAAAAAAAAAAAAW0NvbnRlbnRfVHlwZXNdLnhtbFBLAQItABQABgAIAAAAIQBa9CxbvwAAABUB&#10;AAALAAAAAAAAAAAAAAAAAB8BAABfcmVscy8ucmVsc1BLAQItABQABgAIAAAAIQAIaO+zyAAAAN8A&#10;AAAPAAAAAAAAAAAAAAAAAAcCAABkcnMvZG93bnJldi54bWxQSwUGAAAAAAMAAwC3AAAA/AIAAAAA&#10;" filled="f" stroked="f">
                  <v:textbox inset="0,0,0,0">
                    <w:txbxContent>
                      <w:p w14:paraId="7D3067B3" w14:textId="77777777" w:rsidR="00B32EF2" w:rsidRDefault="00000000">
                        <w:r>
                          <w:rPr>
                            <w:rFonts w:ascii="Arial" w:eastAsia="Arial" w:hAnsi="Arial" w:cs="Arial"/>
                            <w:sz w:val="18"/>
                          </w:rPr>
                          <w:t xml:space="preserve"> comma 3, trasmette a mezzo posta, in plico raccomandato senza busta con </w:t>
                        </w:r>
                      </w:p>
                    </w:txbxContent>
                  </v:textbox>
                </v:rect>
                <v:rect id="Rectangle 18547" o:spid="_x0000_s3930" style="position:absolute;left:-13171;top:525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EjxQAAAN4AAAAPAAAAZHJzL2Rvd25yZXYueG1sRE9Na8JA&#10;EL0X+h+WKXirmxarIbpKsYg5eKlV8DhkxySanV2yq4n99W5B6G0e73Nmi9404kqtry0reBsmIIgL&#10;q2suFex+Vq8pCB+QNTaWScGNPCzmz08zzLTt+Juu21CKGMI+QwVVCC6T0hcVGfRD64gjd7StwRBh&#10;W0rdYhfDTSPfk2QsDdYcGyp0tKyoOG8vRsHhi12+6mRx/F26zSlPm/Vlt1dq8NJ/TkEE6sO/+OHO&#10;dZyffowm8PdOvEHO7wAAAP//AwBQSwECLQAUAAYACAAAACEA2+H2y+4AAACFAQAAEwAAAAAAAAAA&#10;AAAAAAAAAAAAW0NvbnRlbnRfVHlwZXNdLnhtbFBLAQItABQABgAIAAAAIQBa9CxbvwAAABUBAAAL&#10;AAAAAAAAAAAAAAAAAB8BAABfcmVscy8ucmVsc1BLAQItABQABgAIAAAAIQBWLvEjxQAAAN4AAAAP&#10;AAAAAAAAAAAAAAAAAAcCAABkcnMvZG93bnJldi54bWxQSwUGAAAAAAMAAwC3AAAA+QIAAAAA&#10;" filled="f" stroked="f">
                  <v:textbox inset="0,0,0,0">
                    <w:txbxContent>
                      <w:p w14:paraId="4166F521" w14:textId="77777777" w:rsidR="00B32EF2" w:rsidRDefault="00000000">
                        <w:r>
                          <w:rPr>
                            <w:rFonts w:ascii="Arial" w:eastAsia="Arial" w:hAnsi="Arial" w:cs="Arial"/>
                            <w:sz w:val="18"/>
                          </w:rPr>
                          <w:t xml:space="preserve">avviso di ricevimento, l’originale del ricorso notificato a norma degli articoli 137 </w:t>
                        </w:r>
                      </w:p>
                    </w:txbxContent>
                  </v:textbox>
                </v:rect>
                <v:rect id="Rectangle 18548" o:spid="_x0000_s3931" style="position:absolute;left:-13171;top:513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WVRyAAAAN4AAAAPAAAAZHJzL2Rvd25yZXYueG1sRI9Pa8Mw&#10;DMXvg30Ho0Fvq7PRjZDVLaOjNIdd+g92FLGaZItlE7tNuk8/HQq7Sbyn936aL0fXqQv1sfVs4Gma&#10;gSKuvG25NnDYrx9zUDEhW+w8k4ErRVgu7u/mWFg/8JYuu1QrCeFYoIEmpVBoHauGHMapD8SinXzv&#10;MMna19r2OEi46/Rzlr1qhy1LQ4OBVg1VP7uzM/D1waFcD7o6/a7C53eZd5vz4WjM5GF8fwOVaEz/&#10;5tt1aQU/f5kJr7wjM+jFHwAAAP//AwBQSwECLQAUAAYACAAAACEA2+H2y+4AAACFAQAAEwAAAAAA&#10;AAAAAAAAAAAAAAAAW0NvbnRlbnRfVHlwZXNdLnhtbFBLAQItABQABgAIAAAAIQBa9CxbvwAAABUB&#10;AAALAAAAAAAAAAAAAAAAAB8BAABfcmVscy8ucmVsc1BLAQItABQABgAIAAAAIQAnsWVRyAAAAN4A&#10;AAAPAAAAAAAAAAAAAAAAAAcCAABkcnMvZG93bnJldi54bWxQSwUGAAAAAAMAAwC3AAAA/AIAAAAA&#10;" filled="f" stroked="f">
                  <v:textbox inset="0,0,0,0">
                    <w:txbxContent>
                      <w:p w14:paraId="3D208B51" w14:textId="77777777" w:rsidR="00B32EF2" w:rsidRDefault="00000000">
                        <w:r>
                          <w:rPr>
                            <w:rFonts w:ascii="Arial" w:eastAsia="Arial" w:hAnsi="Arial" w:cs="Arial"/>
                            <w:sz w:val="18"/>
                          </w:rPr>
                          <w:t xml:space="preserve">e seguenti del codice di procedura civile ovvero copia del ricorso consegnato </w:t>
                        </w:r>
                      </w:p>
                    </w:txbxContent>
                  </v:textbox>
                </v:rect>
                <v:rect id="Rectangle 18549" o:spid="_x0000_s3932" style="position:absolute;left:-13171;top:500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DKxQAAAN4AAAAPAAAAZHJzL2Rvd25yZXYueG1sRE9Na8JA&#10;EL0L/odlhN50o7Qlja4iipiDl1oLHofsmKTNzi7Z1cT+erdQ6G0e73MWq9404katry0rmE4SEMSF&#10;1TWXCk4fu3EKwgdkjY1lUnAnD6vlcLDATNuO3+l2DKWIIewzVFCF4DIpfVGRQT+xjjhyF9saDBG2&#10;pdQtdjHcNHKWJK/SYM2xoUJHm4qK7+PVKDhv2eW7ThaXn407fOVps7+ePpV6GvXrOYhAffgX/7lz&#10;HeenL89v8PtOvEEuHwAAAP//AwBQSwECLQAUAAYACAAAACEA2+H2y+4AAACFAQAAEwAAAAAAAAAA&#10;AAAAAAAAAAAAW0NvbnRlbnRfVHlwZXNdLnhtbFBLAQItABQABgAIAAAAIQBa9CxbvwAAABUBAAAL&#10;AAAAAAAAAAAAAAAAAB8BAABfcmVscy8ucmVsc1BLAQItABQABgAIAAAAIQBI/cDKxQAAAN4AAAAP&#10;AAAAAAAAAAAAAAAAAAcCAABkcnMvZG93bnJldi54bWxQSwUGAAAAAAMAAwC3AAAA+QIAAAAA&#10;" filled="f" stroked="f">
                  <v:textbox inset="0,0,0,0">
                    <w:txbxContent>
                      <w:p w14:paraId="621EB74C" w14:textId="77777777" w:rsidR="00B32EF2" w:rsidRDefault="00000000">
                        <w:r>
                          <w:rPr>
                            <w:rFonts w:ascii="Arial" w:eastAsia="Arial" w:hAnsi="Arial" w:cs="Arial"/>
                            <w:sz w:val="18"/>
                          </w:rPr>
                          <w:t xml:space="preserve">o spedito per posta, con fotocopia della ricevuta di deposito o della spedizione </w:t>
                        </w:r>
                      </w:p>
                    </w:txbxContent>
                  </v:textbox>
                </v:rect>
                <v:rect id="Rectangle 18550" o:spid="_x0000_s3933" style="position:absolute;left:-13171;top:488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v+KyAAAAN4AAAAPAAAAZHJzL2Rvd25yZXYueG1sRI9Pa8Mw&#10;DMXvg30Ho8Fuq7NBS8jqltFRlkMv/TPYUcRqki2WTew2WT99dSj0JqGn995vvhxdp87Ux9azgddJ&#10;Boq48rbl2sBhv37JQcWEbLHzTAb+KcJy8fgwx8L6gbd03qVaiQnHAg00KYVC61g15DBOfCCW29H3&#10;DpOsfa1tj4OYu06/ZdlMO2xZEhoMtGqo+tudnIGfTw7letDV8bIKm98y775Oh29jnp/Gj3dQicZ0&#10;F9++Syv18+lUAARHZtCLKwAAAP//AwBQSwECLQAUAAYACAAAACEA2+H2y+4AAACFAQAAEwAAAAAA&#10;AAAAAAAAAAAAAAAAW0NvbnRlbnRfVHlwZXNdLnhtbFBLAQItABQABgAIAAAAIQBa9CxbvwAAABUB&#10;AAALAAAAAAAAAAAAAAAAAB8BAABfcmVscy8ucmVsc1BLAQItABQABgAIAAAAIQBcHv+KyAAAAN4A&#10;AAAPAAAAAAAAAAAAAAAAAAcCAABkcnMvZG93bnJldi54bWxQSwUGAAAAAAMAAwC3AAAA/AIAAAAA&#10;" filled="f" stroked="f">
                  <v:textbox inset="0,0,0,0">
                    <w:txbxContent>
                      <w:p w14:paraId="4E802AF0" w14:textId="77777777" w:rsidR="00B32EF2" w:rsidRDefault="00000000">
                        <w:r>
                          <w:rPr>
                            <w:rFonts w:ascii="Arial" w:eastAsia="Arial" w:hAnsi="Arial" w:cs="Arial"/>
                            <w:sz w:val="18"/>
                          </w:rPr>
                          <w:t xml:space="preserve">per raccomandata a mezzo del servizio postale. All’atto della costituzione in </w:t>
                        </w:r>
                      </w:p>
                    </w:txbxContent>
                  </v:textbox>
                </v:rect>
                <v:rect id="Rectangle 18551" o:spid="_x0000_s3934" style="position:absolute;left:-13171;top:476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loRxAAAAN4AAAAPAAAAZHJzL2Rvd25yZXYueG1sRE9Ni8Iw&#10;EL0v+B/CCN7WVMGlVKOIIvbgZV0Fj0MzttVmEppo6/76zcLC3ubxPmex6k0jntT62rKCyTgBQVxY&#10;XXOp4PS1e09B+ICssbFMCl7kYbUcvC0w07bjT3oeQyliCPsMFVQhuExKX1Rk0I+tI47c1bYGQ4Rt&#10;KXWLXQw3jZwmyYc0WHNsqNDRpqLifnwYBZctu3zXyeL6vXGHW542+8fprNRo2K/nIAL14V/85851&#10;nJ/OZhP4fSfeIJc/AAAA//8DAFBLAQItABQABgAIAAAAIQDb4fbL7gAAAIUBAAATAAAAAAAAAAAA&#10;AAAAAAAAAABbQ29udGVudF9UeXBlc10ueG1sUEsBAi0AFAAGAAgAAAAhAFr0LFu/AAAAFQEAAAsA&#10;AAAAAAAAAAAAAAAAHwEAAF9yZWxzLy5yZWxzUEsBAi0AFAAGAAgAAAAhADNSWhHEAAAA3gAAAA8A&#10;AAAAAAAAAAAAAAAABwIAAGRycy9kb3ducmV2LnhtbFBLBQYAAAAAAwADALcAAAD4AgAAAAA=&#10;" filled="f" stroked="f">
                  <v:textbox inset="0,0,0,0">
                    <w:txbxContent>
                      <w:p w14:paraId="5241E76A" w14:textId="77777777" w:rsidR="00B32EF2" w:rsidRDefault="00000000">
                        <w:r>
                          <w:rPr>
                            <w:rFonts w:ascii="Arial" w:eastAsia="Arial" w:hAnsi="Arial" w:cs="Arial"/>
                            <w:sz w:val="18"/>
                          </w:rPr>
                          <w:t xml:space="preserve">giudizio, il ricorrente deve depositare la nota di iscrizione al ruolo, contenente </w:t>
                        </w:r>
                      </w:p>
                    </w:txbxContent>
                  </v:textbox>
                </v:rect>
                <v:rect id="Rectangle 18552" o:spid="_x0000_s3935" style="position:absolute;left:-13173;top:46400;width:5309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MRmxAAAAN4AAAAPAAAAZHJzL2Rvd25yZXYueG1sRE9Na8JA&#10;EL0L/odlCt50U8ESUlcRRczBS20KPQ7ZMUnNzi7Z1UR/vVso9DaP9znL9WBacaPON5YVvM4SEMSl&#10;1Q1XCorP/TQF4QOyxtYyKbiTh/VqPFpipm3PH3Q7hUrEEPYZKqhDcJmUvqzJoJ9ZRxy5s+0Mhgi7&#10;SuoO+xhuWjlPkjdpsOHYUKOjbU3l5XQ1Cr537PJ9L8vzY+uOP3naHq7Fl1KTl2HzDiLQEP7Ff+5c&#10;x/npYjGH33fiDXL1BAAA//8DAFBLAQItABQABgAIAAAAIQDb4fbL7gAAAIUBAAATAAAAAAAAAAAA&#10;AAAAAAAAAABbQ29udGVudF9UeXBlc10ueG1sUEsBAi0AFAAGAAgAAAAhAFr0LFu/AAAAFQEAAAsA&#10;AAAAAAAAAAAAAAAAHwEAAF9yZWxzLy5yZWxzUEsBAi0AFAAGAAgAAAAhAMOAxGbEAAAA3gAAAA8A&#10;AAAAAAAAAAAAAAAABwIAAGRycy9kb3ducmV2LnhtbFBLBQYAAAAAAwADALcAAAD4AgAAAAA=&#10;" filled="f" stroked="f">
                  <v:textbox inset="0,0,0,0">
                    <w:txbxContent>
                      <w:p w14:paraId="4DAABF4A" w14:textId="77777777" w:rsidR="00B32EF2" w:rsidRDefault="00000000">
                        <w:r>
                          <w:rPr>
                            <w:rFonts w:ascii="Arial" w:eastAsia="Arial" w:hAnsi="Arial" w:cs="Arial"/>
                            <w:sz w:val="18"/>
                          </w:rPr>
                          <w:t xml:space="preserve">l’indicazione delle parti, del difensore che si costituisce, dell’atto impugnato, </w:t>
                        </w:r>
                      </w:p>
                    </w:txbxContent>
                  </v:textbox>
                </v:rect>
                <v:rect id="Rectangle 18553" o:spid="_x0000_s3936" style="position:absolute;left:-12186;top:45166;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GH9xAAAAN4AAAAPAAAAZHJzL2Rvd25yZXYueG1sRE9Na8JA&#10;EL0X/A/LCN7qxoolRFcRRZpDL7UKHofsmESzs0t2NdFf3y0UepvH+5zFqjeNuFPra8sKJuMEBHFh&#10;dc2lgsP37jUF4QOyxsYyKXiQh9Vy8LLATNuOv+i+D6WIIewzVFCF4DIpfVGRQT+2jjhyZ9saDBG2&#10;pdQtdjHcNPItSd6lwZpjQ4WONhUV1/3NKDht2eW7Thbn58Z9XvK0+bgdjkqNhv16DiJQH/7Ff+5c&#10;x/npbDaF33fiDXL5AwAA//8DAFBLAQItABQABgAIAAAAIQDb4fbL7gAAAIUBAAATAAAAAAAAAAAA&#10;AAAAAAAAAABbQ29udGVudF9UeXBlc10ueG1sUEsBAi0AFAAGAAgAAAAhAFr0LFu/AAAAFQEAAAsA&#10;AAAAAAAAAAAAAAAAHwEAAF9yZWxzLy5yZWxzUEsBAi0AFAAGAAgAAAAhAKzMYf3EAAAA3gAAAA8A&#10;AAAAAAAAAAAAAAAABwIAAGRycy9kb3ducmV2LnhtbFBLBQYAAAAAAwADALcAAAD4AgAAAAA=&#10;" filled="f" stroked="f">
                  <v:textbox inset="0,0,0,0">
                    <w:txbxContent>
                      <w:p w14:paraId="0CAA4514" w14:textId="77777777" w:rsidR="00B32EF2" w:rsidRDefault="00000000">
                        <w:r>
                          <w:rPr>
                            <w:rFonts w:ascii="Arial" w:eastAsia="Arial" w:hAnsi="Arial" w:cs="Arial"/>
                            <w:sz w:val="18"/>
                          </w:rPr>
                          <w:t>della materia del contendere, del valore della controversia e della data di no</w:t>
                        </w:r>
                      </w:p>
                    </w:txbxContent>
                  </v:textbox>
                </v:rect>
                <v:rect id="Rectangle 18554" o:spid="_x0000_s3937" style="position:absolute;left:192;top:451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fmJxAAAAN4AAAAPAAAAZHJzL2Rvd25yZXYueG1sRE9Na8JA&#10;EL0X/A/LCN7qxqIlRFcRRZpDL7UKHofsmESzs0t2NdFf3y0UepvH+5zFqjeNuFPra8sKJuMEBHFh&#10;dc2lgsP37jUF4QOyxsYyKXiQh9Vy8LLATNuOv+i+D6WIIewzVFCF4DIpfVGRQT+2jjhyZ9saDBG2&#10;pdQtdjHcNPItSd6lwZpjQ4WONhUV1/3NKDht2eW7Thbn58Z9XvK0+bgdjkqNhv16DiJQH/7Ff+5c&#10;x/npbDaF33fiDXL5AwAA//8DAFBLAQItABQABgAIAAAAIQDb4fbL7gAAAIUBAAATAAAAAAAAAAAA&#10;AAAAAAAAAABbQ29udGVudF9UeXBlc10ueG1sUEsBAi0AFAAGAAgAAAAhAFr0LFu/AAAAFQEAAAsA&#10;AAAAAAAAAAAAAAAAHwEAAF9yZWxzLy5yZWxzUEsBAi0AFAAGAAgAAAAhACMl+YnEAAAA3gAAAA8A&#10;AAAAAAAAAAAAAAAABwIAAGRycy9kb3ducmV2LnhtbFBLBQYAAAAAAwADALcAAAD4AgAAAAA=&#10;" filled="f" stroked="f">
                  <v:textbox inset="0,0,0,0">
                    <w:txbxContent>
                      <w:p w14:paraId="67F26A49" w14:textId="77777777" w:rsidR="00B32EF2" w:rsidRDefault="00000000">
                        <w:r>
                          <w:rPr>
                            <w:rFonts w:ascii="Arial" w:eastAsia="Arial" w:hAnsi="Arial" w:cs="Arial"/>
                            <w:sz w:val="18"/>
                          </w:rPr>
                          <w:t>-</w:t>
                        </w:r>
                      </w:p>
                    </w:txbxContent>
                  </v:textbox>
                </v:rect>
                <v:rect id="Rectangle 18555" o:spid="_x0000_s3938" style="position:absolute;left:24574;top:43933;width:153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VwSxAAAAN4AAAAPAAAAZHJzL2Rvd25yZXYueG1sRE9Na8JA&#10;EL0L/odlBG+6qRAJqasURcyhF61Cj0N2TNJmZ5fsalJ/vVso9DaP9zmrzWBacafON5YVvMwTEMSl&#10;1Q1XCs4f+1kGwgdkja1lUvBDHjbr8WiFubY9H+l+CpWIIexzVFCH4HIpfVmTQT+3jjhyV9sZDBF2&#10;ldQd9jHctHKRJEtpsOHYUKOjbU3l9+lmFHzu2BX7XpbXx9a9fxVZe7idL0pNJ8PbK4hAQ/gX/7kL&#10;HednaZrC7zvxBrl+AgAA//8DAFBLAQItABQABgAIAAAAIQDb4fbL7gAAAIUBAAATAAAAAAAAAAAA&#10;AAAAAAAAAABbQ29udGVudF9UeXBlc10ueG1sUEsBAi0AFAAGAAgAAAAhAFr0LFu/AAAAFQEAAAsA&#10;AAAAAAAAAAAAAAAAHwEAAF9yZWxzLy5yZWxzUEsBAi0AFAAGAAgAAAAhAExpXBLEAAAA3gAAAA8A&#10;AAAAAAAAAAAAAAAABwIAAGRycy9kb3ducmV2LnhtbFBLBQYAAAAAAwADALcAAAD4AgAAAAA=&#10;" filled="f" stroked="f">
                  <v:textbox inset="0,0,0,0">
                    <w:txbxContent>
                      <w:p w14:paraId="297712E2" w14:textId="77777777" w:rsidR="00B32EF2" w:rsidRDefault="00000000">
                        <w:r>
                          <w:rPr>
                            <w:rFonts w:ascii="Arial" w:eastAsia="Arial" w:hAnsi="Arial" w:cs="Arial"/>
                            <w:sz w:val="18"/>
                          </w:rPr>
                          <w:t xml:space="preserve">tificazione del ricorso. </w:t>
                        </w:r>
                      </w:p>
                    </w:txbxContent>
                  </v:textbox>
                </v:rect>
                <v:rect id="Rectangle 201177" o:spid="_x0000_s3939" style="position:absolute;left:-13817;top:427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95axwAAAN8AAAAPAAAAZHJzL2Rvd25yZXYueG1sRI9Pi8Iw&#10;FMTvC36H8ARva1oPq3SNIopsD17WP7DHR/Nsu9u8hCba6qffCILHYWZ+w8yXvWnElVpfW1aQjhMQ&#10;xIXVNZcKjoft+wyED8gaG8uk4EYelovB2xwzbTv+pus+lCJC2GeooArBZVL6oiKDfmwdcfTOtjUY&#10;omxLqVvsItw0cpIkH9JgzXGhQkfrioq//cUo+Nmwy7edLM73tdv95rPm63I8KTUa9qtPEIH68Ao/&#10;27lWMEnSdDqFx5/4BeTiHwAA//8DAFBLAQItABQABgAIAAAAIQDb4fbL7gAAAIUBAAATAAAAAAAA&#10;AAAAAAAAAAAAAABbQ29udGVudF9UeXBlc10ueG1sUEsBAi0AFAAGAAgAAAAhAFr0LFu/AAAAFQEA&#10;AAsAAAAAAAAAAAAAAAAAHwEAAF9yZWxzLy5yZWxzUEsBAi0AFAAGAAgAAAAhABa73lrHAAAA3wAA&#10;AA8AAAAAAAAAAAAAAAAABwIAAGRycy9kb3ducmV2LnhtbFBLBQYAAAAAAwADALcAAAD7AgAAAAA=&#10;" filled="f" stroked="f">
                  <v:textbox inset="0,0,0,0">
                    <w:txbxContent>
                      <w:p w14:paraId="4E96522C" w14:textId="77777777" w:rsidR="00B32EF2" w:rsidRDefault="00000000">
                        <w:r>
                          <w:rPr>
                            <w:rFonts w:ascii="Arial" w:eastAsia="Arial" w:hAnsi="Arial" w:cs="Arial"/>
                            <w:sz w:val="18"/>
                          </w:rPr>
                          <w:t xml:space="preserve">. L’inammissibilità del ricorso è rilevabile d’ufficio in ogni stato e grado del </w:t>
                        </w:r>
                      </w:p>
                    </w:txbxContent>
                  </v:textbox>
                </v:rect>
                <v:rect id="Rectangle 201176" o:spid="_x0000_s3940" style="position:absolute;left:26110;top:427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3vBxwAAAN8AAAAPAAAAZHJzL2Rvd25yZXYueG1sRI9Ba8JA&#10;FITvgv9heUJvuokHK9FVRJHm4KVWweMj+0yi2bdLdjWxv75bKPQ4zMw3zHLdm0Y8qfW1ZQXpJAFB&#10;XFhdc6ng9LUfz0H4gKyxsUwKXuRhvRoOlphp2/EnPY+hFBHCPkMFVQguk9IXFRn0E+uIo3e1rcEQ&#10;ZVtK3WIX4aaR0ySZSYM1x4UKHW0rKu7Hh1Fw2bHL950srt9bd7jl8+bjcTor9TbqNwsQgfrwH/5r&#10;51rBNEnT9xn8/olfQK5+AAAA//8DAFBLAQItABQABgAIAAAAIQDb4fbL7gAAAIUBAAATAAAAAAAA&#10;AAAAAAAAAAAAAABbQ29udGVudF9UeXBlc10ueG1sUEsBAi0AFAAGAAgAAAAhAFr0LFu/AAAAFQEA&#10;AAsAAAAAAAAAAAAAAAAAHwEAAF9yZWxzLy5yZWxzUEsBAi0AFAAGAAgAAAAhAHn3e8HHAAAA3wAA&#10;AA8AAAAAAAAAAAAAAAAABwIAAGRycy9kb3ducmV2LnhtbFBLBQYAAAAAAwADALcAAAD7AgAAAAA=&#10;" filled="f" stroked="f">
                  <v:textbox inset="0,0,0,0">
                    <w:txbxContent>
                      <w:p w14:paraId="302B63FB" w14:textId="77777777" w:rsidR="00B32EF2" w:rsidRDefault="00000000">
                        <w:r>
                          <w:rPr>
                            <w:rFonts w:ascii="Arial" w:eastAsia="Arial" w:hAnsi="Arial" w:cs="Arial"/>
                            <w:sz w:val="18"/>
                          </w:rPr>
                          <w:t>2</w:t>
                        </w:r>
                      </w:p>
                    </w:txbxContent>
                  </v:textbox>
                </v:rect>
                <v:rect id="Rectangle 18557" o:spid="_x0000_s3941" style="position:absolute;left:-11420;top:41466;width:513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2f+xAAAAN4AAAAPAAAAZHJzL2Rvd25yZXYueG1sRE9Na8JA&#10;EL0X/A/LCN7qxoJtiK4iijQHL7UKHofsmESzs0t2NdFf3y0UepvH+5z5sjeNuFPra8sKJuMEBHFh&#10;dc2lgsP39jUF4QOyxsYyKXiQh+Vi8DLHTNuOv+i+D6WIIewzVFCF4DIpfVGRQT+2jjhyZ9saDBG2&#10;pdQtdjHcNPItSd6lwZpjQ4WO1hUV1/3NKDht2OXbThbn59rtLnnafN4OR6VGw341AxGoD//iP3eu&#10;4/x0Ov2A33fiDXLxAwAA//8DAFBLAQItABQABgAIAAAAIQDb4fbL7gAAAIUBAAATAAAAAAAAAAAA&#10;AAAAAAAAAABbQ29udGVudF9UeXBlc10ueG1sUEsBAi0AFAAGAAgAAAAhAFr0LFu/AAAAFQEAAAsA&#10;AAAAAAAAAAAAAAAAHwEAAF9yZWxzLy5yZWxzUEsBAi0AFAAGAAgAAAAhANP3Z/7EAAAA3gAAAA8A&#10;AAAAAAAAAAAAAAAABwIAAGRycy9kb3ducmV2LnhtbFBLBQYAAAAAAwADALcAAAD4AgAAAAA=&#10;" filled="f" stroked="f">
                  <v:textbox inset="0,0,0,0">
                    <w:txbxContent>
                      <w:p w14:paraId="3065B72A" w14:textId="77777777" w:rsidR="00B32EF2" w:rsidRDefault="00000000">
                        <w:r>
                          <w:rPr>
                            <w:rFonts w:ascii="Arial" w:eastAsia="Arial" w:hAnsi="Arial" w:cs="Arial"/>
                            <w:sz w:val="18"/>
                          </w:rPr>
                          <w:t xml:space="preserve">giudizio, anche se la parte resistente si costituisce a norma dell’articolo 69. </w:t>
                        </w:r>
                      </w:p>
                    </w:txbxContent>
                  </v:textbox>
                </v:rect>
                <v:rect id="Rectangle 201174" o:spid="_x0000_s3942" style="position:absolute;left:26110;top:40233;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UAtyAAAAN8AAAAPAAAAZHJzL2Rvd25yZXYueG1sRI9Pa8JA&#10;FMTvgt9heYI33USKldRVRJHm0Ev9Az0+ss8kbfbtkl1N7Kd3CwWPw8z8hlmue9OIG7W+tqwgnSYg&#10;iAuray4VnI77yQKED8gaG8uk4E4e1qvhYImZth1/0u0QShEh7DNUUIXgMil9UZFBP7WOOHoX2xoM&#10;Ubal1C12EW4aOUuSuTRYc1yo0NG2ouLncDUKvnbs8n0ni8vv1n1854vm/Xo6KzUe9Zs3EIH68Az/&#10;t3OtYJak6esL/P2JX0CuHgAAAP//AwBQSwECLQAUAAYACAAAACEA2+H2y+4AAACFAQAAEwAAAAAA&#10;AAAAAAAAAAAAAAAAW0NvbnRlbnRfVHlwZXNdLnhtbFBLAQItABQABgAIAAAAIQBa9CxbvwAAABUB&#10;AAALAAAAAAAAAAAAAAAAAB8BAABfcmVscy8ucmVsc1BLAQItABQABgAIAAAAIQDmaUAtyAAAAN8A&#10;AAAPAAAAAAAAAAAAAAAAAAcCAABkcnMvZG93bnJldi54bWxQSwUGAAAAAAMAAwC3AAAA/AIAAAAA&#10;" filled="f" stroked="f">
                  <v:textbox inset="0,0,0,0">
                    <w:txbxContent>
                      <w:p w14:paraId="67E2831E" w14:textId="77777777" w:rsidR="00B32EF2" w:rsidRDefault="00000000">
                        <w:r>
                          <w:rPr>
                            <w:rFonts w:ascii="Arial" w:eastAsia="Arial" w:hAnsi="Arial" w:cs="Arial"/>
                            <w:sz w:val="18"/>
                          </w:rPr>
                          <w:t>3</w:t>
                        </w:r>
                      </w:p>
                    </w:txbxContent>
                  </v:textbox>
                </v:rect>
                <v:rect id="Rectangle 201175" o:spid="_x0000_s3943" style="position:absolute;left:-13814;top:40233;width:530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eW2yAAAAN8AAAAPAAAAZHJzL2Rvd25yZXYueG1sRI9Pa8JA&#10;FMTvgt9heYI33USoldRVRJHm0Ev9Az0+ss8kbfbtkl1N7Kd3CwWPw8z8hlmue9OIG7W+tqwgnSYg&#10;iAuray4VnI77yQKED8gaG8uk4E4e1qvhYImZth1/0u0QShEh7DNUUIXgMil9UZFBP7WOOHoX2xoM&#10;Ubal1C12EW4aOUuSuTRYc1yo0NG2ouLncDUKvnbs8n0ni8vv1n1854vm/Xo6KzUe9Zs3EIH68Az/&#10;t3OtYJak6esL/P2JX0CuHgAAAP//AwBQSwECLQAUAAYACAAAACEA2+H2y+4AAACFAQAAEwAAAAAA&#10;AAAAAAAAAAAAAAAAW0NvbnRlbnRfVHlwZXNdLnhtbFBLAQItABQABgAIAAAAIQBa9CxbvwAAABUB&#10;AAALAAAAAAAAAAAAAAAAAB8BAABfcmVscy8ucmVsc1BLAQItABQABgAIAAAAIQCJJeW2yAAAAN8A&#10;AAAPAAAAAAAAAAAAAAAAAAcCAABkcnMvZG93bnJldi54bWxQSwUGAAAAAAMAAwC3AAAA/AIAAAAA&#10;" filled="f" stroked="f">
                  <v:textbox inset="0,0,0,0">
                    <w:txbxContent>
                      <w:p w14:paraId="0D7A674D" w14:textId="77777777" w:rsidR="00B32EF2" w:rsidRDefault="00000000">
                        <w:r>
                          <w:rPr>
                            <w:rFonts w:ascii="Arial" w:eastAsia="Arial" w:hAnsi="Arial" w:cs="Arial"/>
                            <w:sz w:val="18"/>
                          </w:rPr>
                          <w:t xml:space="preserve">. In caso di consegna o spedizione a mezzo di servizio postale la conformità </w:t>
                        </w:r>
                      </w:p>
                    </w:txbxContent>
                  </v:textbox>
                </v:rect>
                <v:rect id="Rectangle 18559" o:spid="_x0000_s3944" style="position:absolute;left:-13171;top:390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FYXxAAAAN4AAAAPAAAAZHJzL2Rvd25yZXYueG1sRE9Na8JA&#10;EL0X/A/LCN7qxoIlja4iijQHL7UKHofsmESzs0t2NdFf3y0UepvH+5z5sjeNuFPra8sKJuMEBHFh&#10;dc2lgsP39jUF4QOyxsYyKXiQh+Vi8DLHTNuOv+i+D6WIIewzVFCF4DIpfVGRQT+2jjhyZ9saDBG2&#10;pdQtdjHcNPItSd6lwZpjQ4WO1hUV1/3NKDht2OXbThbn59rtLnnafN4OR6VGw341AxGoD//iP3eu&#10;4/x0Ov2A33fiDXLxAwAA//8DAFBLAQItABQABgAIAAAAIQDb4fbL7gAAAIUBAAATAAAAAAAAAAAA&#10;AAAAAAAAAABbQ29udGVudF9UeXBlc10ueG1sUEsBAi0AFAAGAAgAAAAhAFr0LFu/AAAAFQEAAAsA&#10;AAAAAAAAAAAAAAAAHwEAAF9yZWxzLy5yZWxzUEsBAi0AFAAGAAgAAAAhAM0kVhfEAAAA3gAAAA8A&#10;AAAAAAAAAAAAAAAABwIAAGRycy9kb3ducmV2LnhtbFBLBQYAAAAAAwADALcAAAD4AgAAAAA=&#10;" filled="f" stroked="f">
                  <v:textbox inset="0,0,0,0">
                    <w:txbxContent>
                      <w:p w14:paraId="563D2B2D" w14:textId="77777777" w:rsidR="00B32EF2" w:rsidRDefault="00000000">
                        <w:r>
                          <w:rPr>
                            <w:rFonts w:ascii="Arial" w:eastAsia="Arial" w:hAnsi="Arial" w:cs="Arial"/>
                            <w:sz w:val="18"/>
                          </w:rPr>
                          <w:t xml:space="preserve">dell’atto depositato a quello consegnato o spedito è attestata conforme dallo </w:t>
                        </w:r>
                      </w:p>
                    </w:txbxContent>
                  </v:textbox>
                </v:rect>
                <v:rect id="Rectangle 18560" o:spid="_x0000_s3945" style="position:absolute;left:-13172;top:37767;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jU3yAAAAN4AAAAPAAAAZHJzL2Rvd25yZXYueG1sRI9Pa8Mw&#10;DMXvg30Ho8Fuq7PBSkjrltJRlsMu/TPYUcRqkjaWTew22T79dCj0JqGn995vvhxdp67Ux9azgddJ&#10;Boq48rbl2sBhv3nJQcWEbLHzTAZ+KcJy8fgwx8L6gbd03aVaiQnHAg00KYVC61g15DBOfCCW29H3&#10;DpOsfa1tj4OYu06/ZdlUO2xZEhoMtG6oOu8uzsDPB4dyM+jq+LcOX6cy7z4vh29jnp/G1QxUojHd&#10;xbfv0kr9/H0qAIIjM+jFPwAAAP//AwBQSwECLQAUAAYACAAAACEA2+H2y+4AAACFAQAAEwAAAAAA&#10;AAAAAAAAAAAAAAAAW0NvbnRlbnRfVHlwZXNdLnhtbFBLAQItABQABgAIAAAAIQBa9CxbvwAAABUB&#10;AAALAAAAAAAAAAAAAAAAAB8BAABfcmVscy8ucmVsc1BLAQItABQABgAIAAAAIQCScjU3yAAAAN4A&#10;AAAPAAAAAAAAAAAAAAAAAAcCAABkcnMvZG93bnJldi54bWxQSwUGAAAAAAMAAwC3AAAA/AIAAAAA&#10;" filled="f" stroked="f">
                  <v:textbox inset="0,0,0,0">
                    <w:txbxContent>
                      <w:p w14:paraId="4DBBBBC8" w14:textId="77777777" w:rsidR="00B32EF2" w:rsidRDefault="00000000">
                        <w:r>
                          <w:rPr>
                            <w:rFonts w:ascii="Arial" w:eastAsia="Arial" w:hAnsi="Arial" w:cs="Arial"/>
                            <w:sz w:val="18"/>
                          </w:rPr>
                          <w:t xml:space="preserve">stesso ricorrente. Se l’atto depositato nella segreteria della corte di giustizia </w:t>
                        </w:r>
                      </w:p>
                    </w:txbxContent>
                  </v:textbox>
                </v:rect>
                <v:rect id="Rectangle 18561" o:spid="_x0000_s3946" style="position:absolute;left:-12205;top:36533;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pCsxAAAAN4AAAAPAAAAZHJzL2Rvd25yZXYueG1sRE9Li8Iw&#10;EL4L/ocwwt40VVgpXaOIItvDXnws7HFoxrZrMwlNtN399UYQvM3H95zFqjeNuFHra8sKppMEBHFh&#10;dc2lgtNxN05B+ICssbFMCv7Iw2o5HCww07bjPd0OoRQxhH2GCqoQXCalLyoy6CfWEUfubFuDIcK2&#10;lLrFLoabRs6SZC4N1hwbKnS0qai4HK5Gwc+WXb7rZHH+37iv3zxtPq+nb6XeRv36A0SgPrzET3eu&#10;4/z0fT6FxzvxBrm8AwAA//8DAFBLAQItABQABgAIAAAAIQDb4fbL7gAAAIUBAAATAAAAAAAAAAAA&#10;AAAAAAAAAABbQ29udGVudF9UeXBlc10ueG1sUEsBAi0AFAAGAAgAAAAhAFr0LFu/AAAAFQEAAAsA&#10;AAAAAAAAAAAAAAAAHwEAAF9yZWxzLy5yZWxzUEsBAi0AFAAGAAgAAAAhAP0+kKzEAAAA3gAAAA8A&#10;AAAAAAAAAAAAAAAABwIAAGRycy9kb3ducmV2LnhtbFBLBQYAAAAAAwADALcAAAD4AgAAAAA=&#10;" filled="f" stroked="f">
                  <v:textbox inset="0,0,0,0">
                    <w:txbxContent>
                      <w:p w14:paraId="7B9F732F" w14:textId="77777777" w:rsidR="00B32EF2" w:rsidRDefault="00000000">
                        <w:r>
                          <w:rPr>
                            <w:rFonts w:ascii="Arial" w:eastAsia="Arial" w:hAnsi="Arial" w:cs="Arial"/>
                            <w:sz w:val="18"/>
                          </w:rPr>
                          <w:t>tributaria non è conforme a quello consegnato o spedito alla parte nei cui con</w:t>
                        </w:r>
                      </w:p>
                    </w:txbxContent>
                  </v:textbox>
                </v:rect>
                <v:rect id="Rectangle 18562" o:spid="_x0000_s3947" style="position:absolute;left:192;top:365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A7bxAAAAN4AAAAPAAAAZHJzL2Rvd25yZXYueG1sRE9Na8JA&#10;EL0X/A/LFLzVTYVKSF1FFGkOXqoRPA7ZMUnNzi7Z1UR/fbdQ8DaP9znz5WBacaPON5YVvE8SEMSl&#10;1Q1XCorD9i0F4QOyxtYyKbiTh+Vi9DLHTNuev+m2D5WIIewzVFCH4DIpfVmTQT+xjjhyZ9sZDBF2&#10;ldQd9jHctHKaJDNpsOHYUKOjdU3lZX81Ck4bdvm2l+X5sXa7nzxtv67FUanx67D6BBFoCE/xvzvX&#10;cX76MZvC3zvxBrn4BQAA//8DAFBLAQItABQABgAIAAAAIQDb4fbL7gAAAIUBAAATAAAAAAAAAAAA&#10;AAAAAAAAAABbQ29udGVudF9UeXBlc10ueG1sUEsBAi0AFAAGAAgAAAAhAFr0LFu/AAAAFQEAAAsA&#10;AAAAAAAAAAAAAAAAHwEAAF9yZWxzLy5yZWxzUEsBAi0AFAAGAAgAAAAhAA3sDtvEAAAA3gAAAA8A&#10;AAAAAAAAAAAAAAAABwIAAGRycy9kb3ducmV2LnhtbFBLBQYAAAAAAwADALcAAAD4AgAAAAA=&#10;" filled="f" stroked="f">
                  <v:textbox inset="0,0,0,0">
                    <w:txbxContent>
                      <w:p w14:paraId="7FFD00D4" w14:textId="77777777" w:rsidR="00B32EF2" w:rsidRDefault="00000000">
                        <w:r>
                          <w:rPr>
                            <w:rFonts w:ascii="Arial" w:eastAsia="Arial" w:hAnsi="Arial" w:cs="Arial"/>
                            <w:sz w:val="18"/>
                          </w:rPr>
                          <w:t>-</w:t>
                        </w:r>
                      </w:p>
                    </w:txbxContent>
                  </v:textbox>
                </v:rect>
                <v:rect id="Rectangle 18563" o:spid="_x0000_s3948" style="position:absolute;left:-11397;top:35300;width:513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KtAxAAAAN4AAAAPAAAAZHJzL2Rvd25yZXYueG1sRE9Na8JA&#10;EL0X/A/LCN7qxkolRFcRRZpDL7UKHofsmESzs0t2NdFf3y0UepvH+5zFqjeNuFPra8sKJuMEBHFh&#10;dc2lgsP37jUF4QOyxsYyKXiQh9Vy8LLATNuOv+i+D6WIIewzVFCF4DIpfVGRQT+2jjhyZ9saDBG2&#10;pdQtdjHcNPItSWbSYM2xoUJHm4qK6/5mFJy27PJdJ4vzc+M+L3nafNwOR6VGw349BxGoD//iP3eu&#10;4/z0fTaF33fiDXL5AwAA//8DAFBLAQItABQABgAIAAAAIQDb4fbL7gAAAIUBAAATAAAAAAAAAAAA&#10;AAAAAAAAAABbQ29udGVudF9UeXBlc10ueG1sUEsBAi0AFAAGAAgAAAAhAFr0LFu/AAAAFQEAAAsA&#10;AAAAAAAAAAAAAAAAHwEAAF9yZWxzLy5yZWxzUEsBAi0AFAAGAAgAAAAhAGKgq0DEAAAA3gAAAA8A&#10;AAAAAAAAAAAAAAAABwIAAGRycy9kb3ducmV2LnhtbFBLBQYAAAAAAwADALcAAAD4AgAAAAA=&#10;" filled="f" stroked="f">
                  <v:textbox inset="0,0,0,0">
                    <w:txbxContent>
                      <w:p w14:paraId="67A316D9" w14:textId="77777777" w:rsidR="00B32EF2" w:rsidRDefault="00000000">
                        <w:r>
                          <w:rPr>
                            <w:rFonts w:ascii="Arial" w:eastAsia="Arial" w:hAnsi="Arial" w:cs="Arial"/>
                            <w:sz w:val="18"/>
                          </w:rPr>
                          <w:t>fronti il ricorso è proposto, il ricorso è inammissibile e si applica il comma 2.</w:t>
                        </w:r>
                      </w:p>
                    </w:txbxContent>
                  </v:textbox>
                </v:rect>
                <v:rect id="Rectangle 201173" o:spid="_x0000_s3949" style="position:absolute;left:-12823;top:34067;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NhZyAAAAN8AAAAPAAAAZHJzL2Rvd25yZXYueG1sRI9Pa8JA&#10;FMTvgt9heYI33cSCldRVRJHm0Ev9Az0+ss8kbfbtkl1N7Kd3CwWPw8z8hlmue9OIG7W+tqwgnSYg&#10;iAuray4VnI77yQKED8gaG8uk4E4e1qvhYImZth1/0u0QShEh7DNUUIXgMil9UZFBP7WOOHoX2xoM&#10;Ubal1C12EW4aOUuSuTRYc1yo0NG2ouLncDUKvnbs8n0ni8vv1n1854vm/Xo6KzUe9Zs3EIH68Az/&#10;t3OtYJak6esL/P2JX0CuHgAAAP//AwBQSwECLQAUAAYACAAAACEA2+H2y+4AAACFAQAAEwAAAAAA&#10;AAAAAAAAAAAAAAAAW0NvbnRlbnRfVHlwZXNdLnhtbFBLAQItABQABgAIAAAAIQBa9CxbvwAAABUB&#10;AAALAAAAAAAAAAAAAAAAAB8BAABfcmVscy8ucmVsc1BLAQItABQABgAIAAAAIQBpgNhZyAAAAN8A&#10;AAAPAAAAAAAAAAAAAAAAAAcCAABkcnMvZG93bnJldi54bWxQSwUGAAAAAAMAAwC3AAAA/AIAAAAA&#10;" filled="f" stroked="f">
                  <v:textbox inset="0,0,0,0">
                    <w:txbxContent>
                      <w:p w14:paraId="6A18FF0A" w14:textId="77777777" w:rsidR="00B32EF2" w:rsidRDefault="00000000">
                        <w:r>
                          <w:rPr>
                            <w:rFonts w:ascii="Arial" w:eastAsia="Arial" w:hAnsi="Arial" w:cs="Arial"/>
                            <w:sz w:val="18"/>
                          </w:rPr>
                          <w:t>. Unitamente al ricorso ed ai documenti previsti al comma 1, il ricorrente de</w:t>
                        </w:r>
                      </w:p>
                    </w:txbxContent>
                  </v:textbox>
                </v:rect>
                <v:rect id="Rectangle 201172" o:spid="_x0000_s3950" style="position:absolute;left:26353;top:34067;width:52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H3CxwAAAN8AAAAPAAAAZHJzL2Rvd25yZXYueG1sRI9Ba8JA&#10;FITvQv/D8gredJMcVFJXEUXMwYvWQo+P7DNJzb5dsquJ/fXdQqHHYWa+YZbrwbTiQZ1vLCtIpwkI&#10;4tLqhisFl/f9ZAHCB2SNrWVS8CQP69XLaIm5tj2f6HEOlYgQ9jkqqENwuZS+rMmgn1pHHL2r7QyG&#10;KLtK6g77CDetzJJkJg02HBdqdLStqbyd70bB545dse9lef3euuNXsWgP98uHUuPXYfMGItAQ/sN/&#10;7UIryJI0nWfw+yd+Abn6AQAA//8DAFBLAQItABQABgAIAAAAIQDb4fbL7gAAAIUBAAATAAAAAAAA&#10;AAAAAAAAAAAAAABbQ29udGVudF9UeXBlc10ueG1sUEsBAi0AFAAGAAgAAAAhAFr0LFu/AAAAFQEA&#10;AAsAAAAAAAAAAAAAAAAAHwEAAF9yZWxzLy5yZWxzUEsBAi0AFAAGAAgAAAAhAAbMfcLHAAAA3wAA&#10;AA8AAAAAAAAAAAAAAAAABwIAAGRycy9kb3ducmV2LnhtbFBLBQYAAAAAAwADALcAAAD7AgAAAAA=&#10;" filled="f" stroked="f">
                  <v:textbox inset="0,0,0,0">
                    <w:txbxContent>
                      <w:p w14:paraId="145A3507" w14:textId="77777777" w:rsidR="00B32EF2" w:rsidRDefault="00000000">
                        <w:r>
                          <w:rPr>
                            <w:rFonts w:ascii="Arial" w:eastAsia="Arial" w:hAnsi="Arial" w:cs="Arial"/>
                            <w:sz w:val="18"/>
                          </w:rPr>
                          <w:t>4</w:t>
                        </w:r>
                      </w:p>
                    </w:txbxContent>
                  </v:textbox>
                </v:rect>
                <v:rect id="Rectangle 18565" o:spid="_x0000_s3951" style="position:absolute;left:192;top:340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ZavxAAAAN4AAAAPAAAAZHJzL2Rvd25yZXYueG1sRE9Na8JA&#10;EL0X/A/LFLzVTQtKSF1FFGkOXqoRPA7ZMUnNzi7Z1UR/fbdQ8DaP9znz5WBacaPON5YVvE8SEMSl&#10;1Q1XCorD9i0F4QOyxtYyKbiTh+Vi9DLHTNuev+m2D5WIIewzVFCH4DIpfVmTQT+xjjhyZ9sZDBF2&#10;ldQd9jHctPIjSWbSYMOxoUZH65rKy/5qFJw27PJtL8vzY+12P3nafl2Lo1Lj12H1CSLQEJ7if3eu&#10;4/x0OpvC3zvxBrn4BQAA//8DAFBLAQItABQABgAIAAAAIQDb4fbL7gAAAIUBAAATAAAAAAAAAAAA&#10;AAAAAAAAAABbQ29udGVudF9UeXBlc10ueG1sUEsBAi0AFAAGAAgAAAAhAFr0LFu/AAAAFQEAAAsA&#10;AAAAAAAAAAAAAAAAHwEAAF9yZWxzLy5yZWxzUEsBAi0AFAAGAAgAAAAhAIIFlq/EAAAA3gAAAA8A&#10;AAAAAAAAAAAAAAAABwIAAGRycy9kb3ducmV2LnhtbFBLBQYAAAAAAwADALcAAAD4AgAAAAA=&#10;" filled="f" stroked="f">
                  <v:textbox inset="0,0,0,0">
                    <w:txbxContent>
                      <w:p w14:paraId="19896298" w14:textId="77777777" w:rsidR="00B32EF2" w:rsidRDefault="00000000">
                        <w:r>
                          <w:rPr>
                            <w:rFonts w:ascii="Arial" w:eastAsia="Arial" w:hAnsi="Arial" w:cs="Arial"/>
                            <w:sz w:val="18"/>
                          </w:rPr>
                          <w:t>-</w:t>
                        </w:r>
                      </w:p>
                    </w:txbxContent>
                  </v:textbox>
                </v:rect>
                <v:rect id="Rectangle 18566" o:spid="_x0000_s3952" style="position:absolute;left:-13171;top:328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wjYxAAAAN4AAAAPAAAAZHJzL2Rvd25yZXYueG1sRE9Na8JA&#10;EL0X/A/LCN7qRsEQoquIIubQS62CxyE7Jmmzs0t2NbG/vlso9DaP9zmrzWBa8aDON5YVzKYJCOLS&#10;6oYrBeePw2sGwgdkja1lUvAkD5v16GWFubY9v9PjFCoRQ9jnqKAOweVS+rImg35qHXHkbrYzGCLs&#10;Kqk77GO4aeU8SVJpsOHYUKOjXU3l1+luFFz37IpDL8vb9869fRZZe7yfL0pNxsN2CSLQEP7Ff+5C&#10;x/nZIk3h9514g1z/AAAA//8DAFBLAQItABQABgAIAAAAIQDb4fbL7gAAAIUBAAATAAAAAAAAAAAA&#10;AAAAAAAAAABbQ29udGVudF9UeXBlc10ueG1sUEsBAi0AFAAGAAgAAAAhAFr0LFu/AAAAFQEAAAsA&#10;AAAAAAAAAAAAAAAAHwEAAF9yZWxzLy5yZWxzUEsBAi0AFAAGAAgAAAAhAHLXCNjEAAAA3gAAAA8A&#10;AAAAAAAAAAAAAAAABwIAAGRycy9kb3ducmV2LnhtbFBLBQYAAAAAAwADALcAAAD4AgAAAAA=&#10;" filled="f" stroked="f">
                  <v:textbox inset="0,0,0,0">
                    <w:txbxContent>
                      <w:p w14:paraId="53F9FB5A" w14:textId="77777777" w:rsidR="00B32EF2" w:rsidRDefault="00000000">
                        <w:r>
                          <w:rPr>
                            <w:rFonts w:ascii="Arial" w:eastAsia="Arial" w:hAnsi="Arial" w:cs="Arial"/>
                            <w:sz w:val="18"/>
                          </w:rPr>
                          <w:t xml:space="preserve">posita il proprio fascicolo, con l’originale o la fotocopia dell’atto impugnato, se </w:t>
                        </w:r>
                      </w:p>
                    </w:txbxContent>
                  </v:textbox>
                </v:rect>
                <v:rect id="Rectangle 18567" o:spid="_x0000_s3953" style="position:absolute;left:-3113;top:31600;width:430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61DxAAAAN4AAAAPAAAAZHJzL2Rvd25yZXYueG1sRE9Na8JA&#10;EL0X/A/LCN7qxoI2RFcRRZpDL7UKHofsmESzs0t2NdFf3y0UepvH+5zFqjeNuFPra8sKJuMEBHFh&#10;dc2lgsP37jUF4QOyxsYyKXiQh9Vy8LLATNuOv+i+D6WIIewzVFCF4DIpfVGRQT+2jjhyZ9saDBG2&#10;pdQtdjHcNPItSWbSYM2xoUJHm4qK6/5mFJy27PJdJ4vzc+M+L3nafNwOR6VGw349BxGoD//iP3eu&#10;4/x0OnuH33fiDXL5AwAA//8DAFBLAQItABQABgAIAAAAIQDb4fbL7gAAAIUBAAATAAAAAAAAAAAA&#10;AAAAAAAAAABbQ29udGVudF9UeXBlc10ueG1sUEsBAi0AFAAGAAgAAAAhAFr0LFu/AAAAFQEAAAsA&#10;AAAAAAAAAAAAAAAAHwEAAF9yZWxzLy5yZWxzUEsBAi0AFAAGAAgAAAAhAB2brUPEAAAA3gAAAA8A&#10;AAAAAAAAAAAAAAAABwIAAGRycy9kb3ducmV2LnhtbFBLBQYAAAAAAwADALcAAAD4AgAAAAA=&#10;" filled="f" stroked="f">
                  <v:textbox inset="0,0,0,0">
                    <w:txbxContent>
                      <w:p w14:paraId="201F9E07" w14:textId="77777777" w:rsidR="00B32EF2" w:rsidRDefault="00000000">
                        <w:r>
                          <w:rPr>
                            <w:rFonts w:ascii="Arial" w:eastAsia="Arial" w:hAnsi="Arial" w:cs="Arial"/>
                            <w:sz w:val="18"/>
                          </w:rPr>
                          <w:t xml:space="preserve">notificato, ed i documenti che produce, in originale o fotocopia. </w:t>
                        </w:r>
                      </w:p>
                    </w:txbxContent>
                  </v:textbox>
                </v:rect>
                <v:rect id="Rectangle 201170" o:spid="_x0000_s3954" style="position:absolute;left:26349;top:30367;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YuxQAAAN8AAAAPAAAAZHJzL2Rvd25yZXYueG1sRI/LisIw&#10;FIb3A75DOIK7Ma2LGalGEUWmi9l4A5eH5thWm5PQRFvn6c1iwOXPf+ObL3vTiAe1vrasIB0nIIgL&#10;q2suFRwP288pCB+QNTaWScGTPCwXg485Ztp2vKPHPpQijrDPUEEVgsuk9EVFBv3YOuLoXWxrMETZ&#10;llK32MVx08hJknxJgzXHhwodrSsqbvu7UXDesMu3nSwuf2v3e82nzc/9eFJqNOxXMxCB+vAO/7dz&#10;rWCSpOl3JIg8kQXk4gUAAP//AwBQSwECLQAUAAYACAAAACEA2+H2y+4AAACFAQAAEwAAAAAAAAAA&#10;AAAAAAAAAAAAW0NvbnRlbnRfVHlwZXNdLnhtbFBLAQItABQABgAIAAAAIQBa9CxbvwAAABUBAAAL&#10;AAAAAAAAAAAAAAAAAB8BAABfcmVscy8ucmVsc1BLAQItABQABgAIAAAAIQCZUkYuxQAAAN8AAAAP&#10;AAAAAAAAAAAAAAAAAAcCAABkcnMvZG93bnJldi54bWxQSwUGAAAAAAMAAwC3AAAA+QIAAAAA&#10;" filled="f" stroked="f">
                  <v:textbox inset="0,0,0,0">
                    <w:txbxContent>
                      <w:p w14:paraId="6FE7F2BD" w14:textId="77777777" w:rsidR="00B32EF2" w:rsidRDefault="00000000">
                        <w:r>
                          <w:rPr>
                            <w:rFonts w:ascii="Arial" w:eastAsia="Arial" w:hAnsi="Arial" w:cs="Arial"/>
                            <w:sz w:val="18"/>
                          </w:rPr>
                          <w:t>5</w:t>
                        </w:r>
                      </w:p>
                    </w:txbxContent>
                  </v:textbox>
                </v:rect>
                <v:rect id="Rectangle 201171" o:spid="_x0000_s3955" style="position:absolute;left:-12849;top:30367;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uO1xwAAAN8AAAAPAAAAZHJzL2Rvd25yZXYueG1sRI9Ba8JA&#10;FITvgv9heYI33cSDlegqoog5eKm10OMj+0yi2bdLdjWxv75bKPQ4zMw3zGrTm0Y8qfW1ZQXpNAFB&#10;XFhdc6ng8nGYLED4gKyxsUwKXuRhsx4OVphp2/E7Pc+hFBHCPkMFVQguk9IXFRn0U+uIo3e1rcEQ&#10;ZVtK3WIX4aaRsySZS4M1x4UKHe0qKu7nh1HwtWeXHzpZXL937nTLF83xcflUajzqt0sQgfrwH/5r&#10;51rBLEnTtxR+/8QvINc/AAAA//8DAFBLAQItABQABgAIAAAAIQDb4fbL7gAAAIUBAAATAAAAAAAA&#10;AAAAAAAAAAAAAABbQ29udGVudF9UeXBlc10ueG1sUEsBAi0AFAAGAAgAAAAhAFr0LFu/AAAAFQEA&#10;AAsAAAAAAAAAAAAAAAAAHwEAAF9yZWxzLy5yZWxzUEsBAi0AFAAGAAgAAAAhAPYe47XHAAAA3wAA&#10;AA8AAAAAAAAAAAAAAAAABwIAAGRycy9kb3ducmV2LnhtbFBLBQYAAAAAAwADALcAAAD7AgAAAAA=&#10;" filled="f" stroked="f">
                  <v:textbox inset="0,0,0,0">
                    <w:txbxContent>
                      <w:p w14:paraId="431B47EE" w14:textId="77777777" w:rsidR="00B32EF2" w:rsidRDefault="00000000">
                        <w:r>
                          <w:rPr>
                            <w:rFonts w:ascii="Arial" w:eastAsia="Arial" w:hAnsi="Arial" w:cs="Arial"/>
                            <w:sz w:val="18"/>
                          </w:rPr>
                          <w:t>. Ove sorgano contestazioni il giudice tributario ordina l’esibizione degli origi</w:t>
                        </w:r>
                      </w:p>
                    </w:txbxContent>
                  </v:textbox>
                </v:rect>
                <v:rect id="Rectangle 18569" o:spid="_x0000_s3956" style="position:absolute;left:192;top:303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JyqxAAAAN4AAAAPAAAAZHJzL2Rvd25yZXYueG1sRE9Na8JA&#10;EL0X/A/LCN7qxoKSRlcRRZpDL7UKHofsmESzs0t2NdFf3y0UepvH+5zFqjeNuFPra8sKJuMEBHFh&#10;dc2lgsP37jUF4QOyxsYyKXiQh9Vy8LLATNuOv+i+D6WIIewzVFCF4DIpfVGRQT+2jjhyZ9saDBG2&#10;pdQtdjHcNPItSWbSYM2xoUJHm4qK6/5mFJy27PJdJ4vzc+M+L3nafNwOR6VGw349BxGoD//iP3eu&#10;4/x0OnuH33fiDXL5AwAA//8DAFBLAQItABQABgAIAAAAIQDb4fbL7gAAAIUBAAATAAAAAAAAAAAA&#10;AAAAAAAAAABbQ29udGVudF9UeXBlc10ueG1sUEsBAi0AFAAGAAgAAAAhAFr0LFu/AAAAFQEAAAsA&#10;AAAAAAAAAAAAAAAAHwEAAF9yZWxzLy5yZWxzUEsBAi0AFAAGAAgAAAAhAANInKrEAAAA3gAAAA8A&#10;AAAAAAAAAAAAAAAABwIAAGRycy9kb3ducmV2LnhtbFBLBQYAAAAAAwADALcAAAD4AgAAAAA=&#10;" filled="f" stroked="f">
                  <v:textbox inset="0,0,0,0">
                    <w:txbxContent>
                      <w:p w14:paraId="7C73AB26" w14:textId="77777777" w:rsidR="00B32EF2" w:rsidRDefault="00000000">
                        <w:r>
                          <w:rPr>
                            <w:rFonts w:ascii="Arial" w:eastAsia="Arial" w:hAnsi="Arial" w:cs="Arial"/>
                            <w:sz w:val="18"/>
                          </w:rPr>
                          <w:t>-</w:t>
                        </w:r>
                      </w:p>
                    </w:txbxContent>
                  </v:textbox>
                </v:rect>
                <v:rect id="Rectangle 18570" o:spid="_x0000_s3957" style="position:absolute;left:3916;top:29133;width:360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6PqyAAAAN4AAAAPAAAAZHJzL2Rvd25yZXYueG1sRI9Pa8Mw&#10;DMXvg30Ho0Fvq7NBt5DVLaOjNIdd+g92FLGaZItlE7tNuk8/HQq7SejpvfebL0fXqQv1sfVs4Gma&#10;gSKuvG25NnDYrx9zUDEhW+w8k4ErRVgu7u/mWFg/8JYuu1QrMeFYoIEmpVBoHauGHMapD8RyO/ne&#10;YZK1r7XtcRBz1+nnLHvRDluWhAYDrRqqfnZnZ+Drg0O5HnR1+l2Fz+8y7zbnw9GYycP4/gYq0Zj+&#10;xbfv0kr9fPYqAIIjM+jFHwAAAP//AwBQSwECLQAUAAYACAAAACEA2+H2y+4AAACFAQAAEwAAAAAA&#10;AAAAAAAAAAAAAAAAW0NvbnRlbnRfVHlwZXNdLnhtbFBLAQItABQABgAIAAAAIQBa9CxbvwAAABUB&#10;AAALAAAAAAAAAAAAAAAAAB8BAABfcmVscy8ucmVsc1BLAQItABQABgAIAAAAIQAXq6PqyAAAAN4A&#10;AAAPAAAAAAAAAAAAAAAAAAcCAABkcnMvZG93bnJldi54bWxQSwUGAAAAAAMAAwC3AAAA/AIAAAAA&#10;" filled="f" stroked="f">
                  <v:textbox inset="0,0,0,0">
                    <w:txbxContent>
                      <w:p w14:paraId="68D56594" w14:textId="77777777" w:rsidR="00B32EF2" w:rsidRDefault="00000000">
                        <w:r>
                          <w:rPr>
                            <w:rFonts w:ascii="Arial" w:eastAsia="Arial" w:hAnsi="Arial" w:cs="Arial"/>
                            <w:sz w:val="18"/>
                          </w:rPr>
                          <w:t>nali degli atti e documenti di cui ai precedenti commi.</w:t>
                        </w:r>
                      </w:p>
                    </w:txbxContent>
                  </v:textbox>
                </v:rect>
                <v:shape id="Shape 207944" o:spid="_x0000_s3958" style="position:absolute;left:253;top:4192;width:39600;height:25073;visibility:visible;mso-wrap-style:square;v-text-anchor:top" coordsize="3960000,250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02HyAAAAN8AAAAPAAAAZHJzL2Rvd25yZXYueG1sRI9Ba8JA&#10;FITvBf/D8oTe6m5DajW6ii206KWlUTw/s69JavZtyG41/ntXKPQ4zMw3zHzZ20acqPO1Yw2PIwWC&#10;uHCm5lLDbvv2MAHhA7LBxjFpuJCH5WJwN8fMuDN/0SkPpYgQ9hlqqEJoMyl9UZFFP3ItcfS+XWcx&#10;RNmV0nR4jnDbyESpsbRYc1yosKXXiopj/ms1YJp8vJSXw/vnas8/46fkmB82Suv7Yb+agQjUh//w&#10;X3ttNCTqeZqmcPsTv4BcXAEAAP//AwBQSwECLQAUAAYACAAAACEA2+H2y+4AAACFAQAAEwAAAAAA&#10;AAAAAAAAAAAAAAAAW0NvbnRlbnRfVHlwZXNdLnhtbFBLAQItABQABgAIAAAAIQBa9CxbvwAAABUB&#10;AAALAAAAAAAAAAAAAAAAAB8BAABfcmVscy8ucmVsc1BLAQItABQABgAIAAAAIQBAT02HyAAAAN8A&#10;AAAPAAAAAAAAAAAAAAAAAAcCAABkcnMvZG93bnJldi54bWxQSwUGAAAAAAMAAwC3AAAA/AIAAAAA&#10;" path="m,l3960000,r,2507297l,2507297,,e" fillcolor="#c3c3c3" stroked="f" strokeweight="0">
                  <v:stroke miterlimit="83231f" joinstyle="miter"/>
                  <v:path arrowok="t" textboxrect="0,0,3960000,2507297"/>
                </v:shape>
                <v:rect id="Rectangle 18572" o:spid="_x0000_s3959" style="position:absolute;left:23223;top:2705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ZgGxQAAAN4AAAAPAAAAZHJzL2Rvd25yZXYueG1sRE9La8JA&#10;EL4X/A/LCN7qRqFtiK4iijSHXuoDPA7ZMYlmZ5fsamJ/fbdQ8DYf33Pmy9404k6try0rmIwTEMSF&#10;1TWXCg777WsKwgdkjY1lUvAgD8vF4GWOmbYdf9N9F0oRQ9hnqKAKwWVS+qIig35sHXHkzrY1GCJs&#10;S6lb7GK4aeQ0Sd6lwZpjQ4WO1hUV193NKDht2OXbThbnn7X7uuRp83k7HJUaDfvVDESgPjzF/+5c&#10;x/np28cU/t6JN8jFLwAAAP//AwBQSwECLQAUAAYACAAAACEA2+H2y+4AAACFAQAAEwAAAAAAAAAA&#10;AAAAAAAAAAAAW0NvbnRlbnRfVHlwZXNdLnhtbFBLAQItABQABgAIAAAAIQBa9CxbvwAAABUBAAAL&#10;AAAAAAAAAAAAAAAAAB8BAABfcmVscy8ucmVsc1BLAQItABQABgAIAAAAIQCINZgGxQAAAN4AAAAP&#10;AAAAAAAAAAAAAAAAAAcCAABkcnMvZG93bnJldi54bWxQSwUGAAAAAAMAAwC3AAAA+QIAAAAA&#10;" filled="f" stroked="f">
                  <v:textbox inset="0,0,0,0">
                    <w:txbxContent>
                      <w:p w14:paraId="60EAD9A2" w14:textId="77777777" w:rsidR="00B32EF2" w:rsidRDefault="00000000">
                        <w:r>
                          <w:rPr>
                            <w:rFonts w:ascii="Arial" w:eastAsia="Arial" w:hAnsi="Arial" w:cs="Arial"/>
                            <w:b/>
                            <w:i/>
                            <w:sz w:val="18"/>
                          </w:rPr>
                          <w:t>NORME RICHIAMATE</w:t>
                        </w:r>
                      </w:p>
                    </w:txbxContent>
                  </v:textbox>
                </v:rect>
                <v:rect id="Rectangle 18573" o:spid="_x0000_s3960" style="position:absolute;left:19488;top:25819;width:195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2dxQAAAN4AAAAPAAAAZHJzL2Rvd25yZXYueG1sRE9Na8JA&#10;EL0X+h+WKXirm1aqIbpKsYg5eKlV8DhkxySanV2yq4n99W5B6G0e73Nmi9404kqtry0reBsmIIgL&#10;q2suFex+Vq8pCB+QNTaWScGNPCzmz08zzLTt+Juu21CKGMI+QwVVCC6T0hcVGfRD64gjd7StwRBh&#10;W0rdYhfDTSPfk2QsDdYcGyp0tKyoOG8vRsHhi12+6mRx/F26zSlPm/Vlt1dq8NJ/TkEE6sO/+OHO&#10;dZyffkxG8PdOvEHO7wAAAP//AwBQSwECLQAUAAYACAAAACEA2+H2y+4AAACFAQAAEwAAAAAAAAAA&#10;AAAAAAAAAAAAW0NvbnRlbnRfVHlwZXNdLnhtbFBLAQItABQABgAIAAAAIQBa9CxbvwAAABUBAAAL&#10;AAAAAAAAAAAAAAAAAB8BAABfcmVscy8ucmVsc1BLAQItABQABgAIAAAAIQDneT2dxQAAAN4AAAAP&#10;AAAAAAAAAAAAAAAAAAcCAABkcnMvZG93bnJldi54bWxQSwUGAAAAAAMAAwC3AAAA+QIAAAAA&#10;" filled="f" stroked="f">
                  <v:textbox inset="0,0,0,0">
                    <w:txbxContent>
                      <w:p w14:paraId="5E41FED9" w14:textId="77777777" w:rsidR="00B32EF2" w:rsidRDefault="00000000">
                        <w:r>
                          <w:rPr>
                            <w:rFonts w:ascii="Arial" w:eastAsia="Arial" w:hAnsi="Arial" w:cs="Arial"/>
                            <w:i/>
                            <w:sz w:val="18"/>
                          </w:rPr>
                          <w:t xml:space="preserve">art. 137 c.p.c. “Notificazioni” </w:t>
                        </w:r>
                      </w:p>
                    </w:txbxContent>
                  </v:textbox>
                </v:rect>
                <v:rect id="Rectangle 201168" o:spid="_x0000_s3961" style="position:absolute;left:26011;top:24586;width:5006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z1wwAAAN8AAAAPAAAAZHJzL2Rvd25yZXYueG1sRE9Ni8Iw&#10;EL0v+B/CCN7WtB5EqlFEEXvwoqvgcWjGttpMQhNt9ddvDgt7fLzvxao3jXhR62vLCtJxAoK4sLrm&#10;UsH5Z/c9A+EDssbGMil4k4fVcvC1wEzbjo/0OoVSxBD2GSqoQnCZlL6oyKAfW0ccuZttDYYI21Lq&#10;FrsYbho5SZKpNFhzbKjQ0aai4nF6GgXXLbt818ni9tm4wz2fNfvn+aLUaNiv5yAC9eFf/OfOtYJJ&#10;kqbTODj+iV9ALn8BAAD//wMAUEsBAi0AFAAGAAgAAAAhANvh9svuAAAAhQEAABMAAAAAAAAAAAAA&#10;AAAAAAAAAFtDb250ZW50X1R5cGVzXS54bWxQSwECLQAUAAYACAAAACEAWvQsW78AAAAVAQAACwAA&#10;AAAAAAAAAAAAAAAfAQAAX3JlbHMvLnJlbHNQSwECLQAUAAYACAAAACEA4v3c9cMAAADfAAAADwAA&#10;AAAAAAAAAAAAAAAHAgAAZHJzL2Rvd25yZXYueG1sUEsFBgAAAAADAAMAtwAAAPcCAAAAAA==&#10;" filled="f" stroked="f">
                  <v:textbox inset="0,0,0,0">
                    <w:txbxContent>
                      <w:p w14:paraId="74959903" w14:textId="77777777" w:rsidR="00B32EF2" w:rsidRDefault="00000000">
                        <w:r>
                          <w:rPr>
                            <w:rFonts w:ascii="Arial" w:eastAsia="Arial" w:hAnsi="Arial" w:cs="Arial"/>
                            <w:i/>
                            <w:sz w:val="18"/>
                          </w:rPr>
                          <w:t>1</w:t>
                        </w:r>
                      </w:p>
                    </w:txbxContent>
                  </v:textbox>
                </v:rect>
                <v:rect id="Rectangle 201169" o:spid="_x0000_s3962" style="position:absolute;left:-11592;top:24586;width:5006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luxwAAAN8AAAAPAAAAZHJzL2Rvd25yZXYueG1sRI9Ba8JA&#10;FITvBf/D8oTe6iYexEZXEUWagxetgsdH9plEs2+X7Gpif31XKPQ4zMw3zHzZm0Y8qPW1ZQXpKAFB&#10;XFhdc6ng+L39mILwAVljY5kUPMnDcjF4m2Ombcd7ehxCKSKEfYYKqhBcJqUvKjLoR9YRR+9iW4Mh&#10;yraUusUuwk0jx0kykQZrjgsVOlpXVNwOd6PgvGGXbztZXH7WbnfNp83X/XhS6n3Yr2YgAvXhP/zX&#10;zrWCcZKmk094/YlfQC5+AQAA//8DAFBLAQItABQABgAIAAAAIQDb4fbL7gAAAIUBAAATAAAAAAAA&#10;AAAAAAAAAAAAAABbQ29udGVudF9UeXBlc10ueG1sUEsBAi0AFAAGAAgAAAAhAFr0LFu/AAAAFQEA&#10;AAsAAAAAAAAAAAAAAAAAHwEAAF9yZWxzLy5yZWxzUEsBAi0AFAAGAAgAAAAhAI2xeW7HAAAA3wAA&#10;AA8AAAAAAAAAAAAAAAAABwIAAGRycy9kb3ducmV2LnhtbFBLBQYAAAAAAwADALcAAAD7AgAAAAA=&#10;" filled="f" stroked="f">
                  <v:textbox inset="0,0,0,0">
                    <w:txbxContent>
                      <w:p w14:paraId="10FB310C" w14:textId="77777777" w:rsidR="00B32EF2" w:rsidRDefault="00000000">
                        <w:r>
                          <w:rPr>
                            <w:rFonts w:ascii="Arial" w:eastAsia="Arial" w:hAnsi="Arial" w:cs="Arial"/>
                            <w:i/>
                            <w:sz w:val="18"/>
                          </w:rPr>
                          <w:t>. Le notificazioni, quando non è disposto altrimenti, sono eseguite dall’uf</w:t>
                        </w:r>
                      </w:p>
                    </w:txbxContent>
                  </v:textbox>
                </v:rect>
                <v:rect id="Rectangle 18575" o:spid="_x0000_s3963" style="position:absolute;left:911;top:24586;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AByxAAAAN4AAAAPAAAAZHJzL2Rvd25yZXYueG1sRE9Na8JA&#10;EL0X/A/LCN7qxoJtiK4iijQHL7UKHofsmESzs0t2NdFf3y0UepvH+5z5sjeNuFPra8sKJuMEBHFh&#10;dc2lgsP39jUF4QOyxsYyKXiQh+Vi8DLHTNuOv+i+D6WIIewzVFCF4DIpfVGRQT+2jjhyZ9saDBG2&#10;pdQtdjHcNPItSd6lwZpjQ4WO1hUV1/3NKDht2OXbThbn59rtLnnafN4OR6VGw341AxGoD//iP3eu&#10;4/x0+jGF33fiDXLxAwAA//8DAFBLAQItABQABgAIAAAAIQDb4fbL7gAAAIUBAAATAAAAAAAAAAAA&#10;AAAAAAAAAABbQ29udGVudF9UeXBlc10ueG1sUEsBAi0AFAAGAAgAAAAhAFr0LFu/AAAAFQEAAAsA&#10;AAAAAAAAAAAAAAAAHwEAAF9yZWxzLy5yZWxzUEsBAi0AFAAGAAgAAAAhAAfcAHLEAAAA3gAAAA8A&#10;AAAAAAAAAAAAAAAABwIAAGRycy9kb3ducmV2LnhtbFBLBQYAAAAAAwADALcAAAD4AgAAAAA=&#10;" filled="f" stroked="f">
                  <v:textbox inset="0,0,0,0">
                    <w:txbxContent>
                      <w:p w14:paraId="6F01D048" w14:textId="77777777" w:rsidR="00B32EF2" w:rsidRDefault="00000000">
                        <w:r>
                          <w:rPr>
                            <w:rFonts w:ascii="Arial" w:eastAsia="Arial" w:hAnsi="Arial" w:cs="Arial"/>
                            <w:i/>
                            <w:sz w:val="18"/>
                          </w:rPr>
                          <w:t>-</w:t>
                        </w:r>
                      </w:p>
                    </w:txbxContent>
                  </v:textbox>
                </v:rect>
                <v:rect id="Rectangle 18576" o:spid="_x0000_s3964" style="position:absolute;left:-11935;top:23352;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p4FxAAAAN4AAAAPAAAAZHJzL2Rvd25yZXYueG1sRE9Na8JA&#10;EL0X/A/LCN7qxoI2RFcRRZpDL7UKHofsmESzs0t2NdFf3y0UepvH+5zFqjeNuFPra8sKJuMEBHFh&#10;dc2lgsP37jUF4QOyxsYyKXiQh9Vy8LLATNuOv+i+D6WIIewzVFCF4DIpfVGRQT+2jjhyZ9saDBG2&#10;pdQtdjHcNPItSWbSYM2xoUJHm4qK6/5mFJy27PJdJ4vzc+M+L3nafNwOR6VGw349BxGoD//iP3eu&#10;4/x0+j6D33fiDXL5AwAA//8DAFBLAQItABQABgAIAAAAIQDb4fbL7gAAAIUBAAATAAAAAAAAAAAA&#10;AAAAAAAAAABbQ29udGVudF9UeXBlc10ueG1sUEsBAi0AFAAGAAgAAAAhAFr0LFu/AAAAFQEAAAsA&#10;AAAAAAAAAAAAAAAAHwEAAF9yZWxzLy5yZWxzUEsBAi0AFAAGAAgAAAAhAPcOngXEAAAA3gAAAA8A&#10;AAAAAAAAAAAAAAAABwIAAGRycy9kb3ducmV2LnhtbFBLBQYAAAAAAwADALcAAAD4AgAAAAA=&#10;" filled="f" stroked="f">
                  <v:textbox inset="0,0,0,0">
                    <w:txbxContent>
                      <w:p w14:paraId="266193A8" w14:textId="77777777" w:rsidR="00B32EF2" w:rsidRDefault="00000000">
                        <w:r>
                          <w:rPr>
                            <w:rFonts w:ascii="Arial" w:eastAsia="Arial" w:hAnsi="Arial" w:cs="Arial"/>
                            <w:i/>
                            <w:sz w:val="18"/>
                          </w:rPr>
                          <w:t xml:space="preserve">ficiale giudiziario, su istanza di parte o su richiesta del pubblico ministero </w:t>
                        </w:r>
                      </w:p>
                    </w:txbxContent>
                  </v:textbox>
                </v:rect>
                <v:rect id="Rectangle 18577" o:spid="_x0000_s3965" style="position:absolute;left:27526;top:22119;width:115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juexAAAAN4AAAAPAAAAZHJzL2Rvd25yZXYueG1sRE9Na8JA&#10;EL0X/A/LCN7qxoI1RFcRRZpDL7UKHofsmESzs0t2NdFf3y0UepvH+5zFqjeNuFPra8sKJuMEBHFh&#10;dc2lgsP37jUF4QOyxsYyKXiQh9Vy8LLATNuOv+i+D6WIIewzVFCF4DIpfVGRQT+2jjhyZ9saDBG2&#10;pdQtdjHcNPItSd6lwZpjQ4WONhUV1/3NKDht2eW7Thbn58Z9XvK0+bgdjkqNhv16DiJQH/7Ff+5c&#10;x/npdDaD33fiDXL5AwAA//8DAFBLAQItABQABgAIAAAAIQDb4fbL7gAAAIUBAAATAAAAAAAAAAAA&#10;AAAAAAAAAABbQ29udGVudF9UeXBlc10ueG1sUEsBAi0AFAAGAAgAAAAhAFr0LFu/AAAAFQEAAAsA&#10;AAAAAAAAAAAAAAAAHwEAAF9yZWxzLy5yZWxzUEsBAi0AFAAGAAgAAAAhAJhCO57EAAAA3gAAAA8A&#10;AAAAAAAAAAAAAAAABwIAAGRycy9kb3ducmV2LnhtbFBLBQYAAAAAAwADALcAAAD4AgAAAAA=&#10;" filled="f" stroked="f">
                  <v:textbox inset="0,0,0,0">
                    <w:txbxContent>
                      <w:p w14:paraId="71BEA6F4" w14:textId="77777777" w:rsidR="00B32EF2" w:rsidRDefault="00000000">
                        <w:r>
                          <w:rPr>
                            <w:rFonts w:ascii="Arial" w:eastAsia="Arial" w:hAnsi="Arial" w:cs="Arial"/>
                            <w:i/>
                            <w:sz w:val="18"/>
                          </w:rPr>
                          <w:t>o del cancelliere.</w:t>
                        </w:r>
                      </w:p>
                    </w:txbxContent>
                  </v:textbox>
                </v:rect>
                <v:rect id="Rectangle 201167" o:spid="_x0000_s3966" style="position:absolute;left:-11621;top:20886;width:50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kiHxwAAAN8AAAAPAAAAZHJzL2Rvd25yZXYueG1sRI9Ba8JA&#10;FITvgv9heUJvuokHK9FVRJHm4KVWweMj+0yi2bdLdjWxv75bKPQ4zMw3zHLdm0Y8qfW1ZQXpJAFB&#10;XFhdc6ng9LUfz0H4gKyxsUwKXuRhvRoOlphp2/EnPY+hFBHCPkMFVQguk9IXFRn0E+uIo3e1rcEQ&#10;ZVtK3WIX4aaR0ySZSYM1x4UKHW0rKu7Hh1Fw2bHL950srt9bd7jl8+bjcTor9TbqNwsQgfrwH/5r&#10;51rBNEnT2Tv8/olfQK5+AAAA//8DAFBLAQItABQABgAIAAAAIQDb4fbL7gAAAIUBAAATAAAAAAAA&#10;AAAAAAAAAAAAAABbQ29udGVudF9UeXBlc10ueG1sUEsBAi0AFAAGAAgAAAAhAFr0LFu/AAAAFQEA&#10;AAsAAAAAAAAAAAAAAAAAHwEAAF9yZWxzLy5yZWxzUEsBAi0AFAAGAAgAAAAhAJNiSIfHAAAA3wAA&#10;AA8AAAAAAAAAAAAAAAAABwIAAGRycy9kb3ducmV2LnhtbFBLBQYAAAAAAwADALcAAAD7AgAAAAA=&#10;" filled="f" stroked="f">
                  <v:textbox inset="0,0,0,0">
                    <w:txbxContent>
                      <w:p w14:paraId="40513BB4" w14:textId="77777777" w:rsidR="00B32EF2" w:rsidRDefault="00000000">
                        <w:r>
                          <w:rPr>
                            <w:rFonts w:ascii="Arial" w:eastAsia="Arial" w:hAnsi="Arial" w:cs="Arial"/>
                            <w:i/>
                            <w:sz w:val="18"/>
                          </w:rPr>
                          <w:t>.L’ufficiale giudiziario o l’avvocato esegue la notificazione mediante con</w:t>
                        </w:r>
                      </w:p>
                    </w:txbxContent>
                  </v:textbox>
                </v:rect>
                <v:rect id="Rectangle 201166" o:spid="_x0000_s3967" style="position:absolute;left:26017;top:20886;width:50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u0cxwAAAN8AAAAPAAAAZHJzL2Rvd25yZXYueG1sRI9Ba8JA&#10;FITvBf/D8gRvdRMPQVJXKYqYg5eqhR4f2WeSNvt2ya4m+uu7guBxmJlvmMVqMK24UucbywrSaQKC&#10;uLS64UrB6bh9n4PwAVlja5kU3MjDajl6W2Cubc9fdD2ESkQI+xwV1CG4XEpf1mTQT60jjt7ZdgZD&#10;lF0ldYd9hJtWzpIkkwYbjgs1OlrXVP4dLkbBz4Zdse1leb6v3f63mLe7y+lbqcl4+PwAEWgIr/Cz&#10;XWgFsyRNswwef+IXkMt/AAAA//8DAFBLAQItABQABgAIAAAAIQDb4fbL7gAAAIUBAAATAAAAAAAA&#10;AAAAAAAAAAAAAABbQ29udGVudF9UeXBlc10ueG1sUEsBAi0AFAAGAAgAAAAhAFr0LFu/AAAAFQEA&#10;AAsAAAAAAAAAAAAAAAAAHwEAAF9yZWxzLy5yZWxzUEsBAi0AFAAGAAgAAAAhAPwu7RzHAAAA3wAA&#10;AA8AAAAAAAAAAAAAAAAABwIAAGRycy9kb3ducmV2LnhtbFBLBQYAAAAAAwADALcAAAD7AgAAAAA=&#10;" filled="f" stroked="f">
                  <v:textbox inset="0,0,0,0">
                    <w:txbxContent>
                      <w:p w14:paraId="5CF3DD19" w14:textId="77777777" w:rsidR="00B32EF2" w:rsidRDefault="00000000">
                        <w:r>
                          <w:rPr>
                            <w:rFonts w:ascii="Arial" w:eastAsia="Arial" w:hAnsi="Arial" w:cs="Arial"/>
                            <w:i/>
                            <w:sz w:val="18"/>
                          </w:rPr>
                          <w:t>2</w:t>
                        </w:r>
                      </w:p>
                    </w:txbxContent>
                  </v:textbox>
                </v:rect>
                <v:rect id="Rectangle 18579" o:spid="_x0000_s3968" style="position:absolute;left:911;top:2088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Qp3xQAAAN4AAAAPAAAAZHJzL2Rvd25yZXYueG1sRE9Na8JA&#10;EL0L/odlhN50o9A2ja4iipiDl1oLHofsmKTNzi7Z1cT+erdQ6G0e73MWq9404katry0rmE4SEMSF&#10;1TWXCk4fu3EKwgdkjY1lUnAnD6vlcLDATNuO3+l2DKWIIewzVFCF4DIpfVGRQT+xjjhyF9saDBG2&#10;pdQtdjHcNHKWJC/SYM2xoUJHm4qK7+PVKDhv2eW7ThaXn407fOVps7+ePpV6GvXrOYhAffgX/7lz&#10;Heenz69v8PtOvEEuHwAAAP//AwBQSwECLQAUAAYACAAAACEA2+H2y+4AAACFAQAAEwAAAAAAAAAA&#10;AAAAAAAAAAAAW0NvbnRlbnRfVHlwZXNdLnhtbFBLAQItABQABgAIAAAAIQBa9CxbvwAAABUBAAAL&#10;AAAAAAAAAAAAAAAAAB8BAABfcmVscy8ucmVsc1BLAQItABQABgAIAAAAIQCGkQp3xQAAAN4AAAAP&#10;AAAAAAAAAAAAAAAAAAcCAABkcnMvZG93bnJldi54bWxQSwUGAAAAAAMAAwC3AAAA+QIAAAAA&#10;" filled="f" stroked="f">
                  <v:textbox inset="0,0,0,0">
                    <w:txbxContent>
                      <w:p w14:paraId="52BEA5FF" w14:textId="77777777" w:rsidR="00B32EF2" w:rsidRDefault="00000000">
                        <w:r>
                          <w:rPr>
                            <w:rFonts w:ascii="Arial" w:eastAsia="Arial" w:hAnsi="Arial" w:cs="Arial"/>
                            <w:i/>
                            <w:sz w:val="18"/>
                          </w:rPr>
                          <w:t>-</w:t>
                        </w:r>
                      </w:p>
                    </w:txbxContent>
                  </v:textbox>
                </v:rect>
                <v:rect id="Rectangle 18580" o:spid="_x0000_s3969" style="position:absolute;left:-11186;top:19652;width:502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PNxwAAAN4AAAAPAAAAZHJzL2Rvd25yZXYueG1sRI9Ba8JA&#10;EIXvhf6HZQre6qYFS4iuUixiDr3UKngcsmMSzc4u2dXE/vrOodDbDPPmvfctVqPr1I362Ho28DLN&#10;QBFX3rZcG9h/b55zUDEhW+w8k4E7RVgtHx8WWFg/8BfddqlWYsKxQANNSqHQOlYNOYxTH4jldvK9&#10;wyRrX2vb4yDmrtOvWfamHbYsCQ0GWjdUXXZXZ+D4waHcDLo6/azD57nMu+11fzBm8jS+z0ElGtO/&#10;+O+7tFI/n+UCIDgyg17+AgAA//8DAFBLAQItABQABgAIAAAAIQDb4fbL7gAAAIUBAAATAAAAAAAA&#10;AAAAAAAAAAAAAABbQ29udGVudF9UeXBlc10ueG1sUEsBAi0AFAAGAAgAAAAhAFr0LFu/AAAAFQEA&#10;AAsAAAAAAAAAAAAAAAAAHwEAAF9yZWxzLy5yZWxzUEsBAi0AFAAGAAgAAAAhACJ+083HAAAA3gAA&#10;AA8AAAAAAAAAAAAAAAAABwIAAGRycy9kb3ducmV2LnhtbFBLBQYAAAAAAwADALcAAAD7AgAAAAA=&#10;" filled="f" stroked="f">
                  <v:textbox inset="0,0,0,0">
                    <w:txbxContent>
                      <w:p w14:paraId="6408116E" w14:textId="77777777" w:rsidR="00B32EF2" w:rsidRDefault="00000000">
                        <w:r>
                          <w:rPr>
                            <w:rFonts w:ascii="Arial" w:eastAsia="Arial" w:hAnsi="Arial" w:cs="Arial"/>
                            <w:i/>
                            <w:sz w:val="18"/>
                          </w:rPr>
                          <w:t>segna al destinatario di copia conforme all’originale dell’atto da notificarsi.</w:t>
                        </w:r>
                      </w:p>
                    </w:txbxContent>
                  </v:textbox>
                </v:rect>
                <v:rect id="Rectangle 201165" o:spid="_x0000_s3970" style="position:absolute;left:-11706;top:18419;width:501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NrxwAAAN8AAAAPAAAAZHJzL2Rvd25yZXYueG1sRI9Pi8Iw&#10;FMTvC36H8ARva1phRbpGEUW2By/rH9jjo3m23W1eQhNt9dNvBMHjMDO/YebL3jTiSq2vLStIxwkI&#10;4sLqmksFx8P2fQbCB2SNjWVScCMPy8XgbY6Zth1/03UfShEh7DNUUIXgMil9UZFBP7aOOHpn2xoM&#10;Ubal1C12EW4aOUmSqTRYc1yo0NG6ouJvfzEKfjbs8m0ni/N97Xa/+az5uhxPSo2G/eoTRKA+vMLP&#10;dq4VTJI0nX7A40/8AnLxDwAA//8DAFBLAQItABQABgAIAAAAIQDb4fbL7gAAAIUBAAATAAAAAAAA&#10;AAAAAAAAAAAAAABbQ29udGVudF9UeXBlc10ueG1sUEsBAi0AFAAGAAgAAAAhAFr0LFu/AAAAFQEA&#10;AAsAAAAAAAAAAAAAAAAAHwEAAF9yZWxzLy5yZWxzUEsBAi0AFAAGAAgAAAAhAAz8c2vHAAAA3wAA&#10;AA8AAAAAAAAAAAAAAAAABwIAAGRycy9kb3ducmV2LnhtbFBLBQYAAAAAAwADALcAAAD7AgAAAAA=&#10;" filled="f" stroked="f">
                  <v:textbox inset="0,0,0,0">
                    <w:txbxContent>
                      <w:p w14:paraId="7F75EB92" w14:textId="77777777" w:rsidR="00B32EF2" w:rsidRDefault="00000000">
                        <w:r>
                          <w:rPr>
                            <w:rFonts w:ascii="Arial" w:eastAsia="Arial" w:hAnsi="Arial" w:cs="Arial"/>
                            <w:i/>
                            <w:sz w:val="18"/>
                          </w:rPr>
                          <w:t>.Se l’atto da notificare o comunicare è costituito da un documento infor</w:t>
                        </w:r>
                      </w:p>
                    </w:txbxContent>
                  </v:textbox>
                </v:rect>
                <v:rect id="Rectangle 201164" o:spid="_x0000_s3971" style="position:absolute;left:26000;top:18419;width:501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bwxwAAAN8AAAAPAAAAZHJzL2Rvd25yZXYueG1sRI9Pi8Iw&#10;FMTvC36H8ARva1pZRLpGEUW2By/rH9jjo3m23W1eQhNt9dNvBMHjMDO/YebL3jTiSq2vLStIxwkI&#10;4sLqmksFx8P2fQbCB2SNjWVScCMPy8XgbY6Zth1/03UfShEh7DNUUIXgMil9UZFBP7aOOHpn2xoM&#10;Ubal1C12EW4aOUmSqTRYc1yo0NG6ouJvfzEKfjbs8m0ni/N97Xa/+az5uhxPSo2G/eoTRKA+vMLP&#10;dq4VTJI0nX7A40/8AnLxDwAA//8DAFBLAQItABQABgAIAAAAIQDb4fbL7gAAAIUBAAATAAAAAAAA&#10;AAAAAAAAAAAAAABbQ29udGVudF9UeXBlc10ueG1sUEsBAi0AFAAGAAgAAAAhAFr0LFu/AAAAFQEA&#10;AAsAAAAAAAAAAAAAAAAAHwEAAF9yZWxzLy5yZWxzUEsBAi0AFAAGAAgAAAAhAGOw1vDHAAAA3wAA&#10;AA8AAAAAAAAAAAAAAAAABwIAAGRycy9kb3ducmV2LnhtbFBLBQYAAAAAAwADALcAAAD7AgAAAAA=&#10;" filled="f" stroked="f">
                  <v:textbox inset="0,0,0,0">
                    <w:txbxContent>
                      <w:p w14:paraId="18CF7835" w14:textId="77777777" w:rsidR="00B32EF2" w:rsidRDefault="00000000">
                        <w:r>
                          <w:rPr>
                            <w:rFonts w:ascii="Arial" w:eastAsia="Arial" w:hAnsi="Arial" w:cs="Arial"/>
                            <w:i/>
                            <w:sz w:val="18"/>
                          </w:rPr>
                          <w:t>3</w:t>
                        </w:r>
                      </w:p>
                    </w:txbxContent>
                  </v:textbox>
                </v:rect>
                <v:rect id="Rectangle 18582" o:spid="_x0000_s3972" style="position:absolute;left:911;top:1841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OghxAAAAN4AAAAPAAAAZHJzL2Rvd25yZXYueG1sRE9Na8JA&#10;EL0X+h+WKfRWNxUqIbpKUcQcetFG8DhkxySanV2yq0n99a4g9DaP9zmzxWBacaXON5YVfI4SEMSl&#10;1Q1XCorf9UcKwgdkja1lUvBHHhbz15cZZtr2vKXrLlQihrDPUEEdgsuk9GVNBv3IOuLIHW1nMETY&#10;VVJ32Mdw08pxkkykwYZjQ42OljWV593FKDis2OXrXpbH29L9nPK03VyKvVLvb8P3FESgIfyLn+5c&#10;x/npVzqGxzvxBjm/AwAA//8DAFBLAQItABQABgAIAAAAIQDb4fbL7gAAAIUBAAATAAAAAAAAAAAA&#10;AAAAAAAAAABbQ29udGVudF9UeXBlc10ueG1sUEsBAi0AFAAGAAgAAAAhAFr0LFu/AAAAFQEAAAsA&#10;AAAAAAAAAAAAAAAAHwEAAF9yZWxzLy5yZWxzUEsBAi0AFAAGAAgAAAAhAL3g6CHEAAAA3gAAAA8A&#10;AAAAAAAAAAAAAAAABwIAAGRycy9kb3ducmV2LnhtbFBLBQYAAAAAAwADALcAAAD4AgAAAAA=&#10;" filled="f" stroked="f">
                  <v:textbox inset="0,0,0,0">
                    <w:txbxContent>
                      <w:p w14:paraId="32A2AAE8" w14:textId="77777777" w:rsidR="00B32EF2" w:rsidRDefault="00000000">
                        <w:r>
                          <w:rPr>
                            <w:rFonts w:ascii="Arial" w:eastAsia="Arial" w:hAnsi="Arial" w:cs="Arial"/>
                            <w:i/>
                            <w:sz w:val="18"/>
                          </w:rPr>
                          <w:t>-</w:t>
                        </w:r>
                      </w:p>
                    </w:txbxContent>
                  </v:textbox>
                </v:rect>
                <v:rect id="Rectangle 18583" o:spid="_x0000_s3973" style="position:absolute;left:-10956;top:17186;width:50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E26xAAAAN4AAAAPAAAAZHJzL2Rvd25yZXYueG1sRE9Na8JA&#10;EL0X/A/LCN7qphVLSF2lWMQcvGgt9DhkxySanV2yq4n+elcoeJvH+5zZojeNuFDra8sK3sYJCOLC&#10;6ppLBfuf1WsKwgdkjY1lUnAlD4v54GWGmbYdb+myC6WIIewzVFCF4DIpfVGRQT+2jjhyB9saDBG2&#10;pdQtdjHcNPI9ST6kwZpjQ4WOlhUVp93ZKPj7ZpevOlkcbku3OeZpsz7vf5UaDfuvTxCB+vAU/7tz&#10;Heen03QCj3fiDXJ+BwAA//8DAFBLAQItABQABgAIAAAAIQDb4fbL7gAAAIUBAAATAAAAAAAAAAAA&#10;AAAAAAAAAABbQ29udGVudF9UeXBlc10ueG1sUEsBAi0AFAAGAAgAAAAhAFr0LFu/AAAAFQEAAAsA&#10;AAAAAAAAAAAAAAAAHwEAAF9yZWxzLy5yZWxzUEsBAi0AFAAGAAgAAAAhANKsTbrEAAAA3gAAAA8A&#10;AAAAAAAAAAAAAAAABwIAAGRycy9kb3ducmV2LnhtbFBLBQYAAAAAAwADALcAAAD4AgAAAAA=&#10;" filled="f" stroked="f">
                  <v:textbox inset="0,0,0,0">
                    <w:txbxContent>
                      <w:p w14:paraId="390059FB" w14:textId="77777777" w:rsidR="00B32EF2" w:rsidRDefault="00000000">
                        <w:r>
                          <w:rPr>
                            <w:rFonts w:ascii="Arial" w:eastAsia="Arial" w:hAnsi="Arial" w:cs="Arial"/>
                            <w:i/>
                            <w:sz w:val="18"/>
                          </w:rPr>
                          <w:t>matico e il destinatario non possiede indirizzo di posta elettronica certifi</w:t>
                        </w:r>
                      </w:p>
                    </w:txbxContent>
                  </v:textbox>
                </v:rect>
                <v:rect id="Rectangle 18584" o:spid="_x0000_s3974" style="position:absolute;left:911;top:1718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dXOxAAAAN4AAAAPAAAAZHJzL2Rvd25yZXYueG1sRE9Na8JA&#10;EL0X/A/LCN7qpkVLSF2lWMQcvGgt9DhkxySanV2yq4n+elcoeJvH+5zZojeNuFDra8sK3sYJCOLC&#10;6ppLBfuf1WsKwgdkjY1lUnAlD4v54GWGmbYdb+myC6WIIewzVFCF4DIpfVGRQT+2jjhyB9saDBG2&#10;pdQtdjHcNPI9ST6kwZpjQ4WOlhUVp93ZKPj7ZpevOlkcbku3OeZpsz7vf5UaDfuvTxCB+vAU/7tz&#10;Heen03QCj3fiDXJ+BwAA//8DAFBLAQItABQABgAIAAAAIQDb4fbL7gAAAIUBAAATAAAAAAAAAAAA&#10;AAAAAAAAAABbQ29udGVudF9UeXBlc10ueG1sUEsBAi0AFAAGAAgAAAAhAFr0LFu/AAAAFQEAAAsA&#10;AAAAAAAAAAAAAAAAHwEAAF9yZWxzLy5yZWxzUEsBAi0AFAAGAAgAAAAhAF1F1c7EAAAA3gAAAA8A&#10;AAAAAAAAAAAAAAAABwIAAGRycy9kb3ducmV2LnhtbFBLBQYAAAAAAwADALcAAAD4AgAAAAA=&#10;" filled="f" stroked="f">
                  <v:textbox inset="0,0,0,0">
                    <w:txbxContent>
                      <w:p w14:paraId="649A6D41" w14:textId="77777777" w:rsidR="00B32EF2" w:rsidRDefault="00000000">
                        <w:r>
                          <w:rPr>
                            <w:rFonts w:ascii="Arial" w:eastAsia="Arial" w:hAnsi="Arial" w:cs="Arial"/>
                            <w:i/>
                            <w:sz w:val="18"/>
                          </w:rPr>
                          <w:t>-</w:t>
                        </w:r>
                      </w:p>
                    </w:txbxContent>
                  </v:textbox>
                </v:rect>
                <v:rect id="Rectangle 18585" o:spid="_x0000_s3975" style="position:absolute;left:-11935;top:15952;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XBVxAAAAN4AAAAPAAAAZHJzL2Rvd25yZXYueG1sRE9Na8JA&#10;EL0L/odlBG+6qWAJqasURcyhl2qEHofsmKTNzi7Z1aT+erdQ8DaP9zmrzWBacaPON5YVvMwTEMSl&#10;1Q1XCorTfpaC8AFZY2uZFPySh816PFphpm3Pn3Q7hkrEEPYZKqhDcJmUvqzJoJ9bRxy5i+0Mhgi7&#10;SuoO+xhuWrlIkldpsOHYUKOjbU3lz/FqFHzt2OX7XpaX+9Z9fOdpe7gWZ6Wmk+H9DUSgITzF/+5c&#10;x/npMl3C3zvxBrl+AAAA//8DAFBLAQItABQABgAIAAAAIQDb4fbL7gAAAIUBAAATAAAAAAAAAAAA&#10;AAAAAAAAAABbQ29udGVudF9UeXBlc10ueG1sUEsBAi0AFAAGAAgAAAAhAFr0LFu/AAAAFQEAAAsA&#10;AAAAAAAAAAAAAAAAHwEAAF9yZWxzLy5yZWxzUEsBAi0AFAAGAAgAAAAhADIJcFXEAAAA3gAAAA8A&#10;AAAAAAAAAAAAAAAABwIAAGRycy9kb3ducmV2LnhtbFBLBQYAAAAAAwADALcAAAD4AgAAAAA=&#10;" filled="f" stroked="f">
                  <v:textbox inset="0,0,0,0">
                    <w:txbxContent>
                      <w:p w14:paraId="2263E20F" w14:textId="77777777" w:rsidR="00B32EF2" w:rsidRDefault="00000000">
                        <w:r>
                          <w:rPr>
                            <w:rFonts w:ascii="Arial" w:eastAsia="Arial" w:hAnsi="Arial" w:cs="Arial"/>
                            <w:i/>
                            <w:sz w:val="18"/>
                          </w:rPr>
                          <w:t xml:space="preserve">cata, l’ufficiale giudiziario esegue la notificazione mediante consegna di </w:t>
                        </w:r>
                      </w:p>
                    </w:txbxContent>
                  </v:textbox>
                </v:rect>
                <v:rect id="Rectangle 18586" o:spid="_x0000_s3976" style="position:absolute;left:-10974;top:14719;width:50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4ixAAAAN4AAAAPAAAAZHJzL2Rvd25yZXYueG1sRE9La8JA&#10;EL4X/A/LCL3VTQUlpG6kKGIOXuoDehyyk0ebnV2yq0n99d1Cwdt8fM9ZrUfTiRv1vrWs4HWWgCAu&#10;rW65VnA+7V5SED4ga+wsk4If8rDOJ08rzLQd+INux1CLGMI+QwVNCC6T0pcNGfQz64gjV9neYIiw&#10;r6XucYjhppPzJFlKgy3HhgYdbRoqv49Xo+Bzy67YDbKs7ht3+CrSbn89X5R6no7vbyACjeEh/ncX&#10;Os5PF+kS/t6JN8j8FwAA//8DAFBLAQItABQABgAIAAAAIQDb4fbL7gAAAIUBAAATAAAAAAAAAAAA&#10;AAAAAAAAAABbQ29udGVudF9UeXBlc10ueG1sUEsBAi0AFAAGAAgAAAAhAFr0LFu/AAAAFQEAAAsA&#10;AAAAAAAAAAAAAAAAHwEAAF9yZWxzLy5yZWxzUEsBAi0AFAAGAAgAAAAhAMLb7iLEAAAA3gAAAA8A&#10;AAAAAAAAAAAAAAAABwIAAGRycy9kb3ducmV2LnhtbFBLBQYAAAAAAwADALcAAAD4AgAAAAA=&#10;" filled="f" stroked="f">
                  <v:textbox inset="0,0,0,0">
                    <w:txbxContent>
                      <w:p w14:paraId="094892CB" w14:textId="77777777" w:rsidR="00B32EF2" w:rsidRDefault="00000000">
                        <w:r>
                          <w:rPr>
                            <w:rFonts w:ascii="Arial" w:eastAsia="Arial" w:hAnsi="Arial" w:cs="Arial"/>
                            <w:i/>
                            <w:sz w:val="18"/>
                          </w:rPr>
                          <w:t>una copia dell’atto su supporto cartaceo, da lui dichiarata conforme all’ori</w:t>
                        </w:r>
                      </w:p>
                    </w:txbxContent>
                  </v:textbox>
                </v:rect>
                <v:rect id="Rectangle 18587" o:spid="_x0000_s3977" style="position:absolute;left:911;top:1471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0u5xAAAAN4AAAAPAAAAZHJzL2Rvd25yZXYueG1sRE9Na8JA&#10;EL0X/A/LCN7qpgVtSF2lWMQcvGgt9DhkxySanV2yq4n+elcoeJvH+5zZojeNuFDra8sK3sYJCOLC&#10;6ppLBfuf1WsKwgdkjY1lUnAlD4v54GWGmbYdb+myC6WIIewzVFCF4DIpfVGRQT+2jjhyB9saDBG2&#10;pdQtdjHcNPI9SabSYM2xoUJHy4qK0+5sFPx9s8tXnSwOt6XbHPO0WZ/3v0qNhv3XJ4hAfXiK/925&#10;jvPTSfoBj3fiDXJ+BwAA//8DAFBLAQItABQABgAIAAAAIQDb4fbL7gAAAIUBAAATAAAAAAAAAAAA&#10;AAAAAAAAAABbQ29udGVudF9UeXBlc10ueG1sUEsBAi0AFAAGAAgAAAAhAFr0LFu/AAAAFQEAAAsA&#10;AAAAAAAAAAAAAAAAHwEAAF9yZWxzLy5yZWxzUEsBAi0AFAAGAAgAAAAhAK2XS7nEAAAA3gAAAA8A&#10;AAAAAAAAAAAAAAAABwIAAGRycy9kb3ducmV2LnhtbFBLBQYAAAAAAwADALcAAAD4AgAAAAA=&#10;" filled="f" stroked="f">
                  <v:textbox inset="0,0,0,0">
                    <w:txbxContent>
                      <w:p w14:paraId="2A4116D9" w14:textId="77777777" w:rsidR="00B32EF2" w:rsidRDefault="00000000">
                        <w:r>
                          <w:rPr>
                            <w:rFonts w:ascii="Arial" w:eastAsia="Arial" w:hAnsi="Arial" w:cs="Arial"/>
                            <w:i/>
                            <w:sz w:val="18"/>
                          </w:rPr>
                          <w:t>-</w:t>
                        </w:r>
                      </w:p>
                    </w:txbxContent>
                  </v:textbox>
                </v:rect>
                <v:rect id="Rectangle 18588" o:spid="_x0000_s3978" style="position:absolute;left:-11964;top:13486;width:511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LxwAAAN4AAAAPAAAAZHJzL2Rvd25yZXYueG1sRI9Ba8JA&#10;EIXvhf6HZQre6qYFS4iuUixiDr3UKngcsmMSzc4u2dXE/vrOodDbDO/Ne98sVqPr1I362Ho28DLN&#10;QBFX3rZcG9h/b55zUDEhW+w8k4E7RVgtHx8WWFg/8BfddqlWEsKxQANNSqHQOlYNOYxTH4hFO/ne&#10;YZK1r7XtcZBw1+nXLHvTDluWhgYDrRuqLrurM3D84FBuBl2dftbh81zm3fa6PxgzeRrf56ASjenf&#10;/HddWsHPZ7nwyjsyg17+AgAA//8DAFBLAQItABQABgAIAAAAIQDb4fbL7gAAAIUBAAATAAAAAAAA&#10;AAAAAAAAAAAAAABbQ29udGVudF9UeXBlc10ueG1sUEsBAi0AFAAGAAgAAAAhAFr0LFu/AAAAFQEA&#10;AAsAAAAAAAAAAAAAAAAAHwEAAF9yZWxzLy5yZWxzUEsBAi0AFAAGAAgAAAAhANwI38vHAAAA3gAA&#10;AA8AAAAAAAAAAAAAAAAABwIAAGRycy9kb3ducmV2LnhtbFBLBQYAAAAAAwADALcAAAD7AgAAAAA=&#10;" filled="f" stroked="f">
                  <v:textbox inset="0,0,0,0">
                    <w:txbxContent>
                      <w:p w14:paraId="59E5900E" w14:textId="77777777" w:rsidR="00B32EF2" w:rsidRDefault="00000000">
                        <w:r>
                          <w:rPr>
                            <w:rFonts w:ascii="Arial" w:eastAsia="Arial" w:hAnsi="Arial" w:cs="Arial"/>
                            <w:i/>
                            <w:sz w:val="18"/>
                          </w:rPr>
                          <w:t xml:space="preserve">ginale, e conserva il documento informatico per i due anni successivi. Se </w:t>
                        </w:r>
                      </w:p>
                    </w:txbxContent>
                  </v:textbox>
                </v:rect>
                <v:rect id="Rectangle 18589" o:spid="_x0000_s3979" style="position:absolute;left:-10973;top:12253;width:5004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HpQxAAAAN4AAAAPAAAAZHJzL2Rvd25yZXYueG1sRE9La8JA&#10;EL4X/A/LCL3VjUJLjK4iijQHL/UBHofsmESzs0t2Nam/vlso9DYf33Pmy9404kGtry0rGI8SEMSF&#10;1TWXCo6H7VsKwgdkjY1lUvBNHpaLwcscM207/qLHPpQihrDPUEEVgsuk9EVFBv3IOuLIXWxrMETY&#10;llK32MVw08hJknxIgzXHhgodrSsqbvu7UXDesMu3nSwuz7XbXfO0+bwfT0q9DvvVDESgPvyL/9y5&#10;jvPT93QKv+/EG+TiBwAA//8DAFBLAQItABQABgAIAAAAIQDb4fbL7gAAAIUBAAATAAAAAAAAAAAA&#10;AAAAAAAAAABbQ29udGVudF9UeXBlc10ueG1sUEsBAi0AFAAGAAgAAAAhAFr0LFu/AAAAFQEAAAsA&#10;AAAAAAAAAAAAAAAAHwEAAF9yZWxzLy5yZWxzUEsBAi0AFAAGAAgAAAAhALNEelDEAAAA3gAAAA8A&#10;AAAAAAAAAAAAAAAABwIAAGRycy9kb3ducmV2LnhtbFBLBQYAAAAAAwADALcAAAD4AgAAAAA=&#10;" filled="f" stroked="f">
                  <v:textbox inset="0,0,0,0">
                    <w:txbxContent>
                      <w:p w14:paraId="275A984F" w14:textId="77777777" w:rsidR="00B32EF2" w:rsidRDefault="00000000">
                        <w:r>
                          <w:rPr>
                            <w:rFonts w:ascii="Arial" w:eastAsia="Arial" w:hAnsi="Arial" w:cs="Arial"/>
                            <w:i/>
                            <w:sz w:val="18"/>
                          </w:rPr>
                          <w:t>richiesto, l’ufficiale giudiziario invia l’atto notificato anche attraverso stru</w:t>
                        </w:r>
                      </w:p>
                    </w:txbxContent>
                  </v:textbox>
                </v:rect>
                <v:rect id="Rectangle 18590" o:spid="_x0000_s3980" style="position:absolute;left:911;top:12253;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0UQyAAAAN4AAAAPAAAAZHJzL2Rvd25yZXYueG1sRI9Pa8Mw&#10;DMXvg30Ho8Fuq7PBRprVLaOjLIdd+mewo4jVJFssm9ht0n766lDoTUJP773fbDG6Th2pj61nA8+T&#10;DBRx5W3LtYHddvWUg4oJ2WLnmQycKMJifn83w8L6gdd03KRaiQnHAg00KYVC61g15DBOfCCW2973&#10;DpOsfa1tj4OYu06/ZNmbdtiyJDQYaNlQ9b85OAO/nxzK1aCr/XkZvv/KvPs67H6MeXwYP95BJRrT&#10;TXz9Lq3Uz1+nAiA4MoOeXwAAAP//AwBQSwECLQAUAAYACAAAACEA2+H2y+4AAACFAQAAEwAAAAAA&#10;AAAAAAAAAAAAAAAAW0NvbnRlbnRfVHlwZXNdLnhtbFBLAQItABQABgAIAAAAIQBa9CxbvwAAABUB&#10;AAALAAAAAAAAAAAAAAAAAB8BAABfcmVscy8ucmVsc1BLAQItABQABgAIAAAAIQCnp0UQyAAAAN4A&#10;AAAPAAAAAAAAAAAAAAAAAAcCAABkcnMvZG93bnJldi54bWxQSwUGAAAAAAMAAwC3AAAA/AIAAAAA&#10;" filled="f" stroked="f">
                  <v:textbox inset="0,0,0,0">
                    <w:txbxContent>
                      <w:p w14:paraId="484604D9" w14:textId="77777777" w:rsidR="00B32EF2" w:rsidRDefault="00000000">
                        <w:r>
                          <w:rPr>
                            <w:rFonts w:ascii="Arial" w:eastAsia="Arial" w:hAnsi="Arial" w:cs="Arial"/>
                            <w:i/>
                            <w:sz w:val="18"/>
                          </w:rPr>
                          <w:t>-</w:t>
                        </w:r>
                      </w:p>
                    </w:txbxContent>
                  </v:textbox>
                </v:rect>
                <v:rect id="Rectangle 18591" o:spid="_x0000_s3981" style="position:absolute;left:-11955;top:11019;width:510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CLxAAAAN4AAAAPAAAAZHJzL2Rvd25yZXYueG1sRE9Na8JA&#10;EL0X/A/LCN7qRqElja4iijQHL7UKHofsmESzs0t2NdFf3y0UepvH+5z5sjeNuFPra8sKJuMEBHFh&#10;dc2lgsP39jUF4QOyxsYyKXiQh+Vi8DLHTNuOv+i+D6WIIewzVFCF4DIpfVGRQT+2jjhyZ9saDBG2&#10;pdQtdjHcNHKaJO/SYM2xoUJH64qK6/5mFJw27PJtJ4vzc+12lzxtPm+Ho1KjYb+agQjUh3/xnzvX&#10;cX769jGB33fiDXLxAwAA//8DAFBLAQItABQABgAIAAAAIQDb4fbL7gAAAIUBAAATAAAAAAAAAAAA&#10;AAAAAAAAAABbQ29udGVudF9UeXBlc10ueG1sUEsBAi0AFAAGAAgAAAAhAFr0LFu/AAAAFQEAAAsA&#10;AAAAAAAAAAAAAAAAHwEAAF9yZWxzLy5yZWxzUEsBAi0AFAAGAAgAAAAhAMjr4IvEAAAA3gAAAA8A&#10;AAAAAAAAAAAAAAAABwIAAGRycy9kb3ducmV2LnhtbFBLBQYAAAAAAwADALcAAAD4AgAAAAA=&#10;" filled="f" stroked="f">
                  <v:textbox inset="0,0,0,0">
                    <w:txbxContent>
                      <w:p w14:paraId="20BCB698" w14:textId="77777777" w:rsidR="00B32EF2" w:rsidRDefault="00000000">
                        <w:r>
                          <w:rPr>
                            <w:rFonts w:ascii="Arial" w:eastAsia="Arial" w:hAnsi="Arial" w:cs="Arial"/>
                            <w:i/>
                            <w:sz w:val="18"/>
                          </w:rPr>
                          <w:t xml:space="preserve">menti telematici all’indirizzo di posta elettronica dichiarato dal destinatario </w:t>
                        </w:r>
                      </w:p>
                    </w:txbxContent>
                  </v:textbox>
                </v:rect>
                <v:rect id="Rectangle 18592" o:spid="_x0000_s3982" style="position:absolute;left:-11936;top:9786;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X78xQAAAN4AAAAPAAAAZHJzL2Rvd25yZXYueG1sRE9La8JA&#10;EL4X/A/LCN7qRqElRlcRRZpDL/UBHofsmESzs0t2NbG/vlso9DYf33MWq9404kGtry0rmIwTEMSF&#10;1TWXCo6H3WsKwgdkjY1lUvAkD6vl4GWBmbYdf9FjH0oRQ9hnqKAKwWVS+qIig35sHXHkLrY1GCJs&#10;S6lb7GK4aeQ0Sd6lwZpjQ4WONhUVt/3dKDhv2eW7ThaX7437vOZp83E/npQaDfv1HESgPvyL/9y5&#10;jvPTt9kUft+JN8jlDwAAAP//AwBQSwECLQAUAAYACAAAACEA2+H2y+4AAACFAQAAEwAAAAAAAAAA&#10;AAAAAAAAAAAAW0NvbnRlbnRfVHlwZXNdLnhtbFBLAQItABQABgAIAAAAIQBa9CxbvwAAABUBAAAL&#10;AAAAAAAAAAAAAAAAAB8BAABfcmVscy8ucmVsc1BLAQItABQABgAIAAAAIQA4OX78xQAAAN4AAAAP&#10;AAAAAAAAAAAAAAAAAAcCAABkcnMvZG93bnJldi54bWxQSwUGAAAAAAMAAwC3AAAA+QIAAAAA&#10;" filled="f" stroked="f">
                  <v:textbox inset="0,0,0,0">
                    <w:txbxContent>
                      <w:p w14:paraId="0B7638ED" w14:textId="77777777" w:rsidR="00B32EF2" w:rsidRDefault="00000000">
                        <w:r>
                          <w:rPr>
                            <w:rFonts w:ascii="Arial" w:eastAsia="Arial" w:hAnsi="Arial" w:cs="Arial"/>
                            <w:i/>
                            <w:sz w:val="18"/>
                          </w:rPr>
                          <w:t xml:space="preserve">della notifica o dal suo procuratore, ovvero consegna ai medesimi, previa </w:t>
                        </w:r>
                      </w:p>
                    </w:txbxContent>
                  </v:textbox>
                </v:rect>
                <v:rect id="Rectangle 18593" o:spid="_x0000_s3983" style="position:absolute;left:-11935;top:8553;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dtnxQAAAN4AAAAPAAAAZHJzL2Rvd25yZXYueG1sRE9Na8JA&#10;EL0L/odlhN50o6Ulja4iipiDl1oLHofsmKTNzi7Z1cT+erdQ6G0e73MWq9404katry0rmE4SEMSF&#10;1TWXCk4fu3EKwgdkjY1lUnAnD6vlcLDATNuO3+l2DKWIIewzVFCF4DIpfVGRQT+xjjhyF9saDBG2&#10;pdQtdjHcNHKWJK/SYM2xoUJHm4qK7+PVKDhv2eW7ThaXn407fOVps7+ePpV6GvXrOYhAffgX/7lz&#10;HeenL2/P8PtOvEEuHwAAAP//AwBQSwECLQAUAAYACAAAACEA2+H2y+4AAACFAQAAEwAAAAAAAAAA&#10;AAAAAAAAAAAAW0NvbnRlbnRfVHlwZXNdLnhtbFBLAQItABQABgAIAAAAIQBa9CxbvwAAABUBAAAL&#10;AAAAAAAAAAAAAAAAAB8BAABfcmVscy8ucmVsc1BLAQItABQABgAIAAAAIQBXddtnxQAAAN4AAAAP&#10;AAAAAAAAAAAAAAAAAAcCAABkcnMvZG93bnJldi54bWxQSwUGAAAAAAMAAwC3AAAA+QIAAAAA&#10;" filled="f" stroked="f">
                  <v:textbox inset="0,0,0,0">
                    <w:txbxContent>
                      <w:p w14:paraId="33C41A04" w14:textId="77777777" w:rsidR="00B32EF2" w:rsidRDefault="00000000">
                        <w:r>
                          <w:rPr>
                            <w:rFonts w:ascii="Arial" w:eastAsia="Arial" w:hAnsi="Arial" w:cs="Arial"/>
                            <w:i/>
                            <w:sz w:val="18"/>
                          </w:rPr>
                          <w:t xml:space="preserve">esazione dei relativi diritti, copia dell’atto notificato, su supporto informatico </w:t>
                        </w:r>
                      </w:p>
                    </w:txbxContent>
                  </v:textbox>
                </v:rect>
                <v:rect id="Rectangle 18594" o:spid="_x0000_s3984" style="position:absolute;left:28392;top:7319;width:106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EMTxQAAAN4AAAAPAAAAZHJzL2Rvd25yZXYueG1sRE9Na8JA&#10;EL0L/odlhN50o7Qlja4iipiDl1oLHofsmKTNzi7Z1cT+erdQ6G0e73MWq9404katry0rmE4SEMSF&#10;1TWXCk4fu3EKwgdkjY1lUnAnD6vlcLDATNuO3+l2DKWIIewzVFCF4DIpfVGRQT+xjjhyF9saDBG2&#10;pdQtdjHcNHKWJK/SYM2xoUJHm4qK7+PVKDhv2eW7ThaXn407fOVps7+ePpV6GvXrOYhAffgX/7lz&#10;HeenL2/P8PtOvEEuHwAAAP//AwBQSwECLQAUAAYACAAAACEA2+H2y+4AAACFAQAAEwAAAAAAAAAA&#10;AAAAAAAAAAAAW0NvbnRlbnRfVHlwZXNdLnhtbFBLAQItABQABgAIAAAAIQBa9CxbvwAAABUBAAAL&#10;AAAAAAAAAAAAAAAAAB8BAABfcmVscy8ucmVsc1BLAQItABQABgAIAAAAIQDYnEMTxQAAAN4AAAAP&#10;AAAAAAAAAAAAAAAAAAcCAABkcnMvZG93bnJldi54bWxQSwUGAAAAAAMAAwC3AAAA+QIAAAAA&#10;" filled="f" stroked="f">
                  <v:textbox inset="0,0,0,0">
                    <w:txbxContent>
                      <w:p w14:paraId="3F42EAE9" w14:textId="77777777" w:rsidR="00B32EF2" w:rsidRDefault="00000000">
                        <w:r>
                          <w:rPr>
                            <w:rFonts w:ascii="Arial" w:eastAsia="Arial" w:hAnsi="Arial" w:cs="Arial"/>
                            <w:i/>
                            <w:sz w:val="18"/>
                          </w:rPr>
                          <w:t>non riscrivibile .</w:t>
                        </w:r>
                      </w:p>
                    </w:txbxContent>
                  </v:textbox>
                </v:rect>
                <v:rect id="Rectangle 201163" o:spid="_x0000_s3985" style="position:absolute;left:-11626;top:6086;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U6ExwAAAN8AAAAPAAAAZHJzL2Rvd25yZXYueG1sRI9Pi8Iw&#10;FMTvC36H8ARva1oXRLpGEUW2By/rH9jjo3m23W1eQhNt9dNvBMHjMDO/YebL3jTiSq2vLStIxwkI&#10;4sLqmksFx8P2fQbCB2SNjWVScCMPy8XgbY6Zth1/03UfShEh7DNUUIXgMil9UZFBP7aOOHpn2xoM&#10;Ubal1C12EW4aOUmSqTRYc1yo0NG6ouJvfzEKfjbs8m0ni/N97Xa/+az5uhxPSo2G/eoTRKA+vMLP&#10;dq4VTJI0nX7A40/8AnLxDwAA//8DAFBLAQItABQABgAIAAAAIQDb4fbL7gAAAIUBAAATAAAAAAAA&#10;AAAAAAAAAAAAAABbQ29udGVudF9UeXBlc10ueG1sUEsBAi0AFAAGAAgAAAAhAFr0LFu/AAAAFQEA&#10;AAsAAAAAAAAAAAAAAAAAHwEAAF9yZWxzLy5yZWxzUEsBAi0AFAAGAAgAAAAhAOxZToTHAAAA3wAA&#10;AA8AAAAAAAAAAAAAAAAABwIAAGRycy9kb3ducmV2LnhtbFBLBQYAAAAAAwADALcAAAD7AgAAAAA=&#10;" filled="f" stroked="f">
                  <v:textbox inset="0,0,0,0">
                    <w:txbxContent>
                      <w:p w14:paraId="3B8CACD5" w14:textId="77777777" w:rsidR="00B32EF2" w:rsidRDefault="00000000">
                        <w:r>
                          <w:rPr>
                            <w:rFonts w:ascii="Arial" w:eastAsia="Arial" w:hAnsi="Arial" w:cs="Arial"/>
                            <w:i/>
                            <w:sz w:val="18"/>
                          </w:rPr>
                          <w:t>.Se la notificazione non può essere eseguita in mani proprie del destina</w:t>
                        </w:r>
                      </w:p>
                    </w:txbxContent>
                  </v:textbox>
                </v:rect>
                <v:rect id="Rectangle 201162" o:spid="_x0000_s3986" style="position:absolute;left:26018;top:6086;width:500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esfxwAAAN8AAAAPAAAAZHJzL2Rvd25yZXYueG1sRI9Ba8JA&#10;FITvBf/D8gRvdZMcRFJXKYqYg5eqhR4f2WeSNvt2ya4m+uu7guBxmJlvmMVqMK24UucbywrSaQKC&#10;uLS64UrB6bh9n4PwAVlja5kU3MjDajl6W2Cubc9fdD2ESkQI+xwV1CG4XEpf1mTQT60jjt7ZdgZD&#10;lF0ldYd9hJtWZkkykwYbjgs1OlrXVP4dLkbBz4Zdse1leb6v3f63mLe7y+lbqcl4+PwAEWgIr/Cz&#10;XWgFWZKmswwef+IXkMt/AAAA//8DAFBLAQItABQABgAIAAAAIQDb4fbL7gAAAIUBAAATAAAAAAAA&#10;AAAAAAAAAAAAAABbQ29udGVudF9UeXBlc10ueG1sUEsBAi0AFAAGAAgAAAAhAFr0LFu/AAAAFQEA&#10;AAsAAAAAAAAAAAAAAAAAHwEAAF9yZWxzLy5yZWxzUEsBAi0AFAAGAAgAAAAhAIMV6x/HAAAA3wAA&#10;AA8AAAAAAAAAAAAAAAAABwIAAGRycy9kb3ducmV2LnhtbFBLBQYAAAAAAwADALcAAAD7AgAAAAA=&#10;" filled="f" stroked="f">
                  <v:textbox inset="0,0,0,0">
                    <w:txbxContent>
                      <w:p w14:paraId="0CC71865" w14:textId="77777777" w:rsidR="00B32EF2" w:rsidRDefault="00000000">
                        <w:r>
                          <w:rPr>
                            <w:rFonts w:ascii="Arial" w:eastAsia="Arial" w:hAnsi="Arial" w:cs="Arial"/>
                            <w:i/>
                            <w:sz w:val="18"/>
                          </w:rPr>
                          <w:t>4</w:t>
                        </w:r>
                      </w:p>
                    </w:txbxContent>
                  </v:textbox>
                </v:rect>
                <v:rect id="Rectangle 18596" o:spid="_x0000_s3987" style="position:absolute;left:911;top:608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nj/xAAAAN4AAAAPAAAAZHJzL2Rvd25yZXYueG1sRE9Na8JA&#10;EL0X/A/LCN7qxoKSRlcRRZpDL7UKHofsmESzs0t2NdFf3y0UepvH+5zFqjeNuFPra8sKJuMEBHFh&#10;dc2lgsP37jUF4QOyxsYyKXiQh9Vy8LLATNuOv+i+D6WIIewzVFCF4DIpfVGRQT+2jjhyZ9saDBG2&#10;pdQtdjHcNPItSWbSYM2xoUJHm4qK6/5mFJy27PJdJ4vzc+M+L3nafNwOR6VGw349BxGoD//iP3eu&#10;4/x0+j6D33fiDXL5AwAA//8DAFBLAQItABQABgAIAAAAIQDb4fbL7gAAAIUBAAATAAAAAAAAAAAA&#10;AAAAAAAAAABbQ29udGVudF9UeXBlc10ueG1sUEsBAi0AFAAGAAgAAAAhAFr0LFu/AAAAFQEAAAsA&#10;AAAAAAAAAAAAAAAAHwEAAF9yZWxzLy5yZWxzUEsBAi0AFAAGAAgAAAAhAEcCeP/EAAAA3gAAAA8A&#10;AAAAAAAAAAAAAAAABwIAAGRycy9kb3ducmV2LnhtbFBLBQYAAAAAAwADALcAAAD4AgAAAAA=&#10;" filled="f" stroked="f">
                  <v:textbox inset="0,0,0,0">
                    <w:txbxContent>
                      <w:p w14:paraId="032EB719" w14:textId="77777777" w:rsidR="00B32EF2" w:rsidRDefault="00000000">
                        <w:r>
                          <w:rPr>
                            <w:rFonts w:ascii="Arial" w:eastAsia="Arial" w:hAnsi="Arial" w:cs="Arial"/>
                            <w:i/>
                            <w:sz w:val="18"/>
                          </w:rPr>
                          <w:t>-</w:t>
                        </w:r>
                      </w:p>
                    </w:txbxContent>
                  </v:textbox>
                </v:rect>
                <v:rect id="Rectangle 18597" o:spid="_x0000_s3988" style="position:absolute;left:-11982;top:4853;width:511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t1kxQAAAN4AAAAPAAAAZHJzL2Rvd25yZXYueG1sRE9Na8JA&#10;EL0L/odlhN50o9A2ja4iipiDl1oLHofsmKTNzi7Z1cT+erdQ6G0e73MWq9404katry0rmE4SEMSF&#10;1TWXCk4fu3EKwgdkjY1lUnAnD6vlcLDATNuO3+l2DKWIIewzVFCF4DIpfVGRQT+xjjhyF9saDBG2&#10;pdQtdjHcNHKWJC/SYM2xoUJHm4qK7+PVKDhv2eW7ThaXn407fOVps7+ePpV6GvXrOYhAffgX/7lz&#10;Heenz2+v8PtOvEEuHwAAAP//AwBQSwECLQAUAAYACAAAACEA2+H2y+4AAACFAQAAEwAAAAAAAAAA&#10;AAAAAAAAAAAAW0NvbnRlbnRfVHlwZXNdLnhtbFBLAQItABQABgAIAAAAIQBa9CxbvwAAABUBAAAL&#10;AAAAAAAAAAAAAAAAAB8BAABfcmVscy8ucmVsc1BLAQItABQABgAIAAAAIQAoTt1kxQAAAN4AAAAP&#10;AAAAAAAAAAAAAAAAAAcCAABkcnMvZG93bnJldi54bWxQSwUGAAAAAAMAAwC3AAAA+QIAAAAA&#10;" filled="f" stroked="f">
                  <v:textbox inset="0,0,0,0">
                    <w:txbxContent>
                      <w:p w14:paraId="67BEEDE3" w14:textId="77777777" w:rsidR="00B32EF2" w:rsidRDefault="00000000">
                        <w:r>
                          <w:rPr>
                            <w:rFonts w:ascii="Arial" w:eastAsia="Arial" w:hAnsi="Arial" w:cs="Arial"/>
                            <w:i/>
                            <w:sz w:val="18"/>
                          </w:rPr>
                          <w:t xml:space="preserve">tario, tranne che nel caso previsto dal secondo comma dell’articolo 143, </w:t>
                        </w:r>
                      </w:p>
                    </w:txbxContent>
                  </v:textbox>
                </v:rect>
                <v:shape id="Shape 18598" o:spid="_x0000_s3989" style="position:absolute;left:253;top:4192;width:39600;height:25073;visibility:visible;mso-wrap-style:square;v-text-anchor:top" coordsize="3960000,250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W3exgAAAN4AAAAPAAAAZHJzL2Rvd25yZXYueG1sRI9Ba8Mw&#10;DIXvg/0Ho0Fvq7NAR5vVLaWlo7BTstGzFmtOtlgOsdek/746DHaTeE/vfVpvJ9+pCw2xDWzgaZ6B&#10;Iq6DbdkZ+Hg/Pi5BxYRssQtMBq4UYbu5v1tjYcPIJV2q5JSEcCzQQJNSX2gd64Y8xnnoiUX7CoPH&#10;JOvgtB1wlHDf6TzLnrXHlqWhwZ72DdU/1a838HnY+a48fC+mN+d8/lqV53wsjZk9TLsXUImm9G/+&#10;uz5ZwV8uVsIr78gMenMDAAD//wMAUEsBAi0AFAAGAAgAAAAhANvh9svuAAAAhQEAABMAAAAAAAAA&#10;AAAAAAAAAAAAAFtDb250ZW50X1R5cGVzXS54bWxQSwECLQAUAAYACAAAACEAWvQsW78AAAAVAQAA&#10;CwAAAAAAAAAAAAAAAAAfAQAAX3JlbHMvLnJlbHNQSwECLQAUAAYACAAAACEAvI1t3sYAAADeAAAA&#10;DwAAAAAAAAAAAAAAAAAHAgAAZHJzL2Rvd25yZXYueG1sUEsFBgAAAAADAAMAtwAAAPoCAAAAAA==&#10;" path="m,2507297r3960000,l3960000,,,,,2507297xe" filled="f" strokeweight="1pt">
                  <v:stroke miterlimit="1" joinstyle="miter"/>
                  <v:path arrowok="t" textboxrect="0,0,3960000,2507297"/>
                </v:shape>
                <w10:anchorlock/>
              </v:group>
            </w:pict>
          </mc:Fallback>
        </mc:AlternateContent>
      </w:r>
    </w:p>
    <w:p w14:paraId="741C70F0" w14:textId="77777777" w:rsidR="00B32EF2" w:rsidRDefault="00000000">
      <w:pPr>
        <w:spacing w:after="0"/>
        <w:ind w:left="-356" w:right="-306"/>
      </w:pPr>
      <w:r>
        <w:rPr>
          <w:noProof/>
        </w:rPr>
        <w:lastRenderedPageBreak/>
        <mc:AlternateContent>
          <mc:Choice Requires="wpg">
            <w:drawing>
              <wp:inline distT="0" distB="0" distL="0" distR="0" wp14:anchorId="768B4EA3" wp14:editId="5954CD3B">
                <wp:extent cx="3991791" cy="6256511"/>
                <wp:effectExtent l="0" t="0" r="0" b="0"/>
                <wp:docPr id="201217" name="Group 201217"/>
                <wp:cNvGraphicFramePr/>
                <a:graphic xmlns:a="http://schemas.openxmlformats.org/drawingml/2006/main">
                  <a:graphicData uri="http://schemas.microsoft.com/office/word/2010/wordprocessingGroup">
                    <wpg:wgp>
                      <wpg:cNvGrpSpPr/>
                      <wpg:grpSpPr>
                        <a:xfrm>
                          <a:off x="0" y="0"/>
                          <a:ext cx="3991791" cy="6256511"/>
                          <a:chOff x="0" y="0"/>
                          <a:chExt cx="3991791" cy="6256511"/>
                        </a:xfrm>
                      </wpg:grpSpPr>
                      <wps:wsp>
                        <wps:cNvPr id="18624" name="Rectangle 18624"/>
                        <wps:cNvSpPr/>
                        <wps:spPr>
                          <a:xfrm rot="-10799999">
                            <a:off x="1900426" y="-62190"/>
                            <a:ext cx="178369" cy="250646"/>
                          </a:xfrm>
                          <a:prstGeom prst="rect">
                            <a:avLst/>
                          </a:prstGeom>
                          <a:ln>
                            <a:noFill/>
                          </a:ln>
                        </wps:spPr>
                        <wps:txbx>
                          <w:txbxContent>
                            <w:p w14:paraId="30D11085" w14:textId="77777777" w:rsidR="00B32EF2" w:rsidRDefault="00000000">
                              <w:r>
                                <w:rPr>
                                  <w:rFonts w:ascii="Times New Roman" w:eastAsia="Times New Roman" w:hAnsi="Times New Roman" w:cs="Times New Roman"/>
                                </w:rPr>
                                <w:t>61</w:t>
                              </w:r>
                            </w:p>
                          </w:txbxContent>
                        </wps:txbx>
                        <wps:bodyPr horzOverflow="overflow" vert="horz" lIns="0" tIns="0" rIns="0" bIns="0" rtlCol="0">
                          <a:noAutofit/>
                        </wps:bodyPr>
                      </wps:wsp>
                      <wps:wsp>
                        <wps:cNvPr id="18625" name="Rectangle 18625"/>
                        <wps:cNvSpPr/>
                        <wps:spPr>
                          <a:xfrm rot="-10799999">
                            <a:off x="1506629" y="2912898"/>
                            <a:ext cx="809410" cy="142889"/>
                          </a:xfrm>
                          <a:prstGeom prst="rect">
                            <a:avLst/>
                          </a:prstGeom>
                          <a:ln>
                            <a:noFill/>
                          </a:ln>
                        </wps:spPr>
                        <wps:txbx>
                          <w:txbxContent>
                            <w:p w14:paraId="70D4C5DF" w14:textId="77777777" w:rsidR="00B32EF2" w:rsidRDefault="00000000">
                              <w:r>
                                <w:rPr>
                                  <w:rFonts w:ascii="Arial" w:eastAsia="Arial" w:hAnsi="Arial" w:cs="Arial"/>
                                  <w:b/>
                                  <w:sz w:val="18"/>
                                </w:rPr>
                                <w:t>Articolo 66</w:t>
                              </w:r>
                            </w:p>
                          </w:txbxContent>
                        </wps:txbx>
                        <wps:bodyPr horzOverflow="overflow" vert="horz" lIns="0" tIns="0" rIns="0" bIns="0" rtlCol="0">
                          <a:noAutofit/>
                        </wps:bodyPr>
                      </wps:wsp>
                      <wps:wsp>
                        <wps:cNvPr id="201097" name="Rectangle 201097"/>
                        <wps:cNvSpPr/>
                        <wps:spPr>
                          <a:xfrm rot="-10799999">
                            <a:off x="-263859" y="2789568"/>
                            <a:ext cx="1943396" cy="142889"/>
                          </a:xfrm>
                          <a:prstGeom prst="rect">
                            <a:avLst/>
                          </a:prstGeom>
                          <a:ln>
                            <a:noFill/>
                          </a:ln>
                        </wps:spPr>
                        <wps:txbx>
                          <w:txbxContent>
                            <w:p w14:paraId="06A4181C"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098" name="Rectangle 201098"/>
                        <wps:cNvSpPr/>
                        <wps:spPr>
                          <a:xfrm rot="-10799999">
                            <a:off x="1162181" y="2789569"/>
                            <a:ext cx="1943396" cy="142889"/>
                          </a:xfrm>
                          <a:prstGeom prst="rect">
                            <a:avLst/>
                          </a:prstGeom>
                          <a:ln>
                            <a:noFill/>
                          </a:ln>
                        </wps:spPr>
                        <wps:txbx>
                          <w:txbxContent>
                            <w:p w14:paraId="37C4503E" w14:textId="77777777" w:rsidR="00B32EF2" w:rsidRDefault="00000000">
                              <w:r>
                                <w:rPr>
                                  <w:rFonts w:ascii="Arial" w:eastAsia="Arial" w:hAnsi="Arial" w:cs="Arial"/>
                                  <w:i/>
                                  <w:sz w:val="18"/>
                                </w:rPr>
                                <w:t xml:space="preserve">articolo 20 D.lgs. n. </w:t>
                              </w:r>
                            </w:p>
                          </w:txbxContent>
                        </wps:txbx>
                        <wps:bodyPr horzOverflow="overflow" vert="horz" lIns="0" tIns="0" rIns="0" bIns="0" rtlCol="0">
                          <a:noAutofit/>
                        </wps:bodyPr>
                      </wps:wsp>
                      <wps:wsp>
                        <wps:cNvPr id="201094" name="Rectangle 201094"/>
                        <wps:cNvSpPr/>
                        <wps:spPr>
                          <a:xfrm rot="-10799999">
                            <a:off x="2222120" y="2789569"/>
                            <a:ext cx="1943396" cy="142889"/>
                          </a:xfrm>
                          <a:prstGeom prst="rect">
                            <a:avLst/>
                          </a:prstGeom>
                          <a:ln>
                            <a:noFill/>
                          </a:ln>
                        </wps:spPr>
                        <wps:txbx>
                          <w:txbxContent>
                            <w:p w14:paraId="241B00A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627" name="Rectangle 18627"/>
                        <wps:cNvSpPr/>
                        <wps:spPr>
                          <a:xfrm rot="-10799999">
                            <a:off x="838771" y="2666238"/>
                            <a:ext cx="1854115" cy="142889"/>
                          </a:xfrm>
                          <a:prstGeom prst="rect">
                            <a:avLst/>
                          </a:prstGeom>
                          <a:ln>
                            <a:noFill/>
                          </a:ln>
                        </wps:spPr>
                        <wps:txbx>
                          <w:txbxContent>
                            <w:p w14:paraId="7C288C6B" w14:textId="77777777" w:rsidR="00B32EF2" w:rsidRDefault="00000000">
                              <w:r>
                                <w:rPr>
                                  <w:rFonts w:ascii="Arial" w:eastAsia="Arial" w:hAnsi="Arial" w:cs="Arial"/>
                                  <w:b/>
                                  <w:sz w:val="18"/>
                                </w:rPr>
                                <w:t xml:space="preserve">Proposizione del ricorso </w:t>
                              </w:r>
                            </w:p>
                          </w:txbxContent>
                        </wps:txbx>
                        <wps:bodyPr horzOverflow="overflow" vert="horz" lIns="0" tIns="0" rIns="0" bIns="0" rtlCol="0">
                          <a:noAutofit/>
                        </wps:bodyPr>
                      </wps:wsp>
                      <wps:wsp>
                        <wps:cNvPr id="201085" name="Rectangle 201085"/>
                        <wps:cNvSpPr/>
                        <wps:spPr>
                          <a:xfrm rot="-10799999">
                            <a:off x="2659659" y="2542909"/>
                            <a:ext cx="5112763" cy="142889"/>
                          </a:xfrm>
                          <a:prstGeom prst="rect">
                            <a:avLst/>
                          </a:prstGeom>
                          <a:ln>
                            <a:noFill/>
                          </a:ln>
                        </wps:spPr>
                        <wps:txbx>
                          <w:txbxContent>
                            <w:p w14:paraId="20F354CC"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089" name="Rectangle 201089"/>
                        <wps:cNvSpPr/>
                        <wps:spPr>
                          <a:xfrm rot="-10799999">
                            <a:off x="-4868859" y="2542908"/>
                            <a:ext cx="5112764" cy="142889"/>
                          </a:xfrm>
                          <a:prstGeom prst="rect">
                            <a:avLst/>
                          </a:prstGeom>
                          <a:ln>
                            <a:noFill/>
                          </a:ln>
                        </wps:spPr>
                        <wps:txbx>
                          <w:txbxContent>
                            <w:p w14:paraId="15CB756F"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1091" name="Rectangle 201091"/>
                        <wps:cNvSpPr/>
                        <wps:spPr>
                          <a:xfrm rot="-10799999">
                            <a:off x="-1083859" y="2542908"/>
                            <a:ext cx="5112764" cy="142889"/>
                          </a:xfrm>
                          <a:prstGeom prst="rect">
                            <a:avLst/>
                          </a:prstGeom>
                          <a:ln>
                            <a:noFill/>
                          </a:ln>
                        </wps:spPr>
                        <wps:txbx>
                          <w:txbxContent>
                            <w:p w14:paraId="6FA204D6" w14:textId="77777777" w:rsidR="00B32EF2" w:rsidRDefault="00000000">
                              <w:r>
                                <w:rPr>
                                  <w:rFonts w:ascii="Arial" w:eastAsia="Arial" w:hAnsi="Arial" w:cs="Arial"/>
                                  <w:sz w:val="18"/>
                                </w:rPr>
                                <w:t xml:space="preserve">. Il ricorso è proposto mediante notifica a norma dell’articolo 61, comma </w:t>
                              </w:r>
                            </w:p>
                          </w:txbxContent>
                        </wps:txbx>
                        <wps:bodyPr horzOverflow="overflow" vert="horz" lIns="0" tIns="0" rIns="0" bIns="0" rtlCol="0">
                          <a:noAutofit/>
                        </wps:bodyPr>
                      </wps:wsp>
                      <wps:wsp>
                        <wps:cNvPr id="201079" name="Rectangle 201079"/>
                        <wps:cNvSpPr/>
                        <wps:spPr>
                          <a:xfrm rot="-10799999">
                            <a:off x="2635410" y="2419579"/>
                            <a:ext cx="5210497" cy="142889"/>
                          </a:xfrm>
                          <a:prstGeom prst="rect">
                            <a:avLst/>
                          </a:prstGeom>
                          <a:ln>
                            <a:noFill/>
                          </a:ln>
                        </wps:spPr>
                        <wps:txbx>
                          <w:txbxContent>
                            <w:p w14:paraId="684E1D1B"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081" name="Rectangle 201081"/>
                        <wps:cNvSpPr/>
                        <wps:spPr>
                          <a:xfrm rot="-10799999">
                            <a:off x="-1283262" y="2419579"/>
                            <a:ext cx="5210497" cy="142889"/>
                          </a:xfrm>
                          <a:prstGeom prst="rect">
                            <a:avLst/>
                          </a:prstGeom>
                          <a:ln>
                            <a:noFill/>
                          </a:ln>
                        </wps:spPr>
                        <wps:txbx>
                          <w:txbxContent>
                            <w:p w14:paraId="2B658A08" w14:textId="77777777" w:rsidR="00B32EF2" w:rsidRDefault="00000000">
                              <w:r>
                                <w:rPr>
                                  <w:rFonts w:ascii="Arial" w:eastAsia="Arial" w:hAnsi="Arial" w:cs="Arial"/>
                                  <w:sz w:val="18"/>
                                </w:rPr>
                                <w:t>. La spedizione del ricorso a mezzo posta dev’essere fatta in plico racco</w:t>
                              </w:r>
                            </w:p>
                          </w:txbxContent>
                        </wps:txbx>
                        <wps:bodyPr horzOverflow="overflow" vert="horz" lIns="0" tIns="0" rIns="0" bIns="0" rtlCol="0">
                          <a:noAutofit/>
                        </wps:bodyPr>
                      </wps:wsp>
                      <wps:wsp>
                        <wps:cNvPr id="18630" name="Rectangle 18630"/>
                        <wps:cNvSpPr/>
                        <wps:spPr>
                          <a:xfrm rot="-10799999">
                            <a:off x="19192" y="2419579"/>
                            <a:ext cx="50622" cy="142889"/>
                          </a:xfrm>
                          <a:prstGeom prst="rect">
                            <a:avLst/>
                          </a:prstGeom>
                          <a:ln>
                            <a:noFill/>
                          </a:ln>
                        </wps:spPr>
                        <wps:txbx>
                          <w:txbxContent>
                            <w:p w14:paraId="01F825F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631" name="Rectangle 18631"/>
                        <wps:cNvSpPr/>
                        <wps:spPr>
                          <a:xfrm rot="-10799999">
                            <a:off x="-1317183" y="2296249"/>
                            <a:ext cx="5308975" cy="142889"/>
                          </a:xfrm>
                          <a:prstGeom prst="rect">
                            <a:avLst/>
                          </a:prstGeom>
                          <a:ln>
                            <a:noFill/>
                          </a:ln>
                        </wps:spPr>
                        <wps:txbx>
                          <w:txbxContent>
                            <w:p w14:paraId="41055CBE" w14:textId="77777777" w:rsidR="00B32EF2" w:rsidRDefault="00000000">
                              <w:r>
                                <w:rPr>
                                  <w:rFonts w:ascii="Arial" w:eastAsia="Arial" w:hAnsi="Arial" w:cs="Arial"/>
                                  <w:sz w:val="18"/>
                                </w:rPr>
                                <w:t xml:space="preserve">mandato senza busta con avviso di ricevimento. In tal caso il ricorso s’intende </w:t>
                              </w:r>
                            </w:p>
                          </w:txbxContent>
                        </wps:txbx>
                        <wps:bodyPr horzOverflow="overflow" vert="horz" lIns="0" tIns="0" rIns="0" bIns="0" rtlCol="0">
                          <a:noAutofit/>
                        </wps:bodyPr>
                      </wps:wsp>
                      <wps:wsp>
                        <wps:cNvPr id="18632" name="Rectangle 18632"/>
                        <wps:cNvSpPr/>
                        <wps:spPr>
                          <a:xfrm rot="-10799999">
                            <a:off x="-442998" y="2172919"/>
                            <a:ext cx="4434790" cy="142889"/>
                          </a:xfrm>
                          <a:prstGeom prst="rect">
                            <a:avLst/>
                          </a:prstGeom>
                          <a:ln>
                            <a:noFill/>
                          </a:ln>
                        </wps:spPr>
                        <wps:txbx>
                          <w:txbxContent>
                            <w:p w14:paraId="41DCD1B1" w14:textId="77777777" w:rsidR="00B32EF2" w:rsidRDefault="00000000">
                              <w:r>
                                <w:rPr>
                                  <w:rFonts w:ascii="Arial" w:eastAsia="Arial" w:hAnsi="Arial" w:cs="Arial"/>
                                  <w:sz w:val="18"/>
                                </w:rPr>
                                <w:t>proposto al momento della spedizione nelle forme sopra indicate.</w:t>
                              </w:r>
                            </w:p>
                          </w:txbxContent>
                        </wps:txbx>
                        <wps:bodyPr horzOverflow="overflow" vert="horz" lIns="0" tIns="0" rIns="0" bIns="0" rtlCol="0">
                          <a:noAutofit/>
                        </wps:bodyPr>
                      </wps:wsp>
                      <wps:wsp>
                        <wps:cNvPr id="18633" name="Rectangle 18633"/>
                        <wps:cNvSpPr/>
                        <wps:spPr>
                          <a:xfrm rot="-10799999">
                            <a:off x="1507889" y="1926260"/>
                            <a:ext cx="807464" cy="142889"/>
                          </a:xfrm>
                          <a:prstGeom prst="rect">
                            <a:avLst/>
                          </a:prstGeom>
                          <a:ln>
                            <a:noFill/>
                          </a:ln>
                        </wps:spPr>
                        <wps:txbx>
                          <w:txbxContent>
                            <w:p w14:paraId="7919F49B" w14:textId="77777777" w:rsidR="00B32EF2" w:rsidRDefault="00000000">
                              <w:r>
                                <w:rPr>
                                  <w:rFonts w:ascii="Arial" w:eastAsia="Arial" w:hAnsi="Arial" w:cs="Arial"/>
                                  <w:b/>
                                  <w:sz w:val="18"/>
                                </w:rPr>
                                <w:t>Articolo 67</w:t>
                              </w:r>
                            </w:p>
                          </w:txbxContent>
                        </wps:txbx>
                        <wps:bodyPr horzOverflow="overflow" vert="horz" lIns="0" tIns="0" rIns="0" bIns="0" rtlCol="0">
                          <a:noAutofit/>
                        </wps:bodyPr>
                      </wps:wsp>
                      <wps:wsp>
                        <wps:cNvPr id="201076" name="Rectangle 201076"/>
                        <wps:cNvSpPr/>
                        <wps:spPr>
                          <a:xfrm rot="-10799999">
                            <a:off x="-258447" y="1802930"/>
                            <a:ext cx="1939458" cy="142889"/>
                          </a:xfrm>
                          <a:prstGeom prst="rect">
                            <a:avLst/>
                          </a:prstGeom>
                          <a:ln>
                            <a:noFill/>
                          </a:ln>
                        </wps:spPr>
                        <wps:txbx>
                          <w:txbxContent>
                            <w:p w14:paraId="20229384"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077" name="Rectangle 201077"/>
                        <wps:cNvSpPr/>
                        <wps:spPr>
                          <a:xfrm rot="-10799999">
                            <a:off x="1164632" y="1802930"/>
                            <a:ext cx="1939458" cy="142889"/>
                          </a:xfrm>
                          <a:prstGeom prst="rect">
                            <a:avLst/>
                          </a:prstGeom>
                          <a:ln>
                            <a:noFill/>
                          </a:ln>
                        </wps:spPr>
                        <wps:txbx>
                          <w:txbxContent>
                            <w:p w14:paraId="3B6D32DE" w14:textId="77777777" w:rsidR="00B32EF2" w:rsidRDefault="00000000">
                              <w:r>
                                <w:rPr>
                                  <w:rFonts w:ascii="Arial" w:eastAsia="Arial" w:hAnsi="Arial" w:cs="Arial"/>
                                  <w:i/>
                                  <w:sz w:val="18"/>
                                </w:rPr>
                                <w:t xml:space="preserve">articolo 21 D.lgs. n. </w:t>
                              </w:r>
                            </w:p>
                          </w:txbxContent>
                        </wps:txbx>
                        <wps:bodyPr horzOverflow="overflow" vert="horz" lIns="0" tIns="0" rIns="0" bIns="0" rtlCol="0">
                          <a:noAutofit/>
                        </wps:bodyPr>
                      </wps:wsp>
                      <wps:wsp>
                        <wps:cNvPr id="201074" name="Rectangle 201074"/>
                        <wps:cNvSpPr/>
                        <wps:spPr>
                          <a:xfrm rot="-10799999">
                            <a:off x="2221611" y="1802931"/>
                            <a:ext cx="1939458" cy="142889"/>
                          </a:xfrm>
                          <a:prstGeom prst="rect">
                            <a:avLst/>
                          </a:prstGeom>
                          <a:ln>
                            <a:noFill/>
                          </a:ln>
                        </wps:spPr>
                        <wps:txbx>
                          <w:txbxContent>
                            <w:p w14:paraId="68E66A7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635" name="Rectangle 18635"/>
                        <wps:cNvSpPr/>
                        <wps:spPr>
                          <a:xfrm rot="-10799999">
                            <a:off x="162081" y="1679601"/>
                            <a:ext cx="2938512" cy="142889"/>
                          </a:xfrm>
                          <a:prstGeom prst="rect">
                            <a:avLst/>
                          </a:prstGeom>
                          <a:ln>
                            <a:noFill/>
                          </a:ln>
                        </wps:spPr>
                        <wps:txbx>
                          <w:txbxContent>
                            <w:p w14:paraId="24A1FEAC" w14:textId="77777777" w:rsidR="00B32EF2" w:rsidRDefault="00000000">
                              <w:r>
                                <w:rPr>
                                  <w:rFonts w:ascii="Arial" w:eastAsia="Arial" w:hAnsi="Arial" w:cs="Arial"/>
                                  <w:b/>
                                  <w:sz w:val="18"/>
                                </w:rPr>
                                <w:t xml:space="preserve">Termine per la proposizione del ricorso </w:t>
                              </w:r>
                            </w:p>
                          </w:txbxContent>
                        </wps:txbx>
                        <wps:bodyPr horzOverflow="overflow" vert="horz" lIns="0" tIns="0" rIns="0" bIns="0" rtlCol="0">
                          <a:noAutofit/>
                        </wps:bodyPr>
                      </wps:wsp>
                      <wps:wsp>
                        <wps:cNvPr id="201070" name="Rectangle 201070"/>
                        <wps:cNvSpPr/>
                        <wps:spPr>
                          <a:xfrm rot="-10799999">
                            <a:off x="2610967" y="1556271"/>
                            <a:ext cx="5309006" cy="142889"/>
                          </a:xfrm>
                          <a:prstGeom prst="rect">
                            <a:avLst/>
                          </a:prstGeom>
                          <a:ln>
                            <a:noFill/>
                          </a:ln>
                        </wps:spPr>
                        <wps:txbx>
                          <w:txbxContent>
                            <w:p w14:paraId="0C734B0F"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072" name="Rectangle 201072"/>
                        <wps:cNvSpPr/>
                        <wps:spPr>
                          <a:xfrm rot="-10799999">
                            <a:off x="-1376399" y="1556271"/>
                            <a:ext cx="5309006" cy="142889"/>
                          </a:xfrm>
                          <a:prstGeom prst="rect">
                            <a:avLst/>
                          </a:prstGeom>
                          <a:ln>
                            <a:noFill/>
                          </a:ln>
                        </wps:spPr>
                        <wps:txbx>
                          <w:txbxContent>
                            <w:p w14:paraId="0283165C" w14:textId="77777777" w:rsidR="00B32EF2" w:rsidRDefault="00000000">
                              <w:r>
                                <w:rPr>
                                  <w:rFonts w:ascii="Arial" w:eastAsia="Arial" w:hAnsi="Arial" w:cs="Arial"/>
                                  <w:sz w:val="18"/>
                                </w:rPr>
                                <w:t xml:space="preserve">. Il ricorso deve essere proposto a pena di inammissibilità entro sessanta </w:t>
                              </w:r>
                            </w:p>
                          </w:txbxContent>
                        </wps:txbx>
                        <wps:bodyPr horzOverflow="overflow" vert="horz" lIns="0" tIns="0" rIns="0" bIns="0" rtlCol="0">
                          <a:noAutofit/>
                        </wps:bodyPr>
                      </wps:wsp>
                      <wps:wsp>
                        <wps:cNvPr id="18637" name="Rectangle 18637"/>
                        <wps:cNvSpPr/>
                        <wps:spPr>
                          <a:xfrm rot="-10799999">
                            <a:off x="-1228967" y="1432941"/>
                            <a:ext cx="5220759" cy="142889"/>
                          </a:xfrm>
                          <a:prstGeom prst="rect">
                            <a:avLst/>
                          </a:prstGeom>
                          <a:ln>
                            <a:noFill/>
                          </a:ln>
                        </wps:spPr>
                        <wps:txbx>
                          <w:txbxContent>
                            <w:p w14:paraId="0A8370B3" w14:textId="77777777" w:rsidR="00B32EF2" w:rsidRDefault="00000000">
                              <w:r>
                                <w:rPr>
                                  <w:rFonts w:ascii="Arial" w:eastAsia="Arial" w:hAnsi="Arial" w:cs="Arial"/>
                                  <w:sz w:val="18"/>
                                </w:rPr>
                                <w:t>giorni dalla data di notificazione dell’atto impugnato. La notificazione della car</w:t>
                              </w:r>
                            </w:p>
                          </w:txbxContent>
                        </wps:txbx>
                        <wps:bodyPr horzOverflow="overflow" vert="horz" lIns="0" tIns="0" rIns="0" bIns="0" rtlCol="0">
                          <a:noAutofit/>
                        </wps:bodyPr>
                      </wps:wsp>
                      <wps:wsp>
                        <wps:cNvPr id="18638" name="Rectangle 18638"/>
                        <wps:cNvSpPr/>
                        <wps:spPr>
                          <a:xfrm rot="-10799999">
                            <a:off x="19192" y="1432942"/>
                            <a:ext cx="50622" cy="142889"/>
                          </a:xfrm>
                          <a:prstGeom prst="rect">
                            <a:avLst/>
                          </a:prstGeom>
                          <a:ln>
                            <a:noFill/>
                          </a:ln>
                        </wps:spPr>
                        <wps:txbx>
                          <w:txbxContent>
                            <w:p w14:paraId="33AFA89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639" name="Rectangle 18639"/>
                        <wps:cNvSpPr/>
                        <wps:spPr>
                          <a:xfrm rot="-10799999">
                            <a:off x="-86104" y="1309612"/>
                            <a:ext cx="4077895" cy="142889"/>
                          </a:xfrm>
                          <a:prstGeom prst="rect">
                            <a:avLst/>
                          </a:prstGeom>
                          <a:ln>
                            <a:noFill/>
                          </a:ln>
                        </wps:spPr>
                        <wps:txbx>
                          <w:txbxContent>
                            <w:p w14:paraId="67227FA8" w14:textId="77777777" w:rsidR="00B32EF2" w:rsidRDefault="00000000">
                              <w:r>
                                <w:rPr>
                                  <w:rFonts w:ascii="Arial" w:eastAsia="Arial" w:hAnsi="Arial" w:cs="Arial"/>
                                  <w:sz w:val="18"/>
                                </w:rPr>
                                <w:t xml:space="preserve">tella di pagamento vale anche come notificazione del ruolo. </w:t>
                              </w:r>
                            </w:p>
                          </w:txbxContent>
                        </wps:txbx>
                        <wps:bodyPr horzOverflow="overflow" vert="horz" lIns="0" tIns="0" rIns="0" bIns="0" rtlCol="0">
                          <a:noAutofit/>
                        </wps:bodyPr>
                      </wps:wsp>
                      <wps:wsp>
                        <wps:cNvPr id="201068" name="Rectangle 201068"/>
                        <wps:cNvSpPr/>
                        <wps:spPr>
                          <a:xfrm rot="-10799999">
                            <a:off x="-1381846" y="1186282"/>
                            <a:ext cx="5309082" cy="142890"/>
                          </a:xfrm>
                          <a:prstGeom prst="rect">
                            <a:avLst/>
                          </a:prstGeom>
                          <a:ln>
                            <a:noFill/>
                          </a:ln>
                        </wps:spPr>
                        <wps:txbx>
                          <w:txbxContent>
                            <w:p w14:paraId="5324FA5E" w14:textId="77777777" w:rsidR="00B32EF2" w:rsidRDefault="00000000">
                              <w:r>
                                <w:rPr>
                                  <w:rFonts w:ascii="Arial" w:eastAsia="Arial" w:hAnsi="Arial" w:cs="Arial"/>
                                  <w:sz w:val="18"/>
                                </w:rPr>
                                <w:t xml:space="preserve">. Il ricorso avverso il rifiuto tacito di cui all’articolo 65, comma 1, lettere i) e l), </w:t>
                              </w:r>
                            </w:p>
                          </w:txbxContent>
                        </wps:txbx>
                        <wps:bodyPr horzOverflow="overflow" vert="horz" lIns="0" tIns="0" rIns="0" bIns="0" rtlCol="0">
                          <a:noAutofit/>
                        </wps:bodyPr>
                      </wps:wsp>
                      <wps:wsp>
                        <wps:cNvPr id="201067" name="Rectangle 201067"/>
                        <wps:cNvSpPr/>
                        <wps:spPr>
                          <a:xfrm rot="-10799999">
                            <a:off x="2610949" y="1186282"/>
                            <a:ext cx="5309082" cy="142890"/>
                          </a:xfrm>
                          <a:prstGeom prst="rect">
                            <a:avLst/>
                          </a:prstGeom>
                          <a:ln>
                            <a:noFill/>
                          </a:ln>
                        </wps:spPr>
                        <wps:txbx>
                          <w:txbxContent>
                            <w:p w14:paraId="0FF8829A"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8641" name="Rectangle 18641"/>
                        <wps:cNvSpPr/>
                        <wps:spPr>
                          <a:xfrm rot="-10799999">
                            <a:off x="-1317184" y="1062952"/>
                            <a:ext cx="5308975" cy="142889"/>
                          </a:xfrm>
                          <a:prstGeom prst="rect">
                            <a:avLst/>
                          </a:prstGeom>
                          <a:ln>
                            <a:noFill/>
                          </a:ln>
                        </wps:spPr>
                        <wps:txbx>
                          <w:txbxContent>
                            <w:p w14:paraId="452BF003" w14:textId="77777777" w:rsidR="00B32EF2" w:rsidRDefault="00000000">
                              <w:r>
                                <w:rPr>
                                  <w:rFonts w:ascii="Arial" w:eastAsia="Arial" w:hAnsi="Arial" w:cs="Arial"/>
                                  <w:sz w:val="18"/>
                                </w:rPr>
                                <w:t xml:space="preserve">può essere proposto dopo il novantesimo giorno dalla domanda di restituzione </w:t>
                              </w:r>
                            </w:p>
                          </w:txbxContent>
                        </wps:txbx>
                        <wps:bodyPr horzOverflow="overflow" vert="horz" lIns="0" tIns="0" rIns="0" bIns="0" rtlCol="0">
                          <a:noAutofit/>
                        </wps:bodyPr>
                      </wps:wsp>
                      <wps:wsp>
                        <wps:cNvPr id="18642" name="Rectangle 18642"/>
                        <wps:cNvSpPr/>
                        <wps:spPr>
                          <a:xfrm rot="-10799999">
                            <a:off x="-1317168" y="939623"/>
                            <a:ext cx="5308960" cy="142889"/>
                          </a:xfrm>
                          <a:prstGeom prst="rect">
                            <a:avLst/>
                          </a:prstGeom>
                          <a:ln>
                            <a:noFill/>
                          </a:ln>
                        </wps:spPr>
                        <wps:txbx>
                          <w:txbxContent>
                            <w:p w14:paraId="3824C653" w14:textId="77777777" w:rsidR="00B32EF2" w:rsidRDefault="00000000">
                              <w:r>
                                <w:rPr>
                                  <w:rFonts w:ascii="Arial" w:eastAsia="Arial" w:hAnsi="Arial" w:cs="Arial"/>
                                  <w:sz w:val="18"/>
                                </w:rPr>
                                <w:t xml:space="preserve">o di autotutela presentata entro i termini previsti da ciascuna legge d’imposta </w:t>
                              </w:r>
                            </w:p>
                          </w:txbxContent>
                        </wps:txbx>
                        <wps:bodyPr horzOverflow="overflow" vert="horz" lIns="0" tIns="0" rIns="0" bIns="0" rtlCol="0">
                          <a:noAutofit/>
                        </wps:bodyPr>
                      </wps:wsp>
                      <wps:wsp>
                        <wps:cNvPr id="18643" name="Rectangle 18643"/>
                        <wps:cNvSpPr/>
                        <wps:spPr>
                          <a:xfrm rot="-10799999">
                            <a:off x="-1219207" y="816293"/>
                            <a:ext cx="5210999" cy="142889"/>
                          </a:xfrm>
                          <a:prstGeom prst="rect">
                            <a:avLst/>
                          </a:prstGeom>
                          <a:ln>
                            <a:noFill/>
                          </a:ln>
                        </wps:spPr>
                        <wps:txbx>
                          <w:txbxContent>
                            <w:p w14:paraId="264EFF17" w14:textId="77777777" w:rsidR="00B32EF2" w:rsidRDefault="00000000">
                              <w:r>
                                <w:rPr>
                                  <w:rFonts w:ascii="Arial" w:eastAsia="Arial" w:hAnsi="Arial" w:cs="Arial"/>
                                  <w:sz w:val="18"/>
                                </w:rPr>
                                <w:t>e fino a quando il diritto alla restituzione non è prescritto. La domanda di re</w:t>
                              </w:r>
                            </w:p>
                          </w:txbxContent>
                        </wps:txbx>
                        <wps:bodyPr horzOverflow="overflow" vert="horz" lIns="0" tIns="0" rIns="0" bIns="0" rtlCol="0">
                          <a:noAutofit/>
                        </wps:bodyPr>
                      </wps:wsp>
                      <wps:wsp>
                        <wps:cNvPr id="18644" name="Rectangle 18644"/>
                        <wps:cNvSpPr/>
                        <wps:spPr>
                          <a:xfrm rot="-10799999">
                            <a:off x="19192" y="816293"/>
                            <a:ext cx="50622" cy="142889"/>
                          </a:xfrm>
                          <a:prstGeom prst="rect">
                            <a:avLst/>
                          </a:prstGeom>
                          <a:ln>
                            <a:noFill/>
                          </a:ln>
                        </wps:spPr>
                        <wps:txbx>
                          <w:txbxContent>
                            <w:p w14:paraId="7ED6CDC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645" name="Rectangle 18645"/>
                        <wps:cNvSpPr/>
                        <wps:spPr>
                          <a:xfrm rot="-10799999">
                            <a:off x="-1317244" y="692963"/>
                            <a:ext cx="5309035" cy="142889"/>
                          </a:xfrm>
                          <a:prstGeom prst="rect">
                            <a:avLst/>
                          </a:prstGeom>
                          <a:ln>
                            <a:noFill/>
                          </a:ln>
                        </wps:spPr>
                        <wps:txbx>
                          <w:txbxContent>
                            <w:p w14:paraId="665AF455" w14:textId="77777777" w:rsidR="00B32EF2" w:rsidRDefault="00000000">
                              <w:r>
                                <w:rPr>
                                  <w:rFonts w:ascii="Arial" w:eastAsia="Arial" w:hAnsi="Arial" w:cs="Arial"/>
                                  <w:sz w:val="18"/>
                                </w:rPr>
                                <w:t xml:space="preserve">stituzione, in mancanza di disposizioni specifiche, non può essere presentata </w:t>
                              </w:r>
                            </w:p>
                          </w:txbxContent>
                        </wps:txbx>
                        <wps:bodyPr horzOverflow="overflow" vert="horz" lIns="0" tIns="0" rIns="0" bIns="0" rtlCol="0">
                          <a:noAutofit/>
                        </wps:bodyPr>
                      </wps:wsp>
                      <wps:wsp>
                        <wps:cNvPr id="18646" name="Rectangle 18646"/>
                        <wps:cNvSpPr/>
                        <wps:spPr>
                          <a:xfrm rot="-10799999">
                            <a:off x="-1220560" y="569633"/>
                            <a:ext cx="5212352" cy="142889"/>
                          </a:xfrm>
                          <a:prstGeom prst="rect">
                            <a:avLst/>
                          </a:prstGeom>
                          <a:ln>
                            <a:noFill/>
                          </a:ln>
                        </wps:spPr>
                        <wps:txbx>
                          <w:txbxContent>
                            <w:p w14:paraId="50F1C33F" w14:textId="77777777" w:rsidR="00B32EF2" w:rsidRDefault="00000000">
                              <w:r>
                                <w:rPr>
                                  <w:rFonts w:ascii="Arial" w:eastAsia="Arial" w:hAnsi="Arial" w:cs="Arial"/>
                                  <w:sz w:val="18"/>
                                </w:rPr>
                                <w:t>dopo due anni dal pagamento ovvero, se posteriore, dal giorno in cui si è veri</w:t>
                              </w:r>
                            </w:p>
                          </w:txbxContent>
                        </wps:txbx>
                        <wps:bodyPr horzOverflow="overflow" vert="horz" lIns="0" tIns="0" rIns="0" bIns="0" rtlCol="0">
                          <a:noAutofit/>
                        </wps:bodyPr>
                      </wps:wsp>
                      <wps:wsp>
                        <wps:cNvPr id="18647" name="Rectangle 18647"/>
                        <wps:cNvSpPr/>
                        <wps:spPr>
                          <a:xfrm rot="-10799999">
                            <a:off x="19192" y="569633"/>
                            <a:ext cx="50622" cy="142889"/>
                          </a:xfrm>
                          <a:prstGeom prst="rect">
                            <a:avLst/>
                          </a:prstGeom>
                          <a:ln>
                            <a:noFill/>
                          </a:ln>
                        </wps:spPr>
                        <wps:txbx>
                          <w:txbxContent>
                            <w:p w14:paraId="48ECCF6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648" name="Rectangle 18648"/>
                        <wps:cNvSpPr/>
                        <wps:spPr>
                          <a:xfrm rot="-10799999">
                            <a:off x="1325803" y="446304"/>
                            <a:ext cx="2665987" cy="142889"/>
                          </a:xfrm>
                          <a:prstGeom prst="rect">
                            <a:avLst/>
                          </a:prstGeom>
                          <a:ln>
                            <a:noFill/>
                          </a:ln>
                        </wps:spPr>
                        <wps:txbx>
                          <w:txbxContent>
                            <w:p w14:paraId="34726269" w14:textId="77777777" w:rsidR="00B32EF2" w:rsidRDefault="00000000">
                              <w:r>
                                <w:rPr>
                                  <w:rFonts w:ascii="Arial" w:eastAsia="Arial" w:hAnsi="Arial" w:cs="Arial"/>
                                  <w:sz w:val="18"/>
                                </w:rPr>
                                <w:t>ficato il presupposto per la restituzione.</w:t>
                              </w:r>
                            </w:p>
                          </w:txbxContent>
                        </wps:txbx>
                        <wps:bodyPr horzOverflow="overflow" vert="horz" lIns="0" tIns="0" rIns="0" bIns="0" rtlCol="0">
                          <a:noAutofit/>
                        </wps:bodyPr>
                      </wps:wsp>
                      <wps:wsp>
                        <wps:cNvPr id="207950" name="Shape 207950"/>
                        <wps:cNvSpPr/>
                        <wps:spPr>
                          <a:xfrm>
                            <a:off x="31740" y="3227202"/>
                            <a:ext cx="3960000" cy="3029306"/>
                          </a:xfrm>
                          <a:custGeom>
                            <a:avLst/>
                            <a:gdLst/>
                            <a:ahLst/>
                            <a:cxnLst/>
                            <a:rect l="0" t="0" r="0" b="0"/>
                            <a:pathLst>
                              <a:path w="3960000" h="3029306">
                                <a:moveTo>
                                  <a:pt x="0" y="0"/>
                                </a:moveTo>
                                <a:lnTo>
                                  <a:pt x="3960000" y="0"/>
                                </a:lnTo>
                                <a:lnTo>
                                  <a:pt x="3960000" y="3029306"/>
                                </a:lnTo>
                                <a:lnTo>
                                  <a:pt x="0" y="3029306"/>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8650" name="Rectangle 18650"/>
                        <wps:cNvSpPr/>
                        <wps:spPr>
                          <a:xfrm rot="-10799999">
                            <a:off x="-1090878" y="6035263"/>
                            <a:ext cx="5004268" cy="142891"/>
                          </a:xfrm>
                          <a:prstGeom prst="rect">
                            <a:avLst/>
                          </a:prstGeom>
                          <a:ln>
                            <a:noFill/>
                          </a:ln>
                        </wps:spPr>
                        <wps:txbx>
                          <w:txbxContent>
                            <w:p w14:paraId="6DBF6C0A" w14:textId="77777777" w:rsidR="00B32EF2" w:rsidRDefault="00000000">
                              <w:r>
                                <w:rPr>
                                  <w:rFonts w:ascii="Arial" w:eastAsia="Arial" w:hAnsi="Arial" w:cs="Arial"/>
                                  <w:i/>
                                  <w:sz w:val="18"/>
                                </w:rPr>
                                <w:t>d) errore materiale del contribuente, facilmente riconoscibile dall’ammini</w:t>
                              </w:r>
                            </w:p>
                          </w:txbxContent>
                        </wps:txbx>
                        <wps:bodyPr horzOverflow="overflow" vert="horz" lIns="0" tIns="0" rIns="0" bIns="0" rtlCol="0">
                          <a:noAutofit/>
                        </wps:bodyPr>
                      </wps:wsp>
                      <wps:wsp>
                        <wps:cNvPr id="18651" name="Rectangle 18651"/>
                        <wps:cNvSpPr/>
                        <wps:spPr>
                          <a:xfrm rot="-10799999">
                            <a:off x="97496" y="6035264"/>
                            <a:ext cx="50622" cy="142889"/>
                          </a:xfrm>
                          <a:prstGeom prst="rect">
                            <a:avLst/>
                          </a:prstGeom>
                          <a:ln>
                            <a:noFill/>
                          </a:ln>
                        </wps:spPr>
                        <wps:txbx>
                          <w:txbxContent>
                            <w:p w14:paraId="26DA435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652" name="Rectangle 18652"/>
                        <wps:cNvSpPr/>
                        <wps:spPr>
                          <a:xfrm rot="-10799999">
                            <a:off x="2506516" y="5904505"/>
                            <a:ext cx="1407331" cy="142889"/>
                          </a:xfrm>
                          <a:prstGeom prst="rect">
                            <a:avLst/>
                          </a:prstGeom>
                          <a:ln>
                            <a:noFill/>
                          </a:ln>
                        </wps:spPr>
                        <wps:txbx>
                          <w:txbxContent>
                            <w:p w14:paraId="04650C39" w14:textId="77777777" w:rsidR="00B32EF2" w:rsidRDefault="00000000">
                              <w:r>
                                <w:rPr>
                                  <w:rFonts w:ascii="Arial" w:eastAsia="Arial" w:hAnsi="Arial" w:cs="Arial"/>
                                  <w:i/>
                                  <w:sz w:val="18"/>
                                </w:rPr>
                                <w:t>strazione finanziaria;</w:t>
                              </w:r>
                            </w:p>
                          </w:txbxContent>
                        </wps:txbx>
                        <wps:bodyPr horzOverflow="overflow" vert="horz" lIns="0" tIns="0" rIns="0" bIns="0" rtlCol="0">
                          <a:noAutofit/>
                        </wps:bodyPr>
                      </wps:wsp>
                      <wps:wsp>
                        <wps:cNvPr id="18653" name="Rectangle 18653"/>
                        <wps:cNvSpPr/>
                        <wps:spPr>
                          <a:xfrm rot="-10799999">
                            <a:off x="1453235" y="5773746"/>
                            <a:ext cx="2460154" cy="142889"/>
                          </a:xfrm>
                          <a:prstGeom prst="rect">
                            <a:avLst/>
                          </a:prstGeom>
                          <a:ln>
                            <a:noFill/>
                          </a:ln>
                        </wps:spPr>
                        <wps:txbx>
                          <w:txbxContent>
                            <w:p w14:paraId="183AC561" w14:textId="77777777" w:rsidR="00B32EF2" w:rsidRDefault="00000000">
                              <w:r>
                                <w:rPr>
                                  <w:rFonts w:ascii="Arial" w:eastAsia="Arial" w:hAnsi="Arial" w:cs="Arial"/>
                                  <w:i/>
                                  <w:sz w:val="18"/>
                                </w:rPr>
                                <w:t>e) errore sul presupposto d’imposta;</w:t>
                              </w:r>
                            </w:p>
                          </w:txbxContent>
                        </wps:txbx>
                        <wps:bodyPr horzOverflow="overflow" vert="horz" lIns="0" tIns="0" rIns="0" bIns="0" rtlCol="0">
                          <a:noAutofit/>
                        </wps:bodyPr>
                      </wps:wsp>
                      <wps:wsp>
                        <wps:cNvPr id="18654" name="Rectangle 18654"/>
                        <wps:cNvSpPr/>
                        <wps:spPr>
                          <a:xfrm rot="-10799999">
                            <a:off x="-1121996" y="5642986"/>
                            <a:ext cx="5035387" cy="142889"/>
                          </a:xfrm>
                          <a:prstGeom prst="rect">
                            <a:avLst/>
                          </a:prstGeom>
                          <a:ln>
                            <a:noFill/>
                          </a:ln>
                        </wps:spPr>
                        <wps:txbx>
                          <w:txbxContent>
                            <w:p w14:paraId="68112308" w14:textId="77777777" w:rsidR="00B32EF2" w:rsidRDefault="00000000">
                              <w:r>
                                <w:rPr>
                                  <w:rFonts w:ascii="Arial" w:eastAsia="Arial" w:hAnsi="Arial" w:cs="Arial"/>
                                  <w:i/>
                                  <w:sz w:val="18"/>
                                </w:rPr>
                                <w:t>f) mancata considerazione di pagamenti di imposta regolarmente eseguiti;</w:t>
                              </w:r>
                            </w:p>
                          </w:txbxContent>
                        </wps:txbx>
                        <wps:bodyPr horzOverflow="overflow" vert="horz" lIns="0" tIns="0" rIns="0" bIns="0" rtlCol="0">
                          <a:noAutofit/>
                        </wps:bodyPr>
                      </wps:wsp>
                      <wps:wsp>
                        <wps:cNvPr id="18655" name="Rectangle 18655"/>
                        <wps:cNvSpPr/>
                        <wps:spPr>
                          <a:xfrm rot="-10799999">
                            <a:off x="-1090832" y="5512228"/>
                            <a:ext cx="5004223" cy="142889"/>
                          </a:xfrm>
                          <a:prstGeom prst="rect">
                            <a:avLst/>
                          </a:prstGeom>
                          <a:ln>
                            <a:noFill/>
                          </a:ln>
                        </wps:spPr>
                        <wps:txbx>
                          <w:txbxContent>
                            <w:p w14:paraId="025979E5" w14:textId="77777777" w:rsidR="00B32EF2" w:rsidRDefault="00000000">
                              <w:r>
                                <w:rPr>
                                  <w:rFonts w:ascii="Arial" w:eastAsia="Arial" w:hAnsi="Arial" w:cs="Arial"/>
                                  <w:i/>
                                  <w:sz w:val="18"/>
                                </w:rPr>
                                <w:t>g) mancanza di documentazione successivamente sanata, non oltre i termi</w:t>
                              </w:r>
                            </w:p>
                          </w:txbxContent>
                        </wps:txbx>
                        <wps:bodyPr horzOverflow="overflow" vert="horz" lIns="0" tIns="0" rIns="0" bIns="0" rtlCol="0">
                          <a:noAutofit/>
                        </wps:bodyPr>
                      </wps:wsp>
                      <wps:wsp>
                        <wps:cNvPr id="18656" name="Rectangle 18656"/>
                        <wps:cNvSpPr/>
                        <wps:spPr>
                          <a:xfrm rot="-10799999">
                            <a:off x="97496" y="5512228"/>
                            <a:ext cx="50622" cy="142889"/>
                          </a:xfrm>
                          <a:prstGeom prst="rect">
                            <a:avLst/>
                          </a:prstGeom>
                          <a:ln>
                            <a:noFill/>
                          </a:ln>
                        </wps:spPr>
                        <wps:txbx>
                          <w:txbxContent>
                            <w:p w14:paraId="2156FE9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657" name="Rectangle 18657"/>
                        <wps:cNvSpPr/>
                        <wps:spPr>
                          <a:xfrm rot="-10799999">
                            <a:off x="1477118" y="5381468"/>
                            <a:ext cx="2436272" cy="142889"/>
                          </a:xfrm>
                          <a:prstGeom prst="rect">
                            <a:avLst/>
                          </a:prstGeom>
                          <a:ln>
                            <a:noFill/>
                          </a:ln>
                        </wps:spPr>
                        <wps:txbx>
                          <w:txbxContent>
                            <w:p w14:paraId="260286EE" w14:textId="77777777" w:rsidR="00B32EF2" w:rsidRDefault="00000000">
                              <w:r>
                                <w:rPr>
                                  <w:rFonts w:ascii="Arial" w:eastAsia="Arial" w:hAnsi="Arial" w:cs="Arial"/>
                                  <w:i/>
                                  <w:sz w:val="18"/>
                                </w:rPr>
                                <w:t>ni ove previsti a pena di decadenza.</w:t>
                              </w:r>
                            </w:p>
                          </w:txbxContent>
                        </wps:txbx>
                        <wps:bodyPr horzOverflow="overflow" vert="horz" lIns="0" tIns="0" rIns="0" bIns="0" rtlCol="0">
                          <a:noAutofit/>
                        </wps:bodyPr>
                      </wps:wsp>
                      <wps:wsp>
                        <wps:cNvPr id="201122" name="Rectangle 201122"/>
                        <wps:cNvSpPr/>
                        <wps:spPr>
                          <a:xfrm rot="-10799999">
                            <a:off x="2580060" y="5250709"/>
                            <a:ext cx="5117598" cy="142889"/>
                          </a:xfrm>
                          <a:prstGeom prst="rect">
                            <a:avLst/>
                          </a:prstGeom>
                          <a:ln>
                            <a:noFill/>
                          </a:ln>
                        </wps:spPr>
                        <wps:txbx>
                          <w:txbxContent>
                            <w:p w14:paraId="5B9BC3C7"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123" name="Rectangle 201123"/>
                        <wps:cNvSpPr/>
                        <wps:spPr>
                          <a:xfrm rot="-10799999">
                            <a:off x="-1255677" y="5250709"/>
                            <a:ext cx="5117598" cy="142889"/>
                          </a:xfrm>
                          <a:prstGeom prst="rect">
                            <a:avLst/>
                          </a:prstGeom>
                          <a:ln>
                            <a:noFill/>
                          </a:ln>
                        </wps:spPr>
                        <wps:txbx>
                          <w:txbxContent>
                            <w:p w14:paraId="38775FDC" w14:textId="77777777" w:rsidR="00B32EF2" w:rsidRDefault="00000000">
                              <w:r>
                                <w:rPr>
                                  <w:rFonts w:ascii="Arial" w:eastAsia="Arial" w:hAnsi="Arial" w:cs="Arial"/>
                                  <w:i/>
                                  <w:sz w:val="18"/>
                                </w:rPr>
                                <w:t xml:space="preserve">. L’obbligo di cui al comma 1 non sussiste in caso di sentenza passata </w:t>
                              </w:r>
                            </w:p>
                          </w:txbxContent>
                        </wps:txbx>
                        <wps:bodyPr horzOverflow="overflow" vert="horz" lIns="0" tIns="0" rIns="0" bIns="0" rtlCol="0">
                          <a:noAutofit/>
                        </wps:bodyPr>
                      </wps:wsp>
                      <wps:wsp>
                        <wps:cNvPr id="18659" name="Rectangle 18659"/>
                        <wps:cNvSpPr/>
                        <wps:spPr>
                          <a:xfrm rot="-10799999">
                            <a:off x="-1187227" y="5119949"/>
                            <a:ext cx="5100618" cy="142889"/>
                          </a:xfrm>
                          <a:prstGeom prst="rect">
                            <a:avLst/>
                          </a:prstGeom>
                          <a:ln>
                            <a:noFill/>
                          </a:ln>
                        </wps:spPr>
                        <wps:txbx>
                          <w:txbxContent>
                            <w:p w14:paraId="1FD14418" w14:textId="77777777" w:rsidR="00B32EF2" w:rsidRDefault="00000000">
                              <w:r>
                                <w:rPr>
                                  <w:rFonts w:ascii="Arial" w:eastAsia="Arial" w:hAnsi="Arial" w:cs="Arial"/>
                                  <w:i/>
                                  <w:sz w:val="18"/>
                                </w:rPr>
                                <w:t xml:space="preserve">in giudicato favorevole all’amministrazione finanziaria, nonchè decorso un </w:t>
                              </w:r>
                            </w:p>
                          </w:txbxContent>
                        </wps:txbx>
                        <wps:bodyPr horzOverflow="overflow" vert="horz" lIns="0" tIns="0" rIns="0" bIns="0" rtlCol="0">
                          <a:noAutofit/>
                        </wps:bodyPr>
                      </wps:wsp>
                      <wps:wsp>
                        <wps:cNvPr id="18660" name="Rectangle 18660"/>
                        <wps:cNvSpPr/>
                        <wps:spPr>
                          <a:xfrm rot="-10799999">
                            <a:off x="-508341" y="4989191"/>
                            <a:ext cx="4421732" cy="142889"/>
                          </a:xfrm>
                          <a:prstGeom prst="rect">
                            <a:avLst/>
                          </a:prstGeom>
                          <a:ln>
                            <a:noFill/>
                          </a:ln>
                        </wps:spPr>
                        <wps:txbx>
                          <w:txbxContent>
                            <w:p w14:paraId="1511AA13" w14:textId="77777777" w:rsidR="00B32EF2" w:rsidRDefault="00000000">
                              <w:r>
                                <w:rPr>
                                  <w:rFonts w:ascii="Arial" w:eastAsia="Arial" w:hAnsi="Arial" w:cs="Arial"/>
                                  <w:i/>
                                  <w:sz w:val="18"/>
                                </w:rPr>
                                <w:t>anno dalla definitività dell’atto viziato per mancata impugnazione.</w:t>
                              </w:r>
                            </w:p>
                          </w:txbxContent>
                        </wps:txbx>
                        <wps:bodyPr horzOverflow="overflow" vert="horz" lIns="0" tIns="0" rIns="0" bIns="0" rtlCol="0">
                          <a:noAutofit/>
                        </wps:bodyPr>
                      </wps:wsp>
                      <wps:wsp>
                        <wps:cNvPr id="201118" name="Rectangle 201118"/>
                        <wps:cNvSpPr/>
                        <wps:spPr>
                          <a:xfrm rot="-10799999">
                            <a:off x="2607968" y="4858431"/>
                            <a:ext cx="5005120" cy="142889"/>
                          </a:xfrm>
                          <a:prstGeom prst="rect">
                            <a:avLst/>
                          </a:prstGeom>
                          <a:ln>
                            <a:noFill/>
                          </a:ln>
                        </wps:spPr>
                        <wps:txbx>
                          <w:txbxContent>
                            <w:p w14:paraId="2D7BC7C9"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1120" name="Rectangle 201120"/>
                        <wps:cNvSpPr/>
                        <wps:spPr>
                          <a:xfrm rot="-10799999">
                            <a:off x="-1157371" y="4858431"/>
                            <a:ext cx="5005120" cy="142889"/>
                          </a:xfrm>
                          <a:prstGeom prst="rect">
                            <a:avLst/>
                          </a:prstGeom>
                          <a:ln>
                            <a:noFill/>
                          </a:ln>
                        </wps:spPr>
                        <wps:txbx>
                          <w:txbxContent>
                            <w:p w14:paraId="6AB72BF9" w14:textId="77777777" w:rsidR="00B32EF2" w:rsidRDefault="00000000">
                              <w:r>
                                <w:rPr>
                                  <w:rFonts w:ascii="Arial" w:eastAsia="Arial" w:hAnsi="Arial" w:cs="Arial"/>
                                  <w:i/>
                                  <w:sz w:val="18"/>
                                </w:rPr>
                                <w:t>. Con riguardo alle valutazioni di fatto operate dall’amministrazione finan</w:t>
                              </w:r>
                            </w:p>
                          </w:txbxContent>
                        </wps:txbx>
                        <wps:bodyPr horzOverflow="overflow" vert="horz" lIns="0" tIns="0" rIns="0" bIns="0" rtlCol="0">
                          <a:noAutofit/>
                        </wps:bodyPr>
                      </wps:wsp>
                      <wps:wsp>
                        <wps:cNvPr id="18662" name="Rectangle 18662"/>
                        <wps:cNvSpPr/>
                        <wps:spPr>
                          <a:xfrm rot="-10799999">
                            <a:off x="97496" y="4858432"/>
                            <a:ext cx="50622" cy="142889"/>
                          </a:xfrm>
                          <a:prstGeom prst="rect">
                            <a:avLst/>
                          </a:prstGeom>
                          <a:ln>
                            <a:noFill/>
                          </a:ln>
                        </wps:spPr>
                        <wps:txbx>
                          <w:txbxContent>
                            <w:p w14:paraId="0AA6E88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663" name="Rectangle 18663"/>
                        <wps:cNvSpPr/>
                        <wps:spPr>
                          <a:xfrm rot="-10799999">
                            <a:off x="-1091240" y="4727672"/>
                            <a:ext cx="5005545" cy="142889"/>
                          </a:xfrm>
                          <a:prstGeom prst="rect">
                            <a:avLst/>
                          </a:prstGeom>
                          <a:ln>
                            <a:noFill/>
                          </a:ln>
                        </wps:spPr>
                        <wps:txbx>
                          <w:txbxContent>
                            <w:p w14:paraId="7F22A12D" w14:textId="77777777" w:rsidR="00B32EF2" w:rsidRDefault="00000000">
                              <w:r>
                                <w:rPr>
                                  <w:rFonts w:ascii="Arial" w:eastAsia="Arial" w:hAnsi="Arial" w:cs="Arial"/>
                                  <w:i/>
                                  <w:sz w:val="18"/>
                                </w:rPr>
                                <w:t>ziaria ai fini del presente articolo, in caso di avvenuto esercizio dell’autotu</w:t>
                              </w:r>
                            </w:p>
                          </w:txbxContent>
                        </wps:txbx>
                        <wps:bodyPr horzOverflow="overflow" vert="horz" lIns="0" tIns="0" rIns="0" bIns="0" rtlCol="0">
                          <a:noAutofit/>
                        </wps:bodyPr>
                      </wps:wsp>
                      <wps:wsp>
                        <wps:cNvPr id="18664" name="Rectangle 18664"/>
                        <wps:cNvSpPr/>
                        <wps:spPr>
                          <a:xfrm rot="-10799999">
                            <a:off x="97496" y="4727672"/>
                            <a:ext cx="50622" cy="142889"/>
                          </a:xfrm>
                          <a:prstGeom prst="rect">
                            <a:avLst/>
                          </a:prstGeom>
                          <a:ln>
                            <a:noFill/>
                          </a:ln>
                        </wps:spPr>
                        <wps:txbx>
                          <w:txbxContent>
                            <w:p w14:paraId="63BFE8D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665" name="Rectangle 18665"/>
                        <wps:cNvSpPr/>
                        <wps:spPr>
                          <a:xfrm rot="-10799999">
                            <a:off x="-1187969" y="4596912"/>
                            <a:ext cx="5102731" cy="142889"/>
                          </a:xfrm>
                          <a:prstGeom prst="rect">
                            <a:avLst/>
                          </a:prstGeom>
                          <a:ln>
                            <a:noFill/>
                          </a:ln>
                        </wps:spPr>
                        <wps:txbx>
                          <w:txbxContent>
                            <w:p w14:paraId="2E62588C" w14:textId="77777777" w:rsidR="00B32EF2" w:rsidRDefault="00000000">
                              <w:r>
                                <w:rPr>
                                  <w:rFonts w:ascii="Arial" w:eastAsia="Arial" w:hAnsi="Arial" w:cs="Arial"/>
                                  <w:i/>
                                  <w:sz w:val="18"/>
                                </w:rPr>
                                <w:t xml:space="preserve">tela, la responsabilità di cui all’articolo 1, comma 1, della legge 14 gennaio </w:t>
                              </w:r>
                            </w:p>
                          </w:txbxContent>
                        </wps:txbx>
                        <wps:bodyPr horzOverflow="overflow" vert="horz" lIns="0" tIns="0" rIns="0" bIns="0" rtlCol="0">
                          <a:noAutofit/>
                        </wps:bodyPr>
                      </wps:wsp>
                      <wps:wsp>
                        <wps:cNvPr id="201112" name="Rectangle 201112"/>
                        <wps:cNvSpPr/>
                        <wps:spPr>
                          <a:xfrm rot="-10799999">
                            <a:off x="2496707" y="4466154"/>
                            <a:ext cx="4679571" cy="142889"/>
                          </a:xfrm>
                          <a:prstGeom prst="rect">
                            <a:avLst/>
                          </a:prstGeom>
                          <a:ln>
                            <a:noFill/>
                          </a:ln>
                        </wps:spPr>
                        <wps:txbx>
                          <w:txbxContent>
                            <w:p w14:paraId="280D983D" w14:textId="77777777" w:rsidR="00B32EF2" w:rsidRDefault="00000000">
                              <w:r>
                                <w:rPr>
                                  <w:rFonts w:ascii="Arial" w:eastAsia="Arial" w:hAnsi="Arial" w:cs="Arial"/>
                                  <w:i/>
                                  <w:sz w:val="18"/>
                                </w:rPr>
                                <w:t>1994</w:t>
                              </w:r>
                            </w:p>
                          </w:txbxContent>
                        </wps:txbx>
                        <wps:bodyPr horzOverflow="overflow" vert="horz" lIns="0" tIns="0" rIns="0" bIns="0" rtlCol="0">
                          <a:noAutofit/>
                        </wps:bodyPr>
                      </wps:wsp>
                      <wps:wsp>
                        <wps:cNvPr id="201114" name="Rectangle 201114"/>
                        <wps:cNvSpPr/>
                        <wps:spPr>
                          <a:xfrm rot="-10799999">
                            <a:off x="-1024086" y="4466154"/>
                            <a:ext cx="4679571" cy="142889"/>
                          </a:xfrm>
                          <a:prstGeom prst="rect">
                            <a:avLst/>
                          </a:prstGeom>
                          <a:ln>
                            <a:noFill/>
                          </a:ln>
                        </wps:spPr>
                        <wps:txbx>
                          <w:txbxContent>
                            <w:p w14:paraId="16FC0E32" w14:textId="77777777" w:rsidR="00B32EF2" w:rsidRDefault="00000000">
                              <w:r>
                                <w:rPr>
                                  <w:rFonts w:ascii="Arial" w:eastAsia="Arial" w:hAnsi="Arial" w:cs="Arial"/>
                                  <w:i/>
                                  <w:sz w:val="18"/>
                                </w:rPr>
                                <w:t>, n. 20, e successive modificazioni, è limitata alle ipotesi di dolo.</w:t>
                              </w:r>
                            </w:p>
                          </w:txbxContent>
                        </wps:txbx>
                        <wps:bodyPr horzOverflow="overflow" vert="horz" lIns="0" tIns="0" rIns="0" bIns="0" rtlCol="0">
                          <a:noAutofit/>
                        </wps:bodyPr>
                      </wps:wsp>
                      <wps:wsp>
                        <wps:cNvPr id="18667" name="Rectangle 18667"/>
                        <wps:cNvSpPr/>
                        <wps:spPr>
                          <a:xfrm rot="-10799999">
                            <a:off x="-1145102" y="4335394"/>
                            <a:ext cx="5058493" cy="142889"/>
                          </a:xfrm>
                          <a:prstGeom prst="rect">
                            <a:avLst/>
                          </a:prstGeom>
                          <a:ln>
                            <a:noFill/>
                          </a:ln>
                        </wps:spPr>
                        <wps:txbx>
                          <w:txbxContent>
                            <w:p w14:paraId="06F259C0" w14:textId="77777777" w:rsidR="00B32EF2" w:rsidRDefault="00000000">
                              <w:r>
                                <w:rPr>
                                  <w:rFonts w:ascii="Arial" w:eastAsia="Arial" w:hAnsi="Arial" w:cs="Arial"/>
                                  <w:i/>
                                  <w:sz w:val="18"/>
                                </w:rPr>
                                <w:t>art. 10-quinquies L. 212/2000 “Esercizio del potere di autotutela facoltativa”</w:t>
                              </w:r>
                            </w:p>
                          </w:txbxContent>
                        </wps:txbx>
                        <wps:bodyPr horzOverflow="overflow" vert="horz" lIns="0" tIns="0" rIns="0" bIns="0" rtlCol="0">
                          <a:noAutofit/>
                        </wps:bodyPr>
                      </wps:wsp>
                      <wps:wsp>
                        <wps:cNvPr id="201104" name="Rectangle 201104"/>
                        <wps:cNvSpPr/>
                        <wps:spPr>
                          <a:xfrm rot="-10799999">
                            <a:off x="2584258" y="4204635"/>
                            <a:ext cx="5100678" cy="142889"/>
                          </a:xfrm>
                          <a:prstGeom prst="rect">
                            <a:avLst/>
                          </a:prstGeom>
                          <a:ln>
                            <a:noFill/>
                          </a:ln>
                        </wps:spPr>
                        <wps:txbx>
                          <w:txbxContent>
                            <w:p w14:paraId="69CE4515"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106" name="Rectangle 201106"/>
                        <wps:cNvSpPr/>
                        <wps:spPr>
                          <a:xfrm rot="-10799999">
                            <a:off x="-1246689" y="4204635"/>
                            <a:ext cx="5100678" cy="142889"/>
                          </a:xfrm>
                          <a:prstGeom prst="rect">
                            <a:avLst/>
                          </a:prstGeom>
                          <a:ln>
                            <a:noFill/>
                          </a:ln>
                        </wps:spPr>
                        <wps:txbx>
                          <w:txbxContent>
                            <w:p w14:paraId="2A79318E" w14:textId="77777777" w:rsidR="00B32EF2" w:rsidRDefault="00000000">
                              <w:r>
                                <w:rPr>
                                  <w:rFonts w:ascii="Arial" w:eastAsia="Arial" w:hAnsi="Arial" w:cs="Arial"/>
                                  <w:i/>
                                  <w:sz w:val="18"/>
                                </w:rPr>
                                <w:t xml:space="preserve">. Fuori dei casi di cui all’articolo 10-quater, l’amministrazione finanziaria </w:t>
                              </w:r>
                            </w:p>
                          </w:txbxContent>
                        </wps:txbx>
                        <wps:bodyPr horzOverflow="overflow" vert="horz" lIns="0" tIns="0" rIns="0" bIns="0" rtlCol="0">
                          <a:noAutofit/>
                        </wps:bodyPr>
                      </wps:wsp>
                      <wps:wsp>
                        <wps:cNvPr id="18669" name="Rectangle 18669"/>
                        <wps:cNvSpPr/>
                        <wps:spPr>
                          <a:xfrm rot="-10799999">
                            <a:off x="-1090269" y="4073875"/>
                            <a:ext cx="5003660" cy="142889"/>
                          </a:xfrm>
                          <a:prstGeom prst="rect">
                            <a:avLst/>
                          </a:prstGeom>
                          <a:ln>
                            <a:noFill/>
                          </a:ln>
                        </wps:spPr>
                        <wps:txbx>
                          <w:txbxContent>
                            <w:p w14:paraId="66E6327A" w14:textId="77777777" w:rsidR="00B32EF2" w:rsidRDefault="00000000">
                              <w:r>
                                <w:rPr>
                                  <w:rFonts w:ascii="Arial" w:eastAsia="Arial" w:hAnsi="Arial" w:cs="Arial"/>
                                  <w:i/>
                                  <w:sz w:val="18"/>
                                </w:rPr>
                                <w:t>può comunque procedere all’annullamento, in tutto o in parte, di atti di im</w:t>
                              </w:r>
                            </w:p>
                          </w:txbxContent>
                        </wps:txbx>
                        <wps:bodyPr horzOverflow="overflow" vert="horz" lIns="0" tIns="0" rIns="0" bIns="0" rtlCol="0">
                          <a:noAutofit/>
                        </wps:bodyPr>
                      </wps:wsp>
                      <wps:wsp>
                        <wps:cNvPr id="18670" name="Rectangle 18670"/>
                        <wps:cNvSpPr/>
                        <wps:spPr>
                          <a:xfrm rot="-10799999">
                            <a:off x="97496" y="4073875"/>
                            <a:ext cx="50622" cy="142889"/>
                          </a:xfrm>
                          <a:prstGeom prst="rect">
                            <a:avLst/>
                          </a:prstGeom>
                          <a:ln>
                            <a:noFill/>
                          </a:ln>
                        </wps:spPr>
                        <wps:txbx>
                          <w:txbxContent>
                            <w:p w14:paraId="2390AA7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671" name="Rectangle 18671"/>
                        <wps:cNvSpPr/>
                        <wps:spPr>
                          <a:xfrm rot="-10799999">
                            <a:off x="-1190142" y="3943117"/>
                            <a:ext cx="5111305" cy="142889"/>
                          </a:xfrm>
                          <a:prstGeom prst="rect">
                            <a:avLst/>
                          </a:prstGeom>
                          <a:ln>
                            <a:noFill/>
                          </a:ln>
                        </wps:spPr>
                        <wps:txbx>
                          <w:txbxContent>
                            <w:p w14:paraId="22B9DF43" w14:textId="77777777" w:rsidR="00B32EF2" w:rsidRDefault="00000000">
                              <w:r>
                                <w:rPr>
                                  <w:rFonts w:ascii="Arial" w:eastAsia="Arial" w:hAnsi="Arial" w:cs="Arial"/>
                                  <w:i/>
                                  <w:sz w:val="18"/>
                                </w:rPr>
                                <w:t xml:space="preserve">posizione, ovvero alla rinuncia all’imposizione, senza necessità di istanza </w:t>
                              </w:r>
                            </w:p>
                          </w:txbxContent>
                        </wps:txbx>
                        <wps:bodyPr horzOverflow="overflow" vert="horz" lIns="0" tIns="0" rIns="0" bIns="0" rtlCol="0">
                          <a:noAutofit/>
                        </wps:bodyPr>
                      </wps:wsp>
                      <wps:wsp>
                        <wps:cNvPr id="18672" name="Rectangle 18672"/>
                        <wps:cNvSpPr/>
                        <wps:spPr>
                          <a:xfrm rot="-10799999">
                            <a:off x="-1187243" y="3812357"/>
                            <a:ext cx="5100634" cy="142889"/>
                          </a:xfrm>
                          <a:prstGeom prst="rect">
                            <a:avLst/>
                          </a:prstGeom>
                          <a:ln>
                            <a:noFill/>
                          </a:ln>
                        </wps:spPr>
                        <wps:txbx>
                          <w:txbxContent>
                            <w:p w14:paraId="321857B3" w14:textId="77777777" w:rsidR="00B32EF2" w:rsidRDefault="00000000">
                              <w:r>
                                <w:rPr>
                                  <w:rFonts w:ascii="Arial" w:eastAsia="Arial" w:hAnsi="Arial" w:cs="Arial"/>
                                  <w:i/>
                                  <w:sz w:val="18"/>
                                </w:rPr>
                                <w:t xml:space="preserve">di parte, anche in pendenza di giudizio o in caso di atti definitivi, in presenza </w:t>
                              </w:r>
                            </w:p>
                          </w:txbxContent>
                        </wps:txbx>
                        <wps:bodyPr horzOverflow="overflow" vert="horz" lIns="0" tIns="0" rIns="0" bIns="0" rtlCol="0">
                          <a:noAutofit/>
                        </wps:bodyPr>
                      </wps:wsp>
                      <wps:wsp>
                        <wps:cNvPr id="18673" name="Rectangle 18673"/>
                        <wps:cNvSpPr/>
                        <wps:spPr>
                          <a:xfrm rot="-10799999">
                            <a:off x="-459831" y="3681599"/>
                            <a:ext cx="4373222" cy="142889"/>
                          </a:xfrm>
                          <a:prstGeom prst="rect">
                            <a:avLst/>
                          </a:prstGeom>
                          <a:ln>
                            <a:noFill/>
                          </a:ln>
                        </wps:spPr>
                        <wps:txbx>
                          <w:txbxContent>
                            <w:p w14:paraId="13121A57" w14:textId="77777777" w:rsidR="00B32EF2" w:rsidRDefault="00000000">
                              <w:r>
                                <w:rPr>
                                  <w:rFonts w:ascii="Arial" w:eastAsia="Arial" w:hAnsi="Arial" w:cs="Arial"/>
                                  <w:i/>
                                  <w:sz w:val="18"/>
                                </w:rPr>
                                <w:t>di una illegittimità o dell’infondatezza dell’atto o dell’imposizione.</w:t>
                              </w:r>
                            </w:p>
                          </w:txbxContent>
                        </wps:txbx>
                        <wps:bodyPr horzOverflow="overflow" vert="horz" lIns="0" tIns="0" rIns="0" bIns="0" rtlCol="0">
                          <a:noAutofit/>
                        </wps:bodyPr>
                      </wps:wsp>
                      <wps:wsp>
                        <wps:cNvPr id="201100" name="Rectangle 201100"/>
                        <wps:cNvSpPr/>
                        <wps:spPr>
                          <a:xfrm rot="-10799999">
                            <a:off x="3059196" y="3550839"/>
                            <a:ext cx="3186531" cy="142889"/>
                          </a:xfrm>
                          <a:prstGeom prst="rect">
                            <a:avLst/>
                          </a:prstGeom>
                          <a:ln>
                            <a:noFill/>
                          </a:ln>
                        </wps:spPr>
                        <wps:txbx>
                          <w:txbxContent>
                            <w:p w14:paraId="02F3FDE4"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102" name="Rectangle 201102"/>
                        <wps:cNvSpPr/>
                        <wps:spPr>
                          <a:xfrm rot="-10799999">
                            <a:off x="662130" y="3550839"/>
                            <a:ext cx="3186531" cy="142889"/>
                          </a:xfrm>
                          <a:prstGeom prst="rect">
                            <a:avLst/>
                          </a:prstGeom>
                          <a:ln>
                            <a:noFill/>
                          </a:ln>
                        </wps:spPr>
                        <wps:txbx>
                          <w:txbxContent>
                            <w:p w14:paraId="2490A27B" w14:textId="77777777" w:rsidR="00B32EF2" w:rsidRDefault="00000000">
                              <w:r>
                                <w:rPr>
                                  <w:rFonts w:ascii="Arial" w:eastAsia="Arial" w:hAnsi="Arial" w:cs="Arial"/>
                                  <w:i/>
                                  <w:sz w:val="18"/>
                                </w:rPr>
                                <w:t>. Si applica il comma 3 dell’articolo 10-quater.</w:t>
                              </w:r>
                            </w:p>
                          </w:txbxContent>
                        </wps:txbx>
                        <wps:bodyPr horzOverflow="overflow" vert="horz" lIns="0" tIns="0" rIns="0" bIns="0" rtlCol="0">
                          <a:noAutofit/>
                        </wps:bodyPr>
                      </wps:wsp>
                      <wps:wsp>
                        <wps:cNvPr id="18675" name="Rectangle 18675"/>
                        <wps:cNvSpPr/>
                        <wps:spPr>
                          <a:xfrm rot="-10799999">
                            <a:off x="-1090422" y="3420081"/>
                            <a:ext cx="5003812" cy="142889"/>
                          </a:xfrm>
                          <a:prstGeom prst="rect">
                            <a:avLst/>
                          </a:prstGeom>
                          <a:ln>
                            <a:noFill/>
                          </a:ln>
                        </wps:spPr>
                        <wps:txbx>
                          <w:txbxContent>
                            <w:p w14:paraId="720186C2" w14:textId="77777777" w:rsidR="00B32EF2" w:rsidRDefault="00000000">
                              <w:r>
                                <w:rPr>
                                  <w:rFonts w:ascii="Arial" w:eastAsia="Arial" w:hAnsi="Arial" w:cs="Arial"/>
                                  <w:i/>
                                  <w:sz w:val="18"/>
                                </w:rPr>
                                <w:t>DIRETTIVA (UE) 2017/1852 del Consiglio del 10 ottobre 2017 sui meccani</w:t>
                              </w:r>
                            </w:p>
                          </w:txbxContent>
                        </wps:txbx>
                        <wps:bodyPr horzOverflow="overflow" vert="horz" lIns="0" tIns="0" rIns="0" bIns="0" rtlCol="0">
                          <a:noAutofit/>
                        </wps:bodyPr>
                      </wps:wsp>
                      <wps:wsp>
                        <wps:cNvPr id="18676" name="Rectangle 18676"/>
                        <wps:cNvSpPr/>
                        <wps:spPr>
                          <a:xfrm rot="-10799999">
                            <a:off x="97496" y="3420080"/>
                            <a:ext cx="50622" cy="142889"/>
                          </a:xfrm>
                          <a:prstGeom prst="rect">
                            <a:avLst/>
                          </a:prstGeom>
                          <a:ln>
                            <a:noFill/>
                          </a:ln>
                        </wps:spPr>
                        <wps:txbx>
                          <w:txbxContent>
                            <w:p w14:paraId="549D8BFF"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677" name="Rectangle 18677"/>
                        <wps:cNvSpPr/>
                        <wps:spPr>
                          <a:xfrm rot="-10799999">
                            <a:off x="-1145042" y="3289321"/>
                            <a:ext cx="5058433" cy="142889"/>
                          </a:xfrm>
                          <a:prstGeom prst="rect">
                            <a:avLst/>
                          </a:prstGeom>
                          <a:ln>
                            <a:noFill/>
                          </a:ln>
                        </wps:spPr>
                        <wps:txbx>
                          <w:txbxContent>
                            <w:p w14:paraId="04C4B3DA" w14:textId="77777777" w:rsidR="00B32EF2" w:rsidRDefault="00000000">
                              <w:r>
                                <w:rPr>
                                  <w:rFonts w:ascii="Arial" w:eastAsia="Arial" w:hAnsi="Arial" w:cs="Arial"/>
                                  <w:i/>
                                  <w:sz w:val="18"/>
                                </w:rPr>
                                <w:t>smi di risoluzione delle controversie in materia fiscale nell’Unione europea.</w:t>
                              </w:r>
                            </w:p>
                          </w:txbxContent>
                        </wps:txbx>
                        <wps:bodyPr horzOverflow="overflow" vert="horz" lIns="0" tIns="0" rIns="0" bIns="0" rtlCol="0">
                          <a:noAutofit/>
                        </wps:bodyPr>
                      </wps:wsp>
                      <wps:wsp>
                        <wps:cNvPr id="18678" name="Shape 18678"/>
                        <wps:cNvSpPr/>
                        <wps:spPr>
                          <a:xfrm>
                            <a:off x="31739" y="3227205"/>
                            <a:ext cx="3960000" cy="3029306"/>
                          </a:xfrm>
                          <a:custGeom>
                            <a:avLst/>
                            <a:gdLst/>
                            <a:ahLst/>
                            <a:cxnLst/>
                            <a:rect l="0" t="0" r="0" b="0"/>
                            <a:pathLst>
                              <a:path w="3960000" h="3029306">
                                <a:moveTo>
                                  <a:pt x="0" y="3029306"/>
                                </a:moveTo>
                                <a:lnTo>
                                  <a:pt x="3960000" y="3029306"/>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68B4EA3" id="Group 201217" o:spid="_x0000_s3990" style="width:314.3pt;height:492.65pt;mso-position-horizontal-relative:char;mso-position-vertical-relative:line" coordsize="39917,6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S3qgwAADmKAAAOAAAAZHJzL2Uyb0RvYy54bWzkXeuO27gV/l+g72D4vzMiRepiZLIoku6i&#10;QNFd7G4fQPHIF0C2DFnJTPr0/Q5JUZbM2Q0kdGiUk2CsoSVaOh/P/fD4/Q8vx2rxtWwuh/r0uGTv&#10;ouWiPG3qp8Np97j89+8/rrLl4tIWp6eiqk/l4/JbeVn+8OGvf3n/fF6XvN7X1VPZLDDJ6bJ+Pj8u&#10;9217Xj88XDb78lhc3tXn8oQ3t3VzLFr82ewenpriGbMfqwceRcnDc908nZt6U14uGP2k31x+UPNv&#10;t+Wm/Xm7vZTtonpc4t5a9btRvz/T74cP74v1rinO+8PG3EYx4S6OxeGED7VTfSraYvGlOdxMdTxs&#10;mvpSb9t3m/r4UG+3h02pngFPw6LR0/zU1F/O6ll26+fd2ZIJpB3RafK0m399/ak5/3b+pQElns87&#10;0EL9Rc/ysm2O9Iq7XLwokn2zJCtf2sUGg3GeszRny8UG7yVcJpIxTdTNHpS/uW6z//ufXPnQffDD&#10;4Haez1ggl54Gl3k0+G1fnEtF2ssaNPilWRyesH6zhIvl4lQcsVR/xeIpTruqXOhhRSB1tiXXZX0B&#10;5TpaLZoa62vFojSnH7UeDO1YHkWCJ8sFqLRKOP7UROrIyNIsTnJNRS6jRCT0viVFsT43l/ansj4u&#10;6OBx2eDe1PzF139eWn1qdwrdTnWi36f6x0NV6XdpBBTt7piO2pfPL+qxeRZz+jwa/Fw/fQM19nXz&#10;n5/B19uqfn5c1uZoSayOj6d3l4vqHyegQFzVHTTdwefuoGmrj7XiPX1Df/vS1tuDuuP+08ydAV59&#10;D2+Cs3TjLDtCYFVMwBnYJRxAAmeeM57l2RDoLMoFA8mIXZjgWZa/MdBx93xBAE1CNU9vkTbjZs1P&#10;gnrFkziTBuo0y2UygprlIo5z8Lw3rEV4WMPcGEtvhbXChiTOJKwZg8zOoOWIrRXWim2LtZXf3rG2&#10;ciscvnZoaoW1XfaTsOb4YRwi+n6xVsZBrz4DUNYOEU5GWdoJuElIZ3GWpoapE6jteCzAMykYg53g&#10;TYDb5wuGqTOHWUZMjfE5yponMsd/zdRS8DwaCXC4LTxNYo9YWw0VDtbAw6WstU08WVmvRJZk1jJT&#10;YI8YW4MN9eGNsdXqC0aCK60MQesCG7GDOYwNbxtifMDZ9wa2UL5+UGCnr3A2xueADY8LGtmYZoLl&#10;Us/Xm+GSs0iQv+eLsYVdzeFI8VcYG+7SHKxXCJ7EPOFaZd8n2MEFzWLw3liIww7H8ByoWc7yP8I5&#10;Sjje9sbSYUXMCE4HR+vhOSivWMxSlsHEJsea54i0j23wOMry1KO/JWzkIAjpTZiCsVwMbSXbJMd6&#10;JeBhIfKtkGYpAuEjpIWIRYociD+mtu5kMEiD8VxIW+k2CWkmo5RyGIQ0hHjCk1FiK4tSkXj0tHQi&#10;LSzjGymHMdLkgaU2bDgJ6hWXmRCwrQnqLOK51vq98c3yOBcSXO9NU4cXLksdgVGFtSXFJKyR7xBK&#10;N9wv1uGFy9JX8h0Yn2OXUbojQdFGz9emgKPPbfnmaxs1CEZZO6LgZK1Zq2UaVyc8MklMlqR5Eo2A&#10;hkjPJPPoaknrRwYBtBLUDo/ajM9i6gR1D4lR1lIiUzbCWsYRSpI8FidIGx4KB2uHs6WwnultsRiZ&#10;K9SbKQl+n2DbJwwCbBLVDsNMD89hawRFUVLW8bWIOYrJSPn3RrjkPEopHeLLCJfWoQwGakfNEUFt&#10;LdRpytoGRZnCWXHQFc5+g6LS2pzBoOxIaRHK1jadhPIqg6KGXU9+FjRyAutrwM4iSqnczCM7W5Mz&#10;CKBJHaOO0xk/0fWd08sSWJyxDPEoBTaWDs9GYCubDINWdusq8berApc2QhQO2A49rRbBvAAKJ/sb&#10;+Y07xto+YBBYg99gKt3wtR6eZ5KptJaR4dDKubxla79pLcRkzRMGA7XD0yKoFTJzJDgymKQeoK4R&#10;7EbF6FBbQ4DDOveY1oLhHxrS7rSWsF7INLOMYYsWHCmFdIbi/3yMNAqNaIuXVdVvvY9H59mCyWsR&#10;8zrC33p4jvjua0+cMPv1spKwYmSEpjvwjeE5IKvSE04LCII7yVF7MmZnioYiuu6Pna1mCkZFO7LU&#10;tACsCzJVcPNIkgoG0jIB0GOksbcnhoXmD2mrmYJB2uFiEdLWAZmEdC+4nTB7FtzBhceEI2hCIFvX&#10;YxrIMYpOIl0yKFCRgFAZ9EAfBeUJNvVkWF++ot2JVUxBcDNM4hxJWuNGqx4KCzP2p/qZcDPdEOAx&#10;Y1MEieiY85RHI4cZnlWEH41qrCqNlFa4CoRtvuh2CDRp1wIBzTeedDMEjO27o83LqTukpgl/2Afk&#10;XLR0HU1Khwt0PrD3ssexuRV6/4iWCL/X6sx21OQCt9m/W52uz7Kz4dFVrhvndmd0r2c13/WZ3eeC&#10;xK+eb8g5IFY3Y/eqZ9ZnDj8d09IDq/ktETB4TebqRPQgVAr0adlWhW5AcTy0aOBSHY6IYPOUYOtu&#10;86bfxKX9VpVEsur0a7lF5wnVVIQGLs3u88eqWXwtqFWE+tHdLarzvjCjZl5zqiEF5qHrt2hzYadk&#10;6tLBlB9j+mdmMCfTdaXqEGOvjPSVG3M3uk0Mmq3gobtmMSCKvUh9cn1q7fUntLhRH0J+mXna3kUj&#10;utBfb9rmoufWQTuTvtJiklzGrqs8ylIdCUlgOWNnDj14L5ml6neCEzrJrPd5gXxdV5muXcnif9PR&#10;JLGGZBCSGboWFRWu+GZfaDEJ6jwV1MOCHCeF80gDo9+Jz80ZSIVj2fU89v+/FZ58l3F1L4FvHchJ&#10;KFPPIck0zjKPhIyUYdPzM0MmMqaNIR0/v3nAy1qSwfCzO7TZF1hMQpoJGcMD1g5ymsYozx9Kbi5Q&#10;GIj8vj+kgwtiE7VdPG29yElIr9DSgOVGeEskP/JsBLWEREcPDH9Qp2EVfJKcdgc4MWz02ESoyR6j&#10;zVwU9kINL8rEhlyt7DHkq7xxtS5ADUpTuyOcfZHFJKh7e+wVnL3aY6k1Q4LR0u7oprSG6SSUmUBn&#10;Iqb9K4hoJsbN5biIUdTtMY6dhhXHRk0QpOqtmjbjc4Q3hTijLmUBQzx19CZCSe+VL/3Wtne/wygI&#10;rlaYOoxvMz4HaxRwo0Cfdu2Ror5PsK0pEgTYZJO5S3v7YppJIhzmd5YivK2hZrDEb/odMPA9CXlf&#10;PnW/IzgUqEnMOjytvppmGtQSxjeVF4KpRZ6hcn+0KwP9EFhK5rk3pK05EgTSJKmJscZQm/E5Ehwd&#10;DrB1UltmIsOWeATFMF8fKYOnBQeM8iRYDT5aPCMsbx4wGKyJ3C6sMT4Ha4hwiQiZYez7BDu4YBm1&#10;BBtjDSWO4TlQ9261ZupRStpzmiOz6zgIliY4Hfa3Hp6DMuUtGTe1ByJFx1cdsBhKb0lViL6kd982&#10;Lxio3dFvdA2aA/UVQ7tx9hon01u/QoqGolLKKbattznN8iYnK6dvTiHTGz2ewd60bK4YmkU89Zm4&#10;RMc7s46DYGhlYjtUtBmfw9JoGJikZlMGqgETylIOsBboaiLJXPMmvK3MCgdrh/RWWFtSTGTsCHoa&#10;CUvF2PcJthVdQYBN1pc719EX4UyEGjUJkNIa6hgp6XzE16hGyQS2YPnj67CKyYh/qSvB2M0y47Nk&#10;OJBEwkNjzSPUdCsuGujrKKHKQm8yPLxQGfWBcmJtl/1ExkYtUWK6g4r7BDusWBnJcHeyA8Nz2FoV&#10;BPPODkepYIY+zgPbDGHROKHwuze+tk8YirpGddUNW2MF9EVXk7j6yrF24+zVsdYtU0JyrMnfGQtv&#10;QtnuHZ6EMkLfeYTshVLUMMhixpRevFbUDC2LPEbK+m+OCYahHX41QT0v9K0T1eiYQK4Wao1QHXwD&#10;NRLVMQxCX7IbXw9htFMwULvj333V1TSuRogso2AYIZ1kTKKFxUBLixhpap8bOnSjjWDkt/KoHGra&#10;jM8xySCbUYigAyixpAqFEdYxRIf0GRnVbn5YWDskuMLaCrhJfI3sJ3SxZuv7hDq4WBl9j43LLLOE&#10;mAS08rMECWiS4PCpqaH3QIKTnwUd7lFX26BBMLraET4hs8wSYhLUvZ+lcVYlAFfmt9+Nl/iSvdAs&#10;MnfwG7W8c7Q0jG9stuz8LDR3jvkNQ1ORmcfgNyrPQ4Palg7qFhfEzJYIrzMzpZ37Dhcwt5SQVh0u&#10;RsEw292BHKphe4due/x164U76nAxvNnv6XMxvKLrRdG93na7UHIOfQK6M7rX17tXoE9FVV9KLFJc&#10;9p19LFSvCijJV3tZ6CYUes7q9F29LByNJ0wvi24aV7sK03RiWgeMu+hlga4Wu/Xz7qzov2uK8/6w&#10;+VS0xfXfioDrktf7unoqmw//BQAA//8DAFBLAwQUAAYACAAAACEA0kCvw90AAAAFAQAADwAAAGRy&#10;cy9kb3ducmV2LnhtbEyPQUvDQBCF74L/YRnBm92kpSGN2ZRS1FMRbAXpbZqdJqHZ2ZDdJum/d/Wi&#10;l4HHe7z3Tb6eTCsG6l1jWUE8i0AQl1Y3XCn4PLw+pSCcR9bYWiYFN3KwLu7vcsy0HfmDhr2vRChh&#10;l6GC2vsuk9KVNRl0M9sRB+9se4M+yL6SuscxlJtWzqMokQYbDgs1drStqbzsr0bB24jjZhG/DLvL&#10;eXs7HpbvX7uYlHp8mDbPIDxN/i8MP/gBHYrAdLJX1k60CsIj/vcGL5mnCYiTglW6XIAscvmfvvgG&#10;AAD//wMAUEsBAi0AFAAGAAgAAAAhALaDOJL+AAAA4QEAABMAAAAAAAAAAAAAAAAAAAAAAFtDb250&#10;ZW50X1R5cGVzXS54bWxQSwECLQAUAAYACAAAACEAOP0h/9YAAACUAQAACwAAAAAAAAAAAAAAAAAv&#10;AQAAX3JlbHMvLnJlbHNQSwECLQAUAAYACAAAACEAA4U0t6oMAAA5igAADgAAAAAAAAAAAAAAAAAu&#10;AgAAZHJzL2Uyb0RvYy54bWxQSwECLQAUAAYACAAAACEA0kCvw90AAAAFAQAADwAAAAAAAAAAAAAA&#10;AAAEDwAAZHJzL2Rvd25yZXYueG1sUEsFBgAAAAAEAAQA8wAAAA4QAAAAAA==&#10;">
                <v:rect id="Rectangle 18624" o:spid="_x0000_s3991" style="position:absolute;left:19004;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uIxAAAAN4AAAAPAAAAZHJzL2Rvd25yZXYueG1sRE9Na8JA&#10;EL0X/A/LFLzVTaVISF1FFGkOXqoRPA7ZMUnNzi7Z1UR/fbdQ8DaP9znz5WBacaPON5YVvE8SEMSl&#10;1Q1XCorD9i0F4QOyxtYyKbiTh+Vi9DLHTNuev+m2D5WIIewzVFCH4DIpfVmTQT+xjjhyZ9sZDBF2&#10;ldQd9jHctHKaJDNpsOHYUKOjdU3lZX81Ck4bdvm2l+X5sXa7nzxtv67FUanx67D6BBFoCE/xvzvX&#10;cX46m37A3zvxBrn4BQAA//8DAFBLAQItABQABgAIAAAAIQDb4fbL7gAAAIUBAAATAAAAAAAAAAAA&#10;AAAAAAAAAABbQ29udGVudF9UeXBlc10ueG1sUEsBAi0AFAAGAAgAAAAhAFr0LFu/AAAAFQEAAAsA&#10;AAAAAAAAAAAAAAAAHwEAAF9yZWxzLy5yZWxzUEsBAi0AFAAGAAgAAAAhAKAG64jEAAAA3gAAAA8A&#10;AAAAAAAAAAAAAAAABwIAAGRycy9kb3ducmV2LnhtbFBLBQYAAAAAAwADALcAAAD4AgAAAAA=&#10;" filled="f" stroked="f">
                  <v:textbox inset="0,0,0,0">
                    <w:txbxContent>
                      <w:p w14:paraId="30D11085" w14:textId="77777777" w:rsidR="00B32EF2" w:rsidRDefault="00000000">
                        <w:r>
                          <w:rPr>
                            <w:rFonts w:ascii="Times New Roman" w:eastAsia="Times New Roman" w:hAnsi="Times New Roman" w:cs="Times New Roman"/>
                          </w:rPr>
                          <w:t>61</w:t>
                        </w:r>
                      </w:p>
                    </w:txbxContent>
                  </v:textbox>
                </v:rect>
                <v:rect id="Rectangle 18625" o:spid="_x0000_s3992" style="position:absolute;left:15066;top:29128;width:80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k4TxAAAAN4AAAAPAAAAZHJzL2Rvd25yZXYueG1sRE9Na8JA&#10;EL0X/A/LFLzVTYVKSF1FFGkOXqoRPA7ZMUnNzi7Z1UR/fbdQ8DaP9znz5WBacaPON5YVvE8SEMSl&#10;1Q1XCorD9i0F4QOyxtYyKbiTh+Vi9DLHTNuev+m2D5WIIewzVFCH4DIpfVmTQT+xjjhyZ9sZDBF2&#10;ldQd9jHctHKaJDNpsOHYUKOjdU3lZX81Ck4bdvm2l+X5sXa7nzxtv67FUanx67D6BBFoCE/xvzvX&#10;cX46m37A3zvxBrn4BQAA//8DAFBLAQItABQABgAIAAAAIQDb4fbL7gAAAIUBAAATAAAAAAAAAAAA&#10;AAAAAAAAAABbQ29udGVudF9UeXBlc10ueG1sUEsBAi0AFAAGAAgAAAAhAFr0LFu/AAAAFQEAAAsA&#10;AAAAAAAAAAAAAAAAHwEAAF9yZWxzLy5yZWxzUEsBAi0AFAAGAAgAAAAhAM9KThPEAAAA3gAAAA8A&#10;AAAAAAAAAAAAAAAABwIAAGRycy9kb3ducmV2LnhtbFBLBQYAAAAAAwADALcAAAD4AgAAAAA=&#10;" filled="f" stroked="f">
                  <v:textbox inset="0,0,0,0">
                    <w:txbxContent>
                      <w:p w14:paraId="70D4C5DF" w14:textId="77777777" w:rsidR="00B32EF2" w:rsidRDefault="00000000">
                        <w:r>
                          <w:rPr>
                            <w:rFonts w:ascii="Arial" w:eastAsia="Arial" w:hAnsi="Arial" w:cs="Arial"/>
                            <w:b/>
                            <w:sz w:val="18"/>
                          </w:rPr>
                          <w:t>Articolo 66</w:t>
                        </w:r>
                      </w:p>
                    </w:txbxContent>
                  </v:textbox>
                </v:rect>
                <v:rect id="Rectangle 201097" o:spid="_x0000_s3993" style="position:absolute;left:-2638;top:27895;width:194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jc9yAAAAN8AAAAPAAAAZHJzL2Rvd25yZXYueG1sRI9PawIx&#10;FMTvBb9DeIK3muih1a1RRJHuoZf6B3p8bJ67q5uXsInu2k/fFAo9DjPzG2ax6m0j7tSG2rGGyViB&#10;IC6cqbnUcDzsnmcgQkQ22DgmDQ8KsFoOnhaYGdfxJ933sRQJwiFDDVWMPpMyFBVZDGPniZN3dq3F&#10;mGRbStNil+C2kVOlXqTFmtNChZ42FRXX/c1q+Nqyz3edLM7fG/9xyWfN++140no07NdvICL18T/8&#10;186NhqmaqPkr/P5JX0AufwAAAP//AwBQSwECLQAUAAYACAAAACEA2+H2y+4AAACFAQAAEwAAAAAA&#10;AAAAAAAAAAAAAAAAW0NvbnRlbnRfVHlwZXNdLnhtbFBLAQItABQABgAIAAAAIQBa9CxbvwAAABUB&#10;AAALAAAAAAAAAAAAAAAAAB8BAABfcmVscy8ucmVsc1BLAQItABQABgAIAAAAIQDQVjc9yAAAAN8A&#10;AAAPAAAAAAAAAAAAAAAAAAcCAABkcnMvZG93bnJldi54bWxQSwUGAAAAAAMAAwC3AAAA/AIAAAAA&#10;" filled="f" stroked="f">
                  <v:textbox inset="0,0,0,0">
                    <w:txbxContent>
                      <w:p w14:paraId="06A4181C" w14:textId="77777777" w:rsidR="00B32EF2" w:rsidRDefault="00000000">
                        <w:r>
                          <w:rPr>
                            <w:rFonts w:ascii="Arial" w:eastAsia="Arial" w:hAnsi="Arial" w:cs="Arial"/>
                            <w:i/>
                            <w:sz w:val="18"/>
                          </w:rPr>
                          <w:t>546/92)</w:t>
                        </w:r>
                      </w:p>
                    </w:txbxContent>
                  </v:textbox>
                </v:rect>
                <v:rect id="Rectangle 201098" o:spid="_x0000_s3994" style="position:absolute;left:11621;top:27895;width:194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NPxAAAAN8AAAAPAAAAZHJzL2Rvd25yZXYueG1sRE89b8Iw&#10;EN0r8R+sQ+pWbBgqCBiEQKgZuhSCxHiKjyQQn63YkLS/vh4qdXx636vNYFvxpC40jjVMJwoEcelM&#10;w5WG4nR4m4MIEdlg65g0fFOAzXr0ssLMuJ6/6HmMlUghHDLUUMfoMylDWZPFMHGeOHFX11mMCXaV&#10;NB32Kdy2cqbUu7TYcGqo0dOupvJ+fFgNlz37/NDL8vqz85+3fN5+PIqz1q/jYbsEEWmI/+I/d240&#10;zNRULdLg9Cd9Abn+BQAA//8DAFBLAQItABQABgAIAAAAIQDb4fbL7gAAAIUBAAATAAAAAAAAAAAA&#10;AAAAAAAAAABbQ29udGVudF9UeXBlc10ueG1sUEsBAi0AFAAGAAgAAAAhAFr0LFu/AAAAFQEAAAsA&#10;AAAAAAAAAAAAAAAAHwEAAF9yZWxzLy5yZWxzUEsBAi0AFAAGAAgAAAAhAKHJo0/EAAAA3wAAAA8A&#10;AAAAAAAAAAAAAAAABwIAAGRycy9kb3ducmV2LnhtbFBLBQYAAAAAAwADALcAAAD4AgAAAAA=&#10;" filled="f" stroked="f">
                  <v:textbox inset="0,0,0,0">
                    <w:txbxContent>
                      <w:p w14:paraId="37C4503E" w14:textId="77777777" w:rsidR="00B32EF2" w:rsidRDefault="00000000">
                        <w:r>
                          <w:rPr>
                            <w:rFonts w:ascii="Arial" w:eastAsia="Arial" w:hAnsi="Arial" w:cs="Arial"/>
                            <w:i/>
                            <w:sz w:val="18"/>
                          </w:rPr>
                          <w:t xml:space="preserve">articolo 20 D.lgs. n. </w:t>
                        </w:r>
                      </w:p>
                    </w:txbxContent>
                  </v:textbox>
                </v:rect>
                <v:rect id="Rectangle 201094" o:spid="_x0000_s3995" style="position:absolute;left:22221;top:27895;width:194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lKyAAAAN8AAAAPAAAAZHJzL2Rvd25yZXYueG1sRI9PawIx&#10;FMTvBb9DeIK3miil6NYookj30Ev9Az0+Ns/d1c1L2ER37advCoUeh5n5DbNY9bYRd2pD7VjDZKxA&#10;EBfO1FxqOB52zzMQISIbbByThgcFWC0HTwvMjOv4k+77WIoE4ZChhipGn0kZiooshrHzxMk7u9Zi&#10;TLItpWmxS3DbyKlSr9JizWmhQk+biorr/mY1fG3Z57tOFufvjf+45LPm/XY8aT0a9us3EJH6+B/+&#10;a+dGw1RN1PwFfv+kLyCXPwAAAP//AwBQSwECLQAUAAYACAAAACEA2+H2y+4AAACFAQAAEwAAAAAA&#10;AAAAAAAAAAAAAAAAW0NvbnRlbnRfVHlwZXNdLnhtbFBLAQItABQABgAIAAAAIQBa9CxbvwAAABUB&#10;AAALAAAAAAAAAAAAAAAAAB8BAABfcmVscy8ucmVsc1BLAQItABQABgAIAAAAIQAghKlKyAAAAN8A&#10;AAAPAAAAAAAAAAAAAAAAAAcCAABkcnMvZG93bnJldi54bWxQSwUGAAAAAAMAAwC3AAAA/AIAAAAA&#10;" filled="f" stroked="f">
                  <v:textbox inset="0,0,0,0">
                    <w:txbxContent>
                      <w:p w14:paraId="241B00AD" w14:textId="77777777" w:rsidR="00B32EF2" w:rsidRDefault="00000000">
                        <w:r>
                          <w:rPr>
                            <w:rFonts w:ascii="Arial" w:eastAsia="Arial" w:hAnsi="Arial" w:cs="Arial"/>
                            <w:i/>
                            <w:sz w:val="18"/>
                          </w:rPr>
                          <w:t>(</w:t>
                        </w:r>
                      </w:p>
                    </w:txbxContent>
                  </v:textbox>
                </v:rect>
                <v:rect id="Rectangle 18627" o:spid="_x0000_s3996" style="position:absolute;left:8387;top:26662;width:185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HX/xAAAAN4AAAAPAAAAZHJzL2Rvd25yZXYueG1sRE9Na8JA&#10;EL0L/odlCt50Uw82pK4iipiDl9oUehyyY5KanV2yq4n+erdQ6G0e73OW68G04kadbywreJ0lIIhL&#10;qxuuFBSf+2kKwgdkja1lUnAnD+vVeLTETNueP+h2CpWIIewzVFCH4DIpfVmTQT+zjjhyZ9sZDBF2&#10;ldQd9jHctHKeJAtpsOHYUKOjbU3l5XQ1Cr537PJ9L8vzY+uOP3naHq7Fl1KTl2HzDiLQEP7Ff+5c&#10;x/npYv4Gv+/EG+TqCQAA//8DAFBLAQItABQABgAIAAAAIQDb4fbL7gAAAIUBAAATAAAAAAAAAAAA&#10;AAAAAAAAAABbQ29udGVudF9UeXBlc10ueG1sUEsBAi0AFAAGAAgAAAAhAFr0LFu/AAAAFQEAAAsA&#10;AAAAAAAAAAAAAAAAHwEAAF9yZWxzLy5yZWxzUEsBAi0AFAAGAAgAAAAhAFDUdf/EAAAA3gAAAA8A&#10;AAAAAAAAAAAAAAAABwIAAGRycy9kb3ducmV2LnhtbFBLBQYAAAAAAwADALcAAAD4AgAAAAA=&#10;" filled="f" stroked="f">
                  <v:textbox inset="0,0,0,0">
                    <w:txbxContent>
                      <w:p w14:paraId="7C288C6B" w14:textId="77777777" w:rsidR="00B32EF2" w:rsidRDefault="00000000">
                        <w:r>
                          <w:rPr>
                            <w:rFonts w:ascii="Arial" w:eastAsia="Arial" w:hAnsi="Arial" w:cs="Arial"/>
                            <w:b/>
                            <w:sz w:val="18"/>
                          </w:rPr>
                          <w:t xml:space="preserve">Proposizione del ricorso </w:t>
                        </w:r>
                      </w:p>
                    </w:txbxContent>
                  </v:textbox>
                </v:rect>
                <v:rect id="Rectangle 201085" o:spid="_x0000_s3997" style="position:absolute;left:26596;top:25429;width:5112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ZoMyAAAAN8AAAAPAAAAZHJzL2Rvd25yZXYueG1sRI9Ba8JA&#10;FITvhf6H5RV6q7sKlZC6ilikOfSiTaHHR/aZpGbfLtnVpP56VxB6HGbmG2axGm0nztSH1rGG6USB&#10;IK6cabnWUH5tXzIQISIb7ByThj8KsFo+PiwwN27gHZ33sRYJwiFHDU2MPpcyVA1ZDBPniZN3cL3F&#10;mGRfS9PjkOC2kzOl5tJiy2mhQU+bhqrj/mQ1/LyzL7aDrA6Xjf/8LbLu41R+a/38NK7fQEQa43/4&#10;3i6MhpmaquwVbn/SF5DLKwAAAP//AwBQSwECLQAUAAYACAAAACEA2+H2y+4AAACFAQAAEwAAAAAA&#10;AAAAAAAAAAAAAAAAW0NvbnRlbnRfVHlwZXNdLnhtbFBLAQItABQABgAIAAAAIQBa9CxbvwAAABUB&#10;AAALAAAAAAAAAAAAAAAAAB8BAABfcmVscy8ucmVsc1BLAQItABQABgAIAAAAIQDKEZoMyAAAAN8A&#10;AAAPAAAAAAAAAAAAAAAAAAcCAABkcnMvZG93bnJldi54bWxQSwUGAAAAAAMAAwC3AAAA/AIAAAAA&#10;" filled="f" stroked="f">
                  <v:textbox inset="0,0,0,0">
                    <w:txbxContent>
                      <w:p w14:paraId="20F354CC" w14:textId="77777777" w:rsidR="00B32EF2" w:rsidRDefault="00000000">
                        <w:r>
                          <w:rPr>
                            <w:rFonts w:ascii="Arial" w:eastAsia="Arial" w:hAnsi="Arial" w:cs="Arial"/>
                            <w:sz w:val="18"/>
                          </w:rPr>
                          <w:t>1</w:t>
                        </w:r>
                      </w:p>
                    </w:txbxContent>
                  </v:textbox>
                </v:rect>
                <v:rect id="Rectangle 201089" o:spid="_x0000_s3998" style="position:absolute;left:-48688;top:25429;width:5112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AJyAAAAN8AAAAPAAAAZHJzL2Rvd25yZXYueG1sRI9Ba8JA&#10;FITvhf6H5RV6q7t6KGnqKmKR5tCLNoUeH9lnkpp9u2RXk/rrXUHwOMzMN8x8OdpOnKgPrWMN04kC&#10;QVw503KtofzevGQgQkQ22DkmDf8UYLl4fJhjbtzAWzrtYi0ShEOOGpoYfS5lqBqyGCbOEydv73qL&#10;Mcm+lqbHIcFtJ2dKvUqLLaeFBj2tG6oOu6PV8PvBvtgMstqf1/7rr8i6z2P5o/Xz07h6BxFpjPfw&#10;rV0YDTM1VdkbXP+kLyAXFwAAAP//AwBQSwECLQAUAAYACAAAACEA2+H2y+4AAACFAQAAEwAAAAAA&#10;AAAAAAAAAAAAAAAAW0NvbnRlbnRfVHlwZXNdLnhtbFBLAQItABQABgAIAAAAIQBa9CxbvwAAABUB&#10;AAALAAAAAAAAAAAAAAAAAB8BAABfcmVscy8ucmVsc1BLAQItABQABgAIAAAAIQBLXJAJyAAAAN8A&#10;AAAPAAAAAAAAAAAAAAAAAAcCAABkcnMvZG93bnJldi54bWxQSwUGAAAAAAMAAwC3AAAA/AIAAAAA&#10;" filled="f" stroked="f">
                  <v:textbox inset="0,0,0,0">
                    <w:txbxContent>
                      <w:p w14:paraId="15CB756F" w14:textId="77777777" w:rsidR="00B32EF2" w:rsidRDefault="00000000">
                        <w:r>
                          <w:rPr>
                            <w:rFonts w:ascii="Arial" w:eastAsia="Arial" w:hAnsi="Arial" w:cs="Arial"/>
                            <w:sz w:val="18"/>
                          </w:rPr>
                          <w:t>3.</w:t>
                        </w:r>
                      </w:p>
                    </w:txbxContent>
                  </v:textbox>
                </v:rect>
                <v:rect id="Rectangle 201091" o:spid="_x0000_s3999" style="position:absolute;left:-10838;top:25429;width:5112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wrSxwAAAN8AAAAPAAAAZHJzL2Rvd25yZXYueG1sRI9BawIx&#10;FITvQv9DeIXeNFkPRbdGEYt0D71ULfT42Dx3t25ewia6W3+9KQgeh5n5hlmsBtuKC3WhcawhmygQ&#10;xKUzDVcaDvvteAYiRGSDrWPS8EcBVsun0QJz43r+ossuViJBOOSooY7R51KGsiaLYeI8cfKOrrMY&#10;k+wqaTrsE9y2cqrUq7TYcFqo0dOmpvK0O1sNP+/si20vy+N14z9/i1n7cT58a/3yPKzfQEQa4iN8&#10;bxdGw1Rlap7B/5/0BeTyBgAA//8DAFBLAQItABQABgAIAAAAIQDb4fbL7gAAAIUBAAATAAAAAAAA&#10;AAAAAAAAAAAAAABbQ29udGVudF9UeXBlc10ueG1sUEsBAi0AFAAGAAgAAAAhAFr0LFu/AAAAFQEA&#10;AAsAAAAAAAAAAAAAAAAAHwEAAF9yZWxzLy5yZWxzUEsBAi0AFAAGAAgAAAAhADDzCtLHAAAA3wAA&#10;AA8AAAAAAAAAAAAAAAAABwIAAGRycy9kb3ducmV2LnhtbFBLBQYAAAAAAwADALcAAAD7AgAAAAA=&#10;" filled="f" stroked="f">
                  <v:textbox inset="0,0,0,0">
                    <w:txbxContent>
                      <w:p w14:paraId="6FA204D6" w14:textId="77777777" w:rsidR="00B32EF2" w:rsidRDefault="00000000">
                        <w:r>
                          <w:rPr>
                            <w:rFonts w:ascii="Arial" w:eastAsia="Arial" w:hAnsi="Arial" w:cs="Arial"/>
                            <w:sz w:val="18"/>
                          </w:rPr>
                          <w:t xml:space="preserve">. Il ricorso è proposto mediante notifica a norma dell’articolo 61, comma </w:t>
                        </w:r>
                      </w:p>
                    </w:txbxContent>
                  </v:textbox>
                </v:rect>
                <v:rect id="Rectangle 201079" o:spid="_x0000_s4000" style="position:absolute;left:26354;top:24195;width:52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AuyAAAAN8AAAAPAAAAZHJzL2Rvd25yZXYueG1sRI9PawIx&#10;FMTvBb9DeIK3muih1a1RRJHuoZf6B3p8bJ67q5uXsInu2k/fFAo9DjPzG2ax6m0j7tSG2rGGyViB&#10;IC6cqbnUcDzsnmcgQkQ22DgmDQ8KsFoOnhaYGdfxJ933sRQJwiFDDVWMPpMyFBVZDGPniZN3dq3F&#10;mGRbStNil+C2kVOlXqTFmtNChZ42FRXX/c1q+Nqyz3edLM7fG/9xyWfN++140no07NdvICL18T/8&#10;186NhqmaqNc5/P5JX0AufwAAAP//AwBQSwECLQAUAAYACAAAACEA2+H2y+4AAACFAQAAEwAAAAAA&#10;AAAAAAAAAAAAAAAAW0NvbnRlbnRfVHlwZXNdLnhtbFBLAQItABQABgAIAAAAIQBa9CxbvwAAABUB&#10;AAALAAAAAAAAAAAAAAAAAB8BAABfcmVscy8ucmVsc1BLAQItABQABgAIAAAAIQB+ieAuyAAAAN8A&#10;AAAPAAAAAAAAAAAAAAAAAAcCAABkcnMvZG93bnJldi54bWxQSwUGAAAAAAMAAwC3AAAA/AIAAAAA&#10;" filled="f" stroked="f">
                  <v:textbox inset="0,0,0,0">
                    <w:txbxContent>
                      <w:p w14:paraId="684E1D1B" w14:textId="77777777" w:rsidR="00B32EF2" w:rsidRDefault="00000000">
                        <w:r>
                          <w:rPr>
                            <w:rFonts w:ascii="Arial" w:eastAsia="Arial" w:hAnsi="Arial" w:cs="Arial"/>
                            <w:sz w:val="18"/>
                          </w:rPr>
                          <w:t>2</w:t>
                        </w:r>
                      </w:p>
                    </w:txbxContent>
                  </v:textbox>
                </v:rect>
                <v:rect id="Rectangle 201081" o:spid="_x0000_s4001" style="position:absolute;left:-12832;top:24195;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pwPxwAAAN8AAAAPAAAAZHJzL2Rvd25yZXYueG1sRI9Ba8JA&#10;FITvQv/D8gq96W48lJC6iihiDl5qFXp8ZJ9J2uzbJbuatL++Kwg9DjPzDbNYjbYTN+pD61hDNlMg&#10;iCtnWq41nD520xxEiMgGO8ek4YcCrJZPkwUWxg38TrdjrEWCcChQQxOjL6QMVUMWw8x54uRdXG8x&#10;JtnX0vQ4JLjt5FypV2mx5bTQoKdNQ9X38Wo1fG7Zl7tBVpffjT98lXm3v57OWr88j+s3EJHG+B9+&#10;tEujYa4ylWdw/5O+gFz+AQAA//8DAFBLAQItABQABgAIAAAAIQDb4fbL7gAAAIUBAAATAAAAAAAA&#10;AAAAAAAAAAAAAABbQ29udGVudF9UeXBlc10ueG1sUEsBAi0AFAAGAAgAAAAhAFr0LFu/AAAAFQEA&#10;AAsAAAAAAAAAAAAAAAAAHwEAAF9yZWxzLy5yZWxzUEsBAi0AFAAGAAgAAAAhALUqnA/HAAAA3wAA&#10;AA8AAAAAAAAAAAAAAAAABwIAAGRycy9kb3ducmV2LnhtbFBLBQYAAAAAAwADALcAAAD7AgAAAAA=&#10;" filled="f" stroked="f">
                  <v:textbox inset="0,0,0,0">
                    <w:txbxContent>
                      <w:p w14:paraId="2B658A08" w14:textId="77777777" w:rsidR="00B32EF2" w:rsidRDefault="00000000">
                        <w:r>
                          <w:rPr>
                            <w:rFonts w:ascii="Arial" w:eastAsia="Arial" w:hAnsi="Arial" w:cs="Arial"/>
                            <w:sz w:val="18"/>
                          </w:rPr>
                          <w:t>. La spedizione del ricorso a mezzo posta dev’essere fatta in plico racco</w:t>
                        </w:r>
                      </w:p>
                    </w:txbxContent>
                  </v:textbox>
                </v:rect>
                <v:rect id="Rectangle 18630" o:spid="_x0000_s4002" style="position:absolute;left:191;top:24195;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HtWyAAAAN4AAAAPAAAAZHJzL2Rvd25yZXYueG1sRI9Pa8Mw&#10;DMXvg30Ho8Fuq7MNSkjrltJRlsMu/TPYUcRqkjaWTew22T79dCj0JqGn995vvhxdp67Ux9azgddJ&#10;Boq48rbl2sBhv3nJQcWEbLHzTAZ+KcJy8fgwx8L6gbd03aVaiQnHAg00KYVC61g15DBOfCCW29H3&#10;DpOsfa1tj4OYu06/ZdlUO2xZEhoMtG6oOu8uzsDPB4dyM+jq+LcOX6cy7z4vh29jnp/G1QxUojHd&#10;xbfv0kr9fPouAIIjM+jFPwAAAP//AwBQSwECLQAUAAYACAAAACEA2+H2y+4AAACFAQAAEwAAAAAA&#10;AAAAAAAAAAAAAAAAW0NvbnRlbnRfVHlwZXNdLnhtbFBLAQItABQABgAIAAAAIQBa9CxbvwAAABUB&#10;AAALAAAAAAAAAAAAAAAAAB8BAABfcmVscy8ucmVsc1BLAQItABQABgAIAAAAIQBa5HtWyAAAAN4A&#10;AAAPAAAAAAAAAAAAAAAAAAcCAABkcnMvZG93bnJldi54bWxQSwUGAAAAAAMAAwC3AAAA/AIAAAAA&#10;" filled="f" stroked="f">
                  <v:textbox inset="0,0,0,0">
                    <w:txbxContent>
                      <w:p w14:paraId="01F825F9" w14:textId="77777777" w:rsidR="00B32EF2" w:rsidRDefault="00000000">
                        <w:r>
                          <w:rPr>
                            <w:rFonts w:ascii="Arial" w:eastAsia="Arial" w:hAnsi="Arial" w:cs="Arial"/>
                            <w:sz w:val="18"/>
                          </w:rPr>
                          <w:t>-</w:t>
                        </w:r>
                      </w:p>
                    </w:txbxContent>
                  </v:textbox>
                </v:rect>
                <v:rect id="Rectangle 18631" o:spid="_x0000_s4003" style="position:absolute;left:-13171;top:22962;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N7NxAAAAN4AAAAPAAAAZHJzL2Rvd25yZXYueG1sRE9Li8Iw&#10;EL4L/ocwwt401QUpXaOIItvDXnws7HFoxrZrMwlNtN399UYQvM3H95zFqjeNuFHra8sKppMEBHFh&#10;dc2lgtNxN05B+ICssbFMCv7Iw2o5HCww07bjPd0OoRQxhH2GCqoQXCalLyoy6CfWEUfubFuDIcK2&#10;lLrFLoabRs6SZC4N1hwbKnS0qai4HK5Gwc+WXb7rZHH+37iv3zxtPq+nb6XeRv36A0SgPrzET3eu&#10;4/x0/j6FxzvxBrm8AwAA//8DAFBLAQItABQABgAIAAAAIQDb4fbL7gAAAIUBAAATAAAAAAAAAAAA&#10;AAAAAAAAAABbQ29udGVudF9UeXBlc10ueG1sUEsBAi0AFAAGAAgAAAAhAFr0LFu/AAAAFQEAAAsA&#10;AAAAAAAAAAAAAAAAHwEAAF9yZWxzLy5yZWxzUEsBAi0AFAAGAAgAAAAhADWo3s3EAAAA3gAAAA8A&#10;AAAAAAAAAAAAAAAABwIAAGRycy9kb3ducmV2LnhtbFBLBQYAAAAAAwADALcAAAD4AgAAAAA=&#10;" filled="f" stroked="f">
                  <v:textbox inset="0,0,0,0">
                    <w:txbxContent>
                      <w:p w14:paraId="41055CBE" w14:textId="77777777" w:rsidR="00B32EF2" w:rsidRDefault="00000000">
                        <w:r>
                          <w:rPr>
                            <w:rFonts w:ascii="Arial" w:eastAsia="Arial" w:hAnsi="Arial" w:cs="Arial"/>
                            <w:sz w:val="18"/>
                          </w:rPr>
                          <w:t xml:space="preserve">mandato senza busta con avviso di ricevimento. In tal caso il ricorso s’intende </w:t>
                        </w:r>
                      </w:p>
                    </w:txbxContent>
                  </v:textbox>
                </v:rect>
                <v:rect id="Rectangle 18632" o:spid="_x0000_s4004" style="position:absolute;left:-4429;top:21729;width:443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C6xAAAAN4AAAAPAAAAZHJzL2Rvd25yZXYueG1sRE9Na8JA&#10;EL0X/A/LFLzVTS1ISF1FFGkOXqoRPA7ZMUnNzi7Z1UR/fbdQ8DaP9znz5WBacaPON5YVvE8SEMSl&#10;1Q1XCorD9i0F4QOyxtYyKbiTh+Vi9DLHTNuev+m2D5WIIewzVFCH4DIpfVmTQT+xjjhyZ9sZDBF2&#10;ldQd9jHctHKaJDNpsOHYUKOjdU3lZX81Ck4bdvm2l+X5sXa7nzxtv67FUanx67D6BBFoCE/xvzvX&#10;cX46+5jC3zvxBrn4BQAA//8DAFBLAQItABQABgAIAAAAIQDb4fbL7gAAAIUBAAATAAAAAAAAAAAA&#10;AAAAAAAAAABbQ29udGVudF9UeXBlc10ueG1sUEsBAi0AFAAGAAgAAAAhAFr0LFu/AAAAFQEAAAsA&#10;AAAAAAAAAAAAAAAAHwEAAF9yZWxzLy5yZWxzUEsBAi0AFAAGAAgAAAAhAMV6QLrEAAAA3gAAAA8A&#10;AAAAAAAAAAAAAAAABwIAAGRycy9kb3ducmV2LnhtbFBLBQYAAAAAAwADALcAAAD4AgAAAAA=&#10;" filled="f" stroked="f">
                  <v:textbox inset="0,0,0,0">
                    <w:txbxContent>
                      <w:p w14:paraId="41DCD1B1" w14:textId="77777777" w:rsidR="00B32EF2" w:rsidRDefault="00000000">
                        <w:r>
                          <w:rPr>
                            <w:rFonts w:ascii="Arial" w:eastAsia="Arial" w:hAnsi="Arial" w:cs="Arial"/>
                            <w:sz w:val="18"/>
                          </w:rPr>
                          <w:t>proposto al momento della spedizione nelle forme sopra indicate.</w:t>
                        </w:r>
                      </w:p>
                    </w:txbxContent>
                  </v:textbox>
                </v:rect>
                <v:rect id="Rectangle 18633" o:spid="_x0000_s4005" style="position:absolute;left:15078;top:19262;width:80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uUhxAAAAN4AAAAPAAAAZHJzL2Rvd25yZXYueG1sRE9Na8JA&#10;EL0X/A/LFLzVTStISF1FFGkOXqoRPA7ZMUnNzi7Z1UR/fbdQ8DaP9znz5WBacaPON5YVvE8SEMSl&#10;1Q1XCorD9i0F4QOyxtYyKbiTh+Vi9DLHTNuev+m2D5WIIewzVFCH4DIpfVmTQT+xjjhyZ9sZDBF2&#10;ldQd9jHctPIjSWbSYMOxoUZH65rKy/5qFJw27PJtL8vzY+12P3nafl2Lo1Lj12H1CSLQEJ7if3eu&#10;4/x0Np3C3zvxBrn4BQAA//8DAFBLAQItABQABgAIAAAAIQDb4fbL7gAAAIUBAAATAAAAAAAAAAAA&#10;AAAAAAAAAABbQ29udGVudF9UeXBlc10ueG1sUEsBAi0AFAAGAAgAAAAhAFr0LFu/AAAAFQEAAAsA&#10;AAAAAAAAAAAAAAAAHwEAAF9yZWxzLy5yZWxzUEsBAi0AFAAGAAgAAAAhAKo25SHEAAAA3gAAAA8A&#10;AAAAAAAAAAAAAAAABwIAAGRycy9kb3ducmV2LnhtbFBLBQYAAAAAAwADALcAAAD4AgAAAAA=&#10;" filled="f" stroked="f">
                  <v:textbox inset="0,0,0,0">
                    <w:txbxContent>
                      <w:p w14:paraId="7919F49B" w14:textId="77777777" w:rsidR="00B32EF2" w:rsidRDefault="00000000">
                        <w:r>
                          <w:rPr>
                            <w:rFonts w:ascii="Arial" w:eastAsia="Arial" w:hAnsi="Arial" w:cs="Arial"/>
                            <w:b/>
                            <w:sz w:val="18"/>
                          </w:rPr>
                          <w:t>Articolo 67</w:t>
                        </w:r>
                      </w:p>
                    </w:txbxContent>
                  </v:textbox>
                </v:rect>
                <v:rect id="Rectangle 201076" o:spid="_x0000_s4006" style="position:absolute;left:-2584;top:18029;width:193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nRcxwAAAN8AAAAPAAAAZHJzL2Rvd25yZXYueG1sRI9PawIx&#10;FMTvQr9DeIXeNNGDytYoxSLdQy/+gx4fm+fu6uYlbKK77advBMHjMDO/YRar3jbiRm2oHWsYjxQI&#10;4sKZmksNh/1mOAcRIrLBxjFp+KUAq+XLYIGZcR1v6baLpUgQDhlqqGL0mZShqMhiGDlPnLyTay3G&#10;JNtSmha7BLeNnCg1lRZrTgsVelpXVFx2V6vh55N9vulkcfpb++9zPm++roej1m+v/cc7iEh9fIYf&#10;7dxomKixmk3h/id9Abn8BwAA//8DAFBLAQItABQABgAIAAAAIQDb4fbL7gAAAIUBAAATAAAAAAAA&#10;AAAAAAAAAAAAAABbQ29udGVudF9UeXBlc10ueG1sUEsBAi0AFAAGAAgAAAAhAFr0LFu/AAAAFQEA&#10;AAsAAAAAAAAAAAAAAAAAHwEAAF9yZWxzLy5yZWxzUEsBAi0AFAAGAAgAAAAhAA8WdFzHAAAA3wAA&#10;AA8AAAAAAAAAAAAAAAAABwIAAGRycy9kb3ducmV2LnhtbFBLBQYAAAAAAwADALcAAAD7AgAAAAA=&#10;" filled="f" stroked="f">
                  <v:textbox inset="0,0,0,0">
                    <w:txbxContent>
                      <w:p w14:paraId="20229384" w14:textId="77777777" w:rsidR="00B32EF2" w:rsidRDefault="00000000">
                        <w:r>
                          <w:rPr>
                            <w:rFonts w:ascii="Arial" w:eastAsia="Arial" w:hAnsi="Arial" w:cs="Arial"/>
                            <w:i/>
                            <w:sz w:val="18"/>
                          </w:rPr>
                          <w:t>546/92)</w:t>
                        </w:r>
                      </w:p>
                    </w:txbxContent>
                  </v:textbox>
                </v:rect>
                <v:rect id="Rectangle 201077" o:spid="_x0000_s4007" style="position:absolute;left:11646;top:18029;width:193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tHHxwAAAN8AAAAPAAAAZHJzL2Rvd25yZXYueG1sRI9PawIx&#10;FMTvhX6H8Aq91UQPVbZGKRbpHrz4D3p8bJ67q5uXsInu1k9vBMHjMDO/Yabz3jbiQm2oHWsYDhQI&#10;4sKZmksNu+3yYwIiRGSDjWPS8E8B5rPXlylmxnW8pssmliJBOGSooYrRZ1KGoiKLYeA8cfIOrrUY&#10;k2xLaVrsEtw2cqTUp7RYc1qo0NOiouK0OVsNfz/s82Uni8N14VfHfNL8nnd7rd/f+u8vEJH6+Aw/&#10;2rnRMFJDNR7D/U/6AnJ2AwAA//8DAFBLAQItABQABgAIAAAAIQDb4fbL7gAAAIUBAAATAAAAAAAA&#10;AAAAAAAAAAAAAABbQ29udGVudF9UeXBlc10ueG1sUEsBAi0AFAAGAAgAAAAhAFr0LFu/AAAAFQEA&#10;AAsAAAAAAAAAAAAAAAAAHwEAAF9yZWxzLy5yZWxzUEsBAi0AFAAGAAgAAAAhAGBa0cfHAAAA3wAA&#10;AA8AAAAAAAAAAAAAAAAABwIAAGRycy9kb3ducmV2LnhtbFBLBQYAAAAAAwADALcAAAD7AgAAAAA=&#10;" filled="f" stroked="f">
                  <v:textbox inset="0,0,0,0">
                    <w:txbxContent>
                      <w:p w14:paraId="3B6D32DE" w14:textId="77777777" w:rsidR="00B32EF2" w:rsidRDefault="00000000">
                        <w:r>
                          <w:rPr>
                            <w:rFonts w:ascii="Arial" w:eastAsia="Arial" w:hAnsi="Arial" w:cs="Arial"/>
                            <w:i/>
                            <w:sz w:val="18"/>
                          </w:rPr>
                          <w:t xml:space="preserve">articolo 21 D.lgs. n. </w:t>
                        </w:r>
                      </w:p>
                    </w:txbxContent>
                  </v:textbox>
                </v:rect>
                <v:rect id="Rectangle 201074" o:spid="_x0000_s4008" style="position:absolute;left:22216;top:18029;width:193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E+wxwAAAN8AAAAPAAAAZHJzL2Rvd25yZXYueG1sRI9BawIx&#10;FITvhf6H8AreaqIUK1ujFIt0D160Fnp8bJ67q5uXsInu6q83QsHjMDPfMLNFbxtxpjbUjjWMhgoE&#10;ceFMzaWG3c/qdQoiRGSDjWPScKEAi/nz0wwz4zre0HkbS5EgHDLUUMXoMylDUZHFMHSeOHl711qM&#10;SbalNC12CW4bOVZqIi3WnBYq9LSsqDhuT1bD3xf7fNXJYn9d+vUhnzbfp92v1oOX/vMDRKQ+PsL/&#10;7dxoGKuRen+D+5/0BeT8BgAA//8DAFBLAQItABQABgAIAAAAIQDb4fbL7gAAAIUBAAATAAAAAAAA&#10;AAAAAAAAAAAAAABbQ29udGVudF9UeXBlc10ueG1sUEsBAi0AFAAGAAgAAAAhAFr0LFu/AAAAFQEA&#10;AAsAAAAAAAAAAAAAAAAAHwEAAF9yZWxzLy5yZWxzUEsBAi0AFAAGAAgAAAAhAJCIT7DHAAAA3wAA&#10;AA8AAAAAAAAAAAAAAAAABwIAAGRycy9kb3ducmV2LnhtbFBLBQYAAAAAAwADALcAAAD7AgAAAAA=&#10;" filled="f" stroked="f">
                  <v:textbox inset="0,0,0,0">
                    <w:txbxContent>
                      <w:p w14:paraId="68E66A7A" w14:textId="77777777" w:rsidR="00B32EF2" w:rsidRDefault="00000000">
                        <w:r>
                          <w:rPr>
                            <w:rFonts w:ascii="Arial" w:eastAsia="Arial" w:hAnsi="Arial" w:cs="Arial"/>
                            <w:i/>
                            <w:sz w:val="18"/>
                          </w:rPr>
                          <w:t>(</w:t>
                        </w:r>
                      </w:p>
                    </w:txbxContent>
                  </v:textbox>
                </v:rect>
                <v:rect id="Rectangle 18635" o:spid="_x0000_s4009" style="position:absolute;left:1620;top:16796;width:2938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9jOxAAAAN4AAAAPAAAAZHJzL2Rvd25yZXYueG1sRE9Na8JA&#10;EL0X/A/LCN7qxkolRFcRRZpDL7UKHofsmESzs0t2NdFf3y0UepvH+5zFqjeNuFPra8sKJuMEBHFh&#10;dc2lgsP37jUF4QOyxsYyKXiQh9Vy8LLATNuOv+i+D6WIIewzVFCF4DIpfVGRQT+2jjhyZ9saDBG2&#10;pdQtdjHcNPItSWbSYM2xoUJHm4qK6/5mFJy27PJdJ4vzc+M+L3nafNwOR6VGw349BxGoD//iP3eu&#10;4/x0Nn2H33fiDXL5AwAA//8DAFBLAQItABQABgAIAAAAIQDb4fbL7gAAAIUBAAATAAAAAAAAAAAA&#10;AAAAAAAAAABbQ29udGVudF9UeXBlc10ueG1sUEsBAi0AFAAGAAgAAAAhAFr0LFu/AAAAFQEAAAsA&#10;AAAAAAAAAAAAAAAAHwEAAF9yZWxzLy5yZWxzUEsBAi0AFAAGAAgAAAAhAEqT2M7EAAAA3gAAAA8A&#10;AAAAAAAAAAAAAAAABwIAAGRycy9kb3ducmV2LnhtbFBLBQYAAAAAAwADALcAAAD4AgAAAAA=&#10;" filled="f" stroked="f">
                  <v:textbox inset="0,0,0,0">
                    <w:txbxContent>
                      <w:p w14:paraId="24A1FEAC" w14:textId="77777777" w:rsidR="00B32EF2" w:rsidRDefault="00000000">
                        <w:r>
                          <w:rPr>
                            <w:rFonts w:ascii="Arial" w:eastAsia="Arial" w:hAnsi="Arial" w:cs="Arial"/>
                            <w:b/>
                            <w:sz w:val="18"/>
                          </w:rPr>
                          <w:t xml:space="preserve">Termine per la proposizione del ricorso </w:t>
                        </w:r>
                      </w:p>
                    </w:txbxContent>
                  </v:textbox>
                </v:rect>
                <v:rect id="Rectangle 201070" o:spid="_x0000_s4010" style="position:absolute;left:26109;top:1556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0mzxgAAAN8AAAAPAAAAZHJzL2Rvd25yZXYueG1sRI+9bsIw&#10;FIX3SryDdZG6FRsGigIGIRAiQ5fSIDFexZckEF9bsSFpn74eKnU8On/6VpvBtuJJXWgca5hOFAji&#10;0pmGKw3F1+FtASJEZIOtY9LwTQE269HLCjPjev6k5ylWIo1wyFBDHaPPpAxlTRbDxHni5F1dZzEm&#10;2VXSdNincdvKmVJzabHh9FCjp11N5f30sBoue/b5oZfl9WfnP275oj0+irPWr+NhuwQRaYj/4b92&#10;bjTM1FS9J4LEk1hArn8BAAD//wMAUEsBAi0AFAAGAAgAAAAhANvh9svuAAAAhQEAABMAAAAAAAAA&#10;AAAAAAAAAAAAAFtDb250ZW50X1R5cGVzXS54bWxQSwECLQAUAAYACAAAACEAWvQsW78AAAAVAQAA&#10;CwAAAAAAAAAAAAAAAAAfAQAAX3JlbHMvLnJlbHNQSwECLQAUAAYACAAAACEA77NJs8YAAADfAAAA&#10;DwAAAAAAAAAAAAAAAAAHAgAAZHJzL2Rvd25yZXYueG1sUEsFBgAAAAADAAMAtwAAAPoCAAAAAA==&#10;" filled="f" stroked="f">
                  <v:textbox inset="0,0,0,0">
                    <w:txbxContent>
                      <w:p w14:paraId="0C734B0F" w14:textId="77777777" w:rsidR="00B32EF2" w:rsidRDefault="00000000">
                        <w:r>
                          <w:rPr>
                            <w:rFonts w:ascii="Arial" w:eastAsia="Arial" w:hAnsi="Arial" w:cs="Arial"/>
                            <w:sz w:val="18"/>
                          </w:rPr>
                          <w:t>1</w:t>
                        </w:r>
                      </w:p>
                    </w:txbxContent>
                  </v:textbox>
                </v:rect>
                <v:rect id="Rectangle 201072" o:spid="_x0000_s4011" style="position:absolute;left:-13763;top:1556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XJfxwAAAN8AAAAPAAAAZHJzL2Rvd25yZXYueG1sRI9BawIx&#10;FITvQv9DeIXeNHEPVVajiEW6h160Fnp8bJ67q5uXsInutr++EYQeh5n5hlmuB9uKG3WhcaxhOlEg&#10;iEtnGq40HD934zmIEJENto5Jww8FWK+eRkvMjet5T7dDrESCcMhRQx2jz6UMZU0Ww8R54uSdXGcx&#10;JtlV0nTYJ7htZabUq7TYcFqo0dO2pvJyuFoN32/si10vy9Pv1n+ci3n7fj1+af3yPGwWICIN8T/8&#10;aBdGQ6amapbB/U/6AnL1BwAA//8DAFBLAQItABQABgAIAAAAIQDb4fbL7gAAAIUBAAATAAAAAAAA&#10;AAAAAAAAAAAAAABbQ29udGVudF9UeXBlc10ueG1sUEsBAi0AFAAGAAgAAAAhAFr0LFu/AAAAFQEA&#10;AAsAAAAAAAAAAAAAAAAAHwEAAF9yZWxzLy5yZWxzUEsBAi0AFAAGAAgAAAAhAHAtcl/HAAAA3wAA&#10;AA8AAAAAAAAAAAAAAAAABwIAAGRycy9kb3ducmV2LnhtbFBLBQYAAAAAAwADALcAAAD7AgAAAAA=&#10;" filled="f" stroked="f">
                  <v:textbox inset="0,0,0,0">
                    <w:txbxContent>
                      <w:p w14:paraId="0283165C" w14:textId="77777777" w:rsidR="00B32EF2" w:rsidRDefault="00000000">
                        <w:r>
                          <w:rPr>
                            <w:rFonts w:ascii="Arial" w:eastAsia="Arial" w:hAnsi="Arial" w:cs="Arial"/>
                            <w:sz w:val="18"/>
                          </w:rPr>
                          <w:t xml:space="preserve">. Il ricorso deve essere proposto a pena di inammissibilità entro sessanta </w:t>
                        </w:r>
                      </w:p>
                    </w:txbxContent>
                  </v:textbox>
                </v:rect>
                <v:rect id="Rectangle 18637" o:spid="_x0000_s4012" style="position:absolute;left:-12289;top:14329;width:522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eMixAAAAN4AAAAPAAAAZHJzL2Rvd25yZXYueG1sRE9Na8JA&#10;EL0X/A/LCN7qxgo2RFcRRZpDL7UKHofsmESzs0t2NdFf3y0UepvH+5zFqjeNuFPra8sKJuMEBHFh&#10;dc2lgsP37jUF4QOyxsYyKXiQh9Vy8LLATNuOv+i+D6WIIewzVFCF4DIpfVGRQT+2jjhyZ9saDBG2&#10;pdQtdjHcNPItSWbSYM2xoUJHm4qK6/5mFJy27PJdJ4vzc+M+L3nafNwOR6VGw349BxGoD//iP3eu&#10;4/x0Nn2H33fiDXL5AwAA//8DAFBLAQItABQABgAIAAAAIQDb4fbL7gAAAIUBAAATAAAAAAAAAAAA&#10;AAAAAAAAAABbQ29udGVudF9UeXBlc10ueG1sUEsBAi0AFAAGAAgAAAAhAFr0LFu/AAAAFQEAAAsA&#10;AAAAAAAAAAAAAAAAHwEAAF9yZWxzLy5yZWxzUEsBAi0AFAAGAAgAAAAhANUN4yLEAAAA3gAAAA8A&#10;AAAAAAAAAAAAAAAABwIAAGRycy9kb3ducmV2LnhtbFBLBQYAAAAAAwADALcAAAD4AgAAAAA=&#10;" filled="f" stroked="f">
                  <v:textbox inset="0,0,0,0">
                    <w:txbxContent>
                      <w:p w14:paraId="0A8370B3" w14:textId="77777777" w:rsidR="00B32EF2" w:rsidRDefault="00000000">
                        <w:r>
                          <w:rPr>
                            <w:rFonts w:ascii="Arial" w:eastAsia="Arial" w:hAnsi="Arial" w:cs="Arial"/>
                            <w:sz w:val="18"/>
                          </w:rPr>
                          <w:t>giorni dalla data di notificazione dell’atto impugnato. La notificazione della car</w:t>
                        </w:r>
                      </w:p>
                    </w:txbxContent>
                  </v:textbox>
                </v:rect>
                <v:rect id="Rectangle 18638" o:spid="_x0000_s4013" style="position:absolute;left:191;top:14329;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ndQyAAAAN4AAAAPAAAAZHJzL2Rvd25yZXYueG1sRI9Pa8Mw&#10;DMXvg30Ho8Fuq7MNSkjrltJRlsMu/TPYUcRqkjaWTew22T79dCj0JvGe3vtpvhxdp67Ux9azgddJ&#10;Boq48rbl2sBhv3nJQcWEbLHzTAZ+KcJy8fgwx8L6gbd03aVaSQjHAg00KYVC61g15DBOfCAW7eh7&#10;h0nWvta2x0HCXaffsmyqHbYsDQ0GWjdUnXcXZ+Dng0O5GXR1/FuHr1OZd5+Xw7cxz0/jagYq0Zju&#10;5tt1aQU/n74Lr7wjM+jFPwAAAP//AwBQSwECLQAUAAYACAAAACEA2+H2y+4AAACFAQAAEwAAAAAA&#10;AAAAAAAAAAAAAAAAW0NvbnRlbnRfVHlwZXNdLnhtbFBLAQItABQABgAIAAAAIQBa9CxbvwAAABUB&#10;AAALAAAAAAAAAAAAAAAAAB8BAABfcmVscy8ucmVsc1BLAQItABQABgAIAAAAIQCkkndQyAAAAN4A&#10;AAAPAAAAAAAAAAAAAAAAAAcCAABkcnMvZG93bnJldi54bWxQSwUGAAAAAAMAAwC3AAAA/AIAAAAA&#10;" filled="f" stroked="f">
                  <v:textbox inset="0,0,0,0">
                    <w:txbxContent>
                      <w:p w14:paraId="33AFA89A" w14:textId="77777777" w:rsidR="00B32EF2" w:rsidRDefault="00000000">
                        <w:r>
                          <w:rPr>
                            <w:rFonts w:ascii="Arial" w:eastAsia="Arial" w:hAnsi="Arial" w:cs="Arial"/>
                            <w:sz w:val="18"/>
                          </w:rPr>
                          <w:t>-</w:t>
                        </w:r>
                      </w:p>
                    </w:txbxContent>
                  </v:textbox>
                </v:rect>
                <v:rect id="Rectangle 18639" o:spid="_x0000_s4014" style="position:absolute;left:-861;top:13096;width:407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tLLxAAAAN4AAAAPAAAAZHJzL2Rvd25yZXYueG1sRE9Na8JA&#10;EL0X/A/LCN7qxgqSRlcRRZpDL7UKHofsmESzs0t2NdFf3y0UepvH+5zFqjeNuFPra8sKJuMEBHFh&#10;dc2lgsP37jUF4QOyxsYyKXiQh9Vy8LLATNuOv+i+D6WIIewzVFCF4DIpfVGRQT+2jjhyZ9saDBG2&#10;pdQtdjHcNPItSWbSYM2xoUJHm4qK6/5mFJy27PJdJ4vzc+M+L3nafNwOR6VGw349BxGoD//iP3eu&#10;4/x0Nn2H33fiDXL5AwAA//8DAFBLAQItABQABgAIAAAAIQDb4fbL7gAAAIUBAAATAAAAAAAAAAAA&#10;AAAAAAAAAABbQ29udGVudF9UeXBlc10ueG1sUEsBAi0AFAAGAAgAAAAhAFr0LFu/AAAAFQEAAAsA&#10;AAAAAAAAAAAAAAAAHwEAAF9yZWxzLy5yZWxzUEsBAi0AFAAGAAgAAAAhAMve0svEAAAA3gAAAA8A&#10;AAAAAAAAAAAAAAAABwIAAGRycy9kb3ducmV2LnhtbFBLBQYAAAAAAwADALcAAAD4AgAAAAA=&#10;" filled="f" stroked="f">
                  <v:textbox inset="0,0,0,0">
                    <w:txbxContent>
                      <w:p w14:paraId="67227FA8" w14:textId="77777777" w:rsidR="00B32EF2" w:rsidRDefault="00000000">
                        <w:r>
                          <w:rPr>
                            <w:rFonts w:ascii="Arial" w:eastAsia="Arial" w:hAnsi="Arial" w:cs="Arial"/>
                            <w:sz w:val="18"/>
                          </w:rPr>
                          <w:t xml:space="preserve">tella di pagamento vale anche come notificazione del ruolo. </w:t>
                        </w:r>
                      </w:p>
                    </w:txbxContent>
                  </v:textbox>
                </v:rect>
                <v:rect id="Rectangle 201068" o:spid="_x0000_s4015" style="position:absolute;left:-13818;top:1186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NowwAAAN8AAAAPAAAAZHJzL2Rvd25yZXYueG1sRE/LisIw&#10;FN0P+A/hCrMbE12IVKOIInbhxhe4vDTXtjPNTWii7fj1k8WAy8N5L1a9bcST2lA71jAeKRDEhTM1&#10;lxou593XDESIyAYbx6ThlwKsloOPBWbGdXyk5ymWIoVwyFBDFaPPpAxFRRbDyHnixN1dazEm2JbS&#10;tNilcNvIiVJTabHm1FChp01Fxc/pYTXctuzzXSeL+2vjD9/5rNk/LletP4f9eg4iUh/f4n93bjRM&#10;1FhN0+D0J30BufwDAAD//wMAUEsBAi0AFAAGAAgAAAAhANvh9svuAAAAhQEAABMAAAAAAAAAAAAA&#10;AAAAAAAAAFtDb250ZW50X1R5cGVzXS54bWxQSwECLQAUAAYACAAAACEAWvQsW78AAAAVAQAACwAA&#10;AAAAAAAAAAAAAAAfAQAAX3JlbHMvLnJlbHNQSwECLQAUAAYACAAAACEAlBzTaMMAAADfAAAADwAA&#10;AAAAAAAAAAAAAAAHAgAAZHJzL2Rvd25yZXYueG1sUEsFBgAAAAADAAMAtwAAAPcCAAAAAA==&#10;" filled="f" stroked="f">
                  <v:textbox inset="0,0,0,0">
                    <w:txbxContent>
                      <w:p w14:paraId="5324FA5E" w14:textId="77777777" w:rsidR="00B32EF2" w:rsidRDefault="00000000">
                        <w:r>
                          <w:rPr>
                            <w:rFonts w:ascii="Arial" w:eastAsia="Arial" w:hAnsi="Arial" w:cs="Arial"/>
                            <w:sz w:val="18"/>
                          </w:rPr>
                          <w:t xml:space="preserve">. Il ricorso avverso il rifiuto tacito di cui all’articolo 65, comma 1, lettere i) e l), </w:t>
                        </w:r>
                      </w:p>
                    </w:txbxContent>
                  </v:textbox>
                </v:rect>
                <v:rect id="Rectangle 201067" o:spid="_x0000_s4016" style="position:absolute;left:26109;top:11862;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0caxwAAAN8AAAAPAAAAZHJzL2Rvd25yZXYueG1sRI9PawIx&#10;FMTvQr9DeIXeNNGDytYoxSLdQy/+gx4fm+fu6uYlbKK77advBMHjMDO/YRar3jbiRm2oHWsYjxQI&#10;4sKZmksNh/1mOAcRIrLBxjFp+KUAq+XLYIGZcR1v6baLpUgQDhlqqGL0mZShqMhiGDlPnLyTay3G&#10;JNtSmha7BLeNnCg1lRZrTgsVelpXVFx2V6vh55N9vulkcfpb++9zPm++roej1m+v/cc7iEh9fIYf&#10;7dxomKixms7g/id9Abn8BwAA//8DAFBLAQItABQABgAIAAAAIQDb4fbL7gAAAIUBAAATAAAAAAAA&#10;AAAAAAAAAAAAAABbQ29udGVudF9UeXBlc10ueG1sUEsBAi0AFAAGAAgAAAAhAFr0LFu/AAAAFQEA&#10;AAsAAAAAAAAAAAAAAAAAHwEAAF9yZWxzLy5yZWxzUEsBAi0AFAAGAAgAAAAhAOWDRxrHAAAA3wAA&#10;AA8AAAAAAAAAAAAAAAAABwIAAGRycy9kb3ducmV2LnhtbFBLBQYAAAAAAwADALcAAAD7AgAAAAA=&#10;" filled="f" stroked="f">
                  <v:textbox inset="0,0,0,0">
                    <w:txbxContent>
                      <w:p w14:paraId="0FF8829A" w14:textId="77777777" w:rsidR="00B32EF2" w:rsidRDefault="00000000">
                        <w:r>
                          <w:rPr>
                            <w:rFonts w:ascii="Arial" w:eastAsia="Arial" w:hAnsi="Arial" w:cs="Arial"/>
                            <w:sz w:val="18"/>
                          </w:rPr>
                          <w:t>2</w:t>
                        </w:r>
                      </w:p>
                    </w:txbxContent>
                  </v:textbox>
                </v:rect>
                <v:rect id="Rectangle 18641" o:spid="_x0000_s4017" style="position:absolute;left:-13171;top:10629;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q2wxAAAAN4AAAAPAAAAZHJzL2Rvd25yZXYueG1sRE9Li8Iw&#10;EL4L/ocwwt40VRYpXaOIItvDXnws7HFoxrZrMwlNtN399UYQvM3H95zFqjeNuFHra8sKppMEBHFh&#10;dc2lgtNxN05B+ICssbFMCv7Iw2o5HCww07bjPd0OoRQxhH2GCqoQXCalLyoy6CfWEUfubFuDIcK2&#10;lLrFLoabRs6SZC4N1hwbKnS0qai4HK5Gwc+WXb7rZHH+37iv3zxtPq+nb6XeRv36A0SgPrzET3eu&#10;4/x0/j6FxzvxBrm8AwAA//8DAFBLAQItABQABgAIAAAAIQDb4fbL7gAAAIUBAAATAAAAAAAAAAAA&#10;AAAAAAAAAABbQ29udGVudF9UeXBlc10ueG1sUEsBAi0AFAAGAAgAAAAhAFr0LFu/AAAAFQEAAAsA&#10;AAAAAAAAAAAAAAAAHwEAAF9yZWxzLy5yZWxzUEsBAi0AFAAGAAgAAAAhAG2urbDEAAAA3gAAAA8A&#10;AAAAAAAAAAAAAAAABwIAAGRycy9kb3ducmV2LnhtbFBLBQYAAAAAAwADALcAAAD4AgAAAAA=&#10;" filled="f" stroked="f">
                  <v:textbox inset="0,0,0,0">
                    <w:txbxContent>
                      <w:p w14:paraId="452BF003" w14:textId="77777777" w:rsidR="00B32EF2" w:rsidRDefault="00000000">
                        <w:r>
                          <w:rPr>
                            <w:rFonts w:ascii="Arial" w:eastAsia="Arial" w:hAnsi="Arial" w:cs="Arial"/>
                            <w:sz w:val="18"/>
                          </w:rPr>
                          <w:t xml:space="preserve">può essere proposto dopo il novantesimo giorno dalla domanda di restituzione </w:t>
                        </w:r>
                      </w:p>
                    </w:txbxContent>
                  </v:textbox>
                </v:rect>
                <v:rect id="Rectangle 18642" o:spid="_x0000_s4018" style="position:absolute;left:-13171;top:9396;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DPHxAAAAN4AAAAPAAAAZHJzL2Rvd25yZXYueG1sRE9Na8JA&#10;EL0X/A/LFLzVTaVISF1FFGkOXqoRPA7ZMUnNzi7Z1UR/fbdQ8DaP9znz5WBacaPON5YVvE8SEMSl&#10;1Q1XCorD9i0F4QOyxtYyKbiTh+Vi9DLHTNuev+m2D5WIIewzVFCH4DIpfVmTQT+xjjhyZ9sZDBF2&#10;ldQd9jHctHKaJDNpsOHYUKOjdU3lZX81Ck4bdvm2l+X5sXa7nzxtv67FUanx67D6BBFoCE/xvzvX&#10;cX46+5jC3zvxBrn4BQAA//8DAFBLAQItABQABgAIAAAAIQDb4fbL7gAAAIUBAAATAAAAAAAAAAAA&#10;AAAAAAAAAABbQ29udGVudF9UeXBlc10ueG1sUEsBAi0AFAAGAAgAAAAhAFr0LFu/AAAAFQEAAAsA&#10;AAAAAAAAAAAAAAAAHwEAAF9yZWxzLy5yZWxzUEsBAi0AFAAGAAgAAAAhAJ18M8fEAAAA3gAAAA8A&#10;AAAAAAAAAAAAAAAABwIAAGRycy9kb3ducmV2LnhtbFBLBQYAAAAAAwADALcAAAD4AgAAAAA=&#10;" filled="f" stroked="f">
                  <v:textbox inset="0,0,0,0">
                    <w:txbxContent>
                      <w:p w14:paraId="3824C653" w14:textId="77777777" w:rsidR="00B32EF2" w:rsidRDefault="00000000">
                        <w:r>
                          <w:rPr>
                            <w:rFonts w:ascii="Arial" w:eastAsia="Arial" w:hAnsi="Arial" w:cs="Arial"/>
                            <w:sz w:val="18"/>
                          </w:rPr>
                          <w:t xml:space="preserve">o di autotutela presentata entro i termini previsti da ciascuna legge d’imposta </w:t>
                        </w:r>
                      </w:p>
                    </w:txbxContent>
                  </v:textbox>
                </v:rect>
                <v:rect id="Rectangle 18643" o:spid="_x0000_s4019" style="position:absolute;left:-12192;top:8162;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JZcxAAAAN4AAAAPAAAAZHJzL2Rvd25yZXYueG1sRE9Na8JA&#10;EL0X/A/LCN7qxlokRFcRRZpDL7UKHofsmESzs0t2NdFf3y0UepvH+5zFqjeNuFPra8sKJuMEBHFh&#10;dc2lgsP37jUF4QOyxsYyKXiQh9Vy8LLATNuOv+i+D6WIIewzVFCF4DIpfVGRQT+2jjhyZ9saDBG2&#10;pdQtdjHcNPItSWbSYM2xoUJHm4qK6/5mFJy27PJdJ4vzc+M+L3nafNwOR6VGw349BxGoD//iP3eu&#10;4/x09j6F33fiDXL5AwAA//8DAFBLAQItABQABgAIAAAAIQDb4fbL7gAAAIUBAAATAAAAAAAAAAAA&#10;AAAAAAAAAABbQ29udGVudF9UeXBlc10ueG1sUEsBAi0AFAAGAAgAAAAhAFr0LFu/AAAAFQEAAAsA&#10;AAAAAAAAAAAAAAAAHwEAAF9yZWxzLy5yZWxzUEsBAi0AFAAGAAgAAAAhAPIwllzEAAAA3gAAAA8A&#10;AAAAAAAAAAAAAAAABwIAAGRycy9kb3ducmV2LnhtbFBLBQYAAAAAAwADALcAAAD4AgAAAAA=&#10;" filled="f" stroked="f">
                  <v:textbox inset="0,0,0,0">
                    <w:txbxContent>
                      <w:p w14:paraId="264EFF17" w14:textId="77777777" w:rsidR="00B32EF2" w:rsidRDefault="00000000">
                        <w:r>
                          <w:rPr>
                            <w:rFonts w:ascii="Arial" w:eastAsia="Arial" w:hAnsi="Arial" w:cs="Arial"/>
                            <w:sz w:val="18"/>
                          </w:rPr>
                          <w:t>e fino a quando il diritto alla restituzione non è prescritto. La domanda di re</w:t>
                        </w:r>
                      </w:p>
                    </w:txbxContent>
                  </v:textbox>
                </v:rect>
                <v:rect id="Rectangle 18644" o:spid="_x0000_s4020" style="position:absolute;left:191;top:8162;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Q4oxAAAAN4AAAAPAAAAZHJzL2Rvd25yZXYueG1sRE9Na8JA&#10;EL0X/A/LFLzVTYtISF1FFGkOXqoRPA7ZMUnNzi7Z1UR/fbdQ8DaP9znz5WBacaPON5YVvE8SEMSl&#10;1Q1XCorD9i0F4QOyxtYyKbiTh+Vi9DLHTNuev+m2D5WIIewzVFCH4DIpfVmTQT+xjjhyZ9sZDBF2&#10;ldQd9jHctPIjSWbSYMOxoUZH65rKy/5qFJw27PJtL8vzY+12P3nafl2Lo1Lj12H1CSLQEJ7if3eu&#10;4/x0Np3C3zvxBrn4BQAA//8DAFBLAQItABQABgAIAAAAIQDb4fbL7gAAAIUBAAATAAAAAAAAAAAA&#10;AAAAAAAAAABbQ29udGVudF9UeXBlc10ueG1sUEsBAi0AFAAGAAgAAAAhAFr0LFu/AAAAFQEAAAsA&#10;AAAAAAAAAAAAAAAAHwEAAF9yZWxzLy5yZWxzUEsBAi0AFAAGAAgAAAAhAH3ZDijEAAAA3gAAAA8A&#10;AAAAAAAAAAAAAAAABwIAAGRycy9kb3ducmV2LnhtbFBLBQYAAAAAAwADALcAAAD4AgAAAAA=&#10;" filled="f" stroked="f">
                  <v:textbox inset="0,0,0,0">
                    <w:txbxContent>
                      <w:p w14:paraId="7ED6CDC5" w14:textId="77777777" w:rsidR="00B32EF2" w:rsidRDefault="00000000">
                        <w:r>
                          <w:rPr>
                            <w:rFonts w:ascii="Arial" w:eastAsia="Arial" w:hAnsi="Arial" w:cs="Arial"/>
                            <w:sz w:val="18"/>
                          </w:rPr>
                          <w:t>-</w:t>
                        </w:r>
                      </w:p>
                    </w:txbxContent>
                  </v:textbox>
                </v:rect>
                <v:rect id="Rectangle 18645" o:spid="_x0000_s4021" style="position:absolute;left:-13172;top:692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uzxAAAAN4AAAAPAAAAZHJzL2Rvd25yZXYueG1sRE9Na8JA&#10;EL0X/A/LCN7qxmIlRFcRRZpDL7UKHofsmESzs0t2NdFf3y0UepvH+5zFqjeNuFPra8sKJuMEBHFh&#10;dc2lgsP37jUF4QOyxsYyKXiQh9Vy8LLATNuOv+i+D6WIIewzVFCF4DIpfVGRQT+2jjhyZ9saDBG2&#10;pdQtdjHcNPItSWbSYM2xoUJHm4qK6/5mFJy27PJdJ4vzc+M+L3nafNwOR6VGw349BxGoD//iP3eu&#10;4/x0Nn2H33fiDXL5AwAA//8DAFBLAQItABQABgAIAAAAIQDb4fbL7gAAAIUBAAATAAAAAAAAAAAA&#10;AAAAAAAAAABbQ29udGVudF9UeXBlc10ueG1sUEsBAi0AFAAGAAgAAAAhAFr0LFu/AAAAFQEAAAsA&#10;AAAAAAAAAAAAAAAAHwEAAF9yZWxzLy5yZWxzUEsBAi0AFAAGAAgAAAAhABKVq7PEAAAA3gAAAA8A&#10;AAAAAAAAAAAAAAAABwIAAGRycy9kb3ducmV2LnhtbFBLBQYAAAAAAwADALcAAAD4AgAAAAA=&#10;" filled="f" stroked="f">
                  <v:textbox inset="0,0,0,0">
                    <w:txbxContent>
                      <w:p w14:paraId="665AF455" w14:textId="77777777" w:rsidR="00B32EF2" w:rsidRDefault="00000000">
                        <w:r>
                          <w:rPr>
                            <w:rFonts w:ascii="Arial" w:eastAsia="Arial" w:hAnsi="Arial" w:cs="Arial"/>
                            <w:sz w:val="18"/>
                          </w:rPr>
                          <w:t xml:space="preserve">stituzione, in mancanza di disposizioni specifiche, non può essere presentata </w:t>
                        </w:r>
                      </w:p>
                    </w:txbxContent>
                  </v:textbox>
                </v:rect>
                <v:rect id="Rectangle 18646" o:spid="_x0000_s4022" style="position:absolute;left:-12205;top:5696;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zXExAAAAN4AAAAPAAAAZHJzL2Rvd25yZXYueG1sRE9Na8JA&#10;EL0X/A/LCN7qRpEQoquIIubQS62CxyE7Jmmzs0t2NbG/vlso9DaP9zmrzWBa8aDON5YVzKYJCOLS&#10;6oYrBeePw2sGwgdkja1lUvAkD5v16GWFubY9v9PjFCoRQ9jnqKAOweVS+rImg35qHXHkbrYzGCLs&#10;Kqk77GO4aeU8SVJpsOHYUKOjXU3l1+luFFz37IpDL8vb9869fRZZe7yfL0pNxsN2CSLQEP7Ff+5C&#10;x/lZukjh9514g1z/AAAA//8DAFBLAQItABQABgAIAAAAIQDb4fbL7gAAAIUBAAATAAAAAAAAAAAA&#10;AAAAAAAAAABbQ29udGVudF9UeXBlc10ueG1sUEsBAi0AFAAGAAgAAAAhAFr0LFu/AAAAFQEAAAsA&#10;AAAAAAAAAAAAAAAAHwEAAF9yZWxzLy5yZWxzUEsBAi0AFAAGAAgAAAAhAOJHNcTEAAAA3gAAAA8A&#10;AAAAAAAAAAAAAAAABwIAAGRycy9kb3ducmV2LnhtbFBLBQYAAAAAAwADALcAAAD4AgAAAAA=&#10;" filled="f" stroked="f">
                  <v:textbox inset="0,0,0,0">
                    <w:txbxContent>
                      <w:p w14:paraId="50F1C33F" w14:textId="77777777" w:rsidR="00B32EF2" w:rsidRDefault="00000000">
                        <w:r>
                          <w:rPr>
                            <w:rFonts w:ascii="Arial" w:eastAsia="Arial" w:hAnsi="Arial" w:cs="Arial"/>
                            <w:sz w:val="18"/>
                          </w:rPr>
                          <w:t>dopo due anni dal pagamento ovvero, se posteriore, dal giorno in cui si è veri</w:t>
                        </w:r>
                      </w:p>
                    </w:txbxContent>
                  </v:textbox>
                </v:rect>
                <v:rect id="Rectangle 18647" o:spid="_x0000_s4023" style="position:absolute;left:191;top:5696;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5BfxAAAAN4AAAAPAAAAZHJzL2Rvd25yZXYueG1sRE9Na8JA&#10;EL0X/A/LCN7qxiI2RFcRRZpDL7UKHofsmESzs0t2NdFf3y0UepvH+5zFqjeNuFPra8sKJuMEBHFh&#10;dc2lgsP37jUF4QOyxsYyKXiQh9Vy8LLATNuOv+i+D6WIIewzVFCF4DIpfVGRQT+2jjhyZ9saDBG2&#10;pdQtdjHcNPItSWbSYM2xoUJHm4qK6/5mFJy27PJdJ4vzc+M+L3nafNwOR6VGw349BxGoD//iP3eu&#10;4/x0Nn2H33fiDXL5AwAA//8DAFBLAQItABQABgAIAAAAIQDb4fbL7gAAAIUBAAATAAAAAAAAAAAA&#10;AAAAAAAAAABbQ29udGVudF9UeXBlc10ueG1sUEsBAi0AFAAGAAgAAAAhAFr0LFu/AAAAFQEAAAsA&#10;AAAAAAAAAAAAAAAAHwEAAF9yZWxzLy5yZWxzUEsBAi0AFAAGAAgAAAAhAI0LkF/EAAAA3gAAAA8A&#10;AAAAAAAAAAAAAAAABwIAAGRycy9kb3ducmV2LnhtbFBLBQYAAAAAAwADALcAAAD4AgAAAAA=&#10;" filled="f" stroked="f">
                  <v:textbox inset="0,0,0,0">
                    <w:txbxContent>
                      <w:p w14:paraId="48ECCF68" w14:textId="77777777" w:rsidR="00B32EF2" w:rsidRDefault="00000000">
                        <w:r>
                          <w:rPr>
                            <w:rFonts w:ascii="Arial" w:eastAsia="Arial" w:hAnsi="Arial" w:cs="Arial"/>
                            <w:sz w:val="18"/>
                          </w:rPr>
                          <w:t>-</w:t>
                        </w:r>
                      </w:p>
                    </w:txbxContent>
                  </v:textbox>
                </v:rect>
                <v:rect id="Rectangle 18648" o:spid="_x0000_s4024" style="position:absolute;left:13258;top:4463;width:2665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AQtyAAAAN4AAAAPAAAAZHJzL2Rvd25yZXYueG1sRI9Pa8Mw&#10;DMXvg30Ho8Fuq7MxSkjrltJRlsMu/TPYUcRqkjaWTew22T79dCj0JvGe3vtpvhxdp67Ux9azgddJ&#10;Boq48rbl2sBhv3nJQcWEbLHzTAZ+KcJy8fgwx8L6gbd03aVaSQjHAg00KYVC61g15DBOfCAW7eh7&#10;h0nWvta2x0HCXaffsmyqHbYsDQ0GWjdUnXcXZ+Dng0O5GXR1/FuHr1OZd5+Xw7cxz0/jagYq0Zju&#10;5tt1aQU/n74Lr7wjM+jFPwAAAP//AwBQSwECLQAUAAYACAAAACEA2+H2y+4AAACFAQAAEwAAAAAA&#10;AAAAAAAAAAAAAAAAW0NvbnRlbnRfVHlwZXNdLnhtbFBLAQItABQABgAIAAAAIQBa9CxbvwAAABUB&#10;AAALAAAAAAAAAAAAAAAAAB8BAABfcmVscy8ucmVsc1BLAQItABQABgAIAAAAIQD8lAQtyAAAAN4A&#10;AAAPAAAAAAAAAAAAAAAAAAcCAABkcnMvZG93bnJldi54bWxQSwUGAAAAAAMAAwC3AAAA/AIAAAAA&#10;" filled="f" stroked="f">
                  <v:textbox inset="0,0,0,0">
                    <w:txbxContent>
                      <w:p w14:paraId="34726269" w14:textId="77777777" w:rsidR="00B32EF2" w:rsidRDefault="00000000">
                        <w:r>
                          <w:rPr>
                            <w:rFonts w:ascii="Arial" w:eastAsia="Arial" w:hAnsi="Arial" w:cs="Arial"/>
                            <w:sz w:val="18"/>
                          </w:rPr>
                          <w:t>ficato il presupposto per la restituzione.</w:t>
                        </w:r>
                      </w:p>
                    </w:txbxContent>
                  </v:textbox>
                </v:rect>
                <v:shape id="Shape 207950" o:spid="_x0000_s4025" style="position:absolute;left:317;top:32272;width:39600;height:30293;visibility:visible;mso-wrap-style:square;v-text-anchor:top" coordsize="3960000,3029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uMMxgAAAN8AAAAPAAAAZHJzL2Rvd25yZXYueG1sRI/NasJA&#10;FIX3Bd9huEJ3dWIgtY2OUq1SQVzUFnR5yVyT2MydkJnE+PbOQujycP74ZoveVKKjxpWWFYxHEQji&#10;zOqScwW/P5uXNxDOI2usLJOCGzlYzAdPM0y1vfI3dQefizDCLkUFhfd1KqXLCjLoRrYmDt7ZNgZ9&#10;kE0udYPXMG4qGUfRqzRYcngosKZVQdnfoTUKTgm26+rIy8zJ2670l6/9556Veh72H1MQnnr/H360&#10;t1pBHE3ek0AQeAILyPkdAAD//wMAUEsBAi0AFAAGAAgAAAAhANvh9svuAAAAhQEAABMAAAAAAAAA&#10;AAAAAAAAAAAAAFtDb250ZW50X1R5cGVzXS54bWxQSwECLQAUAAYACAAAACEAWvQsW78AAAAVAQAA&#10;CwAAAAAAAAAAAAAAAAAfAQAAX3JlbHMvLnJlbHNQSwECLQAUAAYACAAAACEARxbjDMYAAADfAAAA&#10;DwAAAAAAAAAAAAAAAAAHAgAAZHJzL2Rvd25yZXYueG1sUEsFBgAAAAADAAMAtwAAAPoCAAAAAA==&#10;" path="m,l3960000,r,3029306l,3029306,,e" fillcolor="#c3c3c3" stroked="f" strokeweight="0">
                  <v:stroke miterlimit="83231f" joinstyle="miter"/>
                  <v:path arrowok="t" textboxrect="0,0,3960000,3029306"/>
                </v:shape>
                <v:rect id="Rectangle 18650" o:spid="_x0000_s4026" style="position:absolute;left:-10908;top:60352;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572yAAAAN4AAAAPAAAAZHJzL2Rvd25yZXYueG1sRI9Pa8Mw&#10;DMXvg30Ho8Fuq7PBSkjrltJRlsMu/TPYUcRqkjaWTew22T79dCj0JqGn995vvhxdp67Ux9azgddJ&#10;Boq48rbl2sBhv3nJQcWEbLHzTAZ+KcJy8fgwx8L6gbd03aVaiQnHAg00KYVC61g15DBOfCCW29H3&#10;DpOsfa1tj4OYu06/ZdlUO2xZEhoMtG6oOu8uzsDPB4dyM+jq+LcOX6cy7z4vh29jnp/G1QxUojHd&#10;xbfv0kr9fPouAIIjM+jFPwAAAP//AwBQSwECLQAUAAYACAAAACEA2+H2y+4AAACFAQAAEwAAAAAA&#10;AAAAAAAAAAAAAAAAW0NvbnRlbnRfVHlwZXNdLnhtbFBLAQItABQABgAIAAAAIQBa9CxbvwAAABUB&#10;AAALAAAAAAAAAAAAAAAAAB8BAABfcmVscy8ucmVsc1BLAQItABQABgAIAAAAIQCHO572yAAAAN4A&#10;AAAPAAAAAAAAAAAAAAAAAAcCAABkcnMvZG93bnJldi54bWxQSwUGAAAAAAMAAwC3AAAA/AIAAAAA&#10;" filled="f" stroked="f">
                  <v:textbox inset="0,0,0,0">
                    <w:txbxContent>
                      <w:p w14:paraId="6DBF6C0A" w14:textId="77777777" w:rsidR="00B32EF2" w:rsidRDefault="00000000">
                        <w:r>
                          <w:rPr>
                            <w:rFonts w:ascii="Arial" w:eastAsia="Arial" w:hAnsi="Arial" w:cs="Arial"/>
                            <w:i/>
                            <w:sz w:val="18"/>
                          </w:rPr>
                          <w:t>d) errore materiale del contribuente, facilmente riconoscibile dall’ammini</w:t>
                        </w:r>
                      </w:p>
                    </w:txbxContent>
                  </v:textbox>
                </v:rect>
                <v:rect id="Rectangle 18651" o:spid="_x0000_s4027" style="position:absolute;left:974;top:60352;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zttxAAAAN4AAAAPAAAAZHJzL2Rvd25yZXYueG1sRE9Li8Iw&#10;EL4L/ocwwt40VVgpXaOIItvDXnws7HFoxrZrMwlNtN399UYQvM3H95zFqjeNuFHra8sKppMEBHFh&#10;dc2lgtNxN05B+ICssbFMCv7Iw2o5HCww07bjPd0OoRQxhH2GCqoQXCalLyoy6CfWEUfubFuDIcK2&#10;lLrFLoabRs6SZC4N1hwbKnS0qai4HK5Gwc+WXb7rZHH+37iv3zxtPq+nb6XeRv36A0SgPrzET3eu&#10;4/x0/j6FxzvxBrm8AwAA//8DAFBLAQItABQABgAIAAAAIQDb4fbL7gAAAIUBAAATAAAAAAAAAAAA&#10;AAAAAAAAAABbQ29udGVudF9UeXBlc10ueG1sUEsBAi0AFAAGAAgAAAAhAFr0LFu/AAAAFQEAAAsA&#10;AAAAAAAAAAAAAAAAHwEAAF9yZWxzLy5yZWxzUEsBAi0AFAAGAAgAAAAhAOh3O23EAAAA3gAAAA8A&#10;AAAAAAAAAAAAAAAABwIAAGRycy9kb3ducmV2LnhtbFBLBQYAAAAAAwADALcAAAD4AgAAAAA=&#10;" filled="f" stroked="f">
                  <v:textbox inset="0,0,0,0">
                    <w:txbxContent>
                      <w:p w14:paraId="26DA435C" w14:textId="77777777" w:rsidR="00B32EF2" w:rsidRDefault="00000000">
                        <w:r>
                          <w:rPr>
                            <w:rFonts w:ascii="Arial" w:eastAsia="Arial" w:hAnsi="Arial" w:cs="Arial"/>
                            <w:i/>
                            <w:sz w:val="18"/>
                          </w:rPr>
                          <w:t>-</w:t>
                        </w:r>
                      </w:p>
                    </w:txbxContent>
                  </v:textbox>
                </v:rect>
                <v:rect id="Rectangle 18652" o:spid="_x0000_s4028" style="position:absolute;left:25065;top:59045;width:1407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aUaxAAAAN4AAAAPAAAAZHJzL2Rvd25yZXYueG1sRE9Na8JA&#10;EL0X/A/LFLzVTYVKSF1FFGkOXqoRPA7ZMUnNzi7Z1UR/fbdQ8DaP9znz5WBacaPON5YVvE8SEMSl&#10;1Q1XCorD9i0F4QOyxtYyKbiTh+Vi9DLHTNuev+m2D5WIIewzVFCH4DIpfVmTQT+xjjhyZ9sZDBF2&#10;ldQd9jHctHKaJDNpsOHYUKOjdU3lZX81Ck4bdvm2l+X5sXa7nzxtv67FUanx67D6BBFoCE/xvzvX&#10;cX46+5jC3zvxBrn4BQAA//8DAFBLAQItABQABgAIAAAAIQDb4fbL7gAAAIUBAAATAAAAAAAAAAAA&#10;AAAAAAAAAABbQ29udGVudF9UeXBlc10ueG1sUEsBAi0AFAAGAAgAAAAhAFr0LFu/AAAAFQEAAAsA&#10;AAAAAAAAAAAAAAAAHwEAAF9yZWxzLy5yZWxzUEsBAi0AFAAGAAgAAAAhABilpRrEAAAA3gAAAA8A&#10;AAAAAAAAAAAAAAAABwIAAGRycy9kb3ducmV2LnhtbFBLBQYAAAAAAwADALcAAAD4AgAAAAA=&#10;" filled="f" stroked="f">
                  <v:textbox inset="0,0,0,0">
                    <w:txbxContent>
                      <w:p w14:paraId="04650C39" w14:textId="77777777" w:rsidR="00B32EF2" w:rsidRDefault="00000000">
                        <w:r>
                          <w:rPr>
                            <w:rFonts w:ascii="Arial" w:eastAsia="Arial" w:hAnsi="Arial" w:cs="Arial"/>
                            <w:i/>
                            <w:sz w:val="18"/>
                          </w:rPr>
                          <w:t>strazione finanziaria;</w:t>
                        </w:r>
                      </w:p>
                    </w:txbxContent>
                  </v:textbox>
                </v:rect>
                <v:rect id="Rectangle 18653" o:spid="_x0000_s4029" style="position:absolute;left:14532;top:57737;width:246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QCBxAAAAN4AAAAPAAAAZHJzL2Rvd25yZXYueG1sRE9Na8JA&#10;EL0X/A/LCN7qxkolRFcRRZpDL7UKHofsmESzs0t2NdFf3y0UepvH+5zFqjeNuFPra8sKJuMEBHFh&#10;dc2lgsP37jUF4QOyxsYyKXiQh9Vy8LLATNuOv+i+D6WIIewzVFCF4DIpfVGRQT+2jjhyZ9saDBG2&#10;pdQtdjHcNPItSWbSYM2xoUJHm4qK6/5mFJy27PJdJ4vzc+M+L3nafNwOR6VGw349BxGoD//iP3eu&#10;4/x09j6F33fiDXL5AwAA//8DAFBLAQItABQABgAIAAAAIQDb4fbL7gAAAIUBAAATAAAAAAAAAAAA&#10;AAAAAAAAAABbQ29udGVudF9UeXBlc10ueG1sUEsBAi0AFAAGAAgAAAAhAFr0LFu/AAAAFQEAAAsA&#10;AAAAAAAAAAAAAAAAHwEAAF9yZWxzLy5yZWxzUEsBAi0AFAAGAAgAAAAhAHfpAIHEAAAA3gAAAA8A&#10;AAAAAAAAAAAAAAAABwIAAGRycy9kb3ducmV2LnhtbFBLBQYAAAAAAwADALcAAAD4AgAAAAA=&#10;" filled="f" stroked="f">
                  <v:textbox inset="0,0,0,0">
                    <w:txbxContent>
                      <w:p w14:paraId="183AC561" w14:textId="77777777" w:rsidR="00B32EF2" w:rsidRDefault="00000000">
                        <w:r>
                          <w:rPr>
                            <w:rFonts w:ascii="Arial" w:eastAsia="Arial" w:hAnsi="Arial" w:cs="Arial"/>
                            <w:i/>
                            <w:sz w:val="18"/>
                          </w:rPr>
                          <w:t>e) errore sul presupposto d’imposta;</w:t>
                        </w:r>
                      </w:p>
                    </w:txbxContent>
                  </v:textbox>
                </v:rect>
                <v:rect id="Rectangle 18654" o:spid="_x0000_s4030" style="position:absolute;left:-11219;top:56429;width:503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Jj1xAAAAN4AAAAPAAAAZHJzL2Rvd25yZXYueG1sRE9Na8JA&#10;EL0X/A/LCN7qxmIlRFcRRZpDL7UKHofsmESzs0t2NdFf3y0UepvH+5zFqjeNuFPra8sKJuMEBHFh&#10;dc2lgsP37jUF4QOyxsYyKXiQh9Vy8LLATNuOv+i+D6WIIewzVFCF4DIpfVGRQT+2jjhyZ9saDBG2&#10;pdQtdjHcNPItSWbSYM2xoUJHm4qK6/5mFJy27PJdJ4vzc+M+L3nafNwOR6VGw349BxGoD//iP3eu&#10;4/x09j6F33fiDXL5AwAA//8DAFBLAQItABQABgAIAAAAIQDb4fbL7gAAAIUBAAATAAAAAAAAAAAA&#10;AAAAAAAAAABbQ29udGVudF9UeXBlc10ueG1sUEsBAi0AFAAGAAgAAAAhAFr0LFu/AAAAFQEAAAsA&#10;AAAAAAAAAAAAAAAAHwEAAF9yZWxzLy5yZWxzUEsBAi0AFAAGAAgAAAAhAPgAmPXEAAAA3gAAAA8A&#10;AAAAAAAAAAAAAAAABwIAAGRycy9kb3ducmV2LnhtbFBLBQYAAAAAAwADALcAAAD4AgAAAAA=&#10;" filled="f" stroked="f">
                  <v:textbox inset="0,0,0,0">
                    <w:txbxContent>
                      <w:p w14:paraId="68112308" w14:textId="77777777" w:rsidR="00B32EF2" w:rsidRDefault="00000000">
                        <w:r>
                          <w:rPr>
                            <w:rFonts w:ascii="Arial" w:eastAsia="Arial" w:hAnsi="Arial" w:cs="Arial"/>
                            <w:i/>
                            <w:sz w:val="18"/>
                          </w:rPr>
                          <w:t>f) mancata considerazione di pagamenti di imposta regolarmente eseguiti;</w:t>
                        </w:r>
                      </w:p>
                    </w:txbxContent>
                  </v:textbox>
                </v:rect>
                <v:rect id="Rectangle 18655" o:spid="_x0000_s4031" style="position:absolute;left:-10908;top:55122;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D1uxAAAAN4AAAAPAAAAZHJzL2Rvd25yZXYueG1sRE9Na8JA&#10;EL0X/A/LFLzVTQtKSF1FFGkOXqoRPA7ZMUnNzi7Z1UR/fbdQ8DaP9znz5WBacaPON5YVvE8SEMSl&#10;1Q1XCorD9i0F4QOyxtYyKbiTh+Vi9DLHTNuev+m2D5WIIewzVFCH4DIpfVmTQT+xjjhyZ9sZDBF2&#10;ldQd9jHctPIjSWbSYMOxoUZH65rKy/5qFJw27PJtL8vzY+12P3nafl2Lo1Lj12H1CSLQEJ7if3eu&#10;4/x0Np3C3zvxBrn4BQAA//8DAFBLAQItABQABgAIAAAAIQDb4fbL7gAAAIUBAAATAAAAAAAAAAAA&#10;AAAAAAAAAABbQ29udGVudF9UeXBlc10ueG1sUEsBAi0AFAAGAAgAAAAhAFr0LFu/AAAAFQEAAAsA&#10;AAAAAAAAAAAAAAAAHwEAAF9yZWxzLy5yZWxzUEsBAi0AFAAGAAgAAAAhAJdMPW7EAAAA3gAAAA8A&#10;AAAAAAAAAAAAAAAABwIAAGRycy9kb3ducmV2LnhtbFBLBQYAAAAAAwADALcAAAD4AgAAAAA=&#10;" filled="f" stroked="f">
                  <v:textbox inset="0,0,0,0">
                    <w:txbxContent>
                      <w:p w14:paraId="025979E5" w14:textId="77777777" w:rsidR="00B32EF2" w:rsidRDefault="00000000">
                        <w:r>
                          <w:rPr>
                            <w:rFonts w:ascii="Arial" w:eastAsia="Arial" w:hAnsi="Arial" w:cs="Arial"/>
                            <w:i/>
                            <w:sz w:val="18"/>
                          </w:rPr>
                          <w:t>g) mancanza di documentazione successivamente sanata, non oltre i termi</w:t>
                        </w:r>
                      </w:p>
                    </w:txbxContent>
                  </v:textbox>
                </v:rect>
                <v:rect id="Rectangle 18656" o:spid="_x0000_s4032" style="position:absolute;left:974;top:55122;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qMZxAAAAN4AAAAPAAAAZHJzL2Rvd25yZXYueG1sRE9Na8JA&#10;EL0X/A/LCN7qRsEQoquIIubQS62CxyE7Jmmzs0t2NbG/vlso9DaP9zmrzWBa8aDON5YVzKYJCOLS&#10;6oYrBeePw2sGwgdkja1lUvAkD5v16GWFubY9v9PjFCoRQ9jnqKAOweVS+rImg35qHXHkbrYzGCLs&#10;Kqk77GO4aeU8SVJpsOHYUKOjXU3l1+luFFz37IpDL8vb9869fRZZe7yfL0pNxsN2CSLQEP7Ff+5C&#10;x/lZukjh9514g1z/AAAA//8DAFBLAQItABQABgAIAAAAIQDb4fbL7gAAAIUBAAATAAAAAAAAAAAA&#10;AAAAAAAAAABbQ29udGVudF9UeXBlc10ueG1sUEsBAi0AFAAGAAgAAAAhAFr0LFu/AAAAFQEAAAsA&#10;AAAAAAAAAAAAAAAAHwEAAF9yZWxzLy5yZWxzUEsBAi0AFAAGAAgAAAAhAGeeoxnEAAAA3gAAAA8A&#10;AAAAAAAAAAAAAAAABwIAAGRycy9kb3ducmV2LnhtbFBLBQYAAAAAAwADALcAAAD4AgAAAAA=&#10;" filled="f" stroked="f">
                  <v:textbox inset="0,0,0,0">
                    <w:txbxContent>
                      <w:p w14:paraId="2156FE98" w14:textId="77777777" w:rsidR="00B32EF2" w:rsidRDefault="00000000">
                        <w:r>
                          <w:rPr>
                            <w:rFonts w:ascii="Arial" w:eastAsia="Arial" w:hAnsi="Arial" w:cs="Arial"/>
                            <w:i/>
                            <w:sz w:val="18"/>
                          </w:rPr>
                          <w:t>-</w:t>
                        </w:r>
                      </w:p>
                    </w:txbxContent>
                  </v:textbox>
                </v:rect>
                <v:rect id="Rectangle 18657" o:spid="_x0000_s4033" style="position:absolute;left:14771;top:53814;width:243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gaCxAAAAN4AAAAPAAAAZHJzL2Rvd25yZXYueG1sRE9Na8JA&#10;EL0X/A/LCN7qxoI2RFcRRZpDL7UKHofsmESzs0t2NdFf3y0UepvH+5zFqjeNuFPra8sKJuMEBHFh&#10;dc2lgsP37jUF4QOyxsYyKXiQh9Vy8LLATNuOv+i+D6WIIewzVFCF4DIpfVGRQT+2jjhyZ9saDBG2&#10;pdQtdjHcNPItSWbSYM2xoUJHm4qK6/5mFJy27PJdJ4vzc+M+L3nafNwOR6VGw349BxGoD//iP3eu&#10;4/x0Nn2H33fiDXL5AwAA//8DAFBLAQItABQABgAIAAAAIQDb4fbL7gAAAIUBAAATAAAAAAAAAAAA&#10;AAAAAAAAAABbQ29udGVudF9UeXBlc10ueG1sUEsBAi0AFAAGAAgAAAAhAFr0LFu/AAAAFQEAAAsA&#10;AAAAAAAAAAAAAAAAHwEAAF9yZWxzLy5yZWxzUEsBAi0AFAAGAAgAAAAhAAjSBoLEAAAA3gAAAA8A&#10;AAAAAAAAAAAAAAAABwIAAGRycy9kb3ducmV2LnhtbFBLBQYAAAAAAwADALcAAAD4AgAAAAA=&#10;" filled="f" stroked="f">
                  <v:textbox inset="0,0,0,0">
                    <w:txbxContent>
                      <w:p w14:paraId="260286EE" w14:textId="77777777" w:rsidR="00B32EF2" w:rsidRDefault="00000000">
                        <w:r>
                          <w:rPr>
                            <w:rFonts w:ascii="Arial" w:eastAsia="Arial" w:hAnsi="Arial" w:cs="Arial"/>
                            <w:i/>
                            <w:sz w:val="18"/>
                          </w:rPr>
                          <w:t>ni ove previsti a pena di decadenza.</w:t>
                        </w:r>
                      </w:p>
                    </w:txbxContent>
                  </v:textbox>
                </v:rect>
                <v:rect id="Rectangle 201122" o:spid="_x0000_s4034" style="position:absolute;left:25800;top:52507;width:5117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1LfxwAAAN8AAAAPAAAAZHJzL2Rvd25yZXYueG1sRI9Pi8Iw&#10;FMTvC36H8ARva9oeRKpRRBF78LL+AY+P5tl2t3kJTbTd/fSbhQWPw8z8hlmuB9OKJ3W+sawgnSYg&#10;iEurG64UXM779zkIH5A1tpZJwTd5WK9Gb0vMte35g56nUIkIYZ+jgjoEl0vpy5oM+ql1xNG7285g&#10;iLKrpO6wj3DTyixJZtJgw3GhRkfbmsqv08MouO3YFftelvefrTt+FvP28LhclZqMh80CRKAhvML/&#10;7UIryJI0zTL4+xO/gFz9AgAA//8DAFBLAQItABQABgAIAAAAIQDb4fbL7gAAAIUBAAATAAAAAAAA&#10;AAAAAAAAAAAAAABbQ29udGVudF9UeXBlc10ueG1sUEsBAi0AFAAGAAgAAAAhAFr0LFu/AAAAFQEA&#10;AAsAAAAAAAAAAAAAAAAAHwEAAF9yZWxzLy5yZWxzUEsBAi0AFAAGAAgAAAAhABV/Ut/HAAAA3wAA&#10;AA8AAAAAAAAAAAAAAAAABwIAAGRycy9kb3ducmV2LnhtbFBLBQYAAAAAAwADALcAAAD7AgAAAAA=&#10;" filled="f" stroked="f">
                  <v:textbox inset="0,0,0,0">
                    <w:txbxContent>
                      <w:p w14:paraId="5B9BC3C7" w14:textId="77777777" w:rsidR="00B32EF2" w:rsidRDefault="00000000">
                        <w:r>
                          <w:rPr>
                            <w:rFonts w:ascii="Arial" w:eastAsia="Arial" w:hAnsi="Arial" w:cs="Arial"/>
                            <w:i/>
                            <w:sz w:val="18"/>
                          </w:rPr>
                          <w:t>2</w:t>
                        </w:r>
                      </w:p>
                    </w:txbxContent>
                  </v:textbox>
                </v:rect>
                <v:rect id="Rectangle 201123" o:spid="_x0000_s4035" style="position:absolute;left:-12556;top:52507;width:5117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dExwAAAN8AAAAPAAAAZHJzL2Rvd25yZXYueG1sRI9Ba8JA&#10;FITvQv/D8gredJMIIqmriCLm4EVrocdH9pmkZt8u2dXE/vpuodDjMDPfMMv1YFrxoM43lhWk0wQE&#10;cWl1w5WCy/t+sgDhA7LG1jIpeJKH9epltMRc255P9DiHSkQI+xwV1CG4XEpf1mTQT60jjt7VdgZD&#10;lF0ldYd9hJtWZkkylwYbjgs1OtrWVN7Od6Pgc8eu2PeyvH5v3fGrWLSH++VDqfHrsHkDEWgI/+G/&#10;dqEVZEmaZjP4/RO/gFz9AAAA//8DAFBLAQItABQABgAIAAAAIQDb4fbL7gAAAIUBAAATAAAAAAAA&#10;AAAAAAAAAAAAAABbQ29udGVudF9UeXBlc10ueG1sUEsBAi0AFAAGAAgAAAAhAFr0LFu/AAAAFQEA&#10;AAsAAAAAAAAAAAAAAAAAHwEAAF9yZWxzLy5yZWxzUEsBAi0AFAAGAAgAAAAhAHoz90THAAAA3wAA&#10;AA8AAAAAAAAAAAAAAAAABwIAAGRycy9kb3ducmV2LnhtbFBLBQYAAAAAAwADALcAAAD7AgAAAAA=&#10;" filled="f" stroked="f">
                  <v:textbox inset="0,0,0,0">
                    <w:txbxContent>
                      <w:p w14:paraId="38775FDC" w14:textId="77777777" w:rsidR="00B32EF2" w:rsidRDefault="00000000">
                        <w:r>
                          <w:rPr>
                            <w:rFonts w:ascii="Arial" w:eastAsia="Arial" w:hAnsi="Arial" w:cs="Arial"/>
                            <w:i/>
                            <w:sz w:val="18"/>
                          </w:rPr>
                          <w:t xml:space="preserve">. L’obbligo di cui al comma 1 non sussiste in caso di sentenza passata </w:t>
                        </w:r>
                      </w:p>
                    </w:txbxContent>
                  </v:textbox>
                </v:rect>
                <v:rect id="Rectangle 18659" o:spid="_x0000_s4036" style="position:absolute;left:-11872;top:51199;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TdrxAAAAN4AAAAPAAAAZHJzL2Rvd25yZXYueG1sRE9Na8JA&#10;EL0X/A/LCN7qxoKSRlcRRZpDL7UKHofsmESzs0t2NdFf3y0UepvH+5zFqjeNuFPra8sKJuMEBHFh&#10;dc2lgsP37jUF4QOyxsYyKXiQh9Vy8LLATNuOv+i+D6WIIewzVFCF4DIpfVGRQT+2jjhyZ9saDBG2&#10;pdQtdjHcNPItSWbSYM2xoUJHm4qK6/5mFJy27PJdJ4vzc+M+L3nafNwOR6VGw349BxGoD//iP3eu&#10;4/x0Nn2H33fiDXL5AwAA//8DAFBLAQItABQABgAIAAAAIQDb4fbL7gAAAIUBAAATAAAAAAAAAAAA&#10;AAAAAAAAAABbQ29udGVudF9UeXBlc10ueG1sUEsBAi0AFAAGAAgAAAAhAFr0LFu/AAAAFQEAAAsA&#10;AAAAAAAAAAAAAAAAHwEAAF9yZWxzLy5yZWxzUEsBAi0AFAAGAAgAAAAhABYBN2vEAAAA3gAAAA8A&#10;AAAAAAAAAAAAAAAABwIAAGRycy9kb3ducmV2LnhtbFBLBQYAAAAAAwADALcAAAD4AgAAAAA=&#10;" filled="f" stroked="f">
                  <v:textbox inset="0,0,0,0">
                    <w:txbxContent>
                      <w:p w14:paraId="1FD14418" w14:textId="77777777" w:rsidR="00B32EF2" w:rsidRDefault="00000000">
                        <w:r>
                          <w:rPr>
                            <w:rFonts w:ascii="Arial" w:eastAsia="Arial" w:hAnsi="Arial" w:cs="Arial"/>
                            <w:i/>
                            <w:sz w:val="18"/>
                          </w:rPr>
                          <w:t xml:space="preserve">in giudicato favorevole all’amministrazione finanziaria, nonchè decorso un </w:t>
                        </w:r>
                      </w:p>
                    </w:txbxContent>
                  </v:textbox>
                </v:rect>
                <v:rect id="Rectangle 18660" o:spid="_x0000_s4037" style="position:absolute;left:-5083;top:49891;width:442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1RLxwAAAN4AAAAPAAAAZHJzL2Rvd25yZXYueG1sRI9Bb8Iw&#10;DIXvk/YfIiPtNlJ2qKpCQBMTWg+7jIHE0WpMW2icqAm026+fD5N2s+Xn99632kyuV3caYufZwGKe&#10;gSKuve24MXD42j0XoGJCtth7JgPfFGGzfnxYYWn9yJ9036dGiQnHEg20KYVS61i35DDOfSCW29kP&#10;DpOsQ6PtgKOYu16/ZFmuHXYsCS0G2rZUX/c3Z+D0xqHajbo+/2zDx6Uq+vfb4WjM02x6XYJKNKV/&#10;8d93ZaV+kecCIDgyg17/AgAA//8DAFBLAQItABQABgAIAAAAIQDb4fbL7gAAAIUBAAATAAAAAAAA&#10;AAAAAAAAAAAAAABbQ29udGVudF9UeXBlc10ueG1sUEsBAi0AFAAGAAgAAAAhAFr0LFu/AAAAFQEA&#10;AAsAAAAAAAAAAAAAAAAAHwEAAF9yZWxzLy5yZWxzUEsBAi0AFAAGAAgAAAAhAElXVEvHAAAA3gAA&#10;AA8AAAAAAAAAAAAAAAAABwIAAGRycy9kb3ducmV2LnhtbFBLBQYAAAAAAwADALcAAAD7AgAAAAA=&#10;" filled="f" stroked="f">
                  <v:textbox inset="0,0,0,0">
                    <w:txbxContent>
                      <w:p w14:paraId="1511AA13" w14:textId="77777777" w:rsidR="00B32EF2" w:rsidRDefault="00000000">
                        <w:r>
                          <w:rPr>
                            <w:rFonts w:ascii="Arial" w:eastAsia="Arial" w:hAnsi="Arial" w:cs="Arial"/>
                            <w:i/>
                            <w:sz w:val="18"/>
                          </w:rPr>
                          <w:t>anno dalla definitività dell’atto viziato per mancata impugnazione.</w:t>
                        </w:r>
                      </w:p>
                    </w:txbxContent>
                  </v:textbox>
                </v:rect>
                <v:rect id="Rectangle 201118" o:spid="_x0000_s4038" style="position:absolute;left:26079;top:48584;width:500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IxQAAAN8AAAAPAAAAZHJzL2Rvd25yZXYueG1sRE89a8Mw&#10;EN0L+Q/iAtka2RmKcaOEkhDioUtcFzoe1sV2a52EpdhOfn01FDo+3vd2P5tejDT4zrKCdJ2AIK6t&#10;7rhRUH2cnjMQPiBr7C2Tgjt52O8WT1vMtZ34QmMZGhFD2OeooA3B5VL6uiWDfm0dceSudjAYIhwa&#10;qQecYrjp5SZJXqTBjmNDi44OLdU/5c0o+DqyK06TrK+Pg3v/LrL+fKs+lVot57dXEIHm8C/+cxda&#10;wSZJ0zQOjn/iF5C7XwAAAP//AwBQSwECLQAUAAYACAAAACEA2+H2y+4AAACFAQAAEwAAAAAAAAAA&#10;AAAAAAAAAAAAW0NvbnRlbnRfVHlwZXNdLnhtbFBLAQItABQABgAIAAAAIQBa9CxbvwAAABUBAAAL&#10;AAAAAAAAAAAAAAAAAB8BAABfcmVscy8ucmVsc1BLAQItABQABgAIAAAAIQC6+6+IxQAAAN8AAAAP&#10;AAAAAAAAAAAAAAAAAAcCAABkcnMvZG93bnJldi54bWxQSwUGAAAAAAMAAwC3AAAA+QIAAAAA&#10;" filled="f" stroked="f">
                  <v:textbox inset="0,0,0,0">
                    <w:txbxContent>
                      <w:p w14:paraId="2D7BC7C9" w14:textId="77777777" w:rsidR="00B32EF2" w:rsidRDefault="00000000">
                        <w:r>
                          <w:rPr>
                            <w:rFonts w:ascii="Arial" w:eastAsia="Arial" w:hAnsi="Arial" w:cs="Arial"/>
                            <w:i/>
                            <w:sz w:val="18"/>
                          </w:rPr>
                          <w:t>3</w:t>
                        </w:r>
                      </w:p>
                    </w:txbxContent>
                  </v:textbox>
                </v:rect>
                <v:rect id="Rectangle 201120" o:spid="_x0000_s4039" style="position:absolute;left:-11573;top:48584;width:500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WkzxQAAAN8AAAAPAAAAZHJzL2Rvd25yZXYueG1sRI/NisIw&#10;FIX3A75DuIK7MW0XItUooohduBlHweWlubbV5iY00dZ5+sliYJaH88e3XA+mFS/qfGNZQTpNQBCX&#10;VjdcKTh/7z/nIHxA1thaJgVv8rBejT6WmGvb8xe9TqEScYR9jgrqEFwupS9rMuin1hFH72Y7gyHK&#10;rpK6wz6Om1ZmSTKTBhuODzU62tZUPk5Po+C6Y1fse1nefrbueC/m7eF5vig1GQ+bBYhAQ/gP/7UL&#10;rSBL0jSLBJEnsoBc/QIAAP//AwBQSwECLQAUAAYACAAAACEA2+H2y+4AAACFAQAAEwAAAAAAAAAA&#10;AAAAAAAAAAAAW0NvbnRlbnRfVHlwZXNdLnhtbFBLAQItABQABgAIAAAAIQBa9CxbvwAAABUBAAAL&#10;AAAAAAAAAAAAAAAAAB8BAABfcmVscy8ucmVsc1BLAQItABQABgAIAAAAIQCK4WkzxQAAAN8AAAAP&#10;AAAAAAAAAAAAAAAAAAcCAABkcnMvZG93bnJldi54bWxQSwUGAAAAAAMAAwC3AAAA+QIAAAAA&#10;" filled="f" stroked="f">
                  <v:textbox inset="0,0,0,0">
                    <w:txbxContent>
                      <w:p w14:paraId="6AB72BF9" w14:textId="77777777" w:rsidR="00B32EF2" w:rsidRDefault="00000000">
                        <w:r>
                          <w:rPr>
                            <w:rFonts w:ascii="Arial" w:eastAsia="Arial" w:hAnsi="Arial" w:cs="Arial"/>
                            <w:i/>
                            <w:sz w:val="18"/>
                          </w:rPr>
                          <w:t>. Con riguardo alle valutazioni di fatto operate dall’amministrazione finan</w:t>
                        </w:r>
                      </w:p>
                    </w:txbxContent>
                  </v:textbox>
                </v:rect>
                <v:rect id="Rectangle 18662" o:spid="_x0000_s4040" style="position:absolute;left:974;top:48584;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W+nxAAAAN4AAAAPAAAAZHJzL2Rvd25yZXYueG1sRE9Ni8Iw&#10;EL0L/ocwC940XQ+lVKOIIvbgZV0Fj0Mztt1tJqGJtvrrNwsLe5vH+5zlejCteFDnG8sK3mcJCOLS&#10;6oYrBefP/TQD4QOyxtYyKXiSh/VqPFpirm3PH/Q4hUrEEPY5KqhDcLmUvqzJoJ9ZRxy5m+0Mhgi7&#10;SuoO+xhuWjlPklQabDg21OhoW1P5fbobBdcdu2Lfy/L22rrjV5G1h/v5otTkbdgsQAQawr/4z13o&#10;OD9L0zn8vhNvkKsfAAAA//8DAFBLAQItABQABgAIAAAAIQDb4fbL7gAAAIUBAAATAAAAAAAAAAAA&#10;AAAAAAAAAABbQ29udGVudF9UeXBlc10ueG1sUEsBAi0AFAAGAAgAAAAhAFr0LFu/AAAAFQEAAAsA&#10;AAAAAAAAAAAAAAAAHwEAAF9yZWxzLy5yZWxzUEsBAi0AFAAGAAgAAAAhANbJb6fEAAAA3gAAAA8A&#10;AAAAAAAAAAAAAAAABwIAAGRycy9kb3ducmV2LnhtbFBLBQYAAAAAAwADALcAAAD4AgAAAAA=&#10;" filled="f" stroked="f">
                  <v:textbox inset="0,0,0,0">
                    <w:txbxContent>
                      <w:p w14:paraId="0AA6E885" w14:textId="77777777" w:rsidR="00B32EF2" w:rsidRDefault="00000000">
                        <w:r>
                          <w:rPr>
                            <w:rFonts w:ascii="Arial" w:eastAsia="Arial" w:hAnsi="Arial" w:cs="Arial"/>
                            <w:i/>
                            <w:sz w:val="18"/>
                          </w:rPr>
                          <w:t>-</w:t>
                        </w:r>
                      </w:p>
                    </w:txbxContent>
                  </v:textbox>
                </v:rect>
                <v:rect id="Rectangle 18663" o:spid="_x0000_s4041" style="position:absolute;left:-10912;top:47276;width:500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co8xAAAAN4AAAAPAAAAZHJzL2Rvd25yZXYueG1sRE9Na8JA&#10;EL0X/A/LCN7qRoUQoquIIubQS62CxyE7Jmmzs0t2NbG/vlso9DaP9zmrzWBa8aDON5YVzKYJCOLS&#10;6oYrBeePw2sGwgdkja1lUvAkD5v16GWFubY9v9PjFCoRQ9jnqKAOweVS+rImg35qHXHkbrYzGCLs&#10;Kqk77GO4aeU8SVJpsOHYUKOjXU3l1+luFFz37IpDL8vb9869fRZZe7yfL0pNxsN2CSLQEP7Ff+5C&#10;x/lZmi7g9514g1z/AAAA//8DAFBLAQItABQABgAIAAAAIQDb4fbL7gAAAIUBAAATAAAAAAAAAAAA&#10;AAAAAAAAAABbQ29udGVudF9UeXBlc10ueG1sUEsBAi0AFAAGAAgAAAAhAFr0LFu/AAAAFQEAAAsA&#10;AAAAAAAAAAAAAAAAHwEAAF9yZWxzLy5yZWxzUEsBAi0AFAAGAAgAAAAhALmFyjzEAAAA3gAAAA8A&#10;AAAAAAAAAAAAAAAABwIAAGRycy9kb3ducmV2LnhtbFBLBQYAAAAAAwADALcAAAD4AgAAAAA=&#10;" filled="f" stroked="f">
                  <v:textbox inset="0,0,0,0">
                    <w:txbxContent>
                      <w:p w14:paraId="7F22A12D" w14:textId="77777777" w:rsidR="00B32EF2" w:rsidRDefault="00000000">
                        <w:r>
                          <w:rPr>
                            <w:rFonts w:ascii="Arial" w:eastAsia="Arial" w:hAnsi="Arial" w:cs="Arial"/>
                            <w:i/>
                            <w:sz w:val="18"/>
                          </w:rPr>
                          <w:t>ziaria ai fini del presente articolo, in caso di avvenuto esercizio dell’autotu</w:t>
                        </w:r>
                      </w:p>
                    </w:txbxContent>
                  </v:textbox>
                </v:rect>
                <v:rect id="Rectangle 18664" o:spid="_x0000_s4042" style="position:absolute;left:974;top:47276;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FJIxAAAAN4AAAAPAAAAZHJzL2Rvd25yZXYueG1sRE9Na8JA&#10;EL0X/A/LCN7qRpEQoquIIubQS62CxyE7Jmmzs0t2NbG/vlso9DaP9zmrzWBa8aDON5YVzKYJCOLS&#10;6oYrBeePw2sGwgdkja1lUvAkD5v16GWFubY9v9PjFCoRQ9jnqKAOweVS+rImg35qHXHkbrYzGCLs&#10;Kqk77GO4aeU8SVJpsOHYUKOjXU3l1+luFFz37IpDL8vb9869fRZZe7yfL0pNxsN2CSLQEP7Ff+5C&#10;x/lZmi7g9514g1z/AAAA//8DAFBLAQItABQABgAIAAAAIQDb4fbL7gAAAIUBAAATAAAAAAAAAAAA&#10;AAAAAAAAAABbQ29udGVudF9UeXBlc10ueG1sUEsBAi0AFAAGAAgAAAAhAFr0LFu/AAAAFQEAAAsA&#10;AAAAAAAAAAAAAAAAHwEAAF9yZWxzLy5yZWxzUEsBAi0AFAAGAAgAAAAhADZsUkjEAAAA3gAAAA8A&#10;AAAAAAAAAAAAAAAABwIAAGRycy9kb3ducmV2LnhtbFBLBQYAAAAAAwADALcAAAD4AgAAAAA=&#10;" filled="f" stroked="f">
                  <v:textbox inset="0,0,0,0">
                    <w:txbxContent>
                      <w:p w14:paraId="63BFE8D3" w14:textId="77777777" w:rsidR="00B32EF2" w:rsidRDefault="00000000">
                        <w:r>
                          <w:rPr>
                            <w:rFonts w:ascii="Arial" w:eastAsia="Arial" w:hAnsi="Arial" w:cs="Arial"/>
                            <w:i/>
                            <w:sz w:val="18"/>
                          </w:rPr>
                          <w:t>-</w:t>
                        </w:r>
                      </w:p>
                    </w:txbxContent>
                  </v:textbox>
                </v:rect>
                <v:rect id="Rectangle 18665" o:spid="_x0000_s4043" style="position:absolute;left:-11879;top:45969;width:51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PfTxAAAAN4AAAAPAAAAZHJzL2Rvd25yZXYueG1sRE9Na8JA&#10;EL0X/A/LCN7qRsEQoquIIubQS62CxyE7Jmmzs0t2NbG/vlso9DaP9zmrzWBa8aDON5YVzKYJCOLS&#10;6oYrBeePw2sGwgdkja1lUvAkD5v16GWFubY9v9PjFCoRQ9jnqKAOweVS+rImg35qHXHkbrYzGCLs&#10;Kqk77GO4aeU8SVJpsOHYUKOjXU3l1+luFFz37IpDL8vb9869fRZZe7yfL0pNxsN2CSLQEP7Ff+5C&#10;x/lZmi7g9514g1z/AAAA//8DAFBLAQItABQABgAIAAAAIQDb4fbL7gAAAIUBAAATAAAAAAAAAAAA&#10;AAAAAAAAAABbQ29udGVudF9UeXBlc10ueG1sUEsBAi0AFAAGAAgAAAAhAFr0LFu/AAAAFQEAAAsA&#10;AAAAAAAAAAAAAAAAHwEAAF9yZWxzLy5yZWxzUEsBAi0AFAAGAAgAAAAhAFkg99PEAAAA3gAAAA8A&#10;AAAAAAAAAAAAAAAABwIAAGRycy9kb3ducmV2LnhtbFBLBQYAAAAAAwADALcAAAD4AgAAAAA=&#10;" filled="f" stroked="f">
                  <v:textbox inset="0,0,0,0">
                    <w:txbxContent>
                      <w:p w14:paraId="2E62588C" w14:textId="77777777" w:rsidR="00B32EF2" w:rsidRDefault="00000000">
                        <w:r>
                          <w:rPr>
                            <w:rFonts w:ascii="Arial" w:eastAsia="Arial" w:hAnsi="Arial" w:cs="Arial"/>
                            <w:i/>
                            <w:sz w:val="18"/>
                          </w:rPr>
                          <w:t xml:space="preserve">tela, la responsabilità di cui all’articolo 1, comma 1, della legge 14 gennaio </w:t>
                        </w:r>
                      </w:p>
                    </w:txbxContent>
                  </v:textbox>
                </v:rect>
                <v:rect id="Rectangle 201112" o:spid="_x0000_s4044" style="position:absolute;left:24967;top:44661;width:467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5hixwAAAN8AAAAPAAAAZHJzL2Rvd25yZXYueG1sRI9Pi8Iw&#10;FMTvC36H8ARva9oeRKpRRBF78LL+AY+P5tl2t3kJTbTd/fSbhQWPw8z8hlmuB9OKJ3W+sawgnSYg&#10;iEurG64UXM779zkIH5A1tpZJwTd5WK9Gb0vMte35g56nUIkIYZ+jgjoEl0vpy5oM+ql1xNG7285g&#10;iLKrpO6wj3DTyixJZtJgw3GhRkfbmsqv08MouO3YFftelvefrTt+FvP28LhclZqMh80CRKAhvML/&#10;7UIryJI0TTP4+xO/gFz9AgAA//8DAFBLAQItABQABgAIAAAAIQDb4fbL7gAAAIUBAAATAAAAAAAA&#10;AAAAAAAAAAAAAABbQ29udGVudF9UeXBlc10ueG1sUEsBAi0AFAAGAAgAAAAhAFr0LFu/AAAAFQEA&#10;AAsAAAAAAAAAAAAAAAAAHwEAAF9yZWxzLy5yZWxzUEsBAi0AFAAGAAgAAAAhANsTmGLHAAAA3wAA&#10;AA8AAAAAAAAAAAAAAAAABwIAAGRycy9kb3ducmV2LnhtbFBLBQYAAAAAAwADALcAAAD7AgAAAAA=&#10;" filled="f" stroked="f">
                  <v:textbox inset="0,0,0,0">
                    <w:txbxContent>
                      <w:p w14:paraId="280D983D" w14:textId="77777777" w:rsidR="00B32EF2" w:rsidRDefault="00000000">
                        <w:r>
                          <w:rPr>
                            <w:rFonts w:ascii="Arial" w:eastAsia="Arial" w:hAnsi="Arial" w:cs="Arial"/>
                            <w:i/>
                            <w:sz w:val="18"/>
                          </w:rPr>
                          <w:t>1994</w:t>
                        </w:r>
                      </w:p>
                    </w:txbxContent>
                  </v:textbox>
                </v:rect>
                <v:rect id="Rectangle 201114" o:spid="_x0000_s4045" style="position:absolute;left:-10240;top:44661;width:467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qWNxwAAAN8AAAAPAAAAZHJzL2Rvd25yZXYueG1sRI9Ba8JA&#10;FITvgv9heYI33USkSHQVUcQcvNRa6PGRfSbR7Nslu5rYX98tFHocZuYbZrXpTSOe1PrasoJ0moAg&#10;LqyuuVRw+ThMFiB8QNbYWCYFL/KwWQ8HK8y07fidnudQighhn6GCKgSXSemLigz6qXXE0bva1mCI&#10;si2lbrGLcNPIWZK8SYM1x4UKHe0qKu7nh1HwtWeXHzpZXL937nTLF83xcflUajzqt0sQgfrwH/5r&#10;51rBLEnTdA6/f+IXkOsfAAAA//8DAFBLAQItABQABgAIAAAAIQDb4fbL7gAAAIUBAAATAAAAAAAA&#10;AAAAAAAAAAAAAABbQ29udGVudF9UeXBlc10ueG1sUEsBAi0AFAAGAAgAAAAhAFr0LFu/AAAAFQEA&#10;AAsAAAAAAAAAAAAAAAAAHwEAAF9yZWxzLy5yZWxzUEsBAi0AFAAGAAgAAAAhADu2pY3HAAAA3wAA&#10;AA8AAAAAAAAAAAAAAAAABwIAAGRycy9kb3ducmV2LnhtbFBLBQYAAAAAAwADALcAAAD7AgAAAAA=&#10;" filled="f" stroked="f">
                  <v:textbox inset="0,0,0,0">
                    <w:txbxContent>
                      <w:p w14:paraId="16FC0E32" w14:textId="77777777" w:rsidR="00B32EF2" w:rsidRDefault="00000000">
                        <w:r>
                          <w:rPr>
                            <w:rFonts w:ascii="Arial" w:eastAsia="Arial" w:hAnsi="Arial" w:cs="Arial"/>
                            <w:i/>
                            <w:sz w:val="18"/>
                          </w:rPr>
                          <w:t>, n. 20, e successive modificazioni, è limitata alle ipotesi di dolo.</w:t>
                        </w:r>
                      </w:p>
                    </w:txbxContent>
                  </v:textbox>
                </v:rect>
                <v:rect id="Rectangle 18667" o:spid="_x0000_s4046" style="position:absolute;left:-11451;top:43353;width:505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sw/xAAAAN4AAAAPAAAAZHJzL2Rvd25yZXYueG1sRE9Na8JA&#10;EL0L/odlBG+6qYcYUlcpiphDL1qFHofsmKTNzi7Z1aT+erdQ6G0e73NWm8G04k6dbywreJknIIhL&#10;qxuuFJw/9rMMhA/IGlvLpOCHPGzW49EKc217PtL9FCoRQ9jnqKAOweVS+rImg35uHXHkrrYzGCLs&#10;Kqk77GO4aeUiSVJpsOHYUKOjbU3l9+lmFHzu2BX7XpbXx9a9fxVZe7idL0pNJ8PbK4hAQ/gX/7kL&#10;HednabqE33fiDXL9BAAA//8DAFBLAQItABQABgAIAAAAIQDb4fbL7gAAAIUBAAATAAAAAAAAAAAA&#10;AAAAAAAAAABbQ29udGVudF9UeXBlc10ueG1sUEsBAi0AFAAGAAgAAAAhAFr0LFu/AAAAFQEAAAsA&#10;AAAAAAAAAAAAAAAAHwEAAF9yZWxzLy5yZWxzUEsBAi0AFAAGAAgAAAAhAMa+zD/EAAAA3gAAAA8A&#10;AAAAAAAAAAAAAAAABwIAAGRycy9kb3ducmV2LnhtbFBLBQYAAAAAAwADALcAAAD4AgAAAAA=&#10;" filled="f" stroked="f">
                  <v:textbox inset="0,0,0,0">
                    <w:txbxContent>
                      <w:p w14:paraId="06F259C0" w14:textId="77777777" w:rsidR="00B32EF2" w:rsidRDefault="00000000">
                        <w:r>
                          <w:rPr>
                            <w:rFonts w:ascii="Arial" w:eastAsia="Arial" w:hAnsi="Arial" w:cs="Arial"/>
                            <w:i/>
                            <w:sz w:val="18"/>
                          </w:rPr>
                          <w:t>art. 10-quinquies L. 212/2000 “Esercizio del potere di autotutela facoltativa”</w:t>
                        </w:r>
                      </w:p>
                    </w:txbxContent>
                  </v:textbox>
                </v:rect>
                <v:rect id="Rectangle 201104" o:spid="_x0000_s4047" style="position:absolute;left:25842;top:42046;width:510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NQxwAAAN8AAAAPAAAAZHJzL2Rvd25yZXYueG1sRI9BawIx&#10;FITvQv9DeIXeNFkpIqtRxCLdQy9aCz0+Ns/d1c1L2ER321/fCEKPw8x8wyzXg23FjbrQONaQTRQI&#10;4tKZhisNx8/deA4iRGSDrWPS8EMB1qun0RJz43re0+0QK5EgHHLUUMfocylDWZPFMHGeOHkn11mM&#10;SXaVNB32CW5bOVVqJi02nBZq9LStqbwcrlbD9xv7YtfL8vS79R/nYt6+X49fWr88D5sFiEhD/A8/&#10;2oXRMFVZpl7h/id9Abn6AwAA//8DAFBLAQItABQABgAIAAAAIQDb4fbL7gAAAIUBAAATAAAAAAAA&#10;AAAAAAAAAAAAAABbQ29udGVudF9UeXBlc10ueG1sUEsBAi0AFAAGAAgAAAAhAFr0LFu/AAAAFQEA&#10;AAsAAAAAAAAAAAAAAAAAHwEAAF9yZWxzLy5yZWxzUEsBAi0AFAAGAAgAAAAhAL5vM1DHAAAA3wAA&#10;AA8AAAAAAAAAAAAAAAAABwIAAGRycy9kb3ducmV2LnhtbFBLBQYAAAAAAwADALcAAAD7AgAAAAA=&#10;" filled="f" stroked="f">
                  <v:textbox inset="0,0,0,0">
                    <w:txbxContent>
                      <w:p w14:paraId="69CE4515" w14:textId="77777777" w:rsidR="00B32EF2" w:rsidRDefault="00000000">
                        <w:r>
                          <w:rPr>
                            <w:rFonts w:ascii="Arial" w:eastAsia="Arial" w:hAnsi="Arial" w:cs="Arial"/>
                            <w:i/>
                            <w:sz w:val="18"/>
                          </w:rPr>
                          <w:t>1</w:t>
                        </w:r>
                      </w:p>
                    </w:txbxContent>
                  </v:textbox>
                </v:rect>
                <v:rect id="Rectangle 201106" o:spid="_x0000_s4048" style="position:absolute;left:-12466;top:42046;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Qi8xwAAAN8AAAAPAAAAZHJzL2Rvd25yZXYueG1sRI9BawIx&#10;FITvhf6H8ARvNVkPIqtRRJHuwUutgsfH5rm7unkJm+hu++ubQqHHYWa+YZbrwbbiSV1oHGvIJgoE&#10;celMw5WG0+f+bQ4iRGSDrWPS8EUB1qvXlyXmxvX8Qc9jrESCcMhRQx2jz6UMZU0Ww8R54uRdXWcx&#10;JtlV0nTYJ7ht5VSpmbTYcFqo0dO2pvJ+fFgNlx37Yt/L8vq99YdbMW/fH6ez1uPRsFmAiDTE//Bf&#10;uzAapirL1Ax+/6QvIFc/AAAA//8DAFBLAQItABQABgAIAAAAIQDb4fbL7gAAAIUBAAATAAAAAAAA&#10;AAAAAAAAAAAAAABbQ29udGVudF9UeXBlc10ueG1sUEsBAi0AFAAGAAgAAAAhAFr0LFu/AAAAFQEA&#10;AAsAAAAAAAAAAAAAAAAAHwEAAF9yZWxzLy5yZWxzUEsBAi0AFAAGAAgAAAAhACHxCLzHAAAA3wAA&#10;AA8AAAAAAAAAAAAAAAAABwIAAGRycy9kb3ducmV2LnhtbFBLBQYAAAAAAwADALcAAAD7AgAAAAA=&#10;" filled="f" stroked="f">
                  <v:textbox inset="0,0,0,0">
                    <w:txbxContent>
                      <w:p w14:paraId="2A79318E" w14:textId="77777777" w:rsidR="00B32EF2" w:rsidRDefault="00000000">
                        <w:r>
                          <w:rPr>
                            <w:rFonts w:ascii="Arial" w:eastAsia="Arial" w:hAnsi="Arial" w:cs="Arial"/>
                            <w:i/>
                            <w:sz w:val="18"/>
                          </w:rPr>
                          <w:t xml:space="preserve">. Fuori dei casi di cui all’articolo 10-quater, l’amministrazione finanziaria </w:t>
                        </w:r>
                      </w:p>
                    </w:txbxContent>
                  </v:textbox>
                </v:rect>
                <v:rect id="Rectangle 18669" o:spid="_x0000_s4049" style="position:absolute;left:-10902;top:40738;width:500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f3WxAAAAN4AAAAPAAAAZHJzL2Rvd25yZXYueG1sRE9Na8JA&#10;EL0L/odlBG+6qYeQpq5SFDGHXrQKPQ7ZMUmbnV2yq0n99a5Q6G0e73OW68G04kadbywreJknIIhL&#10;qxuuFJw+d7MMhA/IGlvLpOCXPKxX49ESc217PtDtGCoRQ9jnqKAOweVS+rImg35uHXHkLrYzGCLs&#10;Kqk77GO4aeUiSVJpsOHYUKOjTU3lz/FqFHxt2RW7XpaX+8Z9fBdZu7+ezkpNJ8P7G4hAQ/gX/7kL&#10;HednafoKz3fiDXL1AAAA//8DAFBLAQItABQABgAIAAAAIQDb4fbL7gAAAIUBAAATAAAAAAAAAAAA&#10;AAAAAAAAAABbQ29udGVudF9UeXBlc10ueG1sUEsBAi0AFAAGAAgAAAAhAFr0LFu/AAAAFQEAAAsA&#10;AAAAAAAAAAAAAAAAHwEAAF9yZWxzLy5yZWxzUEsBAi0AFAAGAAgAAAAhANht/dbEAAAA3gAAAA8A&#10;AAAAAAAAAAAAAAAABwIAAGRycy9kb3ducmV2LnhtbFBLBQYAAAAAAwADALcAAAD4AgAAAAA=&#10;" filled="f" stroked="f">
                  <v:textbox inset="0,0,0,0">
                    <w:txbxContent>
                      <w:p w14:paraId="66E6327A" w14:textId="77777777" w:rsidR="00B32EF2" w:rsidRDefault="00000000">
                        <w:r>
                          <w:rPr>
                            <w:rFonts w:ascii="Arial" w:eastAsia="Arial" w:hAnsi="Arial" w:cs="Arial"/>
                            <w:i/>
                            <w:sz w:val="18"/>
                          </w:rPr>
                          <w:t>può comunque procedere all’annullamento, in tutto o in parte, di atti di im</w:t>
                        </w:r>
                      </w:p>
                    </w:txbxContent>
                  </v:textbox>
                </v:rect>
                <v:rect id="Rectangle 18670" o:spid="_x0000_s4050" style="position:absolute;left:974;top:40738;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sKWyAAAAN4AAAAPAAAAZHJzL2Rvd25yZXYueG1sRI9Pb8Iw&#10;DMXvk/YdIk/abaTbAaqOgCYmtB648GfSjlZj2m6NEzWBdnx6fEDiZsvP773ffDm6Tp2pj61nA6+T&#10;DBRx5W3LtYHDfv2Sg4oJ2WLnmQz8U4Tl4vFhjoX1A2/pvEu1EhOOBRpoUgqF1rFqyGGc+EAst6Pv&#10;HSZZ+1rbHgcxd51+y7KpdtiyJDQYaNVQ9bc7OQM/nxzK9aCr42UVNr9l3n2dDt/GPD+NH++gEo3p&#10;Lr59l1bq59OZAAiOzKAXVwAAAP//AwBQSwECLQAUAAYACAAAACEA2+H2y+4AAACFAQAAEwAAAAAA&#10;AAAAAAAAAAAAAAAAW0NvbnRlbnRfVHlwZXNdLnhtbFBLAQItABQABgAIAAAAIQBa9CxbvwAAABUB&#10;AAALAAAAAAAAAAAAAAAAAB8BAABfcmVscy8ucmVsc1BLAQItABQABgAIAAAAIQDMjsKWyAAAAN4A&#10;AAAPAAAAAAAAAAAAAAAAAAcCAABkcnMvZG93bnJldi54bWxQSwUGAAAAAAMAAwC3AAAA/AIAAAAA&#10;" filled="f" stroked="f">
                  <v:textbox inset="0,0,0,0">
                    <w:txbxContent>
                      <w:p w14:paraId="2390AA7A" w14:textId="77777777" w:rsidR="00B32EF2" w:rsidRDefault="00000000">
                        <w:r>
                          <w:rPr>
                            <w:rFonts w:ascii="Arial" w:eastAsia="Arial" w:hAnsi="Arial" w:cs="Arial"/>
                            <w:i/>
                            <w:sz w:val="18"/>
                          </w:rPr>
                          <w:t>-</w:t>
                        </w:r>
                      </w:p>
                    </w:txbxContent>
                  </v:textbox>
                </v:rect>
                <v:rect id="Rectangle 18671" o:spid="_x0000_s4051" style="position:absolute;left:-11901;top:39431;width:511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mcNxAAAAN4AAAAPAAAAZHJzL2Rvd25yZXYueG1sRE9Ni8Iw&#10;EL0v+B/CCN7WVA9uqUYRRezBy7oKHodmbKvNJDTR1v31m4WFvc3jfc5i1ZtGPKn1tWUFk3ECgriw&#10;uuZSwelr956C8AFZY2OZFLzIw2o5eFtgpm3Hn/Q8hlLEEPYZKqhCcJmUvqjIoB9bRxy5q20Nhgjb&#10;UuoWuxhuGjlNkpk0WHNsqNDRpqLifnwYBZctu3zXyeL6vXGHW542+8fprNRo2K/nIAL14V/85851&#10;nJ/OPibw+068QS5/AAAA//8DAFBLAQItABQABgAIAAAAIQDb4fbL7gAAAIUBAAATAAAAAAAAAAAA&#10;AAAAAAAAAABbQ29udGVudF9UeXBlc10ueG1sUEsBAi0AFAAGAAgAAAAhAFr0LFu/AAAAFQEAAAsA&#10;AAAAAAAAAAAAAAAAHwEAAF9yZWxzLy5yZWxzUEsBAi0AFAAGAAgAAAAhAKPCZw3EAAAA3gAAAA8A&#10;AAAAAAAAAAAAAAAABwIAAGRycy9kb3ducmV2LnhtbFBLBQYAAAAAAwADALcAAAD4AgAAAAA=&#10;" filled="f" stroked="f">
                  <v:textbox inset="0,0,0,0">
                    <w:txbxContent>
                      <w:p w14:paraId="22B9DF43" w14:textId="77777777" w:rsidR="00B32EF2" w:rsidRDefault="00000000">
                        <w:r>
                          <w:rPr>
                            <w:rFonts w:ascii="Arial" w:eastAsia="Arial" w:hAnsi="Arial" w:cs="Arial"/>
                            <w:i/>
                            <w:sz w:val="18"/>
                          </w:rPr>
                          <w:t xml:space="preserve">posizione, ovvero alla rinuncia all’imposizione, senza necessità di istanza </w:t>
                        </w:r>
                      </w:p>
                    </w:txbxContent>
                  </v:textbox>
                </v:rect>
                <v:rect id="Rectangle 18672" o:spid="_x0000_s4052" style="position:absolute;left:-11872;top:38123;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l6xAAAAN4AAAAPAAAAZHJzL2Rvd25yZXYueG1sRE9Na8JA&#10;EL0L/odlCt50Uw82pK4iipiDl9oUehyyY5KanV2yq4n+erdQ6G0e73OW68G04kadbywreJ0lIIhL&#10;qxuuFBSf+2kKwgdkja1lUnAnD+vVeLTETNueP+h2CpWIIewzVFCH4DIpfVmTQT+zjjhyZ9sZDBF2&#10;ldQd9jHctHKeJAtpsOHYUKOjbU3l5XQ1Cr537PJ9L8vzY+uOP3naHq7Fl1KTl2HzDiLQEP7Ff+5c&#10;x/np4m0Ov+/EG+TqCQAA//8DAFBLAQItABQABgAIAAAAIQDb4fbL7gAAAIUBAAATAAAAAAAAAAAA&#10;AAAAAAAAAABbQ29udGVudF9UeXBlc10ueG1sUEsBAi0AFAAGAAgAAAAhAFr0LFu/AAAAFQEAAAsA&#10;AAAAAAAAAAAAAAAAHwEAAF9yZWxzLy5yZWxzUEsBAi0AFAAGAAgAAAAhAFMQ+XrEAAAA3gAAAA8A&#10;AAAAAAAAAAAAAAAABwIAAGRycy9kb3ducmV2LnhtbFBLBQYAAAAAAwADALcAAAD4AgAAAAA=&#10;" filled="f" stroked="f">
                  <v:textbox inset="0,0,0,0">
                    <w:txbxContent>
                      <w:p w14:paraId="321857B3" w14:textId="77777777" w:rsidR="00B32EF2" w:rsidRDefault="00000000">
                        <w:r>
                          <w:rPr>
                            <w:rFonts w:ascii="Arial" w:eastAsia="Arial" w:hAnsi="Arial" w:cs="Arial"/>
                            <w:i/>
                            <w:sz w:val="18"/>
                          </w:rPr>
                          <w:t xml:space="preserve">di parte, anche in pendenza di giudizio o in caso di atti definitivi, in presenza </w:t>
                        </w:r>
                      </w:p>
                    </w:txbxContent>
                  </v:textbox>
                </v:rect>
                <v:rect id="Rectangle 18673" o:spid="_x0000_s4053" style="position:absolute;left:-4598;top:36815;width:437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FzhxAAAAN4AAAAPAAAAZHJzL2Rvd25yZXYueG1sRE9Na8JA&#10;EL0X/A/LCN7qxgo2RFcRRZpDL7UKHofsmESzs0t2NdFf3y0UepvH+5zFqjeNuFPra8sKJuMEBHFh&#10;dc2lgsP37jUF4QOyxsYyKXiQh9Vy8LLATNuOv+i+D6WIIewzVFCF4DIpfVGRQT+2jjhyZ9saDBG2&#10;pdQtdjHcNPItSWbSYM2xoUJHm4qK6/5mFJy27PJdJ4vzc+M+L3nafNwOR6VGw349BxGoD//iP3eu&#10;4/x09j6F33fiDXL5AwAA//8DAFBLAQItABQABgAIAAAAIQDb4fbL7gAAAIUBAAATAAAAAAAAAAAA&#10;AAAAAAAAAABbQ29udGVudF9UeXBlc10ueG1sUEsBAi0AFAAGAAgAAAAhAFr0LFu/AAAAFQEAAAsA&#10;AAAAAAAAAAAAAAAAHwEAAF9yZWxzLy5yZWxzUEsBAi0AFAAGAAgAAAAhADxcXOHEAAAA3gAAAA8A&#10;AAAAAAAAAAAAAAAABwIAAGRycy9kb3ducmV2LnhtbFBLBQYAAAAAAwADALcAAAD4AgAAAAA=&#10;" filled="f" stroked="f">
                  <v:textbox inset="0,0,0,0">
                    <w:txbxContent>
                      <w:p w14:paraId="13121A57" w14:textId="77777777" w:rsidR="00B32EF2" w:rsidRDefault="00000000">
                        <w:r>
                          <w:rPr>
                            <w:rFonts w:ascii="Arial" w:eastAsia="Arial" w:hAnsi="Arial" w:cs="Arial"/>
                            <w:i/>
                            <w:sz w:val="18"/>
                          </w:rPr>
                          <w:t>di una illegittimità o dell’infondatezza dell’atto o dell’imposizione.</w:t>
                        </w:r>
                      </w:p>
                    </w:txbxContent>
                  </v:textbox>
                </v:rect>
                <v:rect id="Rectangle 201100" o:spid="_x0000_s4054" style="position:absolute;left:30591;top:35508;width:318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VTxQAAAN8AAAAPAAAAZHJzL2Rvd25yZXYueG1sRI/NisIw&#10;FIX3A75DuIK7MamLQapRRBG7mI2OA7O8NNe22tyEJtrq008WA7M8nD++5XqwrXhQFxrHGrKpAkFc&#10;OtNwpeH8tX+fgwgR2WDrmDQ8KcB6NXpbYm5cz0d6nGIl0giHHDXUMfpcylDWZDFMnSdO3sV1FmOS&#10;XSVNh30at62cKfUhLTacHmr0tK2pvJ3uVsPPjn2x72V5eW3957WYt4f7+VvryXjYLEBEGuJ/+K9d&#10;GA0zlWUqESSexAJy9QsAAP//AwBQSwECLQAUAAYACAAAACEA2+H2y+4AAACFAQAAEwAAAAAAAAAA&#10;AAAAAAAAAAAAW0NvbnRlbnRfVHlwZXNdLnhtbFBLAQItABQABgAIAAAAIQBa9CxbvwAAABUBAAAL&#10;AAAAAAAAAAAAAAAAAB8BAABfcmVscy8ucmVsc1BLAQItABQABgAIAAAAIQDBVDVTxQAAAN8AAAAP&#10;AAAAAAAAAAAAAAAAAAcCAABkcnMvZG93bnJldi54bWxQSwUGAAAAAAMAAwC3AAAA+QIAAAAA&#10;" filled="f" stroked="f">
                  <v:textbox inset="0,0,0,0">
                    <w:txbxContent>
                      <w:p w14:paraId="02F3FDE4" w14:textId="77777777" w:rsidR="00B32EF2" w:rsidRDefault="00000000">
                        <w:r>
                          <w:rPr>
                            <w:rFonts w:ascii="Arial" w:eastAsia="Arial" w:hAnsi="Arial" w:cs="Arial"/>
                            <w:i/>
                            <w:sz w:val="18"/>
                          </w:rPr>
                          <w:t>2</w:t>
                        </w:r>
                      </w:p>
                    </w:txbxContent>
                  </v:textbox>
                </v:rect>
                <v:rect id="Rectangle 201102" o:spid="_x0000_s4055" style="position:absolute;left:6621;top:35508;width:318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g6/xwAAAN8AAAAPAAAAZHJzL2Rvd25yZXYueG1sRI9Ba8JA&#10;FITvhf6H5RV6q7vJoUjqKqKIOXipVejxkX0m0ezbJbua6K/vFgo9DjPzDTNbjLYTN+pD61hDNlEg&#10;iCtnWq41HL42b1MQISIb7ByThjsFWMyfn2ZYGDfwJ932sRYJwqFADU2MvpAyVA1ZDBPniZN3cr3F&#10;mGRfS9PjkOC2k7lS79Jiy2mhQU+rhqrL/mo1fK/Zl5tBVqfHyu/O5bTbXg9HrV9fxuUHiEhj/A//&#10;tUujIVdZpnL4/ZO+gJz/AAAA//8DAFBLAQItABQABgAIAAAAIQDb4fbL7gAAAIUBAAATAAAAAAAA&#10;AAAAAAAAAAAAAABbQ29udGVudF9UeXBlc10ueG1sUEsBAi0AFAAGAAgAAAAhAFr0LFu/AAAAFQEA&#10;AAsAAAAAAAAAAAAAAAAAHwEAAF9yZWxzLy5yZWxzUEsBAi0AFAAGAAgAAAAhAF7KDr/HAAAA3wAA&#10;AA8AAAAAAAAAAAAAAAAABwIAAGRycy9kb3ducmV2LnhtbFBLBQYAAAAAAwADALcAAAD7AgAAAAA=&#10;" filled="f" stroked="f">
                  <v:textbox inset="0,0,0,0">
                    <w:txbxContent>
                      <w:p w14:paraId="2490A27B" w14:textId="77777777" w:rsidR="00B32EF2" w:rsidRDefault="00000000">
                        <w:r>
                          <w:rPr>
                            <w:rFonts w:ascii="Arial" w:eastAsia="Arial" w:hAnsi="Arial" w:cs="Arial"/>
                            <w:i/>
                            <w:sz w:val="18"/>
                          </w:rPr>
                          <w:t>. Si applica il comma 3 dell’articolo 10-quater.</w:t>
                        </w:r>
                      </w:p>
                    </w:txbxContent>
                  </v:textbox>
                </v:rect>
                <v:rect id="Rectangle 18675" o:spid="_x0000_s4056" style="position:absolute;left:-10904;top:34200;width:500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EOxAAAAN4AAAAPAAAAZHJzL2Rvd25yZXYueG1sRE9Na8JA&#10;EL0X/A/LCN7qxoI2RFcRRZpDL7UKHofsmESzs0t2NdFf3y0UepvH+5zFqjeNuFPra8sKJuMEBHFh&#10;dc2lgsP37jUF4QOyxsYyKXiQh9Vy8LLATNuOv+i+D6WIIewzVFCF4DIpfVGRQT+2jjhyZ9saDBG2&#10;pdQtdjHcNPItSWbSYM2xoUJHm4qK6/5mFJy27PJdJ4vzc+M+L3nafNwOR6VGw349BxGoD//iP3eu&#10;4/x09j6F33fiDXL5AwAA//8DAFBLAQItABQABgAIAAAAIQDb4fbL7gAAAIUBAAATAAAAAAAAAAAA&#10;AAAAAAAAAABbQ29udGVudF9UeXBlc10ueG1sUEsBAi0AFAAGAAgAAAAhAFr0LFu/AAAAFQEAAAsA&#10;AAAAAAAAAAAAAAAAHwEAAF9yZWxzLy5yZWxzUEsBAi0AFAAGAAgAAAAhANz5YQ7EAAAA3gAAAA8A&#10;AAAAAAAAAAAAAAAABwIAAGRycy9kb3ducmV2LnhtbFBLBQYAAAAAAwADALcAAAD4AgAAAAA=&#10;" filled="f" stroked="f">
                  <v:textbox inset="0,0,0,0">
                    <w:txbxContent>
                      <w:p w14:paraId="720186C2" w14:textId="77777777" w:rsidR="00B32EF2" w:rsidRDefault="00000000">
                        <w:r>
                          <w:rPr>
                            <w:rFonts w:ascii="Arial" w:eastAsia="Arial" w:hAnsi="Arial" w:cs="Arial"/>
                            <w:i/>
                            <w:sz w:val="18"/>
                          </w:rPr>
                          <w:t>DIRETTIVA (UE) 2017/1852 del Consiglio del 10 ottobre 2017 sui meccani</w:t>
                        </w:r>
                      </w:p>
                    </w:txbxContent>
                  </v:textbox>
                </v:rect>
                <v:rect id="Rectangle 18676" o:spid="_x0000_s4057" style="position:absolute;left:974;top:3420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95xAAAAN4AAAAPAAAAZHJzL2Rvd25yZXYueG1sRE9Na8JA&#10;EL0L/odlBG+6qYcYUlcpiphDL1qFHofsmKTNzi7Z1aT+erdQ6G0e73NWm8G04k6dbywreJknIIhL&#10;qxuuFJw/9rMMhA/IGlvLpOCHPGzW49EKc217PtL9FCoRQ9jnqKAOweVS+rImg35uHXHkrrYzGCLs&#10;Kqk77GO4aeUiSVJpsOHYUKOjbU3l9+lmFHzu2BX7XpbXx9a9fxVZe7idL0pNJ8PbK4hAQ/gX/7kL&#10;Hedn6TKF33fiDXL9BAAA//8DAFBLAQItABQABgAIAAAAIQDb4fbL7gAAAIUBAAATAAAAAAAAAAAA&#10;AAAAAAAAAABbQ29udGVudF9UeXBlc10ueG1sUEsBAi0AFAAGAAgAAAAhAFr0LFu/AAAAFQEAAAsA&#10;AAAAAAAAAAAAAAAAHwEAAF9yZWxzLy5yZWxzUEsBAi0AFAAGAAgAAAAhACwr/3nEAAAA3gAAAA8A&#10;AAAAAAAAAAAAAAAABwIAAGRycy9kb3ducmV2LnhtbFBLBQYAAAAAAwADALcAAAD4AgAAAAA=&#10;" filled="f" stroked="f">
                  <v:textbox inset="0,0,0,0">
                    <w:txbxContent>
                      <w:p w14:paraId="549D8BFF" w14:textId="77777777" w:rsidR="00B32EF2" w:rsidRDefault="00000000">
                        <w:r>
                          <w:rPr>
                            <w:rFonts w:ascii="Arial" w:eastAsia="Arial" w:hAnsi="Arial" w:cs="Arial"/>
                            <w:i/>
                            <w:sz w:val="18"/>
                          </w:rPr>
                          <w:t>-</w:t>
                        </w:r>
                      </w:p>
                    </w:txbxContent>
                  </v:textbox>
                </v:rect>
                <v:rect id="Rectangle 18677" o:spid="_x0000_s4058" style="position:absolute;left:-11450;top:32893;width:505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1rixAAAAN4AAAAPAAAAZHJzL2Rvd25yZXYueG1sRE9Na8JA&#10;EL0X/A/LFLzVTXvQkLqKKNIcvFQjeByyY5KanV2yq4n++m6h4G0e73Pmy8G04kadbywreJ8kIIhL&#10;qxuuFBSH7VsKwgdkja1lUnAnD8vF6GWOmbY9f9NtHyoRQ9hnqKAOwWVS+rImg35iHXHkzrYzGCLs&#10;Kqk77GO4aeVHkkylwYZjQ42O1jWVl/3VKDht2OXbXpbnx9rtfvK0/boWR6XGr8PqE0SgITzF/+5c&#10;x/npdDaDv3fiDXLxCwAA//8DAFBLAQItABQABgAIAAAAIQDb4fbL7gAAAIUBAAATAAAAAAAAAAAA&#10;AAAAAAAAAABbQ29udGVudF9UeXBlc10ueG1sUEsBAi0AFAAGAAgAAAAhAFr0LFu/AAAAFQEAAAsA&#10;AAAAAAAAAAAAAAAAHwEAAF9yZWxzLy5yZWxzUEsBAi0AFAAGAAgAAAAhAENnWuLEAAAA3gAAAA8A&#10;AAAAAAAAAAAAAAAABwIAAGRycy9kb3ducmV2LnhtbFBLBQYAAAAAAwADALcAAAD4AgAAAAA=&#10;" filled="f" stroked="f">
                  <v:textbox inset="0,0,0,0">
                    <w:txbxContent>
                      <w:p w14:paraId="04C4B3DA" w14:textId="77777777" w:rsidR="00B32EF2" w:rsidRDefault="00000000">
                        <w:r>
                          <w:rPr>
                            <w:rFonts w:ascii="Arial" w:eastAsia="Arial" w:hAnsi="Arial" w:cs="Arial"/>
                            <w:i/>
                            <w:sz w:val="18"/>
                          </w:rPr>
                          <w:t>smi di risoluzione delle controversie in materia fiscale nell’Unione europea.</w:t>
                        </w:r>
                      </w:p>
                    </w:txbxContent>
                  </v:textbox>
                </v:rect>
                <v:shape id="Shape 18678" o:spid="_x0000_s4059" style="position:absolute;left:317;top:32272;width:39600;height:30293;visibility:visible;mso-wrap-style:square;v-text-anchor:top" coordsize="3960000,3029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OQfxQAAAN4AAAAPAAAAZHJzL2Rvd25yZXYueG1sRI/NasNA&#10;DITvhbzDokJvzTqFOsHNJpRAIMfEcelV9Sq2iVdrvFv/vH10KPSmQfONRtv95Fo1UB8azwZWywQU&#10;celtw5WB4np83YAKEdli65kMzBRgv1s8bTGzfuQLDXmslIRwyNBAHWOXaR3KmhyGpe+IZXfzvcMo&#10;sq+07XGUcNfqtyRJtcOG5UKNHR1qKu/5r5Max7L5Touf1M3t13vo/HmcVqMxL8/T5weoSFP8N//R&#10;JyvcJl1LX3lHZtC7BwAAAP//AwBQSwECLQAUAAYACAAAACEA2+H2y+4AAACFAQAAEwAAAAAAAAAA&#10;AAAAAAAAAAAAW0NvbnRlbnRfVHlwZXNdLnhtbFBLAQItABQABgAIAAAAIQBa9CxbvwAAABUBAAAL&#10;AAAAAAAAAAAAAAAAAB8BAABfcmVscy8ucmVsc1BLAQItABQABgAIAAAAIQBPhOQfxQAAAN4AAAAP&#10;AAAAAAAAAAAAAAAAAAcCAABkcnMvZG93bnJldi54bWxQSwUGAAAAAAMAAwC3AAAA+QIAAAAA&#10;" path="m,3029306r3960000,l3960000,,,,,3029306xe" filled="f" strokeweight="1pt">
                  <v:stroke miterlimit="1" joinstyle="miter"/>
                  <v:path arrowok="t" textboxrect="0,0,3960000,3029306"/>
                </v:shape>
                <w10:anchorlock/>
              </v:group>
            </w:pict>
          </mc:Fallback>
        </mc:AlternateContent>
      </w:r>
    </w:p>
    <w:p w14:paraId="0225A37F" w14:textId="77777777" w:rsidR="00B32EF2" w:rsidRDefault="00000000">
      <w:pPr>
        <w:spacing w:after="0"/>
        <w:ind w:left="-356" w:right="-306"/>
      </w:pPr>
      <w:r>
        <w:rPr>
          <w:noProof/>
        </w:rPr>
        <w:lastRenderedPageBreak/>
        <mc:AlternateContent>
          <mc:Choice Requires="wpg">
            <w:drawing>
              <wp:inline distT="0" distB="0" distL="0" distR="0" wp14:anchorId="255240C1" wp14:editId="5F8AEA4D">
                <wp:extent cx="3991779" cy="6262854"/>
                <wp:effectExtent l="0" t="0" r="0" b="0"/>
                <wp:docPr id="201159" name="Group 201159"/>
                <wp:cNvGraphicFramePr/>
                <a:graphic xmlns:a="http://schemas.openxmlformats.org/drawingml/2006/main">
                  <a:graphicData uri="http://schemas.microsoft.com/office/word/2010/wordprocessingGroup">
                    <wpg:wgp>
                      <wpg:cNvGrpSpPr/>
                      <wpg:grpSpPr>
                        <a:xfrm>
                          <a:off x="0" y="0"/>
                          <a:ext cx="3991779" cy="6262854"/>
                          <a:chOff x="0" y="0"/>
                          <a:chExt cx="3991779" cy="6262854"/>
                        </a:xfrm>
                      </wpg:grpSpPr>
                      <wps:wsp>
                        <wps:cNvPr id="18759" name="Rectangle 18759"/>
                        <wps:cNvSpPr/>
                        <wps:spPr>
                          <a:xfrm rot="-10799999">
                            <a:off x="1900465" y="-62190"/>
                            <a:ext cx="178369" cy="250646"/>
                          </a:xfrm>
                          <a:prstGeom prst="rect">
                            <a:avLst/>
                          </a:prstGeom>
                          <a:ln>
                            <a:noFill/>
                          </a:ln>
                        </wps:spPr>
                        <wps:txbx>
                          <w:txbxContent>
                            <w:p w14:paraId="3858BE3D" w14:textId="77777777" w:rsidR="00B32EF2" w:rsidRDefault="00000000">
                              <w:r>
                                <w:rPr>
                                  <w:rFonts w:ascii="Times New Roman" w:eastAsia="Times New Roman" w:hAnsi="Times New Roman" w:cs="Times New Roman"/>
                                </w:rPr>
                                <w:t>60</w:t>
                              </w:r>
                            </w:p>
                          </w:txbxContent>
                        </wps:txbx>
                        <wps:bodyPr horzOverflow="overflow" vert="horz" lIns="0" tIns="0" rIns="0" bIns="0" rtlCol="0">
                          <a:noAutofit/>
                        </wps:bodyPr>
                      </wps:wsp>
                      <wps:wsp>
                        <wps:cNvPr id="18760" name="Rectangle 18760"/>
                        <wps:cNvSpPr/>
                        <wps:spPr>
                          <a:xfrm rot="-10799999">
                            <a:off x="-1317210" y="6119964"/>
                            <a:ext cx="5308989" cy="142890"/>
                          </a:xfrm>
                          <a:prstGeom prst="rect">
                            <a:avLst/>
                          </a:prstGeom>
                          <a:ln>
                            <a:noFill/>
                          </a:ln>
                        </wps:spPr>
                        <wps:txbx>
                          <w:txbxContent>
                            <w:p w14:paraId="36CE86E9" w14:textId="77777777" w:rsidR="00B32EF2" w:rsidRDefault="00000000">
                              <w:r>
                                <w:rPr>
                                  <w:rFonts w:ascii="Arial" w:eastAsia="Arial" w:hAnsi="Arial" w:cs="Arial"/>
                                  <w:sz w:val="18"/>
                                </w:rPr>
                                <w:t xml:space="preserve">i) il rifiuto espresso o tacito della restituzione di tributi, sanzioni pecuniarie ed </w:t>
                              </w:r>
                            </w:p>
                          </w:txbxContent>
                        </wps:txbx>
                        <wps:bodyPr horzOverflow="overflow" vert="horz" lIns="0" tIns="0" rIns="0" bIns="0" rtlCol="0">
                          <a:noAutofit/>
                        </wps:bodyPr>
                      </wps:wsp>
                      <wps:wsp>
                        <wps:cNvPr id="18761" name="Rectangle 18761"/>
                        <wps:cNvSpPr/>
                        <wps:spPr>
                          <a:xfrm rot="-10799999">
                            <a:off x="1466227" y="5996634"/>
                            <a:ext cx="2525553" cy="142890"/>
                          </a:xfrm>
                          <a:prstGeom prst="rect">
                            <a:avLst/>
                          </a:prstGeom>
                          <a:ln>
                            <a:noFill/>
                          </a:ln>
                        </wps:spPr>
                        <wps:txbx>
                          <w:txbxContent>
                            <w:p w14:paraId="0B53CB7E" w14:textId="77777777" w:rsidR="00B32EF2" w:rsidRDefault="00000000">
                              <w:r>
                                <w:rPr>
                                  <w:rFonts w:ascii="Arial" w:eastAsia="Arial" w:hAnsi="Arial" w:cs="Arial"/>
                                  <w:sz w:val="18"/>
                                </w:rPr>
                                <w:t xml:space="preserve">interessi o altri accessori non dovuti; </w:t>
                              </w:r>
                            </w:p>
                          </w:txbxContent>
                        </wps:txbx>
                        <wps:bodyPr horzOverflow="overflow" vert="horz" lIns="0" tIns="0" rIns="0" bIns="0" rtlCol="0">
                          <a:noAutofit/>
                        </wps:bodyPr>
                      </wps:wsp>
                      <wps:wsp>
                        <wps:cNvPr id="18762" name="Rectangle 18762"/>
                        <wps:cNvSpPr/>
                        <wps:spPr>
                          <a:xfrm rot="-10799999">
                            <a:off x="-1218642" y="5873305"/>
                            <a:ext cx="5210421" cy="142889"/>
                          </a:xfrm>
                          <a:prstGeom prst="rect">
                            <a:avLst/>
                          </a:prstGeom>
                          <a:ln>
                            <a:noFill/>
                          </a:ln>
                        </wps:spPr>
                        <wps:txbx>
                          <w:txbxContent>
                            <w:p w14:paraId="5DA17E0C" w14:textId="77777777" w:rsidR="00B32EF2" w:rsidRDefault="00000000">
                              <w:r>
                                <w:rPr>
                                  <w:rFonts w:ascii="Arial" w:eastAsia="Arial" w:hAnsi="Arial" w:cs="Arial"/>
                                  <w:sz w:val="18"/>
                                </w:rPr>
                                <w:t>l) il rifiuto espresso o tacito sull’istanza di autotutela nei casi previsti dall’artico</w:t>
                              </w:r>
                            </w:p>
                          </w:txbxContent>
                        </wps:txbx>
                        <wps:bodyPr horzOverflow="overflow" vert="horz" lIns="0" tIns="0" rIns="0" bIns="0" rtlCol="0">
                          <a:noAutofit/>
                        </wps:bodyPr>
                      </wps:wsp>
                      <wps:wsp>
                        <wps:cNvPr id="18763" name="Rectangle 18763"/>
                        <wps:cNvSpPr/>
                        <wps:spPr>
                          <a:xfrm rot="-10799999">
                            <a:off x="19181" y="5873305"/>
                            <a:ext cx="50622" cy="142889"/>
                          </a:xfrm>
                          <a:prstGeom prst="rect">
                            <a:avLst/>
                          </a:prstGeom>
                          <a:ln>
                            <a:noFill/>
                          </a:ln>
                        </wps:spPr>
                        <wps:txbx>
                          <w:txbxContent>
                            <w:p w14:paraId="5F82E82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764" name="Rectangle 18764"/>
                        <wps:cNvSpPr/>
                        <wps:spPr>
                          <a:xfrm rot="-10799999">
                            <a:off x="795123" y="5749976"/>
                            <a:ext cx="3196656" cy="142889"/>
                          </a:xfrm>
                          <a:prstGeom prst="rect">
                            <a:avLst/>
                          </a:prstGeom>
                          <a:ln>
                            <a:noFill/>
                          </a:ln>
                        </wps:spPr>
                        <wps:txbx>
                          <w:txbxContent>
                            <w:p w14:paraId="09C30280" w14:textId="77777777" w:rsidR="00B32EF2" w:rsidRDefault="00000000">
                              <w:r>
                                <w:rPr>
                                  <w:rFonts w:ascii="Arial" w:eastAsia="Arial" w:hAnsi="Arial" w:cs="Arial"/>
                                  <w:sz w:val="18"/>
                                </w:rPr>
                                <w:t xml:space="preserve">lo 10-quater della legge 27 luglio 2000, n. 212; </w:t>
                              </w:r>
                            </w:p>
                          </w:txbxContent>
                        </wps:txbx>
                        <wps:bodyPr horzOverflow="overflow" vert="horz" lIns="0" tIns="0" rIns="0" bIns="0" rtlCol="0">
                          <a:noAutofit/>
                        </wps:bodyPr>
                      </wps:wsp>
                      <wps:wsp>
                        <wps:cNvPr id="18765" name="Rectangle 18765"/>
                        <wps:cNvSpPr/>
                        <wps:spPr>
                          <a:xfrm rot="-10799999">
                            <a:off x="-1317165" y="5626646"/>
                            <a:ext cx="5308945" cy="142889"/>
                          </a:xfrm>
                          <a:prstGeom prst="rect">
                            <a:avLst/>
                          </a:prstGeom>
                          <a:ln>
                            <a:noFill/>
                          </a:ln>
                        </wps:spPr>
                        <wps:txbx>
                          <w:txbxContent>
                            <w:p w14:paraId="509B84D0" w14:textId="77777777" w:rsidR="00B32EF2" w:rsidRDefault="00000000">
                              <w:r>
                                <w:rPr>
                                  <w:rFonts w:ascii="Arial" w:eastAsia="Arial" w:hAnsi="Arial" w:cs="Arial"/>
                                  <w:sz w:val="18"/>
                                </w:rPr>
                                <w:t xml:space="preserve">m) il rifiuto espresso sull’istanza di autotutela nei casi previsti dall’articolo </w:t>
                              </w:r>
                            </w:p>
                          </w:txbxContent>
                        </wps:txbx>
                        <wps:bodyPr horzOverflow="overflow" vert="horz" lIns="0" tIns="0" rIns="0" bIns="0" rtlCol="0">
                          <a:noAutofit/>
                        </wps:bodyPr>
                      </wps:wsp>
                      <wps:wsp>
                        <wps:cNvPr id="201034" name="Rectangle 201034"/>
                        <wps:cNvSpPr/>
                        <wps:spPr>
                          <a:xfrm rot="-10799999">
                            <a:off x="3015149" y="5503316"/>
                            <a:ext cx="3258756" cy="142889"/>
                          </a:xfrm>
                          <a:prstGeom prst="rect">
                            <a:avLst/>
                          </a:prstGeom>
                          <a:ln>
                            <a:noFill/>
                          </a:ln>
                        </wps:spPr>
                        <wps:txbx>
                          <w:txbxContent>
                            <w:p w14:paraId="19B4529A" w14:textId="77777777" w:rsidR="00B32EF2" w:rsidRDefault="00000000">
                              <w:r>
                                <w:rPr>
                                  <w:rFonts w:ascii="Arial" w:eastAsia="Arial" w:hAnsi="Arial" w:cs="Arial"/>
                                  <w:sz w:val="18"/>
                                </w:rPr>
                                <w:t>10-</w:t>
                              </w:r>
                            </w:p>
                          </w:txbxContent>
                        </wps:txbx>
                        <wps:bodyPr horzOverflow="overflow" vert="horz" lIns="0" tIns="0" rIns="0" bIns="0" rtlCol="0">
                          <a:noAutofit/>
                        </wps:bodyPr>
                      </wps:wsp>
                      <wps:wsp>
                        <wps:cNvPr id="201035" name="Rectangle 201035"/>
                        <wps:cNvSpPr/>
                        <wps:spPr>
                          <a:xfrm rot="-10799999">
                            <a:off x="560546" y="5503316"/>
                            <a:ext cx="3258756" cy="142889"/>
                          </a:xfrm>
                          <a:prstGeom prst="rect">
                            <a:avLst/>
                          </a:prstGeom>
                          <a:ln>
                            <a:noFill/>
                          </a:ln>
                        </wps:spPr>
                        <wps:txbx>
                          <w:txbxContent>
                            <w:p w14:paraId="4448E7F5" w14:textId="77777777" w:rsidR="00B32EF2" w:rsidRDefault="00000000">
                              <w:r>
                                <w:rPr>
                                  <w:rFonts w:ascii="Arial" w:eastAsia="Arial" w:hAnsi="Arial" w:cs="Arial"/>
                                  <w:sz w:val="18"/>
                                </w:rPr>
                                <w:t xml:space="preserve">quinquies della legge 27 luglio 2000, n. 212; </w:t>
                              </w:r>
                            </w:p>
                          </w:txbxContent>
                        </wps:txbx>
                        <wps:bodyPr horzOverflow="overflow" vert="horz" lIns="0" tIns="0" rIns="0" bIns="0" rtlCol="0">
                          <a:noAutofit/>
                        </wps:bodyPr>
                      </wps:wsp>
                      <wps:wsp>
                        <wps:cNvPr id="18767" name="Rectangle 18767"/>
                        <wps:cNvSpPr/>
                        <wps:spPr>
                          <a:xfrm rot="-10799999">
                            <a:off x="-1317256" y="5379987"/>
                            <a:ext cx="5309035" cy="142889"/>
                          </a:xfrm>
                          <a:prstGeom prst="rect">
                            <a:avLst/>
                          </a:prstGeom>
                          <a:ln>
                            <a:noFill/>
                          </a:ln>
                        </wps:spPr>
                        <wps:txbx>
                          <w:txbxContent>
                            <w:p w14:paraId="209BDC0A" w14:textId="77777777" w:rsidR="00B32EF2" w:rsidRDefault="00000000">
                              <w:r>
                                <w:rPr>
                                  <w:rFonts w:ascii="Arial" w:eastAsia="Arial" w:hAnsi="Arial" w:cs="Arial"/>
                                  <w:sz w:val="18"/>
                                </w:rPr>
                                <w:t xml:space="preserve">n) il diniego o la revoca di agevolazioni o il rigetto di domande di definizione </w:t>
                              </w:r>
                            </w:p>
                          </w:txbxContent>
                        </wps:txbx>
                        <wps:bodyPr horzOverflow="overflow" vert="horz" lIns="0" tIns="0" rIns="0" bIns="0" rtlCol="0">
                          <a:noAutofit/>
                        </wps:bodyPr>
                      </wps:wsp>
                      <wps:wsp>
                        <wps:cNvPr id="18768" name="Rectangle 18768"/>
                        <wps:cNvSpPr/>
                        <wps:spPr>
                          <a:xfrm rot="-10799999">
                            <a:off x="1949784" y="5256657"/>
                            <a:ext cx="2041996" cy="142889"/>
                          </a:xfrm>
                          <a:prstGeom prst="rect">
                            <a:avLst/>
                          </a:prstGeom>
                          <a:ln>
                            <a:noFill/>
                          </a:ln>
                        </wps:spPr>
                        <wps:txbx>
                          <w:txbxContent>
                            <w:p w14:paraId="5CF2EBAF" w14:textId="77777777" w:rsidR="00B32EF2" w:rsidRDefault="00000000">
                              <w:r>
                                <w:rPr>
                                  <w:rFonts w:ascii="Arial" w:eastAsia="Arial" w:hAnsi="Arial" w:cs="Arial"/>
                                  <w:sz w:val="18"/>
                                </w:rPr>
                                <w:t xml:space="preserve">agevolata di rapporti tributari; </w:t>
                              </w:r>
                            </w:p>
                          </w:txbxContent>
                        </wps:txbx>
                        <wps:bodyPr horzOverflow="overflow" vert="horz" lIns="0" tIns="0" rIns="0" bIns="0" rtlCol="0">
                          <a:noAutofit/>
                        </wps:bodyPr>
                      </wps:wsp>
                      <wps:wsp>
                        <wps:cNvPr id="18769" name="Rectangle 18769"/>
                        <wps:cNvSpPr/>
                        <wps:spPr>
                          <a:xfrm rot="-10799999">
                            <a:off x="-1219219" y="5133327"/>
                            <a:ext cx="5210999" cy="142889"/>
                          </a:xfrm>
                          <a:prstGeom prst="rect">
                            <a:avLst/>
                          </a:prstGeom>
                          <a:ln>
                            <a:noFill/>
                          </a:ln>
                        </wps:spPr>
                        <wps:txbx>
                          <w:txbxContent>
                            <w:p w14:paraId="6ED281BA" w14:textId="77777777" w:rsidR="00B32EF2" w:rsidRDefault="00000000">
                              <w:r>
                                <w:rPr>
                                  <w:rFonts w:ascii="Arial" w:eastAsia="Arial" w:hAnsi="Arial" w:cs="Arial"/>
                                  <w:sz w:val="18"/>
                                </w:rPr>
                                <w:t>o) la decisione di rigetto dell’istanza di apertura di procedura amichevole pre</w:t>
                              </w:r>
                            </w:p>
                          </w:txbxContent>
                        </wps:txbx>
                        <wps:bodyPr horzOverflow="overflow" vert="horz" lIns="0" tIns="0" rIns="0" bIns="0" rtlCol="0">
                          <a:noAutofit/>
                        </wps:bodyPr>
                      </wps:wsp>
                      <wps:wsp>
                        <wps:cNvPr id="18770" name="Rectangle 18770"/>
                        <wps:cNvSpPr/>
                        <wps:spPr>
                          <a:xfrm rot="-10799999">
                            <a:off x="19181" y="5133327"/>
                            <a:ext cx="50622" cy="142889"/>
                          </a:xfrm>
                          <a:prstGeom prst="rect">
                            <a:avLst/>
                          </a:prstGeom>
                          <a:ln>
                            <a:noFill/>
                          </a:ln>
                        </wps:spPr>
                        <wps:txbx>
                          <w:txbxContent>
                            <w:p w14:paraId="31F2F41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771" name="Rectangle 18771"/>
                        <wps:cNvSpPr/>
                        <wps:spPr>
                          <a:xfrm rot="-10799999">
                            <a:off x="-1317180" y="5009998"/>
                            <a:ext cx="5308960" cy="142889"/>
                          </a:xfrm>
                          <a:prstGeom prst="rect">
                            <a:avLst/>
                          </a:prstGeom>
                          <a:ln>
                            <a:noFill/>
                          </a:ln>
                        </wps:spPr>
                        <wps:txbx>
                          <w:txbxContent>
                            <w:p w14:paraId="054042DB" w14:textId="77777777" w:rsidR="00B32EF2" w:rsidRDefault="00000000">
                              <w:r>
                                <w:rPr>
                                  <w:rFonts w:ascii="Arial" w:eastAsia="Arial" w:hAnsi="Arial" w:cs="Arial"/>
                                  <w:sz w:val="18"/>
                                </w:rPr>
                                <w:t xml:space="preserve">sentata ai sensi della direttiva (UE) 2017/1852 del Consiglio, del 10 ottobre </w:t>
                              </w:r>
                            </w:p>
                          </w:txbxContent>
                        </wps:txbx>
                        <wps:bodyPr horzOverflow="overflow" vert="horz" lIns="0" tIns="0" rIns="0" bIns="0" rtlCol="0">
                          <a:noAutofit/>
                        </wps:bodyPr>
                      </wps:wsp>
                      <wps:wsp>
                        <wps:cNvPr id="201031" name="Rectangle 201031"/>
                        <wps:cNvSpPr/>
                        <wps:spPr>
                          <a:xfrm rot="-10799999">
                            <a:off x="2427196" y="4886668"/>
                            <a:ext cx="5309006" cy="142889"/>
                          </a:xfrm>
                          <a:prstGeom prst="rect">
                            <a:avLst/>
                          </a:prstGeom>
                          <a:ln>
                            <a:noFill/>
                          </a:ln>
                        </wps:spPr>
                        <wps:txbx>
                          <w:txbxContent>
                            <w:p w14:paraId="09163E5F" w14:textId="77777777" w:rsidR="00B32EF2" w:rsidRDefault="00000000">
                              <w:r>
                                <w:rPr>
                                  <w:rFonts w:ascii="Arial" w:eastAsia="Arial" w:hAnsi="Arial" w:cs="Arial"/>
                                  <w:sz w:val="18"/>
                                </w:rPr>
                                <w:t>2017</w:t>
                              </w:r>
                            </w:p>
                          </w:txbxContent>
                        </wps:txbx>
                        <wps:bodyPr horzOverflow="overflow" vert="horz" lIns="0" tIns="0" rIns="0" bIns="0" rtlCol="0">
                          <a:noAutofit/>
                        </wps:bodyPr>
                      </wps:wsp>
                      <wps:wsp>
                        <wps:cNvPr id="201032" name="Rectangle 201032"/>
                        <wps:cNvSpPr/>
                        <wps:spPr>
                          <a:xfrm rot="-10799999">
                            <a:off x="-1564537" y="4886668"/>
                            <a:ext cx="5309006" cy="142889"/>
                          </a:xfrm>
                          <a:prstGeom prst="rect">
                            <a:avLst/>
                          </a:prstGeom>
                          <a:ln>
                            <a:noFill/>
                          </a:ln>
                        </wps:spPr>
                        <wps:txbx>
                          <w:txbxContent>
                            <w:p w14:paraId="4192F506" w14:textId="77777777" w:rsidR="00B32EF2" w:rsidRDefault="00000000">
                              <w:r>
                                <w:rPr>
                                  <w:rFonts w:ascii="Arial" w:eastAsia="Arial" w:hAnsi="Arial" w:cs="Arial"/>
                                  <w:sz w:val="18"/>
                                </w:rPr>
                                <w:t xml:space="preserve"> o ai sensi degli Accordi e delle Convenzioni internazionali per evitare </w:t>
                              </w:r>
                            </w:p>
                          </w:txbxContent>
                        </wps:txbx>
                        <wps:bodyPr horzOverflow="overflow" vert="horz" lIns="0" tIns="0" rIns="0" bIns="0" rtlCol="0">
                          <a:noAutofit/>
                        </wps:bodyPr>
                      </wps:wsp>
                      <wps:wsp>
                        <wps:cNvPr id="18773" name="Rectangle 18773"/>
                        <wps:cNvSpPr/>
                        <wps:spPr>
                          <a:xfrm rot="-10799999">
                            <a:off x="-1317256" y="4763338"/>
                            <a:ext cx="5309035" cy="142889"/>
                          </a:xfrm>
                          <a:prstGeom prst="rect">
                            <a:avLst/>
                          </a:prstGeom>
                          <a:ln>
                            <a:noFill/>
                          </a:ln>
                        </wps:spPr>
                        <wps:txbx>
                          <w:txbxContent>
                            <w:p w14:paraId="417BFB38" w14:textId="77777777" w:rsidR="00B32EF2" w:rsidRDefault="00000000">
                              <w:r>
                                <w:rPr>
                                  <w:rFonts w:ascii="Arial" w:eastAsia="Arial" w:hAnsi="Arial" w:cs="Arial"/>
                                  <w:sz w:val="18"/>
                                </w:rPr>
                                <w:t xml:space="preserve">le doppie imposizioni di cui l’Italia è parte ovvero ai sensi della Convenzione </w:t>
                              </w:r>
                            </w:p>
                          </w:txbxContent>
                        </wps:txbx>
                        <wps:bodyPr horzOverflow="overflow" vert="horz" lIns="0" tIns="0" rIns="0" bIns="0" rtlCol="0">
                          <a:noAutofit/>
                        </wps:bodyPr>
                      </wps:wsp>
                      <wps:wsp>
                        <wps:cNvPr id="18774" name="Rectangle 18774"/>
                        <wps:cNvSpPr/>
                        <wps:spPr>
                          <a:xfrm rot="-10799999">
                            <a:off x="-1317256" y="4640009"/>
                            <a:ext cx="5309035" cy="142889"/>
                          </a:xfrm>
                          <a:prstGeom prst="rect">
                            <a:avLst/>
                          </a:prstGeom>
                          <a:ln>
                            <a:noFill/>
                          </a:ln>
                        </wps:spPr>
                        <wps:txbx>
                          <w:txbxContent>
                            <w:p w14:paraId="508C96E9" w14:textId="77777777" w:rsidR="00B32EF2" w:rsidRDefault="00000000">
                              <w:r>
                                <w:rPr>
                                  <w:rFonts w:ascii="Arial" w:eastAsia="Arial" w:hAnsi="Arial" w:cs="Arial"/>
                                  <w:sz w:val="18"/>
                                </w:rPr>
                                <w:t xml:space="preserve">relativa all’eliminazione delle doppie imposizioni in caso di rettifica degli utili di </w:t>
                              </w:r>
                            </w:p>
                          </w:txbxContent>
                        </wps:txbx>
                        <wps:bodyPr horzOverflow="overflow" vert="horz" lIns="0" tIns="0" rIns="0" bIns="0" rtlCol="0">
                          <a:noAutofit/>
                        </wps:bodyPr>
                      </wps:wsp>
                      <wps:wsp>
                        <wps:cNvPr id="18775" name="Rectangle 18775"/>
                        <wps:cNvSpPr/>
                        <wps:spPr>
                          <a:xfrm rot="-10799999">
                            <a:off x="1623094" y="4516679"/>
                            <a:ext cx="2368685" cy="142889"/>
                          </a:xfrm>
                          <a:prstGeom prst="rect">
                            <a:avLst/>
                          </a:prstGeom>
                          <a:ln>
                            <a:noFill/>
                          </a:ln>
                        </wps:spPr>
                        <wps:txbx>
                          <w:txbxContent>
                            <w:p w14:paraId="056F43B2" w14:textId="77777777" w:rsidR="00B32EF2" w:rsidRDefault="00000000">
                              <w:r>
                                <w:rPr>
                                  <w:rFonts w:ascii="Arial" w:eastAsia="Arial" w:hAnsi="Arial" w:cs="Arial"/>
                                  <w:sz w:val="18"/>
                                </w:rPr>
                                <w:t xml:space="preserve">imprese associate n. 90/436/CEE; </w:t>
                              </w:r>
                            </w:p>
                          </w:txbxContent>
                        </wps:txbx>
                        <wps:bodyPr horzOverflow="overflow" vert="horz" lIns="0" tIns="0" rIns="0" bIns="0" rtlCol="0">
                          <a:noAutofit/>
                        </wps:bodyPr>
                      </wps:wsp>
                      <wps:wsp>
                        <wps:cNvPr id="18776" name="Rectangle 18776"/>
                        <wps:cNvSpPr/>
                        <wps:spPr>
                          <a:xfrm rot="-10799999">
                            <a:off x="-1317226" y="4393349"/>
                            <a:ext cx="5309006" cy="142889"/>
                          </a:xfrm>
                          <a:prstGeom prst="rect">
                            <a:avLst/>
                          </a:prstGeom>
                          <a:ln>
                            <a:noFill/>
                          </a:ln>
                        </wps:spPr>
                        <wps:txbx>
                          <w:txbxContent>
                            <w:p w14:paraId="3916335C" w14:textId="77777777" w:rsidR="00B32EF2" w:rsidRDefault="00000000">
                              <w:r>
                                <w:rPr>
                                  <w:rFonts w:ascii="Arial" w:eastAsia="Arial" w:hAnsi="Arial" w:cs="Arial"/>
                                  <w:sz w:val="18"/>
                                </w:rPr>
                                <w:t xml:space="preserve">p) ogni altro atto per il quale la legge ne preveda l’autonoma impugnabilità </w:t>
                              </w:r>
                            </w:p>
                          </w:txbxContent>
                        </wps:txbx>
                        <wps:bodyPr horzOverflow="overflow" vert="horz" lIns="0" tIns="0" rIns="0" bIns="0" rtlCol="0">
                          <a:noAutofit/>
                        </wps:bodyPr>
                      </wps:wsp>
                      <wps:wsp>
                        <wps:cNvPr id="18777" name="Rectangle 18777"/>
                        <wps:cNvSpPr/>
                        <wps:spPr>
                          <a:xfrm rot="-10799999">
                            <a:off x="-391551" y="4270019"/>
                            <a:ext cx="4383332" cy="142889"/>
                          </a:xfrm>
                          <a:prstGeom prst="rect">
                            <a:avLst/>
                          </a:prstGeom>
                          <a:ln>
                            <a:noFill/>
                          </a:ln>
                        </wps:spPr>
                        <wps:txbx>
                          <w:txbxContent>
                            <w:p w14:paraId="29928EF4" w14:textId="77777777" w:rsidR="00B32EF2" w:rsidRDefault="00000000">
                              <w:r>
                                <w:rPr>
                                  <w:rFonts w:ascii="Arial" w:eastAsia="Arial" w:hAnsi="Arial" w:cs="Arial"/>
                                  <w:sz w:val="18"/>
                                </w:rPr>
                                <w:t xml:space="preserve">davanti alle corti di giustizia tributaria di primo e secondo grado. </w:t>
                              </w:r>
                            </w:p>
                          </w:txbxContent>
                        </wps:txbx>
                        <wps:bodyPr horzOverflow="overflow" vert="horz" lIns="0" tIns="0" rIns="0" bIns="0" rtlCol="0">
                          <a:noAutofit/>
                        </wps:bodyPr>
                      </wps:wsp>
                      <wps:wsp>
                        <wps:cNvPr id="201030" name="Rectangle 201030"/>
                        <wps:cNvSpPr/>
                        <wps:spPr>
                          <a:xfrm rot="-10799999">
                            <a:off x="-1293581" y="4146690"/>
                            <a:ext cx="5220804" cy="142889"/>
                          </a:xfrm>
                          <a:prstGeom prst="rect">
                            <a:avLst/>
                          </a:prstGeom>
                          <a:ln>
                            <a:noFill/>
                          </a:ln>
                        </wps:spPr>
                        <wps:txbx>
                          <w:txbxContent>
                            <w:p w14:paraId="1B0F5C59" w14:textId="77777777" w:rsidR="00B32EF2" w:rsidRDefault="00000000">
                              <w:r>
                                <w:rPr>
                                  <w:rFonts w:ascii="Arial" w:eastAsia="Arial" w:hAnsi="Arial" w:cs="Arial"/>
                                  <w:sz w:val="18"/>
                                </w:rPr>
                                <w:t>. Gli atti espressi di cui al comma 1 devono contenere l’indicazione del ter</w:t>
                              </w:r>
                            </w:p>
                          </w:txbxContent>
                        </wps:txbx>
                        <wps:bodyPr horzOverflow="overflow" vert="horz" lIns="0" tIns="0" rIns="0" bIns="0" rtlCol="0">
                          <a:noAutofit/>
                        </wps:bodyPr>
                      </wps:wsp>
                      <wps:wsp>
                        <wps:cNvPr id="201029" name="Rectangle 201029"/>
                        <wps:cNvSpPr/>
                        <wps:spPr>
                          <a:xfrm rot="-10799999">
                            <a:off x="2632841" y="4146690"/>
                            <a:ext cx="5220805" cy="142889"/>
                          </a:xfrm>
                          <a:prstGeom prst="rect">
                            <a:avLst/>
                          </a:prstGeom>
                          <a:ln>
                            <a:noFill/>
                          </a:ln>
                        </wps:spPr>
                        <wps:txbx>
                          <w:txbxContent>
                            <w:p w14:paraId="0EBDEC2A"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8779" name="Rectangle 18779"/>
                        <wps:cNvSpPr/>
                        <wps:spPr>
                          <a:xfrm rot="-10799999">
                            <a:off x="19181" y="4146689"/>
                            <a:ext cx="50622" cy="142889"/>
                          </a:xfrm>
                          <a:prstGeom prst="rect">
                            <a:avLst/>
                          </a:prstGeom>
                          <a:ln>
                            <a:noFill/>
                          </a:ln>
                        </wps:spPr>
                        <wps:txbx>
                          <w:txbxContent>
                            <w:p w14:paraId="1F46252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780" name="Rectangle 18780"/>
                        <wps:cNvSpPr/>
                        <wps:spPr>
                          <a:xfrm rot="-10799999">
                            <a:off x="-1317225" y="4023360"/>
                            <a:ext cx="5309005" cy="142889"/>
                          </a:xfrm>
                          <a:prstGeom prst="rect">
                            <a:avLst/>
                          </a:prstGeom>
                          <a:ln>
                            <a:noFill/>
                          </a:ln>
                        </wps:spPr>
                        <wps:txbx>
                          <w:txbxContent>
                            <w:p w14:paraId="4FA16005" w14:textId="77777777" w:rsidR="00B32EF2" w:rsidRDefault="00000000">
                              <w:r>
                                <w:rPr>
                                  <w:rFonts w:ascii="Arial" w:eastAsia="Arial" w:hAnsi="Arial" w:cs="Arial"/>
                                  <w:sz w:val="18"/>
                                </w:rPr>
                                <w:t xml:space="preserve">mine entro il quale il ricorso deve essere proposto e della corte di giustizia </w:t>
                              </w:r>
                            </w:p>
                          </w:txbxContent>
                        </wps:txbx>
                        <wps:bodyPr horzOverflow="overflow" vert="horz" lIns="0" tIns="0" rIns="0" bIns="0" rtlCol="0">
                          <a:noAutofit/>
                        </wps:bodyPr>
                      </wps:wsp>
                      <wps:wsp>
                        <wps:cNvPr id="18781" name="Rectangle 18781"/>
                        <wps:cNvSpPr/>
                        <wps:spPr>
                          <a:xfrm rot="-10799999">
                            <a:off x="-1317241" y="3900030"/>
                            <a:ext cx="5309021" cy="142889"/>
                          </a:xfrm>
                          <a:prstGeom prst="rect">
                            <a:avLst/>
                          </a:prstGeom>
                          <a:ln>
                            <a:noFill/>
                          </a:ln>
                        </wps:spPr>
                        <wps:txbx>
                          <w:txbxContent>
                            <w:p w14:paraId="3B950865" w14:textId="77777777" w:rsidR="00B32EF2" w:rsidRDefault="00000000">
                              <w:r>
                                <w:rPr>
                                  <w:rFonts w:ascii="Arial" w:eastAsia="Arial" w:hAnsi="Arial" w:cs="Arial"/>
                                  <w:sz w:val="18"/>
                                </w:rPr>
                                <w:t xml:space="preserve">tributaria di primo e secondo grado competente, nonché delle relative forme </w:t>
                              </w:r>
                            </w:p>
                          </w:txbxContent>
                        </wps:txbx>
                        <wps:bodyPr horzOverflow="overflow" vert="horz" lIns="0" tIns="0" rIns="0" bIns="0" rtlCol="0">
                          <a:noAutofit/>
                        </wps:bodyPr>
                      </wps:wsp>
                      <wps:wsp>
                        <wps:cNvPr id="18782" name="Rectangle 18782"/>
                        <wps:cNvSpPr/>
                        <wps:spPr>
                          <a:xfrm rot="-10799999">
                            <a:off x="1419086" y="3776701"/>
                            <a:ext cx="2572694" cy="142889"/>
                          </a:xfrm>
                          <a:prstGeom prst="rect">
                            <a:avLst/>
                          </a:prstGeom>
                          <a:ln>
                            <a:noFill/>
                          </a:ln>
                        </wps:spPr>
                        <wps:txbx>
                          <w:txbxContent>
                            <w:p w14:paraId="63A77B2E" w14:textId="77777777" w:rsidR="00B32EF2" w:rsidRDefault="00000000">
                              <w:r>
                                <w:rPr>
                                  <w:rFonts w:ascii="Arial" w:eastAsia="Arial" w:hAnsi="Arial" w:cs="Arial"/>
                                  <w:sz w:val="18"/>
                                </w:rPr>
                                <w:t xml:space="preserve">da osservare ai sensi dell’articolo 66. </w:t>
                              </w:r>
                            </w:p>
                          </w:txbxContent>
                        </wps:txbx>
                        <wps:bodyPr horzOverflow="overflow" vert="horz" lIns="0" tIns="0" rIns="0" bIns="0" rtlCol="0">
                          <a:noAutofit/>
                        </wps:bodyPr>
                      </wps:wsp>
                      <wps:wsp>
                        <wps:cNvPr id="201028" name="Rectangle 201028"/>
                        <wps:cNvSpPr/>
                        <wps:spPr>
                          <a:xfrm rot="-10799999">
                            <a:off x="-1381809" y="3653371"/>
                            <a:ext cx="5309066" cy="142889"/>
                          </a:xfrm>
                          <a:prstGeom prst="rect">
                            <a:avLst/>
                          </a:prstGeom>
                          <a:ln>
                            <a:noFill/>
                          </a:ln>
                        </wps:spPr>
                        <wps:txbx>
                          <w:txbxContent>
                            <w:p w14:paraId="096BC4EA" w14:textId="77777777" w:rsidR="00B32EF2" w:rsidRDefault="00000000">
                              <w:r>
                                <w:rPr>
                                  <w:rFonts w:ascii="Arial" w:eastAsia="Arial" w:hAnsi="Arial" w:cs="Arial"/>
                                  <w:sz w:val="18"/>
                                </w:rPr>
                                <w:t xml:space="preserve">. Gli atti diversi da quelli indicati non sono impugnabili autonomamente. </w:t>
                              </w:r>
                            </w:p>
                          </w:txbxContent>
                        </wps:txbx>
                        <wps:bodyPr horzOverflow="overflow" vert="horz" lIns="0" tIns="0" rIns="0" bIns="0" rtlCol="0">
                          <a:noAutofit/>
                        </wps:bodyPr>
                      </wps:wsp>
                      <wps:wsp>
                        <wps:cNvPr id="201027" name="Rectangle 201027"/>
                        <wps:cNvSpPr/>
                        <wps:spPr>
                          <a:xfrm rot="-10799999">
                            <a:off x="2610942" y="3653371"/>
                            <a:ext cx="5309066" cy="142889"/>
                          </a:xfrm>
                          <a:prstGeom prst="rect">
                            <a:avLst/>
                          </a:prstGeom>
                          <a:ln>
                            <a:noFill/>
                          </a:ln>
                        </wps:spPr>
                        <wps:txbx>
                          <w:txbxContent>
                            <w:p w14:paraId="44F6724E"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8784" name="Rectangle 18784"/>
                        <wps:cNvSpPr/>
                        <wps:spPr>
                          <a:xfrm rot="-10799999">
                            <a:off x="-1317271" y="3530041"/>
                            <a:ext cx="5309051" cy="142889"/>
                          </a:xfrm>
                          <a:prstGeom prst="rect">
                            <a:avLst/>
                          </a:prstGeom>
                          <a:ln>
                            <a:noFill/>
                          </a:ln>
                        </wps:spPr>
                        <wps:txbx>
                          <w:txbxContent>
                            <w:p w14:paraId="3B46097D" w14:textId="77777777" w:rsidR="00B32EF2" w:rsidRDefault="00000000">
                              <w:r>
                                <w:rPr>
                                  <w:rFonts w:ascii="Arial" w:eastAsia="Arial" w:hAnsi="Arial" w:cs="Arial"/>
                                  <w:sz w:val="18"/>
                                </w:rPr>
                                <w:t xml:space="preserve">Ognuno degli atti autonomamente impugnabili può essere impugnato solo per </w:t>
                              </w:r>
                            </w:p>
                          </w:txbxContent>
                        </wps:txbx>
                        <wps:bodyPr horzOverflow="overflow" vert="horz" lIns="0" tIns="0" rIns="0" bIns="0" rtlCol="0">
                          <a:noAutofit/>
                        </wps:bodyPr>
                      </wps:wsp>
                      <wps:wsp>
                        <wps:cNvPr id="18785" name="Rectangle 18785"/>
                        <wps:cNvSpPr/>
                        <wps:spPr>
                          <a:xfrm rot="-10799999">
                            <a:off x="-1223810" y="3406712"/>
                            <a:ext cx="5215590" cy="142889"/>
                          </a:xfrm>
                          <a:prstGeom prst="rect">
                            <a:avLst/>
                          </a:prstGeom>
                          <a:ln>
                            <a:noFill/>
                          </a:ln>
                        </wps:spPr>
                        <wps:txbx>
                          <w:txbxContent>
                            <w:p w14:paraId="1A4726D3" w14:textId="77777777" w:rsidR="00B32EF2" w:rsidRDefault="00000000">
                              <w:r>
                                <w:rPr>
                                  <w:rFonts w:ascii="Arial" w:eastAsia="Arial" w:hAnsi="Arial" w:cs="Arial"/>
                                  <w:sz w:val="18"/>
                                </w:rPr>
                                <w:t>vizi propri. La mancata notificazione di atti autonomamente impugnabili, adot</w:t>
                              </w:r>
                            </w:p>
                          </w:txbxContent>
                        </wps:txbx>
                        <wps:bodyPr horzOverflow="overflow" vert="horz" lIns="0" tIns="0" rIns="0" bIns="0" rtlCol="0">
                          <a:noAutofit/>
                        </wps:bodyPr>
                      </wps:wsp>
                      <wps:wsp>
                        <wps:cNvPr id="18786" name="Rectangle 18786"/>
                        <wps:cNvSpPr/>
                        <wps:spPr>
                          <a:xfrm rot="-10799999">
                            <a:off x="19181" y="3406711"/>
                            <a:ext cx="50622" cy="142889"/>
                          </a:xfrm>
                          <a:prstGeom prst="rect">
                            <a:avLst/>
                          </a:prstGeom>
                          <a:ln>
                            <a:noFill/>
                          </a:ln>
                        </wps:spPr>
                        <wps:txbx>
                          <w:txbxContent>
                            <w:p w14:paraId="1084AC3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787" name="Rectangle 18787"/>
                        <wps:cNvSpPr/>
                        <wps:spPr>
                          <a:xfrm rot="-10799999">
                            <a:off x="-1220633" y="3283382"/>
                            <a:ext cx="5212413" cy="142889"/>
                          </a:xfrm>
                          <a:prstGeom prst="rect">
                            <a:avLst/>
                          </a:prstGeom>
                          <a:ln>
                            <a:noFill/>
                          </a:ln>
                        </wps:spPr>
                        <wps:txbx>
                          <w:txbxContent>
                            <w:p w14:paraId="361AF6DD" w14:textId="77777777" w:rsidR="00B32EF2" w:rsidRDefault="00000000">
                              <w:r>
                                <w:rPr>
                                  <w:rFonts w:ascii="Arial" w:eastAsia="Arial" w:hAnsi="Arial" w:cs="Arial"/>
                                  <w:sz w:val="18"/>
                                </w:rPr>
                                <w:t>tati precedentemente all’atto notificato, ne consente l’impugnazione unitamen</w:t>
                              </w:r>
                            </w:p>
                          </w:txbxContent>
                        </wps:txbx>
                        <wps:bodyPr horzOverflow="overflow" vert="horz" lIns="0" tIns="0" rIns="0" bIns="0" rtlCol="0">
                          <a:noAutofit/>
                        </wps:bodyPr>
                      </wps:wsp>
                      <wps:wsp>
                        <wps:cNvPr id="18788" name="Rectangle 18788"/>
                        <wps:cNvSpPr/>
                        <wps:spPr>
                          <a:xfrm rot="-10799999">
                            <a:off x="19181" y="3283381"/>
                            <a:ext cx="50622" cy="142889"/>
                          </a:xfrm>
                          <a:prstGeom prst="rect">
                            <a:avLst/>
                          </a:prstGeom>
                          <a:ln>
                            <a:noFill/>
                          </a:ln>
                        </wps:spPr>
                        <wps:txbx>
                          <w:txbxContent>
                            <w:p w14:paraId="3897AFB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789" name="Rectangle 18789"/>
                        <wps:cNvSpPr/>
                        <wps:spPr>
                          <a:xfrm rot="-10799999">
                            <a:off x="2791893" y="3160052"/>
                            <a:ext cx="1199886" cy="142889"/>
                          </a:xfrm>
                          <a:prstGeom prst="rect">
                            <a:avLst/>
                          </a:prstGeom>
                          <a:ln>
                            <a:noFill/>
                          </a:ln>
                        </wps:spPr>
                        <wps:txbx>
                          <w:txbxContent>
                            <w:p w14:paraId="062F6A31" w14:textId="77777777" w:rsidR="00B32EF2" w:rsidRDefault="00000000">
                              <w:r>
                                <w:rPr>
                                  <w:rFonts w:ascii="Arial" w:eastAsia="Arial" w:hAnsi="Arial" w:cs="Arial"/>
                                  <w:sz w:val="18"/>
                                </w:rPr>
                                <w:t xml:space="preserve">te a quest’ultimo. </w:t>
                              </w:r>
                            </w:p>
                          </w:txbxContent>
                        </wps:txbx>
                        <wps:bodyPr horzOverflow="overflow" vert="horz" lIns="0" tIns="0" rIns="0" bIns="0" rtlCol="0">
                          <a:noAutofit/>
                        </wps:bodyPr>
                      </wps:wsp>
                      <wps:wsp>
                        <wps:cNvPr id="201021" name="Rectangle 201021"/>
                        <wps:cNvSpPr/>
                        <wps:spPr>
                          <a:xfrm rot="-10799999">
                            <a:off x="2634942" y="3036723"/>
                            <a:ext cx="5212336" cy="142889"/>
                          </a:xfrm>
                          <a:prstGeom prst="rect">
                            <a:avLst/>
                          </a:prstGeom>
                          <a:ln>
                            <a:noFill/>
                          </a:ln>
                        </wps:spPr>
                        <wps:txbx>
                          <w:txbxContent>
                            <w:p w14:paraId="5E46E569"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1025" name="Rectangle 201025"/>
                        <wps:cNvSpPr/>
                        <wps:spPr>
                          <a:xfrm rot="-10799999">
                            <a:off x="-1283696" y="3036723"/>
                            <a:ext cx="5212337" cy="142889"/>
                          </a:xfrm>
                          <a:prstGeom prst="rect">
                            <a:avLst/>
                          </a:prstGeom>
                          <a:ln>
                            <a:noFill/>
                          </a:ln>
                        </wps:spPr>
                        <wps:txbx>
                          <w:txbxContent>
                            <w:p w14:paraId="6D1F642E" w14:textId="77777777" w:rsidR="00B32EF2" w:rsidRDefault="00000000">
                              <w:r>
                                <w:rPr>
                                  <w:rFonts w:ascii="Arial" w:eastAsia="Arial" w:hAnsi="Arial" w:cs="Arial"/>
                                  <w:sz w:val="18"/>
                                </w:rPr>
                                <w:t>. L’ annullabilità dell’avviso di accertamento e di rettifica ai sensi del dell’arti</w:t>
                              </w:r>
                            </w:p>
                          </w:txbxContent>
                        </wps:txbx>
                        <wps:bodyPr horzOverflow="overflow" vert="horz" lIns="0" tIns="0" rIns="0" bIns="0" rtlCol="0">
                          <a:noAutofit/>
                        </wps:bodyPr>
                      </wps:wsp>
                      <wps:wsp>
                        <wps:cNvPr id="18791" name="Rectangle 18791"/>
                        <wps:cNvSpPr/>
                        <wps:spPr>
                          <a:xfrm rot="-10799999">
                            <a:off x="19181" y="3036722"/>
                            <a:ext cx="50622" cy="142889"/>
                          </a:xfrm>
                          <a:prstGeom prst="rect">
                            <a:avLst/>
                          </a:prstGeom>
                          <a:ln>
                            <a:noFill/>
                          </a:ln>
                        </wps:spPr>
                        <wps:txbx>
                          <w:txbxContent>
                            <w:p w14:paraId="572C2F4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792" name="Rectangle 18792"/>
                        <wps:cNvSpPr/>
                        <wps:spPr>
                          <a:xfrm rot="-10799999">
                            <a:off x="-1317180" y="2913393"/>
                            <a:ext cx="5308960" cy="142889"/>
                          </a:xfrm>
                          <a:prstGeom prst="rect">
                            <a:avLst/>
                          </a:prstGeom>
                          <a:ln>
                            <a:noFill/>
                          </a:ln>
                        </wps:spPr>
                        <wps:txbx>
                          <w:txbxContent>
                            <w:p w14:paraId="78615FBC" w14:textId="77777777" w:rsidR="00B32EF2" w:rsidRDefault="00000000">
                              <w:r>
                                <w:rPr>
                                  <w:rFonts w:ascii="Arial" w:eastAsia="Arial" w:hAnsi="Arial" w:cs="Arial"/>
                                  <w:sz w:val="18"/>
                                </w:rPr>
                                <w:t xml:space="preserve">colo 42, comma 3, e dell’articolo 43, comma 3, del decreto del Presidente della </w:t>
                              </w:r>
                            </w:p>
                          </w:txbxContent>
                        </wps:txbx>
                        <wps:bodyPr horzOverflow="overflow" vert="horz" lIns="0" tIns="0" rIns="0" bIns="0" rtlCol="0">
                          <a:noAutofit/>
                        </wps:bodyPr>
                      </wps:wsp>
                      <wps:wsp>
                        <wps:cNvPr id="18793" name="Rectangle 18793"/>
                        <wps:cNvSpPr/>
                        <wps:spPr>
                          <a:xfrm rot="-10799999">
                            <a:off x="-1317240" y="2790063"/>
                            <a:ext cx="5309021" cy="142889"/>
                          </a:xfrm>
                          <a:prstGeom prst="rect">
                            <a:avLst/>
                          </a:prstGeom>
                          <a:ln>
                            <a:noFill/>
                          </a:ln>
                        </wps:spPr>
                        <wps:txbx>
                          <w:txbxContent>
                            <w:p w14:paraId="5DB23924" w14:textId="77777777" w:rsidR="00B32EF2" w:rsidRDefault="00000000">
                              <w:r>
                                <w:rPr>
                                  <w:rFonts w:ascii="Arial" w:eastAsia="Arial" w:hAnsi="Arial" w:cs="Arial"/>
                                  <w:sz w:val="18"/>
                                </w:rPr>
                                <w:t xml:space="preserve">Repubblica 29 settembre 1973, n. 600, nonché per l’omissione o l’insufficienza </w:t>
                              </w:r>
                            </w:p>
                          </w:txbxContent>
                        </wps:txbx>
                        <wps:bodyPr horzOverflow="overflow" vert="horz" lIns="0" tIns="0" rIns="0" bIns="0" rtlCol="0">
                          <a:noAutofit/>
                        </wps:bodyPr>
                      </wps:wsp>
                      <wps:wsp>
                        <wps:cNvPr id="18794" name="Rectangle 18794"/>
                        <wps:cNvSpPr/>
                        <wps:spPr>
                          <a:xfrm rot="-10799999">
                            <a:off x="-1317226" y="2666733"/>
                            <a:ext cx="5309006" cy="142889"/>
                          </a:xfrm>
                          <a:prstGeom prst="rect">
                            <a:avLst/>
                          </a:prstGeom>
                          <a:ln>
                            <a:noFill/>
                          </a:ln>
                        </wps:spPr>
                        <wps:txbx>
                          <w:txbxContent>
                            <w:p w14:paraId="531963C2" w14:textId="77777777" w:rsidR="00B32EF2" w:rsidRDefault="00000000">
                              <w:r>
                                <w:rPr>
                                  <w:rFonts w:ascii="Arial" w:eastAsia="Arial" w:hAnsi="Arial" w:cs="Arial"/>
                                  <w:sz w:val="18"/>
                                </w:rPr>
                                <w:t xml:space="preserve">delle indicazioni prescritte negli articoli 56 e 57, comma 4, del decreto del </w:t>
                              </w:r>
                            </w:p>
                          </w:txbxContent>
                        </wps:txbx>
                        <wps:bodyPr horzOverflow="overflow" vert="horz" lIns="0" tIns="0" rIns="0" bIns="0" rtlCol="0">
                          <a:noAutofit/>
                        </wps:bodyPr>
                      </wps:wsp>
                      <wps:wsp>
                        <wps:cNvPr id="18795" name="Rectangle 18795"/>
                        <wps:cNvSpPr/>
                        <wps:spPr>
                          <a:xfrm rot="-10799999">
                            <a:off x="-1317103" y="2543403"/>
                            <a:ext cx="5308884" cy="142889"/>
                          </a:xfrm>
                          <a:prstGeom prst="rect">
                            <a:avLst/>
                          </a:prstGeom>
                          <a:ln>
                            <a:noFill/>
                          </a:ln>
                        </wps:spPr>
                        <wps:txbx>
                          <w:txbxContent>
                            <w:p w14:paraId="0B225A75" w14:textId="77777777" w:rsidR="00B32EF2" w:rsidRDefault="00000000">
                              <w:r>
                                <w:rPr>
                                  <w:rFonts w:ascii="Arial" w:eastAsia="Arial" w:hAnsi="Arial" w:cs="Arial"/>
                                  <w:sz w:val="18"/>
                                </w:rPr>
                                <w:t xml:space="preserve">Presidente della Repubblica 26 ottobre 1972, n. 633 e, in genere per difetto di </w:t>
                              </w:r>
                            </w:p>
                          </w:txbxContent>
                        </wps:txbx>
                        <wps:bodyPr horzOverflow="overflow" vert="horz" lIns="0" tIns="0" rIns="0" bIns="0" rtlCol="0">
                          <a:noAutofit/>
                        </wps:bodyPr>
                      </wps:wsp>
                      <wps:wsp>
                        <wps:cNvPr id="18796" name="Rectangle 18796"/>
                        <wps:cNvSpPr/>
                        <wps:spPr>
                          <a:xfrm rot="-10799999">
                            <a:off x="-903019" y="2420073"/>
                            <a:ext cx="4894800" cy="142889"/>
                          </a:xfrm>
                          <a:prstGeom prst="rect">
                            <a:avLst/>
                          </a:prstGeom>
                          <a:ln>
                            <a:noFill/>
                          </a:ln>
                        </wps:spPr>
                        <wps:txbx>
                          <w:txbxContent>
                            <w:p w14:paraId="31D92DAD" w14:textId="77777777" w:rsidR="00B32EF2" w:rsidRDefault="00000000">
                              <w:r>
                                <w:rPr>
                                  <w:rFonts w:ascii="Arial" w:eastAsia="Arial" w:hAnsi="Arial" w:cs="Arial"/>
                                  <w:sz w:val="18"/>
                                </w:rPr>
                                <w:t>motivazione, deve essere eccepita a pena di decadenza in primo grado.</w:t>
                              </w:r>
                            </w:p>
                          </w:txbxContent>
                        </wps:txbx>
                        <wps:bodyPr horzOverflow="overflow" vert="horz" lIns="0" tIns="0" rIns="0" bIns="0" rtlCol="0">
                          <a:noAutofit/>
                        </wps:bodyPr>
                      </wps:wsp>
                      <wps:wsp>
                        <wps:cNvPr id="207956" name="Shape 207956"/>
                        <wps:cNvSpPr/>
                        <wps:spPr>
                          <a:xfrm>
                            <a:off x="31779" y="329202"/>
                            <a:ext cx="3960000" cy="2084298"/>
                          </a:xfrm>
                          <a:custGeom>
                            <a:avLst/>
                            <a:gdLst/>
                            <a:ahLst/>
                            <a:cxnLst/>
                            <a:rect l="0" t="0" r="0" b="0"/>
                            <a:pathLst>
                              <a:path w="3960000" h="2084298">
                                <a:moveTo>
                                  <a:pt x="0" y="0"/>
                                </a:moveTo>
                                <a:lnTo>
                                  <a:pt x="3960000" y="0"/>
                                </a:lnTo>
                                <a:lnTo>
                                  <a:pt x="3960000" y="2084298"/>
                                </a:lnTo>
                                <a:lnTo>
                                  <a:pt x="0" y="2084298"/>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8798" name="Rectangle 18798"/>
                        <wps:cNvSpPr/>
                        <wps:spPr>
                          <a:xfrm rot="-10799999">
                            <a:off x="2328763" y="2192264"/>
                            <a:ext cx="1585695" cy="142889"/>
                          </a:xfrm>
                          <a:prstGeom prst="rect">
                            <a:avLst/>
                          </a:prstGeom>
                          <a:ln>
                            <a:noFill/>
                          </a:ln>
                        </wps:spPr>
                        <wps:txbx>
                          <w:txbxContent>
                            <w:p w14:paraId="4558E061"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8799" name="Rectangle 18799"/>
                        <wps:cNvSpPr/>
                        <wps:spPr>
                          <a:xfrm rot="-10799999">
                            <a:off x="988157" y="2061505"/>
                            <a:ext cx="2925271" cy="142889"/>
                          </a:xfrm>
                          <a:prstGeom prst="rect">
                            <a:avLst/>
                          </a:prstGeom>
                          <a:ln>
                            <a:noFill/>
                          </a:ln>
                        </wps:spPr>
                        <wps:txbx>
                          <w:txbxContent>
                            <w:p w14:paraId="3383B775" w14:textId="77777777" w:rsidR="00B32EF2" w:rsidRDefault="00000000">
                              <w:r>
                                <w:rPr>
                                  <w:rFonts w:ascii="Arial" w:eastAsia="Arial" w:hAnsi="Arial" w:cs="Arial"/>
                                  <w:i/>
                                  <w:sz w:val="18"/>
                                </w:rPr>
                                <w:t>art. 77 dpr. 602/1973 “Iscrizione di ipoteca”</w:t>
                              </w:r>
                            </w:p>
                          </w:txbxContent>
                        </wps:txbx>
                        <wps:bodyPr horzOverflow="overflow" vert="horz" lIns="0" tIns="0" rIns="0" bIns="0" rtlCol="0">
                          <a:noAutofit/>
                        </wps:bodyPr>
                      </wps:wsp>
                      <wps:wsp>
                        <wps:cNvPr id="18800" name="Rectangle 18800"/>
                        <wps:cNvSpPr/>
                        <wps:spPr>
                          <a:xfrm rot="-10799999">
                            <a:off x="270081" y="1930746"/>
                            <a:ext cx="3643348" cy="142889"/>
                          </a:xfrm>
                          <a:prstGeom prst="rect">
                            <a:avLst/>
                          </a:prstGeom>
                          <a:ln>
                            <a:noFill/>
                          </a:ln>
                        </wps:spPr>
                        <wps:txbx>
                          <w:txbxContent>
                            <w:p w14:paraId="3088D267" w14:textId="77777777" w:rsidR="00B32EF2" w:rsidRDefault="00000000">
                              <w:r>
                                <w:rPr>
                                  <w:rFonts w:ascii="Arial" w:eastAsia="Arial" w:hAnsi="Arial" w:cs="Arial"/>
                                  <w:i/>
                                  <w:sz w:val="18"/>
                                </w:rPr>
                                <w:t xml:space="preserve">art. 86 dpr. 602/1973 “Fermo di beni mobili registrati” </w:t>
                              </w:r>
                            </w:p>
                          </w:txbxContent>
                        </wps:txbx>
                        <wps:bodyPr horzOverflow="overflow" vert="horz" lIns="0" tIns="0" rIns="0" bIns="0" rtlCol="0">
                          <a:noAutofit/>
                        </wps:bodyPr>
                      </wps:wsp>
                      <wps:wsp>
                        <wps:cNvPr id="18801" name="Rectangle 18801"/>
                        <wps:cNvSpPr/>
                        <wps:spPr>
                          <a:xfrm rot="-10799999">
                            <a:off x="914154" y="1799987"/>
                            <a:ext cx="2999274" cy="142889"/>
                          </a:xfrm>
                          <a:prstGeom prst="rect">
                            <a:avLst/>
                          </a:prstGeom>
                          <a:ln>
                            <a:noFill/>
                          </a:ln>
                        </wps:spPr>
                        <wps:txbx>
                          <w:txbxContent>
                            <w:p w14:paraId="70688226" w14:textId="77777777" w:rsidR="00B32EF2" w:rsidRDefault="00000000">
                              <w:r>
                                <w:rPr>
                                  <w:rFonts w:ascii="Arial" w:eastAsia="Arial" w:hAnsi="Arial" w:cs="Arial"/>
                                  <w:i/>
                                  <w:sz w:val="18"/>
                                </w:rPr>
                                <w:t>art. 42 dpr. 600/73 “Avviso di accertamento”</w:t>
                              </w:r>
                            </w:p>
                          </w:txbxContent>
                        </wps:txbx>
                        <wps:bodyPr horzOverflow="overflow" vert="horz" lIns="0" tIns="0" rIns="0" bIns="0" rtlCol="0">
                          <a:noAutofit/>
                        </wps:bodyPr>
                      </wps:wsp>
                      <wps:wsp>
                        <wps:cNvPr id="18802" name="Rectangle 18802"/>
                        <wps:cNvSpPr/>
                        <wps:spPr>
                          <a:xfrm rot="-10799999">
                            <a:off x="631977" y="1669228"/>
                            <a:ext cx="3281452" cy="142889"/>
                          </a:xfrm>
                          <a:prstGeom prst="rect">
                            <a:avLst/>
                          </a:prstGeom>
                          <a:ln>
                            <a:noFill/>
                          </a:ln>
                        </wps:spPr>
                        <wps:txbx>
                          <w:txbxContent>
                            <w:p w14:paraId="201AD12A" w14:textId="77777777" w:rsidR="00B32EF2" w:rsidRDefault="00000000">
                              <w:r>
                                <w:rPr>
                                  <w:rFonts w:ascii="Arial" w:eastAsia="Arial" w:hAnsi="Arial" w:cs="Arial"/>
                                  <w:i/>
                                  <w:sz w:val="18"/>
                                </w:rPr>
                                <w:t>art. 43 dpr. 600/73 “Termine per l’accertamento”</w:t>
                              </w:r>
                            </w:p>
                          </w:txbxContent>
                        </wps:txbx>
                        <wps:bodyPr horzOverflow="overflow" vert="horz" lIns="0" tIns="0" rIns="0" bIns="0" rtlCol="0">
                          <a:noAutofit/>
                        </wps:bodyPr>
                      </wps:wsp>
                      <wps:wsp>
                        <wps:cNvPr id="18803" name="Rectangle 18803"/>
                        <wps:cNvSpPr/>
                        <wps:spPr>
                          <a:xfrm rot="-10799999">
                            <a:off x="-710183" y="1538469"/>
                            <a:ext cx="4623613" cy="142889"/>
                          </a:xfrm>
                          <a:prstGeom prst="rect">
                            <a:avLst/>
                          </a:prstGeom>
                          <a:ln>
                            <a:noFill/>
                          </a:ln>
                        </wps:spPr>
                        <wps:txbx>
                          <w:txbxContent>
                            <w:p w14:paraId="35A24000" w14:textId="77777777" w:rsidR="00B32EF2" w:rsidRDefault="00000000">
                              <w:r>
                                <w:rPr>
                                  <w:rFonts w:ascii="Arial" w:eastAsia="Arial" w:hAnsi="Arial" w:cs="Arial"/>
                                  <w:i/>
                                  <w:sz w:val="18"/>
                                </w:rPr>
                                <w:t>art. 56 dpr. 633/72 “Notificazione e motivazione degli accertamenti.”</w:t>
                              </w:r>
                            </w:p>
                          </w:txbxContent>
                        </wps:txbx>
                        <wps:bodyPr horzOverflow="overflow" vert="horz" lIns="0" tIns="0" rIns="0" bIns="0" rtlCol="0">
                          <a:noAutofit/>
                        </wps:bodyPr>
                      </wps:wsp>
                      <wps:wsp>
                        <wps:cNvPr id="18804" name="Rectangle 18804"/>
                        <wps:cNvSpPr/>
                        <wps:spPr>
                          <a:xfrm rot="-10799999">
                            <a:off x="551315" y="1407710"/>
                            <a:ext cx="3362114" cy="142889"/>
                          </a:xfrm>
                          <a:prstGeom prst="rect">
                            <a:avLst/>
                          </a:prstGeom>
                          <a:ln>
                            <a:noFill/>
                          </a:ln>
                        </wps:spPr>
                        <wps:txbx>
                          <w:txbxContent>
                            <w:p w14:paraId="7C44E3B0" w14:textId="77777777" w:rsidR="00B32EF2" w:rsidRDefault="00000000">
                              <w:r>
                                <w:rPr>
                                  <w:rFonts w:ascii="Arial" w:eastAsia="Arial" w:hAnsi="Arial" w:cs="Arial"/>
                                  <w:i/>
                                  <w:sz w:val="18"/>
                                </w:rPr>
                                <w:t>art. 57 dpr. 633/72 “Termine per gli accertamenti”</w:t>
                              </w:r>
                            </w:p>
                          </w:txbxContent>
                        </wps:txbx>
                        <wps:bodyPr horzOverflow="overflow" vert="horz" lIns="0" tIns="0" rIns="0" bIns="0" rtlCol="0">
                          <a:noAutofit/>
                        </wps:bodyPr>
                      </wps:wsp>
                      <wps:wsp>
                        <wps:cNvPr id="18805" name="Rectangle 18805"/>
                        <wps:cNvSpPr/>
                        <wps:spPr>
                          <a:xfrm rot="-10799999">
                            <a:off x="-1100309" y="1276950"/>
                            <a:ext cx="5013739" cy="142889"/>
                          </a:xfrm>
                          <a:prstGeom prst="rect">
                            <a:avLst/>
                          </a:prstGeom>
                          <a:ln>
                            <a:noFill/>
                          </a:ln>
                        </wps:spPr>
                        <wps:txbx>
                          <w:txbxContent>
                            <w:p w14:paraId="1BB4CD2C" w14:textId="77777777" w:rsidR="00B32EF2" w:rsidRDefault="00000000">
                              <w:r>
                                <w:rPr>
                                  <w:rFonts w:ascii="Arial" w:eastAsia="Arial" w:hAnsi="Arial" w:cs="Arial"/>
                                  <w:i/>
                                  <w:sz w:val="18"/>
                                </w:rPr>
                                <w:t>art. 10-quater L. 212/2000 “Esercizio del potere di autotutela obbligatoria”</w:t>
                              </w:r>
                            </w:p>
                          </w:txbxContent>
                        </wps:txbx>
                        <wps:bodyPr horzOverflow="overflow" vert="horz" lIns="0" tIns="0" rIns="0" bIns="0" rtlCol="0">
                          <a:noAutofit/>
                        </wps:bodyPr>
                      </wps:wsp>
                      <wps:wsp>
                        <wps:cNvPr id="201019" name="Rectangle 201019"/>
                        <wps:cNvSpPr/>
                        <wps:spPr>
                          <a:xfrm rot="-10799999">
                            <a:off x="2584308" y="1146192"/>
                            <a:ext cx="5100633" cy="142890"/>
                          </a:xfrm>
                          <a:prstGeom prst="rect">
                            <a:avLst/>
                          </a:prstGeom>
                          <a:ln>
                            <a:noFill/>
                          </a:ln>
                        </wps:spPr>
                        <wps:txbx>
                          <w:txbxContent>
                            <w:p w14:paraId="7F51205C"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020" name="Rectangle 201020"/>
                        <wps:cNvSpPr/>
                        <wps:spPr>
                          <a:xfrm rot="-10799999">
                            <a:off x="-1246606" y="1146191"/>
                            <a:ext cx="5100633" cy="142890"/>
                          </a:xfrm>
                          <a:prstGeom prst="rect">
                            <a:avLst/>
                          </a:prstGeom>
                          <a:ln>
                            <a:noFill/>
                          </a:ln>
                        </wps:spPr>
                        <wps:txbx>
                          <w:txbxContent>
                            <w:p w14:paraId="2A5B388B" w14:textId="77777777" w:rsidR="00B32EF2" w:rsidRDefault="00000000">
                              <w:r>
                                <w:rPr>
                                  <w:rFonts w:ascii="Arial" w:eastAsia="Arial" w:hAnsi="Arial" w:cs="Arial"/>
                                  <w:i/>
                                  <w:sz w:val="18"/>
                                </w:rPr>
                                <w:t xml:space="preserve">.L’amministrazione finanziaria procede in tutto o in parte all’annullamento </w:t>
                              </w:r>
                            </w:p>
                          </w:txbxContent>
                        </wps:txbx>
                        <wps:bodyPr horzOverflow="overflow" vert="horz" lIns="0" tIns="0" rIns="0" bIns="0" rtlCol="0">
                          <a:noAutofit/>
                        </wps:bodyPr>
                      </wps:wsp>
                      <wps:wsp>
                        <wps:cNvPr id="18807" name="Rectangle 18807"/>
                        <wps:cNvSpPr/>
                        <wps:spPr>
                          <a:xfrm rot="-10799999">
                            <a:off x="-1189385" y="1015432"/>
                            <a:ext cx="5108873" cy="142889"/>
                          </a:xfrm>
                          <a:prstGeom prst="rect">
                            <a:avLst/>
                          </a:prstGeom>
                          <a:ln>
                            <a:noFill/>
                          </a:ln>
                        </wps:spPr>
                        <wps:txbx>
                          <w:txbxContent>
                            <w:p w14:paraId="52D14016" w14:textId="77777777" w:rsidR="00B32EF2" w:rsidRDefault="00000000">
                              <w:r>
                                <w:rPr>
                                  <w:rFonts w:ascii="Arial" w:eastAsia="Arial" w:hAnsi="Arial" w:cs="Arial"/>
                                  <w:i/>
                                  <w:sz w:val="18"/>
                                </w:rPr>
                                <w:t xml:space="preserve">di atti di imposizione ovvero alla rinuncia all’imposizione, senza necessità </w:t>
                              </w:r>
                            </w:p>
                          </w:txbxContent>
                        </wps:txbx>
                        <wps:bodyPr horzOverflow="overflow" vert="horz" lIns="0" tIns="0" rIns="0" bIns="0" rtlCol="0">
                          <a:noAutofit/>
                        </wps:bodyPr>
                      </wps:wsp>
                      <wps:wsp>
                        <wps:cNvPr id="18808" name="Rectangle 18808"/>
                        <wps:cNvSpPr/>
                        <wps:spPr>
                          <a:xfrm rot="-10799999">
                            <a:off x="-1187386" y="884673"/>
                            <a:ext cx="5100815" cy="142889"/>
                          </a:xfrm>
                          <a:prstGeom prst="rect">
                            <a:avLst/>
                          </a:prstGeom>
                          <a:ln>
                            <a:noFill/>
                          </a:ln>
                        </wps:spPr>
                        <wps:txbx>
                          <w:txbxContent>
                            <w:p w14:paraId="16EB5B60" w14:textId="77777777" w:rsidR="00B32EF2" w:rsidRDefault="00000000">
                              <w:r>
                                <w:rPr>
                                  <w:rFonts w:ascii="Arial" w:eastAsia="Arial" w:hAnsi="Arial" w:cs="Arial"/>
                                  <w:i/>
                                  <w:sz w:val="18"/>
                                </w:rPr>
                                <w:t xml:space="preserve">di istanza di parte, anche in pendenza di giudizio o in caso di atti definitivi, </w:t>
                              </w:r>
                            </w:p>
                          </w:txbxContent>
                        </wps:txbx>
                        <wps:bodyPr horzOverflow="overflow" vert="horz" lIns="0" tIns="0" rIns="0" bIns="0" rtlCol="0">
                          <a:noAutofit/>
                        </wps:bodyPr>
                      </wps:wsp>
                      <wps:wsp>
                        <wps:cNvPr id="18809" name="Rectangle 18809"/>
                        <wps:cNvSpPr/>
                        <wps:spPr>
                          <a:xfrm rot="-10799999">
                            <a:off x="-742730" y="753914"/>
                            <a:ext cx="4656159" cy="142889"/>
                          </a:xfrm>
                          <a:prstGeom prst="rect">
                            <a:avLst/>
                          </a:prstGeom>
                          <a:ln>
                            <a:noFill/>
                          </a:ln>
                        </wps:spPr>
                        <wps:txbx>
                          <w:txbxContent>
                            <w:p w14:paraId="1F7C5BE1" w14:textId="77777777" w:rsidR="00B32EF2" w:rsidRDefault="00000000">
                              <w:r>
                                <w:rPr>
                                  <w:rFonts w:ascii="Arial" w:eastAsia="Arial" w:hAnsi="Arial" w:cs="Arial"/>
                                  <w:i/>
                                  <w:sz w:val="18"/>
                                </w:rPr>
                                <w:t>nei seguenti casi di manifesta illegittimità dell’atto o dell’imposizione:</w:t>
                              </w:r>
                            </w:p>
                          </w:txbxContent>
                        </wps:txbx>
                        <wps:bodyPr horzOverflow="overflow" vert="horz" lIns="0" tIns="0" rIns="0" bIns="0" rtlCol="0">
                          <a:noAutofit/>
                        </wps:bodyPr>
                      </wps:wsp>
                      <wps:wsp>
                        <wps:cNvPr id="18810" name="Rectangle 18810"/>
                        <wps:cNvSpPr/>
                        <wps:spPr>
                          <a:xfrm rot="-10799999">
                            <a:off x="2524325" y="623156"/>
                            <a:ext cx="1389104" cy="142889"/>
                          </a:xfrm>
                          <a:prstGeom prst="rect">
                            <a:avLst/>
                          </a:prstGeom>
                          <a:ln>
                            <a:noFill/>
                          </a:ln>
                        </wps:spPr>
                        <wps:txbx>
                          <w:txbxContent>
                            <w:p w14:paraId="4C27BBD5" w14:textId="77777777" w:rsidR="00B32EF2" w:rsidRDefault="00000000">
                              <w:r>
                                <w:rPr>
                                  <w:rFonts w:ascii="Arial" w:eastAsia="Arial" w:hAnsi="Arial" w:cs="Arial"/>
                                  <w:i/>
                                  <w:sz w:val="18"/>
                                </w:rPr>
                                <w:t>a) errore di persona;</w:t>
                              </w:r>
                            </w:p>
                          </w:txbxContent>
                        </wps:txbx>
                        <wps:bodyPr horzOverflow="overflow" vert="horz" lIns="0" tIns="0" rIns="0" bIns="0" rtlCol="0">
                          <a:noAutofit/>
                        </wps:bodyPr>
                      </wps:wsp>
                      <wps:wsp>
                        <wps:cNvPr id="18811" name="Rectangle 18811"/>
                        <wps:cNvSpPr/>
                        <wps:spPr>
                          <a:xfrm rot="-10799999">
                            <a:off x="2599072" y="492396"/>
                            <a:ext cx="1314356" cy="142889"/>
                          </a:xfrm>
                          <a:prstGeom prst="rect">
                            <a:avLst/>
                          </a:prstGeom>
                          <a:ln>
                            <a:noFill/>
                          </a:ln>
                        </wps:spPr>
                        <wps:txbx>
                          <w:txbxContent>
                            <w:p w14:paraId="45BABB43" w14:textId="77777777" w:rsidR="00B32EF2" w:rsidRDefault="00000000">
                              <w:r>
                                <w:rPr>
                                  <w:rFonts w:ascii="Arial" w:eastAsia="Arial" w:hAnsi="Arial" w:cs="Arial"/>
                                  <w:i/>
                                  <w:sz w:val="18"/>
                                </w:rPr>
                                <w:t>b) errore di calcolo;</w:t>
                              </w:r>
                            </w:p>
                          </w:txbxContent>
                        </wps:txbx>
                        <wps:bodyPr horzOverflow="overflow" vert="horz" lIns="0" tIns="0" rIns="0" bIns="0" rtlCol="0">
                          <a:noAutofit/>
                        </wps:bodyPr>
                      </wps:wsp>
                      <wps:wsp>
                        <wps:cNvPr id="18812" name="Rectangle 18812"/>
                        <wps:cNvSpPr/>
                        <wps:spPr>
                          <a:xfrm rot="-10799999">
                            <a:off x="1288147" y="361637"/>
                            <a:ext cx="2626311" cy="142889"/>
                          </a:xfrm>
                          <a:prstGeom prst="rect">
                            <a:avLst/>
                          </a:prstGeom>
                          <a:ln>
                            <a:noFill/>
                          </a:ln>
                        </wps:spPr>
                        <wps:txbx>
                          <w:txbxContent>
                            <w:p w14:paraId="7A9789FB" w14:textId="77777777" w:rsidR="00B32EF2" w:rsidRDefault="00000000">
                              <w:r>
                                <w:rPr>
                                  <w:rFonts w:ascii="Arial" w:eastAsia="Arial" w:hAnsi="Arial" w:cs="Arial"/>
                                  <w:i/>
                                  <w:sz w:val="18"/>
                                </w:rPr>
                                <w:t>c) errore sull’individuazione del tributo;</w:t>
                              </w:r>
                            </w:p>
                          </w:txbxContent>
                        </wps:txbx>
                        <wps:bodyPr horzOverflow="overflow" vert="horz" lIns="0" tIns="0" rIns="0" bIns="0" rtlCol="0">
                          <a:noAutofit/>
                        </wps:bodyPr>
                      </wps:wsp>
                      <wps:wsp>
                        <wps:cNvPr id="18813" name="Shape 18813"/>
                        <wps:cNvSpPr/>
                        <wps:spPr>
                          <a:xfrm>
                            <a:off x="31778" y="329204"/>
                            <a:ext cx="3960000" cy="2084299"/>
                          </a:xfrm>
                          <a:custGeom>
                            <a:avLst/>
                            <a:gdLst/>
                            <a:ahLst/>
                            <a:cxnLst/>
                            <a:rect l="0" t="0" r="0" b="0"/>
                            <a:pathLst>
                              <a:path w="3960000" h="2084299">
                                <a:moveTo>
                                  <a:pt x="0" y="2084299"/>
                                </a:moveTo>
                                <a:lnTo>
                                  <a:pt x="3960000" y="2084299"/>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55240C1" id="Group 201159" o:spid="_x0000_s4060" style="width:314.3pt;height:493.15pt;mso-position-horizontal-relative:char;mso-position-vertical-relative:line" coordsize="39917,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vVyQsAANx6AAAOAAAAZHJzL2Uyb0RvYy54bWzkXW1v47gR/l6g/8Hw92z4JkoKNnso9nqL&#10;AkXvcC8/QHHk2IBsGbJ3k+2v7zMkRdky02ulNlwc9w6JQ8s0OY9mOPNwOHr/3cuuWXypu+O23d8v&#10;+Tu2XNT7Vfu43T/dL3/79YebYrk4nqr9Y9W0+/p++bU+Lr/78Oc/vX8+3NWi3bTNY90t0Mn+ePd8&#10;uF9uTqfD3e3tcbWpd9XxXXuo93hz3Xa76oQ/u6fbx656Ru+75lYwpm+f2+7x0LWr+nhE6/f2zeUH&#10;0/96Xa9OP67Xx/q0aO6XGNvJ/OzMzwf6efvhfXX31FWHzXblhlFNGMWu2u7xpb6r76tTtfjcba+6&#10;2m1XXXts16d3q3Z3267X21Vt5oDZcDaazaeu/Xwwc3m6e346eDFBtCM5Te529Y8vn7rDL4efOkji&#10;+fAEWZi/aC4v625HvzHKxYsR2VcvsvrltFihUZYlz/NyuVjhPS20KDJlhbraQPJXn1tt/vo7n7zt&#10;v/j2YjjPB9wgx0EGx3ky+GVTHWoj2uMdZPBTt9g+4v4t8gxz2Vc73Ko/4+ap9k9NvbDNRkDmai+u&#10;490Rkutlteha3F83nOUl/TP3g5MdLxlTOlsuIKUbLfCnFVIvRp4XUjspioxppel9L4rq7tAdT5/q&#10;dregF/fLDmMz/Vdf/n482Uv7S2g4zZ5+7tsftk1j36UWSLQfMb06vTy8mGmLAqN103toH79CGpu2&#10;++eP0Ot10z7fL1v3akmqjq+nd5eL5m97oEBa1b/o+hcP/Yvu1Hxsje7ZAf3l86ldb82IaQj229zI&#10;AC/dg2+Ds8a4Azij2QkCd8V/j/MNlzwXHH2TOnBeltqpQ490JllRFg5qriB6841vBjVuxH6GyUDN&#10;w1DzXhCToOZKayFyg3QGnLUcIS0ykWWZtKYxCtJ+gskgLcJIi1lI33DBC63QN5Q6K3IpWUYdVnde&#10;qaHySuA2o1WQoIaCW7Pbr6G9cf7/2O+S+RkmAzUUK2S/5SyoeckLwPgqzgwqHxFlP7lkUFZhlI2p&#10;JVdhkunOy4wL3D8Ec67KMjfe1qDOksOcZzoi0H5+yQAN3zikzsbQTgbauGPc+d0ZwhPnWA9QG3dM&#10;4cujWW4/wySgpigXjtIV1q59ju8tGc+4gmdNap0xKflYrQUW76hqbQY0xD1/8CjLYBrQa9c+B+tM&#10;swwx8jcMdd77IUmoNRgSjVAoZMG9ICYt1TagJqUlrZZgVgrT4YUFL5mMacGL5KAGqRuC2gtiEtS8&#10;VGVeYG0gpEUGD2yEtGCKCJWIa3V6LFmYDQVVOcd6U0Bd4n8LNZdSgkdBh2dKjYCaKNRobhkoPDfD&#10;VOx3HiZE0TwH6rOAOohz3ICaJ8eQ5WEuFM1zULZxVmFp74yR6pq14EyhifYmzj1WnMXTYsiMjx3A&#10;2rXPAVsokYMgMcZbFYXW+hpr7DJEXKd5WjyZwTTAfLv2OVjf8EwruN3fMtjJcWV5mPpG8zyoaevS&#10;RVoq1/DKQnodM9LiaXFlCKrzAFVmm/93UGvFsGLTvXOxXMcNqi13lwxVRpgGmDLbPAdqroVkpQ2q&#10;Vca1Rq7OBdJC6kIXEekT7gmiZCItuEYB+sTuQs3b6xDC+WWylBJc+AXU2OuI7Jd5gigZqMOkaO7v&#10;+UlM2Y0seZbZfWo444yBSrlAWsmCSJWI0ZYZUDLm23jaAf7Etc8x4ODKSpm5pARFSUfj3MFMCFYw&#10;mPhYobXwFFESak2gigAv6trngC20FIVyiv061hFXayQ5uQkmgTU5YAGobfMcpAde1Oi0zRc787/j&#10;8qJIckoMZeIuAz4ZmuegbHcvBfQVe1qKCSltfvEZ0MYni6nQnjVIRaFpLQ1B7S3bNJ/MZH472y3h&#10;ZzNp7p0R1DGTREVyTFkRYEVhu9E8R6s5tqFZYQMtmSPxgZlbZ0BaZLnQFHRH88jSIsqM5xXISXDt&#10;c7CGBS94AXqMLLjUmZR2q2wA20TVOuJuB0L+lBZrA2ogrHbtc8AWGlkHLs//G8XaEwfJrNZhBhx5&#10;QnOQto4ZbYaTWkOFkVpEHY7UmjiWaDY8ObKMWOiQY+YXs4mOmRCw4TY3QSqmc5sKcAa1AJsGViUe&#10;1GmxZeSBhSlwNM/R6iGotjiPVTpuUG3jgWQ4UUI5sEzb5jkogxEVDNvT1nYLMN3Wn79QaKGQBBJN&#10;oaWPJZNZpgPuN0HtF7FJtvtMoQ3O35hC+zAyGZTDXKhlLyfvXIocpy5Lp89cM5YZwQ76TOfokWgW&#10;UZ/TIslMKBVgyVz7HOONHQ7lQywmdY5zmJd+t8DRTBkTax9ZJKHVBtOA4+3a52CNhZqqmgBLCrJe&#10;BxteQqwgC9lsboZJgI0VuQzotW2eA/XZQm1wHhlwVLSJeW4e5iQ1lMPEd+k9lknu2EWavyhxoAOr&#10;NiQ7rNTmOHXMNH+kKqcGdTgb2CIz2SezBJmyrAkcNOTzX0ONsiMRCTKbnpxSPE1bSgGCDM1zbLeF&#10;2iUOokSCRoGbK62OmzgokyPIyoBLRsu091dmGHBmQy2RKdBk11AXBR3CjeWRweSkZsDDXCj85lla&#10;jfx9ygsl3xsnthizx0OGpVoVpSpQDC4e0mmRZAJlIel0jTXgpv7kwrX9Ls7kYrlKkjikQxlpFFGJ&#10;Uti6XwOoEmcs8c+CirRQJexBzLPygqvPtpIk9dlXj0Td0kdbRxJtm/7V6mXfv6R6k/+2hOqhOtHn&#10;qFN6uUDRSD+WDe5ANxR6f4dqkr+25srTqD4ohjm82+zPr/K9YebGRODa/or+98H0d35l/72Q8KvX&#10;Ox/nQlh9j/1v27O98vLb0S1N2PTvhYDGczE3e5IHoVKhxO26qWztzt32hNq3zXaHmnGUxT10fFWq&#10;83j62tQksmb/c71G0U5Tj5Uajt3Tw8emW3ypqMqm+WcLgzaHTeVayZBgSO5SJwr0Q59fo0Ko75Kb&#10;j150+VHSf64HdzF9rjbFdf0nmf3kyo3GVthFnVpMuq+zixH4D5lvbvcn//k9qgObLyF/zs12cO1o&#10;/PTXm1YIheYEva15lLZAhi8O11m7jCoIYlwglGdFpmn5j7YC+yAxGU4kTGsPRXEnOVugrDlKmJgF&#10;mGmejYtGwnxnOEkdEWij1oOW/cHLUfHCuDvXARQ1w8KQICYBTbbbHdDgpWS5Ld58tihrhcNYsCbR&#10;NNoHiIlodIGMzIDtpuY5QJfI/ER5c9JoTjW+x6WoBNoEHdmNBrQPD5MBOkh0FkM93EkarVEBFGf0&#10;DNA4cCWEWfPPNFoUXGGXMh7QPjhMBuggzVlY/mKy6b7JOeOF9cZ4JgtlK1sNSCucn9YxU0lUaoS2&#10;OcoYWqT9IjZJpXFeVqJ+hFFpxXLgTkvBADT2nAXnMW23jyuSUekgx1lYP3m6SnNOZ28sR4K4GrHU&#10;COqMcZmDUo5nvdOisymVgJjIsVK79jkeGSr6KlQWs2qNA7MIqC/VOsPNYHIFe5fsrR+3YW++ZIIs&#10;kzYC0ieE9XBOfJIFRzoJTr9TXTHyvw3Y43zA6GD7+CIZGx5M8S2Y91omQk0JgXQegKBGXW+FYhYX&#10;yzX0usCTOOLZcJujmIxeE3kS5EOpeY4Fv+HY1pTuNCV2HrH7fIU02JWIfCge4eMmmIxSBxZrugG8&#10;2zJNqXPUqsEhCNLpPEMJG+PQDx44no8GljSiW2afXJeSStOpqPFKDaCH4seTgAatDXttjTfCZ5SQ&#10;vNRoHKkt8bykiLY7OZoMhY6DQHt/ZSLQZcly0GDQaFUKbLyOgeZK0p5373y/9WOx7J2XlEaH+dCh&#10;+vEkoJHIDcLTEqKgw7TNshxMN577Cco04laWfVRAUkB7PtSmkpDZ9o7K6yAT5XWWSWIjZ5NJMlqN&#10;fRYF6a5NozDLP3bx+2fanac4vHEmiX246pArcp6fcTnY4ZrLXA4/v6vp9df1v6+zSoZEDZuhcnml&#10;9XDG16ya9ljDj4T8/sN8EZMTAtv5as6ITfawfQYe7xrKGQkkeLickb6bUFqIS+6YlmnyTeSMmGcJ&#10;4xHKRv7ucc/0jObzv02OyfBQ6g//AgAA//8DAFBLAwQUAAYACAAAACEAGA0GbN0AAAAFAQAADwAA&#10;AGRycy9kb3ducmV2LnhtbEyPQUvDQBCF74L/YRnBm92kxRDTbEop6qkItoL0Ns1Ok9DsbMhuk/Tf&#10;u3qpl4HHe7z3Tb6aTCsG6l1jWUE8i0AQl1Y3XCn42r89pSCcR9bYWiYFV3KwKu7vcsy0HfmThp2v&#10;RChhl6GC2vsuk9KVNRl0M9sRB+9ke4M+yL6SuscxlJtWzqMokQYbDgs1drSpqTzvLkbB+4jjehG/&#10;DtvzaXM97J8/vrcxKfX4MK2XIDxN/haGX/yADkVgOtoLaydaBeER/3eDl8zTBMRRwUuaLEAWufxP&#10;X/wAAAD//wMAUEsBAi0AFAAGAAgAAAAhALaDOJL+AAAA4QEAABMAAAAAAAAAAAAAAAAAAAAAAFtD&#10;b250ZW50X1R5cGVzXS54bWxQSwECLQAUAAYACAAAACEAOP0h/9YAAACUAQAACwAAAAAAAAAAAAAA&#10;AAAvAQAAX3JlbHMvLnJlbHNQSwECLQAUAAYACAAAACEATXyr1ckLAADcegAADgAAAAAAAAAAAAAA&#10;AAAuAgAAZHJzL2Uyb0RvYy54bWxQSwECLQAUAAYACAAAACEAGA0GbN0AAAAFAQAADwAAAAAAAAAA&#10;AAAAAAAjDgAAZHJzL2Rvd25yZXYueG1sUEsFBgAAAAAEAAQA8wAAAC0PAAAAAA==&#10;">
                <v:rect id="Rectangle 18759" o:spid="_x0000_s4061"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Dj2xQAAAN4AAAAPAAAAZHJzL2Rvd25yZXYueG1sRE9Na8JA&#10;EL0L/odlhN50o9A2ja4iipiDl1oLHofsmKTNzi7Z1cT+erdQ6G0e73MWq9404katry0rmE4SEMSF&#10;1TWXCk4fu3EKwgdkjY1lUnAnD6vlcLDATNuO3+l2DKWIIewzVFCF4DIpfVGRQT+xjjhyF9saDBG2&#10;pdQtdjHcNHKWJC/SYM2xoUJHm4qK7+PVKDhv2eW7ThaXn407fOVps7+ePpV6GvXrOYhAffgX/7lz&#10;Heenr89v8PtOvEEuHwAAAP//AwBQSwECLQAUAAYACAAAACEA2+H2y+4AAACFAQAAEwAAAAAAAAAA&#10;AAAAAAAAAAAAW0NvbnRlbnRfVHlwZXNdLnhtbFBLAQItABQABgAIAAAAIQBa9CxbvwAAABUBAAAL&#10;AAAAAAAAAAAAAAAAAB8BAABfcmVscy8ucmVsc1BLAQItABQABgAIAAAAIQBg4Dj2xQAAAN4AAAAP&#10;AAAAAAAAAAAAAAAAAAcCAABkcnMvZG93bnJldi54bWxQSwUGAAAAAAMAAwC3AAAA+QIAAAAA&#10;" filled="f" stroked="f">
                  <v:textbox inset="0,0,0,0">
                    <w:txbxContent>
                      <w:p w14:paraId="3858BE3D" w14:textId="77777777" w:rsidR="00B32EF2" w:rsidRDefault="00000000">
                        <w:r>
                          <w:rPr>
                            <w:rFonts w:ascii="Times New Roman" w:eastAsia="Times New Roman" w:hAnsi="Times New Roman" w:cs="Times New Roman"/>
                          </w:rPr>
                          <w:t>60</w:t>
                        </w:r>
                      </w:p>
                    </w:txbxContent>
                  </v:textbox>
                </v:rect>
                <v:rect id="Rectangle 18760" o:spid="_x0000_s4062" style="position:absolute;left:-13172;top:61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vWyAAAAN4AAAAPAAAAZHJzL2Rvd25yZXYueG1sRI9Pb8Iw&#10;DMXvk/YdIk/abaTbAaqOgCYmtB648GfSjlZj2m6NEzWBdnx6fEDiZsvP773ffDm6Tp2pj61nA6+T&#10;DBRx5W3LtYHDfv2Sg4oJ2WLnmQz8U4Tl4vFhjoX1A2/pvEu1EhOOBRpoUgqF1rFqyGGc+EAst6Pv&#10;HSZZ+1rbHgcxd51+y7KpdtiyJDQYaNVQ9bc7OQM/nxzK9aCr42UVNr9l3n2dDt/GPD+NH++gEo3p&#10;Lr59l1bq57OpAAiOzKAXVwAAAP//AwBQSwECLQAUAAYACAAAACEA2+H2y+4AAACFAQAAEwAAAAAA&#10;AAAAAAAAAAAAAAAAW0NvbnRlbnRfVHlwZXNdLnhtbFBLAQItABQABgAIAAAAIQBa9CxbvwAAABUB&#10;AAALAAAAAAAAAAAAAAAAAB8BAABfcmVscy8ucmVsc1BLAQItABQABgAIAAAAIQA/tlvWyAAAAN4A&#10;AAAPAAAAAAAAAAAAAAAAAAcCAABkcnMvZG93bnJldi54bWxQSwUGAAAAAAMAAwC3AAAA/AIAAAAA&#10;" filled="f" stroked="f">
                  <v:textbox inset="0,0,0,0">
                    <w:txbxContent>
                      <w:p w14:paraId="36CE86E9" w14:textId="77777777" w:rsidR="00B32EF2" w:rsidRDefault="00000000">
                        <w:r>
                          <w:rPr>
                            <w:rFonts w:ascii="Arial" w:eastAsia="Arial" w:hAnsi="Arial" w:cs="Arial"/>
                            <w:sz w:val="18"/>
                          </w:rPr>
                          <w:t xml:space="preserve">i) il rifiuto espresso o tacito della restituzione di tributi, sanzioni pecuniarie ed </w:t>
                        </w:r>
                      </w:p>
                    </w:txbxContent>
                  </v:textbox>
                </v:rect>
                <v:rect id="Rectangle 18761" o:spid="_x0000_s4063" style="position:absolute;left:14662;top:59966;width:252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5NxAAAAN4AAAAPAAAAZHJzL2Rvd25yZXYueG1sRE9Ni8Iw&#10;EL0v+B/CCN7WVA9uqUYRRezBy7oKHodmbKvNJDTR1v31m4WFvc3jfc5i1ZtGPKn1tWUFk3ECgriw&#10;uuZSwelr956C8AFZY2OZFLzIw2o5eFtgpm3Hn/Q8hlLEEPYZKqhCcJmUvqjIoB9bRxy5q20Nhgjb&#10;UuoWuxhuGjlNkpk0WHNsqNDRpqLifnwYBZctu3zXyeL6vXGHW542+8fprNRo2K/nIAL14V/85851&#10;nJ9+zCbw+068QS5/AAAA//8DAFBLAQItABQABgAIAAAAIQDb4fbL7gAAAIUBAAATAAAAAAAAAAAA&#10;AAAAAAAAAABbQ29udGVudF9UeXBlc10ueG1sUEsBAi0AFAAGAAgAAAAhAFr0LFu/AAAAFQEAAAsA&#10;AAAAAAAAAAAAAAAAHwEAAF9yZWxzLy5yZWxzUEsBAi0AFAAGAAgAAAAhAFD6/k3EAAAA3gAAAA8A&#10;AAAAAAAAAAAAAAAABwIAAGRycy9kb3ducmV2LnhtbFBLBQYAAAAAAwADALcAAAD4AgAAAAA=&#10;" filled="f" stroked="f">
                  <v:textbox inset="0,0,0,0">
                    <w:txbxContent>
                      <w:p w14:paraId="0B53CB7E" w14:textId="77777777" w:rsidR="00B32EF2" w:rsidRDefault="00000000">
                        <w:r>
                          <w:rPr>
                            <w:rFonts w:ascii="Arial" w:eastAsia="Arial" w:hAnsi="Arial" w:cs="Arial"/>
                            <w:sz w:val="18"/>
                          </w:rPr>
                          <w:t xml:space="preserve">interessi o altri accessori non dovuti; </w:t>
                        </w:r>
                      </w:p>
                    </w:txbxContent>
                  </v:textbox>
                </v:rect>
                <v:rect id="Rectangle 18762" o:spid="_x0000_s4064" style="position:absolute;left:-12186;top:58733;width:5210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GA6xAAAAN4AAAAPAAAAZHJzL2Rvd25yZXYueG1sRE9Na8JA&#10;EL0L/odlCt50Uw82pK4iipiDl9oUehyyY5KanV2yq4n+erdQ6G0e73OW68G04kadbywreJ0lIIhL&#10;qxuuFBSf+2kKwgdkja1lUnAnD+vVeLTETNueP+h2CpWIIewzVFCH4DIpfVmTQT+zjjhyZ9sZDBF2&#10;ldQd9jHctHKeJAtpsOHYUKOjbU3l5XQ1Cr537PJ9L8vzY+uOP3naHq7Fl1KTl2HzDiLQEP7Ff+5c&#10;x/np22IOv+/EG+TqCQAA//8DAFBLAQItABQABgAIAAAAIQDb4fbL7gAAAIUBAAATAAAAAAAAAAAA&#10;AAAAAAAAAABbQ29udGVudF9UeXBlc10ueG1sUEsBAi0AFAAGAAgAAAAhAFr0LFu/AAAAFQEAAAsA&#10;AAAAAAAAAAAAAAAAHwEAAF9yZWxzLy5yZWxzUEsBAi0AFAAGAAgAAAAhAKAoYDrEAAAA3gAAAA8A&#10;AAAAAAAAAAAAAAAABwIAAGRycy9kb3ducmV2LnhtbFBLBQYAAAAAAwADALcAAAD4AgAAAAA=&#10;" filled="f" stroked="f">
                  <v:textbox inset="0,0,0,0">
                    <w:txbxContent>
                      <w:p w14:paraId="5DA17E0C" w14:textId="77777777" w:rsidR="00B32EF2" w:rsidRDefault="00000000">
                        <w:r>
                          <w:rPr>
                            <w:rFonts w:ascii="Arial" w:eastAsia="Arial" w:hAnsi="Arial" w:cs="Arial"/>
                            <w:sz w:val="18"/>
                          </w:rPr>
                          <w:t>l) il rifiuto espresso o tacito sull’istanza di autotutela nei casi previsti dall’artico</w:t>
                        </w:r>
                      </w:p>
                    </w:txbxContent>
                  </v:textbox>
                </v:rect>
                <v:rect id="Rectangle 18763" o:spid="_x0000_s4065" style="position:absolute;left:191;top:58733;width:5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MWhxAAAAN4AAAAPAAAAZHJzL2Rvd25yZXYueG1sRE9Na8JA&#10;EL0X/A/LCN7qxgo2RFcRRZpDL7UKHofsmESzs0t2NdFf3y0UepvH+5zFqjeNuFPra8sKJuMEBHFh&#10;dc2lgsP37jUF4QOyxsYyKXiQh9Vy8LLATNuOv+i+D6WIIewzVFCF4DIpfVGRQT+2jjhyZ9saDBG2&#10;pdQtdjHcNPItSWbSYM2xoUJHm4qK6/5mFJy27PJdJ4vzc+M+L3nafNwOR6VGw349BxGoD//iP3eu&#10;4/z0fTaF33fiDXL5AwAA//8DAFBLAQItABQABgAIAAAAIQDb4fbL7gAAAIUBAAATAAAAAAAAAAAA&#10;AAAAAAAAAABbQ29udGVudF9UeXBlc10ueG1sUEsBAi0AFAAGAAgAAAAhAFr0LFu/AAAAFQEAAAsA&#10;AAAAAAAAAAAAAAAAHwEAAF9yZWxzLy5yZWxzUEsBAi0AFAAGAAgAAAAhAM9kxaHEAAAA3gAAAA8A&#10;AAAAAAAAAAAAAAAABwIAAGRycy9kb3ducmV2LnhtbFBLBQYAAAAAAwADALcAAAD4AgAAAAA=&#10;" filled="f" stroked="f">
                  <v:textbox inset="0,0,0,0">
                    <w:txbxContent>
                      <w:p w14:paraId="5F82E82B" w14:textId="77777777" w:rsidR="00B32EF2" w:rsidRDefault="00000000">
                        <w:r>
                          <w:rPr>
                            <w:rFonts w:ascii="Arial" w:eastAsia="Arial" w:hAnsi="Arial" w:cs="Arial"/>
                            <w:sz w:val="18"/>
                          </w:rPr>
                          <w:t>-</w:t>
                        </w:r>
                      </w:p>
                    </w:txbxContent>
                  </v:textbox>
                </v:rect>
                <v:rect id="Rectangle 18764" o:spid="_x0000_s4066" style="position:absolute;left:7951;top:57499;width:319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V3VxAAAAN4AAAAPAAAAZHJzL2Rvd25yZXYueG1sRE9Na8JA&#10;EL0X/A/LCN7qxiI2RFcRRZpDL7UKHofsmESzs0t2NdFf3y0UepvH+5zFqjeNuFPra8sKJuMEBHFh&#10;dc2lgsP37jUF4QOyxsYyKXiQh9Vy8LLATNuOv+i+D6WIIewzVFCF4DIpfVGRQT+2jjhyZ9saDBG2&#10;pdQtdjHcNPItSWbSYM2xoUJHm4qK6/5mFJy27PJdJ4vzc+M+L3nafNwOR6VGw349BxGoD//iP3eu&#10;4/z0fTaF33fiDXL5AwAA//8DAFBLAQItABQABgAIAAAAIQDb4fbL7gAAAIUBAAATAAAAAAAAAAAA&#10;AAAAAAAAAABbQ29udGVudF9UeXBlc10ueG1sUEsBAi0AFAAGAAgAAAAhAFr0LFu/AAAAFQEAAAsA&#10;AAAAAAAAAAAAAAAAHwEAAF9yZWxzLy5yZWxzUEsBAi0AFAAGAAgAAAAhAECNXdXEAAAA3gAAAA8A&#10;AAAAAAAAAAAAAAAABwIAAGRycy9kb3ducmV2LnhtbFBLBQYAAAAAAwADALcAAAD4AgAAAAA=&#10;" filled="f" stroked="f">
                  <v:textbox inset="0,0,0,0">
                    <w:txbxContent>
                      <w:p w14:paraId="09C30280" w14:textId="77777777" w:rsidR="00B32EF2" w:rsidRDefault="00000000">
                        <w:r>
                          <w:rPr>
                            <w:rFonts w:ascii="Arial" w:eastAsia="Arial" w:hAnsi="Arial" w:cs="Arial"/>
                            <w:sz w:val="18"/>
                          </w:rPr>
                          <w:t xml:space="preserve">lo 10-quater della legge 27 luglio 2000, n. 212; </w:t>
                        </w:r>
                      </w:p>
                    </w:txbxContent>
                  </v:textbox>
                </v:rect>
                <v:rect id="Rectangle 18765" o:spid="_x0000_s4067" style="position:absolute;left:-13171;top:56266;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fhOxAAAAN4AAAAPAAAAZHJzL2Rvd25yZXYueG1sRE9Na8JA&#10;EL0X/A/LCN7qxoI2RFcRRZpDL7UKHofsmESzs0t2NdFf3y0UepvH+5zFqjeNuFPra8sKJuMEBHFh&#10;dc2lgsP37jUF4QOyxsYyKXiQh9Vy8LLATNuOv+i+D6WIIewzVFCF4DIpfVGRQT+2jjhyZ9saDBG2&#10;pdQtdjHcNPItSWbSYM2xoUJHm4qK6/5mFJy27PJdJ4vzc+M+L3nafNwOR6VGw349BxGoD//iP3eu&#10;4/z0fTaF33fiDXL5AwAA//8DAFBLAQItABQABgAIAAAAIQDb4fbL7gAAAIUBAAATAAAAAAAAAAAA&#10;AAAAAAAAAABbQ29udGVudF9UeXBlc10ueG1sUEsBAi0AFAAGAAgAAAAhAFr0LFu/AAAAFQEAAAsA&#10;AAAAAAAAAAAAAAAAHwEAAF9yZWxzLy5yZWxzUEsBAi0AFAAGAAgAAAAhAC/B+E7EAAAA3gAAAA8A&#10;AAAAAAAAAAAAAAAABwIAAGRycy9kb3ducmV2LnhtbFBLBQYAAAAAAwADALcAAAD4AgAAAAA=&#10;" filled="f" stroked="f">
                  <v:textbox inset="0,0,0,0">
                    <w:txbxContent>
                      <w:p w14:paraId="509B84D0" w14:textId="77777777" w:rsidR="00B32EF2" w:rsidRDefault="00000000">
                        <w:r>
                          <w:rPr>
                            <w:rFonts w:ascii="Arial" w:eastAsia="Arial" w:hAnsi="Arial" w:cs="Arial"/>
                            <w:sz w:val="18"/>
                          </w:rPr>
                          <w:t xml:space="preserve">m) il rifiuto espresso sull’istanza di autotutela nei casi previsti dall’articolo </w:t>
                        </w:r>
                      </w:p>
                    </w:txbxContent>
                  </v:textbox>
                </v:rect>
                <v:rect id="Rectangle 201034" o:spid="_x0000_s4068" style="position:absolute;left:30151;top:55033;width:325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vZwxwAAAN8AAAAPAAAAZHJzL2Rvd25yZXYueG1sRI9BawIx&#10;FITvhf6H8AreaqKVIlujFIt0D160Fnp8bJ67q5uXsInu6q83QsHjMDPfMLNFbxtxpjbUjjWMhgoE&#10;ceFMzaWG3c/qdQoiRGSDjWPScKEAi/nz0wwz4zre0HkbS5EgHDLUUMXoMylDUZHFMHSeOHl711qM&#10;SbalNC12CW4bOVbqXVqsOS1U6GlZUXHcnqyGvy/2+aqTxf669OtDPm2+T7tfrQcv/ecHiEh9fIT/&#10;27nRMFYj9TaB+5/0BeT8BgAA//8DAFBLAQItABQABgAIAAAAIQDb4fbL7gAAAIUBAAATAAAAAAAA&#10;AAAAAAAAAAAAAABbQ29udGVudF9UeXBlc10ueG1sUEsBAi0AFAAGAAgAAAAhAFr0LFu/AAAAFQEA&#10;AAsAAAAAAAAAAAAAAAAAHwEAAF9yZWxzLy5yZWxzUEsBAi0AFAAGAAgAAAAhAAbi9nDHAAAA3wAA&#10;AA8AAAAAAAAAAAAAAAAABwIAAGRycy9kb3ducmV2LnhtbFBLBQYAAAAAAwADALcAAAD7AgAAAAA=&#10;" filled="f" stroked="f">
                  <v:textbox inset="0,0,0,0">
                    <w:txbxContent>
                      <w:p w14:paraId="19B4529A" w14:textId="77777777" w:rsidR="00B32EF2" w:rsidRDefault="00000000">
                        <w:r>
                          <w:rPr>
                            <w:rFonts w:ascii="Arial" w:eastAsia="Arial" w:hAnsi="Arial" w:cs="Arial"/>
                            <w:sz w:val="18"/>
                          </w:rPr>
                          <w:t>10-</w:t>
                        </w:r>
                      </w:p>
                    </w:txbxContent>
                  </v:textbox>
                </v:rect>
                <v:rect id="Rectangle 201035" o:spid="_x0000_s4069" style="position:absolute;left:5605;top:55033;width:325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lPrxwAAAN8AAAAPAAAAZHJzL2Rvd25yZXYueG1sRI9BawIx&#10;FITvhf6H8AreaqLFIlujFIt0D160Fnp8bJ67q5uXsInu6q83QsHjMDPfMLNFbxtxpjbUjjWMhgoE&#10;ceFMzaWG3c/qdQoiRGSDjWPScKEAi/nz0wwz4zre0HkbS5EgHDLUUMXoMylDUZHFMHSeOHl711qM&#10;SbalNC12CW4bOVbqXVqsOS1U6GlZUXHcnqyGvy/2+aqTxf669OtDPm2+T7tfrQcv/ecHiEh9fIT/&#10;27nRMFYj9TaB+5/0BeT8BgAA//8DAFBLAQItABQABgAIAAAAIQDb4fbL7gAAAIUBAAATAAAAAAAA&#10;AAAAAAAAAAAAAABbQ29udGVudF9UeXBlc10ueG1sUEsBAi0AFAAGAAgAAAAhAFr0LFu/AAAAFQEA&#10;AAsAAAAAAAAAAAAAAAAAHwEAAF9yZWxzLy5yZWxzUEsBAi0AFAAGAAgAAAAhAGmuU+vHAAAA3wAA&#10;AA8AAAAAAAAAAAAAAAAABwIAAGRycy9kb3ducmV2LnhtbFBLBQYAAAAAAwADALcAAAD7AgAAAAA=&#10;" filled="f" stroked="f">
                  <v:textbox inset="0,0,0,0">
                    <w:txbxContent>
                      <w:p w14:paraId="4448E7F5" w14:textId="77777777" w:rsidR="00B32EF2" w:rsidRDefault="00000000">
                        <w:r>
                          <w:rPr>
                            <w:rFonts w:ascii="Arial" w:eastAsia="Arial" w:hAnsi="Arial" w:cs="Arial"/>
                            <w:sz w:val="18"/>
                          </w:rPr>
                          <w:t xml:space="preserve">quinquies della legge 27 luglio 2000, n. 212; </w:t>
                        </w:r>
                      </w:p>
                    </w:txbxContent>
                  </v:textbox>
                </v:rect>
                <v:rect id="Rectangle 18767" o:spid="_x0000_s4070" style="position:absolute;left:-13172;top:537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8OixAAAAN4AAAAPAAAAZHJzL2Rvd25yZXYueG1sRE9Na8JA&#10;EL0X/A/LFLzVTXvQkLqKKNIcvFQjeByyY5KanV2yq4n++m6h4G0e73Pmy8G04kadbywreJ8kIIhL&#10;qxuuFBSH7VsKwgdkja1lUnAnD8vF6GWOmbY9f9NtHyoRQ9hnqKAOwWVS+rImg35iHXHkzrYzGCLs&#10;Kqk77GO4aeVHkkylwYZjQ42O1jWVl/3VKDht2OXbXpbnx9rtfvK0/boWR6XGr8PqE0SgITzF/+5c&#10;x/npbDqDv3fiDXLxCwAA//8DAFBLAQItABQABgAIAAAAIQDb4fbL7gAAAIUBAAATAAAAAAAAAAAA&#10;AAAAAAAAAABbQ29udGVudF9UeXBlc10ueG1sUEsBAi0AFAAGAAgAAAAhAFr0LFu/AAAAFQEAAAsA&#10;AAAAAAAAAAAAAAAAHwEAAF9yZWxzLy5yZWxzUEsBAi0AFAAGAAgAAAAhALBfw6LEAAAA3gAAAA8A&#10;AAAAAAAAAAAAAAAABwIAAGRycy9kb3ducmV2LnhtbFBLBQYAAAAAAwADALcAAAD4AgAAAAA=&#10;" filled="f" stroked="f">
                  <v:textbox inset="0,0,0,0">
                    <w:txbxContent>
                      <w:p w14:paraId="209BDC0A" w14:textId="77777777" w:rsidR="00B32EF2" w:rsidRDefault="00000000">
                        <w:r>
                          <w:rPr>
                            <w:rFonts w:ascii="Arial" w:eastAsia="Arial" w:hAnsi="Arial" w:cs="Arial"/>
                            <w:sz w:val="18"/>
                          </w:rPr>
                          <w:t xml:space="preserve">n) il diniego o la revoca di agevolazioni o il rigetto di domande di definizione </w:t>
                        </w:r>
                      </w:p>
                    </w:txbxContent>
                  </v:textbox>
                </v:rect>
                <v:rect id="Rectangle 18768" o:spid="_x0000_s4071" style="position:absolute;left:19497;top:52566;width:204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fQyAAAAN4AAAAPAAAAZHJzL2Rvd25yZXYueG1sRI9Pb8Iw&#10;DMXvk/YdIk/abaTbAaqOgCYmtB648GfSjlZj2m6NEzWBdnx6fEDiZus9v/fzfDm6Tp2pj61nA6+T&#10;DBRx5W3LtYHDfv2Sg4oJ2WLnmQz8U4Tl4vFhjoX1A2/pvEu1khCOBRpoUgqF1rFqyGGc+EAs2tH3&#10;DpOsfa1tj4OEu06/ZdlUO2xZGhoMtGqo+tudnIGfTw7letDV8bIKm98y775Oh29jnp/Gj3dQicZ0&#10;N9+uSyv4+WwqvPKOzKAXVwAAAP//AwBQSwECLQAUAAYACAAAACEA2+H2y+4AAACFAQAAEwAAAAAA&#10;AAAAAAAAAAAAAAAAW0NvbnRlbnRfVHlwZXNdLnhtbFBLAQItABQABgAIAAAAIQBa9CxbvwAAABUB&#10;AAALAAAAAAAAAAAAAAAAAB8BAABfcmVscy8ucmVsc1BLAQItABQABgAIAAAAIQDBwFfQyAAAAN4A&#10;AAAPAAAAAAAAAAAAAAAAAAcCAABkcnMvZG93bnJldi54bWxQSwUGAAAAAAMAAwC3AAAA/AIAAAAA&#10;" filled="f" stroked="f">
                  <v:textbox inset="0,0,0,0">
                    <w:txbxContent>
                      <w:p w14:paraId="5CF2EBAF" w14:textId="77777777" w:rsidR="00B32EF2" w:rsidRDefault="00000000">
                        <w:r>
                          <w:rPr>
                            <w:rFonts w:ascii="Arial" w:eastAsia="Arial" w:hAnsi="Arial" w:cs="Arial"/>
                            <w:sz w:val="18"/>
                          </w:rPr>
                          <w:t xml:space="preserve">agevolata di rapporti tributari; </w:t>
                        </w:r>
                      </w:p>
                    </w:txbxContent>
                  </v:textbox>
                </v:rect>
                <v:rect id="Rectangle 18769" o:spid="_x0000_s4072" style="position:absolute;left:-12192;top:51333;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JLxAAAAN4AAAAPAAAAZHJzL2Rvd25yZXYueG1sRE9Na8JA&#10;EL0X/A/LCN7qxh5sGl1FFGkOXmoVPA7ZMYlmZ5fsaqK/vlso9DaP9znzZW8acafW15YVTMYJCOLC&#10;6ppLBYfv7WsKwgdkjY1lUvAgD8vF4GWOmbYdf9F9H0oRQ9hnqKAKwWVS+qIig35sHXHkzrY1GCJs&#10;S6lb7GK4aeRbkkylwZpjQ4WO1hUV1/3NKDht2OXbThbn59rtLnnafN4OR6VGw341AxGoD//iP3eu&#10;4/z0ffoBv+/EG+TiBwAA//8DAFBLAQItABQABgAIAAAAIQDb4fbL7gAAAIUBAAATAAAAAAAAAAAA&#10;AAAAAAAAAABbQ29udGVudF9UeXBlc10ueG1sUEsBAi0AFAAGAAgAAAAhAFr0LFu/AAAAFQEAAAsA&#10;AAAAAAAAAAAAAAAAHwEAAF9yZWxzLy5yZWxzUEsBAi0AFAAGAAgAAAAhAK6M8kvEAAAA3gAAAA8A&#10;AAAAAAAAAAAAAAAABwIAAGRycy9kb3ducmV2LnhtbFBLBQYAAAAAAwADALcAAAD4AgAAAAA=&#10;" filled="f" stroked="f">
                  <v:textbox inset="0,0,0,0">
                    <w:txbxContent>
                      <w:p w14:paraId="6ED281BA" w14:textId="77777777" w:rsidR="00B32EF2" w:rsidRDefault="00000000">
                        <w:r>
                          <w:rPr>
                            <w:rFonts w:ascii="Arial" w:eastAsia="Arial" w:hAnsi="Arial" w:cs="Arial"/>
                            <w:sz w:val="18"/>
                          </w:rPr>
                          <w:t>o) la decisione di rigetto dell’istanza di apertura di procedura amichevole pre</w:t>
                        </w:r>
                      </w:p>
                    </w:txbxContent>
                  </v:textbox>
                </v:rect>
                <v:rect id="Rectangle 18770" o:spid="_x0000_s4073" style="position:absolute;left:191;top:51333;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80LyAAAAN4AAAAPAAAAZHJzL2Rvd25yZXYueG1sRI9Pb8Iw&#10;DMXvk/YdIk/abaTbYVSFgBATWg+78GfSjlZj2kLjRE2g3T79fEDiZsvP773ffDm6Tl2pj61nA6+T&#10;DBRx5W3LtYHDfvOSg4oJ2WLnmQz8UoTl4vFhjoX1A2/puku1EhOOBRpoUgqF1rFqyGGc+EAst6Pv&#10;HSZZ+1rbHgcxd51+y7J37bBlSWgw0Lqh6ry7OAM/HxzKzaCr4986fJ3KvPu8HL6NeX4aVzNQicZ0&#10;F9++Syv18+lUAARHZtCLfwAAAP//AwBQSwECLQAUAAYACAAAACEA2+H2y+4AAACFAQAAEwAAAAAA&#10;AAAAAAAAAAAAAAAAW0NvbnRlbnRfVHlwZXNdLnhtbFBLAQItABQABgAIAAAAIQBa9CxbvwAAABUB&#10;AAALAAAAAAAAAAAAAAAAAB8BAABfcmVscy8ucmVsc1BLAQItABQABgAIAAAAIQC6b80LyAAAAN4A&#10;AAAPAAAAAAAAAAAAAAAAAAcCAABkcnMvZG93bnJldi54bWxQSwUGAAAAAAMAAwC3AAAA/AIAAAAA&#10;" filled="f" stroked="f">
                  <v:textbox inset="0,0,0,0">
                    <w:txbxContent>
                      <w:p w14:paraId="31F2F419" w14:textId="77777777" w:rsidR="00B32EF2" w:rsidRDefault="00000000">
                        <w:r>
                          <w:rPr>
                            <w:rFonts w:ascii="Arial" w:eastAsia="Arial" w:hAnsi="Arial" w:cs="Arial"/>
                            <w:sz w:val="18"/>
                          </w:rPr>
                          <w:t>-</w:t>
                        </w:r>
                      </w:p>
                    </w:txbxContent>
                  </v:textbox>
                </v:rect>
                <v:rect id="Rectangle 18771" o:spid="_x0000_s4074" style="position:absolute;left:-13171;top:50099;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iQxAAAAN4AAAAPAAAAZHJzL2Rvd25yZXYueG1sRE9Li8Iw&#10;EL4L/ocwwt401cNaukYRRbaHvfhY2OPQjG3XZhKaaLv7640geJuP7zmLVW8acaPW15YVTCcJCOLC&#10;6ppLBafjbpyC8AFZY2OZFPyRh9VyOFhgpm3He7odQiliCPsMFVQhuExKX1Rk0E+sI47c2bYGQ4Rt&#10;KXWLXQw3jZwlybs0WHNsqNDRpqLicrgaBT9bdvmuk8X5f+O+fvO0+byevpV6G/XrDxCB+vASP925&#10;jvPT+XwKj3fiDXJ5BwAA//8DAFBLAQItABQABgAIAAAAIQDb4fbL7gAAAIUBAAATAAAAAAAAAAAA&#10;AAAAAAAAAABbQ29udGVudF9UeXBlc10ueG1sUEsBAi0AFAAGAAgAAAAhAFr0LFu/AAAAFQEAAAsA&#10;AAAAAAAAAAAAAAAAHwEAAF9yZWxzLy5yZWxzUEsBAi0AFAAGAAgAAAAhANUjaJDEAAAA3gAAAA8A&#10;AAAAAAAAAAAAAAAABwIAAGRycy9kb3ducmV2LnhtbFBLBQYAAAAAAwADALcAAAD4AgAAAAA=&#10;" filled="f" stroked="f">
                  <v:textbox inset="0,0,0,0">
                    <w:txbxContent>
                      <w:p w14:paraId="054042DB" w14:textId="77777777" w:rsidR="00B32EF2" w:rsidRDefault="00000000">
                        <w:r>
                          <w:rPr>
                            <w:rFonts w:ascii="Arial" w:eastAsia="Arial" w:hAnsi="Arial" w:cs="Arial"/>
                            <w:sz w:val="18"/>
                          </w:rPr>
                          <w:t xml:space="preserve">sentata ai sensi della direttiva (UE) 2017/1852 del Consiglio, del 10 ottobre </w:t>
                        </w:r>
                      </w:p>
                    </w:txbxContent>
                  </v:textbox>
                </v:rect>
                <v:rect id="Rectangle 201031" o:spid="_x0000_s4075" style="position:absolute;left:24271;top:48866;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VXoxwAAAN8AAAAPAAAAZHJzL2Rvd25yZXYueG1sRI9BawIx&#10;FITvQv9DeIXeNFkLIqtRxCLdQy9aCz0+Ns/d1c1L2ER321/fCEKPw8x8wyzXg23FjbrQONaQTRQI&#10;4tKZhisNx8/deA4iRGSDrWPS8EMB1qun0RJz43re0+0QK5EgHHLUUMfocylDWZPFMHGeOHkn11mM&#10;SXaVNB32CW5bOVVqJi02nBZq9LStqbwcrlbD9xv7YtfL8vS79R/nYt6+X49fWr88D5sFiEhD/A8/&#10;2oXRMFWZes3g/id9Abn6AwAA//8DAFBLAQItABQABgAIAAAAIQDb4fbL7gAAAIUBAAATAAAAAAAA&#10;AAAAAAAAAAAAAABbQ29udGVudF9UeXBlc10ueG1sUEsBAi0AFAAGAAgAAAAhAFr0LFu/AAAAFQEA&#10;AAsAAAAAAAAAAAAAAAAAHwEAAF9yZWxzLy5yZWxzUEsBAi0AFAAGAAgAAAAhABaVVejHAAAA3wAA&#10;AA8AAAAAAAAAAAAAAAAABwIAAGRycy9kb3ducmV2LnhtbFBLBQYAAAAAAwADALcAAAD7AgAAAAA=&#10;" filled="f" stroked="f">
                  <v:textbox inset="0,0,0,0">
                    <w:txbxContent>
                      <w:p w14:paraId="09163E5F" w14:textId="77777777" w:rsidR="00B32EF2" w:rsidRDefault="00000000">
                        <w:r>
                          <w:rPr>
                            <w:rFonts w:ascii="Arial" w:eastAsia="Arial" w:hAnsi="Arial" w:cs="Arial"/>
                            <w:sz w:val="18"/>
                          </w:rPr>
                          <w:t>2017</w:t>
                        </w:r>
                      </w:p>
                    </w:txbxContent>
                  </v:textbox>
                </v:rect>
                <v:rect id="Rectangle 201032" o:spid="_x0000_s4076" style="position:absolute;left:-15645;top:488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8ufxwAAAN8AAAAPAAAAZHJzL2Rvd25yZXYueG1sRI9BawIx&#10;FITvQv9DeIXeNHELIqtRxCLdQy9aCz0+Ns/d1c1L2ER321/fCEKPw8x8wyzXg23FjbrQONYwnSgQ&#10;xKUzDVcajp+78RxEiMgGW8ek4YcCrFdPoyXmxvW8p9shViJBOOSooY7R51KGsiaLYeI8cfJOrrMY&#10;k+wqaTrsE9y2MlNqJi02nBZq9LStqbwcrlbD9xv7YtfL8vS79R/nYt6+X49fWr88D5sFiEhD/A8/&#10;2oXRkKmpes3g/id9Abn6AwAA//8DAFBLAQItABQABgAIAAAAIQDb4fbL7gAAAIUBAAATAAAAAAAA&#10;AAAAAAAAAAAAAABbQ29udGVudF9UeXBlc10ueG1sUEsBAi0AFAAGAAgAAAAhAFr0LFu/AAAAFQEA&#10;AAsAAAAAAAAAAAAAAAAAHwEAAF9yZWxzLy5yZWxzUEsBAi0AFAAGAAgAAAAhAOZHy5/HAAAA3wAA&#10;AA8AAAAAAAAAAAAAAAAABwIAAGRycy9kb3ducmV2LnhtbFBLBQYAAAAAAwADALcAAAD7AgAAAAA=&#10;" filled="f" stroked="f">
                  <v:textbox inset="0,0,0,0">
                    <w:txbxContent>
                      <w:p w14:paraId="4192F506" w14:textId="77777777" w:rsidR="00B32EF2" w:rsidRDefault="00000000">
                        <w:r>
                          <w:rPr>
                            <w:rFonts w:ascii="Arial" w:eastAsia="Arial" w:hAnsi="Arial" w:cs="Arial"/>
                            <w:sz w:val="18"/>
                          </w:rPr>
                          <w:t xml:space="preserve"> o ai sensi degli Accordi e delle Convenzioni internazionali per evitare </w:t>
                        </w:r>
                      </w:p>
                    </w:txbxContent>
                  </v:textbox>
                </v:rect>
                <v:rect id="Rectangle 18773" o:spid="_x0000_s4077" style="position:absolute;left:-13172;top:476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VN8xAAAAN4AAAAPAAAAZHJzL2Rvd25yZXYueG1sRE9Na8JA&#10;EL0X/A/LCN7qxgo1RFcRRZpDL7UKHofsmESzs0t2NdFf3y0UepvH+5zFqjeNuFPra8sKJuMEBHFh&#10;dc2lgsP37jUF4QOyxsYyKXiQh9Vy8LLATNuOv+i+D6WIIewzVFCF4DIpfVGRQT+2jjhyZ9saDBG2&#10;pdQtdjHcNPItSd6lwZpjQ4WONhUV1/3NKDht2eW7Thbn58Z9XvK0+bgdjkqNhv16DiJQH/7Ff+5c&#10;x/npbDaF33fiDXL5AwAA//8DAFBLAQItABQABgAIAAAAIQDb4fbL7gAAAIUBAAATAAAAAAAAAAAA&#10;AAAAAAAAAABbQ29udGVudF9UeXBlc10ueG1sUEsBAi0AFAAGAAgAAAAhAFr0LFu/AAAAFQEAAAsA&#10;AAAAAAAAAAAAAAAAHwEAAF9yZWxzLy5yZWxzUEsBAi0AFAAGAAgAAAAhAEq9U3zEAAAA3gAAAA8A&#10;AAAAAAAAAAAAAAAABwIAAGRycy9kb3ducmV2LnhtbFBLBQYAAAAAAwADALcAAAD4AgAAAAA=&#10;" filled="f" stroked="f">
                  <v:textbox inset="0,0,0,0">
                    <w:txbxContent>
                      <w:p w14:paraId="417BFB38" w14:textId="77777777" w:rsidR="00B32EF2" w:rsidRDefault="00000000">
                        <w:r>
                          <w:rPr>
                            <w:rFonts w:ascii="Arial" w:eastAsia="Arial" w:hAnsi="Arial" w:cs="Arial"/>
                            <w:sz w:val="18"/>
                          </w:rPr>
                          <w:t xml:space="preserve">le doppie imposizioni di cui l’Italia è parte ovvero ai sensi della Convenzione </w:t>
                        </w:r>
                      </w:p>
                    </w:txbxContent>
                  </v:textbox>
                </v:rect>
                <v:rect id="Rectangle 18774" o:spid="_x0000_s4078" style="position:absolute;left:-13172;top:46400;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MsIxAAAAN4AAAAPAAAAZHJzL2Rvd25yZXYueG1sRE9Na8JA&#10;EL0X/A/LCN7qxiI1RFcRRZpDL7UKHofsmESzs0t2NdFf3y0UepvH+5zFqjeNuFPra8sKJuMEBHFh&#10;dc2lgsP37jUF4QOyxsYyKXiQh9Vy8LLATNuOv+i+D6WIIewzVFCF4DIpfVGRQT+2jjhyZ9saDBG2&#10;pdQtdjHcNPItSd6lwZpjQ4WONhUV1/3NKDht2eW7Thbn58Z9XvK0+bgdjkqNhv16DiJQH/7Ff+5c&#10;x/npbDaF33fiDXL5AwAA//8DAFBLAQItABQABgAIAAAAIQDb4fbL7gAAAIUBAAATAAAAAAAAAAAA&#10;AAAAAAAAAABbQ29udGVudF9UeXBlc10ueG1sUEsBAi0AFAAGAAgAAAAhAFr0LFu/AAAAFQEAAAsA&#10;AAAAAAAAAAAAAAAAHwEAAF9yZWxzLy5yZWxzUEsBAi0AFAAGAAgAAAAhAMVUywjEAAAA3gAAAA8A&#10;AAAAAAAAAAAAAAAABwIAAGRycy9kb3ducmV2LnhtbFBLBQYAAAAAAwADALcAAAD4AgAAAAA=&#10;" filled="f" stroked="f">
                  <v:textbox inset="0,0,0,0">
                    <w:txbxContent>
                      <w:p w14:paraId="508C96E9" w14:textId="77777777" w:rsidR="00B32EF2" w:rsidRDefault="00000000">
                        <w:r>
                          <w:rPr>
                            <w:rFonts w:ascii="Arial" w:eastAsia="Arial" w:hAnsi="Arial" w:cs="Arial"/>
                            <w:sz w:val="18"/>
                          </w:rPr>
                          <w:t xml:space="preserve">relativa all’eliminazione delle doppie imposizioni in caso di rettifica degli utili di </w:t>
                        </w:r>
                      </w:p>
                    </w:txbxContent>
                  </v:textbox>
                </v:rect>
                <v:rect id="Rectangle 18775" o:spid="_x0000_s4079" style="position:absolute;left:16230;top:45166;width:236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G6TxAAAAN4AAAAPAAAAZHJzL2Rvd25yZXYueG1sRE9Na8JA&#10;EL0X/A/LCN7qxoI1RFcRRZpDL7UKHofsmESzs0t2NdFf3y0UepvH+5zFqjeNuFPra8sKJuMEBHFh&#10;dc2lgsP37jUF4QOyxsYyKXiQh9Vy8LLATNuOv+i+D6WIIewzVFCF4DIpfVGRQT+2jjhyZ9saDBG2&#10;pdQtdjHcNPItSd6lwZpjQ4WONhUV1/3NKDht2eW7Thbn58Z9XvK0+bgdjkqNhv16DiJQH/7Ff+5c&#10;x/npbDaF33fiDXL5AwAA//8DAFBLAQItABQABgAIAAAAIQDb4fbL7gAAAIUBAAATAAAAAAAAAAAA&#10;AAAAAAAAAABbQ29udGVudF9UeXBlc10ueG1sUEsBAi0AFAAGAAgAAAAhAFr0LFu/AAAAFQEAAAsA&#10;AAAAAAAAAAAAAAAAHwEAAF9yZWxzLy5yZWxzUEsBAi0AFAAGAAgAAAAhAKoYbpPEAAAA3gAAAA8A&#10;AAAAAAAAAAAAAAAABwIAAGRycy9kb3ducmV2LnhtbFBLBQYAAAAAAwADALcAAAD4AgAAAAA=&#10;" filled="f" stroked="f">
                  <v:textbox inset="0,0,0,0">
                    <w:txbxContent>
                      <w:p w14:paraId="056F43B2" w14:textId="77777777" w:rsidR="00B32EF2" w:rsidRDefault="00000000">
                        <w:r>
                          <w:rPr>
                            <w:rFonts w:ascii="Arial" w:eastAsia="Arial" w:hAnsi="Arial" w:cs="Arial"/>
                            <w:sz w:val="18"/>
                          </w:rPr>
                          <w:t xml:space="preserve">imprese associate n. 90/436/CEE; </w:t>
                        </w:r>
                      </w:p>
                    </w:txbxContent>
                  </v:textbox>
                </v:rect>
                <v:rect id="Rectangle 18776" o:spid="_x0000_s4080" style="position:absolute;left:-13172;top:439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DkxAAAAN4AAAAPAAAAZHJzL2Rvd25yZXYueG1sRE9Na8JA&#10;EL0X/A/LFLzVTXvQkLqKKNIcvFQjeByyY5KanV2yq4n++m6h4G0e73Pmy8G04kadbywreJ8kIIhL&#10;qxuuFBSH7VsKwgdkja1lUnAnD8vF6GWOmbY9f9NtHyoRQ9hnqKAOwWVS+rImg35iHXHkzrYzGCLs&#10;Kqk77GO4aeVHkkylwYZjQ42O1jWVl/3VKDht2OXbXpbnx9rtfvK0/boWR6XGr8PqE0SgITzF/+5c&#10;x/npbDaFv3fiDXLxCwAA//8DAFBLAQItABQABgAIAAAAIQDb4fbL7gAAAIUBAAATAAAAAAAAAAAA&#10;AAAAAAAAAABbQ29udGVudF9UeXBlc10ueG1sUEsBAi0AFAAGAAgAAAAhAFr0LFu/AAAAFQEAAAsA&#10;AAAAAAAAAAAAAAAAHwEAAF9yZWxzLy5yZWxzUEsBAi0AFAAGAAgAAAAhAFrK8OTEAAAA3gAAAA8A&#10;AAAAAAAAAAAAAAAABwIAAGRycy9kb3ducmV2LnhtbFBLBQYAAAAAAwADALcAAAD4AgAAAAA=&#10;" filled="f" stroked="f">
                  <v:textbox inset="0,0,0,0">
                    <w:txbxContent>
                      <w:p w14:paraId="3916335C" w14:textId="77777777" w:rsidR="00B32EF2" w:rsidRDefault="00000000">
                        <w:r>
                          <w:rPr>
                            <w:rFonts w:ascii="Arial" w:eastAsia="Arial" w:hAnsi="Arial" w:cs="Arial"/>
                            <w:sz w:val="18"/>
                          </w:rPr>
                          <w:t xml:space="preserve">p) ogni altro atto per il quale la legge ne preveda l’autonoma impugnabilità </w:t>
                        </w:r>
                      </w:p>
                    </w:txbxContent>
                  </v:textbox>
                </v:rect>
                <v:rect id="Rectangle 18777" o:spid="_x0000_s4081" style="position:absolute;left:-3915;top:42700;width:438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lV/xAAAAN4AAAAPAAAAZHJzL2Rvd25yZXYueG1sRE9Na8JA&#10;EL0X/A/LCN7qRg8mRFcRRcyhl1oFj0N2TNJmZ5fsamJ/fbdQ6G0e73NWm8G04kGdbywrmE0TEMSl&#10;1Q1XCs4fh9cMhA/IGlvLpOBJHjbr0csKc217fqfHKVQihrDPUUEdgsul9GVNBv3UOuLI3WxnMETY&#10;VVJ32Mdw08p5kiykwYZjQ42OdjWVX6e7UXDdsysOvSxv3zv39llk7fF+vig1GQ/bJYhAQ/gX/7kL&#10;HednaZrC7zvxBrn+AQAA//8DAFBLAQItABQABgAIAAAAIQDb4fbL7gAAAIUBAAATAAAAAAAAAAAA&#10;AAAAAAAAAABbQ29udGVudF9UeXBlc10ueG1sUEsBAi0AFAAGAAgAAAAhAFr0LFu/AAAAFQEAAAsA&#10;AAAAAAAAAAAAAAAAHwEAAF9yZWxzLy5yZWxzUEsBAi0AFAAGAAgAAAAhADWGVX/EAAAA3gAAAA8A&#10;AAAAAAAAAAAAAAAABwIAAGRycy9kb3ducmV2LnhtbFBLBQYAAAAAAwADALcAAAD4AgAAAAA=&#10;" filled="f" stroked="f">
                  <v:textbox inset="0,0,0,0">
                    <w:txbxContent>
                      <w:p w14:paraId="29928EF4" w14:textId="77777777" w:rsidR="00B32EF2" w:rsidRDefault="00000000">
                        <w:r>
                          <w:rPr>
                            <w:rFonts w:ascii="Arial" w:eastAsia="Arial" w:hAnsi="Arial" w:cs="Arial"/>
                            <w:sz w:val="18"/>
                          </w:rPr>
                          <w:t xml:space="preserve">davanti alle corti di giustizia tributaria di primo e secondo grado. </w:t>
                        </w:r>
                      </w:p>
                    </w:txbxContent>
                  </v:textbox>
                </v:rect>
                <v:rect id="Rectangle 201030" o:spid="_x0000_s4082" style="position:absolute;left:-12935;top:41466;width:522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fBzxgAAAN8AAAAPAAAAZHJzL2Rvd25yZXYueG1sRI9Pa8Iw&#10;GMbvA79DeIXdZqLCkGoUUcQedpmr4PGleW2rzZvQRNvt0y+HwY4Pzz9+q81gW/GkLjSONUwnCgRx&#10;6UzDlYbi6/C2ABEissHWMWn4pgCb9ehlhZlxPX/S8xQrkUY4ZKihjtFnUoayJoth4jxx8q6usxiT&#10;7CppOuzTuG3lTKl3abHh9FCjp11N5f30sBoue/b5oZfl9WfnP275oj0+irPWr+NhuwQRaYj/4b92&#10;bjTM1FTNE0HiSSwg178AAAD//wMAUEsBAi0AFAAGAAgAAAAhANvh9svuAAAAhQEAABMAAAAAAAAA&#10;AAAAAAAAAAAAAFtDb250ZW50X1R5cGVzXS54bWxQSwECLQAUAAYACAAAACEAWvQsW78AAAAVAQAA&#10;CwAAAAAAAAAAAAAAAAAfAQAAX3JlbHMvLnJlbHNQSwECLQAUAAYACAAAACEAednwc8YAAADfAAAA&#10;DwAAAAAAAAAAAAAAAAAHAgAAZHJzL2Rvd25yZXYueG1sUEsFBgAAAAADAAMAtwAAAPoCAAAAAA==&#10;" filled="f" stroked="f">
                  <v:textbox inset="0,0,0,0">
                    <w:txbxContent>
                      <w:p w14:paraId="1B0F5C59" w14:textId="77777777" w:rsidR="00B32EF2" w:rsidRDefault="00000000">
                        <w:r>
                          <w:rPr>
                            <w:rFonts w:ascii="Arial" w:eastAsia="Arial" w:hAnsi="Arial" w:cs="Arial"/>
                            <w:sz w:val="18"/>
                          </w:rPr>
                          <w:t>. Gli atti espressi di cui al comma 1 devono contenere l’indicazione del ter</w:t>
                        </w:r>
                      </w:p>
                    </w:txbxContent>
                  </v:textbox>
                </v:rect>
                <v:rect id="Rectangle 201029" o:spid="_x0000_s4083" style="position:absolute;left:26328;top:41466;width:522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s8zxwAAAN8AAAAPAAAAZHJzL2Rvd25yZXYueG1sRI9BawIx&#10;FITvQv9DeIXeNHEPRbdGEYt0D71ULfT42Dx3t25ewia6W3+9KQgeh5n5hlmsBtuKC3WhcaxhOlEg&#10;iEtnGq40HPbb8QxEiMgGW8ek4Y8CrJZPowXmxvX8RZddrESCcMhRQx2jz6UMZU0Ww8R54uQdXWcx&#10;JtlV0nTYJ7htZabUq7TYcFqo0dOmpvK0O1sNP+/si20vy+N14z9/i1n7cT58a/3yPKzfQEQa4iN8&#10;bxdGQ6amKpvD/5/0BeTyBgAA//8DAFBLAQItABQABgAIAAAAIQDb4fbL7gAAAIUBAAATAAAAAAAA&#10;AAAAAAAAAAAAAABbQ29udGVudF9UeXBlc10ueG1sUEsBAi0AFAAGAAgAAAAhAFr0LFu/AAAAFQEA&#10;AAsAAAAAAAAAAAAAAAAAHwEAAF9yZWxzLy5yZWxzUEsBAi0AFAAGAAgAAAAhAG06zzPHAAAA3wAA&#10;AA8AAAAAAAAAAAAAAAAABwIAAGRycy9kb3ducmV2LnhtbFBLBQYAAAAAAwADALcAAAD7AgAAAAA=&#10;" filled="f" stroked="f">
                  <v:textbox inset="0,0,0,0">
                    <w:txbxContent>
                      <w:p w14:paraId="0EBDEC2A" w14:textId="77777777" w:rsidR="00B32EF2" w:rsidRDefault="00000000">
                        <w:r>
                          <w:rPr>
                            <w:rFonts w:ascii="Arial" w:eastAsia="Arial" w:hAnsi="Arial" w:cs="Arial"/>
                            <w:sz w:val="18"/>
                          </w:rPr>
                          <w:t>2</w:t>
                        </w:r>
                      </w:p>
                    </w:txbxContent>
                  </v:textbox>
                </v:rect>
                <v:rect id="Rectangle 18779" o:spid="_x0000_s4084" style="position:absolute;left:191;top:41466;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WSWxAAAAN4AAAAPAAAAZHJzL2Rvd25yZXYueG1sRE9Na8JA&#10;EL0X/A/LCN7qxh40ja4iijSHXmoVPA7ZMYlmZ5fsaqK/vlso9DaP9zmLVW8acafW15YVTMYJCOLC&#10;6ppLBYfv3WsKwgdkjY1lUvAgD6vl4GWBmbYdf9F9H0oRQ9hnqKAKwWVS+qIig35sHXHkzrY1GCJs&#10;S6lb7GK4aeRbkkylwZpjQ4WONhUV1/3NKDht2eW7Thbn58Z9XvK0+bgdjkqNhv16DiJQH/7Ff+5c&#10;x/npbPYOv+/EG+TyBwAA//8DAFBLAQItABQABgAIAAAAIQDb4fbL7gAAAIUBAAATAAAAAAAAAAAA&#10;AAAAAAAAAABbQ29udGVudF9UeXBlc10ueG1sUEsBAi0AFAAGAAgAAAAhAFr0LFu/AAAAFQEAAAsA&#10;AAAAAAAAAAAAAAAAHwEAAF9yZWxzLy5yZWxzUEsBAi0AFAAGAAgAAAAhACtVZJbEAAAA3gAAAA8A&#10;AAAAAAAAAAAAAAAABwIAAGRycy9kb3ducmV2LnhtbFBLBQYAAAAAAwADALcAAAD4AgAAAAA=&#10;" filled="f" stroked="f">
                  <v:textbox inset="0,0,0,0">
                    <w:txbxContent>
                      <w:p w14:paraId="1F46252E" w14:textId="77777777" w:rsidR="00B32EF2" w:rsidRDefault="00000000">
                        <w:r>
                          <w:rPr>
                            <w:rFonts w:ascii="Arial" w:eastAsia="Arial" w:hAnsi="Arial" w:cs="Arial"/>
                            <w:sz w:val="18"/>
                          </w:rPr>
                          <w:t>-</w:t>
                        </w:r>
                      </w:p>
                    </w:txbxContent>
                  </v:textbox>
                </v:rect>
                <v:rect id="Rectangle 18780" o:spid="_x0000_s4085" style="position:absolute;left:-13172;top:402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r0sxwAAAN4AAAAPAAAAZHJzL2Rvd25yZXYueG1sRI9Bb8Iw&#10;DIXvk/YfIk/iNtLtwKpCQBMTooddxkDiaDWmLTRO1ARa9uvnw6TdbPn5vfctVqPr1I362Ho28DLN&#10;QBFX3rZcG9h/b55zUDEhW+w8k4E7RVgtHx8WWFg/8BfddqlWYsKxQANNSqHQOlYNOYxTH4jldvK9&#10;wyRrX2vb4yDmrtOvWTbTDluWhAYDrRuqLrurM3D84FBuBl2dftbh81zm3fa6PxgzeRrf56ASjelf&#10;/PddWqmfv+UCIDgyg17+AgAA//8DAFBLAQItABQABgAIAAAAIQDb4fbL7gAAAIUBAAATAAAAAAAA&#10;AAAAAAAAAAAAAABbQ29udGVudF9UeXBlc10ueG1sUEsBAi0AFAAGAAgAAAAhAFr0LFu/AAAAFQEA&#10;AAsAAAAAAAAAAAAAAAAAHwEAAF9yZWxzLy5yZWxzUEsBAi0AFAAGAAgAAAAhAI+6vSzHAAAA3gAA&#10;AA8AAAAAAAAAAAAAAAAABwIAAGRycy9kb3ducmV2LnhtbFBLBQYAAAAAAwADALcAAAD7AgAAAAA=&#10;" filled="f" stroked="f">
                  <v:textbox inset="0,0,0,0">
                    <w:txbxContent>
                      <w:p w14:paraId="4FA16005" w14:textId="77777777" w:rsidR="00B32EF2" w:rsidRDefault="00000000">
                        <w:r>
                          <w:rPr>
                            <w:rFonts w:ascii="Arial" w:eastAsia="Arial" w:hAnsi="Arial" w:cs="Arial"/>
                            <w:sz w:val="18"/>
                          </w:rPr>
                          <w:t xml:space="preserve">mine entro il quale il ricorso deve essere proposto e della corte di giustizia </w:t>
                        </w:r>
                      </w:p>
                    </w:txbxContent>
                  </v:textbox>
                </v:rect>
                <v:rect id="Rectangle 18781" o:spid="_x0000_s4086" style="position:absolute;left:-13172;top:390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hi3xAAAAN4AAAAPAAAAZHJzL2Rvd25yZXYueG1sRE9Ni8Iw&#10;EL0L/ocwwt40dQ9r6RpFFNkevOgq7HFoxrbaTEITbfXXm4WFvc3jfc582ZtG3Kn1tWUF00kCgriw&#10;uuZSwfF7O05B+ICssbFMCh7kYbkYDuaYadvxnu6HUIoYwj5DBVUILpPSFxUZ9BPriCN3tq3BEGFb&#10;St1iF8NNI9+T5EMarDk2VOhoXVFxPdyMgp8Nu3zbyeL8XLvdJU+br9vxpNTbqF99ggjUh3/xnzvX&#10;cX46S6fw+068QS5eAAAA//8DAFBLAQItABQABgAIAAAAIQDb4fbL7gAAAIUBAAATAAAAAAAAAAAA&#10;AAAAAAAAAABbQ29udGVudF9UeXBlc10ueG1sUEsBAi0AFAAGAAgAAAAhAFr0LFu/AAAAFQEAAAsA&#10;AAAAAAAAAAAAAAAAHwEAAF9yZWxzLy5yZWxzUEsBAi0AFAAGAAgAAAAhAOD2GLfEAAAA3gAAAA8A&#10;AAAAAAAAAAAAAAAABwIAAGRycy9kb3ducmV2LnhtbFBLBQYAAAAAAwADALcAAAD4AgAAAAA=&#10;" filled="f" stroked="f">
                  <v:textbox inset="0,0,0,0">
                    <w:txbxContent>
                      <w:p w14:paraId="3B950865" w14:textId="77777777" w:rsidR="00B32EF2" w:rsidRDefault="00000000">
                        <w:r>
                          <w:rPr>
                            <w:rFonts w:ascii="Arial" w:eastAsia="Arial" w:hAnsi="Arial" w:cs="Arial"/>
                            <w:sz w:val="18"/>
                          </w:rPr>
                          <w:t xml:space="preserve">tributaria di primo e secondo grado competente, nonché delle relative forme </w:t>
                        </w:r>
                      </w:p>
                    </w:txbxContent>
                  </v:textbox>
                </v:rect>
                <v:rect id="Rectangle 18782" o:spid="_x0000_s4087" style="position:absolute;left:14190;top:37767;width:2572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IbAxAAAAN4AAAAPAAAAZHJzL2Rvd25yZXYueG1sRE9Na8JA&#10;EL0X+h+WKfRWN/VQQ3SVoog59KKN4HHIjkk0O7tkV5P6611B6G0e73Nmi8G04kqdbywr+BwlIIhL&#10;qxuuFBS/648UhA/IGlvLpOCPPCzmry8zzLTteUvXXahEDGGfoYI6BJdJ6cuaDPqRdcSRO9rOYIiw&#10;q6TusI/hppXjJPmSBhuODTU6WtZUnncXo+CwYpeve1keb0v3c8rTdnMp9kq9vw3fUxCBhvAvfrpz&#10;Heenk3QMj3fiDXJ+BwAA//8DAFBLAQItABQABgAIAAAAIQDb4fbL7gAAAIUBAAATAAAAAAAAAAAA&#10;AAAAAAAAAABbQ29udGVudF9UeXBlc10ueG1sUEsBAi0AFAAGAAgAAAAhAFr0LFu/AAAAFQEAAAsA&#10;AAAAAAAAAAAAAAAAHwEAAF9yZWxzLy5yZWxzUEsBAi0AFAAGAAgAAAAhABAkhsDEAAAA3gAAAA8A&#10;AAAAAAAAAAAAAAAABwIAAGRycy9kb3ducmV2LnhtbFBLBQYAAAAAAwADALcAAAD4AgAAAAA=&#10;" filled="f" stroked="f">
                  <v:textbox inset="0,0,0,0">
                    <w:txbxContent>
                      <w:p w14:paraId="63A77B2E" w14:textId="77777777" w:rsidR="00B32EF2" w:rsidRDefault="00000000">
                        <w:r>
                          <w:rPr>
                            <w:rFonts w:ascii="Arial" w:eastAsia="Arial" w:hAnsi="Arial" w:cs="Arial"/>
                            <w:sz w:val="18"/>
                          </w:rPr>
                          <w:t xml:space="preserve">da osservare ai sensi dell’articolo 66. </w:t>
                        </w:r>
                      </w:p>
                    </w:txbxContent>
                  </v:textbox>
                </v:rect>
                <v:rect id="Rectangle 201028" o:spid="_x0000_s4088" style="position:absolute;left:-13818;top:365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mqoxAAAAN8AAAAPAAAAZHJzL2Rvd25yZXYueG1sRE/Pa8Iw&#10;FL4P/B/CE7zNxB6GVKOIIvawi87Bjo/m2Vabl9BEW/3rl8Ngx4/v93I92FY8qAuNYw2zqQJBXDrT&#10;cKXh/LV/n4MIEdlg65g0PCnAejV6W2JuXM9HepxiJVIIhxw11DH6XMpQ1mQxTJ0nTtzFdRZjgl0l&#10;TYd9CretzJT6kBYbTg01etrWVN5Od6vhZ8e+2PeyvLy2/vNazNvD/fyt9WQ8bBYgIg3xX/znLoyG&#10;TM1UlganP+kLyNUvAAAA//8DAFBLAQItABQABgAIAAAAIQDb4fbL7gAAAIUBAAATAAAAAAAAAAAA&#10;AAAAAAAAAABbQ29udGVudF9UeXBlc10ueG1sUEsBAi0AFAAGAAgAAAAhAFr0LFu/AAAAFQEAAAsA&#10;AAAAAAAAAAAAAAAAHwEAAF9yZWxzLy5yZWxzUEsBAi0AFAAGAAgAAAAhAAJ2aqjEAAAA3wAAAA8A&#10;AAAAAAAAAAAAAAAABwIAAGRycy9kb3ducmV2LnhtbFBLBQYAAAAAAwADALcAAAD4AgAAAAA=&#10;" filled="f" stroked="f">
                  <v:textbox inset="0,0,0,0">
                    <w:txbxContent>
                      <w:p w14:paraId="096BC4EA" w14:textId="77777777" w:rsidR="00B32EF2" w:rsidRDefault="00000000">
                        <w:r>
                          <w:rPr>
                            <w:rFonts w:ascii="Arial" w:eastAsia="Arial" w:hAnsi="Arial" w:cs="Arial"/>
                            <w:sz w:val="18"/>
                          </w:rPr>
                          <w:t xml:space="preserve">. Gli atti diversi da quelli indicati non sono impugnabili autonomamente. </w:t>
                        </w:r>
                      </w:p>
                    </w:txbxContent>
                  </v:textbox>
                </v:rect>
                <v:rect id="Rectangle 201027" o:spid="_x0000_s4089" style="position:absolute;left:26109;top:36533;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f7axwAAAN8AAAAPAAAAZHJzL2Rvd25yZXYueG1sRI9BawIx&#10;FITvQv9DeIXeNHEPVVajiEW6h160Fnp8bJ67q5uXsInutr++EYQeh5n5hlmuB9uKG3WhcaxhOlEg&#10;iEtnGq40HD934zmIEJENto5Jww8FWK+eRkvMjet5T7dDrESCcMhRQx2jz6UMZU0Ww8R54uSdXGcx&#10;JtlV0nTYJ7htZabUq7TYcFqo0dO2pvJyuFoN32/si10vy9Pv1n+ci3n7fj1+af3yPGwWICIN8T/8&#10;aBdGQ6amKpvB/U/6AnL1BwAA//8DAFBLAQItABQABgAIAAAAIQDb4fbL7gAAAIUBAAATAAAAAAAA&#10;AAAAAAAAAAAAAABbQ29udGVudF9UeXBlc10ueG1sUEsBAi0AFAAGAAgAAAAhAFr0LFu/AAAAFQEA&#10;AAsAAAAAAAAAAAAAAAAAHwEAAF9yZWxzLy5yZWxzUEsBAi0AFAAGAAgAAAAhAHPp/trHAAAA3wAA&#10;AA8AAAAAAAAAAAAAAAAABwIAAGRycy9kb3ducmV2LnhtbFBLBQYAAAAAAwADALcAAAD7AgAAAAA=&#10;" filled="f" stroked="f">
                  <v:textbox inset="0,0,0,0">
                    <w:txbxContent>
                      <w:p w14:paraId="44F6724E" w14:textId="77777777" w:rsidR="00B32EF2" w:rsidRDefault="00000000">
                        <w:r>
                          <w:rPr>
                            <w:rFonts w:ascii="Arial" w:eastAsia="Arial" w:hAnsi="Arial" w:cs="Arial"/>
                            <w:sz w:val="18"/>
                          </w:rPr>
                          <w:t>3</w:t>
                        </w:r>
                      </w:p>
                    </w:txbxContent>
                  </v:textbox>
                </v:rect>
                <v:rect id="Rectangle 18784" o:spid="_x0000_s4090" style="position:absolute;left:-13172;top:353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bsvxAAAAN4AAAAPAAAAZHJzL2Rvd25yZXYueG1sRE9Na8JA&#10;EL0X/A/LCN7qpkVsSF2lWMQcvGgt9DhkxySanV2yq4n+elcoeJvH+5zZojeNuFDra8sK3sYJCOLC&#10;6ppLBfuf1WsKwgdkjY1lUnAlD4v54GWGmbYdb+myC6WIIewzVFCF4DIpfVGRQT+2jjhyB9saDBG2&#10;pdQtdjHcNPI9SabSYM2xoUJHy4qK0+5sFPx9s8tXnSwOt6XbHPO0WZ/3v0qNhv3XJ4hAfXiK/925&#10;jvPTj3QCj3fiDXJ+BwAA//8DAFBLAQItABQABgAIAAAAIQDb4fbL7gAAAIUBAAATAAAAAAAAAAAA&#10;AAAAAAAAAABbQ29udGVudF9UeXBlc10ueG1sUEsBAi0AFAAGAAgAAAAhAFr0LFu/AAAAFQEAAAsA&#10;AAAAAAAAAAAAAAAAHwEAAF9yZWxzLy5yZWxzUEsBAi0AFAAGAAgAAAAhAPCBuy/EAAAA3gAAAA8A&#10;AAAAAAAAAAAAAAAABwIAAGRycy9kb3ducmV2LnhtbFBLBQYAAAAAAwADALcAAAD4AgAAAAA=&#10;" filled="f" stroked="f">
                  <v:textbox inset="0,0,0,0">
                    <w:txbxContent>
                      <w:p w14:paraId="3B46097D" w14:textId="77777777" w:rsidR="00B32EF2" w:rsidRDefault="00000000">
                        <w:r>
                          <w:rPr>
                            <w:rFonts w:ascii="Arial" w:eastAsia="Arial" w:hAnsi="Arial" w:cs="Arial"/>
                            <w:sz w:val="18"/>
                          </w:rPr>
                          <w:t xml:space="preserve">Ognuno degli atti autonomamente impugnabili può essere impugnato solo per </w:t>
                        </w:r>
                      </w:p>
                    </w:txbxContent>
                  </v:textbox>
                </v:rect>
                <v:rect id="Rectangle 18785" o:spid="_x0000_s4091" style="position:absolute;left:-12238;top:34067;width:521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R60xAAAAN4AAAAPAAAAZHJzL2Rvd25yZXYueG1sRE9Na8JA&#10;EL0X/A/LCN7qpgVtSF2lWMQcvGgt9DhkxySanV2yq4n+elcoeJvH+5zZojeNuFDra8sK3sYJCOLC&#10;6ppLBfuf1WsKwgdkjY1lUnAlD4v54GWGmbYdb+myC6WIIewzVFCF4DIpfVGRQT+2jjhyB9saDBG2&#10;pdQtdjHcNPI9SabSYM2xoUJHy4qK0+5sFPx9s8tXnSwOt6XbHPO0WZ/3v0qNhv3XJ4hAfXiK/925&#10;jvPTj3QCj3fiDXJ+BwAA//8DAFBLAQItABQABgAIAAAAIQDb4fbL7gAAAIUBAAATAAAAAAAAAAAA&#10;AAAAAAAAAABbQ29udGVudF9UeXBlc10ueG1sUEsBAi0AFAAGAAgAAAAhAFr0LFu/AAAAFQEAAAsA&#10;AAAAAAAAAAAAAAAAHwEAAF9yZWxzLy5yZWxzUEsBAi0AFAAGAAgAAAAhAJ/NHrTEAAAA3gAAAA8A&#10;AAAAAAAAAAAAAAAABwIAAGRycy9kb3ducmV2LnhtbFBLBQYAAAAAAwADALcAAAD4AgAAAAA=&#10;" filled="f" stroked="f">
                  <v:textbox inset="0,0,0,0">
                    <w:txbxContent>
                      <w:p w14:paraId="1A4726D3" w14:textId="77777777" w:rsidR="00B32EF2" w:rsidRDefault="00000000">
                        <w:r>
                          <w:rPr>
                            <w:rFonts w:ascii="Arial" w:eastAsia="Arial" w:hAnsi="Arial" w:cs="Arial"/>
                            <w:sz w:val="18"/>
                          </w:rPr>
                          <w:t>vizi propri. La mancata notificazione di atti autonomamente impugnabili, adot</w:t>
                        </w:r>
                      </w:p>
                    </w:txbxContent>
                  </v:textbox>
                </v:rect>
                <v:rect id="Rectangle 18786" o:spid="_x0000_s4092" style="position:absolute;left:191;top:3406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4DDxAAAAN4AAAAPAAAAZHJzL2Rvd25yZXYueG1sRE9Na8JA&#10;EL0L/odlBG+6qQcbUlcpiphDL9UIPQ7ZMUmbnV2yq0n99W6h4G0e73NWm8G04kadbywreJknIIhL&#10;qxuuFBSn/SwF4QOyxtYyKfglD5v1eLTCTNueP+l2DJWIIewzVFCH4DIpfVmTQT+3jjhyF9sZDBF2&#10;ldQd9jHctHKRJEtpsOHYUKOjbU3lz/FqFHzt2OX7XpaX+9Z9fOdpe7gWZ6Wmk+H9DUSgITzF/+5c&#10;x/npa7qEv3fiDXL9AAAA//8DAFBLAQItABQABgAIAAAAIQDb4fbL7gAAAIUBAAATAAAAAAAAAAAA&#10;AAAAAAAAAABbQ29udGVudF9UeXBlc10ueG1sUEsBAi0AFAAGAAgAAAAhAFr0LFu/AAAAFQEAAAsA&#10;AAAAAAAAAAAAAAAAHwEAAF9yZWxzLy5yZWxzUEsBAi0AFAAGAAgAAAAhAG8fgMPEAAAA3gAAAA8A&#10;AAAAAAAAAAAAAAAABwIAAGRycy9kb3ducmV2LnhtbFBLBQYAAAAAAwADALcAAAD4AgAAAAA=&#10;" filled="f" stroked="f">
                  <v:textbox inset="0,0,0,0">
                    <w:txbxContent>
                      <w:p w14:paraId="1084AC33" w14:textId="77777777" w:rsidR="00B32EF2" w:rsidRDefault="00000000">
                        <w:r>
                          <w:rPr>
                            <w:rFonts w:ascii="Arial" w:eastAsia="Arial" w:hAnsi="Arial" w:cs="Arial"/>
                            <w:sz w:val="18"/>
                          </w:rPr>
                          <w:t>-</w:t>
                        </w:r>
                      </w:p>
                    </w:txbxContent>
                  </v:textbox>
                </v:rect>
                <v:rect id="Rectangle 18787" o:spid="_x0000_s4093" style="position:absolute;left:-12206;top:32833;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yVYxQAAAN4AAAAPAAAAZHJzL2Rvd25yZXYueG1sRE9La8JA&#10;EL4X/A/LCL3VTT1oSN1IUcQcvNQH9DhkJ482O7tkV5P667uFgrf5+J6zWo+mEzfqfWtZwessAUFc&#10;Wt1yreB82r2kIHxA1thZJgU/5GGdT55WmGk78AfdjqEWMYR9hgqaEFwmpS8bMuhn1hFHrrK9wRBh&#10;X0vd4xDDTSfnSbKQBluODQ062jRUfh+vRsHnll2xG2RZ3Tfu8FWk3f56vij1PB3f30AEGsND/O8u&#10;dJyfLtMl/L0Tb5D5LwAAAP//AwBQSwECLQAUAAYACAAAACEA2+H2y+4AAACFAQAAEwAAAAAAAAAA&#10;AAAAAAAAAAAAW0NvbnRlbnRfVHlwZXNdLnhtbFBLAQItABQABgAIAAAAIQBa9CxbvwAAABUBAAAL&#10;AAAAAAAAAAAAAAAAAB8BAABfcmVscy8ucmVsc1BLAQItABQABgAIAAAAIQAAUyVYxQAAAN4AAAAP&#10;AAAAAAAAAAAAAAAAAAcCAABkcnMvZG93bnJldi54bWxQSwUGAAAAAAMAAwC3AAAA+QIAAAAA&#10;" filled="f" stroked="f">
                  <v:textbox inset="0,0,0,0">
                    <w:txbxContent>
                      <w:p w14:paraId="361AF6DD" w14:textId="77777777" w:rsidR="00B32EF2" w:rsidRDefault="00000000">
                        <w:r>
                          <w:rPr>
                            <w:rFonts w:ascii="Arial" w:eastAsia="Arial" w:hAnsi="Arial" w:cs="Arial"/>
                            <w:sz w:val="18"/>
                          </w:rPr>
                          <w:t>tati precedentemente all’atto notificato, ne consente l’impugnazione unitamen</w:t>
                        </w:r>
                      </w:p>
                    </w:txbxContent>
                  </v:textbox>
                </v:rect>
                <v:rect id="Rectangle 18788" o:spid="_x0000_s4094" style="position:absolute;left:191;top:32833;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LEqxwAAAN4AAAAPAAAAZHJzL2Rvd25yZXYueG1sRI9Bb8Iw&#10;DIXvk/YfIk/iNtLtwKpCQBMTooddxkDiaDWmLTRO1ARa9uvnw6TdbL3n9z4vVqPr1I362Ho28DLN&#10;QBFX3rZcG9h/b55zUDEhW+w8k4E7RVgtHx8WWFg/8BfddqlWEsKxQANNSqHQOlYNOYxTH4hFO/ne&#10;YZK1r7XtcZBw1+nXLJtphy1LQ4OB1g1Vl93VGTh+cCg3g65OP+vweS7zbnvdH4yZPI3vc1CJxvRv&#10;/rsureDnb7nwyjsyg17+AgAA//8DAFBLAQItABQABgAIAAAAIQDb4fbL7gAAAIUBAAATAAAAAAAA&#10;AAAAAAAAAAAAAABbQ29udGVudF9UeXBlc10ueG1sUEsBAi0AFAAGAAgAAAAhAFr0LFu/AAAAFQEA&#10;AAsAAAAAAAAAAAAAAAAAHwEAAF9yZWxzLy5yZWxzUEsBAi0AFAAGAAgAAAAhAHHMsSrHAAAA3gAA&#10;AA8AAAAAAAAAAAAAAAAABwIAAGRycy9kb3ducmV2LnhtbFBLBQYAAAAAAwADALcAAAD7AgAAAAA=&#10;" filled="f" stroked="f">
                  <v:textbox inset="0,0,0,0">
                    <w:txbxContent>
                      <w:p w14:paraId="3897AFBB" w14:textId="77777777" w:rsidR="00B32EF2" w:rsidRDefault="00000000">
                        <w:r>
                          <w:rPr>
                            <w:rFonts w:ascii="Arial" w:eastAsia="Arial" w:hAnsi="Arial" w:cs="Arial"/>
                            <w:sz w:val="18"/>
                          </w:rPr>
                          <w:t>-</w:t>
                        </w:r>
                      </w:p>
                    </w:txbxContent>
                  </v:textbox>
                </v:rect>
                <v:rect id="Rectangle 18789" o:spid="_x0000_s4095" style="position:absolute;left:27918;top:31600;width:119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SxxQAAAN4AAAAPAAAAZHJzL2Rvd25yZXYueG1sRE9La8JA&#10;EL4X/A/LCL3VjR7aGF1FFGkOXuoDPA7ZMYlmZ5fsalJ/fbdQ6G0+vufMl71pxINaX1tWMB4lIIgL&#10;q2suFRwP27cUhA/IGhvLpOCbPCwXg5c5Ztp2/EWPfShFDGGfoYIqBJdJ6YuKDPqRdcSRu9jWYIiw&#10;LaVusYvhppGTJHmXBmuODRU6WldU3PZ3o+C8YZdvO1lcnmu3u+Zp83k/npR6HfarGYhAffgX/7lz&#10;HeenH+kUft+JN8jFDwAAAP//AwBQSwECLQAUAAYACAAAACEA2+H2y+4AAACFAQAAEwAAAAAAAAAA&#10;AAAAAAAAAAAAW0NvbnRlbnRfVHlwZXNdLnhtbFBLAQItABQABgAIAAAAIQBa9CxbvwAAABUBAAAL&#10;AAAAAAAAAAAAAAAAAB8BAABfcmVscy8ucmVsc1BLAQItABQABgAIAAAAIQAegBSxxQAAAN4AAAAP&#10;AAAAAAAAAAAAAAAAAAcCAABkcnMvZG93bnJldi54bWxQSwUGAAAAAAMAAwC3AAAA+QIAAAAA&#10;" filled="f" stroked="f">
                  <v:textbox inset="0,0,0,0">
                    <w:txbxContent>
                      <w:p w14:paraId="062F6A31" w14:textId="77777777" w:rsidR="00B32EF2" w:rsidRDefault="00000000">
                        <w:r>
                          <w:rPr>
                            <w:rFonts w:ascii="Arial" w:eastAsia="Arial" w:hAnsi="Arial" w:cs="Arial"/>
                            <w:sz w:val="18"/>
                          </w:rPr>
                          <w:t xml:space="preserve">te a quest’ultimo. </w:t>
                        </w:r>
                      </w:p>
                    </w:txbxContent>
                  </v:textbox>
                </v:rect>
                <v:rect id="Rectangle 201021" o:spid="_x0000_s4096" style="position:absolute;left:26349;top:30367;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MM1xwAAAN8AAAAPAAAAZHJzL2Rvd25yZXYueG1sRI9Ba8JA&#10;FITvhf6H5RV6q7vJoUjqKqKIOXipVejxkX0m0ezbJbua6K/vFgo9DjPzDTNbjLYTN+pD61hDNlEg&#10;iCtnWq41HL42b1MQISIb7ByThjsFWMyfn2ZYGDfwJ932sRYJwqFADU2MvpAyVA1ZDBPniZN3cr3F&#10;mGRfS9PjkOC2k7lS79Jiy2mhQU+rhqrL/mo1fK/Zl5tBVqfHyu/O5bTbXg9HrV9fxuUHiEhj/A//&#10;tUujIVeZyjP4/ZO+gJz/AAAA//8DAFBLAQItABQABgAIAAAAIQDb4fbL7gAAAIUBAAATAAAAAAAA&#10;AAAAAAAAAAAAAABbQ29udGVudF9UeXBlc10ueG1sUEsBAi0AFAAGAAgAAAAhAFr0LFu/AAAAFQEA&#10;AAsAAAAAAAAAAAAAAAAAHwEAAF9yZWxzLy5yZWxzUEsBAi0AFAAGAAgAAAAhAJNMwzXHAAAA3wAA&#10;AA8AAAAAAAAAAAAAAAAABwIAAGRycy9kb3ducmV2LnhtbFBLBQYAAAAAAwADALcAAAD7AgAAAAA=&#10;" filled="f" stroked="f">
                  <v:textbox inset="0,0,0,0">
                    <w:txbxContent>
                      <w:p w14:paraId="5E46E569" w14:textId="77777777" w:rsidR="00B32EF2" w:rsidRDefault="00000000">
                        <w:r>
                          <w:rPr>
                            <w:rFonts w:ascii="Arial" w:eastAsia="Arial" w:hAnsi="Arial" w:cs="Arial"/>
                            <w:sz w:val="18"/>
                          </w:rPr>
                          <w:t>4</w:t>
                        </w:r>
                      </w:p>
                    </w:txbxContent>
                  </v:textbox>
                </v:rect>
                <v:rect id="Rectangle 201025" o:spid="_x0000_s4097" style="position:absolute;left:-12836;top:30367;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8U2xwAAAN8AAAAPAAAAZHJzL2Rvd25yZXYueG1sRI9BawIx&#10;FITvQv9DeIXeNHGhIqtRxCLdQy9aCz0+Ns/d1c1L2ER321/fCEKPw8x8wyzXg23FjbrQONYwnSgQ&#10;xKUzDVcajp+78RxEiMgGW8ek4YcCrFdPoyXmxvW8p9shViJBOOSooY7R51KGsiaLYeI8cfJOrrMY&#10;k+wqaTrsE9y2MlNqJi02nBZq9LStqbwcrlbD9xv7YtfL8vS79R/nYt6+X49fWr88D5sFiEhD/A8/&#10;2oXRkKmpyl7h/id9Abn6AwAA//8DAFBLAQItABQABgAIAAAAIQDb4fbL7gAAAIUBAAATAAAAAAAA&#10;AAAAAAAAAAAAAABbQ29udGVudF9UeXBlc10ueG1sUEsBAi0AFAAGAAgAAAAhAFr0LFu/AAAAFQEA&#10;AAsAAAAAAAAAAAAAAAAAHwEAAF9yZWxzLy5yZWxzUEsBAi0AFAAGAAgAAAAhAOx3xTbHAAAA3wAA&#10;AA8AAAAAAAAAAAAAAAAABwIAAGRycy9kb3ducmV2LnhtbFBLBQYAAAAAAwADALcAAAD7AgAAAAA=&#10;" filled="f" stroked="f">
                  <v:textbox inset="0,0,0,0">
                    <w:txbxContent>
                      <w:p w14:paraId="6D1F642E" w14:textId="77777777" w:rsidR="00B32EF2" w:rsidRDefault="00000000">
                        <w:r>
                          <w:rPr>
                            <w:rFonts w:ascii="Arial" w:eastAsia="Arial" w:hAnsi="Arial" w:cs="Arial"/>
                            <w:sz w:val="18"/>
                          </w:rPr>
                          <w:t>. L’ annullabilità dell’avviso di accertamento e di rettifica ai sensi del dell’arti</w:t>
                        </w:r>
                      </w:p>
                    </w:txbxContent>
                  </v:textbox>
                </v:rect>
                <v:rect id="Rectangle 18791" o:spid="_x0000_s4098" style="position:absolute;left:191;top:3036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45qxAAAAN4AAAAPAAAAZHJzL2Rvd25yZXYueG1sRE9Na8JA&#10;EL0X/A/LCN7qRg9tGl1FFGkOXmoVPA7ZMYlmZ5fsaqK/vlso9DaP9znzZW8acafW15YVTMYJCOLC&#10;6ppLBYfv7WsKwgdkjY1lUvAgD8vF4GWOmbYdf9F9H0oRQ9hnqKAKwWVS+qIig35sHXHkzrY1GCJs&#10;S6lb7GK4aeQ0Sd6kwZpjQ4WO1hUV1/3NKDht2OXbThbn59rtLnnafN4OR6VGw341AxGoD//iP3eu&#10;4/z0/WMCv+/EG+TiBwAA//8DAFBLAQItABQABgAIAAAAIQDb4fbL7gAAAIUBAAATAAAAAAAAAAAA&#10;AAAAAAAAAABbQ29udGVudF9UeXBlc10ueG1sUEsBAi0AFAAGAAgAAAAhAFr0LFu/AAAAFQEAAAsA&#10;AAAAAAAAAAAAAAAAHwEAAF9yZWxzLy5yZWxzUEsBAi0AFAAGAAgAAAAhAGUvjmrEAAAA3gAAAA8A&#10;AAAAAAAAAAAAAAAABwIAAGRycy9kb3ducmV2LnhtbFBLBQYAAAAAAwADALcAAAD4AgAAAAA=&#10;" filled="f" stroked="f">
                  <v:textbox inset="0,0,0,0">
                    <w:txbxContent>
                      <w:p w14:paraId="572C2F43" w14:textId="77777777" w:rsidR="00B32EF2" w:rsidRDefault="00000000">
                        <w:r>
                          <w:rPr>
                            <w:rFonts w:ascii="Arial" w:eastAsia="Arial" w:hAnsi="Arial" w:cs="Arial"/>
                            <w:sz w:val="18"/>
                          </w:rPr>
                          <w:t>-</w:t>
                        </w:r>
                      </w:p>
                    </w:txbxContent>
                  </v:textbox>
                </v:rect>
                <v:rect id="Rectangle 18792" o:spid="_x0000_s4099" style="position:absolute;left:-13171;top:29133;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AdxQAAAN4AAAAPAAAAZHJzL2Rvd25yZXYueG1sRE9La8JA&#10;EL4X/A/LCN7qRg9tjK4iijSHXuoDPA7ZMYlmZ5fsamJ/fbdQ6G0+vucsVr1pxINaX1tWMBknIIgL&#10;q2suFRwPu9cUhA/IGhvLpOBJHlbLwcsCM207/qLHPpQihrDPUEEVgsuk9EVFBv3YOuLIXWxrMETY&#10;llK32MVw08hpkrxJgzXHhgodbSoqbvu7UXDesst3nSwu3xv3ec3T5uN+PCk1GvbrOYhAffgX/7lz&#10;Heen77Mp/L4Tb5DLHwAAAP//AwBQSwECLQAUAAYACAAAACEA2+H2y+4AAACFAQAAEwAAAAAAAAAA&#10;AAAAAAAAAAAAW0NvbnRlbnRfVHlwZXNdLnhtbFBLAQItABQABgAIAAAAIQBa9CxbvwAAABUBAAAL&#10;AAAAAAAAAAAAAAAAAB8BAABfcmVscy8ucmVsc1BLAQItABQABgAIAAAAIQCV/RAdxQAAAN4AAAAP&#10;AAAAAAAAAAAAAAAAAAcCAABkcnMvZG93bnJldi54bWxQSwUGAAAAAAMAAwC3AAAA+QIAAAAA&#10;" filled="f" stroked="f">
                  <v:textbox inset="0,0,0,0">
                    <w:txbxContent>
                      <w:p w14:paraId="78615FBC" w14:textId="77777777" w:rsidR="00B32EF2" w:rsidRDefault="00000000">
                        <w:r>
                          <w:rPr>
                            <w:rFonts w:ascii="Arial" w:eastAsia="Arial" w:hAnsi="Arial" w:cs="Arial"/>
                            <w:sz w:val="18"/>
                          </w:rPr>
                          <w:t xml:space="preserve">colo 42, comma 3, e dell’articolo 43, comma 3, del decreto del Presidente della </w:t>
                        </w:r>
                      </w:p>
                    </w:txbxContent>
                  </v:textbox>
                </v:rect>
                <v:rect id="Rectangle 18793" o:spid="_x0000_s4100" style="position:absolute;left:-13172;top:279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bWGxQAAAN4AAAAPAAAAZHJzL2Rvd25yZXYueG1sRE9Na8JA&#10;EL0L/odlhN50o4U2ja4iipiDl1oLHofsmKTNzi7Z1cT+erdQ6G0e73MWq9404katry0rmE4SEMSF&#10;1TWXCk4fu3EKwgdkjY1lUnAnD6vlcLDATNuO3+l2DKWIIewzVFCF4DIpfVGRQT+xjjhyF9saDBG2&#10;pdQtdjHcNHKWJC/SYM2xoUJHm4qK7+PVKDhv2eW7ThaXn407fOVps7+ePpV6GvXrOYhAffgX/7lz&#10;Heenr2/P8PtOvEEuHwAAAP//AwBQSwECLQAUAAYACAAAACEA2+H2y+4AAACFAQAAEwAAAAAAAAAA&#10;AAAAAAAAAAAAW0NvbnRlbnRfVHlwZXNdLnhtbFBLAQItABQABgAIAAAAIQBa9CxbvwAAABUBAAAL&#10;AAAAAAAAAAAAAAAAAB8BAABfcmVscy8ucmVsc1BLAQItABQABgAIAAAAIQD6sbWGxQAAAN4AAAAP&#10;AAAAAAAAAAAAAAAAAAcCAABkcnMvZG93bnJldi54bWxQSwUGAAAAAAMAAwC3AAAA+QIAAAAA&#10;" filled="f" stroked="f">
                  <v:textbox inset="0,0,0,0">
                    <w:txbxContent>
                      <w:p w14:paraId="5DB23924" w14:textId="77777777" w:rsidR="00B32EF2" w:rsidRDefault="00000000">
                        <w:r>
                          <w:rPr>
                            <w:rFonts w:ascii="Arial" w:eastAsia="Arial" w:hAnsi="Arial" w:cs="Arial"/>
                            <w:sz w:val="18"/>
                          </w:rPr>
                          <w:t xml:space="preserve">Repubblica 29 settembre 1973, n. 600, nonché per l’omissione o l’insufficienza </w:t>
                        </w:r>
                      </w:p>
                    </w:txbxContent>
                  </v:textbox>
                </v:rect>
                <v:rect id="Rectangle 18794" o:spid="_x0000_s4101" style="position:absolute;left:-13172;top:266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C3yxQAAAN4AAAAPAAAAZHJzL2Rvd25yZXYueG1sRE9Na8JA&#10;EL0L/odlhN50o5Q2ja4iipiDl1oLHofsmKTNzi7Z1cT+erdQ6G0e73MWq9404katry0rmE4SEMSF&#10;1TWXCk4fu3EKwgdkjY1lUnAnD6vlcLDATNuO3+l2DKWIIewzVFCF4DIpfVGRQT+xjjhyF9saDBG2&#10;pdQtdjHcNHKWJC/SYM2xoUJHm4qK7+PVKDhv2eW7ThaXn407fOVps7+ePpV6GvXrOYhAffgX/7lz&#10;Heenr2/P8PtOvEEuHwAAAP//AwBQSwECLQAUAAYACAAAACEA2+H2y+4AAACFAQAAEwAAAAAAAAAA&#10;AAAAAAAAAAAAW0NvbnRlbnRfVHlwZXNdLnhtbFBLAQItABQABgAIAAAAIQBa9CxbvwAAABUBAAAL&#10;AAAAAAAAAAAAAAAAAB8BAABfcmVscy8ucmVsc1BLAQItABQABgAIAAAAIQB1WC3yxQAAAN4AAAAP&#10;AAAAAAAAAAAAAAAAAAcCAABkcnMvZG93bnJldi54bWxQSwUGAAAAAAMAAwC3AAAA+QIAAAAA&#10;" filled="f" stroked="f">
                  <v:textbox inset="0,0,0,0">
                    <w:txbxContent>
                      <w:p w14:paraId="531963C2" w14:textId="77777777" w:rsidR="00B32EF2" w:rsidRDefault="00000000">
                        <w:r>
                          <w:rPr>
                            <w:rFonts w:ascii="Arial" w:eastAsia="Arial" w:hAnsi="Arial" w:cs="Arial"/>
                            <w:sz w:val="18"/>
                          </w:rPr>
                          <w:t xml:space="preserve">delle indicazioni prescritte negli articoli 56 e 57, comma 4, del decreto del </w:t>
                        </w:r>
                      </w:p>
                    </w:txbxContent>
                  </v:textbox>
                </v:rect>
                <v:rect id="Rectangle 18795" o:spid="_x0000_s4102" style="position:absolute;left:-13171;top:25434;width:5308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IhpxQAAAN4AAAAPAAAAZHJzL2Rvd25yZXYueG1sRE9Na8JA&#10;EL0L/odlhN50o9A2ja4iipiDl1oLHofsmKTNzi7Z1cT+erdQ6G0e73MWq9404katry0rmE4SEMSF&#10;1TWXCk4fu3EKwgdkjY1lUnAnD6vlcLDATNuO3+l2DKWIIewzVFCF4DIpfVGRQT+xjjhyF9saDBG2&#10;pdQtdjHcNHKWJC/SYM2xoUJHm4qK7+PVKDhv2eW7ThaXn407fOVps7+ePpV6GvXrOYhAffgX/7lz&#10;Heenr2/P8PtOvEEuHwAAAP//AwBQSwECLQAUAAYACAAAACEA2+H2y+4AAACFAQAAEwAAAAAAAAAA&#10;AAAAAAAAAAAAW0NvbnRlbnRfVHlwZXNdLnhtbFBLAQItABQABgAIAAAAIQBa9CxbvwAAABUBAAAL&#10;AAAAAAAAAAAAAAAAAB8BAABfcmVscy8ucmVsc1BLAQItABQABgAIAAAAIQAaFIhpxQAAAN4AAAAP&#10;AAAAAAAAAAAAAAAAAAcCAABkcnMvZG93bnJldi54bWxQSwUGAAAAAAMAAwC3AAAA+QIAAAAA&#10;" filled="f" stroked="f">
                  <v:textbox inset="0,0,0,0">
                    <w:txbxContent>
                      <w:p w14:paraId="0B225A75" w14:textId="77777777" w:rsidR="00B32EF2" w:rsidRDefault="00000000">
                        <w:r>
                          <w:rPr>
                            <w:rFonts w:ascii="Arial" w:eastAsia="Arial" w:hAnsi="Arial" w:cs="Arial"/>
                            <w:sz w:val="18"/>
                          </w:rPr>
                          <w:t xml:space="preserve">Presidente della Repubblica 26 ottobre 1972, n. 633 e, in genere per difetto di </w:t>
                        </w:r>
                      </w:p>
                    </w:txbxContent>
                  </v:textbox>
                </v:rect>
                <v:rect id="Rectangle 18796" o:spid="_x0000_s4103" style="position:absolute;left:-9030;top:24200;width:489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hYexAAAAN4AAAAPAAAAZHJzL2Rvd25yZXYueG1sRE9Na8JA&#10;EL0X/A/LCN7qxh5sGl1FFGkOXmoVPA7ZMYlmZ5fsaqK/vlso9DaP9znzZW8acafW15YVTMYJCOLC&#10;6ppLBYfv7WsKwgdkjY1lUvAgD8vF4GWOmbYdf9F9H0oRQ9hnqKAKwWVS+qIig35sHXHkzrY1GCJs&#10;S6lb7GK4aeRbkkylwZpjQ4WO1hUV1/3NKDht2OXbThbn59rtLnnafN4OR6VGw341AxGoD//iP3eu&#10;4/z0/WMKv+/EG+TiBwAA//8DAFBLAQItABQABgAIAAAAIQDb4fbL7gAAAIUBAAATAAAAAAAAAAAA&#10;AAAAAAAAAABbQ29udGVudF9UeXBlc10ueG1sUEsBAi0AFAAGAAgAAAAhAFr0LFu/AAAAFQEAAAsA&#10;AAAAAAAAAAAAAAAAHwEAAF9yZWxzLy5yZWxzUEsBAi0AFAAGAAgAAAAhAOrGFh7EAAAA3gAAAA8A&#10;AAAAAAAAAAAAAAAABwIAAGRycy9kb3ducmV2LnhtbFBLBQYAAAAAAwADALcAAAD4AgAAAAA=&#10;" filled="f" stroked="f">
                  <v:textbox inset="0,0,0,0">
                    <w:txbxContent>
                      <w:p w14:paraId="31D92DAD" w14:textId="77777777" w:rsidR="00B32EF2" w:rsidRDefault="00000000">
                        <w:r>
                          <w:rPr>
                            <w:rFonts w:ascii="Arial" w:eastAsia="Arial" w:hAnsi="Arial" w:cs="Arial"/>
                            <w:sz w:val="18"/>
                          </w:rPr>
                          <w:t>motivazione, deve essere eccepita a pena di decadenza in primo grado.</w:t>
                        </w:r>
                      </w:p>
                    </w:txbxContent>
                  </v:textbox>
                </v:rect>
                <v:shape id="Shape 207956" o:spid="_x0000_s4104" style="position:absolute;left:317;top:3292;width:39600;height:20843;visibility:visible;mso-wrap-style:square;v-text-anchor:top" coordsize="3960000,208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ST5yAAAAN8AAAAPAAAAZHJzL2Rvd25yZXYueG1sRI9Ba8JA&#10;EIXvQv/DMgVvujGgrdFVimKpXkqsqMchO2ZDs7Mhu2r8991CocfHm/e9efNlZ2txo9ZXjhWMhgkI&#10;4sLpiksFh6/N4BWED8gaa8ek4EEeloun3hwz7e6c020fShEh7DNUYEJoMil9YciiH7qGOHoX11oM&#10;Ubal1C3eI9zWMk2SibRYcWww2NDKUPG9v9r4Rr4+BfP5jsddvjkX28c29buxUv3n7m0GIlAX/o//&#10;0h9aQZq8TMcT+N0TISAXPwAAAP//AwBQSwECLQAUAAYACAAAACEA2+H2y+4AAACFAQAAEwAAAAAA&#10;AAAAAAAAAAAAAAAAW0NvbnRlbnRfVHlwZXNdLnhtbFBLAQItABQABgAIAAAAIQBa9CxbvwAAABUB&#10;AAALAAAAAAAAAAAAAAAAAB8BAABfcmVscy8ucmVsc1BLAQItABQABgAIAAAAIQAXJST5yAAAAN8A&#10;AAAPAAAAAAAAAAAAAAAAAAcCAABkcnMvZG93bnJldi54bWxQSwUGAAAAAAMAAwC3AAAA/AIAAAAA&#10;" path="m,l3960000,r,2084298l,2084298,,e" fillcolor="#c3c3c3" stroked="f" strokeweight="0">
                  <v:stroke miterlimit="83231f" joinstyle="miter"/>
                  <v:path arrowok="t" textboxrect="0,0,3960000,2084298"/>
                </v:shape>
                <v:rect id="Rectangle 18798" o:spid="_x0000_s4105" style="position:absolute;left:23287;top:2192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Sf3yAAAAN4AAAAPAAAAZHJzL2Rvd25yZXYueG1sRI9PT8Mw&#10;DMXvSHyHyEjcWAoH6MqyCQ1N9MBlf5A4Wo3XFhonarK126efD5N2s/We3/t5thhdp47Ux9azgedJ&#10;Boq48rbl2sBuu3rKQcWEbLHzTAZOFGExv7+bYWH9wGs6blKtJIRjgQaalEKhdawachgnPhCLtve9&#10;wyRrX2vb4yDhrtMvWfaqHbYsDQ0GWjZU/W8OzsDvJ4dyNehqf16G778y774Oux9jHh/Gj3dQicZ0&#10;M1+vSyv4+dtUeOUdmUHPLwAAAP//AwBQSwECLQAUAAYACAAAACEA2+H2y+4AAACFAQAAEwAAAAAA&#10;AAAAAAAAAAAAAAAAW0NvbnRlbnRfVHlwZXNdLnhtbFBLAQItABQABgAIAAAAIQBa9CxbvwAAABUB&#10;AAALAAAAAAAAAAAAAAAAAB8BAABfcmVscy8ucmVsc1BLAQItABQABgAIAAAAIQD0FSf3yAAAAN4A&#10;AAAPAAAAAAAAAAAAAAAAAAcCAABkcnMvZG93bnJldi54bWxQSwUGAAAAAAMAAwC3AAAA/AIAAAAA&#10;" filled="f" stroked="f">
                  <v:textbox inset="0,0,0,0">
                    <w:txbxContent>
                      <w:p w14:paraId="4558E061" w14:textId="77777777" w:rsidR="00B32EF2" w:rsidRDefault="00000000">
                        <w:r>
                          <w:rPr>
                            <w:rFonts w:ascii="Arial" w:eastAsia="Arial" w:hAnsi="Arial" w:cs="Arial"/>
                            <w:b/>
                            <w:i/>
                            <w:sz w:val="18"/>
                          </w:rPr>
                          <w:t>NORME RICHIAMATE</w:t>
                        </w:r>
                      </w:p>
                    </w:txbxContent>
                  </v:textbox>
                </v:rect>
                <v:rect id="Rectangle 18799" o:spid="_x0000_s4106" style="position:absolute;left:9881;top:20615;width:2925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YJsxQAAAN4AAAAPAAAAZHJzL2Rvd25yZXYueG1sRE9La8JA&#10;EL4X+h+WEbzVjR40pq5SLGIOXnwUehyyY5I2O7tkVxP99W6h4G0+vucsVr1pxJVaX1tWMB4lIIgL&#10;q2suFZyOm7cUhA/IGhvLpOBGHlbL15cFZtp2vKfrIZQihrDPUEEVgsuk9EVFBv3IOuLInW1rMETY&#10;llK32MVw08hJkkylwZpjQ4WO1hUVv4eLUfD9yS7fdLI439du95OnzfZy+lJqOOg/3kEE6sNT/O/O&#10;dZyfzuZz+Hsn3iCXDwAAAP//AwBQSwECLQAUAAYACAAAACEA2+H2y+4AAACFAQAAEwAAAAAAAAAA&#10;AAAAAAAAAAAAW0NvbnRlbnRfVHlwZXNdLnhtbFBLAQItABQABgAIAAAAIQBa9CxbvwAAABUBAAAL&#10;AAAAAAAAAAAAAAAAAB8BAABfcmVscy8ucmVsc1BLAQItABQABgAIAAAAIQCbWYJsxQAAAN4AAAAP&#10;AAAAAAAAAAAAAAAAAAcCAABkcnMvZG93bnJldi54bWxQSwUGAAAAAAMAAwC3AAAA+QIAAAAA&#10;" filled="f" stroked="f">
                  <v:textbox inset="0,0,0,0">
                    <w:txbxContent>
                      <w:p w14:paraId="3383B775" w14:textId="77777777" w:rsidR="00B32EF2" w:rsidRDefault="00000000">
                        <w:r>
                          <w:rPr>
                            <w:rFonts w:ascii="Arial" w:eastAsia="Arial" w:hAnsi="Arial" w:cs="Arial"/>
                            <w:i/>
                            <w:sz w:val="18"/>
                          </w:rPr>
                          <w:t>art. 77 dpr. 602/1973 “Iscrizione di ipoteca”</w:t>
                        </w:r>
                      </w:p>
                    </w:txbxContent>
                  </v:textbox>
                </v:rect>
                <v:rect id="Rectangle 18800" o:spid="_x0000_s4107" style="position:absolute;left:2700;top:19307;width:364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SogxwAAAN4AAAAPAAAAZHJzL2Rvd25yZXYueG1sRI9Pb8Iw&#10;DMXvk/YdIk/iNtLtgKqOgBATWg9c+DNpR6sxbUfjRE2ghU8/HyZxs+Xn995vvhxdp67Ux9azgbdp&#10;Boq48rbl2sDxsHnNQcWEbLHzTAZuFGG5eH6aY2H9wDu67lOtxIRjgQaalEKhdawachinPhDL7eR7&#10;h0nWvta2x0HMXaffs2ymHbYsCQ0GWjdUnfcXZ+Dnk0O5GXR1uq/D9rfMu6/L8duYycu4+gCVaEwP&#10;8f93aaV+nmcCIDgyg178AQAA//8DAFBLAQItABQABgAIAAAAIQDb4fbL7gAAAIUBAAATAAAAAAAA&#10;AAAAAAAAAAAAAABbQ29udGVudF9UeXBlc10ueG1sUEsBAi0AFAAGAAgAAAAhAFr0LFu/AAAAFQEA&#10;AAsAAAAAAAAAAAAAAAAAHwEAAF9yZWxzLy5yZWxzUEsBAi0AFAAGAAgAAAAhABTdKiDHAAAA3gAA&#10;AA8AAAAAAAAAAAAAAAAABwIAAGRycy9kb3ducmV2LnhtbFBLBQYAAAAAAwADALcAAAD7AgAAAAA=&#10;" filled="f" stroked="f">
                  <v:textbox inset="0,0,0,0">
                    <w:txbxContent>
                      <w:p w14:paraId="3088D267" w14:textId="77777777" w:rsidR="00B32EF2" w:rsidRDefault="00000000">
                        <w:r>
                          <w:rPr>
                            <w:rFonts w:ascii="Arial" w:eastAsia="Arial" w:hAnsi="Arial" w:cs="Arial"/>
                            <w:i/>
                            <w:sz w:val="18"/>
                          </w:rPr>
                          <w:t xml:space="preserve">art. 86 dpr. 602/1973 “Fermo di beni mobili registrati” </w:t>
                        </w:r>
                      </w:p>
                    </w:txbxContent>
                  </v:textbox>
                </v:rect>
                <v:rect id="Rectangle 18801" o:spid="_x0000_s4108" style="position:absolute;left:9141;top:17999;width:299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Y+7wwAAAN4AAAAPAAAAZHJzL2Rvd25yZXYueG1sRE9Ni8Iw&#10;EL0L+x/CLOxNUz0spRpFXGR78KKr4HFoxrbaTEITbfXXG0HY2zze58wWvWnEjVpfW1YwHiUgiAur&#10;ay4V7P/WwxSED8gaG8uk4E4eFvOPwQwzbTve0m0XShFD2GeooArBZVL6oiKDfmQdceROtjUYImxL&#10;qVvsYrhp5CRJvqXBmmNDhY5WFRWX3dUoOP6wy9edLE6Plduc87T5ve4PSn199sspiEB9+Be/3bmO&#10;89M0GcPrnXiDnD8BAAD//wMAUEsBAi0AFAAGAAgAAAAhANvh9svuAAAAhQEAABMAAAAAAAAAAAAA&#10;AAAAAAAAAFtDb250ZW50X1R5cGVzXS54bWxQSwECLQAUAAYACAAAACEAWvQsW78AAAAVAQAACwAA&#10;AAAAAAAAAAAAAAAfAQAAX3JlbHMvLnJlbHNQSwECLQAUAAYACAAAACEAe5GPu8MAAADeAAAADwAA&#10;AAAAAAAAAAAAAAAHAgAAZHJzL2Rvd25yZXYueG1sUEsFBgAAAAADAAMAtwAAAPcCAAAAAA==&#10;" filled="f" stroked="f">
                  <v:textbox inset="0,0,0,0">
                    <w:txbxContent>
                      <w:p w14:paraId="70688226" w14:textId="77777777" w:rsidR="00B32EF2" w:rsidRDefault="00000000">
                        <w:r>
                          <w:rPr>
                            <w:rFonts w:ascii="Arial" w:eastAsia="Arial" w:hAnsi="Arial" w:cs="Arial"/>
                            <w:i/>
                            <w:sz w:val="18"/>
                          </w:rPr>
                          <w:t>art. 42 dpr. 600/73 “Avviso di accertamento”</w:t>
                        </w:r>
                      </w:p>
                    </w:txbxContent>
                  </v:textbox>
                </v:rect>
                <v:rect id="Rectangle 18802" o:spid="_x0000_s4109" style="position:absolute;left:6319;top:16692;width:328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HMwwAAAN4AAAAPAAAAZHJzL2Rvd25yZXYueG1sRE9Ni8Iw&#10;EL0v+B/CCN7WVA9SqlFEEXvwsurCHodmbKvNJDTRVn/9ZmHB2zze5yxWvWnEg1pfW1YwGScgiAur&#10;ay4VnE+7zxSED8gaG8uk4EkeVsvBxwIzbTv+oscxlCKGsM9QQRWCy6T0RUUG/dg64shdbGswRNiW&#10;UrfYxXDTyGmSzKTBmmNDhY42FRW3490o+Nmyy3edLC6vjTtc87TZ38/fSo2G/XoOIlAf3uJ/d67j&#10;/DRNpvD3TrxBLn8BAAD//wMAUEsBAi0AFAAGAAgAAAAhANvh9svuAAAAhQEAABMAAAAAAAAAAAAA&#10;AAAAAAAAAFtDb250ZW50X1R5cGVzXS54bWxQSwECLQAUAAYACAAAACEAWvQsW78AAAAVAQAACwAA&#10;AAAAAAAAAAAAAAAfAQAAX3JlbHMvLnJlbHNQSwECLQAUAAYACAAAACEAi0MRzMMAAADeAAAADwAA&#10;AAAAAAAAAAAAAAAHAgAAZHJzL2Rvd25yZXYueG1sUEsFBgAAAAADAAMAtwAAAPcCAAAAAA==&#10;" filled="f" stroked="f">
                  <v:textbox inset="0,0,0,0">
                    <w:txbxContent>
                      <w:p w14:paraId="201AD12A" w14:textId="77777777" w:rsidR="00B32EF2" w:rsidRDefault="00000000">
                        <w:r>
                          <w:rPr>
                            <w:rFonts w:ascii="Arial" w:eastAsia="Arial" w:hAnsi="Arial" w:cs="Arial"/>
                            <w:i/>
                            <w:sz w:val="18"/>
                          </w:rPr>
                          <w:t>art. 43 dpr. 600/73 “Termine per l’accertamento”</w:t>
                        </w:r>
                      </w:p>
                    </w:txbxContent>
                  </v:textbox>
                </v:rect>
                <v:rect id="Rectangle 18803" o:spid="_x0000_s4110" style="position:absolute;left:-7101;top:15384;width:462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7RXxAAAAN4AAAAPAAAAZHJzL2Rvd25yZXYueG1sRE9La8JA&#10;EL4X/A/LCN7qxgolRDciijQHL7UWehyyk4dmZ5fsamJ/fbdQ6G0+vuesN6PpxJ1631pWsJgnIIhL&#10;q1uuFZw/Ds8pCB+QNXaWScGDPGzyydMaM20Hfqf7KdQihrDPUEETgsuk9GVDBv3cOuLIVbY3GCLs&#10;a6l7HGK46eRLkrxKgy3HhgYd7Roqr6ebUfC1Z1ccBllW3zt3vBRp93Y7fyo1m47bFYhAY/gX/7kL&#10;HeenabKE33fiDTL/AQAA//8DAFBLAQItABQABgAIAAAAIQDb4fbL7gAAAIUBAAATAAAAAAAAAAAA&#10;AAAAAAAAAABbQ29udGVudF9UeXBlc10ueG1sUEsBAi0AFAAGAAgAAAAhAFr0LFu/AAAAFQEAAAsA&#10;AAAAAAAAAAAAAAAAHwEAAF9yZWxzLy5yZWxzUEsBAi0AFAAGAAgAAAAhAOQPtFfEAAAA3gAAAA8A&#10;AAAAAAAAAAAAAAAABwIAAGRycy9kb3ducmV2LnhtbFBLBQYAAAAAAwADALcAAAD4AgAAAAA=&#10;" filled="f" stroked="f">
                  <v:textbox inset="0,0,0,0">
                    <w:txbxContent>
                      <w:p w14:paraId="35A24000" w14:textId="77777777" w:rsidR="00B32EF2" w:rsidRDefault="00000000">
                        <w:r>
                          <w:rPr>
                            <w:rFonts w:ascii="Arial" w:eastAsia="Arial" w:hAnsi="Arial" w:cs="Arial"/>
                            <w:i/>
                            <w:sz w:val="18"/>
                          </w:rPr>
                          <w:t>art. 56 dpr. 633/72 “Notificazione e motivazione degli accertamenti.”</w:t>
                        </w:r>
                      </w:p>
                    </w:txbxContent>
                  </v:textbox>
                </v:rect>
                <v:rect id="Rectangle 18804" o:spid="_x0000_s4111" style="position:absolute;left:5513;top:14077;width:3362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iwjxAAAAN4AAAAPAAAAZHJzL2Rvd25yZXYueG1sRE9La8JA&#10;EL4X/A/LCN7qxiIlRDciijQHL7UWehyyk4dmZ5fsamJ/fbdQ6G0+vuesN6PpxJ1631pWsJgnIIhL&#10;q1uuFZw/Ds8pCB+QNXaWScGDPGzyydMaM20Hfqf7KdQihrDPUEETgsuk9GVDBv3cOuLIVbY3GCLs&#10;a6l7HGK46eRLkrxKgy3HhgYd7Roqr6ebUfC1Z1ccBllW3zt3vBRp93Y7fyo1m47bFYhAY/gX/7kL&#10;HeenabKE33fiDTL/AQAA//8DAFBLAQItABQABgAIAAAAIQDb4fbL7gAAAIUBAAATAAAAAAAAAAAA&#10;AAAAAAAAAABbQ29udGVudF9UeXBlc10ueG1sUEsBAi0AFAAGAAgAAAAhAFr0LFu/AAAAFQEAAAsA&#10;AAAAAAAAAAAAAAAAHwEAAF9yZWxzLy5yZWxzUEsBAi0AFAAGAAgAAAAhAGvmLCPEAAAA3gAAAA8A&#10;AAAAAAAAAAAAAAAABwIAAGRycy9kb3ducmV2LnhtbFBLBQYAAAAAAwADALcAAAD4AgAAAAA=&#10;" filled="f" stroked="f">
                  <v:textbox inset="0,0,0,0">
                    <w:txbxContent>
                      <w:p w14:paraId="7C44E3B0" w14:textId="77777777" w:rsidR="00B32EF2" w:rsidRDefault="00000000">
                        <w:r>
                          <w:rPr>
                            <w:rFonts w:ascii="Arial" w:eastAsia="Arial" w:hAnsi="Arial" w:cs="Arial"/>
                            <w:i/>
                            <w:sz w:val="18"/>
                          </w:rPr>
                          <w:t>art. 57 dpr. 633/72 “Termine per gli accertamenti”</w:t>
                        </w:r>
                      </w:p>
                    </w:txbxContent>
                  </v:textbox>
                </v:rect>
                <v:rect id="Rectangle 18805" o:spid="_x0000_s4112" style="position:absolute;left:-11003;top:12769;width:501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om4xAAAAN4AAAAPAAAAZHJzL2Rvd25yZXYueG1sRE9La8JA&#10;EL4X/A/LCN7qxoIlRDciijQHL7UWehyyk4dmZ5fsamJ/fbdQ6G0+vuesN6PpxJ1631pWsJgnIIhL&#10;q1uuFZw/Ds8pCB+QNXaWScGDPGzyydMaM20Hfqf7KdQihrDPUEETgsuk9GVDBv3cOuLIVbY3GCLs&#10;a6l7HGK46eRLkrxKgy3HhgYd7Roqr6ebUfC1Z1ccBllW3zt3vBRp93Y7fyo1m47bFYhAY/gX/7kL&#10;HeenabKE33fiDTL/AQAA//8DAFBLAQItABQABgAIAAAAIQDb4fbL7gAAAIUBAAATAAAAAAAAAAAA&#10;AAAAAAAAAABbQ29udGVudF9UeXBlc10ueG1sUEsBAi0AFAAGAAgAAAAhAFr0LFu/AAAAFQEAAAsA&#10;AAAAAAAAAAAAAAAAHwEAAF9yZWxzLy5yZWxzUEsBAi0AFAAGAAgAAAAhAASqibjEAAAA3gAAAA8A&#10;AAAAAAAAAAAAAAAABwIAAGRycy9kb3ducmV2LnhtbFBLBQYAAAAAAwADALcAAAD4AgAAAAA=&#10;" filled="f" stroked="f">
                  <v:textbox inset="0,0,0,0">
                    <w:txbxContent>
                      <w:p w14:paraId="1BB4CD2C" w14:textId="77777777" w:rsidR="00B32EF2" w:rsidRDefault="00000000">
                        <w:r>
                          <w:rPr>
                            <w:rFonts w:ascii="Arial" w:eastAsia="Arial" w:hAnsi="Arial" w:cs="Arial"/>
                            <w:i/>
                            <w:sz w:val="18"/>
                          </w:rPr>
                          <w:t>art. 10-quater L. 212/2000 “Esercizio del potere di autotutela obbligatoria”</w:t>
                        </w:r>
                      </w:p>
                    </w:txbxContent>
                  </v:textbox>
                </v:rect>
                <v:rect id="Rectangle 201019" o:spid="_x0000_s4113" style="position:absolute;left:25843;top:11461;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gWOxwAAAN8AAAAPAAAAZHJzL2Rvd25yZXYueG1sRI9BawIx&#10;FITvQv9DeIXeNFkPRbdGEYt0D71ULfT42Dx3t25ewia6W3+9KQgeh5n5hlmsBtuKC3WhcawhmygQ&#10;xKUzDVcaDvvteAYiRGSDrWPS8EcBVsun0QJz43r+ossuViJBOOSooY7R51KGsiaLYeI8cfKOrrMY&#10;k+wqaTrsE9y2cqrUq7TYcFqo0dOmpvK0O1sNP+/si20vy+N14z9/i1n7cT58a/3yPKzfQEQa4iN8&#10;bxdGw1RlKpvD/5/0BeTyBgAA//8DAFBLAQItABQABgAIAAAAIQDb4fbL7gAAAIUBAAATAAAAAAAA&#10;AAAAAAAAAAAAAABbQ29udGVudF9UeXBlc10ueG1sUEsBAi0AFAAGAAgAAAAhAFr0LFu/AAAAFQEA&#10;AAsAAAAAAAAAAAAAAAAAHwEAAF9yZWxzLy5yZWxzUEsBAi0AFAAGAAgAAAAhAKNWBY7HAAAA3wAA&#10;AA8AAAAAAAAAAAAAAAAABwIAAGRycy9kb3ducmV2LnhtbFBLBQYAAAAAAwADALcAAAD7AgAAAAA=&#10;" filled="f" stroked="f">
                  <v:textbox inset="0,0,0,0">
                    <w:txbxContent>
                      <w:p w14:paraId="7F51205C" w14:textId="77777777" w:rsidR="00B32EF2" w:rsidRDefault="00000000">
                        <w:r>
                          <w:rPr>
                            <w:rFonts w:ascii="Arial" w:eastAsia="Arial" w:hAnsi="Arial" w:cs="Arial"/>
                            <w:i/>
                            <w:sz w:val="18"/>
                          </w:rPr>
                          <w:t>1</w:t>
                        </w:r>
                      </w:p>
                    </w:txbxContent>
                  </v:textbox>
                </v:rect>
                <v:rect id="Rectangle 201020" o:spid="_x0000_s4114" style="position:absolute;left:-12466;top:11461;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GauxQAAAN8AAAAPAAAAZHJzL2Rvd25yZXYueG1sRI/NisIw&#10;FIX3A75DuIK7MbGLQapRRBG7mI2OA7O8NNe22tyEJtrq008WA7M8nD++5XqwrXhQFxrHGmZTBYK4&#10;dKbhSsP5a/8+BxEissHWMWl4UoD1avS2xNy4no/0OMVKpBEOOWqoY/S5lKGsyWKYOk+cvIvrLMYk&#10;u0qaDvs0bluZKfUhLTacHmr0tK2pvJ3uVsPPjn2x72V5eW3957WYt4f7+VvryXjYLEBEGuJ/+K9d&#10;GA2ZmqksESSexAJy9QsAAP//AwBQSwECLQAUAAYACAAAACEA2+H2y+4AAACFAQAAEwAAAAAAAAAA&#10;AAAAAAAAAAAAW0NvbnRlbnRfVHlwZXNdLnhtbFBLAQItABQABgAIAAAAIQBa9CxbvwAAABUBAAAL&#10;AAAAAAAAAAAAAAAAAB8BAABfcmVscy8ucmVsc1BLAQItABQABgAIAAAAIQD8AGauxQAAAN8AAAAP&#10;AAAAAAAAAAAAAAAAAAcCAABkcnMvZG93bnJldi54bWxQSwUGAAAAAAMAAwC3AAAA+QIAAAAA&#10;" filled="f" stroked="f">
                  <v:textbox inset="0,0,0,0">
                    <w:txbxContent>
                      <w:p w14:paraId="2A5B388B" w14:textId="77777777" w:rsidR="00B32EF2" w:rsidRDefault="00000000">
                        <w:r>
                          <w:rPr>
                            <w:rFonts w:ascii="Arial" w:eastAsia="Arial" w:hAnsi="Arial" w:cs="Arial"/>
                            <w:i/>
                            <w:sz w:val="18"/>
                          </w:rPr>
                          <w:t xml:space="preserve">.L’amministrazione finanziaria procede in tutto o in parte all’annullamento </w:t>
                        </w:r>
                      </w:p>
                    </w:txbxContent>
                  </v:textbox>
                </v:rect>
                <v:rect id="Rectangle 18807" o:spid="_x0000_s4115" style="position:absolute;left:-11893;top:10154;width:510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LJUxAAAAN4AAAAPAAAAZHJzL2Rvd25yZXYueG1sRE9La8JA&#10;EL4X/A/LCN7qxh5siG5EFGkOXmot9DhkJw/Nzi7Z1cT++m6h0Nt8fM9Zb0bTiTv1vrWsYDFPQBCX&#10;VrdcKzh/HJ5TED4ga+wsk4IHedjkk6c1ZtoO/E73U6hFDGGfoYImBJdJ6cuGDPq5dcSRq2xvMETY&#10;11L3OMRw08mXJFlKgy3HhgYd7Roqr6ebUfC1Z1ccBllW3zt3vBRp93Y7fyo1m47bFYhAY/gX/7kL&#10;HeenafIKv+/EG2T+AwAA//8DAFBLAQItABQABgAIAAAAIQDb4fbL7gAAAIUBAAATAAAAAAAAAAAA&#10;AAAAAAAAAABbQ29udGVudF9UeXBlc10ueG1sUEsBAi0AFAAGAAgAAAAhAFr0LFu/AAAAFQEAAAsA&#10;AAAAAAAAAAAAAAAAHwEAAF9yZWxzLy5yZWxzUEsBAi0AFAAGAAgAAAAhAJs0slTEAAAA3gAAAA8A&#10;AAAAAAAAAAAAAAAABwIAAGRycy9kb3ducmV2LnhtbFBLBQYAAAAAAwADALcAAAD4AgAAAAA=&#10;" filled="f" stroked="f">
                  <v:textbox inset="0,0,0,0">
                    <w:txbxContent>
                      <w:p w14:paraId="52D14016" w14:textId="77777777" w:rsidR="00B32EF2" w:rsidRDefault="00000000">
                        <w:r>
                          <w:rPr>
                            <w:rFonts w:ascii="Arial" w:eastAsia="Arial" w:hAnsi="Arial" w:cs="Arial"/>
                            <w:i/>
                            <w:sz w:val="18"/>
                          </w:rPr>
                          <w:t xml:space="preserve">di atti di imposizione ovvero alla rinuncia all’imposizione, senza necessità </w:t>
                        </w:r>
                      </w:p>
                    </w:txbxContent>
                  </v:textbox>
                </v:rect>
                <v:rect id="Rectangle 18808" o:spid="_x0000_s4116" style="position:absolute;left:-11873;top:8846;width:510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yYmxwAAAN4AAAAPAAAAZHJzL2Rvd25yZXYueG1sRI9Pb8Iw&#10;DMXvk/YdIk/iNtLtgKqOgBATWg9c+DNpR6sxbUfjRE2ghU8/HyZxs/We3/t5vhxdp67Ux9azgbdp&#10;Boq48rbl2sDxsHnNQcWEbLHzTAZuFGG5eH6aY2H9wDu67lOtJIRjgQaalEKhdawachinPhCLdvK9&#10;wyRrX2vb4yDhrtPvWTbTDluWhgYDrRuqzvuLM/DzyaHcDLo63ddh+1vm3dfl+G3M5GVcfYBKNKaH&#10;+f+6tIKf55nwyjsyg178AQAA//8DAFBLAQItABQABgAIAAAAIQDb4fbL7gAAAIUBAAATAAAAAAAA&#10;AAAAAAAAAAAAAABbQ29udGVudF9UeXBlc10ueG1sUEsBAi0AFAAGAAgAAAAhAFr0LFu/AAAAFQEA&#10;AAsAAAAAAAAAAAAAAAAAHwEAAF9yZWxzLy5yZWxzUEsBAi0AFAAGAAgAAAAhAOqrJibHAAAA3gAA&#10;AA8AAAAAAAAAAAAAAAAABwIAAGRycy9kb3ducmV2LnhtbFBLBQYAAAAAAwADALcAAAD7AgAAAAA=&#10;" filled="f" stroked="f">
                  <v:textbox inset="0,0,0,0">
                    <w:txbxContent>
                      <w:p w14:paraId="16EB5B60" w14:textId="77777777" w:rsidR="00B32EF2" w:rsidRDefault="00000000">
                        <w:r>
                          <w:rPr>
                            <w:rFonts w:ascii="Arial" w:eastAsia="Arial" w:hAnsi="Arial" w:cs="Arial"/>
                            <w:i/>
                            <w:sz w:val="18"/>
                          </w:rPr>
                          <w:t xml:space="preserve">di istanza di parte, anche in pendenza di giudizio o in caso di atti definitivi, </w:t>
                        </w:r>
                      </w:p>
                    </w:txbxContent>
                  </v:textbox>
                </v:rect>
                <v:rect id="Rectangle 18809" o:spid="_x0000_s4117" style="position:absolute;left:-7427;top:7539;width:465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4O9xQAAAN4AAAAPAAAAZHJzL2Rvd25yZXYueG1sRE9La8JA&#10;EL4X/A/LCN7qRg+Spm6kKGIOXmpT6HHITh5tdnbJrib213cLhd7m43vOdjeZXtxo8J1lBatlAoK4&#10;srrjRkH5dnxMQfiArLG3TAru5GGXzx62mGk78ivdLqERMYR9hgraEFwmpa9aMuiX1hFHrraDwRDh&#10;0Eg94BjDTS/XSbKRBjuODS062rdUfV2uRsHHgV1xHGVVf+/d+bNI+9O1fFdqMZ9enkEEmsK/+M9d&#10;6Dg/TZMn+H0n3iDzHwAAAP//AwBQSwECLQAUAAYACAAAACEA2+H2y+4AAACFAQAAEwAAAAAAAAAA&#10;AAAAAAAAAAAAW0NvbnRlbnRfVHlwZXNdLnhtbFBLAQItABQABgAIAAAAIQBa9CxbvwAAABUBAAAL&#10;AAAAAAAAAAAAAAAAAB8BAABfcmVscy8ucmVsc1BLAQItABQABgAIAAAAIQCF54O9xQAAAN4AAAAP&#10;AAAAAAAAAAAAAAAAAAcCAABkcnMvZG93bnJldi54bWxQSwUGAAAAAAMAAwC3AAAA+QIAAAAA&#10;" filled="f" stroked="f">
                  <v:textbox inset="0,0,0,0">
                    <w:txbxContent>
                      <w:p w14:paraId="1F7C5BE1" w14:textId="77777777" w:rsidR="00B32EF2" w:rsidRDefault="00000000">
                        <w:r>
                          <w:rPr>
                            <w:rFonts w:ascii="Arial" w:eastAsia="Arial" w:hAnsi="Arial" w:cs="Arial"/>
                            <w:i/>
                            <w:sz w:val="18"/>
                          </w:rPr>
                          <w:t>nei seguenti casi di manifesta illegittimità dell’atto o dell’imposizione:</w:t>
                        </w:r>
                      </w:p>
                    </w:txbxContent>
                  </v:textbox>
                </v:rect>
                <v:rect id="Rectangle 18810" o:spid="_x0000_s4118" style="position:absolute;left:25243;top:6231;width:138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z9xwAAAN4AAAAPAAAAZHJzL2Rvd25yZXYueG1sRI9Pa8Mw&#10;DMXvg30Ho8Fuq9MdSsjqltFRlkMv/Qc7ilhNssWyid0m66evDoXeJPT03vvNl6Pr1IX62Ho2MJ1k&#10;oIgrb1uuDRz267ccVEzIFjvPZOCfIiwXz09zLKwfeEuXXaqVmHAs0ECTUii0jlVDDuPEB2K5nXzv&#10;MMna19r2OIi56/R7ls20w5YlocFAq4aqv93ZGfj54lCuB12drquw+S3z7vt8OBrz+jJ+foBKNKaH&#10;+P5dWqmf51MBEByZQS9uAAAA//8DAFBLAQItABQABgAIAAAAIQDb4fbL7gAAAIUBAAATAAAAAAAA&#10;AAAAAAAAAAAAAABbQ29udGVudF9UeXBlc10ueG1sUEsBAi0AFAAGAAgAAAAhAFr0LFu/AAAAFQEA&#10;AAsAAAAAAAAAAAAAAAAAHwEAAF9yZWxzLy5yZWxzUEsBAi0AFAAGAAgAAAAhAJEEvP3HAAAA3gAA&#10;AA8AAAAAAAAAAAAAAAAABwIAAGRycy9kb3ducmV2LnhtbFBLBQYAAAAAAwADALcAAAD7AgAAAAA=&#10;" filled="f" stroked="f">
                  <v:textbox inset="0,0,0,0">
                    <w:txbxContent>
                      <w:p w14:paraId="4C27BBD5" w14:textId="77777777" w:rsidR="00B32EF2" w:rsidRDefault="00000000">
                        <w:r>
                          <w:rPr>
                            <w:rFonts w:ascii="Arial" w:eastAsia="Arial" w:hAnsi="Arial" w:cs="Arial"/>
                            <w:i/>
                            <w:sz w:val="18"/>
                          </w:rPr>
                          <w:t>a) errore di persona;</w:t>
                        </w:r>
                      </w:p>
                    </w:txbxContent>
                  </v:textbox>
                </v:rect>
                <v:rect id="Rectangle 18811" o:spid="_x0000_s4119" style="position:absolute;left:25990;top:4923;width:131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lmxAAAAN4AAAAPAAAAZHJzL2Rvd25yZXYueG1sRE9Ni8Iw&#10;EL0v+B/CCN7WtB6kVKOIIvbgZV0X9jg0Y1ttJqGJtru/fiMIe5vH+5zlejCteFDnG8sK0mkCgri0&#10;uuFKwflz/56B8AFZY2uZFPyQh/Vq9LbEXNueP+hxCpWIIexzVFCH4HIpfVmTQT+1jjhyF9sZDBF2&#10;ldQd9jHctHKWJHNpsOHYUKOjbU3l7XQ3Cr537Ip9L8vL79Ydr0XWHu7nL6Um42GzABFoCP/il7vQ&#10;cX6WpSk834k3yNUfAAAA//8DAFBLAQItABQABgAIAAAAIQDb4fbL7gAAAIUBAAATAAAAAAAAAAAA&#10;AAAAAAAAAABbQ29udGVudF9UeXBlc10ueG1sUEsBAi0AFAAGAAgAAAAhAFr0LFu/AAAAFQEAAAsA&#10;AAAAAAAAAAAAAAAAHwEAAF9yZWxzLy5yZWxzUEsBAi0AFAAGAAgAAAAhAP5IGWbEAAAA3gAAAA8A&#10;AAAAAAAAAAAAAAAABwIAAGRycy9kb3ducmV2LnhtbFBLBQYAAAAAAwADALcAAAD4AgAAAAA=&#10;" filled="f" stroked="f">
                  <v:textbox inset="0,0,0,0">
                    <w:txbxContent>
                      <w:p w14:paraId="45BABB43" w14:textId="77777777" w:rsidR="00B32EF2" w:rsidRDefault="00000000">
                        <w:r>
                          <w:rPr>
                            <w:rFonts w:ascii="Arial" w:eastAsia="Arial" w:hAnsi="Arial" w:cs="Arial"/>
                            <w:i/>
                            <w:sz w:val="18"/>
                          </w:rPr>
                          <w:t>b) errore di calcolo;</w:t>
                        </w:r>
                      </w:p>
                    </w:txbxContent>
                  </v:textbox>
                </v:rect>
                <v:rect id="Rectangle 18812" o:spid="_x0000_s4120" style="position:absolute;left:12881;top:3616;width:262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cRwwAAAN4AAAAPAAAAZHJzL2Rvd25yZXYueG1sRE9Li8Iw&#10;EL4v+B/CCHtbUz0spRpFFLEHL+sDPA7N2FabSWiirf76zcKCt/n4njNb9KYRD2p9bVnBeJSAIC6s&#10;rrlUcDxsvlIQPiBrbCyTgid5WMwHHzPMtO34hx77UIoYwj5DBVUILpPSFxUZ9CPriCN3sa3BEGFb&#10;St1iF8NNIydJ8i0N1hwbKnS0qqi47e9GwXnNLt90sri8Vm53zdNmez+elPoc9sspiEB9eIv/3bmO&#10;89N0PIG/d+INcv4LAAD//wMAUEsBAi0AFAAGAAgAAAAhANvh9svuAAAAhQEAABMAAAAAAAAAAAAA&#10;AAAAAAAAAFtDb250ZW50X1R5cGVzXS54bWxQSwECLQAUAAYACAAAACEAWvQsW78AAAAVAQAACwAA&#10;AAAAAAAAAAAAAAAfAQAAX3JlbHMvLnJlbHNQSwECLQAUAAYACAAAACEADpqHEcMAAADeAAAADwAA&#10;AAAAAAAAAAAAAAAHAgAAZHJzL2Rvd25yZXYueG1sUEsFBgAAAAADAAMAtwAAAPcCAAAAAA==&#10;" filled="f" stroked="f">
                  <v:textbox inset="0,0,0,0">
                    <w:txbxContent>
                      <w:p w14:paraId="7A9789FB" w14:textId="77777777" w:rsidR="00B32EF2" w:rsidRDefault="00000000">
                        <w:r>
                          <w:rPr>
                            <w:rFonts w:ascii="Arial" w:eastAsia="Arial" w:hAnsi="Arial" w:cs="Arial"/>
                            <w:i/>
                            <w:sz w:val="18"/>
                          </w:rPr>
                          <w:t>c) errore sull’individuazione del tributo;</w:t>
                        </w:r>
                      </w:p>
                    </w:txbxContent>
                  </v:textbox>
                </v:rect>
                <v:shape id="Shape 18813" o:spid="_x0000_s4121" style="position:absolute;left:317;top:3292;width:39600;height:20843;visibility:visible;mso-wrap-style:square;v-text-anchor:top" coordsize="3960000,2084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fMOwwAAAN4AAAAPAAAAZHJzL2Rvd25yZXYueG1sRE9Li8Iw&#10;EL4L/ocwwt40VWEpXaP4QFFQ0Oplb0Mz25ZtJqWJtfvvN4LgbT6+58wWnalES40rLSsYjyIQxJnV&#10;JecKbtftMAbhPLLGyjIp+CMHi3m/N8NE2wdfqE19LkIIuwQVFN7XiZQuK8igG9maOHA/tjHoA2xy&#10;qRt8hHBTyUkUfUqDJYeGAmtaF5T9pnejYHdu84053vang/s++cOyXV1ZKvUx6JZfIDx1/i1+ufc6&#10;zI/j8RSe74Qb5PwfAAD//wMAUEsBAi0AFAAGAAgAAAAhANvh9svuAAAAhQEAABMAAAAAAAAAAAAA&#10;AAAAAAAAAFtDb250ZW50X1R5cGVzXS54bWxQSwECLQAUAAYACAAAACEAWvQsW78AAAAVAQAACwAA&#10;AAAAAAAAAAAAAAAfAQAAX3JlbHMvLnJlbHNQSwECLQAUAAYACAAAACEAeOnzDsMAAADeAAAADwAA&#10;AAAAAAAAAAAAAAAHAgAAZHJzL2Rvd25yZXYueG1sUEsFBgAAAAADAAMAtwAAAPcCAAAAAA==&#10;" path="m,2084299r3960000,l3960000,,,,,2084299xe" filled="f" strokeweight="1pt">
                  <v:stroke miterlimit="1" joinstyle="miter"/>
                  <v:path arrowok="t" textboxrect="0,0,3960000,2084299"/>
                </v:shape>
                <w10:anchorlock/>
              </v:group>
            </w:pict>
          </mc:Fallback>
        </mc:AlternateContent>
      </w:r>
    </w:p>
    <w:p w14:paraId="78FDFFCC" w14:textId="77777777" w:rsidR="00B32EF2" w:rsidRDefault="00000000">
      <w:pPr>
        <w:spacing w:after="0"/>
        <w:ind w:left="-356" w:right="-306"/>
      </w:pPr>
      <w:r>
        <w:rPr>
          <w:noProof/>
        </w:rPr>
        <w:lastRenderedPageBreak/>
        <mc:AlternateContent>
          <mc:Choice Requires="wpg">
            <w:drawing>
              <wp:inline distT="0" distB="0" distL="0" distR="0" wp14:anchorId="6F4B8308" wp14:editId="3EEEBBCC">
                <wp:extent cx="3991802" cy="6262854"/>
                <wp:effectExtent l="0" t="0" r="0" b="0"/>
                <wp:docPr id="201242" name="Group 201242"/>
                <wp:cNvGraphicFramePr/>
                <a:graphic xmlns:a="http://schemas.openxmlformats.org/drawingml/2006/main">
                  <a:graphicData uri="http://schemas.microsoft.com/office/word/2010/wordprocessingGroup">
                    <wpg:wgp>
                      <wpg:cNvGrpSpPr/>
                      <wpg:grpSpPr>
                        <a:xfrm>
                          <a:off x="0" y="0"/>
                          <a:ext cx="3991802" cy="6262854"/>
                          <a:chOff x="0" y="0"/>
                          <a:chExt cx="3991802" cy="6262854"/>
                        </a:xfrm>
                      </wpg:grpSpPr>
                      <wps:wsp>
                        <wps:cNvPr id="18828" name="Rectangle 18828"/>
                        <wps:cNvSpPr/>
                        <wps:spPr>
                          <a:xfrm rot="-10799999">
                            <a:off x="1900382" y="-62190"/>
                            <a:ext cx="178369" cy="250646"/>
                          </a:xfrm>
                          <a:prstGeom prst="rect">
                            <a:avLst/>
                          </a:prstGeom>
                          <a:ln>
                            <a:noFill/>
                          </a:ln>
                        </wps:spPr>
                        <wps:txbx>
                          <w:txbxContent>
                            <w:p w14:paraId="573449FD" w14:textId="77777777" w:rsidR="00B32EF2" w:rsidRDefault="00000000">
                              <w:r>
                                <w:rPr>
                                  <w:rFonts w:ascii="Times New Roman" w:eastAsia="Times New Roman" w:hAnsi="Times New Roman" w:cs="Times New Roman"/>
                                </w:rPr>
                                <w:t>59</w:t>
                              </w:r>
                            </w:p>
                          </w:txbxContent>
                        </wps:txbx>
                        <wps:bodyPr horzOverflow="overflow" vert="horz" lIns="0" tIns="0" rIns="0" bIns="0" rtlCol="0">
                          <a:noAutofit/>
                        </wps:bodyPr>
                      </wps:wsp>
                      <wps:wsp>
                        <wps:cNvPr id="18829" name="Rectangle 18829"/>
                        <wps:cNvSpPr/>
                        <wps:spPr>
                          <a:xfrm rot="-10799999">
                            <a:off x="1580658" y="6119965"/>
                            <a:ext cx="690014" cy="142889"/>
                          </a:xfrm>
                          <a:prstGeom prst="rect">
                            <a:avLst/>
                          </a:prstGeom>
                          <a:ln>
                            <a:noFill/>
                          </a:ln>
                        </wps:spPr>
                        <wps:txbx>
                          <w:txbxContent>
                            <w:p w14:paraId="0EC0DC73" w14:textId="77777777" w:rsidR="00B32EF2" w:rsidRDefault="00000000">
                              <w:r>
                                <w:rPr>
                                  <w:rFonts w:ascii="Arial" w:eastAsia="Arial" w:hAnsi="Arial" w:cs="Arial"/>
                                  <w:b/>
                                  <w:sz w:val="18"/>
                                </w:rPr>
                                <w:t>TITOLO II</w:t>
                              </w:r>
                            </w:p>
                          </w:txbxContent>
                        </wps:txbx>
                        <wps:bodyPr horzOverflow="overflow" vert="horz" lIns="0" tIns="0" rIns="0" bIns="0" rtlCol="0">
                          <a:noAutofit/>
                        </wps:bodyPr>
                      </wps:wsp>
                      <wps:wsp>
                        <wps:cNvPr id="18830" name="Rectangle 18830"/>
                        <wps:cNvSpPr/>
                        <wps:spPr>
                          <a:xfrm rot="-10799999">
                            <a:off x="1333089" y="5996635"/>
                            <a:ext cx="1087088" cy="142889"/>
                          </a:xfrm>
                          <a:prstGeom prst="rect">
                            <a:avLst/>
                          </a:prstGeom>
                          <a:ln>
                            <a:noFill/>
                          </a:ln>
                        </wps:spPr>
                        <wps:txbx>
                          <w:txbxContent>
                            <w:p w14:paraId="0542DC05" w14:textId="77777777" w:rsidR="00B32EF2" w:rsidRDefault="00000000">
                              <w:r>
                                <w:rPr>
                                  <w:rFonts w:ascii="Arial" w:eastAsia="Arial" w:hAnsi="Arial" w:cs="Arial"/>
                                  <w:b/>
                                  <w:sz w:val="18"/>
                                </w:rPr>
                                <w:t xml:space="preserve"> IL PROCESSO</w:t>
                              </w:r>
                            </w:p>
                          </w:txbxContent>
                        </wps:txbx>
                        <wps:bodyPr horzOverflow="overflow" vert="horz" lIns="0" tIns="0" rIns="0" bIns="0" rtlCol="0">
                          <a:noAutofit/>
                        </wps:bodyPr>
                      </wps:wsp>
                      <wps:wsp>
                        <wps:cNvPr id="18831" name="Rectangle 18831"/>
                        <wps:cNvSpPr/>
                        <wps:spPr>
                          <a:xfrm rot="-10799999">
                            <a:off x="1683603" y="5749976"/>
                            <a:ext cx="525119" cy="142889"/>
                          </a:xfrm>
                          <a:prstGeom prst="rect">
                            <a:avLst/>
                          </a:prstGeom>
                          <a:ln>
                            <a:noFill/>
                          </a:ln>
                        </wps:spPr>
                        <wps:txbx>
                          <w:txbxContent>
                            <w:p w14:paraId="0D37519B" w14:textId="77777777" w:rsidR="00B32EF2" w:rsidRDefault="00000000">
                              <w:r>
                                <w:rPr>
                                  <w:rFonts w:ascii="Arial" w:eastAsia="Arial" w:hAnsi="Arial" w:cs="Arial"/>
                                  <w:b/>
                                  <w:sz w:val="18"/>
                                </w:rPr>
                                <w:t>CAPO I</w:t>
                              </w:r>
                            </w:p>
                          </w:txbxContent>
                        </wps:txbx>
                        <wps:bodyPr horzOverflow="overflow" vert="horz" lIns="0" tIns="0" rIns="0" bIns="0" rtlCol="0">
                          <a:noAutofit/>
                        </wps:bodyPr>
                      </wps:wsp>
                      <wps:wsp>
                        <wps:cNvPr id="18832" name="Rectangle 18832"/>
                        <wps:cNvSpPr/>
                        <wps:spPr>
                          <a:xfrm rot="-10799999">
                            <a:off x="-1258453" y="5626646"/>
                            <a:ext cx="5214709" cy="142889"/>
                          </a:xfrm>
                          <a:prstGeom prst="rect">
                            <a:avLst/>
                          </a:prstGeom>
                          <a:ln>
                            <a:noFill/>
                          </a:ln>
                        </wps:spPr>
                        <wps:txbx>
                          <w:txbxContent>
                            <w:p w14:paraId="7467CE41" w14:textId="77777777" w:rsidR="00B32EF2" w:rsidRDefault="00000000">
                              <w:r>
                                <w:rPr>
                                  <w:rFonts w:ascii="Arial" w:eastAsia="Arial" w:hAnsi="Arial" w:cs="Arial"/>
                                  <w:b/>
                                  <w:sz w:val="18"/>
                                </w:rPr>
                                <w:t xml:space="preserve"> IL PROCEDIMENTO DINANZI ALLA CORTE DI GIUSTIZIA TRIBUTARIA </w:t>
                              </w:r>
                            </w:p>
                          </w:txbxContent>
                        </wps:txbx>
                        <wps:bodyPr horzOverflow="overflow" vert="horz" lIns="0" tIns="0" rIns="0" bIns="0" rtlCol="0">
                          <a:noAutofit/>
                        </wps:bodyPr>
                      </wps:wsp>
                      <wps:wsp>
                        <wps:cNvPr id="18833" name="Rectangle 18833"/>
                        <wps:cNvSpPr/>
                        <wps:spPr>
                          <a:xfrm rot="-10799999">
                            <a:off x="1184619" y="5503316"/>
                            <a:ext cx="1326655" cy="142889"/>
                          </a:xfrm>
                          <a:prstGeom prst="rect">
                            <a:avLst/>
                          </a:prstGeom>
                          <a:ln>
                            <a:noFill/>
                          </a:ln>
                        </wps:spPr>
                        <wps:txbx>
                          <w:txbxContent>
                            <w:p w14:paraId="0D2A89A4" w14:textId="77777777" w:rsidR="00B32EF2" w:rsidRDefault="00000000">
                              <w:r>
                                <w:rPr>
                                  <w:rFonts w:ascii="Arial" w:eastAsia="Arial" w:hAnsi="Arial" w:cs="Arial"/>
                                  <w:b/>
                                  <w:sz w:val="18"/>
                                </w:rPr>
                                <w:t>DI PRIMO GRADO</w:t>
                              </w:r>
                            </w:p>
                          </w:txbxContent>
                        </wps:txbx>
                        <wps:bodyPr horzOverflow="overflow" vert="horz" lIns="0" tIns="0" rIns="0" bIns="0" rtlCol="0">
                          <a:noAutofit/>
                        </wps:bodyPr>
                      </wps:wsp>
                      <wps:wsp>
                        <wps:cNvPr id="18834" name="Rectangle 18834"/>
                        <wps:cNvSpPr/>
                        <wps:spPr>
                          <a:xfrm rot="-10799999">
                            <a:off x="1532732" y="5256657"/>
                            <a:ext cx="767544" cy="142889"/>
                          </a:xfrm>
                          <a:prstGeom prst="rect">
                            <a:avLst/>
                          </a:prstGeom>
                          <a:ln>
                            <a:noFill/>
                          </a:ln>
                        </wps:spPr>
                        <wps:txbx>
                          <w:txbxContent>
                            <w:p w14:paraId="76775231" w14:textId="77777777" w:rsidR="00B32EF2" w:rsidRDefault="00000000">
                              <w:r>
                                <w:rPr>
                                  <w:rFonts w:ascii="Arial" w:eastAsia="Arial" w:hAnsi="Arial" w:cs="Arial"/>
                                  <w:b/>
                                  <w:sz w:val="18"/>
                                </w:rPr>
                                <w:t>SEZIONE I</w:t>
                              </w:r>
                            </w:p>
                          </w:txbxContent>
                        </wps:txbx>
                        <wps:bodyPr horzOverflow="overflow" vert="horz" lIns="0" tIns="0" rIns="0" bIns="0" rtlCol="0">
                          <a:noAutofit/>
                        </wps:bodyPr>
                      </wps:wsp>
                      <wps:wsp>
                        <wps:cNvPr id="18835" name="Rectangle 18835"/>
                        <wps:cNvSpPr/>
                        <wps:spPr>
                          <a:xfrm rot="-10799999">
                            <a:off x="572608" y="5133327"/>
                            <a:ext cx="2307740" cy="142889"/>
                          </a:xfrm>
                          <a:prstGeom prst="rect">
                            <a:avLst/>
                          </a:prstGeom>
                          <a:ln>
                            <a:noFill/>
                          </a:ln>
                        </wps:spPr>
                        <wps:txbx>
                          <w:txbxContent>
                            <w:p w14:paraId="3F33381D" w14:textId="77777777" w:rsidR="00B32EF2" w:rsidRDefault="00000000">
                              <w:r>
                                <w:rPr>
                                  <w:rFonts w:ascii="Arial" w:eastAsia="Arial" w:hAnsi="Arial" w:cs="Arial"/>
                                  <w:b/>
                                  <w:sz w:val="18"/>
                                </w:rPr>
                                <w:t xml:space="preserve"> INTRODUZIONE DEL GIUDIZIO</w:t>
                              </w:r>
                            </w:p>
                          </w:txbxContent>
                        </wps:txbx>
                        <wps:bodyPr horzOverflow="overflow" vert="horz" lIns="0" tIns="0" rIns="0" bIns="0" rtlCol="0">
                          <a:noAutofit/>
                        </wps:bodyPr>
                      </wps:wsp>
                      <wps:wsp>
                        <wps:cNvPr id="18836" name="Rectangle 18836"/>
                        <wps:cNvSpPr/>
                        <wps:spPr>
                          <a:xfrm rot="-10799999">
                            <a:off x="1506078" y="4886668"/>
                            <a:ext cx="810429" cy="142889"/>
                          </a:xfrm>
                          <a:prstGeom prst="rect">
                            <a:avLst/>
                          </a:prstGeom>
                          <a:ln>
                            <a:noFill/>
                          </a:ln>
                        </wps:spPr>
                        <wps:txbx>
                          <w:txbxContent>
                            <w:p w14:paraId="358BF417" w14:textId="77777777" w:rsidR="00B32EF2" w:rsidRDefault="00000000">
                              <w:r>
                                <w:rPr>
                                  <w:rFonts w:ascii="Arial" w:eastAsia="Arial" w:hAnsi="Arial" w:cs="Arial"/>
                                  <w:b/>
                                  <w:sz w:val="18"/>
                                </w:rPr>
                                <w:t>Articolo 64</w:t>
                              </w:r>
                            </w:p>
                          </w:txbxContent>
                        </wps:txbx>
                        <wps:bodyPr horzOverflow="overflow" vert="horz" lIns="0" tIns="0" rIns="0" bIns="0" rtlCol="0">
                          <a:noAutofit/>
                        </wps:bodyPr>
                      </wps:wsp>
                      <wps:wsp>
                        <wps:cNvPr id="201209" name="Rectangle 201209"/>
                        <wps:cNvSpPr/>
                        <wps:spPr>
                          <a:xfrm rot="-10799999">
                            <a:off x="1166746" y="4763338"/>
                            <a:ext cx="1936099" cy="142889"/>
                          </a:xfrm>
                          <a:prstGeom prst="rect">
                            <a:avLst/>
                          </a:prstGeom>
                          <a:ln>
                            <a:noFill/>
                          </a:ln>
                        </wps:spPr>
                        <wps:txbx>
                          <w:txbxContent>
                            <w:p w14:paraId="4500E354" w14:textId="77777777" w:rsidR="00B32EF2" w:rsidRDefault="00000000">
                              <w:r>
                                <w:rPr>
                                  <w:rFonts w:ascii="Arial" w:eastAsia="Arial" w:hAnsi="Arial" w:cs="Arial"/>
                                  <w:i/>
                                  <w:sz w:val="18"/>
                                </w:rPr>
                                <w:t xml:space="preserve">articolo 18 D.lgs. n. </w:t>
                              </w:r>
                            </w:p>
                          </w:txbxContent>
                        </wps:txbx>
                        <wps:bodyPr horzOverflow="overflow" vert="horz" lIns="0" tIns="0" rIns="0" bIns="0" rtlCol="0">
                          <a:noAutofit/>
                        </wps:bodyPr>
                      </wps:wsp>
                      <wps:wsp>
                        <wps:cNvPr id="201207" name="Rectangle 201207"/>
                        <wps:cNvSpPr/>
                        <wps:spPr>
                          <a:xfrm rot="-10799999">
                            <a:off x="2221197" y="4763338"/>
                            <a:ext cx="1936099" cy="142889"/>
                          </a:xfrm>
                          <a:prstGeom prst="rect">
                            <a:avLst/>
                          </a:prstGeom>
                          <a:ln>
                            <a:noFill/>
                          </a:ln>
                        </wps:spPr>
                        <wps:txbx>
                          <w:txbxContent>
                            <w:p w14:paraId="6B9D871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208" name="Rectangle 201208"/>
                        <wps:cNvSpPr/>
                        <wps:spPr>
                          <a:xfrm rot="-10799999">
                            <a:off x="-253808" y="4763337"/>
                            <a:ext cx="1936099" cy="142889"/>
                          </a:xfrm>
                          <a:prstGeom prst="rect">
                            <a:avLst/>
                          </a:prstGeom>
                          <a:ln>
                            <a:noFill/>
                          </a:ln>
                        </wps:spPr>
                        <wps:txbx>
                          <w:txbxContent>
                            <w:p w14:paraId="7184FCD1"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8838" name="Rectangle 18838"/>
                        <wps:cNvSpPr/>
                        <wps:spPr>
                          <a:xfrm rot="-10799999">
                            <a:off x="1559415" y="4640009"/>
                            <a:ext cx="699485" cy="142889"/>
                          </a:xfrm>
                          <a:prstGeom prst="rect">
                            <a:avLst/>
                          </a:prstGeom>
                          <a:ln>
                            <a:noFill/>
                          </a:ln>
                        </wps:spPr>
                        <wps:txbx>
                          <w:txbxContent>
                            <w:p w14:paraId="610712BB" w14:textId="77777777" w:rsidR="00B32EF2" w:rsidRDefault="00000000">
                              <w:r>
                                <w:rPr>
                                  <w:rFonts w:ascii="Arial" w:eastAsia="Arial" w:hAnsi="Arial" w:cs="Arial"/>
                                  <w:b/>
                                  <w:sz w:val="18"/>
                                </w:rPr>
                                <w:t xml:space="preserve">Il ricorso </w:t>
                              </w:r>
                            </w:p>
                          </w:txbxContent>
                        </wps:txbx>
                        <wps:bodyPr horzOverflow="overflow" vert="horz" lIns="0" tIns="0" rIns="0" bIns="0" rtlCol="0">
                          <a:noAutofit/>
                        </wps:bodyPr>
                      </wps:wsp>
                      <wps:wsp>
                        <wps:cNvPr id="201203" name="Rectangle 201203"/>
                        <wps:cNvSpPr/>
                        <wps:spPr>
                          <a:xfrm rot="-10799999">
                            <a:off x="2610984" y="4516679"/>
                            <a:ext cx="5308989" cy="142889"/>
                          </a:xfrm>
                          <a:prstGeom prst="rect">
                            <a:avLst/>
                          </a:prstGeom>
                          <a:ln>
                            <a:noFill/>
                          </a:ln>
                        </wps:spPr>
                        <wps:txbx>
                          <w:txbxContent>
                            <w:p w14:paraId="63589009"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206" name="Rectangle 201206"/>
                        <wps:cNvSpPr/>
                        <wps:spPr>
                          <a:xfrm rot="-10799999">
                            <a:off x="-1376371" y="4516679"/>
                            <a:ext cx="5308990" cy="142889"/>
                          </a:xfrm>
                          <a:prstGeom prst="rect">
                            <a:avLst/>
                          </a:prstGeom>
                          <a:ln>
                            <a:noFill/>
                          </a:ln>
                        </wps:spPr>
                        <wps:txbx>
                          <w:txbxContent>
                            <w:p w14:paraId="5D907BBF" w14:textId="77777777" w:rsidR="00B32EF2" w:rsidRDefault="00000000">
                              <w:r>
                                <w:rPr>
                                  <w:rFonts w:ascii="Arial" w:eastAsia="Arial" w:hAnsi="Arial" w:cs="Arial"/>
                                  <w:sz w:val="18"/>
                                </w:rPr>
                                <w:t xml:space="preserve">. Il processo è introdotto con ricorso alla corte di giustizia tributaria di primo </w:t>
                              </w:r>
                            </w:p>
                          </w:txbxContent>
                        </wps:txbx>
                        <wps:bodyPr horzOverflow="overflow" vert="horz" lIns="0" tIns="0" rIns="0" bIns="0" rtlCol="0">
                          <a:noAutofit/>
                        </wps:bodyPr>
                      </wps:wsp>
                      <wps:wsp>
                        <wps:cNvPr id="18840" name="Rectangle 18840"/>
                        <wps:cNvSpPr/>
                        <wps:spPr>
                          <a:xfrm rot="-10799999">
                            <a:off x="3558249" y="4393349"/>
                            <a:ext cx="432525" cy="142889"/>
                          </a:xfrm>
                          <a:prstGeom prst="rect">
                            <a:avLst/>
                          </a:prstGeom>
                          <a:ln>
                            <a:noFill/>
                          </a:ln>
                        </wps:spPr>
                        <wps:txbx>
                          <w:txbxContent>
                            <w:p w14:paraId="0B9D79BB" w14:textId="77777777" w:rsidR="00B32EF2" w:rsidRDefault="00000000">
                              <w:r>
                                <w:rPr>
                                  <w:rFonts w:ascii="Arial" w:eastAsia="Arial" w:hAnsi="Arial" w:cs="Arial"/>
                                  <w:sz w:val="18"/>
                                </w:rPr>
                                <w:t>grado.</w:t>
                              </w:r>
                            </w:p>
                          </w:txbxContent>
                        </wps:txbx>
                        <wps:bodyPr horzOverflow="overflow" vert="horz" lIns="0" tIns="0" rIns="0" bIns="0" rtlCol="0">
                          <a:noAutofit/>
                        </wps:bodyPr>
                      </wps:wsp>
                      <wps:wsp>
                        <wps:cNvPr id="201199" name="Rectangle 201199"/>
                        <wps:cNvSpPr/>
                        <wps:spPr>
                          <a:xfrm rot="-10799999">
                            <a:off x="3238556" y="4270019"/>
                            <a:ext cx="2779682" cy="142889"/>
                          </a:xfrm>
                          <a:prstGeom prst="rect">
                            <a:avLst/>
                          </a:prstGeom>
                          <a:ln>
                            <a:noFill/>
                          </a:ln>
                        </wps:spPr>
                        <wps:txbx>
                          <w:txbxContent>
                            <w:p w14:paraId="2DEC1195"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200" name="Rectangle 201200"/>
                        <wps:cNvSpPr/>
                        <wps:spPr>
                          <a:xfrm rot="-10799999">
                            <a:off x="-846091" y="4270019"/>
                            <a:ext cx="2779683" cy="142889"/>
                          </a:xfrm>
                          <a:prstGeom prst="rect">
                            <a:avLst/>
                          </a:prstGeom>
                          <a:ln>
                            <a:noFill/>
                          </a:ln>
                        </wps:spPr>
                        <wps:txbx>
                          <w:txbxContent>
                            <w:p w14:paraId="34A4D83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1202" name="Rectangle 201202"/>
                        <wps:cNvSpPr/>
                        <wps:spPr>
                          <a:xfrm rot="-10799999">
                            <a:off x="1177293" y="4270019"/>
                            <a:ext cx="2779683" cy="142889"/>
                          </a:xfrm>
                          <a:prstGeom prst="rect">
                            <a:avLst/>
                          </a:prstGeom>
                          <a:ln>
                            <a:noFill/>
                          </a:ln>
                        </wps:spPr>
                        <wps:txbx>
                          <w:txbxContent>
                            <w:p w14:paraId="6A9A6204" w14:textId="77777777" w:rsidR="00B32EF2" w:rsidRDefault="00000000">
                              <w:r>
                                <w:rPr>
                                  <w:rFonts w:ascii="Arial" w:eastAsia="Arial" w:hAnsi="Arial" w:cs="Arial"/>
                                  <w:sz w:val="18"/>
                                </w:rPr>
                                <w:t>. Il ricorso deve contenere l’indicazione</w:t>
                              </w:r>
                            </w:p>
                          </w:txbxContent>
                        </wps:txbx>
                        <wps:bodyPr horzOverflow="overflow" vert="horz" lIns="0" tIns="0" rIns="0" bIns="0" rtlCol="0">
                          <a:noAutofit/>
                        </wps:bodyPr>
                      </wps:wsp>
                      <wps:wsp>
                        <wps:cNvPr id="18842" name="Rectangle 18842"/>
                        <wps:cNvSpPr/>
                        <wps:spPr>
                          <a:xfrm rot="-10799999">
                            <a:off x="-246001" y="4146690"/>
                            <a:ext cx="4237804" cy="142889"/>
                          </a:xfrm>
                          <a:prstGeom prst="rect">
                            <a:avLst/>
                          </a:prstGeom>
                          <a:ln>
                            <a:noFill/>
                          </a:ln>
                        </wps:spPr>
                        <wps:txbx>
                          <w:txbxContent>
                            <w:p w14:paraId="3FC2212D" w14:textId="77777777" w:rsidR="00B32EF2" w:rsidRDefault="00000000">
                              <w:r>
                                <w:rPr>
                                  <w:rFonts w:ascii="Arial" w:eastAsia="Arial" w:hAnsi="Arial" w:cs="Arial"/>
                                  <w:sz w:val="18"/>
                                </w:rPr>
                                <w:t xml:space="preserve">a) della corte di giustizia tributaria di primo grado cui è diretto; </w:t>
                              </w:r>
                            </w:p>
                          </w:txbxContent>
                        </wps:txbx>
                        <wps:bodyPr horzOverflow="overflow" vert="horz" lIns="0" tIns="0" rIns="0" bIns="0" rtlCol="0">
                          <a:noAutofit/>
                        </wps:bodyPr>
                      </wps:wsp>
                      <wps:wsp>
                        <wps:cNvPr id="18843" name="Rectangle 18843"/>
                        <wps:cNvSpPr/>
                        <wps:spPr>
                          <a:xfrm rot="-10799999">
                            <a:off x="-1317218" y="4023360"/>
                            <a:ext cx="5309021" cy="142889"/>
                          </a:xfrm>
                          <a:prstGeom prst="rect">
                            <a:avLst/>
                          </a:prstGeom>
                          <a:ln>
                            <a:noFill/>
                          </a:ln>
                        </wps:spPr>
                        <wps:txbx>
                          <w:txbxContent>
                            <w:p w14:paraId="5BDB74FA" w14:textId="77777777" w:rsidR="00B32EF2" w:rsidRDefault="00000000">
                              <w:r>
                                <w:rPr>
                                  <w:rFonts w:ascii="Arial" w:eastAsia="Arial" w:hAnsi="Arial" w:cs="Arial"/>
                                  <w:sz w:val="18"/>
                                </w:rPr>
                                <w:t xml:space="preserve">b) del ricorrente e del suo legale rappresentante, della relativa residenza o </w:t>
                              </w:r>
                            </w:p>
                          </w:txbxContent>
                        </wps:txbx>
                        <wps:bodyPr horzOverflow="overflow" vert="horz" lIns="0" tIns="0" rIns="0" bIns="0" rtlCol="0">
                          <a:noAutofit/>
                        </wps:bodyPr>
                      </wps:wsp>
                      <wps:wsp>
                        <wps:cNvPr id="18844" name="Rectangle 18844"/>
                        <wps:cNvSpPr/>
                        <wps:spPr>
                          <a:xfrm rot="-10799999">
                            <a:off x="-1220595" y="3900030"/>
                            <a:ext cx="5212398" cy="142889"/>
                          </a:xfrm>
                          <a:prstGeom prst="rect">
                            <a:avLst/>
                          </a:prstGeom>
                          <a:ln>
                            <a:noFill/>
                          </a:ln>
                        </wps:spPr>
                        <wps:txbx>
                          <w:txbxContent>
                            <w:p w14:paraId="26A94D43" w14:textId="77777777" w:rsidR="00B32EF2" w:rsidRDefault="00000000">
                              <w:r>
                                <w:rPr>
                                  <w:rFonts w:ascii="Arial" w:eastAsia="Arial" w:hAnsi="Arial" w:cs="Arial"/>
                                  <w:sz w:val="18"/>
                                </w:rPr>
                                <w:t>sede legale o del domicilio eventualmente eletto nel territorio dello Stato, non</w:t>
                              </w:r>
                            </w:p>
                          </w:txbxContent>
                        </wps:txbx>
                        <wps:bodyPr horzOverflow="overflow" vert="horz" lIns="0" tIns="0" rIns="0" bIns="0" rtlCol="0">
                          <a:noAutofit/>
                        </wps:bodyPr>
                      </wps:wsp>
                      <wps:wsp>
                        <wps:cNvPr id="18845" name="Rectangle 18845"/>
                        <wps:cNvSpPr/>
                        <wps:spPr>
                          <a:xfrm rot="-10799999">
                            <a:off x="19204" y="3900030"/>
                            <a:ext cx="50622" cy="142889"/>
                          </a:xfrm>
                          <a:prstGeom prst="rect">
                            <a:avLst/>
                          </a:prstGeom>
                          <a:ln>
                            <a:noFill/>
                          </a:ln>
                        </wps:spPr>
                        <wps:txbx>
                          <w:txbxContent>
                            <w:p w14:paraId="2364E67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846" name="Rectangle 18846"/>
                        <wps:cNvSpPr/>
                        <wps:spPr>
                          <a:xfrm rot="-10799999">
                            <a:off x="-627051" y="3776701"/>
                            <a:ext cx="4618854" cy="142889"/>
                          </a:xfrm>
                          <a:prstGeom prst="rect">
                            <a:avLst/>
                          </a:prstGeom>
                          <a:ln>
                            <a:noFill/>
                          </a:ln>
                        </wps:spPr>
                        <wps:txbx>
                          <w:txbxContent>
                            <w:p w14:paraId="129B4259" w14:textId="77777777" w:rsidR="00B32EF2" w:rsidRDefault="00000000">
                              <w:r>
                                <w:rPr>
                                  <w:rFonts w:ascii="Arial" w:eastAsia="Arial" w:hAnsi="Arial" w:cs="Arial"/>
                                  <w:sz w:val="18"/>
                                </w:rPr>
                                <w:t xml:space="preserve">ché del codice fiscale e dell’indirizzo di posta elettronica certificata; </w:t>
                              </w:r>
                            </w:p>
                          </w:txbxContent>
                        </wps:txbx>
                        <wps:bodyPr horzOverflow="overflow" vert="horz" lIns="0" tIns="0" rIns="0" bIns="0" rtlCol="0">
                          <a:noAutofit/>
                        </wps:bodyPr>
                      </wps:wsp>
                      <wps:wsp>
                        <wps:cNvPr id="18847" name="Rectangle 18847"/>
                        <wps:cNvSpPr/>
                        <wps:spPr>
                          <a:xfrm rot="-10799999">
                            <a:off x="551324" y="3653371"/>
                            <a:ext cx="3440479" cy="142889"/>
                          </a:xfrm>
                          <a:prstGeom prst="rect">
                            <a:avLst/>
                          </a:prstGeom>
                          <a:ln>
                            <a:noFill/>
                          </a:ln>
                        </wps:spPr>
                        <wps:txbx>
                          <w:txbxContent>
                            <w:p w14:paraId="4E86009B" w14:textId="77777777" w:rsidR="00B32EF2" w:rsidRDefault="00000000">
                              <w:r>
                                <w:rPr>
                                  <w:rFonts w:ascii="Arial" w:eastAsia="Arial" w:hAnsi="Arial" w:cs="Arial"/>
                                  <w:sz w:val="18"/>
                                </w:rPr>
                                <w:t xml:space="preserve">c) dell’ufficio nei cui confronti il ricorso è proposto; </w:t>
                              </w:r>
                            </w:p>
                          </w:txbxContent>
                        </wps:txbx>
                        <wps:bodyPr horzOverflow="overflow" vert="horz" lIns="0" tIns="0" rIns="0" bIns="0" rtlCol="0">
                          <a:noAutofit/>
                        </wps:bodyPr>
                      </wps:wsp>
                      <wps:wsp>
                        <wps:cNvPr id="18848" name="Rectangle 18848"/>
                        <wps:cNvSpPr/>
                        <wps:spPr>
                          <a:xfrm rot="-10799999">
                            <a:off x="446825" y="3530041"/>
                            <a:ext cx="3544977" cy="142889"/>
                          </a:xfrm>
                          <a:prstGeom prst="rect">
                            <a:avLst/>
                          </a:prstGeom>
                          <a:ln>
                            <a:noFill/>
                          </a:ln>
                        </wps:spPr>
                        <wps:txbx>
                          <w:txbxContent>
                            <w:p w14:paraId="699AAD9C" w14:textId="77777777" w:rsidR="00B32EF2" w:rsidRDefault="00000000">
                              <w:r>
                                <w:rPr>
                                  <w:rFonts w:ascii="Arial" w:eastAsia="Arial" w:hAnsi="Arial" w:cs="Arial"/>
                                  <w:sz w:val="18"/>
                                </w:rPr>
                                <w:t xml:space="preserve">d) dell’atto impugnato e dell’oggetto della domanda; </w:t>
                              </w:r>
                            </w:p>
                          </w:txbxContent>
                        </wps:txbx>
                        <wps:bodyPr horzOverflow="overflow" vert="horz" lIns="0" tIns="0" rIns="0" bIns="0" rtlCol="0">
                          <a:noAutofit/>
                        </wps:bodyPr>
                      </wps:wsp>
                      <wps:wsp>
                        <wps:cNvPr id="18849" name="Rectangle 18849"/>
                        <wps:cNvSpPr/>
                        <wps:spPr>
                          <a:xfrm rot="-10799999">
                            <a:off x="3130294" y="3406712"/>
                            <a:ext cx="861507" cy="142889"/>
                          </a:xfrm>
                          <a:prstGeom prst="rect">
                            <a:avLst/>
                          </a:prstGeom>
                          <a:ln>
                            <a:noFill/>
                          </a:ln>
                        </wps:spPr>
                        <wps:txbx>
                          <w:txbxContent>
                            <w:p w14:paraId="09F5F8E6" w14:textId="77777777" w:rsidR="00B32EF2" w:rsidRDefault="00000000">
                              <w:r>
                                <w:rPr>
                                  <w:rFonts w:ascii="Arial" w:eastAsia="Arial" w:hAnsi="Arial" w:cs="Arial"/>
                                  <w:sz w:val="18"/>
                                </w:rPr>
                                <w:t>e) dei motivi.</w:t>
                              </w:r>
                            </w:p>
                          </w:txbxContent>
                        </wps:txbx>
                        <wps:bodyPr horzOverflow="overflow" vert="horz" lIns="0" tIns="0" rIns="0" bIns="0" rtlCol="0">
                          <a:noAutofit/>
                        </wps:bodyPr>
                      </wps:wsp>
                      <wps:wsp>
                        <wps:cNvPr id="201197" name="Rectangle 201197"/>
                        <wps:cNvSpPr/>
                        <wps:spPr>
                          <a:xfrm rot="-10799999">
                            <a:off x="-1244178" y="3283382"/>
                            <a:ext cx="5171459" cy="142889"/>
                          </a:xfrm>
                          <a:prstGeom prst="rect">
                            <a:avLst/>
                          </a:prstGeom>
                          <a:ln>
                            <a:noFill/>
                          </a:ln>
                        </wps:spPr>
                        <wps:txbx>
                          <w:txbxContent>
                            <w:p w14:paraId="6F5CC978" w14:textId="77777777" w:rsidR="00B32EF2" w:rsidRDefault="00000000">
                              <w:r>
                                <w:rPr>
                                  <w:rFonts w:ascii="Arial" w:eastAsia="Arial" w:hAnsi="Arial" w:cs="Arial"/>
                                  <w:sz w:val="18"/>
                                </w:rPr>
                                <w:t xml:space="preserve">. Il ricorso deve essere sottoscritto dal difensore e contenere l’indicazione: </w:t>
                              </w:r>
                            </w:p>
                          </w:txbxContent>
                        </wps:txbx>
                        <wps:bodyPr horzOverflow="overflow" vert="horz" lIns="0" tIns="0" rIns="0" bIns="0" rtlCol="0">
                          <a:noAutofit/>
                        </wps:bodyPr>
                      </wps:wsp>
                      <wps:wsp>
                        <wps:cNvPr id="201196" name="Rectangle 201196"/>
                        <wps:cNvSpPr/>
                        <wps:spPr>
                          <a:xfrm rot="-10799999">
                            <a:off x="2645108" y="3283382"/>
                            <a:ext cx="5171458" cy="142889"/>
                          </a:xfrm>
                          <a:prstGeom prst="rect">
                            <a:avLst/>
                          </a:prstGeom>
                          <a:ln>
                            <a:noFill/>
                          </a:ln>
                        </wps:spPr>
                        <wps:txbx>
                          <w:txbxContent>
                            <w:p w14:paraId="75A2A737"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8851" name="Rectangle 18851"/>
                        <wps:cNvSpPr/>
                        <wps:spPr>
                          <a:xfrm rot="-10799999">
                            <a:off x="-868762" y="3160052"/>
                            <a:ext cx="4860564" cy="142889"/>
                          </a:xfrm>
                          <a:prstGeom prst="rect">
                            <a:avLst/>
                          </a:prstGeom>
                          <a:ln>
                            <a:noFill/>
                          </a:ln>
                        </wps:spPr>
                        <wps:txbx>
                          <w:txbxContent>
                            <w:p w14:paraId="23C8E435" w14:textId="77777777" w:rsidR="00B32EF2" w:rsidRDefault="00000000">
                              <w:r>
                                <w:rPr>
                                  <w:rFonts w:ascii="Arial" w:eastAsia="Arial" w:hAnsi="Arial" w:cs="Arial"/>
                                  <w:sz w:val="18"/>
                                </w:rPr>
                                <w:t xml:space="preserve">a) della categoria di cui all’articolo 57 alla quale appartiene il difensore; </w:t>
                              </w:r>
                            </w:p>
                          </w:txbxContent>
                        </wps:txbx>
                        <wps:bodyPr horzOverflow="overflow" vert="horz" lIns="0" tIns="0" rIns="0" bIns="0" rtlCol="0">
                          <a:noAutofit/>
                        </wps:bodyPr>
                      </wps:wsp>
                      <wps:wsp>
                        <wps:cNvPr id="18852" name="Rectangle 18852"/>
                        <wps:cNvSpPr/>
                        <wps:spPr>
                          <a:xfrm rot="-10799999">
                            <a:off x="-1317203" y="3036723"/>
                            <a:ext cx="5309006" cy="142889"/>
                          </a:xfrm>
                          <a:prstGeom prst="rect">
                            <a:avLst/>
                          </a:prstGeom>
                          <a:ln>
                            <a:noFill/>
                          </a:ln>
                        </wps:spPr>
                        <wps:txbx>
                          <w:txbxContent>
                            <w:p w14:paraId="073D6D8A" w14:textId="77777777" w:rsidR="00B32EF2" w:rsidRDefault="00000000">
                              <w:r>
                                <w:rPr>
                                  <w:rFonts w:ascii="Arial" w:eastAsia="Arial" w:hAnsi="Arial" w:cs="Arial"/>
                                  <w:sz w:val="18"/>
                                </w:rPr>
                                <w:t xml:space="preserve">b) dell’incarico a norma dell’articolo 57, comma 7, salvo che il ricorso non sia </w:t>
                              </w:r>
                            </w:p>
                          </w:txbxContent>
                        </wps:txbx>
                        <wps:bodyPr horzOverflow="overflow" vert="horz" lIns="0" tIns="0" rIns="0" bIns="0" rtlCol="0">
                          <a:noAutofit/>
                        </wps:bodyPr>
                      </wps:wsp>
                      <wps:wsp>
                        <wps:cNvPr id="18853" name="Rectangle 18853"/>
                        <wps:cNvSpPr/>
                        <wps:spPr>
                          <a:xfrm rot="-10799999">
                            <a:off x="2096337" y="2913393"/>
                            <a:ext cx="1895464" cy="142889"/>
                          </a:xfrm>
                          <a:prstGeom prst="rect">
                            <a:avLst/>
                          </a:prstGeom>
                          <a:ln>
                            <a:noFill/>
                          </a:ln>
                        </wps:spPr>
                        <wps:txbx>
                          <w:txbxContent>
                            <w:p w14:paraId="47F0723D" w14:textId="77777777" w:rsidR="00B32EF2" w:rsidRDefault="00000000">
                              <w:r>
                                <w:rPr>
                                  <w:rFonts w:ascii="Arial" w:eastAsia="Arial" w:hAnsi="Arial" w:cs="Arial"/>
                                  <w:sz w:val="18"/>
                                </w:rPr>
                                <w:t xml:space="preserve">sottoscritto personalmente; </w:t>
                              </w:r>
                            </w:p>
                          </w:txbxContent>
                        </wps:txbx>
                        <wps:bodyPr horzOverflow="overflow" vert="horz" lIns="0" tIns="0" rIns="0" bIns="0" rtlCol="0">
                          <a:noAutofit/>
                        </wps:bodyPr>
                      </wps:wsp>
                      <wps:wsp>
                        <wps:cNvPr id="18854" name="Rectangle 18854"/>
                        <wps:cNvSpPr/>
                        <wps:spPr>
                          <a:xfrm rot="-10799999">
                            <a:off x="-75116" y="2790063"/>
                            <a:ext cx="4066919" cy="142889"/>
                          </a:xfrm>
                          <a:prstGeom prst="rect">
                            <a:avLst/>
                          </a:prstGeom>
                          <a:ln>
                            <a:noFill/>
                          </a:ln>
                        </wps:spPr>
                        <wps:txbx>
                          <w:txbxContent>
                            <w:p w14:paraId="4366DD09" w14:textId="77777777" w:rsidR="00B32EF2" w:rsidRDefault="00000000">
                              <w:r>
                                <w:rPr>
                                  <w:rFonts w:ascii="Arial" w:eastAsia="Arial" w:hAnsi="Arial" w:cs="Arial"/>
                                  <w:sz w:val="18"/>
                                </w:rPr>
                                <w:t xml:space="preserve">c) dell’indirizzo di posta elettronica certificata del difensore. </w:t>
                              </w:r>
                            </w:p>
                          </w:txbxContent>
                        </wps:txbx>
                        <wps:bodyPr horzOverflow="overflow" vert="horz" lIns="0" tIns="0" rIns="0" bIns="0" rtlCol="0">
                          <a:noAutofit/>
                        </wps:bodyPr>
                      </wps:wsp>
                      <wps:wsp>
                        <wps:cNvPr id="201195" name="Rectangle 201195"/>
                        <wps:cNvSpPr/>
                        <wps:spPr>
                          <a:xfrm rot="-10799999">
                            <a:off x="-1380372" y="2666733"/>
                            <a:ext cx="5309035" cy="142889"/>
                          </a:xfrm>
                          <a:prstGeom prst="rect">
                            <a:avLst/>
                          </a:prstGeom>
                          <a:ln>
                            <a:noFill/>
                          </a:ln>
                        </wps:spPr>
                        <wps:txbx>
                          <w:txbxContent>
                            <w:p w14:paraId="49761E54" w14:textId="77777777" w:rsidR="00B32EF2" w:rsidRDefault="00000000">
                              <w:r>
                                <w:rPr>
                                  <w:rFonts w:ascii="Arial" w:eastAsia="Arial" w:hAnsi="Arial" w:cs="Arial"/>
                                  <w:sz w:val="18"/>
                                </w:rPr>
                                <w:t xml:space="preserve">. Il ricorso è inammissibile se manca o è assolutamente incerta una delle </w:t>
                              </w:r>
                            </w:p>
                          </w:txbxContent>
                        </wps:txbx>
                        <wps:bodyPr horzOverflow="overflow" vert="horz" lIns="0" tIns="0" rIns="0" bIns="0" rtlCol="0">
                          <a:noAutofit/>
                        </wps:bodyPr>
                      </wps:wsp>
                      <wps:wsp>
                        <wps:cNvPr id="201194" name="Rectangle 201194"/>
                        <wps:cNvSpPr/>
                        <wps:spPr>
                          <a:xfrm rot="-10799999">
                            <a:off x="2610973" y="2666733"/>
                            <a:ext cx="5309035" cy="142889"/>
                          </a:xfrm>
                          <a:prstGeom prst="rect">
                            <a:avLst/>
                          </a:prstGeom>
                          <a:ln>
                            <a:noFill/>
                          </a:ln>
                        </wps:spPr>
                        <wps:txbx>
                          <w:txbxContent>
                            <w:p w14:paraId="7DF8716F"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8856" name="Rectangle 18856"/>
                        <wps:cNvSpPr/>
                        <wps:spPr>
                          <a:xfrm rot="-10799999">
                            <a:off x="-1317263" y="2543403"/>
                            <a:ext cx="5309066" cy="142889"/>
                          </a:xfrm>
                          <a:prstGeom prst="rect">
                            <a:avLst/>
                          </a:prstGeom>
                          <a:ln>
                            <a:noFill/>
                          </a:ln>
                        </wps:spPr>
                        <wps:txbx>
                          <w:txbxContent>
                            <w:p w14:paraId="7CF0257A" w14:textId="77777777" w:rsidR="00B32EF2" w:rsidRDefault="00000000">
                              <w:r>
                                <w:rPr>
                                  <w:rFonts w:ascii="Arial" w:eastAsia="Arial" w:hAnsi="Arial" w:cs="Arial"/>
                                  <w:sz w:val="18"/>
                                </w:rPr>
                                <w:t xml:space="preserve">indicazioni di cui al comma 2, ad eccezione di quella relativa al codice fiscale </w:t>
                              </w:r>
                            </w:p>
                          </w:txbxContent>
                        </wps:txbx>
                        <wps:bodyPr horzOverflow="overflow" vert="horz" lIns="0" tIns="0" rIns="0" bIns="0" rtlCol="0">
                          <a:noAutofit/>
                        </wps:bodyPr>
                      </wps:wsp>
                      <wps:wsp>
                        <wps:cNvPr id="18857" name="Rectangle 18857"/>
                        <wps:cNvSpPr/>
                        <wps:spPr>
                          <a:xfrm rot="-10799999">
                            <a:off x="-1317294" y="2420073"/>
                            <a:ext cx="5309097" cy="142889"/>
                          </a:xfrm>
                          <a:prstGeom prst="rect">
                            <a:avLst/>
                          </a:prstGeom>
                          <a:ln>
                            <a:noFill/>
                          </a:ln>
                        </wps:spPr>
                        <wps:txbx>
                          <w:txbxContent>
                            <w:p w14:paraId="1873C25C" w14:textId="77777777" w:rsidR="00B32EF2" w:rsidRDefault="00000000">
                              <w:r>
                                <w:rPr>
                                  <w:rFonts w:ascii="Arial" w:eastAsia="Arial" w:hAnsi="Arial" w:cs="Arial"/>
                                  <w:sz w:val="18"/>
                                </w:rPr>
                                <w:t xml:space="preserve">e all’indirizzo di posta elettronica certificata, o non è sottoscritto a norma del </w:t>
                              </w:r>
                            </w:p>
                          </w:txbxContent>
                        </wps:txbx>
                        <wps:bodyPr horzOverflow="overflow" vert="horz" lIns="0" tIns="0" rIns="0" bIns="0" rtlCol="0">
                          <a:noAutofit/>
                        </wps:bodyPr>
                      </wps:wsp>
                      <wps:wsp>
                        <wps:cNvPr id="18858" name="Rectangle 18858"/>
                        <wps:cNvSpPr/>
                        <wps:spPr>
                          <a:xfrm rot="-10799999">
                            <a:off x="3316215" y="2296744"/>
                            <a:ext cx="675587" cy="142889"/>
                          </a:xfrm>
                          <a:prstGeom prst="rect">
                            <a:avLst/>
                          </a:prstGeom>
                          <a:ln>
                            <a:noFill/>
                          </a:ln>
                        </wps:spPr>
                        <wps:txbx>
                          <w:txbxContent>
                            <w:p w14:paraId="4995C440" w14:textId="77777777" w:rsidR="00B32EF2" w:rsidRDefault="00000000">
                              <w:r>
                                <w:rPr>
                                  <w:rFonts w:ascii="Arial" w:eastAsia="Arial" w:hAnsi="Arial" w:cs="Arial"/>
                                  <w:sz w:val="18"/>
                                </w:rPr>
                                <w:t>comma 3.</w:t>
                              </w:r>
                            </w:p>
                          </w:txbxContent>
                        </wps:txbx>
                        <wps:bodyPr horzOverflow="overflow" vert="horz" lIns="0" tIns="0" rIns="0" bIns="0" rtlCol="0">
                          <a:noAutofit/>
                        </wps:bodyPr>
                      </wps:wsp>
                      <wps:wsp>
                        <wps:cNvPr id="18859" name="Rectangle 18859"/>
                        <wps:cNvSpPr/>
                        <wps:spPr>
                          <a:xfrm rot="-10799999">
                            <a:off x="1507239" y="2050084"/>
                            <a:ext cx="808467" cy="142889"/>
                          </a:xfrm>
                          <a:prstGeom prst="rect">
                            <a:avLst/>
                          </a:prstGeom>
                          <a:ln>
                            <a:noFill/>
                          </a:ln>
                        </wps:spPr>
                        <wps:txbx>
                          <w:txbxContent>
                            <w:p w14:paraId="5E41F2C1" w14:textId="77777777" w:rsidR="00B32EF2" w:rsidRDefault="00000000">
                              <w:r>
                                <w:rPr>
                                  <w:rFonts w:ascii="Arial" w:eastAsia="Arial" w:hAnsi="Arial" w:cs="Arial"/>
                                  <w:b/>
                                  <w:sz w:val="18"/>
                                </w:rPr>
                                <w:t>Articolo 65</w:t>
                              </w:r>
                            </w:p>
                          </w:txbxContent>
                        </wps:txbx>
                        <wps:bodyPr horzOverflow="overflow" vert="horz" lIns="0" tIns="0" rIns="0" bIns="0" rtlCol="0">
                          <a:noAutofit/>
                        </wps:bodyPr>
                      </wps:wsp>
                      <wps:wsp>
                        <wps:cNvPr id="201192" name="Rectangle 201192"/>
                        <wps:cNvSpPr/>
                        <wps:spPr>
                          <a:xfrm rot="-10799999">
                            <a:off x="-4076831" y="1926755"/>
                            <a:ext cx="4716009" cy="142889"/>
                          </a:xfrm>
                          <a:prstGeom prst="rect">
                            <a:avLst/>
                          </a:prstGeom>
                          <a:ln>
                            <a:noFill/>
                          </a:ln>
                        </wps:spPr>
                        <wps:txbx>
                          <w:txbxContent>
                            <w:p w14:paraId="6F0C72C8" w14:textId="77777777" w:rsidR="00B32EF2" w:rsidRDefault="00000000">
                              <w:r>
                                <w:rPr>
                                  <w:rFonts w:ascii="Arial" w:eastAsia="Arial" w:hAnsi="Arial" w:cs="Arial"/>
                                  <w:i/>
                                  <w:sz w:val="18"/>
                                </w:rPr>
                                <w:t>633/72)</w:t>
                              </w:r>
                            </w:p>
                          </w:txbxContent>
                        </wps:txbx>
                        <wps:bodyPr horzOverflow="overflow" vert="horz" lIns="0" tIns="0" rIns="0" bIns="0" rtlCol="0">
                          <a:noAutofit/>
                        </wps:bodyPr>
                      </wps:wsp>
                      <wps:wsp>
                        <wps:cNvPr id="201191" name="Rectangle 201191"/>
                        <wps:cNvSpPr/>
                        <wps:spPr>
                          <a:xfrm rot="-10799999">
                            <a:off x="2576490" y="1926755"/>
                            <a:ext cx="4716009" cy="142889"/>
                          </a:xfrm>
                          <a:prstGeom prst="rect">
                            <a:avLst/>
                          </a:prstGeom>
                          <a:ln>
                            <a:noFill/>
                          </a:ln>
                        </wps:spPr>
                        <wps:txbx>
                          <w:txbxContent>
                            <w:p w14:paraId="458CF18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193" name="Rectangle 201193"/>
                        <wps:cNvSpPr/>
                        <wps:spPr>
                          <a:xfrm rot="-10799999">
                            <a:off x="-566118" y="1926755"/>
                            <a:ext cx="4716009" cy="142889"/>
                          </a:xfrm>
                          <a:prstGeom prst="rect">
                            <a:avLst/>
                          </a:prstGeom>
                          <a:ln>
                            <a:noFill/>
                          </a:ln>
                        </wps:spPr>
                        <wps:txbx>
                          <w:txbxContent>
                            <w:p w14:paraId="35F7D1EA" w14:textId="77777777" w:rsidR="00B32EF2" w:rsidRDefault="00000000">
                              <w:r>
                                <w:rPr>
                                  <w:rFonts w:ascii="Arial" w:eastAsia="Arial" w:hAnsi="Arial" w:cs="Arial"/>
                                  <w:i/>
                                  <w:sz w:val="18"/>
                                </w:rPr>
                                <w:t xml:space="preserve">articoli 19 D.lgs. n. 546/92, 61 del dpr. n. 600/73 e 59 dpr. n. </w:t>
                              </w:r>
                            </w:p>
                          </w:txbxContent>
                        </wps:txbx>
                        <wps:bodyPr horzOverflow="overflow" vert="horz" lIns="0" tIns="0" rIns="0" bIns="0" rtlCol="0">
                          <a:noAutofit/>
                        </wps:bodyPr>
                      </wps:wsp>
                      <wps:wsp>
                        <wps:cNvPr id="18861" name="Rectangle 18861"/>
                        <wps:cNvSpPr/>
                        <wps:spPr>
                          <a:xfrm rot="-10799999">
                            <a:off x="251034" y="1803425"/>
                            <a:ext cx="2795964" cy="142889"/>
                          </a:xfrm>
                          <a:prstGeom prst="rect">
                            <a:avLst/>
                          </a:prstGeom>
                          <a:ln>
                            <a:noFill/>
                          </a:ln>
                        </wps:spPr>
                        <wps:txbx>
                          <w:txbxContent>
                            <w:p w14:paraId="5D7642E3" w14:textId="77777777" w:rsidR="00B32EF2" w:rsidRDefault="00000000">
                              <w:r>
                                <w:rPr>
                                  <w:rFonts w:ascii="Arial" w:eastAsia="Arial" w:hAnsi="Arial" w:cs="Arial"/>
                                  <w:b/>
                                  <w:sz w:val="18"/>
                                </w:rPr>
                                <w:t xml:space="preserve">Atti impugnabili e oggetto del ricorso </w:t>
                              </w:r>
                            </w:p>
                          </w:txbxContent>
                        </wps:txbx>
                        <wps:bodyPr horzOverflow="overflow" vert="horz" lIns="0" tIns="0" rIns="0" bIns="0" rtlCol="0">
                          <a:noAutofit/>
                        </wps:bodyPr>
                      </wps:wsp>
                      <wps:wsp>
                        <wps:cNvPr id="201187" name="Rectangle 201187"/>
                        <wps:cNvSpPr/>
                        <wps:spPr>
                          <a:xfrm rot="-10799999">
                            <a:off x="1072790" y="1680096"/>
                            <a:ext cx="2859827" cy="142889"/>
                          </a:xfrm>
                          <a:prstGeom prst="rect">
                            <a:avLst/>
                          </a:prstGeom>
                          <a:ln>
                            <a:noFill/>
                          </a:ln>
                        </wps:spPr>
                        <wps:txbx>
                          <w:txbxContent>
                            <w:p w14:paraId="638C419F" w14:textId="77777777" w:rsidR="00B32EF2" w:rsidRDefault="00000000">
                              <w:r>
                                <w:rPr>
                                  <w:rFonts w:ascii="Arial" w:eastAsia="Arial" w:hAnsi="Arial" w:cs="Arial"/>
                                  <w:sz w:val="18"/>
                                </w:rPr>
                                <w:t xml:space="preserve">. Il ricorso può essere proposto avverso: </w:t>
                              </w:r>
                            </w:p>
                          </w:txbxContent>
                        </wps:txbx>
                        <wps:bodyPr horzOverflow="overflow" vert="horz" lIns="0" tIns="0" rIns="0" bIns="0" rtlCol="0">
                          <a:noAutofit/>
                        </wps:bodyPr>
                      </wps:wsp>
                      <wps:wsp>
                        <wps:cNvPr id="201186" name="Rectangle 201186"/>
                        <wps:cNvSpPr/>
                        <wps:spPr>
                          <a:xfrm rot="-10799999">
                            <a:off x="3218670" y="1680096"/>
                            <a:ext cx="2859827" cy="142889"/>
                          </a:xfrm>
                          <a:prstGeom prst="rect">
                            <a:avLst/>
                          </a:prstGeom>
                          <a:ln>
                            <a:noFill/>
                          </a:ln>
                        </wps:spPr>
                        <wps:txbx>
                          <w:txbxContent>
                            <w:p w14:paraId="1E20FD88"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8863" name="Rectangle 18863"/>
                        <wps:cNvSpPr/>
                        <wps:spPr>
                          <a:xfrm rot="-10799999">
                            <a:off x="1375403" y="1556766"/>
                            <a:ext cx="2616400" cy="142889"/>
                          </a:xfrm>
                          <a:prstGeom prst="rect">
                            <a:avLst/>
                          </a:prstGeom>
                          <a:ln>
                            <a:noFill/>
                          </a:ln>
                        </wps:spPr>
                        <wps:txbx>
                          <w:txbxContent>
                            <w:p w14:paraId="285B706D" w14:textId="77777777" w:rsidR="00B32EF2" w:rsidRDefault="00000000">
                              <w:r>
                                <w:rPr>
                                  <w:rFonts w:ascii="Arial" w:eastAsia="Arial" w:hAnsi="Arial" w:cs="Arial"/>
                                  <w:sz w:val="18"/>
                                </w:rPr>
                                <w:t xml:space="preserve">a) l’avviso di accertamento del tributo; </w:t>
                              </w:r>
                            </w:p>
                          </w:txbxContent>
                        </wps:txbx>
                        <wps:bodyPr horzOverflow="overflow" vert="horz" lIns="0" tIns="0" rIns="0" bIns="0" rtlCol="0">
                          <a:noAutofit/>
                        </wps:bodyPr>
                      </wps:wsp>
                      <wps:wsp>
                        <wps:cNvPr id="18864" name="Rectangle 18864"/>
                        <wps:cNvSpPr/>
                        <wps:spPr>
                          <a:xfrm rot="-10799999">
                            <a:off x="1501958" y="1433436"/>
                            <a:ext cx="2489843" cy="142889"/>
                          </a:xfrm>
                          <a:prstGeom prst="rect">
                            <a:avLst/>
                          </a:prstGeom>
                          <a:ln>
                            <a:noFill/>
                          </a:ln>
                        </wps:spPr>
                        <wps:txbx>
                          <w:txbxContent>
                            <w:p w14:paraId="082A4006" w14:textId="77777777" w:rsidR="00B32EF2" w:rsidRDefault="00000000">
                              <w:r>
                                <w:rPr>
                                  <w:rFonts w:ascii="Arial" w:eastAsia="Arial" w:hAnsi="Arial" w:cs="Arial"/>
                                  <w:sz w:val="18"/>
                                </w:rPr>
                                <w:t xml:space="preserve">b) l’avviso di liquidazione del tributo; </w:t>
                              </w:r>
                            </w:p>
                          </w:txbxContent>
                        </wps:txbx>
                        <wps:bodyPr horzOverflow="overflow" vert="horz" lIns="0" tIns="0" rIns="0" bIns="0" rtlCol="0">
                          <a:noAutofit/>
                        </wps:bodyPr>
                      </wps:wsp>
                      <wps:wsp>
                        <wps:cNvPr id="18865" name="Rectangle 18865"/>
                        <wps:cNvSpPr/>
                        <wps:spPr>
                          <a:xfrm rot="-10799999">
                            <a:off x="1129679" y="1310107"/>
                            <a:ext cx="2862122" cy="142889"/>
                          </a:xfrm>
                          <a:prstGeom prst="rect">
                            <a:avLst/>
                          </a:prstGeom>
                          <a:ln>
                            <a:noFill/>
                          </a:ln>
                        </wps:spPr>
                        <wps:txbx>
                          <w:txbxContent>
                            <w:p w14:paraId="4CF12272" w14:textId="77777777" w:rsidR="00B32EF2" w:rsidRDefault="00000000">
                              <w:r>
                                <w:rPr>
                                  <w:rFonts w:ascii="Arial" w:eastAsia="Arial" w:hAnsi="Arial" w:cs="Arial"/>
                                  <w:sz w:val="18"/>
                                </w:rPr>
                                <w:t xml:space="preserve">c) il provvedimento che irroga le sanzioni; </w:t>
                              </w:r>
                            </w:p>
                          </w:txbxContent>
                        </wps:txbx>
                        <wps:bodyPr horzOverflow="overflow" vert="horz" lIns="0" tIns="0" rIns="0" bIns="0" rtlCol="0">
                          <a:noAutofit/>
                        </wps:bodyPr>
                      </wps:wsp>
                      <wps:wsp>
                        <wps:cNvPr id="18866" name="Rectangle 18866"/>
                        <wps:cNvSpPr/>
                        <wps:spPr>
                          <a:xfrm rot="-10799999">
                            <a:off x="1475188" y="1186777"/>
                            <a:ext cx="2516614" cy="142889"/>
                          </a:xfrm>
                          <a:prstGeom prst="rect">
                            <a:avLst/>
                          </a:prstGeom>
                          <a:ln>
                            <a:noFill/>
                          </a:ln>
                        </wps:spPr>
                        <wps:txbx>
                          <w:txbxContent>
                            <w:p w14:paraId="353704C4" w14:textId="77777777" w:rsidR="00B32EF2" w:rsidRDefault="00000000">
                              <w:r>
                                <w:rPr>
                                  <w:rFonts w:ascii="Arial" w:eastAsia="Arial" w:hAnsi="Arial" w:cs="Arial"/>
                                  <w:sz w:val="18"/>
                                </w:rPr>
                                <w:t xml:space="preserve">d) il ruolo e la cartella di pagamento; </w:t>
                              </w:r>
                            </w:p>
                          </w:txbxContent>
                        </wps:txbx>
                        <wps:bodyPr horzOverflow="overflow" vert="horz" lIns="0" tIns="0" rIns="0" bIns="0" rtlCol="0">
                          <a:noAutofit/>
                        </wps:bodyPr>
                      </wps:wsp>
                      <wps:wsp>
                        <wps:cNvPr id="18867" name="Rectangle 18867"/>
                        <wps:cNvSpPr/>
                        <wps:spPr>
                          <a:xfrm rot="-10799999">
                            <a:off x="2684256" y="1063447"/>
                            <a:ext cx="1307546" cy="142889"/>
                          </a:xfrm>
                          <a:prstGeom prst="rect">
                            <a:avLst/>
                          </a:prstGeom>
                          <a:ln>
                            <a:noFill/>
                          </a:ln>
                        </wps:spPr>
                        <wps:txbx>
                          <w:txbxContent>
                            <w:p w14:paraId="20910A34" w14:textId="77777777" w:rsidR="00B32EF2" w:rsidRDefault="00000000">
                              <w:r>
                                <w:rPr>
                                  <w:rFonts w:ascii="Arial" w:eastAsia="Arial" w:hAnsi="Arial" w:cs="Arial"/>
                                  <w:sz w:val="18"/>
                                </w:rPr>
                                <w:t xml:space="preserve">e) l’avviso di mora; </w:t>
                              </w:r>
                            </w:p>
                          </w:txbxContent>
                        </wps:txbx>
                        <wps:bodyPr horzOverflow="overflow" vert="horz" lIns="0" tIns="0" rIns="0" bIns="0" rtlCol="0">
                          <a:noAutofit/>
                        </wps:bodyPr>
                      </wps:wsp>
                      <wps:wsp>
                        <wps:cNvPr id="18868" name="Rectangle 18868"/>
                        <wps:cNvSpPr/>
                        <wps:spPr>
                          <a:xfrm rot="-10799999">
                            <a:off x="-1219293" y="940117"/>
                            <a:ext cx="5212124" cy="142889"/>
                          </a:xfrm>
                          <a:prstGeom prst="rect">
                            <a:avLst/>
                          </a:prstGeom>
                          <a:ln>
                            <a:noFill/>
                          </a:ln>
                        </wps:spPr>
                        <wps:txbx>
                          <w:txbxContent>
                            <w:p w14:paraId="1C0FDEF5" w14:textId="77777777" w:rsidR="00B32EF2" w:rsidRDefault="00000000">
                              <w:r>
                                <w:rPr>
                                  <w:rFonts w:ascii="Arial" w:eastAsia="Arial" w:hAnsi="Arial" w:cs="Arial"/>
                                  <w:sz w:val="18"/>
                                </w:rPr>
                                <w:t>f) l’iscrizione di ipoteca sugli immobili di cui all’articolo 77 del decreto del Pre</w:t>
                              </w:r>
                            </w:p>
                          </w:txbxContent>
                        </wps:txbx>
                        <wps:bodyPr horzOverflow="overflow" vert="horz" lIns="0" tIns="0" rIns="0" bIns="0" rtlCol="0">
                          <a:noAutofit/>
                        </wps:bodyPr>
                      </wps:wsp>
                      <wps:wsp>
                        <wps:cNvPr id="18869" name="Rectangle 18869"/>
                        <wps:cNvSpPr/>
                        <wps:spPr>
                          <a:xfrm rot="-10799999">
                            <a:off x="19203" y="940117"/>
                            <a:ext cx="50622" cy="142889"/>
                          </a:xfrm>
                          <a:prstGeom prst="rect">
                            <a:avLst/>
                          </a:prstGeom>
                          <a:ln>
                            <a:noFill/>
                          </a:ln>
                        </wps:spPr>
                        <wps:txbx>
                          <w:txbxContent>
                            <w:p w14:paraId="336F0D4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870" name="Rectangle 18870"/>
                        <wps:cNvSpPr/>
                        <wps:spPr>
                          <a:xfrm rot="-10799999">
                            <a:off x="449698" y="816788"/>
                            <a:ext cx="3542104" cy="142889"/>
                          </a:xfrm>
                          <a:prstGeom prst="rect">
                            <a:avLst/>
                          </a:prstGeom>
                          <a:ln>
                            <a:noFill/>
                          </a:ln>
                        </wps:spPr>
                        <wps:txbx>
                          <w:txbxContent>
                            <w:p w14:paraId="5B232ADE" w14:textId="77777777" w:rsidR="00B32EF2" w:rsidRDefault="00000000">
                              <w:r>
                                <w:rPr>
                                  <w:rFonts w:ascii="Arial" w:eastAsia="Arial" w:hAnsi="Arial" w:cs="Arial"/>
                                  <w:sz w:val="18"/>
                                </w:rPr>
                                <w:t>sidente della Repubblica 29 settembre 1973, n. 602;</w:t>
                              </w:r>
                            </w:p>
                          </w:txbxContent>
                        </wps:txbx>
                        <wps:bodyPr horzOverflow="overflow" vert="horz" lIns="0" tIns="0" rIns="0" bIns="0" rtlCol="0">
                          <a:noAutofit/>
                        </wps:bodyPr>
                      </wps:wsp>
                      <wps:wsp>
                        <wps:cNvPr id="18871" name="Rectangle 18871"/>
                        <wps:cNvSpPr/>
                        <wps:spPr>
                          <a:xfrm rot="-10799999">
                            <a:off x="-1220504" y="693458"/>
                            <a:ext cx="5212307" cy="142889"/>
                          </a:xfrm>
                          <a:prstGeom prst="rect">
                            <a:avLst/>
                          </a:prstGeom>
                          <a:ln>
                            <a:noFill/>
                          </a:ln>
                        </wps:spPr>
                        <wps:txbx>
                          <w:txbxContent>
                            <w:p w14:paraId="306AD0A2" w14:textId="77777777" w:rsidR="00B32EF2" w:rsidRDefault="00000000">
                              <w:r>
                                <w:rPr>
                                  <w:rFonts w:ascii="Arial" w:eastAsia="Arial" w:hAnsi="Arial" w:cs="Arial"/>
                                  <w:sz w:val="18"/>
                                </w:rPr>
                                <w:t>g) il fermo di beni mobili registrati di cui all’articolo 86 del decreto del Presiden</w:t>
                              </w:r>
                            </w:p>
                          </w:txbxContent>
                        </wps:txbx>
                        <wps:bodyPr horzOverflow="overflow" vert="horz" lIns="0" tIns="0" rIns="0" bIns="0" rtlCol="0">
                          <a:noAutofit/>
                        </wps:bodyPr>
                      </wps:wsp>
                      <wps:wsp>
                        <wps:cNvPr id="18872" name="Rectangle 18872"/>
                        <wps:cNvSpPr/>
                        <wps:spPr>
                          <a:xfrm rot="-10799999">
                            <a:off x="19203" y="693458"/>
                            <a:ext cx="50622" cy="142889"/>
                          </a:xfrm>
                          <a:prstGeom prst="rect">
                            <a:avLst/>
                          </a:prstGeom>
                          <a:ln>
                            <a:noFill/>
                          </a:ln>
                        </wps:spPr>
                        <wps:txbx>
                          <w:txbxContent>
                            <w:p w14:paraId="0622726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873" name="Rectangle 18873"/>
                        <wps:cNvSpPr/>
                        <wps:spPr>
                          <a:xfrm rot="-10799999">
                            <a:off x="774988" y="570128"/>
                            <a:ext cx="3216813" cy="142889"/>
                          </a:xfrm>
                          <a:prstGeom prst="rect">
                            <a:avLst/>
                          </a:prstGeom>
                          <a:ln>
                            <a:noFill/>
                          </a:ln>
                        </wps:spPr>
                        <wps:txbx>
                          <w:txbxContent>
                            <w:p w14:paraId="6471348C" w14:textId="77777777" w:rsidR="00B32EF2" w:rsidRDefault="00000000">
                              <w:r>
                                <w:rPr>
                                  <w:rFonts w:ascii="Arial" w:eastAsia="Arial" w:hAnsi="Arial" w:cs="Arial"/>
                                  <w:sz w:val="18"/>
                                </w:rPr>
                                <w:t xml:space="preserve">te della Repubblica 29 settembre 1973, n. 602; </w:t>
                              </w:r>
                            </w:p>
                          </w:txbxContent>
                        </wps:txbx>
                        <wps:bodyPr horzOverflow="overflow" vert="horz" lIns="0" tIns="0" rIns="0" bIns="0" rtlCol="0">
                          <a:noAutofit/>
                        </wps:bodyPr>
                      </wps:wsp>
                      <wps:wsp>
                        <wps:cNvPr id="18874" name="Rectangle 18874"/>
                        <wps:cNvSpPr/>
                        <wps:spPr>
                          <a:xfrm rot="-10799999">
                            <a:off x="-1124336" y="446798"/>
                            <a:ext cx="5116139" cy="142889"/>
                          </a:xfrm>
                          <a:prstGeom prst="rect">
                            <a:avLst/>
                          </a:prstGeom>
                          <a:ln>
                            <a:noFill/>
                          </a:ln>
                        </wps:spPr>
                        <wps:txbx>
                          <w:txbxContent>
                            <w:p w14:paraId="3C73CB8E" w14:textId="77777777" w:rsidR="00B32EF2" w:rsidRDefault="00000000">
                              <w:r>
                                <w:rPr>
                                  <w:rFonts w:ascii="Arial" w:eastAsia="Arial" w:hAnsi="Arial" w:cs="Arial"/>
                                  <w:sz w:val="18"/>
                                </w:rPr>
                                <w:t xml:space="preserve">h) gli atti relativi alle operazioni catastali indicate nell’articolo 46, comma 2; </w:t>
                              </w:r>
                            </w:p>
                          </w:txbxContent>
                        </wps:txbx>
                        <wps:bodyPr horzOverflow="overflow" vert="horz" lIns="0" tIns="0" rIns="0" bIns="0" rtlCol="0">
                          <a:noAutofit/>
                        </wps:bodyPr>
                      </wps:wsp>
                    </wpg:wgp>
                  </a:graphicData>
                </a:graphic>
              </wp:inline>
            </w:drawing>
          </mc:Choice>
          <mc:Fallback>
            <w:pict>
              <v:group w14:anchorId="6F4B8308" id="Group 201242" o:spid="_x0000_s4122" style="width:314.3pt;height:493.15pt;mso-position-horizontal-relative:char;mso-position-vertical-relative:line" coordsize="39918,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tsppgkAAMJvAAAOAAAAZHJzL2Uyb0RvYy54bWzknW2PGrcahr8fqf8B8Z3gd3tQNlXVl6hS&#10;dVKdnv4AwsIuEjBoINlNf33vxzYmTJxWmpHqVd0PW9ZshrGveV58+7F5/e3zfjf5uO5O2/ZwN+Wv&#10;2HSyPqza++3h4W76+/9/mrnp5HReHu6Xu/awvpt+Wp+m37755j+vn46LtWgf2939upvgIofT4ul4&#10;N308n4+L+fy0elzvl6dX7XF9wJubttsvz/i1e5jfd8snXH2/mwvGzPyp7e6PXbtan05o/SG8OX3j&#10;r7/ZrFfnd5vNaX2e7O6muLez/9n5n+/p5/zN6+XioVseH7ereBvLAXexX24P+NB0qR+W5+XkQ7f9&#10;4lL77aprT+3m/GrV7uftZrNdrX0f0BvOer1527Ufjr4vD4unh2MaJgxtb5wGX3b1349vu+Nvx187&#10;jMTT8QFj4X+jvjxvuj39H3c5efZD9ikN2fr5PFmhUTYNd0xMJyu8Z4QRTqswqKtHjPwX/271+OPf&#10;/Mv55YPnN7fzdMQDcrqOwWncGPz2uDyu/dCeFhiDX7vJ9h7Pr3MCD+xhucej+j88PMvDw249Cc1+&#10;gPxfp+E6LU4YuctYTboWz9eMM9vQf/55iGPHG8akwzBhlGZG4NcwSJdh5NZJ04RRFJoZZej9NBTL&#10;xbE7nd+u2/2EXtxNO9ybv/7y4y+nc/jTy5/Q7ewO9PPQ/rTd7cK71IIRvdwxvTo/v3/23RaNdvR5&#10;1Pi+vf+E0Xhsuz/ewa43u/bpbtrGV1MydXw8vTud7H4+gAJZ1eVFd3nx/vKiO+++b73thRv67sO5&#10;3Wz9HV8/Ld4Z8IZ7+Ec4Y7RznJvLQOCpGMBZO2YwmMTZcN40Rt+CNngQuAqguRLO+c/7B0Gn/tUC&#10;WuIBzYBGc3zih4GWUjLAI9AamI3sgebMWebwJJBjLEHapA5WQ5rnSfNxpA1cM5OBtFVNY71vXi4u&#10;vlsLDUsvCDr1rxrQCKQ5kxajQM+40E7pSBq5TIzCn5PmyrKSqFMPq0ENHDnUchRqzp0yZLPkvTWT&#10;kvdsmkvg17qgUacOVkMaWVGOtJ9OUK44LE5rKawMiTccNaBaenKuNm2N1apgQmZS/6oBDbPKgfYJ&#10;1GDQ2grDQuKtOZIz0eMsJLNWIRcslo+l/lUD2uRBe187GDTH9JjZQFo5Z4zxc9erRTvOlCgZpFP/&#10;qgAN3UpQTtQ36dg+apLFjbGQQihMK2tg1T3UvEFqDqWlnFF7L3NVMv7luolnar/COg3FoEAthMAs&#10;Ctd+uazr0sg8a7jZrF2noRjEeia0dDFYB7vuBevydl2fTJZBDd07eNwRwVo3iiPhI6s2ijFEipv0&#10;2zSNcgXnWbYulcwbdWZKHdvHBGthOGscZlKEWlPk7qHWJJiSZFoqA7d1CWWeaSYFj+1jWM+4RDqG&#10;8fxr2FjlKge7OqmMJrf9YA0PjuYxqKXWTihYLZm1bKTE6xsPrqSAsFIQdF1KGawXy4pfko7to1AL&#10;6bSO0y1hsVDZQy2sbQytYhfz4HWJZd5TZ6w6to9hPYMAzprowL/OGqlCMdZ16WWeaWZdK7aPYc25&#10;taIJ61rqZbKuSzKjqJxBHZrHkJ4JWDWLVs2VQbVJL1gLaR0ruNxhk0pUhThKSDPTrdA8ijSX3Aoe&#10;ZXAmJITQW9SYbjVM4Fko5sCTSFQN6vwSJpYXx6EWgukmiCgS9WMs1C5dVzy04EI2eBaKofaJYjUy&#10;OJkvcOQmWylpGSSM8kaQc8ZUK8+ZGVEw+3ZpJlmNQWfkE4Kf0pVBlFEAbJkOUVpaFCAgYsNBXO0Z&#10;tSmO6qiL2bOrSykjpJlVrdA8xnVrlCKIaNBGS1LMbkBLpZiCTloOdH0qWX6dQ6VkZZBJKwVdJEZo&#10;JF5M9UGjxqhB7lsOdF0qGZluRiQLzWMsWnLJRBNNWjFjubegq+92BgUqJUGnZLOKIA15xFcN9HOx&#10;2D4GNeqBlcLGnJCPCYfqkx5rzS1XuqT7TulmPbAzKZmHPS4nEwZrlrEkQX6ddcE5lksdrII1XDWl&#10;yH27Ds2jzNoZZw2mUTTL4pDLdM+qlTNMoyy3XKyuTiMDgizplJ0OSsqwSg2NLG7dkUwaK3wWdA3W&#10;XiNj8CilhBNsEIvPcjVGnZdDse1mjFGjAhXloaF6UDSo/8ZyB653Jc1do1GAVJB0dRIZCRg5950S&#10;1GFGbbHbLqxRCwsx1PRAIyc3TcnteGHJpRot1OdeGTE0to8xavhvx6QNoRr7sYyVPdjef2PnbTH/&#10;jRX0mvy3h5ox69g+BrYvH7RhkfqFsk7ZSDWxOjPXogQ8zUSGeXCflsFvUwYutJIKKdpNsPZmbQqm&#10;ZSF7qMaHE9O8/h12Sw4u/w4ZeJTLhMKBPbDwL1HTto9SGThuriYPTqjzCvj1CJhBVk17qEWs9Bei&#10;wb4tP7DXDBz7bLUrCbourYxA5xVwNI8J1CRvo9ogeG+mGUPN/41JY2ePMiVBp/BURZz2uVdGP4nt&#10;Y1DPFLM4/SSsVKM2gUz4lrWypKAVVMAROmpy3x5qRhaN7WNgC22Noh0byMpeKOu6xDLPNKOWxfYx&#10;rGc4CANnoLxk1ilIVeHEEa1NxqxD8xjSOJuKSczYyaghpigUKeBy16wMGppuyumiKJWoq6iMjJey&#10;4L4wGtvHoMa5k6SIBtbGISz7ROgz1sgIHc5FKTTXAuv61DKs2uZZpyR12GwLpd+oG3zJrKtTy0jR&#10;6ps1OXCveAyWULDTVpNA5j04dudZ6GK3Htxw2lhf0KpTB6sJ1RkJnEgnKWmQTWNizekgXk9aYaOt&#10;7JNW2D9P20nKaGVU1ljVZIuQZla2QvOoSM1JIAsSCsRwHPzdO/9EOGhp5Ur9Qbo6sYyWG3Lee1yc&#10;xnmhGs9LsGkK2WH/22c5GZ2UUe5AaJBOHazGe2fSb7LppCQN8t7CYE9n3DzPUZWgsKPgJk6jcBiR&#10;vNiiFkinDlZDOr/SEQ4MHJyRoS4Y+ljcT90oTOh6pGk7HmqHC8bpuoQyMt78UgeaR8VpbMcLmXcW&#10;c8ndeDDn1LdazJnmu5kQfT3Ca5DjxsYcQ3tnoZA5bmyoyLwGaKmVwIGi5YyZ1yWQwZjpXKkc56Qe&#10;DeIMt41t1HF7rWmkCgveV9J+F3W5rTsSgeTiraqx6My6JT0ASTsaRJp2UQe3ncVc1m2H/WI1lRZR&#10;UV/OnJNsNAgyDvNu4sRKYwM1vrbpJtuWghvHC2ol+OyYelRjzHlVzCbRaBDnGUcqjdNNfIDGNluL&#10;WH1DmsrBOdWjlFLFMHt/IaT9N6bhi+L8N4fFL7Wjb6L7/Hf/XVvXr9578ycAAAD//wMAUEsDBBQA&#10;BgAIAAAAIQAYDQZs3QAAAAUBAAAPAAAAZHJzL2Rvd25yZXYueG1sTI9BS8NAEIXvgv9hGcGb3aTF&#10;ENNsSinqqQi2gvQ2zU6T0OxsyG6T9N+7eqmXgcd7vPdNvppMKwbqXWNZQTyLQBCXVjdcKfjavz2l&#10;IJxH1thaJgVXcrAq7u9yzLQd+ZOGna9EKGGXoYLa+y6T0pU1GXQz2xEH72R7gz7IvpK6xzGUm1bO&#10;oyiRBhsOCzV2tKmpPO8uRsH7iON6Eb8O2/Npcz3snz++tzEp9fgwrZcgPE3+FoZf/IAORWA62gtr&#10;J1oF4RH/d4OXzNMExFHBS5osQBa5/E9f/AAAAP//AwBQSwECLQAUAAYACAAAACEAtoM4kv4AAADh&#10;AQAAEwAAAAAAAAAAAAAAAAAAAAAAW0NvbnRlbnRfVHlwZXNdLnhtbFBLAQItABQABgAIAAAAIQA4&#10;/SH/1gAAAJQBAAALAAAAAAAAAAAAAAAAAC8BAABfcmVscy8ucmVsc1BLAQItABQABgAIAAAAIQBZ&#10;stsppgkAAMJvAAAOAAAAAAAAAAAAAAAAAC4CAABkcnMvZTJvRG9jLnhtbFBLAQItABQABgAIAAAA&#10;IQAYDQZs3QAAAAUBAAAPAAAAAAAAAAAAAAAAAAAMAABkcnMvZG93bnJldi54bWxQSwUGAAAAAAQA&#10;BADzAAAACg0AAAAA&#10;">
                <v:rect id="Rectangle 18828" o:spid="_x0000_s4123" style="position:absolute;left:19003;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npGxwAAAN4AAAAPAAAAZHJzL2Rvd25yZXYueG1sRI9Pa8Mw&#10;DMXvg30Ho8Juq9MeRsjqltFRlsMu/Qc7ilhN0sayid0m66efDoPeJN7Tez8tVqPr1I362Ho2MJtm&#10;oIgrb1uuDRz2m9ccVEzIFjvPZOCXIqyWz08LLKwfeEu3XaqVhHAs0ECTUii0jlVDDuPUB2LRTr53&#10;mGTta217HCTcdXqeZW/aYcvS0GCgdUPVZXd1Bn4+OZSbQVen+zp8n8u8+7oejsa8TMaPd1CJxvQw&#10;/1+XVvDzfC688o7MoJd/AAAA//8DAFBLAQItABQABgAIAAAAIQDb4fbL7gAAAIUBAAATAAAAAAAA&#10;AAAAAAAAAAAAAABbQ29udGVudF9UeXBlc10ueG1sUEsBAi0AFAAGAAgAAAAhAFr0LFu/AAAAFQEA&#10;AAsAAAAAAAAAAAAAAAAAHwEAAF9yZWxzLy5yZWxzUEsBAi0AFAAGAAgAAAAhAKEeekbHAAAA3gAA&#10;AA8AAAAAAAAAAAAAAAAABwIAAGRycy9kb3ducmV2LnhtbFBLBQYAAAAAAwADALcAAAD7AgAAAAA=&#10;" filled="f" stroked="f">
                  <v:textbox inset="0,0,0,0">
                    <w:txbxContent>
                      <w:p w14:paraId="573449FD" w14:textId="77777777" w:rsidR="00B32EF2" w:rsidRDefault="00000000">
                        <w:r>
                          <w:rPr>
                            <w:rFonts w:ascii="Times New Roman" w:eastAsia="Times New Roman" w:hAnsi="Times New Roman" w:cs="Times New Roman"/>
                          </w:rPr>
                          <w:t>59</w:t>
                        </w:r>
                      </w:p>
                    </w:txbxContent>
                  </v:textbox>
                </v:rect>
                <v:rect id="Rectangle 18829" o:spid="_x0000_s4124" style="position:absolute;left:15806;top:61199;width:69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t/dxAAAAN4AAAAPAAAAZHJzL2Rvd25yZXYueG1sRE9Na8JA&#10;EL0X+h+WKfRWN/VQ0ugqRRFz6EUbweOQHZNodnbJrib117uC4G0e73Om88G04kKdbywr+BwlIIhL&#10;qxuuFBR/q48UhA/IGlvLpOCfPMxnry9TzLTteUOXbahEDGGfoYI6BJdJ6cuaDPqRdcSRO9jOYIiw&#10;q6TusI/hppXjJPmSBhuODTU6WtRUnrZno2C/ZJevelkergv3e8zTdn0udkq9vw0/ExCBhvAUP9y5&#10;jvPTdPwN93fiDXJ2AwAA//8DAFBLAQItABQABgAIAAAAIQDb4fbL7gAAAIUBAAATAAAAAAAAAAAA&#10;AAAAAAAAAABbQ29udGVudF9UeXBlc10ueG1sUEsBAi0AFAAGAAgAAAAhAFr0LFu/AAAAFQEAAAsA&#10;AAAAAAAAAAAAAAAAHwEAAF9yZWxzLy5yZWxzUEsBAi0AFAAGAAgAAAAhAM5S393EAAAA3gAAAA8A&#10;AAAAAAAAAAAAAAAABwIAAGRycy9kb3ducmV2LnhtbFBLBQYAAAAAAwADALcAAAD4AgAAAAA=&#10;" filled="f" stroked="f">
                  <v:textbox inset="0,0,0,0">
                    <w:txbxContent>
                      <w:p w14:paraId="0EC0DC73" w14:textId="77777777" w:rsidR="00B32EF2" w:rsidRDefault="00000000">
                        <w:r>
                          <w:rPr>
                            <w:rFonts w:ascii="Arial" w:eastAsia="Arial" w:hAnsi="Arial" w:cs="Arial"/>
                            <w:b/>
                            <w:sz w:val="18"/>
                          </w:rPr>
                          <w:t>TITOLO II</w:t>
                        </w:r>
                      </w:p>
                    </w:txbxContent>
                  </v:textbox>
                </v:rect>
                <v:rect id="Rectangle 18830" o:spid="_x0000_s4125" style="position:absolute;left:13330;top:59966;width:108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eCdxwAAAN4AAAAPAAAAZHJzL2Rvd25yZXYueG1sRI9Ba8JA&#10;EIXvhf6HZQre6qYVSoiuUixiDr3UKngcsmMSzc4u2dXE/vrOodDbDPPmvfctVqPr1I362Ho28DLN&#10;QBFX3rZcG9h/b55zUDEhW+w8k4E7RVgtHx8WWFg/8BfddqlWYsKxQANNSqHQOlYNOYxTH4jldvK9&#10;wyRrX2vb4yDmrtOvWfamHbYsCQ0GWjdUXXZXZ+D4waHcDLo6/azD57nMu+11fzBm8jS+z0ElGtO/&#10;+O+7tFI/z2cCIDgyg17+AgAA//8DAFBLAQItABQABgAIAAAAIQDb4fbL7gAAAIUBAAATAAAAAAAA&#10;AAAAAAAAAAAAAABbQ29udGVudF9UeXBlc10ueG1sUEsBAi0AFAAGAAgAAAAhAFr0LFu/AAAAFQEA&#10;AAsAAAAAAAAAAAAAAAAAHwEAAF9yZWxzLy5yZWxzUEsBAi0AFAAGAAgAAAAhANqx4J3HAAAA3gAA&#10;AA8AAAAAAAAAAAAAAAAABwIAAGRycy9kb3ducmV2LnhtbFBLBQYAAAAAAwADALcAAAD7AgAAAAA=&#10;" filled="f" stroked="f">
                  <v:textbox inset="0,0,0,0">
                    <w:txbxContent>
                      <w:p w14:paraId="0542DC05" w14:textId="77777777" w:rsidR="00B32EF2" w:rsidRDefault="00000000">
                        <w:r>
                          <w:rPr>
                            <w:rFonts w:ascii="Arial" w:eastAsia="Arial" w:hAnsi="Arial" w:cs="Arial"/>
                            <w:b/>
                            <w:sz w:val="18"/>
                          </w:rPr>
                          <w:t xml:space="preserve"> IL PROCESSO</w:t>
                        </w:r>
                      </w:p>
                    </w:txbxContent>
                  </v:textbox>
                </v:rect>
                <v:rect id="Rectangle 18831" o:spid="_x0000_s4126" style="position:absolute;left:16836;top:57499;width:52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UGxAAAAN4AAAAPAAAAZHJzL2Rvd25yZXYueG1sRE9Ni8Iw&#10;EL0L/ocwwt40dRekdI0iimwPXnQV9jg0Y1ttJqGJtvrrzcLC3ubxPme+7E0j7tT62rKC6SQBQVxY&#10;XXOp4Pi9HacgfEDW2FgmBQ/ysFwMB3PMtO14T/dDKEUMYZ+hgioEl0npi4oM+ol1xJE729ZgiLAt&#10;pW6xi+Gmke9JMpMGa44NFTpaV1RcDzej4GfDLt92sjg/1253ydPm63Y8KfU26lefIAL14V/85851&#10;nJ+mH1P4fSfeIBcvAAAA//8DAFBLAQItABQABgAIAAAAIQDb4fbL7gAAAIUBAAATAAAAAAAAAAAA&#10;AAAAAAAAAABbQ29udGVudF9UeXBlc10ueG1sUEsBAi0AFAAGAAgAAAAhAFr0LFu/AAAAFQEAAAsA&#10;AAAAAAAAAAAAAAAAHwEAAF9yZWxzLy5yZWxzUEsBAi0AFAAGAAgAAAAhALX9RQbEAAAA3gAAAA8A&#10;AAAAAAAAAAAAAAAABwIAAGRycy9kb3ducmV2LnhtbFBLBQYAAAAAAwADALcAAAD4AgAAAAA=&#10;" filled="f" stroked="f">
                  <v:textbox inset="0,0,0,0">
                    <w:txbxContent>
                      <w:p w14:paraId="0D37519B" w14:textId="77777777" w:rsidR="00B32EF2" w:rsidRDefault="00000000">
                        <w:r>
                          <w:rPr>
                            <w:rFonts w:ascii="Arial" w:eastAsia="Arial" w:hAnsi="Arial" w:cs="Arial"/>
                            <w:b/>
                            <w:sz w:val="18"/>
                          </w:rPr>
                          <w:t>CAPO I</w:t>
                        </w:r>
                      </w:p>
                    </w:txbxContent>
                  </v:textbox>
                </v:rect>
                <v:rect id="Rectangle 18832" o:spid="_x0000_s4127" style="position:absolute;left:-12584;top:56266;width:521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9txxAAAAN4AAAAPAAAAZHJzL2Rvd25yZXYueG1sRE9Na8JA&#10;EL0X+h+WKfRWN7UgIbpKUcQcetFG8DhkxySanV2yq0n99a4g9DaP9zmzxWBacaXON5YVfI4SEMSl&#10;1Q1XCorf9UcKwgdkja1lUvBHHhbz15cZZtr2vKXrLlQihrDPUEEdgsuk9GVNBv3IOuLIHW1nMETY&#10;VVJ32Mdw08pxkkykwYZjQ42OljWV593FKDis2OXrXpbH29L9nPK03VyKvVLvb8P3FESgIfyLn+5c&#10;x/lp+jWGxzvxBjm/AwAA//8DAFBLAQItABQABgAIAAAAIQDb4fbL7gAAAIUBAAATAAAAAAAAAAAA&#10;AAAAAAAAAABbQ29udGVudF9UeXBlc10ueG1sUEsBAi0AFAAGAAgAAAAhAFr0LFu/AAAAFQEAAAsA&#10;AAAAAAAAAAAAAAAAHwEAAF9yZWxzLy5yZWxzUEsBAi0AFAAGAAgAAAAhAEUv23HEAAAA3gAAAA8A&#10;AAAAAAAAAAAAAAAABwIAAGRycy9kb3ducmV2LnhtbFBLBQYAAAAAAwADALcAAAD4AgAAAAA=&#10;" filled="f" stroked="f">
                  <v:textbox inset="0,0,0,0">
                    <w:txbxContent>
                      <w:p w14:paraId="7467CE41" w14:textId="77777777" w:rsidR="00B32EF2" w:rsidRDefault="00000000">
                        <w:r>
                          <w:rPr>
                            <w:rFonts w:ascii="Arial" w:eastAsia="Arial" w:hAnsi="Arial" w:cs="Arial"/>
                            <w:b/>
                            <w:sz w:val="18"/>
                          </w:rPr>
                          <w:t xml:space="preserve"> IL PROCEDIMENTO DINANZI ALLA CORTE DI GIUSTIZIA TRIBUTARIA </w:t>
                        </w:r>
                      </w:p>
                    </w:txbxContent>
                  </v:textbox>
                </v:rect>
                <v:rect id="Rectangle 18833" o:spid="_x0000_s4128" style="position:absolute;left:11846;top:55033;width:132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37qxAAAAN4AAAAPAAAAZHJzL2Rvd25yZXYueG1sRE9Na8JA&#10;EL0L/odlBG+6qUIJqasURcyhl2qEHofsmKTNzi7Z1aT+erdQ8DaP9zmrzWBacaPON5YVvMwTEMSl&#10;1Q1XCorTfpaC8AFZY2uZFPySh816PFphpm3Pn3Q7hkrEEPYZKqhDcJmUvqzJoJ9bRxy5i+0Mhgi7&#10;SuoO+xhuWrlIkldpsOHYUKOjbU3lz/FqFHzt2OX7XpaX+9Z9fOdpe7gWZ6Wmk+H9DUSgITzF/+5c&#10;x/lpulzC3zvxBrl+AAAA//8DAFBLAQItABQABgAIAAAAIQDb4fbL7gAAAIUBAAATAAAAAAAAAAAA&#10;AAAAAAAAAABbQ29udGVudF9UeXBlc10ueG1sUEsBAi0AFAAGAAgAAAAhAFr0LFu/AAAAFQEAAAsA&#10;AAAAAAAAAAAAAAAAHwEAAF9yZWxzLy5yZWxzUEsBAi0AFAAGAAgAAAAhACpjfurEAAAA3gAAAA8A&#10;AAAAAAAAAAAAAAAABwIAAGRycy9kb3ducmV2LnhtbFBLBQYAAAAAAwADALcAAAD4AgAAAAA=&#10;" filled="f" stroked="f">
                  <v:textbox inset="0,0,0,0">
                    <w:txbxContent>
                      <w:p w14:paraId="0D2A89A4" w14:textId="77777777" w:rsidR="00B32EF2" w:rsidRDefault="00000000">
                        <w:r>
                          <w:rPr>
                            <w:rFonts w:ascii="Arial" w:eastAsia="Arial" w:hAnsi="Arial" w:cs="Arial"/>
                            <w:b/>
                            <w:sz w:val="18"/>
                          </w:rPr>
                          <w:t>DI PRIMO GRADO</w:t>
                        </w:r>
                      </w:p>
                    </w:txbxContent>
                  </v:textbox>
                </v:rect>
                <v:rect id="Rectangle 18834" o:spid="_x0000_s4129" style="position:absolute;left:15327;top:52566;width:76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uaexAAAAN4AAAAPAAAAZHJzL2Rvd25yZXYueG1sRE9Na8JA&#10;EL0X/A/LCN7qplVKSF2lWMQcvGgt9DhkxySanV2yq4n+elcoeJvH+5zZojeNuFDra8sK3sYJCOLC&#10;6ppLBfuf1WsKwgdkjY1lUnAlD4v54GWGmbYdb+myC6WIIewzVFCF4DIpfVGRQT+2jjhyB9saDBG2&#10;pdQtdjHcNPI9ST6kwZpjQ4WOlhUVp93ZKPj7ZpevOlkcbku3OeZpsz7vf5UaDfuvTxCB+vAU/7tz&#10;Heen6WQKj3fiDXJ+BwAA//8DAFBLAQItABQABgAIAAAAIQDb4fbL7gAAAIUBAAATAAAAAAAAAAAA&#10;AAAAAAAAAABbQ29udGVudF9UeXBlc10ueG1sUEsBAi0AFAAGAAgAAAAhAFr0LFu/AAAAFQEAAAsA&#10;AAAAAAAAAAAAAAAAHwEAAF9yZWxzLy5yZWxzUEsBAi0AFAAGAAgAAAAhAKWK5p7EAAAA3gAAAA8A&#10;AAAAAAAAAAAAAAAABwIAAGRycy9kb3ducmV2LnhtbFBLBQYAAAAAAwADALcAAAD4AgAAAAA=&#10;" filled="f" stroked="f">
                  <v:textbox inset="0,0,0,0">
                    <w:txbxContent>
                      <w:p w14:paraId="76775231" w14:textId="77777777" w:rsidR="00B32EF2" w:rsidRDefault="00000000">
                        <w:r>
                          <w:rPr>
                            <w:rFonts w:ascii="Arial" w:eastAsia="Arial" w:hAnsi="Arial" w:cs="Arial"/>
                            <w:b/>
                            <w:sz w:val="18"/>
                          </w:rPr>
                          <w:t>SEZIONE I</w:t>
                        </w:r>
                      </w:p>
                    </w:txbxContent>
                  </v:textbox>
                </v:rect>
                <v:rect id="Rectangle 18835" o:spid="_x0000_s4130" style="position:absolute;left:5726;top:51333;width:230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kMFxAAAAN4AAAAPAAAAZHJzL2Rvd25yZXYueG1sRE9Na8JA&#10;EL0X/A/LCN7qphVLSF2lWMQcvGgt9DhkxySanV2yq4n+elcoeJvH+5zZojeNuFDra8sK3sYJCOLC&#10;6ppLBfuf1WsKwgdkjY1lUnAlD4v54GWGmbYdb+myC6WIIewzVFCF4DIpfVGRQT+2jjhyB9saDBG2&#10;pdQtdjHcNPI9ST6kwZpjQ4WOlhUVp93ZKPj7ZpevOlkcbku3OeZpsz7vf5UaDfuvTxCB+vAU/7tz&#10;Heen6WQKj3fiDXJ+BwAA//8DAFBLAQItABQABgAIAAAAIQDb4fbL7gAAAIUBAAATAAAAAAAAAAAA&#10;AAAAAAAAAABbQ29udGVudF9UeXBlc10ueG1sUEsBAi0AFAAGAAgAAAAhAFr0LFu/AAAAFQEAAAsA&#10;AAAAAAAAAAAAAAAAHwEAAF9yZWxzLy5yZWxzUEsBAi0AFAAGAAgAAAAhAMrGQwXEAAAA3gAAAA8A&#10;AAAAAAAAAAAAAAAABwIAAGRycy9kb3ducmV2LnhtbFBLBQYAAAAAAwADALcAAAD4AgAAAAA=&#10;" filled="f" stroked="f">
                  <v:textbox inset="0,0,0,0">
                    <w:txbxContent>
                      <w:p w14:paraId="3F33381D" w14:textId="77777777" w:rsidR="00B32EF2" w:rsidRDefault="00000000">
                        <w:r>
                          <w:rPr>
                            <w:rFonts w:ascii="Arial" w:eastAsia="Arial" w:hAnsi="Arial" w:cs="Arial"/>
                            <w:b/>
                            <w:sz w:val="18"/>
                          </w:rPr>
                          <w:t xml:space="preserve"> INTRODUZIONE DEL GIUDIZIO</w:t>
                        </w:r>
                      </w:p>
                    </w:txbxContent>
                  </v:textbox>
                </v:rect>
                <v:rect id="Rectangle 18836" o:spid="_x0000_s4131" style="position:absolute;left:15060;top:48866;width:8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N1yxAAAAN4AAAAPAAAAZHJzL2Rvd25yZXYueG1sRE9La8JA&#10;EL4X/A/LCL3VTRUkpG6kKGIOXuoDehyyk0ebnV2yq0n99d1Cwdt8fM9ZrUfTiRv1vrWs4HWWgCAu&#10;rW65VnA+7V5SED4ga+wsk4If8rDOJ08rzLQd+INux1CLGMI+QwVNCC6T0pcNGfQz64gjV9neYIiw&#10;r6XucYjhppPzJFlKgy3HhgYdbRoqv49Xo+Bzy67YDbKs7ht3+CrSbn89X5R6no7vbyACjeEh/ncX&#10;Os5P08US/t6JN8j8FwAA//8DAFBLAQItABQABgAIAAAAIQDb4fbL7gAAAIUBAAATAAAAAAAAAAAA&#10;AAAAAAAAAABbQ29udGVudF9UeXBlc10ueG1sUEsBAi0AFAAGAAgAAAAhAFr0LFu/AAAAFQEAAAsA&#10;AAAAAAAAAAAAAAAAHwEAAF9yZWxzLy5yZWxzUEsBAi0AFAAGAAgAAAAhADoU3XLEAAAA3gAAAA8A&#10;AAAAAAAAAAAAAAAABwIAAGRycy9kb3ducmV2LnhtbFBLBQYAAAAAAwADALcAAAD4AgAAAAA=&#10;" filled="f" stroked="f">
                  <v:textbox inset="0,0,0,0">
                    <w:txbxContent>
                      <w:p w14:paraId="358BF417" w14:textId="77777777" w:rsidR="00B32EF2" w:rsidRDefault="00000000">
                        <w:r>
                          <w:rPr>
                            <w:rFonts w:ascii="Arial" w:eastAsia="Arial" w:hAnsi="Arial" w:cs="Arial"/>
                            <w:b/>
                            <w:sz w:val="18"/>
                          </w:rPr>
                          <w:t>Articolo 64</w:t>
                        </w:r>
                      </w:p>
                    </w:txbxContent>
                  </v:textbox>
                </v:rect>
                <v:rect id="Rectangle 201209" o:spid="_x0000_s4132" style="position:absolute;left:11667;top:47633;width:193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yxwAAAN8AAAAPAAAAZHJzL2Rvd25yZXYueG1sRI9BawIx&#10;FITvQv9DeIXeNHEPRbdGEYt0D71ULfT42Dx3t25ewia6W3+9KQgeh5n5hlmsBtuKC3WhcaxhOlEg&#10;iEtnGq40HPbb8QxEiMgGW8ek4Y8CrJZPowXmxvX8RZddrESCcMhRQx2jz6UMZU0Ww8R54uQdXWcx&#10;JtlV0nTYJ7htZabUq7TYcFqo0dOmpvK0O1sNP+/si20vy+N14z9/i1n7cT58a/3yPKzfQEQa4iN8&#10;bxdGQ6ammZrD/5/0BeTyBgAA//8DAFBLAQItABQABgAIAAAAIQDb4fbL7gAAAIUBAAATAAAAAAAA&#10;AAAAAAAAAAAAAABbQ29udGVudF9UeXBlc10ueG1sUEsBAi0AFAAGAAgAAAAhAFr0LFu/AAAAFQEA&#10;AAsAAAAAAAAAAAAAAAAAHwEAAF9yZWxzLy5yZWxzUEsBAi0AFAAGAAgAAAAhAItL/bLHAAAA3wAA&#10;AA8AAAAAAAAAAAAAAAAABwIAAGRycy9kb3ducmV2LnhtbFBLBQYAAAAAAwADALcAAAD7AgAAAAA=&#10;" filled="f" stroked="f">
                  <v:textbox inset="0,0,0,0">
                    <w:txbxContent>
                      <w:p w14:paraId="4500E354" w14:textId="77777777" w:rsidR="00B32EF2" w:rsidRDefault="00000000">
                        <w:r>
                          <w:rPr>
                            <w:rFonts w:ascii="Arial" w:eastAsia="Arial" w:hAnsi="Arial" w:cs="Arial"/>
                            <w:i/>
                            <w:sz w:val="18"/>
                          </w:rPr>
                          <w:t xml:space="preserve">articolo 18 D.lgs. n. </w:t>
                        </w:r>
                      </w:p>
                    </w:txbxContent>
                  </v:textbox>
                </v:rect>
                <v:rect id="Rectangle 201207" o:spid="_x0000_s4133" style="position:absolute;left:22211;top:47633;width:193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MxbxwAAAN8AAAAPAAAAZHJzL2Rvd25yZXYueG1sRI9BawIx&#10;FITvQv9DeIXeNHEPVVajiEW6h160Fnp8bJ67q5uXsInutr++EYQeh5n5hlmuB9uKG3WhcaxhOlEg&#10;iEtnGq40HD934zmIEJENto5Jww8FWK+eRkvMjet5T7dDrESCcMhRQx2jz6UMZU0Ww8R54uSdXGcx&#10;JtlV0nTYJ7htZabUq7TYcFqo0dO2pvJyuFoN32/si10vy9Pv1n+ci3n7fj1+af3yPGwWICIN8T/8&#10;aBdGQ6ammZrB/U/6AnL1BwAA//8DAFBLAQItABQABgAIAAAAIQDb4fbL7gAAAIUBAAATAAAAAAAA&#10;AAAAAAAAAAAAAABbQ29udGVudF9UeXBlc10ueG1sUEsBAi0AFAAGAAgAAAAhAFr0LFu/AAAAFQEA&#10;AAsAAAAAAAAAAAAAAAAAHwEAAF9yZWxzLy5yZWxzUEsBAi0AFAAGAAgAAAAhAJWYzFvHAAAA3wAA&#10;AA8AAAAAAAAAAAAAAAAABwIAAGRycy9kb3ducmV2LnhtbFBLBQYAAAAAAwADALcAAAD7AgAAAAA=&#10;" filled="f" stroked="f">
                  <v:textbox inset="0,0,0,0">
                    <w:txbxContent>
                      <w:p w14:paraId="6B9D871A" w14:textId="77777777" w:rsidR="00B32EF2" w:rsidRDefault="00000000">
                        <w:r>
                          <w:rPr>
                            <w:rFonts w:ascii="Arial" w:eastAsia="Arial" w:hAnsi="Arial" w:cs="Arial"/>
                            <w:i/>
                            <w:sz w:val="18"/>
                          </w:rPr>
                          <w:t>(</w:t>
                        </w:r>
                      </w:p>
                    </w:txbxContent>
                  </v:textbox>
                </v:rect>
                <v:rect id="Rectangle 201208" o:spid="_x0000_s4134" style="position:absolute;left:-2538;top:47633;width:193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1gpxAAAAN8AAAAPAAAAZHJzL2Rvd25yZXYueG1sRE/Pa8Iw&#10;FL4P/B/CE7zNxB6GVKOIIvawi87Bjo/m2Vabl9BEW/3rl8Ngx4/v93I92FY8qAuNYw2zqQJBXDrT&#10;cKXh/LV/n4MIEdlg65g0PCnAejV6W2JuXM9HepxiJVIIhxw11DH6XMpQ1mQxTJ0nTtzFdRZjgl0l&#10;TYd9CretzJT6kBYbTg01etrWVN5Od6vhZ8e+2PeyvLy2/vNazNvD/fyt9WQ8bBYgIg3xX/znLoyG&#10;TM0ylQanP+kLyNUvAAAA//8DAFBLAQItABQABgAIAAAAIQDb4fbL7gAAAIUBAAATAAAAAAAAAAAA&#10;AAAAAAAAAABbQ29udGVudF9UeXBlc10ueG1sUEsBAi0AFAAGAAgAAAAhAFr0LFu/AAAAFQEAAAsA&#10;AAAAAAAAAAAAAAAAHwEAAF9yZWxzLy5yZWxzUEsBAi0AFAAGAAgAAAAhAOQHWCnEAAAA3wAAAA8A&#10;AAAAAAAAAAAAAAAABwIAAGRycy9kb3ducmV2LnhtbFBLBQYAAAAAAwADALcAAAD4AgAAAAA=&#10;" filled="f" stroked="f">
                  <v:textbox inset="0,0,0,0">
                    <w:txbxContent>
                      <w:p w14:paraId="7184FCD1" w14:textId="77777777" w:rsidR="00B32EF2" w:rsidRDefault="00000000">
                        <w:r>
                          <w:rPr>
                            <w:rFonts w:ascii="Arial" w:eastAsia="Arial" w:hAnsi="Arial" w:cs="Arial"/>
                            <w:i/>
                            <w:sz w:val="18"/>
                          </w:rPr>
                          <w:t>546/92)</w:t>
                        </w:r>
                      </w:p>
                    </w:txbxContent>
                  </v:textbox>
                </v:rect>
                <v:rect id="Rectangle 18838" o:spid="_x0000_s4135" style="position:absolute;left:15594;top:46400;width:699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bxwAAAN4AAAAPAAAAZHJzL2Rvd25yZXYueG1sRI9Ba8JA&#10;EIXvhf6HZQre6qYVSoiuUixiDr3UKngcsmMSzc4u2dXE/vrOodDbDO/Ne98sVqPr1I362Ho28DLN&#10;QBFX3rZcG9h/b55zUDEhW+w8k4E7RVgtHx8WWFg/8BfddqlWEsKxQANNSqHQOlYNOYxTH4hFO/ne&#10;YZK1r7XtcZBw1+nXLHvTDluWhgYDrRuqLrurM3D84FBuBl2dftbh81zm3fa6PxgzeRrf56ASjenf&#10;/HddWsHP85nwyjsyg17+AgAA//8DAFBLAQItABQABgAIAAAAIQDb4fbL7gAAAIUBAAATAAAAAAAA&#10;AAAAAAAAAAAAAABbQ29udGVudF9UeXBlc10ueG1sUEsBAi0AFAAGAAgAAAAhAFr0LFu/AAAAFQEA&#10;AAsAAAAAAAAAAAAAAAAAHwEAAF9yZWxzLy5yZWxzUEsBAi0AFAAGAAgAAAAhACTH7JvHAAAA3gAA&#10;AA8AAAAAAAAAAAAAAAAABwIAAGRycy9kb3ducmV2LnhtbFBLBQYAAAAAAwADALcAAAD7AgAAAAA=&#10;" filled="f" stroked="f">
                  <v:textbox inset="0,0,0,0">
                    <w:txbxContent>
                      <w:p w14:paraId="610712BB" w14:textId="77777777" w:rsidR="00B32EF2" w:rsidRDefault="00000000">
                        <w:r>
                          <w:rPr>
                            <w:rFonts w:ascii="Arial" w:eastAsia="Arial" w:hAnsi="Arial" w:cs="Arial"/>
                            <w:b/>
                            <w:sz w:val="18"/>
                          </w:rPr>
                          <w:t xml:space="preserve">Il ricorso </w:t>
                        </w:r>
                      </w:p>
                    </w:txbxContent>
                  </v:textbox>
                </v:rect>
                <v:rect id="Rectangle 201203" o:spid="_x0000_s4136" style="position:absolute;left:26109;top:451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8pYxwAAAN8AAAAPAAAAZHJzL2Rvd25yZXYueG1sRI9BawIx&#10;FITvQv9DeIXeNHELIqtRxCLdQy9aCz0+Ns/d1c1L2ER321/fCEKPw8x8wyzXg23FjbrQONYwnSgQ&#10;xKUzDVcajp+78RxEiMgGW8ek4YcCrFdPoyXmxvW8p9shViJBOOSooY7R51KGsiaLYeI8cfJOrrMY&#10;k+wqaTrsE9y2MlNqJi02nBZq9LStqbwcrlbD9xv7YtfL8vS79R/nYt6+X49fWr88D5sFiEhD/A8/&#10;2oXRkKlppl7h/id9Abn6AwAA//8DAFBLAQItABQABgAIAAAAIQDb4fbL7gAAAIUBAAATAAAAAAAA&#10;AAAAAAAAAAAAAABbQ29udGVudF9UeXBlc10ueG1sUEsBAi0AFAAGAAgAAAAhAFr0LFu/AAAAFQEA&#10;AAsAAAAAAAAAAAAAAAAAHwEAAF9yZWxzLy5yZWxzUEsBAi0AFAAGAAgAAAAhAOqjyljHAAAA3wAA&#10;AA8AAAAAAAAAAAAAAAAABwIAAGRycy9kb3ducmV2LnhtbFBLBQYAAAAAAwADALcAAAD7AgAAAAA=&#10;" filled="f" stroked="f">
                  <v:textbox inset="0,0,0,0">
                    <w:txbxContent>
                      <w:p w14:paraId="63589009" w14:textId="77777777" w:rsidR="00B32EF2" w:rsidRDefault="00000000">
                        <w:r>
                          <w:rPr>
                            <w:rFonts w:ascii="Arial" w:eastAsia="Arial" w:hAnsi="Arial" w:cs="Arial"/>
                            <w:sz w:val="18"/>
                          </w:rPr>
                          <w:t>1</w:t>
                        </w:r>
                      </w:p>
                    </w:txbxContent>
                  </v:textbox>
                </v:rect>
                <v:rect id="Rectangle 201206" o:spid="_x0000_s4137" style="position:absolute;left:-13763;top:451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GnAyAAAAN8AAAAPAAAAZHJzL2Rvd25yZXYueG1sRI/BasMw&#10;EETvgf6D2EJviRQfQnCjmOAS6kMvSVPocbE2thtrJSwldvv1UaHQ4zAzb5hNMdle3GgInWMNy4UC&#10;QVw703Gj4fS+n69BhIhssHdMGr4pQLF9mG0wN27kA92OsREJwiFHDW2MPpcy1C1ZDAvniZN3doPF&#10;mOTQSDPgmOC2l5lSK2mx47TQoqeypfpyvFoNny/sq/0o6/NP6d++qnX/ej19aP30OO2eQUSa4n/4&#10;r10ZDZlaZmoFv3/SF5DbOwAAAP//AwBQSwECLQAUAAYACAAAACEA2+H2y+4AAACFAQAAEwAAAAAA&#10;AAAAAAAAAAAAAAAAW0NvbnRlbnRfVHlwZXNdLnhtbFBLAQItABQABgAIAAAAIQBa9CxbvwAAABUB&#10;AAALAAAAAAAAAAAAAAAAAB8BAABfcmVscy8ucmVsc1BLAQItABQABgAIAAAAIQD61GnAyAAAAN8A&#10;AAAPAAAAAAAAAAAAAAAAAAcCAABkcnMvZG93bnJldi54bWxQSwUGAAAAAAMAAwC3AAAA/AIAAAAA&#10;" filled="f" stroked="f">
                  <v:textbox inset="0,0,0,0">
                    <w:txbxContent>
                      <w:p w14:paraId="5D907BBF" w14:textId="77777777" w:rsidR="00B32EF2" w:rsidRDefault="00000000">
                        <w:r>
                          <w:rPr>
                            <w:rFonts w:ascii="Arial" w:eastAsia="Arial" w:hAnsi="Arial" w:cs="Arial"/>
                            <w:sz w:val="18"/>
                          </w:rPr>
                          <w:t xml:space="preserve">. Il processo è introdotto con ricorso alla corte di giustizia tributaria di primo </w:t>
                        </w:r>
                      </w:p>
                    </w:txbxContent>
                  </v:textbox>
                </v:rect>
                <v:rect id="Rectangle 18840" o:spid="_x0000_s4138" style="position:absolute;left:35582;top:43933;width:43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5PgxwAAAN4AAAAPAAAAZHJzL2Rvd25yZXYueG1sRI9Ba8JA&#10;EIXvhf6HZQre6qZFSoiuUixiDr3UKngcsmMSzc4u2dXE/vrOodDbDPPmvfctVqPr1I362Ho28DLN&#10;QBFX3rZcG9h/b55zUDEhW+w8k4E7RVgtHx8WWFg/8BfddqlWYsKxQANNSqHQOlYNOYxTH4jldvK9&#10;wyRrX2vb4yDmrtOvWfamHbYsCQ0GWjdUXXZXZ+D4waHcDLo6/azD57nMu+11fzBm8jS+z0ElGtO/&#10;+O+7tFI/z2cCIDgyg17+AgAA//8DAFBLAQItABQABgAIAAAAIQDb4fbL7gAAAIUBAAATAAAAAAAA&#10;AAAAAAAAAAAAAABbQ29udGVudF9UeXBlc10ueG1sUEsBAi0AFAAGAAgAAAAhAFr0LFu/AAAAFQEA&#10;AAsAAAAAAAAAAAAAAAAAHwEAAF9yZWxzLy5yZWxzUEsBAi0AFAAGAAgAAAAhAIK3k+DHAAAA3gAA&#10;AA8AAAAAAAAAAAAAAAAABwIAAGRycy9kb3ducmV2LnhtbFBLBQYAAAAAAwADALcAAAD7AgAAAAA=&#10;" filled="f" stroked="f">
                  <v:textbox inset="0,0,0,0">
                    <w:txbxContent>
                      <w:p w14:paraId="0B9D79BB" w14:textId="77777777" w:rsidR="00B32EF2" w:rsidRDefault="00000000">
                        <w:r>
                          <w:rPr>
                            <w:rFonts w:ascii="Arial" w:eastAsia="Arial" w:hAnsi="Arial" w:cs="Arial"/>
                            <w:sz w:val="18"/>
                          </w:rPr>
                          <w:t>grado.</w:t>
                        </w:r>
                      </w:p>
                    </w:txbxContent>
                  </v:textbox>
                </v:rect>
                <v:rect id="Rectangle 201199" o:spid="_x0000_s4139" style="position:absolute;left:32385;top:42700;width:277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AlJxwAAAN8AAAAPAAAAZHJzL2Rvd25yZXYueG1sRI9Pi8Iw&#10;FMTvC36H8ARva1oPi3aNIopsD17WP7DHR/Nsu9u8hCba6qffCILHYWZ+w8yXvWnElVpfW1aQjhMQ&#10;xIXVNZcKjoft+xSED8gaG8uk4EYelovB2xwzbTv+pus+lCJC2GeooArBZVL6oiKDfmwdcfTOtjUY&#10;omxLqVvsItw0cpIkH9JgzXGhQkfrioq//cUo+Nmwy7edLM73tdv95tPm63I8KTUa9qtPEIH68Ao/&#10;27lWMEnSdDaDx5/4BeTiHwAA//8DAFBLAQItABQABgAIAAAAIQDb4fbL7gAAAIUBAAATAAAAAAAA&#10;AAAAAAAAAAAAAABbQ29udGVudF9UeXBlc10ueG1sUEsBAi0AFAAGAAgAAAAhAFr0LFu/AAAAFQEA&#10;AAsAAAAAAAAAAAAAAAAAHwEAAF9yZWxzLy5yZWxzUEsBAi0AFAAGAAgAAAAhALhkCUnHAAAA3wAA&#10;AA8AAAAAAAAAAAAAAAAABwIAAGRycy9kb3ducmV2LnhtbFBLBQYAAAAAAwADALcAAAD7AgAAAAA=&#10;" filled="f" stroked="f">
                  <v:textbox inset="0,0,0,0">
                    <w:txbxContent>
                      <w:p w14:paraId="2DEC1195" w14:textId="77777777" w:rsidR="00B32EF2" w:rsidRDefault="00000000">
                        <w:r>
                          <w:rPr>
                            <w:rFonts w:ascii="Arial" w:eastAsia="Arial" w:hAnsi="Arial" w:cs="Arial"/>
                            <w:sz w:val="18"/>
                          </w:rPr>
                          <w:t>2</w:t>
                        </w:r>
                      </w:p>
                    </w:txbxContent>
                  </v:textbox>
                </v:rect>
                <v:rect id="Rectangle 201200" o:spid="_x0000_s4140" style="position:absolute;left:-8460;top:42700;width:277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QvxQAAAN8AAAAPAAAAZHJzL2Rvd25yZXYueG1sRI9Pi8Iw&#10;FMTvC36H8ARva6oHkWoUUcQevKx/wOOjebbV5iU00VY//WZhweMwM79h5svO1OJJja8sKxgNExDE&#10;udUVFwpOx+33FIQPyBpry6TgRR6Wi97XHFNtW/6h5yEUIkLYp6igDMGlUvq8JIN+aB1x9K62MRii&#10;bAqpG2wj3NRynCQTabDiuFCio3VJ+f3wMAouG3bZtpX59b12+1s2rXeP01mpQb9bzUAE6sIn/N/O&#10;tIJxMopQ+PsTv4Bc/AIAAP//AwBQSwECLQAUAAYACAAAACEA2+H2y+4AAACFAQAAEwAAAAAAAAAA&#10;AAAAAAAAAAAAW0NvbnRlbnRfVHlwZXNdLnhtbFBLAQItABQABgAIAAAAIQBa9CxbvwAAABUBAAAL&#10;AAAAAAAAAAAAAAAAAB8BAABfcmVscy8ucmVsc1BLAQItABQABgAIAAAAIQAacVQvxQAAAN8AAAAP&#10;AAAAAAAAAAAAAAAAAAcCAABkcnMvZG93bnJldi54bWxQSwUGAAAAAAMAAwC3AAAA+QIAAAAA&#10;" filled="f" stroked="f">
                  <v:textbox inset="0,0,0,0">
                    <w:txbxContent>
                      <w:p w14:paraId="34A4D83E" w14:textId="77777777" w:rsidR="00B32EF2" w:rsidRDefault="00000000">
                        <w:r>
                          <w:rPr>
                            <w:rFonts w:ascii="Arial" w:eastAsia="Arial" w:hAnsi="Arial" w:cs="Arial"/>
                            <w:sz w:val="18"/>
                          </w:rPr>
                          <w:t>:</w:t>
                        </w:r>
                      </w:p>
                    </w:txbxContent>
                  </v:textbox>
                </v:rect>
                <v:rect id="Rectangle 201202" o:spid="_x0000_s4141" style="position:absolute;left:11772;top:42700;width:277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2/DxwAAAN8AAAAPAAAAZHJzL2Rvd25yZXYueG1sRI9BawIx&#10;FITvgv8hPKE3TdxDka1RikW6h160Cj0+Ns/d1c1L2ER39debQqHHYWa+YZbrwbbiRl1oHGuYzxQI&#10;4tKZhisNh+/tdAEiRGSDrWPScKcA69V4tMTcuJ53dNvHSiQIhxw11DH6XMpQ1mQxzJwnTt7JdRZj&#10;kl0lTYd9gttWZkq9SosNp4UaPW1qKi/7q9Xw88G+2PayPD02/utcLNrP6+Go9ctkeH8DEWmI/+G/&#10;dmE0ZGqeqQx+/6QvIFdPAAAA//8DAFBLAQItABQABgAIAAAAIQDb4fbL7gAAAIUBAAATAAAAAAAA&#10;AAAAAAAAAAAAAABbQ29udGVudF9UeXBlc10ueG1sUEsBAi0AFAAGAAgAAAAhAFr0LFu/AAAAFQEA&#10;AAsAAAAAAAAAAAAAAAAAHwEAAF9yZWxzLy5yZWxzUEsBAi0AFAAGAAgAAAAhAIXvb8PHAAAA3wAA&#10;AA8AAAAAAAAAAAAAAAAABwIAAGRycy9kb3ducmV2LnhtbFBLBQYAAAAAAwADALcAAAD7AgAAAAA=&#10;" filled="f" stroked="f">
                  <v:textbox inset="0,0,0,0">
                    <w:txbxContent>
                      <w:p w14:paraId="6A9A6204" w14:textId="77777777" w:rsidR="00B32EF2" w:rsidRDefault="00000000">
                        <w:r>
                          <w:rPr>
                            <w:rFonts w:ascii="Arial" w:eastAsia="Arial" w:hAnsi="Arial" w:cs="Arial"/>
                            <w:sz w:val="18"/>
                          </w:rPr>
                          <w:t>. Il ricorso deve contenere l’indicazione</w:t>
                        </w:r>
                      </w:p>
                    </w:txbxContent>
                  </v:textbox>
                </v:rect>
                <v:rect id="Rectangle 18842" o:spid="_x0000_s4142" style="position:absolute;left:-2460;top:41466;width:423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agMxAAAAN4AAAAPAAAAZHJzL2Rvd25yZXYueG1sRE9Na8JA&#10;EL0X+h+WKfRWN5UiIbpKUcQcetFG8DhkxySanV2yq0n99a4g9DaP9zmzxWBacaXON5YVfI4SEMSl&#10;1Q1XCorf9UcKwgdkja1lUvBHHhbz15cZZtr2vKXrLlQihrDPUEEdgsuk9GVNBv3IOuLIHW1nMETY&#10;VVJ32Mdw08pxkkykwYZjQ42OljWV593FKDis2OXrXpbH29L9nPK03VyKvVLvb8P3FESgIfyLn+5c&#10;x/lp+jWGxzvxBjm/AwAA//8DAFBLAQItABQABgAIAAAAIQDb4fbL7gAAAIUBAAATAAAAAAAAAAAA&#10;AAAAAAAAAABbQ29udGVudF9UeXBlc10ueG1sUEsBAi0AFAAGAAgAAAAhAFr0LFu/AAAAFQEAAAsA&#10;AAAAAAAAAAAAAAAAHwEAAF9yZWxzLy5yZWxzUEsBAi0AFAAGAAgAAAAhAB0pqAzEAAAA3gAAAA8A&#10;AAAAAAAAAAAAAAAABwIAAGRycy9kb3ducmV2LnhtbFBLBQYAAAAAAwADALcAAAD4AgAAAAA=&#10;" filled="f" stroked="f">
                  <v:textbox inset="0,0,0,0">
                    <w:txbxContent>
                      <w:p w14:paraId="3FC2212D" w14:textId="77777777" w:rsidR="00B32EF2" w:rsidRDefault="00000000">
                        <w:r>
                          <w:rPr>
                            <w:rFonts w:ascii="Arial" w:eastAsia="Arial" w:hAnsi="Arial" w:cs="Arial"/>
                            <w:sz w:val="18"/>
                          </w:rPr>
                          <w:t xml:space="preserve">a) della corte di giustizia tributaria di primo grado cui è diretto; </w:t>
                        </w:r>
                      </w:p>
                    </w:txbxContent>
                  </v:textbox>
                </v:rect>
                <v:rect id="Rectangle 18843" o:spid="_x0000_s4143" style="position:absolute;left:-13172;top:402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Q2XxAAAAN4AAAAPAAAAZHJzL2Rvd25yZXYueG1sRE9Na8JA&#10;EL0X/A/LCN7qplVKSF2lWMQcvGgt9DhkxySanV2yq4n+elcoeJvH+5zZojeNuFDra8sK3sYJCOLC&#10;6ppLBfuf1WsKwgdkjY1lUnAlD4v54GWGmbYdb+myC6WIIewzVFCF4DIpfVGRQT+2jjhyB9saDBG2&#10;pdQtdjHcNPI9ST6kwZpjQ4WOlhUVp93ZKPj7ZpevOlkcbku3OeZpsz7vf5UaDfuvTxCB+vAU/7tz&#10;Heen6XQCj3fiDXJ+BwAA//8DAFBLAQItABQABgAIAAAAIQDb4fbL7gAAAIUBAAATAAAAAAAAAAAA&#10;AAAAAAAAAABbQ29udGVudF9UeXBlc10ueG1sUEsBAi0AFAAGAAgAAAAhAFr0LFu/AAAAFQEAAAsA&#10;AAAAAAAAAAAAAAAAHwEAAF9yZWxzLy5yZWxzUEsBAi0AFAAGAAgAAAAhAHJlDZfEAAAA3gAAAA8A&#10;AAAAAAAAAAAAAAAABwIAAGRycy9kb3ducmV2LnhtbFBLBQYAAAAAAwADALcAAAD4AgAAAAA=&#10;" filled="f" stroked="f">
                  <v:textbox inset="0,0,0,0">
                    <w:txbxContent>
                      <w:p w14:paraId="5BDB74FA" w14:textId="77777777" w:rsidR="00B32EF2" w:rsidRDefault="00000000">
                        <w:r>
                          <w:rPr>
                            <w:rFonts w:ascii="Arial" w:eastAsia="Arial" w:hAnsi="Arial" w:cs="Arial"/>
                            <w:sz w:val="18"/>
                          </w:rPr>
                          <w:t xml:space="preserve">b) del ricorrente e del suo legale rappresentante, della relativa residenza o </w:t>
                        </w:r>
                      </w:p>
                    </w:txbxContent>
                  </v:textbox>
                </v:rect>
                <v:rect id="Rectangle 18844" o:spid="_x0000_s4144" style="position:absolute;left:-12205;top:39000;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JXjxAAAAN4AAAAPAAAAZHJzL2Rvd25yZXYueG1sRE9Na8JA&#10;EL0L/odlBG+6qUgJqasURcyhl2qEHofsmKTNzi7Z1aT+erdQ8DaP9zmrzWBacaPON5YVvMwTEMSl&#10;1Q1XCorTfpaC8AFZY2uZFPySh816PFphpm3Pn3Q7hkrEEPYZKqhDcJmUvqzJoJ9bRxy5i+0Mhgi7&#10;SuoO+xhuWrlIkldpsOHYUKOjbU3lz/FqFHzt2OX7XpaX+9Z9fOdpe7gWZ6Wmk+H9DUSgITzF/+5c&#10;x/lpulzC3zvxBrl+AAAA//8DAFBLAQItABQABgAIAAAAIQDb4fbL7gAAAIUBAAATAAAAAAAAAAAA&#10;AAAAAAAAAABbQ29udGVudF9UeXBlc10ueG1sUEsBAi0AFAAGAAgAAAAhAFr0LFu/AAAAFQEAAAsA&#10;AAAAAAAAAAAAAAAAHwEAAF9yZWxzLy5yZWxzUEsBAi0AFAAGAAgAAAAhAP2MlePEAAAA3gAAAA8A&#10;AAAAAAAAAAAAAAAABwIAAGRycy9kb3ducmV2LnhtbFBLBQYAAAAAAwADALcAAAD4AgAAAAA=&#10;" filled="f" stroked="f">
                  <v:textbox inset="0,0,0,0">
                    <w:txbxContent>
                      <w:p w14:paraId="26A94D43" w14:textId="77777777" w:rsidR="00B32EF2" w:rsidRDefault="00000000">
                        <w:r>
                          <w:rPr>
                            <w:rFonts w:ascii="Arial" w:eastAsia="Arial" w:hAnsi="Arial" w:cs="Arial"/>
                            <w:sz w:val="18"/>
                          </w:rPr>
                          <w:t>sede legale o del domicilio eventualmente eletto nel territorio dello Stato, non</w:t>
                        </w:r>
                      </w:p>
                    </w:txbxContent>
                  </v:textbox>
                </v:rect>
                <v:rect id="Rectangle 18845" o:spid="_x0000_s4145" style="position:absolute;left:192;top:390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B4xAAAAN4AAAAPAAAAZHJzL2Rvd25yZXYueG1sRE9Na8JA&#10;EL0X/A/LCN7qpkVLSF2lWMQcvGgt9DhkxySanV2yq4n+elcoeJvH+5zZojeNuFDra8sK3sYJCOLC&#10;6ppLBfuf1WsKwgdkjY1lUnAlD4v54GWGmbYdb+myC6WIIewzVFCF4DIpfVGRQT+2jjhyB9saDBG2&#10;pdQtdjHcNPI9ST6kwZpjQ4WOlhUVp93ZKPj7ZpevOlkcbku3OeZpsz7vf5UaDfuvTxCB+vAU/7tz&#10;Heen6WQKj3fiDXJ+BwAA//8DAFBLAQItABQABgAIAAAAIQDb4fbL7gAAAIUBAAATAAAAAAAAAAAA&#10;AAAAAAAAAABbQ29udGVudF9UeXBlc10ueG1sUEsBAi0AFAAGAAgAAAAhAFr0LFu/AAAAFQEAAAsA&#10;AAAAAAAAAAAAAAAAHwEAAF9yZWxzLy5yZWxzUEsBAi0AFAAGAAgAAAAhAJLAMHjEAAAA3gAAAA8A&#10;AAAAAAAAAAAAAAAABwIAAGRycy9kb3ducmV2LnhtbFBLBQYAAAAAAwADALcAAAD4AgAAAAA=&#10;" filled="f" stroked="f">
                  <v:textbox inset="0,0,0,0">
                    <w:txbxContent>
                      <w:p w14:paraId="2364E67F" w14:textId="77777777" w:rsidR="00B32EF2" w:rsidRDefault="00000000">
                        <w:r>
                          <w:rPr>
                            <w:rFonts w:ascii="Arial" w:eastAsia="Arial" w:hAnsi="Arial" w:cs="Arial"/>
                            <w:sz w:val="18"/>
                          </w:rPr>
                          <w:t>-</w:t>
                        </w:r>
                      </w:p>
                    </w:txbxContent>
                  </v:textbox>
                </v:rect>
                <v:rect id="Rectangle 18846" o:spid="_x0000_s4146" style="position:absolute;left:-6270;top:37767;width:4618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q4PxAAAAN4AAAAPAAAAZHJzL2Rvd25yZXYueG1sRE9La8JA&#10;EL4X/A/LCL3VTUUkpG6kKGIOXuoDehyyk0ebnV2yq0n99d1Cwdt8fM9ZrUfTiRv1vrWs4HWWgCAu&#10;rW65VnA+7V5SED4ga+wsk4If8rDOJ08rzLQd+INux1CLGMI+QwVNCC6T0pcNGfQz64gjV9neYIiw&#10;r6XucYjhppPzJFlKgy3HhgYdbRoqv49Xo+Bzy67YDbKs7ht3+CrSbn89X5R6no7vbyACjeEh/ncX&#10;Os5P08US/t6JN8j8FwAA//8DAFBLAQItABQABgAIAAAAIQDb4fbL7gAAAIUBAAATAAAAAAAAAAAA&#10;AAAAAAAAAABbQ29udGVudF9UeXBlc10ueG1sUEsBAi0AFAAGAAgAAAAhAFr0LFu/AAAAFQEAAAsA&#10;AAAAAAAAAAAAAAAAHwEAAF9yZWxzLy5yZWxzUEsBAi0AFAAGAAgAAAAhAGISrg/EAAAA3gAAAA8A&#10;AAAAAAAAAAAAAAAABwIAAGRycy9kb3ducmV2LnhtbFBLBQYAAAAAAwADALcAAAD4AgAAAAA=&#10;" filled="f" stroked="f">
                  <v:textbox inset="0,0,0,0">
                    <w:txbxContent>
                      <w:p w14:paraId="129B4259" w14:textId="77777777" w:rsidR="00B32EF2" w:rsidRDefault="00000000">
                        <w:r>
                          <w:rPr>
                            <w:rFonts w:ascii="Arial" w:eastAsia="Arial" w:hAnsi="Arial" w:cs="Arial"/>
                            <w:sz w:val="18"/>
                          </w:rPr>
                          <w:t xml:space="preserve">ché del codice fiscale e dell’indirizzo di posta elettronica certificata; </w:t>
                        </w:r>
                      </w:p>
                    </w:txbxContent>
                  </v:textbox>
                </v:rect>
                <v:rect id="Rectangle 18847" o:spid="_x0000_s4147" style="position:absolute;left:5513;top:36533;width:344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guUxAAAAN4AAAAPAAAAZHJzL2Rvd25yZXYueG1sRE9Na8JA&#10;EL0X/A/LCN7qpkVsSF2lWMQcvGgt9DhkxySanV2yq4n+elcoeJvH+5zZojeNuFDra8sK3sYJCOLC&#10;6ppLBfuf1WsKwgdkjY1lUnAlD4v54GWGmbYdb+myC6WIIewzVFCF4DIpfVGRQT+2jjhyB9saDBG2&#10;pdQtdjHcNPI9SabSYM2xoUJHy4qK0+5sFPx9s8tXnSwOt6XbHPO0WZ/3v0qNhv3XJ4hAfXiK/925&#10;jvPTdPIBj3fiDXJ+BwAA//8DAFBLAQItABQABgAIAAAAIQDb4fbL7gAAAIUBAAATAAAAAAAAAAAA&#10;AAAAAAAAAABbQ29udGVudF9UeXBlc10ueG1sUEsBAi0AFAAGAAgAAAAhAFr0LFu/AAAAFQEAAAsA&#10;AAAAAAAAAAAAAAAAHwEAAF9yZWxzLy5yZWxzUEsBAi0AFAAGAAgAAAAhAA1eC5TEAAAA3gAAAA8A&#10;AAAAAAAAAAAAAAAABwIAAGRycy9kb3ducmV2LnhtbFBLBQYAAAAAAwADALcAAAD4AgAAAAA=&#10;" filled="f" stroked="f">
                  <v:textbox inset="0,0,0,0">
                    <w:txbxContent>
                      <w:p w14:paraId="4E86009B" w14:textId="77777777" w:rsidR="00B32EF2" w:rsidRDefault="00000000">
                        <w:r>
                          <w:rPr>
                            <w:rFonts w:ascii="Arial" w:eastAsia="Arial" w:hAnsi="Arial" w:cs="Arial"/>
                            <w:sz w:val="18"/>
                          </w:rPr>
                          <w:t xml:space="preserve">c) dell’ufficio nei cui confronti il ricorso è proposto; </w:t>
                        </w:r>
                      </w:p>
                    </w:txbxContent>
                  </v:textbox>
                </v:rect>
                <v:rect id="Rectangle 18848" o:spid="_x0000_s4148" style="position:absolute;left:4468;top:35300;width:354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Z/mxwAAAN4AAAAPAAAAZHJzL2Rvd25yZXYueG1sRI9Ba8JA&#10;EIXvhf6HZQre6qZFSoiuUixiDr3UKngcsmMSzc4u2dXE/vrOodDbDO/Ne98sVqPr1I362Ho28DLN&#10;QBFX3rZcG9h/b55zUDEhW+w8k4E7RVgtHx8WWFg/8BfddqlWEsKxQANNSqHQOlYNOYxTH4hFO/ne&#10;YZK1r7XtcZBw1+nXLHvTDluWhgYDrRuqLrurM3D84FBuBl2dftbh81zm3fa6PxgzeRrf56ASjenf&#10;/HddWsHP85nwyjsyg17+AgAA//8DAFBLAQItABQABgAIAAAAIQDb4fbL7gAAAIUBAAATAAAAAAAA&#10;AAAAAAAAAAAAAABbQ29udGVudF9UeXBlc10ueG1sUEsBAi0AFAAGAAgAAAAhAFr0LFu/AAAAFQEA&#10;AAsAAAAAAAAAAAAAAAAAHwEAAF9yZWxzLy5yZWxzUEsBAi0AFAAGAAgAAAAhAHzBn+bHAAAA3gAA&#10;AA8AAAAAAAAAAAAAAAAABwIAAGRycy9kb3ducmV2LnhtbFBLBQYAAAAAAwADALcAAAD7AgAAAAA=&#10;" filled="f" stroked="f">
                  <v:textbox inset="0,0,0,0">
                    <w:txbxContent>
                      <w:p w14:paraId="699AAD9C" w14:textId="77777777" w:rsidR="00B32EF2" w:rsidRDefault="00000000">
                        <w:r>
                          <w:rPr>
                            <w:rFonts w:ascii="Arial" w:eastAsia="Arial" w:hAnsi="Arial" w:cs="Arial"/>
                            <w:sz w:val="18"/>
                          </w:rPr>
                          <w:t xml:space="preserve">d) dell’atto impugnato e dell’oggetto della domanda; </w:t>
                        </w:r>
                      </w:p>
                    </w:txbxContent>
                  </v:textbox>
                </v:rect>
                <v:rect id="Rectangle 18849" o:spid="_x0000_s4149" style="position:absolute;left:31302;top:34067;width:86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Tp9xAAAAN4AAAAPAAAAZHJzL2Rvd25yZXYueG1sRE9La8JA&#10;EL4X/A/LCL3VjVJKjK4iijQHL/UBHofsmESzs0t2Nam/vlso9DYf33Pmy9404kGtry0rGI8SEMSF&#10;1TWXCo6H7VsKwgdkjY1lUvBNHpaLwcscM207/qLHPpQihrDPUEEVgsuk9EVFBv3IOuLIXWxrMETY&#10;llK32MVw08hJknxIgzXHhgodrSsqbvu7UXDesMu3nSwuz7XbXfO0+bwfT0q9DvvVDESgPvyL/9y5&#10;jvPT9H0Kv+/EG+TiBwAA//8DAFBLAQItABQABgAIAAAAIQDb4fbL7gAAAIUBAAATAAAAAAAAAAAA&#10;AAAAAAAAAABbQ29udGVudF9UeXBlc10ueG1sUEsBAi0AFAAGAAgAAAAhAFr0LFu/AAAAFQEAAAsA&#10;AAAAAAAAAAAAAAAAHwEAAF9yZWxzLy5yZWxzUEsBAi0AFAAGAAgAAAAhABONOn3EAAAA3gAAAA8A&#10;AAAAAAAAAAAAAAAABwIAAGRycy9kb3ducmV2LnhtbFBLBQYAAAAAAwADALcAAAD4AgAAAAA=&#10;" filled="f" stroked="f">
                  <v:textbox inset="0,0,0,0">
                    <w:txbxContent>
                      <w:p w14:paraId="09F5F8E6" w14:textId="77777777" w:rsidR="00B32EF2" w:rsidRDefault="00000000">
                        <w:r>
                          <w:rPr>
                            <w:rFonts w:ascii="Arial" w:eastAsia="Arial" w:hAnsi="Arial" w:cs="Arial"/>
                            <w:sz w:val="18"/>
                          </w:rPr>
                          <w:t>e) dei motivi.</w:t>
                        </w:r>
                      </w:p>
                    </w:txbxContent>
                  </v:textbox>
                </v:rect>
                <v:rect id="Rectangle 201197" o:spid="_x0000_s4150" style="position:absolute;left:-12441;top:32833;width:517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zigyAAAAN8AAAAPAAAAZHJzL2Rvd25yZXYueG1sRI9Pa8JA&#10;FMTvBb/D8gRvuomHalNXEUWaQy/+KfT4yD6TtNm3S3Y1sZ/eFYQeh5n5DbNY9aYRV2p9bVlBOklA&#10;EBdW11wqOB134zkIH5A1NpZJwY08rJaDlwVm2na8p+shlCJC2GeooArBZVL6oiKDfmIdcfTOtjUY&#10;omxLqVvsItw0cpokr9JgzXGhQkebiorfw8Uo+N6yy3edLM5/G/f5k8+bj8vpS6nRsF+/gwjUh//w&#10;s51rBdMkTd9m8PgTv4Bc3gEAAP//AwBQSwECLQAUAAYACAAAACEA2+H2y+4AAACFAQAAEwAAAAAA&#10;AAAAAAAAAAAAAAAAW0NvbnRlbnRfVHlwZXNdLnhtbFBLAQItABQABgAIAAAAIQBa9CxbvwAAABUB&#10;AAALAAAAAAAAAAAAAAAAAB8BAABfcmVscy8ucmVsc1BLAQItABQABgAIAAAAIQCmtzigyAAAAN8A&#10;AAAPAAAAAAAAAAAAAAAAAAcCAABkcnMvZG93bnJldi54bWxQSwUGAAAAAAMAAwC3AAAA/AIAAAAA&#10;" filled="f" stroked="f">
                  <v:textbox inset="0,0,0,0">
                    <w:txbxContent>
                      <w:p w14:paraId="6F5CC978" w14:textId="77777777" w:rsidR="00B32EF2" w:rsidRDefault="00000000">
                        <w:r>
                          <w:rPr>
                            <w:rFonts w:ascii="Arial" w:eastAsia="Arial" w:hAnsi="Arial" w:cs="Arial"/>
                            <w:sz w:val="18"/>
                          </w:rPr>
                          <w:t xml:space="preserve">. Il ricorso deve essere sottoscritto dal difensore e contenere l’indicazione: </w:t>
                        </w:r>
                      </w:p>
                    </w:txbxContent>
                  </v:textbox>
                </v:rect>
                <v:rect id="Rectangle 201196" o:spid="_x0000_s4151" style="position:absolute;left:26451;top:32833;width:517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07xwAAAN8AAAAPAAAAZHJzL2Rvd25yZXYueG1sRI9Ba8JA&#10;FITvBf/D8oTe6iYexEZXEUWagxetgsdH9plEs2+X7Gpif31XKPQ4zMw3zHzZm0Y8qPW1ZQXpKAFB&#10;XFhdc6ng+L39mILwAVljY5kUPMnDcjF4m2Ombcd7ehxCKSKEfYYKqhBcJqUvKjLoR9YRR+9iW4Mh&#10;yraUusUuwk0jx0kykQZrjgsVOlpXVNwOd6PgvGGXbztZXH7WbnfNp83X/XhS6n3Yr2YgAvXhP/zX&#10;zrWCcZKmnxN4/YlfQC5+AQAA//8DAFBLAQItABQABgAIAAAAIQDb4fbL7gAAAIUBAAATAAAAAAAA&#10;AAAAAAAAAAAAAABbQ29udGVudF9UeXBlc10ueG1sUEsBAi0AFAAGAAgAAAAhAFr0LFu/AAAAFQEA&#10;AAsAAAAAAAAAAAAAAAAAHwEAAF9yZWxzLy5yZWxzUEsBAi0AFAAGAAgAAAAhAMn7nTvHAAAA3wAA&#10;AA8AAAAAAAAAAAAAAAAABwIAAGRycy9kb3ducmV2LnhtbFBLBQYAAAAAAwADALcAAAD7AgAAAAA=&#10;" filled="f" stroked="f">
                  <v:textbox inset="0,0,0,0">
                    <w:txbxContent>
                      <w:p w14:paraId="75A2A737" w14:textId="77777777" w:rsidR="00B32EF2" w:rsidRDefault="00000000">
                        <w:r>
                          <w:rPr>
                            <w:rFonts w:ascii="Arial" w:eastAsia="Arial" w:hAnsi="Arial" w:cs="Arial"/>
                            <w:sz w:val="18"/>
                          </w:rPr>
                          <w:t>3</w:t>
                        </w:r>
                      </w:p>
                    </w:txbxContent>
                  </v:textbox>
                </v:rect>
                <v:rect id="Rectangle 18851" o:spid="_x0000_s4152" style="position:absolute;left:-8687;top:31600;width:486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CmxAAAAN4AAAAPAAAAZHJzL2Rvd25yZXYueG1sRE9Ni8Iw&#10;EL0L/ocwwt40dWGldI0iimwPXnQV9jg0Y1ttJqGJtvrrzcLC3ubxPme+7E0j7tT62rKC6SQBQVxY&#10;XXOp4Pi9HacgfEDW2FgmBQ/ysFwMB3PMtO14T/dDKEUMYZ+hgioEl0npi4oM+ol1xJE729ZgiLAt&#10;pW6xi+Gmke9JMpMGa44NFTpaV1RcDzej4GfDLt92sjg/1253ydPm63Y8KfU26lefIAL14V/85851&#10;nJ+mH1P4fSfeIBcvAAAA//8DAFBLAQItABQABgAIAAAAIQDb4fbL7gAAAIUBAAATAAAAAAAAAAAA&#10;AAAAAAAAAABbQ29udGVudF9UeXBlc10ueG1sUEsBAi0AFAAGAAgAAAAhAFr0LFu/AAAAFQEAAAsA&#10;AAAAAAAAAAAAAAAAHwEAAF9yZWxzLy5yZWxzUEsBAi0AFAAGAAgAAAAhAGgioKbEAAAA3gAAAA8A&#10;AAAAAAAAAAAAAAAABwIAAGRycy9kb3ducmV2LnhtbFBLBQYAAAAAAwADALcAAAD4AgAAAAA=&#10;" filled="f" stroked="f">
                  <v:textbox inset="0,0,0,0">
                    <w:txbxContent>
                      <w:p w14:paraId="23C8E435" w14:textId="77777777" w:rsidR="00B32EF2" w:rsidRDefault="00000000">
                        <w:r>
                          <w:rPr>
                            <w:rFonts w:ascii="Arial" w:eastAsia="Arial" w:hAnsi="Arial" w:cs="Arial"/>
                            <w:sz w:val="18"/>
                          </w:rPr>
                          <w:t xml:space="preserve">a) della categoria di cui all’articolo 57 alla quale appartiene il difensore; </w:t>
                        </w:r>
                      </w:p>
                    </w:txbxContent>
                  </v:textbox>
                </v:rect>
                <v:rect id="Rectangle 18852" o:spid="_x0000_s4153" style="position:absolute;left:-13172;top:303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D7RxAAAAN4AAAAPAAAAZHJzL2Rvd25yZXYueG1sRE9Na8JA&#10;EL0X+h+WKfRWNxUqIbpKUcQcetFG8DhkxySanV2yq0n99a4g9DaP9zmzxWBacaXON5YVfI4SEMSl&#10;1Q1XCorf9UcKwgdkja1lUvBHHhbz15cZZtr2vKXrLlQihrDPUEEdgsuk9GVNBv3IOuLIHW1nMETY&#10;VVJ32Mdw08pxkkykwYZjQ42OljWV593FKDis2OXrXpbH29L9nPK03VyKvVLvb8P3FESgIfyLn+5c&#10;x/lp+jWGxzvxBjm/AwAA//8DAFBLAQItABQABgAIAAAAIQDb4fbL7gAAAIUBAAATAAAAAAAAAAAA&#10;AAAAAAAAAABbQ29udGVudF9UeXBlc10ueG1sUEsBAi0AFAAGAAgAAAAhAFr0LFu/AAAAFQEAAAsA&#10;AAAAAAAAAAAAAAAAHwEAAF9yZWxzLy5yZWxzUEsBAi0AFAAGAAgAAAAhAJjwPtHEAAAA3gAAAA8A&#10;AAAAAAAAAAAAAAAABwIAAGRycy9kb3ducmV2LnhtbFBLBQYAAAAAAwADALcAAAD4AgAAAAA=&#10;" filled="f" stroked="f">
                  <v:textbox inset="0,0,0,0">
                    <w:txbxContent>
                      <w:p w14:paraId="073D6D8A" w14:textId="77777777" w:rsidR="00B32EF2" w:rsidRDefault="00000000">
                        <w:r>
                          <w:rPr>
                            <w:rFonts w:ascii="Arial" w:eastAsia="Arial" w:hAnsi="Arial" w:cs="Arial"/>
                            <w:sz w:val="18"/>
                          </w:rPr>
                          <w:t xml:space="preserve">b) dell’incarico a norma dell’articolo 57, comma 7, salvo che il ricorso non sia </w:t>
                        </w:r>
                      </w:p>
                    </w:txbxContent>
                  </v:textbox>
                </v:rect>
                <v:rect id="Rectangle 18853" o:spid="_x0000_s4154" style="position:absolute;left:20963;top:29133;width:189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JtKxAAAAN4AAAAPAAAAZHJzL2Rvd25yZXYueG1sRE9Na8JA&#10;EL0X/A/LCN7qphVLSF2lWMQcvGgt9DhkxySanV2yq4n+elcoeJvH+5zZojeNuFDra8sK3sYJCOLC&#10;6ppLBfuf1WsKwgdkjY1lUnAlD4v54GWGmbYdb+myC6WIIewzVFCF4DIpfVGRQT+2jjhyB9saDBG2&#10;pdQtdjHcNPI9ST6kwZpjQ4WOlhUVp93ZKPj7ZpevOlkcbku3OeZpsz7vf5UaDfuvTxCB+vAU/7tz&#10;Heen6XQCj3fiDXJ+BwAA//8DAFBLAQItABQABgAIAAAAIQDb4fbL7gAAAIUBAAATAAAAAAAAAAAA&#10;AAAAAAAAAABbQ29udGVudF9UeXBlc10ueG1sUEsBAi0AFAAGAAgAAAAhAFr0LFu/AAAAFQEAAAsA&#10;AAAAAAAAAAAAAAAAHwEAAF9yZWxzLy5yZWxzUEsBAi0AFAAGAAgAAAAhAPe8m0rEAAAA3gAAAA8A&#10;AAAAAAAAAAAAAAAABwIAAGRycy9kb3ducmV2LnhtbFBLBQYAAAAAAwADALcAAAD4AgAAAAA=&#10;" filled="f" stroked="f">
                  <v:textbox inset="0,0,0,0">
                    <w:txbxContent>
                      <w:p w14:paraId="47F0723D" w14:textId="77777777" w:rsidR="00B32EF2" w:rsidRDefault="00000000">
                        <w:r>
                          <w:rPr>
                            <w:rFonts w:ascii="Arial" w:eastAsia="Arial" w:hAnsi="Arial" w:cs="Arial"/>
                            <w:sz w:val="18"/>
                          </w:rPr>
                          <w:t xml:space="preserve">sottoscritto personalmente; </w:t>
                        </w:r>
                      </w:p>
                    </w:txbxContent>
                  </v:textbox>
                </v:rect>
                <v:rect id="Rectangle 18854" o:spid="_x0000_s4155" style="position:absolute;left:-751;top:27900;width:406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QM+xAAAAN4AAAAPAAAAZHJzL2Rvd25yZXYueG1sRE9Na8JA&#10;EL0X/A/LCN7qpkVLSF2lWMQcvGgt9DhkxySanV2yq4n+elcoeJvH+5zZojeNuFDra8sK3sYJCOLC&#10;6ppLBfuf1WsKwgdkjY1lUnAlD4v54GWGmbYdb+myC6WIIewzVFCF4DIpfVGRQT+2jjhyB9saDBG2&#10;pdQtdjHcNPI9ST6kwZpjQ4WOlhUVp93ZKPj7ZpevOlkcbku3OeZpsz7vf5UaDfuvTxCB+vAU/7tz&#10;Heen6XQCj3fiDXJ+BwAA//8DAFBLAQItABQABgAIAAAAIQDb4fbL7gAAAIUBAAATAAAAAAAAAAAA&#10;AAAAAAAAAABbQ29udGVudF9UeXBlc10ueG1sUEsBAi0AFAAGAAgAAAAhAFr0LFu/AAAAFQEAAAsA&#10;AAAAAAAAAAAAAAAAHwEAAF9yZWxzLy5yZWxzUEsBAi0AFAAGAAgAAAAhAHhVAz7EAAAA3gAAAA8A&#10;AAAAAAAAAAAAAAAABwIAAGRycy9kb3ducmV2LnhtbFBLBQYAAAAAAwADALcAAAD4AgAAAAA=&#10;" filled="f" stroked="f">
                  <v:textbox inset="0,0,0,0">
                    <w:txbxContent>
                      <w:p w14:paraId="4366DD09" w14:textId="77777777" w:rsidR="00B32EF2" w:rsidRDefault="00000000">
                        <w:r>
                          <w:rPr>
                            <w:rFonts w:ascii="Arial" w:eastAsia="Arial" w:hAnsi="Arial" w:cs="Arial"/>
                            <w:sz w:val="18"/>
                          </w:rPr>
                          <w:t xml:space="preserve">c) dell’indirizzo di posta elettronica certificata del difensore. </w:t>
                        </w:r>
                      </w:p>
                    </w:txbxContent>
                  </v:textbox>
                </v:rect>
                <v:rect id="Rectangle 201195" o:spid="_x0000_s4156" style="position:absolute;left:-13803;top:266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QNMyAAAAN8AAAAPAAAAZHJzL2Rvd25yZXYueG1sRI9Pa8JA&#10;FMTvBb/D8gRvuolQsamriCLNoRf/FHp8ZJ9J2uzbJbua2E/vCkKPw8z8hlmsetOIK7W+tqwgnSQg&#10;iAuray4VnI678RyED8gaG8uk4EYeVsvBywIzbTve0/UQShEh7DNUUIXgMil9UZFBP7GOOHpn2xoM&#10;Ubal1C12EW4aOU2SmTRYc1yo0NGmouL3cDEKvrfs8l0ni/Pfxn3+5PPm43L6Umo07NfvIAL14T/8&#10;bOdawTRJ07dXePyJX0Au7wAAAP//AwBQSwECLQAUAAYACAAAACEA2+H2y+4AAACFAQAAEwAAAAAA&#10;AAAAAAAAAAAAAAAAW0NvbnRlbnRfVHlwZXNdLnhtbFBLAQItABQABgAIAAAAIQBa9CxbvwAAABUB&#10;AAALAAAAAAAAAAAAAAAAAB8BAABfcmVscy8ucmVsc1BLAQItABQABgAIAAAAIQA5KQNMyAAAAN8A&#10;AAAPAAAAAAAAAAAAAAAAAAcCAABkcnMvZG93bnJldi54bWxQSwUGAAAAAAMAAwC3AAAA/AIAAAAA&#10;" filled="f" stroked="f">
                  <v:textbox inset="0,0,0,0">
                    <w:txbxContent>
                      <w:p w14:paraId="49761E54" w14:textId="77777777" w:rsidR="00B32EF2" w:rsidRDefault="00000000">
                        <w:r>
                          <w:rPr>
                            <w:rFonts w:ascii="Arial" w:eastAsia="Arial" w:hAnsi="Arial" w:cs="Arial"/>
                            <w:sz w:val="18"/>
                          </w:rPr>
                          <w:t xml:space="preserve">. Il ricorso è inammissibile se manca o è assolutamente incerta una delle </w:t>
                        </w:r>
                      </w:p>
                    </w:txbxContent>
                  </v:textbox>
                </v:rect>
                <v:rect id="Rectangle 201194" o:spid="_x0000_s4157" style="position:absolute;left:26109;top:26667;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abXyAAAAN8AAAAPAAAAZHJzL2Rvd25yZXYueG1sRI9Pa8JA&#10;FMTvBb/D8gRvuokUsamriCLNoRf/FHp8ZJ9J2uzbJbua2E/vCkKPw8z8hlmsetOIK7W+tqwgnSQg&#10;iAuray4VnI678RyED8gaG8uk4EYeVsvBywIzbTve0/UQShEh7DNUUIXgMil9UZFBP7GOOHpn2xoM&#10;Ubal1C12EW4aOU2SmTRYc1yo0NGmouL3cDEKvrfs8l0ni/Pfxn3+5PPm43L6Umo07NfvIAL14T/8&#10;bOdawTRJ07dXePyJX0Au7wAAAP//AwBQSwECLQAUAAYACAAAACEA2+H2y+4AAACFAQAAEwAAAAAA&#10;AAAAAAAAAAAAAAAAW0NvbnRlbnRfVHlwZXNdLnhtbFBLAQItABQABgAIAAAAIQBa9CxbvwAAABUB&#10;AAALAAAAAAAAAAAAAAAAAB8BAABfcmVscy8ucmVsc1BLAQItABQABgAIAAAAIQBWZabXyAAAAN8A&#10;AAAPAAAAAAAAAAAAAAAAAAcCAABkcnMvZG93bnJldi54bWxQSwUGAAAAAAMAAwC3AAAA/AIAAAAA&#10;" filled="f" stroked="f">
                  <v:textbox inset="0,0,0,0">
                    <w:txbxContent>
                      <w:p w14:paraId="7DF8716F" w14:textId="77777777" w:rsidR="00B32EF2" w:rsidRDefault="00000000">
                        <w:r>
                          <w:rPr>
                            <w:rFonts w:ascii="Arial" w:eastAsia="Arial" w:hAnsi="Arial" w:cs="Arial"/>
                            <w:sz w:val="18"/>
                          </w:rPr>
                          <w:t>4</w:t>
                        </w:r>
                      </w:p>
                    </w:txbxContent>
                  </v:textbox>
                </v:rect>
                <v:rect id="Rectangle 18856" o:spid="_x0000_s4158" style="position:absolute;left:-13172;top:25434;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jSxAAAAN4AAAAPAAAAZHJzL2Rvd25yZXYueG1sRE9La8JA&#10;EL4X/A/LCL3VTQUlpG6kKGIOXuoDehyyk0ebnV2yq0n99d1Cwdt8fM9ZrUfTiRv1vrWs4HWWgCAu&#10;rW65VnA+7V5SED4ga+wsk4If8rDOJ08rzLQd+INux1CLGMI+QwVNCC6T0pcNGfQz64gjV9neYIiw&#10;r6XucYjhppPzJFlKgy3HhgYdbRoqv49Xo+Bzy67YDbKs7ht3+CrSbn89X5R6no7vbyACjeEh/ncX&#10;Os5P08US/t6JN8j8FwAA//8DAFBLAQItABQABgAIAAAAIQDb4fbL7gAAAIUBAAATAAAAAAAAAAAA&#10;AAAAAAAAAABbQ29udGVudF9UeXBlc10ueG1sUEsBAi0AFAAGAAgAAAAhAFr0LFu/AAAAFQEAAAsA&#10;AAAAAAAAAAAAAAAAHwEAAF9yZWxzLy5yZWxzUEsBAi0AFAAGAAgAAAAhAOfLONLEAAAA3gAAAA8A&#10;AAAAAAAAAAAAAAAABwIAAGRycy9kb3ducmV2LnhtbFBLBQYAAAAAAwADALcAAAD4AgAAAAA=&#10;" filled="f" stroked="f">
                  <v:textbox inset="0,0,0,0">
                    <w:txbxContent>
                      <w:p w14:paraId="7CF0257A" w14:textId="77777777" w:rsidR="00B32EF2" w:rsidRDefault="00000000">
                        <w:r>
                          <w:rPr>
                            <w:rFonts w:ascii="Arial" w:eastAsia="Arial" w:hAnsi="Arial" w:cs="Arial"/>
                            <w:sz w:val="18"/>
                          </w:rPr>
                          <w:t xml:space="preserve">indicazioni di cui al comma 2, ad eccezione di quella relativa al codice fiscale </w:t>
                        </w:r>
                      </w:p>
                    </w:txbxContent>
                  </v:textbox>
                </v:rect>
                <v:rect id="Rectangle 18857" o:spid="_x0000_s4159" style="position:absolute;left:-13172;top:242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51JxAAAAN4AAAAPAAAAZHJzL2Rvd25yZXYueG1sRE9Na8JA&#10;EL0X/A/LCN7qpgVtSF2lWMQcvGgt9DhkxySanV2yq4n+elcoeJvH+5zZojeNuFDra8sK3sYJCOLC&#10;6ppLBfuf1WsKwgdkjY1lUnAlD4v54GWGmbYdb+myC6WIIewzVFCF4DIpfVGRQT+2jjhyB9saDBG2&#10;pdQtdjHcNPI9SabSYM2xoUJHy4qK0+5sFPx9s8tXnSwOt6XbHPO0WZ/3v0qNhv3XJ4hAfXiK/925&#10;jvPTdPIBj3fiDXJ+BwAA//8DAFBLAQItABQABgAIAAAAIQDb4fbL7gAAAIUBAAATAAAAAAAAAAAA&#10;AAAAAAAAAABbQ29udGVudF9UeXBlc10ueG1sUEsBAi0AFAAGAAgAAAAhAFr0LFu/AAAAFQEAAAsA&#10;AAAAAAAAAAAAAAAAHwEAAF9yZWxzLy5yZWxzUEsBAi0AFAAGAAgAAAAhAIiHnUnEAAAA3gAAAA8A&#10;AAAAAAAAAAAAAAAABwIAAGRycy9kb3ducmV2LnhtbFBLBQYAAAAAAwADALcAAAD4AgAAAAA=&#10;" filled="f" stroked="f">
                  <v:textbox inset="0,0,0,0">
                    <w:txbxContent>
                      <w:p w14:paraId="1873C25C" w14:textId="77777777" w:rsidR="00B32EF2" w:rsidRDefault="00000000">
                        <w:r>
                          <w:rPr>
                            <w:rFonts w:ascii="Arial" w:eastAsia="Arial" w:hAnsi="Arial" w:cs="Arial"/>
                            <w:sz w:val="18"/>
                          </w:rPr>
                          <w:t xml:space="preserve">e all’indirizzo di posta elettronica certificata, o non è sottoscritto a norma del </w:t>
                        </w:r>
                      </w:p>
                    </w:txbxContent>
                  </v:textbox>
                </v:rect>
                <v:rect id="Rectangle 18858" o:spid="_x0000_s4160" style="position:absolute;left:33162;top:22967;width:67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Ak7xwAAAN4AAAAPAAAAZHJzL2Rvd25yZXYueG1sRI9Ba8JA&#10;EIXvhf6HZQre6qYFS4iuUixiDr3UKngcsmMSzc4u2dXE/vrOodDbDO/Ne98sVqPr1I362Ho28DLN&#10;QBFX3rZcG9h/b55zUDEhW+w8k4E7RVgtHx8WWFg/8BfddqlWEsKxQANNSqHQOlYNOYxTH4hFO/ne&#10;YZK1r7XtcZBw1+nXLHvTDluWhgYDrRuqLrurM3D84FBuBl2dftbh81zm3fa6PxgzeRrf56ASjenf&#10;/HddWsHP85nwyjsyg17+AgAA//8DAFBLAQItABQABgAIAAAAIQDb4fbL7gAAAIUBAAATAAAAAAAA&#10;AAAAAAAAAAAAAABbQ29udGVudF9UeXBlc10ueG1sUEsBAi0AFAAGAAgAAAAhAFr0LFu/AAAAFQEA&#10;AAsAAAAAAAAAAAAAAAAAHwEAAF9yZWxzLy5yZWxzUEsBAi0AFAAGAAgAAAAhAPkYCTvHAAAA3gAA&#10;AA8AAAAAAAAAAAAAAAAABwIAAGRycy9kb3ducmV2LnhtbFBLBQYAAAAAAwADALcAAAD7AgAAAAA=&#10;" filled="f" stroked="f">
                  <v:textbox inset="0,0,0,0">
                    <w:txbxContent>
                      <w:p w14:paraId="4995C440" w14:textId="77777777" w:rsidR="00B32EF2" w:rsidRDefault="00000000">
                        <w:r>
                          <w:rPr>
                            <w:rFonts w:ascii="Arial" w:eastAsia="Arial" w:hAnsi="Arial" w:cs="Arial"/>
                            <w:sz w:val="18"/>
                          </w:rPr>
                          <w:t>comma 3.</w:t>
                        </w:r>
                      </w:p>
                    </w:txbxContent>
                  </v:textbox>
                </v:rect>
                <v:rect id="Rectangle 18859" o:spid="_x0000_s4161" style="position:absolute;left:15072;top:20500;width:80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KygxAAAAN4AAAAPAAAAZHJzL2Rvd25yZXYueG1sRE9La8JA&#10;EL4X/A/LCL3VjUJLjK4iijQHL/UBHofsmESzs0t2Nam/vlso9DYf33Pmy9404kGtry0rGI8SEMSF&#10;1TWXCo6H7VsKwgdkjY1lUvBNHpaLwcscM207/qLHPpQihrDPUEEVgsuk9EVFBv3IOuLIXWxrMETY&#10;llK32MVw08hJknxIgzXHhgodrSsqbvu7UXDesMu3nSwuz7XbXfO0+bwfT0q9DvvVDESgPvyL/9y5&#10;jvPT9H0Kv+/EG+TiBwAA//8DAFBLAQItABQABgAIAAAAIQDb4fbL7gAAAIUBAAATAAAAAAAAAAAA&#10;AAAAAAAAAABbQ29udGVudF9UeXBlc10ueG1sUEsBAi0AFAAGAAgAAAAhAFr0LFu/AAAAFQEAAAsA&#10;AAAAAAAAAAAAAAAAHwEAAF9yZWxzLy5yZWxzUEsBAi0AFAAGAAgAAAAhAJZUrKDEAAAA3gAAAA8A&#10;AAAAAAAAAAAAAAAABwIAAGRycy9kb3ducmV2LnhtbFBLBQYAAAAAAwADALcAAAD4AgAAAAA=&#10;" filled="f" stroked="f">
                  <v:textbox inset="0,0,0,0">
                    <w:txbxContent>
                      <w:p w14:paraId="5E41F2C1" w14:textId="77777777" w:rsidR="00B32EF2" w:rsidRDefault="00000000">
                        <w:r>
                          <w:rPr>
                            <w:rFonts w:ascii="Arial" w:eastAsia="Arial" w:hAnsi="Arial" w:cs="Arial"/>
                            <w:b/>
                            <w:sz w:val="18"/>
                          </w:rPr>
                          <w:t>Articolo 65</w:t>
                        </w:r>
                      </w:p>
                    </w:txbxContent>
                  </v:textbox>
                </v:rect>
                <v:rect id="Rectangle 201192" o:spid="_x0000_s4162" style="position:absolute;left:-40768;top:19267;width:471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Js4yAAAAN8AAAAPAAAAZHJzL2Rvd25yZXYueG1sRI9Ba8JA&#10;FITvBf/D8oTe6iY5FBvdBFHEHHqptdDjI/tMotm3S3Y1aX99t1DocZiZb5h1OZle3GnwnWUF6SIB&#10;QVxb3XGj4PS+f1qC8AFZY2+ZFHyRh7KYPawx13bkN7ofQyMihH2OCtoQXC6lr1sy6BfWEUfvbAeD&#10;IcqhkXrAMcJNL7MkeZYGO44LLTratlRfjzej4HPHrtqPsj5/b93rpVr2h9vpQ6nH+bRZgQg0hf/w&#10;X7vSCrIkTV8y+P0Tv4AsfgAAAP//AwBQSwECLQAUAAYACAAAACEA2+H2y+4AAACFAQAAEwAAAAAA&#10;AAAAAAAAAAAAAAAAW0NvbnRlbnRfVHlwZXNdLnhtbFBLAQItABQABgAIAAAAIQBa9CxbvwAAABUB&#10;AAALAAAAAAAAAAAAAAAAAB8BAABfcmVscy8ucmVsc1BLAQItABQABgAIAAAAIQC2wJs4yAAAAN8A&#10;AAAPAAAAAAAAAAAAAAAAAAcCAABkcnMvZG93bnJldi54bWxQSwUGAAAAAAMAAwC3AAAA/AIAAAAA&#10;" filled="f" stroked="f">
                  <v:textbox inset="0,0,0,0">
                    <w:txbxContent>
                      <w:p w14:paraId="6F0C72C8" w14:textId="77777777" w:rsidR="00B32EF2" w:rsidRDefault="00000000">
                        <w:r>
                          <w:rPr>
                            <w:rFonts w:ascii="Arial" w:eastAsia="Arial" w:hAnsi="Arial" w:cs="Arial"/>
                            <w:i/>
                            <w:sz w:val="18"/>
                          </w:rPr>
                          <w:t>633/72)</w:t>
                        </w:r>
                      </w:p>
                    </w:txbxContent>
                  </v:textbox>
                </v:rect>
                <v:rect id="Rectangle 201191" o:spid="_x0000_s4163" style="position:absolute;left:25764;top:19267;width:471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gVPxwAAAN8AAAAPAAAAZHJzL2Rvd25yZXYueG1sRI9Ba8JA&#10;FITvBf/D8gRvdRMPotFVRBFz6KVqocdH9plEs2+X7GrS/vpuQfA4zMw3zHLdm0Y8qPW1ZQXpOAFB&#10;XFhdc6ngfNq/z0D4gKyxsUwKfsjDejV4W2Kmbcef9DiGUkQI+wwVVCG4TEpfVGTQj60jjt7FtgZD&#10;lG0pdYtdhJtGTpJkKg3WHBcqdLStqLgd70bB945dvu9kcfnduo9rPmsO9/OXUqNhv1mACNSHV/jZ&#10;zrWCSZKm8xT+/8QvIFd/AAAA//8DAFBLAQItABQABgAIAAAAIQDb4fbL7gAAAIUBAAATAAAAAAAA&#10;AAAAAAAAAAAAAABbQ29udGVudF9UeXBlc10ueG1sUEsBAi0AFAAGAAgAAAAhAFr0LFu/AAAAFQEA&#10;AAsAAAAAAAAAAAAAAAAAHwEAAF9yZWxzLy5yZWxzUEsBAi0AFAAGAAgAAAAhAEYSBU/HAAAA3wAA&#10;AA8AAAAAAAAAAAAAAAAABwIAAGRycy9kb3ducmV2LnhtbFBLBQYAAAAAAwADALcAAAD7AgAAAAA=&#10;" filled="f" stroked="f">
                  <v:textbox inset="0,0,0,0">
                    <w:txbxContent>
                      <w:p w14:paraId="458CF181" w14:textId="77777777" w:rsidR="00B32EF2" w:rsidRDefault="00000000">
                        <w:r>
                          <w:rPr>
                            <w:rFonts w:ascii="Arial" w:eastAsia="Arial" w:hAnsi="Arial" w:cs="Arial"/>
                            <w:i/>
                            <w:sz w:val="18"/>
                          </w:rPr>
                          <w:t>(</w:t>
                        </w:r>
                      </w:p>
                    </w:txbxContent>
                  </v:textbox>
                </v:rect>
                <v:rect id="Rectangle 201193" o:spid="_x0000_s4164" style="position:absolute;left:-5661;top:19267;width:471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D6jyAAAAN8AAAAPAAAAZHJzL2Rvd25yZXYueG1sRI9Pa8JA&#10;FMTvBb/D8gRvuokFsamriCLNoRf/FHp8ZJ9J2uzbJbua2E/vCkKPw8z8hlmsetOIK7W+tqwgnSQg&#10;iAuray4VnI678RyED8gaG8uk4EYeVsvBywIzbTve0/UQShEh7DNUUIXgMil9UZFBP7GOOHpn2xoM&#10;Ubal1C12EW4aOU2SmTRYc1yo0NGmouL3cDEKvrfs8l0ni/Pfxn3+5PPm43L6Umo07NfvIAL14T/8&#10;bOdawTRJ07dXePyJX0Au7wAAAP//AwBQSwECLQAUAAYACAAAACEA2+H2y+4AAACFAQAAEwAAAAAA&#10;AAAAAAAAAAAAAAAAW0NvbnRlbnRfVHlwZXNdLnhtbFBLAQItABQABgAIAAAAIQBa9CxbvwAAABUB&#10;AAALAAAAAAAAAAAAAAAAAB8BAABfcmVscy8ucmVsc1BLAQItABQABgAIAAAAIQDZjD6jyAAAAN8A&#10;AAAPAAAAAAAAAAAAAAAAAAcCAABkcnMvZG93bnJldi54bWxQSwUGAAAAAAMAAwC3AAAA/AIAAAAA&#10;" filled="f" stroked="f">
                  <v:textbox inset="0,0,0,0">
                    <w:txbxContent>
                      <w:p w14:paraId="35F7D1EA" w14:textId="77777777" w:rsidR="00B32EF2" w:rsidRDefault="00000000">
                        <w:r>
                          <w:rPr>
                            <w:rFonts w:ascii="Arial" w:eastAsia="Arial" w:hAnsi="Arial" w:cs="Arial"/>
                            <w:i/>
                            <w:sz w:val="18"/>
                          </w:rPr>
                          <w:t xml:space="preserve">articoli 19 D.lgs. n. 546/92, 61 del dpr. n. 600/73 e 59 dpr. n. </w:t>
                        </w:r>
                      </w:p>
                    </w:txbxContent>
                  </v:textbox>
                </v:rect>
                <v:rect id="Rectangle 18861" o:spid="_x0000_s4165" style="position:absolute;left:2510;top:18034;width:279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mobwwAAAN4AAAAPAAAAZHJzL2Rvd25yZXYueG1sRE9Li8Iw&#10;EL4v+B/CCN7WVA9SqlFEEXvwsj7A49CMbbWZhCba7v76zcKCt/n4nrNY9aYRL2p9bVnBZJyAIC6s&#10;rrlUcD7tPlMQPiBrbCyTgm/ysFoOPhaYadvxF72OoRQxhH2GCqoQXCalLyoy6MfWEUfuZluDIcK2&#10;lLrFLoabRk6TZCYN1hwbKnS0qah4HJ9GwXXLLt91srj9bNzhnqfN/nm+KDUa9us5iEB9eIv/3bmO&#10;89N0NoG/d+INcvkLAAD//wMAUEsBAi0AFAAGAAgAAAAhANvh9svuAAAAhQEAABMAAAAAAAAAAAAA&#10;AAAAAAAAAFtDb250ZW50X1R5cGVzXS54bWxQSwECLQAUAAYACAAAACEAWvQsW78AAAAVAQAACwAA&#10;AAAAAAAAAAAAAAAfAQAAX3JlbHMvLnJlbHNQSwECLQAUAAYACAAAACEApk5qG8MAAADeAAAADwAA&#10;AAAAAAAAAAAAAAAHAgAAZHJzL2Rvd25yZXYueG1sUEsFBgAAAAADAAMAtwAAAPcCAAAAAA==&#10;" filled="f" stroked="f">
                  <v:textbox inset="0,0,0,0">
                    <w:txbxContent>
                      <w:p w14:paraId="5D7642E3" w14:textId="77777777" w:rsidR="00B32EF2" w:rsidRDefault="00000000">
                        <w:r>
                          <w:rPr>
                            <w:rFonts w:ascii="Arial" w:eastAsia="Arial" w:hAnsi="Arial" w:cs="Arial"/>
                            <w:b/>
                            <w:sz w:val="18"/>
                          </w:rPr>
                          <w:t xml:space="preserve">Atti impugnabili e oggetto del ricorso </w:t>
                        </w:r>
                      </w:p>
                    </w:txbxContent>
                  </v:textbox>
                </v:rect>
                <v:rect id="Rectangle 201187" o:spid="_x0000_s4166" style="position:absolute;left:10727;top:16800;width:285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q59xwAAAN8AAAAPAAAAZHJzL2Rvd25yZXYueG1sRI9Ba8JA&#10;FITvgv9heUJvuomHNqSuUhQxh16qFnp8ZJ9J2uzbJbua1F/vCoLHYWa+YRarwbTiQp1vLCtIZwkI&#10;4tLqhisFx8N2moHwAVlja5kU/JOH1XI8WmCubc9fdNmHSkQI+xwV1CG4XEpf1mTQz6wjjt7JdgZD&#10;lF0ldYd9hJtWzpPkVRpsOC7U6GhdU/m3PxsFPxt2xbaX5em6dp+/RdbuzsdvpV4mw8c7iEBDeIYf&#10;7UIrmCdpmr3B/U/8AnJ5AwAA//8DAFBLAQItABQABgAIAAAAIQDb4fbL7gAAAIUBAAATAAAAAAAA&#10;AAAAAAAAAAAAAABbQ29udGVudF9UeXBlc10ueG1sUEsBAi0AFAAGAAgAAAAhAFr0LFu/AAAAFQEA&#10;AAsAAAAAAAAAAAAAAAAAHwEAAF9yZWxzLy5yZWxzUEsBAi0AFAAGAAgAAAAhACNurn3HAAAA3wAA&#10;AA8AAAAAAAAAAAAAAAAABwIAAGRycy9kb3ducmV2LnhtbFBLBQYAAAAAAwADALcAAAD7AgAAAAA=&#10;" filled="f" stroked="f">
                  <v:textbox inset="0,0,0,0">
                    <w:txbxContent>
                      <w:p w14:paraId="638C419F" w14:textId="77777777" w:rsidR="00B32EF2" w:rsidRDefault="00000000">
                        <w:r>
                          <w:rPr>
                            <w:rFonts w:ascii="Arial" w:eastAsia="Arial" w:hAnsi="Arial" w:cs="Arial"/>
                            <w:sz w:val="18"/>
                          </w:rPr>
                          <w:t xml:space="preserve">. Il ricorso può essere proposto avverso: </w:t>
                        </w:r>
                      </w:p>
                    </w:txbxContent>
                  </v:textbox>
                </v:rect>
                <v:rect id="Rectangle 201186" o:spid="_x0000_s4167" style="position:absolute;left:32186;top:16800;width:285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vmxwAAAN8AAAAPAAAAZHJzL2Rvd25yZXYueG1sRI9Ba8JA&#10;FITvBf/D8oTe6iYeJERXEUXMoZeqhR4f2WcSzb5dsquJ/vpuoeBxmJlvmMVqMK24U+cbywrSSQKC&#10;uLS64UrB6bj7yED4gKyxtUwKHuRhtRy9LTDXtucvuh9CJSKEfY4K6hBcLqUvazLoJ9YRR+9sO4Mh&#10;yq6SusM+wk0rp0kykwYbjgs1OtrUVF4PN6PgZ8uu2PWyPD837vNSZO3+dvpW6n08rOcgAg3hFf5v&#10;F1rBNEnTbAZ/f+IXkMtfAAAA//8DAFBLAQItABQABgAIAAAAIQDb4fbL7gAAAIUBAAATAAAAAAAA&#10;AAAAAAAAAAAAAABbQ29udGVudF9UeXBlc10ueG1sUEsBAi0AFAAGAAgAAAAhAFr0LFu/AAAAFQEA&#10;AAsAAAAAAAAAAAAAAAAAHwEAAF9yZWxzLy5yZWxzUEsBAi0AFAAGAAgAAAAhAEwiC+bHAAAA3wAA&#10;AA8AAAAAAAAAAAAAAAAABwIAAGRycy9kb3ducmV2LnhtbFBLBQYAAAAAAwADALcAAAD7AgAAAAA=&#10;" filled="f" stroked="f">
                  <v:textbox inset="0,0,0,0">
                    <w:txbxContent>
                      <w:p w14:paraId="1E20FD88" w14:textId="77777777" w:rsidR="00B32EF2" w:rsidRDefault="00000000">
                        <w:r>
                          <w:rPr>
                            <w:rFonts w:ascii="Arial" w:eastAsia="Arial" w:hAnsi="Arial" w:cs="Arial"/>
                            <w:sz w:val="18"/>
                          </w:rPr>
                          <w:t>1</w:t>
                        </w:r>
                      </w:p>
                    </w:txbxContent>
                  </v:textbox>
                </v:rect>
                <v:rect id="Rectangle 18863" o:spid="_x0000_s4168" style="position:absolute;left:13754;top:15567;width:261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FH3xAAAAN4AAAAPAAAAZHJzL2Rvd25yZXYueG1sRE9La8JA&#10;EL4X/A/LCL3VTRUkpG6kKGIOXuoDehyyk0ebnV2yq0n99d1Cwdt8fM9ZrUfTiRv1vrWs4HWWgCAu&#10;rW65VnA+7V5SED4ga+wsk4If8rDOJ08rzLQd+INux1CLGMI+QwVNCC6T0pcNGfQz64gjV9neYIiw&#10;r6XucYjhppPzJFlKgy3HhgYdbRoqv49Xo+Bzy67YDbKs7ht3+CrSbn89X5R6no7vbyACjeEh/ncX&#10;Os5P0+UC/t6JN8j8FwAA//8DAFBLAQItABQABgAIAAAAIQDb4fbL7gAAAIUBAAATAAAAAAAAAAAA&#10;AAAAAAAAAABbQ29udGVudF9UeXBlc10ueG1sUEsBAi0AFAAGAAgAAAAhAFr0LFu/AAAAFQEAAAsA&#10;AAAAAAAAAAAAAAAAHwEAAF9yZWxzLy5yZWxzUEsBAi0AFAAGAAgAAAAhADnQUffEAAAA3gAAAA8A&#10;AAAAAAAAAAAAAAAABwIAAGRycy9kb3ducmV2LnhtbFBLBQYAAAAAAwADALcAAAD4AgAAAAA=&#10;" filled="f" stroked="f">
                  <v:textbox inset="0,0,0,0">
                    <w:txbxContent>
                      <w:p w14:paraId="285B706D" w14:textId="77777777" w:rsidR="00B32EF2" w:rsidRDefault="00000000">
                        <w:r>
                          <w:rPr>
                            <w:rFonts w:ascii="Arial" w:eastAsia="Arial" w:hAnsi="Arial" w:cs="Arial"/>
                            <w:sz w:val="18"/>
                          </w:rPr>
                          <w:t xml:space="preserve">a) l’avviso di accertamento del tributo; </w:t>
                        </w:r>
                      </w:p>
                    </w:txbxContent>
                  </v:textbox>
                </v:rect>
                <v:rect id="Rectangle 18864" o:spid="_x0000_s4169" style="position:absolute;left:15019;top:14334;width:248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cmDxAAAAN4AAAAPAAAAZHJzL2Rvd25yZXYueG1sRE9La8JA&#10;EL4X/A/LCL3VTUUkpG6kKGIOXuoDehyyk0ebnV2yq0n99d1Cwdt8fM9ZrUfTiRv1vrWs4HWWgCAu&#10;rW65VnA+7V5SED4ga+wsk4If8rDOJ08rzLQd+INux1CLGMI+QwVNCC6T0pcNGfQz64gjV9neYIiw&#10;r6XucYjhppPzJFlKgy3HhgYdbRoqv49Xo+Bzy67YDbKs7ht3+CrSbn89X5R6no7vbyACjeEh/ncX&#10;Os5P0+UC/t6JN8j8FwAA//8DAFBLAQItABQABgAIAAAAIQDb4fbL7gAAAIUBAAATAAAAAAAAAAAA&#10;AAAAAAAAAABbQ29udGVudF9UeXBlc10ueG1sUEsBAi0AFAAGAAgAAAAhAFr0LFu/AAAAFQEAAAsA&#10;AAAAAAAAAAAAAAAAHwEAAF9yZWxzLy5yZWxzUEsBAi0AFAAGAAgAAAAhALY5yYPEAAAA3gAAAA8A&#10;AAAAAAAAAAAAAAAABwIAAGRycy9kb3ducmV2LnhtbFBLBQYAAAAAAwADALcAAAD4AgAAAAA=&#10;" filled="f" stroked="f">
                  <v:textbox inset="0,0,0,0">
                    <w:txbxContent>
                      <w:p w14:paraId="082A4006" w14:textId="77777777" w:rsidR="00B32EF2" w:rsidRDefault="00000000">
                        <w:r>
                          <w:rPr>
                            <w:rFonts w:ascii="Arial" w:eastAsia="Arial" w:hAnsi="Arial" w:cs="Arial"/>
                            <w:sz w:val="18"/>
                          </w:rPr>
                          <w:t xml:space="preserve">b) l’avviso di liquidazione del tributo; </w:t>
                        </w:r>
                      </w:p>
                    </w:txbxContent>
                  </v:textbox>
                </v:rect>
                <v:rect id="Rectangle 18865" o:spid="_x0000_s4170" style="position:absolute;left:11296;top:13101;width:2862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WwYxAAAAN4AAAAPAAAAZHJzL2Rvd25yZXYueG1sRE9La8JA&#10;EL4X/A/LCL3VTQUlpG6kKGIOXuoDehyyk0ebnV2yq0n99d1Cwdt8fM9ZrUfTiRv1vrWs4HWWgCAu&#10;rW65VnA+7V5SED4ga+wsk4If8rDOJ08rzLQd+INux1CLGMI+QwVNCC6T0pcNGfQz64gjV9neYIiw&#10;r6XucYjhppPzJFlKgy3HhgYdbRoqv49Xo+Bzy67YDbKs7ht3+CrSbn89X5R6no7vbyACjeEh/ncX&#10;Os5P0+UC/t6JN8j8FwAA//8DAFBLAQItABQABgAIAAAAIQDb4fbL7gAAAIUBAAATAAAAAAAAAAAA&#10;AAAAAAAAAABbQ29udGVudF9UeXBlc10ueG1sUEsBAi0AFAAGAAgAAAAhAFr0LFu/AAAAFQEAAAsA&#10;AAAAAAAAAAAAAAAAHwEAAF9yZWxzLy5yZWxzUEsBAi0AFAAGAAgAAAAhANl1bBjEAAAA3gAAAA8A&#10;AAAAAAAAAAAAAAAABwIAAGRycy9kb3ducmV2LnhtbFBLBQYAAAAAAwADALcAAAD4AgAAAAA=&#10;" filled="f" stroked="f">
                  <v:textbox inset="0,0,0,0">
                    <w:txbxContent>
                      <w:p w14:paraId="4CF12272" w14:textId="77777777" w:rsidR="00B32EF2" w:rsidRDefault="00000000">
                        <w:r>
                          <w:rPr>
                            <w:rFonts w:ascii="Arial" w:eastAsia="Arial" w:hAnsi="Arial" w:cs="Arial"/>
                            <w:sz w:val="18"/>
                          </w:rPr>
                          <w:t xml:space="preserve">c) il provvedimento che irroga le sanzioni; </w:t>
                        </w:r>
                      </w:p>
                    </w:txbxContent>
                  </v:textbox>
                </v:rect>
                <v:rect id="Rectangle 18866" o:spid="_x0000_s4171" style="position:absolute;left:14751;top:11867;width:251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JvxQAAAN4AAAAPAAAAZHJzL2Rvd25yZXYueG1sRE89a8Mw&#10;EN0L+Q/iAt1quRmMcSObkBLioUvTBDIe1sV2Y52EpcRuf31VKHS7x/u8dTWbQdxp9L1lBc9JCoK4&#10;sbrnVsHxY/eUg/ABWeNgmRR8kYeqXDyssdB24ne6H0IrYgj7AhV0IbhCSt90ZNAn1hFH7mJHgyHC&#10;sZV6xCmGm0Gu0jSTBnuODR062nbUXA83o+D8yq7eTbK5fG/d22edD/vb8aTU43LevIAINId/8Z+7&#10;1nF+nmcZ/L4Tb5DlDwAAAP//AwBQSwECLQAUAAYACAAAACEA2+H2y+4AAACFAQAAEwAAAAAAAAAA&#10;AAAAAAAAAAAAW0NvbnRlbnRfVHlwZXNdLnhtbFBLAQItABQABgAIAAAAIQBa9CxbvwAAABUBAAAL&#10;AAAAAAAAAAAAAAAAAB8BAABfcmVscy8ucmVsc1BLAQItABQABgAIAAAAIQApp/JvxQAAAN4AAAAP&#10;AAAAAAAAAAAAAAAAAAcCAABkcnMvZG93bnJldi54bWxQSwUGAAAAAAMAAwC3AAAA+QIAAAAA&#10;" filled="f" stroked="f">
                  <v:textbox inset="0,0,0,0">
                    <w:txbxContent>
                      <w:p w14:paraId="353704C4" w14:textId="77777777" w:rsidR="00B32EF2" w:rsidRDefault="00000000">
                        <w:r>
                          <w:rPr>
                            <w:rFonts w:ascii="Arial" w:eastAsia="Arial" w:hAnsi="Arial" w:cs="Arial"/>
                            <w:sz w:val="18"/>
                          </w:rPr>
                          <w:t xml:space="preserve">d) il ruolo e la cartella di pagamento; </w:t>
                        </w:r>
                      </w:p>
                    </w:txbxContent>
                  </v:textbox>
                </v:rect>
                <v:rect id="Rectangle 18867" o:spid="_x0000_s4172" style="position:absolute;left:26842;top:10634;width:130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1f0xAAAAN4AAAAPAAAAZHJzL2Rvd25yZXYueG1sRE9Na8JA&#10;EL0L/odlBG+6qQcbUlcpiphDL9UIPQ7ZMUmbnV2yq0n99W6h4G0e73NWm8G04kadbywreJknIIhL&#10;qxuuFBSn/SwF4QOyxtYyKfglD5v1eLTCTNueP+l2DJWIIewzVFCH4DIpfVmTQT+3jjhyF9sZDBF2&#10;ldQd9jHctHKRJEtpsOHYUKOjbU3lz/FqFHzt2OX7XpaX+9Z9fOdpe7gWZ6Wmk+H9DUSgITzF/+5c&#10;x/lpunyFv3fiDXL9AAAA//8DAFBLAQItABQABgAIAAAAIQDb4fbL7gAAAIUBAAATAAAAAAAAAAAA&#10;AAAAAAAAAABbQ29udGVudF9UeXBlc10ueG1sUEsBAi0AFAAGAAgAAAAhAFr0LFu/AAAAFQEAAAsA&#10;AAAAAAAAAAAAAAAAHwEAAF9yZWxzLy5yZWxzUEsBAi0AFAAGAAgAAAAhAEbrV/TEAAAA3gAAAA8A&#10;AAAAAAAAAAAAAAAABwIAAGRycy9kb3ducmV2LnhtbFBLBQYAAAAAAwADALcAAAD4AgAAAAA=&#10;" filled="f" stroked="f">
                  <v:textbox inset="0,0,0,0">
                    <w:txbxContent>
                      <w:p w14:paraId="20910A34" w14:textId="77777777" w:rsidR="00B32EF2" w:rsidRDefault="00000000">
                        <w:r>
                          <w:rPr>
                            <w:rFonts w:ascii="Arial" w:eastAsia="Arial" w:hAnsi="Arial" w:cs="Arial"/>
                            <w:sz w:val="18"/>
                          </w:rPr>
                          <w:t xml:space="preserve">e) l’avviso di mora; </w:t>
                        </w:r>
                      </w:p>
                    </w:txbxContent>
                  </v:textbox>
                </v:rect>
                <v:rect id="Rectangle 18868" o:spid="_x0000_s4173" style="position:absolute;left:-12192;top:9401;width:521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MOGxwAAAN4AAAAPAAAAZHJzL2Rvd25yZXYueG1sRI9Bb8Iw&#10;DIXvSPsPkSftRtNxQFVHQBMTWg9cxkDa0WpM261xoibQbr8eH5B2s/We3/u82kyuV1caYufZwHOW&#10;gyKuve24MXD83M0LUDEhW+w9k4FfirBZP8xWWFo/8gddD6lREsKxRANtSqHUOtYtOYyZD8Sinf3g&#10;MMk6NNoOOEq46/Uiz5faYcfS0GKgbUv1z+HiDHy9cah2o67Pf9uw/66K/v1yPBnz9Di9voBKNKV/&#10;8/26soJfFEvhlXdkBr2+AQAA//8DAFBLAQItABQABgAIAAAAIQDb4fbL7gAAAIUBAAATAAAAAAAA&#10;AAAAAAAAAAAAAABbQ29udGVudF9UeXBlc10ueG1sUEsBAi0AFAAGAAgAAAAhAFr0LFu/AAAAFQEA&#10;AAsAAAAAAAAAAAAAAAAAHwEAAF9yZWxzLy5yZWxzUEsBAi0AFAAGAAgAAAAhADd0w4bHAAAA3gAA&#10;AA8AAAAAAAAAAAAAAAAABwIAAGRycy9kb3ducmV2LnhtbFBLBQYAAAAAAwADALcAAAD7AgAAAAA=&#10;" filled="f" stroked="f">
                  <v:textbox inset="0,0,0,0">
                    <w:txbxContent>
                      <w:p w14:paraId="1C0FDEF5" w14:textId="77777777" w:rsidR="00B32EF2" w:rsidRDefault="00000000">
                        <w:r>
                          <w:rPr>
                            <w:rFonts w:ascii="Arial" w:eastAsia="Arial" w:hAnsi="Arial" w:cs="Arial"/>
                            <w:sz w:val="18"/>
                          </w:rPr>
                          <w:t>f) l’iscrizione di ipoteca sugli immobili di cui all’articolo 77 del decreto del Pre</w:t>
                        </w:r>
                      </w:p>
                    </w:txbxContent>
                  </v:textbox>
                </v:rect>
                <v:rect id="Rectangle 18869" o:spid="_x0000_s4174" style="position:absolute;left:192;top:940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YdxAAAAN4AAAAPAAAAZHJzL2Rvd25yZXYueG1sRE9Na8JA&#10;EL0X/A/LCN7qph4kTV2lKGIOvWgj9DhkxyRtdnbJrib117uC4G0e73MWq8G04kKdbywreJsmIIhL&#10;qxuuFBTf29cUhA/IGlvLpOCfPKyWo5cFZtr2vKfLIVQihrDPUEEdgsuk9GVNBv3UOuLInWxnMETY&#10;VVJ32Mdw08pZksylwYZjQ42O1jWVf4ezUfCzYZdve1mermv39Zun7e5cHJWajIfPDxCBhvAUP9y5&#10;jvPTdP4O93fiDXJ5AwAA//8DAFBLAQItABQABgAIAAAAIQDb4fbL7gAAAIUBAAATAAAAAAAAAAAA&#10;AAAAAAAAAABbQ29udGVudF9UeXBlc10ueG1sUEsBAi0AFAAGAAgAAAAhAFr0LFu/AAAAFQEAAAsA&#10;AAAAAAAAAAAAAAAAHwEAAF9yZWxzLy5yZWxzUEsBAi0AFAAGAAgAAAAhAFg4Zh3EAAAA3gAAAA8A&#10;AAAAAAAAAAAAAAAABwIAAGRycy9kb3ducmV2LnhtbFBLBQYAAAAAAwADALcAAAD4AgAAAAA=&#10;" filled="f" stroked="f">
                  <v:textbox inset="0,0,0,0">
                    <w:txbxContent>
                      <w:p w14:paraId="336F0D41" w14:textId="77777777" w:rsidR="00B32EF2" w:rsidRDefault="00000000">
                        <w:r>
                          <w:rPr>
                            <w:rFonts w:ascii="Arial" w:eastAsia="Arial" w:hAnsi="Arial" w:cs="Arial"/>
                            <w:sz w:val="18"/>
                          </w:rPr>
                          <w:t>-</w:t>
                        </w:r>
                      </w:p>
                    </w:txbxContent>
                  </v:textbox>
                </v:rect>
                <v:rect id="Rectangle 18870" o:spid="_x0000_s4175" style="position:absolute;left:4496;top:8167;width:354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1ldxwAAAN4AAAAPAAAAZHJzL2Rvd25yZXYueG1sRI9Bb8Iw&#10;DIXvk/YfIk/iNtLtwKpCQBMTooddxkDiaDWmLTRO1ARa9uvnw6TdbPn5vfctVqPr1I362Ho28DLN&#10;QBFX3rZcG9h/b55zUDEhW+w8k4E7RVgtHx8WWFg/8BfddqlWYsKxQANNSqHQOlYNOYxTH4jldvK9&#10;wyRrX2vb4yDmrtOvWTbTDluWhAYDrRuqLrurM3D84FBuBl2dftbh81zm3fa6PxgzeRrf56ASjelf&#10;/PddWqmf528CIDgyg17+AgAA//8DAFBLAQItABQABgAIAAAAIQDb4fbL7gAAAIUBAAATAAAAAAAA&#10;AAAAAAAAAAAAAABbQ29udGVudF9UeXBlc10ueG1sUEsBAi0AFAAGAAgAAAAhAFr0LFu/AAAAFQEA&#10;AAsAAAAAAAAAAAAAAAAAHwEAAF9yZWxzLy5yZWxzUEsBAi0AFAAGAAgAAAAhAEzbWV3HAAAA3gAA&#10;AA8AAAAAAAAAAAAAAAAABwIAAGRycy9kb3ducmV2LnhtbFBLBQYAAAAAAwADALcAAAD7AgAAAAA=&#10;" filled="f" stroked="f">
                  <v:textbox inset="0,0,0,0">
                    <w:txbxContent>
                      <w:p w14:paraId="5B232ADE" w14:textId="77777777" w:rsidR="00B32EF2" w:rsidRDefault="00000000">
                        <w:r>
                          <w:rPr>
                            <w:rFonts w:ascii="Arial" w:eastAsia="Arial" w:hAnsi="Arial" w:cs="Arial"/>
                            <w:sz w:val="18"/>
                          </w:rPr>
                          <w:t>sidente della Repubblica 29 settembre 1973, n. 602;</w:t>
                        </w:r>
                      </w:p>
                    </w:txbxContent>
                  </v:textbox>
                </v:rect>
                <v:rect id="Rectangle 18871" o:spid="_x0000_s4176" style="position:absolute;left:-12205;top:6934;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zGxAAAAN4AAAAPAAAAZHJzL2Rvd25yZXYueG1sRE9Ni8Iw&#10;EL0L/ocwwt40dQ9r6RpFFNkevOgq7HFoxrbaTEITbfXXm4WFvc3jfc582ZtG3Kn1tWUF00kCgriw&#10;uuZSwfF7O05B+ICssbFMCh7kYbkYDuaYadvxnu6HUIoYwj5DBVUILpPSFxUZ9BPriCN3tq3BEGFb&#10;St1iF8NNI9+T5EMarDk2VOhoXVFxPdyMgp8Nu3zbyeL8XLvdJU+br9vxpNTbqF99ggjUh3/xnzvX&#10;cX6azqbw+068QS5eAAAA//8DAFBLAQItABQABgAIAAAAIQDb4fbL7gAAAIUBAAATAAAAAAAAAAAA&#10;AAAAAAAAAABbQ29udGVudF9UeXBlc10ueG1sUEsBAi0AFAAGAAgAAAAhAFr0LFu/AAAAFQEAAAsA&#10;AAAAAAAAAAAAAAAAHwEAAF9yZWxzLy5yZWxzUEsBAi0AFAAGAAgAAAAhACOX/MbEAAAA3gAAAA8A&#10;AAAAAAAAAAAAAAAABwIAAGRycy9kb3ducmV2LnhtbFBLBQYAAAAAAwADALcAAAD4AgAAAAA=&#10;" filled="f" stroked="f">
                  <v:textbox inset="0,0,0,0">
                    <w:txbxContent>
                      <w:p w14:paraId="306AD0A2" w14:textId="77777777" w:rsidR="00B32EF2" w:rsidRDefault="00000000">
                        <w:r>
                          <w:rPr>
                            <w:rFonts w:ascii="Arial" w:eastAsia="Arial" w:hAnsi="Arial" w:cs="Arial"/>
                            <w:sz w:val="18"/>
                          </w:rPr>
                          <w:t>g) il fermo di beni mobili registrati di cui all’articolo 86 del decreto del Presiden</w:t>
                        </w:r>
                      </w:p>
                    </w:txbxContent>
                  </v:textbox>
                </v:rect>
                <v:rect id="Rectangle 18872" o:spid="_x0000_s4177" style="position:absolute;left:192;top:69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KxxAAAAN4AAAAPAAAAZHJzL2Rvd25yZXYueG1sRE9Na8JA&#10;EL0X+h+WKfRWN/VQQ3SVoog59KKN4HHIjkk0O7tkV5P6611B6G0e73Nmi8G04kqdbywr+BwlIIhL&#10;qxuuFBS/648UhA/IGlvLpOCPPCzmry8zzLTteUvXXahEDGGfoYI6BJdJ6cuaDPqRdcSRO9rOYIiw&#10;q6TusI/hppXjJPmSBhuODTU6WtZUnncXo+CwYpeve1keb0v3c8rTdnMp9kq9vw3fUxCBhvAvfrpz&#10;Heen6WQMj3fiDXJ+BwAA//8DAFBLAQItABQABgAIAAAAIQDb4fbL7gAAAIUBAAATAAAAAAAAAAAA&#10;AAAAAAAAAABbQ29udGVudF9UeXBlc10ueG1sUEsBAi0AFAAGAAgAAAAhAFr0LFu/AAAAFQEAAAsA&#10;AAAAAAAAAAAAAAAAHwEAAF9yZWxzLy5yZWxzUEsBAi0AFAAGAAgAAAAhANNFYrHEAAAA3gAAAA8A&#10;AAAAAAAAAAAAAAAABwIAAGRycy9kb3ducmV2LnhtbFBLBQYAAAAAAwADALcAAAD4AgAAAAA=&#10;" filled="f" stroked="f">
                  <v:textbox inset="0,0,0,0">
                    <w:txbxContent>
                      <w:p w14:paraId="06227265" w14:textId="77777777" w:rsidR="00B32EF2" w:rsidRDefault="00000000">
                        <w:r>
                          <w:rPr>
                            <w:rFonts w:ascii="Arial" w:eastAsia="Arial" w:hAnsi="Arial" w:cs="Arial"/>
                            <w:sz w:val="18"/>
                          </w:rPr>
                          <w:t>-</w:t>
                        </w:r>
                      </w:p>
                    </w:txbxContent>
                  </v:textbox>
                </v:rect>
                <v:rect id="Rectangle 18873" o:spid="_x0000_s4178" style="position:absolute;left:7749;top:5701;width:321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ccqxAAAAN4AAAAPAAAAZHJzL2Rvd25yZXYueG1sRE9Na8JA&#10;EL0X/A/LCN7qphVsSF2lWMQcvGgt9DhkxySanV2yq4n+elcoeJvH+5zZojeNuFDra8sK3sYJCOLC&#10;6ppLBfuf1WsKwgdkjY1lUnAlD4v54GWGmbYdb+myC6WIIewzVFCF4DIpfVGRQT+2jjhyB9saDBG2&#10;pdQtdjHcNPI9SabSYM2xoUJHy4qK0+5sFPx9s8tXnSwOt6XbHPO0WZ/3v0qNhv3XJ4hAfXiK/925&#10;jvPT9GMCj3fiDXJ+BwAA//8DAFBLAQItABQABgAIAAAAIQDb4fbL7gAAAIUBAAATAAAAAAAAAAAA&#10;AAAAAAAAAABbQ29udGVudF9UeXBlc10ueG1sUEsBAi0AFAAGAAgAAAAhAFr0LFu/AAAAFQEAAAsA&#10;AAAAAAAAAAAAAAAAHwEAAF9yZWxzLy5yZWxzUEsBAi0AFAAGAAgAAAAhALwJxyrEAAAA3gAAAA8A&#10;AAAAAAAAAAAAAAAABwIAAGRycy9kb3ducmV2LnhtbFBLBQYAAAAAAwADALcAAAD4AgAAAAA=&#10;" filled="f" stroked="f">
                  <v:textbox inset="0,0,0,0">
                    <w:txbxContent>
                      <w:p w14:paraId="6471348C" w14:textId="77777777" w:rsidR="00B32EF2" w:rsidRDefault="00000000">
                        <w:r>
                          <w:rPr>
                            <w:rFonts w:ascii="Arial" w:eastAsia="Arial" w:hAnsi="Arial" w:cs="Arial"/>
                            <w:sz w:val="18"/>
                          </w:rPr>
                          <w:t xml:space="preserve">te della Repubblica 29 settembre 1973, n. 602; </w:t>
                        </w:r>
                      </w:p>
                    </w:txbxContent>
                  </v:textbox>
                </v:rect>
                <v:rect id="Rectangle 18874" o:spid="_x0000_s4179" style="position:absolute;left:-11243;top:4467;width:511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F9exAAAAN4AAAAPAAAAZHJzL2Rvd25yZXYueG1sRE9Na8JA&#10;EL0X/A/LCN7qpkVsSF2lWMQcvGgt9DhkxySanV2yq4n+elcoeJvH+5zZojeNuFDra8sK3sYJCOLC&#10;6ppLBfuf1WsKwgdkjY1lUnAlD4v54GWGmbYdb+myC6WIIewzVFCF4DIpfVGRQT+2jjhyB9saDBG2&#10;pdQtdjHcNPI9SabSYM2xoUJHy4qK0+5sFPx9s8tXnSwOt6XbHPO0WZ/3v0qNhv3XJ4hAfXiK/925&#10;jvPT9GMCj3fiDXJ+BwAA//8DAFBLAQItABQABgAIAAAAIQDb4fbL7gAAAIUBAAATAAAAAAAAAAAA&#10;AAAAAAAAAABbQ29udGVudF9UeXBlc10ueG1sUEsBAi0AFAAGAAgAAAAhAFr0LFu/AAAAFQEAAAsA&#10;AAAAAAAAAAAAAAAAHwEAAF9yZWxzLy5yZWxzUEsBAi0AFAAGAAgAAAAhADPgX17EAAAA3gAAAA8A&#10;AAAAAAAAAAAAAAAABwIAAGRycy9kb3ducmV2LnhtbFBLBQYAAAAAAwADALcAAAD4AgAAAAA=&#10;" filled="f" stroked="f">
                  <v:textbox inset="0,0,0,0">
                    <w:txbxContent>
                      <w:p w14:paraId="3C73CB8E" w14:textId="77777777" w:rsidR="00B32EF2" w:rsidRDefault="00000000">
                        <w:r>
                          <w:rPr>
                            <w:rFonts w:ascii="Arial" w:eastAsia="Arial" w:hAnsi="Arial" w:cs="Arial"/>
                            <w:sz w:val="18"/>
                          </w:rPr>
                          <w:t xml:space="preserve">h) gli atti relativi alle operazioni catastali indicate nell’articolo 46, comma 2; </w:t>
                        </w:r>
                      </w:p>
                    </w:txbxContent>
                  </v:textbox>
                </v:rect>
                <w10:anchorlock/>
              </v:group>
            </w:pict>
          </mc:Fallback>
        </mc:AlternateContent>
      </w:r>
    </w:p>
    <w:p w14:paraId="434B2BF3" w14:textId="77777777" w:rsidR="00B32EF2" w:rsidRDefault="00000000">
      <w:pPr>
        <w:spacing w:after="1955"/>
        <w:ind w:left="-1440" w:right="7064"/>
      </w:pPr>
      <w:r>
        <w:rPr>
          <w:noProof/>
        </w:rPr>
        <w:lastRenderedPageBreak/>
        <mc:AlternateContent>
          <mc:Choice Requires="wpg">
            <w:drawing>
              <wp:anchor distT="0" distB="0" distL="114300" distR="114300" simplePos="0" relativeHeight="251665408" behindDoc="0" locked="0" layoutInCell="1" allowOverlap="1" wp14:anchorId="67A75E8B" wp14:editId="1AE2E7BE">
                <wp:simplePos x="0" y="0"/>
                <wp:positionH relativeFrom="page">
                  <wp:posOffset>2632944</wp:posOffset>
                </wp:positionH>
                <wp:positionV relativeFrom="page">
                  <wp:posOffset>397149</wp:posOffset>
                </wp:positionV>
                <wp:extent cx="134112" cy="188456"/>
                <wp:effectExtent l="0" t="0" r="0" b="0"/>
                <wp:wrapTopAndBottom/>
                <wp:docPr id="201263" name="Group 201263"/>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18932" name="Rectangle 18932"/>
                        <wps:cNvSpPr/>
                        <wps:spPr>
                          <a:xfrm rot="-10799999">
                            <a:off x="-44256" y="-62190"/>
                            <a:ext cx="178369" cy="250646"/>
                          </a:xfrm>
                          <a:prstGeom prst="rect">
                            <a:avLst/>
                          </a:prstGeom>
                          <a:ln>
                            <a:noFill/>
                          </a:ln>
                        </wps:spPr>
                        <wps:txbx>
                          <w:txbxContent>
                            <w:p w14:paraId="7129BC25" w14:textId="77777777" w:rsidR="00B32EF2" w:rsidRDefault="00000000">
                              <w:r>
                                <w:rPr>
                                  <w:rFonts w:ascii="Times New Roman" w:eastAsia="Times New Roman" w:hAnsi="Times New Roman" w:cs="Times New Roman"/>
                                </w:rPr>
                                <w:t>58</w:t>
                              </w:r>
                            </w:p>
                          </w:txbxContent>
                        </wps:txbx>
                        <wps:bodyPr horzOverflow="overflow" vert="horz" lIns="0" tIns="0" rIns="0" bIns="0" rtlCol="0">
                          <a:noAutofit/>
                        </wps:bodyPr>
                      </wps:wsp>
                    </wpg:wgp>
                  </a:graphicData>
                </a:graphic>
              </wp:anchor>
            </w:drawing>
          </mc:Choice>
          <mc:Fallback>
            <w:pict>
              <v:group w14:anchorId="67A75E8B" id="Group 201263" o:spid="_x0000_s4180" style="position:absolute;left:0;text-align:left;margin-left:207.3pt;margin-top:31.25pt;width:10.55pt;height:14.85pt;z-index:251665408;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JoGgIAAIEEAAAOAAAAZHJzL2Uyb0RvYy54bWyklMlu2zAQhu8F+g4E77YWL7EFy0HRNEaB&#10;ogmS9gFoiloAikOQtKX06TukJLtNgB5SH+jhouH/f5rR7rZvJTkLYxtQOU3mMSVCcSgaVeX054/7&#10;2YYS65gqmAQlcvoiLL3df/yw63QmUqhBFsIQTKJs1umc1s7pLIosr0XL7By0ULhZgmmZw6mposKw&#10;DrO3MkrjeB11YAptgAtrcfVu2KT7kL8sBXcPZWmFIzKnqM2F0YTx6Mdov2NZZZiuGz7KYO9Q0bJG&#10;4aWXVHfMMXIyzZtUbcMNWCjdnEMbQVk2XAQP6CaJX7k5GDjp4KXKukpfMCHaV5zenZZ/Px+MftaP&#10;Bkl0ukIWYea99KVp/T+qJH1A9nJBJnpHOC4mi2WSpJRw3Eo2m+VqPSDlNXJ/8xSvv/zzuWi6NPpL&#10;SqexOOzVv/0//8810yJgtRn6fzSkKbz67QKNKNZimT5h4TBVSUGG5QAnnL6gsplFahMnYgBra5bE&#10;N1v/C7UwcpstlyliIUhotk6T7Vh0F4I3m8V6OxBMV/F6GQheSLBMG+sOAlrig5walBbSs/M361AY&#10;Hp2OeDVS+VHBfSPlsOtXEOgk2EeuP/bB9SJOVv6N+cUjFC8Iowbz6wFbupTQ5RTGiPoux+v9LiXy&#10;q8KX4BtqCswUHKfAOPkZQtsNgj6dHJRNUHy9bVSGbzdEoc6DpbEnfSP9OQ+nrl+O/W8AAAD//wMA&#10;UEsDBBQABgAIAAAAIQD34GMw4AAAAAkBAAAPAAAAZHJzL2Rvd25yZXYueG1sTI9BT4NAEIXvJv6H&#10;zZh4swsUUJGhaRr11DSxNTHepjAFUnaXsFug/971pMfJ+/LeN/lqVp0YebCt0QjhIgDBujRVq2uE&#10;z8PbwxMI60hX1BnNCFe2sCpub3LKKjPpDx73rha+RNuMEBrn+kxKWzasyC5Mz9pnJzMocv4calkN&#10;NPly1ckoCFKpqNV+oaGeNw2X5/1FIbxPNK2X4eu4PZ821+9Dsvvahox4fzevX0A4nt0fDL/6Xh0K&#10;73Q0F11Z0SHEYZx6FCGNEhAeiJfJI4gjwnMUgSxy+f+D4gcAAP//AwBQSwECLQAUAAYACAAAACEA&#10;toM4kv4AAADhAQAAEwAAAAAAAAAAAAAAAAAAAAAAW0NvbnRlbnRfVHlwZXNdLnhtbFBLAQItABQA&#10;BgAIAAAAIQA4/SH/1gAAAJQBAAALAAAAAAAAAAAAAAAAAC8BAABfcmVscy8ucmVsc1BLAQItABQA&#10;BgAIAAAAIQDtqoJoGgIAAIEEAAAOAAAAAAAAAAAAAAAAAC4CAABkcnMvZTJvRG9jLnhtbFBLAQIt&#10;ABQABgAIAAAAIQD34GMw4AAAAAkBAAAPAAAAAAAAAAAAAAAAAHQEAABkcnMvZG93bnJldi54bWxQ&#10;SwUGAAAAAAQABADzAAAAgQUAAAAA&#10;">
                <v:rect id="Rectangle 18932" o:spid="_x0000_s4181"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tTsxQAAAN4AAAAPAAAAZHJzL2Rvd25yZXYueG1sRE9La8JA&#10;EL4X/A/LCN7qRgslRlcRRZpDL/UBHofsmESzs0t2NbG/vlso9DYf33MWq9404kGtry0rmIwTEMSF&#10;1TWXCo6H3WsKwgdkjY1lUvAkD6vl4GWBmbYdf9FjH0oRQ9hnqKAKwWVS+qIig35sHXHkLrY1GCJs&#10;S6lb7GK4aeQ0Sd6lwZpjQ4WONhUVt/3dKDhv2eW7ThaX7437vOZp83E/npQaDfv1HESgPvyL/9y5&#10;jvPT2dsUft+JN8jlDwAAAP//AwBQSwECLQAUAAYACAAAACEA2+H2y+4AAACFAQAAEwAAAAAAAAAA&#10;AAAAAAAAAAAAW0NvbnRlbnRfVHlwZXNdLnhtbFBLAQItABQABgAIAAAAIQBa9CxbvwAAABUBAAAL&#10;AAAAAAAAAAAAAAAAAB8BAABfcmVscy8ucmVsc1BLAQItABQABgAIAAAAIQAzztTsxQAAAN4AAAAP&#10;AAAAAAAAAAAAAAAAAAcCAABkcnMvZG93bnJldi54bWxQSwUGAAAAAAMAAwC3AAAA+QIAAAAA&#10;" filled="f" stroked="f">
                  <v:textbox inset="0,0,0,0">
                    <w:txbxContent>
                      <w:p w14:paraId="7129BC25" w14:textId="77777777" w:rsidR="00B32EF2" w:rsidRDefault="00000000">
                        <w:r>
                          <w:rPr>
                            <w:rFonts w:ascii="Times New Roman" w:eastAsia="Times New Roman" w:hAnsi="Times New Roman" w:cs="Times New Roman"/>
                          </w:rPr>
                          <w:t>58</w:t>
                        </w:r>
                      </w:p>
                    </w:txbxContent>
                  </v:textbox>
                </v:rect>
                <w10:wrap type="topAndBottom" anchorx="page" anchory="page"/>
              </v:group>
            </w:pict>
          </mc:Fallback>
        </mc:AlternateContent>
      </w:r>
    </w:p>
    <w:p w14:paraId="35E1D6FB" w14:textId="77777777" w:rsidR="00B32EF2" w:rsidRDefault="00000000">
      <w:pPr>
        <w:spacing w:after="608"/>
        <w:ind w:left="-356" w:right="-306"/>
      </w:pPr>
      <w:r>
        <w:rPr>
          <w:noProof/>
        </w:rPr>
        <mc:AlternateContent>
          <mc:Choice Requires="wpg">
            <w:drawing>
              <wp:inline distT="0" distB="0" distL="0" distR="0" wp14:anchorId="0DE1376C" wp14:editId="1417E415">
                <wp:extent cx="3991779" cy="2450699"/>
                <wp:effectExtent l="0" t="0" r="0" b="0"/>
                <wp:docPr id="201265" name="Group 201265"/>
                <wp:cNvGraphicFramePr/>
                <a:graphic xmlns:a="http://schemas.openxmlformats.org/drawingml/2006/main">
                  <a:graphicData uri="http://schemas.microsoft.com/office/word/2010/wordprocessingGroup">
                    <wpg:wgp>
                      <wpg:cNvGrpSpPr/>
                      <wpg:grpSpPr>
                        <a:xfrm>
                          <a:off x="0" y="0"/>
                          <a:ext cx="3991779" cy="2450699"/>
                          <a:chOff x="0" y="0"/>
                          <a:chExt cx="3991779" cy="2450699"/>
                        </a:xfrm>
                      </wpg:grpSpPr>
                      <wps:wsp>
                        <wps:cNvPr id="18951" name="Rectangle 18951"/>
                        <wps:cNvSpPr/>
                        <wps:spPr>
                          <a:xfrm rot="-10799999">
                            <a:off x="1625777" y="2307811"/>
                            <a:ext cx="620298" cy="142889"/>
                          </a:xfrm>
                          <a:prstGeom prst="rect">
                            <a:avLst/>
                          </a:prstGeom>
                          <a:ln>
                            <a:noFill/>
                          </a:ln>
                        </wps:spPr>
                        <wps:txbx>
                          <w:txbxContent>
                            <w:p w14:paraId="1DA4B73F" w14:textId="77777777" w:rsidR="00B32EF2" w:rsidRDefault="00000000">
                              <w:r>
                                <w:rPr>
                                  <w:rFonts w:ascii="Arial" w:eastAsia="Arial" w:hAnsi="Arial" w:cs="Arial"/>
                                  <w:b/>
                                  <w:sz w:val="18"/>
                                </w:rPr>
                                <w:t>CAPO III</w:t>
                              </w:r>
                            </w:p>
                          </w:txbxContent>
                        </wps:txbx>
                        <wps:bodyPr horzOverflow="overflow" vert="horz" lIns="0" tIns="0" rIns="0" bIns="0" rtlCol="0">
                          <a:noAutofit/>
                        </wps:bodyPr>
                      </wps:wsp>
                      <wps:wsp>
                        <wps:cNvPr id="18952" name="Rectangle 18952"/>
                        <wps:cNvSpPr/>
                        <wps:spPr>
                          <a:xfrm rot="-10799999">
                            <a:off x="1079334" y="2061151"/>
                            <a:ext cx="1493982" cy="142889"/>
                          </a:xfrm>
                          <a:prstGeom prst="rect">
                            <a:avLst/>
                          </a:prstGeom>
                          <a:ln>
                            <a:noFill/>
                          </a:ln>
                        </wps:spPr>
                        <wps:txbx>
                          <w:txbxContent>
                            <w:p w14:paraId="2576A9C3" w14:textId="77777777" w:rsidR="00B32EF2" w:rsidRDefault="00000000">
                              <w:r>
                                <w:rPr>
                                  <w:rFonts w:ascii="Arial" w:eastAsia="Arial" w:hAnsi="Arial" w:cs="Arial"/>
                                  <w:b/>
                                  <w:sz w:val="18"/>
                                </w:rPr>
                                <w:t xml:space="preserve"> FORMA DEGLI ATTI</w:t>
                              </w:r>
                            </w:p>
                          </w:txbxContent>
                        </wps:txbx>
                        <wps:bodyPr horzOverflow="overflow" vert="horz" lIns="0" tIns="0" rIns="0" bIns="0" rtlCol="0">
                          <a:noAutofit/>
                        </wps:bodyPr>
                      </wps:wsp>
                      <wps:wsp>
                        <wps:cNvPr id="18953" name="Rectangle 18953"/>
                        <wps:cNvSpPr/>
                        <wps:spPr>
                          <a:xfrm rot="-10799999">
                            <a:off x="1506829" y="1814492"/>
                            <a:ext cx="808969" cy="142889"/>
                          </a:xfrm>
                          <a:prstGeom prst="rect">
                            <a:avLst/>
                          </a:prstGeom>
                          <a:ln>
                            <a:noFill/>
                          </a:ln>
                        </wps:spPr>
                        <wps:txbx>
                          <w:txbxContent>
                            <w:p w14:paraId="508D281A" w14:textId="77777777" w:rsidR="00B32EF2" w:rsidRDefault="00000000">
                              <w:r>
                                <w:rPr>
                                  <w:rFonts w:ascii="Arial" w:eastAsia="Arial" w:hAnsi="Arial" w:cs="Arial"/>
                                  <w:b/>
                                  <w:sz w:val="18"/>
                                </w:rPr>
                                <w:t>Articolo 63</w:t>
                              </w:r>
                            </w:p>
                          </w:txbxContent>
                        </wps:txbx>
                        <wps:bodyPr horzOverflow="overflow" vert="horz" lIns="0" tIns="0" rIns="0" bIns="0" rtlCol="0">
                          <a:noAutofit/>
                        </wps:bodyPr>
                      </wps:wsp>
                      <wps:wsp>
                        <wps:cNvPr id="201214" name="Rectangle 201214"/>
                        <wps:cNvSpPr/>
                        <wps:spPr>
                          <a:xfrm rot="-10799999">
                            <a:off x="2249941" y="1691162"/>
                            <a:ext cx="2161512" cy="142889"/>
                          </a:xfrm>
                          <a:prstGeom prst="rect">
                            <a:avLst/>
                          </a:prstGeom>
                          <a:ln>
                            <a:noFill/>
                          </a:ln>
                        </wps:spPr>
                        <wps:txbx>
                          <w:txbxContent>
                            <w:p w14:paraId="3C2B12F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215" name="Rectangle 201215"/>
                        <wps:cNvSpPr/>
                        <wps:spPr>
                          <a:xfrm rot="-10799999">
                            <a:off x="-564032" y="1691162"/>
                            <a:ext cx="2161513" cy="142889"/>
                          </a:xfrm>
                          <a:prstGeom prst="rect">
                            <a:avLst/>
                          </a:prstGeom>
                          <a:ln>
                            <a:noFill/>
                          </a:ln>
                        </wps:spPr>
                        <wps:txbx>
                          <w:txbxContent>
                            <w:p w14:paraId="33F64130"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216" name="Rectangle 201216"/>
                        <wps:cNvSpPr/>
                        <wps:spPr>
                          <a:xfrm rot="-10799999">
                            <a:off x="1026006" y="1691162"/>
                            <a:ext cx="2161512" cy="142889"/>
                          </a:xfrm>
                          <a:prstGeom prst="rect">
                            <a:avLst/>
                          </a:prstGeom>
                          <a:ln>
                            <a:noFill/>
                          </a:ln>
                        </wps:spPr>
                        <wps:txbx>
                          <w:txbxContent>
                            <w:p w14:paraId="04549D99" w14:textId="77777777" w:rsidR="00B32EF2" w:rsidRDefault="00000000">
                              <w:r>
                                <w:rPr>
                                  <w:rFonts w:ascii="Arial" w:eastAsia="Arial" w:hAnsi="Arial" w:cs="Arial"/>
                                  <w:i/>
                                  <w:sz w:val="18"/>
                                </w:rPr>
                                <w:t xml:space="preserve">articolo 17-ter D.lgs. n. </w:t>
                              </w:r>
                            </w:p>
                          </w:txbxContent>
                        </wps:txbx>
                        <wps:bodyPr horzOverflow="overflow" vert="horz" lIns="0" tIns="0" rIns="0" bIns="0" rtlCol="0">
                          <a:noAutofit/>
                        </wps:bodyPr>
                      </wps:wsp>
                      <wps:wsp>
                        <wps:cNvPr id="18955" name="Rectangle 18955"/>
                        <wps:cNvSpPr/>
                        <wps:spPr>
                          <a:xfrm rot="-10799999">
                            <a:off x="1020444" y="1567833"/>
                            <a:ext cx="1563044" cy="142889"/>
                          </a:xfrm>
                          <a:prstGeom prst="rect">
                            <a:avLst/>
                          </a:prstGeom>
                          <a:ln>
                            <a:noFill/>
                          </a:ln>
                        </wps:spPr>
                        <wps:txbx>
                          <w:txbxContent>
                            <w:p w14:paraId="42CBACC9" w14:textId="77777777" w:rsidR="00B32EF2" w:rsidRDefault="00000000">
                              <w:r>
                                <w:rPr>
                                  <w:rFonts w:ascii="Arial" w:eastAsia="Arial" w:hAnsi="Arial" w:cs="Arial"/>
                                  <w:b/>
                                  <w:sz w:val="18"/>
                                </w:rPr>
                                <w:t xml:space="preserve">Degli atti in generale </w:t>
                              </w:r>
                            </w:p>
                          </w:txbxContent>
                        </wps:txbx>
                        <wps:bodyPr horzOverflow="overflow" vert="horz" lIns="0" tIns="0" rIns="0" bIns="0" rtlCol="0">
                          <a:noAutofit/>
                        </wps:bodyPr>
                      </wps:wsp>
                      <wps:wsp>
                        <wps:cNvPr id="201213" name="Rectangle 201213"/>
                        <wps:cNvSpPr/>
                        <wps:spPr>
                          <a:xfrm rot="-10799999">
                            <a:off x="-1376410" y="1444503"/>
                            <a:ext cx="5309005" cy="142889"/>
                          </a:xfrm>
                          <a:prstGeom prst="rect">
                            <a:avLst/>
                          </a:prstGeom>
                          <a:ln>
                            <a:noFill/>
                          </a:ln>
                        </wps:spPr>
                        <wps:txbx>
                          <w:txbxContent>
                            <w:p w14:paraId="7CEA9FD3" w14:textId="77777777" w:rsidR="00B32EF2" w:rsidRDefault="00000000">
                              <w:r>
                                <w:rPr>
                                  <w:rFonts w:ascii="Arial" w:eastAsia="Arial" w:hAnsi="Arial" w:cs="Arial"/>
                                  <w:sz w:val="18"/>
                                </w:rPr>
                                <w:t xml:space="preserve">. Gli atti del processo, i verbali e i provvedimenti giurisdizionali sono redatti in </w:t>
                              </w:r>
                            </w:p>
                          </w:txbxContent>
                        </wps:txbx>
                        <wps:bodyPr horzOverflow="overflow" vert="horz" lIns="0" tIns="0" rIns="0" bIns="0" rtlCol="0">
                          <a:noAutofit/>
                        </wps:bodyPr>
                      </wps:wsp>
                      <wps:wsp>
                        <wps:cNvPr id="201212" name="Rectangle 201212"/>
                        <wps:cNvSpPr/>
                        <wps:spPr>
                          <a:xfrm rot="-10799999">
                            <a:off x="2610957" y="1444503"/>
                            <a:ext cx="5309005" cy="142889"/>
                          </a:xfrm>
                          <a:prstGeom prst="rect">
                            <a:avLst/>
                          </a:prstGeom>
                          <a:ln>
                            <a:noFill/>
                          </a:ln>
                        </wps:spPr>
                        <wps:txbx>
                          <w:txbxContent>
                            <w:p w14:paraId="07373750"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8957" name="Rectangle 18957"/>
                        <wps:cNvSpPr/>
                        <wps:spPr>
                          <a:xfrm rot="-10799999">
                            <a:off x="2369873" y="1321173"/>
                            <a:ext cx="1621906" cy="142889"/>
                          </a:xfrm>
                          <a:prstGeom prst="rect">
                            <a:avLst/>
                          </a:prstGeom>
                          <a:ln>
                            <a:noFill/>
                          </a:ln>
                        </wps:spPr>
                        <wps:txbx>
                          <w:txbxContent>
                            <w:p w14:paraId="11BEDADF" w14:textId="77777777" w:rsidR="00B32EF2" w:rsidRDefault="00000000">
                              <w:r>
                                <w:rPr>
                                  <w:rFonts w:ascii="Arial" w:eastAsia="Arial" w:hAnsi="Arial" w:cs="Arial"/>
                                  <w:sz w:val="18"/>
                                </w:rPr>
                                <w:t>modo chiaro e sintetico.</w:t>
                              </w:r>
                            </w:p>
                          </w:txbxContent>
                        </wps:txbx>
                        <wps:bodyPr horzOverflow="overflow" vert="horz" lIns="0" tIns="0" rIns="0" bIns="0" rtlCol="0">
                          <a:noAutofit/>
                        </wps:bodyPr>
                      </wps:wsp>
                      <wps:wsp>
                        <wps:cNvPr id="201210" name="Rectangle 201210"/>
                        <wps:cNvSpPr/>
                        <wps:spPr>
                          <a:xfrm rot="-10799999">
                            <a:off x="2610942" y="1197843"/>
                            <a:ext cx="5309066" cy="142889"/>
                          </a:xfrm>
                          <a:prstGeom prst="rect">
                            <a:avLst/>
                          </a:prstGeom>
                          <a:ln>
                            <a:noFill/>
                          </a:ln>
                        </wps:spPr>
                        <wps:txbx>
                          <w:txbxContent>
                            <w:p w14:paraId="50DA492A"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211" name="Rectangle 201211"/>
                        <wps:cNvSpPr/>
                        <wps:spPr>
                          <a:xfrm rot="-10799999">
                            <a:off x="-1381842" y="1197843"/>
                            <a:ext cx="5309066" cy="142889"/>
                          </a:xfrm>
                          <a:prstGeom prst="rect">
                            <a:avLst/>
                          </a:prstGeom>
                          <a:ln>
                            <a:noFill/>
                          </a:ln>
                        </wps:spPr>
                        <wps:txbx>
                          <w:txbxContent>
                            <w:p w14:paraId="655AB544" w14:textId="77777777" w:rsidR="00B32EF2" w:rsidRDefault="00000000">
                              <w:r>
                                <w:rPr>
                                  <w:rFonts w:ascii="Arial" w:eastAsia="Arial" w:hAnsi="Arial" w:cs="Arial"/>
                                  <w:sz w:val="18"/>
                                </w:rPr>
                                <w:t xml:space="preserve">. Salvo i casi eccezionali previsti dalle norme tecniche di cui all’articolo 129, </w:t>
                              </w:r>
                            </w:p>
                          </w:txbxContent>
                        </wps:txbx>
                        <wps:bodyPr horzOverflow="overflow" vert="horz" lIns="0" tIns="0" rIns="0" bIns="0" rtlCol="0">
                          <a:noAutofit/>
                        </wps:bodyPr>
                      </wps:wsp>
                      <wps:wsp>
                        <wps:cNvPr id="18959" name="Rectangle 18959"/>
                        <wps:cNvSpPr/>
                        <wps:spPr>
                          <a:xfrm rot="-10799999">
                            <a:off x="-1317256" y="1074513"/>
                            <a:ext cx="5309035" cy="142889"/>
                          </a:xfrm>
                          <a:prstGeom prst="rect">
                            <a:avLst/>
                          </a:prstGeom>
                          <a:ln>
                            <a:noFill/>
                          </a:ln>
                        </wps:spPr>
                        <wps:txbx>
                          <w:txbxContent>
                            <w:p w14:paraId="77AF8451" w14:textId="77777777" w:rsidR="00B32EF2" w:rsidRDefault="00000000">
                              <w:r>
                                <w:rPr>
                                  <w:rFonts w:ascii="Arial" w:eastAsia="Arial" w:hAnsi="Arial" w:cs="Arial"/>
                                  <w:sz w:val="18"/>
                                </w:rPr>
                                <w:t xml:space="preserve">comma 3, tutti gli atti e i provvedimenti del giudice tributario, dei suoi ausiliari e </w:t>
                              </w:r>
                            </w:p>
                          </w:txbxContent>
                        </wps:txbx>
                        <wps:bodyPr horzOverflow="overflow" vert="horz" lIns="0" tIns="0" rIns="0" bIns="0" rtlCol="0">
                          <a:noAutofit/>
                        </wps:bodyPr>
                      </wps:wsp>
                      <wps:wsp>
                        <wps:cNvPr id="18960" name="Rectangle 18960"/>
                        <wps:cNvSpPr/>
                        <wps:spPr>
                          <a:xfrm rot="-10799999">
                            <a:off x="-1317256" y="951183"/>
                            <a:ext cx="5309035" cy="142889"/>
                          </a:xfrm>
                          <a:prstGeom prst="rect">
                            <a:avLst/>
                          </a:prstGeom>
                          <a:ln>
                            <a:noFill/>
                          </a:ln>
                        </wps:spPr>
                        <wps:txbx>
                          <w:txbxContent>
                            <w:p w14:paraId="360660E5" w14:textId="77777777" w:rsidR="00B32EF2" w:rsidRDefault="00000000">
                              <w:r>
                                <w:rPr>
                                  <w:rFonts w:ascii="Arial" w:eastAsia="Arial" w:hAnsi="Arial" w:cs="Arial"/>
                                  <w:sz w:val="18"/>
                                </w:rPr>
                                <w:t xml:space="preserve">quelli delle segreterie delle corti di giustizia tributaria, nonché gli atti delle parti </w:t>
                              </w:r>
                            </w:p>
                          </w:txbxContent>
                        </wps:txbx>
                        <wps:bodyPr horzOverflow="overflow" vert="horz" lIns="0" tIns="0" rIns="0" bIns="0" rtlCol="0">
                          <a:noAutofit/>
                        </wps:bodyPr>
                      </wps:wsp>
                      <wps:wsp>
                        <wps:cNvPr id="18961" name="Rectangle 18961"/>
                        <wps:cNvSpPr/>
                        <wps:spPr>
                          <a:xfrm rot="-10799999">
                            <a:off x="617230" y="827854"/>
                            <a:ext cx="3374548" cy="142889"/>
                          </a:xfrm>
                          <a:prstGeom prst="rect">
                            <a:avLst/>
                          </a:prstGeom>
                          <a:ln>
                            <a:noFill/>
                          </a:ln>
                        </wps:spPr>
                        <wps:txbx>
                          <w:txbxContent>
                            <w:p w14:paraId="389144D1" w14:textId="77777777" w:rsidR="00B32EF2" w:rsidRDefault="00000000">
                              <w:r>
                                <w:rPr>
                                  <w:rFonts w:ascii="Arial" w:eastAsia="Arial" w:hAnsi="Arial" w:cs="Arial"/>
                                  <w:sz w:val="18"/>
                                </w:rPr>
                                <w:t xml:space="preserve">e dei difensori sono sottoscritti con firma digitale. </w:t>
                              </w:r>
                            </w:p>
                          </w:txbxContent>
                        </wps:txbx>
                        <wps:bodyPr horzOverflow="overflow" vert="horz" lIns="0" tIns="0" rIns="0" bIns="0" rtlCol="0">
                          <a:noAutofit/>
                        </wps:bodyPr>
                      </wps:wsp>
                      <wps:wsp>
                        <wps:cNvPr id="201204" name="Rectangle 201204"/>
                        <wps:cNvSpPr/>
                        <wps:spPr>
                          <a:xfrm rot="-10799999">
                            <a:off x="2635395" y="704524"/>
                            <a:ext cx="5210512" cy="142889"/>
                          </a:xfrm>
                          <a:prstGeom prst="rect">
                            <a:avLst/>
                          </a:prstGeom>
                          <a:ln>
                            <a:noFill/>
                          </a:ln>
                        </wps:spPr>
                        <wps:txbx>
                          <w:txbxContent>
                            <w:p w14:paraId="6B872EA5"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1205" name="Rectangle 201205"/>
                        <wps:cNvSpPr/>
                        <wps:spPr>
                          <a:xfrm rot="-10799999">
                            <a:off x="-1283254" y="704524"/>
                            <a:ext cx="5210512" cy="142889"/>
                          </a:xfrm>
                          <a:prstGeom prst="rect">
                            <a:avLst/>
                          </a:prstGeom>
                          <a:ln>
                            <a:noFill/>
                          </a:ln>
                        </wps:spPr>
                        <wps:txbx>
                          <w:txbxContent>
                            <w:p w14:paraId="1906E09C" w14:textId="77777777" w:rsidR="00B32EF2" w:rsidRDefault="00000000">
                              <w:r>
                                <w:rPr>
                                  <w:rFonts w:ascii="Arial" w:eastAsia="Arial" w:hAnsi="Arial" w:cs="Arial"/>
                                  <w:sz w:val="18"/>
                                </w:rPr>
                                <w:t>. La liquidazione delle spese del giudizio tiene in ogni caso conto della vio</w:t>
                              </w:r>
                            </w:p>
                          </w:txbxContent>
                        </wps:txbx>
                        <wps:bodyPr horzOverflow="overflow" vert="horz" lIns="0" tIns="0" rIns="0" bIns="0" rtlCol="0">
                          <a:noAutofit/>
                        </wps:bodyPr>
                      </wps:wsp>
                      <wps:wsp>
                        <wps:cNvPr id="18963" name="Rectangle 18963"/>
                        <wps:cNvSpPr/>
                        <wps:spPr>
                          <a:xfrm rot="-10799999">
                            <a:off x="19181" y="704524"/>
                            <a:ext cx="50622" cy="142889"/>
                          </a:xfrm>
                          <a:prstGeom prst="rect">
                            <a:avLst/>
                          </a:prstGeom>
                          <a:ln>
                            <a:noFill/>
                          </a:ln>
                        </wps:spPr>
                        <wps:txbx>
                          <w:txbxContent>
                            <w:p w14:paraId="2BE8C79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964" name="Rectangle 18964"/>
                        <wps:cNvSpPr/>
                        <wps:spPr>
                          <a:xfrm rot="-10799999">
                            <a:off x="-1317226" y="581194"/>
                            <a:ext cx="5309006" cy="142889"/>
                          </a:xfrm>
                          <a:prstGeom prst="rect">
                            <a:avLst/>
                          </a:prstGeom>
                          <a:ln>
                            <a:noFill/>
                          </a:ln>
                        </wps:spPr>
                        <wps:txbx>
                          <w:txbxContent>
                            <w:p w14:paraId="2061E024" w14:textId="77777777" w:rsidR="00B32EF2" w:rsidRDefault="00000000">
                              <w:r>
                                <w:rPr>
                                  <w:rFonts w:ascii="Arial" w:eastAsia="Arial" w:hAnsi="Arial" w:cs="Arial"/>
                                  <w:sz w:val="18"/>
                                </w:rPr>
                                <w:t xml:space="preserve">lazione ad opera dei difensori delle parti delle previsioni di cui al comma 5 </w:t>
                              </w:r>
                            </w:p>
                          </w:txbxContent>
                        </wps:txbx>
                        <wps:bodyPr horzOverflow="overflow" vert="horz" lIns="0" tIns="0" rIns="0" bIns="0" rtlCol="0">
                          <a:noAutofit/>
                        </wps:bodyPr>
                      </wps:wsp>
                      <wps:wsp>
                        <wps:cNvPr id="18965" name="Rectangle 18965"/>
                        <wps:cNvSpPr/>
                        <wps:spPr>
                          <a:xfrm rot="-10799999">
                            <a:off x="-1317240" y="457865"/>
                            <a:ext cx="5309021" cy="142889"/>
                          </a:xfrm>
                          <a:prstGeom prst="rect">
                            <a:avLst/>
                          </a:prstGeom>
                          <a:ln>
                            <a:noFill/>
                          </a:ln>
                        </wps:spPr>
                        <wps:txbx>
                          <w:txbxContent>
                            <w:p w14:paraId="73A82146" w14:textId="77777777" w:rsidR="00B32EF2" w:rsidRDefault="00000000">
                              <w:r>
                                <w:rPr>
                                  <w:rFonts w:ascii="Arial" w:eastAsia="Arial" w:hAnsi="Arial" w:cs="Arial"/>
                                  <w:sz w:val="18"/>
                                </w:rPr>
                                <w:t xml:space="preserve">dell’articolo 61, nonché di quelle delle norme tecniche del processo tributario </w:t>
                              </w:r>
                            </w:p>
                          </w:txbxContent>
                        </wps:txbx>
                        <wps:bodyPr horzOverflow="overflow" vert="horz" lIns="0" tIns="0" rIns="0" bIns="0" rtlCol="0">
                          <a:noAutofit/>
                        </wps:bodyPr>
                      </wps:wsp>
                      <wps:wsp>
                        <wps:cNvPr id="18966" name="Rectangle 18966"/>
                        <wps:cNvSpPr/>
                        <wps:spPr>
                          <a:xfrm rot="-10799999">
                            <a:off x="-1317256" y="334535"/>
                            <a:ext cx="5309035" cy="142889"/>
                          </a:xfrm>
                          <a:prstGeom prst="rect">
                            <a:avLst/>
                          </a:prstGeom>
                          <a:ln>
                            <a:noFill/>
                          </a:ln>
                        </wps:spPr>
                        <wps:txbx>
                          <w:txbxContent>
                            <w:p w14:paraId="7E60C199" w14:textId="77777777" w:rsidR="00B32EF2" w:rsidRDefault="00000000">
                              <w:r>
                                <w:rPr>
                                  <w:rFonts w:ascii="Arial" w:eastAsia="Arial" w:hAnsi="Arial" w:cs="Arial"/>
                                  <w:sz w:val="18"/>
                                </w:rPr>
                                <w:t xml:space="preserve">telematico, fermo l’obbligo delle parti di provvedere alla regolarizzazione entro </w:t>
                              </w:r>
                            </w:p>
                          </w:txbxContent>
                        </wps:txbx>
                        <wps:bodyPr horzOverflow="overflow" vert="horz" lIns="0" tIns="0" rIns="0" bIns="0" rtlCol="0">
                          <a:noAutofit/>
                        </wps:bodyPr>
                      </wps:wsp>
                      <wps:wsp>
                        <wps:cNvPr id="18967" name="Rectangle 18967"/>
                        <wps:cNvSpPr/>
                        <wps:spPr>
                          <a:xfrm rot="-10799999">
                            <a:off x="1203462" y="211206"/>
                            <a:ext cx="2788317" cy="142889"/>
                          </a:xfrm>
                          <a:prstGeom prst="rect">
                            <a:avLst/>
                          </a:prstGeom>
                          <a:ln>
                            <a:noFill/>
                          </a:ln>
                        </wps:spPr>
                        <wps:txbx>
                          <w:txbxContent>
                            <w:p w14:paraId="716ACEE7" w14:textId="77777777" w:rsidR="00B32EF2" w:rsidRDefault="00000000">
                              <w:r>
                                <w:rPr>
                                  <w:rFonts w:ascii="Arial" w:eastAsia="Arial" w:hAnsi="Arial" w:cs="Arial"/>
                                  <w:sz w:val="18"/>
                                </w:rPr>
                                <w:t xml:space="preserve">il termine perentorio stabilito dal giudice. </w:t>
                              </w:r>
                            </w:p>
                          </w:txbxContent>
                        </wps:txbx>
                        <wps:bodyPr horzOverflow="overflow" vert="horz" lIns="0" tIns="0" rIns="0" bIns="0" rtlCol="0">
                          <a:noAutofit/>
                        </wps:bodyPr>
                      </wps:wsp>
                      <wps:wsp>
                        <wps:cNvPr id="201198" name="Rectangle 201198"/>
                        <wps:cNvSpPr/>
                        <wps:spPr>
                          <a:xfrm rot="-10799999">
                            <a:off x="2610957" y="87876"/>
                            <a:ext cx="5309005" cy="142889"/>
                          </a:xfrm>
                          <a:prstGeom prst="rect">
                            <a:avLst/>
                          </a:prstGeom>
                          <a:ln>
                            <a:noFill/>
                          </a:ln>
                        </wps:spPr>
                        <wps:txbx>
                          <w:txbxContent>
                            <w:p w14:paraId="23D25175"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1201" name="Rectangle 201201"/>
                        <wps:cNvSpPr/>
                        <wps:spPr>
                          <a:xfrm rot="-10799999">
                            <a:off x="-1380365" y="87876"/>
                            <a:ext cx="5309005" cy="142889"/>
                          </a:xfrm>
                          <a:prstGeom prst="rect">
                            <a:avLst/>
                          </a:prstGeom>
                          <a:ln>
                            <a:noFill/>
                          </a:ln>
                        </wps:spPr>
                        <wps:txbx>
                          <w:txbxContent>
                            <w:p w14:paraId="4C3F58E8" w14:textId="77777777" w:rsidR="00B32EF2" w:rsidRDefault="00000000">
                              <w:r>
                                <w:rPr>
                                  <w:rFonts w:ascii="Arial" w:eastAsia="Arial" w:hAnsi="Arial" w:cs="Arial"/>
                                  <w:sz w:val="18"/>
                                </w:rPr>
                                <w:t xml:space="preserve">. La mancata sottoscrizione con firma digitale dei provvedimenti giudiziari del </w:t>
                              </w:r>
                            </w:p>
                          </w:txbxContent>
                        </wps:txbx>
                        <wps:bodyPr horzOverflow="overflow" vert="horz" lIns="0" tIns="0" rIns="0" bIns="0" rtlCol="0">
                          <a:noAutofit/>
                        </wps:bodyPr>
                      </wps:wsp>
                      <wps:wsp>
                        <wps:cNvPr id="18969" name="Rectangle 18969"/>
                        <wps:cNvSpPr/>
                        <wps:spPr>
                          <a:xfrm rot="-10799999">
                            <a:off x="1179610" y="-35453"/>
                            <a:ext cx="2812170" cy="142889"/>
                          </a:xfrm>
                          <a:prstGeom prst="rect">
                            <a:avLst/>
                          </a:prstGeom>
                          <a:ln>
                            <a:noFill/>
                          </a:ln>
                        </wps:spPr>
                        <wps:txbx>
                          <w:txbxContent>
                            <w:p w14:paraId="5996B1A0" w14:textId="77777777" w:rsidR="00B32EF2" w:rsidRDefault="00000000">
                              <w:r>
                                <w:rPr>
                                  <w:rFonts w:ascii="Arial" w:eastAsia="Arial" w:hAnsi="Arial" w:cs="Arial"/>
                                  <w:sz w:val="18"/>
                                </w:rPr>
                                <w:t>giudice tributario determina la loro nullità.</w:t>
                              </w:r>
                            </w:p>
                          </w:txbxContent>
                        </wps:txbx>
                        <wps:bodyPr horzOverflow="overflow" vert="horz" lIns="0" tIns="0" rIns="0" bIns="0" rtlCol="0">
                          <a:noAutofit/>
                        </wps:bodyPr>
                      </wps:wsp>
                    </wpg:wgp>
                  </a:graphicData>
                </a:graphic>
              </wp:inline>
            </w:drawing>
          </mc:Choice>
          <mc:Fallback>
            <w:pict>
              <v:group w14:anchorId="0DE1376C" id="Group 201265" o:spid="_x0000_s4182" style="width:314.3pt;height:192.95pt;mso-position-horizontal-relative:char;mso-position-vertical-relative:line" coordsize="39917,24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QdLSQUAAIIyAAAOAAAAZHJzL2Uyb0RvYy54bWzkm12PozYUhu8r9T8g7mfiDzB2NJlV1e2O&#10;KlXdVbf9AQwhHxLBCJhJtr++r20gOyzTlUAqozIXGWISsM/j8/qcg3P37nLKvOe0rI463/j0lvhe&#10;mid6e8z3G/+vPz/cSN+r6jjfxpnO043/Ja38d/c//nB3LtYp0wedbdPSw0Xyan0uNv6hrov1alUl&#10;h/QUV7e6SHOc3OnyFNd4W+5X2zI+4+qnbMUIEauzLrdFqZO0qtD63p307+31d7s0qT/udlVae9nG&#10;R99q+1ra10fzurq/i9f7Mi4Ox6TpRjyiF6f4mOOm3aXex3XsPZXHby51OialrvSuvk30aaV3u2OS&#10;2jFgNJT0RvNQ6qfCjmW/Pu+Lzkwwbc9Ooy+b/P78UBafi08lLHEu9rCFfWfGctmVJ/MfvfQu1mRf&#10;OpOll9pL0MiVolGkfC/BORaERCjljJocYPlvvpccfvnON1ftjVcvunMuMEGqqw2qaTb4fIiL1Jq2&#10;WsMGn0rvuMX8lSqkvpfHJ0zVPzB54nyfpZ5rtgayn+7MVa0rWK61lVdqzK8bSiJl/ux8aGxHBQuj&#10;KPI9YyVOIkmps1JrR8EIU/AVY0YaMCmtFTtbxOuirOqHVJ88c7DxS3TO3iB+/q2q0TV8tP2I6U+W&#10;m9dcfzhmmTtrWmDStsvmqL48Xuy4OaHC9Mc0PurtF5jjoMu/P8Kxd5k+b3zdHPnG13F7c9b3sl9z&#10;YDBu1R6U7cFje1DW2c/aOp/r0E9Ptd4dbY+vd2t6Br6uD/8JaDYMmrWGwLQYARrwOQ8caCIoxXyC&#10;YeN1C5oGiiuJe89GOmoHuBjSfJg0bw0xjjS0TjIon/FYSYNA2ZlzJS2JVKJRxllcWrbjWwRorJ+M&#10;wvH64t20N+o2CjVjgVIBFgaDWigKNX/p1IwKOPqcTm2Xi6ug/s/l2zINX2EdttN+FOubUASEA+W/&#10;s4akzCXgzEaty2ItXmHdRS2jWFPCBHKI77Ge0a+ZjR4Ww9oE2gNu7ZqnKDhIkyBwYRkNRSS5Xfyv&#10;izUaOT4xo1d3cedyVuuBuMwq+7TA7IbySAQUaYnNpQIkpT3YISeKEEy02SS8G+FyYENFB0Ozbt6P&#10;knAmKFGhS6wRg79F1kEbjyyCtdFq4Oijds1TJJxxoWQEyTBezRmlOH6ZWQtGlVnNZ/PqLvJcBGkr&#10;1VDZPuqmfRJr49VBE4RTFcmgx9oquJiTdRd5Lof1QGXUsu5i1FEKjuVaUvm2YS+vZIa6Vd+vjYR3&#10;ZYaxqGnEwibhIlEQ0iG/5nNGZssqmoGpGJBw1zxFweHVV9R4qELlmyPdzeVFKLhBOiDgrnkKaQHO&#10;3CVbkkUytOHuNbHmHG4ezPhkC31rhrcIzmZFJq+UwdE+hTQTPOQK4owIPCJByHqoQ0bJrFVw3kUi&#10;y0E9UC6zU6DLRUau1ExyBl9+u6y7usEiWBudHiiXueYpTk0VHl6+jpkINmP521Vpl1T+FgPSbSBP&#10;U24XjTEXeIfYfKL60m0rojPm09gysaRV2iAdUG7XPMWdHenAxWNBGEncBte7xmO2coLHSrNVyZDd&#10;LY00/GogmUb5ajrpJpnGlqPQGbZHes5cmncDXMwSPVz5Fl39aFQwhoCeB9hyYmIx1L0ZatwvXBpZ&#10;l0S2PaNLd+NbBGjE19Ts1ez7dNM+xam/fpwlIxn1SM/+4JIvqzxmM6mBqknTPoW0KXsTboIAePWb&#10;RL28+thw0Rt7OKeAxoNKVN5cQHbDQ6zTPfWW2LcY4fxcjy0RLDbjm1u97Y5//NDB7mZvfpRhfknx&#10;9Xu7Vfz605H7fwAAAP//AwBQSwMEFAAGAAgAAAAhACa0qSndAAAABQEAAA8AAABkcnMvZG93bnJl&#10;di54bWxMj0FLw0AQhe+C/2EZwZvdpKUhjdmUUtRTEWwF6W2anSah2dmQ3Sbpv3f1opeBx3u8902+&#10;nkwrBupdY1lBPItAEJdWN1wp+Dy8PqUgnEfW2FomBTdysC7u73LMtB35g4a9r0QoYZehgtr7LpPS&#10;lTUZdDPbEQfvbHuDPsi+krrHMZSbVs6jKJEGGw4LNXa0ram87K9GwduI42YRvwy7y3l7Ox6W71+7&#10;mJR6fJg2zyA8Tf4vDD/4AR2KwHSyV9ZOtArCI/73Bi+ZpwmIk4JFulyBLHL5n774BgAA//8DAFBL&#10;AQItABQABgAIAAAAIQC2gziS/gAAAOEBAAATAAAAAAAAAAAAAAAAAAAAAABbQ29udGVudF9UeXBl&#10;c10ueG1sUEsBAi0AFAAGAAgAAAAhADj9If/WAAAAlAEAAAsAAAAAAAAAAAAAAAAALwEAAF9yZWxz&#10;Ly5yZWxzUEsBAi0AFAAGAAgAAAAhAFkhB0tJBQAAgjIAAA4AAAAAAAAAAAAAAAAALgIAAGRycy9l&#10;Mm9Eb2MueG1sUEsBAi0AFAAGAAgAAAAhACa0qSndAAAABQEAAA8AAAAAAAAAAAAAAAAAowcAAGRy&#10;cy9kb3ducmV2LnhtbFBLBQYAAAAABAAEAPMAAACtCAAAAAA=&#10;">
                <v:rect id="Rectangle 18951" o:spid="_x0000_s4183" style="position:absolute;left:16257;top:23078;width:62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687xAAAAN4AAAAPAAAAZHJzL2Rvd25yZXYueG1sRE9Na8JA&#10;EL0X/A/LCN7qRqElja4iijQHL7UKHofsmESzs0t2NdFf3y0UepvH+5z5sjeNuFPra8sKJuMEBHFh&#10;dc2lgsP39jUF4QOyxsYyKXiQh+Vi8DLHTNuOv+i+D6WIIewzVFCF4DIpfVGRQT+2jjhyZ9saDBG2&#10;pdQtdjHcNHKaJO/SYM2xoUJH64qK6/5mFJw27PJtJ4vzc+12lzxtPm+Ho1KjYb+agQjUh3/xnzvX&#10;cX768TaB33fiDXLxAwAA//8DAFBLAQItABQABgAIAAAAIQDb4fbL7gAAAIUBAAATAAAAAAAAAAAA&#10;AAAAAAAAAABbQ29udGVudF9UeXBlc10ueG1sUEsBAi0AFAAGAAgAAAAhAFr0LFu/AAAAFQEAAAsA&#10;AAAAAAAAAAAAAAAAHwEAAF9yZWxzLy5yZWxzUEsBAi0AFAAGAAgAAAAhAB7DrzvEAAAA3gAAAA8A&#10;AAAAAAAAAAAAAAAABwIAAGRycy9kb3ducmV2LnhtbFBLBQYAAAAAAwADALcAAAD4AgAAAAA=&#10;" filled="f" stroked="f">
                  <v:textbox inset="0,0,0,0">
                    <w:txbxContent>
                      <w:p w14:paraId="1DA4B73F" w14:textId="77777777" w:rsidR="00B32EF2" w:rsidRDefault="00000000">
                        <w:r>
                          <w:rPr>
                            <w:rFonts w:ascii="Arial" w:eastAsia="Arial" w:hAnsi="Arial" w:cs="Arial"/>
                            <w:b/>
                            <w:sz w:val="18"/>
                          </w:rPr>
                          <w:t>CAPO III</w:t>
                        </w:r>
                      </w:p>
                    </w:txbxContent>
                  </v:textbox>
                </v:rect>
                <v:rect id="Rectangle 18952" o:spid="_x0000_s4184" style="position:absolute;left:10793;top:20611;width:149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FMxQAAAN4AAAAPAAAAZHJzL2Rvd25yZXYueG1sRE9La8JA&#10;EL4X/A/LCN7qRqElRlcRRZpDL/UBHofsmESzs0t2NbG/vlso9DYf33MWq9404kGtry0rmIwTEMSF&#10;1TWXCo6H3WsKwgdkjY1lUvAkD6vl4GWBmbYdf9FjH0oRQ9hnqKAKwWVS+qIig35sHXHkLrY1GCJs&#10;S6lb7GK4aeQ0Sd6lwZpjQ4WONhUVt/3dKDhv2eW7ThaX7437vOZp83E/npQaDfv1HESgPvyL/9y5&#10;jvPT2dsUft+JN8jlDwAAAP//AwBQSwECLQAUAAYACAAAACEA2+H2y+4AAACFAQAAEwAAAAAAAAAA&#10;AAAAAAAAAAAAW0NvbnRlbnRfVHlwZXNdLnhtbFBLAQItABQABgAIAAAAIQBa9CxbvwAAABUBAAAL&#10;AAAAAAAAAAAAAAAAAB8BAABfcmVscy8ucmVsc1BLAQItABQABgAIAAAAIQDuETFMxQAAAN4AAAAP&#10;AAAAAAAAAAAAAAAAAAcCAABkcnMvZG93bnJldi54bWxQSwUGAAAAAAMAAwC3AAAA+QIAAAAA&#10;" filled="f" stroked="f">
                  <v:textbox inset="0,0,0,0">
                    <w:txbxContent>
                      <w:p w14:paraId="2576A9C3" w14:textId="77777777" w:rsidR="00B32EF2" w:rsidRDefault="00000000">
                        <w:r>
                          <w:rPr>
                            <w:rFonts w:ascii="Arial" w:eastAsia="Arial" w:hAnsi="Arial" w:cs="Arial"/>
                            <w:b/>
                            <w:sz w:val="18"/>
                          </w:rPr>
                          <w:t xml:space="preserve"> FORMA DEGLI ATTI</w:t>
                        </w:r>
                      </w:p>
                    </w:txbxContent>
                  </v:textbox>
                </v:rect>
                <v:rect id="Rectangle 18953" o:spid="_x0000_s4185" style="position:absolute;left:15068;top:18144;width:8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TXxQAAAN4AAAAPAAAAZHJzL2Rvd25yZXYueG1sRE9Na8JA&#10;EL0L/odlhN50o6Ulja4iipiDl1oLHofsmKTNzi7Z1cT+erdQ6G0e73MWq9404katry0rmE4SEMSF&#10;1TWXCk4fu3EKwgdkjY1lUnAnD6vlcLDATNuO3+l2DKWIIewzVFCF4DIpfVGRQT+xjjhyF9saDBG2&#10;pdQtdjHcNHKWJK/SYM2xoUJHm4qK7+PVKDhv2eW7ThaXn407fOVps7+ePpV6GvXrOYhAffgX/7lz&#10;Heenby/P8PtOvEEuHwAAAP//AwBQSwECLQAUAAYACAAAACEA2+H2y+4AAACFAQAAEwAAAAAAAAAA&#10;AAAAAAAAAAAAW0NvbnRlbnRfVHlwZXNdLnhtbFBLAQItABQABgAIAAAAIQBa9CxbvwAAABUBAAAL&#10;AAAAAAAAAAAAAAAAAB8BAABfcmVscy8ucmVsc1BLAQItABQABgAIAAAAIQCBXZTXxQAAAN4AAAAP&#10;AAAAAAAAAAAAAAAAAAcCAABkcnMvZG93bnJldi54bWxQSwUGAAAAAAMAAwC3AAAA+QIAAAAA&#10;" filled="f" stroked="f">
                  <v:textbox inset="0,0,0,0">
                    <w:txbxContent>
                      <w:p w14:paraId="508D281A" w14:textId="77777777" w:rsidR="00B32EF2" w:rsidRDefault="00000000">
                        <w:r>
                          <w:rPr>
                            <w:rFonts w:ascii="Arial" w:eastAsia="Arial" w:hAnsi="Arial" w:cs="Arial"/>
                            <w:b/>
                            <w:sz w:val="18"/>
                          </w:rPr>
                          <w:t>Articolo 63</w:t>
                        </w:r>
                      </w:p>
                    </w:txbxContent>
                  </v:textbox>
                </v:rect>
                <v:rect id="Rectangle 201214" o:spid="_x0000_s4186" style="position:absolute;left:22499;top:16911;width:216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8TxxwAAAN8AAAAPAAAAZHJzL2Rvd25yZXYueG1sRI9Ba8JA&#10;FITvQv/D8gredJMgIqmriCLm4EVrocdH9pmkZt8u2dXE/vpuodDjMDPfMMv1YFrxoM43lhWk0wQE&#10;cWl1w5WCy/t+sgDhA7LG1jIpeJKH9epltMRc255P9DiHSkQI+xwV1CG4XEpf1mTQT60jjt7VdgZD&#10;lF0ldYd9hJtWZkkylwYbjgs1OtrWVN7Od6Pgc8eu2PeyvH5v3fGrWLSH++VDqfHrsHkDEWgI/+G/&#10;dqEVZEmapTP4/RO/gFz9AAAA//8DAFBLAQItABQABgAIAAAAIQDb4fbL7gAAAIUBAAATAAAAAAAA&#10;AAAAAAAAAAAAAABbQ29udGVudF9UeXBlc10ueG1sUEsBAi0AFAAGAAgAAAAhAFr0LFu/AAAAFQEA&#10;AAsAAAAAAAAAAAAAAAAAHwEAAF9yZWxzLy5yZWxzUEsBAi0AFAAGAAgAAAAhAOCTxPHHAAAA3wAA&#10;AA8AAAAAAAAAAAAAAAAABwIAAGRycy9kb3ducmV2LnhtbFBLBQYAAAAAAwADALcAAAD7AgAAAAA=&#10;" filled="f" stroked="f">
                  <v:textbox inset="0,0,0,0">
                    <w:txbxContent>
                      <w:p w14:paraId="3C2B12F0" w14:textId="77777777" w:rsidR="00B32EF2" w:rsidRDefault="00000000">
                        <w:r>
                          <w:rPr>
                            <w:rFonts w:ascii="Arial" w:eastAsia="Arial" w:hAnsi="Arial" w:cs="Arial"/>
                            <w:i/>
                            <w:sz w:val="18"/>
                          </w:rPr>
                          <w:t>(</w:t>
                        </w:r>
                      </w:p>
                    </w:txbxContent>
                  </v:textbox>
                </v:rect>
                <v:rect id="Rectangle 201215" o:spid="_x0000_s4187" style="position:absolute;left:-5640;top:16911;width:216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2FqxwAAAN8AAAAPAAAAZHJzL2Rvd25yZXYueG1sRI9Ba8JA&#10;FITvQv/D8gredJOAIqmriCLm4EVrocdH9pmkZt8u2dXE/vpuodDjMDPfMMv1YFrxoM43lhWk0wQE&#10;cWl1w5WCy/t+sgDhA7LG1jIpeJKH9epltMRc255P9DiHSkQI+xwV1CG4XEpf1mTQT60jjt7VdgZD&#10;lF0ldYd9hJtWZkkylwYbjgs1OtrWVN7Od6Pgc8eu2PeyvH5v3fGrWLSH++VDqfHrsHkDEWgI/+G/&#10;dqEVZEmapTP4/RO/gFz9AAAA//8DAFBLAQItABQABgAIAAAAIQDb4fbL7gAAAIUBAAATAAAAAAAA&#10;AAAAAAAAAAAAAABbQ29udGVudF9UeXBlc10ueG1sUEsBAi0AFAAGAAgAAAAhAFr0LFu/AAAAFQEA&#10;AAsAAAAAAAAAAAAAAAAAHwEAAF9yZWxzLy5yZWxzUEsBAi0AFAAGAAgAAAAhAI/fYWrHAAAA3wAA&#10;AA8AAAAAAAAAAAAAAAAABwIAAGRycy9kb3ducmV2LnhtbFBLBQYAAAAAAwADALcAAAD7AgAAAAA=&#10;" filled="f" stroked="f">
                  <v:textbox inset="0,0,0,0">
                    <w:txbxContent>
                      <w:p w14:paraId="33F64130" w14:textId="77777777" w:rsidR="00B32EF2" w:rsidRDefault="00000000">
                        <w:r>
                          <w:rPr>
                            <w:rFonts w:ascii="Arial" w:eastAsia="Arial" w:hAnsi="Arial" w:cs="Arial"/>
                            <w:i/>
                            <w:sz w:val="18"/>
                          </w:rPr>
                          <w:t>546/92)</w:t>
                        </w:r>
                      </w:p>
                    </w:txbxContent>
                  </v:textbox>
                </v:rect>
                <v:rect id="Rectangle 201216" o:spid="_x0000_s4188" style="position:absolute;left:10260;top:16911;width:216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8dxwAAAN8AAAAPAAAAZHJzL2Rvd25yZXYueG1sRI9Ba8JA&#10;FITvBf/D8gRvdZMcRFJXKYqYg5eqhR4f2WeSNvt2ya4m+uu7guBxmJlvmMVqMK24UucbywrSaQKC&#10;uLS64UrB6bh9n4PwAVlja5kU3MjDajl6W2Cubc9fdD2ESkQI+xwV1CG4XEpf1mTQT60jjt7ZdgZD&#10;lF0ldYd9hJtWZkkykwYbjgs1OlrXVP4dLkbBz4Zdse1leb6v3f63mLe7y+lbqcl4+PwAEWgIr/Cz&#10;XWgFWZJm6Qwef+IXkMt/AAAA//8DAFBLAQItABQABgAIAAAAIQDb4fbL7gAAAIUBAAATAAAAAAAA&#10;AAAAAAAAAAAAAABbQ29udGVudF9UeXBlc10ueG1sUEsBAi0AFAAGAAgAAAAhAFr0LFu/AAAAFQEA&#10;AAsAAAAAAAAAAAAAAAAAHwEAAF9yZWxzLy5yZWxzUEsBAi0AFAAGAAgAAAAhAH8N/x3HAAAA3wAA&#10;AA8AAAAAAAAAAAAAAAAABwIAAGRycy9kb3ducmV2LnhtbFBLBQYAAAAAAwADALcAAAD7AgAAAAA=&#10;" filled="f" stroked="f">
                  <v:textbox inset="0,0,0,0">
                    <w:txbxContent>
                      <w:p w14:paraId="04549D99" w14:textId="77777777" w:rsidR="00B32EF2" w:rsidRDefault="00000000">
                        <w:r>
                          <w:rPr>
                            <w:rFonts w:ascii="Arial" w:eastAsia="Arial" w:hAnsi="Arial" w:cs="Arial"/>
                            <w:i/>
                            <w:sz w:val="18"/>
                          </w:rPr>
                          <w:t xml:space="preserve">articolo 17-ter D.lgs. n. </w:t>
                        </w:r>
                      </w:p>
                    </w:txbxContent>
                  </v:textbox>
                </v:rect>
                <v:rect id="Rectangle 18955" o:spid="_x0000_s4189" style="position:absolute;left:10204;top:15678;width:156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k4xAAAAN4AAAAPAAAAZHJzL2Rvd25yZXYueG1sRE9Na8JA&#10;EL0X/A/LCN7qxoIlja4iijQHL7UKHofsmESzs0t2NdFf3y0UepvH+5z5sjeNuFPra8sKJuMEBHFh&#10;dc2lgsP39jUF4QOyxsYyKXiQh+Vi8DLHTNuOv+i+D6WIIewzVFCF4DIpfVGRQT+2jjhyZ9saDBG2&#10;pdQtdjHcNPItSd6lwZpjQ4WO1hUV1/3NKDht2OXbThbn59rtLnnafN4OR6VGw341AxGoD//iP3eu&#10;4/z0YzqF33fiDXLxAwAA//8DAFBLAQItABQABgAIAAAAIQDb4fbL7gAAAIUBAAATAAAAAAAAAAAA&#10;AAAAAAAAAABbQ29udGVudF9UeXBlc10ueG1sUEsBAi0AFAAGAAgAAAAhAFr0LFu/AAAAFQEAAAsA&#10;AAAAAAAAAAAAAAAAHwEAAF9yZWxzLy5yZWxzUEsBAi0AFAAGAAgAAAAhAGH4qTjEAAAA3gAAAA8A&#10;AAAAAAAAAAAAAAAABwIAAGRycy9kb3ducmV2LnhtbFBLBQYAAAAAAwADALcAAAD4AgAAAAA=&#10;" filled="f" stroked="f">
                  <v:textbox inset="0,0,0,0">
                    <w:txbxContent>
                      <w:p w14:paraId="42CBACC9" w14:textId="77777777" w:rsidR="00B32EF2" w:rsidRDefault="00000000">
                        <w:r>
                          <w:rPr>
                            <w:rFonts w:ascii="Arial" w:eastAsia="Arial" w:hAnsi="Arial" w:cs="Arial"/>
                            <w:b/>
                            <w:sz w:val="18"/>
                          </w:rPr>
                          <w:t xml:space="preserve">Degli atti in generale </w:t>
                        </w:r>
                      </w:p>
                    </w:txbxContent>
                  </v:textbox>
                </v:rect>
                <v:rect id="Rectangle 201213" o:spid="_x0000_s4190" style="position:absolute;left:-13764;top:14445;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yFxwAAAN8AAAAPAAAAZHJzL2Rvd25yZXYueG1sRI9Ba8JA&#10;FITvQv/D8gredJMIIqmriCLm4EVrocdH9pmkZt8u2dXE/vpuodDjMDPfMMv1YFrxoM43lhWk0wQE&#10;cWl1w5WCy/t+sgDhA7LG1jIpeJKH9epltMRc255P9DiHSkQI+xwV1CG4XEpf1mTQT60jjt7VdgZD&#10;lF0ldYd9hJtWZkkylwYbjgs1OtrWVN7Od6Pgc8eu2PeyvH5v3fGrWLSH++VDqfHrsHkDEWgI/+G/&#10;dqEVZEmapTP4/RO/gFz9AAAA//8DAFBLAQItABQABgAIAAAAIQDb4fbL7gAAAIUBAAATAAAAAAAA&#10;AAAAAAAAAAAAAABbQ29udGVudF9UeXBlc10ueG1sUEsBAi0AFAAGAAgAAAAhAFr0LFu/AAAAFQEA&#10;AAsAAAAAAAAAAAAAAAAAHwEAAF9yZWxzLy5yZWxzUEsBAi0AFAAGAAgAAAAhAG96XIXHAAAA3wAA&#10;AA8AAAAAAAAAAAAAAAAABwIAAGRycy9kb3ducmV2LnhtbFBLBQYAAAAAAwADALcAAAD7AgAAAAA=&#10;" filled="f" stroked="f">
                  <v:textbox inset="0,0,0,0">
                    <w:txbxContent>
                      <w:p w14:paraId="7CEA9FD3" w14:textId="77777777" w:rsidR="00B32EF2" w:rsidRDefault="00000000">
                        <w:r>
                          <w:rPr>
                            <w:rFonts w:ascii="Arial" w:eastAsia="Arial" w:hAnsi="Arial" w:cs="Arial"/>
                            <w:sz w:val="18"/>
                          </w:rPr>
                          <w:t xml:space="preserve">. Gli atti del processo, i verbali e i provvedimenti giurisdizionali sono redatti in </w:t>
                        </w:r>
                      </w:p>
                    </w:txbxContent>
                  </v:textbox>
                </v:rect>
                <v:rect id="Rectangle 201212" o:spid="_x0000_s4191" style="position:absolute;left:26109;top:14445;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vkexwAAAN8AAAAPAAAAZHJzL2Rvd25yZXYueG1sRI9Pi8Iw&#10;FMTvC36H8ARva9oeRKpRRBF78LL+AY+P5tl2t3kJTbTd/fSbhQWPw8z8hlmuB9OKJ3W+sawgnSYg&#10;iEurG64UXM779zkIH5A1tpZJwTd5WK9Gb0vMte35g56nUIkIYZ+jgjoEl0vpy5oM+ql1xNG7285g&#10;iLKrpO6wj3DTyixJZtJgw3GhRkfbmsqv08MouO3YFftelvefrTt+FvP28LhclZqMh80CRKAhvML/&#10;7UIryJI0SzP4+xO/gFz9AgAA//8DAFBLAQItABQABgAIAAAAIQDb4fbL7gAAAIUBAAATAAAAAAAA&#10;AAAAAAAAAAAAAABbQ29udGVudF9UeXBlc10ueG1sUEsBAi0AFAAGAAgAAAAhAFr0LFu/AAAAFQEA&#10;AAsAAAAAAAAAAAAAAAAAHwEAAF9yZWxzLy5yZWxzUEsBAi0AFAAGAAgAAAAhAAA2+R7HAAAA3wAA&#10;AA8AAAAAAAAAAAAAAAAABwIAAGRycy9kb3ducmV2LnhtbFBLBQYAAAAAAwADALcAAAD7AgAAAAA=&#10;" filled="f" stroked="f">
                  <v:textbox inset="0,0,0,0">
                    <w:txbxContent>
                      <w:p w14:paraId="07373750" w14:textId="77777777" w:rsidR="00B32EF2" w:rsidRDefault="00000000">
                        <w:r>
                          <w:rPr>
                            <w:rFonts w:ascii="Arial" w:eastAsia="Arial" w:hAnsi="Arial" w:cs="Arial"/>
                            <w:sz w:val="18"/>
                          </w:rPr>
                          <w:t>1</w:t>
                        </w:r>
                      </w:p>
                    </w:txbxContent>
                  </v:textbox>
                </v:rect>
                <v:rect id="Rectangle 18957" o:spid="_x0000_s4192" style="position:absolute;left:23698;top:13211;width:162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UxQAAAN4AAAAPAAAAZHJzL2Rvd25yZXYueG1sRE9Na8JA&#10;EL0L/odlhN50o9A2ja4iipiDl1oLHofsmKTNzi7Z1cT+erdQ6G0e73MWq9404katry0rmE4SEMSF&#10;1TWXCk4fu3EKwgdkjY1lUnAnD6vlcLDATNuO3+l2DKWIIewzVFCF4DIpfVGRQT+xjjhyF9saDBG2&#10;pdQtdjHcNHKWJC/SYM2xoUJHm4qK7+PVKDhv2eW7ThaXn407fOVps7+ePpV6GvXrOYhAffgX/7lz&#10;Heenb8+v8PtOvEEuHwAAAP//AwBQSwECLQAUAAYACAAAACEA2+H2y+4AAACFAQAAEwAAAAAAAAAA&#10;AAAAAAAAAAAAW0NvbnRlbnRfVHlwZXNdLnhtbFBLAQItABQABgAIAAAAIQBa9CxbvwAAABUBAAAL&#10;AAAAAAAAAAAAAAAAAB8BAABfcmVscy8ucmVsc1BLAQItABQABgAIAAAAIQD+ZpLUxQAAAN4AAAAP&#10;AAAAAAAAAAAAAAAAAAcCAABkcnMvZG93bnJldi54bWxQSwUGAAAAAAMAAwC3AAAA+QIAAAAA&#10;" filled="f" stroked="f">
                  <v:textbox inset="0,0,0,0">
                    <w:txbxContent>
                      <w:p w14:paraId="11BEDADF" w14:textId="77777777" w:rsidR="00B32EF2" w:rsidRDefault="00000000">
                        <w:r>
                          <w:rPr>
                            <w:rFonts w:ascii="Arial" w:eastAsia="Arial" w:hAnsi="Arial" w:cs="Arial"/>
                            <w:sz w:val="18"/>
                          </w:rPr>
                          <w:t>modo chiaro e sintetico.</w:t>
                        </w:r>
                      </w:p>
                    </w:txbxContent>
                  </v:textbox>
                </v:rect>
                <v:rect id="Rectangle 201210" o:spid="_x0000_s4193" style="position:absolute;left:26109;top:11978;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MLyxQAAAN8AAAAPAAAAZHJzL2Rvd25yZXYueG1sRI/NisIw&#10;FIX3A75DuIK7MW0XItUooohduBlHweWlubbV5iY00dZ5+sliYJaH88e3XA+mFS/qfGNZQTpNQBCX&#10;VjdcKTh/7z/nIHxA1thaJgVv8rBejT6WmGvb8xe9TqEScYR9jgrqEFwupS9rMuin1hFH72Y7gyHK&#10;rpK6wz6Om1ZmSTKTBhuODzU62tZUPk5Po+C6Y1fse1nefrbueC/m7eF5vig1GQ+bBYhAQ/gP/7UL&#10;rSBL0iyNBJEnsoBc/QIAAP//AwBQSwECLQAUAAYACAAAACEA2+H2y+4AAACFAQAAEwAAAAAAAAAA&#10;AAAAAAAAAAAAW0NvbnRlbnRfVHlwZXNdLnhtbFBLAQItABQABgAIAAAAIQBa9CxbvwAAABUBAAAL&#10;AAAAAAAAAAAAAAAAAB8BAABfcmVscy8ucmVsc1BLAQItABQABgAIAAAAIQCfqMLyxQAAAN8AAAAP&#10;AAAAAAAAAAAAAAAAAAcCAABkcnMvZG93bnJldi54bWxQSwUGAAAAAAMAAwC3AAAA+QIAAAAA&#10;" filled="f" stroked="f">
                  <v:textbox inset="0,0,0,0">
                    <w:txbxContent>
                      <w:p w14:paraId="50DA492A" w14:textId="77777777" w:rsidR="00B32EF2" w:rsidRDefault="00000000">
                        <w:r>
                          <w:rPr>
                            <w:rFonts w:ascii="Arial" w:eastAsia="Arial" w:hAnsi="Arial" w:cs="Arial"/>
                            <w:sz w:val="18"/>
                          </w:rPr>
                          <w:t>2</w:t>
                        </w:r>
                      </w:p>
                    </w:txbxContent>
                  </v:textbox>
                </v:rect>
                <v:rect id="Rectangle 201211" o:spid="_x0000_s4194" style="position:absolute;left:-13818;top:1197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GdpxwAAAN8AAAAPAAAAZHJzL2Rvd25yZXYueG1sRI9Pi8Iw&#10;FMTvC36H8ARva9oeRKpRRBF78LL+AY+P5tl2t3kJTbTd/fSbhQWPw8z8hlmuB9OKJ3W+sawgnSYg&#10;iEurG64UXM779zkIH5A1tpZJwTd5WK9Gb0vMte35g56nUIkIYZ+jgjoEl0vpy5oM+ql1xNG7285g&#10;iLKrpO6wj3DTyixJZtJgw3GhRkfbmsqv08MouO3YFftelvefrTt+FvP28LhclZqMh80CRKAhvML/&#10;7UIryJI0S1P4+xO/gFz9AgAA//8DAFBLAQItABQABgAIAAAAIQDb4fbL7gAAAIUBAAATAAAAAAAA&#10;AAAAAAAAAAAAAABbQ29udGVudF9UeXBlc10ueG1sUEsBAi0AFAAGAAgAAAAhAFr0LFu/AAAAFQEA&#10;AAsAAAAAAAAAAAAAAAAAHwEAAF9yZWxzLy5yZWxzUEsBAi0AFAAGAAgAAAAhAPDkZ2nHAAAA3wAA&#10;AA8AAAAAAAAAAAAAAAAABwIAAGRycy9kb3ducmV2LnhtbFBLBQYAAAAAAwADALcAAAD7AgAAAAA=&#10;" filled="f" stroked="f">
                  <v:textbox inset="0,0,0,0">
                    <w:txbxContent>
                      <w:p w14:paraId="655AB544" w14:textId="77777777" w:rsidR="00B32EF2" w:rsidRDefault="00000000">
                        <w:r>
                          <w:rPr>
                            <w:rFonts w:ascii="Arial" w:eastAsia="Arial" w:hAnsi="Arial" w:cs="Arial"/>
                            <w:sz w:val="18"/>
                          </w:rPr>
                          <w:t xml:space="preserve">. Salvo i casi eccezionali previsti dalle norme tecniche di cui all’articolo 129, </w:t>
                        </w:r>
                      </w:p>
                    </w:txbxContent>
                  </v:textbox>
                </v:rect>
                <v:rect id="Rectangle 18959" o:spid="_x0000_s4195" style="position:absolute;left:-13172;top:1074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aM9xQAAAN4AAAAPAAAAZHJzL2Rvd25yZXYueG1sRE9La8JA&#10;EL4X+h+WEbzVjYISU1cpFjEHLz4KPQ7ZMUmbnV2yq4n+erdQ8DYf33MWq9404kqtry0rGI8SEMSF&#10;1TWXCk7HzVsKwgdkjY1lUnAjD6vl68sCM2073tP1EEoRQ9hnqKAKwWVS+qIig35kHXHkzrY1GCJs&#10;S6lb7GK4aeQkSWbSYM2xoUJH64qK38PFKPj+ZJdvOlmc72u3+8nTZns5fSk1HPQf7yAC9eEp/nfn&#10;Os5P59M5/L0Tb5DLBwAAAP//AwBQSwECLQAUAAYACAAAACEA2+H2y+4AAACFAQAAEwAAAAAAAAAA&#10;AAAAAAAAAAAAW0NvbnRlbnRfVHlwZXNdLnhtbFBLAQItABQABgAIAAAAIQBa9CxbvwAAABUBAAAL&#10;AAAAAAAAAAAAAAAAAB8BAABfcmVscy8ucmVsc1BLAQItABQABgAIAAAAIQDgtaM9xQAAAN4AAAAP&#10;AAAAAAAAAAAAAAAAAAcCAABkcnMvZG93bnJldi54bWxQSwUGAAAAAAMAAwC3AAAA+QIAAAAA&#10;" filled="f" stroked="f">
                  <v:textbox inset="0,0,0,0">
                    <w:txbxContent>
                      <w:p w14:paraId="77AF8451" w14:textId="77777777" w:rsidR="00B32EF2" w:rsidRDefault="00000000">
                        <w:r>
                          <w:rPr>
                            <w:rFonts w:ascii="Arial" w:eastAsia="Arial" w:hAnsi="Arial" w:cs="Arial"/>
                            <w:sz w:val="18"/>
                          </w:rPr>
                          <w:t xml:space="preserve">comma 3, tutti gli atti e i provvedimenti del giudice tributario, dei suoi ausiliari e </w:t>
                        </w:r>
                      </w:p>
                    </w:txbxContent>
                  </v:textbox>
                </v:rect>
                <v:rect id="Rectangle 18960" o:spid="_x0000_s4196" style="position:absolute;left:-13172;top:95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AdyAAAAN4AAAAPAAAAZHJzL2Rvd25yZXYueG1sRI9Pb8Iw&#10;DMXvk/YdIk/abaTbAZWOgCYmtB648GfSjlZj2m6NEzWBdnx6fEDiZsvP773ffDm6Tp2pj61nA6+T&#10;DBRx5W3LtYHDfv2Sg4oJ2WLnmQz8U4Tl4vFhjoX1A2/pvEu1EhOOBRpoUgqF1rFqyGGc+EAst6Pv&#10;HSZZ+1rbHgcxd51+y7KpdtiyJDQYaNVQ9bc7OQM/nxzK9aCr42UVNr9l3n2dDt/GPD+NH++gEo3p&#10;Lr59l1bq57OpAAiOzKAXVwAAAP//AwBQSwECLQAUAAYACAAAACEA2+H2y+4AAACFAQAAEwAAAAAA&#10;AAAAAAAAAAAAAAAAW0NvbnRlbnRfVHlwZXNdLnhtbFBLAQItABQABgAIAAAAIQBa9CxbvwAAABUB&#10;AAALAAAAAAAAAAAAAAAAAB8BAABfcmVscy8ucmVsc1BLAQItABQABgAIAAAAIQC/48AdyAAAAN4A&#10;AAAPAAAAAAAAAAAAAAAAAAcCAABkcnMvZG93bnJldi54bWxQSwUGAAAAAAMAAwC3AAAA/AIAAAAA&#10;" filled="f" stroked="f">
                  <v:textbox inset="0,0,0,0">
                    <w:txbxContent>
                      <w:p w14:paraId="360660E5" w14:textId="77777777" w:rsidR="00B32EF2" w:rsidRDefault="00000000">
                        <w:r>
                          <w:rPr>
                            <w:rFonts w:ascii="Arial" w:eastAsia="Arial" w:hAnsi="Arial" w:cs="Arial"/>
                            <w:sz w:val="18"/>
                          </w:rPr>
                          <w:t xml:space="preserve">quelli delle segreterie delle corti di giustizia tributaria, nonché gli atti delle parti </w:t>
                        </w:r>
                      </w:p>
                    </w:txbxContent>
                  </v:textbox>
                </v:rect>
                <v:rect id="Rectangle 18961" o:spid="_x0000_s4197" style="position:absolute;left:6172;top:8278;width:337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2WGxAAAAN4AAAAPAAAAZHJzL2Rvd25yZXYueG1sRE9Ni8Iw&#10;EL0v+B/CCN7WVA/SrUYRRezBy7oKHodmbKvNJDTR1v31m4WFvc3jfc5i1ZtGPKn1tWUFk3ECgriw&#10;uuZSwelr956C8AFZY2OZFLzIw2o5eFtgpm3Hn/Q8hlLEEPYZKqhCcJmUvqjIoB9bRxy5q20Nhgjb&#10;UuoWuxhuGjlNkpk0WHNsqNDRpqLifnwYBZctu3zXyeL6vXGHW542+8fprNRo2K/nIAL14V/85851&#10;nJ9+zCbw+068QS5/AAAA//8DAFBLAQItABQABgAIAAAAIQDb4fbL7gAAAIUBAAATAAAAAAAAAAAA&#10;AAAAAAAAAABbQ29udGVudF9UeXBlc10ueG1sUEsBAi0AFAAGAAgAAAAhAFr0LFu/AAAAFQEAAAsA&#10;AAAAAAAAAAAAAAAAHwEAAF9yZWxzLy5yZWxzUEsBAi0AFAAGAAgAAAAhANCvZYbEAAAA3gAAAA8A&#10;AAAAAAAAAAAAAAAABwIAAGRycy9kb3ducmV2LnhtbFBLBQYAAAAAAwADALcAAAD4AgAAAAA=&#10;" filled="f" stroked="f">
                  <v:textbox inset="0,0,0,0">
                    <w:txbxContent>
                      <w:p w14:paraId="389144D1" w14:textId="77777777" w:rsidR="00B32EF2" w:rsidRDefault="00000000">
                        <w:r>
                          <w:rPr>
                            <w:rFonts w:ascii="Arial" w:eastAsia="Arial" w:hAnsi="Arial" w:cs="Arial"/>
                            <w:sz w:val="18"/>
                          </w:rPr>
                          <w:t xml:space="preserve">e dei difensori sono sottoscritti con firma digitale. </w:t>
                        </w:r>
                      </w:p>
                    </w:txbxContent>
                  </v:textbox>
                </v:rect>
                <v:rect id="Rectangle 201204" o:spid="_x0000_s4198" style="position:absolute;left:26353;top:7045;width:521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IsxwAAAN8AAAAPAAAAZHJzL2Rvd25yZXYueG1sRI9BawIx&#10;FITvQv9DeIXeNHEpIqtRxCLdQy9aCz0+Ns/d1c1L2ER321/fCEKPw8x8wyzXg23FjbrQONYwnSgQ&#10;xKUzDVcajp+78RxEiMgGW8ek4YcCrFdPoyXmxvW8p9shViJBOOSooY7R51KGsiaLYeI8cfJOrrMY&#10;k+wqaTrsE9y2MlNqJi02nBZq9LStqbwcrlbD9xv7YtfL8vS79R/nYt6+X49fWr88D5sFiEhD/A8/&#10;2oXRkKlppl7h/id9Abn6AwAA//8DAFBLAQItABQABgAIAAAAIQDb4fbL7gAAAIUBAAATAAAAAAAA&#10;AAAAAAAAAAAAAABbQ29udGVudF9UeXBlc10ueG1sUEsBAi0AFAAGAAgAAAAhAFr0LFu/AAAAFQEA&#10;AAsAAAAAAAAAAAAAAAAAHwEAAF9yZWxzLy5yZWxzUEsBAi0AFAAGAAgAAAAhAGVKUizHAAAA3wAA&#10;AA8AAAAAAAAAAAAAAAAABwIAAGRycy9kb3ducmV2LnhtbFBLBQYAAAAAAwADALcAAAD7AgAAAAA=&#10;" filled="f" stroked="f">
                  <v:textbox inset="0,0,0,0">
                    <w:txbxContent>
                      <w:p w14:paraId="6B872EA5" w14:textId="77777777" w:rsidR="00B32EF2" w:rsidRDefault="00000000">
                        <w:r>
                          <w:rPr>
                            <w:rFonts w:ascii="Arial" w:eastAsia="Arial" w:hAnsi="Arial" w:cs="Arial"/>
                            <w:sz w:val="18"/>
                          </w:rPr>
                          <w:t>3</w:t>
                        </w:r>
                      </w:p>
                    </w:txbxContent>
                  </v:textbox>
                </v:rect>
                <v:rect id="Rectangle 201205" o:spid="_x0000_s4199" style="position:absolute;left:-12832;top:7045;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e3xwAAAN8AAAAPAAAAZHJzL2Rvd25yZXYueG1sRI9BawIx&#10;FITvQv9DeIXeNHGhIqtRxCLdQy9aCz0+Ns/d1c1L2ER321/fCEKPw8x8wyzXg23FjbrQONYwnSgQ&#10;xKUzDVcajp+78RxEiMgGW8ek4YcCrFdPoyXmxvW8p9shViJBOOSooY7R51KGsiaLYeI8cfJOrrMY&#10;k+wqaTrsE9y2MlNqJi02nBZq9LStqbwcrlbD9xv7YtfL8vS79R/nYt6+X49fWr88D5sFiEhD/A8/&#10;2oXRkKlppl7h/id9Abn6AwAA//8DAFBLAQItABQABgAIAAAAIQDb4fbL7gAAAIUBAAATAAAAAAAA&#10;AAAAAAAAAAAAAABbQ29udGVudF9UeXBlc10ueG1sUEsBAi0AFAAGAAgAAAAhAFr0LFu/AAAAFQEA&#10;AAsAAAAAAAAAAAAAAAAAHwEAAF9yZWxzLy5yZWxzUEsBAi0AFAAGAAgAAAAhAAoG97fHAAAA3wAA&#10;AA8AAAAAAAAAAAAAAAAABwIAAGRycy9kb3ducmV2LnhtbFBLBQYAAAAAAwADALcAAAD7AgAAAAA=&#10;" filled="f" stroked="f">
                  <v:textbox inset="0,0,0,0">
                    <w:txbxContent>
                      <w:p w14:paraId="1906E09C" w14:textId="77777777" w:rsidR="00B32EF2" w:rsidRDefault="00000000">
                        <w:r>
                          <w:rPr>
                            <w:rFonts w:ascii="Arial" w:eastAsia="Arial" w:hAnsi="Arial" w:cs="Arial"/>
                            <w:sz w:val="18"/>
                          </w:rPr>
                          <w:t>. La liquidazione delle spese del giudizio tiene in ogni caso conto della vio</w:t>
                        </w:r>
                      </w:p>
                    </w:txbxContent>
                  </v:textbox>
                </v:rect>
                <v:rect id="Rectangle 18963" o:spid="_x0000_s4200" style="position:absolute;left:191;top:7045;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V5qxAAAAN4AAAAPAAAAZHJzL2Rvd25yZXYueG1sRE9Na8JA&#10;EL0X/A/LCN7qxgqSRlcRRZpDL7UKHofsmESzs0t2NdFf3y0UepvH+5zFqjeNuFPra8sKJuMEBHFh&#10;dc2lgsP37jUF4QOyxsYyKXiQh9Vy8LLATNuOv+i+D6WIIewzVFCF4DIpfVGRQT+2jjhyZ9saDBG2&#10;pdQtdjHcNPItSWbSYM2xoUJHm4qK6/5mFJy27PJdJ4vzc+M+L3nafNwOR6VGw349BxGoD//iP3eu&#10;4/z0fTaF33fiDXL5AwAA//8DAFBLAQItABQABgAIAAAAIQDb4fbL7gAAAIUBAAATAAAAAAAAAAAA&#10;AAAAAAAAAABbQ29udGVudF9UeXBlc10ueG1sUEsBAi0AFAAGAAgAAAAhAFr0LFu/AAAAFQEAAAsA&#10;AAAAAAAAAAAAAAAAHwEAAF9yZWxzLy5yZWxzUEsBAi0AFAAGAAgAAAAhAE8xXmrEAAAA3gAAAA8A&#10;AAAAAAAAAAAAAAAABwIAAGRycy9kb3ducmV2LnhtbFBLBQYAAAAAAwADALcAAAD4AgAAAAA=&#10;" filled="f" stroked="f">
                  <v:textbox inset="0,0,0,0">
                    <w:txbxContent>
                      <w:p w14:paraId="2BE8C79B" w14:textId="77777777" w:rsidR="00B32EF2" w:rsidRDefault="00000000">
                        <w:r>
                          <w:rPr>
                            <w:rFonts w:ascii="Arial" w:eastAsia="Arial" w:hAnsi="Arial" w:cs="Arial"/>
                            <w:sz w:val="18"/>
                          </w:rPr>
                          <w:t>-</w:t>
                        </w:r>
                      </w:p>
                    </w:txbxContent>
                  </v:textbox>
                </v:rect>
                <v:rect id="Rectangle 18964" o:spid="_x0000_s4201" style="position:absolute;left:-13172;top:58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YexAAAAN4AAAAPAAAAZHJzL2Rvd25yZXYueG1sRE9Na8JA&#10;EL0X/A/LCN7qxiKSRlcRRZpDL7UKHofsmESzs0t2NdFf3y0UepvH+5zFqjeNuFPra8sKJuMEBHFh&#10;dc2lgsP37jUF4QOyxsYyKXiQh9Vy8LLATNuOv+i+D6WIIewzVFCF4DIpfVGRQT+2jjhyZ9saDBG2&#10;pdQtdjHcNPItSWbSYM2xoUJHm4qK6/5mFJy27PJdJ4vzc+M+L3nafNwOR6VGw349BxGoD//iP3eu&#10;4/z0fTaF33fiDXL5AwAA//8DAFBLAQItABQABgAIAAAAIQDb4fbL7gAAAIUBAAATAAAAAAAAAAAA&#10;AAAAAAAAAABbQ29udGVudF9UeXBlc10ueG1sUEsBAi0AFAAGAAgAAAAhAFr0LFu/AAAAFQEAAAsA&#10;AAAAAAAAAAAAAAAAHwEAAF9yZWxzLy5yZWxzUEsBAi0AFAAGAAgAAAAhAMDYxh7EAAAA3gAAAA8A&#10;AAAAAAAAAAAAAAAABwIAAGRycy9kb3ducmV2LnhtbFBLBQYAAAAAAwADALcAAAD4AgAAAAA=&#10;" filled="f" stroked="f">
                  <v:textbox inset="0,0,0,0">
                    <w:txbxContent>
                      <w:p w14:paraId="2061E024" w14:textId="77777777" w:rsidR="00B32EF2" w:rsidRDefault="00000000">
                        <w:r>
                          <w:rPr>
                            <w:rFonts w:ascii="Arial" w:eastAsia="Arial" w:hAnsi="Arial" w:cs="Arial"/>
                            <w:sz w:val="18"/>
                          </w:rPr>
                          <w:t xml:space="preserve">lazione ad opera dei difensori delle parti delle previsioni di cui al comma 5 </w:t>
                        </w:r>
                      </w:p>
                    </w:txbxContent>
                  </v:textbox>
                </v:rect>
                <v:rect id="Rectangle 18965" o:spid="_x0000_s4202" style="position:absolute;left:-13172;top:45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GOFxAAAAN4AAAAPAAAAZHJzL2Rvd25yZXYueG1sRE9Na8JA&#10;EL0X/A/LCN7qxoKSRlcRRZpDL7UKHofsmESzs0t2NdFf3y0UepvH+5zFqjeNuFPra8sKJuMEBHFh&#10;dc2lgsP37jUF4QOyxsYyKXiQh9Vy8LLATNuOv+i+D6WIIewzVFCF4DIpfVGRQT+2jjhyZ9saDBG2&#10;pdQtdjHcNPItSWbSYM2xoUJHm4qK6/5mFJy27PJdJ4vzc+M+L3nafNwOR6VGw349BxGoD//iP3eu&#10;4/z0fTaF33fiDXL5AwAA//8DAFBLAQItABQABgAIAAAAIQDb4fbL7gAAAIUBAAATAAAAAAAAAAAA&#10;AAAAAAAAAABbQ29udGVudF9UeXBlc10ueG1sUEsBAi0AFAAGAAgAAAAhAFr0LFu/AAAAFQEAAAsA&#10;AAAAAAAAAAAAAAAAHwEAAF9yZWxzLy5yZWxzUEsBAi0AFAAGAAgAAAAhAK+UY4XEAAAA3gAAAA8A&#10;AAAAAAAAAAAAAAAABwIAAGRycy9kb3ducmV2LnhtbFBLBQYAAAAAAwADALcAAAD4AgAAAAA=&#10;" filled="f" stroked="f">
                  <v:textbox inset="0,0,0,0">
                    <w:txbxContent>
                      <w:p w14:paraId="73A82146" w14:textId="77777777" w:rsidR="00B32EF2" w:rsidRDefault="00000000">
                        <w:r>
                          <w:rPr>
                            <w:rFonts w:ascii="Arial" w:eastAsia="Arial" w:hAnsi="Arial" w:cs="Arial"/>
                            <w:sz w:val="18"/>
                          </w:rPr>
                          <w:t xml:space="preserve">dell’articolo 61, nonché di quelle delle norme tecniche del processo tributario </w:t>
                        </w:r>
                      </w:p>
                    </w:txbxContent>
                  </v:textbox>
                </v:rect>
                <v:rect id="Rectangle 18966" o:spid="_x0000_s4203" style="position:absolute;left:-13172;top:334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v3yxAAAAN4AAAAPAAAAZHJzL2Rvd25yZXYueG1sRE9Na8JA&#10;EL0L/odlBG+6qYeQpq5SFDGHXrQKPQ7ZMUmbnV2yq0n99a5Q6G0e73OW68G04kadbywreJknIIhL&#10;qxuuFJw+d7MMhA/IGlvLpOCXPKxX49ESc217PtDtGCoRQ9jnqKAOweVS+rImg35uHXHkLrYzGCLs&#10;Kqk77GO4aeUiSVJpsOHYUKOjTU3lz/FqFHxt2RW7XpaX+8Z9fBdZu7+ezkpNJ8P7G4hAQ/gX/7kL&#10;Hednr2kKz3fiDXL1AAAA//8DAFBLAQItABQABgAIAAAAIQDb4fbL7gAAAIUBAAATAAAAAAAAAAAA&#10;AAAAAAAAAABbQ29udGVudF9UeXBlc10ueG1sUEsBAi0AFAAGAAgAAAAhAFr0LFu/AAAAFQEAAAsA&#10;AAAAAAAAAAAAAAAAHwEAAF9yZWxzLy5yZWxzUEsBAi0AFAAGAAgAAAAhAF9G/fLEAAAA3gAAAA8A&#10;AAAAAAAAAAAAAAAABwIAAGRycy9kb3ducmV2LnhtbFBLBQYAAAAAAwADALcAAAD4AgAAAAA=&#10;" filled="f" stroked="f">
                  <v:textbox inset="0,0,0,0">
                    <w:txbxContent>
                      <w:p w14:paraId="7E60C199" w14:textId="77777777" w:rsidR="00B32EF2" w:rsidRDefault="00000000">
                        <w:r>
                          <w:rPr>
                            <w:rFonts w:ascii="Arial" w:eastAsia="Arial" w:hAnsi="Arial" w:cs="Arial"/>
                            <w:sz w:val="18"/>
                          </w:rPr>
                          <w:t xml:space="preserve">telematico, fermo l’obbligo delle parti di provvedere alla regolarizzazione entro </w:t>
                        </w:r>
                      </w:p>
                    </w:txbxContent>
                  </v:textbox>
                </v:rect>
                <v:rect id="Rectangle 18967" o:spid="_x0000_s4204" style="position:absolute;left:12034;top:2112;width:2788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lhpxAAAAN4AAAAPAAAAZHJzL2Rvd25yZXYueG1sRE9Na8JA&#10;EL0X/A/LCN7qxh5sGl1FFGkOXmoVPA7ZMYlmZ5fsaqK/vlso9DaP9znzZW8acafW15YVTMYJCOLC&#10;6ppLBYfv7WsKwgdkjY1lUvAgD8vF4GWOmbYdf9F9H0oRQ9hnqKAKwWVS+qIig35sHXHkzrY1GCJs&#10;S6lb7GK4aeRbkkylwZpjQ4WO1hUV1/3NKDht2OXbThbn59rtLnnafN4OR6VGw341AxGoD//iP3eu&#10;4/z0Y/oOv+/EG+TiBwAA//8DAFBLAQItABQABgAIAAAAIQDb4fbL7gAAAIUBAAATAAAAAAAAAAAA&#10;AAAAAAAAAABbQ29udGVudF9UeXBlc10ueG1sUEsBAi0AFAAGAAgAAAAhAFr0LFu/AAAAFQEAAAsA&#10;AAAAAAAAAAAAAAAAHwEAAF9yZWxzLy5yZWxzUEsBAi0AFAAGAAgAAAAhADAKWGnEAAAA3gAAAA8A&#10;AAAAAAAAAAAAAAAABwIAAGRycy9kb3ducmV2LnhtbFBLBQYAAAAAAwADALcAAAD4AgAAAAA=&#10;" filled="f" stroked="f">
                  <v:textbox inset="0,0,0,0">
                    <w:txbxContent>
                      <w:p w14:paraId="716ACEE7" w14:textId="77777777" w:rsidR="00B32EF2" w:rsidRDefault="00000000">
                        <w:r>
                          <w:rPr>
                            <w:rFonts w:ascii="Arial" w:eastAsia="Arial" w:hAnsi="Arial" w:cs="Arial"/>
                            <w:sz w:val="18"/>
                          </w:rPr>
                          <w:t xml:space="preserve">il termine perentorio stabilito dal giudice. </w:t>
                        </w:r>
                      </w:p>
                    </w:txbxContent>
                  </v:textbox>
                </v:rect>
                <v:rect id="Rectangle 201198" o:spid="_x0000_s4205" style="position:absolute;left:26109;top:87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KzSxAAAAN8AAAAPAAAAZHJzL2Rvd25yZXYueG1sRE9Ni8Iw&#10;EL0v+B/CCN7WtB7ErUYRRexhL7oKHodmbKvNJDTR1v315rCwx8f7Xqx604gntb62rCAdJyCIC6tr&#10;LhWcfnafMxA+IGtsLJOCF3lYLQcfC8y07fhAz2MoRQxhn6GCKgSXSemLigz6sXXEkbva1mCIsC2l&#10;brGL4aaRkySZSoM1x4YKHW0qKu7Hh1Fw2bLLd50srr8b933LZ83+cTorNRr26zmIQH34F/+5c61g&#10;kqTpVxwc/8QvIJdvAAAA//8DAFBLAQItABQABgAIAAAAIQDb4fbL7gAAAIUBAAATAAAAAAAAAAAA&#10;AAAAAAAAAABbQ29udGVudF9UeXBlc10ueG1sUEsBAi0AFAAGAAgAAAAhAFr0LFu/AAAAFQEAAAsA&#10;AAAAAAAAAAAAAAAAHwEAAF9yZWxzLy5yZWxzUEsBAi0AFAAGAAgAAAAhANcorNLEAAAA3wAAAA8A&#10;AAAAAAAAAAAAAAAABwIAAGRycy9kb3ducmV2LnhtbFBLBQYAAAAAAwADALcAAAD4AgAAAAA=&#10;" filled="f" stroked="f">
                  <v:textbox inset="0,0,0,0">
                    <w:txbxContent>
                      <w:p w14:paraId="23D25175" w14:textId="77777777" w:rsidR="00B32EF2" w:rsidRDefault="00000000">
                        <w:r>
                          <w:rPr>
                            <w:rFonts w:ascii="Arial" w:eastAsia="Arial" w:hAnsi="Arial" w:cs="Arial"/>
                            <w:sz w:val="18"/>
                          </w:rPr>
                          <w:t>4</w:t>
                        </w:r>
                      </w:p>
                    </w:txbxContent>
                  </v:textbox>
                </v:rect>
                <v:rect id="Rectangle 201201" o:spid="_x0000_s4206" style="position:absolute;left:-13803;top:8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G0xAAAAN8AAAAPAAAAZHJzL2Rvd25yZXYueG1sRE/LisIw&#10;FN0P+A/hCu7GVBci1SiiiF24GR/g8tJc22pzE5poq18/GRgQzuZwXpz5sjO1eFLjK8sKRsMEBHFu&#10;dcWFgtNx+z0F4QOyxtoyKXiRh+Wi9zXHVNuWf+h5CIWIJexTVFCG4FIpfV6SQT+0jjhqV9sYDJE2&#10;hdQNtrHc1HKcJBNpsOK4UKKjdUn5/fAwCi4bdtm2lfn1vXb7Wzatd4/TWalBv1vNQATqwsf8n860&#10;gnEyioC/P/ELyMUvAAAA//8DAFBLAQItABQABgAIAAAAIQDb4fbL7gAAAIUBAAATAAAAAAAAAAAA&#10;AAAAAAAAAABbQ29udGVudF9UeXBlc10ueG1sUEsBAi0AFAAGAAgAAAAhAFr0LFu/AAAAFQEAAAsA&#10;AAAAAAAAAAAAAAAAHwEAAF9yZWxzLy5yZWxzUEsBAi0AFAAGAAgAAAAhAHU98bTEAAAA3wAAAA8A&#10;AAAAAAAAAAAAAAAABwIAAGRycy9kb3ducmV2LnhtbFBLBQYAAAAAAwADALcAAAD4AgAAAAA=&#10;" filled="f" stroked="f">
                  <v:textbox inset="0,0,0,0">
                    <w:txbxContent>
                      <w:p w14:paraId="4C3F58E8" w14:textId="77777777" w:rsidR="00B32EF2" w:rsidRDefault="00000000">
                        <w:r>
                          <w:rPr>
                            <w:rFonts w:ascii="Arial" w:eastAsia="Arial" w:hAnsi="Arial" w:cs="Arial"/>
                            <w:sz w:val="18"/>
                          </w:rPr>
                          <w:t xml:space="preserve">. La mancata sottoscrizione con firma digitale dei provvedimenti giudiziari del </w:t>
                        </w:r>
                      </w:p>
                    </w:txbxContent>
                  </v:textbox>
                </v:rect>
                <v:rect id="Rectangle 18969" o:spid="_x0000_s4207" style="position:absolute;left:11796;top:-354;width:2812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WmAxAAAAN4AAAAPAAAAZHJzL2Rvd25yZXYueG1sRE9Na8JA&#10;EL0X/A/LFLzVTXuQmLqKKNIcvFQjeByyY5KanV2yq4n++m6h4G0e73Pmy8G04kadbywreJ8kIIhL&#10;qxuuFBSH7VsKwgdkja1lUnAnD8vF6GWOmbY9f9NtHyoRQ9hnqKAOwWVS+rImg35iHXHkzrYzGCLs&#10;Kqk77GO4aeVHkkylwYZjQ42O1jWVl/3VKDht2OXbXpbnx9rtfvK0/boWR6XGr8PqE0SgITzF/+5c&#10;x/npbDqDv3fiDXLxCwAA//8DAFBLAQItABQABgAIAAAAIQDb4fbL7gAAAIUBAAATAAAAAAAAAAAA&#10;AAAAAAAAAABbQ29udGVudF9UeXBlc10ueG1sUEsBAi0AFAAGAAgAAAAhAFr0LFu/AAAAFQEAAAsA&#10;AAAAAAAAAAAAAAAAHwEAAF9yZWxzLy5yZWxzUEsBAi0AFAAGAAgAAAAhAC7ZaYDEAAAA3gAAAA8A&#10;AAAAAAAAAAAAAAAABwIAAGRycy9kb3ducmV2LnhtbFBLBQYAAAAAAwADALcAAAD4AgAAAAA=&#10;" filled="f" stroked="f">
                  <v:textbox inset="0,0,0,0">
                    <w:txbxContent>
                      <w:p w14:paraId="5996B1A0" w14:textId="77777777" w:rsidR="00B32EF2" w:rsidRDefault="00000000">
                        <w:r>
                          <w:rPr>
                            <w:rFonts w:ascii="Arial" w:eastAsia="Arial" w:hAnsi="Arial" w:cs="Arial"/>
                            <w:sz w:val="18"/>
                          </w:rPr>
                          <w:t>giudice tributario determina la loro nullità.</w:t>
                        </w:r>
                      </w:p>
                    </w:txbxContent>
                  </v:textbox>
                </v:rect>
                <w10:anchorlock/>
              </v:group>
            </w:pict>
          </mc:Fallback>
        </mc:AlternateContent>
      </w:r>
    </w:p>
    <w:p w14:paraId="34011C86" w14:textId="77777777" w:rsidR="00B32EF2" w:rsidRDefault="00000000">
      <w:pPr>
        <w:spacing w:after="0"/>
        <w:ind w:left="-356" w:right="-306"/>
      </w:pPr>
      <w:r>
        <w:rPr>
          <w:noProof/>
        </w:rPr>
        <w:lastRenderedPageBreak/>
        <mc:AlternateContent>
          <mc:Choice Requires="wpg">
            <w:drawing>
              <wp:inline distT="0" distB="0" distL="0" distR="0" wp14:anchorId="7395B5CB" wp14:editId="516C277A">
                <wp:extent cx="3991779" cy="1866741"/>
                <wp:effectExtent l="0" t="0" r="0" b="0"/>
                <wp:docPr id="201264" name="Group 201264"/>
                <wp:cNvGraphicFramePr/>
                <a:graphic xmlns:a="http://schemas.openxmlformats.org/drawingml/2006/main">
                  <a:graphicData uri="http://schemas.microsoft.com/office/word/2010/wordprocessingGroup">
                    <wpg:wgp>
                      <wpg:cNvGrpSpPr/>
                      <wpg:grpSpPr>
                        <a:xfrm>
                          <a:off x="0" y="0"/>
                          <a:ext cx="3991779" cy="1866741"/>
                          <a:chOff x="0" y="0"/>
                          <a:chExt cx="3991779" cy="1866741"/>
                        </a:xfrm>
                      </wpg:grpSpPr>
                      <wps:wsp>
                        <wps:cNvPr id="18933" name="Rectangle 18933"/>
                        <wps:cNvSpPr/>
                        <wps:spPr>
                          <a:xfrm rot="-10799999">
                            <a:off x="1507740" y="1723852"/>
                            <a:ext cx="807601" cy="142889"/>
                          </a:xfrm>
                          <a:prstGeom prst="rect">
                            <a:avLst/>
                          </a:prstGeom>
                          <a:ln>
                            <a:noFill/>
                          </a:ln>
                        </wps:spPr>
                        <wps:txbx>
                          <w:txbxContent>
                            <w:p w14:paraId="19B0E990" w14:textId="77777777" w:rsidR="00B32EF2" w:rsidRDefault="00000000">
                              <w:r>
                                <w:rPr>
                                  <w:rFonts w:ascii="Arial" w:eastAsia="Arial" w:hAnsi="Arial" w:cs="Arial"/>
                                  <w:b/>
                                  <w:sz w:val="18"/>
                                </w:rPr>
                                <w:t>Articolo 62</w:t>
                              </w:r>
                            </w:p>
                          </w:txbxContent>
                        </wps:txbx>
                        <wps:bodyPr horzOverflow="overflow" vert="horz" lIns="0" tIns="0" rIns="0" bIns="0" rtlCol="0">
                          <a:noAutofit/>
                        </wps:bodyPr>
                      </wps:wsp>
                      <wps:wsp>
                        <wps:cNvPr id="201226" name="Rectangle 201226"/>
                        <wps:cNvSpPr/>
                        <wps:spPr>
                          <a:xfrm rot="-10799999">
                            <a:off x="-252249" y="1584177"/>
                            <a:ext cx="1934929" cy="142889"/>
                          </a:xfrm>
                          <a:prstGeom prst="rect">
                            <a:avLst/>
                          </a:prstGeom>
                          <a:ln>
                            <a:noFill/>
                          </a:ln>
                        </wps:spPr>
                        <wps:txbx>
                          <w:txbxContent>
                            <w:p w14:paraId="2F5F0D2A"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227" name="Rectangle 201227"/>
                        <wps:cNvSpPr/>
                        <wps:spPr>
                          <a:xfrm rot="-10799999">
                            <a:off x="1167425" y="1584177"/>
                            <a:ext cx="1934928" cy="142889"/>
                          </a:xfrm>
                          <a:prstGeom prst="rect">
                            <a:avLst/>
                          </a:prstGeom>
                          <a:ln>
                            <a:noFill/>
                          </a:ln>
                        </wps:spPr>
                        <wps:txbx>
                          <w:txbxContent>
                            <w:p w14:paraId="56F176F4" w14:textId="77777777" w:rsidR="00B32EF2" w:rsidRDefault="00000000">
                              <w:r>
                                <w:rPr>
                                  <w:rFonts w:ascii="Arial" w:eastAsia="Arial" w:hAnsi="Arial" w:cs="Arial"/>
                                  <w:i/>
                                  <w:sz w:val="18"/>
                                </w:rPr>
                                <w:t xml:space="preserve">articolo 17 D.lgs. n. </w:t>
                              </w:r>
                            </w:p>
                          </w:txbxContent>
                        </wps:txbx>
                        <wps:bodyPr horzOverflow="overflow" vert="horz" lIns="0" tIns="0" rIns="0" bIns="0" rtlCol="0">
                          <a:noAutofit/>
                        </wps:bodyPr>
                      </wps:wsp>
                      <wps:wsp>
                        <wps:cNvPr id="201225" name="Rectangle 201225"/>
                        <wps:cNvSpPr/>
                        <wps:spPr>
                          <a:xfrm rot="-10799999">
                            <a:off x="2221008" y="1584177"/>
                            <a:ext cx="1934928" cy="142889"/>
                          </a:xfrm>
                          <a:prstGeom prst="rect">
                            <a:avLst/>
                          </a:prstGeom>
                          <a:ln>
                            <a:noFill/>
                          </a:ln>
                        </wps:spPr>
                        <wps:txbx>
                          <w:txbxContent>
                            <w:p w14:paraId="67C0F77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8935" name="Rectangle 18935"/>
                        <wps:cNvSpPr/>
                        <wps:spPr>
                          <a:xfrm rot="-10799999">
                            <a:off x="51171" y="1444502"/>
                            <a:ext cx="3116162" cy="142889"/>
                          </a:xfrm>
                          <a:prstGeom prst="rect">
                            <a:avLst/>
                          </a:prstGeom>
                          <a:ln>
                            <a:noFill/>
                          </a:ln>
                        </wps:spPr>
                        <wps:txbx>
                          <w:txbxContent>
                            <w:p w14:paraId="40FF2AA6" w14:textId="77777777" w:rsidR="00B32EF2" w:rsidRDefault="00000000">
                              <w:r>
                                <w:rPr>
                                  <w:rFonts w:ascii="Arial" w:eastAsia="Arial" w:hAnsi="Arial" w:cs="Arial"/>
                                  <w:b/>
                                  <w:sz w:val="18"/>
                                </w:rPr>
                                <w:t xml:space="preserve">Luogo delle comunicazioni e notificazioni </w:t>
                              </w:r>
                            </w:p>
                          </w:txbxContent>
                        </wps:txbx>
                        <wps:bodyPr horzOverflow="overflow" vert="horz" lIns="0" tIns="0" rIns="0" bIns="0" rtlCol="0">
                          <a:noAutofit/>
                        </wps:bodyPr>
                      </wps:wsp>
                      <wps:wsp>
                        <wps:cNvPr id="201224" name="Rectangle 201224"/>
                        <wps:cNvSpPr/>
                        <wps:spPr>
                          <a:xfrm rot="-10799999">
                            <a:off x="-1376304" y="1321173"/>
                            <a:ext cx="5308899" cy="142889"/>
                          </a:xfrm>
                          <a:prstGeom prst="rect">
                            <a:avLst/>
                          </a:prstGeom>
                          <a:ln>
                            <a:noFill/>
                          </a:ln>
                        </wps:spPr>
                        <wps:txbx>
                          <w:txbxContent>
                            <w:p w14:paraId="5160ED40" w14:textId="77777777" w:rsidR="00B32EF2" w:rsidRDefault="00000000">
                              <w:r>
                                <w:rPr>
                                  <w:rFonts w:ascii="Arial" w:eastAsia="Arial" w:hAnsi="Arial" w:cs="Arial"/>
                                  <w:sz w:val="18"/>
                                </w:rPr>
                                <w:t xml:space="preserve">. Le comunicazioni e le notificazioni sono fatte, salva la consegna in mani </w:t>
                              </w:r>
                            </w:p>
                          </w:txbxContent>
                        </wps:txbx>
                        <wps:bodyPr horzOverflow="overflow" vert="horz" lIns="0" tIns="0" rIns="0" bIns="0" rtlCol="0">
                          <a:noAutofit/>
                        </wps:bodyPr>
                      </wps:wsp>
                      <wps:wsp>
                        <wps:cNvPr id="201223" name="Rectangle 201223"/>
                        <wps:cNvSpPr/>
                        <wps:spPr>
                          <a:xfrm rot="-10799999">
                            <a:off x="2610983" y="1321173"/>
                            <a:ext cx="5308899" cy="142889"/>
                          </a:xfrm>
                          <a:prstGeom prst="rect">
                            <a:avLst/>
                          </a:prstGeom>
                          <a:ln>
                            <a:noFill/>
                          </a:ln>
                        </wps:spPr>
                        <wps:txbx>
                          <w:txbxContent>
                            <w:p w14:paraId="108309D6"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8937" name="Rectangle 18937"/>
                        <wps:cNvSpPr/>
                        <wps:spPr>
                          <a:xfrm rot="-10799999">
                            <a:off x="-1220572" y="1197843"/>
                            <a:ext cx="5212352" cy="142889"/>
                          </a:xfrm>
                          <a:prstGeom prst="rect">
                            <a:avLst/>
                          </a:prstGeom>
                          <a:ln>
                            <a:noFill/>
                          </a:ln>
                        </wps:spPr>
                        <wps:txbx>
                          <w:txbxContent>
                            <w:p w14:paraId="0E653241" w14:textId="77777777" w:rsidR="00B32EF2" w:rsidRDefault="00000000">
                              <w:r>
                                <w:rPr>
                                  <w:rFonts w:ascii="Arial" w:eastAsia="Arial" w:hAnsi="Arial" w:cs="Arial"/>
                                  <w:sz w:val="18"/>
                                </w:rPr>
                                <w:t>proprie, nel domicilio eletto o, in mancanza, nella residenza o nella sede di</w:t>
                              </w:r>
                            </w:p>
                          </w:txbxContent>
                        </wps:txbx>
                        <wps:bodyPr horzOverflow="overflow" vert="horz" lIns="0" tIns="0" rIns="0" bIns="0" rtlCol="0">
                          <a:noAutofit/>
                        </wps:bodyPr>
                      </wps:wsp>
                      <wps:wsp>
                        <wps:cNvPr id="18938" name="Rectangle 18938"/>
                        <wps:cNvSpPr/>
                        <wps:spPr>
                          <a:xfrm rot="-10799999">
                            <a:off x="19181" y="1197843"/>
                            <a:ext cx="50622" cy="142889"/>
                          </a:xfrm>
                          <a:prstGeom prst="rect">
                            <a:avLst/>
                          </a:prstGeom>
                          <a:ln>
                            <a:noFill/>
                          </a:ln>
                        </wps:spPr>
                        <wps:txbx>
                          <w:txbxContent>
                            <w:p w14:paraId="1BEDA9E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939" name="Rectangle 18939"/>
                        <wps:cNvSpPr/>
                        <wps:spPr>
                          <a:xfrm rot="-10799999">
                            <a:off x="-1317165" y="1074513"/>
                            <a:ext cx="5308946" cy="142889"/>
                          </a:xfrm>
                          <a:prstGeom prst="rect">
                            <a:avLst/>
                          </a:prstGeom>
                          <a:ln>
                            <a:noFill/>
                          </a:ln>
                        </wps:spPr>
                        <wps:txbx>
                          <w:txbxContent>
                            <w:p w14:paraId="0073DB89" w14:textId="77777777" w:rsidR="00B32EF2" w:rsidRDefault="00000000">
                              <w:r>
                                <w:rPr>
                                  <w:rFonts w:ascii="Arial" w:eastAsia="Arial" w:hAnsi="Arial" w:cs="Arial"/>
                                  <w:sz w:val="18"/>
                                </w:rPr>
                                <w:t xml:space="preserve">chiarata dalla parte all’atto della sua costituzione in giudizio. Le variazioni del </w:t>
                              </w:r>
                            </w:p>
                          </w:txbxContent>
                        </wps:txbx>
                        <wps:bodyPr horzOverflow="overflow" vert="horz" lIns="0" tIns="0" rIns="0" bIns="0" rtlCol="0">
                          <a:noAutofit/>
                        </wps:bodyPr>
                      </wps:wsp>
                      <wps:wsp>
                        <wps:cNvPr id="18940" name="Rectangle 18940"/>
                        <wps:cNvSpPr/>
                        <wps:spPr>
                          <a:xfrm rot="-10799999">
                            <a:off x="-1219219" y="951183"/>
                            <a:ext cx="5210999" cy="142889"/>
                          </a:xfrm>
                          <a:prstGeom prst="rect">
                            <a:avLst/>
                          </a:prstGeom>
                          <a:ln>
                            <a:noFill/>
                          </a:ln>
                        </wps:spPr>
                        <wps:txbx>
                          <w:txbxContent>
                            <w:p w14:paraId="2A5A898C" w14:textId="77777777" w:rsidR="00B32EF2" w:rsidRDefault="00000000">
                              <w:r>
                                <w:rPr>
                                  <w:rFonts w:ascii="Arial" w:eastAsia="Arial" w:hAnsi="Arial" w:cs="Arial"/>
                                  <w:sz w:val="18"/>
                                </w:rPr>
                                <w:t>domicilio o della residenza o della sede hanno effetto dal decimo giorno suc</w:t>
                              </w:r>
                            </w:p>
                          </w:txbxContent>
                        </wps:txbx>
                        <wps:bodyPr horzOverflow="overflow" vert="horz" lIns="0" tIns="0" rIns="0" bIns="0" rtlCol="0">
                          <a:noAutofit/>
                        </wps:bodyPr>
                      </wps:wsp>
                      <wps:wsp>
                        <wps:cNvPr id="18941" name="Rectangle 18941"/>
                        <wps:cNvSpPr/>
                        <wps:spPr>
                          <a:xfrm rot="-10799999">
                            <a:off x="19181" y="951184"/>
                            <a:ext cx="50622" cy="142889"/>
                          </a:xfrm>
                          <a:prstGeom prst="rect">
                            <a:avLst/>
                          </a:prstGeom>
                          <a:ln>
                            <a:noFill/>
                          </a:ln>
                        </wps:spPr>
                        <wps:txbx>
                          <w:txbxContent>
                            <w:p w14:paraId="4B3578E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942" name="Rectangle 18942"/>
                        <wps:cNvSpPr/>
                        <wps:spPr>
                          <a:xfrm rot="-10799999">
                            <a:off x="-1317180" y="827854"/>
                            <a:ext cx="5308960" cy="142889"/>
                          </a:xfrm>
                          <a:prstGeom prst="rect">
                            <a:avLst/>
                          </a:prstGeom>
                          <a:ln>
                            <a:noFill/>
                          </a:ln>
                        </wps:spPr>
                        <wps:txbx>
                          <w:txbxContent>
                            <w:p w14:paraId="345DF550" w14:textId="77777777" w:rsidR="00B32EF2" w:rsidRDefault="00000000">
                              <w:r>
                                <w:rPr>
                                  <w:rFonts w:ascii="Arial" w:eastAsia="Arial" w:hAnsi="Arial" w:cs="Arial"/>
                                  <w:sz w:val="18"/>
                                </w:rPr>
                                <w:t xml:space="preserve">cessivo a quello in cui sia stata notificata alla segreteria della corte di giustizia </w:t>
                              </w:r>
                            </w:p>
                          </w:txbxContent>
                        </wps:txbx>
                        <wps:bodyPr horzOverflow="overflow" vert="horz" lIns="0" tIns="0" rIns="0" bIns="0" rtlCol="0">
                          <a:noAutofit/>
                        </wps:bodyPr>
                      </wps:wsp>
                      <wps:wsp>
                        <wps:cNvPr id="18943" name="Rectangle 18943"/>
                        <wps:cNvSpPr/>
                        <wps:spPr>
                          <a:xfrm rot="-10799999">
                            <a:off x="201717" y="704524"/>
                            <a:ext cx="3790062" cy="142889"/>
                          </a:xfrm>
                          <a:prstGeom prst="rect">
                            <a:avLst/>
                          </a:prstGeom>
                          <a:ln>
                            <a:noFill/>
                          </a:ln>
                        </wps:spPr>
                        <wps:txbx>
                          <w:txbxContent>
                            <w:p w14:paraId="6A184528" w14:textId="77777777" w:rsidR="00B32EF2" w:rsidRDefault="00000000">
                              <w:r>
                                <w:rPr>
                                  <w:rFonts w:ascii="Arial" w:eastAsia="Arial" w:hAnsi="Arial" w:cs="Arial"/>
                                  <w:sz w:val="18"/>
                                </w:rPr>
                                <w:t>tributaria e alle parti costituite la denuncia di variazione.</w:t>
                              </w:r>
                            </w:p>
                          </w:txbxContent>
                        </wps:txbx>
                        <wps:bodyPr horzOverflow="overflow" vert="horz" lIns="0" tIns="0" rIns="0" bIns="0" rtlCol="0">
                          <a:noAutofit/>
                        </wps:bodyPr>
                      </wps:wsp>
                      <wps:wsp>
                        <wps:cNvPr id="201221" name="Rectangle 201221"/>
                        <wps:cNvSpPr/>
                        <wps:spPr>
                          <a:xfrm rot="-10799999">
                            <a:off x="2610949" y="581194"/>
                            <a:ext cx="5309036" cy="142889"/>
                          </a:xfrm>
                          <a:prstGeom prst="rect">
                            <a:avLst/>
                          </a:prstGeom>
                          <a:ln>
                            <a:noFill/>
                          </a:ln>
                        </wps:spPr>
                        <wps:txbx>
                          <w:txbxContent>
                            <w:p w14:paraId="72C013A0"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222" name="Rectangle 201222"/>
                        <wps:cNvSpPr/>
                        <wps:spPr>
                          <a:xfrm rot="-10799999">
                            <a:off x="-1381812" y="581194"/>
                            <a:ext cx="5309036" cy="142889"/>
                          </a:xfrm>
                          <a:prstGeom prst="rect">
                            <a:avLst/>
                          </a:prstGeom>
                          <a:ln>
                            <a:noFill/>
                          </a:ln>
                        </wps:spPr>
                        <wps:txbx>
                          <w:txbxContent>
                            <w:p w14:paraId="07327402" w14:textId="77777777" w:rsidR="00B32EF2" w:rsidRDefault="00000000">
                              <w:r>
                                <w:rPr>
                                  <w:rFonts w:ascii="Arial" w:eastAsia="Arial" w:hAnsi="Arial" w:cs="Arial"/>
                                  <w:sz w:val="18"/>
                                </w:rPr>
                                <w:t xml:space="preserve">. L’indicazione della residenza o della sede e l’elezione del domicilio hanno </w:t>
                              </w:r>
                            </w:p>
                          </w:txbxContent>
                        </wps:txbx>
                        <wps:bodyPr horzOverflow="overflow" vert="horz" lIns="0" tIns="0" rIns="0" bIns="0" rtlCol="0">
                          <a:noAutofit/>
                        </wps:bodyPr>
                      </wps:wsp>
                      <wps:wsp>
                        <wps:cNvPr id="18945" name="Rectangle 18945"/>
                        <wps:cNvSpPr/>
                        <wps:spPr>
                          <a:xfrm rot="-10799999">
                            <a:off x="622293" y="457865"/>
                            <a:ext cx="3369486" cy="142889"/>
                          </a:xfrm>
                          <a:prstGeom prst="rect">
                            <a:avLst/>
                          </a:prstGeom>
                          <a:ln>
                            <a:noFill/>
                          </a:ln>
                        </wps:spPr>
                        <wps:txbx>
                          <w:txbxContent>
                            <w:p w14:paraId="5172F504" w14:textId="77777777" w:rsidR="00B32EF2" w:rsidRDefault="00000000">
                              <w:r>
                                <w:rPr>
                                  <w:rFonts w:ascii="Arial" w:eastAsia="Arial" w:hAnsi="Arial" w:cs="Arial"/>
                                  <w:sz w:val="18"/>
                                </w:rPr>
                                <w:t xml:space="preserve">effetto anche per i successivi gradi del processo. </w:t>
                              </w:r>
                            </w:p>
                          </w:txbxContent>
                        </wps:txbx>
                        <wps:bodyPr horzOverflow="overflow" vert="horz" lIns="0" tIns="0" rIns="0" bIns="0" rtlCol="0">
                          <a:noAutofit/>
                        </wps:bodyPr>
                      </wps:wsp>
                      <wps:wsp>
                        <wps:cNvPr id="201219" name="Rectangle 201219"/>
                        <wps:cNvSpPr/>
                        <wps:spPr>
                          <a:xfrm rot="-10799999">
                            <a:off x="-1381778" y="334535"/>
                            <a:ext cx="5309036" cy="142889"/>
                          </a:xfrm>
                          <a:prstGeom prst="rect">
                            <a:avLst/>
                          </a:prstGeom>
                          <a:ln>
                            <a:noFill/>
                          </a:ln>
                        </wps:spPr>
                        <wps:txbx>
                          <w:txbxContent>
                            <w:p w14:paraId="0BCE4BCF" w14:textId="77777777" w:rsidR="00B32EF2" w:rsidRDefault="00000000">
                              <w:r>
                                <w:rPr>
                                  <w:rFonts w:ascii="Arial" w:eastAsia="Arial" w:hAnsi="Arial" w:cs="Arial"/>
                                  <w:sz w:val="18"/>
                                </w:rPr>
                                <w:t xml:space="preserve">. Se mancano l’elezione di domicilio o la dichiarazione della residenza o della </w:t>
                              </w:r>
                            </w:p>
                          </w:txbxContent>
                        </wps:txbx>
                        <wps:bodyPr horzOverflow="overflow" vert="horz" lIns="0" tIns="0" rIns="0" bIns="0" rtlCol="0">
                          <a:noAutofit/>
                        </wps:bodyPr>
                      </wps:wsp>
                      <wps:wsp>
                        <wps:cNvPr id="201218" name="Rectangle 201218"/>
                        <wps:cNvSpPr/>
                        <wps:spPr>
                          <a:xfrm rot="-10799999">
                            <a:off x="2610949" y="334535"/>
                            <a:ext cx="5309036" cy="142889"/>
                          </a:xfrm>
                          <a:prstGeom prst="rect">
                            <a:avLst/>
                          </a:prstGeom>
                          <a:ln>
                            <a:noFill/>
                          </a:ln>
                        </wps:spPr>
                        <wps:txbx>
                          <w:txbxContent>
                            <w:p w14:paraId="7F265437"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8947" name="Rectangle 18947"/>
                        <wps:cNvSpPr/>
                        <wps:spPr>
                          <a:xfrm rot="-10799999">
                            <a:off x="-1220937" y="211205"/>
                            <a:ext cx="5212717" cy="142889"/>
                          </a:xfrm>
                          <a:prstGeom prst="rect">
                            <a:avLst/>
                          </a:prstGeom>
                          <a:ln>
                            <a:noFill/>
                          </a:ln>
                        </wps:spPr>
                        <wps:txbx>
                          <w:txbxContent>
                            <w:p w14:paraId="63B71271" w14:textId="77777777" w:rsidR="00B32EF2" w:rsidRDefault="00000000">
                              <w:r>
                                <w:rPr>
                                  <w:rFonts w:ascii="Arial" w:eastAsia="Arial" w:hAnsi="Arial" w:cs="Arial"/>
                                  <w:sz w:val="18"/>
                                </w:rPr>
                                <w:t>sede nel territorio dello Stato o se per la loro assoluta incertezza la notifica</w:t>
                              </w:r>
                            </w:p>
                          </w:txbxContent>
                        </wps:txbx>
                        <wps:bodyPr horzOverflow="overflow" vert="horz" lIns="0" tIns="0" rIns="0" bIns="0" rtlCol="0">
                          <a:noAutofit/>
                        </wps:bodyPr>
                      </wps:wsp>
                      <wps:wsp>
                        <wps:cNvPr id="18948" name="Rectangle 18948"/>
                        <wps:cNvSpPr/>
                        <wps:spPr>
                          <a:xfrm rot="-10799999">
                            <a:off x="19181" y="211206"/>
                            <a:ext cx="50622" cy="142889"/>
                          </a:xfrm>
                          <a:prstGeom prst="rect">
                            <a:avLst/>
                          </a:prstGeom>
                          <a:ln>
                            <a:noFill/>
                          </a:ln>
                        </wps:spPr>
                        <wps:txbx>
                          <w:txbxContent>
                            <w:p w14:paraId="4310B6F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949" name="Rectangle 18949"/>
                        <wps:cNvSpPr/>
                        <wps:spPr>
                          <a:xfrm rot="-10799999">
                            <a:off x="-1317286" y="87876"/>
                            <a:ext cx="5309066" cy="142889"/>
                          </a:xfrm>
                          <a:prstGeom prst="rect">
                            <a:avLst/>
                          </a:prstGeom>
                          <a:ln>
                            <a:noFill/>
                          </a:ln>
                        </wps:spPr>
                        <wps:txbx>
                          <w:txbxContent>
                            <w:p w14:paraId="43199DD9" w14:textId="77777777" w:rsidR="00B32EF2" w:rsidRDefault="00000000">
                              <w:r>
                                <w:rPr>
                                  <w:rFonts w:ascii="Arial" w:eastAsia="Arial" w:hAnsi="Arial" w:cs="Arial"/>
                                  <w:sz w:val="18"/>
                                </w:rPr>
                                <w:t xml:space="preserve">zione o la comunicazione degli atti non è possibile, questi sono comunicati o </w:t>
                              </w:r>
                            </w:p>
                          </w:txbxContent>
                        </wps:txbx>
                        <wps:bodyPr horzOverflow="overflow" vert="horz" lIns="0" tIns="0" rIns="0" bIns="0" rtlCol="0">
                          <a:noAutofit/>
                        </wps:bodyPr>
                      </wps:wsp>
                      <wps:wsp>
                        <wps:cNvPr id="18950" name="Rectangle 18950"/>
                        <wps:cNvSpPr/>
                        <wps:spPr>
                          <a:xfrm rot="-10799999">
                            <a:off x="-180580" y="-35453"/>
                            <a:ext cx="4172360" cy="142889"/>
                          </a:xfrm>
                          <a:prstGeom prst="rect">
                            <a:avLst/>
                          </a:prstGeom>
                          <a:ln>
                            <a:noFill/>
                          </a:ln>
                        </wps:spPr>
                        <wps:txbx>
                          <w:txbxContent>
                            <w:p w14:paraId="73F6A7FF" w14:textId="77777777" w:rsidR="00B32EF2" w:rsidRDefault="00000000">
                              <w:r>
                                <w:rPr>
                                  <w:rFonts w:ascii="Arial" w:eastAsia="Arial" w:hAnsi="Arial" w:cs="Arial"/>
                                  <w:sz w:val="18"/>
                                </w:rPr>
                                <w:t>notificati presso la segreteria della corte di giustizia tributaria.</w:t>
                              </w:r>
                            </w:p>
                          </w:txbxContent>
                        </wps:txbx>
                        <wps:bodyPr horzOverflow="overflow" vert="horz" lIns="0" tIns="0" rIns="0" bIns="0" rtlCol="0">
                          <a:noAutofit/>
                        </wps:bodyPr>
                      </wps:wsp>
                    </wpg:wgp>
                  </a:graphicData>
                </a:graphic>
              </wp:inline>
            </w:drawing>
          </mc:Choice>
          <mc:Fallback>
            <w:pict>
              <v:group w14:anchorId="7395B5CB" id="Group 201264" o:spid="_x0000_s4208" style="width:314.3pt;height:147pt;mso-position-horizontal-relative:char;mso-position-vertical-relative:line" coordsize="39917,18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ieOAwUAAKAuAAAOAAAAZHJzL2Uyb0RvYy54bWzkmutuo0YUx79X6jsgvjtmhttgxVlV3W5U&#10;qequdtsHIBhsS5hBA4mdPn3/c7g4IWxXAqlEmigi+OAMM+c35wq3Hy6n3HpKVXWUxdZmN45tpUUi&#10;d8div7X//uvTSthWVcfFLs5lkW7t57SyP9z9/NPtudykXB5kvkuVhUGKanMut/ahrsvNel0lh/QU&#10;VzeyTAtczKQ6xTU+qv16p+IzRj/la+44wfos1a5UMkmrCtKPzUX7jsbPsjSpP2dZldZWvrUxt5qO&#10;io4P+ri+u403exWXh2PSTiOeMItTfCxw036oj3EdW4/q+Gao0zFRspJZfZPI01pm2TFJaQ1YDXMG&#10;q7lX8rGktew3533ZqwmqHehp8rDJn0/3qvxWflHQxLncQxf0Sa/lkqmT/otZWhdS2XOvsvRSWwmE&#10;bhSxMIxsK8E1JoIg9Fij1OQAzb/5v+Tw2w/+c93deP1qOucSG6S66qCap4Nvh7hMSbXVBjr4oqzj&#10;Ti8gcl3bKuITtupXbJ642Oep1YhJQfTtXl3VpoLmOl1ZSmJ/rZgTRvqH9kOrO+Y7YehhA2othdwV&#10;Pm+01OlROGHgsFaNHhci0td7XcSbUlX1fSpPlj7Z2gqToxvET39UdfPV7it6Pnmhj4X8dMzz5qqW&#10;QKXdlPVZfXm40Lpdp6GmhQ9y9wx1HKT65zMMO8vleWvL9szWto7b66u2lf9eAIM2q+5EdScP3Ymq&#10;818lGV8zoV8ea5kdacbXu7UzA1+9Cf8H0DA2zoO3pFv5HNQr7nPuwSI0al94MI/XqFnkehHvTGYJ&#10;1rT3rto3gXX4HdbERqsCTmCCWTP4O+7/iDViILnHJVi7evOZxRo8hh6c7NrvVDGJNeecOQ5Q/rdd&#10;L8na6xZohA/XUXkEdSOe48F9xkKEYs3Z8zzfGYRql7GABXxBm+43shGcyXa979h0v+Un2fSKuWGA&#10;5KeB7XKAJ38Zb7q8zHcd5GJLBuvAKKMm2CMpeCufY9Y8YE4kMLY27PfJus9GjDBs7alH8rJGPIf0&#10;Csm944dw0Ro1i0LhDc2aM+6iBlsuLxNGmbVmisxomJY14jmoWcREG6tHOTsBX5IyVfHGZN8aJ0Ll&#10;GOVeEVPjNFKyoC20nNDz2dCgEacjDxX9UoWWT71Ek1DrdtYIaojnGDR8N4vwS747QiqOiI3xXmRk&#10;KMN0d2050tTgNIo0POwY6V4Rk4z66roJM2XyLzAv67mb/qxRkBEnxyD3zcJJkFFhwXOLpvMteCj8&#10;IWftuANcX8xxk38xivRIfYXQ3eTIWhGTSKNCCxnSeaTcoeP5fMDZDSM8rlswF2s2njGcqWAe8dut&#10;fE6IpkK6fcLhC9RXA9TomUSOu2QuZmCDbMR7E+rZ7lugwMLgMOv3ydqs/pj20+NNb4jnGDXqZB41&#10;zTHPDwVqrVdZt+sGkSeWtGmzemPadnURNMzIWvkc0kjJBB5KN0+yXNfz8RTlFevl/bdZzTFiOtId&#10;a+VzWL8M1e8Tdd8YMqXl7Y23vCGeA5pa3tROR6DGcyz0vwdGjY435edL1Vmo8doFGkN6xKZ1/O69&#10;26Q669o2IcyU/rybtknQt4SMgTwSpDXk3q9NgkxtE67zLZizCEU4xKxLrGDBdAyVvGHWjAb/m2wM&#10;oK99/4mgheO37bGV6yMZe+228fogd5dsjwXvpj1G7wPjNWh6LbZ9ZVu/Z/3yM71Ien2x/O5fAAAA&#10;//8DAFBLAwQUAAYACAAAACEA4/V/Gt0AAAAFAQAADwAAAGRycy9kb3ducmV2LnhtbEyPQUvDQBCF&#10;74L/YRnBm90kamjTbEop6qkIbQXxNs1Ok9DsbMhuk/Tfu3rRy8DjPd77Jl9NphUD9a6xrCCeRSCI&#10;S6sbrhR8HF4f5iCcR9bYWiYFV3KwKm5vcsy0HXlHw95XIpSwy1BB7X2XSenKmgy6me2Ig3eyvUEf&#10;ZF9J3eMYyk0rkyhKpcGGw0KNHW1qKs/7i1HwNuK4foxfhu35tLl+HZ7fP7cxKXV/N62XIDxN/i8M&#10;P/gBHYrAdLQX1k60CsIj/vcGL03mKYijgmTxFIEscvmfvvgGAAD//wMAUEsBAi0AFAAGAAgAAAAh&#10;ALaDOJL+AAAA4QEAABMAAAAAAAAAAAAAAAAAAAAAAFtDb250ZW50X1R5cGVzXS54bWxQSwECLQAU&#10;AAYACAAAACEAOP0h/9YAAACUAQAACwAAAAAAAAAAAAAAAAAvAQAAX3JlbHMvLnJlbHNQSwECLQAU&#10;AAYACAAAACEAuh4njgMFAACgLgAADgAAAAAAAAAAAAAAAAAuAgAAZHJzL2Uyb0RvYy54bWxQSwEC&#10;LQAUAAYACAAAACEA4/V/Gt0AAAAFAQAADwAAAAAAAAAAAAAAAABdBwAAZHJzL2Rvd25yZXYueG1s&#10;UEsFBgAAAAAEAAQA8wAAAGcIAAAAAA==&#10;">
                <v:rect id="Rectangle 18933" o:spid="_x0000_s4209" style="position:absolute;left:15077;top:17238;width:80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F3xAAAAN4AAAAPAAAAZHJzL2Rvd25yZXYueG1sRE9Na8JA&#10;EL0X/A/LCN7qxgolja4iijQHL7UKHofsmESzs0t2NdFf3y0UepvH+5z5sjeNuFPra8sKJuMEBHFh&#10;dc2lgsP39jUF4QOyxsYyKXiQh+Vi8DLHTNuOv+i+D6WIIewzVFCF4DIpfVGRQT+2jjhyZ9saDBG2&#10;pdQtdjHcNPItSd6lwZpjQ4WO1hUV1/3NKDht2OXbThbn59rtLnnafN4OR6VGw341AxGoD//iP3eu&#10;4/z0YzqF33fiDXLxAwAA//8DAFBLAQItABQABgAIAAAAIQDb4fbL7gAAAIUBAAATAAAAAAAAAAAA&#10;AAAAAAAAAABbQ29udGVudF9UeXBlc10ueG1sUEsBAi0AFAAGAAgAAAAhAFr0LFu/AAAAFQEAAAsA&#10;AAAAAAAAAAAAAAAAHwEAAF9yZWxzLy5yZWxzUEsBAi0AFAAGAAgAAAAhAFyCcXfEAAAA3gAAAA8A&#10;AAAAAAAAAAAAAAAABwIAAGRycy9kb3ducmV2LnhtbFBLBQYAAAAAAwADALcAAAD4AgAAAAA=&#10;" filled="f" stroked="f">
                  <v:textbox inset="0,0,0,0">
                    <w:txbxContent>
                      <w:p w14:paraId="19B0E990" w14:textId="77777777" w:rsidR="00B32EF2" w:rsidRDefault="00000000">
                        <w:r>
                          <w:rPr>
                            <w:rFonts w:ascii="Arial" w:eastAsia="Arial" w:hAnsi="Arial" w:cs="Arial"/>
                            <w:b/>
                            <w:sz w:val="18"/>
                          </w:rPr>
                          <w:t>Articolo 62</w:t>
                        </w:r>
                      </w:p>
                    </w:txbxContent>
                  </v:textbox>
                </v:rect>
                <v:rect id="Rectangle 201226" o:spid="_x0000_s4210" style="position:absolute;left:-2522;top:15841;width:193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TWgxgAAAN8AAAAPAAAAZHJzL2Rvd25yZXYueG1sRI9Pi8Iw&#10;FMTvgt8hvAVvmtqDSNco4iL24MV/4PHRPNuuzUtoou3upzcLCx6HmfkNs1j1phFPan1tWcF0koAg&#10;LqyuuVRwPm3HcxA+IGtsLJOCH/KwWg4HC8y07fhAz2MoRYSwz1BBFYLLpPRFRQb9xDri6N1sazBE&#10;2ZZSt9hFuGlkmiQzabDmuFCho01Fxf34MAquX+zybSeL2+/G7b/zebN7nC9KjT769SeIQH14h//b&#10;uVaQJtM0ncHfn/gF5PIFAAD//wMAUEsBAi0AFAAGAAgAAAAhANvh9svuAAAAhQEAABMAAAAAAAAA&#10;AAAAAAAAAAAAAFtDb250ZW50X1R5cGVzXS54bWxQSwECLQAUAAYACAAAACEAWvQsW78AAAAVAQAA&#10;CwAAAAAAAAAAAAAAAAAfAQAAX3JlbHMvLnJlbHNQSwECLQAUAAYACAAAACEAsWE1oMYAAADfAAAA&#10;DwAAAAAAAAAAAAAAAAAHAgAAZHJzL2Rvd25yZXYueG1sUEsFBgAAAAADAAMAtwAAAPoCAAAAAA==&#10;" filled="f" stroked="f">
                  <v:textbox inset="0,0,0,0">
                    <w:txbxContent>
                      <w:p w14:paraId="2F5F0D2A" w14:textId="77777777" w:rsidR="00B32EF2" w:rsidRDefault="00000000">
                        <w:r>
                          <w:rPr>
                            <w:rFonts w:ascii="Arial" w:eastAsia="Arial" w:hAnsi="Arial" w:cs="Arial"/>
                            <w:i/>
                            <w:sz w:val="18"/>
                          </w:rPr>
                          <w:t>546/92)</w:t>
                        </w:r>
                      </w:p>
                    </w:txbxContent>
                  </v:textbox>
                </v:rect>
                <v:rect id="Rectangle 201227" o:spid="_x0000_s4211" style="position:absolute;left:11674;top:15841;width:193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ZA7xwAAAN8AAAAPAAAAZHJzL2Rvd25yZXYueG1sRI9Ba8JA&#10;FITvgv9heYI33ZiDlegqoog5eKm10OMj+0yi2bdLdjWxv75bKPQ4zMw3zGrTm0Y8qfW1ZQWzaQKC&#10;uLC65lLB5eMwWYDwAVljY5kUvMjDZj0crDDTtuN3ep5DKSKEfYYKqhBcJqUvKjLop9YRR+9qW4Mh&#10;yraUusUuwk0j0ySZS4M1x4UKHe0qKu7nh1HwtWeXHzpZXL937nTLF83xcflUajzqt0sQgfrwH/5r&#10;51pBmszS9A1+/8QvINc/AAAA//8DAFBLAQItABQABgAIAAAAIQDb4fbL7gAAAIUBAAATAAAAAAAA&#10;AAAAAAAAAAAAAABbQ29udGVudF9UeXBlc10ueG1sUEsBAi0AFAAGAAgAAAAhAFr0LFu/AAAAFQEA&#10;AAsAAAAAAAAAAAAAAAAAHwEAAF9yZWxzLy5yZWxzUEsBAi0AFAAGAAgAAAAhAN4tkDvHAAAA3wAA&#10;AA8AAAAAAAAAAAAAAAAABwIAAGRycy9kb3ducmV2LnhtbFBLBQYAAAAAAwADALcAAAD7AgAAAAA=&#10;" filled="f" stroked="f">
                  <v:textbox inset="0,0,0,0">
                    <w:txbxContent>
                      <w:p w14:paraId="56F176F4" w14:textId="77777777" w:rsidR="00B32EF2" w:rsidRDefault="00000000">
                        <w:r>
                          <w:rPr>
                            <w:rFonts w:ascii="Arial" w:eastAsia="Arial" w:hAnsi="Arial" w:cs="Arial"/>
                            <w:i/>
                            <w:sz w:val="18"/>
                          </w:rPr>
                          <w:t xml:space="preserve">articolo 17 D.lgs. n. </w:t>
                        </w:r>
                      </w:p>
                    </w:txbxContent>
                  </v:textbox>
                </v:rect>
                <v:rect id="Rectangle 201225" o:spid="_x0000_s4212" style="position:absolute;left:22210;top:15841;width:193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vXxwAAAN8AAAAPAAAAZHJzL2Rvd25yZXYueG1sRI9Ba8JA&#10;FITvgv9heYI33RiwSHQVUcQcvNRa6PGRfSbR7Nslu5rYX98tFHocZuYbZrXpTSOe1PrasoLZNAFB&#10;XFhdc6ng8nGYLED4gKyxsUwKXuRhsx4OVphp2/E7Pc+hFBHCPkMFVQguk9IXFRn0U+uIo3e1rcEQ&#10;ZVtK3WIX4aaRaZK8SYM1x4UKHe0qKu7nh1HwtWeXHzpZXL937nTLF83xcflUajzqt0sQgfrwH/5r&#10;51pBmszSdA6/f+IXkOsfAAAA//8DAFBLAQItABQABgAIAAAAIQDb4fbL7gAAAIUBAAATAAAAAAAA&#10;AAAAAAAAAAAAAABbQ29udGVudF9UeXBlc10ueG1sUEsBAi0AFAAGAAgAAAAhAFr0LFu/AAAAFQEA&#10;AAsAAAAAAAAAAAAAAAAAHwEAAF9yZWxzLy5yZWxzUEsBAi0AFAAGAAgAAAAhAEGzq9fHAAAA3wAA&#10;AA8AAAAAAAAAAAAAAAAABwIAAGRycy9kb3ducmV2LnhtbFBLBQYAAAAAAwADALcAAAD7AgAAAAA=&#10;" filled="f" stroked="f">
                  <v:textbox inset="0,0,0,0">
                    <w:txbxContent>
                      <w:p w14:paraId="67C0F778" w14:textId="77777777" w:rsidR="00B32EF2" w:rsidRDefault="00000000">
                        <w:r>
                          <w:rPr>
                            <w:rFonts w:ascii="Arial" w:eastAsia="Arial" w:hAnsi="Arial" w:cs="Arial"/>
                            <w:i/>
                            <w:sz w:val="18"/>
                          </w:rPr>
                          <w:t>(</w:t>
                        </w:r>
                      </w:p>
                    </w:txbxContent>
                  </v:textbox>
                </v:rect>
                <v:rect id="Rectangle 18935" o:spid="_x0000_s4213" style="position:absolute;left:511;top:14445;width:3116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0yYxQAAAN4AAAAPAAAAZHJzL2Rvd25yZXYueG1sRE9Na8JA&#10;EL0L/odlhN50o6Ulja4iipiDl1oLHofsmKTNzi7Z1cT+erdQ6G0e73MWq9404katry0rmE4SEMSF&#10;1TWXCk4fu3EKwgdkjY1lUnAnD6vlcLDATNuO3+l2DKWIIewzVFCF4DIpfVGRQT+xjjhyF9saDBG2&#10;pdQtdjHcNHKWJK/SYM2xoUJHm4qK7+PVKDhv2eW7ThaXn407fOVps7+ePpV6GvXrOYhAffgX/7lz&#10;Heenb88v8PtOvEEuHwAAAP//AwBQSwECLQAUAAYACAAAACEA2+H2y+4AAACFAQAAEwAAAAAAAAAA&#10;AAAAAAAAAAAAW0NvbnRlbnRfVHlwZXNdLnhtbFBLAQItABQABgAIAAAAIQBa9CxbvwAAABUBAAAL&#10;AAAAAAAAAAAAAAAAAB8BAABfcmVscy8ucmVsc1BLAQItABQABgAIAAAAIQC8J0yYxQAAAN4AAAAP&#10;AAAAAAAAAAAAAAAAAAcCAABkcnMvZG93bnJldi54bWxQSwUGAAAAAAMAAwC3AAAA+QIAAAAA&#10;" filled="f" stroked="f">
                  <v:textbox inset="0,0,0,0">
                    <w:txbxContent>
                      <w:p w14:paraId="40FF2AA6" w14:textId="77777777" w:rsidR="00B32EF2" w:rsidRDefault="00000000">
                        <w:r>
                          <w:rPr>
                            <w:rFonts w:ascii="Arial" w:eastAsia="Arial" w:hAnsi="Arial" w:cs="Arial"/>
                            <w:b/>
                            <w:sz w:val="18"/>
                          </w:rPr>
                          <w:t xml:space="preserve">Luogo delle comunicazioni e notificazioni </w:t>
                        </w:r>
                      </w:p>
                    </w:txbxContent>
                  </v:textbox>
                </v:rect>
                <v:rect id="Rectangle 201224" o:spid="_x0000_s4214" style="position:absolute;left:-13763;top:13211;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5MxwAAAN8AAAAPAAAAZHJzL2Rvd25yZXYueG1sRI9Ba8JA&#10;FITvgv9heYI33RikSHQVUcQcvNRa6PGRfSbR7Nslu5rYX98tFHocZuYbZrXpTSOe1PrasoLZNAFB&#10;XFhdc6ng8nGYLED4gKyxsUwKXuRhsx4OVphp2/E7Pc+hFBHCPkMFVQguk9IXFRn0U+uIo3e1rcEQ&#10;ZVtK3WIX4aaRaZK8SYM1x4UKHe0qKu7nh1HwtWeXHzpZXL937nTLF83xcflUajzqt0sQgfrwH/5r&#10;51pBmszSdA6/f+IXkOsfAAAA//8DAFBLAQItABQABgAIAAAAIQDb4fbL7gAAAIUBAAATAAAAAAAA&#10;AAAAAAAAAAAAAABbQ29udGVudF9UeXBlc10ueG1sUEsBAi0AFAAGAAgAAAAhAFr0LFu/AAAAFQEA&#10;AAsAAAAAAAAAAAAAAAAAHwEAAF9yZWxzLy5yZWxzUEsBAi0AFAAGAAgAAAAhAC7/DkzHAAAA3wAA&#10;AA8AAAAAAAAAAAAAAAAABwIAAGRycy9kb3ducmV2LnhtbFBLBQYAAAAAAwADALcAAAD7AgAAAAA=&#10;" filled="f" stroked="f">
                  <v:textbox inset="0,0,0,0">
                    <w:txbxContent>
                      <w:p w14:paraId="5160ED40" w14:textId="77777777" w:rsidR="00B32EF2" w:rsidRDefault="00000000">
                        <w:r>
                          <w:rPr>
                            <w:rFonts w:ascii="Arial" w:eastAsia="Arial" w:hAnsi="Arial" w:cs="Arial"/>
                            <w:sz w:val="18"/>
                          </w:rPr>
                          <w:t xml:space="preserve">. Le comunicazioni e le notificazioni sono fatte, salva la consegna in mani </w:t>
                        </w:r>
                      </w:p>
                    </w:txbxContent>
                  </v:textbox>
                </v:rect>
                <v:rect id="Rectangle 201223" o:spid="_x0000_s4215" style="position:absolute;left:26109;top:132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pY4xwAAAN8AAAAPAAAAZHJzL2Rvd25yZXYueG1sRI9Ba8JA&#10;FITvgv9heYI33RihSHQVUcQcvNRa6PGRfSbR7Nslu5rYX98tFHocZuYbZrXpTSOe1PrasoLZNAFB&#10;XFhdc6ng8nGYLED4gKyxsUwKXuRhsx4OVphp2/E7Pc+hFBHCPkMFVQguk9IXFRn0U+uIo3e1rcEQ&#10;ZVtK3WIX4aaRaZK8SYM1x4UKHe0qKu7nh1HwtWeXHzpZXL937nTLF83xcflUajzqt0sQgfrwH/5r&#10;51pBmszSdA6/f+IXkOsfAAAA//8DAFBLAQItABQABgAIAAAAIQDb4fbL7gAAAIUBAAATAAAAAAAA&#10;AAAAAAAAAAAAAABbQ29udGVudF9UeXBlc10ueG1sUEsBAi0AFAAGAAgAAAAhAFr0LFu/AAAAFQEA&#10;AAsAAAAAAAAAAAAAAAAAHwEAAF9yZWxzLy5yZWxzUEsBAi0AFAAGAAgAAAAhAKEWljjHAAAA3wAA&#10;AA8AAAAAAAAAAAAAAAAABwIAAGRycy9kb3ducmV2LnhtbFBLBQYAAAAAAwADALcAAAD7AgAAAAA=&#10;" filled="f" stroked="f">
                  <v:textbox inset="0,0,0,0">
                    <w:txbxContent>
                      <w:p w14:paraId="108309D6" w14:textId="77777777" w:rsidR="00B32EF2" w:rsidRDefault="00000000">
                        <w:r>
                          <w:rPr>
                            <w:rFonts w:ascii="Arial" w:eastAsia="Arial" w:hAnsi="Arial" w:cs="Arial"/>
                            <w:sz w:val="18"/>
                          </w:rPr>
                          <w:t>1</w:t>
                        </w:r>
                      </w:p>
                    </w:txbxContent>
                  </v:textbox>
                </v:rect>
                <v:rect id="Rectangle 18937" o:spid="_x0000_s4216" style="position:absolute;left:-12205;top:11978;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Xd0xQAAAN4AAAAPAAAAZHJzL2Rvd25yZXYueG1sRE9Na8JA&#10;EL0L/odlhN50o4U2ja4iipiDl1oLHofsmKTNzi7Z1cT+erdQ6G0e73MWq9404katry0rmE4SEMSF&#10;1TWXCk4fu3EKwgdkjY1lUnAnD6vlcLDATNuO3+l2DKWIIewzVFCF4DIpfVGRQT+xjjhyF9saDBG2&#10;pdQtdjHcNHKWJC/SYM2xoUJHm4qK7+PVKDhv2eW7ThaXn407fOVps7+ePpV6GvXrOYhAffgX/7lz&#10;Heenb8+v8PtOvEEuHwAAAP//AwBQSwECLQAUAAYACAAAACEA2+H2y+4AAACFAQAAEwAAAAAAAAAA&#10;AAAAAAAAAAAAW0NvbnRlbnRfVHlwZXNdLnhtbFBLAQItABQABgAIAAAAIQBa9CxbvwAAABUBAAAL&#10;AAAAAAAAAAAAAAAAAB8BAABfcmVscy8ucmVsc1BLAQItABQABgAIAAAAIQAjuXd0xQAAAN4AAAAP&#10;AAAAAAAAAAAAAAAAAAcCAABkcnMvZG93bnJldi54bWxQSwUGAAAAAAMAAwC3AAAA+QIAAAAA&#10;" filled="f" stroked="f">
                  <v:textbox inset="0,0,0,0">
                    <w:txbxContent>
                      <w:p w14:paraId="0E653241" w14:textId="77777777" w:rsidR="00B32EF2" w:rsidRDefault="00000000">
                        <w:r>
                          <w:rPr>
                            <w:rFonts w:ascii="Arial" w:eastAsia="Arial" w:hAnsi="Arial" w:cs="Arial"/>
                            <w:sz w:val="18"/>
                          </w:rPr>
                          <w:t>proprie, nel domicilio eletto o, in mancanza, nella residenza o nella sede di</w:t>
                        </w:r>
                      </w:p>
                    </w:txbxContent>
                  </v:textbox>
                </v:rect>
                <v:rect id="Rectangle 18938" o:spid="_x0000_s4217" style="position:absolute;left:191;top:11978;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uMGyAAAAN4AAAAPAAAAZHJzL2Rvd25yZXYueG1sRI9Pa8Mw&#10;DMXvg30Ho8Fuq7MNRprVLaOjLIdd+mewo4jVJFssm9ht0n766lDoTeI9vffTbDG6Th2pj61nA8+T&#10;DBRx5W3LtYHddvWUg4oJ2WLnmQycKMJifn83w8L6gdd03KRaSQjHAg00KYVC61g15DBOfCAWbe97&#10;h0nWvta2x0HCXadfsuxNO2xZGhoMtGyo+t8cnIHfTw7latDV/rwM339l3n0ddj/GPD6MH++gEo3p&#10;Zr5el1bw8+mr8Mo7MoOeXwAAAP//AwBQSwECLQAUAAYACAAAACEA2+H2y+4AAACFAQAAEwAAAAAA&#10;AAAAAAAAAAAAAAAAW0NvbnRlbnRfVHlwZXNdLnhtbFBLAQItABQABgAIAAAAIQBa9CxbvwAAABUB&#10;AAALAAAAAAAAAAAAAAAAAB8BAABfcmVscy8ucmVsc1BLAQItABQABgAIAAAAIQBSJuMGyAAAAN4A&#10;AAAPAAAAAAAAAAAAAAAAAAcCAABkcnMvZG93bnJldi54bWxQSwUGAAAAAAMAAwC3AAAA/AIAAAAA&#10;" filled="f" stroked="f">
                  <v:textbox inset="0,0,0,0">
                    <w:txbxContent>
                      <w:p w14:paraId="1BEDA9E7" w14:textId="77777777" w:rsidR="00B32EF2" w:rsidRDefault="00000000">
                        <w:r>
                          <w:rPr>
                            <w:rFonts w:ascii="Arial" w:eastAsia="Arial" w:hAnsi="Arial" w:cs="Arial"/>
                            <w:sz w:val="18"/>
                          </w:rPr>
                          <w:t>-</w:t>
                        </w:r>
                      </w:p>
                    </w:txbxContent>
                  </v:textbox>
                </v:rect>
                <v:rect id="Rectangle 18939" o:spid="_x0000_s4218" style="position:absolute;left:-13171;top:10745;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kadxQAAAN4AAAAPAAAAZHJzL2Rvd25yZXYueG1sRE9La8JA&#10;EL4X+h+WEbzVjQoSU1cpFjEHLz4KPQ7ZMUmbnV2yq4n+erdQ8DYf33MWq9404kqtry0rGI8SEMSF&#10;1TWXCk7HzVsKwgdkjY1lUnAjD6vl68sCM2073tP1EEoRQ9hnqKAKwWVS+qIig35kHXHkzrY1GCJs&#10;S6lb7GK4aeQkSWbSYM2xoUJH64qK38PFKPj+ZJdvOlmc72u3+8nTZns5fSk1HPQf7yAC9eEp/nfn&#10;Os5P59M5/L0Tb5DLBwAAAP//AwBQSwECLQAUAAYACAAAACEA2+H2y+4AAACFAQAAEwAAAAAAAAAA&#10;AAAAAAAAAAAAW0NvbnRlbnRfVHlwZXNdLnhtbFBLAQItABQABgAIAAAAIQBa9CxbvwAAABUBAAAL&#10;AAAAAAAAAAAAAAAAAB8BAABfcmVscy8ucmVsc1BLAQItABQABgAIAAAAIQA9akadxQAAAN4AAAAP&#10;AAAAAAAAAAAAAAAAAAcCAABkcnMvZG93bnJldi54bWxQSwUGAAAAAAMAAwC3AAAA+QIAAAAA&#10;" filled="f" stroked="f">
                  <v:textbox inset="0,0,0,0">
                    <w:txbxContent>
                      <w:p w14:paraId="0073DB89" w14:textId="77777777" w:rsidR="00B32EF2" w:rsidRDefault="00000000">
                        <w:r>
                          <w:rPr>
                            <w:rFonts w:ascii="Arial" w:eastAsia="Arial" w:hAnsi="Arial" w:cs="Arial"/>
                            <w:sz w:val="18"/>
                          </w:rPr>
                          <w:t xml:space="preserve">chiarata dalla parte all’atto della sua costituzione in giudizio. Le variazioni del </w:t>
                        </w:r>
                      </w:p>
                    </w:txbxContent>
                  </v:textbox>
                </v:rect>
                <v:rect id="Rectangle 18940" o:spid="_x0000_s4219" style="position:absolute;left:-12192;top:9511;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px9yAAAAN4AAAAPAAAAZHJzL2Rvd25yZXYueG1sRI9Pa8Mw&#10;DMXvg30Ho8Fuq7MxRprVLaOjLIdd+mewo4jVJFssm9ht0n766lDoTUJP773fbDG6Th2pj61nA8+T&#10;DBRx5W3LtYHddvWUg4oJ2WLnmQycKMJifn83w8L6gdd03KRaiQnHAg00KYVC61g15DBOfCCW2973&#10;DpOsfa1tj4OYu06/ZNmbdtiyJDQYaNlQ9b85OAO/nxzK1aCr/XkZvv/KvPs67H6MeXwYP95BJRrT&#10;TXz9Lq3Uz6evAiA4MoOeXwAAAP//AwBQSwECLQAUAAYACAAAACEA2+H2y+4AAACFAQAAEwAAAAAA&#10;AAAAAAAAAAAAAAAAW0NvbnRlbnRfVHlwZXNdLnhtbFBLAQItABQABgAIAAAAIQBa9CxbvwAAABUB&#10;AAALAAAAAAAAAAAAAAAAAB8BAABfcmVscy8ucmVsc1BLAQItABQABgAIAAAAIQD0Vpx9yAAAAN4A&#10;AAAPAAAAAAAAAAAAAAAAAAcCAABkcnMvZG93bnJldi54bWxQSwUGAAAAAAMAAwC3AAAA/AIAAAAA&#10;" filled="f" stroked="f">
                  <v:textbox inset="0,0,0,0">
                    <w:txbxContent>
                      <w:p w14:paraId="2A5A898C" w14:textId="77777777" w:rsidR="00B32EF2" w:rsidRDefault="00000000">
                        <w:r>
                          <w:rPr>
                            <w:rFonts w:ascii="Arial" w:eastAsia="Arial" w:hAnsi="Arial" w:cs="Arial"/>
                            <w:sz w:val="18"/>
                          </w:rPr>
                          <w:t>domicilio o della residenza o della sede hanno effetto dal decimo giorno suc</w:t>
                        </w:r>
                      </w:p>
                    </w:txbxContent>
                  </v:textbox>
                </v:rect>
                <v:rect id="Rectangle 18941" o:spid="_x0000_s4220" style="position:absolute;left:191;top:9511;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nmxAAAAN4AAAAPAAAAZHJzL2Rvd25yZXYueG1sRE9Na8JA&#10;EL0X/A/LCN7qRiklja4iijQHL7UKHofsmESzs0t2NdFf3y0UepvH+5z5sjeNuFPra8sKJuMEBHFh&#10;dc2lgsP39jUF4QOyxsYyKXiQh+Vi8DLHTNuOv+i+D6WIIewzVFCF4DIpfVGRQT+2jjhyZ9saDBG2&#10;pdQtdjHcNHKaJO/SYM2xoUJH64qK6/5mFJw27PJtJ4vzc+12lzxtPm+Ho1KjYb+agQjUh3/xnzvX&#10;cX768TaB33fiDXLxAwAA//8DAFBLAQItABQABgAIAAAAIQDb4fbL7gAAAIUBAAATAAAAAAAAAAAA&#10;AAAAAAAAAABbQ29udGVudF9UeXBlc10ueG1sUEsBAi0AFAAGAAgAAAAhAFr0LFu/AAAAFQEAAAsA&#10;AAAAAAAAAAAAAAAAHwEAAF9yZWxzLy5yZWxzUEsBAi0AFAAGAAgAAAAhAJsaOebEAAAA3gAAAA8A&#10;AAAAAAAAAAAAAAAABwIAAGRycy9kb3ducmV2LnhtbFBLBQYAAAAAAwADALcAAAD4AgAAAAA=&#10;" filled="f" stroked="f">
                  <v:textbox inset="0,0,0,0">
                    <w:txbxContent>
                      <w:p w14:paraId="4B3578EC" w14:textId="77777777" w:rsidR="00B32EF2" w:rsidRDefault="00000000">
                        <w:r>
                          <w:rPr>
                            <w:rFonts w:ascii="Arial" w:eastAsia="Arial" w:hAnsi="Arial" w:cs="Arial"/>
                            <w:sz w:val="18"/>
                          </w:rPr>
                          <w:t>-</w:t>
                        </w:r>
                      </w:p>
                    </w:txbxContent>
                  </v:textbox>
                </v:rect>
                <v:rect id="Rectangle 18942" o:spid="_x0000_s4221" style="position:absolute;left:-13171;top:8278;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KeRxQAAAN4AAAAPAAAAZHJzL2Rvd25yZXYueG1sRE9La8JA&#10;EL4X/A/LCN7qRiklRlcRRZpDL/UBHofsmESzs0t2NbG/vlso9DYf33MWq9404kGtry0rmIwTEMSF&#10;1TWXCo6H3WsKwgdkjY1lUvAkD6vl4GWBmbYdf9FjH0oRQ9hnqKAKwWVS+qIig35sHXHkLrY1GCJs&#10;S6lb7GK4aeQ0Sd6lwZpjQ4WONhUVt/3dKDhv2eW7ThaX7437vOZp83E/npQaDfv1HESgPvyL/9y5&#10;jvPT2dsUft+JN8jlDwAAAP//AwBQSwECLQAUAAYACAAAACEA2+H2y+4AAACFAQAAEwAAAAAAAAAA&#10;AAAAAAAAAAAAW0NvbnRlbnRfVHlwZXNdLnhtbFBLAQItABQABgAIAAAAIQBa9CxbvwAAABUBAAAL&#10;AAAAAAAAAAAAAAAAAB8BAABfcmVscy8ucmVsc1BLAQItABQABgAIAAAAIQBryKeRxQAAAN4AAAAP&#10;AAAAAAAAAAAAAAAAAAcCAABkcnMvZG93bnJldi54bWxQSwUGAAAAAAMAAwC3AAAA+QIAAAAA&#10;" filled="f" stroked="f">
                  <v:textbox inset="0,0,0,0">
                    <w:txbxContent>
                      <w:p w14:paraId="345DF550" w14:textId="77777777" w:rsidR="00B32EF2" w:rsidRDefault="00000000">
                        <w:r>
                          <w:rPr>
                            <w:rFonts w:ascii="Arial" w:eastAsia="Arial" w:hAnsi="Arial" w:cs="Arial"/>
                            <w:sz w:val="18"/>
                          </w:rPr>
                          <w:t xml:space="preserve">cessivo a quello in cui sia stata notificata alla segreteria della corte di giustizia </w:t>
                        </w:r>
                      </w:p>
                    </w:txbxContent>
                  </v:textbox>
                </v:rect>
                <v:rect id="Rectangle 18943" o:spid="_x0000_s4222" style="position:absolute;left:2017;top:7045;width:379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AIKxQAAAN4AAAAPAAAAZHJzL2Rvd25yZXYueG1sRE9Na8JA&#10;EL0L/odlhN50oy0lja4iipiDl1oLHofsmKTNzi7Z1cT+erdQ6G0e73MWq9404katry0rmE4SEMSF&#10;1TWXCk4fu3EKwgdkjY1lUnAnD6vlcLDATNuO3+l2DKWIIewzVFCF4DIpfVGRQT+xjjhyF9saDBG2&#10;pdQtdjHcNHKWJK/SYM2xoUJHm4qK7+PVKDhv2eW7ThaXn407fOVps7+ePpV6GvXrOYhAffgX/7lz&#10;Heenby/P8PtOvEEuHwAAAP//AwBQSwECLQAUAAYACAAAACEA2+H2y+4AAACFAQAAEwAAAAAAAAAA&#10;AAAAAAAAAAAAW0NvbnRlbnRfVHlwZXNdLnhtbFBLAQItABQABgAIAAAAIQBa9CxbvwAAABUBAAAL&#10;AAAAAAAAAAAAAAAAAB8BAABfcmVscy8ucmVsc1BLAQItABQABgAIAAAAIQAEhAIKxQAAAN4AAAAP&#10;AAAAAAAAAAAAAAAAAAcCAABkcnMvZG93bnJldi54bWxQSwUGAAAAAAMAAwC3AAAA+QIAAAAA&#10;" filled="f" stroked="f">
                  <v:textbox inset="0,0,0,0">
                    <w:txbxContent>
                      <w:p w14:paraId="6A184528" w14:textId="77777777" w:rsidR="00B32EF2" w:rsidRDefault="00000000">
                        <w:r>
                          <w:rPr>
                            <w:rFonts w:ascii="Arial" w:eastAsia="Arial" w:hAnsi="Arial" w:cs="Arial"/>
                            <w:sz w:val="18"/>
                          </w:rPr>
                          <w:t>tributaria e alle parti costituite la denuncia di variazione.</w:t>
                        </w:r>
                      </w:p>
                    </w:txbxContent>
                  </v:textbox>
                </v:rect>
                <v:rect id="Rectangle 201221" o:spid="_x0000_s4223" style="position:absolute;left:26109;top:581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3UxwAAAN8AAAAPAAAAZHJzL2Rvd25yZXYueG1sRI9Pi8Iw&#10;FMTvC36H8ARva9oeRKpRRBF78LL+AY+P5tl2t3kJTbTd/fSbhQWPw8z8hlmuB9OKJ3W+sawgnSYg&#10;iEurG64UXM779zkIH5A1tpZJwTd5WK9Gb0vMte35g56nUIkIYZ+jgjoEl0vpy5oM+ql1xNG7285g&#10;iLKrpO6wj3DTyixJZtJgw3GhRkfbmsqv08MouO3YFftelvefrTt+FvP28LhclZqMh80CRKAhvML/&#10;7UIryJI0y1L4+xO/gFz9AgAA//8DAFBLAQItABQABgAIAAAAIQDb4fbL7gAAAIUBAAATAAAAAAAA&#10;AAAAAAAAAAAAAABbQ29udGVudF9UeXBlc10ueG1sUEsBAi0AFAAGAAgAAAAhAFr0LFu/AAAAFQEA&#10;AAsAAAAAAAAAAAAAAAAAHwEAAF9yZWxzLy5yZWxzUEsBAi0AFAAGAAgAAAAhAD6IrdTHAAAA3wAA&#10;AA8AAAAAAAAAAAAAAAAABwIAAGRycy9kb3ducmV2LnhtbFBLBQYAAAAAAwADALcAAAD7AgAAAAA=&#10;" filled="f" stroked="f">
                  <v:textbox inset="0,0,0,0">
                    <w:txbxContent>
                      <w:p w14:paraId="72C013A0" w14:textId="77777777" w:rsidR="00B32EF2" w:rsidRDefault="00000000">
                        <w:r>
                          <w:rPr>
                            <w:rFonts w:ascii="Arial" w:eastAsia="Arial" w:hAnsi="Arial" w:cs="Arial"/>
                            <w:sz w:val="18"/>
                          </w:rPr>
                          <w:t>2</w:t>
                        </w:r>
                      </w:p>
                    </w:txbxContent>
                  </v:textbox>
                </v:rect>
                <v:rect id="Rectangle 201222" o:spid="_x0000_s4224" style="position:absolute;left:-13818;top:581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jOjxwAAAN8AAAAPAAAAZHJzL2Rvd25yZXYueG1sRI9BawIx&#10;FITvgv8hPKE3zZpDka1RikW6h160Cj0+Ns/d1c1L2ER39debQqHHYWa+YZbrwbbiRl1oHGuYzzIQ&#10;xKUzDVcaDt/b6QJEiMgGW8ek4U4B1qvxaIm5cT3v6LaPlUgQDjlqqGP0uZShrMlimDlPnLyT6yzG&#10;JLtKmg77BLetVFn2Ki02nBZq9LSpqbzsr1bDzwf7YtvL8vTY+K9zsWg/r4ej1i+T4f0NRKQh/of/&#10;2oXRoLK5Ugp+/6QvIFdPAAAA//8DAFBLAQItABQABgAIAAAAIQDb4fbL7gAAAIUBAAATAAAAAAAA&#10;AAAAAAAAAAAAAABbQ29udGVudF9UeXBlc10ueG1sUEsBAi0AFAAGAAgAAAAhAFr0LFu/AAAAFQEA&#10;AAsAAAAAAAAAAAAAAAAAHwEAAF9yZWxzLy5yZWxzUEsBAi0AFAAGAAgAAAAhAM5aM6PHAAAA3wAA&#10;AA8AAAAAAAAAAAAAAAAABwIAAGRycy9kb3ducmV2LnhtbFBLBQYAAAAAAwADALcAAAD7AgAAAAA=&#10;" filled="f" stroked="f">
                  <v:textbox inset="0,0,0,0">
                    <w:txbxContent>
                      <w:p w14:paraId="07327402" w14:textId="77777777" w:rsidR="00B32EF2" w:rsidRDefault="00000000">
                        <w:r>
                          <w:rPr>
                            <w:rFonts w:ascii="Arial" w:eastAsia="Arial" w:hAnsi="Arial" w:cs="Arial"/>
                            <w:sz w:val="18"/>
                          </w:rPr>
                          <w:t xml:space="preserve">. L’indicazione della residenza o della sede e l’elezione del domicilio hanno </w:t>
                        </w:r>
                      </w:p>
                    </w:txbxContent>
                  </v:textbox>
                </v:rect>
                <v:rect id="Rectangle 18945" o:spid="_x0000_s4225" style="position:absolute;left:6222;top:4578;width:336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T/lxQAAAN4AAAAPAAAAZHJzL2Rvd25yZXYueG1sRE9Na8JA&#10;EL0L/odlhN50o7Qlja4iipiDl1oLHofsmKTNzi7Z1cT+erdQ6G0e73MWq9404katry0rmE4SEMSF&#10;1TWXCk4fu3EKwgdkjY1lUnAnD6vlcLDATNuO3+l2DKWIIewzVFCF4DIpfVGRQT+xjjhyF9saDBG2&#10;pdQtdjHcNHKWJK/SYM2xoUJHm4qK7+PVKDhv2eW7ThaXn407fOVps7+ePpV6GvXrOYhAffgX/7lz&#10;Heenb88v8PtOvEEuHwAAAP//AwBQSwECLQAUAAYACAAAACEA2+H2y+4AAACFAQAAEwAAAAAAAAAA&#10;AAAAAAAAAAAAW0NvbnRlbnRfVHlwZXNdLnhtbFBLAQItABQABgAIAAAAIQBa9CxbvwAAABUBAAAL&#10;AAAAAAAAAAAAAAAAAB8BAABfcmVscy8ucmVsc1BLAQItABQABgAIAAAAIQDkIT/lxQAAAN4AAAAP&#10;AAAAAAAAAAAAAAAAAAcCAABkcnMvZG93bnJldi54bWxQSwUGAAAAAAMAAwC3AAAA+QIAAAAA&#10;" filled="f" stroked="f">
                  <v:textbox inset="0,0,0,0">
                    <w:txbxContent>
                      <w:p w14:paraId="5172F504" w14:textId="77777777" w:rsidR="00B32EF2" w:rsidRDefault="00000000">
                        <w:r>
                          <w:rPr>
                            <w:rFonts w:ascii="Arial" w:eastAsia="Arial" w:hAnsi="Arial" w:cs="Arial"/>
                            <w:sz w:val="18"/>
                          </w:rPr>
                          <w:t xml:space="preserve">effetto anche per i successivi gradi del processo. </w:t>
                        </w:r>
                      </w:p>
                    </w:txbxContent>
                  </v:textbox>
                </v:rect>
                <v:rect id="Rectangle 201219" o:spid="_x0000_s4226" style="position:absolute;left:-13817;top:334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mtvyAAAAN8AAAAPAAAAZHJzL2Rvd25yZXYueG1sRI9Ba8JA&#10;FITvBf/D8oTe6iY5FBvdBFHEHHqptdDjI/tMotm3S3Y1aX99t1DocZiZb5h1OZle3GnwnWUF6SIB&#10;QVxb3XGj4PS+f1qC8AFZY2+ZFHyRh7KYPawx13bkN7ofQyMihH2OCtoQXC6lr1sy6BfWEUfvbAeD&#10;IcqhkXrAMcJNL7MkeZYGO44LLTratlRfjzej4HPHrtqPsj5/b93rpVr2h9vpQ6nH+bRZgQg0hf/w&#10;X7vSCrIkzdIX+P0Tv4AsfgAAAP//AwBQSwECLQAUAAYACAAAACEA2+H2y+4AAACFAQAAEwAAAAAA&#10;AAAAAAAAAAAAAAAAW0NvbnRlbnRfVHlwZXNdLnhtbFBLAQItABQABgAIAAAAIQBa9CxbvwAAABUB&#10;AAALAAAAAAAAAAAAAAAAAB8BAABfcmVscy8ucmVsc1BLAQItABQABgAIAAAAIQAOkmtvyAAAAN8A&#10;AAAPAAAAAAAAAAAAAAAAAAcCAABkcnMvZG93bnJldi54bWxQSwUGAAAAAAMAAwC3AAAA/AIAAAAA&#10;" filled="f" stroked="f">
                  <v:textbox inset="0,0,0,0">
                    <w:txbxContent>
                      <w:p w14:paraId="0BCE4BCF" w14:textId="77777777" w:rsidR="00B32EF2" w:rsidRDefault="00000000">
                        <w:r>
                          <w:rPr>
                            <w:rFonts w:ascii="Arial" w:eastAsia="Arial" w:hAnsi="Arial" w:cs="Arial"/>
                            <w:sz w:val="18"/>
                          </w:rPr>
                          <w:t xml:space="preserve">. Se mancano l’elezione di domicilio o la dichiarazione della residenza o della </w:t>
                        </w:r>
                      </w:p>
                    </w:txbxContent>
                  </v:textbox>
                </v:rect>
                <v:rect id="Rectangle 201218" o:spid="_x0000_s4227" style="position:absolute;left:26109;top:334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s70wwAAAN8AAAAPAAAAZHJzL2Rvd25yZXYueG1sRE9Ni8Iw&#10;EL0v+B/CCN7WtD2IVKOIIvbgZV0Fj0MzttVmEppo6/76zWFhj4/3vVwPphUv6nxjWUE6TUAQl1Y3&#10;XCk4f+8/5yB8QNbYWiYFb/KwXo0+lphr2/MXvU6hEjGEfY4K6hBcLqUvazLop9YRR+5mO4Mhwq6S&#10;usM+hptWZkkykwYbjg01OtrWVD5OT6PgumNX7HtZ3n627ngv5u3heb4oNRkPmwWIQEP4F/+5C60g&#10;S9IsjYPjn/gF5OoXAAD//wMAUEsBAi0AFAAGAAgAAAAhANvh9svuAAAAhQEAABMAAAAAAAAAAAAA&#10;AAAAAAAAAFtDb250ZW50X1R5cGVzXS54bWxQSwECLQAUAAYACAAAACEAWvQsW78AAAAVAQAACwAA&#10;AAAAAAAAAAAAAAAfAQAAX3JlbHMvLnJlbHNQSwECLQAUAAYACAAAACEAYd7O9MMAAADfAAAADwAA&#10;AAAAAAAAAAAAAAAHAgAAZHJzL2Rvd25yZXYueG1sUEsFBgAAAAADAAMAtwAAAPcCAAAAAA==&#10;" filled="f" stroked="f">
                  <v:textbox inset="0,0,0,0">
                    <w:txbxContent>
                      <w:p w14:paraId="7F265437" w14:textId="77777777" w:rsidR="00B32EF2" w:rsidRDefault="00000000">
                        <w:r>
                          <w:rPr>
                            <w:rFonts w:ascii="Arial" w:eastAsia="Arial" w:hAnsi="Arial" w:cs="Arial"/>
                            <w:sz w:val="18"/>
                          </w:rPr>
                          <w:t>3</w:t>
                        </w:r>
                      </w:p>
                    </w:txbxContent>
                  </v:textbox>
                </v:rect>
                <v:rect id="Rectangle 18947" o:spid="_x0000_s4228" style="position:absolute;left:-12209;top:2112;width:5212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QJxQAAAN4AAAAPAAAAZHJzL2Rvd25yZXYueG1sRE9Na8JA&#10;EL0L/odlhN50o5Q2ja4iipiDl1oLHofsmKTNzi7Z1cT+erdQ6G0e73MWq9404katry0rmE4SEMSF&#10;1TWXCk4fu3EKwgdkjY1lUnAnD6vlcLDATNuO3+l2DKWIIewzVFCF4DIpfVGRQT+xjjhyF9saDBG2&#10;pdQtdjHcNHKWJC/SYM2xoUJHm4qK7+PVKDhv2eW7ThaXn407fOVps7+ePpV6GvXrOYhAffgX/7lz&#10;Heenb8+v8PtOvEEuHwAAAP//AwBQSwECLQAUAAYACAAAACEA2+H2y+4AAACFAQAAEwAAAAAAAAAA&#10;AAAAAAAAAAAAW0NvbnRlbnRfVHlwZXNdLnhtbFBLAQItABQABgAIAAAAIQBa9CxbvwAAABUBAAAL&#10;AAAAAAAAAAAAAAAAAB8BAABfcmVscy8ucmVsc1BLAQItABQABgAIAAAAIQB7vwQJxQAAAN4AAAAP&#10;AAAAAAAAAAAAAAAAAAcCAABkcnMvZG93bnJldi54bWxQSwUGAAAAAAMAAwC3AAAA+QIAAAAA&#10;" filled="f" stroked="f">
                  <v:textbox inset="0,0,0,0">
                    <w:txbxContent>
                      <w:p w14:paraId="63B71271" w14:textId="77777777" w:rsidR="00B32EF2" w:rsidRDefault="00000000">
                        <w:r>
                          <w:rPr>
                            <w:rFonts w:ascii="Arial" w:eastAsia="Arial" w:hAnsi="Arial" w:cs="Arial"/>
                            <w:sz w:val="18"/>
                          </w:rPr>
                          <w:t>sede nel territorio dello Stato o se per la loro assoluta incertezza la notifica</w:t>
                        </w:r>
                      </w:p>
                    </w:txbxContent>
                  </v:textbox>
                </v:rect>
                <v:rect id="Rectangle 18948" o:spid="_x0000_s4229" style="position:absolute;left:191;top:2112;width:5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JB7yAAAAN4AAAAPAAAAZHJzL2Rvd25yZXYueG1sRI9Pa8Mw&#10;DMXvg30Ho8Fuq7MxRprVLaOjLIdd+mewo4jVJFssm9ht0n766lDoTeI9vffTbDG6Th2pj61nA8+T&#10;DBRx5W3LtYHddvWUg4oJ2WLnmQycKMJifn83w8L6gdd03KRaSQjHAg00KYVC61g15DBOfCAWbe97&#10;h0nWvta2x0HCXadfsuxNO2xZGhoMtGyo+t8cnIHfTw7latDV/rwM339l3n0ddj/GPD6MH++gEo3p&#10;Zr5el1bw8+mr8Mo7MoOeXwAAAP//AwBQSwECLQAUAAYACAAAACEA2+H2y+4AAACFAQAAEwAAAAAA&#10;AAAAAAAAAAAAAAAAW0NvbnRlbnRfVHlwZXNdLnhtbFBLAQItABQABgAIAAAAIQBa9CxbvwAAABUB&#10;AAALAAAAAAAAAAAAAAAAAB8BAABfcmVscy8ucmVsc1BLAQItABQABgAIAAAAIQAKIJB7yAAAAN4A&#10;AAAPAAAAAAAAAAAAAAAAAAcCAABkcnMvZG93bnJldi54bWxQSwUGAAAAAAMAAwC3AAAA/AIAAAAA&#10;" filled="f" stroked="f">
                  <v:textbox inset="0,0,0,0">
                    <w:txbxContent>
                      <w:p w14:paraId="4310B6FB" w14:textId="77777777" w:rsidR="00B32EF2" w:rsidRDefault="00000000">
                        <w:r>
                          <w:rPr>
                            <w:rFonts w:ascii="Arial" w:eastAsia="Arial" w:hAnsi="Arial" w:cs="Arial"/>
                            <w:sz w:val="18"/>
                          </w:rPr>
                          <w:t>-</w:t>
                        </w:r>
                      </w:p>
                    </w:txbxContent>
                  </v:textbox>
                </v:rect>
                <v:rect id="Rectangle 18949" o:spid="_x0000_s4230" style="position:absolute;left:-13172;top:8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DXgxQAAAN4AAAAPAAAAZHJzL2Rvd25yZXYueG1sRE9La8JA&#10;EL4X+h+WEbzVjSISU1cpFjEHLz4KPQ7ZMUmbnV2yq4n+erdQ8DYf33MWq9404kqtry0rGI8SEMSF&#10;1TWXCk7HzVsKwgdkjY1lUnAjD6vl68sCM2073tP1EEoRQ9hnqKAKwWVS+qIig35kHXHkzrY1GCJs&#10;S6lb7GK4aeQkSWbSYM2xoUJH64qK38PFKPj+ZJdvOlmc72u3+8nTZns5fSk1HPQf7yAC9eEp/nfn&#10;Os5P59M5/L0Tb5DLBwAAAP//AwBQSwECLQAUAAYACAAAACEA2+H2y+4AAACFAQAAEwAAAAAAAAAA&#10;AAAAAAAAAAAAW0NvbnRlbnRfVHlwZXNdLnhtbFBLAQItABQABgAIAAAAIQBa9CxbvwAAABUBAAAL&#10;AAAAAAAAAAAAAAAAAB8BAABfcmVscy8ucmVsc1BLAQItABQABgAIAAAAIQBlbDXgxQAAAN4AAAAP&#10;AAAAAAAAAAAAAAAAAAcCAABkcnMvZG93bnJldi54bWxQSwUGAAAAAAMAAwC3AAAA+QIAAAAA&#10;" filled="f" stroked="f">
                  <v:textbox inset="0,0,0,0">
                    <w:txbxContent>
                      <w:p w14:paraId="43199DD9" w14:textId="77777777" w:rsidR="00B32EF2" w:rsidRDefault="00000000">
                        <w:r>
                          <w:rPr>
                            <w:rFonts w:ascii="Arial" w:eastAsia="Arial" w:hAnsi="Arial" w:cs="Arial"/>
                            <w:sz w:val="18"/>
                          </w:rPr>
                          <w:t xml:space="preserve">zione o la comunicazione degli atti non è possibile, questi sono comunicati o </w:t>
                        </w:r>
                      </w:p>
                    </w:txbxContent>
                  </v:textbox>
                </v:rect>
                <v:rect id="Rectangle 18950" o:spid="_x0000_s4231" style="position:absolute;left:-1805;top:-354;width:4172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wqgyAAAAN4AAAAPAAAAZHJzL2Rvd25yZXYueG1sRI9Pa8Mw&#10;DMXvg30Ho8Fuq7PBRprVLaOjLIdd+mewo4jVJFssm9ht0n766lDoTUJP773fbDG6Th2pj61nA8+T&#10;DBRx5W3LtYHddvWUg4oJ2WLnmQycKMJifn83w8L6gdd03KRaiQnHAg00KYVC61g15DBOfCCW2973&#10;DpOsfa1tj4OYu06/ZNmbdtiyJDQYaNlQ9b85OAO/nxzK1aCr/XkZvv/KvPs67H6MeXwYP95BJRrT&#10;TXz9Lq3Uz6evAiA4MoOeXwAAAP//AwBQSwECLQAUAAYACAAAACEA2+H2y+4AAACFAQAAEwAAAAAA&#10;AAAAAAAAAAAAAAAAW0NvbnRlbnRfVHlwZXNdLnhtbFBLAQItABQABgAIAAAAIQBa9CxbvwAAABUB&#10;AAALAAAAAAAAAAAAAAAAAB8BAABfcmVscy8ucmVsc1BLAQItABQABgAIAAAAIQBxjwqgyAAAAN4A&#10;AAAPAAAAAAAAAAAAAAAAAAcCAABkcnMvZG93bnJldi54bWxQSwUGAAAAAAMAAwC3AAAA/AIAAAAA&#10;" filled="f" stroked="f">
                  <v:textbox inset="0,0,0,0">
                    <w:txbxContent>
                      <w:p w14:paraId="73F6A7FF" w14:textId="77777777" w:rsidR="00B32EF2" w:rsidRDefault="00000000">
                        <w:r>
                          <w:rPr>
                            <w:rFonts w:ascii="Arial" w:eastAsia="Arial" w:hAnsi="Arial" w:cs="Arial"/>
                            <w:sz w:val="18"/>
                          </w:rPr>
                          <w:t>notificati presso la segreteria della corte di giustizia tributaria.</w:t>
                        </w:r>
                      </w:p>
                    </w:txbxContent>
                  </v:textbox>
                </v:rect>
                <w10:anchorlock/>
              </v:group>
            </w:pict>
          </mc:Fallback>
        </mc:AlternateContent>
      </w:r>
    </w:p>
    <w:p w14:paraId="29B00325" w14:textId="77777777" w:rsidR="00B32EF2" w:rsidRDefault="00000000">
      <w:pPr>
        <w:spacing w:after="0"/>
        <w:ind w:left="-356" w:right="-306"/>
      </w:pPr>
      <w:r>
        <w:rPr>
          <w:noProof/>
        </w:rPr>
        <w:lastRenderedPageBreak/>
        <mc:AlternateContent>
          <mc:Choice Requires="wpg">
            <w:drawing>
              <wp:inline distT="0" distB="0" distL="0" distR="0" wp14:anchorId="3D33618A" wp14:editId="7731CC63">
                <wp:extent cx="3991870" cy="6256497"/>
                <wp:effectExtent l="0" t="0" r="0" b="0"/>
                <wp:docPr id="201391" name="Group 201391"/>
                <wp:cNvGraphicFramePr/>
                <a:graphic xmlns:a="http://schemas.openxmlformats.org/drawingml/2006/main">
                  <a:graphicData uri="http://schemas.microsoft.com/office/word/2010/wordprocessingGroup">
                    <wpg:wgp>
                      <wpg:cNvGrpSpPr/>
                      <wpg:grpSpPr>
                        <a:xfrm>
                          <a:off x="0" y="0"/>
                          <a:ext cx="3991870" cy="6256497"/>
                          <a:chOff x="0" y="0"/>
                          <a:chExt cx="3991870" cy="6256497"/>
                        </a:xfrm>
                      </wpg:grpSpPr>
                      <wps:wsp>
                        <wps:cNvPr id="18992" name="Rectangle 18992"/>
                        <wps:cNvSpPr/>
                        <wps:spPr>
                          <a:xfrm rot="-10799999">
                            <a:off x="1900419" y="-62190"/>
                            <a:ext cx="178369" cy="250646"/>
                          </a:xfrm>
                          <a:prstGeom prst="rect">
                            <a:avLst/>
                          </a:prstGeom>
                          <a:ln>
                            <a:noFill/>
                          </a:ln>
                        </wps:spPr>
                        <wps:txbx>
                          <w:txbxContent>
                            <w:p w14:paraId="52786C9D" w14:textId="77777777" w:rsidR="00B32EF2" w:rsidRDefault="00000000">
                              <w:r>
                                <w:rPr>
                                  <w:rFonts w:ascii="Times New Roman" w:eastAsia="Times New Roman" w:hAnsi="Times New Roman" w:cs="Times New Roman"/>
                                </w:rPr>
                                <w:t>57</w:t>
                              </w:r>
                            </w:p>
                          </w:txbxContent>
                        </wps:txbx>
                        <wps:bodyPr horzOverflow="overflow" vert="horz" lIns="0" tIns="0" rIns="0" bIns="0" rtlCol="0">
                          <a:noAutofit/>
                        </wps:bodyPr>
                      </wps:wsp>
                      <wps:wsp>
                        <wps:cNvPr id="18993" name="Rectangle 18993"/>
                        <wps:cNvSpPr/>
                        <wps:spPr>
                          <a:xfrm rot="-10799999">
                            <a:off x="1509326" y="5009825"/>
                            <a:ext cx="805077" cy="142889"/>
                          </a:xfrm>
                          <a:prstGeom prst="rect">
                            <a:avLst/>
                          </a:prstGeom>
                          <a:ln>
                            <a:noFill/>
                          </a:ln>
                        </wps:spPr>
                        <wps:txbx>
                          <w:txbxContent>
                            <w:p w14:paraId="1D048B7C" w14:textId="77777777" w:rsidR="00B32EF2" w:rsidRDefault="00000000">
                              <w:r>
                                <w:rPr>
                                  <w:rFonts w:ascii="Arial" w:eastAsia="Arial" w:hAnsi="Arial" w:cs="Arial"/>
                                  <w:b/>
                                  <w:sz w:val="18"/>
                                </w:rPr>
                                <w:t>Articolo 61</w:t>
                              </w:r>
                            </w:p>
                          </w:txbxContent>
                        </wps:txbx>
                        <wps:bodyPr horzOverflow="overflow" vert="horz" lIns="0" tIns="0" rIns="0" bIns="0" rtlCol="0">
                          <a:noAutofit/>
                        </wps:bodyPr>
                      </wps:wsp>
                      <wps:wsp>
                        <wps:cNvPr id="201245" name="Rectangle 201245"/>
                        <wps:cNvSpPr/>
                        <wps:spPr>
                          <a:xfrm rot="-10799999">
                            <a:off x="2254452" y="4886495"/>
                            <a:ext cx="2196218" cy="142889"/>
                          </a:xfrm>
                          <a:prstGeom prst="rect">
                            <a:avLst/>
                          </a:prstGeom>
                          <a:ln>
                            <a:noFill/>
                          </a:ln>
                        </wps:spPr>
                        <wps:txbx>
                          <w:txbxContent>
                            <w:p w14:paraId="74F3539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246" name="Rectangle 201246"/>
                        <wps:cNvSpPr/>
                        <wps:spPr>
                          <a:xfrm rot="-10799999">
                            <a:off x="-611722" y="4886495"/>
                            <a:ext cx="2196219" cy="142889"/>
                          </a:xfrm>
                          <a:prstGeom prst="rect">
                            <a:avLst/>
                          </a:prstGeom>
                          <a:ln>
                            <a:noFill/>
                          </a:ln>
                        </wps:spPr>
                        <wps:txbx>
                          <w:txbxContent>
                            <w:p w14:paraId="3816DFEE"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247" name="Rectangle 201247"/>
                        <wps:cNvSpPr/>
                        <wps:spPr>
                          <a:xfrm rot="-10799999">
                            <a:off x="1004410" y="4886495"/>
                            <a:ext cx="2196218" cy="142889"/>
                          </a:xfrm>
                          <a:prstGeom prst="rect">
                            <a:avLst/>
                          </a:prstGeom>
                          <a:ln>
                            <a:noFill/>
                          </a:ln>
                        </wps:spPr>
                        <wps:txbx>
                          <w:txbxContent>
                            <w:p w14:paraId="7B309A6E" w14:textId="77777777" w:rsidR="00B32EF2" w:rsidRDefault="00000000">
                              <w:r>
                                <w:rPr>
                                  <w:rFonts w:ascii="Arial" w:eastAsia="Arial" w:hAnsi="Arial" w:cs="Arial"/>
                                  <w:i/>
                                  <w:sz w:val="18"/>
                                </w:rPr>
                                <w:t xml:space="preserve">articolo 16-bis D.lgs. n. </w:t>
                              </w:r>
                            </w:p>
                          </w:txbxContent>
                        </wps:txbx>
                        <wps:bodyPr horzOverflow="overflow" vert="horz" lIns="0" tIns="0" rIns="0" bIns="0" rtlCol="0">
                          <a:noAutofit/>
                        </wps:bodyPr>
                      </wps:wsp>
                      <wps:wsp>
                        <wps:cNvPr id="18995" name="Rectangle 18995"/>
                        <wps:cNvSpPr/>
                        <wps:spPr>
                          <a:xfrm rot="-10799999">
                            <a:off x="-299751" y="4763166"/>
                            <a:ext cx="3678632" cy="142889"/>
                          </a:xfrm>
                          <a:prstGeom prst="rect">
                            <a:avLst/>
                          </a:prstGeom>
                          <a:ln>
                            <a:noFill/>
                          </a:ln>
                        </wps:spPr>
                        <wps:txbx>
                          <w:txbxContent>
                            <w:p w14:paraId="52BC1914" w14:textId="77777777" w:rsidR="00B32EF2" w:rsidRDefault="00000000">
                              <w:r>
                                <w:rPr>
                                  <w:rFonts w:ascii="Arial" w:eastAsia="Arial" w:hAnsi="Arial" w:cs="Arial"/>
                                  <w:b/>
                                  <w:sz w:val="18"/>
                                </w:rPr>
                                <w:t xml:space="preserve">Comunicazioni, notificazioni e depositi telematici </w:t>
                              </w:r>
                            </w:p>
                          </w:txbxContent>
                        </wps:txbx>
                        <wps:bodyPr horzOverflow="overflow" vert="horz" lIns="0" tIns="0" rIns="0" bIns="0" rtlCol="0">
                          <a:noAutofit/>
                        </wps:bodyPr>
                      </wps:wsp>
                      <wps:wsp>
                        <wps:cNvPr id="201243" name="Rectangle 201243"/>
                        <wps:cNvSpPr/>
                        <wps:spPr>
                          <a:xfrm rot="-10799999">
                            <a:off x="2611052" y="4639836"/>
                            <a:ext cx="5308989" cy="142889"/>
                          </a:xfrm>
                          <a:prstGeom prst="rect">
                            <a:avLst/>
                          </a:prstGeom>
                          <a:ln>
                            <a:noFill/>
                          </a:ln>
                        </wps:spPr>
                        <wps:txbx>
                          <w:txbxContent>
                            <w:p w14:paraId="4912C69B"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244" name="Rectangle 201244"/>
                        <wps:cNvSpPr/>
                        <wps:spPr>
                          <a:xfrm rot="-10799999">
                            <a:off x="-1376303" y="4639836"/>
                            <a:ext cx="5308990" cy="142889"/>
                          </a:xfrm>
                          <a:prstGeom prst="rect">
                            <a:avLst/>
                          </a:prstGeom>
                          <a:ln>
                            <a:noFill/>
                          </a:ln>
                        </wps:spPr>
                        <wps:txbx>
                          <w:txbxContent>
                            <w:p w14:paraId="466AB07D" w14:textId="77777777" w:rsidR="00B32EF2" w:rsidRDefault="00000000">
                              <w:r>
                                <w:rPr>
                                  <w:rFonts w:ascii="Arial" w:eastAsia="Arial" w:hAnsi="Arial" w:cs="Arial"/>
                                  <w:sz w:val="18"/>
                                </w:rPr>
                                <w:t xml:space="preserve">. Le comunicazioni sono effettuate mediante posta elettronica certificata ai </w:t>
                              </w:r>
                            </w:p>
                          </w:txbxContent>
                        </wps:txbx>
                        <wps:bodyPr horzOverflow="overflow" vert="horz" lIns="0" tIns="0" rIns="0" bIns="0" rtlCol="0">
                          <a:noAutofit/>
                        </wps:bodyPr>
                      </wps:wsp>
                      <wps:wsp>
                        <wps:cNvPr id="18997" name="Rectangle 18997"/>
                        <wps:cNvSpPr/>
                        <wps:spPr>
                          <a:xfrm rot="-10799999">
                            <a:off x="-1220967" y="4516506"/>
                            <a:ext cx="5212838" cy="142889"/>
                          </a:xfrm>
                          <a:prstGeom prst="rect">
                            <a:avLst/>
                          </a:prstGeom>
                          <a:ln>
                            <a:noFill/>
                          </a:ln>
                        </wps:spPr>
                        <wps:txbx>
                          <w:txbxContent>
                            <w:p w14:paraId="021FC869" w14:textId="77777777" w:rsidR="00B32EF2" w:rsidRDefault="00000000">
                              <w:r>
                                <w:rPr>
                                  <w:rFonts w:ascii="Arial" w:eastAsia="Arial" w:hAnsi="Arial" w:cs="Arial"/>
                                  <w:sz w:val="18"/>
                                </w:rPr>
                                <w:t>sensi del decreto legislativo 7 marzo 2005, n. 82. Tra le pubbliche amministra</w:t>
                              </w:r>
                            </w:p>
                          </w:txbxContent>
                        </wps:txbx>
                        <wps:bodyPr horzOverflow="overflow" vert="horz" lIns="0" tIns="0" rIns="0" bIns="0" rtlCol="0">
                          <a:noAutofit/>
                        </wps:bodyPr>
                      </wps:wsp>
                      <wps:wsp>
                        <wps:cNvPr id="18998" name="Rectangle 18998"/>
                        <wps:cNvSpPr/>
                        <wps:spPr>
                          <a:xfrm rot="-10799999">
                            <a:off x="19272" y="4516507"/>
                            <a:ext cx="50622" cy="142889"/>
                          </a:xfrm>
                          <a:prstGeom prst="rect">
                            <a:avLst/>
                          </a:prstGeom>
                          <a:ln>
                            <a:noFill/>
                          </a:ln>
                        </wps:spPr>
                        <wps:txbx>
                          <w:txbxContent>
                            <w:p w14:paraId="06ABBF2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8999" name="Rectangle 18999"/>
                        <wps:cNvSpPr/>
                        <wps:spPr>
                          <a:xfrm rot="-10799999">
                            <a:off x="-1221072" y="4393177"/>
                            <a:ext cx="5213401" cy="142889"/>
                          </a:xfrm>
                          <a:prstGeom prst="rect">
                            <a:avLst/>
                          </a:prstGeom>
                          <a:ln>
                            <a:noFill/>
                          </a:ln>
                        </wps:spPr>
                        <wps:txbx>
                          <w:txbxContent>
                            <w:p w14:paraId="32D48408" w14:textId="77777777" w:rsidR="00B32EF2" w:rsidRDefault="00000000">
                              <w:r>
                                <w:rPr>
                                  <w:rFonts w:ascii="Arial" w:eastAsia="Arial" w:hAnsi="Arial" w:cs="Arial"/>
                                  <w:sz w:val="18"/>
                                </w:rPr>
                                <w:t>zioni di cui all’articolo 2, comma 2, del predetto decreto legislativo, le comuni</w:t>
                              </w:r>
                            </w:p>
                          </w:txbxContent>
                        </wps:txbx>
                        <wps:bodyPr horzOverflow="overflow" vert="horz" lIns="0" tIns="0" rIns="0" bIns="0" rtlCol="0">
                          <a:noAutofit/>
                        </wps:bodyPr>
                      </wps:wsp>
                      <wps:wsp>
                        <wps:cNvPr id="19000" name="Rectangle 19000"/>
                        <wps:cNvSpPr/>
                        <wps:spPr>
                          <a:xfrm rot="-10799999">
                            <a:off x="19272" y="4393177"/>
                            <a:ext cx="50622" cy="142889"/>
                          </a:xfrm>
                          <a:prstGeom prst="rect">
                            <a:avLst/>
                          </a:prstGeom>
                          <a:ln>
                            <a:noFill/>
                          </a:ln>
                        </wps:spPr>
                        <wps:txbx>
                          <w:txbxContent>
                            <w:p w14:paraId="4DD7628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001" name="Rectangle 19001"/>
                        <wps:cNvSpPr/>
                        <wps:spPr>
                          <a:xfrm rot="-10799999">
                            <a:off x="-1317179" y="4269847"/>
                            <a:ext cx="5309051" cy="142889"/>
                          </a:xfrm>
                          <a:prstGeom prst="rect">
                            <a:avLst/>
                          </a:prstGeom>
                          <a:ln>
                            <a:noFill/>
                          </a:ln>
                        </wps:spPr>
                        <wps:txbx>
                          <w:txbxContent>
                            <w:p w14:paraId="10332BF6" w14:textId="77777777" w:rsidR="00B32EF2" w:rsidRDefault="00000000">
                              <w:r>
                                <w:rPr>
                                  <w:rFonts w:ascii="Arial" w:eastAsia="Arial" w:hAnsi="Arial" w:cs="Arial"/>
                                  <w:sz w:val="18"/>
                                </w:rPr>
                                <w:t xml:space="preserve">cazioni sono effettuate anche ai sensi dell’articolo 76 del medesimo decreto. </w:t>
                              </w:r>
                            </w:p>
                          </w:txbxContent>
                        </wps:txbx>
                        <wps:bodyPr horzOverflow="overflow" vert="horz" lIns="0" tIns="0" rIns="0" bIns="0" rtlCol="0">
                          <a:noAutofit/>
                        </wps:bodyPr>
                      </wps:wsp>
                      <wps:wsp>
                        <wps:cNvPr id="19002" name="Rectangle 19002"/>
                        <wps:cNvSpPr/>
                        <wps:spPr>
                          <a:xfrm rot="-10799999">
                            <a:off x="-1317164" y="4146517"/>
                            <a:ext cx="5309035" cy="142889"/>
                          </a:xfrm>
                          <a:prstGeom prst="rect">
                            <a:avLst/>
                          </a:prstGeom>
                          <a:ln>
                            <a:noFill/>
                          </a:ln>
                        </wps:spPr>
                        <wps:txbx>
                          <w:txbxContent>
                            <w:p w14:paraId="6B9FA175" w14:textId="77777777" w:rsidR="00B32EF2" w:rsidRDefault="00000000">
                              <w:r>
                                <w:rPr>
                                  <w:rFonts w:ascii="Arial" w:eastAsia="Arial" w:hAnsi="Arial" w:cs="Arial"/>
                                  <w:sz w:val="18"/>
                                </w:rPr>
                                <w:t xml:space="preserve">L’indirizzo di posta elettronica certificata del difensore o delle parti è indicato </w:t>
                              </w:r>
                            </w:p>
                          </w:txbxContent>
                        </wps:txbx>
                        <wps:bodyPr horzOverflow="overflow" vert="horz" lIns="0" tIns="0" rIns="0" bIns="0" rtlCol="0">
                          <a:noAutofit/>
                        </wps:bodyPr>
                      </wps:wsp>
                      <wps:wsp>
                        <wps:cNvPr id="19003" name="Rectangle 19003"/>
                        <wps:cNvSpPr/>
                        <wps:spPr>
                          <a:xfrm rot="-10799999">
                            <a:off x="-1317134" y="4023187"/>
                            <a:ext cx="5309006" cy="142889"/>
                          </a:xfrm>
                          <a:prstGeom prst="rect">
                            <a:avLst/>
                          </a:prstGeom>
                          <a:ln>
                            <a:noFill/>
                          </a:ln>
                        </wps:spPr>
                        <wps:txbx>
                          <w:txbxContent>
                            <w:p w14:paraId="7448FD9A" w14:textId="77777777" w:rsidR="00B32EF2" w:rsidRDefault="00000000">
                              <w:r>
                                <w:rPr>
                                  <w:rFonts w:ascii="Arial" w:eastAsia="Arial" w:hAnsi="Arial" w:cs="Arial"/>
                                  <w:sz w:val="18"/>
                                </w:rPr>
                                <w:t xml:space="preserve">nel ricorso o nel primo atto difensivo. È onere del difensore comunicare ogni </w:t>
                              </w:r>
                            </w:p>
                          </w:txbxContent>
                        </wps:txbx>
                        <wps:bodyPr horzOverflow="overflow" vert="horz" lIns="0" tIns="0" rIns="0" bIns="0" rtlCol="0">
                          <a:noAutofit/>
                        </wps:bodyPr>
                      </wps:wsp>
                      <wps:wsp>
                        <wps:cNvPr id="19004" name="Rectangle 19004"/>
                        <wps:cNvSpPr/>
                        <wps:spPr>
                          <a:xfrm rot="-10799999">
                            <a:off x="-1317118" y="3899858"/>
                            <a:ext cx="5308990" cy="142889"/>
                          </a:xfrm>
                          <a:prstGeom prst="rect">
                            <a:avLst/>
                          </a:prstGeom>
                          <a:ln>
                            <a:noFill/>
                          </a:ln>
                        </wps:spPr>
                        <wps:txbx>
                          <w:txbxContent>
                            <w:p w14:paraId="441B19B0" w14:textId="77777777" w:rsidR="00B32EF2" w:rsidRDefault="00000000">
                              <w:r>
                                <w:rPr>
                                  <w:rFonts w:ascii="Arial" w:eastAsia="Arial" w:hAnsi="Arial" w:cs="Arial"/>
                                  <w:sz w:val="18"/>
                                </w:rPr>
                                <w:t xml:space="preserve">variazione dell’indirizzo di posta elettronica certificata a quelli delle altre parti </w:t>
                              </w:r>
                            </w:p>
                          </w:txbxContent>
                        </wps:txbx>
                        <wps:bodyPr horzOverflow="overflow" vert="horz" lIns="0" tIns="0" rIns="0" bIns="0" rtlCol="0">
                          <a:noAutofit/>
                        </wps:bodyPr>
                      </wps:wsp>
                      <wps:wsp>
                        <wps:cNvPr id="19005" name="Rectangle 19005"/>
                        <wps:cNvSpPr/>
                        <wps:spPr>
                          <a:xfrm rot="-10799999">
                            <a:off x="-1317134" y="3776528"/>
                            <a:ext cx="5309005" cy="142889"/>
                          </a:xfrm>
                          <a:prstGeom prst="rect">
                            <a:avLst/>
                          </a:prstGeom>
                          <a:ln>
                            <a:noFill/>
                          </a:ln>
                        </wps:spPr>
                        <wps:txbx>
                          <w:txbxContent>
                            <w:p w14:paraId="6DC40CA4" w14:textId="77777777" w:rsidR="00B32EF2" w:rsidRDefault="00000000">
                              <w:r>
                                <w:rPr>
                                  <w:rFonts w:ascii="Arial" w:eastAsia="Arial" w:hAnsi="Arial" w:cs="Arial"/>
                                  <w:sz w:val="18"/>
                                </w:rPr>
                                <w:t xml:space="preserve">costituite e alla segreteria la quale, in difetto, non è tenuta a cercare il nuovo </w:t>
                              </w:r>
                            </w:p>
                          </w:txbxContent>
                        </wps:txbx>
                        <wps:bodyPr horzOverflow="overflow" vert="horz" lIns="0" tIns="0" rIns="0" bIns="0" rtlCol="0">
                          <a:noAutofit/>
                        </wps:bodyPr>
                      </wps:wsp>
                      <wps:wsp>
                        <wps:cNvPr id="19006" name="Rectangle 19006"/>
                        <wps:cNvSpPr/>
                        <wps:spPr>
                          <a:xfrm rot="-10799999">
                            <a:off x="-1317118" y="3653198"/>
                            <a:ext cx="5308990" cy="142889"/>
                          </a:xfrm>
                          <a:prstGeom prst="rect">
                            <a:avLst/>
                          </a:prstGeom>
                          <a:ln>
                            <a:noFill/>
                          </a:ln>
                        </wps:spPr>
                        <wps:txbx>
                          <w:txbxContent>
                            <w:p w14:paraId="6AFC825F" w14:textId="77777777" w:rsidR="00B32EF2" w:rsidRDefault="00000000">
                              <w:r>
                                <w:rPr>
                                  <w:rFonts w:ascii="Arial" w:eastAsia="Arial" w:hAnsi="Arial" w:cs="Arial"/>
                                  <w:sz w:val="18"/>
                                </w:rPr>
                                <w:t xml:space="preserve">indirizzo del difensore né ad effettuargli la comunicazione mediante deposito </w:t>
                              </w:r>
                            </w:p>
                          </w:txbxContent>
                        </wps:txbx>
                        <wps:bodyPr horzOverflow="overflow" vert="horz" lIns="0" tIns="0" rIns="0" bIns="0" rtlCol="0">
                          <a:noAutofit/>
                        </wps:bodyPr>
                      </wps:wsp>
                      <wps:wsp>
                        <wps:cNvPr id="19007" name="Rectangle 19007"/>
                        <wps:cNvSpPr/>
                        <wps:spPr>
                          <a:xfrm rot="-10799999">
                            <a:off x="-1220738" y="3529869"/>
                            <a:ext cx="5212610" cy="142889"/>
                          </a:xfrm>
                          <a:prstGeom prst="rect">
                            <a:avLst/>
                          </a:prstGeom>
                          <a:ln>
                            <a:noFill/>
                          </a:ln>
                        </wps:spPr>
                        <wps:txbx>
                          <w:txbxContent>
                            <w:p w14:paraId="6476F2BF" w14:textId="77777777" w:rsidR="00B32EF2" w:rsidRDefault="00000000">
                              <w:r>
                                <w:rPr>
                                  <w:rFonts w:ascii="Arial" w:eastAsia="Arial" w:hAnsi="Arial" w:cs="Arial"/>
                                  <w:sz w:val="18"/>
                                </w:rPr>
                                <w:t>in segreteria. In caso di pluralità di difensori di una parte costituita, la comu</w:t>
                              </w:r>
                            </w:p>
                          </w:txbxContent>
                        </wps:txbx>
                        <wps:bodyPr horzOverflow="overflow" vert="horz" lIns="0" tIns="0" rIns="0" bIns="0" rtlCol="0">
                          <a:noAutofit/>
                        </wps:bodyPr>
                      </wps:wsp>
                      <wps:wsp>
                        <wps:cNvPr id="19008" name="Rectangle 19008"/>
                        <wps:cNvSpPr/>
                        <wps:spPr>
                          <a:xfrm rot="-10799999">
                            <a:off x="19272" y="3529869"/>
                            <a:ext cx="50622" cy="142889"/>
                          </a:xfrm>
                          <a:prstGeom prst="rect">
                            <a:avLst/>
                          </a:prstGeom>
                          <a:ln>
                            <a:noFill/>
                          </a:ln>
                        </wps:spPr>
                        <wps:txbx>
                          <w:txbxContent>
                            <w:p w14:paraId="647D537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009" name="Rectangle 19009"/>
                        <wps:cNvSpPr/>
                        <wps:spPr>
                          <a:xfrm rot="-10799999">
                            <a:off x="-1228948" y="3406539"/>
                            <a:ext cx="5220820" cy="142889"/>
                          </a:xfrm>
                          <a:prstGeom prst="rect">
                            <a:avLst/>
                          </a:prstGeom>
                          <a:ln>
                            <a:noFill/>
                          </a:ln>
                        </wps:spPr>
                        <wps:txbx>
                          <w:txbxContent>
                            <w:p w14:paraId="583637C0" w14:textId="77777777" w:rsidR="00B32EF2" w:rsidRDefault="00000000">
                              <w:r>
                                <w:rPr>
                                  <w:rFonts w:ascii="Arial" w:eastAsia="Arial" w:hAnsi="Arial" w:cs="Arial"/>
                                  <w:sz w:val="18"/>
                                </w:rPr>
                                <w:t>nicazione è perfezionata se ricevuta da almeno uno di essi, cui spetta infor</w:t>
                              </w:r>
                            </w:p>
                          </w:txbxContent>
                        </wps:txbx>
                        <wps:bodyPr horzOverflow="overflow" vert="horz" lIns="0" tIns="0" rIns="0" bIns="0" rtlCol="0">
                          <a:noAutofit/>
                        </wps:bodyPr>
                      </wps:wsp>
                      <wps:wsp>
                        <wps:cNvPr id="19010" name="Rectangle 19010"/>
                        <wps:cNvSpPr/>
                        <wps:spPr>
                          <a:xfrm rot="-10799999">
                            <a:off x="19272" y="3406539"/>
                            <a:ext cx="50622" cy="142889"/>
                          </a:xfrm>
                          <a:prstGeom prst="rect">
                            <a:avLst/>
                          </a:prstGeom>
                          <a:ln>
                            <a:noFill/>
                          </a:ln>
                        </wps:spPr>
                        <wps:txbx>
                          <w:txbxContent>
                            <w:p w14:paraId="7BAEC60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011" name="Rectangle 19011"/>
                        <wps:cNvSpPr/>
                        <wps:spPr>
                          <a:xfrm rot="-10799999">
                            <a:off x="3023646" y="3283209"/>
                            <a:ext cx="968224" cy="142889"/>
                          </a:xfrm>
                          <a:prstGeom prst="rect">
                            <a:avLst/>
                          </a:prstGeom>
                          <a:ln>
                            <a:noFill/>
                          </a:ln>
                        </wps:spPr>
                        <wps:txbx>
                          <w:txbxContent>
                            <w:p w14:paraId="3EDE287A" w14:textId="77777777" w:rsidR="00B32EF2" w:rsidRDefault="00000000">
                              <w:r>
                                <w:rPr>
                                  <w:rFonts w:ascii="Arial" w:eastAsia="Arial" w:hAnsi="Arial" w:cs="Arial"/>
                                  <w:sz w:val="18"/>
                                </w:rPr>
                                <w:t>marne gli altri.</w:t>
                              </w:r>
                            </w:p>
                          </w:txbxContent>
                        </wps:txbx>
                        <wps:bodyPr horzOverflow="overflow" vert="horz" lIns="0" tIns="0" rIns="0" bIns="0" rtlCol="0">
                          <a:noAutofit/>
                        </wps:bodyPr>
                      </wps:wsp>
                      <wps:wsp>
                        <wps:cNvPr id="201241" name="Rectangle 201241"/>
                        <wps:cNvSpPr/>
                        <wps:spPr>
                          <a:xfrm rot="-10799999">
                            <a:off x="-1284991" y="3159880"/>
                            <a:ext cx="5212307" cy="142889"/>
                          </a:xfrm>
                          <a:prstGeom prst="rect">
                            <a:avLst/>
                          </a:prstGeom>
                          <a:ln>
                            <a:noFill/>
                          </a:ln>
                        </wps:spPr>
                        <wps:txbx>
                          <w:txbxContent>
                            <w:p w14:paraId="4D43EE7A" w14:textId="77777777" w:rsidR="00B32EF2" w:rsidRDefault="00000000">
                              <w:r>
                                <w:rPr>
                                  <w:rFonts w:ascii="Arial" w:eastAsia="Arial" w:hAnsi="Arial" w:cs="Arial"/>
                                  <w:sz w:val="18"/>
                                </w:rPr>
                                <w:t>. Nelle ipotesi di mancata indicazione dell’indirizzo di posta elettronica certi</w:t>
                              </w:r>
                            </w:p>
                          </w:txbxContent>
                        </wps:txbx>
                        <wps:bodyPr horzOverflow="overflow" vert="horz" lIns="0" tIns="0" rIns="0" bIns="0" rtlCol="0">
                          <a:noAutofit/>
                        </wps:bodyPr>
                      </wps:wsp>
                      <wps:wsp>
                        <wps:cNvPr id="201240" name="Rectangle 201240"/>
                        <wps:cNvSpPr/>
                        <wps:spPr>
                          <a:xfrm rot="-10799999">
                            <a:off x="2635042" y="3159880"/>
                            <a:ext cx="5212307" cy="142889"/>
                          </a:xfrm>
                          <a:prstGeom prst="rect">
                            <a:avLst/>
                          </a:prstGeom>
                          <a:ln>
                            <a:noFill/>
                          </a:ln>
                        </wps:spPr>
                        <wps:txbx>
                          <w:txbxContent>
                            <w:p w14:paraId="7AFB0637"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9013" name="Rectangle 19013"/>
                        <wps:cNvSpPr/>
                        <wps:spPr>
                          <a:xfrm rot="-10799999">
                            <a:off x="19272" y="3159880"/>
                            <a:ext cx="50622" cy="142889"/>
                          </a:xfrm>
                          <a:prstGeom prst="rect">
                            <a:avLst/>
                          </a:prstGeom>
                          <a:ln>
                            <a:noFill/>
                          </a:ln>
                        </wps:spPr>
                        <wps:txbx>
                          <w:txbxContent>
                            <w:p w14:paraId="727CFBB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014" name="Rectangle 19014"/>
                        <wps:cNvSpPr/>
                        <wps:spPr>
                          <a:xfrm rot="-10799999">
                            <a:off x="-1219568" y="3036550"/>
                            <a:ext cx="5211439" cy="142889"/>
                          </a:xfrm>
                          <a:prstGeom prst="rect">
                            <a:avLst/>
                          </a:prstGeom>
                          <a:ln>
                            <a:noFill/>
                          </a:ln>
                        </wps:spPr>
                        <wps:txbx>
                          <w:txbxContent>
                            <w:p w14:paraId="050CE3AA" w14:textId="77777777" w:rsidR="00B32EF2" w:rsidRDefault="00000000">
                              <w:r>
                                <w:rPr>
                                  <w:rFonts w:ascii="Arial" w:eastAsia="Arial" w:hAnsi="Arial" w:cs="Arial"/>
                                  <w:sz w:val="18"/>
                                </w:rPr>
                                <w:t>ficata del difensore o della parte ed ove lo stesso non sia reperibile da pubbli</w:t>
                              </w:r>
                            </w:p>
                          </w:txbxContent>
                        </wps:txbx>
                        <wps:bodyPr horzOverflow="overflow" vert="horz" lIns="0" tIns="0" rIns="0" bIns="0" rtlCol="0">
                          <a:noAutofit/>
                        </wps:bodyPr>
                      </wps:wsp>
                      <wps:wsp>
                        <wps:cNvPr id="19015" name="Rectangle 19015"/>
                        <wps:cNvSpPr/>
                        <wps:spPr>
                          <a:xfrm rot="-10799999">
                            <a:off x="19272" y="3036550"/>
                            <a:ext cx="50622" cy="142889"/>
                          </a:xfrm>
                          <a:prstGeom prst="rect">
                            <a:avLst/>
                          </a:prstGeom>
                          <a:ln>
                            <a:noFill/>
                          </a:ln>
                        </wps:spPr>
                        <wps:txbx>
                          <w:txbxContent>
                            <w:p w14:paraId="7CCCE72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016" name="Rectangle 19016"/>
                        <wps:cNvSpPr/>
                        <wps:spPr>
                          <a:xfrm rot="-10799999">
                            <a:off x="-1317195" y="2913220"/>
                            <a:ext cx="5309066" cy="142889"/>
                          </a:xfrm>
                          <a:prstGeom prst="rect">
                            <a:avLst/>
                          </a:prstGeom>
                          <a:ln>
                            <a:noFill/>
                          </a:ln>
                        </wps:spPr>
                        <wps:txbx>
                          <w:txbxContent>
                            <w:p w14:paraId="4AD9ED2D" w14:textId="77777777" w:rsidR="00B32EF2" w:rsidRDefault="00000000">
                              <w:r>
                                <w:rPr>
                                  <w:rFonts w:ascii="Arial" w:eastAsia="Arial" w:hAnsi="Arial" w:cs="Arial"/>
                                  <w:sz w:val="18"/>
                                </w:rPr>
                                <w:t xml:space="preserve">ci elenchi, ovvero nelle ipotesi di mancata consegna del messaggio di posta </w:t>
                              </w:r>
                            </w:p>
                          </w:txbxContent>
                        </wps:txbx>
                        <wps:bodyPr horzOverflow="overflow" vert="horz" lIns="0" tIns="0" rIns="0" bIns="0" rtlCol="0">
                          <a:noAutofit/>
                        </wps:bodyPr>
                      </wps:wsp>
                      <wps:wsp>
                        <wps:cNvPr id="19017" name="Rectangle 19017"/>
                        <wps:cNvSpPr/>
                        <wps:spPr>
                          <a:xfrm rot="-10799999">
                            <a:off x="-1317134" y="2789891"/>
                            <a:ext cx="5309006" cy="142889"/>
                          </a:xfrm>
                          <a:prstGeom prst="rect">
                            <a:avLst/>
                          </a:prstGeom>
                          <a:ln>
                            <a:noFill/>
                          </a:ln>
                        </wps:spPr>
                        <wps:txbx>
                          <w:txbxContent>
                            <w:p w14:paraId="58E14D10" w14:textId="77777777" w:rsidR="00B32EF2" w:rsidRDefault="00000000">
                              <w:r>
                                <w:rPr>
                                  <w:rFonts w:ascii="Arial" w:eastAsia="Arial" w:hAnsi="Arial" w:cs="Arial"/>
                                  <w:sz w:val="18"/>
                                </w:rPr>
                                <w:t xml:space="preserve">elettronica certificata per cause imputabili al destinatario, le comunicazioni </w:t>
                              </w:r>
                            </w:p>
                          </w:txbxContent>
                        </wps:txbx>
                        <wps:bodyPr horzOverflow="overflow" vert="horz" lIns="0" tIns="0" rIns="0" bIns="0" rtlCol="0">
                          <a:noAutofit/>
                        </wps:bodyPr>
                      </wps:wsp>
                      <wps:wsp>
                        <wps:cNvPr id="19018" name="Rectangle 19018"/>
                        <wps:cNvSpPr/>
                        <wps:spPr>
                          <a:xfrm rot="-10799999">
                            <a:off x="-1317134" y="2666561"/>
                            <a:ext cx="5309006" cy="142889"/>
                          </a:xfrm>
                          <a:prstGeom prst="rect">
                            <a:avLst/>
                          </a:prstGeom>
                          <a:ln>
                            <a:noFill/>
                          </a:ln>
                        </wps:spPr>
                        <wps:txbx>
                          <w:txbxContent>
                            <w:p w14:paraId="4413187D" w14:textId="77777777" w:rsidR="00B32EF2" w:rsidRDefault="00000000">
                              <w:r>
                                <w:rPr>
                                  <w:rFonts w:ascii="Arial" w:eastAsia="Arial" w:hAnsi="Arial" w:cs="Arial"/>
                                  <w:sz w:val="18"/>
                                </w:rPr>
                                <w:t xml:space="preserve">sono eseguite esclusivamente mediante deposito in segreteria della corte di </w:t>
                              </w:r>
                            </w:p>
                          </w:txbxContent>
                        </wps:txbx>
                        <wps:bodyPr horzOverflow="overflow" vert="horz" lIns="0" tIns="0" rIns="0" bIns="0" rtlCol="0">
                          <a:noAutofit/>
                        </wps:bodyPr>
                      </wps:wsp>
                      <wps:wsp>
                        <wps:cNvPr id="19019" name="Rectangle 19019"/>
                        <wps:cNvSpPr/>
                        <wps:spPr>
                          <a:xfrm rot="-10799999">
                            <a:off x="968744" y="2543232"/>
                            <a:ext cx="3023126" cy="142889"/>
                          </a:xfrm>
                          <a:prstGeom prst="rect">
                            <a:avLst/>
                          </a:prstGeom>
                          <a:ln>
                            <a:noFill/>
                          </a:ln>
                        </wps:spPr>
                        <wps:txbx>
                          <w:txbxContent>
                            <w:p w14:paraId="17FC1217" w14:textId="77777777" w:rsidR="00B32EF2" w:rsidRDefault="00000000">
                              <w:r>
                                <w:rPr>
                                  <w:rFonts w:ascii="Arial" w:eastAsia="Arial" w:hAnsi="Arial" w:cs="Arial"/>
                                  <w:sz w:val="18"/>
                                </w:rPr>
                                <w:t>giustizia tributaria di primo e secondo grado.</w:t>
                              </w:r>
                            </w:p>
                          </w:txbxContent>
                        </wps:txbx>
                        <wps:bodyPr horzOverflow="overflow" vert="horz" lIns="0" tIns="0" rIns="0" bIns="0" rtlCol="0">
                          <a:noAutofit/>
                        </wps:bodyPr>
                      </wps:wsp>
                      <wps:wsp>
                        <wps:cNvPr id="201238" name="Rectangle 201238"/>
                        <wps:cNvSpPr/>
                        <wps:spPr>
                          <a:xfrm rot="-10799999">
                            <a:off x="2611018" y="2419902"/>
                            <a:ext cx="5309127" cy="142889"/>
                          </a:xfrm>
                          <a:prstGeom prst="rect">
                            <a:avLst/>
                          </a:prstGeom>
                          <a:ln>
                            <a:noFill/>
                          </a:ln>
                        </wps:spPr>
                        <wps:txbx>
                          <w:txbxContent>
                            <w:p w14:paraId="34209481"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1239" name="Rectangle 201239"/>
                        <wps:cNvSpPr/>
                        <wps:spPr>
                          <a:xfrm rot="-10799999">
                            <a:off x="-1381778" y="2419902"/>
                            <a:ext cx="5309127" cy="142889"/>
                          </a:xfrm>
                          <a:prstGeom prst="rect">
                            <a:avLst/>
                          </a:prstGeom>
                          <a:ln>
                            <a:noFill/>
                          </a:ln>
                        </wps:spPr>
                        <wps:txbx>
                          <w:txbxContent>
                            <w:p w14:paraId="2422CDF4" w14:textId="77777777" w:rsidR="00B32EF2" w:rsidRDefault="00000000">
                              <w:r>
                                <w:rPr>
                                  <w:rFonts w:ascii="Arial" w:eastAsia="Arial" w:hAnsi="Arial" w:cs="Arial"/>
                                  <w:sz w:val="18"/>
                                </w:rPr>
                                <w:t xml:space="preserve">. Le parti, i consulenti e gli organi tecnici di cui all’articolo 52, comma 2, </w:t>
                              </w:r>
                            </w:p>
                          </w:txbxContent>
                        </wps:txbx>
                        <wps:bodyPr horzOverflow="overflow" vert="horz" lIns="0" tIns="0" rIns="0" bIns="0" rtlCol="0">
                          <a:noAutofit/>
                        </wps:bodyPr>
                      </wps:wsp>
                      <wps:wsp>
                        <wps:cNvPr id="19021" name="Rectangle 19021"/>
                        <wps:cNvSpPr/>
                        <wps:spPr>
                          <a:xfrm rot="-10799999">
                            <a:off x="-1220754" y="2296572"/>
                            <a:ext cx="5212625" cy="142889"/>
                          </a:xfrm>
                          <a:prstGeom prst="rect">
                            <a:avLst/>
                          </a:prstGeom>
                          <a:ln>
                            <a:noFill/>
                          </a:ln>
                        </wps:spPr>
                        <wps:txbx>
                          <w:txbxContent>
                            <w:p w14:paraId="5030D444" w14:textId="77777777" w:rsidR="00B32EF2" w:rsidRDefault="00000000">
                              <w:r>
                                <w:rPr>
                                  <w:rFonts w:ascii="Arial" w:eastAsia="Arial" w:hAnsi="Arial" w:cs="Arial"/>
                                  <w:sz w:val="18"/>
                                </w:rPr>
                                <w:t>notificano e depositano gli atti processuali, i documenti e i provvedimenti giu</w:t>
                              </w:r>
                            </w:p>
                          </w:txbxContent>
                        </wps:txbx>
                        <wps:bodyPr horzOverflow="overflow" vert="horz" lIns="0" tIns="0" rIns="0" bIns="0" rtlCol="0">
                          <a:noAutofit/>
                        </wps:bodyPr>
                      </wps:wsp>
                      <wps:wsp>
                        <wps:cNvPr id="19022" name="Rectangle 19022"/>
                        <wps:cNvSpPr/>
                        <wps:spPr>
                          <a:xfrm rot="-10799999">
                            <a:off x="19272" y="2296572"/>
                            <a:ext cx="50622" cy="142889"/>
                          </a:xfrm>
                          <a:prstGeom prst="rect">
                            <a:avLst/>
                          </a:prstGeom>
                          <a:ln>
                            <a:noFill/>
                          </a:ln>
                        </wps:spPr>
                        <wps:txbx>
                          <w:txbxContent>
                            <w:p w14:paraId="1032358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023" name="Rectangle 19023"/>
                        <wps:cNvSpPr/>
                        <wps:spPr>
                          <a:xfrm rot="-10799999">
                            <a:off x="-1317149" y="2173242"/>
                            <a:ext cx="5309021" cy="142889"/>
                          </a:xfrm>
                          <a:prstGeom prst="rect">
                            <a:avLst/>
                          </a:prstGeom>
                          <a:ln>
                            <a:noFill/>
                          </a:ln>
                        </wps:spPr>
                        <wps:txbx>
                          <w:txbxContent>
                            <w:p w14:paraId="09BBA8D1" w14:textId="77777777" w:rsidR="00B32EF2" w:rsidRDefault="00000000">
                              <w:r>
                                <w:rPr>
                                  <w:rFonts w:ascii="Arial" w:eastAsia="Arial" w:hAnsi="Arial" w:cs="Arial"/>
                                  <w:sz w:val="18"/>
                                </w:rPr>
                                <w:t xml:space="preserve">risdizionali esclusivamente con le modalità telematiche previste dalle vigenti </w:t>
                              </w:r>
                            </w:p>
                          </w:txbxContent>
                        </wps:txbx>
                        <wps:bodyPr horzOverflow="overflow" vert="horz" lIns="0" tIns="0" rIns="0" bIns="0" rtlCol="0">
                          <a:noAutofit/>
                        </wps:bodyPr>
                      </wps:wsp>
                      <wps:wsp>
                        <wps:cNvPr id="19024" name="Rectangle 19024"/>
                        <wps:cNvSpPr/>
                        <wps:spPr>
                          <a:xfrm rot="-10799999">
                            <a:off x="-1317164" y="2049913"/>
                            <a:ext cx="5309035" cy="142889"/>
                          </a:xfrm>
                          <a:prstGeom prst="rect">
                            <a:avLst/>
                          </a:prstGeom>
                          <a:ln>
                            <a:noFill/>
                          </a:ln>
                        </wps:spPr>
                        <wps:txbx>
                          <w:txbxContent>
                            <w:p w14:paraId="0AA9F4EC" w14:textId="77777777" w:rsidR="00B32EF2" w:rsidRDefault="00000000">
                              <w:r>
                                <w:rPr>
                                  <w:rFonts w:ascii="Arial" w:eastAsia="Arial" w:hAnsi="Arial" w:cs="Arial"/>
                                  <w:sz w:val="18"/>
                                </w:rPr>
                                <w:t xml:space="preserve">norme tecniche del processo tributario telematico, salva la possibilità, nelle </w:t>
                              </w:r>
                            </w:p>
                          </w:txbxContent>
                        </wps:txbx>
                        <wps:bodyPr horzOverflow="overflow" vert="horz" lIns="0" tIns="0" rIns="0" bIns="0" rtlCol="0">
                          <a:noAutofit/>
                        </wps:bodyPr>
                      </wps:wsp>
                      <wps:wsp>
                        <wps:cNvPr id="19025" name="Rectangle 19025"/>
                        <wps:cNvSpPr/>
                        <wps:spPr>
                          <a:xfrm rot="-10799999">
                            <a:off x="-1317057" y="1926583"/>
                            <a:ext cx="5308929" cy="142889"/>
                          </a:xfrm>
                          <a:prstGeom prst="rect">
                            <a:avLst/>
                          </a:prstGeom>
                          <a:ln>
                            <a:noFill/>
                          </a:ln>
                        </wps:spPr>
                        <wps:txbx>
                          <w:txbxContent>
                            <w:p w14:paraId="00E53E78" w14:textId="77777777" w:rsidR="00B32EF2" w:rsidRDefault="00000000">
                              <w:r>
                                <w:rPr>
                                  <w:rFonts w:ascii="Arial" w:eastAsia="Arial" w:hAnsi="Arial" w:cs="Arial"/>
                                  <w:sz w:val="18"/>
                                </w:rPr>
                                <w:t xml:space="preserve">ipotesi di cui al comma 2 e all’articolo 129 comma 3 di effettuare le notificazioni </w:t>
                              </w:r>
                            </w:p>
                          </w:txbxContent>
                        </wps:txbx>
                        <wps:bodyPr horzOverflow="overflow" vert="horz" lIns="0" tIns="0" rIns="0" bIns="0" rtlCol="0">
                          <a:noAutofit/>
                        </wps:bodyPr>
                      </wps:wsp>
                      <wps:wsp>
                        <wps:cNvPr id="19026" name="Rectangle 19026"/>
                        <wps:cNvSpPr/>
                        <wps:spPr>
                          <a:xfrm rot="-10799999">
                            <a:off x="1620420" y="1803254"/>
                            <a:ext cx="2371450" cy="142889"/>
                          </a:xfrm>
                          <a:prstGeom prst="rect">
                            <a:avLst/>
                          </a:prstGeom>
                          <a:ln>
                            <a:noFill/>
                          </a:ln>
                        </wps:spPr>
                        <wps:txbx>
                          <w:txbxContent>
                            <w:p w14:paraId="367D1606" w14:textId="77777777" w:rsidR="00B32EF2" w:rsidRDefault="00000000">
                              <w:r>
                                <w:rPr>
                                  <w:rFonts w:ascii="Arial" w:eastAsia="Arial" w:hAnsi="Arial" w:cs="Arial"/>
                                  <w:sz w:val="18"/>
                                </w:rPr>
                                <w:t>e i depositi ai sensi dell’articolo 60.</w:t>
                              </w:r>
                            </w:p>
                          </w:txbxContent>
                        </wps:txbx>
                        <wps:bodyPr horzOverflow="overflow" vert="horz" lIns="0" tIns="0" rIns="0" bIns="0" rtlCol="0">
                          <a:noAutofit/>
                        </wps:bodyPr>
                      </wps:wsp>
                      <wps:wsp>
                        <wps:cNvPr id="201237" name="Rectangle 201237"/>
                        <wps:cNvSpPr/>
                        <wps:spPr>
                          <a:xfrm rot="-10799999">
                            <a:off x="-1281780" y="1679923"/>
                            <a:ext cx="5210512" cy="142889"/>
                          </a:xfrm>
                          <a:prstGeom prst="rect">
                            <a:avLst/>
                          </a:prstGeom>
                          <a:ln>
                            <a:noFill/>
                          </a:ln>
                        </wps:spPr>
                        <wps:txbx>
                          <w:txbxContent>
                            <w:p w14:paraId="067646AE" w14:textId="77777777" w:rsidR="00B32EF2" w:rsidRDefault="00000000">
                              <w:r>
                                <w:rPr>
                                  <w:rFonts w:ascii="Arial" w:eastAsia="Arial" w:hAnsi="Arial" w:cs="Arial"/>
                                  <w:sz w:val="18"/>
                                </w:rPr>
                                <w:t>. L’indicazione dell’indirizzo di posta elettronica certificata valevole per le co</w:t>
                              </w:r>
                            </w:p>
                          </w:txbxContent>
                        </wps:txbx>
                        <wps:bodyPr horzOverflow="overflow" vert="horz" lIns="0" tIns="0" rIns="0" bIns="0" rtlCol="0">
                          <a:noAutofit/>
                        </wps:bodyPr>
                      </wps:wsp>
                      <wps:wsp>
                        <wps:cNvPr id="201236" name="Rectangle 201236"/>
                        <wps:cNvSpPr/>
                        <wps:spPr>
                          <a:xfrm rot="-10799999">
                            <a:off x="2635487" y="1679924"/>
                            <a:ext cx="5210512" cy="142889"/>
                          </a:xfrm>
                          <a:prstGeom prst="rect">
                            <a:avLst/>
                          </a:prstGeom>
                          <a:ln>
                            <a:noFill/>
                          </a:ln>
                        </wps:spPr>
                        <wps:txbx>
                          <w:txbxContent>
                            <w:p w14:paraId="584E940E"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9028" name="Rectangle 19028"/>
                        <wps:cNvSpPr/>
                        <wps:spPr>
                          <a:xfrm rot="-10799999">
                            <a:off x="19272" y="1679924"/>
                            <a:ext cx="50622" cy="142889"/>
                          </a:xfrm>
                          <a:prstGeom prst="rect">
                            <a:avLst/>
                          </a:prstGeom>
                          <a:ln>
                            <a:noFill/>
                          </a:ln>
                        </wps:spPr>
                        <wps:txbx>
                          <w:txbxContent>
                            <w:p w14:paraId="70859C7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029" name="Rectangle 19029"/>
                        <wps:cNvSpPr/>
                        <wps:spPr>
                          <a:xfrm rot="-10799999">
                            <a:off x="-1274610" y="1556594"/>
                            <a:ext cx="5265452" cy="142889"/>
                          </a:xfrm>
                          <a:prstGeom prst="rect">
                            <a:avLst/>
                          </a:prstGeom>
                          <a:ln>
                            <a:noFill/>
                          </a:ln>
                        </wps:spPr>
                        <wps:txbx>
                          <w:txbxContent>
                            <w:p w14:paraId="71741B66" w14:textId="77777777" w:rsidR="00B32EF2" w:rsidRDefault="00000000">
                              <w:r>
                                <w:rPr>
                                  <w:rFonts w:ascii="Arial" w:eastAsia="Arial" w:hAnsi="Arial" w:cs="Arial"/>
                                  <w:sz w:val="18"/>
                                </w:rPr>
                                <w:t>municazioni e le notificazioni equivale alla comunicazione del domicilio eletto.</w:t>
                              </w:r>
                            </w:p>
                          </w:txbxContent>
                        </wps:txbx>
                        <wps:bodyPr horzOverflow="overflow" vert="horz" lIns="0" tIns="0" rIns="0" bIns="0" rtlCol="0">
                          <a:noAutofit/>
                        </wps:bodyPr>
                      </wps:wsp>
                      <wps:wsp>
                        <wps:cNvPr id="201235" name="Rectangle 201235"/>
                        <wps:cNvSpPr/>
                        <wps:spPr>
                          <a:xfrm rot="-10799999">
                            <a:off x="-1381515" y="1433264"/>
                            <a:ext cx="5308990" cy="142889"/>
                          </a:xfrm>
                          <a:prstGeom prst="rect">
                            <a:avLst/>
                          </a:prstGeom>
                          <a:ln>
                            <a:noFill/>
                          </a:ln>
                        </wps:spPr>
                        <wps:txbx>
                          <w:txbxContent>
                            <w:p w14:paraId="190C0523" w14:textId="77777777" w:rsidR="00B32EF2" w:rsidRDefault="00000000">
                              <w:r>
                                <w:rPr>
                                  <w:rFonts w:ascii="Arial" w:eastAsia="Arial" w:hAnsi="Arial" w:cs="Arial"/>
                                  <w:sz w:val="18"/>
                                </w:rPr>
                                <w:t xml:space="preserve">. La violazione delle disposizioni dei commi da 1 a 3, nonché delle vigenti </w:t>
                              </w:r>
                            </w:p>
                          </w:txbxContent>
                        </wps:txbx>
                        <wps:bodyPr horzOverflow="overflow" vert="horz" lIns="0" tIns="0" rIns="0" bIns="0" rtlCol="0">
                          <a:noAutofit/>
                        </wps:bodyPr>
                      </wps:wsp>
                      <wps:wsp>
                        <wps:cNvPr id="201234" name="Rectangle 201234"/>
                        <wps:cNvSpPr/>
                        <wps:spPr>
                          <a:xfrm rot="-10799999">
                            <a:off x="2611052" y="1433265"/>
                            <a:ext cx="5308990" cy="142889"/>
                          </a:xfrm>
                          <a:prstGeom prst="rect">
                            <a:avLst/>
                          </a:prstGeom>
                          <a:ln>
                            <a:noFill/>
                          </a:ln>
                        </wps:spPr>
                        <wps:txbx>
                          <w:txbxContent>
                            <w:p w14:paraId="60891641"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19031" name="Rectangle 19031"/>
                        <wps:cNvSpPr/>
                        <wps:spPr>
                          <a:xfrm rot="-10799999">
                            <a:off x="-1317165" y="1309934"/>
                            <a:ext cx="5309036" cy="142889"/>
                          </a:xfrm>
                          <a:prstGeom prst="rect">
                            <a:avLst/>
                          </a:prstGeom>
                          <a:ln>
                            <a:noFill/>
                          </a:ln>
                        </wps:spPr>
                        <wps:txbx>
                          <w:txbxContent>
                            <w:p w14:paraId="3A82F372" w14:textId="77777777" w:rsidR="00B32EF2" w:rsidRDefault="00000000">
                              <w:r>
                                <w:rPr>
                                  <w:rFonts w:ascii="Arial" w:eastAsia="Arial" w:hAnsi="Arial" w:cs="Arial"/>
                                  <w:sz w:val="18"/>
                                </w:rPr>
                                <w:t xml:space="preserve">norme tecniche del processo tributario telematico, non costituisce causa di </w:t>
                              </w:r>
                            </w:p>
                          </w:txbxContent>
                        </wps:txbx>
                        <wps:bodyPr horzOverflow="overflow" vert="horz" lIns="0" tIns="0" rIns="0" bIns="0" rtlCol="0">
                          <a:noAutofit/>
                        </wps:bodyPr>
                      </wps:wsp>
                      <wps:wsp>
                        <wps:cNvPr id="19032" name="Rectangle 19032"/>
                        <wps:cNvSpPr/>
                        <wps:spPr>
                          <a:xfrm rot="-10799999">
                            <a:off x="-1317543" y="1186605"/>
                            <a:ext cx="5310100" cy="142890"/>
                          </a:xfrm>
                          <a:prstGeom prst="rect">
                            <a:avLst/>
                          </a:prstGeom>
                          <a:ln>
                            <a:noFill/>
                          </a:ln>
                        </wps:spPr>
                        <wps:txbx>
                          <w:txbxContent>
                            <w:p w14:paraId="533A9B2E" w14:textId="77777777" w:rsidR="00B32EF2" w:rsidRDefault="00000000">
                              <w:r>
                                <w:rPr>
                                  <w:rFonts w:ascii="Arial" w:eastAsia="Arial" w:hAnsi="Arial" w:cs="Arial"/>
                                  <w:sz w:val="18"/>
                                </w:rPr>
                                <w:t xml:space="preserve">invalidità del deposito, salvo l’obbligo di regolarizzarlo nel termine perentorio </w:t>
                              </w:r>
                            </w:p>
                          </w:txbxContent>
                        </wps:txbx>
                        <wps:bodyPr horzOverflow="overflow" vert="horz" lIns="0" tIns="0" rIns="0" bIns="0" rtlCol="0">
                          <a:noAutofit/>
                        </wps:bodyPr>
                      </wps:wsp>
                      <wps:wsp>
                        <wps:cNvPr id="19033" name="Rectangle 19033"/>
                        <wps:cNvSpPr/>
                        <wps:spPr>
                          <a:xfrm rot="-10799999">
                            <a:off x="2649922" y="1063275"/>
                            <a:ext cx="1341948" cy="142889"/>
                          </a:xfrm>
                          <a:prstGeom prst="rect">
                            <a:avLst/>
                          </a:prstGeom>
                          <a:ln>
                            <a:noFill/>
                          </a:ln>
                        </wps:spPr>
                        <wps:txbx>
                          <w:txbxContent>
                            <w:p w14:paraId="21A9EF42" w14:textId="77777777" w:rsidR="00B32EF2" w:rsidRDefault="00000000">
                              <w:r>
                                <w:rPr>
                                  <w:rFonts w:ascii="Arial" w:eastAsia="Arial" w:hAnsi="Arial" w:cs="Arial"/>
                                  <w:sz w:val="18"/>
                                </w:rPr>
                                <w:t>stabilito dal giudice.</w:t>
                              </w:r>
                            </w:p>
                          </w:txbxContent>
                        </wps:txbx>
                        <wps:bodyPr horzOverflow="overflow" vert="horz" lIns="0" tIns="0" rIns="0" bIns="0" rtlCol="0">
                          <a:noAutofit/>
                        </wps:bodyPr>
                      </wps:wsp>
                      <wps:wsp>
                        <wps:cNvPr id="207970" name="Shape 207970"/>
                        <wps:cNvSpPr/>
                        <wps:spPr>
                          <a:xfrm>
                            <a:off x="31733" y="473194"/>
                            <a:ext cx="3960000" cy="534505"/>
                          </a:xfrm>
                          <a:custGeom>
                            <a:avLst/>
                            <a:gdLst/>
                            <a:ahLst/>
                            <a:cxnLst/>
                            <a:rect l="0" t="0" r="0" b="0"/>
                            <a:pathLst>
                              <a:path w="3960000" h="534505">
                                <a:moveTo>
                                  <a:pt x="0" y="0"/>
                                </a:moveTo>
                                <a:lnTo>
                                  <a:pt x="3960000" y="0"/>
                                </a:lnTo>
                                <a:lnTo>
                                  <a:pt x="3960000" y="534505"/>
                                </a:lnTo>
                                <a:lnTo>
                                  <a:pt x="0" y="534505"/>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9035" name="Rectangle 19035"/>
                        <wps:cNvSpPr/>
                        <wps:spPr>
                          <a:xfrm rot="-10799999">
                            <a:off x="2328717" y="786464"/>
                            <a:ext cx="1585695" cy="142889"/>
                          </a:xfrm>
                          <a:prstGeom prst="rect">
                            <a:avLst/>
                          </a:prstGeom>
                          <a:ln>
                            <a:noFill/>
                          </a:ln>
                        </wps:spPr>
                        <wps:txbx>
                          <w:txbxContent>
                            <w:p w14:paraId="061A8216"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9036" name="Rectangle 19036"/>
                        <wps:cNvSpPr/>
                        <wps:spPr>
                          <a:xfrm rot="-10799999">
                            <a:off x="-1192865" y="646790"/>
                            <a:ext cx="5122022" cy="142889"/>
                          </a:xfrm>
                          <a:prstGeom prst="rect">
                            <a:avLst/>
                          </a:prstGeom>
                          <a:ln>
                            <a:noFill/>
                          </a:ln>
                        </wps:spPr>
                        <wps:txbx>
                          <w:txbxContent>
                            <w:p w14:paraId="2AAF40F9" w14:textId="77777777" w:rsidR="00B32EF2" w:rsidRDefault="00000000">
                              <w:r>
                                <w:rPr>
                                  <w:rFonts w:ascii="Arial" w:eastAsia="Arial" w:hAnsi="Arial" w:cs="Arial"/>
                                  <w:i/>
                                  <w:sz w:val="18"/>
                                </w:rPr>
                                <w:t xml:space="preserve">art. 76 D.lgs. 82/2005 “Scambio di documenti informatici nell’ambito del </w:t>
                              </w:r>
                            </w:p>
                          </w:txbxContent>
                        </wps:txbx>
                        <wps:bodyPr horzOverflow="overflow" vert="horz" lIns="0" tIns="0" rIns="0" bIns="0" rtlCol="0">
                          <a:noAutofit/>
                        </wps:bodyPr>
                      </wps:wsp>
                      <wps:wsp>
                        <wps:cNvPr id="19037" name="Rectangle 19037"/>
                        <wps:cNvSpPr/>
                        <wps:spPr>
                          <a:xfrm rot="-10799999">
                            <a:off x="1659959" y="507116"/>
                            <a:ext cx="2253423" cy="142889"/>
                          </a:xfrm>
                          <a:prstGeom prst="rect">
                            <a:avLst/>
                          </a:prstGeom>
                          <a:ln>
                            <a:noFill/>
                          </a:ln>
                        </wps:spPr>
                        <wps:txbx>
                          <w:txbxContent>
                            <w:p w14:paraId="13E83CF9" w14:textId="77777777" w:rsidR="00B32EF2" w:rsidRDefault="00000000">
                              <w:r>
                                <w:rPr>
                                  <w:rFonts w:ascii="Arial" w:eastAsia="Arial" w:hAnsi="Arial" w:cs="Arial"/>
                                  <w:i/>
                                  <w:sz w:val="18"/>
                                </w:rPr>
                                <w:t>Sistema pubblico di connettività “</w:t>
                              </w:r>
                            </w:p>
                          </w:txbxContent>
                        </wps:txbx>
                        <wps:bodyPr horzOverflow="overflow" vert="horz" lIns="0" tIns="0" rIns="0" bIns="0" rtlCol="0">
                          <a:noAutofit/>
                        </wps:bodyPr>
                      </wps:wsp>
                      <wps:wsp>
                        <wps:cNvPr id="19038" name="Shape 19038"/>
                        <wps:cNvSpPr/>
                        <wps:spPr>
                          <a:xfrm>
                            <a:off x="31732" y="473197"/>
                            <a:ext cx="3960000" cy="534505"/>
                          </a:xfrm>
                          <a:custGeom>
                            <a:avLst/>
                            <a:gdLst/>
                            <a:ahLst/>
                            <a:cxnLst/>
                            <a:rect l="0" t="0" r="0" b="0"/>
                            <a:pathLst>
                              <a:path w="3960000" h="534505">
                                <a:moveTo>
                                  <a:pt x="0" y="534505"/>
                                </a:moveTo>
                                <a:lnTo>
                                  <a:pt x="3960000" y="534505"/>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07971" name="Shape 207971"/>
                        <wps:cNvSpPr/>
                        <wps:spPr>
                          <a:xfrm>
                            <a:off x="31733" y="5342197"/>
                            <a:ext cx="3960000" cy="914298"/>
                          </a:xfrm>
                          <a:custGeom>
                            <a:avLst/>
                            <a:gdLst/>
                            <a:ahLst/>
                            <a:cxnLst/>
                            <a:rect l="0" t="0" r="0" b="0"/>
                            <a:pathLst>
                              <a:path w="3960000" h="914298">
                                <a:moveTo>
                                  <a:pt x="0" y="0"/>
                                </a:moveTo>
                                <a:lnTo>
                                  <a:pt x="3960000" y="0"/>
                                </a:lnTo>
                                <a:lnTo>
                                  <a:pt x="3960000" y="914298"/>
                                </a:lnTo>
                                <a:lnTo>
                                  <a:pt x="0" y="914298"/>
                                </a:lnTo>
                                <a:lnTo>
                                  <a:pt x="0" y="0"/>
                                </a:lnTo>
                              </a:path>
                            </a:pathLst>
                          </a:custGeom>
                          <a:ln w="0" cap="flat">
                            <a:miter lim="100000"/>
                          </a:ln>
                        </wps:spPr>
                        <wps:style>
                          <a:lnRef idx="0">
                            <a:srgbClr val="000000">
                              <a:alpha val="0"/>
                            </a:srgbClr>
                          </a:lnRef>
                          <a:fillRef idx="1">
                            <a:srgbClr val="C3C3C3"/>
                          </a:fillRef>
                          <a:effectRef idx="0">
                            <a:scrgbClr r="0" g="0" b="0"/>
                          </a:effectRef>
                          <a:fontRef idx="none"/>
                        </wps:style>
                        <wps:bodyPr/>
                      </wps:wsp>
                      <wps:wsp>
                        <wps:cNvPr id="19040" name="Rectangle 19040"/>
                        <wps:cNvSpPr/>
                        <wps:spPr>
                          <a:xfrm rot="-10799999">
                            <a:off x="-1187234" y="6035263"/>
                            <a:ext cx="5100618" cy="142891"/>
                          </a:xfrm>
                          <a:prstGeom prst="rect">
                            <a:avLst/>
                          </a:prstGeom>
                          <a:ln>
                            <a:noFill/>
                          </a:ln>
                        </wps:spPr>
                        <wps:txbx>
                          <w:txbxContent>
                            <w:p w14:paraId="468CE62A" w14:textId="77777777" w:rsidR="00B32EF2" w:rsidRDefault="00000000">
                              <w:r>
                                <w:rPr>
                                  <w:rFonts w:ascii="Arial" w:eastAsia="Arial" w:hAnsi="Arial" w:cs="Arial"/>
                                  <w:i/>
                                  <w:sz w:val="18"/>
                                </w:rPr>
                                <w:t xml:space="preserve">se quest’ultimo non deve eseguirla a mezzo di posta elettronica certificata </w:t>
                              </w:r>
                            </w:p>
                          </w:txbxContent>
                        </wps:txbx>
                        <wps:bodyPr horzOverflow="overflow" vert="horz" lIns="0" tIns="0" rIns="0" bIns="0" rtlCol="0">
                          <a:noAutofit/>
                        </wps:bodyPr>
                      </wps:wsp>
                      <wps:wsp>
                        <wps:cNvPr id="19041" name="Rectangle 19041"/>
                        <wps:cNvSpPr/>
                        <wps:spPr>
                          <a:xfrm rot="-10799999">
                            <a:off x="-1188204" y="5911934"/>
                            <a:ext cx="5102731" cy="142889"/>
                          </a:xfrm>
                          <a:prstGeom prst="rect">
                            <a:avLst/>
                          </a:prstGeom>
                          <a:ln>
                            <a:noFill/>
                          </a:ln>
                        </wps:spPr>
                        <wps:txbx>
                          <w:txbxContent>
                            <w:p w14:paraId="4B0EAD7B" w14:textId="77777777" w:rsidR="00B32EF2" w:rsidRDefault="00000000">
                              <w:r>
                                <w:rPr>
                                  <w:rFonts w:ascii="Arial" w:eastAsia="Arial" w:hAnsi="Arial" w:cs="Arial"/>
                                  <w:i/>
                                  <w:sz w:val="18"/>
                                </w:rPr>
                                <w:t xml:space="preserve">o servizio elettronico di recapito certificato qualificato, o con altra modalità </w:t>
                              </w:r>
                            </w:p>
                          </w:txbxContent>
                        </wps:txbx>
                        <wps:bodyPr horzOverflow="overflow" vert="horz" lIns="0" tIns="0" rIns="0" bIns="0" rtlCol="0">
                          <a:noAutofit/>
                        </wps:bodyPr>
                      </wps:wsp>
                      <wps:wsp>
                        <wps:cNvPr id="19042" name="Rectangle 19042"/>
                        <wps:cNvSpPr/>
                        <wps:spPr>
                          <a:xfrm rot="-10799999">
                            <a:off x="-1187310" y="5788605"/>
                            <a:ext cx="5100694" cy="142889"/>
                          </a:xfrm>
                          <a:prstGeom prst="rect">
                            <a:avLst/>
                          </a:prstGeom>
                          <a:ln>
                            <a:noFill/>
                          </a:ln>
                        </wps:spPr>
                        <wps:txbx>
                          <w:txbxContent>
                            <w:p w14:paraId="71A0A105" w14:textId="77777777" w:rsidR="00B32EF2" w:rsidRDefault="00000000">
                              <w:r>
                                <w:rPr>
                                  <w:rFonts w:ascii="Arial" w:eastAsia="Arial" w:hAnsi="Arial" w:cs="Arial"/>
                                  <w:i/>
                                  <w:sz w:val="18"/>
                                </w:rPr>
                                <w:t xml:space="preserve">prevista dalla legge, salvo che l’avvocato dichiari che la notificazione con le </w:t>
                              </w:r>
                            </w:p>
                          </w:txbxContent>
                        </wps:txbx>
                        <wps:bodyPr horzOverflow="overflow" vert="horz" lIns="0" tIns="0" rIns="0" bIns="0" rtlCol="0">
                          <a:noAutofit/>
                        </wps:bodyPr>
                      </wps:wsp>
                      <wps:wsp>
                        <wps:cNvPr id="19043" name="Rectangle 19043"/>
                        <wps:cNvSpPr/>
                        <wps:spPr>
                          <a:xfrm rot="-10799999">
                            <a:off x="-1189438" y="5665275"/>
                            <a:ext cx="5108994" cy="142889"/>
                          </a:xfrm>
                          <a:prstGeom prst="rect">
                            <a:avLst/>
                          </a:prstGeom>
                          <a:ln>
                            <a:noFill/>
                          </a:ln>
                        </wps:spPr>
                        <wps:txbx>
                          <w:txbxContent>
                            <w:p w14:paraId="66D836F1" w14:textId="77777777" w:rsidR="00B32EF2" w:rsidRDefault="00000000">
                              <w:r>
                                <w:rPr>
                                  <w:rFonts w:ascii="Arial" w:eastAsia="Arial" w:hAnsi="Arial" w:cs="Arial"/>
                                  <w:i/>
                                  <w:sz w:val="18"/>
                                </w:rPr>
                                <w:t xml:space="preserve">predette modalità non è possibile o non ha avuto esito positivo per cause </w:t>
                              </w:r>
                            </w:p>
                          </w:txbxContent>
                        </wps:txbx>
                        <wps:bodyPr horzOverflow="overflow" vert="horz" lIns="0" tIns="0" rIns="0" bIns="0" rtlCol="0">
                          <a:noAutofit/>
                        </wps:bodyPr>
                      </wps:wsp>
                      <wps:wsp>
                        <wps:cNvPr id="19044" name="Rectangle 19044"/>
                        <wps:cNvSpPr/>
                        <wps:spPr>
                          <a:xfrm rot="-10799999">
                            <a:off x="-1185486" y="5541945"/>
                            <a:ext cx="5092925" cy="142889"/>
                          </a:xfrm>
                          <a:prstGeom prst="rect">
                            <a:avLst/>
                          </a:prstGeom>
                          <a:ln>
                            <a:noFill/>
                          </a:ln>
                        </wps:spPr>
                        <wps:txbx>
                          <w:txbxContent>
                            <w:p w14:paraId="6B1E8443" w14:textId="77777777" w:rsidR="00B32EF2" w:rsidRDefault="00000000">
                              <w:r>
                                <w:rPr>
                                  <w:rFonts w:ascii="Arial" w:eastAsia="Arial" w:hAnsi="Arial" w:cs="Arial"/>
                                  <w:i/>
                                  <w:sz w:val="18"/>
                                </w:rPr>
                                <w:t xml:space="preserve">non imputabili al destinatario. Della dichiarazione è dato atto nella relazione </w:t>
                              </w:r>
                            </w:p>
                          </w:txbxContent>
                        </wps:txbx>
                        <wps:bodyPr horzOverflow="overflow" vert="horz" lIns="0" tIns="0" rIns="0" bIns="0" rtlCol="0">
                          <a:noAutofit/>
                        </wps:bodyPr>
                      </wps:wsp>
                      <wps:wsp>
                        <wps:cNvPr id="19045" name="Rectangle 19045"/>
                        <wps:cNvSpPr/>
                        <wps:spPr>
                          <a:xfrm rot="-10799999">
                            <a:off x="2852107" y="5418616"/>
                            <a:ext cx="1061275" cy="142889"/>
                          </a:xfrm>
                          <a:prstGeom prst="rect">
                            <a:avLst/>
                          </a:prstGeom>
                          <a:ln>
                            <a:noFill/>
                          </a:ln>
                        </wps:spPr>
                        <wps:txbx>
                          <w:txbxContent>
                            <w:p w14:paraId="7CD04761" w14:textId="77777777" w:rsidR="00B32EF2" w:rsidRDefault="00000000">
                              <w:r>
                                <w:rPr>
                                  <w:rFonts w:ascii="Arial" w:eastAsia="Arial" w:hAnsi="Arial" w:cs="Arial"/>
                                  <w:i/>
                                  <w:sz w:val="18"/>
                                </w:rPr>
                                <w:t>di notificazione.</w:t>
                              </w:r>
                            </w:p>
                          </w:txbxContent>
                        </wps:txbx>
                        <wps:bodyPr horzOverflow="overflow" vert="horz" lIns="0" tIns="0" rIns="0" bIns="0" rtlCol="0">
                          <a:noAutofit/>
                        </wps:bodyPr>
                      </wps:wsp>
                      <wps:wsp>
                        <wps:cNvPr id="19046" name="Shape 19046"/>
                        <wps:cNvSpPr/>
                        <wps:spPr>
                          <a:xfrm>
                            <a:off x="31732" y="5342199"/>
                            <a:ext cx="3960000" cy="914298"/>
                          </a:xfrm>
                          <a:custGeom>
                            <a:avLst/>
                            <a:gdLst/>
                            <a:ahLst/>
                            <a:cxnLst/>
                            <a:rect l="0" t="0" r="0" b="0"/>
                            <a:pathLst>
                              <a:path w="3960000" h="914298">
                                <a:moveTo>
                                  <a:pt x="0" y="914298"/>
                                </a:moveTo>
                                <a:lnTo>
                                  <a:pt x="3960000" y="914298"/>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D33618A" id="Group 201391" o:spid="_x0000_s4232" style="width:314.3pt;height:492.65pt;mso-position-horizontal-relative:char;mso-position-vertical-relative:line" coordsize="39918,62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9wCwwAAC6AAAAOAAAAZHJzL2Uyb0RvYy54bWzsXW1v2zgS/n7A/QfD39OIpF6DpotD97Y4&#10;4HC72N37AYojxwZky5DcJr1ff8/wTS9m2pyEC4PltkBsUxJF8dEMn5khh+9/eDrUqy9V2+2b4+2a&#10;vYvWq+q4ae73x4fb9b9//+kqX6+6c3m8L+vmWN2uv1bd+ocPf/3L+8fTTcWbXVPfV+0KlRy7m8fT&#10;7Xp3Pp9urq+7za46lN275lQdcXDbtIfyjJ/tw/V9Wz6i9kN9zaMovX5s2vtT22yqrkPpj+rg+oOs&#10;f7utNueft9uuOq/q2zXadpZ/W/n3jv5ef3hf3jy05Wm33+hmlDNacSj3R9zUVvVjeS5Xn9v9RVWH&#10;/aZtumZ7frdpDtfNdrvfVPIZ8DQsmjzNp7b5fJLP8nDz+HCy3YSunfTT7Go3//ryqT39dvqlRU88&#10;nh7QF/IXPcvTtj3QJ1q5epJd9tV2WfV0Xm1QKIqC5Rl6doNjKU/SuMhUp2526PmL6za7v3/nymtz&#10;4+tRcx5PeEG6vg+6ZX3w2648VbJruxv0wS/tan+P9zcvCr5eHcsDXtVf8fKUx4e6Wqli2UHybNtd&#10;3U2HnjN9tWobvF9XLMoK+iffB913rIiimBXrFXrpKuX4qTrJdCPLcpHiMPUiT6I0Tum47Yry5tR2&#10;509Vc1jRl9t1i7bJ+ssv/+zO6lRzCjWnPtLfY/PTvq7VUSpBj5oW07fz092TfGyBG9L9qPCuuf+K&#10;3tg17X9+hlxv6+bxdt3ob2sSddyejq5X9T+OQIGkynxpzZc786U91x8bKXuqQX/7fG62e9ni/m66&#10;ZYBXteFVcBZunIXpCLwVM3BOokLwVOKcRFGR82QMdB4lUZYpoFnM87x4ZaBle/qu/4MDDaXK4+QS&#10;aV2u3/lZUHOexHECbQGRjfMcim8CNaQcko7xj4TaC9ZSiYSFNURvqr0l1rYrZmF9lTKW8e9irRW4&#10;F6zlqBsW1lCjTqxtV8zCmmGkjhlGtbcr17kZo4IZrB0qnEiZHcxmIX3FiyJLmEI6SwVLpZYobwwr&#10;E2mWpwJi702DS3YQllQ7eJnU4MuIGYcGj8xonYoCdHtMzBIR5QXYmDesYUSFRMElpvEzGtxaI/Pk&#10;mglIc4QXiVT4s2DDBvMHNgsKbNLVjtFaFS8h4VeM86hIUTdBnbAUtvNErjnjufDIwjMeHNTo7Skx&#10;I6gtbZkl1azg6MoeZ+1mMmM1gCeC7mukzuzwFAwnw1jpQtlSllkok0DDgaaBFoVg8JZAQ/SkLOFM&#10;xBFYmzeo7egUBtRwXWKkvIBaFi/R3QOBduLsWaCtbREMypApF8qWqswUaIgwy6AsaITmaZHHU4EW&#10;URGRGeZNoK1zKBiooV9dUFuqsgBqhBIk1CxOE+aCWsCY9wa1bFAwBjWFnRz2tCpeoruvGEm10FBH&#10;XCAIOBmmSapBxv1BbelmMFLtMKdl4NEYIAukmuIYUOCCaHwie3bAyMh14tWatpwzGKhdDlHImyUt&#10;C6DWUi2yLE34JdTyLt6kOg/LS0bi6whpqeLlCtxIdZoIpszzNyTVuSWewUi1y0eGN8CSlplSDR9Z&#10;Ri4wUuAJL3LMNJma1PCPe3SH5pZ4BgO1y0cGqC1pmQV1b1K7cfZrUueB+cgAp8tHJouX6W7O8yLW&#10;Ah1H0N4XAs2jnPsU6OB8ZKQ+HSY1ipdAPRBoJ86eBdrSzVDUNnP7yFC8BGUBA5qmfMoBGtEqhLTG&#10;A3SR5pzDuvPlNsnD8pDJ2LQDaV2+BGrEN/IYc6YV1iwpcmXRDHg3ApYClM8f2JZuBiHVElSH8tbl&#10;S8DmqUiiWMWyxNvE2vLNILCG3czc/lAUL0F6ME47cfY8TgfnH2NuVyiKl6AM5c2KJNXEOxJpkkzW&#10;cSA4zWKwcW/KWy0sCSnAwdyuUBQvgXog0E6c/Qo0+IN+uGDUttsLyiwxneUvUWEsTCMm5s0LJuAp&#10;o54dsDEKY2FesD+BDs41hqCx05K2tHQB1Dq2wTOa6yuFaAK1z4hlYTlIMFLt9oIiLLFEd4+C0zxN&#10;0yR9c1BbIhIM1G5XKNbELoEajpEsVrMQsBxPcCzWGKlv8qwwWo/py3PSL1EJAmgyminSNPWE6vIl&#10;UMsVHDpgybGWuogmWGMFR8G4R8dJYclIOFg7pFpivUysocFzTPxVhtYbBdvSkSDAhueEOzyiqniJ&#10;WMsVHFmidTgv0kQtmBjwMjhEkVnCow63dCQYqN3zQ7HAYgnUvU3NnTh7tqmtygoGZbcrlFszZIGh&#10;FWNgIJuaZYLDAz4iZTRQS23iiZRhhbd5j4OB2u0PRUxxiUArQ0tP+OYRxbXkuzPQ3QS1xwnfDAuF&#10;9BMGA7XbH6oS0ZBjeL5URwnYNaQaijxN1GyeEdR5wf25vpmyB0JyfZNhO7W0iJFZO2QW1CyFKNPk&#10;IUI6jwQM67H+5iJjMSIfvoxqhjUNIQm1NKgcTlFdvkyDcxhamIIgwU6RuEyN/gOxxnLMhIEPehus&#10;7RgVhAaXoDrkWpcvAZumI8RYp9NjPRFsRC89Y22DdkFgTbra4SxTxUuQ7i0tJmV6irNXS4upFA1B&#10;DdQONxmhbE3OWQM1XCdZLOft00idJGlSTIEGT5M56rwp77C8ZFJJO/i3Ll8i0tIlmtBkBwI7Fsgy&#10;OQXb8zI81i9eCEJ7S1AddrUuXwL2MFuVwloOjANW5h1rq7qCwBrKWrjd3yhegrR2oWixhrekwBQF&#10;VDiCGjf3F8JE3jTzhMFA7XZ/q+DyMhcKgtRKg7M8TdVy3SHU8FdRshUzXKvZfK+WBpr16xiCgdrt&#10;AxfWwzCLmWFshiWtJn6D7gqeTfQ3UicwuYLLIP3KeaAZLHqttoJAGgtgC8pSr7xlMvn7Spd9V3uT&#10;MtZp3JH0Am8GMbA4w4rpiaYWRYpUSVp8EwEXmUR9IL6bzyqLO1VpMrdjz4B7lcMdZTvzbfN0NF8p&#10;1/s3ty84lWe6jiqlryskbLdN2d2udUvo8AGJ3H9v5InnSWp+tLI/Wh+HZ9nK8NxyLMC55gzzeZL1&#10;Dc8cdYA5zXyq05Xb6cUnju+NRtDTyiz5tgdQOOzj+kidQYiU2FtiW5cqaf5hf8amE/X+ACbNM4IM&#10;L4F8qIsc+d35a11Rh9XHX6stsuXLjRCooGsf7j7W7epLSent5T+Vkb8+7UpdquvVp+p7oB66fovU&#10;/LZKJi8dVflR0H9dgz6Zrqvkrhb2ykhdudGtUVtbYIMIPLTZ4AJPZi+Sd26OZ3v9EdtyyJvQuKaf&#10;tjfNqV/o1yum5lfxIodbG2Gk78rqN7ZgwNywHImopPQirW88NZ9YkicpTQX2ppLtmBOESiZK7fBz&#10;quIlQF8xuL/yVFFq4JwpFjWgWZQ01GOySCwRMW9yMEg7wheEtHUPzaJZSPeKHOBqpgG21WBqNUAP&#10;NLZoEDECGv5E2qqsYIC2/mxFsghkO33qeZBpWBpwLMWcJceSb0gPqWUYpKVHzMHsVjQc/98Oxxo1&#10;9SVEa3SBoU3m85Jt9RRGMbfxmYpoTc/Z1E1XKebzQiYl2dK32JSiQapOx45DLjbloD6aTZlqXIRJ&#10;0555HCwcNiVtHOu4Gtg9L/BaTWRS2T2kUJnZ4svkXh4JZYHtT1QuKfBOr0KpW0LP0Uvc0PIwAtEf&#10;HYuNfa7/yfAZdYCp0HwOb//iE007VSXo1heK6zcNnxmiukjopAElzY8/DR/n3nNFFAMwh+GD4oV8&#10;OM+4XvmWYjYe5gFQhf2gmsDpmNLSCmP6qKVxA/k1e8v9f7af08StNzv/4LuSgRTFVikPthmUxUuh&#10;Rt4nNZk+KWAIXUQTME0Orqse6ld3PFrKHwolpgQgLqm2HtjnafE33BmwcnMAqZhdkmEDuotoAkk1&#10;fJRWql8dakv8g4HaHU1AzGepVBexTuCYYDnrRTgBChwZeH1CHVw4mFaduqTaunZmSzXm6MEvRuZt&#10;QkEi6UIYjNURJll7XA3FMDNYv8zBSDVciS6orXNnFtQ8p+mWyh8NoPN06r1C4BD2tkeHNBb8hYa0&#10;dUhb75XaiZmo6fMoTyxl5b1SlrLUi730WouSmPbI/nvblvKoqS8xl0cXGOPXfP7pvlpkSb8J95Xc&#10;nR2b0sug5kNbnnb7De16P/wtg4c3FW92TX1ftR/+CwAA//8DAFBLAwQUAAYACAAAACEA0kCvw90A&#10;AAAFAQAADwAAAGRycy9kb3ducmV2LnhtbEyPQUvDQBCF74L/YRnBm92kpSGN2ZRS1FMRbAXpbZqd&#10;JqHZ2ZDdJum/d/Wil4HHe7z3Tb6eTCsG6l1jWUE8i0AQl1Y3XCn4PLw+pSCcR9bYWiYFN3KwLu7v&#10;csy0HfmDhr2vRChhl6GC2vsuk9KVNRl0M9sRB+9se4M+yL6SuscxlJtWzqMokQYbDgs1drStqbzs&#10;r0bB24jjZhG/DLvLeXs7HpbvX7uYlHp8mDbPIDxN/i8MP/gBHYrAdLJX1k60CsIj/vcGL5mnCYiT&#10;glW6XIAscvmfvvgGAAD//wMAUEsBAi0AFAAGAAgAAAAhALaDOJL+AAAA4QEAABMAAAAAAAAAAAAA&#10;AAAAAAAAAFtDb250ZW50X1R5cGVzXS54bWxQSwECLQAUAAYACAAAACEAOP0h/9YAAACUAQAACwAA&#10;AAAAAAAAAAAAAAAvAQAAX3JlbHMvLnJlbHNQSwECLQAUAAYACAAAACEAF2svcAsMAAAugAAADgAA&#10;AAAAAAAAAAAAAAAuAgAAZHJzL2Uyb0RvYy54bWxQSwECLQAUAAYACAAAACEA0kCvw90AAAAFAQAA&#10;DwAAAAAAAAAAAAAAAABlDgAAZHJzL2Rvd25yZXYueG1sUEsFBgAAAAAEAAQA8wAAAG8PAAAAAA==&#10;">
                <v:rect id="Rectangle 18992" o:spid="_x0000_s4233" style="position:absolute;left:19004;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IvWxAAAAN4AAAAPAAAAZHJzL2Rvd25yZXYueG1sRE9Na8JA&#10;EL0X/A/LFLzVTT2UmLqKKNIcvFQjeByyY5KanV2yq4n++m6h4G0e73Pmy8G04kadbywreJ8kIIhL&#10;qxuuFBSH7VsKwgdkja1lUnAnD8vF6GWOmbY9f9NtHyoRQ9hnqKAOwWVS+rImg35iHXHkzrYzGCLs&#10;Kqk77GO4aeU0ST6kwYZjQ42O1jWVl/3VKDht2OXbXpbnx9rtfvK0/boWR6XGr8PqE0SgITzF/+5c&#10;x/npbDaFv3fiDXLxCwAA//8DAFBLAQItABQABgAIAAAAIQDb4fbL7gAAAIUBAAATAAAAAAAAAAAA&#10;AAAAAAAAAABbQ29udGVudF9UeXBlc10ueG1sUEsBAi0AFAAGAAgAAAAhAFr0LFu/AAAAFQEAAAsA&#10;AAAAAAAAAAAAAAAAHwEAAF9yZWxzLy5yZWxzUEsBAi0AFAAGAAgAAAAhABWoi9bEAAAA3gAAAA8A&#10;AAAAAAAAAAAAAAAABwIAAGRycy9kb3ducmV2LnhtbFBLBQYAAAAAAwADALcAAAD4AgAAAAA=&#10;" filled="f" stroked="f">
                  <v:textbox inset="0,0,0,0">
                    <w:txbxContent>
                      <w:p w14:paraId="52786C9D" w14:textId="77777777" w:rsidR="00B32EF2" w:rsidRDefault="00000000">
                        <w:r>
                          <w:rPr>
                            <w:rFonts w:ascii="Times New Roman" w:eastAsia="Times New Roman" w:hAnsi="Times New Roman" w:cs="Times New Roman"/>
                          </w:rPr>
                          <w:t>57</w:t>
                        </w:r>
                      </w:p>
                    </w:txbxContent>
                  </v:textbox>
                </v:rect>
                <v:rect id="Rectangle 18993" o:spid="_x0000_s4234" style="position:absolute;left:15093;top:50098;width:80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C5NxQAAAN4AAAAPAAAAZHJzL2Rvd25yZXYueG1sRE9La8JA&#10;EL4X+h+WEbzVjQoSU1cpFjEHLz4KPQ7ZMUmbnV2yq4n+erdQ8DYf33MWq9404kqtry0rGI8SEMSF&#10;1TWXCk7HzVsKwgdkjY1lUnAjD6vl68sCM2073tP1EEoRQ9hnqKAKwWVS+qIig35kHXHkzrY1GCJs&#10;S6lb7GK4aeQkSWbSYM2xoUJH64qK38PFKPj+ZJdvOlmc72u3+8nTZns5fSk1HPQf7yAC9eEp/nfn&#10;Os5P5/Mp/L0Tb5DLBwAAAP//AwBQSwECLQAUAAYACAAAACEA2+H2y+4AAACFAQAAEwAAAAAAAAAA&#10;AAAAAAAAAAAAW0NvbnRlbnRfVHlwZXNdLnhtbFBLAQItABQABgAIAAAAIQBa9CxbvwAAABUBAAAL&#10;AAAAAAAAAAAAAAAAAB8BAABfcmVscy8ucmVsc1BLAQItABQABgAIAAAAIQB65C5NxQAAAN4AAAAP&#10;AAAAAAAAAAAAAAAAAAcCAABkcnMvZG93bnJldi54bWxQSwUGAAAAAAMAAwC3AAAA+QIAAAAA&#10;" filled="f" stroked="f">
                  <v:textbox inset="0,0,0,0">
                    <w:txbxContent>
                      <w:p w14:paraId="1D048B7C" w14:textId="77777777" w:rsidR="00B32EF2" w:rsidRDefault="00000000">
                        <w:r>
                          <w:rPr>
                            <w:rFonts w:ascii="Arial" w:eastAsia="Arial" w:hAnsi="Arial" w:cs="Arial"/>
                            <w:b/>
                            <w:sz w:val="18"/>
                          </w:rPr>
                          <w:t>Articolo 61</w:t>
                        </w:r>
                      </w:p>
                    </w:txbxContent>
                  </v:textbox>
                </v:rect>
                <v:rect id="Rectangle 201245" o:spid="_x0000_s4235" style="position:absolute;left:22544;top:48864;width:219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E53yAAAAN8AAAAPAAAAZHJzL2Rvd25yZXYueG1sRI9Pa8JA&#10;FMTvgt9heYI33RhqkdRVRJHm0Ev9Az0+ss8kbfbtkl1N7Kd3CwWPw8z8hlmue9OIG7W+tqxgNk1A&#10;EBdW11wqOB33kwUIH5A1NpZJwZ08rFfDwRIzbTv+pNshlCJC2GeooArBZVL6oiKDfmodcfQutjUY&#10;omxLqVvsItw0Mk2SV2mw5rhQoaNtRcXP4WoUfO3Y5ftOFpffrfv4zhfN+/V0Vmo86jdvIAL14Rn+&#10;b+daQZrM0pc5/P2JX0CuHgAAAP//AwBQSwECLQAUAAYACAAAACEA2+H2y+4AAACFAQAAEwAAAAAA&#10;AAAAAAAAAAAAAAAAW0NvbnRlbnRfVHlwZXNdLnhtbFBLAQItABQABgAIAAAAIQBa9CxbvwAAABUB&#10;AAALAAAAAAAAAAAAAAAAAB8BAABfcmVscy8ucmVsc1BLAQItABQABgAIAAAAIQCcbE53yAAAAN8A&#10;AAAPAAAAAAAAAAAAAAAAAAcCAABkcnMvZG93bnJldi54bWxQSwUGAAAAAAMAAwC3AAAA/AIAAAAA&#10;" filled="f" stroked="f">
                  <v:textbox inset="0,0,0,0">
                    <w:txbxContent>
                      <w:p w14:paraId="74F3539B" w14:textId="77777777" w:rsidR="00B32EF2" w:rsidRDefault="00000000">
                        <w:r>
                          <w:rPr>
                            <w:rFonts w:ascii="Arial" w:eastAsia="Arial" w:hAnsi="Arial" w:cs="Arial"/>
                            <w:i/>
                            <w:sz w:val="18"/>
                          </w:rPr>
                          <w:t>(</w:t>
                        </w:r>
                      </w:p>
                    </w:txbxContent>
                  </v:textbox>
                </v:rect>
                <v:rect id="Rectangle 201246" o:spid="_x0000_s4236" style="position:absolute;left:-6117;top:48864;width:219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tAAyAAAAN8AAAAPAAAAZHJzL2Rvd25yZXYueG1sRI9Pa8JA&#10;FMTvBb/D8oTe6sZQRKIbEUWaQy+1Ch4f2Zc/mn27ZFeT9tN3C4Ueh5n5DbPejKYTD+p9a1nBfJaA&#10;IC6tbrlWcPo8vCxB+ICssbNMCr7IwyafPK0x03bgD3ocQy0ihH2GCpoQXCalLxsy6GfWEUevsr3B&#10;EGVfS93jEOGmk2mSLKTBluNCg452DZW3490ouOzZFYdBltX3zr1fi2X3dj+dlXqejtsViEBj+A//&#10;tQutIE3m6esCfv/ELyDzHwAAAP//AwBQSwECLQAUAAYACAAAACEA2+H2y+4AAACFAQAAEwAAAAAA&#10;AAAAAAAAAAAAAAAAW0NvbnRlbnRfVHlwZXNdLnhtbFBLAQItABQABgAIAAAAIQBa9CxbvwAAABUB&#10;AAALAAAAAAAAAAAAAAAAAB8BAABfcmVscy8ucmVsc1BLAQItABQABgAIAAAAIQBsvtAAyAAAAN8A&#10;AAAPAAAAAAAAAAAAAAAAAAcCAABkcnMvZG93bnJldi54bWxQSwUGAAAAAAMAAwC3AAAA/AIAAAAA&#10;" filled="f" stroked="f">
                  <v:textbox inset="0,0,0,0">
                    <w:txbxContent>
                      <w:p w14:paraId="3816DFEE" w14:textId="77777777" w:rsidR="00B32EF2" w:rsidRDefault="00000000">
                        <w:r>
                          <w:rPr>
                            <w:rFonts w:ascii="Arial" w:eastAsia="Arial" w:hAnsi="Arial" w:cs="Arial"/>
                            <w:i/>
                            <w:sz w:val="18"/>
                          </w:rPr>
                          <w:t>546/92)</w:t>
                        </w:r>
                      </w:p>
                    </w:txbxContent>
                  </v:textbox>
                </v:rect>
                <v:rect id="Rectangle 201247" o:spid="_x0000_s4237" style="position:absolute;left:10044;top:48864;width:219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nWbyAAAAN8AAAAPAAAAZHJzL2Rvd25yZXYueG1sRI9Pa8JA&#10;FMTvgt9heYI33RiKldRVRJHm0Ev9Az0+ss8kbfbtkl1N7Kd3CwWPw8z8hlmue9OIG7W+tqxgNk1A&#10;EBdW11wqOB33kwUIH5A1NpZJwZ08rFfDwRIzbTv+pNshlCJC2GeooArBZVL6oiKDfmodcfQutjUY&#10;omxLqVvsItw0Mk2SuTRYc1yo0NG2ouLncDUKvnbs8n0ni8vv1n1854vm/Xo6KzUe9Zs3EIH68Az/&#10;t3OtIE1m6csr/P2JX0CuHgAAAP//AwBQSwECLQAUAAYACAAAACEA2+H2y+4AAACFAQAAEwAAAAAA&#10;AAAAAAAAAAAAAAAAW0NvbnRlbnRfVHlwZXNdLnhtbFBLAQItABQABgAIAAAAIQBa9CxbvwAAABUB&#10;AAALAAAAAAAAAAAAAAAAAB8BAABfcmVscy8ucmVsc1BLAQItABQABgAIAAAAIQAD8nWbyAAAAN8A&#10;AAAPAAAAAAAAAAAAAAAAAAcCAABkcnMvZG93bnJldi54bWxQSwUGAAAAAAMAAwC3AAAA/AIAAAAA&#10;" filled="f" stroked="f">
                  <v:textbox inset="0,0,0,0">
                    <w:txbxContent>
                      <w:p w14:paraId="7B309A6E" w14:textId="77777777" w:rsidR="00B32EF2" w:rsidRDefault="00000000">
                        <w:r>
                          <w:rPr>
                            <w:rFonts w:ascii="Arial" w:eastAsia="Arial" w:hAnsi="Arial" w:cs="Arial"/>
                            <w:i/>
                            <w:sz w:val="18"/>
                          </w:rPr>
                          <w:t xml:space="preserve">articolo 16-bis D.lgs. n. </w:t>
                        </w:r>
                      </w:p>
                    </w:txbxContent>
                  </v:textbox>
                </v:rect>
                <v:rect id="Rectangle 18995" o:spid="_x0000_s4238" style="position:absolute;left:-2997;top:47631;width:367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ROixQAAAN4AAAAPAAAAZHJzL2Rvd25yZXYueG1sRE9La8JA&#10;EL4X+h+WEbzVjYISU1cpFjEHLz4KPQ7ZMUmbnV2yq4n+erdQ8DYf33MWq9404kqtry0rGI8SEMSF&#10;1TWXCk7HzVsKwgdkjY1lUnAjD6vl68sCM2073tP1EEoRQ9hnqKAKwWVS+qIig35kHXHkzrY1GCJs&#10;S6lb7GK4aeQkSWbSYM2xoUJH64qK38PFKPj+ZJdvOlmc72u3+8nTZns5fSk1HPQf7yAC9eEp/nfn&#10;Os5P5/Mp/L0Tb5DLBwAAAP//AwBQSwECLQAUAAYACAAAACEA2+H2y+4AAACFAQAAEwAAAAAAAAAA&#10;AAAAAAAAAAAAW0NvbnRlbnRfVHlwZXNdLnhtbFBLAQItABQABgAIAAAAIQBa9CxbvwAAABUBAAAL&#10;AAAAAAAAAAAAAAAAAB8BAABfcmVscy8ucmVsc1BLAQItABQABgAIAAAAIQCaQROixQAAAN4AAAAP&#10;AAAAAAAAAAAAAAAAAAcCAABkcnMvZG93bnJldi54bWxQSwUGAAAAAAMAAwC3AAAA+QIAAAAA&#10;" filled="f" stroked="f">
                  <v:textbox inset="0,0,0,0">
                    <w:txbxContent>
                      <w:p w14:paraId="52BC1914" w14:textId="77777777" w:rsidR="00B32EF2" w:rsidRDefault="00000000">
                        <w:r>
                          <w:rPr>
                            <w:rFonts w:ascii="Arial" w:eastAsia="Arial" w:hAnsi="Arial" w:cs="Arial"/>
                            <w:b/>
                            <w:sz w:val="18"/>
                          </w:rPr>
                          <w:t xml:space="preserve">Comunicazioni, notificazioni e depositi telematici </w:t>
                        </w:r>
                      </w:p>
                    </w:txbxContent>
                  </v:textbox>
                </v:rect>
                <v:rect id="Rectangle 201243" o:spid="_x0000_s4239" style="position:absolute;left:26110;top:4639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XOYyAAAAN8AAAAPAAAAZHJzL2Rvd25yZXYueG1sRI9Pa8JA&#10;FMTvgt9heYI33ZhKkdRVRJHm0Ev9Az0+ss8kbfbtkl1N7Kd3CwWPw8z8hlmue9OIG7W+tqxgNk1A&#10;EBdW11wqOB33kwUIH5A1NpZJwZ08rFfDwRIzbTv+pNshlCJC2GeooArBZVL6oiKDfmodcfQutjUY&#10;omxLqVvsItw0Mk2SV2mw5rhQoaNtRcXP4WoUfO3Y5ftOFpffrfv4zhfN+/V0Vmo86jdvIAL14Rn+&#10;b+daQZrM0vkL/P2JX0CuHgAAAP//AwBQSwECLQAUAAYACAAAACEA2+H2y+4AAACFAQAAEwAAAAAA&#10;AAAAAAAAAAAAAAAAW0NvbnRlbnRfVHlwZXNdLnhtbFBLAQItABQABgAIAAAAIQBa9CxbvwAAABUB&#10;AAALAAAAAAAAAAAAAAAAAB8BAABfcmVscy8ucmVsc1BLAQItABQABgAIAAAAIQB8yXOYyAAAAN8A&#10;AAAPAAAAAAAAAAAAAAAAAAcCAABkcnMvZG93bnJldi54bWxQSwUGAAAAAAMAAwC3AAAA/AIAAAAA&#10;" filled="f" stroked="f">
                  <v:textbox inset="0,0,0,0">
                    <w:txbxContent>
                      <w:p w14:paraId="4912C69B" w14:textId="77777777" w:rsidR="00B32EF2" w:rsidRDefault="00000000">
                        <w:r>
                          <w:rPr>
                            <w:rFonts w:ascii="Arial" w:eastAsia="Arial" w:hAnsi="Arial" w:cs="Arial"/>
                            <w:sz w:val="18"/>
                          </w:rPr>
                          <w:t>1</w:t>
                        </w:r>
                      </w:p>
                    </w:txbxContent>
                  </v:textbox>
                </v:rect>
                <v:rect id="Rectangle 201244" o:spid="_x0000_s4240" style="position:absolute;left:-13763;top:4639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OvsyAAAAN8AAAAPAAAAZHJzL2Rvd25yZXYueG1sRI9La8Mw&#10;EITvhfwHsYXeGjkmlOBEDiUh1IdemgfkuFjrR2uthKXEbn59VCjkOMzMN8xqPZpOXKn3rWUFs2kC&#10;gri0uuVawfGwe12A8AFZY2eZFPySh3U+eVphpu3AX3Tdh1pECPsMFTQhuExKXzZk0E+tI45eZXuD&#10;Icq+lrrHIcJNJ9MkeZMGW44LDTraNFT+7C9GwXnLrtgNsqxuG/f5XSy6j8vxpNTL8/i+BBFoDI/w&#10;f7vQCtJkls7n8PcnfgGZ3wEAAP//AwBQSwECLQAUAAYACAAAACEA2+H2y+4AAACFAQAAEwAAAAAA&#10;AAAAAAAAAAAAAAAAW0NvbnRlbnRfVHlwZXNdLnhtbFBLAQItABQABgAIAAAAIQBa9CxbvwAAABUB&#10;AAALAAAAAAAAAAAAAAAAAB8BAABfcmVscy8ucmVsc1BLAQItABQABgAIAAAAIQDzIOvsyAAAAN8A&#10;AAAPAAAAAAAAAAAAAAAAAAcCAABkcnMvZG93bnJldi54bWxQSwUGAAAAAAMAAwC3AAAA/AIAAAAA&#10;" filled="f" stroked="f">
                  <v:textbox inset="0,0,0,0">
                    <w:txbxContent>
                      <w:p w14:paraId="466AB07D" w14:textId="77777777" w:rsidR="00B32EF2" w:rsidRDefault="00000000">
                        <w:r>
                          <w:rPr>
                            <w:rFonts w:ascii="Arial" w:eastAsia="Arial" w:hAnsi="Arial" w:cs="Arial"/>
                            <w:sz w:val="18"/>
                          </w:rPr>
                          <w:t xml:space="preserve">. Le comunicazioni sono effettuate mediante posta elettronica certificata ai </w:t>
                        </w:r>
                      </w:p>
                    </w:txbxContent>
                  </v:textbox>
                </v:rect>
                <v:rect id="Rectangle 18997" o:spid="_x0000_s4241" style="position:absolute;left:-12209;top:45165;width:5212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yhOxQAAAN4AAAAPAAAAZHJzL2Rvd25yZXYueG1sRE9La8JA&#10;EL4X+h+WEbzVjR40pq5SLGIOXnwUehyyY5I2O7tkVxP99W6h4G0+vucsVr1pxJVaX1tWMB4lIIgL&#10;q2suFZyOm7cUhA/IGhvLpOBGHlbL15cFZtp2vKfrIZQihrDPUEEVgsuk9EVFBv3IOuLInW1rMETY&#10;llK32MVw08hJkkylwZpjQ4WO1hUVv4eLUfD9yS7fdLI439du95OnzfZy+lJqOOg/3kEE6sNT/O/O&#10;dZyfzucz+Hsn3iCXDwAAAP//AwBQSwECLQAUAAYACAAAACEA2+H2y+4AAACFAQAAEwAAAAAAAAAA&#10;AAAAAAAAAAAAW0NvbnRlbnRfVHlwZXNdLnhtbFBLAQItABQABgAIAAAAIQBa9CxbvwAAABUBAAAL&#10;AAAAAAAAAAAAAAAAAB8BAABfcmVscy8ucmVsc1BLAQItABQABgAIAAAAIQAF3yhOxQAAAN4AAAAP&#10;AAAAAAAAAAAAAAAAAAcCAABkcnMvZG93bnJldi54bWxQSwUGAAAAAAMAAwC3AAAA+QIAAAAA&#10;" filled="f" stroked="f">
                  <v:textbox inset="0,0,0,0">
                    <w:txbxContent>
                      <w:p w14:paraId="021FC869" w14:textId="77777777" w:rsidR="00B32EF2" w:rsidRDefault="00000000">
                        <w:r>
                          <w:rPr>
                            <w:rFonts w:ascii="Arial" w:eastAsia="Arial" w:hAnsi="Arial" w:cs="Arial"/>
                            <w:sz w:val="18"/>
                          </w:rPr>
                          <w:t>sensi del decreto legislativo 7 marzo 2005, n. 82. Tra le pubbliche amministra</w:t>
                        </w:r>
                      </w:p>
                    </w:txbxContent>
                  </v:textbox>
                </v:rect>
                <v:rect id="Rectangle 18998" o:spid="_x0000_s4242" style="position:absolute;left:192;top:45165;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Lw8yAAAAN4AAAAPAAAAZHJzL2Rvd25yZXYueG1sRI9Pb8Iw&#10;DMXvk/YdIk/abaTbYSqFgBATWg+78GfSjlZj2kLjRE2g3T79fEDiZus9v/fzfDm6Tl2pj61nA6+T&#10;DBRx5W3LtYHDfvOSg4oJ2WLnmQz8UoTl4vFhjoX1A2/puku1khCOBRpoUgqF1rFqyGGc+EAs2tH3&#10;DpOsfa1tj4OEu06/Zdm7dtiyNDQYaN1Qdd5dnIGfDw7lZtDV8W8dvk5l3n1eDt/GPD+NqxmoRGO6&#10;m2/XpRX8fDoVXnlHZtCLfwAAAP//AwBQSwECLQAUAAYACAAAACEA2+H2y+4AAACFAQAAEwAAAAAA&#10;AAAAAAAAAAAAAAAAW0NvbnRlbnRfVHlwZXNdLnhtbFBLAQItABQABgAIAAAAIQBa9CxbvwAAABUB&#10;AAALAAAAAAAAAAAAAAAAAB8BAABfcmVscy8ucmVsc1BLAQItABQABgAIAAAAIQB0QLw8yAAAAN4A&#10;AAAPAAAAAAAAAAAAAAAAAAcCAABkcnMvZG93bnJldi54bWxQSwUGAAAAAAMAAwC3AAAA/AIAAAAA&#10;" filled="f" stroked="f">
                  <v:textbox inset="0,0,0,0">
                    <w:txbxContent>
                      <w:p w14:paraId="06ABBF25" w14:textId="77777777" w:rsidR="00B32EF2" w:rsidRDefault="00000000">
                        <w:r>
                          <w:rPr>
                            <w:rFonts w:ascii="Arial" w:eastAsia="Arial" w:hAnsi="Arial" w:cs="Arial"/>
                            <w:sz w:val="18"/>
                          </w:rPr>
                          <w:t>-</w:t>
                        </w:r>
                      </w:p>
                    </w:txbxContent>
                  </v:textbox>
                </v:rect>
                <v:rect id="Rectangle 18999" o:spid="_x0000_s4243" style="position:absolute;left:-12210;top:43931;width:521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BmnxAAAAN4AAAAPAAAAZHJzL2Rvd25yZXYueG1sRE9Na8JA&#10;EL0X/A/LCN7qRg+SRFcRRcyhl1oFj0N2TNJmZ5fsamJ/fbdQ6G0e73NWm8G04kGdbywrmE0TEMSl&#10;1Q1XCs4fh9cUhA/IGlvLpOBJHjbr0csKc217fqfHKVQihrDPUUEdgsul9GVNBv3UOuLI3WxnMETY&#10;VVJ32Mdw08p5kiykwYZjQ42OdjWVX6e7UXDdsysOvSxv3zv39lmk7fF+vig1GQ/bJYhAQ/gX/7kL&#10;HeenWZbB7zvxBrn+AQAA//8DAFBLAQItABQABgAIAAAAIQDb4fbL7gAAAIUBAAATAAAAAAAAAAAA&#10;AAAAAAAAAABbQ29udGVudF9UeXBlc10ueG1sUEsBAi0AFAAGAAgAAAAhAFr0LFu/AAAAFQEAAAsA&#10;AAAAAAAAAAAAAAAAHwEAAF9yZWxzLy5yZWxzUEsBAi0AFAAGAAgAAAAhABsMGafEAAAA3gAAAA8A&#10;AAAAAAAAAAAAAAAABwIAAGRycy9kb3ducmV2LnhtbFBLBQYAAAAAAwADALcAAAD4AgAAAAA=&#10;" filled="f" stroked="f">
                  <v:textbox inset="0,0,0,0">
                    <w:txbxContent>
                      <w:p w14:paraId="32D48408" w14:textId="77777777" w:rsidR="00B32EF2" w:rsidRDefault="00000000">
                        <w:r>
                          <w:rPr>
                            <w:rFonts w:ascii="Arial" w:eastAsia="Arial" w:hAnsi="Arial" w:cs="Arial"/>
                            <w:sz w:val="18"/>
                          </w:rPr>
                          <w:t>zioni di cui all’articolo 2, comma 2, del predetto decreto legislativo, le comuni</w:t>
                        </w:r>
                      </w:p>
                    </w:txbxContent>
                  </v:textbox>
                </v:rect>
                <v:rect id="Rectangle 19000" o:spid="_x0000_s4244" style="position:absolute;left:192;top:4393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IiqxwAAAN4AAAAPAAAAZHJzL2Rvd25yZXYueG1sRI9Bb8Iw&#10;DIXvk/YfIk/abSTbYWKFgCYmtB64jIHE0WpMW2icqAm049fPh0m72fLze++bL0ffqSv1qQ1s4Xli&#10;QBFXwbVcW9h9r5+moFJGdtgFJgs/lGC5uL+bY+HCwF903eZaiQmnAi00OcdC61Q15DFNQiSW2zH0&#10;HrOsfa1dj4OY+06/GPOqPbYsCQ1GWjVUnbcXb+HwwbFcD7o63lZxcyqn3edlt7f28WF8n4HKNOZ/&#10;8d936aT+mzECIDgyg178AgAA//8DAFBLAQItABQABgAIAAAAIQDb4fbL7gAAAIUBAAATAAAAAAAA&#10;AAAAAAAAAAAAAABbQ29udGVudF9UeXBlc10ueG1sUEsBAi0AFAAGAAgAAAAhAFr0LFu/AAAAFQEA&#10;AAsAAAAAAAAAAAAAAAAAHwEAAF9yZWxzLy5yZWxzUEsBAi0AFAAGAAgAAAAhAMoYiKrHAAAA3gAA&#10;AA8AAAAAAAAAAAAAAAAABwIAAGRycy9kb3ducmV2LnhtbFBLBQYAAAAAAwADALcAAAD7AgAAAAA=&#10;" filled="f" stroked="f">
                  <v:textbox inset="0,0,0,0">
                    <w:txbxContent>
                      <w:p w14:paraId="4DD76284" w14:textId="77777777" w:rsidR="00B32EF2" w:rsidRDefault="00000000">
                        <w:r>
                          <w:rPr>
                            <w:rFonts w:ascii="Arial" w:eastAsia="Arial" w:hAnsi="Arial" w:cs="Arial"/>
                            <w:sz w:val="18"/>
                          </w:rPr>
                          <w:t>-</w:t>
                        </w:r>
                      </w:p>
                    </w:txbxContent>
                  </v:textbox>
                </v:rect>
                <v:rect id="Rectangle 19001" o:spid="_x0000_s4245" style="position:absolute;left:-13171;top:4269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C0xxQAAAN4AAAAPAAAAZHJzL2Rvd25yZXYueG1sRE87a8Mw&#10;EN4L+Q/iCt0aKRlK4kQ2JSHEQ5fmARkP62K7tU7CUmK3v74qFLrdx/e8dTHaTtypD61jDbOpAkFc&#10;OdNyreF03D0vQISIbLBzTBq+KECRTx7WmBk38DvdD7EWKYRDhhqaGH0mZagashimzhMn7up6izHB&#10;vpamxyGF207OlXqRFltODQ162jRUfR5uVsNly77cDbK6fm/820e56Pa301nrp8fxdQUi0hj/xX/u&#10;0qT5S6Vm8PtOukHmPwAAAP//AwBQSwECLQAUAAYACAAAACEA2+H2y+4AAACFAQAAEwAAAAAAAAAA&#10;AAAAAAAAAAAAW0NvbnRlbnRfVHlwZXNdLnhtbFBLAQItABQABgAIAAAAIQBa9CxbvwAAABUBAAAL&#10;AAAAAAAAAAAAAAAAAB8BAABfcmVscy8ucmVsc1BLAQItABQABgAIAAAAIQClVC0xxQAAAN4AAAAP&#10;AAAAAAAAAAAAAAAAAAcCAABkcnMvZG93bnJldi54bWxQSwUGAAAAAAMAAwC3AAAA+QIAAAAA&#10;" filled="f" stroked="f">
                  <v:textbox inset="0,0,0,0">
                    <w:txbxContent>
                      <w:p w14:paraId="10332BF6" w14:textId="77777777" w:rsidR="00B32EF2" w:rsidRDefault="00000000">
                        <w:r>
                          <w:rPr>
                            <w:rFonts w:ascii="Arial" w:eastAsia="Arial" w:hAnsi="Arial" w:cs="Arial"/>
                            <w:sz w:val="18"/>
                          </w:rPr>
                          <w:t xml:space="preserve">cazioni sono effettuate anche ai sensi dell’articolo 76 del medesimo decreto. </w:t>
                        </w:r>
                      </w:p>
                    </w:txbxContent>
                  </v:textbox>
                </v:rect>
                <v:rect id="Rectangle 19002" o:spid="_x0000_s4246" style="position:absolute;left:-13171;top:4146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rNGxAAAAN4AAAAPAAAAZHJzL2Rvd25yZXYueG1sRE9LawIx&#10;EL4X/A9hBG810YPo1iiiiHvopT6gx2Ez7m67mYRNdLf99U1B8DYf33OW69424k5tqB1rmIwVCOLC&#10;mZpLDefT/nUOIkRkg41j0vBDAdarwcsSM+M6/qD7MZYihXDIUEMVo8+kDEVFFsPYeeLEXV1rMSbY&#10;ltK02KVw28ipUjNpsebUUKGnbUXF9/FmNXzu2Of7ThbX361//8rnzeF2vmg9GvabNxCR+vgUP9y5&#10;SfMXSk3h/510g1z9AQAA//8DAFBLAQItABQABgAIAAAAIQDb4fbL7gAAAIUBAAATAAAAAAAAAAAA&#10;AAAAAAAAAABbQ29udGVudF9UeXBlc10ueG1sUEsBAi0AFAAGAAgAAAAhAFr0LFu/AAAAFQEAAAsA&#10;AAAAAAAAAAAAAAAAHwEAAF9yZWxzLy5yZWxzUEsBAi0AFAAGAAgAAAAhAFWGs0bEAAAA3gAAAA8A&#10;AAAAAAAAAAAAAAAABwIAAGRycy9kb3ducmV2LnhtbFBLBQYAAAAAAwADALcAAAD4AgAAAAA=&#10;" filled="f" stroked="f">
                  <v:textbox inset="0,0,0,0">
                    <w:txbxContent>
                      <w:p w14:paraId="6B9FA175" w14:textId="77777777" w:rsidR="00B32EF2" w:rsidRDefault="00000000">
                        <w:r>
                          <w:rPr>
                            <w:rFonts w:ascii="Arial" w:eastAsia="Arial" w:hAnsi="Arial" w:cs="Arial"/>
                            <w:sz w:val="18"/>
                          </w:rPr>
                          <w:t xml:space="preserve">L’indirizzo di posta elettronica certificata del difensore o delle parti è indicato </w:t>
                        </w:r>
                      </w:p>
                    </w:txbxContent>
                  </v:textbox>
                </v:rect>
                <v:rect id="Rectangle 19003" o:spid="_x0000_s4247" style="position:absolute;left:-13171;top:4023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hbdxAAAAN4AAAAPAAAAZHJzL2Rvd25yZXYueG1sRE9LawIx&#10;EL4X/A9hhN5qooWiW6OIIt2DF1/Q47AZd7fdTMImult/fSMUepuP7znzZW8bcaM21I41jEcKBHHh&#10;TM2lhtNx+zIFESKywcYxafihAMvF4GmOmXEd7+l2iKVIIRwy1FDF6DMpQ1GRxTBynjhxF9dajAm2&#10;pTQtdincNnKi1Ju0WHNqqNDTuqLi+3C1Gj437PNtJ4vLfe13X/m0+biezlo/D/vVO4hIffwX/7lz&#10;k+bPlHqFxzvpBrn4BQAA//8DAFBLAQItABQABgAIAAAAIQDb4fbL7gAAAIUBAAATAAAAAAAAAAAA&#10;AAAAAAAAAABbQ29udGVudF9UeXBlc10ueG1sUEsBAi0AFAAGAAgAAAAhAFr0LFu/AAAAFQEAAAsA&#10;AAAAAAAAAAAAAAAAHwEAAF9yZWxzLy5yZWxzUEsBAi0AFAAGAAgAAAAhADrKFt3EAAAA3gAAAA8A&#10;AAAAAAAAAAAAAAAABwIAAGRycy9kb3ducmV2LnhtbFBLBQYAAAAAAwADALcAAAD4AgAAAAA=&#10;" filled="f" stroked="f">
                  <v:textbox inset="0,0,0,0">
                    <w:txbxContent>
                      <w:p w14:paraId="7448FD9A" w14:textId="77777777" w:rsidR="00B32EF2" w:rsidRDefault="00000000">
                        <w:r>
                          <w:rPr>
                            <w:rFonts w:ascii="Arial" w:eastAsia="Arial" w:hAnsi="Arial" w:cs="Arial"/>
                            <w:sz w:val="18"/>
                          </w:rPr>
                          <w:t xml:space="preserve">nel ricorso o nel primo atto difensivo. È onere del difensore comunicare ogni </w:t>
                        </w:r>
                      </w:p>
                    </w:txbxContent>
                  </v:textbox>
                </v:rect>
                <v:rect id="Rectangle 19004" o:spid="_x0000_s4248" style="position:absolute;left:-13171;top:3899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46pxAAAAN4AAAAPAAAAZHJzL2Rvd25yZXYueG1sRE9LawIx&#10;EL4X/A9hhN5qopSiW6OIIt2DF1/Q47AZd7fdTMImult/fSMUepuP7znzZW8bcaM21I41jEcKBHHh&#10;TM2lhtNx+zIFESKywcYxafihAMvF4GmOmXEd7+l2iKVIIRwy1FDF6DMpQ1GRxTBynjhxF9dajAm2&#10;pTQtdincNnKi1Ju0WHNqqNDTuqLi+3C1Gj437PNtJ4vLfe13X/m0+biezlo/D/vVO4hIffwX/7lz&#10;k+bPlHqFxzvpBrn4BQAA//8DAFBLAQItABQABgAIAAAAIQDb4fbL7gAAAIUBAAATAAAAAAAAAAAA&#10;AAAAAAAAAABbQ29udGVudF9UeXBlc10ueG1sUEsBAi0AFAAGAAgAAAAhAFr0LFu/AAAAFQEAAAsA&#10;AAAAAAAAAAAAAAAAHwEAAF9yZWxzLy5yZWxzUEsBAi0AFAAGAAgAAAAhALUjjqnEAAAA3gAAAA8A&#10;AAAAAAAAAAAAAAAABwIAAGRycy9kb3ducmV2LnhtbFBLBQYAAAAAAwADALcAAAD4AgAAAAA=&#10;" filled="f" stroked="f">
                  <v:textbox inset="0,0,0,0">
                    <w:txbxContent>
                      <w:p w14:paraId="441B19B0" w14:textId="77777777" w:rsidR="00B32EF2" w:rsidRDefault="00000000">
                        <w:r>
                          <w:rPr>
                            <w:rFonts w:ascii="Arial" w:eastAsia="Arial" w:hAnsi="Arial" w:cs="Arial"/>
                            <w:sz w:val="18"/>
                          </w:rPr>
                          <w:t xml:space="preserve">variazione dell’indirizzo di posta elettronica certificata a quelli delle altre parti </w:t>
                        </w:r>
                      </w:p>
                    </w:txbxContent>
                  </v:textbox>
                </v:rect>
                <v:rect id="Rectangle 19005" o:spid="_x0000_s4249" style="position:absolute;left:-13171;top:3776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ysyxAAAAN4AAAAPAAAAZHJzL2Rvd25yZXYueG1sRE9LawIx&#10;EL4X/A9hhN5qotCiW6OIIt2DF1/Q47AZd7fdTMImult/fSMUepuP7znzZW8bcaM21I41jEcKBHHh&#10;TM2lhtNx+zIFESKywcYxafihAMvF4GmOmXEd7+l2iKVIIRwy1FDF6DMpQ1GRxTBynjhxF9dajAm2&#10;pTQtdincNnKi1Ju0WHNqqNDTuqLi+3C1Gj437PNtJ4vLfe13X/m0+biezlo/D/vVO4hIffwX/7lz&#10;k+bPlHqFxzvpBrn4BQAA//8DAFBLAQItABQABgAIAAAAIQDb4fbL7gAAAIUBAAATAAAAAAAAAAAA&#10;AAAAAAAAAABbQ29udGVudF9UeXBlc10ueG1sUEsBAi0AFAAGAAgAAAAhAFr0LFu/AAAAFQEAAAsA&#10;AAAAAAAAAAAAAAAAHwEAAF9yZWxzLy5yZWxzUEsBAi0AFAAGAAgAAAAhANpvKzLEAAAA3gAAAA8A&#10;AAAAAAAAAAAAAAAABwIAAGRycy9kb3ducmV2LnhtbFBLBQYAAAAAAwADALcAAAD4AgAAAAA=&#10;" filled="f" stroked="f">
                  <v:textbox inset="0,0,0,0">
                    <w:txbxContent>
                      <w:p w14:paraId="6DC40CA4" w14:textId="77777777" w:rsidR="00B32EF2" w:rsidRDefault="00000000">
                        <w:r>
                          <w:rPr>
                            <w:rFonts w:ascii="Arial" w:eastAsia="Arial" w:hAnsi="Arial" w:cs="Arial"/>
                            <w:sz w:val="18"/>
                          </w:rPr>
                          <w:t xml:space="preserve">costituite e alla segreteria la quale, in difetto, non è tenuta a cercare il nuovo </w:t>
                        </w:r>
                      </w:p>
                    </w:txbxContent>
                  </v:textbox>
                </v:rect>
                <v:rect id="Rectangle 19006" o:spid="_x0000_s4250" style="position:absolute;left:-13171;top:3653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VFxwAAAN4AAAAPAAAAZHJzL2Rvd25yZXYueG1sRI9Ba8Mw&#10;DIXvg/4Ho0Jvq9MdSpbWLSUlLIddlnWwo4jVJG0sm9htsv36eTDYTeK99+lpu59ML+40+M6ygtUy&#10;AUFcW91xo+D0XjymIHxA1thbJgVf5GG/mz1sMdN25De6V6EREcI+QwVtCC6T0tctGfRL64ijdraD&#10;wRDXoZF6wDHCTS+fkmQtDXYcL7ToKG+pvlY3o+DzyK4sRlmfv3P3einT/uV2+lBqMZ8OGxCBpvBv&#10;/kuXOtZ/jkj4fSfOIHc/AAAA//8DAFBLAQItABQABgAIAAAAIQDb4fbL7gAAAIUBAAATAAAAAAAA&#10;AAAAAAAAAAAAAABbQ29udGVudF9UeXBlc10ueG1sUEsBAi0AFAAGAAgAAAAhAFr0LFu/AAAAFQEA&#10;AAsAAAAAAAAAAAAAAAAAHwEAAF9yZWxzLy5yZWxzUEsBAi0AFAAGAAgAAAAhACq9tUXHAAAA3gAA&#10;AA8AAAAAAAAAAAAAAAAABwIAAGRycy9kb3ducmV2LnhtbFBLBQYAAAAAAwADALcAAAD7AgAAAAA=&#10;" filled="f" stroked="f">
                  <v:textbox inset="0,0,0,0">
                    <w:txbxContent>
                      <w:p w14:paraId="6AFC825F" w14:textId="77777777" w:rsidR="00B32EF2" w:rsidRDefault="00000000">
                        <w:r>
                          <w:rPr>
                            <w:rFonts w:ascii="Arial" w:eastAsia="Arial" w:hAnsi="Arial" w:cs="Arial"/>
                            <w:sz w:val="18"/>
                          </w:rPr>
                          <w:t xml:space="preserve">indirizzo del difensore né ad effettuargli la comunicazione mediante deposito </w:t>
                        </w:r>
                      </w:p>
                    </w:txbxContent>
                  </v:textbox>
                </v:rect>
                <v:rect id="Rectangle 19007" o:spid="_x0000_s4251" style="position:absolute;left:-12207;top:35298;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RDexAAAAN4AAAAPAAAAZHJzL2Rvd25yZXYueG1sRE9LawIx&#10;EL4X/A9hhN5qoodWt0YRRboHL76gx2Ez7m67mYRNdLf++kYo9DYf33Pmy9424kZtqB1rGI8UCOLC&#10;mZpLDafj9mUKIkRkg41j0vBDAZaLwdMcM+M63tPtEEuRQjhkqKGK0WdShqIii2HkPHHiLq61GBNs&#10;S2la7FK4beREqVdpsebUUKGndUXF9+FqNXxu2OfbThaX+9rvvvJp83E9nbV+HvardxCR+vgv/nPn&#10;Js2fKfUGj3fSDXLxCwAA//8DAFBLAQItABQABgAIAAAAIQDb4fbL7gAAAIUBAAATAAAAAAAAAAAA&#10;AAAAAAAAAABbQ29udGVudF9UeXBlc10ueG1sUEsBAi0AFAAGAAgAAAAhAFr0LFu/AAAAFQEAAAsA&#10;AAAAAAAAAAAAAAAAHwEAAF9yZWxzLy5yZWxzUEsBAi0AFAAGAAgAAAAhAEXxEN7EAAAA3gAAAA8A&#10;AAAAAAAAAAAAAAAABwIAAGRycy9kb3ducmV2LnhtbFBLBQYAAAAAAwADALcAAAD4AgAAAAA=&#10;" filled="f" stroked="f">
                  <v:textbox inset="0,0,0,0">
                    <w:txbxContent>
                      <w:p w14:paraId="6476F2BF" w14:textId="77777777" w:rsidR="00B32EF2" w:rsidRDefault="00000000">
                        <w:r>
                          <w:rPr>
                            <w:rFonts w:ascii="Arial" w:eastAsia="Arial" w:hAnsi="Arial" w:cs="Arial"/>
                            <w:sz w:val="18"/>
                          </w:rPr>
                          <w:t>in segreteria. In caso di pluralità di difensori di una parte costituita, la comu</w:t>
                        </w:r>
                      </w:p>
                    </w:txbxContent>
                  </v:textbox>
                </v:rect>
                <v:rect id="Rectangle 19008" o:spid="_x0000_s4252" style="position:absolute;left:192;top:3529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oSsxwAAAN4AAAAPAAAAZHJzL2Rvd25yZXYueG1sRI9Bb8Iw&#10;DIXvk/YfIk/abSTbYWKFgCYmtB64jIHE0WpMW2icqAm049fPh0m72XrP732eL0ffqSv1qQ1s4Xli&#10;QBFXwbVcW9h9r5+moFJGdtgFJgs/lGC5uL+bY+HCwF903eZaSQinAi00OcdC61Q15DFNQiQW7Rh6&#10;j1nWvtaux0HCfadfjHnVHluWhgYjrRqqztuLt3D44FiuB10db6u4OZXT7vOy21v7+DC+z0BlGvO/&#10;+e+6dIL/Zozwyjsyg178AgAA//8DAFBLAQItABQABgAIAAAAIQDb4fbL7gAAAIUBAAATAAAAAAAA&#10;AAAAAAAAAAAAAABbQ29udGVudF9UeXBlc10ueG1sUEsBAi0AFAAGAAgAAAAhAFr0LFu/AAAAFQEA&#10;AAsAAAAAAAAAAAAAAAAAHwEAAF9yZWxzLy5yZWxzUEsBAi0AFAAGAAgAAAAhADRuhKzHAAAA3gAA&#10;AA8AAAAAAAAAAAAAAAAABwIAAGRycy9kb3ducmV2LnhtbFBLBQYAAAAAAwADALcAAAD7AgAAAAA=&#10;" filled="f" stroked="f">
                  <v:textbox inset="0,0,0,0">
                    <w:txbxContent>
                      <w:p w14:paraId="647D5376" w14:textId="77777777" w:rsidR="00B32EF2" w:rsidRDefault="00000000">
                        <w:r>
                          <w:rPr>
                            <w:rFonts w:ascii="Arial" w:eastAsia="Arial" w:hAnsi="Arial" w:cs="Arial"/>
                            <w:sz w:val="18"/>
                          </w:rPr>
                          <w:t>-</w:t>
                        </w:r>
                      </w:p>
                    </w:txbxContent>
                  </v:textbox>
                </v:rect>
                <v:rect id="Rectangle 19009" o:spid="_x0000_s4253" style="position:absolute;left:-12289;top:34065;width:522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iE3xAAAAN4AAAAPAAAAZHJzL2Rvd25yZXYueG1sRE9NawIx&#10;EL0X/A9hBG810YPoahRRxD30UqvgcdiMu9tuJmET3bW/vikUepvH+5zVpreNeFAbascaJmMFgrhw&#10;puZSw/nj8DoHESKywcYxaXhSgM168LLCzLiO3+lxiqVIIRwy1FDF6DMpQ1GRxTB2njhxN9dajAm2&#10;pTQtdincNnKq1ExarDk1VOhpV1HxdbpbDdc9+/zQyeL2vfNvn/m8Od7PF61Hw367BBGpj//iP3du&#10;0vyFUgv4fSfdINc/AAAA//8DAFBLAQItABQABgAIAAAAIQDb4fbL7gAAAIUBAAATAAAAAAAAAAAA&#10;AAAAAAAAAABbQ29udGVudF9UeXBlc10ueG1sUEsBAi0AFAAGAAgAAAAhAFr0LFu/AAAAFQEAAAsA&#10;AAAAAAAAAAAAAAAAHwEAAF9yZWxzLy5yZWxzUEsBAi0AFAAGAAgAAAAhAFsiITfEAAAA3gAAAA8A&#10;AAAAAAAAAAAAAAAABwIAAGRycy9kb3ducmV2LnhtbFBLBQYAAAAAAwADALcAAAD4AgAAAAA=&#10;" filled="f" stroked="f">
                  <v:textbox inset="0,0,0,0">
                    <w:txbxContent>
                      <w:p w14:paraId="583637C0" w14:textId="77777777" w:rsidR="00B32EF2" w:rsidRDefault="00000000">
                        <w:r>
                          <w:rPr>
                            <w:rFonts w:ascii="Arial" w:eastAsia="Arial" w:hAnsi="Arial" w:cs="Arial"/>
                            <w:sz w:val="18"/>
                          </w:rPr>
                          <w:t>nicazione è perfezionata se ricevuta da almeno uno di essi, cui spetta infor</w:t>
                        </w:r>
                      </w:p>
                    </w:txbxContent>
                  </v:textbox>
                </v:rect>
                <v:rect id="Rectangle 19010" o:spid="_x0000_s4254" style="position:absolute;left:192;top:3406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R53xwAAAN4AAAAPAAAAZHJzL2Rvd25yZXYueG1sRI9Bb8Iw&#10;DIXvk/YfIk/iNlJ2QKwjIMSE6GEXGJN2tBrTdjRO1ARa9uvxAYmbLT+/9775cnCtulAXG88GJuMM&#10;FHHpbcOVgcP35nUGKiZki61nMnClCMvF89Mcc+t73tFlnyolJhxzNFCnFHKtY1mTwzj2gVhuR985&#10;TLJ2lbYd9mLuWv2WZVPtsGFJqDHQuqbytD87A7+fHIpNr8vj/zp8/RWzdns+/BgzehlWH6ASDekh&#10;vn8XVuq/ZxMBEByZQS9uAAAA//8DAFBLAQItABQABgAIAAAAIQDb4fbL7gAAAIUBAAATAAAAAAAA&#10;AAAAAAAAAAAAAABbQ29udGVudF9UeXBlc10ueG1sUEsBAi0AFAAGAAgAAAAhAFr0LFu/AAAAFQEA&#10;AAsAAAAAAAAAAAAAAAAAHwEAAF9yZWxzLy5yZWxzUEsBAi0AFAAGAAgAAAAhAE/BHnfHAAAA3gAA&#10;AA8AAAAAAAAAAAAAAAAABwIAAGRycy9kb3ducmV2LnhtbFBLBQYAAAAAAwADALcAAAD7AgAAAAA=&#10;" filled="f" stroked="f">
                  <v:textbox inset="0,0,0,0">
                    <w:txbxContent>
                      <w:p w14:paraId="7BAEC601" w14:textId="77777777" w:rsidR="00B32EF2" w:rsidRDefault="00000000">
                        <w:r>
                          <w:rPr>
                            <w:rFonts w:ascii="Arial" w:eastAsia="Arial" w:hAnsi="Arial" w:cs="Arial"/>
                            <w:sz w:val="18"/>
                          </w:rPr>
                          <w:t>-</w:t>
                        </w:r>
                      </w:p>
                    </w:txbxContent>
                  </v:textbox>
                </v:rect>
                <v:rect id="Rectangle 19011" o:spid="_x0000_s4255" style="position:absolute;left:30236;top:32832;width:968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bvsxQAAAN4AAAAPAAAAZHJzL2Rvd25yZXYueG1sRE9La8JA&#10;EL4X+h+WEbzVTXoQm7oRsUhz6KU2Qo9DdvLQ7OySXU3qr3cLhd7m43vOejOZXlxp8J1lBekiAUFc&#10;Wd1xo6D82j+tQPiArLG3TAp+yMMmf3xYY6btyJ90PYRGxBD2GSpoQ3CZlL5qyaBfWEccudoOBkOE&#10;QyP1gGMMN718TpKlNNhxbGjR0a6l6ny4GAXfb+yK/Sir+rZzH6di1b9fyqNS89m0fQURaAr/4j93&#10;oeP8lyRN4fedeIPM7wAAAP//AwBQSwECLQAUAAYACAAAACEA2+H2y+4AAACFAQAAEwAAAAAAAAAA&#10;AAAAAAAAAAAAW0NvbnRlbnRfVHlwZXNdLnhtbFBLAQItABQABgAIAAAAIQBa9CxbvwAAABUBAAAL&#10;AAAAAAAAAAAAAAAAAB8BAABfcmVscy8ucmVsc1BLAQItABQABgAIAAAAIQAgjbvsxQAAAN4AAAAP&#10;AAAAAAAAAAAAAAAAAAcCAABkcnMvZG93bnJldi54bWxQSwUGAAAAAAMAAwC3AAAA+QIAAAAA&#10;" filled="f" stroked="f">
                  <v:textbox inset="0,0,0,0">
                    <w:txbxContent>
                      <w:p w14:paraId="3EDE287A" w14:textId="77777777" w:rsidR="00B32EF2" w:rsidRDefault="00000000">
                        <w:r>
                          <w:rPr>
                            <w:rFonts w:ascii="Arial" w:eastAsia="Arial" w:hAnsi="Arial" w:cs="Arial"/>
                            <w:sz w:val="18"/>
                          </w:rPr>
                          <w:t>marne gli altri.</w:t>
                        </w:r>
                      </w:p>
                    </w:txbxContent>
                  </v:textbox>
                </v:rect>
                <v:rect id="Rectangle 201241" o:spid="_x0000_s4256" style="position:absolute;left:-12849;top:31598;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0h0xwAAAN8AAAAPAAAAZHJzL2Rvd25yZXYueG1sRI9Ba8JA&#10;FITvQv/D8gredJMgIqmriCLm4EVrocdH9pmkZt8u2dXE/vpuodDjMDPfMMv1YFrxoM43lhWk0wQE&#10;cWl1w5WCy/t+sgDhA7LG1jIpeJKH9epltMRc255P9DiHSkQI+xwV1CG4XEpf1mTQT60jjt7VdgZD&#10;lF0ldYd9hJtWZkkylwYbjgs1OtrWVN7Od6Pgc8eu2PeyvH5v3fGrWLSH++VDqfHrsHkDEWgI/+G/&#10;dqEVZEmazVL4/RO/gFz9AAAA//8DAFBLAQItABQABgAIAAAAIQDb4fbL7gAAAIUBAAATAAAAAAAA&#10;AAAAAAAAAAAAAABbQ29udGVudF9UeXBlc10ueG1sUEsBAi0AFAAGAAgAAAAhAFr0LFu/AAAAFQEA&#10;AAsAAAAAAAAAAAAAAAAAHwEAAF9yZWxzLy5yZWxzUEsBAi0AFAAGAAgAAAAhAONXSHTHAAAA3wAA&#10;AA8AAAAAAAAAAAAAAAAABwIAAGRycy9kb3ducmV2LnhtbFBLBQYAAAAAAwADALcAAAD7AgAAAAA=&#10;" filled="f" stroked="f">
                  <v:textbox inset="0,0,0,0">
                    <w:txbxContent>
                      <w:p w14:paraId="4D43EE7A" w14:textId="77777777" w:rsidR="00B32EF2" w:rsidRDefault="00000000">
                        <w:r>
                          <w:rPr>
                            <w:rFonts w:ascii="Arial" w:eastAsia="Arial" w:hAnsi="Arial" w:cs="Arial"/>
                            <w:sz w:val="18"/>
                          </w:rPr>
                          <w:t>. Nelle ipotesi di mancata indicazione dell’indirizzo di posta elettronica certi</w:t>
                        </w:r>
                      </w:p>
                    </w:txbxContent>
                  </v:textbox>
                </v:rect>
                <v:rect id="Rectangle 201240" o:spid="_x0000_s4257" style="position:absolute;left:26350;top:31598;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vxQAAAN8AAAAPAAAAZHJzL2Rvd25yZXYueG1sRI/LisIw&#10;FIb3A75DOIK7MbUMg1SjiCLTxWy8gctDc2yrzUlooq3z9GYx4PLnv/HNl71pxINaX1tWMBknIIgL&#10;q2suFRwP288pCB+QNTaWScGTPCwXg485Ztp2vKPHPpQijrDPUEEVgsuk9EVFBv3YOuLoXWxrMETZ&#10;llK32MVx08g0Sb6lwZrjQ4WO1hUVt/3dKDhv2OXbThaXv7X7vebT5ud+PCk1GvarGYhAfXiH/9u5&#10;VpAmk/QrEkSeyAJy8QIAAP//AwBQSwECLQAUAAYACAAAACEA2+H2y+4AAACFAQAAEwAAAAAAAAAA&#10;AAAAAAAAAAAAW0NvbnRlbnRfVHlwZXNdLnhtbFBLAQItABQABgAIAAAAIQBa9CxbvwAAABUBAAAL&#10;AAAAAAAAAAAAAAAAAB8BAABfcmVscy8ucmVsc1BLAQItABQABgAIAAAAIQCMG+3vxQAAAN8AAAAP&#10;AAAAAAAAAAAAAAAAAAcCAABkcnMvZG93bnJldi54bWxQSwUGAAAAAAMAAwC3AAAA+QIAAAAA&#10;" filled="f" stroked="f">
                  <v:textbox inset="0,0,0,0">
                    <w:txbxContent>
                      <w:p w14:paraId="7AFB0637" w14:textId="77777777" w:rsidR="00B32EF2" w:rsidRDefault="00000000">
                        <w:r>
                          <w:rPr>
                            <w:rFonts w:ascii="Arial" w:eastAsia="Arial" w:hAnsi="Arial" w:cs="Arial"/>
                            <w:sz w:val="18"/>
                          </w:rPr>
                          <w:t>2</w:t>
                        </w:r>
                      </w:p>
                    </w:txbxContent>
                  </v:textbox>
                </v:rect>
                <v:rect id="Rectangle 19013" o:spid="_x0000_s4258" style="position:absolute;left:192;top:3159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AAxQAAAN4AAAAPAAAAZHJzL2Rvd25yZXYueG1sRE9La8JA&#10;EL4X+h+WKfSmGysUjW5ELGIOvVRT6HHITh6anV2yq0n767sFobf5+J6z3oymEzfqfWtZwWyagCAu&#10;rW65VlCc9pMFCB+QNXaWScE3edhkjw9rTLUd+INux1CLGMI+RQVNCC6V0pcNGfRT64gjV9neYIiw&#10;r6XucYjhppMvSfIqDbYcGxp0tGuovByvRsHXG7t8P8iy+tm593O+6A7X4lOp56dxuwIRaAz/4rs7&#10;13H+MpnN4e+deIPMfgEAAP//AwBQSwECLQAUAAYACAAAACEA2+H2y+4AAACFAQAAEwAAAAAAAAAA&#10;AAAAAAAAAAAAW0NvbnRlbnRfVHlwZXNdLnhtbFBLAQItABQABgAIAAAAIQBa9CxbvwAAABUBAAAL&#10;AAAAAAAAAAAAAAAAAB8BAABfcmVscy8ucmVsc1BLAQItABQABgAIAAAAIQC/E4AAxQAAAN4AAAAP&#10;AAAAAAAAAAAAAAAAAAcCAABkcnMvZG93bnJldi54bWxQSwUGAAAAAAMAAwC3AAAA+QIAAAAA&#10;" filled="f" stroked="f">
                  <v:textbox inset="0,0,0,0">
                    <w:txbxContent>
                      <w:p w14:paraId="727CFBBC" w14:textId="77777777" w:rsidR="00B32EF2" w:rsidRDefault="00000000">
                        <w:r>
                          <w:rPr>
                            <w:rFonts w:ascii="Arial" w:eastAsia="Arial" w:hAnsi="Arial" w:cs="Arial"/>
                            <w:sz w:val="18"/>
                          </w:rPr>
                          <w:t>-</w:t>
                        </w:r>
                      </w:p>
                    </w:txbxContent>
                  </v:textbox>
                </v:rect>
                <v:rect id="Rectangle 19014" o:spid="_x0000_s4259" style="position:absolute;left:-12195;top:30365;width:521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h0xQAAAN4AAAAPAAAAZHJzL2Rvd25yZXYueG1sRE9La8JA&#10;EL4X+h+WKfSmG4sUjW5ELGIOvVRT6HHITh6anV2yq0n767sFobf5+J6z3oymEzfqfWtZwWyagCAu&#10;rW65VlCc9pMFCB+QNXaWScE3edhkjw9rTLUd+INux1CLGMI+RQVNCC6V0pcNGfRT64gjV9neYIiw&#10;r6XucYjhppMvSfIqDbYcGxp0tGuovByvRsHXG7t8P8iy+tm593O+6A7X4lOp56dxuwIRaAz/4rs7&#10;13H+MpnN4e+deIPMfgEAAP//AwBQSwECLQAUAAYACAAAACEA2+H2y+4AAACFAQAAEwAAAAAAAAAA&#10;AAAAAAAAAAAAW0NvbnRlbnRfVHlwZXNdLnhtbFBLAQItABQABgAIAAAAIQBa9CxbvwAAABUBAAAL&#10;AAAAAAAAAAAAAAAAAB8BAABfcmVscy8ucmVsc1BLAQItABQABgAIAAAAIQAw+hh0xQAAAN4AAAAP&#10;AAAAAAAAAAAAAAAAAAcCAABkcnMvZG93bnJldi54bWxQSwUGAAAAAAMAAwC3AAAA+QIAAAAA&#10;" filled="f" stroked="f">
                  <v:textbox inset="0,0,0,0">
                    <w:txbxContent>
                      <w:p w14:paraId="050CE3AA" w14:textId="77777777" w:rsidR="00B32EF2" w:rsidRDefault="00000000">
                        <w:r>
                          <w:rPr>
                            <w:rFonts w:ascii="Arial" w:eastAsia="Arial" w:hAnsi="Arial" w:cs="Arial"/>
                            <w:sz w:val="18"/>
                          </w:rPr>
                          <w:t>ficata del difensore o della parte ed ove lo stesso non sia reperibile da pubbli</w:t>
                        </w:r>
                      </w:p>
                    </w:txbxContent>
                  </v:textbox>
                </v:rect>
                <v:rect id="Rectangle 19015" o:spid="_x0000_s4260" style="position:absolute;left:192;top:3036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3vxQAAAN4AAAAPAAAAZHJzL2Rvd25yZXYueG1sRE9La8JA&#10;EL4X+h+WKfSmGwsWjW5ELGIOvVRT6HHITh6anV2yq0n767sFobf5+J6z3oymEzfqfWtZwWyagCAu&#10;rW65VlCc9pMFCB+QNXaWScE3edhkjw9rTLUd+INux1CLGMI+RQVNCC6V0pcNGfRT64gjV9neYIiw&#10;r6XucYjhppMvSfIqDbYcGxp0tGuovByvRsHXG7t8P8iy+tm593O+6A7X4lOp56dxuwIRaAz/4rs7&#10;13H+MpnN4e+deIPMfgEAAP//AwBQSwECLQAUAAYACAAAACEA2+H2y+4AAACFAQAAEwAAAAAAAAAA&#10;AAAAAAAAAAAAW0NvbnRlbnRfVHlwZXNdLnhtbFBLAQItABQABgAIAAAAIQBa9CxbvwAAABUBAAAL&#10;AAAAAAAAAAAAAAAAAB8BAABfcmVscy8ucmVsc1BLAQItABQABgAIAAAAIQBftr3vxQAAAN4AAAAP&#10;AAAAAAAAAAAAAAAAAAcCAABkcnMvZG93bnJldi54bWxQSwUGAAAAAAMAAwC3AAAA+QIAAAAA&#10;" filled="f" stroked="f">
                  <v:textbox inset="0,0,0,0">
                    <w:txbxContent>
                      <w:p w14:paraId="7CCCE725" w14:textId="77777777" w:rsidR="00B32EF2" w:rsidRDefault="00000000">
                        <w:r>
                          <w:rPr>
                            <w:rFonts w:ascii="Arial" w:eastAsia="Arial" w:hAnsi="Arial" w:cs="Arial"/>
                            <w:sz w:val="18"/>
                          </w:rPr>
                          <w:t>-</w:t>
                        </w:r>
                      </w:p>
                    </w:txbxContent>
                  </v:textbox>
                </v:rect>
                <v:rect id="Rectangle 19016" o:spid="_x0000_s4261" style="position:absolute;left:-13171;top:2913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COYwwAAAN4AAAAPAAAAZHJzL2Rvd25yZXYueG1sRE9Li8Iw&#10;EL4L/ocwwt40dQ+i1SiLi2wPe/EFHodmbOs2k9BE2/XXG0HwNh/fcxarztTiRo2vLCsYjxIQxLnV&#10;FRcKDvvNcArCB2SNtWVS8E8eVst+b4Gpti1v6bYLhYgh7FNUUIbgUil9XpJBP7KOOHJn2xgMETaF&#10;1A22MdzU8jNJJtJgxbGhREfrkvK/3dUoOH2zyzatzM/3tfu9ZNP653o4KvUx6L7mIAJ14S1+uTMd&#10;58+S8QSe78Qb5PIBAAD//wMAUEsBAi0AFAAGAAgAAAAhANvh9svuAAAAhQEAABMAAAAAAAAAAAAA&#10;AAAAAAAAAFtDb250ZW50X1R5cGVzXS54bWxQSwECLQAUAAYACAAAACEAWvQsW78AAAAVAQAACwAA&#10;AAAAAAAAAAAAAAAfAQAAX3JlbHMvLnJlbHNQSwECLQAUAAYACAAAACEAr2QjmMMAAADeAAAADwAA&#10;AAAAAAAAAAAAAAAHAgAAZHJzL2Rvd25yZXYueG1sUEsFBgAAAAADAAMAtwAAAPcCAAAAAA==&#10;" filled="f" stroked="f">
                  <v:textbox inset="0,0,0,0">
                    <w:txbxContent>
                      <w:p w14:paraId="4AD9ED2D" w14:textId="77777777" w:rsidR="00B32EF2" w:rsidRDefault="00000000">
                        <w:r>
                          <w:rPr>
                            <w:rFonts w:ascii="Arial" w:eastAsia="Arial" w:hAnsi="Arial" w:cs="Arial"/>
                            <w:sz w:val="18"/>
                          </w:rPr>
                          <w:t xml:space="preserve">ci elenchi, ovvero nelle ipotesi di mancata consegna del messaggio di posta </w:t>
                        </w:r>
                      </w:p>
                    </w:txbxContent>
                  </v:textbox>
                </v:rect>
                <v:rect id="Rectangle 19017" o:spid="_x0000_s4262" style="position:absolute;left:-13171;top:2789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IYDxQAAAN4AAAAPAAAAZHJzL2Rvd25yZXYueG1sRE9La8JA&#10;EL4X+h+WKfSmG3uwGt2IWMQceqmm0OOQnTw0O7tkV5P213cLQm/z8T1nvRlNJ27U+9aygtk0AUFc&#10;Wt1yraA47ScLED4ga+wsk4Jv8rDJHh/WmGo78AfdjqEWMYR9igqaEFwqpS8bMuin1hFHrrK9wRBh&#10;X0vd4xDDTSdfkmQuDbYcGxp0tGuovByvRsHXG7t8P8iy+tm593O+6A7X4lOp56dxuwIRaAz/4rs7&#10;13H+Mpm9wt878QaZ/QIAAP//AwBQSwECLQAUAAYACAAAACEA2+H2y+4AAACFAQAAEwAAAAAAAAAA&#10;AAAAAAAAAAAAW0NvbnRlbnRfVHlwZXNdLnhtbFBLAQItABQABgAIAAAAIQBa9CxbvwAAABUBAAAL&#10;AAAAAAAAAAAAAAAAAB8BAABfcmVscy8ucmVsc1BLAQItABQABgAIAAAAIQDAKIYDxQAAAN4AAAAP&#10;AAAAAAAAAAAAAAAAAAcCAABkcnMvZG93bnJldi54bWxQSwUGAAAAAAMAAwC3AAAA+QIAAAAA&#10;" filled="f" stroked="f">
                  <v:textbox inset="0,0,0,0">
                    <w:txbxContent>
                      <w:p w14:paraId="58E14D10" w14:textId="77777777" w:rsidR="00B32EF2" w:rsidRDefault="00000000">
                        <w:r>
                          <w:rPr>
                            <w:rFonts w:ascii="Arial" w:eastAsia="Arial" w:hAnsi="Arial" w:cs="Arial"/>
                            <w:sz w:val="18"/>
                          </w:rPr>
                          <w:t xml:space="preserve">elettronica certificata per cause imputabili al destinatario, le comunicazioni </w:t>
                        </w:r>
                      </w:p>
                    </w:txbxContent>
                  </v:textbox>
                </v:rect>
                <v:rect id="Rectangle 19018" o:spid="_x0000_s4263" style="position:absolute;left:-13171;top:2666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xJxxwAAAN4AAAAPAAAAZHJzL2Rvd25yZXYueG1sRI9Bb8Iw&#10;DIXvk/YfIk/iNlJ2QKwjIMSE6GEXGJN2tBrTdjRO1ARa9uvxAYmbrff83uf5cnCtulAXG88GJuMM&#10;FHHpbcOVgcP35nUGKiZki61nMnClCMvF89Mcc+t73tFlnyolIRxzNFCnFHKtY1mTwzj2gVi0o+8c&#10;Jlm7StsOewl3rX7Lsql22LA01BhoXVN52p+dgd9PDsWm1+Xxfx2+/opZuz0ffowZvQyrD1CJhvQw&#10;368LK/jv2UR45R2ZQS9uAAAA//8DAFBLAQItABQABgAIAAAAIQDb4fbL7gAAAIUBAAATAAAAAAAA&#10;AAAAAAAAAAAAAABbQ29udGVudF9UeXBlc10ueG1sUEsBAi0AFAAGAAgAAAAhAFr0LFu/AAAAFQEA&#10;AAsAAAAAAAAAAAAAAAAAHwEAAF9yZWxzLy5yZWxzUEsBAi0AFAAGAAgAAAAhALG3EnHHAAAA3gAA&#10;AA8AAAAAAAAAAAAAAAAABwIAAGRycy9kb3ducmV2LnhtbFBLBQYAAAAAAwADALcAAAD7AgAAAAA=&#10;" filled="f" stroked="f">
                  <v:textbox inset="0,0,0,0">
                    <w:txbxContent>
                      <w:p w14:paraId="4413187D" w14:textId="77777777" w:rsidR="00B32EF2" w:rsidRDefault="00000000">
                        <w:r>
                          <w:rPr>
                            <w:rFonts w:ascii="Arial" w:eastAsia="Arial" w:hAnsi="Arial" w:cs="Arial"/>
                            <w:sz w:val="18"/>
                          </w:rPr>
                          <w:t xml:space="preserve">sono eseguite esclusivamente mediante deposito in segreteria della corte di </w:t>
                        </w:r>
                      </w:p>
                    </w:txbxContent>
                  </v:textbox>
                </v:rect>
                <v:rect id="Rectangle 19019" o:spid="_x0000_s4264" style="position:absolute;left:9687;top:25432;width:302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fqxQAAAN4AAAAPAAAAZHJzL2Rvd25yZXYueG1sRE9Na8JA&#10;EL0X+h+WKfRWN/ZQktRVxCLNwYuphR6H7JikZmeX7Jqk/npXEHqbx/ucxWoynRio961lBfNZAoK4&#10;srrlWsHha/uSgvABWWNnmRT8kYfV8vFhgbm2I+9pKEMtYgj7HBU0IbhcSl81ZNDPrCOO3NH2BkOE&#10;fS11j2MMN518TZI3abDl2NCgo01D1ak8GwU/H+yK7Sir42Xjdr9F2n2eD99KPT9N63cQgabwL767&#10;Cx3nZ8k8g9s78Qa5vAIAAP//AwBQSwECLQAUAAYACAAAACEA2+H2y+4AAACFAQAAEwAAAAAAAAAA&#10;AAAAAAAAAAAAW0NvbnRlbnRfVHlwZXNdLnhtbFBLAQItABQABgAIAAAAIQBa9CxbvwAAABUBAAAL&#10;AAAAAAAAAAAAAAAAAB8BAABfcmVscy8ucmVsc1BLAQItABQABgAIAAAAIQDe+7fqxQAAAN4AAAAP&#10;AAAAAAAAAAAAAAAAAAcCAABkcnMvZG93bnJldi54bWxQSwUGAAAAAAMAAwC3AAAA+QIAAAAA&#10;" filled="f" stroked="f">
                  <v:textbox inset="0,0,0,0">
                    <w:txbxContent>
                      <w:p w14:paraId="17FC1217" w14:textId="77777777" w:rsidR="00B32EF2" w:rsidRDefault="00000000">
                        <w:r>
                          <w:rPr>
                            <w:rFonts w:ascii="Arial" w:eastAsia="Arial" w:hAnsi="Arial" w:cs="Arial"/>
                            <w:sz w:val="18"/>
                          </w:rPr>
                          <w:t>giustizia tributaria di primo e secondo grado.</w:t>
                        </w:r>
                      </w:p>
                    </w:txbxContent>
                  </v:textbox>
                </v:rect>
                <v:rect id="Rectangle 201238" o:spid="_x0000_s4265" style="position:absolute;left:26110;top:24199;width:5309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5KUxAAAAN8AAAAPAAAAZHJzL2Rvd25yZXYueG1sRE/LisIw&#10;FN0P+A/hCu7G1A4MUo0iikwXs/EFLi/Nta02N6GJts7Xm8WAy8N5z5e9acSDWl9bVjAZJyCIC6tr&#10;LhUcD9vPKQgfkDU2lknBkzwsF4OPOWbadryjxz6UIoawz1BBFYLLpPRFRQb92DriyF1sazBE2JZS&#10;t9jFcNPINEm+pcGaY0OFjtYVFbf93Sg4b9jl204Wl7+1+73m0+bnfjwpNRr2qxmIQH14i//duVaQ&#10;JpP0Kw6Of+IXkIsXAAAA//8DAFBLAQItABQABgAIAAAAIQDb4fbL7gAAAIUBAAATAAAAAAAAAAAA&#10;AAAAAAAAAABbQ29udGVudF9UeXBlc10ueG1sUEsBAi0AFAAGAAgAAAAhAFr0LFu/AAAAFQEAAAsA&#10;AAAAAAAAAAAAAAAAHwEAAF9yZWxzLy5yZWxzUEsBAi0AFAAGAAgAAAAhACprkpTEAAAA3wAAAA8A&#10;AAAAAAAAAAAAAAAABwIAAGRycy9kb3ducmV2LnhtbFBLBQYAAAAAAwADALcAAAD4AgAAAAA=&#10;" filled="f" stroked="f">
                  <v:textbox inset="0,0,0,0">
                    <w:txbxContent>
                      <w:p w14:paraId="34209481" w14:textId="77777777" w:rsidR="00B32EF2" w:rsidRDefault="00000000">
                        <w:r>
                          <w:rPr>
                            <w:rFonts w:ascii="Arial" w:eastAsia="Arial" w:hAnsi="Arial" w:cs="Arial"/>
                            <w:sz w:val="18"/>
                          </w:rPr>
                          <w:t>3</w:t>
                        </w:r>
                      </w:p>
                    </w:txbxContent>
                  </v:textbox>
                </v:rect>
                <v:rect id="Rectangle 201239" o:spid="_x0000_s4266" style="position:absolute;left:-13817;top:24199;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cPyAAAAN8AAAAPAAAAZHJzL2Rvd25yZXYueG1sRI9Pa8JA&#10;FMTvhX6H5Qm96cYURFNXEYs0By/1D/T4yD6TaPbtkl1N6qd3C0KPw8z8hpkve9OIG7W+tqxgPEpA&#10;EBdW11wqOOw3wykIH5A1NpZJwS95WC5eX+aYadvxN912oRQRwj5DBVUILpPSFxUZ9CPriKN3sq3B&#10;EGVbSt1iF+GmkWmSTKTBmuNChY7WFRWX3dUo+Plkl286WZzua7c959Pm63o4KvU26FcfIAL14T/8&#10;bOdaQZqM0/cZ/P2JX0AuHgAAAP//AwBQSwECLQAUAAYACAAAACEA2+H2y+4AAACFAQAAEwAAAAAA&#10;AAAAAAAAAAAAAAAAW0NvbnRlbnRfVHlwZXNdLnhtbFBLAQItABQABgAIAAAAIQBa9CxbvwAAABUB&#10;AAALAAAAAAAAAAAAAAAAAB8BAABfcmVscy8ucmVsc1BLAQItABQABgAIAAAAIQBFJzcPyAAAAN8A&#10;AAAPAAAAAAAAAAAAAAAAAAcCAABkcnMvZG93bnJldi54bWxQSwUGAAAAAAMAAwC3AAAA/AIAAAAA&#10;" filled="f" stroked="f">
                  <v:textbox inset="0,0,0,0">
                    <w:txbxContent>
                      <w:p w14:paraId="2422CDF4" w14:textId="77777777" w:rsidR="00B32EF2" w:rsidRDefault="00000000">
                        <w:r>
                          <w:rPr>
                            <w:rFonts w:ascii="Arial" w:eastAsia="Arial" w:hAnsi="Arial" w:cs="Arial"/>
                            <w:sz w:val="18"/>
                          </w:rPr>
                          <w:t xml:space="preserve">. Le parti, i consulenti e gli organi tecnici di cui all’articolo 52, comma 2, </w:t>
                        </w:r>
                      </w:p>
                    </w:txbxContent>
                  </v:textbox>
                </v:rect>
                <v:rect id="Rectangle 19021" o:spid="_x0000_s4267" style="position:absolute;left:-12207;top:22965;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XFRxQAAAN4AAAAPAAAAZHJzL2Rvd25yZXYueG1sRE9La8JA&#10;EL4X/A/LCL3VjR5KGl1FFDGHXppa6HHIjkk0O7tkN4/213cLhd7m43vOZjeZVgzU+cayguUiAUFc&#10;Wt1wpeDyfnpKQfiArLG1TAq+yMNuO3vYYKbtyG80FKESMYR9hgrqEFwmpS9rMugX1hFH7mo7gyHC&#10;rpK6wzGGm1aukuRZGmw4NtTo6FBTeS96o+DzyC4/jbK8fh/c6y1P23N/+VDqcT7t1yACTeFf/OfO&#10;dZz/kqyW8PtOvEFufwAAAP//AwBQSwECLQAUAAYACAAAACEA2+H2y+4AAACFAQAAEwAAAAAAAAAA&#10;AAAAAAAAAAAAW0NvbnRlbnRfVHlwZXNdLnhtbFBLAQItABQABgAIAAAAIQBa9CxbvwAAABUBAAAL&#10;AAAAAAAAAAAAAAAAAB8BAABfcmVscy8ucmVsc1BLAQItABQABgAIAAAAIQDu4XFRxQAAAN4AAAAP&#10;AAAAAAAAAAAAAAAAAAcCAABkcnMvZG93bnJldi54bWxQSwUGAAAAAAMAAwC3AAAA+QIAAAAA&#10;" filled="f" stroked="f">
                  <v:textbox inset="0,0,0,0">
                    <w:txbxContent>
                      <w:p w14:paraId="5030D444" w14:textId="77777777" w:rsidR="00B32EF2" w:rsidRDefault="00000000">
                        <w:r>
                          <w:rPr>
                            <w:rFonts w:ascii="Arial" w:eastAsia="Arial" w:hAnsi="Arial" w:cs="Arial"/>
                            <w:sz w:val="18"/>
                          </w:rPr>
                          <w:t>notificano e depositano gli atti processuali, i documenti e i provvedimenti giu</w:t>
                        </w:r>
                      </w:p>
                    </w:txbxContent>
                  </v:textbox>
                </v:rect>
                <v:rect id="Rectangle 19022" o:spid="_x0000_s4268" style="position:absolute;left:192;top:2296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8mxQAAAN4AAAAPAAAAZHJzL2Rvd25yZXYueG1sRE9La8JA&#10;EL4L/Q/LFHrTTXMoGt1IUcQceqkP8DhkJw/Nzi7Z1aT99d1Cobf5+J6zWo+mEw/qfWtZwessAUFc&#10;Wt1yreB03E3nIHxA1thZJgVf5GGdP01WmGk78Cc9DqEWMYR9hgqaEFwmpS8bMuhn1hFHrrK9wRBh&#10;X0vd4xDDTSfTJHmTBluODQ062jRU3g53o+CyZVfsBllW3xv3cS3m3f5+Oiv18jy+L0EEGsO/+M9d&#10;6Dh/kaQp/L4Tb5D5DwAAAP//AwBQSwECLQAUAAYACAAAACEA2+H2y+4AAACFAQAAEwAAAAAAAAAA&#10;AAAAAAAAAAAAW0NvbnRlbnRfVHlwZXNdLnhtbFBLAQItABQABgAIAAAAIQBa9CxbvwAAABUBAAAL&#10;AAAAAAAAAAAAAAAAAB8BAABfcmVscy8ucmVsc1BLAQItABQABgAIAAAAIQAeM+8mxQAAAN4AAAAP&#10;AAAAAAAAAAAAAAAAAAcCAABkcnMvZG93bnJldi54bWxQSwUGAAAAAAMAAwC3AAAA+QIAAAAA&#10;" filled="f" stroked="f">
                  <v:textbox inset="0,0,0,0">
                    <w:txbxContent>
                      <w:p w14:paraId="10323581" w14:textId="77777777" w:rsidR="00B32EF2" w:rsidRDefault="00000000">
                        <w:r>
                          <w:rPr>
                            <w:rFonts w:ascii="Arial" w:eastAsia="Arial" w:hAnsi="Arial" w:cs="Arial"/>
                            <w:sz w:val="18"/>
                          </w:rPr>
                          <w:t>-</w:t>
                        </w:r>
                      </w:p>
                    </w:txbxContent>
                  </v:textbox>
                </v:rect>
                <v:rect id="Rectangle 19023" o:spid="_x0000_s4269" style="position:absolute;left:-13171;top:2173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0q9xAAAAN4AAAAPAAAAZHJzL2Rvd25yZXYueG1sRE9Na8JA&#10;EL0L/Q/LFLzppgqiqasUi5hDL2oKPQ7ZMUmbnV2yq4n99a4geJvH+5zlujeNuFDra8sK3sYJCOLC&#10;6ppLBflxO5qD8AFZY2OZFFzJw3r1Mlhiqm3He7ocQiliCPsUFVQhuFRKX1Rk0I+tI47cybYGQ4Rt&#10;KXWLXQw3jZwkyUwarDk2VOhoU1HxdzgbBT+f7LJtJ4vT/8Z9/WbzZnfOv5UavvYf7yAC9eEpfrgz&#10;HecvkskU7u/EG+TqBgAA//8DAFBLAQItABQABgAIAAAAIQDb4fbL7gAAAIUBAAATAAAAAAAAAAAA&#10;AAAAAAAAAABbQ29udGVudF9UeXBlc10ueG1sUEsBAi0AFAAGAAgAAAAhAFr0LFu/AAAAFQEAAAsA&#10;AAAAAAAAAAAAAAAAHwEAAF9yZWxzLy5yZWxzUEsBAi0AFAAGAAgAAAAhAHF/Sr3EAAAA3gAAAA8A&#10;AAAAAAAAAAAAAAAABwIAAGRycy9kb3ducmV2LnhtbFBLBQYAAAAAAwADALcAAAD4AgAAAAA=&#10;" filled="f" stroked="f">
                  <v:textbox inset="0,0,0,0">
                    <w:txbxContent>
                      <w:p w14:paraId="09BBA8D1" w14:textId="77777777" w:rsidR="00B32EF2" w:rsidRDefault="00000000">
                        <w:r>
                          <w:rPr>
                            <w:rFonts w:ascii="Arial" w:eastAsia="Arial" w:hAnsi="Arial" w:cs="Arial"/>
                            <w:sz w:val="18"/>
                          </w:rPr>
                          <w:t xml:space="preserve">risdizionali esclusivamente con le modalità telematiche previste dalle vigenti </w:t>
                        </w:r>
                      </w:p>
                    </w:txbxContent>
                  </v:textbox>
                </v:rect>
                <v:rect id="Rectangle 19024" o:spid="_x0000_s4270" style="position:absolute;left:-13171;top:20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LJxAAAAN4AAAAPAAAAZHJzL2Rvd25yZXYueG1sRE9Na8JA&#10;EL0L/Q/LFLzppiKiqasUi5hDL2oKPQ7ZMUmbnV2yq4n99a4geJvH+5zlujeNuFDra8sK3sYJCOLC&#10;6ppLBflxO5qD8AFZY2OZFFzJw3r1Mlhiqm3He7ocQiliCPsUFVQhuFRKX1Rk0I+tI47cybYGQ4Rt&#10;KXWLXQw3jZwkyUwarDk2VOhoU1HxdzgbBT+f7LJtJ4vT/8Z9/WbzZnfOv5UavvYf7yAC9eEpfrgz&#10;HecvkskU7u/EG+TqBgAA//8DAFBLAQItABQABgAIAAAAIQDb4fbL7gAAAIUBAAATAAAAAAAAAAAA&#10;AAAAAAAAAABbQ29udGVudF9UeXBlc10ueG1sUEsBAi0AFAAGAAgAAAAhAFr0LFu/AAAAFQEAAAsA&#10;AAAAAAAAAAAAAAAAHwEAAF9yZWxzLy5yZWxzUEsBAi0AFAAGAAgAAAAhAP6W0snEAAAA3gAAAA8A&#10;AAAAAAAAAAAAAAAABwIAAGRycy9kb3ducmV2LnhtbFBLBQYAAAAAAwADALcAAAD4AgAAAAA=&#10;" filled="f" stroked="f">
                  <v:textbox inset="0,0,0,0">
                    <w:txbxContent>
                      <w:p w14:paraId="0AA9F4EC" w14:textId="77777777" w:rsidR="00B32EF2" w:rsidRDefault="00000000">
                        <w:r>
                          <w:rPr>
                            <w:rFonts w:ascii="Arial" w:eastAsia="Arial" w:hAnsi="Arial" w:cs="Arial"/>
                            <w:sz w:val="18"/>
                          </w:rPr>
                          <w:t xml:space="preserve">norme tecniche del processo tributario telematico, salva la possibilità, nelle </w:t>
                        </w:r>
                      </w:p>
                    </w:txbxContent>
                  </v:textbox>
                </v:rect>
                <v:rect id="Rectangle 19025" o:spid="_x0000_s4271" style="position:absolute;left:-13170;top:19265;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ndSxAAAAN4AAAAPAAAAZHJzL2Rvd25yZXYueG1sRE9Na8JA&#10;EL0L/Q/LFLzppoKiqasUi5hDL2oKPQ7ZMUmbnV2yq4n99a4geJvH+5zlujeNuFDra8sK3sYJCOLC&#10;6ppLBflxO5qD8AFZY2OZFFzJw3r1Mlhiqm3He7ocQiliCPsUFVQhuFRKX1Rk0I+tI47cybYGQ4Rt&#10;KXWLXQw3jZwkyUwarDk2VOhoU1HxdzgbBT+f7LJtJ4vT/8Z9/WbzZnfOv5UavvYf7yAC9eEpfrgz&#10;HecvkskU7u/EG+TqBgAA//8DAFBLAQItABQABgAIAAAAIQDb4fbL7gAAAIUBAAATAAAAAAAAAAAA&#10;AAAAAAAAAABbQ29udGVudF9UeXBlc10ueG1sUEsBAi0AFAAGAAgAAAAhAFr0LFu/AAAAFQEAAAsA&#10;AAAAAAAAAAAAAAAAHwEAAF9yZWxzLy5yZWxzUEsBAi0AFAAGAAgAAAAhAJHad1LEAAAA3gAAAA8A&#10;AAAAAAAAAAAAAAAABwIAAGRycy9kb3ducmV2LnhtbFBLBQYAAAAAAwADALcAAAD4AgAAAAA=&#10;" filled="f" stroked="f">
                  <v:textbox inset="0,0,0,0">
                    <w:txbxContent>
                      <w:p w14:paraId="00E53E78" w14:textId="77777777" w:rsidR="00B32EF2" w:rsidRDefault="00000000">
                        <w:r>
                          <w:rPr>
                            <w:rFonts w:ascii="Arial" w:eastAsia="Arial" w:hAnsi="Arial" w:cs="Arial"/>
                            <w:sz w:val="18"/>
                          </w:rPr>
                          <w:t xml:space="preserve">ipotesi di cui al comma 2 e all’articolo 129 comma 3 di effettuare le notificazioni </w:t>
                        </w:r>
                      </w:p>
                    </w:txbxContent>
                  </v:textbox>
                </v:rect>
                <v:rect id="Rectangle 19026" o:spid="_x0000_s4272" style="position:absolute;left:16204;top:18032;width:237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OklxQAAAN4AAAAPAAAAZHJzL2Rvd25yZXYueG1sRE9Na8JA&#10;EL0X/A/LCL3VjR5CmrpKUaQ5eDG10OOQHZO02dkluyaxv74rFHqbx/uc9XYynRio961lBctFAoK4&#10;srrlWsH5/fCUgfABWWNnmRTcyMN2M3tYY67tyCcaylCLGMI+RwVNCC6X0lcNGfQL64gjd7G9wRBh&#10;X0vd4xjDTSdXSZJKgy3HhgYd7RqqvsurUfC5Z1ccRlldfnbu+FVk3dv1/KHU43x6fQERaAr/4j93&#10;oeP852SVwv2deIPc/AIAAP//AwBQSwECLQAUAAYACAAAACEA2+H2y+4AAACFAQAAEwAAAAAAAAAA&#10;AAAAAAAAAAAAW0NvbnRlbnRfVHlwZXNdLnhtbFBLAQItABQABgAIAAAAIQBa9CxbvwAAABUBAAAL&#10;AAAAAAAAAAAAAAAAAB8BAABfcmVscy8ucmVsc1BLAQItABQABgAIAAAAIQBhCOklxQAAAN4AAAAP&#10;AAAAAAAAAAAAAAAAAAcCAABkcnMvZG93bnJldi54bWxQSwUGAAAAAAMAAwC3AAAA+QIAAAAA&#10;" filled="f" stroked="f">
                  <v:textbox inset="0,0,0,0">
                    <w:txbxContent>
                      <w:p w14:paraId="367D1606" w14:textId="77777777" w:rsidR="00B32EF2" w:rsidRDefault="00000000">
                        <w:r>
                          <w:rPr>
                            <w:rFonts w:ascii="Arial" w:eastAsia="Arial" w:hAnsi="Arial" w:cs="Arial"/>
                            <w:sz w:val="18"/>
                          </w:rPr>
                          <w:t>e i depositi ai sensi dell’articolo 60.</w:t>
                        </w:r>
                      </w:p>
                    </w:txbxContent>
                  </v:textbox>
                </v:rect>
                <v:rect id="Rectangle 201237" o:spid="_x0000_s4273" style="position:absolute;left:-12817;top:16799;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AbmyAAAAN8AAAAPAAAAZHJzL2Rvd25yZXYueG1sRI9Pa8JA&#10;FMTvgt9heYI33ZiCldRVRJHm0Ev9Az0+ss8kbfbtkl1N7Kd3CwWPw8z8hlmue9OIG7W+tqxgNk1A&#10;EBdW11wqOB33kwUIH5A1NpZJwZ08rFfDwRIzbTv+pNshlCJC2GeooArBZVL6oiKDfmodcfQutjUY&#10;omxLqVvsItw0Mk2SuTRYc1yo0NG2ouLncDUKvnbs8n0ni8vv1n1854vm/Xo6KzUe9Zs3EIH68Az/&#10;t3OtIE1m6csr/P2JX0CuHgAAAP//AwBQSwECLQAUAAYACAAAACEA2+H2y+4AAACFAQAAEwAAAAAA&#10;AAAAAAAAAAAAAAAAW0NvbnRlbnRfVHlwZXNdLnhtbFBLAQItABQABgAIAAAAIQBa9CxbvwAAABUB&#10;AAALAAAAAAAAAAAAAAAAAB8BAABfcmVscy8ucmVsc1BLAQItABQABgAIAAAAIQBb9AbmyAAAAN8A&#10;AAAPAAAAAAAAAAAAAAAAAAcCAABkcnMvZG93bnJldi54bWxQSwUGAAAAAAMAAwC3AAAA/AIAAAAA&#10;" filled="f" stroked="f">
                  <v:textbox inset="0,0,0,0">
                    <w:txbxContent>
                      <w:p w14:paraId="067646AE" w14:textId="77777777" w:rsidR="00B32EF2" w:rsidRDefault="00000000">
                        <w:r>
                          <w:rPr>
                            <w:rFonts w:ascii="Arial" w:eastAsia="Arial" w:hAnsi="Arial" w:cs="Arial"/>
                            <w:sz w:val="18"/>
                          </w:rPr>
                          <w:t>. L’indicazione dell’indirizzo di posta elettronica certificata valevole per le co</w:t>
                        </w:r>
                      </w:p>
                    </w:txbxContent>
                  </v:textbox>
                </v:rect>
                <v:rect id="Rectangle 201236" o:spid="_x0000_s4274" style="position:absolute;left:26354;top:16799;width:52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KN9yAAAAN8AAAAPAAAAZHJzL2Rvd25yZXYueG1sRI9Pa8JA&#10;FMTvBb/D8oTe6sYURKIbEUWaQy+1Ch4f2Zc/mn27ZFeT9tN3C4Ueh5n5DbPejKYTD+p9a1nBfJaA&#10;IC6tbrlWcPo8vCxB+ICssbNMCr7IwyafPK0x03bgD3ocQy0ihH2GCpoQXCalLxsy6GfWEUevsr3B&#10;EGVfS93jEOGmk2mSLKTBluNCg452DZW3490ouOzZFYdBltX3zr1fi2X3dj+dlXqejtsViEBj+A//&#10;tQutIE3m6esCfv/ELyDzHwAAAP//AwBQSwECLQAUAAYACAAAACEA2+H2y+4AAACFAQAAEwAAAAAA&#10;AAAAAAAAAAAAAAAAW0NvbnRlbnRfVHlwZXNdLnhtbFBLAQItABQABgAIAAAAIQBa9CxbvwAAABUB&#10;AAALAAAAAAAAAAAAAAAAAB8BAABfcmVscy8ucmVsc1BLAQItABQABgAIAAAAIQA0uKN9yAAAAN8A&#10;AAAPAAAAAAAAAAAAAAAAAAcCAABkcnMvZG93bnJldi54bWxQSwUGAAAAAAMAAwC3AAAA/AIAAAAA&#10;" filled="f" stroked="f">
                  <v:textbox inset="0,0,0,0">
                    <w:txbxContent>
                      <w:p w14:paraId="584E940E" w14:textId="77777777" w:rsidR="00B32EF2" w:rsidRDefault="00000000">
                        <w:r>
                          <w:rPr>
                            <w:rFonts w:ascii="Arial" w:eastAsia="Arial" w:hAnsi="Arial" w:cs="Arial"/>
                            <w:sz w:val="18"/>
                          </w:rPr>
                          <w:t>4</w:t>
                        </w:r>
                      </w:p>
                    </w:txbxContent>
                  </v:textbox>
                </v:rect>
                <v:rect id="Rectangle 19028" o:spid="_x0000_s4275" style="position:absolute;left:192;top:167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jMxwAAAN4AAAAPAAAAZHJzL2Rvd25yZXYueG1sRI9Bb8Iw&#10;DIXvk/YfIk/abaTjgFhHQIgJ0QMXGJN2tBrTdjRO1ATa8evxAYmbrff83ufZYnCtulAXG88G3kcZ&#10;KOLS24YrA4fv9dsUVEzIFlvPZOCfIizmz08zzK3veUeXfaqUhHDM0UCdUsi1jmVNDuPIB2LRjr5z&#10;mGTtKm077CXctXqcZRPtsGFpqDHQqqbytD87A79fHIp1r8vjdRW2f8W03ZwPP8a8vgzLT1CJhvQw&#10;368LK/gf2Vh45R2ZQc9vAAAA//8DAFBLAQItABQABgAIAAAAIQDb4fbL7gAAAIUBAAATAAAAAAAA&#10;AAAAAAAAAAAAAABbQ29udGVudF9UeXBlc10ueG1sUEsBAi0AFAAGAAgAAAAhAFr0LFu/AAAAFQEA&#10;AAsAAAAAAAAAAAAAAAAAHwEAAF9yZWxzLy5yZWxzUEsBAi0AFAAGAAgAAAAhAH/b2MzHAAAA3gAA&#10;AA8AAAAAAAAAAAAAAAAABwIAAGRycy9kb3ducmV2LnhtbFBLBQYAAAAAAwADALcAAAD7AgAAAAA=&#10;" filled="f" stroked="f">
                  <v:textbox inset="0,0,0,0">
                    <w:txbxContent>
                      <w:p w14:paraId="70859C79" w14:textId="77777777" w:rsidR="00B32EF2" w:rsidRDefault="00000000">
                        <w:r>
                          <w:rPr>
                            <w:rFonts w:ascii="Arial" w:eastAsia="Arial" w:hAnsi="Arial" w:cs="Arial"/>
                            <w:sz w:val="18"/>
                          </w:rPr>
                          <w:t>-</w:t>
                        </w:r>
                      </w:p>
                    </w:txbxContent>
                  </v:textbox>
                </v:rect>
                <v:rect id="Rectangle 19029" o:spid="_x0000_s4276" style="position:absolute;left:-12746;top:15565;width:526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31XxQAAAN4AAAAPAAAAZHJzL2Rvd25yZXYueG1sRE9Na8JA&#10;EL0L/Q/LFHrTTXOQGF1FUsQceqm10OOQHZNodnbJrknaX98tFHqbx/uczW4ynRio961lBc+LBARx&#10;ZXXLtYLz+2GegfABWWNnmRR8kYfd9mG2wVzbkd9oOIVaxBD2OSpoQnC5lL5qyKBfWEccuYvtDYYI&#10;+1rqHscYbjqZJslSGmw5NjToqGioup3uRsHnC7vyMMrq8l2412uZdcf7+UOpp8dpvwYRaAr/4j93&#10;qeP8VZKu4PedeIPc/gAAAP//AwBQSwECLQAUAAYACAAAACEA2+H2y+4AAACFAQAAEwAAAAAAAAAA&#10;AAAAAAAAAAAAW0NvbnRlbnRfVHlwZXNdLnhtbFBLAQItABQABgAIAAAAIQBa9CxbvwAAABUBAAAL&#10;AAAAAAAAAAAAAAAAAB8BAABfcmVscy8ucmVsc1BLAQItABQABgAIAAAAIQAQl31XxQAAAN4AAAAP&#10;AAAAAAAAAAAAAAAAAAcCAABkcnMvZG93bnJldi54bWxQSwUGAAAAAAMAAwC3AAAA+QIAAAAA&#10;" filled="f" stroked="f">
                  <v:textbox inset="0,0,0,0">
                    <w:txbxContent>
                      <w:p w14:paraId="71741B66" w14:textId="77777777" w:rsidR="00B32EF2" w:rsidRDefault="00000000">
                        <w:r>
                          <w:rPr>
                            <w:rFonts w:ascii="Arial" w:eastAsia="Arial" w:hAnsi="Arial" w:cs="Arial"/>
                            <w:sz w:val="18"/>
                          </w:rPr>
                          <w:t>municazioni e le notificazioni equivale alla comunicazione del domicilio eletto.</w:t>
                        </w:r>
                      </w:p>
                    </w:txbxContent>
                  </v:textbox>
                </v:rect>
                <v:rect id="Rectangle 201235" o:spid="_x0000_s4277" style="position:absolute;left:-13815;top:1433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j0KyAAAAN8AAAAPAAAAZHJzL2Rvd25yZXYueG1sRI9Pa8JA&#10;FMTvgt9heYI33ZhikdRVRJHm0Ev9Az0+ss8kbfbtkl1N7Kd3CwWPw8z8hlmue9OIG7W+tqxgNk1A&#10;EBdW11wqOB33kwUIH5A1NpZJwZ08rFfDwRIzbTv+pNshlCJC2GeooArBZVL6oiKDfmodcfQutjUY&#10;omxLqVvsItw0Mk2SV2mw5rhQoaNtRcXP4WoUfO3Y5ftOFpffrfv4zhfN+/V0Vmo86jdvIAL14Rn+&#10;b+daQZrM0pc5/P2JX0CuHgAAAP//AwBQSwECLQAUAAYACAAAACEA2+H2y+4AAACFAQAAEwAAAAAA&#10;AAAAAAAAAAAAAAAAW0NvbnRlbnRfVHlwZXNdLnhtbFBLAQItABQABgAIAAAAIQBa9CxbvwAAABUB&#10;AAALAAAAAAAAAAAAAAAAAB8BAABfcmVscy8ucmVsc1BLAQItABQABgAIAAAAIQDEaj0KyAAAAN8A&#10;AAAPAAAAAAAAAAAAAAAAAAcCAABkcnMvZG93bnJldi54bWxQSwUGAAAAAAMAAwC3AAAA/AIAAAAA&#10;" filled="f" stroked="f">
                  <v:textbox inset="0,0,0,0">
                    <w:txbxContent>
                      <w:p w14:paraId="190C0523" w14:textId="77777777" w:rsidR="00B32EF2" w:rsidRDefault="00000000">
                        <w:r>
                          <w:rPr>
                            <w:rFonts w:ascii="Arial" w:eastAsia="Arial" w:hAnsi="Arial" w:cs="Arial"/>
                            <w:sz w:val="18"/>
                          </w:rPr>
                          <w:t xml:space="preserve">. La violazione delle disposizioni dei commi da 1 a 3, nonché delle vigenti </w:t>
                        </w:r>
                      </w:p>
                    </w:txbxContent>
                  </v:textbox>
                </v:rect>
                <v:rect id="Rectangle 201234" o:spid="_x0000_s4278" style="position:absolute;left:26110;top:1433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piRyAAAAN8AAAAPAAAAZHJzL2Rvd25yZXYueG1sRI9Pa8JA&#10;FMTvgt9heYI33ZhKkdRVRJHm0Ev9Az0+ss8kbfbtkl1N7Kd3CwWPw8z8hlmue9OIG7W+tqxgNk1A&#10;EBdW11wqOB33kwUIH5A1NpZJwZ08rFfDwRIzbTv+pNshlCJC2GeooArBZVL6oiKDfmodcfQutjUY&#10;omxLqVvsItw0Mk2SV2mw5rhQoaNtRcXP4WoUfO3Y5ftOFpffrfv4zhfN+/V0Vmo86jdvIAL14Rn+&#10;b+daQZrM0pc5/P2JX0CuHgAAAP//AwBQSwECLQAUAAYACAAAACEA2+H2y+4AAACFAQAAEwAAAAAA&#10;AAAAAAAAAAAAAAAAW0NvbnRlbnRfVHlwZXNdLnhtbFBLAQItABQABgAIAAAAIQBa9CxbvwAAABUB&#10;AAALAAAAAAAAAAAAAAAAAB8BAABfcmVscy8ucmVsc1BLAQItABQABgAIAAAAIQCrJpiRyAAAAN8A&#10;AAAPAAAAAAAAAAAAAAAAAAcCAABkcnMvZG93bnJldi54bWxQSwUGAAAAAAMAAwC3AAAA/AIAAAAA&#10;" filled="f" stroked="f">
                  <v:textbox inset="0,0,0,0">
                    <w:txbxContent>
                      <w:p w14:paraId="60891641" w14:textId="77777777" w:rsidR="00B32EF2" w:rsidRDefault="00000000">
                        <w:r>
                          <w:rPr>
                            <w:rFonts w:ascii="Arial" w:eastAsia="Arial" w:hAnsi="Arial" w:cs="Arial"/>
                            <w:sz w:val="18"/>
                          </w:rPr>
                          <w:t>5</w:t>
                        </w:r>
                      </w:p>
                    </w:txbxContent>
                  </v:textbox>
                </v:rect>
                <v:rect id="Rectangle 19031" o:spid="_x0000_s4279" style="position:absolute;left:-13171;top:130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OeMxQAAAN4AAAAPAAAAZHJzL2Rvd25yZXYueG1sRE9La8JA&#10;EL4X+h+WKfSmGysUjW5ELGIOvVRT6HHITh6anV2yq0n767sFobf5+J6z3oymEzfqfWtZwWyagCAu&#10;rW65VlCc9pMFCB+QNXaWScE3edhkjw9rTLUd+INux1CLGMI+RQVNCC6V0pcNGfRT64gjV9neYIiw&#10;r6XucYjhppMvSfIqDbYcGxp0tGuovByvRsHXG7t8P8iy+tm593O+6A7X4lOp56dxuwIRaAz/4rs7&#10;13H+MpnP4O+deIPMfgEAAP//AwBQSwECLQAUAAYACAAAACEA2+H2y+4AAACFAQAAEwAAAAAAAAAA&#10;AAAAAAAAAAAAW0NvbnRlbnRfVHlwZXNdLnhtbFBLAQItABQABgAIAAAAIQBa9CxbvwAAABUBAAAL&#10;AAAAAAAAAAAAAAAAAB8BAABfcmVscy8ucmVsc1BLAQItABQABgAIAAAAIQBrOOeMxQAAAN4AAAAP&#10;AAAAAAAAAAAAAAAAAAcCAABkcnMvZG93bnJldi54bWxQSwUGAAAAAAMAAwC3AAAA+QIAAAAA&#10;" filled="f" stroked="f">
                  <v:textbox inset="0,0,0,0">
                    <w:txbxContent>
                      <w:p w14:paraId="3A82F372" w14:textId="77777777" w:rsidR="00B32EF2" w:rsidRDefault="00000000">
                        <w:r>
                          <w:rPr>
                            <w:rFonts w:ascii="Arial" w:eastAsia="Arial" w:hAnsi="Arial" w:cs="Arial"/>
                            <w:sz w:val="18"/>
                          </w:rPr>
                          <w:t xml:space="preserve">norme tecniche del processo tributario telematico, non costituisce causa di </w:t>
                        </w:r>
                      </w:p>
                    </w:txbxContent>
                  </v:textbox>
                </v:rect>
                <v:rect id="Rectangle 19032" o:spid="_x0000_s4280" style="position:absolute;left:-13175;top:11866;width:5310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nn7xAAAAN4AAAAPAAAAZHJzL2Rvd25yZXYueG1sRE9Na8JA&#10;EL0L/Q/LFLzppgqiqasUi5hDL2oKPQ7ZMUmbnV2yq4n99a4geJvH+5zlujeNuFDra8sK3sYJCOLC&#10;6ppLBflxO5qD8AFZY2OZFFzJw3r1Mlhiqm3He7ocQiliCPsUFVQhuFRKX1Rk0I+tI47cybYGQ4Rt&#10;KXWLXQw3jZwkyUwarDk2VOhoU1HxdzgbBT+f7LJtJ4vT/8Z9/WbzZnfOv5UavvYf7yAC9eEpfrgz&#10;HecvkukE7u/EG+TqBgAA//8DAFBLAQItABQABgAIAAAAIQDb4fbL7gAAAIUBAAATAAAAAAAAAAAA&#10;AAAAAAAAAABbQ29udGVudF9UeXBlc10ueG1sUEsBAi0AFAAGAAgAAAAhAFr0LFu/AAAAFQEAAAsA&#10;AAAAAAAAAAAAAAAAHwEAAF9yZWxzLy5yZWxzUEsBAi0AFAAGAAgAAAAhAJvqefvEAAAA3gAAAA8A&#10;AAAAAAAAAAAAAAAABwIAAGRycy9kb3ducmV2LnhtbFBLBQYAAAAAAwADALcAAAD4AgAAAAA=&#10;" filled="f" stroked="f">
                  <v:textbox inset="0,0,0,0">
                    <w:txbxContent>
                      <w:p w14:paraId="533A9B2E" w14:textId="77777777" w:rsidR="00B32EF2" w:rsidRDefault="00000000">
                        <w:r>
                          <w:rPr>
                            <w:rFonts w:ascii="Arial" w:eastAsia="Arial" w:hAnsi="Arial" w:cs="Arial"/>
                            <w:sz w:val="18"/>
                          </w:rPr>
                          <w:t xml:space="preserve">invalidità del deposito, salvo l’obbligo di regolarizzarlo nel termine perentorio </w:t>
                        </w:r>
                      </w:p>
                    </w:txbxContent>
                  </v:textbox>
                </v:rect>
                <v:rect id="Rectangle 19033" o:spid="_x0000_s4281" style="position:absolute;left:26499;top:10632;width:134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xgxQAAAN4AAAAPAAAAZHJzL2Rvd25yZXYueG1sRE9LawIx&#10;EL4X/A9hhN40awWxW7MiinQPvdQqeBw2s4+6mYRNdLf99aYg9DYf33NW68G04kadbywrmE0TEMSF&#10;1Q1XCo5f+8kShA/IGlvLpOCHPKyz0dMKU217/qTbIVQihrBPUUEdgkul9EVNBv3UOuLIlbYzGCLs&#10;Kqk77GO4aeVLkiykwYZjQ42OtjUVl8PVKDjv2OX7Xhbl79Z9fOfL9v16PCn1PB42byACDeFf/HDn&#10;Os5/TeZz+Hsn3iCzOwAAAP//AwBQSwECLQAUAAYACAAAACEA2+H2y+4AAACFAQAAEwAAAAAAAAAA&#10;AAAAAAAAAAAAW0NvbnRlbnRfVHlwZXNdLnhtbFBLAQItABQABgAIAAAAIQBa9CxbvwAAABUBAAAL&#10;AAAAAAAAAAAAAAAAAB8BAABfcmVscy8ucmVsc1BLAQItABQABgAIAAAAIQD0ptxgxQAAAN4AAAAP&#10;AAAAAAAAAAAAAAAAAAcCAABkcnMvZG93bnJldi54bWxQSwUGAAAAAAMAAwC3AAAA+QIAAAAA&#10;" filled="f" stroked="f">
                  <v:textbox inset="0,0,0,0">
                    <w:txbxContent>
                      <w:p w14:paraId="21A9EF42" w14:textId="77777777" w:rsidR="00B32EF2" w:rsidRDefault="00000000">
                        <w:r>
                          <w:rPr>
                            <w:rFonts w:ascii="Arial" w:eastAsia="Arial" w:hAnsi="Arial" w:cs="Arial"/>
                            <w:sz w:val="18"/>
                          </w:rPr>
                          <w:t>stabilito dal giudice.</w:t>
                        </w:r>
                      </w:p>
                    </w:txbxContent>
                  </v:textbox>
                </v:rect>
                <v:shape id="Shape 207970" o:spid="_x0000_s4282" style="position:absolute;left:317;top:4731;width:39600;height:5345;visibility:visible;mso-wrap-style:square;v-text-anchor:top" coordsize="3960000,53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2ywxwAAAN8AAAAPAAAAZHJzL2Rvd25yZXYueG1sRI/NasJA&#10;FIX3gu8w3EJ3OmmgxqaOIkqLiC5qs3F3yVyTYOZOmJlq6tM7C8Hl4fzxzRa9acWFnG8sK3gbJyCI&#10;S6sbrhQUv1+jKQgfkDW2lknBP3lYzIeDGebaXvmHLodQiTjCPkcFdQhdLqUvazLox7Yjjt7JOoMh&#10;SldJ7fAax00r0ySZSIMNx4caO1rVVJ4Pf0bBUd9ctuuK931YT4tNv/0+VrtUqdeXfvkJIlAfnuFH&#10;e6MVpEn2kUWCyBNZQM7vAAAA//8DAFBLAQItABQABgAIAAAAIQDb4fbL7gAAAIUBAAATAAAAAAAA&#10;AAAAAAAAAAAAAABbQ29udGVudF9UeXBlc10ueG1sUEsBAi0AFAAGAAgAAAAhAFr0LFu/AAAAFQEA&#10;AAsAAAAAAAAAAAAAAAAAHwEAAF9yZWxzLy5yZWxzUEsBAi0AFAAGAAgAAAAhAMLzbLDHAAAA3wAA&#10;AA8AAAAAAAAAAAAAAAAABwIAAGRycy9kb3ducmV2LnhtbFBLBQYAAAAAAwADALcAAAD7AgAAAAA=&#10;" path="m,l3960000,r,534505l,534505,,e" fillcolor="#c3c3c3" stroked="f" strokeweight="0">
                  <v:stroke miterlimit="83231f" joinstyle="miter"/>
                  <v:path arrowok="t" textboxrect="0,0,3960000,534505"/>
                </v:shape>
                <v:rect id="Rectangle 19035" o:spid="_x0000_s4283" style="position:absolute;left:23287;top:7864;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PxQAAAN4AAAAPAAAAZHJzL2Rvd25yZXYueG1sRE9La8JA&#10;EL4L/Q/LFHrTTS0WG12lKNIcvPgoeByyYxLNzi7Z1aT+elcoeJuP7znTeWdqcaXGV5YVvA8SEMS5&#10;1RUXCva7VX8MwgdkjbVlUvBHHuazl94UU21b3tB1GwoRQ9inqKAMwaVS+rwkg35gHXHkjrYxGCJs&#10;CqkbbGO4qeUwST6lwYpjQ4mOFiXl5+3FKDgs2WWrVubH28KtT9m4/rnsf5V6e+2+JyACdeEp/ndn&#10;Os7/Sj5G8Hgn3iBndwAAAP//AwBQSwECLQAUAAYACAAAACEA2+H2y+4AAACFAQAAEwAAAAAAAAAA&#10;AAAAAAAAAAAAW0NvbnRlbnRfVHlwZXNdLnhtbFBLAQItABQABgAIAAAAIQBa9CxbvwAAABUBAAAL&#10;AAAAAAAAAAAAAAAAAB8BAABfcmVscy8ucmVsc1BLAQItABQABgAIAAAAIQAUA+GPxQAAAN4AAAAP&#10;AAAAAAAAAAAAAAAAAAcCAABkcnMvZG93bnJldi54bWxQSwUGAAAAAAMAAwC3AAAA+QIAAAAA&#10;" filled="f" stroked="f">
                  <v:textbox inset="0,0,0,0">
                    <w:txbxContent>
                      <w:p w14:paraId="061A8216" w14:textId="77777777" w:rsidR="00B32EF2" w:rsidRDefault="00000000">
                        <w:r>
                          <w:rPr>
                            <w:rFonts w:ascii="Arial" w:eastAsia="Arial" w:hAnsi="Arial" w:cs="Arial"/>
                            <w:b/>
                            <w:i/>
                            <w:sz w:val="18"/>
                          </w:rPr>
                          <w:t>NORME RICHIAMATE</w:t>
                        </w:r>
                      </w:p>
                    </w:txbxContent>
                  </v:textbox>
                </v:rect>
                <v:rect id="Rectangle 19036" o:spid="_x0000_s4284" style="position:absolute;left:-11928;top:6467;width:512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X/4xQAAAN4AAAAPAAAAZHJzL2Rvd25yZXYueG1sRE9LawIx&#10;EL4X+h/CFLxpthVEV7NSLNI99OKj0OOwmX3YzSRsorv66xtB6G0+vues1oNpxYU631hW8DpJQBAX&#10;VjdcKTgetuM5CB+QNbaWScGVPKyz56cVptr2vKPLPlQihrBPUUEdgkul9EVNBv3EOuLIlbYzGCLs&#10;Kqk77GO4aeVbksykwYZjQ42ONjUVv/uzUfDzwS7f9rIobxv3dcrn7ef5+K3U6GV4X4IINIR/8cOd&#10;6zh/kUxncH8n3iCzPwAAAP//AwBQSwECLQAUAAYACAAAACEA2+H2y+4AAACFAQAAEwAAAAAAAAAA&#10;AAAAAAAAAAAAW0NvbnRlbnRfVHlwZXNdLnhtbFBLAQItABQABgAIAAAAIQBa9CxbvwAAABUBAAAL&#10;AAAAAAAAAAAAAAAAAB8BAABfcmVscy8ucmVsc1BLAQItABQABgAIAAAAIQDk0X/4xQAAAN4AAAAP&#10;AAAAAAAAAAAAAAAAAAcCAABkcnMvZG93bnJldi54bWxQSwUGAAAAAAMAAwC3AAAA+QIAAAAA&#10;" filled="f" stroked="f">
                  <v:textbox inset="0,0,0,0">
                    <w:txbxContent>
                      <w:p w14:paraId="2AAF40F9" w14:textId="77777777" w:rsidR="00B32EF2" w:rsidRDefault="00000000">
                        <w:r>
                          <w:rPr>
                            <w:rFonts w:ascii="Arial" w:eastAsia="Arial" w:hAnsi="Arial" w:cs="Arial"/>
                            <w:i/>
                            <w:sz w:val="18"/>
                          </w:rPr>
                          <w:t xml:space="preserve">art. 76 D.lgs. 82/2005 “Scambio di documenti informatici nell’ambito del </w:t>
                        </w:r>
                      </w:p>
                    </w:txbxContent>
                  </v:textbox>
                </v:rect>
                <v:rect id="Rectangle 19037" o:spid="_x0000_s4285" style="position:absolute;left:16599;top:5071;width:225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dpjxQAAAN4AAAAPAAAAZHJzL2Rvd25yZXYueG1sRE9La8JA&#10;EL4L/Q/LFHrTTS1YG12lKNIcvPgoeByyYxLNzi7Z1aT+elcoeJuP7znTeWdqcaXGV5YVvA8SEMS5&#10;1RUXCva7VX8MwgdkjbVlUvBHHuazl94UU21b3tB1GwoRQ9inqKAMwaVS+rwkg35gHXHkjrYxGCJs&#10;CqkbbGO4qeUwSUbSYMWxoURHi5Ly8/ZiFByW7LJVK/PjbeHWp2xc/1z2v0q9vXbfExCBuvAU/7sz&#10;Hed/JR+f8Hgn3iBndwAAAP//AwBQSwECLQAUAAYACAAAACEA2+H2y+4AAACFAQAAEwAAAAAAAAAA&#10;AAAAAAAAAAAAW0NvbnRlbnRfVHlwZXNdLnhtbFBLAQItABQABgAIAAAAIQBa9CxbvwAAABUBAAAL&#10;AAAAAAAAAAAAAAAAAB8BAABfcmVscy8ucmVsc1BLAQItABQABgAIAAAAIQCLndpjxQAAAN4AAAAP&#10;AAAAAAAAAAAAAAAAAAcCAABkcnMvZG93bnJldi54bWxQSwUGAAAAAAMAAwC3AAAA+QIAAAAA&#10;" filled="f" stroked="f">
                  <v:textbox inset="0,0,0,0">
                    <w:txbxContent>
                      <w:p w14:paraId="13E83CF9" w14:textId="77777777" w:rsidR="00B32EF2" w:rsidRDefault="00000000">
                        <w:r>
                          <w:rPr>
                            <w:rFonts w:ascii="Arial" w:eastAsia="Arial" w:hAnsi="Arial" w:cs="Arial"/>
                            <w:i/>
                            <w:sz w:val="18"/>
                          </w:rPr>
                          <w:t>Sistema pubblico di connettività “</w:t>
                        </w:r>
                      </w:p>
                    </w:txbxContent>
                  </v:textbox>
                </v:rect>
                <v:shape id="Shape 19038" o:spid="_x0000_s4286" style="position:absolute;left:317;top:4731;width:39600;height:5346;visibility:visible;mso-wrap-style:square;v-text-anchor:top" coordsize="3960000,53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PlrxAAAAN4AAAAPAAAAZHJzL2Rvd25yZXYueG1sRI9BSwMx&#10;EIXvQv9DmIIXsYlViq5NiwgLvaltvQ+bcbN0M1mSuLv+e+cgeJvhvXnvm+1+Dr0aKeUusoW7lQFF&#10;3ETXcWvhfKpvH0Hlguywj0wWfijDfre42mLl4sQfNB5LqySEc4UWfClDpXVuPAXMqzgQi/YVU8Ai&#10;a2q1SzhJeOj12piNDtixNHgc6NVTczl+Bwv14c2vsUsP86U2/acfp5Fu3q29Xs4vz6AKzeXf/Hd9&#10;cIL/ZO6FV96RGfTuFwAA//8DAFBLAQItABQABgAIAAAAIQDb4fbL7gAAAIUBAAATAAAAAAAAAAAA&#10;AAAAAAAAAABbQ29udGVudF9UeXBlc10ueG1sUEsBAi0AFAAGAAgAAAAhAFr0LFu/AAAAFQEAAAsA&#10;AAAAAAAAAAAAAAAAHwEAAF9yZWxzLy5yZWxzUEsBAi0AFAAGAAgAAAAhAHMo+WvEAAAA3gAAAA8A&#10;AAAAAAAAAAAAAAAABwIAAGRycy9kb3ducmV2LnhtbFBLBQYAAAAAAwADALcAAAD4AgAAAAA=&#10;" path="m,534505r3960000,l3960000,,,,,534505xe" filled="f" strokeweight="1pt">
                  <v:stroke miterlimit="1" joinstyle="miter"/>
                  <v:path arrowok="t" textboxrect="0,0,3960000,534505"/>
                </v:shape>
                <v:shape id="Shape 207971" o:spid="_x0000_s4287" style="position:absolute;left:317;top:53421;width:39600;height:9143;visibility:visible;mso-wrap-style:square;v-text-anchor:top" coordsize="3960000,91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VOygAAAN8AAAAPAAAAZHJzL2Rvd25yZXYueG1sRI9Pa8JA&#10;FMTvBb/D8oReSt0o0rSpqxShVA8V/Fd6fGSf2bTZtyG7muindwsFj8PM/IaZzDpbiRM1vnSsYDhI&#10;QBDnTpdcKNht3x+fQfiArLFyTArO5GE27d1NMNOu5TWdNqEQEcI+QwUmhDqT0ueGLPqBq4mjd3CN&#10;xRBlU0jdYBvhtpKjJHmSFkuOCwZrmhvKfzdHq2D1tXwY25/0Ml9/fqzoe9+SObRK3fe7t1cQgbpw&#10;C/+3F1rBKElf0iH8/YlfQE6vAAAA//8DAFBLAQItABQABgAIAAAAIQDb4fbL7gAAAIUBAAATAAAA&#10;AAAAAAAAAAAAAAAAAABbQ29udGVudF9UeXBlc10ueG1sUEsBAi0AFAAGAAgAAAAhAFr0LFu/AAAA&#10;FQEAAAsAAAAAAAAAAAAAAAAAHwEAAF9yZWxzLy5yZWxzUEsBAi0AFAAGAAgAAAAhANkM1U7KAAAA&#10;3wAAAA8AAAAAAAAAAAAAAAAABwIAAGRycy9kb3ducmV2LnhtbFBLBQYAAAAAAwADALcAAAD+AgAA&#10;AAA=&#10;" path="m,l3960000,r,914298l,914298,,e" fillcolor="#c3c3c3" stroked="f" strokeweight="0">
                  <v:stroke miterlimit="1" joinstyle="miter"/>
                  <v:path arrowok="t" textboxrect="0,0,3960000,914298"/>
                </v:shape>
                <v:rect id="Rectangle 19040" o:spid="_x0000_s4288" style="position:absolute;left:-11872;top:60352;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jFqxwAAAN4AAAAPAAAAZHJzL2Rvd25yZXYueG1sRI9Ba8JA&#10;EIXvhf6HZQq91U1LKTa6ilikOfSiVfA4ZMckmp1dsqtJ++udg+Bthnnz3vum88G16kJdbDwbeB1l&#10;oIhLbxuuDGx/Vy9jUDEhW2w9k4E/ijCfPT5MMbe+5zVdNqlSYsIxRwN1SiHXOpY1OYwjH4jldvCd&#10;wyRrV2nbYS/mrtVvWfahHTYsCTUGWtZUnjZnZ2D/xaFY9bo8/C/Dz7EYt9/n7c6Y56dhMQGVaEh3&#10;8e27sFL/M3sXAMGRGfTsCgAA//8DAFBLAQItABQABgAIAAAAIQDb4fbL7gAAAIUBAAATAAAAAAAA&#10;AAAAAAAAAAAAAABbQ29udGVudF9UeXBlc10ueG1sUEsBAi0AFAAGAAgAAAAhAFr0LFu/AAAAFQEA&#10;AAsAAAAAAAAAAAAAAAAAHwEAAF9yZWxzLy5yZWxzUEsBAi0AFAAGAAgAAAAhAFxyMWrHAAAA3gAA&#10;AA8AAAAAAAAAAAAAAAAABwIAAGRycy9kb3ducmV2LnhtbFBLBQYAAAAAAwADALcAAAD7AgAAAAA=&#10;" filled="f" stroked="f">
                  <v:textbox inset="0,0,0,0">
                    <w:txbxContent>
                      <w:p w14:paraId="468CE62A" w14:textId="77777777" w:rsidR="00B32EF2" w:rsidRDefault="00000000">
                        <w:r>
                          <w:rPr>
                            <w:rFonts w:ascii="Arial" w:eastAsia="Arial" w:hAnsi="Arial" w:cs="Arial"/>
                            <w:i/>
                            <w:sz w:val="18"/>
                          </w:rPr>
                          <w:t xml:space="preserve">se quest’ultimo non deve eseguirla a mezzo di posta elettronica certificata </w:t>
                        </w:r>
                      </w:p>
                    </w:txbxContent>
                  </v:textbox>
                </v:rect>
                <v:rect id="Rectangle 19041" o:spid="_x0000_s4289" style="position:absolute;left:-11882;top:59119;width:510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pTxxQAAAN4AAAAPAAAAZHJzL2Rvd25yZXYueG1sRE9La8JA&#10;EL4X+h+WKfSmG4sUjW5ELGIOvVRT6HHITh6anV2yq0n767sFobf5+J6z3oymEzfqfWtZwWyagCAu&#10;rW65VlCc9pMFCB+QNXaWScE3edhkjw9rTLUd+INux1CLGMI+RQVNCC6V0pcNGfRT64gjV9neYIiw&#10;r6XucYjhppMvSfIqDbYcGxp0tGuovByvRsHXG7t8P8iy+tm593O+6A7X4lOp56dxuwIRaAz/4rs7&#10;13H+MpnP4O+deIPMfgEAAP//AwBQSwECLQAUAAYACAAAACEA2+H2y+4AAACFAQAAEwAAAAAAAAAA&#10;AAAAAAAAAAAAW0NvbnRlbnRfVHlwZXNdLnhtbFBLAQItABQABgAIAAAAIQBa9CxbvwAAABUBAAAL&#10;AAAAAAAAAAAAAAAAAB8BAABfcmVscy8ucmVsc1BLAQItABQABgAIAAAAIQAzPpTxxQAAAN4AAAAP&#10;AAAAAAAAAAAAAAAAAAcCAABkcnMvZG93bnJldi54bWxQSwUGAAAAAAMAAwC3AAAA+QIAAAAA&#10;" filled="f" stroked="f">
                  <v:textbox inset="0,0,0,0">
                    <w:txbxContent>
                      <w:p w14:paraId="4B0EAD7B" w14:textId="77777777" w:rsidR="00B32EF2" w:rsidRDefault="00000000">
                        <w:r>
                          <w:rPr>
                            <w:rFonts w:ascii="Arial" w:eastAsia="Arial" w:hAnsi="Arial" w:cs="Arial"/>
                            <w:i/>
                            <w:sz w:val="18"/>
                          </w:rPr>
                          <w:t xml:space="preserve">o servizio elettronico di recapito certificato qualificato, o con altra modalità </w:t>
                        </w:r>
                      </w:p>
                    </w:txbxContent>
                  </v:textbox>
                </v:rect>
                <v:rect id="Rectangle 19042" o:spid="_x0000_s4290" style="position:absolute;left:-11873;top:57886;width:510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AqGxAAAAN4AAAAPAAAAZHJzL2Rvd25yZXYueG1sRE9Na8JA&#10;EL0L/Q/LFLzppiKiqasUi5hDL2oKPQ7ZMUmbnV2yq4n99a4geJvH+5zlujeNuFDra8sK3sYJCOLC&#10;6ppLBflxO5qD8AFZY2OZFFzJw3r1Mlhiqm3He7ocQiliCPsUFVQhuFRKX1Rk0I+tI47cybYGQ4Rt&#10;KXWLXQw3jZwkyUwarDk2VOhoU1HxdzgbBT+f7LJtJ4vT/8Z9/WbzZnfOv5UavvYf7yAC9eEpfrgz&#10;HecvkukE7u/EG+TqBgAA//8DAFBLAQItABQABgAIAAAAIQDb4fbL7gAAAIUBAAATAAAAAAAAAAAA&#10;AAAAAAAAAABbQ29udGVudF9UeXBlc10ueG1sUEsBAi0AFAAGAAgAAAAhAFr0LFu/AAAAFQEAAAsA&#10;AAAAAAAAAAAAAAAAHwEAAF9yZWxzLy5yZWxzUEsBAi0AFAAGAAgAAAAhAMPsCobEAAAA3gAAAA8A&#10;AAAAAAAAAAAAAAAABwIAAGRycy9kb3ducmV2LnhtbFBLBQYAAAAAAwADALcAAAD4AgAAAAA=&#10;" filled="f" stroked="f">
                  <v:textbox inset="0,0,0,0">
                    <w:txbxContent>
                      <w:p w14:paraId="71A0A105" w14:textId="77777777" w:rsidR="00B32EF2" w:rsidRDefault="00000000">
                        <w:r>
                          <w:rPr>
                            <w:rFonts w:ascii="Arial" w:eastAsia="Arial" w:hAnsi="Arial" w:cs="Arial"/>
                            <w:i/>
                            <w:sz w:val="18"/>
                          </w:rPr>
                          <w:t xml:space="preserve">prevista dalla legge, salvo che l’avvocato dichiari che la notificazione con le </w:t>
                        </w:r>
                      </w:p>
                    </w:txbxContent>
                  </v:textbox>
                </v:rect>
                <v:rect id="Rectangle 19043" o:spid="_x0000_s4291" style="position:absolute;left:-11894;top:56652;width:51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8dxQAAAN4AAAAPAAAAZHJzL2Rvd25yZXYueG1sRE9La8JA&#10;EL4L/Q/LFHrTTa0UG12lKNIcvPgoeByyYxLNzi7Z1aT+elcoeJuP7znTeWdqcaXGV5YVvA8SEMS5&#10;1RUXCva7VX8MwgdkjbVlUvBHHuazl94UU21b3tB1GwoRQ9inqKAMwaVS+rwkg35gHXHkjrYxGCJs&#10;CqkbbGO4qeUwST6lwYpjQ4mOFiXl5+3FKDgs2WWrVubH28KtT9m4/rnsf5V6e+2+JyACdeEp/ndn&#10;Os7/SkYf8Hgn3iBndwAAAP//AwBQSwECLQAUAAYACAAAACEA2+H2y+4AAACFAQAAEwAAAAAAAAAA&#10;AAAAAAAAAAAAW0NvbnRlbnRfVHlwZXNdLnhtbFBLAQItABQABgAIAAAAIQBa9CxbvwAAABUBAAAL&#10;AAAAAAAAAAAAAAAAAB8BAABfcmVscy8ucmVsc1BLAQItABQABgAIAAAAIQCsoK8dxQAAAN4AAAAP&#10;AAAAAAAAAAAAAAAAAAcCAABkcnMvZG93bnJldi54bWxQSwUGAAAAAAMAAwC3AAAA+QIAAAAA&#10;" filled="f" stroked="f">
                  <v:textbox inset="0,0,0,0">
                    <w:txbxContent>
                      <w:p w14:paraId="66D836F1" w14:textId="77777777" w:rsidR="00B32EF2" w:rsidRDefault="00000000">
                        <w:r>
                          <w:rPr>
                            <w:rFonts w:ascii="Arial" w:eastAsia="Arial" w:hAnsi="Arial" w:cs="Arial"/>
                            <w:i/>
                            <w:sz w:val="18"/>
                          </w:rPr>
                          <w:t xml:space="preserve">predette modalità non è possibile o non ha avuto esito positivo per cause </w:t>
                        </w:r>
                      </w:p>
                    </w:txbxContent>
                  </v:textbox>
                </v:rect>
                <v:rect id="Rectangle 19044" o:spid="_x0000_s4292" style="position:absolute;left:-11854;top:55419;width:509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TdpxQAAAN4AAAAPAAAAZHJzL2Rvd25yZXYueG1sRE9LawIx&#10;EL4X/A9hhN40axGxW7MiinQPvdQqeBw2s4+6mYRNdLf99aYg9DYf33NW68G04kadbywrmE0TEMSF&#10;1Q1XCo5f+8kShA/IGlvLpOCHPKyz0dMKU217/qTbIVQihrBPUUEdgkul9EVNBv3UOuLIlbYzGCLs&#10;Kqk77GO4aeVLkiykwYZjQ42OtjUVl8PVKDjv2OX7Xhbl79Z9fOfL9v16PCn1PB42byACDeFf/HDn&#10;Os5/TeZz+Hsn3iCzOwAAAP//AwBQSwECLQAUAAYACAAAACEA2+H2y+4AAACFAQAAEwAAAAAAAAAA&#10;AAAAAAAAAAAAW0NvbnRlbnRfVHlwZXNdLnhtbFBLAQItABQABgAIAAAAIQBa9CxbvwAAABUBAAAL&#10;AAAAAAAAAAAAAAAAAB8BAABfcmVscy8ucmVsc1BLAQItABQABgAIAAAAIQAjSTdpxQAAAN4AAAAP&#10;AAAAAAAAAAAAAAAAAAcCAABkcnMvZG93bnJldi54bWxQSwUGAAAAAAMAAwC3AAAA+QIAAAAA&#10;" filled="f" stroked="f">
                  <v:textbox inset="0,0,0,0">
                    <w:txbxContent>
                      <w:p w14:paraId="6B1E8443" w14:textId="77777777" w:rsidR="00B32EF2" w:rsidRDefault="00000000">
                        <w:r>
                          <w:rPr>
                            <w:rFonts w:ascii="Arial" w:eastAsia="Arial" w:hAnsi="Arial" w:cs="Arial"/>
                            <w:i/>
                            <w:sz w:val="18"/>
                          </w:rPr>
                          <w:t xml:space="preserve">non imputabili al destinatario. Della dichiarazione è dato atto nella relazione </w:t>
                        </w:r>
                      </w:p>
                    </w:txbxContent>
                  </v:textbox>
                </v:rect>
                <v:rect id="Rectangle 19045" o:spid="_x0000_s4293" style="position:absolute;left:28521;top:54186;width:106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ZLyxQAAAN4AAAAPAAAAZHJzL2Rvd25yZXYueG1sRE9La8JA&#10;EL4L/Q/LFHrTTaUWG12lKNIcvPgoeByyYxLNzi7Z1aT+elcoeJuP7znTeWdqcaXGV5YVvA8SEMS5&#10;1RUXCva7VX8MwgdkjbVlUvBHHuazl94UU21b3tB1GwoRQ9inqKAMwaVS+rwkg35gHXHkjrYxGCJs&#10;CqkbbGO4qeUwST6lwYpjQ4mOFiXl5+3FKDgs2WWrVubH28KtT9m4/rnsf5V6e+2+JyACdeEp/ndn&#10;Os7/Sj5G8Hgn3iBndwAAAP//AwBQSwECLQAUAAYACAAAACEA2+H2y+4AAACFAQAAEwAAAAAAAAAA&#10;AAAAAAAAAAAAW0NvbnRlbnRfVHlwZXNdLnhtbFBLAQItABQABgAIAAAAIQBa9CxbvwAAABUBAAAL&#10;AAAAAAAAAAAAAAAAAB8BAABfcmVscy8ucmVsc1BLAQItABQABgAIAAAAIQBMBZLyxQAAAN4AAAAP&#10;AAAAAAAAAAAAAAAAAAcCAABkcnMvZG93bnJldi54bWxQSwUGAAAAAAMAAwC3AAAA+QIAAAAA&#10;" filled="f" stroked="f">
                  <v:textbox inset="0,0,0,0">
                    <w:txbxContent>
                      <w:p w14:paraId="7CD04761" w14:textId="77777777" w:rsidR="00B32EF2" w:rsidRDefault="00000000">
                        <w:r>
                          <w:rPr>
                            <w:rFonts w:ascii="Arial" w:eastAsia="Arial" w:hAnsi="Arial" w:cs="Arial"/>
                            <w:i/>
                            <w:sz w:val="18"/>
                          </w:rPr>
                          <w:t>di notificazione.</w:t>
                        </w:r>
                      </w:p>
                    </w:txbxContent>
                  </v:textbox>
                </v:rect>
                <v:shape id="Shape 19046" o:spid="_x0000_s4294" style="position:absolute;left:317;top:53421;width:39600;height:9143;visibility:visible;mso-wrap-style:square;v-text-anchor:top" coordsize="3960000,91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MxQAAAN4AAAAPAAAAZHJzL2Rvd25yZXYueG1sRE9Na8JA&#10;EL0X/A/LCN7qxiKpRlfRgtBSKiQKehyyYxLMzobsGtP++m6h4G0e73OW697UoqPWVZYVTMYRCOLc&#10;6ooLBcfD7nkGwnlkjbVlUvBNDtarwdMSE23vnFKX+UKEEHYJKii9bxIpXV6SQTe2DXHgLrY16ANs&#10;C6lbvIdwU8uXKIqlwYpDQ4kNvZWUX7ObUXA+bf3l6zPuf7LJ63afdqn7OKZKjYb9ZgHCU+8f4n/3&#10;uw7z59E0hr93wg1y9QsAAP//AwBQSwECLQAUAAYACAAAACEA2+H2y+4AAACFAQAAEwAAAAAAAAAA&#10;AAAAAAAAAAAAW0NvbnRlbnRfVHlwZXNdLnhtbFBLAQItABQABgAIAAAAIQBa9CxbvwAAABUBAAAL&#10;AAAAAAAAAAAAAAAAAB8BAABfcmVscy8ucmVsc1BLAQItABQABgAIAAAAIQBJeDkMxQAAAN4AAAAP&#10;AAAAAAAAAAAAAAAAAAcCAABkcnMvZG93bnJldi54bWxQSwUGAAAAAAMAAwC3AAAA+QIAAAAA&#10;" path="m,914298r3960000,l3960000,,,,,914298xe" filled="f" strokeweight="1pt">
                  <v:stroke miterlimit="1" joinstyle="miter"/>
                  <v:path arrowok="t" textboxrect="0,0,3960000,914298"/>
                </v:shape>
                <w10:anchorlock/>
              </v:group>
            </w:pict>
          </mc:Fallback>
        </mc:AlternateContent>
      </w:r>
    </w:p>
    <w:p w14:paraId="60755A56" w14:textId="77777777" w:rsidR="00B32EF2" w:rsidRDefault="00000000">
      <w:pPr>
        <w:spacing w:after="0"/>
        <w:ind w:left="-356" w:right="-306"/>
      </w:pPr>
      <w:r>
        <w:rPr>
          <w:noProof/>
        </w:rPr>
        <w:lastRenderedPageBreak/>
        <mc:AlternateContent>
          <mc:Choice Requires="wpg">
            <w:drawing>
              <wp:inline distT="0" distB="0" distL="0" distR="0" wp14:anchorId="4C7AE953" wp14:editId="2255FCA1">
                <wp:extent cx="3991859" cy="6262854"/>
                <wp:effectExtent l="0" t="0" r="0" b="0"/>
                <wp:docPr id="201400" name="Group 201400"/>
                <wp:cNvGraphicFramePr/>
                <a:graphic xmlns:a="http://schemas.openxmlformats.org/drawingml/2006/main">
                  <a:graphicData uri="http://schemas.microsoft.com/office/word/2010/wordprocessingGroup">
                    <wpg:wgp>
                      <wpg:cNvGrpSpPr/>
                      <wpg:grpSpPr>
                        <a:xfrm>
                          <a:off x="0" y="0"/>
                          <a:ext cx="3991859" cy="6262854"/>
                          <a:chOff x="0" y="0"/>
                          <a:chExt cx="3991859" cy="6262854"/>
                        </a:xfrm>
                      </wpg:grpSpPr>
                      <wps:wsp>
                        <wps:cNvPr id="19120" name="Rectangle 19120"/>
                        <wps:cNvSpPr/>
                        <wps:spPr>
                          <a:xfrm rot="-10799999">
                            <a:off x="1900545" y="-62190"/>
                            <a:ext cx="178369" cy="250646"/>
                          </a:xfrm>
                          <a:prstGeom prst="rect">
                            <a:avLst/>
                          </a:prstGeom>
                          <a:ln>
                            <a:noFill/>
                          </a:ln>
                        </wps:spPr>
                        <wps:txbx>
                          <w:txbxContent>
                            <w:p w14:paraId="477B63F8" w14:textId="77777777" w:rsidR="00B32EF2" w:rsidRDefault="00000000">
                              <w:r>
                                <w:rPr>
                                  <w:rFonts w:ascii="Times New Roman" w:eastAsia="Times New Roman" w:hAnsi="Times New Roman" w:cs="Times New Roman"/>
                                </w:rPr>
                                <w:t>56</w:t>
                              </w:r>
                            </w:p>
                          </w:txbxContent>
                        </wps:txbx>
                        <wps:bodyPr horzOverflow="overflow" vert="horz" lIns="0" tIns="0" rIns="0" bIns="0" rtlCol="0">
                          <a:noAutofit/>
                        </wps:bodyPr>
                      </wps:wsp>
                      <wps:wsp>
                        <wps:cNvPr id="19121" name="Rectangle 19121"/>
                        <wps:cNvSpPr/>
                        <wps:spPr>
                          <a:xfrm rot="-10799999">
                            <a:off x="-1220917" y="6119964"/>
                            <a:ext cx="5212777" cy="142890"/>
                          </a:xfrm>
                          <a:prstGeom prst="rect">
                            <a:avLst/>
                          </a:prstGeom>
                          <a:ln>
                            <a:noFill/>
                          </a:ln>
                        </wps:spPr>
                        <wps:txbx>
                          <w:txbxContent>
                            <w:p w14:paraId="7B782F01" w14:textId="77777777" w:rsidR="00B32EF2" w:rsidRDefault="00000000">
                              <w:r>
                                <w:rPr>
                                  <w:rFonts w:ascii="Arial" w:eastAsia="Arial" w:hAnsi="Arial" w:cs="Arial"/>
                                  <w:sz w:val="18"/>
                                </w:rPr>
                                <w:t>ipotesi previste dall’articolo 61 comma 3, possono essere fatte anche diretta</w:t>
                              </w:r>
                            </w:p>
                          </w:txbxContent>
                        </wps:txbx>
                        <wps:bodyPr horzOverflow="overflow" vert="horz" lIns="0" tIns="0" rIns="0" bIns="0" rtlCol="0">
                          <a:noAutofit/>
                        </wps:bodyPr>
                      </wps:wsp>
                      <wps:wsp>
                        <wps:cNvPr id="19122" name="Rectangle 19122"/>
                        <wps:cNvSpPr/>
                        <wps:spPr>
                          <a:xfrm rot="-10799999">
                            <a:off x="19261" y="6119965"/>
                            <a:ext cx="50622" cy="142889"/>
                          </a:xfrm>
                          <a:prstGeom prst="rect">
                            <a:avLst/>
                          </a:prstGeom>
                          <a:ln>
                            <a:noFill/>
                          </a:ln>
                        </wps:spPr>
                        <wps:txbx>
                          <w:txbxContent>
                            <w:p w14:paraId="1FABA0B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123" name="Rectangle 19123"/>
                        <wps:cNvSpPr/>
                        <wps:spPr>
                          <a:xfrm rot="-10799999">
                            <a:off x="-1220522" y="5996634"/>
                            <a:ext cx="5212382" cy="142891"/>
                          </a:xfrm>
                          <a:prstGeom prst="rect">
                            <a:avLst/>
                          </a:prstGeom>
                          <a:ln>
                            <a:noFill/>
                          </a:ln>
                        </wps:spPr>
                        <wps:txbx>
                          <w:txbxContent>
                            <w:p w14:paraId="51983472" w14:textId="77777777" w:rsidR="00B32EF2" w:rsidRDefault="00000000">
                              <w:r>
                                <w:rPr>
                                  <w:rFonts w:ascii="Arial" w:eastAsia="Arial" w:hAnsi="Arial" w:cs="Arial"/>
                                  <w:sz w:val="18"/>
                                </w:rPr>
                                <w:t>mente a mezzo del servizio postale mediante spedizione dell’atto in plico sen</w:t>
                              </w:r>
                            </w:p>
                          </w:txbxContent>
                        </wps:txbx>
                        <wps:bodyPr horzOverflow="overflow" vert="horz" lIns="0" tIns="0" rIns="0" bIns="0" rtlCol="0">
                          <a:noAutofit/>
                        </wps:bodyPr>
                      </wps:wsp>
                      <wps:wsp>
                        <wps:cNvPr id="19124" name="Rectangle 19124"/>
                        <wps:cNvSpPr/>
                        <wps:spPr>
                          <a:xfrm rot="-10799999">
                            <a:off x="19261" y="5996635"/>
                            <a:ext cx="50622" cy="142890"/>
                          </a:xfrm>
                          <a:prstGeom prst="rect">
                            <a:avLst/>
                          </a:prstGeom>
                          <a:ln>
                            <a:noFill/>
                          </a:ln>
                        </wps:spPr>
                        <wps:txbx>
                          <w:txbxContent>
                            <w:p w14:paraId="22550AC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125" name="Rectangle 19125"/>
                        <wps:cNvSpPr/>
                        <wps:spPr>
                          <a:xfrm rot="-10799999">
                            <a:off x="-1317100" y="5873305"/>
                            <a:ext cx="5308960" cy="142889"/>
                          </a:xfrm>
                          <a:prstGeom prst="rect">
                            <a:avLst/>
                          </a:prstGeom>
                          <a:ln>
                            <a:noFill/>
                          </a:ln>
                        </wps:spPr>
                        <wps:txbx>
                          <w:txbxContent>
                            <w:p w14:paraId="7EF705EA" w14:textId="77777777" w:rsidR="00B32EF2" w:rsidRDefault="00000000">
                              <w:r>
                                <w:rPr>
                                  <w:rFonts w:ascii="Arial" w:eastAsia="Arial" w:hAnsi="Arial" w:cs="Arial"/>
                                  <w:sz w:val="18"/>
                                </w:rPr>
                                <w:t xml:space="preserve">za busta raccomandato con avviso di ricevimento, sul quale non sono apposti </w:t>
                              </w:r>
                            </w:p>
                          </w:txbxContent>
                        </wps:txbx>
                        <wps:bodyPr horzOverflow="overflow" vert="horz" lIns="0" tIns="0" rIns="0" bIns="0" rtlCol="0">
                          <a:noAutofit/>
                        </wps:bodyPr>
                      </wps:wsp>
                      <wps:wsp>
                        <wps:cNvPr id="19126" name="Rectangle 19126"/>
                        <wps:cNvSpPr/>
                        <wps:spPr>
                          <a:xfrm rot="-10799999">
                            <a:off x="-1317146" y="5749976"/>
                            <a:ext cx="5309005" cy="142889"/>
                          </a:xfrm>
                          <a:prstGeom prst="rect">
                            <a:avLst/>
                          </a:prstGeom>
                          <a:ln>
                            <a:noFill/>
                          </a:ln>
                        </wps:spPr>
                        <wps:txbx>
                          <w:txbxContent>
                            <w:p w14:paraId="649E86DA" w14:textId="77777777" w:rsidR="00B32EF2" w:rsidRDefault="00000000">
                              <w:r>
                                <w:rPr>
                                  <w:rFonts w:ascii="Arial" w:eastAsia="Arial" w:hAnsi="Arial" w:cs="Arial"/>
                                  <w:sz w:val="18"/>
                                </w:rPr>
                                <w:t xml:space="preserve">segni o indicazioni dai quali possa desumersi il contenuto dell’atto, ovvero </w:t>
                              </w:r>
                            </w:p>
                          </w:txbxContent>
                        </wps:txbx>
                        <wps:bodyPr horzOverflow="overflow" vert="horz" lIns="0" tIns="0" rIns="0" bIns="0" rtlCol="0">
                          <a:noAutofit/>
                        </wps:bodyPr>
                      </wps:wsp>
                      <wps:wsp>
                        <wps:cNvPr id="19127" name="Rectangle 19127"/>
                        <wps:cNvSpPr/>
                        <wps:spPr>
                          <a:xfrm rot="-10799999">
                            <a:off x="-1220583" y="5626646"/>
                            <a:ext cx="5212443" cy="142889"/>
                          </a:xfrm>
                          <a:prstGeom prst="rect">
                            <a:avLst/>
                          </a:prstGeom>
                          <a:ln>
                            <a:noFill/>
                          </a:ln>
                        </wps:spPr>
                        <wps:txbx>
                          <w:txbxContent>
                            <w:p w14:paraId="42C5AEE5" w14:textId="77777777" w:rsidR="00B32EF2" w:rsidRDefault="00000000">
                              <w:r>
                                <w:rPr>
                                  <w:rFonts w:ascii="Arial" w:eastAsia="Arial" w:hAnsi="Arial" w:cs="Arial"/>
                                  <w:sz w:val="18"/>
                                </w:rPr>
                                <w:t>all’ufficio del Ministero dell’economia e delle finanze ed all’ente locale median</w:t>
                              </w:r>
                            </w:p>
                          </w:txbxContent>
                        </wps:txbx>
                        <wps:bodyPr horzOverflow="overflow" vert="horz" lIns="0" tIns="0" rIns="0" bIns="0" rtlCol="0">
                          <a:noAutofit/>
                        </wps:bodyPr>
                      </wps:wsp>
                      <wps:wsp>
                        <wps:cNvPr id="19128" name="Rectangle 19128"/>
                        <wps:cNvSpPr/>
                        <wps:spPr>
                          <a:xfrm rot="-10799999">
                            <a:off x="19261" y="5626646"/>
                            <a:ext cx="50622" cy="142889"/>
                          </a:xfrm>
                          <a:prstGeom prst="rect">
                            <a:avLst/>
                          </a:prstGeom>
                          <a:ln>
                            <a:noFill/>
                          </a:ln>
                        </wps:spPr>
                        <wps:txbx>
                          <w:txbxContent>
                            <w:p w14:paraId="2B8929B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129" name="Rectangle 19129"/>
                        <wps:cNvSpPr/>
                        <wps:spPr>
                          <a:xfrm rot="-10799999">
                            <a:off x="-1274899" y="5503316"/>
                            <a:ext cx="5266759" cy="142889"/>
                          </a:xfrm>
                          <a:prstGeom prst="rect">
                            <a:avLst/>
                          </a:prstGeom>
                          <a:ln>
                            <a:noFill/>
                          </a:ln>
                        </wps:spPr>
                        <wps:txbx>
                          <w:txbxContent>
                            <w:p w14:paraId="0BECA3FC" w14:textId="77777777" w:rsidR="00B32EF2" w:rsidRDefault="00000000">
                              <w:r>
                                <w:rPr>
                                  <w:rFonts w:ascii="Arial" w:eastAsia="Arial" w:hAnsi="Arial" w:cs="Arial"/>
                                  <w:sz w:val="18"/>
                                </w:rPr>
                                <w:t>te consegna dell’atto all’impiegato addetto che ne rilascia ricevuta sulla copia.</w:t>
                              </w:r>
                            </w:p>
                          </w:txbxContent>
                        </wps:txbx>
                        <wps:bodyPr horzOverflow="overflow" vert="horz" lIns="0" tIns="0" rIns="0" bIns="0" rtlCol="0">
                          <a:noAutofit/>
                        </wps:bodyPr>
                      </wps:wsp>
                      <wps:wsp>
                        <wps:cNvPr id="201284" name="Rectangle 201284"/>
                        <wps:cNvSpPr/>
                        <wps:spPr>
                          <a:xfrm rot="-10799999">
                            <a:off x="2611014" y="5379987"/>
                            <a:ext cx="5309097" cy="142889"/>
                          </a:xfrm>
                          <a:prstGeom prst="rect">
                            <a:avLst/>
                          </a:prstGeom>
                          <a:ln>
                            <a:noFill/>
                          </a:ln>
                        </wps:spPr>
                        <wps:txbx>
                          <w:txbxContent>
                            <w:p w14:paraId="2A94324F"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1287" name="Rectangle 201287"/>
                        <wps:cNvSpPr/>
                        <wps:spPr>
                          <a:xfrm rot="-10799999">
                            <a:off x="-1380376" y="5379987"/>
                            <a:ext cx="5309097" cy="142889"/>
                          </a:xfrm>
                          <a:prstGeom prst="rect">
                            <a:avLst/>
                          </a:prstGeom>
                          <a:ln>
                            <a:noFill/>
                          </a:ln>
                        </wps:spPr>
                        <wps:txbx>
                          <w:txbxContent>
                            <w:p w14:paraId="3D5D0CE8" w14:textId="77777777" w:rsidR="00B32EF2" w:rsidRDefault="00000000">
                              <w:r>
                                <w:rPr>
                                  <w:rFonts w:ascii="Arial" w:eastAsia="Arial" w:hAnsi="Arial" w:cs="Arial"/>
                                  <w:sz w:val="18"/>
                                </w:rPr>
                                <w:t xml:space="preserve">. Gli enti impositori, gli agenti della riscossione e i soggetti iscritti nell’albo di </w:t>
                              </w:r>
                            </w:p>
                          </w:txbxContent>
                        </wps:txbx>
                        <wps:bodyPr horzOverflow="overflow" vert="horz" lIns="0" tIns="0" rIns="0" bIns="0" rtlCol="0">
                          <a:noAutofit/>
                        </wps:bodyPr>
                      </wps:wsp>
                      <wps:wsp>
                        <wps:cNvPr id="19131" name="Rectangle 19131"/>
                        <wps:cNvSpPr/>
                        <wps:spPr>
                          <a:xfrm rot="-10799999">
                            <a:off x="-1317146" y="5256657"/>
                            <a:ext cx="5309006" cy="142889"/>
                          </a:xfrm>
                          <a:prstGeom prst="rect">
                            <a:avLst/>
                          </a:prstGeom>
                          <a:ln>
                            <a:noFill/>
                          </a:ln>
                        </wps:spPr>
                        <wps:txbx>
                          <w:txbxContent>
                            <w:p w14:paraId="613223A1" w14:textId="77777777" w:rsidR="00B32EF2" w:rsidRDefault="00000000">
                              <w:r>
                                <w:rPr>
                                  <w:rFonts w:ascii="Arial" w:eastAsia="Arial" w:hAnsi="Arial" w:cs="Arial"/>
                                  <w:sz w:val="18"/>
                                </w:rPr>
                                <w:t xml:space="preserve">cui all’articolo 53 del decreto legislativo 15 dicembre 1997, n. 446, provvedono </w:t>
                              </w:r>
                            </w:p>
                          </w:txbxContent>
                        </wps:txbx>
                        <wps:bodyPr horzOverflow="overflow" vert="horz" lIns="0" tIns="0" rIns="0" bIns="0" rtlCol="0">
                          <a:noAutofit/>
                        </wps:bodyPr>
                      </wps:wsp>
                      <wps:wsp>
                        <wps:cNvPr id="19132" name="Rectangle 19132"/>
                        <wps:cNvSpPr/>
                        <wps:spPr>
                          <a:xfrm rot="-10799999">
                            <a:off x="-1317130" y="5133327"/>
                            <a:ext cx="5308990" cy="142889"/>
                          </a:xfrm>
                          <a:prstGeom prst="rect">
                            <a:avLst/>
                          </a:prstGeom>
                          <a:ln>
                            <a:noFill/>
                          </a:ln>
                        </wps:spPr>
                        <wps:txbx>
                          <w:txbxContent>
                            <w:p w14:paraId="69342E84" w14:textId="77777777" w:rsidR="00B32EF2" w:rsidRDefault="00000000">
                              <w:r>
                                <w:rPr>
                                  <w:rFonts w:ascii="Arial" w:eastAsia="Arial" w:hAnsi="Arial" w:cs="Arial"/>
                                  <w:sz w:val="18"/>
                                </w:rPr>
                                <w:t xml:space="preserve">alle notificazioni anche a mezzo del messo comunale o di messo autorizzato </w:t>
                              </w:r>
                            </w:p>
                          </w:txbxContent>
                        </wps:txbx>
                        <wps:bodyPr horzOverflow="overflow" vert="horz" lIns="0" tIns="0" rIns="0" bIns="0" rtlCol="0">
                          <a:noAutofit/>
                        </wps:bodyPr>
                      </wps:wsp>
                      <wps:wsp>
                        <wps:cNvPr id="19133" name="Rectangle 19133"/>
                        <wps:cNvSpPr/>
                        <wps:spPr>
                          <a:xfrm rot="-10799999">
                            <a:off x="-1317539" y="5009998"/>
                            <a:ext cx="5310085" cy="142889"/>
                          </a:xfrm>
                          <a:prstGeom prst="rect">
                            <a:avLst/>
                          </a:prstGeom>
                          <a:ln>
                            <a:noFill/>
                          </a:ln>
                        </wps:spPr>
                        <wps:txbx>
                          <w:txbxContent>
                            <w:p w14:paraId="44D8FEDE" w14:textId="77777777" w:rsidR="00B32EF2" w:rsidRDefault="00000000">
                              <w:r>
                                <w:rPr>
                                  <w:rFonts w:ascii="Arial" w:eastAsia="Arial" w:hAnsi="Arial" w:cs="Arial"/>
                                  <w:sz w:val="18"/>
                                </w:rPr>
                                <w:t xml:space="preserve">dall’amministrazione finanziaria, con l’osservanza delle disposizioni di cui al </w:t>
                              </w:r>
                            </w:p>
                          </w:txbxContent>
                        </wps:txbx>
                        <wps:bodyPr horzOverflow="overflow" vert="horz" lIns="0" tIns="0" rIns="0" bIns="0" rtlCol="0">
                          <a:noAutofit/>
                        </wps:bodyPr>
                      </wps:wsp>
                      <wps:wsp>
                        <wps:cNvPr id="19134" name="Rectangle 19134"/>
                        <wps:cNvSpPr/>
                        <wps:spPr>
                          <a:xfrm rot="-10799999">
                            <a:off x="3273964" y="4886668"/>
                            <a:ext cx="717895" cy="142889"/>
                          </a:xfrm>
                          <a:prstGeom prst="rect">
                            <a:avLst/>
                          </a:prstGeom>
                          <a:ln>
                            <a:noFill/>
                          </a:ln>
                        </wps:spPr>
                        <wps:txbx>
                          <w:txbxContent>
                            <w:p w14:paraId="184AF4CC" w14:textId="77777777" w:rsidR="00B32EF2" w:rsidRDefault="00000000">
                              <w:r>
                                <w:rPr>
                                  <w:rFonts w:ascii="Arial" w:eastAsia="Arial" w:hAnsi="Arial" w:cs="Arial"/>
                                  <w:sz w:val="18"/>
                                </w:rPr>
                                <w:t xml:space="preserve">comma 2. </w:t>
                              </w:r>
                            </w:p>
                          </w:txbxContent>
                        </wps:txbx>
                        <wps:bodyPr horzOverflow="overflow" vert="horz" lIns="0" tIns="0" rIns="0" bIns="0" rtlCol="0">
                          <a:noAutofit/>
                        </wps:bodyPr>
                      </wps:wsp>
                      <wps:wsp>
                        <wps:cNvPr id="201282" name="Rectangle 201282"/>
                        <wps:cNvSpPr/>
                        <wps:spPr>
                          <a:xfrm rot="-10799999">
                            <a:off x="-1381542" y="4763338"/>
                            <a:ext cx="5309005" cy="142889"/>
                          </a:xfrm>
                          <a:prstGeom prst="rect">
                            <a:avLst/>
                          </a:prstGeom>
                          <a:ln>
                            <a:noFill/>
                          </a:ln>
                        </wps:spPr>
                        <wps:txbx>
                          <w:txbxContent>
                            <w:p w14:paraId="5F979D4E" w14:textId="77777777" w:rsidR="00B32EF2" w:rsidRDefault="00000000">
                              <w:r>
                                <w:rPr>
                                  <w:rFonts w:ascii="Arial" w:eastAsia="Arial" w:hAnsi="Arial" w:cs="Arial"/>
                                  <w:sz w:val="18"/>
                                </w:rPr>
                                <w:t xml:space="preserve">. Qualunque comunicazione o notificazione a mezzo del servizio postale si </w:t>
                              </w:r>
                            </w:p>
                          </w:txbxContent>
                        </wps:txbx>
                        <wps:bodyPr horzOverflow="overflow" vert="horz" lIns="0" tIns="0" rIns="0" bIns="0" rtlCol="0">
                          <a:noAutofit/>
                        </wps:bodyPr>
                      </wps:wsp>
                      <wps:wsp>
                        <wps:cNvPr id="201281" name="Rectangle 201281"/>
                        <wps:cNvSpPr/>
                        <wps:spPr>
                          <a:xfrm rot="-10799999">
                            <a:off x="2611037" y="4763338"/>
                            <a:ext cx="5309006" cy="142889"/>
                          </a:xfrm>
                          <a:prstGeom prst="rect">
                            <a:avLst/>
                          </a:prstGeom>
                          <a:ln>
                            <a:noFill/>
                          </a:ln>
                        </wps:spPr>
                        <wps:txbx>
                          <w:txbxContent>
                            <w:p w14:paraId="36EB9CD7"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19136" name="Rectangle 19136"/>
                        <wps:cNvSpPr/>
                        <wps:spPr>
                          <a:xfrm rot="-10799999">
                            <a:off x="-1218652" y="4640009"/>
                            <a:ext cx="5210512" cy="142889"/>
                          </a:xfrm>
                          <a:prstGeom prst="rect">
                            <a:avLst/>
                          </a:prstGeom>
                          <a:ln>
                            <a:noFill/>
                          </a:ln>
                        </wps:spPr>
                        <wps:txbx>
                          <w:txbxContent>
                            <w:p w14:paraId="1F3A2A5B" w14:textId="77777777" w:rsidR="00B32EF2" w:rsidRDefault="00000000">
                              <w:r>
                                <w:rPr>
                                  <w:rFonts w:ascii="Arial" w:eastAsia="Arial" w:hAnsi="Arial" w:cs="Arial"/>
                                  <w:sz w:val="18"/>
                                </w:rPr>
                                <w:t>considera fatta nella data della spedizione; i termini che hanno inizio dalla no</w:t>
                              </w:r>
                            </w:p>
                          </w:txbxContent>
                        </wps:txbx>
                        <wps:bodyPr horzOverflow="overflow" vert="horz" lIns="0" tIns="0" rIns="0" bIns="0" rtlCol="0">
                          <a:noAutofit/>
                        </wps:bodyPr>
                      </wps:wsp>
                      <wps:wsp>
                        <wps:cNvPr id="19137" name="Rectangle 19137"/>
                        <wps:cNvSpPr/>
                        <wps:spPr>
                          <a:xfrm rot="-10799999">
                            <a:off x="19261" y="4640008"/>
                            <a:ext cx="50622" cy="142889"/>
                          </a:xfrm>
                          <a:prstGeom prst="rect">
                            <a:avLst/>
                          </a:prstGeom>
                          <a:ln>
                            <a:noFill/>
                          </a:ln>
                        </wps:spPr>
                        <wps:txbx>
                          <w:txbxContent>
                            <w:p w14:paraId="2C877EE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138" name="Rectangle 19138"/>
                        <wps:cNvSpPr/>
                        <wps:spPr>
                          <a:xfrm rot="-10799999">
                            <a:off x="-1230860" y="4516679"/>
                            <a:ext cx="5222720" cy="142889"/>
                          </a:xfrm>
                          <a:prstGeom prst="rect">
                            <a:avLst/>
                          </a:prstGeom>
                          <a:ln>
                            <a:noFill/>
                          </a:ln>
                        </wps:spPr>
                        <wps:txbx>
                          <w:txbxContent>
                            <w:p w14:paraId="5F27BD8E" w14:textId="77777777" w:rsidR="00B32EF2" w:rsidRDefault="00000000">
                              <w:r>
                                <w:rPr>
                                  <w:rFonts w:ascii="Arial" w:eastAsia="Arial" w:hAnsi="Arial" w:cs="Arial"/>
                                  <w:sz w:val="18"/>
                                </w:rPr>
                                <w:t>tificazione o dalla comunicazione decorrono dalla data in cui l’atto è ricevuto.</w:t>
                              </w:r>
                            </w:p>
                          </w:txbxContent>
                        </wps:txbx>
                        <wps:bodyPr horzOverflow="overflow" vert="horz" lIns="0" tIns="0" rIns="0" bIns="0" rtlCol="0">
                          <a:noAutofit/>
                        </wps:bodyPr>
                      </wps:wsp>
                      <wps:wsp>
                        <wps:cNvPr id="207978" name="Shape 207978"/>
                        <wps:cNvSpPr/>
                        <wps:spPr>
                          <a:xfrm>
                            <a:off x="31859" y="473194"/>
                            <a:ext cx="3960000" cy="4010305"/>
                          </a:xfrm>
                          <a:custGeom>
                            <a:avLst/>
                            <a:gdLst/>
                            <a:ahLst/>
                            <a:cxnLst/>
                            <a:rect l="0" t="0" r="0" b="0"/>
                            <a:pathLst>
                              <a:path w="3960000" h="4010305">
                                <a:moveTo>
                                  <a:pt x="0" y="0"/>
                                </a:moveTo>
                                <a:lnTo>
                                  <a:pt x="3960000" y="0"/>
                                </a:lnTo>
                                <a:lnTo>
                                  <a:pt x="3960000" y="4010305"/>
                                </a:lnTo>
                                <a:lnTo>
                                  <a:pt x="0" y="4010305"/>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9140" name="Rectangle 19140"/>
                        <wps:cNvSpPr/>
                        <wps:spPr>
                          <a:xfrm rot="-10799999">
                            <a:off x="2328844" y="4262264"/>
                            <a:ext cx="1585695" cy="142889"/>
                          </a:xfrm>
                          <a:prstGeom prst="rect">
                            <a:avLst/>
                          </a:prstGeom>
                          <a:ln>
                            <a:noFill/>
                          </a:ln>
                        </wps:spPr>
                        <wps:txbx>
                          <w:txbxContent>
                            <w:p w14:paraId="1B66F842"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9141" name="Rectangle 19141"/>
                        <wps:cNvSpPr/>
                        <wps:spPr>
                          <a:xfrm rot="-10799999">
                            <a:off x="-1186174" y="4138934"/>
                            <a:ext cx="5096255" cy="142889"/>
                          </a:xfrm>
                          <a:prstGeom prst="rect">
                            <a:avLst/>
                          </a:prstGeom>
                          <a:ln>
                            <a:noFill/>
                          </a:ln>
                        </wps:spPr>
                        <wps:txbx>
                          <w:txbxContent>
                            <w:p w14:paraId="5F431493" w14:textId="77777777" w:rsidR="00B32EF2" w:rsidRDefault="00000000">
                              <w:r>
                                <w:rPr>
                                  <w:rFonts w:ascii="Arial" w:eastAsia="Arial" w:hAnsi="Arial" w:cs="Arial"/>
                                  <w:i/>
                                  <w:sz w:val="18"/>
                                </w:rPr>
                                <w:t xml:space="preserve">art. 53 D.lgs. 446/1997 “Albo per l’accertamento e riscossione delle entrate </w:t>
                              </w:r>
                            </w:p>
                          </w:txbxContent>
                        </wps:txbx>
                        <wps:bodyPr horzOverflow="overflow" vert="horz" lIns="0" tIns="0" rIns="0" bIns="0" rtlCol="0">
                          <a:noAutofit/>
                        </wps:bodyPr>
                      </wps:wsp>
                      <wps:wsp>
                        <wps:cNvPr id="19142" name="Rectangle 19142"/>
                        <wps:cNvSpPr/>
                        <wps:spPr>
                          <a:xfrm rot="-10799999">
                            <a:off x="2804849" y="4015604"/>
                            <a:ext cx="1108660" cy="142889"/>
                          </a:xfrm>
                          <a:prstGeom prst="rect">
                            <a:avLst/>
                          </a:prstGeom>
                          <a:ln>
                            <a:noFill/>
                          </a:ln>
                        </wps:spPr>
                        <wps:txbx>
                          <w:txbxContent>
                            <w:p w14:paraId="666D7574" w14:textId="77777777" w:rsidR="00B32EF2" w:rsidRDefault="00000000">
                              <w:r>
                                <w:rPr>
                                  <w:rFonts w:ascii="Arial" w:eastAsia="Arial" w:hAnsi="Arial" w:cs="Arial"/>
                                  <w:i/>
                                  <w:sz w:val="18"/>
                                </w:rPr>
                                <w:t>degli enti locali”.</w:t>
                              </w:r>
                            </w:p>
                          </w:txbxContent>
                        </wps:txbx>
                        <wps:bodyPr horzOverflow="overflow" vert="horz" lIns="0" tIns="0" rIns="0" bIns="0" rtlCol="0">
                          <a:noAutofit/>
                        </wps:bodyPr>
                      </wps:wsp>
                      <wps:wsp>
                        <wps:cNvPr id="19143" name="Rectangle 19143"/>
                        <wps:cNvSpPr/>
                        <wps:spPr>
                          <a:xfrm rot="-10799999">
                            <a:off x="1955064" y="3892275"/>
                            <a:ext cx="1958446" cy="142889"/>
                          </a:xfrm>
                          <a:prstGeom prst="rect">
                            <a:avLst/>
                          </a:prstGeom>
                          <a:ln>
                            <a:noFill/>
                          </a:ln>
                        </wps:spPr>
                        <wps:txbx>
                          <w:txbxContent>
                            <w:p w14:paraId="7C386D33" w14:textId="77777777" w:rsidR="00B32EF2" w:rsidRDefault="00000000">
                              <w:r>
                                <w:rPr>
                                  <w:rFonts w:ascii="Arial" w:eastAsia="Arial" w:hAnsi="Arial" w:cs="Arial"/>
                                  <w:i/>
                                  <w:sz w:val="18"/>
                                </w:rPr>
                                <w:t xml:space="preserve">art. 137 c.p.c. ”Notificazioni” </w:t>
                              </w:r>
                            </w:p>
                          </w:txbxContent>
                        </wps:txbx>
                        <wps:bodyPr horzOverflow="overflow" vert="horz" lIns="0" tIns="0" rIns="0" bIns="0" rtlCol="0">
                          <a:noAutofit/>
                        </wps:bodyPr>
                      </wps:wsp>
                      <wps:wsp>
                        <wps:cNvPr id="201280" name="Rectangle 201280"/>
                        <wps:cNvSpPr/>
                        <wps:spPr>
                          <a:xfrm rot="-10799999">
                            <a:off x="-1152790" y="3768945"/>
                            <a:ext cx="5006899" cy="142889"/>
                          </a:xfrm>
                          <a:prstGeom prst="rect">
                            <a:avLst/>
                          </a:prstGeom>
                          <a:ln>
                            <a:noFill/>
                          </a:ln>
                        </wps:spPr>
                        <wps:txbx>
                          <w:txbxContent>
                            <w:p w14:paraId="062B9C3C" w14:textId="77777777" w:rsidR="00B32EF2" w:rsidRDefault="00000000">
                              <w:r>
                                <w:rPr>
                                  <w:rFonts w:ascii="Arial" w:eastAsia="Arial" w:hAnsi="Arial" w:cs="Arial"/>
                                  <w:i/>
                                  <w:sz w:val="18"/>
                                </w:rPr>
                                <w:t>. Le notificazioni, quando non è disposto altrimenti, sono eseguite dall’uf</w:t>
                              </w:r>
                            </w:p>
                          </w:txbxContent>
                        </wps:txbx>
                        <wps:bodyPr horzOverflow="overflow" vert="horz" lIns="0" tIns="0" rIns="0" bIns="0" rtlCol="0">
                          <a:noAutofit/>
                        </wps:bodyPr>
                      </wps:wsp>
                      <wps:wsp>
                        <wps:cNvPr id="201279" name="Rectangle 201279"/>
                        <wps:cNvSpPr/>
                        <wps:spPr>
                          <a:xfrm rot="-10799999">
                            <a:off x="2607646" y="3768945"/>
                            <a:ext cx="5006899" cy="142889"/>
                          </a:xfrm>
                          <a:prstGeom prst="rect">
                            <a:avLst/>
                          </a:prstGeom>
                          <a:ln>
                            <a:noFill/>
                          </a:ln>
                        </wps:spPr>
                        <wps:txbx>
                          <w:txbxContent>
                            <w:p w14:paraId="164F5322"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19145" name="Rectangle 19145"/>
                        <wps:cNvSpPr/>
                        <wps:spPr>
                          <a:xfrm rot="-10799999">
                            <a:off x="97615" y="3768945"/>
                            <a:ext cx="50622" cy="142889"/>
                          </a:xfrm>
                          <a:prstGeom prst="rect">
                            <a:avLst/>
                          </a:prstGeom>
                          <a:ln>
                            <a:noFill/>
                          </a:ln>
                        </wps:spPr>
                        <wps:txbx>
                          <w:txbxContent>
                            <w:p w14:paraId="18DB439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146" name="Rectangle 19146"/>
                        <wps:cNvSpPr/>
                        <wps:spPr>
                          <a:xfrm rot="-10799999">
                            <a:off x="-1187108" y="3645615"/>
                            <a:ext cx="5100618" cy="142889"/>
                          </a:xfrm>
                          <a:prstGeom prst="rect">
                            <a:avLst/>
                          </a:prstGeom>
                          <a:ln>
                            <a:noFill/>
                          </a:ln>
                        </wps:spPr>
                        <wps:txbx>
                          <w:txbxContent>
                            <w:p w14:paraId="1BBCF73D" w14:textId="77777777" w:rsidR="00B32EF2" w:rsidRDefault="00000000">
                              <w:r>
                                <w:rPr>
                                  <w:rFonts w:ascii="Arial" w:eastAsia="Arial" w:hAnsi="Arial" w:cs="Arial"/>
                                  <w:i/>
                                  <w:sz w:val="18"/>
                                </w:rPr>
                                <w:t xml:space="preserve">ficiale giudiziario, su istanza di parte o su richiesta del pubblico ministero </w:t>
                              </w:r>
                            </w:p>
                          </w:txbxContent>
                        </wps:txbx>
                        <wps:bodyPr horzOverflow="overflow" vert="horz" lIns="0" tIns="0" rIns="0" bIns="0" rtlCol="0">
                          <a:noAutofit/>
                        </wps:bodyPr>
                      </wps:wsp>
                      <wps:wsp>
                        <wps:cNvPr id="19147" name="Rectangle 19147"/>
                        <wps:cNvSpPr/>
                        <wps:spPr>
                          <a:xfrm rot="-10799999">
                            <a:off x="2759146" y="3522286"/>
                            <a:ext cx="1154934" cy="142889"/>
                          </a:xfrm>
                          <a:prstGeom prst="rect">
                            <a:avLst/>
                          </a:prstGeom>
                          <a:ln>
                            <a:noFill/>
                          </a:ln>
                        </wps:spPr>
                        <wps:txbx>
                          <w:txbxContent>
                            <w:p w14:paraId="41F9916C" w14:textId="77777777" w:rsidR="00B32EF2" w:rsidRDefault="00000000">
                              <w:r>
                                <w:rPr>
                                  <w:rFonts w:ascii="Arial" w:eastAsia="Arial" w:hAnsi="Arial" w:cs="Arial"/>
                                  <w:i/>
                                  <w:sz w:val="18"/>
                                </w:rPr>
                                <w:t>o del cancelliere.</w:t>
                              </w:r>
                            </w:p>
                          </w:txbxContent>
                        </wps:txbx>
                        <wps:bodyPr horzOverflow="overflow" vert="horz" lIns="0" tIns="0" rIns="0" bIns="0" rtlCol="0">
                          <a:noAutofit/>
                        </wps:bodyPr>
                      </wps:wsp>
                      <wps:wsp>
                        <wps:cNvPr id="201277" name="Rectangle 201277"/>
                        <wps:cNvSpPr/>
                        <wps:spPr>
                          <a:xfrm rot="-10799999">
                            <a:off x="2608249" y="3398956"/>
                            <a:ext cx="5004465" cy="142889"/>
                          </a:xfrm>
                          <a:prstGeom prst="rect">
                            <a:avLst/>
                          </a:prstGeom>
                          <a:ln>
                            <a:noFill/>
                          </a:ln>
                        </wps:spPr>
                        <wps:txbx>
                          <w:txbxContent>
                            <w:p w14:paraId="0064C368"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278" name="Rectangle 201278"/>
                        <wps:cNvSpPr/>
                        <wps:spPr>
                          <a:xfrm rot="-10799999">
                            <a:off x="-1155683" y="3398956"/>
                            <a:ext cx="5004465" cy="142889"/>
                          </a:xfrm>
                          <a:prstGeom prst="rect">
                            <a:avLst/>
                          </a:prstGeom>
                          <a:ln>
                            <a:noFill/>
                          </a:ln>
                        </wps:spPr>
                        <wps:txbx>
                          <w:txbxContent>
                            <w:p w14:paraId="55812A15" w14:textId="77777777" w:rsidR="00B32EF2" w:rsidRDefault="00000000">
                              <w:r>
                                <w:rPr>
                                  <w:rFonts w:ascii="Arial" w:eastAsia="Arial" w:hAnsi="Arial" w:cs="Arial"/>
                                  <w:i/>
                                  <w:sz w:val="18"/>
                                </w:rPr>
                                <w:t>. L’ufficiale giudiziario o l’avvocato esegue la notificazione mediante con</w:t>
                              </w:r>
                            </w:p>
                          </w:txbxContent>
                        </wps:txbx>
                        <wps:bodyPr horzOverflow="overflow" vert="horz" lIns="0" tIns="0" rIns="0" bIns="0" rtlCol="0">
                          <a:noAutofit/>
                        </wps:bodyPr>
                      </wps:wsp>
                      <wps:wsp>
                        <wps:cNvPr id="19149" name="Rectangle 19149"/>
                        <wps:cNvSpPr/>
                        <wps:spPr>
                          <a:xfrm rot="-10799999">
                            <a:off x="97615" y="3398956"/>
                            <a:ext cx="50622" cy="142889"/>
                          </a:xfrm>
                          <a:prstGeom prst="rect">
                            <a:avLst/>
                          </a:prstGeom>
                          <a:ln>
                            <a:noFill/>
                          </a:ln>
                        </wps:spPr>
                        <wps:txbx>
                          <w:txbxContent>
                            <w:p w14:paraId="2622D40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150" name="Rectangle 19150"/>
                        <wps:cNvSpPr/>
                        <wps:spPr>
                          <a:xfrm rot="-10799999">
                            <a:off x="-1112178" y="3275626"/>
                            <a:ext cx="5025688" cy="142889"/>
                          </a:xfrm>
                          <a:prstGeom prst="rect">
                            <a:avLst/>
                          </a:prstGeom>
                          <a:ln>
                            <a:noFill/>
                          </a:ln>
                        </wps:spPr>
                        <wps:txbx>
                          <w:txbxContent>
                            <w:p w14:paraId="4A9A25D2" w14:textId="77777777" w:rsidR="00B32EF2" w:rsidRDefault="00000000">
                              <w:r>
                                <w:rPr>
                                  <w:rFonts w:ascii="Arial" w:eastAsia="Arial" w:hAnsi="Arial" w:cs="Arial"/>
                                  <w:i/>
                                  <w:sz w:val="18"/>
                                </w:rPr>
                                <w:t>segna al destinatario di copia conforme all’originale dell’atto da notificarsi.</w:t>
                              </w:r>
                            </w:p>
                          </w:txbxContent>
                        </wps:txbx>
                        <wps:bodyPr horzOverflow="overflow" vert="horz" lIns="0" tIns="0" rIns="0" bIns="0" rtlCol="0">
                          <a:noAutofit/>
                        </wps:bodyPr>
                      </wps:wsp>
                      <wps:wsp>
                        <wps:cNvPr id="201275" name="Rectangle 201275"/>
                        <wps:cNvSpPr/>
                        <wps:spPr>
                          <a:xfrm rot="-10799999">
                            <a:off x="2606526" y="3152296"/>
                            <a:ext cx="5011413" cy="142889"/>
                          </a:xfrm>
                          <a:prstGeom prst="rect">
                            <a:avLst/>
                          </a:prstGeom>
                          <a:ln>
                            <a:noFill/>
                          </a:ln>
                        </wps:spPr>
                        <wps:txbx>
                          <w:txbxContent>
                            <w:p w14:paraId="08C9A503"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1276" name="Rectangle 201276"/>
                        <wps:cNvSpPr/>
                        <wps:spPr>
                          <a:xfrm rot="-10799999">
                            <a:off x="-1164231" y="3152296"/>
                            <a:ext cx="5011413" cy="142889"/>
                          </a:xfrm>
                          <a:prstGeom prst="rect">
                            <a:avLst/>
                          </a:prstGeom>
                          <a:ln>
                            <a:noFill/>
                          </a:ln>
                        </wps:spPr>
                        <wps:txbx>
                          <w:txbxContent>
                            <w:p w14:paraId="4049C306" w14:textId="77777777" w:rsidR="00B32EF2" w:rsidRDefault="00000000">
                              <w:r>
                                <w:rPr>
                                  <w:rFonts w:ascii="Arial" w:eastAsia="Arial" w:hAnsi="Arial" w:cs="Arial"/>
                                  <w:i/>
                                  <w:sz w:val="18"/>
                                </w:rPr>
                                <w:t>. Se l’atto da notificare o comunicare è costituito da un documento infor</w:t>
                              </w:r>
                            </w:p>
                          </w:txbxContent>
                        </wps:txbx>
                        <wps:bodyPr horzOverflow="overflow" vert="horz" lIns="0" tIns="0" rIns="0" bIns="0" rtlCol="0">
                          <a:noAutofit/>
                        </wps:bodyPr>
                      </wps:wsp>
                      <wps:wsp>
                        <wps:cNvPr id="19152" name="Rectangle 19152"/>
                        <wps:cNvSpPr/>
                        <wps:spPr>
                          <a:xfrm rot="-10799999">
                            <a:off x="97615" y="3152297"/>
                            <a:ext cx="50622" cy="142889"/>
                          </a:xfrm>
                          <a:prstGeom prst="rect">
                            <a:avLst/>
                          </a:prstGeom>
                          <a:ln>
                            <a:noFill/>
                          </a:ln>
                        </wps:spPr>
                        <wps:txbx>
                          <w:txbxContent>
                            <w:p w14:paraId="654AEE0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153" name="Rectangle 19153"/>
                        <wps:cNvSpPr/>
                        <wps:spPr>
                          <a:xfrm rot="-10799999">
                            <a:off x="-1089162" y="3028967"/>
                            <a:ext cx="5002672" cy="142889"/>
                          </a:xfrm>
                          <a:prstGeom prst="rect">
                            <a:avLst/>
                          </a:prstGeom>
                          <a:ln>
                            <a:noFill/>
                          </a:ln>
                        </wps:spPr>
                        <wps:txbx>
                          <w:txbxContent>
                            <w:p w14:paraId="7DAE5443" w14:textId="77777777" w:rsidR="00B32EF2" w:rsidRDefault="00000000">
                              <w:r>
                                <w:rPr>
                                  <w:rFonts w:ascii="Arial" w:eastAsia="Arial" w:hAnsi="Arial" w:cs="Arial"/>
                                  <w:i/>
                                  <w:sz w:val="18"/>
                                </w:rPr>
                                <w:t>matico e il destinatario non possiede indirizzo di posta elettronica certifi</w:t>
                              </w:r>
                            </w:p>
                          </w:txbxContent>
                        </wps:txbx>
                        <wps:bodyPr horzOverflow="overflow" vert="horz" lIns="0" tIns="0" rIns="0" bIns="0" rtlCol="0">
                          <a:noAutofit/>
                        </wps:bodyPr>
                      </wps:wsp>
                      <wps:wsp>
                        <wps:cNvPr id="19154" name="Rectangle 19154"/>
                        <wps:cNvSpPr/>
                        <wps:spPr>
                          <a:xfrm rot="-10799999">
                            <a:off x="97615" y="3028967"/>
                            <a:ext cx="50622" cy="142889"/>
                          </a:xfrm>
                          <a:prstGeom prst="rect">
                            <a:avLst/>
                          </a:prstGeom>
                          <a:ln>
                            <a:noFill/>
                          </a:ln>
                        </wps:spPr>
                        <wps:txbx>
                          <w:txbxContent>
                            <w:p w14:paraId="6A594DD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155" name="Rectangle 19155"/>
                        <wps:cNvSpPr/>
                        <wps:spPr>
                          <a:xfrm rot="-10799999">
                            <a:off x="-1187032" y="2905637"/>
                            <a:ext cx="5100542" cy="142889"/>
                          </a:xfrm>
                          <a:prstGeom prst="rect">
                            <a:avLst/>
                          </a:prstGeom>
                          <a:ln>
                            <a:noFill/>
                          </a:ln>
                        </wps:spPr>
                        <wps:txbx>
                          <w:txbxContent>
                            <w:p w14:paraId="7F486AA0" w14:textId="77777777" w:rsidR="00B32EF2" w:rsidRDefault="00000000">
                              <w:r>
                                <w:rPr>
                                  <w:rFonts w:ascii="Arial" w:eastAsia="Arial" w:hAnsi="Arial" w:cs="Arial"/>
                                  <w:i/>
                                  <w:sz w:val="18"/>
                                </w:rPr>
                                <w:t xml:space="preserve">cata, l’ufficiale giudiziario esegue la notificazione mediante consegna di </w:t>
                              </w:r>
                            </w:p>
                          </w:txbxContent>
                        </wps:txbx>
                        <wps:bodyPr horzOverflow="overflow" vert="horz" lIns="0" tIns="0" rIns="0" bIns="0" rtlCol="0">
                          <a:noAutofit/>
                        </wps:bodyPr>
                      </wps:wsp>
                      <wps:wsp>
                        <wps:cNvPr id="19156" name="Rectangle 19156"/>
                        <wps:cNvSpPr/>
                        <wps:spPr>
                          <a:xfrm rot="-10799999">
                            <a:off x="-1090986" y="2782307"/>
                            <a:ext cx="5004496" cy="142889"/>
                          </a:xfrm>
                          <a:prstGeom prst="rect">
                            <a:avLst/>
                          </a:prstGeom>
                          <a:ln>
                            <a:noFill/>
                          </a:ln>
                        </wps:spPr>
                        <wps:txbx>
                          <w:txbxContent>
                            <w:p w14:paraId="717F2BB9" w14:textId="77777777" w:rsidR="00B32EF2" w:rsidRDefault="00000000">
                              <w:r>
                                <w:rPr>
                                  <w:rFonts w:ascii="Arial" w:eastAsia="Arial" w:hAnsi="Arial" w:cs="Arial"/>
                                  <w:i/>
                                  <w:sz w:val="18"/>
                                </w:rPr>
                                <w:t>una copia dell’atto su supporto cartaceo, da lui dichiarata conforme all’ori</w:t>
                              </w:r>
                            </w:p>
                          </w:txbxContent>
                        </wps:txbx>
                        <wps:bodyPr horzOverflow="overflow" vert="horz" lIns="0" tIns="0" rIns="0" bIns="0" rtlCol="0">
                          <a:noAutofit/>
                        </wps:bodyPr>
                      </wps:wsp>
                      <wps:wsp>
                        <wps:cNvPr id="19157" name="Rectangle 19157"/>
                        <wps:cNvSpPr/>
                        <wps:spPr>
                          <a:xfrm rot="-10799999">
                            <a:off x="97615" y="2782308"/>
                            <a:ext cx="50622" cy="142889"/>
                          </a:xfrm>
                          <a:prstGeom prst="rect">
                            <a:avLst/>
                          </a:prstGeom>
                          <a:ln>
                            <a:noFill/>
                          </a:ln>
                        </wps:spPr>
                        <wps:txbx>
                          <w:txbxContent>
                            <w:p w14:paraId="196B608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158" name="Rectangle 19158"/>
                        <wps:cNvSpPr/>
                        <wps:spPr>
                          <a:xfrm rot="-10799999">
                            <a:off x="-1189948" y="2658978"/>
                            <a:ext cx="5110773" cy="142889"/>
                          </a:xfrm>
                          <a:prstGeom prst="rect">
                            <a:avLst/>
                          </a:prstGeom>
                          <a:ln>
                            <a:noFill/>
                          </a:ln>
                        </wps:spPr>
                        <wps:txbx>
                          <w:txbxContent>
                            <w:p w14:paraId="26B5D5F7" w14:textId="77777777" w:rsidR="00B32EF2" w:rsidRDefault="00000000">
                              <w:r>
                                <w:rPr>
                                  <w:rFonts w:ascii="Arial" w:eastAsia="Arial" w:hAnsi="Arial" w:cs="Arial"/>
                                  <w:i/>
                                  <w:sz w:val="18"/>
                                </w:rPr>
                                <w:t xml:space="preserve">ginale, e conserva il documento informatico per i due anni successivi. Se </w:t>
                              </w:r>
                            </w:p>
                          </w:txbxContent>
                        </wps:txbx>
                        <wps:bodyPr horzOverflow="overflow" vert="horz" lIns="0" tIns="0" rIns="0" bIns="0" rtlCol="0">
                          <a:noAutofit/>
                        </wps:bodyPr>
                      </wps:wsp>
                      <wps:wsp>
                        <wps:cNvPr id="19159" name="Rectangle 19159"/>
                        <wps:cNvSpPr/>
                        <wps:spPr>
                          <a:xfrm rot="-10799999">
                            <a:off x="-1090910" y="2535648"/>
                            <a:ext cx="5004420" cy="142889"/>
                          </a:xfrm>
                          <a:prstGeom prst="rect">
                            <a:avLst/>
                          </a:prstGeom>
                          <a:ln>
                            <a:noFill/>
                          </a:ln>
                        </wps:spPr>
                        <wps:txbx>
                          <w:txbxContent>
                            <w:p w14:paraId="7052A160" w14:textId="77777777" w:rsidR="00B32EF2" w:rsidRDefault="00000000">
                              <w:r>
                                <w:rPr>
                                  <w:rFonts w:ascii="Arial" w:eastAsia="Arial" w:hAnsi="Arial" w:cs="Arial"/>
                                  <w:i/>
                                  <w:sz w:val="18"/>
                                </w:rPr>
                                <w:t>richiesto, l’ufficiale giudiziario invia l’atto notificato anche attraverso stru</w:t>
                              </w:r>
                            </w:p>
                          </w:txbxContent>
                        </wps:txbx>
                        <wps:bodyPr horzOverflow="overflow" vert="horz" lIns="0" tIns="0" rIns="0" bIns="0" rtlCol="0">
                          <a:noAutofit/>
                        </wps:bodyPr>
                      </wps:wsp>
                      <wps:wsp>
                        <wps:cNvPr id="19160" name="Rectangle 19160"/>
                        <wps:cNvSpPr/>
                        <wps:spPr>
                          <a:xfrm rot="-10799999">
                            <a:off x="97615" y="2535648"/>
                            <a:ext cx="50622" cy="142889"/>
                          </a:xfrm>
                          <a:prstGeom prst="rect">
                            <a:avLst/>
                          </a:prstGeom>
                          <a:ln>
                            <a:noFill/>
                          </a:ln>
                        </wps:spPr>
                        <wps:txbx>
                          <w:txbxContent>
                            <w:p w14:paraId="50C3870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161" name="Rectangle 19161"/>
                        <wps:cNvSpPr/>
                        <wps:spPr>
                          <a:xfrm rot="-10799999">
                            <a:off x="-1189032" y="2412318"/>
                            <a:ext cx="5108143" cy="142889"/>
                          </a:xfrm>
                          <a:prstGeom prst="rect">
                            <a:avLst/>
                          </a:prstGeom>
                          <a:ln>
                            <a:noFill/>
                          </a:ln>
                        </wps:spPr>
                        <wps:txbx>
                          <w:txbxContent>
                            <w:p w14:paraId="6C146B37" w14:textId="77777777" w:rsidR="00B32EF2" w:rsidRDefault="00000000">
                              <w:r>
                                <w:rPr>
                                  <w:rFonts w:ascii="Arial" w:eastAsia="Arial" w:hAnsi="Arial" w:cs="Arial"/>
                                  <w:i/>
                                  <w:sz w:val="18"/>
                                </w:rPr>
                                <w:t xml:space="preserve">menti telematici all’indirizzo di posta elettronica dichiarato dal destinatario </w:t>
                              </w:r>
                            </w:p>
                          </w:txbxContent>
                        </wps:txbx>
                        <wps:bodyPr horzOverflow="overflow" vert="horz" lIns="0" tIns="0" rIns="0" bIns="0" rtlCol="0">
                          <a:noAutofit/>
                        </wps:bodyPr>
                      </wps:wsp>
                      <wps:wsp>
                        <wps:cNvPr id="19162" name="Rectangle 19162"/>
                        <wps:cNvSpPr/>
                        <wps:spPr>
                          <a:xfrm rot="-10799999">
                            <a:off x="-1187153" y="2288989"/>
                            <a:ext cx="5100663" cy="142889"/>
                          </a:xfrm>
                          <a:prstGeom prst="rect">
                            <a:avLst/>
                          </a:prstGeom>
                          <a:ln>
                            <a:noFill/>
                          </a:ln>
                        </wps:spPr>
                        <wps:txbx>
                          <w:txbxContent>
                            <w:p w14:paraId="5CA4AA37" w14:textId="77777777" w:rsidR="00B32EF2" w:rsidRDefault="00000000">
                              <w:r>
                                <w:rPr>
                                  <w:rFonts w:ascii="Arial" w:eastAsia="Arial" w:hAnsi="Arial" w:cs="Arial"/>
                                  <w:i/>
                                  <w:sz w:val="18"/>
                                </w:rPr>
                                <w:t xml:space="preserve">della notifica o dal suo procuratore, ovvero consegna ai medesimi, previa </w:t>
                              </w:r>
                            </w:p>
                          </w:txbxContent>
                        </wps:txbx>
                        <wps:bodyPr horzOverflow="overflow" vert="horz" lIns="0" tIns="0" rIns="0" bIns="0" rtlCol="0">
                          <a:noAutofit/>
                        </wps:bodyPr>
                      </wps:wsp>
                      <wps:wsp>
                        <wps:cNvPr id="19163" name="Rectangle 19163"/>
                        <wps:cNvSpPr/>
                        <wps:spPr>
                          <a:xfrm rot="-10799999">
                            <a:off x="-1187108" y="2165659"/>
                            <a:ext cx="5100618" cy="142889"/>
                          </a:xfrm>
                          <a:prstGeom prst="rect">
                            <a:avLst/>
                          </a:prstGeom>
                          <a:ln>
                            <a:noFill/>
                          </a:ln>
                        </wps:spPr>
                        <wps:txbx>
                          <w:txbxContent>
                            <w:p w14:paraId="3CC54884" w14:textId="77777777" w:rsidR="00B32EF2" w:rsidRDefault="00000000">
                              <w:r>
                                <w:rPr>
                                  <w:rFonts w:ascii="Arial" w:eastAsia="Arial" w:hAnsi="Arial" w:cs="Arial"/>
                                  <w:i/>
                                  <w:sz w:val="18"/>
                                </w:rPr>
                                <w:t xml:space="preserve">esazione dei relativi diritti, copia dell’atto notificato, su supporto informatico </w:t>
                              </w:r>
                            </w:p>
                          </w:txbxContent>
                        </wps:txbx>
                        <wps:bodyPr horzOverflow="overflow" vert="horz" lIns="0" tIns="0" rIns="0" bIns="0" rtlCol="0">
                          <a:noAutofit/>
                        </wps:bodyPr>
                      </wps:wsp>
                      <wps:wsp>
                        <wps:cNvPr id="19164" name="Rectangle 19164"/>
                        <wps:cNvSpPr/>
                        <wps:spPr>
                          <a:xfrm rot="-10799999">
                            <a:off x="2845697" y="2042330"/>
                            <a:ext cx="1067812" cy="142889"/>
                          </a:xfrm>
                          <a:prstGeom prst="rect">
                            <a:avLst/>
                          </a:prstGeom>
                          <a:ln>
                            <a:noFill/>
                          </a:ln>
                        </wps:spPr>
                        <wps:txbx>
                          <w:txbxContent>
                            <w:p w14:paraId="619D7211" w14:textId="77777777" w:rsidR="00B32EF2" w:rsidRDefault="00000000">
                              <w:r>
                                <w:rPr>
                                  <w:rFonts w:ascii="Arial" w:eastAsia="Arial" w:hAnsi="Arial" w:cs="Arial"/>
                                  <w:i/>
                                  <w:sz w:val="18"/>
                                </w:rPr>
                                <w:t>non riscrivibile .</w:t>
                              </w:r>
                            </w:p>
                          </w:txbxContent>
                        </wps:txbx>
                        <wps:bodyPr horzOverflow="overflow" vert="horz" lIns="0" tIns="0" rIns="0" bIns="0" rtlCol="0">
                          <a:noAutofit/>
                        </wps:bodyPr>
                      </wps:wsp>
                      <wps:wsp>
                        <wps:cNvPr id="201274" name="Rectangle 201274"/>
                        <wps:cNvSpPr/>
                        <wps:spPr>
                          <a:xfrm rot="-10799999">
                            <a:off x="-1156078" y="1919000"/>
                            <a:ext cx="5005089" cy="142889"/>
                          </a:xfrm>
                          <a:prstGeom prst="rect">
                            <a:avLst/>
                          </a:prstGeom>
                          <a:ln>
                            <a:noFill/>
                          </a:ln>
                        </wps:spPr>
                        <wps:txbx>
                          <w:txbxContent>
                            <w:p w14:paraId="2880BBE7" w14:textId="77777777" w:rsidR="00B32EF2" w:rsidRDefault="00000000">
                              <w:r>
                                <w:rPr>
                                  <w:rFonts w:ascii="Arial" w:eastAsia="Arial" w:hAnsi="Arial" w:cs="Arial"/>
                                  <w:i/>
                                  <w:sz w:val="18"/>
                                </w:rPr>
                                <w:t>. Se la notificazione non può essere eseguita in mani proprie del destina</w:t>
                              </w:r>
                            </w:p>
                          </w:txbxContent>
                        </wps:txbx>
                        <wps:bodyPr horzOverflow="overflow" vert="horz" lIns="0" tIns="0" rIns="0" bIns="0" rtlCol="0">
                          <a:noAutofit/>
                        </wps:bodyPr>
                      </wps:wsp>
                      <wps:wsp>
                        <wps:cNvPr id="201273" name="Rectangle 201273"/>
                        <wps:cNvSpPr/>
                        <wps:spPr>
                          <a:xfrm rot="-10799999">
                            <a:off x="2608095" y="1919000"/>
                            <a:ext cx="5005089" cy="142889"/>
                          </a:xfrm>
                          <a:prstGeom prst="rect">
                            <a:avLst/>
                          </a:prstGeom>
                          <a:ln>
                            <a:noFill/>
                          </a:ln>
                        </wps:spPr>
                        <wps:txbx>
                          <w:txbxContent>
                            <w:p w14:paraId="61178A76"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19166" name="Rectangle 19166"/>
                        <wps:cNvSpPr/>
                        <wps:spPr>
                          <a:xfrm rot="-10799999">
                            <a:off x="97615" y="1919000"/>
                            <a:ext cx="50622" cy="142889"/>
                          </a:xfrm>
                          <a:prstGeom prst="rect">
                            <a:avLst/>
                          </a:prstGeom>
                          <a:ln>
                            <a:noFill/>
                          </a:ln>
                        </wps:spPr>
                        <wps:txbx>
                          <w:txbxContent>
                            <w:p w14:paraId="10E0A70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167" name="Rectangle 19167"/>
                        <wps:cNvSpPr/>
                        <wps:spPr>
                          <a:xfrm rot="-10799999">
                            <a:off x="-1191756" y="1795670"/>
                            <a:ext cx="5118525" cy="142889"/>
                          </a:xfrm>
                          <a:prstGeom prst="rect">
                            <a:avLst/>
                          </a:prstGeom>
                          <a:ln>
                            <a:noFill/>
                          </a:ln>
                        </wps:spPr>
                        <wps:txbx>
                          <w:txbxContent>
                            <w:p w14:paraId="1B1E0C9A" w14:textId="77777777" w:rsidR="00B32EF2" w:rsidRDefault="00000000">
                              <w:r>
                                <w:rPr>
                                  <w:rFonts w:ascii="Arial" w:eastAsia="Arial" w:hAnsi="Arial" w:cs="Arial"/>
                                  <w:i/>
                                  <w:sz w:val="18"/>
                                </w:rPr>
                                <w:t xml:space="preserve">tario, tranne che nel caso previsto dal secondo comma dell’articolo 143, </w:t>
                              </w:r>
                            </w:p>
                          </w:txbxContent>
                        </wps:txbx>
                        <wps:bodyPr horzOverflow="overflow" vert="horz" lIns="0" tIns="0" rIns="0" bIns="0" rtlCol="0">
                          <a:noAutofit/>
                        </wps:bodyPr>
                      </wps:wsp>
                      <wps:wsp>
                        <wps:cNvPr id="19168" name="Rectangle 19168"/>
                        <wps:cNvSpPr/>
                        <wps:spPr>
                          <a:xfrm rot="-10799999">
                            <a:off x="-1187108" y="1672340"/>
                            <a:ext cx="5100618" cy="142889"/>
                          </a:xfrm>
                          <a:prstGeom prst="rect">
                            <a:avLst/>
                          </a:prstGeom>
                          <a:ln>
                            <a:noFill/>
                          </a:ln>
                        </wps:spPr>
                        <wps:txbx>
                          <w:txbxContent>
                            <w:p w14:paraId="38D10197" w14:textId="77777777" w:rsidR="00B32EF2" w:rsidRDefault="00000000">
                              <w:r>
                                <w:rPr>
                                  <w:rFonts w:ascii="Arial" w:eastAsia="Arial" w:hAnsi="Arial" w:cs="Arial"/>
                                  <w:i/>
                                  <w:sz w:val="18"/>
                                </w:rPr>
                                <w:t xml:space="preserve">l’ufficiale giudiziario consegna o deposita la copia dell’atto da notificare in </w:t>
                              </w:r>
                            </w:p>
                          </w:txbxContent>
                        </wps:txbx>
                        <wps:bodyPr horzOverflow="overflow" vert="horz" lIns="0" tIns="0" rIns="0" bIns="0" rtlCol="0">
                          <a:noAutofit/>
                        </wps:bodyPr>
                      </wps:wsp>
                      <wps:wsp>
                        <wps:cNvPr id="19169" name="Rectangle 19169"/>
                        <wps:cNvSpPr/>
                        <wps:spPr>
                          <a:xfrm rot="-10799999">
                            <a:off x="-1186622" y="1549011"/>
                            <a:ext cx="5096818" cy="142889"/>
                          </a:xfrm>
                          <a:prstGeom prst="rect">
                            <a:avLst/>
                          </a:prstGeom>
                          <a:ln>
                            <a:noFill/>
                          </a:ln>
                        </wps:spPr>
                        <wps:txbx>
                          <w:txbxContent>
                            <w:p w14:paraId="6345A19C" w14:textId="77777777" w:rsidR="00B32EF2" w:rsidRDefault="00000000">
                              <w:r>
                                <w:rPr>
                                  <w:rFonts w:ascii="Arial" w:eastAsia="Arial" w:hAnsi="Arial" w:cs="Arial"/>
                                  <w:i/>
                                  <w:sz w:val="18"/>
                                </w:rPr>
                                <w:t xml:space="preserve">busta che provvede a sigillare e su cui trascrive il numero cronologico della </w:t>
                              </w:r>
                            </w:p>
                          </w:txbxContent>
                        </wps:txbx>
                        <wps:bodyPr horzOverflow="overflow" vert="horz" lIns="0" tIns="0" rIns="0" bIns="0" rtlCol="0">
                          <a:noAutofit/>
                        </wps:bodyPr>
                      </wps:wsp>
                      <wps:wsp>
                        <wps:cNvPr id="19170" name="Rectangle 19170"/>
                        <wps:cNvSpPr/>
                        <wps:spPr>
                          <a:xfrm rot="-10799999">
                            <a:off x="-1187093" y="1425681"/>
                            <a:ext cx="5100602" cy="142889"/>
                          </a:xfrm>
                          <a:prstGeom prst="rect">
                            <a:avLst/>
                          </a:prstGeom>
                          <a:ln>
                            <a:noFill/>
                          </a:ln>
                        </wps:spPr>
                        <wps:txbx>
                          <w:txbxContent>
                            <w:p w14:paraId="55647519" w14:textId="77777777" w:rsidR="00B32EF2" w:rsidRDefault="00000000">
                              <w:r>
                                <w:rPr>
                                  <w:rFonts w:ascii="Arial" w:eastAsia="Arial" w:hAnsi="Arial" w:cs="Arial"/>
                                  <w:i/>
                                  <w:sz w:val="18"/>
                                </w:rPr>
                                <w:t xml:space="preserve">notificazione, dandone atto nella relazione in calce all’originale e alla copia </w:t>
                              </w:r>
                            </w:p>
                          </w:txbxContent>
                        </wps:txbx>
                        <wps:bodyPr horzOverflow="overflow" vert="horz" lIns="0" tIns="0" rIns="0" bIns="0" rtlCol="0">
                          <a:noAutofit/>
                        </wps:bodyPr>
                      </wps:wsp>
                      <wps:wsp>
                        <wps:cNvPr id="19171" name="Rectangle 19171"/>
                        <wps:cNvSpPr/>
                        <wps:spPr>
                          <a:xfrm rot="-10799999">
                            <a:off x="-1189156" y="1302351"/>
                            <a:ext cx="5107352" cy="142889"/>
                          </a:xfrm>
                          <a:prstGeom prst="rect">
                            <a:avLst/>
                          </a:prstGeom>
                          <a:ln>
                            <a:noFill/>
                          </a:ln>
                        </wps:spPr>
                        <wps:txbx>
                          <w:txbxContent>
                            <w:p w14:paraId="6AF3AE3E" w14:textId="77777777" w:rsidR="00B32EF2" w:rsidRDefault="00000000">
                              <w:r>
                                <w:rPr>
                                  <w:rFonts w:ascii="Arial" w:eastAsia="Arial" w:hAnsi="Arial" w:cs="Arial"/>
                                  <w:i/>
                                  <w:sz w:val="18"/>
                                </w:rPr>
                                <w:t xml:space="preserve">dell’atto stesso. Sulla busta non sono apposti segni o indicazioni dai quali </w:t>
                              </w:r>
                            </w:p>
                          </w:txbxContent>
                        </wps:txbx>
                        <wps:bodyPr horzOverflow="overflow" vert="horz" lIns="0" tIns="0" rIns="0" bIns="0" rtlCol="0">
                          <a:noAutofit/>
                        </wps:bodyPr>
                      </wps:wsp>
                      <wps:wsp>
                        <wps:cNvPr id="19172" name="Rectangle 19172"/>
                        <wps:cNvSpPr/>
                        <wps:spPr>
                          <a:xfrm rot="-10799999">
                            <a:off x="1263301" y="1179022"/>
                            <a:ext cx="2650209" cy="142889"/>
                          </a:xfrm>
                          <a:prstGeom prst="rect">
                            <a:avLst/>
                          </a:prstGeom>
                          <a:ln>
                            <a:noFill/>
                          </a:ln>
                        </wps:spPr>
                        <wps:txbx>
                          <w:txbxContent>
                            <w:p w14:paraId="7329DB59" w14:textId="77777777" w:rsidR="00B32EF2" w:rsidRDefault="00000000">
                              <w:r>
                                <w:rPr>
                                  <w:rFonts w:ascii="Arial" w:eastAsia="Arial" w:hAnsi="Arial" w:cs="Arial"/>
                                  <w:i/>
                                  <w:sz w:val="18"/>
                                </w:rPr>
                                <w:t>possa desumersi il contenuto dell’atto .</w:t>
                              </w:r>
                            </w:p>
                          </w:txbxContent>
                        </wps:txbx>
                        <wps:bodyPr horzOverflow="overflow" vert="horz" lIns="0" tIns="0" rIns="0" bIns="0" rtlCol="0">
                          <a:noAutofit/>
                        </wps:bodyPr>
                      </wps:wsp>
                      <wps:wsp>
                        <wps:cNvPr id="201271" name="Rectangle 201271"/>
                        <wps:cNvSpPr/>
                        <wps:spPr>
                          <a:xfrm rot="-10799999">
                            <a:off x="2608256" y="1055692"/>
                            <a:ext cx="5004437" cy="142889"/>
                          </a:xfrm>
                          <a:prstGeom prst="rect">
                            <a:avLst/>
                          </a:prstGeom>
                          <a:ln>
                            <a:noFill/>
                          </a:ln>
                        </wps:spPr>
                        <wps:txbx>
                          <w:txbxContent>
                            <w:p w14:paraId="11D7C38E"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201272" name="Rectangle 201272"/>
                        <wps:cNvSpPr/>
                        <wps:spPr>
                          <a:xfrm rot="-10799999">
                            <a:off x="-1157711" y="1055692"/>
                            <a:ext cx="5004435" cy="142889"/>
                          </a:xfrm>
                          <a:prstGeom prst="rect">
                            <a:avLst/>
                          </a:prstGeom>
                          <a:ln>
                            <a:noFill/>
                          </a:ln>
                        </wps:spPr>
                        <wps:txbx>
                          <w:txbxContent>
                            <w:p w14:paraId="4C841BEC" w14:textId="77777777" w:rsidR="00B32EF2" w:rsidRDefault="00000000">
                              <w:r>
                                <w:rPr>
                                  <w:rFonts w:ascii="Arial" w:eastAsia="Arial" w:hAnsi="Arial" w:cs="Arial"/>
                                  <w:i/>
                                  <w:sz w:val="18"/>
                                </w:rPr>
                                <w:t>. Le disposizioni di cui al quarto comma si applicano anche alle comunica</w:t>
                              </w:r>
                            </w:p>
                          </w:txbxContent>
                        </wps:txbx>
                        <wps:bodyPr horzOverflow="overflow" vert="horz" lIns="0" tIns="0" rIns="0" bIns="0" rtlCol="0">
                          <a:noAutofit/>
                        </wps:bodyPr>
                      </wps:wsp>
                      <wps:wsp>
                        <wps:cNvPr id="19174" name="Rectangle 19174"/>
                        <wps:cNvSpPr/>
                        <wps:spPr>
                          <a:xfrm rot="-10799999">
                            <a:off x="97616" y="1055692"/>
                            <a:ext cx="50622" cy="142889"/>
                          </a:xfrm>
                          <a:prstGeom prst="rect">
                            <a:avLst/>
                          </a:prstGeom>
                          <a:ln>
                            <a:noFill/>
                          </a:ln>
                        </wps:spPr>
                        <wps:txbx>
                          <w:txbxContent>
                            <w:p w14:paraId="66984EA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175" name="Rectangle 19175"/>
                        <wps:cNvSpPr/>
                        <wps:spPr>
                          <a:xfrm rot="-10799999">
                            <a:off x="-1129752" y="932362"/>
                            <a:ext cx="5043262" cy="142889"/>
                          </a:xfrm>
                          <a:prstGeom prst="rect">
                            <a:avLst/>
                          </a:prstGeom>
                          <a:ln>
                            <a:noFill/>
                          </a:ln>
                        </wps:spPr>
                        <wps:txbx>
                          <w:txbxContent>
                            <w:p w14:paraId="29C081CC" w14:textId="77777777" w:rsidR="00B32EF2" w:rsidRDefault="00000000">
                              <w:r>
                                <w:rPr>
                                  <w:rFonts w:ascii="Arial" w:eastAsia="Arial" w:hAnsi="Arial" w:cs="Arial"/>
                                  <w:i/>
                                  <w:sz w:val="18"/>
                                </w:rPr>
                                <w:t>zioni effettuate con biglietto di cancelleria ai sensi degli articoli 133 e 136 .</w:t>
                              </w:r>
                            </w:p>
                          </w:txbxContent>
                        </wps:txbx>
                        <wps:bodyPr horzOverflow="overflow" vert="horz" lIns="0" tIns="0" rIns="0" bIns="0" rtlCol="0">
                          <a:noAutofit/>
                        </wps:bodyPr>
                      </wps:wsp>
                      <wps:wsp>
                        <wps:cNvPr id="201269" name="Rectangle 201269"/>
                        <wps:cNvSpPr/>
                        <wps:spPr>
                          <a:xfrm rot="-10799999">
                            <a:off x="2584392" y="809033"/>
                            <a:ext cx="5100618" cy="142889"/>
                          </a:xfrm>
                          <a:prstGeom prst="rect">
                            <a:avLst/>
                          </a:prstGeom>
                          <a:ln>
                            <a:noFill/>
                          </a:ln>
                        </wps:spPr>
                        <wps:txbx>
                          <w:txbxContent>
                            <w:p w14:paraId="128060D9" w14:textId="77777777" w:rsidR="00B32EF2" w:rsidRDefault="00000000">
                              <w:r>
                                <w:rPr>
                                  <w:rFonts w:ascii="Arial" w:eastAsia="Arial" w:hAnsi="Arial" w:cs="Arial"/>
                                  <w:i/>
                                  <w:sz w:val="18"/>
                                </w:rPr>
                                <w:t>6</w:t>
                              </w:r>
                            </w:p>
                          </w:txbxContent>
                        </wps:txbx>
                        <wps:bodyPr horzOverflow="overflow" vert="horz" lIns="0" tIns="0" rIns="0" bIns="0" rtlCol="0">
                          <a:noAutofit/>
                        </wps:bodyPr>
                      </wps:wsp>
                      <wps:wsp>
                        <wps:cNvPr id="201270" name="Rectangle 201270"/>
                        <wps:cNvSpPr/>
                        <wps:spPr>
                          <a:xfrm rot="-10799999">
                            <a:off x="-1253631" y="809033"/>
                            <a:ext cx="5100618" cy="142889"/>
                          </a:xfrm>
                          <a:prstGeom prst="rect">
                            <a:avLst/>
                          </a:prstGeom>
                          <a:ln>
                            <a:noFill/>
                          </a:ln>
                        </wps:spPr>
                        <wps:txbx>
                          <w:txbxContent>
                            <w:p w14:paraId="20DD0537" w14:textId="77777777" w:rsidR="00B32EF2" w:rsidRDefault="00000000">
                              <w:r>
                                <w:rPr>
                                  <w:rFonts w:ascii="Arial" w:eastAsia="Arial" w:hAnsi="Arial" w:cs="Arial"/>
                                  <w:i/>
                                  <w:sz w:val="18"/>
                                </w:rPr>
                                <w:t xml:space="preserve">. L’avvocato esegue le notificazioni nei casi e con le modalità previste dalla </w:t>
                              </w:r>
                            </w:p>
                          </w:txbxContent>
                        </wps:txbx>
                        <wps:bodyPr horzOverflow="overflow" vert="horz" lIns="0" tIns="0" rIns="0" bIns="0" rtlCol="0">
                          <a:noAutofit/>
                        </wps:bodyPr>
                      </wps:wsp>
                      <wps:wsp>
                        <wps:cNvPr id="19177" name="Rectangle 19177"/>
                        <wps:cNvSpPr/>
                        <wps:spPr>
                          <a:xfrm rot="-10799999">
                            <a:off x="3494714" y="685703"/>
                            <a:ext cx="419481" cy="142889"/>
                          </a:xfrm>
                          <a:prstGeom prst="rect">
                            <a:avLst/>
                          </a:prstGeom>
                          <a:ln>
                            <a:noFill/>
                          </a:ln>
                        </wps:spPr>
                        <wps:txbx>
                          <w:txbxContent>
                            <w:p w14:paraId="453237B9" w14:textId="77777777" w:rsidR="00B32EF2" w:rsidRDefault="00000000">
                              <w:r>
                                <w:rPr>
                                  <w:rFonts w:ascii="Arial" w:eastAsia="Arial" w:hAnsi="Arial" w:cs="Arial"/>
                                  <w:i/>
                                  <w:sz w:val="18"/>
                                </w:rPr>
                                <w:t>legge.</w:t>
                              </w:r>
                            </w:p>
                          </w:txbxContent>
                        </wps:txbx>
                        <wps:bodyPr horzOverflow="overflow" vert="horz" lIns="0" tIns="0" rIns="0" bIns="0" rtlCol="0">
                          <a:noAutofit/>
                        </wps:bodyPr>
                      </wps:wsp>
                      <wps:wsp>
                        <wps:cNvPr id="201266" name="Rectangle 201266"/>
                        <wps:cNvSpPr/>
                        <wps:spPr>
                          <a:xfrm rot="-10799999">
                            <a:off x="2584392" y="562373"/>
                            <a:ext cx="5100618" cy="142889"/>
                          </a:xfrm>
                          <a:prstGeom prst="rect">
                            <a:avLst/>
                          </a:prstGeom>
                          <a:ln>
                            <a:noFill/>
                          </a:ln>
                        </wps:spPr>
                        <wps:txbx>
                          <w:txbxContent>
                            <w:p w14:paraId="70B15C7E" w14:textId="77777777" w:rsidR="00B32EF2" w:rsidRDefault="00000000">
                              <w:r>
                                <w:rPr>
                                  <w:rFonts w:ascii="Arial" w:eastAsia="Arial" w:hAnsi="Arial" w:cs="Arial"/>
                                  <w:i/>
                                  <w:sz w:val="18"/>
                                </w:rPr>
                                <w:t>7</w:t>
                              </w:r>
                            </w:p>
                          </w:txbxContent>
                        </wps:txbx>
                        <wps:bodyPr horzOverflow="overflow" vert="horz" lIns="0" tIns="0" rIns="0" bIns="0" rtlCol="0">
                          <a:noAutofit/>
                        </wps:bodyPr>
                      </wps:wsp>
                      <wps:wsp>
                        <wps:cNvPr id="201268" name="Rectangle 201268"/>
                        <wps:cNvSpPr/>
                        <wps:spPr>
                          <a:xfrm rot="-10799999">
                            <a:off x="-1242166" y="562373"/>
                            <a:ext cx="5100618" cy="142889"/>
                          </a:xfrm>
                          <a:prstGeom prst="rect">
                            <a:avLst/>
                          </a:prstGeom>
                          <a:ln>
                            <a:noFill/>
                          </a:ln>
                        </wps:spPr>
                        <wps:txbx>
                          <w:txbxContent>
                            <w:p w14:paraId="3E1E66D0" w14:textId="77777777" w:rsidR="00B32EF2" w:rsidRDefault="00000000">
                              <w:r>
                                <w:rPr>
                                  <w:rFonts w:ascii="Arial" w:eastAsia="Arial" w:hAnsi="Arial" w:cs="Arial"/>
                                  <w:i/>
                                  <w:sz w:val="18"/>
                                </w:rPr>
                                <w:t xml:space="preserve">. L’ufficiale giudiziario esegue la notificazione su richiesta dell’avvocato </w:t>
                              </w:r>
                            </w:p>
                          </w:txbxContent>
                        </wps:txbx>
                        <wps:bodyPr horzOverflow="overflow" vert="horz" lIns="0" tIns="0" rIns="0" bIns="0" rtlCol="0">
                          <a:noAutofit/>
                        </wps:bodyPr>
                      </wps:wsp>
                      <wps:wsp>
                        <wps:cNvPr id="19179" name="Shape 19179"/>
                        <wps:cNvSpPr/>
                        <wps:spPr>
                          <a:xfrm>
                            <a:off x="31858" y="473197"/>
                            <a:ext cx="3960000" cy="4010305"/>
                          </a:xfrm>
                          <a:custGeom>
                            <a:avLst/>
                            <a:gdLst/>
                            <a:ahLst/>
                            <a:cxnLst/>
                            <a:rect l="0" t="0" r="0" b="0"/>
                            <a:pathLst>
                              <a:path w="3960000" h="4010305">
                                <a:moveTo>
                                  <a:pt x="0" y="4010305"/>
                                </a:moveTo>
                                <a:lnTo>
                                  <a:pt x="3960000" y="4010305"/>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C7AE953" id="Group 201400" o:spid="_x0000_s4295" style="width:314.3pt;height:493.15pt;mso-position-horizontal-relative:char;mso-position-vertical-relative:line" coordsize="39918,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pf0UgwAAC+KAAAOAAAAZHJzL2Uyb0RvYy54bWzkXW1v2zgS/n7A/QfD39PwRa9G08WivS0O&#10;ONwudvd+gOrIL4BsGbLbpPfr7xmSohSFaXsUEBrLFkgcWqbleTgzzwyH47c/PR6axZe6O+/b492S&#10;v2HLRX1ct/f74/Zu+Z8/f7kplovzpTreV017rO+WX+vz8qd3f//b24fTqhbtrm3u626BSY7n1cPp&#10;brm7XE6r29vzelcfqvOb9lQf8eSm7Q7VBX9229v7rnrA7IfmVjCW3T603f2pa9f1+YzRD/rJ5Ts1&#10;/2ZTry+/bjbn+rJo7pa4t4v62amfn+jn7bu31WrbVafdfm1uo/K4i0O1P+JN7VQfqku1+Nztn011&#10;2K+79txuLm/W7eG23Wz261p9Bnwaziaf5mPXfj6pz7JdPWxPVkwQ7URO3tOu//3lY3f64/RbB0k8&#10;nLaQhfqLPsvjpjvQb9zl4lGJ7KsVWf14WawxKMuSF2m5XKzxXCYyUaSJFup6B8k/e91694/vvPK2&#10;f+PbJ7fzcMICOQ8yOM+TwR+76lQr0Z5XkMFv3WJ/j/VbcoFVcqwOWKq/Y/FUx21TL/SwEpC62orr&#10;vDpDcr2sFl2L9XXDWV7SP7UejOx4yViapMsFpHSTCfyphdSLkeeFzIwURcqyJKPnrSiq1ak7Xz7W&#10;7WFBD+6WHe5NzV99+df5oi/tL6HbaY7089j+sm8a/SyNQKL9HdOjy+OnR/WxJReC3o8GP7X3XyGN&#10;Xdv991fo9aZpH+6WrXm0JFXH29Ozy0XzzyNQIK3qH3T9g0/9g+7SvG+V7ukb+vnzpd3s1R0P72bu&#10;DPDqe3gVnLkbZ94LAqvi/8f5BpJkJc8V0BnnZZkZdeiRTgUXeY4LSGF4Igq9FF4Ratl/wmigFm6o&#10;7Zr3gpqXIsMaIrOncE5JrNXK4swyKJVFuSjp6VdEWS27QcUiUGjpRtkudy+UlUKnhCSATqHOmXQo&#10;tCxGUJfKhLwi1GrlRQV14obarnkvqAeF1jh/W6Ff3WwrRhAVyqBLLiZml7sXyjdc8pwzsBZS6CKX&#10;kk2BlqwoM1zQe+hXt915dB46c0Nt1/wMqEGlFdR5Upa5mnDkpCUjYh4Q6iI6qEF9XVpt17wn1ODd&#10;aQEKQFqNONREUCOowbuTBBcE02rFAKMy4Mj9uKC2a94L6pGbduIclndLFdhHhTLSFi6U7XL3Qhm8&#10;O08KJFGUQqdMSj613VDyvM88USD92m5a2lRBFIE08pOicBBvM27SR15gI5DmjGNuMt4S2bNCeYOR&#10;8SY/XY6SJq+Otc0VxIO1w1ErrOd6alkwCSJ2xWDblEEUYCO7DVPmsuGDhfNSax1q9fxbpFmWuvSa&#10;YS2EImU6mROTu5buZCiG51hwDTXIj9JqLqUUz6GGOw8YVUubN4hGq90ZUWnNm79Wp9IwM8aw06UI&#10;/dhbI79SBIyqpc0bRAO1g5iRXZ+XEYUSS9rAIqVOiiLLsgnSOfYty5BAWy4SBdCKfjnstxmfacAL&#10;niZ6nyPJM1jwCdZp6FyZvqFofLUC1cHLzPgcsFW8JcHvSa9fxjokL7PZgygUm0w1pO1IowyuzNNZ&#10;C15kqVHrLGHw10T0Rs5acJZyXBCKgifRZcxI81xQW2fmBfWQF00UzlPzHTYvmsSVLCOFdme/By/m&#10;hTLyotiepN1Jst0pRw70mUILkVMVWzCFtqFkFLZboNwvt1irusKFGfuujyZDbCoEpS6jVB5Z8nJS&#10;ZAIaDtNtQE1QKWp2rUdVJuvPukKQ5uyrAlGPeq/rAzG26x+tH4/9Q6oj/GZp7Km60OtoUnq4QDGg&#10;vZcdVqC5FXr+gCrBP1t15WVS94nbHJ5tjuOr7Gz45MoT4Nr+iv73Sc03vrJ/X0j4xeuNjjwRVj9j&#10;/1vPrK98+u6Ylj6wmt8KAYNjMTdHkgehUqF0edNUuibzsL+gprnZH1DgJ3KCrb9NU+ioi0aJyZ4v&#10;X5uaRNYcf683KMZUdbY0cO62n9433eJLRdWT6p8u+GxOu8qMmnnNpUYUmIdev0Hlp52Sq5c+mfK9&#10;pP9mBnMxva5WRdP2lUy/cm3uRldOo/4YH7qvn4ZQ7IvUO7fHi339EVXf6k1Gn3ag8CQX+utVKz9B&#10;OFzud+AhXoZZSOxAJSZWRh20mBZ+8rRIs5DBMja/Ie9B+H/9kkCQDifSlot4IX3DQal5bqCGny+f&#10;lQSyMhNpwLwI1mFsUDvSIiBhSGgYQXhBLQqWFIlOdcLlpBmb+GXsWyItRh4A7ivEJjTOFMSGtDur&#10;PVg3L6R5mdKxC0WrodGg0JOqQFwA8x4wJaKPhERjvlWay+GpzfgcrYYBT0VOe1FQWmxFF6XWolFS&#10;BCfLVPFJMLW2uYBIYigQZUcdEYGt41ta916KLTKWUzHgFWOtMjXRKDZ5ZVAjRwJs8GVeSKO6l2Pi&#10;l3U66IEcsIjYHLU7oz34MS+UiX2jfh8JFwI6S1ICHZIdGW/sPmccF4Qy3ml0Ge3EndHG8Bw/DQ4G&#10;W2FMN85giWJSAgo/nlDwFQ5pG0nG46YdUCs3PRPrjBXCRFpSlqgqmGCdMgb6HTCmxiZaTAZcYWrT&#10;2sNZeDM+R6+Jf6eZOaxxpWDHlytz0G+iapa2eHnrESdzK3VQTqZbVcTEvEFNXMx7YCxeKEOhuUAp&#10;mOZkcNs4mDPhZAzlv0VIThZXnkxZaUeUZcbnWG8E1CgoMawMiRRRPsOa84QHPGmnqUM0aq0wdcRa&#10;ZnwO1lDsLBF0OoCCresE2/LOKCg4XDJVczmyJwM/9bLhI0+tcFZiHQXVYcuH0uhyZKl7mwPD8xQa&#10;vQ14pusBJUP3oewZ0ExkecB6QBzpNJ8wGoVGBsOl0HYTd65Cu3EOSr2xZxobyg46RtbcElMvlFU6&#10;lNGhLnhoUbI0Q3UpJDuy3EiHqsL+UOlQdMmKDWoHGyOoFVH23slCY0EcgkYOVEGdFygEnUJNOTLQ&#10;8WD5UDiW2KB2pEMJaoWMN9QDGRMK5+uq5c4sB4nGQzsSoYSyZaXetrssE502EVlaUB3xxHajmWge&#10;MJTWRYzRhNKEqTsPOrBST6jJdnNdciJSmWaA/SnUZLtDlu1jbyUy2011ew7ePVBTL6hHttuNc1je&#10;bTlILLabmrS6ULas1Atl4t2l5d0JTuWg4uCpQqNIgYdsOKYj+5hsN+U1XFBbVuoNdc4pH0MhFvWZ&#10;0t2HnoZYaAwbkHdbIhKNVrvTYwM1nQG1KS4SPEsz7fcnUIcsLkKX+NjctDs9NlBTL6jRywzHcRC9&#10;kVIzbHLozn0D0pxleRHyYHQeV4pMbVc5oDbjZtF7YQ1njaMbZn8aHB89X5VsB7BRXZQiMx7OgueW&#10;jkRhwRWoDhNuxueAjf3pgtE5Oyj2lWJt+UgUWAOEzJ0QxfAcpIdI6wWcg0ZaSNvE5qjdudAhDvE1&#10;3vhCFeTOlULnKAzVjnFkvBGLpSJgaSjOgsYGtTshqvuDeae91WZWX9vPsQst9aHsMdSBa/v1scCo&#10;gmp3QnSIQ3y1GgdnzfeqUBk/44oBjaDGIeoiZKSlvywgJqhhWF35kyEQ8YY6Z6XOn+CMNApBp1DT&#10;iR0WsOYE38cVmQFHvOGE2oYh3lCrfW7lq1FfJNPnUOeSKthCVSPoLbaotNqdFUWN1xzyzQV6RDJd&#10;Gco5TlPrrxAc7Dc2NBm+Cy8g0nFlylTo7NBqMz4HawqpYbY1A2c4u1OqtTNgrQ5nUVu7UFpdRJgr&#10;c6i1wnqeXlOuLM9BxpQJfxnsgOGWpg9RmXBHXhQ5jyHu9PLWlD/5plIHzZ/gKxVj42TuCtEh5PRC&#10;GQotypwoFxKipRRSF+mNjXci0bAsoPGOK1NGRpq+63m6U23GZzlq9CiScM4ENZLg+NYk0qER1KFb&#10;I+ALhGJSauWPHUG1GZ8DNRrBpjIzR7OuE+voCsroa72nWk1u2mYXvAy4TMokN9+OlRVpziZKnaBb&#10;LChROO5td3Gi2M5SZtqxn2XG5+i0GJlvnKGWegvpmsy3XcnxQO3Y6VBQ25IrL6WG+U5QYKTp93Vi&#10;bT9gFFiTnbakTHfx1kPfVWgiWKMm3rqcP8nRxFtpy6C+toE1ZUmedrB+3HQHmmfcXfqKmng/vdkf&#10;aeX99BV9u+3+9/OG3ip/851W3tNr1k17rgHPj7fqVu244SlfbNet+2zrOZvjD7XrdvTWNu26+2lc&#10;HblNX22/Jt9X0a4bjbu3q4ftScl/21Wn3X79obpU47+VAFe1aHdtc1937/4HAAD//wMAUEsDBBQA&#10;BgAIAAAAIQAYDQZs3QAAAAUBAAAPAAAAZHJzL2Rvd25yZXYueG1sTI9BS8NAEIXvgv9hGcGb3aTF&#10;ENNsSinqqQi2gvQ2zU6T0OxsyG6T9N+7eqmXgcd7vPdNvppMKwbqXWNZQTyLQBCXVjdcKfjavz2l&#10;IJxH1thaJgVXcrAq7u9yzLQd+ZOGna9EKGGXoYLa+y6T0pU1GXQz2xEH72R7gz7IvpK6xzGUm1bO&#10;oyiRBhsOCzV2tKmpPO8uRsH7iON6Eb8O2/Npcz3snz++tzEp9fgwrZcgPE3+FoZf/IAORWA62gtr&#10;J1oF4RH/d4OXzNMExFHBS5osQBa5/E9f/AAAAP//AwBQSwECLQAUAAYACAAAACEAtoM4kv4AAADh&#10;AQAAEwAAAAAAAAAAAAAAAAAAAAAAW0NvbnRlbnRfVHlwZXNdLnhtbFBLAQItABQABgAIAAAAIQA4&#10;/SH/1gAAAJQBAAALAAAAAAAAAAAAAAAAAC8BAABfcmVscy8ucmVsc1BLAQItABQABgAIAAAAIQDT&#10;opf0UgwAAC+KAAAOAAAAAAAAAAAAAAAAAC4CAABkcnMvZTJvRG9jLnhtbFBLAQItABQABgAIAAAA&#10;IQAYDQZs3QAAAAUBAAAPAAAAAAAAAAAAAAAAAKwOAABkcnMvZG93bnJldi54bWxQSwUGAAAAAAQA&#10;BADzAAAAtg8AAAAA&#10;">
                <v:rect id="Rectangle 19120" o:spid="_x0000_s4296" style="position:absolute;left:19005;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NtXxwAAAN4AAAAPAAAAZHJzL2Rvd25yZXYueG1sRI9Bb8Iw&#10;DIXvk/YfIiPtNlI4TKwjIMSE1sMuMJB2tBrTFhonagLt9uvxAYmbLT+/9775cnCtulIXG88GJuMM&#10;FHHpbcOVgf3P5nUGKiZki61nMvBHEZaL56c55tb3vKXrLlVKTDjmaKBOKeRax7Imh3HsA7Hcjr5z&#10;mGTtKm077MXctXqaZW/aYcOSUGOgdU3leXdxBn4/ORSbXpfH/3X4PhWz9uuyPxjzMhpWH6ASDekh&#10;vn8XVuq/T6YCIDgyg17cAAAA//8DAFBLAQItABQABgAIAAAAIQDb4fbL7gAAAIUBAAATAAAAAAAA&#10;AAAAAAAAAAAAAABbQ29udGVudF9UeXBlc10ueG1sUEsBAi0AFAAGAAgAAAAhAFr0LFu/AAAAFQEA&#10;AAsAAAAAAAAAAAAAAAAAHwEAAF9yZWxzLy5yZWxzUEsBAi0AFAAGAAgAAAAhAPdM21fHAAAA3gAA&#10;AA8AAAAAAAAAAAAAAAAABwIAAGRycy9kb3ducmV2LnhtbFBLBQYAAAAAAwADALcAAAD7AgAAAAA=&#10;" filled="f" stroked="f">
                  <v:textbox inset="0,0,0,0">
                    <w:txbxContent>
                      <w:p w14:paraId="477B63F8" w14:textId="77777777" w:rsidR="00B32EF2" w:rsidRDefault="00000000">
                        <w:r>
                          <w:rPr>
                            <w:rFonts w:ascii="Times New Roman" w:eastAsia="Times New Roman" w:hAnsi="Times New Roman" w:cs="Times New Roman"/>
                          </w:rPr>
                          <w:t>56</w:t>
                        </w:r>
                      </w:p>
                    </w:txbxContent>
                  </v:textbox>
                </v:rect>
                <v:rect id="Rectangle 19121" o:spid="_x0000_s4297" style="position:absolute;left:-12209;top:61199;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H7MxAAAAN4AAAAPAAAAZHJzL2Rvd25yZXYueG1sRE9Ni8Iw&#10;EL0L+x/CLHjTtB7E7RpFFLEHL7ou7HFoxrZrMwlNtNVfb4SFvc3jfc582ZtG3Kj1tWUF6TgBQVxY&#10;XXOp4PS1Hc1A+ICssbFMCu7kYbl4G8wx07bjA92OoRQxhH2GCqoQXCalLyoy6MfWEUfubFuDIcK2&#10;lLrFLoabRk6SZCoN1hwbKnS0rqi4HK9Gwc+GXb7tZHF+rN3+N581u+vpW6nhe7/6BBGoD//iP3eu&#10;4/yPdJLC6514g1w8AQAA//8DAFBLAQItABQABgAIAAAAIQDb4fbL7gAAAIUBAAATAAAAAAAAAAAA&#10;AAAAAAAAAABbQ29udGVudF9UeXBlc10ueG1sUEsBAi0AFAAGAAgAAAAhAFr0LFu/AAAAFQEAAAsA&#10;AAAAAAAAAAAAAAAAHwEAAF9yZWxzLy5yZWxzUEsBAi0AFAAGAAgAAAAhAJgAfszEAAAA3gAAAA8A&#10;AAAAAAAAAAAAAAAABwIAAGRycy9kb3ducmV2LnhtbFBLBQYAAAAAAwADALcAAAD4AgAAAAA=&#10;" filled="f" stroked="f">
                  <v:textbox inset="0,0,0,0">
                    <w:txbxContent>
                      <w:p w14:paraId="7B782F01" w14:textId="77777777" w:rsidR="00B32EF2" w:rsidRDefault="00000000">
                        <w:r>
                          <w:rPr>
                            <w:rFonts w:ascii="Arial" w:eastAsia="Arial" w:hAnsi="Arial" w:cs="Arial"/>
                            <w:sz w:val="18"/>
                          </w:rPr>
                          <w:t>ipotesi previste dall’articolo 61 comma 3, possono essere fatte anche diretta</w:t>
                        </w:r>
                      </w:p>
                    </w:txbxContent>
                  </v:textbox>
                </v:rect>
                <v:rect id="Rectangle 19122" o:spid="_x0000_s4298" style="position:absolute;left:192;top:611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uC7xAAAAN4AAAAPAAAAZHJzL2Rvd25yZXYueG1sRE9Na8JA&#10;EL0L/Q/LFLzpxhzEpq4iiphDL7URPA7ZMUnNzi7Z1aT+erdQ6G0e73OW68G04k6dbywrmE0TEMSl&#10;1Q1XCoqv/WQBwgdkja1lUvBDHtarl9ESM217/qT7MVQihrDPUEEdgsuk9GVNBv3UOuLIXWxnMETY&#10;VVJ32Mdw08o0SebSYMOxoUZH25rK6/FmFJx37PJ9L8vLY+s+vvNFe7gVJ6XGr8PmHUSgIfyL/9y5&#10;jvPfZmkKv+/EG+TqCQAA//8DAFBLAQItABQABgAIAAAAIQDb4fbL7gAAAIUBAAATAAAAAAAAAAAA&#10;AAAAAAAAAABbQ29udGVudF9UeXBlc10ueG1sUEsBAi0AFAAGAAgAAAAhAFr0LFu/AAAAFQEAAAsA&#10;AAAAAAAAAAAAAAAAHwEAAF9yZWxzLy5yZWxzUEsBAi0AFAAGAAgAAAAhAGjS4LvEAAAA3gAAAA8A&#10;AAAAAAAAAAAAAAAABwIAAGRycy9kb3ducmV2LnhtbFBLBQYAAAAAAwADALcAAAD4AgAAAAA=&#10;" filled="f" stroked="f">
                  <v:textbox inset="0,0,0,0">
                    <w:txbxContent>
                      <w:p w14:paraId="1FABA0B4" w14:textId="77777777" w:rsidR="00B32EF2" w:rsidRDefault="00000000">
                        <w:r>
                          <w:rPr>
                            <w:rFonts w:ascii="Arial" w:eastAsia="Arial" w:hAnsi="Arial" w:cs="Arial"/>
                            <w:sz w:val="18"/>
                          </w:rPr>
                          <w:t>-</w:t>
                        </w:r>
                      </w:p>
                    </w:txbxContent>
                  </v:textbox>
                </v:rect>
                <v:rect id="Rectangle 19123" o:spid="_x0000_s4299" style="position:absolute;left:-12205;top:59966;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UgxAAAAN4AAAAPAAAAZHJzL2Rvd25yZXYueG1sRE9Li8Iw&#10;EL4L+x/CLHhbU10QrUZZXGR78LI+wOPQjG21mYQm2uqvNwsL3ubje8582Zla3KjxlWUFw0ECgji3&#10;uuJCwX63/piA8AFZY22ZFNzJw3Lx1ptjqm3Lv3TbhkLEEPYpKihDcKmUPi/JoB9YRxy5k20Mhgib&#10;QuoG2xhuajlKkrE0WHFsKNHRqqT8sr0aBcdvdtm6lfnpsXKbczapf677g1L99+5rBiJQF17if3em&#10;4/zpcPQJf+/EG+TiCQAA//8DAFBLAQItABQABgAIAAAAIQDb4fbL7gAAAIUBAAATAAAAAAAAAAAA&#10;AAAAAAAAAABbQ29udGVudF9UeXBlc10ueG1sUEsBAi0AFAAGAAgAAAAhAFr0LFu/AAAAFQEAAAsA&#10;AAAAAAAAAAAAAAAAHwEAAF9yZWxzLy5yZWxzUEsBAi0AFAAGAAgAAAAhAAeeRSDEAAAA3gAAAA8A&#10;AAAAAAAAAAAAAAAABwIAAGRycy9kb3ducmV2LnhtbFBLBQYAAAAAAwADALcAAAD4AgAAAAA=&#10;" filled="f" stroked="f">
                  <v:textbox inset="0,0,0,0">
                    <w:txbxContent>
                      <w:p w14:paraId="51983472" w14:textId="77777777" w:rsidR="00B32EF2" w:rsidRDefault="00000000">
                        <w:r>
                          <w:rPr>
                            <w:rFonts w:ascii="Arial" w:eastAsia="Arial" w:hAnsi="Arial" w:cs="Arial"/>
                            <w:sz w:val="18"/>
                          </w:rPr>
                          <w:t>mente a mezzo del servizio postale mediante spedizione dell’atto in plico sen</w:t>
                        </w:r>
                      </w:p>
                    </w:txbxContent>
                  </v:textbox>
                </v:rect>
                <v:rect id="Rectangle 19124" o:spid="_x0000_s4300" style="position:absolute;left:192;top:599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91UxAAAAN4AAAAPAAAAZHJzL2Rvd25yZXYueG1sRE9Li8Iw&#10;EL4L+x/CLHhbU2URrUZZXGR78LI+wOPQjG21mYQm2uqvNwsL3ubje8582Zla3KjxlWUFw0ECgji3&#10;uuJCwX63/piA8AFZY22ZFNzJw3Lx1ptjqm3Lv3TbhkLEEPYpKihDcKmUPi/JoB9YRxy5k20Mhgib&#10;QuoG2xhuajlKkrE0WHFsKNHRqqT8sr0aBcdvdtm6lfnpsXKbczapf677g1L99+5rBiJQF17if3em&#10;4/zpcPQJf+/EG+TiCQAA//8DAFBLAQItABQABgAIAAAAIQDb4fbL7gAAAIUBAAATAAAAAAAAAAAA&#10;AAAAAAAAAABbQ29udGVudF9UeXBlc10ueG1sUEsBAi0AFAAGAAgAAAAhAFr0LFu/AAAAFQEAAAsA&#10;AAAAAAAAAAAAAAAAHwEAAF9yZWxzLy5yZWxzUEsBAi0AFAAGAAgAAAAhAIh33VTEAAAA3gAAAA8A&#10;AAAAAAAAAAAAAAAABwIAAGRycy9kb3ducmV2LnhtbFBLBQYAAAAAAwADALcAAAD4AgAAAAA=&#10;" filled="f" stroked="f">
                  <v:textbox inset="0,0,0,0">
                    <w:txbxContent>
                      <w:p w14:paraId="22550AC7" w14:textId="77777777" w:rsidR="00B32EF2" w:rsidRDefault="00000000">
                        <w:r>
                          <w:rPr>
                            <w:rFonts w:ascii="Arial" w:eastAsia="Arial" w:hAnsi="Arial" w:cs="Arial"/>
                            <w:sz w:val="18"/>
                          </w:rPr>
                          <w:t>-</w:t>
                        </w:r>
                      </w:p>
                    </w:txbxContent>
                  </v:textbox>
                </v:rect>
                <v:rect id="Rectangle 19125" o:spid="_x0000_s4301" style="position:absolute;left:-13171;top:58733;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3jPxAAAAN4AAAAPAAAAZHJzL2Rvd25yZXYueG1sRE9Li8Iw&#10;EL4L+x/CLHhbU4UVrUZZXGR78LI+wOPQjG21mYQm2uqvNwsL3ubje8582Zla3KjxlWUFw0ECgji3&#10;uuJCwX63/piA8AFZY22ZFNzJw3Lx1ptjqm3Lv3TbhkLEEPYpKihDcKmUPi/JoB9YRxy5k20Mhgib&#10;QuoG2xhuajlKkrE0WHFsKNHRqqT8sr0aBcdvdtm6lfnpsXKbczapf677g1L99+5rBiJQF17if3em&#10;4/zpcPQJf+/EG+TiCQAA//8DAFBLAQItABQABgAIAAAAIQDb4fbL7gAAAIUBAAATAAAAAAAAAAAA&#10;AAAAAAAAAABbQ29udGVudF9UeXBlc10ueG1sUEsBAi0AFAAGAAgAAAAhAFr0LFu/AAAAFQEAAAsA&#10;AAAAAAAAAAAAAAAAHwEAAF9yZWxzLy5yZWxzUEsBAi0AFAAGAAgAAAAhAOc7eM/EAAAA3gAAAA8A&#10;AAAAAAAAAAAAAAAABwIAAGRycy9kb3ducmV2LnhtbFBLBQYAAAAAAwADALcAAAD4AgAAAAA=&#10;" filled="f" stroked="f">
                  <v:textbox inset="0,0,0,0">
                    <w:txbxContent>
                      <w:p w14:paraId="7EF705EA" w14:textId="77777777" w:rsidR="00B32EF2" w:rsidRDefault="00000000">
                        <w:r>
                          <w:rPr>
                            <w:rFonts w:ascii="Arial" w:eastAsia="Arial" w:hAnsi="Arial" w:cs="Arial"/>
                            <w:sz w:val="18"/>
                          </w:rPr>
                          <w:t xml:space="preserve">za busta raccomandato con avviso di ricevimento, sul quale non sono apposti </w:t>
                        </w:r>
                      </w:p>
                    </w:txbxContent>
                  </v:textbox>
                </v:rect>
                <v:rect id="Rectangle 19126" o:spid="_x0000_s4302" style="position:absolute;left:-13171;top:57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ea4wwAAAN4AAAAPAAAAZHJzL2Rvd25yZXYueG1sRE9Ni8Iw&#10;EL0v+B/CCHtbUz2IW40iimwPXnQVPA7N2FabSWiirfvrN4LgbR7vc2aLztTiTo2vLCsYDhIQxLnV&#10;FRcKDr+brwkIH5A11pZJwYM8LOa9jxmm2ra8o/s+FCKGsE9RQRmCS6X0eUkG/cA64sidbWMwRNgU&#10;UjfYxnBTy1GSjKXBimNDiY5WJeXX/c0oOK3ZZZtW5ue/ldteskn9czsclfrsd8spiEBdeItf7kzH&#10;+d/D0Rie78Qb5PwfAAD//wMAUEsBAi0AFAAGAAgAAAAhANvh9svuAAAAhQEAABMAAAAAAAAAAAAA&#10;AAAAAAAAAFtDb250ZW50X1R5cGVzXS54bWxQSwECLQAUAAYACAAAACEAWvQsW78AAAAVAQAACwAA&#10;AAAAAAAAAAAAAAAfAQAAX3JlbHMvLnJlbHNQSwECLQAUAAYACAAAACEAF+nmuMMAAADeAAAADwAA&#10;AAAAAAAAAAAAAAAHAgAAZHJzL2Rvd25yZXYueG1sUEsFBgAAAAADAAMAtwAAAPcCAAAAAA==&#10;" filled="f" stroked="f">
                  <v:textbox inset="0,0,0,0">
                    <w:txbxContent>
                      <w:p w14:paraId="649E86DA" w14:textId="77777777" w:rsidR="00B32EF2" w:rsidRDefault="00000000">
                        <w:r>
                          <w:rPr>
                            <w:rFonts w:ascii="Arial" w:eastAsia="Arial" w:hAnsi="Arial" w:cs="Arial"/>
                            <w:sz w:val="18"/>
                          </w:rPr>
                          <w:t xml:space="preserve">segni o indicazioni dai quali possa desumersi il contenuto dell’atto, ovvero </w:t>
                        </w:r>
                      </w:p>
                    </w:txbxContent>
                  </v:textbox>
                </v:rect>
                <v:rect id="Rectangle 19127" o:spid="_x0000_s4303" style="position:absolute;left:-12205;top:56266;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UMjxAAAAN4AAAAPAAAAZHJzL2Rvd25yZXYueG1sRE9Li8Iw&#10;EL4L+x/CLHhbUz2sWo2yuMj24GV9gMehGdtqMwlNtNVfbxYWvM3H95z5sjO1uFHjK8sKhoMEBHFu&#10;dcWFgv1u/TEB4QOyxtoyKbiTh+XirTfHVNuWf+m2DYWIIexTVFCG4FIpfV6SQT+wjjhyJ9sYDBE2&#10;hdQNtjHc1HKUJJ/SYMWxoURHq5Lyy/ZqFBy/2WXrVuanx8ptztmk/rnuD0r137uvGYhAXXiJ/92Z&#10;jvOnw9EY/t6JN8jFEwAA//8DAFBLAQItABQABgAIAAAAIQDb4fbL7gAAAIUBAAATAAAAAAAAAAAA&#10;AAAAAAAAAABbQ29udGVudF9UeXBlc10ueG1sUEsBAi0AFAAGAAgAAAAhAFr0LFu/AAAAFQEAAAsA&#10;AAAAAAAAAAAAAAAAHwEAAF9yZWxzLy5yZWxzUEsBAi0AFAAGAAgAAAAhAHilQyPEAAAA3gAAAA8A&#10;AAAAAAAAAAAAAAAABwIAAGRycy9kb3ducmV2LnhtbFBLBQYAAAAAAwADALcAAAD4AgAAAAA=&#10;" filled="f" stroked="f">
                  <v:textbox inset="0,0,0,0">
                    <w:txbxContent>
                      <w:p w14:paraId="42C5AEE5" w14:textId="77777777" w:rsidR="00B32EF2" w:rsidRDefault="00000000">
                        <w:r>
                          <w:rPr>
                            <w:rFonts w:ascii="Arial" w:eastAsia="Arial" w:hAnsi="Arial" w:cs="Arial"/>
                            <w:sz w:val="18"/>
                          </w:rPr>
                          <w:t>all’ufficio del Ministero dell’economia e delle finanze ed all’ente locale median</w:t>
                        </w:r>
                      </w:p>
                    </w:txbxContent>
                  </v:textbox>
                </v:rect>
                <v:rect id="Rectangle 19128" o:spid="_x0000_s4304" style="position:absolute;left:192;top:562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tdRxwAAAN4AAAAPAAAAZHJzL2Rvd25yZXYueG1sRI9Bb8Iw&#10;DIXvk/YfIiPtNlI4TKwjIMSE1sMuMJB2tBrTFhonagLt9uvxAYmbrff83uf5cnCtulIXG88GJuMM&#10;FHHpbcOVgf3P5nUGKiZki61nMvBHEZaL56c55tb3vKXrLlVKQjjmaKBOKeRax7Imh3HsA7FoR985&#10;TLJ2lbYd9hLuWj3NsjftsGFpqDHQuqbyvLs4A7+fHIpNr8vj/zp8n4pZ+3XZH4x5GQ2rD1CJhvQw&#10;368LK/jvk6nwyjsyg17cAAAA//8DAFBLAQItABQABgAIAAAAIQDb4fbL7gAAAIUBAAATAAAAAAAA&#10;AAAAAAAAAAAAAABbQ29udGVudF9UeXBlc10ueG1sUEsBAi0AFAAGAAgAAAAhAFr0LFu/AAAAFQEA&#10;AAsAAAAAAAAAAAAAAAAAHwEAAF9yZWxzLy5yZWxzUEsBAi0AFAAGAAgAAAAhAAk611HHAAAA3gAA&#10;AA8AAAAAAAAAAAAAAAAABwIAAGRycy9kb3ducmV2LnhtbFBLBQYAAAAAAwADALcAAAD7AgAAAAA=&#10;" filled="f" stroked="f">
                  <v:textbox inset="0,0,0,0">
                    <w:txbxContent>
                      <w:p w14:paraId="2B8929BA" w14:textId="77777777" w:rsidR="00B32EF2" w:rsidRDefault="00000000">
                        <w:r>
                          <w:rPr>
                            <w:rFonts w:ascii="Arial" w:eastAsia="Arial" w:hAnsi="Arial" w:cs="Arial"/>
                            <w:sz w:val="18"/>
                          </w:rPr>
                          <w:t>-</w:t>
                        </w:r>
                      </w:p>
                    </w:txbxContent>
                  </v:textbox>
                </v:rect>
                <v:rect id="Rectangle 19129" o:spid="_x0000_s4305" style="position:absolute;left:-12748;top:55033;width:526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nLKxAAAAN4AAAAPAAAAZHJzL2Rvd25yZXYueG1sRE9Li8Iw&#10;EL4v+B/CCN7WVA+LVqOIItuDl/UBHodmbKvNJDTRVn/9ZmHB23x8z5kvO1OLBzW+sqxgNExAEOdW&#10;V1woOB62nxMQPiBrrC2Tgid5WC56H3NMtW35hx77UIgYwj5FBWUILpXS5yUZ9EPriCN3sY3BEGFT&#10;SN1gG8NNLcdJ8iUNVhwbSnS0Lim/7e9GwXnDLtu2Mr+81m53zSb19/14UmrQ71YzEIG68Bb/uzMd&#10;509H4yn8vRNvkItfAAAA//8DAFBLAQItABQABgAIAAAAIQDb4fbL7gAAAIUBAAATAAAAAAAAAAAA&#10;AAAAAAAAAABbQ29udGVudF9UeXBlc10ueG1sUEsBAi0AFAAGAAgAAAAhAFr0LFu/AAAAFQEAAAsA&#10;AAAAAAAAAAAAAAAAHwEAAF9yZWxzLy5yZWxzUEsBAi0AFAAGAAgAAAAhAGZ2csrEAAAA3gAAAA8A&#10;AAAAAAAAAAAAAAAABwIAAGRycy9kb3ducmV2LnhtbFBLBQYAAAAAAwADALcAAAD4AgAAAAA=&#10;" filled="f" stroked="f">
                  <v:textbox inset="0,0,0,0">
                    <w:txbxContent>
                      <w:p w14:paraId="0BECA3FC" w14:textId="77777777" w:rsidR="00B32EF2" w:rsidRDefault="00000000">
                        <w:r>
                          <w:rPr>
                            <w:rFonts w:ascii="Arial" w:eastAsia="Arial" w:hAnsi="Arial" w:cs="Arial"/>
                            <w:sz w:val="18"/>
                          </w:rPr>
                          <w:t>te consegna dell’atto all’impiegato addetto che ne rilascia ricevuta sulla copia.</w:t>
                        </w:r>
                      </w:p>
                    </w:txbxContent>
                  </v:textbox>
                </v:rect>
                <v:rect id="Rectangle 201284" o:spid="_x0000_s4306" style="position:absolute;left:26110;top:53799;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VF2xwAAAN8AAAAPAAAAZHJzL2Rvd25yZXYueG1sRI9Ba8JA&#10;FITvgv9heUJvujGUElJXKYqYQy9VCz0+ss8kbfbtkl1N6q93BcHjMDPfMIvVYFpxoc43lhXMZwkI&#10;4tLqhisFx8N2moHwAVlja5kU/JOH1XI8WmCubc9fdNmHSkQI+xwV1CG4XEpf1mTQz6wjjt7JdgZD&#10;lF0ldYd9hJtWpknyJg02HBdqdLSuqfzbn42Cnw27YtvL8nRdu8/fImt35+O3Ui+T4eMdRKAhPMOP&#10;dqEVpMk8zV7h/id+Abm8AQAA//8DAFBLAQItABQABgAIAAAAIQDb4fbL7gAAAIUBAAATAAAAAAAA&#10;AAAAAAAAAAAAAABbQ29udGVudF9UeXBlc10ueG1sUEsBAi0AFAAGAAgAAAAhAFr0LFu/AAAAFQEA&#10;AAsAAAAAAAAAAAAAAAAAHwEAAF9yZWxzLy5yZWxzUEsBAi0AFAAGAAgAAAAhAAiZUXbHAAAA3wAA&#10;AA8AAAAAAAAAAAAAAAAABwIAAGRycy9kb3ducmV2LnhtbFBLBQYAAAAAAwADALcAAAD7AgAAAAA=&#10;" filled="f" stroked="f">
                  <v:textbox inset="0,0,0,0">
                    <w:txbxContent>
                      <w:p w14:paraId="2A94324F" w14:textId="77777777" w:rsidR="00B32EF2" w:rsidRDefault="00000000">
                        <w:r>
                          <w:rPr>
                            <w:rFonts w:ascii="Arial" w:eastAsia="Arial" w:hAnsi="Arial" w:cs="Arial"/>
                            <w:sz w:val="18"/>
                          </w:rPr>
                          <w:t>4</w:t>
                        </w:r>
                      </w:p>
                    </w:txbxContent>
                  </v:textbox>
                </v:rect>
                <v:rect id="Rectangle 201287" o:spid="_x0000_s4307" style="position:absolute;left:-13803;top:537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88BxwAAAN8AAAAPAAAAZHJzL2Rvd25yZXYueG1sRI9Ba8JA&#10;FITvgv9heUJvujGHNqSuUhQxh16qFnp8ZJ9J2uzbJbua1F/vCoLHYWa+YRarwbTiQp1vLCuYzxIQ&#10;xKXVDVcKjoftNAPhA7LG1jIp+CcPq+V4tMBc256/6LIPlYgQ9jkqqENwuZS+rMmgn1lHHL2T7QyG&#10;KLtK6g77CDetTJPkVRpsOC7U6GhdU/m3PxsFPxt2xbaX5em6dp+/RdbuzsdvpV4mw8c7iEBDeIYf&#10;7UIrSJN5mr3B/U/8AnJ5AwAA//8DAFBLAQItABQABgAIAAAAIQDb4fbL7gAAAIUBAAATAAAAAAAA&#10;AAAAAAAAAAAAAABbQ29udGVudF9UeXBlc10ueG1sUEsBAi0AFAAGAAgAAAAhAFr0LFu/AAAAFQEA&#10;AAsAAAAAAAAAAAAAAAAAHwEAAF9yZWxzLy5yZWxzUEsBAi0AFAAGAAgAAAAhAPhLzwHHAAAA3wAA&#10;AA8AAAAAAAAAAAAAAAAABwIAAGRycy9kb3ducmV2LnhtbFBLBQYAAAAAAwADALcAAAD7AgAAAAA=&#10;" filled="f" stroked="f">
                  <v:textbox inset="0,0,0,0">
                    <w:txbxContent>
                      <w:p w14:paraId="3D5D0CE8" w14:textId="77777777" w:rsidR="00B32EF2" w:rsidRDefault="00000000">
                        <w:r>
                          <w:rPr>
                            <w:rFonts w:ascii="Arial" w:eastAsia="Arial" w:hAnsi="Arial" w:cs="Arial"/>
                            <w:sz w:val="18"/>
                          </w:rPr>
                          <w:t xml:space="preserve">. Gli enti impositori, gli agenti della riscossione e i soggetti iscritti nell’albo di </w:t>
                        </w:r>
                      </w:p>
                    </w:txbxContent>
                  </v:textbox>
                </v:rect>
                <v:rect id="Rectangle 19131" o:spid="_x0000_s4308" style="position:absolute;left:-13171;top:525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egRxAAAAN4AAAAPAAAAZHJzL2Rvd25yZXYueG1sRE9Na8JA&#10;EL0X/A/LCL3VTSwUG11FFGkOXrQKHofsmESzs0t2Nam/visUepvH+5zZojeNuFPra8sK0lECgriw&#10;uuZSweF78zYB4QOyxsYyKfghD4v54GWGmbYd7+i+D6WIIewzVFCF4DIpfVGRQT+yjjhyZ9saDBG2&#10;pdQtdjHcNHKcJB/SYM2xoUJHq4qK6/5mFJzW7PJNJ4vzY+W2l3zSfN0OR6Veh/1yCiJQH/7Ff+5c&#10;x/mf6XsKz3fiDXL+CwAA//8DAFBLAQItABQABgAIAAAAIQDb4fbL7gAAAIUBAAATAAAAAAAAAAAA&#10;AAAAAAAAAABbQ29udGVudF9UeXBlc10ueG1sUEsBAi0AFAAGAAgAAAAhAFr0LFu/AAAAFQEAAAsA&#10;AAAAAAAAAAAAAAAAHwEAAF9yZWxzLy5yZWxzUEsBAi0AFAAGAAgAAAAhAB3Z6BHEAAAA3gAAAA8A&#10;AAAAAAAAAAAAAAAABwIAAGRycy9kb3ducmV2LnhtbFBLBQYAAAAAAwADALcAAAD4AgAAAAA=&#10;" filled="f" stroked="f">
                  <v:textbox inset="0,0,0,0">
                    <w:txbxContent>
                      <w:p w14:paraId="613223A1" w14:textId="77777777" w:rsidR="00B32EF2" w:rsidRDefault="00000000">
                        <w:r>
                          <w:rPr>
                            <w:rFonts w:ascii="Arial" w:eastAsia="Arial" w:hAnsi="Arial" w:cs="Arial"/>
                            <w:sz w:val="18"/>
                          </w:rPr>
                          <w:t xml:space="preserve">cui all’articolo 53 del decreto legislativo 15 dicembre 1997, n. 446, provvedono </w:t>
                        </w:r>
                      </w:p>
                    </w:txbxContent>
                  </v:textbox>
                </v:rect>
                <v:rect id="Rectangle 19132" o:spid="_x0000_s4309" style="position:absolute;left:-13171;top:513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3ZmxAAAAN4AAAAPAAAAZHJzL2Rvd25yZXYueG1sRE9Li8Iw&#10;EL4L+x/CLHhbU10QrUZZXGR78LI+wOPQjG21mYQm2uqvNwsL3ubje8582Zla3KjxlWUFw0ECgji3&#10;uuJCwX63/piA8AFZY22ZFNzJw3Lx1ptjqm3Lv3TbhkLEEPYpKihDcKmUPi/JoB9YRxy5k20Mhgib&#10;QuoG2xhuajlKkrE0WHFsKNHRqqT8sr0aBcdvdtm6lfnpsXKbczapf677g1L99+5rBiJQF17if3em&#10;4/zp8HMEf+/EG+TiCQAA//8DAFBLAQItABQABgAIAAAAIQDb4fbL7gAAAIUBAAATAAAAAAAAAAAA&#10;AAAAAAAAAABbQ29udGVudF9UeXBlc10ueG1sUEsBAi0AFAAGAAgAAAAhAFr0LFu/AAAAFQEAAAsA&#10;AAAAAAAAAAAAAAAAHwEAAF9yZWxzLy5yZWxzUEsBAi0AFAAGAAgAAAAhAO0LdmbEAAAA3gAAAA8A&#10;AAAAAAAAAAAAAAAABwIAAGRycy9kb3ducmV2LnhtbFBLBQYAAAAAAwADALcAAAD4AgAAAAA=&#10;" filled="f" stroked="f">
                  <v:textbox inset="0,0,0,0">
                    <w:txbxContent>
                      <w:p w14:paraId="69342E84" w14:textId="77777777" w:rsidR="00B32EF2" w:rsidRDefault="00000000">
                        <w:r>
                          <w:rPr>
                            <w:rFonts w:ascii="Arial" w:eastAsia="Arial" w:hAnsi="Arial" w:cs="Arial"/>
                            <w:sz w:val="18"/>
                          </w:rPr>
                          <w:t xml:space="preserve">alle notificazioni anche a mezzo del messo comunale o di messo autorizzato </w:t>
                        </w:r>
                      </w:p>
                    </w:txbxContent>
                  </v:textbox>
                </v:rect>
                <v:rect id="Rectangle 19133" o:spid="_x0000_s4310" style="position:absolute;left:-13175;top:50099;width:531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9P9xAAAAN4AAAAPAAAAZHJzL2Rvd25yZXYueG1sRE9Li8Iw&#10;EL4v7H8II3jT1BUW7RpFXGR78OIL9jg0Y1ttJqGJtvrrN4Kwt/n4njNbdKYWN2p8ZVnBaJiAIM6t&#10;rrhQcNivBxMQPiBrrC2Tgjt5WMzf32aYatvylm67UIgYwj5FBWUILpXS5yUZ9EPriCN3so3BEGFT&#10;SN1gG8NNLT+S5FMarDg2lOhoVVJ+2V2Ngt9vdtm6lfnpsXKbczapf66Ho1L9Xrf8AhGoC//ilzvT&#10;cf50NB7D8514g5z/AQAA//8DAFBLAQItABQABgAIAAAAIQDb4fbL7gAAAIUBAAATAAAAAAAAAAAA&#10;AAAAAAAAAABbQ29udGVudF9UeXBlc10ueG1sUEsBAi0AFAAGAAgAAAAhAFr0LFu/AAAAFQEAAAsA&#10;AAAAAAAAAAAAAAAAHwEAAF9yZWxzLy5yZWxzUEsBAi0AFAAGAAgAAAAhAIJH0/3EAAAA3gAAAA8A&#10;AAAAAAAAAAAAAAAABwIAAGRycy9kb3ducmV2LnhtbFBLBQYAAAAAAwADALcAAAD4AgAAAAA=&#10;" filled="f" stroked="f">
                  <v:textbox inset="0,0,0,0">
                    <w:txbxContent>
                      <w:p w14:paraId="44D8FEDE" w14:textId="77777777" w:rsidR="00B32EF2" w:rsidRDefault="00000000">
                        <w:r>
                          <w:rPr>
                            <w:rFonts w:ascii="Arial" w:eastAsia="Arial" w:hAnsi="Arial" w:cs="Arial"/>
                            <w:sz w:val="18"/>
                          </w:rPr>
                          <w:t xml:space="preserve">dall’amministrazione finanziaria, con l’osservanza delle disposizioni di cui al </w:t>
                        </w:r>
                      </w:p>
                    </w:txbxContent>
                  </v:textbox>
                </v:rect>
                <v:rect id="Rectangle 19134" o:spid="_x0000_s4311" style="position:absolute;left:32739;top:48866;width:71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uJxQAAAN4AAAAPAAAAZHJzL2Rvd25yZXYueG1sRE9La8JA&#10;EL4X/A/LCN7qxlpEo6uIRZpDL/UBHofsmESzs0t2NWl/fbcgeJuP7zmLVWdqcafGV5YVjIYJCOLc&#10;6ooLBYf99nUKwgdkjbVlUvBDHlbL3ssCU21b/qb7LhQihrBPUUEZgkul9HlJBv3QOuLInW1jMETY&#10;FFI32MZwU8u3JJlIgxXHhhIdbUrKr7ubUXD6YJdtW5mffzfu65JN68/b4ajUoN+t5yACdeEpfrgz&#10;HefPRuN3+H8n3iCXfwAAAP//AwBQSwECLQAUAAYACAAAACEA2+H2y+4AAACFAQAAEwAAAAAAAAAA&#10;AAAAAAAAAAAAW0NvbnRlbnRfVHlwZXNdLnhtbFBLAQItABQABgAIAAAAIQBa9CxbvwAAABUBAAAL&#10;AAAAAAAAAAAAAAAAAB8BAABfcmVscy8ucmVsc1BLAQItABQABgAIAAAAIQANrkuJxQAAAN4AAAAP&#10;AAAAAAAAAAAAAAAAAAcCAABkcnMvZG93bnJldi54bWxQSwUGAAAAAAMAAwC3AAAA+QIAAAAA&#10;" filled="f" stroked="f">
                  <v:textbox inset="0,0,0,0">
                    <w:txbxContent>
                      <w:p w14:paraId="184AF4CC" w14:textId="77777777" w:rsidR="00B32EF2" w:rsidRDefault="00000000">
                        <w:r>
                          <w:rPr>
                            <w:rFonts w:ascii="Arial" w:eastAsia="Arial" w:hAnsi="Arial" w:cs="Arial"/>
                            <w:sz w:val="18"/>
                          </w:rPr>
                          <w:t xml:space="preserve">comma 2. </w:t>
                        </w:r>
                      </w:p>
                    </w:txbxContent>
                  </v:textbox>
                </v:rect>
                <v:rect id="Rectangle 201282" o:spid="_x0000_s4312" style="position:absolute;left:-13815;top:476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yZxwAAAN8AAAAPAAAAZHJzL2Rvd25yZXYueG1sRI9Ba8JA&#10;FITvBf/D8oTe6sYcSkjdBFGkOfRSq9DjI/tMotm3S3Y10V/fLRR6HGbmG2ZVTqYXNxp8Z1nBcpGA&#10;IK6t7rhRcPjavWQgfEDW2FsmBXfyUBazpxXm2o78Sbd9aESEsM9RQRuCy6X0dUsG/cI64uid7GAw&#10;RDk0Ug84RrjpZZokr9Jgx3GhRUeblurL/moUfG/ZVbtR1qfHxn2cq6x/vx6OSj3Pp/UbiEBT+A//&#10;tSutIE2WaZbC75/4BWTxAwAA//8DAFBLAQItABQABgAIAAAAIQDb4fbL7gAAAIUBAAATAAAAAAAA&#10;AAAAAAAAAAAAAABbQ29udGVudF9UeXBlc10ueG1sUEsBAi0AFAAGAAgAAAAhAFr0LFu/AAAAFQEA&#10;AAsAAAAAAAAAAAAAAAAAHwEAAF9yZWxzLy5yZWxzUEsBAi0AFAAGAAgAAAAhAOg8bJnHAAAA3wAA&#10;AA8AAAAAAAAAAAAAAAAABwIAAGRycy9kb3ducmV2LnhtbFBLBQYAAAAAAwADALcAAAD7AgAAAAA=&#10;" filled="f" stroked="f">
                  <v:textbox inset="0,0,0,0">
                    <w:txbxContent>
                      <w:p w14:paraId="5F979D4E" w14:textId="77777777" w:rsidR="00B32EF2" w:rsidRDefault="00000000">
                        <w:r>
                          <w:rPr>
                            <w:rFonts w:ascii="Arial" w:eastAsia="Arial" w:hAnsi="Arial" w:cs="Arial"/>
                            <w:sz w:val="18"/>
                          </w:rPr>
                          <w:t xml:space="preserve">. Qualunque comunicazione o notificazione a mezzo del servizio postale si </w:t>
                        </w:r>
                      </w:p>
                    </w:txbxContent>
                  </v:textbox>
                </v:rect>
                <v:rect id="Rectangle 201281" o:spid="_x0000_s4313" style="position:absolute;left:26110;top:476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vLuxwAAAN8AAAAPAAAAZHJzL2Rvd25yZXYueG1sRI9Ba8JA&#10;FITvQv/D8gredJMcJKSuUizSHHrRKvT4yD6TaPbtkl1N2l/vCkKPw8x8wyzXo+nEjXrfWlaQzhMQ&#10;xJXVLdcKDt/bWQ7CB2SNnWVS8Ese1quXyRILbQfe0W0fahEh7AtU0ITgCil91ZBBP7eOOHon2xsM&#10;Ufa11D0OEW46mSXJQhpsOS406GjTUHXZX42Cnw925XaQ1elv477OZd59Xg9Hpaav4/sbiEBj+A8/&#10;26VWkCVplqfw+BO/gFzdAQAA//8DAFBLAQItABQABgAIAAAAIQDb4fbL7gAAAIUBAAATAAAAAAAA&#10;AAAAAAAAAAAAAABbQ29udGVudF9UeXBlc10ueG1sUEsBAi0AFAAGAAgAAAAhAFr0LFu/AAAAFQEA&#10;AAsAAAAAAAAAAAAAAAAAHwEAAF9yZWxzLy5yZWxzUEsBAi0AFAAGAAgAAAAhABju8u7HAAAA3wAA&#10;AA8AAAAAAAAAAAAAAAAABwIAAGRycy9kb3ducmV2LnhtbFBLBQYAAAAAAwADALcAAAD7AgAAAAA=&#10;" filled="f" stroked="f">
                  <v:textbox inset="0,0,0,0">
                    <w:txbxContent>
                      <w:p w14:paraId="36EB9CD7" w14:textId="77777777" w:rsidR="00B32EF2" w:rsidRDefault="00000000">
                        <w:r>
                          <w:rPr>
                            <w:rFonts w:ascii="Arial" w:eastAsia="Arial" w:hAnsi="Arial" w:cs="Arial"/>
                            <w:sz w:val="18"/>
                          </w:rPr>
                          <w:t>5</w:t>
                        </w:r>
                      </w:p>
                    </w:txbxContent>
                  </v:textbox>
                </v:rect>
                <v:rect id="Rectangle 19136" o:spid="_x0000_s4314" style="position:absolute;left:-12186;top:46400;width:5210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HBlxAAAAN4AAAAPAAAAZHJzL2Rvd25yZXYueG1sRE9Li8Iw&#10;EL4L+x/CLHhbU1cQrUZZXGR78LI+wOPQjG21mYQm2uqvNwsL3ubje8582Zla3KjxlWUFw0ECgji3&#10;uuJCwX63/piA8AFZY22ZFNzJw3Lx1ptjqm3Lv3TbhkLEEPYpKihDcKmUPi/JoB9YRxy5k20Mhgib&#10;QuoG2xhuavmZJGNpsOLYUKKjVUn5ZXs1Co7f7LJ1K/PTY+U252xS/1z3B6X6793XDESgLrzE/+5M&#10;x/nT4WgMf+/EG+TiCQAA//8DAFBLAQItABQABgAIAAAAIQDb4fbL7gAAAIUBAAATAAAAAAAAAAAA&#10;AAAAAAAAAABbQ29udGVudF9UeXBlc10ueG1sUEsBAi0AFAAGAAgAAAAhAFr0LFu/AAAAFQEAAAsA&#10;AAAAAAAAAAAAAAAAHwEAAF9yZWxzLy5yZWxzUEsBAi0AFAAGAAgAAAAhAJIwcGXEAAAA3gAAAA8A&#10;AAAAAAAAAAAAAAAABwIAAGRycy9kb3ducmV2LnhtbFBLBQYAAAAAAwADALcAAAD4AgAAAAA=&#10;" filled="f" stroked="f">
                  <v:textbox inset="0,0,0,0">
                    <w:txbxContent>
                      <w:p w14:paraId="1F3A2A5B" w14:textId="77777777" w:rsidR="00B32EF2" w:rsidRDefault="00000000">
                        <w:r>
                          <w:rPr>
                            <w:rFonts w:ascii="Arial" w:eastAsia="Arial" w:hAnsi="Arial" w:cs="Arial"/>
                            <w:sz w:val="18"/>
                          </w:rPr>
                          <w:t>considera fatta nella data della spedizione; i termini che hanno inizio dalla no</w:t>
                        </w:r>
                      </w:p>
                    </w:txbxContent>
                  </v:textbox>
                </v:rect>
                <v:rect id="Rectangle 19137" o:spid="_x0000_s4315" style="position:absolute;left:192;top:4640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NX+xQAAAN4AAAAPAAAAZHJzL2Rvd25yZXYueG1sRE9La8JA&#10;EL4X/A/LCN7qxgpVo6uIRZpDL/UBHofsmESzs0t2NWl/fbcgeJuP7zmLVWdqcafGV5YVjIYJCOLc&#10;6ooLBYf99nUKwgdkjbVlUvBDHlbL3ssCU21b/qb7LhQihrBPUUEZgkul9HlJBv3QOuLInW1jMETY&#10;FFI32MZwU8u3JHmXBiuODSU62pSUX3c3o+D0wS7btjI//27c1yWb1p+3w1GpQb9bz0EE6sJT/HBn&#10;Os6fjcYT+H8n3iCXfwAAAP//AwBQSwECLQAUAAYACAAAACEA2+H2y+4AAACFAQAAEwAAAAAAAAAA&#10;AAAAAAAAAAAAW0NvbnRlbnRfVHlwZXNdLnhtbFBLAQItABQABgAIAAAAIQBa9CxbvwAAABUBAAAL&#10;AAAAAAAAAAAAAAAAAB8BAABfcmVscy8ucmVsc1BLAQItABQABgAIAAAAIQD9fNX+xQAAAN4AAAAP&#10;AAAAAAAAAAAAAAAAAAcCAABkcnMvZG93bnJldi54bWxQSwUGAAAAAAMAAwC3AAAA+QIAAAAA&#10;" filled="f" stroked="f">
                  <v:textbox inset="0,0,0,0">
                    <w:txbxContent>
                      <w:p w14:paraId="2C877EE0" w14:textId="77777777" w:rsidR="00B32EF2" w:rsidRDefault="00000000">
                        <w:r>
                          <w:rPr>
                            <w:rFonts w:ascii="Arial" w:eastAsia="Arial" w:hAnsi="Arial" w:cs="Arial"/>
                            <w:sz w:val="18"/>
                          </w:rPr>
                          <w:t>-</w:t>
                        </w:r>
                      </w:p>
                    </w:txbxContent>
                  </v:textbox>
                </v:rect>
                <v:rect id="Rectangle 19138" o:spid="_x0000_s4316" style="position:absolute;left:-12308;top:45166;width:522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0GMyAAAAN4AAAAPAAAAZHJzL2Rvd25yZXYueG1sRI9Pa8JA&#10;EMXvQr/DMoXedGMLxUZXKRZpDr34p+BxyI5JNDu7ZFeT9tM7h0JvM7w37/1msRpcq27Uxcazgekk&#10;A0VcettwZeCw34xnoGJCtth6JgM/FGG1fBgtMLe+5y3ddqlSEsIxRwN1SiHXOpY1OYwTH4hFO/nO&#10;YZK1q7TtsJdw1+rnLHvVDhuWhhoDrWsqL7urM3D84FBsel2eftfh61zM2s/r4duYp8fhfQ4q0ZD+&#10;zX/XhRX8t+mL8Mo7MoNe3gEAAP//AwBQSwECLQAUAAYACAAAACEA2+H2y+4AAACFAQAAEwAAAAAA&#10;AAAAAAAAAAAAAAAAW0NvbnRlbnRfVHlwZXNdLnhtbFBLAQItABQABgAIAAAAIQBa9CxbvwAAABUB&#10;AAALAAAAAAAAAAAAAAAAAB8BAABfcmVscy8ucmVsc1BLAQItABQABgAIAAAAIQCM40GMyAAAAN4A&#10;AAAPAAAAAAAAAAAAAAAAAAcCAABkcnMvZG93bnJldi54bWxQSwUGAAAAAAMAAwC3AAAA/AIAAAAA&#10;" filled="f" stroked="f">
                  <v:textbox inset="0,0,0,0">
                    <w:txbxContent>
                      <w:p w14:paraId="5F27BD8E" w14:textId="77777777" w:rsidR="00B32EF2" w:rsidRDefault="00000000">
                        <w:r>
                          <w:rPr>
                            <w:rFonts w:ascii="Arial" w:eastAsia="Arial" w:hAnsi="Arial" w:cs="Arial"/>
                            <w:sz w:val="18"/>
                          </w:rPr>
                          <w:t>tificazione o dalla comunicazione decorrono dalla data in cui l’atto è ricevuto.</w:t>
                        </w:r>
                      </w:p>
                    </w:txbxContent>
                  </v:textbox>
                </v:rect>
                <v:shape id="Shape 207978" o:spid="_x0000_s4317" style="position:absolute;left:318;top:4731;width:39600;height:40103;visibility:visible;mso-wrap-style:square;v-text-anchor:top" coordsize="3960000,4010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JsGxgAAAN8AAAAPAAAAZHJzL2Rvd25yZXYueG1sRE/LagIx&#10;FN0L/kO4hW5EE4VWnRqlFiwV6sJX15fJ7WR0cjNMUh39+mZR6PJw3rNF6ypxoSaUnjUMBwoEce5N&#10;yYWGw37Vn4AIEdlg5Zk03CjAYt7tzDAz/spbuuxiIVIIhww12BjrTMqQW3IYBr4mTty3bxzGBJtC&#10;mgavKdxVcqTUs3RYcmqwWNObpfy8+3EaJpv73fLTevj5deq9r9R5eTTLrdaPD+3rC4hIbfwX/7k/&#10;jIaRGk/HaXD6k76AnP8CAAD//wMAUEsBAi0AFAAGAAgAAAAhANvh9svuAAAAhQEAABMAAAAAAAAA&#10;AAAAAAAAAAAAAFtDb250ZW50X1R5cGVzXS54bWxQSwECLQAUAAYACAAAACEAWvQsW78AAAAVAQAA&#10;CwAAAAAAAAAAAAAAAAAfAQAAX3JlbHMvLnJlbHNQSwECLQAUAAYACAAAACEAhMSbBsYAAADfAAAA&#10;DwAAAAAAAAAAAAAAAAAHAgAAZHJzL2Rvd25yZXYueG1sUEsFBgAAAAADAAMAtwAAAPoCAAAAAA==&#10;" path="m,l3960000,r,4010305l,4010305,,e" fillcolor="#c3c3c3" stroked="f" strokeweight="0">
                  <v:stroke miterlimit="83231f" joinstyle="miter"/>
                  <v:path arrowok="t" textboxrect="0,0,3960000,4010305"/>
                </v:shape>
                <v:rect id="Rectangle 19140" o:spid="_x0000_s4318" style="position:absolute;left:23288;top:4262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z73yAAAAN4AAAAPAAAAZHJzL2Rvd25yZXYueG1sRI9Pa8JA&#10;EMXvQr/DMoXedGMpxUZXKRZpDr34p+BxyI5JNDu7ZFeT9tM7h0JvM8yb995vsRpcq27Uxcazgekk&#10;A0VcettwZeCw34xnoGJCtth6JgM/FGG1fBgtMLe+5y3ddqlSYsIxRwN1SiHXOpY1OYwTH4jldvKd&#10;wyRrV2nbYS/mrtXPWfaqHTYsCTUGWtdUXnZXZ+D4waHY9Lo8/a7D17mYtZ/Xw7cxT4/D+xxUoiH9&#10;i/++Cyv136YvAiA4MoNe3gEAAP//AwBQSwECLQAUAAYACAAAACEA2+H2y+4AAACFAQAAEwAAAAAA&#10;AAAAAAAAAAAAAAAAW0NvbnRlbnRfVHlwZXNdLnhtbFBLAQItABQABgAIAAAAIQBa9CxbvwAAABUB&#10;AAALAAAAAAAAAAAAAAAAAB8BAABfcmVscy8ucmVsc1BLAQItABQABgAIAAAAIQAqkz73yAAAAN4A&#10;AAAPAAAAAAAAAAAAAAAAAAcCAABkcnMvZG93bnJldi54bWxQSwUGAAAAAAMAAwC3AAAA/AIAAAAA&#10;" filled="f" stroked="f">
                  <v:textbox inset="0,0,0,0">
                    <w:txbxContent>
                      <w:p w14:paraId="1B66F842" w14:textId="77777777" w:rsidR="00B32EF2" w:rsidRDefault="00000000">
                        <w:r>
                          <w:rPr>
                            <w:rFonts w:ascii="Arial" w:eastAsia="Arial" w:hAnsi="Arial" w:cs="Arial"/>
                            <w:b/>
                            <w:i/>
                            <w:sz w:val="18"/>
                          </w:rPr>
                          <w:t>NORME RICHIAMATE</w:t>
                        </w:r>
                      </w:p>
                    </w:txbxContent>
                  </v:textbox>
                </v:rect>
                <v:rect id="Rectangle 19141" o:spid="_x0000_s4319" style="position:absolute;left:-11861;top:41389;width:509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5tsxAAAAN4AAAAPAAAAZHJzL2Rvd25yZXYueG1sRE9Na8JA&#10;EL0X/A/LCL3VTaQUG11FFGkOXrQKHofsmESzs0t2Nam/visUepvH+5zZojeNuFPra8sK0lECgriw&#10;uuZSweF78zYB4QOyxsYyKfghD4v54GWGmbYd7+i+D6WIIewzVFCF4DIpfVGRQT+yjjhyZ9saDBG2&#10;pdQtdjHcNHKcJB/SYM2xoUJHq4qK6/5mFJzW7PJNJ4vzY+W2l3zSfN0OR6Veh/1yCiJQH/7Ff+5c&#10;x/mf6XsKz3fiDXL+CwAA//8DAFBLAQItABQABgAIAAAAIQDb4fbL7gAAAIUBAAATAAAAAAAAAAAA&#10;AAAAAAAAAABbQ29udGVudF9UeXBlc10ueG1sUEsBAi0AFAAGAAgAAAAhAFr0LFu/AAAAFQEAAAsA&#10;AAAAAAAAAAAAAAAAHwEAAF9yZWxzLy5yZWxzUEsBAi0AFAAGAAgAAAAhAEXfm2zEAAAA3gAAAA8A&#10;AAAAAAAAAAAAAAAABwIAAGRycy9kb3ducmV2LnhtbFBLBQYAAAAAAwADALcAAAD4AgAAAAA=&#10;" filled="f" stroked="f">
                  <v:textbox inset="0,0,0,0">
                    <w:txbxContent>
                      <w:p w14:paraId="5F431493" w14:textId="77777777" w:rsidR="00B32EF2" w:rsidRDefault="00000000">
                        <w:r>
                          <w:rPr>
                            <w:rFonts w:ascii="Arial" w:eastAsia="Arial" w:hAnsi="Arial" w:cs="Arial"/>
                            <w:i/>
                            <w:sz w:val="18"/>
                          </w:rPr>
                          <w:t xml:space="preserve">art. 53 D.lgs. 446/1997 “Albo per l’accertamento e riscossione delle entrate </w:t>
                        </w:r>
                      </w:p>
                    </w:txbxContent>
                  </v:textbox>
                </v:rect>
                <v:rect id="Rectangle 19142" o:spid="_x0000_s4320" style="position:absolute;left:28048;top:40156;width:1108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QUbxAAAAN4AAAAPAAAAZHJzL2Rvd25yZXYueG1sRE9Li8Iw&#10;EL4L+x/CLHhbU2URrUZZXGR78LI+wOPQjG21mYQm2uqvNwsL3ubje8582Zla3KjxlWUFw0ECgji3&#10;uuJCwX63/piA8AFZY22ZFNzJw3Lx1ptjqm3Lv3TbhkLEEPYpKihDcKmUPi/JoB9YRxy5k20Mhgib&#10;QuoG2xhuajlKkrE0WHFsKNHRqqT8sr0aBcdvdtm6lfnpsXKbczapf677g1L99+5rBiJQF17if3em&#10;4/zp8HMEf+/EG+TiCQAA//8DAFBLAQItABQABgAIAAAAIQDb4fbL7gAAAIUBAAATAAAAAAAAAAAA&#10;AAAAAAAAAABbQ29udGVudF9UeXBlc10ueG1sUEsBAi0AFAAGAAgAAAAhAFr0LFu/AAAAFQEAAAsA&#10;AAAAAAAAAAAAAAAAHwEAAF9yZWxzLy5yZWxzUEsBAi0AFAAGAAgAAAAhALUNBRvEAAAA3gAAAA8A&#10;AAAAAAAAAAAAAAAABwIAAGRycy9kb3ducmV2LnhtbFBLBQYAAAAAAwADALcAAAD4AgAAAAA=&#10;" filled="f" stroked="f">
                  <v:textbox inset="0,0,0,0">
                    <w:txbxContent>
                      <w:p w14:paraId="666D7574" w14:textId="77777777" w:rsidR="00B32EF2" w:rsidRDefault="00000000">
                        <w:r>
                          <w:rPr>
                            <w:rFonts w:ascii="Arial" w:eastAsia="Arial" w:hAnsi="Arial" w:cs="Arial"/>
                            <w:i/>
                            <w:sz w:val="18"/>
                          </w:rPr>
                          <w:t>degli enti locali”.</w:t>
                        </w:r>
                      </w:p>
                    </w:txbxContent>
                  </v:textbox>
                </v:rect>
                <v:rect id="Rectangle 19143" o:spid="_x0000_s4321" style="position:absolute;left:19550;top:38922;width:195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aCAxQAAAN4AAAAPAAAAZHJzL2Rvd25yZXYueG1sRE9La8JA&#10;EL4X/A/LCN7qxlpEo6uIRZpDL/UBHofsmESzs0t2NWl/fbcgeJuP7zmLVWdqcafGV5YVjIYJCOLc&#10;6ooLBYf99nUKwgdkjbVlUvBDHlbL3ssCU21b/qb7LhQihrBPUUEZgkul9HlJBv3QOuLInW1jMETY&#10;FFI32MZwU8u3JJlIgxXHhhIdbUrKr7ubUXD6YJdtW5mffzfu65JN68/b4ajUoN+t5yACdeEpfrgz&#10;HefPRu9j+H8n3iCXfwAAAP//AwBQSwECLQAUAAYACAAAACEA2+H2y+4AAACFAQAAEwAAAAAAAAAA&#10;AAAAAAAAAAAAW0NvbnRlbnRfVHlwZXNdLnhtbFBLAQItABQABgAIAAAAIQBa9CxbvwAAABUBAAAL&#10;AAAAAAAAAAAAAAAAAB8BAABfcmVscy8ucmVsc1BLAQItABQABgAIAAAAIQDaQaCAxQAAAN4AAAAP&#10;AAAAAAAAAAAAAAAAAAcCAABkcnMvZG93bnJldi54bWxQSwUGAAAAAAMAAwC3AAAA+QIAAAAA&#10;" filled="f" stroked="f">
                  <v:textbox inset="0,0,0,0">
                    <w:txbxContent>
                      <w:p w14:paraId="7C386D33" w14:textId="77777777" w:rsidR="00B32EF2" w:rsidRDefault="00000000">
                        <w:r>
                          <w:rPr>
                            <w:rFonts w:ascii="Arial" w:eastAsia="Arial" w:hAnsi="Arial" w:cs="Arial"/>
                            <w:i/>
                            <w:sz w:val="18"/>
                          </w:rPr>
                          <w:t xml:space="preserve">art. 137 c.p.c. ”Notificazioni” </w:t>
                        </w:r>
                      </w:p>
                    </w:txbxContent>
                  </v:textbox>
                </v:rect>
                <v:rect id="Rectangle 201280" o:spid="_x0000_s4322" style="position:absolute;left:-11527;top:37689;width:500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d1xQAAAN8AAAAPAAAAZHJzL2Rvd25yZXYueG1sRI/NisIw&#10;FIX3A75DuIK7MbULKdUooohduBnHgVlemmtbbW5CE22dpzcLYZaH88e3XA+mFQ/qfGNZwWyagCAu&#10;rW64UnD+3n9mIHxA1thaJgVP8rBejT6WmGvb8xc9TqEScYR9jgrqEFwupS9rMuin1hFH72I7gyHK&#10;rpK6wz6Om1amSTKXBhuODzU62tZU3k53o+B3x67Y97K8/G3d8Vpk7eF+/lFqMh42CxCBhvAffrcL&#10;rSBNZmkWCSJPZAG5egEAAP//AwBQSwECLQAUAAYACAAAACEA2+H2y+4AAACFAQAAEwAAAAAAAAAA&#10;AAAAAAAAAAAAW0NvbnRlbnRfVHlwZXNdLnhtbFBLAQItABQABgAIAAAAIQBa9CxbvwAAABUBAAAL&#10;AAAAAAAAAAAAAAAAAB8BAABfcmVscy8ucmVsc1BLAQItABQABgAIAAAAIQB3old1xQAAAN8AAAAP&#10;AAAAAAAAAAAAAAAAAAcCAABkcnMvZG93bnJldi54bWxQSwUGAAAAAAMAAwC3AAAA+QIAAAAA&#10;" filled="f" stroked="f">
                  <v:textbox inset="0,0,0,0">
                    <w:txbxContent>
                      <w:p w14:paraId="062B9C3C" w14:textId="77777777" w:rsidR="00B32EF2" w:rsidRDefault="00000000">
                        <w:r>
                          <w:rPr>
                            <w:rFonts w:ascii="Arial" w:eastAsia="Arial" w:hAnsi="Arial" w:cs="Arial"/>
                            <w:i/>
                            <w:sz w:val="18"/>
                          </w:rPr>
                          <w:t>. Le notificazioni, quando non è disposto altrimenti, sono eseguite dall’uf</w:t>
                        </w:r>
                      </w:p>
                    </w:txbxContent>
                  </v:textbox>
                </v:rect>
                <v:rect id="Rectangle 201279" o:spid="_x0000_s4323" style="position:absolute;left:26076;top:37689;width:500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Y7PyAAAAN8AAAAPAAAAZHJzL2Rvd25yZXYueG1sRI9Pa8JA&#10;FMTvhX6H5Qm96cYcqqauIhZpDl7qH+jxkX0m0ezbJbua1E/vFoQeh5n5DTNf9qYRN2p9bVnBeJSA&#10;IC6srrlUcNhvhlMQPiBrbCyTgl/ysFy8vswx07bjb7rtQikihH2GCqoQXCalLyoy6EfWEUfvZFuD&#10;Icq2lLrFLsJNI9MkeZcGa44LFTpaV1Rcdlej4OeTXb7pZHG6r932nE+br+vhqNTboF99gAjUh//w&#10;s51rBWkyTicz+PsTv4BcPAAAAP//AwBQSwECLQAUAAYACAAAACEA2+H2y+4AAACFAQAAEwAAAAAA&#10;AAAAAAAAAAAAAAAAW0NvbnRlbnRfVHlwZXNdLnhtbFBLAQItABQABgAIAAAAIQBa9CxbvwAAABUB&#10;AAALAAAAAAAAAAAAAAAAAB8BAABfcmVscy8ucmVsc1BLAQItABQABgAIAAAAIQDTTY7PyAAAAN8A&#10;AAAPAAAAAAAAAAAAAAAAAAcCAABkcnMvZG93bnJldi54bWxQSwUGAAAAAAMAAwC3AAAA/AIAAAAA&#10;" filled="f" stroked="f">
                  <v:textbox inset="0,0,0,0">
                    <w:txbxContent>
                      <w:p w14:paraId="164F5322" w14:textId="77777777" w:rsidR="00B32EF2" w:rsidRDefault="00000000">
                        <w:r>
                          <w:rPr>
                            <w:rFonts w:ascii="Arial" w:eastAsia="Arial" w:hAnsi="Arial" w:cs="Arial"/>
                            <w:i/>
                            <w:sz w:val="18"/>
                          </w:rPr>
                          <w:t>1</w:t>
                        </w:r>
                      </w:p>
                    </w:txbxContent>
                  </v:textbox>
                </v:rect>
                <v:rect id="Rectangle 19145" o:spid="_x0000_s4324" style="position:absolute;left:976;top:3768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J1vxQAAAN4AAAAPAAAAZHJzL2Rvd25yZXYueG1sRE9La8JA&#10;EL4X/A/LCN7qxmJFo6uIRZpDL/UBHofsmESzs0t2NWl/fbcgeJuP7zmLVWdqcafGV5YVjIYJCOLc&#10;6ooLBYf99nUKwgdkjbVlUvBDHlbL3ssCU21b/qb7LhQihrBPUUEZgkul9HlJBv3QOuLInW1jMETY&#10;FFI32MZwU8u3JJlIgxXHhhIdbUrKr7ubUXD6YJdtW5mffzfu65JN68/b4ajUoN+t5yACdeEpfrgz&#10;HefPRuN3+H8n3iCXfwAAAP//AwBQSwECLQAUAAYACAAAACEA2+H2y+4AAACFAQAAEwAAAAAAAAAA&#10;AAAAAAAAAAAAW0NvbnRlbnRfVHlwZXNdLnhtbFBLAQItABQABgAIAAAAIQBa9CxbvwAAABUBAAAL&#10;AAAAAAAAAAAAAAAAAB8BAABfcmVscy8ucmVsc1BLAQItABQABgAIAAAAIQA65J1vxQAAAN4AAAAP&#10;AAAAAAAAAAAAAAAAAAcCAABkcnMvZG93bnJldi54bWxQSwUGAAAAAAMAAwC3AAAA+QIAAAAA&#10;" filled="f" stroked="f">
                  <v:textbox inset="0,0,0,0">
                    <w:txbxContent>
                      <w:p w14:paraId="18DB4398" w14:textId="77777777" w:rsidR="00B32EF2" w:rsidRDefault="00000000">
                        <w:r>
                          <w:rPr>
                            <w:rFonts w:ascii="Arial" w:eastAsia="Arial" w:hAnsi="Arial" w:cs="Arial"/>
                            <w:i/>
                            <w:sz w:val="18"/>
                          </w:rPr>
                          <w:t>-</w:t>
                        </w:r>
                      </w:p>
                    </w:txbxContent>
                  </v:textbox>
                </v:rect>
                <v:rect id="Rectangle 19146" o:spid="_x0000_s4325" style="position:absolute;left:-11871;top:36456;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gMYxAAAAN4AAAAPAAAAZHJzL2Rvd25yZXYueG1sRE9Li8Iw&#10;EL4L+x/CLHhbUxcRrUZZXGR78LI+wOPQjG21mYQm2uqvNwsL3ubje8582Zla3KjxlWUFw0ECgji3&#10;uuJCwX63/piA8AFZY22ZFNzJw3Lx1ptjqm3Lv3TbhkLEEPYpKihDcKmUPi/JoB9YRxy5k20Mhgib&#10;QuoG2xhuavmZJGNpsOLYUKKjVUn5ZXs1Co7f7LJ1K/PTY+U252xS/1z3B6X6793XDESgLrzE/+5M&#10;x/nT4WgMf+/EG+TiCQAA//8DAFBLAQItABQABgAIAAAAIQDb4fbL7gAAAIUBAAATAAAAAAAAAAAA&#10;AAAAAAAAAABbQ29udGVudF9UeXBlc10ueG1sUEsBAi0AFAAGAAgAAAAhAFr0LFu/AAAAFQEAAAsA&#10;AAAAAAAAAAAAAAAAHwEAAF9yZWxzLy5yZWxzUEsBAi0AFAAGAAgAAAAhAMo2AxjEAAAA3gAAAA8A&#10;AAAAAAAAAAAAAAAABwIAAGRycy9kb3ducmV2LnhtbFBLBQYAAAAAAwADALcAAAD4AgAAAAA=&#10;" filled="f" stroked="f">
                  <v:textbox inset="0,0,0,0">
                    <w:txbxContent>
                      <w:p w14:paraId="1BBCF73D" w14:textId="77777777" w:rsidR="00B32EF2" w:rsidRDefault="00000000">
                        <w:r>
                          <w:rPr>
                            <w:rFonts w:ascii="Arial" w:eastAsia="Arial" w:hAnsi="Arial" w:cs="Arial"/>
                            <w:i/>
                            <w:sz w:val="18"/>
                          </w:rPr>
                          <w:t xml:space="preserve">ficiale giudiziario, su istanza di parte o su richiesta del pubblico ministero </w:t>
                        </w:r>
                      </w:p>
                    </w:txbxContent>
                  </v:textbox>
                </v:rect>
                <v:rect id="Rectangle 19147" o:spid="_x0000_s4326" style="position:absolute;left:27591;top:35222;width:115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aDxQAAAN4AAAAPAAAAZHJzL2Rvd25yZXYueG1sRE9La8JA&#10;EL4X/A/LCN7qxiJVo6uIRZpDL/UBHofsmESzs0t2NWl/fbcgeJuP7zmLVWdqcafGV5YVjIYJCOLc&#10;6ooLBYf99nUKwgdkjbVlUvBDHlbL3ssCU21b/qb7LhQihrBPUUEZgkul9HlJBv3QOuLInW1jMETY&#10;FFI32MZwU8u3JHmXBiuODSU62pSUX3c3o+D0wS7btjI//27c1yWb1p+3w1GpQb9bz0EE6sJT/HBn&#10;Os6fjcYT+H8n3iCXfwAAAP//AwBQSwECLQAUAAYACAAAACEA2+H2y+4AAACFAQAAEwAAAAAAAAAA&#10;AAAAAAAAAAAAW0NvbnRlbnRfVHlwZXNdLnhtbFBLAQItABQABgAIAAAAIQBa9CxbvwAAABUBAAAL&#10;AAAAAAAAAAAAAAAAAB8BAABfcmVscy8ucmVsc1BLAQItABQABgAIAAAAIQCleqaDxQAAAN4AAAAP&#10;AAAAAAAAAAAAAAAAAAcCAABkcnMvZG93bnJldi54bWxQSwUGAAAAAAMAAwC3AAAA+QIAAAAA&#10;" filled="f" stroked="f">
                  <v:textbox inset="0,0,0,0">
                    <w:txbxContent>
                      <w:p w14:paraId="41F9916C" w14:textId="77777777" w:rsidR="00B32EF2" w:rsidRDefault="00000000">
                        <w:r>
                          <w:rPr>
                            <w:rFonts w:ascii="Arial" w:eastAsia="Arial" w:hAnsi="Arial" w:cs="Arial"/>
                            <w:i/>
                            <w:sz w:val="18"/>
                          </w:rPr>
                          <w:t>o del cancelliere.</w:t>
                        </w:r>
                      </w:p>
                    </w:txbxContent>
                  </v:textbox>
                </v:rect>
                <v:rect id="Rectangle 201277" o:spid="_x0000_s4327" style="position:absolute;left:26082;top:33989;width:50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r8myAAAAN8AAAAPAAAAZHJzL2Rvd25yZXYueG1sRI9Pa8JA&#10;FMTvBb/D8oTe6sYcqkQ3Ioo0h15qFTw+si9/NPt2ya4m7afvFgo9DjPzG2a9GU0nHtT71rKC+SwB&#10;QVxa3XKt4PR5eFmC8AFZY2eZFHyRh00+eVpjpu3AH/Q4hlpECPsMFTQhuExKXzZk0M+sI45eZXuD&#10;Icq+lrrHIcJNJ9MkeZUGW44LDTraNVTejnej4LJnVxwGWVbfO/d+LZbd2/10Vup5Om5XIAKN4T/8&#10;1y60gjSZp4sF/P6JX0DmPwAAAP//AwBQSwECLQAUAAYACAAAACEA2+H2y+4AAACFAQAAEwAAAAAA&#10;AAAAAAAAAAAAAAAAW0NvbnRlbnRfVHlwZXNdLnhtbFBLAQItABQABgAIAAAAIQBa9CxbvwAAABUB&#10;AAALAAAAAAAAAAAAAAAAAB8BAABfcmVscy8ucmVsc1BLAQItABQABgAIAAAAIQDNnr8myAAAAN8A&#10;AAAPAAAAAAAAAAAAAAAAAAcCAABkcnMvZG93bnJldi54bWxQSwUGAAAAAAMAAwC3AAAA/AIAAAAA&#10;" filled="f" stroked="f">
                  <v:textbox inset="0,0,0,0">
                    <w:txbxContent>
                      <w:p w14:paraId="0064C368" w14:textId="77777777" w:rsidR="00B32EF2" w:rsidRDefault="00000000">
                        <w:r>
                          <w:rPr>
                            <w:rFonts w:ascii="Arial" w:eastAsia="Arial" w:hAnsi="Arial" w:cs="Arial"/>
                            <w:i/>
                            <w:sz w:val="18"/>
                          </w:rPr>
                          <w:t>2</w:t>
                        </w:r>
                      </w:p>
                    </w:txbxContent>
                  </v:textbox>
                </v:rect>
                <v:rect id="Rectangle 201278" o:spid="_x0000_s4328" style="position:absolute;left:-11556;top:33989;width:500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StUxAAAAN8AAAAPAAAAZHJzL2Rvd25yZXYueG1sRE/LisIw&#10;FN0P+A/hCu7G1C5mpBpFFJkuZuMLXF6aa1ttbkITbZ2vN4sBl4fzni9704gHtb62rGAyTkAQF1bX&#10;XCo4HrafUxA+IGtsLJOCJ3lYLgYfc8y07XhHj30oRQxhn6GCKgSXSemLigz6sXXEkbvY1mCIsC2l&#10;brGL4aaRaZJ8SYM1x4YKHa0rKm77u1Fw3rDLt50sLn9r93vNp83P/XhSajTsVzMQgfrwFv+7c60g&#10;TSbpdxwc/8QvIBcvAAAA//8DAFBLAQItABQABgAIAAAAIQDb4fbL7gAAAIUBAAATAAAAAAAAAAAA&#10;AAAAAAAAAABbQ29udGVudF9UeXBlc10ueG1sUEsBAi0AFAAGAAgAAAAhAFr0LFu/AAAAFQEAAAsA&#10;AAAAAAAAAAAAAAAAHwEAAF9yZWxzLy5yZWxzUEsBAi0AFAAGAAgAAAAhALwBK1TEAAAA3wAAAA8A&#10;AAAAAAAAAAAAAAAABwIAAGRycy9kb3ducmV2LnhtbFBLBQYAAAAAAwADALcAAAD4AgAAAAA=&#10;" filled="f" stroked="f">
                  <v:textbox inset="0,0,0,0">
                    <w:txbxContent>
                      <w:p w14:paraId="55812A15" w14:textId="77777777" w:rsidR="00B32EF2" w:rsidRDefault="00000000">
                        <w:r>
                          <w:rPr>
                            <w:rFonts w:ascii="Arial" w:eastAsia="Arial" w:hAnsi="Arial" w:cs="Arial"/>
                            <w:i/>
                            <w:sz w:val="18"/>
                          </w:rPr>
                          <w:t>. L’ufficiale giudiziario o l’avvocato esegue la notificazione mediante con</w:t>
                        </w:r>
                      </w:p>
                    </w:txbxContent>
                  </v:textbox>
                </v:rect>
                <v:rect id="Rectangle 19149" o:spid="_x0000_s4329" style="position:absolute;left:976;top:3398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ZdqxAAAAN4AAAAPAAAAZHJzL2Rvd25yZXYueG1sRE9Li8Iw&#10;EL4v7H8Is+BtTRVZtBplcRF72Isv8Dg0Y1ttJqGJtvrrzcKCt/n4njNbdKYWN2p8ZVnBoJ+AIM6t&#10;rrhQsN+tPscgfEDWWFsmBXfysJi/v80w1bblDd22oRAxhH2KCsoQXCqlz0sy6PvWEUfuZBuDIcKm&#10;kLrBNoabWg6T5EsarDg2lOhoWVJ+2V6NguMPu2zVyvz0WLrfczau19f9QaneR/c9BRGoCy/xvzvT&#10;cf5kMJrA3zvxBjl/AgAA//8DAFBLAQItABQABgAIAAAAIQDb4fbL7gAAAIUBAAATAAAAAAAAAAAA&#10;AAAAAAAAAABbQ29udGVudF9UeXBlc10ueG1sUEsBAi0AFAAGAAgAAAAhAFr0LFu/AAAAFQEAAAsA&#10;AAAAAAAAAAAAAAAAHwEAAF9yZWxzLy5yZWxzUEsBAi0AFAAGAAgAAAAhALupl2rEAAAA3gAAAA8A&#10;AAAAAAAAAAAAAAAABwIAAGRycy9kb3ducmV2LnhtbFBLBQYAAAAAAwADALcAAAD4AgAAAAA=&#10;" filled="f" stroked="f">
                  <v:textbox inset="0,0,0,0">
                    <w:txbxContent>
                      <w:p w14:paraId="2622D406" w14:textId="77777777" w:rsidR="00B32EF2" w:rsidRDefault="00000000">
                        <w:r>
                          <w:rPr>
                            <w:rFonts w:ascii="Arial" w:eastAsia="Arial" w:hAnsi="Arial" w:cs="Arial"/>
                            <w:i/>
                            <w:sz w:val="18"/>
                          </w:rPr>
                          <w:t>-</w:t>
                        </w:r>
                      </w:p>
                    </w:txbxContent>
                  </v:textbox>
                </v:rect>
                <v:rect id="Rectangle 19150" o:spid="_x0000_s4330" style="position:absolute;left:-11121;top:32756;width:502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gqyAAAAN4AAAAPAAAAZHJzL2Rvd25yZXYueG1sRI9Pa8JA&#10;EMXvQr/DMoXedGOhxUZXKRZpDr34p+BxyI5JNDu7ZFeT9tM7h0JvM8yb995vsRpcq27Uxcazgekk&#10;A0VcettwZeCw34xnoGJCtth6JgM/FGG1fBgtMLe+5y3ddqlSYsIxRwN1SiHXOpY1OYwTH4jldvKd&#10;wyRrV2nbYS/mrtXPWfaqHTYsCTUGWtdUXnZXZ+D4waHY9Lo8/a7D17mYtZ/Xw7cxT4/D+xxUoiH9&#10;i/++Cyv136YvAiA4MoNe3gEAAP//AwBQSwECLQAUAAYACAAAACEA2+H2y+4AAACFAQAAEwAAAAAA&#10;AAAAAAAAAAAAAAAAW0NvbnRlbnRfVHlwZXNdLnhtbFBLAQItABQABgAIAAAAIQBa9CxbvwAAABUB&#10;AAALAAAAAAAAAAAAAAAAAB8BAABfcmVscy8ucmVsc1BLAQItABQABgAIAAAAIQCvSqgqyAAAAN4A&#10;AAAPAAAAAAAAAAAAAAAAAAcCAABkcnMvZG93bnJldi54bWxQSwUGAAAAAAMAAwC3AAAA/AIAAAAA&#10;" filled="f" stroked="f">
                  <v:textbox inset="0,0,0,0">
                    <w:txbxContent>
                      <w:p w14:paraId="4A9A25D2" w14:textId="77777777" w:rsidR="00B32EF2" w:rsidRDefault="00000000">
                        <w:r>
                          <w:rPr>
                            <w:rFonts w:ascii="Arial" w:eastAsia="Arial" w:hAnsi="Arial" w:cs="Arial"/>
                            <w:i/>
                            <w:sz w:val="18"/>
                          </w:rPr>
                          <w:t>segna al destinatario di copia conforme all’originale dell’atto da notificarsi.</w:t>
                        </w:r>
                      </w:p>
                    </w:txbxContent>
                  </v:textbox>
                </v:rect>
                <v:rect id="Rectangle 201275" o:spid="_x0000_s4331" style="position:absolute;left:26065;top:31522;width:501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ITKyAAAAN8AAAAPAAAAZHJzL2Rvd25yZXYueG1sRI9Pa8JA&#10;FMTvgt9heYI33RioldRVRJHm0Ev9Az0+ss8kbfbtkl1N7Kd3CwWPw8z8hlmue9OIG7W+tqxgNk1A&#10;EBdW11wqOB33kwUIH5A1NpZJwZ08rFfDwRIzbTv+pNshlCJC2GeooArBZVL6oiKDfmodcfQutjUY&#10;omxLqVvsItw0Mk2SuTRYc1yo0NG2ouLncDUKvnbs8n0ni8vv1n1854vm/Xo6KzUe9Zs3EIH68Az/&#10;t3OtIE1m6esL/P2JX0CuHgAAAP//AwBQSwECLQAUAAYACAAAACEA2+H2y+4AAACFAQAAEwAAAAAA&#10;AAAAAAAAAAAAAAAAW0NvbnRlbnRfVHlwZXNdLnhtbFBLAQItABQABgAIAAAAIQBa9CxbvwAAABUB&#10;AAALAAAAAAAAAAAAAAAAAB8BAABfcmVscy8ucmVsc1BLAQItABQABgAIAAAAIQBSAITKyAAAAN8A&#10;AAAPAAAAAAAAAAAAAAAAAAcCAABkcnMvZG93bnJldi54bWxQSwUGAAAAAAMAAwC3AAAA/AIAAAAA&#10;" filled="f" stroked="f">
                  <v:textbox inset="0,0,0,0">
                    <w:txbxContent>
                      <w:p w14:paraId="08C9A503" w14:textId="77777777" w:rsidR="00B32EF2" w:rsidRDefault="00000000">
                        <w:r>
                          <w:rPr>
                            <w:rFonts w:ascii="Arial" w:eastAsia="Arial" w:hAnsi="Arial" w:cs="Arial"/>
                            <w:i/>
                            <w:sz w:val="18"/>
                          </w:rPr>
                          <w:t>3</w:t>
                        </w:r>
                      </w:p>
                    </w:txbxContent>
                  </v:textbox>
                </v:rect>
                <v:rect id="Rectangle 201276" o:spid="_x0000_s4332" style="position:absolute;left:-11642;top:31522;width:501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hq9yAAAAN8AAAAPAAAAZHJzL2Rvd25yZXYueG1sRI9La8Mw&#10;EITvhfwHsYXeGjk+pMGJHEpCqA+9NA/IcbHWj9ZaCUuJ3fz6qFDIcZiZb5jVejSduFLvW8sKZtME&#10;BHFpdcu1guNh97oA4QOyxs4yKfglD+t88rTCTNuBv+i6D7WIEPYZKmhCcJmUvmzIoJ9aRxy9yvYG&#10;Q5R9LXWPQ4SbTqZJMpcGW44LDTraNFT+7C9GwXnLrtgNsqxuG/f5XSy6j8vxpNTL8/i+BBFoDI/w&#10;f7vQCtJklr7N4e9P/AIyvwMAAP//AwBQSwECLQAUAAYACAAAACEA2+H2y+4AAACFAQAAEwAAAAAA&#10;AAAAAAAAAAAAAAAAW0NvbnRlbnRfVHlwZXNdLnhtbFBLAQItABQABgAIAAAAIQBa9CxbvwAAABUB&#10;AAALAAAAAAAAAAAAAAAAAB8BAABfcmVscy8ucmVsc1BLAQItABQABgAIAAAAIQCi0hq9yAAAAN8A&#10;AAAPAAAAAAAAAAAAAAAAAAcCAABkcnMvZG93bnJldi54bWxQSwUGAAAAAAMAAwC3AAAA/AIAAAAA&#10;" filled="f" stroked="f">
                  <v:textbox inset="0,0,0,0">
                    <w:txbxContent>
                      <w:p w14:paraId="4049C306" w14:textId="77777777" w:rsidR="00B32EF2" w:rsidRDefault="00000000">
                        <w:r>
                          <w:rPr>
                            <w:rFonts w:ascii="Arial" w:eastAsia="Arial" w:hAnsi="Arial" w:cs="Arial"/>
                            <w:i/>
                            <w:sz w:val="18"/>
                          </w:rPr>
                          <w:t>. Se l’atto da notificare o comunicare è costituito da un documento infor</w:t>
                        </w:r>
                      </w:p>
                    </w:txbxContent>
                  </v:textbox>
                </v:rect>
                <v:rect id="Rectangle 19152" o:spid="_x0000_s4333" style="position:absolute;left:976;top:3152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JPGxAAAAN4AAAAPAAAAZHJzL2Rvd25yZXYueG1sRE9Li8Iw&#10;EL4L+x/CLHhbU4UVrUZZXGR78LI+wOPQjG21mYQm2uqvNwsL3ubje8582Zla3KjxlWUFw0ECgji3&#10;uuJCwX63/piA8AFZY22ZFNzJw3Lx1ptjqm3Lv3TbhkLEEPYpKihDcKmUPi/JoB9YRxy5k20Mhgib&#10;QuoG2xhuajlKkrE0WHFsKNHRqqT8sr0aBcdvdtm6lfnpsXKbczapf677g1L99+5rBiJQF17if3em&#10;4/zp8HMEf+/EG+TiCQAA//8DAFBLAQItABQABgAIAAAAIQDb4fbL7gAAAIUBAAATAAAAAAAAAAAA&#10;AAAAAAAAAABbQ29udGVudF9UeXBlc10ueG1sUEsBAi0AFAAGAAgAAAAhAFr0LFu/AAAAFQEAAAsA&#10;AAAAAAAAAAAAAAAAHwEAAF9yZWxzLy5yZWxzUEsBAi0AFAAGAAgAAAAhADDUk8bEAAAA3gAAAA8A&#10;AAAAAAAAAAAAAAAABwIAAGRycy9kb3ducmV2LnhtbFBLBQYAAAAAAwADALcAAAD4AgAAAAA=&#10;" filled="f" stroked="f">
                  <v:textbox inset="0,0,0,0">
                    <w:txbxContent>
                      <w:p w14:paraId="654AEE0A" w14:textId="77777777" w:rsidR="00B32EF2" w:rsidRDefault="00000000">
                        <w:r>
                          <w:rPr>
                            <w:rFonts w:ascii="Arial" w:eastAsia="Arial" w:hAnsi="Arial" w:cs="Arial"/>
                            <w:i/>
                            <w:sz w:val="18"/>
                          </w:rPr>
                          <w:t>-</w:t>
                        </w:r>
                      </w:p>
                    </w:txbxContent>
                  </v:textbox>
                </v:rect>
                <v:rect id="Rectangle 19153" o:spid="_x0000_s4334" style="position:absolute;left:-10891;top:30289;width:50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DZdxQAAAN4AAAAPAAAAZHJzL2Rvd25yZXYueG1sRE9La8JA&#10;EL4X/A/LCN7qxkpFo6uIRZpDL/UBHofsmESzs0t2NWl/fbcgeJuP7zmLVWdqcafGV5YVjIYJCOLc&#10;6ooLBYf99nUKwgdkjbVlUvBDHlbL3ssCU21b/qb7LhQihrBPUUEZgkul9HlJBv3QOuLInW1jMETY&#10;FFI32MZwU8u3JJlIgxXHhhIdbUrKr7ubUXD6YJdtW5mffzfu65JN68/b4ajUoN+t5yACdeEpfrgz&#10;HefPRu9j+H8n3iCXfwAAAP//AwBQSwECLQAUAAYACAAAACEA2+H2y+4AAACFAQAAEwAAAAAAAAAA&#10;AAAAAAAAAAAAW0NvbnRlbnRfVHlwZXNdLnhtbFBLAQItABQABgAIAAAAIQBa9CxbvwAAABUBAAAL&#10;AAAAAAAAAAAAAAAAAB8BAABfcmVscy8ucmVsc1BLAQItABQABgAIAAAAIQBfmDZdxQAAAN4AAAAP&#10;AAAAAAAAAAAAAAAAAAcCAABkcnMvZG93bnJldi54bWxQSwUGAAAAAAMAAwC3AAAA+QIAAAAA&#10;" filled="f" stroked="f">
                  <v:textbox inset="0,0,0,0">
                    <w:txbxContent>
                      <w:p w14:paraId="7DAE5443" w14:textId="77777777" w:rsidR="00B32EF2" w:rsidRDefault="00000000">
                        <w:r>
                          <w:rPr>
                            <w:rFonts w:ascii="Arial" w:eastAsia="Arial" w:hAnsi="Arial" w:cs="Arial"/>
                            <w:i/>
                            <w:sz w:val="18"/>
                          </w:rPr>
                          <w:t>matico e il destinatario non possiede indirizzo di posta elettronica certifi</w:t>
                        </w:r>
                      </w:p>
                    </w:txbxContent>
                  </v:textbox>
                </v:rect>
                <v:rect id="Rectangle 19154" o:spid="_x0000_s4335" style="position:absolute;left:976;top:3028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a4pxQAAAN4AAAAPAAAAZHJzL2Rvd25yZXYueG1sRE9La8JA&#10;EL4X/A/LCN7qxmJFo6uIRZpDL/UBHofsmESzs0t2NWl/fbcgeJuP7zmLVWdqcafGV5YVjIYJCOLc&#10;6ooLBYf99nUKwgdkjbVlUvBDHlbL3ssCU21b/qb7LhQihrBPUUEZgkul9HlJBv3QOuLInW1jMETY&#10;FFI32MZwU8u3JJlIgxXHhhIdbUrKr7ubUXD6YJdtW5mffzfu65JN68/b4ajUoN+t5yACdeEpfrgz&#10;HefPRu9j+H8n3iCXfwAAAP//AwBQSwECLQAUAAYACAAAACEA2+H2y+4AAACFAQAAEwAAAAAAAAAA&#10;AAAAAAAAAAAAW0NvbnRlbnRfVHlwZXNdLnhtbFBLAQItABQABgAIAAAAIQBa9CxbvwAAABUBAAAL&#10;AAAAAAAAAAAAAAAAAB8BAABfcmVscy8ucmVsc1BLAQItABQABgAIAAAAIQDQca4pxQAAAN4AAAAP&#10;AAAAAAAAAAAAAAAAAAcCAABkcnMvZG93bnJldi54bWxQSwUGAAAAAAMAAwC3AAAA+QIAAAAA&#10;" filled="f" stroked="f">
                  <v:textbox inset="0,0,0,0">
                    <w:txbxContent>
                      <w:p w14:paraId="6A594DD4" w14:textId="77777777" w:rsidR="00B32EF2" w:rsidRDefault="00000000">
                        <w:r>
                          <w:rPr>
                            <w:rFonts w:ascii="Arial" w:eastAsia="Arial" w:hAnsi="Arial" w:cs="Arial"/>
                            <w:i/>
                            <w:sz w:val="18"/>
                          </w:rPr>
                          <w:t>-</w:t>
                        </w:r>
                      </w:p>
                    </w:txbxContent>
                  </v:textbox>
                </v:rect>
                <v:rect id="Rectangle 19155" o:spid="_x0000_s4336" style="position:absolute;left:-11870;top:29056;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uyxAAAAN4AAAAPAAAAZHJzL2Rvd25yZXYueG1sRE9Li8Iw&#10;EL4v7H8II3jT1AUX7RpFXGR78OIL9jg0Y1ttJqGJtvrrN4Kwt/n4njNbdKYWN2p8ZVnBaJiAIM6t&#10;rrhQcNivBxMQPiBrrC2Tgjt5WMzf32aYatvylm67UIgYwj5FBWUILpXS5yUZ9EPriCN3so3BEGFT&#10;SN1gG8NNLT+S5FMarDg2lOhoVVJ+2V2Ngt9vdtm6lfnpsXKbczapf66Ho1L9Xrf8AhGoC//ilzvT&#10;cf50NB7D8514g5z/AQAA//8DAFBLAQItABQABgAIAAAAIQDb4fbL7gAAAIUBAAATAAAAAAAAAAAA&#10;AAAAAAAAAABbQ29udGVudF9UeXBlc10ueG1sUEsBAi0AFAAGAAgAAAAhAFr0LFu/AAAAFQEAAAsA&#10;AAAAAAAAAAAAAAAAHwEAAF9yZWxzLy5yZWxzUEsBAi0AFAAGAAgAAAAhAL89C7LEAAAA3gAAAA8A&#10;AAAAAAAAAAAAAAAABwIAAGRycy9kb3ducmV2LnhtbFBLBQYAAAAAAwADALcAAAD4AgAAAAA=&#10;" filled="f" stroked="f">
                  <v:textbox inset="0,0,0,0">
                    <w:txbxContent>
                      <w:p w14:paraId="7F486AA0" w14:textId="77777777" w:rsidR="00B32EF2" w:rsidRDefault="00000000">
                        <w:r>
                          <w:rPr>
                            <w:rFonts w:ascii="Arial" w:eastAsia="Arial" w:hAnsi="Arial" w:cs="Arial"/>
                            <w:i/>
                            <w:sz w:val="18"/>
                          </w:rPr>
                          <w:t xml:space="preserve">cata, l’ufficiale giudiziario esegue la notificazione mediante consegna di </w:t>
                        </w:r>
                      </w:p>
                    </w:txbxContent>
                  </v:textbox>
                </v:rect>
                <v:rect id="Rectangle 19156" o:spid="_x0000_s4337" style="position:absolute;left:-10909;top:27823;width:5004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5XFxAAAAN4AAAAPAAAAZHJzL2Rvd25yZXYueG1sRE9Li8Iw&#10;EL4L+x/CLHhbUxcUrUZZXGR78LI+wOPQjG21mYQm2uqvNwsL3ubje8582Zla3KjxlWUFw0ECgji3&#10;uuJCwX63/piA8AFZY22ZFNzJw3Lx1ptjqm3Lv3TbhkLEEPYpKihDcKmUPi/JoB9YRxy5k20Mhgib&#10;QuoG2xhuavmZJGNpsOLYUKKjVUn5ZXs1Co7f7LJ1K/PTY+U252xS/1z3B6X6793XDESgLrzE/+5M&#10;x/nT4WgMf+/EG+TiCQAA//8DAFBLAQItABQABgAIAAAAIQDb4fbL7gAAAIUBAAATAAAAAAAAAAAA&#10;AAAAAAAAAABbQ29udGVudF9UeXBlc10ueG1sUEsBAi0AFAAGAAgAAAAhAFr0LFu/AAAAFQEAAAsA&#10;AAAAAAAAAAAAAAAAHwEAAF9yZWxzLy5yZWxzUEsBAi0AFAAGAAgAAAAhAE/vlcXEAAAA3gAAAA8A&#10;AAAAAAAAAAAAAAAABwIAAGRycy9kb3ducmV2LnhtbFBLBQYAAAAAAwADALcAAAD4AgAAAAA=&#10;" filled="f" stroked="f">
                  <v:textbox inset="0,0,0,0">
                    <w:txbxContent>
                      <w:p w14:paraId="717F2BB9" w14:textId="77777777" w:rsidR="00B32EF2" w:rsidRDefault="00000000">
                        <w:r>
                          <w:rPr>
                            <w:rFonts w:ascii="Arial" w:eastAsia="Arial" w:hAnsi="Arial" w:cs="Arial"/>
                            <w:i/>
                            <w:sz w:val="18"/>
                          </w:rPr>
                          <w:t>una copia dell’atto su supporto cartaceo, da lui dichiarata conforme all’ori</w:t>
                        </w:r>
                      </w:p>
                    </w:txbxContent>
                  </v:textbox>
                </v:rect>
                <v:rect id="Rectangle 19157" o:spid="_x0000_s4338" style="position:absolute;left:976;top:27823;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zBexQAAAN4AAAAPAAAAZHJzL2Rvd25yZXYueG1sRE9La8JA&#10;EL4X/A/LCN7qxoJVo6uIRZpDL/UBHofsmESzs0t2NWl/fbcgeJuP7zmLVWdqcafGV5YVjIYJCOLc&#10;6ooLBYf99nUKwgdkjbVlUvBDHlbL3ssCU21b/qb7LhQihrBPUUEZgkul9HlJBv3QOuLInW1jMETY&#10;FFI32MZwU8u3JHmXBiuODSU62pSUX3c3o+D0wS7btjI//27c1yWb1p+3w1GpQb9bz0EE6sJT/HBn&#10;Os6fjcYT+H8n3iCXfwAAAP//AwBQSwECLQAUAAYACAAAACEA2+H2y+4AAACFAQAAEwAAAAAAAAAA&#10;AAAAAAAAAAAAW0NvbnRlbnRfVHlwZXNdLnhtbFBLAQItABQABgAIAAAAIQBa9CxbvwAAABUBAAAL&#10;AAAAAAAAAAAAAAAAAB8BAABfcmVscy8ucmVsc1BLAQItABQABgAIAAAAIQAgozBexQAAAN4AAAAP&#10;AAAAAAAAAAAAAAAAAAcCAABkcnMvZG93bnJldi54bWxQSwUGAAAAAAMAAwC3AAAA+QIAAAAA&#10;" filled="f" stroked="f">
                  <v:textbox inset="0,0,0,0">
                    <w:txbxContent>
                      <w:p w14:paraId="196B6084" w14:textId="77777777" w:rsidR="00B32EF2" w:rsidRDefault="00000000">
                        <w:r>
                          <w:rPr>
                            <w:rFonts w:ascii="Arial" w:eastAsia="Arial" w:hAnsi="Arial" w:cs="Arial"/>
                            <w:i/>
                            <w:sz w:val="18"/>
                          </w:rPr>
                          <w:t>-</w:t>
                        </w:r>
                      </w:p>
                    </w:txbxContent>
                  </v:textbox>
                </v:rect>
                <v:rect id="Rectangle 19158" o:spid="_x0000_s4339" style="position:absolute;left:-11899;top:26589;width:511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KQsyAAAAN4AAAAPAAAAZHJzL2Rvd25yZXYueG1sRI9Pa8JA&#10;EMXvQr/DMoXedGOhxUZXKRZpDr34p+BxyI5JNDu7ZFeT9tM7h0JvM7w37/1msRpcq27Uxcazgekk&#10;A0VcettwZeCw34xnoGJCtth6JgM/FGG1fBgtMLe+5y3ddqlSEsIxRwN1SiHXOpY1OYwTH4hFO/nO&#10;YZK1q7TtsJdw1+rnLHvVDhuWhhoDrWsqL7urM3D84FBsel2eftfh61zM2s/r4duYp8fhfQ4q0ZD+&#10;zX/XhRX8t+mL8Mo7MoNe3gEAAP//AwBQSwECLQAUAAYACAAAACEA2+H2y+4AAACFAQAAEwAAAAAA&#10;AAAAAAAAAAAAAAAAW0NvbnRlbnRfVHlwZXNdLnhtbFBLAQItABQABgAIAAAAIQBa9CxbvwAAABUB&#10;AAALAAAAAAAAAAAAAAAAAB8BAABfcmVscy8ucmVsc1BLAQItABQABgAIAAAAIQBRPKQsyAAAAN4A&#10;AAAPAAAAAAAAAAAAAAAAAAcCAABkcnMvZG93bnJldi54bWxQSwUGAAAAAAMAAwC3AAAA/AIAAAAA&#10;" filled="f" stroked="f">
                  <v:textbox inset="0,0,0,0">
                    <w:txbxContent>
                      <w:p w14:paraId="26B5D5F7" w14:textId="77777777" w:rsidR="00B32EF2" w:rsidRDefault="00000000">
                        <w:r>
                          <w:rPr>
                            <w:rFonts w:ascii="Arial" w:eastAsia="Arial" w:hAnsi="Arial" w:cs="Arial"/>
                            <w:i/>
                            <w:sz w:val="18"/>
                          </w:rPr>
                          <w:t xml:space="preserve">ginale, e conserva il documento informatico per i due anni successivi. Se </w:t>
                        </w:r>
                      </w:p>
                    </w:txbxContent>
                  </v:textbox>
                </v:rect>
                <v:rect id="Rectangle 19159" o:spid="_x0000_s4340" style="position:absolute;left:-10909;top:25356;width:50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3xAAAAN4AAAAPAAAAZHJzL2Rvd25yZXYueG1sRE9Li8Iw&#10;EL4v7H8Is+BtTRVctBplcRF72Isv8Dg0Y1ttJqGJtvrrzcKCt/n4njNbdKYWN2p8ZVnBoJ+AIM6t&#10;rrhQsN+tPscgfEDWWFsmBXfysJi/v80w1bblDd22oRAxhH2KCsoQXCqlz0sy6PvWEUfuZBuDIcKm&#10;kLrBNoabWg6T5EsarDg2lOhoWVJ+2V6NguMPu2zVyvz0WLrfczau19f9QaneR/c9BRGoCy/xvzvT&#10;cf5kMJrA3zvxBjl/AgAA//8DAFBLAQItABQABgAIAAAAIQDb4fbL7gAAAIUBAAATAAAAAAAAAAAA&#10;AAAAAAAAAABbQ29udGVudF9UeXBlc10ueG1sUEsBAi0AFAAGAAgAAAAhAFr0LFu/AAAAFQEAAAsA&#10;AAAAAAAAAAAAAAAAHwEAAF9yZWxzLy5yZWxzUEsBAi0AFAAGAAgAAAAhAD5wAbfEAAAA3gAAAA8A&#10;AAAAAAAAAAAAAAAABwIAAGRycy9kb3ducmV2LnhtbFBLBQYAAAAAAwADALcAAAD4AgAAAAA=&#10;" filled="f" stroked="f">
                  <v:textbox inset="0,0,0,0">
                    <w:txbxContent>
                      <w:p w14:paraId="7052A160" w14:textId="77777777" w:rsidR="00B32EF2" w:rsidRDefault="00000000">
                        <w:r>
                          <w:rPr>
                            <w:rFonts w:ascii="Arial" w:eastAsia="Arial" w:hAnsi="Arial" w:cs="Arial"/>
                            <w:i/>
                            <w:sz w:val="18"/>
                          </w:rPr>
                          <w:t>richiesto, l’ufficiale giudiziario invia l’atto notificato anche attraverso stru</w:t>
                        </w:r>
                      </w:p>
                    </w:txbxContent>
                  </v:textbox>
                </v:rect>
                <v:rect id="Rectangle 19160" o:spid="_x0000_s4341" style="position:absolute;left:976;top:2535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KXxwAAAN4AAAAPAAAAZHJzL2Rvd25yZXYueG1sRI9Bb8Iw&#10;DIXvk/YfIiPtNlJ2QKwjIMSE1sMuMJB2tBrTFhonagLt9uvxAYmbLT+/9775cnCtulIXG88GJuMM&#10;FHHpbcOVgf3P5nUGKiZki61nMvBHEZaL56c55tb3vKXrLlVKTDjmaKBOKeRax7Imh3HsA7Hcjr5z&#10;mGTtKm077MXctfoty6baYcOSUGOgdU3leXdxBn4/ORSbXpfH/3X4PhWz9uuyPxjzMhpWH6ASDekh&#10;vn8XVuq/T6YCIDgyg17cAAAA//8DAFBLAQItABQABgAIAAAAIQDb4fbL7gAAAIUBAAATAAAAAAAA&#10;AAAAAAAAAAAAAABbQ29udGVudF9UeXBlc10ueG1sUEsBAi0AFAAGAAgAAAAhAFr0LFu/AAAAFQEA&#10;AAsAAAAAAAAAAAAAAAAAHwEAAF9yZWxzLy5yZWxzUEsBAi0AFAAGAAgAAAAhAGEmYpfHAAAA3gAA&#10;AA8AAAAAAAAAAAAAAAAABwIAAGRycy9kb3ducmV2LnhtbFBLBQYAAAAAAwADALcAAAD7AgAAAAA=&#10;" filled="f" stroked="f">
                  <v:textbox inset="0,0,0,0">
                    <w:txbxContent>
                      <w:p w14:paraId="50C38704" w14:textId="77777777" w:rsidR="00B32EF2" w:rsidRDefault="00000000">
                        <w:r>
                          <w:rPr>
                            <w:rFonts w:ascii="Arial" w:eastAsia="Arial" w:hAnsi="Arial" w:cs="Arial"/>
                            <w:i/>
                            <w:sz w:val="18"/>
                          </w:rPr>
                          <w:t>-</w:t>
                        </w:r>
                      </w:p>
                    </w:txbxContent>
                  </v:textbox>
                </v:rect>
                <v:rect id="Rectangle 19161" o:spid="_x0000_s4342" style="position:absolute;left:-11890;top:24123;width:510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cMxQAAAN4AAAAPAAAAZHJzL2Rvd25yZXYueG1sRE9La8JA&#10;EL4X/A/LCL3VTTyITd2IKNIceqmN4HHITh41O7tkV5P213cLhd7m43vOZjuZXtxp8J1lBekiAUFc&#10;Wd1xo6D8OD6tQfiArLG3TAq+yMM2nz1sMNN25He6n0IjYgj7DBW0IbhMSl+1ZNAvrCOOXG0HgyHC&#10;oZF6wDGGm14uk2QlDXYcG1p0tG+pup5uRsHlwK44jrKqv/fu7bNY96+38qzU43zavYAINIV/8Z+7&#10;0HH+c7pK4fedeIPMfwAAAP//AwBQSwECLQAUAAYACAAAACEA2+H2y+4AAACFAQAAEwAAAAAAAAAA&#10;AAAAAAAAAAAAW0NvbnRlbnRfVHlwZXNdLnhtbFBLAQItABQABgAIAAAAIQBa9CxbvwAAABUBAAAL&#10;AAAAAAAAAAAAAAAAAB8BAABfcmVscy8ucmVsc1BLAQItABQABgAIAAAAIQAOascMxQAAAN4AAAAP&#10;AAAAAAAAAAAAAAAAAAcCAABkcnMvZG93bnJldi54bWxQSwUGAAAAAAMAAwC3AAAA+QIAAAAA&#10;" filled="f" stroked="f">
                  <v:textbox inset="0,0,0,0">
                    <w:txbxContent>
                      <w:p w14:paraId="6C146B37" w14:textId="77777777" w:rsidR="00B32EF2" w:rsidRDefault="00000000">
                        <w:r>
                          <w:rPr>
                            <w:rFonts w:ascii="Arial" w:eastAsia="Arial" w:hAnsi="Arial" w:cs="Arial"/>
                            <w:i/>
                            <w:sz w:val="18"/>
                          </w:rPr>
                          <w:t xml:space="preserve">menti telematici all’indirizzo di posta elettronica dichiarato dal destinatario </w:t>
                        </w:r>
                      </w:p>
                    </w:txbxContent>
                  </v:textbox>
                </v:rect>
                <v:rect id="Rectangle 19162" o:spid="_x0000_s4343" style="position:absolute;left:-11871;top:22889;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7wwAAAN4AAAAPAAAAZHJzL2Rvd25yZXYueG1sRE9Ni8Iw&#10;EL0v+B/CCHtbUz2IW40iimwPXnQVPA7N2FabSWiirfvrN4LgbR7vc2aLztTiTo2vLCsYDhIQxLnV&#10;FRcKDr+brwkIH5A11pZJwYM8LOa9jxmm2ra8o/s+FCKGsE9RQRmCS6X0eUkG/cA64sidbWMwRNgU&#10;UjfYxnBTy1GSjKXBimNDiY5WJeXX/c0oOK3ZZZtW5ue/ldteskn9czsclfrsd8spiEBdeItf7kzH&#10;+d/D8Qie78Qb5PwfAAD//wMAUEsBAi0AFAAGAAgAAAAhANvh9svuAAAAhQEAABMAAAAAAAAAAAAA&#10;AAAAAAAAAFtDb250ZW50X1R5cGVzXS54bWxQSwECLQAUAAYACAAAACEAWvQsW78AAAAVAQAACwAA&#10;AAAAAAAAAAAAAAAfAQAAX3JlbHMvLnJlbHNQSwECLQAUAAYACAAAACEA/rhZe8MAAADeAAAADwAA&#10;AAAAAAAAAAAAAAAHAgAAZHJzL2Rvd25yZXYueG1sUEsFBgAAAAADAAMAtwAAAPcCAAAAAA==&#10;" filled="f" stroked="f">
                  <v:textbox inset="0,0,0,0">
                    <w:txbxContent>
                      <w:p w14:paraId="5CA4AA37" w14:textId="77777777" w:rsidR="00B32EF2" w:rsidRDefault="00000000">
                        <w:r>
                          <w:rPr>
                            <w:rFonts w:ascii="Arial" w:eastAsia="Arial" w:hAnsi="Arial" w:cs="Arial"/>
                            <w:i/>
                            <w:sz w:val="18"/>
                          </w:rPr>
                          <w:t xml:space="preserve">della notifica o dal suo procuratore, ovvero consegna ai medesimi, previa </w:t>
                        </w:r>
                      </w:p>
                    </w:txbxContent>
                  </v:textbox>
                </v:rect>
                <v:rect id="Rectangle 19163" o:spid="_x0000_s4344" style="position:absolute;left:-11871;top:21656;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PzgxAAAAN4AAAAPAAAAZHJzL2Rvd25yZXYueG1sRE9Li8Iw&#10;EL4L+x/CLHhbU1cQrUZZXGR78LI+wOPQjG21mYQm2uqvNwsL3ubje8582Zla3KjxlWUFw0ECgji3&#10;uuJCwX63/piA8AFZY22ZFNzJw3Lx1ptjqm3Lv3TbhkLEEPYpKihDcKmUPi/JoB9YRxy5k20Mhgib&#10;QuoG2xhuavmZJGNpsOLYUKKjVUn5ZXs1Co7f7LJ1K/PTY+U252xS/1z3B6X6793XDESgLrzE/+5M&#10;x/nT4XgEf+/EG+TiCQAA//8DAFBLAQItABQABgAIAAAAIQDb4fbL7gAAAIUBAAATAAAAAAAAAAAA&#10;AAAAAAAAAABbQ29udGVudF9UeXBlc10ueG1sUEsBAi0AFAAGAAgAAAAhAFr0LFu/AAAAFQEAAAsA&#10;AAAAAAAAAAAAAAAAHwEAAF9yZWxzLy5yZWxzUEsBAi0AFAAGAAgAAAAhAJH0/ODEAAAA3gAAAA8A&#10;AAAAAAAAAAAAAAAABwIAAGRycy9kb3ducmV2LnhtbFBLBQYAAAAAAwADALcAAAD4AgAAAAA=&#10;" filled="f" stroked="f">
                  <v:textbox inset="0,0,0,0">
                    <w:txbxContent>
                      <w:p w14:paraId="3CC54884" w14:textId="77777777" w:rsidR="00B32EF2" w:rsidRDefault="00000000">
                        <w:r>
                          <w:rPr>
                            <w:rFonts w:ascii="Arial" w:eastAsia="Arial" w:hAnsi="Arial" w:cs="Arial"/>
                            <w:i/>
                            <w:sz w:val="18"/>
                          </w:rPr>
                          <w:t xml:space="preserve">esazione dei relativi diritti, copia dell’atto notificato, su supporto informatico </w:t>
                        </w:r>
                      </w:p>
                    </w:txbxContent>
                  </v:textbox>
                </v:rect>
                <v:rect id="Rectangle 19164" o:spid="_x0000_s4345" style="position:absolute;left:28456;top:20423;width:106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WSUxAAAAN4AAAAPAAAAZHJzL2Rvd25yZXYueG1sRE9Li8Iw&#10;EL4L+x/CLHhbUxcRrUZZXGR78LI+wOPQjG21mYQm2uqvNwsL3ubje8582Zla3KjxlWUFw0ECgji3&#10;uuJCwX63/piA8AFZY22ZFNzJw3Lx1ptjqm3Lv3TbhkLEEPYpKihDcKmUPi/JoB9YRxy5k20Mhgib&#10;QuoG2xhuavmZJGNpsOLYUKKjVUn5ZXs1Co7f7LJ1K/PTY+U252xS/1z3B6X6793XDESgLrzE/+5M&#10;x/nT4XgEf+/EG+TiCQAA//8DAFBLAQItABQABgAIAAAAIQDb4fbL7gAAAIUBAAATAAAAAAAAAAAA&#10;AAAAAAAAAABbQ29udGVudF9UeXBlc10ueG1sUEsBAi0AFAAGAAgAAAAhAFr0LFu/AAAAFQEAAAsA&#10;AAAAAAAAAAAAAAAAHwEAAF9yZWxzLy5yZWxzUEsBAi0AFAAGAAgAAAAhAB4dZJTEAAAA3gAAAA8A&#10;AAAAAAAAAAAAAAAABwIAAGRycy9kb3ducmV2LnhtbFBLBQYAAAAAAwADALcAAAD4AgAAAAA=&#10;" filled="f" stroked="f">
                  <v:textbox inset="0,0,0,0">
                    <w:txbxContent>
                      <w:p w14:paraId="619D7211" w14:textId="77777777" w:rsidR="00B32EF2" w:rsidRDefault="00000000">
                        <w:r>
                          <w:rPr>
                            <w:rFonts w:ascii="Arial" w:eastAsia="Arial" w:hAnsi="Arial" w:cs="Arial"/>
                            <w:i/>
                            <w:sz w:val="18"/>
                          </w:rPr>
                          <w:t>non riscrivibile .</w:t>
                        </w:r>
                      </w:p>
                    </w:txbxContent>
                  </v:textbox>
                </v:rect>
                <v:rect id="Rectangle 201274" o:spid="_x0000_s4346" style="position:absolute;left:-11560;top:19190;width:5005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CFRyAAAAN8AAAAPAAAAZHJzL2Rvd25yZXYueG1sRI9Pa8JA&#10;FMTvgt9heYI33RiKldRVRJHm0Ev9Az0+ss8kbfbtkl1N7Kd3CwWPw8z8hlmue9OIG7W+tqxgNk1A&#10;EBdW11wqOB33kwUIH5A1NpZJwZ08rFfDwRIzbTv+pNshlCJC2GeooArBZVL6oiKDfmodcfQutjUY&#10;omxLqVvsItw0Mk2SuTRYc1yo0NG2ouLncDUKvnbs8n0ni8vv1n1854vm/Xo6KzUe9Zs3EIH68Az/&#10;t3OtIE1m6esL/P2JX0CuHgAAAP//AwBQSwECLQAUAAYACAAAACEA2+H2y+4AAACFAQAAEwAAAAAA&#10;AAAAAAAAAAAAAAAAW0NvbnRlbnRfVHlwZXNdLnhtbFBLAQItABQABgAIAAAAIQBa9CxbvwAAABUB&#10;AAALAAAAAAAAAAAAAAAAAB8BAABfcmVscy8ucmVsc1BLAQItABQABgAIAAAAIQA9TCFRyAAAAN8A&#10;AAAPAAAAAAAAAAAAAAAAAAcCAABkcnMvZG93bnJldi54bWxQSwUGAAAAAAMAAwC3AAAA/AIAAAAA&#10;" filled="f" stroked="f">
                  <v:textbox inset="0,0,0,0">
                    <w:txbxContent>
                      <w:p w14:paraId="2880BBE7" w14:textId="77777777" w:rsidR="00B32EF2" w:rsidRDefault="00000000">
                        <w:r>
                          <w:rPr>
                            <w:rFonts w:ascii="Arial" w:eastAsia="Arial" w:hAnsi="Arial" w:cs="Arial"/>
                            <w:i/>
                            <w:sz w:val="18"/>
                          </w:rPr>
                          <w:t>. Se la notificazione non può essere eseguita in mani proprie del destina</w:t>
                        </w:r>
                      </w:p>
                    </w:txbxContent>
                  </v:textbox>
                </v:rect>
                <v:rect id="Rectangle 201273" o:spid="_x0000_s4347" style="position:absolute;left:26080;top:19190;width:5005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bklyAAAAN8AAAAPAAAAZHJzL2Rvd25yZXYueG1sRI9Pa8JA&#10;FMTvgt9heYI33ZiCldRVRJHm0Ev9Az0+ss8kbfbtkl1N7Kd3CwWPw8z8hlmue9OIG7W+tqxgNk1A&#10;EBdW11wqOB33kwUIH5A1NpZJwZ08rFfDwRIzbTv+pNshlCJC2GeooArBZVL6oiKDfmodcfQutjUY&#10;omxLqVvsItw0Mk2SuTRYc1yo0NG2ouLncDUKvnbs8n0ni8vv1n1854vm/Xo6KzUe9Zs3EIH68Az/&#10;t3OtIE1m6esL/P2JX0CuHgAAAP//AwBQSwECLQAUAAYACAAAACEA2+H2y+4AAACFAQAAEwAAAAAA&#10;AAAAAAAAAAAAAAAAW0NvbnRlbnRfVHlwZXNdLnhtbFBLAQItABQABgAIAAAAIQBa9CxbvwAAABUB&#10;AAALAAAAAAAAAAAAAAAAAB8BAABfcmVscy8ucmVsc1BLAQItABQABgAIAAAAIQCypbklyAAAAN8A&#10;AAAPAAAAAAAAAAAAAAAAAAcCAABkcnMvZG93bnJldi54bWxQSwUGAAAAAAMAAwC3AAAA/AIAAAAA&#10;" filled="f" stroked="f">
                  <v:textbox inset="0,0,0,0">
                    <w:txbxContent>
                      <w:p w14:paraId="61178A76" w14:textId="77777777" w:rsidR="00B32EF2" w:rsidRDefault="00000000">
                        <w:r>
                          <w:rPr>
                            <w:rFonts w:ascii="Arial" w:eastAsia="Arial" w:hAnsi="Arial" w:cs="Arial"/>
                            <w:i/>
                            <w:sz w:val="18"/>
                          </w:rPr>
                          <w:t>4</w:t>
                        </w:r>
                      </w:p>
                    </w:txbxContent>
                  </v:textbox>
                </v:rect>
                <v:rect id="Rectangle 19166" o:spid="_x0000_s4348" style="position:absolute;left:976;top:1919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194xAAAAN4AAAAPAAAAZHJzL2Rvd25yZXYueG1sRE9Ni8Iw&#10;EL0v+B/CCHtbUz0UrUYRRbYHL6su7HFoxrbaTEITbd1fv1kQvM3jfc5i1ZtG3Kn1tWUF41ECgriw&#10;uuZSwem4+5iC8AFZY2OZFDzIw2o5eFtgpm3HX3Q/hFLEEPYZKqhCcJmUvqjIoB9ZRxy5s20Nhgjb&#10;UuoWuxhuGjlJklQarDk2VOhoU1FxPdyMgp8tu3zXyeL8u3H7Sz5tPm+nb6Xeh/16DiJQH17ipzvX&#10;cf5snKbw/068QS7/AAAA//8DAFBLAQItABQABgAIAAAAIQDb4fbL7gAAAIUBAAATAAAAAAAAAAAA&#10;AAAAAAAAAABbQ29udGVudF9UeXBlc10ueG1sUEsBAi0AFAAGAAgAAAAhAFr0LFu/AAAAFQEAAAsA&#10;AAAAAAAAAAAAAAAAHwEAAF9yZWxzLy5yZWxzUEsBAi0AFAAGAAgAAAAhAIGDX3jEAAAA3gAAAA8A&#10;AAAAAAAAAAAAAAAABwIAAGRycy9kb3ducmV2LnhtbFBLBQYAAAAAAwADALcAAAD4AgAAAAA=&#10;" filled="f" stroked="f">
                  <v:textbox inset="0,0,0,0">
                    <w:txbxContent>
                      <w:p w14:paraId="10E0A703" w14:textId="77777777" w:rsidR="00B32EF2" w:rsidRDefault="00000000">
                        <w:r>
                          <w:rPr>
                            <w:rFonts w:ascii="Arial" w:eastAsia="Arial" w:hAnsi="Arial" w:cs="Arial"/>
                            <w:i/>
                            <w:sz w:val="18"/>
                          </w:rPr>
                          <w:t>-</w:t>
                        </w:r>
                      </w:p>
                    </w:txbxContent>
                  </v:textbox>
                </v:rect>
                <v:rect id="Rectangle 19167" o:spid="_x0000_s4349" style="position:absolute;left:-11917;top:17956;width:511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jxAAAAN4AAAAPAAAAZHJzL2Rvd25yZXYueG1sRE9Li8Iw&#10;EL4v7H8II3jT1D242jWKuMj24MUX7HFoxrbaTEITbfXXbwRhb/PxPWe26EwtbtT4yrKC0TABQZxb&#10;XXGh4LBfDyYgfEDWWFsmBXfysJi/v80w1bblLd12oRAxhH2KCsoQXCqlz0sy6IfWEUfuZBuDIcKm&#10;kLrBNoabWn4kyVgarDg2lOhoVVJ+2V2Ngt9vdtm6lfnpsXKbczapf66Ho1L9Xrf8AhGoC//ilzvT&#10;cf50NP6E5zvxBjn/AwAA//8DAFBLAQItABQABgAIAAAAIQDb4fbL7gAAAIUBAAATAAAAAAAAAAAA&#10;AAAAAAAAAABbQ29udGVudF9UeXBlc10ueG1sUEsBAi0AFAAGAAgAAAAhAFr0LFu/AAAAFQEAAAsA&#10;AAAAAAAAAAAAAAAAHwEAAF9yZWxzLy5yZWxzUEsBAi0AFAAGAAgAAAAhAO7P+uPEAAAA3gAAAA8A&#10;AAAAAAAAAAAAAAAABwIAAGRycy9kb3ducmV2LnhtbFBLBQYAAAAAAwADALcAAAD4AgAAAAA=&#10;" filled="f" stroked="f">
                  <v:textbox inset="0,0,0,0">
                    <w:txbxContent>
                      <w:p w14:paraId="1B1E0C9A" w14:textId="77777777" w:rsidR="00B32EF2" w:rsidRDefault="00000000">
                        <w:r>
                          <w:rPr>
                            <w:rFonts w:ascii="Arial" w:eastAsia="Arial" w:hAnsi="Arial" w:cs="Arial"/>
                            <w:i/>
                            <w:sz w:val="18"/>
                          </w:rPr>
                          <w:t xml:space="preserve">tario, tranne che nel caso previsto dal secondo comma dell’articolo 143, </w:t>
                        </w:r>
                      </w:p>
                    </w:txbxContent>
                  </v:textbox>
                </v:rect>
                <v:rect id="Rectangle 19168" o:spid="_x0000_s4350" style="position:absolute;left:-11871;top:16723;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G6RxwAAAN4AAAAPAAAAZHJzL2Rvd25yZXYueG1sRI9Bb8Iw&#10;DIXvk/YfIiPtNlJ2QKwjIMSE1sMuMJB2tBrTFhonagLt9uvxAYmbrff83uf5cnCtulIXG88GJuMM&#10;FHHpbcOVgf3P5nUGKiZki61nMvBHEZaL56c55tb3vKXrLlVKQjjmaKBOKeRax7Imh3HsA7FoR985&#10;TLJ2lbYd9hLuWv2WZVPtsGFpqDHQuqbyvLs4A7+fHIpNr8vj/zp8n4pZ+3XZH4x5GQ2rD1CJhvQw&#10;368LK/jvk6nwyjsyg17cAAAA//8DAFBLAQItABQABgAIAAAAIQDb4fbL7gAAAIUBAAATAAAAAAAA&#10;AAAAAAAAAAAAAABbQ29udGVudF9UeXBlc10ueG1sUEsBAi0AFAAGAAgAAAAhAFr0LFu/AAAAFQEA&#10;AAsAAAAAAAAAAAAAAAAAHwEAAF9yZWxzLy5yZWxzUEsBAi0AFAAGAAgAAAAhAJ9QbpHHAAAA3gAA&#10;AA8AAAAAAAAAAAAAAAAABwIAAGRycy9kb3ducmV2LnhtbFBLBQYAAAAAAwADALcAAAD7AgAAAAA=&#10;" filled="f" stroked="f">
                  <v:textbox inset="0,0,0,0">
                    <w:txbxContent>
                      <w:p w14:paraId="38D10197" w14:textId="77777777" w:rsidR="00B32EF2" w:rsidRDefault="00000000">
                        <w:r>
                          <w:rPr>
                            <w:rFonts w:ascii="Arial" w:eastAsia="Arial" w:hAnsi="Arial" w:cs="Arial"/>
                            <w:i/>
                            <w:sz w:val="18"/>
                          </w:rPr>
                          <w:t xml:space="preserve">l’ufficiale giudiziario consegna o deposita la copia dell’atto da notificare in </w:t>
                        </w:r>
                      </w:p>
                    </w:txbxContent>
                  </v:textbox>
                </v:rect>
                <v:rect id="Rectangle 19169" o:spid="_x0000_s4351" style="position:absolute;left:-11866;top:15490;width:509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sKwwAAAN4AAAAPAAAAZHJzL2Rvd25yZXYueG1sRE9Li8Iw&#10;EL4v+B/CCHtbU/cgWo0iimwPe/EFHodmbKvNJDTRdvfXG0HwNh/fc2aLztTiTo2vLCsYDhIQxLnV&#10;FRcKDvvN1xiED8gaa8uk4I88LOa9jxmm2ra8pfsuFCKGsE9RQRmCS6X0eUkG/cA64sidbWMwRNgU&#10;UjfYxnBTy+8kGUmDFceGEh2tSsqvu5tRcFqzyzatzM//K/d7ycb1z+1wVOqz3y2nIAJ14S1+uTMd&#10;50+Gowk834k3yPkDAAD//wMAUEsBAi0AFAAGAAgAAAAhANvh9svuAAAAhQEAABMAAAAAAAAAAAAA&#10;AAAAAAAAAFtDb250ZW50X1R5cGVzXS54bWxQSwECLQAUAAYACAAAACEAWvQsW78AAAAVAQAACwAA&#10;AAAAAAAAAAAAAAAfAQAAX3JlbHMvLnJlbHNQSwECLQAUAAYACAAAACEA8BzLCsMAAADeAAAADwAA&#10;AAAAAAAAAAAAAAAHAgAAZHJzL2Rvd25yZXYueG1sUEsFBgAAAAADAAMAtwAAAPcCAAAAAA==&#10;" filled="f" stroked="f">
                  <v:textbox inset="0,0,0,0">
                    <w:txbxContent>
                      <w:p w14:paraId="6345A19C" w14:textId="77777777" w:rsidR="00B32EF2" w:rsidRDefault="00000000">
                        <w:r>
                          <w:rPr>
                            <w:rFonts w:ascii="Arial" w:eastAsia="Arial" w:hAnsi="Arial" w:cs="Arial"/>
                            <w:i/>
                            <w:sz w:val="18"/>
                          </w:rPr>
                          <w:t xml:space="preserve">busta che provvede a sigillare e su cui trascrive il numero cronologico della </w:t>
                        </w:r>
                      </w:p>
                    </w:txbxContent>
                  </v:textbox>
                </v:rect>
                <v:rect id="Rectangle 19170" o:spid="_x0000_s4352" style="position:absolute;left:-11870;top:14256;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KyAAAAN4AAAAPAAAAZHJzL2Rvd25yZXYueG1sRI9Pb8Iw&#10;DMXvSPsOkSftBik7bKwQ0MSE1sMu/JnE0WpMW2icqAm026fHh0m72fLze++3WA2uVTfqYuPZwHSS&#10;gSIuvW24MnDYb8YzUDEhW2w9k4EfirBaPowWmFvf85Zuu1QpMeGYo4E6pZBrHcuaHMaJD8RyO/nO&#10;YZK1q7TtsBdz1+rnLHvRDhuWhBoDrWsqL7urM3D84FBsel2eftfh61zM2s/r4duYp8fhfQ4q0ZD+&#10;xX/fhZX6b9NXARAcmUEv7wAAAP//AwBQSwECLQAUAAYACAAAACEA2+H2y+4AAACFAQAAEwAAAAAA&#10;AAAAAAAAAAAAAAAAW0NvbnRlbnRfVHlwZXNdLnhtbFBLAQItABQABgAIAAAAIQBa9CxbvwAAABUB&#10;AAALAAAAAAAAAAAAAAAAAB8BAABfcmVscy8ucmVsc1BLAQItABQABgAIAAAAIQDk//RKyAAAAN4A&#10;AAAPAAAAAAAAAAAAAAAAAAcCAABkcnMvZG93bnJldi54bWxQSwUGAAAAAAMAAwC3AAAA/AIAAAAA&#10;" filled="f" stroked="f">
                  <v:textbox inset="0,0,0,0">
                    <w:txbxContent>
                      <w:p w14:paraId="55647519" w14:textId="77777777" w:rsidR="00B32EF2" w:rsidRDefault="00000000">
                        <w:r>
                          <w:rPr>
                            <w:rFonts w:ascii="Arial" w:eastAsia="Arial" w:hAnsi="Arial" w:cs="Arial"/>
                            <w:i/>
                            <w:sz w:val="18"/>
                          </w:rPr>
                          <w:t xml:space="preserve">notificazione, dandone atto nella relazione in calce all’originale e alla copia </w:t>
                        </w:r>
                      </w:p>
                    </w:txbxContent>
                  </v:textbox>
                </v:rect>
                <v:rect id="Rectangle 19171" o:spid="_x0000_s4353" style="position:absolute;left:-11891;top:13023;width:510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1HRxAAAAN4AAAAPAAAAZHJzL2Rvd25yZXYueG1sRE9Na8JA&#10;EL0X/A/LCL3VTTy0NrqKKNIcvGgVPA7ZMYlmZ5fsalJ/fVco9DaP9zmzRW8acafW15YVpKMEBHFh&#10;dc2lgsP35m0CwgdkjY1lUvBDHhbzwcsMM2073tF9H0oRQ9hnqKAKwWVS+qIig35kHXHkzrY1GCJs&#10;S6lb7GK4aeQ4Sd6lwZpjQ4WOVhUV1/3NKDit2eWbThbnx8ptL/mk+bodjkq9DvvlFESgPvyL/9y5&#10;jvM/048Unu/EG+T8FwAA//8DAFBLAQItABQABgAIAAAAIQDb4fbL7gAAAIUBAAATAAAAAAAAAAAA&#10;AAAAAAAAAABbQ29udGVudF9UeXBlc10ueG1sUEsBAi0AFAAGAAgAAAAhAFr0LFu/AAAAFQEAAAsA&#10;AAAAAAAAAAAAAAAAHwEAAF9yZWxzLy5yZWxzUEsBAi0AFAAGAAgAAAAhAIuzUdHEAAAA3gAAAA8A&#10;AAAAAAAAAAAAAAAABwIAAGRycy9kb3ducmV2LnhtbFBLBQYAAAAAAwADALcAAAD4AgAAAAA=&#10;" filled="f" stroked="f">
                  <v:textbox inset="0,0,0,0">
                    <w:txbxContent>
                      <w:p w14:paraId="6AF3AE3E" w14:textId="77777777" w:rsidR="00B32EF2" w:rsidRDefault="00000000">
                        <w:r>
                          <w:rPr>
                            <w:rFonts w:ascii="Arial" w:eastAsia="Arial" w:hAnsi="Arial" w:cs="Arial"/>
                            <w:i/>
                            <w:sz w:val="18"/>
                          </w:rPr>
                          <w:t xml:space="preserve">dell’atto stesso. Sulla busta non sono apposti segni o indicazioni dai quali </w:t>
                        </w:r>
                      </w:p>
                    </w:txbxContent>
                  </v:textbox>
                </v:rect>
                <v:rect id="Rectangle 19172" o:spid="_x0000_s4354" style="position:absolute;left:12633;top:11790;width:265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c+mxAAAAN4AAAAPAAAAZHJzL2Rvd25yZXYueG1sRE9Li8Iw&#10;EL4L+x/CLHhbUz2sWo2yuMj24GV9gMehGdtqMwlNtNVfbxYWvM3H95z5sjO1uFHjK8sKhoMEBHFu&#10;dcWFgv1u/TEB4QOyxtoyKbiTh+XirTfHVNuWf+m2DYWIIexTVFCG4FIpfV6SQT+wjjhyJ9sYDBE2&#10;hdQNtjHc1HKUJJ/SYMWxoURHq5Lyy/ZqFBy/2WXrVuanx8ptztmk/rnuD0r137uvGYhAXXiJ/92Z&#10;jvOnw/EI/t6JN8jFEwAA//8DAFBLAQItABQABgAIAAAAIQDb4fbL7gAAAIUBAAATAAAAAAAAAAAA&#10;AAAAAAAAAABbQ29udGVudF9UeXBlc10ueG1sUEsBAi0AFAAGAAgAAAAhAFr0LFu/AAAAFQEAAAsA&#10;AAAAAAAAAAAAAAAAHwEAAF9yZWxzLy5yZWxzUEsBAi0AFAAGAAgAAAAhAHthz6bEAAAA3gAAAA8A&#10;AAAAAAAAAAAAAAAABwIAAGRycy9kb3ducmV2LnhtbFBLBQYAAAAAAwADALcAAAD4AgAAAAA=&#10;" filled="f" stroked="f">
                  <v:textbox inset="0,0,0,0">
                    <w:txbxContent>
                      <w:p w14:paraId="7329DB59" w14:textId="77777777" w:rsidR="00B32EF2" w:rsidRDefault="00000000">
                        <w:r>
                          <w:rPr>
                            <w:rFonts w:ascii="Arial" w:eastAsia="Arial" w:hAnsi="Arial" w:cs="Arial"/>
                            <w:i/>
                            <w:sz w:val="18"/>
                          </w:rPr>
                          <w:t>possa desumersi il contenuto dell’atto .</w:t>
                        </w:r>
                      </w:p>
                    </w:txbxContent>
                  </v:textbox>
                </v:rect>
                <v:rect id="Rectangle 201271" o:spid="_x0000_s4355" style="position:absolute;left:26082;top:10556;width:50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4LJxwAAAN8AAAAPAAAAZHJzL2Rvd25yZXYueG1sRI9Ba8JA&#10;FITvQv/D8gredJMcVFJXEUXMwYvWQo+P7DNJzb5dsquJ/fXdQqHHYWa+YZbrwbTiQZ1vLCtIpwkI&#10;4tLqhisFl/f9ZAHCB2SNrWVS8CQP69XLaIm5tj2f6HEOlYgQ9jkqqENwuZS+rMmgn1pHHL2r7QyG&#10;KLtK6g77CDetzJJkJg02HBdqdLStqbyd70bB545dse9lef3euuNXsWgP98uHUuPXYfMGItAQ/sN/&#10;7UIryJI0m6fw+yd+Abn6AQAA//8DAFBLAQItABQABgAIAAAAIQDb4fbL7gAAAIUBAAATAAAAAAAA&#10;AAAAAAAAAAAAAABbQ29udGVudF9UeXBlc10ueG1sUEsBAi0AFAAGAAgAAAAhAFr0LFu/AAAAFQEA&#10;AAsAAAAAAAAAAAAAAAAAHwEAAF9yZWxzLy5yZWxzUEsBAi0AFAAGAAgAAAAhAC07gsnHAAAA3wAA&#10;AA8AAAAAAAAAAAAAAAAABwIAAGRycy9kb3ducmV2LnhtbFBLBQYAAAAAAwADALcAAAD7AgAAAAA=&#10;" filled="f" stroked="f">
                  <v:textbox inset="0,0,0,0">
                    <w:txbxContent>
                      <w:p w14:paraId="11D7C38E" w14:textId="77777777" w:rsidR="00B32EF2" w:rsidRDefault="00000000">
                        <w:r>
                          <w:rPr>
                            <w:rFonts w:ascii="Arial" w:eastAsia="Arial" w:hAnsi="Arial" w:cs="Arial"/>
                            <w:i/>
                            <w:sz w:val="18"/>
                          </w:rPr>
                          <w:t>5</w:t>
                        </w:r>
                      </w:p>
                    </w:txbxContent>
                  </v:textbox>
                </v:rect>
                <v:rect id="Rectangle 201272" o:spid="_x0000_s4356" style="position:absolute;left:-11577;top:10556;width:50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Ry+xwAAAN8AAAAPAAAAZHJzL2Rvd25yZXYueG1sRI9Ba8JA&#10;FITvgv9heYI33ZiDlegqoog5eKm10OMj+0yi2bdLdjWxv75bKPQ4zMw3zGrTm0Y8qfW1ZQWzaQKC&#10;uLC65lLB5eMwWYDwAVljY5kUvMjDZj0crDDTtuN3ep5DKSKEfYYKqhBcJqUvKjLop9YRR+9qW4Mh&#10;yraUusUuwk0j0ySZS4M1x4UKHe0qKu7nh1HwtWeXHzpZXL937nTLF83xcflUajzqt0sQgfrwH/5r&#10;51pBmszStxR+/8QvINc/AAAA//8DAFBLAQItABQABgAIAAAAIQDb4fbL7gAAAIUBAAATAAAAAAAA&#10;AAAAAAAAAAAAAABbQ29udGVudF9UeXBlc10ueG1sUEsBAi0AFAAGAAgAAAAhAFr0LFu/AAAAFQEA&#10;AAsAAAAAAAAAAAAAAAAAHwEAAF9yZWxzLy5yZWxzUEsBAi0AFAAGAAgAAAAhAN3pHL7HAAAA3wAA&#10;AA8AAAAAAAAAAAAAAAAABwIAAGRycy9kb3ducmV2LnhtbFBLBQYAAAAAAwADALcAAAD7AgAAAAA=&#10;" filled="f" stroked="f">
                  <v:textbox inset="0,0,0,0">
                    <w:txbxContent>
                      <w:p w14:paraId="4C841BEC" w14:textId="77777777" w:rsidR="00B32EF2" w:rsidRDefault="00000000">
                        <w:r>
                          <w:rPr>
                            <w:rFonts w:ascii="Arial" w:eastAsia="Arial" w:hAnsi="Arial" w:cs="Arial"/>
                            <w:i/>
                            <w:sz w:val="18"/>
                          </w:rPr>
                          <w:t>. Le disposizioni di cui al quarto comma si applicano anche alle comunica</w:t>
                        </w:r>
                      </w:p>
                    </w:txbxContent>
                  </v:textbox>
                </v:rect>
                <v:rect id="Rectangle 19174" o:spid="_x0000_s4357" style="position:absolute;left:976;top:1055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PJJxQAAAN4AAAAPAAAAZHJzL2Rvd25yZXYueG1sRE9La8JA&#10;EL4X/A/LCN7qxiJVo6uIRZpDL/UBHofsmESzs0t2NWl/fbcgeJuP7zmLVWdqcafGV5YVjIYJCOLc&#10;6ooLBYf99nUKwgdkjbVlUvBDHlbL3ssCU21b/qb7LhQihrBPUUEZgkul9HlJBv3QOuLInW1jMETY&#10;FFI32MZwU8u3JHmXBiuODSU62pSUX3c3o+D0wS7btjI//27c1yWb1p+3w1GpQb9bz0EE6sJT/HBn&#10;Os6fjSZj+H8n3iCXfwAAAP//AwBQSwECLQAUAAYACAAAACEA2+H2y+4AAACFAQAAEwAAAAAAAAAA&#10;AAAAAAAAAAAAW0NvbnRlbnRfVHlwZXNdLnhtbFBLAQItABQABgAIAAAAIQBa9CxbvwAAABUBAAAL&#10;AAAAAAAAAAAAAAAAAB8BAABfcmVscy8ucmVsc1BLAQItABQABgAIAAAAIQCbxPJJxQAAAN4AAAAP&#10;AAAAAAAAAAAAAAAAAAcCAABkcnMvZG93bnJldi54bWxQSwUGAAAAAAMAAwC3AAAA+QIAAAAA&#10;" filled="f" stroked="f">
                  <v:textbox inset="0,0,0,0">
                    <w:txbxContent>
                      <w:p w14:paraId="66984EA1" w14:textId="77777777" w:rsidR="00B32EF2" w:rsidRDefault="00000000">
                        <w:r>
                          <w:rPr>
                            <w:rFonts w:ascii="Arial" w:eastAsia="Arial" w:hAnsi="Arial" w:cs="Arial"/>
                            <w:i/>
                            <w:sz w:val="18"/>
                          </w:rPr>
                          <w:t>-</w:t>
                        </w:r>
                      </w:p>
                    </w:txbxContent>
                  </v:textbox>
                </v:rect>
                <v:rect id="Rectangle 19175" o:spid="_x0000_s4358" style="position:absolute;left:-11297;top:9323;width:504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FfSxQAAAN4AAAAPAAAAZHJzL2Rvd25yZXYueG1sRE9La8JA&#10;EL4X/A/LCN7qxoJVo6uIRZpDL/UBHofsmESzs0t2NWl/fbcgeJuP7zmLVWdqcafGV5YVjIYJCOLc&#10;6ooLBYf99nUKwgdkjbVlUvBDHlbL3ssCU21b/qb7LhQihrBPUUEZgkul9HlJBv3QOuLInW1jMETY&#10;FFI32MZwU8u3JHmXBiuODSU62pSUX3c3o+D0wS7btjI//27c1yWb1p+3w1GpQb9bz0EE6sJT/HBn&#10;Os6fjSZj+H8n3iCXfwAAAP//AwBQSwECLQAUAAYACAAAACEA2+H2y+4AAACFAQAAEwAAAAAAAAAA&#10;AAAAAAAAAAAAW0NvbnRlbnRfVHlwZXNdLnhtbFBLAQItABQABgAIAAAAIQBa9CxbvwAAABUBAAAL&#10;AAAAAAAAAAAAAAAAAB8BAABfcmVscy8ucmVsc1BLAQItABQABgAIAAAAIQD0iFfSxQAAAN4AAAAP&#10;AAAAAAAAAAAAAAAAAAcCAABkcnMvZG93bnJldi54bWxQSwUGAAAAAAMAAwC3AAAA+QIAAAAA&#10;" filled="f" stroked="f">
                  <v:textbox inset="0,0,0,0">
                    <w:txbxContent>
                      <w:p w14:paraId="29C081CC" w14:textId="77777777" w:rsidR="00B32EF2" w:rsidRDefault="00000000">
                        <w:r>
                          <w:rPr>
                            <w:rFonts w:ascii="Arial" w:eastAsia="Arial" w:hAnsi="Arial" w:cs="Arial"/>
                            <w:i/>
                            <w:sz w:val="18"/>
                          </w:rPr>
                          <w:t>zioni effettuate con biglietto di cancelleria ai sensi degli articoli 133 e 136 .</w:t>
                        </w:r>
                      </w:p>
                    </w:txbxContent>
                  </v:textbox>
                </v:rect>
                <v:rect id="Rectangle 201269" o:spid="_x0000_s4359" style="position:absolute;left:25843;top:8090;width:510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gSxwAAAN8AAAAPAAAAZHJzL2Rvd25yZXYueG1sRI9Pi8Iw&#10;FMTvgt8hPGFvmtqDaDWKKLI97GX9Ax4fzbOtNi+hiba7n36zsLDHYWZ+w6w2vWnEi1pfW1YwnSQg&#10;iAuray4VnE+H8RyED8gaG8uk4Is8bNbDwQozbTv+pNcxlCJC2GeooArBZVL6oiKDfmIdcfRutjUY&#10;omxLqVvsItw0Mk2SmTRYc1yo0NGuouJxfBoF1z27/NDJ4va9cx/3fN68P88Xpd5G/XYJIlAf/sN/&#10;7VwrSJNpOlvA75/4BeT6BwAA//8DAFBLAQItABQABgAIAAAAIQDb4fbL7gAAAIUBAAATAAAAAAAA&#10;AAAAAAAAAAAAAABbQ29udGVudF9UeXBlc10ueG1sUEsBAi0AFAAGAAgAAAAhAFr0LFu/AAAAFQEA&#10;AAsAAAAAAAAAAAAAAAAAHwEAAF9yZWxzLy5yZWxzUEsBAi0AFAAGAAgAAAAhAFaUGBLHAAAA3wAA&#10;AA8AAAAAAAAAAAAAAAAABwIAAGRycy9kb3ducmV2LnhtbFBLBQYAAAAAAwADALcAAAD7AgAAAAA=&#10;" filled="f" stroked="f">
                  <v:textbox inset="0,0,0,0">
                    <w:txbxContent>
                      <w:p w14:paraId="128060D9" w14:textId="77777777" w:rsidR="00B32EF2" w:rsidRDefault="00000000">
                        <w:r>
                          <w:rPr>
                            <w:rFonts w:ascii="Arial" w:eastAsia="Arial" w:hAnsi="Arial" w:cs="Arial"/>
                            <w:i/>
                            <w:sz w:val="18"/>
                          </w:rPr>
                          <w:t>6</w:t>
                        </w:r>
                      </w:p>
                    </w:txbxContent>
                  </v:textbox>
                </v:rect>
                <v:rect id="Rectangle 201270" o:spid="_x0000_s4360" style="position:absolute;left:-12536;top:8090;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ydSxQAAAN8AAAAPAAAAZHJzL2Rvd25yZXYueG1sRI/LisIw&#10;FIb3A75DOIK7MbWLGalGEUWmi9l4A5eH5thWm5PQRFvn6c1iwOXPf+ObL3vTiAe1vrasYDJOQBAX&#10;VtdcKjgetp9TED4ga2wsk4IneVguBh9zzLTteEePfShFHGGfoYIqBJdJ6YuKDPqxdcTRu9jWYIiy&#10;LaVusYvjppFpknxJgzXHhwodrSsqbvu7UXDesMu3nSwuf2v3e82nzc/9eFJqNOxXMxCB+vAO/7dz&#10;rSBNJul3JIg8kQXk4gUAAP//AwBQSwECLQAUAAYACAAAACEA2+H2y+4AAACFAQAAEwAAAAAAAAAA&#10;AAAAAAAAAAAAW0NvbnRlbnRfVHlwZXNdLnhtbFBLAQItABQABgAIAAAAIQBa9CxbvwAAABUBAAAL&#10;AAAAAAAAAAAAAAAAAB8BAABfcmVscy8ucmVsc1BLAQItABQABgAIAAAAIQBCdydSxQAAAN8AAAAP&#10;AAAAAAAAAAAAAAAAAAcCAABkcnMvZG93bnJldi54bWxQSwUGAAAAAAMAAwC3AAAA+QIAAAAA&#10;" filled="f" stroked="f">
                  <v:textbox inset="0,0,0,0">
                    <w:txbxContent>
                      <w:p w14:paraId="20DD0537" w14:textId="77777777" w:rsidR="00B32EF2" w:rsidRDefault="00000000">
                        <w:r>
                          <w:rPr>
                            <w:rFonts w:ascii="Arial" w:eastAsia="Arial" w:hAnsi="Arial" w:cs="Arial"/>
                            <w:i/>
                            <w:sz w:val="18"/>
                          </w:rPr>
                          <w:t xml:space="preserve">. L’avvocato esegue le notificazioni nei casi e con le modalità previste dalla </w:t>
                        </w:r>
                      </w:p>
                    </w:txbxContent>
                  </v:textbox>
                </v:rect>
                <v:rect id="Rectangle 19177" o:spid="_x0000_s4361" style="position:absolute;left:34947;top:6857;width:419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mw+xQAAAN4AAAAPAAAAZHJzL2Rvd25yZXYueG1sRE9Li8Iw&#10;EL4L+x/CLHhbU/fgoxplcZHtwcv6AI9DM7bVZhKaaKu/3iwseJuP7znzZWdqcaPGV5YVDAcJCOLc&#10;6ooLBfvd+mMCwgdkjbVlUnAnD8vFW2+OqbYt/9JtGwoRQ9inqKAMwaVS+rwkg35gHXHkTrYxGCJs&#10;CqkbbGO4qeVnkoykwYpjQ4mOViXll+3VKDh+s8vWrcxPj5XbnLNJ/XPdH5Tqv3dfMxCBuvAS/7sz&#10;HedPh+Mx/L0Tb5CLJwAAAP//AwBQSwECLQAUAAYACAAAACEA2+H2y+4AAACFAQAAEwAAAAAAAAAA&#10;AAAAAAAAAAAAW0NvbnRlbnRfVHlwZXNdLnhtbFBLAQItABQABgAIAAAAIQBa9CxbvwAAABUBAAAL&#10;AAAAAAAAAAAAAAAAAB8BAABfcmVscy8ucmVsc1BLAQItABQABgAIAAAAIQBrFmw+xQAAAN4AAAAP&#10;AAAAAAAAAAAAAAAAAAcCAABkcnMvZG93bnJldi54bWxQSwUGAAAAAAMAAwC3AAAA+QIAAAAA&#10;" filled="f" stroked="f">
                  <v:textbox inset="0,0,0,0">
                    <w:txbxContent>
                      <w:p w14:paraId="453237B9" w14:textId="77777777" w:rsidR="00B32EF2" w:rsidRDefault="00000000">
                        <w:r>
                          <w:rPr>
                            <w:rFonts w:ascii="Arial" w:eastAsia="Arial" w:hAnsi="Arial" w:cs="Arial"/>
                            <w:i/>
                            <w:sz w:val="18"/>
                          </w:rPr>
                          <w:t>legge.</w:t>
                        </w:r>
                      </w:p>
                    </w:txbxContent>
                  </v:textbox>
                </v:rect>
                <v:rect id="Rectangle 201266" o:spid="_x0000_s4362" style="position:absolute;left:25843;top:5623;width:510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gxwAAAN8AAAAPAAAAZHJzL2Rvd25yZXYueG1sRI9Ba8JA&#10;FITvBf/D8oTe6sYcgkRXEUXMoZeqhR4f2WcSzb5dsquJ/vpuoeBxmJlvmMVqMK24U+cbywqmkwQE&#10;cWl1w5WC03H3MQPhA7LG1jIpeJCH1XL0tsBc256/6H4IlYgQ9jkqqENwuZS+rMmgn1hHHL2z7QyG&#10;KLtK6g77CDetTJMkkwYbjgs1OtrUVF4PN6PgZ8uu2PWyPD837vNSzNr97fSt1Pt4WM9BBBrCK/zf&#10;LrSCNJmmWQZ/f+IXkMtfAAAA//8DAFBLAQItABQABgAIAAAAIQDb4fbL7gAAAIUBAAATAAAAAAAA&#10;AAAAAAAAAAAAAABbQ29udGVudF9UeXBlc10ueG1sUEsBAi0AFAAGAAgAAAAhAFr0LFu/AAAAFQEA&#10;AAsAAAAAAAAAAAAAAAAAHwEAAF9yZWxzLy5yZWxzUEsBAi0AFAAGAAgAAAAhACcLjGDHAAAA3wAA&#10;AA8AAAAAAAAAAAAAAAAABwIAAGRycy9kb3ducmV2LnhtbFBLBQYAAAAAAwADALcAAAD7AgAAAAA=&#10;" filled="f" stroked="f">
                  <v:textbox inset="0,0,0,0">
                    <w:txbxContent>
                      <w:p w14:paraId="70B15C7E" w14:textId="77777777" w:rsidR="00B32EF2" w:rsidRDefault="00000000">
                        <w:r>
                          <w:rPr>
                            <w:rFonts w:ascii="Arial" w:eastAsia="Arial" w:hAnsi="Arial" w:cs="Arial"/>
                            <w:i/>
                            <w:sz w:val="18"/>
                          </w:rPr>
                          <w:t>7</w:t>
                        </w:r>
                      </w:p>
                    </w:txbxContent>
                  </v:textbox>
                </v:rect>
                <v:rect id="Rectangle 201268" o:spid="_x0000_s4363" style="position:absolute;left:-12421;top:5623;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L2JwwAAAN8AAAAPAAAAZHJzL2Rvd25yZXYueG1sRE9Ni8Iw&#10;EL0v+B/CCN7W1B5EqlFEEXvwoqvgcWjGttpMQhNt9ddvDgt7fLzvxao3jXhR62vLCibjBARxYXXN&#10;pYLzz+57BsIHZI2NZVLwJg+r5eBrgZm2HR/pdQqliCHsM1RQheAyKX1RkUE/to44cjfbGgwRtqXU&#10;LXYx3DQyTZKpNFhzbKjQ0aai4nF6GgXXLbt818ni9tm4wz2fNfvn+aLUaNiv5yAC9eFf/OfOtYI0&#10;maTTODj+iV9ALn8BAAD//wMAUEsBAi0AFAAGAAgAAAAhANvh9svuAAAAhQEAABMAAAAAAAAAAAAA&#10;AAAAAAAAAFtDb250ZW50X1R5cGVzXS54bWxQSwECLQAUAAYACAAAACEAWvQsW78AAAAVAQAACwAA&#10;AAAAAAAAAAAAAAAfAQAAX3JlbHMvLnJlbHNQSwECLQAUAAYACAAAACEAOdi9icMAAADfAAAADwAA&#10;AAAAAAAAAAAAAAAHAgAAZHJzL2Rvd25yZXYueG1sUEsFBgAAAAADAAMAtwAAAPcCAAAAAA==&#10;" filled="f" stroked="f">
                  <v:textbox inset="0,0,0,0">
                    <w:txbxContent>
                      <w:p w14:paraId="3E1E66D0" w14:textId="77777777" w:rsidR="00B32EF2" w:rsidRDefault="00000000">
                        <w:r>
                          <w:rPr>
                            <w:rFonts w:ascii="Arial" w:eastAsia="Arial" w:hAnsi="Arial" w:cs="Arial"/>
                            <w:i/>
                            <w:sz w:val="18"/>
                          </w:rPr>
                          <w:t xml:space="preserve">. L’ufficiale giudiziario esegue la notificazione su richiesta dell’avvocato </w:t>
                        </w:r>
                      </w:p>
                    </w:txbxContent>
                  </v:textbox>
                </v:rect>
                <v:shape id="Shape 19179" o:spid="_x0000_s4364" style="position:absolute;left:318;top:4731;width:39600;height:40104;visibility:visible;mso-wrap-style:square;v-text-anchor:top" coordsize="3960000,4010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3xuxQAAAN4AAAAPAAAAZHJzL2Rvd25yZXYueG1sRE9NawIx&#10;EL0L/ocwghepWQVtd2sUKQpaeqlt9Tpsptmlm8m6ibr+e1MQvM3jfc5s0dpKnKnxpWMFo2ECgjh3&#10;umSj4Ptr/fQCwgdkjZVjUnAlD4t5tzPDTLsLf9J5F4yIIewzVFCEUGdS+rwgi37oauLI/brGYoiw&#10;MVI3eInhtpLjJJlKiyXHhgJreiso/9udrIKBmb6vT8f0Z3kwW79NV/vkY2KV6vfa5SuIQG14iO/u&#10;jY7z09FzCv/vxBvk/AYAAP//AwBQSwECLQAUAAYACAAAACEA2+H2y+4AAACFAQAAEwAAAAAAAAAA&#10;AAAAAAAAAAAAW0NvbnRlbnRfVHlwZXNdLnhtbFBLAQItABQABgAIAAAAIQBa9CxbvwAAABUBAAAL&#10;AAAAAAAAAAAAAAAAAB8BAABfcmVscy8ucmVsc1BLAQItABQABgAIAAAAIQBBB3xuxQAAAN4AAAAP&#10;AAAAAAAAAAAAAAAAAAcCAABkcnMvZG93bnJldi54bWxQSwUGAAAAAAMAAwC3AAAA+QIAAAAA&#10;" path="m,4010305r3960000,l3960000,,,,,4010305xe" filled="f" strokeweight="1pt">
                  <v:stroke miterlimit="1" joinstyle="miter"/>
                  <v:path arrowok="t" textboxrect="0,0,3960000,4010305"/>
                </v:shape>
                <w10:anchorlock/>
              </v:group>
            </w:pict>
          </mc:Fallback>
        </mc:AlternateContent>
      </w:r>
    </w:p>
    <w:p w14:paraId="1117826A" w14:textId="77777777" w:rsidR="00B32EF2" w:rsidRDefault="00000000">
      <w:pPr>
        <w:spacing w:after="0"/>
        <w:ind w:left="-356" w:right="-306"/>
      </w:pPr>
      <w:r>
        <w:rPr>
          <w:noProof/>
        </w:rPr>
        <w:lastRenderedPageBreak/>
        <mc:AlternateContent>
          <mc:Choice Requires="wpg">
            <w:drawing>
              <wp:inline distT="0" distB="0" distL="0" distR="0" wp14:anchorId="57C98068" wp14:editId="68500067">
                <wp:extent cx="3991843" cy="6274507"/>
                <wp:effectExtent l="0" t="0" r="0" b="0"/>
                <wp:docPr id="201366" name="Group 201366"/>
                <wp:cNvGraphicFramePr/>
                <a:graphic xmlns:a="http://schemas.openxmlformats.org/drawingml/2006/main">
                  <a:graphicData uri="http://schemas.microsoft.com/office/word/2010/wordprocessingGroup">
                    <wpg:wgp>
                      <wpg:cNvGrpSpPr/>
                      <wpg:grpSpPr>
                        <a:xfrm>
                          <a:off x="0" y="0"/>
                          <a:ext cx="3991843" cy="6274507"/>
                          <a:chOff x="0" y="0"/>
                          <a:chExt cx="3991843" cy="6274507"/>
                        </a:xfrm>
                      </wpg:grpSpPr>
                      <wps:wsp>
                        <wps:cNvPr id="19200" name="Rectangle 19200"/>
                        <wps:cNvSpPr/>
                        <wps:spPr>
                          <a:xfrm rot="-10799999">
                            <a:off x="1900528" y="-62190"/>
                            <a:ext cx="178369" cy="250646"/>
                          </a:xfrm>
                          <a:prstGeom prst="rect">
                            <a:avLst/>
                          </a:prstGeom>
                          <a:ln>
                            <a:noFill/>
                          </a:ln>
                        </wps:spPr>
                        <wps:txbx>
                          <w:txbxContent>
                            <w:p w14:paraId="54A240FA" w14:textId="77777777" w:rsidR="00B32EF2" w:rsidRDefault="00000000">
                              <w:r>
                                <w:rPr>
                                  <w:rFonts w:ascii="Times New Roman" w:eastAsia="Times New Roman" w:hAnsi="Times New Roman" w:cs="Times New Roman"/>
                                </w:rPr>
                                <w:t>55</w:t>
                              </w:r>
                            </w:p>
                          </w:txbxContent>
                        </wps:txbx>
                        <wps:bodyPr horzOverflow="overflow" vert="horz" lIns="0" tIns="0" rIns="0" bIns="0" rtlCol="0">
                          <a:noAutofit/>
                        </wps:bodyPr>
                      </wps:wsp>
                      <wps:wsp>
                        <wps:cNvPr id="19201" name="Rectangle 19201"/>
                        <wps:cNvSpPr/>
                        <wps:spPr>
                          <a:xfrm rot="-10799999">
                            <a:off x="1506694" y="2419501"/>
                            <a:ext cx="809471" cy="142889"/>
                          </a:xfrm>
                          <a:prstGeom prst="rect">
                            <a:avLst/>
                          </a:prstGeom>
                          <a:ln>
                            <a:noFill/>
                          </a:ln>
                        </wps:spPr>
                        <wps:txbx>
                          <w:txbxContent>
                            <w:p w14:paraId="71674FC3" w14:textId="77777777" w:rsidR="00B32EF2" w:rsidRDefault="00000000">
                              <w:r>
                                <w:rPr>
                                  <w:rFonts w:ascii="Arial" w:eastAsia="Arial" w:hAnsi="Arial" w:cs="Arial"/>
                                  <w:b/>
                                  <w:sz w:val="18"/>
                                </w:rPr>
                                <w:t>Articolo 60</w:t>
                              </w:r>
                            </w:p>
                          </w:txbxContent>
                        </wps:txbx>
                        <wps:bodyPr horzOverflow="overflow" vert="horz" lIns="0" tIns="0" rIns="0" bIns="0" rtlCol="0">
                          <a:noAutofit/>
                        </wps:bodyPr>
                      </wps:wsp>
                      <wps:wsp>
                        <wps:cNvPr id="201294" name="Rectangle 201294"/>
                        <wps:cNvSpPr/>
                        <wps:spPr>
                          <a:xfrm rot="-10799999">
                            <a:off x="2221336" y="2296172"/>
                            <a:ext cx="1936464" cy="142889"/>
                          </a:xfrm>
                          <a:prstGeom prst="rect">
                            <a:avLst/>
                          </a:prstGeom>
                          <a:ln>
                            <a:noFill/>
                          </a:ln>
                        </wps:spPr>
                        <wps:txbx>
                          <w:txbxContent>
                            <w:p w14:paraId="7BE9CF2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295" name="Rectangle 201295"/>
                        <wps:cNvSpPr/>
                        <wps:spPr>
                          <a:xfrm rot="-10799999">
                            <a:off x="-254218" y="2296172"/>
                            <a:ext cx="1936463" cy="142889"/>
                          </a:xfrm>
                          <a:prstGeom prst="rect">
                            <a:avLst/>
                          </a:prstGeom>
                          <a:ln>
                            <a:noFill/>
                          </a:ln>
                        </wps:spPr>
                        <wps:txbx>
                          <w:txbxContent>
                            <w:p w14:paraId="1BD66EDF"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296" name="Rectangle 201296"/>
                        <wps:cNvSpPr/>
                        <wps:spPr>
                          <a:xfrm rot="-10799999">
                            <a:off x="1166610" y="2296172"/>
                            <a:ext cx="1936464" cy="142889"/>
                          </a:xfrm>
                          <a:prstGeom prst="rect">
                            <a:avLst/>
                          </a:prstGeom>
                          <a:ln>
                            <a:noFill/>
                          </a:ln>
                        </wps:spPr>
                        <wps:txbx>
                          <w:txbxContent>
                            <w:p w14:paraId="1295D22D" w14:textId="77777777" w:rsidR="00B32EF2" w:rsidRDefault="00000000">
                              <w:r>
                                <w:rPr>
                                  <w:rFonts w:ascii="Arial" w:eastAsia="Arial" w:hAnsi="Arial" w:cs="Arial"/>
                                  <w:i/>
                                  <w:sz w:val="18"/>
                                </w:rPr>
                                <w:t xml:space="preserve">articolo 16 D.lgs. n. </w:t>
                              </w:r>
                            </w:p>
                          </w:txbxContent>
                        </wps:txbx>
                        <wps:bodyPr horzOverflow="overflow" vert="horz" lIns="0" tIns="0" rIns="0" bIns="0" rtlCol="0">
                          <a:noAutofit/>
                        </wps:bodyPr>
                      </wps:wsp>
                      <wps:wsp>
                        <wps:cNvPr id="19203" name="Rectangle 19203"/>
                        <wps:cNvSpPr/>
                        <wps:spPr>
                          <a:xfrm rot="-10799999">
                            <a:off x="604289" y="2172842"/>
                            <a:ext cx="2229997" cy="142889"/>
                          </a:xfrm>
                          <a:prstGeom prst="rect">
                            <a:avLst/>
                          </a:prstGeom>
                          <a:ln>
                            <a:noFill/>
                          </a:ln>
                        </wps:spPr>
                        <wps:txbx>
                          <w:txbxContent>
                            <w:p w14:paraId="377D2A81" w14:textId="77777777" w:rsidR="00B32EF2" w:rsidRDefault="00000000">
                              <w:r>
                                <w:rPr>
                                  <w:rFonts w:ascii="Arial" w:eastAsia="Arial" w:hAnsi="Arial" w:cs="Arial"/>
                                  <w:b/>
                                  <w:sz w:val="18"/>
                                </w:rPr>
                                <w:t xml:space="preserve">Comunicazioni e notificazioni </w:t>
                              </w:r>
                            </w:p>
                          </w:txbxContent>
                        </wps:txbx>
                        <wps:bodyPr horzOverflow="overflow" vert="horz" lIns="0" tIns="0" rIns="0" bIns="0" rtlCol="0">
                          <a:noAutofit/>
                        </wps:bodyPr>
                      </wps:wsp>
                      <wps:wsp>
                        <wps:cNvPr id="201292" name="Rectangle 201292"/>
                        <wps:cNvSpPr/>
                        <wps:spPr>
                          <a:xfrm rot="-10799999">
                            <a:off x="2610971" y="2049513"/>
                            <a:ext cx="5309036" cy="142889"/>
                          </a:xfrm>
                          <a:prstGeom prst="rect">
                            <a:avLst/>
                          </a:prstGeom>
                          <a:ln>
                            <a:noFill/>
                          </a:ln>
                        </wps:spPr>
                        <wps:txbx>
                          <w:txbxContent>
                            <w:p w14:paraId="0A312F5F"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293" name="Rectangle 201293"/>
                        <wps:cNvSpPr/>
                        <wps:spPr>
                          <a:xfrm rot="-10799999">
                            <a:off x="-1376417" y="2049512"/>
                            <a:ext cx="5309036" cy="142889"/>
                          </a:xfrm>
                          <a:prstGeom prst="rect">
                            <a:avLst/>
                          </a:prstGeom>
                          <a:ln>
                            <a:noFill/>
                          </a:ln>
                        </wps:spPr>
                        <wps:txbx>
                          <w:txbxContent>
                            <w:p w14:paraId="53EEDF48" w14:textId="77777777" w:rsidR="00B32EF2" w:rsidRDefault="00000000">
                              <w:r>
                                <w:rPr>
                                  <w:rFonts w:ascii="Arial" w:eastAsia="Arial" w:hAnsi="Arial" w:cs="Arial"/>
                                  <w:sz w:val="18"/>
                                </w:rPr>
                                <w:t xml:space="preserve">. Le comunicazioni sono fatte mediante avviso della segreteria della corte di </w:t>
                              </w:r>
                            </w:p>
                          </w:txbxContent>
                        </wps:txbx>
                        <wps:bodyPr horzOverflow="overflow" vert="horz" lIns="0" tIns="0" rIns="0" bIns="0" rtlCol="0">
                          <a:noAutofit/>
                        </wps:bodyPr>
                      </wps:wsp>
                      <wps:wsp>
                        <wps:cNvPr id="19205" name="Rectangle 19205"/>
                        <wps:cNvSpPr/>
                        <wps:spPr>
                          <a:xfrm rot="-10799999">
                            <a:off x="-1221081" y="1926182"/>
                            <a:ext cx="5212884" cy="142889"/>
                          </a:xfrm>
                          <a:prstGeom prst="rect">
                            <a:avLst/>
                          </a:prstGeom>
                          <a:ln>
                            <a:noFill/>
                          </a:ln>
                        </wps:spPr>
                        <wps:txbx>
                          <w:txbxContent>
                            <w:p w14:paraId="176D7356" w14:textId="77777777" w:rsidR="00B32EF2" w:rsidRDefault="00000000">
                              <w:r>
                                <w:rPr>
                                  <w:rFonts w:ascii="Arial" w:eastAsia="Arial" w:hAnsi="Arial" w:cs="Arial"/>
                                  <w:sz w:val="18"/>
                                </w:rPr>
                                <w:t>giustizia tributaria di primo e secondo grado consegnato alle parti, che ne rila</w:t>
                              </w:r>
                            </w:p>
                          </w:txbxContent>
                        </wps:txbx>
                        <wps:bodyPr horzOverflow="overflow" vert="horz" lIns="0" tIns="0" rIns="0" bIns="0" rtlCol="0">
                          <a:noAutofit/>
                        </wps:bodyPr>
                      </wps:wsp>
                      <wps:wsp>
                        <wps:cNvPr id="19206" name="Rectangle 19206"/>
                        <wps:cNvSpPr/>
                        <wps:spPr>
                          <a:xfrm rot="-10799999">
                            <a:off x="19204" y="1926183"/>
                            <a:ext cx="50622" cy="142889"/>
                          </a:xfrm>
                          <a:prstGeom prst="rect">
                            <a:avLst/>
                          </a:prstGeom>
                          <a:ln>
                            <a:noFill/>
                          </a:ln>
                        </wps:spPr>
                        <wps:txbx>
                          <w:txbxContent>
                            <w:p w14:paraId="4287EB3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207" name="Rectangle 19207"/>
                        <wps:cNvSpPr/>
                        <wps:spPr>
                          <a:xfrm rot="-10799999">
                            <a:off x="-1317186" y="1802853"/>
                            <a:ext cx="5308989" cy="142889"/>
                          </a:xfrm>
                          <a:prstGeom prst="rect">
                            <a:avLst/>
                          </a:prstGeom>
                          <a:ln>
                            <a:noFill/>
                          </a:ln>
                        </wps:spPr>
                        <wps:txbx>
                          <w:txbxContent>
                            <w:p w14:paraId="28B3D5EE" w14:textId="77777777" w:rsidR="00B32EF2" w:rsidRDefault="00000000">
                              <w:r>
                                <w:rPr>
                                  <w:rFonts w:ascii="Arial" w:eastAsia="Arial" w:hAnsi="Arial" w:cs="Arial"/>
                                  <w:sz w:val="18"/>
                                </w:rPr>
                                <w:t xml:space="preserve">sciano immediatamente ricevuta, o spedito a mezzo del servizio postale con </w:t>
                              </w:r>
                            </w:p>
                          </w:txbxContent>
                        </wps:txbx>
                        <wps:bodyPr horzOverflow="overflow" vert="horz" lIns="0" tIns="0" rIns="0" bIns="0" rtlCol="0">
                          <a:noAutofit/>
                        </wps:bodyPr>
                      </wps:wsp>
                      <wps:wsp>
                        <wps:cNvPr id="19208" name="Rectangle 19208"/>
                        <wps:cNvSpPr/>
                        <wps:spPr>
                          <a:xfrm rot="-10799999">
                            <a:off x="-1317186" y="1679523"/>
                            <a:ext cx="5308989" cy="142889"/>
                          </a:xfrm>
                          <a:prstGeom prst="rect">
                            <a:avLst/>
                          </a:prstGeom>
                          <a:ln>
                            <a:noFill/>
                          </a:ln>
                        </wps:spPr>
                        <wps:txbx>
                          <w:txbxContent>
                            <w:p w14:paraId="4FC9FA6D" w14:textId="77777777" w:rsidR="00B32EF2" w:rsidRDefault="00000000">
                              <w:r>
                                <w:rPr>
                                  <w:rFonts w:ascii="Arial" w:eastAsia="Arial" w:hAnsi="Arial" w:cs="Arial"/>
                                  <w:sz w:val="18"/>
                                </w:rPr>
                                <w:t xml:space="preserve">raccomandata con avviso di ricevimento. Le comunicazioni agli enti impositori, </w:t>
                              </w:r>
                            </w:p>
                          </w:txbxContent>
                        </wps:txbx>
                        <wps:bodyPr horzOverflow="overflow" vert="horz" lIns="0" tIns="0" rIns="0" bIns="0" rtlCol="0">
                          <a:noAutofit/>
                        </wps:bodyPr>
                      </wps:wsp>
                      <wps:wsp>
                        <wps:cNvPr id="19209" name="Rectangle 19209"/>
                        <wps:cNvSpPr/>
                        <wps:spPr>
                          <a:xfrm rot="-10799999">
                            <a:off x="-1317233" y="1556193"/>
                            <a:ext cx="5309036" cy="142889"/>
                          </a:xfrm>
                          <a:prstGeom prst="rect">
                            <a:avLst/>
                          </a:prstGeom>
                          <a:ln>
                            <a:noFill/>
                          </a:ln>
                        </wps:spPr>
                        <wps:txbx>
                          <w:txbxContent>
                            <w:p w14:paraId="12EFF654" w14:textId="77777777" w:rsidR="00B32EF2" w:rsidRDefault="00000000">
                              <w:r>
                                <w:rPr>
                                  <w:rFonts w:ascii="Arial" w:eastAsia="Arial" w:hAnsi="Arial" w:cs="Arial"/>
                                  <w:sz w:val="18"/>
                                </w:rPr>
                                <w:t xml:space="preserve">agli agenti della riscossione ed ai soggetti iscritti nell’albo di cui all’articolo 53 </w:t>
                              </w:r>
                            </w:p>
                          </w:txbxContent>
                        </wps:txbx>
                        <wps:bodyPr horzOverflow="overflow" vert="horz" lIns="0" tIns="0" rIns="0" bIns="0" rtlCol="0">
                          <a:noAutofit/>
                        </wps:bodyPr>
                      </wps:wsp>
                      <wps:wsp>
                        <wps:cNvPr id="19210" name="Rectangle 19210"/>
                        <wps:cNvSpPr/>
                        <wps:spPr>
                          <a:xfrm rot="-10799999">
                            <a:off x="-1220595" y="1432864"/>
                            <a:ext cx="5212398" cy="142889"/>
                          </a:xfrm>
                          <a:prstGeom prst="rect">
                            <a:avLst/>
                          </a:prstGeom>
                          <a:ln>
                            <a:noFill/>
                          </a:ln>
                        </wps:spPr>
                        <wps:txbx>
                          <w:txbxContent>
                            <w:p w14:paraId="45FC4469" w14:textId="77777777" w:rsidR="00B32EF2" w:rsidRDefault="00000000">
                              <w:r>
                                <w:rPr>
                                  <w:rFonts w:ascii="Arial" w:eastAsia="Arial" w:hAnsi="Arial" w:cs="Arial"/>
                                  <w:sz w:val="18"/>
                                </w:rPr>
                                <w:t>del decreto legislativo 15 dicembre 1997, n. 446, possono essere fatte median</w:t>
                              </w:r>
                            </w:p>
                          </w:txbxContent>
                        </wps:txbx>
                        <wps:bodyPr horzOverflow="overflow" vert="horz" lIns="0" tIns="0" rIns="0" bIns="0" rtlCol="0">
                          <a:noAutofit/>
                        </wps:bodyPr>
                      </wps:wsp>
                      <wps:wsp>
                        <wps:cNvPr id="19211" name="Rectangle 19211"/>
                        <wps:cNvSpPr/>
                        <wps:spPr>
                          <a:xfrm rot="-10799999">
                            <a:off x="19204" y="1432864"/>
                            <a:ext cx="50622" cy="142889"/>
                          </a:xfrm>
                          <a:prstGeom prst="rect">
                            <a:avLst/>
                          </a:prstGeom>
                          <a:ln>
                            <a:noFill/>
                          </a:ln>
                        </wps:spPr>
                        <wps:txbx>
                          <w:txbxContent>
                            <w:p w14:paraId="1F62A0F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212" name="Rectangle 19212"/>
                        <wps:cNvSpPr/>
                        <wps:spPr>
                          <a:xfrm rot="-10799999">
                            <a:off x="-1317294" y="1309534"/>
                            <a:ext cx="5309097" cy="142889"/>
                          </a:xfrm>
                          <a:prstGeom prst="rect">
                            <a:avLst/>
                          </a:prstGeom>
                          <a:ln>
                            <a:noFill/>
                          </a:ln>
                        </wps:spPr>
                        <wps:txbx>
                          <w:txbxContent>
                            <w:p w14:paraId="187202B9" w14:textId="77777777" w:rsidR="00B32EF2" w:rsidRDefault="00000000">
                              <w:r>
                                <w:rPr>
                                  <w:rFonts w:ascii="Arial" w:eastAsia="Arial" w:hAnsi="Arial" w:cs="Arial"/>
                                  <w:sz w:val="18"/>
                                </w:rPr>
                                <w:t xml:space="preserve">te trasmissione di elenco in duplice esemplare, uno dei quali, immediatamente </w:t>
                              </w:r>
                            </w:p>
                          </w:txbxContent>
                        </wps:txbx>
                        <wps:bodyPr horzOverflow="overflow" vert="horz" lIns="0" tIns="0" rIns="0" bIns="0" rtlCol="0">
                          <a:noAutofit/>
                        </wps:bodyPr>
                      </wps:wsp>
                      <wps:wsp>
                        <wps:cNvPr id="19213" name="Rectangle 19213"/>
                        <wps:cNvSpPr/>
                        <wps:spPr>
                          <a:xfrm rot="-10799999">
                            <a:off x="-1220716" y="1186204"/>
                            <a:ext cx="5212519" cy="142890"/>
                          </a:xfrm>
                          <a:prstGeom prst="rect">
                            <a:avLst/>
                          </a:prstGeom>
                          <a:ln>
                            <a:noFill/>
                          </a:ln>
                        </wps:spPr>
                        <wps:txbx>
                          <w:txbxContent>
                            <w:p w14:paraId="54F58C92" w14:textId="77777777" w:rsidR="00B32EF2" w:rsidRDefault="00000000">
                              <w:r>
                                <w:rPr>
                                  <w:rFonts w:ascii="Arial" w:eastAsia="Arial" w:hAnsi="Arial" w:cs="Arial"/>
                                  <w:sz w:val="18"/>
                                </w:rPr>
                                <w:t>datato e sottoscritto per ricevuta, è restituito alla segreteria della corte di giu</w:t>
                              </w:r>
                            </w:p>
                          </w:txbxContent>
                        </wps:txbx>
                        <wps:bodyPr horzOverflow="overflow" vert="horz" lIns="0" tIns="0" rIns="0" bIns="0" rtlCol="0">
                          <a:noAutofit/>
                        </wps:bodyPr>
                      </wps:wsp>
                      <wps:wsp>
                        <wps:cNvPr id="19214" name="Rectangle 19214"/>
                        <wps:cNvSpPr/>
                        <wps:spPr>
                          <a:xfrm rot="-10799999">
                            <a:off x="19204" y="1186205"/>
                            <a:ext cx="50622" cy="142889"/>
                          </a:xfrm>
                          <a:prstGeom prst="rect">
                            <a:avLst/>
                          </a:prstGeom>
                          <a:ln>
                            <a:noFill/>
                          </a:ln>
                        </wps:spPr>
                        <wps:txbx>
                          <w:txbxContent>
                            <w:p w14:paraId="123568E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215" name="Rectangle 19215"/>
                        <wps:cNvSpPr/>
                        <wps:spPr>
                          <a:xfrm rot="-10799999">
                            <a:off x="-1317203" y="1062875"/>
                            <a:ext cx="5309006" cy="142889"/>
                          </a:xfrm>
                          <a:prstGeom prst="rect">
                            <a:avLst/>
                          </a:prstGeom>
                          <a:ln>
                            <a:noFill/>
                          </a:ln>
                        </wps:spPr>
                        <wps:txbx>
                          <w:txbxContent>
                            <w:p w14:paraId="4578A597" w14:textId="77777777" w:rsidR="00B32EF2" w:rsidRDefault="00000000">
                              <w:r>
                                <w:rPr>
                                  <w:rFonts w:ascii="Arial" w:eastAsia="Arial" w:hAnsi="Arial" w:cs="Arial"/>
                                  <w:sz w:val="18"/>
                                </w:rPr>
                                <w:t xml:space="preserve">stizia tributaria di primo e secondo grado. La segreteria può anche richiedere </w:t>
                              </w:r>
                            </w:p>
                          </w:txbxContent>
                        </wps:txbx>
                        <wps:bodyPr horzOverflow="overflow" vert="horz" lIns="0" tIns="0" rIns="0" bIns="0" rtlCol="0">
                          <a:noAutofit/>
                        </wps:bodyPr>
                      </wps:wsp>
                      <wps:wsp>
                        <wps:cNvPr id="19216" name="Rectangle 19216"/>
                        <wps:cNvSpPr/>
                        <wps:spPr>
                          <a:xfrm rot="-10799999">
                            <a:off x="-1220823" y="939545"/>
                            <a:ext cx="5212625" cy="142889"/>
                          </a:xfrm>
                          <a:prstGeom prst="rect">
                            <a:avLst/>
                          </a:prstGeom>
                          <a:ln>
                            <a:noFill/>
                          </a:ln>
                        </wps:spPr>
                        <wps:txbx>
                          <w:txbxContent>
                            <w:p w14:paraId="72472DA1" w14:textId="77777777" w:rsidR="00B32EF2" w:rsidRDefault="00000000">
                              <w:r>
                                <w:rPr>
                                  <w:rFonts w:ascii="Arial" w:eastAsia="Arial" w:hAnsi="Arial" w:cs="Arial"/>
                                  <w:sz w:val="18"/>
                                </w:rPr>
                                <w:t>la notificazione dell’avviso da parte dell’ufficio giudiziario o del messo comu</w:t>
                              </w:r>
                            </w:p>
                          </w:txbxContent>
                        </wps:txbx>
                        <wps:bodyPr horzOverflow="overflow" vert="horz" lIns="0" tIns="0" rIns="0" bIns="0" rtlCol="0">
                          <a:noAutofit/>
                        </wps:bodyPr>
                      </wps:wsp>
                      <wps:wsp>
                        <wps:cNvPr id="19217" name="Rectangle 19217"/>
                        <wps:cNvSpPr/>
                        <wps:spPr>
                          <a:xfrm rot="-10799999">
                            <a:off x="19204" y="939545"/>
                            <a:ext cx="50622" cy="142889"/>
                          </a:xfrm>
                          <a:prstGeom prst="rect">
                            <a:avLst/>
                          </a:prstGeom>
                          <a:ln>
                            <a:noFill/>
                          </a:ln>
                        </wps:spPr>
                        <wps:txbx>
                          <w:txbxContent>
                            <w:p w14:paraId="50C1EC9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218" name="Rectangle 19218"/>
                        <wps:cNvSpPr/>
                        <wps:spPr>
                          <a:xfrm rot="-10799999">
                            <a:off x="1617021" y="816216"/>
                            <a:ext cx="2374781" cy="142889"/>
                          </a:xfrm>
                          <a:prstGeom prst="rect">
                            <a:avLst/>
                          </a:prstGeom>
                          <a:ln>
                            <a:noFill/>
                          </a:ln>
                        </wps:spPr>
                        <wps:txbx>
                          <w:txbxContent>
                            <w:p w14:paraId="7614DC78" w14:textId="77777777" w:rsidR="00B32EF2" w:rsidRDefault="00000000">
                              <w:r>
                                <w:rPr>
                                  <w:rFonts w:ascii="Arial" w:eastAsia="Arial" w:hAnsi="Arial" w:cs="Arial"/>
                                  <w:sz w:val="18"/>
                                </w:rPr>
                                <w:t>nale nelle forme di cui al comma 2.</w:t>
                              </w:r>
                            </w:p>
                          </w:txbxContent>
                        </wps:txbx>
                        <wps:bodyPr horzOverflow="overflow" vert="horz" lIns="0" tIns="0" rIns="0" bIns="0" rtlCol="0">
                          <a:noAutofit/>
                        </wps:bodyPr>
                      </wps:wsp>
                      <wps:wsp>
                        <wps:cNvPr id="201290" name="Rectangle 201290"/>
                        <wps:cNvSpPr/>
                        <wps:spPr>
                          <a:xfrm rot="-10799999">
                            <a:off x="2611001" y="692886"/>
                            <a:ext cx="5308915" cy="142889"/>
                          </a:xfrm>
                          <a:prstGeom prst="rect">
                            <a:avLst/>
                          </a:prstGeom>
                          <a:ln>
                            <a:noFill/>
                          </a:ln>
                        </wps:spPr>
                        <wps:txbx>
                          <w:txbxContent>
                            <w:p w14:paraId="4FB7AC11"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291" name="Rectangle 201291"/>
                        <wps:cNvSpPr/>
                        <wps:spPr>
                          <a:xfrm rot="-10799999">
                            <a:off x="-1381668" y="692886"/>
                            <a:ext cx="5308914" cy="142889"/>
                          </a:xfrm>
                          <a:prstGeom prst="rect">
                            <a:avLst/>
                          </a:prstGeom>
                          <a:ln>
                            <a:noFill/>
                          </a:ln>
                        </wps:spPr>
                        <wps:txbx>
                          <w:txbxContent>
                            <w:p w14:paraId="3C71B6D8" w14:textId="77777777" w:rsidR="00B32EF2" w:rsidRDefault="00000000">
                              <w:r>
                                <w:rPr>
                                  <w:rFonts w:ascii="Arial" w:eastAsia="Arial" w:hAnsi="Arial" w:cs="Arial"/>
                                  <w:sz w:val="18"/>
                                </w:rPr>
                                <w:t xml:space="preserve">. Le notificazioni sono fatte secondo le norme degli articoli 137 e seguenti del </w:t>
                              </w:r>
                            </w:p>
                          </w:txbxContent>
                        </wps:txbx>
                        <wps:bodyPr horzOverflow="overflow" vert="horz" lIns="0" tIns="0" rIns="0" bIns="0" rtlCol="0">
                          <a:noAutofit/>
                        </wps:bodyPr>
                      </wps:wsp>
                      <wps:wsp>
                        <wps:cNvPr id="19220" name="Rectangle 19220"/>
                        <wps:cNvSpPr/>
                        <wps:spPr>
                          <a:xfrm rot="-10799999">
                            <a:off x="-423027" y="569556"/>
                            <a:ext cx="4414830" cy="142889"/>
                          </a:xfrm>
                          <a:prstGeom prst="rect">
                            <a:avLst/>
                          </a:prstGeom>
                          <a:ln>
                            <a:noFill/>
                          </a:ln>
                        </wps:spPr>
                        <wps:txbx>
                          <w:txbxContent>
                            <w:p w14:paraId="61C9D9E6" w14:textId="77777777" w:rsidR="00B32EF2" w:rsidRDefault="00000000">
                              <w:r>
                                <w:rPr>
                                  <w:rFonts w:ascii="Arial" w:eastAsia="Arial" w:hAnsi="Arial" w:cs="Arial"/>
                                  <w:sz w:val="18"/>
                                </w:rPr>
                                <w:t xml:space="preserve">codice di procedura civile, salvo quanto disposto dall’articolo 62. </w:t>
                              </w:r>
                            </w:p>
                          </w:txbxContent>
                        </wps:txbx>
                        <wps:bodyPr horzOverflow="overflow" vert="horz" lIns="0" tIns="0" rIns="0" bIns="0" rtlCol="0">
                          <a:noAutofit/>
                        </wps:bodyPr>
                      </wps:wsp>
                      <wps:wsp>
                        <wps:cNvPr id="201289" name="Rectangle 201289"/>
                        <wps:cNvSpPr/>
                        <wps:spPr>
                          <a:xfrm rot="-10799999">
                            <a:off x="-1381603" y="446226"/>
                            <a:ext cx="5308884" cy="142889"/>
                          </a:xfrm>
                          <a:prstGeom prst="rect">
                            <a:avLst/>
                          </a:prstGeom>
                          <a:ln>
                            <a:noFill/>
                          </a:ln>
                        </wps:spPr>
                        <wps:txbx>
                          <w:txbxContent>
                            <w:p w14:paraId="36393466" w14:textId="77777777" w:rsidR="00B32EF2" w:rsidRDefault="00000000">
                              <w:r>
                                <w:rPr>
                                  <w:rFonts w:ascii="Arial" w:eastAsia="Arial" w:hAnsi="Arial" w:cs="Arial"/>
                                  <w:sz w:val="18"/>
                                </w:rPr>
                                <w:t xml:space="preserve">. Le notificazioni sono fatte esclusivamente con modalità telematiche e, nelle </w:t>
                              </w:r>
                            </w:p>
                          </w:txbxContent>
                        </wps:txbx>
                        <wps:bodyPr horzOverflow="overflow" vert="horz" lIns="0" tIns="0" rIns="0" bIns="0" rtlCol="0">
                          <a:noAutofit/>
                        </wps:bodyPr>
                      </wps:wsp>
                      <wps:wsp>
                        <wps:cNvPr id="201288" name="Rectangle 201288"/>
                        <wps:cNvSpPr/>
                        <wps:spPr>
                          <a:xfrm rot="-10799999">
                            <a:off x="2611009" y="446226"/>
                            <a:ext cx="5308883" cy="142889"/>
                          </a:xfrm>
                          <a:prstGeom prst="rect">
                            <a:avLst/>
                          </a:prstGeom>
                          <a:ln>
                            <a:noFill/>
                          </a:ln>
                        </wps:spPr>
                        <wps:txbx>
                          <w:txbxContent>
                            <w:p w14:paraId="383AB979"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7984" name="Shape 207984"/>
                        <wps:cNvSpPr/>
                        <wps:spPr>
                          <a:xfrm>
                            <a:off x="31843" y="2770002"/>
                            <a:ext cx="3960000" cy="3504502"/>
                          </a:xfrm>
                          <a:custGeom>
                            <a:avLst/>
                            <a:gdLst/>
                            <a:ahLst/>
                            <a:cxnLst/>
                            <a:rect l="0" t="0" r="0" b="0"/>
                            <a:pathLst>
                              <a:path w="3960000" h="3504502">
                                <a:moveTo>
                                  <a:pt x="0" y="0"/>
                                </a:moveTo>
                                <a:lnTo>
                                  <a:pt x="3960000" y="0"/>
                                </a:lnTo>
                                <a:lnTo>
                                  <a:pt x="3960000" y="3504502"/>
                                </a:lnTo>
                                <a:lnTo>
                                  <a:pt x="0" y="3504502"/>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9223" name="Rectangle 19223"/>
                        <wps:cNvSpPr/>
                        <wps:spPr>
                          <a:xfrm rot="-10799999">
                            <a:off x="-1187125" y="6053264"/>
                            <a:ext cx="5100618" cy="142891"/>
                          </a:xfrm>
                          <a:prstGeom prst="rect">
                            <a:avLst/>
                          </a:prstGeom>
                          <a:ln>
                            <a:noFill/>
                          </a:ln>
                        </wps:spPr>
                        <wps:txbx>
                          <w:txbxContent>
                            <w:p w14:paraId="14C0E668" w14:textId="77777777" w:rsidR="00B32EF2" w:rsidRDefault="00000000">
                              <w:r>
                                <w:rPr>
                                  <w:rFonts w:ascii="Arial" w:eastAsia="Arial" w:hAnsi="Arial" w:cs="Arial"/>
                                  <w:i/>
                                  <w:sz w:val="18"/>
                                </w:rPr>
                                <w:t xml:space="preserve">ne alla stessa; quelle della notificazione della sentenza, del titolo esecutivo </w:t>
                              </w:r>
                            </w:p>
                          </w:txbxContent>
                        </wps:txbx>
                        <wps:bodyPr horzOverflow="overflow" vert="horz" lIns="0" tIns="0" rIns="0" bIns="0" rtlCol="0">
                          <a:noAutofit/>
                        </wps:bodyPr>
                      </wps:wsp>
                      <wps:wsp>
                        <wps:cNvPr id="19224" name="Rectangle 19224"/>
                        <wps:cNvSpPr/>
                        <wps:spPr>
                          <a:xfrm rot="-10799999">
                            <a:off x="-1187155" y="5929936"/>
                            <a:ext cx="5100648" cy="142889"/>
                          </a:xfrm>
                          <a:prstGeom prst="rect">
                            <a:avLst/>
                          </a:prstGeom>
                          <a:ln>
                            <a:noFill/>
                          </a:ln>
                        </wps:spPr>
                        <wps:txbx>
                          <w:txbxContent>
                            <w:p w14:paraId="79167262" w14:textId="77777777" w:rsidR="00B32EF2" w:rsidRDefault="00000000">
                              <w:r>
                                <w:rPr>
                                  <w:rFonts w:ascii="Arial" w:eastAsia="Arial" w:hAnsi="Arial" w:cs="Arial"/>
                                  <w:i/>
                                  <w:sz w:val="18"/>
                                </w:rPr>
                                <w:t xml:space="preserve">e del precetto sono liquidate dall’ufficiale giudiziariocon nota in margine </w:t>
                              </w:r>
                            </w:p>
                          </w:txbxContent>
                        </wps:txbx>
                        <wps:bodyPr horzOverflow="overflow" vert="horz" lIns="0" tIns="0" rIns="0" bIns="0" rtlCol="0">
                          <a:noAutofit/>
                        </wps:bodyPr>
                      </wps:wsp>
                      <wps:wsp>
                        <wps:cNvPr id="19225" name="Rectangle 19225"/>
                        <wps:cNvSpPr/>
                        <wps:spPr>
                          <a:xfrm rot="-10799999">
                            <a:off x="1571183" y="5806606"/>
                            <a:ext cx="2342309" cy="142889"/>
                          </a:xfrm>
                          <a:prstGeom prst="rect">
                            <a:avLst/>
                          </a:prstGeom>
                          <a:ln>
                            <a:noFill/>
                          </a:ln>
                        </wps:spPr>
                        <wps:txbx>
                          <w:txbxContent>
                            <w:p w14:paraId="42234F69" w14:textId="77777777" w:rsidR="00B32EF2" w:rsidRDefault="00000000">
                              <w:r>
                                <w:rPr>
                                  <w:rFonts w:ascii="Arial" w:eastAsia="Arial" w:hAnsi="Arial" w:cs="Arial"/>
                                  <w:i/>
                                  <w:sz w:val="18"/>
                                </w:rPr>
                                <w:t xml:space="preserve">all’originale e alla copia notificata. </w:t>
                              </w:r>
                            </w:p>
                          </w:txbxContent>
                        </wps:txbx>
                        <wps:bodyPr horzOverflow="overflow" vert="horz" lIns="0" tIns="0" rIns="0" bIns="0" rtlCol="0">
                          <a:noAutofit/>
                        </wps:bodyPr>
                      </wps:wsp>
                      <wps:wsp>
                        <wps:cNvPr id="201306" name="Rectangle 201306"/>
                        <wps:cNvSpPr/>
                        <wps:spPr>
                          <a:xfrm rot="-10799999">
                            <a:off x="-1256320" y="5683277"/>
                            <a:ext cx="5111715" cy="142889"/>
                          </a:xfrm>
                          <a:prstGeom prst="rect">
                            <a:avLst/>
                          </a:prstGeom>
                          <a:ln>
                            <a:noFill/>
                          </a:ln>
                        </wps:spPr>
                        <wps:txbx>
                          <w:txbxContent>
                            <w:p w14:paraId="24AD26FA" w14:textId="77777777" w:rsidR="00B32EF2" w:rsidRDefault="00000000">
                              <w:r>
                                <w:rPr>
                                  <w:rFonts w:ascii="Arial" w:eastAsia="Arial" w:hAnsi="Arial" w:cs="Arial"/>
                                  <w:i/>
                                  <w:sz w:val="18"/>
                                </w:rPr>
                                <w:t xml:space="preserve">. I reclami contro le liquidazioni di cui al comma precedente sono decisi </w:t>
                              </w:r>
                            </w:p>
                          </w:txbxContent>
                        </wps:txbx>
                        <wps:bodyPr horzOverflow="overflow" vert="horz" lIns="0" tIns="0" rIns="0" bIns="0" rtlCol="0">
                          <a:noAutofit/>
                        </wps:bodyPr>
                      </wps:wsp>
                      <wps:wsp>
                        <wps:cNvPr id="201305" name="Rectangle 201305"/>
                        <wps:cNvSpPr/>
                        <wps:spPr>
                          <a:xfrm rot="-10799999">
                            <a:off x="2581622" y="5683277"/>
                            <a:ext cx="5111716" cy="142889"/>
                          </a:xfrm>
                          <a:prstGeom prst="rect">
                            <a:avLst/>
                          </a:prstGeom>
                          <a:ln>
                            <a:noFill/>
                          </a:ln>
                        </wps:spPr>
                        <wps:txbx>
                          <w:txbxContent>
                            <w:p w14:paraId="6C7F6B65"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19227" name="Rectangle 19227"/>
                        <wps:cNvSpPr/>
                        <wps:spPr>
                          <a:xfrm rot="-10799999">
                            <a:off x="-1089225" y="5559947"/>
                            <a:ext cx="5002718" cy="142889"/>
                          </a:xfrm>
                          <a:prstGeom prst="rect">
                            <a:avLst/>
                          </a:prstGeom>
                          <a:ln>
                            <a:noFill/>
                          </a:ln>
                        </wps:spPr>
                        <wps:txbx>
                          <w:txbxContent>
                            <w:p w14:paraId="37978A49" w14:textId="77777777" w:rsidR="00B32EF2" w:rsidRDefault="00000000">
                              <w:r>
                                <w:rPr>
                                  <w:rFonts w:ascii="Arial" w:eastAsia="Arial" w:hAnsi="Arial" w:cs="Arial"/>
                                  <w:i/>
                                  <w:sz w:val="18"/>
                                </w:rPr>
                                <w:t>con le forme previste negli articoli 287 e 288 dal capo dell’ufficio a cui ap</w:t>
                              </w:r>
                            </w:p>
                          </w:txbxContent>
                        </wps:txbx>
                        <wps:bodyPr horzOverflow="overflow" vert="horz" lIns="0" tIns="0" rIns="0" bIns="0" rtlCol="0">
                          <a:noAutofit/>
                        </wps:bodyPr>
                      </wps:wsp>
                      <wps:wsp>
                        <wps:cNvPr id="19228" name="Rectangle 19228"/>
                        <wps:cNvSpPr/>
                        <wps:spPr>
                          <a:xfrm rot="-10799999">
                            <a:off x="97599" y="5559947"/>
                            <a:ext cx="50622" cy="142889"/>
                          </a:xfrm>
                          <a:prstGeom prst="rect">
                            <a:avLst/>
                          </a:prstGeom>
                          <a:ln>
                            <a:noFill/>
                          </a:ln>
                        </wps:spPr>
                        <wps:txbx>
                          <w:txbxContent>
                            <w:p w14:paraId="763F669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229" name="Rectangle 19229"/>
                        <wps:cNvSpPr/>
                        <wps:spPr>
                          <a:xfrm rot="-10799999">
                            <a:off x="868977" y="5436617"/>
                            <a:ext cx="3044516" cy="142889"/>
                          </a:xfrm>
                          <a:prstGeom prst="rect">
                            <a:avLst/>
                          </a:prstGeom>
                          <a:ln>
                            <a:noFill/>
                          </a:ln>
                        </wps:spPr>
                        <wps:txbx>
                          <w:txbxContent>
                            <w:p w14:paraId="1D082124" w14:textId="77777777" w:rsidR="00B32EF2" w:rsidRDefault="00000000">
                              <w:r>
                                <w:rPr>
                                  <w:rFonts w:ascii="Arial" w:eastAsia="Arial" w:hAnsi="Arial" w:cs="Arial"/>
                                  <w:i/>
                                  <w:sz w:val="18"/>
                                </w:rPr>
                                <w:t xml:space="preserve">partiene il cancelliere o l’ufficiale giudiziario. </w:t>
                              </w:r>
                            </w:p>
                          </w:txbxContent>
                        </wps:txbx>
                        <wps:bodyPr horzOverflow="overflow" vert="horz" lIns="0" tIns="0" rIns="0" bIns="0" rtlCol="0">
                          <a:noAutofit/>
                        </wps:bodyPr>
                      </wps:wsp>
                      <wps:wsp>
                        <wps:cNvPr id="201303" name="Rectangle 201303"/>
                        <wps:cNvSpPr/>
                        <wps:spPr>
                          <a:xfrm rot="-10799999">
                            <a:off x="2608459" y="5313288"/>
                            <a:ext cx="5003554" cy="142889"/>
                          </a:xfrm>
                          <a:prstGeom prst="rect">
                            <a:avLst/>
                          </a:prstGeom>
                          <a:ln>
                            <a:noFill/>
                          </a:ln>
                        </wps:spPr>
                        <wps:txbx>
                          <w:txbxContent>
                            <w:p w14:paraId="0FCC432B"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201304" name="Rectangle 201304"/>
                        <wps:cNvSpPr/>
                        <wps:spPr>
                          <a:xfrm rot="-10799999">
                            <a:off x="-1155578" y="5313288"/>
                            <a:ext cx="5003554" cy="142889"/>
                          </a:xfrm>
                          <a:prstGeom prst="rect">
                            <a:avLst/>
                          </a:prstGeom>
                          <a:ln>
                            <a:noFill/>
                          </a:ln>
                        </wps:spPr>
                        <wps:txbx>
                          <w:txbxContent>
                            <w:p w14:paraId="7BA80DC0" w14:textId="77777777" w:rsidR="00B32EF2" w:rsidRDefault="00000000">
                              <w:r>
                                <w:rPr>
                                  <w:rFonts w:ascii="Arial" w:eastAsia="Arial" w:hAnsi="Arial" w:cs="Arial"/>
                                  <w:i/>
                                  <w:sz w:val="18"/>
                                </w:rPr>
                                <w:t>. Nelle cause previste dall’articolo 82, primo comma, le spese, compe</w:t>
                              </w:r>
                            </w:p>
                          </w:txbxContent>
                        </wps:txbx>
                        <wps:bodyPr horzOverflow="overflow" vert="horz" lIns="0" tIns="0" rIns="0" bIns="0" rtlCol="0">
                          <a:noAutofit/>
                        </wps:bodyPr>
                      </wps:wsp>
                      <wps:wsp>
                        <wps:cNvPr id="19231" name="Rectangle 19231"/>
                        <wps:cNvSpPr/>
                        <wps:spPr>
                          <a:xfrm rot="-10799999">
                            <a:off x="97599" y="5313287"/>
                            <a:ext cx="50622" cy="142889"/>
                          </a:xfrm>
                          <a:prstGeom prst="rect">
                            <a:avLst/>
                          </a:prstGeom>
                          <a:ln>
                            <a:noFill/>
                          </a:ln>
                        </wps:spPr>
                        <wps:txbx>
                          <w:txbxContent>
                            <w:p w14:paraId="056F87B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232" name="Rectangle 19232"/>
                        <wps:cNvSpPr/>
                        <wps:spPr>
                          <a:xfrm rot="-10799999">
                            <a:off x="-1189783" y="5189958"/>
                            <a:ext cx="5109906" cy="142889"/>
                          </a:xfrm>
                          <a:prstGeom prst="rect">
                            <a:avLst/>
                          </a:prstGeom>
                          <a:ln>
                            <a:noFill/>
                          </a:ln>
                        </wps:spPr>
                        <wps:txbx>
                          <w:txbxContent>
                            <w:p w14:paraId="1A53CF0F" w14:textId="77777777" w:rsidR="00B32EF2" w:rsidRDefault="00000000">
                              <w:r>
                                <w:rPr>
                                  <w:rFonts w:ascii="Arial" w:eastAsia="Arial" w:hAnsi="Arial" w:cs="Arial"/>
                                  <w:i/>
                                  <w:sz w:val="18"/>
                                </w:rPr>
                                <w:t xml:space="preserve">tenze ed onorari liquidati dal giudice non possono superare il valore della </w:t>
                              </w:r>
                            </w:p>
                          </w:txbxContent>
                        </wps:txbx>
                        <wps:bodyPr horzOverflow="overflow" vert="horz" lIns="0" tIns="0" rIns="0" bIns="0" rtlCol="0">
                          <a:noAutofit/>
                        </wps:bodyPr>
                      </wps:wsp>
                      <wps:wsp>
                        <wps:cNvPr id="19233" name="Rectangle 19233"/>
                        <wps:cNvSpPr/>
                        <wps:spPr>
                          <a:xfrm rot="-10799999">
                            <a:off x="3231171" y="5066628"/>
                            <a:ext cx="682778" cy="142889"/>
                          </a:xfrm>
                          <a:prstGeom prst="rect">
                            <a:avLst/>
                          </a:prstGeom>
                          <a:ln>
                            <a:noFill/>
                          </a:ln>
                        </wps:spPr>
                        <wps:txbx>
                          <w:txbxContent>
                            <w:p w14:paraId="287A951C" w14:textId="77777777" w:rsidR="00B32EF2" w:rsidRDefault="00000000">
                              <w:r>
                                <w:rPr>
                                  <w:rFonts w:ascii="Arial" w:eastAsia="Arial" w:hAnsi="Arial" w:cs="Arial"/>
                                  <w:i/>
                                  <w:sz w:val="18"/>
                                </w:rPr>
                                <w:t>domanda.</w:t>
                              </w:r>
                            </w:p>
                          </w:txbxContent>
                        </wps:txbx>
                        <wps:bodyPr horzOverflow="overflow" vert="horz" lIns="0" tIns="0" rIns="0" bIns="0" rtlCol="0">
                          <a:noAutofit/>
                        </wps:bodyPr>
                      </wps:wsp>
                      <wps:wsp>
                        <wps:cNvPr id="19234" name="Rectangle 19234"/>
                        <wps:cNvSpPr/>
                        <wps:spPr>
                          <a:xfrm rot="-10799999">
                            <a:off x="-1190076" y="4943299"/>
                            <a:ext cx="5111685" cy="142889"/>
                          </a:xfrm>
                          <a:prstGeom prst="rect">
                            <a:avLst/>
                          </a:prstGeom>
                          <a:ln>
                            <a:noFill/>
                          </a:ln>
                        </wps:spPr>
                        <wps:txbx>
                          <w:txbxContent>
                            <w:p w14:paraId="69C56F17" w14:textId="77777777" w:rsidR="00B32EF2" w:rsidRDefault="00000000">
                              <w:r>
                                <w:rPr>
                                  <w:rFonts w:ascii="Arial" w:eastAsia="Arial" w:hAnsi="Arial" w:cs="Arial"/>
                                  <w:i/>
                                  <w:sz w:val="18"/>
                                </w:rPr>
                                <w:t xml:space="preserve">art. 92 c.p.c. “Condanna alle spese per singoli atti. Compensazione delle </w:t>
                              </w:r>
                            </w:p>
                          </w:txbxContent>
                        </wps:txbx>
                        <wps:bodyPr horzOverflow="overflow" vert="horz" lIns="0" tIns="0" rIns="0" bIns="0" rtlCol="0">
                          <a:noAutofit/>
                        </wps:bodyPr>
                      </wps:wsp>
                      <wps:wsp>
                        <wps:cNvPr id="19235" name="Rectangle 19235"/>
                        <wps:cNvSpPr/>
                        <wps:spPr>
                          <a:xfrm rot="-10799999">
                            <a:off x="3374555" y="4819969"/>
                            <a:ext cx="538938" cy="142889"/>
                          </a:xfrm>
                          <a:prstGeom prst="rect">
                            <a:avLst/>
                          </a:prstGeom>
                          <a:ln>
                            <a:noFill/>
                          </a:ln>
                        </wps:spPr>
                        <wps:txbx>
                          <w:txbxContent>
                            <w:p w14:paraId="7D72907D" w14:textId="77777777" w:rsidR="00B32EF2" w:rsidRDefault="00000000">
                              <w:r>
                                <w:rPr>
                                  <w:rFonts w:ascii="Arial" w:eastAsia="Arial" w:hAnsi="Arial" w:cs="Arial"/>
                                  <w:i/>
                                  <w:sz w:val="18"/>
                                </w:rPr>
                                <w:t xml:space="preserve">spese.” </w:t>
                              </w:r>
                            </w:p>
                          </w:txbxContent>
                        </wps:txbx>
                        <wps:bodyPr horzOverflow="overflow" vert="horz" lIns="0" tIns="0" rIns="0" bIns="0" rtlCol="0">
                          <a:noAutofit/>
                        </wps:bodyPr>
                      </wps:wsp>
                      <wps:wsp>
                        <wps:cNvPr id="201301" name="Rectangle 201301"/>
                        <wps:cNvSpPr/>
                        <wps:spPr>
                          <a:xfrm rot="-10799999">
                            <a:off x="2584885" y="4696639"/>
                            <a:ext cx="5098566" cy="142889"/>
                          </a:xfrm>
                          <a:prstGeom prst="rect">
                            <a:avLst/>
                          </a:prstGeom>
                          <a:ln>
                            <a:noFill/>
                          </a:ln>
                        </wps:spPr>
                        <wps:txbx>
                          <w:txbxContent>
                            <w:p w14:paraId="2CF2CBC1"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302" name="Rectangle 201302"/>
                        <wps:cNvSpPr/>
                        <wps:spPr>
                          <a:xfrm rot="-10799999">
                            <a:off x="-1246417" y="4696639"/>
                            <a:ext cx="5098566" cy="142889"/>
                          </a:xfrm>
                          <a:prstGeom prst="rect">
                            <a:avLst/>
                          </a:prstGeom>
                          <a:ln>
                            <a:noFill/>
                          </a:ln>
                        </wps:spPr>
                        <wps:txbx>
                          <w:txbxContent>
                            <w:p w14:paraId="2A088E3D" w14:textId="77777777" w:rsidR="00B32EF2" w:rsidRDefault="00000000">
                              <w:r>
                                <w:rPr>
                                  <w:rFonts w:ascii="Arial" w:eastAsia="Arial" w:hAnsi="Arial" w:cs="Arial"/>
                                  <w:i/>
                                  <w:sz w:val="18"/>
                                </w:rPr>
                                <w:t xml:space="preserve">. Il giudice, nel pronunciare la condanna di cui all’articolo precedente, può </w:t>
                              </w:r>
                            </w:p>
                          </w:txbxContent>
                        </wps:txbx>
                        <wps:bodyPr horzOverflow="overflow" vert="horz" lIns="0" tIns="0" rIns="0" bIns="0" rtlCol="0">
                          <a:noAutofit/>
                        </wps:bodyPr>
                      </wps:wsp>
                      <wps:wsp>
                        <wps:cNvPr id="19237" name="Rectangle 19237"/>
                        <wps:cNvSpPr/>
                        <wps:spPr>
                          <a:xfrm rot="-10799999">
                            <a:off x="-1090030" y="4573309"/>
                            <a:ext cx="5003523" cy="142889"/>
                          </a:xfrm>
                          <a:prstGeom prst="rect">
                            <a:avLst/>
                          </a:prstGeom>
                          <a:ln>
                            <a:noFill/>
                          </a:ln>
                        </wps:spPr>
                        <wps:txbx>
                          <w:txbxContent>
                            <w:p w14:paraId="78825EB9" w14:textId="77777777" w:rsidR="00B32EF2" w:rsidRDefault="00000000">
                              <w:r>
                                <w:rPr>
                                  <w:rFonts w:ascii="Arial" w:eastAsia="Arial" w:hAnsi="Arial" w:cs="Arial"/>
                                  <w:i/>
                                  <w:sz w:val="18"/>
                                </w:rPr>
                                <w:t>escludere la ripetizione delle spese sostenute dalla parte vincitrice, se le ri</w:t>
                              </w:r>
                            </w:p>
                          </w:txbxContent>
                        </wps:txbx>
                        <wps:bodyPr horzOverflow="overflow" vert="horz" lIns="0" tIns="0" rIns="0" bIns="0" rtlCol="0">
                          <a:noAutofit/>
                        </wps:bodyPr>
                      </wps:wsp>
                      <wps:wsp>
                        <wps:cNvPr id="19238" name="Rectangle 19238"/>
                        <wps:cNvSpPr/>
                        <wps:spPr>
                          <a:xfrm rot="-10799999">
                            <a:off x="97599" y="4573309"/>
                            <a:ext cx="50622" cy="142889"/>
                          </a:xfrm>
                          <a:prstGeom prst="rect">
                            <a:avLst/>
                          </a:prstGeom>
                          <a:ln>
                            <a:noFill/>
                          </a:ln>
                        </wps:spPr>
                        <wps:txbx>
                          <w:txbxContent>
                            <w:p w14:paraId="014B317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239" name="Rectangle 19239"/>
                        <wps:cNvSpPr/>
                        <wps:spPr>
                          <a:xfrm rot="-10799999">
                            <a:off x="-1187170" y="4449980"/>
                            <a:ext cx="5100663" cy="142889"/>
                          </a:xfrm>
                          <a:prstGeom prst="rect">
                            <a:avLst/>
                          </a:prstGeom>
                          <a:ln>
                            <a:noFill/>
                          </a:ln>
                        </wps:spPr>
                        <wps:txbx>
                          <w:txbxContent>
                            <w:p w14:paraId="31C61772" w14:textId="77777777" w:rsidR="00B32EF2" w:rsidRDefault="00000000">
                              <w:r>
                                <w:rPr>
                                  <w:rFonts w:ascii="Arial" w:eastAsia="Arial" w:hAnsi="Arial" w:cs="Arial"/>
                                  <w:i/>
                                  <w:sz w:val="18"/>
                                </w:rPr>
                                <w:t xml:space="preserve">tiene eccessive o superflue; e può, indipendentemente dalla soccombenza, </w:t>
                              </w:r>
                            </w:p>
                          </w:txbxContent>
                        </wps:txbx>
                        <wps:bodyPr horzOverflow="overflow" vert="horz" lIns="0" tIns="0" rIns="0" bIns="0" rtlCol="0">
                          <a:noAutofit/>
                        </wps:bodyPr>
                      </wps:wsp>
                      <wps:wsp>
                        <wps:cNvPr id="19240" name="Rectangle 19240"/>
                        <wps:cNvSpPr/>
                        <wps:spPr>
                          <a:xfrm rot="-10799999">
                            <a:off x="-1185193" y="4326650"/>
                            <a:ext cx="5092743" cy="142889"/>
                          </a:xfrm>
                          <a:prstGeom prst="rect">
                            <a:avLst/>
                          </a:prstGeom>
                          <a:ln>
                            <a:noFill/>
                          </a:ln>
                        </wps:spPr>
                        <wps:txbx>
                          <w:txbxContent>
                            <w:p w14:paraId="6360AC5E" w14:textId="77777777" w:rsidR="00B32EF2" w:rsidRDefault="00000000">
                              <w:r>
                                <w:rPr>
                                  <w:rFonts w:ascii="Arial" w:eastAsia="Arial" w:hAnsi="Arial" w:cs="Arial"/>
                                  <w:i/>
                                  <w:sz w:val="18"/>
                                </w:rPr>
                                <w:t xml:space="preserve">condannare una parte al rimborso delle spese, anche non ripetibili, che, per </w:t>
                              </w:r>
                            </w:p>
                          </w:txbxContent>
                        </wps:txbx>
                        <wps:bodyPr horzOverflow="overflow" vert="horz" lIns="0" tIns="0" rIns="0" bIns="0" rtlCol="0">
                          <a:noAutofit/>
                        </wps:bodyPr>
                      </wps:wsp>
                      <wps:wsp>
                        <wps:cNvPr id="19241" name="Rectangle 19241"/>
                        <wps:cNvSpPr/>
                        <wps:spPr>
                          <a:xfrm rot="-10799999">
                            <a:off x="-1186299" y="4203320"/>
                            <a:ext cx="5095449" cy="142889"/>
                          </a:xfrm>
                          <a:prstGeom prst="rect">
                            <a:avLst/>
                          </a:prstGeom>
                          <a:ln>
                            <a:noFill/>
                          </a:ln>
                        </wps:spPr>
                        <wps:txbx>
                          <w:txbxContent>
                            <w:p w14:paraId="328E5E93" w14:textId="77777777" w:rsidR="00B32EF2" w:rsidRDefault="00000000">
                              <w:r>
                                <w:rPr>
                                  <w:rFonts w:ascii="Arial" w:eastAsia="Arial" w:hAnsi="Arial" w:cs="Arial"/>
                                  <w:i/>
                                  <w:sz w:val="18"/>
                                </w:rPr>
                                <w:t xml:space="preserve">trasgressione al dovere di cui all’articolo 88, essa ha causato all’altra parte. </w:t>
                              </w:r>
                            </w:p>
                          </w:txbxContent>
                        </wps:txbx>
                        <wps:bodyPr horzOverflow="overflow" vert="horz" lIns="0" tIns="0" rIns="0" bIns="0" rtlCol="0">
                          <a:noAutofit/>
                        </wps:bodyPr>
                      </wps:wsp>
                      <wps:wsp>
                        <wps:cNvPr id="201299" name="Rectangle 201299"/>
                        <wps:cNvSpPr/>
                        <wps:spPr>
                          <a:xfrm rot="-10799999">
                            <a:off x="2583549" y="4079991"/>
                            <a:ext cx="5103947" cy="142889"/>
                          </a:xfrm>
                          <a:prstGeom prst="rect">
                            <a:avLst/>
                          </a:prstGeom>
                          <a:ln>
                            <a:noFill/>
                          </a:ln>
                        </wps:spPr>
                        <wps:txbx>
                          <w:txbxContent>
                            <w:p w14:paraId="142A5DA1"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300" name="Rectangle 201300"/>
                        <wps:cNvSpPr/>
                        <wps:spPr>
                          <a:xfrm rot="-10799999">
                            <a:off x="-1252781" y="4079991"/>
                            <a:ext cx="5103947" cy="142889"/>
                          </a:xfrm>
                          <a:prstGeom prst="rect">
                            <a:avLst/>
                          </a:prstGeom>
                          <a:ln>
                            <a:noFill/>
                          </a:ln>
                        </wps:spPr>
                        <wps:txbx>
                          <w:txbxContent>
                            <w:p w14:paraId="6E09FED0" w14:textId="77777777" w:rsidR="00B32EF2" w:rsidRDefault="00000000">
                              <w:r>
                                <w:rPr>
                                  <w:rFonts w:ascii="Arial" w:eastAsia="Arial" w:hAnsi="Arial" w:cs="Arial"/>
                                  <w:i/>
                                  <w:sz w:val="18"/>
                                </w:rPr>
                                <w:t xml:space="preserve">. Se vi è soccombenza reciproca ovvero nel caso di assoluta novità della </w:t>
                              </w:r>
                            </w:p>
                          </w:txbxContent>
                        </wps:txbx>
                        <wps:bodyPr horzOverflow="overflow" vert="horz" lIns="0" tIns="0" rIns="0" bIns="0" rtlCol="0">
                          <a:noAutofit/>
                        </wps:bodyPr>
                      </wps:wsp>
                      <wps:wsp>
                        <wps:cNvPr id="19243" name="Rectangle 19243"/>
                        <wps:cNvSpPr/>
                        <wps:spPr>
                          <a:xfrm rot="-10799999">
                            <a:off x="-1188123" y="3956661"/>
                            <a:ext cx="5103674" cy="142889"/>
                          </a:xfrm>
                          <a:prstGeom prst="rect">
                            <a:avLst/>
                          </a:prstGeom>
                          <a:ln>
                            <a:noFill/>
                          </a:ln>
                        </wps:spPr>
                        <wps:txbx>
                          <w:txbxContent>
                            <w:p w14:paraId="500A888E" w14:textId="77777777" w:rsidR="00B32EF2" w:rsidRDefault="00000000">
                              <w:r>
                                <w:rPr>
                                  <w:rFonts w:ascii="Arial" w:eastAsia="Arial" w:hAnsi="Arial" w:cs="Arial"/>
                                  <w:i/>
                                  <w:sz w:val="18"/>
                                </w:rPr>
                                <w:t xml:space="preserve">questione trattata o mutamento della giurisprudenza rispetto alle questioni </w:t>
                              </w:r>
                            </w:p>
                          </w:txbxContent>
                        </wps:txbx>
                        <wps:bodyPr horzOverflow="overflow" vert="horz" lIns="0" tIns="0" rIns="0" bIns="0" rtlCol="0">
                          <a:noAutofit/>
                        </wps:bodyPr>
                      </wps:wsp>
                      <wps:wsp>
                        <wps:cNvPr id="19244" name="Rectangle 19244"/>
                        <wps:cNvSpPr/>
                        <wps:spPr>
                          <a:xfrm rot="-10799999">
                            <a:off x="-1191171" y="3833331"/>
                            <a:ext cx="5115637" cy="142889"/>
                          </a:xfrm>
                          <a:prstGeom prst="rect">
                            <a:avLst/>
                          </a:prstGeom>
                          <a:ln>
                            <a:noFill/>
                          </a:ln>
                        </wps:spPr>
                        <wps:txbx>
                          <w:txbxContent>
                            <w:p w14:paraId="1DF64DB2" w14:textId="77777777" w:rsidR="00B32EF2" w:rsidRDefault="00000000">
                              <w:r>
                                <w:rPr>
                                  <w:rFonts w:ascii="Arial" w:eastAsia="Arial" w:hAnsi="Arial" w:cs="Arial"/>
                                  <w:i/>
                                  <w:sz w:val="18"/>
                                </w:rPr>
                                <w:t xml:space="preserve">dirimenti, il giudice può compensare le spese tra le parti, parzialmente o </w:t>
                              </w:r>
                            </w:p>
                          </w:txbxContent>
                        </wps:txbx>
                        <wps:bodyPr horzOverflow="overflow" vert="horz" lIns="0" tIns="0" rIns="0" bIns="0" rtlCol="0">
                          <a:noAutofit/>
                        </wps:bodyPr>
                      </wps:wsp>
                      <wps:wsp>
                        <wps:cNvPr id="19245" name="Rectangle 19245"/>
                        <wps:cNvSpPr/>
                        <wps:spPr>
                          <a:xfrm rot="-10799999">
                            <a:off x="3180304" y="3710002"/>
                            <a:ext cx="733188" cy="142889"/>
                          </a:xfrm>
                          <a:prstGeom prst="rect">
                            <a:avLst/>
                          </a:prstGeom>
                          <a:ln>
                            <a:noFill/>
                          </a:ln>
                        </wps:spPr>
                        <wps:txbx>
                          <w:txbxContent>
                            <w:p w14:paraId="21D5A080" w14:textId="77777777" w:rsidR="00B32EF2" w:rsidRDefault="00000000">
                              <w:r>
                                <w:rPr>
                                  <w:rFonts w:ascii="Arial" w:eastAsia="Arial" w:hAnsi="Arial" w:cs="Arial"/>
                                  <w:i/>
                                  <w:sz w:val="18"/>
                                </w:rPr>
                                <w:t xml:space="preserve">per intero. </w:t>
                              </w:r>
                            </w:p>
                          </w:txbxContent>
                        </wps:txbx>
                        <wps:bodyPr horzOverflow="overflow" vert="horz" lIns="0" tIns="0" rIns="0" bIns="0" rtlCol="0">
                          <a:noAutofit/>
                        </wps:bodyPr>
                      </wps:wsp>
                      <wps:wsp>
                        <wps:cNvPr id="201297" name="Rectangle 201297"/>
                        <wps:cNvSpPr/>
                        <wps:spPr>
                          <a:xfrm rot="-10799999">
                            <a:off x="2581894" y="3586672"/>
                            <a:ext cx="5110620" cy="142889"/>
                          </a:xfrm>
                          <a:prstGeom prst="rect">
                            <a:avLst/>
                          </a:prstGeom>
                          <a:ln>
                            <a:noFill/>
                          </a:ln>
                        </wps:spPr>
                        <wps:txbx>
                          <w:txbxContent>
                            <w:p w14:paraId="5CB95AF1"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1298" name="Rectangle 201298"/>
                        <wps:cNvSpPr/>
                        <wps:spPr>
                          <a:xfrm rot="-10799999">
                            <a:off x="-1255797" y="3586672"/>
                            <a:ext cx="5110621" cy="142889"/>
                          </a:xfrm>
                          <a:prstGeom prst="rect">
                            <a:avLst/>
                          </a:prstGeom>
                          <a:ln>
                            <a:noFill/>
                          </a:ln>
                        </wps:spPr>
                        <wps:txbx>
                          <w:txbxContent>
                            <w:p w14:paraId="0F40A832" w14:textId="77777777" w:rsidR="00B32EF2" w:rsidRDefault="00000000">
                              <w:r>
                                <w:rPr>
                                  <w:rFonts w:ascii="Arial" w:eastAsia="Arial" w:hAnsi="Arial" w:cs="Arial"/>
                                  <w:i/>
                                  <w:sz w:val="18"/>
                                </w:rPr>
                                <w:t xml:space="preserve">. Se le parti si sono conciliate, le spese si intendono compensate, salvo </w:t>
                              </w:r>
                            </w:p>
                          </w:txbxContent>
                        </wps:txbx>
                        <wps:bodyPr horzOverflow="overflow" vert="horz" lIns="0" tIns="0" rIns="0" bIns="0" rtlCol="0">
                          <a:noAutofit/>
                        </wps:bodyPr>
                      </wps:wsp>
                      <wps:wsp>
                        <wps:cNvPr id="19247" name="Rectangle 19247"/>
                        <wps:cNvSpPr/>
                        <wps:spPr>
                          <a:xfrm rot="-10799999">
                            <a:off x="-1188352" y="3463342"/>
                            <a:ext cx="5106531" cy="142889"/>
                          </a:xfrm>
                          <a:prstGeom prst="rect">
                            <a:avLst/>
                          </a:prstGeom>
                          <a:ln>
                            <a:noFill/>
                          </a:ln>
                        </wps:spPr>
                        <wps:txbx>
                          <w:txbxContent>
                            <w:p w14:paraId="01085DAC" w14:textId="77777777" w:rsidR="00B32EF2" w:rsidRDefault="00000000">
                              <w:r>
                                <w:rPr>
                                  <w:rFonts w:ascii="Arial" w:eastAsia="Arial" w:hAnsi="Arial" w:cs="Arial"/>
                                  <w:i/>
                                  <w:sz w:val="18"/>
                                </w:rPr>
                                <w:t xml:space="preserve">che le parti stesse abbiano diversamente convenuto nel processo verbale </w:t>
                              </w:r>
                            </w:p>
                          </w:txbxContent>
                        </wps:txbx>
                        <wps:bodyPr horzOverflow="overflow" vert="horz" lIns="0" tIns="0" rIns="0" bIns="0" rtlCol="0">
                          <a:noAutofit/>
                        </wps:bodyPr>
                      </wps:wsp>
                      <wps:wsp>
                        <wps:cNvPr id="19248" name="Rectangle 19248"/>
                        <wps:cNvSpPr/>
                        <wps:spPr>
                          <a:xfrm rot="-10799999">
                            <a:off x="2866791" y="3340013"/>
                            <a:ext cx="1047730" cy="142889"/>
                          </a:xfrm>
                          <a:prstGeom prst="rect">
                            <a:avLst/>
                          </a:prstGeom>
                          <a:ln>
                            <a:noFill/>
                          </a:ln>
                        </wps:spPr>
                        <wps:txbx>
                          <w:txbxContent>
                            <w:p w14:paraId="0EC8B89E" w14:textId="77777777" w:rsidR="00B32EF2" w:rsidRDefault="00000000">
                              <w:r>
                                <w:rPr>
                                  <w:rFonts w:ascii="Arial" w:eastAsia="Arial" w:hAnsi="Arial" w:cs="Arial"/>
                                  <w:i/>
                                  <w:sz w:val="18"/>
                                </w:rPr>
                                <w:t>di conciliazione</w:t>
                              </w:r>
                            </w:p>
                          </w:txbxContent>
                        </wps:txbx>
                        <wps:bodyPr horzOverflow="overflow" vert="horz" lIns="0" tIns="0" rIns="0" bIns="0" rtlCol="0">
                          <a:noAutofit/>
                        </wps:bodyPr>
                      </wps:wsp>
                      <wps:wsp>
                        <wps:cNvPr id="19249" name="Rectangle 19249"/>
                        <wps:cNvSpPr/>
                        <wps:spPr>
                          <a:xfrm rot="-10799999">
                            <a:off x="-470993" y="3216683"/>
                            <a:ext cx="4384487" cy="142889"/>
                          </a:xfrm>
                          <a:prstGeom prst="rect">
                            <a:avLst/>
                          </a:prstGeom>
                          <a:ln>
                            <a:noFill/>
                          </a:ln>
                        </wps:spPr>
                        <wps:txbx>
                          <w:txbxContent>
                            <w:p w14:paraId="74CA505E" w14:textId="77777777" w:rsidR="00B32EF2" w:rsidRDefault="00000000">
                              <w:r>
                                <w:rPr>
                                  <w:rFonts w:ascii="Arial" w:eastAsia="Arial" w:hAnsi="Arial" w:cs="Arial"/>
                                  <w:i/>
                                  <w:sz w:val="18"/>
                                </w:rPr>
                                <w:t xml:space="preserve">art.121 c.p.c. “Libertà di forme. Chiarezza e sinteticità degli atti.” </w:t>
                              </w:r>
                            </w:p>
                          </w:txbxContent>
                        </wps:txbx>
                        <wps:bodyPr horzOverflow="overflow" vert="horz" lIns="0" tIns="0" rIns="0" bIns="0" rtlCol="0">
                          <a:noAutofit/>
                        </wps:bodyPr>
                      </wps:wsp>
                      <wps:wsp>
                        <wps:cNvPr id="19250" name="Rectangle 19250"/>
                        <wps:cNvSpPr/>
                        <wps:spPr>
                          <a:xfrm rot="-10799999">
                            <a:off x="-1190862" y="3093353"/>
                            <a:ext cx="5114299" cy="142889"/>
                          </a:xfrm>
                          <a:prstGeom prst="rect">
                            <a:avLst/>
                          </a:prstGeom>
                          <a:ln>
                            <a:noFill/>
                          </a:ln>
                        </wps:spPr>
                        <wps:txbx>
                          <w:txbxContent>
                            <w:p w14:paraId="3677BAF7" w14:textId="77777777" w:rsidR="00B32EF2" w:rsidRDefault="00000000">
                              <w:r>
                                <w:rPr>
                                  <w:rFonts w:ascii="Arial" w:eastAsia="Arial" w:hAnsi="Arial" w:cs="Arial"/>
                                  <w:i/>
                                  <w:sz w:val="18"/>
                                </w:rPr>
                                <w:t xml:space="preserve">Gli atti del processo, per i quali la legge non richiede forme determinate, </w:t>
                              </w:r>
                            </w:p>
                          </w:txbxContent>
                        </wps:txbx>
                        <wps:bodyPr horzOverflow="overflow" vert="horz" lIns="0" tIns="0" rIns="0" bIns="0" rtlCol="0">
                          <a:noAutofit/>
                        </wps:bodyPr>
                      </wps:wsp>
                      <wps:wsp>
                        <wps:cNvPr id="19251" name="Rectangle 19251"/>
                        <wps:cNvSpPr/>
                        <wps:spPr>
                          <a:xfrm rot="-10799999">
                            <a:off x="-1186655" y="2970023"/>
                            <a:ext cx="5099234" cy="142889"/>
                          </a:xfrm>
                          <a:prstGeom prst="rect">
                            <a:avLst/>
                          </a:prstGeom>
                          <a:ln>
                            <a:noFill/>
                          </a:ln>
                        </wps:spPr>
                        <wps:txbx>
                          <w:txbxContent>
                            <w:p w14:paraId="4EA0C565" w14:textId="77777777" w:rsidR="00B32EF2" w:rsidRDefault="00000000">
                              <w:r>
                                <w:rPr>
                                  <w:rFonts w:ascii="Arial" w:eastAsia="Arial" w:hAnsi="Arial" w:cs="Arial"/>
                                  <w:i/>
                                  <w:sz w:val="18"/>
                                </w:rPr>
                                <w:t xml:space="preserve">possono essere compiuti nella forma più idonea al raggiungimento del loro </w:t>
                              </w:r>
                            </w:p>
                          </w:txbxContent>
                        </wps:txbx>
                        <wps:bodyPr horzOverflow="overflow" vert="horz" lIns="0" tIns="0" rIns="0" bIns="0" rtlCol="0">
                          <a:noAutofit/>
                        </wps:bodyPr>
                      </wps:wsp>
                      <wps:wsp>
                        <wps:cNvPr id="19252" name="Rectangle 19252"/>
                        <wps:cNvSpPr/>
                        <wps:spPr>
                          <a:xfrm rot="-10799999">
                            <a:off x="-877629" y="2846694"/>
                            <a:ext cx="4791122" cy="142889"/>
                          </a:xfrm>
                          <a:prstGeom prst="rect">
                            <a:avLst/>
                          </a:prstGeom>
                          <a:ln>
                            <a:noFill/>
                          </a:ln>
                        </wps:spPr>
                        <wps:txbx>
                          <w:txbxContent>
                            <w:p w14:paraId="0622B7C7" w14:textId="77777777" w:rsidR="00B32EF2" w:rsidRDefault="00000000">
                              <w:r>
                                <w:rPr>
                                  <w:rFonts w:ascii="Arial" w:eastAsia="Arial" w:hAnsi="Arial" w:cs="Arial"/>
                                  <w:i/>
                                  <w:sz w:val="18"/>
                                </w:rPr>
                                <w:t>scopo. Tutti gli atti del processo sono redatti in modo chiaro e sintetico</w:t>
                              </w:r>
                            </w:p>
                          </w:txbxContent>
                        </wps:txbx>
                        <wps:bodyPr horzOverflow="overflow" vert="horz" lIns="0" tIns="0" rIns="0" bIns="0" rtlCol="0">
                          <a:noAutofit/>
                        </wps:bodyPr>
                      </wps:wsp>
                      <wps:wsp>
                        <wps:cNvPr id="19253" name="Shape 19253"/>
                        <wps:cNvSpPr/>
                        <wps:spPr>
                          <a:xfrm>
                            <a:off x="31841" y="2770006"/>
                            <a:ext cx="3960000" cy="3504501"/>
                          </a:xfrm>
                          <a:custGeom>
                            <a:avLst/>
                            <a:gdLst/>
                            <a:ahLst/>
                            <a:cxnLst/>
                            <a:rect l="0" t="0" r="0" b="0"/>
                            <a:pathLst>
                              <a:path w="3960000" h="3504501">
                                <a:moveTo>
                                  <a:pt x="0" y="3504501"/>
                                </a:moveTo>
                                <a:lnTo>
                                  <a:pt x="3960000" y="3504501"/>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7C98068" id="Group 201366" o:spid="_x0000_s4365" style="width:314.3pt;height:494.05pt;mso-position-horizontal-relative:char;mso-position-vertical-relative:line" coordsize="39918,62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KmGQwAAKmAAAAOAAAAZHJzL2Uyb0RvYy54bWzkXW1v2zgS/n7A/QfD39OIpCiJQdPFob0t&#10;DjjcLnb3foDqyLEB2TJkt0nv198zJEXJCtMW5l0YLFsgcWiJkubhvHJm9Panx127+NL0x223v12y&#10;N9ly0exX3d12f3+7/PcfP19Vy8XxVO/v6rbbN7fLr81x+dO7v/7l7cPhpuHdpmvvmn6BSfbHm4fD&#10;7XJzOh1urq+Pq02zq49vukOzx5frrt/VJ/zZ31/f9fUDZt+11zzLiuuHrr879N2qOR4x+sF8uXyn&#10;51+vm9Xpl/X62JwW7e0S93bSP3v98xP9vH73tr657+vDZruyt1FfcBe7ervHRd1UH+pTvfjcb59M&#10;tduu+u7YrU9vVt3uuluvt6tGPwOehmWzp/nYd58P+lnubx7uD45MIO2MThdPu/rXl4/94ffDrz0o&#10;8XC4By30X/Qsj+t+R79xl4tHTbKvjmTN42mxwqBQilW5WC5W+K7gZS6z0hB1tQHln5y32vz9O2de&#10;Dxe+PrudhwMWyHGkwTGMBr9v6kOjSXu8AQ1+7RfbO6xfhTW1XOzrHZbqb1g89f6+bRZmWBNIH+3I&#10;dbw5gnIDrRZ9h/V1xbJS0T+9HiztmMoyycELoNJVwfGnIdJARlZWolCGilxmRV7Q944U9c2hP54+&#10;Nt1uQR9ulz3uTc9ff/nn8WQOHQ6h22n39HPf/bxtW/MtjYCiwx3Tp9Pjp0f92IJViq5Hg5+6u6+g&#10;xqbr//ML+Hrddg+3y85+WhKr4/L07XLR/mMPFIirhg/98OHT8KE/te87zXvmhv72+dStt/qOx6vZ&#10;OwO85h5eBGfmx5kNhMCquABnYFeoXOPMc6Zkpuerbwagq0zlJS5N7MJyXhnCvxzQZuGNpP+TAw2h&#10;ygmOOUfbcbvmL4Kac86EKAzUXBWs5DOeVgJ8jItHw9qt5SSYWmMqn8FaBrH1FZc5Z0Z88+extmow&#10;Cl/rxZcWX4P3vHytdSeR4iK+ZqwoCgatBgn9Daxj8rUYFnMSfE3WFzhrDrUZDpHgRQYFDKOLgIb0&#10;rvKZAIeEhxlXRhTgeVJAawHOnyJtx0Og5uBoRXYXYZ3lSjLNQ6NdJkWmMtLm0ZS101BJMLXG1MPV&#10;djwE6ysmyiJn4FsH9oyx44PtVFQSYJOo9hhmZjgMahjhWWX4GtMVrJpDzRmcrJjKWodDkjHMCFOP&#10;XWaGQ6CmGQAjWNrgPJffWcGhOqJJ7yopTU1gQL76TDK33C8yviG7Wckq41WzKuOVnAMtskqR1RYN&#10;6vRCZXB8fVC7Nf8/gLooleSvDGqKBVuRlYyaBmP5oHZr/nKouYC5R+JbyoKpp1BHNb9hdqYGNYU4&#10;PFBjOERNXzEOW0/B2iOoc8ErREAx4cTTgkUmFERKJAHOs7RCZdDVzL/XgeEQqCcWmRfnqBYZhYwS&#10;k93MEzoh8N1yD5DddkuLIUoixZyhKXQSMUxGfkFqUHsiJwS1W/MXQg3ZXTJrfMMKt5Q9l92STYxv&#10;s534YtuXFEZIDWo4vT417db8RVBPZLfGWZN1gnNk2Z1ceIz5w2MYDtHQ2pvWmydkjAHTqpwDTbKb&#10;AjbRjDEXL0jFxSL56mNot+YvYmhtd1fwoMnuVkLJfI40DIGCY5lFQ9qFC5JB2h8iw85ECFOPotsL&#10;c2TJ7QIFyYDsD44hWSQIZKQTZdzsa1QMCYNaOowKmosyL2nfIxY3j2GCJIDW25KegIkdD4Eam1Ys&#10;Q/iJBHehsFk1gxqblZUi+yAa1C5MkA7UnoCJhtqR4kIlLcDMhckjex7reLuVk2BBElhDl3IPV5vh&#10;EKa+yrnIuElBkIVCyJvUwSi/85zllcClozG1CxUkATQxL20azg1vOx4ENSOmpgw1CPA8xzb0DGsS&#10;4DFTEDhzsYJ0sPZYZRrrMLPM6Gqso29CjaUQja1dwCARqEtFyT2GrXVNzwIhTBr7LkuTOLbVOah/&#10;oRImgMrLMsvMBtEorIUqMGiFtZAZapx0TH0S9lx9NuU5NOlQkoNisDtTnIOxzfBp9bgfPlIRzzfr&#10;0g71ic6jSenjApU47l42+Gxvhb7foUTnj04feZoVXeE2x2/b/fQoNxseXe/74djhiOH3Qc83PXK4&#10;Lkj87PGgFub88SPPr45p6YH1/I4IGJySud0TPQiVGnWD67Y2BVG77QkFhe12h4gXJzBpJejbtFVG&#10;pmKLErKOp69tQyRr9781a1RC6SI3Gjj295/et/3iS02lS/qfqbZqD5vajtp57aH2GpiHzl+j7MpN&#10;yfSpZ1O+F/TfzmAPpvMaXbHozszMmSt7N6ZsEcV/eOiheBFP5k7SV+72J3f+HiWX+iKTpx0z0Ygu&#10;9NeLll1RhGquhMnccubIhYY1q0pG0S0suiKTgj/ZdYaPhezAUTIrbcqDfEOV41A+9/+psLMe/Ej9&#10;P3nhFWHqBPNZJSWGsfKIEAFQSwO1VMjQR9Y2JhzFtSSo8wnUL1xjh1qC4QmTUMIENeDwcbWzRi6C&#10;msmSscooZlmhsBIbFWdIc0Fu1mQ78sWRduZkEkjDgha+7F47HsbWXBaCnHFIcFlUApbYOdiSMaSG&#10;xoyDpRXb1qB6+NqOh4DNJcW0ka7ybawjbktiIdoHTIKxSYT7N6swHII0miFURj0Q1FIqVL/P2Bru&#10;FjK+R8PspWU4dllSg9oTHKEV4JTZRdpalUDXsLQf55gFGijlTA5lT7iTUHZa7CKUq6JS0MxacucC&#10;hdIzdhZZnktKcYgVARs9ySQkt9bGHp/ajofIbl5kVS4tSwuGVG4tICaOVpYJKSPuVo2uZDpYe5xq&#10;jXWwVw3tXEIxkJ5+nWA7ZzIJsCGqhWcX2gyHsPVET2ucZwIcDYwiFlLazbOUwmTCn7aP4RCUrxA5&#10;UWgqZhgan5WcS290RFAxUz9H1yIZhvYoamLosOC3gKBAZMQgjSgZ0nzPXayiQjAlpoflHItkgPZo&#10;aQI6WEkjWbuEcQ0lnSsUXcHhgpCYWGSIkRVVxBjZ6F0kA7UnREZQO2vlIjdLIL8TBplBumJKoTnk&#10;OdKiUiIiTyN3yaqnJIDWJrbHHLPjIZoawdC8Ip4lpi5UUYg51JmqZBHRpYYdmhzWHqNMYx1qlXF0&#10;hLStiV4p2O4Jk2BsEtX+yDeGQ9gakW8oa0rxJL6WpaCNSkw4UdYUPqF8iFihstHuTAZqf+QbijQE&#10;6tGjfgbnqB71aHQmg7I/8m30amDiSWkZOs+VqrQNNGFoSjwpYjK0MzpTgToHHJ7EEwyHMDQFT1Dm&#10;boIncLOKQs6hzhR63ceEWqfCpBQnyz3mN7Q3hkOhLsiP1moatdKUgzJT0yimzXFANDXtDJEkuBpm&#10;tsZjztZ2PARsuFpCEpRkkum3NOjFcybBBWUoxMPaWSKpYC18L9zQrlaoDOeS6xLZ1wu2dgiSkuHQ&#10;mHO+JhkeFgAndV2hqZjma7Q+oP7tMxnO0Nu5jLhTPRokSfA1YeoPgWM4RIIDauU2O0Ql8O8J1AyJ&#10;pBFF+GiQJAO1PwRuOpBc7G+hKAvhE6wiyG9RwrWal2UhpAK+j6erzesCkhHf2v7yhMrseAhXUz5w&#10;ZVvMCVkVxfxVOsj9RloCfL1YNviooZJgao2pJ1Zmx0OwRqMiJBpRu0Di6+fBhrcXDWyno5IAm5S1&#10;h6/NcBjUkM8IcRuo80KgXOeJXVYg2ywi1OlFzDxsTVA7x/Oi/Wq0+UUHbwBJTC1y9LPRJv3oWbMs&#10;L8uYDS/MGxWT0dYEqT8MjuEgps5L5I1ZXwtVrSjVOufpXFR5XsU0wNOKlwFpRKd9brUJWl9sgJOv&#10;laEJrGHqTAnx5F0MDK+6o9hpNE3tpFYqmlr6o+AYDmJqRFCwyWGSULhC2wRTRjHKbwmmp/y1eFA7&#10;sZUM1J4cFGJ2l6Bxkaa+qsoSGx6aqfHKO/22WiydEekcehxN/OMhPYqtZJB2YVHTwoZQ/oGQKKE2&#10;6WBjrC/TwWZWKO+6t5CgNk1ZtMCYtL+YtlZ54Q42pkHK2KPGdJwxG+3nNzse873uNMPjDccNv592&#10;s9HbDLpBjOmMc36kuYv5Mau2OzbgGpz2g31qdC8a8NSzvWpMkxkzp+dd3b5eNZ7GMrZXzTCNrx2N&#10;bSpzWYebV9GrRr8Y/uEeLwsH/e/7+rDZrj7Up3r6t+5tc9PwbtO1d03/7r8AAAD//wMAUEsDBBQA&#10;BgAIAAAAIQCOQEoB3QAAAAUBAAAPAAAAZHJzL2Rvd25yZXYueG1sTI9BS8NAEIXvgv9hGcGb3aTS&#10;EGM2pRT1VAq2gnibZqdJaHY2ZLdJ+u+79aKXgcd7vPdNvpxMKwbqXWNZQTyLQBCXVjdcKfjavz+l&#10;IJxH1thaJgUXcrAs7u9yzLQd+ZOGna9EKGGXoYLa+y6T0pU1GXQz2xEH72h7gz7IvpK6xzGUm1bO&#10;oyiRBhsOCzV2tK6pPO3ORsHHiOPqOX4bNqfj+vKzX2y/NzEp9fgwrV5BeJr8Xxhu+AEdisB0sGfW&#10;TrQKwiP+9wYvmacJiIOClzSNQRa5/E9fXAEAAP//AwBQSwECLQAUAAYACAAAACEAtoM4kv4AAADh&#10;AQAAEwAAAAAAAAAAAAAAAAAAAAAAW0NvbnRlbnRfVHlwZXNdLnhtbFBLAQItABQABgAIAAAAIQA4&#10;/SH/1gAAAJQBAAALAAAAAAAAAAAAAAAAAC8BAABfcmVscy8ucmVsc1BLAQItABQABgAIAAAAIQCs&#10;LFKmGQwAAKmAAAAOAAAAAAAAAAAAAAAAAC4CAABkcnMvZTJvRG9jLnhtbFBLAQItABQABgAIAAAA&#10;IQCOQEoB3QAAAAUBAAAPAAAAAAAAAAAAAAAAAHMOAABkcnMvZG93bnJldi54bWxQSwUGAAAAAAQA&#10;BADzAAAAfQ8AAAAA&#10;">
                <v:rect id="Rectangle 19200" o:spid="_x0000_s4366" style="position:absolute;left:19005;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OZLxwAAAN4AAAAPAAAAZHJzL2Rvd25yZXYueG1sRI9Ba8Mw&#10;DIXvg/4Ho0Jvq9MdSpbWLSUlLIddlnWwo4jVJG0sm9htsv36eTDYTeK99+lpu59ML+40+M6ygtUy&#10;AUFcW91xo+D0XjymIHxA1thbJgVf5GG/mz1sMdN25De6V6EREcI+QwVtCC6T0tctGfRL64ijdraD&#10;wRDXoZF6wDHCTS+fkmQtDXYcL7ToKG+pvlY3o+DzyK4sRlmfv3P3einT/uV2+lBqMZ8OGxCBpvBv&#10;/kuXOtZ/jkz4fSfOIHc/AAAA//8DAFBLAQItABQABgAIAAAAIQDb4fbL7gAAAIUBAAATAAAAAAAA&#10;AAAAAAAAAAAAAABbQ29udGVudF9UeXBlc10ueG1sUEsBAi0AFAAGAAgAAAAhAFr0LFu/AAAAFQEA&#10;AAsAAAAAAAAAAAAAAAAAHwEAAF9yZWxzLy5yZWxzUEsBAi0AFAAGAAgAAAAhAGfc5kvHAAAA3gAA&#10;AA8AAAAAAAAAAAAAAAAABwIAAGRycy9kb3ducmV2LnhtbFBLBQYAAAAAAwADALcAAAD7AgAAAAA=&#10;" filled="f" stroked="f">
                  <v:textbox inset="0,0,0,0">
                    <w:txbxContent>
                      <w:p w14:paraId="54A240FA" w14:textId="77777777" w:rsidR="00B32EF2" w:rsidRDefault="00000000">
                        <w:r>
                          <w:rPr>
                            <w:rFonts w:ascii="Times New Roman" w:eastAsia="Times New Roman" w:hAnsi="Times New Roman" w:cs="Times New Roman"/>
                          </w:rPr>
                          <w:t>55</w:t>
                        </w:r>
                      </w:p>
                    </w:txbxContent>
                  </v:textbox>
                </v:rect>
                <v:rect id="Rectangle 19201" o:spid="_x0000_s4367" style="position:absolute;left:15066;top:24195;width:809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EPQxQAAAN4AAAAPAAAAZHJzL2Rvd25yZXYueG1sRE9La8JA&#10;EL4X/A/LCL3VjR5KGl1FFDGHXppa6HHIjkk0O7tkN4/213cLhd7m43vOZjeZVgzU+cayguUiAUFc&#10;Wt1wpeDyfnpKQfiArLG1TAq+yMNuO3vYYKbtyG80FKESMYR9hgrqEFwmpS9rMugX1hFH7mo7gyHC&#10;rpK6wzGGm1aukuRZGmw4NtTo6FBTeS96o+DzyC4/jbK8fh/c6y1P23N/+VDqcT7t1yACTeFf/OfO&#10;dZz/skqW8PtOvEFufwAAAP//AwBQSwECLQAUAAYACAAAACEA2+H2y+4AAACFAQAAEwAAAAAAAAAA&#10;AAAAAAAAAAAAW0NvbnRlbnRfVHlwZXNdLnhtbFBLAQItABQABgAIAAAAIQBa9CxbvwAAABUBAAAL&#10;AAAAAAAAAAAAAAAAAB8BAABfcmVscy8ucmVsc1BLAQItABQABgAIAAAAIQAIkEPQxQAAAN4AAAAP&#10;AAAAAAAAAAAAAAAAAAcCAABkcnMvZG93bnJldi54bWxQSwUGAAAAAAMAAwC3AAAA+QIAAAAA&#10;" filled="f" stroked="f">
                  <v:textbox inset="0,0,0,0">
                    <w:txbxContent>
                      <w:p w14:paraId="71674FC3" w14:textId="77777777" w:rsidR="00B32EF2" w:rsidRDefault="00000000">
                        <w:r>
                          <w:rPr>
                            <w:rFonts w:ascii="Arial" w:eastAsia="Arial" w:hAnsi="Arial" w:cs="Arial"/>
                            <w:b/>
                            <w:sz w:val="18"/>
                          </w:rPr>
                          <w:t>Articolo 60</w:t>
                        </w:r>
                      </w:p>
                    </w:txbxContent>
                  </v:textbox>
                </v:rect>
                <v:rect id="Rectangle 201294" o:spid="_x0000_s4368" style="position:absolute;left:22213;top:22961;width:193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MeryAAAAN8AAAAPAAAAZHJzL2Rvd25yZXYueG1sRI9Pa8JA&#10;FMTvhX6H5Qm96cZQRFNXEYs0By/1D/T4yD6TaPbtkl1N6qd3C0KPw8z8hpkve9OIG7W+tqxgPEpA&#10;EBdW11wqOOw3wykIH5A1NpZJwS95WC5eX+aYadvxN912oRQRwj5DBVUILpPSFxUZ9CPriKN3sq3B&#10;EGVbSt1iF+GmkWmSTKTBmuNChY7WFRWX3dUo+Plkl286WZzua7c959Pm63o4KvU26FcfIAL14T/8&#10;bOdaQZqM09k7/P2JX0AuHgAAAP//AwBQSwECLQAUAAYACAAAACEA2+H2y+4AAACFAQAAEwAAAAAA&#10;AAAAAAAAAAAAAAAAW0NvbnRlbnRfVHlwZXNdLnhtbFBLAQItABQABgAIAAAAIQBa9CxbvwAAABUB&#10;AAALAAAAAAAAAAAAAAAAAB8BAABfcmVscy8ucmVsc1BLAQItABQABgAIAAAAIQCNQMeryAAAAN8A&#10;AAAPAAAAAAAAAAAAAAAAAAcCAABkcnMvZG93bnJldi54bWxQSwUGAAAAAAMAAwC3AAAA/AIAAAAA&#10;" filled="f" stroked="f">
                  <v:textbox inset="0,0,0,0">
                    <w:txbxContent>
                      <w:p w14:paraId="7BE9CF28" w14:textId="77777777" w:rsidR="00B32EF2" w:rsidRDefault="00000000">
                        <w:r>
                          <w:rPr>
                            <w:rFonts w:ascii="Arial" w:eastAsia="Arial" w:hAnsi="Arial" w:cs="Arial"/>
                            <w:i/>
                            <w:sz w:val="18"/>
                          </w:rPr>
                          <w:t>(</w:t>
                        </w:r>
                      </w:p>
                    </w:txbxContent>
                  </v:textbox>
                </v:rect>
                <v:rect id="Rectangle 201295" o:spid="_x0000_s4369" style="position:absolute;left:-2542;top:22961;width:193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IwyAAAAN8AAAAPAAAAZHJzL2Rvd25yZXYueG1sRI9Pa8JA&#10;FMTvhX6H5Qm96cZARVNXEYs0By/1D/T4yD6TaPbtkl1N6qd3C0KPw8z8hpkve9OIG7W+tqxgPEpA&#10;EBdW11wqOOw3wykIH5A1NpZJwS95WC5eX+aYadvxN912oRQRwj5DBVUILpPSFxUZ9CPriKN3sq3B&#10;EGVbSt1iF+GmkWmSTKTBmuNChY7WFRWX3dUo+Plkl286WZzua7c959Pm63o4KvU26FcfIAL14T/8&#10;bOdaQZqM09k7/P2JX0AuHgAAAP//AwBQSwECLQAUAAYACAAAACEA2+H2y+4AAACFAQAAEwAAAAAA&#10;AAAAAAAAAAAAAAAAW0NvbnRlbnRfVHlwZXNdLnhtbFBLAQItABQABgAIAAAAIQBa9CxbvwAAABUB&#10;AAALAAAAAAAAAAAAAAAAAB8BAABfcmVscy8ucmVsc1BLAQItABQABgAIAAAAIQDiDGIwyAAAAN8A&#10;AAAPAAAAAAAAAAAAAAAAAAcCAABkcnMvZG93bnJldi54bWxQSwUGAAAAAAMAAwC3AAAA/AIAAAAA&#10;" filled="f" stroked="f">
                  <v:textbox inset="0,0,0,0">
                    <w:txbxContent>
                      <w:p w14:paraId="1BD66EDF" w14:textId="77777777" w:rsidR="00B32EF2" w:rsidRDefault="00000000">
                        <w:r>
                          <w:rPr>
                            <w:rFonts w:ascii="Arial" w:eastAsia="Arial" w:hAnsi="Arial" w:cs="Arial"/>
                            <w:i/>
                            <w:sz w:val="18"/>
                          </w:rPr>
                          <w:t>546/92)</w:t>
                        </w:r>
                      </w:p>
                    </w:txbxContent>
                  </v:textbox>
                </v:rect>
                <v:rect id="Rectangle 201296" o:spid="_x0000_s4370" style="position:absolute;left:11666;top:22961;width:193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vxHxwAAAN8AAAAPAAAAZHJzL2Rvd25yZXYueG1sRI9Pi8Iw&#10;FMTvgt8hPGFvmtqDaDWKKLI97GX9Ax4fzbOtNi+hiba7n36zsLDHYWZ+w6w2vWnEi1pfW1YwnSQg&#10;iAuray4VnE+H8RyED8gaG8uk4Is8bNbDwQozbTv+pNcxlCJC2GeooArBZVL6oiKDfmIdcfRutjUY&#10;omxLqVvsItw0Mk2SmTRYc1yo0NGuouJxfBoF1z27/NDJ4va9cx/3fN68P88Xpd5G/XYJIlAf/sN/&#10;7VwrSJNpupjB75/4BeT6BwAA//8DAFBLAQItABQABgAIAAAAIQDb4fbL7gAAAIUBAAATAAAAAAAA&#10;AAAAAAAAAAAAAABbQ29udGVudF9UeXBlc10ueG1sUEsBAi0AFAAGAAgAAAAhAFr0LFu/AAAAFQEA&#10;AAsAAAAAAAAAAAAAAAAAHwEAAF9yZWxzLy5yZWxzUEsBAi0AFAAGAAgAAAAhABLe/EfHAAAA3wAA&#10;AA8AAAAAAAAAAAAAAAAABwIAAGRycy9kb3ducmV2LnhtbFBLBQYAAAAAAwADALcAAAD7AgAAAAA=&#10;" filled="f" stroked="f">
                  <v:textbox inset="0,0,0,0">
                    <w:txbxContent>
                      <w:p w14:paraId="1295D22D" w14:textId="77777777" w:rsidR="00B32EF2" w:rsidRDefault="00000000">
                        <w:r>
                          <w:rPr>
                            <w:rFonts w:ascii="Arial" w:eastAsia="Arial" w:hAnsi="Arial" w:cs="Arial"/>
                            <w:i/>
                            <w:sz w:val="18"/>
                          </w:rPr>
                          <w:t xml:space="preserve">articolo 16 D.lgs. n. </w:t>
                        </w:r>
                      </w:p>
                    </w:txbxContent>
                  </v:textbox>
                </v:rect>
                <v:rect id="Rectangle 19203" o:spid="_x0000_s4371" style="position:absolute;left:6042;top:21728;width:223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ng8xAAAAN4AAAAPAAAAZHJzL2Rvd25yZXYueG1sRE9Na8JA&#10;EL0L/Q/LFLzppgqiqasUi5hDL2oKPQ7ZMUmbnV2yq4n99a4geJvH+5zlujeNuFDra8sK3sYJCOLC&#10;6ppLBflxO5qD8AFZY2OZFFzJw3r1Mlhiqm3He7ocQiliCPsUFVQhuFRKX1Rk0I+tI47cybYGQ4Rt&#10;KXWLXQw3jZwkyUwarDk2VOhoU1HxdzgbBT+f7LJtJ4vT/8Z9/WbzZnfOv5UavvYf7yAC9eEpfrgz&#10;HecvJskU7u/EG+TqBgAA//8DAFBLAQItABQABgAIAAAAIQDb4fbL7gAAAIUBAAATAAAAAAAAAAAA&#10;AAAAAAAAAABbQ29udGVudF9UeXBlc10ueG1sUEsBAi0AFAAGAAgAAAAhAFr0LFu/AAAAFQEAAAsA&#10;AAAAAAAAAAAAAAAAHwEAAF9yZWxzLy5yZWxzUEsBAi0AFAAGAAgAAAAhAJcOeDzEAAAA3gAAAA8A&#10;AAAAAAAAAAAAAAAABwIAAGRycy9kb3ducmV2LnhtbFBLBQYAAAAAAwADALcAAAD4AgAAAAA=&#10;" filled="f" stroked="f">
                  <v:textbox inset="0,0,0,0">
                    <w:txbxContent>
                      <w:p w14:paraId="377D2A81" w14:textId="77777777" w:rsidR="00B32EF2" w:rsidRDefault="00000000">
                        <w:r>
                          <w:rPr>
                            <w:rFonts w:ascii="Arial" w:eastAsia="Arial" w:hAnsi="Arial" w:cs="Arial"/>
                            <w:b/>
                            <w:sz w:val="18"/>
                          </w:rPr>
                          <w:t xml:space="preserve">Comunicazioni e notificazioni </w:t>
                        </w:r>
                      </w:p>
                    </w:txbxContent>
                  </v:textbox>
                </v:rect>
                <v:rect id="Rectangle 201292" o:spid="_x0000_s4372" style="position:absolute;left:26109;top:20495;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fpExwAAAN8AAAAPAAAAZHJzL2Rvd25yZXYueG1sRI9Ba8JA&#10;FITvBf/D8gRvdWMOotFVRBFz6KVqocdH9plEs2+X7GrS/vpuQfA4zMw3zHLdm0Y8qPW1ZQWTcQKC&#10;uLC65lLB+bR/n4HwAVljY5kU/JCH9WrwtsRM244/6XEMpYgQ9hkqqEJwmZS+qMigH1tHHL2LbQ2G&#10;KNtS6ha7CDeNTJNkKg3WHBcqdLStqLgd70bB945dvu9kcfnduo9rPmsO9/OXUqNhv1mACNSHV/jZ&#10;zrWCNJmk8xT+/8QvIFd/AAAA//8DAFBLAQItABQABgAIAAAAIQDb4fbL7gAAAIUBAAATAAAAAAAA&#10;AAAAAAAAAAAAAABbQ29udGVudF9UeXBlc10ueG1sUEsBAi0AFAAGAAgAAAAhAFr0LFu/AAAAFQEA&#10;AAsAAAAAAAAAAAAAAAAAHwEAAF9yZWxzLy5yZWxzUEsBAi0AFAAGAAgAAAAhAG3l+kTHAAAA3wAA&#10;AA8AAAAAAAAAAAAAAAAABwIAAGRycy9kb3ducmV2LnhtbFBLBQYAAAAAAwADALcAAAD7AgAAAAA=&#10;" filled="f" stroked="f">
                  <v:textbox inset="0,0,0,0">
                    <w:txbxContent>
                      <w:p w14:paraId="0A312F5F" w14:textId="77777777" w:rsidR="00B32EF2" w:rsidRDefault="00000000">
                        <w:r>
                          <w:rPr>
                            <w:rFonts w:ascii="Arial" w:eastAsia="Arial" w:hAnsi="Arial" w:cs="Arial"/>
                            <w:sz w:val="18"/>
                          </w:rPr>
                          <w:t>1</w:t>
                        </w:r>
                      </w:p>
                    </w:txbxContent>
                  </v:textbox>
                </v:rect>
                <v:rect id="Rectangle 201293" o:spid="_x0000_s4373" style="position:absolute;left:-13764;top:2049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fyAAAAN8AAAAPAAAAZHJzL2Rvd25yZXYueG1sRI9Pa8JA&#10;FMTvhX6H5Qm96cYURFNXEYs0By/1D/T4yD6TaPbtkl1N6qd3C0KPw8z8hpkve9OIG7W+tqxgPEpA&#10;EBdW11wqOOw3wykIH5A1NpZJwS95WC5eX+aYadvxN912oRQRwj5DBVUILpPSFxUZ9CPriKN3sq3B&#10;EGVbSt1iF+GmkWmSTKTBmuNChY7WFRWX3dUo+Plkl286WZzua7c959Pm63o4KvU26FcfIAL14T/8&#10;bOdaQZqM09k7/P2JX0AuHgAAAP//AwBQSwECLQAUAAYACAAAACEA2+H2y+4AAACFAQAAEwAAAAAA&#10;AAAAAAAAAAAAAAAAW0NvbnRlbnRfVHlwZXNdLnhtbFBLAQItABQABgAIAAAAIQBa9CxbvwAAABUB&#10;AAALAAAAAAAAAAAAAAAAAB8BAABfcmVscy8ucmVsc1BLAQItABQABgAIAAAAIQACqV/fyAAAAN8A&#10;AAAPAAAAAAAAAAAAAAAAAAcCAABkcnMvZG93bnJldi54bWxQSwUGAAAAAAMAAwC3AAAA/AIAAAAA&#10;" filled="f" stroked="f">
                  <v:textbox inset="0,0,0,0">
                    <w:txbxContent>
                      <w:p w14:paraId="53EEDF48" w14:textId="77777777" w:rsidR="00B32EF2" w:rsidRDefault="00000000">
                        <w:r>
                          <w:rPr>
                            <w:rFonts w:ascii="Arial" w:eastAsia="Arial" w:hAnsi="Arial" w:cs="Arial"/>
                            <w:sz w:val="18"/>
                          </w:rPr>
                          <w:t xml:space="preserve">. Le comunicazioni sono fatte mediante avviso della segreteria della corte di </w:t>
                        </w:r>
                      </w:p>
                    </w:txbxContent>
                  </v:textbox>
                </v:rect>
                <v:rect id="Rectangle 19205" o:spid="_x0000_s4374" style="position:absolute;left:-12210;top:19261;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0XTxAAAAN4AAAAPAAAAZHJzL2Rvd25yZXYueG1sRE9Na8JA&#10;EL0L/Q/LFLzppoKiqasUi5hDL2oKPQ7ZMUmbnV2yq4n99a4geJvH+5zlujeNuFDra8sK3sYJCOLC&#10;6ppLBflxO5qD8AFZY2OZFFzJw3r1Mlhiqm3He7ocQiliCPsUFVQhuFRKX1Rk0I+tI47cybYGQ4Rt&#10;KXWLXQw3jZwkyUwarDk2VOhoU1HxdzgbBT+f7LJtJ4vT/8Z9/WbzZnfOv5UavvYf7yAC9eEpfrgz&#10;HecvJskU7u/EG+TqBgAA//8DAFBLAQItABQABgAIAAAAIQDb4fbL7gAAAIUBAAATAAAAAAAAAAAA&#10;AAAAAAAAAABbQ29udGVudF9UeXBlc10ueG1sUEsBAi0AFAAGAAgAAAAhAFr0LFu/AAAAFQEAAAsA&#10;AAAAAAAAAAAAAAAAHwEAAF9yZWxzLy5yZWxzUEsBAi0AFAAGAAgAAAAhAHerRdPEAAAA3gAAAA8A&#10;AAAAAAAAAAAAAAAABwIAAGRycy9kb3ducmV2LnhtbFBLBQYAAAAAAwADALcAAAD4AgAAAAA=&#10;" filled="f" stroked="f">
                  <v:textbox inset="0,0,0,0">
                    <w:txbxContent>
                      <w:p w14:paraId="176D7356" w14:textId="77777777" w:rsidR="00B32EF2" w:rsidRDefault="00000000">
                        <w:r>
                          <w:rPr>
                            <w:rFonts w:ascii="Arial" w:eastAsia="Arial" w:hAnsi="Arial" w:cs="Arial"/>
                            <w:sz w:val="18"/>
                          </w:rPr>
                          <w:t>giustizia tributaria di primo e secondo grado consegnato alle parti, che ne rila</w:t>
                        </w:r>
                      </w:p>
                    </w:txbxContent>
                  </v:textbox>
                </v:rect>
                <v:rect id="Rectangle 19206" o:spid="_x0000_s4375" style="position:absolute;left:192;top:1926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dukxQAAAN4AAAAPAAAAZHJzL2Rvd25yZXYueG1sRE9Na8JA&#10;EL0X/A/LCL3VjR5CmrpKUaQ5eDG10OOQHZO02dkluyaxv74rFHqbx/uc9XYynRio961lBctFAoK4&#10;srrlWsH5/fCUgfABWWNnmRTcyMN2M3tYY67tyCcaylCLGMI+RwVNCC6X0lcNGfQL64gjd7G9wRBh&#10;X0vd4xjDTSdXSZJKgy3HhgYd7RqqvsurUfC5Z1ccRlldfnbu+FVk3dv1/KHU43x6fQERaAr/4j93&#10;oeP851WSwv2deIPc/AIAAP//AwBQSwECLQAUAAYACAAAACEA2+H2y+4AAACFAQAAEwAAAAAAAAAA&#10;AAAAAAAAAAAAW0NvbnRlbnRfVHlwZXNdLnhtbFBLAQItABQABgAIAAAAIQBa9CxbvwAAABUBAAAL&#10;AAAAAAAAAAAAAAAAAB8BAABfcmVscy8ucmVsc1BLAQItABQABgAIAAAAIQCHedukxQAAAN4AAAAP&#10;AAAAAAAAAAAAAAAAAAcCAABkcnMvZG93bnJldi54bWxQSwUGAAAAAAMAAwC3AAAA+QIAAAAA&#10;" filled="f" stroked="f">
                  <v:textbox inset="0,0,0,0">
                    <w:txbxContent>
                      <w:p w14:paraId="4287EB3F" w14:textId="77777777" w:rsidR="00B32EF2" w:rsidRDefault="00000000">
                        <w:r>
                          <w:rPr>
                            <w:rFonts w:ascii="Arial" w:eastAsia="Arial" w:hAnsi="Arial" w:cs="Arial"/>
                            <w:sz w:val="18"/>
                          </w:rPr>
                          <w:t>-</w:t>
                        </w:r>
                      </w:p>
                    </w:txbxContent>
                  </v:textbox>
                </v:rect>
                <v:rect id="Rectangle 19207" o:spid="_x0000_s4376" style="position:absolute;left:-13171;top:1802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X4/xQAAAN4AAAAPAAAAZHJzL2Rvd25yZXYueG1sRE9La8JA&#10;EL4L/Q/LFLzpph58pK5SLGIOvagp9DhkxyRtdnbJrib217uC4G0+vucs171pxIVaX1tW8DZOQBAX&#10;VtdcKsiP29EchA/IGhvLpOBKHtarl8ESU2073tPlEEoRQ9inqKAKwaVS+qIig35sHXHkTrY1GCJs&#10;S6lb7GK4aeQkSabSYM2xoUJHm4qKv8PZKPj5ZJdtO1mc/jfu6zebN7tz/q3U8LX/eAcRqA9P8cOd&#10;6Th/MUlmcH8n3iBXNwAAAP//AwBQSwECLQAUAAYACAAAACEA2+H2y+4AAACFAQAAEwAAAAAAAAAA&#10;AAAAAAAAAAAAW0NvbnRlbnRfVHlwZXNdLnhtbFBLAQItABQABgAIAAAAIQBa9CxbvwAAABUBAAAL&#10;AAAAAAAAAAAAAAAAAB8BAABfcmVscy8ucmVsc1BLAQItABQABgAIAAAAIQDoNX4/xQAAAN4AAAAP&#10;AAAAAAAAAAAAAAAAAAcCAABkcnMvZG93bnJldi54bWxQSwUGAAAAAAMAAwC3AAAA+QIAAAAA&#10;" filled="f" stroked="f">
                  <v:textbox inset="0,0,0,0">
                    <w:txbxContent>
                      <w:p w14:paraId="28B3D5EE" w14:textId="77777777" w:rsidR="00B32EF2" w:rsidRDefault="00000000">
                        <w:r>
                          <w:rPr>
                            <w:rFonts w:ascii="Arial" w:eastAsia="Arial" w:hAnsi="Arial" w:cs="Arial"/>
                            <w:sz w:val="18"/>
                          </w:rPr>
                          <w:t xml:space="preserve">sciano immediatamente ricevuta, o spedito a mezzo del servizio postale con </w:t>
                        </w:r>
                      </w:p>
                    </w:txbxContent>
                  </v:textbox>
                </v:rect>
                <v:rect id="Rectangle 19208" o:spid="_x0000_s4377" style="position:absolute;left:-13171;top:1679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upNxwAAAN4AAAAPAAAAZHJzL2Rvd25yZXYueG1sRI9Bb8Iw&#10;DIXvk/YfIk/abaTjgFhHQIgJ0QMXGJN2tBrTdjRO1ATa8evxAYmbrff83ufZYnCtulAXG88G3kcZ&#10;KOLS24YrA4fv9dsUVEzIFlvPZOCfIizmz08zzK3veUeXfaqUhHDM0UCdUsi1jmVNDuPIB2LRjr5z&#10;mGTtKm077CXctXqcZRPtsGFpqDHQqqbytD87A79fHIp1r8vjdRW2f8W03ZwPP8a8vgzLT1CJhvQw&#10;368LK/gf40x45R2ZQc9vAAAA//8DAFBLAQItABQABgAIAAAAIQDb4fbL7gAAAIUBAAATAAAAAAAA&#10;AAAAAAAAAAAAAABbQ29udGVudF9UeXBlc10ueG1sUEsBAi0AFAAGAAgAAAAhAFr0LFu/AAAAFQEA&#10;AAsAAAAAAAAAAAAAAAAAHwEAAF9yZWxzLy5yZWxzUEsBAi0AFAAGAAgAAAAhAJmq6k3HAAAA3gAA&#10;AA8AAAAAAAAAAAAAAAAABwIAAGRycy9kb3ducmV2LnhtbFBLBQYAAAAAAwADALcAAAD7AgAAAAA=&#10;" filled="f" stroked="f">
                  <v:textbox inset="0,0,0,0">
                    <w:txbxContent>
                      <w:p w14:paraId="4FC9FA6D" w14:textId="77777777" w:rsidR="00B32EF2" w:rsidRDefault="00000000">
                        <w:r>
                          <w:rPr>
                            <w:rFonts w:ascii="Arial" w:eastAsia="Arial" w:hAnsi="Arial" w:cs="Arial"/>
                            <w:sz w:val="18"/>
                          </w:rPr>
                          <w:t xml:space="preserve">raccomandata con avviso di ricevimento. Le comunicazioni agli enti impositori, </w:t>
                        </w:r>
                      </w:p>
                    </w:txbxContent>
                  </v:textbox>
                </v:rect>
                <v:rect id="Rectangle 19209" o:spid="_x0000_s4378" style="position:absolute;left:-13172;top:1556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k/WxQAAAN4AAAAPAAAAZHJzL2Rvd25yZXYueG1sRE9Na8JA&#10;EL0L/Q/LFHrTTXOQGF1FUsQceqm10OOQHZNodnbJrknaX98tFHqbx/uczW4ynRio961lBc+LBARx&#10;ZXXLtYLz+2GegfABWWNnmRR8kYfd9mG2wVzbkd9oOIVaxBD2OSpoQnC5lL5qyKBfWEccuYvtDYYI&#10;+1rqHscYbjqZJslSGmw5NjToqGioup3uRsHnC7vyMMrq8l2412uZdcf7+UOpp8dpvwYRaAr/4j93&#10;qeP8VZqs4PedeIPc/gAAAP//AwBQSwECLQAUAAYACAAAACEA2+H2y+4AAACFAQAAEwAAAAAAAAAA&#10;AAAAAAAAAAAAW0NvbnRlbnRfVHlwZXNdLnhtbFBLAQItABQABgAIAAAAIQBa9CxbvwAAABUBAAAL&#10;AAAAAAAAAAAAAAAAAB8BAABfcmVscy8ucmVsc1BLAQItABQABgAIAAAAIQD25k/WxQAAAN4AAAAP&#10;AAAAAAAAAAAAAAAAAAcCAABkcnMvZG93bnJldi54bWxQSwUGAAAAAAMAAwC3AAAA+QIAAAAA&#10;" filled="f" stroked="f">
                  <v:textbox inset="0,0,0,0">
                    <w:txbxContent>
                      <w:p w14:paraId="12EFF654" w14:textId="77777777" w:rsidR="00B32EF2" w:rsidRDefault="00000000">
                        <w:r>
                          <w:rPr>
                            <w:rFonts w:ascii="Arial" w:eastAsia="Arial" w:hAnsi="Arial" w:cs="Arial"/>
                            <w:sz w:val="18"/>
                          </w:rPr>
                          <w:t xml:space="preserve">agli agenti della riscossione ed ai soggetti iscritti nell’albo di cui all’articolo 53 </w:t>
                        </w:r>
                      </w:p>
                    </w:txbxContent>
                  </v:textbox>
                </v:rect>
                <v:rect id="Rectangle 19210" o:spid="_x0000_s4379" style="position:absolute;left:-12205;top:14328;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XCWxwAAAN4AAAAPAAAAZHJzL2Rvd25yZXYueG1sRI9Bb8Iw&#10;DIXvk/YfIiPtNlI4TKwjIMSE1sMuMJB2tBrTFhonagLt9uvxAYmbLT+/9775cnCtulIXG88GJuMM&#10;FHHpbcOVgf3P5nUGKiZki61nMvBHEZaL56c55tb3vKXrLlVKTDjmaKBOKeRax7Imh3HsA7Hcjr5z&#10;mGTtKm077MXctXqaZW/aYcOSUGOgdU3leXdxBn4/ORSbXpfH/3X4PhWz9uuyPxjzMhpWH6ASDekh&#10;vn8XVuq/TycCIDgyg17cAAAA//8DAFBLAQItABQABgAIAAAAIQDb4fbL7gAAAIUBAAATAAAAAAAA&#10;AAAAAAAAAAAAAABbQ29udGVudF9UeXBlc10ueG1sUEsBAi0AFAAGAAgAAAAhAFr0LFu/AAAAFQEA&#10;AAsAAAAAAAAAAAAAAAAAHwEAAF9yZWxzLy5yZWxzUEsBAi0AFAAGAAgAAAAhAOIFcJbHAAAA3gAA&#10;AA8AAAAAAAAAAAAAAAAABwIAAGRycy9kb3ducmV2LnhtbFBLBQYAAAAAAwADALcAAAD7AgAAAAA=&#10;" filled="f" stroked="f">
                  <v:textbox inset="0,0,0,0">
                    <w:txbxContent>
                      <w:p w14:paraId="45FC4469" w14:textId="77777777" w:rsidR="00B32EF2" w:rsidRDefault="00000000">
                        <w:r>
                          <w:rPr>
                            <w:rFonts w:ascii="Arial" w:eastAsia="Arial" w:hAnsi="Arial" w:cs="Arial"/>
                            <w:sz w:val="18"/>
                          </w:rPr>
                          <w:t>del decreto legislativo 15 dicembre 1997, n. 446, possono essere fatte median</w:t>
                        </w:r>
                      </w:p>
                    </w:txbxContent>
                  </v:textbox>
                </v:rect>
                <v:rect id="Rectangle 19211" o:spid="_x0000_s4380" style="position:absolute;left:192;top:1432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UNxAAAAN4AAAAPAAAAZHJzL2Rvd25yZXYueG1sRE9Ni8Iw&#10;EL0L+x/CLHjTtB7E7RpFFLEHL7ou7HFoxrZrMwlNtNVfb4SFvc3jfc582ZtG3Kj1tWUF6TgBQVxY&#10;XXOp4PS1Hc1A+ICssbFMCu7kYbl4G8wx07bjA92OoRQxhH2GCqoQXCalLyoy6MfWEUfubFuDIcK2&#10;lLrFLoabRk6SZCoN1hwbKnS0rqi4HK9Gwc+GXb7tZHF+rN3+N581u+vpW6nhe7/6BBGoD//iP3eu&#10;4/yPSZrC6514g1w8AQAA//8DAFBLAQItABQABgAIAAAAIQDb4fbL7gAAAIUBAAATAAAAAAAAAAAA&#10;AAAAAAAAAABbQ29udGVudF9UeXBlc10ueG1sUEsBAi0AFAAGAAgAAAAhAFr0LFu/AAAAFQEAAAsA&#10;AAAAAAAAAAAAAAAAHwEAAF9yZWxzLy5yZWxzUEsBAi0AFAAGAAgAAAAhAI1J1Q3EAAAA3gAAAA8A&#10;AAAAAAAAAAAAAAAABwIAAGRycy9kb3ducmV2LnhtbFBLBQYAAAAAAwADALcAAAD4AgAAAAA=&#10;" filled="f" stroked="f">
                  <v:textbox inset="0,0,0,0">
                    <w:txbxContent>
                      <w:p w14:paraId="1F62A0F2" w14:textId="77777777" w:rsidR="00B32EF2" w:rsidRDefault="00000000">
                        <w:r>
                          <w:rPr>
                            <w:rFonts w:ascii="Arial" w:eastAsia="Arial" w:hAnsi="Arial" w:cs="Arial"/>
                            <w:sz w:val="18"/>
                          </w:rPr>
                          <w:t>-</w:t>
                        </w:r>
                      </w:p>
                    </w:txbxContent>
                  </v:textbox>
                </v:rect>
                <v:rect id="Rectangle 19212" o:spid="_x0000_s4381" style="position:absolute;left:-13172;top:1309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0t6xAAAAN4AAAAPAAAAZHJzL2Rvd25yZXYueG1sRE9Na8JA&#10;EL0L/Q/LFLzpxhzEpq4iiphDL7URPA7ZMUnNzi7Z1aT+erdQ6G0e73OW68G04k6dbywrmE0TEMSl&#10;1Q1XCoqv/WQBwgdkja1lUvBDHtarl9ESM217/qT7MVQihrDPUEEdgsuk9GVNBv3UOuLIXWxnMETY&#10;VVJ32Mdw08o0SebSYMOxoUZH25rK6/FmFJx37PJ9L8vLY+s+vvNFe7gVJ6XGr8PmHUSgIfyL/9y5&#10;jvPf0lkKv+/EG+TqCQAA//8DAFBLAQItABQABgAIAAAAIQDb4fbL7gAAAIUBAAATAAAAAAAAAAAA&#10;AAAAAAAAAABbQ29udGVudF9UeXBlc10ueG1sUEsBAi0AFAAGAAgAAAAhAFr0LFu/AAAAFQEAAAsA&#10;AAAAAAAAAAAAAAAAHwEAAF9yZWxzLy5yZWxzUEsBAi0AFAAGAAgAAAAhAH2bS3rEAAAA3gAAAA8A&#10;AAAAAAAAAAAAAAAABwIAAGRycy9kb3ducmV2LnhtbFBLBQYAAAAAAwADALcAAAD4AgAAAAA=&#10;" filled="f" stroked="f">
                  <v:textbox inset="0,0,0,0">
                    <w:txbxContent>
                      <w:p w14:paraId="187202B9" w14:textId="77777777" w:rsidR="00B32EF2" w:rsidRDefault="00000000">
                        <w:r>
                          <w:rPr>
                            <w:rFonts w:ascii="Arial" w:eastAsia="Arial" w:hAnsi="Arial" w:cs="Arial"/>
                            <w:sz w:val="18"/>
                          </w:rPr>
                          <w:t xml:space="preserve">te trasmissione di elenco in duplice esemplare, uno dei quali, immediatamente </w:t>
                        </w:r>
                      </w:p>
                    </w:txbxContent>
                  </v:textbox>
                </v:rect>
                <v:rect id="Rectangle 19213" o:spid="_x0000_s4382" style="position:absolute;left:-12207;top:11862;width:5212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7hxAAAAN4AAAAPAAAAZHJzL2Rvd25yZXYueG1sRE9Li8Iw&#10;EL4L+x/CLHhbU10QrUZZXGR78LI+wOPQjG21mYQm2uqvNwsL3ubje8582Zla3KjxlWUFw0ECgji3&#10;uuJCwX63/piA8AFZY22ZFNzJw3Lx1ptjqm3Lv3TbhkLEEPYpKihDcKmUPi/JoB9YRxy5k20Mhgib&#10;QuoG2xhuajlKkrE0WHFsKNHRqqT8sr0aBcdvdtm6lfnpsXKbczapf677g1L99+5rBiJQF17if3em&#10;4/zpaPgJf+/EG+TiCQAA//8DAFBLAQItABQABgAIAAAAIQDb4fbL7gAAAIUBAAATAAAAAAAAAAAA&#10;AAAAAAAAAABbQ29udGVudF9UeXBlc10ueG1sUEsBAi0AFAAGAAgAAAAhAFr0LFu/AAAAFQEAAAsA&#10;AAAAAAAAAAAAAAAAHwEAAF9yZWxzLy5yZWxzUEsBAi0AFAAGAAgAAAAhABLX7uHEAAAA3gAAAA8A&#10;AAAAAAAAAAAAAAAABwIAAGRycy9kb3ducmV2LnhtbFBLBQYAAAAAAwADALcAAAD4AgAAAAA=&#10;" filled="f" stroked="f">
                  <v:textbox inset="0,0,0,0">
                    <w:txbxContent>
                      <w:p w14:paraId="54F58C92" w14:textId="77777777" w:rsidR="00B32EF2" w:rsidRDefault="00000000">
                        <w:r>
                          <w:rPr>
                            <w:rFonts w:ascii="Arial" w:eastAsia="Arial" w:hAnsi="Arial" w:cs="Arial"/>
                            <w:sz w:val="18"/>
                          </w:rPr>
                          <w:t>datato e sottoscritto per ricevuta, è restituito alla segreteria della corte di giu</w:t>
                        </w:r>
                      </w:p>
                    </w:txbxContent>
                  </v:textbox>
                </v:rect>
                <v:rect id="Rectangle 19214" o:spid="_x0000_s4383" style="position:absolute;left:192;top:11862;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naVxAAAAN4AAAAPAAAAZHJzL2Rvd25yZXYueG1sRE9Li8Iw&#10;EL4L+x/CLHhbU2URrUZZXGR78LI+wOPQjG21mYQm2uqvNwsL3ubje8582Zla3KjxlWUFw0ECgji3&#10;uuJCwX63/piA8AFZY22ZFNzJw3Lx1ptjqm3Lv3TbhkLEEPYpKihDcKmUPi/JoB9YRxy5k20Mhgib&#10;QuoG2xhuajlKkrE0WHFsKNHRqqT8sr0aBcdvdtm6lfnpsXKbczapf677g1L99+5rBiJQF17if3em&#10;4/zpaPgJf+/EG+TiCQAA//8DAFBLAQItABQABgAIAAAAIQDb4fbL7gAAAIUBAAATAAAAAAAAAAAA&#10;AAAAAAAAAABbQ29udGVudF9UeXBlc10ueG1sUEsBAi0AFAAGAAgAAAAhAFr0LFu/AAAAFQEAAAsA&#10;AAAAAAAAAAAAAAAAHwEAAF9yZWxzLy5yZWxzUEsBAi0AFAAGAAgAAAAhAJ0+dpXEAAAA3gAAAA8A&#10;AAAAAAAAAAAAAAAABwIAAGRycy9kb3ducmV2LnhtbFBLBQYAAAAAAwADALcAAAD4AgAAAAA=&#10;" filled="f" stroked="f">
                  <v:textbox inset="0,0,0,0">
                    <w:txbxContent>
                      <w:p w14:paraId="123568E4" w14:textId="77777777" w:rsidR="00B32EF2" w:rsidRDefault="00000000">
                        <w:r>
                          <w:rPr>
                            <w:rFonts w:ascii="Arial" w:eastAsia="Arial" w:hAnsi="Arial" w:cs="Arial"/>
                            <w:sz w:val="18"/>
                          </w:rPr>
                          <w:t>-</w:t>
                        </w:r>
                      </w:p>
                    </w:txbxContent>
                  </v:textbox>
                </v:rect>
                <v:rect id="Rectangle 19215" o:spid="_x0000_s4384" style="position:absolute;left:-13172;top:1062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tMOxAAAAN4AAAAPAAAAZHJzL2Rvd25yZXYueG1sRE9Li8Iw&#10;EL4L+x/CLHhbU4UVrUZZXGR78LI+wOPQjG21mYQm2uqvNwsL3ubje8582Zla3KjxlWUFw0ECgji3&#10;uuJCwX63/piA8AFZY22ZFNzJw3Lx1ptjqm3Lv3TbhkLEEPYpKihDcKmUPi/JoB9YRxy5k20Mhgib&#10;QuoG2xhuajlKkrE0WHFsKNHRqqT8sr0aBcdvdtm6lfnpsXKbczapf677g1L99+5rBiJQF17if3em&#10;4/zpaPgJf+/EG+TiCQAA//8DAFBLAQItABQABgAIAAAAIQDb4fbL7gAAAIUBAAATAAAAAAAAAAAA&#10;AAAAAAAAAABbQ29udGVudF9UeXBlc10ueG1sUEsBAi0AFAAGAAgAAAAhAFr0LFu/AAAAFQEAAAsA&#10;AAAAAAAAAAAAAAAAHwEAAF9yZWxzLy5yZWxzUEsBAi0AFAAGAAgAAAAhAPJy0w7EAAAA3gAAAA8A&#10;AAAAAAAAAAAAAAAABwIAAGRycy9kb3ducmV2LnhtbFBLBQYAAAAAAwADALcAAAD4AgAAAAA=&#10;" filled="f" stroked="f">
                  <v:textbox inset="0,0,0,0">
                    <w:txbxContent>
                      <w:p w14:paraId="4578A597" w14:textId="77777777" w:rsidR="00B32EF2" w:rsidRDefault="00000000">
                        <w:r>
                          <w:rPr>
                            <w:rFonts w:ascii="Arial" w:eastAsia="Arial" w:hAnsi="Arial" w:cs="Arial"/>
                            <w:sz w:val="18"/>
                          </w:rPr>
                          <w:t xml:space="preserve">stizia tributaria di primo e secondo grado. La segreteria può anche richiedere </w:t>
                        </w:r>
                      </w:p>
                    </w:txbxContent>
                  </v:textbox>
                </v:rect>
                <v:rect id="Rectangle 19216" o:spid="_x0000_s4385" style="position:absolute;left:-12208;top:9395;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15wwAAAN4AAAAPAAAAZHJzL2Rvd25yZXYueG1sRE9Ni8Iw&#10;EL0v+B/CCHtbUz2IW40iimwPXnQVPA7N2FabSWiirfvrN4LgbR7vc2aLztTiTo2vLCsYDhIQxLnV&#10;FRcKDr+brwkIH5A11pZJwYM8LOa9jxmm2ra8o/s+FCKGsE9RQRmCS6X0eUkG/cA64sidbWMwRNgU&#10;UjfYxnBTy1GSjKXBimNDiY5WJeXX/c0oOK3ZZZtW5ue/ldteskn9czsclfrsd8spiEBdeItf7kzH&#10;+d+j4Rie78Qb5PwfAAD//wMAUEsBAi0AFAAGAAgAAAAhANvh9svuAAAAhQEAABMAAAAAAAAAAAAA&#10;AAAAAAAAAFtDb250ZW50X1R5cGVzXS54bWxQSwECLQAUAAYACAAAACEAWvQsW78AAAAVAQAACwAA&#10;AAAAAAAAAAAAAAAfAQAAX3JlbHMvLnJlbHNQSwECLQAUAAYACAAAACEAAqBNecMAAADeAAAADwAA&#10;AAAAAAAAAAAAAAAHAgAAZHJzL2Rvd25yZXYueG1sUEsFBgAAAAADAAMAtwAAAPcCAAAAAA==&#10;" filled="f" stroked="f">
                  <v:textbox inset="0,0,0,0">
                    <w:txbxContent>
                      <w:p w14:paraId="72472DA1" w14:textId="77777777" w:rsidR="00B32EF2" w:rsidRDefault="00000000">
                        <w:r>
                          <w:rPr>
                            <w:rFonts w:ascii="Arial" w:eastAsia="Arial" w:hAnsi="Arial" w:cs="Arial"/>
                            <w:sz w:val="18"/>
                          </w:rPr>
                          <w:t>la notificazione dell’avviso da parte dell’ufficio giudiziario o del messo comu</w:t>
                        </w:r>
                      </w:p>
                    </w:txbxContent>
                  </v:textbox>
                </v:rect>
                <v:rect id="Rectangle 19217" o:spid="_x0000_s4386" style="position:absolute;left:192;top:939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OjixAAAAN4AAAAPAAAAZHJzL2Rvd25yZXYueG1sRE9Li8Iw&#10;EL4L+x/CLHhbUz2sWo2yuMj24GV9gMehGdtqMwlNtNVfbxYWvM3H95z5sjO1uFHjK8sKhoMEBHFu&#10;dcWFgv1u/TEB4QOyxtoyKbiTh+XirTfHVNuWf+m2DYWIIexTVFCG4FIpfV6SQT+wjjhyJ9sYDBE2&#10;hdQNtjHc1HKUJJ/SYMWxoURHq5Lyy/ZqFBy/2WXrVuanx8ptztmk/rnuD0r137uvGYhAXXiJ/92Z&#10;jvOno+EY/t6JN8jFEwAA//8DAFBLAQItABQABgAIAAAAIQDb4fbL7gAAAIUBAAATAAAAAAAAAAAA&#10;AAAAAAAAAABbQ29udGVudF9UeXBlc10ueG1sUEsBAi0AFAAGAAgAAAAhAFr0LFu/AAAAFQEAAAsA&#10;AAAAAAAAAAAAAAAAHwEAAF9yZWxzLy5yZWxzUEsBAi0AFAAGAAgAAAAhAG3s6OLEAAAA3gAAAA8A&#10;AAAAAAAAAAAAAAAABwIAAGRycy9kb3ducmV2LnhtbFBLBQYAAAAAAwADALcAAAD4AgAAAAA=&#10;" filled="f" stroked="f">
                  <v:textbox inset="0,0,0,0">
                    <w:txbxContent>
                      <w:p w14:paraId="50C1EC9A" w14:textId="77777777" w:rsidR="00B32EF2" w:rsidRDefault="00000000">
                        <w:r>
                          <w:rPr>
                            <w:rFonts w:ascii="Arial" w:eastAsia="Arial" w:hAnsi="Arial" w:cs="Arial"/>
                            <w:sz w:val="18"/>
                          </w:rPr>
                          <w:t>-</w:t>
                        </w:r>
                      </w:p>
                    </w:txbxContent>
                  </v:textbox>
                </v:rect>
                <v:rect id="Rectangle 19218" o:spid="_x0000_s4387" style="position:absolute;left:16170;top:8162;width:237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3yQxwAAAN4AAAAPAAAAZHJzL2Rvd25yZXYueG1sRI9Bb8Iw&#10;DIXvk/YfIiPtNlI4TKwjIMSE1sMuMJB2tBrTFhonagLt9uvxAYmbrff83uf5cnCtulIXG88GJuMM&#10;FHHpbcOVgf3P5nUGKiZki61nMvBHEZaL56c55tb3vKXrLlVKQjjmaKBOKeRax7Imh3HsA7FoR985&#10;TLJ2lbYd9hLuWj3NsjftsGFpqDHQuqbyvLs4A7+fHIpNr8vj/zp8n4pZ+3XZH4x5GQ2rD1CJhvQw&#10;368LK/jv04nwyjsyg17cAAAA//8DAFBLAQItABQABgAIAAAAIQDb4fbL7gAAAIUBAAATAAAAAAAA&#10;AAAAAAAAAAAAAABbQ29udGVudF9UeXBlc10ueG1sUEsBAi0AFAAGAAgAAAAhAFr0LFu/AAAAFQEA&#10;AAsAAAAAAAAAAAAAAAAAHwEAAF9yZWxzLy5yZWxzUEsBAi0AFAAGAAgAAAAhABxzfJDHAAAA3gAA&#10;AA8AAAAAAAAAAAAAAAAABwIAAGRycy9kb3ducmV2LnhtbFBLBQYAAAAAAwADALcAAAD7AgAAAAA=&#10;" filled="f" stroked="f">
                  <v:textbox inset="0,0,0,0">
                    <w:txbxContent>
                      <w:p w14:paraId="7614DC78" w14:textId="77777777" w:rsidR="00B32EF2" w:rsidRDefault="00000000">
                        <w:r>
                          <w:rPr>
                            <w:rFonts w:ascii="Arial" w:eastAsia="Arial" w:hAnsi="Arial" w:cs="Arial"/>
                            <w:sz w:val="18"/>
                          </w:rPr>
                          <w:t>nale nelle forme di cui al comma 2.</w:t>
                        </w:r>
                      </w:p>
                    </w:txbxContent>
                  </v:textbox>
                </v:rect>
                <v:rect id="Rectangle 201290" o:spid="_x0000_s4388" style="position:absolute;left:26110;top:692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8GoxQAAAN8AAAAPAAAAZHJzL2Rvd25yZXYueG1sRI/NisIw&#10;FIX3A75DuIK7MbULcapRRBG7mI2OgstLc22rzU1ooq3z9GYxMMvD+eNbrHrTiCe1vrasYDJOQBAX&#10;VtdcKjj97D5nIHxA1thYJgUv8rBaDj4WmGnb8YGex1CKOMI+QwVVCC6T0hcVGfRj64ijd7WtwRBl&#10;W0rdYhfHTSPTJJlKgzXHhwodbSoq7seHUXDZsst3nSyuvxv3fctnzf5xOis1GvbrOYhAffgP/7Vz&#10;rSBNJulXJIg8kQXk8g0AAP//AwBQSwECLQAUAAYACAAAACEA2+H2y+4AAACFAQAAEwAAAAAAAAAA&#10;AAAAAAAAAAAAW0NvbnRlbnRfVHlwZXNdLnhtbFBLAQItABQABgAIAAAAIQBa9CxbvwAAABUBAAAL&#10;AAAAAAAAAAAAAAAAAB8BAABfcmVscy8ucmVsc1BLAQItABQABgAIAAAAIQDye8GoxQAAAN8AAAAP&#10;AAAAAAAAAAAAAAAAAAcCAABkcnMvZG93bnJldi54bWxQSwUGAAAAAAMAAwC3AAAA+QIAAAAA&#10;" filled="f" stroked="f">
                  <v:textbox inset="0,0,0,0">
                    <w:txbxContent>
                      <w:p w14:paraId="4FB7AC11" w14:textId="77777777" w:rsidR="00B32EF2" w:rsidRDefault="00000000">
                        <w:r>
                          <w:rPr>
                            <w:rFonts w:ascii="Arial" w:eastAsia="Arial" w:hAnsi="Arial" w:cs="Arial"/>
                            <w:sz w:val="18"/>
                          </w:rPr>
                          <w:t>2</w:t>
                        </w:r>
                      </w:p>
                    </w:txbxContent>
                  </v:textbox>
                </v:rect>
                <v:rect id="Rectangle 201291" o:spid="_x0000_s4389" style="position:absolute;left:-13816;top:6928;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2QzyAAAAN8AAAAPAAAAZHJzL2Rvd25yZXYueG1sRI9Ba8JA&#10;FITvBf/D8oTe6iY5FBvdBFHEHHqptdDjI/tMotm3S3Y1aX99t1DocZiZb5h1OZle3GnwnWUF6SIB&#10;QVxb3XGj4PS+f1qC8AFZY2+ZFHyRh7KYPawx13bkN7ofQyMihH2OCtoQXC6lr1sy6BfWEUfvbAeD&#10;IcqhkXrAMcJNL7MkeZYGO44LLTratlRfjzej4HPHrtqPsj5/b93rpVr2h9vpQ6nH+bRZgQg0hf/w&#10;X7vSCrIkzV5S+P0Tv4AsfgAAAP//AwBQSwECLQAUAAYACAAAACEA2+H2y+4AAACFAQAAEwAAAAAA&#10;AAAAAAAAAAAAAAAAW0NvbnRlbnRfVHlwZXNdLnhtbFBLAQItABQABgAIAAAAIQBa9CxbvwAAABUB&#10;AAALAAAAAAAAAAAAAAAAAB8BAABfcmVscy8ucmVsc1BLAQItABQABgAIAAAAIQCdN2QzyAAAAN8A&#10;AAAPAAAAAAAAAAAAAAAAAAcCAABkcnMvZG93bnJldi54bWxQSwUGAAAAAAMAAwC3AAAA/AIAAAAA&#10;" filled="f" stroked="f">
                  <v:textbox inset="0,0,0,0">
                    <w:txbxContent>
                      <w:p w14:paraId="3C71B6D8" w14:textId="77777777" w:rsidR="00B32EF2" w:rsidRDefault="00000000">
                        <w:r>
                          <w:rPr>
                            <w:rFonts w:ascii="Arial" w:eastAsia="Arial" w:hAnsi="Arial" w:cs="Arial"/>
                            <w:sz w:val="18"/>
                          </w:rPr>
                          <w:t xml:space="preserve">. Le notificazioni sono fatte secondo le norme degli articoli 137 e seguenti del </w:t>
                        </w:r>
                      </w:p>
                    </w:txbxContent>
                  </v:textbox>
                </v:rect>
                <v:rect id="Rectangle 19220" o:spid="_x0000_s4390" style="position:absolute;left:-4230;top:5695;width:441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orxwAAAN4AAAAPAAAAZHJzL2Rvd25yZXYueG1sRI9Bb8Iw&#10;DIXvk/YfIk/abaTrYWKFgBATWg+7wJi0o9WYttA4URNot1+PD0jcbPn5vffNl6Pr1IX62Ho28DrJ&#10;QBFX3rZcG9h/b16moGJCtth5JgN/FGG5eHyYY2H9wFu67FKtxIRjgQaalEKhdawachgnPhDL7eB7&#10;h0nWvta2x0HMXafzLHvTDluWhAYDrRuqTruzM/D7waHcDLo6/K/D17Gcdp/n/Y8xz0/jagYq0Zju&#10;4tt3aaX+e54LgODIDHpxBQAA//8DAFBLAQItABQABgAIAAAAIQDb4fbL7gAAAIUBAAATAAAAAAAA&#10;AAAAAAAAAAAAAABbQ29udGVudF9UeXBlc10ueG1sUEsBAi0AFAAGAAgAAAAhAFr0LFu/AAAAFQEA&#10;AAsAAAAAAAAAAAAAAAAAHwEAAF9yZWxzLy5yZWxzUEsBAi0AFAAGAAgAAAAhACxpuivHAAAA3gAA&#10;AA8AAAAAAAAAAAAAAAAABwIAAGRycy9kb3ducmV2LnhtbFBLBQYAAAAAAwADALcAAAD7AgAAAAA=&#10;" filled="f" stroked="f">
                  <v:textbox inset="0,0,0,0">
                    <w:txbxContent>
                      <w:p w14:paraId="61C9D9E6" w14:textId="77777777" w:rsidR="00B32EF2" w:rsidRDefault="00000000">
                        <w:r>
                          <w:rPr>
                            <w:rFonts w:ascii="Arial" w:eastAsia="Arial" w:hAnsi="Arial" w:cs="Arial"/>
                            <w:sz w:val="18"/>
                          </w:rPr>
                          <w:t xml:space="preserve">codice di procedura civile, salvo quanto disposto dall’articolo 62. </w:t>
                        </w:r>
                      </w:p>
                    </w:txbxContent>
                  </v:textbox>
                </v:rect>
                <v:rect id="Rectangle 201289" o:spid="_x0000_s4391" style="position:absolute;left:-13816;top:4462;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P7oxwAAAN8AAAAPAAAAZHJzL2Rvd25yZXYueG1sRI9Ba8JA&#10;FITvgv9heUJvujGHElNXKYqYQy9VCz0+ss8kbfbtkl1N6q93C4LHYWa+YZbrwbTiSp1vLCuYzxIQ&#10;xKXVDVcKTsfdNAPhA7LG1jIp+CMP69V4tMRc254/6XoIlYgQ9jkqqENwuZS+rMmgn1lHHL2z7QyG&#10;KLtK6g77CDetTJPkVRpsOC7U6GhTU/l7uBgF31t2xa6X5fm2cR8/RdbuL6cvpV4mw/sbiEBDeIYf&#10;7UIrSJN5mi3g/0/8AnJ1BwAA//8DAFBLAQItABQABgAIAAAAIQDb4fbL7gAAAIUBAAATAAAAAAAA&#10;AAAAAAAAAAAAAABbQ29udGVudF9UeXBlc10ueG1sUEsBAi0AFAAGAAgAAAAhAFr0LFu/AAAAFQEA&#10;AAsAAAAAAAAAAAAAAAAAHwEAAF9yZWxzLy5yZWxzUEsBAi0AFAAGAAgAAAAhAOaY/ujHAAAA3wAA&#10;AA8AAAAAAAAAAAAAAAAABwIAAGRycy9kb3ducmV2LnhtbFBLBQYAAAAAAwADALcAAAD7AgAAAAA=&#10;" filled="f" stroked="f">
                  <v:textbox inset="0,0,0,0">
                    <w:txbxContent>
                      <w:p w14:paraId="36393466" w14:textId="77777777" w:rsidR="00B32EF2" w:rsidRDefault="00000000">
                        <w:r>
                          <w:rPr>
                            <w:rFonts w:ascii="Arial" w:eastAsia="Arial" w:hAnsi="Arial" w:cs="Arial"/>
                            <w:sz w:val="18"/>
                          </w:rPr>
                          <w:t xml:space="preserve">. Le notificazioni sono fatte esclusivamente con modalità telematiche e, nelle </w:t>
                        </w:r>
                      </w:p>
                    </w:txbxContent>
                  </v:textbox>
                </v:rect>
                <v:rect id="Rectangle 201288" o:spid="_x0000_s4392" style="position:absolute;left:26110;top:4462;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FtzwwAAAN8AAAAPAAAAZHJzL2Rvd25yZXYueG1sRE9Ni8Iw&#10;EL0v+B/CCN7W1B6kVKOIIvbgZV0X9jg0Y1ttJqGJtu6vNwdhj4/3vVwPphUP6nxjWcFsmoAgLq1u&#10;uFJw/t5/ZiB8QNbYWiYFT/KwXo0+lphr2/MXPU6hEjGEfY4K6hBcLqUvazLop9YRR+5iO4Mhwq6S&#10;usM+hptWpkkylwYbjg01OtrWVN5Od6Pgd8eu2PeyvPxt3fFaZO3hfv5RajIeNgsQgYbwL367C60g&#10;TWZpFgfHP/ELyNULAAD//wMAUEsBAi0AFAAGAAgAAAAhANvh9svuAAAAhQEAABMAAAAAAAAAAAAA&#10;AAAAAAAAAFtDb250ZW50X1R5cGVzXS54bWxQSwECLQAUAAYACAAAACEAWvQsW78AAAAVAQAACwAA&#10;AAAAAAAAAAAAAAAfAQAAX3JlbHMvLnJlbHNQSwECLQAUAAYACAAAACEAidRbc8MAAADfAAAADwAA&#10;AAAAAAAAAAAAAAAHAgAAZHJzL2Rvd25yZXYueG1sUEsFBgAAAAADAAMAtwAAAPcCAAAAAA==&#10;" filled="f" stroked="f">
                  <v:textbox inset="0,0,0,0">
                    <w:txbxContent>
                      <w:p w14:paraId="383AB979" w14:textId="77777777" w:rsidR="00B32EF2" w:rsidRDefault="00000000">
                        <w:r>
                          <w:rPr>
                            <w:rFonts w:ascii="Arial" w:eastAsia="Arial" w:hAnsi="Arial" w:cs="Arial"/>
                            <w:sz w:val="18"/>
                          </w:rPr>
                          <w:t>3</w:t>
                        </w:r>
                      </w:p>
                    </w:txbxContent>
                  </v:textbox>
                </v:rect>
                <v:shape id="Shape 207984" o:spid="_x0000_s4393" style="position:absolute;left:318;top:27700;width:39600;height:35045;visibility:visible;mso-wrap-style:square;v-text-anchor:top" coordsize="3960000,350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c5yQAAAN8AAAAPAAAAZHJzL2Rvd25yZXYueG1sRI/NasMw&#10;EITvhb6D2EIvIZFjQpO4UYJJKSm0PeTnAbbWxjK2Vo6lxu7bV4VAj8PMfMOsNoNtxJU6XzlWMJ0k&#10;IIgLpysuFZyOr+MFCB+QNTaOScEPedis7+9WmGnX856uh1CKCGGfoQITQptJ6QtDFv3EtcTRO7vO&#10;YoiyK6XusI9w28g0SZ6kxYrjgsGWtoaK+vBtFdSm+njJ+13A4f3yWX9t09E5t0o9Pgz5M4hAQ/gP&#10;39pvWkGazJeLGfz9iV9Arn8BAAD//wMAUEsBAi0AFAAGAAgAAAAhANvh9svuAAAAhQEAABMAAAAA&#10;AAAAAAAAAAAAAAAAAFtDb250ZW50X1R5cGVzXS54bWxQSwECLQAUAAYACAAAACEAWvQsW78AAAAV&#10;AQAACwAAAAAAAAAAAAAAAAAfAQAAX3JlbHMvLnJlbHNQSwECLQAUAAYACAAAACEAid7HOckAAADf&#10;AAAADwAAAAAAAAAAAAAAAAAHAgAAZHJzL2Rvd25yZXYueG1sUEsFBgAAAAADAAMAtwAAAP0CAAAA&#10;AA==&#10;" path="m,l3960000,r,3504502l,3504502,,e" fillcolor="#c3c3c3" stroked="f" strokeweight="0">
                  <v:stroke miterlimit="83231f" joinstyle="miter"/>
                  <v:path arrowok="t" textboxrect="0,0,3960000,3504502"/>
                </v:shape>
                <v:rect id="Rectangle 19223" o:spid="_x0000_s4394" style="position:absolute;left:-11871;top:60532;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yRcxAAAAN4AAAAPAAAAZHJzL2Rvd25yZXYueG1sRE9Na8JA&#10;EL0X/A/LCN7qxhSKja4iijQHL7UKHofsmESzs0t2NdFf3y0UepvH+5z5sjeNuFPra8sKJuMEBHFh&#10;dc2lgsP39nUKwgdkjY1lUvAgD8vF4GWOmbYdf9F9H0oRQ9hnqKAKwWVS+qIig35sHXHkzrY1GCJs&#10;S6lb7GK4aWSaJO/SYM2xoUJH64qK6/5mFJw27PJtJ4vzc+12l3zafN4OR6VGw341AxGoD//iP3eu&#10;4/yPNH2D33fiDXLxAwAA//8DAFBLAQItABQABgAIAAAAIQDb4fbL7gAAAIUBAAATAAAAAAAAAAAA&#10;AAAAAAAAAABbQ29udGVudF9UeXBlc10ueG1sUEsBAi0AFAAGAAgAAAAhAFr0LFu/AAAAFQEAAAsA&#10;AAAAAAAAAAAAAAAAHwEAAF9yZWxzLy5yZWxzUEsBAi0AFAAGAAgAAAAhANy7JFzEAAAA3gAAAA8A&#10;AAAAAAAAAAAAAAAABwIAAGRycy9kb3ducmV2LnhtbFBLBQYAAAAAAwADALcAAAD4AgAAAAA=&#10;" filled="f" stroked="f">
                  <v:textbox inset="0,0,0,0">
                    <w:txbxContent>
                      <w:p w14:paraId="14C0E668" w14:textId="77777777" w:rsidR="00B32EF2" w:rsidRDefault="00000000">
                        <w:r>
                          <w:rPr>
                            <w:rFonts w:ascii="Arial" w:eastAsia="Arial" w:hAnsi="Arial" w:cs="Arial"/>
                            <w:i/>
                            <w:sz w:val="18"/>
                          </w:rPr>
                          <w:t xml:space="preserve">ne alla stessa; quelle della notificazione della sentenza, del titolo esecutivo </w:t>
                        </w:r>
                      </w:p>
                    </w:txbxContent>
                  </v:textbox>
                </v:rect>
                <v:rect id="Rectangle 19224" o:spid="_x0000_s4395" style="position:absolute;left:-11871;top:59299;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rwoxAAAAN4AAAAPAAAAZHJzL2Rvd25yZXYueG1sRE9Na8JA&#10;EL0X/A/LCN7qxlCKja4iijQHL7UKHofsmESzs0t2NdFf3y0UepvH+5z5sjeNuFPra8sKJuMEBHFh&#10;dc2lgsP39nUKwgdkjY1lUvAgD8vF4GWOmbYdf9F9H0oRQ9hnqKAKwWVS+qIig35sHXHkzrY1GCJs&#10;S6lb7GK4aWSaJO/SYM2xoUJH64qK6/5mFJw27PJtJ4vzc+12l3zafN4OR6VGw341AxGoD//iP3eu&#10;4/yPNH2D33fiDXLxAwAA//8DAFBLAQItABQABgAIAAAAIQDb4fbL7gAAAIUBAAATAAAAAAAAAAAA&#10;AAAAAAAAAABbQ29udGVudF9UeXBlc10ueG1sUEsBAi0AFAAGAAgAAAAhAFr0LFu/AAAAFQEAAAsA&#10;AAAAAAAAAAAAAAAAHwEAAF9yZWxzLy5yZWxzUEsBAi0AFAAGAAgAAAAhAFNSvCjEAAAA3gAAAA8A&#10;AAAAAAAAAAAAAAAABwIAAGRycy9kb3ducmV2LnhtbFBLBQYAAAAAAwADALcAAAD4AgAAAAA=&#10;" filled="f" stroked="f">
                  <v:textbox inset="0,0,0,0">
                    <w:txbxContent>
                      <w:p w14:paraId="79167262" w14:textId="77777777" w:rsidR="00B32EF2" w:rsidRDefault="00000000">
                        <w:r>
                          <w:rPr>
                            <w:rFonts w:ascii="Arial" w:eastAsia="Arial" w:hAnsi="Arial" w:cs="Arial"/>
                            <w:i/>
                            <w:sz w:val="18"/>
                          </w:rPr>
                          <w:t xml:space="preserve">e del precetto sono liquidate dall’ufficiale giudiziariocon nota in margine </w:t>
                        </w:r>
                      </w:p>
                    </w:txbxContent>
                  </v:textbox>
                </v:rect>
                <v:rect id="Rectangle 19225" o:spid="_x0000_s4396" style="position:absolute;left:15711;top:58066;width:2342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hmzxAAAAN4AAAAPAAAAZHJzL2Rvd25yZXYueG1sRE9Na8JA&#10;EL0X/A/LCN7qxkCLja4iijQHL7UKHofsmESzs0t2NdFf3y0UepvH+5z5sjeNuFPra8sKJuMEBHFh&#10;dc2lgsP39nUKwgdkjY1lUvAgD8vF4GWOmbYdf9F9H0oRQ9hnqKAKwWVS+qIig35sHXHkzrY1GCJs&#10;S6lb7GK4aWSaJO/SYM2xoUJH64qK6/5mFJw27PJtJ4vzc+12l3zafN4OR6VGw341AxGoD//iP3eu&#10;4/yPNH2D33fiDXLxAwAA//8DAFBLAQItABQABgAIAAAAIQDb4fbL7gAAAIUBAAATAAAAAAAAAAAA&#10;AAAAAAAAAABbQ29udGVudF9UeXBlc10ueG1sUEsBAi0AFAAGAAgAAAAhAFr0LFu/AAAAFQEAAAsA&#10;AAAAAAAAAAAAAAAAHwEAAF9yZWxzLy5yZWxzUEsBAi0AFAAGAAgAAAAhADweGbPEAAAA3gAAAA8A&#10;AAAAAAAAAAAAAAAABwIAAGRycy9kb3ducmV2LnhtbFBLBQYAAAAAAwADALcAAAD4AgAAAAA=&#10;" filled="f" stroked="f">
                  <v:textbox inset="0,0,0,0">
                    <w:txbxContent>
                      <w:p w14:paraId="42234F69" w14:textId="77777777" w:rsidR="00B32EF2" w:rsidRDefault="00000000">
                        <w:r>
                          <w:rPr>
                            <w:rFonts w:ascii="Arial" w:eastAsia="Arial" w:hAnsi="Arial" w:cs="Arial"/>
                            <w:i/>
                            <w:sz w:val="18"/>
                          </w:rPr>
                          <w:t xml:space="preserve">all’originale e alla copia notificata. </w:t>
                        </w:r>
                      </w:p>
                    </w:txbxContent>
                  </v:textbox>
                </v:rect>
                <v:rect id="Rectangle 201306" o:spid="_x0000_s4397" style="position:absolute;left:-12563;top:56832;width:511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WZdxwAAAN8AAAAPAAAAZHJzL2Rvd25yZXYueG1sRI9PawIx&#10;FMTvhX6H8Aq91UQLIlujFIt0D178Bz0+Ns/d1c1L2ER366c3guBxmJnfMNN5bxtxoTbUjjUMBwoE&#10;ceFMzaWG3Xb5MQERIrLBxjFp+KcA89nryxQz4zpe02UTS5EgHDLUUMXoMylDUZHFMHCeOHkH11qM&#10;SbalNC12CW4bOVJqLC3WnBYq9LSoqDhtzlbD3w/7fNnJ4nBd+NUxnzS/591e6/e3/vsLRKQ+PsOP&#10;dm40jNTwU43h/id9ATm7AQAA//8DAFBLAQItABQABgAIAAAAIQDb4fbL7gAAAIUBAAATAAAAAAAA&#10;AAAAAAAAAAAAAABbQ29udGVudF9UeXBlc10ueG1sUEsBAi0AFAAGAAgAAAAhAFr0LFu/AAAAFQEA&#10;AAsAAAAAAAAAAAAAAAAAHwEAAF9yZWxzLy5yZWxzUEsBAi0AFAAGAAgAAAAhAIw1Zl3HAAAA3wAA&#10;AA8AAAAAAAAAAAAAAAAABwIAAGRycy9kb3ducmV2LnhtbFBLBQYAAAAAAwADALcAAAD7AgAAAAA=&#10;" filled="f" stroked="f">
                  <v:textbox inset="0,0,0,0">
                    <w:txbxContent>
                      <w:p w14:paraId="24AD26FA" w14:textId="77777777" w:rsidR="00B32EF2" w:rsidRDefault="00000000">
                        <w:r>
                          <w:rPr>
                            <w:rFonts w:ascii="Arial" w:eastAsia="Arial" w:hAnsi="Arial" w:cs="Arial"/>
                            <w:i/>
                            <w:sz w:val="18"/>
                          </w:rPr>
                          <w:t xml:space="preserve">. I reclami contro le liquidazioni di cui al comma precedente sono decisi </w:t>
                        </w:r>
                      </w:p>
                    </w:txbxContent>
                  </v:textbox>
                </v:rect>
                <v:rect id="Rectangle 201305" o:spid="_x0000_s4398" style="position:absolute;left:25816;top:56832;width:511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gqxwAAAN8AAAAPAAAAZHJzL2Rvd25yZXYueG1sRI9BawIx&#10;FITvhf6H8AreaqLFIlujFIt0D160Fnp8bJ67q5uXsInu6q83QsHjMDPfMLNFbxtxpjbUjjWMhgoE&#10;ceFMzaWG3c/qdQoiRGSDjWPScKEAi/nz0wwz4zre0HkbS5EgHDLUUMXoMylDUZHFMHSeOHl711qM&#10;SbalNC12CW4bOVbqXVqsOS1U6GlZUXHcnqyGvy/2+aqTxf669OtDPm2+T7tfrQcv/ecHiEh9fIT/&#10;27nRMFajNzWB+5/0BeT8BgAA//8DAFBLAQItABQABgAIAAAAIQDb4fbL7gAAAIUBAAATAAAAAAAA&#10;AAAAAAAAAAAAAABbQ29udGVudF9UeXBlc10ueG1sUEsBAi0AFAAGAAgAAAAhAFr0LFu/AAAAFQEA&#10;AAsAAAAAAAAAAAAAAAAAHwEAAF9yZWxzLy5yZWxzUEsBAi0AFAAGAAgAAAAhAHzn+CrHAAAA3wAA&#10;AA8AAAAAAAAAAAAAAAAABwIAAGRycy9kb3ducmV2LnhtbFBLBQYAAAAAAwADALcAAAD7AgAAAAA=&#10;" filled="f" stroked="f">
                  <v:textbox inset="0,0,0,0">
                    <w:txbxContent>
                      <w:p w14:paraId="6C7F6B65" w14:textId="77777777" w:rsidR="00B32EF2" w:rsidRDefault="00000000">
                        <w:r>
                          <w:rPr>
                            <w:rFonts w:ascii="Arial" w:eastAsia="Arial" w:hAnsi="Arial" w:cs="Arial"/>
                            <w:i/>
                            <w:sz w:val="18"/>
                          </w:rPr>
                          <w:t>3</w:t>
                        </w:r>
                      </w:p>
                    </w:txbxContent>
                  </v:textbox>
                </v:rect>
                <v:rect id="Rectangle 19227" o:spid="_x0000_s4399" style="position:absolute;left:-10892;top:55599;width:50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CJfxAAAAN4AAAAPAAAAZHJzL2Rvd25yZXYueG1sRE9Na8JA&#10;EL0X/A/LCN7qxhxaG11FFGkOXmoVPA7ZMYlmZ5fsaqK/vlso9DaP9znzZW8acafW15YVTMYJCOLC&#10;6ppLBYfv7esUhA/IGhvLpOBBHpaLwcscM207/qL7PpQihrDPUEEVgsuk9EVFBv3YOuLInW1rMETY&#10;llK32MVw08g0Sd6kwZpjQ4WO1hUV1/3NKDht2OXbThbn59rtLvm0+bwdjkqNhv1qBiJQH/7Ff+5c&#10;x/kfafoOv+/EG+TiBwAA//8DAFBLAQItABQABgAIAAAAIQDb4fbL7gAAAIUBAAATAAAAAAAAAAAA&#10;AAAAAAAAAABbQ29udGVudF9UeXBlc10ueG1sUEsBAi0AFAAGAAgAAAAhAFr0LFu/AAAAFQEAAAsA&#10;AAAAAAAAAAAAAAAAHwEAAF9yZWxzLy5yZWxzUEsBAi0AFAAGAAgAAAAhAKOAIl/EAAAA3gAAAA8A&#10;AAAAAAAAAAAAAAAABwIAAGRycy9kb3ducmV2LnhtbFBLBQYAAAAAAwADALcAAAD4AgAAAAA=&#10;" filled="f" stroked="f">
                  <v:textbox inset="0,0,0,0">
                    <w:txbxContent>
                      <w:p w14:paraId="37978A49" w14:textId="77777777" w:rsidR="00B32EF2" w:rsidRDefault="00000000">
                        <w:r>
                          <w:rPr>
                            <w:rFonts w:ascii="Arial" w:eastAsia="Arial" w:hAnsi="Arial" w:cs="Arial"/>
                            <w:i/>
                            <w:sz w:val="18"/>
                          </w:rPr>
                          <w:t>con le forme previste negli articoli 287 e 288 dal capo dell’ufficio a cui ap</w:t>
                        </w:r>
                      </w:p>
                    </w:txbxContent>
                  </v:textbox>
                </v:rect>
                <v:rect id="Rectangle 19228" o:spid="_x0000_s4400" style="position:absolute;left:975;top:55599;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YtxwAAAN4AAAAPAAAAZHJzL2Rvd25yZXYueG1sRI9Bb8Iw&#10;DIXvk/YfIk/abaTrYWKFgBATWg+7wJi0o9WYttA4URNot1+PD0jcbL3n9z7Pl6Pr1IX62Ho28DrJ&#10;QBFX3rZcG9h/b16moGJCtth5JgN/FGG5eHyYY2H9wFu67FKtJIRjgQaalEKhdawachgnPhCLdvC9&#10;wyRrX2vb4yDhrtN5lr1phy1LQ4OB1g1Vp93ZGfj94FBuBl0d/tfh61hOu8/z/seY56dxNQOVaEx3&#10;8+26tIL/nufCK+/IDHpxBQAA//8DAFBLAQItABQABgAIAAAAIQDb4fbL7gAAAIUBAAATAAAAAAAA&#10;AAAAAAAAAAAAAABbQ29udGVudF9UeXBlc10ueG1sUEsBAi0AFAAGAAgAAAAhAFr0LFu/AAAAFQEA&#10;AAsAAAAAAAAAAAAAAAAAHwEAAF9yZWxzLy5yZWxzUEsBAi0AFAAGAAgAAAAhANIfti3HAAAA3gAA&#10;AA8AAAAAAAAAAAAAAAAABwIAAGRycy9kb3ducmV2LnhtbFBLBQYAAAAAAwADALcAAAD7AgAAAAA=&#10;" filled="f" stroked="f">
                  <v:textbox inset="0,0,0,0">
                    <w:txbxContent>
                      <w:p w14:paraId="763F669C" w14:textId="77777777" w:rsidR="00B32EF2" w:rsidRDefault="00000000">
                        <w:r>
                          <w:rPr>
                            <w:rFonts w:ascii="Arial" w:eastAsia="Arial" w:hAnsi="Arial" w:cs="Arial"/>
                            <w:i/>
                            <w:sz w:val="18"/>
                          </w:rPr>
                          <w:t>-</w:t>
                        </w:r>
                      </w:p>
                    </w:txbxContent>
                  </v:textbox>
                </v:rect>
                <v:rect id="Rectangle 19229" o:spid="_x0000_s4401" style="position:absolute;left:8689;top:54366;width:304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xO2xAAAAN4AAAAPAAAAZHJzL2Rvd25yZXYueG1sRE9Na8JA&#10;EL0L/odlCt500xxEU1cRRcyhl9oIHofsmKRmZ5fsamJ/fbdQ6G0e73NWm8G04kGdbywreJ0lIIhL&#10;qxuuFBSfh+kChA/IGlvLpOBJHjbr8WiFmbY9f9DjFCoRQ9hnqKAOwWVS+rImg35mHXHkrrYzGCLs&#10;Kqk77GO4aWWaJHNpsOHYUKOjXU3l7XQ3Ci57dvmhl+X1e+fev/JFe7wXZ6UmL8P2DUSgIfyL/9y5&#10;jvOXabqE33fiDXL9AwAA//8DAFBLAQItABQABgAIAAAAIQDb4fbL7gAAAIUBAAATAAAAAAAAAAAA&#10;AAAAAAAAAABbQ29udGVudF9UeXBlc10ueG1sUEsBAi0AFAAGAAgAAAAhAFr0LFu/AAAAFQEAAAsA&#10;AAAAAAAAAAAAAAAAHwEAAF9yZWxzLy5yZWxzUEsBAi0AFAAGAAgAAAAhAL1TE7bEAAAA3gAAAA8A&#10;AAAAAAAAAAAAAAAABwIAAGRycy9kb3ducmV2LnhtbFBLBQYAAAAAAwADALcAAAD4AgAAAAA=&#10;" filled="f" stroked="f">
                  <v:textbox inset="0,0,0,0">
                    <w:txbxContent>
                      <w:p w14:paraId="1D082124" w14:textId="77777777" w:rsidR="00B32EF2" w:rsidRDefault="00000000">
                        <w:r>
                          <w:rPr>
                            <w:rFonts w:ascii="Arial" w:eastAsia="Arial" w:hAnsi="Arial" w:cs="Arial"/>
                            <w:i/>
                            <w:sz w:val="18"/>
                          </w:rPr>
                          <w:t xml:space="preserve">partiene il cancelliere o l’ufficiale giudiziario. </w:t>
                        </w:r>
                      </w:p>
                    </w:txbxContent>
                  </v:textbox>
                </v:rect>
                <v:rect id="Rectangle 201303" o:spid="_x0000_s4402" style="position:absolute;left:26084;top:53132;width:500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sXFxwAAAN8AAAAPAAAAZHJzL2Rvd25yZXYueG1sRI9PawIx&#10;FMTvQr9DeIXeNFFBZGuUYpHuoRf/QY+PzXN3dfMSNtHd9tM3guBxmJnfMItVbxtxozbUjjWMRwoE&#10;ceFMzaWGw34znIMIEdlg45g0/FKA1fJlsMDMuI63dNvFUiQIhww1VDH6TMpQVGQxjJwnTt7JtRZj&#10;km0pTYtdgttGTpSaSYs1p4UKPa0rKi67q9Xw88k+33SyOP2t/fc5nzdf18NR67fX/uMdRKQ+PsOP&#10;dm40TNR4qqZw/5O+gFz+AwAA//8DAFBLAQItABQABgAIAAAAIQDb4fbL7gAAAIUBAAATAAAAAAAA&#10;AAAAAAAAAAAAAABbQ29udGVudF9UeXBlc10ueG1sUEsBAi0AFAAGAAgAAAAhAFr0LFu/AAAAFQEA&#10;AAsAAAAAAAAAAAAAAAAAHwEAAF9yZWxzLy5yZWxzUEsBAi0AFAAGAAgAAAAhAJxCxcXHAAAA3wAA&#10;AA8AAAAAAAAAAAAAAAAABwIAAGRycy9kb3ducmV2LnhtbFBLBQYAAAAAAwADALcAAAD7AgAAAAA=&#10;" filled="f" stroked="f">
                  <v:textbox inset="0,0,0,0">
                    <w:txbxContent>
                      <w:p w14:paraId="0FCC432B" w14:textId="77777777" w:rsidR="00B32EF2" w:rsidRDefault="00000000">
                        <w:r>
                          <w:rPr>
                            <w:rFonts w:ascii="Arial" w:eastAsia="Arial" w:hAnsi="Arial" w:cs="Arial"/>
                            <w:i/>
                            <w:sz w:val="18"/>
                          </w:rPr>
                          <w:t>4</w:t>
                        </w:r>
                      </w:p>
                    </w:txbxContent>
                  </v:textbox>
                </v:rect>
                <v:rect id="Rectangle 201304" o:spid="_x0000_s4403" style="position:absolute;left:-11555;top:53132;width:500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12xxwAAAN8AAAAPAAAAZHJzL2Rvd25yZXYueG1sRI9BawIx&#10;FITvhf6H8AreaqKVIlujFIt0D160Fnp8bJ67q5uXsInu6q83QsHjMDPfMLNFbxtxpjbUjjWMhgoE&#10;ceFMzaWG3c/qdQoiRGSDjWPScKEAi/nz0wwz4zre0HkbS5EgHDLUUMXoMylDUZHFMHSeOHl711qM&#10;SbalNC12CW4bOVbqXVqsOS1U6GlZUXHcnqyGvy/2+aqTxf669OtDPm2+T7tfrQcv/ecHiEh9fIT/&#10;27nRMFajNzWB+5/0BeT8BgAA//8DAFBLAQItABQABgAIAAAAIQDb4fbL7gAAAIUBAAATAAAAAAAA&#10;AAAAAAAAAAAAAABbQ29udGVudF9UeXBlc10ueG1sUEsBAi0AFAAGAAgAAAAhAFr0LFu/AAAAFQEA&#10;AAsAAAAAAAAAAAAAAAAAHwEAAF9yZWxzLy5yZWxzUEsBAi0AFAAGAAgAAAAhABOrXbHHAAAA3wAA&#10;AA8AAAAAAAAAAAAAAAAABwIAAGRycy9kb3ducmV2LnhtbFBLBQYAAAAAAwADALcAAAD7AgAAAAA=&#10;" filled="f" stroked="f">
                  <v:textbox inset="0,0,0,0">
                    <w:txbxContent>
                      <w:p w14:paraId="7BA80DC0" w14:textId="77777777" w:rsidR="00B32EF2" w:rsidRDefault="00000000">
                        <w:r>
                          <w:rPr>
                            <w:rFonts w:ascii="Arial" w:eastAsia="Arial" w:hAnsi="Arial" w:cs="Arial"/>
                            <w:i/>
                            <w:sz w:val="18"/>
                          </w:rPr>
                          <w:t>. Nelle cause previste dall’articolo 82, primo comma, le spese, compe</w:t>
                        </w:r>
                      </w:p>
                    </w:txbxContent>
                  </v:textbox>
                </v:rect>
                <v:rect id="Rectangle 19231" o:spid="_x0000_s4404" style="position:absolute;left:975;top:53132;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ltxAAAAN4AAAAPAAAAZHJzL2Rvd25yZXYueG1sRE9Li8Iw&#10;EL4L+x/CLHhbU10QrUZZXGR78LI+wOPQjG21mYQm2uqvNwsL3ubje8582Zla3KjxlWUFw0ECgji3&#10;uuJCwX63/piA8AFZY22ZFNzJw3Lx1ptjqm3Lv3TbhkLEEPYpKihDcKmUPi/JoB9YRxy5k20Mhgib&#10;QuoG2xhuajlKkrE0WHFsKNHRqqT8sr0aBcdvdtm6lfnpsXKbczapf677g1L99+5rBiJQF17if3em&#10;4/zp6HMIf+/EG+TiCQAA//8DAFBLAQItABQABgAIAAAAIQDb4fbL7gAAAIUBAAATAAAAAAAAAAAA&#10;AAAAAAAAAABbQ29udGVudF9UeXBlc10ueG1sUEsBAi0AFAAGAAgAAAAhAFr0LFu/AAAAFQEAAAsA&#10;AAAAAAAAAAAAAAAAHwEAAF9yZWxzLy5yZWxzUEsBAi0AFAAGAAgAAAAhAMb8iW3EAAAA3gAAAA8A&#10;AAAAAAAAAAAAAAAABwIAAGRycy9kb3ducmV2LnhtbFBLBQYAAAAAAwADALcAAAD4AgAAAAA=&#10;" filled="f" stroked="f">
                  <v:textbox inset="0,0,0,0">
                    <w:txbxContent>
                      <w:p w14:paraId="056F87B0" w14:textId="77777777" w:rsidR="00B32EF2" w:rsidRDefault="00000000">
                        <w:r>
                          <w:rPr>
                            <w:rFonts w:ascii="Arial" w:eastAsia="Arial" w:hAnsi="Arial" w:cs="Arial"/>
                            <w:i/>
                            <w:sz w:val="18"/>
                          </w:rPr>
                          <w:t>-</w:t>
                        </w:r>
                      </w:p>
                    </w:txbxContent>
                  </v:textbox>
                </v:rect>
                <v:rect id="Rectangle 19232" o:spid="_x0000_s4405" style="position:absolute;left:-11897;top:51899;width:51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hcaxAAAAN4AAAAPAAAAZHJzL2Rvd25yZXYueG1sRE9Na8JA&#10;EL0X/A/LCN7qxhSKja4iijQHL7UKHofsmESzs0t2NdFf3y0UepvH+5z5sjeNuFPra8sKJuMEBHFh&#10;dc2lgsP39nUKwgdkjY1lUvAgD8vF4GWOmbYdf9F9H0oRQ9hnqKAKwWVS+qIig35sHXHkzrY1GCJs&#10;S6lb7GK4aWSaJO/SYM2xoUJH64qK6/5mFJw27PJtJ4vzc+12l3zafN4OR6VGw341AxGoD//iP3eu&#10;4/yP9C2F33fiDXLxAwAA//8DAFBLAQItABQABgAIAAAAIQDb4fbL7gAAAIUBAAATAAAAAAAAAAAA&#10;AAAAAAAAAABbQ29udGVudF9UeXBlc10ueG1sUEsBAi0AFAAGAAgAAAAhAFr0LFu/AAAAFQEAAAsA&#10;AAAAAAAAAAAAAAAAHwEAAF9yZWxzLy5yZWxzUEsBAi0AFAAGAAgAAAAhADYuFxrEAAAA3gAAAA8A&#10;AAAAAAAAAAAAAAAABwIAAGRycy9kb3ducmV2LnhtbFBLBQYAAAAAAwADALcAAAD4AgAAAAA=&#10;" filled="f" stroked="f">
                  <v:textbox inset="0,0,0,0">
                    <w:txbxContent>
                      <w:p w14:paraId="1A53CF0F" w14:textId="77777777" w:rsidR="00B32EF2" w:rsidRDefault="00000000">
                        <w:r>
                          <w:rPr>
                            <w:rFonts w:ascii="Arial" w:eastAsia="Arial" w:hAnsi="Arial" w:cs="Arial"/>
                            <w:i/>
                            <w:sz w:val="18"/>
                          </w:rPr>
                          <w:t xml:space="preserve">tenze ed onorari liquidati dal giudice non possono superare il valore della </w:t>
                        </w:r>
                      </w:p>
                    </w:txbxContent>
                  </v:textbox>
                </v:rect>
                <v:rect id="Rectangle 19233" o:spid="_x0000_s4406" style="position:absolute;left:32311;top:50666;width:68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rKBxAAAAN4AAAAPAAAAZHJzL2Rvd25yZXYueG1sRE9Ni8Iw&#10;EL0v+B/CCN40VWFxu0YRRezBy6oLexyasa02k9BEW/31mwVhb/N4nzNfdqYWd2p8ZVnBeJSAIM6t&#10;rrhQcDpuhzMQPiBrrC2Tggd5WC56b3NMtW35i+6HUIgYwj5FBWUILpXS5yUZ9CPriCN3to3BEGFT&#10;SN1gG8NNLSdJ8i4NVhwbSnS0Lim/Hm5Gwc+GXbZtZX5+rt3+ks3q3e30rdSg360+QQTqwr/45c50&#10;nP8xmU7h7514g1z8AgAA//8DAFBLAQItABQABgAIAAAAIQDb4fbL7gAAAIUBAAATAAAAAAAAAAAA&#10;AAAAAAAAAABbQ29udGVudF9UeXBlc10ueG1sUEsBAi0AFAAGAAgAAAAhAFr0LFu/AAAAFQEAAAsA&#10;AAAAAAAAAAAAAAAAHwEAAF9yZWxzLy5yZWxzUEsBAi0AFAAGAAgAAAAhAFlisoHEAAAA3gAAAA8A&#10;AAAAAAAAAAAAAAAABwIAAGRycy9kb3ducmV2LnhtbFBLBQYAAAAAAwADALcAAAD4AgAAAAA=&#10;" filled="f" stroked="f">
                  <v:textbox inset="0,0,0,0">
                    <w:txbxContent>
                      <w:p w14:paraId="287A951C" w14:textId="77777777" w:rsidR="00B32EF2" w:rsidRDefault="00000000">
                        <w:r>
                          <w:rPr>
                            <w:rFonts w:ascii="Arial" w:eastAsia="Arial" w:hAnsi="Arial" w:cs="Arial"/>
                            <w:i/>
                            <w:sz w:val="18"/>
                          </w:rPr>
                          <w:t>domanda.</w:t>
                        </w:r>
                      </w:p>
                    </w:txbxContent>
                  </v:textbox>
                </v:rect>
                <v:rect id="Rectangle 19234" o:spid="_x0000_s4407" style="position:absolute;left:-11900;top:49432;width:511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yr1xQAAAN4AAAAPAAAAZHJzL2Rvd25yZXYueG1sRE9Na8JA&#10;EL0L/Q/LFLzpRi1io6uIIs3BS62FHofsmESzs0t2NWl/vVsQvM3jfc5i1Zla3KjxlWUFo2ECgji3&#10;uuJCwfFrN5iB8AFZY22ZFPySh9XypbfAVNuWP+l2CIWIIexTVFCG4FIpfV6SQT+0jjhyJ9sYDBE2&#10;hdQNtjHc1HKcJFNpsOLYUKKjTUn55XA1Cn627LJdK/PT38btz9ms/rgev5Xqv3brOYhAXXiKH+5M&#10;x/nv48kb/L8Tb5DLOwAAAP//AwBQSwECLQAUAAYACAAAACEA2+H2y+4AAACFAQAAEwAAAAAAAAAA&#10;AAAAAAAAAAAAW0NvbnRlbnRfVHlwZXNdLnhtbFBLAQItABQABgAIAAAAIQBa9CxbvwAAABUBAAAL&#10;AAAAAAAAAAAAAAAAAB8BAABfcmVscy8ucmVsc1BLAQItABQABgAIAAAAIQDWiyr1xQAAAN4AAAAP&#10;AAAAAAAAAAAAAAAAAAcCAABkcnMvZG93bnJldi54bWxQSwUGAAAAAAMAAwC3AAAA+QIAAAAA&#10;" filled="f" stroked="f">
                  <v:textbox inset="0,0,0,0">
                    <w:txbxContent>
                      <w:p w14:paraId="69C56F17" w14:textId="77777777" w:rsidR="00B32EF2" w:rsidRDefault="00000000">
                        <w:r>
                          <w:rPr>
                            <w:rFonts w:ascii="Arial" w:eastAsia="Arial" w:hAnsi="Arial" w:cs="Arial"/>
                            <w:i/>
                            <w:sz w:val="18"/>
                          </w:rPr>
                          <w:t xml:space="preserve">art. 92 c.p.c. “Condanna alle spese per singoli atti. Compensazione delle </w:t>
                        </w:r>
                      </w:p>
                    </w:txbxContent>
                  </v:textbox>
                </v:rect>
                <v:rect id="Rectangle 19235" o:spid="_x0000_s4408" style="position:absolute;left:33745;top:48199;width:53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49uxQAAAN4AAAAPAAAAZHJzL2Rvd25yZXYueG1sRE9Na8JA&#10;EL0L/Q/LFLzpRqVio6uIIs3BS62FHofsmESzs0t2NWl/vVsQvM3jfc5i1Zla3KjxlWUFo2ECgji3&#10;uuJCwfFrN5iB8AFZY22ZFPySh9XypbfAVNuWP+l2CIWIIexTVFCG4FIpfV6SQT+0jjhyJ9sYDBE2&#10;hdQNtjHc1HKcJFNpsOLYUKKjTUn55XA1Cn627LJdK/PT38btz9ms/rgev5Xqv3brOYhAXXiKH+5M&#10;x/nv48kb/L8Tb5DLOwAAAP//AwBQSwECLQAUAAYACAAAACEA2+H2y+4AAACFAQAAEwAAAAAAAAAA&#10;AAAAAAAAAAAAW0NvbnRlbnRfVHlwZXNdLnhtbFBLAQItABQABgAIAAAAIQBa9CxbvwAAABUBAAAL&#10;AAAAAAAAAAAAAAAAAB8BAABfcmVscy8ucmVsc1BLAQItABQABgAIAAAAIQC5x49uxQAAAN4AAAAP&#10;AAAAAAAAAAAAAAAAAAcCAABkcnMvZG93bnJldi54bWxQSwUGAAAAAAMAAwC3AAAA+QIAAAAA&#10;" filled="f" stroked="f">
                  <v:textbox inset="0,0,0,0">
                    <w:txbxContent>
                      <w:p w14:paraId="7D72907D" w14:textId="77777777" w:rsidR="00B32EF2" w:rsidRDefault="00000000">
                        <w:r>
                          <w:rPr>
                            <w:rFonts w:ascii="Arial" w:eastAsia="Arial" w:hAnsi="Arial" w:cs="Arial"/>
                            <w:i/>
                            <w:sz w:val="18"/>
                          </w:rPr>
                          <w:t xml:space="preserve">spese.” </w:t>
                        </w:r>
                      </w:p>
                    </w:txbxContent>
                  </v:textbox>
                </v:rect>
                <v:rect id="Rectangle 201301" o:spid="_x0000_s4409" style="position:absolute;left:25848;top:46966;width:509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P4pxwAAAN8AAAAPAAAAZHJzL2Rvd25yZXYueG1sRI9BawIx&#10;FITvQv9DeIXeNFkLIqtRxCLdQy9aCz0+Ns/d1c1L2ER321/fCEKPw8x8wyzXg23FjbrQONaQTRQI&#10;4tKZhisNx8/deA4iRGSDrWPS8EMB1qun0RJz43re0+0QK5EgHHLUUMfocylDWZPFMHGeOHkn11mM&#10;SXaVNB32CW5bOVVqJi02nBZq9LStqbwcrlbD9xv7YtfL8vS79R/nYt6+X49fWr88D5sFiEhD/A8/&#10;2oXRMFXZq8rg/id9Abn6AwAA//8DAFBLAQItABQABgAIAAAAIQDb4fbL7gAAAIUBAAATAAAAAAAA&#10;AAAAAAAAAAAAAABbQ29udGVudF9UeXBlc10ueG1sUEsBAi0AFAAGAAgAAAAhAFr0LFu/AAAAFQEA&#10;AAsAAAAAAAAAAAAAAAAAHwEAAF9yZWxzLy5yZWxzUEsBAi0AFAAGAAgAAAAhAAPc/inHAAAA3wAA&#10;AA8AAAAAAAAAAAAAAAAABwIAAGRycy9kb3ducmV2LnhtbFBLBQYAAAAAAwADALcAAAD7AgAAAAA=&#10;" filled="f" stroked="f">
                  <v:textbox inset="0,0,0,0">
                    <w:txbxContent>
                      <w:p w14:paraId="2CF2CBC1" w14:textId="77777777" w:rsidR="00B32EF2" w:rsidRDefault="00000000">
                        <w:r>
                          <w:rPr>
                            <w:rFonts w:ascii="Arial" w:eastAsia="Arial" w:hAnsi="Arial" w:cs="Arial"/>
                            <w:i/>
                            <w:sz w:val="18"/>
                          </w:rPr>
                          <w:t>1</w:t>
                        </w:r>
                      </w:p>
                    </w:txbxContent>
                  </v:textbox>
                </v:rect>
                <v:rect id="Rectangle 201302" o:spid="_x0000_s4410" style="position:absolute;left:-12464;top:46966;width:509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mBexwAAAN8AAAAPAAAAZHJzL2Rvd25yZXYueG1sRI9BawIx&#10;FITvQv9DeIXeNHELIqtRxCLdQy9aCz0+Ns/d1c1L2ER321/fCEKPw8x8wyzXg23FjbrQONYwnSgQ&#10;xKUzDVcajp+78RxEiMgGW8ek4YcCrFdPoyXmxvW8p9shViJBOOSooY7R51KGsiaLYeI8cfJOrrMY&#10;k+wqaTrsE9y2MlNqJi02nBZq9LStqbwcrlbD9xv7YtfL8vS79R/nYt6+X49fWr88D5sFiEhD/A8/&#10;2oXRkKnpq8rg/id9Abn6AwAA//8DAFBLAQItABQABgAIAAAAIQDb4fbL7gAAAIUBAAATAAAAAAAA&#10;AAAAAAAAAAAAAABbQ29udGVudF9UeXBlc10ueG1sUEsBAi0AFAAGAAgAAAAhAFr0LFu/AAAAFQEA&#10;AAsAAAAAAAAAAAAAAAAAHwEAAF9yZWxzLy5yZWxzUEsBAi0AFAAGAAgAAAAhAPMOYF7HAAAA3wAA&#10;AA8AAAAAAAAAAAAAAAAABwIAAGRycy9kb3ducmV2LnhtbFBLBQYAAAAAAwADALcAAAD7AgAAAAA=&#10;" filled="f" stroked="f">
                  <v:textbox inset="0,0,0,0">
                    <w:txbxContent>
                      <w:p w14:paraId="2A088E3D" w14:textId="77777777" w:rsidR="00B32EF2" w:rsidRDefault="00000000">
                        <w:r>
                          <w:rPr>
                            <w:rFonts w:ascii="Arial" w:eastAsia="Arial" w:hAnsi="Arial" w:cs="Arial"/>
                            <w:i/>
                            <w:sz w:val="18"/>
                          </w:rPr>
                          <w:t xml:space="preserve">. Il giudice, nel pronunciare la condanna di cui all’articolo precedente, può </w:t>
                        </w:r>
                      </w:p>
                    </w:txbxContent>
                  </v:textbox>
                </v:rect>
                <v:rect id="Rectangle 19237" o:spid="_x0000_s4411" style="position:absolute;left:-10900;top:45733;width:5003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bSCxQAAAN4AAAAPAAAAZHJzL2Rvd25yZXYueG1sRE9Na8JA&#10;EL0L/Q/LFLzpRoVqo6uIIs3BS62FHofsmESzs0t2NWl/vVsQvM3jfc5i1Zla3KjxlWUFo2ECgji3&#10;uuJCwfFrN5iB8AFZY22ZFPySh9XypbfAVNuWP+l2CIWIIexTVFCG4FIpfV6SQT+0jjhyJ9sYDBE2&#10;hdQNtjHc1HKcJG/SYMWxoURHm5Lyy+FqFPxs2WW7Vuanv43bn7NZ/XE9fivVf+3WcxCBuvAUP9yZ&#10;jvPfx5Mp/L8Tb5DLOwAAAP//AwBQSwECLQAUAAYACAAAACEA2+H2y+4AAACFAQAAEwAAAAAAAAAA&#10;AAAAAAAAAAAAW0NvbnRlbnRfVHlwZXNdLnhtbFBLAQItABQABgAIAAAAIQBa9CxbvwAAABUBAAAL&#10;AAAAAAAAAAAAAAAAAB8BAABfcmVscy8ucmVsc1BLAQItABQABgAIAAAAIQAmWbSCxQAAAN4AAAAP&#10;AAAAAAAAAAAAAAAAAAcCAABkcnMvZG93bnJldi54bWxQSwUGAAAAAAMAAwC3AAAA+QIAAAAA&#10;" filled="f" stroked="f">
                  <v:textbox inset="0,0,0,0">
                    <w:txbxContent>
                      <w:p w14:paraId="78825EB9" w14:textId="77777777" w:rsidR="00B32EF2" w:rsidRDefault="00000000">
                        <w:r>
                          <w:rPr>
                            <w:rFonts w:ascii="Arial" w:eastAsia="Arial" w:hAnsi="Arial" w:cs="Arial"/>
                            <w:i/>
                            <w:sz w:val="18"/>
                          </w:rPr>
                          <w:t>escludere la ripetizione delle spese sostenute dalla parte vincitrice, se le ri</w:t>
                        </w:r>
                      </w:p>
                    </w:txbxContent>
                  </v:textbox>
                </v:rect>
                <v:rect id="Rectangle 19238" o:spid="_x0000_s4412" style="position:absolute;left:975;top:45733;width:5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DwyAAAAN4AAAAPAAAAZHJzL2Rvd25yZXYueG1sRI9Pa8JA&#10;EMXvhX6HZQre6kaFYlNXEYs0h178U+hxyI5J2uzskl1N2k/vHARvM7w37/1msRpcqy7Uxcazgck4&#10;A0VcettwZeB42D7PQcWEbLH1TAb+KMJq+fiwwNz6nnd02adKSQjHHA3UKYVc61jW5DCOfSAW7eQ7&#10;h0nWrtK2w17CXaunWfaiHTYsDTUG2tRU/u7PzsD3O4di2+vy9L8Jnz/FvP04H7+MGT0N6zdQiYZ0&#10;N9+uCyv4r9OZ8Mo7MoNeXgEAAP//AwBQSwECLQAUAAYACAAAACEA2+H2y+4AAACFAQAAEwAAAAAA&#10;AAAAAAAAAAAAAAAAW0NvbnRlbnRfVHlwZXNdLnhtbFBLAQItABQABgAIAAAAIQBa9CxbvwAAABUB&#10;AAALAAAAAAAAAAAAAAAAAB8BAABfcmVscy8ucmVsc1BLAQItABQABgAIAAAAIQBXxiDwyAAAAN4A&#10;AAAPAAAAAAAAAAAAAAAAAAcCAABkcnMvZG93bnJldi54bWxQSwUGAAAAAAMAAwC3AAAA/AIAAAAA&#10;" filled="f" stroked="f">
                  <v:textbox inset="0,0,0,0">
                    <w:txbxContent>
                      <w:p w14:paraId="014B317C" w14:textId="77777777" w:rsidR="00B32EF2" w:rsidRDefault="00000000">
                        <w:r>
                          <w:rPr>
                            <w:rFonts w:ascii="Arial" w:eastAsia="Arial" w:hAnsi="Arial" w:cs="Arial"/>
                            <w:i/>
                            <w:sz w:val="18"/>
                          </w:rPr>
                          <w:t>-</w:t>
                        </w:r>
                      </w:p>
                    </w:txbxContent>
                  </v:textbox>
                </v:rect>
                <v:rect id="Rectangle 19239" o:spid="_x0000_s4413" style="position:absolute;left:-11871;top:44499;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oVrxAAAAN4AAAAPAAAAZHJzL2Rvd25yZXYueG1sRE9Ni8Iw&#10;EL0L/ocwgjdNVVi0axRRxB72sq4Lexyasa02k9BEW/31m4UFb/N4n7Ncd6YWd2p8ZVnBZJyAIM6t&#10;rrhQcPraj+YgfEDWWFsmBQ/ysF71e0tMtW35k+7HUIgYwj5FBWUILpXS5yUZ9GPriCN3to3BEGFT&#10;SN1gG8NNLadJ8iYNVhwbSnS0LSm/Hm9Gwc+OXbZvZX5+bt3HJZvXh9vpW6nhoNu8gwjUhZf4353p&#10;OH8xnS3g7514g1z9AgAA//8DAFBLAQItABQABgAIAAAAIQDb4fbL7gAAAIUBAAATAAAAAAAAAAAA&#10;AAAAAAAAAABbQ29udGVudF9UeXBlc10ueG1sUEsBAi0AFAAGAAgAAAAhAFr0LFu/AAAAFQEAAAsA&#10;AAAAAAAAAAAAAAAAHwEAAF9yZWxzLy5yZWxzUEsBAi0AFAAGAAgAAAAhADiKhWvEAAAA3gAAAA8A&#10;AAAAAAAAAAAAAAAABwIAAGRycy9kb3ducmV2LnhtbFBLBQYAAAAAAwADALcAAAD4AgAAAAA=&#10;" filled="f" stroked="f">
                  <v:textbox inset="0,0,0,0">
                    <w:txbxContent>
                      <w:p w14:paraId="31C61772" w14:textId="77777777" w:rsidR="00B32EF2" w:rsidRDefault="00000000">
                        <w:r>
                          <w:rPr>
                            <w:rFonts w:ascii="Arial" w:eastAsia="Arial" w:hAnsi="Arial" w:cs="Arial"/>
                            <w:i/>
                            <w:sz w:val="18"/>
                          </w:rPr>
                          <w:t xml:space="preserve">tiene eccessive o superflue; e può, indipendentemente dalla soccombenza, </w:t>
                        </w:r>
                      </w:p>
                    </w:txbxContent>
                  </v:textbox>
                </v:rect>
                <v:rect id="Rectangle 19240" o:spid="_x0000_s4414" style="position:absolute;left:-11851;top:43266;width:509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l+LyAAAAN4AAAAPAAAAZHJzL2Rvd25yZXYueG1sRI9Pa8JA&#10;EMXvhX6HZQre6kaRYlNXEYs0h178U+hxyI5J2uzskl1N2k/vHARvM8yb995vsRpcqy7Uxcazgck4&#10;A0VcettwZeB42D7PQcWEbLH1TAb+KMJq+fiwwNz6nnd02adKiQnHHA3UKYVc61jW5DCOfSCW28l3&#10;DpOsXaVth72Yu1ZPs+xFO2xYEmoMtKmp/N2fnYHvdw7Fttfl6X8TPn+KeftxPn4ZM3oa1m+gEg3p&#10;Lr59F1bqv05nAiA4MoNeXgEAAP//AwBQSwECLQAUAAYACAAAACEA2+H2y+4AAACFAQAAEwAAAAAA&#10;AAAAAAAAAAAAAAAAW0NvbnRlbnRfVHlwZXNdLnhtbFBLAQItABQABgAIAAAAIQBa9CxbvwAAABUB&#10;AAALAAAAAAAAAAAAAAAAAB8BAABfcmVscy8ucmVsc1BLAQItABQABgAIAAAAIQDxtl+LyAAAAN4A&#10;AAAPAAAAAAAAAAAAAAAAAAcCAABkcnMvZG93bnJldi54bWxQSwUGAAAAAAMAAwC3AAAA/AIAAAAA&#10;" filled="f" stroked="f">
                  <v:textbox inset="0,0,0,0">
                    <w:txbxContent>
                      <w:p w14:paraId="6360AC5E" w14:textId="77777777" w:rsidR="00B32EF2" w:rsidRDefault="00000000">
                        <w:r>
                          <w:rPr>
                            <w:rFonts w:ascii="Arial" w:eastAsia="Arial" w:hAnsi="Arial" w:cs="Arial"/>
                            <w:i/>
                            <w:sz w:val="18"/>
                          </w:rPr>
                          <w:t xml:space="preserve">condannare una parte al rimborso delle spese, anche non ripetibili, che, per </w:t>
                        </w:r>
                      </w:p>
                    </w:txbxContent>
                  </v:textbox>
                </v:rect>
                <v:rect id="Rectangle 19241" o:spid="_x0000_s4415" style="position:absolute;left:-11862;top:42033;width:509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oQxAAAAN4AAAAPAAAAZHJzL2Rvd25yZXYueG1sRE9Li8Iw&#10;EL4L+x/CLHhbU2URrUZZXGR78LI+wOPQjG21mYQm2uqvNwsL3ubje8582Zla3KjxlWUFw0ECgji3&#10;uuJCwX63/piA8AFZY22ZFNzJw3Lx1ptjqm3Lv3TbhkLEEPYpKihDcKmUPi/JoB9YRxy5k20Mhgib&#10;QuoG2xhuajlKkrE0WHFsKNHRqqT8sr0aBcdvdtm6lfnpsXKbczapf677g1L99+5rBiJQF17if3em&#10;4/zp6HMIf+/EG+TiCQAA//8DAFBLAQItABQABgAIAAAAIQDb4fbL7gAAAIUBAAATAAAAAAAAAAAA&#10;AAAAAAAAAABbQ29udGVudF9UeXBlc10ueG1sUEsBAi0AFAAGAAgAAAAhAFr0LFu/AAAAFQEAAAsA&#10;AAAAAAAAAAAAAAAAHwEAAF9yZWxzLy5yZWxzUEsBAi0AFAAGAAgAAAAhAJ76+hDEAAAA3gAAAA8A&#10;AAAAAAAAAAAAAAAABwIAAGRycy9kb3ducmV2LnhtbFBLBQYAAAAAAwADALcAAAD4AgAAAAA=&#10;" filled="f" stroked="f">
                  <v:textbox inset="0,0,0,0">
                    <w:txbxContent>
                      <w:p w14:paraId="328E5E93" w14:textId="77777777" w:rsidR="00B32EF2" w:rsidRDefault="00000000">
                        <w:r>
                          <w:rPr>
                            <w:rFonts w:ascii="Arial" w:eastAsia="Arial" w:hAnsi="Arial" w:cs="Arial"/>
                            <w:i/>
                            <w:sz w:val="18"/>
                          </w:rPr>
                          <w:t xml:space="preserve">trasgressione al dovere di cui all’articolo 88, essa ha causato all’altra parte. </w:t>
                        </w:r>
                      </w:p>
                    </w:txbxContent>
                  </v:textbox>
                </v:rect>
                <v:rect id="Rectangle 201299" o:spid="_x0000_s4416" style="position:absolute;left:25835;top:40799;width:510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g1yAAAAN8AAAAPAAAAZHJzL2Rvd25yZXYueG1sRI9Pa8JA&#10;FMTvBb/D8oTe6sYcikY3Ioo0h15qFTw+si9/NPt2ya4m7afvFgo9DjPzG2a9GU0nHtT71rKC+SwB&#10;QVxa3XKt4PR5eFmA8AFZY2eZFHyRh00+eVpjpu3AH/Q4hlpECPsMFTQhuExKXzZk0M+sI45eZXuD&#10;Icq+lrrHIcJNJ9MkeZUGW44LDTraNVTejnej4LJnVxwGWVbfO/d+LRbd2/10Vup5Om5XIAKN4T/8&#10;1y60gjSZp8sl/P6JX0DmPwAAAP//AwBQSwECLQAUAAYACAAAACEA2+H2y+4AAACFAQAAEwAAAAAA&#10;AAAAAAAAAAAAAAAAW0NvbnRlbnRfVHlwZXNdLnhtbFBLAQItABQABgAIAAAAIQBa9CxbvwAAABUB&#10;AAALAAAAAAAAAAAAAAAAAB8BAABfcmVscy8ucmVsc1BLAQItABQABgAIAAAAIQBjQWg1yAAAAN8A&#10;AAAPAAAAAAAAAAAAAAAAAAcCAABkcnMvZG93bnJldi54bWxQSwUGAAAAAAMAAwC3AAAA/AIAAAAA&#10;" filled="f" stroked="f">
                  <v:textbox inset="0,0,0,0">
                    <w:txbxContent>
                      <w:p w14:paraId="142A5DA1" w14:textId="77777777" w:rsidR="00B32EF2" w:rsidRDefault="00000000">
                        <w:r>
                          <w:rPr>
                            <w:rFonts w:ascii="Arial" w:eastAsia="Arial" w:hAnsi="Arial" w:cs="Arial"/>
                            <w:i/>
                            <w:sz w:val="18"/>
                          </w:rPr>
                          <w:t>2</w:t>
                        </w:r>
                      </w:p>
                    </w:txbxContent>
                  </v:textbox>
                </v:rect>
                <v:rect id="Rectangle 201300" o:spid="_x0000_s4417" style="position:absolute;left:-12527;top:40799;width:510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FuyxgAAAN8AAAAPAAAAZHJzL2Rvd25yZXYueG1sRI9Pa8Iw&#10;GMbvA79DeIXdZqLCkGoUUcQedpmr4PGleW2rzZvQRNvt0y+HwY4Pzz9+q81gW/GkLjSONUwnCgRx&#10;6UzDlYbi6/C2ABEissHWMWn4pgCb9ehlhZlxPX/S8xQrkUY4ZKihjtFnUoayJoth4jxx8q6usxiT&#10;7CppOuzTuG3lTKl3abHh9FCjp11N5f30sBoue/b5oZfl9WfnP275oj0+irPWr+NhuwQRaYj/4b92&#10;bjTM1HSuEkHiSSwg178AAAD//wMAUEsBAi0AFAAGAAgAAAAhANvh9svuAAAAhQEAABMAAAAAAAAA&#10;AAAAAAAAAAAAAFtDb250ZW50X1R5cGVzXS54bWxQSwECLQAUAAYACAAAACEAWvQsW78AAAAVAQAA&#10;CwAAAAAAAAAAAAAAAAAfAQAAX3JlbHMvLnJlbHNQSwECLQAUAAYACAAAACEAbJBbssYAAADfAAAA&#10;DwAAAAAAAAAAAAAAAAAHAgAAZHJzL2Rvd25yZXYueG1sUEsFBgAAAAADAAMAtwAAAPoCAAAAAA==&#10;" filled="f" stroked="f">
                  <v:textbox inset="0,0,0,0">
                    <w:txbxContent>
                      <w:p w14:paraId="6E09FED0" w14:textId="77777777" w:rsidR="00B32EF2" w:rsidRDefault="00000000">
                        <w:r>
                          <w:rPr>
                            <w:rFonts w:ascii="Arial" w:eastAsia="Arial" w:hAnsi="Arial" w:cs="Arial"/>
                            <w:i/>
                            <w:sz w:val="18"/>
                          </w:rPr>
                          <w:t xml:space="preserve">. Se vi è soccombenza reciproca ovvero nel caso di assoluta novità della </w:t>
                        </w:r>
                      </w:p>
                    </w:txbxContent>
                  </v:textbox>
                </v:rect>
                <v:rect id="Rectangle 19243" o:spid="_x0000_s4418" style="position:absolute;left:-11881;top:39566;width:510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MH8xQAAAN4AAAAPAAAAZHJzL2Rvd25yZXYueG1sRE9Na8JA&#10;EL0L/Q/LFLzpRi1io6uIIs3BS62FHofsmESzs0t2NWl/vVsQvM3jfc5i1Zla3KjxlWUFo2ECgji3&#10;uuJCwfFrN5iB8AFZY22ZFPySh9XypbfAVNuWP+l2CIWIIexTVFCG4FIpfV6SQT+0jjhyJ9sYDBE2&#10;hdQNtjHc1HKcJFNpsOLYUKKjTUn55XA1Cn627LJdK/PT38btz9ms/rgev5Xqv3brOYhAXXiKH+5M&#10;x/nv47cJ/L8Tb5DLOwAAAP//AwBQSwECLQAUAAYACAAAACEA2+H2y+4AAACFAQAAEwAAAAAAAAAA&#10;AAAAAAAAAAAAW0NvbnRlbnRfVHlwZXNdLnhtbFBLAQItABQABgAIAAAAIQBa9CxbvwAAABUBAAAL&#10;AAAAAAAAAAAAAAAAAB8BAABfcmVscy8ucmVsc1BLAQItABQABgAIAAAAIQABZMH8xQAAAN4AAAAP&#10;AAAAAAAAAAAAAAAAAAcCAABkcnMvZG93bnJldi54bWxQSwUGAAAAAAMAAwC3AAAA+QIAAAAA&#10;" filled="f" stroked="f">
                  <v:textbox inset="0,0,0,0">
                    <w:txbxContent>
                      <w:p w14:paraId="500A888E" w14:textId="77777777" w:rsidR="00B32EF2" w:rsidRDefault="00000000">
                        <w:r>
                          <w:rPr>
                            <w:rFonts w:ascii="Arial" w:eastAsia="Arial" w:hAnsi="Arial" w:cs="Arial"/>
                            <w:i/>
                            <w:sz w:val="18"/>
                          </w:rPr>
                          <w:t xml:space="preserve">questione trattata o mutamento della giurisprudenza rispetto alle questioni </w:t>
                        </w:r>
                      </w:p>
                    </w:txbxContent>
                  </v:textbox>
                </v:rect>
                <v:rect id="Rectangle 19244" o:spid="_x0000_s4419" style="position:absolute;left:-11911;top:38333;width:511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VmIxAAAAN4AAAAPAAAAZHJzL2Rvd25yZXYueG1sRE9Ni8Iw&#10;EL0v+B/CCN40VWRxu0YRRezBy6oLexyasa02k9BEW/31mwVhb/N4nzNfdqYWd2p8ZVnBeJSAIM6t&#10;rrhQcDpuhzMQPiBrrC2Tggd5WC56b3NMtW35i+6HUIgYwj5FBWUILpXS5yUZ9CPriCN3to3BEGFT&#10;SN1gG8NNLSdJ8i4NVhwbSnS0Lim/Hm5Gwc+GXbZtZX5+rt3+ks3q3e30rdSg360+QQTqwr/45c50&#10;nP8xmU7h7514g1z8AgAA//8DAFBLAQItABQABgAIAAAAIQDb4fbL7gAAAIUBAAATAAAAAAAAAAAA&#10;AAAAAAAAAABbQ29udGVudF9UeXBlc10ueG1sUEsBAi0AFAAGAAgAAAAhAFr0LFu/AAAAFQEAAAsA&#10;AAAAAAAAAAAAAAAAHwEAAF9yZWxzLy5yZWxzUEsBAi0AFAAGAAgAAAAhAI6NWYjEAAAA3gAAAA8A&#10;AAAAAAAAAAAAAAAABwIAAGRycy9kb3ducmV2LnhtbFBLBQYAAAAAAwADALcAAAD4AgAAAAA=&#10;" filled="f" stroked="f">
                  <v:textbox inset="0,0,0,0">
                    <w:txbxContent>
                      <w:p w14:paraId="1DF64DB2" w14:textId="77777777" w:rsidR="00B32EF2" w:rsidRDefault="00000000">
                        <w:r>
                          <w:rPr>
                            <w:rFonts w:ascii="Arial" w:eastAsia="Arial" w:hAnsi="Arial" w:cs="Arial"/>
                            <w:i/>
                            <w:sz w:val="18"/>
                          </w:rPr>
                          <w:t xml:space="preserve">dirimenti, il giudice può compensare le spese tra le parti, parzialmente o </w:t>
                        </w:r>
                      </w:p>
                    </w:txbxContent>
                  </v:textbox>
                </v:rect>
                <v:rect id="Rectangle 19245" o:spid="_x0000_s4420" style="position:absolute;left:31803;top:37100;width:733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wTxQAAAN4AAAAPAAAAZHJzL2Rvd25yZXYueG1sRE9Na8JA&#10;EL0L/Q/LFLzpRrFio6uIIs3BS62FHofsmESzs0t2NWl/vVsQvM3jfc5i1Zla3KjxlWUFo2ECgji3&#10;uuJCwfFrN5iB8AFZY22ZFPySh9XypbfAVNuWP+l2CIWIIexTVFCG4FIpfV6SQT+0jjhyJ9sYDBE2&#10;hdQNtjHc1HKcJFNpsOLYUKKjTUn55XA1Cn627LJdK/PT38btz9ms/rgev5Xqv3brOYhAXXiKH+5M&#10;x/nv48kb/L8Tb5DLOwAAAP//AwBQSwECLQAUAAYACAAAACEA2+H2y+4AAACFAQAAEwAAAAAAAAAA&#10;AAAAAAAAAAAAW0NvbnRlbnRfVHlwZXNdLnhtbFBLAQItABQABgAIAAAAIQBa9CxbvwAAABUBAAAL&#10;AAAAAAAAAAAAAAAAAB8BAABfcmVscy8ucmVsc1BLAQItABQABgAIAAAAIQDhwfwTxQAAAN4AAAAP&#10;AAAAAAAAAAAAAAAAAAcCAABkcnMvZG93bnJldi54bWxQSwUGAAAAAAMAAwC3AAAA+QIAAAAA&#10;" filled="f" stroked="f">
                  <v:textbox inset="0,0,0,0">
                    <w:txbxContent>
                      <w:p w14:paraId="21D5A080" w14:textId="77777777" w:rsidR="00B32EF2" w:rsidRDefault="00000000">
                        <w:r>
                          <w:rPr>
                            <w:rFonts w:ascii="Arial" w:eastAsia="Arial" w:hAnsi="Arial" w:cs="Arial"/>
                            <w:i/>
                            <w:sz w:val="18"/>
                          </w:rPr>
                          <w:t xml:space="preserve">per intero. </w:t>
                        </w:r>
                      </w:p>
                    </w:txbxContent>
                  </v:textbox>
                </v:rect>
                <v:rect id="Rectangle 201297" o:spid="_x0000_s4421" style="position:absolute;left:25818;top:35866;width:511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lncyAAAAN8AAAAPAAAAZHJzL2Rvd25yZXYueG1sRI9Pa8JA&#10;FMTvhX6H5Qm96cYcqqauIhZpDl7qH+jxkX0m0ezbJbua1E/vFoQeh5n5DTNf9qYRN2p9bVnBeJSA&#10;IC6srrlUcNhvhlMQPiBrbCyTgl/ysFy8vswx07bjb7rtQikihH2GCqoQXCalLyoy6EfWEUfvZFuD&#10;Icq2lLrFLsJNI9MkeZcGa44LFTpaV1Rcdlej4OeTXb7pZHG6r932nE+br+vhqNTboF99gAjUh//w&#10;s51rBWkyTmcT+PsTv4BcPAAAAP//AwBQSwECLQAUAAYACAAAACEA2+H2y+4AAACFAQAAEwAAAAAA&#10;AAAAAAAAAAAAAAAAW0NvbnRlbnRfVHlwZXNdLnhtbFBLAQItABQABgAIAAAAIQBa9CxbvwAAABUB&#10;AAALAAAAAAAAAAAAAAAAAB8BAABfcmVscy8ucmVsc1BLAQItABQABgAIAAAAIQB9klncyAAAAN8A&#10;AAAPAAAAAAAAAAAAAAAAAAcCAABkcnMvZG93bnJldi54bWxQSwUGAAAAAAMAAwC3AAAA/AIAAAAA&#10;" filled="f" stroked="f">
                  <v:textbox inset="0,0,0,0">
                    <w:txbxContent>
                      <w:p w14:paraId="5CB95AF1" w14:textId="77777777" w:rsidR="00B32EF2" w:rsidRDefault="00000000">
                        <w:r>
                          <w:rPr>
                            <w:rFonts w:ascii="Arial" w:eastAsia="Arial" w:hAnsi="Arial" w:cs="Arial"/>
                            <w:i/>
                            <w:sz w:val="18"/>
                          </w:rPr>
                          <w:t>3</w:t>
                        </w:r>
                      </w:p>
                    </w:txbxContent>
                  </v:textbox>
                </v:rect>
                <v:rect id="Rectangle 201298" o:spid="_x0000_s4422" style="position:absolute;left:-12557;top:35866;width:51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c2uxAAAAN8AAAAPAAAAZHJzL2Rvd25yZXYueG1sRE9Ni8Iw&#10;EL0v+B/CCN7W1B7ErUYRRexhL7oKHodmbKvNJDTR1v315rCwx8f7Xqx604gntb62rGAyTkAQF1bX&#10;XCo4/ew+ZyB8QNbYWCYFL/KwWg4+Fphp2/GBnsdQihjCPkMFVQguk9IXFRn0Y+uII3e1rcEQYVtK&#10;3WIXw00j0ySZSoM1x4YKHW0qKu7Hh1Fw2bLLd50srr8b933LZ83+cTorNRr26zmIQH34F/+5c60g&#10;TSbpVxwc/8QvIJdvAAAA//8DAFBLAQItABQABgAIAAAAIQDb4fbL7gAAAIUBAAATAAAAAAAAAAAA&#10;AAAAAAAAAABbQ29udGVudF9UeXBlc10ueG1sUEsBAi0AFAAGAAgAAAAhAFr0LFu/AAAAFQEAAAsA&#10;AAAAAAAAAAAAAAAAHwEAAF9yZWxzLy5yZWxzUEsBAi0AFAAGAAgAAAAhAAwNza7EAAAA3wAAAA8A&#10;AAAAAAAAAAAAAAAABwIAAGRycy9kb3ducmV2LnhtbFBLBQYAAAAAAwADALcAAAD4AgAAAAA=&#10;" filled="f" stroked="f">
                  <v:textbox inset="0,0,0,0">
                    <w:txbxContent>
                      <w:p w14:paraId="0F40A832" w14:textId="77777777" w:rsidR="00B32EF2" w:rsidRDefault="00000000">
                        <w:r>
                          <w:rPr>
                            <w:rFonts w:ascii="Arial" w:eastAsia="Arial" w:hAnsi="Arial" w:cs="Arial"/>
                            <w:i/>
                            <w:sz w:val="18"/>
                          </w:rPr>
                          <w:t xml:space="preserve">. Se le parti si sono conciliate, le spese si intendono compensate, salvo </w:t>
                        </w:r>
                      </w:p>
                    </w:txbxContent>
                  </v:textbox>
                </v:rect>
                <v:rect id="Rectangle 19247" o:spid="_x0000_s4423" style="position:absolute;left:-11883;top:34633;width:510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f/xQAAAN4AAAAPAAAAZHJzL2Rvd25yZXYueG1sRE9Na8JA&#10;EL0L/Q/LFLzpRpFqo6uIIs3BS62FHofsmESzs0t2NWl/vVsQvM3jfc5i1Zla3KjxlWUFo2ECgji3&#10;uuJCwfFrN5iB8AFZY22ZFPySh9XypbfAVNuWP+l2CIWIIexTVFCG4FIpfV6SQT+0jjhyJ9sYDBE2&#10;hdQNtjHc1HKcJG/SYMWxoURHm5Lyy+FqFPxs2WW7Vuanv43bn7NZ/XE9fivVf+3WcxCBuvAUP9yZ&#10;jvPfx5Mp/L8Tb5DLOwAAAP//AwBQSwECLQAUAAYACAAAACEA2+H2y+4AAACFAQAAEwAAAAAAAAAA&#10;AAAAAAAAAAAAW0NvbnRlbnRfVHlwZXNdLnhtbFBLAQItABQABgAIAAAAIQBa9CxbvwAAABUBAAAL&#10;AAAAAAAAAAAAAAAAAB8BAABfcmVscy8ucmVsc1BLAQItABQABgAIAAAAIQB+X8f/xQAAAN4AAAAP&#10;AAAAAAAAAAAAAAAAAAcCAABkcnMvZG93bnJldi54bWxQSwUGAAAAAAMAAwC3AAAA+QIAAAAA&#10;" filled="f" stroked="f">
                  <v:textbox inset="0,0,0,0">
                    <w:txbxContent>
                      <w:p w14:paraId="01085DAC" w14:textId="77777777" w:rsidR="00B32EF2" w:rsidRDefault="00000000">
                        <w:r>
                          <w:rPr>
                            <w:rFonts w:ascii="Arial" w:eastAsia="Arial" w:hAnsi="Arial" w:cs="Arial"/>
                            <w:i/>
                            <w:sz w:val="18"/>
                          </w:rPr>
                          <w:t xml:space="preserve">che le parti stesse abbiano diversamente convenuto nel processo verbale </w:t>
                        </w:r>
                      </w:p>
                    </w:txbxContent>
                  </v:textbox>
                </v:rect>
                <v:rect id="Rectangle 19248" o:spid="_x0000_s4424" style="position:absolute;left:28667;top:33400;width:104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ONyAAAAN4AAAAPAAAAZHJzL2Rvd25yZXYueG1sRI9Pa8JA&#10;EMXvhX6HZQre6kaRYlNXEYs0h178U+hxyI5J2uzskl1N2k/vHARvM7w37/1msRpcqy7Uxcazgck4&#10;A0VcettwZeB42D7PQcWEbLH1TAb+KMJq+fiwwNz6nnd02adKSQjHHA3UKYVc61jW5DCOfSAW7eQ7&#10;h0nWrtK2w17CXaunWfaiHTYsDTUG2tRU/u7PzsD3O4di2+vy9L8Jnz/FvP04H7+MGT0N6zdQiYZ0&#10;N9+uCyv4r9OZ8Mo7MoNeXgEAAP//AwBQSwECLQAUAAYACAAAACEA2+H2y+4AAACFAQAAEwAAAAAA&#10;AAAAAAAAAAAAAAAAW0NvbnRlbnRfVHlwZXNdLnhtbFBLAQItABQABgAIAAAAIQBa9CxbvwAAABUB&#10;AAALAAAAAAAAAAAAAAAAAB8BAABfcmVscy8ucmVsc1BLAQItABQABgAIAAAAIQAPwFONyAAAAN4A&#10;AAAPAAAAAAAAAAAAAAAAAAcCAABkcnMvZG93bnJldi54bWxQSwUGAAAAAAMAAwC3AAAA/AIAAAAA&#10;" filled="f" stroked="f">
                  <v:textbox inset="0,0,0,0">
                    <w:txbxContent>
                      <w:p w14:paraId="0EC8B89E" w14:textId="77777777" w:rsidR="00B32EF2" w:rsidRDefault="00000000">
                        <w:r>
                          <w:rPr>
                            <w:rFonts w:ascii="Arial" w:eastAsia="Arial" w:hAnsi="Arial" w:cs="Arial"/>
                            <w:i/>
                            <w:sz w:val="18"/>
                          </w:rPr>
                          <w:t>di conciliazione</w:t>
                        </w:r>
                      </w:p>
                    </w:txbxContent>
                  </v:textbox>
                </v:rect>
                <v:rect id="Rectangle 19249" o:spid="_x0000_s4425" style="position:absolute;left:-4709;top:32166;width:438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PYWxAAAAN4AAAAPAAAAZHJzL2Rvd25yZXYueG1sRE9Ni8Iw&#10;EL0L/ocwgjdNFVm0axRRxB72sq4Lexyasa02k9BEW/31m4UFb/N4n7Ncd6YWd2p8ZVnBZJyAIM6t&#10;rrhQcPraj+YgfEDWWFsmBQ/ysF71e0tMtW35k+7HUIgYwj5FBWUILpXS5yUZ9GPriCN3to3BEGFT&#10;SN1gG8NNLadJ8iYNVhwbSnS0LSm/Hm9Gwc+OXbZvZX5+bt3HJZvXh9vpW6nhoNu8gwjUhZf4353p&#10;OH8xnS3g7514g1z9AgAA//8DAFBLAQItABQABgAIAAAAIQDb4fbL7gAAAIUBAAATAAAAAAAAAAAA&#10;AAAAAAAAAABbQ29udGVudF9UeXBlc10ueG1sUEsBAi0AFAAGAAgAAAAhAFr0LFu/AAAAFQEAAAsA&#10;AAAAAAAAAAAAAAAAHwEAAF9yZWxzLy5yZWxzUEsBAi0AFAAGAAgAAAAhAGCM9hbEAAAA3gAAAA8A&#10;AAAAAAAAAAAAAAAABwIAAGRycy9kb3ducmV2LnhtbFBLBQYAAAAAAwADALcAAAD4AgAAAAA=&#10;" filled="f" stroked="f">
                  <v:textbox inset="0,0,0,0">
                    <w:txbxContent>
                      <w:p w14:paraId="74CA505E" w14:textId="77777777" w:rsidR="00B32EF2" w:rsidRDefault="00000000">
                        <w:r>
                          <w:rPr>
                            <w:rFonts w:ascii="Arial" w:eastAsia="Arial" w:hAnsi="Arial" w:cs="Arial"/>
                            <w:i/>
                            <w:sz w:val="18"/>
                          </w:rPr>
                          <w:t xml:space="preserve">art.121 c.p.c. “Libertà di forme. Chiarezza e sinteticità degli atti.” </w:t>
                        </w:r>
                      </w:p>
                    </w:txbxContent>
                  </v:textbox>
                </v:rect>
                <v:rect id="Rectangle 19250" o:spid="_x0000_s4426" style="position:absolute;left:-11908;top:30933;width:511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8lWyAAAAN4AAAAPAAAAZHJzL2Rvd25yZXYueG1sRI9Pa8JA&#10;EMXvhX6HZQre6kbBYlNXEYs0h178U+hxyI5J2uzskl1N2k/vHARvM8yb995vsRpcqy7Uxcazgck4&#10;A0VcettwZeB42D7PQcWEbLH1TAb+KMJq+fiwwNz6nnd02adKiQnHHA3UKYVc61jW5DCOfSCW28l3&#10;DpOsXaVth72Yu1ZPs+xFO2xYEmoMtKmp/N2fnYHvdw7Fttfl6X8TPn+KeftxPn4ZM3oa1m+gEg3p&#10;Lr59F1bqv05nAiA4MoNeXgEAAP//AwBQSwECLQAUAAYACAAAACEA2+H2y+4AAACFAQAAEwAAAAAA&#10;AAAAAAAAAAAAAAAAW0NvbnRlbnRfVHlwZXNdLnhtbFBLAQItABQABgAIAAAAIQBa9CxbvwAAABUB&#10;AAALAAAAAAAAAAAAAAAAAB8BAABfcmVscy8ucmVsc1BLAQItABQABgAIAAAAIQB0b8lWyAAAAN4A&#10;AAAPAAAAAAAAAAAAAAAAAAcCAABkcnMvZG93bnJldi54bWxQSwUGAAAAAAMAAwC3AAAA/AIAAAAA&#10;" filled="f" stroked="f">
                  <v:textbox inset="0,0,0,0">
                    <w:txbxContent>
                      <w:p w14:paraId="3677BAF7" w14:textId="77777777" w:rsidR="00B32EF2" w:rsidRDefault="00000000">
                        <w:r>
                          <w:rPr>
                            <w:rFonts w:ascii="Arial" w:eastAsia="Arial" w:hAnsi="Arial" w:cs="Arial"/>
                            <w:i/>
                            <w:sz w:val="18"/>
                          </w:rPr>
                          <w:t xml:space="preserve">Gli atti del processo, per i quali la legge non richiede forme determinate, </w:t>
                        </w:r>
                      </w:p>
                    </w:txbxContent>
                  </v:textbox>
                </v:rect>
                <v:rect id="Rectangle 19251" o:spid="_x0000_s4427" style="position:absolute;left:-11866;top:29700;width:509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2zNxAAAAN4AAAAPAAAAZHJzL2Rvd25yZXYueG1sRE9Li8Iw&#10;EL4L+x/CLHhbU4UVrUZZXGR78LI+wOPQjG21mYQm2uqvNwsL3ubje8582Zla3KjxlWUFw0ECgji3&#10;uuJCwX63/piA8AFZY22ZFNzJw3Lx1ptjqm3Lv3TbhkLEEPYpKihDcKmUPi/JoB9YRxy5k20Mhgib&#10;QuoG2xhuajlKkrE0WHFsKNHRqqT8sr0aBcdvdtm6lfnpsXKbczapf677g1L99+5rBiJQF17if3em&#10;4/zp6HMIf+/EG+TiCQAA//8DAFBLAQItABQABgAIAAAAIQDb4fbL7gAAAIUBAAATAAAAAAAAAAAA&#10;AAAAAAAAAABbQ29udGVudF9UeXBlc10ueG1sUEsBAi0AFAAGAAgAAAAhAFr0LFu/AAAAFQEAAAsA&#10;AAAAAAAAAAAAAAAAHwEAAF9yZWxzLy5yZWxzUEsBAi0AFAAGAAgAAAAhABsjbM3EAAAA3gAAAA8A&#10;AAAAAAAAAAAAAAAABwIAAGRycy9kb3ducmV2LnhtbFBLBQYAAAAAAwADALcAAAD4AgAAAAA=&#10;" filled="f" stroked="f">
                  <v:textbox inset="0,0,0,0">
                    <w:txbxContent>
                      <w:p w14:paraId="4EA0C565" w14:textId="77777777" w:rsidR="00B32EF2" w:rsidRDefault="00000000">
                        <w:r>
                          <w:rPr>
                            <w:rFonts w:ascii="Arial" w:eastAsia="Arial" w:hAnsi="Arial" w:cs="Arial"/>
                            <w:i/>
                            <w:sz w:val="18"/>
                          </w:rPr>
                          <w:t xml:space="preserve">possono essere compiuti nella forma più idonea al raggiungimento del loro </w:t>
                        </w:r>
                      </w:p>
                    </w:txbxContent>
                  </v:textbox>
                </v:rect>
                <v:rect id="Rectangle 19252" o:spid="_x0000_s4428" style="position:absolute;left:-8776;top:28466;width:479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fK6xAAAAN4AAAAPAAAAZHJzL2Rvd25yZXYueG1sRE9Na8JA&#10;EL0X/A/LCN7qxkCLja4iijQHL7UKHofsmESzs0t2NdFf3y0UepvH+5z5sjeNuFPra8sKJuMEBHFh&#10;dc2lgsP39nUKwgdkjY1lUvAgD8vF4GWOmbYdf9F9H0oRQ9hnqKAKwWVS+qIig35sHXHkzrY1GCJs&#10;S6lb7GK4aWSaJO/SYM2xoUJH64qK6/5mFJw27PJtJ4vzc+12l3zafN4OR6VGw341AxGoD//iP3eu&#10;4/yP9C2F33fiDXLxAwAA//8DAFBLAQItABQABgAIAAAAIQDb4fbL7gAAAIUBAAATAAAAAAAAAAAA&#10;AAAAAAAAAABbQ29udGVudF9UeXBlc10ueG1sUEsBAi0AFAAGAAgAAAAhAFr0LFu/AAAAFQEAAAsA&#10;AAAAAAAAAAAAAAAAHwEAAF9yZWxzLy5yZWxzUEsBAi0AFAAGAAgAAAAhAOvx8rrEAAAA3gAAAA8A&#10;AAAAAAAAAAAAAAAABwIAAGRycy9kb3ducmV2LnhtbFBLBQYAAAAAAwADALcAAAD4AgAAAAA=&#10;" filled="f" stroked="f">
                  <v:textbox inset="0,0,0,0">
                    <w:txbxContent>
                      <w:p w14:paraId="0622B7C7" w14:textId="77777777" w:rsidR="00B32EF2" w:rsidRDefault="00000000">
                        <w:r>
                          <w:rPr>
                            <w:rFonts w:ascii="Arial" w:eastAsia="Arial" w:hAnsi="Arial" w:cs="Arial"/>
                            <w:i/>
                            <w:sz w:val="18"/>
                          </w:rPr>
                          <w:t>scopo. Tutti gli atti del processo sono redatti in modo chiaro e sintetico</w:t>
                        </w:r>
                      </w:p>
                    </w:txbxContent>
                  </v:textbox>
                </v:rect>
                <v:shape id="Shape 19253" o:spid="_x0000_s4429" style="position:absolute;left:318;top:27700;width:39600;height:35045;visibility:visible;mso-wrap-style:square;v-text-anchor:top" coordsize="3960000,3504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66TxAAAAN4AAAAPAAAAZHJzL2Rvd25yZXYueG1sRE9NawIx&#10;EL0X+h/CFLzVrFqlbo1SCqIeuwq9DptxszaZbDfpuvXXG6HgbR7vcxar3lnRURtqzwpGwwwEcel1&#10;zZWCw379/AoiRGSN1jMp+KMAq+XjwwJz7c/8SV0RK5FCOOSowMTY5FKG0pDDMPQNceKOvnUYE2wr&#10;qVs8p3Bn5TjLZtJhzanBYEMfhsrv4tcpOE3Xdvs1kfZQ+J+d6V4um9Fpr9TgqX9/AxGpj3fxv3ur&#10;0/z5eDqB2zvpBrm8AgAA//8DAFBLAQItABQABgAIAAAAIQDb4fbL7gAAAIUBAAATAAAAAAAAAAAA&#10;AAAAAAAAAABbQ29udGVudF9UeXBlc10ueG1sUEsBAi0AFAAGAAgAAAAhAFr0LFu/AAAAFQEAAAsA&#10;AAAAAAAAAAAAAAAAHwEAAF9yZWxzLy5yZWxzUEsBAi0AFAAGAAgAAAAhAO6vrpPEAAAA3gAAAA8A&#10;AAAAAAAAAAAAAAAABwIAAGRycy9kb3ducmV2LnhtbFBLBQYAAAAAAwADALcAAAD4AgAAAAA=&#10;" path="m,3504501r3960000,l3960000,,,,,3504501xe" filled="f" strokeweight="1pt">
                  <v:stroke miterlimit="1" joinstyle="miter"/>
                  <v:path arrowok="t" textboxrect="0,0,3960000,3504501"/>
                </v:shape>
                <w10:anchorlock/>
              </v:group>
            </w:pict>
          </mc:Fallback>
        </mc:AlternateContent>
      </w:r>
    </w:p>
    <w:p w14:paraId="4DF2E8EF" w14:textId="77777777" w:rsidR="00B32EF2" w:rsidRDefault="00000000">
      <w:pPr>
        <w:spacing w:after="0"/>
        <w:ind w:left="-357" w:right="-306"/>
      </w:pPr>
      <w:r>
        <w:rPr>
          <w:noProof/>
        </w:rPr>
        <w:lastRenderedPageBreak/>
        <mc:AlternateContent>
          <mc:Choice Requires="wpg">
            <w:drawing>
              <wp:inline distT="0" distB="0" distL="0" distR="0" wp14:anchorId="602C5B77" wp14:editId="20BDBB39">
                <wp:extent cx="3992111" cy="6262854"/>
                <wp:effectExtent l="0" t="0" r="0" b="0"/>
                <wp:docPr id="201477" name="Group 201477"/>
                <wp:cNvGraphicFramePr/>
                <a:graphic xmlns:a="http://schemas.openxmlformats.org/drawingml/2006/main">
                  <a:graphicData uri="http://schemas.microsoft.com/office/word/2010/wordprocessingGroup">
                    <wpg:wgp>
                      <wpg:cNvGrpSpPr/>
                      <wpg:grpSpPr>
                        <a:xfrm>
                          <a:off x="0" y="0"/>
                          <a:ext cx="3992111" cy="6262854"/>
                          <a:chOff x="0" y="0"/>
                          <a:chExt cx="3992111" cy="6262854"/>
                        </a:xfrm>
                      </wpg:grpSpPr>
                      <wps:wsp>
                        <wps:cNvPr id="19329" name="Rectangle 19329"/>
                        <wps:cNvSpPr/>
                        <wps:spPr>
                          <a:xfrm rot="-10799999">
                            <a:off x="1900797" y="-62190"/>
                            <a:ext cx="178369" cy="250646"/>
                          </a:xfrm>
                          <a:prstGeom prst="rect">
                            <a:avLst/>
                          </a:prstGeom>
                          <a:ln>
                            <a:noFill/>
                          </a:ln>
                        </wps:spPr>
                        <wps:txbx>
                          <w:txbxContent>
                            <w:p w14:paraId="456C6F17" w14:textId="77777777" w:rsidR="00B32EF2" w:rsidRDefault="00000000">
                              <w:r>
                                <w:rPr>
                                  <w:rFonts w:ascii="Times New Roman" w:eastAsia="Times New Roman" w:hAnsi="Times New Roman" w:cs="Times New Roman"/>
                                </w:rPr>
                                <w:t>54</w:t>
                              </w:r>
                            </w:p>
                          </w:txbxContent>
                        </wps:txbx>
                        <wps:bodyPr horzOverflow="overflow" vert="horz" lIns="0" tIns="0" rIns="0" bIns="0" rtlCol="0">
                          <a:noAutofit/>
                        </wps:bodyPr>
                      </wps:wsp>
                      <wps:wsp>
                        <wps:cNvPr id="19330" name="Rectangle 19330"/>
                        <wps:cNvSpPr/>
                        <wps:spPr>
                          <a:xfrm rot="-10799999">
                            <a:off x="-1317659" y="6119964"/>
                            <a:ext cx="5310571" cy="142890"/>
                          </a:xfrm>
                          <a:prstGeom prst="rect">
                            <a:avLst/>
                          </a:prstGeom>
                          <a:ln>
                            <a:noFill/>
                          </a:ln>
                        </wps:spPr>
                        <wps:txbx>
                          <w:txbxContent>
                            <w:p w14:paraId="3DA5C418" w14:textId="77777777" w:rsidR="00B32EF2" w:rsidRDefault="00000000">
                              <w:r>
                                <w:rPr>
                                  <w:rFonts w:ascii="Arial" w:eastAsia="Arial" w:hAnsi="Arial" w:cs="Arial"/>
                                  <w:sz w:val="18"/>
                                </w:rPr>
                                <w:t xml:space="preserve">slativo 15 dicembre 1997, n. 446, se assistiti da propri funzionari, si applicano </w:t>
                              </w:r>
                            </w:p>
                          </w:txbxContent>
                        </wps:txbx>
                        <wps:bodyPr horzOverflow="overflow" vert="horz" lIns="0" tIns="0" rIns="0" bIns="0" rtlCol="0">
                          <a:noAutofit/>
                        </wps:bodyPr>
                      </wps:wsp>
                      <wps:wsp>
                        <wps:cNvPr id="19331" name="Rectangle 19331"/>
                        <wps:cNvSpPr/>
                        <wps:spPr>
                          <a:xfrm rot="-10799999">
                            <a:off x="-1316955" y="5996634"/>
                            <a:ext cx="5309066" cy="142891"/>
                          </a:xfrm>
                          <a:prstGeom prst="rect">
                            <a:avLst/>
                          </a:prstGeom>
                          <a:ln>
                            <a:noFill/>
                          </a:ln>
                        </wps:spPr>
                        <wps:txbx>
                          <w:txbxContent>
                            <w:p w14:paraId="64671EB1" w14:textId="77777777" w:rsidR="00B32EF2" w:rsidRDefault="00000000">
                              <w:r>
                                <w:rPr>
                                  <w:rFonts w:ascii="Arial" w:eastAsia="Arial" w:hAnsi="Arial" w:cs="Arial"/>
                                  <w:sz w:val="18"/>
                                </w:rPr>
                                <w:t xml:space="preserve">le disposizioni per la liquidazione del compenso spettante agli avvocati, con la </w:t>
                              </w:r>
                            </w:p>
                          </w:txbxContent>
                        </wps:txbx>
                        <wps:bodyPr horzOverflow="overflow" vert="horz" lIns="0" tIns="0" rIns="0" bIns="0" rtlCol="0">
                          <a:noAutofit/>
                        </wps:bodyPr>
                      </wps:wsp>
                      <wps:wsp>
                        <wps:cNvPr id="19332" name="Rectangle 19332"/>
                        <wps:cNvSpPr/>
                        <wps:spPr>
                          <a:xfrm rot="-10799999">
                            <a:off x="-1220711" y="5873305"/>
                            <a:ext cx="5212823" cy="142889"/>
                          </a:xfrm>
                          <a:prstGeom prst="rect">
                            <a:avLst/>
                          </a:prstGeom>
                          <a:ln>
                            <a:noFill/>
                          </a:ln>
                        </wps:spPr>
                        <wps:txbx>
                          <w:txbxContent>
                            <w:p w14:paraId="29B3D9A1" w14:textId="77777777" w:rsidR="00B32EF2" w:rsidRDefault="00000000">
                              <w:r>
                                <w:rPr>
                                  <w:rFonts w:ascii="Arial" w:eastAsia="Arial" w:hAnsi="Arial" w:cs="Arial"/>
                                  <w:sz w:val="18"/>
                                </w:rPr>
                                <w:t>riduzione del venti per cento dell’importo complessivo ivi previsto. La riscos</w:t>
                              </w:r>
                            </w:p>
                          </w:txbxContent>
                        </wps:txbx>
                        <wps:bodyPr horzOverflow="overflow" vert="horz" lIns="0" tIns="0" rIns="0" bIns="0" rtlCol="0">
                          <a:noAutofit/>
                        </wps:bodyPr>
                      </wps:wsp>
                      <wps:wsp>
                        <wps:cNvPr id="19333" name="Rectangle 19333"/>
                        <wps:cNvSpPr/>
                        <wps:spPr>
                          <a:xfrm rot="-10799999">
                            <a:off x="19513" y="5873305"/>
                            <a:ext cx="50622" cy="142889"/>
                          </a:xfrm>
                          <a:prstGeom prst="rect">
                            <a:avLst/>
                          </a:prstGeom>
                          <a:ln>
                            <a:noFill/>
                          </a:ln>
                        </wps:spPr>
                        <wps:txbx>
                          <w:txbxContent>
                            <w:p w14:paraId="5F9EABB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334" name="Rectangle 19334"/>
                        <wps:cNvSpPr/>
                        <wps:spPr>
                          <a:xfrm rot="-10799999">
                            <a:off x="-1316924" y="5749976"/>
                            <a:ext cx="5309035" cy="142889"/>
                          </a:xfrm>
                          <a:prstGeom prst="rect">
                            <a:avLst/>
                          </a:prstGeom>
                          <a:ln>
                            <a:noFill/>
                          </a:ln>
                        </wps:spPr>
                        <wps:txbx>
                          <w:txbxContent>
                            <w:p w14:paraId="66B48E07" w14:textId="77777777" w:rsidR="00B32EF2" w:rsidRDefault="00000000">
                              <w:r>
                                <w:rPr>
                                  <w:rFonts w:ascii="Arial" w:eastAsia="Arial" w:hAnsi="Arial" w:cs="Arial"/>
                                  <w:sz w:val="18"/>
                                </w:rPr>
                                <w:t xml:space="preserve">sione avviene mediante iscrizione a ruolo a titolo definitivo dopo il passaggio </w:t>
                              </w:r>
                            </w:p>
                          </w:txbxContent>
                        </wps:txbx>
                        <wps:bodyPr horzOverflow="overflow" vert="horz" lIns="0" tIns="0" rIns="0" bIns="0" rtlCol="0">
                          <a:noAutofit/>
                        </wps:bodyPr>
                      </wps:wsp>
                      <wps:wsp>
                        <wps:cNvPr id="19335" name="Rectangle 19335"/>
                        <wps:cNvSpPr/>
                        <wps:spPr>
                          <a:xfrm rot="-10799999">
                            <a:off x="2139684" y="5626646"/>
                            <a:ext cx="1852428" cy="142889"/>
                          </a:xfrm>
                          <a:prstGeom prst="rect">
                            <a:avLst/>
                          </a:prstGeom>
                          <a:ln>
                            <a:noFill/>
                          </a:ln>
                        </wps:spPr>
                        <wps:txbx>
                          <w:txbxContent>
                            <w:p w14:paraId="62DCC226" w14:textId="77777777" w:rsidR="00B32EF2" w:rsidRDefault="00000000">
                              <w:r>
                                <w:rPr>
                                  <w:rFonts w:ascii="Arial" w:eastAsia="Arial" w:hAnsi="Arial" w:cs="Arial"/>
                                  <w:sz w:val="18"/>
                                </w:rPr>
                                <w:t>in giudicato della sentenza.</w:t>
                              </w:r>
                            </w:p>
                          </w:txbxContent>
                        </wps:txbx>
                        <wps:bodyPr horzOverflow="overflow" vert="horz" lIns="0" tIns="0" rIns="0" bIns="0" rtlCol="0">
                          <a:noAutofit/>
                        </wps:bodyPr>
                      </wps:wsp>
                      <wps:wsp>
                        <wps:cNvPr id="201262" name="Rectangle 201262"/>
                        <wps:cNvSpPr/>
                        <wps:spPr>
                          <a:xfrm rot="-10799999">
                            <a:off x="-1285581" y="5503316"/>
                            <a:ext cx="5212838" cy="142889"/>
                          </a:xfrm>
                          <a:prstGeom prst="rect">
                            <a:avLst/>
                          </a:prstGeom>
                          <a:ln>
                            <a:noFill/>
                          </a:ln>
                        </wps:spPr>
                        <wps:txbx>
                          <w:txbxContent>
                            <w:p w14:paraId="0E622AF5" w14:textId="77777777" w:rsidR="00B32EF2" w:rsidRDefault="00000000">
                              <w:r>
                                <w:rPr>
                                  <w:rFonts w:ascii="Arial" w:eastAsia="Arial" w:hAnsi="Arial" w:cs="Arial"/>
                                  <w:sz w:val="18"/>
                                </w:rPr>
                                <w:t>. Qualora una delle parti ovvero il giudice abbia formulato una proposta con</w:t>
                              </w:r>
                            </w:p>
                          </w:txbxContent>
                        </wps:txbx>
                        <wps:bodyPr horzOverflow="overflow" vert="horz" lIns="0" tIns="0" rIns="0" bIns="0" rtlCol="0">
                          <a:noAutofit/>
                        </wps:bodyPr>
                      </wps:wsp>
                      <wps:wsp>
                        <wps:cNvPr id="201261" name="Rectangle 201261"/>
                        <wps:cNvSpPr/>
                        <wps:spPr>
                          <a:xfrm rot="-10799999">
                            <a:off x="2635150" y="5503316"/>
                            <a:ext cx="5212839" cy="142889"/>
                          </a:xfrm>
                          <a:prstGeom prst="rect">
                            <a:avLst/>
                          </a:prstGeom>
                          <a:ln>
                            <a:noFill/>
                          </a:ln>
                        </wps:spPr>
                        <wps:txbx>
                          <w:txbxContent>
                            <w:p w14:paraId="6A628DAF" w14:textId="77777777" w:rsidR="00B32EF2" w:rsidRDefault="00000000">
                              <w:r>
                                <w:rPr>
                                  <w:rFonts w:ascii="Arial" w:eastAsia="Arial" w:hAnsi="Arial" w:cs="Arial"/>
                                  <w:sz w:val="18"/>
                                </w:rPr>
                                <w:t>8</w:t>
                              </w:r>
                            </w:p>
                          </w:txbxContent>
                        </wps:txbx>
                        <wps:bodyPr horzOverflow="overflow" vert="horz" lIns="0" tIns="0" rIns="0" bIns="0" rtlCol="0">
                          <a:noAutofit/>
                        </wps:bodyPr>
                      </wps:wsp>
                      <wps:wsp>
                        <wps:cNvPr id="19337" name="Rectangle 19337"/>
                        <wps:cNvSpPr/>
                        <wps:spPr>
                          <a:xfrm rot="-10799999">
                            <a:off x="19513" y="5503316"/>
                            <a:ext cx="50622" cy="142889"/>
                          </a:xfrm>
                          <a:prstGeom prst="rect">
                            <a:avLst/>
                          </a:prstGeom>
                          <a:ln>
                            <a:noFill/>
                          </a:ln>
                        </wps:spPr>
                        <wps:txbx>
                          <w:txbxContent>
                            <w:p w14:paraId="43CDB6D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338" name="Rectangle 19338"/>
                        <wps:cNvSpPr/>
                        <wps:spPr>
                          <a:xfrm rot="-10799999">
                            <a:off x="-1220681" y="5379987"/>
                            <a:ext cx="5212793" cy="142889"/>
                          </a:xfrm>
                          <a:prstGeom prst="rect">
                            <a:avLst/>
                          </a:prstGeom>
                          <a:ln>
                            <a:noFill/>
                          </a:ln>
                        </wps:spPr>
                        <wps:txbx>
                          <w:txbxContent>
                            <w:p w14:paraId="0516F16B" w14:textId="77777777" w:rsidR="00B32EF2" w:rsidRDefault="00000000">
                              <w:r>
                                <w:rPr>
                                  <w:rFonts w:ascii="Arial" w:eastAsia="Arial" w:hAnsi="Arial" w:cs="Arial"/>
                                  <w:sz w:val="18"/>
                                </w:rPr>
                                <w:t>ciliativa, non accettata dall’altra parte senza giustificato motivo, restano a ca</w:t>
                              </w:r>
                            </w:p>
                          </w:txbxContent>
                        </wps:txbx>
                        <wps:bodyPr horzOverflow="overflow" vert="horz" lIns="0" tIns="0" rIns="0" bIns="0" rtlCol="0">
                          <a:noAutofit/>
                        </wps:bodyPr>
                      </wps:wsp>
                      <wps:wsp>
                        <wps:cNvPr id="19339" name="Rectangle 19339"/>
                        <wps:cNvSpPr/>
                        <wps:spPr>
                          <a:xfrm rot="-10799999">
                            <a:off x="19513" y="5379986"/>
                            <a:ext cx="50622" cy="142889"/>
                          </a:xfrm>
                          <a:prstGeom prst="rect">
                            <a:avLst/>
                          </a:prstGeom>
                          <a:ln>
                            <a:noFill/>
                          </a:ln>
                        </wps:spPr>
                        <wps:txbx>
                          <w:txbxContent>
                            <w:p w14:paraId="7451C4C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340" name="Rectangle 19340"/>
                        <wps:cNvSpPr/>
                        <wps:spPr>
                          <a:xfrm rot="-10799999">
                            <a:off x="-1316894" y="5256657"/>
                            <a:ext cx="5309006" cy="142889"/>
                          </a:xfrm>
                          <a:prstGeom prst="rect">
                            <a:avLst/>
                          </a:prstGeom>
                          <a:ln>
                            <a:noFill/>
                          </a:ln>
                        </wps:spPr>
                        <wps:txbx>
                          <w:txbxContent>
                            <w:p w14:paraId="5E158D1A" w14:textId="77777777" w:rsidR="00B32EF2" w:rsidRDefault="00000000">
                              <w:r>
                                <w:rPr>
                                  <w:rFonts w:ascii="Arial" w:eastAsia="Arial" w:hAnsi="Arial" w:cs="Arial"/>
                                  <w:sz w:val="18"/>
                                </w:rPr>
                                <w:t xml:space="preserve">rico di quest’ultima le spese del giudizio maggiorate del 50 per cento, ove il </w:t>
                              </w:r>
                            </w:p>
                          </w:txbxContent>
                        </wps:txbx>
                        <wps:bodyPr horzOverflow="overflow" vert="horz" lIns="0" tIns="0" rIns="0" bIns="0" rtlCol="0">
                          <a:noAutofit/>
                        </wps:bodyPr>
                      </wps:wsp>
                      <wps:wsp>
                        <wps:cNvPr id="19341" name="Rectangle 19341"/>
                        <wps:cNvSpPr/>
                        <wps:spPr>
                          <a:xfrm rot="-10799999">
                            <a:off x="-1316924" y="5133327"/>
                            <a:ext cx="5309035" cy="142889"/>
                          </a:xfrm>
                          <a:prstGeom prst="rect">
                            <a:avLst/>
                          </a:prstGeom>
                          <a:ln>
                            <a:noFill/>
                          </a:ln>
                        </wps:spPr>
                        <wps:txbx>
                          <w:txbxContent>
                            <w:p w14:paraId="6B9C6B60" w14:textId="77777777" w:rsidR="00B32EF2" w:rsidRDefault="00000000">
                              <w:r>
                                <w:rPr>
                                  <w:rFonts w:ascii="Arial" w:eastAsia="Arial" w:hAnsi="Arial" w:cs="Arial"/>
                                  <w:sz w:val="18"/>
                                </w:rPr>
                                <w:t xml:space="preserve">riconoscimento delle sue pretese risulti inferiore al contenuto della proposta </w:t>
                              </w:r>
                            </w:p>
                          </w:txbxContent>
                        </wps:txbx>
                        <wps:bodyPr horzOverflow="overflow" vert="horz" lIns="0" tIns="0" rIns="0" bIns="0" rtlCol="0">
                          <a:noAutofit/>
                        </wps:bodyPr>
                      </wps:wsp>
                      <wps:wsp>
                        <wps:cNvPr id="19342" name="Rectangle 19342"/>
                        <wps:cNvSpPr/>
                        <wps:spPr>
                          <a:xfrm rot="-10799999">
                            <a:off x="-1220012" y="5009998"/>
                            <a:ext cx="5212124" cy="142889"/>
                          </a:xfrm>
                          <a:prstGeom prst="rect">
                            <a:avLst/>
                          </a:prstGeom>
                          <a:ln>
                            <a:noFill/>
                          </a:ln>
                        </wps:spPr>
                        <wps:txbx>
                          <w:txbxContent>
                            <w:p w14:paraId="4D598680" w14:textId="77777777" w:rsidR="00B32EF2" w:rsidRDefault="00000000">
                              <w:r>
                                <w:rPr>
                                  <w:rFonts w:ascii="Arial" w:eastAsia="Arial" w:hAnsi="Arial" w:cs="Arial"/>
                                  <w:sz w:val="18"/>
                                </w:rPr>
                                <w:t>ad essa effettuata. Se è intervenuta conciliazione le spese si intendono com</w:t>
                              </w:r>
                            </w:p>
                          </w:txbxContent>
                        </wps:txbx>
                        <wps:bodyPr horzOverflow="overflow" vert="horz" lIns="0" tIns="0" rIns="0" bIns="0" rtlCol="0">
                          <a:noAutofit/>
                        </wps:bodyPr>
                      </wps:wsp>
                      <wps:wsp>
                        <wps:cNvPr id="19343" name="Rectangle 19343"/>
                        <wps:cNvSpPr/>
                        <wps:spPr>
                          <a:xfrm rot="-10799999">
                            <a:off x="19513" y="5009997"/>
                            <a:ext cx="50622" cy="142889"/>
                          </a:xfrm>
                          <a:prstGeom prst="rect">
                            <a:avLst/>
                          </a:prstGeom>
                          <a:ln>
                            <a:noFill/>
                          </a:ln>
                        </wps:spPr>
                        <wps:txbx>
                          <w:txbxContent>
                            <w:p w14:paraId="0783527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344" name="Rectangle 19344"/>
                        <wps:cNvSpPr/>
                        <wps:spPr>
                          <a:xfrm rot="-10799999">
                            <a:off x="-1218416" y="4886668"/>
                            <a:ext cx="5210528" cy="142889"/>
                          </a:xfrm>
                          <a:prstGeom prst="rect">
                            <a:avLst/>
                          </a:prstGeom>
                          <a:ln>
                            <a:noFill/>
                          </a:ln>
                        </wps:spPr>
                        <wps:txbx>
                          <w:txbxContent>
                            <w:p w14:paraId="207A7FDF" w14:textId="77777777" w:rsidR="00B32EF2" w:rsidRDefault="00000000">
                              <w:r>
                                <w:rPr>
                                  <w:rFonts w:ascii="Arial" w:eastAsia="Arial" w:hAnsi="Arial" w:cs="Arial"/>
                                  <w:sz w:val="18"/>
                                </w:rPr>
                                <w:t>pensate, salvo che le parti stesse abbiano diversamente convenuto nel pro</w:t>
                              </w:r>
                            </w:p>
                          </w:txbxContent>
                        </wps:txbx>
                        <wps:bodyPr horzOverflow="overflow" vert="horz" lIns="0" tIns="0" rIns="0" bIns="0" rtlCol="0">
                          <a:noAutofit/>
                        </wps:bodyPr>
                      </wps:wsp>
                      <wps:wsp>
                        <wps:cNvPr id="19345" name="Rectangle 19345"/>
                        <wps:cNvSpPr/>
                        <wps:spPr>
                          <a:xfrm rot="-10799999">
                            <a:off x="19513" y="4886667"/>
                            <a:ext cx="50622" cy="142889"/>
                          </a:xfrm>
                          <a:prstGeom prst="rect">
                            <a:avLst/>
                          </a:prstGeom>
                          <a:ln>
                            <a:noFill/>
                          </a:ln>
                        </wps:spPr>
                        <wps:txbx>
                          <w:txbxContent>
                            <w:p w14:paraId="0952AFE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346" name="Rectangle 19346"/>
                        <wps:cNvSpPr/>
                        <wps:spPr>
                          <a:xfrm rot="-10799999">
                            <a:off x="1907869" y="4763338"/>
                            <a:ext cx="2084241" cy="142889"/>
                          </a:xfrm>
                          <a:prstGeom prst="rect">
                            <a:avLst/>
                          </a:prstGeom>
                          <a:ln>
                            <a:noFill/>
                          </a:ln>
                        </wps:spPr>
                        <wps:txbx>
                          <w:txbxContent>
                            <w:p w14:paraId="5C2C2649" w14:textId="77777777" w:rsidR="00B32EF2" w:rsidRDefault="00000000">
                              <w:r>
                                <w:rPr>
                                  <w:rFonts w:ascii="Arial" w:eastAsia="Arial" w:hAnsi="Arial" w:cs="Arial"/>
                                  <w:sz w:val="18"/>
                                </w:rPr>
                                <w:t>cesso verbale di conciliazione.</w:t>
                              </w:r>
                            </w:p>
                          </w:txbxContent>
                        </wps:txbx>
                        <wps:bodyPr horzOverflow="overflow" vert="horz" lIns="0" tIns="0" rIns="0" bIns="0" rtlCol="0">
                          <a:noAutofit/>
                        </wps:bodyPr>
                      </wps:wsp>
                      <wps:wsp>
                        <wps:cNvPr id="201260" name="Rectangle 201260"/>
                        <wps:cNvSpPr/>
                        <wps:spPr>
                          <a:xfrm rot="-10799999">
                            <a:off x="-1380048" y="4640009"/>
                            <a:ext cx="5309021" cy="142889"/>
                          </a:xfrm>
                          <a:prstGeom prst="rect">
                            <a:avLst/>
                          </a:prstGeom>
                          <a:ln>
                            <a:noFill/>
                          </a:ln>
                        </wps:spPr>
                        <wps:txbx>
                          <w:txbxContent>
                            <w:p w14:paraId="4D4FFDA0" w14:textId="77777777" w:rsidR="00B32EF2" w:rsidRDefault="00000000">
                              <w:r>
                                <w:rPr>
                                  <w:rFonts w:ascii="Arial" w:eastAsia="Arial" w:hAnsi="Arial" w:cs="Arial"/>
                                  <w:sz w:val="18"/>
                                </w:rPr>
                                <w:t xml:space="preserve">. Nella liquidazione delle spese si tiene altresì conto del rispetto dei principi </w:t>
                              </w:r>
                            </w:p>
                          </w:txbxContent>
                        </wps:txbx>
                        <wps:bodyPr horzOverflow="overflow" vert="horz" lIns="0" tIns="0" rIns="0" bIns="0" rtlCol="0">
                          <a:noAutofit/>
                        </wps:bodyPr>
                      </wps:wsp>
                      <wps:wsp>
                        <wps:cNvPr id="201259" name="Rectangle 201259"/>
                        <wps:cNvSpPr/>
                        <wps:spPr>
                          <a:xfrm rot="-10799999">
                            <a:off x="2611285" y="4640009"/>
                            <a:ext cx="5309020" cy="142889"/>
                          </a:xfrm>
                          <a:prstGeom prst="rect">
                            <a:avLst/>
                          </a:prstGeom>
                          <a:ln>
                            <a:noFill/>
                          </a:ln>
                        </wps:spPr>
                        <wps:txbx>
                          <w:txbxContent>
                            <w:p w14:paraId="7461170E" w14:textId="77777777" w:rsidR="00B32EF2" w:rsidRDefault="00000000">
                              <w:r>
                                <w:rPr>
                                  <w:rFonts w:ascii="Arial" w:eastAsia="Arial" w:hAnsi="Arial" w:cs="Arial"/>
                                  <w:sz w:val="18"/>
                                </w:rPr>
                                <w:t>9</w:t>
                              </w:r>
                            </w:p>
                          </w:txbxContent>
                        </wps:txbx>
                        <wps:bodyPr horzOverflow="overflow" vert="horz" lIns="0" tIns="0" rIns="0" bIns="0" rtlCol="0">
                          <a:noAutofit/>
                        </wps:bodyPr>
                      </wps:wsp>
                      <wps:wsp>
                        <wps:cNvPr id="19348" name="Rectangle 19348"/>
                        <wps:cNvSpPr/>
                        <wps:spPr>
                          <a:xfrm rot="-10799999">
                            <a:off x="1138531" y="4516679"/>
                            <a:ext cx="2853579" cy="142889"/>
                          </a:xfrm>
                          <a:prstGeom prst="rect">
                            <a:avLst/>
                          </a:prstGeom>
                          <a:ln>
                            <a:noFill/>
                          </a:ln>
                        </wps:spPr>
                        <wps:txbx>
                          <w:txbxContent>
                            <w:p w14:paraId="6104F4B8" w14:textId="77777777" w:rsidR="00B32EF2" w:rsidRDefault="00000000">
                              <w:r>
                                <w:rPr>
                                  <w:rFonts w:ascii="Arial" w:eastAsia="Arial" w:hAnsi="Arial" w:cs="Arial"/>
                                  <w:sz w:val="18"/>
                                </w:rPr>
                                <w:t>di sinteticità e chiarezza degli atti di parte.</w:t>
                              </w:r>
                            </w:p>
                          </w:txbxContent>
                        </wps:txbx>
                        <wps:bodyPr horzOverflow="overflow" vert="horz" lIns="0" tIns="0" rIns="0" bIns="0" rtlCol="0">
                          <a:noAutofit/>
                        </wps:bodyPr>
                      </wps:wsp>
                      <wps:wsp>
                        <wps:cNvPr id="207990" name="Shape 207990"/>
                        <wps:cNvSpPr/>
                        <wps:spPr>
                          <a:xfrm>
                            <a:off x="32111" y="473194"/>
                            <a:ext cx="3960000" cy="4026497"/>
                          </a:xfrm>
                          <a:custGeom>
                            <a:avLst/>
                            <a:gdLst/>
                            <a:ahLst/>
                            <a:cxnLst/>
                            <a:rect l="0" t="0" r="0" b="0"/>
                            <a:pathLst>
                              <a:path w="3960000" h="4026497">
                                <a:moveTo>
                                  <a:pt x="0" y="0"/>
                                </a:moveTo>
                                <a:lnTo>
                                  <a:pt x="3960000" y="0"/>
                                </a:lnTo>
                                <a:lnTo>
                                  <a:pt x="3960000" y="4026497"/>
                                </a:lnTo>
                                <a:lnTo>
                                  <a:pt x="0" y="4026497"/>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9350" name="Rectangle 19350"/>
                        <wps:cNvSpPr/>
                        <wps:spPr>
                          <a:xfrm rot="-10799999">
                            <a:off x="2329095" y="4278465"/>
                            <a:ext cx="1585695" cy="142889"/>
                          </a:xfrm>
                          <a:prstGeom prst="rect">
                            <a:avLst/>
                          </a:prstGeom>
                          <a:ln>
                            <a:noFill/>
                          </a:ln>
                        </wps:spPr>
                        <wps:txbx>
                          <w:txbxContent>
                            <w:p w14:paraId="5C9A9C14"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9351" name="Rectangle 19351"/>
                        <wps:cNvSpPr/>
                        <wps:spPr>
                          <a:xfrm rot="-10799999">
                            <a:off x="1060257" y="4155135"/>
                            <a:ext cx="2853503" cy="142889"/>
                          </a:xfrm>
                          <a:prstGeom prst="rect">
                            <a:avLst/>
                          </a:prstGeom>
                          <a:ln>
                            <a:noFill/>
                          </a:ln>
                        </wps:spPr>
                        <wps:txbx>
                          <w:txbxContent>
                            <w:p w14:paraId="092BC7E3" w14:textId="77777777" w:rsidR="00B32EF2" w:rsidRDefault="00000000">
                              <w:r>
                                <w:rPr>
                                  <w:rFonts w:ascii="Arial" w:eastAsia="Arial" w:hAnsi="Arial" w:cs="Arial"/>
                                  <w:i/>
                                  <w:sz w:val="18"/>
                                </w:rPr>
                                <w:t xml:space="preserve">art. 96 c.p.c. “ Responsabilità aggravata.” </w:t>
                              </w:r>
                            </w:p>
                          </w:txbxContent>
                        </wps:txbx>
                        <wps:bodyPr horzOverflow="overflow" vert="horz" lIns="0" tIns="0" rIns="0" bIns="0" rtlCol="0">
                          <a:noAutofit/>
                        </wps:bodyPr>
                      </wps:wsp>
                      <wps:wsp>
                        <wps:cNvPr id="201258" name="Rectangle 201258"/>
                        <wps:cNvSpPr/>
                        <wps:spPr>
                          <a:xfrm rot="-10799999">
                            <a:off x="-1249286" y="4031806"/>
                            <a:ext cx="5111532" cy="142889"/>
                          </a:xfrm>
                          <a:prstGeom prst="rect">
                            <a:avLst/>
                          </a:prstGeom>
                          <a:ln>
                            <a:noFill/>
                          </a:ln>
                        </wps:spPr>
                        <wps:txbx>
                          <w:txbxContent>
                            <w:p w14:paraId="6B8BE777" w14:textId="77777777" w:rsidR="00B32EF2" w:rsidRDefault="00000000">
                              <w:r>
                                <w:rPr>
                                  <w:rFonts w:ascii="Arial" w:eastAsia="Arial" w:hAnsi="Arial" w:cs="Arial"/>
                                  <w:i/>
                                  <w:sz w:val="18"/>
                                </w:rPr>
                                <w:t xml:space="preserve">. Se risulta che la parte soccombente ha agito o resistito in giudizio con </w:t>
                              </w:r>
                            </w:p>
                          </w:txbxContent>
                        </wps:txbx>
                        <wps:bodyPr horzOverflow="overflow" vert="horz" lIns="0" tIns="0" rIns="0" bIns="0" rtlCol="0">
                          <a:noAutofit/>
                        </wps:bodyPr>
                      </wps:wsp>
                      <wps:wsp>
                        <wps:cNvPr id="201257" name="Rectangle 201257"/>
                        <wps:cNvSpPr/>
                        <wps:spPr>
                          <a:xfrm rot="-10799999">
                            <a:off x="2581935" y="4031806"/>
                            <a:ext cx="5111533" cy="142889"/>
                          </a:xfrm>
                          <a:prstGeom prst="rect">
                            <a:avLst/>
                          </a:prstGeom>
                          <a:ln>
                            <a:noFill/>
                          </a:ln>
                        </wps:spPr>
                        <wps:txbx>
                          <w:txbxContent>
                            <w:p w14:paraId="1C0D372D"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19353" name="Rectangle 19353"/>
                        <wps:cNvSpPr/>
                        <wps:spPr>
                          <a:xfrm rot="-10799999">
                            <a:off x="-1187071" y="3908476"/>
                            <a:ext cx="5100147" cy="142889"/>
                          </a:xfrm>
                          <a:prstGeom prst="rect">
                            <a:avLst/>
                          </a:prstGeom>
                          <a:ln>
                            <a:noFill/>
                          </a:ln>
                        </wps:spPr>
                        <wps:txbx>
                          <w:txbxContent>
                            <w:p w14:paraId="294D7AAA" w14:textId="77777777" w:rsidR="00B32EF2" w:rsidRDefault="00000000">
                              <w:r>
                                <w:rPr>
                                  <w:rFonts w:ascii="Arial" w:eastAsia="Arial" w:hAnsi="Arial" w:cs="Arial"/>
                                  <w:i/>
                                  <w:sz w:val="18"/>
                                </w:rPr>
                                <w:t xml:space="preserve">mala fede o colpa grave, il giudice, su istanza dell’altra parte, la condanna, </w:t>
                              </w:r>
                            </w:p>
                          </w:txbxContent>
                        </wps:txbx>
                        <wps:bodyPr horzOverflow="overflow" vert="horz" lIns="0" tIns="0" rIns="0" bIns="0" rtlCol="0">
                          <a:noAutofit/>
                        </wps:bodyPr>
                      </wps:wsp>
                      <wps:wsp>
                        <wps:cNvPr id="19354" name="Rectangle 19354"/>
                        <wps:cNvSpPr/>
                        <wps:spPr>
                          <a:xfrm rot="-10799999">
                            <a:off x="-1186948" y="3785146"/>
                            <a:ext cx="5100709" cy="142889"/>
                          </a:xfrm>
                          <a:prstGeom prst="rect">
                            <a:avLst/>
                          </a:prstGeom>
                          <a:ln>
                            <a:noFill/>
                          </a:ln>
                        </wps:spPr>
                        <wps:txbx>
                          <w:txbxContent>
                            <w:p w14:paraId="4DC78195" w14:textId="77777777" w:rsidR="00B32EF2" w:rsidRDefault="00000000">
                              <w:r>
                                <w:rPr>
                                  <w:rFonts w:ascii="Arial" w:eastAsia="Arial" w:hAnsi="Arial" w:cs="Arial"/>
                                  <w:i/>
                                  <w:sz w:val="18"/>
                                </w:rPr>
                                <w:t xml:space="preserve">oltre che alle spese, al risarcimento dei danni, che liquida, anche d’ufficio, </w:t>
                              </w:r>
                            </w:p>
                          </w:txbxContent>
                        </wps:txbx>
                        <wps:bodyPr horzOverflow="overflow" vert="horz" lIns="0" tIns="0" rIns="0" bIns="0" rtlCol="0">
                          <a:noAutofit/>
                        </wps:bodyPr>
                      </wps:wsp>
                      <wps:wsp>
                        <wps:cNvPr id="19355" name="Rectangle 19355"/>
                        <wps:cNvSpPr/>
                        <wps:spPr>
                          <a:xfrm rot="-10799999">
                            <a:off x="2886553" y="3661817"/>
                            <a:ext cx="1027208" cy="142889"/>
                          </a:xfrm>
                          <a:prstGeom prst="rect">
                            <a:avLst/>
                          </a:prstGeom>
                          <a:ln>
                            <a:noFill/>
                          </a:ln>
                        </wps:spPr>
                        <wps:txbx>
                          <w:txbxContent>
                            <w:p w14:paraId="4CBC046B" w14:textId="77777777" w:rsidR="00B32EF2" w:rsidRDefault="00000000">
                              <w:r>
                                <w:rPr>
                                  <w:rFonts w:ascii="Arial" w:eastAsia="Arial" w:hAnsi="Arial" w:cs="Arial"/>
                                  <w:i/>
                                  <w:sz w:val="18"/>
                                </w:rPr>
                                <w:t>nella sentenza.</w:t>
                              </w:r>
                            </w:p>
                          </w:txbxContent>
                        </wps:txbx>
                        <wps:bodyPr horzOverflow="overflow" vert="horz" lIns="0" tIns="0" rIns="0" bIns="0" rtlCol="0">
                          <a:noAutofit/>
                        </wps:bodyPr>
                      </wps:wsp>
                      <wps:wsp>
                        <wps:cNvPr id="201255" name="Rectangle 201255"/>
                        <wps:cNvSpPr/>
                        <wps:spPr>
                          <a:xfrm rot="-10799999">
                            <a:off x="2583788" y="3538487"/>
                            <a:ext cx="5104068" cy="142889"/>
                          </a:xfrm>
                          <a:prstGeom prst="rect">
                            <a:avLst/>
                          </a:prstGeom>
                          <a:ln>
                            <a:noFill/>
                          </a:ln>
                        </wps:spPr>
                        <wps:txbx>
                          <w:txbxContent>
                            <w:p w14:paraId="486959ED"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256" name="Rectangle 201256"/>
                        <wps:cNvSpPr/>
                        <wps:spPr>
                          <a:xfrm rot="-10799999">
                            <a:off x="-1252521" y="3538487"/>
                            <a:ext cx="5104069" cy="142889"/>
                          </a:xfrm>
                          <a:prstGeom prst="rect">
                            <a:avLst/>
                          </a:prstGeom>
                          <a:ln>
                            <a:noFill/>
                          </a:ln>
                        </wps:spPr>
                        <wps:txbx>
                          <w:txbxContent>
                            <w:p w14:paraId="346F16AB" w14:textId="77777777" w:rsidR="00B32EF2" w:rsidRDefault="00000000">
                              <w:r>
                                <w:rPr>
                                  <w:rFonts w:ascii="Arial" w:eastAsia="Arial" w:hAnsi="Arial" w:cs="Arial"/>
                                  <w:i/>
                                  <w:sz w:val="18"/>
                                </w:rPr>
                                <w:t xml:space="preserve">. Il giudice che accerta l’inesistenza del diritto per cui è stato eseguito un </w:t>
                              </w:r>
                            </w:p>
                          </w:txbxContent>
                        </wps:txbx>
                        <wps:bodyPr horzOverflow="overflow" vert="horz" lIns="0" tIns="0" rIns="0" bIns="0" rtlCol="0">
                          <a:noAutofit/>
                        </wps:bodyPr>
                      </wps:wsp>
                      <wps:wsp>
                        <wps:cNvPr id="19357" name="Rectangle 19357"/>
                        <wps:cNvSpPr/>
                        <wps:spPr>
                          <a:xfrm rot="-10799999">
                            <a:off x="-1187222" y="3415157"/>
                            <a:ext cx="5100754" cy="142889"/>
                          </a:xfrm>
                          <a:prstGeom prst="rect">
                            <a:avLst/>
                          </a:prstGeom>
                          <a:ln>
                            <a:noFill/>
                          </a:ln>
                        </wps:spPr>
                        <wps:txbx>
                          <w:txbxContent>
                            <w:p w14:paraId="441F867E" w14:textId="77777777" w:rsidR="00B32EF2" w:rsidRDefault="00000000">
                              <w:r>
                                <w:rPr>
                                  <w:rFonts w:ascii="Arial" w:eastAsia="Arial" w:hAnsi="Arial" w:cs="Arial"/>
                                  <w:i/>
                                  <w:sz w:val="18"/>
                                </w:rPr>
                                <w:t xml:space="preserve">provvedimento cautelare, o trascritta domanda giudiziale, o iscritta ipoteca </w:t>
                              </w:r>
                            </w:p>
                          </w:txbxContent>
                        </wps:txbx>
                        <wps:bodyPr horzOverflow="overflow" vert="horz" lIns="0" tIns="0" rIns="0" bIns="0" rtlCol="0">
                          <a:noAutofit/>
                        </wps:bodyPr>
                      </wps:wsp>
                      <wps:wsp>
                        <wps:cNvPr id="19358" name="Rectangle 19358"/>
                        <wps:cNvSpPr/>
                        <wps:spPr>
                          <a:xfrm rot="-10799999">
                            <a:off x="-1187129" y="3291827"/>
                            <a:ext cx="5101120" cy="142889"/>
                          </a:xfrm>
                          <a:prstGeom prst="rect">
                            <a:avLst/>
                          </a:prstGeom>
                          <a:ln>
                            <a:noFill/>
                          </a:ln>
                        </wps:spPr>
                        <wps:txbx>
                          <w:txbxContent>
                            <w:p w14:paraId="65EDD6CB" w14:textId="77777777" w:rsidR="00B32EF2" w:rsidRDefault="00000000">
                              <w:r>
                                <w:rPr>
                                  <w:rFonts w:ascii="Arial" w:eastAsia="Arial" w:hAnsi="Arial" w:cs="Arial"/>
                                  <w:i/>
                                  <w:sz w:val="18"/>
                                </w:rPr>
                                <w:t xml:space="preserve">giudiziale, oppure iniziata o compiuta l’esecuzione forzata, su istanza della </w:t>
                              </w:r>
                            </w:p>
                          </w:txbxContent>
                        </wps:txbx>
                        <wps:bodyPr horzOverflow="overflow" vert="horz" lIns="0" tIns="0" rIns="0" bIns="0" rtlCol="0">
                          <a:noAutofit/>
                        </wps:bodyPr>
                      </wps:wsp>
                      <wps:wsp>
                        <wps:cNvPr id="19359" name="Rectangle 19359"/>
                        <wps:cNvSpPr/>
                        <wps:spPr>
                          <a:xfrm rot="-10799999">
                            <a:off x="-1186599" y="3168498"/>
                            <a:ext cx="5100132" cy="142889"/>
                          </a:xfrm>
                          <a:prstGeom prst="rect">
                            <a:avLst/>
                          </a:prstGeom>
                          <a:ln>
                            <a:noFill/>
                          </a:ln>
                        </wps:spPr>
                        <wps:txbx>
                          <w:txbxContent>
                            <w:p w14:paraId="33972C55" w14:textId="77777777" w:rsidR="00B32EF2" w:rsidRDefault="00000000">
                              <w:r>
                                <w:rPr>
                                  <w:rFonts w:ascii="Arial" w:eastAsia="Arial" w:hAnsi="Arial" w:cs="Arial"/>
                                  <w:i/>
                                  <w:sz w:val="18"/>
                                </w:rPr>
                                <w:t xml:space="preserve">parte danneggiata condanna al risarcimento dei danni l’attore o il creditore </w:t>
                              </w:r>
                            </w:p>
                          </w:txbxContent>
                        </wps:txbx>
                        <wps:bodyPr horzOverflow="overflow" vert="horz" lIns="0" tIns="0" rIns="0" bIns="0" rtlCol="0">
                          <a:noAutofit/>
                        </wps:bodyPr>
                      </wps:wsp>
                      <wps:wsp>
                        <wps:cNvPr id="19360" name="Rectangle 19360"/>
                        <wps:cNvSpPr/>
                        <wps:spPr>
                          <a:xfrm rot="-10799999">
                            <a:off x="-1190155" y="3045168"/>
                            <a:ext cx="5113174" cy="142889"/>
                          </a:xfrm>
                          <a:prstGeom prst="rect">
                            <a:avLst/>
                          </a:prstGeom>
                          <a:ln>
                            <a:noFill/>
                          </a:ln>
                        </wps:spPr>
                        <wps:txbx>
                          <w:txbxContent>
                            <w:p w14:paraId="2DB5133F" w14:textId="77777777" w:rsidR="00B32EF2" w:rsidRDefault="00000000">
                              <w:r>
                                <w:rPr>
                                  <w:rFonts w:ascii="Arial" w:eastAsia="Arial" w:hAnsi="Arial" w:cs="Arial"/>
                                  <w:i/>
                                  <w:sz w:val="18"/>
                                </w:rPr>
                                <w:t xml:space="preserve">procedente, che ha agito senza la normale prudenza. La liquidazione dei </w:t>
                              </w:r>
                            </w:p>
                          </w:txbxContent>
                        </wps:txbx>
                        <wps:bodyPr horzOverflow="overflow" vert="horz" lIns="0" tIns="0" rIns="0" bIns="0" rtlCol="0">
                          <a:noAutofit/>
                        </wps:bodyPr>
                      </wps:wsp>
                      <wps:wsp>
                        <wps:cNvPr id="19361" name="Rectangle 19361"/>
                        <wps:cNvSpPr/>
                        <wps:spPr>
                          <a:xfrm rot="-10799999">
                            <a:off x="816222" y="2921838"/>
                            <a:ext cx="3097539" cy="142889"/>
                          </a:xfrm>
                          <a:prstGeom prst="rect">
                            <a:avLst/>
                          </a:prstGeom>
                          <a:ln>
                            <a:noFill/>
                          </a:ln>
                        </wps:spPr>
                        <wps:txbx>
                          <w:txbxContent>
                            <w:p w14:paraId="7D8ADF9B" w14:textId="77777777" w:rsidR="00B32EF2" w:rsidRDefault="00000000">
                              <w:r>
                                <w:rPr>
                                  <w:rFonts w:ascii="Arial" w:eastAsia="Arial" w:hAnsi="Arial" w:cs="Arial"/>
                                  <w:i/>
                                  <w:sz w:val="18"/>
                                </w:rPr>
                                <w:t>danni è fatta a norma del comma precedente.</w:t>
                              </w:r>
                            </w:p>
                          </w:txbxContent>
                        </wps:txbx>
                        <wps:bodyPr horzOverflow="overflow" vert="horz" lIns="0" tIns="0" rIns="0" bIns="0" rtlCol="0">
                          <a:noAutofit/>
                        </wps:bodyPr>
                      </wps:wsp>
                      <wps:wsp>
                        <wps:cNvPr id="201254" name="Rectangle 201254"/>
                        <wps:cNvSpPr/>
                        <wps:spPr>
                          <a:xfrm rot="-10799999">
                            <a:off x="-1257321" y="2798509"/>
                            <a:ext cx="5116413" cy="142889"/>
                          </a:xfrm>
                          <a:prstGeom prst="rect">
                            <a:avLst/>
                          </a:prstGeom>
                          <a:ln>
                            <a:noFill/>
                          </a:ln>
                        </wps:spPr>
                        <wps:txbx>
                          <w:txbxContent>
                            <w:p w14:paraId="4FDCAFFE" w14:textId="77777777" w:rsidR="00B32EF2" w:rsidRDefault="00000000">
                              <w:r>
                                <w:rPr>
                                  <w:rFonts w:ascii="Arial" w:eastAsia="Arial" w:hAnsi="Arial" w:cs="Arial"/>
                                  <w:i/>
                                  <w:sz w:val="18"/>
                                </w:rPr>
                                <w:t xml:space="preserve">. In ogni caso, quando pronuncia sulle spese ai sensi dell’articolo 91, il </w:t>
                              </w:r>
                            </w:p>
                          </w:txbxContent>
                        </wps:txbx>
                        <wps:bodyPr horzOverflow="overflow" vert="horz" lIns="0" tIns="0" rIns="0" bIns="0" rtlCol="0">
                          <a:noAutofit/>
                        </wps:bodyPr>
                      </wps:wsp>
                      <wps:wsp>
                        <wps:cNvPr id="201253" name="Rectangle 201253"/>
                        <wps:cNvSpPr/>
                        <wps:spPr>
                          <a:xfrm rot="-10799999">
                            <a:off x="2580725" y="2798509"/>
                            <a:ext cx="5116412" cy="142889"/>
                          </a:xfrm>
                          <a:prstGeom prst="rect">
                            <a:avLst/>
                          </a:prstGeom>
                          <a:ln>
                            <a:noFill/>
                          </a:ln>
                        </wps:spPr>
                        <wps:txbx>
                          <w:txbxContent>
                            <w:p w14:paraId="40A1923B"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19363" name="Rectangle 19363"/>
                        <wps:cNvSpPr/>
                        <wps:spPr>
                          <a:xfrm rot="-10799999">
                            <a:off x="-1186933" y="2675179"/>
                            <a:ext cx="5100694" cy="142889"/>
                          </a:xfrm>
                          <a:prstGeom prst="rect">
                            <a:avLst/>
                          </a:prstGeom>
                          <a:ln>
                            <a:noFill/>
                          </a:ln>
                        </wps:spPr>
                        <wps:txbx>
                          <w:txbxContent>
                            <w:p w14:paraId="1D9138E0" w14:textId="77777777" w:rsidR="00B32EF2" w:rsidRDefault="00000000">
                              <w:r>
                                <w:rPr>
                                  <w:rFonts w:ascii="Arial" w:eastAsia="Arial" w:hAnsi="Arial" w:cs="Arial"/>
                                  <w:i/>
                                  <w:sz w:val="18"/>
                                </w:rPr>
                                <w:t xml:space="preserve">giudice, anche d’ufficio, può altresì condannare la parte soccombente al </w:t>
                              </w:r>
                            </w:p>
                          </w:txbxContent>
                        </wps:txbx>
                        <wps:bodyPr horzOverflow="overflow" vert="horz" lIns="0" tIns="0" rIns="0" bIns="0" rtlCol="0">
                          <a:noAutofit/>
                        </wps:bodyPr>
                      </wps:wsp>
                      <wps:wsp>
                        <wps:cNvPr id="19364" name="Rectangle 19364"/>
                        <wps:cNvSpPr/>
                        <wps:spPr>
                          <a:xfrm rot="-10799999">
                            <a:off x="-1089047" y="2551849"/>
                            <a:ext cx="5002808" cy="142889"/>
                          </a:xfrm>
                          <a:prstGeom prst="rect">
                            <a:avLst/>
                          </a:prstGeom>
                          <a:ln>
                            <a:noFill/>
                          </a:ln>
                        </wps:spPr>
                        <wps:txbx>
                          <w:txbxContent>
                            <w:p w14:paraId="0FBBB9FF" w14:textId="77777777" w:rsidR="00B32EF2" w:rsidRDefault="00000000">
                              <w:r>
                                <w:rPr>
                                  <w:rFonts w:ascii="Arial" w:eastAsia="Arial" w:hAnsi="Arial" w:cs="Arial"/>
                                  <w:i/>
                                  <w:sz w:val="18"/>
                                </w:rPr>
                                <w:t>pagamento, a favore della controparte, di una somma equitativamente de</w:t>
                              </w:r>
                            </w:p>
                          </w:txbxContent>
                        </wps:txbx>
                        <wps:bodyPr horzOverflow="overflow" vert="horz" lIns="0" tIns="0" rIns="0" bIns="0" rtlCol="0">
                          <a:noAutofit/>
                        </wps:bodyPr>
                      </wps:wsp>
                      <wps:wsp>
                        <wps:cNvPr id="19365" name="Rectangle 19365"/>
                        <wps:cNvSpPr/>
                        <wps:spPr>
                          <a:xfrm rot="-10799999">
                            <a:off x="97867" y="2551850"/>
                            <a:ext cx="50622" cy="142889"/>
                          </a:xfrm>
                          <a:prstGeom prst="rect">
                            <a:avLst/>
                          </a:prstGeom>
                          <a:ln>
                            <a:noFill/>
                          </a:ln>
                        </wps:spPr>
                        <wps:txbx>
                          <w:txbxContent>
                            <w:p w14:paraId="07EBA32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366" name="Rectangle 19366"/>
                        <wps:cNvSpPr/>
                        <wps:spPr>
                          <a:xfrm rot="-10799999">
                            <a:off x="3188857" y="2428520"/>
                            <a:ext cx="724903" cy="142889"/>
                          </a:xfrm>
                          <a:prstGeom prst="rect">
                            <a:avLst/>
                          </a:prstGeom>
                          <a:ln>
                            <a:noFill/>
                          </a:ln>
                        </wps:spPr>
                        <wps:txbx>
                          <w:txbxContent>
                            <w:p w14:paraId="268C5111" w14:textId="77777777" w:rsidR="00B32EF2" w:rsidRDefault="00000000">
                              <w:r>
                                <w:rPr>
                                  <w:rFonts w:ascii="Arial" w:eastAsia="Arial" w:hAnsi="Arial" w:cs="Arial"/>
                                  <w:i/>
                                  <w:sz w:val="18"/>
                                </w:rPr>
                                <w:t>terminata .</w:t>
                              </w:r>
                            </w:p>
                          </w:txbxContent>
                        </wps:txbx>
                        <wps:bodyPr horzOverflow="overflow" vert="horz" lIns="0" tIns="0" rIns="0" bIns="0" rtlCol="0">
                          <a:noAutofit/>
                        </wps:bodyPr>
                      </wps:wsp>
                      <wps:wsp>
                        <wps:cNvPr id="201252" name="Rectangle 201252"/>
                        <wps:cNvSpPr/>
                        <wps:spPr>
                          <a:xfrm rot="-10799999">
                            <a:off x="-1252714" y="2305190"/>
                            <a:ext cx="5101302" cy="142889"/>
                          </a:xfrm>
                          <a:prstGeom prst="rect">
                            <a:avLst/>
                          </a:prstGeom>
                          <a:ln>
                            <a:noFill/>
                          </a:ln>
                        </wps:spPr>
                        <wps:txbx>
                          <w:txbxContent>
                            <w:p w14:paraId="029CDF52" w14:textId="77777777" w:rsidR="00B32EF2" w:rsidRDefault="00000000">
                              <w:r>
                                <w:rPr>
                                  <w:rFonts w:ascii="Arial" w:eastAsia="Arial" w:hAnsi="Arial" w:cs="Arial"/>
                                  <w:i/>
                                  <w:sz w:val="18"/>
                                </w:rPr>
                                <w:t xml:space="preserve">. Nei casi previsti dal primo, secondo e terzo comma, il giudice condanna </w:t>
                              </w:r>
                            </w:p>
                          </w:txbxContent>
                        </wps:txbx>
                        <wps:bodyPr horzOverflow="overflow" vert="horz" lIns="0" tIns="0" rIns="0" bIns="0" rtlCol="0">
                          <a:noAutofit/>
                        </wps:bodyPr>
                      </wps:wsp>
                      <wps:wsp>
                        <wps:cNvPr id="201251" name="Rectangle 201251"/>
                        <wps:cNvSpPr/>
                        <wps:spPr>
                          <a:xfrm rot="-10799999">
                            <a:off x="2584474" y="2305190"/>
                            <a:ext cx="5101302" cy="142889"/>
                          </a:xfrm>
                          <a:prstGeom prst="rect">
                            <a:avLst/>
                          </a:prstGeom>
                          <a:ln>
                            <a:noFill/>
                          </a:ln>
                        </wps:spPr>
                        <wps:txbx>
                          <w:txbxContent>
                            <w:p w14:paraId="673685FF"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19368" name="Rectangle 19368"/>
                        <wps:cNvSpPr/>
                        <wps:spPr>
                          <a:xfrm rot="-10799999">
                            <a:off x="-1187656" y="2181860"/>
                            <a:ext cx="5103704" cy="142889"/>
                          </a:xfrm>
                          <a:prstGeom prst="rect">
                            <a:avLst/>
                          </a:prstGeom>
                          <a:ln>
                            <a:noFill/>
                          </a:ln>
                        </wps:spPr>
                        <wps:txbx>
                          <w:txbxContent>
                            <w:p w14:paraId="19780F8D" w14:textId="77777777" w:rsidR="00B32EF2" w:rsidRDefault="00000000">
                              <w:r>
                                <w:rPr>
                                  <w:rFonts w:ascii="Arial" w:eastAsia="Arial" w:hAnsi="Arial" w:cs="Arial"/>
                                  <w:i/>
                                  <w:sz w:val="18"/>
                                </w:rPr>
                                <w:t xml:space="preserve">altresì la parte al pagamento, in favore della cassa delle ammende, di una </w:t>
                              </w:r>
                            </w:p>
                          </w:txbxContent>
                        </wps:txbx>
                        <wps:bodyPr horzOverflow="overflow" vert="horz" lIns="0" tIns="0" rIns="0" bIns="0" rtlCol="0">
                          <a:noAutofit/>
                        </wps:bodyPr>
                      </wps:wsp>
                      <wps:wsp>
                        <wps:cNvPr id="19369" name="Rectangle 19369"/>
                        <wps:cNvSpPr/>
                        <wps:spPr>
                          <a:xfrm rot="-10799999">
                            <a:off x="-1143971" y="2058531"/>
                            <a:ext cx="5057733" cy="142889"/>
                          </a:xfrm>
                          <a:prstGeom prst="rect">
                            <a:avLst/>
                          </a:prstGeom>
                          <a:ln>
                            <a:noFill/>
                          </a:ln>
                        </wps:spPr>
                        <wps:txbx>
                          <w:txbxContent>
                            <w:p w14:paraId="508B00D3" w14:textId="77777777" w:rsidR="00B32EF2" w:rsidRDefault="00000000">
                              <w:r>
                                <w:rPr>
                                  <w:rFonts w:ascii="Arial" w:eastAsia="Arial" w:hAnsi="Arial" w:cs="Arial"/>
                                  <w:i/>
                                  <w:sz w:val="18"/>
                                </w:rPr>
                                <w:t>somma di denaro non inferiore ad euro 500 e non superiore ad euro 5.000.</w:t>
                              </w:r>
                            </w:p>
                          </w:txbxContent>
                        </wps:txbx>
                        <wps:bodyPr horzOverflow="overflow" vert="horz" lIns="0" tIns="0" rIns="0" bIns="0" rtlCol="0">
                          <a:noAutofit/>
                        </wps:bodyPr>
                      </wps:wsp>
                      <wps:wsp>
                        <wps:cNvPr id="19370" name="Rectangle 19370"/>
                        <wps:cNvSpPr/>
                        <wps:spPr>
                          <a:xfrm rot="-10799999">
                            <a:off x="-1185922" y="1935201"/>
                            <a:ext cx="5096255" cy="142889"/>
                          </a:xfrm>
                          <a:prstGeom prst="rect">
                            <a:avLst/>
                          </a:prstGeom>
                          <a:ln>
                            <a:noFill/>
                          </a:ln>
                        </wps:spPr>
                        <wps:txbx>
                          <w:txbxContent>
                            <w:p w14:paraId="73E08169" w14:textId="77777777" w:rsidR="00B32EF2" w:rsidRDefault="00000000">
                              <w:r>
                                <w:rPr>
                                  <w:rFonts w:ascii="Arial" w:eastAsia="Arial" w:hAnsi="Arial" w:cs="Arial"/>
                                  <w:i/>
                                  <w:sz w:val="18"/>
                                </w:rPr>
                                <w:t xml:space="preserve">art. 53 D.lgs. 446/1997 “Albo per l’accertamento e riscossione delle entrate </w:t>
                              </w:r>
                            </w:p>
                          </w:txbxContent>
                        </wps:txbx>
                        <wps:bodyPr horzOverflow="overflow" vert="horz" lIns="0" tIns="0" rIns="0" bIns="0" rtlCol="0">
                          <a:noAutofit/>
                        </wps:bodyPr>
                      </wps:wsp>
                      <wps:wsp>
                        <wps:cNvPr id="19371" name="Rectangle 19371"/>
                        <wps:cNvSpPr/>
                        <wps:spPr>
                          <a:xfrm rot="-10799999">
                            <a:off x="2846955" y="1811872"/>
                            <a:ext cx="1067949" cy="142889"/>
                          </a:xfrm>
                          <a:prstGeom prst="rect">
                            <a:avLst/>
                          </a:prstGeom>
                          <a:ln>
                            <a:noFill/>
                          </a:ln>
                        </wps:spPr>
                        <wps:txbx>
                          <w:txbxContent>
                            <w:p w14:paraId="3267B7E8" w14:textId="77777777" w:rsidR="00B32EF2" w:rsidRDefault="00000000">
                              <w:r>
                                <w:rPr>
                                  <w:rFonts w:ascii="Arial" w:eastAsia="Arial" w:hAnsi="Arial" w:cs="Arial"/>
                                  <w:i/>
                                  <w:sz w:val="18"/>
                                </w:rPr>
                                <w:t>degli enti locali”</w:t>
                              </w:r>
                            </w:p>
                          </w:txbxContent>
                        </wps:txbx>
                        <wps:bodyPr horzOverflow="overflow" vert="horz" lIns="0" tIns="0" rIns="0" bIns="0" rtlCol="0">
                          <a:noAutofit/>
                        </wps:bodyPr>
                      </wps:wsp>
                      <wps:wsp>
                        <wps:cNvPr id="19372" name="Rectangle 19372"/>
                        <wps:cNvSpPr/>
                        <wps:spPr>
                          <a:xfrm rot="-10799999">
                            <a:off x="2315039" y="1688542"/>
                            <a:ext cx="1598722" cy="142889"/>
                          </a:xfrm>
                          <a:prstGeom prst="rect">
                            <a:avLst/>
                          </a:prstGeom>
                          <a:ln>
                            <a:noFill/>
                          </a:ln>
                        </wps:spPr>
                        <wps:txbx>
                          <w:txbxContent>
                            <w:p w14:paraId="3AA0B457" w14:textId="77777777" w:rsidR="00B32EF2" w:rsidRDefault="00000000">
                              <w:r>
                                <w:rPr>
                                  <w:rFonts w:ascii="Arial" w:eastAsia="Arial" w:hAnsi="Arial" w:cs="Arial"/>
                                  <w:b/>
                                  <w:i/>
                                  <w:sz w:val="18"/>
                                </w:rPr>
                                <w:t xml:space="preserve">NORME COLLEGATE </w:t>
                              </w:r>
                            </w:p>
                          </w:txbxContent>
                        </wps:txbx>
                        <wps:bodyPr horzOverflow="overflow" vert="horz" lIns="0" tIns="0" rIns="0" bIns="0" rtlCol="0">
                          <a:noAutofit/>
                        </wps:bodyPr>
                      </wps:wsp>
                      <wps:wsp>
                        <wps:cNvPr id="19373" name="Rectangle 19373"/>
                        <wps:cNvSpPr/>
                        <wps:spPr>
                          <a:xfrm rot="-10799999">
                            <a:off x="1433494" y="1565212"/>
                            <a:ext cx="2480266" cy="142889"/>
                          </a:xfrm>
                          <a:prstGeom prst="rect">
                            <a:avLst/>
                          </a:prstGeom>
                          <a:ln>
                            <a:noFill/>
                          </a:ln>
                        </wps:spPr>
                        <wps:txbx>
                          <w:txbxContent>
                            <w:p w14:paraId="441D9407" w14:textId="77777777" w:rsidR="00B32EF2" w:rsidRDefault="00000000">
                              <w:r>
                                <w:rPr>
                                  <w:rFonts w:ascii="Arial" w:eastAsia="Arial" w:hAnsi="Arial" w:cs="Arial"/>
                                  <w:i/>
                                  <w:sz w:val="18"/>
                                </w:rPr>
                                <w:t xml:space="preserve">art. 91 c.p.c. “Condanna alle spese” </w:t>
                              </w:r>
                            </w:p>
                          </w:txbxContent>
                        </wps:txbx>
                        <wps:bodyPr horzOverflow="overflow" vert="horz" lIns="0" tIns="0" rIns="0" bIns="0" rtlCol="0">
                          <a:noAutofit/>
                        </wps:bodyPr>
                      </wps:wsp>
                      <wps:wsp>
                        <wps:cNvPr id="201248" name="Rectangle 201248"/>
                        <wps:cNvSpPr/>
                        <wps:spPr>
                          <a:xfrm rot="-10799999">
                            <a:off x="2585522" y="1441883"/>
                            <a:ext cx="5097077" cy="142889"/>
                          </a:xfrm>
                          <a:prstGeom prst="rect">
                            <a:avLst/>
                          </a:prstGeom>
                          <a:ln>
                            <a:noFill/>
                          </a:ln>
                        </wps:spPr>
                        <wps:txbx>
                          <w:txbxContent>
                            <w:p w14:paraId="3A7BFDC9"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250" name="Rectangle 201250"/>
                        <wps:cNvSpPr/>
                        <wps:spPr>
                          <a:xfrm rot="-10799999">
                            <a:off x="-1245688" y="1441882"/>
                            <a:ext cx="5097076" cy="142889"/>
                          </a:xfrm>
                          <a:prstGeom prst="rect">
                            <a:avLst/>
                          </a:prstGeom>
                          <a:ln>
                            <a:noFill/>
                          </a:ln>
                        </wps:spPr>
                        <wps:txbx>
                          <w:txbxContent>
                            <w:p w14:paraId="12CAE5F3" w14:textId="77777777" w:rsidR="00B32EF2" w:rsidRDefault="00000000">
                              <w:r>
                                <w:rPr>
                                  <w:rFonts w:ascii="Arial" w:eastAsia="Arial" w:hAnsi="Arial" w:cs="Arial"/>
                                  <w:i/>
                                  <w:sz w:val="18"/>
                                </w:rPr>
                                <w:t xml:space="preserve">. Il giudice, con la sentenza che chiude il processo davanti a lui, condanna </w:t>
                              </w:r>
                            </w:p>
                          </w:txbxContent>
                        </wps:txbx>
                        <wps:bodyPr horzOverflow="overflow" vert="horz" lIns="0" tIns="0" rIns="0" bIns="0" rtlCol="0">
                          <a:noAutofit/>
                        </wps:bodyPr>
                      </wps:wsp>
                      <wps:wsp>
                        <wps:cNvPr id="19375" name="Rectangle 19375"/>
                        <wps:cNvSpPr/>
                        <wps:spPr>
                          <a:xfrm rot="-10799999">
                            <a:off x="-1187136" y="1318553"/>
                            <a:ext cx="5101469" cy="142889"/>
                          </a:xfrm>
                          <a:prstGeom prst="rect">
                            <a:avLst/>
                          </a:prstGeom>
                          <a:ln>
                            <a:noFill/>
                          </a:ln>
                        </wps:spPr>
                        <wps:txbx>
                          <w:txbxContent>
                            <w:p w14:paraId="304615EA" w14:textId="77777777" w:rsidR="00B32EF2" w:rsidRDefault="00000000">
                              <w:r>
                                <w:rPr>
                                  <w:rFonts w:ascii="Arial" w:eastAsia="Arial" w:hAnsi="Arial" w:cs="Arial"/>
                                  <w:i/>
                                  <w:sz w:val="18"/>
                                </w:rPr>
                                <w:t xml:space="preserve">la parte soccombente al rimborso delle spese a favore dell’altra parte e ne </w:t>
                              </w:r>
                            </w:p>
                          </w:txbxContent>
                        </wps:txbx>
                        <wps:bodyPr horzOverflow="overflow" vert="horz" lIns="0" tIns="0" rIns="0" bIns="0" rtlCol="0">
                          <a:noAutofit/>
                        </wps:bodyPr>
                      </wps:wsp>
                      <wps:wsp>
                        <wps:cNvPr id="19376" name="Rectangle 19376"/>
                        <wps:cNvSpPr/>
                        <wps:spPr>
                          <a:xfrm rot="-10799999">
                            <a:off x="-1090674" y="1195223"/>
                            <a:ext cx="5004435" cy="142890"/>
                          </a:xfrm>
                          <a:prstGeom prst="rect">
                            <a:avLst/>
                          </a:prstGeom>
                          <a:ln>
                            <a:noFill/>
                          </a:ln>
                        </wps:spPr>
                        <wps:txbx>
                          <w:txbxContent>
                            <w:p w14:paraId="6318EC35" w14:textId="77777777" w:rsidR="00B32EF2" w:rsidRDefault="00000000">
                              <w:r>
                                <w:rPr>
                                  <w:rFonts w:ascii="Arial" w:eastAsia="Arial" w:hAnsi="Arial" w:cs="Arial"/>
                                  <w:i/>
                                  <w:sz w:val="18"/>
                                </w:rPr>
                                <w:t>liquida l’ammontare insieme con gli onorari di difesa. Se accoglie la doman</w:t>
                              </w:r>
                            </w:p>
                          </w:txbxContent>
                        </wps:txbx>
                        <wps:bodyPr horzOverflow="overflow" vert="horz" lIns="0" tIns="0" rIns="0" bIns="0" rtlCol="0">
                          <a:noAutofit/>
                        </wps:bodyPr>
                      </wps:wsp>
                      <wps:wsp>
                        <wps:cNvPr id="19377" name="Rectangle 19377"/>
                        <wps:cNvSpPr/>
                        <wps:spPr>
                          <a:xfrm rot="-10799999">
                            <a:off x="97867" y="1195223"/>
                            <a:ext cx="50622" cy="142889"/>
                          </a:xfrm>
                          <a:prstGeom prst="rect">
                            <a:avLst/>
                          </a:prstGeom>
                          <a:ln>
                            <a:noFill/>
                          </a:ln>
                        </wps:spPr>
                        <wps:txbx>
                          <w:txbxContent>
                            <w:p w14:paraId="5302F91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378" name="Rectangle 19378"/>
                        <wps:cNvSpPr/>
                        <wps:spPr>
                          <a:xfrm rot="-10799999">
                            <a:off x="-1186267" y="1071893"/>
                            <a:ext cx="5098657" cy="142889"/>
                          </a:xfrm>
                          <a:prstGeom prst="rect">
                            <a:avLst/>
                          </a:prstGeom>
                          <a:ln>
                            <a:noFill/>
                          </a:ln>
                        </wps:spPr>
                        <wps:txbx>
                          <w:txbxContent>
                            <w:p w14:paraId="619D3B79" w14:textId="77777777" w:rsidR="00B32EF2" w:rsidRDefault="00000000">
                              <w:r>
                                <w:rPr>
                                  <w:rFonts w:ascii="Arial" w:eastAsia="Arial" w:hAnsi="Arial" w:cs="Arial"/>
                                  <w:i/>
                                  <w:sz w:val="18"/>
                                </w:rPr>
                                <w:t xml:space="preserve">da in misura non superiore all’eventuale proposta conciliativa, condanna la </w:t>
                              </w:r>
                            </w:p>
                          </w:txbxContent>
                        </wps:txbx>
                        <wps:bodyPr horzOverflow="overflow" vert="horz" lIns="0" tIns="0" rIns="0" bIns="0" rtlCol="0">
                          <a:noAutofit/>
                        </wps:bodyPr>
                      </wps:wsp>
                      <wps:wsp>
                        <wps:cNvPr id="19379" name="Rectangle 19379"/>
                        <wps:cNvSpPr/>
                        <wps:spPr>
                          <a:xfrm rot="-10799999">
                            <a:off x="-1186902" y="948564"/>
                            <a:ext cx="5100663" cy="142889"/>
                          </a:xfrm>
                          <a:prstGeom prst="rect">
                            <a:avLst/>
                          </a:prstGeom>
                          <a:ln>
                            <a:noFill/>
                          </a:ln>
                        </wps:spPr>
                        <wps:txbx>
                          <w:txbxContent>
                            <w:p w14:paraId="4FBBE2BC" w14:textId="77777777" w:rsidR="00B32EF2" w:rsidRDefault="00000000">
                              <w:r>
                                <w:rPr>
                                  <w:rFonts w:ascii="Arial" w:eastAsia="Arial" w:hAnsi="Arial" w:cs="Arial"/>
                                  <w:i/>
                                  <w:sz w:val="18"/>
                                </w:rPr>
                                <w:t xml:space="preserve">parte che ha rifiutato senza giustificato motivo la proposta al pagamento </w:t>
                              </w:r>
                            </w:p>
                          </w:txbxContent>
                        </wps:txbx>
                        <wps:bodyPr horzOverflow="overflow" vert="horz" lIns="0" tIns="0" rIns="0" bIns="0" rtlCol="0">
                          <a:noAutofit/>
                        </wps:bodyPr>
                      </wps:wsp>
                      <wps:wsp>
                        <wps:cNvPr id="19380" name="Rectangle 19380"/>
                        <wps:cNvSpPr/>
                        <wps:spPr>
                          <a:xfrm rot="-10799999">
                            <a:off x="-1191870" y="825234"/>
                            <a:ext cx="5121977" cy="142889"/>
                          </a:xfrm>
                          <a:prstGeom prst="rect">
                            <a:avLst/>
                          </a:prstGeom>
                          <a:ln>
                            <a:noFill/>
                          </a:ln>
                        </wps:spPr>
                        <wps:txbx>
                          <w:txbxContent>
                            <w:p w14:paraId="7D869888" w14:textId="77777777" w:rsidR="00B32EF2" w:rsidRDefault="00000000">
                              <w:r>
                                <w:rPr>
                                  <w:rFonts w:ascii="Arial" w:eastAsia="Arial" w:hAnsi="Arial" w:cs="Arial"/>
                                  <w:i/>
                                  <w:sz w:val="18"/>
                                </w:rPr>
                                <w:t xml:space="preserve">delle spese del processo maturate dopo la formulazione della proposta, </w:t>
                              </w:r>
                            </w:p>
                          </w:txbxContent>
                        </wps:txbx>
                        <wps:bodyPr horzOverflow="overflow" vert="horz" lIns="0" tIns="0" rIns="0" bIns="0" rtlCol="0">
                          <a:noAutofit/>
                        </wps:bodyPr>
                      </wps:wsp>
                      <wps:wsp>
                        <wps:cNvPr id="19381" name="Rectangle 19381"/>
                        <wps:cNvSpPr/>
                        <wps:spPr>
                          <a:xfrm rot="-10799999">
                            <a:off x="-64834" y="701904"/>
                            <a:ext cx="3978596" cy="142889"/>
                          </a:xfrm>
                          <a:prstGeom prst="rect">
                            <a:avLst/>
                          </a:prstGeom>
                          <a:ln>
                            <a:noFill/>
                          </a:ln>
                        </wps:spPr>
                        <wps:txbx>
                          <w:txbxContent>
                            <w:p w14:paraId="3E2B5775" w14:textId="77777777" w:rsidR="00B32EF2" w:rsidRDefault="00000000">
                              <w:r>
                                <w:rPr>
                                  <w:rFonts w:ascii="Arial" w:eastAsia="Arial" w:hAnsi="Arial" w:cs="Arial"/>
                                  <w:i/>
                                  <w:sz w:val="18"/>
                                </w:rPr>
                                <w:t>salvo quanto disposto dal secondo comma dell’articolo 92.</w:t>
                              </w:r>
                            </w:p>
                          </w:txbxContent>
                        </wps:txbx>
                        <wps:bodyPr horzOverflow="overflow" vert="horz" lIns="0" tIns="0" rIns="0" bIns="0" rtlCol="0">
                          <a:noAutofit/>
                        </wps:bodyPr>
                      </wps:wsp>
                      <wps:wsp>
                        <wps:cNvPr id="19382" name="Rectangle 19382"/>
                        <wps:cNvSpPr/>
                        <wps:spPr>
                          <a:xfrm rot="-10799999">
                            <a:off x="-1090522" y="578575"/>
                            <a:ext cx="5004284" cy="142889"/>
                          </a:xfrm>
                          <a:prstGeom prst="rect">
                            <a:avLst/>
                          </a:prstGeom>
                          <a:ln>
                            <a:noFill/>
                          </a:ln>
                        </wps:spPr>
                        <wps:txbx>
                          <w:txbxContent>
                            <w:p w14:paraId="2D03AC65" w14:textId="77777777" w:rsidR="00B32EF2" w:rsidRDefault="00000000">
                              <w:r>
                                <w:rPr>
                                  <w:rFonts w:ascii="Arial" w:eastAsia="Arial" w:hAnsi="Arial" w:cs="Arial"/>
                                  <w:i/>
                                  <w:sz w:val="18"/>
                                </w:rPr>
                                <w:t xml:space="preserve"> 2. Le spese della sentenza sono liquidate dal cancelliere con nota in margi</w:t>
                              </w:r>
                            </w:p>
                          </w:txbxContent>
                        </wps:txbx>
                        <wps:bodyPr horzOverflow="overflow" vert="horz" lIns="0" tIns="0" rIns="0" bIns="0" rtlCol="0">
                          <a:noAutofit/>
                        </wps:bodyPr>
                      </wps:wsp>
                      <wps:wsp>
                        <wps:cNvPr id="19383" name="Rectangle 19383"/>
                        <wps:cNvSpPr/>
                        <wps:spPr>
                          <a:xfrm rot="-10799999">
                            <a:off x="97867" y="578575"/>
                            <a:ext cx="50622" cy="142889"/>
                          </a:xfrm>
                          <a:prstGeom prst="rect">
                            <a:avLst/>
                          </a:prstGeom>
                          <a:ln>
                            <a:noFill/>
                          </a:ln>
                        </wps:spPr>
                        <wps:txbx>
                          <w:txbxContent>
                            <w:p w14:paraId="7DB7296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384" name="Shape 19384"/>
                        <wps:cNvSpPr/>
                        <wps:spPr>
                          <a:xfrm>
                            <a:off x="32110" y="473197"/>
                            <a:ext cx="3960000" cy="4026497"/>
                          </a:xfrm>
                          <a:custGeom>
                            <a:avLst/>
                            <a:gdLst/>
                            <a:ahLst/>
                            <a:cxnLst/>
                            <a:rect l="0" t="0" r="0" b="0"/>
                            <a:pathLst>
                              <a:path w="3960000" h="4026497">
                                <a:moveTo>
                                  <a:pt x="0" y="4026497"/>
                                </a:moveTo>
                                <a:lnTo>
                                  <a:pt x="3960000" y="4026497"/>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02C5B77" id="Group 201477" o:spid="_x0000_s4430" style="width:314.35pt;height:493.15pt;mso-position-horizontal-relative:char;mso-position-vertical-relative:line" coordsize="39921,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Fo/AsAALd+AAAOAAAAZHJzL2Uyb0RvYy54bWzkXetu2zga/b/AvoPh/2l4ESkqaDpYdHaK&#10;BRY7g5nZB1AcOzZgW4bsNuk+/Z6PpChbZqazEhAWyxZIHFoXiofflYef3v/wstvOvizb46bZ38/5&#10;OzafLfeL5nGzf7qf//v3n27MfHY81fvHetvsl/fzr8vj/IcPf/3L++fD3VI062b7uGxnuMj+ePd8&#10;uJ+vT6fD3e3tcbFe7urju+aw3OPLVdPu6hP+bJ9uH9v6GVffbW8FY/r2uWkfD22zWB6PaP3RfTn/&#10;YK+/Wi0Xp59Xq+PyNNvez9G3k/3Z2p8P9PP2w/v67qmtD+vNwnejHtGLXb3Z46bhUj/Wp3r2ud1c&#10;XWq3WbTNsVmd3i2a3W2zWm0WS/sMeBrOBk/zqW0+H+yzPN09Px3CMGFoB+M0+rKLf3351B5+O/zS&#10;YiSeD08YC/sXPcvLqt3Rb/Ry9mKH7GsYsuXLabZAo6wqwTmfzxb4TgstjCrcoC7WGPmr8xbrv3/j&#10;zNvuxrcX3Xk+YIIc+zE4ThuD39b1YWmH9niHMfilnW0eMX8rKar5bF/vMFV/xeSp90/b5cw12wGy&#10;R4fhOt4dMXLdWM3aBvPrhrOyon92Pvix4xVDazmfYZRutMCfbpC6YeSlkRp3plEUiulC0/dhKOq7&#10;Q3s8fVo2uxl9uJ+36Ju9fv3ln8eTO7Q7hLqz3dPPffPTZrt131ILRrTrMX06vTy82MeWQnG6HzU+&#10;NI9fMRrrpv3Pz5Dr1bZ5vp83/tOcRB23p2/ns+0/9kCBpKr70HYfHroP7Wn7sbGy5zr0t8+nZrWx&#10;Pe7v5nsGeF0f3gJniX5HcEazHwjMiv8d5xsueakVkCRx4LyqtBeHDmklOVOlFxheCOOmwhtCLbon&#10;zAZqjHYM6jDnR0OtK6Us1ApAa3kFNauY1k6qLdT2jm8ItcwOahGHOsz5kVALwUqycpBqZUopmaKR&#10;re+CVAsujJA91KaiA94Qajv3epWagQLHaMekOsz5UVDzSnFc+FWcmRaYYmSmSaDfHGU77bJCuYij&#10;HKb7KJTJTOtK4NoEdFlUVWkdrjOBltDdEso9GdS2Q1lBjdGOCXSY86OgFlxW2nikEaB417pHmhsl&#10;IMoJkS6zstKIcxEmXkPt26d53wg/lfF2WjEJKY/YaZkSbJMf2BH324I9zf8WWiquEMWRCn8dax9U&#10;J7HW1gfMSoUjwxFT4UHDjVLhZz5ZFOe0PpkOGYNs4mnozxjKQbWNQvmGI8jSnfKWyKEZO216S60Q&#10;ZJVVwiBLB42VDdTxbKgMmm0U1GcCbXEeGunEAh2SBbmgXMRzoWie5o3B/TKVd72F0loNBZqCLHaW&#10;IHvreFqHZEE2UEecMSxvFEGzjRLoy3iaSylFDOqU8bTLw+fkjBWRIIugDuptJNQw0wjhnN/NGBa6&#10;rN2/NNOcciupUic6ZAyykep4LrQI6m0U1Gdm2uI8FOnEZjq7BFkBmYr43WieZqYFNwUSJRRIF8Zo&#10;ra8FmqmUGTJtZ15WujueCy2CZpso0A7n70ygQ/yYjdqG0MUEOmi2kSiz0hCZhOS51HDGBvIsmCkE&#10;PL50BjqEj1kgbZOdkRDLt09T3tIwViAhQ2DrgsFQDzLeFGOJhGCXIYrMBmzi/wzlmsBG+xSwBQhF&#10;WOD4FtaYaak8b/Ca/ANmgTVFU/FcKJqnIM25NCCKOaQV17ocSDWmgVRoTId0iCKzQBr0nwpEPS/V&#10;ljw6823fxJl4Qp4GKh1X1hpmyZEaw8l94IyFauhvL74FE7oAYxRHnLGIFp8dDZRO66ifIB0/OhIo&#10;2tbdp8XLvvtIZNE/5D8f6hOdRxeljzMwPkNf1rArviv0/Q5U0N8be+RpQO5FN/tvt/vzo8LV8OTW&#10;HODY7oju98Fe7/zI7r5uCLrjut/ueIwWjebFYHVHdL/Pj7y8O7pBD2yHOAwCGs+Hebun8SBUavDT&#10;V9vaEW93mxOI69vNDkwgURJsXTc9m9UxgyloOZ6+bpc0ZNv9r8sVGLeWTE0Nx/bp4eO2nX2piSJr&#10;/zlW7/awrn2rv64/1HbVXofOX4HeGy7J7akXl/wo6b+/gj+YzltaZnw4k7kzF743jh4PkjkeuiPJ&#10;Y1DCSfbOzf4Uzt+D2m9vcva0fbRG40J/vSm9lxaGhyYY6hrN6A71ZpRrLUAPZ5W3wKI0hUs19SLM&#10;lVEghSbUyyHlk4VeJkjjGe2e0T4Kac40E1ivsNqFK5ACbejdI20tMEu4GFmGtE8WSFv/OeJs+fYp&#10;Uo2V56ISxmfAmOQGa1K4YA+2whYXJRMSP8uQ+MkH7AiXxIIdkoGjBFuAHwal4d2GV7FOKdgh/ZMF&#10;1oRGfPkCzdPEmpsStH0LtayQ9Loi+XKsZBWYZ8ni5TCXs4E6vobhNg2O9stuOEfG06fBZGkUdxvo&#10;zjU4NuAhN5YO6pARyAZqKNmYCx5M2Tj9jRUqRQoDYZ/Umhs+WMXgTJTIcCdEOmT5skDa2uQI1L59&#10;igaHrYYwu+Q2jIQprhiBnBXgDKbD2oR4Mh+sI4tWFuvgtoySazjhCv+9tX4d7IQqHNxUP5uzAJsc&#10;s4gP7pqniDVZ61LQPjrS4QUHjX+gwxUcsxI+QTJrbfJKbxOmkdjaNU+GmlNNBYJaVNxcEQM5w6oW&#10;pVdxRIpdGiZEGdlINeCIOWbBbxmpwOGDYx+8gxrM3+KKGEjhVsosCrYBZqbAsTklBnW/Z2Us1BVD&#10;UtRBzQqsUA4oJkiYoRBGSgUeooxcpBqbU6JQB6dlFNSGY8O7s9QClX7MkEsEdkmpsB0knfoObmcW&#10;QFtPO5JD8e3TbDUWPLBCbaUaG62MuuISca4LKo+QzFbnlS+zoEZyo759CtgIrVkpnAb/A6wTLnkg&#10;7s/NWEeghgveb1IapcFdblS6jJnQpeJDMhFFW8ieJhTr4HlmocMJ04gKd81ThBql51BOjBY0EEsJ&#10;LFrDBychOkuDMyZMyuSoq3bWk0P+/+sUgSIS9cuCgzpKqitQvM9wdryWc5yT1imqgtOZjUBHsqIk&#10;0ME7HYUylqeN8SwUKlKjkCi5kOcSzIWUJJQqrzyZdbzgEw2zJ759mu5G9rvksAuku1Fg7qpGKMw0&#10;lyyhR4bSC/4Js5BqC2okqPbtU8CG910UlB75frHOL1UWT4C7zNYkZgIKwjpuGfInyJEOVDjEWpYs&#10;ofcNumpOYk1WOZ4AR/MUoUagVcjK840EAxMYOzhwwXOvTJUoHpou0KqCO5KFBgfU2H12Za1d80So&#10;jap8XhSXg192BXWlEYElhDqvVBlhGrHVrnkK1AIk/67KM9Q3rVxfCjWY4mWFODtZUtQts+UUUgOC&#10;qFCHYGRUsCUkygnSUgYtRGvEXa5SSq++uUJJspTlf7G46qdyNuo7nhItQyQyCmnYaVn4wlRcaaor&#10;dynTojDYUQanLdFCh3TbybKRaQqpYjtpffsk/Q0/THWWuiiQULFzp5dqrHKBJZ6OBC6d65AV1rHd&#10;eTasDnTKUXJNG3kUNLdT4RbsgWA7sFMKdrBR2ajweP6739E0Emp4Yly6uBpcEwj5UK6RLoPrllCH&#10;ByOVDdSAY5gaJQ88RJ0joabXqPhsGV6pA20+hBolUIrz4oJv/E4difRNbo5ZnBkMOzrFWPerWq/g&#10;nHJVy7/0JRtDTZIbz4mieQrKlpEAJoIz09ihZ9zKwoVPBi5pSp8sqKxsdHc8J+q4IjTnR+pu2phH&#10;i1YIqrFBT129Do24J2C4pIu0gsbKBWnsWYpZ6X4r01ikwe6ndCuQNljLvHobGsdrD5PGWUFrZYN0&#10;PCPa72Mah7QuDMAlnEuGVWrr+/S6G0sgyI2nDLGyy5Jht1JUokOsOQ5nDr+7S50ogOpCth5pBbcb&#10;6fF0upuHdEE2Eh3Ph/Z7mEYh3bvdcZiTet147WJmsRWJlAujXaE5OOL9zqXXAaaV5rM6c84SFyXq&#10;zFkXp5fbUGONstuXpdO6Vz6fF0D7jurMXXb2z1SbuzyjqwjX/b6uOWc1yqvV6dyYDo9ZbJvjEnP0&#10;z1eTsxXjoDdfrSjnSsG5a0be3ByrKBcp/+YrynWXQb02miMXReN86bdxdei+i4py9jXheDu6HX//&#10;Jnd6/fr537YCXf+++Q//BQAA//8DAFBLAwQUAAYACAAAACEABfCzbd0AAAAFAQAADwAAAGRycy9k&#10;b3ducmV2LnhtbEyPQUvDQBCF74L/YRnBm92kxZim2ZRS1FMRbAXxNs1Ok9DsbMhuk/Tfu3rRy8Dj&#10;Pd77Jl9PphUD9a6xrCCeRSCIS6sbrhR8HF4eUhDOI2tsLZOCKzlYF7c3OWbajvxOw95XIpSwy1BB&#10;7X2XSenKmgy6me2Ig3eyvUEfZF9J3eMYyk0r51GUSIMNh4UaO9rWVJ73F6PgdcRxs4ifh935tL1+&#10;HR7fPncxKXV/N21WIDxN/i8MP/gBHYrAdLQX1k60CsIj/vcGL5mnTyCOCpZpsgBZ5PI/ffENAAD/&#10;/wMAUEsBAi0AFAAGAAgAAAAhALaDOJL+AAAA4QEAABMAAAAAAAAAAAAAAAAAAAAAAFtDb250ZW50&#10;X1R5cGVzXS54bWxQSwECLQAUAAYACAAAACEAOP0h/9YAAACUAQAACwAAAAAAAAAAAAAAAAAvAQAA&#10;X3JlbHMvLnJlbHNQSwECLQAUAAYACAAAACEAibXxaPwLAAC3fgAADgAAAAAAAAAAAAAAAAAuAgAA&#10;ZHJzL2Uyb0RvYy54bWxQSwECLQAUAAYACAAAACEABfCzbd0AAAAFAQAADwAAAAAAAAAAAAAAAABW&#10;DgAAZHJzL2Rvd25yZXYueG1sUEsFBgAAAAAEAAQA8wAAAGAPAAAAAA==&#10;">
                <v:rect id="Rectangle 19329" o:spid="_x0000_s4431" style="position:absolute;left:19007;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hwrxAAAAN4AAAAPAAAAZHJzL2Rvd25yZXYueG1sRE9Ni8Iw&#10;EL0L/ocwgjdNVVi0axRRxB72sq4Lexyasa02k9BEW/31m4UFb/N4n7Ncd6YWd2p8ZVnBZJyAIM6t&#10;rrhQcPraj+YgfEDWWFsmBQ/ysF71e0tMtW35k+7HUIgYwj5FBWUILpXS5yUZ9GPriCN3to3BEGFT&#10;SN1gG8NNLadJ8iYNVhwbSnS0LSm/Hm9Gwc+OXbZvZX5+bt3HJZvXh9vpW6nhoNu8gwjUhZf4353p&#10;OH8xmy7g7514g1z9AgAA//8DAFBLAQItABQABgAIAAAAIQDb4fbL7gAAAIUBAAATAAAAAAAAAAAA&#10;AAAAAAAAAABbQ29udGVudF9UeXBlc10ueG1sUEsBAi0AFAAGAAgAAAAhAFr0LFu/AAAAFQEAAAsA&#10;AAAAAAAAAAAAAAAAHwEAAF9yZWxzLy5yZWxzUEsBAi0AFAAGAAgAAAAhAMuyHCvEAAAA3gAAAA8A&#10;AAAAAAAAAAAAAAAABwIAAGRycy9kb3ducmV2LnhtbFBLBQYAAAAAAwADALcAAAD4AgAAAAA=&#10;" filled="f" stroked="f">
                  <v:textbox inset="0,0,0,0">
                    <w:txbxContent>
                      <w:p w14:paraId="456C6F17" w14:textId="77777777" w:rsidR="00B32EF2" w:rsidRDefault="00000000">
                        <w:r>
                          <w:rPr>
                            <w:rFonts w:ascii="Times New Roman" w:eastAsia="Times New Roman" w:hAnsi="Times New Roman" w:cs="Times New Roman"/>
                          </w:rPr>
                          <w:t>54</w:t>
                        </w:r>
                      </w:p>
                    </w:txbxContent>
                  </v:textbox>
                </v:rect>
                <v:rect id="Rectangle 19330" o:spid="_x0000_s4432" style="position:absolute;left:-13176;top:61199;width:53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SNryAAAAN4AAAAPAAAAZHJzL2Rvd25yZXYueG1sRI9Pa8JA&#10;EMXvhX6HZQq91Y0Vik1dRSzSHHrxT6HHITsmabOzS3Y10U/vHARvM8yb995vthhcq07UxcazgfEo&#10;A0VcettwZWC/W79MQcWEbLH1TAbOFGExf3yYYW59zxs6bVOlxIRjjgbqlEKudSxrchhHPhDL7eA7&#10;h0nWrtK2w17MXatfs+xNO2xYEmoMtKqp/N8enYHfTw7Futfl4bIK33/FtP067n+MeX4alh+gEg3p&#10;Lr59F1bqv08mAiA4MoOeXwEAAP//AwBQSwECLQAUAAYACAAAACEA2+H2y+4AAACFAQAAEwAAAAAA&#10;AAAAAAAAAAAAAAAAW0NvbnRlbnRfVHlwZXNdLnhtbFBLAQItABQABgAIAAAAIQBa9CxbvwAAABUB&#10;AAALAAAAAAAAAAAAAAAAAB8BAABfcmVscy8ucmVsc1BLAQItABQABgAIAAAAIQDfUSNryAAAAN4A&#10;AAAPAAAAAAAAAAAAAAAAAAcCAABkcnMvZG93bnJldi54bWxQSwUGAAAAAAMAAwC3AAAA/AIAAAAA&#10;" filled="f" stroked="f">
                  <v:textbox inset="0,0,0,0">
                    <w:txbxContent>
                      <w:p w14:paraId="3DA5C418" w14:textId="77777777" w:rsidR="00B32EF2" w:rsidRDefault="00000000">
                        <w:r>
                          <w:rPr>
                            <w:rFonts w:ascii="Arial" w:eastAsia="Arial" w:hAnsi="Arial" w:cs="Arial"/>
                            <w:sz w:val="18"/>
                          </w:rPr>
                          <w:t xml:space="preserve">slativo 15 dicembre 1997, n. 446, se assistiti da propri funzionari, si applicano </w:t>
                        </w:r>
                      </w:p>
                    </w:txbxContent>
                  </v:textbox>
                </v:rect>
                <v:rect id="Rectangle 19331" o:spid="_x0000_s4433" style="position:absolute;left:-13169;top:599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bwxAAAAN4AAAAPAAAAZHJzL2Rvd25yZXYueG1sRE9Li8Iw&#10;EL4v7H8II3jT1BUW7RpFXGR78OIL9jg0Y1ttJqGJtvrrN4Kwt/n4njNbdKYWN2p8ZVnBaJiAIM6t&#10;rrhQcNivBxMQPiBrrC2Tgjt5WMzf32aYatvylm67UIgYwj5FBWUILpXS5yUZ9EPriCN3so3BEGFT&#10;SN1gG8NNLT+S5FMarDg2lOhoVVJ+2V2Ngt9vdtm6lfnpsXKbczapf66Ho1L9Xrf8AhGoC//ilzvT&#10;cf50PB7B8514g5z/AQAA//8DAFBLAQItABQABgAIAAAAIQDb4fbL7gAAAIUBAAATAAAAAAAAAAAA&#10;AAAAAAAAAABbQ29udGVudF9UeXBlc10ueG1sUEsBAi0AFAAGAAgAAAAhAFr0LFu/AAAAFQEAAAsA&#10;AAAAAAAAAAAAAAAAHwEAAF9yZWxzLy5yZWxzUEsBAi0AFAAGAAgAAAAhALAdhvDEAAAA3gAAAA8A&#10;AAAAAAAAAAAAAAAABwIAAGRycy9kb3ducmV2LnhtbFBLBQYAAAAAAwADALcAAAD4AgAAAAA=&#10;" filled="f" stroked="f">
                  <v:textbox inset="0,0,0,0">
                    <w:txbxContent>
                      <w:p w14:paraId="64671EB1" w14:textId="77777777" w:rsidR="00B32EF2" w:rsidRDefault="00000000">
                        <w:r>
                          <w:rPr>
                            <w:rFonts w:ascii="Arial" w:eastAsia="Arial" w:hAnsi="Arial" w:cs="Arial"/>
                            <w:sz w:val="18"/>
                          </w:rPr>
                          <w:t xml:space="preserve">le disposizioni per la liquidazione del compenso spettante agli avvocati, con la </w:t>
                        </w:r>
                      </w:p>
                    </w:txbxContent>
                  </v:textbox>
                </v:rect>
                <v:rect id="Rectangle 19332" o:spid="_x0000_s4434" style="position:absolute;left:-12207;top:58733;width:5212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iHxAAAAN4AAAAPAAAAZHJzL2Rvd25yZXYueG1sRE9Ni8Iw&#10;EL0v+B/CCN40VWFxu0YRRezBy6oLexyasa02k9BEW/31mwVhb/N4nzNfdqYWd2p8ZVnBeJSAIM6t&#10;rrhQcDpuhzMQPiBrrC2Tggd5WC56b3NMtW35i+6HUIgYwj5FBWUILpXS5yUZ9CPriCN3to3BEGFT&#10;SN1gG8NNLSdJ8i4NVhwbSnS0Lim/Hm5Gwc+GXbZtZX5+rt3+ks3q3e30rdSg360+QQTqwr/45c50&#10;nP8xnU7g7514g1z8AgAA//8DAFBLAQItABQABgAIAAAAIQDb4fbL7gAAAIUBAAATAAAAAAAAAAAA&#10;AAAAAAAAAABbQ29udGVudF9UeXBlc10ueG1sUEsBAi0AFAAGAAgAAAAhAFr0LFu/AAAAFQEAAAsA&#10;AAAAAAAAAAAAAAAAHwEAAF9yZWxzLy5yZWxzUEsBAi0AFAAGAAgAAAAhAEDPGIfEAAAA3gAAAA8A&#10;AAAAAAAAAAAAAAAABwIAAGRycy9kb3ducmV2LnhtbFBLBQYAAAAAAwADALcAAAD4AgAAAAA=&#10;" filled="f" stroked="f">
                  <v:textbox inset="0,0,0,0">
                    <w:txbxContent>
                      <w:p w14:paraId="29B3D9A1" w14:textId="77777777" w:rsidR="00B32EF2" w:rsidRDefault="00000000">
                        <w:r>
                          <w:rPr>
                            <w:rFonts w:ascii="Arial" w:eastAsia="Arial" w:hAnsi="Arial" w:cs="Arial"/>
                            <w:sz w:val="18"/>
                          </w:rPr>
                          <w:t>riduzione del venti per cento dell’importo complessivo ivi previsto. La riscos</w:t>
                        </w:r>
                      </w:p>
                    </w:txbxContent>
                  </v:textbox>
                </v:rect>
                <v:rect id="Rectangle 19333" o:spid="_x0000_s4435" style="position:absolute;left:195;top:58733;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70cxAAAAN4AAAAPAAAAZHJzL2Rvd25yZXYueG1sRE9Na8JA&#10;EL0L/Q/LCN7qRgOiqasUi5iDl6qFHofsmKTNzi7Z1UR/vVsoeJvH+5zlujeNuFLra8sKJuMEBHFh&#10;dc2lgtNx+zoH4QOyxsYyKbiRh/XqZbDETNuOP+l6CKWIIewzVFCF4DIpfVGRQT+2jjhyZ9saDBG2&#10;pdQtdjHcNHKaJDNpsObYUKGjTUXF7+FiFHx/sMu3nSzO943b/+TzZnc5fSk1GvbvbyAC9eEp/nfn&#10;Os5fpGkKf+/EG+TqAQAA//8DAFBLAQItABQABgAIAAAAIQDb4fbL7gAAAIUBAAATAAAAAAAAAAAA&#10;AAAAAAAAAABbQ29udGVudF9UeXBlc10ueG1sUEsBAi0AFAAGAAgAAAAhAFr0LFu/AAAAFQEAAAsA&#10;AAAAAAAAAAAAAAAAHwEAAF9yZWxzLy5yZWxzUEsBAi0AFAAGAAgAAAAhAC+DvRzEAAAA3gAAAA8A&#10;AAAAAAAAAAAAAAAABwIAAGRycy9kb3ducmV2LnhtbFBLBQYAAAAAAwADALcAAAD4AgAAAAA=&#10;" filled="f" stroked="f">
                  <v:textbox inset="0,0,0,0">
                    <w:txbxContent>
                      <w:p w14:paraId="5F9EABBD" w14:textId="77777777" w:rsidR="00B32EF2" w:rsidRDefault="00000000">
                        <w:r>
                          <w:rPr>
                            <w:rFonts w:ascii="Arial" w:eastAsia="Arial" w:hAnsi="Arial" w:cs="Arial"/>
                            <w:sz w:val="18"/>
                          </w:rPr>
                          <w:t>-</w:t>
                        </w:r>
                      </w:p>
                    </w:txbxContent>
                  </v:textbox>
                </v:rect>
                <v:rect id="Rectangle 19334" o:spid="_x0000_s4436" style="position:absolute;left:-13169;top:574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iVoxQAAAN4AAAAPAAAAZHJzL2Rvd25yZXYueG1sRE9Na8JA&#10;EL0L/Q/LFLzpRi3FRlcRRczBS62FHofsmESzs0t2NbG/3i0UvM3jfc582Zla3KjxlWUFo2ECgji3&#10;uuJCwfFrO5iC8AFZY22ZFNzJw3Lx0ptjqm3Ln3Q7hELEEPYpKihDcKmUPi/JoB9aRxy5k20Mhgib&#10;QuoG2xhuajlOkndpsOLYUKKjdUn55XA1Cn427LJtK/PT79rtz9m03l2P30r1X7vVDESgLjzF/+5M&#10;x/kfk8kb/L0Tb5CLBwAAAP//AwBQSwECLQAUAAYACAAAACEA2+H2y+4AAACFAQAAEwAAAAAAAAAA&#10;AAAAAAAAAAAAW0NvbnRlbnRfVHlwZXNdLnhtbFBLAQItABQABgAIAAAAIQBa9CxbvwAAABUBAAAL&#10;AAAAAAAAAAAAAAAAAB8BAABfcmVscy8ucmVsc1BLAQItABQABgAIAAAAIQCgaiVoxQAAAN4AAAAP&#10;AAAAAAAAAAAAAAAAAAcCAABkcnMvZG93bnJldi54bWxQSwUGAAAAAAMAAwC3AAAA+QIAAAAA&#10;" filled="f" stroked="f">
                  <v:textbox inset="0,0,0,0">
                    <w:txbxContent>
                      <w:p w14:paraId="66B48E07" w14:textId="77777777" w:rsidR="00B32EF2" w:rsidRDefault="00000000">
                        <w:r>
                          <w:rPr>
                            <w:rFonts w:ascii="Arial" w:eastAsia="Arial" w:hAnsi="Arial" w:cs="Arial"/>
                            <w:sz w:val="18"/>
                          </w:rPr>
                          <w:t xml:space="preserve">sione avviene mediante iscrizione a ruolo a titolo definitivo dopo il passaggio </w:t>
                        </w:r>
                      </w:p>
                    </w:txbxContent>
                  </v:textbox>
                </v:rect>
                <v:rect id="Rectangle 19335" o:spid="_x0000_s4437" style="position:absolute;left:21396;top:56266;width:185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oDzxQAAAN4AAAAPAAAAZHJzL2Rvd25yZXYueG1sRE9Na8JA&#10;EL0L/Q/LFLzpRqXFRlcRRczBS62FHofsmESzs0t2NbG/3i0UvM3jfc582Zla3KjxlWUFo2ECgji3&#10;uuJCwfFrO5iC8AFZY22ZFNzJw3Lx0ptjqm3Ln3Q7hELEEPYpKihDcKmUPi/JoB9aRxy5k20Mhgib&#10;QuoG2xhuajlOkndpsOLYUKKjdUn55XA1Cn427LJtK/PT79rtz9m03l2P30r1X7vVDESgLjzF/+5M&#10;x/kfk8kb/L0Tb5CLBwAAAP//AwBQSwECLQAUAAYACAAAACEA2+H2y+4AAACFAQAAEwAAAAAAAAAA&#10;AAAAAAAAAAAAW0NvbnRlbnRfVHlwZXNdLnhtbFBLAQItABQABgAIAAAAIQBa9CxbvwAAABUBAAAL&#10;AAAAAAAAAAAAAAAAAB8BAABfcmVscy8ucmVsc1BLAQItABQABgAIAAAAIQDPJoDzxQAAAN4AAAAP&#10;AAAAAAAAAAAAAAAAAAcCAABkcnMvZG93bnJldi54bWxQSwUGAAAAAAMAAwC3AAAA+QIAAAAA&#10;" filled="f" stroked="f">
                  <v:textbox inset="0,0,0,0">
                    <w:txbxContent>
                      <w:p w14:paraId="62DCC226" w14:textId="77777777" w:rsidR="00B32EF2" w:rsidRDefault="00000000">
                        <w:r>
                          <w:rPr>
                            <w:rFonts w:ascii="Arial" w:eastAsia="Arial" w:hAnsi="Arial" w:cs="Arial"/>
                            <w:sz w:val="18"/>
                          </w:rPr>
                          <w:t>in giudicato della sentenza.</w:t>
                        </w:r>
                      </w:p>
                    </w:txbxContent>
                  </v:textbox>
                </v:rect>
                <v:rect id="Rectangle 201262" o:spid="_x0000_s4438" style="position:absolute;left:-12855;top:55033;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IpjxgAAAN8AAAAPAAAAZHJzL2Rvd25yZXYueG1sRI9Pi8Iw&#10;FMTvgt8hvAVvmtqDSNco4iL24MV/4PHRPNuuzUtoou3upzcLCx6HmfkNs1j1phFPan1tWcF0koAg&#10;LqyuuVRwPm3HcxA+IGtsLJOCH/KwWg4HC8y07fhAz2MoRYSwz1BBFYLLpPRFRQb9xDri6N1sazBE&#10;2ZZSt9hFuGlkmiQzabDmuFCho01Fxf34MAquX+zybSeL2+/G7b/zebN7nC9KjT769SeIQH14h//b&#10;uVaQJtN0lsLfn/gF5PIFAAD//wMAUEsBAi0AFAAGAAgAAAAhANvh9svuAAAAhQEAABMAAAAAAAAA&#10;AAAAAAAAAAAAAFtDb250ZW50X1R5cGVzXS54bWxQSwECLQAUAAYACAAAACEAWvQsW78AAAAVAQAA&#10;CwAAAAAAAAAAAAAAAAAfAQAAX3JlbHMvLnJlbHNQSwECLQAUAAYACAAAACEAWDCKY8YAAADfAAAA&#10;DwAAAAAAAAAAAAAAAAAHAgAAZHJzL2Rvd25yZXYueG1sUEsFBgAAAAADAAMAtwAAAPoCAAAAAA==&#10;" filled="f" stroked="f">
                  <v:textbox inset="0,0,0,0">
                    <w:txbxContent>
                      <w:p w14:paraId="0E622AF5" w14:textId="77777777" w:rsidR="00B32EF2" w:rsidRDefault="00000000">
                        <w:r>
                          <w:rPr>
                            <w:rFonts w:ascii="Arial" w:eastAsia="Arial" w:hAnsi="Arial" w:cs="Arial"/>
                            <w:sz w:val="18"/>
                          </w:rPr>
                          <w:t>. Qualora una delle parti ovvero il giudice abbia formulato una proposta con</w:t>
                        </w:r>
                      </w:p>
                    </w:txbxContent>
                  </v:textbox>
                </v:rect>
                <v:rect id="Rectangle 201261" o:spid="_x0000_s4439" style="position:absolute;left:26351;top:55033;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hQUxwAAAN8AAAAPAAAAZHJzL2Rvd25yZXYueG1sRI9Ba8JA&#10;FITvBf/D8gRvdZMcRFJXKYqYg5eqhR4f2WeSNvt2ya4m+uu7guBxmJlvmMVqMK24UucbywrSaQKC&#10;uLS64UrB6bh9n4PwAVlja5kU3MjDajl6W2Cubc9fdD2ESkQI+xwV1CG4XEpf1mTQT60jjt7ZdgZD&#10;lF0ldYd9hJtWZkkykwYbjgs1OlrXVP4dLkbBz4Zdse1leb6v3f63mLe7y+lbqcl4+PwAEWgIr/Cz&#10;XWgFWZJmsxQef+IXkMt/AAAA//8DAFBLAQItABQABgAIAAAAIQDb4fbL7gAAAIUBAAATAAAAAAAA&#10;AAAAAAAAAAAAAABbQ29udGVudF9UeXBlc10ueG1sUEsBAi0AFAAGAAgAAAAhAFr0LFu/AAAAFQEA&#10;AAsAAAAAAAAAAAAAAAAAHwEAAF9yZWxzLy5yZWxzUEsBAi0AFAAGAAgAAAAhAKjiFBTHAAAA3wAA&#10;AA8AAAAAAAAAAAAAAAAABwIAAGRycy9kb3ducmV2LnhtbFBLBQYAAAAAAwADALcAAAD7AgAAAAA=&#10;" filled="f" stroked="f">
                  <v:textbox inset="0,0,0,0">
                    <w:txbxContent>
                      <w:p w14:paraId="6A628DAF" w14:textId="77777777" w:rsidR="00B32EF2" w:rsidRDefault="00000000">
                        <w:r>
                          <w:rPr>
                            <w:rFonts w:ascii="Arial" w:eastAsia="Arial" w:hAnsi="Arial" w:cs="Arial"/>
                            <w:sz w:val="18"/>
                          </w:rPr>
                          <w:t>8</w:t>
                        </w:r>
                      </w:p>
                    </w:txbxContent>
                  </v:textbox>
                </v:rect>
                <v:rect id="Rectangle 19337" o:spid="_x0000_s4440" style="position:absolute;left:195;top:550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sfxQAAAN4AAAAPAAAAZHJzL2Rvd25yZXYueG1sRE9Na8JA&#10;EL0L/Q/LFLzpRoXWRlcRRczBS62FHofsmESzs0t2NbG/3i0UvM3jfc582Zla3KjxlWUFo2ECgji3&#10;uuJCwfFrO5iC8AFZY22ZFNzJw3Lx0ptjqm3Ln3Q7hELEEPYpKihDcKmUPi/JoB9aRxy5k20Mhgib&#10;QuoG2xhuajlOkjdpsOLYUKKjdUn55XA1Cn427LJtK/PT79rtz9m03l2P30r1X7vVDESgLjzF/+5M&#10;x/kfk8k7/L0Tb5CLBwAAAP//AwBQSwECLQAUAAYACAAAACEA2+H2y+4AAACFAQAAEwAAAAAAAAAA&#10;AAAAAAAAAAAAW0NvbnRlbnRfVHlwZXNdLnhtbFBLAQItABQABgAIAAAAIQBa9CxbvwAAABUBAAAL&#10;AAAAAAAAAAAAAAAAAB8BAABfcmVscy8ucmVsc1BLAQItABQABgAIAAAAIQBQuLsfxQAAAN4AAAAP&#10;AAAAAAAAAAAAAAAAAAcCAABkcnMvZG93bnJldi54bWxQSwUGAAAAAAMAAwC3AAAA+QIAAAAA&#10;" filled="f" stroked="f">
                  <v:textbox inset="0,0,0,0">
                    <w:txbxContent>
                      <w:p w14:paraId="43CDB6D5" w14:textId="77777777" w:rsidR="00B32EF2" w:rsidRDefault="00000000">
                        <w:r>
                          <w:rPr>
                            <w:rFonts w:ascii="Arial" w:eastAsia="Arial" w:hAnsi="Arial" w:cs="Arial"/>
                            <w:sz w:val="18"/>
                          </w:rPr>
                          <w:t>-</w:t>
                        </w:r>
                      </w:p>
                    </w:txbxContent>
                  </v:textbox>
                </v:rect>
                <v:rect id="Rectangle 19338" o:spid="_x0000_s4441" style="position:absolute;left:-12206;top:53799;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y9tyAAAAN4AAAAPAAAAZHJzL2Rvd25yZXYueG1sRI9Pa8JA&#10;EMXvhX6HZQq91Y0Vik1dRSzSHHrxT6HHITsmabOzS3Y10U/vHARvM7w37/1mthhcq07UxcazgfEo&#10;A0VcettwZWC/W79MQcWEbLH1TAbOFGExf3yYYW59zxs6bVOlJIRjjgbqlEKudSxrchhHPhCLdvCd&#10;wyRrV2nbYS/hrtWvWfamHTYsDTUGWtVU/m+PzsDvJ4di3evycFmF779i2n4d9z/GPD8Nyw9QiYZ0&#10;N9+uCyv475OJ8Mo7MoOeXwEAAP//AwBQSwECLQAUAAYACAAAACEA2+H2y+4AAACFAQAAEwAAAAAA&#10;AAAAAAAAAAAAAAAAW0NvbnRlbnRfVHlwZXNdLnhtbFBLAQItABQABgAIAAAAIQBa9CxbvwAAABUB&#10;AAALAAAAAAAAAAAAAAAAAB8BAABfcmVscy8ucmVsc1BLAQItABQABgAIAAAAIQAhJy9tyAAAAN4A&#10;AAAPAAAAAAAAAAAAAAAAAAcCAABkcnMvZG93bnJldi54bWxQSwUGAAAAAAMAAwC3AAAA/AIAAAAA&#10;" filled="f" stroked="f">
                  <v:textbox inset="0,0,0,0">
                    <w:txbxContent>
                      <w:p w14:paraId="0516F16B" w14:textId="77777777" w:rsidR="00B32EF2" w:rsidRDefault="00000000">
                        <w:r>
                          <w:rPr>
                            <w:rFonts w:ascii="Arial" w:eastAsia="Arial" w:hAnsi="Arial" w:cs="Arial"/>
                            <w:sz w:val="18"/>
                          </w:rPr>
                          <w:t>ciliativa, non accettata dall’altra parte senza giustificato motivo, restano a ca</w:t>
                        </w:r>
                      </w:p>
                    </w:txbxContent>
                  </v:textbox>
                </v:rect>
                <v:rect id="Rectangle 19339" o:spid="_x0000_s4442" style="position:absolute;left:195;top:537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4r2xAAAAN4AAAAPAAAAZHJzL2Rvd25yZXYueG1sRE9Ni8Iw&#10;EL0L/ocwgjdNVVi0axRRxB72sq4Lexyasa02k9BEW/31m4UFb/N4n7Ncd6YWd2p8ZVnBZJyAIM6t&#10;rrhQcPraj+YgfEDWWFsmBQ/ysF71e0tMtW35k+7HUIgYwj5FBWUILpXS5yUZ9GPriCN3to3BEGFT&#10;SN1gG8NNLadJ8iYNVhwbSnS0LSm/Hm9Gwc+OXbZvZX5+bt3HJZvXh9vpW6nhoNu8gwjUhZf4353p&#10;OH8xmy3g7514g1z9AgAA//8DAFBLAQItABQABgAIAAAAIQDb4fbL7gAAAIUBAAATAAAAAAAAAAAA&#10;AAAAAAAAAABbQ29udGVudF9UeXBlc10ueG1sUEsBAi0AFAAGAAgAAAAhAFr0LFu/AAAAFQEAAAsA&#10;AAAAAAAAAAAAAAAAHwEAAF9yZWxzLy5yZWxzUEsBAi0AFAAGAAgAAAAhAE5rivbEAAAA3gAAAA8A&#10;AAAAAAAAAAAAAAAABwIAAGRycy9kb3ducmV2LnhtbFBLBQYAAAAAAwADALcAAAD4AgAAAAA=&#10;" filled="f" stroked="f">
                  <v:textbox inset="0,0,0,0">
                    <w:txbxContent>
                      <w:p w14:paraId="7451C4CC" w14:textId="77777777" w:rsidR="00B32EF2" w:rsidRDefault="00000000">
                        <w:r>
                          <w:rPr>
                            <w:rFonts w:ascii="Arial" w:eastAsia="Arial" w:hAnsi="Arial" w:cs="Arial"/>
                            <w:sz w:val="18"/>
                          </w:rPr>
                          <w:t>-</w:t>
                        </w:r>
                      </w:p>
                    </w:txbxContent>
                  </v:textbox>
                </v:rect>
                <v:rect id="Rectangle 19340" o:spid="_x0000_s4443" style="position:absolute;left:-13168;top:525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1AWyAAAAN4AAAAPAAAAZHJzL2Rvd25yZXYueG1sRI9Lb8Iw&#10;EITvlfofrK3ErTh9qKIpBlVUiBy4lIfU4ypekrTx2ooNSfn17AGJ2652dma+6XxwrTpRFxvPBp7G&#10;GSji0tuGKwO77fJxAiomZIutZzLwTxHms/u7KebW9/xNp02qlJhwzNFAnVLItY5lTQ7j2AdiuR18&#10;5zDJ2lXadtiLuWv1c5a9aYcNS0KNgRY1lX+bozPw88WhWPa6PJwXYf1bTNrVcbc3ZvQwfH6ASjSk&#10;m/j6XVip//7yKgCCIzPo2QUAAP//AwBQSwECLQAUAAYACAAAACEA2+H2y+4AAACFAQAAEwAAAAAA&#10;AAAAAAAAAAAAAAAAW0NvbnRlbnRfVHlwZXNdLnhtbFBLAQItABQABgAIAAAAIQBa9CxbvwAAABUB&#10;AAALAAAAAAAAAAAAAAAAAB8BAABfcmVscy8ucmVsc1BLAQItABQABgAIAAAAIQCHV1AWyAAAAN4A&#10;AAAPAAAAAAAAAAAAAAAAAAcCAABkcnMvZG93bnJldi54bWxQSwUGAAAAAAMAAwC3AAAA/AIAAAAA&#10;" filled="f" stroked="f">
                  <v:textbox inset="0,0,0,0">
                    <w:txbxContent>
                      <w:p w14:paraId="5E158D1A" w14:textId="77777777" w:rsidR="00B32EF2" w:rsidRDefault="00000000">
                        <w:r>
                          <w:rPr>
                            <w:rFonts w:ascii="Arial" w:eastAsia="Arial" w:hAnsi="Arial" w:cs="Arial"/>
                            <w:sz w:val="18"/>
                          </w:rPr>
                          <w:t xml:space="preserve">rico di quest’ultima le spese del giudizio maggiorate del 50 per cento, ove il </w:t>
                        </w:r>
                      </w:p>
                    </w:txbxContent>
                  </v:textbox>
                </v:rect>
                <v:rect id="Rectangle 19341" o:spid="_x0000_s4444" style="position:absolute;left:-13169;top:513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WNxQAAAN4AAAAPAAAAZHJzL2Rvd25yZXYueG1sRE9La8JA&#10;EL4X/A/LCN7qxlpEo6uIRZpDL/UBHofsmESzs0t2NWl/fbcgeJuP7zmLVWdqcafGV5YVjIYJCOLc&#10;6ooLBYf99nUKwgdkjbVlUvBDHlbL3ssCU21b/qb7LhQihrBPUUEZgkul9HlJBv3QOuLInW1jMETY&#10;FFI32MZwU8u3JJlIgxXHhhIdbUrKr7ubUXD6YJdtW5mffzfu65JN68/b4ajUoN+t5yACdeEpfrgz&#10;HefPxu8j+H8n3iCXfwAAAP//AwBQSwECLQAUAAYACAAAACEA2+H2y+4AAACFAQAAEwAAAAAAAAAA&#10;AAAAAAAAAAAAW0NvbnRlbnRfVHlwZXNdLnhtbFBLAQItABQABgAIAAAAIQBa9CxbvwAAABUBAAAL&#10;AAAAAAAAAAAAAAAAAB8BAABfcmVscy8ucmVsc1BLAQItABQABgAIAAAAIQDoG/WNxQAAAN4AAAAP&#10;AAAAAAAAAAAAAAAAAAcCAABkcnMvZG93bnJldi54bWxQSwUGAAAAAAMAAwC3AAAA+QIAAAAA&#10;" filled="f" stroked="f">
                  <v:textbox inset="0,0,0,0">
                    <w:txbxContent>
                      <w:p w14:paraId="6B9C6B60" w14:textId="77777777" w:rsidR="00B32EF2" w:rsidRDefault="00000000">
                        <w:r>
                          <w:rPr>
                            <w:rFonts w:ascii="Arial" w:eastAsia="Arial" w:hAnsi="Arial" w:cs="Arial"/>
                            <w:sz w:val="18"/>
                          </w:rPr>
                          <w:t xml:space="preserve">riconoscimento delle sue pretese risulti inferiore al contenuto della proposta </w:t>
                        </w:r>
                      </w:p>
                    </w:txbxContent>
                  </v:textbox>
                </v:rect>
                <v:rect id="Rectangle 19342" o:spid="_x0000_s4445" style="position:absolute;left:-12200;top:50099;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Wv6xQAAAN4AAAAPAAAAZHJzL2Rvd25yZXYueG1sRE9Na8JA&#10;EL0L/Q/LFLzpRi1io6uIIs3BS62FHofsmESzs0t2NWl/vVsQvM3jfc5i1Zla3KjxlWUFo2ECgji3&#10;uuJCwfFrN5iB8AFZY22ZFPySh9XypbfAVNuWP+l2CIWIIexTVFCG4FIpfV6SQT+0jjhyJ9sYDBE2&#10;hdQNtjHc1HKcJFNpsOLYUKKjTUn55XA1Cn627LJdK/PT38btz9ms/rgev5Xqv3brOYhAXXiKH+5M&#10;x/nvk7cx/L8Tb5DLOwAAAP//AwBQSwECLQAUAAYACAAAACEA2+H2y+4AAACFAQAAEwAAAAAAAAAA&#10;AAAAAAAAAAAAW0NvbnRlbnRfVHlwZXNdLnhtbFBLAQItABQABgAIAAAAIQBa9CxbvwAAABUBAAAL&#10;AAAAAAAAAAAAAAAAAB8BAABfcmVscy8ucmVsc1BLAQItABQABgAIAAAAIQAYyWv6xQAAAN4AAAAP&#10;AAAAAAAAAAAAAAAAAAcCAABkcnMvZG93bnJldi54bWxQSwUGAAAAAAMAAwC3AAAA+QIAAAAA&#10;" filled="f" stroked="f">
                  <v:textbox inset="0,0,0,0">
                    <w:txbxContent>
                      <w:p w14:paraId="4D598680" w14:textId="77777777" w:rsidR="00B32EF2" w:rsidRDefault="00000000">
                        <w:r>
                          <w:rPr>
                            <w:rFonts w:ascii="Arial" w:eastAsia="Arial" w:hAnsi="Arial" w:cs="Arial"/>
                            <w:sz w:val="18"/>
                          </w:rPr>
                          <w:t>ad essa effettuata. Se è intervenuta conciliazione le spese si intendono com</w:t>
                        </w:r>
                      </w:p>
                    </w:txbxContent>
                  </v:textbox>
                </v:rect>
                <v:rect id="Rectangle 19343" o:spid="_x0000_s4446" style="position:absolute;left:195;top:500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c5hxQAAAN4AAAAPAAAAZHJzL2Rvd25yZXYueG1sRE9Na8JA&#10;EL0L/Q/LFLzpRi3FRlcRRczBS62FHofsmESzs0t2NbG/3i0UvM3jfc582Zla3KjxlWUFo2ECgji3&#10;uuJCwfFrO5iC8AFZY22ZFNzJw3Lx0ptjqm3Ln3Q7hELEEPYpKihDcKmUPi/JoB9aRxy5k20Mhgib&#10;QuoG2xhuajlOkndpsOLYUKKjdUn55XA1Cn427LJtK/PT79rtz9m03l2P30r1X7vVDESgLjzF/+5M&#10;x/kfk7cJ/L0Tb5CLBwAAAP//AwBQSwECLQAUAAYACAAAACEA2+H2y+4AAACFAQAAEwAAAAAAAAAA&#10;AAAAAAAAAAAAW0NvbnRlbnRfVHlwZXNdLnhtbFBLAQItABQABgAIAAAAIQBa9CxbvwAAABUBAAAL&#10;AAAAAAAAAAAAAAAAAB8BAABfcmVscy8ucmVsc1BLAQItABQABgAIAAAAIQB3hc5hxQAAAN4AAAAP&#10;AAAAAAAAAAAAAAAAAAcCAABkcnMvZG93bnJldi54bWxQSwUGAAAAAAMAAwC3AAAA+QIAAAAA&#10;" filled="f" stroked="f">
                  <v:textbox inset="0,0,0,0">
                    <w:txbxContent>
                      <w:p w14:paraId="0783527C" w14:textId="77777777" w:rsidR="00B32EF2" w:rsidRDefault="00000000">
                        <w:r>
                          <w:rPr>
                            <w:rFonts w:ascii="Arial" w:eastAsia="Arial" w:hAnsi="Arial" w:cs="Arial"/>
                            <w:sz w:val="18"/>
                          </w:rPr>
                          <w:t>-</w:t>
                        </w:r>
                      </w:p>
                    </w:txbxContent>
                  </v:textbox>
                </v:rect>
                <v:rect id="Rectangle 19344" o:spid="_x0000_s4447" style="position:absolute;left:-12184;top:48866;width:52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FYVxQAAAN4AAAAPAAAAZHJzL2Rvd25yZXYueG1sRE9La8JA&#10;EL4X+h+WKXirGx8UG11FFDEHL7UWehyyYxLNzi7Z1UR/vVsoeJuP7zmzRWdqcaXGV5YVDPoJCOLc&#10;6ooLBYfvzfsEhA/IGmvLpOBGHhbz15cZptq2/EXXfShEDGGfooIyBJdK6fOSDPq+dcSRO9rGYIiw&#10;KaRusI3hppbDJPmQBiuODSU6WpWUn/cXo+B3zS7btDI/3ldud8om9fZy+FGq99YtpyACdeEp/ndn&#10;Os7/HI3H8PdOvEHOHwAAAP//AwBQSwECLQAUAAYACAAAACEA2+H2y+4AAACFAQAAEwAAAAAAAAAA&#10;AAAAAAAAAAAAW0NvbnRlbnRfVHlwZXNdLnhtbFBLAQItABQABgAIAAAAIQBa9CxbvwAAABUBAAAL&#10;AAAAAAAAAAAAAAAAAB8BAABfcmVscy8ucmVsc1BLAQItABQABgAIAAAAIQD4bFYVxQAAAN4AAAAP&#10;AAAAAAAAAAAAAAAAAAcCAABkcnMvZG93bnJldi54bWxQSwUGAAAAAAMAAwC3AAAA+QIAAAAA&#10;" filled="f" stroked="f">
                  <v:textbox inset="0,0,0,0">
                    <w:txbxContent>
                      <w:p w14:paraId="207A7FDF" w14:textId="77777777" w:rsidR="00B32EF2" w:rsidRDefault="00000000">
                        <w:r>
                          <w:rPr>
                            <w:rFonts w:ascii="Arial" w:eastAsia="Arial" w:hAnsi="Arial" w:cs="Arial"/>
                            <w:sz w:val="18"/>
                          </w:rPr>
                          <w:t>pensate, salvo che le parti stesse abbiano diversamente convenuto nel pro</w:t>
                        </w:r>
                      </w:p>
                    </w:txbxContent>
                  </v:textbox>
                </v:rect>
                <v:rect id="Rectangle 19345" o:spid="_x0000_s4448" style="position:absolute;left:195;top:488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POOxQAAAN4AAAAPAAAAZHJzL2Rvd25yZXYueG1sRE9Na8JA&#10;EL0X+h+WKXirm7ZWYuoqxSLm4EVrweOQHZO02dklu5ror3eFgrd5vM+ZznvTiBO1vras4GWYgCAu&#10;rK65VLD7Xj6nIHxA1thYJgVn8jCfPT5MMdO24w2dtqEUMYR9hgqqEFwmpS8qMuiH1hFH7mBbgyHC&#10;tpS6xS6Gm0a+JslYGqw5NlToaFFR8bc9GgX7L3b5spPF4bJw6988bVbH3Y9Sg6f+8wNEoD7cxf/u&#10;XMf5k7fRO9zeiTfI2RUAAP//AwBQSwECLQAUAAYACAAAACEA2+H2y+4AAACFAQAAEwAAAAAAAAAA&#10;AAAAAAAAAAAAW0NvbnRlbnRfVHlwZXNdLnhtbFBLAQItABQABgAIAAAAIQBa9CxbvwAAABUBAAAL&#10;AAAAAAAAAAAAAAAAAB8BAABfcmVscy8ucmVsc1BLAQItABQABgAIAAAAIQCXIPOOxQAAAN4AAAAP&#10;AAAAAAAAAAAAAAAAAAcCAABkcnMvZG93bnJldi54bWxQSwUGAAAAAAMAAwC3AAAA+QIAAAAA&#10;" filled="f" stroked="f">
                  <v:textbox inset="0,0,0,0">
                    <w:txbxContent>
                      <w:p w14:paraId="0952AFE4" w14:textId="77777777" w:rsidR="00B32EF2" w:rsidRDefault="00000000">
                        <w:r>
                          <w:rPr>
                            <w:rFonts w:ascii="Arial" w:eastAsia="Arial" w:hAnsi="Arial" w:cs="Arial"/>
                            <w:sz w:val="18"/>
                          </w:rPr>
                          <w:t>-</w:t>
                        </w:r>
                      </w:p>
                    </w:txbxContent>
                  </v:textbox>
                </v:rect>
                <v:rect id="Rectangle 19346" o:spid="_x0000_s4449" style="position:absolute;left:19078;top:47633;width:208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m35xQAAAN4AAAAPAAAAZHJzL2Rvd25yZXYueG1sRE9La8JA&#10;EL4X+h+WKXirGx+Ija4iiphDL7UWehyyYxLNzi7Z1UR/vVsoeJuP7znzZWdqcaXGV5YVDPoJCOLc&#10;6ooLBYfv7fsUhA/IGmvLpOBGHpaL15c5ptq2/EXXfShEDGGfooIyBJdK6fOSDPq+dcSRO9rGYIiw&#10;KaRusI3hppbDJJlIgxXHhhIdrUvKz/uLUfC7YZdtW5kf72v3ecqm9e5y+FGq99atZiACdeEp/ndn&#10;Os7/GI0n8PdOvEEuHgAAAP//AwBQSwECLQAUAAYACAAAACEA2+H2y+4AAACFAQAAEwAAAAAAAAAA&#10;AAAAAAAAAAAAW0NvbnRlbnRfVHlwZXNdLnhtbFBLAQItABQABgAIAAAAIQBa9CxbvwAAABUBAAAL&#10;AAAAAAAAAAAAAAAAAB8BAABfcmVscy8ucmVsc1BLAQItABQABgAIAAAAIQBn8m35xQAAAN4AAAAP&#10;AAAAAAAAAAAAAAAAAAcCAABkcnMvZG93bnJldi54bWxQSwUGAAAAAAMAAwC3AAAA+QIAAAAA&#10;" filled="f" stroked="f">
                  <v:textbox inset="0,0,0,0">
                    <w:txbxContent>
                      <w:p w14:paraId="5C2C2649" w14:textId="77777777" w:rsidR="00B32EF2" w:rsidRDefault="00000000">
                        <w:r>
                          <w:rPr>
                            <w:rFonts w:ascii="Arial" w:eastAsia="Arial" w:hAnsi="Arial" w:cs="Arial"/>
                            <w:sz w:val="18"/>
                          </w:rPr>
                          <w:t>cesso verbale di conciliazione.</w:t>
                        </w:r>
                      </w:p>
                    </w:txbxContent>
                  </v:textbox>
                </v:rect>
                <v:rect id="Rectangle 201260" o:spid="_x0000_s4450" style="position:absolute;left:-13800;top:46400;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rGPxQAAAN8AAAAPAAAAZHJzL2Rvd25yZXYueG1sRI/NisIw&#10;FIX3A75DuIK7MbULkWoUUcQu3OgouLw017ba3IQm2urTTxYDszycP77FqjeNeFHra8sKJuMEBHFh&#10;dc2lgvPP7nsGwgdkjY1lUvAmD6vl4GuBmbYdH+l1CqWII+wzVFCF4DIpfVGRQT+2jjh6N9saDFG2&#10;pdQtdnHcNDJNkqk0WHN8qNDRpqLicXoaBdctu3zXyeL22bjDPZ81++f5otRo2K/nIAL14T/81861&#10;gjSZpNNIEHkiC8jlLwAAAP//AwBQSwECLQAUAAYACAAAACEA2+H2y+4AAACFAQAAEwAAAAAAAAAA&#10;AAAAAAAAAAAAW0NvbnRlbnRfVHlwZXNdLnhtbFBLAQItABQABgAIAAAAIQBa9CxbvwAAABUBAAAL&#10;AAAAAAAAAAAAAAAAAB8BAABfcmVscy8ucmVsc1BLAQItABQABgAIAAAAIQDHrrGPxQAAAN8AAAAP&#10;AAAAAAAAAAAAAAAAAAcCAABkcnMvZG93bnJldi54bWxQSwUGAAAAAAMAAwC3AAAA+QIAAAAA&#10;" filled="f" stroked="f">
                  <v:textbox inset="0,0,0,0">
                    <w:txbxContent>
                      <w:p w14:paraId="4D4FFDA0" w14:textId="77777777" w:rsidR="00B32EF2" w:rsidRDefault="00000000">
                        <w:r>
                          <w:rPr>
                            <w:rFonts w:ascii="Arial" w:eastAsia="Arial" w:hAnsi="Arial" w:cs="Arial"/>
                            <w:sz w:val="18"/>
                          </w:rPr>
                          <w:t xml:space="preserve">. Nella liquidazione delle spese si tiene altresì conto del rispetto dei principi </w:t>
                        </w:r>
                      </w:p>
                    </w:txbxContent>
                  </v:textbox>
                </v:rect>
                <v:rect id="Rectangle 201259" o:spid="_x0000_s4451" style="position:absolute;left:26112;top:46400;width:5309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KvyAAAAN8AAAAPAAAAZHJzL2Rvd25yZXYueG1sRI9Pa8JA&#10;FMTvhX6H5Qm96cZARVNXEYs0By/1D/T4yD6TaPbtkl1N6qd3C0KPw8z8hpkve9OIG7W+tqxgPEpA&#10;EBdW11wqOOw3wykIH5A1NpZJwS95WC5eX+aYadvxN912oRQRwj5DBVUILpPSFxUZ9CPriKN3sq3B&#10;EGVbSt1iF+GmkWmSTKTBmuNChY7WFRWX3dUo+Plkl286WZzua7c959Pm63o4KvU26FcfIAL14T/8&#10;bOdaQZqM0/cZ/P2JX0AuHgAAAP//AwBQSwECLQAUAAYACAAAACEA2+H2y+4AAACFAQAAEwAAAAAA&#10;AAAAAAAAAAAAAAAAW0NvbnRlbnRfVHlwZXNdLnhtbFBLAQItABQABgAIAAAAIQBa9CxbvwAAABUB&#10;AAALAAAAAAAAAAAAAAAAAB8BAABfcmVscy8ucmVsc1BLAQItABQABgAIAAAAIQCY+NKvyAAAAN8A&#10;AAAPAAAAAAAAAAAAAAAAAAcCAABkcnMvZG93bnJldi54bWxQSwUGAAAAAAMAAwC3AAAA/AIAAAAA&#10;" filled="f" stroked="f">
                  <v:textbox inset="0,0,0,0">
                    <w:txbxContent>
                      <w:p w14:paraId="7461170E" w14:textId="77777777" w:rsidR="00B32EF2" w:rsidRDefault="00000000">
                        <w:r>
                          <w:rPr>
                            <w:rFonts w:ascii="Arial" w:eastAsia="Arial" w:hAnsi="Arial" w:cs="Arial"/>
                            <w:sz w:val="18"/>
                          </w:rPr>
                          <w:t>9</w:t>
                        </w:r>
                      </w:p>
                    </w:txbxContent>
                  </v:textbox>
                </v:rect>
                <v:rect id="Rectangle 19348" o:spid="_x0000_s4452" style="position:absolute;left:11385;top:45166;width:285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VwQyAAAAN4AAAAPAAAAZHJzL2Rvd25yZXYueG1sRI9Lb8Iw&#10;EITvlfofrK3ErTh9qKIpBlVUiBy4lIfU4ypekrTx2ooNSfn17AGJ265mdubb6XxwrTpRFxvPBp7G&#10;GSji0tuGKwO77fJxAiomZIutZzLwTxHms/u7KebW9/xNp02qlIRwzNFAnVLItY5lTQ7j2Adi0Q6+&#10;c5hk7SptO+wl3LX6OcvetMOGpaHGQIuayr/N0Rn4+eJQLHtdHs6LsP4tJu3quNsbM3oYPj9AJRrS&#10;zXy9Lqzgv7+8Cq+8IzPo2QUAAP//AwBQSwECLQAUAAYACAAAACEA2+H2y+4AAACFAQAAEwAAAAAA&#10;AAAAAAAAAAAAAAAAW0NvbnRlbnRfVHlwZXNdLnhtbFBLAQItABQABgAIAAAAIQBa9CxbvwAAABUB&#10;AAALAAAAAAAAAAAAAAAAAB8BAABfcmVscy8ucmVsc1BLAQItABQABgAIAAAAIQB5IVwQyAAAAN4A&#10;AAAPAAAAAAAAAAAAAAAAAAcCAABkcnMvZG93bnJldi54bWxQSwUGAAAAAAMAAwC3AAAA/AIAAAAA&#10;" filled="f" stroked="f">
                  <v:textbox inset="0,0,0,0">
                    <w:txbxContent>
                      <w:p w14:paraId="6104F4B8" w14:textId="77777777" w:rsidR="00B32EF2" w:rsidRDefault="00000000">
                        <w:r>
                          <w:rPr>
                            <w:rFonts w:ascii="Arial" w:eastAsia="Arial" w:hAnsi="Arial" w:cs="Arial"/>
                            <w:sz w:val="18"/>
                          </w:rPr>
                          <w:t>di sinteticità e chiarezza degli atti di parte.</w:t>
                        </w:r>
                      </w:p>
                    </w:txbxContent>
                  </v:textbox>
                </v:rect>
                <v:shape id="Shape 207990" o:spid="_x0000_s4453" style="position:absolute;left:321;top:4731;width:39600;height:40265;visibility:visible;mso-wrap-style:square;v-text-anchor:top" coordsize="3960000,4026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Y6TxgAAAN8AAAAPAAAAZHJzL2Rvd25yZXYueG1sRI/NisIw&#10;FIX3wrxDuMJsiqbjQqfVKIODMCtBLQPurs21LTY3tYm2vr1ZCC4P549vsepNLe7Uusqygq9xDII4&#10;t7riQkF22Iy+QTiPrLG2TAoe5GC1/BgsMNW24x3d974QYYRdigpK75tUSpeXZNCNbUMcvLNtDfog&#10;20LqFrswbmo5ieOpNFhxeCixoXVJ+WV/MwrWjbkc++iaRSaR/6fuN7puH5FSn8P+Zw7CU+/f4Vf7&#10;TyuYxLMkCQSBJ7CAXD4BAAD//wMAUEsBAi0AFAAGAAgAAAAhANvh9svuAAAAhQEAABMAAAAAAAAA&#10;AAAAAAAAAAAAAFtDb250ZW50X1R5cGVzXS54bWxQSwECLQAUAAYACAAAACEAWvQsW78AAAAVAQAA&#10;CwAAAAAAAAAAAAAAAAAfAQAAX3JlbHMvLnJlbHNQSwECLQAUAAYACAAAACEAammOk8YAAADfAAAA&#10;DwAAAAAAAAAAAAAAAAAHAgAAZHJzL2Rvd25yZXYueG1sUEsFBgAAAAADAAMAtwAAAPoCAAAAAA==&#10;" path="m,l3960000,r,4026497l,4026497,,e" fillcolor="#c3c3c3" stroked="f" strokeweight="0">
                  <v:stroke miterlimit="83231f" joinstyle="miter"/>
                  <v:path arrowok="t" textboxrect="0,0,3960000,4026497"/>
                </v:shape>
                <v:rect id="Rectangle 19350" o:spid="_x0000_s4454" style="position:absolute;left:23290;top:42784;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sbLyAAAAN4AAAAPAAAAZHJzL2Rvd25yZXYueG1sRI9Pb8Iw&#10;DMXvk/YdIk/iNtJt2sQ6ApqYED1wGX+kHa3GtN0aJ2oC7fj0+IDEzZaf33u/6XxwrTpRFxvPBp7G&#10;GSji0tuGKwO77fJxAiomZIutZzLwTxHms/u7KebW9/xNp02qlJhwzNFAnVLItY5lTQ7j2AdiuR18&#10;5zDJ2lXadtiLuWv1c5a9aYcNS0KNgRY1lX+bozPw88WhWPa6PJwXYf1bTNrVcbc3ZvQwfH6ASjSk&#10;m/j6XVip//7yKgCCIzPo2QUAAP//AwBQSwECLQAUAAYACAAAACEA2+H2y+4AAACFAQAAEwAAAAAA&#10;AAAAAAAAAAAAAAAAW0NvbnRlbnRfVHlwZXNdLnhtbFBLAQItABQABgAIAAAAIQBa9CxbvwAAABUB&#10;AAALAAAAAAAAAAAAAAAAAB8BAABfcmVscy8ucmVsc1BLAQItABQABgAIAAAAIQACjsbLyAAAAN4A&#10;AAAPAAAAAAAAAAAAAAAAAAcCAABkcnMvZG93bnJldi54bWxQSwUGAAAAAAMAAwC3AAAA/AIAAAAA&#10;" filled="f" stroked="f">
                  <v:textbox inset="0,0,0,0">
                    <w:txbxContent>
                      <w:p w14:paraId="5C9A9C14" w14:textId="77777777" w:rsidR="00B32EF2" w:rsidRDefault="00000000">
                        <w:r>
                          <w:rPr>
                            <w:rFonts w:ascii="Arial" w:eastAsia="Arial" w:hAnsi="Arial" w:cs="Arial"/>
                            <w:b/>
                            <w:i/>
                            <w:sz w:val="18"/>
                          </w:rPr>
                          <w:t>NORME RICHIAMATE</w:t>
                        </w:r>
                      </w:p>
                    </w:txbxContent>
                  </v:textbox>
                </v:rect>
                <v:rect id="Rectangle 19351" o:spid="_x0000_s4455" style="position:absolute;left:10602;top:41551;width:285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mNQxQAAAN4AAAAPAAAAZHJzL2Rvd25yZXYueG1sRE9La8JA&#10;EL4X/A/LCN7qxkpFo6uIRZpDL/UBHofsmESzs0t2NWl/fbcgeJuP7zmLVWdqcafGV5YVjIYJCOLc&#10;6ooLBYf99nUKwgdkjbVlUvBDHlbL3ssCU21b/qb7LhQihrBPUUEZgkul9HlJBv3QOuLInW1jMETY&#10;FFI32MZwU8u3JJlIgxXHhhIdbUrKr7ubUXD6YJdtW5mffzfu65JN68/b4ajUoN+t5yACdeEpfrgz&#10;HefPxu8j+H8n3iCXfwAAAP//AwBQSwECLQAUAAYACAAAACEA2+H2y+4AAACFAQAAEwAAAAAAAAAA&#10;AAAAAAAAAAAAW0NvbnRlbnRfVHlwZXNdLnhtbFBLAQItABQABgAIAAAAIQBa9CxbvwAAABUBAAAL&#10;AAAAAAAAAAAAAAAAAB8BAABfcmVscy8ucmVsc1BLAQItABQABgAIAAAAIQBtwmNQxQAAAN4AAAAP&#10;AAAAAAAAAAAAAAAAAAcCAABkcnMvZG93bnJldi54bWxQSwUGAAAAAAMAAwC3AAAA+QIAAAAA&#10;" filled="f" stroked="f">
                  <v:textbox inset="0,0,0,0">
                    <w:txbxContent>
                      <w:p w14:paraId="092BC7E3" w14:textId="77777777" w:rsidR="00B32EF2" w:rsidRDefault="00000000">
                        <w:r>
                          <w:rPr>
                            <w:rFonts w:ascii="Arial" w:eastAsia="Arial" w:hAnsi="Arial" w:cs="Arial"/>
                            <w:i/>
                            <w:sz w:val="18"/>
                          </w:rPr>
                          <w:t xml:space="preserve">art. 96 c.p.c. “ Responsabilità aggravata.” </w:t>
                        </w:r>
                      </w:p>
                    </w:txbxContent>
                  </v:textbox>
                </v:rect>
                <v:rect id="Rectangle 201258" o:spid="_x0000_s4456" style="position:absolute;left:-12492;top:40318;width:5111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Hc0xAAAAN8AAAAPAAAAZHJzL2Rvd25yZXYueG1sRE/LisIw&#10;FN0P+A/hCu7G1MIMUo0iikwXs/EFLi/Nta02N6GJts7Xm8WAy8N5z5e9acSDWl9bVjAZJyCIC6tr&#10;LhUcD9vPKQgfkDU2lknBkzwsF4OPOWbadryjxz6UIoawz1BBFYLLpPRFRQb92DriyF1sazBE2JZS&#10;t9jFcNPINEm+pcGaY0OFjtYVFbf93Sg4b9jl204Wl7+1+73m0+bnfjwpNRr2qxmIQH14i//duVaQ&#10;JpP0Kw6Of+IXkIsXAAAA//8DAFBLAQItABQABgAIAAAAIQDb4fbL7gAAAIUBAAATAAAAAAAAAAAA&#10;AAAAAAAAAABbQ29udGVudF9UeXBlc10ueG1sUEsBAi0AFAAGAAgAAAAhAFr0LFu/AAAAFQEAAAsA&#10;AAAAAAAAAAAAAAAAHwEAAF9yZWxzLy5yZWxzUEsBAi0AFAAGAAgAAAAhAPe0dzTEAAAA3wAAAA8A&#10;AAAAAAAAAAAAAAAABwIAAGRycy9kb3ducmV2LnhtbFBLBQYAAAAAAwADALcAAAD4AgAAAAA=&#10;" filled="f" stroked="f">
                  <v:textbox inset="0,0,0,0">
                    <w:txbxContent>
                      <w:p w14:paraId="6B8BE777" w14:textId="77777777" w:rsidR="00B32EF2" w:rsidRDefault="00000000">
                        <w:r>
                          <w:rPr>
                            <w:rFonts w:ascii="Arial" w:eastAsia="Arial" w:hAnsi="Arial" w:cs="Arial"/>
                            <w:i/>
                            <w:sz w:val="18"/>
                          </w:rPr>
                          <w:t xml:space="preserve">. Se risulta che la parte soccombente ha agito o resistito in giudizio con </w:t>
                        </w:r>
                      </w:p>
                    </w:txbxContent>
                  </v:textbox>
                </v:rect>
                <v:rect id="Rectangle 201257" o:spid="_x0000_s4457" style="position:absolute;left:25819;top:40318;width:5111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GyAAAAN8AAAAPAAAAZHJzL2Rvd25yZXYueG1sRI9Pa8JA&#10;FMTvgt9heYI33RioldRVRJHm0Ev9Az0+ss8kbfbtkl1N7Kd3CwWPw8z8hlmue9OIG7W+tqxgNk1A&#10;EBdW11wqOB33kwUIH5A1NpZJwZ08rFfDwRIzbTv+pNshlCJC2GeooArBZVL6oiKDfmodcfQutjUY&#10;omxLqVvsItw0Mk2SuTRYc1yo0NG2ouLncDUKvnbs8n0ni8vv1n1854vm/Xo6KzUe9Zs3EIH68Az/&#10;t3OtIE1m6csr/P2JX0CuHgAAAP//AwBQSwECLQAUAAYACAAAACEA2+H2y+4AAACFAQAAEwAAAAAA&#10;AAAAAAAAAAAAAAAAW0NvbnRlbnRfVHlwZXNdLnhtbFBLAQItABQABgAIAAAAIQBa9CxbvwAAABUB&#10;AAALAAAAAAAAAAAAAAAAAB8BAABfcmVscy8ucmVsc1BLAQItABQABgAIAAAAIQCGK+NGyAAAAN8A&#10;AAAPAAAAAAAAAAAAAAAAAAcCAABkcnMvZG93bnJldi54bWxQSwUGAAAAAAMAAwC3AAAA/AIAAAAA&#10;" filled="f" stroked="f">
                  <v:textbox inset="0,0,0,0">
                    <w:txbxContent>
                      <w:p w14:paraId="1C0D372D" w14:textId="77777777" w:rsidR="00B32EF2" w:rsidRDefault="00000000">
                        <w:r>
                          <w:rPr>
                            <w:rFonts w:ascii="Arial" w:eastAsia="Arial" w:hAnsi="Arial" w:cs="Arial"/>
                            <w:i/>
                            <w:sz w:val="18"/>
                          </w:rPr>
                          <w:t>1</w:t>
                        </w:r>
                      </w:p>
                    </w:txbxContent>
                  </v:textbox>
                </v:rect>
                <v:rect id="Rectangle 19353" o:spid="_x0000_s4458" style="position:absolute;left:-11870;top:39084;width:510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Fi8xQAAAN4AAAAPAAAAZHJzL2Rvd25yZXYueG1sRE9Na8JA&#10;EL0L/Q/LFLzpRqXFRlcRRczBS62FHofsmESzs0t2NbG/3i0UvM3jfc582Zla3KjxlWUFo2ECgji3&#10;uuJCwfFrO5iC8AFZY22ZFNzJw3Lx0ptjqm3Ln3Q7hELEEPYpKihDcKmUPi/JoB9aRxy5k20Mhgib&#10;QuoG2xhuajlOkndpsOLYUKKjdUn55XA1Cn427LJtK/PT79rtz9m03l2P30r1X7vVDESgLjzF/+5M&#10;x/kfk7cJ/L0Tb5CLBwAAAP//AwBQSwECLQAUAAYACAAAACEA2+H2y+4AAACFAQAAEwAAAAAAAAAA&#10;AAAAAAAAAAAAW0NvbnRlbnRfVHlwZXNdLnhtbFBLAQItABQABgAIAAAAIQBa9CxbvwAAABUBAAAL&#10;AAAAAAAAAAAAAAAAAB8BAABfcmVscy8ucmVsc1BLAQItABQABgAIAAAAIQDyXFi8xQAAAN4AAAAP&#10;AAAAAAAAAAAAAAAAAAcCAABkcnMvZG93bnJldi54bWxQSwUGAAAAAAMAAwC3AAAA+QIAAAAA&#10;" filled="f" stroked="f">
                  <v:textbox inset="0,0,0,0">
                    <w:txbxContent>
                      <w:p w14:paraId="294D7AAA" w14:textId="77777777" w:rsidR="00B32EF2" w:rsidRDefault="00000000">
                        <w:r>
                          <w:rPr>
                            <w:rFonts w:ascii="Arial" w:eastAsia="Arial" w:hAnsi="Arial" w:cs="Arial"/>
                            <w:i/>
                            <w:sz w:val="18"/>
                          </w:rPr>
                          <w:t xml:space="preserve">mala fede o colpa grave, il giudice, su istanza dell’altra parte, la condanna, </w:t>
                        </w:r>
                      </w:p>
                    </w:txbxContent>
                  </v:textbox>
                </v:rect>
                <v:rect id="Rectangle 19354" o:spid="_x0000_s4459" style="position:absolute;left:-11869;top:37851;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cDIxQAAAN4AAAAPAAAAZHJzL2Rvd25yZXYueG1sRE9Na8JA&#10;EL0X+h+WKXirm7ZWYuoqxSLm4EVrweOQHZO02dklu5ror3eFgrd5vM+ZznvTiBO1vras4GWYgCAu&#10;rK65VLD7Xj6nIHxA1thYJgVn8jCfPT5MMdO24w2dtqEUMYR9hgqqEFwmpS8qMuiH1hFH7mBbgyHC&#10;tpS6xS6Gm0a+JslYGqw5NlToaFFR8bc9GgX7L3b5spPF4bJw6988bVbH3Y9Sg6f+8wNEoD7cxf/u&#10;XMf5k7f3EdzeiTfI2RUAAP//AwBQSwECLQAUAAYACAAAACEA2+H2y+4AAACFAQAAEwAAAAAAAAAA&#10;AAAAAAAAAAAAW0NvbnRlbnRfVHlwZXNdLnhtbFBLAQItABQABgAIAAAAIQBa9CxbvwAAABUBAAAL&#10;AAAAAAAAAAAAAAAAAB8BAABfcmVscy8ucmVsc1BLAQItABQABgAIAAAAIQB9tcDIxQAAAN4AAAAP&#10;AAAAAAAAAAAAAAAAAAcCAABkcnMvZG93bnJldi54bWxQSwUGAAAAAAMAAwC3AAAA+QIAAAAA&#10;" filled="f" stroked="f">
                  <v:textbox inset="0,0,0,0">
                    <w:txbxContent>
                      <w:p w14:paraId="4DC78195" w14:textId="77777777" w:rsidR="00B32EF2" w:rsidRDefault="00000000">
                        <w:r>
                          <w:rPr>
                            <w:rFonts w:ascii="Arial" w:eastAsia="Arial" w:hAnsi="Arial" w:cs="Arial"/>
                            <w:i/>
                            <w:sz w:val="18"/>
                          </w:rPr>
                          <w:t xml:space="preserve">oltre che alle spese, al risarcimento dei danni, che liquida, anche d’ufficio, </w:t>
                        </w:r>
                      </w:p>
                    </w:txbxContent>
                  </v:textbox>
                </v:rect>
                <v:rect id="Rectangle 19355" o:spid="_x0000_s4460" style="position:absolute;left:28865;top:36618;width:102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VTxQAAAN4AAAAPAAAAZHJzL2Rvd25yZXYueG1sRE9Na8JA&#10;EL0X+h+WKXirGxWLja4iipiDl1oLPQ7ZMYlmZ5fsaqK/3i0UvM3jfc5s0ZlaXKnxlWUFg34Cgji3&#10;uuJCweF78z4B4QOyxtoyKbiRh8X89WWGqbYtf9F1HwoRQ9inqKAMwaVS+rwkg75vHXHkjrYxGCJs&#10;CqkbbGO4qeUwST6kwYpjQ4mOViXl5/3FKPhds8s2rcyP95XbnbJJvb0cfpTqvXXLKYhAXXiK/92Z&#10;jvM/R+Mx/L0Tb5DzBwAAAP//AwBQSwECLQAUAAYACAAAACEA2+H2y+4AAACFAQAAEwAAAAAAAAAA&#10;AAAAAAAAAAAAW0NvbnRlbnRfVHlwZXNdLnhtbFBLAQItABQABgAIAAAAIQBa9CxbvwAAABUBAAAL&#10;AAAAAAAAAAAAAAAAAB8BAABfcmVscy8ucmVsc1BLAQItABQABgAIAAAAIQAS+WVTxQAAAN4AAAAP&#10;AAAAAAAAAAAAAAAAAAcCAABkcnMvZG93bnJldi54bWxQSwUGAAAAAAMAAwC3AAAA+QIAAAAA&#10;" filled="f" stroked="f">
                  <v:textbox inset="0,0,0,0">
                    <w:txbxContent>
                      <w:p w14:paraId="4CBC046B" w14:textId="77777777" w:rsidR="00B32EF2" w:rsidRDefault="00000000">
                        <w:r>
                          <w:rPr>
                            <w:rFonts w:ascii="Arial" w:eastAsia="Arial" w:hAnsi="Arial" w:cs="Arial"/>
                            <w:i/>
                            <w:sz w:val="18"/>
                          </w:rPr>
                          <w:t>nella sentenza.</w:t>
                        </w:r>
                      </w:p>
                    </w:txbxContent>
                  </v:textbox>
                </v:rect>
                <v:rect id="Rectangle 201255" o:spid="_x0000_s4461" style="position:absolute;left:25837;top:35384;width:51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diqyAAAAN8AAAAPAAAAZHJzL2Rvd25yZXYueG1sRI9La8Mw&#10;EITvhfwHsYXeGjmGlOBEDiUh1IdemgfkuFjrR2uthKXEbn59VCjkOMzMN8xqPZpOXKn3rWUFs2kC&#10;gri0uuVawfGwe12A8AFZY2eZFPySh3U+eVphpu3AX3Tdh1pECPsMFTQhuExKXzZk0E+tI45eZXuD&#10;Icq+lrrHIcJNJ9MkeZMGW44LDTraNFT+7C9GwXnLrtgNsqxuG/f5XSy6j8vxpNTL8/i+BBFoDI/w&#10;f7vQCtJkls7n8PcnfgGZ3wEAAP//AwBQSwECLQAUAAYACAAAACEA2+H2y+4AAACFAQAAEwAAAAAA&#10;AAAAAAAAAAAAAAAAW0NvbnRlbnRfVHlwZXNdLnhtbFBLAQItABQABgAIAAAAIQBa9CxbvwAAABUB&#10;AAALAAAAAAAAAAAAAAAAAB8BAABfcmVscy8ucmVsc1BLAQItABQABgAIAAAAIQAZtdiqyAAAAN8A&#10;AAAPAAAAAAAAAAAAAAAAAAcCAABkcnMvZG93bnJldi54bWxQSwUGAAAAAAMAAwC3AAAA/AIAAAAA&#10;" filled="f" stroked="f">
                  <v:textbox inset="0,0,0,0">
                    <w:txbxContent>
                      <w:p w14:paraId="486959ED" w14:textId="77777777" w:rsidR="00B32EF2" w:rsidRDefault="00000000">
                        <w:r>
                          <w:rPr>
                            <w:rFonts w:ascii="Arial" w:eastAsia="Arial" w:hAnsi="Arial" w:cs="Arial"/>
                            <w:i/>
                            <w:sz w:val="18"/>
                          </w:rPr>
                          <w:t>2</w:t>
                        </w:r>
                      </w:p>
                    </w:txbxContent>
                  </v:textbox>
                </v:rect>
                <v:rect id="Rectangle 201256" o:spid="_x0000_s4462" style="position:absolute;left:-12525;top:35384;width:510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0bdyAAAAN8AAAAPAAAAZHJzL2Rvd25yZXYueG1sRI9Pa8JA&#10;FMTvBb/D8oTe6sZARaIbEUWaQy+1Ch4f2Zc/mn27ZFeT9tN3C4Ueh5n5DbPejKYTD+p9a1nBfJaA&#10;IC6tbrlWcPo8vCxB+ICssbNMCr7IwyafPK0x03bgD3ocQy0ihH2GCpoQXCalLxsy6GfWEUevsr3B&#10;EGVfS93jEOGmk2mSLKTBluNCg452DZW3490ouOzZFYdBltX3zr1fi2X3dj+dlXqejtsViEBj+A//&#10;tQutIE3m6esCfv/ELyDzHwAAAP//AwBQSwECLQAUAAYACAAAACEA2+H2y+4AAACFAQAAEwAAAAAA&#10;AAAAAAAAAAAAAAAAW0NvbnRlbnRfVHlwZXNdLnhtbFBLAQItABQABgAIAAAAIQBa9CxbvwAAABUB&#10;AAALAAAAAAAAAAAAAAAAAB8BAABfcmVscy8ucmVsc1BLAQItABQABgAIAAAAIQDpZ0bdyAAAAN8A&#10;AAAPAAAAAAAAAAAAAAAAAAcCAABkcnMvZG93bnJldi54bWxQSwUGAAAAAAMAAwC3AAAA/AIAAAAA&#10;" filled="f" stroked="f">
                  <v:textbox inset="0,0,0,0">
                    <w:txbxContent>
                      <w:p w14:paraId="346F16AB" w14:textId="77777777" w:rsidR="00B32EF2" w:rsidRDefault="00000000">
                        <w:r>
                          <w:rPr>
                            <w:rFonts w:ascii="Arial" w:eastAsia="Arial" w:hAnsi="Arial" w:cs="Arial"/>
                            <w:i/>
                            <w:sz w:val="18"/>
                          </w:rPr>
                          <w:t xml:space="preserve">. Il giudice che accerta l’inesistenza del diritto per cui è stato eseguito un </w:t>
                        </w:r>
                      </w:p>
                    </w:txbxContent>
                  </v:textbox>
                </v:rect>
                <v:rect id="Rectangle 19357" o:spid="_x0000_s4463" style="position:absolute;left:-11872;top:34151;width:510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16/xQAAAN4AAAAPAAAAZHJzL2Rvd25yZXYueG1sRE9Na8JA&#10;EL0X+h+WKXirm7ZYY+oqxSLm4EVrweOQHZO02dklu5ror3eFgrd5vM+ZznvTiBO1vras4GWYgCAu&#10;rK65VLD7Xj6nIHxA1thYJgVn8jCfPT5MMdO24w2dtqEUMYR9hgqqEFwmpS8qMuiH1hFH7mBbgyHC&#10;tpS6xS6Gm0a+Jsm7NFhzbKjQ0aKi4m97NAr2X+zyZSeLw2Xh1r952qyOux+lBk/95weIQH24i//d&#10;uY7zJ2+jMdzeiTfI2RUAAP//AwBQSwECLQAUAAYACAAAACEA2+H2y+4AAACFAQAAEwAAAAAAAAAA&#10;AAAAAAAAAAAAW0NvbnRlbnRfVHlwZXNdLnhtbFBLAQItABQABgAIAAAAIQBa9CxbvwAAABUBAAAL&#10;AAAAAAAAAAAAAAAAAB8BAABfcmVscy8ucmVsc1BLAQItABQABgAIAAAAIQCNZ16/xQAAAN4AAAAP&#10;AAAAAAAAAAAAAAAAAAcCAABkcnMvZG93bnJldi54bWxQSwUGAAAAAAMAAwC3AAAA+QIAAAAA&#10;" filled="f" stroked="f">
                  <v:textbox inset="0,0,0,0">
                    <w:txbxContent>
                      <w:p w14:paraId="441F867E" w14:textId="77777777" w:rsidR="00B32EF2" w:rsidRDefault="00000000">
                        <w:r>
                          <w:rPr>
                            <w:rFonts w:ascii="Arial" w:eastAsia="Arial" w:hAnsi="Arial" w:cs="Arial"/>
                            <w:i/>
                            <w:sz w:val="18"/>
                          </w:rPr>
                          <w:t xml:space="preserve">provvedimento cautelare, o trascritta domanda giudiziale, o iscritta ipoteca </w:t>
                        </w:r>
                      </w:p>
                    </w:txbxContent>
                  </v:textbox>
                </v:rect>
                <v:rect id="Rectangle 19358" o:spid="_x0000_s4464" style="position:absolute;left:-11871;top:32918;width:510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rNyAAAAN4AAAAPAAAAZHJzL2Rvd25yZXYueG1sRI9Pb8Iw&#10;DMXvk/YdIk/iNtJt2sQ6ApqYED1wGX+kHa3GtN0aJ2oC7fj0+IDEzdZ7fu/n6XxwrTpRFxvPBp7G&#10;GSji0tuGKwO77fJxAiomZIutZzLwTxHms/u7KebW9/xNp02qlIRwzNFAnVLItY5lTQ7j2Adi0Q6+&#10;c5hk7SptO+wl3LX6OcvetMOGpaHGQIuayr/N0Rn4+eJQLHtdHs6LsP4tJu3quNsbM3oYPj9AJRrS&#10;zXy9Lqzgv7+8Cq+8IzPo2QUAAP//AwBQSwECLQAUAAYACAAAACEA2+H2y+4AAACFAQAAEwAAAAAA&#10;AAAAAAAAAAAAAAAAW0NvbnRlbnRfVHlwZXNdLnhtbFBLAQItABQABgAIAAAAIQBa9CxbvwAAABUB&#10;AAALAAAAAAAAAAAAAAAAAB8BAABfcmVscy8ucmVsc1BLAQItABQABgAIAAAAIQD8+MrNyAAAAN4A&#10;AAAPAAAAAAAAAAAAAAAAAAcCAABkcnMvZG93bnJldi54bWxQSwUGAAAAAAMAAwC3AAAA/AIAAAAA&#10;" filled="f" stroked="f">
                  <v:textbox inset="0,0,0,0">
                    <w:txbxContent>
                      <w:p w14:paraId="65EDD6CB" w14:textId="77777777" w:rsidR="00B32EF2" w:rsidRDefault="00000000">
                        <w:r>
                          <w:rPr>
                            <w:rFonts w:ascii="Arial" w:eastAsia="Arial" w:hAnsi="Arial" w:cs="Arial"/>
                            <w:i/>
                            <w:sz w:val="18"/>
                          </w:rPr>
                          <w:t xml:space="preserve">giudiziale, oppure iniziata o compiuta l’esecuzione forzata, su istanza della </w:t>
                        </w:r>
                      </w:p>
                    </w:txbxContent>
                  </v:textbox>
                </v:rect>
                <v:rect id="Rectangle 19359" o:spid="_x0000_s4465" style="position:absolute;left:-11865;top:31684;width:510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G9WxQAAAN4AAAAPAAAAZHJzL2Rvd25yZXYueG1sRE9La8JA&#10;EL4X/A/LCN7qxkpFo6uIRZpDL/UBHofsmESzs0t2NWl/fbcgeJuP7zmLVWdqcafGV5YVjIYJCOLc&#10;6ooLBYf99nUKwgdkjbVlUvBDHlbL3ssCU21b/qb7LhQihrBPUUEZgkul9HlJBv3QOuLInW1jMETY&#10;FFI32MZwU8u3JJlIgxXHhhIdbUrKr7ubUXD6YJdtW5mffzfu65JN68/b4ajUoN+t5yACdeEpfrgz&#10;HefPxu8z+H8n3iCXfwAAAP//AwBQSwECLQAUAAYACAAAACEA2+H2y+4AAACFAQAAEwAAAAAAAAAA&#10;AAAAAAAAAAAAW0NvbnRlbnRfVHlwZXNdLnhtbFBLAQItABQABgAIAAAAIQBa9CxbvwAAABUBAAAL&#10;AAAAAAAAAAAAAAAAAB8BAABfcmVscy8ucmVsc1BLAQItABQABgAIAAAAIQCTtG9WxQAAAN4AAAAP&#10;AAAAAAAAAAAAAAAAAAcCAABkcnMvZG93bnJldi54bWxQSwUGAAAAAAMAAwC3AAAA+QIAAAAA&#10;" filled="f" stroked="f">
                  <v:textbox inset="0,0,0,0">
                    <w:txbxContent>
                      <w:p w14:paraId="33972C55" w14:textId="77777777" w:rsidR="00B32EF2" w:rsidRDefault="00000000">
                        <w:r>
                          <w:rPr>
                            <w:rFonts w:ascii="Arial" w:eastAsia="Arial" w:hAnsi="Arial" w:cs="Arial"/>
                            <w:i/>
                            <w:sz w:val="18"/>
                          </w:rPr>
                          <w:t xml:space="preserve">parte danneggiata condanna al risarcimento dei danni l’attore o il creditore </w:t>
                        </w:r>
                      </w:p>
                    </w:txbxContent>
                  </v:textbox>
                </v:rect>
                <v:rect id="Rectangle 19360" o:spid="_x0000_s4466" style="position:absolute;left:-11901;top:30451;width:511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gx2yAAAAN4AAAAPAAAAZHJzL2Rvd25yZXYueG1sRI9Pa8JA&#10;EMXvgt9hGaE33bQFsamrFIs0h178U+hxyI5J2uzskl1N2k/vHARvM8yb995vuR5cqy7UxcazgcdZ&#10;Boq49LbhysDxsJ0uQMWEbLH1TAb+KMJ6NR4tMbe+5x1d9qlSYsIxRwN1SiHXOpY1OYwzH4jldvKd&#10;wyRrV2nbYS/mrtVPWTbXDhuWhBoDbWoqf/dnZ+D7nUOx7XV5+t+Ez59i0X6cj1/GPEyGt1dQiYZ0&#10;F9++Cyv1X57nAiA4MoNeXQEAAP//AwBQSwECLQAUAAYACAAAACEA2+H2y+4AAACFAQAAEwAAAAAA&#10;AAAAAAAAAAAAAAAAW0NvbnRlbnRfVHlwZXNdLnhtbFBLAQItABQABgAIAAAAIQBa9CxbvwAAABUB&#10;AAALAAAAAAAAAAAAAAAAAB8BAABfcmVscy8ucmVsc1BLAQItABQABgAIAAAAIQDM4gx2yAAAAN4A&#10;AAAPAAAAAAAAAAAAAAAAAAcCAABkcnMvZG93bnJldi54bWxQSwUGAAAAAAMAAwC3AAAA/AIAAAAA&#10;" filled="f" stroked="f">
                  <v:textbox inset="0,0,0,0">
                    <w:txbxContent>
                      <w:p w14:paraId="2DB5133F" w14:textId="77777777" w:rsidR="00B32EF2" w:rsidRDefault="00000000">
                        <w:r>
                          <w:rPr>
                            <w:rFonts w:ascii="Arial" w:eastAsia="Arial" w:hAnsi="Arial" w:cs="Arial"/>
                            <w:i/>
                            <w:sz w:val="18"/>
                          </w:rPr>
                          <w:t xml:space="preserve">procedente, che ha agito senza la normale prudenza. La liquidazione dei </w:t>
                        </w:r>
                      </w:p>
                    </w:txbxContent>
                  </v:textbox>
                </v:rect>
                <v:rect id="Rectangle 19361" o:spid="_x0000_s4467" style="position:absolute;left:8162;top:29218;width:309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qntxAAAAN4AAAAPAAAAZHJzL2Rvd25yZXYueG1sRE9Li8Iw&#10;EL4L+x/CLHhbU1cQrUZZXGR78LI+wOPQjG21mYQm2uqvNwsL3ubje8582Zla3KjxlWUFw0ECgji3&#10;uuJCwX63/piA8AFZY22ZFNzJw3Lx1ptjqm3Lv3TbhkLEEPYpKihDcKmUPi/JoB9YRxy5k20Mhgib&#10;QuoG2xhuavmZJGNpsOLYUKKjVUn5ZXs1Co7f7LJ1K/PTY+U252xS/1z3B6X6793XDESgLrzE/+5M&#10;x/nT0XgIf+/EG+TiCQAA//8DAFBLAQItABQABgAIAAAAIQDb4fbL7gAAAIUBAAATAAAAAAAAAAAA&#10;AAAAAAAAAABbQ29udGVudF9UeXBlc10ueG1sUEsBAi0AFAAGAAgAAAAhAFr0LFu/AAAAFQEAAAsA&#10;AAAAAAAAAAAAAAAAHwEAAF9yZWxzLy5yZWxzUEsBAi0AFAAGAAgAAAAhAKOuqe3EAAAA3gAAAA8A&#10;AAAAAAAAAAAAAAAABwIAAGRycy9kb3ducmV2LnhtbFBLBQYAAAAAAwADALcAAAD4AgAAAAA=&#10;" filled="f" stroked="f">
                  <v:textbox inset="0,0,0,0">
                    <w:txbxContent>
                      <w:p w14:paraId="7D8ADF9B" w14:textId="77777777" w:rsidR="00B32EF2" w:rsidRDefault="00000000">
                        <w:r>
                          <w:rPr>
                            <w:rFonts w:ascii="Arial" w:eastAsia="Arial" w:hAnsi="Arial" w:cs="Arial"/>
                            <w:i/>
                            <w:sz w:val="18"/>
                          </w:rPr>
                          <w:t>danni è fatta a norma del comma precedente.</w:t>
                        </w:r>
                      </w:p>
                    </w:txbxContent>
                  </v:textbox>
                </v:rect>
                <v:rect id="Rectangle 201254" o:spid="_x0000_s4468" style="position:absolute;left:-12573;top:27985;width:5116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0xyAAAAN8AAAAPAAAAZHJzL2Rvd25yZXYueG1sRI9Pa8JA&#10;FMTvgt9heYI33RhqkdRVRJHm0Ev9Az0+ss8kbfbtkl1N7Kd3CwWPw8z8hlmue9OIG7W+tqxgNk1A&#10;EBdW11wqOB33kwUIH5A1NpZJwZ08rFfDwRIzbTv+pNshlCJC2GeooArBZVL6oiKDfmodcfQutjUY&#10;omxLqVvsItw0Mk2SV2mw5rhQoaNtRcXP4WoUfO3Y5ftOFpffrfv4zhfN+/V0Vmo86jdvIAL14Rn+&#10;b+daQZrM0vkL/P2JX0CuHgAAAP//AwBQSwECLQAUAAYACAAAACEA2+H2y+4AAACFAQAAEwAAAAAA&#10;AAAAAAAAAAAAAAAAW0NvbnRlbnRfVHlwZXNdLnhtbFBLAQItABQABgAIAAAAIQBa9CxbvwAAABUB&#10;AAALAAAAAAAAAAAAAAAAAB8BAABfcmVscy8ucmVsc1BLAQItABQABgAIAAAAIQB2+X0xyAAAAN8A&#10;AAAPAAAAAAAAAAAAAAAAAAcCAABkcnMvZG93bnJldi54bWxQSwUGAAAAAAMAAwC3AAAA/AIAAAAA&#10;" filled="f" stroked="f">
                  <v:textbox inset="0,0,0,0">
                    <w:txbxContent>
                      <w:p w14:paraId="4FDCAFFE" w14:textId="77777777" w:rsidR="00B32EF2" w:rsidRDefault="00000000">
                        <w:r>
                          <w:rPr>
                            <w:rFonts w:ascii="Arial" w:eastAsia="Arial" w:hAnsi="Arial" w:cs="Arial"/>
                            <w:i/>
                            <w:sz w:val="18"/>
                          </w:rPr>
                          <w:t xml:space="preserve">. In ogni caso, quando pronuncia sulle spese ai sensi dell’articolo 91, il </w:t>
                        </w:r>
                      </w:p>
                    </w:txbxContent>
                  </v:textbox>
                </v:rect>
                <v:rect id="Rectangle 201253" o:spid="_x0000_s4469" style="position:absolute;left:25807;top:27985;width:5116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VFyAAAAN8AAAAPAAAAZHJzL2Rvd25yZXYueG1sRI9Pa8JA&#10;FMTvgt9heYI33ZhikdRVRJHm0Ev9Az0+ss8kbfbtkl1N7Kd3CwWPw8z8hlmue9OIG7W+tqxgNk1A&#10;EBdW11wqOB33kwUIH5A1NpZJwZ08rFfDwRIzbTv+pNshlCJC2GeooArBZVL6oiKDfmodcfQutjUY&#10;omxLqVvsItw0Mk2SV2mw5rhQoaNtRcXP4WoUfO3Y5ftOFpffrfv4zhfN+/V0Vmo86jdvIAL14Rn+&#10;b+daQZrM0vkL/P2JX0CuHgAAAP//AwBQSwECLQAUAAYACAAAACEA2+H2y+4AAACFAQAAEwAAAAAA&#10;AAAAAAAAAAAAAAAAW0NvbnRlbnRfVHlwZXNdLnhtbFBLAQItABQABgAIAAAAIQBa9CxbvwAAABUB&#10;AAALAAAAAAAAAAAAAAAAAB8BAABfcmVscy8ucmVsc1BLAQItABQABgAIAAAAIQD5EOVFyAAAAN8A&#10;AAAPAAAAAAAAAAAAAAAAAAcCAABkcnMvZG93bnJldi54bWxQSwUGAAAAAAMAAwC3AAAA/AIAAAAA&#10;" filled="f" stroked="f">
                  <v:textbox inset="0,0,0,0">
                    <w:txbxContent>
                      <w:p w14:paraId="40A1923B" w14:textId="77777777" w:rsidR="00B32EF2" w:rsidRDefault="00000000">
                        <w:r>
                          <w:rPr>
                            <w:rFonts w:ascii="Arial" w:eastAsia="Arial" w:hAnsi="Arial" w:cs="Arial"/>
                            <w:i/>
                            <w:sz w:val="18"/>
                          </w:rPr>
                          <w:t>3</w:t>
                        </w:r>
                      </w:p>
                    </w:txbxContent>
                  </v:textbox>
                </v:rect>
                <v:rect id="Rectangle 19363" o:spid="_x0000_s4470" style="position:absolute;left:-11869;top:26751;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JIBxAAAAN4AAAAPAAAAZHJzL2Rvd25yZXYueG1sRE9Li8Iw&#10;EL4v+B/CCN7WdFcQrUZZXMQe9uILPA7N2FabSWiirf76jbCwt/n4njNfdqYWd2p8ZVnBxzABQZxb&#10;XXGh4LBfv09A+ICssbZMCh7kYbnovc0x1bblLd13oRAxhH2KCsoQXCqlz0sy6IfWEUfubBuDIcKm&#10;kLrBNoabWn4myVgarDg2lOhoVVJ+3d2MgtM3u2zdyvz8XLmfSzapN7fDUalBv/uagQjUhX/xnzvT&#10;cf50NB7B6514g1z8AgAA//8DAFBLAQItABQABgAIAAAAIQDb4fbL7gAAAIUBAAATAAAAAAAAAAAA&#10;AAAAAAAAAABbQ29udGVudF9UeXBlc10ueG1sUEsBAi0AFAAGAAgAAAAhAFr0LFu/AAAAFQEAAAsA&#10;AAAAAAAAAAAAAAAAHwEAAF9yZWxzLy5yZWxzUEsBAi0AFAAGAAgAAAAhADwwkgHEAAAA3gAAAA8A&#10;AAAAAAAAAAAAAAAABwIAAGRycy9kb3ducmV2LnhtbFBLBQYAAAAAAwADALcAAAD4AgAAAAA=&#10;" filled="f" stroked="f">
                  <v:textbox inset="0,0,0,0">
                    <w:txbxContent>
                      <w:p w14:paraId="1D9138E0" w14:textId="77777777" w:rsidR="00B32EF2" w:rsidRDefault="00000000">
                        <w:r>
                          <w:rPr>
                            <w:rFonts w:ascii="Arial" w:eastAsia="Arial" w:hAnsi="Arial" w:cs="Arial"/>
                            <w:i/>
                            <w:sz w:val="18"/>
                          </w:rPr>
                          <w:t xml:space="preserve">giudice, anche d’ufficio, può altresì condannare la parte soccombente al </w:t>
                        </w:r>
                      </w:p>
                    </w:txbxContent>
                  </v:textbox>
                </v:rect>
                <v:rect id="Rectangle 19364" o:spid="_x0000_s4471" style="position:absolute;left:-10890;top:25518;width:500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Qp1xQAAAN4AAAAPAAAAZHJzL2Rvd25yZXYueG1sRE9La8JA&#10;EL4X+h+WKXirGx+Ija4iiphDL7UWehyyYxLNzi7Z1UR/vVsoeJuP7znzZWdqcaXGV5YVDPoJCOLc&#10;6ooLBYfv7fsUhA/IGmvLpOBGHpaL15c5ptq2/EXXfShEDGGfooIyBJdK6fOSDPq+dcSRO9rGYIiw&#10;KaRusI3hppbDJJlIgxXHhhIdrUvKz/uLUfC7YZdtW5kf72v3ecqm9e5y+FGq99atZiACdeEp/ndn&#10;Os7/GE3G8PdOvEEuHgAAAP//AwBQSwECLQAUAAYACAAAACEA2+H2y+4AAACFAQAAEwAAAAAAAAAA&#10;AAAAAAAAAAAAW0NvbnRlbnRfVHlwZXNdLnhtbFBLAQItABQABgAIAAAAIQBa9CxbvwAAABUBAAAL&#10;AAAAAAAAAAAAAAAAAB8BAABfcmVscy8ucmVsc1BLAQItABQABgAIAAAAIQCz2Qp1xQAAAN4AAAAP&#10;AAAAAAAAAAAAAAAAAAcCAABkcnMvZG93bnJldi54bWxQSwUGAAAAAAMAAwC3AAAA+QIAAAAA&#10;" filled="f" stroked="f">
                  <v:textbox inset="0,0,0,0">
                    <w:txbxContent>
                      <w:p w14:paraId="0FBBB9FF" w14:textId="77777777" w:rsidR="00B32EF2" w:rsidRDefault="00000000">
                        <w:r>
                          <w:rPr>
                            <w:rFonts w:ascii="Arial" w:eastAsia="Arial" w:hAnsi="Arial" w:cs="Arial"/>
                            <w:i/>
                            <w:sz w:val="18"/>
                          </w:rPr>
                          <w:t>pagamento, a favore della controparte, di una somma equitativamente de</w:t>
                        </w:r>
                      </w:p>
                    </w:txbxContent>
                  </v:textbox>
                </v:rect>
                <v:rect id="Rectangle 19365" o:spid="_x0000_s4472" style="position:absolute;left:978;top:2551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a/uxQAAAN4AAAAPAAAAZHJzL2Rvd25yZXYueG1sRE9Na8JA&#10;EL0X+h+WKXirGxXFRlcRRcyhl1oLPQ7ZMYlmZ5fsaqK/3i0UvM3jfc582ZlaXKnxlWUFg34Cgji3&#10;uuJCweF7+z4F4QOyxtoyKbiRh+Xi9WWOqbYtf9F1HwoRQ9inqKAMwaVS+rwkg75vHXHkjrYxGCJs&#10;CqkbbGO4qeUwSSbSYMWxoURH65Ly8/5iFPxu2GXbVubH+9p9nrJpvbscfpTqvXWrGYhAXXiK/92Z&#10;jvM/RpMx/L0Tb5CLBwAAAP//AwBQSwECLQAUAAYACAAAACEA2+H2y+4AAACFAQAAEwAAAAAAAAAA&#10;AAAAAAAAAAAAW0NvbnRlbnRfVHlwZXNdLnhtbFBLAQItABQABgAIAAAAIQBa9CxbvwAAABUBAAAL&#10;AAAAAAAAAAAAAAAAAB8BAABfcmVscy8ucmVsc1BLAQItABQABgAIAAAAIQDcla/uxQAAAN4AAAAP&#10;AAAAAAAAAAAAAAAAAAcCAABkcnMvZG93bnJldi54bWxQSwUGAAAAAAMAAwC3AAAA+QIAAAAA&#10;" filled="f" stroked="f">
                  <v:textbox inset="0,0,0,0">
                    <w:txbxContent>
                      <w:p w14:paraId="07EBA32E" w14:textId="77777777" w:rsidR="00B32EF2" w:rsidRDefault="00000000">
                        <w:r>
                          <w:rPr>
                            <w:rFonts w:ascii="Arial" w:eastAsia="Arial" w:hAnsi="Arial" w:cs="Arial"/>
                            <w:i/>
                            <w:sz w:val="18"/>
                          </w:rPr>
                          <w:t>-</w:t>
                        </w:r>
                      </w:p>
                    </w:txbxContent>
                  </v:textbox>
                </v:rect>
                <v:rect id="Rectangle 19366" o:spid="_x0000_s4473" style="position:absolute;left:31888;top:24285;width:72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zGZxAAAAN4AAAAPAAAAZHJzL2Rvd25yZXYueG1sRE9Na8JA&#10;EL0X/A/LCN7qxgrBRlcRRZpDL7UKHofsmESzs0t2NdFf3y0UepvH+5zFqjeNuFPra8sKJuMEBHFh&#10;dc2lgsP37nUGwgdkjY1lUvAgD6vl4GWBmbYdf9F9H0oRQ9hnqKAKwWVS+qIig35sHXHkzrY1GCJs&#10;S6lb7GK4aeRbkqTSYM2xoUJHm4qK6/5mFJy27PJdJ4vzc+M+L/ms+bgdjkqNhv16DiJQH/7Ff+5c&#10;x/nv0zSF33fiDXL5AwAA//8DAFBLAQItABQABgAIAAAAIQDb4fbL7gAAAIUBAAATAAAAAAAAAAAA&#10;AAAAAAAAAABbQ29udGVudF9UeXBlc10ueG1sUEsBAi0AFAAGAAgAAAAhAFr0LFu/AAAAFQEAAAsA&#10;AAAAAAAAAAAAAAAAHwEAAF9yZWxzLy5yZWxzUEsBAi0AFAAGAAgAAAAhACxHMZnEAAAA3gAAAA8A&#10;AAAAAAAAAAAAAAAABwIAAGRycy9kb3ducmV2LnhtbFBLBQYAAAAAAwADALcAAAD4AgAAAAA=&#10;" filled="f" stroked="f">
                  <v:textbox inset="0,0,0,0">
                    <w:txbxContent>
                      <w:p w14:paraId="268C5111" w14:textId="77777777" w:rsidR="00B32EF2" w:rsidRDefault="00000000">
                        <w:r>
                          <w:rPr>
                            <w:rFonts w:ascii="Arial" w:eastAsia="Arial" w:hAnsi="Arial" w:cs="Arial"/>
                            <w:i/>
                            <w:sz w:val="18"/>
                          </w:rPr>
                          <w:t>terminata .</w:t>
                        </w:r>
                      </w:p>
                    </w:txbxContent>
                  </v:textbox>
                </v:rect>
                <v:rect id="Rectangle 201252" o:spid="_x0000_s4474" style="position:absolute;left:-12527;top:23051;width:510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DexwAAAN8AAAAPAAAAZHJzL2Rvd25yZXYueG1sRI9Ba8JA&#10;FITvgv9heYI33RiwSHQVUcQcvNRa6PGRfSbR7Nslu5rYX98tFHocZuYbZrXpTSOe1PrasoLZNAFB&#10;XFhdc6ng8nGYLED4gKyxsUwKXuRhsx4OVphp2/E7Pc+hFBHCPkMFVQguk9IXFRn0U+uIo3e1rcEQ&#10;ZVtK3WIX4aaRaZK8SYM1x4UKHe0qKu7nh1HwtWeXHzpZXL937nTLF83xcflUajzqt0sQgfrwH/5r&#10;51pBmszSeQq/f+IXkOsfAAAA//8DAFBLAQItABQABgAIAAAAIQDb4fbL7gAAAIUBAAATAAAAAAAA&#10;AAAAAAAAAAAAAABbQ29udGVudF9UeXBlc10ueG1sUEsBAi0AFAAGAAgAAAAhAFr0LFu/AAAAFQEA&#10;AAsAAAAAAAAAAAAAAAAAHwEAAF9yZWxzLy5yZWxzUEsBAi0AFAAGAAgAAAAhAJZcQN7HAAAA3wAA&#10;AA8AAAAAAAAAAAAAAAAABwIAAGRycy9kb3ducmV2LnhtbFBLBQYAAAAAAwADALcAAAD7AgAAAAA=&#10;" filled="f" stroked="f">
                  <v:textbox inset="0,0,0,0">
                    <w:txbxContent>
                      <w:p w14:paraId="029CDF52" w14:textId="77777777" w:rsidR="00B32EF2" w:rsidRDefault="00000000">
                        <w:r>
                          <w:rPr>
                            <w:rFonts w:ascii="Arial" w:eastAsia="Arial" w:hAnsi="Arial" w:cs="Arial"/>
                            <w:i/>
                            <w:sz w:val="18"/>
                          </w:rPr>
                          <w:t xml:space="preserve">. Nei casi previsti dal primo, secondo e terzo comma, il giudice condanna </w:t>
                        </w:r>
                      </w:p>
                    </w:txbxContent>
                  </v:textbox>
                </v:rect>
                <v:rect id="Rectangle 201251" o:spid="_x0000_s4475" style="position:absolute;left:25844;top:23051;width:510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t6pxwAAAN8AAAAPAAAAZHJzL2Rvd25yZXYueG1sRI9Ba8JA&#10;FITvQv/D8gredJOAIqmriCLm4EVrocdH9pmkZt8u2dXE/vpuodDjMDPfMMv1YFrxoM43lhWk0wQE&#10;cWl1w5WCy/t+sgDhA7LG1jIpeJKH9epltMRc255P9DiHSkQI+xwV1CG4XEpf1mTQT60jjt7VdgZD&#10;lF0ldYd9hJtWZkkylwYbjgs1OtrWVN7Od6Pgc8eu2PeyvH5v3fGrWLSH++VDqfHrsHkDEWgI/+G/&#10;dqEVZEmazVL4/RO/gFz9AAAA//8DAFBLAQItABQABgAIAAAAIQDb4fbL7gAAAIUBAAATAAAAAAAA&#10;AAAAAAAAAAAAAABbQ29udGVudF9UeXBlc10ueG1sUEsBAi0AFAAGAAgAAAAhAFr0LFu/AAAAFQEA&#10;AAsAAAAAAAAAAAAAAAAAHwEAAF9yZWxzLy5yZWxzUEsBAi0AFAAGAAgAAAAhAGaO3qnHAAAA3wAA&#10;AA8AAAAAAAAAAAAAAAAABwIAAGRycy9kb3ducmV2LnhtbFBLBQYAAAAAAwADALcAAAD7AgAAAAA=&#10;" filled="f" stroked="f">
                  <v:textbox inset="0,0,0,0">
                    <w:txbxContent>
                      <w:p w14:paraId="673685FF" w14:textId="77777777" w:rsidR="00B32EF2" w:rsidRDefault="00000000">
                        <w:r>
                          <w:rPr>
                            <w:rFonts w:ascii="Arial" w:eastAsia="Arial" w:hAnsi="Arial" w:cs="Arial"/>
                            <w:i/>
                            <w:sz w:val="18"/>
                          </w:rPr>
                          <w:t>4</w:t>
                        </w:r>
                      </w:p>
                    </w:txbxContent>
                  </v:textbox>
                </v:rect>
                <v:rect id="Rectangle 19368" o:spid="_x0000_s4476" style="position:absolute;left:-11876;top:21818;width:510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ABwyAAAAN4AAAAPAAAAZHJzL2Rvd25yZXYueG1sRI9Pa8JA&#10;EMXvgt9hGaE33bQFsamrFIs0h178U+hxyI5J2uzskl1N2k/vHARvM7w37/1muR5cqy7UxcazgcdZ&#10;Boq49LbhysDxsJ0uQMWEbLH1TAb+KMJ6NR4tMbe+5x1d9qlSEsIxRwN1SiHXOpY1OYwzH4hFO/nO&#10;YZK1q7TtsJdw1+qnLJtrhw1LQ42BNjWVv/uzM/D9zqHY9ro8/W/C50+xaD/Oxy9jHibD2yuoREO6&#10;m2/XhRX8l+e58Mo7MoNeXQEAAP//AwBQSwECLQAUAAYACAAAACEA2+H2y+4AAACFAQAAEwAAAAAA&#10;AAAAAAAAAAAAAAAAW0NvbnRlbnRfVHlwZXNdLnhtbFBLAQItABQABgAIAAAAIQBa9CxbvwAAABUB&#10;AAALAAAAAAAAAAAAAAAAAB8BAABfcmVscy8ucmVsc1BLAQItABQABgAIAAAAIQAylABwyAAAAN4A&#10;AAAPAAAAAAAAAAAAAAAAAAcCAABkcnMvZG93bnJldi54bWxQSwUGAAAAAAMAAwC3AAAA/AIAAAAA&#10;" filled="f" stroked="f">
                  <v:textbox inset="0,0,0,0">
                    <w:txbxContent>
                      <w:p w14:paraId="19780F8D" w14:textId="77777777" w:rsidR="00B32EF2" w:rsidRDefault="00000000">
                        <w:r>
                          <w:rPr>
                            <w:rFonts w:ascii="Arial" w:eastAsia="Arial" w:hAnsi="Arial" w:cs="Arial"/>
                            <w:i/>
                            <w:sz w:val="18"/>
                          </w:rPr>
                          <w:t xml:space="preserve">altresì la parte al pagamento, in favore della cassa delle ammende, di una </w:t>
                        </w:r>
                      </w:p>
                    </w:txbxContent>
                  </v:textbox>
                </v:rect>
                <v:rect id="Rectangle 19369" o:spid="_x0000_s4477" style="position:absolute;left:-11439;top:20585;width:505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KXrxAAAAN4AAAAPAAAAZHJzL2Rvd25yZXYueG1sRE9Ni8Iw&#10;EL0L/ocwgjdNdUG0axRRZHvwsq4Lexyasa02k9BEW/31m4UFb/N4n7Ncd6YWd2p8ZVnBZJyAIM6t&#10;rrhQcPraj+YgfEDWWFsmBQ/ysF71e0tMtW35k+7HUIgYwj5FBWUILpXS5yUZ9GPriCN3to3BEGFT&#10;SN1gG8NNLadJMpMGK44NJTralpRfjzej4GfHLtu3Mj8/t+5wyeb1x+30rdRw0G3eQQTqwkv87850&#10;nL94my3g7514g1z9AgAA//8DAFBLAQItABQABgAIAAAAIQDb4fbL7gAAAIUBAAATAAAAAAAAAAAA&#10;AAAAAAAAAABbQ29udGVudF9UeXBlc10ueG1sUEsBAi0AFAAGAAgAAAAhAFr0LFu/AAAAFQEAAAsA&#10;AAAAAAAAAAAAAAAAHwEAAF9yZWxzLy5yZWxzUEsBAi0AFAAGAAgAAAAhAF3YpevEAAAA3gAAAA8A&#10;AAAAAAAAAAAAAAAABwIAAGRycy9kb3ducmV2LnhtbFBLBQYAAAAAAwADALcAAAD4AgAAAAA=&#10;" filled="f" stroked="f">
                  <v:textbox inset="0,0,0,0">
                    <w:txbxContent>
                      <w:p w14:paraId="508B00D3" w14:textId="77777777" w:rsidR="00B32EF2" w:rsidRDefault="00000000">
                        <w:r>
                          <w:rPr>
                            <w:rFonts w:ascii="Arial" w:eastAsia="Arial" w:hAnsi="Arial" w:cs="Arial"/>
                            <w:i/>
                            <w:sz w:val="18"/>
                          </w:rPr>
                          <w:t>somma di denaro non inferiore ad euro 500 e non superiore ad euro 5.000.</w:t>
                        </w:r>
                      </w:p>
                    </w:txbxContent>
                  </v:textbox>
                </v:rect>
                <v:rect id="Rectangle 19370" o:spid="_x0000_s4478" style="position:absolute;left:-11859;top:19352;width:5096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5qryAAAAN4AAAAPAAAAZHJzL2Rvd25yZXYueG1sRI9Pb8Iw&#10;DMXvk/YdIk/iNtJt0sY6ApqYED1wGX+kHa3GtN0aJ2oC7fj0+IDEzZaf33u/6XxwrTpRFxvPBp7G&#10;GSji0tuGKwO77fJxAiomZIutZzLwTxHms/u7KebW9/xNp02qlJhwzNFAnVLItY5lTQ7j2AdiuR18&#10;5zDJ2lXadtiLuWv1c5a9aocNS0KNgRY1lX+bozPw88WhWPa6PJwXYf1bTNrVcbc3ZvQwfH6ASjSk&#10;m/j6XVip//7yJgCCIzPo2QUAAP//AwBQSwECLQAUAAYACAAAACEA2+H2y+4AAACFAQAAEwAAAAAA&#10;AAAAAAAAAAAAAAAAW0NvbnRlbnRfVHlwZXNdLnhtbFBLAQItABQABgAIAAAAIQBa9CxbvwAAABUB&#10;AAALAAAAAAAAAAAAAAAAAB8BAABfcmVscy8ucmVsc1BLAQItABQABgAIAAAAIQBJO5qryAAAAN4A&#10;AAAPAAAAAAAAAAAAAAAAAAcCAABkcnMvZG93bnJldi54bWxQSwUGAAAAAAMAAwC3AAAA/AIAAAAA&#10;" filled="f" stroked="f">
                  <v:textbox inset="0,0,0,0">
                    <w:txbxContent>
                      <w:p w14:paraId="73E08169" w14:textId="77777777" w:rsidR="00B32EF2" w:rsidRDefault="00000000">
                        <w:r>
                          <w:rPr>
                            <w:rFonts w:ascii="Arial" w:eastAsia="Arial" w:hAnsi="Arial" w:cs="Arial"/>
                            <w:i/>
                            <w:sz w:val="18"/>
                          </w:rPr>
                          <w:t xml:space="preserve">art. 53 D.lgs. 446/1997 “Albo per l’accertamento e riscossione delle entrate </w:t>
                        </w:r>
                      </w:p>
                    </w:txbxContent>
                  </v:textbox>
                </v:rect>
                <v:rect id="Rectangle 19371" o:spid="_x0000_s4479" style="position:absolute;left:28469;top:18118;width:106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z8wxQAAAN4AAAAPAAAAZHJzL2Rvd25yZXYueG1sRE9La8JA&#10;EL4X/A/LCN7qxgpVo6uIRZpDL/UBHofsmESzs0t2NWl/fbcgeJuP7zmLVWdqcafGV5YVjIYJCOLc&#10;6ooLBYf99nUKwgdkjbVlUvBDHlbL3ssCU21b/qb7LhQihrBPUUEZgkul9HlJBv3QOuLInW1jMETY&#10;FFI32MZwU8u3JHmXBiuODSU62pSUX3c3o+D0wS7btjI//27c1yWb1p+3w1GpQb9bz0EE6sJT/HBn&#10;Os6fjScj+H8n3iCXfwAAAP//AwBQSwECLQAUAAYACAAAACEA2+H2y+4AAACFAQAAEwAAAAAAAAAA&#10;AAAAAAAAAAAAW0NvbnRlbnRfVHlwZXNdLnhtbFBLAQItABQABgAIAAAAIQBa9CxbvwAAABUBAAAL&#10;AAAAAAAAAAAAAAAAAB8BAABfcmVscy8ucmVsc1BLAQItABQABgAIAAAAIQAmdz8wxQAAAN4AAAAP&#10;AAAAAAAAAAAAAAAAAAcCAABkcnMvZG93bnJldi54bWxQSwUGAAAAAAMAAwC3AAAA+QIAAAAA&#10;" filled="f" stroked="f">
                  <v:textbox inset="0,0,0,0">
                    <w:txbxContent>
                      <w:p w14:paraId="3267B7E8" w14:textId="77777777" w:rsidR="00B32EF2" w:rsidRDefault="00000000">
                        <w:r>
                          <w:rPr>
                            <w:rFonts w:ascii="Arial" w:eastAsia="Arial" w:hAnsi="Arial" w:cs="Arial"/>
                            <w:i/>
                            <w:sz w:val="18"/>
                          </w:rPr>
                          <w:t>degli enti locali”</w:t>
                        </w:r>
                      </w:p>
                    </w:txbxContent>
                  </v:textbox>
                </v:rect>
                <v:rect id="Rectangle 19372" o:spid="_x0000_s4480" style="position:absolute;left:23150;top:16885;width:159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aFHxQAAAN4AAAAPAAAAZHJzL2Rvd25yZXYueG1sRE9Na8JA&#10;EL0L/Q/LFLzpRoVqo6uIIs3BS62FHofsmESzs0t2NWl/vVsQvM3jfc5i1Zla3KjxlWUFo2ECgji3&#10;uuJCwfFrN5iB8AFZY22ZFPySh9XypbfAVNuWP+l2CIWIIexTVFCG4FIpfV6SQT+0jjhyJ9sYDBE2&#10;hdQNtjHc1HKcJG/SYMWxoURHm5Lyy+FqFPxs2WW7Vuanv43bn7NZ/XE9fivVf+3WcxCBuvAUP9yZ&#10;jvPfJ9Mx/L8Tb5DLOwAAAP//AwBQSwECLQAUAAYACAAAACEA2+H2y+4AAACFAQAAEwAAAAAAAAAA&#10;AAAAAAAAAAAAW0NvbnRlbnRfVHlwZXNdLnhtbFBLAQItABQABgAIAAAAIQBa9CxbvwAAABUBAAAL&#10;AAAAAAAAAAAAAAAAAB8BAABfcmVscy8ucmVsc1BLAQItABQABgAIAAAAIQDWpaFHxQAAAN4AAAAP&#10;AAAAAAAAAAAAAAAAAAcCAABkcnMvZG93bnJldi54bWxQSwUGAAAAAAMAAwC3AAAA+QIAAAAA&#10;" filled="f" stroked="f">
                  <v:textbox inset="0,0,0,0">
                    <w:txbxContent>
                      <w:p w14:paraId="3AA0B457" w14:textId="77777777" w:rsidR="00B32EF2" w:rsidRDefault="00000000">
                        <w:r>
                          <w:rPr>
                            <w:rFonts w:ascii="Arial" w:eastAsia="Arial" w:hAnsi="Arial" w:cs="Arial"/>
                            <w:b/>
                            <w:i/>
                            <w:sz w:val="18"/>
                          </w:rPr>
                          <w:t xml:space="preserve">NORME COLLEGATE </w:t>
                        </w:r>
                      </w:p>
                    </w:txbxContent>
                  </v:textbox>
                </v:rect>
                <v:rect id="Rectangle 19373" o:spid="_x0000_s4481" style="position:absolute;left:14334;top:15652;width:248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QTcxQAAAN4AAAAPAAAAZHJzL2Rvd25yZXYueG1sRE9Na8JA&#10;EL0L/Q/LFLzpRoXWRlcRRczBS62FHofsmESzs0t2NbG/3i0UvM3jfc582Zla3KjxlWUFo2ECgji3&#10;uuJCwfFrO5iC8AFZY22ZFNzJw3Lx0ptjqm3Ln3Q7hELEEPYpKihDcKmUPi/JoB9aRxy5k20Mhgib&#10;QuoG2xhuajlOkjdpsOLYUKKjdUn55XA1Cn427LJtK/PT79rtz9m03l2P30r1X7vVDESgLjzF/+5M&#10;x/kfk/cJ/L0Tb5CLBwAAAP//AwBQSwECLQAUAAYACAAAACEA2+H2y+4AAACFAQAAEwAAAAAAAAAA&#10;AAAAAAAAAAAAW0NvbnRlbnRfVHlwZXNdLnhtbFBLAQItABQABgAIAAAAIQBa9CxbvwAAABUBAAAL&#10;AAAAAAAAAAAAAAAAAB8BAABfcmVscy8ucmVsc1BLAQItABQABgAIAAAAIQC56QTcxQAAAN4AAAAP&#10;AAAAAAAAAAAAAAAAAAcCAABkcnMvZG93bnJldi54bWxQSwUGAAAAAAMAAwC3AAAA+QIAAAAA&#10;" filled="f" stroked="f">
                  <v:textbox inset="0,0,0,0">
                    <w:txbxContent>
                      <w:p w14:paraId="441D9407" w14:textId="77777777" w:rsidR="00B32EF2" w:rsidRDefault="00000000">
                        <w:r>
                          <w:rPr>
                            <w:rFonts w:ascii="Arial" w:eastAsia="Arial" w:hAnsi="Arial" w:cs="Arial"/>
                            <w:i/>
                            <w:sz w:val="18"/>
                          </w:rPr>
                          <w:t xml:space="preserve">art. 91 c.p.c. “Condanna alle spese” </w:t>
                        </w:r>
                      </w:p>
                    </w:txbxContent>
                  </v:textbox>
                </v:rect>
                <v:rect id="Rectangle 201248" o:spid="_x0000_s4482" style="position:absolute;left:25855;top:14418;width:509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HpxAAAAN8AAAAPAAAAZHJzL2Rvd25yZXYueG1sRE/LisIw&#10;FN0P+A/hCu7G1DIMUo0iikwXs/EFLi/Nta02N6GJts7Xm8WAy8N5z5e9acSDWl9bVjAZJyCIC6tr&#10;LhUcD9vPKQgfkDU2lknBkzwsF4OPOWbadryjxz6UIoawz1BBFYLLpPRFRQb92DriyF1sazBE2JZS&#10;t9jFcNPINEm+pcGaY0OFjtYVFbf93Sg4b9jl204Wl7+1+73m0+bnfjwpNRr2qxmIQH14i//duVaQ&#10;JpP0Kw6Of+IXkIsXAAAA//8DAFBLAQItABQABgAIAAAAIQDb4fbL7gAAAIUBAAATAAAAAAAAAAAA&#10;AAAAAAAAAABbQ29udGVudF9UeXBlc10ueG1sUEsBAi0AFAAGAAgAAAAhAFr0LFu/AAAAFQEAAAsA&#10;AAAAAAAAAAAAAAAAHwEAAF9yZWxzLy5yZWxzUEsBAi0AFAAGAAgAAAAhAHJt4enEAAAA3wAAAA8A&#10;AAAAAAAAAAAAAAAABwIAAGRycy9kb3ducmV2LnhtbFBLBQYAAAAAAwADALcAAAD4AgAAAAA=&#10;" filled="f" stroked="f">
                  <v:textbox inset="0,0,0,0">
                    <w:txbxContent>
                      <w:p w14:paraId="3A7BFDC9" w14:textId="77777777" w:rsidR="00B32EF2" w:rsidRDefault="00000000">
                        <w:r>
                          <w:rPr>
                            <w:rFonts w:ascii="Arial" w:eastAsia="Arial" w:hAnsi="Arial" w:cs="Arial"/>
                            <w:i/>
                            <w:sz w:val="18"/>
                          </w:rPr>
                          <w:t>1</w:t>
                        </w:r>
                      </w:p>
                    </w:txbxContent>
                  </v:textbox>
                </v:rect>
                <v:rect id="Rectangle 201250" o:spid="_x0000_s4483" style="position:absolute;left:-12456;top:14418;width:509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nsyxQAAAN8AAAAPAAAAZHJzL2Rvd25yZXYueG1sRI/LisIw&#10;FIb3A75DOIK7MbUwg1SjiCLTxWy8gctDc2yrzUlooq3z9GYx4PLnv/HNl71pxINaX1tWMBknIIgL&#10;q2suFRwP288pCB+QNTaWScGTPCwXg485Ztp2vKPHPpQijrDPUEEVgsuk9EVFBv3YOuLoXWxrMETZ&#10;llK32MVx08g0Sb6lwZrjQ4WO1hUVt/3dKDhv2OXbThaXv7X7vebT5ud+PCk1GvarGYhAfXiH/9u5&#10;VpAmk/QrEkSeyAJy8QIAAP//AwBQSwECLQAUAAYACAAAACEA2+H2y+4AAACFAQAAEwAAAAAAAAAA&#10;AAAAAAAAAAAAW0NvbnRlbnRfVHlwZXNdLnhtbFBLAQItABQABgAIAAAAIQBa9CxbvwAAABUBAAAL&#10;AAAAAAAAAAAAAAAAAB8BAABfcmVscy8ucmVsc1BLAQItABQABgAIAAAAIQAJwnsyxQAAAN8AAAAP&#10;AAAAAAAAAAAAAAAAAAcCAABkcnMvZG93bnJldi54bWxQSwUGAAAAAAMAAwC3AAAA+QIAAAAA&#10;" filled="f" stroked="f">
                  <v:textbox inset="0,0,0,0">
                    <w:txbxContent>
                      <w:p w14:paraId="12CAE5F3" w14:textId="77777777" w:rsidR="00B32EF2" w:rsidRDefault="00000000">
                        <w:r>
                          <w:rPr>
                            <w:rFonts w:ascii="Arial" w:eastAsia="Arial" w:hAnsi="Arial" w:cs="Arial"/>
                            <w:i/>
                            <w:sz w:val="18"/>
                          </w:rPr>
                          <w:t xml:space="preserve">. Il giudice, con la sentenza che chiude il processo davanti a lui, condanna </w:t>
                        </w:r>
                      </w:p>
                    </w:txbxContent>
                  </v:textbox>
                </v:rect>
                <v:rect id="Rectangle 19375" o:spid="_x0000_s4484" style="position:absolute;left:-11871;top:13185;width:510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DkzxQAAAN4AAAAPAAAAZHJzL2Rvd25yZXYueG1sRE9Na8JA&#10;EL0X+h+WKXirm7ZYY+oqxSLm4EVrweOQHZO02dklu5ror3eFgrd5vM+ZznvTiBO1vras4GWYgCAu&#10;rK65VLD7Xj6nIHxA1thYJgVn8jCfPT5MMdO24w2dtqEUMYR9hgqqEFwmpS8qMuiH1hFH7mBbgyHC&#10;tpS6xS6Gm0a+Jsm7NFhzbKjQ0aKi4m97NAr2X+zyZSeLw2Xh1r952qyOux+lBk/95weIQH24i//d&#10;uY7zJ2/jEdzeiTfI2RUAAP//AwBQSwECLQAUAAYACAAAACEA2+H2y+4AAACFAQAAEwAAAAAAAAAA&#10;AAAAAAAAAAAAW0NvbnRlbnRfVHlwZXNdLnhtbFBLAQItABQABgAIAAAAIQBa9CxbvwAAABUBAAAL&#10;AAAAAAAAAAAAAAAAAB8BAABfcmVscy8ucmVsc1BLAQItABQABgAIAAAAIQBZTDkzxQAAAN4AAAAP&#10;AAAAAAAAAAAAAAAAAAcCAABkcnMvZG93bnJldi54bWxQSwUGAAAAAAMAAwC3AAAA+QIAAAAA&#10;" filled="f" stroked="f">
                  <v:textbox inset="0,0,0,0">
                    <w:txbxContent>
                      <w:p w14:paraId="304615EA" w14:textId="77777777" w:rsidR="00B32EF2" w:rsidRDefault="00000000">
                        <w:r>
                          <w:rPr>
                            <w:rFonts w:ascii="Arial" w:eastAsia="Arial" w:hAnsi="Arial" w:cs="Arial"/>
                            <w:i/>
                            <w:sz w:val="18"/>
                          </w:rPr>
                          <w:t xml:space="preserve">la parte soccombente al rimborso delle spese a favore dell’altra parte e ne </w:t>
                        </w:r>
                      </w:p>
                    </w:txbxContent>
                  </v:textbox>
                </v:rect>
                <v:rect id="Rectangle 19376" o:spid="_x0000_s4485" style="position:absolute;left:-10906;top:11952;width:500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qdExQAAAN4AAAAPAAAAZHJzL2Rvd25yZXYueG1sRE9Na8JA&#10;EL0X+h+WKXirGxWsja4iipiDl1oLPQ7ZMYlmZ5fsaqK/3i0UvM3jfc5s0ZlaXKnxlWUFg34Cgji3&#10;uuJCweF78z4B4QOyxtoyKbiRh8X89WWGqbYtf9F1HwoRQ9inqKAMwaVS+rwkg75vHXHkjrYxGCJs&#10;CqkbbGO4qeUwScbSYMWxoURHq5Ly8/5iFPyu2WWbVubH+8rtTtmk3l4OP0r13rrlFESgLjzF/+5M&#10;x/mfo48x/L0Tb5DzBwAAAP//AwBQSwECLQAUAAYACAAAACEA2+H2y+4AAACFAQAAEwAAAAAAAAAA&#10;AAAAAAAAAAAAW0NvbnRlbnRfVHlwZXNdLnhtbFBLAQItABQABgAIAAAAIQBa9CxbvwAAABUBAAAL&#10;AAAAAAAAAAAAAAAAAB8BAABfcmVscy8ucmVsc1BLAQItABQABgAIAAAAIQCpnqdExQAAAN4AAAAP&#10;AAAAAAAAAAAAAAAAAAcCAABkcnMvZG93bnJldi54bWxQSwUGAAAAAAMAAwC3AAAA+QIAAAAA&#10;" filled="f" stroked="f">
                  <v:textbox inset="0,0,0,0">
                    <w:txbxContent>
                      <w:p w14:paraId="6318EC35" w14:textId="77777777" w:rsidR="00B32EF2" w:rsidRDefault="00000000">
                        <w:r>
                          <w:rPr>
                            <w:rFonts w:ascii="Arial" w:eastAsia="Arial" w:hAnsi="Arial" w:cs="Arial"/>
                            <w:i/>
                            <w:sz w:val="18"/>
                          </w:rPr>
                          <w:t>liquida l’ammontare insieme con gli onorari di difesa. Se accoglie la doman</w:t>
                        </w:r>
                      </w:p>
                    </w:txbxContent>
                  </v:textbox>
                </v:rect>
                <v:rect id="Rectangle 19377" o:spid="_x0000_s4486" style="position:absolute;left:978;top:1195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gLfxQAAAN4AAAAPAAAAZHJzL2Rvd25yZXYueG1sRE9Na8JA&#10;EL0X+h+WKXirGxXURlcRRcyhl1oLPQ7ZMYlmZ5fsaqK/3i0UvM3jfc582ZlaXKnxlWUFg34Cgji3&#10;uuJCweF7+z4F4QOyxtoyKbiRh+Xi9WWOqbYtf9F1HwoRQ9inqKAMwaVS+rwkg75vHXHkjrYxGCJs&#10;CqkbbGO4qeUwScbSYMWxoURH65Ly8/5iFPxu2GXbVubH+9p9nrJpvbscfpTqvXWrGYhAXXiK/92Z&#10;jvM/RpMJ/L0Tb5CLBwAAAP//AwBQSwECLQAUAAYACAAAACEA2+H2y+4AAACFAQAAEwAAAAAAAAAA&#10;AAAAAAAAAAAAW0NvbnRlbnRfVHlwZXNdLnhtbFBLAQItABQABgAIAAAAIQBa9CxbvwAAABUBAAAL&#10;AAAAAAAAAAAAAAAAAB8BAABfcmVscy8ucmVsc1BLAQItABQABgAIAAAAIQDG0gLfxQAAAN4AAAAP&#10;AAAAAAAAAAAAAAAAAAcCAABkcnMvZG93bnJldi54bWxQSwUGAAAAAAMAAwC3AAAA+QIAAAAA&#10;" filled="f" stroked="f">
                  <v:textbox inset="0,0,0,0">
                    <w:txbxContent>
                      <w:p w14:paraId="5302F911" w14:textId="77777777" w:rsidR="00B32EF2" w:rsidRDefault="00000000">
                        <w:r>
                          <w:rPr>
                            <w:rFonts w:ascii="Arial" w:eastAsia="Arial" w:hAnsi="Arial" w:cs="Arial"/>
                            <w:i/>
                            <w:sz w:val="18"/>
                          </w:rPr>
                          <w:t>-</w:t>
                        </w:r>
                      </w:p>
                    </w:txbxContent>
                  </v:textbox>
                </v:rect>
                <v:rect id="Rectangle 19378" o:spid="_x0000_s4487" style="position:absolute;left:-11862;top:10718;width:509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ZatyAAAAN4AAAAPAAAAZHJzL2Rvd25yZXYueG1sRI9Pb8Iw&#10;DMXvk/YdIk/iNtJt0sY6ApqYED1wGX+kHa3GtN0aJ2oC7fj0+IDEzdZ7fu/n6XxwrTpRFxvPBp7G&#10;GSji0tuGKwO77fJxAiomZIutZzLwTxHms/u7KebW9/xNp02qlIRwzNFAnVLItY5lTQ7j2Adi0Q6+&#10;c5hk7SptO+wl3LX6OctetcOGpaHGQIuayr/N0Rn4+eJQLHtdHs6LsP4tJu3quNsbM3oYPj9AJRrS&#10;zXy9Lqzgv7+8Ca+8IzPo2QUAAP//AwBQSwECLQAUAAYACAAAACEA2+H2y+4AAACFAQAAEwAAAAAA&#10;AAAAAAAAAAAAAAAAW0NvbnRlbnRfVHlwZXNdLnhtbFBLAQItABQABgAIAAAAIQBa9CxbvwAAABUB&#10;AAALAAAAAAAAAAAAAAAAAB8BAABfcmVscy8ucmVsc1BLAQItABQABgAIAAAAIQC3TZatyAAAAN4A&#10;AAAPAAAAAAAAAAAAAAAAAAcCAABkcnMvZG93bnJldi54bWxQSwUGAAAAAAMAAwC3AAAA/AIAAAAA&#10;" filled="f" stroked="f">
                  <v:textbox inset="0,0,0,0">
                    <w:txbxContent>
                      <w:p w14:paraId="619D3B79" w14:textId="77777777" w:rsidR="00B32EF2" w:rsidRDefault="00000000">
                        <w:r>
                          <w:rPr>
                            <w:rFonts w:ascii="Arial" w:eastAsia="Arial" w:hAnsi="Arial" w:cs="Arial"/>
                            <w:i/>
                            <w:sz w:val="18"/>
                          </w:rPr>
                          <w:t xml:space="preserve">da in misura non superiore all’eventuale proposta conciliativa, condanna la </w:t>
                        </w:r>
                      </w:p>
                    </w:txbxContent>
                  </v:textbox>
                </v:rect>
                <v:rect id="Rectangle 19379" o:spid="_x0000_s4488" style="position:absolute;left:-11869;top:9485;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TM2xQAAAN4AAAAPAAAAZHJzL2Rvd25yZXYueG1sRE9La8JA&#10;EL4X/A/LCN7qxgpVo6uIRZpDL/UBHofsmESzs0t2NWl/fbcgeJuP7zmLVWdqcafGV5YVjIYJCOLc&#10;6ooLBYf99nUKwgdkjbVlUvBDHlbL3ssCU21b/qb7LhQihrBPUUEZgkul9HlJBv3QOuLInW1jMETY&#10;FFI32MZwU8u3JHmXBiuODSU62pSUX3c3o+D0wS7btjI//27c1yWb1p+3w1GpQb9bz0EE6sJT/HBn&#10;Os6fjScz+H8n3iCXfwAAAP//AwBQSwECLQAUAAYACAAAACEA2+H2y+4AAACFAQAAEwAAAAAAAAAA&#10;AAAAAAAAAAAAW0NvbnRlbnRfVHlwZXNdLnhtbFBLAQItABQABgAIAAAAIQBa9CxbvwAAABUBAAAL&#10;AAAAAAAAAAAAAAAAAB8BAABfcmVscy8ucmVsc1BLAQItABQABgAIAAAAIQDYATM2xQAAAN4AAAAP&#10;AAAAAAAAAAAAAAAAAAcCAABkcnMvZG93bnJldi54bWxQSwUGAAAAAAMAAwC3AAAA+QIAAAAA&#10;" filled="f" stroked="f">
                  <v:textbox inset="0,0,0,0">
                    <w:txbxContent>
                      <w:p w14:paraId="4FBBE2BC" w14:textId="77777777" w:rsidR="00B32EF2" w:rsidRDefault="00000000">
                        <w:r>
                          <w:rPr>
                            <w:rFonts w:ascii="Arial" w:eastAsia="Arial" w:hAnsi="Arial" w:cs="Arial"/>
                            <w:i/>
                            <w:sz w:val="18"/>
                          </w:rPr>
                          <w:t xml:space="preserve">parte che ha rifiutato senza giustificato motivo la proposta al pagamento </w:t>
                        </w:r>
                      </w:p>
                    </w:txbxContent>
                  </v:textbox>
                </v:rect>
                <v:rect id="Rectangle 19380" o:spid="_x0000_s4489" style="position:absolute;left:-11918;top:8252;width:512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uqMyAAAAN4AAAAPAAAAZHJzL2Rvd25yZXYueG1sRI9Pa8Mw&#10;DMXvg30Ho8Fuq7MNRprVLaOjLIdd+mewo4jVJFssm9ht0n766lDoTUJP773fbDG6Th2pj61nA8+T&#10;DBRx5W3LtYHddvWUg4oJ2WLnmQycKMJifn83w8L6gdd03KRaiQnHAg00KYVC61g15DBOfCCW2973&#10;DpOsfa1tj4OYu06/ZNmbdtiyJDQYaNlQ9b85OAO/nxzK1aCr/XkZvv/KvPs67H6MeXwYP95BJRrT&#10;TXz9Lq3Un77mAiA4MoOeXwAAAP//AwBQSwECLQAUAAYACAAAACEA2+H2y+4AAACFAQAAEwAAAAAA&#10;AAAAAAAAAAAAAAAAW0NvbnRlbnRfVHlwZXNdLnhtbFBLAQItABQABgAIAAAAIQBa9CxbvwAAABUB&#10;AAALAAAAAAAAAAAAAAAAAB8BAABfcmVscy8ucmVsc1BLAQItABQABgAIAAAAIQB87uqMyAAAAN4A&#10;AAAPAAAAAAAAAAAAAAAAAAcCAABkcnMvZG93bnJldi54bWxQSwUGAAAAAAMAAwC3AAAA/AIAAAAA&#10;" filled="f" stroked="f">
                  <v:textbox inset="0,0,0,0">
                    <w:txbxContent>
                      <w:p w14:paraId="7D869888" w14:textId="77777777" w:rsidR="00B32EF2" w:rsidRDefault="00000000">
                        <w:r>
                          <w:rPr>
                            <w:rFonts w:ascii="Arial" w:eastAsia="Arial" w:hAnsi="Arial" w:cs="Arial"/>
                            <w:i/>
                            <w:sz w:val="18"/>
                          </w:rPr>
                          <w:t xml:space="preserve">delle spese del processo maturate dopo la formulazione della proposta, </w:t>
                        </w:r>
                      </w:p>
                    </w:txbxContent>
                  </v:textbox>
                </v:rect>
                <v:rect id="Rectangle 19381" o:spid="_x0000_s4490" style="position:absolute;left:-648;top:7019;width:3978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k8XxAAAAN4AAAAPAAAAZHJzL2Rvd25yZXYueG1sRE9Na8JA&#10;EL0X/A/LCN7qRgslja4iijQHL7UKHofsmESzs0t2NdFf3y0UepvH+5z5sjeNuFPra8sKJuMEBHFh&#10;dc2lgsP39jUF4QOyxsYyKXiQh+Vi8DLHTNuOv+i+D6WIIewzVFCF4DIpfVGRQT+2jjhyZ9saDBG2&#10;pdQtdjHcNHKaJO/SYM2xoUJH64qK6/5mFJw27PJtJ4vzc+12lzxtPm+Ho1KjYb+agQjUh3/xnzvX&#10;cf7HWzqB33fiDXLxAwAA//8DAFBLAQItABQABgAIAAAAIQDb4fbL7gAAAIUBAAATAAAAAAAAAAAA&#10;AAAAAAAAAABbQ29udGVudF9UeXBlc10ueG1sUEsBAi0AFAAGAAgAAAAhAFr0LFu/AAAAFQEAAAsA&#10;AAAAAAAAAAAAAAAAHwEAAF9yZWxzLy5yZWxzUEsBAi0AFAAGAAgAAAAhABOiTxfEAAAA3gAAAA8A&#10;AAAAAAAAAAAAAAAABwIAAGRycy9kb3ducmV2LnhtbFBLBQYAAAAAAwADALcAAAD4AgAAAAA=&#10;" filled="f" stroked="f">
                  <v:textbox inset="0,0,0,0">
                    <w:txbxContent>
                      <w:p w14:paraId="3E2B5775" w14:textId="77777777" w:rsidR="00B32EF2" w:rsidRDefault="00000000">
                        <w:r>
                          <w:rPr>
                            <w:rFonts w:ascii="Arial" w:eastAsia="Arial" w:hAnsi="Arial" w:cs="Arial"/>
                            <w:i/>
                            <w:sz w:val="18"/>
                          </w:rPr>
                          <w:t>salvo quanto disposto dal secondo comma dell’articolo 92.</w:t>
                        </w:r>
                      </w:p>
                    </w:txbxContent>
                  </v:textbox>
                </v:rect>
                <v:rect id="Rectangle 19382" o:spid="_x0000_s4491" style="position:absolute;left:-10905;top:5785;width:500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FgxQAAAN4AAAAPAAAAZHJzL2Rvd25yZXYueG1sRE9La8JA&#10;EL4X/A/LCN7qRgslRlcRRZpDL/UBHofsmESzs0t2NbG/vlso9DYf33MWq9404kGtry0rmIwTEMSF&#10;1TWXCo6H3WsKwgdkjY1lUvAkD6vl4GWBmbYdf9FjH0oRQ9hnqKAKwWVS+qIig35sHXHkLrY1GCJs&#10;S6lb7GK4aeQ0Sd6lwZpjQ4WONhUVt/3dKDhv2eW7ThaX7437vOZp83E/npQaDfv1HESgPvyL/9y5&#10;jvNnb+kUft+JN8jlDwAAAP//AwBQSwECLQAUAAYACAAAACEA2+H2y+4AAACFAQAAEwAAAAAAAAAA&#10;AAAAAAAAAAAAW0NvbnRlbnRfVHlwZXNdLnhtbFBLAQItABQABgAIAAAAIQBa9CxbvwAAABUBAAAL&#10;AAAAAAAAAAAAAAAAAB8BAABfcmVscy8ucmVsc1BLAQItABQABgAIAAAAIQDjcNFgxQAAAN4AAAAP&#10;AAAAAAAAAAAAAAAAAAcCAABkcnMvZG93bnJldi54bWxQSwUGAAAAAAMAAwC3AAAA+QIAAAAA&#10;" filled="f" stroked="f">
                  <v:textbox inset="0,0,0,0">
                    <w:txbxContent>
                      <w:p w14:paraId="2D03AC65" w14:textId="77777777" w:rsidR="00B32EF2" w:rsidRDefault="00000000">
                        <w:r>
                          <w:rPr>
                            <w:rFonts w:ascii="Arial" w:eastAsia="Arial" w:hAnsi="Arial" w:cs="Arial"/>
                            <w:i/>
                            <w:sz w:val="18"/>
                          </w:rPr>
                          <w:t xml:space="preserve"> 2. Le spese della sentenza sono liquidate dal cancelliere con nota in margi</w:t>
                        </w:r>
                      </w:p>
                    </w:txbxContent>
                  </v:textbox>
                </v:rect>
                <v:rect id="Rectangle 19383" o:spid="_x0000_s4492" style="position:absolute;left:978;top:578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HT7xAAAAN4AAAAPAAAAZHJzL2Rvd25yZXYueG1sRE9Na8JA&#10;EL0X/A/LCN7qxgolja4iijQHL7UKHofsmESzs0t2NdFf3y0UepvH+5z5sjeNuFPra8sKJuMEBHFh&#10;dc2lgsP39jUF4QOyxsYyKXiQh+Vi8DLHTNuOv+i+D6WIIewzVFCF4DIpfVGRQT+2jjhyZ9saDBG2&#10;pdQtdjHcNPItSd6lwZpjQ4WO1hUV1/3NKDht2OXbThbn59rtLnnafN4OR6VGw341AxGoD//iP3eu&#10;4/yPaTqF33fiDXLxAwAA//8DAFBLAQItABQABgAIAAAAIQDb4fbL7gAAAIUBAAATAAAAAAAAAAAA&#10;AAAAAAAAAABbQ29udGVudF9UeXBlc10ueG1sUEsBAi0AFAAGAAgAAAAhAFr0LFu/AAAAFQEAAAsA&#10;AAAAAAAAAAAAAAAAHwEAAF9yZWxzLy5yZWxzUEsBAi0AFAAGAAgAAAAhAIw8dPvEAAAA3gAAAA8A&#10;AAAAAAAAAAAAAAAABwIAAGRycy9kb3ducmV2LnhtbFBLBQYAAAAAAwADALcAAAD4AgAAAAA=&#10;" filled="f" stroked="f">
                  <v:textbox inset="0,0,0,0">
                    <w:txbxContent>
                      <w:p w14:paraId="7DB72965" w14:textId="77777777" w:rsidR="00B32EF2" w:rsidRDefault="00000000">
                        <w:r>
                          <w:rPr>
                            <w:rFonts w:ascii="Arial" w:eastAsia="Arial" w:hAnsi="Arial" w:cs="Arial"/>
                            <w:i/>
                            <w:sz w:val="18"/>
                          </w:rPr>
                          <w:t>-</w:t>
                        </w:r>
                      </w:p>
                    </w:txbxContent>
                  </v:textbox>
                </v:rect>
                <v:shape id="Shape 19384" o:spid="_x0000_s4493" style="position:absolute;left:321;top:4731;width:39600;height:40265;visibility:visible;mso-wrap-style:square;v-text-anchor:top" coordsize="3960000,4026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1DWxgAAAN4AAAAPAAAAZHJzL2Rvd25yZXYueG1sRE9Na8JA&#10;EL0X/A/LCL2UZqOWYqOrqLTFQymJKXodsmMSzM6G7Krx37uFQm/zeJ8zX/amERfqXG1ZwSiKQRAX&#10;VtdcKvjJP56nIJxH1thYJgU3crBcDB7mmGh75YwuO1+KEMIuQQWV920ipSsqMugi2xIH7mg7gz7A&#10;rpS6w2sIN40cx/GrNFhzaKiwpU1FxWl3NgomWXpY70luN+f3z/Tw/eTSXH8p9TjsVzMQnnr/L/5z&#10;b3WY/zaZvsDvO+EGubgDAAD//wMAUEsBAi0AFAAGAAgAAAAhANvh9svuAAAAhQEAABMAAAAAAAAA&#10;AAAAAAAAAAAAAFtDb250ZW50X1R5cGVzXS54bWxQSwECLQAUAAYACAAAACEAWvQsW78AAAAVAQAA&#10;CwAAAAAAAAAAAAAAAAAfAQAAX3JlbHMvLnJlbHNQSwECLQAUAAYACAAAACEAGkNQ1sYAAADeAAAA&#10;DwAAAAAAAAAAAAAAAAAHAgAAZHJzL2Rvd25yZXYueG1sUEsFBgAAAAADAAMAtwAAAPoCAAAAAA==&#10;" path="m,4026497r3960000,l3960000,,,,,4026497xe" filled="f" strokeweight="1pt">
                  <v:stroke miterlimit="1" joinstyle="miter"/>
                  <v:path arrowok="t" textboxrect="0,0,3960000,4026497"/>
                </v:shape>
                <w10:anchorlock/>
              </v:group>
            </w:pict>
          </mc:Fallback>
        </mc:AlternateContent>
      </w:r>
    </w:p>
    <w:p w14:paraId="7ADEFD26" w14:textId="77777777" w:rsidR="00B32EF2" w:rsidRDefault="00000000">
      <w:pPr>
        <w:spacing w:after="0"/>
        <w:ind w:left="-357" w:right="-306"/>
      </w:pPr>
      <w:r>
        <w:rPr>
          <w:noProof/>
        </w:rPr>
        <w:lastRenderedPageBreak/>
        <mc:AlternateContent>
          <mc:Choice Requires="wpg">
            <w:drawing>
              <wp:inline distT="0" distB="0" distL="0" distR="0" wp14:anchorId="29C44F21" wp14:editId="6B1C5B29">
                <wp:extent cx="3992396" cy="6269111"/>
                <wp:effectExtent l="0" t="0" r="0" b="0"/>
                <wp:docPr id="201448" name="Group 201448"/>
                <wp:cNvGraphicFramePr/>
                <a:graphic xmlns:a="http://schemas.openxmlformats.org/drawingml/2006/main">
                  <a:graphicData uri="http://schemas.microsoft.com/office/word/2010/wordprocessingGroup">
                    <wpg:wgp>
                      <wpg:cNvGrpSpPr/>
                      <wpg:grpSpPr>
                        <a:xfrm>
                          <a:off x="0" y="0"/>
                          <a:ext cx="3992396" cy="6269111"/>
                          <a:chOff x="0" y="0"/>
                          <a:chExt cx="3992396" cy="6269111"/>
                        </a:xfrm>
                      </wpg:grpSpPr>
                      <wps:wsp>
                        <wps:cNvPr id="19401" name="Rectangle 19401"/>
                        <wps:cNvSpPr/>
                        <wps:spPr>
                          <a:xfrm rot="-10799999">
                            <a:off x="1901082" y="-62190"/>
                            <a:ext cx="178369" cy="250646"/>
                          </a:xfrm>
                          <a:prstGeom prst="rect">
                            <a:avLst/>
                          </a:prstGeom>
                          <a:ln>
                            <a:noFill/>
                          </a:ln>
                        </wps:spPr>
                        <wps:txbx>
                          <w:txbxContent>
                            <w:p w14:paraId="242EF46F" w14:textId="77777777" w:rsidR="00B32EF2" w:rsidRDefault="00000000">
                              <w:r>
                                <w:rPr>
                                  <w:rFonts w:ascii="Times New Roman" w:eastAsia="Times New Roman" w:hAnsi="Times New Roman" w:cs="Times New Roman"/>
                                </w:rPr>
                                <w:t>53</w:t>
                              </w:r>
                            </w:p>
                          </w:txbxContent>
                        </wps:txbx>
                        <wps:bodyPr horzOverflow="overflow" vert="horz" lIns="0" tIns="0" rIns="0" bIns="0" rtlCol="0">
                          <a:noAutofit/>
                        </wps:bodyPr>
                      </wps:wsp>
                      <wps:wsp>
                        <wps:cNvPr id="19402" name="Rectangle 19402"/>
                        <wps:cNvSpPr/>
                        <wps:spPr>
                          <a:xfrm rot="-10799999">
                            <a:off x="1506751" y="3406292"/>
                            <a:ext cx="811447" cy="142889"/>
                          </a:xfrm>
                          <a:prstGeom prst="rect">
                            <a:avLst/>
                          </a:prstGeom>
                          <a:ln>
                            <a:noFill/>
                          </a:ln>
                        </wps:spPr>
                        <wps:txbx>
                          <w:txbxContent>
                            <w:p w14:paraId="70D463BA" w14:textId="77777777" w:rsidR="00B32EF2" w:rsidRDefault="00000000">
                              <w:r>
                                <w:rPr>
                                  <w:rFonts w:ascii="Arial" w:eastAsia="Arial" w:hAnsi="Arial" w:cs="Arial"/>
                                  <w:b/>
                                  <w:sz w:val="18"/>
                                </w:rPr>
                                <w:t>Articolo 59</w:t>
                              </w:r>
                            </w:p>
                          </w:txbxContent>
                        </wps:txbx>
                        <wps:bodyPr horzOverflow="overflow" vert="horz" lIns="0" tIns="0" rIns="0" bIns="0" rtlCol="0">
                          <a:noAutofit/>
                        </wps:bodyPr>
                      </wps:wsp>
                      <wps:wsp>
                        <wps:cNvPr id="201388" name="Rectangle 201388"/>
                        <wps:cNvSpPr/>
                        <wps:spPr>
                          <a:xfrm rot="-10799999">
                            <a:off x="2221784" y="3282963"/>
                            <a:ext cx="1935947" cy="142889"/>
                          </a:xfrm>
                          <a:prstGeom prst="rect">
                            <a:avLst/>
                          </a:prstGeom>
                          <a:ln>
                            <a:noFill/>
                          </a:ln>
                        </wps:spPr>
                        <wps:txbx>
                          <w:txbxContent>
                            <w:p w14:paraId="4672AFA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389" name="Rectangle 201389"/>
                        <wps:cNvSpPr/>
                        <wps:spPr>
                          <a:xfrm rot="-10799999">
                            <a:off x="-252992" y="3282962"/>
                            <a:ext cx="1935947" cy="142889"/>
                          </a:xfrm>
                          <a:prstGeom prst="rect">
                            <a:avLst/>
                          </a:prstGeom>
                          <a:ln>
                            <a:noFill/>
                          </a:ln>
                        </wps:spPr>
                        <wps:txbx>
                          <w:txbxContent>
                            <w:p w14:paraId="36A895D9"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390" name="Rectangle 201390"/>
                        <wps:cNvSpPr/>
                        <wps:spPr>
                          <a:xfrm rot="-10799999">
                            <a:off x="1167447" y="3282963"/>
                            <a:ext cx="1935947" cy="142889"/>
                          </a:xfrm>
                          <a:prstGeom prst="rect">
                            <a:avLst/>
                          </a:prstGeom>
                          <a:ln>
                            <a:noFill/>
                          </a:ln>
                        </wps:spPr>
                        <wps:txbx>
                          <w:txbxContent>
                            <w:p w14:paraId="3F55F94A" w14:textId="77777777" w:rsidR="00B32EF2" w:rsidRDefault="00000000">
                              <w:r>
                                <w:rPr>
                                  <w:rFonts w:ascii="Arial" w:eastAsia="Arial" w:hAnsi="Arial" w:cs="Arial"/>
                                  <w:i/>
                                  <w:sz w:val="18"/>
                                </w:rPr>
                                <w:t xml:space="preserve">articolo 15 D.lgs. n. </w:t>
                              </w:r>
                            </w:p>
                          </w:txbxContent>
                        </wps:txbx>
                        <wps:bodyPr horzOverflow="overflow" vert="horz" lIns="0" tIns="0" rIns="0" bIns="0" rtlCol="0">
                          <a:noAutofit/>
                        </wps:bodyPr>
                      </wps:wsp>
                      <wps:wsp>
                        <wps:cNvPr id="19404" name="Rectangle 19404"/>
                        <wps:cNvSpPr/>
                        <wps:spPr>
                          <a:xfrm rot="-10799999">
                            <a:off x="1124924" y="3159633"/>
                            <a:ext cx="1396614" cy="142889"/>
                          </a:xfrm>
                          <a:prstGeom prst="rect">
                            <a:avLst/>
                          </a:prstGeom>
                          <a:ln>
                            <a:noFill/>
                          </a:ln>
                        </wps:spPr>
                        <wps:txbx>
                          <w:txbxContent>
                            <w:p w14:paraId="7AECFA95" w14:textId="77777777" w:rsidR="00B32EF2" w:rsidRDefault="00000000">
                              <w:r>
                                <w:rPr>
                                  <w:rFonts w:ascii="Arial" w:eastAsia="Arial" w:hAnsi="Arial" w:cs="Arial"/>
                                  <w:b/>
                                  <w:sz w:val="18"/>
                                </w:rPr>
                                <w:t xml:space="preserve">Spese del giudizio </w:t>
                              </w:r>
                            </w:p>
                          </w:txbxContent>
                        </wps:txbx>
                        <wps:bodyPr horzOverflow="overflow" vert="horz" lIns="0" tIns="0" rIns="0" bIns="0" rtlCol="0">
                          <a:noAutofit/>
                        </wps:bodyPr>
                      </wps:wsp>
                      <wps:wsp>
                        <wps:cNvPr id="201387" name="Rectangle 201387"/>
                        <wps:cNvSpPr/>
                        <wps:spPr>
                          <a:xfrm rot="-10799999">
                            <a:off x="-1375853" y="3036303"/>
                            <a:ext cx="5309021" cy="142889"/>
                          </a:xfrm>
                          <a:prstGeom prst="rect">
                            <a:avLst/>
                          </a:prstGeom>
                          <a:ln>
                            <a:noFill/>
                          </a:ln>
                        </wps:spPr>
                        <wps:txbx>
                          <w:txbxContent>
                            <w:p w14:paraId="338AE251" w14:textId="77777777" w:rsidR="00B32EF2" w:rsidRDefault="00000000">
                              <w:r>
                                <w:rPr>
                                  <w:rFonts w:ascii="Arial" w:eastAsia="Arial" w:hAnsi="Arial" w:cs="Arial"/>
                                  <w:sz w:val="18"/>
                                </w:rPr>
                                <w:t xml:space="preserve">. La parte soccombente è condannata a rimborsare le spese del giudizio che </w:t>
                              </w:r>
                            </w:p>
                          </w:txbxContent>
                        </wps:txbx>
                        <wps:bodyPr horzOverflow="overflow" vert="horz" lIns="0" tIns="0" rIns="0" bIns="0" rtlCol="0">
                          <a:noAutofit/>
                        </wps:bodyPr>
                      </wps:wsp>
                      <wps:wsp>
                        <wps:cNvPr id="201386" name="Rectangle 201386"/>
                        <wps:cNvSpPr/>
                        <wps:spPr>
                          <a:xfrm rot="-10799999">
                            <a:off x="2611525" y="3036303"/>
                            <a:ext cx="5309022" cy="142889"/>
                          </a:xfrm>
                          <a:prstGeom prst="rect">
                            <a:avLst/>
                          </a:prstGeom>
                          <a:ln>
                            <a:noFill/>
                          </a:ln>
                        </wps:spPr>
                        <wps:txbx>
                          <w:txbxContent>
                            <w:p w14:paraId="4708E41A"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19406" name="Rectangle 19406"/>
                        <wps:cNvSpPr/>
                        <wps:spPr>
                          <a:xfrm rot="-10799999">
                            <a:off x="1884181" y="2912973"/>
                            <a:ext cx="2108169" cy="142889"/>
                          </a:xfrm>
                          <a:prstGeom prst="rect">
                            <a:avLst/>
                          </a:prstGeom>
                          <a:ln>
                            <a:noFill/>
                          </a:ln>
                        </wps:spPr>
                        <wps:txbx>
                          <w:txbxContent>
                            <w:p w14:paraId="5C694520" w14:textId="77777777" w:rsidR="00B32EF2" w:rsidRDefault="00000000">
                              <w:r>
                                <w:rPr>
                                  <w:rFonts w:ascii="Arial" w:eastAsia="Arial" w:hAnsi="Arial" w:cs="Arial"/>
                                  <w:sz w:val="18"/>
                                </w:rPr>
                                <w:t>sono liquidate con la sentenza.</w:t>
                              </w:r>
                            </w:p>
                          </w:txbxContent>
                        </wps:txbx>
                        <wps:bodyPr horzOverflow="overflow" vert="horz" lIns="0" tIns="0" rIns="0" bIns="0" rtlCol="0">
                          <a:noAutofit/>
                        </wps:bodyPr>
                      </wps:wsp>
                      <wps:wsp>
                        <wps:cNvPr id="201385" name="Rectangle 201385"/>
                        <wps:cNvSpPr/>
                        <wps:spPr>
                          <a:xfrm rot="-10799999">
                            <a:off x="-1283264" y="2789644"/>
                            <a:ext cx="5211059" cy="142889"/>
                          </a:xfrm>
                          <a:prstGeom prst="rect">
                            <a:avLst/>
                          </a:prstGeom>
                          <a:ln>
                            <a:noFill/>
                          </a:ln>
                        </wps:spPr>
                        <wps:txbx>
                          <w:txbxContent>
                            <w:p w14:paraId="51B7783A" w14:textId="77777777" w:rsidR="00B32EF2" w:rsidRDefault="00000000">
                              <w:r>
                                <w:rPr>
                                  <w:rFonts w:ascii="Arial" w:eastAsia="Arial" w:hAnsi="Arial" w:cs="Arial"/>
                                  <w:sz w:val="18"/>
                                </w:rPr>
                                <w:t>. Le spese del giudizio sono compensate, in tutto o in parte, in caso di soc</w:t>
                              </w:r>
                            </w:p>
                          </w:txbxContent>
                        </wps:txbx>
                        <wps:bodyPr horzOverflow="overflow" vert="horz" lIns="0" tIns="0" rIns="0" bIns="0" rtlCol="0">
                          <a:noAutofit/>
                        </wps:bodyPr>
                      </wps:wsp>
                      <wps:wsp>
                        <wps:cNvPr id="201384" name="Rectangle 201384"/>
                        <wps:cNvSpPr/>
                        <wps:spPr>
                          <a:xfrm rot="-10799999">
                            <a:off x="2635831" y="2789644"/>
                            <a:ext cx="5211059" cy="142889"/>
                          </a:xfrm>
                          <a:prstGeom prst="rect">
                            <a:avLst/>
                          </a:prstGeom>
                          <a:ln>
                            <a:noFill/>
                          </a:ln>
                        </wps:spPr>
                        <wps:txbx>
                          <w:txbxContent>
                            <w:p w14:paraId="4BCA77CC"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19408" name="Rectangle 19408"/>
                        <wps:cNvSpPr/>
                        <wps:spPr>
                          <a:xfrm rot="-10799999">
                            <a:off x="19752" y="2789643"/>
                            <a:ext cx="50622" cy="142889"/>
                          </a:xfrm>
                          <a:prstGeom prst="rect">
                            <a:avLst/>
                          </a:prstGeom>
                          <a:ln>
                            <a:noFill/>
                          </a:ln>
                        </wps:spPr>
                        <wps:txbx>
                          <w:txbxContent>
                            <w:p w14:paraId="2E94E20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409" name="Rectangle 19409"/>
                        <wps:cNvSpPr/>
                        <wps:spPr>
                          <a:xfrm rot="-10799999">
                            <a:off x="-1218697" y="2666313"/>
                            <a:ext cx="5212078" cy="142889"/>
                          </a:xfrm>
                          <a:prstGeom prst="rect">
                            <a:avLst/>
                          </a:prstGeom>
                          <a:ln>
                            <a:noFill/>
                          </a:ln>
                        </wps:spPr>
                        <wps:txbx>
                          <w:txbxContent>
                            <w:p w14:paraId="785F10A1" w14:textId="77777777" w:rsidR="00B32EF2" w:rsidRDefault="00000000">
                              <w:r>
                                <w:rPr>
                                  <w:rFonts w:ascii="Arial" w:eastAsia="Arial" w:hAnsi="Arial" w:cs="Arial"/>
                                  <w:sz w:val="18"/>
                                </w:rPr>
                                <w:t>combenza reciproca e quando ricorrono gravi ed eccezionali ragioni che de</w:t>
                              </w:r>
                            </w:p>
                          </w:txbxContent>
                        </wps:txbx>
                        <wps:bodyPr horzOverflow="overflow" vert="horz" lIns="0" tIns="0" rIns="0" bIns="0" rtlCol="0">
                          <a:noAutofit/>
                        </wps:bodyPr>
                      </wps:wsp>
                      <wps:wsp>
                        <wps:cNvPr id="19410" name="Rectangle 19410"/>
                        <wps:cNvSpPr/>
                        <wps:spPr>
                          <a:xfrm rot="-10799999">
                            <a:off x="19752" y="2666314"/>
                            <a:ext cx="50622" cy="142889"/>
                          </a:xfrm>
                          <a:prstGeom prst="rect">
                            <a:avLst/>
                          </a:prstGeom>
                          <a:ln>
                            <a:noFill/>
                          </a:ln>
                        </wps:spPr>
                        <wps:txbx>
                          <w:txbxContent>
                            <w:p w14:paraId="1A285B7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411" name="Rectangle 19411"/>
                        <wps:cNvSpPr/>
                        <wps:spPr>
                          <a:xfrm rot="-10799999">
                            <a:off x="-1218084" y="2542984"/>
                            <a:ext cx="5210436" cy="142889"/>
                          </a:xfrm>
                          <a:prstGeom prst="rect">
                            <a:avLst/>
                          </a:prstGeom>
                          <a:ln>
                            <a:noFill/>
                          </a:ln>
                        </wps:spPr>
                        <wps:txbx>
                          <w:txbxContent>
                            <w:p w14:paraId="21F28268" w14:textId="77777777" w:rsidR="00B32EF2" w:rsidRDefault="00000000">
                              <w:r>
                                <w:rPr>
                                  <w:rFonts w:ascii="Arial" w:eastAsia="Arial" w:hAnsi="Arial" w:cs="Arial"/>
                                  <w:sz w:val="18"/>
                                </w:rPr>
                                <w:t>vono essere espressamente motivate ovvero quando la parte è risultata vitto</w:t>
                              </w:r>
                            </w:p>
                          </w:txbxContent>
                        </wps:txbx>
                        <wps:bodyPr horzOverflow="overflow" vert="horz" lIns="0" tIns="0" rIns="0" bIns="0" rtlCol="0">
                          <a:noAutofit/>
                        </wps:bodyPr>
                      </wps:wsp>
                      <wps:wsp>
                        <wps:cNvPr id="19412" name="Rectangle 19412"/>
                        <wps:cNvSpPr/>
                        <wps:spPr>
                          <a:xfrm rot="-10799999">
                            <a:off x="19752" y="2542984"/>
                            <a:ext cx="50622" cy="142889"/>
                          </a:xfrm>
                          <a:prstGeom prst="rect">
                            <a:avLst/>
                          </a:prstGeom>
                          <a:ln>
                            <a:noFill/>
                          </a:ln>
                        </wps:spPr>
                        <wps:txbx>
                          <w:txbxContent>
                            <w:p w14:paraId="5855B87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413" name="Rectangle 19413"/>
                        <wps:cNvSpPr/>
                        <wps:spPr>
                          <a:xfrm rot="-10799999">
                            <a:off x="-1316638" y="2419654"/>
                            <a:ext cx="5308990" cy="142889"/>
                          </a:xfrm>
                          <a:prstGeom prst="rect">
                            <a:avLst/>
                          </a:prstGeom>
                          <a:ln>
                            <a:noFill/>
                          </a:ln>
                        </wps:spPr>
                        <wps:txbx>
                          <w:txbxContent>
                            <w:p w14:paraId="7C2CFB42" w14:textId="77777777" w:rsidR="00B32EF2" w:rsidRDefault="00000000">
                              <w:r>
                                <w:rPr>
                                  <w:rFonts w:ascii="Arial" w:eastAsia="Arial" w:hAnsi="Arial" w:cs="Arial"/>
                                  <w:sz w:val="18"/>
                                </w:rPr>
                                <w:t xml:space="preserve">riosa sulla base di documenti decisivi che la stessa ha prodotto solo nel corso </w:t>
                              </w:r>
                            </w:p>
                          </w:txbxContent>
                        </wps:txbx>
                        <wps:bodyPr horzOverflow="overflow" vert="horz" lIns="0" tIns="0" rIns="0" bIns="0" rtlCol="0">
                          <a:noAutofit/>
                        </wps:bodyPr>
                      </wps:wsp>
                      <wps:wsp>
                        <wps:cNvPr id="19414" name="Rectangle 19414"/>
                        <wps:cNvSpPr/>
                        <wps:spPr>
                          <a:xfrm rot="-10799999">
                            <a:off x="3182638" y="2296325"/>
                            <a:ext cx="809714" cy="142889"/>
                          </a:xfrm>
                          <a:prstGeom prst="rect">
                            <a:avLst/>
                          </a:prstGeom>
                          <a:ln>
                            <a:noFill/>
                          </a:ln>
                        </wps:spPr>
                        <wps:txbx>
                          <w:txbxContent>
                            <w:p w14:paraId="527216BB" w14:textId="77777777" w:rsidR="00B32EF2" w:rsidRDefault="00000000">
                              <w:r>
                                <w:rPr>
                                  <w:rFonts w:ascii="Arial" w:eastAsia="Arial" w:hAnsi="Arial" w:cs="Arial"/>
                                  <w:sz w:val="18"/>
                                </w:rPr>
                                <w:t>del giudizio.</w:t>
                              </w:r>
                            </w:p>
                          </w:txbxContent>
                        </wps:txbx>
                        <wps:bodyPr horzOverflow="overflow" vert="horz" lIns="0" tIns="0" rIns="0" bIns="0" rtlCol="0">
                          <a:noAutofit/>
                        </wps:bodyPr>
                      </wps:wsp>
                      <wps:wsp>
                        <wps:cNvPr id="201382" name="Rectangle 201382"/>
                        <wps:cNvSpPr/>
                        <wps:spPr>
                          <a:xfrm rot="-10799999">
                            <a:off x="2611529" y="2172995"/>
                            <a:ext cx="5309005" cy="142889"/>
                          </a:xfrm>
                          <a:prstGeom prst="rect">
                            <a:avLst/>
                          </a:prstGeom>
                          <a:ln>
                            <a:noFill/>
                          </a:ln>
                        </wps:spPr>
                        <wps:txbx>
                          <w:txbxContent>
                            <w:p w14:paraId="6D4A3FEE"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1383" name="Rectangle 201383"/>
                        <wps:cNvSpPr/>
                        <wps:spPr>
                          <a:xfrm rot="-10799999">
                            <a:off x="-1381177" y="2172995"/>
                            <a:ext cx="5309006" cy="142889"/>
                          </a:xfrm>
                          <a:prstGeom prst="rect">
                            <a:avLst/>
                          </a:prstGeom>
                          <a:ln>
                            <a:noFill/>
                          </a:ln>
                        </wps:spPr>
                        <wps:txbx>
                          <w:txbxContent>
                            <w:p w14:paraId="5520CD0A" w14:textId="77777777" w:rsidR="00B32EF2" w:rsidRDefault="00000000">
                              <w:r>
                                <w:rPr>
                                  <w:rFonts w:ascii="Arial" w:eastAsia="Arial" w:hAnsi="Arial" w:cs="Arial"/>
                                  <w:sz w:val="18"/>
                                </w:rPr>
                                <w:t xml:space="preserve">. Si applicano le disposizioni di cui all’articolo 96, commi primo e terzo, del </w:t>
                              </w:r>
                            </w:p>
                          </w:txbxContent>
                        </wps:txbx>
                        <wps:bodyPr horzOverflow="overflow" vert="horz" lIns="0" tIns="0" rIns="0" bIns="0" rtlCol="0">
                          <a:noAutofit/>
                        </wps:bodyPr>
                      </wps:wsp>
                      <wps:wsp>
                        <wps:cNvPr id="19416" name="Rectangle 19416"/>
                        <wps:cNvSpPr/>
                        <wps:spPr>
                          <a:xfrm rot="-10799999">
                            <a:off x="2215189" y="2049665"/>
                            <a:ext cx="1777163" cy="142889"/>
                          </a:xfrm>
                          <a:prstGeom prst="rect">
                            <a:avLst/>
                          </a:prstGeom>
                          <a:ln>
                            <a:noFill/>
                          </a:ln>
                        </wps:spPr>
                        <wps:txbx>
                          <w:txbxContent>
                            <w:p w14:paraId="13238C6E" w14:textId="77777777" w:rsidR="00B32EF2" w:rsidRDefault="00000000">
                              <w:r>
                                <w:rPr>
                                  <w:rFonts w:ascii="Arial" w:eastAsia="Arial" w:hAnsi="Arial" w:cs="Arial"/>
                                  <w:sz w:val="18"/>
                                </w:rPr>
                                <w:t>codice di procedura civile.</w:t>
                              </w:r>
                            </w:p>
                          </w:txbxContent>
                        </wps:txbx>
                        <wps:bodyPr horzOverflow="overflow" vert="horz" lIns="0" tIns="0" rIns="0" bIns="0" rtlCol="0">
                          <a:noAutofit/>
                        </wps:bodyPr>
                      </wps:wsp>
                      <wps:wsp>
                        <wps:cNvPr id="201381" name="Rectangle 201381"/>
                        <wps:cNvSpPr/>
                        <wps:spPr>
                          <a:xfrm rot="-10799999">
                            <a:off x="-1379823" y="1926335"/>
                            <a:ext cx="5309035" cy="142889"/>
                          </a:xfrm>
                          <a:prstGeom prst="rect">
                            <a:avLst/>
                          </a:prstGeom>
                          <a:ln>
                            <a:noFill/>
                          </a:ln>
                        </wps:spPr>
                        <wps:txbx>
                          <w:txbxContent>
                            <w:p w14:paraId="06FE8AEF" w14:textId="77777777" w:rsidR="00B32EF2" w:rsidRDefault="00000000">
                              <w:r>
                                <w:rPr>
                                  <w:rFonts w:ascii="Arial" w:eastAsia="Arial" w:hAnsi="Arial" w:cs="Arial"/>
                                  <w:sz w:val="18"/>
                                </w:rPr>
                                <w:t xml:space="preserve">. Le spese di giudizio comprendono, oltre al contributo unificato, gli onorari e </w:t>
                              </w:r>
                            </w:p>
                          </w:txbxContent>
                        </wps:txbx>
                        <wps:bodyPr horzOverflow="overflow" vert="horz" lIns="0" tIns="0" rIns="0" bIns="0" rtlCol="0">
                          <a:noAutofit/>
                        </wps:bodyPr>
                      </wps:wsp>
                      <wps:wsp>
                        <wps:cNvPr id="201380" name="Rectangle 201380"/>
                        <wps:cNvSpPr/>
                        <wps:spPr>
                          <a:xfrm rot="-10799999">
                            <a:off x="2611521" y="1926336"/>
                            <a:ext cx="5309035" cy="142889"/>
                          </a:xfrm>
                          <a:prstGeom prst="rect">
                            <a:avLst/>
                          </a:prstGeom>
                          <a:ln>
                            <a:noFill/>
                          </a:ln>
                        </wps:spPr>
                        <wps:txbx>
                          <w:txbxContent>
                            <w:p w14:paraId="117C6D95"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9418" name="Rectangle 19418"/>
                        <wps:cNvSpPr/>
                        <wps:spPr>
                          <a:xfrm rot="-10799999">
                            <a:off x="-1316669" y="1803006"/>
                            <a:ext cx="5309021" cy="142889"/>
                          </a:xfrm>
                          <a:prstGeom prst="rect">
                            <a:avLst/>
                          </a:prstGeom>
                          <a:ln>
                            <a:noFill/>
                          </a:ln>
                        </wps:spPr>
                        <wps:txbx>
                          <w:txbxContent>
                            <w:p w14:paraId="17FA7EFA" w14:textId="77777777" w:rsidR="00B32EF2" w:rsidRDefault="00000000">
                              <w:r>
                                <w:rPr>
                                  <w:rFonts w:ascii="Arial" w:eastAsia="Arial" w:hAnsi="Arial" w:cs="Arial"/>
                                  <w:sz w:val="18"/>
                                </w:rPr>
                                <w:t xml:space="preserve">i diritti del difensore, le spese generali e gli esborsi sostenuti, oltre il contributo </w:t>
                              </w:r>
                            </w:p>
                          </w:txbxContent>
                        </wps:txbx>
                        <wps:bodyPr horzOverflow="overflow" vert="horz" lIns="0" tIns="0" rIns="0" bIns="0" rtlCol="0">
                          <a:noAutofit/>
                        </wps:bodyPr>
                      </wps:wsp>
                      <wps:wsp>
                        <wps:cNvPr id="19419" name="Rectangle 19419"/>
                        <wps:cNvSpPr/>
                        <wps:spPr>
                          <a:xfrm rot="-10799999">
                            <a:off x="245007" y="1679676"/>
                            <a:ext cx="3747345" cy="142889"/>
                          </a:xfrm>
                          <a:prstGeom prst="rect">
                            <a:avLst/>
                          </a:prstGeom>
                          <a:ln>
                            <a:noFill/>
                          </a:ln>
                        </wps:spPr>
                        <wps:txbx>
                          <w:txbxContent>
                            <w:p w14:paraId="36C13CEF" w14:textId="77777777" w:rsidR="00B32EF2" w:rsidRDefault="00000000">
                              <w:r>
                                <w:rPr>
                                  <w:rFonts w:ascii="Arial" w:eastAsia="Arial" w:hAnsi="Arial" w:cs="Arial"/>
                                  <w:sz w:val="18"/>
                                </w:rPr>
                                <w:t>previdenziale e l’imposta sul valore aggiunto, se dovuti.</w:t>
                              </w:r>
                            </w:p>
                          </w:txbxContent>
                        </wps:txbx>
                        <wps:bodyPr horzOverflow="overflow" vert="horz" lIns="0" tIns="0" rIns="0" bIns="0" rtlCol="0">
                          <a:noAutofit/>
                        </wps:bodyPr>
                      </wps:wsp>
                      <wps:wsp>
                        <wps:cNvPr id="201378" name="Rectangle 201378"/>
                        <wps:cNvSpPr/>
                        <wps:spPr>
                          <a:xfrm rot="-10799999">
                            <a:off x="2635435" y="1556347"/>
                            <a:ext cx="5212655" cy="142889"/>
                          </a:xfrm>
                          <a:prstGeom prst="rect">
                            <a:avLst/>
                          </a:prstGeom>
                          <a:ln>
                            <a:noFill/>
                          </a:ln>
                        </wps:spPr>
                        <wps:txbx>
                          <w:txbxContent>
                            <w:p w14:paraId="1D11CC17"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01379" name="Rectangle 201379"/>
                        <wps:cNvSpPr/>
                        <wps:spPr>
                          <a:xfrm rot="-10799999">
                            <a:off x="-1284701" y="1556346"/>
                            <a:ext cx="5212656" cy="142889"/>
                          </a:xfrm>
                          <a:prstGeom prst="rect">
                            <a:avLst/>
                          </a:prstGeom>
                          <a:ln>
                            <a:noFill/>
                          </a:ln>
                        </wps:spPr>
                        <wps:txbx>
                          <w:txbxContent>
                            <w:p w14:paraId="04956695" w14:textId="77777777" w:rsidR="00B32EF2" w:rsidRDefault="00000000">
                              <w:r>
                                <w:rPr>
                                  <w:rFonts w:ascii="Arial" w:eastAsia="Arial" w:hAnsi="Arial" w:cs="Arial"/>
                                  <w:sz w:val="18"/>
                                </w:rPr>
                                <w:t>. Con l’ordinanza che decide sulle istanze cautelari la corte di giustizia tribu</w:t>
                              </w:r>
                            </w:p>
                          </w:txbxContent>
                        </wps:txbx>
                        <wps:bodyPr horzOverflow="overflow" vert="horz" lIns="0" tIns="0" rIns="0" bIns="0" rtlCol="0">
                          <a:noAutofit/>
                        </wps:bodyPr>
                      </wps:wsp>
                      <wps:wsp>
                        <wps:cNvPr id="19421" name="Rectangle 19421"/>
                        <wps:cNvSpPr/>
                        <wps:spPr>
                          <a:xfrm rot="-10799999">
                            <a:off x="19752" y="1556347"/>
                            <a:ext cx="50622" cy="142889"/>
                          </a:xfrm>
                          <a:prstGeom prst="rect">
                            <a:avLst/>
                          </a:prstGeom>
                          <a:ln>
                            <a:noFill/>
                          </a:ln>
                        </wps:spPr>
                        <wps:txbx>
                          <w:txbxContent>
                            <w:p w14:paraId="2ADB9D7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422" name="Rectangle 19422"/>
                        <wps:cNvSpPr/>
                        <wps:spPr>
                          <a:xfrm rot="-10799999">
                            <a:off x="-1220061" y="1433016"/>
                            <a:ext cx="5212412" cy="142889"/>
                          </a:xfrm>
                          <a:prstGeom prst="rect">
                            <a:avLst/>
                          </a:prstGeom>
                          <a:ln>
                            <a:noFill/>
                          </a:ln>
                        </wps:spPr>
                        <wps:txbx>
                          <w:txbxContent>
                            <w:p w14:paraId="6A5C17B3" w14:textId="77777777" w:rsidR="00B32EF2" w:rsidRDefault="00000000">
                              <w:r>
                                <w:rPr>
                                  <w:rFonts w:ascii="Arial" w:eastAsia="Arial" w:hAnsi="Arial" w:cs="Arial"/>
                                  <w:sz w:val="18"/>
                                </w:rPr>
                                <w:t>taria provvede sulle spese della relativa fase. La pronuncia sulle spese con</w:t>
                              </w:r>
                            </w:p>
                          </w:txbxContent>
                        </wps:txbx>
                        <wps:bodyPr horzOverflow="overflow" vert="horz" lIns="0" tIns="0" rIns="0" bIns="0" rtlCol="0">
                          <a:noAutofit/>
                        </wps:bodyPr>
                      </wps:wsp>
                      <wps:wsp>
                        <wps:cNvPr id="19423" name="Rectangle 19423"/>
                        <wps:cNvSpPr/>
                        <wps:spPr>
                          <a:xfrm rot="-10799999">
                            <a:off x="19753" y="1433017"/>
                            <a:ext cx="50622" cy="142889"/>
                          </a:xfrm>
                          <a:prstGeom prst="rect">
                            <a:avLst/>
                          </a:prstGeom>
                          <a:ln>
                            <a:noFill/>
                          </a:ln>
                        </wps:spPr>
                        <wps:txbx>
                          <w:txbxContent>
                            <w:p w14:paraId="06B8C6A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424" name="Rectangle 19424"/>
                        <wps:cNvSpPr/>
                        <wps:spPr>
                          <a:xfrm rot="-10799999">
                            <a:off x="-1316684" y="1309687"/>
                            <a:ext cx="5309036" cy="142889"/>
                          </a:xfrm>
                          <a:prstGeom prst="rect">
                            <a:avLst/>
                          </a:prstGeom>
                          <a:ln>
                            <a:noFill/>
                          </a:ln>
                        </wps:spPr>
                        <wps:txbx>
                          <w:txbxContent>
                            <w:p w14:paraId="29D35CB5" w14:textId="77777777" w:rsidR="00B32EF2" w:rsidRDefault="00000000">
                              <w:r>
                                <w:rPr>
                                  <w:rFonts w:ascii="Arial" w:eastAsia="Arial" w:hAnsi="Arial" w:cs="Arial"/>
                                  <w:sz w:val="18"/>
                                </w:rPr>
                                <w:t xml:space="preserve">serva efficacia anche dopo il provvedimento che definisce il giudizio, salvo </w:t>
                              </w:r>
                            </w:p>
                          </w:txbxContent>
                        </wps:txbx>
                        <wps:bodyPr horzOverflow="overflow" vert="horz" lIns="0" tIns="0" rIns="0" bIns="0" rtlCol="0">
                          <a:noAutofit/>
                        </wps:bodyPr>
                      </wps:wsp>
                      <wps:wsp>
                        <wps:cNvPr id="19425" name="Rectangle 19425"/>
                        <wps:cNvSpPr/>
                        <wps:spPr>
                          <a:xfrm rot="-10799999">
                            <a:off x="344868" y="1186357"/>
                            <a:ext cx="3647484" cy="142889"/>
                          </a:xfrm>
                          <a:prstGeom prst="rect">
                            <a:avLst/>
                          </a:prstGeom>
                          <a:ln>
                            <a:noFill/>
                          </a:ln>
                        </wps:spPr>
                        <wps:txbx>
                          <w:txbxContent>
                            <w:p w14:paraId="6BEBDBFE" w14:textId="77777777" w:rsidR="00B32EF2" w:rsidRDefault="00000000">
                              <w:r>
                                <w:rPr>
                                  <w:rFonts w:ascii="Arial" w:eastAsia="Arial" w:hAnsi="Arial" w:cs="Arial"/>
                                  <w:sz w:val="18"/>
                                </w:rPr>
                                <w:t>diversa statuizione espressa nella sentenza di merito.</w:t>
                              </w:r>
                            </w:p>
                          </w:txbxContent>
                        </wps:txbx>
                        <wps:bodyPr horzOverflow="overflow" vert="horz" lIns="0" tIns="0" rIns="0" bIns="0" rtlCol="0">
                          <a:noAutofit/>
                        </wps:bodyPr>
                      </wps:wsp>
                      <wps:wsp>
                        <wps:cNvPr id="201371" name="Rectangle 201371"/>
                        <wps:cNvSpPr/>
                        <wps:spPr>
                          <a:xfrm rot="-10799999">
                            <a:off x="-1380974" y="1063028"/>
                            <a:ext cx="5309021" cy="142889"/>
                          </a:xfrm>
                          <a:prstGeom prst="rect">
                            <a:avLst/>
                          </a:prstGeom>
                          <a:ln>
                            <a:noFill/>
                          </a:ln>
                        </wps:spPr>
                        <wps:txbx>
                          <w:txbxContent>
                            <w:p w14:paraId="53121B41" w14:textId="77777777" w:rsidR="00B32EF2" w:rsidRDefault="00000000">
                              <w:r>
                                <w:rPr>
                                  <w:rFonts w:ascii="Arial" w:eastAsia="Arial" w:hAnsi="Arial" w:cs="Arial"/>
                                  <w:sz w:val="18"/>
                                </w:rPr>
                                <w:t xml:space="preserve">. I compensi agli incaricati dell’assistenza tecnica sono liquidati sulla base dei </w:t>
                              </w:r>
                            </w:p>
                          </w:txbxContent>
                        </wps:txbx>
                        <wps:bodyPr horzOverflow="overflow" vert="horz" lIns="0" tIns="0" rIns="0" bIns="0" rtlCol="0">
                          <a:noAutofit/>
                        </wps:bodyPr>
                      </wps:wsp>
                      <wps:wsp>
                        <wps:cNvPr id="201370" name="Rectangle 201370"/>
                        <wps:cNvSpPr/>
                        <wps:spPr>
                          <a:xfrm rot="-10799999">
                            <a:off x="2611524" y="1063028"/>
                            <a:ext cx="5309021" cy="142889"/>
                          </a:xfrm>
                          <a:prstGeom prst="rect">
                            <a:avLst/>
                          </a:prstGeom>
                          <a:ln>
                            <a:noFill/>
                          </a:ln>
                        </wps:spPr>
                        <wps:txbx>
                          <w:txbxContent>
                            <w:p w14:paraId="0CB775B7"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19427" name="Rectangle 19427"/>
                        <wps:cNvSpPr/>
                        <wps:spPr>
                          <a:xfrm rot="-10799999">
                            <a:off x="-1219468" y="939698"/>
                            <a:ext cx="5211820" cy="142889"/>
                          </a:xfrm>
                          <a:prstGeom prst="rect">
                            <a:avLst/>
                          </a:prstGeom>
                          <a:ln>
                            <a:noFill/>
                          </a:ln>
                        </wps:spPr>
                        <wps:txbx>
                          <w:txbxContent>
                            <w:p w14:paraId="27DB90E2" w14:textId="77777777" w:rsidR="00B32EF2" w:rsidRDefault="00000000">
                              <w:r>
                                <w:rPr>
                                  <w:rFonts w:ascii="Arial" w:eastAsia="Arial" w:hAnsi="Arial" w:cs="Arial"/>
                                  <w:sz w:val="18"/>
                                </w:rPr>
                                <w:t>parametri previsti per le singole categorie professionali. Agli iscritti negli elen</w:t>
                              </w:r>
                            </w:p>
                          </w:txbxContent>
                        </wps:txbx>
                        <wps:bodyPr horzOverflow="overflow" vert="horz" lIns="0" tIns="0" rIns="0" bIns="0" rtlCol="0">
                          <a:noAutofit/>
                        </wps:bodyPr>
                      </wps:wsp>
                      <wps:wsp>
                        <wps:cNvPr id="19428" name="Rectangle 19428"/>
                        <wps:cNvSpPr/>
                        <wps:spPr>
                          <a:xfrm rot="-10799999">
                            <a:off x="19752" y="939698"/>
                            <a:ext cx="50622" cy="142889"/>
                          </a:xfrm>
                          <a:prstGeom prst="rect">
                            <a:avLst/>
                          </a:prstGeom>
                          <a:ln>
                            <a:noFill/>
                          </a:ln>
                        </wps:spPr>
                        <wps:txbx>
                          <w:txbxContent>
                            <w:p w14:paraId="3A952D7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429" name="Rectangle 19429"/>
                        <wps:cNvSpPr/>
                        <wps:spPr>
                          <a:xfrm rot="-10799999">
                            <a:off x="-1317701" y="816368"/>
                            <a:ext cx="5310738" cy="142889"/>
                          </a:xfrm>
                          <a:prstGeom prst="rect">
                            <a:avLst/>
                          </a:prstGeom>
                          <a:ln>
                            <a:noFill/>
                          </a:ln>
                        </wps:spPr>
                        <wps:txbx>
                          <w:txbxContent>
                            <w:p w14:paraId="0C929B04" w14:textId="77777777" w:rsidR="00B32EF2" w:rsidRDefault="00000000">
                              <w:r>
                                <w:rPr>
                                  <w:rFonts w:ascii="Arial" w:eastAsia="Arial" w:hAnsi="Arial" w:cs="Arial"/>
                                  <w:sz w:val="18"/>
                                </w:rPr>
                                <w:t xml:space="preserve">chi di cui all’articolo 57, comma 4, si applicano i parametri previsti per i dottori </w:t>
                              </w:r>
                            </w:p>
                          </w:txbxContent>
                        </wps:txbx>
                        <wps:bodyPr horzOverflow="overflow" vert="horz" lIns="0" tIns="0" rIns="0" bIns="0" rtlCol="0">
                          <a:noAutofit/>
                        </wps:bodyPr>
                      </wps:wsp>
                      <wps:wsp>
                        <wps:cNvPr id="19430" name="Rectangle 19430"/>
                        <wps:cNvSpPr/>
                        <wps:spPr>
                          <a:xfrm rot="-10799999">
                            <a:off x="1525781" y="693039"/>
                            <a:ext cx="2466569" cy="142889"/>
                          </a:xfrm>
                          <a:prstGeom prst="rect">
                            <a:avLst/>
                          </a:prstGeom>
                          <a:ln>
                            <a:noFill/>
                          </a:ln>
                        </wps:spPr>
                        <wps:txbx>
                          <w:txbxContent>
                            <w:p w14:paraId="28C0CC2B" w14:textId="77777777" w:rsidR="00B32EF2" w:rsidRDefault="00000000">
                              <w:r>
                                <w:rPr>
                                  <w:rFonts w:ascii="Arial" w:eastAsia="Arial" w:hAnsi="Arial" w:cs="Arial"/>
                                  <w:sz w:val="18"/>
                                </w:rPr>
                                <w:t>commercialisti e gli esperti contabili.</w:t>
                              </w:r>
                            </w:p>
                          </w:txbxContent>
                        </wps:txbx>
                        <wps:bodyPr horzOverflow="overflow" vert="horz" lIns="0" tIns="0" rIns="0" bIns="0" rtlCol="0">
                          <a:noAutofit/>
                        </wps:bodyPr>
                      </wps:wsp>
                      <wps:wsp>
                        <wps:cNvPr id="201369" name="Rectangle 201369"/>
                        <wps:cNvSpPr/>
                        <wps:spPr>
                          <a:xfrm rot="-10799999">
                            <a:off x="-1369221" y="569708"/>
                            <a:ext cx="5309006" cy="142889"/>
                          </a:xfrm>
                          <a:prstGeom prst="rect">
                            <a:avLst/>
                          </a:prstGeom>
                          <a:ln>
                            <a:noFill/>
                          </a:ln>
                        </wps:spPr>
                        <wps:txbx>
                          <w:txbxContent>
                            <w:p w14:paraId="5764755E" w14:textId="77777777" w:rsidR="00B32EF2" w:rsidRDefault="00000000">
                              <w:r>
                                <w:rPr>
                                  <w:rFonts w:ascii="Arial" w:eastAsia="Arial" w:hAnsi="Arial" w:cs="Arial"/>
                                  <w:sz w:val="18"/>
                                </w:rPr>
                                <w:t xml:space="preserve">. Nella liquidazione delle spese a favore dell’ente impositore, dell’agente della </w:t>
                              </w:r>
                            </w:p>
                          </w:txbxContent>
                        </wps:txbx>
                        <wps:bodyPr horzOverflow="overflow" vert="horz" lIns="0" tIns="0" rIns="0" bIns="0" rtlCol="0">
                          <a:noAutofit/>
                        </wps:bodyPr>
                      </wps:wsp>
                      <wps:wsp>
                        <wps:cNvPr id="201368" name="Rectangle 201368"/>
                        <wps:cNvSpPr/>
                        <wps:spPr>
                          <a:xfrm rot="-10799999">
                            <a:off x="2611528" y="569709"/>
                            <a:ext cx="5309005" cy="142889"/>
                          </a:xfrm>
                          <a:prstGeom prst="rect">
                            <a:avLst/>
                          </a:prstGeom>
                          <a:ln>
                            <a:noFill/>
                          </a:ln>
                        </wps:spPr>
                        <wps:txbx>
                          <w:txbxContent>
                            <w:p w14:paraId="0796A180"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19432" name="Rectangle 19432"/>
                        <wps:cNvSpPr/>
                        <wps:spPr>
                          <a:xfrm rot="-10799999">
                            <a:off x="-1219970" y="446379"/>
                            <a:ext cx="5212321" cy="142889"/>
                          </a:xfrm>
                          <a:prstGeom prst="rect">
                            <a:avLst/>
                          </a:prstGeom>
                          <a:ln>
                            <a:noFill/>
                          </a:ln>
                        </wps:spPr>
                        <wps:txbx>
                          <w:txbxContent>
                            <w:p w14:paraId="780F885B" w14:textId="77777777" w:rsidR="00B32EF2" w:rsidRDefault="00000000">
                              <w:r>
                                <w:rPr>
                                  <w:rFonts w:ascii="Arial" w:eastAsia="Arial" w:hAnsi="Arial" w:cs="Arial"/>
                                  <w:sz w:val="18"/>
                                </w:rPr>
                                <w:t>riscossione e dei soggetti iscritti nell’albo di cui all’articolo 53 del decreto legi</w:t>
                              </w:r>
                            </w:p>
                          </w:txbxContent>
                        </wps:txbx>
                        <wps:bodyPr horzOverflow="overflow" vert="horz" lIns="0" tIns="0" rIns="0" bIns="0" rtlCol="0">
                          <a:noAutofit/>
                        </wps:bodyPr>
                      </wps:wsp>
                      <wps:wsp>
                        <wps:cNvPr id="19433" name="Rectangle 19433"/>
                        <wps:cNvSpPr/>
                        <wps:spPr>
                          <a:xfrm rot="-10799999">
                            <a:off x="19752" y="446379"/>
                            <a:ext cx="50622" cy="142889"/>
                          </a:xfrm>
                          <a:prstGeom prst="rect">
                            <a:avLst/>
                          </a:prstGeom>
                          <a:ln>
                            <a:noFill/>
                          </a:ln>
                        </wps:spPr>
                        <wps:txbx>
                          <w:txbxContent>
                            <w:p w14:paraId="1887BE0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7996" name="Shape 207996"/>
                        <wps:cNvSpPr/>
                        <wps:spPr>
                          <a:xfrm>
                            <a:off x="32396" y="3659205"/>
                            <a:ext cx="3960000" cy="2609901"/>
                          </a:xfrm>
                          <a:custGeom>
                            <a:avLst/>
                            <a:gdLst/>
                            <a:ahLst/>
                            <a:cxnLst/>
                            <a:rect l="0" t="0" r="0" b="0"/>
                            <a:pathLst>
                              <a:path w="3960000" h="2609901">
                                <a:moveTo>
                                  <a:pt x="0" y="0"/>
                                </a:moveTo>
                                <a:lnTo>
                                  <a:pt x="3960000" y="0"/>
                                </a:lnTo>
                                <a:lnTo>
                                  <a:pt x="3960000" y="2609901"/>
                                </a:lnTo>
                                <a:lnTo>
                                  <a:pt x="0" y="2609901"/>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201399" name="Rectangle 201399"/>
                        <wps:cNvSpPr/>
                        <wps:spPr>
                          <a:xfrm rot="-10799999">
                            <a:off x="-1149304" y="6047866"/>
                            <a:ext cx="5003949" cy="142891"/>
                          </a:xfrm>
                          <a:prstGeom prst="rect">
                            <a:avLst/>
                          </a:prstGeom>
                          <a:ln>
                            <a:noFill/>
                          </a:ln>
                        </wps:spPr>
                        <wps:txbx>
                          <w:txbxContent>
                            <w:p w14:paraId="19A79F0E" w14:textId="77777777" w:rsidR="00B32EF2" w:rsidRDefault="00000000">
                              <w:r>
                                <w:rPr>
                                  <w:rFonts w:ascii="Arial" w:eastAsia="Arial" w:hAnsi="Arial" w:cs="Arial"/>
                                  <w:i/>
                                  <w:sz w:val="18"/>
                                </w:rPr>
                                <w:t>. Più parti possono agire o essere convenute nello stesso processo, quan</w:t>
                              </w:r>
                            </w:p>
                          </w:txbxContent>
                        </wps:txbx>
                        <wps:bodyPr horzOverflow="overflow" vert="horz" lIns="0" tIns="0" rIns="0" bIns="0" rtlCol="0">
                          <a:noAutofit/>
                        </wps:bodyPr>
                      </wps:wsp>
                      <wps:wsp>
                        <wps:cNvPr id="201398" name="Rectangle 201398"/>
                        <wps:cNvSpPr/>
                        <wps:spPr>
                          <a:xfrm rot="-10799999">
                            <a:off x="2608915" y="6047866"/>
                            <a:ext cx="5003948" cy="142891"/>
                          </a:xfrm>
                          <a:prstGeom prst="rect">
                            <a:avLst/>
                          </a:prstGeom>
                          <a:ln>
                            <a:noFill/>
                          </a:ln>
                        </wps:spPr>
                        <wps:txbx>
                          <w:txbxContent>
                            <w:p w14:paraId="2A3EDCAA"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19436" name="Rectangle 19436"/>
                        <wps:cNvSpPr/>
                        <wps:spPr>
                          <a:xfrm rot="-10799999">
                            <a:off x="98153" y="6047867"/>
                            <a:ext cx="50622" cy="142889"/>
                          </a:xfrm>
                          <a:prstGeom prst="rect">
                            <a:avLst/>
                          </a:prstGeom>
                          <a:ln>
                            <a:noFill/>
                          </a:ln>
                        </wps:spPr>
                        <wps:txbx>
                          <w:txbxContent>
                            <w:p w14:paraId="5D1225D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437" name="Rectangle 19437"/>
                        <wps:cNvSpPr/>
                        <wps:spPr>
                          <a:xfrm rot="-10799999">
                            <a:off x="-1186966" y="5924537"/>
                            <a:ext cx="5101013" cy="142889"/>
                          </a:xfrm>
                          <a:prstGeom prst="rect">
                            <a:avLst/>
                          </a:prstGeom>
                          <a:ln>
                            <a:noFill/>
                          </a:ln>
                        </wps:spPr>
                        <wps:txbx>
                          <w:txbxContent>
                            <w:p w14:paraId="1F32D9D4" w14:textId="77777777" w:rsidR="00B32EF2" w:rsidRDefault="00000000">
                              <w:r>
                                <w:rPr>
                                  <w:rFonts w:ascii="Arial" w:eastAsia="Arial" w:hAnsi="Arial" w:cs="Arial"/>
                                  <w:i/>
                                  <w:sz w:val="18"/>
                                </w:rPr>
                                <w:t xml:space="preserve">do tra le cause che si propongono esiste connessione per l’oggetto o per il </w:t>
                              </w:r>
                            </w:p>
                          </w:txbxContent>
                        </wps:txbx>
                        <wps:bodyPr horzOverflow="overflow" vert="horz" lIns="0" tIns="0" rIns="0" bIns="0" rtlCol="0">
                          <a:noAutofit/>
                        </wps:bodyPr>
                      </wps:wsp>
                      <wps:wsp>
                        <wps:cNvPr id="19438" name="Rectangle 19438"/>
                        <wps:cNvSpPr/>
                        <wps:spPr>
                          <a:xfrm rot="-10799999">
                            <a:off x="-1185032" y="5801207"/>
                            <a:ext cx="5094506" cy="142889"/>
                          </a:xfrm>
                          <a:prstGeom prst="rect">
                            <a:avLst/>
                          </a:prstGeom>
                          <a:ln>
                            <a:noFill/>
                          </a:ln>
                        </wps:spPr>
                        <wps:txbx>
                          <w:txbxContent>
                            <w:p w14:paraId="09435262" w14:textId="77777777" w:rsidR="00B32EF2" w:rsidRDefault="00000000">
                              <w:r>
                                <w:rPr>
                                  <w:rFonts w:ascii="Arial" w:eastAsia="Arial" w:hAnsi="Arial" w:cs="Arial"/>
                                  <w:i/>
                                  <w:sz w:val="18"/>
                                </w:rPr>
                                <w:t xml:space="preserve">titolo dal quale dipendono, oppure quando la decisione dipende, totalmente </w:t>
                              </w:r>
                            </w:p>
                          </w:txbxContent>
                        </wps:txbx>
                        <wps:bodyPr horzOverflow="overflow" vert="horz" lIns="0" tIns="0" rIns="0" bIns="0" rtlCol="0">
                          <a:noAutofit/>
                        </wps:bodyPr>
                      </wps:wsp>
                      <wps:wsp>
                        <wps:cNvPr id="19439" name="Rectangle 19439"/>
                        <wps:cNvSpPr/>
                        <wps:spPr>
                          <a:xfrm rot="-10799999">
                            <a:off x="153187" y="5677877"/>
                            <a:ext cx="3760859" cy="142889"/>
                          </a:xfrm>
                          <a:prstGeom prst="rect">
                            <a:avLst/>
                          </a:prstGeom>
                          <a:ln>
                            <a:noFill/>
                          </a:ln>
                        </wps:spPr>
                        <wps:txbx>
                          <w:txbxContent>
                            <w:p w14:paraId="2AB5B9FA" w14:textId="77777777" w:rsidR="00B32EF2" w:rsidRDefault="00000000">
                              <w:r>
                                <w:rPr>
                                  <w:rFonts w:ascii="Arial" w:eastAsia="Arial" w:hAnsi="Arial" w:cs="Arial"/>
                                  <w:i/>
                                  <w:sz w:val="18"/>
                                </w:rPr>
                                <w:t xml:space="preserve">o parzialmente, dalla risoluzione di identiche questioni. </w:t>
                              </w:r>
                            </w:p>
                          </w:txbxContent>
                        </wps:txbx>
                        <wps:bodyPr horzOverflow="overflow" vert="horz" lIns="0" tIns="0" rIns="0" bIns="0" rtlCol="0">
                          <a:noAutofit/>
                        </wps:bodyPr>
                      </wps:wsp>
                      <wps:wsp>
                        <wps:cNvPr id="201396" name="Rectangle 201396"/>
                        <wps:cNvSpPr/>
                        <wps:spPr>
                          <a:xfrm rot="-10799999">
                            <a:off x="2580671" y="5554548"/>
                            <a:ext cx="5117782" cy="142889"/>
                          </a:xfrm>
                          <a:prstGeom prst="rect">
                            <a:avLst/>
                          </a:prstGeom>
                          <a:ln>
                            <a:noFill/>
                          </a:ln>
                        </wps:spPr>
                        <wps:txbx>
                          <w:txbxContent>
                            <w:p w14:paraId="299CA397"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397" name="Rectangle 201397"/>
                        <wps:cNvSpPr/>
                        <wps:spPr>
                          <a:xfrm rot="-10799999">
                            <a:off x="-1255546" y="5554548"/>
                            <a:ext cx="5117781" cy="142889"/>
                          </a:xfrm>
                          <a:prstGeom prst="rect">
                            <a:avLst/>
                          </a:prstGeom>
                          <a:ln>
                            <a:noFill/>
                          </a:ln>
                        </wps:spPr>
                        <wps:txbx>
                          <w:txbxContent>
                            <w:p w14:paraId="27549887" w14:textId="77777777" w:rsidR="00B32EF2" w:rsidRDefault="00000000">
                              <w:r>
                                <w:rPr>
                                  <w:rFonts w:ascii="Arial" w:eastAsia="Arial" w:hAnsi="Arial" w:cs="Arial"/>
                                  <w:i/>
                                  <w:sz w:val="18"/>
                                </w:rPr>
                                <w:t xml:space="preserve">. Il giudice può disporre, nel corso della istruzione o nella decisione, la </w:t>
                              </w:r>
                            </w:p>
                          </w:txbxContent>
                        </wps:txbx>
                        <wps:bodyPr horzOverflow="overflow" vert="horz" lIns="0" tIns="0" rIns="0" bIns="0" rtlCol="0">
                          <a:noAutofit/>
                        </wps:bodyPr>
                      </wps:wsp>
                      <wps:wsp>
                        <wps:cNvPr id="19441" name="Rectangle 19441"/>
                        <wps:cNvSpPr/>
                        <wps:spPr>
                          <a:xfrm rot="-10799999">
                            <a:off x="-1188741" y="5431218"/>
                            <a:ext cx="5107246" cy="142889"/>
                          </a:xfrm>
                          <a:prstGeom prst="rect">
                            <a:avLst/>
                          </a:prstGeom>
                          <a:ln>
                            <a:noFill/>
                          </a:ln>
                        </wps:spPr>
                        <wps:txbx>
                          <w:txbxContent>
                            <w:p w14:paraId="1C7DCF66" w14:textId="77777777" w:rsidR="00B32EF2" w:rsidRDefault="00000000">
                              <w:r>
                                <w:rPr>
                                  <w:rFonts w:ascii="Arial" w:eastAsia="Arial" w:hAnsi="Arial" w:cs="Arial"/>
                                  <w:i/>
                                  <w:sz w:val="18"/>
                                </w:rPr>
                                <w:t xml:space="preserve">separazione delle cause, se vi è istanza di tutte le parti, ovvero quando la </w:t>
                              </w:r>
                            </w:p>
                          </w:txbxContent>
                        </wps:txbx>
                        <wps:bodyPr horzOverflow="overflow" vert="horz" lIns="0" tIns="0" rIns="0" bIns="0" rtlCol="0">
                          <a:noAutofit/>
                        </wps:bodyPr>
                      </wps:wsp>
                      <wps:wsp>
                        <wps:cNvPr id="19442" name="Rectangle 19442"/>
                        <wps:cNvSpPr/>
                        <wps:spPr>
                          <a:xfrm rot="-10799999">
                            <a:off x="-1188434" y="5307888"/>
                            <a:ext cx="5108538" cy="142889"/>
                          </a:xfrm>
                          <a:prstGeom prst="rect">
                            <a:avLst/>
                          </a:prstGeom>
                          <a:ln>
                            <a:noFill/>
                          </a:ln>
                        </wps:spPr>
                        <wps:txbx>
                          <w:txbxContent>
                            <w:p w14:paraId="4D4E4614" w14:textId="77777777" w:rsidR="00B32EF2" w:rsidRDefault="00000000">
                              <w:r>
                                <w:rPr>
                                  <w:rFonts w:ascii="Arial" w:eastAsia="Arial" w:hAnsi="Arial" w:cs="Arial"/>
                                  <w:i/>
                                  <w:sz w:val="18"/>
                                </w:rPr>
                                <w:t xml:space="preserve">continuazione della loro riunione ritarderebbe o renderebbe più gravoso il </w:t>
                              </w:r>
                            </w:p>
                          </w:txbxContent>
                        </wps:txbx>
                        <wps:bodyPr horzOverflow="overflow" vert="horz" lIns="0" tIns="0" rIns="0" bIns="0" rtlCol="0">
                          <a:noAutofit/>
                        </wps:bodyPr>
                      </wps:wsp>
                      <wps:wsp>
                        <wps:cNvPr id="19443" name="Rectangle 19443"/>
                        <wps:cNvSpPr/>
                        <wps:spPr>
                          <a:xfrm rot="-10799999">
                            <a:off x="-1154586" y="5184559"/>
                            <a:ext cx="5068633" cy="142889"/>
                          </a:xfrm>
                          <a:prstGeom prst="rect">
                            <a:avLst/>
                          </a:prstGeom>
                          <a:ln>
                            <a:noFill/>
                          </a:ln>
                        </wps:spPr>
                        <wps:txbx>
                          <w:txbxContent>
                            <w:p w14:paraId="001A6943" w14:textId="77777777" w:rsidR="00B32EF2" w:rsidRDefault="00000000">
                              <w:r>
                                <w:rPr>
                                  <w:rFonts w:ascii="Arial" w:eastAsia="Arial" w:hAnsi="Arial" w:cs="Arial"/>
                                  <w:i/>
                                  <w:sz w:val="18"/>
                                </w:rPr>
                                <w:t xml:space="preserve">processo, e può rimettere al giudice inferiore le cause di sua competenza. </w:t>
                              </w:r>
                            </w:p>
                          </w:txbxContent>
                        </wps:txbx>
                        <wps:bodyPr horzOverflow="overflow" vert="horz" lIns="0" tIns="0" rIns="0" bIns="0" rtlCol="0">
                          <a:noAutofit/>
                        </wps:bodyPr>
                      </wps:wsp>
                      <wps:wsp>
                        <wps:cNvPr id="19444" name="Rectangle 19444"/>
                        <wps:cNvSpPr/>
                        <wps:spPr>
                          <a:xfrm rot="-10799999">
                            <a:off x="1393328" y="5061229"/>
                            <a:ext cx="2520719" cy="142889"/>
                          </a:xfrm>
                          <a:prstGeom prst="rect">
                            <a:avLst/>
                          </a:prstGeom>
                          <a:ln>
                            <a:noFill/>
                          </a:ln>
                        </wps:spPr>
                        <wps:txbx>
                          <w:txbxContent>
                            <w:p w14:paraId="3BA1D5EA" w14:textId="77777777" w:rsidR="00B32EF2" w:rsidRDefault="00000000">
                              <w:r>
                                <w:rPr>
                                  <w:rFonts w:ascii="Arial" w:eastAsia="Arial" w:hAnsi="Arial" w:cs="Arial"/>
                                  <w:i/>
                                  <w:sz w:val="18"/>
                                </w:rPr>
                                <w:t xml:space="preserve">art. 105 c.p.c. “Intervento volontario” </w:t>
                              </w:r>
                            </w:p>
                          </w:txbxContent>
                        </wps:txbx>
                        <wps:bodyPr horzOverflow="overflow" vert="horz" lIns="0" tIns="0" rIns="0" bIns="0" rtlCol="0">
                          <a:noAutofit/>
                        </wps:bodyPr>
                      </wps:wsp>
                      <wps:wsp>
                        <wps:cNvPr id="201394" name="Rectangle 201394"/>
                        <wps:cNvSpPr/>
                        <wps:spPr>
                          <a:xfrm rot="-10799999">
                            <a:off x="2584846" y="4937899"/>
                            <a:ext cx="5100952" cy="142889"/>
                          </a:xfrm>
                          <a:prstGeom prst="rect">
                            <a:avLst/>
                          </a:prstGeom>
                          <a:ln>
                            <a:noFill/>
                          </a:ln>
                        </wps:spPr>
                        <wps:txbx>
                          <w:txbxContent>
                            <w:p w14:paraId="4D183AC8"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395" name="Rectangle 201395"/>
                        <wps:cNvSpPr/>
                        <wps:spPr>
                          <a:xfrm rot="-10799999">
                            <a:off x="-1246421" y="4937899"/>
                            <a:ext cx="5100951" cy="142889"/>
                          </a:xfrm>
                          <a:prstGeom prst="rect">
                            <a:avLst/>
                          </a:prstGeom>
                          <a:ln>
                            <a:noFill/>
                          </a:ln>
                        </wps:spPr>
                        <wps:txbx>
                          <w:txbxContent>
                            <w:p w14:paraId="07A2F770" w14:textId="77777777" w:rsidR="00B32EF2" w:rsidRDefault="00000000">
                              <w:r>
                                <w:rPr>
                                  <w:rFonts w:ascii="Arial" w:eastAsia="Arial" w:hAnsi="Arial" w:cs="Arial"/>
                                  <w:i/>
                                  <w:sz w:val="18"/>
                                </w:rPr>
                                <w:t xml:space="preserve">. Ciascuno può intervenire in un processo tra altre persone per far valere, </w:t>
                              </w:r>
                            </w:p>
                          </w:txbxContent>
                        </wps:txbx>
                        <wps:bodyPr horzOverflow="overflow" vert="horz" lIns="0" tIns="0" rIns="0" bIns="0" rtlCol="0">
                          <a:noAutofit/>
                        </wps:bodyPr>
                      </wps:wsp>
                      <wps:wsp>
                        <wps:cNvPr id="19446" name="Rectangle 19446"/>
                        <wps:cNvSpPr/>
                        <wps:spPr>
                          <a:xfrm rot="-10799999">
                            <a:off x="-1186051" y="4814570"/>
                            <a:ext cx="5097927" cy="142889"/>
                          </a:xfrm>
                          <a:prstGeom prst="rect">
                            <a:avLst/>
                          </a:prstGeom>
                          <a:ln>
                            <a:noFill/>
                          </a:ln>
                        </wps:spPr>
                        <wps:txbx>
                          <w:txbxContent>
                            <w:p w14:paraId="6FD31D28" w14:textId="77777777" w:rsidR="00B32EF2" w:rsidRDefault="00000000">
                              <w:r>
                                <w:rPr>
                                  <w:rFonts w:ascii="Arial" w:eastAsia="Arial" w:hAnsi="Arial" w:cs="Arial"/>
                                  <w:i/>
                                  <w:sz w:val="18"/>
                                </w:rPr>
                                <w:t xml:space="preserve">in confronto di tutte le parti o di alcune di esse, un diritto relativo all’oggetto </w:t>
                              </w:r>
                            </w:p>
                          </w:txbxContent>
                        </wps:txbx>
                        <wps:bodyPr horzOverflow="overflow" vert="horz" lIns="0" tIns="0" rIns="0" bIns="0" rtlCol="0">
                          <a:noAutofit/>
                        </wps:bodyPr>
                      </wps:wsp>
                      <wps:wsp>
                        <wps:cNvPr id="19447" name="Rectangle 19447"/>
                        <wps:cNvSpPr/>
                        <wps:spPr>
                          <a:xfrm rot="-10799999">
                            <a:off x="102793" y="4691240"/>
                            <a:ext cx="3811253" cy="142889"/>
                          </a:xfrm>
                          <a:prstGeom prst="rect">
                            <a:avLst/>
                          </a:prstGeom>
                          <a:ln>
                            <a:noFill/>
                          </a:ln>
                        </wps:spPr>
                        <wps:txbx>
                          <w:txbxContent>
                            <w:p w14:paraId="0D80F966" w14:textId="77777777" w:rsidR="00B32EF2" w:rsidRDefault="00000000">
                              <w:r>
                                <w:rPr>
                                  <w:rFonts w:ascii="Arial" w:eastAsia="Arial" w:hAnsi="Arial" w:cs="Arial"/>
                                  <w:i/>
                                  <w:sz w:val="18"/>
                                </w:rPr>
                                <w:t xml:space="preserve">o dipendente dal titolo dedotto nel processo medesimo. </w:t>
                              </w:r>
                            </w:p>
                          </w:txbxContent>
                        </wps:txbx>
                        <wps:bodyPr horzOverflow="overflow" vert="horz" lIns="0" tIns="0" rIns="0" bIns="0" rtlCol="0">
                          <a:noAutofit/>
                        </wps:bodyPr>
                      </wps:wsp>
                      <wps:wsp>
                        <wps:cNvPr id="201392" name="Rectangle 201392"/>
                        <wps:cNvSpPr/>
                        <wps:spPr>
                          <a:xfrm rot="-10799999">
                            <a:off x="2577634" y="4567910"/>
                            <a:ext cx="5130019" cy="142889"/>
                          </a:xfrm>
                          <a:prstGeom prst="rect">
                            <a:avLst/>
                          </a:prstGeom>
                          <a:ln>
                            <a:noFill/>
                          </a:ln>
                        </wps:spPr>
                        <wps:txbx>
                          <w:txbxContent>
                            <w:p w14:paraId="32ACF886"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393" name="Rectangle 201393"/>
                        <wps:cNvSpPr/>
                        <wps:spPr>
                          <a:xfrm rot="-10799999">
                            <a:off x="-1258525" y="4567910"/>
                            <a:ext cx="5130019" cy="142889"/>
                          </a:xfrm>
                          <a:prstGeom prst="rect">
                            <a:avLst/>
                          </a:prstGeom>
                          <a:ln>
                            <a:noFill/>
                          </a:ln>
                        </wps:spPr>
                        <wps:txbx>
                          <w:txbxContent>
                            <w:p w14:paraId="5A3E7CEF" w14:textId="77777777" w:rsidR="00B32EF2" w:rsidRDefault="00000000">
                              <w:r>
                                <w:rPr>
                                  <w:rFonts w:ascii="Arial" w:eastAsia="Arial" w:hAnsi="Arial" w:cs="Arial"/>
                                  <w:i/>
                                  <w:sz w:val="18"/>
                                </w:rPr>
                                <w:t xml:space="preserve">. Può altresì intervenire per sostenere le ragioni di alcuna delle parti, </w:t>
                              </w:r>
                            </w:p>
                          </w:txbxContent>
                        </wps:txbx>
                        <wps:bodyPr horzOverflow="overflow" vert="horz" lIns="0" tIns="0" rIns="0" bIns="0" rtlCol="0">
                          <a:noAutofit/>
                        </wps:bodyPr>
                      </wps:wsp>
                      <wps:wsp>
                        <wps:cNvPr id="19449" name="Rectangle 19449"/>
                        <wps:cNvSpPr/>
                        <wps:spPr>
                          <a:xfrm rot="-10799999">
                            <a:off x="1594525" y="4444581"/>
                            <a:ext cx="2319521" cy="142889"/>
                          </a:xfrm>
                          <a:prstGeom prst="rect">
                            <a:avLst/>
                          </a:prstGeom>
                          <a:ln>
                            <a:noFill/>
                          </a:ln>
                        </wps:spPr>
                        <wps:txbx>
                          <w:txbxContent>
                            <w:p w14:paraId="35918A98" w14:textId="77777777" w:rsidR="00B32EF2" w:rsidRDefault="00000000">
                              <w:r>
                                <w:rPr>
                                  <w:rFonts w:ascii="Arial" w:eastAsia="Arial" w:hAnsi="Arial" w:cs="Arial"/>
                                  <w:i/>
                                  <w:sz w:val="18"/>
                                </w:rPr>
                                <w:t>quando vi ha un proprio interesse.</w:t>
                              </w:r>
                            </w:p>
                          </w:txbxContent>
                        </wps:txbx>
                        <wps:bodyPr horzOverflow="overflow" vert="horz" lIns="0" tIns="0" rIns="0" bIns="0" rtlCol="0">
                          <a:noAutofit/>
                        </wps:bodyPr>
                      </wps:wsp>
                      <wps:wsp>
                        <wps:cNvPr id="19450" name="Rectangle 19450"/>
                        <wps:cNvSpPr/>
                        <wps:spPr>
                          <a:xfrm rot="-10799999">
                            <a:off x="815702" y="4321251"/>
                            <a:ext cx="3098345" cy="142889"/>
                          </a:xfrm>
                          <a:prstGeom prst="rect">
                            <a:avLst/>
                          </a:prstGeom>
                          <a:ln>
                            <a:noFill/>
                          </a:ln>
                        </wps:spPr>
                        <wps:txbx>
                          <w:txbxContent>
                            <w:p w14:paraId="38CBCB19" w14:textId="77777777" w:rsidR="00B32EF2" w:rsidRDefault="00000000">
                              <w:r>
                                <w:rPr>
                                  <w:rFonts w:ascii="Arial" w:eastAsia="Arial" w:hAnsi="Arial" w:cs="Arial"/>
                                  <w:i/>
                                  <w:sz w:val="18"/>
                                </w:rPr>
                                <w:t xml:space="preserve">art. 106 c.p.c. “Intervento su istanza di parte” </w:t>
                              </w:r>
                            </w:p>
                          </w:txbxContent>
                        </wps:txbx>
                        <wps:bodyPr horzOverflow="overflow" vert="horz" lIns="0" tIns="0" rIns="0" bIns="0" rtlCol="0">
                          <a:noAutofit/>
                        </wps:bodyPr>
                      </wps:wsp>
                      <wps:wsp>
                        <wps:cNvPr id="19451" name="Rectangle 19451"/>
                        <wps:cNvSpPr/>
                        <wps:spPr>
                          <a:xfrm rot="-10799999">
                            <a:off x="-1090798" y="4197921"/>
                            <a:ext cx="5004846" cy="142889"/>
                          </a:xfrm>
                          <a:prstGeom prst="rect">
                            <a:avLst/>
                          </a:prstGeom>
                          <a:ln>
                            <a:noFill/>
                          </a:ln>
                        </wps:spPr>
                        <wps:txbx>
                          <w:txbxContent>
                            <w:p w14:paraId="658C8E3A" w14:textId="77777777" w:rsidR="00B32EF2" w:rsidRDefault="00000000">
                              <w:r>
                                <w:rPr>
                                  <w:rFonts w:ascii="Arial" w:eastAsia="Arial" w:hAnsi="Arial" w:cs="Arial"/>
                                  <w:i/>
                                  <w:sz w:val="18"/>
                                </w:rPr>
                                <w:t>Ciascuna parte può chiamare nel processo un terzo al quale ritiene comu</w:t>
                              </w:r>
                            </w:p>
                          </w:txbxContent>
                        </wps:txbx>
                        <wps:bodyPr horzOverflow="overflow" vert="horz" lIns="0" tIns="0" rIns="0" bIns="0" rtlCol="0">
                          <a:noAutofit/>
                        </wps:bodyPr>
                      </wps:wsp>
                      <wps:wsp>
                        <wps:cNvPr id="19452" name="Rectangle 19452"/>
                        <wps:cNvSpPr/>
                        <wps:spPr>
                          <a:xfrm rot="-10799999">
                            <a:off x="98153" y="4197922"/>
                            <a:ext cx="50622" cy="142889"/>
                          </a:xfrm>
                          <a:prstGeom prst="rect">
                            <a:avLst/>
                          </a:prstGeom>
                          <a:ln>
                            <a:noFill/>
                          </a:ln>
                        </wps:spPr>
                        <wps:txbx>
                          <w:txbxContent>
                            <w:p w14:paraId="1AFA6AE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453" name="Rectangle 19453"/>
                        <wps:cNvSpPr/>
                        <wps:spPr>
                          <a:xfrm rot="-10799999">
                            <a:off x="506571" y="4074591"/>
                            <a:ext cx="3407476" cy="142889"/>
                          </a:xfrm>
                          <a:prstGeom prst="rect">
                            <a:avLst/>
                          </a:prstGeom>
                          <a:ln>
                            <a:noFill/>
                          </a:ln>
                        </wps:spPr>
                        <wps:txbx>
                          <w:txbxContent>
                            <w:p w14:paraId="3CEB959C" w14:textId="77777777" w:rsidR="00B32EF2" w:rsidRDefault="00000000">
                              <w:r>
                                <w:rPr>
                                  <w:rFonts w:ascii="Arial" w:eastAsia="Arial" w:hAnsi="Arial" w:cs="Arial"/>
                                  <w:i/>
                                  <w:sz w:val="18"/>
                                </w:rPr>
                                <w:t>ne la causa o dal quale pretende essere garantita.</w:t>
                              </w:r>
                            </w:p>
                          </w:txbxContent>
                        </wps:txbx>
                        <wps:bodyPr horzOverflow="overflow" vert="horz" lIns="0" tIns="0" rIns="0" bIns="0" rtlCol="0">
                          <a:noAutofit/>
                        </wps:bodyPr>
                      </wps:wsp>
                      <wps:wsp>
                        <wps:cNvPr id="19454" name="Rectangle 19454"/>
                        <wps:cNvSpPr/>
                        <wps:spPr>
                          <a:xfrm rot="-10799999">
                            <a:off x="593966" y="3951262"/>
                            <a:ext cx="3320080" cy="142889"/>
                          </a:xfrm>
                          <a:prstGeom prst="rect">
                            <a:avLst/>
                          </a:prstGeom>
                          <a:ln>
                            <a:noFill/>
                          </a:ln>
                        </wps:spPr>
                        <wps:txbx>
                          <w:txbxContent>
                            <w:p w14:paraId="42605EF9" w14:textId="77777777" w:rsidR="00B32EF2" w:rsidRDefault="00000000">
                              <w:r>
                                <w:rPr>
                                  <w:rFonts w:ascii="Arial" w:eastAsia="Arial" w:hAnsi="Arial" w:cs="Arial"/>
                                  <w:i/>
                                  <w:sz w:val="18"/>
                                </w:rPr>
                                <w:t xml:space="preserve">art. 107 c.p.c. “Intervento per ordine del giudice” </w:t>
                              </w:r>
                            </w:p>
                          </w:txbxContent>
                        </wps:txbx>
                        <wps:bodyPr horzOverflow="overflow" vert="horz" lIns="0" tIns="0" rIns="0" bIns="0" rtlCol="0">
                          <a:noAutofit/>
                        </wps:bodyPr>
                      </wps:wsp>
                      <wps:wsp>
                        <wps:cNvPr id="19455" name="Rectangle 19455"/>
                        <wps:cNvSpPr/>
                        <wps:spPr>
                          <a:xfrm rot="-10799999">
                            <a:off x="-1184408" y="3827932"/>
                            <a:ext cx="5093884" cy="142889"/>
                          </a:xfrm>
                          <a:prstGeom prst="rect">
                            <a:avLst/>
                          </a:prstGeom>
                          <a:ln>
                            <a:noFill/>
                          </a:ln>
                        </wps:spPr>
                        <wps:txbx>
                          <w:txbxContent>
                            <w:p w14:paraId="52ABD025" w14:textId="77777777" w:rsidR="00B32EF2" w:rsidRDefault="00000000">
                              <w:r>
                                <w:rPr>
                                  <w:rFonts w:ascii="Arial" w:eastAsia="Arial" w:hAnsi="Arial" w:cs="Arial"/>
                                  <w:i/>
                                  <w:sz w:val="18"/>
                                </w:rPr>
                                <w:t xml:space="preserve">Il giudice, quando ritiene opportuno che il processo si svolga in confronto di </w:t>
                              </w:r>
                            </w:p>
                          </w:txbxContent>
                        </wps:txbx>
                        <wps:bodyPr horzOverflow="overflow" vert="horz" lIns="0" tIns="0" rIns="0" bIns="0" rtlCol="0">
                          <a:noAutofit/>
                        </wps:bodyPr>
                      </wps:wsp>
                      <wps:wsp>
                        <wps:cNvPr id="19456" name="Rectangle 19456"/>
                        <wps:cNvSpPr/>
                        <wps:spPr>
                          <a:xfrm rot="-10799999">
                            <a:off x="-103527" y="3704603"/>
                            <a:ext cx="4017574" cy="142889"/>
                          </a:xfrm>
                          <a:prstGeom prst="rect">
                            <a:avLst/>
                          </a:prstGeom>
                          <a:ln>
                            <a:noFill/>
                          </a:ln>
                        </wps:spPr>
                        <wps:txbx>
                          <w:txbxContent>
                            <w:p w14:paraId="1D4BDC0E" w14:textId="77777777" w:rsidR="00B32EF2" w:rsidRDefault="00000000">
                              <w:r>
                                <w:rPr>
                                  <w:rFonts w:ascii="Arial" w:eastAsia="Arial" w:hAnsi="Arial" w:cs="Arial"/>
                                  <w:i/>
                                  <w:sz w:val="18"/>
                                </w:rPr>
                                <w:t>un terzo al quale la causa è comune, ne ordina l’intervento.</w:t>
                              </w:r>
                            </w:p>
                          </w:txbxContent>
                        </wps:txbx>
                        <wps:bodyPr horzOverflow="overflow" vert="horz" lIns="0" tIns="0" rIns="0" bIns="0" rtlCol="0">
                          <a:noAutofit/>
                        </wps:bodyPr>
                      </wps:wsp>
                      <wps:wsp>
                        <wps:cNvPr id="19457" name="Shape 19457"/>
                        <wps:cNvSpPr/>
                        <wps:spPr>
                          <a:xfrm>
                            <a:off x="32395" y="3659209"/>
                            <a:ext cx="3960000" cy="2609901"/>
                          </a:xfrm>
                          <a:custGeom>
                            <a:avLst/>
                            <a:gdLst/>
                            <a:ahLst/>
                            <a:cxnLst/>
                            <a:rect l="0" t="0" r="0" b="0"/>
                            <a:pathLst>
                              <a:path w="3960000" h="2609901">
                                <a:moveTo>
                                  <a:pt x="0" y="2609901"/>
                                </a:moveTo>
                                <a:lnTo>
                                  <a:pt x="3960000" y="2609901"/>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9C44F21" id="Group 201448" o:spid="_x0000_s4494" style="width:314.35pt;height:493.65pt;mso-position-horizontal-relative:char;mso-position-vertical-relative:line" coordsize="39923,6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QPzAwAACOMAAAOAAAAZHJzL2Uyb0RvYy54bWzkXWtv2zgW/b7A/gfD39PwpQeNpoNBu1Ms&#10;sNgZzMz+ANXxC5AtQ3abdH/9nktSlK0wbSFhw2DYAolDS7TMo/s6vPfq7U+P+3r2ZdWeds3hbs7f&#10;sPlsdVg297vD5m7+nz9/uSnns9O5OtxXdXNY3c2/rk7zn979/W9vH46LlWi2TX2/ameY5HBaPBzv&#10;5tvz+bi4vT0tt6t9dXrTHFcHvLlu2n11xp/t5va+rR4w+76+FYzltw9Ne39sm+XqdMLoB/vm/J2Z&#10;f71eLc+/rten1XlW381xbWfzszU/P9HP23dvq8WmrY7b3dJdRjXiKvbV7oAP9VN9qM7V7HO7ezLV&#10;frdsm1OzPr9ZNvvbZr3eLVfmO+DbcDb4Nh/b5vPRfJfN4mFz9MuEpR2s0+hpl//+8rE9/nH8rcVK&#10;PBw3WAvzF32Xx3W7p9+4ytmjWbKvfslWj+fZEoNSayF1Pp8t8V4ucs05t4u63GLln5y33P7jO2fe&#10;dh98e3U5D0fcIKd+DU7T1uCPbXVcmaU9LbAGv7Wz3T3uX60Yn88O1R636u+4earDpl7N7LBZIHO0&#10;X67T4oSV69Zq1ja4v244KzT9M/eDWzuugW4p5jOs0k0u8KddpG4ZeVHKXNtVFBnLVU7v+6WoFsf2&#10;dP64avYzenE3b3FtZv7qy79OZ3todwhdTn2gn4fml11d23dpBCvaXTG9Oj9+ejRfW0ou6PNo8FNz&#10;/xWrsW3a//4KuV7XzcPdvHGv5iTq+Hh6dz6r/3kACiRV3Yu2e/Gpe9Ge6/eNkT17QT9/Pjfrnbni&#10;/tPclQFeew0vgjPACOHsFwJ3xQicgV2R4RYCzlKxXGgzX7XogC45V6qwQHMlylK/MNAyKaChVGUJ&#10;EzRE2o27e34U1EIISK2yUItS6NwsbQ811zLTUbFW6WENHRrE2ogZaZxRWN+ITMDQXWA9EOv4WGfJ&#10;YQ0bGsTa2tbRWHOeF0ZFkwp/nXJtnIPefCZgrKFmh2JNTplXcKOkmnOhtHAanGdQ4EMNDs825ziA&#10;nNso1rpITqpLOEdDqI219ksxCusbLouszKRV4Uzmkg3AziTTTMB1iwZ2mR7YCByDYHsNNwpskXOe&#10;iex7WMOeR8Pa+yPJxFsBqEmFT0Oal6XipY23hOZCFwOpFgi7eRdZx1DhwkT6yRhro6oheUGp9j7q&#10;KKm+4aKUIrf2WhSlzpWx/33ElQnOWeZolChgG+4rLbADrpm5Cab5ZiKXWSmdYL9OrD1TlIwKDxAp&#10;pMK93zJKrLkuMhtZW5keKHAQaiKioRbmcpKRaIIzQKHY4SlsGZQ3L3MN5x6hlMjzXPIh0IILVuAW&#10;i+WTIRJMjAPnAQYFUGN4CtQXAm1wHhrpyALtnZBU1DY25J64Y4Sy91VGqW0j0Mzx3yJTQuM1bpsr&#10;b4wp6bYGo3hjPrZIBmpYyqHnTVB7V2UU1BcCHcQ5skB7YigZlMFihVD2rsoolMGQcZhlGGCy0Irr&#10;PBsKtGSlJtY9moX2nmYyUAeiKxJo76qMglryEvGVQ5o2LsGVXanukukiJu8t0qLHTLwcUN1ufIoz&#10;ZqlQuPQk1LzALuYAakN7MzA2sYRaem8zCaE2mAYUuBufgjU0ONJLChdjPQ92RJcMjI77hkmATao6&#10;zHtjeArUyD3JOHKHjFgzhW3KgVjjNig4MlLiibX3OZNA2ohvINBy41Owpq1LXYKIIrC5huWWA7CN&#10;DsdgPLC965kO2AHuxIDtzdko18zaa8t7W6yNoriIqmmbOirW3vdMAmtS4WHeG8MTxRrxFm1NkliX&#10;TCKb/doLj56RYPVMSuQ3D5PfGJ4CtVAZY9YtQ3KZzosB0LJQhVQx9bf3RpKQadLTtNMwJFHc+CSo&#10;sW+pSD2TUGdZLpEAjPku9De2OfIsJtZp8WUG04BUu/EpWFNCgiqoYMSDPRBsJCQA7JjxlrdRSQg2&#10;jDVl8A3l2g5PgbqnwMNCHZcCl948JYNygC0jlH3QOcr5hkBTTaETaCUls2H6tfam7ZRokZby4UUy&#10;UAfIMoLah5yjoCaBdhG1wXlopeMKtEqOJqM0/JDa9sHmKJTtnpbbpOaInHOkl1+7YyacjmihlVdZ&#10;yQg0nN8Q1IbUomBzFNRSqTK3W1ocmUYyGwAtc1UouhNi7XMor7CSANr41wFfzI1PccZonwMblMCS&#10;/G6GUg5h3NwLMx27lsNmJifDnBhQnyFEC++xjJJrS4i+aqy94kpCsMn3CtRo2eFpYo2+CMrpcI3S&#10;Oz2UaqT3l6iniKfC06LJCNIAS2aHpyDdR9NBmCP73mnxY4RmgB6zw1NAJt+76Ngx1GBJSDbmuzTS&#10;6JRCWUjRPLLkyDHk2oRc7z4FZ5SJplrLwhXh5RqFtYaO6oEWCukJMWvwVFr8GHljtNzDIMuNTxTq&#10;XCP5xLjewLSwxT891jadLGI8nXl3MwlvzGAaMNJufArW1vO2IbWBeiDW0TMH0WfJfb8koIZJlmHa&#10;G8NTgKZSDg1RNkKtVI50o4GlxjaWjNkaAQWCqSEdZr1th5LRJFnveAdhjut4g49PCWQUO2pqnGit&#10;tOlHOHNj3xVmcqNdZ0Fp2y+CCZN5pgUyuXF2b48RRjP8s062yBnqN4zWvGgtuPxsWwvSaV07QTSy&#10;vLeNBTG27V4tHw/dS2pA+M2emsfqTOfRpPRyhi6C/lq2VAJqL4Xe36O94J+NOfI8aBiJy+zfrQ+X&#10;R/nZ8NWNzcex3RHd76OZ7/LI7nOxSM8ebxXhjx95/emYlr6wmd8vAgYvl7k+0HoQKhV6nq7ryjZz&#10;3O/OaIZa7/agNUVBsHWX+aR34+n8tV7RktWH31drdHE0DTpp4NRuPr2v29mXitoumn+2U2R93FZu&#10;1M3rDnVLgXno/DVaRvopuTn1asr3kv67GdzBdN7KdFv1ZzJ75tJdjW25isal+NJd41Usij/JfHJz&#10;OPvzD2gXaz6ElJ37tj2fSutCf71cy0hyqNDTM+hUYxwXNFor36AnJMImy3HmTBVlPswjYQiqEMX4&#10;UFkPhbhr/vl/6g9qS8H69f+LtxwzYD/jVVtWcjTYUCul5jZB7BtYX9AiL451cnw2FSkPg2Xytj3d&#10;O4oW0SV3KQYW58GGZOTGFshKczormeApvGshPd87CmUob/S1gMKmzUg4YCqzE/YuWMbR+xndLrzy&#10;fumev3YrPBnlTZIb0N12eKKdLjNGMThBXTLqV0JCdAE100j1jsl+pUdpB3wygnqaSwbNzakTJQGd&#10;F0WJosoroGUBMx6z0xg+OyX1bRyygJV241OkWkCS88Ix2lmmMjXcp6KaWurdH2ufKk+P0qZGUUOP&#10;zGA91ViLDBA7Y/082LgbooGdHKmNZNcnWEOD9zmwo/2ysqC5SYcrPOHC1utdGGtsP2NrMiLUybHa&#10;SHYNQu0XYjzUSlr+BLtSRYlHPlyZa7jg6P18EVO/tAtunw2RkguOdNcg1J7kHws1LHTpFDgvVWYd&#10;oQupZjmyfyNGW2hQm5JnRpoakjc01nZ4il8GulXi+QtWf6MoR9imQD3SeCYHK6hgN5qpTosoM/5X&#10;AGo3PgVr+ODIzbdSDSoc/X6HO9CcMU1tYqNhnRZdZjAN1Gm48SlYI9tA5aZME47ZN8CO6YP7KCMV&#10;bpRkL6TC/V0/1lqXOXOPQ1MlV5ktBuh1eIY6Dk3p5NHkOjnCjJ5IFoLa3/OjoOZMFBpeF8k0HgIp&#10;bJ1qDzR1JhO0HRIN6AQJs0C0ZRT4tHALyb4F+lpYrMGOatsvusc6Q6Uli+mY9SVHSehvg2kg3HLj&#10;E401nprkHqWjXifY6RFm4S2PPst9nAbHwyo90ojpMmT049bpxVpIDhc8oltWeL2VhFgjhEYye8hW&#10;9znuo5BGXkLBYBvIViOtV9g86h5oFM+WUdtR2Yc4pcSWkY8ccMr6DPdRQONR1BpZppZDQUdvuNoD&#10;mUZfMht4x3LLUMXt7FMyMh3wykjUvXIbBXWfbGRxNrP1Ih052ahIiykjOAP+mB2e4o4BxsxtVStW&#10;qMymBvYw45HjaCUYcUvLdjZMSnMHGFEC2uu1UeKcUWG05UOlztBEbiDPYMYZKymBHEY8xrNVbEJM&#10;UkAH6FAC2qu2UUBT+qCiR6iRNyZLIlEGUIMiwyPscZdFgzo5iow6Noa8salsKPo2E9dJSBdM5cMn&#10;ECvGi4za2kRDOi2OjKTXk6G2AMsOfddEU1h8UX9ls/lt/dVg48rXHhGm1yVFj+t2TxNdFga9ovqr&#10;64v9kSqs6zO6Gqzu99NarL68ydZ1XR8J44YlGx6zrJvTCvj8eJWVqaSCTD1baWVLpOyc9eGHKq0C&#10;ZVGu0qqbJlRM5UqixtVnvYpKK9RcbRYPm6NZ/01bHbe75YfqXF3+bRZwsRLNtqnvV+27/wEAAP//&#10;AwBQSwMEFAAGAAgAAAAhAEPL1AjeAAAABQEAAA8AAABkcnMvZG93bnJldi54bWxMj0FrwkAQhe+F&#10;/odlCr3VTZRqjNmISNuTFNRC6W3MjkkwOxuyaxL/fbe9tJeBx3u89022Hk0jeupcbVlBPIlAEBdW&#10;11wq+Di+PiUgnEfW2FgmBTdysM7v7zJMtR14T/3BlyKUsEtRQeV9m0rpiooMuoltiYN3tp1BH2RX&#10;St3hEMpNI6dRNJcGaw4LFba0rai4HK5GwduAw2YWv/S7y3l7+zo+v3/uYlLq8WHcrEB4Gv1fGH7w&#10;Azrkgelkr6ydaBSER/zvDd58mixAnBQsk8UMZJ7J//T5NwAAAP//AwBQSwECLQAUAAYACAAAACEA&#10;toM4kv4AAADhAQAAEwAAAAAAAAAAAAAAAAAAAAAAW0NvbnRlbnRfVHlwZXNdLnhtbFBLAQItABQA&#10;BgAIAAAAIQA4/SH/1gAAAJQBAAALAAAAAAAAAAAAAAAAAC8BAABfcmVscy8ucmVsc1BLAQItABQA&#10;BgAIAAAAIQAl/sQPzAwAACOMAAAOAAAAAAAAAAAAAAAAAC4CAABkcnMvZTJvRG9jLnhtbFBLAQIt&#10;ABQABgAIAAAAIQBDy9QI3gAAAAUBAAAPAAAAAAAAAAAAAAAAACYPAABkcnMvZG93bnJldi54bWxQ&#10;SwUGAAAAAAQABADzAAAAMRAAAAAA&#10;">
                <v:rect id="Rectangle 19401" o:spid="_x0000_s4495" style="position:absolute;left:19010;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EoxQAAAN4AAAAPAAAAZHJzL2Rvd25yZXYueG1sRE9La8JA&#10;EL4X+h+WKfSmG4sUjW5ELGIOvVRT6HHITh6anV2yq0n767sFobf5+J6z3oymEzfqfWtZwWyagCAu&#10;rW65VlCc9pMFCB+QNXaWScE3edhkjw9rTLUd+INux1CLGMI+RQVNCC6V0pcNGfRT64gjV9neYIiw&#10;r6XucYjhppMvSfIqDbYcGxp0tGuovByvRsHXG7t8P8iy+tm593O+6A7X4lOp56dxuwIRaAz/4rs7&#10;13H+cp7M4O+deIPMfgEAAP//AwBQSwECLQAUAAYACAAAACEA2+H2y+4AAACFAQAAEwAAAAAAAAAA&#10;AAAAAAAAAAAAW0NvbnRlbnRfVHlwZXNdLnhtbFBLAQItABQABgAIAAAAIQBa9CxbvwAAABUBAAAL&#10;AAAAAAAAAAAAAAAAAB8BAABfcmVscy8ucmVsc1BLAQItABQABgAIAAAAIQC+24EoxQAAAN4AAAAP&#10;AAAAAAAAAAAAAAAAAAcCAABkcnMvZG93bnJldi54bWxQSwUGAAAAAAMAAwC3AAAA+QIAAAAA&#10;" filled="f" stroked="f">
                  <v:textbox inset="0,0,0,0">
                    <w:txbxContent>
                      <w:p w14:paraId="242EF46F" w14:textId="77777777" w:rsidR="00B32EF2" w:rsidRDefault="00000000">
                        <w:r>
                          <w:rPr>
                            <w:rFonts w:ascii="Times New Roman" w:eastAsia="Times New Roman" w:hAnsi="Times New Roman" w:cs="Times New Roman"/>
                          </w:rPr>
                          <w:t>53</w:t>
                        </w:r>
                      </w:p>
                    </w:txbxContent>
                  </v:textbox>
                </v:rect>
                <v:rect id="Rectangle 19402" o:spid="_x0000_s4496" style="position:absolute;left:15067;top:34062;width:81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R9fxAAAAN4AAAAPAAAAZHJzL2Rvd25yZXYueG1sRE9Na8JA&#10;EL0L/Q/LFLzppiKiqasUi5hDL2oKPQ7ZMUmbnV2yq4n99a4geJvH+5zlujeNuFDra8sK3sYJCOLC&#10;6ppLBflxO5qD8AFZY2OZFFzJw3r1Mlhiqm3He7ocQiliCPsUFVQhuFRKX1Rk0I+tI47cybYGQ4Rt&#10;KXWLXQw3jZwkyUwarDk2VOhoU1HxdzgbBT+f7LJtJ4vT/8Z9/WbzZnfOv5UavvYf7yAC9eEpfrgz&#10;HecvpskE7u/EG+TqBgAA//8DAFBLAQItABQABgAIAAAAIQDb4fbL7gAAAIUBAAATAAAAAAAAAAAA&#10;AAAAAAAAAABbQ29udGVudF9UeXBlc10ueG1sUEsBAi0AFAAGAAgAAAAhAFr0LFu/AAAAFQEAAAsA&#10;AAAAAAAAAAAAAAAAHwEAAF9yZWxzLy5yZWxzUEsBAi0AFAAGAAgAAAAhAE4JH1/EAAAA3gAAAA8A&#10;AAAAAAAAAAAAAAAABwIAAGRycy9kb3ducmV2LnhtbFBLBQYAAAAAAwADALcAAAD4AgAAAAA=&#10;" filled="f" stroked="f">
                  <v:textbox inset="0,0,0,0">
                    <w:txbxContent>
                      <w:p w14:paraId="70D463BA" w14:textId="77777777" w:rsidR="00B32EF2" w:rsidRDefault="00000000">
                        <w:r>
                          <w:rPr>
                            <w:rFonts w:ascii="Arial" w:eastAsia="Arial" w:hAnsi="Arial" w:cs="Arial"/>
                            <w:b/>
                            <w:sz w:val="18"/>
                          </w:rPr>
                          <w:t>Articolo 59</w:t>
                        </w:r>
                      </w:p>
                    </w:txbxContent>
                  </v:textbox>
                </v:rect>
                <v:rect id="Rectangle 201388" o:spid="_x0000_s4497" style="position:absolute;left:22217;top:32829;width:193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uxAAAAN8AAAAPAAAAZHJzL2Rvd25yZXYueG1sRE/LisIw&#10;FN0P+A/hCu7GVAeGUo0iikwXs/EFLi/Nta02N6GJts7Xm8WAy8N5z5e9acSDWl9bVjAZJyCIC6tr&#10;LhUcD9vPFIQPyBoby6TgSR6Wi8HHHDNtO97RYx9KEUPYZ6igCsFlUvqiIoN+bB1x5C62NRgibEup&#10;W+xiuGnkNEm+pcGaY0OFjtYVFbf93Sg4b9jl204Wl7+1+73mafNzP56UGg371QxEoD68xf/uXCuY&#10;JpOvNA6Of+IXkIsXAAAA//8DAFBLAQItABQABgAIAAAAIQDb4fbL7gAAAIUBAAATAAAAAAAAAAAA&#10;AAAAAAAAAABbQ29udGVudF9UeXBlc10ueG1sUEsBAi0AFAAGAAgAAAAhAFr0LFu/AAAAFQEAAAsA&#10;AAAAAAAAAAAAAAAAHwEAAF9yZWxzLy5yZWxzUEsBAi0AFAAGAAgAAAAhAP81VO7EAAAA3wAAAA8A&#10;AAAAAAAAAAAAAAAABwIAAGRycy9kb3ducmV2LnhtbFBLBQYAAAAAAwADALcAAAD4AgAAAAA=&#10;" filled="f" stroked="f">
                  <v:textbox inset="0,0,0,0">
                    <w:txbxContent>
                      <w:p w14:paraId="4672AFAA" w14:textId="77777777" w:rsidR="00B32EF2" w:rsidRDefault="00000000">
                        <w:r>
                          <w:rPr>
                            <w:rFonts w:ascii="Arial" w:eastAsia="Arial" w:hAnsi="Arial" w:cs="Arial"/>
                            <w:i/>
                            <w:sz w:val="18"/>
                          </w:rPr>
                          <w:t>(</w:t>
                        </w:r>
                      </w:p>
                    </w:txbxContent>
                  </v:textbox>
                </v:rect>
                <v:rect id="Rectangle 201389" o:spid="_x0000_s4498" style="position:absolute;left:-2529;top:32829;width:193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fF1yAAAAN8AAAAPAAAAZHJzL2Rvd25yZXYueG1sRI9Pa8JA&#10;FMTvgt9heYK3utGCxNRVRJHm0Ev9Az0+ss8kbfbtkl1N7Kd3CwWPw8z8hlmue9OIG7W+tqxgOklA&#10;EBdW11wqOB33LykIH5A1NpZJwZ08rFfDwRIzbTv+pNshlCJC2GeooArBZVL6oiKDfmIdcfQutjUY&#10;omxLqVvsItw0cpYkc2mw5rhQoaNtRcXP4WoUfO3Y5ftOFpffrfv4ztPm/Xo6KzUe9Zs3EIH68Az/&#10;t3OtYJZMX9MF/P2JX0CuHgAAAP//AwBQSwECLQAUAAYACAAAACEA2+H2y+4AAACFAQAAEwAAAAAA&#10;AAAAAAAAAAAAAAAAW0NvbnRlbnRfVHlwZXNdLnhtbFBLAQItABQABgAIAAAAIQBa9CxbvwAAABUB&#10;AAALAAAAAAAAAAAAAAAAAB8BAABfcmVscy8ucmVsc1BLAQItABQABgAIAAAAIQCQefF1yAAAAN8A&#10;AAAPAAAAAAAAAAAAAAAAAAcCAABkcnMvZG93bnJldi54bWxQSwUGAAAAAAMAAwC3AAAA/AIAAAAA&#10;" filled="f" stroked="f">
                  <v:textbox inset="0,0,0,0">
                    <w:txbxContent>
                      <w:p w14:paraId="36A895D9" w14:textId="77777777" w:rsidR="00B32EF2" w:rsidRDefault="00000000">
                        <w:r>
                          <w:rPr>
                            <w:rFonts w:ascii="Arial" w:eastAsia="Arial" w:hAnsi="Arial" w:cs="Arial"/>
                            <w:i/>
                            <w:sz w:val="18"/>
                          </w:rPr>
                          <w:t>546/92)</w:t>
                        </w:r>
                      </w:p>
                    </w:txbxContent>
                  </v:textbox>
                </v:rect>
                <v:rect id="Rectangle 201390" o:spid="_x0000_s4499" style="position:absolute;left:11674;top:32829;width:193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s41xwAAAN8AAAAPAAAAZHJzL2Rvd25yZXYueG1sRI/LasJA&#10;FIb3Bd9hOEJ3daKFkqaOIoqYRTdNFVweMsckNXNmyEwu7dN3FoUuf/4b33o7mVYM1PnGsoLlIgFB&#10;XFrdcKXg/Hl8SkH4gKyxtUwKvsnDdjN7WGOm7cgfNBShEnGEfYYK6hBcJqUvazLoF9YRR+9mO4Mh&#10;yq6SusMxjptWrpLkRRpsOD7U6GhfU3kveqPgemCXH0dZ3n727v0rT9tTf74o9Tifdm8gAk3hP/zX&#10;zrWCVbJ8fo0EkSeygNz8AgAA//8DAFBLAQItABQABgAIAAAAIQDb4fbL7gAAAIUBAAATAAAAAAAA&#10;AAAAAAAAAAAAAABbQ29udGVudF9UeXBlc10ueG1sUEsBAi0AFAAGAAgAAAAhAFr0LFu/AAAAFQEA&#10;AAsAAAAAAAAAAAAAAAAAHwEAAF9yZWxzLy5yZWxzUEsBAi0AFAAGAAgAAAAhAISazjXHAAAA3wAA&#10;AA8AAAAAAAAAAAAAAAAABwIAAGRycy9kb3ducmV2LnhtbFBLBQYAAAAAAwADALcAAAD7AgAAAAA=&#10;" filled="f" stroked="f">
                  <v:textbox inset="0,0,0,0">
                    <w:txbxContent>
                      <w:p w14:paraId="3F55F94A" w14:textId="77777777" w:rsidR="00B32EF2" w:rsidRDefault="00000000">
                        <w:r>
                          <w:rPr>
                            <w:rFonts w:ascii="Arial" w:eastAsia="Arial" w:hAnsi="Arial" w:cs="Arial"/>
                            <w:i/>
                            <w:sz w:val="18"/>
                          </w:rPr>
                          <w:t xml:space="preserve">articolo 15 D.lgs. n. </w:t>
                        </w:r>
                      </w:p>
                    </w:txbxContent>
                  </v:textbox>
                </v:rect>
                <v:rect id="Rectangle 19404" o:spid="_x0000_s4500" style="position:absolute;left:11249;top:31596;width:139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CKwxQAAAN4AAAAPAAAAZHJzL2Rvd25yZXYueG1sRE9LawIx&#10;EL4X/A9hhN40axGxW7MiinQPvdQqeBw2s4+6mYRNdLf99aYg9DYf33NW68G04kadbywrmE0TEMSF&#10;1Q1XCo5f+8kShA/IGlvLpOCHPKyz0dMKU217/qTbIVQihrBPUUEdgkul9EVNBv3UOuLIlbYzGCLs&#10;Kqk77GO4aeVLkiykwYZjQ42OtjUVl8PVKDjv2OX7Xhbl79Z9fOfL9v16PCn1PB42byACDeFf/HDn&#10;Os5/nSdz+Hsn3iCzOwAAAP//AwBQSwECLQAUAAYACAAAACEA2+H2y+4AAACFAQAAEwAAAAAAAAAA&#10;AAAAAAAAAAAAW0NvbnRlbnRfVHlwZXNdLnhtbFBLAQItABQABgAIAAAAIQBa9CxbvwAAABUBAAAL&#10;AAAAAAAAAAAAAAAAAB8BAABfcmVscy8ucmVsc1BLAQItABQABgAIAAAAIQCurCKwxQAAAN4AAAAP&#10;AAAAAAAAAAAAAAAAAAcCAABkcnMvZG93bnJldi54bWxQSwUGAAAAAAMAAwC3AAAA+QIAAAAA&#10;" filled="f" stroked="f">
                  <v:textbox inset="0,0,0,0">
                    <w:txbxContent>
                      <w:p w14:paraId="7AECFA95" w14:textId="77777777" w:rsidR="00B32EF2" w:rsidRDefault="00000000">
                        <w:r>
                          <w:rPr>
                            <w:rFonts w:ascii="Arial" w:eastAsia="Arial" w:hAnsi="Arial" w:cs="Arial"/>
                            <w:b/>
                            <w:sz w:val="18"/>
                          </w:rPr>
                          <w:t xml:space="preserve">Spese del giudizio </w:t>
                        </w:r>
                      </w:p>
                    </w:txbxContent>
                  </v:textbox>
                </v:rect>
                <v:rect id="Rectangle 201387" o:spid="_x0000_s4501" style="position:absolute;left:-13758;top:30363;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sCcyAAAAN8AAAAPAAAAZHJzL2Rvd25yZXYueG1sRI9Pa8JA&#10;FMTvgt9heYI33WjBhtRVRJHm0Ev9Az0+ss8kbfbtkl1N7Kd3CwWPw8z8hlmue9OIG7W+tqxgNk1A&#10;EBdW11wqOB33kxSED8gaG8uk4E4e1qvhYImZth1/0u0QShEh7DNUUIXgMil9UZFBP7WOOHoX2xoM&#10;Ubal1C12EW4aOU+ShTRYc1yo0NG2ouLncDUKvnbs8n0ni8vv1n1852nzfj2dlRqP+s0biEB9eIb/&#10;27lWME9mL+kr/P2JX0CuHgAAAP//AwBQSwECLQAUAAYACAAAACEA2+H2y+4AAACFAQAAEwAAAAAA&#10;AAAAAAAAAAAAAAAAW0NvbnRlbnRfVHlwZXNdLnhtbFBLAQItABQABgAIAAAAIQBa9CxbvwAAABUB&#10;AAALAAAAAAAAAAAAAAAAAB8BAABfcmVscy8ucmVsc1BLAQItABQABgAIAAAAIQCOqsCcyAAAAN8A&#10;AAAPAAAAAAAAAAAAAAAAAAcCAABkcnMvZG93bnJldi54bWxQSwUGAAAAAAMAAwC3AAAA/AIAAAAA&#10;" filled="f" stroked="f">
                  <v:textbox inset="0,0,0,0">
                    <w:txbxContent>
                      <w:p w14:paraId="338AE251" w14:textId="77777777" w:rsidR="00B32EF2" w:rsidRDefault="00000000">
                        <w:r>
                          <w:rPr>
                            <w:rFonts w:ascii="Arial" w:eastAsia="Arial" w:hAnsi="Arial" w:cs="Arial"/>
                            <w:sz w:val="18"/>
                          </w:rPr>
                          <w:t xml:space="preserve">. La parte soccombente è condannata a rimborsare le spese del giudizio che </w:t>
                        </w:r>
                      </w:p>
                    </w:txbxContent>
                  </v:textbox>
                </v:rect>
                <v:rect id="Rectangle 201386" o:spid="_x0000_s4502" style="position:absolute;left:26115;top:30363;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mUHxwAAAN8AAAAPAAAAZHJzL2Rvd25yZXYueG1sRI9Ba8JA&#10;FITvBf/D8gRvdaMFCdFVRJHm4KVWweMj+0yi2bdLdjXRX98tFHocZuYbZrHqTSMe1PrasoLJOAFB&#10;XFhdc6ng+L17T0H4gKyxsUwKnuRhtRy8LTDTtuMvehxCKSKEfYYKqhBcJqUvKjLox9YRR+9iW4Mh&#10;yraUusUuwk0jp0kykwZrjgsVOtpUVNwOd6PgvGWX7zpZXF4bt7/mafN5P56UGg379RxEoD78h//a&#10;uVYwTSYf6Qx+/8QvIJc/AAAA//8DAFBLAQItABQABgAIAAAAIQDb4fbL7gAAAIUBAAATAAAAAAAA&#10;AAAAAAAAAAAAAABbQ29udGVudF9UeXBlc10ueG1sUEsBAi0AFAAGAAgAAAAhAFr0LFu/AAAAFQEA&#10;AAsAAAAAAAAAAAAAAAAAHwEAAF9yZWxzLy5yZWxzUEsBAi0AFAAGAAgAAAAhAOHmZQfHAAAA3wAA&#10;AA8AAAAAAAAAAAAAAAAABwIAAGRycy9kb3ducmV2LnhtbFBLBQYAAAAAAwADALcAAAD7AgAAAAA=&#10;" filled="f" stroked="f">
                  <v:textbox inset="0,0,0,0">
                    <w:txbxContent>
                      <w:p w14:paraId="4708E41A" w14:textId="77777777" w:rsidR="00B32EF2" w:rsidRDefault="00000000">
                        <w:r>
                          <w:rPr>
                            <w:rFonts w:ascii="Arial" w:eastAsia="Arial" w:hAnsi="Arial" w:cs="Arial"/>
                            <w:sz w:val="18"/>
                          </w:rPr>
                          <w:t>1</w:t>
                        </w:r>
                      </w:p>
                    </w:txbxContent>
                  </v:textbox>
                </v:rect>
                <v:rect id="Rectangle 19406" o:spid="_x0000_s4503" style="position:absolute;left:18841;top:29129;width:210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lcxQAAAN4AAAAPAAAAZHJzL2Rvd25yZXYueG1sRE9LawIx&#10;EL4X+h/CFLxptkVEV7NSLNI99OKj0OOwmX3YzSRsorv66xtB6G0+vues1oNpxYU631hW8DpJQBAX&#10;VjdcKTgetuM5CB+QNbaWScGVPKyz56cVptr2vKPLPlQihrBPUUEdgkul9EVNBv3EOuLIlbYzGCLs&#10;Kqk77GO4aeVbksykwYZjQ42ONjUVv/uzUfDzwS7f9rIobxv3dcrn7ef5+K3U6GV4X4IINIR/8cOd&#10;6zh/MU1mcH8n3iCzPwAAAP//AwBQSwECLQAUAAYACAAAACEA2+H2y+4AAACFAQAAEwAAAAAAAAAA&#10;AAAAAAAAAAAAW0NvbnRlbnRfVHlwZXNdLnhtbFBLAQItABQABgAIAAAAIQBa9CxbvwAAABUBAAAL&#10;AAAAAAAAAAAAAAAAAB8BAABfcmVscy8ucmVsc1BLAQItABQABgAIAAAAIQAxMhlcxQAAAN4AAAAP&#10;AAAAAAAAAAAAAAAAAAcCAABkcnMvZG93bnJldi54bWxQSwUGAAAAAAMAAwC3AAAA+QIAAAAA&#10;" filled="f" stroked="f">
                  <v:textbox inset="0,0,0,0">
                    <w:txbxContent>
                      <w:p w14:paraId="5C694520" w14:textId="77777777" w:rsidR="00B32EF2" w:rsidRDefault="00000000">
                        <w:r>
                          <w:rPr>
                            <w:rFonts w:ascii="Arial" w:eastAsia="Arial" w:hAnsi="Arial" w:cs="Arial"/>
                            <w:sz w:val="18"/>
                          </w:rPr>
                          <w:t>sono liquidate con la sentenza.</w:t>
                        </w:r>
                      </w:p>
                    </w:txbxContent>
                  </v:textbox>
                </v:rect>
                <v:rect id="Rectangle 201385" o:spid="_x0000_s4504" style="position:absolute;left:-12832;top:27896;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PtwyAAAAN8AAAAPAAAAZHJzL2Rvd25yZXYueG1sRI9Pa8JA&#10;FMTvgt9heYI33WixhNRVRJHm0Ev9Az0+ss8kbfbtkl1N7Kd3CwWPw8z8hlmue9OIG7W+tqxgNk1A&#10;EBdW11wqOB33kxSED8gaG8uk4E4e1qvhYImZth1/0u0QShEh7DNUUIXgMil9UZFBP7WOOHoX2xoM&#10;Ubal1C12EW4aOU+SV2mw5rhQoaNtRcXP4WoUfO3Y5ftOFpffrfv4ztPm/Xo6KzUe9Zs3EIH68Az/&#10;t3OtYJ7MXtIF/P2JX0CuHgAAAP//AwBQSwECLQAUAAYACAAAACEA2+H2y+4AAACFAQAAEwAAAAAA&#10;AAAAAAAAAAAAAAAAW0NvbnRlbnRfVHlwZXNdLnhtbFBLAQItABQABgAIAAAAIQBa9CxbvwAAABUB&#10;AAALAAAAAAAAAAAAAAAAAB8BAABfcmVscy8ucmVsc1BLAQItABQABgAIAAAAIQARNPtwyAAAAN8A&#10;AAAPAAAAAAAAAAAAAAAAAAcCAABkcnMvZG93bnJldi54bWxQSwUGAAAAAAMAAwC3AAAA/AIAAAAA&#10;" filled="f" stroked="f">
                  <v:textbox inset="0,0,0,0">
                    <w:txbxContent>
                      <w:p w14:paraId="51B7783A" w14:textId="77777777" w:rsidR="00B32EF2" w:rsidRDefault="00000000">
                        <w:r>
                          <w:rPr>
                            <w:rFonts w:ascii="Arial" w:eastAsia="Arial" w:hAnsi="Arial" w:cs="Arial"/>
                            <w:sz w:val="18"/>
                          </w:rPr>
                          <w:t>. Le spese del giudizio sono compensate, in tutto o in parte, in caso di soc</w:t>
                        </w:r>
                      </w:p>
                    </w:txbxContent>
                  </v:textbox>
                </v:rect>
                <v:rect id="Rectangle 201384" o:spid="_x0000_s4505" style="position:absolute;left:26358;top:27896;width:52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7ryAAAAN8AAAAPAAAAZHJzL2Rvd25yZXYueG1sRI9Pa8JA&#10;FMTvgt9heYI33WilhNRVRJHm0Ev9Az0+ss8kbfbtkl1N7Kd3CwWPw8z8hlmue9OIG7W+tqxgNk1A&#10;EBdW11wqOB33kxSED8gaG8uk4E4e1qvhYImZth1/0u0QShEh7DNUUIXgMil9UZFBP7WOOHoX2xoM&#10;Ubal1C12EW4aOU+SV2mw5rhQoaNtRcXP4WoUfO3Y5ftOFpffrfv4ztPm/Xo6KzUe9Zs3EIH68Az/&#10;t3OtYJ7MXtIF/P2JX0CuHgAAAP//AwBQSwECLQAUAAYACAAAACEA2+H2y+4AAACFAQAAEwAAAAAA&#10;AAAAAAAAAAAAAAAAW0NvbnRlbnRfVHlwZXNdLnhtbFBLAQItABQABgAIAAAAIQBa9CxbvwAAABUB&#10;AAALAAAAAAAAAAAAAAAAAB8BAABfcmVscy8ucmVsc1BLAQItABQABgAIAAAAIQB+eF7ryAAAAN8A&#10;AAAPAAAAAAAAAAAAAAAAAAcCAABkcnMvZG93bnJldi54bWxQSwUGAAAAAAMAAwC3AAAA/AIAAAAA&#10;" filled="f" stroked="f">
                  <v:textbox inset="0,0,0,0">
                    <w:txbxContent>
                      <w:p w14:paraId="4BCA77CC" w14:textId="77777777" w:rsidR="00B32EF2" w:rsidRDefault="00000000">
                        <w:r>
                          <w:rPr>
                            <w:rFonts w:ascii="Arial" w:eastAsia="Arial" w:hAnsi="Arial" w:cs="Arial"/>
                            <w:sz w:val="18"/>
                          </w:rPr>
                          <w:t>2</w:t>
                        </w:r>
                      </w:p>
                    </w:txbxContent>
                  </v:textbox>
                </v:rect>
                <v:rect id="Rectangle 19408" o:spid="_x0000_s4506" style="position:absolute;left:197;top:2789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Si1xwAAAN4AAAAPAAAAZHJzL2Rvd25yZXYueG1sRI9Ba8JA&#10;EIXvhf6HZQq91U1LKTa6ilikOfSiVfA4ZMckmp1dsqtJ++udg+BthvfmvW+m88G16kJdbDwbeB1l&#10;oIhLbxuuDGx/Vy9jUDEhW2w9k4E/ijCfPT5MMbe+5zVdNqlSEsIxRwN1SiHXOpY1OYwjH4hFO/jO&#10;YZK1q7TtsJdw1+q3LPvQDhuWhhoDLWsqT5uzM7D/4lCsel0e/pfh51iM2+/zdmfM89OwmIBKNKS7&#10;+XZdWMH/fM+EV96RGfTsCgAA//8DAFBLAQItABQABgAIAAAAIQDb4fbL7gAAAIUBAAATAAAAAAAA&#10;AAAAAAAAAAAAAABbQ29udGVudF9UeXBlc10ueG1sUEsBAi0AFAAGAAgAAAAhAFr0LFu/AAAAFQEA&#10;AAsAAAAAAAAAAAAAAAAAHwEAAF9yZWxzLy5yZWxzUEsBAi0AFAAGAAgAAAAhAC/hKLXHAAAA3gAA&#10;AA8AAAAAAAAAAAAAAAAABwIAAGRycy9kb3ducmV2LnhtbFBLBQYAAAAAAwADALcAAAD7AgAAAAA=&#10;" filled="f" stroked="f">
                  <v:textbox inset="0,0,0,0">
                    <w:txbxContent>
                      <w:p w14:paraId="2E94E201" w14:textId="77777777" w:rsidR="00B32EF2" w:rsidRDefault="00000000">
                        <w:r>
                          <w:rPr>
                            <w:rFonts w:ascii="Arial" w:eastAsia="Arial" w:hAnsi="Arial" w:cs="Arial"/>
                            <w:sz w:val="18"/>
                          </w:rPr>
                          <w:t>-</w:t>
                        </w:r>
                      </w:p>
                    </w:txbxContent>
                  </v:textbox>
                </v:rect>
                <v:rect id="Rectangle 19409" o:spid="_x0000_s4507" style="position:absolute;left:-12186;top:26663;width:521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0uxQAAAN4AAAAPAAAAZHJzL2Rvd25yZXYueG1sRE9LawIx&#10;EL4L/Q9hCt402yJFV7NSLNI99KK10OOwmX3YzSRsorv6640g9DYf33NW68G04kydbywreJkmIIgL&#10;qxuuFBy+t5M5CB+QNbaWScGFPKyzp9EKU2173tF5HyoRQ9inqKAOwaVS+qImg35qHXHkStsZDBF2&#10;ldQd9jHctPI1Sd6kwYZjQ42ONjUVf/uTUfD7wS7f9rIorxv3dczn7efp8KPU+Hl4X4IINIR/8cOd&#10;6zh/MUsWcH8n3iCzGwAAAP//AwBQSwECLQAUAAYACAAAACEA2+H2y+4AAACFAQAAEwAAAAAAAAAA&#10;AAAAAAAAAAAAW0NvbnRlbnRfVHlwZXNdLnhtbFBLAQItABQABgAIAAAAIQBa9CxbvwAAABUBAAAL&#10;AAAAAAAAAAAAAAAAAB8BAABfcmVscy8ucmVsc1BLAQItABQABgAIAAAAIQBArY0uxQAAAN4AAAAP&#10;AAAAAAAAAAAAAAAAAAcCAABkcnMvZG93bnJldi54bWxQSwUGAAAAAAMAAwC3AAAA+QIAAAAA&#10;" filled="f" stroked="f">
                  <v:textbox inset="0,0,0,0">
                    <w:txbxContent>
                      <w:p w14:paraId="785F10A1" w14:textId="77777777" w:rsidR="00B32EF2" w:rsidRDefault="00000000">
                        <w:r>
                          <w:rPr>
                            <w:rFonts w:ascii="Arial" w:eastAsia="Arial" w:hAnsi="Arial" w:cs="Arial"/>
                            <w:sz w:val="18"/>
                          </w:rPr>
                          <w:t>combenza reciproca e quando ricorrono gravi ed eccezionali ragioni che de</w:t>
                        </w:r>
                      </w:p>
                    </w:txbxContent>
                  </v:textbox>
                </v:rect>
                <v:rect id="Rectangle 19410" o:spid="_x0000_s4508" style="position:absolute;left:197;top:2666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rJuyAAAAN4AAAAPAAAAZHJzL2Rvd25yZXYueG1sRI9Pa8JA&#10;EMXvQr/DMoXedGMpxUZXKRZpDr34p+BxyI5JNDu7ZFeT9tM7h0JvM8yb995vsRpcq27Uxcazgekk&#10;A0VcettwZeCw34xnoGJCtth6JgM/FGG1fBgtMLe+5y3ddqlSYsIxRwN1SiHXOpY1OYwTH4jldvKd&#10;wyRrV2nbYS/mrtXPWfaqHTYsCTUGWtdUXnZXZ+D4waHY9Lo8/a7D17mYtZ/Xw7cxT4/D+xxUoiH9&#10;i/++Cyv1316mAiA4MoNe3gEAAP//AwBQSwECLQAUAAYACAAAACEA2+H2y+4AAACFAQAAEwAAAAAA&#10;AAAAAAAAAAAAAAAAW0NvbnRlbnRfVHlwZXNdLnhtbFBLAQItABQABgAIAAAAIQBa9CxbvwAAABUB&#10;AAALAAAAAAAAAAAAAAAAAB8BAABfcmVscy8ucmVsc1BLAQItABQABgAIAAAAIQBUTrJuyAAAAN4A&#10;AAAPAAAAAAAAAAAAAAAAAAcCAABkcnMvZG93bnJldi54bWxQSwUGAAAAAAMAAwC3AAAA/AIAAAAA&#10;" filled="f" stroked="f">
                  <v:textbox inset="0,0,0,0">
                    <w:txbxContent>
                      <w:p w14:paraId="1A285B73" w14:textId="77777777" w:rsidR="00B32EF2" w:rsidRDefault="00000000">
                        <w:r>
                          <w:rPr>
                            <w:rFonts w:ascii="Arial" w:eastAsia="Arial" w:hAnsi="Arial" w:cs="Arial"/>
                            <w:sz w:val="18"/>
                          </w:rPr>
                          <w:t>-</w:t>
                        </w:r>
                      </w:p>
                    </w:txbxContent>
                  </v:textbox>
                </v:rect>
                <v:rect id="Rectangle 19411" o:spid="_x0000_s4509" style="position:absolute;left:-12180;top:25429;width:521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hf1xAAAAN4AAAAPAAAAZHJzL2Rvd25yZXYueG1sRE9Na8JA&#10;EL0X/A/LCL3VTaQUG11FFGkOXrQKHofsmESzs0t2Nam/visUepvH+5zZojeNuFPra8sK0lECgriw&#10;uuZSweF78zYB4QOyxsYyKfghD4v54GWGmbYd7+i+D6WIIewzVFCF4DIpfVGRQT+yjjhyZ9saDBG2&#10;pdQtdjHcNHKcJB/SYM2xoUJHq4qK6/5mFJzW7PJNJ4vzY+W2l3zSfN0OR6Veh/1yCiJQH/7Ff+5c&#10;x/mf72kKz3fiDXL+CwAA//8DAFBLAQItABQABgAIAAAAIQDb4fbL7gAAAIUBAAATAAAAAAAAAAAA&#10;AAAAAAAAAABbQ29udGVudF9UeXBlc10ueG1sUEsBAi0AFAAGAAgAAAAhAFr0LFu/AAAAFQEAAAsA&#10;AAAAAAAAAAAAAAAAHwEAAF9yZWxzLy5yZWxzUEsBAi0AFAAGAAgAAAAhADsCF/XEAAAA3gAAAA8A&#10;AAAAAAAAAAAAAAAABwIAAGRycy9kb3ducmV2LnhtbFBLBQYAAAAAAwADALcAAAD4AgAAAAA=&#10;" filled="f" stroked="f">
                  <v:textbox inset="0,0,0,0">
                    <w:txbxContent>
                      <w:p w14:paraId="21F28268" w14:textId="77777777" w:rsidR="00B32EF2" w:rsidRDefault="00000000">
                        <w:r>
                          <w:rPr>
                            <w:rFonts w:ascii="Arial" w:eastAsia="Arial" w:hAnsi="Arial" w:cs="Arial"/>
                            <w:sz w:val="18"/>
                          </w:rPr>
                          <w:t>vono essere espressamente motivate ovvero quando la parte è risultata vitto</w:t>
                        </w:r>
                      </w:p>
                    </w:txbxContent>
                  </v:textbox>
                </v:rect>
                <v:rect id="Rectangle 19412" o:spid="_x0000_s4510" style="position:absolute;left:197;top:2542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ImCxAAAAN4AAAAPAAAAZHJzL2Rvd25yZXYueG1sRE9Li8Iw&#10;EL4L+x/CLHhbU2URrUZZXGR78LI+wOPQjG21mYQm2uqvNwsL3ubje8582Zla3KjxlWUFw0ECgji3&#10;uuJCwX63/piA8AFZY22ZFNzJw3Lx1ptjqm3Lv3TbhkLEEPYpKihDcKmUPi/JoB9YRxy5k20Mhgib&#10;QuoG2xhuajlKkrE0WHFsKNHRqqT8sr0aBcdvdtm6lfnpsXKbczapf677g1L99+5rBiJQF17if3em&#10;4/zp53AEf+/EG+TiCQAA//8DAFBLAQItABQABgAIAAAAIQDb4fbL7gAAAIUBAAATAAAAAAAAAAAA&#10;AAAAAAAAAABbQ29udGVudF9UeXBlc10ueG1sUEsBAi0AFAAGAAgAAAAhAFr0LFu/AAAAFQEAAAsA&#10;AAAAAAAAAAAAAAAAHwEAAF9yZWxzLy5yZWxzUEsBAi0AFAAGAAgAAAAhAMvQiYLEAAAA3gAAAA8A&#10;AAAAAAAAAAAAAAAABwIAAGRycy9kb3ducmV2LnhtbFBLBQYAAAAAAwADALcAAAD4AgAAAAA=&#10;" filled="f" stroked="f">
                  <v:textbox inset="0,0,0,0">
                    <w:txbxContent>
                      <w:p w14:paraId="5855B879" w14:textId="77777777" w:rsidR="00B32EF2" w:rsidRDefault="00000000">
                        <w:r>
                          <w:rPr>
                            <w:rFonts w:ascii="Arial" w:eastAsia="Arial" w:hAnsi="Arial" w:cs="Arial"/>
                            <w:sz w:val="18"/>
                          </w:rPr>
                          <w:t>-</w:t>
                        </w:r>
                      </w:p>
                    </w:txbxContent>
                  </v:textbox>
                </v:rect>
                <v:rect id="Rectangle 19413" o:spid="_x0000_s4511" style="position:absolute;left:-13166;top:2419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CwZxQAAAN4AAAAPAAAAZHJzL2Rvd25yZXYueG1sRE9La8JA&#10;EL4X/A/LCN7qxlpEo6uIRZpDL/UBHofsmESzs0t2NWl/fbcgeJuP7zmLVWdqcafGV5YVjIYJCOLc&#10;6ooLBYf99nUKwgdkjbVlUvBDHlbL3ssCU21b/qb7LhQihrBPUUEZgkul9HlJBv3QOuLInW1jMETY&#10;FFI32MZwU8u3JJlIgxXHhhIdbUrKr7ubUXD6YJdtW5mffzfu65JN68/b4ajUoN+t5yACdeEpfrgz&#10;HefP3kdj+H8n3iCXfwAAAP//AwBQSwECLQAUAAYACAAAACEA2+H2y+4AAACFAQAAEwAAAAAAAAAA&#10;AAAAAAAAAAAAW0NvbnRlbnRfVHlwZXNdLnhtbFBLAQItABQABgAIAAAAIQBa9CxbvwAAABUBAAAL&#10;AAAAAAAAAAAAAAAAAB8BAABfcmVscy8ucmVsc1BLAQItABQABgAIAAAAIQCknCwZxQAAAN4AAAAP&#10;AAAAAAAAAAAAAAAAAAcCAABkcnMvZG93bnJldi54bWxQSwUGAAAAAAMAAwC3AAAA+QIAAAAA&#10;" filled="f" stroked="f">
                  <v:textbox inset="0,0,0,0">
                    <w:txbxContent>
                      <w:p w14:paraId="7C2CFB42" w14:textId="77777777" w:rsidR="00B32EF2" w:rsidRDefault="00000000">
                        <w:r>
                          <w:rPr>
                            <w:rFonts w:ascii="Arial" w:eastAsia="Arial" w:hAnsi="Arial" w:cs="Arial"/>
                            <w:sz w:val="18"/>
                          </w:rPr>
                          <w:t xml:space="preserve">riosa sulla base di documenti decisivi che la stessa ha prodotto solo nel corso </w:t>
                        </w:r>
                      </w:p>
                    </w:txbxContent>
                  </v:textbox>
                </v:rect>
                <v:rect id="Rectangle 19414" o:spid="_x0000_s4512" style="position:absolute;left:31826;top:22963;width:80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bRtxAAAAN4AAAAPAAAAZHJzL2Rvd25yZXYueG1sRE9Li8Iw&#10;EL4v7H8II3jT1EUW7RpFXGR78OIL9jg0Y1ttJqGJtvrrN4Kwt/n4njNbdKYWN2p8ZVnBaJiAIM6t&#10;rrhQcNivBxMQPiBrrC2Tgjt5WMzf32aYatvylm67UIgYwj5FBWUILpXS5yUZ9EPriCN3so3BEGFT&#10;SN1gG8NNLT+S5FMarDg2lOhoVVJ+2V2Ngt9vdtm6lfnpsXKbczapf66Ho1L9Xrf8AhGoC//ilzvT&#10;cf50PBrD8514g5z/AQAA//8DAFBLAQItABQABgAIAAAAIQDb4fbL7gAAAIUBAAATAAAAAAAAAAAA&#10;AAAAAAAAAABbQ29udGVudF9UeXBlc10ueG1sUEsBAi0AFAAGAAgAAAAhAFr0LFu/AAAAFQEAAAsA&#10;AAAAAAAAAAAAAAAAHwEAAF9yZWxzLy5yZWxzUEsBAi0AFAAGAAgAAAAhACt1tG3EAAAA3gAAAA8A&#10;AAAAAAAAAAAAAAAABwIAAGRycy9kb3ducmV2LnhtbFBLBQYAAAAAAwADALcAAAD4AgAAAAA=&#10;" filled="f" stroked="f">
                  <v:textbox inset="0,0,0,0">
                    <w:txbxContent>
                      <w:p w14:paraId="527216BB" w14:textId="77777777" w:rsidR="00B32EF2" w:rsidRDefault="00000000">
                        <w:r>
                          <w:rPr>
                            <w:rFonts w:ascii="Arial" w:eastAsia="Arial" w:hAnsi="Arial" w:cs="Arial"/>
                            <w:sz w:val="18"/>
                          </w:rPr>
                          <w:t>del giudizio.</w:t>
                        </w:r>
                      </w:p>
                    </w:txbxContent>
                  </v:textbox>
                </v:rect>
                <v:rect id="Rectangle 201382" o:spid="_x0000_s4513" style="position:absolute;left:26115;top:2172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WMExwAAAN8AAAAPAAAAZHJzL2Rvd25yZXYueG1sRI9Ba8JA&#10;FITvgv9heUJvujGFElJXKYqYQy9VCz0+ss8kbfbtkl1N6q93BcHjMDPfMIvVYFpxoc43lhXMZwkI&#10;4tLqhisFx8N2moHwAVlja5kU/JOH1XI8WmCubc9fdNmHSkQI+xwV1CG4XEpf1mTQz6wjjt7JdgZD&#10;lF0ldYd9hJtWpknyJg02HBdqdLSuqfzbn42Cnw27YtvL8nRdu8/fImt35+O3Ui+T4eMdRKAhPMOP&#10;dqEVpMn8NUvh/id+Abm8AQAA//8DAFBLAQItABQABgAIAAAAIQDb4fbL7gAAAIUBAAATAAAAAAAA&#10;AAAAAAAAAAAAAABbQ29udGVudF9UeXBlc10ueG1sUEsBAi0AFAAGAAgAAAAhAFr0LFu/AAAAFQEA&#10;AAsAAAAAAAAAAAAAAAAAHwEAAF9yZWxzLy5yZWxzUEsBAi0AFAAGAAgAAAAhAJ7dYwTHAAAA3wAA&#10;AA8AAAAAAAAAAAAAAAAABwIAAGRycy9kb3ducmV2LnhtbFBLBQYAAAAAAwADALcAAAD7AgAAAAA=&#10;" filled="f" stroked="f">
                  <v:textbox inset="0,0,0,0">
                    <w:txbxContent>
                      <w:p w14:paraId="6D4A3FEE" w14:textId="77777777" w:rsidR="00B32EF2" w:rsidRDefault="00000000">
                        <w:r>
                          <w:rPr>
                            <w:rFonts w:ascii="Arial" w:eastAsia="Arial" w:hAnsi="Arial" w:cs="Arial"/>
                            <w:sz w:val="18"/>
                          </w:rPr>
                          <w:t>3</w:t>
                        </w:r>
                      </w:p>
                    </w:txbxContent>
                  </v:textbox>
                </v:rect>
                <v:rect id="Rectangle 201383" o:spid="_x0000_s4514" style="position:absolute;left:-13811;top:2172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cafxwAAAN8AAAAPAAAAZHJzL2Rvd25yZXYueG1sRI9Pi8Iw&#10;FMTvC36H8Bb2tqYqSKlGWRTZHrz4Dzw+mmfb3eYlNNHW/fQbQfA4zMxvmPmyN424UetrywpGwwQE&#10;cWF1zaWC42HzmYLwAVljY5kU3MnDcjF4m2Ombcc7uu1DKSKEfYYKqhBcJqUvKjLoh9YRR+9iW4Mh&#10;yraUusUuwk0jx0kylQZrjgsVOlpVVPzur0bBec0u33SyuPyt3PYnT5vv6/Gk1Md7/zUDEagPr/Cz&#10;nWsF42Q0SSfw+BO/gFz8AwAA//8DAFBLAQItABQABgAIAAAAIQDb4fbL7gAAAIUBAAATAAAAAAAA&#10;AAAAAAAAAAAAAABbQ29udGVudF9UeXBlc10ueG1sUEsBAi0AFAAGAAgAAAAhAFr0LFu/AAAAFQEA&#10;AAsAAAAAAAAAAAAAAAAAHwEAAF9yZWxzLy5yZWxzUEsBAi0AFAAGAAgAAAAhAPGRxp/HAAAA3wAA&#10;AA8AAAAAAAAAAAAAAAAABwIAAGRycy9kb3ducmV2LnhtbFBLBQYAAAAAAwADALcAAAD7AgAAAAA=&#10;" filled="f" stroked="f">
                  <v:textbox inset="0,0,0,0">
                    <w:txbxContent>
                      <w:p w14:paraId="5520CD0A" w14:textId="77777777" w:rsidR="00B32EF2" w:rsidRDefault="00000000">
                        <w:r>
                          <w:rPr>
                            <w:rFonts w:ascii="Arial" w:eastAsia="Arial" w:hAnsi="Arial" w:cs="Arial"/>
                            <w:sz w:val="18"/>
                          </w:rPr>
                          <w:t xml:space="preserve">. Si applicano le disposizioni di cui all’articolo 96, commi primo e terzo, del </w:t>
                        </w:r>
                      </w:p>
                    </w:txbxContent>
                  </v:textbox>
                </v:rect>
                <v:rect id="Rectangle 19416" o:spid="_x0000_s4515" style="position:absolute;left:22151;top:20496;width:177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4+BxAAAAN4AAAAPAAAAZHJzL2Rvd25yZXYueG1sRE9Li8Iw&#10;EL4L+x/CLHhbUxcRrUZZXGR78LI+wOPQjG21mYQm2uqvNwsL3ubje8582Zla3KjxlWUFw0ECgji3&#10;uuJCwX63/piA8AFZY22ZFNzJw3Lx1ptjqm3Lv3TbhkLEEPYpKihDcKmUPi/JoB9YRxy5k20Mhgib&#10;QuoG2xhuavmZJGNpsOLYUKKjVUn5ZXs1Co7f7LJ1K/PTY+U252xS/1z3B6X6793XDESgLrzE/+5M&#10;x/nT0XAMf+/EG+TiCQAA//8DAFBLAQItABQABgAIAAAAIQDb4fbL7gAAAIUBAAATAAAAAAAAAAAA&#10;AAAAAAAAAABbQ29udGVudF9UeXBlc10ueG1sUEsBAi0AFAAGAAgAAAAhAFr0LFu/AAAAFQEAAAsA&#10;AAAAAAAAAAAAAAAAHwEAAF9yZWxzLy5yZWxzUEsBAi0AFAAGAAgAAAAhALTrj4HEAAAA3gAAAA8A&#10;AAAAAAAAAAAAAAAABwIAAGRycy9kb3ducmV2LnhtbFBLBQYAAAAAAwADALcAAAD4AgAAAAA=&#10;" filled="f" stroked="f">
                  <v:textbox inset="0,0,0,0">
                    <w:txbxContent>
                      <w:p w14:paraId="13238C6E" w14:textId="77777777" w:rsidR="00B32EF2" w:rsidRDefault="00000000">
                        <w:r>
                          <w:rPr>
                            <w:rFonts w:ascii="Arial" w:eastAsia="Arial" w:hAnsi="Arial" w:cs="Arial"/>
                            <w:sz w:val="18"/>
                          </w:rPr>
                          <w:t>codice di procedura civile.</w:t>
                        </w:r>
                      </w:p>
                    </w:txbxContent>
                  </v:textbox>
                </v:rect>
                <v:rect id="Rectangle 201381" o:spid="_x0000_s4516" style="position:absolute;left:-13798;top:1926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1zxwAAAN8AAAAPAAAAZHJzL2Rvd25yZXYueG1sRI9Ba8JA&#10;FITvgv9heUJvuomFElJXKYqYQy9VCz0+ss8kbfbtkl1N6q93BcHjMDPfMIvVYFpxoc43lhWkswQE&#10;cWl1w5WC42E7zUD4gKyxtUwK/snDajkeLTDXtucvuuxDJSKEfY4K6hBcLqUvazLoZ9YRR+9kO4Mh&#10;yq6SusM+wk0r50nyJg02HBdqdLSuqfzbn42Cnw27YtvL8nRdu8/fImt35+O3Ui+T4eMdRKAhPMOP&#10;dqEVzJP0NUvh/id+Abm8AQAA//8DAFBLAQItABQABgAIAAAAIQDb4fbL7gAAAIUBAAATAAAAAAAA&#10;AAAAAAAAAAAAAABbQ29udGVudF9UeXBlc10ueG1sUEsBAi0AFAAGAAgAAAAhAFr0LFu/AAAAFQEA&#10;AAsAAAAAAAAAAAAAAAAAHwEAAF9yZWxzLy5yZWxzUEsBAi0AFAAGAAgAAAAhAG4P/XPHAAAA3wAA&#10;AA8AAAAAAAAAAAAAAAAABwIAAGRycy9kb3ducmV2LnhtbFBLBQYAAAAAAwADALcAAAD7AgAAAAA=&#10;" filled="f" stroked="f">
                  <v:textbox inset="0,0,0,0">
                    <w:txbxContent>
                      <w:p w14:paraId="06FE8AEF" w14:textId="77777777" w:rsidR="00B32EF2" w:rsidRDefault="00000000">
                        <w:r>
                          <w:rPr>
                            <w:rFonts w:ascii="Arial" w:eastAsia="Arial" w:hAnsi="Arial" w:cs="Arial"/>
                            <w:sz w:val="18"/>
                          </w:rPr>
                          <w:t xml:space="preserve">. Le spese di giudizio comprendono, oltre al contributo unificato, gli onorari e </w:t>
                        </w:r>
                      </w:p>
                    </w:txbxContent>
                  </v:textbox>
                </v:rect>
                <v:rect id="Rectangle 201380" o:spid="_x0000_s4517" style="position:absolute;left:26115;top:1926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1joxQAAAN8AAAAPAAAAZHJzL2Rvd25yZXYueG1sRI/LisIw&#10;FIb3A75DOIK7MdWBoVSjiCLTxWy8gctDc2yrzUlooq3z9GYx4PLnv/HNl71pxINaX1tWMBknIIgL&#10;q2suFRwP288UhA/IGhvLpOBJHpaLwcccM2073tFjH0oRR9hnqKAKwWVS+qIig35sHXH0LrY1GKJs&#10;S6lb7OK4aeQ0Sb6lwZrjQ4WO1hUVt/3dKDhv2OXbThaXv7X7veZp83M/npQaDfvVDESgPrzD/+1c&#10;K5gmk680EkSeyAJy8QIAAP//AwBQSwECLQAUAAYACAAAACEA2+H2y+4AAACFAQAAEwAAAAAAAAAA&#10;AAAAAAAAAAAAW0NvbnRlbnRfVHlwZXNdLnhtbFBLAQItABQABgAIAAAAIQBa9CxbvwAAABUBAAAL&#10;AAAAAAAAAAAAAAAAAB8BAABfcmVscy8ucmVsc1BLAQItABQABgAIAAAAIQABQ1joxQAAAN8AAAAP&#10;AAAAAAAAAAAAAAAAAAcCAABkcnMvZG93bnJldi54bWxQSwUGAAAAAAMAAwC3AAAA+QIAAAAA&#10;" filled="f" stroked="f">
                  <v:textbox inset="0,0,0,0">
                    <w:txbxContent>
                      <w:p w14:paraId="117C6D95" w14:textId="77777777" w:rsidR="00B32EF2" w:rsidRDefault="00000000">
                        <w:r>
                          <w:rPr>
                            <w:rFonts w:ascii="Arial" w:eastAsia="Arial" w:hAnsi="Arial" w:cs="Arial"/>
                            <w:sz w:val="18"/>
                          </w:rPr>
                          <w:t>4</w:t>
                        </w:r>
                      </w:p>
                    </w:txbxContent>
                  </v:textbox>
                </v:rect>
                <v:rect id="Rectangle 19418" o:spid="_x0000_s4518" style="position:absolute;left:-13166;top:18030;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L5oyAAAAN4AAAAPAAAAZHJzL2Rvd25yZXYueG1sRI9Pa8JA&#10;EMXvQr/DMoXedGMpxUZXKRZpDr34p+BxyI5JNDu7ZFeT9tM7h0JvM7w37/1msRpcq27Uxcazgekk&#10;A0VcettwZeCw34xnoGJCtth6JgM/FGG1fBgtMLe+5y3ddqlSEsIxRwN1SiHXOpY1OYwTH4hFO/nO&#10;YZK1q7TtsJdw1+rnLHvVDhuWhhoDrWsqL7urM3D84FBsel2eftfh61zM2s/r4duYp8fhfQ4q0ZD+&#10;zX/XhRX8t5ep8Mo7MoNe3gEAAP//AwBQSwECLQAUAAYACAAAACEA2+H2y+4AAACFAQAAEwAAAAAA&#10;AAAAAAAAAAAAAAAAW0NvbnRlbnRfVHlwZXNdLnhtbFBLAQItABQABgAIAAAAIQBa9CxbvwAAABUB&#10;AAALAAAAAAAAAAAAAAAAAB8BAABfcmVscy8ucmVsc1BLAQItABQABgAIAAAAIQCqOL5oyAAAAN4A&#10;AAAPAAAAAAAAAAAAAAAAAAcCAABkcnMvZG93bnJldi54bWxQSwUGAAAAAAMAAwC3AAAA/AIAAAAA&#10;" filled="f" stroked="f">
                  <v:textbox inset="0,0,0,0">
                    <w:txbxContent>
                      <w:p w14:paraId="17FA7EFA" w14:textId="77777777" w:rsidR="00B32EF2" w:rsidRDefault="00000000">
                        <w:r>
                          <w:rPr>
                            <w:rFonts w:ascii="Arial" w:eastAsia="Arial" w:hAnsi="Arial" w:cs="Arial"/>
                            <w:sz w:val="18"/>
                          </w:rPr>
                          <w:t xml:space="preserve">i diritti del difensore, le spese generali e gli esborsi sostenuti, oltre il contributo </w:t>
                        </w:r>
                      </w:p>
                    </w:txbxContent>
                  </v:textbox>
                </v:rect>
                <v:rect id="Rectangle 19419" o:spid="_x0000_s4519" style="position:absolute;left:2450;top:16796;width:374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BvzxAAAAN4AAAAPAAAAZHJzL2Rvd25yZXYueG1sRE9Li8Iw&#10;EL4v7H8Is+BtTRVZtBplcRF72Isv8Dg0Y1ttJqGJtvrrzcKCt/n4njNbdKYWN2p8ZVnBoJ+AIM6t&#10;rrhQsN+tPscgfEDWWFsmBXfysJi/v80w1bblDd22oRAxhH2KCsoQXCqlz0sy6PvWEUfuZBuDIcKm&#10;kLrBNoabWg6T5EsarDg2lOhoWVJ+2V6NguMPu2zVyvz0WLrfczau19f9QaneR/c9BRGoCy/xvzvT&#10;cf5kNJjA3zvxBjl/AgAA//8DAFBLAQItABQABgAIAAAAIQDb4fbL7gAAAIUBAAATAAAAAAAAAAAA&#10;AAAAAAAAAABbQ29udGVudF9UeXBlc10ueG1sUEsBAi0AFAAGAAgAAAAhAFr0LFu/AAAAFQEAAAsA&#10;AAAAAAAAAAAAAAAAHwEAAF9yZWxzLy5yZWxzUEsBAi0AFAAGAAgAAAAhAMV0G/PEAAAA3gAAAA8A&#10;AAAAAAAAAAAAAAAABwIAAGRycy9kb3ducmV2LnhtbFBLBQYAAAAAAwADALcAAAD4AgAAAAA=&#10;" filled="f" stroked="f">
                  <v:textbox inset="0,0,0,0">
                    <w:txbxContent>
                      <w:p w14:paraId="36C13CEF" w14:textId="77777777" w:rsidR="00B32EF2" w:rsidRDefault="00000000">
                        <w:r>
                          <w:rPr>
                            <w:rFonts w:ascii="Arial" w:eastAsia="Arial" w:hAnsi="Arial" w:cs="Arial"/>
                            <w:sz w:val="18"/>
                          </w:rPr>
                          <w:t>previdenziale e l’imposta sul valore aggiunto, se dovuti.</w:t>
                        </w:r>
                      </w:p>
                    </w:txbxContent>
                  </v:textbox>
                </v:rect>
                <v:rect id="Rectangle 201378" o:spid="_x0000_s4520" style="position:absolute;left:26354;top:15563;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CTJxQAAAN8AAAAPAAAAZHJzL2Rvd25yZXYueG1sRE/JasMw&#10;EL0X8g9iArnVclJog2s5hIRQH3ppFuhxsMZLa42EpcROv746FHp8vD3fTKYXNxp8Z1nBMklBEFdW&#10;d9woOJ8Oj2sQPiBr7C2Tgjt52BSzhxwzbUf+oNsxNCKGsM9QQRuCy6T0VUsGfWIdceRqOxgMEQ6N&#10;1AOOMdz0cpWmz9Jgx7GhRUe7lqrv49Uo+NyzKw+jrOqfnXv/Ktf92/V8UWoxn7avIAJN4V/85y61&#10;glW6fHqJg+Of+AVk8QsAAP//AwBQSwECLQAUAAYACAAAACEA2+H2y+4AAACFAQAAEwAAAAAAAAAA&#10;AAAAAAAAAAAAW0NvbnRlbnRfVHlwZXNdLnhtbFBLAQItABQABgAIAAAAIQBa9CxbvwAAABUBAAAL&#10;AAAAAAAAAAAAAAAAAB8BAABfcmVscy8ucmVsc1BLAQItABQABgAIAAAAIQDK4CTJxQAAAN8AAAAP&#10;AAAAAAAAAAAAAAAAAAcCAABkcnMvZG93bnJldi54bWxQSwUGAAAAAAMAAwC3AAAA+QIAAAAA&#10;" filled="f" stroked="f">
                  <v:textbox inset="0,0,0,0">
                    <w:txbxContent>
                      <w:p w14:paraId="1D11CC17" w14:textId="77777777" w:rsidR="00B32EF2" w:rsidRDefault="00000000">
                        <w:r>
                          <w:rPr>
                            <w:rFonts w:ascii="Arial" w:eastAsia="Arial" w:hAnsi="Arial" w:cs="Arial"/>
                            <w:sz w:val="18"/>
                          </w:rPr>
                          <w:t>5</w:t>
                        </w:r>
                      </w:p>
                    </w:txbxContent>
                  </v:textbox>
                </v:rect>
                <v:rect id="Rectangle 201379" o:spid="_x0000_s4521" style="position:absolute;left:-12847;top:15563;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IFSyAAAAN8AAAAPAAAAZHJzL2Rvd25yZXYueG1sRI9Pa8JA&#10;FMTvgt9heUJvutGC2tRVikXMoRf/FHp8ZJ9J2uzbJbua6KfvCoLHYWZ+wyxWnanFhRpfWVYwHiUg&#10;iHOrKy4UHA+b4RyED8gaa8uk4EoeVst+b4Gpti3v6LIPhYgQ9ikqKENwqZQ+L8mgH1lHHL2TbQyG&#10;KJtC6gbbCDe1nCTJVBqsOC6U6GhdUv63PxsFP5/ssk0r89Nt7b5+s3m9PR+/lXoZdB/vIAJ14Rl+&#10;tDOtYJKMX2dvcP8Tv4Bc/gMAAP//AwBQSwECLQAUAAYACAAAACEA2+H2y+4AAACFAQAAEwAAAAAA&#10;AAAAAAAAAAAAAAAAW0NvbnRlbnRfVHlwZXNdLnhtbFBLAQItABQABgAIAAAAIQBa9CxbvwAAABUB&#10;AAALAAAAAAAAAAAAAAAAAB8BAABfcmVscy8ucmVsc1BLAQItABQABgAIAAAAIQClrIFSyAAAAN8A&#10;AAAPAAAAAAAAAAAAAAAAAAcCAABkcnMvZG93bnJldi54bWxQSwUGAAAAAAMAAwC3AAAA/AIAAAAA&#10;" filled="f" stroked="f">
                  <v:textbox inset="0,0,0,0">
                    <w:txbxContent>
                      <w:p w14:paraId="04956695" w14:textId="77777777" w:rsidR="00B32EF2" w:rsidRDefault="00000000">
                        <w:r>
                          <w:rPr>
                            <w:rFonts w:ascii="Arial" w:eastAsia="Arial" w:hAnsi="Arial" w:cs="Arial"/>
                            <w:sz w:val="18"/>
                          </w:rPr>
                          <w:t>. Con l’ordinanza che decide sulle istanze cautelari la corte di giustizia tribu</w:t>
                        </w:r>
                      </w:p>
                    </w:txbxContent>
                  </v:textbox>
                </v:rect>
                <v:rect id="Rectangle 19421" o:spid="_x0000_s4522" style="position:absolute;left:197;top:1556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t1IxAAAAN4AAAAPAAAAZHJzL2Rvd25yZXYueG1sRE9Li8Iw&#10;EL4L+x/CLHhbU2URrUZZXGR78LI+wOPQjG21mYQm2uqvNwsL3ubje8582Zla3KjxlWUFw0ECgji3&#10;uuJCwX63/piA8AFZY22ZFNzJw3Lx1ptjqm3Lv3TbhkLEEPYpKihDcKmUPi/JoB9YRxy5k20Mhgib&#10;QuoG2xhuajlKkrE0WHFsKNHRqqT8sr0aBcdvdtm6lfnpsXKbczapf677g1L99+5rBiJQF17if3em&#10;4/zp52gIf+/EG+TiCQAA//8DAFBLAQItABQABgAIAAAAIQDb4fbL7gAAAIUBAAATAAAAAAAAAAAA&#10;AAAAAAAAAABbQ29udGVudF9UeXBlc10ueG1sUEsBAi0AFAAGAAgAAAAhAFr0LFu/AAAAFQEAAAsA&#10;AAAAAAAAAAAAAAAAHwEAAF9yZWxzLy5yZWxzUEsBAi0AFAAGAAgAAAAhAPVu3UjEAAAA3gAAAA8A&#10;AAAAAAAAAAAAAAAABwIAAGRycy9kb3ducmV2LnhtbFBLBQYAAAAAAwADALcAAAD4AgAAAAA=&#10;" filled="f" stroked="f">
                  <v:textbox inset="0,0,0,0">
                    <w:txbxContent>
                      <w:p w14:paraId="2ADB9D77" w14:textId="77777777" w:rsidR="00B32EF2" w:rsidRDefault="00000000">
                        <w:r>
                          <w:rPr>
                            <w:rFonts w:ascii="Arial" w:eastAsia="Arial" w:hAnsi="Arial" w:cs="Arial"/>
                            <w:sz w:val="18"/>
                          </w:rPr>
                          <w:t>-</w:t>
                        </w:r>
                      </w:p>
                    </w:txbxContent>
                  </v:textbox>
                </v:rect>
                <v:rect id="Rectangle 19422" o:spid="_x0000_s4523" style="position:absolute;left:-12200;top:14330;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EM/xAAAAN4AAAAPAAAAZHJzL2Rvd25yZXYueG1sRE9Na8JA&#10;EL0X/A/LCN7qxlCKja4iijQHL7UKHofsmESzs0t2NdFf3y0UepvH+5z5sjeNuFPra8sKJuMEBHFh&#10;dc2lgsP39nUKwgdkjY1lUvAgD8vF4GWOmbYdf9F9H0oRQ9hnqKAKwWVS+qIig35sHXHkzrY1GCJs&#10;S6lb7GK4aWSaJO/SYM2xoUJH64qK6/5mFJw27PJtJ4vzc+12l3zafN4OR6VGw341AxGoD//iP3eu&#10;4/yPtzSF33fiDXLxAwAA//8DAFBLAQItABQABgAIAAAAIQDb4fbL7gAAAIUBAAATAAAAAAAAAAAA&#10;AAAAAAAAAABbQ29udGVudF9UeXBlc10ueG1sUEsBAi0AFAAGAAgAAAAhAFr0LFu/AAAAFQEAAAsA&#10;AAAAAAAAAAAAAAAAHwEAAF9yZWxzLy5yZWxzUEsBAi0AFAAGAAgAAAAhAAW8Qz/EAAAA3gAAAA8A&#10;AAAAAAAAAAAAAAAABwIAAGRycy9kb3ducmV2LnhtbFBLBQYAAAAAAwADALcAAAD4AgAAAAA=&#10;" filled="f" stroked="f">
                  <v:textbox inset="0,0,0,0">
                    <w:txbxContent>
                      <w:p w14:paraId="6A5C17B3" w14:textId="77777777" w:rsidR="00B32EF2" w:rsidRDefault="00000000">
                        <w:r>
                          <w:rPr>
                            <w:rFonts w:ascii="Arial" w:eastAsia="Arial" w:hAnsi="Arial" w:cs="Arial"/>
                            <w:sz w:val="18"/>
                          </w:rPr>
                          <w:t>taria provvede sulle spese della relativa fase. La pronuncia sulle spese con</w:t>
                        </w:r>
                      </w:p>
                    </w:txbxContent>
                  </v:textbox>
                </v:rect>
                <v:rect id="Rectangle 19423" o:spid="_x0000_s4524" style="position:absolute;left:197;top:1433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OakxQAAAN4AAAAPAAAAZHJzL2Rvd25yZXYueG1sRE9Na8JA&#10;EL0L/Q/LFLzpRi1io6uIIs3BS62FHofsmESzs0t2NWl/vVsQvM3jfc5i1Zla3KjxlWUFo2ECgji3&#10;uuJCwfFrN5iB8AFZY22ZFPySh9XypbfAVNuWP+l2CIWIIexTVFCG4FIpfV6SQT+0jjhyJ9sYDBE2&#10;hdQNtjHc1HKcJFNpsOLYUKKjTUn55XA1Cn627LJdK/PT38btz9ms/rgev5Xqv3brOYhAXXiKH+5M&#10;x/nvb+MJ/L8Tb5DLOwAAAP//AwBQSwECLQAUAAYACAAAACEA2+H2y+4AAACFAQAAEwAAAAAAAAAA&#10;AAAAAAAAAAAAW0NvbnRlbnRfVHlwZXNdLnhtbFBLAQItABQABgAIAAAAIQBa9CxbvwAAABUBAAAL&#10;AAAAAAAAAAAAAAAAAB8BAABfcmVscy8ucmVsc1BLAQItABQABgAIAAAAIQBq8OakxQAAAN4AAAAP&#10;AAAAAAAAAAAAAAAAAAcCAABkcnMvZG93bnJldi54bWxQSwUGAAAAAAMAAwC3AAAA+QIAAAAA&#10;" filled="f" stroked="f">
                  <v:textbox inset="0,0,0,0">
                    <w:txbxContent>
                      <w:p w14:paraId="06B8C6AF" w14:textId="77777777" w:rsidR="00B32EF2" w:rsidRDefault="00000000">
                        <w:r>
                          <w:rPr>
                            <w:rFonts w:ascii="Arial" w:eastAsia="Arial" w:hAnsi="Arial" w:cs="Arial"/>
                            <w:sz w:val="18"/>
                          </w:rPr>
                          <w:t>-</w:t>
                        </w:r>
                      </w:p>
                    </w:txbxContent>
                  </v:textbox>
                </v:rect>
                <v:rect id="Rectangle 19424" o:spid="_x0000_s4525" style="position:absolute;left:-13166;top:1309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7QxAAAAN4AAAAPAAAAZHJzL2Rvd25yZXYueG1sRE9Ni8Iw&#10;EL0v+B/CCN40VWRxu0YRRezBy6oLexyasa02k9BEW/31mwVhb/N4nzNfdqYWd2p8ZVnBeJSAIM6t&#10;rrhQcDpuhzMQPiBrrC2Tggd5WC56b3NMtW35i+6HUIgYwj5FBWUILpXS5yUZ9CPriCN3to3BEGFT&#10;SN1gG8NNLSdJ8i4NVhwbSnS0Lim/Hm5Gwc+GXbZtZX5+rt3+ks3q3e30rdSg360+QQTqwr/45c50&#10;nP8xnUzh7514g1z8AgAA//8DAFBLAQItABQABgAIAAAAIQDb4fbL7gAAAIUBAAATAAAAAAAAAAAA&#10;AAAAAAAAAABbQ29udGVudF9UeXBlc10ueG1sUEsBAi0AFAAGAAgAAAAhAFr0LFu/AAAAFQEAAAsA&#10;AAAAAAAAAAAAAAAAHwEAAF9yZWxzLy5yZWxzUEsBAi0AFAAGAAgAAAAhAOUZftDEAAAA3gAAAA8A&#10;AAAAAAAAAAAAAAAABwIAAGRycy9kb3ducmV2LnhtbFBLBQYAAAAAAwADALcAAAD4AgAAAAA=&#10;" filled="f" stroked="f">
                  <v:textbox inset="0,0,0,0">
                    <w:txbxContent>
                      <w:p w14:paraId="29D35CB5" w14:textId="77777777" w:rsidR="00B32EF2" w:rsidRDefault="00000000">
                        <w:r>
                          <w:rPr>
                            <w:rFonts w:ascii="Arial" w:eastAsia="Arial" w:hAnsi="Arial" w:cs="Arial"/>
                            <w:sz w:val="18"/>
                          </w:rPr>
                          <w:t xml:space="preserve">serva efficacia anche dopo il provvedimento che definisce il giudizio, salvo </w:t>
                        </w:r>
                      </w:p>
                    </w:txbxContent>
                  </v:textbox>
                </v:rect>
                <v:rect id="Rectangle 19425" o:spid="_x0000_s4526" style="position:absolute;left:3448;top:11863;width:364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dtLxQAAAN4AAAAPAAAAZHJzL2Rvd25yZXYueG1sRE9Na8JA&#10;EL0L/Q/LFLzpRrFio6uIIs3BS62FHofsmESzs0t2NWl/vVsQvM3jfc5i1Zla3KjxlWUFo2ECgji3&#10;uuJCwfFrN5iB8AFZY22ZFPySh9XypbfAVNuWP+l2CIWIIexTVFCG4FIpfV6SQT+0jjhyJ9sYDBE2&#10;hdQNtjHc1HKcJFNpsOLYUKKjTUn55XA1Cn627LJdK/PT38btz9ms/rgev5Xqv3brOYhAXXiKH+5M&#10;x/nvk/Eb/L8Tb5DLOwAAAP//AwBQSwECLQAUAAYACAAAACEA2+H2y+4AAACFAQAAEwAAAAAAAAAA&#10;AAAAAAAAAAAAW0NvbnRlbnRfVHlwZXNdLnhtbFBLAQItABQABgAIAAAAIQBa9CxbvwAAABUBAAAL&#10;AAAAAAAAAAAAAAAAAB8BAABfcmVscy8ucmVsc1BLAQItABQABgAIAAAAIQCKVdtLxQAAAN4AAAAP&#10;AAAAAAAAAAAAAAAAAAcCAABkcnMvZG93bnJldi54bWxQSwUGAAAAAAMAAwC3AAAA+QIAAAAA&#10;" filled="f" stroked="f">
                  <v:textbox inset="0,0,0,0">
                    <w:txbxContent>
                      <w:p w14:paraId="6BEBDBFE" w14:textId="77777777" w:rsidR="00B32EF2" w:rsidRDefault="00000000">
                        <w:r>
                          <w:rPr>
                            <w:rFonts w:ascii="Arial" w:eastAsia="Arial" w:hAnsi="Arial" w:cs="Arial"/>
                            <w:sz w:val="18"/>
                          </w:rPr>
                          <w:t>diversa statuizione espressa nella sentenza di merito.</w:t>
                        </w:r>
                      </w:p>
                    </w:txbxContent>
                  </v:textbox>
                </v:rect>
                <v:rect id="Rectangle 201371" o:spid="_x0000_s4527" style="position:absolute;left:-13809;top:1063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o1UyAAAAN8AAAAPAAAAZHJzL2Rvd25yZXYueG1sRI9Pa8JA&#10;FMTvgt9heYI33cSCldRVRJHm0Ev9Az0+ss8kbfbtkl1N7Kd3CwWPw8z8hlmue9OIG7W+tqwgnSYg&#10;iAuray4VnI77yQKED8gaG8uk4E4e1qvhYImZth1/0u0QShEh7DNUUIXgMil9UZFBP7WOOHoX2xoM&#10;Ubal1C12EW4aOUuSuTRYc1yo0NG2ouLncDUKvnbs8n0ni8vv1n1854vm/Xo6KzUe9Zs3EIH68Az/&#10;t3OtYJakL68p/P2JX0CuHgAAAP//AwBQSwECLQAUAAYACAAAACEA2+H2y+4AAACFAQAAEwAAAAAA&#10;AAAAAAAAAAAAAAAAW0NvbnRlbnRfVHlwZXNdLnhtbFBLAQItABQABgAIAAAAIQBa9CxbvwAAABUB&#10;AAALAAAAAAAAAAAAAAAAAB8BAABfcmVscy8ucmVsc1BLAQItABQABgAIAAAAIQBb2o1UyAAAAN8A&#10;AAAPAAAAAAAAAAAAAAAAAAcCAABkcnMvZG93bnJldi54bWxQSwUGAAAAAAMAAwC3AAAA/AIAAAAA&#10;" filled="f" stroked="f">
                  <v:textbox inset="0,0,0,0">
                    <w:txbxContent>
                      <w:p w14:paraId="53121B41" w14:textId="77777777" w:rsidR="00B32EF2" w:rsidRDefault="00000000">
                        <w:r>
                          <w:rPr>
                            <w:rFonts w:ascii="Arial" w:eastAsia="Arial" w:hAnsi="Arial" w:cs="Arial"/>
                            <w:sz w:val="18"/>
                          </w:rPr>
                          <w:t xml:space="preserve">. I compensi agli incaricati dell’assistenza tecnica sono liquidati sulla base dei </w:t>
                        </w:r>
                      </w:p>
                    </w:txbxContent>
                  </v:textbox>
                </v:rect>
                <v:rect id="Rectangle 201370" o:spid="_x0000_s4528" style="position:absolute;left:26115;top:1063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ijPxwAAAN8AAAAPAAAAZHJzL2Rvd25yZXYueG1sRI/LasMw&#10;EEX3hfyDmEB2tZwU2uBaDiEh1Itumgd0OVjjR2uNhKXETr++WhS6vNwXJ99Mphc3GnxnWcEySUEQ&#10;V1Z33Cg4nw6PaxA+IGvsLZOCO3nYFLOHHDNtR/6g2zE0Io6wz1BBG4LLpPRVSwZ9Yh1x9Go7GAxR&#10;Do3UA45x3PRylabP0mDH8aFFR7uWqu/j1Sj43LMrD6Os6p+de/8q1/3b9XxRajGftq8gAk3hP/zX&#10;LrWCVbp8eokEkSeygCx+AQAA//8DAFBLAQItABQABgAIAAAAIQDb4fbL7gAAAIUBAAATAAAAAAAA&#10;AAAAAAAAAAAAAABbQ29udGVudF9UeXBlc10ueG1sUEsBAi0AFAAGAAgAAAAhAFr0LFu/AAAAFQEA&#10;AAsAAAAAAAAAAAAAAAAAHwEAAF9yZWxzLy5yZWxzUEsBAi0AFAAGAAgAAAAhADSWKM/HAAAA3wAA&#10;AA8AAAAAAAAAAAAAAAAABwIAAGRycy9kb3ducmV2LnhtbFBLBQYAAAAAAwADALcAAAD7AgAAAAA=&#10;" filled="f" stroked="f">
                  <v:textbox inset="0,0,0,0">
                    <w:txbxContent>
                      <w:p w14:paraId="0CB775B7" w14:textId="77777777" w:rsidR="00B32EF2" w:rsidRDefault="00000000">
                        <w:r>
                          <w:rPr>
                            <w:rFonts w:ascii="Arial" w:eastAsia="Arial" w:hAnsi="Arial" w:cs="Arial"/>
                            <w:sz w:val="18"/>
                          </w:rPr>
                          <w:t>6</w:t>
                        </w:r>
                      </w:p>
                    </w:txbxContent>
                  </v:textbox>
                </v:rect>
                <v:rect id="Rectangle 19427" o:spid="_x0000_s4529" style="position:absolute;left:-12194;top:9396;width:521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CnxQAAAN4AAAAPAAAAZHJzL2Rvd25yZXYueG1sRE9Na8JA&#10;EL0L/Q/LFLzpRpFqo6uIIs3BS62FHofsmESzs0t2NWl/vVsQvM3jfc5i1Zla3KjxlWUFo2ECgji3&#10;uuJCwfFrN5iB8AFZY22ZFPySh9XypbfAVNuWP+l2CIWIIexTVFCG4FIpfV6SQT+0jjhyJ9sYDBE2&#10;hdQNtjHc1HKcJG/SYMWxoURHm5Lyy+FqFPxs2WW7Vuanv43bn7NZ/XE9fivVf+3WcxCBuvAUP9yZ&#10;jvPfJ+Mp/L8Tb5DLOwAAAP//AwBQSwECLQAUAAYACAAAACEA2+H2y+4AAACFAQAAEwAAAAAAAAAA&#10;AAAAAAAAAAAAW0NvbnRlbnRfVHlwZXNdLnhtbFBLAQItABQABgAIAAAAIQBa9CxbvwAAABUBAAAL&#10;AAAAAAAAAAAAAAAAAB8BAABfcmVscy8ucmVsc1BLAQItABQABgAIAAAAIQAVy+CnxQAAAN4AAAAP&#10;AAAAAAAAAAAAAAAAAAcCAABkcnMvZG93bnJldi54bWxQSwUGAAAAAAMAAwC3AAAA+QIAAAAA&#10;" filled="f" stroked="f">
                  <v:textbox inset="0,0,0,0">
                    <w:txbxContent>
                      <w:p w14:paraId="27DB90E2" w14:textId="77777777" w:rsidR="00B32EF2" w:rsidRDefault="00000000">
                        <w:r>
                          <w:rPr>
                            <w:rFonts w:ascii="Arial" w:eastAsia="Arial" w:hAnsi="Arial" w:cs="Arial"/>
                            <w:sz w:val="18"/>
                          </w:rPr>
                          <w:t>parametri previsti per le singole categorie professionali. Agli iscritti negli elen</w:t>
                        </w:r>
                      </w:p>
                    </w:txbxContent>
                  </v:textbox>
                </v:rect>
                <v:rect id="Rectangle 19428" o:spid="_x0000_s4530" style="position:absolute;left:197;top:939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HTVyAAAAN4AAAAPAAAAZHJzL2Rvd25yZXYueG1sRI9Pa8JA&#10;EMXvhX6HZQre6kaRYlNXEYs0h178U+hxyI5J2uzskl1N2k/vHARvM7w37/1msRpcqy7Uxcazgck4&#10;A0VcettwZeB42D7PQcWEbLH1TAb+KMJq+fiwwNz6nnd02adKSQjHHA3UKYVc61jW5DCOfSAW7eQ7&#10;h0nWrtK2w17CXaunWfaiHTYsDTUG2tRU/u7PzsD3O4di2+vy9L8Jnz/FvP04H7+MGT0N6zdQiYZ0&#10;N9+uCyv4r7Op8Mo7MoNeXgEAAP//AwBQSwECLQAUAAYACAAAACEA2+H2y+4AAACFAQAAEwAAAAAA&#10;AAAAAAAAAAAAAAAAW0NvbnRlbnRfVHlwZXNdLnhtbFBLAQItABQABgAIAAAAIQBa9CxbvwAAABUB&#10;AAALAAAAAAAAAAAAAAAAAB8BAABfcmVscy8ucmVsc1BLAQItABQABgAIAAAAIQBkVHTVyAAAAN4A&#10;AAAPAAAAAAAAAAAAAAAAAAcCAABkcnMvZG93bnJldi54bWxQSwUGAAAAAAMAAwC3AAAA/AIAAAAA&#10;" filled="f" stroked="f">
                  <v:textbox inset="0,0,0,0">
                    <w:txbxContent>
                      <w:p w14:paraId="3A952D70" w14:textId="77777777" w:rsidR="00B32EF2" w:rsidRDefault="00000000">
                        <w:r>
                          <w:rPr>
                            <w:rFonts w:ascii="Arial" w:eastAsia="Arial" w:hAnsi="Arial" w:cs="Arial"/>
                            <w:sz w:val="18"/>
                          </w:rPr>
                          <w:t>-</w:t>
                        </w:r>
                      </w:p>
                    </w:txbxContent>
                  </v:textbox>
                </v:rect>
                <v:rect id="Rectangle 19429" o:spid="_x0000_s4531" style="position:absolute;left:-13177;top:8163;width:531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FOxAAAAN4AAAAPAAAAZHJzL2Rvd25yZXYueG1sRE9Ni8Iw&#10;EL0L/ocwgjdNFVm0axRRxB72sq4Lexyasa02k9BEW/31m4UFb/N4n7Ncd6YWd2p8ZVnBZJyAIM6t&#10;rrhQcPraj+YgfEDWWFsmBQ/ysF71e0tMtW35k+7HUIgYwj5FBWUILpXS5yUZ9GPriCN3to3BEGFT&#10;SN1gG8NNLadJ8iYNVhwbSnS0LSm/Hm9Gwc+OXbZvZX5+bt3HJZvXh9vpW6nhoNu8gwjUhZf4353p&#10;OH8xmy7g7514g1z9AgAA//8DAFBLAQItABQABgAIAAAAIQDb4fbL7gAAAIUBAAATAAAAAAAAAAAA&#10;AAAAAAAAAABbQ29udGVudF9UeXBlc10ueG1sUEsBAi0AFAAGAAgAAAAhAFr0LFu/AAAAFQEAAAsA&#10;AAAAAAAAAAAAAAAAHwEAAF9yZWxzLy5yZWxzUEsBAi0AFAAGAAgAAAAhAAsY0U7EAAAA3gAAAA8A&#10;AAAAAAAAAAAAAAAABwIAAGRycy9kb3ducmV2LnhtbFBLBQYAAAAAAwADALcAAAD4AgAAAAA=&#10;" filled="f" stroked="f">
                  <v:textbox inset="0,0,0,0">
                    <w:txbxContent>
                      <w:p w14:paraId="0C929B04" w14:textId="77777777" w:rsidR="00B32EF2" w:rsidRDefault="00000000">
                        <w:r>
                          <w:rPr>
                            <w:rFonts w:ascii="Arial" w:eastAsia="Arial" w:hAnsi="Arial" w:cs="Arial"/>
                            <w:sz w:val="18"/>
                          </w:rPr>
                          <w:t xml:space="preserve">chi di cui all’articolo 57, comma 4, si applicano i parametri previsti per i dottori </w:t>
                        </w:r>
                      </w:p>
                    </w:txbxContent>
                  </v:textbox>
                </v:rect>
                <v:rect id="Rectangle 19430" o:spid="_x0000_s4532" style="position:absolute;left:15257;top:6930;width:246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OyAAAAN4AAAAPAAAAZHJzL2Rvd25yZXYueG1sRI9Lb8Iw&#10;EITvlfofrK3ErTh9qKIpBlVUiBy4lIfU4ypekrTx2ooNSfn17AGJ2652dma+6XxwrTpRFxvPBp7G&#10;GSji0tuGKwO77fJxAiomZIutZzLwTxHms/u7KebW9/xNp02qlJhwzNFAnVLItY5lTQ7j2AdiuR18&#10;5zDJ2lXadtiLuWv1c5a9aYcNS0KNgRY1lX+bozPw88WhWPa6PJwXYf1bTNrVcbc3ZvQwfH6ASjSk&#10;m/j6XVip//76IgCCIzPo2QUAAP//AwBQSwECLQAUAAYACAAAACEA2+H2y+4AAACFAQAAEwAAAAAA&#10;AAAAAAAAAAAAAAAAW0NvbnRlbnRfVHlwZXNdLnhtbFBLAQItABQABgAIAAAAIQBa9CxbvwAAABUB&#10;AAALAAAAAAAAAAAAAAAAAB8BAABfcmVscy8ucmVsc1BLAQItABQABgAIAAAAIQAf++4OyAAAAN4A&#10;AAAPAAAAAAAAAAAAAAAAAAcCAABkcnMvZG93bnJldi54bWxQSwUGAAAAAAMAAwC3AAAA/AIAAAAA&#10;" filled="f" stroked="f">
                  <v:textbox inset="0,0,0,0">
                    <w:txbxContent>
                      <w:p w14:paraId="28C0CC2B" w14:textId="77777777" w:rsidR="00B32EF2" w:rsidRDefault="00000000">
                        <w:r>
                          <w:rPr>
                            <w:rFonts w:ascii="Arial" w:eastAsia="Arial" w:hAnsi="Arial" w:cs="Arial"/>
                            <w:sz w:val="18"/>
                          </w:rPr>
                          <w:t>commercialisti e gli esperti contabili.</w:t>
                        </w:r>
                      </w:p>
                    </w:txbxContent>
                  </v:textbox>
                </v:rect>
                <v:rect id="Rectangle 201369" o:spid="_x0000_s4533" style="position:absolute;left:-13692;top:5697;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RePxwAAAN8AAAAPAAAAZHJzL2Rvd25yZXYueG1sRI9Ba8JA&#10;FITvgv9heYI33aggNrpKsUhz8FKbQo+P7DOJzb5dsqtJ++vdguBxmJlvmM2uN424Uetrywpm0wQE&#10;cWF1zaWC/PMwWYHwAVljY5kU/JKH3XY42GCqbccfdDuFUkQI+xQVVCG4VEpfVGTQT60jjt7ZtgZD&#10;lG0pdYtdhJtGzpNkKQ3WHBcqdLSvqPg5XY2C7zd22aGTxflv746XbNW8X/Mvpcaj/nUNIlAfnuFH&#10;O9MK5slssXyB/z/xC8jtHQAA//8DAFBLAQItABQABgAIAAAAIQDb4fbL7gAAAIUBAAATAAAAAAAA&#10;AAAAAAAAAAAAAABbQ29udGVudF9UeXBlc10ueG1sUEsBAi0AFAAGAAgAAAAhAFr0LFu/AAAAFQEA&#10;AAsAAAAAAAAAAAAAAAAAHwEAAF9yZWxzLy5yZWxzUEsBAi0AFAAGAAgAAAAhACB1F4/HAAAA3wAA&#10;AA8AAAAAAAAAAAAAAAAABwIAAGRycy9kb3ducmV2LnhtbFBLBQYAAAAAAwADALcAAAD7AgAAAAA=&#10;" filled="f" stroked="f">
                  <v:textbox inset="0,0,0,0">
                    <w:txbxContent>
                      <w:p w14:paraId="5764755E" w14:textId="77777777" w:rsidR="00B32EF2" w:rsidRDefault="00000000">
                        <w:r>
                          <w:rPr>
                            <w:rFonts w:ascii="Arial" w:eastAsia="Arial" w:hAnsi="Arial" w:cs="Arial"/>
                            <w:sz w:val="18"/>
                          </w:rPr>
                          <w:t xml:space="preserve">. Nella liquidazione delle spese a favore dell’ente impositore, dell’agente della </w:t>
                        </w:r>
                      </w:p>
                    </w:txbxContent>
                  </v:textbox>
                </v:rect>
                <v:rect id="Rectangle 201368" o:spid="_x0000_s4534" style="position:absolute;left:26115;top:5697;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bIUxQAAAN8AAAAPAAAAZHJzL2Rvd25yZXYueG1sRE/Pa8Iw&#10;FL4P/B/CE7zNVIVSOqMMRezByzoHOz6aZ9uteQlNbOv++uUw2PHj+73dT6YTA/W+taxgtUxAEFdW&#10;t1wruL6fnjMQPiBr7CyTggd52O9mT1vMtR35jYYy1CKGsM9RQROCy6X0VUMG/dI64sjdbG8wRNjX&#10;Uvc4xnDTyXWSpNJgy7GhQUeHhqrv8m4UfB7ZFadRVrefg7t8FVl3vl8/lFrMp9cXEIGm8C/+cxda&#10;wTpZbdI4OP6JX0DufgEAAP//AwBQSwECLQAUAAYACAAAACEA2+H2y+4AAACFAQAAEwAAAAAAAAAA&#10;AAAAAAAAAAAAW0NvbnRlbnRfVHlwZXNdLnhtbFBLAQItABQABgAIAAAAIQBa9CxbvwAAABUBAAAL&#10;AAAAAAAAAAAAAAAAAB8BAABfcmVscy8ucmVsc1BLAQItABQABgAIAAAAIQBPObIUxQAAAN8AAAAP&#10;AAAAAAAAAAAAAAAAAAcCAABkcnMvZG93bnJldi54bWxQSwUGAAAAAAMAAwC3AAAA+QIAAAAA&#10;" filled="f" stroked="f">
                  <v:textbox inset="0,0,0,0">
                    <w:txbxContent>
                      <w:p w14:paraId="0796A180" w14:textId="77777777" w:rsidR="00B32EF2" w:rsidRDefault="00000000">
                        <w:r>
                          <w:rPr>
                            <w:rFonts w:ascii="Arial" w:eastAsia="Arial" w:hAnsi="Arial" w:cs="Arial"/>
                            <w:sz w:val="18"/>
                          </w:rPr>
                          <w:t>7</w:t>
                        </w:r>
                      </w:p>
                    </w:txbxContent>
                  </v:textbox>
                </v:rect>
                <v:rect id="Rectangle 19432" o:spid="_x0000_s4535" style="position:absolute;left:-12199;top:4463;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dXixQAAAN4AAAAPAAAAZHJzL2Rvd25yZXYueG1sRE9Na8JA&#10;EL0L/Q/LFLzpRi1io6uIIs3BS62FHofsmESzs0t2NWl/vVsQvM3jfc5i1Zla3KjxlWUFo2ECgji3&#10;uuJCwfFrN5iB8AFZY22ZFPySh9XypbfAVNuWP+l2CIWIIexTVFCG4FIpfV6SQT+0jjhyJ9sYDBE2&#10;hdQNtjHc1HKcJFNpsOLYUKKjTUn55XA1Cn627LJdK/PT38btz9ms/rgev5Xqv3brOYhAXXiKH+5M&#10;x/nvb5Mx/L8Tb5DLOwAAAP//AwBQSwECLQAUAAYACAAAACEA2+H2y+4AAACFAQAAEwAAAAAAAAAA&#10;AAAAAAAAAAAAW0NvbnRlbnRfVHlwZXNdLnhtbFBLAQItABQABgAIAAAAIQBa9CxbvwAAABUBAAAL&#10;AAAAAAAAAAAAAAAAAB8BAABfcmVscy8ucmVsc1BLAQItABQABgAIAAAAIQCAZdXixQAAAN4AAAAP&#10;AAAAAAAAAAAAAAAAAAcCAABkcnMvZG93bnJldi54bWxQSwUGAAAAAAMAAwC3AAAA+QIAAAAA&#10;" filled="f" stroked="f">
                  <v:textbox inset="0,0,0,0">
                    <w:txbxContent>
                      <w:p w14:paraId="780F885B" w14:textId="77777777" w:rsidR="00B32EF2" w:rsidRDefault="00000000">
                        <w:r>
                          <w:rPr>
                            <w:rFonts w:ascii="Arial" w:eastAsia="Arial" w:hAnsi="Arial" w:cs="Arial"/>
                            <w:sz w:val="18"/>
                          </w:rPr>
                          <w:t>riscossione e dei soggetti iscritti nell’albo di cui all’articolo 53 del decreto legi</w:t>
                        </w:r>
                      </w:p>
                    </w:txbxContent>
                  </v:textbox>
                </v:rect>
                <v:rect id="Rectangle 19433" o:spid="_x0000_s4536" style="position:absolute;left:197;top:446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B5xQAAAN4AAAAPAAAAZHJzL2Rvd25yZXYueG1sRE9Na8JA&#10;EL0L/Q/LFLzpRi3FRlcRRczBS62FHofsmESzs0t2NbG/3i0UvM3jfc582Zla3KjxlWUFo2ECgji3&#10;uuJCwfFrO5iC8AFZY22ZFNzJw3Lx0ptjqm3Ln3Q7hELEEPYpKihDcKmUPi/JoB9aRxy5k20Mhgib&#10;QuoG2xhuajlOkndpsOLYUKKjdUn55XA1Cn427LJtK/PT79rtz9m03l2P30r1X7vVDESgLjzF/+5M&#10;x/kfb5MJ/L0Tb5CLBwAAAP//AwBQSwECLQAUAAYACAAAACEA2+H2y+4AAACFAQAAEwAAAAAAAAAA&#10;AAAAAAAAAAAAW0NvbnRlbnRfVHlwZXNdLnhtbFBLAQItABQABgAIAAAAIQBa9CxbvwAAABUBAAAL&#10;AAAAAAAAAAAAAAAAAB8BAABfcmVscy8ucmVsc1BLAQItABQABgAIAAAAIQDvKXB5xQAAAN4AAAAP&#10;AAAAAAAAAAAAAAAAAAcCAABkcnMvZG93bnJldi54bWxQSwUGAAAAAAMAAwC3AAAA+QIAAAAA&#10;" filled="f" stroked="f">
                  <v:textbox inset="0,0,0,0">
                    <w:txbxContent>
                      <w:p w14:paraId="1887BE02" w14:textId="77777777" w:rsidR="00B32EF2" w:rsidRDefault="00000000">
                        <w:r>
                          <w:rPr>
                            <w:rFonts w:ascii="Arial" w:eastAsia="Arial" w:hAnsi="Arial" w:cs="Arial"/>
                            <w:sz w:val="18"/>
                          </w:rPr>
                          <w:t>-</w:t>
                        </w:r>
                      </w:p>
                    </w:txbxContent>
                  </v:textbox>
                </v:rect>
                <v:shape id="Shape 207996" o:spid="_x0000_s4537" style="position:absolute;left:323;top:36592;width:39600;height:26099;visibility:visible;mso-wrap-style:square;v-text-anchor:top" coordsize="3960000,2609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ibGyQAAAN8AAAAPAAAAZHJzL2Rvd25yZXYueG1sRI9Ba8JA&#10;FITvBf/D8oReSt1VS9qkriKCIHgopvXQ2yP7mkSzb0N2q9Ff7xYKHoeZ+YaZLXrbiBN1vnasYTxS&#10;IIgLZ2ouNXx9rp/fQPiAbLBxTBou5GExHzzMMDPuzDs65aEUEcI+Qw1VCG0mpS8qsuhHriWO3o/r&#10;LIYou1KaDs8Rbhs5USqRFmuOCxW2tKqoOOa/VsOSV+opeTl8p7g9rvP9PrlOP1Drx2G/fAcRqA/3&#10;8H97YzRM1GuaJvD3J34BOb8BAAD//wMAUEsBAi0AFAAGAAgAAAAhANvh9svuAAAAhQEAABMAAAAA&#10;AAAAAAAAAAAAAAAAAFtDb250ZW50X1R5cGVzXS54bWxQSwECLQAUAAYACAAAACEAWvQsW78AAAAV&#10;AQAACwAAAAAAAAAAAAAAAAAfAQAAX3JlbHMvLnJlbHNQSwECLQAUAAYACAAAACEAptYmxskAAADf&#10;AAAADwAAAAAAAAAAAAAAAAAHAgAAZHJzL2Rvd25yZXYueG1sUEsFBgAAAAADAAMAtwAAAP0CAAAA&#10;AA==&#10;" path="m,l3960000,r,2609901l,2609901,,e" fillcolor="#c3c3c3" stroked="f" strokeweight="0">
                  <v:stroke miterlimit="83231f" joinstyle="miter"/>
                  <v:path arrowok="t" textboxrect="0,0,3960000,2609901"/>
                </v:shape>
                <v:rect id="Rectangle 201399" o:spid="_x0000_s4538" style="position:absolute;left:-11493;top:60478;width:500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eoxwAAAN8AAAAPAAAAZHJzL2Rvd25yZXYueG1sRI9Ba8JA&#10;FITvgv9heUJvutGCaHQVUcQcvGgt9PjIPpNo9u2SXU3aX+8WCj0OM/MNs1x3phZPanxlWcF4lIAg&#10;zq2uuFBw+dgPZyB8QNZYWyYF3+Rhver3lphq2/KJnudQiAhhn6KCMgSXSunzkgz6kXXE0bvaxmCI&#10;simkbrCNcFPLSZJMpcGK40KJjrYl5ffzwyj42rHL9q3Mrz9bd7xls/rwuHwq9TboNgsQgbrwH/5r&#10;Z1rBJBm/z+fw+yd+Abl6AQAA//8DAFBLAQItABQABgAIAAAAIQDb4fbL7gAAAIUBAAATAAAAAAAA&#10;AAAAAAAAAAAAAABbQ29udGVudF9UeXBlc10ueG1sUEsBAi0AFAAGAAgAAAAhAFr0LFu/AAAAFQEA&#10;AAsAAAAAAAAAAAAAAAAAHwEAAF9yZWxzLy5yZWxzUEsBAi0AFAAGAAgAAAAhABWgZ6jHAAAA3wAA&#10;AA8AAAAAAAAAAAAAAAAABwIAAGRycy9kb3ducmV2LnhtbFBLBQYAAAAAAwADALcAAAD7AgAAAAA=&#10;" filled="f" stroked="f">
                  <v:textbox inset="0,0,0,0">
                    <w:txbxContent>
                      <w:p w14:paraId="19A79F0E" w14:textId="77777777" w:rsidR="00B32EF2" w:rsidRDefault="00000000">
                        <w:r>
                          <w:rPr>
                            <w:rFonts w:ascii="Arial" w:eastAsia="Arial" w:hAnsi="Arial" w:cs="Arial"/>
                            <w:i/>
                            <w:sz w:val="18"/>
                          </w:rPr>
                          <w:t>. Più parti possono agire o essere convenute nello stesso processo, quan</w:t>
                        </w:r>
                      </w:p>
                    </w:txbxContent>
                  </v:textbox>
                </v:rect>
                <v:rect id="Rectangle 201398" o:spid="_x0000_s4539" style="position:absolute;left:26089;top:60478;width:500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MIzxQAAAN8AAAAPAAAAZHJzL2Rvd25yZXYueG1sRE/LasJA&#10;FN0X/IfhCt3ViRZKmjqKKGIW3TRVcHnJXJPUzJ0hM3m0X99ZFLo8nPd6O5lWDNT5xrKC5SIBQVxa&#10;3XCl4Px5fEpB+ICssbVMCr7Jw3Yze1hjpu3IHzQUoRIxhH2GCuoQXCalL2sy6BfWEUfuZjuDIcKu&#10;krrDMYabVq6S5EUabDg21OhoX1N5L3qj4Hpglx9HWd5+9u79K0/bU3++KPU4n3ZvIAJN4V/85861&#10;glWyfH6Ng+Of+AXk5hcAAP//AwBQSwECLQAUAAYACAAAACEA2+H2y+4AAACFAQAAEwAAAAAAAAAA&#10;AAAAAAAAAAAAW0NvbnRlbnRfVHlwZXNdLnhtbFBLAQItABQABgAIAAAAIQBa9CxbvwAAABUBAAAL&#10;AAAAAAAAAAAAAAAAAB8BAABfcmVscy8ucmVsc1BLAQItABQABgAIAAAAIQB67MIzxQAAAN8AAAAP&#10;AAAAAAAAAAAAAAAAAAcCAABkcnMvZG93bnJldi54bWxQSwUGAAAAAAMAAwC3AAAA+QIAAAAA&#10;" filled="f" stroked="f">
                  <v:textbox inset="0,0,0,0">
                    <w:txbxContent>
                      <w:p w14:paraId="2A3EDCAA" w14:textId="77777777" w:rsidR="00B32EF2" w:rsidRDefault="00000000">
                        <w:r>
                          <w:rPr>
                            <w:rFonts w:ascii="Arial" w:eastAsia="Arial" w:hAnsi="Arial" w:cs="Arial"/>
                            <w:i/>
                            <w:sz w:val="18"/>
                          </w:rPr>
                          <w:t>1</w:t>
                        </w:r>
                      </w:p>
                    </w:txbxContent>
                  </v:textbox>
                </v:rect>
                <v:rect id="Rectangle 19436" o:spid="_x0000_s4540" style="position:absolute;left:981;top:6047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PhxQAAAN4AAAAPAAAAZHJzL2Rvd25yZXYueG1sRE9La8JA&#10;EL4X+h+WKXirGx+Ija4iiphDL7UWehyyYxLNzi7Z1UR/vVsoeJuP7znzZWdqcaXGV5YVDPoJCOLc&#10;6ooLBYfv7fsUhA/IGmvLpOBGHpaL15c5ptq2/EXXfShEDGGfooIyBJdK6fOSDPq+dcSRO9rGYIiw&#10;KaRusI3hppbDJJlIgxXHhhIdrUvKz/uLUfC7YZdtW5kf72v3ecqm9e5y+FGq99atZiACdeEp/ndn&#10;Os7/GI8m8PdOvEEuHgAAAP//AwBQSwECLQAUAAYACAAAACEA2+H2y+4AAACFAQAAEwAAAAAAAAAA&#10;AAAAAAAAAAAAW0NvbnRlbnRfVHlwZXNdLnhtbFBLAQItABQABgAIAAAAIQBa9CxbvwAAABUBAAAL&#10;AAAAAAAAAAAAAAAAAB8BAABfcmVscy8ucmVsc1BLAQItABQABgAIAAAAIQD/XtPhxQAAAN4AAAAP&#10;AAAAAAAAAAAAAAAAAAcCAABkcnMvZG93bnJldi54bWxQSwUGAAAAAAMAAwC3AAAA+QIAAAAA&#10;" filled="f" stroked="f">
                  <v:textbox inset="0,0,0,0">
                    <w:txbxContent>
                      <w:p w14:paraId="5D1225D1" w14:textId="77777777" w:rsidR="00B32EF2" w:rsidRDefault="00000000">
                        <w:r>
                          <w:rPr>
                            <w:rFonts w:ascii="Arial" w:eastAsia="Arial" w:hAnsi="Arial" w:cs="Arial"/>
                            <w:i/>
                            <w:sz w:val="18"/>
                          </w:rPr>
                          <w:t>-</w:t>
                        </w:r>
                      </w:p>
                    </w:txbxContent>
                  </v:textbox>
                </v:rect>
                <v:rect id="Rectangle 19437" o:spid="_x0000_s4541" style="position:absolute;left:-11869;top:59245;width:510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nZ6xQAAAN4AAAAPAAAAZHJzL2Rvd25yZXYueG1sRE9Na8JA&#10;EL0X+h+WKXirm7ZSY+oqxSLm4EVrweOQHZO02dklu5ror3eFgrd5vM+ZznvTiBO1vras4GWYgCAu&#10;rK65VLD7Xj6nIHxA1thYJgVn8jCfPT5MMdO24w2dtqEUMYR9hgqqEFwmpS8qMuiH1hFH7mBbgyHC&#10;tpS6xS6Gm0a+Jsm7NFhzbKjQ0aKi4m97NAr2X+zyZSeLw2Xh1r952qyOux+lBk/95weIQH24i//d&#10;uY7zJ6O3MdzeiTfI2RUAAP//AwBQSwECLQAUAAYACAAAACEA2+H2y+4AAACFAQAAEwAAAAAAAAAA&#10;AAAAAAAAAAAAW0NvbnRlbnRfVHlwZXNdLnhtbFBLAQItABQABgAIAAAAIQBa9CxbvwAAABUBAAAL&#10;AAAAAAAAAAAAAAAAAB8BAABfcmVscy8ucmVsc1BLAQItABQABgAIAAAAIQCQEnZ6xQAAAN4AAAAP&#10;AAAAAAAAAAAAAAAAAAcCAABkcnMvZG93bnJldi54bWxQSwUGAAAAAAMAAwC3AAAA+QIAAAAA&#10;" filled="f" stroked="f">
                  <v:textbox inset="0,0,0,0">
                    <w:txbxContent>
                      <w:p w14:paraId="1F32D9D4" w14:textId="77777777" w:rsidR="00B32EF2" w:rsidRDefault="00000000">
                        <w:r>
                          <w:rPr>
                            <w:rFonts w:ascii="Arial" w:eastAsia="Arial" w:hAnsi="Arial" w:cs="Arial"/>
                            <w:i/>
                            <w:sz w:val="18"/>
                          </w:rPr>
                          <w:t xml:space="preserve">do tra le cause che si propongono esiste connessione per l’oggetto o per il </w:t>
                        </w:r>
                      </w:p>
                    </w:txbxContent>
                  </v:textbox>
                </v:rect>
                <v:rect id="Rectangle 19438" o:spid="_x0000_s4542" style="position:absolute;left:-11850;top:58012;width:5094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eIIyAAAAN4AAAAPAAAAZHJzL2Rvd25yZXYueG1sRI9Lb8Iw&#10;EITvlfofrK3ErTh9qKIpBlVUiBy4lIfU4ypekrTx2ooNSfn17AGJ265mdubb6XxwrTpRFxvPBp7G&#10;GSji0tuGKwO77fJxAiomZIutZzLwTxHms/u7KebW9/xNp02qlIRwzNFAnVLItY5lTQ7j2Adi0Q6+&#10;c5hk7SptO+wl3LX6OcvetMOGpaHGQIuayr/N0Rn4+eJQLHtdHs6LsP4tJu3quNsbM3oYPj9AJRrS&#10;zXy9Lqzgv7++CK+8IzPo2QUAAP//AwBQSwECLQAUAAYACAAAACEA2+H2y+4AAACFAQAAEwAAAAAA&#10;AAAAAAAAAAAAAAAAW0NvbnRlbnRfVHlwZXNdLnhtbFBLAQItABQABgAIAAAAIQBa9CxbvwAAABUB&#10;AAALAAAAAAAAAAAAAAAAAB8BAABfcmVscy8ucmVsc1BLAQItABQABgAIAAAAIQDhjeIIyAAAAN4A&#10;AAAPAAAAAAAAAAAAAAAAAAcCAABkcnMvZG93bnJldi54bWxQSwUGAAAAAAMAAwC3AAAA/AIAAAAA&#10;" filled="f" stroked="f">
                  <v:textbox inset="0,0,0,0">
                    <w:txbxContent>
                      <w:p w14:paraId="09435262" w14:textId="77777777" w:rsidR="00B32EF2" w:rsidRDefault="00000000">
                        <w:r>
                          <w:rPr>
                            <w:rFonts w:ascii="Arial" w:eastAsia="Arial" w:hAnsi="Arial" w:cs="Arial"/>
                            <w:i/>
                            <w:sz w:val="18"/>
                          </w:rPr>
                          <w:t xml:space="preserve">titolo dal quale dipendono, oppure quando la decisione dipende, totalmente </w:t>
                        </w:r>
                      </w:p>
                    </w:txbxContent>
                  </v:textbox>
                </v:rect>
                <v:rect id="Rectangle 19439" o:spid="_x0000_s4543" style="position:absolute;left:1531;top:56778;width:376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UeTxQAAAN4AAAAPAAAAZHJzL2Rvd25yZXYueG1sRE9La8JA&#10;EL4X/A/LCN7qxlpEo6uIRZpDL/UBHofsmESzs0t2NWl/fbcgeJuP7zmLVWdqcafGV5YVjIYJCOLc&#10;6ooLBYf99nUKwgdkjbVlUvBDHlbL3ssCU21b/qb7LhQihrBPUUEZgkul9HlJBv3QOuLInW1jMETY&#10;FFI32MZwU8u3JJlIgxXHhhIdbUrKr7ubUXD6YJdtW5mffzfu65JN68/b4ajUoN+t5yACdeEpfrgz&#10;HefP3scz+H8n3iCXfwAAAP//AwBQSwECLQAUAAYACAAAACEA2+H2y+4AAACFAQAAEwAAAAAAAAAA&#10;AAAAAAAAAAAAW0NvbnRlbnRfVHlwZXNdLnhtbFBLAQItABQABgAIAAAAIQBa9CxbvwAAABUBAAAL&#10;AAAAAAAAAAAAAAAAAB8BAABfcmVscy8ucmVsc1BLAQItABQABgAIAAAAIQCOwUeTxQAAAN4AAAAP&#10;AAAAAAAAAAAAAAAAAAcCAABkcnMvZG93bnJldi54bWxQSwUGAAAAAAMAAwC3AAAA+QIAAAAA&#10;" filled="f" stroked="f">
                  <v:textbox inset="0,0,0,0">
                    <w:txbxContent>
                      <w:p w14:paraId="2AB5B9FA" w14:textId="77777777" w:rsidR="00B32EF2" w:rsidRDefault="00000000">
                        <w:r>
                          <w:rPr>
                            <w:rFonts w:ascii="Arial" w:eastAsia="Arial" w:hAnsi="Arial" w:cs="Arial"/>
                            <w:i/>
                            <w:sz w:val="18"/>
                          </w:rPr>
                          <w:t xml:space="preserve">o parzialmente, dalla risoluzione di identiche questioni. </w:t>
                        </w:r>
                      </w:p>
                    </w:txbxContent>
                  </v:textbox>
                </v:rect>
                <v:rect id="Rectangle 201396" o:spid="_x0000_s4544" style="position:absolute;left:25806;top:55545;width:511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axwAAAN8AAAAPAAAAZHJzL2Rvd25yZXYueG1sRI9Ba8JA&#10;FITvgv9heYI33aggNrpKsUhz8FKbQo+P7DOJzb5dsqtJ++vdguBxmJlvmM2uN424Uetrywpm0wQE&#10;cWF1zaWC/PMwWYHwAVljY5kU/JKH3XY42GCqbccfdDuFUkQI+xQVVCG4VEpfVGTQT60jjt7ZtgZD&#10;lG0pdYtdhJtGzpNkKQ3WHBcqdLSvqPg5XY2C7zd22aGTxflv746XbNW8X/Mvpcaj/nUNIlAfnuFH&#10;O9MK5sls8bKE/z/xC8jtHQAA//8DAFBLAQItABQABgAIAAAAIQDb4fbL7gAAAIUBAAATAAAAAAAA&#10;AAAAAAAAAAAAAABbQ29udGVudF9UeXBlc10ueG1sUEsBAi0AFAAGAAgAAAAhAFr0LFu/AAAAFQEA&#10;AAsAAAAAAAAAAAAAAAAAHwEAAF9yZWxzLy5yZWxzUEsBAi0AFAAGAAgAAAAhAGQ/89rHAAAA3wAA&#10;AA8AAAAAAAAAAAAAAAAABwIAAGRycy9kb3ducmV2LnhtbFBLBQYAAAAAAwADALcAAAD7AgAAAAA=&#10;" filled="f" stroked="f">
                  <v:textbox inset="0,0,0,0">
                    <w:txbxContent>
                      <w:p w14:paraId="299CA397" w14:textId="77777777" w:rsidR="00B32EF2" w:rsidRDefault="00000000">
                        <w:r>
                          <w:rPr>
                            <w:rFonts w:ascii="Arial" w:eastAsia="Arial" w:hAnsi="Arial" w:cs="Arial"/>
                            <w:i/>
                            <w:sz w:val="18"/>
                          </w:rPr>
                          <w:t>2</w:t>
                        </w:r>
                      </w:p>
                    </w:txbxContent>
                  </v:textbox>
                </v:rect>
                <v:rect id="Rectangle 201397" o:spid="_x0000_s4545" style="position:absolute;left:-12555;top:55545;width:511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1ZByAAAAN8AAAAPAAAAZHJzL2Rvd25yZXYueG1sRI9Pa8JA&#10;FMTvgt9heUJvutGC2tRVikXMoRf/FHp8ZJ9J2uzbJbua6KfvCoLHYWZ+wyxWnanFhRpfWVYwHiUg&#10;iHOrKy4UHA+b4RyED8gaa8uk4EoeVst+b4Gpti3v6LIPhYgQ9ikqKENwqZQ+L8mgH1lHHL2TbQyG&#10;KJtC6gbbCDe1nCTJVBqsOC6U6GhdUv63PxsFP5/ssk0r89Nt7b5+s3m9PR+/lXoZdB/vIAJ14Rl+&#10;tDOtYJKMX99mcP8Tv4Bc/gMAAP//AwBQSwECLQAUAAYACAAAACEA2+H2y+4AAACFAQAAEwAAAAAA&#10;AAAAAAAAAAAAAAAAW0NvbnRlbnRfVHlwZXNdLnhtbFBLAQItABQABgAIAAAAIQBa9CxbvwAAABUB&#10;AAALAAAAAAAAAAAAAAAAAB8BAABfcmVscy8ucmVsc1BLAQItABQABgAIAAAAIQALc1ZByAAAAN8A&#10;AAAPAAAAAAAAAAAAAAAAAAcCAABkcnMvZG93bnJldi54bWxQSwUGAAAAAAMAAwC3AAAA/AIAAAAA&#10;" filled="f" stroked="f">
                  <v:textbox inset="0,0,0,0">
                    <w:txbxContent>
                      <w:p w14:paraId="27549887" w14:textId="77777777" w:rsidR="00B32EF2" w:rsidRDefault="00000000">
                        <w:r>
                          <w:rPr>
                            <w:rFonts w:ascii="Arial" w:eastAsia="Arial" w:hAnsi="Arial" w:cs="Arial"/>
                            <w:i/>
                            <w:sz w:val="18"/>
                          </w:rPr>
                          <w:t xml:space="preserve">. Il giudice può disporre, nel corso della istruzione o nella decisione, la </w:t>
                        </w:r>
                      </w:p>
                    </w:txbxContent>
                  </v:textbox>
                </v:rect>
                <v:rect id="Rectangle 19441" o:spid="_x0000_s4546" style="position:absolute;left:-11887;top:54312;width:510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TjoxAAAAN4AAAAPAAAAZHJzL2Rvd25yZXYueG1sRE9Li8Iw&#10;EL4v7H8II3jT1EUW7RpFXGR78OIL9jg0Y1ttJqGJtvrrN4Kwt/n4njNbdKYWN2p8ZVnBaJiAIM6t&#10;rrhQcNivBxMQPiBrrC2Tgjt5WMzf32aYatvylm67UIgYwj5FBWUILpXS5yUZ9EPriCN3so3BEGFT&#10;SN1gG8NNLT+S5FMarDg2lOhoVVJ+2V2Ngt9vdtm6lfnpsXKbczapf66Ho1L9Xrf8AhGoC//ilzvT&#10;cf50PB7B8514g5z/AQAA//8DAFBLAQItABQABgAIAAAAIQDb4fbL7gAAAIUBAAATAAAAAAAAAAAA&#10;AAAAAAAAAABbQ29udGVudF9UeXBlc10ueG1sUEsBAi0AFAAGAAgAAAAhAFr0LFu/AAAAFQEAAAsA&#10;AAAAAAAAAAAAAAAAHwEAAF9yZWxzLy5yZWxzUEsBAi0AFAAGAAgAAAAhACixOOjEAAAA3gAAAA8A&#10;AAAAAAAAAAAAAAAABwIAAGRycy9kb3ducmV2LnhtbFBLBQYAAAAAAwADALcAAAD4AgAAAAA=&#10;" filled="f" stroked="f">
                  <v:textbox inset="0,0,0,0">
                    <w:txbxContent>
                      <w:p w14:paraId="1C7DCF66" w14:textId="77777777" w:rsidR="00B32EF2" w:rsidRDefault="00000000">
                        <w:r>
                          <w:rPr>
                            <w:rFonts w:ascii="Arial" w:eastAsia="Arial" w:hAnsi="Arial" w:cs="Arial"/>
                            <w:i/>
                            <w:sz w:val="18"/>
                          </w:rPr>
                          <w:t xml:space="preserve">separazione delle cause, se vi è istanza di tutte le parti, ovvero quando la </w:t>
                        </w:r>
                      </w:p>
                    </w:txbxContent>
                  </v:textbox>
                </v:rect>
                <v:rect id="Rectangle 19442" o:spid="_x0000_s4547" style="position:absolute;left:-11884;top:53078;width:510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6afxAAAAN4AAAAPAAAAZHJzL2Rvd25yZXYueG1sRE9Ni8Iw&#10;EL0v+B/CCN40VWRxu0YRRezBy6oLexyasa02k9BEW/31mwVhb/N4nzNfdqYWd2p8ZVnBeJSAIM6t&#10;rrhQcDpuhzMQPiBrrC2Tggd5WC56b3NMtW35i+6HUIgYwj5FBWUILpXS5yUZ9CPriCN3to3BEGFT&#10;SN1gG8NNLSdJ8i4NVhwbSnS0Lim/Hm5Gwc+GXbZtZX5+rt3+ks3q3e30rdSg360+QQTqwr/45c50&#10;nP8xnU7g7514g1z8AgAA//8DAFBLAQItABQABgAIAAAAIQDb4fbL7gAAAIUBAAATAAAAAAAAAAAA&#10;AAAAAAAAAABbQ29udGVudF9UeXBlc10ueG1sUEsBAi0AFAAGAAgAAAAhAFr0LFu/AAAAFQEAAAsA&#10;AAAAAAAAAAAAAAAAHwEAAF9yZWxzLy5yZWxzUEsBAi0AFAAGAAgAAAAhANhjpp/EAAAA3gAAAA8A&#10;AAAAAAAAAAAAAAAABwIAAGRycy9kb3ducmV2LnhtbFBLBQYAAAAAAwADALcAAAD4AgAAAAA=&#10;" filled="f" stroked="f">
                  <v:textbox inset="0,0,0,0">
                    <w:txbxContent>
                      <w:p w14:paraId="4D4E4614" w14:textId="77777777" w:rsidR="00B32EF2" w:rsidRDefault="00000000">
                        <w:r>
                          <w:rPr>
                            <w:rFonts w:ascii="Arial" w:eastAsia="Arial" w:hAnsi="Arial" w:cs="Arial"/>
                            <w:i/>
                            <w:sz w:val="18"/>
                          </w:rPr>
                          <w:t xml:space="preserve">continuazione della loro riunione ritarderebbe o renderebbe più gravoso il </w:t>
                        </w:r>
                      </w:p>
                    </w:txbxContent>
                  </v:textbox>
                </v:rect>
                <v:rect id="Rectangle 19443" o:spid="_x0000_s4548" style="position:absolute;left:-11545;top:51845;width:506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wMExQAAAN4AAAAPAAAAZHJzL2Rvd25yZXYueG1sRE9La8JA&#10;EL4X+h+WKXirGx8UG11FFDEHL7UWehyyYxLNzi7Z1UR/vVsoeJuP7zmzRWdqcaXGV5YVDPoJCOLc&#10;6ooLBYfvzfsEhA/IGmvLpOBGHhbz15cZptq2/EXXfShEDGGfooIyBJdK6fOSDPq+dcSRO9rGYIiw&#10;KaRusI3hppbDJPmQBiuODSU6WpWUn/cXo+B3zS7btDI/3ldud8om9fZy+FGq99YtpyACdeEp/ndn&#10;Os7/HI9H8PdOvEHOHwAAAP//AwBQSwECLQAUAAYACAAAACEA2+H2y+4AAACFAQAAEwAAAAAAAAAA&#10;AAAAAAAAAAAAW0NvbnRlbnRfVHlwZXNdLnhtbFBLAQItABQABgAIAAAAIQBa9CxbvwAAABUBAAAL&#10;AAAAAAAAAAAAAAAAAB8BAABfcmVscy8ucmVsc1BLAQItABQABgAIAAAAIQC3LwMExQAAAN4AAAAP&#10;AAAAAAAAAAAAAAAAAAcCAABkcnMvZG93bnJldi54bWxQSwUGAAAAAAMAAwC3AAAA+QIAAAAA&#10;" filled="f" stroked="f">
                  <v:textbox inset="0,0,0,0">
                    <w:txbxContent>
                      <w:p w14:paraId="001A6943" w14:textId="77777777" w:rsidR="00B32EF2" w:rsidRDefault="00000000">
                        <w:r>
                          <w:rPr>
                            <w:rFonts w:ascii="Arial" w:eastAsia="Arial" w:hAnsi="Arial" w:cs="Arial"/>
                            <w:i/>
                            <w:sz w:val="18"/>
                          </w:rPr>
                          <w:t xml:space="preserve">processo, e può rimettere al giudice inferiore le cause di sua competenza. </w:t>
                        </w:r>
                      </w:p>
                    </w:txbxContent>
                  </v:textbox>
                </v:rect>
                <v:rect id="Rectangle 19444" o:spid="_x0000_s4549" style="position:absolute;left:13933;top:50612;width:252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ptwxAAAAN4AAAAPAAAAZHJzL2Rvd25yZXYueG1sRE9Na8JA&#10;EL0L/Q/LCN7qRgmiqasUi5iDl6qFHofsmKTNzi7Z1UR/vVsoeJvH+5zlujeNuFLra8sKJuMEBHFh&#10;dc2lgtNx+zoH4QOyxsYyKbiRh/XqZbDETNuOP+l6CKWIIewzVFCF4DIpfVGRQT+2jjhyZ9saDBG2&#10;pdQtdjHcNHKaJDNpsObYUKGjTUXF7+FiFHx/sMu3nSzO943b/+TzZnc5fSk1GvbvbyAC9eEp/nfn&#10;Os5fpGkKf+/EG+TqAQAA//8DAFBLAQItABQABgAIAAAAIQDb4fbL7gAAAIUBAAATAAAAAAAAAAAA&#10;AAAAAAAAAABbQ29udGVudF9UeXBlc10ueG1sUEsBAi0AFAAGAAgAAAAhAFr0LFu/AAAAFQEAAAsA&#10;AAAAAAAAAAAAAAAAHwEAAF9yZWxzLy5yZWxzUEsBAi0AFAAGAAgAAAAhADjGm3DEAAAA3gAAAA8A&#10;AAAAAAAAAAAAAAAABwIAAGRycy9kb3ducmV2LnhtbFBLBQYAAAAAAwADALcAAAD4AgAAAAA=&#10;" filled="f" stroked="f">
                  <v:textbox inset="0,0,0,0">
                    <w:txbxContent>
                      <w:p w14:paraId="3BA1D5EA" w14:textId="77777777" w:rsidR="00B32EF2" w:rsidRDefault="00000000">
                        <w:r>
                          <w:rPr>
                            <w:rFonts w:ascii="Arial" w:eastAsia="Arial" w:hAnsi="Arial" w:cs="Arial"/>
                            <w:i/>
                            <w:sz w:val="18"/>
                          </w:rPr>
                          <w:t xml:space="preserve">art. 105 c.p.c. “Intervento volontario” </w:t>
                        </w:r>
                      </w:p>
                    </w:txbxContent>
                  </v:textbox>
                </v:rect>
                <v:rect id="Rectangle 201394" o:spid="_x0000_s4550" style="position:absolute;left:25848;top:49378;width:510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cg2yAAAAN8AAAAPAAAAZHJzL2Rvd25yZXYueG1sRI9Pa8JA&#10;FMTvgt9heUJvutGK2NRVikXMoRf/FHp8ZJ9J2uzbJbua6KfvCoLHYWZ+wyxWnanFhRpfWVYwHiUg&#10;iHOrKy4UHA+b4RyED8gaa8uk4EoeVst+b4Gpti3v6LIPhYgQ9ikqKENwqZQ+L8mgH1lHHL2TbQyG&#10;KJtC6gbbCDe1nCTJTBqsOC6U6GhdUv63PxsFP5/ssk0r89Nt7b5+s3m9PR+/lXoZdB/vIAJ14Rl+&#10;tDOtYJKMX9+mcP8Tv4Bc/gMAAP//AwBQSwECLQAUAAYACAAAACEA2+H2y+4AAACFAQAAEwAAAAAA&#10;AAAAAAAAAAAAAAAAW0NvbnRlbnRfVHlwZXNdLnhtbFBLAQItABQABgAIAAAAIQBa9CxbvwAAABUB&#10;AAALAAAAAAAAAAAAAAAAAB8BAABfcmVscy8ucmVsc1BLAQItABQABgAIAAAAIQD7ocg2yAAAAN8A&#10;AAAPAAAAAAAAAAAAAAAAAAcCAABkcnMvZG93bnJldi54bWxQSwUGAAAAAAMAAwC3AAAA/AIAAAAA&#10;" filled="f" stroked="f">
                  <v:textbox inset="0,0,0,0">
                    <w:txbxContent>
                      <w:p w14:paraId="4D183AC8" w14:textId="77777777" w:rsidR="00B32EF2" w:rsidRDefault="00000000">
                        <w:r>
                          <w:rPr>
                            <w:rFonts w:ascii="Arial" w:eastAsia="Arial" w:hAnsi="Arial" w:cs="Arial"/>
                            <w:i/>
                            <w:sz w:val="18"/>
                          </w:rPr>
                          <w:t>1</w:t>
                        </w:r>
                      </w:p>
                    </w:txbxContent>
                  </v:textbox>
                </v:rect>
                <v:rect id="Rectangle 201395" o:spid="_x0000_s4551" style="position:absolute;left:-12464;top:49378;width:510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W2tyAAAAN8AAAAPAAAAZHJzL2Rvd25yZXYueG1sRI9Pa8JA&#10;FMTvgt9heUJvutGi2NRVikXMoRf/FHp8ZJ9J2uzbJbua6KfvCoLHYWZ+wyxWnanFhRpfWVYwHiUg&#10;iHOrKy4UHA+b4RyED8gaa8uk4EoeVst+b4Gpti3v6LIPhYgQ9ikqKENwqZQ+L8mgH1lHHL2TbQyG&#10;KJtC6gbbCDe1nCTJTBqsOC6U6GhdUv63PxsFP5/ssk0r89Nt7b5+s3m9PR+/lXoZdB/vIAJ14Rl+&#10;tDOtYJKMX9+mcP8Tv4Bc/gMAAP//AwBQSwECLQAUAAYACAAAACEA2+H2y+4AAACFAQAAEwAAAAAA&#10;AAAAAAAAAAAAAAAAW0NvbnRlbnRfVHlwZXNdLnhtbFBLAQItABQABgAIAAAAIQBa9CxbvwAAABUB&#10;AAALAAAAAAAAAAAAAAAAAB8BAABfcmVscy8ucmVsc1BLAQItABQABgAIAAAAIQCU7W2tyAAAAN8A&#10;AAAPAAAAAAAAAAAAAAAAAAcCAABkcnMvZG93bnJldi54bWxQSwUGAAAAAAMAAwC3AAAA/AIAAAAA&#10;" filled="f" stroked="f">
                  <v:textbox inset="0,0,0,0">
                    <w:txbxContent>
                      <w:p w14:paraId="07A2F770" w14:textId="77777777" w:rsidR="00B32EF2" w:rsidRDefault="00000000">
                        <w:r>
                          <w:rPr>
                            <w:rFonts w:ascii="Arial" w:eastAsia="Arial" w:hAnsi="Arial" w:cs="Arial"/>
                            <w:i/>
                            <w:sz w:val="18"/>
                          </w:rPr>
                          <w:t xml:space="preserve">. Ciascuno può intervenire in un processo tra altre persone per far valere, </w:t>
                        </w:r>
                      </w:p>
                    </w:txbxContent>
                  </v:textbox>
                </v:rect>
                <v:rect id="Rectangle 19446" o:spid="_x0000_s4552" style="position:absolute;left:-11860;top:48145;width:509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KCcxAAAAN4AAAAPAAAAZHJzL2Rvd25yZXYueG1sRE9Li8Iw&#10;EL4v+B/CCN7WdBcRrUZZXMQe9uILPA7N2FabSWiirf76jbCwt/n4njNfdqYWd2p8ZVnBxzABQZxb&#10;XXGh4LBfv09A+ICssbZMCh7kYbnovc0x1bblLd13oRAxhH2KCsoQXCqlz0sy6IfWEUfubBuDIcKm&#10;kLrBNoabWn4myVgarDg2lOhoVVJ+3d2MgtM3u2zdyvz8XLmfSzapN7fDUalBv/uagQjUhX/xnzvT&#10;cf50NBrD6514g1z8AgAA//8DAFBLAQItABQABgAIAAAAIQDb4fbL7gAAAIUBAAATAAAAAAAAAAAA&#10;AAAAAAAAAABbQ29udGVudF9UeXBlc10ueG1sUEsBAi0AFAAGAAgAAAAhAFr0LFu/AAAAFQEAAAsA&#10;AAAAAAAAAAAAAAAAHwEAAF9yZWxzLy5yZWxzUEsBAi0AFAAGAAgAAAAhAKdYoJzEAAAA3gAAAA8A&#10;AAAAAAAAAAAAAAAABwIAAGRycy9kb3ducmV2LnhtbFBLBQYAAAAAAwADALcAAAD4AgAAAAA=&#10;" filled="f" stroked="f">
                  <v:textbox inset="0,0,0,0">
                    <w:txbxContent>
                      <w:p w14:paraId="6FD31D28" w14:textId="77777777" w:rsidR="00B32EF2" w:rsidRDefault="00000000">
                        <w:r>
                          <w:rPr>
                            <w:rFonts w:ascii="Arial" w:eastAsia="Arial" w:hAnsi="Arial" w:cs="Arial"/>
                            <w:i/>
                            <w:sz w:val="18"/>
                          </w:rPr>
                          <w:t xml:space="preserve">in confronto di tutte le parti o di alcune di esse, un diritto relativo all’oggetto </w:t>
                        </w:r>
                      </w:p>
                    </w:txbxContent>
                  </v:textbox>
                </v:rect>
                <v:rect id="Rectangle 19447" o:spid="_x0000_s4553" style="position:absolute;left:1027;top:46912;width:381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AUHxQAAAN4AAAAPAAAAZHJzL2Rvd25yZXYueG1sRE9Na8JA&#10;EL0L/Q/LFLzpRpHWRlcRRczBS62FHofsmESzs0t2NbG/3i0UvM3jfc582Zla3KjxlWUFo2ECgji3&#10;uuJCwfFrO5iC8AFZY22ZFNzJw3Lx0ptjqm3Ln3Q7hELEEPYpKihDcKmUPi/JoB9aRxy5k20Mhgib&#10;QuoG2xhuajlOkjdpsOLYUKKjdUn55XA1Cn427LJtK/PT79rtz9m03l2P30r1X7vVDESgLjzF/+5M&#10;x/kfk8k7/L0Tb5CLBwAAAP//AwBQSwECLQAUAAYACAAAACEA2+H2y+4AAACFAQAAEwAAAAAAAAAA&#10;AAAAAAAAAAAAW0NvbnRlbnRfVHlwZXNdLnhtbFBLAQItABQABgAIAAAAIQBa9CxbvwAAABUBAAAL&#10;AAAAAAAAAAAAAAAAAB8BAABfcmVscy8ucmVsc1BLAQItABQABgAIAAAAIQDIFAUHxQAAAN4AAAAP&#10;AAAAAAAAAAAAAAAAAAcCAABkcnMvZG93bnJldi54bWxQSwUGAAAAAAMAAwC3AAAA+QIAAAAA&#10;" filled="f" stroked="f">
                  <v:textbox inset="0,0,0,0">
                    <w:txbxContent>
                      <w:p w14:paraId="0D80F966" w14:textId="77777777" w:rsidR="00B32EF2" w:rsidRDefault="00000000">
                        <w:r>
                          <w:rPr>
                            <w:rFonts w:ascii="Arial" w:eastAsia="Arial" w:hAnsi="Arial" w:cs="Arial"/>
                            <w:i/>
                            <w:sz w:val="18"/>
                          </w:rPr>
                          <w:t xml:space="preserve">o dipendente dal titolo dedotto nel processo medesimo. </w:t>
                        </w:r>
                      </w:p>
                    </w:txbxContent>
                  </v:textbox>
                </v:rect>
                <v:rect id="Rectangle 201392" o:spid="_x0000_s4554" style="position:absolute;left:25776;top:45679;width:5130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PXZyAAAAN8AAAAPAAAAZHJzL2Rvd25yZXYueG1sRI9Pa8JA&#10;FMTvhX6H5Qm96cYURFNXEYs0By/1D/T4yD6TaPbtkl1N6qd3C0KPw8z8hpkve9OIG7W+tqxgPEpA&#10;EBdW11wqOOw3wykIH5A1NpZJwS95WC5eX+aYadvxN912oRQRwj5DBVUILpPSFxUZ9CPriKN3sq3B&#10;EGVbSt1iF+GmkWmSTKTBmuNChY7WFRWX3dUo+Plkl286WZzua7c959Pm63o4KvU26FcfIAL14T/8&#10;bOdaQZqM32cp/P2JX0AuHgAAAP//AwBQSwECLQAUAAYACAAAACEA2+H2y+4AAACFAQAAEwAAAAAA&#10;AAAAAAAAAAAAAAAAW0NvbnRlbnRfVHlwZXNdLnhtbFBLAQItABQABgAIAAAAIQBa9CxbvwAAABUB&#10;AAALAAAAAAAAAAAAAAAAAB8BAABfcmVscy8ucmVsc1BLAQItABQABgAIAAAAIQAbBPXZyAAAAN8A&#10;AAAPAAAAAAAAAAAAAAAAAAcCAABkcnMvZG93bnJldi54bWxQSwUGAAAAAAMAAwC3AAAA/AIAAAAA&#10;" filled="f" stroked="f">
                  <v:textbox inset="0,0,0,0">
                    <w:txbxContent>
                      <w:p w14:paraId="32ACF886" w14:textId="77777777" w:rsidR="00B32EF2" w:rsidRDefault="00000000">
                        <w:r>
                          <w:rPr>
                            <w:rFonts w:ascii="Arial" w:eastAsia="Arial" w:hAnsi="Arial" w:cs="Arial"/>
                            <w:i/>
                            <w:sz w:val="18"/>
                          </w:rPr>
                          <w:t>2</w:t>
                        </w:r>
                      </w:p>
                    </w:txbxContent>
                  </v:textbox>
                </v:rect>
                <v:rect id="Rectangle 201393" o:spid="_x0000_s4555" style="position:absolute;left:-12585;top:45679;width:5129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BCxwAAAN8AAAAPAAAAZHJzL2Rvd25yZXYueG1sRI9Ba8JA&#10;FITvgv9heUJvdaNCsdFVRBFz8KK10OMj+0yi2bdLdjWpv74rFDwOM/MNM192phZ3anxlWcFomIAg&#10;zq2uuFBw+tq+T0H4gKyxtkwKfsnDctHvzTHVtuUD3Y+hEBHCPkUFZQguldLnJRn0Q+uIo3e2jcEQ&#10;ZVNI3WAb4aaW4yT5kAYrjgslOlqXlF+PN6PgZ8Mu27YyPz/Wbn/JpvXudvpW6m3QrWYgAnXhFf5v&#10;Z1rBOBlNPifw/BO/gFz8AQAA//8DAFBLAQItABQABgAIAAAAIQDb4fbL7gAAAIUBAAATAAAAAAAA&#10;AAAAAAAAAAAAAABbQ29udGVudF9UeXBlc10ueG1sUEsBAi0AFAAGAAgAAAAhAFr0LFu/AAAAFQEA&#10;AAsAAAAAAAAAAAAAAAAAHwEAAF9yZWxzLy5yZWxzUEsBAi0AFAAGAAgAAAAhAHRIUELHAAAA3wAA&#10;AA8AAAAAAAAAAAAAAAAABwIAAGRycy9kb3ducmV2LnhtbFBLBQYAAAAAAwADALcAAAD7AgAAAAA=&#10;" filled="f" stroked="f">
                  <v:textbox inset="0,0,0,0">
                    <w:txbxContent>
                      <w:p w14:paraId="5A3E7CEF" w14:textId="77777777" w:rsidR="00B32EF2" w:rsidRDefault="00000000">
                        <w:r>
                          <w:rPr>
                            <w:rFonts w:ascii="Arial" w:eastAsia="Arial" w:hAnsi="Arial" w:cs="Arial"/>
                            <w:i/>
                            <w:sz w:val="18"/>
                          </w:rPr>
                          <w:t xml:space="preserve">. Può altresì intervenire per sostenere le ragioni di alcuna delle parti, </w:t>
                        </w:r>
                      </w:p>
                    </w:txbxContent>
                  </v:textbox>
                </v:rect>
                <v:rect id="Rectangle 19449" o:spid="_x0000_s4556" style="position:absolute;left:15945;top:44445;width:231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TuxAAAAN4AAAAPAAAAZHJzL2Rvd25yZXYueG1sRE9Ni8Iw&#10;EL0L/ocwgjdNFVm0axRRxB72sq4Lexyasa02k9BEW/31m4UFb/N4n7Ncd6YWd2p8ZVnBZJyAIM6t&#10;rrhQcPraj+YgfEDWWFsmBQ/ysF71e0tMtW35k+7HUIgYwj5FBWUILpXS5yUZ9GPriCN3to3BEGFT&#10;SN1gG8NNLadJ8iYNVhwbSnS0LSm/Hm9Gwc+OXbZvZX5+bt3HJZvXh9vpW6nhoNu8gwjUhZf4353p&#10;OH8xmy3g7514g1z9AgAA//8DAFBLAQItABQABgAIAAAAIQDb4fbL7gAAAIUBAAATAAAAAAAAAAAA&#10;AAAAAAAAAABbQ29udGVudF9UeXBlc10ueG1sUEsBAi0AFAAGAAgAAAAhAFr0LFu/AAAAFQEAAAsA&#10;AAAAAAAAAAAAAAAAHwEAAF9yZWxzLy5yZWxzUEsBAi0AFAAGAAgAAAAhANbHNO7EAAAA3gAAAA8A&#10;AAAAAAAAAAAAAAAABwIAAGRycy9kb3ducmV2LnhtbFBLBQYAAAAAAwADALcAAAD4AgAAAAA=&#10;" filled="f" stroked="f">
                  <v:textbox inset="0,0,0,0">
                    <w:txbxContent>
                      <w:p w14:paraId="35918A98" w14:textId="77777777" w:rsidR="00B32EF2" w:rsidRDefault="00000000">
                        <w:r>
                          <w:rPr>
                            <w:rFonts w:ascii="Arial" w:eastAsia="Arial" w:hAnsi="Arial" w:cs="Arial"/>
                            <w:i/>
                            <w:sz w:val="18"/>
                          </w:rPr>
                          <w:t>quando vi ha un proprio interesse.</w:t>
                        </w:r>
                      </w:p>
                    </w:txbxContent>
                  </v:textbox>
                </v:rect>
                <v:rect id="Rectangle 19450" o:spid="_x0000_s4557" style="position:absolute;left:8157;top:43212;width:309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AuuyAAAAN4AAAAPAAAAZHJzL2Rvd25yZXYueG1sRI9Pb8Iw&#10;DMXvk/YdIk/iNtJN28Q6ApqYED1wGX+kHa3GtN0aJ2oC7fj0+IDEzZaf33u/6XxwrTpRFxvPBp7G&#10;GSji0tuGKwO77fJxAiomZIutZzLwTxHms/u7KebW9/xNp02qlJhwzNFAnVLItY5lTQ7j2AdiuR18&#10;5zDJ2lXadtiLuWv1c5a9aYcNS0KNgRY1lX+bozPw88WhWPa6PJwXYf1bTNrVcbc3ZvQwfH6ASjSk&#10;m/j6XVip//7yKgCCIzPo2QUAAP//AwBQSwECLQAUAAYACAAAACEA2+H2y+4AAACFAQAAEwAAAAAA&#10;AAAAAAAAAAAAAAAAW0NvbnRlbnRfVHlwZXNdLnhtbFBLAQItABQABgAIAAAAIQBa9CxbvwAAABUB&#10;AAALAAAAAAAAAAAAAAAAAB8BAABfcmVscy8ucmVsc1BLAQItABQABgAIAAAAIQDCJAuuyAAAAN4A&#10;AAAPAAAAAAAAAAAAAAAAAAcCAABkcnMvZG93bnJldi54bWxQSwUGAAAAAAMAAwC3AAAA/AIAAAAA&#10;" filled="f" stroked="f">
                  <v:textbox inset="0,0,0,0">
                    <w:txbxContent>
                      <w:p w14:paraId="38CBCB19" w14:textId="77777777" w:rsidR="00B32EF2" w:rsidRDefault="00000000">
                        <w:r>
                          <w:rPr>
                            <w:rFonts w:ascii="Arial" w:eastAsia="Arial" w:hAnsi="Arial" w:cs="Arial"/>
                            <w:i/>
                            <w:sz w:val="18"/>
                          </w:rPr>
                          <w:t xml:space="preserve">art. 106 c.p.c. “Intervento su istanza di parte” </w:t>
                        </w:r>
                      </w:p>
                    </w:txbxContent>
                  </v:textbox>
                </v:rect>
                <v:rect id="Rectangle 19451" o:spid="_x0000_s4558" style="position:absolute;left:-10907;top:41979;width:500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K41xQAAAN4AAAAPAAAAZHJzL2Rvd25yZXYueG1sRE9La8JA&#10;EL4X/A/LCN7qxmJFo6uIRZpDL/UBHofsmESzs0t2NWl/fbcgeJuP7zmLVWdqcafGV5YVjIYJCOLc&#10;6ooLBYf99nUKwgdkjbVlUvBDHlbL3ssCU21b/qb7LhQihrBPUUEZgkul9HlJBv3QOuLInW1jMETY&#10;FFI32MZwU8u3JJlIgxXHhhIdbUrKr7ubUXD6YJdtW5mffzfu65JN68/b4ajUoN+t5yACdeEpfrgz&#10;HefPxu8j+H8n3iCXfwAAAP//AwBQSwECLQAUAAYACAAAACEA2+H2y+4AAACFAQAAEwAAAAAAAAAA&#10;AAAAAAAAAAAAW0NvbnRlbnRfVHlwZXNdLnhtbFBLAQItABQABgAIAAAAIQBa9CxbvwAAABUBAAAL&#10;AAAAAAAAAAAAAAAAAB8BAABfcmVscy8ucmVsc1BLAQItABQABgAIAAAAIQCtaK41xQAAAN4AAAAP&#10;AAAAAAAAAAAAAAAAAAcCAABkcnMvZG93bnJldi54bWxQSwUGAAAAAAMAAwC3AAAA+QIAAAAA&#10;" filled="f" stroked="f">
                  <v:textbox inset="0,0,0,0">
                    <w:txbxContent>
                      <w:p w14:paraId="658C8E3A" w14:textId="77777777" w:rsidR="00B32EF2" w:rsidRDefault="00000000">
                        <w:r>
                          <w:rPr>
                            <w:rFonts w:ascii="Arial" w:eastAsia="Arial" w:hAnsi="Arial" w:cs="Arial"/>
                            <w:i/>
                            <w:sz w:val="18"/>
                          </w:rPr>
                          <w:t>Ciascuna parte può chiamare nel processo un terzo al quale ritiene comu</w:t>
                        </w:r>
                      </w:p>
                    </w:txbxContent>
                  </v:textbox>
                </v:rect>
                <v:rect id="Rectangle 19452" o:spid="_x0000_s4559" style="position:absolute;left:981;top:4197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jBCxQAAAN4AAAAPAAAAZHJzL2Rvd25yZXYueG1sRE9Na8JA&#10;EL0L/Q/LFLzpRrFio6uIIs3BS62FHofsmESzs0t2NWl/vVsQvM3jfc5i1Zla3KjxlWUFo2ECgji3&#10;uuJCwfFrN5iB8AFZY22ZFPySh9XypbfAVNuWP+l2CIWIIexTVFCG4FIpfV6SQT+0jjhyJ9sYDBE2&#10;hdQNtjHc1HKcJFNpsOLYUKKjTUn55XA1Cn627LJdK/PT38btz9ms/rgev5Xqv3brOYhAXXiKH+5M&#10;x/nvk7cx/L8Tb5DLOwAAAP//AwBQSwECLQAUAAYACAAAACEA2+H2y+4AAACFAQAAEwAAAAAAAAAA&#10;AAAAAAAAAAAAW0NvbnRlbnRfVHlwZXNdLnhtbFBLAQItABQABgAIAAAAIQBa9CxbvwAAABUBAAAL&#10;AAAAAAAAAAAAAAAAAB8BAABfcmVscy8ucmVsc1BLAQItABQABgAIAAAAIQBdujBCxQAAAN4AAAAP&#10;AAAAAAAAAAAAAAAAAAcCAABkcnMvZG93bnJldi54bWxQSwUGAAAAAAMAAwC3AAAA+QIAAAAA&#10;" filled="f" stroked="f">
                  <v:textbox inset="0,0,0,0">
                    <w:txbxContent>
                      <w:p w14:paraId="1AFA6AEB" w14:textId="77777777" w:rsidR="00B32EF2" w:rsidRDefault="00000000">
                        <w:r>
                          <w:rPr>
                            <w:rFonts w:ascii="Arial" w:eastAsia="Arial" w:hAnsi="Arial" w:cs="Arial"/>
                            <w:i/>
                            <w:sz w:val="18"/>
                          </w:rPr>
                          <w:t>-</w:t>
                        </w:r>
                      </w:p>
                    </w:txbxContent>
                  </v:textbox>
                </v:rect>
                <v:rect id="Rectangle 19453" o:spid="_x0000_s4560" style="position:absolute;left:5065;top:40745;width:340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pXZxQAAAN4AAAAPAAAAZHJzL2Rvd25yZXYueG1sRE9Na8JA&#10;EL0X+h+WKXirm7ZWYuoqxSLm4EVrweOQHZO02dklu5ror3eFgrd5vM+ZznvTiBO1vras4GWYgCAu&#10;rK65VLD7Xj6nIHxA1thYJgVn8jCfPT5MMdO24w2dtqEUMYR9hgqqEFwmpS8qMuiH1hFH7mBbgyHC&#10;tpS6xS6Gm0a+JslYGqw5NlToaFFR8bc9GgX7L3b5spPF4bJw6988bVbH3Y9Sg6f+8wNEoD7cxf/u&#10;XMf5k9H7G9zeiTfI2RUAAP//AwBQSwECLQAUAAYACAAAACEA2+H2y+4AAACFAQAAEwAAAAAAAAAA&#10;AAAAAAAAAAAAW0NvbnRlbnRfVHlwZXNdLnhtbFBLAQItABQABgAIAAAAIQBa9CxbvwAAABUBAAAL&#10;AAAAAAAAAAAAAAAAAB8BAABfcmVscy8ucmVsc1BLAQItABQABgAIAAAAIQAy9pXZxQAAAN4AAAAP&#10;AAAAAAAAAAAAAAAAAAcCAABkcnMvZG93bnJldi54bWxQSwUGAAAAAAMAAwC3AAAA+QIAAAAA&#10;" filled="f" stroked="f">
                  <v:textbox inset="0,0,0,0">
                    <w:txbxContent>
                      <w:p w14:paraId="3CEB959C" w14:textId="77777777" w:rsidR="00B32EF2" w:rsidRDefault="00000000">
                        <w:r>
                          <w:rPr>
                            <w:rFonts w:ascii="Arial" w:eastAsia="Arial" w:hAnsi="Arial" w:cs="Arial"/>
                            <w:i/>
                            <w:sz w:val="18"/>
                          </w:rPr>
                          <w:t>ne la causa o dal quale pretende essere garantita.</w:t>
                        </w:r>
                      </w:p>
                    </w:txbxContent>
                  </v:textbox>
                </v:rect>
                <v:rect id="Rectangle 19454" o:spid="_x0000_s4561" style="position:absolute;left:5939;top:39512;width:332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w2txQAAAN4AAAAPAAAAZHJzL2Rvd25yZXYueG1sRE9Na8JA&#10;EL0L/Q/LFLzpRrHFRlcRRczBS62FHofsmESzs0t2NbG/3i0UvM3jfc582Zla3KjxlWUFo2ECgji3&#10;uuJCwfFrO5iC8AFZY22ZFNzJw3Lx0ptjqm3Ln3Q7hELEEPYpKihDcKmUPi/JoB9aRxy5k20Mhgib&#10;QuoG2xhuajlOkndpsOLYUKKjdUn55XA1Cn427LJtK/PT79rtz9m03l2P30r1X7vVDESgLjzF/+5M&#10;x/kfk7cJ/L0Tb5CLBwAAAP//AwBQSwECLQAUAAYACAAAACEA2+H2y+4AAACFAQAAEwAAAAAAAAAA&#10;AAAAAAAAAAAAW0NvbnRlbnRfVHlwZXNdLnhtbFBLAQItABQABgAIAAAAIQBa9CxbvwAAABUBAAAL&#10;AAAAAAAAAAAAAAAAAB8BAABfcmVscy8ucmVsc1BLAQItABQABgAIAAAAIQC9Hw2txQAAAN4AAAAP&#10;AAAAAAAAAAAAAAAAAAcCAABkcnMvZG93bnJldi54bWxQSwUGAAAAAAMAAwC3AAAA+QIAAAAA&#10;" filled="f" stroked="f">
                  <v:textbox inset="0,0,0,0">
                    <w:txbxContent>
                      <w:p w14:paraId="42605EF9" w14:textId="77777777" w:rsidR="00B32EF2" w:rsidRDefault="00000000">
                        <w:r>
                          <w:rPr>
                            <w:rFonts w:ascii="Arial" w:eastAsia="Arial" w:hAnsi="Arial" w:cs="Arial"/>
                            <w:i/>
                            <w:sz w:val="18"/>
                          </w:rPr>
                          <w:t xml:space="preserve">art. 107 c.p.c. “Intervento per ordine del giudice” </w:t>
                        </w:r>
                      </w:p>
                    </w:txbxContent>
                  </v:textbox>
                </v:rect>
                <v:rect id="Rectangle 19455" o:spid="_x0000_s4562" style="position:absolute;left:-11844;top:38279;width:509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6g2xQAAAN4AAAAPAAAAZHJzL2Rvd25yZXYueG1sRE9Na8JA&#10;EL0X+h+WKXirG0WLja4iipiDl1oLPQ7ZMYlmZ5fsaqK/3i0UvM3jfc5s0ZlaXKnxlWUFg34Cgji3&#10;uuJCweF78z4B4QOyxtoyKbiRh8X89WWGqbYtf9F1HwoRQ9inqKAMwaVS+rwkg75vHXHkjrYxGCJs&#10;CqkbbGO4qeUwST6kwYpjQ4mOViXl5/3FKPhds8s2rcyP95XbnbJJvb0cfpTqvXXLKYhAXXiK/92Z&#10;jvM/R+Mx/L0Tb5DzBwAAAP//AwBQSwECLQAUAAYACAAAACEA2+H2y+4AAACFAQAAEwAAAAAAAAAA&#10;AAAAAAAAAAAAW0NvbnRlbnRfVHlwZXNdLnhtbFBLAQItABQABgAIAAAAIQBa9CxbvwAAABUBAAAL&#10;AAAAAAAAAAAAAAAAAB8BAABfcmVscy8ucmVsc1BLAQItABQABgAIAAAAIQDSU6g2xQAAAN4AAAAP&#10;AAAAAAAAAAAAAAAAAAcCAABkcnMvZG93bnJldi54bWxQSwUGAAAAAAMAAwC3AAAA+QIAAAAA&#10;" filled="f" stroked="f">
                  <v:textbox inset="0,0,0,0">
                    <w:txbxContent>
                      <w:p w14:paraId="52ABD025" w14:textId="77777777" w:rsidR="00B32EF2" w:rsidRDefault="00000000">
                        <w:r>
                          <w:rPr>
                            <w:rFonts w:ascii="Arial" w:eastAsia="Arial" w:hAnsi="Arial" w:cs="Arial"/>
                            <w:i/>
                            <w:sz w:val="18"/>
                          </w:rPr>
                          <w:t xml:space="preserve">Il giudice, quando ritiene opportuno che il processo si svolga in confronto di </w:t>
                        </w:r>
                      </w:p>
                    </w:txbxContent>
                  </v:textbox>
                </v:rect>
                <v:rect id="Rectangle 19456" o:spid="_x0000_s4563" style="position:absolute;left:-1035;top:37046;width:4017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TZBxQAAAN4AAAAPAAAAZHJzL2Rvd25yZXYueG1sRE9Na8JA&#10;EL0X+h+WKXirG0XFRlcRRcyhl1oLPQ7ZMYlmZ5fsaqK/3i0UvM3jfc582ZlaXKnxlWUFg34Cgji3&#10;uuJCweF7+z4F4QOyxtoyKbiRh+Xi9WWOqbYtf9F1HwoRQ9inqKAMwaVS+rwkg75vHXHkjrYxGCJs&#10;CqkbbGO4qeUwSSbSYMWxoURH65Ly8/5iFPxu2GXbVubH+9p9nrJpvbscfpTqvXWrGYhAXXiK/92Z&#10;jvM/RuMJ/L0Tb5CLBwAAAP//AwBQSwECLQAUAAYACAAAACEA2+H2y+4AAACFAQAAEwAAAAAAAAAA&#10;AAAAAAAAAAAAW0NvbnRlbnRfVHlwZXNdLnhtbFBLAQItABQABgAIAAAAIQBa9CxbvwAAABUBAAAL&#10;AAAAAAAAAAAAAAAAAB8BAABfcmVscy8ucmVsc1BLAQItABQABgAIAAAAIQAigTZBxQAAAN4AAAAP&#10;AAAAAAAAAAAAAAAAAAcCAABkcnMvZG93bnJldi54bWxQSwUGAAAAAAMAAwC3AAAA+QIAAAAA&#10;" filled="f" stroked="f">
                  <v:textbox inset="0,0,0,0">
                    <w:txbxContent>
                      <w:p w14:paraId="1D4BDC0E" w14:textId="77777777" w:rsidR="00B32EF2" w:rsidRDefault="00000000">
                        <w:r>
                          <w:rPr>
                            <w:rFonts w:ascii="Arial" w:eastAsia="Arial" w:hAnsi="Arial" w:cs="Arial"/>
                            <w:i/>
                            <w:sz w:val="18"/>
                          </w:rPr>
                          <w:t>un terzo al quale la causa è comune, ne ordina l’intervento.</w:t>
                        </w:r>
                      </w:p>
                    </w:txbxContent>
                  </v:textbox>
                </v:rect>
                <v:shape id="Shape 19457" o:spid="_x0000_s4564" style="position:absolute;left:323;top:36592;width:39600;height:26099;visibility:visible;mso-wrap-style:square;v-text-anchor:top" coordsize="3960000,2609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xxxAAAAN4AAAAPAAAAZHJzL2Rvd25yZXYueG1sRE9NawIx&#10;EL0X/A9hCt5qtrLVdjWKKKWFntQi9jZsxs3qZrIkUbf/vikI3ubxPmc672wjLuRD7VjB8yADQVw6&#10;XXOl4Hv7/vQKIkRkjY1jUvBLAeaz3sMUC+2uvKbLJlYihXAoUIGJsS2kDKUhi2HgWuLEHZy3GBP0&#10;ldQeryncNnKYZSNpsebUYLClpaHytDlbBT+rj30YHndfx5r1Iu9MvmXvlOo/dosJiEhdvItv7k+d&#10;5r/lL2P4fyfdIGd/AAAA//8DAFBLAQItABQABgAIAAAAIQDb4fbL7gAAAIUBAAATAAAAAAAAAAAA&#10;AAAAAAAAAABbQ29udGVudF9UeXBlc10ueG1sUEsBAi0AFAAGAAgAAAAhAFr0LFu/AAAAFQEAAAsA&#10;AAAAAAAAAAAAAAAAHwEAAF9yZWxzLy5yZWxzUEsBAi0AFAAGAAgAAAAhAP/IbHHEAAAA3gAAAA8A&#10;AAAAAAAAAAAAAAAABwIAAGRycy9kb3ducmV2LnhtbFBLBQYAAAAAAwADALcAAAD4AgAAAAA=&#10;" path="m,2609901r3960000,l3960000,,,,,2609901xe" filled="f" strokeweight="1pt">
                  <v:stroke miterlimit="1" joinstyle="miter"/>
                  <v:path arrowok="t" textboxrect="0,0,3960000,2609901"/>
                </v:shape>
                <w10:anchorlock/>
              </v:group>
            </w:pict>
          </mc:Fallback>
        </mc:AlternateContent>
      </w:r>
    </w:p>
    <w:p w14:paraId="57A2A353" w14:textId="77777777" w:rsidR="00B32EF2" w:rsidRDefault="00000000">
      <w:pPr>
        <w:spacing w:after="0"/>
        <w:ind w:left="-356" w:right="-306"/>
      </w:pPr>
      <w:r>
        <w:rPr>
          <w:noProof/>
        </w:rPr>
        <w:lastRenderedPageBreak/>
        <mc:AlternateContent>
          <mc:Choice Requires="wpg">
            <w:drawing>
              <wp:inline distT="0" distB="0" distL="0" distR="0" wp14:anchorId="39E21A3F" wp14:editId="3215C186">
                <wp:extent cx="3991761" cy="6269111"/>
                <wp:effectExtent l="0" t="0" r="0" b="0"/>
                <wp:docPr id="201526" name="Group 201526"/>
                <wp:cNvGraphicFramePr/>
                <a:graphic xmlns:a="http://schemas.openxmlformats.org/drawingml/2006/main">
                  <a:graphicData uri="http://schemas.microsoft.com/office/word/2010/wordprocessingGroup">
                    <wpg:wgp>
                      <wpg:cNvGrpSpPr/>
                      <wpg:grpSpPr>
                        <a:xfrm>
                          <a:off x="0" y="0"/>
                          <a:ext cx="3991761" cy="6269111"/>
                          <a:chOff x="0" y="0"/>
                          <a:chExt cx="3991761" cy="6269111"/>
                        </a:xfrm>
                      </wpg:grpSpPr>
                      <wps:wsp>
                        <wps:cNvPr id="19539" name="Rectangle 19539"/>
                        <wps:cNvSpPr/>
                        <wps:spPr>
                          <a:xfrm rot="-10799999">
                            <a:off x="1900447" y="-62190"/>
                            <a:ext cx="178369" cy="250646"/>
                          </a:xfrm>
                          <a:prstGeom prst="rect">
                            <a:avLst/>
                          </a:prstGeom>
                          <a:ln>
                            <a:noFill/>
                          </a:ln>
                        </wps:spPr>
                        <wps:txbx>
                          <w:txbxContent>
                            <w:p w14:paraId="49C02739" w14:textId="77777777" w:rsidR="00B32EF2" w:rsidRDefault="00000000">
                              <w:r>
                                <w:rPr>
                                  <w:rFonts w:ascii="Times New Roman" w:eastAsia="Times New Roman" w:hAnsi="Times New Roman" w:cs="Times New Roman"/>
                                </w:rPr>
                                <w:t>52</w:t>
                              </w:r>
                            </w:p>
                          </w:txbxContent>
                        </wps:txbx>
                        <wps:bodyPr horzOverflow="overflow" vert="horz" lIns="0" tIns="0" rIns="0" bIns="0" rtlCol="0">
                          <a:noAutofit/>
                        </wps:bodyPr>
                      </wps:wsp>
                      <wps:wsp>
                        <wps:cNvPr id="19540" name="Rectangle 19540"/>
                        <wps:cNvSpPr/>
                        <wps:spPr>
                          <a:xfrm rot="-10799999">
                            <a:off x="1506050" y="3406292"/>
                            <a:ext cx="811554" cy="142889"/>
                          </a:xfrm>
                          <a:prstGeom prst="rect">
                            <a:avLst/>
                          </a:prstGeom>
                          <a:ln>
                            <a:noFill/>
                          </a:ln>
                        </wps:spPr>
                        <wps:txbx>
                          <w:txbxContent>
                            <w:p w14:paraId="7CE19119" w14:textId="77777777" w:rsidR="00B32EF2" w:rsidRDefault="00000000">
                              <w:r>
                                <w:rPr>
                                  <w:rFonts w:ascii="Arial" w:eastAsia="Arial" w:hAnsi="Arial" w:cs="Arial"/>
                                  <w:b/>
                                  <w:sz w:val="18"/>
                                </w:rPr>
                                <w:t>Articolo 58</w:t>
                              </w:r>
                            </w:p>
                          </w:txbxContent>
                        </wps:txbx>
                        <wps:bodyPr horzOverflow="overflow" vert="horz" lIns="0" tIns="0" rIns="0" bIns="0" rtlCol="0">
                          <a:noAutofit/>
                        </wps:bodyPr>
                      </wps:wsp>
                      <wps:wsp>
                        <wps:cNvPr id="201429" name="Rectangle 201429"/>
                        <wps:cNvSpPr/>
                        <wps:spPr>
                          <a:xfrm rot="-10799999">
                            <a:off x="2220929" y="3282963"/>
                            <a:ext cx="1933773" cy="142889"/>
                          </a:xfrm>
                          <a:prstGeom prst="rect">
                            <a:avLst/>
                          </a:prstGeom>
                          <a:ln>
                            <a:noFill/>
                          </a:ln>
                        </wps:spPr>
                        <wps:txbx>
                          <w:txbxContent>
                            <w:p w14:paraId="32136E3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431" name="Rectangle 201431"/>
                        <wps:cNvSpPr/>
                        <wps:spPr>
                          <a:xfrm rot="-10799999">
                            <a:off x="1168214" y="3282963"/>
                            <a:ext cx="1933773" cy="142889"/>
                          </a:xfrm>
                          <a:prstGeom prst="rect">
                            <a:avLst/>
                          </a:prstGeom>
                          <a:ln>
                            <a:noFill/>
                          </a:ln>
                        </wps:spPr>
                        <wps:txbx>
                          <w:txbxContent>
                            <w:p w14:paraId="64DB83EE" w14:textId="77777777" w:rsidR="00B32EF2" w:rsidRDefault="00000000">
                              <w:r>
                                <w:rPr>
                                  <w:rFonts w:ascii="Arial" w:eastAsia="Arial" w:hAnsi="Arial" w:cs="Arial"/>
                                  <w:i/>
                                  <w:sz w:val="18"/>
                                </w:rPr>
                                <w:t xml:space="preserve">articolo 14 D.lgs. n. </w:t>
                              </w:r>
                            </w:p>
                          </w:txbxContent>
                        </wps:txbx>
                        <wps:bodyPr horzOverflow="overflow" vert="horz" lIns="0" tIns="0" rIns="0" bIns="0" rtlCol="0">
                          <a:noAutofit/>
                        </wps:bodyPr>
                      </wps:wsp>
                      <wps:wsp>
                        <wps:cNvPr id="201430" name="Rectangle 201430"/>
                        <wps:cNvSpPr/>
                        <wps:spPr>
                          <a:xfrm rot="-10799999">
                            <a:off x="-250591" y="3282962"/>
                            <a:ext cx="1933773" cy="142889"/>
                          </a:xfrm>
                          <a:prstGeom prst="rect">
                            <a:avLst/>
                          </a:prstGeom>
                          <a:ln>
                            <a:noFill/>
                          </a:ln>
                        </wps:spPr>
                        <wps:txbx>
                          <w:txbxContent>
                            <w:p w14:paraId="2D41608F"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19542" name="Rectangle 19542"/>
                        <wps:cNvSpPr/>
                        <wps:spPr>
                          <a:xfrm rot="-10799999">
                            <a:off x="732096" y="3159633"/>
                            <a:ext cx="2025106" cy="142889"/>
                          </a:xfrm>
                          <a:prstGeom prst="rect">
                            <a:avLst/>
                          </a:prstGeom>
                          <a:ln>
                            <a:noFill/>
                          </a:ln>
                        </wps:spPr>
                        <wps:txbx>
                          <w:txbxContent>
                            <w:p w14:paraId="771E5BEB" w14:textId="77777777" w:rsidR="00B32EF2" w:rsidRDefault="00000000">
                              <w:r>
                                <w:rPr>
                                  <w:rFonts w:ascii="Arial" w:eastAsia="Arial" w:hAnsi="Arial" w:cs="Arial"/>
                                  <w:b/>
                                  <w:sz w:val="18"/>
                                </w:rPr>
                                <w:t xml:space="preserve">Litisconsorzio e intervento </w:t>
                              </w:r>
                            </w:p>
                          </w:txbxContent>
                        </wps:txbx>
                        <wps:bodyPr horzOverflow="overflow" vert="horz" lIns="0" tIns="0" rIns="0" bIns="0" rtlCol="0">
                          <a:noAutofit/>
                        </wps:bodyPr>
                      </wps:wsp>
                      <wps:wsp>
                        <wps:cNvPr id="201427" name="Rectangle 201427"/>
                        <wps:cNvSpPr/>
                        <wps:spPr>
                          <a:xfrm rot="-10799999">
                            <a:off x="2635379" y="3036303"/>
                            <a:ext cx="5210481" cy="142889"/>
                          </a:xfrm>
                          <a:prstGeom prst="rect">
                            <a:avLst/>
                          </a:prstGeom>
                          <a:ln>
                            <a:noFill/>
                          </a:ln>
                        </wps:spPr>
                        <wps:txbx>
                          <w:txbxContent>
                            <w:p w14:paraId="75CD2A10"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428" name="Rectangle 201428"/>
                        <wps:cNvSpPr/>
                        <wps:spPr>
                          <a:xfrm rot="-10799999">
                            <a:off x="-1277909" y="3036303"/>
                            <a:ext cx="5210482" cy="142889"/>
                          </a:xfrm>
                          <a:prstGeom prst="rect">
                            <a:avLst/>
                          </a:prstGeom>
                          <a:ln>
                            <a:noFill/>
                          </a:ln>
                        </wps:spPr>
                        <wps:txbx>
                          <w:txbxContent>
                            <w:p w14:paraId="05E1479E" w14:textId="77777777" w:rsidR="00B32EF2" w:rsidRDefault="00000000">
                              <w:r>
                                <w:rPr>
                                  <w:rFonts w:ascii="Arial" w:eastAsia="Arial" w:hAnsi="Arial" w:cs="Arial"/>
                                  <w:sz w:val="18"/>
                                </w:rPr>
                                <w:t>. Se l’oggetto del ricorso riguarda inscindibilmente più soggetti, questi devo</w:t>
                              </w:r>
                            </w:p>
                          </w:txbxContent>
                        </wps:txbx>
                        <wps:bodyPr horzOverflow="overflow" vert="horz" lIns="0" tIns="0" rIns="0" bIns="0" rtlCol="0">
                          <a:noAutofit/>
                        </wps:bodyPr>
                      </wps:wsp>
                      <wps:wsp>
                        <wps:cNvPr id="19544" name="Rectangle 19544"/>
                        <wps:cNvSpPr/>
                        <wps:spPr>
                          <a:xfrm rot="-10799999">
                            <a:off x="19158" y="3036303"/>
                            <a:ext cx="50622" cy="142889"/>
                          </a:xfrm>
                          <a:prstGeom prst="rect">
                            <a:avLst/>
                          </a:prstGeom>
                          <a:ln>
                            <a:noFill/>
                          </a:ln>
                        </wps:spPr>
                        <wps:txbx>
                          <w:txbxContent>
                            <w:p w14:paraId="486685B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545" name="Rectangle 19545"/>
                        <wps:cNvSpPr/>
                        <wps:spPr>
                          <a:xfrm rot="-10799999">
                            <a:off x="-1317264" y="2912973"/>
                            <a:ext cx="5309021" cy="142889"/>
                          </a:xfrm>
                          <a:prstGeom prst="rect">
                            <a:avLst/>
                          </a:prstGeom>
                          <a:ln>
                            <a:noFill/>
                          </a:ln>
                        </wps:spPr>
                        <wps:txbx>
                          <w:txbxContent>
                            <w:p w14:paraId="44F6B362" w14:textId="77777777" w:rsidR="00B32EF2" w:rsidRDefault="00000000">
                              <w:r>
                                <w:rPr>
                                  <w:rFonts w:ascii="Arial" w:eastAsia="Arial" w:hAnsi="Arial" w:cs="Arial"/>
                                  <w:sz w:val="18"/>
                                </w:rPr>
                                <w:t xml:space="preserve">no essere tutti parte nello stesso processo e la controversia non può essere </w:t>
                              </w:r>
                            </w:p>
                          </w:txbxContent>
                        </wps:txbx>
                        <wps:bodyPr horzOverflow="overflow" vert="horz" lIns="0" tIns="0" rIns="0" bIns="0" rtlCol="0">
                          <a:noAutofit/>
                        </wps:bodyPr>
                      </wps:wsp>
                      <wps:wsp>
                        <wps:cNvPr id="19546" name="Rectangle 19546"/>
                        <wps:cNvSpPr/>
                        <wps:spPr>
                          <a:xfrm rot="-10799999">
                            <a:off x="1411355" y="2789644"/>
                            <a:ext cx="2580401" cy="142889"/>
                          </a:xfrm>
                          <a:prstGeom prst="rect">
                            <a:avLst/>
                          </a:prstGeom>
                          <a:ln>
                            <a:noFill/>
                          </a:ln>
                        </wps:spPr>
                        <wps:txbx>
                          <w:txbxContent>
                            <w:p w14:paraId="5C994FE4" w14:textId="77777777" w:rsidR="00B32EF2" w:rsidRDefault="00000000">
                              <w:r>
                                <w:rPr>
                                  <w:rFonts w:ascii="Arial" w:eastAsia="Arial" w:hAnsi="Arial" w:cs="Arial"/>
                                  <w:sz w:val="18"/>
                                </w:rPr>
                                <w:t>decisa limitatamente ad alcuni di essi.</w:t>
                              </w:r>
                            </w:p>
                          </w:txbxContent>
                        </wps:txbx>
                        <wps:bodyPr horzOverflow="overflow" vert="horz" lIns="0" tIns="0" rIns="0" bIns="0" rtlCol="0">
                          <a:noAutofit/>
                        </wps:bodyPr>
                      </wps:wsp>
                      <wps:wsp>
                        <wps:cNvPr id="201425" name="Rectangle 201425"/>
                        <wps:cNvSpPr/>
                        <wps:spPr>
                          <a:xfrm rot="-10799999">
                            <a:off x="2610926" y="2666314"/>
                            <a:ext cx="5309036" cy="142889"/>
                          </a:xfrm>
                          <a:prstGeom prst="rect">
                            <a:avLst/>
                          </a:prstGeom>
                          <a:ln>
                            <a:noFill/>
                          </a:ln>
                        </wps:spPr>
                        <wps:txbx>
                          <w:txbxContent>
                            <w:p w14:paraId="49CFD4F1"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426" name="Rectangle 201426"/>
                        <wps:cNvSpPr/>
                        <wps:spPr>
                          <a:xfrm rot="-10799999">
                            <a:off x="-1381835" y="2666313"/>
                            <a:ext cx="5309036" cy="142889"/>
                          </a:xfrm>
                          <a:prstGeom prst="rect">
                            <a:avLst/>
                          </a:prstGeom>
                          <a:ln>
                            <a:noFill/>
                          </a:ln>
                        </wps:spPr>
                        <wps:txbx>
                          <w:txbxContent>
                            <w:p w14:paraId="4ED9B8A1" w14:textId="77777777" w:rsidR="00B32EF2" w:rsidRDefault="00000000">
                              <w:r>
                                <w:rPr>
                                  <w:rFonts w:ascii="Arial" w:eastAsia="Arial" w:hAnsi="Arial" w:cs="Arial"/>
                                  <w:sz w:val="18"/>
                                </w:rPr>
                                <w:t xml:space="preserve">. Se il ricorso non è stato proposto da o nei confronti di tutti i soggetti indicati </w:t>
                              </w:r>
                            </w:p>
                          </w:txbxContent>
                        </wps:txbx>
                        <wps:bodyPr horzOverflow="overflow" vert="horz" lIns="0" tIns="0" rIns="0" bIns="0" rtlCol="0">
                          <a:noAutofit/>
                        </wps:bodyPr>
                      </wps:wsp>
                      <wps:wsp>
                        <wps:cNvPr id="19548" name="Rectangle 19548"/>
                        <wps:cNvSpPr/>
                        <wps:spPr>
                          <a:xfrm rot="-10799999">
                            <a:off x="-1221066" y="2542984"/>
                            <a:ext cx="5212823" cy="142889"/>
                          </a:xfrm>
                          <a:prstGeom prst="rect">
                            <a:avLst/>
                          </a:prstGeom>
                          <a:ln>
                            <a:noFill/>
                          </a:ln>
                        </wps:spPr>
                        <wps:txbx>
                          <w:txbxContent>
                            <w:p w14:paraId="639E647A" w14:textId="77777777" w:rsidR="00B32EF2" w:rsidRDefault="00000000">
                              <w:r>
                                <w:rPr>
                                  <w:rFonts w:ascii="Arial" w:eastAsia="Arial" w:hAnsi="Arial" w:cs="Arial"/>
                                  <w:sz w:val="18"/>
                                </w:rPr>
                                <w:t>nel comma 1 è ordinata l’integrazione del contraddittorio mediante la loro chia</w:t>
                              </w:r>
                            </w:p>
                          </w:txbxContent>
                        </wps:txbx>
                        <wps:bodyPr horzOverflow="overflow" vert="horz" lIns="0" tIns="0" rIns="0" bIns="0" rtlCol="0">
                          <a:noAutofit/>
                        </wps:bodyPr>
                      </wps:wsp>
                      <wps:wsp>
                        <wps:cNvPr id="19549" name="Rectangle 19549"/>
                        <wps:cNvSpPr/>
                        <wps:spPr>
                          <a:xfrm rot="-10799999">
                            <a:off x="19158" y="2542984"/>
                            <a:ext cx="50622" cy="142889"/>
                          </a:xfrm>
                          <a:prstGeom prst="rect">
                            <a:avLst/>
                          </a:prstGeom>
                          <a:ln>
                            <a:noFill/>
                          </a:ln>
                        </wps:spPr>
                        <wps:txbx>
                          <w:txbxContent>
                            <w:p w14:paraId="5B142CB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550" name="Rectangle 19550"/>
                        <wps:cNvSpPr/>
                        <wps:spPr>
                          <a:xfrm rot="-10799999">
                            <a:off x="-201185" y="2419654"/>
                            <a:ext cx="4192943" cy="142889"/>
                          </a:xfrm>
                          <a:prstGeom prst="rect">
                            <a:avLst/>
                          </a:prstGeom>
                          <a:ln>
                            <a:noFill/>
                          </a:ln>
                        </wps:spPr>
                        <wps:txbx>
                          <w:txbxContent>
                            <w:p w14:paraId="4AA010DA" w14:textId="77777777" w:rsidR="00B32EF2" w:rsidRDefault="00000000">
                              <w:r>
                                <w:rPr>
                                  <w:rFonts w:ascii="Arial" w:eastAsia="Arial" w:hAnsi="Arial" w:cs="Arial"/>
                                  <w:sz w:val="18"/>
                                </w:rPr>
                                <w:t>mata in causa entro un termine stabilito a pena di decadenza.</w:t>
                              </w:r>
                            </w:p>
                          </w:txbxContent>
                        </wps:txbx>
                        <wps:bodyPr horzOverflow="overflow" vert="horz" lIns="0" tIns="0" rIns="0" bIns="0" rtlCol="0">
                          <a:noAutofit/>
                        </wps:bodyPr>
                      </wps:wsp>
                      <wps:wsp>
                        <wps:cNvPr id="201424" name="Rectangle 201424"/>
                        <wps:cNvSpPr/>
                        <wps:spPr>
                          <a:xfrm rot="-10799999">
                            <a:off x="-1381786" y="2296324"/>
                            <a:ext cx="5309021" cy="142889"/>
                          </a:xfrm>
                          <a:prstGeom prst="rect">
                            <a:avLst/>
                          </a:prstGeom>
                          <a:ln>
                            <a:noFill/>
                          </a:ln>
                        </wps:spPr>
                        <wps:txbx>
                          <w:txbxContent>
                            <w:p w14:paraId="71E2F425" w14:textId="77777777" w:rsidR="00B32EF2" w:rsidRDefault="00000000">
                              <w:r>
                                <w:rPr>
                                  <w:rFonts w:ascii="Arial" w:eastAsia="Arial" w:hAnsi="Arial" w:cs="Arial"/>
                                  <w:sz w:val="18"/>
                                </w:rPr>
                                <w:t xml:space="preserve">. Possono intervenire volontariamente o essere chiamati in giudizio i soggetti </w:t>
                              </w:r>
                            </w:p>
                          </w:txbxContent>
                        </wps:txbx>
                        <wps:bodyPr horzOverflow="overflow" vert="horz" lIns="0" tIns="0" rIns="0" bIns="0" rtlCol="0">
                          <a:noAutofit/>
                        </wps:bodyPr>
                      </wps:wsp>
                      <wps:wsp>
                        <wps:cNvPr id="201423" name="Rectangle 201423"/>
                        <wps:cNvSpPr/>
                        <wps:spPr>
                          <a:xfrm rot="-10799999">
                            <a:off x="2610930" y="2296325"/>
                            <a:ext cx="5309021" cy="142889"/>
                          </a:xfrm>
                          <a:prstGeom prst="rect">
                            <a:avLst/>
                          </a:prstGeom>
                          <a:ln>
                            <a:noFill/>
                          </a:ln>
                        </wps:spPr>
                        <wps:txbx>
                          <w:txbxContent>
                            <w:p w14:paraId="326751E7"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9552" name="Rectangle 19552"/>
                        <wps:cNvSpPr/>
                        <wps:spPr>
                          <a:xfrm rot="-10799999">
                            <a:off x="-1218938" y="2172995"/>
                            <a:ext cx="5210695" cy="142889"/>
                          </a:xfrm>
                          <a:prstGeom prst="rect">
                            <a:avLst/>
                          </a:prstGeom>
                          <a:ln>
                            <a:noFill/>
                          </a:ln>
                        </wps:spPr>
                        <wps:txbx>
                          <w:txbxContent>
                            <w:p w14:paraId="4E516B6B" w14:textId="77777777" w:rsidR="00B32EF2" w:rsidRDefault="00000000">
                              <w:r>
                                <w:rPr>
                                  <w:rFonts w:ascii="Arial" w:eastAsia="Arial" w:hAnsi="Arial" w:cs="Arial"/>
                                  <w:sz w:val="18"/>
                                </w:rPr>
                                <w:t>che, insieme al ricorrente, sono destinatari dell’atto impugnato o parti del rap</w:t>
                              </w:r>
                            </w:p>
                          </w:txbxContent>
                        </wps:txbx>
                        <wps:bodyPr horzOverflow="overflow" vert="horz" lIns="0" tIns="0" rIns="0" bIns="0" rtlCol="0">
                          <a:noAutofit/>
                        </wps:bodyPr>
                      </wps:wsp>
                      <wps:wsp>
                        <wps:cNvPr id="19553" name="Rectangle 19553"/>
                        <wps:cNvSpPr/>
                        <wps:spPr>
                          <a:xfrm rot="-10799999">
                            <a:off x="19158" y="2172995"/>
                            <a:ext cx="50622" cy="142889"/>
                          </a:xfrm>
                          <a:prstGeom prst="rect">
                            <a:avLst/>
                          </a:prstGeom>
                          <a:ln>
                            <a:noFill/>
                          </a:ln>
                        </wps:spPr>
                        <wps:txbx>
                          <w:txbxContent>
                            <w:p w14:paraId="2D15952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554" name="Rectangle 19554"/>
                        <wps:cNvSpPr/>
                        <wps:spPr>
                          <a:xfrm rot="-10799999">
                            <a:off x="2099014" y="2049665"/>
                            <a:ext cx="1892743" cy="142889"/>
                          </a:xfrm>
                          <a:prstGeom prst="rect">
                            <a:avLst/>
                          </a:prstGeom>
                          <a:ln>
                            <a:noFill/>
                          </a:ln>
                        </wps:spPr>
                        <wps:txbx>
                          <w:txbxContent>
                            <w:p w14:paraId="5B7E438C" w14:textId="77777777" w:rsidR="00B32EF2" w:rsidRDefault="00000000">
                              <w:r>
                                <w:rPr>
                                  <w:rFonts w:ascii="Arial" w:eastAsia="Arial" w:hAnsi="Arial" w:cs="Arial"/>
                                  <w:sz w:val="18"/>
                                </w:rPr>
                                <w:t>porto tributario controverso.</w:t>
                              </w:r>
                            </w:p>
                          </w:txbxContent>
                        </wps:txbx>
                        <wps:bodyPr horzOverflow="overflow" vert="horz" lIns="0" tIns="0" rIns="0" bIns="0" rtlCol="0">
                          <a:noAutofit/>
                        </wps:bodyPr>
                      </wps:wsp>
                      <wps:wsp>
                        <wps:cNvPr id="201422" name="Rectangle 201422"/>
                        <wps:cNvSpPr/>
                        <wps:spPr>
                          <a:xfrm rot="-10799999">
                            <a:off x="-1380403" y="1926335"/>
                            <a:ext cx="5309020" cy="142889"/>
                          </a:xfrm>
                          <a:prstGeom prst="rect">
                            <a:avLst/>
                          </a:prstGeom>
                          <a:ln>
                            <a:noFill/>
                          </a:ln>
                        </wps:spPr>
                        <wps:txbx>
                          <w:txbxContent>
                            <w:p w14:paraId="05FC29C8" w14:textId="77777777" w:rsidR="00B32EF2" w:rsidRDefault="00000000">
                              <w:r>
                                <w:rPr>
                                  <w:rFonts w:ascii="Arial" w:eastAsia="Arial" w:hAnsi="Arial" w:cs="Arial"/>
                                  <w:sz w:val="18"/>
                                </w:rPr>
                                <w:t xml:space="preserve">. Le parti chiamate si costituiscono in giudizio nelle forme prescritte per la </w:t>
                              </w:r>
                            </w:p>
                          </w:txbxContent>
                        </wps:txbx>
                        <wps:bodyPr horzOverflow="overflow" vert="horz" lIns="0" tIns="0" rIns="0" bIns="0" rtlCol="0">
                          <a:noAutofit/>
                        </wps:bodyPr>
                      </wps:wsp>
                      <wps:wsp>
                        <wps:cNvPr id="201421" name="Rectangle 201421"/>
                        <wps:cNvSpPr/>
                        <wps:spPr>
                          <a:xfrm rot="-10799999">
                            <a:off x="2610930" y="1926336"/>
                            <a:ext cx="5309021" cy="142889"/>
                          </a:xfrm>
                          <a:prstGeom prst="rect">
                            <a:avLst/>
                          </a:prstGeom>
                          <a:ln>
                            <a:noFill/>
                          </a:ln>
                        </wps:spPr>
                        <wps:txbx>
                          <w:txbxContent>
                            <w:p w14:paraId="43923491"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19556" name="Rectangle 19556"/>
                        <wps:cNvSpPr/>
                        <wps:spPr>
                          <a:xfrm rot="-10799999">
                            <a:off x="1454970" y="1803006"/>
                            <a:ext cx="2536787" cy="142889"/>
                          </a:xfrm>
                          <a:prstGeom prst="rect">
                            <a:avLst/>
                          </a:prstGeom>
                          <a:ln>
                            <a:noFill/>
                          </a:ln>
                        </wps:spPr>
                        <wps:txbx>
                          <w:txbxContent>
                            <w:p w14:paraId="6289951D" w14:textId="77777777" w:rsidR="00B32EF2" w:rsidRDefault="00000000">
                              <w:r>
                                <w:rPr>
                                  <w:rFonts w:ascii="Arial" w:eastAsia="Arial" w:hAnsi="Arial" w:cs="Arial"/>
                                  <w:sz w:val="18"/>
                                </w:rPr>
                                <w:t>parte resistente, in quanto applicabili.</w:t>
                              </w:r>
                            </w:p>
                          </w:txbxContent>
                        </wps:txbx>
                        <wps:bodyPr horzOverflow="overflow" vert="horz" lIns="0" tIns="0" rIns="0" bIns="0" rtlCol="0">
                          <a:noAutofit/>
                        </wps:bodyPr>
                      </wps:wsp>
                      <wps:wsp>
                        <wps:cNvPr id="201419" name="Rectangle 201419"/>
                        <wps:cNvSpPr/>
                        <wps:spPr>
                          <a:xfrm rot="-10799999">
                            <a:off x="2610941" y="1679676"/>
                            <a:ext cx="5308975" cy="142889"/>
                          </a:xfrm>
                          <a:prstGeom prst="rect">
                            <a:avLst/>
                          </a:prstGeom>
                          <a:ln>
                            <a:noFill/>
                          </a:ln>
                        </wps:spPr>
                        <wps:txbx>
                          <w:txbxContent>
                            <w:p w14:paraId="1EE940B5"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01420" name="Rectangle 201420"/>
                        <wps:cNvSpPr/>
                        <wps:spPr>
                          <a:xfrm rot="-10799999">
                            <a:off x="-1381614" y="1679676"/>
                            <a:ext cx="5308975" cy="142889"/>
                          </a:xfrm>
                          <a:prstGeom prst="rect">
                            <a:avLst/>
                          </a:prstGeom>
                          <a:ln>
                            <a:noFill/>
                          </a:ln>
                        </wps:spPr>
                        <wps:txbx>
                          <w:txbxContent>
                            <w:p w14:paraId="1BE668BD" w14:textId="77777777" w:rsidR="00B32EF2" w:rsidRDefault="00000000">
                              <w:r>
                                <w:rPr>
                                  <w:rFonts w:ascii="Arial" w:eastAsia="Arial" w:hAnsi="Arial" w:cs="Arial"/>
                                  <w:sz w:val="18"/>
                                </w:rPr>
                                <w:t xml:space="preserve">. I soggetti indicati nei commi 1 e 3 intervengono nel processo notificando </w:t>
                              </w:r>
                            </w:p>
                          </w:txbxContent>
                        </wps:txbx>
                        <wps:bodyPr horzOverflow="overflow" vert="horz" lIns="0" tIns="0" rIns="0" bIns="0" rtlCol="0">
                          <a:noAutofit/>
                        </wps:bodyPr>
                      </wps:wsp>
                      <wps:wsp>
                        <wps:cNvPr id="19558" name="Rectangle 19558"/>
                        <wps:cNvSpPr/>
                        <wps:spPr>
                          <a:xfrm rot="-10799999">
                            <a:off x="-1024080" y="1556346"/>
                            <a:ext cx="5015838" cy="142889"/>
                          </a:xfrm>
                          <a:prstGeom prst="rect">
                            <a:avLst/>
                          </a:prstGeom>
                          <a:ln>
                            <a:noFill/>
                          </a:ln>
                        </wps:spPr>
                        <wps:txbx>
                          <w:txbxContent>
                            <w:p w14:paraId="29C96F2F" w14:textId="77777777" w:rsidR="00B32EF2" w:rsidRDefault="00000000">
                              <w:r>
                                <w:rPr>
                                  <w:rFonts w:ascii="Arial" w:eastAsia="Arial" w:hAnsi="Arial" w:cs="Arial"/>
                                  <w:sz w:val="18"/>
                                </w:rPr>
                                <w:t>apposito atto a tutte le parti e costituendosi nelle forme di cui al comma 4.</w:t>
                              </w:r>
                            </w:p>
                          </w:txbxContent>
                        </wps:txbx>
                        <wps:bodyPr horzOverflow="overflow" vert="horz" lIns="0" tIns="0" rIns="0" bIns="0" rtlCol="0">
                          <a:noAutofit/>
                        </wps:bodyPr>
                      </wps:wsp>
                      <wps:wsp>
                        <wps:cNvPr id="201403" name="Rectangle 201403"/>
                        <wps:cNvSpPr/>
                        <wps:spPr>
                          <a:xfrm rot="-10799999">
                            <a:off x="2634994" y="1433017"/>
                            <a:ext cx="5212033" cy="142889"/>
                          </a:xfrm>
                          <a:prstGeom prst="rect">
                            <a:avLst/>
                          </a:prstGeom>
                          <a:ln>
                            <a:noFill/>
                          </a:ln>
                        </wps:spPr>
                        <wps:txbx>
                          <w:txbxContent>
                            <w:p w14:paraId="38520C3D"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01416" name="Rectangle 201416"/>
                        <wps:cNvSpPr/>
                        <wps:spPr>
                          <a:xfrm rot="-10799999">
                            <a:off x="-1284581" y="1433016"/>
                            <a:ext cx="5212033" cy="142889"/>
                          </a:xfrm>
                          <a:prstGeom prst="rect">
                            <a:avLst/>
                          </a:prstGeom>
                          <a:ln>
                            <a:noFill/>
                          </a:ln>
                        </wps:spPr>
                        <wps:txbx>
                          <w:txbxContent>
                            <w:p w14:paraId="73115A2C" w14:textId="77777777" w:rsidR="00B32EF2" w:rsidRDefault="00000000">
                              <w:r>
                                <w:rPr>
                                  <w:rFonts w:ascii="Arial" w:eastAsia="Arial" w:hAnsi="Arial" w:cs="Arial"/>
                                  <w:sz w:val="18"/>
                                </w:rPr>
                                <w:t>. Le parti chiamate in causa o intervenute volontariamente non possono im</w:t>
                              </w:r>
                            </w:p>
                          </w:txbxContent>
                        </wps:txbx>
                        <wps:bodyPr horzOverflow="overflow" vert="horz" lIns="0" tIns="0" rIns="0" bIns="0" rtlCol="0">
                          <a:noAutofit/>
                        </wps:bodyPr>
                      </wps:wsp>
                      <wps:wsp>
                        <wps:cNvPr id="19560" name="Rectangle 19560"/>
                        <wps:cNvSpPr/>
                        <wps:spPr>
                          <a:xfrm rot="-10799999">
                            <a:off x="19158" y="1433017"/>
                            <a:ext cx="50622" cy="142889"/>
                          </a:xfrm>
                          <a:prstGeom prst="rect">
                            <a:avLst/>
                          </a:prstGeom>
                          <a:ln>
                            <a:noFill/>
                          </a:ln>
                        </wps:spPr>
                        <wps:txbx>
                          <w:txbxContent>
                            <w:p w14:paraId="25FC7A6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561" name="Rectangle 19561"/>
                        <wps:cNvSpPr/>
                        <wps:spPr>
                          <a:xfrm rot="-10799999">
                            <a:off x="-1317264" y="1309687"/>
                            <a:ext cx="5309021" cy="142889"/>
                          </a:xfrm>
                          <a:prstGeom prst="rect">
                            <a:avLst/>
                          </a:prstGeom>
                          <a:ln>
                            <a:noFill/>
                          </a:ln>
                        </wps:spPr>
                        <wps:txbx>
                          <w:txbxContent>
                            <w:p w14:paraId="59CB170B" w14:textId="77777777" w:rsidR="00B32EF2" w:rsidRDefault="00000000">
                              <w:r>
                                <w:rPr>
                                  <w:rFonts w:ascii="Arial" w:eastAsia="Arial" w:hAnsi="Arial" w:cs="Arial"/>
                                  <w:sz w:val="18"/>
                                </w:rPr>
                                <w:t xml:space="preserve">pugnare autonomamente l’atto se per esse al momento della costituzione è già </w:t>
                              </w:r>
                            </w:p>
                          </w:txbxContent>
                        </wps:txbx>
                        <wps:bodyPr horzOverflow="overflow" vert="horz" lIns="0" tIns="0" rIns="0" bIns="0" rtlCol="0">
                          <a:noAutofit/>
                        </wps:bodyPr>
                      </wps:wsp>
                      <wps:wsp>
                        <wps:cNvPr id="19562" name="Rectangle 19562"/>
                        <wps:cNvSpPr/>
                        <wps:spPr>
                          <a:xfrm rot="-10799999">
                            <a:off x="1772278" y="1186357"/>
                            <a:ext cx="2219478" cy="142889"/>
                          </a:xfrm>
                          <a:prstGeom prst="rect">
                            <a:avLst/>
                          </a:prstGeom>
                          <a:ln>
                            <a:noFill/>
                          </a:ln>
                        </wps:spPr>
                        <wps:txbx>
                          <w:txbxContent>
                            <w:p w14:paraId="331F2E5C" w14:textId="77777777" w:rsidR="00B32EF2" w:rsidRDefault="00000000">
                              <w:r>
                                <w:rPr>
                                  <w:rFonts w:ascii="Arial" w:eastAsia="Arial" w:hAnsi="Arial" w:cs="Arial"/>
                                  <w:sz w:val="18"/>
                                </w:rPr>
                                <w:t>decorso il termine di decadenza.</w:t>
                              </w:r>
                            </w:p>
                          </w:txbxContent>
                        </wps:txbx>
                        <wps:bodyPr horzOverflow="overflow" vert="horz" lIns="0" tIns="0" rIns="0" bIns="0" rtlCol="0">
                          <a:noAutofit/>
                        </wps:bodyPr>
                      </wps:wsp>
                      <wps:wsp>
                        <wps:cNvPr id="201401" name="Rectangle 201401"/>
                        <wps:cNvSpPr/>
                        <wps:spPr>
                          <a:xfrm rot="-10799999">
                            <a:off x="2610944" y="1063028"/>
                            <a:ext cx="5308960" cy="142889"/>
                          </a:xfrm>
                          <a:prstGeom prst="rect">
                            <a:avLst/>
                          </a:prstGeom>
                          <a:ln>
                            <a:noFill/>
                          </a:ln>
                        </wps:spPr>
                        <wps:txbx>
                          <w:txbxContent>
                            <w:p w14:paraId="5FCC4F03"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201402" name="Rectangle 201402"/>
                        <wps:cNvSpPr/>
                        <wps:spPr>
                          <a:xfrm rot="-10799999">
                            <a:off x="-1369769" y="1063028"/>
                            <a:ext cx="5308960" cy="142889"/>
                          </a:xfrm>
                          <a:prstGeom prst="rect">
                            <a:avLst/>
                          </a:prstGeom>
                          <a:ln>
                            <a:noFill/>
                          </a:ln>
                        </wps:spPr>
                        <wps:txbx>
                          <w:txbxContent>
                            <w:p w14:paraId="6C45A2DD" w14:textId="77777777" w:rsidR="00B32EF2" w:rsidRDefault="00000000">
                              <w:r>
                                <w:rPr>
                                  <w:rFonts w:ascii="Arial" w:eastAsia="Arial" w:hAnsi="Arial" w:cs="Arial"/>
                                  <w:sz w:val="18"/>
                                </w:rPr>
                                <w:t xml:space="preserve">. In caso di vizi della notificazione eccepiti nei riguardi di un atto presupposto </w:t>
                              </w:r>
                            </w:p>
                          </w:txbxContent>
                        </wps:txbx>
                        <wps:bodyPr horzOverflow="overflow" vert="horz" lIns="0" tIns="0" rIns="0" bIns="0" rtlCol="0">
                          <a:noAutofit/>
                        </wps:bodyPr>
                      </wps:wsp>
                      <wps:wsp>
                        <wps:cNvPr id="19564" name="Rectangle 19564"/>
                        <wps:cNvSpPr/>
                        <wps:spPr>
                          <a:xfrm rot="-10799999">
                            <a:off x="-1317248" y="939698"/>
                            <a:ext cx="5309005" cy="142889"/>
                          </a:xfrm>
                          <a:prstGeom prst="rect">
                            <a:avLst/>
                          </a:prstGeom>
                          <a:ln>
                            <a:noFill/>
                          </a:ln>
                        </wps:spPr>
                        <wps:txbx>
                          <w:txbxContent>
                            <w:p w14:paraId="1C3329D1" w14:textId="77777777" w:rsidR="00B32EF2" w:rsidRDefault="00000000">
                              <w:r>
                                <w:rPr>
                                  <w:rFonts w:ascii="Arial" w:eastAsia="Arial" w:hAnsi="Arial" w:cs="Arial"/>
                                  <w:sz w:val="18"/>
                                </w:rPr>
                                <w:t xml:space="preserve">emesso da un soggetto diverso da quello che ha emesso l’atto impugnato, il </w:t>
                              </w:r>
                            </w:p>
                          </w:txbxContent>
                        </wps:txbx>
                        <wps:bodyPr horzOverflow="overflow" vert="horz" lIns="0" tIns="0" rIns="0" bIns="0" rtlCol="0">
                          <a:noAutofit/>
                        </wps:bodyPr>
                      </wps:wsp>
                      <wps:wsp>
                        <wps:cNvPr id="19565" name="Rectangle 19565"/>
                        <wps:cNvSpPr/>
                        <wps:spPr>
                          <a:xfrm rot="-10799999">
                            <a:off x="-189252" y="816368"/>
                            <a:ext cx="4181009" cy="142889"/>
                          </a:xfrm>
                          <a:prstGeom prst="rect">
                            <a:avLst/>
                          </a:prstGeom>
                          <a:ln>
                            <a:noFill/>
                          </a:ln>
                        </wps:spPr>
                        <wps:txbx>
                          <w:txbxContent>
                            <w:p w14:paraId="037EE0A3" w14:textId="77777777" w:rsidR="00B32EF2" w:rsidRDefault="00000000">
                              <w:r>
                                <w:rPr>
                                  <w:rFonts w:ascii="Arial" w:eastAsia="Arial" w:hAnsi="Arial" w:cs="Arial"/>
                                  <w:sz w:val="18"/>
                                </w:rPr>
                                <w:t>ricorso è sempre proposto nei confronti di entrambi i soggetti.</w:t>
                              </w:r>
                            </w:p>
                          </w:txbxContent>
                        </wps:txbx>
                        <wps:bodyPr horzOverflow="overflow" vert="horz" lIns="0" tIns="0" rIns="0" bIns="0" rtlCol="0">
                          <a:noAutofit/>
                        </wps:bodyPr>
                      </wps:wsp>
                      <wps:wsp>
                        <wps:cNvPr id="208002" name="Shape 208002"/>
                        <wps:cNvSpPr/>
                        <wps:spPr>
                          <a:xfrm>
                            <a:off x="31761" y="397604"/>
                            <a:ext cx="3960000" cy="413906"/>
                          </a:xfrm>
                          <a:custGeom>
                            <a:avLst/>
                            <a:gdLst/>
                            <a:ahLst/>
                            <a:cxnLst/>
                            <a:rect l="0" t="0" r="0" b="0"/>
                            <a:pathLst>
                              <a:path w="3960000" h="413906">
                                <a:moveTo>
                                  <a:pt x="0" y="0"/>
                                </a:moveTo>
                                <a:lnTo>
                                  <a:pt x="3960000" y="0"/>
                                </a:lnTo>
                                <a:lnTo>
                                  <a:pt x="3960000" y="413906"/>
                                </a:lnTo>
                                <a:lnTo>
                                  <a:pt x="0" y="413906"/>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9567" name="Rectangle 19567"/>
                        <wps:cNvSpPr/>
                        <wps:spPr>
                          <a:xfrm rot="-10799999">
                            <a:off x="2356595" y="590266"/>
                            <a:ext cx="1557845" cy="142889"/>
                          </a:xfrm>
                          <a:prstGeom prst="rect">
                            <a:avLst/>
                          </a:prstGeom>
                          <a:ln>
                            <a:noFill/>
                          </a:ln>
                        </wps:spPr>
                        <wps:txbx>
                          <w:txbxContent>
                            <w:p w14:paraId="04171B57" w14:textId="77777777" w:rsidR="00B32EF2" w:rsidRDefault="00000000">
                              <w:r>
                                <w:rPr>
                                  <w:rFonts w:ascii="Arial" w:eastAsia="Arial" w:hAnsi="Arial" w:cs="Arial"/>
                                  <w:b/>
                                  <w:i/>
                                  <w:sz w:val="18"/>
                                </w:rPr>
                                <w:t>NORME COLLEGATE</w:t>
                              </w:r>
                            </w:p>
                          </w:txbxContent>
                        </wps:txbx>
                        <wps:bodyPr horzOverflow="overflow" vert="horz" lIns="0" tIns="0" rIns="0" bIns="0" rtlCol="0">
                          <a:noAutofit/>
                        </wps:bodyPr>
                      </wps:wsp>
                      <wps:wsp>
                        <wps:cNvPr id="19568" name="Rectangle 19568"/>
                        <wps:cNvSpPr/>
                        <wps:spPr>
                          <a:xfrm rot="-10799999">
                            <a:off x="1112096" y="466937"/>
                            <a:ext cx="2801315" cy="142889"/>
                          </a:xfrm>
                          <a:prstGeom prst="rect">
                            <a:avLst/>
                          </a:prstGeom>
                          <a:ln>
                            <a:noFill/>
                          </a:ln>
                        </wps:spPr>
                        <wps:txbx>
                          <w:txbxContent>
                            <w:p w14:paraId="2E48E1C9" w14:textId="77777777" w:rsidR="00B32EF2" w:rsidRDefault="00000000">
                              <w:r>
                                <w:rPr>
                                  <w:rFonts w:ascii="Arial" w:eastAsia="Arial" w:hAnsi="Arial" w:cs="Arial"/>
                                  <w:i/>
                                  <w:sz w:val="18"/>
                                </w:rPr>
                                <w:t xml:space="preserve">art. 103 c.p.c. “Litisconsorzio facoltativo” </w:t>
                              </w:r>
                            </w:p>
                          </w:txbxContent>
                        </wps:txbx>
                        <wps:bodyPr horzOverflow="overflow" vert="horz" lIns="0" tIns="0" rIns="0" bIns="0" rtlCol="0">
                          <a:noAutofit/>
                        </wps:bodyPr>
                      </wps:wsp>
                      <wps:wsp>
                        <wps:cNvPr id="19569" name="Shape 19569"/>
                        <wps:cNvSpPr/>
                        <wps:spPr>
                          <a:xfrm>
                            <a:off x="31760" y="397607"/>
                            <a:ext cx="3960000" cy="413906"/>
                          </a:xfrm>
                          <a:custGeom>
                            <a:avLst/>
                            <a:gdLst/>
                            <a:ahLst/>
                            <a:cxnLst/>
                            <a:rect l="0" t="0" r="0" b="0"/>
                            <a:pathLst>
                              <a:path w="3960000" h="413906">
                                <a:moveTo>
                                  <a:pt x="0" y="413906"/>
                                </a:moveTo>
                                <a:lnTo>
                                  <a:pt x="3960000" y="413906"/>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08003" name="Shape 208003"/>
                        <wps:cNvSpPr/>
                        <wps:spPr>
                          <a:xfrm>
                            <a:off x="31761" y="3659205"/>
                            <a:ext cx="3960000" cy="2609901"/>
                          </a:xfrm>
                          <a:custGeom>
                            <a:avLst/>
                            <a:gdLst/>
                            <a:ahLst/>
                            <a:cxnLst/>
                            <a:rect l="0" t="0" r="0" b="0"/>
                            <a:pathLst>
                              <a:path w="3960000" h="2609901">
                                <a:moveTo>
                                  <a:pt x="0" y="0"/>
                                </a:moveTo>
                                <a:lnTo>
                                  <a:pt x="3960000" y="0"/>
                                </a:lnTo>
                                <a:lnTo>
                                  <a:pt x="3960000" y="2609901"/>
                                </a:lnTo>
                                <a:lnTo>
                                  <a:pt x="0" y="2609901"/>
                                </a:lnTo>
                                <a:lnTo>
                                  <a:pt x="0" y="0"/>
                                </a:lnTo>
                              </a:path>
                            </a:pathLst>
                          </a:custGeom>
                          <a:ln w="0" cap="flat">
                            <a:miter lim="100000"/>
                          </a:ln>
                        </wps:spPr>
                        <wps:style>
                          <a:lnRef idx="0">
                            <a:srgbClr val="000000">
                              <a:alpha val="0"/>
                            </a:srgbClr>
                          </a:lnRef>
                          <a:fillRef idx="1">
                            <a:srgbClr val="C3C3C3"/>
                          </a:fillRef>
                          <a:effectRef idx="0">
                            <a:scrgbClr r="0" g="0" b="0"/>
                          </a:effectRef>
                          <a:fontRef idx="none"/>
                        </wps:style>
                        <wps:bodyPr/>
                      </wps:wsp>
                      <wps:wsp>
                        <wps:cNvPr id="201436" name="Rectangle 201436"/>
                        <wps:cNvSpPr/>
                        <wps:spPr>
                          <a:xfrm rot="-10799999">
                            <a:off x="2608506" y="6047866"/>
                            <a:ext cx="5003036" cy="142891"/>
                          </a:xfrm>
                          <a:prstGeom prst="rect">
                            <a:avLst/>
                          </a:prstGeom>
                          <a:ln>
                            <a:noFill/>
                          </a:ln>
                        </wps:spPr>
                        <wps:txbx>
                          <w:txbxContent>
                            <w:p w14:paraId="5F0C494D"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437" name="Rectangle 201437"/>
                        <wps:cNvSpPr/>
                        <wps:spPr>
                          <a:xfrm rot="-10799999">
                            <a:off x="-1154353" y="6047866"/>
                            <a:ext cx="5003036" cy="142891"/>
                          </a:xfrm>
                          <a:prstGeom prst="rect">
                            <a:avLst/>
                          </a:prstGeom>
                          <a:ln>
                            <a:noFill/>
                          </a:ln>
                        </wps:spPr>
                        <wps:txbx>
                          <w:txbxContent>
                            <w:p w14:paraId="3AC5CAED" w14:textId="77777777" w:rsidR="00B32EF2" w:rsidRDefault="00000000">
                              <w:r>
                                <w:rPr>
                                  <w:rFonts w:ascii="Arial" w:eastAsia="Arial" w:hAnsi="Arial" w:cs="Arial"/>
                                  <w:i/>
                                  <w:sz w:val="18"/>
                                </w:rPr>
                                <w:t>. La procura alle liti può essere generale o speciale, e deve essere confe</w:t>
                              </w:r>
                            </w:p>
                          </w:txbxContent>
                        </wps:txbx>
                        <wps:bodyPr horzOverflow="overflow" vert="horz" lIns="0" tIns="0" rIns="0" bIns="0" rtlCol="0">
                          <a:noAutofit/>
                        </wps:bodyPr>
                      </wps:wsp>
                      <wps:wsp>
                        <wps:cNvPr id="19572" name="Rectangle 19572"/>
                        <wps:cNvSpPr/>
                        <wps:spPr>
                          <a:xfrm rot="-10799999">
                            <a:off x="97517" y="6047867"/>
                            <a:ext cx="50622" cy="142889"/>
                          </a:xfrm>
                          <a:prstGeom prst="rect">
                            <a:avLst/>
                          </a:prstGeom>
                          <a:ln>
                            <a:noFill/>
                          </a:ln>
                        </wps:spPr>
                        <wps:txbx>
                          <w:txbxContent>
                            <w:p w14:paraId="09603E7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573" name="Rectangle 19573"/>
                        <wps:cNvSpPr/>
                        <wps:spPr>
                          <a:xfrm rot="-10799999">
                            <a:off x="379958" y="5924537"/>
                            <a:ext cx="3533454" cy="142889"/>
                          </a:xfrm>
                          <a:prstGeom prst="rect">
                            <a:avLst/>
                          </a:prstGeom>
                          <a:ln>
                            <a:noFill/>
                          </a:ln>
                        </wps:spPr>
                        <wps:txbx>
                          <w:txbxContent>
                            <w:p w14:paraId="49255E17" w14:textId="77777777" w:rsidR="00B32EF2" w:rsidRDefault="00000000">
                              <w:r>
                                <w:rPr>
                                  <w:rFonts w:ascii="Arial" w:eastAsia="Arial" w:hAnsi="Arial" w:cs="Arial"/>
                                  <w:i/>
                                  <w:sz w:val="18"/>
                                </w:rPr>
                                <w:t xml:space="preserve">rita con atto pubblico o scrittura privata autenticata. </w:t>
                              </w:r>
                            </w:p>
                          </w:txbxContent>
                        </wps:txbx>
                        <wps:bodyPr horzOverflow="overflow" vert="horz" lIns="0" tIns="0" rIns="0" bIns="0" rtlCol="0">
                          <a:noAutofit/>
                        </wps:bodyPr>
                      </wps:wsp>
                      <wps:wsp>
                        <wps:cNvPr id="201435" name="Rectangle 201435"/>
                        <wps:cNvSpPr/>
                        <wps:spPr>
                          <a:xfrm rot="-10799999">
                            <a:off x="-1251869" y="5801207"/>
                            <a:ext cx="5093351" cy="142889"/>
                          </a:xfrm>
                          <a:prstGeom prst="rect">
                            <a:avLst/>
                          </a:prstGeom>
                          <a:ln>
                            <a:noFill/>
                          </a:ln>
                        </wps:spPr>
                        <wps:txbx>
                          <w:txbxContent>
                            <w:p w14:paraId="012A43AB" w14:textId="77777777" w:rsidR="00B32EF2" w:rsidRDefault="00000000">
                              <w:r>
                                <w:rPr>
                                  <w:rFonts w:ascii="Arial" w:eastAsia="Arial" w:hAnsi="Arial" w:cs="Arial"/>
                                  <w:i/>
                                  <w:sz w:val="18"/>
                                </w:rPr>
                                <w:t xml:space="preserve">. La procura speciale può essere anche apposta in calce o a margine della </w:t>
                              </w:r>
                            </w:p>
                          </w:txbxContent>
                        </wps:txbx>
                        <wps:bodyPr horzOverflow="overflow" vert="horz" lIns="0" tIns="0" rIns="0" bIns="0" rtlCol="0">
                          <a:noAutofit/>
                        </wps:bodyPr>
                      </wps:wsp>
                      <wps:wsp>
                        <wps:cNvPr id="201434" name="Rectangle 201434"/>
                        <wps:cNvSpPr/>
                        <wps:spPr>
                          <a:xfrm rot="-10799999">
                            <a:off x="2586097" y="5801207"/>
                            <a:ext cx="5093351" cy="142889"/>
                          </a:xfrm>
                          <a:prstGeom prst="rect">
                            <a:avLst/>
                          </a:prstGeom>
                          <a:ln>
                            <a:noFill/>
                          </a:ln>
                        </wps:spPr>
                        <wps:txbx>
                          <w:txbxContent>
                            <w:p w14:paraId="43E7B72B"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19575" name="Rectangle 19575"/>
                        <wps:cNvSpPr/>
                        <wps:spPr>
                          <a:xfrm rot="-10799999">
                            <a:off x="-1091252" y="5677877"/>
                            <a:ext cx="5004663" cy="142889"/>
                          </a:xfrm>
                          <a:prstGeom prst="rect">
                            <a:avLst/>
                          </a:prstGeom>
                          <a:ln>
                            <a:noFill/>
                          </a:ln>
                        </wps:spPr>
                        <wps:txbx>
                          <w:txbxContent>
                            <w:p w14:paraId="39C5549E" w14:textId="77777777" w:rsidR="00B32EF2" w:rsidRDefault="00000000">
                              <w:r>
                                <w:rPr>
                                  <w:rFonts w:ascii="Arial" w:eastAsia="Arial" w:hAnsi="Arial" w:cs="Arial"/>
                                  <w:i/>
                                  <w:sz w:val="18"/>
                                </w:rPr>
                                <w:t>citazione, del ricorso, del controricorso, della comparsa di risposta o d’in</w:t>
                              </w:r>
                            </w:p>
                          </w:txbxContent>
                        </wps:txbx>
                        <wps:bodyPr horzOverflow="overflow" vert="horz" lIns="0" tIns="0" rIns="0" bIns="0" rtlCol="0">
                          <a:noAutofit/>
                        </wps:bodyPr>
                      </wps:wsp>
                      <wps:wsp>
                        <wps:cNvPr id="19576" name="Rectangle 19576"/>
                        <wps:cNvSpPr/>
                        <wps:spPr>
                          <a:xfrm rot="-10799999">
                            <a:off x="97517" y="5677878"/>
                            <a:ext cx="50622" cy="142889"/>
                          </a:xfrm>
                          <a:prstGeom prst="rect">
                            <a:avLst/>
                          </a:prstGeom>
                          <a:ln>
                            <a:noFill/>
                          </a:ln>
                        </wps:spPr>
                        <wps:txbx>
                          <w:txbxContent>
                            <w:p w14:paraId="1A8E926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577" name="Rectangle 19577"/>
                        <wps:cNvSpPr/>
                        <wps:spPr>
                          <a:xfrm rot="-10799999">
                            <a:off x="-1185908" y="5554548"/>
                            <a:ext cx="5095434" cy="142889"/>
                          </a:xfrm>
                          <a:prstGeom prst="rect">
                            <a:avLst/>
                          </a:prstGeom>
                          <a:ln>
                            <a:noFill/>
                          </a:ln>
                        </wps:spPr>
                        <wps:txbx>
                          <w:txbxContent>
                            <w:p w14:paraId="08620FA6" w14:textId="77777777" w:rsidR="00B32EF2" w:rsidRDefault="00000000">
                              <w:r>
                                <w:rPr>
                                  <w:rFonts w:ascii="Arial" w:eastAsia="Arial" w:hAnsi="Arial" w:cs="Arial"/>
                                  <w:i/>
                                  <w:sz w:val="18"/>
                                </w:rPr>
                                <w:t xml:space="preserve">tervento, del precetto o della domanda d’intervento nell’esecuzione, ovvero </w:t>
                              </w:r>
                            </w:p>
                          </w:txbxContent>
                        </wps:txbx>
                        <wps:bodyPr horzOverflow="overflow" vert="horz" lIns="0" tIns="0" rIns="0" bIns="0" rtlCol="0">
                          <a:noAutofit/>
                        </wps:bodyPr>
                      </wps:wsp>
                      <wps:wsp>
                        <wps:cNvPr id="19578" name="Rectangle 19578"/>
                        <wps:cNvSpPr/>
                        <wps:spPr>
                          <a:xfrm rot="-10799999">
                            <a:off x="-1187985" y="5431218"/>
                            <a:ext cx="5103111" cy="142889"/>
                          </a:xfrm>
                          <a:prstGeom prst="rect">
                            <a:avLst/>
                          </a:prstGeom>
                          <a:ln>
                            <a:noFill/>
                          </a:ln>
                        </wps:spPr>
                        <wps:txbx>
                          <w:txbxContent>
                            <w:p w14:paraId="36101FB3" w14:textId="77777777" w:rsidR="00B32EF2" w:rsidRDefault="00000000">
                              <w:r>
                                <w:rPr>
                                  <w:rFonts w:ascii="Arial" w:eastAsia="Arial" w:hAnsi="Arial" w:cs="Arial"/>
                                  <w:i/>
                                  <w:sz w:val="18"/>
                                </w:rPr>
                                <w:t xml:space="preserve">della memoria di nomina del nuovo difensore, in aggiunta o in sostituzione </w:t>
                              </w:r>
                            </w:p>
                          </w:txbxContent>
                        </wps:txbx>
                        <wps:bodyPr horzOverflow="overflow" vert="horz" lIns="0" tIns="0" rIns="0" bIns="0" rtlCol="0">
                          <a:noAutofit/>
                        </wps:bodyPr>
                      </wps:wsp>
                      <wps:wsp>
                        <wps:cNvPr id="19579" name="Rectangle 19579"/>
                        <wps:cNvSpPr/>
                        <wps:spPr>
                          <a:xfrm rot="-10799999">
                            <a:off x="-1094003" y="5307888"/>
                            <a:ext cx="5007415" cy="142889"/>
                          </a:xfrm>
                          <a:prstGeom prst="rect">
                            <a:avLst/>
                          </a:prstGeom>
                          <a:ln>
                            <a:noFill/>
                          </a:ln>
                        </wps:spPr>
                        <wps:txbx>
                          <w:txbxContent>
                            <w:p w14:paraId="574EC1F3" w14:textId="77777777" w:rsidR="00B32EF2" w:rsidRDefault="00000000">
                              <w:r>
                                <w:rPr>
                                  <w:rFonts w:ascii="Arial" w:eastAsia="Arial" w:hAnsi="Arial" w:cs="Arial"/>
                                  <w:i/>
                                  <w:sz w:val="18"/>
                                </w:rPr>
                                <w:t>del difensore originariamente designato. In tali casi l’autografia della sot</w:t>
                              </w:r>
                            </w:p>
                          </w:txbxContent>
                        </wps:txbx>
                        <wps:bodyPr horzOverflow="overflow" vert="horz" lIns="0" tIns="0" rIns="0" bIns="0" rtlCol="0">
                          <a:noAutofit/>
                        </wps:bodyPr>
                      </wps:wsp>
                      <wps:wsp>
                        <wps:cNvPr id="19580" name="Rectangle 19580"/>
                        <wps:cNvSpPr/>
                        <wps:spPr>
                          <a:xfrm rot="-10799999">
                            <a:off x="97517" y="5307889"/>
                            <a:ext cx="50622" cy="142889"/>
                          </a:xfrm>
                          <a:prstGeom prst="rect">
                            <a:avLst/>
                          </a:prstGeom>
                          <a:ln>
                            <a:noFill/>
                          </a:ln>
                        </wps:spPr>
                        <wps:txbx>
                          <w:txbxContent>
                            <w:p w14:paraId="7B9B367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581" name="Rectangle 19581"/>
                        <wps:cNvSpPr/>
                        <wps:spPr>
                          <a:xfrm rot="-10799999">
                            <a:off x="-1187237" y="5184559"/>
                            <a:ext cx="5100648" cy="142889"/>
                          </a:xfrm>
                          <a:prstGeom prst="rect">
                            <a:avLst/>
                          </a:prstGeom>
                          <a:ln>
                            <a:noFill/>
                          </a:ln>
                        </wps:spPr>
                        <wps:txbx>
                          <w:txbxContent>
                            <w:p w14:paraId="1B75F333" w14:textId="77777777" w:rsidR="00B32EF2" w:rsidRDefault="00000000">
                              <w:r>
                                <w:rPr>
                                  <w:rFonts w:ascii="Arial" w:eastAsia="Arial" w:hAnsi="Arial" w:cs="Arial"/>
                                  <w:i/>
                                  <w:sz w:val="18"/>
                                </w:rPr>
                                <w:t xml:space="preserve">toscrizione della parte deve essere certificata dal difensore. La procura </w:t>
                              </w:r>
                            </w:p>
                          </w:txbxContent>
                        </wps:txbx>
                        <wps:bodyPr horzOverflow="overflow" vert="horz" lIns="0" tIns="0" rIns="0" bIns="0" rtlCol="0">
                          <a:noAutofit/>
                        </wps:bodyPr>
                      </wps:wsp>
                      <wps:wsp>
                        <wps:cNvPr id="19582" name="Rectangle 19582"/>
                        <wps:cNvSpPr/>
                        <wps:spPr>
                          <a:xfrm rot="-10799999">
                            <a:off x="-1192247" y="5061229"/>
                            <a:ext cx="5120289" cy="142889"/>
                          </a:xfrm>
                          <a:prstGeom prst="rect">
                            <a:avLst/>
                          </a:prstGeom>
                          <a:ln>
                            <a:noFill/>
                          </a:ln>
                        </wps:spPr>
                        <wps:txbx>
                          <w:txbxContent>
                            <w:p w14:paraId="6752DD3B" w14:textId="77777777" w:rsidR="00B32EF2" w:rsidRDefault="00000000">
                              <w:r>
                                <w:rPr>
                                  <w:rFonts w:ascii="Arial" w:eastAsia="Arial" w:hAnsi="Arial" w:cs="Arial"/>
                                  <w:i/>
                                  <w:sz w:val="18"/>
                                </w:rPr>
                                <w:t xml:space="preserve">si considera apposta in calce anche se rilasciata su foglio separato che </w:t>
                              </w:r>
                            </w:p>
                          </w:txbxContent>
                        </wps:txbx>
                        <wps:bodyPr horzOverflow="overflow" vert="horz" lIns="0" tIns="0" rIns="0" bIns="0" rtlCol="0">
                          <a:noAutofit/>
                        </wps:bodyPr>
                      </wps:wsp>
                      <wps:wsp>
                        <wps:cNvPr id="19583" name="Rectangle 19583"/>
                        <wps:cNvSpPr/>
                        <wps:spPr>
                          <a:xfrm rot="-10799999">
                            <a:off x="-1191535" y="4937899"/>
                            <a:ext cx="5118435" cy="142889"/>
                          </a:xfrm>
                          <a:prstGeom prst="rect">
                            <a:avLst/>
                          </a:prstGeom>
                          <a:ln>
                            <a:noFill/>
                          </a:ln>
                        </wps:spPr>
                        <wps:txbx>
                          <w:txbxContent>
                            <w:p w14:paraId="5F25CB2C" w14:textId="77777777" w:rsidR="00B32EF2" w:rsidRDefault="00000000">
                              <w:r>
                                <w:rPr>
                                  <w:rFonts w:ascii="Arial" w:eastAsia="Arial" w:hAnsi="Arial" w:cs="Arial"/>
                                  <w:i/>
                                  <w:sz w:val="18"/>
                                </w:rPr>
                                <w:t xml:space="preserve">sia però congiunto materialmente all’atto cui si riferisce o su documento </w:t>
                              </w:r>
                            </w:p>
                          </w:txbxContent>
                        </wps:txbx>
                        <wps:bodyPr horzOverflow="overflow" vert="horz" lIns="0" tIns="0" rIns="0" bIns="0" rtlCol="0">
                          <a:noAutofit/>
                        </wps:bodyPr>
                      </wps:wsp>
                      <wps:wsp>
                        <wps:cNvPr id="19584" name="Rectangle 19584"/>
                        <wps:cNvSpPr/>
                        <wps:spPr>
                          <a:xfrm rot="-10799999">
                            <a:off x="-1187176" y="4814570"/>
                            <a:ext cx="5100588" cy="142889"/>
                          </a:xfrm>
                          <a:prstGeom prst="rect">
                            <a:avLst/>
                          </a:prstGeom>
                          <a:ln>
                            <a:noFill/>
                          </a:ln>
                        </wps:spPr>
                        <wps:txbx>
                          <w:txbxContent>
                            <w:p w14:paraId="65AD5364" w14:textId="77777777" w:rsidR="00B32EF2" w:rsidRDefault="00000000">
                              <w:r>
                                <w:rPr>
                                  <w:rFonts w:ascii="Arial" w:eastAsia="Arial" w:hAnsi="Arial" w:cs="Arial"/>
                                  <w:i/>
                                  <w:sz w:val="18"/>
                                </w:rPr>
                                <w:t xml:space="preserve">informatico separato sottoscritto con firma digitale e congiunto all’atto cui </w:t>
                              </w:r>
                            </w:p>
                          </w:txbxContent>
                        </wps:txbx>
                        <wps:bodyPr horzOverflow="overflow" vert="horz" lIns="0" tIns="0" rIns="0" bIns="0" rtlCol="0">
                          <a:noAutofit/>
                        </wps:bodyPr>
                      </wps:wsp>
                      <wps:wsp>
                        <wps:cNvPr id="19585" name="Rectangle 19585"/>
                        <wps:cNvSpPr/>
                        <wps:spPr>
                          <a:xfrm rot="-10799999">
                            <a:off x="-1187810" y="4691240"/>
                            <a:ext cx="5102823" cy="142889"/>
                          </a:xfrm>
                          <a:prstGeom prst="rect">
                            <a:avLst/>
                          </a:prstGeom>
                          <a:ln>
                            <a:noFill/>
                          </a:ln>
                        </wps:spPr>
                        <wps:txbx>
                          <w:txbxContent>
                            <w:p w14:paraId="4FBB5BFF" w14:textId="77777777" w:rsidR="00B32EF2" w:rsidRDefault="00000000">
                              <w:r>
                                <w:rPr>
                                  <w:rFonts w:ascii="Arial" w:eastAsia="Arial" w:hAnsi="Arial" w:cs="Arial"/>
                                  <w:i/>
                                  <w:sz w:val="18"/>
                                </w:rPr>
                                <w:t xml:space="preserve">si riferisce mediante strumenti informatici, individuati con apposito decreto </w:t>
                              </w:r>
                            </w:p>
                          </w:txbxContent>
                        </wps:txbx>
                        <wps:bodyPr horzOverflow="overflow" vert="horz" lIns="0" tIns="0" rIns="0" bIns="0" rtlCol="0">
                          <a:noAutofit/>
                        </wps:bodyPr>
                      </wps:wsp>
                      <wps:wsp>
                        <wps:cNvPr id="19586" name="Rectangle 19586"/>
                        <wps:cNvSpPr/>
                        <wps:spPr>
                          <a:xfrm rot="-10799999">
                            <a:off x="-1089899" y="4567910"/>
                            <a:ext cx="5003311" cy="142889"/>
                          </a:xfrm>
                          <a:prstGeom prst="rect">
                            <a:avLst/>
                          </a:prstGeom>
                          <a:ln>
                            <a:noFill/>
                          </a:ln>
                        </wps:spPr>
                        <wps:txbx>
                          <w:txbxContent>
                            <w:p w14:paraId="64F03EFD" w14:textId="77777777" w:rsidR="00B32EF2" w:rsidRDefault="00000000">
                              <w:r>
                                <w:rPr>
                                  <w:rFonts w:ascii="Arial" w:eastAsia="Arial" w:hAnsi="Arial" w:cs="Arial"/>
                                  <w:i/>
                                  <w:sz w:val="18"/>
                                </w:rPr>
                                <w:t>del Ministero della giustizia. Se la procura alle liti è stata conferita su sup</w:t>
                              </w:r>
                            </w:p>
                          </w:txbxContent>
                        </wps:txbx>
                        <wps:bodyPr horzOverflow="overflow" vert="horz" lIns="0" tIns="0" rIns="0" bIns="0" rtlCol="0">
                          <a:noAutofit/>
                        </wps:bodyPr>
                      </wps:wsp>
                      <wps:wsp>
                        <wps:cNvPr id="19587" name="Rectangle 19587"/>
                        <wps:cNvSpPr/>
                        <wps:spPr>
                          <a:xfrm rot="-10799999">
                            <a:off x="97517" y="4567911"/>
                            <a:ext cx="50622" cy="142889"/>
                          </a:xfrm>
                          <a:prstGeom prst="rect">
                            <a:avLst/>
                          </a:prstGeom>
                          <a:ln>
                            <a:noFill/>
                          </a:ln>
                        </wps:spPr>
                        <wps:txbx>
                          <w:txbxContent>
                            <w:p w14:paraId="6654D80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588" name="Rectangle 19588"/>
                        <wps:cNvSpPr/>
                        <wps:spPr>
                          <a:xfrm rot="-10799999">
                            <a:off x="-1185542" y="4444581"/>
                            <a:ext cx="5092667" cy="142889"/>
                          </a:xfrm>
                          <a:prstGeom prst="rect">
                            <a:avLst/>
                          </a:prstGeom>
                          <a:ln>
                            <a:noFill/>
                          </a:ln>
                        </wps:spPr>
                        <wps:txbx>
                          <w:txbxContent>
                            <w:p w14:paraId="1F90533F" w14:textId="77777777" w:rsidR="00B32EF2" w:rsidRDefault="00000000">
                              <w:r>
                                <w:rPr>
                                  <w:rFonts w:ascii="Arial" w:eastAsia="Arial" w:hAnsi="Arial" w:cs="Arial"/>
                                  <w:i/>
                                  <w:sz w:val="18"/>
                                </w:rPr>
                                <w:t xml:space="preserve">porto cartaceo, il difensore che si costituisce attraverso strumenti telematici </w:t>
                              </w:r>
                            </w:p>
                          </w:txbxContent>
                        </wps:txbx>
                        <wps:bodyPr horzOverflow="overflow" vert="horz" lIns="0" tIns="0" rIns="0" bIns="0" rtlCol="0">
                          <a:noAutofit/>
                        </wps:bodyPr>
                      </wps:wsp>
                      <wps:wsp>
                        <wps:cNvPr id="19589" name="Rectangle 19589"/>
                        <wps:cNvSpPr/>
                        <wps:spPr>
                          <a:xfrm rot="-10799999">
                            <a:off x="-1187282" y="4321251"/>
                            <a:ext cx="5100694" cy="142889"/>
                          </a:xfrm>
                          <a:prstGeom prst="rect">
                            <a:avLst/>
                          </a:prstGeom>
                          <a:ln>
                            <a:noFill/>
                          </a:ln>
                        </wps:spPr>
                        <wps:txbx>
                          <w:txbxContent>
                            <w:p w14:paraId="01071E94" w14:textId="77777777" w:rsidR="00B32EF2" w:rsidRDefault="00000000">
                              <w:r>
                                <w:rPr>
                                  <w:rFonts w:ascii="Arial" w:eastAsia="Arial" w:hAnsi="Arial" w:cs="Arial"/>
                                  <w:i/>
                                  <w:sz w:val="18"/>
                                </w:rPr>
                                <w:t xml:space="preserve">ne trasmette la copia informatica autenticata con firma digitale, nel rispetto </w:t>
                              </w:r>
                            </w:p>
                          </w:txbxContent>
                        </wps:txbx>
                        <wps:bodyPr horzOverflow="overflow" vert="horz" lIns="0" tIns="0" rIns="0" bIns="0" rtlCol="0">
                          <a:noAutofit/>
                        </wps:bodyPr>
                      </wps:wsp>
                      <wps:wsp>
                        <wps:cNvPr id="19590" name="Rectangle 19590"/>
                        <wps:cNvSpPr/>
                        <wps:spPr>
                          <a:xfrm rot="-10799999">
                            <a:off x="-1194193" y="4197921"/>
                            <a:ext cx="5128179" cy="142889"/>
                          </a:xfrm>
                          <a:prstGeom prst="rect">
                            <a:avLst/>
                          </a:prstGeom>
                          <a:ln>
                            <a:noFill/>
                          </a:ln>
                        </wps:spPr>
                        <wps:txbx>
                          <w:txbxContent>
                            <w:p w14:paraId="14FE718C" w14:textId="77777777" w:rsidR="00B32EF2" w:rsidRDefault="00000000">
                              <w:r>
                                <w:rPr>
                                  <w:rFonts w:ascii="Arial" w:eastAsia="Arial" w:hAnsi="Arial" w:cs="Arial"/>
                                  <w:i/>
                                  <w:sz w:val="18"/>
                                </w:rPr>
                                <w:t xml:space="preserve">della normativa, anche regolamentare, concernente la sottoscrizione, la </w:t>
                              </w:r>
                            </w:p>
                          </w:txbxContent>
                        </wps:txbx>
                        <wps:bodyPr horzOverflow="overflow" vert="horz" lIns="0" tIns="0" rIns="0" bIns="0" rtlCol="0">
                          <a:noAutofit/>
                        </wps:bodyPr>
                      </wps:wsp>
                      <wps:wsp>
                        <wps:cNvPr id="19591" name="Rectangle 19591"/>
                        <wps:cNvSpPr/>
                        <wps:spPr>
                          <a:xfrm rot="-10799999">
                            <a:off x="-1089701" y="4074591"/>
                            <a:ext cx="5003113" cy="142889"/>
                          </a:xfrm>
                          <a:prstGeom prst="rect">
                            <a:avLst/>
                          </a:prstGeom>
                          <a:ln>
                            <a:noFill/>
                          </a:ln>
                        </wps:spPr>
                        <wps:txbx>
                          <w:txbxContent>
                            <w:p w14:paraId="19AFBBBE" w14:textId="77777777" w:rsidR="00B32EF2" w:rsidRDefault="00000000">
                              <w:r>
                                <w:rPr>
                                  <w:rFonts w:ascii="Arial" w:eastAsia="Arial" w:hAnsi="Arial" w:cs="Arial"/>
                                  <w:i/>
                                  <w:sz w:val="18"/>
                                </w:rPr>
                                <w:t>trasmissione e la ricezione dei documenti informatici e trasmessi in via te</w:t>
                              </w:r>
                            </w:p>
                          </w:txbxContent>
                        </wps:txbx>
                        <wps:bodyPr horzOverflow="overflow" vert="horz" lIns="0" tIns="0" rIns="0" bIns="0" rtlCol="0">
                          <a:noAutofit/>
                        </wps:bodyPr>
                      </wps:wsp>
                      <wps:wsp>
                        <wps:cNvPr id="19592" name="Rectangle 19592"/>
                        <wps:cNvSpPr/>
                        <wps:spPr>
                          <a:xfrm rot="-10799999">
                            <a:off x="97517" y="4074592"/>
                            <a:ext cx="50622" cy="142889"/>
                          </a:xfrm>
                          <a:prstGeom prst="rect">
                            <a:avLst/>
                          </a:prstGeom>
                          <a:ln>
                            <a:noFill/>
                          </a:ln>
                        </wps:spPr>
                        <wps:txbx>
                          <w:txbxContent>
                            <w:p w14:paraId="02932E6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593" name="Rectangle 19593"/>
                        <wps:cNvSpPr/>
                        <wps:spPr>
                          <a:xfrm rot="-10799999">
                            <a:off x="3255762" y="3951262"/>
                            <a:ext cx="657650" cy="142889"/>
                          </a:xfrm>
                          <a:prstGeom prst="rect">
                            <a:avLst/>
                          </a:prstGeom>
                          <a:ln>
                            <a:noFill/>
                          </a:ln>
                        </wps:spPr>
                        <wps:txbx>
                          <w:txbxContent>
                            <w:p w14:paraId="06C18C53" w14:textId="77777777" w:rsidR="00B32EF2" w:rsidRDefault="00000000">
                              <w:r>
                                <w:rPr>
                                  <w:rFonts w:ascii="Arial" w:eastAsia="Arial" w:hAnsi="Arial" w:cs="Arial"/>
                                  <w:i/>
                                  <w:sz w:val="18"/>
                                </w:rPr>
                                <w:t xml:space="preserve">lematica. </w:t>
                              </w:r>
                            </w:p>
                          </w:txbxContent>
                        </wps:txbx>
                        <wps:bodyPr horzOverflow="overflow" vert="horz" lIns="0" tIns="0" rIns="0" bIns="0" rtlCol="0">
                          <a:noAutofit/>
                        </wps:bodyPr>
                      </wps:wsp>
                      <wps:wsp>
                        <wps:cNvPr id="201432" name="Rectangle 201432"/>
                        <wps:cNvSpPr/>
                        <wps:spPr>
                          <a:xfrm rot="-10799999">
                            <a:off x="2579247" y="3827932"/>
                            <a:ext cx="5120957" cy="142889"/>
                          </a:xfrm>
                          <a:prstGeom prst="rect">
                            <a:avLst/>
                          </a:prstGeom>
                          <a:ln>
                            <a:noFill/>
                          </a:ln>
                        </wps:spPr>
                        <wps:txbx>
                          <w:txbxContent>
                            <w:p w14:paraId="5313C8F2"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201433" name="Rectangle 201433"/>
                        <wps:cNvSpPr/>
                        <wps:spPr>
                          <a:xfrm rot="-10799999">
                            <a:off x="-1258090" y="3827932"/>
                            <a:ext cx="5120958" cy="142889"/>
                          </a:xfrm>
                          <a:prstGeom prst="rect">
                            <a:avLst/>
                          </a:prstGeom>
                          <a:ln>
                            <a:noFill/>
                          </a:ln>
                        </wps:spPr>
                        <wps:txbx>
                          <w:txbxContent>
                            <w:p w14:paraId="55EF12B8" w14:textId="77777777" w:rsidR="00B32EF2" w:rsidRDefault="00000000">
                              <w:r>
                                <w:rPr>
                                  <w:rFonts w:ascii="Arial" w:eastAsia="Arial" w:hAnsi="Arial" w:cs="Arial"/>
                                  <w:i/>
                                  <w:sz w:val="18"/>
                                </w:rPr>
                                <w:t xml:space="preserve">. La procura speciale si presume conferita soltanto per un determinato </w:t>
                              </w:r>
                            </w:p>
                          </w:txbxContent>
                        </wps:txbx>
                        <wps:bodyPr horzOverflow="overflow" vert="horz" lIns="0" tIns="0" rIns="0" bIns="0" rtlCol="0">
                          <a:noAutofit/>
                        </wps:bodyPr>
                      </wps:wsp>
                      <wps:wsp>
                        <wps:cNvPr id="19595" name="Rectangle 19595"/>
                        <wps:cNvSpPr/>
                        <wps:spPr>
                          <a:xfrm rot="-10799999">
                            <a:off x="-773760" y="3704603"/>
                            <a:ext cx="4687172" cy="142889"/>
                          </a:xfrm>
                          <a:prstGeom prst="rect">
                            <a:avLst/>
                          </a:prstGeom>
                          <a:ln>
                            <a:noFill/>
                          </a:ln>
                        </wps:spPr>
                        <wps:txbx>
                          <w:txbxContent>
                            <w:p w14:paraId="63C2DC5E" w14:textId="77777777" w:rsidR="00B32EF2" w:rsidRDefault="00000000">
                              <w:r>
                                <w:rPr>
                                  <w:rFonts w:ascii="Arial" w:eastAsia="Arial" w:hAnsi="Arial" w:cs="Arial"/>
                                  <w:i/>
                                  <w:sz w:val="18"/>
                                </w:rPr>
                                <w:t>grado del processo, quando nell’atto non è espressa volontà diversa.</w:t>
                              </w:r>
                            </w:p>
                          </w:txbxContent>
                        </wps:txbx>
                        <wps:bodyPr horzOverflow="overflow" vert="horz" lIns="0" tIns="0" rIns="0" bIns="0" rtlCol="0">
                          <a:noAutofit/>
                        </wps:bodyPr>
                      </wps:wsp>
                      <wps:wsp>
                        <wps:cNvPr id="19596" name="Shape 19596"/>
                        <wps:cNvSpPr/>
                        <wps:spPr>
                          <a:xfrm>
                            <a:off x="31760" y="3659209"/>
                            <a:ext cx="3960000" cy="2609901"/>
                          </a:xfrm>
                          <a:custGeom>
                            <a:avLst/>
                            <a:gdLst/>
                            <a:ahLst/>
                            <a:cxnLst/>
                            <a:rect l="0" t="0" r="0" b="0"/>
                            <a:pathLst>
                              <a:path w="3960000" h="2609901">
                                <a:moveTo>
                                  <a:pt x="0" y="2609901"/>
                                </a:moveTo>
                                <a:lnTo>
                                  <a:pt x="3960000" y="2609901"/>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9E21A3F" id="Group 201526" o:spid="_x0000_s4565" style="width:314.3pt;height:493.65pt;mso-position-horizontal-relative:char;mso-position-vertical-relative:line" coordsize="39917,6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eFuOQ0AAJKPAAAOAAAAZHJzL2Uyb0RvYy54bWzsXWuP27gV/V6g/8Hw98nwoReNTBZF0g0K&#10;FN3FPn6A4pEfgGwZspOZ9Nf3XJKiZA0nyUptOCg3AWY8tCxTPDz3xcvL1z88HurFp6o975vj3ZK/&#10;YstFdVw39/vj9m75+28/3hTLxflSHu/LujlWd8vP1Xn5w5u//uX1w2lViWbX1PdVu8BNjufVw+lu&#10;ubtcTqvb2/N6Vx3K86vmVB3x5qZpD+UFf7bb2/u2fMDdD/WtYCy7fWja+1PbrKvzGa3vzJvLN/r+&#10;m021vvy02Zyry6K+W6JvF/2z1T8/0M/bN6/L1bYtT7v92najnNCLQ7k/4kvdrd6Vl3Lxsd0/udVh&#10;v26bc7O5vFo3h9tms9mvK/0MeBrORk/zvm0+nvSzbFcP25MbJgztaJwm33b9r0/v29Ovp59bjMTD&#10;aYux0H/Rszxu2gP9Ri8Xj3rIPrshqx4vizUapVI8z/hyscZ7mcgU59wM6nqHkX/yufXu71/55G33&#10;xbdX3Xk4YYKc+zE4zxuDX3flqdJDe15hDH5uF/t7zF+VSrVcHMsDpuovmDzlcVtXC9OsB0hf7Ybr&#10;vDpj5LqxWrQN5tcNZ7mif3o+2LHjirEkyZcLjNJNJvCnGaRuGHleyAzfTKMoUpYlGb3vhqJcndrz&#10;5X3VHBb04m7Zom/6/uWnf54v5tLuEupOfaSfx+bHfV2bd6kFI9r1mF5dHj886seWstD9ocYPzf1n&#10;jMauaf/9E3i9qZuHu2VjXy2J6vh6ene5qP9xBArEqu5F27340L1oL/XbRnPPdOhvHy/NZq973H+b&#10;7RngpTn4fXBO0G8PzmiehTOwYyluDRxlwjKhxDXQBedpmhigeSKKQn1noDU7+6H/PwcaQjURHkbb&#10;9jlQCyGYonsT1KIQKpPXUHMlZZ7LgFjruRcV1hKaaMxqwhrtc7DmPCsEB21fLtZ68sWFtUeCa6zn&#10;ifAb6N9UYR45rEciPDyvk24yR6OsxVNawyhLnICDCffHjbJcQoJnBmieQn6PBLhgIuUMF5BVFkRZ&#10;p1EBrZUybGSfABd5NxSToBaZTGVulTWTmWQjrFPBWVJYPyYI1trij0qAC8QGvFgXs7C+4SLPFfsq&#10;2JApwYjtZnM0EhzG0xhrkuBOlU2iNVc8xSQiTe0lNRywkCi7eRwNyqkfZafHJqF8wyXPRWbMb6G4&#10;UPCqYM6Xqy58kkqmmAgpvbUbH430JubCLvIR2qmxSVDzhHOZYhaB0iIvVGYERI+0SAuWsIBIm8hd&#10;NEhrm8zDats+x6kWGUcAxdjfIssyCQf7KatlQPsbXqB9wCgEuMbUQ2vbPgdriPCCF9ISW4PtE+FB&#10;wXbOZBRgkwj32N+meR7UAr5UZnkNH10VY14LjnhpwMCo0nMvGhlOmHpi4KZ5DtS9+S28OIc1v5Xz&#10;LWIhNC08eWwyNM9B+QbynxdWdCdcZVi/wv16mwxtQiUh+ez8iyiQ1vrY40/b9llYk57OCyu8aU1L&#10;jMAO7mohYmufMB6wwa0xrzXYTo9Ncra0AS7NYrXQWGse9cQOj3V0cbLUv9KB5nm0FrxQ0oTKBIIp&#10;So2hJpsNjcFCoiq6YFnqYTVsMjTPgXpgk3lxDmyTRRcno2SfsewmlJ1xOk10M6WQ1mDiZCxRWTbi&#10;M+gu8oA2WcKc0RmPmvbIbq2m5wpvpOclWLCkoChMbaxTj8A2ehqKPNB6FgVko7PJEIMe81qD7YZi&#10;GrEpKGptMoO1Nndfjk2WMDeboyA2yWpPTNQ0z1LUCaIyubG+ecEkktmJRD3SIpVZXiAfIhirnSUS&#10;BdLEXu6Jk9n2OVhrTyuBxCAJnuUqy0dYQ4IXKg9nfifM2SPRYC080TItwZ3lMkmC66WOzNpmLxRs&#10;bT/EFP+mLJGxtiYR7pzOiVAzkTDsndC8hp6QZt9GL8NThgQV8ruDyfD4omVkKY+xJl6blD+a9ZPA&#10;ht2dKKwpaKwTKRnXwakB1ljWYsghDYd1XNEyrZc9ppltn6OvkUJYJCmlg5LC1mCPFXZwsJ3oikJh&#10;Q1hnHn1tmudA3cfLDM5jUgeNlyXIYrUPFw3KHr+aUJ7nVl+lEHJkC2ZwrDCyA+kdOIUw4c7sjAZq&#10;T7yMoHYBhkl6mue5QOqgEd28QOL/CGmkp6iELghlk5kd0tGY39r28rDats8R3savtjYZw64ObCkY&#10;sxpJpFAcwbB2kzkKVmtMPbS27XOwhgjPVE6b5Mkme5lgxxUwI1ntX91C80yosXZJ6YmAWkmVmcXh&#10;kbJmAcNlJlU5GhFOSGO0x161aZ6HNNYpKecBQBc8k9lIfie84Iy2cgWT33GFygSiWVjgsUjrIikL&#10;2/ZVmMmatuVOsF+HasIAVAmRbWLLPXtBaIZ/BtSES2VWPgbVTtYfTbUTumVX4QS1de5NrRO07bpX&#10;68dj95JqonyxzM+pvNDn6Kb0coHCJq4ru7ul7Qm9fUDBk98afeFlVMIGvezfrY/Dq9zN8NzamMe1&#10;3RXd75O+3/DKqwHoLut+m8tNgPGbL7z+bnSCnlZXk3EjgMbhGNdHGgxCpEQNpk1dmuIyh/0FxZnq&#10;/QEKV+QEGSaBfqgntWTOl891RQNWH3+pNqgqowsGUcO53X54W7eLTyWVgdH/TOWa+rQrbau9r73U&#10;fgfuQ5/foISNuyXXH7265VtJ/+0d7MX0uUpXf3KfZOaTa9sbUwIKhZTw0F0hKDyZ+5D+5uZ4cZ8/&#10;onyV/hIS+vZpe/lP40J/fdcSNplnrzSJZBcGnOQ/CQlZT5lgmMUpdtUhkx9P17MX9WtyBMcCiuS4&#10;QtqEKCwhn+51IcBJQKNSl6t/kGSZkmM/uWDYeBkSaDeRo/CdCGi3/GxUr2kC/Ui2PA8y0XOgeY26&#10;0Jp3BKnTO2ROXemTrtbbUCu8HM171dVvUb9XH+iUaff7qQ7uFZvR59dXmvEcX7Oum3Nl9OE36let&#10;Q7+kY41yNPf01Gvz6ViPQrQ6truNT41aZThNM8ejY7Xl61YTB9aw8/O/mZPWGoZmFfBbgU2vUK9I&#10;KTKd2WnNmaCs7LpCfe05N7RIO0r0714Txz3ZHzKIu+/tJvDzlPz2K7uemv79l0ziCXSdRTxtWhMa&#10;f5rE3uqdFGSkHcRjU8m2Yz59WY1+oX4nZlqB0o7aKIY/ix1SI6s4ZcjgG25fNnvHMdM6DnflOf83&#10;FTwRKCGZ0XskERR2hMHqx9rZjc+L5y9gfYMSnQnKRb1ksKNbFs5dUOqqLC+a59AaKZfI4iFP15B6&#10;ZC6D8QHrByVIUIyJ0nB2qFrqWHqb5jkoo/CbsmWiYH4lKARH4zowwFIpkYwdLqKBykUxAa31sWc5&#10;wbbPgRqJWynW/M0iIUoFIcIxAjvF9gqZwhwPtaIAiRId2J5VQg32vGVC1IKCt2Tk9wvF2jmKsUSw&#10;aA+DT4K7ZbSJJhlD2Te7TogAN7bFPKE1QwwzYPKtqZMQjf1NWtnjapnmORK8N8kMzqMF4dAmmZvH&#10;0RDa42QRypp/k/1p+FgFFpdMhkeK3dBUjArTpjfKoKfhhYU0yqJbZqKcSJ/sdpGFibKbF7my9YMA&#10;KUcpihHUnEk6NiacSeYmczSsdgtN1+60iytMhJopbPw3kRNsacyLYgw1Y3kSck3RJIjGpKZpe5qH&#10;1f2JP5OgHqhpjbOeOEPpHTZy4uZxLISmvUo+lF1kYRLKpKZzQXFWSgbhSPtIx0AjPS+jTM1Q7jRq&#10;JcTkTsP0KvyhUDTPsbsBtRLCHlEGK5ujIthYTeNADJxXFQ5qN5mjYbU/Hlq4sMJUVqNuvi3GmyDv&#10;p8BhddfGN3iPJZCAULvJHA3UnhgZkX1eiEwLcCTjagGO802SFBVHRlAzlsJMC8dqN5mjgdofI4OL&#10;NFOAFzmy5Q3UOIgTpQmeQB207jK58/YJo4HaHyNDgdV5UKNaDAltMssSxMmU2Tw6tL9RiSCkS21K&#10;lEXlZ/kDZWaf8eRAWe9nGZy1CTTEOaifhYSX2Ajtj5GZOMdklHU4lI6z04ROEl17AiM7BBqF/yjh&#10;P5ifFV2MjFwdn0vtYgtTjW+41OTDkeyWKCOCxehrqMmlpkIzwaB2Ad9Y1DQO9fFB3Z/1MxVqhYpy&#10;JhyKF7kyiR4DVqPODKdjCYNB7SZzNFD7A2X9UT8Toab6fXQuFbEaMW46Qfaa1YiL42yrcFD3J5tH&#10;A7U/UGaOZJ+sqwcWmcZZRyoGlA6bM4gik5FZZCRfPWq6P+NnEqGlwDZHVKIhPkuVcmGq0vQ4Z3ib&#10;zlsJJbn7s4+joLNOF/Pw2bbbOT8JapFCMdvAtyxEruSY0rRPElWEwmEdV4hMY+phtW2fgzXlhxY4&#10;K9Tw+nmwA8ZD+yNxoyA2Yty02dwnwWfGQ/NcovaEQTpHdqCp/9lL8AQ14FBmJiCt3QNGg7QLh7r9&#10;zf1xTs8LbwqEPN3frPdSjhau3I5DUsvX2wO7fVhBdjh3XaEn6XdLDvdSdldAumHTWH/N8zsqrz/R&#10;Xdf9/nOT86y9li9ikzNKimxXD9uTnhLbtjzt9ut35aUc/q0Lj6wq0eya+r5q3/wHAAD//wMAUEsD&#10;BBQABgAIAAAAIQBeNmEJ3QAAAAUBAAAPAAAAZHJzL2Rvd25yZXYueG1sTI9BS8NAEIXvgv9hGcGb&#10;3aTFmKbZlFLUUxFsBfE2zU6T0OxsyG6T9N+7etHLwOM93vsmX0+mFQP1rrGsIJ5FIIhLqxuuFHwc&#10;Xh5SEM4ja2wtk4IrOVgXtzc5ZtqO/E7D3lcilLDLUEHtfZdJ6cqaDLqZ7YiDd7K9QR9kX0nd4xjK&#10;TSvnUZRIgw2HhRo72tZUnvcXo+B1xHGziJ+H3fm0vX4dHt8+dzEpdX83bVYgPE3+Lww/+AEdisB0&#10;tBfWTrQKwiP+9wYvmacJiKOCZfq0AFnk8j998Q0AAP//AwBQSwECLQAUAAYACAAAACEAtoM4kv4A&#10;AADhAQAAEwAAAAAAAAAAAAAAAAAAAAAAW0NvbnRlbnRfVHlwZXNdLnhtbFBLAQItABQABgAIAAAA&#10;IQA4/SH/1gAAAJQBAAALAAAAAAAAAAAAAAAAAC8BAABfcmVscy8ucmVsc1BLAQItABQABgAIAAAA&#10;IQAg9eFuOQ0AAJKPAAAOAAAAAAAAAAAAAAAAAC4CAABkcnMvZTJvRG9jLnhtbFBLAQItABQABgAI&#10;AAAAIQBeNmEJ3QAAAAUBAAAPAAAAAAAAAAAAAAAAAJMPAABkcnMvZG93bnJldi54bWxQSwUGAAAA&#10;AAQABADzAAAAnRAAAAAA&#10;">
                <v:rect id="Rectangle 19539" o:spid="_x0000_s4566"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EgOxQAAAN4AAAAPAAAAZHJzL2Rvd25yZXYueG1sRE9La8JA&#10;EL4X/A/LCN7qxkpFo6uIRZpDL/UBHofsmESzs0t2NWl/fbcgeJuP7zmLVWdqcafGV5YVjIYJCOLc&#10;6ooLBYf99nUKwgdkjbVlUvBDHlbL3ssCU21b/qb7LhQihrBPUUEZgkul9HlJBv3QOuLInW1jMETY&#10;FFI32MZwU8u3JJlIgxXHhhIdbUrKr7ubUXD6YJdtW5mffzfu65JN68/b4ajUoN+t5yACdeEpfrgz&#10;HefP3scz+H8n3iCXfwAAAP//AwBQSwECLQAUAAYACAAAACEA2+H2y+4AAACFAQAAEwAAAAAAAAAA&#10;AAAAAAAAAAAAW0NvbnRlbnRfVHlwZXNdLnhtbFBLAQItABQABgAIAAAAIQBa9CxbvwAAABUBAAAL&#10;AAAAAAAAAAAAAAAAAB8BAABfcmVscy8ucmVsc1BLAQItABQABgAIAAAAIQD4IEgOxQAAAN4AAAAP&#10;AAAAAAAAAAAAAAAAAAcCAABkcnMvZG93bnJldi54bWxQSwUGAAAAAAMAAwC3AAAA+QIAAAAA&#10;" filled="f" stroked="f">
                  <v:textbox inset="0,0,0,0">
                    <w:txbxContent>
                      <w:p w14:paraId="49C02739" w14:textId="77777777" w:rsidR="00B32EF2" w:rsidRDefault="00000000">
                        <w:r>
                          <w:rPr>
                            <w:rFonts w:ascii="Times New Roman" w:eastAsia="Times New Roman" w:hAnsi="Times New Roman" w:cs="Times New Roman"/>
                          </w:rPr>
                          <w:t>52</w:t>
                        </w:r>
                      </w:p>
                    </w:txbxContent>
                  </v:textbox>
                </v:rect>
                <v:rect id="Rectangle 19540" o:spid="_x0000_s4567" style="position:absolute;left:15060;top:34062;width:81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JLuyAAAAN4AAAAPAAAAZHJzL2Rvd25yZXYueG1sRI9Pb8Iw&#10;DMXvk/YdIk/iNtJN28Q6ApqYED1wGX+kHa3GtN0aJ2oC7fj0+IDEzZaf33u/6XxwrTpRFxvPBp7G&#10;GSji0tuGKwO77fJxAiomZIutZzLwTxHms/u7KebW9/xNp02qlJhwzNFAnVLItY5lTQ7j2AdiuR18&#10;5zDJ2lXadtiLuWv1c5a9aYcNS0KNgRY1lX+bozPw88WhWPa6PJwXYf1bTNrVcbc3ZvQwfH6ASjSk&#10;m/j6XVip//76IgCCIzPo2QUAAP//AwBQSwECLQAUAAYACAAAACEA2+H2y+4AAACFAQAAEwAAAAAA&#10;AAAAAAAAAAAAAAAAW0NvbnRlbnRfVHlwZXNdLnhtbFBLAQItABQABgAIAAAAIQBa9CxbvwAAABUB&#10;AAALAAAAAAAAAAAAAAAAAB8BAABfcmVscy8ucmVsc1BLAQItABQABgAIAAAAIQAxHJLuyAAAAN4A&#10;AAAPAAAAAAAAAAAAAAAAAAcCAABkcnMvZG93bnJldi54bWxQSwUGAAAAAAMAAwC3AAAA/AIAAAAA&#10;" filled="f" stroked="f">
                  <v:textbox inset="0,0,0,0">
                    <w:txbxContent>
                      <w:p w14:paraId="7CE19119" w14:textId="77777777" w:rsidR="00B32EF2" w:rsidRDefault="00000000">
                        <w:r>
                          <w:rPr>
                            <w:rFonts w:ascii="Arial" w:eastAsia="Arial" w:hAnsi="Arial" w:cs="Arial"/>
                            <w:b/>
                            <w:sz w:val="18"/>
                          </w:rPr>
                          <w:t>Articolo 58</w:t>
                        </w:r>
                      </w:p>
                    </w:txbxContent>
                  </v:textbox>
                </v:rect>
                <v:rect id="Rectangle 201429" o:spid="_x0000_s4568" style="position:absolute;left:22209;top:32829;width:193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WMqyAAAAN8AAAAPAAAAZHJzL2Rvd25yZXYueG1sRI9Pa8JA&#10;FMTvhX6H5Qm96cZQRFNXEYs0By/1D/T4yD6TaPbtkl1N6qd3C0KPw8z8hpkve9OIG7W+tqxgPEpA&#10;EBdW11wqOOw3wykIH5A1NpZJwS95WC5eX+aYadvxN912oRQRwj5DBVUILpPSFxUZ9CPriKN3sq3B&#10;EGVbSt1iF+GmkWmSTKTBmuNChY7WFRWX3dUo+Plkl286WZzua7c959Pm63o4KvU26FcfIAL14T/8&#10;bOdaQZqM39MZ/P2JX0AuHgAAAP//AwBQSwECLQAUAAYACAAAACEA2+H2y+4AAACFAQAAEwAAAAAA&#10;AAAAAAAAAAAAAAAAW0NvbnRlbnRfVHlwZXNdLnhtbFBLAQItABQABgAIAAAAIQBa9CxbvwAAABUB&#10;AAALAAAAAAAAAAAAAAAAAB8BAABfcmVscy8ucmVsc1BLAQItABQABgAIAAAAIQB2tWMqyAAAAN8A&#10;AAAPAAAAAAAAAAAAAAAAAAcCAABkcnMvZG93bnJldi54bWxQSwUGAAAAAAMAAwC3AAAA/AIAAAAA&#10;" filled="f" stroked="f">
                  <v:textbox inset="0,0,0,0">
                    <w:txbxContent>
                      <w:p w14:paraId="32136E3B" w14:textId="77777777" w:rsidR="00B32EF2" w:rsidRDefault="00000000">
                        <w:r>
                          <w:rPr>
                            <w:rFonts w:ascii="Arial" w:eastAsia="Arial" w:hAnsi="Arial" w:cs="Arial"/>
                            <w:i/>
                            <w:sz w:val="18"/>
                          </w:rPr>
                          <w:t>(</w:t>
                        </w:r>
                      </w:p>
                    </w:txbxContent>
                  </v:textbox>
                </v:rect>
                <v:rect id="Rectangle 201431" o:spid="_x0000_s4569" style="position:absolute;left:11682;top:32829;width:193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vnxyAAAAN8AAAAPAAAAZHJzL2Rvd25yZXYueG1sRI9Pa8JA&#10;FMTvgt9heYI33cRKkdRVRJHm0Ev9Az0+ss8kbfbtkl1N7Kd3CwWPw8z8hlmue9OIG7W+tqwgnSYg&#10;iAuray4VnI77yQKED8gaG8uk4E4e1qvhYImZth1/0u0QShEh7DNUUIXgMil9UZFBP7WOOHoX2xoM&#10;Ubal1C12EW4aOUuSV2mw5rhQoaNtRcXP4WoUfO3Y5ftOFpffrfv4zhfN+/V0Vmo86jdvIAL14Rn+&#10;b+dawSxJ5y8p/P2JX0CuHgAAAP//AwBQSwECLQAUAAYACAAAACEA2+H2y+4AAACFAQAAEwAAAAAA&#10;AAAAAAAAAAAAAAAAW0NvbnRlbnRfVHlwZXNdLnhtbFBLAQItABQABgAIAAAAIQBa9CxbvwAAABUB&#10;AAALAAAAAAAAAAAAAAAAAB8BAABfcmVscy8ucmVsc1BLAQItABQABgAIAAAAIQANGvnxyAAAAN8A&#10;AAAPAAAAAAAAAAAAAAAAAAcCAABkcnMvZG93bnJldi54bWxQSwUGAAAAAAMAAwC3AAAA/AIAAAAA&#10;" filled="f" stroked="f">
                  <v:textbox inset="0,0,0,0">
                    <w:txbxContent>
                      <w:p w14:paraId="64DB83EE" w14:textId="77777777" w:rsidR="00B32EF2" w:rsidRDefault="00000000">
                        <w:r>
                          <w:rPr>
                            <w:rFonts w:ascii="Arial" w:eastAsia="Arial" w:hAnsi="Arial" w:cs="Arial"/>
                            <w:i/>
                            <w:sz w:val="18"/>
                          </w:rPr>
                          <w:t xml:space="preserve">articolo 14 D.lgs. n. </w:t>
                        </w:r>
                      </w:p>
                    </w:txbxContent>
                  </v:textbox>
                </v:rect>
                <v:rect id="Rectangle 201430" o:spid="_x0000_s4570" style="position:absolute;left:-2505;top:32829;width:193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lxqxwAAAN8AAAAPAAAAZHJzL2Rvd25yZXYueG1sRI/LasMw&#10;EEX3hfyDmEB2tZy0lOBaDiEh1Itumgd0OVjjR2uNhKXETr++WhS6vNwXJ99Mphc3GnxnWcEySUEQ&#10;V1Z33Cg4nw6PaxA+IGvsLZOCO3nYFLOHHDNtR/6g2zE0Io6wz1BBG4LLpPRVSwZ9Yh1x9Go7GAxR&#10;Do3UA45x3PRylaYv0mDH8aFFR7uWqu/j1Sj43LMrD6Os6p+de/8q1/3b9XxRajGftq8gAk3hP/zX&#10;LrWCVbp8fooEkSeygCx+AQAA//8DAFBLAQItABQABgAIAAAAIQDb4fbL7gAAAIUBAAATAAAAAAAA&#10;AAAAAAAAAAAAAABbQ29udGVudF9UeXBlc10ueG1sUEsBAi0AFAAGAAgAAAAhAFr0LFu/AAAAFQEA&#10;AAsAAAAAAAAAAAAAAAAAHwEAAF9yZWxzLy5yZWxzUEsBAi0AFAAGAAgAAAAhAGJWXGrHAAAA3wAA&#10;AA8AAAAAAAAAAAAAAAAABwIAAGRycy9kb3ducmV2LnhtbFBLBQYAAAAAAwADALcAAAD7AgAAAAA=&#10;" filled="f" stroked="f">
                  <v:textbox inset="0,0,0,0">
                    <w:txbxContent>
                      <w:p w14:paraId="2D41608F" w14:textId="77777777" w:rsidR="00B32EF2" w:rsidRDefault="00000000">
                        <w:r>
                          <w:rPr>
                            <w:rFonts w:ascii="Arial" w:eastAsia="Arial" w:hAnsi="Arial" w:cs="Arial"/>
                            <w:i/>
                            <w:sz w:val="18"/>
                          </w:rPr>
                          <w:t>546/92)</w:t>
                        </w:r>
                      </w:p>
                    </w:txbxContent>
                  </v:textbox>
                </v:rect>
                <v:rect id="Rectangle 19542" o:spid="_x0000_s4571" style="position:absolute;left:7320;top:31596;width:202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kCxQAAAN4AAAAPAAAAZHJzL2Rvd25yZXYueG1sRE9Na8JA&#10;EL0L/Q/LFLzpRrFio6uIIs3BS62FHofsmESzs0t2NWl/vVsQvM3jfc5i1Zla3KjxlWUFo2ECgji3&#10;uuJCwfFrN5iB8AFZY22ZFPySh9XypbfAVNuWP+l2CIWIIexTVFCG4FIpfV6SQT+0jjhyJ9sYDBE2&#10;hdQNtjHc1HKcJFNpsOLYUKKjTUn55XA1Cn627LJdK/PT38btz9ms/rgev5Xqv3brOYhAXXiKH+5M&#10;x/nvb5Mx/L8Tb5DLOwAAAP//AwBQSwECLQAUAAYACAAAACEA2+H2y+4AAACFAQAAEwAAAAAAAAAA&#10;AAAAAAAAAAAAW0NvbnRlbnRfVHlwZXNdLnhtbFBLAQItABQABgAIAAAAIQBa9CxbvwAAABUBAAAL&#10;AAAAAAAAAAAAAAAAAB8BAABfcmVscy8ucmVsc1BLAQItABQABgAIAAAAIQCugqkCxQAAAN4AAAAP&#10;AAAAAAAAAAAAAAAAAAcCAABkcnMvZG93bnJldi54bWxQSwUGAAAAAAMAAwC3AAAA+QIAAAAA&#10;" filled="f" stroked="f">
                  <v:textbox inset="0,0,0,0">
                    <w:txbxContent>
                      <w:p w14:paraId="771E5BEB" w14:textId="77777777" w:rsidR="00B32EF2" w:rsidRDefault="00000000">
                        <w:r>
                          <w:rPr>
                            <w:rFonts w:ascii="Arial" w:eastAsia="Arial" w:hAnsi="Arial" w:cs="Arial"/>
                            <w:b/>
                            <w:sz w:val="18"/>
                          </w:rPr>
                          <w:t xml:space="preserve">Litisconsorzio e intervento </w:t>
                        </w:r>
                      </w:p>
                    </w:txbxContent>
                  </v:textbox>
                </v:rect>
                <v:rect id="Rectangle 201427" o:spid="_x0000_s4572" style="position:absolute;left:26353;top:30363;width:5210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lLDyAAAAN8AAAAPAAAAZHJzL2Rvd25yZXYueG1sRI9Pa8JA&#10;FMTvgt9heYI33RiKldRVRJHm0Ev9Az0+ss8kbfbtkl1N7Kd3CwWPw8z8hlmue9OIG7W+tqxgNk1A&#10;EBdW11wqOB33kwUIH5A1NpZJwZ08rFfDwRIzbTv+pNshlCJC2GeooArBZVL6oiKDfmodcfQutjUY&#10;omxLqVvsItw0Mk2SuTRYc1yo0NG2ouLncDUKvnbs8n0ni8vv1n1854vm/Xo6KzUe9Zs3EIH68Az/&#10;t3OtIE1mL+kr/P2JX0CuHgAAAP//AwBQSwECLQAUAAYACAAAACEA2+H2y+4AAACFAQAAEwAAAAAA&#10;AAAAAAAAAAAAAAAAW0NvbnRlbnRfVHlwZXNdLnhtbFBLAQItABQABgAIAAAAIQBa9CxbvwAAABUB&#10;AAALAAAAAAAAAAAAAAAAAB8BAABfcmVscy8ucmVsc1BLAQItABQABgAIAAAAIQBoZlLDyAAAAN8A&#10;AAAPAAAAAAAAAAAAAAAAAAcCAABkcnMvZG93bnJldi54bWxQSwUGAAAAAAMAAwC3AAAA/AIAAAAA&#10;" filled="f" stroked="f">
                  <v:textbox inset="0,0,0,0">
                    <w:txbxContent>
                      <w:p w14:paraId="75CD2A10" w14:textId="77777777" w:rsidR="00B32EF2" w:rsidRDefault="00000000">
                        <w:r>
                          <w:rPr>
                            <w:rFonts w:ascii="Arial" w:eastAsia="Arial" w:hAnsi="Arial" w:cs="Arial"/>
                            <w:sz w:val="18"/>
                          </w:rPr>
                          <w:t>1</w:t>
                        </w:r>
                      </w:p>
                    </w:txbxContent>
                  </v:textbox>
                </v:rect>
                <v:rect id="Rectangle 201428" o:spid="_x0000_s4573" style="position:absolute;left:-12779;top:30363;width:5210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axxAAAAN8AAAAPAAAAZHJzL2Rvd25yZXYueG1sRE/LisIw&#10;FN0P+A/hCu7G1DIMUo0iikwXs/EFLi/Nta02N6GJts7Xm8WAy8N5z5e9acSDWl9bVjAZJyCIC6tr&#10;LhUcD9vPKQgfkDU2lknBkzwsF4OPOWbadryjxz6UIoawz1BBFYLLpPRFRQb92DriyF1sazBE2JZS&#10;t9jFcNPINEm+pcGaY0OFjtYVFbf93Sg4b9jl204Wl7+1+73m0+bnfjwpNRr2qxmIQH14i//duVaQ&#10;JpOvNA6Of+IXkIsXAAAA//8DAFBLAQItABQABgAIAAAAIQDb4fbL7gAAAIUBAAATAAAAAAAAAAAA&#10;AAAAAAAAAABbQ29udGVudF9UeXBlc10ueG1sUEsBAi0AFAAGAAgAAAAhAFr0LFu/AAAAFQEAAAsA&#10;AAAAAAAAAAAAAAAAHwEAAF9yZWxzLy5yZWxzUEsBAi0AFAAGAAgAAAAhABn5xrHEAAAA3wAAAA8A&#10;AAAAAAAAAAAAAAAABwIAAGRycy9kb3ducmV2LnhtbFBLBQYAAAAAAwADALcAAAD4AgAAAAA=&#10;" filled="f" stroked="f">
                  <v:textbox inset="0,0,0,0">
                    <w:txbxContent>
                      <w:p w14:paraId="05E1479E" w14:textId="77777777" w:rsidR="00B32EF2" w:rsidRDefault="00000000">
                        <w:r>
                          <w:rPr>
                            <w:rFonts w:ascii="Arial" w:eastAsia="Arial" w:hAnsi="Arial" w:cs="Arial"/>
                            <w:sz w:val="18"/>
                          </w:rPr>
                          <w:t>. Se l’oggetto del ricorso riguarda inscindibilmente più soggetti, questi devo</w:t>
                        </w:r>
                      </w:p>
                    </w:txbxContent>
                  </v:textbox>
                </v:rect>
                <v:rect id="Rectangle 19544" o:spid="_x0000_s4574" style="position:absolute;left:191;top:30363;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5TtxQAAAN4AAAAPAAAAZHJzL2Rvd25yZXYueG1sRE9Na8JA&#10;EL0L/Q/LFLzpRrHFRlcRRczBS62FHofsmESzs0t2NbG/3i0UvM3jfc582Zla3KjxlWUFo2ECgji3&#10;uuJCwfFrO5iC8AFZY22ZFNzJw3Lx0ptjqm3Ln3Q7hELEEPYpKihDcKmUPi/JoB9aRxy5k20Mhgib&#10;QuoG2xhuajlOkndpsOLYUKKjdUn55XA1Cn427LJtK/PT79rtz9m03l2P30r1X7vVDESgLjzF/+5M&#10;x/kfb5MJ/L0Tb5CLBwAAAP//AwBQSwECLQAUAAYACAAAACEA2+H2y+4AAACFAQAAEwAAAAAAAAAA&#10;AAAAAAAAAAAAW0NvbnRlbnRfVHlwZXNdLnhtbFBLAQItABQABgAIAAAAIQBa9CxbvwAAABUBAAAL&#10;AAAAAAAAAAAAAAAAAB8BAABfcmVscy8ucmVsc1BLAQItABQABgAIAAAAIQBOJ5TtxQAAAN4AAAAP&#10;AAAAAAAAAAAAAAAAAAcCAABkcnMvZG93bnJldi54bWxQSwUGAAAAAAMAAwC3AAAA+QIAAAAA&#10;" filled="f" stroked="f">
                  <v:textbox inset="0,0,0,0">
                    <w:txbxContent>
                      <w:p w14:paraId="486685B9" w14:textId="77777777" w:rsidR="00B32EF2" w:rsidRDefault="00000000">
                        <w:r>
                          <w:rPr>
                            <w:rFonts w:ascii="Arial" w:eastAsia="Arial" w:hAnsi="Arial" w:cs="Arial"/>
                            <w:sz w:val="18"/>
                          </w:rPr>
                          <w:t>-</w:t>
                        </w:r>
                      </w:p>
                    </w:txbxContent>
                  </v:textbox>
                </v:rect>
                <v:rect id="Rectangle 19545" o:spid="_x0000_s4575" style="position:absolute;left:-13172;top:2912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zF2xQAAAN4AAAAPAAAAZHJzL2Rvd25yZXYueG1sRE9Na8JA&#10;EL0X+h+WKXirG0WLja4iipiDl1oLPQ7ZMYlmZ5fsaqK/3i0UvM3jfc5s0ZlaXKnxlWUFg34Cgji3&#10;uuJCweF78z4B4QOyxtoyKbiRh8X89WWGqbYtf9F1HwoRQ9inqKAMwaVS+rwkg75vHXHkjrYxGCJs&#10;CqkbbGO4qeUwST6kwYpjQ4mOViXl5/3FKPhds8s2rcyP95XbnbJJvb0cfpTqvXXLKYhAXXiK/92Z&#10;jvM/x6Mx/L0Tb5DzBwAAAP//AwBQSwECLQAUAAYACAAAACEA2+H2y+4AAACFAQAAEwAAAAAAAAAA&#10;AAAAAAAAAAAAW0NvbnRlbnRfVHlwZXNdLnhtbFBLAQItABQABgAIAAAAIQBa9CxbvwAAABUBAAAL&#10;AAAAAAAAAAAAAAAAAB8BAABfcmVscy8ucmVsc1BLAQItABQABgAIAAAAIQAhazF2xQAAAN4AAAAP&#10;AAAAAAAAAAAAAAAAAAcCAABkcnMvZG93bnJldi54bWxQSwUGAAAAAAMAAwC3AAAA+QIAAAAA&#10;" filled="f" stroked="f">
                  <v:textbox inset="0,0,0,0">
                    <w:txbxContent>
                      <w:p w14:paraId="44F6B362" w14:textId="77777777" w:rsidR="00B32EF2" w:rsidRDefault="00000000">
                        <w:r>
                          <w:rPr>
                            <w:rFonts w:ascii="Arial" w:eastAsia="Arial" w:hAnsi="Arial" w:cs="Arial"/>
                            <w:sz w:val="18"/>
                          </w:rPr>
                          <w:t xml:space="preserve">no essere tutti parte nello stesso processo e la controversia non può essere </w:t>
                        </w:r>
                      </w:p>
                    </w:txbxContent>
                  </v:textbox>
                </v:rect>
                <v:rect id="Rectangle 19546" o:spid="_x0000_s4576" style="position:absolute;left:14113;top:27896;width:258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a8BxQAAAN4AAAAPAAAAZHJzL2Rvd25yZXYueG1sRE9Na8JA&#10;EL0X+h+WKXirG0XFRlcRRcyhl1oLPQ7ZMYlmZ5fsaqK/3i0UvM3jfc582ZlaXKnxlWUFg34Cgji3&#10;uuJCweF7+z4F4QOyxtoyKbiRh+Xi9WWOqbYtf9F1HwoRQ9inqKAMwaVS+rwkg75vHXHkjrYxGCJs&#10;CqkbbGO4qeUwSSbSYMWxoURH65Ly8/5iFPxu2GXbVubH+9p9nrJpvbscfpTqvXWrGYhAXXiK/92Z&#10;jvM/xqMJ/L0Tb5CLBwAAAP//AwBQSwECLQAUAAYACAAAACEA2+H2y+4AAACFAQAAEwAAAAAAAAAA&#10;AAAAAAAAAAAAW0NvbnRlbnRfVHlwZXNdLnhtbFBLAQItABQABgAIAAAAIQBa9CxbvwAAABUBAAAL&#10;AAAAAAAAAAAAAAAAAB8BAABfcmVscy8ucmVsc1BLAQItABQABgAIAAAAIQDRua8BxQAAAN4AAAAP&#10;AAAAAAAAAAAAAAAAAAcCAABkcnMvZG93bnJldi54bWxQSwUGAAAAAAMAAwC3AAAA+QIAAAAA&#10;" filled="f" stroked="f">
                  <v:textbox inset="0,0,0,0">
                    <w:txbxContent>
                      <w:p w14:paraId="5C994FE4" w14:textId="77777777" w:rsidR="00B32EF2" w:rsidRDefault="00000000">
                        <w:r>
                          <w:rPr>
                            <w:rFonts w:ascii="Arial" w:eastAsia="Arial" w:hAnsi="Arial" w:cs="Arial"/>
                            <w:sz w:val="18"/>
                          </w:rPr>
                          <w:t>decisa limitatamente ad alcuni di essi.</w:t>
                        </w:r>
                      </w:p>
                    </w:txbxContent>
                  </v:textbox>
                </v:rect>
                <v:rect id="Rectangle 201425" o:spid="_x0000_s4577" style="position:absolute;left:26109;top:2666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kvyAAAAN8AAAAPAAAAZHJzL2Rvd25yZXYueG1sRI9Pa8JA&#10;FMTvgt9heYI33RhqkdRVRJHm0Ev9Az0+ss8kbfbtkl1N7Kd3CwWPw8z8hlmue9OIG7W+tqxgNk1A&#10;EBdW11wqOB33kwUIH5A1NpZJwZ08rFfDwRIzbTv+pNshlCJC2GeooArBZVL6oiKDfmodcfQutjUY&#10;omxLqVvsItw0Mk2SV2mw5rhQoaNtRcXP4WoUfO3Y5ftOFpffrfv4zhfN+/V0Vmo86jdvIAL14Rn+&#10;b+daQZrMXtI5/P2JX0CuHgAAAP//AwBQSwECLQAUAAYACAAAACEA2+H2y+4AAACFAQAAEwAAAAAA&#10;AAAAAAAAAAAAAAAAW0NvbnRlbnRfVHlwZXNdLnhtbFBLAQItABQABgAIAAAAIQBa9CxbvwAAABUB&#10;AAALAAAAAAAAAAAAAAAAAB8BAABfcmVscy8ucmVsc1BLAQItABQABgAIAAAAIQD3+GkvyAAAAN8A&#10;AAAPAAAAAAAAAAAAAAAAAAcCAABkcnMvZG93bnJldi54bWxQSwUGAAAAAAMAAwC3AAAA/AIAAAAA&#10;" filled="f" stroked="f">
                  <v:textbox inset="0,0,0,0">
                    <w:txbxContent>
                      <w:p w14:paraId="49CFD4F1" w14:textId="77777777" w:rsidR="00B32EF2" w:rsidRDefault="00000000">
                        <w:r>
                          <w:rPr>
                            <w:rFonts w:ascii="Arial" w:eastAsia="Arial" w:hAnsi="Arial" w:cs="Arial"/>
                            <w:sz w:val="18"/>
                          </w:rPr>
                          <w:t>2</w:t>
                        </w:r>
                      </w:p>
                    </w:txbxContent>
                  </v:textbox>
                </v:rect>
                <v:rect id="Rectangle 201426" o:spid="_x0000_s4578" style="position:absolute;left:-13818;top:2666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vdYyAAAAN8AAAAPAAAAZHJzL2Rvd25yZXYueG1sRI9Pa8JA&#10;FMTvBb/D8oTe6sZQRKIbEUWaQy+1Ch4f2Zc/mn27ZFeT9tN3C4Ueh5n5DbPejKYTD+p9a1nBfJaA&#10;IC6tbrlWcPo8vCxB+ICssbNMCr7IwyafPK0x03bgD3ocQy0ihH2GCpoQXCalLxsy6GfWEUevsr3B&#10;EGVfS93jEOGmk2mSLKTBluNCg452DZW3490ouOzZFYdBltX3zr1fi2X3dj+dlXqejtsViEBj+A//&#10;tQutIE3mr+kCfv/ELyDzHwAAAP//AwBQSwECLQAUAAYACAAAACEA2+H2y+4AAACFAQAAEwAAAAAA&#10;AAAAAAAAAAAAAAAAW0NvbnRlbnRfVHlwZXNdLnhtbFBLAQItABQABgAIAAAAIQBa9CxbvwAAABUB&#10;AAALAAAAAAAAAAAAAAAAAB8BAABfcmVscy8ucmVsc1BLAQItABQABgAIAAAAIQAHKvdYyAAAAN8A&#10;AAAPAAAAAAAAAAAAAAAAAAcCAABkcnMvZG93bnJldi54bWxQSwUGAAAAAAMAAwC3AAAA/AIAAAAA&#10;" filled="f" stroked="f">
                  <v:textbox inset="0,0,0,0">
                    <w:txbxContent>
                      <w:p w14:paraId="4ED9B8A1" w14:textId="77777777" w:rsidR="00B32EF2" w:rsidRDefault="00000000">
                        <w:r>
                          <w:rPr>
                            <w:rFonts w:ascii="Arial" w:eastAsia="Arial" w:hAnsi="Arial" w:cs="Arial"/>
                            <w:sz w:val="18"/>
                          </w:rPr>
                          <w:t xml:space="preserve">. Se il ricorso non è stato proposto da o nei confronti di tutti i soggetti indicati </w:t>
                        </w:r>
                      </w:p>
                    </w:txbxContent>
                  </v:textbox>
                </v:rect>
                <v:rect id="Rectangle 19548" o:spid="_x0000_s4579" style="position:absolute;left:-12210;top:25429;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p7oyAAAAN4AAAAPAAAAZHJzL2Rvd25yZXYueG1sRI9Pb8Iw&#10;DMXvk/YdIk/iNtJN28Q6ApqYED1wGX+kHa3GtN0aJ2oC7fj0+IDEzdZ7fu/n6XxwrTpRFxvPBp7G&#10;GSji0tuGKwO77fJxAiomZIutZzLwTxHms/u7KebW9/xNp02qlIRwzNFAnVLItY5lTQ7j2Adi0Q6+&#10;c5hk7SptO+wl3LX6OcvetMOGpaHGQIuayr/N0Rn4+eJQLHtdHs6LsP4tJu3quNsbM3oYPj9AJRrS&#10;zXy9Lqzgv7++CK+8IzPo2QUAAP//AwBQSwECLQAUAAYACAAAACEA2+H2y+4AAACFAQAAEwAAAAAA&#10;AAAAAAAAAAAAAAAAW0NvbnRlbnRfVHlwZXNdLnhtbFBLAQItABQABgAIAAAAIQBa9CxbvwAAABUB&#10;AAALAAAAAAAAAAAAAAAAAB8BAABfcmVscy8ucmVsc1BLAQItABQABgAIAAAAIQDPap7oyAAAAN4A&#10;AAAPAAAAAAAAAAAAAAAAAAcCAABkcnMvZG93bnJldi54bWxQSwUGAAAAAAMAAwC3AAAA/AIAAAAA&#10;" filled="f" stroked="f">
                  <v:textbox inset="0,0,0,0">
                    <w:txbxContent>
                      <w:p w14:paraId="639E647A" w14:textId="77777777" w:rsidR="00B32EF2" w:rsidRDefault="00000000">
                        <w:r>
                          <w:rPr>
                            <w:rFonts w:ascii="Arial" w:eastAsia="Arial" w:hAnsi="Arial" w:cs="Arial"/>
                            <w:sz w:val="18"/>
                          </w:rPr>
                          <w:t>nel comma 1 è ordinata l’integrazione del contraddittorio mediante la loro chia</w:t>
                        </w:r>
                      </w:p>
                    </w:txbxContent>
                  </v:textbox>
                </v:rect>
                <v:rect id="Rectangle 19549" o:spid="_x0000_s4580" style="position:absolute;left:191;top:2542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jtzxQAAAN4AAAAPAAAAZHJzL2Rvd25yZXYueG1sRE9La8JA&#10;EL4X/A/LCN7qxmJFo6uIRZpDL/UBHofsmESzs0t2NWl/fbcgeJuP7zmLVWdqcafGV5YVjIYJCOLc&#10;6ooLBYf99nUKwgdkjbVlUvBDHlbL3ssCU21b/qb7LhQihrBPUUEZgkul9HlJBv3QOuLInW1jMETY&#10;FFI32MZwU8u3JJlIgxXHhhIdbUrKr7ubUXD6YJdtW5mffzfu65JN68/b4ajUoN+t5yACdeEpfrgz&#10;HefP3scz+H8n3iCXfwAAAP//AwBQSwECLQAUAAYACAAAACEA2+H2y+4AAACFAQAAEwAAAAAAAAAA&#10;AAAAAAAAAAAAW0NvbnRlbnRfVHlwZXNdLnhtbFBLAQItABQABgAIAAAAIQBa9CxbvwAAABUBAAAL&#10;AAAAAAAAAAAAAAAAAB8BAABfcmVscy8ucmVsc1BLAQItABQABgAIAAAAIQCgJjtzxQAAAN4AAAAP&#10;AAAAAAAAAAAAAAAAAAcCAABkcnMvZG93bnJldi54bWxQSwUGAAAAAAMAAwC3AAAA+QIAAAAA&#10;" filled="f" stroked="f">
                  <v:textbox inset="0,0,0,0">
                    <w:txbxContent>
                      <w:p w14:paraId="5B142CBC" w14:textId="77777777" w:rsidR="00B32EF2" w:rsidRDefault="00000000">
                        <w:r>
                          <w:rPr>
                            <w:rFonts w:ascii="Arial" w:eastAsia="Arial" w:hAnsi="Arial" w:cs="Arial"/>
                            <w:sz w:val="18"/>
                          </w:rPr>
                          <w:t>-</w:t>
                        </w:r>
                      </w:p>
                    </w:txbxContent>
                  </v:textbox>
                </v:rect>
                <v:rect id="Rectangle 19550" o:spid="_x0000_s4581" style="position:absolute;left:-2011;top:24196;width:419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QQzyAAAAN4AAAAPAAAAZHJzL2Rvd25yZXYueG1sRI9Pa8JA&#10;EMXvhX6HZQq91Y0Fi01dRSzSHHrxT6HHITsmabOzS3Y10U/vHARvM8yb995vthhcq07UxcazgfEo&#10;A0VcettwZWC/W79MQcWEbLH1TAbOFGExf3yYYW59zxs6bVOlxIRjjgbqlEKudSxrchhHPhDL7eA7&#10;h0nWrtK2w17MXatfs+xNO2xYEmoMtKqp/N8enYHfTw7Futfl4bIK33/FtP067n+MeX4alh+gEg3p&#10;Lr59F1bqv08mAiA4MoOeXwEAAP//AwBQSwECLQAUAAYACAAAACEA2+H2y+4AAACFAQAAEwAAAAAA&#10;AAAAAAAAAAAAAAAAW0NvbnRlbnRfVHlwZXNdLnhtbFBLAQItABQABgAIAAAAIQBa9CxbvwAAABUB&#10;AAALAAAAAAAAAAAAAAAAAB8BAABfcmVscy8ucmVsc1BLAQItABQABgAIAAAAIQC0xQQzyAAAAN4A&#10;AAAPAAAAAAAAAAAAAAAAAAcCAABkcnMvZG93bnJldi54bWxQSwUGAAAAAAMAAwC3AAAA/AIAAAAA&#10;" filled="f" stroked="f">
                  <v:textbox inset="0,0,0,0">
                    <w:txbxContent>
                      <w:p w14:paraId="4AA010DA" w14:textId="77777777" w:rsidR="00B32EF2" w:rsidRDefault="00000000">
                        <w:r>
                          <w:rPr>
                            <w:rFonts w:ascii="Arial" w:eastAsia="Arial" w:hAnsi="Arial" w:cs="Arial"/>
                            <w:sz w:val="18"/>
                          </w:rPr>
                          <w:t>mata in causa entro un termine stabilito a pena di decadenza.</w:t>
                        </w:r>
                      </w:p>
                    </w:txbxContent>
                  </v:textbox>
                </v:rect>
                <v:rect id="Rectangle 201424" o:spid="_x0000_s4582" style="position:absolute;left:-13817;top:2296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My0yAAAAN8AAAAPAAAAZHJzL2Rvd25yZXYueG1sRI9La8Mw&#10;EITvhfwHsYXeGjkmlOBEDiUh1IdemgfkuFjrR2uthKXEbn59VCjkOMzMN8xqPZpOXKn3rWUFs2kC&#10;gri0uuVawfGwe12A8AFZY2eZFPySh3U+eVphpu3AX3Tdh1pECPsMFTQhuExKXzZk0E+tI45eZXuD&#10;Icq+lrrHIcJNJ9MkeZMGW44LDTraNFT+7C9GwXnLrtgNsqxuG/f5XSy6j8vxpNTL8/i+BBFoDI/w&#10;f7vQCtJkNk/n8PcnfgGZ3wEAAP//AwBQSwECLQAUAAYACAAAACEA2+H2y+4AAACFAQAAEwAAAAAA&#10;AAAAAAAAAAAAAAAAW0NvbnRlbnRfVHlwZXNdLnhtbFBLAQItABQABgAIAAAAIQBa9CxbvwAAABUB&#10;AAALAAAAAAAAAAAAAAAAAB8BAABfcmVscy8ucmVsc1BLAQItABQABgAIAAAAIQCYtMy0yAAAAN8A&#10;AAAPAAAAAAAAAAAAAAAAAAcCAABkcnMvZG93bnJldi54bWxQSwUGAAAAAAMAAwC3AAAA/AIAAAAA&#10;" filled="f" stroked="f">
                  <v:textbox inset="0,0,0,0">
                    <w:txbxContent>
                      <w:p w14:paraId="71E2F425" w14:textId="77777777" w:rsidR="00B32EF2" w:rsidRDefault="00000000">
                        <w:r>
                          <w:rPr>
                            <w:rFonts w:ascii="Arial" w:eastAsia="Arial" w:hAnsi="Arial" w:cs="Arial"/>
                            <w:sz w:val="18"/>
                          </w:rPr>
                          <w:t xml:space="preserve">. Possono intervenire volontariamente o essere chiamati in giudizio i soggetti </w:t>
                        </w:r>
                      </w:p>
                    </w:txbxContent>
                  </v:textbox>
                </v:rect>
                <v:rect id="Rectangle 201423" o:spid="_x0000_s4583" style="position:absolute;left:26109;top:2296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VTAyAAAAN8AAAAPAAAAZHJzL2Rvd25yZXYueG1sRI9Pa8JA&#10;FMTvgt9heYI33ZhKkdRVRJHm0Ev9Az0+ss8kbfbtkl1N7Kd3CwWPw8z8hlmue9OIG7W+tqxgNk1A&#10;EBdW11wqOB33kwUIH5A1NpZJwZ08rFfDwRIzbTv+pNshlCJC2GeooArBZVL6oiKDfmodcfQutjUY&#10;omxLqVvsItw0Mk2SV2mw5rhQoaNtRcXP4WoUfO3Y5ftOFpffrfv4zhfN+/V0Vmo86jdvIAL14Rn+&#10;b+daQZrM5ukL/P2JX0CuHgAAAP//AwBQSwECLQAUAAYACAAAACEA2+H2y+4AAACFAQAAEwAAAAAA&#10;AAAAAAAAAAAAAAAAW0NvbnRlbnRfVHlwZXNdLnhtbFBLAQItABQABgAIAAAAIQBa9CxbvwAAABUB&#10;AAALAAAAAAAAAAAAAAAAAB8BAABfcmVscy8ucmVsc1BLAQItABQABgAIAAAAIQAXXVTAyAAAAN8A&#10;AAAPAAAAAAAAAAAAAAAAAAcCAABkcnMvZG93bnJldi54bWxQSwUGAAAAAAMAAwC3AAAA/AIAAAAA&#10;" filled="f" stroked="f">
                  <v:textbox inset="0,0,0,0">
                    <w:txbxContent>
                      <w:p w14:paraId="326751E7" w14:textId="77777777" w:rsidR="00B32EF2" w:rsidRDefault="00000000">
                        <w:r>
                          <w:rPr>
                            <w:rFonts w:ascii="Arial" w:eastAsia="Arial" w:hAnsi="Arial" w:cs="Arial"/>
                            <w:sz w:val="18"/>
                          </w:rPr>
                          <w:t>3</w:t>
                        </w:r>
                      </w:p>
                    </w:txbxContent>
                  </v:textbox>
                </v:rect>
                <v:rect id="Rectangle 19552" o:spid="_x0000_s4584" style="position:absolute;left:-12189;top:21729;width:521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fxAAAAN4AAAAPAAAAZHJzL2Rvd25yZXYueG1sRE9Ni8Iw&#10;EL0v+B/CCN40VXBxu0YRRezBy6oLexyasa02k9BEW/31mwVhb/N4nzNfdqYWd2p8ZVnBeJSAIM6t&#10;rrhQcDpuhzMQPiBrrC2Tggd5WC56b3NMtW35i+6HUIgYwj5FBWUILpXS5yUZ9CPriCN3to3BEGFT&#10;SN1gG8NNLSdJ8i4NVhwbSnS0Lim/Hm5Gwc+GXbZtZX5+rt3+ks3q3e30rdSg360+QQTqwr/45c50&#10;nP8xnU7g7514g1z8AgAA//8DAFBLAQItABQABgAIAAAAIQDb4fbL7gAAAIUBAAATAAAAAAAAAAAA&#10;AAAAAAAAAABbQ29udGVudF9UeXBlc10ueG1sUEsBAi0AFAAGAAgAAAAhAFr0LFu/AAAAFQEAAAsA&#10;AAAAAAAAAAAAAAAAHwEAAF9yZWxzLy5yZWxzUEsBAi0AFAAGAAgAAAAhACtbP9/EAAAA3gAAAA8A&#10;AAAAAAAAAAAAAAAABwIAAGRycy9kb3ducmV2LnhtbFBLBQYAAAAAAwADALcAAAD4AgAAAAA=&#10;" filled="f" stroked="f">
                  <v:textbox inset="0,0,0,0">
                    <w:txbxContent>
                      <w:p w14:paraId="4E516B6B" w14:textId="77777777" w:rsidR="00B32EF2" w:rsidRDefault="00000000">
                        <w:r>
                          <w:rPr>
                            <w:rFonts w:ascii="Arial" w:eastAsia="Arial" w:hAnsi="Arial" w:cs="Arial"/>
                            <w:sz w:val="18"/>
                          </w:rPr>
                          <w:t>che, insieme al ricorrente, sono destinatari dell’atto impugnato o parti del rap</w:t>
                        </w:r>
                      </w:p>
                    </w:txbxContent>
                  </v:textbox>
                </v:rect>
                <v:rect id="Rectangle 19553" o:spid="_x0000_s4585" style="position:absolute;left:191;top:2172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5pExQAAAN4AAAAPAAAAZHJzL2Rvd25yZXYueG1sRE9Na8JA&#10;EL0X+h+WKXirGxWLja4iipiDl1oLPQ7ZMYlmZ5fsaqK/3i0UvM3jfc5s0ZlaXKnxlWUFg34Cgji3&#10;uuJCweF78z4B4QOyxtoyKbiRh8X89WWGqbYtf9F1HwoRQ9inqKAMwaVS+rwkg75vHXHkjrYxGCJs&#10;CqkbbGO4qeUwST6kwYpjQ4mOViXl5/3FKPhds8s2rcyP95XbnbJJvb0cfpTqvXXLKYhAXXiK/92Z&#10;jvM/x+MR/L0Tb5DzBwAAAP//AwBQSwECLQAUAAYACAAAACEA2+H2y+4AAACFAQAAEwAAAAAAAAAA&#10;AAAAAAAAAAAAW0NvbnRlbnRfVHlwZXNdLnhtbFBLAQItABQABgAIAAAAIQBa9CxbvwAAABUBAAAL&#10;AAAAAAAAAAAAAAAAAB8BAABfcmVscy8ucmVsc1BLAQItABQABgAIAAAAIQBEF5pExQAAAN4AAAAP&#10;AAAAAAAAAAAAAAAAAAcCAABkcnMvZG93bnJldi54bWxQSwUGAAAAAAMAAwC3AAAA+QIAAAAA&#10;" filled="f" stroked="f">
                  <v:textbox inset="0,0,0,0">
                    <w:txbxContent>
                      <w:p w14:paraId="2D15952E" w14:textId="77777777" w:rsidR="00B32EF2" w:rsidRDefault="00000000">
                        <w:r>
                          <w:rPr>
                            <w:rFonts w:ascii="Arial" w:eastAsia="Arial" w:hAnsi="Arial" w:cs="Arial"/>
                            <w:sz w:val="18"/>
                          </w:rPr>
                          <w:t>-</w:t>
                        </w:r>
                      </w:p>
                    </w:txbxContent>
                  </v:textbox>
                </v:rect>
                <v:rect id="Rectangle 19554" o:spid="_x0000_s4586" style="position:absolute;left:20990;top:20496;width:189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wxQAAAN4AAAAPAAAAZHJzL2Rvd25yZXYueG1sRE9Na8JA&#10;EL0X+h+WKXirG0WLja4iipiDl1oLPQ7ZMYlmZ5fsaqK/3i0UvM3jfc5s0ZlaXKnxlWUFg34Cgji3&#10;uuJCweF78z4B4QOyxtoyKbiRh8X89WWGqbYtf9F1HwoRQ9inqKAMwaVS+rwkg75vHXHkjrYxGCJs&#10;CqkbbGO4qeUwST6kwYpjQ4mOViXl5/3FKPhds8s2rcyP95XbnbJJvb0cfpTqvXXLKYhAXXiK/92Z&#10;jvM/x+MR/L0Tb5DzBwAAAP//AwBQSwECLQAUAAYACAAAACEA2+H2y+4AAACFAQAAEwAAAAAAAAAA&#10;AAAAAAAAAAAAW0NvbnRlbnRfVHlwZXNdLnhtbFBLAQItABQABgAIAAAAIQBa9CxbvwAAABUBAAAL&#10;AAAAAAAAAAAAAAAAAB8BAABfcmVscy8ucmVsc1BLAQItABQABgAIAAAAIQDL/gIwxQAAAN4AAAAP&#10;AAAAAAAAAAAAAAAAAAcCAABkcnMvZG93bnJldi54bWxQSwUGAAAAAAMAAwC3AAAA+QIAAAAA&#10;" filled="f" stroked="f">
                  <v:textbox inset="0,0,0,0">
                    <w:txbxContent>
                      <w:p w14:paraId="5B7E438C" w14:textId="77777777" w:rsidR="00B32EF2" w:rsidRDefault="00000000">
                        <w:r>
                          <w:rPr>
                            <w:rFonts w:ascii="Arial" w:eastAsia="Arial" w:hAnsi="Arial" w:cs="Arial"/>
                            <w:sz w:val="18"/>
                          </w:rPr>
                          <w:t>porto tributario controverso.</w:t>
                        </w:r>
                      </w:p>
                    </w:txbxContent>
                  </v:textbox>
                </v:rect>
                <v:rect id="Rectangle 201422" o:spid="_x0000_s4587" style="position:absolute;left:-13804;top:1926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fFbxwAAAN8AAAAPAAAAZHJzL2Rvd25yZXYueG1sRI9Ba8JA&#10;FITvgv9heYI33RikSHQVUcQcvNRa6PGRfSbR7Nslu5rYX98tFHocZuYbZrXpTSOe1PrasoLZNAFB&#10;XFhdc6ng8nGYLED4gKyxsUwKXuRhsx4OVphp2/E7Pc+hFBHCPkMFVQguk9IXFRn0U+uIo3e1rcEQ&#10;ZVtK3WIX4aaRaZK8SYM1x4UKHe0qKu7nh1HwtWeXHzpZXL937nTLF83xcflUajzqt0sQgfrwH/5r&#10;51pBmszmaQq/f+IXkOsfAAAA//8DAFBLAQItABQABgAIAAAAIQDb4fbL7gAAAIUBAAATAAAAAAAA&#10;AAAAAAAAAAAAAABbQ29udGVudF9UeXBlc10ueG1sUEsBAi0AFAAGAAgAAAAhAFr0LFu/AAAAFQEA&#10;AAsAAAAAAAAAAAAAAAAAHwEAAF9yZWxzLy5yZWxzUEsBAi0AFAAGAAgAAAAhAHgR8VvHAAAA3wAA&#10;AA8AAAAAAAAAAAAAAAAABwIAAGRycy9kb3ducmV2LnhtbFBLBQYAAAAAAwADALcAAAD7AgAAAAA=&#10;" filled="f" stroked="f">
                  <v:textbox inset="0,0,0,0">
                    <w:txbxContent>
                      <w:p w14:paraId="05FC29C8" w14:textId="77777777" w:rsidR="00B32EF2" w:rsidRDefault="00000000">
                        <w:r>
                          <w:rPr>
                            <w:rFonts w:ascii="Arial" w:eastAsia="Arial" w:hAnsi="Arial" w:cs="Arial"/>
                            <w:sz w:val="18"/>
                          </w:rPr>
                          <w:t xml:space="preserve">. Le parti chiamate si costituiscono in giudizio nelle forme prescritte per la </w:t>
                        </w:r>
                      </w:p>
                    </w:txbxContent>
                  </v:textbox>
                </v:rect>
                <v:rect id="Rectangle 201421" o:spid="_x0000_s4588" style="position:absolute;left:26109;top:1926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28sxwAAAN8AAAAPAAAAZHJzL2Rvd25yZXYueG1sRI9Ba8JA&#10;FITvQv/D8gredJMgIqmriCLm4EVrocdH9pmkZt8u2dXE/vpuodDjMDPfMMv1YFrxoM43lhWk0wQE&#10;cWl1w5WCy/t+sgDhA7LG1jIpeJKH9epltMRc255P9DiHSkQI+xwV1CG4XEpf1mTQT60jjt7VdgZD&#10;lF0ldYd9hJtWZkkylwYbjgs1OtrWVN7Od6Pgc8eu2PeyvH5v3fGrWLSH++VDqfHrsHkDEWgI/+G/&#10;dqEVZEk6y1L4/RO/gFz9AAAA//8DAFBLAQItABQABgAIAAAAIQDb4fbL7gAAAIUBAAATAAAAAAAA&#10;AAAAAAAAAAAAAABbQ29udGVudF9UeXBlc10ueG1sUEsBAi0AFAAGAAgAAAAhAFr0LFu/AAAAFQEA&#10;AAsAAAAAAAAAAAAAAAAAHwEAAF9yZWxzLy5yZWxzUEsBAi0AFAAGAAgAAAAhAIjDbyzHAAAA3wAA&#10;AA8AAAAAAAAAAAAAAAAABwIAAGRycy9kb3ducmV2LnhtbFBLBQYAAAAAAwADALcAAAD7AgAAAAA=&#10;" filled="f" stroked="f">
                  <v:textbox inset="0,0,0,0">
                    <w:txbxContent>
                      <w:p w14:paraId="43923491" w14:textId="77777777" w:rsidR="00B32EF2" w:rsidRDefault="00000000">
                        <w:r>
                          <w:rPr>
                            <w:rFonts w:ascii="Arial" w:eastAsia="Arial" w:hAnsi="Arial" w:cs="Arial"/>
                            <w:sz w:val="18"/>
                          </w:rPr>
                          <w:t>4</w:t>
                        </w:r>
                      </w:p>
                    </w:txbxContent>
                  </v:textbox>
                </v:rect>
                <v:rect id="Rectangle 19556" o:spid="_x0000_s4589" style="position:absolute;left:14549;top:18030;width:2536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DncxAAAAN4AAAAPAAAAZHJzL2Rvd25yZXYueG1sRE9Li8Iw&#10;EL4v+B/CCN7WdBcUrUZZXMQe9uILPA7N2FabSWiirf76jbCwt/n4njNfdqYWd2p8ZVnBxzABQZxb&#10;XXGh4LBfv09A+ICssbZMCh7kYbnovc0x1bblLd13oRAxhH2KCsoQXCqlz0sy6IfWEUfubBuDIcKm&#10;kLrBNoabWn4myVgarDg2lOhoVVJ+3d2MgtM3u2zdyvz8XLmfSzapN7fDUalBv/uagQjUhX/xnzvT&#10;cf50NBrD6514g1z8AgAA//8DAFBLAQItABQABgAIAAAAIQDb4fbL7gAAAIUBAAATAAAAAAAAAAAA&#10;AAAAAAAAAABbQ29udGVudF9UeXBlc10ueG1sUEsBAi0AFAAGAAgAAAAhAFr0LFu/AAAAFQEAAAsA&#10;AAAAAAAAAAAAAAAAHwEAAF9yZWxzLy5yZWxzUEsBAi0AFAAGAAgAAAAhAFRgOdzEAAAA3gAAAA8A&#10;AAAAAAAAAAAAAAAABwIAAGRycy9kb3ducmV2LnhtbFBLBQYAAAAAAwADALcAAAD4AgAAAAA=&#10;" filled="f" stroked="f">
                  <v:textbox inset="0,0,0,0">
                    <w:txbxContent>
                      <w:p w14:paraId="6289951D" w14:textId="77777777" w:rsidR="00B32EF2" w:rsidRDefault="00000000">
                        <w:r>
                          <w:rPr>
                            <w:rFonts w:ascii="Arial" w:eastAsia="Arial" w:hAnsi="Arial" w:cs="Arial"/>
                            <w:sz w:val="18"/>
                          </w:rPr>
                          <w:t>parte resistente, in quanto applicabili.</w:t>
                        </w:r>
                      </w:p>
                    </w:txbxContent>
                  </v:textbox>
                </v:rect>
                <v:rect id="Rectangle 201419" o:spid="_x0000_s4590" style="position:absolute;left:26109;top:1679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amXyAAAAN8AAAAPAAAAZHJzL2Rvd25yZXYueG1sRI9Pa8JA&#10;FMTvBb/D8gRvuokUsamriCLNoRf/FHp8ZJ9J2uzbJbua2E/vCkKPw8z8hlmsetOIK7W+tqwgnSQg&#10;iAuray4VnI678RyED8gaG8uk4EYeVsvBywIzbTve0/UQShEh7DNUUIXgMil9UZFBP7GOOHpn2xoM&#10;Ubal1C12EW4aOU2SmTRYc1yo0NGmouL3cDEKvrfs8l0ni/Pfxn3+5PPm43L6Umo07NfvIAL14T/8&#10;bOdawTRJX9M3ePyJX0Au7wAAAP//AwBQSwECLQAUAAYACAAAACEA2+H2y+4AAACFAQAAEwAAAAAA&#10;AAAAAAAAAAAAAAAAW0NvbnRlbnRfVHlwZXNdLnhtbFBLAQItABQABgAIAAAAIQBa9CxbvwAAABUB&#10;AAALAAAAAAAAAAAAAAAAAB8BAABfcmVscy8ucmVsc1BLAQItABQABgAIAAAAIQC42amXyAAAAN8A&#10;AAAPAAAAAAAAAAAAAAAAAAcCAABkcnMvZG93bnJldi54bWxQSwUGAAAAAAMAAwC3AAAA/AIAAAAA&#10;" filled="f" stroked="f">
                  <v:textbox inset="0,0,0,0">
                    <w:txbxContent>
                      <w:p w14:paraId="1EE940B5" w14:textId="77777777" w:rsidR="00B32EF2" w:rsidRDefault="00000000">
                        <w:r>
                          <w:rPr>
                            <w:rFonts w:ascii="Arial" w:eastAsia="Arial" w:hAnsi="Arial" w:cs="Arial"/>
                            <w:sz w:val="18"/>
                          </w:rPr>
                          <w:t>5</w:t>
                        </w:r>
                      </w:p>
                    </w:txbxContent>
                  </v:textbox>
                </v:rect>
                <v:rect id="Rectangle 201420" o:spid="_x0000_s4591" style="position:absolute;left:-13816;top:1679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8q3xQAAAN8AAAAPAAAAZHJzL2Rvd25yZXYueG1sRI/LisIw&#10;FIb3A75DOIK7MbUMg1SjiCLTxWy8gctDc2yrzUlooq3z9GYx4PLnv/HNl71pxINaX1tWMBknIIgL&#10;q2suFRwP288pCB+QNTaWScGTPCwXg485Ztp2vKPHPpQijrDPUEEVgsuk9EVFBv3YOuLoXWxrMETZ&#10;llK32MVx08g0Sb6lwZrjQ4WO1hUVt/3dKDhv2OXbThaXv7X7vebT5ud+PCk1GvarGYhAfXiH/9u5&#10;VpAmk680EkSeyAJy8QIAAP//AwBQSwECLQAUAAYACAAAACEA2+H2y+4AAACFAQAAEwAAAAAAAAAA&#10;AAAAAAAAAAAAW0NvbnRlbnRfVHlwZXNdLnhtbFBLAQItABQABgAIAAAAIQBa9CxbvwAAABUBAAAL&#10;AAAAAAAAAAAAAAAAAB8BAABfcmVscy8ucmVsc1BLAQItABQABgAIAAAAIQDnj8q3xQAAAN8AAAAP&#10;AAAAAAAAAAAAAAAAAAcCAABkcnMvZG93bnJldi54bWxQSwUGAAAAAAMAAwC3AAAA+QIAAAAA&#10;" filled="f" stroked="f">
                  <v:textbox inset="0,0,0,0">
                    <w:txbxContent>
                      <w:p w14:paraId="1BE668BD" w14:textId="77777777" w:rsidR="00B32EF2" w:rsidRDefault="00000000">
                        <w:r>
                          <w:rPr>
                            <w:rFonts w:ascii="Arial" w:eastAsia="Arial" w:hAnsi="Arial" w:cs="Arial"/>
                            <w:sz w:val="18"/>
                          </w:rPr>
                          <w:t xml:space="preserve">. I soggetti indicati nei commi 1 e 3 intervengono nel processo notificando </w:t>
                        </w:r>
                      </w:p>
                    </w:txbxContent>
                  </v:textbox>
                </v:rect>
                <v:rect id="Rectangle 19558" o:spid="_x0000_s4592" style="position:absolute;left:-10240;top:15563;width:501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g1yAAAAN4AAAAPAAAAZHJzL2Rvd25yZXYueG1sRI9Pa8JA&#10;EMXvhX6HZQq91Y0Fi01dRSzSHHrxT6HHITsmabOzS3Y10U/vHARvM7w37/1mthhcq07UxcazgfEo&#10;A0VcettwZWC/W79MQcWEbLH1TAbOFGExf3yYYW59zxs6bVOlJIRjjgbqlEKudSxrchhHPhCLdvCd&#10;wyRrV2nbYS/hrtWvWfamHTYsDTUGWtVU/m+PzsDvJ4di3evycFmF779i2n4d9z/GPD8Nyw9QiYZ0&#10;N9+uCyv475OJ8Mo7MoOeXwEAAP//AwBQSwECLQAUAAYACAAAACEA2+H2y+4AAACFAQAAEwAAAAAA&#10;AAAAAAAAAAAAAAAAW0NvbnRlbnRfVHlwZXNdLnhtbFBLAQItABQABgAIAAAAIQBa9CxbvwAAABUB&#10;AAALAAAAAAAAAAAAAAAAAB8BAABfcmVscy8ucmVsc1BLAQItABQABgAIAAAAIQBKswg1yAAAAN4A&#10;AAAPAAAAAAAAAAAAAAAAAAcCAABkcnMvZG93bnJldi54bWxQSwUGAAAAAAMAAwC3AAAA/AIAAAAA&#10;" filled="f" stroked="f">
                  <v:textbox inset="0,0,0,0">
                    <w:txbxContent>
                      <w:p w14:paraId="29C96F2F" w14:textId="77777777" w:rsidR="00B32EF2" w:rsidRDefault="00000000">
                        <w:r>
                          <w:rPr>
                            <w:rFonts w:ascii="Arial" w:eastAsia="Arial" w:hAnsi="Arial" w:cs="Arial"/>
                            <w:sz w:val="18"/>
                          </w:rPr>
                          <w:t>apposito atto a tutte le parti e costituendosi nelle forme di cui al comma 4.</w:t>
                        </w:r>
                      </w:p>
                    </w:txbxContent>
                  </v:textbox>
                </v:rect>
                <v:rect id="Rectangle 201403" o:spid="_x0000_s4593" style="position:absolute;left:26349;top:14330;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AigxwAAAN8AAAAPAAAAZHJzL2Rvd25yZXYueG1sRI9BawIx&#10;FITvhf6H8AreaqKVIlujFIt0D160Fnp8bJ67q5uXsInu6q83QsHjMDPfMLNFbxtxpjbUjjWMhgoE&#10;ceFMzaWG3c/qdQoiRGSDjWPScKEAi/nz0wwz4zre0HkbS5EgHDLUUMXoMylDUZHFMHSeOHl711qM&#10;SbalNC12CW4bOVbqXVqsOS1U6GlZUXHcnqyGvy/2+aqTxf669OtDPm2+T7tfrQcv/ecHiEh9fIT/&#10;27nRMFajiXqD+5/0BeT8BgAA//8DAFBLAQItABQABgAIAAAAIQDb4fbL7gAAAIUBAAATAAAAAAAA&#10;AAAAAAAAAAAAAABbQ29udGVudF9UeXBlc10ueG1sUEsBAi0AFAAGAAgAAAAhAFr0LFu/AAAAFQEA&#10;AAsAAAAAAAAAAAAAAAAAHwEAAF9yZWxzLy5yZWxzUEsBAi0AFAAGAAgAAAAhAFzoCKDHAAAA3wAA&#10;AA8AAAAAAAAAAAAAAAAABwIAAGRycy9kb3ducmV2LnhtbFBLBQYAAAAAAwADALcAAAD7AgAAAAA=&#10;" filled="f" stroked="f">
                  <v:textbox inset="0,0,0,0">
                    <w:txbxContent>
                      <w:p w14:paraId="38520C3D" w14:textId="77777777" w:rsidR="00B32EF2" w:rsidRDefault="00000000">
                        <w:r>
                          <w:rPr>
                            <w:rFonts w:ascii="Arial" w:eastAsia="Arial" w:hAnsi="Arial" w:cs="Arial"/>
                            <w:sz w:val="18"/>
                          </w:rPr>
                          <w:t>6</w:t>
                        </w:r>
                      </w:p>
                    </w:txbxContent>
                  </v:textbox>
                </v:rect>
                <v:rect id="Rectangle 201416" o:spid="_x0000_s4594" style="position:absolute;left:-12845;top:14330;width:521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j3lxwAAAN8AAAAPAAAAZHJzL2Rvd25yZXYueG1sRI9Pi8Iw&#10;FMTvC36H8ARva1pZRLpGEUW2By/rH9jjo3m23W1eQhNt9dNvBMHjMDO/YebL3jTiSq2vLStIxwkI&#10;4sLqmksFx8P2fQbCB2SNjWVScCMPy8XgbY6Zth1/03UfShEh7DNUUIXgMil9UZFBP7aOOHpn2xoM&#10;Ubal1C12EW4aOUmSqTRYc1yo0NG6ouJvfzEKfjbs8m0ni/N97Xa/+az5uhxPSo2G/eoTRKA+vMLP&#10;dq4VTJL0I53C40/8AnLxDwAA//8DAFBLAQItABQABgAIAAAAIQDb4fbL7gAAAIUBAAATAAAAAAAA&#10;AAAAAAAAAAAAAABbQ29udGVudF9UeXBlc10ueG1sUEsBAi0AFAAGAAgAAAAhAFr0LFu/AAAAFQEA&#10;AAsAAAAAAAAAAAAAAAAAHwEAAF9yZWxzLy5yZWxzUEsBAi0AFAAGAAgAAAAhAMlGPeXHAAAA3wAA&#10;AA8AAAAAAAAAAAAAAAAABwIAAGRycy9kb3ducmV2LnhtbFBLBQYAAAAAAwADALcAAAD7AgAAAAA=&#10;" filled="f" stroked="f">
                  <v:textbox inset="0,0,0,0">
                    <w:txbxContent>
                      <w:p w14:paraId="73115A2C" w14:textId="77777777" w:rsidR="00B32EF2" w:rsidRDefault="00000000">
                        <w:r>
                          <w:rPr>
                            <w:rFonts w:ascii="Arial" w:eastAsia="Arial" w:hAnsi="Arial" w:cs="Arial"/>
                            <w:sz w:val="18"/>
                          </w:rPr>
                          <w:t>. Le parti chiamate in causa o intervenute volontariamente non possono im</w:t>
                        </w:r>
                      </w:p>
                    </w:txbxContent>
                  </v:textbox>
                </v:rect>
                <v:rect id="Rectangle 19560" o:spid="_x0000_s4595" style="position:absolute;left:191;top:1433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c6OyAAAAN4AAAAPAAAAZHJzL2Rvd25yZXYueG1sRI9Pa8JA&#10;EMXvgt9hGaE33bRQsamrFIs0h178U+hxyI5J2uzskl1N2k/vHARvM8yb995vuR5cqy7UxcazgcdZ&#10;Boq49LbhysDxsJ0uQMWEbLH1TAb+KMJ6NR4tMbe+5x1d9qlSYsIxRwN1SiHXOpY1OYwzH4jldvKd&#10;wyRrV2nbYS/mrtVPWTbXDhuWhBoDbWoqf/dnZ+D7nUOx7XV5+t+Ez59i0X6cj1/GPEyGt1dQiYZ0&#10;F9++Cyv1X57nAiA4MoNeXQEAAP//AwBQSwECLQAUAAYACAAAACEA2+H2y+4AAACFAQAAEwAAAAAA&#10;AAAAAAAAAAAAAAAAW0NvbnRlbnRfVHlwZXNdLnhtbFBLAQItABQABgAIAAAAIQBa9CxbvwAAABUB&#10;AAALAAAAAAAAAAAAAAAAAB8BAABfcmVscy8ucmVsc1BLAQItABQABgAIAAAAIQB6qc6OyAAAAN4A&#10;AAAPAAAAAAAAAAAAAAAAAAcCAABkcnMvZG93bnJldi54bWxQSwUGAAAAAAMAAwC3AAAA/AIAAAAA&#10;" filled="f" stroked="f">
                  <v:textbox inset="0,0,0,0">
                    <w:txbxContent>
                      <w:p w14:paraId="25FC7A65" w14:textId="77777777" w:rsidR="00B32EF2" w:rsidRDefault="00000000">
                        <w:r>
                          <w:rPr>
                            <w:rFonts w:ascii="Arial" w:eastAsia="Arial" w:hAnsi="Arial" w:cs="Arial"/>
                            <w:sz w:val="18"/>
                          </w:rPr>
                          <w:t>-</w:t>
                        </w:r>
                      </w:p>
                    </w:txbxContent>
                  </v:textbox>
                </v:rect>
                <v:rect id="Rectangle 19561" o:spid="_x0000_s4596" style="position:absolute;left:-13172;top:1309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WsVxAAAAN4AAAAPAAAAZHJzL2Rvd25yZXYueG1sRE9Li8Iw&#10;EL4L+x/CLHhbUxcUrUZZXGR78LI+wOPQjG21mYQm2uqvNwsL3ubje8582Zla3KjxlWUFw0ECgji3&#10;uuJCwX63/piA8AFZY22ZFNzJw3Lx1ptjqm3Lv3TbhkLEEPYpKihDcKmUPi/JoB9YRxy5k20Mhgib&#10;QuoG2xhuavmZJGNpsOLYUKKjVUn5ZXs1Co7f7LJ1K/PTY+U252xS/1z3B6X6793XDESgLrzE/+5M&#10;x/nT0XgIf+/EG+TiCQAA//8DAFBLAQItABQABgAIAAAAIQDb4fbL7gAAAIUBAAATAAAAAAAAAAAA&#10;AAAAAAAAAABbQ29udGVudF9UeXBlc10ueG1sUEsBAi0AFAAGAAgAAAAhAFr0LFu/AAAAFQEAAAsA&#10;AAAAAAAAAAAAAAAAHwEAAF9yZWxzLy5yZWxzUEsBAi0AFAAGAAgAAAAhABXlaxXEAAAA3gAAAA8A&#10;AAAAAAAAAAAAAAAABwIAAGRycy9kb3ducmV2LnhtbFBLBQYAAAAAAwADALcAAAD4AgAAAAA=&#10;" filled="f" stroked="f">
                  <v:textbox inset="0,0,0,0">
                    <w:txbxContent>
                      <w:p w14:paraId="59CB170B" w14:textId="77777777" w:rsidR="00B32EF2" w:rsidRDefault="00000000">
                        <w:r>
                          <w:rPr>
                            <w:rFonts w:ascii="Arial" w:eastAsia="Arial" w:hAnsi="Arial" w:cs="Arial"/>
                            <w:sz w:val="18"/>
                          </w:rPr>
                          <w:t xml:space="preserve">pugnare autonomamente l’atto se per esse al momento della costituzione è già </w:t>
                        </w:r>
                      </w:p>
                    </w:txbxContent>
                  </v:textbox>
                </v:rect>
                <v:rect id="Rectangle 19562" o:spid="_x0000_s4597" style="position:absolute;left:17722;top:11863;width:221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VixAAAAN4AAAAPAAAAZHJzL2Rvd25yZXYueG1sRE9Li8Iw&#10;EL4v+B/CCN7WdAVFq1EWF9ke9uILPA7N2FabSWiirf76jbCwt/n4nrNYdaYWd2p8ZVnBxzABQZxb&#10;XXGh4LDfvE9B+ICssbZMCh7kYbXsvS0w1bblLd13oRAxhH2KCsoQXCqlz0sy6IfWEUfubBuDIcKm&#10;kLrBNoabWo6SZCINVhwbSnS0Lim/7m5GwemLXbZpZX5+rt3PJZvW37fDUalBv/ucgwjUhX/xnzvT&#10;cf5sPBnB6514g1z+AgAA//8DAFBLAQItABQABgAIAAAAIQDb4fbL7gAAAIUBAAATAAAAAAAAAAAA&#10;AAAAAAAAAABbQ29udGVudF9UeXBlc10ueG1sUEsBAi0AFAAGAAgAAAAhAFr0LFu/AAAAFQEAAAsA&#10;AAAAAAAAAAAAAAAAHwEAAF9yZWxzLy5yZWxzUEsBAi0AFAAGAAgAAAAhAOU39WLEAAAA3gAAAA8A&#10;AAAAAAAAAAAAAAAABwIAAGRycy9kb3ducmV2LnhtbFBLBQYAAAAAAwADALcAAAD4AgAAAAA=&#10;" filled="f" stroked="f">
                  <v:textbox inset="0,0,0,0">
                    <w:txbxContent>
                      <w:p w14:paraId="331F2E5C" w14:textId="77777777" w:rsidR="00B32EF2" w:rsidRDefault="00000000">
                        <w:r>
                          <w:rPr>
                            <w:rFonts w:ascii="Arial" w:eastAsia="Arial" w:hAnsi="Arial" w:cs="Arial"/>
                            <w:sz w:val="18"/>
                          </w:rPr>
                          <w:t>decorso il termine di decadenza.</w:t>
                        </w:r>
                      </w:p>
                    </w:txbxContent>
                  </v:textbox>
                </v:rect>
                <v:rect id="Rectangle 201401" o:spid="_x0000_s4598" style="position:absolute;left:26109;top:1063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jNMxwAAAN8AAAAPAAAAZHJzL2Rvd25yZXYueG1sRI9BawIx&#10;FITvQv9DeIXeNFkpIqtRxCLdQy9aCz0+Ns/d1c1L2ER321/fCEKPw8x8wyzXg23FjbrQONaQTRQI&#10;4tKZhisNx8/deA4iRGSDrWPS8EMB1qun0RJz43re0+0QK5EgHHLUUMfocylDWZPFMHGeOHkn11mM&#10;SXaVNB32CW5bOVVqJi02nBZq9LStqbwcrlbD9xv7YtfL8vS79R/nYt6+X49fWr88D5sFiEhD/A8/&#10;2oXRMFXZq8rg/id9Abn6AwAA//8DAFBLAQItABQABgAIAAAAIQDb4fbL7gAAAIUBAAATAAAAAAAA&#10;AAAAAAAAAAAAAABbQ29udGVudF9UeXBlc10ueG1sUEsBAi0AFAAGAAgAAAAhAFr0LFu/AAAAFQEA&#10;AAsAAAAAAAAAAAAAAAAAHwEAAF9yZWxzLy5yZWxzUEsBAi0AFAAGAAgAAAAhAMN2M0zHAAAA3wAA&#10;AA8AAAAAAAAAAAAAAAAABwIAAGRycy9kb3ducmV2LnhtbFBLBQYAAAAAAwADALcAAAD7AgAAAAA=&#10;" filled="f" stroked="f">
                  <v:textbox inset="0,0,0,0">
                    <w:txbxContent>
                      <w:p w14:paraId="5FCC4F03" w14:textId="77777777" w:rsidR="00B32EF2" w:rsidRDefault="00000000">
                        <w:r>
                          <w:rPr>
                            <w:rFonts w:ascii="Arial" w:eastAsia="Arial" w:hAnsi="Arial" w:cs="Arial"/>
                            <w:sz w:val="18"/>
                          </w:rPr>
                          <w:t>7</w:t>
                        </w:r>
                      </w:p>
                    </w:txbxContent>
                  </v:textbox>
                </v:rect>
                <v:rect id="Rectangle 201402" o:spid="_x0000_s4599" style="position:absolute;left:-13697;top:10630;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K07xwAAAN8AAAAPAAAAZHJzL2Rvd25yZXYueG1sRI9BawIx&#10;FITvQv9DeIXeNHEpIqtRxCLdQy9aCz0+Ns/d1c1L2ER321/fCEKPw8x8wyzXg23FjbrQONYwnSgQ&#10;xKUzDVcajp+78RxEiMgGW8ek4YcCrFdPoyXmxvW8p9shViJBOOSooY7R51KGsiaLYeI8cfJOrrMY&#10;k+wqaTrsE9y2MlNqJi02nBZq9LStqbwcrlbD9xv7YtfL8vS79R/nYt6+X49fWr88D5sFiEhD/A8/&#10;2oXRkKnpq8rg/id9Abn6AwAA//8DAFBLAQItABQABgAIAAAAIQDb4fbL7gAAAIUBAAATAAAAAAAA&#10;AAAAAAAAAAAAAABbQ29udGVudF9UeXBlc10ueG1sUEsBAi0AFAAGAAgAAAAhAFr0LFu/AAAAFQEA&#10;AAsAAAAAAAAAAAAAAAAAHwEAAF9yZWxzLy5yZWxzUEsBAi0AFAAGAAgAAAAhADOkrTvHAAAA3wAA&#10;AA8AAAAAAAAAAAAAAAAABwIAAGRycy9kb3ducmV2LnhtbFBLBQYAAAAAAwADALcAAAD7AgAAAAA=&#10;" filled="f" stroked="f">
                  <v:textbox inset="0,0,0,0">
                    <w:txbxContent>
                      <w:p w14:paraId="6C45A2DD" w14:textId="77777777" w:rsidR="00B32EF2" w:rsidRDefault="00000000">
                        <w:r>
                          <w:rPr>
                            <w:rFonts w:ascii="Arial" w:eastAsia="Arial" w:hAnsi="Arial" w:cs="Arial"/>
                            <w:sz w:val="18"/>
                          </w:rPr>
                          <w:t xml:space="preserve">. In caso di vizi della notificazione eccepiti nei riguardi di un atto presupposto </w:t>
                        </w:r>
                      </w:p>
                    </w:txbxContent>
                  </v:textbox>
                </v:rect>
                <v:rect id="Rectangle 19564" o:spid="_x0000_s4600" style="position:absolute;left:-13172;top:939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siNxQAAAN4AAAAPAAAAZHJzL2Rvd25yZXYueG1sRE9Na8JA&#10;EL0X+h+WKXirG0XFRlcRRcyhl1oLPQ7ZMYlmZ5fsaqK/3i0UvM3jfc582ZlaXKnxlWUFg34Cgji3&#10;uuJCweF7+z4F4QOyxtoyKbiRh+Xi9WWOqbYtf9F1HwoRQ9inqKAMwaVS+rwkg75vHXHkjrYxGCJs&#10;CqkbbGO4qeUwSSbSYMWxoURH65Ly8/5iFPxu2GXbVubH+9p9nrJpvbscfpTqvXWrGYhAXXiK/92Z&#10;jvM/xpMR/L0Tb5CLBwAAAP//AwBQSwECLQAUAAYACAAAACEA2+H2y+4AAACFAQAAEwAAAAAAAAAA&#10;AAAAAAAAAAAAW0NvbnRlbnRfVHlwZXNdLnhtbFBLAQItABQABgAIAAAAIQBa9CxbvwAAABUBAAAL&#10;AAAAAAAAAAAAAAAAAB8BAABfcmVscy8ucmVsc1BLAQItABQABgAIAAAAIQAFksiNxQAAAN4AAAAP&#10;AAAAAAAAAAAAAAAAAAcCAABkcnMvZG93bnJldi54bWxQSwUGAAAAAAMAAwC3AAAA+QIAAAAA&#10;" filled="f" stroked="f">
                  <v:textbox inset="0,0,0,0">
                    <w:txbxContent>
                      <w:p w14:paraId="1C3329D1" w14:textId="77777777" w:rsidR="00B32EF2" w:rsidRDefault="00000000">
                        <w:r>
                          <w:rPr>
                            <w:rFonts w:ascii="Arial" w:eastAsia="Arial" w:hAnsi="Arial" w:cs="Arial"/>
                            <w:sz w:val="18"/>
                          </w:rPr>
                          <w:t xml:space="preserve">emesso da un soggetto diverso da quello che ha emesso l’atto impugnato, il </w:t>
                        </w:r>
                      </w:p>
                    </w:txbxContent>
                  </v:textbox>
                </v:rect>
                <v:rect id="Rectangle 19565" o:spid="_x0000_s4601" style="position:absolute;left:-1892;top:8163;width:418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m0WxAAAAN4AAAAPAAAAZHJzL2Rvd25yZXYueG1sRE9Li8Iw&#10;EL4v+B/CCN7WdBcUrUZZXMQe9uILPA7N2FabSWiirf76jbCwt/n4njNfdqYWd2p8ZVnBxzABQZxb&#10;XXGh4LBfv09A+ICssbZMCh7kYbnovc0x1bblLd13oRAxhH2KCsoQXCqlz0sy6IfWEUfubBuDIcKm&#10;kLrBNoabWn4myVgarDg2lOhoVVJ+3d2MgtM3u2zdyvz8XLmfSzapN7fDUalBv/uagQjUhX/xnzvT&#10;cf50NB7B6514g1z8AgAA//8DAFBLAQItABQABgAIAAAAIQDb4fbL7gAAAIUBAAATAAAAAAAAAAAA&#10;AAAAAAAAAABbQ29udGVudF9UeXBlc10ueG1sUEsBAi0AFAAGAAgAAAAhAFr0LFu/AAAAFQEAAAsA&#10;AAAAAAAAAAAAAAAAHwEAAF9yZWxzLy5yZWxzUEsBAi0AFAAGAAgAAAAhAGrebRbEAAAA3gAAAA8A&#10;AAAAAAAAAAAAAAAABwIAAGRycy9kb3ducmV2LnhtbFBLBQYAAAAAAwADALcAAAD4AgAAAAA=&#10;" filled="f" stroked="f">
                  <v:textbox inset="0,0,0,0">
                    <w:txbxContent>
                      <w:p w14:paraId="037EE0A3" w14:textId="77777777" w:rsidR="00B32EF2" w:rsidRDefault="00000000">
                        <w:r>
                          <w:rPr>
                            <w:rFonts w:ascii="Arial" w:eastAsia="Arial" w:hAnsi="Arial" w:cs="Arial"/>
                            <w:sz w:val="18"/>
                          </w:rPr>
                          <w:t>ricorso è sempre proposto nei confronti di entrambi i soggetti.</w:t>
                        </w:r>
                      </w:p>
                    </w:txbxContent>
                  </v:textbox>
                </v:rect>
                <v:shape id="Shape 208002" o:spid="_x0000_s4602" style="position:absolute;left:317;top:3976;width:39600;height:4139;visibility:visible;mso-wrap-style:square;v-text-anchor:top" coordsize="3960000,4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DoeyQAAAN8AAAAPAAAAZHJzL2Rvd25yZXYueG1sRI9BS8NA&#10;FITvQv/D8gpexO4mSCmx21IKiheVth709sy+JtHs27C7TaK/3hUKPQ4z8w2zXI+2FT350DjWkM0U&#10;COLSmYYrDW+Hh9sFiBCRDbaOScMPBVivJldLLIwbeEf9PlYiQTgUqKGOsSukDGVNFsPMdcTJOzpv&#10;MSbpK2k8DgluW5krNZcWG04LNXa0ran83p+sBv/aP2bu88v8Pn/cDe3N8aV/z05aX0/HzT2ISGO8&#10;hM/tJ6MhVwulcvj/k76AXP0BAAD//wMAUEsBAi0AFAAGAAgAAAAhANvh9svuAAAAhQEAABMAAAAA&#10;AAAAAAAAAAAAAAAAAFtDb250ZW50X1R5cGVzXS54bWxQSwECLQAUAAYACAAAACEAWvQsW78AAAAV&#10;AQAACwAAAAAAAAAAAAAAAAAfAQAAX3JlbHMvLnJlbHNQSwECLQAUAAYACAAAACEAhZw6HskAAADf&#10;AAAADwAAAAAAAAAAAAAAAAAHAgAAZHJzL2Rvd25yZXYueG1sUEsFBgAAAAADAAMAtwAAAP0CAAAA&#10;AA==&#10;" path="m,l3960000,r,413906l,413906,,e" fillcolor="#c3c3c3" stroked="f" strokeweight="0">
                  <v:stroke miterlimit="83231f" joinstyle="miter"/>
                  <v:path arrowok="t" textboxrect="0,0,3960000,413906"/>
                </v:shape>
                <v:rect id="Rectangle 19567" o:spid="_x0000_s4603" style="position:absolute;left:23565;top:5902;width:155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Fb6xQAAAN4AAAAPAAAAZHJzL2Rvd25yZXYueG1sRE9Na8JA&#10;EL0X+h+WKXirGwWtja4iipiDl1oLPQ7ZMYlmZ5fsaqK/3i0UvM3jfc5s0ZlaXKnxlWUFg34Cgji3&#10;uuJCweF78z4B4QOyxtoyKbiRh8X89WWGqbYtf9F1HwoRQ9inqKAMwaVS+rwkg75vHXHkjrYxGCJs&#10;CqkbbGO4qeUwScbSYMWxoURHq5Ly8/5iFPyu2WWbVubH+8rtTtmk3l4OP0r13rrlFESgLjzF/+5M&#10;x/mfo/EH/L0Tb5DzBwAAAP//AwBQSwECLQAUAAYACAAAACEA2+H2y+4AAACFAQAAEwAAAAAAAAAA&#10;AAAAAAAAAAAAW0NvbnRlbnRfVHlwZXNdLnhtbFBLAQItABQABgAIAAAAIQBa9CxbvwAAABUBAAAL&#10;AAAAAAAAAAAAAAAAAB8BAABfcmVscy8ucmVsc1BLAQItABQABgAIAAAAIQD1QFb6xQAAAN4AAAAP&#10;AAAAAAAAAAAAAAAAAAcCAABkcnMvZG93bnJldi54bWxQSwUGAAAAAAMAAwC3AAAA+QIAAAAA&#10;" filled="f" stroked="f">
                  <v:textbox inset="0,0,0,0">
                    <w:txbxContent>
                      <w:p w14:paraId="04171B57" w14:textId="77777777" w:rsidR="00B32EF2" w:rsidRDefault="00000000">
                        <w:r>
                          <w:rPr>
                            <w:rFonts w:ascii="Arial" w:eastAsia="Arial" w:hAnsi="Arial" w:cs="Arial"/>
                            <w:b/>
                            <w:i/>
                            <w:sz w:val="18"/>
                          </w:rPr>
                          <w:t>NORME COLLEGATE</w:t>
                        </w:r>
                      </w:p>
                    </w:txbxContent>
                  </v:textbox>
                </v:rect>
                <v:rect id="Rectangle 19568" o:spid="_x0000_s4604" style="position:absolute;left:11120;top:4669;width:280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8KIyAAAAN4AAAAPAAAAZHJzL2Rvd25yZXYueG1sRI9Pa8JA&#10;EMXvgt9hGaE33bRQsamrFIs0h178U+hxyI5J2uzskl1N2k/vHARvM7w37/1muR5cqy7UxcazgcdZ&#10;Boq49LbhysDxsJ0uQMWEbLH1TAb+KMJ6NR4tMbe+5x1d9qlSEsIxRwN1SiHXOpY1OYwzH4hFO/nO&#10;YZK1q7TtsJdw1+qnLJtrhw1LQ42BNjWVv/uzM/D9zqHY9ro8/W/C50+xaD/Oxy9jHibD2yuoREO6&#10;m2/XhRX8l+e58Mo7MoNeXQEAAP//AwBQSwECLQAUAAYACAAAACEA2+H2y+4AAACFAQAAEwAAAAAA&#10;AAAAAAAAAAAAAAAAW0NvbnRlbnRfVHlwZXNdLnhtbFBLAQItABQABgAIAAAAIQBa9CxbvwAAABUB&#10;AAALAAAAAAAAAAAAAAAAAB8BAABfcmVscy8ucmVsc1BLAQItABQABgAIAAAAIQCE38KIyAAAAN4A&#10;AAAPAAAAAAAAAAAAAAAAAAcCAABkcnMvZG93bnJldi54bWxQSwUGAAAAAAMAAwC3AAAA/AIAAAAA&#10;" filled="f" stroked="f">
                  <v:textbox inset="0,0,0,0">
                    <w:txbxContent>
                      <w:p w14:paraId="2E48E1C9" w14:textId="77777777" w:rsidR="00B32EF2" w:rsidRDefault="00000000">
                        <w:r>
                          <w:rPr>
                            <w:rFonts w:ascii="Arial" w:eastAsia="Arial" w:hAnsi="Arial" w:cs="Arial"/>
                            <w:i/>
                            <w:sz w:val="18"/>
                          </w:rPr>
                          <w:t xml:space="preserve">art. 103 c.p.c. “Litisconsorzio facoltativo” </w:t>
                        </w:r>
                      </w:p>
                    </w:txbxContent>
                  </v:textbox>
                </v:rect>
                <v:shape id="Shape 19569" o:spid="_x0000_s4605" style="position:absolute;left:317;top:3976;width:39600;height:4139;visibility:visible;mso-wrap-style:square;v-text-anchor:top" coordsize="3960000,4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UTIxAAAAN4AAAAPAAAAZHJzL2Rvd25yZXYueG1sRE/dasIw&#10;FL4XfIdwBO80dWBZO6OMwUBvBH8e4Kw5a7o1JzXJavXpzWCwu/Px/Z7VZrCt6MmHxrGCxTwDQVw5&#10;3XCt4Hx6nz2DCBFZY+uYFNwowGY9Hq2w1O7KB+qPsRYphEOJCkyMXSllqAxZDHPXESfu03mLMUFf&#10;S+3xmsJtK5+yLJcWG04NBjt6M1R9H3+sgsGb3bb4kP09d5fz/n475X31pdR0Mry+gIg0xH/xn3ur&#10;0/ximRfw+066Qa4fAAAA//8DAFBLAQItABQABgAIAAAAIQDb4fbL7gAAAIUBAAATAAAAAAAAAAAA&#10;AAAAAAAAAABbQ29udGVudF9UeXBlc10ueG1sUEsBAi0AFAAGAAgAAAAhAFr0LFu/AAAAFQEAAAsA&#10;AAAAAAAAAAAAAAAAHwEAAF9yZWxzLy5yZWxzUEsBAi0AFAAGAAgAAAAhAKLNRMjEAAAA3gAAAA8A&#10;AAAAAAAAAAAAAAAABwIAAGRycy9kb3ducmV2LnhtbFBLBQYAAAAAAwADALcAAAD4AgAAAAA=&#10;" path="m,413906r3960000,l3960000,,,,,413906xe" filled="f" strokeweight="1pt">
                  <v:stroke miterlimit="1" joinstyle="miter"/>
                  <v:path arrowok="t" textboxrect="0,0,3960000,413906"/>
                </v:shape>
                <v:shape id="Shape 208003" o:spid="_x0000_s4606" style="position:absolute;left:317;top:36592;width:39600;height:26099;visibility:visible;mso-wrap-style:square;v-text-anchor:top" coordsize="3960000,2609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XyAAAAN8AAAAPAAAAZHJzL2Rvd25yZXYueG1sRI9BawIx&#10;FITvhf6H8AreatItFV2NUloEQQ91LYi3x+a5Wdy8LJt03f57IxR6HGbmG2axGlwjeupC7VnDy1iB&#10;IC69qbnS8H1YP09BhIhssPFMGn4pwGr5+LDA3Pgr76kvYiUShEOOGmyMbS5lKC05DGPfEifv7DuH&#10;McmukqbDa4K7RmZKTaTDmtOCxZY+LJWX4sdp2E2o2h+zr+1pPcxs3xaf293bQevR0/A+BxFpiP/h&#10;v/bGaMjUVKlXuP9JX0AubwAAAP//AwBQSwECLQAUAAYACAAAACEA2+H2y+4AAACFAQAAEwAAAAAA&#10;AAAAAAAAAAAAAAAAW0NvbnRlbnRfVHlwZXNdLnhtbFBLAQItABQABgAIAAAAIQBa9CxbvwAAABUB&#10;AAALAAAAAAAAAAAAAAAAAB8BAABfcmVscy8ucmVsc1BLAQItABQABgAIAAAAIQAhy+bXyAAAAN8A&#10;AAAPAAAAAAAAAAAAAAAAAAcCAABkcnMvZG93bnJldi54bWxQSwUGAAAAAAMAAwC3AAAA/AIAAAAA&#10;" path="m,l3960000,r,2609901l,2609901,,e" fillcolor="#c3c3c3" stroked="f" strokeweight="0">
                  <v:stroke miterlimit="1" joinstyle="miter"/>
                  <v:path arrowok="t" textboxrect="0,0,3960000,2609901"/>
                </v:shape>
                <v:rect id="Rectangle 201436" o:spid="_x0000_s4607" style="position:absolute;left:26085;top:60478;width:500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2GFxwAAAN8AAAAPAAAAZHJzL2Rvd25yZXYueG1sRI9Ba8JA&#10;FITvgv9heUJvutGKSHQVUcQcvGgt9PjIPpNo9u2SXU3aX+8WCj0OM/MNs1x3phZPanxlWcF4lIAg&#10;zq2uuFBw+dgP5yB8QNZYWyYF3+Rhver3lphq2/KJnudQiAhhn6KCMgSXSunzkgz6kXXE0bvaxmCI&#10;simkbrCNcFPLSZLMpMGK40KJjrYl5ffzwyj42rHL9q3Mrz9bd7xl8/rwuHwq9TboNgsQgbrwH/5r&#10;Z1rBJBlP32fw+yd+Abl6AQAA//8DAFBLAQItABQABgAIAAAAIQDb4fbL7gAAAIUBAAATAAAAAAAA&#10;AAAAAAAAAAAAAABbQ29udGVudF9UeXBlc10ueG1sUEsBAi0AFAAGAAgAAAAhAFr0LFu/AAAAFQEA&#10;AAsAAAAAAAAAAAAAAAAAHwEAAF9yZWxzLy5yZWxzUEsBAi0AFAAGAAgAAAAhAILzYYXHAAAA3wAA&#10;AA8AAAAAAAAAAAAAAAAABwIAAGRycy9kb3ducmV2LnhtbFBLBQYAAAAAAwADALcAAAD7AgAAAAA=&#10;" filled="f" stroked="f">
                  <v:textbox inset="0,0,0,0">
                    <w:txbxContent>
                      <w:p w14:paraId="5F0C494D" w14:textId="77777777" w:rsidR="00B32EF2" w:rsidRDefault="00000000">
                        <w:r>
                          <w:rPr>
                            <w:rFonts w:ascii="Arial" w:eastAsia="Arial" w:hAnsi="Arial" w:cs="Arial"/>
                            <w:i/>
                            <w:sz w:val="18"/>
                          </w:rPr>
                          <w:t>2</w:t>
                        </w:r>
                      </w:p>
                    </w:txbxContent>
                  </v:textbox>
                </v:rect>
                <v:rect id="Rectangle 201437" o:spid="_x0000_s4608" style="position:absolute;left:-11543;top:60478;width:500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8QeyAAAAN8AAAAPAAAAZHJzL2Rvd25yZXYueG1sRI9Pa8JA&#10;FMTvgt9heUJvutGKldRVikXMoRf/FHp8ZJ9J2uzbJbua6KfvCoLHYWZ+wyxWnanFhRpfWVYwHiUg&#10;iHOrKy4UHA+b4RyED8gaa8uk4EoeVst+b4Gpti3v6LIPhYgQ9ikqKENwqZQ+L8mgH1lHHL2TbQyG&#10;KJtC6gbbCDe1nCTJTBqsOC6U6GhdUv63PxsFP5/ssk0r89Nt7b5+s3m9PR+/lXoZdB/vIAJ14Rl+&#10;tDOtYJKMp69vcP8Tv4Bc/gMAAP//AwBQSwECLQAUAAYACAAAACEA2+H2y+4AAACFAQAAEwAAAAAA&#10;AAAAAAAAAAAAAAAAW0NvbnRlbnRfVHlwZXNdLnhtbFBLAQItABQABgAIAAAAIQBa9CxbvwAAABUB&#10;AAALAAAAAAAAAAAAAAAAAB8BAABfcmVscy8ucmVsc1BLAQItABQABgAIAAAAIQDtv8QeyAAAAN8A&#10;AAAPAAAAAAAAAAAAAAAAAAcCAABkcnMvZG93bnJldi54bWxQSwUGAAAAAAMAAwC3AAAA/AIAAAAA&#10;" filled="f" stroked="f">
                  <v:textbox inset="0,0,0,0">
                    <w:txbxContent>
                      <w:p w14:paraId="3AC5CAED" w14:textId="77777777" w:rsidR="00B32EF2" w:rsidRDefault="00000000">
                        <w:r>
                          <w:rPr>
                            <w:rFonts w:ascii="Arial" w:eastAsia="Arial" w:hAnsi="Arial" w:cs="Arial"/>
                            <w:i/>
                            <w:sz w:val="18"/>
                          </w:rPr>
                          <w:t>. La procura alle liti può essere generale o speciale, e deve essere confe</w:t>
                        </w:r>
                      </w:p>
                    </w:txbxContent>
                  </v:textbox>
                </v:rect>
                <v:rect id="Rectangle 19572" o:spid="_x0000_s4609" style="position:absolute;left:975;top:6047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mO/xQAAAN4AAAAPAAAAZHJzL2Rvd25yZXYueG1sRE9Na8JA&#10;EL0L/Q/LFLzpRsFqo6uIIs3BS62FHofsmESzs0t2NWl/vVsQvM3jfc5i1Zla3KjxlWUFo2ECgji3&#10;uuJCwfFrN5iB8AFZY22ZFPySh9XypbfAVNuWP+l2CIWIIexTVFCG4FIpfV6SQT+0jjhyJ9sYDBE2&#10;hdQNtjHc1HKcJG/SYMWxoURHm5Lyy+FqFPxs2WW7Vuanv43bn7NZ/XE9fivVf+3WcxCBuvAUP9yZ&#10;jvPfJ9Mx/L8Tb5DLOwAAAP//AwBQSwECLQAUAAYACAAAACEA2+H2y+4AAACFAQAAEwAAAAAAAAAA&#10;AAAAAAAAAAAAW0NvbnRlbnRfVHlwZXNdLnhtbFBLAQItABQABgAIAAAAIQBa9CxbvwAAABUBAAAL&#10;AAAAAAAAAAAAAAAAAB8BAABfcmVscy8ucmVsc1BLAQItABQABgAIAAAAIQBg7mO/xQAAAN4AAAAP&#10;AAAAAAAAAAAAAAAAAAcCAABkcnMvZG93bnJldi54bWxQSwUGAAAAAAMAAwC3AAAA+QIAAAAA&#10;" filled="f" stroked="f">
                  <v:textbox inset="0,0,0,0">
                    <w:txbxContent>
                      <w:p w14:paraId="09603E7C" w14:textId="77777777" w:rsidR="00B32EF2" w:rsidRDefault="00000000">
                        <w:r>
                          <w:rPr>
                            <w:rFonts w:ascii="Arial" w:eastAsia="Arial" w:hAnsi="Arial" w:cs="Arial"/>
                            <w:i/>
                            <w:sz w:val="18"/>
                          </w:rPr>
                          <w:t>-</w:t>
                        </w:r>
                      </w:p>
                    </w:txbxContent>
                  </v:textbox>
                </v:rect>
                <v:rect id="Rectangle 19573" o:spid="_x0000_s4610" style="position:absolute;left:3799;top:59245;width:353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sYkxQAAAN4AAAAPAAAAZHJzL2Rvd25yZXYueG1sRE9Na8JA&#10;EL0X+h+WKXirm7ZYY+oqxSLm4EVrweOQHZO02dklu5ror3eFgrd5vM+ZznvTiBO1vras4GWYgCAu&#10;rK65VLD7Xj6nIHxA1thYJgVn8jCfPT5MMdO24w2dtqEUMYR9hgqqEFwmpS8qMuiH1hFH7mBbgyHC&#10;tpS6xS6Gm0a+Jsm7NFhzbKjQ0aKi4m97NAr2X+zyZSeLw2Xh1r952qyOux+lBk/95weIQH24i//d&#10;uY7zJ6PxG9zeiTfI2RUAAP//AwBQSwECLQAUAAYACAAAACEA2+H2y+4AAACFAQAAEwAAAAAAAAAA&#10;AAAAAAAAAAAAW0NvbnRlbnRfVHlwZXNdLnhtbFBLAQItABQABgAIAAAAIQBa9CxbvwAAABUBAAAL&#10;AAAAAAAAAAAAAAAAAB8BAABfcmVscy8ucmVsc1BLAQItABQABgAIAAAAIQAPosYkxQAAAN4AAAAP&#10;AAAAAAAAAAAAAAAAAAcCAABkcnMvZG93bnJldi54bWxQSwUGAAAAAAMAAwC3AAAA+QIAAAAA&#10;" filled="f" stroked="f">
                  <v:textbox inset="0,0,0,0">
                    <w:txbxContent>
                      <w:p w14:paraId="49255E17" w14:textId="77777777" w:rsidR="00B32EF2" w:rsidRDefault="00000000">
                        <w:r>
                          <w:rPr>
                            <w:rFonts w:ascii="Arial" w:eastAsia="Arial" w:hAnsi="Arial" w:cs="Arial"/>
                            <w:i/>
                            <w:sz w:val="18"/>
                          </w:rPr>
                          <w:t xml:space="preserve">rita con atto pubblico o scrittura privata autenticata. </w:t>
                        </w:r>
                      </w:p>
                    </w:txbxContent>
                  </v:textbox>
                </v:rect>
                <v:rect id="Rectangle 201435" o:spid="_x0000_s4611" style="position:absolute;left:-12518;top:58012;width:5093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yyAAAAN8AAAAPAAAAZHJzL2Rvd25yZXYueG1sRI9Pa8JA&#10;FMTvgt9heUJvutFqkdRVikXMoRf/FHp8ZJ9J2uzbJbua6KfvCoLHYWZ+wyxWnanFhRpfWVYwHiUg&#10;iHOrKy4UHA+b4RyED8gaa8uk4EoeVst+b4Gpti3v6LIPhYgQ9ikqKENwqZQ+L8mgH1lHHL2TbQyG&#10;KJtC6gbbCDe1nCTJmzRYcVwo0dG6pPxvfzYKfj7ZZZtW5qfb2n39ZvN6ez5+K/Uy6D7eQQTqwjP8&#10;aGdawSQZT19ncP8Tv4Bc/gMAAP//AwBQSwECLQAUAAYACAAAACEA2+H2y+4AAACFAQAAEwAAAAAA&#10;AAAAAAAAAAAAAAAAW0NvbnRlbnRfVHlwZXNdLnhtbFBLAQItABQABgAIAAAAIQBa9CxbvwAAABUB&#10;AAALAAAAAAAAAAAAAAAAAB8BAABfcmVscy8ucmVsc1BLAQItABQABgAIAAAAIQByIf/yyAAAAN8A&#10;AAAPAAAAAAAAAAAAAAAAAAcCAABkcnMvZG93bnJldi54bWxQSwUGAAAAAAMAAwC3AAAA/AIAAAAA&#10;" filled="f" stroked="f">
                  <v:textbox inset="0,0,0,0">
                    <w:txbxContent>
                      <w:p w14:paraId="012A43AB" w14:textId="77777777" w:rsidR="00B32EF2" w:rsidRDefault="00000000">
                        <w:r>
                          <w:rPr>
                            <w:rFonts w:ascii="Arial" w:eastAsia="Arial" w:hAnsi="Arial" w:cs="Arial"/>
                            <w:i/>
                            <w:sz w:val="18"/>
                          </w:rPr>
                          <w:t xml:space="preserve">. La procura speciale può essere anche apposta in calce o a margine della </w:t>
                        </w:r>
                      </w:p>
                    </w:txbxContent>
                  </v:textbox>
                </v:rect>
                <v:rect id="Rectangle 201434" o:spid="_x0000_s4612" style="position:absolute;left:25860;top:58012;width:5093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VppxwAAAN8AAAAPAAAAZHJzL2Rvd25yZXYueG1sRI9Ba8JA&#10;FITvgv9heUJvutFKkegqoog5eKla6PGRfSbR7Nslu5q0v94tFDwOM/MNs1h1phYPanxlWcF4lIAg&#10;zq2uuFBwPu2GMxA+IGusLZOCH/KwWvZ7C0y1bfmTHsdQiAhhn6KCMgSXSunzkgz6kXXE0bvYxmCI&#10;simkbrCNcFPLSZJ8SIMVx4USHW1Kym/Hu1HwvWWX7VqZX3437nDNZvX+fv5S6m3QrecgAnXhFf5v&#10;Z1rBJBlP36fw9yd+Abl8AgAA//8DAFBLAQItABQABgAIAAAAIQDb4fbL7gAAAIUBAAATAAAAAAAA&#10;AAAAAAAAAAAAAABbQ29udGVudF9UeXBlc10ueG1sUEsBAi0AFAAGAAgAAAAhAFr0LFu/AAAAFQEA&#10;AAsAAAAAAAAAAAAAAAAAHwEAAF9yZWxzLy5yZWxzUEsBAi0AFAAGAAgAAAAhAB1tWmnHAAAA3wAA&#10;AA8AAAAAAAAAAAAAAAAABwIAAGRycy9kb3ducmV2LnhtbFBLBQYAAAAAAwADALcAAAD7AgAAAAA=&#10;" filled="f" stroked="f">
                  <v:textbox inset="0,0,0,0">
                    <w:txbxContent>
                      <w:p w14:paraId="43E7B72B" w14:textId="77777777" w:rsidR="00B32EF2" w:rsidRDefault="00000000">
                        <w:r>
                          <w:rPr>
                            <w:rFonts w:ascii="Arial" w:eastAsia="Arial" w:hAnsi="Arial" w:cs="Arial"/>
                            <w:i/>
                            <w:sz w:val="18"/>
                          </w:rPr>
                          <w:t>3</w:t>
                        </w:r>
                      </w:p>
                    </w:txbxContent>
                  </v:textbox>
                </v:rect>
                <v:rect id="Rectangle 19575" o:spid="_x0000_s4613" style="position:absolute;left:-10912;top:56778;width:500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vLxQAAAN4AAAAPAAAAZHJzL2Rvd25yZXYueG1sRE9Na8JA&#10;EL0L/Q/LFLzpRsHWRlcRRczBS62FHofsmESzs0t2NbG/3i0UvM3jfc582Zla3KjxlWUFo2ECgji3&#10;uuJCwfFrO5iC8AFZY22ZFNzJw3Lx0ptjqm3Ln3Q7hELEEPYpKihDcKmUPi/JoB9aRxy5k20Mhgib&#10;QuoG2xhuajlOkjdpsOLYUKKjdUn55XA1Cn427LJtK/PT79rtz9m03l2P30r1X7vVDESgLjzF/+5M&#10;x/kfk/cJ/L0Tb5CLBwAAAP//AwBQSwECLQAUAAYACAAAACEA2+H2y+4AAACFAQAAEwAAAAAAAAAA&#10;AAAAAAAAAAAAW0NvbnRlbnRfVHlwZXNdLnhtbFBLAQItABQABgAIAAAAIQBa9CxbvwAAABUBAAAL&#10;AAAAAAAAAAAAAAAAAB8BAABfcmVscy8ucmVsc1BLAQItABQABgAIAAAAIQDvB/vLxQAAAN4AAAAP&#10;AAAAAAAAAAAAAAAAAAcCAABkcnMvZG93bnJldi54bWxQSwUGAAAAAAMAAwC3AAAA+QIAAAAA&#10;" filled="f" stroked="f">
                  <v:textbox inset="0,0,0,0">
                    <w:txbxContent>
                      <w:p w14:paraId="39C5549E" w14:textId="77777777" w:rsidR="00B32EF2" w:rsidRDefault="00000000">
                        <w:r>
                          <w:rPr>
                            <w:rFonts w:ascii="Arial" w:eastAsia="Arial" w:hAnsi="Arial" w:cs="Arial"/>
                            <w:i/>
                            <w:sz w:val="18"/>
                          </w:rPr>
                          <w:t>citazione, del ricorso, del controricorso, della comparsa di risposta o d’in</w:t>
                        </w:r>
                      </w:p>
                    </w:txbxContent>
                  </v:textbox>
                </v:rect>
                <v:rect id="Rectangle 19576" o:spid="_x0000_s4614" style="position:absolute;left:975;top:5677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WW8xQAAAN4AAAAPAAAAZHJzL2Rvd25yZXYueG1sRE9Na8JA&#10;EL0X+h+WKXirGwWtja4iipiDl1oLPQ7ZMYlmZ5fsaqK/3i0UvM3jfc5s0ZlaXKnxlWUFg34Cgji3&#10;uuJCweF78z4B4QOyxtoyKbiRh8X89WWGqbYtf9F1HwoRQ9inqKAMwaVS+rwkg75vHXHkjrYxGCJs&#10;CqkbbGO4qeUwScbSYMWxoURHq5Ly8/5iFPyu2WWbVubH+8rtTtmk3l4OP0r13rrlFESgLjzF/+5M&#10;x/mfo48x/L0Tb5DzBwAAAP//AwBQSwECLQAUAAYACAAAACEA2+H2y+4AAACFAQAAEwAAAAAAAAAA&#10;AAAAAAAAAAAAW0NvbnRlbnRfVHlwZXNdLnhtbFBLAQItABQABgAIAAAAIQBa9CxbvwAAABUBAAAL&#10;AAAAAAAAAAAAAAAAAB8BAABfcmVscy8ucmVsc1BLAQItABQABgAIAAAAIQAf1WW8xQAAAN4AAAAP&#10;AAAAAAAAAAAAAAAAAAcCAABkcnMvZG93bnJldi54bWxQSwUGAAAAAAMAAwC3AAAA+QIAAAAA&#10;" filled="f" stroked="f">
                  <v:textbox inset="0,0,0,0">
                    <w:txbxContent>
                      <w:p w14:paraId="1A8E9261" w14:textId="77777777" w:rsidR="00B32EF2" w:rsidRDefault="00000000">
                        <w:r>
                          <w:rPr>
                            <w:rFonts w:ascii="Arial" w:eastAsia="Arial" w:hAnsi="Arial" w:cs="Arial"/>
                            <w:i/>
                            <w:sz w:val="18"/>
                          </w:rPr>
                          <w:t>-</w:t>
                        </w:r>
                      </w:p>
                    </w:txbxContent>
                  </v:textbox>
                </v:rect>
                <v:rect id="Rectangle 19577" o:spid="_x0000_s4615" style="position:absolute;left:-11859;top:55545;width:509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AnxQAAAN4AAAAPAAAAZHJzL2Rvd25yZXYueG1sRE9La8JA&#10;EL4X+h+WKXirGwUfja4iiphDL7UWehyyYxLNzi7Z1UR/vVsoeJuP7znzZWdqcaXGV5YVDPoJCOLc&#10;6ooLBYfv7fsUhA/IGmvLpOBGHpaL15c5ptq2/EXXfShEDGGfooIyBJdK6fOSDPq+dcSRO9rGYIiw&#10;KaRusI3hppbDJBlLgxXHhhIdrUvKz/uLUfC7YZdtW5kf72v3ecqm9e5y+FGq99atZiACdeEp/ndn&#10;Os7/GE0m8PdOvEEuHgAAAP//AwBQSwECLQAUAAYACAAAACEA2+H2y+4AAACFAQAAEwAAAAAAAAAA&#10;AAAAAAAAAAAAW0NvbnRlbnRfVHlwZXNdLnhtbFBLAQItABQABgAIAAAAIQBa9CxbvwAAABUBAAAL&#10;AAAAAAAAAAAAAAAAAB8BAABfcmVscy8ucmVsc1BLAQItABQABgAIAAAAIQBwmcAnxQAAAN4AAAAP&#10;AAAAAAAAAAAAAAAAAAcCAABkcnMvZG93bnJldi54bWxQSwUGAAAAAAMAAwC3AAAA+QIAAAAA&#10;" filled="f" stroked="f">
                  <v:textbox inset="0,0,0,0">
                    <w:txbxContent>
                      <w:p w14:paraId="08620FA6" w14:textId="77777777" w:rsidR="00B32EF2" w:rsidRDefault="00000000">
                        <w:r>
                          <w:rPr>
                            <w:rFonts w:ascii="Arial" w:eastAsia="Arial" w:hAnsi="Arial" w:cs="Arial"/>
                            <w:i/>
                            <w:sz w:val="18"/>
                          </w:rPr>
                          <w:t xml:space="preserve">tervento, del precetto o della domanda d’intervento nell’esecuzione, ovvero </w:t>
                        </w:r>
                      </w:p>
                    </w:txbxContent>
                  </v:textbox>
                </v:rect>
                <v:rect id="Rectangle 19578" o:spid="_x0000_s4616" style="position:absolute;left:-11879;top:54312;width:510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lRVyAAAAN4AAAAPAAAAZHJzL2Rvd25yZXYueG1sRI9Pb8Iw&#10;DMXvk/YdIk/iNtJN2sY6ApqYED1wGX+kHa3GtN0aJ2oC7fj0+IDEzdZ7fu/n6XxwrTpRFxvPBp7G&#10;GSji0tuGKwO77fJxAiomZIutZzLwTxHms/u7KebW9/xNp02qlIRwzNFAnVLItY5lTQ7j2Adi0Q6+&#10;c5hk7SptO+wl3LX6OctetcOGpaHGQIuayr/N0Rn4+eJQLHtdHs6LsP4tJu3quNsbM3oYPj9AJRrS&#10;zXy9Lqzgv7+8Ca+8IzPo2QUAAP//AwBQSwECLQAUAAYACAAAACEA2+H2y+4AAACFAQAAEwAAAAAA&#10;AAAAAAAAAAAAAAAAW0NvbnRlbnRfVHlwZXNdLnhtbFBLAQItABQABgAIAAAAIQBa9CxbvwAAABUB&#10;AAALAAAAAAAAAAAAAAAAAB8BAABfcmVscy8ucmVsc1BLAQItABQABgAIAAAAIQABBlRVyAAAAN4A&#10;AAAPAAAAAAAAAAAAAAAAAAcCAABkcnMvZG93bnJldi54bWxQSwUGAAAAAAMAAwC3AAAA/AIAAAAA&#10;" filled="f" stroked="f">
                  <v:textbox inset="0,0,0,0">
                    <w:txbxContent>
                      <w:p w14:paraId="36101FB3" w14:textId="77777777" w:rsidR="00B32EF2" w:rsidRDefault="00000000">
                        <w:r>
                          <w:rPr>
                            <w:rFonts w:ascii="Arial" w:eastAsia="Arial" w:hAnsi="Arial" w:cs="Arial"/>
                            <w:i/>
                            <w:sz w:val="18"/>
                          </w:rPr>
                          <w:t xml:space="preserve">della memoria di nomina del nuovo difensore, in aggiunta o in sostituzione </w:t>
                        </w:r>
                      </w:p>
                    </w:txbxContent>
                  </v:textbox>
                </v:rect>
                <v:rect id="Rectangle 19579" o:spid="_x0000_s4617" style="position:absolute;left:-10940;top:53078;width:500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vHOxQAAAN4AAAAPAAAAZHJzL2Rvd25yZXYueG1sRE9La8JA&#10;EL4X/A/LCN7qxoJVo6uIRZpDL/UBHofsmESzs0t2NWl/fbcgeJuP7zmLVWdqcafGV5YVjIYJCOLc&#10;6ooLBYf99nUKwgdkjbVlUvBDHlbL3ssCU21b/qb7LhQihrBPUUEZgkul9HlJBv3QOuLInW1jMETY&#10;FFI32MZwU8u3JHmXBiuODSU62pSUX3c3o+D0wS7btjI//27c1yWb1p+3w1GpQb9bz0EE6sJT/HBn&#10;Os6fjScz+H8n3iCXfwAAAP//AwBQSwECLQAUAAYACAAAACEA2+H2y+4AAACFAQAAEwAAAAAAAAAA&#10;AAAAAAAAAAAAW0NvbnRlbnRfVHlwZXNdLnhtbFBLAQItABQABgAIAAAAIQBa9CxbvwAAABUBAAAL&#10;AAAAAAAAAAAAAAAAAB8BAABfcmVscy8ucmVsc1BLAQItABQABgAIAAAAIQBuSvHOxQAAAN4AAAAP&#10;AAAAAAAAAAAAAAAAAAcCAABkcnMvZG93bnJldi54bWxQSwUGAAAAAAMAAwC3AAAA+QIAAAAA&#10;" filled="f" stroked="f">
                  <v:textbox inset="0,0,0,0">
                    <w:txbxContent>
                      <w:p w14:paraId="574EC1F3" w14:textId="77777777" w:rsidR="00B32EF2" w:rsidRDefault="00000000">
                        <w:r>
                          <w:rPr>
                            <w:rFonts w:ascii="Arial" w:eastAsia="Arial" w:hAnsi="Arial" w:cs="Arial"/>
                            <w:i/>
                            <w:sz w:val="18"/>
                          </w:rPr>
                          <w:t>del difensore originariamente designato. In tali casi l’autografia della sot</w:t>
                        </w:r>
                      </w:p>
                    </w:txbxContent>
                  </v:textbox>
                </v:rect>
                <v:rect id="Rectangle 19580" o:spid="_x0000_s4618" style="position:absolute;left:975;top:5307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Sh0yAAAAN4AAAAPAAAAZHJzL2Rvd25yZXYueG1sRI9Pa8Mw&#10;DMXvg30Ho8Fuq7PBRprVLaOjLIdd+mewo4jVJFssm9ht0n766lDoTUJP773fbDG6Th2pj61nA8+T&#10;DBRx5W3LtYHddvWUg4oJ2WLnmQycKMJifn83w8L6gdd03KRaiQnHAg00KYVC61g15DBOfCCW2973&#10;DpOsfa1tj4OYu06/ZNmbdtiyJDQYaNlQ9b85OAO/nxzK1aCr/XkZvv/KvPs67H6MeXwYP95BJRrT&#10;TXz9Lq3Un77mAiA4MoOeXwAAAP//AwBQSwECLQAUAAYACAAAACEA2+H2y+4AAACFAQAAEwAAAAAA&#10;AAAAAAAAAAAAAAAAW0NvbnRlbnRfVHlwZXNdLnhtbFBLAQItABQABgAIAAAAIQBa9CxbvwAAABUB&#10;AAALAAAAAAAAAAAAAAAAAB8BAABfcmVscy8ucmVsc1BLAQItABQABgAIAAAAIQDKpSh0yAAAAN4A&#10;AAAPAAAAAAAAAAAAAAAAAAcCAABkcnMvZG93bnJldi54bWxQSwUGAAAAAAMAAwC3AAAA/AIAAAAA&#10;" filled="f" stroked="f">
                  <v:textbox inset="0,0,0,0">
                    <w:txbxContent>
                      <w:p w14:paraId="7B9B367E" w14:textId="77777777" w:rsidR="00B32EF2" w:rsidRDefault="00000000">
                        <w:r>
                          <w:rPr>
                            <w:rFonts w:ascii="Arial" w:eastAsia="Arial" w:hAnsi="Arial" w:cs="Arial"/>
                            <w:i/>
                            <w:sz w:val="18"/>
                          </w:rPr>
                          <w:t>-</w:t>
                        </w:r>
                      </w:p>
                    </w:txbxContent>
                  </v:textbox>
                </v:rect>
                <v:rect id="Rectangle 19581" o:spid="_x0000_s4619" style="position:absolute;left:-11872;top:51845;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Y3vxAAAAN4AAAAPAAAAZHJzL2Rvd25yZXYueG1sRE9Na8JA&#10;EL0X/A/LCN7qRqElja4iijQHL7UKHofsmESzs0t2NdFf3y0UepvH+5z5sjeNuFPra8sKJuMEBHFh&#10;dc2lgsP39jUF4QOyxsYyKXiQh+Vi8DLHTNuOv+i+D6WIIewzVFCF4DIpfVGRQT+2jjhyZ9saDBG2&#10;pdQtdjHcNHKaJO/SYM2xoUJH64qK6/5mFJw27PJtJ4vzc+12lzxtPm+Ho1KjYb+agQjUh3/xnzvX&#10;cf7HWzqB33fiDXLxAwAA//8DAFBLAQItABQABgAIAAAAIQDb4fbL7gAAAIUBAAATAAAAAAAAAAAA&#10;AAAAAAAAAABbQ29udGVudF9UeXBlc10ueG1sUEsBAi0AFAAGAAgAAAAhAFr0LFu/AAAAFQEAAAsA&#10;AAAAAAAAAAAAAAAAHwEAAF9yZWxzLy5yZWxzUEsBAi0AFAAGAAgAAAAhAKXpje/EAAAA3gAAAA8A&#10;AAAAAAAAAAAAAAAABwIAAGRycy9kb3ducmV2LnhtbFBLBQYAAAAAAwADALcAAAD4AgAAAAA=&#10;" filled="f" stroked="f">
                  <v:textbox inset="0,0,0,0">
                    <w:txbxContent>
                      <w:p w14:paraId="1B75F333" w14:textId="77777777" w:rsidR="00B32EF2" w:rsidRDefault="00000000">
                        <w:r>
                          <w:rPr>
                            <w:rFonts w:ascii="Arial" w:eastAsia="Arial" w:hAnsi="Arial" w:cs="Arial"/>
                            <w:i/>
                            <w:sz w:val="18"/>
                          </w:rPr>
                          <w:t xml:space="preserve">toscrizione della parte deve essere certificata dal difensore. La procura </w:t>
                        </w:r>
                      </w:p>
                    </w:txbxContent>
                  </v:textbox>
                </v:rect>
                <v:rect id="Rectangle 19582" o:spid="_x0000_s4620" style="position:absolute;left:-11922;top:50612;width:512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xOYxQAAAN4AAAAPAAAAZHJzL2Rvd25yZXYueG1sRE9La8JA&#10;EL4X/A/LCN7qRqElRlcRRZpDL/UBHofsmESzs0t2NbG/vlso9DYf33MWq9404kGtry0rmIwTEMSF&#10;1TWXCo6H3WsKwgdkjY1lUvAkD6vl4GWBmbYdf9FjH0oRQ9hnqKAKwWVS+qIig35sHXHkLrY1GCJs&#10;S6lb7GK4aeQ0Sd6lwZpjQ4WONhUVt/3dKDhv2eW7ThaX7437vOZp83E/npQaDfv1HESgPvyL/9y5&#10;jvNnb+kUft+JN8jlDwAAAP//AwBQSwECLQAUAAYACAAAACEA2+H2y+4AAACFAQAAEwAAAAAAAAAA&#10;AAAAAAAAAAAAW0NvbnRlbnRfVHlwZXNdLnhtbFBLAQItABQABgAIAAAAIQBa9CxbvwAAABUBAAAL&#10;AAAAAAAAAAAAAAAAAB8BAABfcmVscy8ucmVsc1BLAQItABQABgAIAAAAIQBVOxOYxQAAAN4AAAAP&#10;AAAAAAAAAAAAAAAAAAcCAABkcnMvZG93bnJldi54bWxQSwUGAAAAAAMAAwC3AAAA+QIAAAAA&#10;" filled="f" stroked="f">
                  <v:textbox inset="0,0,0,0">
                    <w:txbxContent>
                      <w:p w14:paraId="6752DD3B" w14:textId="77777777" w:rsidR="00B32EF2" w:rsidRDefault="00000000">
                        <w:r>
                          <w:rPr>
                            <w:rFonts w:ascii="Arial" w:eastAsia="Arial" w:hAnsi="Arial" w:cs="Arial"/>
                            <w:i/>
                            <w:sz w:val="18"/>
                          </w:rPr>
                          <w:t xml:space="preserve">si considera apposta in calce anche se rilasciata su foglio separato che </w:t>
                        </w:r>
                      </w:p>
                    </w:txbxContent>
                  </v:textbox>
                </v:rect>
                <v:rect id="Rectangle 19583" o:spid="_x0000_s4621" style="position:absolute;left:-11915;top:49378;width:511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7YDxQAAAN4AAAAPAAAAZHJzL2Rvd25yZXYueG1sRE9Na8JA&#10;EL0L/odlhN50o6Ulja4iipiDl1oLHofsmKTNzi7Z1cT+erdQ6G0e73MWq9404katry0rmE4SEMSF&#10;1TWXCk4fu3EKwgdkjY1lUnAnD6vlcLDATNuO3+l2DKWIIewzVFCF4DIpfVGRQT+xjjhyF9saDBG2&#10;pdQtdjHcNHKWJK/SYM2xoUJHm4qK7+PVKDhv2eW7ThaXn407fOVps7+ePpV6GvXrOYhAffgX/7lz&#10;Hee/vaTP8PtOvEEuHwAAAP//AwBQSwECLQAUAAYACAAAACEA2+H2y+4AAACFAQAAEwAAAAAAAAAA&#10;AAAAAAAAAAAAW0NvbnRlbnRfVHlwZXNdLnhtbFBLAQItABQABgAIAAAAIQBa9CxbvwAAABUBAAAL&#10;AAAAAAAAAAAAAAAAAB8BAABfcmVscy8ucmVsc1BLAQItABQABgAIAAAAIQA6d7YDxQAAAN4AAAAP&#10;AAAAAAAAAAAAAAAAAAcCAABkcnMvZG93bnJldi54bWxQSwUGAAAAAAMAAwC3AAAA+QIAAAAA&#10;" filled="f" stroked="f">
                  <v:textbox inset="0,0,0,0">
                    <w:txbxContent>
                      <w:p w14:paraId="5F25CB2C" w14:textId="77777777" w:rsidR="00B32EF2" w:rsidRDefault="00000000">
                        <w:r>
                          <w:rPr>
                            <w:rFonts w:ascii="Arial" w:eastAsia="Arial" w:hAnsi="Arial" w:cs="Arial"/>
                            <w:i/>
                            <w:sz w:val="18"/>
                          </w:rPr>
                          <w:t xml:space="preserve">sia però congiunto materialmente all’atto cui si riferisce o su documento </w:t>
                        </w:r>
                      </w:p>
                    </w:txbxContent>
                  </v:textbox>
                </v:rect>
                <v:rect id="Rectangle 19584" o:spid="_x0000_s4622" style="position:absolute;left:-11871;top:48145;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i53xQAAAN4AAAAPAAAAZHJzL2Rvd25yZXYueG1sRE9Na8JA&#10;EL0L/odlhN50o7Qlja4iipiDl1oLHofsmKTNzi7Z1cT+erdQ6G0e73MWq9404katry0rmE4SEMSF&#10;1TWXCk4fu3EKwgdkjY1lUnAnD6vlcLDATNuO3+l2DKWIIewzVFCF4DIpfVGRQT+xjjhyF9saDBG2&#10;pdQtdjHcNHKWJK/SYM2xoUJHm4qK7+PVKDhv2eW7ThaXn407fOVps7+ePpV6GvXrOYhAffgX/7lz&#10;Hee/vaTP8PtOvEEuHwAAAP//AwBQSwECLQAUAAYACAAAACEA2+H2y+4AAACFAQAAEwAAAAAAAAAA&#10;AAAAAAAAAAAAW0NvbnRlbnRfVHlwZXNdLnhtbFBLAQItABQABgAIAAAAIQBa9CxbvwAAABUBAAAL&#10;AAAAAAAAAAAAAAAAAB8BAABfcmVscy8ucmVsc1BLAQItABQABgAIAAAAIQC1ni53xQAAAN4AAAAP&#10;AAAAAAAAAAAAAAAAAAcCAABkcnMvZG93bnJldi54bWxQSwUGAAAAAAMAAwC3AAAA+QIAAAAA&#10;" filled="f" stroked="f">
                  <v:textbox inset="0,0,0,0">
                    <w:txbxContent>
                      <w:p w14:paraId="65AD5364" w14:textId="77777777" w:rsidR="00B32EF2" w:rsidRDefault="00000000">
                        <w:r>
                          <w:rPr>
                            <w:rFonts w:ascii="Arial" w:eastAsia="Arial" w:hAnsi="Arial" w:cs="Arial"/>
                            <w:i/>
                            <w:sz w:val="18"/>
                          </w:rPr>
                          <w:t xml:space="preserve">informatico separato sottoscritto con firma digitale e congiunto all’atto cui </w:t>
                        </w:r>
                      </w:p>
                    </w:txbxContent>
                  </v:textbox>
                </v:rect>
                <v:rect id="Rectangle 19585" o:spid="_x0000_s4623" style="position:absolute;left:-11878;top:46912;width:510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ovsxAAAAN4AAAAPAAAAZHJzL2Rvd25yZXYueG1sRE9Na8JA&#10;EL0X/A/LCN7qxoIlja4iijQHL7UKHofsmESzs0t2NdFf3y0UepvH+5z5sjeNuFPra8sKJuMEBHFh&#10;dc2lgsP39jUF4QOyxsYyKXiQh+Vi8DLHTNuOv+i+D6WIIewzVFCF4DIpfVGRQT+2jjhyZ9saDBG2&#10;pdQtdjHcNPItSd6lwZpjQ4WO1hUV1/3NKDht2OXbThbn59rtLnnafN4OR6VGw341AxGoD//iP3eu&#10;4/yPaTqF33fiDXLxAwAA//8DAFBLAQItABQABgAIAAAAIQDb4fbL7gAAAIUBAAATAAAAAAAAAAAA&#10;AAAAAAAAAABbQ29udGVudF9UeXBlc10ueG1sUEsBAi0AFAAGAAgAAAAhAFr0LFu/AAAAFQEAAAsA&#10;AAAAAAAAAAAAAAAAHwEAAF9yZWxzLy5yZWxzUEsBAi0AFAAGAAgAAAAhANrSi+zEAAAA3gAAAA8A&#10;AAAAAAAAAAAAAAAABwIAAGRycy9kb3ducmV2LnhtbFBLBQYAAAAAAwADALcAAAD4AgAAAAA=&#10;" filled="f" stroked="f">
                  <v:textbox inset="0,0,0,0">
                    <w:txbxContent>
                      <w:p w14:paraId="4FBB5BFF" w14:textId="77777777" w:rsidR="00B32EF2" w:rsidRDefault="00000000">
                        <w:r>
                          <w:rPr>
                            <w:rFonts w:ascii="Arial" w:eastAsia="Arial" w:hAnsi="Arial" w:cs="Arial"/>
                            <w:i/>
                            <w:sz w:val="18"/>
                          </w:rPr>
                          <w:t xml:space="preserve">si riferisce mediante strumenti informatici, individuati con apposito decreto </w:t>
                        </w:r>
                      </w:p>
                    </w:txbxContent>
                  </v:textbox>
                </v:rect>
                <v:rect id="Rectangle 19586" o:spid="_x0000_s4624" style="position:absolute;left:-10898;top:45679;width:5003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BWbxAAAAN4AAAAPAAAAZHJzL2Rvd25yZXYueG1sRE9Na8JA&#10;EL0X/A/LCN7qxoKSRlcRRZpDL7UKHofsmESzs0t2NdFf3y0UepvH+5zFqjeNuFPra8sKJuMEBHFh&#10;dc2lgsP37jUF4QOyxsYyKXiQh9Vy8LLATNuOv+i+D6WIIewzVFCF4DIpfVGRQT+2jjhyZ9saDBG2&#10;pdQtdjHcNPItSWbSYM2xoUJHm4qK6/5mFJy27PJdJ4vzc+M+L3nafNwOR6VGw349BxGoD//iP3eu&#10;4/z3aTqD33fiDXL5AwAA//8DAFBLAQItABQABgAIAAAAIQDb4fbL7gAAAIUBAAATAAAAAAAAAAAA&#10;AAAAAAAAAABbQ29udGVudF9UeXBlc10ueG1sUEsBAi0AFAAGAAgAAAAhAFr0LFu/AAAAFQEAAAsA&#10;AAAAAAAAAAAAAAAAHwEAAF9yZWxzLy5yZWxzUEsBAi0AFAAGAAgAAAAhACoAFZvEAAAA3gAAAA8A&#10;AAAAAAAAAAAAAAAABwIAAGRycy9kb3ducmV2LnhtbFBLBQYAAAAAAwADALcAAAD4AgAAAAA=&#10;" filled="f" stroked="f">
                  <v:textbox inset="0,0,0,0">
                    <w:txbxContent>
                      <w:p w14:paraId="64F03EFD" w14:textId="77777777" w:rsidR="00B32EF2" w:rsidRDefault="00000000">
                        <w:r>
                          <w:rPr>
                            <w:rFonts w:ascii="Arial" w:eastAsia="Arial" w:hAnsi="Arial" w:cs="Arial"/>
                            <w:i/>
                            <w:sz w:val="18"/>
                          </w:rPr>
                          <w:t>del Ministero della giustizia. Se la procura alle liti è stata conferita su sup</w:t>
                        </w:r>
                      </w:p>
                    </w:txbxContent>
                  </v:textbox>
                </v:rect>
                <v:rect id="Rectangle 19587" o:spid="_x0000_s4625" style="position:absolute;left:975;top:4567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LAAxQAAAN4AAAAPAAAAZHJzL2Rvd25yZXYueG1sRE9Na8JA&#10;EL0L/odlhN50o9A2ja4iipiDl1oLHofsmKTNzi7Z1cT+erdQ6G0e73MWq9404katry0rmE4SEMSF&#10;1TWXCk4fu3EKwgdkjY1lUnAnD6vlcLDATNuO3+l2DKWIIewzVFCF4DIpfVGRQT+xjjhyF9saDBG2&#10;pdQtdjHcNHKWJC/SYM2xoUJHm4qK7+PVKDhv2eW7ThaXn407fOVps7+ePpV6GvXrOYhAffgX/7lz&#10;Hee/Paev8PtOvEEuHwAAAP//AwBQSwECLQAUAAYACAAAACEA2+H2y+4AAACFAQAAEwAAAAAAAAAA&#10;AAAAAAAAAAAAW0NvbnRlbnRfVHlwZXNdLnhtbFBLAQItABQABgAIAAAAIQBa9CxbvwAAABUBAAAL&#10;AAAAAAAAAAAAAAAAAB8BAABfcmVscy8ucmVsc1BLAQItABQABgAIAAAAIQBFTLAAxQAAAN4AAAAP&#10;AAAAAAAAAAAAAAAAAAcCAABkcnMvZG93bnJldi54bWxQSwUGAAAAAAMAAwC3AAAA+QIAAAAA&#10;" filled="f" stroked="f">
                  <v:textbox inset="0,0,0,0">
                    <w:txbxContent>
                      <w:p w14:paraId="6654D806" w14:textId="77777777" w:rsidR="00B32EF2" w:rsidRDefault="00000000">
                        <w:r>
                          <w:rPr>
                            <w:rFonts w:ascii="Arial" w:eastAsia="Arial" w:hAnsi="Arial" w:cs="Arial"/>
                            <w:i/>
                            <w:sz w:val="18"/>
                          </w:rPr>
                          <w:t>-</w:t>
                        </w:r>
                      </w:p>
                    </w:txbxContent>
                  </v:textbox>
                </v:rect>
                <v:rect id="Rectangle 19588" o:spid="_x0000_s4626" style="position:absolute;left:-11855;top:44445;width:509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yRyyAAAAN4AAAAPAAAAZHJzL2Rvd25yZXYueG1sRI9Pa8Mw&#10;DMXvg30Ho8Fuq7PBRprVLaOjLIdd+mewo4jVJFssm9ht0n766lDoTeI9vffTbDG6Th2pj61nA8+T&#10;DBRx5W3LtYHddvWUg4oJ2WLnmQycKMJifn83w8L6gdd03KRaSQjHAg00KYVC61g15DBOfCAWbe97&#10;h0nWvta2x0HCXadfsuxNO2xZGhoMtGyo+t8cnIHfTw7latDV/rwM339l3n0ddj/GPD6MH++gEo3p&#10;Zr5el1bwp6+58Mo7MoOeXwAAAP//AwBQSwECLQAUAAYACAAAACEA2+H2y+4AAACFAQAAEwAAAAAA&#10;AAAAAAAAAAAAAAAAW0NvbnRlbnRfVHlwZXNdLnhtbFBLAQItABQABgAIAAAAIQBa9CxbvwAAABUB&#10;AAALAAAAAAAAAAAAAAAAAB8BAABfcmVscy8ucmVsc1BLAQItABQABgAIAAAAIQA00yRyyAAAAN4A&#10;AAAPAAAAAAAAAAAAAAAAAAcCAABkcnMvZG93bnJldi54bWxQSwUGAAAAAAMAAwC3AAAA/AIAAAAA&#10;" filled="f" stroked="f">
                  <v:textbox inset="0,0,0,0">
                    <w:txbxContent>
                      <w:p w14:paraId="1F90533F" w14:textId="77777777" w:rsidR="00B32EF2" w:rsidRDefault="00000000">
                        <w:r>
                          <w:rPr>
                            <w:rFonts w:ascii="Arial" w:eastAsia="Arial" w:hAnsi="Arial" w:cs="Arial"/>
                            <w:i/>
                            <w:sz w:val="18"/>
                          </w:rPr>
                          <w:t xml:space="preserve">porto cartaceo, il difensore che si costituisce attraverso strumenti telematici </w:t>
                        </w:r>
                      </w:p>
                    </w:txbxContent>
                  </v:textbox>
                </v:rect>
                <v:rect id="Rectangle 19589" o:spid="_x0000_s4627" style="position:absolute;left:-11872;top:43212;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4HpxQAAAN4AAAAPAAAAZHJzL2Rvd25yZXYueG1sRE9La8JA&#10;EL4X+h+WEbzVjYISU1cpFjEHLz4KPQ7ZMUmbnV2yq4n+erdQ8DYf33MWq9404kqtry0rGI8SEMSF&#10;1TWXCk7HzVsKwgdkjY1lUnAjD6vl68sCM2073tP1EEoRQ9hnqKAKwWVS+qIig35kHXHkzrY1GCJs&#10;S6lb7GK4aeQkSWbSYM2xoUJH64qK38PFKPj+ZJdvOlmc72u3+8nTZns5fSk1HPQf7yAC9eEp/nfn&#10;Os6fT9M5/L0Tb5DLBwAAAP//AwBQSwECLQAUAAYACAAAACEA2+H2y+4AAACFAQAAEwAAAAAAAAAA&#10;AAAAAAAAAAAAW0NvbnRlbnRfVHlwZXNdLnhtbFBLAQItABQABgAIAAAAIQBa9CxbvwAAABUBAAAL&#10;AAAAAAAAAAAAAAAAAB8BAABfcmVscy8ucmVsc1BLAQItABQABgAIAAAAIQBbn4HpxQAAAN4AAAAP&#10;AAAAAAAAAAAAAAAAAAcCAABkcnMvZG93bnJldi54bWxQSwUGAAAAAAMAAwC3AAAA+QIAAAAA&#10;" filled="f" stroked="f">
                  <v:textbox inset="0,0,0,0">
                    <w:txbxContent>
                      <w:p w14:paraId="01071E94" w14:textId="77777777" w:rsidR="00B32EF2" w:rsidRDefault="00000000">
                        <w:r>
                          <w:rPr>
                            <w:rFonts w:ascii="Arial" w:eastAsia="Arial" w:hAnsi="Arial" w:cs="Arial"/>
                            <w:i/>
                            <w:sz w:val="18"/>
                          </w:rPr>
                          <w:t xml:space="preserve">ne trasmette la copia informatica autenticata con firma digitale, nel rispetto </w:t>
                        </w:r>
                      </w:p>
                    </w:txbxContent>
                  </v:textbox>
                </v:rect>
                <v:rect id="Rectangle 19590" o:spid="_x0000_s4628" style="position:absolute;left:-11941;top:41979;width:512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L6pyAAAAN4AAAAPAAAAZHJzL2Rvd25yZXYueG1sRI9Pa8JA&#10;EMXvQr/DMoXedFOhoqmrFIuYgxf/FHocsmOSNju7ZFeT9tM7h0JvM8yb995vuR5cq27UxcazgedJ&#10;Boq49LbhysD5tB3PQcWEbLH1TAZ+KMJ69TBaYm59zwe6HVOlxIRjjgbqlEKudSxrchgnPhDL7eI7&#10;h0nWrtK2w17MXaunWTbTDhuWhBoDbWoqv49XZ+DznUOx7XV5+d2E/Vcxb3fX84cxT4/D2yuoREP6&#10;F/99F1bqL14WAiA4MoNe3QEAAP//AwBQSwECLQAUAAYACAAAACEA2+H2y+4AAACFAQAAEwAAAAAA&#10;AAAAAAAAAAAAAAAAW0NvbnRlbnRfVHlwZXNdLnhtbFBLAQItABQABgAIAAAAIQBa9CxbvwAAABUB&#10;AAALAAAAAAAAAAAAAAAAAB8BAABfcmVscy8ucmVsc1BLAQItABQABgAIAAAAIQBPfL6pyAAAAN4A&#10;AAAPAAAAAAAAAAAAAAAAAAcCAABkcnMvZG93bnJldi54bWxQSwUGAAAAAAMAAwC3AAAA/AIAAAAA&#10;" filled="f" stroked="f">
                  <v:textbox inset="0,0,0,0">
                    <w:txbxContent>
                      <w:p w14:paraId="14FE718C" w14:textId="77777777" w:rsidR="00B32EF2" w:rsidRDefault="00000000">
                        <w:r>
                          <w:rPr>
                            <w:rFonts w:ascii="Arial" w:eastAsia="Arial" w:hAnsi="Arial" w:cs="Arial"/>
                            <w:i/>
                            <w:sz w:val="18"/>
                          </w:rPr>
                          <w:t xml:space="preserve">della normativa, anche regolamentare, concernente la sottoscrizione, la </w:t>
                        </w:r>
                      </w:p>
                    </w:txbxContent>
                  </v:textbox>
                </v:rect>
                <v:rect id="Rectangle 19591" o:spid="_x0000_s4629" style="position:absolute;left:-10897;top:40745;width:500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BsyxAAAAN4AAAAPAAAAZHJzL2Rvd25yZXYueG1sRE9Li8Iw&#10;EL4v7H8Is+BtTRVctBplcRF72Isv8Dg0Y1ttJqGJtvrrzcKCt/n4njNbdKYWN2p8ZVnBoJ+AIM6t&#10;rrhQsN+tPscgfEDWWFsmBXfysJi/v80w1bblDd22oRAxhH2KCsoQXCqlz0sy6PvWEUfuZBuDIcKm&#10;kLrBNoabWg6T5EsarDg2lOhoWVJ+2V6NguMPu2zVyvz0WLrfczau19f9QaneR/c9BRGoCy/xvzvT&#10;cf5kNBnA3zvxBjl/AgAA//8DAFBLAQItABQABgAIAAAAIQDb4fbL7gAAAIUBAAATAAAAAAAAAAAA&#10;AAAAAAAAAABbQ29udGVudF9UeXBlc10ueG1sUEsBAi0AFAAGAAgAAAAhAFr0LFu/AAAAFQEAAAsA&#10;AAAAAAAAAAAAAAAAHwEAAF9yZWxzLy5yZWxzUEsBAi0AFAAGAAgAAAAhACAwGzLEAAAA3gAAAA8A&#10;AAAAAAAAAAAAAAAABwIAAGRycy9kb3ducmV2LnhtbFBLBQYAAAAAAwADALcAAAD4AgAAAAA=&#10;" filled="f" stroked="f">
                  <v:textbox inset="0,0,0,0">
                    <w:txbxContent>
                      <w:p w14:paraId="19AFBBBE" w14:textId="77777777" w:rsidR="00B32EF2" w:rsidRDefault="00000000">
                        <w:r>
                          <w:rPr>
                            <w:rFonts w:ascii="Arial" w:eastAsia="Arial" w:hAnsi="Arial" w:cs="Arial"/>
                            <w:i/>
                            <w:sz w:val="18"/>
                          </w:rPr>
                          <w:t>trasmissione e la ricezione dei documenti informatici e trasmessi in via te</w:t>
                        </w:r>
                      </w:p>
                    </w:txbxContent>
                  </v:textbox>
                </v:rect>
                <v:rect id="Rectangle 19592" o:spid="_x0000_s4630" style="position:absolute;left:975;top:4074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oVFxAAAAN4AAAAPAAAAZHJzL2Rvd25yZXYueG1sRE9Ni8Iw&#10;EL0L/ocwgjdNFVy0axRRxB72sq4Lexyasa02k9BEW/31m4UFb/N4n7Ncd6YWd2p8ZVnBZJyAIM6t&#10;rrhQcPraj+YgfEDWWFsmBQ/ysF71e0tMtW35k+7HUIgYwj5FBWUILpXS5yUZ9GPriCN3to3BEGFT&#10;SN1gG8NNLadJ8iYNVhwbSnS0LSm/Hm9Gwc+OXbZvZX5+bt3HJZvXh9vpW6nhoNu8gwjUhZf4353p&#10;OH8xW0zh7514g1z9AgAA//8DAFBLAQItABQABgAIAAAAIQDb4fbL7gAAAIUBAAATAAAAAAAAAAAA&#10;AAAAAAAAAABbQ29udGVudF9UeXBlc10ueG1sUEsBAi0AFAAGAAgAAAAhAFr0LFu/AAAAFQEAAAsA&#10;AAAAAAAAAAAAAAAAHwEAAF9yZWxzLy5yZWxzUEsBAi0AFAAGAAgAAAAhANDihUXEAAAA3gAAAA8A&#10;AAAAAAAAAAAAAAAABwIAAGRycy9kb3ducmV2LnhtbFBLBQYAAAAAAwADALcAAAD4AgAAAAA=&#10;" filled="f" stroked="f">
                  <v:textbox inset="0,0,0,0">
                    <w:txbxContent>
                      <w:p w14:paraId="02932E62" w14:textId="77777777" w:rsidR="00B32EF2" w:rsidRDefault="00000000">
                        <w:r>
                          <w:rPr>
                            <w:rFonts w:ascii="Arial" w:eastAsia="Arial" w:hAnsi="Arial" w:cs="Arial"/>
                            <w:i/>
                            <w:sz w:val="18"/>
                          </w:rPr>
                          <w:t>-</w:t>
                        </w:r>
                      </w:p>
                    </w:txbxContent>
                  </v:textbox>
                </v:rect>
                <v:rect id="Rectangle 19593" o:spid="_x0000_s4631" style="position:absolute;left:32557;top:39512;width:65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DexQAAAN4AAAAPAAAAZHJzL2Rvd25yZXYueG1sRE9La8JA&#10;EL4X/A/LCN7qxkpFo6uIRZpDL/UBHofsmESzs0t2NWl/fbcgeJuP7zmLVWdqcafGV5YVjIYJCOLc&#10;6ooLBYf99nUKwgdkjbVlUvBDHlbL3ssCU21b/qb7LhQihrBPUUEZgkul9HlJBv3QOuLInW1jMETY&#10;FFI32MZwU8u3JJlIgxXHhhIdbUrKr7ubUXD6YJdtW5mffzfu65JN68/b4ajUoN+t5yACdeEpfrgz&#10;HefP3mdj+H8n3iCXfwAAAP//AwBQSwECLQAUAAYACAAAACEA2+H2y+4AAACFAQAAEwAAAAAAAAAA&#10;AAAAAAAAAAAAW0NvbnRlbnRfVHlwZXNdLnhtbFBLAQItABQABgAIAAAAIQBa9CxbvwAAABUBAAAL&#10;AAAAAAAAAAAAAAAAAB8BAABfcmVscy8ucmVsc1BLAQItABQABgAIAAAAIQC/riDexQAAAN4AAAAP&#10;AAAAAAAAAAAAAAAAAAcCAABkcnMvZG93bnJldi54bWxQSwUGAAAAAAMAAwC3AAAA+QIAAAAA&#10;" filled="f" stroked="f">
                  <v:textbox inset="0,0,0,0">
                    <w:txbxContent>
                      <w:p w14:paraId="06C18C53" w14:textId="77777777" w:rsidR="00B32EF2" w:rsidRDefault="00000000">
                        <w:r>
                          <w:rPr>
                            <w:rFonts w:ascii="Arial" w:eastAsia="Arial" w:hAnsi="Arial" w:cs="Arial"/>
                            <w:i/>
                            <w:sz w:val="18"/>
                          </w:rPr>
                          <w:t xml:space="preserve">lematica. </w:t>
                        </w:r>
                      </w:p>
                    </w:txbxContent>
                  </v:textbox>
                </v:rect>
                <v:rect id="Rectangle 201432" o:spid="_x0000_s4632" style="position:absolute;left:25792;top:38279;width:512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GeGyAAAAN8AAAAPAAAAZHJzL2Rvd25yZXYueG1sRI9Pa8JA&#10;FMTvgt9heYI33ZhKkdRVRJHm0Ev9Az0+ss8kbfbtkl1N7Kd3CwWPw8z8hlmue9OIG7W+tqxgNk1A&#10;EBdW11wqOB33kwUIH5A1NpZJwZ08rFfDwRIzbTv+pNshlCJC2GeooArBZVL6oiKDfmodcfQutjUY&#10;omxLqVvsItw0Mk2SV2mw5rhQoaNtRcXP4WoUfO3Y5ftOFpffrfv4zhfN+/V0Vmo86jdvIAL14Rn+&#10;b+daQZrM5i8p/P2JX0CuHgAAAP//AwBQSwECLQAUAAYACAAAACEA2+H2y+4AAACFAQAAEwAAAAAA&#10;AAAAAAAAAAAAAAAAW0NvbnRlbnRfVHlwZXNdLnhtbFBLAQItABQABgAIAAAAIQBa9CxbvwAAABUB&#10;AAALAAAAAAAAAAAAAAAAAB8BAABfcmVscy8ucmVsc1BLAQItABQABgAIAAAAIQD9yGeGyAAAAN8A&#10;AAAPAAAAAAAAAAAAAAAAAAcCAABkcnMvZG93bnJldi54bWxQSwUGAAAAAAMAAwC3AAAA/AIAAAAA&#10;" filled="f" stroked="f">
                  <v:textbox inset="0,0,0,0">
                    <w:txbxContent>
                      <w:p w14:paraId="5313C8F2" w14:textId="77777777" w:rsidR="00B32EF2" w:rsidRDefault="00000000">
                        <w:r>
                          <w:rPr>
                            <w:rFonts w:ascii="Arial" w:eastAsia="Arial" w:hAnsi="Arial" w:cs="Arial"/>
                            <w:i/>
                            <w:sz w:val="18"/>
                          </w:rPr>
                          <w:t>4</w:t>
                        </w:r>
                      </w:p>
                    </w:txbxContent>
                  </v:textbox>
                </v:rect>
                <v:rect id="Rectangle 201433" o:spid="_x0000_s4633" style="position:absolute;left:-12580;top:38279;width:512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MIdxwAAAN8AAAAPAAAAZHJzL2Rvd25yZXYueG1sRI9Ba8JA&#10;FITvgv9heUJvulGLSHQVUcQcvNRa6PGRfSbR7Nslu5rUX98tCD0OM/MNs1x3phYPanxlWcF4lIAg&#10;zq2uuFBw/twP5yB8QNZYWyYFP+Rhver3lphq2/IHPU6hEBHCPkUFZQguldLnJRn0I+uIo3exjcEQ&#10;ZVNI3WAb4aaWkySZSYMVx4USHW1Lym+nu1HwvWOX7VuZX55bd7xm8/pwP38p9TboNgsQgbrwH361&#10;M61gkozfp1P4+xO/gFz9AgAA//8DAFBLAQItABQABgAIAAAAIQDb4fbL7gAAAIUBAAATAAAAAAAA&#10;AAAAAAAAAAAAAABbQ29udGVudF9UeXBlc10ueG1sUEsBAi0AFAAGAAgAAAAhAFr0LFu/AAAAFQEA&#10;AAsAAAAAAAAAAAAAAAAAHwEAAF9yZWxzLy5yZWxzUEsBAi0AFAAGAAgAAAAhAJKEwh3HAAAA3wAA&#10;AA8AAAAAAAAAAAAAAAAABwIAAGRycy9kb3ducmV2LnhtbFBLBQYAAAAAAwADALcAAAD7AgAAAAA=&#10;" filled="f" stroked="f">
                  <v:textbox inset="0,0,0,0">
                    <w:txbxContent>
                      <w:p w14:paraId="55EF12B8" w14:textId="77777777" w:rsidR="00B32EF2" w:rsidRDefault="00000000">
                        <w:r>
                          <w:rPr>
                            <w:rFonts w:ascii="Arial" w:eastAsia="Arial" w:hAnsi="Arial" w:cs="Arial"/>
                            <w:i/>
                            <w:sz w:val="18"/>
                          </w:rPr>
                          <w:t xml:space="preserve">. La procura speciale si presume conferita soltanto per un determinato </w:t>
                        </w:r>
                      </w:p>
                    </w:txbxContent>
                  </v:textbox>
                </v:rect>
                <v:rect id="Rectangle 19595" o:spid="_x0000_s4634" style="position:absolute;left:-7737;top:37046;width:4687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0xxAAAAN4AAAAPAAAAZHJzL2Rvd25yZXYueG1sRE9Ni8Iw&#10;EL0L/ocwgjdNFVy0axRRxB72sq4Lexyasa02k9BEW/31m4UFb/N4n7Ncd6YWd2p8ZVnBZJyAIM6t&#10;rrhQcPraj+YgfEDWWFsmBQ/ysF71e0tMtW35k+7HUIgYwj5FBWUILpXS5yUZ9GPriCN3to3BEGFT&#10;SN1gG8NNLadJ8iYNVhwbSnS0LSm/Hm9Gwc+OXbZvZX5+bt3HJZvXh9vpW6nhoNu8gwjUhZf4353p&#10;OH8xW8zg7514g1z9AgAA//8DAFBLAQItABQABgAIAAAAIQDb4fbL7gAAAIUBAAATAAAAAAAAAAAA&#10;AAAAAAAAAABbQ29udGVudF9UeXBlc10ueG1sUEsBAi0AFAAGAAgAAAAhAFr0LFu/AAAAFQEAAAsA&#10;AAAAAAAAAAAAAAAAHwEAAF9yZWxzLy5yZWxzUEsBAi0AFAAGAAgAAAAhAF8LHTHEAAAA3gAAAA8A&#10;AAAAAAAAAAAAAAAABwIAAGRycy9kb3ducmV2LnhtbFBLBQYAAAAAAwADALcAAAD4AgAAAAA=&#10;" filled="f" stroked="f">
                  <v:textbox inset="0,0,0,0">
                    <w:txbxContent>
                      <w:p w14:paraId="63C2DC5E" w14:textId="77777777" w:rsidR="00B32EF2" w:rsidRDefault="00000000">
                        <w:r>
                          <w:rPr>
                            <w:rFonts w:ascii="Arial" w:eastAsia="Arial" w:hAnsi="Arial" w:cs="Arial"/>
                            <w:i/>
                            <w:sz w:val="18"/>
                          </w:rPr>
                          <w:t>grado del processo, quando nell’atto non è espressa volontà diversa.</w:t>
                        </w:r>
                      </w:p>
                    </w:txbxContent>
                  </v:textbox>
                </v:rect>
                <v:shape id="Shape 19596" o:spid="_x0000_s4635" style="position:absolute;left:317;top:36592;width:39600;height:26099;visibility:visible;mso-wrap-style:square;v-text-anchor:top" coordsize="3960000,2609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HztwwAAAN4AAAAPAAAAZHJzL2Rvd25yZXYueG1sRE9NawIx&#10;EL0L/Q9hCt40W7Giq1FEEQs9qaXobdiMm7WbyZJE3f77piB4m8f7nNmitbW4kQ+VYwVv/QwEceF0&#10;xaWCr8OmNwYRIrLG2jEp+KUAi/lLZ4a5dnfe0W0fS5FCOOSowMTY5FKGwpDF0HcNceLOzluMCfpS&#10;ao/3FG5rOciykbRYcWow2NDKUPGzv1oFp/X2GAaX789LxXo5bM3wwN4p1X1tl1MQkdr4FD/cHzrN&#10;n7xPRvD/TrpBzv8AAAD//wMAUEsBAi0AFAAGAAgAAAAhANvh9svuAAAAhQEAABMAAAAAAAAAAAAA&#10;AAAAAAAAAFtDb250ZW50X1R5cGVzXS54bWxQSwECLQAUAAYACAAAACEAWvQsW78AAAAVAQAACwAA&#10;AAAAAAAAAAAAAAAfAQAAX3JlbHMvLnJlbHNQSwECLQAUAAYACAAAACEAHdx87cMAAADeAAAADwAA&#10;AAAAAAAAAAAAAAAHAgAAZHJzL2Rvd25yZXYueG1sUEsFBgAAAAADAAMAtwAAAPcCAAAAAA==&#10;" path="m,2609901r3960000,l3960000,,,,,2609901xe" filled="f" strokeweight="1pt">
                  <v:stroke miterlimit="1" joinstyle="miter"/>
                  <v:path arrowok="t" textboxrect="0,0,3960000,2609901"/>
                </v:shape>
                <w10:anchorlock/>
              </v:group>
            </w:pict>
          </mc:Fallback>
        </mc:AlternateContent>
      </w:r>
    </w:p>
    <w:p w14:paraId="15607F32" w14:textId="77777777" w:rsidR="00B32EF2" w:rsidRDefault="00000000">
      <w:pPr>
        <w:spacing w:after="0"/>
        <w:ind w:left="-306" w:right="-306"/>
      </w:pPr>
      <w:r>
        <w:rPr>
          <w:noProof/>
        </w:rPr>
        <w:lastRenderedPageBreak/>
        <mc:AlternateContent>
          <mc:Choice Requires="wpg">
            <w:drawing>
              <wp:inline distT="0" distB="0" distL="0" distR="0" wp14:anchorId="07ADF4F8" wp14:editId="379B85EB">
                <wp:extent cx="3960001" cy="6256497"/>
                <wp:effectExtent l="0" t="0" r="0" b="0"/>
                <wp:docPr id="201525" name="Group 201525"/>
                <wp:cNvGraphicFramePr/>
                <a:graphic xmlns:a="http://schemas.openxmlformats.org/drawingml/2006/main">
                  <a:graphicData uri="http://schemas.microsoft.com/office/word/2010/wordprocessingGroup">
                    <wpg:wgp>
                      <wpg:cNvGrpSpPr/>
                      <wpg:grpSpPr>
                        <a:xfrm>
                          <a:off x="0" y="0"/>
                          <a:ext cx="3960001" cy="6256497"/>
                          <a:chOff x="0" y="0"/>
                          <a:chExt cx="3960001" cy="6256497"/>
                        </a:xfrm>
                      </wpg:grpSpPr>
                      <wps:wsp>
                        <wps:cNvPr id="19622" name="Rectangle 19622"/>
                        <wps:cNvSpPr/>
                        <wps:spPr>
                          <a:xfrm rot="-10799999">
                            <a:off x="1868687" y="-62190"/>
                            <a:ext cx="178369" cy="250646"/>
                          </a:xfrm>
                          <a:prstGeom prst="rect">
                            <a:avLst/>
                          </a:prstGeom>
                          <a:ln>
                            <a:noFill/>
                          </a:ln>
                        </wps:spPr>
                        <wps:txbx>
                          <w:txbxContent>
                            <w:p w14:paraId="4BF97B61" w14:textId="77777777" w:rsidR="00B32EF2" w:rsidRDefault="00000000">
                              <w:r>
                                <w:rPr>
                                  <w:rFonts w:ascii="Times New Roman" w:eastAsia="Times New Roman" w:hAnsi="Times New Roman" w:cs="Times New Roman"/>
                                </w:rPr>
                                <w:t>51</w:t>
                              </w:r>
                            </w:p>
                          </w:txbxContent>
                        </wps:txbx>
                        <wps:bodyPr horzOverflow="overflow" vert="horz" lIns="0" tIns="0" rIns="0" bIns="0" rtlCol="0">
                          <a:noAutofit/>
                        </wps:bodyPr>
                      </wps:wsp>
                      <wps:wsp>
                        <wps:cNvPr id="208010" name="Shape 208010"/>
                        <wps:cNvSpPr/>
                        <wps:spPr>
                          <a:xfrm>
                            <a:off x="1" y="414698"/>
                            <a:ext cx="3960000" cy="5841797"/>
                          </a:xfrm>
                          <a:custGeom>
                            <a:avLst/>
                            <a:gdLst/>
                            <a:ahLst/>
                            <a:cxnLst/>
                            <a:rect l="0" t="0" r="0" b="0"/>
                            <a:pathLst>
                              <a:path w="3960000" h="5841797">
                                <a:moveTo>
                                  <a:pt x="0" y="0"/>
                                </a:moveTo>
                                <a:lnTo>
                                  <a:pt x="3960000" y="0"/>
                                </a:lnTo>
                                <a:lnTo>
                                  <a:pt x="3960000" y="5841797"/>
                                </a:lnTo>
                                <a:lnTo>
                                  <a:pt x="0" y="5841797"/>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9624" name="Rectangle 19624"/>
                        <wps:cNvSpPr/>
                        <wps:spPr>
                          <a:xfrm rot="-10799999">
                            <a:off x="-1218316" y="6035263"/>
                            <a:ext cx="5098825" cy="142891"/>
                          </a:xfrm>
                          <a:prstGeom prst="rect">
                            <a:avLst/>
                          </a:prstGeom>
                          <a:ln>
                            <a:noFill/>
                          </a:ln>
                        </wps:spPr>
                        <wps:txbx>
                          <w:txbxContent>
                            <w:p w14:paraId="1F20898E" w14:textId="77777777" w:rsidR="00B32EF2" w:rsidRDefault="00000000">
                              <w:r>
                                <w:rPr>
                                  <w:rFonts w:ascii="Arial" w:eastAsia="Arial" w:hAnsi="Arial" w:cs="Arial"/>
                                  <w:i/>
                                  <w:sz w:val="18"/>
                                </w:rPr>
                                <w:t xml:space="preserve">mati in origine su supporto analogico hanno la stessa efficacia probatoria </w:t>
                              </w:r>
                            </w:p>
                          </w:txbxContent>
                        </wps:txbx>
                        <wps:bodyPr horzOverflow="overflow" vert="horz" lIns="0" tIns="0" rIns="0" bIns="0" rtlCol="0">
                          <a:noAutofit/>
                        </wps:bodyPr>
                      </wps:wsp>
                      <wps:wsp>
                        <wps:cNvPr id="19625" name="Rectangle 19625"/>
                        <wps:cNvSpPr/>
                        <wps:spPr>
                          <a:xfrm rot="-10799999">
                            <a:off x="-1222775" y="5911934"/>
                            <a:ext cx="5116427" cy="142889"/>
                          </a:xfrm>
                          <a:prstGeom prst="rect">
                            <a:avLst/>
                          </a:prstGeom>
                          <a:ln>
                            <a:noFill/>
                          </a:ln>
                        </wps:spPr>
                        <wps:txbx>
                          <w:txbxContent>
                            <w:p w14:paraId="2F14CF14" w14:textId="77777777" w:rsidR="00B32EF2" w:rsidRDefault="00000000">
                              <w:r>
                                <w:rPr>
                                  <w:rFonts w:ascii="Arial" w:eastAsia="Arial" w:hAnsi="Arial" w:cs="Arial"/>
                                  <w:i/>
                                  <w:sz w:val="18"/>
                                </w:rPr>
                                <w:t xml:space="preserve">degli originali da cui sono estratte, se la loro conformità è attestata da un </w:t>
                              </w:r>
                            </w:p>
                          </w:txbxContent>
                        </wps:txbx>
                        <wps:bodyPr horzOverflow="overflow" vert="horz" lIns="0" tIns="0" rIns="0" bIns="0" rtlCol="0">
                          <a:noAutofit/>
                        </wps:bodyPr>
                      </wps:wsp>
                      <wps:wsp>
                        <wps:cNvPr id="19626" name="Rectangle 19626"/>
                        <wps:cNvSpPr/>
                        <wps:spPr>
                          <a:xfrm rot="-10799999">
                            <a:off x="-1162221" y="5788605"/>
                            <a:ext cx="5042729" cy="142889"/>
                          </a:xfrm>
                          <a:prstGeom prst="rect">
                            <a:avLst/>
                          </a:prstGeom>
                          <a:ln>
                            <a:noFill/>
                          </a:ln>
                        </wps:spPr>
                        <wps:txbx>
                          <w:txbxContent>
                            <w:p w14:paraId="0F3AD919" w14:textId="77777777" w:rsidR="00B32EF2" w:rsidRDefault="00000000">
                              <w:r>
                                <w:rPr>
                                  <w:rFonts w:ascii="Arial" w:eastAsia="Arial" w:hAnsi="Arial" w:cs="Arial"/>
                                  <w:i/>
                                  <w:sz w:val="18"/>
                                </w:rPr>
                                <w:t>notaio o da altro pubblico ufficiale a ciò autorizzato, secondo le Linee guida.</w:t>
                              </w:r>
                            </w:p>
                          </w:txbxContent>
                        </wps:txbx>
                        <wps:bodyPr horzOverflow="overflow" vert="horz" lIns="0" tIns="0" rIns="0" bIns="0" rtlCol="0">
                          <a:noAutofit/>
                        </wps:bodyPr>
                      </wps:wsp>
                      <wps:wsp>
                        <wps:cNvPr id="201417" name="Rectangle 201417"/>
                        <wps:cNvSpPr/>
                        <wps:spPr>
                          <a:xfrm rot="-10799999">
                            <a:off x="2547732" y="5665275"/>
                            <a:ext cx="5119971" cy="142889"/>
                          </a:xfrm>
                          <a:prstGeom prst="rect">
                            <a:avLst/>
                          </a:prstGeom>
                          <a:ln>
                            <a:noFill/>
                          </a:ln>
                        </wps:spPr>
                        <wps:txbx>
                          <w:txbxContent>
                            <w:p w14:paraId="2D8580BD"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1418" name="Rectangle 201418"/>
                        <wps:cNvSpPr/>
                        <wps:spPr>
                          <a:xfrm rot="-10799999">
                            <a:off x="-1290359" y="5665275"/>
                            <a:ext cx="5119970" cy="142889"/>
                          </a:xfrm>
                          <a:prstGeom prst="rect">
                            <a:avLst/>
                          </a:prstGeom>
                          <a:ln>
                            <a:noFill/>
                          </a:ln>
                        </wps:spPr>
                        <wps:txbx>
                          <w:txbxContent>
                            <w:p w14:paraId="5F3CC6B8" w14:textId="77777777" w:rsidR="00B32EF2" w:rsidRDefault="00000000">
                              <w:r>
                                <w:rPr>
                                  <w:rFonts w:ascii="Arial" w:eastAsia="Arial" w:hAnsi="Arial" w:cs="Arial"/>
                                  <w:i/>
                                  <w:sz w:val="18"/>
                                </w:rPr>
                                <w:t xml:space="preserve">. Le copie per immagine su supporto informatico di documenti originali </w:t>
                              </w:r>
                            </w:p>
                          </w:txbxContent>
                        </wps:txbx>
                        <wps:bodyPr horzOverflow="overflow" vert="horz" lIns="0" tIns="0" rIns="0" bIns="0" rtlCol="0">
                          <a:noAutofit/>
                        </wps:bodyPr>
                      </wps:wsp>
                      <wps:wsp>
                        <wps:cNvPr id="19628" name="Rectangle 19628"/>
                        <wps:cNvSpPr/>
                        <wps:spPr>
                          <a:xfrm rot="-10799999">
                            <a:off x="-1123407" y="5541945"/>
                            <a:ext cx="5005059" cy="142889"/>
                          </a:xfrm>
                          <a:prstGeom prst="rect">
                            <a:avLst/>
                          </a:prstGeom>
                          <a:ln>
                            <a:noFill/>
                          </a:ln>
                        </wps:spPr>
                        <wps:txbx>
                          <w:txbxContent>
                            <w:p w14:paraId="59AC6742" w14:textId="77777777" w:rsidR="00B32EF2" w:rsidRDefault="00000000">
                              <w:r>
                                <w:rPr>
                                  <w:rFonts w:ascii="Arial" w:eastAsia="Arial" w:hAnsi="Arial" w:cs="Arial"/>
                                  <w:i/>
                                  <w:sz w:val="18"/>
                                </w:rPr>
                                <w:t>formati in origine su supporto analogico nel rispetto delle Linee guida han</w:t>
                              </w:r>
                            </w:p>
                          </w:txbxContent>
                        </wps:txbx>
                        <wps:bodyPr horzOverflow="overflow" vert="horz" lIns="0" tIns="0" rIns="0" bIns="0" rtlCol="0">
                          <a:noAutofit/>
                        </wps:bodyPr>
                      </wps:wsp>
                      <wps:wsp>
                        <wps:cNvPr id="19629" name="Rectangle 19629"/>
                        <wps:cNvSpPr/>
                        <wps:spPr>
                          <a:xfrm rot="-10799999">
                            <a:off x="65757" y="5541946"/>
                            <a:ext cx="50622" cy="142889"/>
                          </a:xfrm>
                          <a:prstGeom prst="rect">
                            <a:avLst/>
                          </a:prstGeom>
                          <a:ln>
                            <a:noFill/>
                          </a:ln>
                        </wps:spPr>
                        <wps:txbx>
                          <w:txbxContent>
                            <w:p w14:paraId="6011FB7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630" name="Rectangle 19630"/>
                        <wps:cNvSpPr/>
                        <wps:spPr>
                          <a:xfrm rot="-10799999">
                            <a:off x="-1219011" y="5418616"/>
                            <a:ext cx="5100663" cy="142889"/>
                          </a:xfrm>
                          <a:prstGeom prst="rect">
                            <a:avLst/>
                          </a:prstGeom>
                          <a:ln>
                            <a:noFill/>
                          </a:ln>
                        </wps:spPr>
                        <wps:txbx>
                          <w:txbxContent>
                            <w:p w14:paraId="1F42DB1D" w14:textId="77777777" w:rsidR="00B32EF2" w:rsidRDefault="00000000">
                              <w:r>
                                <w:rPr>
                                  <w:rFonts w:ascii="Arial" w:eastAsia="Arial" w:hAnsi="Arial" w:cs="Arial"/>
                                  <w:i/>
                                  <w:sz w:val="18"/>
                                </w:rPr>
                                <w:t xml:space="preserve">no la stessa efficacia probatoria degli originali da cui sono tratte se la loro </w:t>
                              </w:r>
                            </w:p>
                          </w:txbxContent>
                        </wps:txbx>
                        <wps:bodyPr horzOverflow="overflow" vert="horz" lIns="0" tIns="0" rIns="0" bIns="0" rtlCol="0">
                          <a:noAutofit/>
                        </wps:bodyPr>
                      </wps:wsp>
                      <wps:wsp>
                        <wps:cNvPr id="19631" name="Rectangle 19631"/>
                        <wps:cNvSpPr/>
                        <wps:spPr>
                          <a:xfrm rot="-10799999">
                            <a:off x="-196036" y="5295286"/>
                            <a:ext cx="4078715" cy="142889"/>
                          </a:xfrm>
                          <a:prstGeom prst="rect">
                            <a:avLst/>
                          </a:prstGeom>
                          <a:ln>
                            <a:noFill/>
                          </a:ln>
                        </wps:spPr>
                        <wps:txbx>
                          <w:txbxContent>
                            <w:p w14:paraId="46FC73B0" w14:textId="77777777" w:rsidR="00B32EF2" w:rsidRDefault="00000000">
                              <w:r>
                                <w:rPr>
                                  <w:rFonts w:ascii="Arial" w:eastAsia="Arial" w:hAnsi="Arial" w:cs="Arial"/>
                                  <w:i/>
                                  <w:sz w:val="18"/>
                                </w:rPr>
                                <w:t>conformità all’originale non è espressamente disconosciuta.</w:t>
                              </w:r>
                            </w:p>
                          </w:txbxContent>
                        </wps:txbx>
                        <wps:bodyPr horzOverflow="overflow" vert="horz" lIns="0" tIns="0" rIns="0" bIns="0" rtlCol="0">
                          <a:noAutofit/>
                        </wps:bodyPr>
                      </wps:wsp>
                      <wps:wsp>
                        <wps:cNvPr id="201415" name="Rectangle 201415"/>
                        <wps:cNvSpPr/>
                        <wps:spPr>
                          <a:xfrm rot="-10799999">
                            <a:off x="-1284857" y="5171956"/>
                            <a:ext cx="5100421" cy="142889"/>
                          </a:xfrm>
                          <a:prstGeom prst="rect">
                            <a:avLst/>
                          </a:prstGeom>
                          <a:ln>
                            <a:noFill/>
                          </a:ln>
                        </wps:spPr>
                        <wps:txbx>
                          <w:txbxContent>
                            <w:p w14:paraId="36FD4CF2" w14:textId="77777777" w:rsidR="00B32EF2" w:rsidRDefault="00000000">
                              <w:r>
                                <w:rPr>
                                  <w:rFonts w:ascii="Arial" w:eastAsia="Arial" w:hAnsi="Arial" w:cs="Arial"/>
                                  <w:i/>
                                  <w:sz w:val="18"/>
                                </w:rPr>
                                <w:t xml:space="preserve">. Le copie formate ai sensi dei commi 1, 1-bis, 2 e 3 sostituiscono ad ogni </w:t>
                              </w:r>
                            </w:p>
                          </w:txbxContent>
                        </wps:txbx>
                        <wps:bodyPr horzOverflow="overflow" vert="horz" lIns="0" tIns="0" rIns="0" bIns="0" rtlCol="0">
                          <a:noAutofit/>
                        </wps:bodyPr>
                      </wps:wsp>
                      <wps:wsp>
                        <wps:cNvPr id="201414" name="Rectangle 201414"/>
                        <wps:cNvSpPr/>
                        <wps:spPr>
                          <a:xfrm rot="-10799999">
                            <a:off x="2552583" y="5171956"/>
                            <a:ext cx="5100420" cy="142889"/>
                          </a:xfrm>
                          <a:prstGeom prst="rect">
                            <a:avLst/>
                          </a:prstGeom>
                          <a:ln>
                            <a:noFill/>
                          </a:ln>
                        </wps:spPr>
                        <wps:txbx>
                          <w:txbxContent>
                            <w:p w14:paraId="27887B95"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19633" name="Rectangle 19633"/>
                        <wps:cNvSpPr/>
                        <wps:spPr>
                          <a:xfrm rot="-10799999">
                            <a:off x="-1218619" y="5048627"/>
                            <a:ext cx="5099128" cy="142889"/>
                          </a:xfrm>
                          <a:prstGeom prst="rect">
                            <a:avLst/>
                          </a:prstGeom>
                          <a:ln>
                            <a:noFill/>
                          </a:ln>
                        </wps:spPr>
                        <wps:txbx>
                          <w:txbxContent>
                            <w:p w14:paraId="3D8E5695" w14:textId="77777777" w:rsidR="00B32EF2" w:rsidRDefault="00000000">
                              <w:r>
                                <w:rPr>
                                  <w:rFonts w:ascii="Arial" w:eastAsia="Arial" w:hAnsi="Arial" w:cs="Arial"/>
                                  <w:i/>
                                  <w:sz w:val="18"/>
                                </w:rPr>
                                <w:t xml:space="preserve">effetto di legge gli originali formati in origine su supporto analogico, e sono </w:t>
                              </w:r>
                            </w:p>
                          </w:txbxContent>
                        </wps:txbx>
                        <wps:bodyPr horzOverflow="overflow" vert="horz" lIns="0" tIns="0" rIns="0" bIns="0" rtlCol="0">
                          <a:noAutofit/>
                        </wps:bodyPr>
                      </wps:wsp>
                      <wps:wsp>
                        <wps:cNvPr id="19634" name="Rectangle 19634"/>
                        <wps:cNvSpPr/>
                        <wps:spPr>
                          <a:xfrm rot="-10799999">
                            <a:off x="-1122084" y="4925297"/>
                            <a:ext cx="5003736" cy="142889"/>
                          </a:xfrm>
                          <a:prstGeom prst="rect">
                            <a:avLst/>
                          </a:prstGeom>
                          <a:ln>
                            <a:noFill/>
                          </a:ln>
                        </wps:spPr>
                        <wps:txbx>
                          <w:txbxContent>
                            <w:p w14:paraId="432EE30B" w14:textId="77777777" w:rsidR="00B32EF2" w:rsidRDefault="00000000">
                              <w:r>
                                <w:rPr>
                                  <w:rFonts w:ascii="Arial" w:eastAsia="Arial" w:hAnsi="Arial" w:cs="Arial"/>
                                  <w:i/>
                                  <w:sz w:val="18"/>
                                </w:rPr>
                                <w:t>idonee ad assolvere agli obblighi di conservazione previsti dalla legge, sal</w:t>
                              </w:r>
                            </w:p>
                          </w:txbxContent>
                        </wps:txbx>
                        <wps:bodyPr horzOverflow="overflow" vert="horz" lIns="0" tIns="0" rIns="0" bIns="0" rtlCol="0">
                          <a:noAutofit/>
                        </wps:bodyPr>
                      </wps:wsp>
                      <wps:wsp>
                        <wps:cNvPr id="19635" name="Rectangle 19635"/>
                        <wps:cNvSpPr/>
                        <wps:spPr>
                          <a:xfrm rot="-10799999">
                            <a:off x="65757" y="4925297"/>
                            <a:ext cx="50622" cy="142889"/>
                          </a:xfrm>
                          <a:prstGeom prst="rect">
                            <a:avLst/>
                          </a:prstGeom>
                          <a:ln>
                            <a:noFill/>
                          </a:ln>
                        </wps:spPr>
                        <wps:txbx>
                          <w:txbxContent>
                            <w:p w14:paraId="4FE90A7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636" name="Rectangle 19636"/>
                        <wps:cNvSpPr/>
                        <wps:spPr>
                          <a:xfrm rot="-10799999">
                            <a:off x="1678956" y="4801967"/>
                            <a:ext cx="2202695" cy="142889"/>
                          </a:xfrm>
                          <a:prstGeom prst="rect">
                            <a:avLst/>
                          </a:prstGeom>
                          <a:ln>
                            <a:noFill/>
                          </a:ln>
                        </wps:spPr>
                        <wps:txbx>
                          <w:txbxContent>
                            <w:p w14:paraId="46754F96" w14:textId="77777777" w:rsidR="00B32EF2" w:rsidRDefault="00000000">
                              <w:r>
                                <w:rPr>
                                  <w:rFonts w:ascii="Arial" w:eastAsia="Arial" w:hAnsi="Arial" w:cs="Arial"/>
                                  <w:i/>
                                  <w:sz w:val="18"/>
                                </w:rPr>
                                <w:t>vo quanto stabilito dal comma 5.</w:t>
                              </w:r>
                            </w:p>
                          </w:txbxContent>
                        </wps:txbx>
                        <wps:bodyPr horzOverflow="overflow" vert="horz" lIns="0" tIns="0" rIns="0" bIns="0" rtlCol="0">
                          <a:noAutofit/>
                        </wps:bodyPr>
                      </wps:wsp>
                      <wps:wsp>
                        <wps:cNvPr id="201413" name="Rectangle 201413"/>
                        <wps:cNvSpPr/>
                        <wps:spPr>
                          <a:xfrm rot="-10799999">
                            <a:off x="-1332835" y="4678638"/>
                            <a:ext cx="5112840" cy="142889"/>
                          </a:xfrm>
                          <a:prstGeom prst="rect">
                            <a:avLst/>
                          </a:prstGeom>
                          <a:ln>
                            <a:noFill/>
                          </a:ln>
                        </wps:spPr>
                        <wps:txbx>
                          <w:txbxContent>
                            <w:p w14:paraId="142B55AD" w14:textId="77777777" w:rsidR="00B32EF2" w:rsidRDefault="00000000">
                              <w:r>
                                <w:rPr>
                                  <w:rFonts w:ascii="Arial" w:eastAsia="Arial" w:hAnsi="Arial" w:cs="Arial"/>
                                  <w:i/>
                                  <w:sz w:val="18"/>
                                </w:rPr>
                                <w:t xml:space="preserve">bis. Le copie per immagine su supporto informatico di atti e documenti </w:t>
                              </w:r>
                            </w:p>
                          </w:txbxContent>
                        </wps:txbx>
                        <wps:bodyPr horzOverflow="overflow" vert="horz" lIns="0" tIns="0" rIns="0" bIns="0" rtlCol="0">
                          <a:noAutofit/>
                        </wps:bodyPr>
                      </wps:wsp>
                      <wps:wsp>
                        <wps:cNvPr id="201412" name="Rectangle 201412"/>
                        <wps:cNvSpPr/>
                        <wps:spPr>
                          <a:xfrm rot="-10799999">
                            <a:off x="2506192" y="4678638"/>
                            <a:ext cx="5112840" cy="142889"/>
                          </a:xfrm>
                          <a:prstGeom prst="rect">
                            <a:avLst/>
                          </a:prstGeom>
                          <a:ln>
                            <a:noFill/>
                          </a:ln>
                        </wps:spPr>
                        <wps:txbx>
                          <w:txbxContent>
                            <w:p w14:paraId="714F2E57"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19638" name="Rectangle 19638"/>
                        <wps:cNvSpPr/>
                        <wps:spPr>
                          <a:xfrm rot="-10799999">
                            <a:off x="-1122586" y="4555308"/>
                            <a:ext cx="5004237" cy="142889"/>
                          </a:xfrm>
                          <a:prstGeom prst="rect">
                            <a:avLst/>
                          </a:prstGeom>
                          <a:ln>
                            <a:noFill/>
                          </a:ln>
                        </wps:spPr>
                        <wps:txbx>
                          <w:txbxContent>
                            <w:p w14:paraId="0E6601F8" w14:textId="77777777" w:rsidR="00B32EF2" w:rsidRDefault="00000000">
                              <w:r>
                                <w:rPr>
                                  <w:rFonts w:ascii="Arial" w:eastAsia="Arial" w:hAnsi="Arial" w:cs="Arial"/>
                                  <w:i/>
                                  <w:sz w:val="18"/>
                                </w:rPr>
                                <w:t>originali formati in origine su supporto analogico, depositati in procedimen</w:t>
                              </w:r>
                            </w:p>
                          </w:txbxContent>
                        </wps:txbx>
                        <wps:bodyPr horzOverflow="overflow" vert="horz" lIns="0" tIns="0" rIns="0" bIns="0" rtlCol="0">
                          <a:noAutofit/>
                        </wps:bodyPr>
                      </wps:wsp>
                      <wps:wsp>
                        <wps:cNvPr id="19639" name="Rectangle 19639"/>
                        <wps:cNvSpPr/>
                        <wps:spPr>
                          <a:xfrm rot="-10799999">
                            <a:off x="65757" y="4555308"/>
                            <a:ext cx="50622" cy="142889"/>
                          </a:xfrm>
                          <a:prstGeom prst="rect">
                            <a:avLst/>
                          </a:prstGeom>
                          <a:ln>
                            <a:noFill/>
                          </a:ln>
                        </wps:spPr>
                        <wps:txbx>
                          <w:txbxContent>
                            <w:p w14:paraId="3DE7AFF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640" name="Rectangle 19640"/>
                        <wps:cNvSpPr/>
                        <wps:spPr>
                          <a:xfrm rot="-10799999">
                            <a:off x="-1218920" y="4431978"/>
                            <a:ext cx="5100572" cy="142889"/>
                          </a:xfrm>
                          <a:prstGeom prst="rect">
                            <a:avLst/>
                          </a:prstGeom>
                          <a:ln>
                            <a:noFill/>
                          </a:ln>
                        </wps:spPr>
                        <wps:txbx>
                          <w:txbxContent>
                            <w:p w14:paraId="17580EAF" w14:textId="77777777" w:rsidR="00B32EF2" w:rsidRDefault="00000000">
                              <w:r>
                                <w:rPr>
                                  <w:rFonts w:ascii="Arial" w:eastAsia="Arial" w:hAnsi="Arial" w:cs="Arial"/>
                                  <w:i/>
                                  <w:sz w:val="18"/>
                                </w:rPr>
                                <w:t xml:space="preserve">ti giudiziari civili definiti con provvedimento decisorio non più soggetto a </w:t>
                              </w:r>
                            </w:p>
                          </w:txbxContent>
                        </wps:txbx>
                        <wps:bodyPr horzOverflow="overflow" vert="horz" lIns="0" tIns="0" rIns="0" bIns="0" rtlCol="0">
                          <a:noAutofit/>
                        </wps:bodyPr>
                      </wps:wsp>
                      <wps:wsp>
                        <wps:cNvPr id="19641" name="Rectangle 19641"/>
                        <wps:cNvSpPr/>
                        <wps:spPr>
                          <a:xfrm rot="-10799999">
                            <a:off x="-1222094" y="4308648"/>
                            <a:ext cx="5114376" cy="142889"/>
                          </a:xfrm>
                          <a:prstGeom prst="rect">
                            <a:avLst/>
                          </a:prstGeom>
                          <a:ln>
                            <a:noFill/>
                          </a:ln>
                        </wps:spPr>
                        <wps:txbx>
                          <w:txbxContent>
                            <w:p w14:paraId="0AD0B942" w14:textId="77777777" w:rsidR="00B32EF2" w:rsidRDefault="00000000">
                              <w:r>
                                <w:rPr>
                                  <w:rFonts w:ascii="Arial" w:eastAsia="Arial" w:hAnsi="Arial" w:cs="Arial"/>
                                  <w:i/>
                                  <w:sz w:val="18"/>
                                </w:rPr>
                                <w:t xml:space="preserve">impugnazione da almeno un anno, sono idonee ad assolvere gli obblighi </w:t>
                              </w:r>
                            </w:p>
                          </w:txbxContent>
                        </wps:txbx>
                        <wps:bodyPr horzOverflow="overflow" vert="horz" lIns="0" tIns="0" rIns="0" bIns="0" rtlCol="0">
                          <a:noAutofit/>
                        </wps:bodyPr>
                      </wps:wsp>
                      <wps:wsp>
                        <wps:cNvPr id="19642" name="Rectangle 19642"/>
                        <wps:cNvSpPr/>
                        <wps:spPr>
                          <a:xfrm rot="-10799999">
                            <a:off x="-1218981" y="4185319"/>
                            <a:ext cx="5100634" cy="142889"/>
                          </a:xfrm>
                          <a:prstGeom prst="rect">
                            <a:avLst/>
                          </a:prstGeom>
                          <a:ln>
                            <a:noFill/>
                          </a:ln>
                        </wps:spPr>
                        <wps:txbx>
                          <w:txbxContent>
                            <w:p w14:paraId="68112862" w14:textId="77777777" w:rsidR="00B32EF2" w:rsidRDefault="00000000">
                              <w:r>
                                <w:rPr>
                                  <w:rFonts w:ascii="Arial" w:eastAsia="Arial" w:hAnsi="Arial" w:cs="Arial"/>
                                  <w:i/>
                                  <w:sz w:val="18"/>
                                </w:rPr>
                                <w:t xml:space="preserve">di conservazione previsti dalla legge se il cancelliere vi appone la firma </w:t>
                              </w:r>
                            </w:p>
                          </w:txbxContent>
                        </wps:txbx>
                        <wps:bodyPr horzOverflow="overflow" vert="horz" lIns="0" tIns="0" rIns="0" bIns="0" rtlCol="0">
                          <a:noAutofit/>
                        </wps:bodyPr>
                      </wps:wsp>
                      <wps:wsp>
                        <wps:cNvPr id="19643" name="Rectangle 19643"/>
                        <wps:cNvSpPr/>
                        <wps:spPr>
                          <a:xfrm rot="-10799999">
                            <a:off x="-1224851" y="4061989"/>
                            <a:ext cx="5124105" cy="142889"/>
                          </a:xfrm>
                          <a:prstGeom prst="rect">
                            <a:avLst/>
                          </a:prstGeom>
                          <a:ln>
                            <a:noFill/>
                          </a:ln>
                        </wps:spPr>
                        <wps:txbx>
                          <w:txbxContent>
                            <w:p w14:paraId="44BF5357" w14:textId="77777777" w:rsidR="00B32EF2" w:rsidRDefault="00000000">
                              <w:r>
                                <w:rPr>
                                  <w:rFonts w:ascii="Arial" w:eastAsia="Arial" w:hAnsi="Arial" w:cs="Arial"/>
                                  <w:i/>
                                  <w:sz w:val="18"/>
                                </w:rPr>
                                <w:t xml:space="preserve">digitale, ne attesta la conformità all’originale e le inserisce nel fascicolo </w:t>
                              </w:r>
                            </w:p>
                          </w:txbxContent>
                        </wps:txbx>
                        <wps:bodyPr horzOverflow="overflow" vert="horz" lIns="0" tIns="0" rIns="0" bIns="0" rtlCol="0">
                          <a:noAutofit/>
                        </wps:bodyPr>
                      </wps:wsp>
                      <wps:wsp>
                        <wps:cNvPr id="19644" name="Rectangle 19644"/>
                        <wps:cNvSpPr/>
                        <wps:spPr>
                          <a:xfrm rot="-10799999">
                            <a:off x="-1220310" y="3938659"/>
                            <a:ext cx="5105619" cy="142889"/>
                          </a:xfrm>
                          <a:prstGeom prst="rect">
                            <a:avLst/>
                          </a:prstGeom>
                          <a:ln>
                            <a:noFill/>
                          </a:ln>
                        </wps:spPr>
                        <wps:txbx>
                          <w:txbxContent>
                            <w:p w14:paraId="732983E9" w14:textId="77777777" w:rsidR="00B32EF2" w:rsidRDefault="00000000">
                              <w:r>
                                <w:rPr>
                                  <w:rFonts w:ascii="Arial" w:eastAsia="Arial" w:hAnsi="Arial" w:cs="Arial"/>
                                  <w:i/>
                                  <w:sz w:val="18"/>
                                </w:rPr>
                                <w:t xml:space="preserve">informatico nel rispetto della normativa anche regolamentare concernente </w:t>
                              </w:r>
                            </w:p>
                          </w:txbxContent>
                        </wps:txbx>
                        <wps:bodyPr horzOverflow="overflow" vert="horz" lIns="0" tIns="0" rIns="0" bIns="0" rtlCol="0">
                          <a:noAutofit/>
                        </wps:bodyPr>
                      </wps:wsp>
                      <wps:wsp>
                        <wps:cNvPr id="19645" name="Rectangle 19645"/>
                        <wps:cNvSpPr/>
                        <wps:spPr>
                          <a:xfrm rot="-10799999">
                            <a:off x="-1221933" y="3815330"/>
                            <a:ext cx="5111700" cy="142889"/>
                          </a:xfrm>
                          <a:prstGeom prst="rect">
                            <a:avLst/>
                          </a:prstGeom>
                          <a:ln>
                            <a:noFill/>
                          </a:ln>
                        </wps:spPr>
                        <wps:txbx>
                          <w:txbxContent>
                            <w:p w14:paraId="64DFC7C0" w14:textId="77777777" w:rsidR="00B32EF2" w:rsidRDefault="00000000">
                              <w:r>
                                <w:rPr>
                                  <w:rFonts w:ascii="Arial" w:eastAsia="Arial" w:hAnsi="Arial" w:cs="Arial"/>
                                  <w:i/>
                                  <w:sz w:val="18"/>
                                </w:rPr>
                                <w:t xml:space="preserve">il processo civile telematico. In tali casi, si può procedere alla distruzione </w:t>
                              </w:r>
                            </w:p>
                          </w:txbxContent>
                        </wps:txbx>
                        <wps:bodyPr horzOverflow="overflow" vert="horz" lIns="0" tIns="0" rIns="0" bIns="0" rtlCol="0">
                          <a:noAutofit/>
                        </wps:bodyPr>
                      </wps:wsp>
                      <wps:wsp>
                        <wps:cNvPr id="19646" name="Rectangle 19646"/>
                        <wps:cNvSpPr/>
                        <wps:spPr>
                          <a:xfrm rot="-10799999">
                            <a:off x="-1121810" y="3692000"/>
                            <a:ext cx="5003462" cy="142889"/>
                          </a:xfrm>
                          <a:prstGeom prst="rect">
                            <a:avLst/>
                          </a:prstGeom>
                          <a:ln>
                            <a:noFill/>
                          </a:ln>
                        </wps:spPr>
                        <wps:txbx>
                          <w:txbxContent>
                            <w:p w14:paraId="0ECFD71A" w14:textId="77777777" w:rsidR="00B32EF2" w:rsidRDefault="00000000">
                              <w:r>
                                <w:rPr>
                                  <w:rFonts w:ascii="Arial" w:eastAsia="Arial" w:hAnsi="Arial" w:cs="Arial"/>
                                  <w:i/>
                                  <w:sz w:val="18"/>
                                </w:rPr>
                                <w:t>degli originali analogici, secondo le modalità previste con decreto del Mi</w:t>
                              </w:r>
                            </w:p>
                          </w:txbxContent>
                        </wps:txbx>
                        <wps:bodyPr horzOverflow="overflow" vert="horz" lIns="0" tIns="0" rIns="0" bIns="0" rtlCol="0">
                          <a:noAutofit/>
                        </wps:bodyPr>
                      </wps:wsp>
                      <wps:wsp>
                        <wps:cNvPr id="19647" name="Rectangle 19647"/>
                        <wps:cNvSpPr/>
                        <wps:spPr>
                          <a:xfrm rot="-10799999">
                            <a:off x="65757" y="3692000"/>
                            <a:ext cx="50622" cy="142889"/>
                          </a:xfrm>
                          <a:prstGeom prst="rect">
                            <a:avLst/>
                          </a:prstGeom>
                          <a:ln>
                            <a:noFill/>
                          </a:ln>
                        </wps:spPr>
                        <wps:txbx>
                          <w:txbxContent>
                            <w:p w14:paraId="627E78B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648" name="Rectangle 19648"/>
                        <wps:cNvSpPr/>
                        <wps:spPr>
                          <a:xfrm rot="-10799999">
                            <a:off x="-1219064" y="3568671"/>
                            <a:ext cx="5101059" cy="142889"/>
                          </a:xfrm>
                          <a:prstGeom prst="rect">
                            <a:avLst/>
                          </a:prstGeom>
                          <a:ln>
                            <a:noFill/>
                          </a:ln>
                        </wps:spPr>
                        <wps:txbx>
                          <w:txbxContent>
                            <w:p w14:paraId="4B4E7B8F" w14:textId="77777777" w:rsidR="00B32EF2" w:rsidRDefault="00000000">
                              <w:r>
                                <w:rPr>
                                  <w:rFonts w:ascii="Arial" w:eastAsia="Arial" w:hAnsi="Arial" w:cs="Arial"/>
                                  <w:i/>
                                  <w:sz w:val="18"/>
                                </w:rPr>
                                <w:t xml:space="preserve">nistro della giustizia, sentiti il Garante per la protezione dei dati personali e </w:t>
                              </w:r>
                            </w:p>
                          </w:txbxContent>
                        </wps:txbx>
                        <wps:bodyPr horzOverflow="overflow" vert="horz" lIns="0" tIns="0" rIns="0" bIns="0" rtlCol="0">
                          <a:noAutofit/>
                        </wps:bodyPr>
                      </wps:wsp>
                      <wps:wsp>
                        <wps:cNvPr id="19649" name="Rectangle 19649"/>
                        <wps:cNvSpPr/>
                        <wps:spPr>
                          <a:xfrm rot="-10799999">
                            <a:off x="1986718" y="3445341"/>
                            <a:ext cx="1894932" cy="142889"/>
                          </a:xfrm>
                          <a:prstGeom prst="rect">
                            <a:avLst/>
                          </a:prstGeom>
                          <a:ln>
                            <a:noFill/>
                          </a:ln>
                        </wps:spPr>
                        <wps:txbx>
                          <w:txbxContent>
                            <w:p w14:paraId="653A222C" w14:textId="77777777" w:rsidR="00B32EF2" w:rsidRDefault="00000000">
                              <w:r>
                                <w:rPr>
                                  <w:rFonts w:ascii="Arial" w:eastAsia="Arial" w:hAnsi="Arial" w:cs="Arial"/>
                                  <w:i/>
                                  <w:sz w:val="18"/>
                                </w:rPr>
                                <w:t>l’Agenzia per l’Italia digitale.</w:t>
                              </w:r>
                            </w:p>
                          </w:txbxContent>
                        </wps:txbx>
                        <wps:bodyPr horzOverflow="overflow" vert="horz" lIns="0" tIns="0" rIns="0" bIns="0" rtlCol="0">
                          <a:noAutofit/>
                        </wps:bodyPr>
                      </wps:wsp>
                      <wps:wsp>
                        <wps:cNvPr id="201410" name="Rectangle 201410"/>
                        <wps:cNvSpPr/>
                        <wps:spPr>
                          <a:xfrm rot="-10799999">
                            <a:off x="2550769" y="3322011"/>
                            <a:ext cx="5107732" cy="142889"/>
                          </a:xfrm>
                          <a:prstGeom prst="rect">
                            <a:avLst/>
                          </a:prstGeom>
                          <a:ln>
                            <a:noFill/>
                          </a:ln>
                        </wps:spPr>
                        <wps:txbx>
                          <w:txbxContent>
                            <w:p w14:paraId="19819B27"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201411" name="Rectangle 201411"/>
                        <wps:cNvSpPr/>
                        <wps:spPr>
                          <a:xfrm rot="-10799999">
                            <a:off x="-1287837" y="3322011"/>
                            <a:ext cx="5107733" cy="142889"/>
                          </a:xfrm>
                          <a:prstGeom prst="rect">
                            <a:avLst/>
                          </a:prstGeom>
                          <a:ln>
                            <a:noFill/>
                          </a:ln>
                        </wps:spPr>
                        <wps:txbx>
                          <w:txbxContent>
                            <w:p w14:paraId="0E09055C" w14:textId="77777777" w:rsidR="00B32EF2" w:rsidRDefault="00000000">
                              <w:r>
                                <w:rPr>
                                  <w:rFonts w:ascii="Arial" w:eastAsia="Arial" w:hAnsi="Arial" w:cs="Arial"/>
                                  <w:i/>
                                  <w:sz w:val="18"/>
                                </w:rPr>
                                <w:t xml:space="preserve">. Salvo quanto previsto dal comma 4-bis, con decreto del Presidente del </w:t>
                              </w:r>
                            </w:p>
                          </w:txbxContent>
                        </wps:txbx>
                        <wps:bodyPr horzOverflow="overflow" vert="horz" lIns="0" tIns="0" rIns="0" bIns="0" rtlCol="0">
                          <a:noAutofit/>
                        </wps:bodyPr>
                      </wps:wsp>
                      <wps:wsp>
                        <wps:cNvPr id="19651" name="Rectangle 19651"/>
                        <wps:cNvSpPr/>
                        <wps:spPr>
                          <a:xfrm rot="-10799999">
                            <a:off x="-1224155" y="3198682"/>
                            <a:ext cx="5121809" cy="142889"/>
                          </a:xfrm>
                          <a:prstGeom prst="rect">
                            <a:avLst/>
                          </a:prstGeom>
                          <a:ln>
                            <a:noFill/>
                          </a:ln>
                        </wps:spPr>
                        <wps:txbx>
                          <w:txbxContent>
                            <w:p w14:paraId="4B6C5D2F" w14:textId="77777777" w:rsidR="00B32EF2" w:rsidRDefault="00000000">
                              <w:r>
                                <w:rPr>
                                  <w:rFonts w:ascii="Arial" w:eastAsia="Arial" w:hAnsi="Arial" w:cs="Arial"/>
                                  <w:i/>
                                  <w:sz w:val="18"/>
                                </w:rPr>
                                <w:t xml:space="preserve">Consiglio dei ministri  possono essere individuate particolari tipologie di </w:t>
                              </w:r>
                            </w:p>
                          </w:txbxContent>
                        </wps:txbx>
                        <wps:bodyPr horzOverflow="overflow" vert="horz" lIns="0" tIns="0" rIns="0" bIns="0" rtlCol="0">
                          <a:noAutofit/>
                        </wps:bodyPr>
                      </wps:wsp>
                      <wps:wsp>
                        <wps:cNvPr id="19652" name="Rectangle 19652"/>
                        <wps:cNvSpPr/>
                        <wps:spPr>
                          <a:xfrm rot="-10799999">
                            <a:off x="-1223548" y="3075352"/>
                            <a:ext cx="5120745" cy="142889"/>
                          </a:xfrm>
                          <a:prstGeom prst="rect">
                            <a:avLst/>
                          </a:prstGeom>
                          <a:ln>
                            <a:noFill/>
                          </a:ln>
                        </wps:spPr>
                        <wps:txbx>
                          <w:txbxContent>
                            <w:p w14:paraId="7FD7A8FF" w14:textId="77777777" w:rsidR="00B32EF2" w:rsidRDefault="00000000">
                              <w:r>
                                <w:rPr>
                                  <w:rFonts w:ascii="Arial" w:eastAsia="Arial" w:hAnsi="Arial" w:cs="Arial"/>
                                  <w:i/>
                                  <w:sz w:val="18"/>
                                </w:rPr>
                                <w:t xml:space="preserve">documenti analogici originali unici per le quali, in ragione di esigenze di </w:t>
                              </w:r>
                            </w:p>
                          </w:txbxContent>
                        </wps:txbx>
                        <wps:bodyPr horzOverflow="overflow" vert="horz" lIns="0" tIns="0" rIns="0" bIns="0" rtlCol="0">
                          <a:noAutofit/>
                        </wps:bodyPr>
                      </wps:wsp>
                      <wps:wsp>
                        <wps:cNvPr id="19653" name="Rectangle 19653"/>
                        <wps:cNvSpPr/>
                        <wps:spPr>
                          <a:xfrm rot="-10799999">
                            <a:off x="-1224253" y="2952022"/>
                            <a:ext cx="5122251" cy="142889"/>
                          </a:xfrm>
                          <a:prstGeom prst="rect">
                            <a:avLst/>
                          </a:prstGeom>
                          <a:ln>
                            <a:noFill/>
                          </a:ln>
                        </wps:spPr>
                        <wps:txbx>
                          <w:txbxContent>
                            <w:p w14:paraId="06742C70" w14:textId="77777777" w:rsidR="00B32EF2" w:rsidRDefault="00000000">
                              <w:r>
                                <w:rPr>
                                  <w:rFonts w:ascii="Arial" w:eastAsia="Arial" w:hAnsi="Arial" w:cs="Arial"/>
                                  <w:i/>
                                  <w:sz w:val="18"/>
                                </w:rPr>
                                <w:t xml:space="preserve">natura pubblicistica, permane l’obbligo della conservazione dell’originale </w:t>
                              </w:r>
                            </w:p>
                          </w:txbxContent>
                        </wps:txbx>
                        <wps:bodyPr horzOverflow="overflow" vert="horz" lIns="0" tIns="0" rIns="0" bIns="0" rtlCol="0">
                          <a:noAutofit/>
                        </wps:bodyPr>
                      </wps:wsp>
                      <wps:wsp>
                        <wps:cNvPr id="19654" name="Rectangle 19654"/>
                        <wps:cNvSpPr/>
                        <wps:spPr>
                          <a:xfrm rot="-10799999">
                            <a:off x="-1222166" y="2828693"/>
                            <a:ext cx="5112962" cy="142889"/>
                          </a:xfrm>
                          <a:prstGeom prst="rect">
                            <a:avLst/>
                          </a:prstGeom>
                          <a:ln>
                            <a:noFill/>
                          </a:ln>
                        </wps:spPr>
                        <wps:txbx>
                          <w:txbxContent>
                            <w:p w14:paraId="017BB70F" w14:textId="77777777" w:rsidR="00B32EF2" w:rsidRDefault="00000000">
                              <w:r>
                                <w:rPr>
                                  <w:rFonts w:ascii="Arial" w:eastAsia="Arial" w:hAnsi="Arial" w:cs="Arial"/>
                                  <w:i/>
                                  <w:sz w:val="18"/>
                                </w:rPr>
                                <w:t xml:space="preserve">analogico oppure, in caso di conservazione sostitutiva, la loro conformità </w:t>
                              </w:r>
                            </w:p>
                          </w:txbxContent>
                        </wps:txbx>
                        <wps:bodyPr horzOverflow="overflow" vert="horz" lIns="0" tIns="0" rIns="0" bIns="0" rtlCol="0">
                          <a:noAutofit/>
                        </wps:bodyPr>
                      </wps:wsp>
                      <wps:wsp>
                        <wps:cNvPr id="19655" name="Rectangle 19655"/>
                        <wps:cNvSpPr/>
                        <wps:spPr>
                          <a:xfrm rot="-10799999">
                            <a:off x="-1121081" y="2705362"/>
                            <a:ext cx="5002733" cy="142889"/>
                          </a:xfrm>
                          <a:prstGeom prst="rect">
                            <a:avLst/>
                          </a:prstGeom>
                          <a:ln>
                            <a:noFill/>
                          </a:ln>
                        </wps:spPr>
                        <wps:txbx>
                          <w:txbxContent>
                            <w:p w14:paraId="31C7C343" w14:textId="77777777" w:rsidR="00B32EF2" w:rsidRDefault="00000000">
                              <w:r>
                                <w:rPr>
                                  <w:rFonts w:ascii="Arial" w:eastAsia="Arial" w:hAnsi="Arial" w:cs="Arial"/>
                                  <w:i/>
                                  <w:sz w:val="18"/>
                                </w:rPr>
                                <w:t>all’originale deve essere autenticata da un notaio o da altro pubblico uffi</w:t>
                              </w:r>
                            </w:p>
                          </w:txbxContent>
                        </wps:txbx>
                        <wps:bodyPr horzOverflow="overflow" vert="horz" lIns="0" tIns="0" rIns="0" bIns="0" rtlCol="0">
                          <a:noAutofit/>
                        </wps:bodyPr>
                      </wps:wsp>
                      <wps:wsp>
                        <wps:cNvPr id="19656" name="Rectangle 19656"/>
                        <wps:cNvSpPr/>
                        <wps:spPr>
                          <a:xfrm rot="-10799999">
                            <a:off x="65757" y="2705363"/>
                            <a:ext cx="50622" cy="142889"/>
                          </a:xfrm>
                          <a:prstGeom prst="rect">
                            <a:avLst/>
                          </a:prstGeom>
                          <a:ln>
                            <a:noFill/>
                          </a:ln>
                        </wps:spPr>
                        <wps:txbx>
                          <w:txbxContent>
                            <w:p w14:paraId="647A906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657" name="Rectangle 19657"/>
                        <wps:cNvSpPr/>
                        <wps:spPr>
                          <a:xfrm rot="-10799999">
                            <a:off x="-1218981" y="2582032"/>
                            <a:ext cx="5100634" cy="142889"/>
                          </a:xfrm>
                          <a:prstGeom prst="rect">
                            <a:avLst/>
                          </a:prstGeom>
                          <a:ln>
                            <a:noFill/>
                          </a:ln>
                        </wps:spPr>
                        <wps:txbx>
                          <w:txbxContent>
                            <w:p w14:paraId="12D0B2D9" w14:textId="77777777" w:rsidR="00B32EF2" w:rsidRDefault="00000000">
                              <w:r>
                                <w:rPr>
                                  <w:rFonts w:ascii="Arial" w:eastAsia="Arial" w:hAnsi="Arial" w:cs="Arial"/>
                                  <w:i/>
                                  <w:sz w:val="18"/>
                                </w:rPr>
                                <w:t xml:space="preserve">ciale a ciò autorizzato con dichiarazione da questi firmata digitalmente ed </w:t>
                              </w:r>
                            </w:p>
                          </w:txbxContent>
                        </wps:txbx>
                        <wps:bodyPr horzOverflow="overflow" vert="horz" lIns="0" tIns="0" rIns="0" bIns="0" rtlCol="0">
                          <a:noAutofit/>
                        </wps:bodyPr>
                      </wps:wsp>
                      <wps:wsp>
                        <wps:cNvPr id="19658" name="Rectangle 19658"/>
                        <wps:cNvSpPr/>
                        <wps:spPr>
                          <a:xfrm rot="-10799999">
                            <a:off x="1537275" y="2458703"/>
                            <a:ext cx="2344376" cy="142889"/>
                          </a:xfrm>
                          <a:prstGeom prst="rect">
                            <a:avLst/>
                          </a:prstGeom>
                          <a:ln>
                            <a:noFill/>
                          </a:ln>
                        </wps:spPr>
                        <wps:txbx>
                          <w:txbxContent>
                            <w:p w14:paraId="581322C2" w14:textId="77777777" w:rsidR="00B32EF2" w:rsidRDefault="00000000">
                              <w:r>
                                <w:rPr>
                                  <w:rFonts w:ascii="Arial" w:eastAsia="Arial" w:hAnsi="Arial" w:cs="Arial"/>
                                  <w:i/>
                                  <w:sz w:val="18"/>
                                </w:rPr>
                                <w:t>allegata al documento informatico.</w:t>
                              </w:r>
                            </w:p>
                          </w:txbxContent>
                        </wps:txbx>
                        <wps:bodyPr horzOverflow="overflow" vert="horz" lIns="0" tIns="0" rIns="0" bIns="0" rtlCol="0">
                          <a:noAutofit/>
                        </wps:bodyPr>
                      </wps:wsp>
                      <wps:wsp>
                        <wps:cNvPr id="19659" name="Rectangle 19659"/>
                        <wps:cNvSpPr/>
                        <wps:spPr>
                          <a:xfrm rot="-10799999">
                            <a:off x="-276478" y="2335373"/>
                            <a:ext cx="4158130" cy="142889"/>
                          </a:xfrm>
                          <a:prstGeom prst="rect">
                            <a:avLst/>
                          </a:prstGeom>
                          <a:ln>
                            <a:noFill/>
                          </a:ln>
                        </wps:spPr>
                        <wps:txbx>
                          <w:txbxContent>
                            <w:p w14:paraId="59474E67" w14:textId="77777777" w:rsidR="00B32EF2" w:rsidRDefault="00000000">
                              <w:r>
                                <w:rPr>
                                  <w:rFonts w:ascii="Arial" w:eastAsia="Arial" w:hAnsi="Arial" w:cs="Arial"/>
                                  <w:i/>
                                  <w:sz w:val="18"/>
                                </w:rPr>
                                <w:t xml:space="preserve">art. 182 c.p.c. “Difetto di rappresentanza o di autorizzazione” </w:t>
                              </w:r>
                            </w:p>
                          </w:txbxContent>
                        </wps:txbx>
                        <wps:bodyPr horzOverflow="overflow" vert="horz" lIns="0" tIns="0" rIns="0" bIns="0" rtlCol="0">
                          <a:noAutofit/>
                        </wps:bodyPr>
                      </wps:wsp>
                      <wps:wsp>
                        <wps:cNvPr id="201408" name="Rectangle 201408"/>
                        <wps:cNvSpPr/>
                        <wps:spPr>
                          <a:xfrm rot="-10799999">
                            <a:off x="2552526" y="2212044"/>
                            <a:ext cx="5100648" cy="142889"/>
                          </a:xfrm>
                          <a:prstGeom prst="rect">
                            <a:avLst/>
                          </a:prstGeom>
                          <a:ln>
                            <a:noFill/>
                          </a:ln>
                        </wps:spPr>
                        <wps:txbx>
                          <w:txbxContent>
                            <w:p w14:paraId="1B65C35E"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409" name="Rectangle 201409"/>
                        <wps:cNvSpPr/>
                        <wps:spPr>
                          <a:xfrm rot="-10799999">
                            <a:off x="-1278398" y="2212043"/>
                            <a:ext cx="5100648" cy="142889"/>
                          </a:xfrm>
                          <a:prstGeom prst="rect">
                            <a:avLst/>
                          </a:prstGeom>
                          <a:ln>
                            <a:noFill/>
                          </a:ln>
                        </wps:spPr>
                        <wps:txbx>
                          <w:txbxContent>
                            <w:p w14:paraId="12C5FB6F" w14:textId="77777777" w:rsidR="00B32EF2" w:rsidRDefault="00000000">
                              <w:r>
                                <w:rPr>
                                  <w:rFonts w:ascii="Arial" w:eastAsia="Arial" w:hAnsi="Arial" w:cs="Arial"/>
                                  <w:i/>
                                  <w:sz w:val="18"/>
                                </w:rPr>
                                <w:t xml:space="preserve">. Il giudice istruttore verifica d’ufficio la regolarità della costituzione delle </w:t>
                              </w:r>
                            </w:p>
                          </w:txbxContent>
                        </wps:txbx>
                        <wps:bodyPr horzOverflow="overflow" vert="horz" lIns="0" tIns="0" rIns="0" bIns="0" rtlCol="0">
                          <a:noAutofit/>
                        </wps:bodyPr>
                      </wps:wsp>
                      <wps:wsp>
                        <wps:cNvPr id="19661" name="Rectangle 19661"/>
                        <wps:cNvSpPr/>
                        <wps:spPr>
                          <a:xfrm rot="-10799999">
                            <a:off x="-1219471" y="2088714"/>
                            <a:ext cx="5102838" cy="142889"/>
                          </a:xfrm>
                          <a:prstGeom prst="rect">
                            <a:avLst/>
                          </a:prstGeom>
                          <a:ln>
                            <a:noFill/>
                          </a:ln>
                        </wps:spPr>
                        <wps:txbx>
                          <w:txbxContent>
                            <w:p w14:paraId="7B1E8A8E" w14:textId="77777777" w:rsidR="00B32EF2" w:rsidRDefault="00000000">
                              <w:r>
                                <w:rPr>
                                  <w:rFonts w:ascii="Arial" w:eastAsia="Arial" w:hAnsi="Arial" w:cs="Arial"/>
                                  <w:i/>
                                  <w:sz w:val="18"/>
                                </w:rPr>
                                <w:t xml:space="preserve">parti e, quando occorre, le invita a completare o a mettere in regola gli atti </w:t>
                              </w:r>
                            </w:p>
                          </w:txbxContent>
                        </wps:txbx>
                        <wps:bodyPr horzOverflow="overflow" vert="horz" lIns="0" tIns="0" rIns="0" bIns="0" rtlCol="0">
                          <a:noAutofit/>
                        </wps:bodyPr>
                      </wps:wsp>
                      <wps:wsp>
                        <wps:cNvPr id="19662" name="Rectangle 19662"/>
                        <wps:cNvSpPr/>
                        <wps:spPr>
                          <a:xfrm rot="-10799999">
                            <a:off x="1350899" y="1965384"/>
                            <a:ext cx="2530751" cy="142889"/>
                          </a:xfrm>
                          <a:prstGeom prst="rect">
                            <a:avLst/>
                          </a:prstGeom>
                          <a:ln>
                            <a:noFill/>
                          </a:ln>
                        </wps:spPr>
                        <wps:txbx>
                          <w:txbxContent>
                            <w:p w14:paraId="3BBFE837" w14:textId="77777777" w:rsidR="00B32EF2" w:rsidRDefault="00000000">
                              <w:r>
                                <w:rPr>
                                  <w:rFonts w:ascii="Arial" w:eastAsia="Arial" w:hAnsi="Arial" w:cs="Arial"/>
                                  <w:i/>
                                  <w:sz w:val="18"/>
                                </w:rPr>
                                <w:t>e i documenti che riconosce difettosi.</w:t>
                              </w:r>
                            </w:p>
                          </w:txbxContent>
                        </wps:txbx>
                        <wps:bodyPr horzOverflow="overflow" vert="horz" lIns="0" tIns="0" rIns="0" bIns="0" rtlCol="0">
                          <a:noAutofit/>
                        </wps:bodyPr>
                      </wps:wsp>
                      <wps:wsp>
                        <wps:cNvPr id="201406" name="Rectangle 201406"/>
                        <wps:cNvSpPr/>
                        <wps:spPr>
                          <a:xfrm rot="-10799999">
                            <a:off x="2549939" y="1842055"/>
                            <a:ext cx="5111076" cy="142889"/>
                          </a:xfrm>
                          <a:prstGeom prst="rect">
                            <a:avLst/>
                          </a:prstGeom>
                          <a:ln>
                            <a:noFill/>
                          </a:ln>
                        </wps:spPr>
                        <wps:txbx>
                          <w:txbxContent>
                            <w:p w14:paraId="410FC5AA"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407" name="Rectangle 201407"/>
                        <wps:cNvSpPr/>
                        <wps:spPr>
                          <a:xfrm rot="-10799999">
                            <a:off x="-1286494" y="1842054"/>
                            <a:ext cx="5111076" cy="142889"/>
                          </a:xfrm>
                          <a:prstGeom prst="rect">
                            <a:avLst/>
                          </a:prstGeom>
                          <a:ln>
                            <a:noFill/>
                          </a:ln>
                        </wps:spPr>
                        <wps:txbx>
                          <w:txbxContent>
                            <w:p w14:paraId="5A5D53F9" w14:textId="77777777" w:rsidR="00B32EF2" w:rsidRDefault="00000000">
                              <w:r>
                                <w:rPr>
                                  <w:rFonts w:ascii="Arial" w:eastAsia="Arial" w:hAnsi="Arial" w:cs="Arial"/>
                                  <w:i/>
                                  <w:sz w:val="18"/>
                                </w:rPr>
                                <w:t xml:space="preserve">.Quando rileva la mancanza della procura al difensore oppure un difetto </w:t>
                              </w:r>
                            </w:p>
                          </w:txbxContent>
                        </wps:txbx>
                        <wps:bodyPr horzOverflow="overflow" vert="horz" lIns="0" tIns="0" rIns="0" bIns="0" rtlCol="0">
                          <a:noAutofit/>
                        </wps:bodyPr>
                      </wps:wsp>
                      <wps:wsp>
                        <wps:cNvPr id="19664" name="Rectangle 19664"/>
                        <wps:cNvSpPr/>
                        <wps:spPr>
                          <a:xfrm rot="-10799999">
                            <a:off x="-1222661" y="1718725"/>
                            <a:ext cx="5115971" cy="142889"/>
                          </a:xfrm>
                          <a:prstGeom prst="rect">
                            <a:avLst/>
                          </a:prstGeom>
                          <a:ln>
                            <a:noFill/>
                          </a:ln>
                        </wps:spPr>
                        <wps:txbx>
                          <w:txbxContent>
                            <w:p w14:paraId="360EF74A" w14:textId="77777777" w:rsidR="00B32EF2" w:rsidRDefault="00000000">
                              <w:r>
                                <w:rPr>
                                  <w:rFonts w:ascii="Arial" w:eastAsia="Arial" w:hAnsi="Arial" w:cs="Arial"/>
                                  <w:i/>
                                  <w:sz w:val="18"/>
                                </w:rPr>
                                <w:t xml:space="preserve">di rappresentanza, di assistenza o di autorizzazione che ne determina la </w:t>
                              </w:r>
                            </w:p>
                          </w:txbxContent>
                        </wps:txbx>
                        <wps:bodyPr horzOverflow="overflow" vert="horz" lIns="0" tIns="0" rIns="0" bIns="0" rtlCol="0">
                          <a:noAutofit/>
                        </wps:bodyPr>
                      </wps:wsp>
                      <wps:wsp>
                        <wps:cNvPr id="19665" name="Rectangle 19665"/>
                        <wps:cNvSpPr/>
                        <wps:spPr>
                          <a:xfrm rot="-10799999">
                            <a:off x="-1120139" y="1595395"/>
                            <a:ext cx="5001790" cy="142889"/>
                          </a:xfrm>
                          <a:prstGeom prst="rect">
                            <a:avLst/>
                          </a:prstGeom>
                          <a:ln>
                            <a:noFill/>
                          </a:ln>
                        </wps:spPr>
                        <wps:txbx>
                          <w:txbxContent>
                            <w:p w14:paraId="46C3D352" w14:textId="77777777" w:rsidR="00B32EF2" w:rsidRDefault="00000000">
                              <w:r>
                                <w:rPr>
                                  <w:rFonts w:ascii="Arial" w:eastAsia="Arial" w:hAnsi="Arial" w:cs="Arial"/>
                                  <w:i/>
                                  <w:sz w:val="18"/>
                                </w:rPr>
                                <w:t>nullità, il giudice assegna alle parti un termine perentorio per la costituzio</w:t>
                              </w:r>
                            </w:p>
                          </w:txbxContent>
                        </wps:txbx>
                        <wps:bodyPr horzOverflow="overflow" vert="horz" lIns="0" tIns="0" rIns="0" bIns="0" rtlCol="0">
                          <a:noAutofit/>
                        </wps:bodyPr>
                      </wps:wsp>
                      <wps:wsp>
                        <wps:cNvPr id="19666" name="Rectangle 19666"/>
                        <wps:cNvSpPr/>
                        <wps:spPr>
                          <a:xfrm rot="-10799999">
                            <a:off x="65757" y="1595395"/>
                            <a:ext cx="50622" cy="142889"/>
                          </a:xfrm>
                          <a:prstGeom prst="rect">
                            <a:avLst/>
                          </a:prstGeom>
                          <a:ln>
                            <a:noFill/>
                          </a:ln>
                        </wps:spPr>
                        <wps:txbx>
                          <w:txbxContent>
                            <w:p w14:paraId="3D091F4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667" name="Rectangle 19667"/>
                        <wps:cNvSpPr/>
                        <wps:spPr>
                          <a:xfrm rot="-10799999">
                            <a:off x="-1221607" y="1472065"/>
                            <a:ext cx="5111259" cy="142889"/>
                          </a:xfrm>
                          <a:prstGeom prst="rect">
                            <a:avLst/>
                          </a:prstGeom>
                          <a:ln>
                            <a:noFill/>
                          </a:ln>
                        </wps:spPr>
                        <wps:txbx>
                          <w:txbxContent>
                            <w:p w14:paraId="3F55074F" w14:textId="77777777" w:rsidR="00B32EF2" w:rsidRDefault="00000000">
                              <w:r>
                                <w:rPr>
                                  <w:rFonts w:ascii="Arial" w:eastAsia="Arial" w:hAnsi="Arial" w:cs="Arial"/>
                                  <w:i/>
                                  <w:sz w:val="18"/>
                                </w:rPr>
                                <w:t xml:space="preserve">ne della persona alla quale spetta la rappresentanza o l’assistenza, per il </w:t>
                              </w:r>
                            </w:p>
                          </w:txbxContent>
                        </wps:txbx>
                        <wps:bodyPr horzOverflow="overflow" vert="horz" lIns="0" tIns="0" rIns="0" bIns="0" rtlCol="0">
                          <a:noAutofit/>
                        </wps:bodyPr>
                      </wps:wsp>
                      <wps:wsp>
                        <wps:cNvPr id="19668" name="Rectangle 19668"/>
                        <wps:cNvSpPr/>
                        <wps:spPr>
                          <a:xfrm rot="-10799999">
                            <a:off x="-1220771" y="1348736"/>
                            <a:ext cx="5107109" cy="142889"/>
                          </a:xfrm>
                          <a:prstGeom prst="rect">
                            <a:avLst/>
                          </a:prstGeom>
                          <a:ln>
                            <a:noFill/>
                          </a:ln>
                        </wps:spPr>
                        <wps:txbx>
                          <w:txbxContent>
                            <w:p w14:paraId="536F4E1A" w14:textId="77777777" w:rsidR="00B32EF2" w:rsidRDefault="00000000">
                              <w:r>
                                <w:rPr>
                                  <w:rFonts w:ascii="Arial" w:eastAsia="Arial" w:hAnsi="Arial" w:cs="Arial"/>
                                  <w:i/>
                                  <w:sz w:val="18"/>
                                </w:rPr>
                                <w:t xml:space="preserve">rilascio delle necessarie autorizzazioni, ovvero per il rilascio della procura </w:t>
                              </w:r>
                            </w:p>
                          </w:txbxContent>
                        </wps:txbx>
                        <wps:bodyPr horzOverflow="overflow" vert="horz" lIns="0" tIns="0" rIns="0" bIns="0" rtlCol="0">
                          <a:noAutofit/>
                        </wps:bodyPr>
                      </wps:wsp>
                      <wps:wsp>
                        <wps:cNvPr id="19669" name="Rectangle 19669"/>
                        <wps:cNvSpPr/>
                        <wps:spPr>
                          <a:xfrm rot="-10799999">
                            <a:off x="-1220259" y="1225406"/>
                            <a:ext cx="5107626" cy="142890"/>
                          </a:xfrm>
                          <a:prstGeom prst="rect">
                            <a:avLst/>
                          </a:prstGeom>
                          <a:ln>
                            <a:noFill/>
                          </a:ln>
                        </wps:spPr>
                        <wps:txbx>
                          <w:txbxContent>
                            <w:p w14:paraId="4D6A643A" w14:textId="77777777" w:rsidR="00B32EF2" w:rsidRDefault="00000000">
                              <w:r>
                                <w:rPr>
                                  <w:rFonts w:ascii="Arial" w:eastAsia="Arial" w:hAnsi="Arial" w:cs="Arial"/>
                                  <w:i/>
                                  <w:sz w:val="18"/>
                                </w:rPr>
                                <w:t xml:space="preserve">alle liti o per la rinnovazione della stessa. L’osservanza del termine sana i </w:t>
                              </w:r>
                            </w:p>
                          </w:txbxContent>
                        </wps:txbx>
                        <wps:bodyPr horzOverflow="overflow" vert="horz" lIns="0" tIns="0" rIns="0" bIns="0" rtlCol="0">
                          <a:noAutofit/>
                        </wps:bodyPr>
                      </wps:wsp>
                      <wps:wsp>
                        <wps:cNvPr id="19670" name="Rectangle 19670"/>
                        <wps:cNvSpPr/>
                        <wps:spPr>
                          <a:xfrm rot="-10799999">
                            <a:off x="-1218936" y="1102076"/>
                            <a:ext cx="5100588" cy="142889"/>
                          </a:xfrm>
                          <a:prstGeom prst="rect">
                            <a:avLst/>
                          </a:prstGeom>
                          <a:ln>
                            <a:noFill/>
                          </a:ln>
                        </wps:spPr>
                        <wps:txbx>
                          <w:txbxContent>
                            <w:p w14:paraId="1400EC26" w14:textId="77777777" w:rsidR="00B32EF2" w:rsidRDefault="00000000">
                              <w:r>
                                <w:rPr>
                                  <w:rFonts w:ascii="Arial" w:eastAsia="Arial" w:hAnsi="Arial" w:cs="Arial"/>
                                  <w:i/>
                                  <w:sz w:val="18"/>
                                </w:rPr>
                                <w:t xml:space="preserve">vizi, e gli effetti sostanziali e processuali della domanda si producono fin dal </w:t>
                              </w:r>
                            </w:p>
                          </w:txbxContent>
                        </wps:txbx>
                        <wps:bodyPr horzOverflow="overflow" vert="horz" lIns="0" tIns="0" rIns="0" bIns="0" rtlCol="0">
                          <a:noAutofit/>
                        </wps:bodyPr>
                      </wps:wsp>
                      <wps:wsp>
                        <wps:cNvPr id="19671" name="Rectangle 19671"/>
                        <wps:cNvSpPr/>
                        <wps:spPr>
                          <a:xfrm rot="-10799999">
                            <a:off x="1462709" y="978747"/>
                            <a:ext cx="2418942" cy="142889"/>
                          </a:xfrm>
                          <a:prstGeom prst="rect">
                            <a:avLst/>
                          </a:prstGeom>
                          <a:ln>
                            <a:noFill/>
                          </a:ln>
                        </wps:spPr>
                        <wps:txbx>
                          <w:txbxContent>
                            <w:p w14:paraId="2399CEBE" w14:textId="77777777" w:rsidR="00B32EF2" w:rsidRDefault="00000000">
                              <w:r>
                                <w:rPr>
                                  <w:rFonts w:ascii="Arial" w:eastAsia="Arial" w:hAnsi="Arial" w:cs="Arial"/>
                                  <w:i/>
                                  <w:sz w:val="18"/>
                                </w:rPr>
                                <w:t>momento della prima notificazione .</w:t>
                              </w:r>
                            </w:p>
                          </w:txbxContent>
                        </wps:txbx>
                        <wps:bodyPr horzOverflow="overflow" vert="horz" lIns="0" tIns="0" rIns="0" bIns="0" rtlCol="0">
                          <a:noAutofit/>
                        </wps:bodyPr>
                      </wps:wsp>
                      <wps:wsp>
                        <wps:cNvPr id="19672" name="Rectangle 19672"/>
                        <wps:cNvSpPr/>
                        <wps:spPr>
                          <a:xfrm rot="-10799999">
                            <a:off x="2324835" y="855417"/>
                            <a:ext cx="1557845" cy="142889"/>
                          </a:xfrm>
                          <a:prstGeom prst="rect">
                            <a:avLst/>
                          </a:prstGeom>
                          <a:ln>
                            <a:noFill/>
                          </a:ln>
                        </wps:spPr>
                        <wps:txbx>
                          <w:txbxContent>
                            <w:p w14:paraId="4BF6A8D3" w14:textId="77777777" w:rsidR="00B32EF2" w:rsidRDefault="00000000">
                              <w:r>
                                <w:rPr>
                                  <w:rFonts w:ascii="Arial" w:eastAsia="Arial" w:hAnsi="Arial" w:cs="Arial"/>
                                  <w:b/>
                                  <w:i/>
                                  <w:sz w:val="18"/>
                                </w:rPr>
                                <w:t>NORME COLLEGATE</w:t>
                              </w:r>
                            </w:p>
                          </w:txbxContent>
                        </wps:txbx>
                        <wps:bodyPr horzOverflow="overflow" vert="horz" lIns="0" tIns="0" rIns="0" bIns="0" rtlCol="0">
                          <a:noAutofit/>
                        </wps:bodyPr>
                      </wps:wsp>
                      <wps:wsp>
                        <wps:cNvPr id="19673" name="Rectangle 19673"/>
                        <wps:cNvSpPr/>
                        <wps:spPr>
                          <a:xfrm rot="-10799999">
                            <a:off x="1818054" y="732088"/>
                            <a:ext cx="2063598" cy="142889"/>
                          </a:xfrm>
                          <a:prstGeom prst="rect">
                            <a:avLst/>
                          </a:prstGeom>
                          <a:ln>
                            <a:noFill/>
                          </a:ln>
                        </wps:spPr>
                        <wps:txbx>
                          <w:txbxContent>
                            <w:p w14:paraId="2C2503CC" w14:textId="77777777" w:rsidR="00B32EF2" w:rsidRDefault="00000000">
                              <w:r>
                                <w:rPr>
                                  <w:rFonts w:ascii="Arial" w:eastAsia="Arial" w:hAnsi="Arial" w:cs="Arial"/>
                                  <w:i/>
                                  <w:sz w:val="18"/>
                                </w:rPr>
                                <w:t xml:space="preserve">art. 83 c.p.c. “Procura alle liti” </w:t>
                              </w:r>
                            </w:p>
                          </w:txbxContent>
                        </wps:txbx>
                        <wps:bodyPr horzOverflow="overflow" vert="horz" lIns="0" tIns="0" rIns="0" bIns="0" rtlCol="0">
                          <a:noAutofit/>
                        </wps:bodyPr>
                      </wps:wsp>
                      <wps:wsp>
                        <wps:cNvPr id="201404" name="Rectangle 201404"/>
                        <wps:cNvSpPr/>
                        <wps:spPr>
                          <a:xfrm rot="-10799999">
                            <a:off x="2552575" y="608758"/>
                            <a:ext cx="5100451" cy="142889"/>
                          </a:xfrm>
                          <a:prstGeom prst="rect">
                            <a:avLst/>
                          </a:prstGeom>
                          <a:ln>
                            <a:noFill/>
                          </a:ln>
                        </wps:spPr>
                        <wps:txbx>
                          <w:txbxContent>
                            <w:p w14:paraId="25111699"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405" name="Rectangle 201405"/>
                        <wps:cNvSpPr/>
                        <wps:spPr>
                          <a:xfrm rot="-10799999">
                            <a:off x="-1278544" y="608758"/>
                            <a:ext cx="5100451" cy="142889"/>
                          </a:xfrm>
                          <a:prstGeom prst="rect">
                            <a:avLst/>
                          </a:prstGeom>
                          <a:ln>
                            <a:noFill/>
                          </a:ln>
                        </wps:spPr>
                        <wps:txbx>
                          <w:txbxContent>
                            <w:p w14:paraId="65941155" w14:textId="77777777" w:rsidR="00B32EF2" w:rsidRDefault="00000000">
                              <w:r>
                                <w:rPr>
                                  <w:rFonts w:ascii="Arial" w:eastAsia="Arial" w:hAnsi="Arial" w:cs="Arial"/>
                                  <w:i/>
                                  <w:sz w:val="18"/>
                                </w:rPr>
                                <w:t xml:space="preserve">. Quando la parte sta in giudizio col ministero di un difensore, questi deve </w:t>
                              </w:r>
                            </w:p>
                          </w:txbxContent>
                        </wps:txbx>
                        <wps:bodyPr horzOverflow="overflow" vert="horz" lIns="0" tIns="0" rIns="0" bIns="0" rtlCol="0">
                          <a:noAutofit/>
                        </wps:bodyPr>
                      </wps:wsp>
                      <wps:wsp>
                        <wps:cNvPr id="19675" name="Rectangle 19675"/>
                        <wps:cNvSpPr/>
                        <wps:spPr>
                          <a:xfrm rot="-10799999">
                            <a:off x="2103060" y="485428"/>
                            <a:ext cx="1778591" cy="142889"/>
                          </a:xfrm>
                          <a:prstGeom prst="rect">
                            <a:avLst/>
                          </a:prstGeom>
                          <a:ln>
                            <a:noFill/>
                          </a:ln>
                        </wps:spPr>
                        <wps:txbx>
                          <w:txbxContent>
                            <w:p w14:paraId="010D5571" w14:textId="77777777" w:rsidR="00B32EF2" w:rsidRDefault="00000000">
                              <w:r>
                                <w:rPr>
                                  <w:rFonts w:ascii="Arial" w:eastAsia="Arial" w:hAnsi="Arial" w:cs="Arial"/>
                                  <w:i/>
                                  <w:sz w:val="18"/>
                                </w:rPr>
                                <w:t xml:space="preserve">essere munito di procura. </w:t>
                              </w:r>
                            </w:p>
                          </w:txbxContent>
                        </wps:txbx>
                        <wps:bodyPr horzOverflow="overflow" vert="horz" lIns="0" tIns="0" rIns="0" bIns="0" rtlCol="0">
                          <a:noAutofit/>
                        </wps:bodyPr>
                      </wps:wsp>
                      <wps:wsp>
                        <wps:cNvPr id="19676" name="Shape 19676"/>
                        <wps:cNvSpPr/>
                        <wps:spPr>
                          <a:xfrm>
                            <a:off x="0" y="414700"/>
                            <a:ext cx="3960000" cy="5841797"/>
                          </a:xfrm>
                          <a:custGeom>
                            <a:avLst/>
                            <a:gdLst/>
                            <a:ahLst/>
                            <a:cxnLst/>
                            <a:rect l="0" t="0" r="0" b="0"/>
                            <a:pathLst>
                              <a:path w="3960000" h="5841797">
                                <a:moveTo>
                                  <a:pt x="0" y="5841797"/>
                                </a:moveTo>
                                <a:lnTo>
                                  <a:pt x="3960000" y="5841797"/>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7ADF4F8" id="Group 201525" o:spid="_x0000_s4636" style="width:311.8pt;height:492.65pt;mso-position-horizontal-relative:char;mso-position-vertical-relative:line" coordsize="39600,62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TB04AsAANJ8AAAOAAAAZHJzL2Uyb0RvYy54bWzkXe1u2zgW/b/AvoPh/2lISpSooOlg0dkp&#10;FljsDObjARzHjg3YliG7TbpPv+deUpQss52uhA2LZQskDi3RMg/P/eK95NsfXva72adVc9rWh/u5&#10;fCPms9VhWT9uD0/38z9+/+nGzGen8+LwuNjVh9X9/PPqNP/h3V//8vb5eLdS9abePa6aGTo5nO6e&#10;j/fzzfl8vLu9PS03q/3i9KY+rg54c103+8UZfzZPt4/N4hm973e3Soji9rluHo9NvVydTmj90b45&#10;f8f9r9er5fnn9fq0Os9293M825l/NvzzgX7evnu7uHtqFsfNdukeYzHiKfaL7QEf6rv6cXFezD42&#10;26uu9ttlU5/q9fnNst7f1uv1drni74BvI8Xg23xo6o9H/i5Pd89PRz9MGNrBOI3udvmvTx+a42/H&#10;XxqMxPPxCWPBf9F3eVk3e/qNp5y98JB99kO2ejnPlmjMqkIIIeezJd4rlC7yqrSDutxg5K/uW27+&#10;/id33rYffHvxOM9HTJBTNwanaWPw22ZxXPHQnu4wBr80s+0j5m9VKDWfHRZ7TNVfMXkWh6fdamab&#10;eYD4aj9cp7sTRq4dq1lTY37dSFFW9I/ngxs7aQr8L+czjNJNoWTlZl47jLI0WVHZUVRaFHlBg+iH&#10;YnF3bE7nD6t6P6MX9/MGz8b9Lz7983S2l7aX0OPsDvTzUP+03e3su9SCEW2fmF6dXx5e+Gtnuf08&#10;anyoHz9jNDZ18++fwev1rn6+n9fu1Zyojo+nd+ez3T8OQIFY1b5o2hcP7YvmvHtfM/fsA/3t47le&#10;b/mJu09zTwZ4aQ6+As5KGLCtBZrnwsy1/SnK9D1aVBnPXOZFZeykb/G0tMAnEC20yWVpadFDdPnR&#10;Ikr9tShCfjxaPNG2aV8tXw7tS8L9q6LsuDjTfdQpvZwBPP8sm+5R6P09UP295ivPA57iMbt3d4f+&#10;Vb63Vhbg2vaK9veR++tfeTkE7XXtb3s9RutqsNor2t/9K5lC/tPxgr4wk8YPAhr7w7w70HgQKguo&#10;mvVuYTm0356hg3bbPQSAKiHOHPcClDmdP+9WNGS7w6+rNcjDcpEaTs3Tw/tdM/u0oNnO/yxBd8fN&#10;wrW6ft2l/KjcD92/BlN9l5JvvejyfUb/XQ/uYrpvxUrO3ynsnUv3NFbTQV/gS7f6DoPib+JPrg9n&#10;f/8BWpo/hHjovm1HVBIljqCvxFQSvXlL1EuJnNNz0tNAfv/3EvlGKmkyWfCkK0SmVcGji8FxCkqL&#10;yhilLYdlrkwl3fC3irGVuP8rocyatBv9/3OhTFBjtEPKV0+FWqmyRN8kXyopq4znTg9qKYtcQT2T&#10;uCaoTfXKULP+SApqMC8ENRs+E1gtYcEp2KMEdWlMIXju9KAWAFo5UysK1Dy1koEabg2sn2usXfsU&#10;Ea50XpYZ7HXCuii0AsXRXw9rUL0qnXMSA2vNpkRaWMPhH/KasfYSbqy6rqCkwduvg+1M7ihgs3mQ&#10;DNikrgNY2+YptL6RUmW5sM6y1rms8iGvhdCC5kIsda1Va5Ak4S4TphjtIa1t8xSoC13qPs6s/Hvy&#10;W3A4JhrK7BCkROgM4jOAMpqnoEyuViWkM8pyxMLgdg0UNUK58L/iEdo7k6kQOgMcIai9EhupphEP&#10;zqxTrVWllRkgDbluStlzql/b09Lel0wCaTa9Al61a59Ia5ObVn7LUlZ6ALaWAt5WTPubHygZCc6g&#10;BqJlrn0K2EprpQ0kNJnfX8Y6pvmdXLQsAxwhEe7NlpEiHIHRQjpPS+SmQGDsUluLqpJk+0czzLwv&#10;mYQMh52NgGUQam+2jIRaKix7oW+wOq8UNPYV1CIrSZ9HgzqtaBlBHdDWtnmK/O48rS/gHNXTKryD&#10;kQyhw+FvUG0KyrIoDVlhzGcscVfFgM+guyqqiOZ34f2LJJBmyyugpl37FKxvZJYpQ9KChDeAL7JB&#10;EoJGIM3kEU2yIq0wGYMaSB9y7VPAppwgWdmlju8Ua291JkFs0sjh6LdlIfmc420yjbAJ01prnYkh&#10;rcmpziIuVhfe6kwG6nD0O/PG6SioezZZGOe4NllagTIQmlRlwJ9G8xTRzYlGlULfpKfzTFblkNAI&#10;k+kSwj2Wk1V4qzMVQufh6DeaJ0INA7ty/jQEd5FfQS3zrIzoT1uHIJmIKLE6YJHZ5olQS1MZu6aF&#10;JS0NXg+iZGA1x22isZrnXlJQBzwtgtqbpqPUNAS4wjqHg5rscLtm1VunliqXSDSLJ8C9IZKMAA8H&#10;RHNvmo6GWmRUGQBdnVWZKZBlAjHRh1poDo7HYnXprZFkoA4HRG1S0AQ/C2miFS2hENRG6sxmOfSh&#10;lhLVAPFYjcxFp6KSgTocFe2qk0aymnL9W1YXsMVtiUcPaiGyHNGqaAIc1n9qUAdygklX+1XcUVB3&#10;LjXK6UI4R3WpS2+IJEPocIzMukVTZDcSyhCGYtmtUVppRWWP0BL1fTEzREtviCQDdThGlnvTdBSh&#10;YWwDXMwi0tJ5rjProndIwwvLKyoCiGaQpRUn48WMQKDMtU/xqZFjJEqqgiasM0RSkDI6NL5twUc0&#10;rNMKlDGmgUiZa5+CNZxqg5p3m/z9FbBhn0cD25siqYhwinEEAuBongg1wiPIu2Vek0A3bO12MlyT&#10;fS5A/GhQJxcqQwVLEGrvh4zS1hQqyzSsO4ZalBpl1UMRrkQJ1z0e1N4eSYbV4aio9s7IaKhzhU4I&#10;asr0F9g5ZaCtUYlLIiUWq01yoTIdjoqieaoAVxKLhAy1QU1HxXOnL8ClQo1YRKi9ikqG1eGoaFfe&#10;MpLVUMXCLWthLxSd2RyuHtRCqJLCptFY7VVUMlCHo6K22mZ0EKULlVmch5SOW3uJUhMnspJBORwQ&#10;RX3VRNndrVOjgkcJxEoGajryOjXqD1KDOhwV1d4LGSW7sYRV0hYYrKVzbUoxoDSq6uMmn5i0QmVY&#10;zqAQdMij9k7IKKRvVImFEutlqSwD7gOk4W4bScXc0ZR0eoEypOleQU2BMpu+O1pNc+Glcra3kkrY&#10;FIeeQUZ5RuRyR8Paa6gkVDVjGqC1a5+orBETxV6SLMIZ7AGxqaI6LtheRyUBNkQ4KpaueG2bJ0KN&#10;fW1obyoKnwiDTRHYDLrgNcp7YvLaK6lkoA4HRbsyplHaWmZaGGwHTEiTSZBZg7dDGlE0hEojBsrs&#10;bsSkopJAmiV1wKd27VNojS3pqgplIYy1yZWw8ZgOa9TkYX9ofHgsbW03MU0L64BnzVh7w2UUr2kJ&#10;E9ud2ywUyWBfifDYYCcXK6OkoIDD1ZWsjYVaKbYESIYjH6XETrWQExe81lG3mrQh+WR4TRZYOAKO&#10;5ikSnHYfFLIV4brSGcrlL6HGeQclVGY8EZ5cwIzWnkKs9lGGUazuIuAyjHPUZFE77ZIidEBPE88n&#10;q2ksXrrtRGVeKmElxIXslipmsmjl53ES9jdhGgiW2eZpshtJg6VzqmWWG9q66FJ2w/iWMTON7AZL&#10;SbE6ECsjqH10YZTspkwjwaQliwx5JrkIQF1Q4LT1tKyXi9MvXun4BnsmTEpQozYtpKa7krWxUGMJ&#10;020qCocKFL+GWmgTMVSG6I6TW6kIcBKyAYvM1mHQnB8FNU5SQjKCDZ9gm4TSVgN1mhp5pEj3j5dn&#10;pG3hWFKcDsdEu4K1UUCrDCXVbu8qQ3u8s43XAY104dJETBPVONIuNUaH00S7mrVRQKPu0ghKS4Sa&#10;xlkdWOi4NMhgjeNUh3iiW4u0QmQc9wzEyFz7FOubV6pd/kkhTGnTWTpO827QEZc5tM2HSUZ4M6SB&#10;GJlrnwI1rO/SaGQiEK2/T6yTi5ER80IW2bRwKLKBM4HtWQlobIKCo9Eu5bcsMRGwpuS9rFfezx/n&#10;wCSnqH0w1B5cCmfaOkRfN7tpteLiJF+cW0rbW0AOdDLan9lJTvPloZ2t19w/UPM7Orf08mG/5fTS&#10;yzvaE0bb39dnmPJQIXzQXtH+/vKZpDh9dFefVhhh3PaNp5PyCaSg0xdPKLVHi9o+v/GE0sBxou6E&#10;0rYbnP9J0+DiEFJ3lOi4c02/ixNK+QRpHJzN4+8O+aaTuft/84mm3VHk7/4DAAD//wMAUEsDBBQA&#10;BgAIAAAAIQAc7nvI3QAAAAUBAAAPAAAAZHJzL2Rvd25yZXYueG1sTI9BS8NAEIXvgv9hGcGb3aSh&#10;oY3ZlFLUUxFsBeltmp0modnZkN0m6b939aKXgcd7vPdNvp5MKwbqXWNZQTyLQBCXVjdcKfg8vD4t&#10;QTiPrLG1TApu5GBd3N/lmGk78gcNe1+JUMIuQwW1910mpStrMuhmtiMO3tn2Bn2QfSV1j2MoN62c&#10;R1EqDTYcFmrsaFtTedlfjYK3EcdNEr8Mu8t5ezseFu9fu5iUenyYNs8gPE3+Lww/+AEdisB0slfW&#10;TrQKwiP+9wYvnScpiJOC1XKRgCxy+Z+++AYAAP//AwBQSwECLQAUAAYACAAAACEAtoM4kv4AAADh&#10;AQAAEwAAAAAAAAAAAAAAAAAAAAAAW0NvbnRlbnRfVHlwZXNdLnhtbFBLAQItABQABgAIAAAAIQA4&#10;/SH/1gAAAJQBAAALAAAAAAAAAAAAAAAAAC8BAABfcmVscy8ucmVsc1BLAQItABQABgAIAAAAIQBF&#10;iTB04AsAANJ8AAAOAAAAAAAAAAAAAAAAAC4CAABkcnMvZTJvRG9jLnhtbFBLAQItABQABgAIAAAA&#10;IQAc7nvI3QAAAAUBAAAPAAAAAAAAAAAAAAAAADoOAABkcnMvZG93bnJldi54bWxQSwUGAAAAAAQA&#10;BADzAAAARA8AAAAA&#10;">
                <v:rect id="Rectangle 19622" o:spid="_x0000_s4637" style="position:absolute;left:18686;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C3exAAAAN4AAAAPAAAAZHJzL2Rvd25yZXYueG1sRE9Na8JA&#10;EL0L/odlCr3ppjmITV1FFGkOXmojeByyY5KanV2yq4n+erdQ6G0e73MWq8G04kadbywreJsmIIhL&#10;qxuuFBTfu8kchA/IGlvLpOBOHlbL8WiBmbY9f9HtECoRQ9hnqKAOwWVS+rImg35qHXHkzrYzGCLs&#10;Kqk77GO4aWWaJDNpsOHYUKOjTU3l5XA1Ck5bdvmul+X5sXH7n3zefl6Lo1KvL8P6A0SgIfyL/9y5&#10;jvPfZ2kKv+/EG+TyCQAA//8DAFBLAQItABQABgAIAAAAIQDb4fbL7gAAAIUBAAATAAAAAAAAAAAA&#10;AAAAAAAAAABbQ29udGVudF9UeXBlc10ueG1sUEsBAi0AFAAGAAgAAAAhAFr0LFu/AAAAFQEAAAsA&#10;AAAAAAAAAAAAAAAAHwEAAF9yZWxzLy5yZWxzUEsBAi0AFAAGAAgAAAAhAKh4Ld7EAAAA3gAAAA8A&#10;AAAAAAAAAAAAAAAABwIAAGRycy9kb3ducmV2LnhtbFBLBQYAAAAAAwADALcAAAD4AgAAAAA=&#10;" filled="f" stroked="f">
                  <v:textbox inset="0,0,0,0">
                    <w:txbxContent>
                      <w:p w14:paraId="4BF97B61" w14:textId="77777777" w:rsidR="00B32EF2" w:rsidRDefault="00000000">
                        <w:r>
                          <w:rPr>
                            <w:rFonts w:ascii="Times New Roman" w:eastAsia="Times New Roman" w:hAnsi="Times New Roman" w:cs="Times New Roman"/>
                          </w:rPr>
                          <w:t>51</w:t>
                        </w:r>
                      </w:p>
                    </w:txbxContent>
                  </v:textbox>
                </v:rect>
                <v:shape id="Shape 208010" o:spid="_x0000_s4638" style="position:absolute;top:4146;width:39600;height:58418;visibility:visible;mso-wrap-style:square;v-text-anchor:top" coordsize="3960000,584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iuVwgAAAN8AAAAPAAAAZHJzL2Rvd25yZXYueG1sRI9Ni8Iw&#10;EIbvwv6HMAt706QepFSjLIIgiAe7e9jj0Ixt2WamJFHrvzeHhT2+vF88m93kB3WnEHthC8XCgCJu&#10;xPXcWvj+OsxLUDEhOxyEycKTIuy2b7MNVk4efKF7nVqVRzhWaKFLaay0jk1HHuNCRuLsXSV4TFmG&#10;VruAjzzuB700ZqU99pwfOhxp31HzW9+8hdJI83MKoS8EQ32MkoZLPFv78T59rkElmtJ/+K99dBaW&#10;pjRFJsg8mQX09gUAAP//AwBQSwECLQAUAAYACAAAACEA2+H2y+4AAACFAQAAEwAAAAAAAAAAAAAA&#10;AAAAAAAAW0NvbnRlbnRfVHlwZXNdLnhtbFBLAQItABQABgAIAAAAIQBa9CxbvwAAABUBAAALAAAA&#10;AAAAAAAAAAAAAB8BAABfcmVscy8ucmVsc1BLAQItABQABgAIAAAAIQCidiuVwgAAAN8AAAAPAAAA&#10;AAAAAAAAAAAAAAcCAABkcnMvZG93bnJldi54bWxQSwUGAAAAAAMAAwC3AAAA9gIAAAAA&#10;" path="m,l3960000,r,5841797l,5841797,,e" fillcolor="#c3c3c3" stroked="f" strokeweight="0">
                  <v:stroke miterlimit="83231f" joinstyle="miter"/>
                  <v:path arrowok="t" textboxrect="0,0,3960000,5841797"/>
                </v:shape>
                <v:rect id="Rectangle 19624" o:spid="_x0000_s4639" style="position:absolute;left:-12183;top:60352;width:509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RAxxAAAAN4AAAAPAAAAZHJzL2Rvd25yZXYueG1sRE9Li8Iw&#10;EL4v+B/CCN7WdEVEq1EWF9ke9uILPA7N2FabSWiirf76jbCwt/n4nrNYdaYWd2p8ZVnBxzABQZxb&#10;XXGh4LDfvE9B+ICssbZMCh7kYbXsvS0w1bblLd13oRAxhH2KCsoQXCqlz0sy6IfWEUfubBuDIcKm&#10;kLrBNoabWo6SZCINVhwbSnS0Lim/7m5GwemLXbZpZX5+rt3PJZvW37fDUalBv/ucgwjUhX/xnzvT&#10;cf5sMhrD6514g1z+AgAA//8DAFBLAQItABQABgAIAAAAIQDb4fbL7gAAAIUBAAATAAAAAAAAAAAA&#10;AAAAAAAAAABbQ29udGVudF9UeXBlc10ueG1sUEsBAi0AFAAGAAgAAAAhAFr0LFu/AAAAFQEAAAsA&#10;AAAAAAAAAAAAAAAAHwEAAF9yZWxzLy5yZWxzUEsBAi0AFAAGAAgAAAAhAEjdEDHEAAAA3gAAAA8A&#10;AAAAAAAAAAAAAAAABwIAAGRycy9kb3ducmV2LnhtbFBLBQYAAAAAAwADALcAAAD4AgAAAAA=&#10;" filled="f" stroked="f">
                  <v:textbox inset="0,0,0,0">
                    <w:txbxContent>
                      <w:p w14:paraId="1F20898E" w14:textId="77777777" w:rsidR="00B32EF2" w:rsidRDefault="00000000">
                        <w:r>
                          <w:rPr>
                            <w:rFonts w:ascii="Arial" w:eastAsia="Arial" w:hAnsi="Arial" w:cs="Arial"/>
                            <w:i/>
                            <w:sz w:val="18"/>
                          </w:rPr>
                          <w:t xml:space="preserve">mati in origine su supporto analogico hanno la stessa efficacia probatoria </w:t>
                        </w:r>
                      </w:p>
                    </w:txbxContent>
                  </v:textbox>
                </v:rect>
                <v:rect id="Rectangle 19625" o:spid="_x0000_s4640" style="position:absolute;left:-12227;top:59119;width:511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bWqxAAAAN4AAAAPAAAAZHJzL2Rvd25yZXYueG1sRE9Li8Iw&#10;EL4v+B/CCN7WdAVFq1EWF9ke9uILPA7N2FabSWiirf76jbCwt/n4nrNYdaYWd2p8ZVnBxzABQZxb&#10;XXGh4LDfvE9B+ICssbZMCh7kYbXsvS0w1bblLd13oRAxhH2KCsoQXCqlz0sy6IfWEUfubBuDIcKm&#10;kLrBNoabWo6SZCINVhwbSnS0Lim/7m5GwemLXbZpZX5+rt3PJZvW37fDUalBv/ucgwjUhX/xnzvT&#10;cf5sMhrD6514g1z+AgAA//8DAFBLAQItABQABgAIAAAAIQDb4fbL7gAAAIUBAAATAAAAAAAAAAAA&#10;AAAAAAAAAABbQ29udGVudF9UeXBlc10ueG1sUEsBAi0AFAAGAAgAAAAhAFr0LFu/AAAAFQEAAAsA&#10;AAAAAAAAAAAAAAAAHwEAAF9yZWxzLy5yZWxzUEsBAi0AFAAGAAgAAAAhACeRtarEAAAA3gAAAA8A&#10;AAAAAAAAAAAAAAAABwIAAGRycy9kb3ducmV2LnhtbFBLBQYAAAAAAwADALcAAAD4AgAAAAA=&#10;" filled="f" stroked="f">
                  <v:textbox inset="0,0,0,0">
                    <w:txbxContent>
                      <w:p w14:paraId="2F14CF14" w14:textId="77777777" w:rsidR="00B32EF2" w:rsidRDefault="00000000">
                        <w:r>
                          <w:rPr>
                            <w:rFonts w:ascii="Arial" w:eastAsia="Arial" w:hAnsi="Arial" w:cs="Arial"/>
                            <w:i/>
                            <w:sz w:val="18"/>
                          </w:rPr>
                          <w:t xml:space="preserve">degli originali da cui sono estratte, se la loro conformità è attestata da un </w:t>
                        </w:r>
                      </w:p>
                    </w:txbxContent>
                  </v:textbox>
                </v:rect>
                <v:rect id="Rectangle 19626" o:spid="_x0000_s4641" style="position:absolute;left:-11622;top:57886;width:5042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yvdxAAAAN4AAAAPAAAAZHJzL2Rvd25yZXYueG1sRE9Na8JA&#10;EL0L/odlCr3pph6CTV1FFGkOXmojeByyY5KanV2yq4n+erdQ6G0e73MWq8G04kadbywreJsmIIhL&#10;qxuuFBTfu8kchA/IGlvLpOBOHlbL8WiBmbY9f9HtECoRQ9hnqKAOwWVS+rImg35qHXHkzrYzGCLs&#10;Kqk77GO4aeUsSVJpsOHYUKOjTU3l5XA1Ck5bdvmul+X5sXH7n3zefl6Lo1KvL8P6A0SgIfyL/9y5&#10;jvPf01kKv+/EG+TyCQAA//8DAFBLAQItABQABgAIAAAAIQDb4fbL7gAAAIUBAAATAAAAAAAAAAAA&#10;AAAAAAAAAABbQ29udGVudF9UeXBlc10ueG1sUEsBAi0AFAAGAAgAAAAhAFr0LFu/AAAAFQEAAAsA&#10;AAAAAAAAAAAAAAAAHwEAAF9yZWxzLy5yZWxzUEsBAi0AFAAGAAgAAAAhANdDK93EAAAA3gAAAA8A&#10;AAAAAAAAAAAAAAAABwIAAGRycy9kb3ducmV2LnhtbFBLBQYAAAAAAwADALcAAAD4AgAAAAA=&#10;" filled="f" stroked="f">
                  <v:textbox inset="0,0,0,0">
                    <w:txbxContent>
                      <w:p w14:paraId="0F3AD919" w14:textId="77777777" w:rsidR="00B32EF2" w:rsidRDefault="00000000">
                        <w:r>
                          <w:rPr>
                            <w:rFonts w:ascii="Arial" w:eastAsia="Arial" w:hAnsi="Arial" w:cs="Arial"/>
                            <w:i/>
                            <w:sz w:val="18"/>
                          </w:rPr>
                          <w:t>notaio o da altro pubblico ufficiale a ciò autorizzato, secondo le Linee guida.</w:t>
                        </w:r>
                      </w:p>
                    </w:txbxContent>
                  </v:textbox>
                </v:rect>
                <v:rect id="Rectangle 201417" o:spid="_x0000_s4642" style="position:absolute;left:25477;top:56652;width:512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ph+yAAAAN8AAAAPAAAAZHJzL2Rvd25yZXYueG1sRI9Pa8JA&#10;FMTvgt9heYI33USKldRVRJHm0Ev9Az0+ss8kbfbtkl1N7Kd3CwWPw8z8hlmue9OIG7W+tqwgnSYg&#10;iAuray4VnI77yQKED8gaG8uk4E4e1qvhYImZth1/0u0QShEh7DNUUIXgMil9UZFBP7WOOHoX2xoM&#10;Ubal1C12EW4aOUuSuTRYc1yo0NG2ouLncDUKvnbs8n0ni8vv1n1854vm/Xo6KzUe9Zs3EIH68Az/&#10;t3OtYJakL+kr/P2JX0CuHgAAAP//AwBQSwECLQAUAAYACAAAACEA2+H2y+4AAACFAQAAEwAAAAAA&#10;AAAAAAAAAAAAAAAAW0NvbnRlbnRfVHlwZXNdLnhtbFBLAQItABQABgAIAAAAIQBa9CxbvwAAABUB&#10;AAALAAAAAAAAAAAAAAAAAB8BAABfcmVscy8ucmVsc1BLAQItABQABgAIAAAAIQCmCph+yAAAAN8A&#10;AAAPAAAAAAAAAAAAAAAAAAcCAABkcnMvZG93bnJldi54bWxQSwUGAAAAAAMAAwC3AAAA/AIAAAAA&#10;" filled="f" stroked="f">
                  <v:textbox inset="0,0,0,0">
                    <w:txbxContent>
                      <w:p w14:paraId="2D8580BD" w14:textId="77777777" w:rsidR="00B32EF2" w:rsidRDefault="00000000">
                        <w:r>
                          <w:rPr>
                            <w:rFonts w:ascii="Arial" w:eastAsia="Arial" w:hAnsi="Arial" w:cs="Arial"/>
                            <w:i/>
                            <w:sz w:val="18"/>
                          </w:rPr>
                          <w:t>3</w:t>
                        </w:r>
                      </w:p>
                    </w:txbxContent>
                  </v:textbox>
                </v:rect>
                <v:rect id="Rectangle 201418" o:spid="_x0000_s4643" style="position:absolute;left:-12903;top:56652;width:511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QwMxAAAAN8AAAAPAAAAZHJzL2Rvd25yZXYueG1sRE/LisIw&#10;FN0P+A/hCu7GtDIMUo0iikwXs/EFLi/Nta02N6GJts7Xm8WAy8N5z5e9acSDWl9bVpCOExDEhdU1&#10;lwqOh+3nFIQPyBoby6TgSR6Wi8HHHDNtO97RYx9KEUPYZ6igCsFlUvqiIoN+bB1x5C62NRgibEup&#10;W+xiuGnkJEm+pcGaY0OFjtYVFbf93Sg4b9jl204Wl7+1+73m0+bnfjwpNRr2qxmIQH14i//duVYw&#10;SdKvNA6Of+IXkIsXAAAA//8DAFBLAQItABQABgAIAAAAIQDb4fbL7gAAAIUBAAATAAAAAAAAAAAA&#10;AAAAAAAAAABbQ29udGVudF9UeXBlc10ueG1sUEsBAi0AFAAGAAgAAAAhAFr0LFu/AAAAFQEAAAsA&#10;AAAAAAAAAAAAAAAAHwEAAF9yZWxzLy5yZWxzUEsBAi0AFAAGAAgAAAAhANeVDAzEAAAA3wAAAA8A&#10;AAAAAAAAAAAAAAAABwIAAGRycy9kb3ducmV2LnhtbFBLBQYAAAAAAwADALcAAAD4AgAAAAA=&#10;" filled="f" stroked="f">
                  <v:textbox inset="0,0,0,0">
                    <w:txbxContent>
                      <w:p w14:paraId="5F3CC6B8" w14:textId="77777777" w:rsidR="00B32EF2" w:rsidRDefault="00000000">
                        <w:r>
                          <w:rPr>
                            <w:rFonts w:ascii="Arial" w:eastAsia="Arial" w:hAnsi="Arial" w:cs="Arial"/>
                            <w:i/>
                            <w:sz w:val="18"/>
                          </w:rPr>
                          <w:t xml:space="preserve">. Le copie per immagine su supporto informatico di documenti originali </w:t>
                        </w:r>
                      </w:p>
                    </w:txbxContent>
                  </v:textbox>
                </v:rect>
                <v:rect id="Rectangle 19628" o:spid="_x0000_s4644" style="position:absolute;left:-11234;top:55419;width:500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Bo0xwAAAN4AAAAPAAAAZHJzL2Rvd25yZXYueG1sRI9Bb8Iw&#10;DIXvSPyHyEi7QQoHxDoCQkxoPewCA2lHqzFtt8aJmkC7/Xp8mLSbrff83uf1dnCtulMXG88G5rMM&#10;FHHpbcOVgfPHYboCFROyxdYzGfihCNvNeLTG3Pqej3Q/pUpJCMccDdQphVzrWNbkMM58IBbt6juH&#10;Sdau0rbDXsJdqxdZttQOG5aGGgPtayq/Tzdn4POVQ3HodXn93Yf3r2LVvt3OF2OeJsPuBVSiIf2b&#10;/64LK/jPy4Xwyjsyg948AAAA//8DAFBLAQItABQABgAIAAAAIQDb4fbL7gAAAIUBAAATAAAAAAAA&#10;AAAAAAAAAAAAAABbQ29udGVudF9UeXBlc10ueG1sUEsBAi0AFAAGAAgAAAAhAFr0LFu/AAAAFQEA&#10;AAsAAAAAAAAAAAAAAAAAHwEAAF9yZWxzLy5yZWxzUEsBAi0AFAAGAAgAAAAhAMmQGjTHAAAA3gAA&#10;AA8AAAAAAAAAAAAAAAAABwIAAGRycy9kb3ducmV2LnhtbFBLBQYAAAAAAwADALcAAAD7AgAAAAA=&#10;" filled="f" stroked="f">
                  <v:textbox inset="0,0,0,0">
                    <w:txbxContent>
                      <w:p w14:paraId="59AC6742" w14:textId="77777777" w:rsidR="00B32EF2" w:rsidRDefault="00000000">
                        <w:r>
                          <w:rPr>
                            <w:rFonts w:ascii="Arial" w:eastAsia="Arial" w:hAnsi="Arial" w:cs="Arial"/>
                            <w:i/>
                            <w:sz w:val="18"/>
                          </w:rPr>
                          <w:t>formati in origine su supporto analogico nel rispetto delle Linee guida han</w:t>
                        </w:r>
                      </w:p>
                    </w:txbxContent>
                  </v:textbox>
                </v:rect>
                <v:rect id="Rectangle 19629" o:spid="_x0000_s4645" style="position:absolute;left:657;top:5541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L+vxAAAAN4AAAAPAAAAZHJzL2Rvd25yZXYueG1sRE9Li8Iw&#10;EL4v+B/CCN7WVA+i1SiiiD3sZX2Ax6EZ22ozCU20dX/9ZmHB23x8z1msOlOLJzW+sqxgNExAEOdW&#10;V1woOB13n1MQPiBrrC2Tghd5WC17HwtMtW35m56HUIgYwj5FBWUILpXS5yUZ9EPriCN3tY3BEGFT&#10;SN1gG8NNLcdJMpEGK44NJTralJTfDw+j4LJll+1amV9/Nu7rlk3r/eN0VmrQ79ZzEIG68Bb/uzMd&#10;588m4xn8vRNvkMtfAAAA//8DAFBLAQItABQABgAIAAAAIQDb4fbL7gAAAIUBAAATAAAAAAAAAAAA&#10;AAAAAAAAAABbQ29udGVudF9UeXBlc10ueG1sUEsBAi0AFAAGAAgAAAAhAFr0LFu/AAAAFQEAAAsA&#10;AAAAAAAAAAAAAAAAHwEAAF9yZWxzLy5yZWxzUEsBAi0AFAAGAAgAAAAhAKbcv6/EAAAA3gAAAA8A&#10;AAAAAAAAAAAAAAAABwIAAGRycy9kb3ducmV2LnhtbFBLBQYAAAAAAwADALcAAAD4AgAAAAA=&#10;" filled="f" stroked="f">
                  <v:textbox inset="0,0,0,0">
                    <w:txbxContent>
                      <w:p w14:paraId="6011FB7D" w14:textId="77777777" w:rsidR="00B32EF2" w:rsidRDefault="00000000">
                        <w:r>
                          <w:rPr>
                            <w:rFonts w:ascii="Arial" w:eastAsia="Arial" w:hAnsi="Arial" w:cs="Arial"/>
                            <w:i/>
                            <w:sz w:val="18"/>
                          </w:rPr>
                          <w:t>-</w:t>
                        </w:r>
                      </w:p>
                    </w:txbxContent>
                  </v:textbox>
                </v:rect>
                <v:rect id="Rectangle 19630" o:spid="_x0000_s4646" style="position:absolute;left:-12190;top:54186;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4DvyAAAAN4AAAAPAAAAZHJzL2Rvd25yZXYueG1sRI9Pa8JA&#10;EMXvgt9hGaE33bQFsamrFIs0h178U+hxyI5J2uzskl1N2k/vHARvM8yb995vuR5cqy7UxcazgcdZ&#10;Boq49LbhysDxsJ0uQMWEbLH1TAb+KMJ6NR4tMbe+5x1d9qlSYsIxRwN1SiHXOpY1OYwzH4jldvKd&#10;wyRrV2nbYS/mrtVPWTbXDhuWhBoDbWoqf/dnZ+D7nUOx7XV5+t+Ez59i0X6cj1/GPEyGt1dQiYZ0&#10;F9++Cyv1X+bPAiA4MoNeXQEAAP//AwBQSwECLQAUAAYACAAAACEA2+H2y+4AAACFAQAAEwAAAAAA&#10;AAAAAAAAAAAAAAAAW0NvbnRlbnRfVHlwZXNdLnhtbFBLAQItABQABgAIAAAAIQBa9CxbvwAAABUB&#10;AAALAAAAAAAAAAAAAAAAAB8BAABfcmVscy8ucmVsc1BLAQItABQABgAIAAAAIQCyP4DvyAAAAN4A&#10;AAAPAAAAAAAAAAAAAAAAAAcCAABkcnMvZG93bnJldi54bWxQSwUGAAAAAAMAAwC3AAAA/AIAAAAA&#10;" filled="f" stroked="f">
                  <v:textbox inset="0,0,0,0">
                    <w:txbxContent>
                      <w:p w14:paraId="1F42DB1D" w14:textId="77777777" w:rsidR="00B32EF2" w:rsidRDefault="00000000">
                        <w:r>
                          <w:rPr>
                            <w:rFonts w:ascii="Arial" w:eastAsia="Arial" w:hAnsi="Arial" w:cs="Arial"/>
                            <w:i/>
                            <w:sz w:val="18"/>
                          </w:rPr>
                          <w:t xml:space="preserve">no la stessa efficacia probatoria degli originali da cui sono tratte se la loro </w:t>
                        </w:r>
                      </w:p>
                    </w:txbxContent>
                  </v:textbox>
                </v:rect>
                <v:rect id="Rectangle 19631" o:spid="_x0000_s4647" style="position:absolute;left:-1960;top:52952;width:407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yV0xAAAAN4AAAAPAAAAZHJzL2Rvd25yZXYueG1sRE9Li8Iw&#10;EL4L+x/CLHhbU1cQrUZZXGR78LI+wOPQjG21mYQm2uqvNwsL3ubje8582Zla3KjxlWUFw0ECgji3&#10;uuJCwX63/piA8AFZY22ZFNzJw3Lx1ptjqm3Lv3TbhkLEEPYpKihDcKmUPi/JoB9YRxy5k20Mhgib&#10;QuoG2xhuavmZJGNpsOLYUKKjVUn5ZXs1Co7f7LJ1K/PTY+U252xS/1z3B6X6793XDESgLrzE/+5M&#10;x/nT8WgIf+/EG+TiCQAA//8DAFBLAQItABQABgAIAAAAIQDb4fbL7gAAAIUBAAATAAAAAAAAAAAA&#10;AAAAAAAAAABbQ29udGVudF9UeXBlc10ueG1sUEsBAi0AFAAGAAgAAAAhAFr0LFu/AAAAFQEAAAsA&#10;AAAAAAAAAAAAAAAAHwEAAF9yZWxzLy5yZWxzUEsBAi0AFAAGAAgAAAAhAN1zJXTEAAAA3gAAAA8A&#10;AAAAAAAAAAAAAAAABwIAAGRycy9kb3ducmV2LnhtbFBLBQYAAAAAAwADALcAAAD4AgAAAAA=&#10;" filled="f" stroked="f">
                  <v:textbox inset="0,0,0,0">
                    <w:txbxContent>
                      <w:p w14:paraId="46FC73B0" w14:textId="77777777" w:rsidR="00B32EF2" w:rsidRDefault="00000000">
                        <w:r>
                          <w:rPr>
                            <w:rFonts w:ascii="Arial" w:eastAsia="Arial" w:hAnsi="Arial" w:cs="Arial"/>
                            <w:i/>
                            <w:sz w:val="18"/>
                          </w:rPr>
                          <w:t>conformità all’originale non è espressamente disconosciuta.</w:t>
                        </w:r>
                      </w:p>
                    </w:txbxContent>
                  </v:textbox>
                </v:rect>
                <v:rect id="Rectangle 201415" o:spid="_x0000_s4648" style="position:absolute;left:-12848;top:51719;width:510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KOSyAAAAN8AAAAPAAAAZHJzL2Rvd25yZXYueG1sRI9Pa8JA&#10;FMTvgt9heYI33URqkdRVRJHm0Ev9Az0+ss8kbfbtkl1N7Kd3CwWPw8z8hlmue9OIG7W+tqwgnSYg&#10;iAuray4VnI77yQKED8gaG8uk4E4e1qvhYImZth1/0u0QShEh7DNUUIXgMil9UZFBP7WOOHoX2xoM&#10;Ubal1C12EW4aOUuSV2mw5rhQoaNtRcXP4WoUfO3Y5ftOFpffrfv4zhfN+/V0Vmo86jdvIAL14Rn+&#10;b+dawSxJX9I5/P2JX0CuHgAAAP//AwBQSwECLQAUAAYACAAAACEA2+H2y+4AAACFAQAAEwAAAAAA&#10;AAAAAAAAAAAAAAAAW0NvbnRlbnRfVHlwZXNdLnhtbFBLAQItABQABgAIAAAAIQBa9CxbvwAAABUB&#10;AAALAAAAAAAAAAAAAAAAAB8BAABfcmVscy8ucmVsc1BLAQItABQABgAIAAAAIQA5lKOSyAAAAN8A&#10;AAAPAAAAAAAAAAAAAAAAAAcCAABkcnMvZG93bnJldi54bWxQSwUGAAAAAAMAAwC3AAAA/AIAAAAA&#10;" filled="f" stroked="f">
                  <v:textbox inset="0,0,0,0">
                    <w:txbxContent>
                      <w:p w14:paraId="36FD4CF2" w14:textId="77777777" w:rsidR="00B32EF2" w:rsidRDefault="00000000">
                        <w:r>
                          <w:rPr>
                            <w:rFonts w:ascii="Arial" w:eastAsia="Arial" w:hAnsi="Arial" w:cs="Arial"/>
                            <w:i/>
                            <w:sz w:val="18"/>
                          </w:rPr>
                          <w:t xml:space="preserve">. Le copie formate ai sensi dei commi 1, 1-bis, 2 e 3 sostituiscono ad ogni </w:t>
                        </w:r>
                      </w:p>
                    </w:txbxContent>
                  </v:textbox>
                </v:rect>
                <v:rect id="Rectangle 201414" o:spid="_x0000_s4649" style="position:absolute;left:25525;top:51719;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AYJxwAAAN8AAAAPAAAAZHJzL2Rvd25yZXYueG1sRI9Ba8JA&#10;FITvgv9heUJvuolIkegqokhz8FKr4PGRfSbR7Nslu5rYX98tFHocZuYbZrnuTSOe1PrasoJ0koAg&#10;LqyuuVRw+tqP5yB8QNbYWCYFL/KwXg0HS8y07fiTnsdQighhn6GCKgSXSemLigz6iXXE0bva1mCI&#10;si2lbrGLcNPIaZK8S4M1x4UKHW0rKu7Hh1Fw2bHL950srt9bd7jl8+bjcTor9TbqNwsQgfrwH/5r&#10;51rBNEln6Qx+/8QvIFc/AAAA//8DAFBLAQItABQABgAIAAAAIQDb4fbL7gAAAIUBAAATAAAAAAAA&#10;AAAAAAAAAAAAAABbQ29udGVudF9UeXBlc10ueG1sUEsBAi0AFAAGAAgAAAAhAFr0LFu/AAAAFQEA&#10;AAsAAAAAAAAAAAAAAAAAHwEAAF9yZWxzLy5yZWxzUEsBAi0AFAAGAAgAAAAhAFbYBgnHAAAA3wAA&#10;AA8AAAAAAAAAAAAAAAAABwIAAGRycy9kb3ducmV2LnhtbFBLBQYAAAAAAwADALcAAAD7AgAAAAA=&#10;" filled="f" stroked="f">
                  <v:textbox inset="0,0,0,0">
                    <w:txbxContent>
                      <w:p w14:paraId="27887B95" w14:textId="77777777" w:rsidR="00B32EF2" w:rsidRDefault="00000000">
                        <w:r>
                          <w:rPr>
                            <w:rFonts w:ascii="Arial" w:eastAsia="Arial" w:hAnsi="Arial" w:cs="Arial"/>
                            <w:i/>
                            <w:sz w:val="18"/>
                          </w:rPr>
                          <w:t>4</w:t>
                        </w:r>
                      </w:p>
                    </w:txbxContent>
                  </v:textbox>
                </v:rect>
                <v:rect id="Rectangle 19633" o:spid="_x0000_s4650" style="position:absolute;left:-12186;top:50486;width:509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R6YxAAAAN4AAAAPAAAAZHJzL2Rvd25yZXYueG1sRE9Li8Iw&#10;EL4v+B/CCN7WdFcQrUZZXMQe9uILPA7N2FabSWiirf76jbCwt/n4njNfdqYWd2p8ZVnBxzABQZxb&#10;XXGh4LBfv09A+ICssbZMCh7kYbnovc0x1bblLd13oRAxhH2KCsoQXCqlz0sy6IfWEUfubBuDIcKm&#10;kLrBNoabWn4myVgarDg2lOhoVVJ+3d2MgtM3u2zdyvz8XLmfSzapN7fDUalBv/uagQjUhX/xnzvT&#10;cf50PBrB6514g1z8AgAA//8DAFBLAQItABQABgAIAAAAIQDb4fbL7gAAAIUBAAATAAAAAAAAAAAA&#10;AAAAAAAAAABbQ29udGVudF9UeXBlc10ueG1sUEsBAi0AFAAGAAgAAAAhAFr0LFu/AAAAFQEAAAsA&#10;AAAAAAAAAAAAAAAAHwEAAF9yZWxzLy5yZWxzUEsBAi0AFAAGAAgAAAAhAELtHpjEAAAA3gAAAA8A&#10;AAAAAAAAAAAAAAAABwIAAGRycy9kb3ducmV2LnhtbFBLBQYAAAAAAwADALcAAAD4AgAAAAA=&#10;" filled="f" stroked="f">
                  <v:textbox inset="0,0,0,0">
                    <w:txbxContent>
                      <w:p w14:paraId="3D8E5695" w14:textId="77777777" w:rsidR="00B32EF2" w:rsidRDefault="00000000">
                        <w:r>
                          <w:rPr>
                            <w:rFonts w:ascii="Arial" w:eastAsia="Arial" w:hAnsi="Arial" w:cs="Arial"/>
                            <w:i/>
                            <w:sz w:val="18"/>
                          </w:rPr>
                          <w:t xml:space="preserve">effetto di legge gli originali formati in origine su supporto analogico, e sono </w:t>
                        </w:r>
                      </w:p>
                    </w:txbxContent>
                  </v:textbox>
                </v:rect>
                <v:rect id="Rectangle 19634" o:spid="_x0000_s4651" style="position:absolute;left:-11220;top:49252;width:500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IbsxQAAAN4AAAAPAAAAZHJzL2Rvd25yZXYueG1sRE9La8JA&#10;EL4X+h+WKXirGx+Ija4iiphDL7UWehyyYxLNzi7Z1UR/vVsoeJuP7znzZWdqcaXGV5YVDPoJCOLc&#10;6ooLBYfv7fsUhA/IGmvLpOBGHpaL15c5ptq2/EXXfShEDGGfooIyBJdK6fOSDPq+dcSRO9rGYIiw&#10;KaRusI3hppbDJJlIgxXHhhIdrUvKz/uLUfC7YZdtW5kf72v3ecqm9e5y+FGq99atZiACdeEp/ndn&#10;Os7/mIzG8PdOvEEuHgAAAP//AwBQSwECLQAUAAYACAAAACEA2+H2y+4AAACFAQAAEwAAAAAAAAAA&#10;AAAAAAAAAAAAW0NvbnRlbnRfVHlwZXNdLnhtbFBLAQItABQABgAIAAAAIQBa9CxbvwAAABUBAAAL&#10;AAAAAAAAAAAAAAAAAB8BAABfcmVscy8ucmVsc1BLAQItABQABgAIAAAAIQDNBIbsxQAAAN4AAAAP&#10;AAAAAAAAAAAAAAAAAAcCAABkcnMvZG93bnJldi54bWxQSwUGAAAAAAMAAwC3AAAA+QIAAAAA&#10;" filled="f" stroked="f">
                  <v:textbox inset="0,0,0,0">
                    <w:txbxContent>
                      <w:p w14:paraId="432EE30B" w14:textId="77777777" w:rsidR="00B32EF2" w:rsidRDefault="00000000">
                        <w:r>
                          <w:rPr>
                            <w:rFonts w:ascii="Arial" w:eastAsia="Arial" w:hAnsi="Arial" w:cs="Arial"/>
                            <w:i/>
                            <w:sz w:val="18"/>
                          </w:rPr>
                          <w:t>idonee ad assolvere agli obblighi di conservazione previsti dalla legge, sal</w:t>
                        </w:r>
                      </w:p>
                    </w:txbxContent>
                  </v:textbox>
                </v:rect>
                <v:rect id="Rectangle 19635" o:spid="_x0000_s4652" style="position:absolute;left:657;top:4925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CN3xQAAAN4AAAAPAAAAZHJzL2Rvd25yZXYueG1sRE9Na8JA&#10;EL0X+h+WKXirGxXFRlcRRcyhl1oLPQ7ZMYlmZ5fsaqK/3i0UvM3jfc582ZlaXKnxlWUFg34Cgji3&#10;uuJCweF7+z4F4QOyxtoyKbiRh+Xi9WWOqbYtf9F1HwoRQ9inqKAMwaVS+rwkg75vHXHkjrYxGCJs&#10;CqkbbGO4qeUwSSbSYMWxoURH65Ly8/5iFPxu2GXbVubH+9p9nrJpvbscfpTqvXWrGYhAXXiK/92Z&#10;jvM/JqMx/L0Tb5CLBwAAAP//AwBQSwECLQAUAAYACAAAACEA2+H2y+4AAACFAQAAEwAAAAAAAAAA&#10;AAAAAAAAAAAAW0NvbnRlbnRfVHlwZXNdLnhtbFBLAQItABQABgAIAAAAIQBa9CxbvwAAABUBAAAL&#10;AAAAAAAAAAAAAAAAAB8BAABfcmVscy8ucmVsc1BLAQItABQABgAIAAAAIQCiSCN3xQAAAN4AAAAP&#10;AAAAAAAAAAAAAAAAAAcCAABkcnMvZG93bnJldi54bWxQSwUGAAAAAAMAAwC3AAAA+QIAAAAA&#10;" filled="f" stroked="f">
                  <v:textbox inset="0,0,0,0">
                    <w:txbxContent>
                      <w:p w14:paraId="4FE90A77" w14:textId="77777777" w:rsidR="00B32EF2" w:rsidRDefault="00000000">
                        <w:r>
                          <w:rPr>
                            <w:rFonts w:ascii="Arial" w:eastAsia="Arial" w:hAnsi="Arial" w:cs="Arial"/>
                            <w:i/>
                            <w:sz w:val="18"/>
                          </w:rPr>
                          <w:t>-</w:t>
                        </w:r>
                      </w:p>
                    </w:txbxContent>
                  </v:textbox>
                </v:rect>
                <v:rect id="Rectangle 19636" o:spid="_x0000_s4653" style="position:absolute;left:16789;top:48019;width:220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r0AxAAAAN4AAAAPAAAAZHJzL2Rvd25yZXYueG1sRE9Na8JA&#10;EL0X/A/LCN7qxgrBRlcRRZpDL7UKHofsmESzs0t2NdFf3y0UepvH+5zFqjeNuFPra8sKJuMEBHFh&#10;dc2lgsP37nUGwgdkjY1lUvAgD6vl4GWBmbYdf9F9H0oRQ9hnqKAKwWVS+qIig35sHXHkzrY1GCJs&#10;S6lb7GK4aeRbkqTSYM2xoUJHm4qK6/5mFJy27PJdJ4vzc+M+L/ms+bgdjkqNhv16DiJQH/7Ff+5c&#10;x/nv6TSF33fiDXL5AwAA//8DAFBLAQItABQABgAIAAAAIQDb4fbL7gAAAIUBAAATAAAAAAAAAAAA&#10;AAAAAAAAAABbQ29udGVudF9UeXBlc10ueG1sUEsBAi0AFAAGAAgAAAAhAFr0LFu/AAAAFQEAAAsA&#10;AAAAAAAAAAAAAAAAHwEAAF9yZWxzLy5yZWxzUEsBAi0AFAAGAAgAAAAhAFKavQDEAAAA3gAAAA8A&#10;AAAAAAAAAAAAAAAABwIAAGRycy9kb3ducmV2LnhtbFBLBQYAAAAAAwADALcAAAD4AgAAAAA=&#10;" filled="f" stroked="f">
                  <v:textbox inset="0,0,0,0">
                    <w:txbxContent>
                      <w:p w14:paraId="46754F96" w14:textId="77777777" w:rsidR="00B32EF2" w:rsidRDefault="00000000">
                        <w:r>
                          <w:rPr>
                            <w:rFonts w:ascii="Arial" w:eastAsia="Arial" w:hAnsi="Arial" w:cs="Arial"/>
                            <w:i/>
                            <w:sz w:val="18"/>
                          </w:rPr>
                          <w:t>vo quanto stabilito dal comma 5.</w:t>
                        </w:r>
                      </w:p>
                    </w:txbxContent>
                  </v:textbox>
                </v:rect>
                <v:rect id="Rectangle 201413" o:spid="_x0000_s4654" style="position:absolute;left:-13328;top:46786;width:51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59yAAAAN8AAAAPAAAAZHJzL2Rvd25yZXYueG1sRI9Pa8JA&#10;FMTvgt9heYI33cRKkdRVRJHm0Ev9Az0+ss8kbfbtkl1N7Kd3CwWPw8z8hlmue9OIG7W+tqwgnSYg&#10;iAuray4VnI77yQKED8gaG8uk4E4e1qvhYImZth1/0u0QShEh7DNUUIXgMil9UZFBP7WOOHoX2xoM&#10;Ubal1C12EW4aOUuSV2mw5rhQoaNtRcXP4WoUfO3Y5ftOFpffrfv4zhfN+/V0Vmo86jdvIAL14Rn+&#10;b+dawSxJ5+kL/P2JX0CuHgAAAP//AwBQSwECLQAUAAYACAAAACEA2+H2y+4AAACFAQAAEwAAAAAA&#10;AAAAAAAAAAAAAAAAW0NvbnRlbnRfVHlwZXNdLnhtbFBLAQItABQABgAIAAAAIQBa9CxbvwAAABUB&#10;AAALAAAAAAAAAAAAAAAAAB8BAABfcmVscy8ucmVsc1BLAQItABQABgAIAAAAIQDZMZ59yAAAAN8A&#10;AAAPAAAAAAAAAAAAAAAAAAcCAABkcnMvZG93bnJldi54bWxQSwUGAAAAAAMAAwC3AAAA/AIAAAAA&#10;" filled="f" stroked="f">
                  <v:textbox inset="0,0,0,0">
                    <w:txbxContent>
                      <w:p w14:paraId="142B55AD" w14:textId="77777777" w:rsidR="00B32EF2" w:rsidRDefault="00000000">
                        <w:r>
                          <w:rPr>
                            <w:rFonts w:ascii="Arial" w:eastAsia="Arial" w:hAnsi="Arial" w:cs="Arial"/>
                            <w:i/>
                            <w:sz w:val="18"/>
                          </w:rPr>
                          <w:t xml:space="preserve">bis. Le copie per immagine su supporto informatico di atti e documenti </w:t>
                        </w:r>
                      </w:p>
                    </w:txbxContent>
                  </v:textbox>
                </v:rect>
                <v:rect id="Rectangle 201412" o:spid="_x0000_s4655" style="position:absolute;left:25061;top:46786;width:511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TvmxwAAAN8AAAAPAAAAZHJzL2Rvd25yZXYueG1sRI9Ba8JA&#10;FITvQv/D8gredJMgIqmriCLm4EVrocdH9pmkZt8u2dXE/vpuodDjMDPfMMv1YFrxoM43lhWk0wQE&#10;cWl1w5WCy/t+sgDhA7LG1jIpeJKH9epltMRc255P9DiHSkQI+xwV1CG4XEpf1mTQT60jjt7VdgZD&#10;lF0ldYd9hJtWZkkylwYbjgs1OtrWVN7Od6Pgc8eu2PeyvH5v3fGrWLSH++VDqfHrsHkDEWgI/+G/&#10;dqEVZEk6SzP4/RO/gFz9AAAA//8DAFBLAQItABQABgAIAAAAIQDb4fbL7gAAAIUBAAATAAAAAAAA&#10;AAAAAAAAAAAAAABbQ29udGVudF9UeXBlc10ueG1sUEsBAi0AFAAGAAgAAAAhAFr0LFu/AAAAFQEA&#10;AAsAAAAAAAAAAAAAAAAAHwEAAF9yZWxzLy5yZWxzUEsBAi0AFAAGAAgAAAAhALZ9O+bHAAAA3wAA&#10;AA8AAAAAAAAAAAAAAAAABwIAAGRycy9kb3ducmV2LnhtbFBLBQYAAAAAAwADALcAAAD7AgAAAAA=&#10;" filled="f" stroked="f">
                  <v:textbox inset="0,0,0,0">
                    <w:txbxContent>
                      <w:p w14:paraId="714F2E57" w14:textId="77777777" w:rsidR="00B32EF2" w:rsidRDefault="00000000">
                        <w:r>
                          <w:rPr>
                            <w:rFonts w:ascii="Arial" w:eastAsia="Arial" w:hAnsi="Arial" w:cs="Arial"/>
                            <w:i/>
                            <w:sz w:val="18"/>
                          </w:rPr>
                          <w:t>4-</w:t>
                        </w:r>
                      </w:p>
                    </w:txbxContent>
                  </v:textbox>
                </v:rect>
                <v:rect id="Rectangle 19638" o:spid="_x0000_s4656" style="position:absolute;left:-11225;top:45553;width:5004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YzpyAAAAN4AAAAPAAAAZHJzL2Rvd25yZXYueG1sRI9Pa8JA&#10;EMXvgt9hGaE33bQFsamrFIs0h178U+hxyI5J2uzskl1N2k/vHARvM7w37/1muR5cqy7UxcazgcdZ&#10;Boq49LbhysDxsJ0uQMWEbLH1TAb+KMJ6NR4tMbe+5x1d9qlSEsIxRwN1SiHXOpY1OYwzH4hFO/nO&#10;YZK1q7TtsJdw1+qnLJtrhw1LQ42BNjWVv/uzM/D9zqHY9ro8/W/C50+xaD/Oxy9jHibD2yuoREO6&#10;m2/XhRX8l/mz8Mo7MoNeXQEAAP//AwBQSwECLQAUAAYACAAAACEA2+H2y+4AAACFAQAAEwAAAAAA&#10;AAAAAAAAAAAAAAAAW0NvbnRlbnRfVHlwZXNdLnhtbFBLAQItABQABgAIAAAAIQBa9CxbvwAAABUB&#10;AAALAAAAAAAAAAAAAAAAAB8BAABfcmVscy8ucmVsc1BLAQItABQABgAIAAAAIQBMSYzpyAAAAN4A&#10;AAAPAAAAAAAAAAAAAAAAAAcCAABkcnMvZG93bnJldi54bWxQSwUGAAAAAAMAAwC3AAAA/AIAAAAA&#10;" filled="f" stroked="f">
                  <v:textbox inset="0,0,0,0">
                    <w:txbxContent>
                      <w:p w14:paraId="0E6601F8" w14:textId="77777777" w:rsidR="00B32EF2" w:rsidRDefault="00000000">
                        <w:r>
                          <w:rPr>
                            <w:rFonts w:ascii="Arial" w:eastAsia="Arial" w:hAnsi="Arial" w:cs="Arial"/>
                            <w:i/>
                            <w:sz w:val="18"/>
                          </w:rPr>
                          <w:t>originali formati in origine su supporto analogico, depositati in procedimen</w:t>
                        </w:r>
                      </w:p>
                    </w:txbxContent>
                  </v:textbox>
                </v:rect>
                <v:rect id="Rectangle 19639" o:spid="_x0000_s4657" style="position:absolute;left:657;top:45553;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SlyxAAAAN4AAAAPAAAAZHJzL2Rvd25yZXYueG1sRE9Ni8Iw&#10;EL0L/ocwgjdNdUG0axRRZHvwsq4Lexyasa02k9BEW/31m4UFb/N4n7Ncd6YWd2p8ZVnBZJyAIM6t&#10;rrhQcPraj+YgfEDWWFsmBQ/ysF71e0tMtW35k+7HUIgYwj5FBWUILpXS5yUZ9GPriCN3to3BEGFT&#10;SN1gG8NNLadJMpMGK44NJTralpRfjzej4GfHLtu3Mj8/t+5wyeb1x+30rdRw0G3eQQTqwkv87850&#10;nL+YvS3g7514g1z9AgAA//8DAFBLAQItABQABgAIAAAAIQDb4fbL7gAAAIUBAAATAAAAAAAAAAAA&#10;AAAAAAAAAABbQ29udGVudF9UeXBlc10ueG1sUEsBAi0AFAAGAAgAAAAhAFr0LFu/AAAAFQEAAAsA&#10;AAAAAAAAAAAAAAAAHwEAAF9yZWxzLy5yZWxzUEsBAi0AFAAGAAgAAAAhACMFKXLEAAAA3gAAAA8A&#10;AAAAAAAAAAAAAAAABwIAAGRycy9kb3ducmV2LnhtbFBLBQYAAAAAAwADALcAAAD4AgAAAAA=&#10;" filled="f" stroked="f">
                  <v:textbox inset="0,0,0,0">
                    <w:txbxContent>
                      <w:p w14:paraId="3DE7AFF6" w14:textId="77777777" w:rsidR="00B32EF2" w:rsidRDefault="00000000">
                        <w:r>
                          <w:rPr>
                            <w:rFonts w:ascii="Arial" w:eastAsia="Arial" w:hAnsi="Arial" w:cs="Arial"/>
                            <w:i/>
                            <w:sz w:val="18"/>
                          </w:rPr>
                          <w:t>-</w:t>
                        </w:r>
                      </w:p>
                    </w:txbxContent>
                  </v:textbox>
                </v:rect>
                <v:rect id="Rectangle 19640" o:spid="_x0000_s4658" style="position:absolute;left:-12189;top:44319;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fOSyAAAAN4AAAAPAAAAZHJzL2Rvd25yZXYueG1sRI9Pa8JA&#10;EMXvgt9hGaE33bQUsamrFIs0h178U+hxyI5J2uzskl1N2k/vHARvM8yb995vuR5cqy7UxcazgcdZ&#10;Boq49LbhysDxsJ0uQMWEbLH1TAb+KMJ6NR4tMbe+5x1d9qlSYsIxRwN1SiHXOpY1OYwzH4jldvKd&#10;wyRrV2nbYS/mrtVPWTbXDhuWhBoDbWoqf/dnZ+D7nUOx7XV5+t+Ez59i0X6cj1/GPEyGt1dQiYZ0&#10;F9++Cyv1X+bPAiA4MoNeXQEAAP//AwBQSwECLQAUAAYACAAAACEA2+H2y+4AAACFAQAAEwAAAAAA&#10;AAAAAAAAAAAAAAAAW0NvbnRlbnRfVHlwZXNdLnhtbFBLAQItABQABgAIAAAAIQBa9CxbvwAAABUB&#10;AAALAAAAAAAAAAAAAAAAAB8BAABfcmVscy8ucmVsc1BLAQItABQABgAIAAAAIQDqOfOSyAAAAN4A&#10;AAAPAAAAAAAAAAAAAAAAAAcCAABkcnMvZG93bnJldi54bWxQSwUGAAAAAAMAAwC3AAAA/AIAAAAA&#10;" filled="f" stroked="f">
                  <v:textbox inset="0,0,0,0">
                    <w:txbxContent>
                      <w:p w14:paraId="17580EAF" w14:textId="77777777" w:rsidR="00B32EF2" w:rsidRDefault="00000000">
                        <w:r>
                          <w:rPr>
                            <w:rFonts w:ascii="Arial" w:eastAsia="Arial" w:hAnsi="Arial" w:cs="Arial"/>
                            <w:i/>
                            <w:sz w:val="18"/>
                          </w:rPr>
                          <w:t xml:space="preserve">ti giudiziari civili definiti con provvedimento decisorio non più soggetto a </w:t>
                        </w:r>
                      </w:p>
                    </w:txbxContent>
                  </v:textbox>
                </v:rect>
                <v:rect id="Rectangle 19641" o:spid="_x0000_s4659" style="position:absolute;left:-12220;top:43086;width:511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VYJxAAAAN4AAAAPAAAAZHJzL2Rvd25yZXYueG1sRE9Li8Iw&#10;EL4L+x/CLHhbUxcRrUZZXGR78LI+wOPQjG21mYQm2uqvNwsL3ubje8582Zla3KjxlWUFw0ECgji3&#10;uuJCwX63/piA8AFZY22ZFNzJw3Lx1ptjqm3Lv3TbhkLEEPYpKihDcKmUPi/JoB9YRxy5k20Mhgib&#10;QuoG2xhuavmZJGNpsOLYUKKjVUn5ZXs1Co7f7LJ1K/PTY+U252xS/1z3B6X6793XDESgLrzE/+5M&#10;x/nT8WgIf+/EG+TiCQAA//8DAFBLAQItABQABgAIAAAAIQDb4fbL7gAAAIUBAAATAAAAAAAAAAAA&#10;AAAAAAAAAABbQ29udGVudF9UeXBlc10ueG1sUEsBAi0AFAAGAAgAAAAhAFr0LFu/AAAAFQEAAAsA&#10;AAAAAAAAAAAAAAAAHwEAAF9yZWxzLy5yZWxzUEsBAi0AFAAGAAgAAAAhAIV1VgnEAAAA3gAAAA8A&#10;AAAAAAAAAAAAAAAABwIAAGRycy9kb3ducmV2LnhtbFBLBQYAAAAAAwADALcAAAD4AgAAAAA=&#10;" filled="f" stroked="f">
                  <v:textbox inset="0,0,0,0">
                    <w:txbxContent>
                      <w:p w14:paraId="0AD0B942" w14:textId="77777777" w:rsidR="00B32EF2" w:rsidRDefault="00000000">
                        <w:r>
                          <w:rPr>
                            <w:rFonts w:ascii="Arial" w:eastAsia="Arial" w:hAnsi="Arial" w:cs="Arial"/>
                            <w:i/>
                            <w:sz w:val="18"/>
                          </w:rPr>
                          <w:t xml:space="preserve">impugnazione da almeno un anno, sono idonee ad assolvere gli obblighi </w:t>
                        </w:r>
                      </w:p>
                    </w:txbxContent>
                  </v:textbox>
                </v:rect>
                <v:rect id="Rectangle 19642" o:spid="_x0000_s4660" style="position:absolute;left:-12189;top:41853;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8h+xAAAAN4AAAAPAAAAZHJzL2Rvd25yZXYueG1sRE9Li8Iw&#10;EL4v+B/CCN7WdEVEq1EWF9ke9uILPA7N2FabSWiirf76jbCwt/n4nrNYdaYWd2p8ZVnBxzABQZxb&#10;XXGh4LDfvE9B+ICssbZMCh7kYbXsvS0w1bblLd13oRAxhH2KCsoQXCqlz0sy6IfWEUfubBuDIcKm&#10;kLrBNoabWo6SZCINVhwbSnS0Lim/7m5GwemLXbZpZX5+rt3PJZvW37fDUalBv/ucgwjUhX/xnzvT&#10;cf5sMh7B6514g1z+AgAA//8DAFBLAQItABQABgAIAAAAIQDb4fbL7gAAAIUBAAATAAAAAAAAAAAA&#10;AAAAAAAAAABbQ29udGVudF9UeXBlc10ueG1sUEsBAi0AFAAGAAgAAAAhAFr0LFu/AAAAFQEAAAsA&#10;AAAAAAAAAAAAAAAAHwEAAF9yZWxzLy5yZWxzUEsBAi0AFAAGAAgAAAAhAHWnyH7EAAAA3gAAAA8A&#10;AAAAAAAAAAAAAAAABwIAAGRycy9kb3ducmV2LnhtbFBLBQYAAAAAAwADALcAAAD4AgAAAAA=&#10;" filled="f" stroked="f">
                  <v:textbox inset="0,0,0,0">
                    <w:txbxContent>
                      <w:p w14:paraId="68112862" w14:textId="77777777" w:rsidR="00B32EF2" w:rsidRDefault="00000000">
                        <w:r>
                          <w:rPr>
                            <w:rFonts w:ascii="Arial" w:eastAsia="Arial" w:hAnsi="Arial" w:cs="Arial"/>
                            <w:i/>
                            <w:sz w:val="18"/>
                          </w:rPr>
                          <w:t xml:space="preserve">di conservazione previsti dalla legge se il cancelliere vi appone la firma </w:t>
                        </w:r>
                      </w:p>
                    </w:txbxContent>
                  </v:textbox>
                </v:rect>
                <v:rect id="Rectangle 19643" o:spid="_x0000_s4661" style="position:absolute;left:-12248;top:40619;width:512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23lxQAAAN4AAAAPAAAAZHJzL2Rvd25yZXYueG1sRE9La8JA&#10;EL4X+h+WKXirGx+Ija4iiphDL7UWehyyYxLNzi7Z1UR/vVsoeJuP7znzZWdqcaXGV5YVDPoJCOLc&#10;6ooLBYfv7fsUhA/IGmvLpOBGHpaL15c5ptq2/EXXfShEDGGfooIyBJdK6fOSDPq+dcSRO9rGYIiw&#10;KaRusI3hppbDJJlIgxXHhhIdrUvKz/uLUfC7YZdtW5kf72v3ecqm9e5y+FGq99atZiACdeEp/ndn&#10;Os7/mIxH8PdOvEEuHgAAAP//AwBQSwECLQAUAAYACAAAACEA2+H2y+4AAACFAQAAEwAAAAAAAAAA&#10;AAAAAAAAAAAAW0NvbnRlbnRfVHlwZXNdLnhtbFBLAQItABQABgAIAAAAIQBa9CxbvwAAABUBAAAL&#10;AAAAAAAAAAAAAAAAAB8BAABfcmVscy8ucmVsc1BLAQItABQABgAIAAAAIQAa623lxQAAAN4AAAAP&#10;AAAAAAAAAAAAAAAAAAcCAABkcnMvZG93bnJldi54bWxQSwUGAAAAAAMAAwC3AAAA+QIAAAAA&#10;" filled="f" stroked="f">
                  <v:textbox inset="0,0,0,0">
                    <w:txbxContent>
                      <w:p w14:paraId="44BF5357" w14:textId="77777777" w:rsidR="00B32EF2" w:rsidRDefault="00000000">
                        <w:r>
                          <w:rPr>
                            <w:rFonts w:ascii="Arial" w:eastAsia="Arial" w:hAnsi="Arial" w:cs="Arial"/>
                            <w:i/>
                            <w:sz w:val="18"/>
                          </w:rPr>
                          <w:t xml:space="preserve">digitale, ne attesta la conformità all’originale e le inserisce nel fascicolo </w:t>
                        </w:r>
                      </w:p>
                    </w:txbxContent>
                  </v:textbox>
                </v:rect>
                <v:rect id="Rectangle 19644" o:spid="_x0000_s4662" style="position:absolute;left:-12203;top:39386;width:510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vWRxAAAAN4AAAAPAAAAZHJzL2Rvd25yZXYueG1sRE9Li8Iw&#10;EL4v+B/CCN7WdBcRrUZZXMQe9uILPA7N2FabSWiirf76jbCwt/n4njNfdqYWd2p8ZVnBxzABQZxb&#10;XXGh4LBfv09A+ICssbZMCh7kYbnovc0x1bblLd13oRAxhH2KCsoQXCqlz0sy6IfWEUfubBuDIcKm&#10;kLrBNoabWn4myVgarDg2lOhoVVJ+3d2MgtM3u2zdyvz8XLmfSzapN7fDUalBv/uagQjUhX/xnzvT&#10;cf50PBrB6514g1z8AgAA//8DAFBLAQItABQABgAIAAAAIQDb4fbL7gAAAIUBAAATAAAAAAAAAAAA&#10;AAAAAAAAAABbQ29udGVudF9UeXBlc10ueG1sUEsBAi0AFAAGAAgAAAAhAFr0LFu/AAAAFQEAAAsA&#10;AAAAAAAAAAAAAAAAHwEAAF9yZWxzLy5yZWxzUEsBAi0AFAAGAAgAAAAhAJUC9ZHEAAAA3gAAAA8A&#10;AAAAAAAAAAAAAAAABwIAAGRycy9kb3ducmV2LnhtbFBLBQYAAAAAAwADALcAAAD4AgAAAAA=&#10;" filled="f" stroked="f">
                  <v:textbox inset="0,0,0,0">
                    <w:txbxContent>
                      <w:p w14:paraId="732983E9" w14:textId="77777777" w:rsidR="00B32EF2" w:rsidRDefault="00000000">
                        <w:r>
                          <w:rPr>
                            <w:rFonts w:ascii="Arial" w:eastAsia="Arial" w:hAnsi="Arial" w:cs="Arial"/>
                            <w:i/>
                            <w:sz w:val="18"/>
                          </w:rPr>
                          <w:t xml:space="preserve">informatico nel rispetto della normativa anche regolamentare concernente </w:t>
                        </w:r>
                      </w:p>
                    </w:txbxContent>
                  </v:textbox>
                </v:rect>
                <v:rect id="Rectangle 19645" o:spid="_x0000_s4663" style="position:absolute;left:-12219;top:38153;width:511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lAKxQAAAN4AAAAPAAAAZHJzL2Rvd25yZXYueG1sRE9Na8JA&#10;EL0X+h+WKXirG0XFRlcRRcyhl1oLPQ7ZMYlmZ5fsaqK/3i0UvM3jfc582ZlaXKnxlWUFg34Cgji3&#10;uuJCweF7+z4F4QOyxtoyKbiRh+Xi9WWOqbYtf9F1HwoRQ9inqKAMwaVS+rwkg75vHXHkjrYxGCJs&#10;CqkbbGO4qeUwSSbSYMWxoURH65Ly8/5iFPxu2GXbVubH+9p9nrJpvbscfpTqvXWrGYhAXXiK/92Z&#10;jvM/JqMx/L0Tb5CLBwAAAP//AwBQSwECLQAUAAYACAAAACEA2+H2y+4AAACFAQAAEwAAAAAAAAAA&#10;AAAAAAAAAAAAW0NvbnRlbnRfVHlwZXNdLnhtbFBLAQItABQABgAIAAAAIQBa9CxbvwAAABUBAAAL&#10;AAAAAAAAAAAAAAAAAB8BAABfcmVscy8ucmVsc1BLAQItABQABgAIAAAAIQD6TlAKxQAAAN4AAAAP&#10;AAAAAAAAAAAAAAAAAAcCAABkcnMvZG93bnJldi54bWxQSwUGAAAAAAMAAwC3AAAA+QIAAAAA&#10;" filled="f" stroked="f">
                  <v:textbox inset="0,0,0,0">
                    <w:txbxContent>
                      <w:p w14:paraId="64DFC7C0" w14:textId="77777777" w:rsidR="00B32EF2" w:rsidRDefault="00000000">
                        <w:r>
                          <w:rPr>
                            <w:rFonts w:ascii="Arial" w:eastAsia="Arial" w:hAnsi="Arial" w:cs="Arial"/>
                            <w:i/>
                            <w:sz w:val="18"/>
                          </w:rPr>
                          <w:t xml:space="preserve">il processo civile telematico. In tali casi, si può procedere alla distruzione </w:t>
                        </w:r>
                      </w:p>
                    </w:txbxContent>
                  </v:textbox>
                </v:rect>
                <v:rect id="Rectangle 19646" o:spid="_x0000_s4664" style="position:absolute;left:-11218;top:36920;width:5003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M59xAAAAN4AAAAPAAAAZHJzL2Rvd25yZXYueG1sRE9Na8JA&#10;EL0X/A/LCN7qxiLBRlcRRZpDL7UKHofsmESzs0t2NdFf3y0UepvH+5zFqjeNuFPra8sKJuMEBHFh&#10;dc2lgsP37nUGwgdkjY1lUvAgD6vl4GWBmbYdf9F9H0oRQ9hnqKAKwWVS+qIig35sHXHkzrY1GCJs&#10;S6lb7GK4aeRbkqTSYM2xoUJHm4qK6/5mFJy27PJdJ4vzc+M+L/ms+bgdjkqNhv16DiJQH/7Ff+5c&#10;x/nv6TSF33fiDXL5AwAA//8DAFBLAQItABQABgAIAAAAIQDb4fbL7gAAAIUBAAATAAAAAAAAAAAA&#10;AAAAAAAAAABbQ29udGVudF9UeXBlc10ueG1sUEsBAi0AFAAGAAgAAAAhAFr0LFu/AAAAFQEAAAsA&#10;AAAAAAAAAAAAAAAAHwEAAF9yZWxzLy5yZWxzUEsBAi0AFAAGAAgAAAAhAAqczn3EAAAA3gAAAA8A&#10;AAAAAAAAAAAAAAAABwIAAGRycy9kb3ducmV2LnhtbFBLBQYAAAAAAwADALcAAAD4AgAAAAA=&#10;" filled="f" stroked="f">
                  <v:textbox inset="0,0,0,0">
                    <w:txbxContent>
                      <w:p w14:paraId="0ECFD71A" w14:textId="77777777" w:rsidR="00B32EF2" w:rsidRDefault="00000000">
                        <w:r>
                          <w:rPr>
                            <w:rFonts w:ascii="Arial" w:eastAsia="Arial" w:hAnsi="Arial" w:cs="Arial"/>
                            <w:i/>
                            <w:sz w:val="18"/>
                          </w:rPr>
                          <w:t>degli originali analogici, secondo le modalità previste con decreto del Mi</w:t>
                        </w:r>
                      </w:p>
                    </w:txbxContent>
                  </v:textbox>
                </v:rect>
                <v:rect id="Rectangle 19647" o:spid="_x0000_s4665" style="position:absolute;left:657;top:3692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GvmxQAAAN4AAAAPAAAAZHJzL2Rvd25yZXYueG1sRE9Na8JA&#10;EL0X+h+WKXirG0Wsja4iipiDl1oLPQ7ZMYlmZ5fsaqK/3i0UvM3jfc5s0ZlaXKnxlWUFg34Cgji3&#10;uuJCweF78z4B4QOyxtoyKbiRh8X89WWGqbYtf9F1HwoRQ9inqKAMwaVS+rwkg75vHXHkjrYxGCJs&#10;CqkbbGO4qeUwScbSYMWxoURHq5Ly8/5iFPyu2WWbVubH+8rtTtmk3l4OP0r13rrlFESgLjzF/+5M&#10;x/mf49EH/L0Tb5DzBwAAAP//AwBQSwECLQAUAAYACAAAACEA2+H2y+4AAACFAQAAEwAAAAAAAAAA&#10;AAAAAAAAAAAAW0NvbnRlbnRfVHlwZXNdLnhtbFBLAQItABQABgAIAAAAIQBa9CxbvwAAABUBAAAL&#10;AAAAAAAAAAAAAAAAAB8BAABfcmVscy8ucmVsc1BLAQItABQABgAIAAAAIQBl0GvmxQAAAN4AAAAP&#10;AAAAAAAAAAAAAAAAAAcCAABkcnMvZG93bnJldi54bWxQSwUGAAAAAAMAAwC3AAAA+QIAAAAA&#10;" filled="f" stroked="f">
                  <v:textbox inset="0,0,0,0">
                    <w:txbxContent>
                      <w:p w14:paraId="627E78BB" w14:textId="77777777" w:rsidR="00B32EF2" w:rsidRDefault="00000000">
                        <w:r>
                          <w:rPr>
                            <w:rFonts w:ascii="Arial" w:eastAsia="Arial" w:hAnsi="Arial" w:cs="Arial"/>
                            <w:i/>
                            <w:sz w:val="18"/>
                          </w:rPr>
                          <w:t>-</w:t>
                        </w:r>
                      </w:p>
                    </w:txbxContent>
                  </v:textbox>
                </v:rect>
                <v:rect id="Rectangle 19648" o:spid="_x0000_s4666" style="position:absolute;left:-12190;top:35686;width:510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UyAAAAN4AAAAPAAAAZHJzL2Rvd25yZXYueG1sRI9Pa8JA&#10;EMXvgt9hGaE33bQUsamrFIs0h178U+hxyI5J2uzskl1N2k/vHARvM7w37/1muR5cqy7UxcazgcdZ&#10;Boq49LbhysDxsJ0uQMWEbLH1TAb+KMJ6NR4tMbe+5x1d9qlSEsIxRwN1SiHXOpY1OYwzH4hFO/nO&#10;YZK1q7TtsJdw1+qnLJtrhw1LQ42BNjWVv/uzM/D9zqHY9ro8/W/C50+xaD/Oxy9jHibD2yuoREO6&#10;m2/XhRX8l/mz8Mo7MoNeXQEAAP//AwBQSwECLQAUAAYACAAAACEA2+H2y+4AAACFAQAAEwAAAAAA&#10;AAAAAAAAAAAAAAAAW0NvbnRlbnRfVHlwZXNdLnhtbFBLAQItABQABgAIAAAAIQBa9CxbvwAAABUB&#10;AAALAAAAAAAAAAAAAAAAAB8BAABfcmVscy8ucmVsc1BLAQItABQABgAIAAAAIQAUT/+UyAAAAN4A&#10;AAAPAAAAAAAAAAAAAAAAAAcCAABkcnMvZG93bnJldi54bWxQSwUGAAAAAAMAAwC3AAAA/AIAAAAA&#10;" filled="f" stroked="f">
                  <v:textbox inset="0,0,0,0">
                    <w:txbxContent>
                      <w:p w14:paraId="4B4E7B8F" w14:textId="77777777" w:rsidR="00B32EF2" w:rsidRDefault="00000000">
                        <w:r>
                          <w:rPr>
                            <w:rFonts w:ascii="Arial" w:eastAsia="Arial" w:hAnsi="Arial" w:cs="Arial"/>
                            <w:i/>
                            <w:sz w:val="18"/>
                          </w:rPr>
                          <w:t xml:space="preserve">nistro della giustizia, sentiti il Garante per la protezione dei dati personali e </w:t>
                        </w:r>
                      </w:p>
                    </w:txbxContent>
                  </v:textbox>
                </v:rect>
                <v:rect id="Rectangle 19649" o:spid="_x0000_s4667" style="position:absolute;left:19867;top:34453;width:189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1oPxAAAAN4AAAAPAAAAZHJzL2Rvd25yZXYueG1sRE9Ni8Iw&#10;EL0L/ocwgjdNlUW0axRRZHvwsq4Lexyasa02k9BEW/31m4UFb/N4n7Ncd6YWd2p8ZVnBZJyAIM6t&#10;rrhQcPraj+YgfEDWWFsmBQ/ysF71e0tMtW35k+7HUIgYwj5FBWUILpXS5yUZ9GPriCN3to3BEGFT&#10;SN1gG8NNLadJMpMGK44NJTralpRfjzej4GfHLtu3Mj8/t+5wyeb1x+30rdRw0G3eQQTqwkv87850&#10;nL+YvS3g7514g1z9AgAA//8DAFBLAQItABQABgAIAAAAIQDb4fbL7gAAAIUBAAATAAAAAAAAAAAA&#10;AAAAAAAAAABbQ29udGVudF9UeXBlc10ueG1sUEsBAi0AFAAGAAgAAAAhAFr0LFu/AAAAFQEAAAsA&#10;AAAAAAAAAAAAAAAAHwEAAF9yZWxzLy5yZWxzUEsBAi0AFAAGAAgAAAAhAHsDWg/EAAAA3gAAAA8A&#10;AAAAAAAAAAAAAAAABwIAAGRycy9kb3ducmV2LnhtbFBLBQYAAAAAAwADALcAAAD4AgAAAAA=&#10;" filled="f" stroked="f">
                  <v:textbox inset="0,0,0,0">
                    <w:txbxContent>
                      <w:p w14:paraId="653A222C" w14:textId="77777777" w:rsidR="00B32EF2" w:rsidRDefault="00000000">
                        <w:r>
                          <w:rPr>
                            <w:rFonts w:ascii="Arial" w:eastAsia="Arial" w:hAnsi="Arial" w:cs="Arial"/>
                            <w:i/>
                            <w:sz w:val="18"/>
                          </w:rPr>
                          <w:t>l’Agenzia per l’Italia digitale.</w:t>
                        </w:r>
                      </w:p>
                    </w:txbxContent>
                  </v:textbox>
                </v:rect>
                <v:rect id="Rectangle 201410" o:spid="_x0000_s4668" style="position:absolute;left:25507;top:33220;width:510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wAKxQAAAN8AAAAPAAAAZHJzL2Rvd25yZXYueG1sRI/LisIw&#10;FIb3A75DOIK7Ma0Mg1SjiCLTxWy8gctDc2yrzUlooq3z9GYx4PLnv/HNl71pxINaX1tWkI4TEMSF&#10;1TWXCo6H7ecUhA/IGhvLpOBJHpaLwcccM2073tFjH0oRR9hnqKAKwWVS+qIig35sHXH0LrY1GKJs&#10;S6lb7OK4aeQkSb6lwZrjQ4WO1hUVt/3dKDhv2OXbThaXv7X7vebT5ud+PCk1GvarGYhAfXiH/9u5&#10;VjBJ0q80EkSeyAJy8QIAAP//AwBQSwECLQAUAAYACAAAACEA2+H2y+4AAACFAQAAEwAAAAAAAAAA&#10;AAAAAAAAAAAAW0NvbnRlbnRfVHlwZXNdLnhtbFBLAQItABQABgAIAAAAIQBa9CxbvwAAABUBAAAL&#10;AAAAAAAAAAAAAAAAAB8BAABfcmVscy8ucmVsc1BLAQItABQABgAIAAAAIQAp4wAKxQAAAN8AAAAP&#10;AAAAAAAAAAAAAAAAAAcCAABkcnMvZG93bnJldi54bWxQSwUGAAAAAAMAAwC3AAAA+QIAAAAA&#10;" filled="f" stroked="f">
                  <v:textbox inset="0,0,0,0">
                    <w:txbxContent>
                      <w:p w14:paraId="19819B27" w14:textId="77777777" w:rsidR="00B32EF2" w:rsidRDefault="00000000">
                        <w:r>
                          <w:rPr>
                            <w:rFonts w:ascii="Arial" w:eastAsia="Arial" w:hAnsi="Arial" w:cs="Arial"/>
                            <w:i/>
                            <w:sz w:val="18"/>
                          </w:rPr>
                          <w:t>5</w:t>
                        </w:r>
                      </w:p>
                    </w:txbxContent>
                  </v:textbox>
                </v:rect>
                <v:rect id="Rectangle 201411" o:spid="_x0000_s4669" style="position:absolute;left:-12878;top:33220;width:510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6WRxwAAAN8AAAAPAAAAZHJzL2Rvd25yZXYueG1sRI9Ba8JA&#10;FITvgv9heYI33USkSHQVUcQcvNRa6PGRfSbR7Nslu5rYX98tFHocZuYbZrXpTSOe1PrasoJ0moAg&#10;LqyuuVRw+ThMFiB8QNbYWCYFL/KwWQ8HK8y07fidnudQighhn6GCKgSXSemLigz6qXXE0bva1mCI&#10;si2lbrGLcNPIWZK8SYM1x4UKHe0qKu7nh1HwtWeXHzpZXL937nTLF83xcflUajzqt0sQgfrwH/5r&#10;51rBLEnnaQq/f+IXkOsfAAAA//8DAFBLAQItABQABgAIAAAAIQDb4fbL7gAAAIUBAAATAAAAAAAA&#10;AAAAAAAAAAAAAABbQ29udGVudF9UeXBlc10ueG1sUEsBAi0AFAAGAAgAAAAhAFr0LFu/AAAAFQEA&#10;AAsAAAAAAAAAAAAAAAAAHwEAAF9yZWxzLy5yZWxzUEsBAi0AFAAGAAgAAAAhAEavpZHHAAAA3wAA&#10;AA8AAAAAAAAAAAAAAAAABwIAAGRycy9kb3ducmV2LnhtbFBLBQYAAAAAAwADALcAAAD7AgAAAAA=&#10;" filled="f" stroked="f">
                  <v:textbox inset="0,0,0,0">
                    <w:txbxContent>
                      <w:p w14:paraId="0E09055C" w14:textId="77777777" w:rsidR="00B32EF2" w:rsidRDefault="00000000">
                        <w:r>
                          <w:rPr>
                            <w:rFonts w:ascii="Arial" w:eastAsia="Arial" w:hAnsi="Arial" w:cs="Arial"/>
                            <w:i/>
                            <w:sz w:val="18"/>
                          </w:rPr>
                          <w:t xml:space="preserve">. Salvo quanto previsto dal comma 4-bis, con decreto del Presidente del </w:t>
                        </w:r>
                      </w:p>
                    </w:txbxContent>
                  </v:textbox>
                </v:rect>
                <v:rect id="Rectangle 19651" o:spid="_x0000_s4670" style="position:absolute;left:-12241;top:31986;width:512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MDUxAAAAN4AAAAPAAAAZHJzL2Rvd25yZXYueG1sRE9Li8Iw&#10;EL4L+x/CLHhbUxcUrUZZXGR78LI+wOPQjG21mYQm2uqvNwsL3ubje8582Zla3KjxlWUFw0ECgji3&#10;uuJCwX63/piA8AFZY22ZFNzJw3Lx1ptjqm3Lv3TbhkLEEPYpKihDcKmUPi/JoB9YRxy5k20Mhgib&#10;QuoG2xhuavmZJGNpsOLYUKKjVUn5ZXs1Co7f7LJ1K/PTY+U252xS/1z3B6X6793XDESgLrzE/+5M&#10;x/nT8WgIf+/EG+TiCQAA//8DAFBLAQItABQABgAIAAAAIQDb4fbL7gAAAIUBAAATAAAAAAAAAAAA&#10;AAAAAAAAAABbQ29udGVudF9UeXBlc10ueG1sUEsBAi0AFAAGAAgAAAAhAFr0LFu/AAAAFQEAAAsA&#10;AAAAAAAAAAAAAAAAHwEAAF9yZWxzLy5yZWxzUEsBAi0AFAAGAAgAAAAhAACswNTEAAAA3gAAAA8A&#10;AAAAAAAAAAAAAAAABwIAAGRycy9kb3ducmV2LnhtbFBLBQYAAAAAAwADALcAAAD4AgAAAAA=&#10;" filled="f" stroked="f">
                  <v:textbox inset="0,0,0,0">
                    <w:txbxContent>
                      <w:p w14:paraId="4B6C5D2F" w14:textId="77777777" w:rsidR="00B32EF2" w:rsidRDefault="00000000">
                        <w:r>
                          <w:rPr>
                            <w:rFonts w:ascii="Arial" w:eastAsia="Arial" w:hAnsi="Arial" w:cs="Arial"/>
                            <w:i/>
                            <w:sz w:val="18"/>
                          </w:rPr>
                          <w:t xml:space="preserve">Consiglio dei ministri  possono essere individuate particolari tipologie di </w:t>
                        </w:r>
                      </w:p>
                    </w:txbxContent>
                  </v:textbox>
                </v:rect>
                <v:rect id="Rectangle 19652" o:spid="_x0000_s4671" style="position:absolute;left:-12235;top:30753;width:512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l6jxAAAAN4AAAAPAAAAZHJzL2Rvd25yZXYueG1sRE9Li8Iw&#10;EL4v+B/CCN7WdAVFq1EWF9ke9uILPA7N2FabSWiirf76jbCwt/n4nrNYdaYWd2p8ZVnBxzABQZxb&#10;XXGh4LDfvE9B+ICssbZMCh7kYbXsvS0w1bblLd13oRAxhH2KCsoQXCqlz0sy6IfWEUfubBuDIcKm&#10;kLrBNoabWo6SZCINVhwbSnS0Lim/7m5GwemLXbZpZX5+rt3PJZvW37fDUalBv/ucgwjUhX/xnzvT&#10;cf5sMh7B6514g1z+AgAA//8DAFBLAQItABQABgAIAAAAIQDb4fbL7gAAAIUBAAATAAAAAAAAAAAA&#10;AAAAAAAAAABbQ29udGVudF9UeXBlc10ueG1sUEsBAi0AFAAGAAgAAAAhAFr0LFu/AAAAFQEAAAsA&#10;AAAAAAAAAAAAAAAAHwEAAF9yZWxzLy5yZWxzUEsBAi0AFAAGAAgAAAAhAPB+XqPEAAAA3gAAAA8A&#10;AAAAAAAAAAAAAAAABwIAAGRycy9kb3ducmV2LnhtbFBLBQYAAAAAAwADALcAAAD4AgAAAAA=&#10;" filled="f" stroked="f">
                  <v:textbox inset="0,0,0,0">
                    <w:txbxContent>
                      <w:p w14:paraId="7FD7A8FF" w14:textId="77777777" w:rsidR="00B32EF2" w:rsidRDefault="00000000">
                        <w:r>
                          <w:rPr>
                            <w:rFonts w:ascii="Arial" w:eastAsia="Arial" w:hAnsi="Arial" w:cs="Arial"/>
                            <w:i/>
                            <w:sz w:val="18"/>
                          </w:rPr>
                          <w:t xml:space="preserve">documenti analogici originali unici per le quali, in ragione di esigenze di </w:t>
                        </w:r>
                      </w:p>
                    </w:txbxContent>
                  </v:textbox>
                </v:rect>
                <v:rect id="Rectangle 19653" o:spid="_x0000_s4672" style="position:absolute;left:-12242;top:29520;width:512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vs4xQAAAN4AAAAPAAAAZHJzL2Rvd25yZXYueG1sRE9Na8JA&#10;EL0X+h+WKXirGxXFRlcRRcyhl1oLPQ7ZMYlmZ5fsaqK/3i0UvM3jfc582ZlaXKnxlWUFg34Cgji3&#10;uuJCweF7+z4F4QOyxtoyKbiRh+Xi9WWOqbYtf9F1HwoRQ9inqKAMwaVS+rwkg75vHXHkjrYxGCJs&#10;CqkbbGO4qeUwSSbSYMWxoURH65Ly8/5iFPxu2GXbVubH+9p9nrJpvbscfpTqvXWrGYhAXXiK/92Z&#10;jvM/JuMR/L0Tb5CLBwAAAP//AwBQSwECLQAUAAYACAAAACEA2+H2y+4AAACFAQAAEwAAAAAAAAAA&#10;AAAAAAAAAAAAW0NvbnRlbnRfVHlwZXNdLnhtbFBLAQItABQABgAIAAAAIQBa9CxbvwAAABUBAAAL&#10;AAAAAAAAAAAAAAAAAB8BAABfcmVscy8ucmVsc1BLAQItABQABgAIAAAAIQCfMvs4xQAAAN4AAAAP&#10;AAAAAAAAAAAAAAAAAAcCAABkcnMvZG93bnJldi54bWxQSwUGAAAAAAMAAwC3AAAA+QIAAAAA&#10;" filled="f" stroked="f">
                  <v:textbox inset="0,0,0,0">
                    <w:txbxContent>
                      <w:p w14:paraId="06742C70" w14:textId="77777777" w:rsidR="00B32EF2" w:rsidRDefault="00000000">
                        <w:r>
                          <w:rPr>
                            <w:rFonts w:ascii="Arial" w:eastAsia="Arial" w:hAnsi="Arial" w:cs="Arial"/>
                            <w:i/>
                            <w:sz w:val="18"/>
                          </w:rPr>
                          <w:t xml:space="preserve">natura pubblicistica, permane l’obbligo della conservazione dell’originale </w:t>
                        </w:r>
                      </w:p>
                    </w:txbxContent>
                  </v:textbox>
                </v:rect>
                <v:rect id="Rectangle 19654" o:spid="_x0000_s4673" style="position:absolute;left:-12221;top:28286;width:51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2NMxQAAAN4AAAAPAAAAZHJzL2Rvd25yZXYueG1sRE9Na8JA&#10;EL0X+h+WKXirG0XFRlcRRcyhl1oLPQ7ZMYlmZ5fsaqK/3i0UvM3jfc582ZlaXKnxlWUFg34Cgji3&#10;uuJCweF7+z4F4QOyxtoyKbiRh+Xi9WWOqbYtf9F1HwoRQ9inqKAMwaVS+rwkg75vHXHkjrYxGCJs&#10;CqkbbGO4qeUwSSbSYMWxoURH65Ly8/5iFPxu2GXbVubH+9p9nrJpvbscfpTqvXWrGYhAXXiK/92Z&#10;jvM/JuMR/L0Tb5CLBwAAAP//AwBQSwECLQAUAAYACAAAACEA2+H2y+4AAACFAQAAEwAAAAAAAAAA&#10;AAAAAAAAAAAAW0NvbnRlbnRfVHlwZXNdLnhtbFBLAQItABQABgAIAAAAIQBa9CxbvwAAABUBAAAL&#10;AAAAAAAAAAAAAAAAAB8BAABfcmVscy8ucmVsc1BLAQItABQABgAIAAAAIQAQ22NMxQAAAN4AAAAP&#10;AAAAAAAAAAAAAAAAAAcCAABkcnMvZG93bnJldi54bWxQSwUGAAAAAAMAAwC3AAAA+QIAAAAA&#10;" filled="f" stroked="f">
                  <v:textbox inset="0,0,0,0">
                    <w:txbxContent>
                      <w:p w14:paraId="017BB70F" w14:textId="77777777" w:rsidR="00B32EF2" w:rsidRDefault="00000000">
                        <w:r>
                          <w:rPr>
                            <w:rFonts w:ascii="Arial" w:eastAsia="Arial" w:hAnsi="Arial" w:cs="Arial"/>
                            <w:i/>
                            <w:sz w:val="18"/>
                          </w:rPr>
                          <w:t xml:space="preserve">analogico oppure, in caso di conservazione sostitutiva, la loro conformità </w:t>
                        </w:r>
                      </w:p>
                    </w:txbxContent>
                  </v:textbox>
                </v:rect>
                <v:rect id="Rectangle 19655" o:spid="_x0000_s4674" style="position:absolute;left:-11210;top:27053;width:50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bXxAAAAN4AAAAPAAAAZHJzL2Rvd25yZXYueG1sRE9Li8Iw&#10;EL4v+B/CCN7WdBcUrUZZXMQe9uILPA7N2FabSWiirf76jbCwt/n4njNfdqYWd2p8ZVnBxzABQZxb&#10;XXGh4LBfv09A+ICssbZMCh7kYbnovc0x1bblLd13oRAxhH2KCsoQXCqlz0sy6IfWEUfubBuDIcKm&#10;kLrBNoabWn4myVgarDg2lOhoVVJ+3d2MgtM3u2zdyvz8XLmfSzapN7fDUalBv/uagQjUhX/xnzvT&#10;cf50PBrB6514g1z8AgAA//8DAFBLAQItABQABgAIAAAAIQDb4fbL7gAAAIUBAAATAAAAAAAAAAAA&#10;AAAAAAAAAABbQ29udGVudF9UeXBlc10ueG1sUEsBAi0AFAAGAAgAAAAhAFr0LFu/AAAAFQEAAAsA&#10;AAAAAAAAAAAAAAAAHwEAAF9yZWxzLy5yZWxzUEsBAi0AFAAGAAgAAAAhAH+XxtfEAAAA3gAAAA8A&#10;AAAAAAAAAAAAAAAABwIAAGRycy9kb3ducmV2LnhtbFBLBQYAAAAAAwADALcAAAD4AgAAAAA=&#10;" filled="f" stroked="f">
                  <v:textbox inset="0,0,0,0">
                    <w:txbxContent>
                      <w:p w14:paraId="31C7C343" w14:textId="77777777" w:rsidR="00B32EF2" w:rsidRDefault="00000000">
                        <w:r>
                          <w:rPr>
                            <w:rFonts w:ascii="Arial" w:eastAsia="Arial" w:hAnsi="Arial" w:cs="Arial"/>
                            <w:i/>
                            <w:sz w:val="18"/>
                          </w:rPr>
                          <w:t>all’originale deve essere autenticata da un notaio o da altro pubblico uffi</w:t>
                        </w:r>
                      </w:p>
                    </w:txbxContent>
                  </v:textbox>
                </v:rect>
                <v:rect id="Rectangle 19656" o:spid="_x0000_s4675" style="position:absolute;left:657;top:2705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VigxAAAAN4AAAAPAAAAZHJzL2Rvd25yZXYueG1sRE9Na8JA&#10;EL0X/A/LCN7qxoLBRlcRRZpDL7UKHofsmESzs0t2NdFf3y0UepvH+5zFqjeNuFPra8sKJuMEBHFh&#10;dc2lgsP37nUGwgdkjY1lUvAgD6vl4GWBmbYdf9F9H0oRQ9hnqKAKwWVS+qIig35sHXHkzrY1GCJs&#10;S6lb7GK4aeRbkqTSYM2xoUJHm4qK6/5mFJy27PJdJ4vzc+M+L/ms+bgdjkqNhv16DiJQH/7Ff+5c&#10;x/nv6TSF33fiDXL5AwAA//8DAFBLAQItABQABgAIAAAAIQDb4fbL7gAAAIUBAAATAAAAAAAAAAAA&#10;AAAAAAAAAABbQ29udGVudF9UeXBlc10ueG1sUEsBAi0AFAAGAAgAAAAhAFr0LFu/AAAAFQEAAAsA&#10;AAAAAAAAAAAAAAAAHwEAAF9yZWxzLy5yZWxzUEsBAi0AFAAGAAgAAAAhAI9FWKDEAAAA3gAAAA8A&#10;AAAAAAAAAAAAAAAABwIAAGRycy9kb3ducmV2LnhtbFBLBQYAAAAAAwADALcAAAD4AgAAAAA=&#10;" filled="f" stroked="f">
                  <v:textbox inset="0,0,0,0">
                    <w:txbxContent>
                      <w:p w14:paraId="647A906B" w14:textId="77777777" w:rsidR="00B32EF2" w:rsidRDefault="00000000">
                        <w:r>
                          <w:rPr>
                            <w:rFonts w:ascii="Arial" w:eastAsia="Arial" w:hAnsi="Arial" w:cs="Arial"/>
                            <w:i/>
                            <w:sz w:val="18"/>
                          </w:rPr>
                          <w:t>-</w:t>
                        </w:r>
                      </w:p>
                    </w:txbxContent>
                  </v:textbox>
                </v:rect>
                <v:rect id="Rectangle 19657" o:spid="_x0000_s4676" style="position:absolute;left:-12189;top:25820;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f07xQAAAN4AAAAPAAAAZHJzL2Rvd25yZXYueG1sRE9Na8JA&#10;EL0X+h+WKXirGwWtja4iipiDl1oLPQ7ZMYlmZ5fsaqK/3i0UvM3jfc5s0ZlaXKnxlWUFg34Cgji3&#10;uuJCweF78z4B4QOyxtoyKbiRh8X89WWGqbYtf9F1HwoRQ9inqKAMwaVS+rwkg75vHXHkjrYxGCJs&#10;CqkbbGO4qeUwScbSYMWxoURHq5Ly8/5iFPyu2WWbVubH+8rtTtmk3l4OP0r13rrlFESgLjzF/+5M&#10;x/mf49EH/L0Tb5DzBwAAAP//AwBQSwECLQAUAAYACAAAACEA2+H2y+4AAACFAQAAEwAAAAAAAAAA&#10;AAAAAAAAAAAAW0NvbnRlbnRfVHlwZXNdLnhtbFBLAQItABQABgAIAAAAIQBa9CxbvwAAABUBAAAL&#10;AAAAAAAAAAAAAAAAAB8BAABfcmVscy8ucmVsc1BLAQItABQABgAIAAAAIQDgCf07xQAAAN4AAAAP&#10;AAAAAAAAAAAAAAAAAAcCAABkcnMvZG93bnJldi54bWxQSwUGAAAAAAMAAwC3AAAA+QIAAAAA&#10;" filled="f" stroked="f">
                  <v:textbox inset="0,0,0,0">
                    <w:txbxContent>
                      <w:p w14:paraId="12D0B2D9" w14:textId="77777777" w:rsidR="00B32EF2" w:rsidRDefault="00000000">
                        <w:r>
                          <w:rPr>
                            <w:rFonts w:ascii="Arial" w:eastAsia="Arial" w:hAnsi="Arial" w:cs="Arial"/>
                            <w:i/>
                            <w:sz w:val="18"/>
                          </w:rPr>
                          <w:t xml:space="preserve">ciale a ciò autorizzato con dichiarazione da questi firmata digitalmente ed </w:t>
                        </w:r>
                      </w:p>
                    </w:txbxContent>
                  </v:textbox>
                </v:rect>
                <v:rect id="Rectangle 19658" o:spid="_x0000_s4677" style="position:absolute;left:15372;top:24587;width:2344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mlJyAAAAN4AAAAPAAAAZHJzL2Rvd25yZXYueG1sRI9Pa8JA&#10;EMXvgt9hGaE33bRQsamrFIs0h178U+hxyI5J2uzskl1N2k/vHARvM7w37/1muR5cqy7UxcazgcdZ&#10;Boq49LbhysDxsJ0uQMWEbLH1TAb+KMJ6NR4tMbe+5x1d9qlSEsIxRwN1SiHXOpY1OYwzH4hFO/nO&#10;YZK1q7TtsJdw1+qnLJtrhw1LQ42BNjWVv/uzM/D9zqHY9ro8/W/C50+xaD/Oxy9jHibD2yuoREO6&#10;m2/XhRX8l/mz8Mo7MoNeXQEAAP//AwBQSwECLQAUAAYACAAAACEA2+H2y+4AAACFAQAAEwAAAAAA&#10;AAAAAAAAAAAAAAAAW0NvbnRlbnRfVHlwZXNdLnhtbFBLAQItABQABgAIAAAAIQBa9CxbvwAAABUB&#10;AAALAAAAAAAAAAAAAAAAAB8BAABfcmVscy8ucmVsc1BLAQItABQABgAIAAAAIQCRlmlJyAAAAN4A&#10;AAAPAAAAAAAAAAAAAAAAAAcCAABkcnMvZG93bnJldi54bWxQSwUGAAAAAAMAAwC3AAAA/AIAAAAA&#10;" filled="f" stroked="f">
                  <v:textbox inset="0,0,0,0">
                    <w:txbxContent>
                      <w:p w14:paraId="581322C2" w14:textId="77777777" w:rsidR="00B32EF2" w:rsidRDefault="00000000">
                        <w:r>
                          <w:rPr>
                            <w:rFonts w:ascii="Arial" w:eastAsia="Arial" w:hAnsi="Arial" w:cs="Arial"/>
                            <w:i/>
                            <w:sz w:val="18"/>
                          </w:rPr>
                          <w:t>allegata al documento informatico.</w:t>
                        </w:r>
                      </w:p>
                    </w:txbxContent>
                  </v:textbox>
                </v:rect>
                <v:rect id="Rectangle 19659" o:spid="_x0000_s4678" style="position:absolute;left:-2764;top:23353;width:415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zSxAAAAN4AAAAPAAAAZHJzL2Rvd25yZXYueG1sRE9Ni8Iw&#10;EL0L/ocwgjdNFVa0axRRZHvwsq4Lexyasa02k9BEW/31m4UFb/N4n7Ncd6YWd2p8ZVnBZJyAIM6t&#10;rrhQcPraj+YgfEDWWFsmBQ/ysF71e0tMtW35k+7HUIgYwj5FBWUILpXS5yUZ9GPriCN3to3BEGFT&#10;SN1gG8NNLadJMpMGK44NJTralpRfjzej4GfHLtu3Mj8/t+5wyeb1x+30rdRw0G3eQQTqwkv87850&#10;nL+YvS3g7514g1z9AgAA//8DAFBLAQItABQABgAIAAAAIQDb4fbL7gAAAIUBAAATAAAAAAAAAAAA&#10;AAAAAAAAAABbQ29udGVudF9UeXBlc10ueG1sUEsBAi0AFAAGAAgAAAAhAFr0LFu/AAAAFQEAAAsA&#10;AAAAAAAAAAAAAAAAHwEAAF9yZWxzLy5yZWxzUEsBAi0AFAAGAAgAAAAhAP7azNLEAAAA3gAAAA8A&#10;AAAAAAAAAAAAAAAABwIAAGRycy9kb3ducmV2LnhtbFBLBQYAAAAAAwADALcAAAD4AgAAAAA=&#10;" filled="f" stroked="f">
                  <v:textbox inset="0,0,0,0">
                    <w:txbxContent>
                      <w:p w14:paraId="59474E67" w14:textId="77777777" w:rsidR="00B32EF2" w:rsidRDefault="00000000">
                        <w:r>
                          <w:rPr>
                            <w:rFonts w:ascii="Arial" w:eastAsia="Arial" w:hAnsi="Arial" w:cs="Arial"/>
                            <w:i/>
                            <w:sz w:val="18"/>
                          </w:rPr>
                          <w:t xml:space="preserve">art. 182 c.p.c. “Difetto di rappresentanza o di autorizzazione” </w:t>
                        </w:r>
                      </w:p>
                    </w:txbxContent>
                  </v:textbox>
                </v:rect>
                <v:rect id="Rectangle 201408" o:spid="_x0000_s4679" style="position:absolute;left:25525;top:22120;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JrRxAAAAN8AAAAPAAAAZHJzL2Rvd25yZXYueG1sRE/Pa8Iw&#10;FL4P/B/CE3abiSJDqlFEEXvYZa6Cx0fzbKvNS2ii7fbXL4fBjh/f79VmsK14UhcaxxqmEwWCuHSm&#10;4UpD8XV4W4AIEdlg65g0fFOAzXr0ssLMuJ4/6XmKlUghHDLUUMfoMylDWZPFMHGeOHFX11mMCXaV&#10;NB32Kdy2cqbUu7TYcGqo0dOupvJ+elgNlz37/NDL8vqz8x+3fNEeH8VZ69fxsF2CiDTEf/GfOzca&#10;Zmo6V2lw+pO+gFz/AgAA//8DAFBLAQItABQABgAIAAAAIQDb4fbL7gAAAIUBAAATAAAAAAAAAAAA&#10;AAAAAAAAAABbQ29udGVudF9UeXBlc10ueG1sUEsBAi0AFAAGAAgAAAAhAFr0LFu/AAAAFQEAAAsA&#10;AAAAAAAAAAAAAAAAHwEAAF9yZWxzLy5yZWxzUEsBAi0AFAAGAAgAAAAhAFJMmtHEAAAA3wAAAA8A&#10;AAAAAAAAAAAAAAAABwIAAGRycy9kb3ducmV2LnhtbFBLBQYAAAAAAwADALcAAAD4AgAAAAA=&#10;" filled="f" stroked="f">
                  <v:textbox inset="0,0,0,0">
                    <w:txbxContent>
                      <w:p w14:paraId="1B65C35E" w14:textId="77777777" w:rsidR="00B32EF2" w:rsidRDefault="00000000">
                        <w:r>
                          <w:rPr>
                            <w:rFonts w:ascii="Arial" w:eastAsia="Arial" w:hAnsi="Arial" w:cs="Arial"/>
                            <w:i/>
                            <w:sz w:val="18"/>
                          </w:rPr>
                          <w:t>1</w:t>
                        </w:r>
                      </w:p>
                    </w:txbxContent>
                  </v:textbox>
                </v:rect>
                <v:rect id="Rectangle 201409" o:spid="_x0000_s4680" style="position:absolute;left:-12783;top:22120;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D9KyAAAAN8AAAAPAAAAZHJzL2Rvd25yZXYueG1sRI9PawIx&#10;FMTvBb9DeIK3miil6NYookj30Ev9Az0+Ns/d1c1L2ER37advCoUeh5n5DbNY9bYRd2pD7VjDZKxA&#10;EBfO1FxqOB52zzMQISIbbByThgcFWC0HTwvMjOv4k+77WIoE4ZChhipGn0kZiooshrHzxMk7u9Zi&#10;TLItpWmxS3DbyKlSr9JizWmhQk+biorr/mY1fG3Z57tOFufvjf+45LPm/XY8aT0a9us3EJH6+B/+&#10;a+dGw1RNXtQcfv+kLyCXPwAAAP//AwBQSwECLQAUAAYACAAAACEA2+H2y+4AAACFAQAAEwAAAAAA&#10;AAAAAAAAAAAAAAAAW0NvbnRlbnRfVHlwZXNdLnhtbFBLAQItABQABgAIAAAAIQBa9CxbvwAAABUB&#10;AAALAAAAAAAAAAAAAAAAAB8BAABfcmVscy8ucmVsc1BLAQItABQABgAIAAAAIQA9AD9KyAAAAN8A&#10;AAAPAAAAAAAAAAAAAAAAAAcCAABkcnMvZG93bnJldi54bWxQSwUGAAAAAAMAAwC3AAAA/AIAAAAA&#10;" filled="f" stroked="f">
                  <v:textbox inset="0,0,0,0">
                    <w:txbxContent>
                      <w:p w14:paraId="12C5FB6F" w14:textId="77777777" w:rsidR="00B32EF2" w:rsidRDefault="00000000">
                        <w:r>
                          <w:rPr>
                            <w:rFonts w:ascii="Arial" w:eastAsia="Arial" w:hAnsi="Arial" w:cs="Arial"/>
                            <w:i/>
                            <w:sz w:val="18"/>
                          </w:rPr>
                          <w:t xml:space="preserve">. Il giudice istruttore verifica d’ufficio la regolarità della costituzione delle </w:t>
                        </w:r>
                      </w:p>
                    </w:txbxContent>
                  </v:textbox>
                </v:rect>
                <v:rect id="Rectangle 19661" o:spid="_x0000_s4681" style="position:absolute;left:-12194;top:20887;width:510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AppxAAAAN4AAAAPAAAAZHJzL2Rvd25yZXYueG1sRE9Ni8Iw&#10;EL0v+B/CCHtbUz0UrUYRRbYHL6su7HFoxrbaTEITbd1fv1kQvM3jfc5i1ZtG3Kn1tWUF41ECgriw&#10;uuZSwem4+5iC8AFZY2OZFDzIw2o5eFtgpm3HX3Q/hFLEEPYZKqhCcJmUvqjIoB9ZRxy5s20Nhgjb&#10;UuoWuxhuGjlJklQarDk2VOhoU1FxPdyMgp8tu3zXyeL8u3H7Sz5tPm+nb6Xeh/16DiJQH17ipzvX&#10;cf4sTcfw/068QS7/AAAA//8DAFBLAQItABQABgAIAAAAIQDb4fbL7gAAAIUBAAATAAAAAAAAAAAA&#10;AAAAAAAAAABbQ29udGVudF9UeXBlc10ueG1sUEsBAi0AFAAGAAgAAAAhAFr0LFu/AAAAFQEAAAsA&#10;AAAAAAAAAAAAAAAAHwEAAF9yZWxzLy5yZWxzUEsBAi0AFAAGAAgAAAAhAM7ACmnEAAAA3gAAAA8A&#10;AAAAAAAAAAAAAAAABwIAAGRycy9kb3ducmV2LnhtbFBLBQYAAAAAAwADALcAAAD4AgAAAAA=&#10;" filled="f" stroked="f">
                  <v:textbox inset="0,0,0,0">
                    <w:txbxContent>
                      <w:p w14:paraId="7B1E8A8E" w14:textId="77777777" w:rsidR="00B32EF2" w:rsidRDefault="00000000">
                        <w:r>
                          <w:rPr>
                            <w:rFonts w:ascii="Arial" w:eastAsia="Arial" w:hAnsi="Arial" w:cs="Arial"/>
                            <w:i/>
                            <w:sz w:val="18"/>
                          </w:rPr>
                          <w:t xml:space="preserve">parti e, quando occorre, le invita a completare o a mettere in regola gli atti </w:t>
                        </w:r>
                      </w:p>
                    </w:txbxContent>
                  </v:textbox>
                </v:rect>
                <v:rect id="Rectangle 19662" o:spid="_x0000_s4682" style="position:absolute;left:13508;top:19653;width:253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QexAAAAN4AAAAPAAAAZHJzL2Rvd25yZXYueG1sRE9Na8JA&#10;EL0L/odlCr3pph6CTV1FFGkOXmojeByyY5KanV2yq4n+erdQ6G0e73MWq8G04kadbywreJsmIIhL&#10;qxuuFBTfu8kchA/IGlvLpOBOHlbL8WiBmbY9f9HtECoRQ9hnqKAOwWVS+rImg35qHXHkzrYzGCLs&#10;Kqk77GO4aeUsSVJpsOHYUKOjTU3l5XA1Ck5bdvmul+X5sXH7n3zefl6Lo1KvL8P6A0SgIfyL/9y5&#10;jvPf03QGv+/EG+TyCQAA//8DAFBLAQItABQABgAIAAAAIQDb4fbL7gAAAIUBAAATAAAAAAAAAAAA&#10;AAAAAAAAAABbQ29udGVudF9UeXBlc10ueG1sUEsBAi0AFAAGAAgAAAAhAFr0LFu/AAAAFQEAAAsA&#10;AAAAAAAAAAAAAAAAHwEAAF9yZWxzLy5yZWxzUEsBAi0AFAAGAAgAAAAhAD4SlB7EAAAA3gAAAA8A&#10;AAAAAAAAAAAAAAAABwIAAGRycy9kb3ducmV2LnhtbFBLBQYAAAAAAwADALcAAAD4AgAAAAA=&#10;" filled="f" stroked="f">
                  <v:textbox inset="0,0,0,0">
                    <w:txbxContent>
                      <w:p w14:paraId="3BBFE837" w14:textId="77777777" w:rsidR="00B32EF2" w:rsidRDefault="00000000">
                        <w:r>
                          <w:rPr>
                            <w:rFonts w:ascii="Arial" w:eastAsia="Arial" w:hAnsi="Arial" w:cs="Arial"/>
                            <w:i/>
                            <w:sz w:val="18"/>
                          </w:rPr>
                          <w:t>e i documenti che riconosce difettosi.</w:t>
                        </w:r>
                      </w:p>
                    </w:txbxContent>
                  </v:textbox>
                </v:rect>
                <v:rect id="Rectangle 201406" o:spid="_x0000_s4683" style="position:absolute;left:25499;top:18420;width:511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6s4xwAAAN8AAAAPAAAAZHJzL2Rvd25yZXYueG1sRI9PawIx&#10;FMTvhX6H8Aq91UQpIlujFIt0D178Bz0+Ns/d1c1L2ER366c3guBxmJnfMNN5bxtxoTbUjjUMBwoE&#10;ceFMzaWG3Xb5MQERIrLBxjFp+KcA89nryxQz4zpe02UTS5EgHDLUUMXoMylDUZHFMHCeOHkH11qM&#10;SbalNC12CW4bOVJqLC3WnBYq9LSoqDhtzlbD3w/7fNnJ4nBd+NUxnzS/591e6/e3/vsLRKQ+PsOP&#10;dm40jNTwU43h/id9ATm7AQAA//8DAFBLAQItABQABgAIAAAAIQDb4fbL7gAAAIUBAAATAAAAAAAA&#10;AAAAAAAAAAAAAABbQ29udGVudF9UeXBlc10ueG1sUEsBAi0AFAAGAAgAAAAhAFr0LFu/AAAAFQEA&#10;AAsAAAAAAAAAAAAAAAAAHwEAAF9yZWxzLy5yZWxzUEsBAi0AFAAGAAgAAAAhAEyfqzjHAAAA3wAA&#10;AA8AAAAAAAAAAAAAAAAABwIAAGRycy9kb3ducmV2LnhtbFBLBQYAAAAAAwADALcAAAD7AgAAAAA=&#10;" filled="f" stroked="f">
                  <v:textbox inset="0,0,0,0">
                    <w:txbxContent>
                      <w:p w14:paraId="410FC5AA" w14:textId="77777777" w:rsidR="00B32EF2" w:rsidRDefault="00000000">
                        <w:r>
                          <w:rPr>
                            <w:rFonts w:ascii="Arial" w:eastAsia="Arial" w:hAnsi="Arial" w:cs="Arial"/>
                            <w:i/>
                            <w:sz w:val="18"/>
                          </w:rPr>
                          <w:t>2</w:t>
                        </w:r>
                      </w:p>
                    </w:txbxContent>
                  </v:textbox>
                </v:rect>
                <v:rect id="Rectangle 201407" o:spid="_x0000_s4684" style="position:absolute;left:-12864;top:18420;width:51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w6jxwAAAN8AAAAPAAAAZHJzL2Rvd25yZXYueG1sRI9BawIx&#10;FITvhf6H8AreaqIUK1ujFIt0D160Fnp8bJ67q5uXsInu6q83QsHjMDPfMLNFbxtxpjbUjjWMhgoE&#10;ceFMzaWG3c/qdQoiRGSDjWPScKEAi/nz0wwz4zre0HkbS5EgHDLUUMXoMylDUZHFMHSeOHl711qM&#10;SbalNC12CW4bOVZqIi3WnBYq9LSsqDhuT1bD3xf7fNXJYn9d+vUhnzbfp92v1oOX/vMDRKQ+PsL/&#10;7dxoGKvRm3qH+5/0BeT8BgAA//8DAFBLAQItABQABgAIAAAAIQDb4fbL7gAAAIUBAAATAAAAAAAA&#10;AAAAAAAAAAAAAABbQ29udGVudF9UeXBlc10ueG1sUEsBAi0AFAAGAAgAAAAhAFr0LFu/AAAAFQEA&#10;AAsAAAAAAAAAAAAAAAAAHwEAAF9yZWxzLy5yZWxzUEsBAi0AFAAGAAgAAAAhACPTDqPHAAAA3wAA&#10;AA8AAAAAAAAAAAAAAAAABwIAAGRycy9kb3ducmV2LnhtbFBLBQYAAAAAAwADALcAAAD7AgAAAAA=&#10;" filled="f" stroked="f">
                  <v:textbox inset="0,0,0,0">
                    <w:txbxContent>
                      <w:p w14:paraId="5A5D53F9" w14:textId="77777777" w:rsidR="00B32EF2" w:rsidRDefault="00000000">
                        <w:r>
                          <w:rPr>
                            <w:rFonts w:ascii="Arial" w:eastAsia="Arial" w:hAnsi="Arial" w:cs="Arial"/>
                            <w:i/>
                            <w:sz w:val="18"/>
                          </w:rPr>
                          <w:t xml:space="preserve">.Quando rileva la mancanza della procura al difensore oppure un difetto </w:t>
                        </w:r>
                      </w:p>
                    </w:txbxContent>
                  </v:textbox>
                </v:rect>
                <v:rect id="Rectangle 19664" o:spid="_x0000_s4685" style="position:absolute;left:-12226;top:17187;width:511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6nxxAAAAN4AAAAPAAAAZHJzL2Rvd25yZXYueG1sRE9Na8JA&#10;EL0X/A/LCN7qxiLBRlcRRZpDL7UKHofsmESzs0t2NdFf3y0UepvH+5zFqjeNuFPra8sKJuMEBHFh&#10;dc2lgsP37nUGwgdkjY1lUvAgD6vl4GWBmbYdf9F9H0oRQ9hnqKAKwWVS+qIig35sHXHkzrY1GCJs&#10;S6lb7GK4aeRbkqTSYM2xoUJHm4qK6/5mFJy27PJdJ4vzc+M+L/ms+bgdjkqNhv16DiJQH/7Ff+5c&#10;x/nvaTqF33fiDXL5AwAA//8DAFBLAQItABQABgAIAAAAIQDb4fbL7gAAAIUBAAATAAAAAAAAAAAA&#10;AAAAAAAAAABbQ29udGVudF9UeXBlc10ueG1sUEsBAi0AFAAGAAgAAAAhAFr0LFu/AAAAFQEAAAsA&#10;AAAAAAAAAAAAAAAAHwEAAF9yZWxzLy5yZWxzUEsBAi0AFAAGAAgAAAAhAN63qfHEAAAA3gAAAA8A&#10;AAAAAAAAAAAAAAAABwIAAGRycy9kb3ducmV2LnhtbFBLBQYAAAAAAwADALcAAAD4AgAAAAA=&#10;" filled="f" stroked="f">
                  <v:textbox inset="0,0,0,0">
                    <w:txbxContent>
                      <w:p w14:paraId="360EF74A" w14:textId="77777777" w:rsidR="00B32EF2" w:rsidRDefault="00000000">
                        <w:r>
                          <w:rPr>
                            <w:rFonts w:ascii="Arial" w:eastAsia="Arial" w:hAnsi="Arial" w:cs="Arial"/>
                            <w:i/>
                            <w:sz w:val="18"/>
                          </w:rPr>
                          <w:t xml:space="preserve">di rappresentanza, di assistenza o di autorizzazione che ne determina la </w:t>
                        </w:r>
                      </w:p>
                    </w:txbxContent>
                  </v:textbox>
                </v:rect>
                <v:rect id="Rectangle 19665" o:spid="_x0000_s4686" style="position:absolute;left:-11201;top:15953;width:500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xqxAAAAN4AAAAPAAAAZHJzL2Rvd25yZXYueG1sRE9Na8JA&#10;EL0X/A/LCN7qxoLBRlcRRZpDL7UKHofsmESzs0t2NdFf3y0UepvH+5zFqjeNuFPra8sKJuMEBHFh&#10;dc2lgsP37nUGwgdkjY1lUvAgD6vl4GWBmbYdf9F9H0oRQ9hnqKAKwWVS+qIig35sHXHkzrY1GCJs&#10;S6lb7GK4aeRbkqTSYM2xoUJHm4qK6/5mFJy27PJdJ4vzc+M+L/ms+bgdjkqNhv16DiJQH/7Ff+5c&#10;x/nvaTqF33fiDXL5AwAA//8DAFBLAQItABQABgAIAAAAIQDb4fbL7gAAAIUBAAATAAAAAAAAAAAA&#10;AAAAAAAAAABbQ29udGVudF9UeXBlc10ueG1sUEsBAi0AFAAGAAgAAAAhAFr0LFu/AAAAFQEAAAsA&#10;AAAAAAAAAAAAAAAAHwEAAF9yZWxzLy5yZWxzUEsBAi0AFAAGAAgAAAAhALH7DGrEAAAA3gAAAA8A&#10;AAAAAAAAAAAAAAAABwIAAGRycy9kb3ducmV2LnhtbFBLBQYAAAAAAwADALcAAAD4AgAAAAA=&#10;" filled="f" stroked="f">
                  <v:textbox inset="0,0,0,0">
                    <w:txbxContent>
                      <w:p w14:paraId="46C3D352" w14:textId="77777777" w:rsidR="00B32EF2" w:rsidRDefault="00000000">
                        <w:r>
                          <w:rPr>
                            <w:rFonts w:ascii="Arial" w:eastAsia="Arial" w:hAnsi="Arial" w:cs="Arial"/>
                            <w:i/>
                            <w:sz w:val="18"/>
                          </w:rPr>
                          <w:t>nullità, il giudice assegna alle parti un termine perentorio per la costituzio</w:t>
                        </w:r>
                      </w:p>
                    </w:txbxContent>
                  </v:textbox>
                </v:rect>
                <v:rect id="Rectangle 19666" o:spid="_x0000_s4687" style="position:absolute;left:657;top:1595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ZIdxAAAAN4AAAAPAAAAZHJzL2Rvd25yZXYueG1sRE9Ni8Iw&#10;EL0v+B/CCN7WVA/FrUYRRezBy7oKHodmbKvNJDTR1v31m4WFvc3jfc5i1ZtGPKn1tWUFk3ECgriw&#10;uuZSwelr9z4D4QOyxsYyKXiRh9Vy8LbATNuOP+l5DKWIIewzVFCF4DIpfVGRQT+2jjhyV9saDBG2&#10;pdQtdjHcNHKaJKk0WHNsqNDRpqLifnwYBZctu3zXyeL6vXGHWz5r9o/TWanRsF/PQQTqw7/4z53r&#10;OP8jTVP4fSfeIJc/AAAA//8DAFBLAQItABQABgAIAAAAIQDb4fbL7gAAAIUBAAATAAAAAAAAAAAA&#10;AAAAAAAAAABbQ29udGVudF9UeXBlc10ueG1sUEsBAi0AFAAGAAgAAAAhAFr0LFu/AAAAFQEAAAsA&#10;AAAAAAAAAAAAAAAAHwEAAF9yZWxzLy5yZWxzUEsBAi0AFAAGAAgAAAAhAEEpkh3EAAAA3gAAAA8A&#10;AAAAAAAAAAAAAAAABwIAAGRycy9kb3ducmV2LnhtbFBLBQYAAAAAAwADALcAAAD4AgAAAAA=&#10;" filled="f" stroked="f">
                  <v:textbox inset="0,0,0,0">
                    <w:txbxContent>
                      <w:p w14:paraId="3D091F48" w14:textId="77777777" w:rsidR="00B32EF2" w:rsidRDefault="00000000">
                        <w:r>
                          <w:rPr>
                            <w:rFonts w:ascii="Arial" w:eastAsia="Arial" w:hAnsi="Arial" w:cs="Arial"/>
                            <w:i/>
                            <w:sz w:val="18"/>
                          </w:rPr>
                          <w:t>-</w:t>
                        </w:r>
                      </w:p>
                    </w:txbxContent>
                  </v:textbox>
                </v:rect>
                <v:rect id="Rectangle 19667" o:spid="_x0000_s4688" style="position:absolute;left:-12216;top:14720;width:511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TeGxAAAAN4AAAAPAAAAZHJzL2Rvd25yZXYueG1sRE9Na8JA&#10;EL0L/Q/LCN7qRg9RU1cpFjEHL1ULPQ7ZMUmbnV2yq4n+erdQ8DaP9znLdW8acaXW15YVTMYJCOLC&#10;6ppLBafj9nUOwgdkjY1lUnAjD+vVy2CJmbYdf9L1EEoRQ9hnqKAKwWVS+qIig35sHXHkzrY1GCJs&#10;S6lb7GK4aeQ0SVJpsObYUKGjTUXF7+FiFHx/sMu3nSzO943b/+TzZnc5fSk1GvbvbyAC9eEp/nfn&#10;Os5fpOkM/t6JN8jVAwAA//8DAFBLAQItABQABgAIAAAAIQDb4fbL7gAAAIUBAAATAAAAAAAAAAAA&#10;AAAAAAAAAABbQ29udGVudF9UeXBlc10ueG1sUEsBAi0AFAAGAAgAAAAhAFr0LFu/AAAAFQEAAAsA&#10;AAAAAAAAAAAAAAAAHwEAAF9yZWxzLy5yZWxzUEsBAi0AFAAGAAgAAAAhAC5lN4bEAAAA3gAAAA8A&#10;AAAAAAAAAAAAAAAABwIAAGRycy9kb3ducmV2LnhtbFBLBQYAAAAAAwADALcAAAD4AgAAAAA=&#10;" filled="f" stroked="f">
                  <v:textbox inset="0,0,0,0">
                    <w:txbxContent>
                      <w:p w14:paraId="3F55074F" w14:textId="77777777" w:rsidR="00B32EF2" w:rsidRDefault="00000000">
                        <w:r>
                          <w:rPr>
                            <w:rFonts w:ascii="Arial" w:eastAsia="Arial" w:hAnsi="Arial" w:cs="Arial"/>
                            <w:i/>
                            <w:sz w:val="18"/>
                          </w:rPr>
                          <w:t xml:space="preserve">ne della persona alla quale spetta la rappresentanza o l’assistenza, per il </w:t>
                        </w:r>
                      </w:p>
                    </w:txbxContent>
                  </v:textbox>
                </v:rect>
                <v:rect id="Rectangle 19668" o:spid="_x0000_s4689" style="position:absolute;left:-12207;top:13487;width:51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P0xwAAAN4AAAAPAAAAZHJzL2Rvd25yZXYueG1sRI9Bb8Iw&#10;DIXvk/YfIk/abaTboWKFgBATWg+7wJi0o9WYttA4URNot1+PD0jcbL3n9z7Pl6Pr1IX62Ho28DrJ&#10;QBFX3rZcG9h/b16moGJCtth5JgN/FGG5eHyYY2H9wFu67FKtJIRjgQaalEKhdawachgnPhCLdvC9&#10;wyRrX2vb4yDhrtNvWZZrhy1LQ4OB1g1Vp93ZGfj94FBuBl0d/tfh61hOu8/z/seY56dxNQOVaEx3&#10;8+26tIL/nufCK+/IDHpxBQAA//8DAFBLAQItABQABgAIAAAAIQDb4fbL7gAAAIUBAAATAAAAAAAA&#10;AAAAAAAAAAAAAABbQ29udGVudF9UeXBlc10ueG1sUEsBAi0AFAAGAAgAAAAhAFr0LFu/AAAAFQEA&#10;AAsAAAAAAAAAAAAAAAAAHwEAAF9yZWxzLy5yZWxzUEsBAi0AFAAGAAgAAAAhAF/6o/THAAAA3gAA&#10;AA8AAAAAAAAAAAAAAAAABwIAAGRycy9kb3ducmV2LnhtbFBLBQYAAAAAAwADALcAAAD7AgAAAAA=&#10;" filled="f" stroked="f">
                  <v:textbox inset="0,0,0,0">
                    <w:txbxContent>
                      <w:p w14:paraId="536F4E1A" w14:textId="77777777" w:rsidR="00B32EF2" w:rsidRDefault="00000000">
                        <w:r>
                          <w:rPr>
                            <w:rFonts w:ascii="Arial" w:eastAsia="Arial" w:hAnsi="Arial" w:cs="Arial"/>
                            <w:i/>
                            <w:sz w:val="18"/>
                          </w:rPr>
                          <w:t xml:space="preserve">rilascio delle necessarie autorizzazioni, ovvero per il rilascio della procura </w:t>
                        </w:r>
                      </w:p>
                    </w:txbxContent>
                  </v:textbox>
                </v:rect>
                <v:rect id="Rectangle 19669" o:spid="_x0000_s4690" style="position:absolute;left:-12202;top:12254;width:5107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ZvxAAAAN4AAAAPAAAAZHJzL2Rvd25yZXYueG1sRE9Na8JA&#10;EL0L/odlCr3pph6Cpq4iiphDL9UIHofsmKRmZ5fsatL++m6h4G0e73OW68G04kGdbywreJsmIIhL&#10;qxuuFBSn/WQOwgdkja1lUvBNHtar8WiJmbY9f9LjGCoRQ9hnqKAOwWVS+rImg35qHXHkrrYzGCLs&#10;Kqk77GO4aeUsSVJpsOHYUKOjbU3l7Xg3Ci47dvm+l+X1Z+s+vvJ5e7gXZ6VeX4bNO4hAQ3iK/925&#10;jvMXabqAv3fiDXL1CwAA//8DAFBLAQItABQABgAIAAAAIQDb4fbL7gAAAIUBAAATAAAAAAAAAAAA&#10;AAAAAAAAAABbQ29udGVudF9UeXBlc10ueG1sUEsBAi0AFAAGAAgAAAAhAFr0LFu/AAAAFQEAAAsA&#10;AAAAAAAAAAAAAAAAHwEAAF9yZWxzLy5yZWxzUEsBAi0AFAAGAAgAAAAhADC2Bm/EAAAA3gAAAA8A&#10;AAAAAAAAAAAAAAAABwIAAGRycy9kb3ducmV2LnhtbFBLBQYAAAAAAwADALcAAAD4AgAAAAA=&#10;" filled="f" stroked="f">
                  <v:textbox inset="0,0,0,0">
                    <w:txbxContent>
                      <w:p w14:paraId="4D6A643A" w14:textId="77777777" w:rsidR="00B32EF2" w:rsidRDefault="00000000">
                        <w:r>
                          <w:rPr>
                            <w:rFonts w:ascii="Arial" w:eastAsia="Arial" w:hAnsi="Arial" w:cs="Arial"/>
                            <w:i/>
                            <w:sz w:val="18"/>
                          </w:rPr>
                          <w:t xml:space="preserve">alle liti o per la rinnovazione della stessa. L’osservanza del termine sana i </w:t>
                        </w:r>
                      </w:p>
                    </w:txbxContent>
                  </v:textbox>
                </v:rect>
                <v:rect id="Rectangle 19670" o:spid="_x0000_s4691" style="position:absolute;left:-12189;top:11020;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TkvyAAAAN4AAAAPAAAAZHJzL2Rvd25yZXYueG1sRI9Pb8Iw&#10;DMXvk/YdIk/abaTswFhHQIgJrYdd+DNpR6sxbbfGiZpAC58eH5C42fLze+83WwyuVSfqYuPZwHiU&#10;gSIuvW24MrDfrV+moGJCtth6JgNnirCYPz7MMLe+5w2dtqlSYsIxRwN1SiHXOpY1OYwjH4jldvCd&#10;wyRrV2nbYS/mrtWvWTbRDhuWhBoDrWoq/7dHZ+D3k0Ox7nV5uKzC918xbb+O+x9jnp+G5QeoREO6&#10;i2/fhZX675M3ARAcmUHPrwAAAP//AwBQSwECLQAUAAYACAAAACEA2+H2y+4AAACFAQAAEwAAAAAA&#10;AAAAAAAAAAAAAAAAW0NvbnRlbnRfVHlwZXNdLnhtbFBLAQItABQABgAIAAAAIQBa9CxbvwAAABUB&#10;AAALAAAAAAAAAAAAAAAAAB8BAABfcmVscy8ucmVsc1BLAQItABQABgAIAAAAIQAkVTkvyAAAAN4A&#10;AAAPAAAAAAAAAAAAAAAAAAcCAABkcnMvZG93bnJldi54bWxQSwUGAAAAAAMAAwC3AAAA/AIAAAAA&#10;" filled="f" stroked="f">
                  <v:textbox inset="0,0,0,0">
                    <w:txbxContent>
                      <w:p w14:paraId="1400EC26" w14:textId="77777777" w:rsidR="00B32EF2" w:rsidRDefault="00000000">
                        <w:r>
                          <w:rPr>
                            <w:rFonts w:ascii="Arial" w:eastAsia="Arial" w:hAnsi="Arial" w:cs="Arial"/>
                            <w:i/>
                            <w:sz w:val="18"/>
                          </w:rPr>
                          <w:t xml:space="preserve">vizi, e gli effetti sostanziali e processuali della domanda si producono fin dal </w:t>
                        </w:r>
                      </w:p>
                    </w:txbxContent>
                  </v:textbox>
                </v:rect>
                <v:rect id="Rectangle 19671" o:spid="_x0000_s4692" style="position:absolute;left:14627;top:9787;width:241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Zy0xAAAAN4AAAAPAAAAZHJzL2Rvd25yZXYueG1sRE9Li8Iw&#10;EL4v7H8II3jT1D242jWKuMj24MUX7HFoxrbaTEITbfXXbwRhb/PxPWe26EwtbtT4yrKC0TABQZxb&#10;XXGh4LBfDyYgfEDWWFsmBXfysJi/v80w1bblLd12oRAxhH2KCsoQXCqlz0sy6IfWEUfuZBuDIcKm&#10;kLrBNoabWn4kyVgarDg2lOhoVVJ+2V2Ngt9vdtm6lfnpsXKbczapf66Ho1L9Xrf8AhGoC//ilzvT&#10;cf50/DmC5zvxBjn/AwAA//8DAFBLAQItABQABgAIAAAAIQDb4fbL7gAAAIUBAAATAAAAAAAAAAAA&#10;AAAAAAAAAABbQ29udGVudF9UeXBlc10ueG1sUEsBAi0AFAAGAAgAAAAhAFr0LFu/AAAAFQEAAAsA&#10;AAAAAAAAAAAAAAAAHwEAAF9yZWxzLy5yZWxzUEsBAi0AFAAGAAgAAAAhAEsZnLTEAAAA3gAAAA8A&#10;AAAAAAAAAAAAAAAABwIAAGRycy9kb3ducmV2LnhtbFBLBQYAAAAAAwADALcAAAD4AgAAAAA=&#10;" filled="f" stroked="f">
                  <v:textbox inset="0,0,0,0">
                    <w:txbxContent>
                      <w:p w14:paraId="2399CEBE" w14:textId="77777777" w:rsidR="00B32EF2" w:rsidRDefault="00000000">
                        <w:r>
                          <w:rPr>
                            <w:rFonts w:ascii="Arial" w:eastAsia="Arial" w:hAnsi="Arial" w:cs="Arial"/>
                            <w:i/>
                            <w:sz w:val="18"/>
                          </w:rPr>
                          <w:t>momento della prima notificazione .</w:t>
                        </w:r>
                      </w:p>
                    </w:txbxContent>
                  </v:textbox>
                </v:rect>
                <v:rect id="Rectangle 19672" o:spid="_x0000_s4693" style="position:absolute;left:23248;top:8554;width:155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wLDxAAAAN4AAAAPAAAAZHJzL2Rvd25yZXYueG1sRE9Ni8Iw&#10;EL0v+B/CCN401YPrdo0iitiDl1UX9jg0Y1ttJqGJtvrrNwvC3ubxPme+7Ewt7tT4yrKC8SgBQZxb&#10;XXGh4HTcDmcgfEDWWFsmBQ/ysFz03uaYatvyF90PoRAxhH2KCsoQXCqlz0sy6EfWEUfubBuDIcKm&#10;kLrBNoabWk6SZCoNVhwbSnS0Lim/Hm5Gwc+GXbZtZX5+rt3+ks3q3e30rdSg360+QQTqwr/45c50&#10;nP8xfZ/A3zvxBrn4BQAA//8DAFBLAQItABQABgAIAAAAIQDb4fbL7gAAAIUBAAATAAAAAAAAAAAA&#10;AAAAAAAAAABbQ29udGVudF9UeXBlc10ueG1sUEsBAi0AFAAGAAgAAAAhAFr0LFu/AAAAFQEAAAsA&#10;AAAAAAAAAAAAAAAAHwEAAF9yZWxzLy5yZWxzUEsBAi0AFAAGAAgAAAAhALvLAsPEAAAA3gAAAA8A&#10;AAAAAAAAAAAAAAAABwIAAGRycy9kb3ducmV2LnhtbFBLBQYAAAAAAwADALcAAAD4AgAAAAA=&#10;" filled="f" stroked="f">
                  <v:textbox inset="0,0,0,0">
                    <w:txbxContent>
                      <w:p w14:paraId="4BF6A8D3" w14:textId="77777777" w:rsidR="00B32EF2" w:rsidRDefault="00000000">
                        <w:r>
                          <w:rPr>
                            <w:rFonts w:ascii="Arial" w:eastAsia="Arial" w:hAnsi="Arial" w:cs="Arial"/>
                            <w:b/>
                            <w:i/>
                            <w:sz w:val="18"/>
                          </w:rPr>
                          <w:t>NORME COLLEGATE</w:t>
                        </w:r>
                      </w:p>
                    </w:txbxContent>
                  </v:textbox>
                </v:rect>
                <v:rect id="Rectangle 19673" o:spid="_x0000_s4694" style="position:absolute;left:18180;top:7320;width:206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6dYxQAAAN4AAAAPAAAAZHJzL2Rvd25yZXYueG1sRE9Na8JA&#10;EL0X+h+WKXirGxWsja4iipiDl1oLPQ7ZMYlmZ5fsaqK/3i0UvM3jfc5s0ZlaXKnxlWUFg34Cgji3&#10;uuJCweF78z4B4QOyxtoyKbiRh8X89WWGqbYtf9F1HwoRQ9inqKAMwaVS+rwkg75vHXHkjrYxGCJs&#10;CqkbbGO4qeUwScbSYMWxoURHq5Ly8/5iFPyu2WWbVubH+8rtTtmk3l4OP0r13rrlFESgLjzF/+5M&#10;x/mf448R/L0Tb5DzBwAAAP//AwBQSwECLQAUAAYACAAAACEA2+H2y+4AAACFAQAAEwAAAAAAAAAA&#10;AAAAAAAAAAAAW0NvbnRlbnRfVHlwZXNdLnhtbFBLAQItABQABgAIAAAAIQBa9CxbvwAAABUBAAAL&#10;AAAAAAAAAAAAAAAAAB8BAABfcmVscy8ucmVsc1BLAQItABQABgAIAAAAIQDUh6dYxQAAAN4AAAAP&#10;AAAAAAAAAAAAAAAAAAcCAABkcnMvZG93bnJldi54bWxQSwUGAAAAAAMAAwC3AAAA+QIAAAAA&#10;" filled="f" stroked="f">
                  <v:textbox inset="0,0,0,0">
                    <w:txbxContent>
                      <w:p w14:paraId="2C2503CC" w14:textId="77777777" w:rsidR="00B32EF2" w:rsidRDefault="00000000">
                        <w:r>
                          <w:rPr>
                            <w:rFonts w:ascii="Arial" w:eastAsia="Arial" w:hAnsi="Arial" w:cs="Arial"/>
                            <w:i/>
                            <w:sz w:val="18"/>
                          </w:rPr>
                          <w:t xml:space="preserve">art. 83 c.p.c. “Procura alle liti” </w:t>
                        </w:r>
                      </w:p>
                    </w:txbxContent>
                  </v:textbox>
                </v:rect>
                <v:rect id="Rectangle 201404" o:spid="_x0000_s4695" style="position:absolute;left:25525;top:6087;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ZDUxwAAAN8AAAAPAAAAZHJzL2Rvd25yZXYueG1sRI9PawIx&#10;FMTvQr9DeIXeNFFEZGuUYpHuoRf/QY+PzXN3dfMSNtHd9tM3guBxmJnfMItVbxtxozbUjjWMRwoE&#10;ceFMzaWGw34znIMIEdlg45g0/FKA1fJlsMDMuI63dNvFUiQIhww1VDH6TMpQVGQxjJwnTt7JtRZj&#10;km0pTYtdgttGTpSaSYs1p4UKPa0rKi67q9Xw88k+33SyOP2t/fc5nzdf18NR67fX/uMdRKQ+PsOP&#10;dm40TNR4qqZw/5O+gFz+AwAA//8DAFBLAQItABQABgAIAAAAIQDb4fbL7gAAAIUBAAATAAAAAAAA&#10;AAAAAAAAAAAAAABbQ29udGVudF9UeXBlc10ueG1sUEsBAi0AFAAGAAgAAAAhAFr0LFu/AAAAFQEA&#10;AAsAAAAAAAAAAAAAAAAAHwEAAF9yZWxzLy5yZWxzUEsBAi0AFAAGAAgAAAAhANMBkNTHAAAA3wAA&#10;AA8AAAAAAAAAAAAAAAAABwIAAGRycy9kb3ducmV2LnhtbFBLBQYAAAAAAwADALcAAAD7AgAAAAA=&#10;" filled="f" stroked="f">
                  <v:textbox inset="0,0,0,0">
                    <w:txbxContent>
                      <w:p w14:paraId="25111699" w14:textId="77777777" w:rsidR="00B32EF2" w:rsidRDefault="00000000">
                        <w:r>
                          <w:rPr>
                            <w:rFonts w:ascii="Arial" w:eastAsia="Arial" w:hAnsi="Arial" w:cs="Arial"/>
                            <w:i/>
                            <w:sz w:val="18"/>
                          </w:rPr>
                          <w:t>1</w:t>
                        </w:r>
                      </w:p>
                    </w:txbxContent>
                  </v:textbox>
                </v:rect>
                <v:rect id="Rectangle 201405" o:spid="_x0000_s4696" style="position:absolute;left:-12785;top:6087;width:510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TVPxwAAAN8AAAAPAAAAZHJzL2Rvd25yZXYueG1sRI9BawIx&#10;FITvhf6H8AreaqLUIlujFIt0D160Fnp8bJ67q5uXsInu6q83QsHjMDPfMLNFbxtxpjbUjjWMhgoE&#10;ceFMzaWG3c/qdQoiRGSDjWPScKEAi/nz0wwz4zre0HkbS5EgHDLUUMXoMylDUZHFMHSeOHl711qM&#10;SbalNC12CW4bOVbqXVqsOS1U6GlZUXHcnqyGvy/2+aqTxf669OtDPm2+T7tfrQcv/ecHiEh9fIT/&#10;27nRMFajNzWB+5/0BeT8BgAA//8DAFBLAQItABQABgAIAAAAIQDb4fbL7gAAAIUBAAATAAAAAAAA&#10;AAAAAAAAAAAAAABbQ29udGVudF9UeXBlc10ueG1sUEsBAi0AFAAGAAgAAAAhAFr0LFu/AAAAFQEA&#10;AAsAAAAAAAAAAAAAAAAAHwEAAF9yZWxzLy5yZWxzUEsBAi0AFAAGAAgAAAAhALxNNU/HAAAA3wAA&#10;AA8AAAAAAAAAAAAAAAAABwIAAGRycy9kb3ducmV2LnhtbFBLBQYAAAAAAwADALcAAAD7AgAAAAA=&#10;" filled="f" stroked="f">
                  <v:textbox inset="0,0,0,0">
                    <w:txbxContent>
                      <w:p w14:paraId="65941155" w14:textId="77777777" w:rsidR="00B32EF2" w:rsidRDefault="00000000">
                        <w:r>
                          <w:rPr>
                            <w:rFonts w:ascii="Arial" w:eastAsia="Arial" w:hAnsi="Arial" w:cs="Arial"/>
                            <w:i/>
                            <w:sz w:val="18"/>
                          </w:rPr>
                          <w:t xml:space="preserve">. Quando la parte sta in giudizio col ministero di un difensore, questi deve </w:t>
                        </w:r>
                      </w:p>
                    </w:txbxContent>
                  </v:textbox>
                </v:rect>
                <v:rect id="Rectangle 19675" o:spid="_x0000_s4697" style="position:absolute;left:21030;top:4854;width:177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pq3xQAAAN4AAAAPAAAAZHJzL2Rvd25yZXYueG1sRE9Na8JA&#10;EL0X+h+WKXirGwWtja4iipiDl1oLPQ7ZMYlmZ5fsaqK/3i0UvM3jfc5s0ZlaXKnxlWUFg34Cgji3&#10;uuJCweF78z4B4QOyxtoyKbiRh8X89WWGqbYtf9F1HwoRQ9inqKAMwaVS+rwkg75vHXHkjrYxGCJs&#10;CqkbbGO4qeUwScbSYMWxoURHq5Ly8/5iFPyu2WWbVubH+8rtTtmk3l4OP0r13rrlFESgLjzF/+5M&#10;x/mf448R/L0Tb5DzBwAAAP//AwBQSwECLQAUAAYACAAAACEA2+H2y+4AAACFAQAAEwAAAAAAAAAA&#10;AAAAAAAAAAAAW0NvbnRlbnRfVHlwZXNdLnhtbFBLAQItABQABgAIAAAAIQBa9CxbvwAAABUBAAAL&#10;AAAAAAAAAAAAAAAAAB8BAABfcmVscy8ucmVsc1BLAQItABQABgAIAAAAIQA0Ipq3xQAAAN4AAAAP&#10;AAAAAAAAAAAAAAAAAAcCAABkcnMvZG93bnJldi54bWxQSwUGAAAAAAMAAwC3AAAA+QIAAAAA&#10;" filled="f" stroked="f">
                  <v:textbox inset="0,0,0,0">
                    <w:txbxContent>
                      <w:p w14:paraId="010D5571" w14:textId="77777777" w:rsidR="00B32EF2" w:rsidRDefault="00000000">
                        <w:r>
                          <w:rPr>
                            <w:rFonts w:ascii="Arial" w:eastAsia="Arial" w:hAnsi="Arial" w:cs="Arial"/>
                            <w:i/>
                            <w:sz w:val="18"/>
                          </w:rPr>
                          <w:t xml:space="preserve">essere munito di procura. </w:t>
                        </w:r>
                      </w:p>
                    </w:txbxContent>
                  </v:textbox>
                </v:rect>
                <v:shape id="Shape 19676" o:spid="_x0000_s4698" style="position:absolute;top:4147;width:39600;height:58417;visibility:visible;mso-wrap-style:square;v-text-anchor:top" coordsize="3960000,584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ukpxQAAAN4AAAAPAAAAZHJzL2Rvd25yZXYueG1sRE9La8JA&#10;EL4X/A/LCF6K2dRDrKmrqFDqpYeqKT0O2WkSzc6G7ObRf98tCL3Nx/ec9XY0teipdZVlBU9RDII4&#10;t7riQsHl/Dp/BuE8ssbaMin4IQfbzeRhjam2A39Qf/KFCCHsUlRQet+kUrq8JIMusg1x4L5ta9AH&#10;2BZStziEcFPLRRwn0mDFoaHEhg4l5bdTZxR8Zn3zHp+vjysa31x2PMh99yWVmk3H3QsIT6P/F9/d&#10;Rx3mr5JlAn/vhBvk5hcAAP//AwBQSwECLQAUAAYACAAAACEA2+H2y+4AAACFAQAAEwAAAAAAAAAA&#10;AAAAAAAAAAAAW0NvbnRlbnRfVHlwZXNdLnhtbFBLAQItABQABgAIAAAAIQBa9CxbvwAAABUBAAAL&#10;AAAAAAAAAAAAAAAAAB8BAABfcmVscy8ucmVsc1BLAQItABQABgAIAAAAIQDWQukpxQAAAN4AAAAP&#10;AAAAAAAAAAAAAAAAAAcCAABkcnMvZG93bnJldi54bWxQSwUGAAAAAAMAAwC3AAAA+QIAAAAA&#10;" path="m,5841797r3960000,l3960000,,,,,5841797xe" filled="f" strokeweight="1pt">
                  <v:stroke miterlimit="1" joinstyle="miter"/>
                  <v:path arrowok="t" textboxrect="0,0,3960000,5841797"/>
                </v:shape>
                <w10:anchorlock/>
              </v:group>
            </w:pict>
          </mc:Fallback>
        </mc:AlternateContent>
      </w:r>
    </w:p>
    <w:p w14:paraId="31FC650D" w14:textId="77777777" w:rsidR="00B32EF2" w:rsidRDefault="00000000">
      <w:pPr>
        <w:spacing w:after="0"/>
        <w:ind w:left="-356" w:right="-306"/>
      </w:pPr>
      <w:r>
        <w:rPr>
          <w:noProof/>
        </w:rPr>
        <w:lastRenderedPageBreak/>
        <mc:AlternateContent>
          <mc:Choice Requires="wpg">
            <w:drawing>
              <wp:inline distT="0" distB="0" distL="0" distR="0" wp14:anchorId="646D4835" wp14:editId="4F78102A">
                <wp:extent cx="3991756" cy="6262854"/>
                <wp:effectExtent l="0" t="0" r="0" b="0"/>
                <wp:docPr id="201233" name="Group 201233"/>
                <wp:cNvGraphicFramePr/>
                <a:graphic xmlns:a="http://schemas.openxmlformats.org/drawingml/2006/main">
                  <a:graphicData uri="http://schemas.microsoft.com/office/word/2010/wordprocessingGroup">
                    <wpg:wgp>
                      <wpg:cNvGrpSpPr/>
                      <wpg:grpSpPr>
                        <a:xfrm>
                          <a:off x="0" y="0"/>
                          <a:ext cx="3991756" cy="6262854"/>
                          <a:chOff x="0" y="0"/>
                          <a:chExt cx="3991756" cy="6262854"/>
                        </a:xfrm>
                      </wpg:grpSpPr>
                      <wps:wsp>
                        <wps:cNvPr id="19751" name="Rectangle 19751"/>
                        <wps:cNvSpPr/>
                        <wps:spPr>
                          <a:xfrm rot="-10799999">
                            <a:off x="1900442" y="-62190"/>
                            <a:ext cx="178369" cy="250646"/>
                          </a:xfrm>
                          <a:prstGeom prst="rect">
                            <a:avLst/>
                          </a:prstGeom>
                          <a:ln>
                            <a:noFill/>
                          </a:ln>
                        </wps:spPr>
                        <wps:txbx>
                          <w:txbxContent>
                            <w:p w14:paraId="70D36798" w14:textId="77777777" w:rsidR="00B32EF2" w:rsidRDefault="00000000">
                              <w:r>
                                <w:rPr>
                                  <w:rFonts w:ascii="Times New Roman" w:eastAsia="Times New Roman" w:hAnsi="Times New Roman" w:cs="Times New Roman"/>
                                </w:rPr>
                                <w:t>50</w:t>
                              </w:r>
                            </w:p>
                          </w:txbxContent>
                        </wps:txbx>
                        <wps:bodyPr horzOverflow="overflow" vert="horz" lIns="0" tIns="0" rIns="0" bIns="0" rtlCol="0">
                          <a:noAutofit/>
                        </wps:bodyPr>
                      </wps:wsp>
                      <wps:wsp>
                        <wps:cNvPr id="201103" name="Rectangle 201103"/>
                        <wps:cNvSpPr/>
                        <wps:spPr>
                          <a:xfrm rot="-10799999">
                            <a:off x="-1440860" y="6119964"/>
                            <a:ext cx="5309036" cy="142890"/>
                          </a:xfrm>
                          <a:prstGeom prst="rect">
                            <a:avLst/>
                          </a:prstGeom>
                          <a:ln>
                            <a:noFill/>
                          </a:ln>
                        </wps:spPr>
                        <wps:txbx>
                          <w:txbxContent>
                            <w:p w14:paraId="45DE8B50" w14:textId="77777777" w:rsidR="00B32EF2" w:rsidRDefault="00000000">
                              <w:r>
                                <w:rPr>
                                  <w:rFonts w:ascii="Arial" w:eastAsia="Arial" w:hAnsi="Arial" w:cs="Arial"/>
                                  <w:sz w:val="18"/>
                                </w:rPr>
                                <w:t xml:space="preserve">. Ai soggetti di cui al comma 12, ancorché iscritti in un albo professionale, è </w:t>
                              </w:r>
                            </w:p>
                          </w:txbxContent>
                        </wps:txbx>
                        <wps:bodyPr horzOverflow="overflow" vert="horz" lIns="0" tIns="0" rIns="0" bIns="0" rtlCol="0">
                          <a:noAutofit/>
                        </wps:bodyPr>
                      </wps:wsp>
                      <wps:wsp>
                        <wps:cNvPr id="201101" name="Rectangle 201101"/>
                        <wps:cNvSpPr/>
                        <wps:spPr>
                          <a:xfrm rot="-10799999">
                            <a:off x="2551867" y="6119964"/>
                            <a:ext cx="5309036" cy="142890"/>
                          </a:xfrm>
                          <a:prstGeom prst="rect">
                            <a:avLst/>
                          </a:prstGeom>
                          <a:ln>
                            <a:noFill/>
                          </a:ln>
                        </wps:spPr>
                        <wps:txbx>
                          <w:txbxContent>
                            <w:p w14:paraId="007B8EC9" w14:textId="77777777" w:rsidR="00B32EF2" w:rsidRDefault="00000000">
                              <w:r>
                                <w:rPr>
                                  <w:rFonts w:ascii="Arial" w:eastAsia="Arial" w:hAnsi="Arial" w:cs="Arial"/>
                                  <w:sz w:val="18"/>
                                </w:rPr>
                                <w:t>13</w:t>
                              </w:r>
                            </w:p>
                          </w:txbxContent>
                        </wps:txbx>
                        <wps:bodyPr horzOverflow="overflow" vert="horz" lIns="0" tIns="0" rIns="0" bIns="0" rtlCol="0">
                          <a:noAutofit/>
                        </wps:bodyPr>
                      </wps:wsp>
                      <wps:wsp>
                        <wps:cNvPr id="19753" name="Rectangle 19753"/>
                        <wps:cNvSpPr/>
                        <wps:spPr>
                          <a:xfrm rot="-10799999">
                            <a:off x="-1317279" y="5996634"/>
                            <a:ext cx="5309036" cy="142891"/>
                          </a:xfrm>
                          <a:prstGeom prst="rect">
                            <a:avLst/>
                          </a:prstGeom>
                          <a:ln>
                            <a:noFill/>
                          </a:ln>
                        </wps:spPr>
                        <wps:txbx>
                          <w:txbxContent>
                            <w:p w14:paraId="5CBBC3F3" w14:textId="77777777" w:rsidR="00B32EF2" w:rsidRDefault="00000000">
                              <w:r>
                                <w:rPr>
                                  <w:rFonts w:ascii="Arial" w:eastAsia="Arial" w:hAnsi="Arial" w:cs="Arial"/>
                                  <w:sz w:val="18"/>
                                </w:rPr>
                                <w:t xml:space="preserve">vietato di esercitare funzioni di assistenza e di rappresentanza presso gli enti </w:t>
                              </w:r>
                            </w:p>
                          </w:txbxContent>
                        </wps:txbx>
                        <wps:bodyPr horzOverflow="overflow" vert="horz" lIns="0" tIns="0" rIns="0" bIns="0" rtlCol="0">
                          <a:noAutofit/>
                        </wps:bodyPr>
                      </wps:wsp>
                      <wps:wsp>
                        <wps:cNvPr id="19754" name="Rectangle 19754"/>
                        <wps:cNvSpPr/>
                        <wps:spPr>
                          <a:xfrm rot="-10799999">
                            <a:off x="-1317249" y="5873305"/>
                            <a:ext cx="5309006" cy="142889"/>
                          </a:xfrm>
                          <a:prstGeom prst="rect">
                            <a:avLst/>
                          </a:prstGeom>
                          <a:ln>
                            <a:noFill/>
                          </a:ln>
                        </wps:spPr>
                        <wps:txbx>
                          <w:txbxContent>
                            <w:p w14:paraId="3B2B04BD" w14:textId="77777777" w:rsidR="00B32EF2" w:rsidRDefault="00000000">
                              <w:r>
                                <w:rPr>
                                  <w:rFonts w:ascii="Arial" w:eastAsia="Arial" w:hAnsi="Arial" w:cs="Arial"/>
                                  <w:sz w:val="18"/>
                                </w:rPr>
                                <w:t xml:space="preserve">impositori e davanti le corti di giustizia tributaria per un periodo di due anni </w:t>
                              </w:r>
                            </w:p>
                          </w:txbxContent>
                        </wps:txbx>
                        <wps:bodyPr horzOverflow="overflow" vert="horz" lIns="0" tIns="0" rIns="0" bIns="0" rtlCol="0">
                          <a:noAutofit/>
                        </wps:bodyPr>
                      </wps:wsp>
                      <wps:wsp>
                        <wps:cNvPr id="19755" name="Rectangle 19755"/>
                        <wps:cNvSpPr/>
                        <wps:spPr>
                          <a:xfrm rot="-10799999">
                            <a:off x="695346" y="5749976"/>
                            <a:ext cx="3296411" cy="142889"/>
                          </a:xfrm>
                          <a:prstGeom prst="rect">
                            <a:avLst/>
                          </a:prstGeom>
                          <a:ln>
                            <a:noFill/>
                          </a:ln>
                        </wps:spPr>
                        <wps:txbx>
                          <w:txbxContent>
                            <w:p w14:paraId="45494359" w14:textId="77777777" w:rsidR="00B32EF2" w:rsidRDefault="00000000">
                              <w:r>
                                <w:rPr>
                                  <w:rFonts w:ascii="Arial" w:eastAsia="Arial" w:hAnsi="Arial" w:cs="Arial"/>
                                  <w:sz w:val="18"/>
                                </w:rPr>
                                <w:t xml:space="preserve">dalla data di cessazione del rapporto d’impiego. </w:t>
                              </w:r>
                            </w:p>
                          </w:txbxContent>
                        </wps:txbx>
                        <wps:bodyPr horzOverflow="overflow" vert="horz" lIns="0" tIns="0" rIns="0" bIns="0" rtlCol="0">
                          <a:noAutofit/>
                        </wps:bodyPr>
                      </wps:wsp>
                      <wps:wsp>
                        <wps:cNvPr id="201099" name="Rectangle 201099"/>
                        <wps:cNvSpPr/>
                        <wps:spPr>
                          <a:xfrm rot="-10799999">
                            <a:off x="-1342981" y="5626646"/>
                            <a:ext cx="5212048" cy="142889"/>
                          </a:xfrm>
                          <a:prstGeom prst="rect">
                            <a:avLst/>
                          </a:prstGeom>
                          <a:ln>
                            <a:noFill/>
                          </a:ln>
                        </wps:spPr>
                        <wps:txbx>
                          <w:txbxContent>
                            <w:p w14:paraId="51E9E6B0" w14:textId="77777777" w:rsidR="00B32EF2" w:rsidRDefault="00000000">
                              <w:r>
                                <w:rPr>
                                  <w:rFonts w:ascii="Arial" w:eastAsia="Arial" w:hAnsi="Arial" w:cs="Arial"/>
                                  <w:sz w:val="18"/>
                                </w:rPr>
                                <w:t>. L’esercizio delle funzioni di rappresentanza e assistenza in violazione dei com</w:t>
                              </w:r>
                            </w:p>
                          </w:txbxContent>
                        </wps:txbx>
                        <wps:bodyPr horzOverflow="overflow" vert="horz" lIns="0" tIns="0" rIns="0" bIns="0" rtlCol="0">
                          <a:noAutofit/>
                        </wps:bodyPr>
                      </wps:wsp>
                      <wps:wsp>
                        <wps:cNvPr id="201096" name="Rectangle 201096"/>
                        <wps:cNvSpPr/>
                        <wps:spPr>
                          <a:xfrm rot="-10799999">
                            <a:off x="2575452" y="5626646"/>
                            <a:ext cx="5212048" cy="142889"/>
                          </a:xfrm>
                          <a:prstGeom prst="rect">
                            <a:avLst/>
                          </a:prstGeom>
                          <a:ln>
                            <a:noFill/>
                          </a:ln>
                        </wps:spPr>
                        <wps:txbx>
                          <w:txbxContent>
                            <w:p w14:paraId="668D155B" w14:textId="77777777" w:rsidR="00B32EF2" w:rsidRDefault="00000000">
                              <w:r>
                                <w:rPr>
                                  <w:rFonts w:ascii="Arial" w:eastAsia="Arial" w:hAnsi="Arial" w:cs="Arial"/>
                                  <w:sz w:val="18"/>
                                </w:rPr>
                                <w:t>14</w:t>
                              </w:r>
                            </w:p>
                          </w:txbxContent>
                        </wps:txbx>
                        <wps:bodyPr horzOverflow="overflow" vert="horz" lIns="0" tIns="0" rIns="0" bIns="0" rtlCol="0">
                          <a:noAutofit/>
                        </wps:bodyPr>
                      </wps:wsp>
                      <wps:wsp>
                        <wps:cNvPr id="19757" name="Rectangle 19757"/>
                        <wps:cNvSpPr/>
                        <wps:spPr>
                          <a:xfrm rot="-10799999">
                            <a:off x="19158" y="5626646"/>
                            <a:ext cx="50622" cy="142889"/>
                          </a:xfrm>
                          <a:prstGeom prst="rect">
                            <a:avLst/>
                          </a:prstGeom>
                          <a:ln>
                            <a:noFill/>
                          </a:ln>
                        </wps:spPr>
                        <wps:txbx>
                          <w:txbxContent>
                            <w:p w14:paraId="3E9EA2A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758" name="Rectangle 19758"/>
                        <wps:cNvSpPr/>
                        <wps:spPr>
                          <a:xfrm rot="-10799999">
                            <a:off x="-1142037" y="5503316"/>
                            <a:ext cx="5131508" cy="142889"/>
                          </a:xfrm>
                          <a:prstGeom prst="rect">
                            <a:avLst/>
                          </a:prstGeom>
                          <a:ln>
                            <a:noFill/>
                          </a:ln>
                        </wps:spPr>
                        <wps:txbx>
                          <w:txbxContent>
                            <w:p w14:paraId="232BCBB6" w14:textId="77777777" w:rsidR="00B32EF2" w:rsidRDefault="00000000">
                              <w:r>
                                <w:rPr>
                                  <w:rFonts w:ascii="Arial" w:eastAsia="Arial" w:hAnsi="Arial" w:cs="Arial"/>
                                  <w:sz w:val="18"/>
                                </w:rPr>
                                <w:t>mi 12 e 13 è punito con la sanzione amministrativa da euro 1.000 a euro 5.000.</w:t>
                              </w:r>
                            </w:p>
                          </w:txbxContent>
                        </wps:txbx>
                        <wps:bodyPr horzOverflow="overflow" vert="horz" lIns="0" tIns="0" rIns="0" bIns="0" rtlCol="0">
                          <a:noAutofit/>
                        </wps:bodyPr>
                      </wps:wsp>
                      <wps:wsp>
                        <wps:cNvPr id="208016" name="Shape 208016"/>
                        <wps:cNvSpPr/>
                        <wps:spPr>
                          <a:xfrm>
                            <a:off x="31756" y="473194"/>
                            <a:ext cx="3960000" cy="5008702"/>
                          </a:xfrm>
                          <a:custGeom>
                            <a:avLst/>
                            <a:gdLst/>
                            <a:ahLst/>
                            <a:cxnLst/>
                            <a:rect l="0" t="0" r="0" b="0"/>
                            <a:pathLst>
                              <a:path w="3960000" h="5008702">
                                <a:moveTo>
                                  <a:pt x="0" y="0"/>
                                </a:moveTo>
                                <a:lnTo>
                                  <a:pt x="3960000" y="0"/>
                                </a:lnTo>
                                <a:lnTo>
                                  <a:pt x="3960000" y="5008702"/>
                                </a:lnTo>
                                <a:lnTo>
                                  <a:pt x="0" y="5008702"/>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19760" name="Rectangle 19760"/>
                        <wps:cNvSpPr/>
                        <wps:spPr>
                          <a:xfrm rot="-10799999">
                            <a:off x="2328741" y="5260664"/>
                            <a:ext cx="1585695" cy="142889"/>
                          </a:xfrm>
                          <a:prstGeom prst="rect">
                            <a:avLst/>
                          </a:prstGeom>
                          <a:ln>
                            <a:noFill/>
                          </a:ln>
                        </wps:spPr>
                        <wps:txbx>
                          <w:txbxContent>
                            <w:p w14:paraId="53C5B881"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19761" name="Rectangle 19761"/>
                        <wps:cNvSpPr/>
                        <wps:spPr>
                          <a:xfrm rot="-10799999">
                            <a:off x="-1186277" y="5137334"/>
                            <a:ext cx="5096255" cy="142889"/>
                          </a:xfrm>
                          <a:prstGeom prst="rect">
                            <a:avLst/>
                          </a:prstGeom>
                          <a:ln>
                            <a:noFill/>
                          </a:ln>
                        </wps:spPr>
                        <wps:txbx>
                          <w:txbxContent>
                            <w:p w14:paraId="44A22EFA" w14:textId="77777777" w:rsidR="00B32EF2" w:rsidRDefault="00000000">
                              <w:r>
                                <w:rPr>
                                  <w:rFonts w:ascii="Arial" w:eastAsia="Arial" w:hAnsi="Arial" w:cs="Arial"/>
                                  <w:i/>
                                  <w:sz w:val="18"/>
                                </w:rPr>
                                <w:t xml:space="preserve">art. 53 D.lgs. 446/1997 “Albo per l’accertamento e riscossione delle entrate </w:t>
                              </w:r>
                            </w:p>
                          </w:txbxContent>
                        </wps:txbx>
                        <wps:bodyPr horzOverflow="overflow" vert="horz" lIns="0" tIns="0" rIns="0" bIns="0" rtlCol="0">
                          <a:noAutofit/>
                        </wps:bodyPr>
                      </wps:wsp>
                      <wps:wsp>
                        <wps:cNvPr id="19762" name="Rectangle 19762"/>
                        <wps:cNvSpPr/>
                        <wps:spPr>
                          <a:xfrm rot="-10799999">
                            <a:off x="2846600" y="5014005"/>
                            <a:ext cx="1067949" cy="142889"/>
                          </a:xfrm>
                          <a:prstGeom prst="rect">
                            <a:avLst/>
                          </a:prstGeom>
                          <a:ln>
                            <a:noFill/>
                          </a:ln>
                        </wps:spPr>
                        <wps:txbx>
                          <w:txbxContent>
                            <w:p w14:paraId="635A6CEE" w14:textId="77777777" w:rsidR="00B32EF2" w:rsidRDefault="00000000">
                              <w:r>
                                <w:rPr>
                                  <w:rFonts w:ascii="Arial" w:eastAsia="Arial" w:hAnsi="Arial" w:cs="Arial"/>
                                  <w:i/>
                                  <w:sz w:val="18"/>
                                </w:rPr>
                                <w:t>degli enti locali”</w:t>
                              </w:r>
                            </w:p>
                          </w:txbxContent>
                        </wps:txbx>
                        <wps:bodyPr horzOverflow="overflow" vert="horz" lIns="0" tIns="0" rIns="0" bIns="0" rtlCol="0">
                          <a:noAutofit/>
                        </wps:bodyPr>
                      </wps:wsp>
                      <wps:wsp>
                        <wps:cNvPr id="19763" name="Rectangle 19763"/>
                        <wps:cNvSpPr/>
                        <wps:spPr>
                          <a:xfrm rot="-10799999">
                            <a:off x="-580625" y="4890675"/>
                            <a:ext cx="4494032" cy="142889"/>
                          </a:xfrm>
                          <a:prstGeom prst="rect">
                            <a:avLst/>
                          </a:prstGeom>
                          <a:ln>
                            <a:noFill/>
                          </a:ln>
                        </wps:spPr>
                        <wps:txbx>
                          <w:txbxContent>
                            <w:p w14:paraId="09C2BC5A" w14:textId="77777777" w:rsidR="00B32EF2" w:rsidRDefault="00000000">
                              <w:r>
                                <w:rPr>
                                  <w:rFonts w:ascii="Arial" w:eastAsia="Arial" w:hAnsi="Arial" w:cs="Arial"/>
                                  <w:i/>
                                  <w:sz w:val="18"/>
                                </w:rPr>
                                <w:t xml:space="preserve">art. 30 dpr. 636/1972: “Rappresentanza e difesa del contribuente” </w:t>
                              </w:r>
                            </w:p>
                          </w:txbxContent>
                        </wps:txbx>
                        <wps:bodyPr horzOverflow="overflow" vert="horz" lIns="0" tIns="0" rIns="0" bIns="0" rtlCol="0">
                          <a:noAutofit/>
                        </wps:bodyPr>
                      </wps:wsp>
                      <wps:wsp>
                        <wps:cNvPr id="201082" name="Rectangle 201082"/>
                        <wps:cNvSpPr/>
                        <wps:spPr>
                          <a:xfrm rot="-10799999">
                            <a:off x="2608101" y="4767345"/>
                            <a:ext cx="5004648" cy="142889"/>
                          </a:xfrm>
                          <a:prstGeom prst="rect">
                            <a:avLst/>
                          </a:prstGeom>
                          <a:ln>
                            <a:noFill/>
                          </a:ln>
                        </wps:spPr>
                        <wps:txbx>
                          <w:txbxContent>
                            <w:p w14:paraId="095CF62D"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087" name="Rectangle 201087"/>
                        <wps:cNvSpPr/>
                        <wps:spPr>
                          <a:xfrm rot="-10799999">
                            <a:off x="-1150643" y="4767345"/>
                            <a:ext cx="5004648" cy="142889"/>
                          </a:xfrm>
                          <a:prstGeom prst="rect">
                            <a:avLst/>
                          </a:prstGeom>
                          <a:ln>
                            <a:noFill/>
                          </a:ln>
                        </wps:spPr>
                        <wps:txbx>
                          <w:txbxContent>
                            <w:p w14:paraId="5C04C7A6" w14:textId="77777777" w:rsidR="00B32EF2" w:rsidRDefault="00000000">
                              <w:r>
                                <w:rPr>
                                  <w:rFonts w:ascii="Arial" w:eastAsia="Arial" w:hAnsi="Arial" w:cs="Arial"/>
                                  <w:i/>
                                  <w:sz w:val="18"/>
                                </w:rPr>
                                <w:t>. Il   ricorrente,  l’intervenuto   ed  il  chiamato  in  giudizio  davanti alla com</w:t>
                              </w:r>
                            </w:p>
                          </w:txbxContent>
                        </wps:txbx>
                        <wps:bodyPr horzOverflow="overflow" vert="horz" lIns="0" tIns="0" rIns="0" bIns="0" rtlCol="0">
                          <a:noAutofit/>
                        </wps:bodyPr>
                      </wps:wsp>
                      <wps:wsp>
                        <wps:cNvPr id="19765" name="Rectangle 19765"/>
                        <wps:cNvSpPr/>
                        <wps:spPr>
                          <a:xfrm rot="-10799999">
                            <a:off x="97512" y="4767346"/>
                            <a:ext cx="50622" cy="142889"/>
                          </a:xfrm>
                          <a:prstGeom prst="rect">
                            <a:avLst/>
                          </a:prstGeom>
                          <a:ln>
                            <a:noFill/>
                          </a:ln>
                        </wps:spPr>
                        <wps:txbx>
                          <w:txbxContent>
                            <w:p w14:paraId="510E2E1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766" name="Rectangle 19766"/>
                        <wps:cNvSpPr/>
                        <wps:spPr>
                          <a:xfrm rot="-10799999">
                            <a:off x="-1089022" y="4644016"/>
                            <a:ext cx="5002429" cy="142889"/>
                          </a:xfrm>
                          <a:prstGeom prst="rect">
                            <a:avLst/>
                          </a:prstGeom>
                          <a:ln>
                            <a:noFill/>
                          </a:ln>
                        </wps:spPr>
                        <wps:txbx>
                          <w:txbxContent>
                            <w:p w14:paraId="6BCD3D52" w14:textId="77777777" w:rsidR="00B32EF2" w:rsidRDefault="00000000">
                              <w:r>
                                <w:rPr>
                                  <w:rFonts w:ascii="Arial" w:eastAsia="Arial" w:hAnsi="Arial" w:cs="Arial"/>
                                  <w:i/>
                                  <w:sz w:val="18"/>
                                </w:rPr>
                                <w:t>missione  Tributaria possono  agire personalmente  o  mediante  procurato</w:t>
                              </w:r>
                            </w:p>
                          </w:txbxContent>
                        </wps:txbx>
                        <wps:bodyPr horzOverflow="overflow" vert="horz" lIns="0" tIns="0" rIns="0" bIns="0" rtlCol="0">
                          <a:noAutofit/>
                        </wps:bodyPr>
                      </wps:wsp>
                      <wps:wsp>
                        <wps:cNvPr id="19767" name="Rectangle 19767"/>
                        <wps:cNvSpPr/>
                        <wps:spPr>
                          <a:xfrm rot="-10799999">
                            <a:off x="97512" y="4644016"/>
                            <a:ext cx="50622" cy="142889"/>
                          </a:xfrm>
                          <a:prstGeom prst="rect">
                            <a:avLst/>
                          </a:prstGeom>
                          <a:ln>
                            <a:noFill/>
                          </a:ln>
                        </wps:spPr>
                        <wps:txbx>
                          <w:txbxContent>
                            <w:p w14:paraId="5F49E45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768" name="Rectangle 19768"/>
                        <wps:cNvSpPr/>
                        <wps:spPr>
                          <a:xfrm rot="-10799999">
                            <a:off x="-1187818" y="4520686"/>
                            <a:ext cx="5101454" cy="142889"/>
                          </a:xfrm>
                          <a:prstGeom prst="rect">
                            <a:avLst/>
                          </a:prstGeom>
                          <a:ln>
                            <a:noFill/>
                          </a:ln>
                        </wps:spPr>
                        <wps:txbx>
                          <w:txbxContent>
                            <w:p w14:paraId="3C296E55" w14:textId="77777777" w:rsidR="00B32EF2" w:rsidRDefault="00000000">
                              <w:r>
                                <w:rPr>
                                  <w:rFonts w:ascii="Arial" w:eastAsia="Arial" w:hAnsi="Arial" w:cs="Arial"/>
                                  <w:i/>
                                  <w:sz w:val="18"/>
                                </w:rPr>
                                <w:t xml:space="preserve">re generale o speciale. La   procedura  speciale   può essere conferita con </w:t>
                              </w:r>
                            </w:p>
                          </w:txbxContent>
                        </wps:txbx>
                        <wps:bodyPr horzOverflow="overflow" vert="horz" lIns="0" tIns="0" rIns="0" bIns="0" rtlCol="0">
                          <a:noAutofit/>
                        </wps:bodyPr>
                      </wps:wsp>
                      <wps:wsp>
                        <wps:cNvPr id="19769" name="Rectangle 19769"/>
                        <wps:cNvSpPr/>
                        <wps:spPr>
                          <a:xfrm rot="-10799999">
                            <a:off x="-1190427" y="4397356"/>
                            <a:ext cx="5112521" cy="142889"/>
                          </a:xfrm>
                          <a:prstGeom prst="rect">
                            <a:avLst/>
                          </a:prstGeom>
                          <a:ln>
                            <a:noFill/>
                          </a:ln>
                        </wps:spPr>
                        <wps:txbx>
                          <w:txbxContent>
                            <w:p w14:paraId="23E2A71D" w14:textId="77777777" w:rsidR="00B32EF2" w:rsidRDefault="00000000">
                              <w:r>
                                <w:rPr>
                                  <w:rFonts w:ascii="Arial" w:eastAsia="Arial" w:hAnsi="Arial" w:cs="Arial"/>
                                  <w:i/>
                                  <w:sz w:val="18"/>
                                </w:rPr>
                                <w:t xml:space="preserve">atto pubblico o scrittura privata  autenticata;  con  scrittura privata anche </w:t>
                              </w:r>
                            </w:p>
                          </w:txbxContent>
                        </wps:txbx>
                        <wps:bodyPr horzOverflow="overflow" vert="horz" lIns="0" tIns="0" rIns="0" bIns="0" rtlCol="0">
                          <a:noAutofit/>
                        </wps:bodyPr>
                      </wps:wsp>
                      <wps:wsp>
                        <wps:cNvPr id="19770" name="Rectangle 19770"/>
                        <wps:cNvSpPr/>
                        <wps:spPr>
                          <a:xfrm rot="-10799999">
                            <a:off x="-1186512" y="4274027"/>
                            <a:ext cx="5096832" cy="142889"/>
                          </a:xfrm>
                          <a:prstGeom prst="rect">
                            <a:avLst/>
                          </a:prstGeom>
                          <a:ln>
                            <a:noFill/>
                          </a:ln>
                        </wps:spPr>
                        <wps:txbx>
                          <w:txbxContent>
                            <w:p w14:paraId="15F5C0DB" w14:textId="77777777" w:rsidR="00B32EF2" w:rsidRDefault="00000000">
                              <w:r>
                                <w:rPr>
                                  <w:rFonts w:ascii="Arial" w:eastAsia="Arial" w:hAnsi="Arial" w:cs="Arial"/>
                                  <w:i/>
                                  <w:sz w:val="18"/>
                                </w:rPr>
                                <w:t xml:space="preserve">non autenticata al coniuge e   a parenti  o affini entro il quarto grado,  ai soli </w:t>
                              </w:r>
                            </w:p>
                          </w:txbxContent>
                        </wps:txbx>
                        <wps:bodyPr horzOverflow="overflow" vert="horz" lIns="0" tIns="0" rIns="0" bIns="0" rtlCol="0">
                          <a:noAutofit/>
                        </wps:bodyPr>
                      </wps:wsp>
                      <wps:wsp>
                        <wps:cNvPr id="19771" name="Rectangle 19771"/>
                        <wps:cNvSpPr/>
                        <wps:spPr>
                          <a:xfrm rot="-10799999">
                            <a:off x="2072548" y="4150697"/>
                            <a:ext cx="1840859" cy="142889"/>
                          </a:xfrm>
                          <a:prstGeom prst="rect">
                            <a:avLst/>
                          </a:prstGeom>
                          <a:ln>
                            <a:noFill/>
                          </a:ln>
                        </wps:spPr>
                        <wps:txbx>
                          <w:txbxContent>
                            <w:p w14:paraId="2AD8071F" w14:textId="77777777" w:rsidR="00B32EF2" w:rsidRDefault="00000000">
                              <w:r>
                                <w:rPr>
                                  <w:rFonts w:ascii="Arial" w:eastAsia="Arial" w:hAnsi="Arial" w:cs="Arial"/>
                                  <w:i/>
                                  <w:sz w:val="18"/>
                                </w:rPr>
                                <w:t>fini della discussione orale.</w:t>
                              </w:r>
                            </w:p>
                          </w:txbxContent>
                        </wps:txbx>
                        <wps:bodyPr horzOverflow="overflow" vert="horz" lIns="0" tIns="0" rIns="0" bIns="0" rtlCol="0">
                          <a:noAutofit/>
                        </wps:bodyPr>
                      </wps:wsp>
                      <wps:wsp>
                        <wps:cNvPr id="201078" name="Rectangle 201078"/>
                        <wps:cNvSpPr/>
                        <wps:spPr>
                          <a:xfrm rot="-10799999">
                            <a:off x="2608312" y="4027367"/>
                            <a:ext cx="5003797" cy="142889"/>
                          </a:xfrm>
                          <a:prstGeom prst="rect">
                            <a:avLst/>
                          </a:prstGeom>
                          <a:ln>
                            <a:noFill/>
                          </a:ln>
                        </wps:spPr>
                        <wps:txbx>
                          <w:txbxContent>
                            <w:p w14:paraId="614B0D6B"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080" name="Rectangle 201080"/>
                        <wps:cNvSpPr/>
                        <wps:spPr>
                          <a:xfrm rot="-10799999">
                            <a:off x="-1155118" y="4027367"/>
                            <a:ext cx="5003797" cy="142889"/>
                          </a:xfrm>
                          <a:prstGeom prst="rect">
                            <a:avLst/>
                          </a:prstGeom>
                          <a:ln>
                            <a:noFill/>
                          </a:ln>
                        </wps:spPr>
                        <wps:txbx>
                          <w:txbxContent>
                            <w:p w14:paraId="42A08E46" w14:textId="77777777" w:rsidR="00B32EF2" w:rsidRDefault="00000000">
                              <w:r>
                                <w:rPr>
                                  <w:rFonts w:ascii="Arial" w:eastAsia="Arial" w:hAnsi="Arial" w:cs="Arial"/>
                                  <w:i/>
                                  <w:sz w:val="18"/>
                                </w:rPr>
                                <w:t>. Sia la  parte che il procuratore generale o speciale possono farsi assiste</w:t>
                              </w:r>
                            </w:p>
                          </w:txbxContent>
                        </wps:txbx>
                        <wps:bodyPr horzOverflow="overflow" vert="horz" lIns="0" tIns="0" rIns="0" bIns="0" rtlCol="0">
                          <a:noAutofit/>
                        </wps:bodyPr>
                      </wps:wsp>
                      <wps:wsp>
                        <wps:cNvPr id="19773" name="Rectangle 19773"/>
                        <wps:cNvSpPr/>
                        <wps:spPr>
                          <a:xfrm rot="-10799999">
                            <a:off x="97512" y="4027367"/>
                            <a:ext cx="50622" cy="142889"/>
                          </a:xfrm>
                          <a:prstGeom prst="rect">
                            <a:avLst/>
                          </a:prstGeom>
                          <a:ln>
                            <a:noFill/>
                          </a:ln>
                        </wps:spPr>
                        <wps:txbx>
                          <w:txbxContent>
                            <w:p w14:paraId="34A35EC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774" name="Rectangle 19774"/>
                        <wps:cNvSpPr/>
                        <wps:spPr>
                          <a:xfrm rot="-10799999">
                            <a:off x="-1185690" y="3904037"/>
                            <a:ext cx="5093153" cy="142889"/>
                          </a:xfrm>
                          <a:prstGeom prst="rect">
                            <a:avLst/>
                          </a:prstGeom>
                          <a:ln>
                            <a:noFill/>
                          </a:ln>
                        </wps:spPr>
                        <wps:txbx>
                          <w:txbxContent>
                            <w:p w14:paraId="4DBFFA9C" w14:textId="77777777" w:rsidR="00B32EF2" w:rsidRDefault="00000000">
                              <w:r>
                                <w:rPr>
                                  <w:rFonts w:ascii="Arial" w:eastAsia="Arial" w:hAnsi="Arial" w:cs="Arial"/>
                                  <w:i/>
                                  <w:sz w:val="18"/>
                                </w:rPr>
                                <w:t xml:space="preserve">re erappresentare in  giudizio da iscritti negli albi degli avvocati, procuratori, </w:t>
                              </w:r>
                            </w:p>
                          </w:txbxContent>
                        </wps:txbx>
                        <wps:bodyPr horzOverflow="overflow" vert="horz" lIns="0" tIns="0" rIns="0" bIns="0" rtlCol="0">
                          <a:noAutofit/>
                        </wps:bodyPr>
                      </wps:wsp>
                      <wps:wsp>
                        <wps:cNvPr id="19775" name="Rectangle 19775"/>
                        <wps:cNvSpPr/>
                        <wps:spPr>
                          <a:xfrm rot="-10799999">
                            <a:off x="-1091195" y="3780708"/>
                            <a:ext cx="5004603" cy="142889"/>
                          </a:xfrm>
                          <a:prstGeom prst="rect">
                            <a:avLst/>
                          </a:prstGeom>
                          <a:ln>
                            <a:noFill/>
                          </a:ln>
                        </wps:spPr>
                        <wps:txbx>
                          <w:txbxContent>
                            <w:p w14:paraId="28352C9B" w14:textId="77777777" w:rsidR="00B32EF2" w:rsidRDefault="00000000">
                              <w:r>
                                <w:rPr>
                                  <w:rFonts w:ascii="Arial" w:eastAsia="Arial" w:hAnsi="Arial" w:cs="Arial"/>
                                  <w:i/>
                                  <w:sz w:val="18"/>
                                </w:rPr>
                                <w:t>notai, dottori   commercialisti,   ingegneri,  architetti, dottori in agraria, ra</w:t>
                              </w:r>
                            </w:p>
                          </w:txbxContent>
                        </wps:txbx>
                        <wps:bodyPr horzOverflow="overflow" vert="horz" lIns="0" tIns="0" rIns="0" bIns="0" rtlCol="0">
                          <a:noAutofit/>
                        </wps:bodyPr>
                      </wps:wsp>
                      <wps:wsp>
                        <wps:cNvPr id="19776" name="Rectangle 19776"/>
                        <wps:cNvSpPr/>
                        <wps:spPr>
                          <a:xfrm rot="-10799999">
                            <a:off x="97512" y="3780708"/>
                            <a:ext cx="50622" cy="142889"/>
                          </a:xfrm>
                          <a:prstGeom prst="rect">
                            <a:avLst/>
                          </a:prstGeom>
                          <a:ln>
                            <a:noFill/>
                          </a:ln>
                        </wps:spPr>
                        <wps:txbx>
                          <w:txbxContent>
                            <w:p w14:paraId="74C6C87F"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777" name="Rectangle 19777"/>
                        <wps:cNvSpPr/>
                        <wps:spPr>
                          <a:xfrm rot="-10799999">
                            <a:off x="-1186716" y="3657378"/>
                            <a:ext cx="5097152" cy="142889"/>
                          </a:xfrm>
                          <a:prstGeom prst="rect">
                            <a:avLst/>
                          </a:prstGeom>
                          <a:ln>
                            <a:noFill/>
                          </a:ln>
                        </wps:spPr>
                        <wps:txbx>
                          <w:txbxContent>
                            <w:p w14:paraId="60D5C948" w14:textId="77777777" w:rsidR="00B32EF2" w:rsidRDefault="00000000">
                              <w:r>
                                <w:rPr>
                                  <w:rFonts w:ascii="Arial" w:eastAsia="Arial" w:hAnsi="Arial" w:cs="Arial"/>
                                  <w:i/>
                                  <w:sz w:val="18"/>
                                </w:rPr>
                                <w:t xml:space="preserve">gionieri, geometri,    periti    edili,   periti industriali, periti agrari, agrotecnici, </w:t>
                              </w:r>
                            </w:p>
                          </w:txbxContent>
                        </wps:txbx>
                        <wps:bodyPr horzOverflow="overflow" vert="horz" lIns="0" tIns="0" rIns="0" bIns="0" rtlCol="0">
                          <a:noAutofit/>
                        </wps:bodyPr>
                      </wps:wsp>
                      <wps:wsp>
                        <wps:cNvPr id="19778" name="Rectangle 19778"/>
                        <wps:cNvSpPr/>
                        <wps:spPr>
                          <a:xfrm rot="-10799999">
                            <a:off x="-1192382" y="3534048"/>
                            <a:ext cx="5123390" cy="142889"/>
                          </a:xfrm>
                          <a:prstGeom prst="rect">
                            <a:avLst/>
                          </a:prstGeom>
                          <a:ln>
                            <a:noFill/>
                          </a:ln>
                        </wps:spPr>
                        <wps:txbx>
                          <w:txbxContent>
                            <w:p w14:paraId="4BD3126F" w14:textId="77777777" w:rsidR="00B32EF2" w:rsidRDefault="00000000">
                              <w:r>
                                <w:rPr>
                                  <w:rFonts w:ascii="Arial" w:eastAsia="Arial" w:hAnsi="Arial" w:cs="Arial"/>
                                  <w:i/>
                                  <w:sz w:val="18"/>
                                </w:rPr>
                                <w:t xml:space="preserve">consulenti    del    lavoro,  spedizionieri doganali, da iscritti nell’elenco </w:t>
                              </w:r>
                            </w:p>
                          </w:txbxContent>
                        </wps:txbx>
                        <wps:bodyPr horzOverflow="overflow" vert="horz" lIns="0" tIns="0" rIns="0" bIns="0" rtlCol="0">
                          <a:noAutofit/>
                        </wps:bodyPr>
                      </wps:wsp>
                      <wps:wsp>
                        <wps:cNvPr id="19779" name="Rectangle 19779"/>
                        <wps:cNvSpPr/>
                        <wps:spPr>
                          <a:xfrm rot="-10799999">
                            <a:off x="-1190564" y="3410719"/>
                            <a:ext cx="5112658" cy="142889"/>
                          </a:xfrm>
                          <a:prstGeom prst="rect">
                            <a:avLst/>
                          </a:prstGeom>
                          <a:ln>
                            <a:noFill/>
                          </a:ln>
                        </wps:spPr>
                        <wps:txbx>
                          <w:txbxContent>
                            <w:p w14:paraId="21341F6C" w14:textId="77777777" w:rsidR="00B32EF2" w:rsidRDefault="00000000">
                              <w:r>
                                <w:rPr>
                                  <w:rFonts w:ascii="Arial" w:eastAsia="Arial" w:hAnsi="Arial" w:cs="Arial"/>
                                  <w:i/>
                                  <w:sz w:val="18"/>
                                </w:rPr>
                                <w:t xml:space="preserve">previsto   dalle   norme   vigenti,  delle persone autorizzate dal Ministero </w:t>
                              </w:r>
                            </w:p>
                          </w:txbxContent>
                        </wps:txbx>
                        <wps:bodyPr horzOverflow="overflow" vert="horz" lIns="0" tIns="0" rIns="0" bIns="0" rtlCol="0">
                          <a:noAutofit/>
                        </wps:bodyPr>
                      </wps:wsp>
                      <wps:wsp>
                        <wps:cNvPr id="19811" name="Rectangle 19811"/>
                        <wps:cNvSpPr/>
                        <wps:spPr>
                          <a:xfrm rot="-10799999">
                            <a:off x="-1155455" y="3287389"/>
                            <a:ext cx="5100648" cy="142889"/>
                          </a:xfrm>
                          <a:prstGeom prst="rect">
                            <a:avLst/>
                          </a:prstGeom>
                          <a:ln>
                            <a:noFill/>
                          </a:ln>
                        </wps:spPr>
                        <wps:txbx>
                          <w:txbxContent>
                            <w:p w14:paraId="6E79EC56" w14:textId="77777777" w:rsidR="00B32EF2" w:rsidRDefault="00000000">
                              <w:r>
                                <w:rPr>
                                  <w:rFonts w:ascii="Arial" w:eastAsia="Arial" w:hAnsi="Arial" w:cs="Arial"/>
                                  <w:i/>
                                  <w:sz w:val="18"/>
                                </w:rPr>
                                <w:t>delle finanze, nonchè da funzionari delle associazioni di categoria iscritti in</w:t>
                              </w:r>
                            </w:p>
                          </w:txbxContent>
                        </wps:txbx>
                        <wps:bodyPr horzOverflow="overflow" vert="horz" lIns="0" tIns="0" rIns="0" bIns="0" rtlCol="0">
                          <a:noAutofit/>
                        </wps:bodyPr>
                      </wps:wsp>
                      <wps:wsp>
                        <wps:cNvPr id="19812" name="Rectangle 19812"/>
                        <wps:cNvSpPr/>
                        <wps:spPr>
                          <a:xfrm rot="-10799999">
                            <a:off x="-4990540" y="3287389"/>
                            <a:ext cx="5100648" cy="142889"/>
                          </a:xfrm>
                          <a:prstGeom prst="rect">
                            <a:avLst/>
                          </a:prstGeom>
                          <a:ln>
                            <a:noFill/>
                          </a:ln>
                        </wps:spPr>
                        <wps:txbx>
                          <w:txbxContent>
                            <w:p w14:paraId="1C7914D7" w14:textId="77777777" w:rsidR="00B32EF2" w:rsidRDefault="00000000">
                              <w:r>
                                <w:rPr>
                                  <w:rFonts w:ascii="Arial" w:eastAsia="Arial" w:hAnsi="Arial" w:cs="Arial"/>
                                  <w:i/>
                                  <w:sz w:val="18"/>
                                </w:rPr>
                                <w:t xml:space="preserve"> </w:t>
                              </w:r>
                            </w:p>
                          </w:txbxContent>
                        </wps:txbx>
                        <wps:bodyPr horzOverflow="overflow" vert="horz" lIns="0" tIns="0" rIns="0" bIns="0" rtlCol="0">
                          <a:noAutofit/>
                        </wps:bodyPr>
                      </wps:wsp>
                      <wps:wsp>
                        <wps:cNvPr id="19781" name="Rectangle 19781"/>
                        <wps:cNvSpPr/>
                        <wps:spPr>
                          <a:xfrm rot="-10799999">
                            <a:off x="-1117434" y="3164059"/>
                            <a:ext cx="5030841" cy="142889"/>
                          </a:xfrm>
                          <a:prstGeom prst="rect">
                            <a:avLst/>
                          </a:prstGeom>
                          <a:ln>
                            <a:noFill/>
                          </a:ln>
                        </wps:spPr>
                        <wps:txbx>
                          <w:txbxContent>
                            <w:p w14:paraId="53BA6FCE" w14:textId="77777777" w:rsidR="00B32EF2" w:rsidRDefault="00000000">
                              <w:r>
                                <w:rPr>
                                  <w:rFonts w:ascii="Arial" w:eastAsia="Arial" w:hAnsi="Arial" w:cs="Arial"/>
                                  <w:i/>
                                  <w:sz w:val="18"/>
                                </w:rPr>
                                <w:t>elenco  da tenersi presso l’intendenza di finanza competente per territorio.</w:t>
                              </w:r>
                            </w:p>
                          </w:txbxContent>
                        </wps:txbx>
                        <wps:bodyPr horzOverflow="overflow" vert="horz" lIns="0" tIns="0" rIns="0" bIns="0" rtlCol="0">
                          <a:noAutofit/>
                        </wps:bodyPr>
                      </wps:wsp>
                      <wps:wsp>
                        <wps:cNvPr id="201075" name="Rectangle 201075"/>
                        <wps:cNvSpPr/>
                        <wps:spPr>
                          <a:xfrm rot="-10799999">
                            <a:off x="-1253615" y="3040730"/>
                            <a:ext cx="5100695" cy="142889"/>
                          </a:xfrm>
                          <a:prstGeom prst="rect">
                            <a:avLst/>
                          </a:prstGeom>
                          <a:ln>
                            <a:noFill/>
                          </a:ln>
                        </wps:spPr>
                        <wps:txbx>
                          <w:txbxContent>
                            <w:p w14:paraId="2950C1A9" w14:textId="77777777" w:rsidR="00B32EF2" w:rsidRDefault="00000000">
                              <w:r>
                                <w:rPr>
                                  <w:rFonts w:ascii="Arial" w:eastAsia="Arial" w:hAnsi="Arial" w:cs="Arial"/>
                                  <w:i/>
                                  <w:sz w:val="18"/>
                                </w:rPr>
                                <w:t xml:space="preserve">. Se  l’incarico è  conferito in un atto del processo,  la firma è autenticata </w:t>
                              </w:r>
                            </w:p>
                          </w:txbxContent>
                        </wps:txbx>
                        <wps:bodyPr horzOverflow="overflow" vert="horz" lIns="0" tIns="0" rIns="0" bIns="0" rtlCol="0">
                          <a:noAutofit/>
                        </wps:bodyPr>
                      </wps:wsp>
                      <wps:wsp>
                        <wps:cNvPr id="201073" name="Rectangle 201073"/>
                        <wps:cNvSpPr/>
                        <wps:spPr>
                          <a:xfrm rot="-10799999">
                            <a:off x="2584270" y="3040730"/>
                            <a:ext cx="5100694" cy="142889"/>
                          </a:xfrm>
                          <a:prstGeom prst="rect">
                            <a:avLst/>
                          </a:prstGeom>
                          <a:ln>
                            <a:noFill/>
                          </a:ln>
                        </wps:spPr>
                        <wps:txbx>
                          <w:txbxContent>
                            <w:p w14:paraId="2D39977E"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19783" name="Rectangle 19783"/>
                        <wps:cNvSpPr/>
                        <wps:spPr>
                          <a:xfrm rot="-10799999">
                            <a:off x="-1187090" y="2917400"/>
                            <a:ext cx="5100040" cy="142889"/>
                          </a:xfrm>
                          <a:prstGeom prst="rect">
                            <a:avLst/>
                          </a:prstGeom>
                          <a:ln>
                            <a:noFill/>
                          </a:ln>
                        </wps:spPr>
                        <wps:txbx>
                          <w:txbxContent>
                            <w:p w14:paraId="58A77328" w14:textId="77777777" w:rsidR="00B32EF2" w:rsidRDefault="00000000">
                              <w:r>
                                <w:rPr>
                                  <w:rFonts w:ascii="Arial" w:eastAsia="Arial" w:hAnsi="Arial" w:cs="Arial"/>
                                  <w:i/>
                                  <w:sz w:val="18"/>
                                </w:rPr>
                                <w:t xml:space="preserve">dallo  stesso incaricato.   L’incarico può essere conferito oralmente e se ne </w:t>
                              </w:r>
                            </w:p>
                          </w:txbxContent>
                        </wps:txbx>
                        <wps:bodyPr horzOverflow="overflow" vert="horz" lIns="0" tIns="0" rIns="0" bIns="0" rtlCol="0">
                          <a:noAutofit/>
                        </wps:bodyPr>
                      </wps:wsp>
                      <wps:wsp>
                        <wps:cNvPr id="19784" name="Rectangle 19784"/>
                        <wps:cNvSpPr/>
                        <wps:spPr>
                          <a:xfrm rot="-10799999">
                            <a:off x="2728479" y="2794070"/>
                            <a:ext cx="1184927" cy="142889"/>
                          </a:xfrm>
                          <a:prstGeom prst="rect">
                            <a:avLst/>
                          </a:prstGeom>
                          <a:ln>
                            <a:noFill/>
                          </a:ln>
                        </wps:spPr>
                        <wps:txbx>
                          <w:txbxContent>
                            <w:p w14:paraId="48F5E80F" w14:textId="77777777" w:rsidR="00B32EF2" w:rsidRDefault="00000000">
                              <w:r>
                                <w:rPr>
                                  <w:rFonts w:ascii="Arial" w:eastAsia="Arial" w:hAnsi="Arial" w:cs="Arial"/>
                                  <w:i/>
                                  <w:sz w:val="18"/>
                                </w:rPr>
                                <w:t>dà atto a verbale.</w:t>
                              </w:r>
                            </w:p>
                          </w:txbxContent>
                        </wps:txbx>
                        <wps:bodyPr horzOverflow="overflow" vert="horz" lIns="0" tIns="0" rIns="0" bIns="0" rtlCol="0">
                          <a:noAutofit/>
                        </wps:bodyPr>
                      </wps:wsp>
                      <wps:wsp>
                        <wps:cNvPr id="19785" name="Rectangle 19785"/>
                        <wps:cNvSpPr/>
                        <wps:spPr>
                          <a:xfrm rot="-10799999">
                            <a:off x="-438730" y="2670741"/>
                            <a:ext cx="4352137" cy="142889"/>
                          </a:xfrm>
                          <a:prstGeom prst="rect">
                            <a:avLst/>
                          </a:prstGeom>
                          <a:ln>
                            <a:noFill/>
                          </a:ln>
                        </wps:spPr>
                        <wps:txbx>
                          <w:txbxContent>
                            <w:p w14:paraId="19A830F0" w14:textId="77777777" w:rsidR="00B32EF2" w:rsidRDefault="00000000">
                              <w:r>
                                <w:rPr>
                                  <w:rFonts w:ascii="Arial" w:eastAsia="Arial" w:hAnsi="Arial" w:cs="Arial"/>
                                  <w:i/>
                                  <w:sz w:val="18"/>
                                </w:rPr>
                                <w:t xml:space="preserve">art. 2359 codice civile  “Società controllate e società collegate.” </w:t>
                              </w:r>
                            </w:p>
                          </w:txbxContent>
                        </wps:txbx>
                        <wps:bodyPr horzOverflow="overflow" vert="horz" lIns="0" tIns="0" rIns="0" bIns="0" rtlCol="0">
                          <a:noAutofit/>
                        </wps:bodyPr>
                      </wps:wsp>
                      <wps:wsp>
                        <wps:cNvPr id="19786" name="Rectangle 19786"/>
                        <wps:cNvSpPr/>
                        <wps:spPr>
                          <a:xfrm rot="-10799999">
                            <a:off x="-1089295" y="2547411"/>
                            <a:ext cx="5002702" cy="142889"/>
                          </a:xfrm>
                          <a:prstGeom prst="rect">
                            <a:avLst/>
                          </a:prstGeom>
                          <a:ln>
                            <a:noFill/>
                          </a:ln>
                        </wps:spPr>
                        <wps:txbx>
                          <w:txbxContent>
                            <w:p w14:paraId="58176033" w14:textId="77777777" w:rsidR="00B32EF2" w:rsidRDefault="00000000">
                              <w:r>
                                <w:rPr>
                                  <w:rFonts w:ascii="Arial" w:eastAsia="Arial" w:hAnsi="Arial" w:cs="Arial"/>
                                  <w:i/>
                                  <w:sz w:val="18"/>
                                </w:rPr>
                                <w:t>art. 32 D.lgs. 241/1997 “Soggetti abilitati alla costituzione dei centri di as</w:t>
                              </w:r>
                            </w:p>
                          </w:txbxContent>
                        </wps:txbx>
                        <wps:bodyPr horzOverflow="overflow" vert="horz" lIns="0" tIns="0" rIns="0" bIns="0" rtlCol="0">
                          <a:noAutofit/>
                        </wps:bodyPr>
                      </wps:wsp>
                      <wps:wsp>
                        <wps:cNvPr id="19787" name="Rectangle 19787"/>
                        <wps:cNvSpPr/>
                        <wps:spPr>
                          <a:xfrm rot="-10799999">
                            <a:off x="97512" y="2547411"/>
                            <a:ext cx="50622" cy="142889"/>
                          </a:xfrm>
                          <a:prstGeom prst="rect">
                            <a:avLst/>
                          </a:prstGeom>
                          <a:ln>
                            <a:noFill/>
                          </a:ln>
                        </wps:spPr>
                        <wps:txbx>
                          <w:txbxContent>
                            <w:p w14:paraId="0C915EC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788" name="Rectangle 19788"/>
                        <wps:cNvSpPr/>
                        <wps:spPr>
                          <a:xfrm rot="-10799999">
                            <a:off x="2789302" y="2424082"/>
                            <a:ext cx="1124105" cy="142889"/>
                          </a:xfrm>
                          <a:prstGeom prst="rect">
                            <a:avLst/>
                          </a:prstGeom>
                          <a:ln>
                            <a:noFill/>
                          </a:ln>
                        </wps:spPr>
                        <wps:txbx>
                          <w:txbxContent>
                            <w:p w14:paraId="72FE8D3E" w14:textId="77777777" w:rsidR="00B32EF2" w:rsidRDefault="00000000">
                              <w:r>
                                <w:rPr>
                                  <w:rFonts w:ascii="Arial" w:eastAsia="Arial" w:hAnsi="Arial" w:cs="Arial"/>
                                  <w:i/>
                                  <w:sz w:val="18"/>
                                </w:rPr>
                                <w:t xml:space="preserve">sistenza fiscale. </w:t>
                              </w:r>
                            </w:p>
                          </w:txbxContent>
                        </wps:txbx>
                        <wps:bodyPr horzOverflow="overflow" vert="horz" lIns="0" tIns="0" rIns="0" bIns="0" rtlCol="0">
                          <a:noAutofit/>
                        </wps:bodyPr>
                      </wps:wsp>
                      <wps:wsp>
                        <wps:cNvPr id="19789" name="Rectangle 19789"/>
                        <wps:cNvSpPr/>
                        <wps:spPr>
                          <a:xfrm rot="-10799999">
                            <a:off x="-625242" y="2300752"/>
                            <a:ext cx="4538650" cy="142889"/>
                          </a:xfrm>
                          <a:prstGeom prst="rect">
                            <a:avLst/>
                          </a:prstGeom>
                          <a:ln>
                            <a:noFill/>
                          </a:ln>
                        </wps:spPr>
                        <wps:txbx>
                          <w:txbxContent>
                            <w:p w14:paraId="27B57C0D" w14:textId="77777777" w:rsidR="00B32EF2" w:rsidRDefault="00000000">
                              <w:r>
                                <w:rPr>
                                  <w:rFonts w:ascii="Arial" w:eastAsia="Arial" w:hAnsi="Arial" w:cs="Arial"/>
                                  <w:i/>
                                  <w:sz w:val="18"/>
                                </w:rPr>
                                <w:t xml:space="preserve">art. 22 D.lgs. 82/2005 “Copie informatiche di documenti analogici” </w:t>
                              </w:r>
                            </w:p>
                          </w:txbxContent>
                        </wps:txbx>
                        <wps:bodyPr horzOverflow="overflow" vert="horz" lIns="0" tIns="0" rIns="0" bIns="0" rtlCol="0">
                          <a:noAutofit/>
                        </wps:bodyPr>
                      </wps:wsp>
                      <wps:wsp>
                        <wps:cNvPr id="201069" name="Rectangle 201069"/>
                        <wps:cNvSpPr/>
                        <wps:spPr>
                          <a:xfrm rot="-10799999">
                            <a:off x="2581328" y="2177422"/>
                            <a:ext cx="5112552" cy="142889"/>
                          </a:xfrm>
                          <a:prstGeom prst="rect">
                            <a:avLst/>
                          </a:prstGeom>
                          <a:ln>
                            <a:noFill/>
                          </a:ln>
                        </wps:spPr>
                        <wps:txbx>
                          <w:txbxContent>
                            <w:p w14:paraId="4AE13704"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071" name="Rectangle 201071"/>
                        <wps:cNvSpPr/>
                        <wps:spPr>
                          <a:xfrm rot="-10799999">
                            <a:off x="-1249745" y="2177422"/>
                            <a:ext cx="5112552" cy="142889"/>
                          </a:xfrm>
                          <a:prstGeom prst="rect">
                            <a:avLst/>
                          </a:prstGeom>
                          <a:ln>
                            <a:noFill/>
                          </a:ln>
                        </wps:spPr>
                        <wps:txbx>
                          <w:txbxContent>
                            <w:p w14:paraId="0992ACDE" w14:textId="77777777" w:rsidR="00B32EF2" w:rsidRDefault="00000000">
                              <w:r>
                                <w:rPr>
                                  <w:rFonts w:ascii="Arial" w:eastAsia="Arial" w:hAnsi="Arial" w:cs="Arial"/>
                                  <w:i/>
                                  <w:sz w:val="18"/>
                                </w:rPr>
                                <w:t xml:space="preserve">.I documenti informatici contenenti copia di atti pubblici, scritture private </w:t>
                              </w:r>
                            </w:p>
                          </w:txbxContent>
                        </wps:txbx>
                        <wps:bodyPr horzOverflow="overflow" vert="horz" lIns="0" tIns="0" rIns="0" bIns="0" rtlCol="0">
                          <a:noAutofit/>
                        </wps:bodyPr>
                      </wps:wsp>
                      <wps:wsp>
                        <wps:cNvPr id="19791" name="Rectangle 19791"/>
                        <wps:cNvSpPr/>
                        <wps:spPr>
                          <a:xfrm rot="-10799999">
                            <a:off x="-1187489" y="2054092"/>
                            <a:ext cx="5102152" cy="142889"/>
                          </a:xfrm>
                          <a:prstGeom prst="rect">
                            <a:avLst/>
                          </a:prstGeom>
                          <a:ln>
                            <a:noFill/>
                          </a:ln>
                        </wps:spPr>
                        <wps:txbx>
                          <w:txbxContent>
                            <w:p w14:paraId="6EC540C7" w14:textId="77777777" w:rsidR="00B32EF2" w:rsidRDefault="00000000">
                              <w:r>
                                <w:rPr>
                                  <w:rFonts w:ascii="Arial" w:eastAsia="Arial" w:hAnsi="Arial" w:cs="Arial"/>
                                  <w:i/>
                                  <w:sz w:val="18"/>
                                </w:rPr>
                                <w:t xml:space="preserve">e documenti in genere, compresi gli atti e documenti amministrativi di ogni </w:t>
                              </w:r>
                            </w:p>
                          </w:txbxContent>
                        </wps:txbx>
                        <wps:bodyPr horzOverflow="overflow" vert="horz" lIns="0" tIns="0" rIns="0" bIns="0" rtlCol="0">
                          <a:noAutofit/>
                        </wps:bodyPr>
                      </wps:wsp>
                      <wps:wsp>
                        <wps:cNvPr id="19792" name="Rectangle 19792"/>
                        <wps:cNvSpPr/>
                        <wps:spPr>
                          <a:xfrm rot="-10799999">
                            <a:off x="-1089189" y="1930762"/>
                            <a:ext cx="5002596" cy="142889"/>
                          </a:xfrm>
                          <a:prstGeom prst="rect">
                            <a:avLst/>
                          </a:prstGeom>
                          <a:ln>
                            <a:noFill/>
                          </a:ln>
                        </wps:spPr>
                        <wps:txbx>
                          <w:txbxContent>
                            <w:p w14:paraId="2B6FC11D" w14:textId="77777777" w:rsidR="00B32EF2" w:rsidRDefault="00000000">
                              <w:r>
                                <w:rPr>
                                  <w:rFonts w:ascii="Arial" w:eastAsia="Arial" w:hAnsi="Arial" w:cs="Arial"/>
                                  <w:i/>
                                  <w:sz w:val="18"/>
                                </w:rPr>
                                <w:t>tipo formati in origine su supporto analogico, spediti o rilasciati dai depo</w:t>
                              </w:r>
                            </w:p>
                          </w:txbxContent>
                        </wps:txbx>
                        <wps:bodyPr horzOverflow="overflow" vert="horz" lIns="0" tIns="0" rIns="0" bIns="0" rtlCol="0">
                          <a:noAutofit/>
                        </wps:bodyPr>
                      </wps:wsp>
                      <wps:wsp>
                        <wps:cNvPr id="19793" name="Rectangle 19793"/>
                        <wps:cNvSpPr/>
                        <wps:spPr>
                          <a:xfrm rot="-10799999">
                            <a:off x="97512" y="1930763"/>
                            <a:ext cx="50622" cy="142889"/>
                          </a:xfrm>
                          <a:prstGeom prst="rect">
                            <a:avLst/>
                          </a:prstGeom>
                          <a:ln>
                            <a:noFill/>
                          </a:ln>
                        </wps:spPr>
                        <wps:txbx>
                          <w:txbxContent>
                            <w:p w14:paraId="15D46C2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794" name="Rectangle 19794"/>
                        <wps:cNvSpPr/>
                        <wps:spPr>
                          <a:xfrm rot="-10799999">
                            <a:off x="-1187241" y="1807433"/>
                            <a:ext cx="5100648" cy="142889"/>
                          </a:xfrm>
                          <a:prstGeom prst="rect">
                            <a:avLst/>
                          </a:prstGeom>
                          <a:ln>
                            <a:noFill/>
                          </a:ln>
                        </wps:spPr>
                        <wps:txbx>
                          <w:txbxContent>
                            <w:p w14:paraId="3987FEF7" w14:textId="77777777" w:rsidR="00B32EF2" w:rsidRDefault="00000000">
                              <w:r>
                                <w:rPr>
                                  <w:rFonts w:ascii="Arial" w:eastAsia="Arial" w:hAnsi="Arial" w:cs="Arial"/>
                                  <w:i/>
                                  <w:sz w:val="18"/>
                                </w:rPr>
                                <w:t xml:space="preserve">sitari pubblici autorizzati e dai pubblici ufficiali, hanno piena efficacia, ai </w:t>
                              </w:r>
                            </w:p>
                          </w:txbxContent>
                        </wps:txbx>
                        <wps:bodyPr horzOverflow="overflow" vert="horz" lIns="0" tIns="0" rIns="0" bIns="0" rtlCol="0">
                          <a:noAutofit/>
                        </wps:bodyPr>
                      </wps:wsp>
                      <wps:wsp>
                        <wps:cNvPr id="19795" name="Rectangle 19795"/>
                        <wps:cNvSpPr/>
                        <wps:spPr>
                          <a:xfrm rot="-10799999">
                            <a:off x="-1190465" y="1684103"/>
                            <a:ext cx="5112444" cy="142889"/>
                          </a:xfrm>
                          <a:prstGeom prst="rect">
                            <a:avLst/>
                          </a:prstGeom>
                          <a:ln>
                            <a:noFill/>
                          </a:ln>
                        </wps:spPr>
                        <wps:txbx>
                          <w:txbxContent>
                            <w:p w14:paraId="74804A8F" w14:textId="77777777" w:rsidR="00B32EF2" w:rsidRDefault="00000000">
                              <w:r>
                                <w:rPr>
                                  <w:rFonts w:ascii="Arial" w:eastAsia="Arial" w:hAnsi="Arial" w:cs="Arial"/>
                                  <w:i/>
                                  <w:sz w:val="18"/>
                                </w:rPr>
                                <w:t xml:space="preserve">sensi degli articoli 2714 e 2715 del codice civile, se sono formati ai sensi </w:t>
                              </w:r>
                            </w:p>
                          </w:txbxContent>
                        </wps:txbx>
                        <wps:bodyPr horzOverflow="overflow" vert="horz" lIns="0" tIns="0" rIns="0" bIns="0" rtlCol="0">
                          <a:noAutofit/>
                        </wps:bodyPr>
                      </wps:wsp>
                      <wps:wsp>
                        <wps:cNvPr id="19796" name="Rectangle 19796"/>
                        <wps:cNvSpPr/>
                        <wps:spPr>
                          <a:xfrm rot="-10799999">
                            <a:off x="-1088581" y="1560773"/>
                            <a:ext cx="5001987" cy="142889"/>
                          </a:xfrm>
                          <a:prstGeom prst="rect">
                            <a:avLst/>
                          </a:prstGeom>
                          <a:ln>
                            <a:noFill/>
                          </a:ln>
                        </wps:spPr>
                        <wps:txbx>
                          <w:txbxContent>
                            <w:p w14:paraId="74176A05" w14:textId="77777777" w:rsidR="00B32EF2" w:rsidRDefault="00000000">
                              <w:r>
                                <w:rPr>
                                  <w:rFonts w:ascii="Arial" w:eastAsia="Arial" w:hAnsi="Arial" w:cs="Arial"/>
                                  <w:i/>
                                  <w:sz w:val="18"/>
                                </w:rPr>
                                <w:t>dell’articolo 20, comma 1-bis, primo periodo. La loro esibizione e produzio</w:t>
                              </w:r>
                            </w:p>
                          </w:txbxContent>
                        </wps:txbx>
                        <wps:bodyPr horzOverflow="overflow" vert="horz" lIns="0" tIns="0" rIns="0" bIns="0" rtlCol="0">
                          <a:noAutofit/>
                        </wps:bodyPr>
                      </wps:wsp>
                      <wps:wsp>
                        <wps:cNvPr id="19797" name="Rectangle 19797"/>
                        <wps:cNvSpPr/>
                        <wps:spPr>
                          <a:xfrm rot="-10799999">
                            <a:off x="97512" y="1560774"/>
                            <a:ext cx="50622" cy="142889"/>
                          </a:xfrm>
                          <a:prstGeom prst="rect">
                            <a:avLst/>
                          </a:prstGeom>
                          <a:ln>
                            <a:noFill/>
                          </a:ln>
                        </wps:spPr>
                        <wps:txbx>
                          <w:txbxContent>
                            <w:p w14:paraId="7FF402C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798" name="Rectangle 19798"/>
                        <wps:cNvSpPr/>
                        <wps:spPr>
                          <a:xfrm rot="-10799999">
                            <a:off x="1582574" y="1437444"/>
                            <a:ext cx="2330832" cy="142889"/>
                          </a:xfrm>
                          <a:prstGeom prst="rect">
                            <a:avLst/>
                          </a:prstGeom>
                          <a:ln>
                            <a:noFill/>
                          </a:ln>
                        </wps:spPr>
                        <wps:txbx>
                          <w:txbxContent>
                            <w:p w14:paraId="5CE42586" w14:textId="77777777" w:rsidR="00B32EF2" w:rsidRDefault="00000000">
                              <w:r>
                                <w:rPr>
                                  <w:rFonts w:ascii="Arial" w:eastAsia="Arial" w:hAnsi="Arial" w:cs="Arial"/>
                                  <w:i/>
                                  <w:sz w:val="18"/>
                                </w:rPr>
                                <w:t>ne sostituisce quella dell’originale.</w:t>
                              </w:r>
                            </w:p>
                          </w:txbxContent>
                        </wps:txbx>
                        <wps:bodyPr horzOverflow="overflow" vert="horz" lIns="0" tIns="0" rIns="0" bIns="0" rtlCol="0">
                          <a:noAutofit/>
                        </wps:bodyPr>
                      </wps:wsp>
                      <wps:wsp>
                        <wps:cNvPr id="201045" name="Rectangle 201045"/>
                        <wps:cNvSpPr/>
                        <wps:spPr>
                          <a:xfrm rot="-10799999">
                            <a:off x="2571703" y="1314114"/>
                            <a:ext cx="5004298" cy="142889"/>
                          </a:xfrm>
                          <a:prstGeom prst="rect">
                            <a:avLst/>
                          </a:prstGeom>
                          <a:ln>
                            <a:noFill/>
                          </a:ln>
                        </wps:spPr>
                        <wps:txbx>
                          <w:txbxContent>
                            <w:p w14:paraId="5741306C"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048" name="Rectangle 201048"/>
                        <wps:cNvSpPr/>
                        <wps:spPr>
                          <a:xfrm rot="-10799999">
                            <a:off x="-1195888" y="1314114"/>
                            <a:ext cx="5004299" cy="142889"/>
                          </a:xfrm>
                          <a:prstGeom prst="rect">
                            <a:avLst/>
                          </a:prstGeom>
                          <a:ln>
                            <a:noFill/>
                          </a:ln>
                        </wps:spPr>
                        <wps:txbx>
                          <w:txbxContent>
                            <w:p w14:paraId="367C807B" w14:textId="77777777" w:rsidR="00B32EF2" w:rsidRDefault="00000000">
                              <w:r>
                                <w:rPr>
                                  <w:rFonts w:ascii="Arial" w:eastAsia="Arial" w:hAnsi="Arial" w:cs="Arial"/>
                                  <w:i/>
                                  <w:sz w:val="18"/>
                                </w:rPr>
                                <w:t>bis. La copia per immagine su supporto informatico di un documento ana</w:t>
                              </w:r>
                            </w:p>
                          </w:txbxContent>
                        </wps:txbx>
                        <wps:bodyPr horzOverflow="overflow" vert="horz" lIns="0" tIns="0" rIns="0" bIns="0" rtlCol="0">
                          <a:noAutofit/>
                        </wps:bodyPr>
                      </wps:wsp>
                      <wps:wsp>
                        <wps:cNvPr id="19800" name="Rectangle 19800"/>
                        <wps:cNvSpPr/>
                        <wps:spPr>
                          <a:xfrm rot="-10799999">
                            <a:off x="97512" y="1314114"/>
                            <a:ext cx="50622" cy="142889"/>
                          </a:xfrm>
                          <a:prstGeom prst="rect">
                            <a:avLst/>
                          </a:prstGeom>
                          <a:ln>
                            <a:noFill/>
                          </a:ln>
                        </wps:spPr>
                        <wps:txbx>
                          <w:txbxContent>
                            <w:p w14:paraId="4AF31F6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801" name="Rectangle 19801"/>
                        <wps:cNvSpPr/>
                        <wps:spPr>
                          <a:xfrm rot="-10799999">
                            <a:off x="-1092369" y="1190784"/>
                            <a:ext cx="5004634" cy="142890"/>
                          </a:xfrm>
                          <a:prstGeom prst="rect">
                            <a:avLst/>
                          </a:prstGeom>
                          <a:ln>
                            <a:noFill/>
                          </a:ln>
                        </wps:spPr>
                        <wps:txbx>
                          <w:txbxContent>
                            <w:p w14:paraId="3CAF7B74" w14:textId="77777777" w:rsidR="00B32EF2" w:rsidRDefault="00000000">
                              <w:r>
                                <w:rPr>
                                  <w:rFonts w:ascii="Arial" w:eastAsia="Arial" w:hAnsi="Arial" w:cs="Arial"/>
                                  <w:i/>
                                  <w:sz w:val="18"/>
                                </w:rPr>
                                <w:t>logico è prodotta mediante processi e strumenti che assicurano che il docu</w:t>
                              </w:r>
                            </w:p>
                          </w:txbxContent>
                        </wps:txbx>
                        <wps:bodyPr horzOverflow="overflow" vert="horz" lIns="0" tIns="0" rIns="0" bIns="0" rtlCol="0">
                          <a:noAutofit/>
                        </wps:bodyPr>
                      </wps:wsp>
                      <wps:wsp>
                        <wps:cNvPr id="19802" name="Rectangle 19802"/>
                        <wps:cNvSpPr/>
                        <wps:spPr>
                          <a:xfrm rot="-10799999">
                            <a:off x="97512" y="1190785"/>
                            <a:ext cx="50622" cy="142889"/>
                          </a:xfrm>
                          <a:prstGeom prst="rect">
                            <a:avLst/>
                          </a:prstGeom>
                          <a:ln>
                            <a:noFill/>
                          </a:ln>
                        </wps:spPr>
                        <wps:txbx>
                          <w:txbxContent>
                            <w:p w14:paraId="6916816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803" name="Rectangle 19803"/>
                        <wps:cNvSpPr/>
                        <wps:spPr>
                          <a:xfrm rot="-10799999">
                            <a:off x="-1190250" y="1067455"/>
                            <a:ext cx="5113601" cy="142889"/>
                          </a:xfrm>
                          <a:prstGeom prst="rect">
                            <a:avLst/>
                          </a:prstGeom>
                          <a:ln>
                            <a:noFill/>
                          </a:ln>
                        </wps:spPr>
                        <wps:txbx>
                          <w:txbxContent>
                            <w:p w14:paraId="1019D08D" w14:textId="77777777" w:rsidR="00B32EF2" w:rsidRDefault="00000000">
                              <w:r>
                                <w:rPr>
                                  <w:rFonts w:ascii="Arial" w:eastAsia="Arial" w:hAnsi="Arial" w:cs="Arial"/>
                                  <w:i/>
                                  <w:sz w:val="18"/>
                                </w:rPr>
                                <w:t xml:space="preserve">mento informatico abbia contenuto e forma identici a quelli del documento </w:t>
                              </w:r>
                            </w:p>
                          </w:txbxContent>
                        </wps:txbx>
                        <wps:bodyPr horzOverflow="overflow" vert="horz" lIns="0" tIns="0" rIns="0" bIns="0" rtlCol="0">
                          <a:noAutofit/>
                        </wps:bodyPr>
                      </wps:wsp>
                      <wps:wsp>
                        <wps:cNvPr id="19804" name="Rectangle 19804"/>
                        <wps:cNvSpPr/>
                        <wps:spPr>
                          <a:xfrm rot="-10799999">
                            <a:off x="-1091366" y="944125"/>
                            <a:ext cx="5003630" cy="142889"/>
                          </a:xfrm>
                          <a:prstGeom prst="rect">
                            <a:avLst/>
                          </a:prstGeom>
                          <a:ln>
                            <a:noFill/>
                          </a:ln>
                        </wps:spPr>
                        <wps:txbx>
                          <w:txbxContent>
                            <w:p w14:paraId="60F15F5A" w14:textId="77777777" w:rsidR="00B32EF2" w:rsidRDefault="00000000">
                              <w:r>
                                <w:rPr>
                                  <w:rFonts w:ascii="Arial" w:eastAsia="Arial" w:hAnsi="Arial" w:cs="Arial"/>
                                  <w:i/>
                                  <w:sz w:val="18"/>
                                </w:rPr>
                                <w:t>analogico da cui è tratto, previo raffronto dei documenti o attraverso certifica</w:t>
                              </w:r>
                            </w:p>
                          </w:txbxContent>
                        </wps:txbx>
                        <wps:bodyPr horzOverflow="overflow" vert="horz" lIns="0" tIns="0" rIns="0" bIns="0" rtlCol="0">
                          <a:noAutofit/>
                        </wps:bodyPr>
                      </wps:wsp>
                      <wps:wsp>
                        <wps:cNvPr id="19805" name="Rectangle 19805"/>
                        <wps:cNvSpPr/>
                        <wps:spPr>
                          <a:xfrm rot="-10799999">
                            <a:off x="97512" y="944125"/>
                            <a:ext cx="50622" cy="142889"/>
                          </a:xfrm>
                          <a:prstGeom prst="rect">
                            <a:avLst/>
                          </a:prstGeom>
                          <a:ln>
                            <a:noFill/>
                          </a:ln>
                        </wps:spPr>
                        <wps:txbx>
                          <w:txbxContent>
                            <w:p w14:paraId="0DBB72D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806" name="Rectangle 19806"/>
                        <wps:cNvSpPr/>
                        <wps:spPr>
                          <a:xfrm rot="-10799999">
                            <a:off x="-1186488" y="820795"/>
                            <a:ext cx="5097380" cy="142889"/>
                          </a:xfrm>
                          <a:prstGeom prst="rect">
                            <a:avLst/>
                          </a:prstGeom>
                          <a:ln>
                            <a:noFill/>
                          </a:ln>
                        </wps:spPr>
                        <wps:txbx>
                          <w:txbxContent>
                            <w:p w14:paraId="625BDC61" w14:textId="77777777" w:rsidR="00B32EF2" w:rsidRDefault="00000000">
                              <w:r>
                                <w:rPr>
                                  <w:rFonts w:ascii="Arial" w:eastAsia="Arial" w:hAnsi="Arial" w:cs="Arial"/>
                                  <w:i/>
                                  <w:sz w:val="18"/>
                                </w:rPr>
                                <w:t xml:space="preserve">zione di processo nei casi in cui siano adottate tecniche in grado di garantire </w:t>
                              </w:r>
                            </w:p>
                          </w:txbxContent>
                        </wps:txbx>
                        <wps:bodyPr horzOverflow="overflow" vert="horz" lIns="0" tIns="0" rIns="0" bIns="0" rtlCol="0">
                          <a:noAutofit/>
                        </wps:bodyPr>
                      </wps:wsp>
                      <wps:wsp>
                        <wps:cNvPr id="19807" name="Rectangle 19807"/>
                        <wps:cNvSpPr/>
                        <wps:spPr>
                          <a:xfrm rot="-10799999">
                            <a:off x="-932475" y="697466"/>
                            <a:ext cx="4844739" cy="142889"/>
                          </a:xfrm>
                          <a:prstGeom prst="rect">
                            <a:avLst/>
                          </a:prstGeom>
                          <a:ln>
                            <a:noFill/>
                          </a:ln>
                        </wps:spPr>
                        <wps:txbx>
                          <w:txbxContent>
                            <w:p w14:paraId="389BD1C3" w14:textId="77777777" w:rsidR="00B32EF2" w:rsidRDefault="00000000">
                              <w:r>
                                <w:rPr>
                                  <w:rFonts w:ascii="Arial" w:eastAsia="Arial" w:hAnsi="Arial" w:cs="Arial"/>
                                  <w:i/>
                                  <w:sz w:val="18"/>
                                </w:rPr>
                                <w:t>la corrispondenza della forma e del contenuto dell’originale e della copia.</w:t>
                              </w:r>
                            </w:p>
                          </w:txbxContent>
                        </wps:txbx>
                        <wps:bodyPr horzOverflow="overflow" vert="horz" lIns="0" tIns="0" rIns="0" bIns="0" rtlCol="0">
                          <a:noAutofit/>
                        </wps:bodyPr>
                      </wps:wsp>
                      <wps:wsp>
                        <wps:cNvPr id="201040" name="Rectangle 201040"/>
                        <wps:cNvSpPr/>
                        <wps:spPr>
                          <a:xfrm rot="-10799999">
                            <a:off x="-1163391" y="574136"/>
                            <a:ext cx="5010927" cy="142889"/>
                          </a:xfrm>
                          <a:prstGeom prst="rect">
                            <a:avLst/>
                          </a:prstGeom>
                          <a:ln>
                            <a:noFill/>
                          </a:ln>
                        </wps:spPr>
                        <wps:txbx>
                          <w:txbxContent>
                            <w:p w14:paraId="1ECBB568" w14:textId="77777777" w:rsidR="00B32EF2" w:rsidRDefault="00000000">
                              <w:r>
                                <w:rPr>
                                  <w:rFonts w:ascii="Arial" w:eastAsia="Arial" w:hAnsi="Arial" w:cs="Arial"/>
                                  <w:i/>
                                  <w:sz w:val="18"/>
                                </w:rPr>
                                <w:t>. Le copie per immagine su supporto informatico di documenti originali for</w:t>
                              </w:r>
                            </w:p>
                          </w:txbxContent>
                        </wps:txbx>
                        <wps:bodyPr horzOverflow="overflow" vert="horz" lIns="0" tIns="0" rIns="0" bIns="0" rtlCol="0">
                          <a:noAutofit/>
                        </wps:bodyPr>
                      </wps:wsp>
                      <wps:wsp>
                        <wps:cNvPr id="201039" name="Rectangle 201039"/>
                        <wps:cNvSpPr/>
                        <wps:spPr>
                          <a:xfrm rot="-10799999">
                            <a:off x="2606543" y="574136"/>
                            <a:ext cx="5010927" cy="142889"/>
                          </a:xfrm>
                          <a:prstGeom prst="rect">
                            <a:avLst/>
                          </a:prstGeom>
                          <a:ln>
                            <a:noFill/>
                          </a:ln>
                        </wps:spPr>
                        <wps:txbx>
                          <w:txbxContent>
                            <w:p w14:paraId="495FE2A0"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19809" name="Rectangle 19809"/>
                        <wps:cNvSpPr/>
                        <wps:spPr>
                          <a:xfrm rot="-10799999">
                            <a:off x="97512" y="574136"/>
                            <a:ext cx="50622" cy="142889"/>
                          </a:xfrm>
                          <a:prstGeom prst="rect">
                            <a:avLst/>
                          </a:prstGeom>
                          <a:ln>
                            <a:noFill/>
                          </a:ln>
                        </wps:spPr>
                        <wps:txbx>
                          <w:txbxContent>
                            <w:p w14:paraId="72B6720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19810" name="Shape 19810"/>
                        <wps:cNvSpPr/>
                        <wps:spPr>
                          <a:xfrm>
                            <a:off x="31755" y="473197"/>
                            <a:ext cx="3960000" cy="5008702"/>
                          </a:xfrm>
                          <a:custGeom>
                            <a:avLst/>
                            <a:gdLst/>
                            <a:ahLst/>
                            <a:cxnLst/>
                            <a:rect l="0" t="0" r="0" b="0"/>
                            <a:pathLst>
                              <a:path w="3960000" h="5008702">
                                <a:moveTo>
                                  <a:pt x="0" y="5008702"/>
                                </a:moveTo>
                                <a:lnTo>
                                  <a:pt x="3960000" y="5008702"/>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46D4835" id="Group 201233" o:spid="_x0000_s4699" style="width:314.3pt;height:493.15pt;mso-position-horizontal-relative:char;mso-position-vertical-relative:line" coordsize="39917,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YVmAwAACmKAAAOAAAAZHJzL2Uyb0RvYy54bWzkXe1u2zgW/b/AvoPh/2n4JVEymg4W7c5g&#10;gcXOYGb2AVTHjg3IliG7TbpPv+eSFCUrzLYrYcpg2AKJQ8u0dA/v1+El+faHp0O9+Lxpz/vmeLfk&#10;b9hysTmum/v98eFu+e/ff7wplovzpTreV3Vz3Nwtv2zOyx/e/fUvbx9Pq41odk19v2kX6OR4Xj2e&#10;7pa7y+W0ur09r3ebQ3V+05w2R7y5bdpDdcGf7cPtfVs9ovdDfSsYy28fm/b+1DbrzfmM1g/2zeU7&#10;0/92u1lfft5uz5vLor5b4t4u5mdrfn6kn7fv3larh7Y67fZrdxvVhLs4VPsjvtR39aG6VItP7f5Z&#10;V4f9um3OzfbyZt0cbpvtdr/emGfA03A2epqf2ubTyTzLw+rx4eTFBNGO5DS52/W/Pv/Unn47/dJC&#10;Eo+nB8jC/EXP8rRtD/Qbd7l4MiL74kW2ebos1miUZcl1li8Xa7yXi1wUmbJCXe8g+WefW+/+/pVP&#10;3nZffHt1O48nDJBzL4PzPBn8tqtOGyPa8woy+KVd7O8xfkud8eXiWB0wVH/F4KmOD/VmYZuNgMzV&#10;Xlzn1RmS62S1aBuMrxvOdEn/zHhwsuMlY0qJ5QJSuskF/rRC6sTIdSHz0kpRZCxXOb3vRVGtTu35&#10;8tOmOSzoxd2yxb2Z/qvP/zxf7KXdJXQ79ZF+Hpsf93Vt36UWSLS7Y3p1efr4ZB5b4hvp+6jxY3P/&#10;BdLYNe1/foZeb+vm8W7ZuFdLUnV8Pb27XNT/OAIF0qruRdu9+Ni9aC/1+8bonr2hv326NNu9ueP+&#10;29ydAV57D384ztA1zuRzoF27EwXGxf+P9A1XihU5pEIKwXlZ5k4hOqwzyUomncpwJQo7GL4j2Do9&#10;sANabcDmnSgmgS2yjBe5fs1YF90DJqHYZKkDem2b56m15FpomGiodQalzuVX1dqMre+o1mVyUKvn&#10;JpygNsiQe5mk1DecoFYO6kJLyTKSbLW6suBwmSboIQteGNF/P6i5CR96B/ond9eEaRaG2iAzGeq8&#10;zCRCLaPTWpWlNmFQD7QU8N4cvoOi2yhAe/+UhPmmHAiB87MA3LXPNOBKlAWwJAOOTMXF2D3YmeCC&#10;KeSr0cAWSRlwAyqUb5xtufY5YIsMTiCz6dYrxVomhTVZcITJY6ht8xykeckzqOyLOs1ygWEQTaN9&#10;JJKE+SY4AUYIZZ+GTAzJ4HyZtIlWljEp+chTZwjaMhbTePtIJAmoBSsYMHBYGzZt4dq+qs4USjte&#10;DJE2kYdQX6UlL0cplSxzhn9WfzPGCs2MixwE2utPlhejPjsuDCzsvWXF0LbrXq2fjt1LYs/+JyF8&#10;qi70OeqUXi5Agfl72SF8cLdC7x/Ajf3emCsvI7YTt9m/Wx+HV/ne8OQmlse13RXd75Ppb3hl972Q&#10;8IvXW+Lp26+8/nZ0Sw9s+vdCQONQzPWR5EGoVCDst3VlmcjD/gImv94fECkLTbB1t/mMeDxfvtQb&#10;Ell9/HWzBQVp2GVqOLcPH9/X7eJzRZyh+Wdpzvq0q1yr69dd6kSBfujzW/CdvktuPnrV5XtJ/10P&#10;7mL63MZMFfhPMvvJtbsbO18A1h0P3c0aQCj+Q+abm+PFf/6IuQ7zJZSZuKftszWSC/31/fhOGGZi&#10;JAOGGc24nckJlJCi0MoF1SJniKqpvz6ohnfOkGVFdMFpMduEdIDrtM1zkL7hYDqFdi6YS9AiI6gz&#10;VuYgRCNCnRavTZgitg0ptU8kJ0VbolA5HK+NqhlXbMx/cZbrkgiyaHG1DyeTCLYI6TCrjeZZSp0V&#10;SJCgshSAYR4q1yOmU6lSMRkzg0qL1CbuowgotWufgzW8c8GZddVK51qqEdaIGVUek/8SPhZJQqsN&#10;pgFSxLXPwRrOmooIYDNMZvUqwU6L2SYTHp7CQPMcqEG5cBgMj/OYF4lLgIF8cw+XhEoTyp4Uuaof&#10;QvMclFFUBPdMVCYBnaPE5BkBxpjABEe8mEz4UCQZqAPGm0aAT0MmRd8DhQ7jHJXRFskx2nmY0Ubz&#10;PIXmhS64nbrAVBXLi7HlRrCmUMoQLclCXpCa7Q5MPZNC+xxkkkIjGCuZEpY5UbLUEpQ3JNuTZBnn&#10;ArPPEaH23ikV263DdCia52p17uMxoRUD7NdQgyQrYibU9oZ6MvrPXzqkw3womudALZgWGWXLFJBR&#10;tlWOkOYF6oCzmAGZ91BJKDWlzTrgq137LKxBncguy4JKSxviDQw4w+Q0BkA8X+1dVDJYFwELbqiT&#10;2SYcRd1dYPYqwZb+CZMAGxGYDrPfaJ6j1oNMK4xz1ExLev+UDMrhcm7tU86p4TdNQdvpLIlInOqI&#10;xjEZiocwxGJNZyEedOM4GajDXKidfppcjQCWrESyZeezpC6YRkXYCGrMcdDKr2hQe5OVDNRhQtSW&#10;2k+GurfdL+Ac13Z7k5UMymEuFPUiczy0KTrRVGeILEvmmQbYY4UuNadK72gKnRxLFkqyKEbz6eZU&#10;N10KSXPfBDWW5dBSjGvbzYWE/44IdXosWZgQxTLImVpdsgyVggZqhbSdmw4H+TQI0ZxKyaNptbdb&#10;iRjwgla5PS8lo+aZUGdYieMiMtSKSrtUcgg1dvGIWXUivd1KBmoY2RDUPguZZsCxfpJlyuVZrxNq&#10;b7cSgRozjCGoqXmmVnOtUP9rDDjPFQPPfe2rmWQF1YXHMuAYh+4Jk4DakNyBnNq1zwNbZDLnzoSD&#10;PtGWfxyZ8Jg1/hhoyYEdYEQN2J5fmGTERVZgptrZ8JexjliVgE2UUsIaiVURgNo2z1NrFKBgIyJj&#10;wwU28UKZ/8iGc6y/In8ezYb7sZyEDSdMwww4mudALTRWdLita7CFDSz4CGlMd6mSClSiIe0fMBmk&#10;A86aBoBnkyaZ7xslkWI5nc41o6V5GDm9q1YSdUa0jjoa0v4Bk0E6zH/bcr/J/LcpCBZuqgOFKEB6&#10;BDWWc8CTR2RG7R6GKVUaFWESHM1zzHc/1fECzlGnOpR/uGQUOlBkRKbb80iTTLfQRSlJXUF/o5Af&#10;tWMm0O1NNyhRUKVwG9FMt3/AZJAO09+WwpxuurHiEghbpCVjGtNX1046k0WexQy80+LJKG+mzXfH&#10;nKhrn2O7kU9zbJFgseZaK7sgqtdqU/odc/4S48w9YBJabTiSACnq2udgfQMDXWqsqjUm/HWCnRZR&#10;Bq9cBrC2zfOgBnmCBfMWapr1KEc2PONMRK1LsE4lpegbEDwz4QS1JwwnxWUm0eIOao4QjTbdwNgZ&#10;mHAkWlmJLC9WYIbSxZRMOGEapkTRPEer+0TL4mx6G+IcNdHqdzVOwlETymE21O4SNz38BtuJ7Z3h&#10;F5BpcdSIKjkGGsR31JIE1EukptBhOhT81hyFtisvad8FgjrHhDRKf9HhQKcpq1YRp7PsUtCk3HSY&#10;D4UDnQc1KwokWxbqLGe0ZuQaasZ4SQxdNDedHFNGK+LGSTXZdS+ISRHZwE0bnM3c0UCl4+54gqpF&#10;N46TcdNhPrT0gpiEMjaOxC7esMxkupXUZKWv9BnFwFiVGXF+w9Y8JWO6iSEhcmOs0K59jvEG0FzT&#10;qhzCWnJMZY2wpq3JsHl/PNvdb5OahFYbTANq7drnYE0xWVZgsuQrYINbieWosYFqWia8oM0+x3qN&#10;YMlWBE3OtAaOOqzUUfNpS+MkY74JziAXSs3zFBrkpzm8kKw3trqhKiZ0OIzIsOiSqoU7hf7eB971&#10;u6QmYb0J6iAXSs1zoB4otMHZZOdDnOMqtBl2SSl0kAYtLMkx2Wwb1gSHkFoPjT2Baf3OtUJzLnOy&#10;Jp1C2xlxbInfHRnbnUX6Bx1X2u+ZmYxCB7nQgvkxPynJMgvmJW1ZCdtdKoVtyEZIY2ObnAoKoyHt&#10;aaFkkA7kWGTR51GhvekOwxzXcntCKBmQgyQoNmOf5Z/NcnnlcqsCO5RZ/nzoobH7IG2cFE2dPSmU&#10;DNJBDhTTTvOQLqVQ2C2F7DZ2nsN5Ddd2WxUKByrFzKHTKyGjpTLjJNoQJr7CaqKP5jn2PbAzG2BE&#10;EXpdY52BmIu6eqPfNDMJpSZMSbVCWKN9ToJFJyhlbtv+1wm15wqSgJrirgDStnkO0H04FoY5ajim&#10;PUuQCsg4T9upsz3JEAD3R2y/bLWJ5BocZGjdsTnI0Hj3Pu7yh/hR3HV9Nl+XMQ9P2HtFBxle3+y3&#10;HGd4/YnuMMPu9/NDDY13BHXQXdH9tlcCGIhsfM26bs4b6B8+9o3HFZojCRH3vnhkoT1r0PZZH7/p&#10;yMLA+YLuyMKum9CphO5swWkHHb6KIwtxeOHD6vHhZOT/0Fan3X79obpUw7+NAFcb0eya+n7Tvvsv&#10;AAAA//8DAFBLAwQUAAYACAAAACEAGA0GbN0AAAAFAQAADwAAAGRycy9kb3ducmV2LnhtbEyPQUvD&#10;QBCF74L/YRnBm92kxRDTbEop6qkItoL0Ns1Ok9DsbMhuk/Tfu3qpl4HHe7z3Tb6aTCsG6l1jWUE8&#10;i0AQl1Y3XCn42r89pSCcR9bYWiYFV3KwKu7vcsy0HfmThp2vRChhl6GC2vsuk9KVNRl0M9sRB+9k&#10;e4M+yL6SuscxlJtWzqMokQYbDgs1drSpqTzvLkbB+4jjehG/DtvzaXM97J8/vrcxKfX4MK2XIDxN&#10;/haGX/yADkVgOtoLaydaBeER/3eDl8zTBMRRwUuaLEAWufxPX/wAAAD//wMAUEsBAi0AFAAGAAgA&#10;AAAhALaDOJL+AAAA4QEAABMAAAAAAAAAAAAAAAAAAAAAAFtDb250ZW50X1R5cGVzXS54bWxQSwEC&#10;LQAUAAYACAAAACEAOP0h/9YAAACUAQAACwAAAAAAAAAAAAAAAAAvAQAAX3JlbHMvLnJlbHNQSwEC&#10;LQAUAAYACAAAACEA3gmGFZgMAAApigAADgAAAAAAAAAAAAAAAAAuAgAAZHJzL2Uyb0RvYy54bWxQ&#10;SwECLQAUAAYACAAAACEAGA0GbN0AAAAFAQAADwAAAAAAAAAAAAAAAADyDgAAZHJzL2Rvd25yZXYu&#10;eG1sUEsFBgAAAAAEAAQA8wAAAPwPAAAAAA==&#10;">
                <v:rect id="Rectangle 19751" o:spid="_x0000_s4700"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c9JxQAAAN4AAAAPAAAAZHJzL2Rvd25yZXYueG1sRE9La8JA&#10;EL4X/A/LCN7qxoJVo6uIRZpDL/UBHofsmESzs0t2NWl/fbcgeJuP7zmLVWdqcafGV5YVjIYJCOLc&#10;6ooLBYf99nUKwgdkjbVlUvBDHlbL3ssCU21b/qb7LhQihrBPUUEZgkul9HlJBv3QOuLInW1jMETY&#10;FFI32MZwU8u3JHmXBiuODSU62pSUX3c3o+D0wS7btjI//27c1yWb1p+3w1GpQb9bz0EE6sJT/HBn&#10;Os6fTcYj+H8n3iCXfwAAAP//AwBQSwECLQAUAAYACAAAACEA2+H2y+4AAACFAQAAEwAAAAAAAAAA&#10;AAAAAAAAAAAAW0NvbnRlbnRfVHlwZXNdLnhtbFBLAQItABQABgAIAAAAIQBa9CxbvwAAABUBAAAL&#10;AAAAAAAAAAAAAAAAAB8BAABfcmVscy8ucmVsc1BLAQItABQABgAIAAAAIQB2Tc9JxQAAAN4AAAAP&#10;AAAAAAAAAAAAAAAAAAcCAABkcnMvZG93bnJldi54bWxQSwUGAAAAAAMAAwC3AAAA+QIAAAAA&#10;" filled="f" stroked="f">
                  <v:textbox inset="0,0,0,0">
                    <w:txbxContent>
                      <w:p w14:paraId="70D36798" w14:textId="77777777" w:rsidR="00B32EF2" w:rsidRDefault="00000000">
                        <w:r>
                          <w:rPr>
                            <w:rFonts w:ascii="Times New Roman" w:eastAsia="Times New Roman" w:hAnsi="Times New Roman" w:cs="Times New Roman"/>
                          </w:rPr>
                          <w:t>50</w:t>
                        </w:r>
                      </w:p>
                    </w:txbxContent>
                  </v:textbox>
                </v:rect>
                <v:rect id="Rectangle 201103" o:spid="_x0000_s4701" style="position:absolute;left:-14408;top:61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skxwAAAN8AAAAPAAAAZHJzL2Rvd25yZXYueG1sRI9BawIx&#10;FITvQv9DeIXeNFkLIqtRxCLdQy9aCz0+Ns/d1c1L2ER321/fCEKPw8x8wyzXg23FjbrQONaQTRQI&#10;4tKZhisNx8/deA4iRGSDrWPS8EMB1qun0RJz43re0+0QK5EgHHLUUMfocylDWZPFMHGeOHkn11mM&#10;SXaVNB32CW5bOVVqJi02nBZq9LStqbwcrlbD9xv7YtfL8vS79R/nYt6+X49fWr88D5sFiEhD/A8/&#10;2oXRMFVZpl7h/id9Abn6AwAA//8DAFBLAQItABQABgAIAAAAIQDb4fbL7gAAAIUBAAATAAAAAAAA&#10;AAAAAAAAAAAAAABbQ29udGVudF9UeXBlc10ueG1sUEsBAi0AFAAGAAgAAAAhAFr0LFu/AAAAFQEA&#10;AAsAAAAAAAAAAAAAAAAAHwEAAF9yZWxzLy5yZWxzUEsBAi0AFAAGAAgAAAAhADGGqyTHAAAA3wAA&#10;AA8AAAAAAAAAAAAAAAAABwIAAGRycy9kb3ducmV2LnhtbFBLBQYAAAAAAwADALcAAAD7AgAAAAA=&#10;" filled="f" stroked="f">
                  <v:textbox inset="0,0,0,0">
                    <w:txbxContent>
                      <w:p w14:paraId="45DE8B50" w14:textId="77777777" w:rsidR="00B32EF2" w:rsidRDefault="00000000">
                        <w:r>
                          <w:rPr>
                            <w:rFonts w:ascii="Arial" w:eastAsia="Arial" w:hAnsi="Arial" w:cs="Arial"/>
                            <w:sz w:val="18"/>
                          </w:rPr>
                          <w:t xml:space="preserve">. Ai soggetti di cui al comma 12, ancorché iscritti in un albo professionale, è </w:t>
                        </w:r>
                      </w:p>
                    </w:txbxContent>
                  </v:textbox>
                </v:rect>
                <v:rect id="Rectangle 201101" o:spid="_x0000_s4702" style="position:absolute;left:25518;top:61199;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JDIxwAAAN8AAAAPAAAAZHJzL2Rvd25yZXYueG1sRI9BawIx&#10;FITvgv8hPKE3TdZDka1RikW6h160Cj0+Ns/d1c1L2ER39debQqHHYWa+YZbrwbbiRl1oHGvIZgoE&#10;celMw5WGw/d2ugARIrLB1jFpuFOA9Wo8WmJuXM87uu1jJRKEQ44a6hh9LmUoa7IYZs4TJ+/kOosx&#10;ya6SpsM+wW0r50q9SosNp4UaPW1qKi/7q9Xw88G+2PayPD02/utcLNrP6+Go9ctkeH8DEWmI/+G/&#10;dmE0zFWWqQx+/6QvIFdPAAAA//8DAFBLAQItABQABgAIAAAAIQDb4fbL7gAAAIUBAAATAAAAAAAA&#10;AAAAAAAAAAAAAABbQ29udGVudF9UeXBlc10ueG1sUEsBAi0AFAAGAAgAAAAhAFr0LFu/AAAAFQEA&#10;AAsAAAAAAAAAAAAAAAAAHwEAAF9yZWxzLy5yZWxzUEsBAi0AFAAGAAgAAAAhAK4YkMjHAAAA3wAA&#10;AA8AAAAAAAAAAAAAAAAABwIAAGRycy9kb3ducmV2LnhtbFBLBQYAAAAAAwADALcAAAD7AgAAAAA=&#10;" filled="f" stroked="f">
                  <v:textbox inset="0,0,0,0">
                    <w:txbxContent>
                      <w:p w14:paraId="007B8EC9" w14:textId="77777777" w:rsidR="00B32EF2" w:rsidRDefault="00000000">
                        <w:r>
                          <w:rPr>
                            <w:rFonts w:ascii="Arial" w:eastAsia="Arial" w:hAnsi="Arial" w:cs="Arial"/>
                            <w:sz w:val="18"/>
                          </w:rPr>
                          <w:t>13</w:t>
                        </w:r>
                      </w:p>
                    </w:txbxContent>
                  </v:textbox>
                </v:rect>
                <v:rect id="Rectangle 19753" o:spid="_x0000_s4703" style="position:absolute;left:-13172;top:599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SlxQAAAN4AAAAPAAAAZHJzL2Rvd25yZXYueG1sRE9Na8JA&#10;EL0X+h+WKXirm7ZYY+oqxSLm4EVrweOQHZO02dklu5ror3eFgrd5vM+ZznvTiBO1vras4GWYgCAu&#10;rK65VLD7Xj6nIHxA1thYJgVn8jCfPT5MMdO24w2dtqEUMYR9hgqqEFwmpS8qMuiH1hFH7mBbgyHC&#10;tpS6xS6Gm0a+Jsm7NFhzbKjQ0aKi4m97NAr2X+zyZSeLw2Xh1r952qyOux+lBk/95weIQH24i//d&#10;uY7zJ+PRG9zeiTfI2RUAAP//AwBQSwECLQAUAAYACAAAACEA2+H2y+4AAACFAQAAEwAAAAAAAAAA&#10;AAAAAAAAAAAAW0NvbnRlbnRfVHlwZXNdLnhtbFBLAQItABQABgAIAAAAIQBa9CxbvwAAABUBAAAL&#10;AAAAAAAAAAAAAAAAAB8BAABfcmVscy8ucmVsc1BLAQItABQABgAIAAAAIQDp0/SlxQAAAN4AAAAP&#10;AAAAAAAAAAAAAAAAAAcCAABkcnMvZG93bnJldi54bWxQSwUGAAAAAAMAAwC3AAAA+QIAAAAA&#10;" filled="f" stroked="f">
                  <v:textbox inset="0,0,0,0">
                    <w:txbxContent>
                      <w:p w14:paraId="5CBBC3F3" w14:textId="77777777" w:rsidR="00B32EF2" w:rsidRDefault="00000000">
                        <w:r>
                          <w:rPr>
                            <w:rFonts w:ascii="Arial" w:eastAsia="Arial" w:hAnsi="Arial" w:cs="Arial"/>
                            <w:sz w:val="18"/>
                          </w:rPr>
                          <w:t xml:space="preserve">vietato di esercitare funzioni di assistenza e di rappresentanza presso gli enti </w:t>
                        </w:r>
                      </w:p>
                    </w:txbxContent>
                  </v:textbox>
                </v:rect>
                <v:rect id="Rectangle 19754" o:spid="_x0000_s4704" style="position:absolute;left:-13172;top:58733;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mzRxQAAAN4AAAAPAAAAZHJzL2Rvd25yZXYueG1sRE9Na8JA&#10;EL0X+h+WKXirm5ZaY+oqxSLm4EVrweOQHZO02dklu5ror3eFgrd5vM+ZznvTiBO1vras4GWYgCAu&#10;rK65VLD7Xj6nIHxA1thYJgVn8jCfPT5MMdO24w2dtqEUMYR9hgqqEFwmpS8qMuiH1hFH7mBbgyHC&#10;tpS6xS6Gm0a+Jsm7NFhzbKjQ0aKi4m97NAr2X+zyZSeLw2Xh1r952qyOux+lBk/95weIQH24i//d&#10;uY7zJ+PRG9zeiTfI2RUAAP//AwBQSwECLQAUAAYACAAAACEA2+H2y+4AAACFAQAAEwAAAAAAAAAA&#10;AAAAAAAAAAAAW0NvbnRlbnRfVHlwZXNdLnhtbFBLAQItABQABgAIAAAAIQBa9CxbvwAAABUBAAAL&#10;AAAAAAAAAAAAAAAAAB8BAABfcmVscy8ucmVsc1BLAQItABQABgAIAAAAIQBmOmzRxQAAAN4AAAAP&#10;AAAAAAAAAAAAAAAAAAcCAABkcnMvZG93bnJldi54bWxQSwUGAAAAAAMAAwC3AAAA+QIAAAAA&#10;" filled="f" stroked="f">
                  <v:textbox inset="0,0,0,0">
                    <w:txbxContent>
                      <w:p w14:paraId="3B2B04BD" w14:textId="77777777" w:rsidR="00B32EF2" w:rsidRDefault="00000000">
                        <w:r>
                          <w:rPr>
                            <w:rFonts w:ascii="Arial" w:eastAsia="Arial" w:hAnsi="Arial" w:cs="Arial"/>
                            <w:sz w:val="18"/>
                          </w:rPr>
                          <w:t xml:space="preserve">impositori e davanti le corti di giustizia tributaria per un periodo di due anni </w:t>
                        </w:r>
                      </w:p>
                    </w:txbxContent>
                  </v:textbox>
                </v:rect>
                <v:rect id="Rectangle 19755" o:spid="_x0000_s4705" style="position:absolute;left:6953;top:57499;width:329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slKxQAAAN4AAAAPAAAAZHJzL2Rvd25yZXYueG1sRE9Na8JA&#10;EL0L/Q/LFLzpRsHWRlcRRczBS62FHofsmESzs0t2NbG/3i0UvM3jfc582Zla3KjxlWUFo2ECgji3&#10;uuJCwfFrO5iC8AFZY22ZFNzJw3Lx0ptjqm3Ln3Q7hELEEPYpKihDcKmUPi/JoB9aRxy5k20Mhgib&#10;QuoG2xhuajlOkjdpsOLYUKKjdUn55XA1Cn427LJtK/PT79rtz9m03l2P30r1X7vVDESgLjzF/+5M&#10;x/kf75MJ/L0Tb5CLBwAAAP//AwBQSwECLQAUAAYACAAAACEA2+H2y+4AAACFAQAAEwAAAAAAAAAA&#10;AAAAAAAAAAAAW0NvbnRlbnRfVHlwZXNdLnhtbFBLAQItABQABgAIAAAAIQBa9CxbvwAAABUBAAAL&#10;AAAAAAAAAAAAAAAAAB8BAABfcmVscy8ucmVsc1BLAQItABQABgAIAAAAIQAJdslKxQAAAN4AAAAP&#10;AAAAAAAAAAAAAAAAAAcCAABkcnMvZG93bnJldi54bWxQSwUGAAAAAAMAAwC3AAAA+QIAAAAA&#10;" filled="f" stroked="f">
                  <v:textbox inset="0,0,0,0">
                    <w:txbxContent>
                      <w:p w14:paraId="45494359" w14:textId="77777777" w:rsidR="00B32EF2" w:rsidRDefault="00000000">
                        <w:r>
                          <w:rPr>
                            <w:rFonts w:ascii="Arial" w:eastAsia="Arial" w:hAnsi="Arial" w:cs="Arial"/>
                            <w:sz w:val="18"/>
                          </w:rPr>
                          <w:t xml:space="preserve">dalla data di cessazione del rapporto d’impiego. </w:t>
                        </w:r>
                      </w:p>
                    </w:txbxContent>
                  </v:textbox>
                </v:rect>
                <v:rect id="Rectangle 201099" o:spid="_x0000_s4706" style="position:absolute;left:-13429;top:56266;width:521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bUxwAAAN8AAAAPAAAAZHJzL2Rvd25yZXYueG1sRI9PawIx&#10;FMTvhX6H8Aq91UQPRbdGKRbpHrz4D3p8bJ67q5uXsInu1k9vBMHjMDO/Yabz3jbiQm2oHWsYDhQI&#10;4sKZmksNu+3yYwwiRGSDjWPS8E8B5rPXlylmxnW8pssmliJBOGSooYrRZ1KGoiKLYeA8cfIOrrUY&#10;k2xLaVrsEtw2cqTUp7RYc1qo0NOiouK0OVsNfz/s82Uni8N14VfHfNz8nnd7rd/f+u8vEJH6+Aw/&#10;2rnRMFJDNZnA/U/6AnJ2AwAA//8DAFBLAQItABQABgAIAAAAIQDb4fbL7gAAAIUBAAATAAAAAAAA&#10;AAAAAAAAAAAAAABbQ29udGVudF9UeXBlc10ueG1sUEsBAi0AFAAGAAgAAAAhAFr0LFu/AAAAFQEA&#10;AAsAAAAAAAAAAAAAAAAAHwEAAF9yZWxzLy5yZWxzUEsBAi0AFAAGAAgAAAAhAM6FBtTHAAAA3wAA&#10;AA8AAAAAAAAAAAAAAAAABwIAAGRycy9kb3ducmV2LnhtbFBLBQYAAAAAAwADALcAAAD7AgAAAAA=&#10;" filled="f" stroked="f">
                  <v:textbox inset="0,0,0,0">
                    <w:txbxContent>
                      <w:p w14:paraId="51E9E6B0" w14:textId="77777777" w:rsidR="00B32EF2" w:rsidRDefault="00000000">
                        <w:r>
                          <w:rPr>
                            <w:rFonts w:ascii="Arial" w:eastAsia="Arial" w:hAnsi="Arial" w:cs="Arial"/>
                            <w:sz w:val="18"/>
                          </w:rPr>
                          <w:t>. L’esercizio delle funzioni di rappresentanza e assistenza in violazione dei com</w:t>
                        </w:r>
                      </w:p>
                    </w:txbxContent>
                  </v:textbox>
                </v:rect>
                <v:rect id="Rectangle 201096" o:spid="_x0000_s4707" style="position:absolute;left:25754;top:56266;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KmxwAAAN8AAAAPAAAAZHJzL2Rvd25yZXYueG1sRI9BawIx&#10;FITvQv9DeIXeNNGD2K1RikW6h160Cj0+Ns/d1c1L2ER36683guBxmJlvmPmyt424UBtqxxrGIwWC&#10;uHCm5lLD7nc9nIEIEdlg45g0/FOA5eJlMMfMuI43dNnGUiQIhww1VDH6TMpQVGQxjJwnTt7BtRZj&#10;km0pTYtdgttGTpSaSos1p4UKPa0qKk7bs9Xw98U+X3eyOFxX/ueYz5rv826v9dtr//kBIlIfn+FH&#10;OzcaJmqs3qdw/5O+gFzcAAAA//8DAFBLAQItABQABgAIAAAAIQDb4fbL7gAAAIUBAAATAAAAAAAA&#10;AAAAAAAAAAAAAABbQ29udGVudF9UeXBlc10ueG1sUEsBAi0AFAAGAAgAAAAhAFr0LFu/AAAAFQEA&#10;AAsAAAAAAAAAAAAAAAAAHwEAAF9yZWxzLy5yZWxzUEsBAi0AFAAGAAgAAAAhAL8akqbHAAAA3wAA&#10;AA8AAAAAAAAAAAAAAAAABwIAAGRycy9kb3ducmV2LnhtbFBLBQYAAAAAAwADALcAAAD7AgAAAAA=&#10;" filled="f" stroked="f">
                  <v:textbox inset="0,0,0,0">
                    <w:txbxContent>
                      <w:p w14:paraId="668D155B" w14:textId="77777777" w:rsidR="00B32EF2" w:rsidRDefault="00000000">
                        <w:r>
                          <w:rPr>
                            <w:rFonts w:ascii="Arial" w:eastAsia="Arial" w:hAnsi="Arial" w:cs="Arial"/>
                            <w:sz w:val="18"/>
                          </w:rPr>
                          <w:t>14</w:t>
                        </w:r>
                      </w:p>
                    </w:txbxContent>
                  </v:textbox>
                </v:rect>
                <v:rect id="Rectangle 19757" o:spid="_x0000_s4708" style="position:absolute;left:191;top:562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PKmxQAAAN4AAAAPAAAAZHJzL2Rvd25yZXYueG1sRE9La8JA&#10;EL4X+h+WKXirGwUfja4iiphDL7UWehyyYxLNzi7Z1UR/vVsoeJuP7znzZWdqcaXGV5YVDPoJCOLc&#10;6ooLBYfv7fsUhA/IGmvLpOBGHpaL15c5ptq2/EXXfShEDGGfooIyBJdK6fOSDPq+dcSRO9rGYIiw&#10;KaRusI3hppbDJBlLgxXHhhIdrUvKz/uLUfC7YZdtW5kf72v3ecqm9e5y+FGq99atZiACdeEp/ndn&#10;Os7/mIwm8PdOvEEuHgAAAP//AwBQSwECLQAUAAYACAAAACEA2+H2y+4AAACFAQAAEwAAAAAAAAAA&#10;AAAAAAAAAAAAW0NvbnRlbnRfVHlwZXNdLnhtbFBLAQItABQABgAIAAAAIQBa9CxbvwAAABUBAAAL&#10;AAAAAAAAAAAAAAAAAB8BAABfcmVscy8ucmVsc1BLAQItABQABgAIAAAAIQCW6PKmxQAAAN4AAAAP&#10;AAAAAAAAAAAAAAAAAAcCAABkcnMvZG93bnJldi54bWxQSwUGAAAAAAMAAwC3AAAA+QIAAAAA&#10;" filled="f" stroked="f">
                  <v:textbox inset="0,0,0,0">
                    <w:txbxContent>
                      <w:p w14:paraId="3E9EA2A3" w14:textId="77777777" w:rsidR="00B32EF2" w:rsidRDefault="00000000">
                        <w:r>
                          <w:rPr>
                            <w:rFonts w:ascii="Arial" w:eastAsia="Arial" w:hAnsi="Arial" w:cs="Arial"/>
                            <w:sz w:val="18"/>
                          </w:rPr>
                          <w:t>-</w:t>
                        </w:r>
                      </w:p>
                    </w:txbxContent>
                  </v:textbox>
                </v:rect>
                <v:rect id="Rectangle 19758" o:spid="_x0000_s4709" style="position:absolute;left:-11420;top:55033;width:513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2bUyAAAAN4AAAAPAAAAZHJzL2Rvd25yZXYueG1sRI9Pb8Iw&#10;DMXvk/YdIk/iNtJN2sY6ApqYED1wGX+kHa3GtN0aJ2oC7fj0+IDEzdZ7fu/n6XxwrTpRFxvPBp7G&#10;GSji0tuGKwO77fJxAiomZIutZzLwTxHms/u7KebW9/xNp02qlIRwzNFAnVLItY5lTQ7j2Adi0Q6+&#10;c5hk7SptO+wl3LX6OctetcOGpaHGQIuayr/N0Rn4+eJQLHtdHs6LsP4tJu3quNsbM3oYPj9AJRrS&#10;zXy9Lqzgv7+9CK+8IzPo2QUAAP//AwBQSwECLQAUAAYACAAAACEA2+H2y+4AAACFAQAAEwAAAAAA&#10;AAAAAAAAAAAAAAAAW0NvbnRlbnRfVHlwZXNdLnhtbFBLAQItABQABgAIAAAAIQBa9CxbvwAAABUB&#10;AAALAAAAAAAAAAAAAAAAAB8BAABfcmVscy8ucmVsc1BLAQItABQABgAIAAAAIQDnd2bUyAAAAN4A&#10;AAAPAAAAAAAAAAAAAAAAAAcCAABkcnMvZG93bnJldi54bWxQSwUGAAAAAAMAAwC3AAAA/AIAAAAA&#10;" filled="f" stroked="f">
                  <v:textbox inset="0,0,0,0">
                    <w:txbxContent>
                      <w:p w14:paraId="232BCBB6" w14:textId="77777777" w:rsidR="00B32EF2" w:rsidRDefault="00000000">
                        <w:r>
                          <w:rPr>
                            <w:rFonts w:ascii="Arial" w:eastAsia="Arial" w:hAnsi="Arial" w:cs="Arial"/>
                            <w:sz w:val="18"/>
                          </w:rPr>
                          <w:t>mi 12 e 13 è punito con la sanzione amministrativa da euro 1.000 a euro 5.000.</w:t>
                        </w:r>
                      </w:p>
                    </w:txbxContent>
                  </v:textbox>
                </v:rect>
                <v:shape id="Shape 208016" o:spid="_x0000_s4710" style="position:absolute;left:317;top:4731;width:39600;height:50087;visibility:visible;mso-wrap-style:square;v-text-anchor:top" coordsize="3960000,5008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gFVxgAAAN8AAAAPAAAAZHJzL2Rvd25yZXYueG1sRI9La8Mw&#10;EITvhfwHsYHeGsluMMaNEppCIbfmdchxsdYPYq2MpTruv68CgRyHmfmGWW0m24mRBt861pAsFAji&#10;0pmWaw3n0/dbDsIHZIOdY9LwRx4269nLCgvjbnyg8RhqESHsC9TQhNAXUvqyIYt+4Xri6FVusBii&#10;HGppBrxFuO1kqlQmLbYcFxrs6auh8nr8tRry9/21Gy9V9WMTmV3sdrcN6VLr1/n0+QEi0BSe4Ud7&#10;ZzSkKldJBvc/8QvI9T8AAAD//wMAUEsBAi0AFAAGAAgAAAAhANvh9svuAAAAhQEAABMAAAAAAAAA&#10;AAAAAAAAAAAAAFtDb250ZW50X1R5cGVzXS54bWxQSwECLQAUAAYACAAAACEAWvQsW78AAAAVAQAA&#10;CwAAAAAAAAAAAAAAAAAfAQAAX3JlbHMvLnJlbHNQSwECLQAUAAYACAAAACEABk4BVcYAAADfAAAA&#10;DwAAAAAAAAAAAAAAAAAHAgAAZHJzL2Rvd25yZXYueG1sUEsFBgAAAAADAAMAtwAAAPoCAAAAAA==&#10;" path="m,l3960000,r,5008702l,5008702,,e" fillcolor="#c3c3c3" stroked="f" strokeweight="0">
                  <v:stroke miterlimit="83231f" joinstyle="miter"/>
                  <v:path arrowok="t" textboxrect="0,0,3960000,5008702"/>
                </v:shape>
                <v:rect id="Rectangle 19760" o:spid="_x0000_s4711" style="position:absolute;left:23287;top:52606;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aBvyAAAAN4AAAAPAAAAZHJzL2Rvd25yZXYueG1sRI9Pb8Iw&#10;DMXvk/YdIk/abaTswFhHQIgJrYdd+DNpR6sxbbfGiZpAC58eH5C42fLze+83WwyuVSfqYuPZwHiU&#10;gSIuvW24MrDfrV+moGJCtth6JgNnirCYPz7MMLe+5w2dtqlSYsIxRwN1SiHXOpY1OYwjH4jldvCd&#10;wyRrV2nbYS/mrtWvWTbRDhuWhBoDrWoq/7dHZ+D3k0Ox7nV5uKzC918xbb+O+x9jnp+G5QeoREO6&#10;i2/fhZX6728TARAcmUHPrwAAAP//AwBQSwECLQAUAAYACAAAACEA2+H2y+4AAACFAQAAEwAAAAAA&#10;AAAAAAAAAAAAAAAAW0NvbnRlbnRfVHlwZXNdLnhtbFBLAQItABQABgAIAAAAIQBa9CxbvwAAABUB&#10;AAALAAAAAAAAAAAAAAAAAB8BAABfcmVscy8ucmVsc1BLAQItABQABgAIAAAAIQDXbaBvyAAAAN4A&#10;AAAPAAAAAAAAAAAAAAAAAAcCAABkcnMvZG93bnJldi54bWxQSwUGAAAAAAMAAwC3AAAA/AIAAAAA&#10;" filled="f" stroked="f">
                  <v:textbox inset="0,0,0,0">
                    <w:txbxContent>
                      <w:p w14:paraId="53C5B881" w14:textId="77777777" w:rsidR="00B32EF2" w:rsidRDefault="00000000">
                        <w:r>
                          <w:rPr>
                            <w:rFonts w:ascii="Arial" w:eastAsia="Arial" w:hAnsi="Arial" w:cs="Arial"/>
                            <w:b/>
                            <w:i/>
                            <w:sz w:val="18"/>
                          </w:rPr>
                          <w:t>NORME RICHIAMATE</w:t>
                        </w:r>
                      </w:p>
                    </w:txbxContent>
                  </v:textbox>
                </v:rect>
                <v:rect id="Rectangle 19761" o:spid="_x0000_s4712" style="position:absolute;left:-11862;top:51373;width:509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QX0xAAAAN4AAAAPAAAAZHJzL2Rvd25yZXYueG1sRE9Li8Iw&#10;EL4v7H8II3jT1D242jWKuMj24MUX7HFoxrbaTEITbfXXbwRhb/PxPWe26EwtbtT4yrKC0TABQZxb&#10;XXGh4LBfDyYgfEDWWFsmBXfysJi/v80w1bblLd12oRAxhH2KCsoQXCqlz0sy6IfWEUfuZBuDIcKm&#10;kLrBNoabWn4kyVgarDg2lOhoVVJ+2V2Ngt9vdtm6lfnpsXKbczapf66Ho1L9Xrf8AhGoC//ilzvT&#10;cf70czyC5zvxBjn/AwAA//8DAFBLAQItABQABgAIAAAAIQDb4fbL7gAAAIUBAAATAAAAAAAAAAAA&#10;AAAAAAAAAABbQ29udGVudF9UeXBlc10ueG1sUEsBAi0AFAAGAAgAAAAhAFr0LFu/AAAAFQEAAAsA&#10;AAAAAAAAAAAAAAAAHwEAAF9yZWxzLy5yZWxzUEsBAi0AFAAGAAgAAAAhALghBfTEAAAA3gAAAA8A&#10;AAAAAAAAAAAAAAAABwIAAGRycy9kb3ducmV2LnhtbFBLBQYAAAAAAwADALcAAAD4AgAAAAA=&#10;" filled="f" stroked="f">
                  <v:textbox inset="0,0,0,0">
                    <w:txbxContent>
                      <w:p w14:paraId="44A22EFA" w14:textId="77777777" w:rsidR="00B32EF2" w:rsidRDefault="00000000">
                        <w:r>
                          <w:rPr>
                            <w:rFonts w:ascii="Arial" w:eastAsia="Arial" w:hAnsi="Arial" w:cs="Arial"/>
                            <w:i/>
                            <w:sz w:val="18"/>
                          </w:rPr>
                          <w:t xml:space="preserve">art. 53 D.lgs. 446/1997 “Albo per l’accertamento e riscossione delle entrate </w:t>
                        </w:r>
                      </w:p>
                    </w:txbxContent>
                  </v:textbox>
                </v:rect>
                <v:rect id="Rectangle 19762" o:spid="_x0000_s4713" style="position:absolute;left:28466;top:50140;width:1067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5uDxAAAAN4AAAAPAAAAZHJzL2Rvd25yZXYueG1sRE9Ni8Iw&#10;EL0v+B/CCN401YPrdo0iitiDl1UX9jg0Y1ttJqGJtvrrNwvC3ubxPme+7Ewt7tT4yrKC8SgBQZxb&#10;XXGh4HTcDmcgfEDWWFsmBQ/ysFz03uaYatvyF90PoRAxhH2KCsoQXCqlz0sy6EfWEUfubBuDIcKm&#10;kLrBNoabWk6SZCoNVhwbSnS0Lim/Hm5Gwc+GXbZtZX5+rt3+ks3q3e30rdSg360+QQTqwr/45c50&#10;nP/xPp3A3zvxBrn4BQAA//8DAFBLAQItABQABgAIAAAAIQDb4fbL7gAAAIUBAAATAAAAAAAAAAAA&#10;AAAAAAAAAABbQ29udGVudF9UeXBlc10ueG1sUEsBAi0AFAAGAAgAAAAhAFr0LFu/AAAAFQEAAAsA&#10;AAAAAAAAAAAAAAAAHwEAAF9yZWxzLy5yZWxzUEsBAi0AFAAGAAgAAAAhAEjzm4PEAAAA3gAAAA8A&#10;AAAAAAAAAAAAAAAABwIAAGRycy9kb3ducmV2LnhtbFBLBQYAAAAAAwADALcAAAD4AgAAAAA=&#10;" filled="f" stroked="f">
                  <v:textbox inset="0,0,0,0">
                    <w:txbxContent>
                      <w:p w14:paraId="635A6CEE" w14:textId="77777777" w:rsidR="00B32EF2" w:rsidRDefault="00000000">
                        <w:r>
                          <w:rPr>
                            <w:rFonts w:ascii="Arial" w:eastAsia="Arial" w:hAnsi="Arial" w:cs="Arial"/>
                            <w:i/>
                            <w:sz w:val="18"/>
                          </w:rPr>
                          <w:t>degli enti locali”</w:t>
                        </w:r>
                      </w:p>
                    </w:txbxContent>
                  </v:textbox>
                </v:rect>
                <v:rect id="Rectangle 19763" o:spid="_x0000_s4714" style="position:absolute;left:-5806;top:48906;width:449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z4YxQAAAN4AAAAPAAAAZHJzL2Rvd25yZXYueG1sRE9Na8JA&#10;EL0X+h+WKXirGxWsja4iipiDl1oLPQ7ZMYlmZ5fsaqK/3i0UvM3jfc5s0ZlaXKnxlWUFg34Cgji3&#10;uuJCweF78z4B4QOyxtoyKbiRh8X89WWGqbYtf9F1HwoRQ9inqKAMwaVS+rwkg75vHXHkjrYxGCJs&#10;CqkbbGO4qeUwScbSYMWxoURHq5Ly8/5iFPyu2WWbVubH+8rtTtmk3l4OP0r13rrlFESgLjzF/+5M&#10;x/mfH+MR/L0Tb5DzBwAAAP//AwBQSwECLQAUAAYACAAAACEA2+H2y+4AAACFAQAAEwAAAAAAAAAA&#10;AAAAAAAAAAAAW0NvbnRlbnRfVHlwZXNdLnhtbFBLAQItABQABgAIAAAAIQBa9CxbvwAAABUBAAAL&#10;AAAAAAAAAAAAAAAAAB8BAABfcmVscy8ucmVsc1BLAQItABQABgAIAAAAIQAnvz4YxQAAAN4AAAAP&#10;AAAAAAAAAAAAAAAAAAcCAABkcnMvZG93bnJldi54bWxQSwUGAAAAAAMAAwC3AAAA+QIAAAAA&#10;" filled="f" stroked="f">
                  <v:textbox inset="0,0,0,0">
                    <w:txbxContent>
                      <w:p w14:paraId="09C2BC5A" w14:textId="77777777" w:rsidR="00B32EF2" w:rsidRDefault="00000000">
                        <w:r>
                          <w:rPr>
                            <w:rFonts w:ascii="Arial" w:eastAsia="Arial" w:hAnsi="Arial" w:cs="Arial"/>
                            <w:i/>
                            <w:sz w:val="18"/>
                          </w:rPr>
                          <w:t xml:space="preserve">art. 30 dpr. 636/1972: “Rappresentanza e difesa del contribuente” </w:t>
                        </w:r>
                      </w:p>
                    </w:txbxContent>
                  </v:textbox>
                </v:rect>
                <v:rect id="Rectangle 201082" o:spid="_x0000_s4715" style="position:absolute;left:26081;top:47673;width:500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J4xwAAAN8AAAAPAAAAZHJzL2Rvd25yZXYueG1sRI/NasMw&#10;EITvgb6D2EJuiRQfgnGjhJIS6kMvzQ/0uFgb2621EpYSu336KhDIcZiZb5jVZrSduFIfWscaFnMF&#10;grhypuVaw/Gwm+UgQkQ22DkmDb8UYLN+mqywMG7gT7ruYy0ShEOBGpoYfSFlqBqyGObOEyfv7HqL&#10;Mcm+lqbHIcFtJzOlltJiy2mhQU/bhqqf/cVq+HpjX+4GWZ3/tv7ju8y798vxpPX0eXx9ARFpjI/w&#10;vV0aDZlaqDyD25/0BeT6HwAA//8DAFBLAQItABQABgAIAAAAIQDb4fbL7gAAAIUBAAATAAAAAAAA&#10;AAAAAAAAAAAAAABbQ29udGVudF9UeXBlc10ueG1sUEsBAi0AFAAGAAgAAAAhAFr0LFu/AAAAFQEA&#10;AAsAAAAAAAAAAAAAAAAAHwEAAF9yZWxzLy5yZWxzUEsBAi0AFAAGAAgAAAAhAEX4AnjHAAAA3wAA&#10;AA8AAAAAAAAAAAAAAAAABwIAAGRycy9kb3ducmV2LnhtbFBLBQYAAAAAAwADALcAAAD7AgAAAAA=&#10;" filled="f" stroked="f">
                  <v:textbox inset="0,0,0,0">
                    <w:txbxContent>
                      <w:p w14:paraId="095CF62D" w14:textId="77777777" w:rsidR="00B32EF2" w:rsidRDefault="00000000">
                        <w:r>
                          <w:rPr>
                            <w:rFonts w:ascii="Arial" w:eastAsia="Arial" w:hAnsi="Arial" w:cs="Arial"/>
                            <w:i/>
                            <w:sz w:val="18"/>
                          </w:rPr>
                          <w:t>1</w:t>
                        </w:r>
                      </w:p>
                    </w:txbxContent>
                  </v:textbox>
                </v:rect>
                <v:rect id="Rectangle 201087" o:spid="_x0000_s4716" style="position:absolute;left:-11506;top:47673;width:500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6HgyAAAAN8AAAAPAAAAZHJzL2Rvd25yZXYueG1sRI9Ba8JA&#10;FITvhf6H5RV6q7t6qCF1FbFIc+hFm0KPj+wzSc2+XbKrSf31riD0OMzMN8xiNdpOnKkPrWMN04kC&#10;QVw503KtofzavmQgQkQ22DkmDX8UYLV8fFhgbtzAOzrvYy0ShEOOGpoYfS5lqBqyGCbOEyfv4HqL&#10;Mcm+lqbHIcFtJ2dKvUqLLaeFBj1tGqqO+5PV8PPOvtgOsjpcNv7zt8i6j1P5rfXz07h+AxFpjP/h&#10;e7swGmZqqrI53P6kLyCXVwAAAP//AwBQSwECLQAUAAYACAAAACEA2+H2y+4AAACFAQAAEwAAAAAA&#10;AAAAAAAAAAAAAAAAW0NvbnRlbnRfVHlwZXNdLnhtbFBLAQItABQABgAIAAAAIQBa9CxbvwAAABUB&#10;AAALAAAAAAAAAAAAAAAAAB8BAABfcmVscy8ucmVsc1BLAQItABQABgAIAAAAIQBVj6HgyAAAAN8A&#10;AAAPAAAAAAAAAAAAAAAAAAcCAABkcnMvZG93bnJldi54bWxQSwUGAAAAAAMAAwC3AAAA/AIAAAAA&#10;" filled="f" stroked="f">
                  <v:textbox inset="0,0,0,0">
                    <w:txbxContent>
                      <w:p w14:paraId="5C04C7A6" w14:textId="77777777" w:rsidR="00B32EF2" w:rsidRDefault="00000000">
                        <w:r>
                          <w:rPr>
                            <w:rFonts w:ascii="Arial" w:eastAsia="Arial" w:hAnsi="Arial" w:cs="Arial"/>
                            <w:i/>
                            <w:sz w:val="18"/>
                          </w:rPr>
                          <w:t>. Il   ricorrente,  l’intervenuto   ed  il  chiamato  in  giudizio  davanti alla com</w:t>
                        </w:r>
                      </w:p>
                    </w:txbxContent>
                  </v:textbox>
                </v:rect>
                <v:rect id="Rectangle 19765" o:spid="_x0000_s4717" style="position:absolute;left:975;top:4767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gP3xQAAAN4AAAAPAAAAZHJzL2Rvd25yZXYueG1sRE9Na8JA&#10;EL0X+h+WKXirGwWtja4iipiDl1oLPQ7ZMYlmZ5fsaqK/3i0UvM3jfc5s0ZlaXKnxlWUFg34Cgji3&#10;uuJCweF78z4B4QOyxtoyKbiRh8X89WWGqbYtf9F1HwoRQ9inqKAMwaVS+rwkg75vHXHkjrYxGCJs&#10;CqkbbGO4qeUwScbSYMWxoURHq5Ly8/5iFPyu2WWbVubH+8rtTtmk3l4OP0r13rrlFESgLjzF/+5M&#10;x/mfH+MR/L0Tb5DzBwAAAP//AwBQSwECLQAUAAYACAAAACEA2+H2y+4AAACFAQAAEwAAAAAAAAAA&#10;AAAAAAAAAAAAW0NvbnRlbnRfVHlwZXNdLnhtbFBLAQItABQABgAIAAAAIQBa9CxbvwAAABUBAAAL&#10;AAAAAAAAAAAAAAAAAB8BAABfcmVscy8ucmVsc1BLAQItABQABgAIAAAAIQDHGgP3xQAAAN4AAAAP&#10;AAAAAAAAAAAAAAAAAAcCAABkcnMvZG93bnJldi54bWxQSwUGAAAAAAMAAwC3AAAA+QIAAAAA&#10;" filled="f" stroked="f">
                  <v:textbox inset="0,0,0,0">
                    <w:txbxContent>
                      <w:p w14:paraId="510E2E1D" w14:textId="77777777" w:rsidR="00B32EF2" w:rsidRDefault="00000000">
                        <w:r>
                          <w:rPr>
                            <w:rFonts w:ascii="Arial" w:eastAsia="Arial" w:hAnsi="Arial" w:cs="Arial"/>
                            <w:i/>
                            <w:sz w:val="18"/>
                          </w:rPr>
                          <w:t>-</w:t>
                        </w:r>
                      </w:p>
                    </w:txbxContent>
                  </v:textbox>
                </v:rect>
                <v:rect id="Rectangle 19766" o:spid="_x0000_s4718" style="position:absolute;left:-10890;top:46440;width:500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J2AxAAAAN4AAAAPAAAAZHJzL2Rvd25yZXYueG1sRE9Na8JA&#10;EL0L/Q/LCN7qRg9RU1cpFjEHL1ULPQ7ZMUmbnV2yq4n+erdQ8DaP9znLdW8acaXW15YVTMYJCOLC&#10;6ppLBafj9nUOwgdkjY1lUnAjD+vVy2CJmbYdf9L1EEoRQ9hnqKAKwWVS+qIig35sHXHkzrY1GCJs&#10;S6lb7GK4aeQ0SVJpsObYUKGjTUXF7+FiFHx/sMu3nSzO943b/+TzZnc5fSk1GvbvbyAC9eEp/nfn&#10;Os5fzNIU/t6JN8jVAwAA//8DAFBLAQItABQABgAIAAAAIQDb4fbL7gAAAIUBAAATAAAAAAAAAAAA&#10;AAAAAAAAAABbQ29udGVudF9UeXBlc10ueG1sUEsBAi0AFAAGAAgAAAAhAFr0LFu/AAAAFQEAAAsA&#10;AAAAAAAAAAAAAAAAHwEAAF9yZWxzLy5yZWxzUEsBAi0AFAAGAAgAAAAhADfInYDEAAAA3gAAAA8A&#10;AAAAAAAAAAAAAAAABwIAAGRycy9kb3ducmV2LnhtbFBLBQYAAAAAAwADALcAAAD4AgAAAAA=&#10;" filled="f" stroked="f">
                  <v:textbox inset="0,0,0,0">
                    <w:txbxContent>
                      <w:p w14:paraId="6BCD3D52" w14:textId="77777777" w:rsidR="00B32EF2" w:rsidRDefault="00000000">
                        <w:r>
                          <w:rPr>
                            <w:rFonts w:ascii="Arial" w:eastAsia="Arial" w:hAnsi="Arial" w:cs="Arial"/>
                            <w:i/>
                            <w:sz w:val="18"/>
                          </w:rPr>
                          <w:t>missione  Tributaria possono  agire personalmente  o  mediante  procurato</w:t>
                        </w:r>
                      </w:p>
                    </w:txbxContent>
                  </v:textbox>
                </v:rect>
                <v:rect id="Rectangle 19767" o:spid="_x0000_s4719" style="position:absolute;left:975;top:4644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gbxAAAAN4AAAAPAAAAZHJzL2Rvd25yZXYueG1sRE9Li8Iw&#10;EL4v+B/CCN7WdPfgoxplcRF72Isv8Dg0Y1ttJqGJtvrrN8LC3ubje8582Zla3KnxlWUFH8MEBHFu&#10;dcWFgsN+/T4B4QOyxtoyKXiQh+Wi9zbHVNuWt3TfhULEEPYpKihDcKmUPi/JoB9aRxy5s20Mhgib&#10;QuoG2xhuavmZJCNpsOLYUKKjVUn5dXczCk7f7LJ1K/Pzc+V+Ltmk3twOR6UG/e5rBiJQF/7Ff+5M&#10;x/nT8WgMr3fiDXLxCwAA//8DAFBLAQItABQABgAIAAAAIQDb4fbL7gAAAIUBAAATAAAAAAAAAAAA&#10;AAAAAAAAAABbQ29udGVudF9UeXBlc10ueG1sUEsBAi0AFAAGAAgAAAAhAFr0LFu/AAAAFQEAAAsA&#10;AAAAAAAAAAAAAAAAHwEAAF9yZWxzLy5yZWxzUEsBAi0AFAAGAAgAAAAhAFiEOBvEAAAA3gAAAA8A&#10;AAAAAAAAAAAAAAAABwIAAGRycy9kb3ducmV2LnhtbFBLBQYAAAAAAwADALcAAAD4AgAAAAA=&#10;" filled="f" stroked="f">
                  <v:textbox inset="0,0,0,0">
                    <w:txbxContent>
                      <w:p w14:paraId="5F49E455" w14:textId="77777777" w:rsidR="00B32EF2" w:rsidRDefault="00000000">
                        <w:r>
                          <w:rPr>
                            <w:rFonts w:ascii="Arial" w:eastAsia="Arial" w:hAnsi="Arial" w:cs="Arial"/>
                            <w:i/>
                            <w:sz w:val="18"/>
                          </w:rPr>
                          <w:t>-</w:t>
                        </w:r>
                      </w:p>
                    </w:txbxContent>
                  </v:textbox>
                </v:rect>
                <v:rect id="Rectangle 19768" o:spid="_x0000_s4720" style="position:absolute;left:-11878;top:45206;width:510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6xpyAAAAN4AAAAPAAAAZHJzL2Rvd25yZXYueG1sRI9Pb8Iw&#10;DMXvk/YdIk/abaTswFhHQIgJrYdd+DNpR6sxbbfGiZpAC58eH5C42XrP7/08WwyuVSfqYuPZwHiU&#10;gSIuvW24MrDfrV+moGJCtth6JgNnirCYPz7MMLe+5w2dtqlSEsIxRwN1SiHXOpY1OYwjH4hFO/jO&#10;YZK1q7TtsJdw1+rXLJtohw1LQ42BVjWV/9ujM/D7yaFY97o8XFbh+6+Ytl/H/Y8xz0/D8gNUoiHd&#10;zbfrwgr++9tEeOUdmUHPrwAAAP//AwBQSwECLQAUAAYACAAAACEA2+H2y+4AAACFAQAAEwAAAAAA&#10;AAAAAAAAAAAAAAAAW0NvbnRlbnRfVHlwZXNdLnhtbFBLAQItABQABgAIAAAAIQBa9CxbvwAAABUB&#10;AAALAAAAAAAAAAAAAAAAAB8BAABfcmVscy8ucmVsc1BLAQItABQABgAIAAAAIQApG6xpyAAAAN4A&#10;AAAPAAAAAAAAAAAAAAAAAAcCAABkcnMvZG93bnJldi54bWxQSwUGAAAAAAMAAwC3AAAA/AIAAAAA&#10;" filled="f" stroked="f">
                  <v:textbox inset="0,0,0,0">
                    <w:txbxContent>
                      <w:p w14:paraId="3C296E55" w14:textId="77777777" w:rsidR="00B32EF2" w:rsidRDefault="00000000">
                        <w:r>
                          <w:rPr>
                            <w:rFonts w:ascii="Arial" w:eastAsia="Arial" w:hAnsi="Arial" w:cs="Arial"/>
                            <w:i/>
                            <w:sz w:val="18"/>
                          </w:rPr>
                          <w:t xml:space="preserve">re generale o speciale. La   procedura  speciale   può essere conferita con </w:t>
                        </w:r>
                      </w:p>
                    </w:txbxContent>
                  </v:textbox>
                </v:rect>
                <v:rect id="Rectangle 19769" o:spid="_x0000_s4721" style="position:absolute;left:-11904;top:43973;width:51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wnyxAAAAN4AAAAPAAAAZHJzL2Rvd25yZXYueG1sRE9Ni8Iw&#10;EL0L/ocwgjdN9eBq1yiiiD3sZV0X9jg0Y1ttJqGJtvrrNwsL3ubxPme57kwt7tT4yrKCyTgBQZxb&#10;XXGh4PS1H81B+ICssbZMCh7kYb3q95aYatvyJ92PoRAxhH2KCsoQXCqlz0sy6MfWEUfubBuDIcKm&#10;kLrBNoabWk6TZCYNVhwbSnS0LSm/Hm9Gwc+OXbZvZX5+bt3HJZvXh9vpW6nhoNu8gwjUhZf4353p&#10;OH/xNlvA3zvxBrn6BQAA//8DAFBLAQItABQABgAIAAAAIQDb4fbL7gAAAIUBAAATAAAAAAAAAAAA&#10;AAAAAAAAAABbQ29udGVudF9UeXBlc10ueG1sUEsBAi0AFAAGAAgAAAAhAFr0LFu/AAAAFQEAAAsA&#10;AAAAAAAAAAAAAAAAHwEAAF9yZWxzLy5yZWxzUEsBAi0AFAAGAAgAAAAhAEZXCfLEAAAA3gAAAA8A&#10;AAAAAAAAAAAAAAAABwIAAGRycy9kb3ducmV2LnhtbFBLBQYAAAAAAwADALcAAAD4AgAAAAA=&#10;" filled="f" stroked="f">
                  <v:textbox inset="0,0,0,0">
                    <w:txbxContent>
                      <w:p w14:paraId="23E2A71D" w14:textId="77777777" w:rsidR="00B32EF2" w:rsidRDefault="00000000">
                        <w:r>
                          <w:rPr>
                            <w:rFonts w:ascii="Arial" w:eastAsia="Arial" w:hAnsi="Arial" w:cs="Arial"/>
                            <w:i/>
                            <w:sz w:val="18"/>
                          </w:rPr>
                          <w:t xml:space="preserve">atto pubblico o scrittura privata  autenticata;  con  scrittura privata anche </w:t>
                        </w:r>
                      </w:p>
                    </w:txbxContent>
                  </v:textbox>
                </v:rect>
                <v:rect id="Rectangle 19770" o:spid="_x0000_s4722" style="position:absolute;left:-11865;top:42740;width:509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DayyAAAAN4AAAAPAAAAZHJzL2Rvd25yZXYueG1sRI9Pb8Iw&#10;DMXvSHyHyEi7QbodBusIaGJC62EX/kza0WpM261xoibQbp8eH5C42fLze++3XA+uVRfqYuPZwOMs&#10;A0VcettwZeB42E4XoGJCtth6JgN/FGG9Go+WmFvf844u+1QpMeGYo4E6pZBrHcuaHMaZD8RyO/nO&#10;YZK1q7TtsBdz1+qnLHvWDhuWhBoDbWoqf/dnZ+D7nUOx7XV5+t+Ez59i0X6cj1/GPEyGt1dQiYZ0&#10;F9++Cyv1X+ZzARAcmUGvrgAAAP//AwBQSwECLQAUAAYACAAAACEA2+H2y+4AAACFAQAAEwAAAAAA&#10;AAAAAAAAAAAAAAAAW0NvbnRlbnRfVHlwZXNdLnhtbFBLAQItABQABgAIAAAAIQBa9CxbvwAAABUB&#10;AAALAAAAAAAAAAAAAAAAAB8BAABfcmVscy8ucmVsc1BLAQItABQABgAIAAAAIQBStDayyAAAAN4A&#10;AAAPAAAAAAAAAAAAAAAAAAcCAABkcnMvZG93bnJldi54bWxQSwUGAAAAAAMAAwC3AAAA/AIAAAAA&#10;" filled="f" stroked="f">
                  <v:textbox inset="0,0,0,0">
                    <w:txbxContent>
                      <w:p w14:paraId="15F5C0DB" w14:textId="77777777" w:rsidR="00B32EF2" w:rsidRDefault="00000000">
                        <w:r>
                          <w:rPr>
                            <w:rFonts w:ascii="Arial" w:eastAsia="Arial" w:hAnsi="Arial" w:cs="Arial"/>
                            <w:i/>
                            <w:sz w:val="18"/>
                          </w:rPr>
                          <w:t xml:space="preserve">non autenticata al coniuge e   a parenti  o affini entro il quarto grado,  ai soli </w:t>
                        </w:r>
                      </w:p>
                    </w:txbxContent>
                  </v:textbox>
                </v:rect>
                <v:rect id="Rectangle 19771" o:spid="_x0000_s4723" style="position:absolute;left:20725;top:41506;width:184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MpxQAAAN4AAAAPAAAAZHJzL2Rvd25yZXYueG1sRE9Li8Iw&#10;EL4L+x/CLHhbU/fgoxplcZHtwcv6AI9DM7bVZhKaaKu/3iwseJuP7znzZWdqcaPGV5YVDAcJCOLc&#10;6ooLBfvd+mMCwgdkjbVlUnAnD8vFW2+OqbYt/9JtGwoRQ9inqKAMwaVS+rwkg35gHXHkTrYxGCJs&#10;CqkbbGO4qeVnkoykwYpjQ4mOViXll+3VKDh+s8vWrcxPj5XbnLNJ/XPdH5Tqv3dfMxCBuvAS/7sz&#10;HedPx+Mh/L0Tb5CLJwAAAP//AwBQSwECLQAUAAYACAAAACEA2+H2y+4AAACFAQAAEwAAAAAAAAAA&#10;AAAAAAAAAAAAW0NvbnRlbnRfVHlwZXNdLnhtbFBLAQItABQABgAIAAAAIQBa9CxbvwAAABUBAAAL&#10;AAAAAAAAAAAAAAAAAB8BAABfcmVscy8ucmVsc1BLAQItABQABgAIAAAAIQA9+JMpxQAAAN4AAAAP&#10;AAAAAAAAAAAAAAAAAAcCAABkcnMvZG93bnJldi54bWxQSwUGAAAAAAMAAwC3AAAA+QIAAAAA&#10;" filled="f" stroked="f">
                  <v:textbox inset="0,0,0,0">
                    <w:txbxContent>
                      <w:p w14:paraId="2AD8071F" w14:textId="77777777" w:rsidR="00B32EF2" w:rsidRDefault="00000000">
                        <w:r>
                          <w:rPr>
                            <w:rFonts w:ascii="Arial" w:eastAsia="Arial" w:hAnsi="Arial" w:cs="Arial"/>
                            <w:i/>
                            <w:sz w:val="18"/>
                          </w:rPr>
                          <w:t>fini della discussione orale.</w:t>
                        </w:r>
                      </w:p>
                    </w:txbxContent>
                  </v:textbox>
                </v:rect>
                <v:rect id="Rectangle 201078" o:spid="_x0000_s4724" style="position:absolute;left:26083;top:40273;width:500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UW1xAAAAN8AAAAPAAAAZHJzL2Rvd25yZXYueG1sRE89b8Iw&#10;EN0r8R+sQ+pWbBgoChiEQIgMXUqDxHiKjyQQn63YkLS/vh4qdXx636vNYFvxpC40jjVMJwoEcelM&#10;w5WG4uvwtgARIrLB1jFp+KYAm/XoZYWZcT1/0vMUK5FCOGSooY7RZ1KGsiaLYeI8ceKurrMYE+wq&#10;aTrsU7ht5UypubTYcGqo0dOupvJ+elgNlz37/NDL8vqz8x+3fNEeH8VZ69fxsF2CiDTEf/GfOzca&#10;Zmqq3tPg9Cd9Abn+BQAA//8DAFBLAQItABQABgAIAAAAIQDb4fbL7gAAAIUBAAATAAAAAAAAAAAA&#10;AAAAAAAAAABbQ29udGVudF9UeXBlc10ueG1sUEsBAi0AFAAGAAgAAAAhAFr0LFu/AAAAFQEAAAsA&#10;AAAAAAAAAAAAAAAAHwEAAF9yZWxzLy5yZWxzUEsBAi0AFAAGAAgAAAAhABHFRbXEAAAA3wAAAA8A&#10;AAAAAAAAAAAAAAAABwIAAGRycy9kb3ducmV2LnhtbFBLBQYAAAAAAwADALcAAAD4AgAAAAA=&#10;" filled="f" stroked="f">
                  <v:textbox inset="0,0,0,0">
                    <w:txbxContent>
                      <w:p w14:paraId="614B0D6B" w14:textId="77777777" w:rsidR="00B32EF2" w:rsidRDefault="00000000">
                        <w:r>
                          <w:rPr>
                            <w:rFonts w:ascii="Arial" w:eastAsia="Arial" w:hAnsi="Arial" w:cs="Arial"/>
                            <w:i/>
                            <w:sz w:val="18"/>
                          </w:rPr>
                          <w:t>2</w:t>
                        </w:r>
                      </w:p>
                    </w:txbxContent>
                  </v:textbox>
                </v:rect>
                <v:rect id="Rectangle 201080" o:spid="_x0000_s4725" style="position:absolute;left:-11551;top:40273;width:500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jmUxgAAAN8AAAAPAAAAZHJzL2Rvd25yZXYueG1sRI/LisIw&#10;FIb3A75DOIK7MdHFUDpGGRSxi9l4GZjloTm2nWlOQhNt9enNQnD589/4FqvBtuJKXWgca5hNFQji&#10;0pmGKw2n4/Y9AxEissHWMWm4UYDVcvS2wNy4nvd0PcRKpBEOOWqoY/S5lKGsyWKYOk+cvLPrLMYk&#10;u0qaDvs0bls5V+pDWmw4PdToaV1T+X+4WA2/G/bFtpfl+b72339F1u4upx+tJ+Ph6xNEpCG+ws92&#10;YTTM1UxliSDxJBaQywcAAAD//wMAUEsBAi0AFAAGAAgAAAAhANvh9svuAAAAhQEAABMAAAAAAAAA&#10;AAAAAAAAAAAAAFtDb250ZW50X1R5cGVzXS54bWxQSwECLQAUAAYACAAAACEAWvQsW78AAAAVAQAA&#10;CwAAAAAAAAAAAAAAAAAfAQAAX3JlbHMvLnJlbHNQSwECLQAUAAYACAAAACEA2mY5lMYAAADfAAAA&#10;DwAAAAAAAAAAAAAAAAAHAgAAZHJzL2Rvd25yZXYueG1sUEsFBgAAAAADAAMAtwAAAPoCAAAAAA==&#10;" filled="f" stroked="f">
                  <v:textbox inset="0,0,0,0">
                    <w:txbxContent>
                      <w:p w14:paraId="42A08E46" w14:textId="77777777" w:rsidR="00B32EF2" w:rsidRDefault="00000000">
                        <w:r>
                          <w:rPr>
                            <w:rFonts w:ascii="Arial" w:eastAsia="Arial" w:hAnsi="Arial" w:cs="Arial"/>
                            <w:i/>
                            <w:sz w:val="18"/>
                          </w:rPr>
                          <w:t>. Sia la  parte che il procuratore generale o speciale possono farsi assiste</w:t>
                        </w:r>
                      </w:p>
                    </w:txbxContent>
                  </v:textbox>
                </v:rect>
                <v:rect id="Rectangle 19773" o:spid="_x0000_s4726" style="position:absolute;left:975;top:4027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jFxQAAAN4AAAAPAAAAZHJzL2Rvd25yZXYueG1sRE9Na8JA&#10;EL0X+h+WKXirGxXURlcRRcyhl1oLPQ7ZMYlmZ5fsaqK/3i0UvM3jfc582ZlaXKnxlWUFg34Cgji3&#10;uuJCweF7+z4F4QOyxtoyKbiRh+Xi9WWOqbYtf9F1HwoRQ9inqKAMwaVS+rwkg75vHXHkjrYxGCJs&#10;CqkbbGO4qeUwScbSYMWxoURH65Ly8/5iFPxu2GXbVubH+9p9nrJpvbscfpTqvXWrGYhAXXiK/92Z&#10;jvM/JpMR/L0Tb5CLBwAAAP//AwBQSwECLQAUAAYACAAAACEA2+H2y+4AAACFAQAAEwAAAAAAAAAA&#10;AAAAAAAAAAAAW0NvbnRlbnRfVHlwZXNdLnhtbFBLAQItABQABgAIAAAAIQBa9CxbvwAAABUBAAAL&#10;AAAAAAAAAAAAAAAAAB8BAABfcmVscy8ucmVsc1BLAQItABQABgAIAAAAIQCiZqjFxQAAAN4AAAAP&#10;AAAAAAAAAAAAAAAAAAcCAABkcnMvZG93bnJldi54bWxQSwUGAAAAAAMAAwC3AAAA+QIAAAAA&#10;" filled="f" stroked="f">
                  <v:textbox inset="0,0,0,0">
                    <w:txbxContent>
                      <w:p w14:paraId="34A35EC4" w14:textId="77777777" w:rsidR="00B32EF2" w:rsidRDefault="00000000">
                        <w:r>
                          <w:rPr>
                            <w:rFonts w:ascii="Arial" w:eastAsia="Arial" w:hAnsi="Arial" w:cs="Arial"/>
                            <w:i/>
                            <w:sz w:val="18"/>
                          </w:rPr>
                          <w:t>-</w:t>
                        </w:r>
                      </w:p>
                    </w:txbxContent>
                  </v:textbox>
                </v:rect>
                <v:rect id="Rectangle 19774" o:spid="_x0000_s4727" style="position:absolute;left:-11856;top:39040;width:509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zCxxQAAAN4AAAAPAAAAZHJzL2Rvd25yZXYueG1sRE9Na8JA&#10;EL0X+h+WKXirG0XURlcRRcyhl1oLPQ7ZMYlmZ5fsaqK/3i0UvM3jfc582ZlaXKnxlWUFg34Cgji3&#10;uuJCweF7+z4F4QOyxtoyKbiRh+Xi9WWOqbYtf9F1HwoRQ9inqKAMwaVS+rwkg75vHXHkjrYxGCJs&#10;CqkbbGO4qeUwScbSYMWxoURH65Ly8/5iFPxu2GXbVubH+9p9nrJpvbscfpTqvXWrGYhAXXiK/92Z&#10;jvM/JpMR/L0Tb5CLBwAAAP//AwBQSwECLQAUAAYACAAAACEA2+H2y+4AAACFAQAAEwAAAAAAAAAA&#10;AAAAAAAAAAAAW0NvbnRlbnRfVHlwZXNdLnhtbFBLAQItABQABgAIAAAAIQBa9CxbvwAAABUBAAAL&#10;AAAAAAAAAAAAAAAAAB8BAABfcmVscy8ucmVsc1BLAQItABQABgAIAAAAIQAtjzCxxQAAAN4AAAAP&#10;AAAAAAAAAAAAAAAAAAcCAABkcnMvZG93bnJldi54bWxQSwUGAAAAAAMAAwC3AAAA+QIAAAAA&#10;" filled="f" stroked="f">
                  <v:textbox inset="0,0,0,0">
                    <w:txbxContent>
                      <w:p w14:paraId="4DBFFA9C" w14:textId="77777777" w:rsidR="00B32EF2" w:rsidRDefault="00000000">
                        <w:r>
                          <w:rPr>
                            <w:rFonts w:ascii="Arial" w:eastAsia="Arial" w:hAnsi="Arial" w:cs="Arial"/>
                            <w:i/>
                            <w:sz w:val="18"/>
                          </w:rPr>
                          <w:t xml:space="preserve">re erappresentare in  giudizio da iscritti negli albi degli avvocati, procuratori, </w:t>
                        </w:r>
                      </w:p>
                    </w:txbxContent>
                  </v:textbox>
                </v:rect>
                <v:rect id="Rectangle 19775" o:spid="_x0000_s4728" style="position:absolute;left:-10911;top:37807;width:5004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5UqxQAAAN4AAAAPAAAAZHJzL2Rvd25yZXYueG1sRE9La8JA&#10;EL4X+h+WKXirGwUfja4iiphDL7UWehyyYxLNzi7Z1UR/vVsoeJuP7znzZWdqcaXGV5YVDPoJCOLc&#10;6ooLBYfv7fsUhA/IGmvLpOBGHpaL15c5ptq2/EXXfShEDGGfooIyBJdK6fOSDPq+dcSRO9rGYIiw&#10;KaRusI3hppbDJBlLgxXHhhIdrUvKz/uLUfC7YZdtW5kf72v3ecqm9e5y+FGq99atZiACdeEp/ndn&#10;Os7/mExG8PdOvEEuHgAAAP//AwBQSwECLQAUAAYACAAAACEA2+H2y+4AAACFAQAAEwAAAAAAAAAA&#10;AAAAAAAAAAAAW0NvbnRlbnRfVHlwZXNdLnhtbFBLAQItABQABgAIAAAAIQBa9CxbvwAAABUBAAAL&#10;AAAAAAAAAAAAAAAAAB8BAABfcmVscy8ucmVsc1BLAQItABQABgAIAAAAIQBCw5UqxQAAAN4AAAAP&#10;AAAAAAAAAAAAAAAAAAcCAABkcnMvZG93bnJldi54bWxQSwUGAAAAAAMAAwC3AAAA+QIAAAAA&#10;" filled="f" stroked="f">
                  <v:textbox inset="0,0,0,0">
                    <w:txbxContent>
                      <w:p w14:paraId="28352C9B" w14:textId="77777777" w:rsidR="00B32EF2" w:rsidRDefault="00000000">
                        <w:r>
                          <w:rPr>
                            <w:rFonts w:ascii="Arial" w:eastAsia="Arial" w:hAnsi="Arial" w:cs="Arial"/>
                            <w:i/>
                            <w:sz w:val="18"/>
                          </w:rPr>
                          <w:t>notai, dottori   commercialisti,   ingegneri,  architetti, dottori in agraria, ra</w:t>
                        </w:r>
                      </w:p>
                    </w:txbxContent>
                  </v:textbox>
                </v:rect>
                <v:rect id="Rectangle 19776" o:spid="_x0000_s4729" style="position:absolute;left:975;top:37807;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QtdxAAAAN4AAAAPAAAAZHJzL2Rvd25yZXYueG1sRE9Li8Iw&#10;EL4v+B/CCN7WdPfgoxplcRF72Isv8Dg0Y1ttJqGJtvrrN8LC3ubje8582Zla3KnxlWUFH8MEBHFu&#10;dcWFgsN+/T4B4QOyxtoyKXiQh+Wi9zbHVNuWt3TfhULEEPYpKihDcKmUPi/JoB9aRxy5s20Mhgib&#10;QuoG2xhuavmZJCNpsOLYUKKjVUn5dXczCk7f7LJ1K/Pzc+V+Ltmk3twOR6UG/e5rBiJQF/7Ff+5M&#10;x/nT8XgEr3fiDXLxCwAA//8DAFBLAQItABQABgAIAAAAIQDb4fbL7gAAAIUBAAATAAAAAAAAAAAA&#10;AAAAAAAAAABbQ29udGVudF9UeXBlc10ueG1sUEsBAi0AFAAGAAgAAAAhAFr0LFu/AAAAFQEAAAsA&#10;AAAAAAAAAAAAAAAAHwEAAF9yZWxzLy5yZWxzUEsBAi0AFAAGAAgAAAAhALIRC13EAAAA3gAAAA8A&#10;AAAAAAAAAAAAAAAABwIAAGRycy9kb3ducmV2LnhtbFBLBQYAAAAAAwADALcAAAD4AgAAAAA=&#10;" filled="f" stroked="f">
                  <v:textbox inset="0,0,0,0">
                    <w:txbxContent>
                      <w:p w14:paraId="74C6C87F" w14:textId="77777777" w:rsidR="00B32EF2" w:rsidRDefault="00000000">
                        <w:r>
                          <w:rPr>
                            <w:rFonts w:ascii="Arial" w:eastAsia="Arial" w:hAnsi="Arial" w:cs="Arial"/>
                            <w:i/>
                            <w:sz w:val="18"/>
                          </w:rPr>
                          <w:t>-</w:t>
                        </w:r>
                      </w:p>
                    </w:txbxContent>
                  </v:textbox>
                </v:rect>
                <v:rect id="Rectangle 19777" o:spid="_x0000_s4730" style="position:absolute;left:-11867;top:36573;width:509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7GxAAAAN4AAAAPAAAAZHJzL2Rvd25yZXYueG1sRE9Na8JA&#10;EL0X/A/LCN7qxh6Mja4iijSHXmoVPA7ZMYlmZ5fsaqK/vlso9DaP9zmLVW8acafW15YVTMYJCOLC&#10;6ppLBYfv3esMhA/IGhvLpOBBHlbLwcsCM207/qL7PpQihrDPUEEVgsuk9EVFBv3YOuLInW1rMETY&#10;llK32MVw08i3JJlKgzXHhgodbSoqrvubUXDasst3nSzOz437vOSz5uN2OCo1GvbrOYhAffgX/7lz&#10;Hee/p2kKv+/EG+TyBwAA//8DAFBLAQItABQABgAIAAAAIQDb4fbL7gAAAIUBAAATAAAAAAAAAAAA&#10;AAAAAAAAAABbQ29udGVudF9UeXBlc10ueG1sUEsBAi0AFAAGAAgAAAAhAFr0LFu/AAAAFQEAAAsA&#10;AAAAAAAAAAAAAAAAHwEAAF9yZWxzLy5yZWxzUEsBAi0AFAAGAAgAAAAhAN1drsbEAAAA3gAAAA8A&#10;AAAAAAAAAAAAAAAABwIAAGRycy9kb3ducmV2LnhtbFBLBQYAAAAAAwADALcAAAD4AgAAAAA=&#10;" filled="f" stroked="f">
                  <v:textbox inset="0,0,0,0">
                    <w:txbxContent>
                      <w:p w14:paraId="60D5C948" w14:textId="77777777" w:rsidR="00B32EF2" w:rsidRDefault="00000000">
                        <w:r>
                          <w:rPr>
                            <w:rFonts w:ascii="Arial" w:eastAsia="Arial" w:hAnsi="Arial" w:cs="Arial"/>
                            <w:i/>
                            <w:sz w:val="18"/>
                          </w:rPr>
                          <w:t xml:space="preserve">gionieri, geometri,    periti    edili,   periti industriali, periti agrari, agrotecnici, </w:t>
                        </w:r>
                      </w:p>
                    </w:txbxContent>
                  </v:textbox>
                </v:rect>
                <v:rect id="Rectangle 19778" o:spid="_x0000_s4731" style="position:absolute;left:-11923;top:35340;width:512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jq0yAAAAN4AAAAPAAAAZHJzL2Rvd25yZXYueG1sRI9Pb8Iw&#10;DMXvSHyHyEi7QbodBusIaGJC62EX/kza0WpM261xoibQbp8eH5C42XrP7/28XA+uVRfqYuPZwOMs&#10;A0VcettwZeB42E4XoGJCtth6JgN/FGG9Go+WmFvf844u+1QpCeGYo4E6pZBrHcuaHMaZD8SinXzn&#10;MMnaVdp22Eu4a/VTlj1rhw1LQ42BNjWVv/uzM/D9zqHY9ro8/W/C50+xaD/Oxy9jHibD2yuoREO6&#10;m2/XhRX8l/lceOUdmUGvrgAAAP//AwBQSwECLQAUAAYACAAAACEA2+H2y+4AAACFAQAAEwAAAAAA&#10;AAAAAAAAAAAAAAAAW0NvbnRlbnRfVHlwZXNdLnhtbFBLAQItABQABgAIAAAAIQBa9CxbvwAAABUB&#10;AAALAAAAAAAAAAAAAAAAAB8BAABfcmVscy8ucmVsc1BLAQItABQABgAIAAAAIQCswjq0yAAAAN4A&#10;AAAPAAAAAAAAAAAAAAAAAAcCAABkcnMvZG93bnJldi54bWxQSwUGAAAAAAMAAwC3AAAA/AIAAAAA&#10;" filled="f" stroked="f">
                  <v:textbox inset="0,0,0,0">
                    <w:txbxContent>
                      <w:p w14:paraId="4BD3126F" w14:textId="77777777" w:rsidR="00B32EF2" w:rsidRDefault="00000000">
                        <w:r>
                          <w:rPr>
                            <w:rFonts w:ascii="Arial" w:eastAsia="Arial" w:hAnsi="Arial" w:cs="Arial"/>
                            <w:i/>
                            <w:sz w:val="18"/>
                          </w:rPr>
                          <w:t xml:space="preserve">consulenti    del    lavoro,  spedizionieri doganali, da iscritti nell’elenco </w:t>
                        </w:r>
                      </w:p>
                    </w:txbxContent>
                  </v:textbox>
                </v:rect>
                <v:rect id="Rectangle 19779" o:spid="_x0000_s4732" style="position:absolute;left:-11905;top:34107;width:51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p8vxAAAAN4AAAAPAAAAZHJzL2Rvd25yZXYueG1sRE9Ni8Iw&#10;EL0L/ocwgjdN9bBq1yiiyPbgZV0X9jg0Y1ttJqGJtvrrNwsL3ubxPme57kwt7tT4yrKCyTgBQZxb&#10;XXGh4PS1H81B+ICssbZMCh7kYb3q95aYatvyJ92PoRAxhH2KCsoQXCqlz0sy6MfWEUfubBuDIcKm&#10;kLrBNoabWk6T5E0arDg2lOhoW1J+Pd6Mgp8du2zfyvz83LrDJZvXH7fTt1LDQbd5BxGoCy/xvzvT&#10;cf5iNlvA3zvxBrn6BQAA//8DAFBLAQItABQABgAIAAAAIQDb4fbL7gAAAIUBAAATAAAAAAAAAAAA&#10;AAAAAAAAAABbQ29udGVudF9UeXBlc10ueG1sUEsBAi0AFAAGAAgAAAAhAFr0LFu/AAAAFQEAAAsA&#10;AAAAAAAAAAAAAAAAHwEAAF9yZWxzLy5yZWxzUEsBAi0AFAAGAAgAAAAhAMOOny/EAAAA3gAAAA8A&#10;AAAAAAAAAAAAAAAABwIAAGRycy9kb3ducmV2LnhtbFBLBQYAAAAAAwADALcAAAD4AgAAAAA=&#10;" filled="f" stroked="f">
                  <v:textbox inset="0,0,0,0">
                    <w:txbxContent>
                      <w:p w14:paraId="21341F6C" w14:textId="77777777" w:rsidR="00B32EF2" w:rsidRDefault="00000000">
                        <w:r>
                          <w:rPr>
                            <w:rFonts w:ascii="Arial" w:eastAsia="Arial" w:hAnsi="Arial" w:cs="Arial"/>
                            <w:i/>
                            <w:sz w:val="18"/>
                          </w:rPr>
                          <w:t xml:space="preserve">previsto   dalle   norme   vigenti,  delle persone autorizzate dal Ministero </w:t>
                        </w:r>
                      </w:p>
                    </w:txbxContent>
                  </v:textbox>
                </v:rect>
                <v:rect id="Rectangle 19811" o:spid="_x0000_s4733" style="position:absolute;left:-11554;top:32873;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LfxAAAAN4AAAAPAAAAZHJzL2Rvd25yZXYueG1sRE9Na8JA&#10;EL0X/A/LCN7qJj1ImrqKKNIcvGgVehyyY5I2O7tkVxP767uC4G0e73Pmy8G04kqdbywrSKcJCOLS&#10;6oYrBcev7WsGwgdkja1lUnAjD8vF6GWOubY97+l6CJWIIexzVFCH4HIpfVmTQT+1jjhyZ9sZDBF2&#10;ldQd9jHctPItSWbSYMOxoUZH65rK38PFKPjesCu2vSzPf2u3+ymy9vNyPCk1GQ+rDxCBhvAUP9yF&#10;jvPfszSF+zvxBrn4BwAA//8DAFBLAQItABQABgAIAAAAIQDb4fbL7gAAAIUBAAATAAAAAAAAAAAA&#10;AAAAAAAAAABbQ29udGVudF9UeXBlc10ueG1sUEsBAi0AFAAGAAgAAAAhAFr0LFu/AAAAFQEAAAsA&#10;AAAAAAAAAAAAAAAAHwEAAF9yZWxzLy5yZWxzUEsBAi0AFAAGAAgAAAAhABaT4t/EAAAA3gAAAA8A&#10;AAAAAAAAAAAAAAAABwIAAGRycy9kb3ducmV2LnhtbFBLBQYAAAAAAwADALcAAAD4AgAAAAA=&#10;" filled="f" stroked="f">
                  <v:textbox inset="0,0,0,0">
                    <w:txbxContent>
                      <w:p w14:paraId="6E79EC56" w14:textId="77777777" w:rsidR="00B32EF2" w:rsidRDefault="00000000">
                        <w:r>
                          <w:rPr>
                            <w:rFonts w:ascii="Arial" w:eastAsia="Arial" w:hAnsi="Arial" w:cs="Arial"/>
                            <w:i/>
                            <w:sz w:val="18"/>
                          </w:rPr>
                          <w:t>delle finanze, nonchè da funzionari delle associazioni di categoria iscritti in</w:t>
                        </w:r>
                      </w:p>
                    </w:txbxContent>
                  </v:textbox>
                </v:rect>
                <v:rect id="Rectangle 19812" o:spid="_x0000_s4734" style="position:absolute;left:-49905;top:32873;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XyoxAAAAN4AAAAPAAAAZHJzL2Rvd25yZXYueG1sRE9Ni8Iw&#10;EL0v+B/CCN7WVA/SrUYRRexhL7ou7HFoxrbaTEITbXd//UYQvM3jfc5i1ZtG3Kn1tWUFk3ECgriw&#10;uuZSwelr956C8AFZY2OZFPySh9Vy8LbATNuOD3Q/hlLEEPYZKqhCcJmUvqjIoB9bRxy5s20Nhgjb&#10;UuoWuxhuGjlNkpk0WHNsqNDRpqLierwZBT9bdvmuk8X5b+M+L3na7G+nb6VGw349BxGoDy/x053r&#10;OP8jnUzh8U68QS7/AQAA//8DAFBLAQItABQABgAIAAAAIQDb4fbL7gAAAIUBAAATAAAAAAAAAAAA&#10;AAAAAAAAAABbQ29udGVudF9UeXBlc10ueG1sUEsBAi0AFAAGAAgAAAAhAFr0LFu/AAAAFQEAAAsA&#10;AAAAAAAAAAAAAAAAHwEAAF9yZWxzLy5yZWxzUEsBAi0AFAAGAAgAAAAhAOZBfKjEAAAA3gAAAA8A&#10;AAAAAAAAAAAAAAAABwIAAGRycy9kb3ducmV2LnhtbFBLBQYAAAAAAwADALcAAAD4AgAAAAA=&#10;" filled="f" stroked="f">
                  <v:textbox inset="0,0,0,0">
                    <w:txbxContent>
                      <w:p w14:paraId="1C7914D7" w14:textId="77777777" w:rsidR="00B32EF2" w:rsidRDefault="00000000">
                        <w:r>
                          <w:rPr>
                            <w:rFonts w:ascii="Arial" w:eastAsia="Arial" w:hAnsi="Arial" w:cs="Arial"/>
                            <w:i/>
                            <w:sz w:val="18"/>
                          </w:rPr>
                          <w:t xml:space="preserve"> </w:t>
                        </w:r>
                      </w:p>
                    </w:txbxContent>
                  </v:textbox>
                </v:rect>
                <v:rect id="Rectangle 19781" o:spid="_x0000_s4735" style="position:absolute;left:-11174;top:31640;width:503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eMOxAAAAN4AAAAPAAAAZHJzL2Rvd25yZXYueG1sRE9Na8JA&#10;EL0X/A/LCN7qRg9tGl1FFGkOXmoVPA7ZMYlmZ5fsaqK/vlso9DaP9znzZW8acafW15YVTMYJCOLC&#10;6ppLBYfv7WsKwgdkjY1lUvAgD8vF4GWOmbYdf9F9H0oRQ9hnqKAKwWVS+qIig35sHXHkzrY1GCJs&#10;S6lb7GK4aeQ0Sd6kwZpjQ4WO1hUV1/3NKDht2OXbThbn59rtLnnafN4OR6VGw341AxGoD//iP3eu&#10;4/yP93QCv+/EG+TiBwAA//8DAFBLAQItABQABgAIAAAAIQDb4fbL7gAAAIUBAAATAAAAAAAAAAAA&#10;AAAAAAAAAABbQ29udGVudF9UeXBlc10ueG1sUEsBAi0AFAAGAAgAAAAhAFr0LFu/AAAAFQEAAAsA&#10;AAAAAAAAAAAAAAAAHwEAAF9yZWxzLy5yZWxzUEsBAi0AFAAGAAgAAAAhAAgt4w7EAAAA3gAAAA8A&#10;AAAAAAAAAAAAAAAABwIAAGRycy9kb3ducmV2LnhtbFBLBQYAAAAAAwADALcAAAD4AgAAAAA=&#10;" filled="f" stroked="f">
                  <v:textbox inset="0,0,0,0">
                    <w:txbxContent>
                      <w:p w14:paraId="53BA6FCE" w14:textId="77777777" w:rsidR="00B32EF2" w:rsidRDefault="00000000">
                        <w:r>
                          <w:rPr>
                            <w:rFonts w:ascii="Arial" w:eastAsia="Arial" w:hAnsi="Arial" w:cs="Arial"/>
                            <w:i/>
                            <w:sz w:val="18"/>
                          </w:rPr>
                          <w:t>elenco  da tenersi presso l’intendenza di finanza competente per territorio.</w:t>
                        </w:r>
                      </w:p>
                    </w:txbxContent>
                  </v:textbox>
                </v:rect>
                <v:rect id="Rectangle 201075" o:spid="_x0000_s4736" style="position:absolute;left:-12536;top:30407;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orxwAAAN8AAAAPAAAAZHJzL2Rvd25yZXYueG1sRI9BawIx&#10;FITvhf6H8AreaqJQK1ujFIt0D160Fnp8bJ67q5uXsInu6q83QsHjMDPfMLNFbxtxpjbUjjWMhgoE&#10;ceFMzaWG3c/qdQoiRGSDjWPScKEAi/nz0wwz4zre0HkbS5EgHDLUUMXoMylDUZHFMHSeOHl711qM&#10;SbalNC12CW4bOVZqIi3WnBYq9LSsqDhuT1bD3xf7fNXJYn9d+vUhnzbfp92v1oOX/vMDRKQ+PsL/&#10;7dxoGKuRen+D+5/0BeT8BgAA//8DAFBLAQItABQABgAIAAAAIQDb4fbL7gAAAIUBAAATAAAAAAAA&#10;AAAAAAAAAAAAAABbQ29udGVudF9UeXBlc10ueG1sUEsBAi0AFAAGAAgAAAAhAFr0LFu/AAAAFQEA&#10;AAsAAAAAAAAAAAAAAAAAHwEAAF9yZWxzLy5yZWxzUEsBAi0AFAAGAAgAAAAhAP/E6ivHAAAA3wAA&#10;AA8AAAAAAAAAAAAAAAAABwIAAGRycy9kb3ducmV2LnhtbFBLBQYAAAAAAwADALcAAAD7AgAAAAA=&#10;" filled="f" stroked="f">
                  <v:textbox inset="0,0,0,0">
                    <w:txbxContent>
                      <w:p w14:paraId="2950C1A9" w14:textId="77777777" w:rsidR="00B32EF2" w:rsidRDefault="00000000">
                        <w:r>
                          <w:rPr>
                            <w:rFonts w:ascii="Arial" w:eastAsia="Arial" w:hAnsi="Arial" w:cs="Arial"/>
                            <w:i/>
                            <w:sz w:val="18"/>
                          </w:rPr>
                          <w:t xml:space="preserve">. Se  l’incarico è  conferito in un atto del processo,  la firma è autenticata </w:t>
                        </w:r>
                      </w:p>
                    </w:txbxContent>
                  </v:textbox>
                </v:rect>
                <v:rect id="Rectangle 201073" o:spid="_x0000_s4737" style="position:absolute;left:25842;top:30407;width:510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dfExwAAAN8AAAAPAAAAZHJzL2Rvd25yZXYueG1sRI9BawIx&#10;FITvhf6H8AreaqIFK1ujFIt0D160Fnp8bJ67q5uXsInu6q83QsHjMDPfMLNFbxtxpjbUjjWMhgoE&#10;ceFMzaWG3c/qdQoiRGSDjWPScKEAi/nz0wwz4zre0HkbS5EgHDLUUMXoMylDUZHFMHSeOHl711qM&#10;SbalNC12CW4bOVZqIi3WnBYq9LSsqDhuT1bD3xf7fNXJYn9d+vUhnzbfp92v1oOX/vMDRKQ+PsL/&#10;7dxoGKuRen+D+5/0BeT8BgAA//8DAFBLAQItABQABgAIAAAAIQDb4fbL7gAAAIUBAAATAAAAAAAA&#10;AAAAAAAAAAAAAABbQ29udGVudF9UeXBlc10ueG1sUEsBAi0AFAAGAAgAAAAhAFr0LFu/AAAAFQEA&#10;AAsAAAAAAAAAAAAAAAAAHwEAAF9yZWxzLy5yZWxzUEsBAi0AFAAGAAgAAAAhAB9h18THAAAA3wAA&#10;AA8AAAAAAAAAAAAAAAAABwIAAGRycy9kb3ducmV2LnhtbFBLBQYAAAAAAwADALcAAAD7AgAAAAA=&#10;" filled="f" stroked="f">
                  <v:textbox inset="0,0,0,0">
                    <w:txbxContent>
                      <w:p w14:paraId="2D39977E" w14:textId="77777777" w:rsidR="00B32EF2" w:rsidRDefault="00000000">
                        <w:r>
                          <w:rPr>
                            <w:rFonts w:ascii="Arial" w:eastAsia="Arial" w:hAnsi="Arial" w:cs="Arial"/>
                            <w:i/>
                            <w:sz w:val="18"/>
                          </w:rPr>
                          <w:t>3</w:t>
                        </w:r>
                      </w:p>
                    </w:txbxContent>
                  </v:textbox>
                </v:rect>
                <v:rect id="Rectangle 19783" o:spid="_x0000_s4738" style="position:absolute;left:-11870;top:29174;width:5099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9jixQAAAN4AAAAPAAAAZHJzL2Rvd25yZXYueG1sRE9Na8JA&#10;EL0L/odlhN50o4U2ja4iipiDl1oLHofsmKTNzi7Z1cT+erdQ6G0e73MWq9404katry0rmE4SEMSF&#10;1TWXCk4fu3EKwgdkjY1lUnAnD6vlcLDATNuO3+l2DKWIIewzVFCF4DIpfVGRQT+xjjhyF9saDBG2&#10;pdQtdjHcNHKWJC/SYM2xoUJHm4qK7+PVKDhv2eW7ThaXn407fOVps7+ePpV6GvXrOYhAffgX/7lz&#10;Hee/vabP8PtOvEEuHwAAAP//AwBQSwECLQAUAAYACAAAACEA2+H2y+4AAACFAQAAEwAAAAAAAAAA&#10;AAAAAAAAAAAAW0NvbnRlbnRfVHlwZXNdLnhtbFBLAQItABQABgAIAAAAIQBa9CxbvwAAABUBAAAL&#10;AAAAAAAAAAAAAAAAAB8BAABfcmVscy8ucmVsc1BLAQItABQABgAIAAAAIQCXs9jixQAAAN4AAAAP&#10;AAAAAAAAAAAAAAAAAAcCAABkcnMvZG93bnJldi54bWxQSwUGAAAAAAMAAwC3AAAA+QIAAAAA&#10;" filled="f" stroked="f">
                  <v:textbox inset="0,0,0,0">
                    <w:txbxContent>
                      <w:p w14:paraId="58A77328" w14:textId="77777777" w:rsidR="00B32EF2" w:rsidRDefault="00000000">
                        <w:r>
                          <w:rPr>
                            <w:rFonts w:ascii="Arial" w:eastAsia="Arial" w:hAnsi="Arial" w:cs="Arial"/>
                            <w:i/>
                            <w:sz w:val="18"/>
                          </w:rPr>
                          <w:t xml:space="preserve">dallo  stesso incaricato.   L’incarico può essere conferito oralmente e se ne </w:t>
                        </w:r>
                      </w:p>
                    </w:txbxContent>
                  </v:textbox>
                </v:rect>
                <v:rect id="Rectangle 19784" o:spid="_x0000_s4739" style="position:absolute;left:27284;top:27940;width:118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kCWxQAAAN4AAAAPAAAAZHJzL2Rvd25yZXYueG1sRE9Na8JA&#10;EL0L/odlhN50o5Q2ja4iipiDl1oLHofsmKTNzi7Z1cT+erdQ6G0e73MWq9404katry0rmE4SEMSF&#10;1TWXCk4fu3EKwgdkjY1lUnAnD6vlcLDATNuO3+l2DKWIIewzVFCF4DIpfVGRQT+xjjhyF9saDBG2&#10;pdQtdjHcNHKWJC/SYM2xoUJHm4qK7+PVKDhv2eW7ThaXn407fOVps7+ePpV6GvXrOYhAffgX/7lz&#10;Hee/vabP8PtOvEEuHwAAAP//AwBQSwECLQAUAAYACAAAACEA2+H2y+4AAACFAQAAEwAAAAAAAAAA&#10;AAAAAAAAAAAAW0NvbnRlbnRfVHlwZXNdLnhtbFBLAQItABQABgAIAAAAIQBa9CxbvwAAABUBAAAL&#10;AAAAAAAAAAAAAAAAAB8BAABfcmVscy8ucmVsc1BLAQItABQABgAIAAAAIQAYWkCWxQAAAN4AAAAP&#10;AAAAAAAAAAAAAAAAAAcCAABkcnMvZG93bnJldi54bWxQSwUGAAAAAAMAAwC3AAAA+QIAAAAA&#10;" filled="f" stroked="f">
                  <v:textbox inset="0,0,0,0">
                    <w:txbxContent>
                      <w:p w14:paraId="48F5E80F" w14:textId="77777777" w:rsidR="00B32EF2" w:rsidRDefault="00000000">
                        <w:r>
                          <w:rPr>
                            <w:rFonts w:ascii="Arial" w:eastAsia="Arial" w:hAnsi="Arial" w:cs="Arial"/>
                            <w:i/>
                            <w:sz w:val="18"/>
                          </w:rPr>
                          <w:t>dà atto a verbale.</w:t>
                        </w:r>
                      </w:p>
                    </w:txbxContent>
                  </v:textbox>
                </v:rect>
                <v:rect id="Rectangle 19785" o:spid="_x0000_s4740" style="position:absolute;left:-4387;top:26707;width:435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uUNxQAAAN4AAAAPAAAAZHJzL2Rvd25yZXYueG1sRE9Na8JA&#10;EL0L/odlhN50o9A2ja4iipiDl1oLHofsmKTNzi7Z1cT+erdQ6G0e73MWq9404katry0rmE4SEMSF&#10;1TWXCk4fu3EKwgdkjY1lUnAnD6vlcLDATNuO3+l2DKWIIewzVFCF4DIpfVGRQT+xjjhyF9saDBG2&#10;pdQtdjHcNHKWJC/SYM2xoUJHm4qK7+PVKDhv2eW7ThaXn407fOVps7+ePpV6GvXrOYhAffgX/7lz&#10;Hee/vabP8PtOvEEuHwAAAP//AwBQSwECLQAUAAYACAAAACEA2+H2y+4AAACFAQAAEwAAAAAAAAAA&#10;AAAAAAAAAAAAW0NvbnRlbnRfVHlwZXNdLnhtbFBLAQItABQABgAIAAAAIQBa9CxbvwAAABUBAAAL&#10;AAAAAAAAAAAAAAAAAB8BAABfcmVscy8ucmVsc1BLAQItABQABgAIAAAAIQB3FuUNxQAAAN4AAAAP&#10;AAAAAAAAAAAAAAAAAAcCAABkcnMvZG93bnJldi54bWxQSwUGAAAAAAMAAwC3AAAA+QIAAAAA&#10;" filled="f" stroked="f">
                  <v:textbox inset="0,0,0,0">
                    <w:txbxContent>
                      <w:p w14:paraId="19A830F0" w14:textId="77777777" w:rsidR="00B32EF2" w:rsidRDefault="00000000">
                        <w:r>
                          <w:rPr>
                            <w:rFonts w:ascii="Arial" w:eastAsia="Arial" w:hAnsi="Arial" w:cs="Arial"/>
                            <w:i/>
                            <w:sz w:val="18"/>
                          </w:rPr>
                          <w:t xml:space="preserve">art. 2359 codice civile  “Società controllate e società collegate.” </w:t>
                        </w:r>
                      </w:p>
                    </w:txbxContent>
                  </v:textbox>
                </v:rect>
                <v:rect id="Rectangle 19786" o:spid="_x0000_s4741" style="position:absolute;left:-10892;top:25474;width:500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Ht6xAAAAN4AAAAPAAAAZHJzL2Rvd25yZXYueG1sRE9Na8JA&#10;EL0X/A/LCN7qxh5sGl1FFGkOXmoVPA7ZMYlmZ5fsaqK/vlso9DaP9znzZW8acafW15YVTMYJCOLC&#10;6ppLBYfv7WsKwgdkjY1lUvAgD8vF4GWOmbYdf9F9H0oRQ9hnqKAKwWVS+qIig35sHXHkzrY1GCJs&#10;S6lb7GK4aeRbkkylwZpjQ4WO1hUV1/3NKDht2OXbThbn59rtLnnafN4OR6VGw341AxGoD//iP3eu&#10;4/yP93QKv+/EG+TiBwAA//8DAFBLAQItABQABgAIAAAAIQDb4fbL7gAAAIUBAAATAAAAAAAAAAAA&#10;AAAAAAAAAABbQ29udGVudF9UeXBlc10ueG1sUEsBAi0AFAAGAAgAAAAhAFr0LFu/AAAAFQEAAAsA&#10;AAAAAAAAAAAAAAAAHwEAAF9yZWxzLy5yZWxzUEsBAi0AFAAGAAgAAAAhAIfEe3rEAAAA3gAAAA8A&#10;AAAAAAAAAAAAAAAABwIAAGRycy9kb3ducmV2LnhtbFBLBQYAAAAAAwADALcAAAD4AgAAAAA=&#10;" filled="f" stroked="f">
                  <v:textbox inset="0,0,0,0">
                    <w:txbxContent>
                      <w:p w14:paraId="58176033" w14:textId="77777777" w:rsidR="00B32EF2" w:rsidRDefault="00000000">
                        <w:r>
                          <w:rPr>
                            <w:rFonts w:ascii="Arial" w:eastAsia="Arial" w:hAnsi="Arial" w:cs="Arial"/>
                            <w:i/>
                            <w:sz w:val="18"/>
                          </w:rPr>
                          <w:t>art. 32 D.lgs. 241/1997 “Soggetti abilitati alla costituzione dei centri di as</w:t>
                        </w:r>
                      </w:p>
                    </w:txbxContent>
                  </v:textbox>
                </v:rect>
                <v:rect id="Rectangle 19787" o:spid="_x0000_s4742" style="position:absolute;left:975;top:2547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N7hxAAAAN4AAAAPAAAAZHJzL2Rvd25yZXYueG1sRE9Na8JA&#10;EL0X/A/LCN7qxh40ja4iijSHXmoVPA7ZMYlmZ5fsaqK/vlso9DaP9zmLVW8acafW15YVTMYJCOLC&#10;6ppLBYfv3WsKwgdkjY1lUvAgD6vl4GWBmbYdf9F9H0oRQ9hnqKAKwWVS+qIig35sHXHkzrY1GCJs&#10;S6lb7GK4aeRbkkylwZpjQ4WONhUV1/3NKDht2eW7Thbn58Z9XvK0+bgdjkqNhv16DiJQH/7Ff+5c&#10;x/nvs3QGv+/EG+TyBwAA//8DAFBLAQItABQABgAIAAAAIQDb4fbL7gAAAIUBAAATAAAAAAAAAAAA&#10;AAAAAAAAAABbQ29udGVudF9UeXBlc10ueG1sUEsBAi0AFAAGAAgAAAAhAFr0LFu/AAAAFQEAAAsA&#10;AAAAAAAAAAAAAAAAHwEAAF9yZWxzLy5yZWxzUEsBAi0AFAAGAAgAAAAhAOiI3uHEAAAA3gAAAA8A&#10;AAAAAAAAAAAAAAAABwIAAGRycy9kb3ducmV2LnhtbFBLBQYAAAAAAwADALcAAAD4AgAAAAA=&#10;" filled="f" stroked="f">
                  <v:textbox inset="0,0,0,0">
                    <w:txbxContent>
                      <w:p w14:paraId="0C915EC0" w14:textId="77777777" w:rsidR="00B32EF2" w:rsidRDefault="00000000">
                        <w:r>
                          <w:rPr>
                            <w:rFonts w:ascii="Arial" w:eastAsia="Arial" w:hAnsi="Arial" w:cs="Arial"/>
                            <w:i/>
                            <w:sz w:val="18"/>
                          </w:rPr>
                          <w:t>-</w:t>
                        </w:r>
                      </w:p>
                    </w:txbxContent>
                  </v:textbox>
                </v:rect>
                <v:rect id="Rectangle 19788" o:spid="_x0000_s4743" style="position:absolute;left:27893;top:24240;width:112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0qTyAAAAN4AAAAPAAAAZHJzL2Rvd25yZXYueG1sRI9PT8Mw&#10;DMXvSHyHyEjcWAoH6MqyCQ1N9MBlf5A4Wo3XFhonarK126efD5N2s/We3/t5thhdp47Ux9azgedJ&#10;Boq48rbl2sBuu3rKQcWEbLHzTAZOFGExv7+bYWH9wGs6blKtJIRjgQaalEKhdawachgnPhCLtve9&#10;wyRrX2vb4yDhrtMvWfaqHbYsDQ0GWjZU/W8OzsDvJ4dyNehqf16G778y774Oux9jHh/Gj3dQicZ0&#10;M1+vSyv407dceOUdmUHPLwAAAP//AwBQSwECLQAUAAYACAAAACEA2+H2y+4AAACFAQAAEwAAAAAA&#10;AAAAAAAAAAAAAAAAW0NvbnRlbnRfVHlwZXNdLnhtbFBLAQItABQABgAIAAAAIQBa9CxbvwAAABUB&#10;AAALAAAAAAAAAAAAAAAAAB8BAABfcmVscy8ucmVsc1BLAQItABQABgAIAAAAIQCZF0qTyAAAAN4A&#10;AAAPAAAAAAAAAAAAAAAAAAcCAABkcnMvZG93bnJldi54bWxQSwUGAAAAAAMAAwC3AAAA/AIAAAAA&#10;" filled="f" stroked="f">
                  <v:textbox inset="0,0,0,0">
                    <w:txbxContent>
                      <w:p w14:paraId="72FE8D3E" w14:textId="77777777" w:rsidR="00B32EF2" w:rsidRDefault="00000000">
                        <w:r>
                          <w:rPr>
                            <w:rFonts w:ascii="Arial" w:eastAsia="Arial" w:hAnsi="Arial" w:cs="Arial"/>
                            <w:i/>
                            <w:sz w:val="18"/>
                          </w:rPr>
                          <w:t xml:space="preserve">sistenza fiscale. </w:t>
                        </w:r>
                      </w:p>
                    </w:txbxContent>
                  </v:textbox>
                </v:rect>
                <v:rect id="Rectangle 19789" o:spid="_x0000_s4744" style="position:absolute;left:-6252;top:23007;width:453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8IxQAAAN4AAAAPAAAAZHJzL2Rvd25yZXYueG1sRE9La8JA&#10;EL4X+h+WEbzVjR40pq5SLGIOXnwUehyyY5I2O7tkVxP99W6h4G0+vucsVr1pxJVaX1tWMB4lIIgL&#10;q2suFZyOm7cUhA/IGhvLpOBGHlbL15cFZtp2vKfrIZQihrDPUEEVgsuk9EVFBv3IOuLInW1rMETY&#10;llK32MVw08hJkkylwZpjQ4WO1hUVv4eLUfD9yS7fdLI439du95OnzfZy+lJqOOg/3kEE6sNT/O/O&#10;dZw/n6Vz+Hsn3iCXDwAAAP//AwBQSwECLQAUAAYACAAAACEA2+H2y+4AAACFAQAAEwAAAAAAAAAA&#10;AAAAAAAAAAAAW0NvbnRlbnRfVHlwZXNdLnhtbFBLAQItABQABgAIAAAAIQBa9CxbvwAAABUBAAAL&#10;AAAAAAAAAAAAAAAAAB8BAABfcmVscy8ucmVsc1BLAQItABQABgAIAAAAIQD2W+8IxQAAAN4AAAAP&#10;AAAAAAAAAAAAAAAAAAcCAABkcnMvZG93bnJldi54bWxQSwUGAAAAAAMAAwC3AAAA+QIAAAAA&#10;" filled="f" stroked="f">
                  <v:textbox inset="0,0,0,0">
                    <w:txbxContent>
                      <w:p w14:paraId="27B57C0D" w14:textId="77777777" w:rsidR="00B32EF2" w:rsidRDefault="00000000">
                        <w:r>
                          <w:rPr>
                            <w:rFonts w:ascii="Arial" w:eastAsia="Arial" w:hAnsi="Arial" w:cs="Arial"/>
                            <w:i/>
                            <w:sz w:val="18"/>
                          </w:rPr>
                          <w:t xml:space="preserve">art. 22 D.lgs. 82/2005 “Copie informatiche di documenti analogici” </w:t>
                        </w:r>
                      </w:p>
                    </w:txbxContent>
                  </v:textbox>
                </v:rect>
                <v:rect id="Rectangle 201069" o:spid="_x0000_s4745" style="position:absolute;left:25813;top:21774;width:51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bzxwAAAN8AAAAPAAAAZHJzL2Rvd25yZXYueG1sRI9BawIx&#10;FITvQv9DeIXeNNGD2K1RikW6h160Cj0+Ns/d1c1L2ER36683guBxmJlvmPmyt424UBtqxxrGIwWC&#10;uHCm5lLD7nc9nIEIEdlg45g0/FOA5eJlMMfMuI43dNnGUiQIhww1VDH6TMpQVGQxjJwnTt7BtRZj&#10;km0pTYtdgttGTpSaSos1p4UKPa0qKk7bs9Xw98U+X3eyOFxX/ueYz5rv826v9dtr//kBIlIfn+FH&#10;OzcaJmqspu9w/5O+gFzcAAAA//8DAFBLAQItABQABgAIAAAAIQDb4fbL7gAAAIUBAAATAAAAAAAA&#10;AAAAAAAAAAAAAABbQ29udGVudF9UeXBlc10ueG1sUEsBAi0AFAAGAAgAAAAhAFr0LFu/AAAAFQEA&#10;AAsAAAAAAAAAAAAAAAAAHwEAAF9yZWxzLy5yZWxzUEsBAi0AFAAGAAgAAAAhAPtQdvPHAAAA3wAA&#10;AA8AAAAAAAAAAAAAAAAABwIAAGRycy9kb3ducmV2LnhtbFBLBQYAAAAAAwADALcAAAD7AgAAAAA=&#10;" filled="f" stroked="f">
                  <v:textbox inset="0,0,0,0">
                    <w:txbxContent>
                      <w:p w14:paraId="4AE13704" w14:textId="77777777" w:rsidR="00B32EF2" w:rsidRDefault="00000000">
                        <w:r>
                          <w:rPr>
                            <w:rFonts w:ascii="Arial" w:eastAsia="Arial" w:hAnsi="Arial" w:cs="Arial"/>
                            <w:i/>
                            <w:sz w:val="18"/>
                          </w:rPr>
                          <w:t>1</w:t>
                        </w:r>
                      </w:p>
                    </w:txbxContent>
                  </v:textbox>
                </v:rect>
                <v:rect id="Rectangle 201071" o:spid="_x0000_s4746" style="position:absolute;left:-12497;top:21774;width:51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oxwAAAN8AAAAPAAAAZHJzL2Rvd25yZXYueG1sRI9BawIx&#10;FITvQv9DeIXeNFkPVVajiEW6h160Fnp8bJ67q5uXsInutr++EYQeh5n5hlmuB9uKG3WhcawhmygQ&#10;xKUzDVcajp+78RxEiMgGW8ek4YcCrFdPoyXmxvW8p9shViJBOOSooY7R51KGsiaLYeI8cfJOrrMY&#10;k+wqaTrsE9y2cqrUq7TYcFqo0dO2pvJyuFoN32/si10vy9Pv1n+ci3n7fj1+af3yPGwWICIN8T/8&#10;aBdGw1RlapbB/U/6AnL1BwAA//8DAFBLAQItABQABgAIAAAAIQDb4fbL7gAAAIUBAAATAAAAAAAA&#10;AAAAAAAAAAAAAABbQ29udGVudF9UeXBlc10ueG1sUEsBAi0AFAAGAAgAAAAhAFr0LFu/AAAAFQEA&#10;AAsAAAAAAAAAAAAAAAAAHwEAAF9yZWxzLy5yZWxzUEsBAi0AFAAGAAgAAAAhAID/7CjHAAAA3wAA&#10;AA8AAAAAAAAAAAAAAAAABwIAAGRycy9kb3ducmV2LnhtbFBLBQYAAAAAAwADALcAAAD7AgAAAAA=&#10;" filled="f" stroked="f">
                  <v:textbox inset="0,0,0,0">
                    <w:txbxContent>
                      <w:p w14:paraId="0992ACDE" w14:textId="77777777" w:rsidR="00B32EF2" w:rsidRDefault="00000000">
                        <w:r>
                          <w:rPr>
                            <w:rFonts w:ascii="Arial" w:eastAsia="Arial" w:hAnsi="Arial" w:cs="Arial"/>
                            <w:i/>
                            <w:sz w:val="18"/>
                          </w:rPr>
                          <w:t xml:space="preserve">.I documenti informatici contenenti copia di atti pubblici, scritture private </w:t>
                        </w:r>
                      </w:p>
                    </w:txbxContent>
                  </v:textbox>
                </v:rect>
                <v:rect id="Rectangle 19791" o:spid="_x0000_s4747" style="position:absolute;left:-11874;top:20540;width:510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HXTxAAAAN4AAAAPAAAAZHJzL2Rvd25yZXYueG1sRE9Li8Iw&#10;EL4v7H8Is+BtTfXgajXK4iL2sBdf4HFoxrbaTEITbfXXm4UFb/PxPWe26EwtbtT4yrKCQT8BQZxb&#10;XXGhYL9bfY5B+ICssbZMCu7kYTF/f5thqm3LG7ptQyFiCPsUFZQhuFRKn5dk0PetI47cyTYGQ4RN&#10;IXWDbQw3tRwmyUgarDg2lOhoWVJ+2V6NguMPu2zVyvz0WLrfczau19f9QaneR/c9BRGoCy/xvzvT&#10;cf7kazKAv3fiDXL+BAAA//8DAFBLAQItABQABgAIAAAAIQDb4fbL7gAAAIUBAAATAAAAAAAAAAAA&#10;AAAAAAAAAABbQ29udGVudF9UeXBlc10ueG1sUEsBAi0AFAAGAAgAAAAhAFr0LFu/AAAAFQEAAAsA&#10;AAAAAAAAAAAAAAAAHwEAAF9yZWxzLy5yZWxzUEsBAi0AFAAGAAgAAAAhAI30ddPEAAAA3gAAAA8A&#10;AAAAAAAAAAAAAAAABwIAAGRycy9kb3ducmV2LnhtbFBLBQYAAAAAAwADALcAAAD4AgAAAAA=&#10;" filled="f" stroked="f">
                  <v:textbox inset="0,0,0,0">
                    <w:txbxContent>
                      <w:p w14:paraId="6EC540C7" w14:textId="77777777" w:rsidR="00B32EF2" w:rsidRDefault="00000000">
                        <w:r>
                          <w:rPr>
                            <w:rFonts w:ascii="Arial" w:eastAsia="Arial" w:hAnsi="Arial" w:cs="Arial"/>
                            <w:i/>
                            <w:sz w:val="18"/>
                          </w:rPr>
                          <w:t xml:space="preserve">e documenti in genere, compresi gli atti e documenti amministrativi di ogni </w:t>
                        </w:r>
                      </w:p>
                    </w:txbxContent>
                  </v:textbox>
                </v:rect>
                <v:rect id="Rectangle 19792" o:spid="_x0000_s4748" style="position:absolute;left:-10891;top:19307;width:500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uukxAAAAN4AAAAPAAAAZHJzL2Rvd25yZXYueG1sRE9Ni8Iw&#10;EL0L/ocwgjdN9eBq1yiiiD3sZV0X9jg0Y1ttJqGJtvrrNwsL3ubxPme57kwt7tT4yrKCyTgBQZxb&#10;XXGh4PS1H81B+ICssbZMCh7kYb3q95aYatvyJ92PoRAxhH2KCsoQXCqlz0sy6MfWEUfubBuDIcKm&#10;kLrBNoabWk6TZCYNVhwbSnS0LSm/Hm9Gwc+OXbZvZX5+bt3HJZvXh9vpW6nhoNu8gwjUhZf4353p&#10;OH/xtpjC3zvxBrn6BQAA//8DAFBLAQItABQABgAIAAAAIQDb4fbL7gAAAIUBAAATAAAAAAAAAAAA&#10;AAAAAAAAAABbQ29udGVudF9UeXBlc10ueG1sUEsBAi0AFAAGAAgAAAAhAFr0LFu/AAAAFQEAAAsA&#10;AAAAAAAAAAAAAAAAHwEAAF9yZWxzLy5yZWxzUEsBAi0AFAAGAAgAAAAhAH0m66TEAAAA3gAAAA8A&#10;AAAAAAAAAAAAAAAABwIAAGRycy9kb3ducmV2LnhtbFBLBQYAAAAAAwADALcAAAD4AgAAAAA=&#10;" filled="f" stroked="f">
                  <v:textbox inset="0,0,0,0">
                    <w:txbxContent>
                      <w:p w14:paraId="2B6FC11D" w14:textId="77777777" w:rsidR="00B32EF2" w:rsidRDefault="00000000">
                        <w:r>
                          <w:rPr>
                            <w:rFonts w:ascii="Arial" w:eastAsia="Arial" w:hAnsi="Arial" w:cs="Arial"/>
                            <w:i/>
                            <w:sz w:val="18"/>
                          </w:rPr>
                          <w:t>tipo formati in origine su supporto analogico, spediti o rilasciati dai depo</w:t>
                        </w:r>
                      </w:p>
                    </w:txbxContent>
                  </v:textbox>
                </v:rect>
                <v:rect id="Rectangle 19793" o:spid="_x0000_s4749" style="position:absolute;left:975;top:1930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k4/xQAAAN4AAAAPAAAAZHJzL2Rvd25yZXYueG1sRE9La8JA&#10;EL4X/A/LCN7qxgpVo6uIRZpDL/UBHofsmESzs0t2NWl/fbcgeJuP7zmLVWdqcafGV5YVjIYJCOLc&#10;6ooLBYf99nUKwgdkjbVlUvBDHlbL3ssCU21b/qb7LhQihrBPUUEZgkul9HlJBv3QOuLInW1jMETY&#10;FFI32MZwU8u3JHmXBiuODSU62pSUX3c3o+D0wS7btjI//27c1yWb1p+3w1GpQb9bz0EE6sJT/HBn&#10;Os6fTWZj+H8n3iCXfwAAAP//AwBQSwECLQAUAAYACAAAACEA2+H2y+4AAACFAQAAEwAAAAAAAAAA&#10;AAAAAAAAAAAAW0NvbnRlbnRfVHlwZXNdLnhtbFBLAQItABQABgAIAAAAIQBa9CxbvwAAABUBAAAL&#10;AAAAAAAAAAAAAAAAAB8BAABfcmVscy8ucmVsc1BLAQItABQABgAIAAAAIQASak4/xQAAAN4AAAAP&#10;AAAAAAAAAAAAAAAAAAcCAABkcnMvZG93bnJldi54bWxQSwUGAAAAAAMAAwC3AAAA+QIAAAAA&#10;" filled="f" stroked="f">
                  <v:textbox inset="0,0,0,0">
                    <w:txbxContent>
                      <w:p w14:paraId="15D46C26" w14:textId="77777777" w:rsidR="00B32EF2" w:rsidRDefault="00000000">
                        <w:r>
                          <w:rPr>
                            <w:rFonts w:ascii="Arial" w:eastAsia="Arial" w:hAnsi="Arial" w:cs="Arial"/>
                            <w:i/>
                            <w:sz w:val="18"/>
                          </w:rPr>
                          <w:t>-</w:t>
                        </w:r>
                      </w:p>
                    </w:txbxContent>
                  </v:textbox>
                </v:rect>
                <v:rect id="Rectangle 19794" o:spid="_x0000_s4750" style="position:absolute;left:-11872;top:18074;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9ZLxQAAAN4AAAAPAAAAZHJzL2Rvd25yZXYueG1sRE9La8JA&#10;EL4X/A/LCN7qxiJVo6uIRZpDL/UBHofsmESzs0t2NWl/fbcgeJuP7zmLVWdqcafGV5YVjIYJCOLc&#10;6ooLBYf99nUKwgdkjbVlUvBDHlbL3ssCU21b/qb7LhQihrBPUUEZgkul9HlJBv3QOuLInW1jMETY&#10;FFI32MZwU8u3JHmXBiuODSU62pSUX3c3o+D0wS7btjI//27c1yWb1p+3w1GpQb9bz0EE6sJT/HBn&#10;Os6fTWZj+H8n3iCXfwAAAP//AwBQSwECLQAUAAYACAAAACEA2+H2y+4AAACFAQAAEwAAAAAAAAAA&#10;AAAAAAAAAAAAW0NvbnRlbnRfVHlwZXNdLnhtbFBLAQItABQABgAIAAAAIQBa9CxbvwAAABUBAAAL&#10;AAAAAAAAAAAAAAAAAB8BAABfcmVscy8ucmVsc1BLAQItABQABgAIAAAAIQCdg9ZLxQAAAN4AAAAP&#10;AAAAAAAAAAAAAAAAAAcCAABkcnMvZG93bnJldi54bWxQSwUGAAAAAAMAAwC3AAAA+QIAAAAA&#10;" filled="f" stroked="f">
                  <v:textbox inset="0,0,0,0">
                    <w:txbxContent>
                      <w:p w14:paraId="3987FEF7" w14:textId="77777777" w:rsidR="00B32EF2" w:rsidRDefault="00000000">
                        <w:r>
                          <w:rPr>
                            <w:rFonts w:ascii="Arial" w:eastAsia="Arial" w:hAnsi="Arial" w:cs="Arial"/>
                            <w:i/>
                            <w:sz w:val="18"/>
                          </w:rPr>
                          <w:t xml:space="preserve">sitari pubblici autorizzati e dai pubblici ufficiali, hanno piena efficacia, ai </w:t>
                        </w:r>
                      </w:p>
                    </w:txbxContent>
                  </v:textbox>
                </v:rect>
                <v:rect id="Rectangle 19795" o:spid="_x0000_s4751" style="position:absolute;left:-11904;top:16841;width:5112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3PQxQAAAN4AAAAPAAAAZHJzL2Rvd25yZXYueG1sRE9La8JA&#10;EL4X/A/LCN7qxoJVo6uIRZpDL/UBHofsmESzs0t2NWl/fbcgeJuP7zmLVWdqcafGV5YVjIYJCOLc&#10;6ooLBYf99nUKwgdkjbVlUvBDHlbL3ssCU21b/qb7LhQihrBPUUEZgkul9HlJBv3QOuLInW1jMETY&#10;FFI32MZwU8u3JHmXBiuODSU62pSUX3c3o+D0wS7btjI//27c1yWb1p+3w1GpQb9bz0EE6sJT/HBn&#10;Os6fTWZj+H8n3iCXfwAAAP//AwBQSwECLQAUAAYACAAAACEA2+H2y+4AAACFAQAAEwAAAAAAAAAA&#10;AAAAAAAAAAAAW0NvbnRlbnRfVHlwZXNdLnhtbFBLAQItABQABgAIAAAAIQBa9CxbvwAAABUBAAAL&#10;AAAAAAAAAAAAAAAAAB8BAABfcmVscy8ucmVsc1BLAQItABQABgAIAAAAIQDyz3PQxQAAAN4AAAAP&#10;AAAAAAAAAAAAAAAAAAcCAABkcnMvZG93bnJldi54bWxQSwUGAAAAAAMAAwC3AAAA+QIAAAAA&#10;" filled="f" stroked="f">
                  <v:textbox inset="0,0,0,0">
                    <w:txbxContent>
                      <w:p w14:paraId="74804A8F" w14:textId="77777777" w:rsidR="00B32EF2" w:rsidRDefault="00000000">
                        <w:r>
                          <w:rPr>
                            <w:rFonts w:ascii="Arial" w:eastAsia="Arial" w:hAnsi="Arial" w:cs="Arial"/>
                            <w:i/>
                            <w:sz w:val="18"/>
                          </w:rPr>
                          <w:t xml:space="preserve">sensi degli articoli 2714 e 2715 del codice civile, se sono formati ai sensi </w:t>
                        </w:r>
                      </w:p>
                    </w:txbxContent>
                  </v:textbox>
                </v:rect>
                <v:rect id="Rectangle 19796" o:spid="_x0000_s4752" style="position:absolute;left:-10885;top:15607;width:500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e2nxAAAAN4AAAAPAAAAZHJzL2Rvd25yZXYueG1sRE9Ni8Iw&#10;EL0L/ocwgjdN9eBq1yiiiD3sZV0X9jg0Y1ttJqGJtvrrNwsL3ubxPme57kwt7tT4yrKCyTgBQZxb&#10;XXGh4PS1H81B+ICssbZMCh7kYb3q95aYatvyJ92PoRAxhH2KCsoQXCqlz0sy6MfWEUfubBuDIcKm&#10;kLrBNoabWk6TZCYNVhwbSnS0LSm/Hm9Gwc+OXbZvZX5+bt3HJZvXh9vpW6nhoNu8gwjUhZf4353p&#10;OH/xtpjB3zvxBrn6BQAA//8DAFBLAQItABQABgAIAAAAIQDb4fbL7gAAAIUBAAATAAAAAAAAAAAA&#10;AAAAAAAAAABbQ29udGVudF9UeXBlc10ueG1sUEsBAi0AFAAGAAgAAAAhAFr0LFu/AAAAFQEAAAsA&#10;AAAAAAAAAAAAAAAAHwEAAF9yZWxzLy5yZWxzUEsBAi0AFAAGAAgAAAAhAAId7afEAAAA3gAAAA8A&#10;AAAAAAAAAAAAAAAABwIAAGRycy9kb3ducmV2LnhtbFBLBQYAAAAAAwADALcAAAD4AgAAAAA=&#10;" filled="f" stroked="f">
                  <v:textbox inset="0,0,0,0">
                    <w:txbxContent>
                      <w:p w14:paraId="74176A05" w14:textId="77777777" w:rsidR="00B32EF2" w:rsidRDefault="00000000">
                        <w:r>
                          <w:rPr>
                            <w:rFonts w:ascii="Arial" w:eastAsia="Arial" w:hAnsi="Arial" w:cs="Arial"/>
                            <w:i/>
                            <w:sz w:val="18"/>
                          </w:rPr>
                          <w:t>dell’articolo 20, comma 1-bis, primo periodo. La loro esibizione e produzio</w:t>
                        </w:r>
                      </w:p>
                    </w:txbxContent>
                  </v:textbox>
                </v:rect>
                <v:rect id="Rectangle 19797" o:spid="_x0000_s4753" style="position:absolute;left:975;top:1560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Ug8xAAAAN4AAAAPAAAAZHJzL2Rvd25yZXYueG1sRE9Ni8Iw&#10;EL0L/ocwgjdN9bBq1yiiyPbgZV0X9jg0Y1ttJqGJtvrrNwsL3ubxPme57kwt7tT4yrKCyTgBQZxb&#10;XXGh4PS1H81B+ICssbZMCh7kYb3q95aYatvyJ92PoRAxhH2KCsoQXCqlz0sy6MfWEUfubBuDIcKm&#10;kLrBNoabWk6T5E0arDg2lOhoW1J+Pd6Mgp8du2zfyvz83LrDJZvXH7fTt1LDQbd5BxGoCy/xvzvT&#10;cf5itpjB3zvxBrn6BQAA//8DAFBLAQItABQABgAIAAAAIQDb4fbL7gAAAIUBAAATAAAAAAAAAAAA&#10;AAAAAAAAAABbQ29udGVudF9UeXBlc10ueG1sUEsBAi0AFAAGAAgAAAAhAFr0LFu/AAAAFQEAAAsA&#10;AAAAAAAAAAAAAAAAHwEAAF9yZWxzLy5yZWxzUEsBAi0AFAAGAAgAAAAhAG1RSDzEAAAA3gAAAA8A&#10;AAAAAAAAAAAAAAAABwIAAGRycy9kb3ducmV2LnhtbFBLBQYAAAAAAwADALcAAAD4AgAAAAA=&#10;" filled="f" stroked="f">
                  <v:textbox inset="0,0,0,0">
                    <w:txbxContent>
                      <w:p w14:paraId="7FF402C4" w14:textId="77777777" w:rsidR="00B32EF2" w:rsidRDefault="00000000">
                        <w:r>
                          <w:rPr>
                            <w:rFonts w:ascii="Arial" w:eastAsia="Arial" w:hAnsi="Arial" w:cs="Arial"/>
                            <w:i/>
                            <w:sz w:val="18"/>
                          </w:rPr>
                          <w:t>-</w:t>
                        </w:r>
                      </w:p>
                    </w:txbxContent>
                  </v:textbox>
                </v:rect>
                <v:rect id="Rectangle 19798" o:spid="_x0000_s4754" style="position:absolute;left:15825;top:14374;width:233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txOyAAAAN4AAAAPAAAAZHJzL2Rvd25yZXYueG1sRI9Pb8Iw&#10;DMXvSPsOkSftBuk4DOgIaGJC9MCFP5N2tBrTdmucqAm026fHh0m72XrP7/28XA+uVTfqYuPZwPMk&#10;A0VcettwZeB82o7noGJCtth6JgM/FGG9ehgtMbe+5wPdjqlSEsIxRwN1SiHXOpY1OYwTH4hFu/jO&#10;YZK1q7TtsJdw1+pplr1ohw1LQ42BNjWV38erM/D5zqHY9rq8/G7C/quYt7vr+cOYp8fh7RVUoiH9&#10;m/+uCyv4i9lCeOUdmUGv7gAAAP//AwBQSwECLQAUAAYACAAAACEA2+H2y+4AAACFAQAAEwAAAAAA&#10;AAAAAAAAAAAAAAAAW0NvbnRlbnRfVHlwZXNdLnhtbFBLAQItABQABgAIAAAAIQBa9CxbvwAAABUB&#10;AAALAAAAAAAAAAAAAAAAAB8BAABfcmVscy8ucmVsc1BLAQItABQABgAIAAAAIQAcztxOyAAAAN4A&#10;AAAPAAAAAAAAAAAAAAAAAAcCAABkcnMvZG93bnJldi54bWxQSwUGAAAAAAMAAwC3AAAA/AIAAAAA&#10;" filled="f" stroked="f">
                  <v:textbox inset="0,0,0,0">
                    <w:txbxContent>
                      <w:p w14:paraId="5CE42586" w14:textId="77777777" w:rsidR="00B32EF2" w:rsidRDefault="00000000">
                        <w:r>
                          <w:rPr>
                            <w:rFonts w:ascii="Arial" w:eastAsia="Arial" w:hAnsi="Arial" w:cs="Arial"/>
                            <w:i/>
                            <w:sz w:val="18"/>
                          </w:rPr>
                          <w:t>ne sostituisce quella dell’originale.</w:t>
                        </w:r>
                      </w:p>
                    </w:txbxContent>
                  </v:textbox>
                </v:rect>
                <v:rect id="Rectangle 201045" o:spid="_x0000_s4755" style="position:absolute;left:25717;top:13141;width:500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CCWxwAAAN8AAAAPAAAAZHJzL2Rvd25yZXYueG1sRI9BawIx&#10;FITvhf6H8AreaqLUIlujFIt0D160Fnp8bJ67q5uXsInu6q83QsHjMDPfMLNFbxtxpjbUjjWMhgoE&#10;ceFMzaWG3c/qdQoiRGSDjWPScKEAi/nz0wwz4zre0HkbS5EgHDLUUMXoMylDUZHFMHSeOHl711qM&#10;SbalNC12CW4bOVbqXVqsOS1U6GlZUXHcnqyGvy/2+aqTxf669OtDPm2+T7tfrQcv/ecHiEh9fIT/&#10;27nRMFYj9TaB+5/0BeT8BgAA//8DAFBLAQItABQABgAIAAAAIQDb4fbL7gAAAIUBAAATAAAAAAAA&#10;AAAAAAAAAAAAAABbQ29udGVudF9UeXBlc10ueG1sUEsBAi0AFAAGAAgAAAAhAFr0LFu/AAAAFQEA&#10;AAsAAAAAAAAAAAAAAAAAHwEAAF9yZWxzLy5yZWxzUEsBAi0AFAAGAAgAAAAhADGoIJbHAAAA3wAA&#10;AA8AAAAAAAAAAAAAAAAABwIAAGRycy9kb3ducmV2LnhtbFBLBQYAAAAAAwADALcAAAD7AgAAAAA=&#10;" filled="f" stroked="f">
                  <v:textbox inset="0,0,0,0">
                    <w:txbxContent>
                      <w:p w14:paraId="5741306C" w14:textId="77777777" w:rsidR="00B32EF2" w:rsidRDefault="00000000">
                        <w:r>
                          <w:rPr>
                            <w:rFonts w:ascii="Arial" w:eastAsia="Arial" w:hAnsi="Arial" w:cs="Arial"/>
                            <w:i/>
                            <w:sz w:val="18"/>
                          </w:rPr>
                          <w:t>1-</w:t>
                        </w:r>
                      </w:p>
                    </w:txbxContent>
                  </v:textbox>
                </v:rect>
                <v:rect id="Rectangle 201048" o:spid="_x0000_s4756" style="position:absolute;left:-11958;top:13141;width:500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Y8IxAAAAN8AAAAPAAAAZHJzL2Rvd25yZXYueG1sRE/Pa8Iw&#10;FL4P/B/CE3abiSJDqlFEEXvYZa6Cx0fzbKvNS2ii7fbXL4fBjh/f79VmsK14UhcaxxqmEwWCuHSm&#10;4UpD8XV4W4AIEdlg65g0fFOAzXr0ssLMuJ4/6XmKlUghHDLUUMfoMylDWZPFMHGeOHFX11mMCXaV&#10;NB32Kdy2cqbUu7TYcGqo0dOupvJ+elgNlz37/NDL8vqz8x+3fNEeH8VZ69fxsF2CiDTEf/GfOzca&#10;Zmqq5mlw+pO+gFz/AgAA//8DAFBLAQItABQABgAIAAAAIQDb4fbL7gAAAIUBAAATAAAAAAAAAAAA&#10;AAAAAAAAAABbQ29udGVudF9UeXBlc10ueG1sUEsBAi0AFAAGAAgAAAAhAFr0LFu/AAAAFQEAAAsA&#10;AAAAAAAAAAAAAAAAHwEAAF9yZWxzLy5yZWxzUEsBAi0AFAAGAAgAAAAhAN+pjwjEAAAA3wAAAA8A&#10;AAAAAAAAAAAAAAAABwIAAGRycy9kb3ducmV2LnhtbFBLBQYAAAAAAwADALcAAAD4AgAAAAA=&#10;" filled="f" stroked="f">
                  <v:textbox inset="0,0,0,0">
                    <w:txbxContent>
                      <w:p w14:paraId="367C807B" w14:textId="77777777" w:rsidR="00B32EF2" w:rsidRDefault="00000000">
                        <w:r>
                          <w:rPr>
                            <w:rFonts w:ascii="Arial" w:eastAsia="Arial" w:hAnsi="Arial" w:cs="Arial"/>
                            <w:i/>
                            <w:sz w:val="18"/>
                          </w:rPr>
                          <w:t>bis. La copia per immagine su supporto informatico di un documento ana</w:t>
                        </w:r>
                      </w:p>
                    </w:txbxContent>
                  </v:textbox>
                </v:rect>
                <v:rect id="Rectangle 19800" o:spid="_x0000_s4757" style="position:absolute;left:975;top:1314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tGZxwAAAN4AAAAPAAAAZHJzL2Rvd25yZXYueG1sRI9Bb8Iw&#10;DIXvk/YfIk/iNtLtgLpCQBMTooddxkDiaDWmLTRO1ARa9uvnw6TdbPn5vfctVqPr1I362Ho28DLN&#10;QBFX3rZcG9h/b55zUDEhW+w8k4E7RVgtHx8WWFg/8BfddqlWYsKxQANNSqHQOlYNOYxTH4jldvK9&#10;wyRrX2vb4yDmrtOvWTbTDluWhAYDrRuqLrurM3D84FBuBl2dftbh81zm3fa6PxgzeRrf56ASjelf&#10;/PddWqn/lmcCIDgyg17+AgAA//8DAFBLAQItABQABgAIAAAAIQDb4fbL7gAAAIUBAAATAAAAAAAA&#10;AAAAAAAAAAAAAABbQ29udGVudF9UeXBlc10ueG1sUEsBAi0AFAAGAAgAAAAhAFr0LFu/AAAAFQEA&#10;AAsAAAAAAAAAAAAAAAAAHwEAAF9yZWxzLy5yZWxzUEsBAi0AFAAGAAgAAAAhAPwG0ZnHAAAA3gAA&#10;AA8AAAAAAAAAAAAAAAAABwIAAGRycy9kb3ducmV2LnhtbFBLBQYAAAAAAwADALcAAAD7AgAAAAA=&#10;" filled="f" stroked="f">
                  <v:textbox inset="0,0,0,0">
                    <w:txbxContent>
                      <w:p w14:paraId="4AF31F6C" w14:textId="77777777" w:rsidR="00B32EF2" w:rsidRDefault="00000000">
                        <w:r>
                          <w:rPr>
                            <w:rFonts w:ascii="Arial" w:eastAsia="Arial" w:hAnsi="Arial" w:cs="Arial"/>
                            <w:i/>
                            <w:sz w:val="18"/>
                          </w:rPr>
                          <w:t>-</w:t>
                        </w:r>
                      </w:p>
                    </w:txbxContent>
                  </v:textbox>
                </v:rect>
                <v:rect id="Rectangle 19801" o:spid="_x0000_s4758" style="position:absolute;left:-10923;top:11907;width:50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nQCxAAAAN4AAAAPAAAAZHJzL2Rvd25yZXYueG1sRE9Na8JA&#10;EL0L/odlhN50o4eSpq4iiphDL7URehyyYxLNzi7Z1aT+erdQ6G0e73OW68G04k6dbywrmM8SEMSl&#10;1Q1XCoqv/TQF4QOyxtYyKfghD+vVeLTETNueP+l+DJWIIewzVFCH4DIpfVmTQT+zjjhyZ9sZDBF2&#10;ldQd9jHctHKRJK/SYMOxoUZH25rK6/FmFHzv2OX7Xpbnx9Z9XPK0PdyKk1Ivk2HzDiLQEP7Ff+5c&#10;x/lvaTKH33fiDXL1BAAA//8DAFBLAQItABQABgAIAAAAIQDb4fbL7gAAAIUBAAATAAAAAAAAAAAA&#10;AAAAAAAAAABbQ29udGVudF9UeXBlc10ueG1sUEsBAi0AFAAGAAgAAAAhAFr0LFu/AAAAFQEAAAsA&#10;AAAAAAAAAAAAAAAAHwEAAF9yZWxzLy5yZWxzUEsBAi0AFAAGAAgAAAAhAJNKdALEAAAA3gAAAA8A&#10;AAAAAAAAAAAAAAAABwIAAGRycy9kb3ducmV2LnhtbFBLBQYAAAAAAwADALcAAAD4AgAAAAA=&#10;" filled="f" stroked="f">
                  <v:textbox inset="0,0,0,0">
                    <w:txbxContent>
                      <w:p w14:paraId="3CAF7B74" w14:textId="77777777" w:rsidR="00B32EF2" w:rsidRDefault="00000000">
                        <w:r>
                          <w:rPr>
                            <w:rFonts w:ascii="Arial" w:eastAsia="Arial" w:hAnsi="Arial" w:cs="Arial"/>
                            <w:i/>
                            <w:sz w:val="18"/>
                          </w:rPr>
                          <w:t>logico è prodotta mediante processi e strumenti che assicurano che il docu</w:t>
                        </w:r>
                      </w:p>
                    </w:txbxContent>
                  </v:textbox>
                </v:rect>
                <v:rect id="Rectangle 19802" o:spid="_x0000_s4759" style="position:absolute;left:975;top:1190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Op1xQAAAN4AAAAPAAAAZHJzL2Rvd25yZXYueG1sRE9La8JA&#10;EL4L/Q/LFHrTTT2UGN1IUcQceqkP8DhkJw/Nzi7Z1aT99d1Cobf5+J6zWo+mEw/qfWtZwessAUFc&#10;Wt1yreB03E1TED4ga+wsk4Iv8rDOnyYrzLQd+JMeh1CLGMI+QwVNCC6T0pcNGfQz64gjV9neYIiw&#10;r6XucYjhppPzJHmTBluODQ062jRU3g53o+CyZVfsBllW3xv3cS3Sbn8/nZV6eR7flyACjeFf/Ocu&#10;dJy/SJM5/L4Tb5D5DwAAAP//AwBQSwECLQAUAAYACAAAACEA2+H2y+4AAACFAQAAEwAAAAAAAAAA&#10;AAAAAAAAAAAAW0NvbnRlbnRfVHlwZXNdLnhtbFBLAQItABQABgAIAAAAIQBa9CxbvwAAABUBAAAL&#10;AAAAAAAAAAAAAAAAAB8BAABfcmVscy8ucmVsc1BLAQItABQABgAIAAAAIQBjmOp1xQAAAN4AAAAP&#10;AAAAAAAAAAAAAAAAAAcCAABkcnMvZG93bnJldi54bWxQSwUGAAAAAAMAAwC3AAAA+QIAAAAA&#10;" filled="f" stroked="f">
                  <v:textbox inset="0,0,0,0">
                    <w:txbxContent>
                      <w:p w14:paraId="69168168" w14:textId="77777777" w:rsidR="00B32EF2" w:rsidRDefault="00000000">
                        <w:r>
                          <w:rPr>
                            <w:rFonts w:ascii="Arial" w:eastAsia="Arial" w:hAnsi="Arial" w:cs="Arial"/>
                            <w:i/>
                            <w:sz w:val="18"/>
                          </w:rPr>
                          <w:t>-</w:t>
                        </w:r>
                      </w:p>
                    </w:txbxContent>
                  </v:textbox>
                </v:rect>
                <v:rect id="Rectangle 19803" o:spid="_x0000_s4760" style="position:absolute;left:-11902;top:10674;width:511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E/uxAAAAN4AAAAPAAAAZHJzL2Rvd25yZXYueG1sRE9La8JA&#10;EL4X/A/LCN7qphUkTV2lWMQcvPgo9DhkxySanV2yq4n+elco9DYf33Nmi9404kqtry0reBsnIIgL&#10;q2suFRz2q9cUhA/IGhvLpOBGHhbzwcsMM2073tJ1F0oRQ9hnqKAKwWVS+qIig35sHXHkjrY1GCJs&#10;S6lb7GK4aeR7kkylwZpjQ4WOlhUV593FKPj9ZpevOlkc70u3OeVps74cfpQaDfuvTxCB+vAv/nPn&#10;Os7/SJMJPN+JN8j5AwAA//8DAFBLAQItABQABgAIAAAAIQDb4fbL7gAAAIUBAAATAAAAAAAAAAAA&#10;AAAAAAAAAABbQ29udGVudF9UeXBlc10ueG1sUEsBAi0AFAAGAAgAAAAhAFr0LFu/AAAAFQEAAAsA&#10;AAAAAAAAAAAAAAAAHwEAAF9yZWxzLy5yZWxzUEsBAi0AFAAGAAgAAAAhAAzUT+7EAAAA3gAAAA8A&#10;AAAAAAAAAAAAAAAABwIAAGRycy9kb3ducmV2LnhtbFBLBQYAAAAAAwADALcAAAD4AgAAAAA=&#10;" filled="f" stroked="f">
                  <v:textbox inset="0,0,0,0">
                    <w:txbxContent>
                      <w:p w14:paraId="1019D08D" w14:textId="77777777" w:rsidR="00B32EF2" w:rsidRDefault="00000000">
                        <w:r>
                          <w:rPr>
                            <w:rFonts w:ascii="Arial" w:eastAsia="Arial" w:hAnsi="Arial" w:cs="Arial"/>
                            <w:i/>
                            <w:sz w:val="18"/>
                          </w:rPr>
                          <w:t xml:space="preserve">mento informatico abbia contenuto e forma identici a quelli del documento </w:t>
                        </w:r>
                      </w:p>
                    </w:txbxContent>
                  </v:textbox>
                </v:rect>
                <v:rect id="Rectangle 19804" o:spid="_x0000_s4761" style="position:absolute;left:-10913;top:9441;width:500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eaxAAAAN4AAAAPAAAAZHJzL2Rvd25yZXYueG1sRE9La8JA&#10;EL4X/A/LCN7qpkUkTV2lWMQcvPgo9DhkxySanV2yq4n+elco9DYf33Nmi9404kqtry0reBsnIIgL&#10;q2suFRz2q9cUhA/IGhvLpOBGHhbzwcsMM2073tJ1F0oRQ9hnqKAKwWVS+qIig35sHXHkjrY1GCJs&#10;S6lb7GK4aeR7kkylwZpjQ4WOlhUV593FKPj9ZpevOlkc70u3OeVps74cfpQaDfuvTxCB+vAv/nPn&#10;Os7/SJMJPN+JN8j5AwAA//8DAFBLAQItABQABgAIAAAAIQDb4fbL7gAAAIUBAAATAAAAAAAAAAAA&#10;AAAAAAAAAABbQ29udGVudF9UeXBlc10ueG1sUEsBAi0AFAAGAAgAAAAhAFr0LFu/AAAAFQEAAAsA&#10;AAAAAAAAAAAAAAAAHwEAAF9yZWxzLy5yZWxzUEsBAi0AFAAGAAgAAAAhAIM915rEAAAA3gAAAA8A&#10;AAAAAAAAAAAAAAAABwIAAGRycy9kb3ducmV2LnhtbFBLBQYAAAAAAwADALcAAAD4AgAAAAA=&#10;" filled="f" stroked="f">
                  <v:textbox inset="0,0,0,0">
                    <w:txbxContent>
                      <w:p w14:paraId="60F15F5A" w14:textId="77777777" w:rsidR="00B32EF2" w:rsidRDefault="00000000">
                        <w:r>
                          <w:rPr>
                            <w:rFonts w:ascii="Arial" w:eastAsia="Arial" w:hAnsi="Arial" w:cs="Arial"/>
                            <w:i/>
                            <w:sz w:val="18"/>
                          </w:rPr>
                          <w:t>analogico da cui è tratto, previo raffronto dei documenti o attraverso certifica</w:t>
                        </w:r>
                      </w:p>
                    </w:txbxContent>
                  </v:textbox>
                </v:rect>
                <v:rect id="Rectangle 19805" o:spid="_x0000_s4762" style="position:absolute;left:975;top:944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XIBxAAAAN4AAAAPAAAAZHJzL2Rvd25yZXYueG1sRE9La8JA&#10;EL4X/A/LCN7qpgUlTV2lWMQcvPgo9DhkxySanV2yq4n+elco9DYf33Nmi9404kqtry0reBsnIIgL&#10;q2suFRz2q9cUhA/IGhvLpOBGHhbzwcsMM2073tJ1F0oRQ9hnqKAKwWVS+qIig35sHXHkjrY1GCJs&#10;S6lb7GK4aeR7kkylwZpjQ4WOlhUV593FKPj9ZpevOlkc70u3OeVps74cfpQaDfuvTxCB+vAv/nPn&#10;Os7/SJMJPN+JN8j5AwAA//8DAFBLAQItABQABgAIAAAAIQDb4fbL7gAAAIUBAAATAAAAAAAAAAAA&#10;AAAAAAAAAABbQ29udGVudF9UeXBlc10ueG1sUEsBAi0AFAAGAAgAAAAhAFr0LFu/AAAAFQEAAAsA&#10;AAAAAAAAAAAAAAAAHwEAAF9yZWxzLy5yZWxzUEsBAi0AFAAGAAgAAAAhAOxxcgHEAAAA3gAAAA8A&#10;AAAAAAAAAAAAAAAABwIAAGRycy9kb3ducmV2LnhtbFBLBQYAAAAAAwADALcAAAD4AgAAAAA=&#10;" filled="f" stroked="f">
                  <v:textbox inset="0,0,0,0">
                    <w:txbxContent>
                      <w:p w14:paraId="0DBB72D8" w14:textId="77777777" w:rsidR="00B32EF2" w:rsidRDefault="00000000">
                        <w:r>
                          <w:rPr>
                            <w:rFonts w:ascii="Arial" w:eastAsia="Arial" w:hAnsi="Arial" w:cs="Arial"/>
                            <w:i/>
                            <w:sz w:val="18"/>
                          </w:rPr>
                          <w:t>-</w:t>
                        </w:r>
                      </w:p>
                    </w:txbxContent>
                  </v:textbox>
                </v:rect>
                <v:rect id="Rectangle 19806" o:spid="_x0000_s4763" style="position:absolute;left:-11864;top:8207;width:509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x2xAAAAN4AAAAPAAAAZHJzL2Rvd25yZXYueG1sRE9Na8JA&#10;EL0X/A/LCN7qph4kTV2lKGIOvWgj9DhkxyRtdnbJrib117uC4G0e73MWq8G04kKdbywreJsmIIhL&#10;qxuuFBTf29cUhA/IGlvLpOCfPKyWo5cFZtr2vKfLIVQihrDPUEEdgsuk9GVNBv3UOuLInWxnMETY&#10;VVJ32Mdw08pZksylwYZjQ42O1jWVf4ezUfCzYZdve1mermv39Zun7e5cHJWajIfPDxCBhvAUP9y5&#10;jvPf02QO93fiDXJ5AwAA//8DAFBLAQItABQABgAIAAAAIQDb4fbL7gAAAIUBAAATAAAAAAAAAAAA&#10;AAAAAAAAAABbQ29udGVudF9UeXBlc10ueG1sUEsBAi0AFAAGAAgAAAAhAFr0LFu/AAAAFQEAAAsA&#10;AAAAAAAAAAAAAAAAHwEAAF9yZWxzLy5yZWxzUEsBAi0AFAAGAAgAAAAhAByj7HbEAAAA3gAAAA8A&#10;AAAAAAAAAAAAAAAABwIAAGRycy9kb3ducmV2LnhtbFBLBQYAAAAAAwADALcAAAD4AgAAAAA=&#10;" filled="f" stroked="f">
                  <v:textbox inset="0,0,0,0">
                    <w:txbxContent>
                      <w:p w14:paraId="625BDC61" w14:textId="77777777" w:rsidR="00B32EF2" w:rsidRDefault="00000000">
                        <w:r>
                          <w:rPr>
                            <w:rFonts w:ascii="Arial" w:eastAsia="Arial" w:hAnsi="Arial" w:cs="Arial"/>
                            <w:i/>
                            <w:sz w:val="18"/>
                          </w:rPr>
                          <w:t xml:space="preserve">zione di processo nei casi in cui siano adottate tecniche in grado di garantire </w:t>
                        </w:r>
                      </w:p>
                    </w:txbxContent>
                  </v:textbox>
                </v:rect>
                <v:rect id="Rectangle 19807" o:spid="_x0000_s4764" style="position:absolute;left:-9324;top:6974;width:484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0ntxQAAAN4AAAAPAAAAZHJzL2Rvd25yZXYueG1sRE9La8JA&#10;EL4X/A/LCN7qpj1omrpKsYg5ePFR6HHIjkk0O7tkVxP99a5Q6G0+vufMFr1pxJVaX1tW8DZOQBAX&#10;VtdcKjjsV68pCB+QNTaWScGNPCzmg5cZZtp2vKXrLpQihrDPUEEVgsuk9EVFBv3YOuLIHW1rMETY&#10;llK32MVw08j3JJlIgzXHhgodLSsqzruLUfD7zS5fdbI43pduc8rTZn05/Cg1GvZfnyAC9eFf/OfO&#10;dZz/kSZTeL4Tb5DzBwAAAP//AwBQSwECLQAUAAYACAAAACEA2+H2y+4AAACFAQAAEwAAAAAAAAAA&#10;AAAAAAAAAAAAW0NvbnRlbnRfVHlwZXNdLnhtbFBLAQItABQABgAIAAAAIQBa9CxbvwAAABUBAAAL&#10;AAAAAAAAAAAAAAAAAB8BAABfcmVscy8ucmVsc1BLAQItABQABgAIAAAAIQBz70ntxQAAAN4AAAAP&#10;AAAAAAAAAAAAAAAAAAcCAABkcnMvZG93bnJldi54bWxQSwUGAAAAAAMAAwC3AAAA+QIAAAAA&#10;" filled="f" stroked="f">
                  <v:textbox inset="0,0,0,0">
                    <w:txbxContent>
                      <w:p w14:paraId="389BD1C3" w14:textId="77777777" w:rsidR="00B32EF2" w:rsidRDefault="00000000">
                        <w:r>
                          <w:rPr>
                            <w:rFonts w:ascii="Arial" w:eastAsia="Arial" w:hAnsi="Arial" w:cs="Arial"/>
                            <w:i/>
                            <w:sz w:val="18"/>
                          </w:rPr>
                          <w:t>la corrispondenza della forma e del contenuto dell’originale e della copia.</w:t>
                        </w:r>
                      </w:p>
                    </w:txbxContent>
                  </v:textbox>
                </v:rect>
                <v:rect id="Rectangle 201040" o:spid="_x0000_s4765" style="position:absolute;left:-11633;top:5741;width:501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4MOxgAAAN8AAAAPAAAAZHJzL2Rvd25yZXYueG1sRI9Pa8Iw&#10;GMbvA79DeIXdZqLIkGoUUcQedpmr4PGleW2rzZvQRNvt0y+HwY4Pzz9+q81gW/GkLjSONUwnCgRx&#10;6UzDlYbi6/C2ABEissHWMWn4pgCb9ehlhZlxPX/S8xQrkUY4ZKihjtFnUoayJoth4jxx8q6usxiT&#10;7CppOuzTuG3lTKl3abHh9FCjp11N5f30sBoue/b5oZfl9WfnP275oj0+irPWr+NhuwQRaYj/4b92&#10;bjTM1FTNE0HiSSwg178AAAD//wMAUEsBAi0AFAAGAAgAAAAhANvh9svuAAAAhQEAABMAAAAAAAAA&#10;AAAAAAAAAAAAAFtDb250ZW50X1R5cGVzXS54bWxQSwECLQAUAAYACAAAACEAWvQsW78AAAAVAQAA&#10;CwAAAAAAAAAAAAAAAAAfAQAAX3JlbHMvLnJlbHNQSwECLQAUAAYACAAAACEAId+DDsYAAADfAAAA&#10;DwAAAAAAAAAAAAAAAAAHAgAAZHJzL2Rvd25yZXYueG1sUEsFBgAAAAADAAMAtwAAAPoCAAAAAA==&#10;" filled="f" stroked="f">
                  <v:textbox inset="0,0,0,0">
                    <w:txbxContent>
                      <w:p w14:paraId="1ECBB568" w14:textId="77777777" w:rsidR="00B32EF2" w:rsidRDefault="00000000">
                        <w:r>
                          <w:rPr>
                            <w:rFonts w:ascii="Arial" w:eastAsia="Arial" w:hAnsi="Arial" w:cs="Arial"/>
                            <w:i/>
                            <w:sz w:val="18"/>
                          </w:rPr>
                          <w:t>. Le copie per immagine su supporto informatico di documenti originali for</w:t>
                        </w:r>
                      </w:p>
                    </w:txbxContent>
                  </v:textbox>
                </v:rect>
                <v:rect id="Rectangle 201039" o:spid="_x0000_s4766" style="position:absolute;left:26065;top:5741;width:50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1nuyAAAAN8AAAAPAAAAZHJzL2Rvd25yZXYueG1sRI9PawIx&#10;FMTvBb9DeIK3mmih6NYookj30Ev9Az0+Ns/d1c1L2ER37advCoUeh5n5DbNY9bYRd2pD7VjDZKxA&#10;EBfO1FxqOB52zzMQISIbbByThgcFWC0HTwvMjOv4k+77WIoE4ZChhipGn0kZiooshrHzxMk7u9Zi&#10;TLItpWmxS3DbyKlSr9JizWmhQk+biorr/mY1fG3Z57tOFufvjf+45LPm/XY8aT0a9us3EJH6+B/+&#10;a+dGw1RN1Mscfv+kLyCXPwAAAP//AwBQSwECLQAUAAYACAAAACEA2+H2y+4AAACFAQAAEwAAAAAA&#10;AAAAAAAAAAAAAAAAW0NvbnRlbnRfVHlwZXNdLnhtbFBLAQItABQABgAIAAAAIQBa9CxbvwAAABUB&#10;AAALAAAAAAAAAAAAAAAAAB8BAABfcmVscy8ucmVsc1BLAQItABQABgAIAAAAIQDo41nuyAAAAN8A&#10;AAAPAAAAAAAAAAAAAAAAAAcCAABkcnMvZG93bnJldi54bWxQSwUGAAAAAAMAAwC3AAAA/AIAAAAA&#10;" filled="f" stroked="f">
                  <v:textbox inset="0,0,0,0">
                    <w:txbxContent>
                      <w:p w14:paraId="495FE2A0" w14:textId="77777777" w:rsidR="00B32EF2" w:rsidRDefault="00000000">
                        <w:r>
                          <w:rPr>
                            <w:rFonts w:ascii="Arial" w:eastAsia="Arial" w:hAnsi="Arial" w:cs="Arial"/>
                            <w:i/>
                            <w:sz w:val="18"/>
                          </w:rPr>
                          <w:t>2</w:t>
                        </w:r>
                      </w:p>
                    </w:txbxContent>
                  </v:textbox>
                </v:rect>
                <v:rect id="Rectangle 19809" o:spid="_x0000_s4767" style="position:absolute;left:975;top:574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HgExAAAAN4AAAAPAAAAZHJzL2Rvd25yZXYueG1sRE9Na8JA&#10;EL0L/odlhN50Uw8lpq5SFGkOXrQRehyyY5I2O7tkV5P6611B6G0e73OW68G04kqdbywreJ0lIIhL&#10;qxuuFBRfu2kKwgdkja1lUvBHHtar8WiJmbY9H+h6DJWIIewzVFCH4DIpfVmTQT+zjjhyZ9sZDBF2&#10;ldQd9jHctHKeJG/SYMOxoUZHm5rK3+PFKPjesst3vSzPt43b/+Rp+3kpTkq9TIaPdxCBhvAvfrpz&#10;Hecv0mQBj3fiDXJ1BwAA//8DAFBLAQItABQABgAIAAAAIQDb4fbL7gAAAIUBAAATAAAAAAAAAAAA&#10;AAAAAAAAAABbQ29udGVudF9UeXBlc10ueG1sUEsBAi0AFAAGAAgAAAAhAFr0LFu/AAAAFQEAAAsA&#10;AAAAAAAAAAAAAAAAHwEAAF9yZWxzLy5yZWxzUEsBAi0AFAAGAAgAAAAhAG08eATEAAAA3gAAAA8A&#10;AAAAAAAAAAAAAAAABwIAAGRycy9kb3ducmV2LnhtbFBLBQYAAAAAAwADALcAAAD4AgAAAAA=&#10;" filled="f" stroked="f">
                  <v:textbox inset="0,0,0,0">
                    <w:txbxContent>
                      <w:p w14:paraId="72B67205" w14:textId="77777777" w:rsidR="00B32EF2" w:rsidRDefault="00000000">
                        <w:r>
                          <w:rPr>
                            <w:rFonts w:ascii="Arial" w:eastAsia="Arial" w:hAnsi="Arial" w:cs="Arial"/>
                            <w:i/>
                            <w:sz w:val="18"/>
                          </w:rPr>
                          <w:t>-</w:t>
                        </w:r>
                      </w:p>
                    </w:txbxContent>
                  </v:textbox>
                </v:rect>
                <v:shape id="Shape 19810" o:spid="_x0000_s4768" style="position:absolute;left:317;top:4731;width:39600;height:50087;visibility:visible;mso-wrap-style:square;v-text-anchor:top" coordsize="3960000,5008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q7ZxgAAAN4AAAAPAAAAZHJzL2Rvd25yZXYueG1sRI9PTwJB&#10;DMXvJn6HSU28ySweDKwMxBgkxoQDfw4e60zZXdnpbLYDrN/eHki4tenre+83WwyxNWfqpUnsYDwq&#10;wBD7FBquHOx3H08TMJKRA7aJycEfCSzm93czLEO68IbO21wZNWEp0UGdc1daK76miDJKHbHeDqmP&#10;mHXtKxt6vKh5bO1zUbzYiA1rQo0dvdfkj9tTdBB/j0su0kF+Nkv/Hf1a5GvlnXt8GN5ewWQa8k18&#10;/f4MWn86GSuA4ugMdv4PAAD//wMAUEsBAi0AFAAGAAgAAAAhANvh9svuAAAAhQEAABMAAAAAAAAA&#10;AAAAAAAAAAAAAFtDb250ZW50X1R5cGVzXS54bWxQSwECLQAUAAYACAAAACEAWvQsW78AAAAVAQAA&#10;CwAAAAAAAAAAAAAAAAAfAQAAX3JlbHMvLnJlbHNQSwECLQAUAAYACAAAACEAHzau2cYAAADeAAAA&#10;DwAAAAAAAAAAAAAAAAAHAgAAZHJzL2Rvd25yZXYueG1sUEsFBgAAAAADAAMAtwAAAPoCAAAAAA==&#10;" path="m,5008702r3960000,l3960000,,,,,5008702xe" filled="f" strokeweight="1pt">
                  <v:stroke miterlimit="1" joinstyle="miter"/>
                  <v:path arrowok="t" textboxrect="0,0,3960000,5008702"/>
                </v:shape>
                <w10:anchorlock/>
              </v:group>
            </w:pict>
          </mc:Fallback>
        </mc:AlternateContent>
      </w:r>
    </w:p>
    <w:p w14:paraId="3ABD6CEE" w14:textId="77777777" w:rsidR="00B32EF2" w:rsidRDefault="00000000">
      <w:pPr>
        <w:spacing w:after="0"/>
        <w:ind w:left="-356" w:right="-306"/>
      </w:pPr>
      <w:r>
        <w:rPr>
          <w:noProof/>
        </w:rPr>
        <w:lastRenderedPageBreak/>
        <mc:AlternateContent>
          <mc:Choice Requires="wpg">
            <w:drawing>
              <wp:inline distT="0" distB="0" distL="0" distR="0" wp14:anchorId="4C10FF36" wp14:editId="431BA04C">
                <wp:extent cx="3991802" cy="6262854"/>
                <wp:effectExtent l="0" t="0" r="0" b="0"/>
                <wp:docPr id="201806" name="Group 201806"/>
                <wp:cNvGraphicFramePr/>
                <a:graphic xmlns:a="http://schemas.openxmlformats.org/drawingml/2006/main">
                  <a:graphicData uri="http://schemas.microsoft.com/office/word/2010/wordprocessingGroup">
                    <wpg:wgp>
                      <wpg:cNvGrpSpPr/>
                      <wpg:grpSpPr>
                        <a:xfrm>
                          <a:off x="0" y="0"/>
                          <a:ext cx="3991802" cy="6262854"/>
                          <a:chOff x="0" y="0"/>
                          <a:chExt cx="3991802" cy="6262854"/>
                        </a:xfrm>
                      </wpg:grpSpPr>
                      <wps:wsp>
                        <wps:cNvPr id="19831" name="Rectangle 19831"/>
                        <wps:cNvSpPr/>
                        <wps:spPr>
                          <a:xfrm rot="-10799999">
                            <a:off x="1900488" y="-62190"/>
                            <a:ext cx="178369" cy="250646"/>
                          </a:xfrm>
                          <a:prstGeom prst="rect">
                            <a:avLst/>
                          </a:prstGeom>
                          <a:ln>
                            <a:noFill/>
                          </a:ln>
                        </wps:spPr>
                        <wps:txbx>
                          <w:txbxContent>
                            <w:p w14:paraId="4AF5D390" w14:textId="77777777" w:rsidR="00B32EF2" w:rsidRDefault="00000000">
                              <w:r>
                                <w:rPr>
                                  <w:rFonts w:ascii="Times New Roman" w:eastAsia="Times New Roman" w:hAnsi="Times New Roman" w:cs="Times New Roman"/>
                                </w:rPr>
                                <w:t>49</w:t>
                              </w:r>
                            </w:p>
                          </w:txbxContent>
                        </wps:txbx>
                        <wps:bodyPr horzOverflow="overflow" vert="horz" lIns="0" tIns="0" rIns="0" bIns="0" rtlCol="0">
                          <a:noAutofit/>
                        </wps:bodyPr>
                      </wps:wsp>
                      <wps:wsp>
                        <wps:cNvPr id="19832" name="Rectangle 19832"/>
                        <wps:cNvSpPr/>
                        <wps:spPr>
                          <a:xfrm rot="-10799999">
                            <a:off x="-1220548" y="6119964"/>
                            <a:ext cx="5212352" cy="142890"/>
                          </a:xfrm>
                          <a:prstGeom prst="rect">
                            <a:avLst/>
                          </a:prstGeom>
                          <a:ln>
                            <a:noFill/>
                          </a:ln>
                        </wps:spPr>
                        <wps:txbx>
                          <w:txbxContent>
                            <w:p w14:paraId="58AC5F96" w14:textId="77777777" w:rsidR="00B32EF2" w:rsidRDefault="00000000">
                              <w:r>
                                <w:rPr>
                                  <w:rFonts w:ascii="Arial" w:eastAsia="Arial" w:hAnsi="Arial" w:cs="Arial"/>
                                  <w:sz w:val="18"/>
                                </w:rPr>
                                <w:t>Stato. Con decreto del Ministro dell’economia e delle finanze, sentito il Mini</w:t>
                              </w:r>
                            </w:p>
                          </w:txbxContent>
                        </wps:txbx>
                        <wps:bodyPr horzOverflow="overflow" vert="horz" lIns="0" tIns="0" rIns="0" bIns="0" rtlCol="0">
                          <a:noAutofit/>
                        </wps:bodyPr>
                      </wps:wsp>
                      <wps:wsp>
                        <wps:cNvPr id="19833" name="Rectangle 19833"/>
                        <wps:cNvSpPr/>
                        <wps:spPr>
                          <a:xfrm rot="-10799999">
                            <a:off x="19204" y="6119965"/>
                            <a:ext cx="50622" cy="142889"/>
                          </a:xfrm>
                          <a:prstGeom prst="rect">
                            <a:avLst/>
                          </a:prstGeom>
                          <a:ln>
                            <a:noFill/>
                          </a:ln>
                        </wps:spPr>
                        <wps:txbx>
                          <w:txbxContent>
                            <w:p w14:paraId="7B925F0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834" name="Rectangle 19834"/>
                        <wps:cNvSpPr/>
                        <wps:spPr>
                          <a:xfrm rot="-10799999">
                            <a:off x="-1317187" y="5996634"/>
                            <a:ext cx="5308990" cy="142891"/>
                          </a:xfrm>
                          <a:prstGeom prst="rect">
                            <a:avLst/>
                          </a:prstGeom>
                          <a:ln>
                            <a:noFill/>
                          </a:ln>
                        </wps:spPr>
                        <wps:txbx>
                          <w:txbxContent>
                            <w:p w14:paraId="51D4EB1F" w14:textId="77777777" w:rsidR="00B32EF2" w:rsidRDefault="00000000">
                              <w:r>
                                <w:rPr>
                                  <w:rFonts w:ascii="Arial" w:eastAsia="Arial" w:hAnsi="Arial" w:cs="Arial"/>
                                  <w:sz w:val="18"/>
                                </w:rPr>
                                <w:t xml:space="preserve">stero della giustizia, adottato ai sensi dell’articolo 17, comma 3, della legge 23 </w:t>
                              </w:r>
                            </w:p>
                          </w:txbxContent>
                        </wps:txbx>
                        <wps:bodyPr horzOverflow="overflow" vert="horz" lIns="0" tIns="0" rIns="0" bIns="0" rtlCol="0">
                          <a:noAutofit/>
                        </wps:bodyPr>
                      </wps:wsp>
                      <wps:wsp>
                        <wps:cNvPr id="19835" name="Rectangle 19835"/>
                        <wps:cNvSpPr/>
                        <wps:spPr>
                          <a:xfrm rot="-10799999">
                            <a:off x="-1317218" y="5873305"/>
                            <a:ext cx="5309021" cy="142889"/>
                          </a:xfrm>
                          <a:prstGeom prst="rect">
                            <a:avLst/>
                          </a:prstGeom>
                          <a:ln>
                            <a:noFill/>
                          </a:ln>
                        </wps:spPr>
                        <wps:txbx>
                          <w:txbxContent>
                            <w:p w14:paraId="4EC38AB2" w14:textId="77777777" w:rsidR="00B32EF2" w:rsidRDefault="00000000">
                              <w:r>
                                <w:rPr>
                                  <w:rFonts w:ascii="Arial" w:eastAsia="Arial" w:hAnsi="Arial" w:cs="Arial"/>
                                  <w:sz w:val="18"/>
                                </w:rPr>
                                <w:t xml:space="preserve">agosto 1988, n. 400, sono disciplinate le modalità di tenuta dell’elenco, nonché </w:t>
                              </w:r>
                            </w:p>
                          </w:txbxContent>
                        </wps:txbx>
                        <wps:bodyPr horzOverflow="overflow" vert="horz" lIns="0" tIns="0" rIns="0" bIns="0" rtlCol="0">
                          <a:noAutofit/>
                        </wps:bodyPr>
                      </wps:wsp>
                      <wps:wsp>
                        <wps:cNvPr id="19836" name="Rectangle 19836"/>
                        <wps:cNvSpPr/>
                        <wps:spPr>
                          <a:xfrm rot="-10799999">
                            <a:off x="-1317218" y="5749976"/>
                            <a:ext cx="5309021" cy="142889"/>
                          </a:xfrm>
                          <a:prstGeom prst="rect">
                            <a:avLst/>
                          </a:prstGeom>
                          <a:ln>
                            <a:noFill/>
                          </a:ln>
                        </wps:spPr>
                        <wps:txbx>
                          <w:txbxContent>
                            <w:p w14:paraId="0255DCB1" w14:textId="77777777" w:rsidR="00B32EF2" w:rsidRDefault="00000000">
                              <w:r>
                                <w:rPr>
                                  <w:rFonts w:ascii="Arial" w:eastAsia="Arial" w:hAnsi="Arial" w:cs="Arial"/>
                                  <w:sz w:val="18"/>
                                </w:rPr>
                                <w:t xml:space="preserve">i casi di incompatibilità, diniego, sospensione e revoca della iscrizione anche </w:t>
                              </w:r>
                            </w:p>
                          </w:txbxContent>
                        </wps:txbx>
                        <wps:bodyPr horzOverflow="overflow" vert="horz" lIns="0" tIns="0" rIns="0" bIns="0" rtlCol="0">
                          <a:noAutofit/>
                        </wps:bodyPr>
                      </wps:wsp>
                      <wps:wsp>
                        <wps:cNvPr id="19837" name="Rectangle 19837"/>
                        <wps:cNvSpPr/>
                        <wps:spPr>
                          <a:xfrm rot="-10799999">
                            <a:off x="-1317248" y="5626646"/>
                            <a:ext cx="5309051" cy="142889"/>
                          </a:xfrm>
                          <a:prstGeom prst="rect">
                            <a:avLst/>
                          </a:prstGeom>
                          <a:ln>
                            <a:noFill/>
                          </a:ln>
                        </wps:spPr>
                        <wps:txbx>
                          <w:txbxContent>
                            <w:p w14:paraId="28A78A1B" w14:textId="77777777" w:rsidR="00B32EF2" w:rsidRDefault="00000000">
                              <w:r>
                                <w:rPr>
                                  <w:rFonts w:ascii="Arial" w:eastAsia="Arial" w:hAnsi="Arial" w:cs="Arial"/>
                                  <w:sz w:val="18"/>
                                </w:rPr>
                                <w:t xml:space="preserve">sulla base dei principi contenuti nel codice deontologico forense. L’elenco è </w:t>
                              </w:r>
                            </w:p>
                          </w:txbxContent>
                        </wps:txbx>
                        <wps:bodyPr horzOverflow="overflow" vert="horz" lIns="0" tIns="0" rIns="0" bIns="0" rtlCol="0">
                          <a:noAutofit/>
                        </wps:bodyPr>
                      </wps:wsp>
                      <wps:wsp>
                        <wps:cNvPr id="19838" name="Rectangle 19838"/>
                        <wps:cNvSpPr/>
                        <wps:spPr>
                          <a:xfrm rot="-10799999">
                            <a:off x="-800445" y="5503316"/>
                            <a:ext cx="4792247" cy="142889"/>
                          </a:xfrm>
                          <a:prstGeom prst="rect">
                            <a:avLst/>
                          </a:prstGeom>
                          <a:ln>
                            <a:noFill/>
                          </a:ln>
                        </wps:spPr>
                        <wps:txbx>
                          <w:txbxContent>
                            <w:p w14:paraId="023339D2" w14:textId="77777777" w:rsidR="00B32EF2" w:rsidRDefault="00000000">
                              <w:r>
                                <w:rPr>
                                  <w:rFonts w:ascii="Arial" w:eastAsia="Arial" w:hAnsi="Arial" w:cs="Arial"/>
                                  <w:sz w:val="18"/>
                                </w:rPr>
                                <w:t xml:space="preserve">pubblicato nel sito internet del Ministero dell’economia e delle finanze. </w:t>
                              </w:r>
                            </w:p>
                          </w:txbxContent>
                        </wps:txbx>
                        <wps:bodyPr horzOverflow="overflow" vert="horz" lIns="0" tIns="0" rIns="0" bIns="0" rtlCol="0">
                          <a:noAutofit/>
                        </wps:bodyPr>
                      </wps:wsp>
                      <wps:wsp>
                        <wps:cNvPr id="201585" name="Rectangle 201585"/>
                        <wps:cNvSpPr/>
                        <wps:spPr>
                          <a:xfrm rot="-10799999">
                            <a:off x="2634230" y="5379987"/>
                            <a:ext cx="5215301" cy="142889"/>
                          </a:xfrm>
                          <a:prstGeom prst="rect">
                            <a:avLst/>
                          </a:prstGeom>
                          <a:ln>
                            <a:noFill/>
                          </a:ln>
                        </wps:spPr>
                        <wps:txbx>
                          <w:txbxContent>
                            <w:p w14:paraId="1A9134A1"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01586" name="Rectangle 201586"/>
                        <wps:cNvSpPr/>
                        <wps:spPr>
                          <a:xfrm rot="-10799999">
                            <a:off x="-1285620" y="5379987"/>
                            <a:ext cx="5215301" cy="142889"/>
                          </a:xfrm>
                          <a:prstGeom prst="rect">
                            <a:avLst/>
                          </a:prstGeom>
                          <a:ln>
                            <a:noFill/>
                          </a:ln>
                        </wps:spPr>
                        <wps:txbx>
                          <w:txbxContent>
                            <w:p w14:paraId="4E54F3DB" w14:textId="77777777" w:rsidR="00B32EF2" w:rsidRDefault="00000000">
                              <w:r>
                                <w:rPr>
                                  <w:rFonts w:ascii="Arial" w:eastAsia="Arial" w:hAnsi="Arial" w:cs="Arial"/>
                                  <w:sz w:val="18"/>
                                </w:rPr>
                                <w:t>. Per le controversie di cui all’articolo 46, comma 2, primo periodo, sono an</w:t>
                              </w:r>
                            </w:p>
                          </w:txbxContent>
                        </wps:txbx>
                        <wps:bodyPr horzOverflow="overflow" vert="horz" lIns="0" tIns="0" rIns="0" bIns="0" rtlCol="0">
                          <a:noAutofit/>
                        </wps:bodyPr>
                      </wps:wsp>
                      <wps:wsp>
                        <wps:cNvPr id="19840" name="Rectangle 19840"/>
                        <wps:cNvSpPr/>
                        <wps:spPr>
                          <a:xfrm rot="-10799999">
                            <a:off x="19204" y="5379986"/>
                            <a:ext cx="50622" cy="142889"/>
                          </a:xfrm>
                          <a:prstGeom prst="rect">
                            <a:avLst/>
                          </a:prstGeom>
                          <a:ln>
                            <a:noFill/>
                          </a:ln>
                        </wps:spPr>
                        <wps:txbx>
                          <w:txbxContent>
                            <w:p w14:paraId="4A8A7E0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841" name="Rectangle 19841"/>
                        <wps:cNvSpPr/>
                        <wps:spPr>
                          <a:xfrm rot="-10799999">
                            <a:off x="-922045" y="5256657"/>
                            <a:ext cx="4913847" cy="142889"/>
                          </a:xfrm>
                          <a:prstGeom prst="rect">
                            <a:avLst/>
                          </a:prstGeom>
                          <a:ln>
                            <a:noFill/>
                          </a:ln>
                        </wps:spPr>
                        <wps:txbx>
                          <w:txbxContent>
                            <w:p w14:paraId="744C5437" w14:textId="77777777" w:rsidR="00B32EF2" w:rsidRDefault="00000000">
                              <w:r>
                                <w:rPr>
                                  <w:rFonts w:ascii="Arial" w:eastAsia="Arial" w:hAnsi="Arial" w:cs="Arial"/>
                                  <w:sz w:val="18"/>
                                </w:rPr>
                                <w:t>che abilitati all’assistenza tecnica, se iscritti nei relativi albi professionali:</w:t>
                              </w:r>
                            </w:p>
                          </w:txbxContent>
                        </wps:txbx>
                        <wps:bodyPr horzOverflow="overflow" vert="horz" lIns="0" tIns="0" rIns="0" bIns="0" rtlCol="0">
                          <a:noAutofit/>
                        </wps:bodyPr>
                      </wps:wsp>
                      <wps:wsp>
                        <wps:cNvPr id="19842" name="Rectangle 19842"/>
                        <wps:cNvSpPr/>
                        <wps:spPr>
                          <a:xfrm rot="-10799999">
                            <a:off x="2948922" y="5133327"/>
                            <a:ext cx="1042881" cy="142889"/>
                          </a:xfrm>
                          <a:prstGeom prst="rect">
                            <a:avLst/>
                          </a:prstGeom>
                          <a:ln>
                            <a:noFill/>
                          </a:ln>
                        </wps:spPr>
                        <wps:txbx>
                          <w:txbxContent>
                            <w:p w14:paraId="70026A9B" w14:textId="77777777" w:rsidR="00B32EF2" w:rsidRDefault="00000000">
                              <w:r>
                                <w:rPr>
                                  <w:rFonts w:ascii="Arial" w:eastAsia="Arial" w:hAnsi="Arial" w:cs="Arial"/>
                                  <w:sz w:val="18"/>
                                </w:rPr>
                                <w:t>a) gli ingegneri;</w:t>
                              </w:r>
                            </w:p>
                          </w:txbxContent>
                        </wps:txbx>
                        <wps:bodyPr horzOverflow="overflow" vert="horz" lIns="0" tIns="0" rIns="0" bIns="0" rtlCol="0">
                          <a:noAutofit/>
                        </wps:bodyPr>
                      </wps:wsp>
                      <wps:wsp>
                        <wps:cNvPr id="19843" name="Rectangle 19843"/>
                        <wps:cNvSpPr/>
                        <wps:spPr>
                          <a:xfrm rot="-10799999">
                            <a:off x="2958331" y="5009998"/>
                            <a:ext cx="1033471" cy="142889"/>
                          </a:xfrm>
                          <a:prstGeom prst="rect">
                            <a:avLst/>
                          </a:prstGeom>
                          <a:ln>
                            <a:noFill/>
                          </a:ln>
                        </wps:spPr>
                        <wps:txbx>
                          <w:txbxContent>
                            <w:p w14:paraId="28E455B7" w14:textId="77777777" w:rsidR="00B32EF2" w:rsidRDefault="00000000">
                              <w:r>
                                <w:rPr>
                                  <w:rFonts w:ascii="Arial" w:eastAsia="Arial" w:hAnsi="Arial" w:cs="Arial"/>
                                  <w:sz w:val="18"/>
                                </w:rPr>
                                <w:t xml:space="preserve">b) gli architetti; </w:t>
                              </w:r>
                            </w:p>
                          </w:txbxContent>
                        </wps:txbx>
                        <wps:bodyPr horzOverflow="overflow" vert="horz" lIns="0" tIns="0" rIns="0" bIns="0" rtlCol="0">
                          <a:noAutofit/>
                        </wps:bodyPr>
                      </wps:wsp>
                      <wps:wsp>
                        <wps:cNvPr id="19844" name="Rectangle 19844"/>
                        <wps:cNvSpPr/>
                        <wps:spPr>
                          <a:xfrm rot="-10799999">
                            <a:off x="3068971" y="4886668"/>
                            <a:ext cx="922831" cy="142889"/>
                          </a:xfrm>
                          <a:prstGeom prst="rect">
                            <a:avLst/>
                          </a:prstGeom>
                          <a:ln>
                            <a:noFill/>
                          </a:ln>
                        </wps:spPr>
                        <wps:txbx>
                          <w:txbxContent>
                            <w:p w14:paraId="08189527" w14:textId="77777777" w:rsidR="00B32EF2" w:rsidRDefault="00000000">
                              <w:r>
                                <w:rPr>
                                  <w:rFonts w:ascii="Arial" w:eastAsia="Arial" w:hAnsi="Arial" w:cs="Arial"/>
                                  <w:sz w:val="18"/>
                                </w:rPr>
                                <w:t xml:space="preserve">c) i geometri; </w:t>
                              </w:r>
                            </w:p>
                          </w:txbxContent>
                        </wps:txbx>
                        <wps:bodyPr horzOverflow="overflow" vert="horz" lIns="0" tIns="0" rIns="0" bIns="0" rtlCol="0">
                          <a:noAutofit/>
                        </wps:bodyPr>
                      </wps:wsp>
                      <wps:wsp>
                        <wps:cNvPr id="19845" name="Rectangle 19845"/>
                        <wps:cNvSpPr/>
                        <wps:spPr>
                          <a:xfrm rot="-10799999">
                            <a:off x="2625698" y="4763338"/>
                            <a:ext cx="1366103" cy="142889"/>
                          </a:xfrm>
                          <a:prstGeom prst="rect">
                            <a:avLst/>
                          </a:prstGeom>
                          <a:ln>
                            <a:noFill/>
                          </a:ln>
                        </wps:spPr>
                        <wps:txbx>
                          <w:txbxContent>
                            <w:p w14:paraId="5C7BF700" w14:textId="77777777" w:rsidR="00B32EF2" w:rsidRDefault="00000000">
                              <w:r>
                                <w:rPr>
                                  <w:rFonts w:ascii="Arial" w:eastAsia="Arial" w:hAnsi="Arial" w:cs="Arial"/>
                                  <w:sz w:val="18"/>
                                </w:rPr>
                                <w:t xml:space="preserve">d) i periti industriali; </w:t>
                              </w:r>
                            </w:p>
                          </w:txbxContent>
                        </wps:txbx>
                        <wps:bodyPr horzOverflow="overflow" vert="horz" lIns="0" tIns="0" rIns="0" bIns="0" rtlCol="0">
                          <a:noAutofit/>
                        </wps:bodyPr>
                      </wps:wsp>
                      <wps:wsp>
                        <wps:cNvPr id="19846" name="Rectangle 19846"/>
                        <wps:cNvSpPr/>
                        <wps:spPr>
                          <a:xfrm rot="-10799999">
                            <a:off x="1836826" y="4640009"/>
                            <a:ext cx="2154976" cy="142889"/>
                          </a:xfrm>
                          <a:prstGeom prst="rect">
                            <a:avLst/>
                          </a:prstGeom>
                          <a:ln>
                            <a:noFill/>
                          </a:ln>
                        </wps:spPr>
                        <wps:txbx>
                          <w:txbxContent>
                            <w:p w14:paraId="472D3AB2" w14:textId="77777777" w:rsidR="00B32EF2" w:rsidRDefault="00000000">
                              <w:r>
                                <w:rPr>
                                  <w:rFonts w:ascii="Arial" w:eastAsia="Arial" w:hAnsi="Arial" w:cs="Arial"/>
                                  <w:sz w:val="18"/>
                                </w:rPr>
                                <w:t xml:space="preserve">e) i dottori agronomi e forestali; </w:t>
                              </w:r>
                            </w:p>
                          </w:txbxContent>
                        </wps:txbx>
                        <wps:bodyPr horzOverflow="overflow" vert="horz" lIns="0" tIns="0" rIns="0" bIns="0" rtlCol="0">
                          <a:noAutofit/>
                        </wps:bodyPr>
                      </wps:wsp>
                      <wps:wsp>
                        <wps:cNvPr id="19847" name="Rectangle 19847"/>
                        <wps:cNvSpPr/>
                        <wps:spPr>
                          <a:xfrm rot="-10799999">
                            <a:off x="2826728" y="4516679"/>
                            <a:ext cx="1165073" cy="142889"/>
                          </a:xfrm>
                          <a:prstGeom prst="rect">
                            <a:avLst/>
                          </a:prstGeom>
                          <a:ln>
                            <a:noFill/>
                          </a:ln>
                        </wps:spPr>
                        <wps:txbx>
                          <w:txbxContent>
                            <w:p w14:paraId="6027DBE4" w14:textId="77777777" w:rsidR="00B32EF2" w:rsidRDefault="00000000">
                              <w:r>
                                <w:rPr>
                                  <w:rFonts w:ascii="Arial" w:eastAsia="Arial" w:hAnsi="Arial" w:cs="Arial"/>
                                  <w:sz w:val="18"/>
                                </w:rPr>
                                <w:t xml:space="preserve">f) gli agrotecnici; </w:t>
                              </w:r>
                            </w:p>
                          </w:txbxContent>
                        </wps:txbx>
                        <wps:bodyPr horzOverflow="overflow" vert="horz" lIns="0" tIns="0" rIns="0" bIns="0" rtlCol="0">
                          <a:noAutofit/>
                        </wps:bodyPr>
                      </wps:wsp>
                      <wps:wsp>
                        <wps:cNvPr id="19848" name="Rectangle 19848"/>
                        <wps:cNvSpPr/>
                        <wps:spPr>
                          <a:xfrm rot="-10799999">
                            <a:off x="2885150" y="4393349"/>
                            <a:ext cx="1106653" cy="142889"/>
                          </a:xfrm>
                          <a:prstGeom prst="rect">
                            <a:avLst/>
                          </a:prstGeom>
                          <a:ln>
                            <a:noFill/>
                          </a:ln>
                        </wps:spPr>
                        <wps:txbx>
                          <w:txbxContent>
                            <w:p w14:paraId="48F1E017" w14:textId="77777777" w:rsidR="00B32EF2" w:rsidRDefault="00000000">
                              <w:r>
                                <w:rPr>
                                  <w:rFonts w:ascii="Arial" w:eastAsia="Arial" w:hAnsi="Arial" w:cs="Arial"/>
                                  <w:sz w:val="18"/>
                                </w:rPr>
                                <w:t xml:space="preserve">g) i periti agrari. </w:t>
                              </w:r>
                            </w:p>
                          </w:txbxContent>
                        </wps:txbx>
                        <wps:bodyPr horzOverflow="overflow" vert="horz" lIns="0" tIns="0" rIns="0" bIns="0" rtlCol="0">
                          <a:noAutofit/>
                        </wps:bodyPr>
                      </wps:wsp>
                      <wps:wsp>
                        <wps:cNvPr id="201583" name="Rectangle 201583"/>
                        <wps:cNvSpPr/>
                        <wps:spPr>
                          <a:xfrm rot="-10799999">
                            <a:off x="2634965" y="4270019"/>
                            <a:ext cx="5212336" cy="142889"/>
                          </a:xfrm>
                          <a:prstGeom prst="rect">
                            <a:avLst/>
                          </a:prstGeom>
                          <a:ln>
                            <a:noFill/>
                          </a:ln>
                        </wps:spPr>
                        <wps:txbx>
                          <w:txbxContent>
                            <w:p w14:paraId="56486C8A"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01584" name="Rectangle 201584"/>
                        <wps:cNvSpPr/>
                        <wps:spPr>
                          <a:xfrm rot="-10799999">
                            <a:off x="-1284839" y="4270019"/>
                            <a:ext cx="5212337" cy="142889"/>
                          </a:xfrm>
                          <a:prstGeom prst="rect">
                            <a:avLst/>
                          </a:prstGeom>
                          <a:ln>
                            <a:noFill/>
                          </a:ln>
                        </wps:spPr>
                        <wps:txbx>
                          <w:txbxContent>
                            <w:p w14:paraId="3AF790A6" w14:textId="77777777" w:rsidR="00B32EF2" w:rsidRDefault="00000000">
                              <w:r>
                                <w:rPr>
                                  <w:rFonts w:ascii="Arial" w:eastAsia="Arial" w:hAnsi="Arial" w:cs="Arial"/>
                                  <w:sz w:val="18"/>
                                </w:rPr>
                                <w:t>. Per le controversie relative ai tributi doganali sono anche abilitati all’assi</w:t>
                              </w:r>
                            </w:p>
                          </w:txbxContent>
                        </wps:txbx>
                        <wps:bodyPr horzOverflow="overflow" vert="horz" lIns="0" tIns="0" rIns="0" bIns="0" rtlCol="0">
                          <a:noAutofit/>
                        </wps:bodyPr>
                      </wps:wsp>
                      <wps:wsp>
                        <wps:cNvPr id="19850" name="Rectangle 19850"/>
                        <wps:cNvSpPr/>
                        <wps:spPr>
                          <a:xfrm rot="-10799999">
                            <a:off x="19204" y="4270019"/>
                            <a:ext cx="50622" cy="142889"/>
                          </a:xfrm>
                          <a:prstGeom prst="rect">
                            <a:avLst/>
                          </a:prstGeom>
                          <a:ln>
                            <a:noFill/>
                          </a:ln>
                        </wps:spPr>
                        <wps:txbx>
                          <w:txbxContent>
                            <w:p w14:paraId="141E531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851" name="Rectangle 19851"/>
                        <wps:cNvSpPr/>
                        <wps:spPr>
                          <a:xfrm rot="-10799999">
                            <a:off x="-467812" y="4146690"/>
                            <a:ext cx="4459614" cy="142889"/>
                          </a:xfrm>
                          <a:prstGeom prst="rect">
                            <a:avLst/>
                          </a:prstGeom>
                          <a:ln>
                            <a:noFill/>
                          </a:ln>
                        </wps:spPr>
                        <wps:txbx>
                          <w:txbxContent>
                            <w:p w14:paraId="719B792D" w14:textId="77777777" w:rsidR="00B32EF2" w:rsidRDefault="00000000">
                              <w:r>
                                <w:rPr>
                                  <w:rFonts w:ascii="Arial" w:eastAsia="Arial" w:hAnsi="Arial" w:cs="Arial"/>
                                  <w:sz w:val="18"/>
                                </w:rPr>
                                <w:t xml:space="preserve">stenza tecnica gli spedizionieri doganali iscritti nell’apposito albo. </w:t>
                              </w:r>
                            </w:p>
                          </w:txbxContent>
                        </wps:txbx>
                        <wps:bodyPr horzOverflow="overflow" vert="horz" lIns="0" tIns="0" rIns="0" bIns="0" rtlCol="0">
                          <a:noAutofit/>
                        </wps:bodyPr>
                      </wps:wsp>
                      <wps:wsp>
                        <wps:cNvPr id="201580" name="Rectangle 201580"/>
                        <wps:cNvSpPr/>
                        <wps:spPr>
                          <a:xfrm rot="-10799999">
                            <a:off x="2610980" y="4023360"/>
                            <a:ext cx="5309006" cy="142889"/>
                          </a:xfrm>
                          <a:prstGeom prst="rect">
                            <a:avLst/>
                          </a:prstGeom>
                          <a:ln>
                            <a:noFill/>
                          </a:ln>
                        </wps:spPr>
                        <wps:txbx>
                          <w:txbxContent>
                            <w:p w14:paraId="2275D38F"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201582" name="Rectangle 201582"/>
                        <wps:cNvSpPr/>
                        <wps:spPr>
                          <a:xfrm rot="-10799999">
                            <a:off x="-1369770" y="4023360"/>
                            <a:ext cx="5309006" cy="142889"/>
                          </a:xfrm>
                          <a:prstGeom prst="rect">
                            <a:avLst/>
                          </a:prstGeom>
                          <a:ln>
                            <a:noFill/>
                          </a:ln>
                        </wps:spPr>
                        <wps:txbx>
                          <w:txbxContent>
                            <w:p w14:paraId="03E01F2A" w14:textId="77777777" w:rsidR="00B32EF2" w:rsidRDefault="00000000">
                              <w:r>
                                <w:rPr>
                                  <w:rFonts w:ascii="Arial" w:eastAsia="Arial" w:hAnsi="Arial" w:cs="Arial"/>
                                  <w:sz w:val="18"/>
                                </w:rPr>
                                <w:t xml:space="preserve">. Ai difensori di cui ai commi da 1 a 6 deve essere conferito l’incarico con atto </w:t>
                              </w:r>
                            </w:p>
                          </w:txbxContent>
                        </wps:txbx>
                        <wps:bodyPr horzOverflow="overflow" vert="horz" lIns="0" tIns="0" rIns="0" bIns="0" rtlCol="0">
                          <a:noAutofit/>
                        </wps:bodyPr>
                      </wps:wsp>
                      <wps:wsp>
                        <wps:cNvPr id="19853" name="Rectangle 19853"/>
                        <wps:cNvSpPr/>
                        <wps:spPr>
                          <a:xfrm rot="-10799999">
                            <a:off x="-1317233" y="3900030"/>
                            <a:ext cx="5309035" cy="142889"/>
                          </a:xfrm>
                          <a:prstGeom prst="rect">
                            <a:avLst/>
                          </a:prstGeom>
                          <a:ln>
                            <a:noFill/>
                          </a:ln>
                        </wps:spPr>
                        <wps:txbx>
                          <w:txbxContent>
                            <w:p w14:paraId="65C6D928" w14:textId="77777777" w:rsidR="00B32EF2" w:rsidRDefault="00000000">
                              <w:r>
                                <w:rPr>
                                  <w:rFonts w:ascii="Arial" w:eastAsia="Arial" w:hAnsi="Arial" w:cs="Arial"/>
                                  <w:sz w:val="18"/>
                                </w:rPr>
                                <w:t xml:space="preserve">pubblico o con scrittura privata autenticata od anche in calce o a margine di </w:t>
                              </w:r>
                            </w:p>
                          </w:txbxContent>
                        </wps:txbx>
                        <wps:bodyPr horzOverflow="overflow" vert="horz" lIns="0" tIns="0" rIns="0" bIns="0" rtlCol="0">
                          <a:noAutofit/>
                        </wps:bodyPr>
                      </wps:wsp>
                      <wps:wsp>
                        <wps:cNvPr id="19854" name="Rectangle 19854"/>
                        <wps:cNvSpPr/>
                        <wps:spPr>
                          <a:xfrm rot="-10799999">
                            <a:off x="-1220670" y="3776701"/>
                            <a:ext cx="5212474" cy="142889"/>
                          </a:xfrm>
                          <a:prstGeom prst="rect">
                            <a:avLst/>
                          </a:prstGeom>
                          <a:ln>
                            <a:noFill/>
                          </a:ln>
                        </wps:spPr>
                        <wps:txbx>
                          <w:txbxContent>
                            <w:p w14:paraId="5E21C71C" w14:textId="77777777" w:rsidR="00B32EF2" w:rsidRDefault="00000000">
                              <w:r>
                                <w:rPr>
                                  <w:rFonts w:ascii="Arial" w:eastAsia="Arial" w:hAnsi="Arial" w:cs="Arial"/>
                                  <w:sz w:val="18"/>
                                </w:rPr>
                                <w:t>un atto del processo, nel qual caso la sottoscrizione autografa è certificata dal</w:t>
                              </w:r>
                            </w:p>
                          </w:txbxContent>
                        </wps:txbx>
                        <wps:bodyPr horzOverflow="overflow" vert="horz" lIns="0" tIns="0" rIns="0" bIns="0" rtlCol="0">
                          <a:noAutofit/>
                        </wps:bodyPr>
                      </wps:wsp>
                      <wps:wsp>
                        <wps:cNvPr id="19855" name="Rectangle 19855"/>
                        <wps:cNvSpPr/>
                        <wps:spPr>
                          <a:xfrm rot="-10799999">
                            <a:off x="19204" y="3776700"/>
                            <a:ext cx="50622" cy="142889"/>
                          </a:xfrm>
                          <a:prstGeom prst="rect">
                            <a:avLst/>
                          </a:prstGeom>
                          <a:ln>
                            <a:noFill/>
                          </a:ln>
                        </wps:spPr>
                        <wps:txbx>
                          <w:txbxContent>
                            <w:p w14:paraId="4B7688B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856" name="Rectangle 19856"/>
                        <wps:cNvSpPr/>
                        <wps:spPr>
                          <a:xfrm rot="-10799999">
                            <a:off x="-1317294" y="3653371"/>
                            <a:ext cx="5309097" cy="142889"/>
                          </a:xfrm>
                          <a:prstGeom prst="rect">
                            <a:avLst/>
                          </a:prstGeom>
                          <a:ln>
                            <a:noFill/>
                          </a:ln>
                        </wps:spPr>
                        <wps:txbx>
                          <w:txbxContent>
                            <w:p w14:paraId="55120AC0" w14:textId="77777777" w:rsidR="00B32EF2" w:rsidRDefault="00000000">
                              <w:r>
                                <w:rPr>
                                  <w:rFonts w:ascii="Arial" w:eastAsia="Arial" w:hAnsi="Arial" w:cs="Arial"/>
                                  <w:sz w:val="18"/>
                                </w:rPr>
                                <w:t xml:space="preserve">lo stesso incaricato salvo che il conferente apponga la propria firma digitale. </w:t>
                              </w:r>
                            </w:p>
                          </w:txbxContent>
                        </wps:txbx>
                        <wps:bodyPr horzOverflow="overflow" vert="horz" lIns="0" tIns="0" rIns="0" bIns="0" rtlCol="0">
                          <a:noAutofit/>
                        </wps:bodyPr>
                      </wps:wsp>
                      <wps:wsp>
                        <wps:cNvPr id="19857" name="Rectangle 19857"/>
                        <wps:cNvSpPr/>
                        <wps:spPr>
                          <a:xfrm rot="-10799999">
                            <a:off x="-1317218" y="3530041"/>
                            <a:ext cx="5309021" cy="142889"/>
                          </a:xfrm>
                          <a:prstGeom prst="rect">
                            <a:avLst/>
                          </a:prstGeom>
                          <a:ln>
                            <a:noFill/>
                          </a:ln>
                        </wps:spPr>
                        <wps:txbx>
                          <w:txbxContent>
                            <w:p w14:paraId="3B173C21" w14:textId="77777777" w:rsidR="00B32EF2" w:rsidRDefault="00000000">
                              <w:r>
                                <w:rPr>
                                  <w:rFonts w:ascii="Arial" w:eastAsia="Arial" w:hAnsi="Arial" w:cs="Arial"/>
                                  <w:sz w:val="18"/>
                                </w:rPr>
                                <w:t xml:space="preserve">All’udienza pubblica l’incarico può essere conferito oralmente e se ne dà atto </w:t>
                              </w:r>
                            </w:p>
                          </w:txbxContent>
                        </wps:txbx>
                        <wps:bodyPr horzOverflow="overflow" vert="horz" lIns="0" tIns="0" rIns="0" bIns="0" rtlCol="0">
                          <a:noAutofit/>
                        </wps:bodyPr>
                      </wps:wsp>
                      <wps:wsp>
                        <wps:cNvPr id="19858" name="Rectangle 19858"/>
                        <wps:cNvSpPr/>
                        <wps:spPr>
                          <a:xfrm rot="-10799999">
                            <a:off x="-1317248" y="3406712"/>
                            <a:ext cx="5309051" cy="142889"/>
                          </a:xfrm>
                          <a:prstGeom prst="rect">
                            <a:avLst/>
                          </a:prstGeom>
                          <a:ln>
                            <a:noFill/>
                          </a:ln>
                        </wps:spPr>
                        <wps:txbx>
                          <w:txbxContent>
                            <w:p w14:paraId="649779F6" w14:textId="77777777" w:rsidR="00B32EF2" w:rsidRDefault="00000000">
                              <w:r>
                                <w:rPr>
                                  <w:rFonts w:ascii="Arial" w:eastAsia="Arial" w:hAnsi="Arial" w:cs="Arial"/>
                                  <w:sz w:val="18"/>
                                </w:rPr>
                                <w:t xml:space="preserve">a verbale. Il difensore, quando la procura è conferita su supporto cartaceo, </w:t>
                              </w:r>
                            </w:p>
                          </w:txbxContent>
                        </wps:txbx>
                        <wps:bodyPr horzOverflow="overflow" vert="horz" lIns="0" tIns="0" rIns="0" bIns="0" rtlCol="0">
                          <a:noAutofit/>
                        </wps:bodyPr>
                      </wps:wsp>
                      <wps:wsp>
                        <wps:cNvPr id="19859" name="Rectangle 19859"/>
                        <wps:cNvSpPr/>
                        <wps:spPr>
                          <a:xfrm rot="-10799999">
                            <a:off x="-1317218" y="3283382"/>
                            <a:ext cx="5309021" cy="142889"/>
                          </a:xfrm>
                          <a:prstGeom prst="rect">
                            <a:avLst/>
                          </a:prstGeom>
                          <a:ln>
                            <a:noFill/>
                          </a:ln>
                        </wps:spPr>
                        <wps:txbx>
                          <w:txbxContent>
                            <w:p w14:paraId="7887C5C3" w14:textId="77777777" w:rsidR="00B32EF2" w:rsidRDefault="00000000">
                              <w:r>
                                <w:rPr>
                                  <w:rFonts w:ascii="Arial" w:eastAsia="Arial" w:hAnsi="Arial" w:cs="Arial"/>
                                  <w:sz w:val="18"/>
                                </w:rPr>
                                <w:t xml:space="preserve">ne deposita telematicamente la copia per immagine su supporto informatico, </w:t>
                              </w:r>
                            </w:p>
                          </w:txbxContent>
                        </wps:txbx>
                        <wps:bodyPr horzOverflow="overflow" vert="horz" lIns="0" tIns="0" rIns="0" bIns="0" rtlCol="0">
                          <a:noAutofit/>
                        </wps:bodyPr>
                      </wps:wsp>
                      <wps:wsp>
                        <wps:cNvPr id="19860" name="Rectangle 19860"/>
                        <wps:cNvSpPr/>
                        <wps:spPr>
                          <a:xfrm rot="-10799999">
                            <a:off x="-1219196" y="3160052"/>
                            <a:ext cx="5210999" cy="142889"/>
                          </a:xfrm>
                          <a:prstGeom prst="rect">
                            <a:avLst/>
                          </a:prstGeom>
                          <a:ln>
                            <a:noFill/>
                          </a:ln>
                        </wps:spPr>
                        <wps:txbx>
                          <w:txbxContent>
                            <w:p w14:paraId="15117A56" w14:textId="77777777" w:rsidR="00B32EF2" w:rsidRDefault="00000000">
                              <w:r>
                                <w:rPr>
                                  <w:rFonts w:ascii="Arial" w:eastAsia="Arial" w:hAnsi="Arial" w:cs="Arial"/>
                                  <w:sz w:val="18"/>
                                </w:rPr>
                                <w:t>attestandone la conformità ai sensi dell’articolo 22, comma 2, del decreto le</w:t>
                              </w:r>
                            </w:p>
                          </w:txbxContent>
                        </wps:txbx>
                        <wps:bodyPr horzOverflow="overflow" vert="horz" lIns="0" tIns="0" rIns="0" bIns="0" rtlCol="0">
                          <a:noAutofit/>
                        </wps:bodyPr>
                      </wps:wsp>
                      <wps:wsp>
                        <wps:cNvPr id="19861" name="Rectangle 19861"/>
                        <wps:cNvSpPr/>
                        <wps:spPr>
                          <a:xfrm rot="-10799999">
                            <a:off x="19204" y="3160052"/>
                            <a:ext cx="50622" cy="142889"/>
                          </a:xfrm>
                          <a:prstGeom prst="rect">
                            <a:avLst/>
                          </a:prstGeom>
                          <a:ln>
                            <a:noFill/>
                          </a:ln>
                        </wps:spPr>
                        <wps:txbx>
                          <w:txbxContent>
                            <w:p w14:paraId="38E43C9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862" name="Rectangle 19862"/>
                        <wps:cNvSpPr/>
                        <wps:spPr>
                          <a:xfrm rot="-10799999">
                            <a:off x="-1154983" y="3036723"/>
                            <a:ext cx="5146786" cy="142889"/>
                          </a:xfrm>
                          <a:prstGeom prst="rect">
                            <a:avLst/>
                          </a:prstGeom>
                          <a:ln>
                            <a:noFill/>
                          </a:ln>
                        </wps:spPr>
                        <wps:txbx>
                          <w:txbxContent>
                            <w:p w14:paraId="461A1022" w14:textId="77777777" w:rsidR="00B32EF2" w:rsidRDefault="00000000">
                              <w:r>
                                <w:rPr>
                                  <w:rFonts w:ascii="Arial" w:eastAsia="Arial" w:hAnsi="Arial" w:cs="Arial"/>
                                  <w:sz w:val="18"/>
                                </w:rPr>
                                <w:t xml:space="preserve">gislativo 7 marzo 2005, n. 82, con l’inserimento della relativa dichiarazione. </w:t>
                              </w:r>
                            </w:p>
                          </w:txbxContent>
                        </wps:txbx>
                        <wps:bodyPr horzOverflow="overflow" vert="horz" lIns="0" tIns="0" rIns="0" bIns="0" rtlCol="0">
                          <a:noAutofit/>
                        </wps:bodyPr>
                      </wps:wsp>
                      <wps:wsp>
                        <wps:cNvPr id="201578" name="Rectangle 201578"/>
                        <wps:cNvSpPr/>
                        <wps:spPr>
                          <a:xfrm rot="-10799999">
                            <a:off x="2634943" y="2913393"/>
                            <a:ext cx="5212428" cy="142889"/>
                          </a:xfrm>
                          <a:prstGeom prst="rect">
                            <a:avLst/>
                          </a:prstGeom>
                          <a:ln>
                            <a:noFill/>
                          </a:ln>
                        </wps:spPr>
                        <wps:txbx>
                          <w:txbxContent>
                            <w:p w14:paraId="54C2ACD7" w14:textId="77777777" w:rsidR="00B32EF2" w:rsidRDefault="00000000">
                              <w:r>
                                <w:rPr>
                                  <w:rFonts w:ascii="Arial" w:eastAsia="Arial" w:hAnsi="Arial" w:cs="Arial"/>
                                  <w:sz w:val="18"/>
                                </w:rPr>
                                <w:t>8</w:t>
                              </w:r>
                            </w:p>
                          </w:txbxContent>
                        </wps:txbx>
                        <wps:bodyPr horzOverflow="overflow" vert="horz" lIns="0" tIns="0" rIns="0" bIns="0" rtlCol="0">
                          <a:noAutofit/>
                        </wps:bodyPr>
                      </wps:wsp>
                      <wps:wsp>
                        <wps:cNvPr id="201579" name="Rectangle 201579"/>
                        <wps:cNvSpPr/>
                        <wps:spPr>
                          <a:xfrm rot="-10799999">
                            <a:off x="-1285478" y="2913393"/>
                            <a:ext cx="5212427" cy="142889"/>
                          </a:xfrm>
                          <a:prstGeom prst="rect">
                            <a:avLst/>
                          </a:prstGeom>
                          <a:ln>
                            <a:noFill/>
                          </a:ln>
                        </wps:spPr>
                        <wps:txbx>
                          <w:txbxContent>
                            <w:p w14:paraId="460501E9" w14:textId="77777777" w:rsidR="00B32EF2" w:rsidRDefault="00000000">
                              <w:r>
                                <w:rPr>
                                  <w:rFonts w:ascii="Arial" w:eastAsia="Arial" w:hAnsi="Arial" w:cs="Arial"/>
                                  <w:sz w:val="18"/>
                                </w:rPr>
                                <w:t>. La procura alle liti si considera apposta in calce all’atto cui si riferisce quan</w:t>
                              </w:r>
                            </w:p>
                          </w:txbxContent>
                        </wps:txbx>
                        <wps:bodyPr horzOverflow="overflow" vert="horz" lIns="0" tIns="0" rIns="0" bIns="0" rtlCol="0">
                          <a:noAutofit/>
                        </wps:bodyPr>
                      </wps:wsp>
                      <wps:wsp>
                        <wps:cNvPr id="19864" name="Rectangle 19864"/>
                        <wps:cNvSpPr/>
                        <wps:spPr>
                          <a:xfrm rot="-10799999">
                            <a:off x="19204" y="2913392"/>
                            <a:ext cx="50622" cy="142889"/>
                          </a:xfrm>
                          <a:prstGeom prst="rect">
                            <a:avLst/>
                          </a:prstGeom>
                          <a:ln>
                            <a:noFill/>
                          </a:ln>
                        </wps:spPr>
                        <wps:txbx>
                          <w:txbxContent>
                            <w:p w14:paraId="7FE2C53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865" name="Rectangle 19865"/>
                        <wps:cNvSpPr/>
                        <wps:spPr>
                          <a:xfrm rot="-10799999">
                            <a:off x="-1220959" y="2790063"/>
                            <a:ext cx="5212762" cy="142889"/>
                          </a:xfrm>
                          <a:prstGeom prst="rect">
                            <a:avLst/>
                          </a:prstGeom>
                          <a:ln>
                            <a:noFill/>
                          </a:ln>
                        </wps:spPr>
                        <wps:txbx>
                          <w:txbxContent>
                            <w:p w14:paraId="49A7B2F3" w14:textId="77777777" w:rsidR="00B32EF2" w:rsidRDefault="00000000">
                              <w:r>
                                <w:rPr>
                                  <w:rFonts w:ascii="Arial" w:eastAsia="Arial" w:hAnsi="Arial" w:cs="Arial"/>
                                  <w:sz w:val="18"/>
                                </w:rPr>
                                <w:t>do è rilasciata su un separato documento informatico depositato telematica</w:t>
                              </w:r>
                            </w:p>
                          </w:txbxContent>
                        </wps:txbx>
                        <wps:bodyPr horzOverflow="overflow" vert="horz" lIns="0" tIns="0" rIns="0" bIns="0" rtlCol="0">
                          <a:noAutofit/>
                        </wps:bodyPr>
                      </wps:wsp>
                      <wps:wsp>
                        <wps:cNvPr id="19866" name="Rectangle 19866"/>
                        <wps:cNvSpPr/>
                        <wps:spPr>
                          <a:xfrm rot="-10799999">
                            <a:off x="19204" y="2790063"/>
                            <a:ext cx="50622" cy="142889"/>
                          </a:xfrm>
                          <a:prstGeom prst="rect">
                            <a:avLst/>
                          </a:prstGeom>
                          <a:ln>
                            <a:noFill/>
                          </a:ln>
                        </wps:spPr>
                        <wps:txbx>
                          <w:txbxContent>
                            <w:p w14:paraId="3E011C9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867" name="Rectangle 19867"/>
                        <wps:cNvSpPr/>
                        <wps:spPr>
                          <a:xfrm rot="-10799999">
                            <a:off x="-1317217" y="2666733"/>
                            <a:ext cx="5309021" cy="142889"/>
                          </a:xfrm>
                          <a:prstGeom prst="rect">
                            <a:avLst/>
                          </a:prstGeom>
                          <a:ln>
                            <a:noFill/>
                          </a:ln>
                        </wps:spPr>
                        <wps:txbx>
                          <w:txbxContent>
                            <w:p w14:paraId="408F71CD" w14:textId="77777777" w:rsidR="00B32EF2" w:rsidRDefault="00000000">
                              <w:r>
                                <w:rPr>
                                  <w:rFonts w:ascii="Arial" w:eastAsia="Arial" w:hAnsi="Arial" w:cs="Arial"/>
                                  <w:sz w:val="18"/>
                                </w:rPr>
                                <w:t xml:space="preserve">mente insieme all’atto cui la stessa si riferisce ovvero quando è rilasciata su </w:t>
                              </w:r>
                            </w:p>
                          </w:txbxContent>
                        </wps:txbx>
                        <wps:bodyPr horzOverflow="overflow" vert="horz" lIns="0" tIns="0" rIns="0" bIns="0" rtlCol="0">
                          <a:noAutofit/>
                        </wps:bodyPr>
                      </wps:wsp>
                      <wps:wsp>
                        <wps:cNvPr id="19868" name="Rectangle 19868"/>
                        <wps:cNvSpPr/>
                        <wps:spPr>
                          <a:xfrm rot="-10799999">
                            <a:off x="-1317278" y="2543403"/>
                            <a:ext cx="5309082" cy="142889"/>
                          </a:xfrm>
                          <a:prstGeom prst="rect">
                            <a:avLst/>
                          </a:prstGeom>
                          <a:ln>
                            <a:noFill/>
                          </a:ln>
                        </wps:spPr>
                        <wps:txbx>
                          <w:txbxContent>
                            <w:p w14:paraId="55248E93" w14:textId="77777777" w:rsidR="00B32EF2" w:rsidRDefault="00000000">
                              <w:r>
                                <w:rPr>
                                  <w:rFonts w:ascii="Arial" w:eastAsia="Arial" w:hAnsi="Arial" w:cs="Arial"/>
                                  <w:sz w:val="18"/>
                                </w:rPr>
                                <w:t xml:space="preserve">foglio separato del quale è effettuata copia informatica, anche per immagine, </w:t>
                              </w:r>
                            </w:p>
                          </w:txbxContent>
                        </wps:txbx>
                        <wps:bodyPr horzOverflow="overflow" vert="horz" lIns="0" tIns="0" rIns="0" bIns="0" rtlCol="0">
                          <a:noAutofit/>
                        </wps:bodyPr>
                      </wps:wsp>
                      <wps:wsp>
                        <wps:cNvPr id="19869" name="Rectangle 19869"/>
                        <wps:cNvSpPr/>
                        <wps:spPr>
                          <a:xfrm rot="-10799999">
                            <a:off x="-617915" y="2420073"/>
                            <a:ext cx="4609718" cy="142889"/>
                          </a:xfrm>
                          <a:prstGeom prst="rect">
                            <a:avLst/>
                          </a:prstGeom>
                          <a:ln>
                            <a:noFill/>
                          </a:ln>
                        </wps:spPr>
                        <wps:txbx>
                          <w:txbxContent>
                            <w:p w14:paraId="6C5DFAF1" w14:textId="77777777" w:rsidR="00B32EF2" w:rsidRDefault="00000000">
                              <w:r>
                                <w:rPr>
                                  <w:rFonts w:ascii="Arial" w:eastAsia="Arial" w:hAnsi="Arial" w:cs="Arial"/>
                                  <w:sz w:val="18"/>
                                </w:rPr>
                                <w:t>depositata telematicamente insieme all’atto cui la stessa si riferisce.</w:t>
                              </w:r>
                            </w:p>
                          </w:txbxContent>
                        </wps:txbx>
                        <wps:bodyPr horzOverflow="overflow" vert="horz" lIns="0" tIns="0" rIns="0" bIns="0" rtlCol="0">
                          <a:noAutofit/>
                        </wps:bodyPr>
                      </wps:wsp>
                      <wps:wsp>
                        <wps:cNvPr id="201577" name="Rectangle 201577"/>
                        <wps:cNvSpPr/>
                        <wps:spPr>
                          <a:xfrm rot="-10799999">
                            <a:off x="-1284816" y="2296744"/>
                            <a:ext cx="5212337" cy="142889"/>
                          </a:xfrm>
                          <a:prstGeom prst="rect">
                            <a:avLst/>
                          </a:prstGeom>
                          <a:ln>
                            <a:noFill/>
                          </a:ln>
                        </wps:spPr>
                        <wps:txbx>
                          <w:txbxContent>
                            <w:p w14:paraId="4445C9E0" w14:textId="77777777" w:rsidR="00B32EF2" w:rsidRDefault="00000000">
                              <w:r>
                                <w:rPr>
                                  <w:rFonts w:ascii="Arial" w:eastAsia="Arial" w:hAnsi="Arial" w:cs="Arial"/>
                                  <w:sz w:val="18"/>
                                </w:rPr>
                                <w:t>. Le Agenzie delle entrate, delle dogane e dei monopoli di cui al decreto legisla</w:t>
                              </w:r>
                            </w:p>
                          </w:txbxContent>
                        </wps:txbx>
                        <wps:bodyPr horzOverflow="overflow" vert="horz" lIns="0" tIns="0" rIns="0" bIns="0" rtlCol="0">
                          <a:noAutofit/>
                        </wps:bodyPr>
                      </wps:wsp>
                      <wps:wsp>
                        <wps:cNvPr id="201576" name="Rectangle 201576"/>
                        <wps:cNvSpPr/>
                        <wps:spPr>
                          <a:xfrm rot="-10799999">
                            <a:off x="2634965" y="2296744"/>
                            <a:ext cx="5212336" cy="142889"/>
                          </a:xfrm>
                          <a:prstGeom prst="rect">
                            <a:avLst/>
                          </a:prstGeom>
                          <a:ln>
                            <a:noFill/>
                          </a:ln>
                        </wps:spPr>
                        <wps:txbx>
                          <w:txbxContent>
                            <w:p w14:paraId="7825E714" w14:textId="77777777" w:rsidR="00B32EF2" w:rsidRDefault="00000000">
                              <w:r>
                                <w:rPr>
                                  <w:rFonts w:ascii="Arial" w:eastAsia="Arial" w:hAnsi="Arial" w:cs="Arial"/>
                                  <w:sz w:val="18"/>
                                </w:rPr>
                                <w:t>9</w:t>
                              </w:r>
                            </w:p>
                          </w:txbxContent>
                        </wps:txbx>
                        <wps:bodyPr horzOverflow="overflow" vert="horz" lIns="0" tIns="0" rIns="0" bIns="0" rtlCol="0">
                          <a:noAutofit/>
                        </wps:bodyPr>
                      </wps:wsp>
                      <wps:wsp>
                        <wps:cNvPr id="19871" name="Rectangle 19871"/>
                        <wps:cNvSpPr/>
                        <wps:spPr>
                          <a:xfrm rot="-10799999">
                            <a:off x="19204" y="2296744"/>
                            <a:ext cx="50622" cy="142889"/>
                          </a:xfrm>
                          <a:prstGeom prst="rect">
                            <a:avLst/>
                          </a:prstGeom>
                          <a:ln>
                            <a:noFill/>
                          </a:ln>
                        </wps:spPr>
                        <wps:txbx>
                          <w:txbxContent>
                            <w:p w14:paraId="77A8EB4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872" name="Rectangle 19872"/>
                        <wps:cNvSpPr/>
                        <wps:spPr>
                          <a:xfrm rot="-10799999">
                            <a:off x="-1274396" y="2173414"/>
                            <a:ext cx="5265057" cy="142889"/>
                          </a:xfrm>
                          <a:prstGeom prst="rect">
                            <a:avLst/>
                          </a:prstGeom>
                          <a:ln>
                            <a:noFill/>
                          </a:ln>
                        </wps:spPr>
                        <wps:txbx>
                          <w:txbxContent>
                            <w:p w14:paraId="69C04E2F" w14:textId="77777777" w:rsidR="00B32EF2" w:rsidRDefault="00000000">
                              <w:r>
                                <w:rPr>
                                  <w:rFonts w:ascii="Arial" w:eastAsia="Arial" w:hAnsi="Arial" w:cs="Arial"/>
                                  <w:sz w:val="18"/>
                                </w:rPr>
                                <w:t>tivo 30 luglio 1999, n. 300, possono essere assistite dall’Avvocatura dello Stato.</w:t>
                              </w:r>
                            </w:p>
                          </w:txbxContent>
                        </wps:txbx>
                        <wps:bodyPr horzOverflow="overflow" vert="horz" lIns="0" tIns="0" rIns="0" bIns="0" rtlCol="0">
                          <a:noAutofit/>
                        </wps:bodyPr>
                      </wps:wsp>
                      <wps:wsp>
                        <wps:cNvPr id="201575" name="Rectangle 201575"/>
                        <wps:cNvSpPr/>
                        <wps:spPr>
                          <a:xfrm rot="-10799999">
                            <a:off x="-1441568" y="2050084"/>
                            <a:ext cx="5309035" cy="142889"/>
                          </a:xfrm>
                          <a:prstGeom prst="rect">
                            <a:avLst/>
                          </a:prstGeom>
                          <a:ln>
                            <a:noFill/>
                          </a:ln>
                        </wps:spPr>
                        <wps:txbx>
                          <w:txbxContent>
                            <w:p w14:paraId="1DA05D76" w14:textId="77777777" w:rsidR="00B32EF2" w:rsidRDefault="00000000">
                              <w:r>
                                <w:rPr>
                                  <w:rFonts w:ascii="Arial" w:eastAsia="Arial" w:hAnsi="Arial" w:cs="Arial"/>
                                  <w:sz w:val="18"/>
                                </w:rPr>
                                <w:t xml:space="preserve">. I soggetti in possesso dei requisiti richiesti nei commi 3, 5 e 6 possono </w:t>
                              </w:r>
                            </w:p>
                          </w:txbxContent>
                        </wps:txbx>
                        <wps:bodyPr horzOverflow="overflow" vert="horz" lIns="0" tIns="0" rIns="0" bIns="0" rtlCol="0">
                          <a:noAutofit/>
                        </wps:bodyPr>
                      </wps:wsp>
                      <wps:wsp>
                        <wps:cNvPr id="201570" name="Rectangle 201570"/>
                        <wps:cNvSpPr/>
                        <wps:spPr>
                          <a:xfrm rot="-10799999">
                            <a:off x="2550119" y="2050085"/>
                            <a:ext cx="5309035" cy="142889"/>
                          </a:xfrm>
                          <a:prstGeom prst="rect">
                            <a:avLst/>
                          </a:prstGeom>
                          <a:ln>
                            <a:noFill/>
                          </a:ln>
                        </wps:spPr>
                        <wps:txbx>
                          <w:txbxContent>
                            <w:p w14:paraId="02F0F8C1" w14:textId="77777777" w:rsidR="00B32EF2" w:rsidRDefault="00000000">
                              <w:r>
                                <w:rPr>
                                  <w:rFonts w:ascii="Arial" w:eastAsia="Arial" w:hAnsi="Arial" w:cs="Arial"/>
                                  <w:sz w:val="18"/>
                                </w:rPr>
                                <w:t>10</w:t>
                              </w:r>
                            </w:p>
                          </w:txbxContent>
                        </wps:txbx>
                        <wps:bodyPr horzOverflow="overflow" vert="horz" lIns="0" tIns="0" rIns="0" bIns="0" rtlCol="0">
                          <a:noAutofit/>
                        </wps:bodyPr>
                      </wps:wsp>
                      <wps:wsp>
                        <wps:cNvPr id="19874" name="Rectangle 19874"/>
                        <wps:cNvSpPr/>
                        <wps:spPr>
                          <a:xfrm rot="-10799999">
                            <a:off x="-1317263" y="1926755"/>
                            <a:ext cx="5309066" cy="142889"/>
                          </a:xfrm>
                          <a:prstGeom prst="rect">
                            <a:avLst/>
                          </a:prstGeom>
                          <a:ln>
                            <a:noFill/>
                          </a:ln>
                        </wps:spPr>
                        <wps:txbx>
                          <w:txbxContent>
                            <w:p w14:paraId="67A7F0B0" w14:textId="77777777" w:rsidR="00B32EF2" w:rsidRDefault="00000000">
                              <w:r>
                                <w:rPr>
                                  <w:rFonts w:ascii="Arial" w:eastAsia="Arial" w:hAnsi="Arial" w:cs="Arial"/>
                                  <w:sz w:val="18"/>
                                </w:rPr>
                                <w:t xml:space="preserve">stare in giudizio personalmente, ferme restando le limitazioni all’oggetto della </w:t>
                              </w:r>
                            </w:p>
                          </w:txbxContent>
                        </wps:txbx>
                        <wps:bodyPr horzOverflow="overflow" vert="horz" lIns="0" tIns="0" rIns="0" bIns="0" rtlCol="0">
                          <a:noAutofit/>
                        </wps:bodyPr>
                      </wps:wsp>
                      <wps:wsp>
                        <wps:cNvPr id="19875" name="Rectangle 19875"/>
                        <wps:cNvSpPr/>
                        <wps:spPr>
                          <a:xfrm rot="-10799999">
                            <a:off x="1134513" y="1803425"/>
                            <a:ext cx="2857289" cy="142889"/>
                          </a:xfrm>
                          <a:prstGeom prst="rect">
                            <a:avLst/>
                          </a:prstGeom>
                          <a:ln>
                            <a:noFill/>
                          </a:ln>
                        </wps:spPr>
                        <wps:txbx>
                          <w:txbxContent>
                            <w:p w14:paraId="3D8F1F10" w14:textId="77777777" w:rsidR="00B32EF2" w:rsidRDefault="00000000">
                              <w:r>
                                <w:rPr>
                                  <w:rFonts w:ascii="Arial" w:eastAsia="Arial" w:hAnsi="Arial" w:cs="Arial"/>
                                  <w:sz w:val="18"/>
                                </w:rPr>
                                <w:t xml:space="preserve">loro attività previste nei medesimi commi. </w:t>
                              </w:r>
                            </w:p>
                          </w:txbxContent>
                        </wps:txbx>
                        <wps:bodyPr horzOverflow="overflow" vert="horz" lIns="0" tIns="0" rIns="0" bIns="0" rtlCol="0">
                          <a:noAutofit/>
                        </wps:bodyPr>
                      </wps:wsp>
                      <wps:wsp>
                        <wps:cNvPr id="201569" name="Rectangle 201569"/>
                        <wps:cNvSpPr/>
                        <wps:spPr>
                          <a:xfrm rot="-10799999">
                            <a:off x="-1332733" y="1680095"/>
                            <a:ext cx="5211013" cy="142889"/>
                          </a:xfrm>
                          <a:prstGeom prst="rect">
                            <a:avLst/>
                          </a:prstGeom>
                          <a:ln>
                            <a:noFill/>
                          </a:ln>
                        </wps:spPr>
                        <wps:txbx>
                          <w:txbxContent>
                            <w:p w14:paraId="545A462F" w14:textId="77777777" w:rsidR="00B32EF2" w:rsidRDefault="00000000">
                              <w:r>
                                <w:rPr>
                                  <w:rFonts w:ascii="Arial" w:eastAsia="Arial" w:hAnsi="Arial" w:cs="Arial"/>
                                  <w:sz w:val="18"/>
                                </w:rPr>
                                <w:t>. Si applica l’articolo 182 del codice di procedura civile ed i relativi provve</w:t>
                              </w:r>
                            </w:p>
                          </w:txbxContent>
                        </wps:txbx>
                        <wps:bodyPr horzOverflow="overflow" vert="horz" lIns="0" tIns="0" rIns="0" bIns="0" rtlCol="0">
                          <a:noAutofit/>
                        </wps:bodyPr>
                      </wps:wsp>
                      <wps:wsp>
                        <wps:cNvPr id="201566" name="Rectangle 201566"/>
                        <wps:cNvSpPr/>
                        <wps:spPr>
                          <a:xfrm rot="-10799999">
                            <a:off x="2580967" y="1680096"/>
                            <a:ext cx="5211013" cy="142889"/>
                          </a:xfrm>
                          <a:prstGeom prst="rect">
                            <a:avLst/>
                          </a:prstGeom>
                          <a:ln>
                            <a:noFill/>
                          </a:ln>
                        </wps:spPr>
                        <wps:txbx>
                          <w:txbxContent>
                            <w:p w14:paraId="7F2FB3EB" w14:textId="77777777" w:rsidR="00B32EF2" w:rsidRDefault="00000000">
                              <w:r>
                                <w:rPr>
                                  <w:rFonts w:ascii="Arial" w:eastAsia="Arial" w:hAnsi="Arial" w:cs="Arial"/>
                                  <w:sz w:val="18"/>
                                </w:rPr>
                                <w:t>11</w:t>
                              </w:r>
                            </w:p>
                          </w:txbxContent>
                        </wps:txbx>
                        <wps:bodyPr horzOverflow="overflow" vert="horz" lIns="0" tIns="0" rIns="0" bIns="0" rtlCol="0">
                          <a:noAutofit/>
                        </wps:bodyPr>
                      </wps:wsp>
                      <wps:wsp>
                        <wps:cNvPr id="19877" name="Rectangle 19877"/>
                        <wps:cNvSpPr/>
                        <wps:spPr>
                          <a:xfrm rot="-10799999">
                            <a:off x="19204" y="1680096"/>
                            <a:ext cx="50622" cy="142889"/>
                          </a:xfrm>
                          <a:prstGeom prst="rect">
                            <a:avLst/>
                          </a:prstGeom>
                          <a:ln>
                            <a:noFill/>
                          </a:ln>
                        </wps:spPr>
                        <wps:txbx>
                          <w:txbxContent>
                            <w:p w14:paraId="44711EE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878" name="Rectangle 19878"/>
                        <wps:cNvSpPr/>
                        <wps:spPr>
                          <a:xfrm rot="-10799999">
                            <a:off x="-1317233" y="1556766"/>
                            <a:ext cx="5309036" cy="142889"/>
                          </a:xfrm>
                          <a:prstGeom prst="rect">
                            <a:avLst/>
                          </a:prstGeom>
                          <a:ln>
                            <a:noFill/>
                          </a:ln>
                        </wps:spPr>
                        <wps:txbx>
                          <w:txbxContent>
                            <w:p w14:paraId="178756C5" w14:textId="77777777" w:rsidR="00B32EF2" w:rsidRDefault="00000000">
                              <w:r>
                                <w:rPr>
                                  <w:rFonts w:ascii="Arial" w:eastAsia="Arial" w:hAnsi="Arial" w:cs="Arial"/>
                                  <w:sz w:val="18"/>
                                </w:rPr>
                                <w:t xml:space="preserve">dimenti sono emessi dal presidente della corte di giustizia tributaria o della </w:t>
                              </w:r>
                            </w:p>
                          </w:txbxContent>
                        </wps:txbx>
                        <wps:bodyPr horzOverflow="overflow" vert="horz" lIns="0" tIns="0" rIns="0" bIns="0" rtlCol="0">
                          <a:noAutofit/>
                        </wps:bodyPr>
                      </wps:wsp>
                      <wps:wsp>
                        <wps:cNvPr id="19879" name="Rectangle 19879"/>
                        <wps:cNvSpPr/>
                        <wps:spPr>
                          <a:xfrm rot="-10799999">
                            <a:off x="-334066" y="1433436"/>
                            <a:ext cx="4325869" cy="142889"/>
                          </a:xfrm>
                          <a:prstGeom prst="rect">
                            <a:avLst/>
                          </a:prstGeom>
                          <a:ln>
                            <a:noFill/>
                          </a:ln>
                        </wps:spPr>
                        <wps:txbx>
                          <w:txbxContent>
                            <w:p w14:paraId="4E3F3447" w14:textId="77777777" w:rsidR="00B32EF2" w:rsidRDefault="00000000">
                              <w:r>
                                <w:rPr>
                                  <w:rFonts w:ascii="Arial" w:eastAsia="Arial" w:hAnsi="Arial" w:cs="Arial"/>
                                  <w:sz w:val="18"/>
                                </w:rPr>
                                <w:t>sezione o dal giudice in composizione monocratica o collegiale.</w:t>
                              </w:r>
                            </w:p>
                          </w:txbxContent>
                        </wps:txbx>
                        <wps:bodyPr horzOverflow="overflow" vert="horz" lIns="0" tIns="0" rIns="0" bIns="0" rtlCol="0">
                          <a:noAutofit/>
                        </wps:bodyPr>
                      </wps:wsp>
                      <wps:wsp>
                        <wps:cNvPr id="201563" name="Rectangle 201563"/>
                        <wps:cNvSpPr/>
                        <wps:spPr>
                          <a:xfrm rot="-10799999">
                            <a:off x="-1440928" y="1310106"/>
                            <a:ext cx="5308990" cy="142889"/>
                          </a:xfrm>
                          <a:prstGeom prst="rect">
                            <a:avLst/>
                          </a:prstGeom>
                          <a:ln>
                            <a:noFill/>
                          </a:ln>
                        </wps:spPr>
                        <wps:txbx>
                          <w:txbxContent>
                            <w:p w14:paraId="52C6C677" w14:textId="77777777" w:rsidR="00B32EF2" w:rsidRDefault="00000000">
                              <w:r>
                                <w:rPr>
                                  <w:rFonts w:ascii="Arial" w:eastAsia="Arial" w:hAnsi="Arial" w:cs="Arial"/>
                                  <w:sz w:val="18"/>
                                </w:rPr>
                                <w:t xml:space="preserve">. Il Ministero dell’economia e delle finanze può autorizzare all’esercizio </w:t>
                              </w:r>
                            </w:p>
                          </w:txbxContent>
                        </wps:txbx>
                        <wps:bodyPr horzOverflow="overflow" vert="horz" lIns="0" tIns="0" rIns="0" bIns="0" rtlCol="0">
                          <a:noAutofit/>
                        </wps:bodyPr>
                      </wps:wsp>
                      <wps:wsp>
                        <wps:cNvPr id="201560" name="Rectangle 201560"/>
                        <wps:cNvSpPr/>
                        <wps:spPr>
                          <a:xfrm rot="-10799999">
                            <a:off x="2551810" y="1310107"/>
                            <a:ext cx="5308990" cy="142889"/>
                          </a:xfrm>
                          <a:prstGeom prst="rect">
                            <a:avLst/>
                          </a:prstGeom>
                          <a:ln>
                            <a:noFill/>
                          </a:ln>
                        </wps:spPr>
                        <wps:txbx>
                          <w:txbxContent>
                            <w:p w14:paraId="7BC7A933" w14:textId="77777777" w:rsidR="00B32EF2" w:rsidRDefault="00000000">
                              <w:r>
                                <w:rPr>
                                  <w:rFonts w:ascii="Arial" w:eastAsia="Arial" w:hAnsi="Arial" w:cs="Arial"/>
                                  <w:sz w:val="18"/>
                                </w:rPr>
                                <w:t>12</w:t>
                              </w:r>
                            </w:p>
                          </w:txbxContent>
                        </wps:txbx>
                        <wps:bodyPr horzOverflow="overflow" vert="horz" lIns="0" tIns="0" rIns="0" bIns="0" rtlCol="0">
                          <a:noAutofit/>
                        </wps:bodyPr>
                      </wps:wsp>
                      <wps:wsp>
                        <wps:cNvPr id="19881" name="Rectangle 19881"/>
                        <wps:cNvSpPr/>
                        <wps:spPr>
                          <a:xfrm rot="-10799999">
                            <a:off x="-1317203" y="1186776"/>
                            <a:ext cx="5309005" cy="142890"/>
                          </a:xfrm>
                          <a:prstGeom prst="rect">
                            <a:avLst/>
                          </a:prstGeom>
                          <a:ln>
                            <a:noFill/>
                          </a:ln>
                        </wps:spPr>
                        <wps:txbx>
                          <w:txbxContent>
                            <w:p w14:paraId="2E92133D" w14:textId="77777777" w:rsidR="00B32EF2" w:rsidRDefault="00000000">
                              <w:r>
                                <w:rPr>
                                  <w:rFonts w:ascii="Arial" w:eastAsia="Arial" w:hAnsi="Arial" w:cs="Arial"/>
                                  <w:sz w:val="18"/>
                                </w:rPr>
                                <w:t xml:space="preserve">dell’assistenza tecnica davanti alle corti di giustizia tributaria, se cessati </w:t>
                              </w:r>
                            </w:p>
                          </w:txbxContent>
                        </wps:txbx>
                        <wps:bodyPr horzOverflow="overflow" vert="horz" lIns="0" tIns="0" rIns="0" bIns="0" rtlCol="0">
                          <a:noAutofit/>
                        </wps:bodyPr>
                      </wps:wsp>
                      <wps:wsp>
                        <wps:cNvPr id="19882" name="Rectangle 19882"/>
                        <wps:cNvSpPr/>
                        <wps:spPr>
                          <a:xfrm rot="-10799999">
                            <a:off x="-1317233" y="1063447"/>
                            <a:ext cx="5309036" cy="142889"/>
                          </a:xfrm>
                          <a:prstGeom prst="rect">
                            <a:avLst/>
                          </a:prstGeom>
                          <a:ln>
                            <a:noFill/>
                          </a:ln>
                        </wps:spPr>
                        <wps:txbx>
                          <w:txbxContent>
                            <w:p w14:paraId="4A3CB0C5" w14:textId="77777777" w:rsidR="00B32EF2" w:rsidRDefault="00000000">
                              <w:r>
                                <w:rPr>
                                  <w:rFonts w:ascii="Arial" w:eastAsia="Arial" w:hAnsi="Arial" w:cs="Arial"/>
                                  <w:sz w:val="18"/>
                                </w:rPr>
                                <w:t xml:space="preserve">dall’impiego dopo almeno venti anni di effettivo servizio di cui almeno gli ultimi </w:t>
                              </w:r>
                            </w:p>
                          </w:txbxContent>
                        </wps:txbx>
                        <wps:bodyPr horzOverflow="overflow" vert="horz" lIns="0" tIns="0" rIns="0" bIns="0" rtlCol="0">
                          <a:noAutofit/>
                        </wps:bodyPr>
                      </wps:wsp>
                      <wps:wsp>
                        <wps:cNvPr id="19883" name="Rectangle 19883"/>
                        <wps:cNvSpPr/>
                        <wps:spPr>
                          <a:xfrm rot="-10799999">
                            <a:off x="-1317294" y="940117"/>
                            <a:ext cx="5309096" cy="142889"/>
                          </a:xfrm>
                          <a:prstGeom prst="rect">
                            <a:avLst/>
                          </a:prstGeom>
                          <a:ln>
                            <a:noFill/>
                          </a:ln>
                        </wps:spPr>
                        <wps:txbx>
                          <w:txbxContent>
                            <w:p w14:paraId="29738E80" w14:textId="77777777" w:rsidR="00B32EF2" w:rsidRDefault="00000000">
                              <w:r>
                                <w:rPr>
                                  <w:rFonts w:ascii="Arial" w:eastAsia="Arial" w:hAnsi="Arial" w:cs="Arial"/>
                                  <w:sz w:val="18"/>
                                </w:rPr>
                                <w:t xml:space="preserve">dieci prestati a svolgere attività connesse ai tributi, il personale dirigenziale e </w:t>
                              </w:r>
                            </w:p>
                          </w:txbxContent>
                        </wps:txbx>
                        <wps:bodyPr horzOverflow="overflow" vert="horz" lIns="0" tIns="0" rIns="0" bIns="0" rtlCol="0">
                          <a:noAutofit/>
                        </wps:bodyPr>
                      </wps:wsp>
                      <wps:wsp>
                        <wps:cNvPr id="19884" name="Rectangle 19884"/>
                        <wps:cNvSpPr/>
                        <wps:spPr>
                          <a:xfrm rot="-10799999">
                            <a:off x="-1317203" y="816788"/>
                            <a:ext cx="5309005" cy="142889"/>
                          </a:xfrm>
                          <a:prstGeom prst="rect">
                            <a:avLst/>
                          </a:prstGeom>
                          <a:ln>
                            <a:noFill/>
                          </a:ln>
                        </wps:spPr>
                        <wps:txbx>
                          <w:txbxContent>
                            <w:p w14:paraId="02697935" w14:textId="77777777" w:rsidR="00B32EF2" w:rsidRDefault="00000000">
                              <w:r>
                                <w:rPr>
                                  <w:rFonts w:ascii="Arial" w:eastAsia="Arial" w:hAnsi="Arial" w:cs="Arial"/>
                                  <w:sz w:val="18"/>
                                </w:rPr>
                                <w:t xml:space="preserve">quello appartenente all’area funzionari e operatori degli enti impositori e del </w:t>
                              </w:r>
                            </w:p>
                          </w:txbxContent>
                        </wps:txbx>
                        <wps:bodyPr horzOverflow="overflow" vert="horz" lIns="0" tIns="0" rIns="0" bIns="0" rtlCol="0">
                          <a:noAutofit/>
                        </wps:bodyPr>
                      </wps:wsp>
                      <wps:wsp>
                        <wps:cNvPr id="19885" name="Rectangle 19885"/>
                        <wps:cNvSpPr/>
                        <wps:spPr>
                          <a:xfrm rot="-10799999">
                            <a:off x="-1218679" y="693458"/>
                            <a:ext cx="5210482" cy="142889"/>
                          </a:xfrm>
                          <a:prstGeom prst="rect">
                            <a:avLst/>
                          </a:prstGeom>
                          <a:ln>
                            <a:noFill/>
                          </a:ln>
                        </wps:spPr>
                        <wps:txbx>
                          <w:txbxContent>
                            <w:p w14:paraId="0B5955CB" w14:textId="77777777" w:rsidR="00B32EF2" w:rsidRDefault="00000000">
                              <w:r>
                                <w:rPr>
                                  <w:rFonts w:ascii="Arial" w:eastAsia="Arial" w:hAnsi="Arial" w:cs="Arial"/>
                                  <w:sz w:val="18"/>
                                </w:rPr>
                                <w:t>Ministero nonché gli ufficiali e ispettori della guardia di finanza. L’autorizzazio</w:t>
                              </w:r>
                            </w:p>
                          </w:txbxContent>
                        </wps:txbx>
                        <wps:bodyPr horzOverflow="overflow" vert="horz" lIns="0" tIns="0" rIns="0" bIns="0" rtlCol="0">
                          <a:noAutofit/>
                        </wps:bodyPr>
                      </wps:wsp>
                      <wps:wsp>
                        <wps:cNvPr id="19886" name="Rectangle 19886"/>
                        <wps:cNvSpPr/>
                        <wps:spPr>
                          <a:xfrm rot="-10799999">
                            <a:off x="19204" y="693458"/>
                            <a:ext cx="50622" cy="142889"/>
                          </a:xfrm>
                          <a:prstGeom prst="rect">
                            <a:avLst/>
                          </a:prstGeom>
                          <a:ln>
                            <a:noFill/>
                          </a:ln>
                        </wps:spPr>
                        <wps:txbx>
                          <w:txbxContent>
                            <w:p w14:paraId="297A8E2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887" name="Rectangle 19887"/>
                        <wps:cNvSpPr/>
                        <wps:spPr>
                          <a:xfrm rot="-10799999">
                            <a:off x="-1317248" y="570128"/>
                            <a:ext cx="5309051" cy="142889"/>
                          </a:xfrm>
                          <a:prstGeom prst="rect">
                            <a:avLst/>
                          </a:prstGeom>
                          <a:ln>
                            <a:noFill/>
                          </a:ln>
                        </wps:spPr>
                        <wps:txbx>
                          <w:txbxContent>
                            <w:p w14:paraId="36503B05" w14:textId="77777777" w:rsidR="00B32EF2" w:rsidRDefault="00000000">
                              <w:r>
                                <w:rPr>
                                  <w:rFonts w:ascii="Arial" w:eastAsia="Arial" w:hAnsi="Arial" w:cs="Arial"/>
                                  <w:sz w:val="18"/>
                                </w:rPr>
                                <w:t xml:space="preserve">ne può essere revocata o sospesa in ogni tempo con provvedimento motivato. </w:t>
                              </w:r>
                            </w:p>
                          </w:txbxContent>
                        </wps:txbx>
                        <wps:bodyPr horzOverflow="overflow" vert="horz" lIns="0" tIns="0" rIns="0" bIns="0" rtlCol="0">
                          <a:noAutofit/>
                        </wps:bodyPr>
                      </wps:wsp>
                      <wps:wsp>
                        <wps:cNvPr id="19888" name="Rectangle 19888"/>
                        <wps:cNvSpPr/>
                        <wps:spPr>
                          <a:xfrm rot="-10799999">
                            <a:off x="-1274911" y="446798"/>
                            <a:ext cx="5266714" cy="142889"/>
                          </a:xfrm>
                          <a:prstGeom prst="rect">
                            <a:avLst/>
                          </a:prstGeom>
                          <a:ln>
                            <a:noFill/>
                          </a:ln>
                        </wps:spPr>
                        <wps:txbx>
                          <w:txbxContent>
                            <w:p w14:paraId="56ADC57B" w14:textId="77777777" w:rsidR="00B32EF2" w:rsidRDefault="00000000">
                              <w:r>
                                <w:rPr>
                                  <w:rFonts w:ascii="Arial" w:eastAsia="Arial" w:hAnsi="Arial" w:cs="Arial"/>
                                  <w:sz w:val="18"/>
                                </w:rPr>
                                <w:t>Le attività connesse ai tributi sono individuate con il decreto di cui al comma 4.</w:t>
                              </w:r>
                            </w:p>
                          </w:txbxContent>
                        </wps:txbx>
                        <wps:bodyPr horzOverflow="overflow" vert="horz" lIns="0" tIns="0" rIns="0" bIns="0" rtlCol="0">
                          <a:noAutofit/>
                        </wps:bodyPr>
                      </wps:wsp>
                    </wpg:wgp>
                  </a:graphicData>
                </a:graphic>
              </wp:inline>
            </w:drawing>
          </mc:Choice>
          <mc:Fallback>
            <w:pict>
              <v:group w14:anchorId="4C10FF36" id="Group 201806" o:spid="_x0000_s4769" style="width:314.3pt;height:493.15pt;mso-position-horizontal-relative:char;mso-position-vertical-relative:line" coordsize="39918,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8CAhgoAAAOBAAAOAAAAZHJzL2Uyb0RvYy54bWzkXV2P27gVfS/Q/2D4fTL8EiUamSyKphsU&#10;KLqLbvsDFI/8AdiWITvxpL++55ISbWuYFhUXwwDMw8SmZ2SJh/fecw8vyfc/vex3s69Nd9q2h6c5&#10;f8fms+awbJ+3h/XT/F///Pmhms9O5/rwXO/aQ/M0/9ac5j99+OMf3l+Oi0a0m3b33HQzXORwWlyO&#10;T/PN+XxcPD6elptmX5/etcfmgA9Xbbevz3jbrR+fu/qCq+93j4Ix/Xhpu+dj1y6b0wmtH92H8w/2&#10;+qtVszz/slqdmvNs9zTHvZ3tz87+/Ew/Hz+8rxfrrj5utsv+NuoJd7Gvtwd8qb/Ux/pcz75021eX&#10;2m+XXXtqV+d3y3b/2K5W22VjnwFPw9noaT517ZejfZb14rI++m5C1476afJll3//+qk7/nb8tUNP&#10;XI5r9IV9R8/ysur29D/ucvZiu+yb77Lm5TxbolEawysm5rMlPtNCi6pQrlOXG/T8q79bbv7yP/7y&#10;cfjix7vbuRwxQE7XPjjF9cFvm/rY2K49LdAHv3az7TPGr6kkn88O9R5D9R8YPPVhvWtmrtl2kP1t&#10;312nxQk9N/TVrGsxvh44Kw39s+Oh7ztuGFMVbAG99KAF3rpOGrqRl5XUxvWiKJhWmj73XVEvjt3p&#10;/Klp9zN68TTvcG/2+vXXv53O7leHX6Hb2R3o56H9ebvbuU+pBT063DG9Or98frGPLYtS0vdR4+f2&#10;+Rt6Y9N2//4Fdr3atZenedu/mpOp4+vp0/ls99cDUCCrGl50w4vPw4vuvPtza23P3dCfvpzb1dbe&#10;8fXb+jsDvO4e3gRnjNkQzmLoCIyK/x/nBy4EK5QDWnNujO7NYUC6EFzIojcYrkTlhsIbQm1v6Nr5&#10;GUAtw1D7MT8Jam4EU9agHc7FvUXDiMUNypV5Y4O2t5MVygAjZNB+uE9C+YFLXvKqtEAXMGctxwYt&#10;WWVgxDYCWoPmbwy1jRVZQV2EofZjfjrUgjvfXVSllGxs05IZJkAQiOwQ1G9u1eUQnbIJ0zoMtR/z&#10;vwPUpTKmtBesFz5MJ4e6yg5qONmQA/djPgLqnpEVyFB6bj2Cukhp1ZYbZOXA4WRDUPsxPw3qCkmW&#10;QmyAdy4KJiUfGbUqjRAKwyyV/65s2pcN0pA0iioQq/v2PuOchLUADxMSrIuwlki4QdFwvRurFryQ&#10;LKFVV5YG5oV1IFhbrGOjNVQlLX5osL1skAsxU4Aj4MLRHGPW16TaGfXIgSdOqiuvGGSDclgNVd63&#10;TXLeDwjDbAjUotC6GDlvZbiskgZqrxpkg3RYD1XesU1CWhhVAWwXprmUUoyQ5ozS6JRh2osG2SAd&#10;lkOVd24TkS4qMG6HNGOY/7Bk/krIOAi5KlMi7VlINkiHJVHlndskpCXTlSEgQb0xp6W1HiENg7fT&#10;aMmyLK8YZAN0IMnCpCVCbAwZw2xuoWHGFuhSw3uPgOZSa5h1wnzaCwbZIB1IsQhp79smmTTH7HMl&#10;cGkyaa0Y/Pd9No1kWpFGmk45yU4jI/obSrC8c5uEtADMpehtuuBalyOkOdcFQzlAMqTdfHg2ugkZ&#10;b1gNRXOU966qghdONFHSgHy9Qpoh80qJtM8is/DeVgkLcO++PQprqKFGO+VbiZIxPsLaVp3IhP7b&#10;+DwyH6wD7NtiHUe/UWIEjyFRLEbB+vtgJ5zmMD6VzAJsuHDys4FgjeYYs76qoWGc05YYGT+Os0EZ&#10;SW8IZR/HJlGyB6XLijuNTHGl9bg4FHOaRnN4k1QJtfF5ZBZIWycdMOi+PcaiBfJlg1lg67uZkFKP&#10;CoExZ4lS4ZSB2meS+WAdkL4t1p6zTLNryCOmLH9osH0ymQXYFKgDBNw1x5i1rRKFNVu7ljBghtIE&#10;XPCqflu7lmDoyXy4zyazgTrAvwlqT1smWjXmLnVv1bIs8dKG/xuoUeGvypThOjutrAjr32iOseor&#10;/XY4j006Kf3WzOcW2Rg0aFGIfnvGMtGgUeGPeWrnuyGIScxtvfbdJl0+rZ2HyUkSRUFIEGrPVyKg&#10;7iv8JUIyc4UsN747cdm3xlLK3mVlY9Vh9bvwfCUC6r7sWypEbGTYr606Ydm3xsRpblBDtAw5cM9X&#10;IqAerBqlB7IKQZ1w3Y7GQsHMoIauEYLayR0UySZCjaXT3IAHQPtGeT9jWEl7b9UCAgvWXqfKs7Rb&#10;M5ZTrNZhVRTN/ZifBPUN+Q7inJh8e86ZS5jWAZEM2TSaY1B+4FRYgrpqa9BMojbBRsUbRgZFvKzS&#10;CaKaec6ZBdQkfJYBSta3x4BNa3YMykwJa4EKbxQlvHLeAuXACZ23J535YB3gZBbrWFJGO8HQQPrv&#10;YKfMqv0TZgE2OeuwIuq2KJlMyq6R2hn1mJGljdQ8O5mM6oACWRaaY5y33dnGFK7sRJQ0SRnw3iXR&#10;hERTHNiGZXjCbAw6rIhqz04jqXcY58QG7RlnNiiHxVDtiekklN2cJce1KUJjFQc2PBnRsdRiKLc3&#10;lFUuHWDeFLg9L42AeiBjhYIeGoIaslk6352fQhYg3gS1Z6XToNa8NNxVAiOXYlTKj7B/zaeVZli8&#10;lTDHws31PCQL/21zqYAD79sjKRkqgbHJifXgwujSrey7gu3KvhPmWG4Hlmw8uAU1wMn69hiwrXjS&#10;l/iL72OdUCgDlcjJsOGraRFsINNy9QO/Rz4dxDkx/fZUJAv3TSiHlW80x9gz8ukSy7J6581LidLv&#10;+0hdCKzEo0KIZPm0pyJZQG2ddEA76dvjwFaKF2DxNlKzgrFqDDblWgnrQ2l7pZy8twU1MEfdt8eA&#10;LbD3HHZ+vsHaMt4bVpYc6+yEMirHDUVqn3VOS7Zoc2AQMws1ZHBduorTEdSQ45L5cOy9k5NZU7gO&#10;uHDXHGPUnEtVQI8iB44DD7D54MioMd2FdfWw+lTR2k2cZ5Vq0YkJY6smBx6roWBqWpAaasHW2FXU&#10;LYC7MWvBOaPRkAxs77iyoWbkRYNgx012iKJiUE5usLbX+5GwzkswI18d0Mtcc5QL9wc2cGvTY5zT&#10;5tXYfSe3QB2e68A0RQzKd0vxeFHo0s2G3hi0pd8pOVl+QlkgUJNBe4FhGv3GnjbYwsa5boU32OAE&#10;Q+eKtJLw7sOxSgnOa8BpWMNYzidMgxUFw7Sfy52GNVeKmX7jKqRdOCxtBDaW89yfw/LGh3No4Udz&#10;PmB/R0GJLPOHgsIrFG5Z/m2xth7zatjJsXbLu7NJtuCraY/esV275vhoTVtIUl7NK40F1fc+3C6c&#10;x6IKn2q98XlpGnvaZkbMqA4kBLWXkiZ6cBLLhqwa1YMKOxzehWsLdcJNyrT0T5iFByfzDURr1xxv&#10;1f2SaqOghoeQprmvVPqJK3XLyn+HFXA3DzV5rtplW73/RilKiTNOX9v0rft+a1bmjuvLCumwAI6D&#10;eOJsGkfj0W6xFKm1gRo+RhorL1XKEkLMnvYPmI33Dkii5L29lDQpUF/XcwRhTiuTuRQ/K3MOi6Hu&#10;vKtIxz0ci4c9jJxUcZdiGZZyewSZnUpG54OHeLcXkSaZsy00MlgbQ45bYTHt+GAO1BlhdwzQg2Rk&#10;zD9gasdtj5y/rHEMOc7jXnf1cbNdfqzP9e17e1j5ohHtpt09N92H/wAAAP//AwBQSwMEFAAGAAgA&#10;AAAhABgNBmzdAAAABQEAAA8AAABkcnMvZG93bnJldi54bWxMj0FLw0AQhe+C/2EZwZvdpMUQ02xK&#10;KeqpCLaC9DbNTpPQ7GzIbpP037t6qZeBx3u8902+mkwrBupdY1lBPItAEJdWN1wp+Nq/PaUgnEfW&#10;2FomBVdysCru73LMtB35k4adr0QoYZehgtr7LpPSlTUZdDPbEQfvZHuDPsi+krrHMZSbVs6jKJEG&#10;Gw4LNXa0qak87y5GwfuI43oRvw7b82lzPeyfP763MSn1+DCtlyA8Tf4Whl/8gA5FYDraC2snWgXh&#10;Ef93g5fM0wTEUcFLmixAFrn8T1/8AAAA//8DAFBLAQItABQABgAIAAAAIQC2gziS/gAAAOEBAAAT&#10;AAAAAAAAAAAAAAAAAAAAAABbQ29udGVudF9UeXBlc10ueG1sUEsBAi0AFAAGAAgAAAAhADj9If/W&#10;AAAAlAEAAAsAAAAAAAAAAAAAAAAALwEAAF9yZWxzLy5yZWxzUEsBAi0AFAAGAAgAAAAhAO2rwICG&#10;CgAAA4EAAA4AAAAAAAAAAAAAAAAALgIAAGRycy9lMm9Eb2MueG1sUEsBAi0AFAAGAAgAAAAhABgN&#10;BmzdAAAABQEAAA8AAAAAAAAAAAAAAAAA4AwAAGRycy9kb3ducmV2LnhtbFBLBQYAAAAABAAEAPMA&#10;AADqDQAAAAA=&#10;">
                <v:rect id="Rectangle 19831" o:spid="_x0000_s4770"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r6/xAAAAN4AAAAPAAAAZHJzL2Rvd25yZXYueG1sRE9Na8JA&#10;EL0X/A/LCN7qRgslja4iijQHL7UKHofsmESzs0t2NdFf3y0UepvH+5z5sjeNuFPra8sKJuMEBHFh&#10;dc2lgsP39jUF4QOyxsYyKXiQh+Vi8DLHTNuOv+i+D6WIIewzVFCF4DIpfVGRQT+2jjhyZ9saDBG2&#10;pdQtdjHcNHKaJO/SYM2xoUJH64qK6/5mFJw27PJtJ4vzc+12lzxtPm+Ho1KjYb+agQjUh3/xnzvX&#10;cf5H+jaB33fiDXLxAwAA//8DAFBLAQItABQABgAIAAAAIQDb4fbL7gAAAIUBAAATAAAAAAAAAAAA&#10;AAAAAAAAAABbQ29udGVudF9UeXBlc10ueG1sUEsBAi0AFAAGAAgAAAAhAFr0LFu/AAAAFQEAAAsA&#10;AAAAAAAAAAAAAAAAHwEAAF9yZWxzLy5yZWxzUEsBAi0AFAAGAAgAAAAhAF0mvr/EAAAA3gAAAA8A&#10;AAAAAAAAAAAAAAAABwIAAGRycy9kb3ducmV2LnhtbFBLBQYAAAAAAwADALcAAAD4AgAAAAA=&#10;" filled="f" stroked="f">
                  <v:textbox inset="0,0,0,0">
                    <w:txbxContent>
                      <w:p w14:paraId="4AF5D390" w14:textId="77777777" w:rsidR="00B32EF2" w:rsidRDefault="00000000">
                        <w:r>
                          <w:rPr>
                            <w:rFonts w:ascii="Times New Roman" w:eastAsia="Times New Roman" w:hAnsi="Times New Roman" w:cs="Times New Roman"/>
                          </w:rPr>
                          <w:t>49</w:t>
                        </w:r>
                      </w:p>
                    </w:txbxContent>
                  </v:textbox>
                </v:rect>
                <v:rect id="Rectangle 19832" o:spid="_x0000_s4771" style="position:absolute;left:-12205;top:61199;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CDIxQAAAN4AAAAPAAAAZHJzL2Rvd25yZXYueG1sRE9La8JA&#10;EL4X/A/LCN7qRgslRlcRRZpDL/UBHofsmESzs0t2NbG/vlso9DYf33MWq9404kGtry0rmIwTEMSF&#10;1TWXCo6H3WsKwgdkjY1lUvAkD6vl4GWBmbYdf9FjH0oRQ9hnqKAKwWVS+qIig35sHXHkLrY1GCJs&#10;S6lb7GK4aeQ0Sd6lwZpjQ4WONhUVt/3dKDhv2eW7ThaX7437vOZp83E/npQaDfv1HESgPvyL/9y5&#10;jvNn6dsUft+JN8jlDwAAAP//AwBQSwECLQAUAAYACAAAACEA2+H2y+4AAACFAQAAEwAAAAAAAAAA&#10;AAAAAAAAAAAAW0NvbnRlbnRfVHlwZXNdLnhtbFBLAQItABQABgAIAAAAIQBa9CxbvwAAABUBAAAL&#10;AAAAAAAAAAAAAAAAAB8BAABfcmVscy8ucmVsc1BLAQItABQABgAIAAAAIQCt9CDIxQAAAN4AAAAP&#10;AAAAAAAAAAAAAAAAAAcCAABkcnMvZG93bnJldi54bWxQSwUGAAAAAAMAAwC3AAAA+QIAAAAA&#10;" filled="f" stroked="f">
                  <v:textbox inset="0,0,0,0">
                    <w:txbxContent>
                      <w:p w14:paraId="58AC5F96" w14:textId="77777777" w:rsidR="00B32EF2" w:rsidRDefault="00000000">
                        <w:r>
                          <w:rPr>
                            <w:rFonts w:ascii="Arial" w:eastAsia="Arial" w:hAnsi="Arial" w:cs="Arial"/>
                            <w:sz w:val="18"/>
                          </w:rPr>
                          <w:t>Stato. Con decreto del Ministro dell’economia e delle finanze, sentito il Mini</w:t>
                        </w:r>
                      </w:p>
                    </w:txbxContent>
                  </v:textbox>
                </v:rect>
                <v:rect id="Rectangle 19833" o:spid="_x0000_s4772" style="position:absolute;left:192;top:611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IVTxAAAAN4AAAAPAAAAZHJzL2Rvd25yZXYueG1sRE9Na8JA&#10;EL0X/A/LCN7qxgolja4iijQHL7UKHofsmESzs0t2NdFf3y0UepvH+5z5sjeNuFPra8sKJuMEBHFh&#10;dc2lgsP39jUF4QOyxsYyKXiQh+Vi8DLHTNuOv+i+D6WIIewzVFCF4DIpfVGRQT+2jjhyZ9saDBG2&#10;pdQtdjHcNPItSd6lwZpjQ4WO1hUV1/3NKDht2OXbThbn59rtLnnafN4OR6VGw341AxGoD//iP3eu&#10;4/yPdDqF33fiDXLxAwAA//8DAFBLAQItABQABgAIAAAAIQDb4fbL7gAAAIUBAAATAAAAAAAAAAAA&#10;AAAAAAAAAABbQ29udGVudF9UeXBlc10ueG1sUEsBAi0AFAAGAAgAAAAhAFr0LFu/AAAAFQEAAAsA&#10;AAAAAAAAAAAAAAAAHwEAAF9yZWxzLy5yZWxzUEsBAi0AFAAGAAgAAAAhAMK4hVPEAAAA3gAAAA8A&#10;AAAAAAAAAAAAAAAABwIAAGRycy9kb3ducmV2LnhtbFBLBQYAAAAAAwADALcAAAD4AgAAAAA=&#10;" filled="f" stroked="f">
                  <v:textbox inset="0,0,0,0">
                    <w:txbxContent>
                      <w:p w14:paraId="7B925F00" w14:textId="77777777" w:rsidR="00B32EF2" w:rsidRDefault="00000000">
                        <w:r>
                          <w:rPr>
                            <w:rFonts w:ascii="Arial" w:eastAsia="Arial" w:hAnsi="Arial" w:cs="Arial"/>
                            <w:sz w:val="18"/>
                          </w:rPr>
                          <w:t>-</w:t>
                        </w:r>
                      </w:p>
                    </w:txbxContent>
                  </v:textbox>
                </v:rect>
                <v:rect id="Rectangle 19834" o:spid="_x0000_s4773" style="position:absolute;left:-13171;top:599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R0nxQAAAN4AAAAPAAAAZHJzL2Rvd25yZXYueG1sRE9Na8JA&#10;EL0L/odlhN50oy0lja4iipiDl1oLHofsmKTNzi7Z1cT+erdQ6G0e73MWq9404katry0rmE4SEMSF&#10;1TWXCk4fu3EKwgdkjY1lUnAnD6vlcLDATNuO3+l2DKWIIewzVFCF4DIpfVGRQT+xjjhyF9saDBG2&#10;pdQtdjHcNHKWJK/SYM2xoUJHm4qK7+PVKDhv2eW7ThaXn407fOVps7+ePpV6GvXrOYhAffgX/7lz&#10;Hee/pc8v8PtOvEEuHwAAAP//AwBQSwECLQAUAAYACAAAACEA2+H2y+4AAACFAQAAEwAAAAAAAAAA&#10;AAAAAAAAAAAAW0NvbnRlbnRfVHlwZXNdLnhtbFBLAQItABQABgAIAAAAIQBa9CxbvwAAABUBAAAL&#10;AAAAAAAAAAAAAAAAAB8BAABfcmVscy8ucmVsc1BLAQItABQABgAIAAAAIQBNUR0nxQAAAN4AAAAP&#10;AAAAAAAAAAAAAAAAAAcCAABkcnMvZG93bnJldi54bWxQSwUGAAAAAAMAAwC3AAAA+QIAAAAA&#10;" filled="f" stroked="f">
                  <v:textbox inset="0,0,0,0">
                    <w:txbxContent>
                      <w:p w14:paraId="51D4EB1F" w14:textId="77777777" w:rsidR="00B32EF2" w:rsidRDefault="00000000">
                        <w:r>
                          <w:rPr>
                            <w:rFonts w:ascii="Arial" w:eastAsia="Arial" w:hAnsi="Arial" w:cs="Arial"/>
                            <w:sz w:val="18"/>
                          </w:rPr>
                          <w:t xml:space="preserve">stero della giustizia, adottato ai sensi dell’articolo 17, comma 3, della legge 23 </w:t>
                        </w:r>
                      </w:p>
                    </w:txbxContent>
                  </v:textbox>
                </v:rect>
                <v:rect id="Rectangle 19835" o:spid="_x0000_s4774" style="position:absolute;left:-13172;top:58733;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i8xQAAAN4AAAAPAAAAZHJzL2Rvd25yZXYueG1sRE9Na8JA&#10;EL0L/odlhN50o6Ulja4iipiDl1oLHofsmKTNzi7Z1cT+erdQ6G0e73MWq9404katry0rmE4SEMSF&#10;1TWXCk4fu3EKwgdkjY1lUnAnD6vlcLDATNuO3+l2DKWIIewzVFCF4DIpfVGRQT+xjjhyF9saDBG2&#10;pdQtdjHcNHKWJK/SYM2xoUJHm4qK7+PVKDhv2eW7ThaXn407fOVps7+ePpV6GvXrOYhAffgX/7lz&#10;Hee/pc8v8PtOvEEuHwAAAP//AwBQSwECLQAUAAYACAAAACEA2+H2y+4AAACFAQAAEwAAAAAAAAAA&#10;AAAAAAAAAAAAW0NvbnRlbnRfVHlwZXNdLnhtbFBLAQItABQABgAIAAAAIQBa9CxbvwAAABUBAAAL&#10;AAAAAAAAAAAAAAAAAB8BAABfcmVscy8ucmVsc1BLAQItABQABgAIAAAAIQAiHbi8xQAAAN4AAAAP&#10;AAAAAAAAAAAAAAAAAAcCAABkcnMvZG93bnJldi54bWxQSwUGAAAAAAMAAwC3AAAA+QIAAAAA&#10;" filled="f" stroked="f">
                  <v:textbox inset="0,0,0,0">
                    <w:txbxContent>
                      <w:p w14:paraId="4EC38AB2" w14:textId="77777777" w:rsidR="00B32EF2" w:rsidRDefault="00000000">
                        <w:r>
                          <w:rPr>
                            <w:rFonts w:ascii="Arial" w:eastAsia="Arial" w:hAnsi="Arial" w:cs="Arial"/>
                            <w:sz w:val="18"/>
                          </w:rPr>
                          <w:t xml:space="preserve">agosto 1988, n. 400, sono disciplinate le modalità di tenuta dell’elenco, nonché </w:t>
                        </w:r>
                      </w:p>
                    </w:txbxContent>
                  </v:textbox>
                </v:rect>
                <v:rect id="Rectangle 19836" o:spid="_x0000_s4775" style="position:absolute;left:-13172;top:574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ybLxAAAAN4AAAAPAAAAZHJzL2Rvd25yZXYueG1sRE9Na8JA&#10;EL0X/A/LCN7qxgqSRlcRRZpDL7UKHofsmESzs0t2NdFf3y0UepvH+5zFqjeNuFPra8sKJuMEBHFh&#10;dc2lgsP37jUF4QOyxsYyKXiQh9Vy8LLATNuOv+i+D6WIIewzVFCF4DIpfVGRQT+2jjhyZ9saDBG2&#10;pdQtdjHcNPItSWbSYM2xoUJHm4qK6/5mFJy27PJdJ4vzc+M+L3nafNwOR6VGw349BxGoD//iP3eu&#10;4/z3dDqD33fiDXL5AwAA//8DAFBLAQItABQABgAIAAAAIQDb4fbL7gAAAIUBAAATAAAAAAAAAAAA&#10;AAAAAAAAAABbQ29udGVudF9UeXBlc10ueG1sUEsBAi0AFAAGAAgAAAAhAFr0LFu/AAAAFQEAAAsA&#10;AAAAAAAAAAAAAAAAHwEAAF9yZWxzLy5yZWxzUEsBAi0AFAAGAAgAAAAhANLPJsvEAAAA3gAAAA8A&#10;AAAAAAAAAAAAAAAABwIAAGRycy9kb3ducmV2LnhtbFBLBQYAAAAAAwADALcAAAD4AgAAAAA=&#10;" filled="f" stroked="f">
                  <v:textbox inset="0,0,0,0">
                    <w:txbxContent>
                      <w:p w14:paraId="0255DCB1" w14:textId="77777777" w:rsidR="00B32EF2" w:rsidRDefault="00000000">
                        <w:r>
                          <w:rPr>
                            <w:rFonts w:ascii="Arial" w:eastAsia="Arial" w:hAnsi="Arial" w:cs="Arial"/>
                            <w:sz w:val="18"/>
                          </w:rPr>
                          <w:t xml:space="preserve">i casi di incompatibilità, diniego, sospensione e revoca della iscrizione anche </w:t>
                        </w:r>
                      </w:p>
                    </w:txbxContent>
                  </v:textbox>
                </v:rect>
                <v:rect id="Rectangle 19837" o:spid="_x0000_s4776" style="position:absolute;left:-13172;top:562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4NQxQAAAN4AAAAPAAAAZHJzL2Rvd25yZXYueG1sRE9Na8JA&#10;EL0L/odlhN50o4U2ja4iipiDl1oLHofsmKTNzi7Z1cT+erdQ6G0e73MWq9404katry0rmE4SEMSF&#10;1TWXCk4fu3EKwgdkjY1lUnAnD6vlcLDATNuO3+l2DKWIIewzVFCF4DIpfVGRQT+xjjhyF9saDBG2&#10;pdQtdjHcNHKWJC/SYM2xoUJHm4qK7+PVKDhv2eW7ThaXn407fOVps7+ePpV6GvXrOYhAffgX/7lz&#10;Hee/pc+v8PtOvEEuHwAAAP//AwBQSwECLQAUAAYACAAAACEA2+H2y+4AAACFAQAAEwAAAAAAAAAA&#10;AAAAAAAAAAAAW0NvbnRlbnRfVHlwZXNdLnhtbFBLAQItABQABgAIAAAAIQBa9CxbvwAAABUBAAAL&#10;AAAAAAAAAAAAAAAAAB8BAABfcmVscy8ucmVsc1BLAQItABQABgAIAAAAIQC9g4NQxQAAAN4AAAAP&#10;AAAAAAAAAAAAAAAAAAcCAABkcnMvZG93bnJldi54bWxQSwUGAAAAAAMAAwC3AAAA+QIAAAAA&#10;" filled="f" stroked="f">
                  <v:textbox inset="0,0,0,0">
                    <w:txbxContent>
                      <w:p w14:paraId="28A78A1B" w14:textId="77777777" w:rsidR="00B32EF2" w:rsidRDefault="00000000">
                        <w:r>
                          <w:rPr>
                            <w:rFonts w:ascii="Arial" w:eastAsia="Arial" w:hAnsi="Arial" w:cs="Arial"/>
                            <w:sz w:val="18"/>
                          </w:rPr>
                          <w:t xml:space="preserve">sulla base dei principi contenuti nel codice deontologico forense. L’elenco è </w:t>
                        </w:r>
                      </w:p>
                    </w:txbxContent>
                  </v:textbox>
                </v:rect>
                <v:rect id="Rectangle 19838" o:spid="_x0000_s4777" style="position:absolute;left:-8004;top:55033;width:479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BciyAAAAN4AAAAPAAAAZHJzL2Rvd25yZXYueG1sRI9Pa8Mw&#10;DMXvg30Ho8Fuq7MNRprVLaOjLIdd+mewo4jVJFssm9ht0n766lDoTeI9vffTbDG6Th2pj61nA8+T&#10;DBRx5W3LtYHddvWUg4oJ2WLnmQycKMJifn83w8L6gdd03KRaSQjHAg00KYVC61g15DBOfCAWbe97&#10;h0nWvta2x0HCXadfsuxNO2xZGhoMtGyo+t8cnIHfTw7latDV/rwM339l3n0ddj/GPD6MH++gEo3p&#10;Zr5el1bwp/mr8Mo7MoOeXwAAAP//AwBQSwECLQAUAAYACAAAACEA2+H2y+4AAACFAQAAEwAAAAAA&#10;AAAAAAAAAAAAAAAAW0NvbnRlbnRfVHlwZXNdLnhtbFBLAQItABQABgAIAAAAIQBa9CxbvwAAABUB&#10;AAALAAAAAAAAAAAAAAAAAB8BAABfcmVscy8ucmVsc1BLAQItABQABgAIAAAAIQDMHBciyAAAAN4A&#10;AAAPAAAAAAAAAAAAAAAAAAcCAABkcnMvZG93bnJldi54bWxQSwUGAAAAAAMAAwC3AAAA/AIAAAAA&#10;" filled="f" stroked="f">
                  <v:textbox inset="0,0,0,0">
                    <w:txbxContent>
                      <w:p w14:paraId="023339D2" w14:textId="77777777" w:rsidR="00B32EF2" w:rsidRDefault="00000000">
                        <w:r>
                          <w:rPr>
                            <w:rFonts w:ascii="Arial" w:eastAsia="Arial" w:hAnsi="Arial" w:cs="Arial"/>
                            <w:sz w:val="18"/>
                          </w:rPr>
                          <w:t xml:space="preserve">pubblicato nel sito internet del Ministero dell’economia e delle finanze. </w:t>
                        </w:r>
                      </w:p>
                    </w:txbxContent>
                  </v:textbox>
                </v:rect>
                <v:rect id="Rectangle 201585" o:spid="_x0000_s4778" style="position:absolute;left:26342;top:53799;width:521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zmIxwAAAN8AAAAPAAAAZHJzL2Rvd25yZXYueG1sRI9Pi8Iw&#10;FMTvC36H8Bb2tqYKSqlGWRTZHrz4Dzw+mmfb3eYlNNHW/fQbQfA4zMxvmPmyN424UetrywpGwwQE&#10;cWF1zaWC42HzmYLwAVljY5kU3MnDcjF4m2Ombcc7uu1DKSKEfYYKqhBcJqUvKjLoh9YRR+9iW4Mh&#10;yraUusUuwk0jx0kylQZrjgsVOlpVVPzur0bBec0u33SyuPyt3PYnT5vv6/Gk1Md7/zUDEagPr/Cz&#10;nWsF42Q0SSfw+BO/gFz8AwAA//8DAFBLAQItABQABgAIAAAAIQDb4fbL7gAAAIUBAAATAAAAAAAA&#10;AAAAAAAAAAAAAABbQ29udGVudF9UeXBlc10ueG1sUEsBAi0AFAAGAAgAAAAhAFr0LFu/AAAAFQEA&#10;AAsAAAAAAAAAAAAAAAAAHwEAAF9yZWxzLy5yZWxzUEsBAi0AFAAGAAgAAAAhAKd/OYjHAAAA3wAA&#10;AA8AAAAAAAAAAAAAAAAABwIAAGRycy9kb3ducmV2LnhtbFBLBQYAAAAAAwADALcAAAD7AgAAAAA=&#10;" filled="f" stroked="f">
                  <v:textbox inset="0,0,0,0">
                    <w:txbxContent>
                      <w:p w14:paraId="1A9134A1" w14:textId="77777777" w:rsidR="00B32EF2" w:rsidRDefault="00000000">
                        <w:r>
                          <w:rPr>
                            <w:rFonts w:ascii="Arial" w:eastAsia="Arial" w:hAnsi="Arial" w:cs="Arial"/>
                            <w:sz w:val="18"/>
                          </w:rPr>
                          <w:t>5</w:t>
                        </w:r>
                      </w:p>
                    </w:txbxContent>
                  </v:textbox>
                </v:rect>
                <v:rect id="Rectangle 201586" o:spid="_x0000_s4779" style="position:absolute;left:-12856;top:53799;width:521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af/xwAAAN8AAAAPAAAAZHJzL2Rvd25yZXYueG1sRI9Ba8JA&#10;FITvBf/D8gRvdaNQCdFVRJHm4KVWweMj+0yi2bdLdjXRX98tFHocZuYbZrHqTSMe1PrasoLJOAFB&#10;XFhdc6ng+L17T0H4gKyxsUwKnuRhtRy8LTDTtuMvehxCKSKEfYYKqhBcJqUvKjLox9YRR+9iW4Mh&#10;yraUusUuwk0jp0kykwZrjgsVOtpUVNwOd6PgvGWX7zpZXF4bt7/mafN5P56UGg379RxEoD78h//a&#10;uVYwTSYf6Qx+/8QvIJc/AAAA//8DAFBLAQItABQABgAIAAAAIQDb4fbL7gAAAIUBAAATAAAAAAAA&#10;AAAAAAAAAAAAAABbQ29udGVudF9UeXBlc10ueG1sUEsBAi0AFAAGAAgAAAAhAFr0LFu/AAAAFQEA&#10;AAsAAAAAAAAAAAAAAAAAHwEAAF9yZWxzLy5yZWxzUEsBAi0AFAAGAAgAAAAhAFetp//HAAAA3wAA&#10;AA8AAAAAAAAAAAAAAAAABwIAAGRycy9kb3ducmV2LnhtbFBLBQYAAAAAAwADALcAAAD7AgAAAAA=&#10;" filled="f" stroked="f">
                  <v:textbox inset="0,0,0,0">
                    <w:txbxContent>
                      <w:p w14:paraId="4E54F3DB" w14:textId="77777777" w:rsidR="00B32EF2" w:rsidRDefault="00000000">
                        <w:r>
                          <w:rPr>
                            <w:rFonts w:ascii="Arial" w:eastAsia="Arial" w:hAnsi="Arial" w:cs="Arial"/>
                            <w:sz w:val="18"/>
                          </w:rPr>
                          <w:t>. Per le controversie di cui all’articolo 46, comma 2, primo periodo, sono an</w:t>
                        </w:r>
                      </w:p>
                    </w:txbxContent>
                  </v:textbox>
                </v:rect>
                <v:rect id="Rectangle 19840" o:spid="_x0000_s4780" style="position:absolute;left:192;top:537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hZyAAAAN4AAAAPAAAAZHJzL2Rvd25yZXYueG1sRI9Pa8Mw&#10;DMXvg30Ho8Fuq7MxRprVLaOjLIdd+mewo4jVJFssm9ht0n766lDoTUJP773fbDG6Th2pj61nA8+T&#10;DBRx5W3LtYHddvWUg4oJ2WLnmQycKMJifn83w8L6gdd03KRaiQnHAg00KYVC61g15DBOfCCW2973&#10;DpOsfa1tj4OYu06/ZNmbdtiyJDQYaNlQ9b85OAO/nxzK1aCr/XkZvv/KvPs67H6MeXwYP95BJRrT&#10;TXz9Lq3Un+avAiA4MoOeXwAAAP//AwBQSwECLQAUAAYACAAAACEA2+H2y+4AAACFAQAAEwAAAAAA&#10;AAAAAAAAAAAAAAAAW0NvbnRlbnRfVHlwZXNdLnhtbFBLAQItABQABgAIAAAAIQBa9CxbvwAAABUB&#10;AAALAAAAAAAAAAAAAAAAAB8BAABfcmVscy8ucmVsc1BLAQItABQABgAIAAAAIQBqbGhZyAAAAN4A&#10;AAAPAAAAAAAAAAAAAAAAAAcCAABkcnMvZG93bnJldi54bWxQSwUGAAAAAAMAAwC3AAAA/AIAAAAA&#10;" filled="f" stroked="f">
                  <v:textbox inset="0,0,0,0">
                    <w:txbxContent>
                      <w:p w14:paraId="4A8A7E0F" w14:textId="77777777" w:rsidR="00B32EF2" w:rsidRDefault="00000000">
                        <w:r>
                          <w:rPr>
                            <w:rFonts w:ascii="Arial" w:eastAsia="Arial" w:hAnsi="Arial" w:cs="Arial"/>
                            <w:sz w:val="18"/>
                          </w:rPr>
                          <w:t>-</w:t>
                        </w:r>
                      </w:p>
                    </w:txbxContent>
                  </v:textbox>
                </v:rect>
                <v:rect id="Rectangle 19841" o:spid="_x0000_s4781" style="position:absolute;left:-9220;top:52566;width:491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M3CxAAAAN4AAAAPAAAAZHJzL2Rvd25yZXYueG1sRE9Na8JA&#10;EL0X/A/LCN7qRiklja4iijQHL7UKHofsmESzs0t2NdFf3y0UepvH+5z5sjeNuFPra8sKJuMEBHFh&#10;dc2lgsP39jUF4QOyxsYyKXiQh+Vi8DLHTNuOv+i+D6WIIewzVFCF4DIpfVGRQT+2jjhyZ9saDBG2&#10;pdQtdjHcNHKaJO/SYM2xoUJH64qK6/5mFJw27PJtJ4vzc+12lzxtPm+Ho1KjYb+agQjUh3/xnzvX&#10;cf5H+jaB33fiDXLxAwAA//8DAFBLAQItABQABgAIAAAAIQDb4fbL7gAAAIUBAAATAAAAAAAAAAAA&#10;AAAAAAAAAABbQ29udGVudF9UeXBlc10ueG1sUEsBAi0AFAAGAAgAAAAhAFr0LFu/AAAAFQEAAAsA&#10;AAAAAAAAAAAAAAAAHwEAAF9yZWxzLy5yZWxzUEsBAi0AFAAGAAgAAAAhAAUgzcLEAAAA3gAAAA8A&#10;AAAAAAAAAAAAAAAABwIAAGRycy9kb3ducmV2LnhtbFBLBQYAAAAAAwADALcAAAD4AgAAAAA=&#10;" filled="f" stroked="f">
                  <v:textbox inset="0,0,0,0">
                    <w:txbxContent>
                      <w:p w14:paraId="744C5437" w14:textId="77777777" w:rsidR="00B32EF2" w:rsidRDefault="00000000">
                        <w:r>
                          <w:rPr>
                            <w:rFonts w:ascii="Arial" w:eastAsia="Arial" w:hAnsi="Arial" w:cs="Arial"/>
                            <w:sz w:val="18"/>
                          </w:rPr>
                          <w:t>che abilitati all’assistenza tecnica, se iscritti nei relativi albi professionali:</w:t>
                        </w:r>
                      </w:p>
                    </w:txbxContent>
                  </v:textbox>
                </v:rect>
                <v:rect id="Rectangle 19842" o:spid="_x0000_s4782" style="position:absolute;left:29489;top:51333;width:104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lO1xQAAAN4AAAAPAAAAZHJzL2Rvd25yZXYueG1sRE9La8JA&#10;EL4X/A/LCN7qRiklRlcRRZpDL/UBHofsmESzs0t2NbG/vlso9DYf33MWq9404kGtry0rmIwTEMSF&#10;1TWXCo6H3WsKwgdkjY1lUvAkD6vl4GWBmbYdf9FjH0oRQ9hnqKAKwWVS+qIig35sHXHkLrY1GCJs&#10;S6lb7GK4aeQ0Sd6lwZpjQ4WONhUVt/3dKDhv2eW7ThaX7437vOZp83E/npQaDfv1HESgPvyL/9y5&#10;jvNn6dsUft+JN8jlDwAAAP//AwBQSwECLQAUAAYACAAAACEA2+H2y+4AAACFAQAAEwAAAAAAAAAA&#10;AAAAAAAAAAAAW0NvbnRlbnRfVHlwZXNdLnhtbFBLAQItABQABgAIAAAAIQBa9CxbvwAAABUBAAAL&#10;AAAAAAAAAAAAAAAAAB8BAABfcmVscy8ucmVsc1BLAQItABQABgAIAAAAIQD18lO1xQAAAN4AAAAP&#10;AAAAAAAAAAAAAAAAAAcCAABkcnMvZG93bnJldi54bWxQSwUGAAAAAAMAAwC3AAAA+QIAAAAA&#10;" filled="f" stroked="f">
                  <v:textbox inset="0,0,0,0">
                    <w:txbxContent>
                      <w:p w14:paraId="70026A9B" w14:textId="77777777" w:rsidR="00B32EF2" w:rsidRDefault="00000000">
                        <w:r>
                          <w:rPr>
                            <w:rFonts w:ascii="Arial" w:eastAsia="Arial" w:hAnsi="Arial" w:cs="Arial"/>
                            <w:sz w:val="18"/>
                          </w:rPr>
                          <w:t>a) gli ingegneri;</w:t>
                        </w:r>
                      </w:p>
                    </w:txbxContent>
                  </v:textbox>
                </v:rect>
                <v:rect id="Rectangle 19843" o:spid="_x0000_s4783" style="position:absolute;left:29583;top:50099;width:103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vYuxQAAAN4AAAAPAAAAZHJzL2Rvd25yZXYueG1sRE9Na8JA&#10;EL0L/odlhN50oy0lja4iipiDl1oLHofsmKTNzi7Z1cT+erdQ6G0e73MWq9404katry0rmE4SEMSF&#10;1TWXCk4fu3EKwgdkjY1lUnAnD6vlcLDATNuO3+l2DKWIIewzVFCF4DIpfVGRQT+xjjhyF9saDBG2&#10;pdQtdjHcNHKWJK/SYM2xoUJHm4qK7+PVKDhv2eW7ThaXn407fOVps7+ePpV6GvXrOYhAffgX/7lz&#10;Hee/pS/P8PtOvEEuHwAAAP//AwBQSwECLQAUAAYACAAAACEA2+H2y+4AAACFAQAAEwAAAAAAAAAA&#10;AAAAAAAAAAAAW0NvbnRlbnRfVHlwZXNdLnhtbFBLAQItABQABgAIAAAAIQBa9CxbvwAAABUBAAAL&#10;AAAAAAAAAAAAAAAAAB8BAABfcmVscy8ucmVsc1BLAQItABQABgAIAAAAIQCavvYuxQAAAN4AAAAP&#10;AAAAAAAAAAAAAAAAAAcCAABkcnMvZG93bnJldi54bWxQSwUGAAAAAAMAAwC3AAAA+QIAAAAA&#10;" filled="f" stroked="f">
                  <v:textbox inset="0,0,0,0">
                    <w:txbxContent>
                      <w:p w14:paraId="28E455B7" w14:textId="77777777" w:rsidR="00B32EF2" w:rsidRDefault="00000000">
                        <w:r>
                          <w:rPr>
                            <w:rFonts w:ascii="Arial" w:eastAsia="Arial" w:hAnsi="Arial" w:cs="Arial"/>
                            <w:sz w:val="18"/>
                          </w:rPr>
                          <w:t xml:space="preserve">b) gli architetti; </w:t>
                        </w:r>
                      </w:p>
                    </w:txbxContent>
                  </v:textbox>
                </v:rect>
                <v:rect id="Rectangle 19844" o:spid="_x0000_s4784" style="position:absolute;left:30689;top:48866;width:92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25axAAAAN4AAAAPAAAAZHJzL2Rvd25yZXYueG1sRE9Na8JA&#10;EL0X/A/LCN7qxiIlja4iijQHL7UKHofsmESzs0t2NdFf3y0UepvH+5z5sjeNuFPra8sKJuMEBHFh&#10;dc2lgsP39jUF4QOyxsYyKXiQh+Vi8DLHTNuOv+i+D6WIIewzVFCF4DIpfVGRQT+2jjhyZ9saDBG2&#10;pdQtdjHcNPItSd6lwZpjQ4WO1hUV1/3NKDht2OXbThbn59rtLnnafN4OR6VGw341AxGoD//iP3eu&#10;4/yPdDqF33fiDXLxAwAA//8DAFBLAQItABQABgAIAAAAIQDb4fbL7gAAAIUBAAATAAAAAAAAAAAA&#10;AAAAAAAAAABbQ29udGVudF9UeXBlc10ueG1sUEsBAi0AFAAGAAgAAAAhAFr0LFu/AAAAFQEAAAsA&#10;AAAAAAAAAAAAAAAAHwEAAF9yZWxzLy5yZWxzUEsBAi0AFAAGAAgAAAAhABVXblrEAAAA3gAAAA8A&#10;AAAAAAAAAAAAAAAABwIAAGRycy9kb3ducmV2LnhtbFBLBQYAAAAAAwADALcAAAD4AgAAAAA=&#10;" filled="f" stroked="f">
                  <v:textbox inset="0,0,0,0">
                    <w:txbxContent>
                      <w:p w14:paraId="08189527" w14:textId="77777777" w:rsidR="00B32EF2" w:rsidRDefault="00000000">
                        <w:r>
                          <w:rPr>
                            <w:rFonts w:ascii="Arial" w:eastAsia="Arial" w:hAnsi="Arial" w:cs="Arial"/>
                            <w:sz w:val="18"/>
                          </w:rPr>
                          <w:t xml:space="preserve">c) i geometri; </w:t>
                        </w:r>
                      </w:p>
                    </w:txbxContent>
                  </v:textbox>
                </v:rect>
                <v:rect id="Rectangle 19845" o:spid="_x0000_s4785" style="position:absolute;left:26256;top:47633;width:136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8vBxQAAAN4AAAAPAAAAZHJzL2Rvd25yZXYueG1sRE9Na8JA&#10;EL0L/odlhN50o7Qlja4iipiDl1oLHofsmKTNzi7Z1cT+erdQ6G0e73MWq9404katry0rmE4SEMSF&#10;1TWXCk4fu3EKwgdkjY1lUnAnD6vlcLDATNuO3+l2DKWIIewzVFCF4DIpfVGRQT+xjjhyF9saDBG2&#10;pdQtdjHcNHKWJK/SYM2xoUJHm4qK7+PVKDhv2eW7ThaXn407fOVps7+ePpV6GvXrOYhAffgX/7lz&#10;Hee/pc8v8PtOvEEuHwAAAP//AwBQSwECLQAUAAYACAAAACEA2+H2y+4AAACFAQAAEwAAAAAAAAAA&#10;AAAAAAAAAAAAW0NvbnRlbnRfVHlwZXNdLnhtbFBLAQItABQABgAIAAAAIQBa9CxbvwAAABUBAAAL&#10;AAAAAAAAAAAAAAAAAB8BAABfcmVscy8ucmVsc1BLAQItABQABgAIAAAAIQB6G8vBxQAAAN4AAAAP&#10;AAAAAAAAAAAAAAAAAAcCAABkcnMvZG93bnJldi54bWxQSwUGAAAAAAMAAwC3AAAA+QIAAAAA&#10;" filled="f" stroked="f">
                  <v:textbox inset="0,0,0,0">
                    <w:txbxContent>
                      <w:p w14:paraId="5C7BF700" w14:textId="77777777" w:rsidR="00B32EF2" w:rsidRDefault="00000000">
                        <w:r>
                          <w:rPr>
                            <w:rFonts w:ascii="Arial" w:eastAsia="Arial" w:hAnsi="Arial" w:cs="Arial"/>
                            <w:sz w:val="18"/>
                          </w:rPr>
                          <w:t xml:space="preserve">d) i periti industriali; </w:t>
                        </w:r>
                      </w:p>
                    </w:txbxContent>
                  </v:textbox>
                </v:rect>
                <v:rect id="Rectangle 19846" o:spid="_x0000_s4786" style="position:absolute;left:18368;top:46400;width:2155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VW2xAAAAN4AAAAPAAAAZHJzL2Rvd25yZXYueG1sRE9Na8JA&#10;EL0X/A/LCN7qxiKSRlcRRZpDL7UKHofsmESzs0t2NdFf3y0UepvH+5zFqjeNuFPra8sKJuMEBHFh&#10;dc2lgsP37jUF4QOyxsYyKXiQh9Vy8LLATNuOv+i+D6WIIewzVFCF4DIpfVGRQT+2jjhyZ9saDBG2&#10;pdQtdjHcNPItSWbSYM2xoUJHm4qK6/5mFJy27PJdJ4vzc+M+L3nafNwOR6VGw349BxGoD//iP3eu&#10;4/z3dDqD33fiDXL5AwAA//8DAFBLAQItABQABgAIAAAAIQDb4fbL7gAAAIUBAAATAAAAAAAAAAAA&#10;AAAAAAAAAABbQ29udGVudF9UeXBlc10ueG1sUEsBAi0AFAAGAAgAAAAhAFr0LFu/AAAAFQEAAAsA&#10;AAAAAAAAAAAAAAAAHwEAAF9yZWxzLy5yZWxzUEsBAi0AFAAGAAgAAAAhAIrJVbbEAAAA3gAAAA8A&#10;AAAAAAAAAAAAAAAABwIAAGRycy9kb3ducmV2LnhtbFBLBQYAAAAAAwADALcAAAD4AgAAAAA=&#10;" filled="f" stroked="f">
                  <v:textbox inset="0,0,0,0">
                    <w:txbxContent>
                      <w:p w14:paraId="472D3AB2" w14:textId="77777777" w:rsidR="00B32EF2" w:rsidRDefault="00000000">
                        <w:r>
                          <w:rPr>
                            <w:rFonts w:ascii="Arial" w:eastAsia="Arial" w:hAnsi="Arial" w:cs="Arial"/>
                            <w:sz w:val="18"/>
                          </w:rPr>
                          <w:t xml:space="preserve">e) i dottori agronomi e forestali; </w:t>
                        </w:r>
                      </w:p>
                    </w:txbxContent>
                  </v:textbox>
                </v:rect>
                <v:rect id="Rectangle 19847" o:spid="_x0000_s4787" style="position:absolute;left:28267;top:45166;width:116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fAtxQAAAN4AAAAPAAAAZHJzL2Rvd25yZXYueG1sRE9Na8JA&#10;EL0L/odlhN50o5Q2ja4iipiDl1oLHofsmKTNzi7Z1cT+erdQ6G0e73MWq9404katry0rmE4SEMSF&#10;1TWXCk4fu3EKwgdkjY1lUnAnD6vlcLDATNuO3+l2DKWIIewzVFCF4DIpfVGRQT+xjjhyF9saDBG2&#10;pdQtdjHcNHKWJC/SYM2xoUJHm4qK7+PVKDhv2eW7ThaXn407fOVps7+ePpV6GvXrOYhAffgX/7lz&#10;Hee/pc+v8PtOvEEuHwAAAP//AwBQSwECLQAUAAYACAAAACEA2+H2y+4AAACFAQAAEwAAAAAAAAAA&#10;AAAAAAAAAAAAW0NvbnRlbnRfVHlwZXNdLnhtbFBLAQItABQABgAIAAAAIQBa9CxbvwAAABUBAAAL&#10;AAAAAAAAAAAAAAAAAB8BAABfcmVscy8ucmVsc1BLAQItABQABgAIAAAAIQDlhfAtxQAAAN4AAAAP&#10;AAAAAAAAAAAAAAAAAAcCAABkcnMvZG93bnJldi54bWxQSwUGAAAAAAMAAwC3AAAA+QIAAAAA&#10;" filled="f" stroked="f">
                  <v:textbox inset="0,0,0,0">
                    <w:txbxContent>
                      <w:p w14:paraId="6027DBE4" w14:textId="77777777" w:rsidR="00B32EF2" w:rsidRDefault="00000000">
                        <w:r>
                          <w:rPr>
                            <w:rFonts w:ascii="Arial" w:eastAsia="Arial" w:hAnsi="Arial" w:cs="Arial"/>
                            <w:sz w:val="18"/>
                          </w:rPr>
                          <w:t xml:space="preserve">f) gli agrotecnici; </w:t>
                        </w:r>
                      </w:p>
                    </w:txbxContent>
                  </v:textbox>
                </v:rect>
                <v:rect id="Rectangle 19848" o:spid="_x0000_s4788" style="position:absolute;left:28851;top:43933;width:110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mRfyAAAAN4AAAAPAAAAZHJzL2Rvd25yZXYueG1sRI9Pa8Mw&#10;DMXvg30Ho8Fuq7MxRprVLaOjLIdd+mewo4jVJFssm9ht0n766lDoTeI9vffTbDG6Th2pj61nA8+T&#10;DBRx5W3LtYHddvWUg4oJ2WLnmQycKMJifn83w8L6gdd03KRaSQjHAg00KYVC61g15DBOfCAWbe97&#10;h0nWvta2x0HCXadfsuxNO2xZGhoMtGyo+t8cnIHfTw7latDV/rwM339l3n0ddj/GPD6MH++gEo3p&#10;Zr5el1bwp/mr8Mo7MoOeXwAAAP//AwBQSwECLQAUAAYACAAAACEA2+H2y+4AAACFAQAAEwAAAAAA&#10;AAAAAAAAAAAAAAAAW0NvbnRlbnRfVHlwZXNdLnhtbFBLAQItABQABgAIAAAAIQBa9CxbvwAAABUB&#10;AAALAAAAAAAAAAAAAAAAAB8BAABfcmVscy8ucmVsc1BLAQItABQABgAIAAAAIQCUGmRfyAAAAN4A&#10;AAAPAAAAAAAAAAAAAAAAAAcCAABkcnMvZG93bnJldi54bWxQSwUGAAAAAAMAAwC3AAAA/AIAAAAA&#10;" filled="f" stroked="f">
                  <v:textbox inset="0,0,0,0">
                    <w:txbxContent>
                      <w:p w14:paraId="48F1E017" w14:textId="77777777" w:rsidR="00B32EF2" w:rsidRDefault="00000000">
                        <w:r>
                          <w:rPr>
                            <w:rFonts w:ascii="Arial" w:eastAsia="Arial" w:hAnsi="Arial" w:cs="Arial"/>
                            <w:sz w:val="18"/>
                          </w:rPr>
                          <w:t xml:space="preserve">g) i periti agrari. </w:t>
                        </w:r>
                      </w:p>
                    </w:txbxContent>
                  </v:textbox>
                </v:rect>
                <v:rect id="Rectangle 201583" o:spid="_x0000_s4789" style="position:absolute;left:26349;top:42700;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gRnyAAAAN8AAAAPAAAAZHJzL2Rvd25yZXYueG1sRI9Pa8JA&#10;FMTvgt9heYI33WixhNRVRJHm0Ev9Az0+ss8kbfbtkl1N7Kd3CwWPw8z8hlmue9OIG7W+tqxgNk1A&#10;EBdW11wqOB33kxSED8gaG8uk4E4e1qvhYImZth1/0u0QShEh7DNUUIXgMil9UZFBP7WOOHoX2xoM&#10;Ubal1C12EW4aOU+SV2mw5rhQoaNtRcXP4WoUfO3Y5ftOFpffrfv4ztPm/Xo6KzUe9Zs3EIH68Az/&#10;t3OtYJ7MFukL/P2JX0CuHgAAAP//AwBQSwECLQAUAAYACAAAACEA2+H2y+4AAACFAQAAEwAAAAAA&#10;AAAAAAAAAAAAAAAAW0NvbnRlbnRfVHlwZXNdLnhtbFBLAQItABQABgAIAAAAIQBa9CxbvwAAABUB&#10;AAALAAAAAAAAAAAAAAAAAB8BAABfcmVscy8ucmVsc1BLAQItABQABgAIAAAAIQBH2gRnyAAAAN8A&#10;AAAPAAAAAAAAAAAAAAAAAAcCAABkcnMvZG93bnJldi54bWxQSwUGAAAAAAMAAwC3AAAA/AIAAAAA&#10;" filled="f" stroked="f">
                  <v:textbox inset="0,0,0,0">
                    <w:txbxContent>
                      <w:p w14:paraId="56486C8A" w14:textId="77777777" w:rsidR="00B32EF2" w:rsidRDefault="00000000">
                        <w:r>
                          <w:rPr>
                            <w:rFonts w:ascii="Arial" w:eastAsia="Arial" w:hAnsi="Arial" w:cs="Arial"/>
                            <w:sz w:val="18"/>
                          </w:rPr>
                          <w:t>6</w:t>
                        </w:r>
                      </w:p>
                    </w:txbxContent>
                  </v:textbox>
                </v:rect>
                <v:rect id="Rectangle 201584" o:spid="_x0000_s4790" style="position:absolute;left:-12848;top:42700;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5wTyAAAAN8AAAAPAAAAZHJzL2Rvd25yZXYueG1sRI9Pa8JA&#10;FMTvgt9heYI33Si1hNRVRJHm0Ev9Az0+ss8kbfbtkl1N7Kd3CwWPw8z8hlmue9OIG7W+tqxgNk1A&#10;EBdW11wqOB33kxSED8gaG8uk4E4e1qvhYImZth1/0u0QShEh7DNUUIXgMil9UZFBP7WOOHoX2xoM&#10;Ubal1C12EW4aOU+SV2mw5rhQoaNtRcXP4WoUfO3Y5ftOFpffrfv4ztPm/Xo6KzUe9Zs3EIH68Az/&#10;t3OtYJ7MFukL/P2JX0CuHgAAAP//AwBQSwECLQAUAAYACAAAACEA2+H2y+4AAACFAQAAEwAAAAAA&#10;AAAAAAAAAAAAAAAAW0NvbnRlbnRfVHlwZXNdLnhtbFBLAQItABQABgAIAAAAIQBa9CxbvwAAABUB&#10;AAALAAAAAAAAAAAAAAAAAB8BAABfcmVscy8ucmVsc1BLAQItABQABgAIAAAAIQDIM5wTyAAAAN8A&#10;AAAPAAAAAAAAAAAAAAAAAAcCAABkcnMvZG93bnJldi54bWxQSwUGAAAAAAMAAwC3AAAA/AIAAAAA&#10;" filled="f" stroked="f">
                  <v:textbox inset="0,0,0,0">
                    <w:txbxContent>
                      <w:p w14:paraId="3AF790A6" w14:textId="77777777" w:rsidR="00B32EF2" w:rsidRDefault="00000000">
                        <w:r>
                          <w:rPr>
                            <w:rFonts w:ascii="Arial" w:eastAsia="Arial" w:hAnsi="Arial" w:cs="Arial"/>
                            <w:sz w:val="18"/>
                          </w:rPr>
                          <w:t>. Per le controversie relative ai tributi doganali sono anche abilitati all’assi</w:t>
                        </w:r>
                      </w:p>
                    </w:txbxContent>
                  </v:textbox>
                </v:rect>
                <v:rect id="Rectangle 19850" o:spid="_x0000_s4791" style="position:absolute;left:192;top:427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f6EyAAAAN4AAAAPAAAAZHJzL2Rvd25yZXYueG1sRI9Pa8Mw&#10;DMXvg30Ho8Fuq7PBRprVLaOjLIdd+mewo4jVJFssm9ht0n766lDoTUJP773fbDG6Th2pj61nA8+T&#10;DBRx5W3LtYHddvWUg4oJ2WLnmQycKMJifn83w8L6gdd03KRaiQnHAg00KYVC61g15DBOfCCW2973&#10;DpOsfa1tj4OYu06/ZNmbdtiyJDQYaNlQ9b85OAO/nxzK1aCr/XkZvv/KvPs67H6MeXwYP95BJRrT&#10;TXz9Lq3Un+avAiA4MoOeXwAAAP//AwBQSwECLQAUAAYACAAAACEA2+H2y+4AAACFAQAAEwAAAAAA&#10;AAAAAAAAAAAAAAAAW0NvbnRlbnRfVHlwZXNdLnhtbFBLAQItABQABgAIAAAAIQBa9CxbvwAAABUB&#10;AAALAAAAAAAAAAAAAAAAAB8BAABfcmVscy8ucmVsc1BLAQItABQABgAIAAAAIQDvtf6EyAAAAN4A&#10;AAAPAAAAAAAAAAAAAAAAAAcCAABkcnMvZG93bnJldi54bWxQSwUGAAAAAAMAAwC3AAAA/AIAAAAA&#10;" filled="f" stroked="f">
                  <v:textbox inset="0,0,0,0">
                    <w:txbxContent>
                      <w:p w14:paraId="141E5317" w14:textId="77777777" w:rsidR="00B32EF2" w:rsidRDefault="00000000">
                        <w:r>
                          <w:rPr>
                            <w:rFonts w:ascii="Arial" w:eastAsia="Arial" w:hAnsi="Arial" w:cs="Arial"/>
                            <w:sz w:val="18"/>
                          </w:rPr>
                          <w:t>-</w:t>
                        </w:r>
                      </w:p>
                    </w:txbxContent>
                  </v:textbox>
                </v:rect>
                <v:rect id="Rectangle 19851" o:spid="_x0000_s4792" style="position:absolute;left:-4678;top:41466;width:445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sfxAAAAN4AAAAPAAAAZHJzL2Rvd25yZXYueG1sRE9Na8JA&#10;EL0X/A/LCN7qRqElja4iijQHL7UKHofsmESzs0t2NdFf3y0UepvH+5z5sjeNuFPra8sKJuMEBHFh&#10;dc2lgsP39jUF4QOyxsYyKXiQh+Vi8DLHTNuOv+i+D6WIIewzVFCF4DIpfVGRQT+2jjhyZ9saDBG2&#10;pdQtdjHcNHKaJO/SYM2xoUJH64qK6/5mFJw27PJtJ4vzc+12lzxtPm+Ho1KjYb+agQjUh3/xnzvX&#10;cf5H+jaB33fiDXLxAwAA//8DAFBLAQItABQABgAIAAAAIQDb4fbL7gAAAIUBAAATAAAAAAAAAAAA&#10;AAAAAAAAAABbQ29udGVudF9UeXBlc10ueG1sUEsBAi0AFAAGAAgAAAAhAFr0LFu/AAAAFQEAAAsA&#10;AAAAAAAAAAAAAAAAHwEAAF9yZWxzLy5yZWxzUEsBAi0AFAAGAAgAAAAhAID5Wx/EAAAA3gAAAA8A&#10;AAAAAAAAAAAAAAAABwIAAGRycy9kb3ducmV2LnhtbFBLBQYAAAAAAwADALcAAAD4AgAAAAA=&#10;" filled="f" stroked="f">
                  <v:textbox inset="0,0,0,0">
                    <w:txbxContent>
                      <w:p w14:paraId="719B792D" w14:textId="77777777" w:rsidR="00B32EF2" w:rsidRDefault="00000000">
                        <w:r>
                          <w:rPr>
                            <w:rFonts w:ascii="Arial" w:eastAsia="Arial" w:hAnsi="Arial" w:cs="Arial"/>
                            <w:sz w:val="18"/>
                          </w:rPr>
                          <w:t xml:space="preserve">stenza tecnica gli spedizionieri doganali iscritti nell’apposito albo. </w:t>
                        </w:r>
                      </w:p>
                    </w:txbxContent>
                  </v:textbox>
                </v:rect>
                <v:rect id="Rectangle 201580" o:spid="_x0000_s4793" style="position:absolute;left:26109;top:402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JoQxQAAAN8AAAAPAAAAZHJzL2Rvd25yZXYueG1sRI/LisIw&#10;FIb3A75DOIK7MVWYoVSjiCLTxWy8gctDc2yrzUlooq3z9GYx4PLnv/HNl71pxINaX1tWMBknIIgL&#10;q2suFRwP288UhA/IGhvLpOBJHpaLwcccM2073tFjH0oRR9hnqKAKwWVS+qIig35sHXH0LrY1GKJs&#10;S6lb7OK4aeQ0Sb6lwZrjQ4WO1hUVt/3dKDhv2OXbThaXv7X7veZp83M/npQaDfvVDESgPrzD/+1c&#10;K5gmk680EkSeyAJy8QIAAP//AwBQSwECLQAUAAYACAAAACEA2+H2y+4AAACFAQAAEwAAAAAAAAAA&#10;AAAAAAAAAAAAW0NvbnRlbnRfVHlwZXNdLnhtbFBLAQItABQABgAIAAAAIQBa9CxbvwAAABUBAAAL&#10;AAAAAAAAAAAAAAAAAB8BAABfcmVscy8ucmVsc1BLAQItABQABgAIAAAAIQC3CJoQxQAAAN8AAAAP&#10;AAAAAAAAAAAAAAAAAAcCAABkcnMvZG93bnJldi54bWxQSwUGAAAAAAMAAwC3AAAA+QIAAAAA&#10;" filled="f" stroked="f">
                  <v:textbox inset="0,0,0,0">
                    <w:txbxContent>
                      <w:p w14:paraId="2275D38F" w14:textId="77777777" w:rsidR="00B32EF2" w:rsidRDefault="00000000">
                        <w:r>
                          <w:rPr>
                            <w:rFonts w:ascii="Arial" w:eastAsia="Arial" w:hAnsi="Arial" w:cs="Arial"/>
                            <w:sz w:val="18"/>
                          </w:rPr>
                          <w:t>7</w:t>
                        </w:r>
                      </w:p>
                    </w:txbxContent>
                  </v:textbox>
                </v:rect>
                <v:rect id="Rectangle 201582" o:spid="_x0000_s4794" style="position:absolute;left:-13697;top:402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H8xwAAAN8AAAAPAAAAZHJzL2Rvd25yZXYueG1sRI9Ba8JA&#10;FITvgv9heUJvujHQElJXKYqYQy9VCz0+ss8kbfbtkl1N6q93BcHjMDPfMIvVYFpxoc43lhXMZwkI&#10;4tLqhisFx8N2moHwAVlja5kU/JOH1XI8WmCubc9fdNmHSkQI+xwV1CG4XEpf1mTQz6wjjt7JdgZD&#10;lF0ldYd9hJtWpknyJg02HBdqdLSuqfzbn42Cnw27YtvL8nRdu8/fImt35+O3Ui+T4eMdRKAhPMOP&#10;dqEVpMn8NUvh/id+Abm8AQAA//8DAFBLAQItABQABgAIAAAAIQDb4fbL7gAAAIUBAAATAAAAAAAA&#10;AAAAAAAAAAAAAABbQ29udGVudF9UeXBlc10ueG1sUEsBAi0AFAAGAAgAAAAhAFr0LFu/AAAAFQEA&#10;AAsAAAAAAAAAAAAAAAAAHwEAAF9yZWxzLy5yZWxzUEsBAi0AFAAGAAgAAAAhACiWofzHAAAA3wAA&#10;AA8AAAAAAAAAAAAAAAAABwIAAGRycy9kb3ducmV2LnhtbFBLBQYAAAAAAwADALcAAAD7AgAAAAA=&#10;" filled="f" stroked="f">
                  <v:textbox inset="0,0,0,0">
                    <w:txbxContent>
                      <w:p w14:paraId="03E01F2A" w14:textId="77777777" w:rsidR="00B32EF2" w:rsidRDefault="00000000">
                        <w:r>
                          <w:rPr>
                            <w:rFonts w:ascii="Arial" w:eastAsia="Arial" w:hAnsi="Arial" w:cs="Arial"/>
                            <w:sz w:val="18"/>
                          </w:rPr>
                          <w:t xml:space="preserve">. Ai difensori di cui ai commi da 1 a 6 deve essere conferito l’incarico con atto </w:t>
                        </w:r>
                      </w:p>
                    </w:txbxContent>
                  </v:textbox>
                </v:rect>
                <v:rect id="Rectangle 19853" o:spid="_x0000_s4795" style="position:absolute;left:-13172;top:390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2DzxQAAAN4AAAAPAAAAZHJzL2Rvd25yZXYueG1sRE9Na8JA&#10;EL0L/odlhN50o6Ulja4iipiDl1oLHofsmKTNzi7Z1cT+erdQ6G0e73MWq9404katry0rmE4SEMSF&#10;1TWXCk4fu3EKwgdkjY1lUnAnD6vlcLDATNuO3+l2DKWIIewzVFCF4DIpfVGRQT+xjjhyF9saDBG2&#10;pdQtdjHcNHKWJK/SYM2xoUJHm4qK7+PVKDhv2eW7ThaXn407fOVps7+ePpV6GvXrOYhAffgX/7lz&#10;Hee/pS/P8PtOvEEuHwAAAP//AwBQSwECLQAUAAYACAAAACEA2+H2y+4AAACFAQAAEwAAAAAAAAAA&#10;AAAAAAAAAAAAW0NvbnRlbnRfVHlwZXNdLnhtbFBLAQItABQABgAIAAAAIQBa9CxbvwAAABUBAAAL&#10;AAAAAAAAAAAAAAAAAB8BAABfcmVscy8ucmVsc1BLAQItABQABgAIAAAAIQAfZ2DzxQAAAN4AAAAP&#10;AAAAAAAAAAAAAAAAAAcCAABkcnMvZG93bnJldi54bWxQSwUGAAAAAAMAAwC3AAAA+QIAAAAA&#10;" filled="f" stroked="f">
                  <v:textbox inset="0,0,0,0">
                    <w:txbxContent>
                      <w:p w14:paraId="65C6D928" w14:textId="77777777" w:rsidR="00B32EF2" w:rsidRDefault="00000000">
                        <w:r>
                          <w:rPr>
                            <w:rFonts w:ascii="Arial" w:eastAsia="Arial" w:hAnsi="Arial" w:cs="Arial"/>
                            <w:sz w:val="18"/>
                          </w:rPr>
                          <w:t xml:space="preserve">pubblico o con scrittura privata autenticata od anche in calce o a margine di </w:t>
                        </w:r>
                      </w:p>
                    </w:txbxContent>
                  </v:textbox>
                </v:rect>
                <v:rect id="Rectangle 19854" o:spid="_x0000_s4796" style="position:absolute;left:-12206;top:37767;width:5212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viHxQAAAN4AAAAPAAAAZHJzL2Rvd25yZXYueG1sRE9Na8JA&#10;EL0L/odlhN50o7Qlja4iipiDl1oLHofsmKTNzi7Z1cT+erdQ6G0e73MWq9404katry0rmE4SEMSF&#10;1TWXCk4fu3EKwgdkjY1lUnAnD6vlcLDATNuO3+l2DKWIIewzVFCF4DIpfVGRQT+xjjhyF9saDBG2&#10;pdQtdjHcNHKWJK/SYM2xoUJHm4qK7+PVKDhv2eW7ThaXn407fOVps7+ePpV6GvXrOYhAffgX/7lz&#10;Hee/pS/P8PtOvEEuHwAAAP//AwBQSwECLQAUAAYACAAAACEA2+H2y+4AAACFAQAAEwAAAAAAAAAA&#10;AAAAAAAAAAAAW0NvbnRlbnRfVHlwZXNdLnhtbFBLAQItABQABgAIAAAAIQBa9CxbvwAAABUBAAAL&#10;AAAAAAAAAAAAAAAAAB8BAABfcmVscy8ucmVsc1BLAQItABQABgAIAAAAIQCQjviHxQAAAN4AAAAP&#10;AAAAAAAAAAAAAAAAAAcCAABkcnMvZG93bnJldi54bWxQSwUGAAAAAAMAAwC3AAAA+QIAAAAA&#10;" filled="f" stroked="f">
                  <v:textbox inset="0,0,0,0">
                    <w:txbxContent>
                      <w:p w14:paraId="5E21C71C" w14:textId="77777777" w:rsidR="00B32EF2" w:rsidRDefault="00000000">
                        <w:r>
                          <w:rPr>
                            <w:rFonts w:ascii="Arial" w:eastAsia="Arial" w:hAnsi="Arial" w:cs="Arial"/>
                            <w:sz w:val="18"/>
                          </w:rPr>
                          <w:t>un atto del processo, nel qual caso la sottoscrizione autografa è certificata dal</w:t>
                        </w:r>
                      </w:p>
                    </w:txbxContent>
                  </v:textbox>
                </v:rect>
                <v:rect id="Rectangle 19855" o:spid="_x0000_s4797" style="position:absolute;left:192;top:37767;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0cxAAAAN4AAAAPAAAAZHJzL2Rvd25yZXYueG1sRE9Na8JA&#10;EL0X/A/LCN7qxoIlja4iijQHL7UKHofsmESzs0t2NdFf3y0UepvH+5z5sjeNuFPra8sKJuMEBHFh&#10;dc2lgsP39jUF4QOyxsYyKXiQh+Vi8DLHTNuOv+i+D6WIIewzVFCF4DIpfVGRQT+2jjhyZ9saDBG2&#10;pdQtdjHcNPItSd6lwZpjQ4WO1hUV1/3NKDht2OXbThbn59rtLnnafN4OR6VGw341AxGoD//iP3eu&#10;4/yPdDqF33fiDXLxAwAA//8DAFBLAQItABQABgAIAAAAIQDb4fbL7gAAAIUBAAATAAAAAAAAAAAA&#10;AAAAAAAAAABbQ29udGVudF9UeXBlc10ueG1sUEsBAi0AFAAGAAgAAAAhAFr0LFu/AAAAFQEAAAsA&#10;AAAAAAAAAAAAAAAAHwEAAF9yZWxzLy5yZWxzUEsBAi0AFAAGAAgAAAAhAP/CXRzEAAAA3gAAAA8A&#10;AAAAAAAAAAAAAAAABwIAAGRycy9kb3ducmV2LnhtbFBLBQYAAAAAAwADALcAAAD4AgAAAAA=&#10;" filled="f" stroked="f">
                  <v:textbox inset="0,0,0,0">
                    <w:txbxContent>
                      <w:p w14:paraId="4B7688BE" w14:textId="77777777" w:rsidR="00B32EF2" w:rsidRDefault="00000000">
                        <w:r>
                          <w:rPr>
                            <w:rFonts w:ascii="Arial" w:eastAsia="Arial" w:hAnsi="Arial" w:cs="Arial"/>
                            <w:sz w:val="18"/>
                          </w:rPr>
                          <w:t>-</w:t>
                        </w:r>
                      </w:p>
                    </w:txbxContent>
                  </v:textbox>
                </v:rect>
                <v:rect id="Rectangle 19856" o:spid="_x0000_s4798" style="position:absolute;left:-13172;top:365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MNrxAAAAN4AAAAPAAAAZHJzL2Rvd25yZXYueG1sRE9Na8JA&#10;EL0X/A/LCN7qxoKSRlcRRZpDL7UKHofsmESzs0t2NdFf3y0UepvH+5zFqjeNuFPra8sKJuMEBHFh&#10;dc2lgsP37jUF4QOyxsYyKXiQh9Vy8LLATNuOv+i+D6WIIewzVFCF4DIpfVGRQT+2jjhyZ9saDBG2&#10;pdQtdjHcNPItSWbSYM2xoUJHm4qK6/5mFJy27PJdJ4vzc+M+L3nafNwOR6VGw349BxGoD//iP3eu&#10;4/z3dDqD33fiDXL5AwAA//8DAFBLAQItABQABgAIAAAAIQDb4fbL7gAAAIUBAAATAAAAAAAAAAAA&#10;AAAAAAAAAABbQ29udGVudF9UeXBlc10ueG1sUEsBAi0AFAAGAAgAAAAhAFr0LFu/AAAAFQEAAAsA&#10;AAAAAAAAAAAAAAAAHwEAAF9yZWxzLy5yZWxzUEsBAi0AFAAGAAgAAAAhAA8Qw2vEAAAA3gAAAA8A&#10;AAAAAAAAAAAAAAAABwIAAGRycy9kb3ducmV2LnhtbFBLBQYAAAAAAwADALcAAAD4AgAAAAA=&#10;" filled="f" stroked="f">
                  <v:textbox inset="0,0,0,0">
                    <w:txbxContent>
                      <w:p w14:paraId="55120AC0" w14:textId="77777777" w:rsidR="00B32EF2" w:rsidRDefault="00000000">
                        <w:r>
                          <w:rPr>
                            <w:rFonts w:ascii="Arial" w:eastAsia="Arial" w:hAnsi="Arial" w:cs="Arial"/>
                            <w:sz w:val="18"/>
                          </w:rPr>
                          <w:t xml:space="preserve">lo stesso incaricato salvo che il conferente apponga la propria firma digitale. </w:t>
                        </w:r>
                      </w:p>
                    </w:txbxContent>
                  </v:textbox>
                </v:rect>
                <v:rect id="Rectangle 19857" o:spid="_x0000_s4799" style="position:absolute;left:-13172;top:353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GbwxQAAAN4AAAAPAAAAZHJzL2Rvd25yZXYueG1sRE9Na8JA&#10;EL0L/odlhN50o9A2ja4iipiDl1oLHofsmKTNzi7Z1cT+erdQ6G0e73MWq9404katry0rmE4SEMSF&#10;1TWXCk4fu3EKwgdkjY1lUnAnD6vlcLDATNuO3+l2DKWIIewzVFCF4DIpfVGRQT+xjjhyF9saDBG2&#10;pdQtdjHcNHKWJC/SYM2xoUJHm4qK7+PVKDhv2eW7ThaXn407fOVps7+ePpV6GvXrOYhAffgX/7lz&#10;Hee/pc+v8PtOvEEuHwAAAP//AwBQSwECLQAUAAYACAAAACEA2+H2y+4AAACFAQAAEwAAAAAAAAAA&#10;AAAAAAAAAAAAW0NvbnRlbnRfVHlwZXNdLnhtbFBLAQItABQABgAIAAAAIQBa9CxbvwAAABUBAAAL&#10;AAAAAAAAAAAAAAAAAB8BAABfcmVscy8ucmVsc1BLAQItABQABgAIAAAAIQBgXGbwxQAAAN4AAAAP&#10;AAAAAAAAAAAAAAAAAAcCAABkcnMvZG93bnJldi54bWxQSwUGAAAAAAMAAwC3AAAA+QIAAAAA&#10;" filled="f" stroked="f">
                  <v:textbox inset="0,0,0,0">
                    <w:txbxContent>
                      <w:p w14:paraId="3B173C21" w14:textId="77777777" w:rsidR="00B32EF2" w:rsidRDefault="00000000">
                        <w:r>
                          <w:rPr>
                            <w:rFonts w:ascii="Arial" w:eastAsia="Arial" w:hAnsi="Arial" w:cs="Arial"/>
                            <w:sz w:val="18"/>
                          </w:rPr>
                          <w:t xml:space="preserve">All’udienza pubblica l’incarico può essere conferito oralmente e se ne dà atto </w:t>
                        </w:r>
                      </w:p>
                    </w:txbxContent>
                  </v:textbox>
                </v:rect>
                <v:rect id="Rectangle 19858" o:spid="_x0000_s4800" style="position:absolute;left:-13172;top:340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KCyAAAAN4AAAAPAAAAZHJzL2Rvd25yZXYueG1sRI9Pa8Mw&#10;DMXvg30Ho8Fuq7PBRprVLaOjLIdd+mewo4jVJFssm9ht0n766lDoTeI9vffTbDG6Th2pj61nA8+T&#10;DBRx5W3LtYHddvWUg4oJ2WLnmQycKMJifn83w8L6gdd03KRaSQjHAg00KYVC61g15DBOfCAWbe97&#10;h0nWvta2x0HCXadfsuxNO2xZGhoMtGyo+t8cnIHfTw7latDV/rwM339l3n0ddj/GPD6MH++gEo3p&#10;Zr5el1bwp/mr8Mo7MoOeXwAAAP//AwBQSwECLQAUAAYACAAAACEA2+H2y+4AAACFAQAAEwAAAAAA&#10;AAAAAAAAAAAAAAAAW0NvbnRlbnRfVHlwZXNdLnhtbFBLAQItABQABgAIAAAAIQBa9CxbvwAAABUB&#10;AAALAAAAAAAAAAAAAAAAAB8BAABfcmVscy8ucmVsc1BLAQItABQABgAIAAAAIQARw/KCyAAAAN4A&#10;AAAPAAAAAAAAAAAAAAAAAAcCAABkcnMvZG93bnJldi54bWxQSwUGAAAAAAMAAwC3AAAA/AIAAAAA&#10;" filled="f" stroked="f">
                  <v:textbox inset="0,0,0,0">
                    <w:txbxContent>
                      <w:p w14:paraId="649779F6" w14:textId="77777777" w:rsidR="00B32EF2" w:rsidRDefault="00000000">
                        <w:r>
                          <w:rPr>
                            <w:rFonts w:ascii="Arial" w:eastAsia="Arial" w:hAnsi="Arial" w:cs="Arial"/>
                            <w:sz w:val="18"/>
                          </w:rPr>
                          <w:t xml:space="preserve">a verbale. Il difensore, quando la procura è conferita su supporto cartaceo, </w:t>
                        </w:r>
                      </w:p>
                    </w:txbxContent>
                  </v:textbox>
                </v:rect>
                <v:rect id="Rectangle 19859" o:spid="_x0000_s4801" style="position:absolute;left:-13172;top:328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cZxQAAAN4AAAAPAAAAZHJzL2Rvd25yZXYueG1sRE9La8JA&#10;EL4X+h+WEbzVjYISU1cpFjEHLz4KPQ7ZMUmbnV2yq4n+erdQ8DYf33MWq9404kqtry0rGI8SEMSF&#10;1TWXCk7HzVsKwgdkjY1lUnAjD6vl68sCM2073tP1EEoRQ9hnqKAKwWVS+qIig35kHXHkzrY1GCJs&#10;S6lb7GK4aeQkSWbSYM2xoUJH64qK38PFKPj+ZJdvOlmc72u3+8nTZns5fSk1HPQf7yAC9eEp/nfn&#10;Os6fp9M5/L0Tb5DLBwAAAP//AwBQSwECLQAUAAYACAAAACEA2+H2y+4AAACFAQAAEwAAAAAAAAAA&#10;AAAAAAAAAAAAW0NvbnRlbnRfVHlwZXNdLnhtbFBLAQItABQABgAIAAAAIQBa9CxbvwAAABUBAAAL&#10;AAAAAAAAAAAAAAAAAB8BAABfcmVscy8ucmVsc1BLAQItABQABgAIAAAAIQB+j1cZxQAAAN4AAAAP&#10;AAAAAAAAAAAAAAAAAAcCAABkcnMvZG93bnJldi54bWxQSwUGAAAAAAMAAwC3AAAA+QIAAAAA&#10;" filled="f" stroked="f">
                  <v:textbox inset="0,0,0,0">
                    <w:txbxContent>
                      <w:p w14:paraId="7887C5C3" w14:textId="77777777" w:rsidR="00B32EF2" w:rsidRDefault="00000000">
                        <w:r>
                          <w:rPr>
                            <w:rFonts w:ascii="Arial" w:eastAsia="Arial" w:hAnsi="Arial" w:cs="Arial"/>
                            <w:sz w:val="18"/>
                          </w:rPr>
                          <w:t xml:space="preserve">ne deposita telematicamente la copia per immagine su supporto informatico, </w:t>
                        </w:r>
                      </w:p>
                    </w:txbxContent>
                  </v:textbox>
                </v:rect>
                <v:rect id="Rectangle 19860" o:spid="_x0000_s4802" style="position:absolute;left:-12191;top:31600;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TQ5yAAAAN4AAAAPAAAAZHJzL2Rvd25yZXYueG1sRI9Pb8Iw&#10;DMXvk/YdIk/abaTbAZWOgCYmtB648GfSjlZj2m6NEzWBdnx6fEDiZsvP773ffDm6Tp2pj61nA6+T&#10;DBRx5W3LtYHDfv2Sg4oJ2WLnmQz8U4Tl4vFhjoX1A2/pvEu1EhOOBRpoUgqF1rFqyGGc+EAst6Pv&#10;HSZZ+1rbHgcxd51+y7KpdtiyJDQYaNVQ9bc7OQM/nxzK9aCr42UVNr9l3n2dDt/GPD+NH++gEo3p&#10;Lr59l1bqz/KpAAiOzKAXVwAAAP//AwBQSwECLQAUAAYACAAAACEA2+H2y+4AAACFAQAAEwAAAAAA&#10;AAAAAAAAAAAAAAAAW0NvbnRlbnRfVHlwZXNdLnhtbFBLAQItABQABgAIAAAAIQBa9CxbvwAAABUB&#10;AAALAAAAAAAAAAAAAAAAAB8BAABfcmVscy8ucmVsc1BLAQItABQABgAIAAAAIQAh2TQ5yAAAAN4A&#10;AAAPAAAAAAAAAAAAAAAAAAcCAABkcnMvZG93bnJldi54bWxQSwUGAAAAAAMAAwC3AAAA/AIAAAAA&#10;" filled="f" stroked="f">
                  <v:textbox inset="0,0,0,0">
                    <w:txbxContent>
                      <w:p w14:paraId="15117A56" w14:textId="77777777" w:rsidR="00B32EF2" w:rsidRDefault="00000000">
                        <w:r>
                          <w:rPr>
                            <w:rFonts w:ascii="Arial" w:eastAsia="Arial" w:hAnsi="Arial" w:cs="Arial"/>
                            <w:sz w:val="18"/>
                          </w:rPr>
                          <w:t>attestandone la conformità ai sensi dell’articolo 22, comma 2, del decreto le</w:t>
                        </w:r>
                      </w:p>
                    </w:txbxContent>
                  </v:textbox>
                </v:rect>
                <v:rect id="Rectangle 19861" o:spid="_x0000_s4803" style="position:absolute;left:192;top:316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ZGixAAAAN4AAAAPAAAAZHJzL2Rvd25yZXYueG1sRE9Ni8Iw&#10;EL0v+B/CCN7WVA/SrUYRRezBy7oKHodmbKvNJDTR1v31m4WFvc3jfc5i1ZtGPKn1tWUFk3ECgriw&#10;uuZSwelr956C8AFZY2OZFLzIw2o5eFtgpm3Hn/Q8hlLEEPYZKqhCcJmUvqjIoB9bRxy5q20Nhgjb&#10;UuoWuxhuGjlNkpk0WHNsqNDRpqLifnwYBZctu3zXyeL6vXGHW542+8fprNRo2K/nIAL14V/85851&#10;nP+Rzibw+068QS5/AAAA//8DAFBLAQItABQABgAIAAAAIQDb4fbL7gAAAIUBAAATAAAAAAAAAAAA&#10;AAAAAAAAAABbQ29udGVudF9UeXBlc10ueG1sUEsBAi0AFAAGAAgAAAAhAFr0LFu/AAAAFQEAAAsA&#10;AAAAAAAAAAAAAAAAHwEAAF9yZWxzLy5yZWxzUEsBAi0AFAAGAAgAAAAhAE6VkaLEAAAA3gAAAA8A&#10;AAAAAAAAAAAAAAAABwIAAGRycy9kb3ducmV2LnhtbFBLBQYAAAAAAwADALcAAAD4AgAAAAA=&#10;" filled="f" stroked="f">
                  <v:textbox inset="0,0,0,0">
                    <w:txbxContent>
                      <w:p w14:paraId="38E43C9C" w14:textId="77777777" w:rsidR="00B32EF2" w:rsidRDefault="00000000">
                        <w:r>
                          <w:rPr>
                            <w:rFonts w:ascii="Arial" w:eastAsia="Arial" w:hAnsi="Arial" w:cs="Arial"/>
                            <w:sz w:val="18"/>
                          </w:rPr>
                          <w:t>-</w:t>
                        </w:r>
                      </w:p>
                    </w:txbxContent>
                  </v:textbox>
                </v:rect>
                <v:rect id="Rectangle 19862" o:spid="_x0000_s4804" style="position:absolute;left:-11549;top:30367;width:514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VxAAAAN4AAAAPAAAAZHJzL2Rvd25yZXYueG1sRE9Na8JA&#10;EL0L/odlCt50Uw+Spq4iipiDl9oUehyyY5KanV2yq4n+erdQ6G0e73OW68G04kadbywreJ0lIIhL&#10;qxuuFBSf+2kKwgdkja1lUnAnD+vVeLTETNueP+h2CpWIIewzVFCH4DIpfVmTQT+zjjhyZ9sZDBF2&#10;ldQd9jHctHKeJAtpsOHYUKOjbU3l5XQ1Cr537PJ9L8vzY+uOP3naHq7Fl1KTl2HzDiLQEP7Ff+5c&#10;x/lv6WIOv+/EG+TqCQAA//8DAFBLAQItABQABgAIAAAAIQDb4fbL7gAAAIUBAAATAAAAAAAAAAAA&#10;AAAAAAAAAABbQ29udGVudF9UeXBlc10ueG1sUEsBAi0AFAAGAAgAAAAhAFr0LFu/AAAAFQEAAAsA&#10;AAAAAAAAAAAAAAAAHwEAAF9yZWxzLy5yZWxzUEsBAi0AFAAGAAgAAAAhAL5HD9XEAAAA3gAAAA8A&#10;AAAAAAAAAAAAAAAABwIAAGRycy9kb3ducmV2LnhtbFBLBQYAAAAAAwADALcAAAD4AgAAAAA=&#10;" filled="f" stroked="f">
                  <v:textbox inset="0,0,0,0">
                    <w:txbxContent>
                      <w:p w14:paraId="461A1022" w14:textId="77777777" w:rsidR="00B32EF2" w:rsidRDefault="00000000">
                        <w:r>
                          <w:rPr>
                            <w:rFonts w:ascii="Arial" w:eastAsia="Arial" w:hAnsi="Arial" w:cs="Arial"/>
                            <w:sz w:val="18"/>
                          </w:rPr>
                          <w:t xml:space="preserve">gislativo 7 marzo 2005, n. 82, con l’inserimento della relativa dichiarazione. </w:t>
                        </w:r>
                      </w:p>
                    </w:txbxContent>
                  </v:textbox>
                </v:rect>
                <v:rect id="Rectangle 201578" o:spid="_x0000_s4805" style="position:absolute;left:26349;top:29133;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YxxQAAAN8AAAAPAAAAZHJzL2Rvd25yZXYueG1sRE/JasMw&#10;EL0X8g9iArnVcgJtg2s5hIRQH3ppFuhxsMZLa42EpcROv746FHp8vD3fTKYXNxp8Z1nBMklBEFdW&#10;d9woOJ8Oj2sQPiBr7C2Tgjt52BSzhxwzbUf+oNsxNCKGsM9QQRuCy6T0VUsGfWIdceRqOxgMEQ6N&#10;1AOOMdz0cpWmz9Jgx7GhRUe7lqrv49Uo+NyzKw+jrOqfnXv/Ktf92/V8UWoxn7avIAJN4V/85y61&#10;glW6fHqJg+Of+AVk8QsAAP//AwBQSwECLQAUAAYACAAAACEA2+H2y+4AAACFAQAAEwAAAAAAAAAA&#10;AAAAAAAAAAAAW0NvbnRlbnRfVHlwZXNdLnhtbFBLAQItABQABgAIAAAAIQBa9CxbvwAAABUBAAAL&#10;AAAAAAAAAAAAAAAAAB8BAABfcmVscy8ucmVsc1BLAQItABQABgAIAAAAIQB8q+YxxQAAAN8AAAAP&#10;AAAAAAAAAAAAAAAAAAcCAABkcnMvZG93bnJldi54bWxQSwUGAAAAAAMAAwC3AAAA+QIAAAAA&#10;" filled="f" stroked="f">
                  <v:textbox inset="0,0,0,0">
                    <w:txbxContent>
                      <w:p w14:paraId="54C2ACD7" w14:textId="77777777" w:rsidR="00B32EF2" w:rsidRDefault="00000000">
                        <w:r>
                          <w:rPr>
                            <w:rFonts w:ascii="Arial" w:eastAsia="Arial" w:hAnsi="Arial" w:cs="Arial"/>
                            <w:sz w:val="18"/>
                          </w:rPr>
                          <w:t>8</w:t>
                        </w:r>
                      </w:p>
                    </w:txbxContent>
                  </v:textbox>
                </v:rect>
                <v:rect id="Rectangle 201579" o:spid="_x0000_s4806" style="position:absolute;left:-12854;top:29133;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0OqyAAAAN8AAAAPAAAAZHJzL2Rvd25yZXYueG1sRI9Pa8JA&#10;FMTvgt9heUJvulGo2tRVikXMoRf/FHp8ZJ9J2uzbJbua6KfvCoLHYWZ+wyxWnanFhRpfWVYwHiUg&#10;iHOrKy4UHA+b4RyED8gaa8uk4EoeVst+b4Gpti3v6LIPhYgQ9ikqKENwqZQ+L8mgH1lHHL2TbQyG&#10;KJtC6gbbCDe1nCTJVBqsOC6U6GhdUv63PxsFP5/ssk0r89Nt7b5+s3m9PR+/lXoZdB/vIAJ14Rl+&#10;tDOtYJKMX2dvcP8Tv4Bc/gMAAP//AwBQSwECLQAUAAYACAAAACEA2+H2y+4AAACFAQAAEwAAAAAA&#10;AAAAAAAAAAAAAAAAW0NvbnRlbnRfVHlwZXNdLnhtbFBLAQItABQABgAIAAAAIQBa9CxbvwAAABUB&#10;AAALAAAAAAAAAAAAAAAAAB8BAABfcmVscy8ucmVsc1BLAQItABQABgAIAAAAIQAT50OqyAAAAN8A&#10;AAAPAAAAAAAAAAAAAAAAAAcCAABkcnMvZG93bnJldi54bWxQSwUGAAAAAAMAAwC3AAAA/AIAAAAA&#10;" filled="f" stroked="f">
                  <v:textbox inset="0,0,0,0">
                    <w:txbxContent>
                      <w:p w14:paraId="460501E9" w14:textId="77777777" w:rsidR="00B32EF2" w:rsidRDefault="00000000">
                        <w:r>
                          <w:rPr>
                            <w:rFonts w:ascii="Arial" w:eastAsia="Arial" w:hAnsi="Arial" w:cs="Arial"/>
                            <w:sz w:val="18"/>
                          </w:rPr>
                          <w:t>. La procura alle liti si considera apposta in calce all’atto cui si riferisce quan</w:t>
                        </w:r>
                      </w:p>
                    </w:txbxContent>
                  </v:textbox>
                </v:rect>
                <v:rect id="Rectangle 19864" o:spid="_x0000_s4807" style="position:absolute;left:192;top:291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jI6xAAAAN4AAAAPAAAAZHJzL2Rvd25yZXYueG1sRE9Na8JA&#10;EL0X/A/LCN7qxiKSRlcRRZpDL7UKHofsmESzs0t2NdFf3y0UepvH+5zFqjeNuFPra8sKJuMEBHFh&#10;dc2lgsP37jUF4QOyxsYyKXiQh9Vy8LLATNuOv+i+D6WIIewzVFCF4DIpfVGRQT+2jjhyZ9saDBG2&#10;pdQtdjHcNPItSWbSYM2xoUJHm4qK6/5mFJy27PJdJ4vzc+M+L3nafNwOR6VGw349BxGoD//iP3eu&#10;4/z3dDaF33fiDXL5AwAA//8DAFBLAQItABQABgAIAAAAIQDb4fbL7gAAAIUBAAATAAAAAAAAAAAA&#10;AAAAAAAAAABbQ29udGVudF9UeXBlc10ueG1sUEsBAi0AFAAGAAgAAAAhAFr0LFu/AAAAFQEAAAsA&#10;AAAAAAAAAAAAAAAAHwEAAF9yZWxzLy5yZWxzUEsBAi0AFAAGAAgAAAAhAF7iMjrEAAAA3gAAAA8A&#10;AAAAAAAAAAAAAAAABwIAAGRycy9kb3ducmV2LnhtbFBLBQYAAAAAAwADALcAAAD4AgAAAAA=&#10;" filled="f" stroked="f">
                  <v:textbox inset="0,0,0,0">
                    <w:txbxContent>
                      <w:p w14:paraId="7FE2C532" w14:textId="77777777" w:rsidR="00B32EF2" w:rsidRDefault="00000000">
                        <w:r>
                          <w:rPr>
                            <w:rFonts w:ascii="Arial" w:eastAsia="Arial" w:hAnsi="Arial" w:cs="Arial"/>
                            <w:sz w:val="18"/>
                          </w:rPr>
                          <w:t>-</w:t>
                        </w:r>
                      </w:p>
                    </w:txbxContent>
                  </v:textbox>
                </v:rect>
                <v:rect id="Rectangle 19865" o:spid="_x0000_s4808" style="position:absolute;left:-12209;top:27900;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pehxAAAAN4AAAAPAAAAZHJzL2Rvd25yZXYueG1sRE9Na8JA&#10;EL0X/A/LCN7qxoKSRlcRRZpDL7UKHofsmESzs0t2NdFf3y0UepvH+5zFqjeNuFPra8sKJuMEBHFh&#10;dc2lgsP37jUF4QOyxsYyKXiQh9Vy8LLATNuOv+i+D6WIIewzVFCF4DIpfVGRQT+2jjhyZ9saDBG2&#10;pdQtdjHcNPItSWbSYM2xoUJHm4qK6/5mFJy27PJdJ4vzc+M+L3nafNwOR6VGw349BxGoD//iP3eu&#10;4/z3dDaF33fiDXL5AwAA//8DAFBLAQItABQABgAIAAAAIQDb4fbL7gAAAIUBAAATAAAAAAAAAAAA&#10;AAAAAAAAAABbQ29udGVudF9UeXBlc10ueG1sUEsBAi0AFAAGAAgAAAAhAFr0LFu/AAAAFQEAAAsA&#10;AAAAAAAAAAAAAAAAHwEAAF9yZWxzLy5yZWxzUEsBAi0AFAAGAAgAAAAhADGul6HEAAAA3gAAAA8A&#10;AAAAAAAAAAAAAAAABwIAAGRycy9kb3ducmV2LnhtbFBLBQYAAAAAAwADALcAAAD4AgAAAAA=&#10;" filled="f" stroked="f">
                  <v:textbox inset="0,0,0,0">
                    <w:txbxContent>
                      <w:p w14:paraId="49A7B2F3" w14:textId="77777777" w:rsidR="00B32EF2" w:rsidRDefault="00000000">
                        <w:r>
                          <w:rPr>
                            <w:rFonts w:ascii="Arial" w:eastAsia="Arial" w:hAnsi="Arial" w:cs="Arial"/>
                            <w:sz w:val="18"/>
                          </w:rPr>
                          <w:t>do è rilasciata su un separato documento informatico depositato telematica</w:t>
                        </w:r>
                      </w:p>
                    </w:txbxContent>
                  </v:textbox>
                </v:rect>
                <v:rect id="Rectangle 19866" o:spid="_x0000_s4809" style="position:absolute;left:192;top:279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AnWxAAAAN4AAAAPAAAAZHJzL2Rvd25yZXYueG1sRE9Na8JA&#10;EL0L/odlBG+6qYeQpq5SFDGHXrQKPQ7ZMUmbnV2yq0n99a5Q6G0e73OW68G04kadbywreJknIIhL&#10;qxuuFJw+d7MMhA/IGlvLpOCXPKxX49ESc217PtDtGCoRQ9jnqKAOweVS+rImg35uHXHkLrYzGCLs&#10;Kqk77GO4aeUiSVJpsOHYUKOjTU3lz/FqFHxt2RW7XpaX+8Z9fBdZu7+ezkpNJ8P7G4hAQ/gX/7kL&#10;Hee/ZmkKz3fiDXL1AAAA//8DAFBLAQItABQABgAIAAAAIQDb4fbL7gAAAIUBAAATAAAAAAAAAAAA&#10;AAAAAAAAAABbQ29udGVudF9UeXBlc10ueG1sUEsBAi0AFAAGAAgAAAAhAFr0LFu/AAAAFQEAAAsA&#10;AAAAAAAAAAAAAAAAHwEAAF9yZWxzLy5yZWxzUEsBAi0AFAAGAAgAAAAhAMF8CdbEAAAA3gAAAA8A&#10;AAAAAAAAAAAAAAAABwIAAGRycy9kb3ducmV2LnhtbFBLBQYAAAAAAwADALcAAAD4AgAAAAA=&#10;" filled="f" stroked="f">
                  <v:textbox inset="0,0,0,0">
                    <w:txbxContent>
                      <w:p w14:paraId="3E011C9D" w14:textId="77777777" w:rsidR="00B32EF2" w:rsidRDefault="00000000">
                        <w:r>
                          <w:rPr>
                            <w:rFonts w:ascii="Arial" w:eastAsia="Arial" w:hAnsi="Arial" w:cs="Arial"/>
                            <w:sz w:val="18"/>
                          </w:rPr>
                          <w:t>-</w:t>
                        </w:r>
                      </w:p>
                    </w:txbxContent>
                  </v:textbox>
                </v:rect>
                <v:rect id="Rectangle 19867" o:spid="_x0000_s4810" style="position:absolute;left:-13172;top:266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KxNxAAAAN4AAAAPAAAAZHJzL2Rvd25yZXYueG1sRE9Na8JA&#10;EL0X/A/LCN7qxh5sGl1FFGkOXmoVPA7ZMYlmZ5fsaqK/vlso9DaP9znzZW8acafW15YVTMYJCOLC&#10;6ppLBYfv7WsKwgdkjY1lUvAgD8vF4GWOmbYdf9F9H0oRQ9hnqKAKwWVS+qIig35sHXHkzrY1GCJs&#10;S6lb7GK4aeRbkkylwZpjQ4WO1hUV1/3NKDht2OXbThbn59rtLnnafN4OR6VGw341AxGoD//iP3eu&#10;4/yPdPoOv+/EG+TiBwAA//8DAFBLAQItABQABgAIAAAAIQDb4fbL7gAAAIUBAAATAAAAAAAAAAAA&#10;AAAAAAAAAABbQ29udGVudF9UeXBlc10ueG1sUEsBAi0AFAAGAAgAAAAhAFr0LFu/AAAAFQEAAAsA&#10;AAAAAAAAAAAAAAAAHwEAAF9yZWxzLy5yZWxzUEsBAi0AFAAGAAgAAAAhAK4wrE3EAAAA3gAAAA8A&#10;AAAAAAAAAAAAAAAABwIAAGRycy9kb3ducmV2LnhtbFBLBQYAAAAAAwADALcAAAD4AgAAAAA=&#10;" filled="f" stroked="f">
                  <v:textbox inset="0,0,0,0">
                    <w:txbxContent>
                      <w:p w14:paraId="408F71CD" w14:textId="77777777" w:rsidR="00B32EF2" w:rsidRDefault="00000000">
                        <w:r>
                          <w:rPr>
                            <w:rFonts w:ascii="Arial" w:eastAsia="Arial" w:hAnsi="Arial" w:cs="Arial"/>
                            <w:sz w:val="18"/>
                          </w:rPr>
                          <w:t xml:space="preserve">mente insieme all’atto cui la stessa si riferisce ovvero quando è rilasciata su </w:t>
                        </w:r>
                      </w:p>
                    </w:txbxContent>
                  </v:textbox>
                </v:rect>
                <v:rect id="Rectangle 19868" o:spid="_x0000_s4811" style="position:absolute;left:-13172;top:25434;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zg/yAAAAN4AAAAPAAAAZHJzL2Rvd25yZXYueG1sRI9Pb8Iw&#10;DMXvk/YdIk/abaTbAZWOgCYmtB648GfSjlZj2m6NEzWBdnx6fEDiZus9v/fzfDm6Tp2pj61nA6+T&#10;DBRx5W3LtYHDfv2Sg4oJ2WLnmQz8U4Tl4vFhjoX1A2/pvEu1khCOBRpoUgqF1rFqyGGc+EAs2tH3&#10;DpOsfa1tj4OEu06/ZdlUO2xZGhoMtGqo+tudnIGfTw7letDV8bIKm98y775Oh29jnp/Gj3dQicZ0&#10;N9+uSyv4s3wqvPKOzKAXVwAAAP//AwBQSwECLQAUAAYACAAAACEA2+H2y+4AAACFAQAAEwAAAAAA&#10;AAAAAAAAAAAAAAAAW0NvbnRlbnRfVHlwZXNdLnhtbFBLAQItABQABgAIAAAAIQBa9CxbvwAAABUB&#10;AAALAAAAAAAAAAAAAAAAAB8BAABfcmVscy8ucmVsc1BLAQItABQABgAIAAAAIQDfrzg/yAAAAN4A&#10;AAAPAAAAAAAAAAAAAAAAAAcCAABkcnMvZG93bnJldi54bWxQSwUGAAAAAAMAAwC3AAAA/AIAAAAA&#10;" filled="f" stroked="f">
                  <v:textbox inset="0,0,0,0">
                    <w:txbxContent>
                      <w:p w14:paraId="55248E93" w14:textId="77777777" w:rsidR="00B32EF2" w:rsidRDefault="00000000">
                        <w:r>
                          <w:rPr>
                            <w:rFonts w:ascii="Arial" w:eastAsia="Arial" w:hAnsi="Arial" w:cs="Arial"/>
                            <w:sz w:val="18"/>
                          </w:rPr>
                          <w:t xml:space="preserve">foglio separato del quale è effettuata copia informatica, anche per immagine, </w:t>
                        </w:r>
                      </w:p>
                    </w:txbxContent>
                  </v:textbox>
                </v:rect>
                <v:rect id="Rectangle 19869" o:spid="_x0000_s4812" style="position:absolute;left:-6179;top:24200;width:460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52kxAAAAN4AAAAPAAAAZHJzL2Rvd25yZXYueG1sRE9Na8JA&#10;EL0X/A/LFLzVTXuQmLqKKNIcvFQjeByyY5KanV2yq4n++m6h4G0e73Pmy8G04kadbywreJ8kIIhL&#10;qxuuFBSH7VsKwgdkja1lUnAnD8vF6GWOmbY9f9NtHyoRQ9hnqKAOwWVS+rImg35iHXHkzrYzGCLs&#10;Kqk77GO4aeVHkkylwYZjQ42O1jWVl/3VKDht2OXbXpbnx9rtfvK0/boWR6XGr8PqE0SgITzF/+5c&#10;x/mzdDqDv3fiDXLxCwAA//8DAFBLAQItABQABgAIAAAAIQDb4fbL7gAAAIUBAAATAAAAAAAAAAAA&#10;AAAAAAAAAABbQ29udGVudF9UeXBlc10ueG1sUEsBAi0AFAAGAAgAAAAhAFr0LFu/AAAAFQEAAAsA&#10;AAAAAAAAAAAAAAAAHwEAAF9yZWxzLy5yZWxzUEsBAi0AFAAGAAgAAAAhALDjnaTEAAAA3gAAAA8A&#10;AAAAAAAAAAAAAAAABwIAAGRycy9kb3ducmV2LnhtbFBLBQYAAAAAAwADALcAAAD4AgAAAAA=&#10;" filled="f" stroked="f">
                  <v:textbox inset="0,0,0,0">
                    <w:txbxContent>
                      <w:p w14:paraId="6C5DFAF1" w14:textId="77777777" w:rsidR="00B32EF2" w:rsidRDefault="00000000">
                        <w:r>
                          <w:rPr>
                            <w:rFonts w:ascii="Arial" w:eastAsia="Arial" w:hAnsi="Arial" w:cs="Arial"/>
                            <w:sz w:val="18"/>
                          </w:rPr>
                          <w:t>depositata telematicamente insieme all’atto cui la stessa si riferisce.</w:t>
                        </w:r>
                      </w:p>
                    </w:txbxContent>
                  </v:textbox>
                </v:rect>
                <v:rect id="Rectangle 201577" o:spid="_x0000_s4813" style="position:absolute;left:-12848;top:22967;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HJDxwAAAN8AAAAPAAAAZHJzL2Rvd25yZXYueG1sRI9Ba8JA&#10;FITvgv9heUJvulGoSnQVUcQcvGgt9PjIPpNo9u2SXU3aX+8WCj0OM/MNs1x3phZPanxlWcF4lIAg&#10;zq2uuFBw+dgP5yB8QNZYWyYF3+Rhver3lphq2/KJnudQiAhhn6KCMgSXSunzkgz6kXXE0bvaxmCI&#10;simkbrCNcFPLSZJMpcGK40KJjrYl5ffzwyj42rHL9q3Mrz9bd7xl8/rwuHwq9TboNgsQgbrwH/5r&#10;Z1rBJBm/z2bw+yd+Abl6AQAA//8DAFBLAQItABQABgAIAAAAIQDb4fbL7gAAAIUBAAATAAAAAAAA&#10;AAAAAAAAAAAAAABbQ29udGVudF9UeXBlc10ueG1sUEsBAi0AFAAGAAgAAAAhAFr0LFu/AAAAFQEA&#10;AAsAAAAAAAAAAAAAAAAAHwEAAF9yZWxzLy5yZWxzUEsBAi0AFAAGAAgAAAAhAA00ckPHAAAA3wAA&#10;AA8AAAAAAAAAAAAAAAAABwIAAGRycy9kb3ducmV2LnhtbFBLBQYAAAAAAwADALcAAAD7AgAAAAA=&#10;" filled="f" stroked="f">
                  <v:textbox inset="0,0,0,0">
                    <w:txbxContent>
                      <w:p w14:paraId="4445C9E0" w14:textId="77777777" w:rsidR="00B32EF2" w:rsidRDefault="00000000">
                        <w:r>
                          <w:rPr>
                            <w:rFonts w:ascii="Arial" w:eastAsia="Arial" w:hAnsi="Arial" w:cs="Arial"/>
                            <w:sz w:val="18"/>
                          </w:rPr>
                          <w:t>. Le Agenzie delle entrate, delle dogane e dei monopoli di cui al decreto legisla</w:t>
                        </w:r>
                      </w:p>
                    </w:txbxContent>
                  </v:textbox>
                </v:rect>
                <v:rect id="Rectangle 201576" o:spid="_x0000_s4814" style="position:absolute;left:26349;top:22967;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NfYxwAAAN8AAAAPAAAAZHJzL2Rvd25yZXYueG1sRI9Ba8JA&#10;FITvgv9heUJvulGolegqoog5eKla6PGRfSbR7Nslu5q0v94tFDwOM/MNs1h1phYPanxlWcF4lIAg&#10;zq2uuFBwPu2GMxA+IGusLZOCH/KwWvZ7C0y1bfmTHsdQiAhhn6KCMgSXSunzkgz6kXXE0bvYxmCI&#10;simkbrCNcFPLSZJMpcGK40KJjjYl5bfj3Sj43rLLdq3ML78bd7hms3p/P38p9Tbo1nMQgbrwCv+3&#10;M61gkozfP6bw9yd+Abl8AgAA//8DAFBLAQItABQABgAIAAAAIQDb4fbL7gAAAIUBAAATAAAAAAAA&#10;AAAAAAAAAAAAAABbQ29udGVudF9UeXBlc10ueG1sUEsBAi0AFAAGAAgAAAAhAFr0LFu/AAAAFQEA&#10;AAsAAAAAAAAAAAAAAAAAHwEAAF9yZWxzLy5yZWxzUEsBAi0AFAAGAAgAAAAhAGJ419jHAAAA3wAA&#10;AA8AAAAAAAAAAAAAAAAABwIAAGRycy9kb3ducmV2LnhtbFBLBQYAAAAAAwADALcAAAD7AgAAAAA=&#10;" filled="f" stroked="f">
                  <v:textbox inset="0,0,0,0">
                    <w:txbxContent>
                      <w:p w14:paraId="7825E714" w14:textId="77777777" w:rsidR="00B32EF2" w:rsidRDefault="00000000">
                        <w:r>
                          <w:rPr>
                            <w:rFonts w:ascii="Arial" w:eastAsia="Arial" w:hAnsi="Arial" w:cs="Arial"/>
                            <w:sz w:val="18"/>
                          </w:rPr>
                          <w:t>9</w:t>
                        </w:r>
                      </w:p>
                    </w:txbxContent>
                  </v:textbox>
                </v:rect>
                <v:rect id="Rectangle 19871" o:spid="_x0000_s4815" style="position:absolute;left:192;top:229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Ad/xAAAAN4AAAAPAAAAZHJzL2Rvd25yZXYueG1sRE9Na8JA&#10;EL0X/A/LCN7qRg9tGl1FFGkOXmoVPA7ZMYlmZ5fsaqK/vlso9DaP9znzZW8acafW15YVTMYJCOLC&#10;6ppLBYfv7WsKwgdkjY1lUvAgD8vF4GWOmbYdf9F9H0oRQ9hnqKAKwWVS+qIig35sHXHkzrY1GCJs&#10;S6lb7GK4aeQ0Sd6kwZpjQ4WO1hUV1/3NKDht2OXbThbn59rtLnnafN4OR6VGw341AxGoD//iP3eu&#10;4/yP9H0Cv+/EG+TiBwAA//8DAFBLAQItABQABgAIAAAAIQDb4fbL7gAAAIUBAAATAAAAAAAAAAAA&#10;AAAAAAAAAABbQ29udGVudF9UeXBlc10ueG1sUEsBAi0AFAAGAAgAAAAhAFr0LFu/AAAAFQEAAAsA&#10;AAAAAAAAAAAAAAAAHwEAAF9yZWxzLy5yZWxzUEsBAi0AFAAGAAgAAAAhAMtMB3/EAAAA3gAAAA8A&#10;AAAAAAAAAAAAAAAABwIAAGRycy9kb3ducmV2LnhtbFBLBQYAAAAAAwADALcAAAD4AgAAAAA=&#10;" filled="f" stroked="f">
                  <v:textbox inset="0,0,0,0">
                    <w:txbxContent>
                      <w:p w14:paraId="77A8EB46" w14:textId="77777777" w:rsidR="00B32EF2" w:rsidRDefault="00000000">
                        <w:r>
                          <w:rPr>
                            <w:rFonts w:ascii="Arial" w:eastAsia="Arial" w:hAnsi="Arial" w:cs="Arial"/>
                            <w:sz w:val="18"/>
                          </w:rPr>
                          <w:t>-</w:t>
                        </w:r>
                      </w:p>
                    </w:txbxContent>
                  </v:textbox>
                </v:rect>
                <v:rect id="Rectangle 19872" o:spid="_x0000_s4816" style="position:absolute;left:-12743;top:21734;width:526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pkIxQAAAN4AAAAPAAAAZHJzL2Rvd25yZXYueG1sRE9La8JA&#10;EL4X/A/LCN7qRg9tjK4iijSHXuoDPA7ZMYlmZ5fsamJ/fbdQ6G0+vucsVr1pxINaX1tWMBknIIgL&#10;q2suFRwPu9cUhA/IGhvLpOBJHlbLwcsCM207/qLHPpQihrDPUEEVgsuk9EVFBv3YOuLIXWxrMETY&#10;llK32MVw08hpkrxJgzXHhgodbSoqbvu7UXDesst3nSwu3xv3ec3T5uN+PCk1GvbrOYhAffgX/7lz&#10;HefP0vcp/L4Tb5DLHwAAAP//AwBQSwECLQAUAAYACAAAACEA2+H2y+4AAACFAQAAEwAAAAAAAAAA&#10;AAAAAAAAAAAAW0NvbnRlbnRfVHlwZXNdLnhtbFBLAQItABQABgAIAAAAIQBa9CxbvwAAABUBAAAL&#10;AAAAAAAAAAAAAAAAAB8BAABfcmVscy8ucmVsc1BLAQItABQABgAIAAAAIQA7npkIxQAAAN4AAAAP&#10;AAAAAAAAAAAAAAAAAAcCAABkcnMvZG93bnJldi54bWxQSwUGAAAAAAMAAwC3AAAA+QIAAAAA&#10;" filled="f" stroked="f">
                  <v:textbox inset="0,0,0,0">
                    <w:txbxContent>
                      <w:p w14:paraId="69C04E2F" w14:textId="77777777" w:rsidR="00B32EF2" w:rsidRDefault="00000000">
                        <w:r>
                          <w:rPr>
                            <w:rFonts w:ascii="Arial" w:eastAsia="Arial" w:hAnsi="Arial" w:cs="Arial"/>
                            <w:sz w:val="18"/>
                          </w:rPr>
                          <w:t>tivo 30 luglio 1999, n. 300, possono essere assistite dall’Avvocatura dello Stato.</w:t>
                        </w:r>
                      </w:p>
                    </w:txbxContent>
                  </v:textbox>
                </v:rect>
                <v:rect id="Rectangle 201575" o:spid="_x0000_s4817" style="position:absolute;left:-14415;top:205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kmvxwAAAN8AAAAPAAAAZHJzL2Rvd25yZXYueG1sRI9Ba8JA&#10;FITvgv9heUJvulGwSnQVUcQcvNRa6PGRfSbR7Nslu5rUX98tCD0OM/MNs1x3phYPanxlWcF4lIAg&#10;zq2uuFBw/twP5yB8QNZYWyYFP+Rhver3lphq2/IHPU6hEBHCPkUFZQguldLnJRn0I+uIo3exjcEQ&#10;ZVNI3WAb4aaWkyR5lwYrjgslOtqWlN9Od6Pge8cu27cyvzy37njN5vXhfv5S6m3QbRYgAnXhP/xq&#10;Z1rBJBlPZ1P4+xO/gFz9AgAA//8DAFBLAQItABQABgAIAAAAIQDb4fbL7gAAAIUBAAATAAAAAAAA&#10;AAAAAAAAAAAAAABbQ29udGVudF9UeXBlc10ueG1sUEsBAi0AFAAGAAgAAAAhAFr0LFu/AAAAFQEA&#10;AAsAAAAAAAAAAAAAAAAAHwEAAF9yZWxzLy5yZWxzUEsBAi0AFAAGAAgAAAAhAJKqSa/HAAAA3wAA&#10;AA8AAAAAAAAAAAAAAAAABwIAAGRycy9kb3ducmV2LnhtbFBLBQYAAAAAAwADALcAAAD7AgAAAAA=&#10;" filled="f" stroked="f">
                  <v:textbox inset="0,0,0,0">
                    <w:txbxContent>
                      <w:p w14:paraId="1DA05D76" w14:textId="77777777" w:rsidR="00B32EF2" w:rsidRDefault="00000000">
                        <w:r>
                          <w:rPr>
                            <w:rFonts w:ascii="Arial" w:eastAsia="Arial" w:hAnsi="Arial" w:cs="Arial"/>
                            <w:sz w:val="18"/>
                          </w:rPr>
                          <w:t xml:space="preserve">. I soggetti in possesso dei requisiti richiesti nei commi 3, 5 e 6 possono </w:t>
                        </w:r>
                      </w:p>
                    </w:txbxContent>
                  </v:textbox>
                </v:rect>
                <v:rect id="Rectangle 201570" o:spid="_x0000_s4818" style="position:absolute;left:25501;top:205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eo3xwAAAN8AAAAPAAAAZHJzL2Rvd25yZXYueG1sRI/LasMw&#10;EEX3hfyDmEB2tZxA2+BaDiEh1Itumgd0OVjjR2uNhKXETr++WhS6vNwXJ99Mphc3GnxnWcEySUEQ&#10;V1Z33Cg4nw6PaxA+IGvsLZOCO3nYFLOHHDNtR/6g2zE0Io6wz1BBG4LLpPRVSwZ9Yh1x9Go7GAxR&#10;Do3UA45x3PRylabP0mDH8aFFR7uWqu/j1Sj43LMrD6Os6p+de/8q1/3b9XxRajGftq8gAk3hP/zX&#10;LrWCVbp8eokEkSeygCx+AQAA//8DAFBLAQItABQABgAIAAAAIQDb4fbL7gAAAIUBAAATAAAAAAAA&#10;AAAAAAAAAAAAAABbQ29udGVudF9UeXBlc10ueG1sUEsBAi0AFAAGAAgAAAAhAFr0LFu/AAAAFQEA&#10;AAsAAAAAAAAAAAAAAAAAHwEAAF9yZWxzLy5yZWxzUEsBAi0AFAAGAAgAAAAhAILd6jfHAAAA3wAA&#10;AA8AAAAAAAAAAAAAAAAABwIAAGRycy9kb3ducmV2LnhtbFBLBQYAAAAAAwADALcAAAD7AgAAAAA=&#10;" filled="f" stroked="f">
                  <v:textbox inset="0,0,0,0">
                    <w:txbxContent>
                      <w:p w14:paraId="02F0F8C1" w14:textId="77777777" w:rsidR="00B32EF2" w:rsidRDefault="00000000">
                        <w:r>
                          <w:rPr>
                            <w:rFonts w:ascii="Arial" w:eastAsia="Arial" w:hAnsi="Arial" w:cs="Arial"/>
                            <w:sz w:val="18"/>
                          </w:rPr>
                          <w:t>10</w:t>
                        </w:r>
                      </w:p>
                    </w:txbxContent>
                  </v:textbox>
                </v:rect>
                <v:rect id="Rectangle 19874" o:spid="_x0000_s4819" style="position:absolute;left:-13172;top:192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6TnxQAAAN4AAAAPAAAAZHJzL2Rvd25yZXYueG1sRE9Na8JA&#10;EL0L/odlhN50o5Q2ja4iipiDl1oLHofsmKTNzi7Z1cT+erdQ6G0e73MWq9404katry0rmE4SEMSF&#10;1TWXCk4fu3EKwgdkjY1lUnAnD6vlcLDATNuO3+l2DKWIIewzVFCF4DIpfVGRQT+xjjhyF9saDBG2&#10;pdQtdjHcNHKWJC/SYM2xoUJHm4qK7+PVKDhv2eW7ThaXn407fOVps7+ePpV6GvXrOYhAffgX/7lz&#10;Hee/pa/P8PtOvEEuHwAAAP//AwBQSwECLQAUAAYACAAAACEA2+H2y+4AAACFAQAAEwAAAAAAAAAA&#10;AAAAAAAAAAAAW0NvbnRlbnRfVHlwZXNdLnhtbFBLAQItABQABgAIAAAAIQBa9CxbvwAAABUBAAAL&#10;AAAAAAAAAAAAAAAAAB8BAABfcmVscy8ucmVsc1BLAQItABQABgAIAAAAIQDbO6TnxQAAAN4AAAAP&#10;AAAAAAAAAAAAAAAAAAcCAABkcnMvZG93bnJldi54bWxQSwUGAAAAAAMAAwC3AAAA+QIAAAAA&#10;" filled="f" stroked="f">
                  <v:textbox inset="0,0,0,0">
                    <w:txbxContent>
                      <w:p w14:paraId="67A7F0B0" w14:textId="77777777" w:rsidR="00B32EF2" w:rsidRDefault="00000000">
                        <w:r>
                          <w:rPr>
                            <w:rFonts w:ascii="Arial" w:eastAsia="Arial" w:hAnsi="Arial" w:cs="Arial"/>
                            <w:sz w:val="18"/>
                          </w:rPr>
                          <w:t xml:space="preserve">stare in giudizio personalmente, ferme restando le limitazioni all’oggetto della </w:t>
                        </w:r>
                      </w:p>
                    </w:txbxContent>
                  </v:textbox>
                </v:rect>
                <v:rect id="Rectangle 19875" o:spid="_x0000_s4820" style="position:absolute;left:11345;top:18034;width:285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wF8xQAAAN4AAAAPAAAAZHJzL2Rvd25yZXYueG1sRE9Na8JA&#10;EL0L/odlhN50o9A2ja4iipiDl1oLHofsmKTNzi7Z1cT+erdQ6G0e73MWq9404katry0rmE4SEMSF&#10;1TWXCk4fu3EKwgdkjY1lUnAnD6vlcLDATNuO3+l2DKWIIewzVFCF4DIpfVGRQT+xjjhyF9saDBG2&#10;pdQtdjHcNHKWJC/SYM2xoUJHm4qK7+PVKDhv2eW7ThaXn407fOVps7+ePpV6GvXrOYhAffgX/7lz&#10;Hee/pa/P8PtOvEEuHwAAAP//AwBQSwECLQAUAAYACAAAACEA2+H2y+4AAACFAQAAEwAAAAAAAAAA&#10;AAAAAAAAAAAAW0NvbnRlbnRfVHlwZXNdLnhtbFBLAQItABQABgAIAAAAIQBa9CxbvwAAABUBAAAL&#10;AAAAAAAAAAAAAAAAAB8BAABfcmVscy8ucmVsc1BLAQItABQABgAIAAAAIQC0dwF8xQAAAN4AAAAP&#10;AAAAAAAAAAAAAAAAAAcCAABkcnMvZG93bnJldi54bWxQSwUGAAAAAAMAAwC3AAAA+QIAAAAA&#10;" filled="f" stroked="f">
                  <v:textbox inset="0,0,0,0">
                    <w:txbxContent>
                      <w:p w14:paraId="3D8F1F10" w14:textId="77777777" w:rsidR="00B32EF2" w:rsidRDefault="00000000">
                        <w:r>
                          <w:rPr>
                            <w:rFonts w:ascii="Arial" w:eastAsia="Arial" w:hAnsi="Arial" w:cs="Arial"/>
                            <w:sz w:val="18"/>
                          </w:rPr>
                          <w:t xml:space="preserve">loro attività previste nei medesimi commi. </w:t>
                        </w:r>
                      </w:p>
                    </w:txbxContent>
                  </v:textbox>
                </v:rect>
                <v:rect id="Rectangle 201569" o:spid="_x0000_s4821" style="position:absolute;left:-13327;top:16800;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tV3xwAAAN8AAAAPAAAAZHJzL2Rvd25yZXYueG1sRI9Ba8JA&#10;FITvgv9heYI33SgoNrpKsUhz8FKbQo+P7DOJzb5dsqtJ++vdguBxmJlvmM2uN424Uetrywpm0wQE&#10;cWF1zaWC/PMwWYHwAVljY5kU/JKH3XY42GCqbccfdDuFUkQI+xQVVCG4VEpfVGTQT60jjt7ZtgZD&#10;lG0pdYtdhJtGzpNkKQ3WHBcqdLSvqPg5XY2C7zd22aGTxflv746XbNW8X/Mvpcaj/nUNIlAfnuFH&#10;O9MK5slssXyB/z/xC8jtHQAA//8DAFBLAQItABQABgAIAAAAIQDb4fbL7gAAAIUBAAATAAAAAAAA&#10;AAAAAAAAAAAAAABbQ29udGVudF9UeXBlc10ueG1sUEsBAi0AFAAGAAgAAAAhAFr0LFu/AAAAFQEA&#10;AAsAAAAAAAAAAAAAAAAAHwEAAF9yZWxzLy5yZWxzUEsBAi0AFAAGAAgAAAAhAJY+1XfHAAAA3wAA&#10;AA8AAAAAAAAAAAAAAAAABwIAAGRycy9kb3ducmV2LnhtbFBLBQYAAAAAAwADALcAAAD7AgAAAAA=&#10;" filled="f" stroked="f">
                  <v:textbox inset="0,0,0,0">
                    <w:txbxContent>
                      <w:p w14:paraId="545A462F" w14:textId="77777777" w:rsidR="00B32EF2" w:rsidRDefault="00000000">
                        <w:r>
                          <w:rPr>
                            <w:rFonts w:ascii="Arial" w:eastAsia="Arial" w:hAnsi="Arial" w:cs="Arial"/>
                            <w:sz w:val="18"/>
                          </w:rPr>
                          <w:t>. Si applica l’articolo 182 del codice di procedura civile ed i relativi provve</w:t>
                        </w:r>
                      </w:p>
                    </w:txbxContent>
                  </v:textbox>
                </v:rect>
                <v:rect id="Rectangle 201566" o:spid="_x0000_s4822" style="position:absolute;left:25809;top:16800;width:52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UEFxwAAAN8AAAAPAAAAZHJzL2Rvd25yZXYueG1sRI9Ba8JA&#10;FITvBf/D8gRvdaPQINFVRJHm4KVWweMj+0yi2bdLdjXRX98tFHocZuYbZrHqTSMe1PrasoLJOAFB&#10;XFhdc6ng+L17n4HwAVljY5kUPMnDajl4W2Cmbcdf9DiEUkQI+wwVVCG4TEpfVGTQj60jjt7FtgZD&#10;lG0pdYtdhJtGTpMklQZrjgsVOtpUVNwOd6PgvGWX7zpZXF4bt7/ms+bzfjwpNRr26zmIQH34D/+1&#10;c61gmkw+0hR+/8QvIJc/AAAA//8DAFBLAQItABQABgAIAAAAIQDb4fbL7gAAAIUBAAATAAAAAAAA&#10;AAAAAAAAAAAAAABbQ29udGVudF9UeXBlc10ueG1sUEsBAi0AFAAGAAgAAAAhAFr0LFu/AAAAFQEA&#10;AAsAAAAAAAAAAAAAAAAAHwEAAF9yZWxzLy5yZWxzUEsBAi0AFAAGAAgAAAAhAOehQQXHAAAA3wAA&#10;AA8AAAAAAAAAAAAAAAAABwIAAGRycy9kb3ducmV2LnhtbFBLBQYAAAAAAwADALcAAAD7AgAAAAA=&#10;" filled="f" stroked="f">
                  <v:textbox inset="0,0,0,0">
                    <w:txbxContent>
                      <w:p w14:paraId="7F2FB3EB" w14:textId="77777777" w:rsidR="00B32EF2" w:rsidRDefault="00000000">
                        <w:r>
                          <w:rPr>
                            <w:rFonts w:ascii="Arial" w:eastAsia="Arial" w:hAnsi="Arial" w:cs="Arial"/>
                            <w:sz w:val="18"/>
                          </w:rPr>
                          <w:t>11</w:t>
                        </w:r>
                      </w:p>
                    </w:txbxContent>
                  </v:textbox>
                </v:rect>
                <v:rect id="Rectangle 19877" o:spid="_x0000_s4823" style="position:absolute;left:192;top:168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TqQxAAAAN4AAAAPAAAAZHJzL2Rvd25yZXYueG1sRE9Na8JA&#10;EL0X/A/LCN7qxh40ja4iijSHXmoVPA7ZMYlmZ5fsaqK/vlso9DaP9zmLVW8acafW15YVTMYJCOLC&#10;6ppLBYfv3WsKwgdkjY1lUvAgD6vl4GWBmbYdf9F9H0oRQ9hnqKAKwWVS+qIig35sHXHkzrY1GCJs&#10;S6lb7GK4aeRbkkylwZpjQ4WONhUV1/3NKDht2eW7Thbn58Z9XvK0+bgdjkqNhv16DiJQH/7Ff+5c&#10;x/nv6WwGv+/EG+TyBwAA//8DAFBLAQItABQABgAIAAAAIQDb4fbL7gAAAIUBAAATAAAAAAAAAAAA&#10;AAAAAAAAAABbQ29udGVudF9UeXBlc10ueG1sUEsBAi0AFAAGAAgAAAAhAFr0LFu/AAAAFQEAAAsA&#10;AAAAAAAAAAAAAAAAHwEAAF9yZWxzLy5yZWxzUEsBAi0AFAAGAAgAAAAhACvpOpDEAAAA3gAAAA8A&#10;AAAAAAAAAAAAAAAABwIAAGRycy9kb3ducmV2LnhtbFBLBQYAAAAAAwADALcAAAD4AgAAAAA=&#10;" filled="f" stroked="f">
                  <v:textbox inset="0,0,0,0">
                    <w:txbxContent>
                      <w:p w14:paraId="44711EE4" w14:textId="77777777" w:rsidR="00B32EF2" w:rsidRDefault="00000000">
                        <w:r>
                          <w:rPr>
                            <w:rFonts w:ascii="Arial" w:eastAsia="Arial" w:hAnsi="Arial" w:cs="Arial"/>
                            <w:sz w:val="18"/>
                          </w:rPr>
                          <w:t>-</w:t>
                        </w:r>
                      </w:p>
                    </w:txbxContent>
                  </v:textbox>
                </v:rect>
                <v:rect id="Rectangle 19878" o:spid="_x0000_s4824" style="position:absolute;left:-13172;top:155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q7iyAAAAN4AAAAPAAAAZHJzL2Rvd25yZXYueG1sRI9PT8Mw&#10;DMXvSHyHyEjcWAoH6MqyCQ1N9MBlf5A4Wo3XFhonarK126efD5N2s/We3/t5thhdp47Ux9azgedJ&#10;Boq48rbl2sBuu3rKQcWEbLHzTAZOFGExv7+bYWH9wGs6blKtJIRjgQaalEKhdawachgnPhCLtve9&#10;wyRrX2vb4yDhrtMvWfaqHbYsDQ0GWjZU/W8OzsDvJ4dyNehqf16G778y774Oux9jHh/Gj3dQicZ0&#10;M1+vSyv40/xNeOUdmUHPLwAAAP//AwBQSwECLQAUAAYACAAAACEA2+H2y+4AAACFAQAAEwAAAAAA&#10;AAAAAAAAAAAAAAAAW0NvbnRlbnRfVHlwZXNdLnhtbFBLAQItABQABgAIAAAAIQBa9CxbvwAAABUB&#10;AAALAAAAAAAAAAAAAAAAAB8BAABfcmVscy8ucmVsc1BLAQItABQABgAIAAAAIQBadq7iyAAAAN4A&#10;AAAPAAAAAAAAAAAAAAAAAAcCAABkcnMvZG93bnJldi54bWxQSwUGAAAAAAMAAwC3AAAA/AIAAAAA&#10;" filled="f" stroked="f">
                  <v:textbox inset="0,0,0,0">
                    <w:txbxContent>
                      <w:p w14:paraId="178756C5" w14:textId="77777777" w:rsidR="00B32EF2" w:rsidRDefault="00000000">
                        <w:r>
                          <w:rPr>
                            <w:rFonts w:ascii="Arial" w:eastAsia="Arial" w:hAnsi="Arial" w:cs="Arial"/>
                            <w:sz w:val="18"/>
                          </w:rPr>
                          <w:t xml:space="preserve">dimenti sono emessi dal presidente della corte di giustizia tributaria o della </w:t>
                        </w:r>
                      </w:p>
                    </w:txbxContent>
                  </v:textbox>
                </v:rect>
                <v:rect id="Rectangle 19879" o:spid="_x0000_s4825" style="position:absolute;left:-3340;top:14334;width:432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gt5xQAAAN4AAAAPAAAAZHJzL2Rvd25yZXYueG1sRE9La8JA&#10;EL4X+h+WEbzVjR40pq5SLGIOXnwUehyyY5I2O7tkVxP99W6h4G0+vucsVr1pxJVaX1tWMB4lIIgL&#10;q2suFZyOm7cUhA/IGhvLpOBGHlbL15cFZtp2vKfrIZQihrDPUEEVgsuk9EVFBv3IOuLInW1rMETY&#10;llK32MVw08hJkkylwZpjQ4WO1hUVv4eLUfD9yS7fdLI439du95OnzfZy+lJqOOg/3kEE6sNT/O/O&#10;dZw/T2dz+Hsn3iCXDwAAAP//AwBQSwECLQAUAAYACAAAACEA2+H2y+4AAACFAQAAEwAAAAAAAAAA&#10;AAAAAAAAAAAAW0NvbnRlbnRfVHlwZXNdLnhtbFBLAQItABQABgAIAAAAIQBa9CxbvwAAABUBAAAL&#10;AAAAAAAAAAAAAAAAAB8BAABfcmVscy8ucmVsc1BLAQItABQABgAIAAAAIQA1Ogt5xQAAAN4AAAAP&#10;AAAAAAAAAAAAAAAAAAcCAABkcnMvZG93bnJldi54bWxQSwUGAAAAAAMAAwC3AAAA+QIAAAAA&#10;" filled="f" stroked="f">
                  <v:textbox inset="0,0,0,0">
                    <w:txbxContent>
                      <w:p w14:paraId="4E3F3447" w14:textId="77777777" w:rsidR="00B32EF2" w:rsidRDefault="00000000">
                        <w:r>
                          <w:rPr>
                            <w:rFonts w:ascii="Arial" w:eastAsia="Arial" w:hAnsi="Arial" w:cs="Arial"/>
                            <w:sz w:val="18"/>
                          </w:rPr>
                          <w:t>sezione o dal giudice in composizione monocratica o collegiale.</w:t>
                        </w:r>
                      </w:p>
                    </w:txbxContent>
                  </v:textbox>
                </v:rect>
                <v:rect id="Rectangle 201563" o:spid="_x0000_s4826" style="position:absolute;left:-14409;top:13101;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uKdxwAAAN8AAAAPAAAAZHJzL2Rvd25yZXYueG1sRI9Ba8JA&#10;FITvgv9heUJvutGiSHQVUcQcvGgt9PjIPpNo9u2SXU3aX+8WCj0OM/MNs1x3phZPanxlWcF4lIAg&#10;zq2uuFBw+dgP5yB8QNZYWyYF3+Rhver3lphq2/KJnudQiAhhn6KCMgSXSunzkgz6kXXE0bvaxmCI&#10;simkbrCNcFPLSZLMpMGK40KJjrYl5ffzwyj42rHL9q3Mrz9bd7xl8/rwuHwq9TboNgsQgbrwH/5r&#10;Z1rBJBlPZ+/w+yd+Abl6AQAA//8DAFBLAQItABQABgAIAAAAIQDb4fbL7gAAAIUBAAATAAAAAAAA&#10;AAAAAAAAAAAAAABbQ29udGVudF9UeXBlc10ueG1sUEsBAi0AFAAGAAgAAAAhAFr0LFu/AAAAFQEA&#10;AAsAAAAAAAAAAAAAAAAAHwEAAF9yZWxzLy5yZWxzUEsBAi0AFAAGAAgAAAAhAPfW4p3HAAAA3wAA&#10;AA8AAAAAAAAAAAAAAAAABwIAAGRycy9kb3ducmV2LnhtbFBLBQYAAAAAAwADALcAAAD7AgAAAAA=&#10;" filled="f" stroked="f">
                  <v:textbox inset="0,0,0,0">
                    <w:txbxContent>
                      <w:p w14:paraId="52C6C677" w14:textId="77777777" w:rsidR="00B32EF2" w:rsidRDefault="00000000">
                        <w:r>
                          <w:rPr>
                            <w:rFonts w:ascii="Arial" w:eastAsia="Arial" w:hAnsi="Arial" w:cs="Arial"/>
                            <w:sz w:val="18"/>
                          </w:rPr>
                          <w:t xml:space="preserve">. Il Ministero dell’economia e delle finanze può autorizzare all’esercizio </w:t>
                        </w:r>
                      </w:p>
                    </w:txbxContent>
                  </v:textbox>
                </v:rect>
                <v:rect id="Rectangle 201560" o:spid="_x0000_s4827" style="position:absolute;left:25518;top:13101;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HzqxwAAAN8AAAAPAAAAZHJzL2Rvd25yZXYueG1sRI/NasJA&#10;FIX3Bd9huIK7OlEwhNRRiiJm4aaphS4vmWuSNnNnyIxJ7NN3FoUuD+ePb7ufTCcG6n1rWcFqmYAg&#10;rqxuuVZwfT89ZyB8QNbYWSYFD/Kw382etphrO/IbDWWoRRxhn6OCJgSXS+mrhgz6pXXE0bvZ3mCI&#10;sq+l7nGM46aT6yRJpcGW40ODjg4NVd/l3Sj4PLIrTqOsbj8Hd/kqsu58v34otZhPry8gAk3hP/zX&#10;LrSCdbLapJEg8kQWkLtfAAAA//8DAFBLAQItABQABgAIAAAAIQDb4fbL7gAAAIUBAAATAAAAAAAA&#10;AAAAAAAAAAAAAABbQ29udGVudF9UeXBlc10ueG1sUEsBAi0AFAAGAAgAAAAhAFr0LFu/AAAAFQEA&#10;AAsAAAAAAAAAAAAAAAAAHwEAAF9yZWxzLy5yZWxzUEsBAi0AFAAGAAgAAAAhAAcEfOrHAAAA3wAA&#10;AA8AAAAAAAAAAAAAAAAABwIAAGRycy9kb3ducmV2LnhtbFBLBQYAAAAAAwADALcAAAD7AgAAAAA=&#10;" filled="f" stroked="f">
                  <v:textbox inset="0,0,0,0">
                    <w:txbxContent>
                      <w:p w14:paraId="7BC7A933" w14:textId="77777777" w:rsidR="00B32EF2" w:rsidRDefault="00000000">
                        <w:r>
                          <w:rPr>
                            <w:rFonts w:ascii="Arial" w:eastAsia="Arial" w:hAnsi="Arial" w:cs="Arial"/>
                            <w:sz w:val="18"/>
                          </w:rPr>
                          <w:t>12</w:t>
                        </w:r>
                      </w:p>
                    </w:txbxContent>
                  </v:textbox>
                </v:rect>
                <v:rect id="Rectangle 19881" o:spid="_x0000_s4828" style="position:absolute;left:-13172;top:118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dYxAAAAN4AAAAPAAAAZHJzL2Rvd25yZXYueG1sRE9Ni8Iw&#10;EL0L/ocwwt40dQ9Lt2sUUWR78KKrsMehGdtqMwlNtNVfb4SFvc3jfc5s0ZtG3Kj1tWUF00kCgriw&#10;uuZSweFnM05B+ICssbFMCu7kYTEfDmaYadvxjm77UIoYwj5DBVUILpPSFxUZ9BPriCN3sq3BEGFb&#10;St1iF8NNI9+T5EMarDk2VOhoVVFx2V+Ngt81u3zTyeL0WLntOU+b7+vhqNTbqF9+gQjUh3/xnzvX&#10;cf5nmk7h9U68Qc6fAAAA//8DAFBLAQItABQABgAIAAAAIQDb4fbL7gAAAIUBAAATAAAAAAAAAAAA&#10;AAAAAAAAAABbQ29udGVudF9UeXBlc10ueG1sUEsBAi0AFAAGAAgAAAAhAFr0LFu/AAAAFQEAAAsA&#10;AAAAAAAAAAAAAAAAHwEAAF9yZWxzLy5yZWxzUEsBAi0AFAAGAAgAAAAhAP6Zd1jEAAAA3gAAAA8A&#10;AAAAAAAAAAAAAAAABwIAAGRycy9kb3ducmV2LnhtbFBLBQYAAAAAAwADALcAAAD4AgAAAAA=&#10;" filled="f" stroked="f">
                  <v:textbox inset="0,0,0,0">
                    <w:txbxContent>
                      <w:p w14:paraId="2E92133D" w14:textId="77777777" w:rsidR="00B32EF2" w:rsidRDefault="00000000">
                        <w:r>
                          <w:rPr>
                            <w:rFonts w:ascii="Arial" w:eastAsia="Arial" w:hAnsi="Arial" w:cs="Arial"/>
                            <w:sz w:val="18"/>
                          </w:rPr>
                          <w:t xml:space="preserve">dell’assistenza tecnica davanti alle corti di giustizia tributaria, se cessati </w:t>
                        </w:r>
                      </w:p>
                    </w:txbxContent>
                  </v:textbox>
                </v:rect>
                <v:rect id="Rectangle 19882" o:spid="_x0000_s4829" style="position:absolute;left:-13172;top:106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kvxAAAAN4AAAAPAAAAZHJzL2Rvd25yZXYueG1sRE9Na8JA&#10;EL0X+h+WKfRWN/VQ0ugqRRFz6EUbweOQHZNodnbJrib117uC4G0e73Om88G04kKdbywr+BwlIIhL&#10;qxuuFBR/q48UhA/IGlvLpOCfPMxnry9TzLTteUOXbahEDGGfoYI6BJdJ6cuaDPqRdcSRO9jOYIiw&#10;q6TusI/hppXjJPmSBhuODTU6WtRUnrZno2C/ZJevelkergv3e8zTdn0udkq9vw0/ExCBhvAUP9y5&#10;jvO/03QM93fiDXJ2AwAA//8DAFBLAQItABQABgAIAAAAIQDb4fbL7gAAAIUBAAATAAAAAAAAAAAA&#10;AAAAAAAAAABbQ29udGVudF9UeXBlc10ueG1sUEsBAi0AFAAGAAgAAAAhAFr0LFu/AAAAFQEAAAsA&#10;AAAAAAAAAAAAAAAAHwEAAF9yZWxzLy5yZWxzUEsBAi0AFAAGAAgAAAAhAA5L6S/EAAAA3gAAAA8A&#10;AAAAAAAAAAAAAAAABwIAAGRycy9kb3ducmV2LnhtbFBLBQYAAAAAAwADALcAAAD4AgAAAAA=&#10;" filled="f" stroked="f">
                  <v:textbox inset="0,0,0,0">
                    <w:txbxContent>
                      <w:p w14:paraId="4A3CB0C5" w14:textId="77777777" w:rsidR="00B32EF2" w:rsidRDefault="00000000">
                        <w:r>
                          <w:rPr>
                            <w:rFonts w:ascii="Arial" w:eastAsia="Arial" w:hAnsi="Arial" w:cs="Arial"/>
                            <w:sz w:val="18"/>
                          </w:rPr>
                          <w:t xml:space="preserve">dall’impiego dopo almeno venti anni di effettivo servizio di cui almeno gli ultimi </w:t>
                        </w:r>
                      </w:p>
                    </w:txbxContent>
                  </v:textbox>
                </v:rect>
                <v:rect id="Rectangle 19883" o:spid="_x0000_s4830" style="position:absolute;left:-13172;top:940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0y0xAAAAN4AAAAPAAAAZHJzL2Rvd25yZXYueG1sRE9La8JA&#10;EL4X/A/LCL3VjRZKjK4iijQHL/UBHofsmESzs0t2Nam/vlso9DYf33Pmy9404kGtry0rGI8SEMSF&#10;1TWXCo6H7VsKwgdkjY1lUvBNHpaLwcscM207/qLHPpQihrDPUEEVgsuk9EVFBv3IOuLIXWxrMETY&#10;llK32MVw08hJknxIgzXHhgodrSsqbvu7UXDesMu3nSwuz7XbXfO0+bwfT0q9DvvVDESgPvyL/9y5&#10;jvOnafoOv+/EG+TiBwAA//8DAFBLAQItABQABgAIAAAAIQDb4fbL7gAAAIUBAAATAAAAAAAAAAAA&#10;AAAAAAAAAABbQ29udGVudF9UeXBlc10ueG1sUEsBAi0AFAAGAAgAAAAhAFr0LFu/AAAAFQEAAAsA&#10;AAAAAAAAAAAAAAAAHwEAAF9yZWxzLy5yZWxzUEsBAi0AFAAGAAgAAAAhAGEHTLTEAAAA3gAAAA8A&#10;AAAAAAAAAAAAAAAABwIAAGRycy9kb3ducmV2LnhtbFBLBQYAAAAAAwADALcAAAD4AgAAAAA=&#10;" filled="f" stroked="f">
                  <v:textbox inset="0,0,0,0">
                    <w:txbxContent>
                      <w:p w14:paraId="29738E80" w14:textId="77777777" w:rsidR="00B32EF2" w:rsidRDefault="00000000">
                        <w:r>
                          <w:rPr>
                            <w:rFonts w:ascii="Arial" w:eastAsia="Arial" w:hAnsi="Arial" w:cs="Arial"/>
                            <w:sz w:val="18"/>
                          </w:rPr>
                          <w:t xml:space="preserve">dieci prestati a svolgere attività connesse ai tributi, il personale dirigenziale e </w:t>
                        </w:r>
                      </w:p>
                    </w:txbxContent>
                  </v:textbox>
                </v:rect>
                <v:rect id="Rectangle 19884" o:spid="_x0000_s4831" style="position:absolute;left:-13172;top:81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tTAxAAAAN4AAAAPAAAAZHJzL2Rvd25yZXYueG1sRE9La8JA&#10;EL4X/A/LCL3VjVJKjK4iijQHL/UBHofsmESzs0t2Nam/vlso9DYf33Pmy9404kGtry0rGI8SEMSF&#10;1TWXCo6H7VsKwgdkjY1lUvBNHpaLwcscM207/qLHPpQihrDPUEEVgsuk9EVFBv3IOuLIXWxrMETY&#10;llK32MVw08hJknxIgzXHhgodrSsqbvu7UXDesMu3nSwuz7XbXfO0+bwfT0q9DvvVDESgPvyL/9y5&#10;jvOnafoOv+/EG+TiBwAA//8DAFBLAQItABQABgAIAAAAIQDb4fbL7gAAAIUBAAATAAAAAAAAAAAA&#10;AAAAAAAAAABbQ29udGVudF9UeXBlc10ueG1sUEsBAi0AFAAGAAgAAAAhAFr0LFu/AAAAFQEAAAsA&#10;AAAAAAAAAAAAAAAAHwEAAF9yZWxzLy5yZWxzUEsBAi0AFAAGAAgAAAAhAO7u1MDEAAAA3gAAAA8A&#10;AAAAAAAAAAAAAAAABwIAAGRycy9kb3ducmV2LnhtbFBLBQYAAAAAAwADALcAAAD4AgAAAAA=&#10;" filled="f" stroked="f">
                  <v:textbox inset="0,0,0,0">
                    <w:txbxContent>
                      <w:p w14:paraId="02697935" w14:textId="77777777" w:rsidR="00B32EF2" w:rsidRDefault="00000000">
                        <w:r>
                          <w:rPr>
                            <w:rFonts w:ascii="Arial" w:eastAsia="Arial" w:hAnsi="Arial" w:cs="Arial"/>
                            <w:sz w:val="18"/>
                          </w:rPr>
                          <w:t xml:space="preserve">quello appartenente all’area funzionari e operatori degli enti impositori e del </w:t>
                        </w:r>
                      </w:p>
                    </w:txbxContent>
                  </v:textbox>
                </v:rect>
                <v:rect id="Rectangle 19885" o:spid="_x0000_s4832" style="position:absolute;left:-12186;top:6934;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nFbxAAAAN4AAAAPAAAAZHJzL2Rvd25yZXYueG1sRE9La8JA&#10;EL4X/A/LCL3VjUJLjK4iijQHL/UBHofsmESzs0t2Nam/vlso9DYf33Pmy9404kGtry0rGI8SEMSF&#10;1TWXCo6H7VsKwgdkjY1lUvBNHpaLwcscM207/qLHPpQihrDPUEEVgsuk9EVFBv3IOuLIXWxrMETY&#10;llK32MVw08hJknxIgzXHhgodrSsqbvu7UXDesMu3nSwuz7XbXfO0+bwfT0q9DvvVDESgPvyL/9y5&#10;jvOnafoOv+/EG+TiBwAA//8DAFBLAQItABQABgAIAAAAIQDb4fbL7gAAAIUBAAATAAAAAAAAAAAA&#10;AAAAAAAAAABbQ29udGVudF9UeXBlc10ueG1sUEsBAi0AFAAGAAgAAAAhAFr0LFu/AAAAFQEAAAsA&#10;AAAAAAAAAAAAAAAAHwEAAF9yZWxzLy5yZWxzUEsBAi0AFAAGAAgAAAAhAIGicVvEAAAA3gAAAA8A&#10;AAAAAAAAAAAAAAAABwIAAGRycy9kb3ducmV2LnhtbFBLBQYAAAAAAwADALcAAAD4AgAAAAA=&#10;" filled="f" stroked="f">
                  <v:textbox inset="0,0,0,0">
                    <w:txbxContent>
                      <w:p w14:paraId="0B5955CB" w14:textId="77777777" w:rsidR="00B32EF2" w:rsidRDefault="00000000">
                        <w:r>
                          <w:rPr>
                            <w:rFonts w:ascii="Arial" w:eastAsia="Arial" w:hAnsi="Arial" w:cs="Arial"/>
                            <w:sz w:val="18"/>
                          </w:rPr>
                          <w:t>Ministero nonché gli ufficiali e ispettori della guardia di finanza. L’autorizzazio</w:t>
                        </w:r>
                      </w:p>
                    </w:txbxContent>
                  </v:textbox>
                </v:rect>
                <v:rect id="Rectangle 19886" o:spid="_x0000_s4833" style="position:absolute;left:192;top:69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8sxAAAAN4AAAAPAAAAZHJzL2Rvd25yZXYueG1sRE9Na8JA&#10;EL0X/A/LCN7qph4kTV2lKGIOvWgj9DhkxyRtdnbJrib117uC4G0e73MWq8G04kKdbywreJsmIIhL&#10;qxuuFBTf29cUhA/IGlvLpOCfPKyWo5cFZtr2vKfLIVQihrDPUEEdgsuk9GVNBv3UOuLInWxnMETY&#10;VVJ32Mdw08pZksylwYZjQ42O1jWVf4ezUfCzYZdve1mermv39Zun7e5cHJWajIfPDxCBhvAUP9y5&#10;jvPf03QO93fiDXJ5AwAA//8DAFBLAQItABQABgAIAAAAIQDb4fbL7gAAAIUBAAATAAAAAAAAAAAA&#10;AAAAAAAAAABbQ29udGVudF9UeXBlc10ueG1sUEsBAi0AFAAGAAgAAAAhAFr0LFu/AAAAFQEAAAsA&#10;AAAAAAAAAAAAAAAAHwEAAF9yZWxzLy5yZWxzUEsBAi0AFAAGAAgAAAAhAHFw7yzEAAAA3gAAAA8A&#10;AAAAAAAAAAAAAAAABwIAAGRycy9kb3ducmV2LnhtbFBLBQYAAAAAAwADALcAAAD4AgAAAAA=&#10;" filled="f" stroked="f">
                  <v:textbox inset="0,0,0,0">
                    <w:txbxContent>
                      <w:p w14:paraId="297A8E28" w14:textId="77777777" w:rsidR="00B32EF2" w:rsidRDefault="00000000">
                        <w:r>
                          <w:rPr>
                            <w:rFonts w:ascii="Arial" w:eastAsia="Arial" w:hAnsi="Arial" w:cs="Arial"/>
                            <w:sz w:val="18"/>
                          </w:rPr>
                          <w:t>-</w:t>
                        </w:r>
                      </w:p>
                    </w:txbxContent>
                  </v:textbox>
                </v:rect>
                <v:rect id="Rectangle 19887" o:spid="_x0000_s4834" style="position:absolute;left:-13172;top:570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Eq3xQAAAN4AAAAPAAAAZHJzL2Rvd25yZXYueG1sRE9La8JA&#10;EL4X/A/LCL3VjR7aGF1FFGkOXuoDPA7ZMYlmZ5fsalJ/fbdQ6G0+vufMl71pxINaX1tWMB4lIIgL&#10;q2suFRwP27cUhA/IGhvLpOCbPCwXg5c5Ztp2/EWPfShFDGGfoYIqBJdJ6YuKDPqRdcSRu9jWYIiw&#10;LaVusYvhppGTJHmXBmuODRU6WldU3PZ3o+C8YZdvO1lcnmu3u+Zp83k/npR6HfarGYhAffgX/7lz&#10;HedP0/QDft+JN8jFDwAAAP//AwBQSwECLQAUAAYACAAAACEA2+H2y+4AAACFAQAAEwAAAAAAAAAA&#10;AAAAAAAAAAAAW0NvbnRlbnRfVHlwZXNdLnhtbFBLAQItABQABgAIAAAAIQBa9CxbvwAAABUBAAAL&#10;AAAAAAAAAAAAAAAAAB8BAABfcmVscy8ucmVsc1BLAQItABQABgAIAAAAIQAePEq3xQAAAN4AAAAP&#10;AAAAAAAAAAAAAAAAAAcCAABkcnMvZG93bnJldi54bWxQSwUGAAAAAAMAAwC3AAAA+QIAAAAA&#10;" filled="f" stroked="f">
                  <v:textbox inset="0,0,0,0">
                    <w:txbxContent>
                      <w:p w14:paraId="36503B05" w14:textId="77777777" w:rsidR="00B32EF2" w:rsidRDefault="00000000">
                        <w:r>
                          <w:rPr>
                            <w:rFonts w:ascii="Arial" w:eastAsia="Arial" w:hAnsi="Arial" w:cs="Arial"/>
                            <w:sz w:val="18"/>
                          </w:rPr>
                          <w:t xml:space="preserve">ne può essere revocata o sospesa in ogni tempo con provvedimento motivato. </w:t>
                        </w:r>
                      </w:p>
                    </w:txbxContent>
                  </v:textbox>
                </v:rect>
                <v:rect id="Rectangle 19888" o:spid="_x0000_s4835" style="position:absolute;left:-12749;top:4467;width:526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97FxwAAAN4AAAAPAAAAZHJzL2Rvd25yZXYueG1sRI9Bb8Iw&#10;DIXvk/YfIk/iNtLtgLpCQBMTooddxkDiaDWmLTRO1ARa9uvnw6TdbL3n9z4vVqPr1I362Ho28DLN&#10;QBFX3rZcG9h/b55zUDEhW+w8k4E7RVgtHx8WWFg/8BfddqlWEsKxQANNSqHQOlYNOYxTH4hFO/ne&#10;YZK1r7XtcZBw1+nXLJtphy1LQ4OB1g1Vl93VGTh+cCg3g65OP+vweS7zbnvdH4yZPI3vc1CJxvRv&#10;/rsureC/5bnwyjsyg17+AgAA//8DAFBLAQItABQABgAIAAAAIQDb4fbL7gAAAIUBAAATAAAAAAAA&#10;AAAAAAAAAAAAAABbQ29udGVudF9UeXBlc10ueG1sUEsBAi0AFAAGAAgAAAAhAFr0LFu/AAAAFQEA&#10;AAsAAAAAAAAAAAAAAAAAHwEAAF9yZWxzLy5yZWxzUEsBAi0AFAAGAAgAAAAhAG+j3sXHAAAA3gAA&#10;AA8AAAAAAAAAAAAAAAAABwIAAGRycy9kb3ducmV2LnhtbFBLBQYAAAAAAwADALcAAAD7AgAAAAA=&#10;" filled="f" stroked="f">
                  <v:textbox inset="0,0,0,0">
                    <w:txbxContent>
                      <w:p w14:paraId="56ADC57B" w14:textId="77777777" w:rsidR="00B32EF2" w:rsidRDefault="00000000">
                        <w:r>
                          <w:rPr>
                            <w:rFonts w:ascii="Arial" w:eastAsia="Arial" w:hAnsi="Arial" w:cs="Arial"/>
                            <w:sz w:val="18"/>
                          </w:rPr>
                          <w:t>Le attività connesse ai tributi sono individuate con il decreto di cui al comma 4.</w:t>
                        </w:r>
                      </w:p>
                    </w:txbxContent>
                  </v:textbox>
                </v:rect>
                <w10:anchorlock/>
              </v:group>
            </w:pict>
          </mc:Fallback>
        </mc:AlternateContent>
      </w:r>
    </w:p>
    <w:p w14:paraId="1008ABB3" w14:textId="77777777" w:rsidR="00B32EF2" w:rsidRDefault="00000000">
      <w:pPr>
        <w:spacing w:after="0"/>
        <w:ind w:left="-357" w:right="-306"/>
      </w:pPr>
      <w:r>
        <w:rPr>
          <w:noProof/>
        </w:rPr>
        <w:lastRenderedPageBreak/>
        <mc:AlternateContent>
          <mc:Choice Requires="wpg">
            <w:drawing>
              <wp:inline distT="0" distB="0" distL="0" distR="0" wp14:anchorId="15E149BF" wp14:editId="7ED6D875">
                <wp:extent cx="3992168" cy="6262854"/>
                <wp:effectExtent l="0" t="0" r="0" b="0"/>
                <wp:docPr id="201581" name="Group 201581"/>
                <wp:cNvGraphicFramePr/>
                <a:graphic xmlns:a="http://schemas.openxmlformats.org/drawingml/2006/main">
                  <a:graphicData uri="http://schemas.microsoft.com/office/word/2010/wordprocessingGroup">
                    <wpg:wgp>
                      <wpg:cNvGrpSpPr/>
                      <wpg:grpSpPr>
                        <a:xfrm>
                          <a:off x="0" y="0"/>
                          <a:ext cx="3992168" cy="6262854"/>
                          <a:chOff x="0" y="0"/>
                          <a:chExt cx="3992168" cy="6262854"/>
                        </a:xfrm>
                      </wpg:grpSpPr>
                      <wps:wsp>
                        <wps:cNvPr id="19965" name="Rectangle 19965"/>
                        <wps:cNvSpPr/>
                        <wps:spPr>
                          <a:xfrm rot="-10799999">
                            <a:off x="1900865" y="-62190"/>
                            <a:ext cx="178369" cy="250646"/>
                          </a:xfrm>
                          <a:prstGeom prst="rect">
                            <a:avLst/>
                          </a:prstGeom>
                          <a:ln>
                            <a:noFill/>
                          </a:ln>
                        </wps:spPr>
                        <wps:txbx>
                          <w:txbxContent>
                            <w:p w14:paraId="713F169F" w14:textId="77777777" w:rsidR="00B32EF2" w:rsidRDefault="00000000">
                              <w:r>
                                <w:rPr>
                                  <w:rFonts w:ascii="Times New Roman" w:eastAsia="Times New Roman" w:hAnsi="Times New Roman" w:cs="Times New Roman"/>
                                </w:rPr>
                                <w:t>48</w:t>
                              </w:r>
                            </w:p>
                          </w:txbxContent>
                        </wps:txbx>
                        <wps:bodyPr horzOverflow="overflow" vert="horz" lIns="0" tIns="0" rIns="0" bIns="0" rtlCol="0">
                          <a:noAutofit/>
                        </wps:bodyPr>
                      </wps:wsp>
                      <wps:wsp>
                        <wps:cNvPr id="19966" name="Rectangle 19966"/>
                        <wps:cNvSpPr/>
                        <wps:spPr>
                          <a:xfrm rot="-10799999">
                            <a:off x="1508690" y="6119965"/>
                            <a:ext cx="806811" cy="142889"/>
                          </a:xfrm>
                          <a:prstGeom prst="rect">
                            <a:avLst/>
                          </a:prstGeom>
                          <a:ln>
                            <a:noFill/>
                          </a:ln>
                        </wps:spPr>
                        <wps:txbx>
                          <w:txbxContent>
                            <w:p w14:paraId="53AE24E1" w14:textId="77777777" w:rsidR="00B32EF2" w:rsidRDefault="00000000">
                              <w:r>
                                <w:rPr>
                                  <w:rFonts w:ascii="Arial" w:eastAsia="Arial" w:hAnsi="Arial" w:cs="Arial"/>
                                  <w:b/>
                                  <w:sz w:val="18"/>
                                </w:rPr>
                                <w:t>Articolo 57</w:t>
                              </w:r>
                            </w:p>
                          </w:txbxContent>
                        </wps:txbx>
                        <wps:bodyPr horzOverflow="overflow" vert="horz" lIns="0" tIns="0" rIns="0" bIns="0" rtlCol="0">
                          <a:noAutofit/>
                        </wps:bodyPr>
                      </wps:wsp>
                      <wps:wsp>
                        <wps:cNvPr id="201541" name="Rectangle 201541"/>
                        <wps:cNvSpPr/>
                        <wps:spPr>
                          <a:xfrm rot="-10799999">
                            <a:off x="-343527" y="5996635"/>
                            <a:ext cx="4363630" cy="142890"/>
                          </a:xfrm>
                          <a:prstGeom prst="rect">
                            <a:avLst/>
                          </a:prstGeom>
                          <a:ln>
                            <a:noFill/>
                          </a:ln>
                        </wps:spPr>
                        <wps:txbx>
                          <w:txbxContent>
                            <w:p w14:paraId="03696162" w14:textId="77777777" w:rsidR="00B32EF2" w:rsidRDefault="00000000">
                              <w:r>
                                <w:rPr>
                                  <w:rFonts w:ascii="Arial" w:eastAsia="Arial" w:hAnsi="Arial" w:cs="Arial"/>
                                  <w:i/>
                                  <w:sz w:val="18"/>
                                </w:rPr>
                                <w:t xml:space="preserve">articoli 12 D.lgs. n. 546/92 e 63, commi 3, 4 e 5, dpr. n. </w:t>
                              </w:r>
                            </w:p>
                          </w:txbxContent>
                        </wps:txbx>
                        <wps:bodyPr horzOverflow="overflow" vert="horz" lIns="0" tIns="0" rIns="0" bIns="0" rtlCol="0">
                          <a:noAutofit/>
                        </wps:bodyPr>
                      </wps:wsp>
                      <wps:wsp>
                        <wps:cNvPr id="201539" name="Rectangle 201539"/>
                        <wps:cNvSpPr/>
                        <wps:spPr>
                          <a:xfrm rot="-10799999">
                            <a:off x="2531815" y="5996635"/>
                            <a:ext cx="4363630" cy="142890"/>
                          </a:xfrm>
                          <a:prstGeom prst="rect">
                            <a:avLst/>
                          </a:prstGeom>
                          <a:ln>
                            <a:noFill/>
                          </a:ln>
                        </wps:spPr>
                        <wps:txbx>
                          <w:txbxContent>
                            <w:p w14:paraId="5E680CE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540" name="Rectangle 201540"/>
                        <wps:cNvSpPr/>
                        <wps:spPr>
                          <a:xfrm rot="-10799999">
                            <a:off x="-3589292" y="5996635"/>
                            <a:ext cx="4363630" cy="142890"/>
                          </a:xfrm>
                          <a:prstGeom prst="rect">
                            <a:avLst/>
                          </a:prstGeom>
                          <a:ln>
                            <a:noFill/>
                          </a:ln>
                        </wps:spPr>
                        <wps:txbx>
                          <w:txbxContent>
                            <w:p w14:paraId="11E99226" w14:textId="77777777" w:rsidR="00B32EF2" w:rsidRDefault="00000000">
                              <w:r>
                                <w:rPr>
                                  <w:rFonts w:ascii="Arial" w:eastAsia="Arial" w:hAnsi="Arial" w:cs="Arial"/>
                                  <w:i/>
                                  <w:sz w:val="18"/>
                                </w:rPr>
                                <w:t>600/73)</w:t>
                              </w:r>
                            </w:p>
                          </w:txbxContent>
                        </wps:txbx>
                        <wps:bodyPr horzOverflow="overflow" vert="horz" lIns="0" tIns="0" rIns="0" bIns="0" rtlCol="0">
                          <a:noAutofit/>
                        </wps:bodyPr>
                      </wps:wsp>
                      <wps:wsp>
                        <wps:cNvPr id="19968" name="Rectangle 19968"/>
                        <wps:cNvSpPr/>
                        <wps:spPr>
                          <a:xfrm rot="-10799999">
                            <a:off x="1100712" y="5873305"/>
                            <a:ext cx="1435044" cy="142889"/>
                          </a:xfrm>
                          <a:prstGeom prst="rect">
                            <a:avLst/>
                          </a:prstGeom>
                          <a:ln>
                            <a:noFill/>
                          </a:ln>
                        </wps:spPr>
                        <wps:txbx>
                          <w:txbxContent>
                            <w:p w14:paraId="1EDA41D3" w14:textId="77777777" w:rsidR="00B32EF2" w:rsidRDefault="00000000">
                              <w:r>
                                <w:rPr>
                                  <w:rFonts w:ascii="Arial" w:eastAsia="Arial" w:hAnsi="Arial" w:cs="Arial"/>
                                  <w:b/>
                                  <w:sz w:val="18"/>
                                </w:rPr>
                                <w:t xml:space="preserve">Assistenza tecnica </w:t>
                              </w:r>
                            </w:p>
                          </w:txbxContent>
                        </wps:txbx>
                        <wps:bodyPr horzOverflow="overflow" vert="horz" lIns="0" tIns="0" rIns="0" bIns="0" rtlCol="0">
                          <a:noAutofit/>
                        </wps:bodyPr>
                      </wps:wsp>
                      <wps:wsp>
                        <wps:cNvPr id="201537" name="Rectangle 201537"/>
                        <wps:cNvSpPr/>
                        <wps:spPr>
                          <a:xfrm rot="-10799999">
                            <a:off x="2611329" y="5749976"/>
                            <a:ext cx="5309067" cy="142889"/>
                          </a:xfrm>
                          <a:prstGeom prst="rect">
                            <a:avLst/>
                          </a:prstGeom>
                          <a:ln>
                            <a:noFill/>
                          </a:ln>
                        </wps:spPr>
                        <wps:txbx>
                          <w:txbxContent>
                            <w:p w14:paraId="6C2CAE91"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538" name="Rectangle 201538"/>
                        <wps:cNvSpPr/>
                        <wps:spPr>
                          <a:xfrm rot="-10799999">
                            <a:off x="-1376082" y="5749976"/>
                            <a:ext cx="5309066" cy="142889"/>
                          </a:xfrm>
                          <a:prstGeom prst="rect">
                            <a:avLst/>
                          </a:prstGeom>
                          <a:ln>
                            <a:noFill/>
                          </a:ln>
                        </wps:spPr>
                        <wps:txbx>
                          <w:txbxContent>
                            <w:p w14:paraId="5A26CE2D" w14:textId="77777777" w:rsidR="00B32EF2" w:rsidRDefault="00000000">
                              <w:r>
                                <w:rPr>
                                  <w:rFonts w:ascii="Arial" w:eastAsia="Arial" w:hAnsi="Arial" w:cs="Arial"/>
                                  <w:sz w:val="18"/>
                                </w:rPr>
                                <w:t xml:space="preserve">. Le parti, diverse dagli enti impositori, dagli agenti della riscossione e dai </w:t>
                              </w:r>
                            </w:p>
                          </w:txbxContent>
                        </wps:txbx>
                        <wps:bodyPr horzOverflow="overflow" vert="horz" lIns="0" tIns="0" rIns="0" bIns="0" rtlCol="0">
                          <a:noAutofit/>
                        </wps:bodyPr>
                      </wps:wsp>
                      <wps:wsp>
                        <wps:cNvPr id="19970" name="Rectangle 19970"/>
                        <wps:cNvSpPr/>
                        <wps:spPr>
                          <a:xfrm rot="-10799999">
                            <a:off x="-1315170" y="5626646"/>
                            <a:ext cx="5302423" cy="142889"/>
                          </a:xfrm>
                          <a:prstGeom prst="rect">
                            <a:avLst/>
                          </a:prstGeom>
                          <a:ln>
                            <a:noFill/>
                          </a:ln>
                        </wps:spPr>
                        <wps:txbx>
                          <w:txbxContent>
                            <w:p w14:paraId="7C5E0170" w14:textId="77777777" w:rsidR="00B32EF2" w:rsidRDefault="00000000">
                              <w:r>
                                <w:rPr>
                                  <w:rFonts w:ascii="Arial" w:eastAsia="Arial" w:hAnsi="Arial" w:cs="Arial"/>
                                  <w:sz w:val="18"/>
                                </w:rPr>
                                <w:t xml:space="preserve">soggetti iscritti nell’albo di cui all’articolo 53 del decreto legislativo 15 dicembre </w:t>
                              </w:r>
                            </w:p>
                          </w:txbxContent>
                        </wps:txbx>
                        <wps:bodyPr horzOverflow="overflow" vert="horz" lIns="0" tIns="0" rIns="0" bIns="0" rtlCol="0">
                          <a:noAutofit/>
                        </wps:bodyPr>
                      </wps:wsp>
                      <wps:wsp>
                        <wps:cNvPr id="201535" name="Rectangle 201535"/>
                        <wps:cNvSpPr/>
                        <wps:spPr>
                          <a:xfrm rot="-10799999">
                            <a:off x="2508055" y="5503316"/>
                            <a:ext cx="4962159" cy="142889"/>
                          </a:xfrm>
                          <a:prstGeom prst="rect">
                            <a:avLst/>
                          </a:prstGeom>
                          <a:ln>
                            <a:noFill/>
                          </a:ln>
                        </wps:spPr>
                        <wps:txbx>
                          <w:txbxContent>
                            <w:p w14:paraId="2E2237A5" w14:textId="77777777" w:rsidR="00B32EF2" w:rsidRDefault="00000000">
                              <w:r>
                                <w:rPr>
                                  <w:rFonts w:ascii="Arial" w:eastAsia="Arial" w:hAnsi="Arial" w:cs="Arial"/>
                                  <w:sz w:val="18"/>
                                </w:rPr>
                                <w:t>1997</w:t>
                              </w:r>
                            </w:p>
                          </w:txbxContent>
                        </wps:txbx>
                        <wps:bodyPr horzOverflow="overflow" vert="horz" lIns="0" tIns="0" rIns="0" bIns="0" rtlCol="0">
                          <a:noAutofit/>
                        </wps:bodyPr>
                      </wps:wsp>
                      <wps:wsp>
                        <wps:cNvPr id="201536" name="Rectangle 201536"/>
                        <wps:cNvSpPr/>
                        <wps:spPr>
                          <a:xfrm rot="-10799999">
                            <a:off x="-1211781" y="5503316"/>
                            <a:ext cx="4962159" cy="142889"/>
                          </a:xfrm>
                          <a:prstGeom prst="rect">
                            <a:avLst/>
                          </a:prstGeom>
                          <a:ln>
                            <a:noFill/>
                          </a:ln>
                        </wps:spPr>
                        <wps:txbx>
                          <w:txbxContent>
                            <w:p w14:paraId="0F270B53" w14:textId="77777777" w:rsidR="00B32EF2" w:rsidRDefault="00000000">
                              <w:r>
                                <w:rPr>
                                  <w:rFonts w:ascii="Arial" w:eastAsia="Arial" w:hAnsi="Arial" w:cs="Arial"/>
                                  <w:sz w:val="18"/>
                                </w:rPr>
                                <w:t>, n. 446, devono essere assistite in giudizio da un difensore abilitato.</w:t>
                              </w:r>
                            </w:p>
                          </w:txbxContent>
                        </wps:txbx>
                        <wps:bodyPr horzOverflow="overflow" vert="horz" lIns="0" tIns="0" rIns="0" bIns="0" rtlCol="0">
                          <a:noAutofit/>
                        </wps:bodyPr>
                      </wps:wsp>
                      <wps:wsp>
                        <wps:cNvPr id="201533" name="Rectangle 201533"/>
                        <wps:cNvSpPr/>
                        <wps:spPr>
                          <a:xfrm rot="-10799999">
                            <a:off x="2611349" y="5379987"/>
                            <a:ext cx="5308990" cy="142889"/>
                          </a:xfrm>
                          <a:prstGeom prst="rect">
                            <a:avLst/>
                          </a:prstGeom>
                          <a:ln>
                            <a:noFill/>
                          </a:ln>
                        </wps:spPr>
                        <wps:txbx>
                          <w:txbxContent>
                            <w:p w14:paraId="1CF18425"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534" name="Rectangle 201534"/>
                        <wps:cNvSpPr/>
                        <wps:spPr>
                          <a:xfrm rot="-10799999">
                            <a:off x="-1381378" y="5379987"/>
                            <a:ext cx="5308990" cy="142889"/>
                          </a:xfrm>
                          <a:prstGeom prst="rect">
                            <a:avLst/>
                          </a:prstGeom>
                          <a:ln>
                            <a:noFill/>
                          </a:ln>
                        </wps:spPr>
                        <wps:txbx>
                          <w:txbxContent>
                            <w:p w14:paraId="2BFC1D51" w14:textId="77777777" w:rsidR="00B32EF2" w:rsidRDefault="00000000">
                              <w:r>
                                <w:rPr>
                                  <w:rFonts w:ascii="Arial" w:eastAsia="Arial" w:hAnsi="Arial" w:cs="Arial"/>
                                  <w:sz w:val="18"/>
                                </w:rPr>
                                <w:t xml:space="preserve">. Per le controversie di valore fino a 3.000 euro le parti possono stare in </w:t>
                              </w:r>
                            </w:p>
                          </w:txbxContent>
                        </wps:txbx>
                        <wps:bodyPr horzOverflow="overflow" vert="horz" lIns="0" tIns="0" rIns="0" bIns="0" rtlCol="0">
                          <a:noAutofit/>
                        </wps:bodyPr>
                      </wps:wsp>
                      <wps:wsp>
                        <wps:cNvPr id="19973" name="Rectangle 19973"/>
                        <wps:cNvSpPr/>
                        <wps:spPr>
                          <a:xfrm rot="-10799999">
                            <a:off x="-1316821" y="5256657"/>
                            <a:ext cx="5308990" cy="142889"/>
                          </a:xfrm>
                          <a:prstGeom prst="rect">
                            <a:avLst/>
                          </a:prstGeom>
                          <a:ln>
                            <a:noFill/>
                          </a:ln>
                        </wps:spPr>
                        <wps:txbx>
                          <w:txbxContent>
                            <w:p w14:paraId="75C433FE" w14:textId="77777777" w:rsidR="00B32EF2" w:rsidRDefault="00000000">
                              <w:r>
                                <w:rPr>
                                  <w:rFonts w:ascii="Arial" w:eastAsia="Arial" w:hAnsi="Arial" w:cs="Arial"/>
                                  <w:sz w:val="18"/>
                                </w:rPr>
                                <w:t xml:space="preserve">giudizio senza assistenza tecnica. Per valore della lite si intende l’importo del </w:t>
                              </w:r>
                            </w:p>
                          </w:txbxContent>
                        </wps:txbx>
                        <wps:bodyPr horzOverflow="overflow" vert="horz" lIns="0" tIns="0" rIns="0" bIns="0" rtlCol="0">
                          <a:noAutofit/>
                        </wps:bodyPr>
                      </wps:wsp>
                      <wps:wsp>
                        <wps:cNvPr id="19974" name="Rectangle 19974"/>
                        <wps:cNvSpPr/>
                        <wps:spPr>
                          <a:xfrm rot="-10799999">
                            <a:off x="-1219970" y="5133327"/>
                            <a:ext cx="5212139" cy="142889"/>
                          </a:xfrm>
                          <a:prstGeom prst="rect">
                            <a:avLst/>
                          </a:prstGeom>
                          <a:ln>
                            <a:noFill/>
                          </a:ln>
                        </wps:spPr>
                        <wps:txbx>
                          <w:txbxContent>
                            <w:p w14:paraId="6EB94C40" w14:textId="77777777" w:rsidR="00B32EF2" w:rsidRDefault="00000000">
                              <w:r>
                                <w:rPr>
                                  <w:rFonts w:ascii="Arial" w:eastAsia="Arial" w:hAnsi="Arial" w:cs="Arial"/>
                                  <w:sz w:val="18"/>
                                </w:rPr>
                                <w:t>tributo al netto degli interessi e delle eventuali sanzioni irrogate con l’atto im</w:t>
                              </w:r>
                            </w:p>
                          </w:txbxContent>
                        </wps:txbx>
                        <wps:bodyPr horzOverflow="overflow" vert="horz" lIns="0" tIns="0" rIns="0" bIns="0" rtlCol="0">
                          <a:noAutofit/>
                        </wps:bodyPr>
                      </wps:wsp>
                      <wps:wsp>
                        <wps:cNvPr id="19975" name="Rectangle 19975"/>
                        <wps:cNvSpPr/>
                        <wps:spPr>
                          <a:xfrm rot="-10799999">
                            <a:off x="19569" y="5133327"/>
                            <a:ext cx="50622" cy="142889"/>
                          </a:xfrm>
                          <a:prstGeom prst="rect">
                            <a:avLst/>
                          </a:prstGeom>
                          <a:ln>
                            <a:noFill/>
                          </a:ln>
                        </wps:spPr>
                        <wps:txbx>
                          <w:txbxContent>
                            <w:p w14:paraId="3D24F41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976" name="Rectangle 19976"/>
                        <wps:cNvSpPr/>
                        <wps:spPr>
                          <a:xfrm rot="-10799999">
                            <a:off x="-1220244" y="5009998"/>
                            <a:ext cx="5212412" cy="142889"/>
                          </a:xfrm>
                          <a:prstGeom prst="rect">
                            <a:avLst/>
                          </a:prstGeom>
                          <a:ln>
                            <a:noFill/>
                          </a:ln>
                        </wps:spPr>
                        <wps:txbx>
                          <w:txbxContent>
                            <w:p w14:paraId="300DEFBF" w14:textId="77777777" w:rsidR="00B32EF2" w:rsidRDefault="00000000">
                              <w:r>
                                <w:rPr>
                                  <w:rFonts w:ascii="Arial" w:eastAsia="Arial" w:hAnsi="Arial" w:cs="Arial"/>
                                  <w:sz w:val="18"/>
                                </w:rPr>
                                <w:t>pugnato; in caso di controversie relative esclusivamente alle irrogazioni di san</w:t>
                              </w:r>
                            </w:p>
                          </w:txbxContent>
                        </wps:txbx>
                        <wps:bodyPr horzOverflow="overflow" vert="horz" lIns="0" tIns="0" rIns="0" bIns="0" rtlCol="0">
                          <a:noAutofit/>
                        </wps:bodyPr>
                      </wps:wsp>
                      <wps:wsp>
                        <wps:cNvPr id="19977" name="Rectangle 19977"/>
                        <wps:cNvSpPr/>
                        <wps:spPr>
                          <a:xfrm rot="-10799999">
                            <a:off x="19569" y="5009997"/>
                            <a:ext cx="50622" cy="142889"/>
                          </a:xfrm>
                          <a:prstGeom prst="rect">
                            <a:avLst/>
                          </a:prstGeom>
                          <a:ln>
                            <a:noFill/>
                          </a:ln>
                        </wps:spPr>
                        <wps:txbx>
                          <w:txbxContent>
                            <w:p w14:paraId="71E873A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978" name="Rectangle 19978"/>
                        <wps:cNvSpPr/>
                        <wps:spPr>
                          <a:xfrm rot="-10799999">
                            <a:off x="667558" y="4886668"/>
                            <a:ext cx="3324610" cy="142889"/>
                          </a:xfrm>
                          <a:prstGeom prst="rect">
                            <a:avLst/>
                          </a:prstGeom>
                          <a:ln>
                            <a:noFill/>
                          </a:ln>
                        </wps:spPr>
                        <wps:txbx>
                          <w:txbxContent>
                            <w:p w14:paraId="591CE5CD" w14:textId="77777777" w:rsidR="00B32EF2" w:rsidRDefault="00000000">
                              <w:r>
                                <w:rPr>
                                  <w:rFonts w:ascii="Arial" w:eastAsia="Arial" w:hAnsi="Arial" w:cs="Arial"/>
                                  <w:sz w:val="18"/>
                                </w:rPr>
                                <w:t>zioni, il valore è costituito dalla somma di queste.</w:t>
                              </w:r>
                            </w:p>
                          </w:txbxContent>
                        </wps:txbx>
                        <wps:bodyPr horzOverflow="overflow" vert="horz" lIns="0" tIns="0" rIns="0" bIns="0" rtlCol="0">
                          <a:noAutofit/>
                        </wps:bodyPr>
                      </wps:wsp>
                      <wps:wsp>
                        <wps:cNvPr id="201532" name="Rectangle 201532"/>
                        <wps:cNvSpPr/>
                        <wps:spPr>
                          <a:xfrm rot="-10799999">
                            <a:off x="-1381360" y="4763338"/>
                            <a:ext cx="5309005" cy="142889"/>
                          </a:xfrm>
                          <a:prstGeom prst="rect">
                            <a:avLst/>
                          </a:prstGeom>
                          <a:ln>
                            <a:noFill/>
                          </a:ln>
                        </wps:spPr>
                        <wps:txbx>
                          <w:txbxContent>
                            <w:p w14:paraId="1A6219D7" w14:textId="77777777" w:rsidR="00B32EF2" w:rsidRDefault="00000000">
                              <w:r>
                                <w:rPr>
                                  <w:rFonts w:ascii="Arial" w:eastAsia="Arial" w:hAnsi="Arial" w:cs="Arial"/>
                                  <w:sz w:val="18"/>
                                </w:rPr>
                                <w:t xml:space="preserve">. Sono abilitati all’assistenza tecnica, se iscritti nei relativi albi professionali o </w:t>
                              </w:r>
                            </w:p>
                          </w:txbxContent>
                        </wps:txbx>
                        <wps:bodyPr horzOverflow="overflow" vert="horz" lIns="0" tIns="0" rIns="0" bIns="0" rtlCol="0">
                          <a:noAutofit/>
                        </wps:bodyPr>
                      </wps:wsp>
                      <wps:wsp>
                        <wps:cNvPr id="201531" name="Rectangle 201531"/>
                        <wps:cNvSpPr/>
                        <wps:spPr>
                          <a:xfrm rot="-10799999">
                            <a:off x="2611345" y="4763338"/>
                            <a:ext cx="5309005" cy="142889"/>
                          </a:xfrm>
                          <a:prstGeom prst="rect">
                            <a:avLst/>
                          </a:prstGeom>
                          <a:ln>
                            <a:noFill/>
                          </a:ln>
                        </wps:spPr>
                        <wps:txbx>
                          <w:txbxContent>
                            <w:p w14:paraId="706C5ED1"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19980" name="Rectangle 19980"/>
                        <wps:cNvSpPr/>
                        <wps:spPr>
                          <a:xfrm rot="-10799999">
                            <a:off x="1994395" y="4640009"/>
                            <a:ext cx="1997773" cy="142889"/>
                          </a:xfrm>
                          <a:prstGeom prst="rect">
                            <a:avLst/>
                          </a:prstGeom>
                          <a:ln>
                            <a:noFill/>
                          </a:ln>
                        </wps:spPr>
                        <wps:txbx>
                          <w:txbxContent>
                            <w:p w14:paraId="72279188" w14:textId="77777777" w:rsidR="00B32EF2" w:rsidRDefault="00000000">
                              <w:r>
                                <w:rPr>
                                  <w:rFonts w:ascii="Arial" w:eastAsia="Arial" w:hAnsi="Arial" w:cs="Arial"/>
                                  <w:sz w:val="18"/>
                                </w:rPr>
                                <w:t>nell’elenco di cui al comma 4:</w:t>
                              </w:r>
                            </w:p>
                          </w:txbxContent>
                        </wps:txbx>
                        <wps:bodyPr horzOverflow="overflow" vert="horz" lIns="0" tIns="0" rIns="0" bIns="0" rtlCol="0">
                          <a:noAutofit/>
                        </wps:bodyPr>
                      </wps:wsp>
                      <wps:wsp>
                        <wps:cNvPr id="19981" name="Rectangle 19981"/>
                        <wps:cNvSpPr/>
                        <wps:spPr>
                          <a:xfrm rot="-10799999">
                            <a:off x="3018167" y="4516679"/>
                            <a:ext cx="974001" cy="142889"/>
                          </a:xfrm>
                          <a:prstGeom prst="rect">
                            <a:avLst/>
                          </a:prstGeom>
                          <a:ln>
                            <a:noFill/>
                          </a:ln>
                        </wps:spPr>
                        <wps:txbx>
                          <w:txbxContent>
                            <w:p w14:paraId="6FF671EF" w14:textId="77777777" w:rsidR="00B32EF2" w:rsidRDefault="00000000">
                              <w:r>
                                <w:rPr>
                                  <w:rFonts w:ascii="Arial" w:eastAsia="Arial" w:hAnsi="Arial" w:cs="Arial"/>
                                  <w:sz w:val="18"/>
                                </w:rPr>
                                <w:t>a) gli avvocati;</w:t>
                              </w:r>
                            </w:p>
                          </w:txbxContent>
                        </wps:txbx>
                        <wps:bodyPr horzOverflow="overflow" vert="horz" lIns="0" tIns="0" rIns="0" bIns="0" rtlCol="0">
                          <a:noAutofit/>
                        </wps:bodyPr>
                      </wps:wsp>
                      <wps:wsp>
                        <wps:cNvPr id="19982" name="Rectangle 19982"/>
                        <wps:cNvSpPr/>
                        <wps:spPr>
                          <a:xfrm rot="-10799999">
                            <a:off x="-1228651" y="4393349"/>
                            <a:ext cx="5220820" cy="142889"/>
                          </a:xfrm>
                          <a:prstGeom prst="rect">
                            <a:avLst/>
                          </a:prstGeom>
                          <a:ln>
                            <a:noFill/>
                          </a:ln>
                        </wps:spPr>
                        <wps:txbx>
                          <w:txbxContent>
                            <w:p w14:paraId="5F1B3992" w14:textId="77777777" w:rsidR="00B32EF2" w:rsidRDefault="00000000">
                              <w:r>
                                <w:rPr>
                                  <w:rFonts w:ascii="Arial" w:eastAsia="Arial" w:hAnsi="Arial" w:cs="Arial"/>
                                  <w:sz w:val="18"/>
                                </w:rPr>
                                <w:t>b) i soggetti iscritti nella Sezione A commercialisti dell’Albo dei dottori commer</w:t>
                              </w:r>
                            </w:p>
                          </w:txbxContent>
                        </wps:txbx>
                        <wps:bodyPr horzOverflow="overflow" vert="horz" lIns="0" tIns="0" rIns="0" bIns="0" rtlCol="0">
                          <a:noAutofit/>
                        </wps:bodyPr>
                      </wps:wsp>
                      <wps:wsp>
                        <wps:cNvPr id="19983" name="Rectangle 19983"/>
                        <wps:cNvSpPr/>
                        <wps:spPr>
                          <a:xfrm rot="-10799999">
                            <a:off x="19569" y="4393349"/>
                            <a:ext cx="50622" cy="142889"/>
                          </a:xfrm>
                          <a:prstGeom prst="rect">
                            <a:avLst/>
                          </a:prstGeom>
                          <a:ln>
                            <a:noFill/>
                          </a:ln>
                        </wps:spPr>
                        <wps:txbx>
                          <w:txbxContent>
                            <w:p w14:paraId="6D52601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984" name="Rectangle 19984"/>
                        <wps:cNvSpPr/>
                        <wps:spPr>
                          <a:xfrm rot="-10799999">
                            <a:off x="1914220" y="4270019"/>
                            <a:ext cx="2077948" cy="142889"/>
                          </a:xfrm>
                          <a:prstGeom prst="rect">
                            <a:avLst/>
                          </a:prstGeom>
                          <a:ln>
                            <a:noFill/>
                          </a:ln>
                        </wps:spPr>
                        <wps:txbx>
                          <w:txbxContent>
                            <w:p w14:paraId="1EBECF67" w14:textId="77777777" w:rsidR="00B32EF2" w:rsidRDefault="00000000">
                              <w:r>
                                <w:rPr>
                                  <w:rFonts w:ascii="Arial" w:eastAsia="Arial" w:hAnsi="Arial" w:cs="Arial"/>
                                  <w:sz w:val="18"/>
                                </w:rPr>
                                <w:t>cialisti e degli esperti contabili;</w:t>
                              </w:r>
                            </w:p>
                          </w:txbxContent>
                        </wps:txbx>
                        <wps:bodyPr horzOverflow="overflow" vert="horz" lIns="0" tIns="0" rIns="0" bIns="0" rtlCol="0">
                          <a:noAutofit/>
                        </wps:bodyPr>
                      </wps:wsp>
                      <wps:wsp>
                        <wps:cNvPr id="19985" name="Rectangle 19985"/>
                        <wps:cNvSpPr/>
                        <wps:spPr>
                          <a:xfrm rot="-10799999">
                            <a:off x="2314273" y="4146690"/>
                            <a:ext cx="1677895" cy="142889"/>
                          </a:xfrm>
                          <a:prstGeom prst="rect">
                            <a:avLst/>
                          </a:prstGeom>
                          <a:ln>
                            <a:noFill/>
                          </a:ln>
                        </wps:spPr>
                        <wps:txbx>
                          <w:txbxContent>
                            <w:p w14:paraId="182200D2" w14:textId="77777777" w:rsidR="00B32EF2" w:rsidRDefault="00000000">
                              <w:r>
                                <w:rPr>
                                  <w:rFonts w:ascii="Arial" w:eastAsia="Arial" w:hAnsi="Arial" w:cs="Arial"/>
                                  <w:sz w:val="18"/>
                                </w:rPr>
                                <w:t>c) i consulenti del lavoro;</w:t>
                              </w:r>
                            </w:p>
                          </w:txbxContent>
                        </wps:txbx>
                        <wps:bodyPr horzOverflow="overflow" vert="horz" lIns="0" tIns="0" rIns="0" bIns="0" rtlCol="0">
                          <a:noAutofit/>
                        </wps:bodyPr>
                      </wps:wsp>
                      <wps:wsp>
                        <wps:cNvPr id="19986" name="Rectangle 19986"/>
                        <wps:cNvSpPr/>
                        <wps:spPr>
                          <a:xfrm rot="-10799999">
                            <a:off x="1799324" y="4023360"/>
                            <a:ext cx="2192844" cy="142889"/>
                          </a:xfrm>
                          <a:prstGeom prst="rect">
                            <a:avLst/>
                          </a:prstGeom>
                          <a:ln>
                            <a:noFill/>
                          </a:ln>
                        </wps:spPr>
                        <wps:txbx>
                          <w:txbxContent>
                            <w:p w14:paraId="1494B807" w14:textId="77777777" w:rsidR="00B32EF2" w:rsidRDefault="00000000">
                              <w:r>
                                <w:rPr>
                                  <w:rFonts w:ascii="Arial" w:eastAsia="Arial" w:hAnsi="Arial" w:cs="Arial"/>
                                  <w:sz w:val="18"/>
                                </w:rPr>
                                <w:t xml:space="preserve">d) i soggetti di cui al comma 12; </w:t>
                              </w:r>
                            </w:p>
                          </w:txbxContent>
                        </wps:txbx>
                        <wps:bodyPr horzOverflow="overflow" vert="horz" lIns="0" tIns="0" rIns="0" bIns="0" rtlCol="0">
                          <a:noAutofit/>
                        </wps:bodyPr>
                      </wps:wsp>
                      <wps:wsp>
                        <wps:cNvPr id="19987" name="Rectangle 19987"/>
                        <wps:cNvSpPr/>
                        <wps:spPr>
                          <a:xfrm rot="-10799999">
                            <a:off x="-1316837" y="3900030"/>
                            <a:ext cx="5309005" cy="142889"/>
                          </a:xfrm>
                          <a:prstGeom prst="rect">
                            <a:avLst/>
                          </a:prstGeom>
                          <a:ln>
                            <a:noFill/>
                          </a:ln>
                        </wps:spPr>
                        <wps:txbx>
                          <w:txbxContent>
                            <w:p w14:paraId="34C45987" w14:textId="77777777" w:rsidR="00B32EF2" w:rsidRDefault="00000000">
                              <w:r>
                                <w:rPr>
                                  <w:rFonts w:ascii="Arial" w:eastAsia="Arial" w:hAnsi="Arial" w:cs="Arial"/>
                                  <w:sz w:val="18"/>
                                </w:rPr>
                                <w:t xml:space="preserve">e) i soggetti già iscritti alla data del 30 settembre 1993 nei ruoli di periti ed </w:t>
                              </w:r>
                            </w:p>
                          </w:txbxContent>
                        </wps:txbx>
                        <wps:bodyPr horzOverflow="overflow" vert="horz" lIns="0" tIns="0" rIns="0" bIns="0" rtlCol="0">
                          <a:noAutofit/>
                        </wps:bodyPr>
                      </wps:wsp>
                      <wps:wsp>
                        <wps:cNvPr id="19988" name="Rectangle 19988"/>
                        <wps:cNvSpPr/>
                        <wps:spPr>
                          <a:xfrm rot="-10799999">
                            <a:off x="-1316821" y="3776701"/>
                            <a:ext cx="5308990" cy="142889"/>
                          </a:xfrm>
                          <a:prstGeom prst="rect">
                            <a:avLst/>
                          </a:prstGeom>
                          <a:ln>
                            <a:noFill/>
                          </a:ln>
                        </wps:spPr>
                        <wps:txbx>
                          <w:txbxContent>
                            <w:p w14:paraId="2610428F" w14:textId="77777777" w:rsidR="00B32EF2" w:rsidRDefault="00000000">
                              <w:r>
                                <w:rPr>
                                  <w:rFonts w:ascii="Arial" w:eastAsia="Arial" w:hAnsi="Arial" w:cs="Arial"/>
                                  <w:sz w:val="18"/>
                                </w:rPr>
                                <w:t xml:space="preserve">esperti tenuti dalle camere di commercio, industria, artigianato e agricoltura </w:t>
                              </w:r>
                            </w:p>
                          </w:txbxContent>
                        </wps:txbx>
                        <wps:bodyPr horzOverflow="overflow" vert="horz" lIns="0" tIns="0" rIns="0" bIns="0" rtlCol="0">
                          <a:noAutofit/>
                        </wps:bodyPr>
                      </wps:wsp>
                      <wps:wsp>
                        <wps:cNvPr id="19989" name="Rectangle 19989"/>
                        <wps:cNvSpPr/>
                        <wps:spPr>
                          <a:xfrm rot="-10799999">
                            <a:off x="-1316928" y="3653371"/>
                            <a:ext cx="5309096" cy="142889"/>
                          </a:xfrm>
                          <a:prstGeom prst="rect">
                            <a:avLst/>
                          </a:prstGeom>
                          <a:ln>
                            <a:noFill/>
                          </a:ln>
                        </wps:spPr>
                        <wps:txbx>
                          <w:txbxContent>
                            <w:p w14:paraId="28FDF53D" w14:textId="77777777" w:rsidR="00B32EF2" w:rsidRDefault="00000000">
                              <w:r>
                                <w:rPr>
                                  <w:rFonts w:ascii="Arial" w:eastAsia="Arial" w:hAnsi="Arial" w:cs="Arial"/>
                                  <w:sz w:val="18"/>
                                </w:rPr>
                                <w:t xml:space="preserve">per la subcategoria tributi, in possesso di diploma di laurea in giurisprudenza </w:t>
                              </w:r>
                            </w:p>
                          </w:txbxContent>
                        </wps:txbx>
                        <wps:bodyPr horzOverflow="overflow" vert="horz" lIns="0" tIns="0" rIns="0" bIns="0" rtlCol="0">
                          <a:noAutofit/>
                        </wps:bodyPr>
                      </wps:wsp>
                      <wps:wsp>
                        <wps:cNvPr id="19990" name="Rectangle 19990"/>
                        <wps:cNvSpPr/>
                        <wps:spPr>
                          <a:xfrm rot="-10799999">
                            <a:off x="-1220654" y="3530041"/>
                            <a:ext cx="5212823" cy="142889"/>
                          </a:xfrm>
                          <a:prstGeom prst="rect">
                            <a:avLst/>
                          </a:prstGeom>
                          <a:ln>
                            <a:noFill/>
                          </a:ln>
                        </wps:spPr>
                        <wps:txbx>
                          <w:txbxContent>
                            <w:p w14:paraId="29026E5A" w14:textId="77777777" w:rsidR="00B32EF2" w:rsidRDefault="00000000">
                              <w:r>
                                <w:rPr>
                                  <w:rFonts w:ascii="Arial" w:eastAsia="Arial" w:hAnsi="Arial" w:cs="Arial"/>
                                  <w:sz w:val="18"/>
                                </w:rPr>
                                <w:t>o in economia e commercio o equipollenti o di diploma di ragioniere limitata</w:t>
                              </w:r>
                            </w:p>
                          </w:txbxContent>
                        </wps:txbx>
                        <wps:bodyPr horzOverflow="overflow" vert="horz" lIns="0" tIns="0" rIns="0" bIns="0" rtlCol="0">
                          <a:noAutofit/>
                        </wps:bodyPr>
                      </wps:wsp>
                      <wps:wsp>
                        <wps:cNvPr id="19991" name="Rectangle 19991"/>
                        <wps:cNvSpPr/>
                        <wps:spPr>
                          <a:xfrm rot="-10799999">
                            <a:off x="19570" y="3530041"/>
                            <a:ext cx="50622" cy="142889"/>
                          </a:xfrm>
                          <a:prstGeom prst="rect">
                            <a:avLst/>
                          </a:prstGeom>
                          <a:ln>
                            <a:noFill/>
                          </a:ln>
                        </wps:spPr>
                        <wps:txbx>
                          <w:txbxContent>
                            <w:p w14:paraId="6BFF7C2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19992" name="Rectangle 19992"/>
                        <wps:cNvSpPr/>
                        <wps:spPr>
                          <a:xfrm rot="-10799999">
                            <a:off x="-1316867" y="3406712"/>
                            <a:ext cx="5309036" cy="142889"/>
                          </a:xfrm>
                          <a:prstGeom prst="rect">
                            <a:avLst/>
                          </a:prstGeom>
                          <a:ln>
                            <a:noFill/>
                          </a:ln>
                        </wps:spPr>
                        <wps:txbx>
                          <w:txbxContent>
                            <w:p w14:paraId="39F477CF" w14:textId="77777777" w:rsidR="00B32EF2" w:rsidRDefault="00000000">
                              <w:r>
                                <w:rPr>
                                  <w:rFonts w:ascii="Arial" w:eastAsia="Arial" w:hAnsi="Arial" w:cs="Arial"/>
                                  <w:sz w:val="18"/>
                                </w:rPr>
                                <w:t xml:space="preserve">mente alle materie concernenti le imposte di registro, di successione, i tributi </w:t>
                              </w:r>
                            </w:p>
                          </w:txbxContent>
                        </wps:txbx>
                        <wps:bodyPr horzOverflow="overflow" vert="horz" lIns="0" tIns="0" rIns="0" bIns="0" rtlCol="0">
                          <a:noAutofit/>
                        </wps:bodyPr>
                      </wps:wsp>
                      <wps:wsp>
                        <wps:cNvPr id="19993" name="Rectangle 19993"/>
                        <wps:cNvSpPr/>
                        <wps:spPr>
                          <a:xfrm rot="-10799999">
                            <a:off x="-1316913" y="3283382"/>
                            <a:ext cx="5309082" cy="142889"/>
                          </a:xfrm>
                          <a:prstGeom prst="rect">
                            <a:avLst/>
                          </a:prstGeom>
                          <a:ln>
                            <a:noFill/>
                          </a:ln>
                        </wps:spPr>
                        <wps:txbx>
                          <w:txbxContent>
                            <w:p w14:paraId="40863E98" w14:textId="77777777" w:rsidR="00B32EF2" w:rsidRDefault="00000000">
                              <w:r>
                                <w:rPr>
                                  <w:rFonts w:ascii="Arial" w:eastAsia="Arial" w:hAnsi="Arial" w:cs="Arial"/>
                                  <w:sz w:val="18"/>
                                </w:rPr>
                                <w:t xml:space="preserve">locali, l’imposta sul valore aggiunto (IVA), l’imposta sul reddito delle persone </w:t>
                              </w:r>
                            </w:p>
                          </w:txbxContent>
                        </wps:txbx>
                        <wps:bodyPr horzOverflow="overflow" vert="horz" lIns="0" tIns="0" rIns="0" bIns="0" rtlCol="0">
                          <a:noAutofit/>
                        </wps:bodyPr>
                      </wps:wsp>
                      <wps:wsp>
                        <wps:cNvPr id="19994" name="Rectangle 19994"/>
                        <wps:cNvSpPr/>
                        <wps:spPr>
                          <a:xfrm rot="-10799999">
                            <a:off x="-1316913" y="3160052"/>
                            <a:ext cx="5309082" cy="142889"/>
                          </a:xfrm>
                          <a:prstGeom prst="rect">
                            <a:avLst/>
                          </a:prstGeom>
                          <a:ln>
                            <a:noFill/>
                          </a:ln>
                        </wps:spPr>
                        <wps:txbx>
                          <w:txbxContent>
                            <w:p w14:paraId="461952E2" w14:textId="77777777" w:rsidR="00B32EF2" w:rsidRDefault="00000000">
                              <w:r>
                                <w:rPr>
                                  <w:rFonts w:ascii="Arial" w:eastAsia="Arial" w:hAnsi="Arial" w:cs="Arial"/>
                                  <w:sz w:val="18"/>
                                </w:rPr>
                                <w:t xml:space="preserve">fisiche (IRPEF), l’imposta regionale sule attività produttive (IRAP) e l’imposta </w:t>
                              </w:r>
                            </w:p>
                          </w:txbxContent>
                        </wps:txbx>
                        <wps:bodyPr horzOverflow="overflow" vert="horz" lIns="0" tIns="0" rIns="0" bIns="0" rtlCol="0">
                          <a:noAutofit/>
                        </wps:bodyPr>
                      </wps:wsp>
                      <wps:wsp>
                        <wps:cNvPr id="19995" name="Rectangle 19995"/>
                        <wps:cNvSpPr/>
                        <wps:spPr>
                          <a:xfrm rot="-10799999">
                            <a:off x="1848228" y="3036723"/>
                            <a:ext cx="2143939" cy="142889"/>
                          </a:xfrm>
                          <a:prstGeom prst="rect">
                            <a:avLst/>
                          </a:prstGeom>
                          <a:ln>
                            <a:noFill/>
                          </a:ln>
                        </wps:spPr>
                        <wps:txbx>
                          <w:txbxContent>
                            <w:p w14:paraId="532952F2" w14:textId="77777777" w:rsidR="00B32EF2" w:rsidRDefault="00000000">
                              <w:r>
                                <w:rPr>
                                  <w:rFonts w:ascii="Arial" w:eastAsia="Arial" w:hAnsi="Arial" w:cs="Arial"/>
                                  <w:sz w:val="18"/>
                                </w:rPr>
                                <w:t>sul reddito delle società (IRES);</w:t>
                              </w:r>
                            </w:p>
                          </w:txbxContent>
                        </wps:txbx>
                        <wps:bodyPr horzOverflow="overflow" vert="horz" lIns="0" tIns="0" rIns="0" bIns="0" rtlCol="0">
                          <a:noAutofit/>
                        </wps:bodyPr>
                      </wps:wsp>
                      <wps:wsp>
                        <wps:cNvPr id="19996" name="Rectangle 19996"/>
                        <wps:cNvSpPr/>
                        <wps:spPr>
                          <a:xfrm rot="-10799999">
                            <a:off x="-1316867" y="2913393"/>
                            <a:ext cx="5309036" cy="142889"/>
                          </a:xfrm>
                          <a:prstGeom prst="rect">
                            <a:avLst/>
                          </a:prstGeom>
                          <a:ln>
                            <a:noFill/>
                          </a:ln>
                        </wps:spPr>
                        <wps:txbx>
                          <w:txbxContent>
                            <w:p w14:paraId="4497C2C3" w14:textId="77777777" w:rsidR="00B32EF2" w:rsidRDefault="00000000">
                              <w:r>
                                <w:rPr>
                                  <w:rFonts w:ascii="Arial" w:eastAsia="Arial" w:hAnsi="Arial" w:cs="Arial"/>
                                  <w:sz w:val="18"/>
                                </w:rPr>
                                <w:t xml:space="preserve">f) i funzionari delle associazioni di categoria che, alla data del 15 gennaio </w:t>
                              </w:r>
                            </w:p>
                          </w:txbxContent>
                        </wps:txbx>
                        <wps:bodyPr horzOverflow="overflow" vert="horz" lIns="0" tIns="0" rIns="0" bIns="0" rtlCol="0">
                          <a:noAutofit/>
                        </wps:bodyPr>
                      </wps:wsp>
                      <wps:wsp>
                        <wps:cNvPr id="201530" name="Rectangle 201530"/>
                        <wps:cNvSpPr/>
                        <wps:spPr>
                          <a:xfrm rot="-10799999">
                            <a:off x="-1572533" y="2790063"/>
                            <a:ext cx="5309036" cy="142889"/>
                          </a:xfrm>
                          <a:prstGeom prst="rect">
                            <a:avLst/>
                          </a:prstGeom>
                          <a:ln>
                            <a:noFill/>
                          </a:ln>
                        </wps:spPr>
                        <wps:txbx>
                          <w:txbxContent>
                            <w:p w14:paraId="5DD2A5FB" w14:textId="77777777" w:rsidR="00B32EF2" w:rsidRDefault="00000000">
                              <w:r>
                                <w:rPr>
                                  <w:rFonts w:ascii="Arial" w:eastAsia="Arial" w:hAnsi="Arial" w:cs="Arial"/>
                                  <w:sz w:val="18"/>
                                </w:rPr>
                                <w:t xml:space="preserve">, risultavano iscritti negli elenchi tenuti dalle ex Intendenze di finanza </w:t>
                              </w:r>
                            </w:p>
                          </w:txbxContent>
                        </wps:txbx>
                        <wps:bodyPr horzOverflow="overflow" vert="horz" lIns="0" tIns="0" rIns="0" bIns="0" rtlCol="0">
                          <a:noAutofit/>
                        </wps:bodyPr>
                      </wps:wsp>
                      <wps:wsp>
                        <wps:cNvPr id="201529" name="Rectangle 201529"/>
                        <wps:cNvSpPr/>
                        <wps:spPr>
                          <a:xfrm rot="-10799999">
                            <a:off x="2419931" y="2790063"/>
                            <a:ext cx="5309036" cy="142889"/>
                          </a:xfrm>
                          <a:prstGeom prst="rect">
                            <a:avLst/>
                          </a:prstGeom>
                          <a:ln>
                            <a:noFill/>
                          </a:ln>
                        </wps:spPr>
                        <wps:txbx>
                          <w:txbxContent>
                            <w:p w14:paraId="46F6152D" w14:textId="77777777" w:rsidR="00B32EF2" w:rsidRDefault="00000000">
                              <w:r>
                                <w:rPr>
                                  <w:rFonts w:ascii="Arial" w:eastAsia="Arial" w:hAnsi="Arial" w:cs="Arial"/>
                                  <w:sz w:val="18"/>
                                </w:rPr>
                                <w:t>1993</w:t>
                              </w:r>
                            </w:p>
                          </w:txbxContent>
                        </wps:txbx>
                        <wps:bodyPr horzOverflow="overflow" vert="horz" lIns="0" tIns="0" rIns="0" bIns="0" rtlCol="0">
                          <a:noAutofit/>
                        </wps:bodyPr>
                      </wps:wsp>
                      <wps:wsp>
                        <wps:cNvPr id="19998" name="Rectangle 19998"/>
                        <wps:cNvSpPr/>
                        <wps:spPr>
                          <a:xfrm rot="-10799999">
                            <a:off x="-1219955" y="2666733"/>
                            <a:ext cx="5212124" cy="142889"/>
                          </a:xfrm>
                          <a:prstGeom prst="rect">
                            <a:avLst/>
                          </a:prstGeom>
                          <a:ln>
                            <a:noFill/>
                          </a:ln>
                        </wps:spPr>
                        <wps:txbx>
                          <w:txbxContent>
                            <w:p w14:paraId="66D356A1" w14:textId="77777777" w:rsidR="00B32EF2" w:rsidRDefault="00000000">
                              <w:r>
                                <w:rPr>
                                  <w:rFonts w:ascii="Arial" w:eastAsia="Arial" w:hAnsi="Arial" w:cs="Arial"/>
                                  <w:sz w:val="18"/>
                                </w:rPr>
                                <w:t>competenti per territorio ai sensi dell’ultimo periodo dell’articolo 30, terzo com</w:t>
                              </w:r>
                            </w:p>
                          </w:txbxContent>
                        </wps:txbx>
                        <wps:bodyPr horzOverflow="overflow" vert="horz" lIns="0" tIns="0" rIns="0" bIns="0" rtlCol="0">
                          <a:noAutofit/>
                        </wps:bodyPr>
                      </wps:wsp>
                      <wps:wsp>
                        <wps:cNvPr id="19999" name="Rectangle 19999"/>
                        <wps:cNvSpPr/>
                        <wps:spPr>
                          <a:xfrm rot="-10799999">
                            <a:off x="19569" y="2666733"/>
                            <a:ext cx="50622" cy="142889"/>
                          </a:xfrm>
                          <a:prstGeom prst="rect">
                            <a:avLst/>
                          </a:prstGeom>
                          <a:ln>
                            <a:noFill/>
                          </a:ln>
                        </wps:spPr>
                        <wps:txbx>
                          <w:txbxContent>
                            <w:p w14:paraId="6304E9A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000" name="Rectangle 20000"/>
                        <wps:cNvSpPr/>
                        <wps:spPr>
                          <a:xfrm rot="-10799999">
                            <a:off x="-973957" y="2543403"/>
                            <a:ext cx="4966127" cy="142889"/>
                          </a:xfrm>
                          <a:prstGeom prst="rect">
                            <a:avLst/>
                          </a:prstGeom>
                          <a:ln>
                            <a:noFill/>
                          </a:ln>
                        </wps:spPr>
                        <wps:txbx>
                          <w:txbxContent>
                            <w:p w14:paraId="7CB57885" w14:textId="77777777" w:rsidR="00B32EF2" w:rsidRDefault="00000000">
                              <w:r>
                                <w:rPr>
                                  <w:rFonts w:ascii="Arial" w:eastAsia="Arial" w:hAnsi="Arial" w:cs="Arial"/>
                                  <w:sz w:val="18"/>
                                </w:rPr>
                                <w:t xml:space="preserve">ma, del decreto del Presidente della Repubblica 26 ottobre 1972, n. 636; </w:t>
                              </w:r>
                            </w:p>
                          </w:txbxContent>
                        </wps:txbx>
                        <wps:bodyPr horzOverflow="overflow" vert="horz" lIns="0" tIns="0" rIns="0" bIns="0" rtlCol="0">
                          <a:noAutofit/>
                        </wps:bodyPr>
                      </wps:wsp>
                      <wps:wsp>
                        <wps:cNvPr id="20001" name="Rectangle 20001"/>
                        <wps:cNvSpPr/>
                        <wps:spPr>
                          <a:xfrm rot="-10799999">
                            <a:off x="-1316867" y="2420073"/>
                            <a:ext cx="5309036" cy="142889"/>
                          </a:xfrm>
                          <a:prstGeom prst="rect">
                            <a:avLst/>
                          </a:prstGeom>
                          <a:ln>
                            <a:noFill/>
                          </a:ln>
                        </wps:spPr>
                        <wps:txbx>
                          <w:txbxContent>
                            <w:p w14:paraId="438A4491" w14:textId="77777777" w:rsidR="00B32EF2" w:rsidRDefault="00000000">
                              <w:r>
                                <w:rPr>
                                  <w:rFonts w:ascii="Arial" w:eastAsia="Arial" w:hAnsi="Arial" w:cs="Arial"/>
                                  <w:sz w:val="18"/>
                                </w:rPr>
                                <w:t xml:space="preserve">g) i dipendenti delle associazioni delle categorie rappresentate nel Consiglio </w:t>
                              </w:r>
                            </w:p>
                          </w:txbxContent>
                        </wps:txbx>
                        <wps:bodyPr horzOverflow="overflow" vert="horz" lIns="0" tIns="0" rIns="0" bIns="0" rtlCol="0">
                          <a:noAutofit/>
                        </wps:bodyPr>
                      </wps:wsp>
                      <wps:wsp>
                        <wps:cNvPr id="20002" name="Rectangle 20002"/>
                        <wps:cNvSpPr/>
                        <wps:spPr>
                          <a:xfrm rot="-10799999">
                            <a:off x="-1316350" y="2296744"/>
                            <a:ext cx="5308291" cy="142889"/>
                          </a:xfrm>
                          <a:prstGeom prst="rect">
                            <a:avLst/>
                          </a:prstGeom>
                          <a:ln>
                            <a:noFill/>
                          </a:ln>
                        </wps:spPr>
                        <wps:txbx>
                          <w:txbxContent>
                            <w:p w14:paraId="6F9FAACE" w14:textId="77777777" w:rsidR="00B32EF2" w:rsidRDefault="00000000">
                              <w:r>
                                <w:rPr>
                                  <w:rFonts w:ascii="Arial" w:eastAsia="Arial" w:hAnsi="Arial" w:cs="Arial"/>
                                  <w:sz w:val="18"/>
                                </w:rPr>
                                <w:t xml:space="preserve">nazionale dell’economia e del lavoro (C.N.E.L.) e i dipendenti delle imprese, o </w:t>
                              </w:r>
                            </w:p>
                          </w:txbxContent>
                        </wps:txbx>
                        <wps:bodyPr horzOverflow="overflow" vert="horz" lIns="0" tIns="0" rIns="0" bIns="0" rtlCol="0">
                          <a:noAutofit/>
                        </wps:bodyPr>
                      </wps:wsp>
                      <wps:wsp>
                        <wps:cNvPr id="20003" name="Rectangle 20003"/>
                        <wps:cNvSpPr/>
                        <wps:spPr>
                          <a:xfrm rot="-10799999">
                            <a:off x="-1316882" y="2173414"/>
                            <a:ext cx="5309051" cy="142889"/>
                          </a:xfrm>
                          <a:prstGeom prst="rect">
                            <a:avLst/>
                          </a:prstGeom>
                          <a:ln>
                            <a:noFill/>
                          </a:ln>
                        </wps:spPr>
                        <wps:txbx>
                          <w:txbxContent>
                            <w:p w14:paraId="55C087EE" w14:textId="77777777" w:rsidR="00B32EF2" w:rsidRDefault="00000000">
                              <w:r>
                                <w:rPr>
                                  <w:rFonts w:ascii="Arial" w:eastAsia="Arial" w:hAnsi="Arial" w:cs="Arial"/>
                                  <w:sz w:val="18"/>
                                </w:rPr>
                                <w:t xml:space="preserve">delle loro controllate ai sensi dell’articolo 2359 del codice civile, primo comma, </w:t>
                              </w:r>
                            </w:p>
                          </w:txbxContent>
                        </wps:txbx>
                        <wps:bodyPr horzOverflow="overflow" vert="horz" lIns="0" tIns="0" rIns="0" bIns="0" rtlCol="0">
                          <a:noAutofit/>
                        </wps:bodyPr>
                      </wps:wsp>
                      <wps:wsp>
                        <wps:cNvPr id="20004" name="Rectangle 20004"/>
                        <wps:cNvSpPr/>
                        <wps:spPr>
                          <a:xfrm rot="-10799999">
                            <a:off x="-1220745" y="2050084"/>
                            <a:ext cx="5212913" cy="142889"/>
                          </a:xfrm>
                          <a:prstGeom prst="rect">
                            <a:avLst/>
                          </a:prstGeom>
                          <a:ln>
                            <a:noFill/>
                          </a:ln>
                        </wps:spPr>
                        <wps:txbx>
                          <w:txbxContent>
                            <w:p w14:paraId="63194CA1" w14:textId="77777777" w:rsidR="00B32EF2" w:rsidRDefault="00000000">
                              <w:r>
                                <w:rPr>
                                  <w:rFonts w:ascii="Arial" w:eastAsia="Arial" w:hAnsi="Arial" w:cs="Arial"/>
                                  <w:sz w:val="18"/>
                                </w:rPr>
                                <w:t>numero 1), limitatamente alle controversie nelle quali sono parti, rispettiva</w:t>
                              </w:r>
                            </w:p>
                          </w:txbxContent>
                        </wps:txbx>
                        <wps:bodyPr horzOverflow="overflow" vert="horz" lIns="0" tIns="0" rIns="0" bIns="0" rtlCol="0">
                          <a:noAutofit/>
                        </wps:bodyPr>
                      </wps:wsp>
                      <wps:wsp>
                        <wps:cNvPr id="20005" name="Rectangle 20005"/>
                        <wps:cNvSpPr/>
                        <wps:spPr>
                          <a:xfrm rot="-10799999">
                            <a:off x="19569" y="2050085"/>
                            <a:ext cx="50622" cy="142889"/>
                          </a:xfrm>
                          <a:prstGeom prst="rect">
                            <a:avLst/>
                          </a:prstGeom>
                          <a:ln>
                            <a:noFill/>
                          </a:ln>
                        </wps:spPr>
                        <wps:txbx>
                          <w:txbxContent>
                            <w:p w14:paraId="28D8956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006" name="Rectangle 20006"/>
                        <wps:cNvSpPr/>
                        <wps:spPr>
                          <a:xfrm rot="-10799999">
                            <a:off x="-1316867" y="1926755"/>
                            <a:ext cx="5309036" cy="142889"/>
                          </a:xfrm>
                          <a:prstGeom prst="rect">
                            <a:avLst/>
                          </a:prstGeom>
                          <a:ln>
                            <a:noFill/>
                          </a:ln>
                        </wps:spPr>
                        <wps:txbx>
                          <w:txbxContent>
                            <w:p w14:paraId="7550E7AE" w14:textId="77777777" w:rsidR="00B32EF2" w:rsidRDefault="00000000">
                              <w:r>
                                <w:rPr>
                                  <w:rFonts w:ascii="Arial" w:eastAsia="Arial" w:hAnsi="Arial" w:cs="Arial"/>
                                  <w:sz w:val="18"/>
                                </w:rPr>
                                <w:t xml:space="preserve">mente, gli associati e le imprese o loro controllate, in possesso del diploma di </w:t>
                              </w:r>
                            </w:p>
                          </w:txbxContent>
                        </wps:txbx>
                        <wps:bodyPr horzOverflow="overflow" vert="horz" lIns="0" tIns="0" rIns="0" bIns="0" rtlCol="0">
                          <a:noAutofit/>
                        </wps:bodyPr>
                      </wps:wsp>
                      <wps:wsp>
                        <wps:cNvPr id="20007" name="Rectangle 20007"/>
                        <wps:cNvSpPr/>
                        <wps:spPr>
                          <a:xfrm rot="-10799999">
                            <a:off x="-1316867" y="1803425"/>
                            <a:ext cx="5309036" cy="142889"/>
                          </a:xfrm>
                          <a:prstGeom prst="rect">
                            <a:avLst/>
                          </a:prstGeom>
                          <a:ln>
                            <a:noFill/>
                          </a:ln>
                        </wps:spPr>
                        <wps:txbx>
                          <w:txbxContent>
                            <w:p w14:paraId="7556587F" w14:textId="77777777" w:rsidR="00B32EF2" w:rsidRDefault="00000000">
                              <w:r>
                                <w:rPr>
                                  <w:rFonts w:ascii="Arial" w:eastAsia="Arial" w:hAnsi="Arial" w:cs="Arial"/>
                                  <w:sz w:val="18"/>
                                </w:rPr>
                                <w:t xml:space="preserve">laurea magistrale in giurisprudenza o in economia ed equipollenti, o di diploma </w:t>
                              </w:r>
                            </w:p>
                          </w:txbxContent>
                        </wps:txbx>
                        <wps:bodyPr horzOverflow="overflow" vert="horz" lIns="0" tIns="0" rIns="0" bIns="0" rtlCol="0">
                          <a:noAutofit/>
                        </wps:bodyPr>
                      </wps:wsp>
                      <wps:wsp>
                        <wps:cNvPr id="20008" name="Rectangle 20008"/>
                        <wps:cNvSpPr/>
                        <wps:spPr>
                          <a:xfrm rot="-10799999">
                            <a:off x="295963" y="1680095"/>
                            <a:ext cx="3696205" cy="142889"/>
                          </a:xfrm>
                          <a:prstGeom prst="rect">
                            <a:avLst/>
                          </a:prstGeom>
                          <a:ln>
                            <a:noFill/>
                          </a:ln>
                        </wps:spPr>
                        <wps:txbx>
                          <w:txbxContent>
                            <w:p w14:paraId="3C571675" w14:textId="77777777" w:rsidR="00B32EF2" w:rsidRDefault="00000000">
                              <w:r>
                                <w:rPr>
                                  <w:rFonts w:ascii="Arial" w:eastAsia="Arial" w:hAnsi="Arial" w:cs="Arial"/>
                                  <w:sz w:val="18"/>
                                </w:rPr>
                                <w:t>di ragioneria e della relativa abilitazione professionale;</w:t>
                              </w:r>
                            </w:p>
                          </w:txbxContent>
                        </wps:txbx>
                        <wps:bodyPr horzOverflow="overflow" vert="horz" lIns="0" tIns="0" rIns="0" bIns="0" rtlCol="0">
                          <a:noAutofit/>
                        </wps:bodyPr>
                      </wps:wsp>
                      <wps:wsp>
                        <wps:cNvPr id="20009" name="Rectangle 20009"/>
                        <wps:cNvSpPr/>
                        <wps:spPr>
                          <a:xfrm rot="-10799999">
                            <a:off x="-1218830" y="1556766"/>
                            <a:ext cx="5210999" cy="142889"/>
                          </a:xfrm>
                          <a:prstGeom prst="rect">
                            <a:avLst/>
                          </a:prstGeom>
                          <a:ln>
                            <a:noFill/>
                          </a:ln>
                        </wps:spPr>
                        <wps:txbx>
                          <w:txbxContent>
                            <w:p w14:paraId="0C2B8EB5" w14:textId="77777777" w:rsidR="00B32EF2" w:rsidRDefault="00000000">
                              <w:r>
                                <w:rPr>
                                  <w:rFonts w:ascii="Arial" w:eastAsia="Arial" w:hAnsi="Arial" w:cs="Arial"/>
                                  <w:sz w:val="18"/>
                                </w:rPr>
                                <w:t>h) i dipendenti dei centri di assistenza fiscale (CAF) di cui all’articolo 32 del de</w:t>
                              </w:r>
                            </w:p>
                          </w:txbxContent>
                        </wps:txbx>
                        <wps:bodyPr horzOverflow="overflow" vert="horz" lIns="0" tIns="0" rIns="0" bIns="0" rtlCol="0">
                          <a:noAutofit/>
                        </wps:bodyPr>
                      </wps:wsp>
                      <wps:wsp>
                        <wps:cNvPr id="20010" name="Rectangle 20010"/>
                        <wps:cNvSpPr/>
                        <wps:spPr>
                          <a:xfrm rot="-10799999">
                            <a:off x="19569" y="1556766"/>
                            <a:ext cx="50622" cy="142889"/>
                          </a:xfrm>
                          <a:prstGeom prst="rect">
                            <a:avLst/>
                          </a:prstGeom>
                          <a:ln>
                            <a:noFill/>
                          </a:ln>
                        </wps:spPr>
                        <wps:txbx>
                          <w:txbxContent>
                            <w:p w14:paraId="08FC18B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011" name="Rectangle 20011"/>
                        <wps:cNvSpPr/>
                        <wps:spPr>
                          <a:xfrm rot="-10799999">
                            <a:off x="-1317754" y="1433436"/>
                            <a:ext cx="5310951" cy="142889"/>
                          </a:xfrm>
                          <a:prstGeom prst="rect">
                            <a:avLst/>
                          </a:prstGeom>
                          <a:ln>
                            <a:noFill/>
                          </a:ln>
                        </wps:spPr>
                        <wps:txbx>
                          <w:txbxContent>
                            <w:p w14:paraId="7FDAB11F" w14:textId="77777777" w:rsidR="00B32EF2" w:rsidRDefault="00000000">
                              <w:r>
                                <w:rPr>
                                  <w:rFonts w:ascii="Arial" w:eastAsia="Arial" w:hAnsi="Arial" w:cs="Arial"/>
                                  <w:sz w:val="18"/>
                                </w:rPr>
                                <w:t xml:space="preserve">creto legislativo 9 luglio 1997, n. 241, e delle relative società di servizi, purché </w:t>
                              </w:r>
                            </w:p>
                          </w:txbxContent>
                        </wps:txbx>
                        <wps:bodyPr horzOverflow="overflow" vert="horz" lIns="0" tIns="0" rIns="0" bIns="0" rtlCol="0">
                          <a:noAutofit/>
                        </wps:bodyPr>
                      </wps:wsp>
                      <wps:wsp>
                        <wps:cNvPr id="20012" name="Rectangle 20012"/>
                        <wps:cNvSpPr/>
                        <wps:spPr>
                          <a:xfrm rot="-10799999">
                            <a:off x="-1316867" y="1310106"/>
                            <a:ext cx="5309035" cy="142889"/>
                          </a:xfrm>
                          <a:prstGeom prst="rect">
                            <a:avLst/>
                          </a:prstGeom>
                          <a:ln>
                            <a:noFill/>
                          </a:ln>
                        </wps:spPr>
                        <wps:txbx>
                          <w:txbxContent>
                            <w:p w14:paraId="7653465F" w14:textId="77777777" w:rsidR="00B32EF2" w:rsidRDefault="00000000">
                              <w:r>
                                <w:rPr>
                                  <w:rFonts w:ascii="Arial" w:eastAsia="Arial" w:hAnsi="Arial" w:cs="Arial"/>
                                  <w:sz w:val="18"/>
                                </w:rPr>
                                <w:t xml:space="preserve">in possesso di diploma di laurea magistrale in giurisprudenza o in economia </w:t>
                              </w:r>
                            </w:p>
                          </w:txbxContent>
                        </wps:txbx>
                        <wps:bodyPr horzOverflow="overflow" vert="horz" lIns="0" tIns="0" rIns="0" bIns="0" rtlCol="0">
                          <a:noAutofit/>
                        </wps:bodyPr>
                      </wps:wsp>
                      <wps:wsp>
                        <wps:cNvPr id="20013" name="Rectangle 20013"/>
                        <wps:cNvSpPr/>
                        <wps:spPr>
                          <a:xfrm rot="-10799999">
                            <a:off x="-1220684" y="1186776"/>
                            <a:ext cx="5212853" cy="142890"/>
                          </a:xfrm>
                          <a:prstGeom prst="rect">
                            <a:avLst/>
                          </a:prstGeom>
                          <a:ln>
                            <a:noFill/>
                          </a:ln>
                        </wps:spPr>
                        <wps:txbx>
                          <w:txbxContent>
                            <w:p w14:paraId="17590A72" w14:textId="77777777" w:rsidR="00B32EF2" w:rsidRDefault="00000000">
                              <w:r>
                                <w:rPr>
                                  <w:rFonts w:ascii="Arial" w:eastAsia="Arial" w:hAnsi="Arial" w:cs="Arial"/>
                                  <w:sz w:val="18"/>
                                </w:rPr>
                                <w:t>ed equipollenti, o di diploma di ragioneria e della relativa abilitazione profes</w:t>
                              </w:r>
                            </w:p>
                          </w:txbxContent>
                        </wps:txbx>
                        <wps:bodyPr horzOverflow="overflow" vert="horz" lIns="0" tIns="0" rIns="0" bIns="0" rtlCol="0">
                          <a:noAutofit/>
                        </wps:bodyPr>
                      </wps:wsp>
                      <wps:wsp>
                        <wps:cNvPr id="20014" name="Rectangle 20014"/>
                        <wps:cNvSpPr/>
                        <wps:spPr>
                          <a:xfrm rot="-10799999">
                            <a:off x="19570" y="1186777"/>
                            <a:ext cx="50622" cy="142889"/>
                          </a:xfrm>
                          <a:prstGeom prst="rect">
                            <a:avLst/>
                          </a:prstGeom>
                          <a:ln>
                            <a:noFill/>
                          </a:ln>
                        </wps:spPr>
                        <wps:txbx>
                          <w:txbxContent>
                            <w:p w14:paraId="68A7F6B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015" name="Rectangle 20015"/>
                        <wps:cNvSpPr/>
                        <wps:spPr>
                          <a:xfrm rot="-10799999">
                            <a:off x="-1220001" y="1063447"/>
                            <a:ext cx="5212170" cy="142889"/>
                          </a:xfrm>
                          <a:prstGeom prst="rect">
                            <a:avLst/>
                          </a:prstGeom>
                          <a:ln>
                            <a:noFill/>
                          </a:ln>
                        </wps:spPr>
                        <wps:txbx>
                          <w:txbxContent>
                            <w:p w14:paraId="4F3A3E38" w14:textId="77777777" w:rsidR="00B32EF2" w:rsidRDefault="00000000">
                              <w:r>
                                <w:rPr>
                                  <w:rFonts w:ascii="Arial" w:eastAsia="Arial" w:hAnsi="Arial" w:cs="Arial"/>
                                  <w:sz w:val="18"/>
                                </w:rPr>
                                <w:t>sionale, limitatamente alle controversie dei propri assistiti originate da adem</w:t>
                              </w:r>
                            </w:p>
                          </w:txbxContent>
                        </wps:txbx>
                        <wps:bodyPr horzOverflow="overflow" vert="horz" lIns="0" tIns="0" rIns="0" bIns="0" rtlCol="0">
                          <a:noAutofit/>
                        </wps:bodyPr>
                      </wps:wsp>
                      <wps:wsp>
                        <wps:cNvPr id="20016" name="Rectangle 20016"/>
                        <wps:cNvSpPr/>
                        <wps:spPr>
                          <a:xfrm rot="-10799999">
                            <a:off x="19570" y="1063447"/>
                            <a:ext cx="50622" cy="142889"/>
                          </a:xfrm>
                          <a:prstGeom prst="rect">
                            <a:avLst/>
                          </a:prstGeom>
                          <a:ln>
                            <a:noFill/>
                          </a:ln>
                        </wps:spPr>
                        <wps:txbx>
                          <w:txbxContent>
                            <w:p w14:paraId="1038087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017" name="Rectangle 20017"/>
                        <wps:cNvSpPr/>
                        <wps:spPr>
                          <a:xfrm rot="-10799999">
                            <a:off x="407301" y="940117"/>
                            <a:ext cx="3584867" cy="142889"/>
                          </a:xfrm>
                          <a:prstGeom prst="rect">
                            <a:avLst/>
                          </a:prstGeom>
                          <a:ln>
                            <a:noFill/>
                          </a:ln>
                        </wps:spPr>
                        <wps:txbx>
                          <w:txbxContent>
                            <w:p w14:paraId="1B7BD57F" w14:textId="77777777" w:rsidR="00B32EF2" w:rsidRDefault="00000000">
                              <w:r>
                                <w:rPr>
                                  <w:rFonts w:ascii="Arial" w:eastAsia="Arial" w:hAnsi="Arial" w:cs="Arial"/>
                                  <w:sz w:val="18"/>
                                </w:rPr>
                                <w:t>pimenti per i quali il CAF ha prestato loro assistenza.</w:t>
                              </w:r>
                            </w:p>
                          </w:txbxContent>
                        </wps:txbx>
                        <wps:bodyPr horzOverflow="overflow" vert="horz" lIns="0" tIns="0" rIns="0" bIns="0" rtlCol="0">
                          <a:noAutofit/>
                        </wps:bodyPr>
                      </wps:wsp>
                      <wps:wsp>
                        <wps:cNvPr id="201528" name="Rectangle 201528"/>
                        <wps:cNvSpPr/>
                        <wps:spPr>
                          <a:xfrm rot="-10799999">
                            <a:off x="-1380022" y="816788"/>
                            <a:ext cx="5309051" cy="142889"/>
                          </a:xfrm>
                          <a:prstGeom prst="rect">
                            <a:avLst/>
                          </a:prstGeom>
                          <a:ln>
                            <a:noFill/>
                          </a:ln>
                        </wps:spPr>
                        <wps:txbx>
                          <w:txbxContent>
                            <w:p w14:paraId="1B43D288" w14:textId="77777777" w:rsidR="00B32EF2" w:rsidRDefault="00000000">
                              <w:r>
                                <w:rPr>
                                  <w:rFonts w:ascii="Arial" w:eastAsia="Arial" w:hAnsi="Arial" w:cs="Arial"/>
                                  <w:sz w:val="18"/>
                                </w:rPr>
                                <w:t xml:space="preserve">. L’elenco dei soggetti di cui al comma 3, lettere d), e), f), g) ed h), è tenuto dal </w:t>
                              </w:r>
                            </w:p>
                          </w:txbxContent>
                        </wps:txbx>
                        <wps:bodyPr horzOverflow="overflow" vert="horz" lIns="0" tIns="0" rIns="0" bIns="0" rtlCol="0">
                          <a:noAutofit/>
                        </wps:bodyPr>
                      </wps:wsp>
                      <wps:wsp>
                        <wps:cNvPr id="201527" name="Rectangle 201527"/>
                        <wps:cNvSpPr/>
                        <wps:spPr>
                          <a:xfrm rot="-10799999">
                            <a:off x="2611333" y="816788"/>
                            <a:ext cx="5309051" cy="142889"/>
                          </a:xfrm>
                          <a:prstGeom prst="rect">
                            <a:avLst/>
                          </a:prstGeom>
                          <a:ln>
                            <a:noFill/>
                          </a:ln>
                        </wps:spPr>
                        <wps:txbx>
                          <w:txbxContent>
                            <w:p w14:paraId="0940C116"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019" name="Rectangle 20019"/>
                        <wps:cNvSpPr/>
                        <wps:spPr>
                          <a:xfrm rot="-10799999">
                            <a:off x="-1220235" y="693458"/>
                            <a:ext cx="5212975" cy="142889"/>
                          </a:xfrm>
                          <a:prstGeom prst="rect">
                            <a:avLst/>
                          </a:prstGeom>
                          <a:ln>
                            <a:noFill/>
                          </a:ln>
                        </wps:spPr>
                        <wps:txbx>
                          <w:txbxContent>
                            <w:p w14:paraId="5FF7C675" w14:textId="77777777" w:rsidR="00B32EF2" w:rsidRDefault="00000000">
                              <w:r>
                                <w:rPr>
                                  <w:rFonts w:ascii="Arial" w:eastAsia="Arial" w:hAnsi="Arial" w:cs="Arial"/>
                                  <w:sz w:val="18"/>
                                </w:rPr>
                                <w:t>Dipartimento della giustizia tributaria del Ministero dell’economia e delle finan</w:t>
                              </w:r>
                            </w:p>
                          </w:txbxContent>
                        </wps:txbx>
                        <wps:bodyPr horzOverflow="overflow" vert="horz" lIns="0" tIns="0" rIns="0" bIns="0" rtlCol="0">
                          <a:noAutofit/>
                        </wps:bodyPr>
                      </wps:wsp>
                      <wps:wsp>
                        <wps:cNvPr id="20020" name="Rectangle 20020"/>
                        <wps:cNvSpPr/>
                        <wps:spPr>
                          <a:xfrm rot="-10799999">
                            <a:off x="19569" y="693458"/>
                            <a:ext cx="50622" cy="142889"/>
                          </a:xfrm>
                          <a:prstGeom prst="rect">
                            <a:avLst/>
                          </a:prstGeom>
                          <a:ln>
                            <a:noFill/>
                          </a:ln>
                        </wps:spPr>
                        <wps:txbx>
                          <w:txbxContent>
                            <w:p w14:paraId="7817954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021" name="Rectangle 20021"/>
                        <wps:cNvSpPr/>
                        <wps:spPr>
                          <a:xfrm rot="-10799999">
                            <a:off x="-1316821" y="570128"/>
                            <a:ext cx="5308990" cy="142889"/>
                          </a:xfrm>
                          <a:prstGeom prst="rect">
                            <a:avLst/>
                          </a:prstGeom>
                          <a:ln>
                            <a:noFill/>
                          </a:ln>
                        </wps:spPr>
                        <wps:txbx>
                          <w:txbxContent>
                            <w:p w14:paraId="36BBC7B8" w14:textId="77777777" w:rsidR="00B32EF2" w:rsidRDefault="00000000">
                              <w:r>
                                <w:rPr>
                                  <w:rFonts w:ascii="Arial" w:eastAsia="Arial" w:hAnsi="Arial" w:cs="Arial"/>
                                  <w:sz w:val="18"/>
                                </w:rPr>
                                <w:t xml:space="preserve">ze che vi provvede con le risorse umane, strumentali e finanziarie disponibili </w:t>
                              </w:r>
                            </w:p>
                          </w:txbxContent>
                        </wps:txbx>
                        <wps:bodyPr horzOverflow="overflow" vert="horz" lIns="0" tIns="0" rIns="0" bIns="0" rtlCol="0">
                          <a:noAutofit/>
                        </wps:bodyPr>
                      </wps:wsp>
                      <wps:wsp>
                        <wps:cNvPr id="20022" name="Rectangle 20022"/>
                        <wps:cNvSpPr/>
                        <wps:spPr>
                          <a:xfrm rot="-10799999">
                            <a:off x="-1317518" y="446798"/>
                            <a:ext cx="5310830" cy="142889"/>
                          </a:xfrm>
                          <a:prstGeom prst="rect">
                            <a:avLst/>
                          </a:prstGeom>
                          <a:ln>
                            <a:noFill/>
                          </a:ln>
                        </wps:spPr>
                        <wps:txbx>
                          <w:txbxContent>
                            <w:p w14:paraId="09AF0EFD" w14:textId="77777777" w:rsidR="00B32EF2" w:rsidRDefault="00000000">
                              <w:r>
                                <w:rPr>
                                  <w:rFonts w:ascii="Arial" w:eastAsia="Arial" w:hAnsi="Arial" w:cs="Arial"/>
                                  <w:sz w:val="18"/>
                                </w:rPr>
                                <w:t xml:space="preserve">a legislazione vigente senza nuovi o maggiori oneri a carico del bilancio dello </w:t>
                              </w:r>
                            </w:p>
                          </w:txbxContent>
                        </wps:txbx>
                        <wps:bodyPr horzOverflow="overflow" vert="horz" lIns="0" tIns="0" rIns="0" bIns="0" rtlCol="0">
                          <a:noAutofit/>
                        </wps:bodyPr>
                      </wps:wsp>
                    </wpg:wgp>
                  </a:graphicData>
                </a:graphic>
              </wp:inline>
            </w:drawing>
          </mc:Choice>
          <mc:Fallback>
            <w:pict>
              <v:group w14:anchorId="15E149BF" id="Group 201581" o:spid="_x0000_s4836" style="width:314.35pt;height:493.15pt;mso-position-horizontal-relative:char;mso-position-vertical-relative:line" coordsize="39921,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1/tXgoAAP2AAAAOAAAAZHJzL2Uyb0RvYy54bWzkXdmO2zgWfR9g/sHwe8XcRFFGKo1BpzsY&#10;YDDd6OUDFJc3wLYM2Ykr8/VzLilTlszGAFJQNIb9UO2iK7J0D89dDi/p9z+87neTr8v6tK0Oz1P+&#10;jk0ny8Oietke1s/TP//4+clMJ6dzeXgpd9Vh+Tz9tjxNf/jw97+9vxznS1Ftqt3Lsp7gIofT/HJ8&#10;nm7O5+N8NjstNst9eXpXHZcHvLmq6n15xq/1evZSlxdcfb+bCcb07FLVL8e6WixPJ4x+dG9OP9jr&#10;r1bLxfmX1eq0PE92z1Pc29n+rO3Pz/Rz9uF9OV/X5XGzXTS3UQ64i325PeBD/aU+ludy8qXe3l1q&#10;v13U1aland8tqv2sWq22i6V9BjwNZ72n+VRXX472Wdbzy/rozQTT9uw0+LKLf3/9VB9/P/5awxKX&#10;4xq2sL/Rs7yu6j39H3c5ebUm++ZNtnw9TxYYlEUhuAbIC7ynhRYmU86oiw0sf/fvFpuf/se/nF0/&#10;eNa5ncsRE+TU2uA0zga/b8rj0pr2NIcNfq0n2xfM36LQ2XRyKPeYqr9h8pSH9W45ccPWQPavvblO&#10;8xMsd7XVpK4wv544ywv6z86Hxna8YMzQpWGlJy3wqzPS1Yw8N1IXzooiY1ppet+bopwf69P507La&#10;T+jF87TGvdnrl1//dTq7P73+Cd3O7kA/D9XP293OvUsjsOj1junV+fXzq31sqWVBn0eDn6uXb7DG&#10;pqr/8wt4vdpVl+dp1byaEtXx8fTudLL75wEoEKuuL+rri8/XF/V592Nluedu6B9fztVqa++4/bTm&#10;zgCvu4c3wVmHcbaGp1vDrBiAcwaYAS7hrLmfN+X8CrRh2nDugOZKGGMN/3ZAKzvxWtP/nwMNp5op&#10;mLvP6Ga8mfODoH6SSmYit1Bn8BtaZl1OK9BKS8wFco2EtSP9G2LNkyI1YQo/FsS69W+DsBaZ5IY7&#10;9/2gWIvksIYrC2LdurhBWD/JzBSiEI9MbJkU2BRGkWH2fbgbHuPCOWcs5w3SJpeS9Vw4h4tnSrUu&#10;/M3DtU2mkwrXEiG1D7V17fl10g+itUA6JgXCA4JxlquiyG2m12ZmmWQF0/jwa7h+c6zt5EsL6wCt&#10;LdZmFNZPXOaamYbYfw02SoBoYPs6I5WCKw+Ea7hwDI9x4YCaZ5yuTbyGANGUzh1eCyVkRKi940oC&#10;asvfgIjSjI8BG8qIYVmThmdMSt7z4aqAtpI1OkqU8to7rnSwDggpFmvv4QbF6ycuOFQx1O5E7McE&#10;Oy3RzIIKPxpMznxFMghsm5ypJjmTkE+N9ZkdJ24K0tVixevMh6l0iI26J4i1r0kGYY2IbZCfIfMj&#10;Yj8m2GkJZ5SFBXjthsfEa0rOtBGNDxeZ1tnD8Tot3YwwDdDaDY+DGotalMxbVnMpJaRxXPDGhQtE&#10;dNJno7lwH6OScOEERyANd8NjoOZFRkuV5L2DODMtUHlHQ9lHp2RQDiTghPLo/FswQdonAc0YFrRt&#10;bdMltCL1NBrUaQlmhGlAG3XD34nQFue+445MaD+PkyF0QBUllL22MCjv1jrPMpd1K2O0xpJKJz4j&#10;YivNY5ZYdt6lpX/DewZLLJ+VDoLalVjaJWMq18jGemDbxQ6sdsXz3X4yJ8Fqq538RR+K9NXmILCd&#10;duJE0QfFOi2dDK7agHp9XrvhcXG6ULJokNaKIVh3XbhNBaiUj5WRweU0D5gEqwnSAKnd8BikJUO7&#10;Ea1FI/dWGUfo7iGNKp4xfHQ0oL3PSgboQKgmoMdGaiHQF+wUMpBbSqjgnbQsEwIr2RHTMu2fMBmo&#10;w2Ko8frRoDjdyiZhnONWWdo/XDIoh3VQ4/WjgShj2ZnoSp5b5HDSPT4LlueFQh0WzXX7B0wG6bAM&#10;arx8NAhpIYE0JVuENFea2v47nhsBPDeUrkVD2j9gMkiHpVDjJaRBSHMsSEMccUgzIaVLc1slFEsf&#10;wsRsE9X+AZNBOqyEur4B0pAGIe0WLKkDFaSW2LPFsH+jQ+rowgmqgqaySAbqsBxqvII0AupmbVrm&#10;uc5RT/Whjttz4hTaZARRqqawrhjSTWwONY7V8NCO1TqTMr+HumBFxHZgLKgmxmpq5gpA7ZKoEVAj&#10;+dbYgmwdOJw1w+6/LqvRhmBitgO3Dc+pOPAirJFhuJnzgxw46umm3UQGcY5bTzsPk5Lvph1zIUJ7&#10;+WgQyi4ja6RQqbBBBx0HXULTvh0Z0Xfn/gmTIXRYICu8hjQc6oK7iloKg0XLENS0rSdWRY1yP7Uw&#10;HVbJCi8ifQeouWYsezio/RMmw+qwTAYFa1SYNspgjcMlZPDTOXKvjv8W2GRbxOwLRZdkaqQOy2Qo&#10;gMYg3QnVAo4csHahtuJJ1FDtnzAJUtuuk0Cd1YyPAzvLcSqGC9Yih1TmVpBaUTQ+2GkpZQQq7W/v&#10;5+DN+BiwhYI2gzYlKqofFGsvBiZBbMCBbuw7qN3wGKRp12VRNFtssZla41CMng+nbRy0GBItB09P&#10;KguwmqD2hhiUg7f9CGGc4+on6KBr5nEShMZRliwYqGl4FKGxtQ9CmXPdmYKC0uMztsxrTseYxeIz&#10;OuhSQzqgh9IE8IYYxOdu+q1wQadWPFBG1jbLJUPqgChKUHvJcDjUOJnKsVoUOkfzAUjUgdqgBIvI&#10;autmktG/CdOAKOqGR/lvu4WaNE/KvXku0Wp0B3XBqIM0mgNPSykjTAOiqBseBzXWLnPl+vsFw55L&#10;14t4w2pk3lYgjwZ1WlIZYRoQRd3wGKhvcm+LszXrDc6Rc+/UVDKIV/fFNKHsDTE8TJtm7RItgrQB&#10;M+C7Ywqibb9cMhlZoHGQoPZi4XeA2jCpxMNBnZZERpgGJDI3PMZ3iyIroHVTPobDbbAHrwc0zvHX&#10;iN4R8zGvCyXD6YBARkB7QwzktODG0AHuBHWW6dy1Wd/EacHpXIx4ULfdcqlATQcU3K9w4KtTriLS&#10;IKjbfCyMc9x8rG2USwblsEKGL84Y47lJIcvzpjkUXQf4Ageb4N0QWoLQMWtpNNE1T5gM1GGFzHX5&#10;jegDppPnrqk3UOUul7+FmtoGI4bptlsuGajDChk6/saxmlq+IZXYMM0B+t3J7tTyneHDr7KJC5tv&#10;90UsbbdcMlCHFTKnXQ5mddvyzS3Otma7oXTkMG0LgZQkb/pGnFAy5g0xKBlDDwIl70gBKO9GX5FS&#10;faCpB4Ga/6+Efuuvamg75ZIhdFghcwewfw9CB3GOTGivCSWDclgc494QgwitsBLd0LlQDKe6U7xv&#10;3Ta+b0nZVC0am1NTxtAoGJTG7Pi4XExCEaPjX+G66QQjt0m3xdo2hUYtsLwmlAingWmQ1HZ8DNb2&#10;3LmmAfgRocbZK9e6IhGo6ayZYD7m5/wg923zMUGlMkitC6lwimjHgWe0LE1nTUdy4M3O/ZQybzph&#10;KJB5Y3gMpVsZNAhz1Gwsb3umUqEzHU4RAnm8Ctp+KQO4g1ygS2fJop57kbsW1aToHBZBkUiNobPV&#10;uzPu9t4phUMk75DmzC5wRXPcD9M6Zr9s/rLGF5BDFlzX5XGzXXwsz+Xt7/ZryudLUW2q3cuy/vBf&#10;AAAA//8DAFBLAwQUAAYACAAAACEABfCzbd0AAAAFAQAADwAAAGRycy9kb3ducmV2LnhtbEyPQUvD&#10;QBCF74L/YRnBm92kxZim2ZRS1FMRbAXxNs1Ok9DsbMhuk/Tfu3rRy8DjPd77Jl9PphUD9a6xrCCe&#10;RSCIS6sbrhR8HF4eUhDOI2tsLZOCKzlYF7c3OWbajvxOw95XIpSwy1BB7X2XSenKmgy6me2Ig3ey&#10;vUEfZF9J3eMYyk0r51GUSIMNh4UaO9rWVJ73F6PgdcRxs4ifh935tL1+HR7fPncxKXV/N21WIDxN&#10;/i8MP/gBHYrAdLQX1k60CsIj/vcGL5mnTyCOCpZpsgBZ5PI/ffENAAD//wMAUEsBAi0AFAAGAAgA&#10;AAAhALaDOJL+AAAA4QEAABMAAAAAAAAAAAAAAAAAAAAAAFtDb250ZW50X1R5cGVzXS54bWxQSwEC&#10;LQAUAAYACAAAACEAOP0h/9YAAACUAQAACwAAAAAAAAAAAAAAAAAvAQAAX3JlbHMvLnJlbHNQSwEC&#10;LQAUAAYACAAAACEA2Ddf7V4KAAD9gAAADgAAAAAAAAAAAAAAAAAuAgAAZHJzL2Uyb0RvYy54bWxQ&#10;SwECLQAUAAYACAAAACEABfCzbd0AAAAFAQAADwAAAAAAAAAAAAAAAAC4DAAAZHJzL2Rvd25yZXYu&#10;eG1sUEsFBgAAAAAEAAQA8wAAAMINAAAAAA==&#10;">
                <v:rect id="Rectangle 19965" o:spid="_x0000_s4837" style="position:absolute;left:19008;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5g8xAAAAN4AAAAPAAAAZHJzL2Rvd25yZXYueG1sRE9Ni8Iw&#10;EL0L/ocwgjdNFVa0axRRZHvwsq4Lexyasa02k9BEW/31m4UFb/N4n7Ncd6YWd2p8ZVnBZJyAIM6t&#10;rrhQcPraj+YgfEDWWFsmBQ/ysF71e0tMtW35k+7HUIgYwj5FBWUILpXS5yUZ9GPriCN3to3BEGFT&#10;SN1gG8NNLadJMpMGK44NJTralpRfjzej4GfHLtu3Mj8/t+5wyeb1x+30rdRw0G3eQQTqwkv87850&#10;nL9YzN7g7514g1z9AgAA//8DAFBLAQItABQABgAIAAAAIQDb4fbL7gAAAIUBAAATAAAAAAAAAAAA&#10;AAAAAAAAAABbQ29udGVudF9UeXBlc10ueG1sUEsBAi0AFAAGAAgAAAAhAFr0LFu/AAAAFQEAAAsA&#10;AAAAAAAAAAAAAAAAHwEAAF9yZWxzLy5yZWxzUEsBAi0AFAAGAAgAAAAhAEdPmDzEAAAA3gAAAA8A&#10;AAAAAAAAAAAAAAAABwIAAGRycy9kb3ducmV2LnhtbFBLBQYAAAAAAwADALcAAAD4AgAAAAA=&#10;" filled="f" stroked="f">
                  <v:textbox inset="0,0,0,0">
                    <w:txbxContent>
                      <w:p w14:paraId="713F169F" w14:textId="77777777" w:rsidR="00B32EF2" w:rsidRDefault="00000000">
                        <w:r>
                          <w:rPr>
                            <w:rFonts w:ascii="Times New Roman" w:eastAsia="Times New Roman" w:hAnsi="Times New Roman" w:cs="Times New Roman"/>
                          </w:rPr>
                          <w:t>48</w:t>
                        </w:r>
                      </w:p>
                    </w:txbxContent>
                  </v:textbox>
                </v:rect>
                <v:rect id="Rectangle 19966" o:spid="_x0000_s4838" style="position:absolute;left:15086;top:61199;width:80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QZLxAAAAN4AAAAPAAAAZHJzL2Rvd25yZXYueG1sRE9Na8JA&#10;EL0L/odlCr3pph6Cpq4iiphDL9UIHofsmKRmZ5fsatL++m6h4G0e73OW68G04kGdbywreJsmIIhL&#10;qxuuFBSn/WQOwgdkja1lUvBNHtar8WiJmbY9f9LjGCoRQ9hnqKAOwWVS+rImg35qHXHkrrYzGCLs&#10;Kqk77GO4aeUsSVJpsOHYUKOjbU3l7Xg3Ci47dvm+l+X1Z+s+vvJ5e7gXZ6VeX4bNO4hAQ3iK/925&#10;jvMXizSFv3fiDXL1CwAA//8DAFBLAQItABQABgAIAAAAIQDb4fbL7gAAAIUBAAATAAAAAAAAAAAA&#10;AAAAAAAAAABbQ29udGVudF9UeXBlc10ueG1sUEsBAi0AFAAGAAgAAAAhAFr0LFu/AAAAFQEAAAsA&#10;AAAAAAAAAAAAAAAAHwEAAF9yZWxzLy5yZWxzUEsBAi0AFAAGAAgAAAAhALedBkvEAAAA3gAAAA8A&#10;AAAAAAAAAAAAAAAABwIAAGRycy9kb3ducmV2LnhtbFBLBQYAAAAAAwADALcAAAD4AgAAAAA=&#10;" filled="f" stroked="f">
                  <v:textbox inset="0,0,0,0">
                    <w:txbxContent>
                      <w:p w14:paraId="53AE24E1" w14:textId="77777777" w:rsidR="00B32EF2" w:rsidRDefault="00000000">
                        <w:r>
                          <w:rPr>
                            <w:rFonts w:ascii="Arial" w:eastAsia="Arial" w:hAnsi="Arial" w:cs="Arial"/>
                            <w:b/>
                            <w:sz w:val="18"/>
                          </w:rPr>
                          <w:t>Articolo 57</w:t>
                        </w:r>
                      </w:p>
                    </w:txbxContent>
                  </v:textbox>
                </v:rect>
                <v:rect id="Rectangle 201541" o:spid="_x0000_s4839" style="position:absolute;left:-3435;top:59966;width:436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URyAAAAN8AAAAPAAAAZHJzL2Rvd25yZXYueG1sRI9Pa8JA&#10;FMTvgt9heYI33URqkdRVRJHm0Ev9Az0+ss8kbfbtkl1N7Kd3CwWPw8z8hlmue9OIG7W+tqwgnSYg&#10;iAuray4VnI77yQKED8gaG8uk4E4e1qvhYImZth1/0u0QShEh7DNUUIXgMil9UZFBP7WOOHoX2xoM&#10;Ubal1C12EW4aOUuSV2mw5rhQoaNtRcXP4WoUfO3Y5ftOFpffrfv4zhfN+/V0Vmo86jdvIAL14Rn+&#10;b+dawSxJ5y8p/P2JX0CuHgAAAP//AwBQSwECLQAUAAYACAAAACEA2+H2y+4AAACFAQAAEwAAAAAA&#10;AAAAAAAAAAAAAAAAW0NvbnRlbnRfVHlwZXNdLnhtbFBLAQItABQABgAIAAAAIQBa9CxbvwAAABUB&#10;AAALAAAAAAAAAAAAAAAAAB8BAABfcmVscy8ucmVsc1BLAQItABQABgAIAAAAIQAj/YURyAAAAN8A&#10;AAAPAAAAAAAAAAAAAAAAAAcCAABkcnMvZG93bnJldi54bWxQSwUGAAAAAAMAAwC3AAAA/AIAAAAA&#10;" filled="f" stroked="f">
                  <v:textbox inset="0,0,0,0">
                    <w:txbxContent>
                      <w:p w14:paraId="03696162" w14:textId="77777777" w:rsidR="00B32EF2" w:rsidRDefault="00000000">
                        <w:r>
                          <w:rPr>
                            <w:rFonts w:ascii="Arial" w:eastAsia="Arial" w:hAnsi="Arial" w:cs="Arial"/>
                            <w:i/>
                            <w:sz w:val="18"/>
                          </w:rPr>
                          <w:t xml:space="preserve">articoli 12 D.lgs. n. 546/92 e 63, commi 3, 4 e 5, dpr. n. </w:t>
                        </w:r>
                      </w:p>
                    </w:txbxContent>
                  </v:textbox>
                </v:rect>
                <v:rect id="Rectangle 201539" o:spid="_x0000_s4840" style="position:absolute;left:25318;top:59966;width:436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fpqyAAAAN8AAAAPAAAAZHJzL2Rvd25yZXYueG1sRI9Pa8JA&#10;FMTvgt9heUJvutGi2NRVikXMoRf/FHp8ZJ9J2uzbJbua6KfvCoLHYWZ+wyxWnanFhRpfWVYwHiUg&#10;iHOrKy4UHA+b4RyED8gaa8uk4EoeVst+b4Gpti3v6LIPhYgQ9ikqKENwqZQ+L8mgH1lHHL2TbQyG&#10;KJtC6gbbCDe1nCTJTBqsOC6U6GhdUv63PxsFP5/ssk0r89Nt7b5+s3m9PR+/lXoZdB/vIAJ14Rl+&#10;tDOtYJKMp69vcP8Tv4Bc/gMAAP//AwBQSwECLQAUAAYACAAAACEA2+H2y+4AAACFAQAAEwAAAAAA&#10;AAAAAAAAAAAAAAAAW0NvbnRlbnRfVHlwZXNdLnhtbFBLAQItABQABgAIAAAAIQBa9CxbvwAAABUB&#10;AAALAAAAAAAAAAAAAAAAAB8BAABfcmVscy8ucmVsc1BLAQItABQABgAIAAAAIQCFjfpqyAAAAN8A&#10;AAAPAAAAAAAAAAAAAAAAAAcCAABkcnMvZG93bnJldi54bWxQSwUGAAAAAAMAAwC3AAAA/AIAAAAA&#10;" filled="f" stroked="f">
                  <v:textbox inset="0,0,0,0">
                    <w:txbxContent>
                      <w:p w14:paraId="5E680CED" w14:textId="77777777" w:rsidR="00B32EF2" w:rsidRDefault="00000000">
                        <w:r>
                          <w:rPr>
                            <w:rFonts w:ascii="Arial" w:eastAsia="Arial" w:hAnsi="Arial" w:cs="Arial"/>
                            <w:i/>
                            <w:sz w:val="18"/>
                          </w:rPr>
                          <w:t>(</w:t>
                        </w:r>
                      </w:p>
                    </w:txbxContent>
                  </v:textbox>
                </v:rect>
                <v:rect id="Rectangle 201540" o:spid="_x0000_s4841" style="position:absolute;left:-35892;top:59966;width:436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SCKxwAAAN8AAAAPAAAAZHJzL2Rvd25yZXYueG1sRI/LasMw&#10;EEX3hfyDmEB2tZzQluBaDiEh1Itumgd0OVjjR2uNhKXETr++WhS6vNwXJ99Mphc3GnxnWcEySUEQ&#10;V1Z33Cg4nw6PaxA+IGvsLZOCO3nYFLOHHDNtR/6g2zE0Io6wz1BBG4LLpPRVSwZ9Yh1x9Go7GAxR&#10;Do3UA45x3PRylaYv0mDH8aFFR7uWqu/j1Sj43LMrD6Os6p+de/8q1/3b9XxRajGftq8gAk3hP/zX&#10;LrWCVbp8fooEkSeygCx+AQAA//8DAFBLAQItABQABgAIAAAAIQDb4fbL7gAAAIUBAAATAAAAAAAA&#10;AAAAAAAAAAAAAABbQ29udGVudF9UeXBlc10ueG1sUEsBAi0AFAAGAAgAAAAhAFr0LFu/AAAAFQEA&#10;AAsAAAAAAAAAAAAAAAAAHwEAAF9yZWxzLy5yZWxzUEsBAi0AFAAGAAgAAAAhAEyxIIrHAAAA3wAA&#10;AA8AAAAAAAAAAAAAAAAABwIAAGRycy9kb3ducmV2LnhtbFBLBQYAAAAAAwADALcAAAD7AgAAAAA=&#10;" filled="f" stroked="f">
                  <v:textbox inset="0,0,0,0">
                    <w:txbxContent>
                      <w:p w14:paraId="11E99226" w14:textId="77777777" w:rsidR="00B32EF2" w:rsidRDefault="00000000">
                        <w:r>
                          <w:rPr>
                            <w:rFonts w:ascii="Arial" w:eastAsia="Arial" w:hAnsi="Arial" w:cs="Arial"/>
                            <w:i/>
                            <w:sz w:val="18"/>
                          </w:rPr>
                          <w:t>600/73)</w:t>
                        </w:r>
                      </w:p>
                    </w:txbxContent>
                  </v:textbox>
                </v:rect>
                <v:rect id="Rectangle 19968" o:spid="_x0000_s4842" style="position:absolute;left:11007;top:58733;width:1435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jeixwAAAN4AAAAPAAAAZHJzL2Rvd25yZXYueG1sRI9Pb8Iw&#10;DMXvk/YdIk/abaTbAUFHQBMTWg9c+CftaDWm7dY4URNo4dPjAxI3W+/5vZ9ni8G16kxdbDwbeB9l&#10;oIhLbxuuDOx3q7cJqJiQLbaeycCFIizmz08zzK3veUPnbaqUhHDM0UCdUsi1jmVNDuPIB2LRjr5z&#10;mGTtKm077CXctfojy8baYcPSUGOgZU3l//bkDPx+cyhWvS6P12VY/xWT9ue0Pxjz+jJ8fYJKNKSH&#10;+X5dWMGfTsfCK+/IDHp+AwAA//8DAFBLAQItABQABgAIAAAAIQDb4fbL7gAAAIUBAAATAAAAAAAA&#10;AAAAAAAAAAAAAABbQ29udGVudF9UeXBlc10ueG1sUEsBAi0AFAAGAAgAAAAhAFr0LFu/AAAAFQEA&#10;AAsAAAAAAAAAAAAAAAAAHwEAAF9yZWxzLy5yZWxzUEsBAi0AFAAGAAgAAAAhAKlON6LHAAAA3gAA&#10;AA8AAAAAAAAAAAAAAAAABwIAAGRycy9kb3ducmV2LnhtbFBLBQYAAAAAAwADALcAAAD7AgAAAAA=&#10;" filled="f" stroked="f">
                  <v:textbox inset="0,0,0,0">
                    <w:txbxContent>
                      <w:p w14:paraId="1EDA41D3" w14:textId="77777777" w:rsidR="00B32EF2" w:rsidRDefault="00000000">
                        <w:r>
                          <w:rPr>
                            <w:rFonts w:ascii="Arial" w:eastAsia="Arial" w:hAnsi="Arial" w:cs="Arial"/>
                            <w:b/>
                            <w:sz w:val="18"/>
                          </w:rPr>
                          <w:t xml:space="preserve">Assistenza tecnica </w:t>
                        </w:r>
                      </w:p>
                    </w:txbxContent>
                  </v:textbox>
                </v:rect>
                <v:rect id="Rectangle 201537" o:spid="_x0000_s4843" style="position:absolute;left:26113;top:574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uDyAAAAN8AAAAPAAAAZHJzL2Rvd25yZXYueG1sRI9Pa8JA&#10;FMTvgt9heUJvutGildRVikXMoRf/FHp8ZJ9J2uzbJbua6KfvCoLHYWZ+wyxWnanFhRpfWVYwHiUg&#10;iHOrKy4UHA+b4RyED8gaa8uk4EoeVst+b4Gpti3v6LIPhYgQ9ikqKENwqZQ+L8mgH1lHHL2TbQyG&#10;KJtC6gbbCDe1nCTJTBqsOC6U6GhdUv63PxsFP5/ssk0r89Nt7b5+s3m9PR+/lXoZdB/vIAJ14Rl+&#10;tDOtYJKMp69vcP8Tv4Bc/gMAAP//AwBQSwECLQAUAAYACAAAACEA2+H2y+4AAACFAQAAEwAAAAAA&#10;AAAAAAAAAAAAAAAAW0NvbnRlbnRfVHlwZXNdLnhtbFBLAQItABQABgAIAAAAIQBa9CxbvwAAABUB&#10;AAALAAAAAAAAAAAAAAAAAB8BAABfcmVscy8ucmVsc1BLAQItABQABgAIAAAAIQCbXsuDyAAAAN8A&#10;AAAPAAAAAAAAAAAAAAAAAAcCAABkcnMvZG93bnJldi54bWxQSwUGAAAAAAMAAwC3AAAA/AIAAAAA&#10;" filled="f" stroked="f">
                  <v:textbox inset="0,0,0,0">
                    <w:txbxContent>
                      <w:p w14:paraId="6C2CAE91" w14:textId="77777777" w:rsidR="00B32EF2" w:rsidRDefault="00000000">
                        <w:r>
                          <w:rPr>
                            <w:rFonts w:ascii="Arial" w:eastAsia="Arial" w:hAnsi="Arial" w:cs="Arial"/>
                            <w:sz w:val="18"/>
                          </w:rPr>
                          <w:t>1</w:t>
                        </w:r>
                      </w:p>
                    </w:txbxContent>
                  </v:textbox>
                </v:rect>
                <v:rect id="Rectangle 201538" o:spid="_x0000_s4844" style="position:absolute;left:-13760;top:57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V/xxQAAAN8AAAAPAAAAZHJzL2Rvd25yZXYueG1sRE/JasMw&#10;EL0X8g9iArnVclJagms5hIRQH3ppFuhxsMZLa42EpcROv746FHp8vD3fTKYXNxp8Z1nBMklBEFdW&#10;d9woOJ8Oj2sQPiBr7C2Tgjt52BSzhxwzbUf+oNsxNCKGsM9QQRuCy6T0VUsGfWIdceRqOxgMEQ6N&#10;1AOOMdz0cpWmL9Jgx7GhRUe7lqrv49Uo+NyzKw+jrOqfnXv/Ktf92/V8UWoxn7avIAJN4V/85y61&#10;glW6fH6Kg+Of+AVk8QsAAP//AwBQSwECLQAUAAYACAAAACEA2+H2y+4AAACFAQAAEwAAAAAAAAAA&#10;AAAAAAAAAAAAW0NvbnRlbnRfVHlwZXNdLnhtbFBLAQItABQABgAIAAAAIQBa9CxbvwAAABUBAAAL&#10;AAAAAAAAAAAAAAAAAB8BAABfcmVscy8ucmVsc1BLAQItABQABgAIAAAAIQDqwV/xxQAAAN8AAAAP&#10;AAAAAAAAAAAAAAAAAAcCAABkcnMvZG93bnJldi54bWxQSwUGAAAAAAMAAwC3AAAA+QIAAAAA&#10;" filled="f" stroked="f">
                  <v:textbox inset="0,0,0,0">
                    <w:txbxContent>
                      <w:p w14:paraId="5A26CE2D" w14:textId="77777777" w:rsidR="00B32EF2" w:rsidRDefault="00000000">
                        <w:r>
                          <w:rPr>
                            <w:rFonts w:ascii="Arial" w:eastAsia="Arial" w:hAnsi="Arial" w:cs="Arial"/>
                            <w:sz w:val="18"/>
                          </w:rPr>
                          <w:t xml:space="preserve">. Le parti, diverse dagli enti impositori, dagli agenti della riscossione e dai </w:t>
                        </w:r>
                      </w:p>
                    </w:txbxContent>
                  </v:textbox>
                </v:rect>
                <v:rect id="Rectangle 19970" o:spid="_x0000_s4845" style="position:absolute;left:-13151;top:56266;width:530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a15yAAAAN4AAAAPAAAAZHJzL2Rvd25yZXYueG1sRI9Pb8Iw&#10;DMXvSPsOkSftBuk4DOgIaGJC9MCFP5N2tBrTdmucqAm026fHh0m72fLze++3XA+uVTfqYuPZwPMk&#10;A0VcettwZeB82o7noGJCtth6JgM/FGG9ehgtMbe+5wPdjqlSYsIxRwN1SiHXOpY1OYwTH4jldvGd&#10;wyRrV2nbYS/mrtXTLHvRDhuWhBoDbWoqv49XZ+DznUOx7XV5+d2E/Vcxb3fX84cxT4/D2yuoREP6&#10;F/99F1bqLxYzARAcmUGv7gAAAP//AwBQSwECLQAUAAYACAAAACEA2+H2y+4AAACFAQAAEwAAAAAA&#10;AAAAAAAAAAAAAAAAW0NvbnRlbnRfVHlwZXNdLnhtbFBLAQItABQABgAIAAAAIQBa9CxbvwAAABUB&#10;AAALAAAAAAAAAAAAAAAAAB8BAABfcmVscy8ucmVsc1BLAQItABQABgAIAAAAIQDS4a15yAAAAN4A&#10;AAAPAAAAAAAAAAAAAAAAAAcCAABkcnMvZG93bnJldi54bWxQSwUGAAAAAAMAAwC3AAAA/AIAAAAA&#10;" filled="f" stroked="f">
                  <v:textbox inset="0,0,0,0">
                    <w:txbxContent>
                      <w:p w14:paraId="7C5E0170" w14:textId="77777777" w:rsidR="00B32EF2" w:rsidRDefault="00000000">
                        <w:r>
                          <w:rPr>
                            <w:rFonts w:ascii="Arial" w:eastAsia="Arial" w:hAnsi="Arial" w:cs="Arial"/>
                            <w:sz w:val="18"/>
                          </w:rPr>
                          <w:t xml:space="preserve">soggetti iscritti nell’albo di cui all’articolo 53 del decreto legislativo 15 dicembre </w:t>
                        </w:r>
                      </w:p>
                    </w:txbxContent>
                  </v:textbox>
                </v:rect>
                <v:rect id="Rectangle 201535" o:spid="_x0000_s4846" style="position:absolute;left:25080;top:55033;width:496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BvxwAAAN8AAAAPAAAAZHJzL2Rvd25yZXYueG1sRI9Ba8JA&#10;FITvgv9heUJvutFikegqoog5eKla6PGRfSbR7Nslu5q0v94tFDwOM/MNs1h1phYPanxlWcF4lIAg&#10;zq2uuFBwPu2GMxA+IGusLZOCH/KwWvZ7C0y1bfmTHsdQiAhhn6KCMgSXSunzkgz6kXXE0bvYxmCI&#10;simkbrCNcFPLSZJ8SIMVx4USHW1Kym/Hu1HwvWWX7VqZX3437nDNZvX+fv5S6m3QrecgAnXhFf5v&#10;Z1rBJBlP36fw9yd+Abl8AgAA//8DAFBLAQItABQABgAIAAAAIQDb4fbL7gAAAIUBAAATAAAAAAAA&#10;AAAAAAAAAAAAAABbQ29udGVudF9UeXBlc10ueG1sUEsBAi0AFAAGAAgAAAAhAFr0LFu/AAAAFQEA&#10;AAsAAAAAAAAAAAAAAAAAHwEAAF9yZWxzLy5yZWxzUEsBAi0AFAAGAAgAAAAhAATA8G/HAAAA3wAA&#10;AA8AAAAAAAAAAAAAAAAABwIAAGRycy9kb3ducmV2LnhtbFBLBQYAAAAAAwADALcAAAD7AgAAAAA=&#10;" filled="f" stroked="f">
                  <v:textbox inset="0,0,0,0">
                    <w:txbxContent>
                      <w:p w14:paraId="2E2237A5" w14:textId="77777777" w:rsidR="00B32EF2" w:rsidRDefault="00000000">
                        <w:r>
                          <w:rPr>
                            <w:rFonts w:ascii="Arial" w:eastAsia="Arial" w:hAnsi="Arial" w:cs="Arial"/>
                            <w:sz w:val="18"/>
                          </w:rPr>
                          <w:t>1997</w:t>
                        </w:r>
                      </w:p>
                    </w:txbxContent>
                  </v:textbox>
                </v:rect>
                <v:rect id="Rectangle 201536" o:spid="_x0000_s4847" style="position:absolute;left:-12117;top:55033;width:496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m4YxwAAAN8AAAAPAAAAZHJzL2Rvd25yZXYueG1sRI9Ba8JA&#10;FITvgv9heUJvutGiSHQVUcQcvGgt9PjIPpNo9u2SXU3aX+8WCj0OM/MNs1x3phZPanxlWcF4lIAg&#10;zq2uuFBw+dgP5yB8QNZYWyYF3+Rhver3lphq2/KJnudQiAhhn6KCMgSXSunzkgz6kXXE0bvaxmCI&#10;simkbrCNcFPLSZLMpMGK40KJjrYl5ffzwyj42rHL9q3Mrz9bd7xl8/rwuHwq9TboNgsQgbrwH/5r&#10;Z1rBJBlP32fw+yd+Abl6AQAA//8DAFBLAQItABQABgAIAAAAIQDb4fbL7gAAAIUBAAATAAAAAAAA&#10;AAAAAAAAAAAAAABbQ29udGVudF9UeXBlc10ueG1sUEsBAi0AFAAGAAgAAAAhAFr0LFu/AAAAFQEA&#10;AAsAAAAAAAAAAAAAAAAAHwEAAF9yZWxzLy5yZWxzUEsBAi0AFAAGAAgAAAAhAPQSbhjHAAAA3wAA&#10;AA8AAAAAAAAAAAAAAAAABwIAAGRycy9kb3ducmV2LnhtbFBLBQYAAAAAAwADALcAAAD7AgAAAAA=&#10;" filled="f" stroked="f">
                  <v:textbox inset="0,0,0,0">
                    <w:txbxContent>
                      <w:p w14:paraId="0F270B53" w14:textId="77777777" w:rsidR="00B32EF2" w:rsidRDefault="00000000">
                        <w:r>
                          <w:rPr>
                            <w:rFonts w:ascii="Arial" w:eastAsia="Arial" w:hAnsi="Arial" w:cs="Arial"/>
                            <w:sz w:val="18"/>
                          </w:rPr>
                          <w:t>, n. 446, devono essere assistite in giudizio da un difensore abilitato.</w:t>
                        </w:r>
                      </w:p>
                    </w:txbxContent>
                  </v:textbox>
                </v:rect>
                <v:rect id="Rectangle 201533" o:spid="_x0000_s4848" style="position:absolute;left:26113;top:537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c2AxwAAAN8AAAAPAAAAZHJzL2Rvd25yZXYueG1sRI9Ba8JA&#10;FITvgv9heUJvulGpSHQVUcQcvNRa6PGRfSbR7Nslu5rUX98tCD0OM/MNs1x3phYPanxlWcF4lIAg&#10;zq2uuFBw/twP5yB8QNZYWyYFP+Rhver3lphq2/IHPU6hEBHCPkUFZQguldLnJRn0I+uIo3exjcEQ&#10;ZVNI3WAb4aaWkySZSYMVx4USHW1Lym+nu1HwvWOX7VuZX55bd7xm8/pwP38p9TboNgsQgbrwH361&#10;M61gkozfp1P4+xO/gFz9AgAA//8DAFBLAQItABQABgAIAAAAIQDb4fbL7gAAAIUBAAATAAAAAAAA&#10;AAAAAAAAAAAAAABbQ29udGVudF9UeXBlc10ueG1sUEsBAi0AFAAGAAgAAAAhAFr0LFu/AAAAFQEA&#10;AAsAAAAAAAAAAAAAAAAAHwEAAF9yZWxzLy5yZWxzUEsBAi0AFAAGAAgAAAAhAORlzYDHAAAA3wAA&#10;AA8AAAAAAAAAAAAAAAAABwIAAGRycy9kb3ducmV2LnhtbFBLBQYAAAAAAwADALcAAAD7AgAAAAA=&#10;" filled="f" stroked="f">
                  <v:textbox inset="0,0,0,0">
                    <w:txbxContent>
                      <w:p w14:paraId="1CF18425" w14:textId="77777777" w:rsidR="00B32EF2" w:rsidRDefault="00000000">
                        <w:r>
                          <w:rPr>
                            <w:rFonts w:ascii="Arial" w:eastAsia="Arial" w:hAnsi="Arial" w:cs="Arial"/>
                            <w:sz w:val="18"/>
                          </w:rPr>
                          <w:t>2</w:t>
                        </w:r>
                      </w:p>
                    </w:txbxContent>
                  </v:textbox>
                </v:rect>
                <v:rect id="Rectangle 201534" o:spid="_x0000_s4849" style="position:absolute;left:-13813;top:537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FX0yAAAAN8AAAAPAAAAZHJzL2Rvd25yZXYueG1sRI9Pa8JA&#10;FMTvgt9heUJvutFqkdRVikXMoRf/FHp8ZJ9J2uzbJbua6KfvCoLHYWZ+wyxWnanFhRpfWVYwHiUg&#10;iHOrKy4UHA+b4RyED8gaa8uk4EoeVst+b4Gpti3v6LIPhYgQ9ikqKENwqZQ+L8mgH1lHHL2TbQyG&#10;KJtC6gbbCDe1nCTJmzRYcVwo0dG6pPxvfzYKfj7ZZZtW5qfb2n39ZvN6ez5+K/Uy6D7eQQTqwjP8&#10;aGdawSQZz16ncP8Tv4Bc/gMAAP//AwBQSwECLQAUAAYACAAAACEA2+H2y+4AAACFAQAAEwAAAAAA&#10;AAAAAAAAAAAAAAAAW0NvbnRlbnRfVHlwZXNdLnhtbFBLAQItABQABgAIAAAAIQBa9CxbvwAAABUB&#10;AAALAAAAAAAAAAAAAAAAAB8BAABfcmVscy8ucmVsc1BLAQItABQABgAIAAAAIQBrjFX0yAAAAN8A&#10;AAAPAAAAAAAAAAAAAAAAAAcCAABkcnMvZG93bnJldi54bWxQSwUGAAAAAAMAAwC3AAAA/AIAAAAA&#10;" filled="f" stroked="f">
                  <v:textbox inset="0,0,0,0">
                    <w:txbxContent>
                      <w:p w14:paraId="2BFC1D51" w14:textId="77777777" w:rsidR="00B32EF2" w:rsidRDefault="00000000">
                        <w:r>
                          <w:rPr>
                            <w:rFonts w:ascii="Arial" w:eastAsia="Arial" w:hAnsi="Arial" w:cs="Arial"/>
                            <w:sz w:val="18"/>
                          </w:rPr>
                          <w:t xml:space="preserve">. Per le controversie di valore fino a 3.000 euro le parti possono stare in </w:t>
                        </w:r>
                      </w:p>
                    </w:txbxContent>
                  </v:textbox>
                </v:rect>
                <v:rect id="Rectangle 19973" o:spid="_x0000_s4850" style="position:absolute;left:-13168;top:525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zMOxQAAAN4AAAAPAAAAZHJzL2Rvd25yZXYueG1sRE9La8JA&#10;EL4X/A/LCN7qxgpVo6uIRZpDL/UBHofsmESzs0t2NWl/fbcgeJuP7zmLVWdqcafGV5YVjIYJCOLc&#10;6ooLBYf99nUKwgdkjbVlUvBDHlbL3ssCU21b/qb7LhQihrBPUUEZgkul9HlJBv3QOuLInW1jMETY&#10;FFI32MZwU8u3JHmXBiuODSU62pSUX3c3o+D0wS7btjI//27c1yWb1p+3w1GpQb9bz0EE6sJT/HBn&#10;Os6fzSZj+H8n3iCXfwAAAP//AwBQSwECLQAUAAYACAAAACEA2+H2y+4AAACFAQAAEwAAAAAAAAAA&#10;AAAAAAAAAAAAW0NvbnRlbnRfVHlwZXNdLnhtbFBLAQItABQABgAIAAAAIQBa9CxbvwAAABUBAAAL&#10;AAAAAAAAAAAAAAAAAB8BAABfcmVscy8ucmVsc1BLAQItABQABgAIAAAAIQAiMzMOxQAAAN4AAAAP&#10;AAAAAAAAAAAAAAAAAAcCAABkcnMvZG93bnJldi54bWxQSwUGAAAAAAMAAwC3AAAA+QIAAAAA&#10;" filled="f" stroked="f">
                  <v:textbox inset="0,0,0,0">
                    <w:txbxContent>
                      <w:p w14:paraId="75C433FE" w14:textId="77777777" w:rsidR="00B32EF2" w:rsidRDefault="00000000">
                        <w:r>
                          <w:rPr>
                            <w:rFonts w:ascii="Arial" w:eastAsia="Arial" w:hAnsi="Arial" w:cs="Arial"/>
                            <w:sz w:val="18"/>
                          </w:rPr>
                          <w:t xml:space="preserve">giudizio senza assistenza tecnica. Per valore della lite si intende l’importo del </w:t>
                        </w:r>
                      </w:p>
                    </w:txbxContent>
                  </v:textbox>
                </v:rect>
                <v:rect id="Rectangle 19974" o:spid="_x0000_s4851" style="position:absolute;left:-12199;top:51333;width:521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qt6xQAAAN4AAAAPAAAAZHJzL2Rvd25yZXYueG1sRE9La8JA&#10;EL4X/A/LCN7qxiJVo6uIRZpDL/UBHofsmESzs0t2NWl/fbcgeJuP7zmLVWdqcafGV5YVjIYJCOLc&#10;6ooLBYf99nUKwgdkjbVlUvBDHlbL3ssCU21b/qb7LhQihrBPUUEZgkul9HlJBv3QOuLInW1jMETY&#10;FFI32MZwU8u3JHmXBiuODSU62pSUX3c3o+D0wS7btjI//27c1yWb1p+3w1GpQb9bz0EE6sJT/HBn&#10;Os6fzSZj+H8n3iCXfwAAAP//AwBQSwECLQAUAAYACAAAACEA2+H2y+4AAACFAQAAEwAAAAAAAAAA&#10;AAAAAAAAAAAAW0NvbnRlbnRfVHlwZXNdLnhtbFBLAQItABQABgAIAAAAIQBa9CxbvwAAABUBAAAL&#10;AAAAAAAAAAAAAAAAAB8BAABfcmVscy8ucmVsc1BLAQItABQABgAIAAAAIQCt2qt6xQAAAN4AAAAP&#10;AAAAAAAAAAAAAAAAAAcCAABkcnMvZG93bnJldi54bWxQSwUGAAAAAAMAAwC3AAAA+QIAAAAA&#10;" filled="f" stroked="f">
                  <v:textbox inset="0,0,0,0">
                    <w:txbxContent>
                      <w:p w14:paraId="6EB94C40" w14:textId="77777777" w:rsidR="00B32EF2" w:rsidRDefault="00000000">
                        <w:r>
                          <w:rPr>
                            <w:rFonts w:ascii="Arial" w:eastAsia="Arial" w:hAnsi="Arial" w:cs="Arial"/>
                            <w:sz w:val="18"/>
                          </w:rPr>
                          <w:t>tributo al netto degli interessi e delle eventuali sanzioni irrogate con l’atto im</w:t>
                        </w:r>
                      </w:p>
                    </w:txbxContent>
                  </v:textbox>
                </v:rect>
                <v:rect id="Rectangle 19975" o:spid="_x0000_s4852" style="position:absolute;left:195;top:513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g7hxQAAAN4AAAAPAAAAZHJzL2Rvd25yZXYueG1sRE9La8JA&#10;EL4X/A/LCN7qxoJVo6uIRZpDL/UBHofsmESzs0t2NWl/fbcgeJuP7zmLVWdqcafGV5YVjIYJCOLc&#10;6ooLBYf99nUKwgdkjbVlUvBDHlbL3ssCU21b/qb7LhQihrBPUUEZgkul9HlJBv3QOuLInW1jMETY&#10;FFI32MZwU8u3JHmXBiuODSU62pSUX3c3o+D0wS7btjI//27c1yWb1p+3w1GpQb9bz0EE6sJT/HBn&#10;Os6fzSZj+H8n3iCXfwAAAP//AwBQSwECLQAUAAYACAAAACEA2+H2y+4AAACFAQAAEwAAAAAAAAAA&#10;AAAAAAAAAAAAW0NvbnRlbnRfVHlwZXNdLnhtbFBLAQItABQABgAIAAAAIQBa9CxbvwAAABUBAAAL&#10;AAAAAAAAAAAAAAAAAB8BAABfcmVscy8ucmVsc1BLAQItABQABgAIAAAAIQDClg7hxQAAAN4AAAAP&#10;AAAAAAAAAAAAAAAAAAcCAABkcnMvZG93bnJldi54bWxQSwUGAAAAAAMAAwC3AAAA+QIAAAAA&#10;" filled="f" stroked="f">
                  <v:textbox inset="0,0,0,0">
                    <w:txbxContent>
                      <w:p w14:paraId="3D24F417" w14:textId="77777777" w:rsidR="00B32EF2" w:rsidRDefault="00000000">
                        <w:r>
                          <w:rPr>
                            <w:rFonts w:ascii="Arial" w:eastAsia="Arial" w:hAnsi="Arial" w:cs="Arial"/>
                            <w:sz w:val="18"/>
                          </w:rPr>
                          <w:t>-</w:t>
                        </w:r>
                      </w:p>
                    </w:txbxContent>
                  </v:textbox>
                </v:rect>
                <v:rect id="Rectangle 19976" o:spid="_x0000_s4853" style="position:absolute;left:-12202;top:50099;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CWxAAAAN4AAAAPAAAAZHJzL2Rvd25yZXYueG1sRE9Ni8Iw&#10;EL0L/ocwgjdN9eBq1yiiiD3sZV0X9jg0Y1ttJqGJtvrrNwsL3ubxPme57kwt7tT4yrKCyTgBQZxb&#10;XXGh4PS1H81B+ICssbZMCh7kYb3q95aYatvyJ92PoRAxhH2KCsoQXCqlz0sy6MfWEUfubBuDIcKm&#10;kLrBNoabWk6TZCYNVhwbSnS0LSm/Hm9Gwc+OXbZvZX5+bt3HJZvXh9vpW6nhoNu8gwjUhZf4353p&#10;OH+xeJvB3zvxBrn6BQAA//8DAFBLAQItABQABgAIAAAAIQDb4fbL7gAAAIUBAAATAAAAAAAAAAAA&#10;AAAAAAAAAABbQ29udGVudF9UeXBlc10ueG1sUEsBAi0AFAAGAAgAAAAhAFr0LFu/AAAAFQEAAAsA&#10;AAAAAAAAAAAAAAAAHwEAAF9yZWxzLy5yZWxzUEsBAi0AFAAGAAgAAAAhADJEkJbEAAAA3gAAAA8A&#10;AAAAAAAAAAAAAAAABwIAAGRycy9kb3ducmV2LnhtbFBLBQYAAAAAAwADALcAAAD4AgAAAAA=&#10;" filled="f" stroked="f">
                  <v:textbox inset="0,0,0,0">
                    <w:txbxContent>
                      <w:p w14:paraId="300DEFBF" w14:textId="77777777" w:rsidR="00B32EF2" w:rsidRDefault="00000000">
                        <w:r>
                          <w:rPr>
                            <w:rFonts w:ascii="Arial" w:eastAsia="Arial" w:hAnsi="Arial" w:cs="Arial"/>
                            <w:sz w:val="18"/>
                          </w:rPr>
                          <w:t>pugnato; in caso di controversie relative esclusivamente alle irrogazioni di san</w:t>
                        </w:r>
                      </w:p>
                    </w:txbxContent>
                  </v:textbox>
                </v:rect>
                <v:rect id="Rectangle 19977" o:spid="_x0000_s4854" style="position:absolute;left:195;top:500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DUNxAAAAN4AAAAPAAAAZHJzL2Rvd25yZXYueG1sRE9Ni8Iw&#10;EL0L/ocwgjdN9bBq1yiiyPbgZV0X9jg0Y1ttJqGJtvrrNwsL3ubxPme57kwt7tT4yrKCyTgBQZxb&#10;XXGh4PS1H81B+ICssbZMCh7kYb3q95aYatvyJ92PoRAxhH2KCsoQXCqlz0sy6MfWEUfubBuDIcKm&#10;kLrBNoabWk6T5E0arDg2lOhoW1J+Pd6Mgp8du2zfyvz83LrDJZvXH7fTt1LDQbd5BxGoCy/xvzvT&#10;cf5iMZvB3zvxBrn6BQAA//8DAFBLAQItABQABgAIAAAAIQDb4fbL7gAAAIUBAAATAAAAAAAAAAAA&#10;AAAAAAAAAABbQ29udGVudF9UeXBlc10ueG1sUEsBAi0AFAAGAAgAAAAhAFr0LFu/AAAAFQEAAAsA&#10;AAAAAAAAAAAAAAAAHwEAAF9yZWxzLy5yZWxzUEsBAi0AFAAGAAgAAAAhAF0INQ3EAAAA3gAAAA8A&#10;AAAAAAAAAAAAAAAABwIAAGRycy9kb3ducmV2LnhtbFBLBQYAAAAAAwADALcAAAD4AgAAAAA=&#10;" filled="f" stroked="f">
                  <v:textbox inset="0,0,0,0">
                    <w:txbxContent>
                      <w:p w14:paraId="71E873A2" w14:textId="77777777" w:rsidR="00B32EF2" w:rsidRDefault="00000000">
                        <w:r>
                          <w:rPr>
                            <w:rFonts w:ascii="Arial" w:eastAsia="Arial" w:hAnsi="Arial" w:cs="Arial"/>
                            <w:sz w:val="18"/>
                          </w:rPr>
                          <w:t>-</w:t>
                        </w:r>
                      </w:p>
                    </w:txbxContent>
                  </v:textbox>
                </v:rect>
                <v:rect id="Rectangle 19978" o:spid="_x0000_s4855" style="position:absolute;left:6675;top:48866;width:332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6F/yAAAAN4AAAAPAAAAZHJzL2Rvd25yZXYueG1sRI9Pb8Iw&#10;DMXvSPsOkSftBuk4DOgIaGJC9MCFP5N2tBrTdmucqAm026fHh0m72XrP7/28XA+uVTfqYuPZwPMk&#10;A0VcettwZeB82o7noGJCtth6JgM/FGG9ehgtMbe+5wPdjqlSEsIxRwN1SiHXOpY1OYwTH4hFu/jO&#10;YZK1q7TtsJdw1+pplr1ohw1LQ42BNjWV38erM/D5zqHY9rq8/G7C/quYt7vr+cOYp8fh7RVUoiH9&#10;m/+uCyv4i8VMeOUdmUGv7gAAAP//AwBQSwECLQAUAAYACAAAACEA2+H2y+4AAACFAQAAEwAAAAAA&#10;AAAAAAAAAAAAAAAAW0NvbnRlbnRfVHlwZXNdLnhtbFBLAQItABQABgAIAAAAIQBa9CxbvwAAABUB&#10;AAALAAAAAAAAAAAAAAAAAB8BAABfcmVscy8ucmVsc1BLAQItABQABgAIAAAAIQAsl6F/yAAAAN4A&#10;AAAPAAAAAAAAAAAAAAAAAAcCAABkcnMvZG93bnJldi54bWxQSwUGAAAAAAMAAwC3AAAA/AIAAAAA&#10;" filled="f" stroked="f">
                  <v:textbox inset="0,0,0,0">
                    <w:txbxContent>
                      <w:p w14:paraId="591CE5CD" w14:textId="77777777" w:rsidR="00B32EF2" w:rsidRDefault="00000000">
                        <w:r>
                          <w:rPr>
                            <w:rFonts w:ascii="Arial" w:eastAsia="Arial" w:hAnsi="Arial" w:cs="Arial"/>
                            <w:sz w:val="18"/>
                          </w:rPr>
                          <w:t>zioni, il valore è costituito dalla somma di queste.</w:t>
                        </w:r>
                      </w:p>
                    </w:txbxContent>
                  </v:textbox>
                </v:rect>
                <v:rect id="Rectangle 201532" o:spid="_x0000_s4856" style="position:absolute;left:-13813;top:476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WgbyAAAAN8AAAAPAAAAZHJzL2Rvd25yZXYueG1sRI9Pa8JA&#10;FMTvgt9heYI33ZhikdRVRJHm0Ev9Az0+ss8kbfbtkl1N7Kd3CwWPw8z8hlmue9OIG7W+tqxgNk1A&#10;EBdW11wqOB33kwUIH5A1NpZJwZ08rFfDwRIzbTv+pNshlCJC2GeooArBZVL6oiKDfmodcfQutjUY&#10;omxLqVvsItw0Mk2SV2mw5rhQoaNtRcXP4WoUfO3Y5ftOFpffrfv4zhfN+/V0Vmo86jdvIAL14Rn+&#10;b+daQZrM5i8p/P2JX0CuHgAAAP//AwBQSwECLQAUAAYACAAAACEA2+H2y+4AAACFAQAAEwAAAAAA&#10;AAAAAAAAAAAAAAAAW0NvbnRlbnRfVHlwZXNdLnhtbFBLAQItABQABgAIAAAAIQBa9CxbvwAAABUB&#10;AAALAAAAAAAAAAAAAAAAAB8BAABfcmVscy8ucmVsc1BLAQItABQABgAIAAAAIQCLKWgbyAAAAN8A&#10;AAAPAAAAAAAAAAAAAAAAAAcCAABkcnMvZG93bnJldi54bWxQSwUGAAAAAAMAAwC3AAAA/AIAAAAA&#10;" filled="f" stroked="f">
                  <v:textbox inset="0,0,0,0">
                    <w:txbxContent>
                      <w:p w14:paraId="1A6219D7" w14:textId="77777777" w:rsidR="00B32EF2" w:rsidRDefault="00000000">
                        <w:r>
                          <w:rPr>
                            <w:rFonts w:ascii="Arial" w:eastAsia="Arial" w:hAnsi="Arial" w:cs="Arial"/>
                            <w:sz w:val="18"/>
                          </w:rPr>
                          <w:t xml:space="preserve">. Sono abilitati all’assistenza tecnica, se iscritti nei relativi albi professionali o </w:t>
                        </w:r>
                      </w:p>
                    </w:txbxContent>
                  </v:textbox>
                </v:rect>
                <v:rect id="Rectangle 201531" o:spid="_x0000_s4857" style="position:absolute;left:26113;top:476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syAAAAN8AAAAPAAAAZHJzL2Rvd25yZXYueG1sRI9Pa8JA&#10;FMTvgt9heYI33cRikdRVRJHm0Ev9Az0+ss8kbfbtkl1N7Kd3CwWPw8z8hlmue9OIG7W+tqwgnSYg&#10;iAuray4VnI77yQKED8gaG8uk4E4e1qvhYImZth1/0u0QShEh7DNUUIXgMil9UZFBP7WOOHoX2xoM&#10;Ubal1C12EW4aOUuSV2mw5rhQoaNtRcXP4WoUfO3Y5ftOFpffrfv4zhfN+/V0Vmo86jdvIAL14Rn+&#10;b+dawSxJ5y8p/P2JX0CuHgAAAP//AwBQSwECLQAUAAYACAAAACEA2+H2y+4AAACFAQAAEwAAAAAA&#10;AAAAAAAAAAAAAAAAW0NvbnRlbnRfVHlwZXNdLnhtbFBLAQItABQABgAIAAAAIQBa9CxbvwAAABUB&#10;AAALAAAAAAAAAAAAAAAAAB8BAABfcmVscy8ucmVsc1BLAQItABQABgAIAAAAIQB7+/ZsyAAAAN8A&#10;AAAPAAAAAAAAAAAAAAAAAAcCAABkcnMvZG93bnJldi54bWxQSwUGAAAAAAMAAwC3AAAA/AIAAAAA&#10;" filled="f" stroked="f">
                  <v:textbox inset="0,0,0,0">
                    <w:txbxContent>
                      <w:p w14:paraId="706C5ED1" w14:textId="77777777" w:rsidR="00B32EF2" w:rsidRDefault="00000000">
                        <w:r>
                          <w:rPr>
                            <w:rFonts w:ascii="Arial" w:eastAsia="Arial" w:hAnsi="Arial" w:cs="Arial"/>
                            <w:sz w:val="18"/>
                          </w:rPr>
                          <w:t>3</w:t>
                        </w:r>
                      </w:p>
                    </w:txbxContent>
                  </v:textbox>
                </v:rect>
                <v:rect id="Rectangle 19980" o:spid="_x0000_s4858" style="position:absolute;left:19943;top:46400;width:1997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N1eyAAAAN4AAAAPAAAAZHJzL2Rvd25yZXYueG1sRI9Pb8Iw&#10;DMXvk/YdIk/abaTbYSqFgBATWg+78GfSjlZj2kLjRE2g3T79fEDiZsvP773ffDm6Tl2pj61nA6+T&#10;DBRx5W3LtYHDfvOSg4oJ2WLnmQz8UoTl4vFhjoX1A2/puku1EhOOBRpoUgqF1rFqyGGc+EAst6Pv&#10;HSZZ+1rbHgcxd51+y7J37bBlSWgw0Lqh6ry7OAM/HxzKzaCr4986fJ3KvPu8HL6NeX4aVzNQicZ0&#10;F9++Syv1p9NcAARHZtCLfwAAAP//AwBQSwECLQAUAAYACAAAACEA2+H2y+4AAACFAQAAEwAAAAAA&#10;AAAAAAAAAAAAAAAAW0NvbnRlbnRfVHlwZXNdLnhtbFBLAQItABQABgAIAAAAIQBa9CxbvwAAABUB&#10;AAALAAAAAAAAAAAAAAAAAB8BAABfcmVscy8ucmVsc1BLAQItABQABgAIAAAAIQDnNN1eyAAAAN4A&#10;AAAPAAAAAAAAAAAAAAAAAAcCAABkcnMvZG93bnJldi54bWxQSwUGAAAAAAMAAwC3AAAA/AIAAAAA&#10;" filled="f" stroked="f">
                  <v:textbox inset="0,0,0,0">
                    <w:txbxContent>
                      <w:p w14:paraId="72279188" w14:textId="77777777" w:rsidR="00B32EF2" w:rsidRDefault="00000000">
                        <w:r>
                          <w:rPr>
                            <w:rFonts w:ascii="Arial" w:eastAsia="Arial" w:hAnsi="Arial" w:cs="Arial"/>
                            <w:sz w:val="18"/>
                          </w:rPr>
                          <w:t>nell’elenco di cui al comma 4:</w:t>
                        </w:r>
                      </w:p>
                    </w:txbxContent>
                  </v:textbox>
                </v:rect>
                <v:rect id="Rectangle 19981" o:spid="_x0000_s4859" style="position:absolute;left:30181;top:45166;width:97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HjFxAAAAN4AAAAPAAAAZHJzL2Rvd25yZXYueG1sRE9Li8Iw&#10;EL4L/ocwwt401cNSu0YRRbaHvfhY2OPQjG3XZhKaaLv7640geJuP7zmLVW8acaPW15YVTCcJCOLC&#10;6ppLBafjbpyC8AFZY2OZFPyRh9VyOFhgpm3He7odQiliCPsMFVQhuExKX1Rk0E+sI47c2bYGQ4Rt&#10;KXWLXQw3jZwlybs0WHNsqNDRpqLicrgaBT9bdvmuk8X5f+O+fvO0+byevpV6G/XrDxCB+vASP925&#10;jvPn83QKj3fiDXJ5BwAA//8DAFBLAQItABQABgAIAAAAIQDb4fbL7gAAAIUBAAATAAAAAAAAAAAA&#10;AAAAAAAAAABbQ29udGVudF9UeXBlc10ueG1sUEsBAi0AFAAGAAgAAAAhAFr0LFu/AAAAFQEAAAsA&#10;AAAAAAAAAAAAAAAAHwEAAF9yZWxzLy5yZWxzUEsBAi0AFAAGAAgAAAAhAIh4eMXEAAAA3gAAAA8A&#10;AAAAAAAAAAAAAAAABwIAAGRycy9kb3ducmV2LnhtbFBLBQYAAAAAAwADALcAAAD4AgAAAAA=&#10;" filled="f" stroked="f">
                  <v:textbox inset="0,0,0,0">
                    <w:txbxContent>
                      <w:p w14:paraId="6FF671EF" w14:textId="77777777" w:rsidR="00B32EF2" w:rsidRDefault="00000000">
                        <w:r>
                          <w:rPr>
                            <w:rFonts w:ascii="Arial" w:eastAsia="Arial" w:hAnsi="Arial" w:cs="Arial"/>
                            <w:sz w:val="18"/>
                          </w:rPr>
                          <w:t>a) gli avvocati;</w:t>
                        </w:r>
                      </w:p>
                    </w:txbxContent>
                  </v:textbox>
                </v:rect>
                <v:rect id="Rectangle 19982" o:spid="_x0000_s4860" style="position:absolute;left:-12286;top:43933;width:522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uayxAAAAN4AAAAPAAAAZHJzL2Rvd25yZXYueG1sRE9Na8JA&#10;EL0X/A/LFLzVTT2UmLqKKNIcvFQjeByyY5KanV2yq4n++m6h4G0e73Pmy8G04kadbywreJ8kIIhL&#10;qxuuFBSH7VsKwgdkja1lUnAnD8vF6GWOmbY9f9NtHyoRQ9hnqKAOwWVS+rImg35iHXHkzrYzGCLs&#10;Kqk77GO4aeU0ST6kwYZjQ42O1jWVl/3VKDht2OXbXpbnx9rtfvK0/boWR6XGr8PqE0SgITzF/+5c&#10;x/mzWTqFv3fiDXLxCwAA//8DAFBLAQItABQABgAIAAAAIQDb4fbL7gAAAIUBAAATAAAAAAAAAAAA&#10;AAAAAAAAAABbQ29udGVudF9UeXBlc10ueG1sUEsBAi0AFAAGAAgAAAAhAFr0LFu/AAAAFQEAAAsA&#10;AAAAAAAAAAAAAAAAHwEAAF9yZWxzLy5yZWxzUEsBAi0AFAAGAAgAAAAhAHiq5rLEAAAA3gAAAA8A&#10;AAAAAAAAAAAAAAAABwIAAGRycy9kb3ducmV2LnhtbFBLBQYAAAAAAwADALcAAAD4AgAAAAA=&#10;" filled="f" stroked="f">
                  <v:textbox inset="0,0,0,0">
                    <w:txbxContent>
                      <w:p w14:paraId="5F1B3992" w14:textId="77777777" w:rsidR="00B32EF2" w:rsidRDefault="00000000">
                        <w:r>
                          <w:rPr>
                            <w:rFonts w:ascii="Arial" w:eastAsia="Arial" w:hAnsi="Arial" w:cs="Arial"/>
                            <w:sz w:val="18"/>
                          </w:rPr>
                          <w:t>b) i soggetti iscritti nella Sezione A commercialisti dell’Albo dei dottori commer</w:t>
                        </w:r>
                      </w:p>
                    </w:txbxContent>
                  </v:textbox>
                </v:rect>
                <v:rect id="Rectangle 19983" o:spid="_x0000_s4861" style="position:absolute;left:195;top:439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MpxQAAAN4AAAAPAAAAZHJzL2Rvd25yZXYueG1sRE9La8JA&#10;EL4X+h+WEbzVjQoSU1cpFjEHLz4KPQ7ZMUmbnV2yq4n+erdQ8DYf33MWq9404kqtry0rGI8SEMSF&#10;1TWXCk7HzVsKwgdkjY1lUnAjD6vl68sCM2073tP1EEoRQ9hnqKAKwWVS+qIig35kHXHkzrY1GCJs&#10;S6lb7GK4aeQkSWbSYM2xoUJH64qK38PFKPj+ZJdvOlmc72u3+8nTZns5fSk1HPQf7yAC9eEp/nfn&#10;Os6fz9Mp/L0Tb5DLBwAAAP//AwBQSwECLQAUAAYACAAAACEA2+H2y+4AAACFAQAAEwAAAAAAAAAA&#10;AAAAAAAAAAAAW0NvbnRlbnRfVHlwZXNdLnhtbFBLAQItABQABgAIAAAAIQBa9CxbvwAAABUBAAAL&#10;AAAAAAAAAAAAAAAAAB8BAABfcmVscy8ucmVsc1BLAQItABQABgAIAAAAIQAX5kMpxQAAAN4AAAAP&#10;AAAAAAAAAAAAAAAAAAcCAABkcnMvZG93bnJldi54bWxQSwUGAAAAAAMAAwC3AAAA+QIAAAAA&#10;" filled="f" stroked="f">
                  <v:textbox inset="0,0,0,0">
                    <w:txbxContent>
                      <w:p w14:paraId="6D526016" w14:textId="77777777" w:rsidR="00B32EF2" w:rsidRDefault="00000000">
                        <w:r>
                          <w:rPr>
                            <w:rFonts w:ascii="Arial" w:eastAsia="Arial" w:hAnsi="Arial" w:cs="Arial"/>
                            <w:sz w:val="18"/>
                          </w:rPr>
                          <w:t>-</w:t>
                        </w:r>
                      </w:p>
                    </w:txbxContent>
                  </v:textbox>
                </v:rect>
                <v:rect id="Rectangle 19984" o:spid="_x0000_s4862" style="position:absolute;left:19142;top:42700;width:207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9tdxQAAAN4AAAAPAAAAZHJzL2Rvd25yZXYueG1sRE9La8JA&#10;EL4X+h+WEbzVjSISU1cpFjEHLz4KPQ7ZMUmbnV2yq4n+erdQ8DYf33MWq9404kqtry0rGI8SEMSF&#10;1TWXCk7HzVsKwgdkjY1lUnAjD6vl68sCM2073tP1EEoRQ9hnqKAKwWVS+qIig35kHXHkzrY1GCJs&#10;S6lb7GK4aeQkSWbSYM2xoUJH64qK38PFKPj+ZJdvOlmc72u3+8nTZns5fSk1HPQf7yAC9eEp/nfn&#10;Os6fz9Mp/L0Tb5DLBwAAAP//AwBQSwECLQAUAAYACAAAACEA2+H2y+4AAACFAQAAEwAAAAAAAAAA&#10;AAAAAAAAAAAAW0NvbnRlbnRfVHlwZXNdLnhtbFBLAQItABQABgAIAAAAIQBa9CxbvwAAABUBAAAL&#10;AAAAAAAAAAAAAAAAAB8BAABfcmVscy8ucmVsc1BLAQItABQABgAIAAAAIQCYD9tdxQAAAN4AAAAP&#10;AAAAAAAAAAAAAAAAAAcCAABkcnMvZG93bnJldi54bWxQSwUGAAAAAAMAAwC3AAAA+QIAAAAA&#10;" filled="f" stroked="f">
                  <v:textbox inset="0,0,0,0">
                    <w:txbxContent>
                      <w:p w14:paraId="1EBECF67" w14:textId="77777777" w:rsidR="00B32EF2" w:rsidRDefault="00000000">
                        <w:r>
                          <w:rPr>
                            <w:rFonts w:ascii="Arial" w:eastAsia="Arial" w:hAnsi="Arial" w:cs="Arial"/>
                            <w:sz w:val="18"/>
                          </w:rPr>
                          <w:t>cialisti e degli esperti contabili;</w:t>
                        </w:r>
                      </w:p>
                    </w:txbxContent>
                  </v:textbox>
                </v:rect>
                <v:rect id="Rectangle 19985" o:spid="_x0000_s4863" style="position:absolute;left:23142;top:41466;width:167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37GxQAAAN4AAAAPAAAAZHJzL2Rvd25yZXYueG1sRE9La8JA&#10;EL4X+h+WEbzVjYISU1cpFjEHLz4KPQ7ZMUmbnV2yq4n+erdQ8DYf33MWq9404kqtry0rGI8SEMSF&#10;1TWXCk7HzVsKwgdkjY1lUnAjD6vl68sCM2073tP1EEoRQ9hnqKAKwWVS+qIig35kHXHkzrY1GCJs&#10;S6lb7GK4aeQkSWbSYM2xoUJH64qK38PFKPj+ZJdvOlmc72u3+8nTZns5fSk1HPQf7yAC9eEp/nfn&#10;Os6fz9Mp/L0Tb5DLBwAAAP//AwBQSwECLQAUAAYACAAAACEA2+H2y+4AAACFAQAAEwAAAAAAAAAA&#10;AAAAAAAAAAAAW0NvbnRlbnRfVHlwZXNdLnhtbFBLAQItABQABgAIAAAAIQBa9CxbvwAAABUBAAAL&#10;AAAAAAAAAAAAAAAAAB8BAABfcmVscy8ucmVsc1BLAQItABQABgAIAAAAIQD3Q37GxQAAAN4AAAAP&#10;AAAAAAAAAAAAAAAAAAcCAABkcnMvZG93bnJldi54bWxQSwUGAAAAAAMAAwC3AAAA+QIAAAAA&#10;" filled="f" stroked="f">
                  <v:textbox inset="0,0,0,0">
                    <w:txbxContent>
                      <w:p w14:paraId="182200D2" w14:textId="77777777" w:rsidR="00B32EF2" w:rsidRDefault="00000000">
                        <w:r>
                          <w:rPr>
                            <w:rFonts w:ascii="Arial" w:eastAsia="Arial" w:hAnsi="Arial" w:cs="Arial"/>
                            <w:sz w:val="18"/>
                          </w:rPr>
                          <w:t>c) i consulenti del lavoro;</w:t>
                        </w:r>
                      </w:p>
                    </w:txbxContent>
                  </v:textbox>
                </v:rect>
                <v:rect id="Rectangle 19986" o:spid="_x0000_s4864" style="position:absolute;left:17993;top:40233;width:219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eCxxAAAAN4AAAAPAAAAZHJzL2Rvd25yZXYueG1sRE9Na8JA&#10;EL0X/A/LFLzVTXuQmLqKKNIcvFQjeByyY5KanV2yq4n++m6h4G0e73Pmy8G04kadbywreJ8kIIhL&#10;qxuuFBSH7VsKwgdkja1lUnAnD8vF6GWOmbY9f9NtHyoRQ9hnqKAOwWVS+rImg35iHXHkzrYzGCLs&#10;Kqk77GO4aeVHkkylwYZjQ42O1jWVl/3VKDht2OXbXpbnx9rtfvK0/boWR6XGr8PqE0SgITzF/+5c&#10;x/mzWTqFv3fiDXLxCwAA//8DAFBLAQItABQABgAIAAAAIQDb4fbL7gAAAIUBAAATAAAAAAAAAAAA&#10;AAAAAAAAAABbQ29udGVudF9UeXBlc10ueG1sUEsBAi0AFAAGAAgAAAAhAFr0LFu/AAAAFQEAAAsA&#10;AAAAAAAAAAAAAAAAHwEAAF9yZWxzLy5yZWxzUEsBAi0AFAAGAAgAAAAhAAeR4LHEAAAA3gAAAA8A&#10;AAAAAAAAAAAAAAAABwIAAGRycy9kb3ducmV2LnhtbFBLBQYAAAAAAwADALcAAAD4AgAAAAA=&#10;" filled="f" stroked="f">
                  <v:textbox inset="0,0,0,0">
                    <w:txbxContent>
                      <w:p w14:paraId="1494B807" w14:textId="77777777" w:rsidR="00B32EF2" w:rsidRDefault="00000000">
                        <w:r>
                          <w:rPr>
                            <w:rFonts w:ascii="Arial" w:eastAsia="Arial" w:hAnsi="Arial" w:cs="Arial"/>
                            <w:sz w:val="18"/>
                          </w:rPr>
                          <w:t xml:space="preserve">d) i soggetti di cui al comma 12; </w:t>
                        </w:r>
                      </w:p>
                    </w:txbxContent>
                  </v:textbox>
                </v:rect>
                <v:rect id="Rectangle 19987" o:spid="_x0000_s4865" style="position:absolute;left:-13168;top:390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UUqxQAAAN4AAAAPAAAAZHJzL2Rvd25yZXYueG1sRE9La8JA&#10;EL4X+h+WEbzVjR40pq5SLGIOXnwUehyyY5I2O7tkVxP99W6h4G0+vucsVr1pxJVaX1tWMB4lIIgL&#10;q2suFZyOm7cUhA/IGhvLpOBGHlbL15cFZtp2vKfrIZQihrDPUEEVgsuk9EVFBv3IOuLInW1rMETY&#10;llK32MVw08hJkkylwZpjQ4WO1hUVv4eLUfD9yS7fdLI439du95OnzfZy+lJqOOg/3kEE6sNT/O/O&#10;dZw/n6cz+Hsn3iCXDwAAAP//AwBQSwECLQAUAAYACAAAACEA2+H2y+4AAACFAQAAEwAAAAAAAAAA&#10;AAAAAAAAAAAAW0NvbnRlbnRfVHlwZXNdLnhtbFBLAQItABQABgAIAAAAIQBa9CxbvwAAABUBAAAL&#10;AAAAAAAAAAAAAAAAAB8BAABfcmVscy8ucmVsc1BLAQItABQABgAIAAAAIQBo3UUqxQAAAN4AAAAP&#10;AAAAAAAAAAAAAAAAAAcCAABkcnMvZG93bnJldi54bWxQSwUGAAAAAAMAAwC3AAAA+QIAAAAA&#10;" filled="f" stroked="f">
                  <v:textbox inset="0,0,0,0">
                    <w:txbxContent>
                      <w:p w14:paraId="34C45987" w14:textId="77777777" w:rsidR="00B32EF2" w:rsidRDefault="00000000">
                        <w:r>
                          <w:rPr>
                            <w:rFonts w:ascii="Arial" w:eastAsia="Arial" w:hAnsi="Arial" w:cs="Arial"/>
                            <w:sz w:val="18"/>
                          </w:rPr>
                          <w:t xml:space="preserve">e) i soggetti già iscritti alla data del 30 settembre 1993 nei ruoli di periti ed </w:t>
                        </w:r>
                      </w:p>
                    </w:txbxContent>
                  </v:textbox>
                </v:rect>
                <v:rect id="Rectangle 19988" o:spid="_x0000_s4866" style="position:absolute;left:-13168;top:37767;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tFYyAAAAN4AAAAPAAAAZHJzL2Rvd25yZXYueG1sRI9Pb8Iw&#10;DMXvk/YdIk/abaTbYSqFgBATWg+78GfSjlZj2kLjRE2g3T79fEDiZus9v/fzfDm6Tl2pj61nA6+T&#10;DBRx5W3LtYHDfvOSg4oJ2WLnmQz8UoTl4vFhjoX1A2/puku1khCOBRpoUgqF1rFqyGGc+EAs2tH3&#10;DpOsfa1tj4OEu06/Zdm7dtiyNDQYaN1Qdd5dnIGfDw7lZtDV8W8dvk5l3n1eDt/GPD+NqxmoRGO6&#10;m2/XpRX86TQXXnlHZtCLfwAAAP//AwBQSwECLQAUAAYACAAAACEA2+H2y+4AAACFAQAAEwAAAAAA&#10;AAAAAAAAAAAAAAAAW0NvbnRlbnRfVHlwZXNdLnhtbFBLAQItABQABgAIAAAAIQBa9CxbvwAAABUB&#10;AAALAAAAAAAAAAAAAAAAAB8BAABfcmVscy8ucmVsc1BLAQItABQABgAIAAAAIQAZQtFYyAAAAN4A&#10;AAAPAAAAAAAAAAAAAAAAAAcCAABkcnMvZG93bnJldi54bWxQSwUGAAAAAAMAAwC3AAAA/AIAAAAA&#10;" filled="f" stroked="f">
                  <v:textbox inset="0,0,0,0">
                    <w:txbxContent>
                      <w:p w14:paraId="2610428F" w14:textId="77777777" w:rsidR="00B32EF2" w:rsidRDefault="00000000">
                        <w:r>
                          <w:rPr>
                            <w:rFonts w:ascii="Arial" w:eastAsia="Arial" w:hAnsi="Arial" w:cs="Arial"/>
                            <w:sz w:val="18"/>
                          </w:rPr>
                          <w:t xml:space="preserve">esperti tenuti dalle camere di commercio, industria, artigianato e agricoltura </w:t>
                        </w:r>
                      </w:p>
                    </w:txbxContent>
                  </v:textbox>
                </v:rect>
                <v:rect id="Rectangle 19989" o:spid="_x0000_s4867" style="position:absolute;left:-13169;top:365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nTDxAAAAN4AAAAPAAAAZHJzL2Rvd25yZXYueG1sRE9Na8JA&#10;EL0X/A/LCN7qRg+SRFcRRcyhl1oFj0N2TNJmZ5fsamJ/fbdQ6G0e73NWm8G04kGdbywrmE0TEMSl&#10;1Q1XCs4fh9cUhA/IGlvLpOBJHjbr0csKc217fqfHKVQihrDPUUEdgsul9GVNBv3UOuLI3WxnMETY&#10;VVJ32Mdw08p5kiykwYZjQ42OdjWVX6e7UXDdsysOvSxv3zv39lmk7fF+vig1GQ/bJYhAQ/gX/7kL&#10;HednWZrB7zvxBrn+AQAA//8DAFBLAQItABQABgAIAAAAIQDb4fbL7gAAAIUBAAATAAAAAAAAAAAA&#10;AAAAAAAAAABbQ29udGVudF9UeXBlc10ueG1sUEsBAi0AFAAGAAgAAAAhAFr0LFu/AAAAFQEAAAsA&#10;AAAAAAAAAAAAAAAAHwEAAF9yZWxzLy5yZWxzUEsBAi0AFAAGAAgAAAAhAHYOdMPEAAAA3gAAAA8A&#10;AAAAAAAAAAAAAAAABwIAAGRycy9kb3ducmV2LnhtbFBLBQYAAAAAAwADALcAAAD4AgAAAAA=&#10;" filled="f" stroked="f">
                  <v:textbox inset="0,0,0,0">
                    <w:txbxContent>
                      <w:p w14:paraId="28FDF53D" w14:textId="77777777" w:rsidR="00B32EF2" w:rsidRDefault="00000000">
                        <w:r>
                          <w:rPr>
                            <w:rFonts w:ascii="Arial" w:eastAsia="Arial" w:hAnsi="Arial" w:cs="Arial"/>
                            <w:sz w:val="18"/>
                          </w:rPr>
                          <w:t xml:space="preserve">per la subcategoria tributi, in possesso di diploma di laurea in giurisprudenza </w:t>
                        </w:r>
                      </w:p>
                    </w:txbxContent>
                  </v:textbox>
                </v:rect>
                <v:rect id="Rectangle 19990" o:spid="_x0000_s4868" style="position:absolute;left:-12206;top:35300;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UuDyAAAAN4AAAAPAAAAZHJzL2Rvd25yZXYueG1sRI9Pb8Iw&#10;DMXvk/YdIk/abaTbYaKFgBATWg+78GfSjlZj2kLjRE2g3T79fEDiZsvP773ffDm6Tl2pj61nA6+T&#10;DBRx5W3LtYHDfvMyBRUTssXOMxn4pQjLxePDHAvrB97SdZdqJSYcCzTQpBQKrWPVkMM48YFYbkff&#10;O0yy9rW2PQ5i7jr9lmXv2mHLktBgoHVD1Xl3cQZ+PjiUm0FXx791+DqV0+7zcvg25vlpXM1AJRrT&#10;XXz7Lq3Uz/NcAARHZtCLfwAAAP//AwBQSwECLQAUAAYACAAAACEA2+H2y+4AAACFAQAAEwAAAAAA&#10;AAAAAAAAAAAAAAAAW0NvbnRlbnRfVHlwZXNdLnhtbFBLAQItABQABgAIAAAAIQBa9CxbvwAAABUB&#10;AAALAAAAAAAAAAAAAAAAAB8BAABfcmVscy8ucmVsc1BLAQItABQABgAIAAAAIQBi7UuDyAAAAN4A&#10;AAAPAAAAAAAAAAAAAAAAAAcCAABkcnMvZG93bnJldi54bWxQSwUGAAAAAAMAAwC3AAAA/AIAAAAA&#10;" filled="f" stroked="f">
                  <v:textbox inset="0,0,0,0">
                    <w:txbxContent>
                      <w:p w14:paraId="29026E5A" w14:textId="77777777" w:rsidR="00B32EF2" w:rsidRDefault="00000000">
                        <w:r>
                          <w:rPr>
                            <w:rFonts w:ascii="Arial" w:eastAsia="Arial" w:hAnsi="Arial" w:cs="Arial"/>
                            <w:sz w:val="18"/>
                          </w:rPr>
                          <w:t>o in economia e commercio o equipollenti o di diploma di ragioniere limitata</w:t>
                        </w:r>
                      </w:p>
                    </w:txbxContent>
                  </v:textbox>
                </v:rect>
                <v:rect id="Rectangle 19991" o:spid="_x0000_s4869" style="position:absolute;left:195;top:353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e4YxAAAAN4AAAAPAAAAZHJzL2Rvd25yZXYueG1sRE9Li8Iw&#10;EL4L/ocwwt401cNiu0YRRbaHvfhY2OPQjG3XZhKaaLv7640geJuP7zmLVW8acaPW15YVTCcJCOLC&#10;6ppLBafjbjwH4QOyxsYyKfgjD6vlcLDATNuO93Q7hFLEEPYZKqhCcJmUvqjIoJ9YRxy5s20Nhgjb&#10;UuoWuxhuGjlLkndpsObYUKGjTUXF5XA1Cn627PJdJ4vz/8Z9/ebz5vN6+lbqbdSvP0AE6sNL/HTn&#10;Os5P03QKj3fiDXJ5BwAA//8DAFBLAQItABQABgAIAAAAIQDb4fbL7gAAAIUBAAATAAAAAAAAAAAA&#10;AAAAAAAAAABbQ29udGVudF9UeXBlc10ueG1sUEsBAi0AFAAGAAgAAAAhAFr0LFu/AAAAFQEAAAsA&#10;AAAAAAAAAAAAAAAAHwEAAF9yZWxzLy5yZWxzUEsBAi0AFAAGAAgAAAAhAA2h7hjEAAAA3gAAAA8A&#10;AAAAAAAAAAAAAAAABwIAAGRycy9kb3ducmV2LnhtbFBLBQYAAAAAAwADALcAAAD4AgAAAAA=&#10;" filled="f" stroked="f">
                  <v:textbox inset="0,0,0,0">
                    <w:txbxContent>
                      <w:p w14:paraId="6BFF7C2A" w14:textId="77777777" w:rsidR="00B32EF2" w:rsidRDefault="00000000">
                        <w:r>
                          <w:rPr>
                            <w:rFonts w:ascii="Arial" w:eastAsia="Arial" w:hAnsi="Arial" w:cs="Arial"/>
                            <w:sz w:val="18"/>
                          </w:rPr>
                          <w:t>-</w:t>
                        </w:r>
                      </w:p>
                    </w:txbxContent>
                  </v:textbox>
                </v:rect>
                <v:rect id="Rectangle 19992" o:spid="_x0000_s4870" style="position:absolute;left:-13168;top:340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3BvxAAAAN4AAAAPAAAAZHJzL2Rvd25yZXYueG1sRE9Na8JA&#10;EL0X/A/LFLzVTT0Uk7qKKNIcvFQjeByyY5KanV2yq4n++m6h4G0e73Pmy8G04kadbywreJ8kIIhL&#10;qxuuFBSH7dsMhA/IGlvLpOBOHpaL0cscM217/qbbPlQihrDPUEEdgsuk9GVNBv3EOuLInW1nMETY&#10;VVJ32Mdw08ppknxIgw3HhhodrWsqL/urUXDasMu3vSzPj7Xb/eSz9utaHJUavw6rTxCBhvAU/7tz&#10;HeenaTqFv3fiDXLxCwAA//8DAFBLAQItABQABgAIAAAAIQDb4fbL7gAAAIUBAAATAAAAAAAAAAAA&#10;AAAAAAAAAABbQ29udGVudF9UeXBlc10ueG1sUEsBAi0AFAAGAAgAAAAhAFr0LFu/AAAAFQEAAAsA&#10;AAAAAAAAAAAAAAAAHwEAAF9yZWxzLy5yZWxzUEsBAi0AFAAGAAgAAAAhAP1zcG/EAAAA3gAAAA8A&#10;AAAAAAAAAAAAAAAABwIAAGRycy9kb3ducmV2LnhtbFBLBQYAAAAAAwADALcAAAD4AgAAAAA=&#10;" filled="f" stroked="f">
                  <v:textbox inset="0,0,0,0">
                    <w:txbxContent>
                      <w:p w14:paraId="39F477CF" w14:textId="77777777" w:rsidR="00B32EF2" w:rsidRDefault="00000000">
                        <w:r>
                          <w:rPr>
                            <w:rFonts w:ascii="Arial" w:eastAsia="Arial" w:hAnsi="Arial" w:cs="Arial"/>
                            <w:sz w:val="18"/>
                          </w:rPr>
                          <w:t xml:space="preserve">mente alle materie concernenti le imposte di registro, di successione, i tributi </w:t>
                        </w:r>
                      </w:p>
                    </w:txbxContent>
                  </v:textbox>
                </v:rect>
                <v:rect id="Rectangle 19993" o:spid="_x0000_s4871" style="position:absolute;left:-13169;top:328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9X0xAAAAN4AAAAPAAAAZHJzL2Rvd25yZXYueG1sRE9Na8JA&#10;EL0X/A/LCN7qxgrFRFcRRZpDL7UKHofsmESzs0t2NdFf3y0UepvH+5zFqjeNuFPra8sKJuMEBHFh&#10;dc2lgsP37nUGwgdkjY1lUvAgD6vl4GWBmbYdf9F9H0oRQ9hnqKAKwWVS+qIig35sHXHkzrY1GCJs&#10;S6lb7GK4aeRbkrxLgzXHhgodbSoqrvubUXDasst3nSzOz437vOSz5uN2OCo1GvbrOYhAffgX/7lz&#10;HeenaTqF33fiDXL5AwAA//8DAFBLAQItABQABgAIAAAAIQDb4fbL7gAAAIUBAAATAAAAAAAAAAAA&#10;AAAAAAAAAABbQ29udGVudF9UeXBlc10ueG1sUEsBAi0AFAAGAAgAAAAhAFr0LFu/AAAAFQEAAAsA&#10;AAAAAAAAAAAAAAAAHwEAAF9yZWxzLy5yZWxzUEsBAi0AFAAGAAgAAAAhAJI/1fTEAAAA3gAAAA8A&#10;AAAAAAAAAAAAAAAABwIAAGRycy9kb3ducmV2LnhtbFBLBQYAAAAAAwADALcAAAD4AgAAAAA=&#10;" filled="f" stroked="f">
                  <v:textbox inset="0,0,0,0">
                    <w:txbxContent>
                      <w:p w14:paraId="40863E98" w14:textId="77777777" w:rsidR="00B32EF2" w:rsidRDefault="00000000">
                        <w:r>
                          <w:rPr>
                            <w:rFonts w:ascii="Arial" w:eastAsia="Arial" w:hAnsi="Arial" w:cs="Arial"/>
                            <w:sz w:val="18"/>
                          </w:rPr>
                          <w:t xml:space="preserve">locali, l’imposta sul valore aggiunto (IVA), l’imposta sul reddito delle persone </w:t>
                        </w:r>
                      </w:p>
                    </w:txbxContent>
                  </v:textbox>
                </v:rect>
                <v:rect id="Rectangle 19994" o:spid="_x0000_s4872" style="position:absolute;left:-13169;top:316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k2AxAAAAN4AAAAPAAAAZHJzL2Rvd25yZXYueG1sRE9Na8JA&#10;EL0X/A/LCN7qxiLFRFcRRZpDL7UKHofsmESzs0t2NdFf3y0UepvH+5zFqjeNuFPra8sKJuMEBHFh&#10;dc2lgsP37nUGwgdkjY1lUvAgD6vl4GWBmbYdf9F9H0oRQ9hnqKAKwWVS+qIig35sHXHkzrY1GCJs&#10;S6lb7GK4aeRbkrxLgzXHhgodbSoqrvubUXDasst3nSzOz437vOSz5uN2OCo1GvbrOYhAffgX/7lz&#10;HeenaTqF33fiDXL5AwAA//8DAFBLAQItABQABgAIAAAAIQDb4fbL7gAAAIUBAAATAAAAAAAAAAAA&#10;AAAAAAAAAABbQ29udGVudF9UeXBlc10ueG1sUEsBAi0AFAAGAAgAAAAhAFr0LFu/AAAAFQEAAAsA&#10;AAAAAAAAAAAAAAAAHwEAAF9yZWxzLy5yZWxzUEsBAi0AFAAGAAgAAAAhAB3WTYDEAAAA3gAAAA8A&#10;AAAAAAAAAAAAAAAABwIAAGRycy9kb3ducmV2LnhtbFBLBQYAAAAAAwADALcAAAD4AgAAAAA=&#10;" filled="f" stroked="f">
                  <v:textbox inset="0,0,0,0">
                    <w:txbxContent>
                      <w:p w14:paraId="461952E2" w14:textId="77777777" w:rsidR="00B32EF2" w:rsidRDefault="00000000">
                        <w:r>
                          <w:rPr>
                            <w:rFonts w:ascii="Arial" w:eastAsia="Arial" w:hAnsi="Arial" w:cs="Arial"/>
                            <w:sz w:val="18"/>
                          </w:rPr>
                          <w:t xml:space="preserve">fisiche (IRPEF), l’imposta regionale sule attività produttive (IRAP) e l’imposta </w:t>
                        </w:r>
                      </w:p>
                    </w:txbxContent>
                  </v:textbox>
                </v:rect>
                <v:rect id="Rectangle 19995" o:spid="_x0000_s4873" style="position:absolute;left:18482;top:30367;width:214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ugbxAAAAN4AAAAPAAAAZHJzL2Rvd25yZXYueG1sRE9Na8JA&#10;EL0X/A/LCN7qxoLFRFcRRZpDL7UKHofsmESzs0t2NdFf3y0UepvH+5zFqjeNuFPra8sKJuMEBHFh&#10;dc2lgsP37nUGwgdkjY1lUvAgD6vl4GWBmbYdf9F9H0oRQ9hnqKAKwWVS+qIig35sHXHkzrY1GCJs&#10;S6lb7GK4aeRbkrxLgzXHhgodbSoqrvubUXDasst3nSzOz437vOSz5uN2OCo1GvbrOYhAffgX/7lz&#10;HeenaTqF33fiDXL5AwAA//8DAFBLAQItABQABgAIAAAAIQDb4fbL7gAAAIUBAAATAAAAAAAAAAAA&#10;AAAAAAAAAABbQ29udGVudF9UeXBlc10ueG1sUEsBAi0AFAAGAAgAAAAhAFr0LFu/AAAAFQEAAAsA&#10;AAAAAAAAAAAAAAAAHwEAAF9yZWxzLy5yZWxzUEsBAi0AFAAGAAgAAAAhAHKa6BvEAAAA3gAAAA8A&#10;AAAAAAAAAAAAAAAABwIAAGRycy9kb3ducmV2LnhtbFBLBQYAAAAAAwADALcAAAD4AgAAAAA=&#10;" filled="f" stroked="f">
                  <v:textbox inset="0,0,0,0">
                    <w:txbxContent>
                      <w:p w14:paraId="532952F2" w14:textId="77777777" w:rsidR="00B32EF2" w:rsidRDefault="00000000">
                        <w:r>
                          <w:rPr>
                            <w:rFonts w:ascii="Arial" w:eastAsia="Arial" w:hAnsi="Arial" w:cs="Arial"/>
                            <w:sz w:val="18"/>
                          </w:rPr>
                          <w:t>sul reddito delle società (IRES);</w:t>
                        </w:r>
                      </w:p>
                    </w:txbxContent>
                  </v:textbox>
                </v:rect>
                <v:rect id="Rectangle 19996" o:spid="_x0000_s4874" style="position:absolute;left:-13168;top:291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HZsxAAAAN4AAAAPAAAAZHJzL2Rvd25yZXYueG1sRE9Na8JA&#10;EL0X/A/LFLzVTXsQk7qKKNIcvFQjeByyY5KanV2yq4n++m6h4G0e73Pmy8G04kadbywreJ8kIIhL&#10;qxuuFBSH7dsMhA/IGlvLpOBOHpaL0cscM217/qbbPlQihrDPUEEdgsuk9GVNBv3EOuLInW1nMETY&#10;VVJ32Mdw08qPJJlKgw3HhhodrWsqL/urUXDasMu3vSzPj7Xb/eSz9utaHJUavw6rTxCBhvAU/7tz&#10;HeenaTqFv3fiDXLxCwAA//8DAFBLAQItABQABgAIAAAAIQDb4fbL7gAAAIUBAAATAAAAAAAAAAAA&#10;AAAAAAAAAABbQ29udGVudF9UeXBlc10ueG1sUEsBAi0AFAAGAAgAAAAhAFr0LFu/AAAAFQEAAAsA&#10;AAAAAAAAAAAAAAAAHwEAAF9yZWxzLy5yZWxzUEsBAi0AFAAGAAgAAAAhAIJIdmzEAAAA3gAAAA8A&#10;AAAAAAAAAAAAAAAABwIAAGRycy9kb3ducmV2LnhtbFBLBQYAAAAAAwADALcAAAD4AgAAAAA=&#10;" filled="f" stroked="f">
                  <v:textbox inset="0,0,0,0">
                    <w:txbxContent>
                      <w:p w14:paraId="4497C2C3" w14:textId="77777777" w:rsidR="00B32EF2" w:rsidRDefault="00000000">
                        <w:r>
                          <w:rPr>
                            <w:rFonts w:ascii="Arial" w:eastAsia="Arial" w:hAnsi="Arial" w:cs="Arial"/>
                            <w:sz w:val="18"/>
                          </w:rPr>
                          <w:t xml:space="preserve">f) i funzionari delle associazioni di categoria che, alla data del 15 gennaio </w:t>
                        </w:r>
                      </w:p>
                    </w:txbxContent>
                  </v:textbox>
                </v:rect>
                <v:rect id="Rectangle 201530" o:spid="_x0000_s4875" style="position:absolute;left:-15725;top:279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1P3xwAAAN8AAAAPAAAAZHJzL2Rvd25yZXYueG1sRI/LasMw&#10;EEX3hfyDmEB2tZyUluBaDiEh1Itumgd0OVjjR2uNhKXETr++WhS6vNwXJ99Mphc3GnxnWcEySUEQ&#10;V1Z33Cg4nw6PaxA+IGvsLZOCO3nYFLOHHDNtR/6g2zE0Io6wz1BBG4LLpPRVSwZ9Yh1x9Go7GAxR&#10;Do3UA45x3PRylaYv0mDH8aFFR7uWqu/j1Sj43LMrD6Os6p+de/8q1/3b9XxRajGftq8gAk3hP/zX&#10;LrWCVbp8fooEkSeygCx+AQAA//8DAFBLAQItABQABgAIAAAAIQDb4fbL7gAAAIUBAAATAAAAAAAA&#10;AAAAAAAAAAAAAABbQ29udGVudF9UeXBlc10ueG1sUEsBAi0AFAAGAAgAAAAhAFr0LFu/AAAAFQEA&#10;AAsAAAAAAAAAAAAAAAAAHwEAAF9yZWxzLy5yZWxzUEsBAi0AFAAGAAgAAAAhABS3U/fHAAAA3wAA&#10;AA8AAAAAAAAAAAAAAAAABwIAAGRycy9kb3ducmV2LnhtbFBLBQYAAAAAAwADALcAAAD7AgAAAAA=&#10;" filled="f" stroked="f">
                  <v:textbox inset="0,0,0,0">
                    <w:txbxContent>
                      <w:p w14:paraId="5DD2A5FB" w14:textId="77777777" w:rsidR="00B32EF2" w:rsidRDefault="00000000">
                        <w:r>
                          <w:rPr>
                            <w:rFonts w:ascii="Arial" w:eastAsia="Arial" w:hAnsi="Arial" w:cs="Arial"/>
                            <w:sz w:val="18"/>
                          </w:rPr>
                          <w:t xml:space="preserve">, risultavano iscritti negli elenchi tenuti dalle ex Intendenze di finanza </w:t>
                        </w:r>
                      </w:p>
                    </w:txbxContent>
                  </v:textbox>
                </v:rect>
                <v:rect id="Rectangle 201529" o:spid="_x0000_s4876" style="position:absolute;left:24199;top:279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Gy3yAAAAN8AAAAPAAAAZHJzL2Rvd25yZXYueG1sRI9Pa8JA&#10;FMTvhX6H5Qm96cZARVNXEYs0By/1D/T4yD6TaPbtkl1N6qd3C0KPw8z8hpkve9OIG7W+tqxgPEpA&#10;EBdW11wqOOw3wykIH5A1NpZJwS95WC5eX+aYadvxN912oRQRwj5DBVUILpPSFxUZ9CPriKN3sq3B&#10;EGVbSt1iF+GmkWmSTKTBmuNChY7WFRWX3dUo+Plkl286WZzua7c959Pm63o4KvU26FcfIAL14T/8&#10;bOdaQZqM39MZ/P2JX0AuHgAAAP//AwBQSwECLQAUAAYACAAAACEA2+H2y+4AAACFAQAAEwAAAAAA&#10;AAAAAAAAAAAAAAAAW0NvbnRlbnRfVHlwZXNdLnhtbFBLAQItABQABgAIAAAAIQBa9CxbvwAAABUB&#10;AAALAAAAAAAAAAAAAAAAAB8BAABfcmVscy8ucmVsc1BLAQItABQABgAIAAAAIQAAVGy3yAAAAN8A&#10;AAAPAAAAAAAAAAAAAAAAAAcCAABkcnMvZG93bnJldi54bWxQSwUGAAAAAAMAAwC3AAAA/AIAAAAA&#10;" filled="f" stroked="f">
                  <v:textbox inset="0,0,0,0">
                    <w:txbxContent>
                      <w:p w14:paraId="46F6152D" w14:textId="77777777" w:rsidR="00B32EF2" w:rsidRDefault="00000000">
                        <w:r>
                          <w:rPr>
                            <w:rFonts w:ascii="Arial" w:eastAsia="Arial" w:hAnsi="Arial" w:cs="Arial"/>
                            <w:sz w:val="18"/>
                          </w:rPr>
                          <w:t>1993</w:t>
                        </w:r>
                      </w:p>
                    </w:txbxContent>
                  </v:textbox>
                </v:rect>
                <v:rect id="Rectangle 19998" o:spid="_x0000_s4877" style="position:absolute;left:-12199;top:26667;width:521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0eFyAAAAN4AAAAPAAAAZHJzL2Rvd25yZXYueG1sRI9Pb8Iw&#10;DMXvk/YdIk/abaTbYaKFgBATWg+78GfSjlZj2kLjRE2g3T79fEDiZus9v/fzfDm6Tl2pj61nA6+T&#10;DBRx5W3LtYHDfvMyBRUTssXOMxn4pQjLxePDHAvrB97SdZdqJSEcCzTQpBQKrWPVkMM48YFYtKPv&#10;HSZZ+1rbHgcJd51+y7J37bBlaWgw0Lqh6ry7OAM/HxzKzaCr4986fJ3Kafd5OXwb8/w0rmagEo3p&#10;br5dl1bw8zwXXnlHZtCLfwAAAP//AwBQSwECLQAUAAYACAAAACEA2+H2y+4AAACFAQAAEwAAAAAA&#10;AAAAAAAAAAAAAAAAW0NvbnRlbnRfVHlwZXNdLnhtbFBLAQItABQABgAIAAAAIQBa9CxbvwAAABUB&#10;AAALAAAAAAAAAAAAAAAAAB8BAABfcmVscy8ucmVsc1BLAQItABQABgAIAAAAIQCcm0eFyAAAAN4A&#10;AAAPAAAAAAAAAAAAAAAAAAcCAABkcnMvZG93bnJldi54bWxQSwUGAAAAAAMAAwC3AAAA/AIAAAAA&#10;" filled="f" stroked="f">
                  <v:textbox inset="0,0,0,0">
                    <w:txbxContent>
                      <w:p w14:paraId="66D356A1" w14:textId="77777777" w:rsidR="00B32EF2" w:rsidRDefault="00000000">
                        <w:r>
                          <w:rPr>
                            <w:rFonts w:ascii="Arial" w:eastAsia="Arial" w:hAnsi="Arial" w:cs="Arial"/>
                            <w:sz w:val="18"/>
                          </w:rPr>
                          <w:t>competenti per territorio ai sensi dell’ultimo periodo dell’articolo 30, terzo com</w:t>
                        </w:r>
                      </w:p>
                    </w:txbxContent>
                  </v:textbox>
                </v:rect>
                <v:rect id="Rectangle 19999" o:spid="_x0000_s4878" style="position:absolute;left:195;top:266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IexgAAAN4AAAAPAAAAZHJzL2Rvd25yZXYueG1sRE9BasMw&#10;ELwX8gexgdwaOT0E14kSgoOpD73UTaHHxdrYTqyVsJTY7eurQqFz2mV2Zna2+8n04k6D7ywrWC0T&#10;EMS11R03Ck7vxWMKwgdkjb1lUvBFHva72cMWM21HfqN7FRoRTdhnqKANwWVS+rolg35pHXHkznYw&#10;GOI6NFIPOEZz08unJFlLgx3HhBYd5S3V1+pmFHwe2ZXFKOvzd+5eL2Xav9xOH0ot5tNhAyLQFP6P&#10;/9Slju8/R8BvnTiD3P0AAAD//wMAUEsBAi0AFAAGAAgAAAAhANvh9svuAAAAhQEAABMAAAAAAAAA&#10;AAAAAAAAAAAAAFtDb250ZW50X1R5cGVzXS54bWxQSwECLQAUAAYACAAAACEAWvQsW78AAAAVAQAA&#10;CwAAAAAAAAAAAAAAAAAfAQAAX3JlbHMvLnJlbHNQSwECLQAUAAYACAAAACEA89fiHsYAAADeAAAA&#10;DwAAAAAAAAAAAAAAAAAHAgAAZHJzL2Rvd25yZXYueG1sUEsFBgAAAAADAAMAtwAAAPoCAAAAAA==&#10;" filled="f" stroked="f">
                  <v:textbox inset="0,0,0,0">
                    <w:txbxContent>
                      <w:p w14:paraId="6304E9AF" w14:textId="77777777" w:rsidR="00B32EF2" w:rsidRDefault="00000000">
                        <w:r>
                          <w:rPr>
                            <w:rFonts w:ascii="Arial" w:eastAsia="Arial" w:hAnsi="Arial" w:cs="Arial"/>
                            <w:sz w:val="18"/>
                          </w:rPr>
                          <w:t>-</w:t>
                        </w:r>
                      </w:p>
                    </w:txbxContent>
                  </v:textbox>
                </v:rect>
                <v:rect id="Rectangle 20000" o:spid="_x0000_s4879" style="position:absolute;left:-9739;top:25434;width:4966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L1xQAAAN4AAAAPAAAAZHJzL2Rvd25yZXYueG1sRI9Na8JA&#10;EIbvBf/DMoK3utFDkdRViiLm0Ev9AI9DdkzSZmeX7Gpif33nUPA4vPM+L89yPbhW3amLjWcDs2kG&#10;irj0tuHKwOm4e12AignZYuuZDDwowno1ellibn3PX3Q/pEoJhGOOBuqUQq51LGtyGKc+EEt29Z3D&#10;JGdXadthL3DX6nmWvWmHDctCjYE2NZU/h5szcNlyKHa9Lq+/m/D5XSza/e10NmYyHj7eQSUa0vP5&#10;v11YA0LMREB0RAX06g8AAP//AwBQSwECLQAUAAYACAAAACEA2+H2y+4AAACFAQAAEwAAAAAAAAAA&#10;AAAAAAAAAAAAW0NvbnRlbnRfVHlwZXNdLnhtbFBLAQItABQABgAIAAAAIQBa9CxbvwAAABUBAAAL&#10;AAAAAAAAAAAAAAAAAB8BAABfcmVscy8ucmVsc1BLAQItABQABgAIAAAAIQBXuzL1xQAAAN4AAAAP&#10;AAAAAAAAAAAAAAAAAAcCAABkcnMvZG93bnJldi54bWxQSwUGAAAAAAMAAwC3AAAA+QIAAAAA&#10;" filled="f" stroked="f">
                  <v:textbox inset="0,0,0,0">
                    <w:txbxContent>
                      <w:p w14:paraId="7CB57885" w14:textId="77777777" w:rsidR="00B32EF2" w:rsidRDefault="00000000">
                        <w:r>
                          <w:rPr>
                            <w:rFonts w:ascii="Arial" w:eastAsia="Arial" w:hAnsi="Arial" w:cs="Arial"/>
                            <w:sz w:val="18"/>
                          </w:rPr>
                          <w:t xml:space="preserve">ma, del decreto del Presidente della Repubblica 26 ottobre 1972, n. 636; </w:t>
                        </w:r>
                      </w:p>
                    </w:txbxContent>
                  </v:textbox>
                </v:rect>
                <v:rect id="Rectangle 20001" o:spid="_x0000_s4880" style="position:absolute;left:-13168;top:242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5duxAAAAN4AAAAPAAAAZHJzL2Rvd25yZXYueG1sRI9Bi8Iw&#10;FITvC/6H8ARva6oHkWoUUcQevKy6sMdH82yrzUtooq3++o0geBxm5htmvuxMLe7U+MqygtEwAUGc&#10;W11xoeB03H5PQfiArLG2TAoe5GG56H3NMdW25R+6H0IhIoR9igrKEFwqpc9LMuiH1hFH72wbgyHK&#10;ppC6wTbCTS3HSTKRBiuOCyU6WpeUXw83o+Bvwy7btjI/P9duf8mm9e52+lVq0O9WMxCBuvAJv9uZ&#10;VhCJyQhed+IVkIt/AAAA//8DAFBLAQItABQABgAIAAAAIQDb4fbL7gAAAIUBAAATAAAAAAAAAAAA&#10;AAAAAAAAAABbQ29udGVudF9UeXBlc10ueG1sUEsBAi0AFAAGAAgAAAAhAFr0LFu/AAAAFQEAAAsA&#10;AAAAAAAAAAAAAAAAHwEAAF9yZWxzLy5yZWxzUEsBAi0AFAAGAAgAAAAhADj3l27EAAAA3gAAAA8A&#10;AAAAAAAAAAAAAAAABwIAAGRycy9kb3ducmV2LnhtbFBLBQYAAAAAAwADALcAAAD4AgAAAAA=&#10;" filled="f" stroked="f">
                  <v:textbox inset="0,0,0,0">
                    <w:txbxContent>
                      <w:p w14:paraId="438A4491" w14:textId="77777777" w:rsidR="00B32EF2" w:rsidRDefault="00000000">
                        <w:r>
                          <w:rPr>
                            <w:rFonts w:ascii="Arial" w:eastAsia="Arial" w:hAnsi="Arial" w:cs="Arial"/>
                            <w:sz w:val="18"/>
                          </w:rPr>
                          <w:t xml:space="preserve">g) i dipendenti delle associazioni delle categorie rappresentate nel Consiglio </w:t>
                        </w:r>
                      </w:p>
                    </w:txbxContent>
                  </v:textbox>
                </v:rect>
                <v:rect id="Rectangle 20002" o:spid="_x0000_s4881" style="position:absolute;left:-13163;top:22967;width:530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QkZxAAAAN4AAAAPAAAAZHJzL2Rvd25yZXYueG1sRI9Pi8Iw&#10;FMTvgt8hPGFvmuphkWoUUcQevKx/wOOjebbV5iU00VY//WZhweMwM79h5svO1OJJja8sKxiPEhDE&#10;udUVFwpOx+1wCsIHZI21ZVLwIg/LRb83x1Tbln/oeQiFiBD2KSooQ3CplD4vyaAfWUccvattDIYo&#10;m0LqBtsIN7WcJMm3NFhxXCjR0bqk/H54GAWXDbts28r8+l67/S2b1rvH6azU16BbzUAE6sIn/N/O&#10;tIJITCbwdydeAbn4BQAA//8DAFBLAQItABQABgAIAAAAIQDb4fbL7gAAAIUBAAATAAAAAAAAAAAA&#10;AAAAAAAAAABbQ29udGVudF9UeXBlc10ueG1sUEsBAi0AFAAGAAgAAAAhAFr0LFu/AAAAFQEAAAsA&#10;AAAAAAAAAAAAAAAAHwEAAF9yZWxzLy5yZWxzUEsBAi0AFAAGAAgAAAAhAMglCRnEAAAA3gAAAA8A&#10;AAAAAAAAAAAAAAAABwIAAGRycy9kb3ducmV2LnhtbFBLBQYAAAAAAwADALcAAAD4AgAAAAA=&#10;" filled="f" stroked="f">
                  <v:textbox inset="0,0,0,0">
                    <w:txbxContent>
                      <w:p w14:paraId="6F9FAACE" w14:textId="77777777" w:rsidR="00B32EF2" w:rsidRDefault="00000000">
                        <w:r>
                          <w:rPr>
                            <w:rFonts w:ascii="Arial" w:eastAsia="Arial" w:hAnsi="Arial" w:cs="Arial"/>
                            <w:sz w:val="18"/>
                          </w:rPr>
                          <w:t xml:space="preserve">nazionale dell’economia e del lavoro (C.N.E.L.) e i dipendenti delle imprese, o </w:t>
                        </w:r>
                      </w:p>
                    </w:txbxContent>
                  </v:textbox>
                </v:rect>
                <v:rect id="Rectangle 20003" o:spid="_x0000_s4882" style="position:absolute;left:-13168;top:217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ayCxQAAAN4AAAAPAAAAZHJzL2Rvd25yZXYueG1sRI9Pi8Iw&#10;FMTvwn6H8Bb2pum6INI1iriIPXjxH3h8NM+2a/MSmmirn94IgsdhZn7DTGadqcWVGl9ZVvA9SEAQ&#10;51ZXXCjY75b9MQgfkDXWlknBjTzMph+9Cabatryh6zYUIkLYp6igDMGlUvq8JIN+YB1x9E62MRii&#10;bAqpG2wj3NRymCQjabDiuFCio0VJ+Xl7MQqOf+yyZSvz033h1v/ZuF5d9gelvj67+S+IQF14h1/t&#10;TCuIxOQHnnfiFZDTBwAAAP//AwBQSwECLQAUAAYACAAAACEA2+H2y+4AAACFAQAAEwAAAAAAAAAA&#10;AAAAAAAAAAAAW0NvbnRlbnRfVHlwZXNdLnhtbFBLAQItABQABgAIAAAAIQBa9CxbvwAAABUBAAAL&#10;AAAAAAAAAAAAAAAAAB8BAABfcmVscy8ucmVsc1BLAQItABQABgAIAAAAIQCnaayCxQAAAN4AAAAP&#10;AAAAAAAAAAAAAAAAAAcCAABkcnMvZG93bnJldi54bWxQSwUGAAAAAAMAAwC3AAAA+QIAAAAA&#10;" filled="f" stroked="f">
                  <v:textbox inset="0,0,0,0">
                    <w:txbxContent>
                      <w:p w14:paraId="55C087EE" w14:textId="77777777" w:rsidR="00B32EF2" w:rsidRDefault="00000000">
                        <w:r>
                          <w:rPr>
                            <w:rFonts w:ascii="Arial" w:eastAsia="Arial" w:hAnsi="Arial" w:cs="Arial"/>
                            <w:sz w:val="18"/>
                          </w:rPr>
                          <w:t xml:space="preserve">delle loro controllate ai sensi dell’articolo 2359 del codice civile, primo comma, </w:t>
                        </w:r>
                      </w:p>
                    </w:txbxContent>
                  </v:textbox>
                </v:rect>
                <v:rect id="Rectangle 20004" o:spid="_x0000_s4883" style="position:absolute;left:-12207;top:20500;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DT2xQAAAN4AAAAPAAAAZHJzL2Rvd25yZXYueG1sRI9Pi8Iw&#10;FMTvwn6H8Bb2punKItI1iriIPXjxH3h8NM+2a/MSmmirn94IgsdhZn7DTGadqcWVGl9ZVvA9SEAQ&#10;51ZXXCjY75b9MQgfkDXWlknBjTzMph+9Cabatryh6zYUIkLYp6igDMGlUvq8JIN+YB1x9E62MRii&#10;bAqpG2wj3NRymCQjabDiuFCio0VJ+Xl7MQqOf+yyZSvz033h1v/ZuF5d9gelvj67+S+IQF14h1/t&#10;TCuIxOQHnnfiFZDTBwAAAP//AwBQSwECLQAUAAYACAAAACEA2+H2y+4AAACFAQAAEwAAAAAAAAAA&#10;AAAAAAAAAAAAW0NvbnRlbnRfVHlwZXNdLnhtbFBLAQItABQABgAIAAAAIQBa9CxbvwAAABUBAAAL&#10;AAAAAAAAAAAAAAAAAB8BAABfcmVscy8ucmVsc1BLAQItABQABgAIAAAAIQAogDT2xQAAAN4AAAAP&#10;AAAAAAAAAAAAAAAAAAcCAABkcnMvZG93bnJldi54bWxQSwUGAAAAAAMAAwC3AAAA+QIAAAAA&#10;" filled="f" stroked="f">
                  <v:textbox inset="0,0,0,0">
                    <w:txbxContent>
                      <w:p w14:paraId="63194CA1" w14:textId="77777777" w:rsidR="00B32EF2" w:rsidRDefault="00000000">
                        <w:r>
                          <w:rPr>
                            <w:rFonts w:ascii="Arial" w:eastAsia="Arial" w:hAnsi="Arial" w:cs="Arial"/>
                            <w:sz w:val="18"/>
                          </w:rPr>
                          <w:t>numero 1), limitatamente alle controversie nelle quali sono parti, rispettiva</w:t>
                        </w:r>
                      </w:p>
                    </w:txbxContent>
                  </v:textbox>
                </v:rect>
                <v:rect id="Rectangle 20005" o:spid="_x0000_s4884" style="position:absolute;left:195;top:205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JFtxQAAAN4AAAAPAAAAZHJzL2Rvd25yZXYueG1sRI9Pi8Iw&#10;FMTvwn6H8Bb2pukKK9I1iriIPXjxH3h8NM+2a/MSmmirn94IgsdhZn7DTGadqcWVGl9ZVvA9SEAQ&#10;51ZXXCjY75b9MQgfkDXWlknBjTzMph+9Cabatryh6zYUIkLYp6igDMGlUvq8JIN+YB1x9E62MRii&#10;bAqpG2wj3NRymCQjabDiuFCio0VJ+Xl7MQqOf+yyZSvz033h1v/ZuF5d9gelvj67+S+IQF14h1/t&#10;TCuIxOQHnnfiFZDTBwAAAP//AwBQSwECLQAUAAYACAAAACEA2+H2y+4AAACFAQAAEwAAAAAAAAAA&#10;AAAAAAAAAAAAW0NvbnRlbnRfVHlwZXNdLnhtbFBLAQItABQABgAIAAAAIQBa9CxbvwAAABUBAAAL&#10;AAAAAAAAAAAAAAAAAB8BAABfcmVscy8ucmVsc1BLAQItABQABgAIAAAAIQBHzJFtxQAAAN4AAAAP&#10;AAAAAAAAAAAAAAAAAAcCAABkcnMvZG93bnJldi54bWxQSwUGAAAAAAMAAwC3AAAA+QIAAAAA&#10;" filled="f" stroked="f">
                  <v:textbox inset="0,0,0,0">
                    <w:txbxContent>
                      <w:p w14:paraId="28D8956F" w14:textId="77777777" w:rsidR="00B32EF2" w:rsidRDefault="00000000">
                        <w:r>
                          <w:rPr>
                            <w:rFonts w:ascii="Arial" w:eastAsia="Arial" w:hAnsi="Arial" w:cs="Arial"/>
                            <w:sz w:val="18"/>
                          </w:rPr>
                          <w:t>-</w:t>
                        </w:r>
                      </w:p>
                    </w:txbxContent>
                  </v:textbox>
                </v:rect>
                <v:rect id="Rectangle 20006" o:spid="_x0000_s4885" style="position:absolute;left:-13168;top:192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g8axgAAAN4AAAAPAAAAZHJzL2Rvd25yZXYueG1sRI9Pa8JA&#10;FMTvhX6H5RW81U09BIlZRSxiDl4aLfT4yL780ezbJbuatJ++Wyh4HGbmN0y+mUwv7jT4zrKCt3kC&#10;griyuuNGwfm0f12C8AFZY2+ZFHyTh836+SnHTNuRP+hehkZECPsMFbQhuExKX7Vk0M+tI45ebQeD&#10;IcqhkXrAMcJNLxdJkkqDHceFFh3tWqqu5c0o+HpnV+xHWdU/O3e8FMv+cDt/KjV7mbYrEIGm8Aj/&#10;twutIBKTFP7uxCsg178AAAD//wMAUEsBAi0AFAAGAAgAAAAhANvh9svuAAAAhQEAABMAAAAAAAAA&#10;AAAAAAAAAAAAAFtDb250ZW50X1R5cGVzXS54bWxQSwECLQAUAAYACAAAACEAWvQsW78AAAAVAQAA&#10;CwAAAAAAAAAAAAAAAAAfAQAAX3JlbHMvLnJlbHNQSwECLQAUAAYACAAAACEAtx4PGsYAAADeAAAA&#10;DwAAAAAAAAAAAAAAAAAHAgAAZHJzL2Rvd25yZXYueG1sUEsFBgAAAAADAAMAtwAAAPoCAAAAAA==&#10;" filled="f" stroked="f">
                  <v:textbox inset="0,0,0,0">
                    <w:txbxContent>
                      <w:p w14:paraId="7550E7AE" w14:textId="77777777" w:rsidR="00B32EF2" w:rsidRDefault="00000000">
                        <w:r>
                          <w:rPr>
                            <w:rFonts w:ascii="Arial" w:eastAsia="Arial" w:hAnsi="Arial" w:cs="Arial"/>
                            <w:sz w:val="18"/>
                          </w:rPr>
                          <w:t xml:space="preserve">mente, gli associati e le imprese o loro controllate, in possesso del diploma di </w:t>
                        </w:r>
                      </w:p>
                    </w:txbxContent>
                  </v:textbox>
                </v:rect>
                <v:rect id="Rectangle 20007" o:spid="_x0000_s4886" style="position:absolute;left:-13168;top:180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qqBxQAAAN4AAAAPAAAAZHJzL2Rvd25yZXYueG1sRI9Pi8Iw&#10;FMTvwn6H8Bb2pul6WKVrFHERe/DiP/D4aJ5t1+YlNNFWP70RBI/DzPyGmcw6U4srNb6yrOB7kIAg&#10;zq2uuFCw3y37YxA+IGusLZOCG3mYTT96E0y1bXlD120oRISwT1FBGYJLpfR5SQb9wDri6J1sYzBE&#10;2RRSN9hGuKnlMEl+pMGK40KJjhYl5eftxSg4/rHLlq3MT/eFW/9n43p12R+U+vrs5r8gAnXhHX61&#10;M60gEpMRPO/EKyCnDwAAAP//AwBQSwECLQAUAAYACAAAACEA2+H2y+4AAACFAQAAEwAAAAAAAAAA&#10;AAAAAAAAAAAAW0NvbnRlbnRfVHlwZXNdLnhtbFBLAQItABQABgAIAAAAIQBa9CxbvwAAABUBAAAL&#10;AAAAAAAAAAAAAAAAAB8BAABfcmVscy8ucmVsc1BLAQItABQABgAIAAAAIQDYUqqBxQAAAN4AAAAP&#10;AAAAAAAAAAAAAAAAAAcCAABkcnMvZG93bnJldi54bWxQSwUGAAAAAAMAAwC3AAAA+QIAAAAA&#10;" filled="f" stroked="f">
                  <v:textbox inset="0,0,0,0">
                    <w:txbxContent>
                      <w:p w14:paraId="7556587F" w14:textId="77777777" w:rsidR="00B32EF2" w:rsidRDefault="00000000">
                        <w:r>
                          <w:rPr>
                            <w:rFonts w:ascii="Arial" w:eastAsia="Arial" w:hAnsi="Arial" w:cs="Arial"/>
                            <w:sz w:val="18"/>
                          </w:rPr>
                          <w:t xml:space="preserve">laurea magistrale in giurisprudenza o in economia ed equipollenti, o di diploma </w:t>
                        </w:r>
                      </w:p>
                    </w:txbxContent>
                  </v:textbox>
                </v:rect>
                <v:rect id="Rectangle 20008" o:spid="_x0000_s4887" style="position:absolute;left:2959;top:16800;width:369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T7zxgAAAN4AAAAPAAAAZHJzL2Rvd25yZXYueG1sRI9Nb8Iw&#10;DIbvk/gPkZG4jRQOE+oIaAIhethlfEgcrca03RonagIt+/XzYRJH6/X72M9yPbhW3amLjWcDs2kG&#10;irj0tuHKwOm4e12AignZYuuZDDwowno1ellibn3PX3Q/pEoJhGOOBuqUQq51LGtyGKc+EEt29Z3D&#10;JGNXadthL3DX6nmWvWmHDcuFGgNtaip/Djdn4LLlUOx6XV5/N+Hzu1i0+9vpbMxkPHy8g0o0pOfy&#10;f7uwBoSYyb+iIyqgV38AAAD//wMAUEsBAi0AFAAGAAgAAAAhANvh9svuAAAAhQEAABMAAAAAAAAA&#10;AAAAAAAAAAAAAFtDb250ZW50X1R5cGVzXS54bWxQSwECLQAUAAYACAAAACEAWvQsW78AAAAVAQAA&#10;CwAAAAAAAAAAAAAAAAAfAQAAX3JlbHMvLnJlbHNQSwECLQAUAAYACAAAACEAqc0+88YAAADeAAAA&#10;DwAAAAAAAAAAAAAAAAAHAgAAZHJzL2Rvd25yZXYueG1sUEsFBgAAAAADAAMAtwAAAPoCAAAAAA==&#10;" filled="f" stroked="f">
                  <v:textbox inset="0,0,0,0">
                    <w:txbxContent>
                      <w:p w14:paraId="3C571675" w14:textId="77777777" w:rsidR="00B32EF2" w:rsidRDefault="00000000">
                        <w:r>
                          <w:rPr>
                            <w:rFonts w:ascii="Arial" w:eastAsia="Arial" w:hAnsi="Arial" w:cs="Arial"/>
                            <w:sz w:val="18"/>
                          </w:rPr>
                          <w:t>di ragioneria e della relativa abilitazione professionale;</w:t>
                        </w:r>
                      </w:p>
                    </w:txbxContent>
                  </v:textbox>
                </v:rect>
                <v:rect id="Rectangle 20009" o:spid="_x0000_s4888" style="position:absolute;left:-12188;top:15567;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ZtoxQAAAN4AAAAPAAAAZHJzL2Rvd25yZXYueG1sRI9Pi8Iw&#10;FMTvwn6H8Bb2pul6WLRrFHERe/DiP/D4aJ5t1+YlNNFWP70RBI/DzPyGmcw6U4srNb6yrOB7kIAg&#10;zq2uuFCw3y37IxA+IGusLZOCG3mYTT96E0y1bXlD120oRISwT1FBGYJLpfR5SQb9wDri6J1sYzBE&#10;2RRSN9hGuKnlMEl+pMGK40KJjhYl5eftxSg4/rHLlq3MT/eFW/9no3p12R+U+vrs5r8gAnXhHX61&#10;M60gEpMxPO/EKyCnDwAAAP//AwBQSwECLQAUAAYACAAAACEA2+H2y+4AAACFAQAAEwAAAAAAAAAA&#10;AAAAAAAAAAAAW0NvbnRlbnRfVHlwZXNdLnhtbFBLAQItABQABgAIAAAAIQBa9CxbvwAAABUBAAAL&#10;AAAAAAAAAAAAAAAAAB8BAABfcmVscy8ucmVsc1BLAQItABQABgAIAAAAIQDGgZtoxQAAAN4AAAAP&#10;AAAAAAAAAAAAAAAAAAcCAABkcnMvZG93bnJldi54bWxQSwUGAAAAAAMAAwC3AAAA+QIAAAAA&#10;" filled="f" stroked="f">
                  <v:textbox inset="0,0,0,0">
                    <w:txbxContent>
                      <w:p w14:paraId="0C2B8EB5" w14:textId="77777777" w:rsidR="00B32EF2" w:rsidRDefault="00000000">
                        <w:r>
                          <w:rPr>
                            <w:rFonts w:ascii="Arial" w:eastAsia="Arial" w:hAnsi="Arial" w:cs="Arial"/>
                            <w:sz w:val="18"/>
                          </w:rPr>
                          <w:t>h) i dipendenti dei centri di assistenza fiscale (CAF) di cui all’articolo 32 del de</w:t>
                        </w:r>
                      </w:p>
                    </w:txbxContent>
                  </v:textbox>
                </v:rect>
                <v:rect id="Rectangle 20010" o:spid="_x0000_s4889" style="position:absolute;left:195;top:155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qQoxQAAAN4AAAAPAAAAZHJzL2Rvd25yZXYueG1sRI9Na8JA&#10;EIbvhf6HZQre6sYeRFJXKRZpDl78gh6H7JhEs7NLdjXRX985FDwO77zPyzNfDq5VN+pi49nAZJyB&#10;Ii69bbgycNiv32egYkK22HomA3eKsFy8vswxt77nLd12qVIC4ZijgTqlkGsdy5ocxrEPxJKdfOcw&#10;ydlV2nbYC9y1+iPLptphw7JQY6BVTeVld3UGfr85FOtel6fHKmzOxaz9uR6Oxozehq9PUImG9Hz+&#10;bxfWgBAnIiA6ogJ68QcAAP//AwBQSwECLQAUAAYACAAAACEA2+H2y+4AAACFAQAAEwAAAAAAAAAA&#10;AAAAAAAAAAAAW0NvbnRlbnRfVHlwZXNdLnhtbFBLAQItABQABgAIAAAAIQBa9CxbvwAAABUBAAAL&#10;AAAAAAAAAAAAAAAAAB8BAABfcmVscy8ucmVsc1BLAQItABQABgAIAAAAIQDSYqQoxQAAAN4AAAAP&#10;AAAAAAAAAAAAAAAAAAcCAABkcnMvZG93bnJldi54bWxQSwUGAAAAAAMAAwC3AAAA+QIAAAAA&#10;" filled="f" stroked="f">
                  <v:textbox inset="0,0,0,0">
                    <w:txbxContent>
                      <w:p w14:paraId="08FC18B7" w14:textId="77777777" w:rsidR="00B32EF2" w:rsidRDefault="00000000">
                        <w:r>
                          <w:rPr>
                            <w:rFonts w:ascii="Arial" w:eastAsia="Arial" w:hAnsi="Arial" w:cs="Arial"/>
                            <w:sz w:val="18"/>
                          </w:rPr>
                          <w:t>-</w:t>
                        </w:r>
                      </w:p>
                    </w:txbxContent>
                  </v:textbox>
                </v:rect>
                <v:rect id="Rectangle 20011" o:spid="_x0000_s4890" style="position:absolute;left:-13177;top:14334;width:531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gGzxQAAAN4AAAAPAAAAZHJzL2Rvd25yZXYueG1sRI9Pi8Iw&#10;FMTvC36H8ARva1oPItUooog9eFn/gMdH82yrzUtoou3up98sLHgcZuY3zGLVm0a8qPW1ZQXpOAFB&#10;XFhdc6ngfNp9zkD4gKyxsUwKvsnDajn4WGCmbcdf9DqGUkQI+wwVVCG4TEpfVGTQj60jjt7NtgZD&#10;lG0pdYtdhJtGTpJkKg3WHBcqdLSpqHgcn0bBdcsu33WyuP1s3OGez5r983xRajTs13MQgfrwDv+3&#10;c60gEtMU/u7EKyCXvwAAAP//AwBQSwECLQAUAAYACAAAACEA2+H2y+4AAACFAQAAEwAAAAAAAAAA&#10;AAAAAAAAAAAAW0NvbnRlbnRfVHlwZXNdLnhtbFBLAQItABQABgAIAAAAIQBa9CxbvwAAABUBAAAL&#10;AAAAAAAAAAAAAAAAAB8BAABfcmVscy8ucmVsc1BLAQItABQABgAIAAAAIQC9LgGzxQAAAN4AAAAP&#10;AAAAAAAAAAAAAAAAAAcCAABkcnMvZG93bnJldi54bWxQSwUGAAAAAAMAAwC3AAAA+QIAAAAA&#10;" filled="f" stroked="f">
                  <v:textbox inset="0,0,0,0">
                    <w:txbxContent>
                      <w:p w14:paraId="7FDAB11F" w14:textId="77777777" w:rsidR="00B32EF2" w:rsidRDefault="00000000">
                        <w:r>
                          <w:rPr>
                            <w:rFonts w:ascii="Arial" w:eastAsia="Arial" w:hAnsi="Arial" w:cs="Arial"/>
                            <w:sz w:val="18"/>
                          </w:rPr>
                          <w:t xml:space="preserve">creto legislativo 9 luglio 1997, n. 241, e delle relative società di servizi, purché </w:t>
                        </w:r>
                      </w:p>
                    </w:txbxContent>
                  </v:textbox>
                </v:rect>
                <v:rect id="Rectangle 20012" o:spid="_x0000_s4891" style="position:absolute;left:-13168;top:13101;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ExAAAAN4AAAAPAAAAZHJzL2Rvd25yZXYueG1sRI9Pi8Iw&#10;FMTvC36H8ARva6oHkWoUUcQevKx/wOOjebbV5iU00VY//WZhweMwM79h5svO1OJJja8sKxgNExDE&#10;udUVFwpOx+33FIQPyBpry6TgRR6Wi97XHFNtW/6h5yEUIkLYp6igDMGlUvq8JIN+aB1x9K62MRii&#10;bAqpG2wj3NRynCQTabDiuFCio3VJ+f3wMAouG3bZtpX59b12+1s2rXeP01mpQb9bzUAE6sIn/N/O&#10;tIJIHI3h7068AnLxCwAA//8DAFBLAQItABQABgAIAAAAIQDb4fbL7gAAAIUBAAATAAAAAAAAAAAA&#10;AAAAAAAAAABbQ29udGVudF9UeXBlc10ueG1sUEsBAi0AFAAGAAgAAAAhAFr0LFu/AAAAFQEAAAsA&#10;AAAAAAAAAAAAAAAAHwEAAF9yZWxzLy5yZWxzUEsBAi0AFAAGAAgAAAAhAE38n8TEAAAA3gAAAA8A&#10;AAAAAAAAAAAAAAAABwIAAGRycy9kb3ducmV2LnhtbFBLBQYAAAAAAwADALcAAAD4AgAAAAA=&#10;" filled="f" stroked="f">
                  <v:textbox inset="0,0,0,0">
                    <w:txbxContent>
                      <w:p w14:paraId="7653465F" w14:textId="77777777" w:rsidR="00B32EF2" w:rsidRDefault="00000000">
                        <w:r>
                          <w:rPr>
                            <w:rFonts w:ascii="Arial" w:eastAsia="Arial" w:hAnsi="Arial" w:cs="Arial"/>
                            <w:sz w:val="18"/>
                          </w:rPr>
                          <w:t xml:space="preserve">in possesso di diploma di laurea magistrale in giurisprudenza o in economia </w:t>
                        </w:r>
                      </w:p>
                    </w:txbxContent>
                  </v:textbox>
                </v:rect>
                <v:rect id="Rectangle 20013" o:spid="_x0000_s4892" style="position:absolute;left:-12206;top:11867;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DpfxgAAAN4AAAAPAAAAZHJzL2Rvd25yZXYueG1sRI/NasMw&#10;EITvhb6D2EJvjewUSnCjhOJi4kMvzQ/0uFgb2621EpYcu3n6KBDIcZiZb5jlejKdOFHvW8sK0lkC&#10;griyuuVawX5XvCxA+ICssbNMCv7Jw3r1+LDETNuRv+m0DbWIEPYZKmhCcJmUvmrIoJ9ZRxy9o+0N&#10;hij7Wuoexwg3nZwnyZs02HJcaNBR3lD1tx2Mgp9PdmUxyup4zt3Xb7noNsP+oNTz0/TxDiLQFO7h&#10;W7vUCiIxfYXrnXgF5OoCAAD//wMAUEsBAi0AFAAGAAgAAAAhANvh9svuAAAAhQEAABMAAAAAAAAA&#10;AAAAAAAAAAAAAFtDb250ZW50X1R5cGVzXS54bWxQSwECLQAUAAYACAAAACEAWvQsW78AAAAVAQAA&#10;CwAAAAAAAAAAAAAAAAAfAQAAX3JlbHMvLnJlbHNQSwECLQAUAAYACAAAACEAIrA6X8YAAADeAAAA&#10;DwAAAAAAAAAAAAAAAAAHAgAAZHJzL2Rvd25yZXYueG1sUEsFBgAAAAADAAMAtwAAAPoCAAAAAA==&#10;" filled="f" stroked="f">
                  <v:textbox inset="0,0,0,0">
                    <w:txbxContent>
                      <w:p w14:paraId="17590A72" w14:textId="77777777" w:rsidR="00B32EF2" w:rsidRDefault="00000000">
                        <w:r>
                          <w:rPr>
                            <w:rFonts w:ascii="Arial" w:eastAsia="Arial" w:hAnsi="Arial" w:cs="Arial"/>
                            <w:sz w:val="18"/>
                          </w:rPr>
                          <w:t>ed equipollenti, o di diploma di ragioneria e della relativa abilitazione profes</w:t>
                        </w:r>
                      </w:p>
                    </w:txbxContent>
                  </v:textbox>
                </v:rect>
                <v:rect id="Rectangle 20014" o:spid="_x0000_s4893" style="position:absolute;left:195;top:118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aIrxgAAAN4AAAAPAAAAZHJzL2Rvd25yZXYueG1sRI/NasMw&#10;EITvhb6D2EJvjexQSnCjhOJi4kMvzQ/0uFgb2621EpYcu3n6KBDIcZiZb5jlejKdOFHvW8sK0lkC&#10;griyuuVawX5XvCxA+ICssbNMCv7Jw3r1+LDETNuRv+m0DbWIEPYZKmhCcJmUvmrIoJ9ZRxy9o+0N&#10;hij7Wuoexwg3nZwnyZs02HJcaNBR3lD1tx2Mgp9PdmUxyup4zt3Xb7noNsP+oNTz0/TxDiLQFO7h&#10;W7vUCiIxfYXrnXgF5OoCAAD//wMAUEsBAi0AFAAGAAgAAAAhANvh9svuAAAAhQEAABMAAAAAAAAA&#10;AAAAAAAAAAAAAFtDb250ZW50X1R5cGVzXS54bWxQSwECLQAUAAYACAAAACEAWvQsW78AAAAVAQAA&#10;CwAAAAAAAAAAAAAAAAAfAQAAX3JlbHMvLnJlbHNQSwECLQAUAAYACAAAACEArVmiK8YAAADeAAAA&#10;DwAAAAAAAAAAAAAAAAAHAgAAZHJzL2Rvd25yZXYueG1sUEsFBgAAAAADAAMAtwAAAPoCAAAAAA==&#10;" filled="f" stroked="f">
                  <v:textbox inset="0,0,0,0">
                    <w:txbxContent>
                      <w:p w14:paraId="68A7F6BD" w14:textId="77777777" w:rsidR="00B32EF2" w:rsidRDefault="00000000">
                        <w:r>
                          <w:rPr>
                            <w:rFonts w:ascii="Arial" w:eastAsia="Arial" w:hAnsi="Arial" w:cs="Arial"/>
                            <w:sz w:val="18"/>
                          </w:rPr>
                          <w:t>-</w:t>
                        </w:r>
                      </w:p>
                    </w:txbxContent>
                  </v:textbox>
                </v:rect>
                <v:rect id="Rectangle 20015" o:spid="_x0000_s4894" style="position:absolute;left:-12200;top:10634;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ewxgAAAN4AAAAPAAAAZHJzL2Rvd25yZXYueG1sRI/NasMw&#10;EITvhb6D2EJvjexAS3CjhOJi4kMvzQ/0uFgb2621EpYcu3n6KBDIcZiZb5jlejKdOFHvW8sK0lkC&#10;griyuuVawX5XvCxA+ICssbNMCv7Jw3r1+LDETNuRv+m0DbWIEPYZKmhCcJmUvmrIoJ9ZRxy9o+0N&#10;hij7Wuoexwg3nZwnyZs02HJcaNBR3lD1tx2Mgp9PdmUxyup4zt3Xb7noNsP+oNTz0/TxDiLQFO7h&#10;W7vUCiIxfYXrnXgF5OoCAAD//wMAUEsBAi0AFAAGAAgAAAAhANvh9svuAAAAhQEAABMAAAAAAAAA&#10;AAAAAAAAAAAAAFtDb250ZW50X1R5cGVzXS54bWxQSwECLQAUAAYACAAAACEAWvQsW78AAAAVAQAA&#10;CwAAAAAAAAAAAAAAAAAfAQAAX3JlbHMvLnJlbHNQSwECLQAUAAYACAAAACEAwhUHsMYAAADeAAAA&#10;DwAAAAAAAAAAAAAAAAAHAgAAZHJzL2Rvd25yZXYueG1sUEsFBgAAAAADAAMAtwAAAPoCAAAAAA==&#10;" filled="f" stroked="f">
                  <v:textbox inset="0,0,0,0">
                    <w:txbxContent>
                      <w:p w14:paraId="4F3A3E38" w14:textId="77777777" w:rsidR="00B32EF2" w:rsidRDefault="00000000">
                        <w:r>
                          <w:rPr>
                            <w:rFonts w:ascii="Arial" w:eastAsia="Arial" w:hAnsi="Arial" w:cs="Arial"/>
                            <w:sz w:val="18"/>
                          </w:rPr>
                          <w:t>sionale, limitatamente alle controversie dei propri assistiti originate da adem</w:t>
                        </w:r>
                      </w:p>
                    </w:txbxContent>
                  </v:textbox>
                </v:rect>
                <v:rect id="Rectangle 20016" o:spid="_x0000_s4895" style="position:absolute;left:195;top:106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5nHxAAAAN4AAAAPAAAAZHJzL2Rvd25yZXYueG1sRI9Pi8Iw&#10;FMTvC36H8ARva6oHkWoUUcQevKx/wOOjebbV5iU00VY//WZhweMwM79h5svO1OJJja8sKxgNExDE&#10;udUVFwpOx+33FIQPyBpry6TgRR6Wi97XHFNtW/6h5yEUIkLYp6igDMGlUvq8JIN+aB1x9K62MRii&#10;bAqpG2wj3NRynCQTabDiuFCio3VJ+f3wMAouG3bZtpX59b12+1s2rXeP01mpQb9bzUAE6sIn/N/O&#10;tIJIHE3g7068AnLxCwAA//8DAFBLAQItABQABgAIAAAAIQDb4fbL7gAAAIUBAAATAAAAAAAAAAAA&#10;AAAAAAAAAABbQ29udGVudF9UeXBlc10ueG1sUEsBAi0AFAAGAAgAAAAhAFr0LFu/AAAAFQEAAAsA&#10;AAAAAAAAAAAAAAAAHwEAAF9yZWxzLy5yZWxzUEsBAi0AFAAGAAgAAAAhADLHmcfEAAAA3gAAAA8A&#10;AAAAAAAAAAAAAAAABwIAAGRycy9kb3ducmV2LnhtbFBLBQYAAAAAAwADALcAAAD4AgAAAAA=&#10;" filled="f" stroked="f">
                  <v:textbox inset="0,0,0,0">
                    <w:txbxContent>
                      <w:p w14:paraId="10380879" w14:textId="77777777" w:rsidR="00B32EF2" w:rsidRDefault="00000000">
                        <w:r>
                          <w:rPr>
                            <w:rFonts w:ascii="Arial" w:eastAsia="Arial" w:hAnsi="Arial" w:cs="Arial"/>
                            <w:sz w:val="18"/>
                          </w:rPr>
                          <w:t>-</w:t>
                        </w:r>
                      </w:p>
                    </w:txbxContent>
                  </v:textbox>
                </v:rect>
                <v:rect id="Rectangle 20017" o:spid="_x0000_s4896" style="position:absolute;left:4073;top:9401;width:358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zxcxgAAAN4AAAAPAAAAZHJzL2Rvd25yZXYueG1sRI/NasMw&#10;EITvhb6D2EJvjewc2uBGCcXFxIdemh/ocbE2tltrJSw5dvP0USCQ4zAz3zDL9WQ6caLet5YVpLME&#10;BHFldcu1gv2ueFmA8AFZY2eZFPyTh/Xq8WGJmbYjf9NpG2oRIewzVNCE4DIpfdWQQT+zjjh6R9sb&#10;DFH2tdQ9jhFuOjlPkldpsOW40KCjvKHqbzsYBT+f7MpilNXxnLuv33LRbYb9Qannp+njHUSgKdzD&#10;t3apFURi+gbXO/EKyNUFAAD//wMAUEsBAi0AFAAGAAgAAAAhANvh9svuAAAAhQEAABMAAAAAAAAA&#10;AAAAAAAAAAAAAFtDb250ZW50X1R5cGVzXS54bWxQSwECLQAUAAYACAAAACEAWvQsW78AAAAVAQAA&#10;CwAAAAAAAAAAAAAAAAAfAQAAX3JlbHMvLnJlbHNQSwECLQAUAAYACAAAACEAXYs8XMYAAADeAAAA&#10;DwAAAAAAAAAAAAAAAAAHAgAAZHJzL2Rvd25yZXYueG1sUEsFBgAAAAADAAMAtwAAAPoCAAAAAA==&#10;" filled="f" stroked="f">
                  <v:textbox inset="0,0,0,0">
                    <w:txbxContent>
                      <w:p w14:paraId="1B7BD57F" w14:textId="77777777" w:rsidR="00B32EF2" w:rsidRDefault="00000000">
                        <w:r>
                          <w:rPr>
                            <w:rFonts w:ascii="Arial" w:eastAsia="Arial" w:hAnsi="Arial" w:cs="Arial"/>
                            <w:sz w:val="18"/>
                          </w:rPr>
                          <w:t>pimenti per i quali il CAF ha prestato loro assistenza.</w:t>
                        </w:r>
                      </w:p>
                    </w:txbxContent>
                  </v:textbox>
                </v:rect>
                <v:rect id="Rectangle 201528" o:spid="_x0000_s4897" style="position:absolute;left:-13800;top:81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MksxAAAAN8AAAAPAAAAZHJzL2Rvd25yZXYueG1sRE/LisIw&#10;FN0P+A/hCu7G1MIMUo0iikwXs/EFLi/Nta02N6GJts7Xm8WAy8N5z5e9acSDWl9bVjAZJyCIC6tr&#10;LhUcD9vPKQgfkDU2lknBkzwsF4OPOWbadryjxz6UIoawz1BBFYLLpPRFRQb92DriyF1sazBE2JZS&#10;t9jFcNPINEm+pcGaY0OFjtYVFbf93Sg4b9jl204Wl7+1+73m0+bnfjwpNRr2qxmIQH14i//duVaQ&#10;JpOvNA6Of+IXkIsXAAAA//8DAFBLAQItABQABgAIAAAAIQDb4fbL7gAAAIUBAAATAAAAAAAAAAAA&#10;AAAAAAAAAABbQ29udGVudF9UeXBlc10ueG1sUEsBAi0AFAAGAAgAAAAhAFr0LFu/AAAAFQEAAAsA&#10;AAAAAAAAAAAAAAAAHwEAAF9yZWxzLy5yZWxzUEsBAi0AFAAGAAgAAAAhAG8YySzEAAAA3wAAAA8A&#10;AAAAAAAAAAAAAAAABwIAAGRycy9kb3ducmV2LnhtbFBLBQYAAAAAAwADALcAAAD4AgAAAAA=&#10;" filled="f" stroked="f">
                  <v:textbox inset="0,0,0,0">
                    <w:txbxContent>
                      <w:p w14:paraId="1B43D288" w14:textId="77777777" w:rsidR="00B32EF2" w:rsidRDefault="00000000">
                        <w:r>
                          <w:rPr>
                            <w:rFonts w:ascii="Arial" w:eastAsia="Arial" w:hAnsi="Arial" w:cs="Arial"/>
                            <w:sz w:val="18"/>
                          </w:rPr>
                          <w:t xml:space="preserve">. L’elenco dei soggetti di cui al comma 3, lettere d), e), f), g) ed h), è tenuto dal </w:t>
                        </w:r>
                      </w:p>
                    </w:txbxContent>
                  </v:textbox>
                </v:rect>
                <v:rect id="Rectangle 201527" o:spid="_x0000_s4898" style="position:absolute;left:26113;top:81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1eyAAAAN8AAAAPAAAAZHJzL2Rvd25yZXYueG1sRI9Pa8JA&#10;FMTvgt9heYI33RioldRVRJHm0Ev9Az0+ss8kbfbtkl1N7Kd3CwWPw8z8hlmue9OIG7W+tqxgNk1A&#10;EBdW11wqOB33kwUIH5A1NpZJwZ08rFfDwRIzbTv+pNshlCJC2GeooArBZVL6oiKDfmodcfQutjUY&#10;omxLqVvsItw0Mk2SuTRYc1yo0NG2ouLncDUKvnbs8n0ni8vv1n1854vm/Xo6KzUe9Zs3EIH68Az/&#10;t3OtIE1mL+kr/P2JX0CuHgAAAP//AwBQSwECLQAUAAYACAAAACEA2+H2y+4AAACFAQAAEwAAAAAA&#10;AAAAAAAAAAAAAAAAW0NvbnRlbnRfVHlwZXNdLnhtbFBLAQItABQABgAIAAAAIQBa9CxbvwAAABUB&#10;AAALAAAAAAAAAAAAAAAAAB8BAABfcmVscy8ucmVsc1BLAQItABQABgAIAAAAIQAeh11eyAAAAN8A&#10;AAAPAAAAAAAAAAAAAAAAAAcCAABkcnMvZG93bnJldi54bWxQSwUGAAAAAAMAAwC3AAAA/AIAAAAA&#10;" filled="f" stroked="f">
                  <v:textbox inset="0,0,0,0">
                    <w:txbxContent>
                      <w:p w14:paraId="0940C116" w14:textId="77777777" w:rsidR="00B32EF2" w:rsidRDefault="00000000">
                        <w:r>
                          <w:rPr>
                            <w:rFonts w:ascii="Arial" w:eastAsia="Arial" w:hAnsi="Arial" w:cs="Arial"/>
                            <w:sz w:val="18"/>
                          </w:rPr>
                          <w:t>4</w:t>
                        </w:r>
                      </w:p>
                    </w:txbxContent>
                  </v:textbox>
                </v:rect>
                <v:rect id="Rectangle 20019" o:spid="_x0000_s4899" style="position:absolute;left:-12202;top:6934;width:521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A21xgAAAN4AAAAPAAAAZHJzL2Rvd25yZXYueG1sRI/NasMw&#10;EITvgb6D2EJviewcSuJGCcXFxIdemh/ocbE2tltrJSw5dvP0UaHQ4zAz3zCb3WQ6caXet5YVpIsE&#10;BHFldcu1gtOxmK9A+ICssbNMCn7Iw277MNtgpu3IH3Q9hFpECPsMFTQhuExKXzVk0C+sI47exfYG&#10;Q5R9LXWPY4SbTi6T5FkabDkuNOgob6j6PgxGwecbu7IYZXW55e79q1x1++F0VurpcXp9ARFoCv/h&#10;v3apFURiuobfO/EKyO0dAAD//wMAUEsBAi0AFAAGAAgAAAAhANvh9svuAAAAhQEAABMAAAAAAAAA&#10;AAAAAAAAAAAAAFtDb250ZW50X1R5cGVzXS54bWxQSwECLQAUAAYACAAAACEAWvQsW78AAAAVAQAA&#10;CwAAAAAAAAAAAAAAAAAfAQAAX3JlbHMvLnJlbHNQSwECLQAUAAYACAAAACEAQ1gNtcYAAADeAAAA&#10;DwAAAAAAAAAAAAAAAAAHAgAAZHJzL2Rvd25yZXYueG1sUEsFBgAAAAADAAMAtwAAAPoCAAAAAA==&#10;" filled="f" stroked="f">
                  <v:textbox inset="0,0,0,0">
                    <w:txbxContent>
                      <w:p w14:paraId="5FF7C675" w14:textId="77777777" w:rsidR="00B32EF2" w:rsidRDefault="00000000">
                        <w:r>
                          <w:rPr>
                            <w:rFonts w:ascii="Arial" w:eastAsia="Arial" w:hAnsi="Arial" w:cs="Arial"/>
                            <w:sz w:val="18"/>
                          </w:rPr>
                          <w:t>Dipartimento della giustizia tributaria del Ministero dell’economia e delle finan</w:t>
                        </w:r>
                      </w:p>
                    </w:txbxContent>
                  </v:textbox>
                </v:rect>
                <v:rect id="Rectangle 20020" o:spid="_x0000_s4900" style="position:absolute;left:195;top:69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m6VxgAAAN4AAAAPAAAAZHJzL2Rvd25yZXYueG1sRI9Na8JA&#10;EIbvBf/DMoXe6qYeRFJXEUXMwUv9gB6H7JhEs7NLdjVpf33nUPA4vPM+L898ObhWPaiLjWcDH+MM&#10;FHHpbcOVgdNx+z4DFROyxdYzGfihCMvF6GWOufU9f9HjkColEI45GqhTCrnWsazJYRz7QCzZxXcO&#10;k5xdpW2HvcBdqydZNtUOG5aFGgOtaypvh7sz8L3hUGx7XV5+12F/LWbt7n46G/P2Oqw+QSUa0vP5&#10;v11YA0KciIDoiAroxR8AAAD//wMAUEsBAi0AFAAGAAgAAAAhANvh9svuAAAAhQEAABMAAAAAAAAA&#10;AAAAAAAAAAAAAFtDb250ZW50X1R5cGVzXS54bWxQSwECLQAUAAYACAAAACEAWvQsW78AAAAVAQAA&#10;CwAAAAAAAAAAAAAAAAAfAQAAX3JlbHMvLnJlbHNQSwECLQAUAAYACAAAACEAHA5ulcYAAADeAAAA&#10;DwAAAAAAAAAAAAAAAAAHAgAAZHJzL2Rvd25yZXYueG1sUEsFBgAAAAADAAMAtwAAAPoCAAAAAA==&#10;" filled="f" stroked="f">
                  <v:textbox inset="0,0,0,0">
                    <w:txbxContent>
                      <w:p w14:paraId="78179542" w14:textId="77777777" w:rsidR="00B32EF2" w:rsidRDefault="00000000">
                        <w:r>
                          <w:rPr>
                            <w:rFonts w:ascii="Arial" w:eastAsia="Arial" w:hAnsi="Arial" w:cs="Arial"/>
                            <w:sz w:val="18"/>
                          </w:rPr>
                          <w:t>-</w:t>
                        </w:r>
                      </w:p>
                    </w:txbxContent>
                  </v:textbox>
                </v:rect>
                <v:rect id="Rectangle 20021" o:spid="_x0000_s4901" style="position:absolute;left:-13168;top:570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ssOxAAAAN4AAAAPAAAAZHJzL2Rvd25yZXYueG1sRI9Pi8Iw&#10;FMTvC36H8ARva6oHkWoUUcQevKx/wOOjebbV5iU00VY//WZhweMwM79h5svO1OJJja8sKxgNExDE&#10;udUVFwpOx+33FIQPyBpry6TgRR6Wi97XHFNtW/6h5yEUIkLYp6igDMGlUvq8JIN+aB1x9K62MRii&#10;bAqpG2wj3NRynCQTabDiuFCio3VJ+f3wMAouG3bZtpX59b12+1s2rXeP01mpQb9bzUAE6sIn/N/O&#10;tIJIHI/g7068AnLxCwAA//8DAFBLAQItABQABgAIAAAAIQDb4fbL7gAAAIUBAAATAAAAAAAAAAAA&#10;AAAAAAAAAABbQ29udGVudF9UeXBlc10ueG1sUEsBAi0AFAAGAAgAAAAhAFr0LFu/AAAAFQEAAAsA&#10;AAAAAAAAAAAAAAAAHwEAAF9yZWxzLy5yZWxzUEsBAi0AFAAGAAgAAAAhAHNCyw7EAAAA3gAAAA8A&#10;AAAAAAAAAAAAAAAABwIAAGRycy9kb3ducmV2LnhtbFBLBQYAAAAAAwADALcAAAD4AgAAAAA=&#10;" filled="f" stroked="f">
                  <v:textbox inset="0,0,0,0">
                    <w:txbxContent>
                      <w:p w14:paraId="36BBC7B8" w14:textId="77777777" w:rsidR="00B32EF2" w:rsidRDefault="00000000">
                        <w:r>
                          <w:rPr>
                            <w:rFonts w:ascii="Arial" w:eastAsia="Arial" w:hAnsi="Arial" w:cs="Arial"/>
                            <w:sz w:val="18"/>
                          </w:rPr>
                          <w:t xml:space="preserve">ze che vi provvede con le risorse umane, strumentali e finanziarie disponibili </w:t>
                        </w:r>
                      </w:p>
                    </w:txbxContent>
                  </v:textbox>
                </v:rect>
                <v:rect id="Rectangle 20022" o:spid="_x0000_s4902" style="position:absolute;left:-13175;top:4467;width:531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FV5xgAAAN4AAAAPAAAAZHJzL2Rvd25yZXYueG1sRI/BasMw&#10;EETvhfyD2EBvjRwfinGihJJg4kMuTV3ocbE2tlNrJSw5dvv1VaHQ4zAzb5jtfja9uNPgO8sK1qsE&#10;BHFtdceNguqteMpA+ICssbdMCr7Iw363eNhiru3Er3S/hEZECPscFbQhuFxKX7dk0K+sI47e1Q4G&#10;Q5RDI/WAU4SbXqZJ8iwNdhwXWnR0aKn+vIxGwceRXVlMsr5+H9z5Vmb9aazelXpczi8bEIHm8B/+&#10;a5daQSSmKfzeiVdA7n4AAAD//wMAUEsBAi0AFAAGAAgAAAAhANvh9svuAAAAhQEAABMAAAAAAAAA&#10;AAAAAAAAAAAAAFtDb250ZW50X1R5cGVzXS54bWxQSwECLQAUAAYACAAAACEAWvQsW78AAAAVAQAA&#10;CwAAAAAAAAAAAAAAAAAfAQAAX3JlbHMvLnJlbHNQSwECLQAUAAYACAAAACEAg5BVecYAAADeAAAA&#10;DwAAAAAAAAAAAAAAAAAHAgAAZHJzL2Rvd25yZXYueG1sUEsFBgAAAAADAAMAtwAAAPoCAAAAAA==&#10;" filled="f" stroked="f">
                  <v:textbox inset="0,0,0,0">
                    <w:txbxContent>
                      <w:p w14:paraId="09AF0EFD" w14:textId="77777777" w:rsidR="00B32EF2" w:rsidRDefault="00000000">
                        <w:r>
                          <w:rPr>
                            <w:rFonts w:ascii="Arial" w:eastAsia="Arial" w:hAnsi="Arial" w:cs="Arial"/>
                            <w:sz w:val="18"/>
                          </w:rPr>
                          <w:t xml:space="preserve">a legislazione vigente senza nuovi o maggiori oneri a carico del bilancio dello </w:t>
                        </w:r>
                      </w:p>
                    </w:txbxContent>
                  </v:textbox>
                </v:rect>
                <w10:anchorlock/>
              </v:group>
            </w:pict>
          </mc:Fallback>
        </mc:AlternateContent>
      </w:r>
    </w:p>
    <w:p w14:paraId="37AF9F36" w14:textId="77777777" w:rsidR="00B32EF2" w:rsidRDefault="00000000">
      <w:pPr>
        <w:spacing w:after="486"/>
        <w:ind w:left="-1440" w:right="7064"/>
      </w:pPr>
      <w:r>
        <w:rPr>
          <w:noProof/>
        </w:rPr>
        <w:lastRenderedPageBreak/>
        <mc:AlternateContent>
          <mc:Choice Requires="wpg">
            <w:drawing>
              <wp:anchor distT="0" distB="0" distL="114300" distR="114300" simplePos="0" relativeHeight="251666432" behindDoc="0" locked="0" layoutInCell="1" allowOverlap="1" wp14:anchorId="133B09ED" wp14:editId="5AF881AB">
                <wp:simplePos x="0" y="0"/>
                <wp:positionH relativeFrom="page">
                  <wp:posOffset>2632944</wp:posOffset>
                </wp:positionH>
                <wp:positionV relativeFrom="page">
                  <wp:posOffset>397149</wp:posOffset>
                </wp:positionV>
                <wp:extent cx="134112" cy="188456"/>
                <wp:effectExtent l="0" t="0" r="0" b="0"/>
                <wp:wrapTopAndBottom/>
                <wp:docPr id="201153" name="Group 201153"/>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20040" name="Rectangle 20040"/>
                        <wps:cNvSpPr/>
                        <wps:spPr>
                          <a:xfrm rot="-10799999">
                            <a:off x="-44256" y="-62190"/>
                            <a:ext cx="178369" cy="250646"/>
                          </a:xfrm>
                          <a:prstGeom prst="rect">
                            <a:avLst/>
                          </a:prstGeom>
                          <a:ln>
                            <a:noFill/>
                          </a:ln>
                        </wps:spPr>
                        <wps:txbx>
                          <w:txbxContent>
                            <w:p w14:paraId="4894DA26" w14:textId="77777777" w:rsidR="00B32EF2" w:rsidRDefault="00000000">
                              <w:r>
                                <w:rPr>
                                  <w:rFonts w:ascii="Times New Roman" w:eastAsia="Times New Roman" w:hAnsi="Times New Roman" w:cs="Times New Roman"/>
                                </w:rPr>
                                <w:t>47</w:t>
                              </w:r>
                            </w:p>
                          </w:txbxContent>
                        </wps:txbx>
                        <wps:bodyPr horzOverflow="overflow" vert="horz" lIns="0" tIns="0" rIns="0" bIns="0" rtlCol="0">
                          <a:noAutofit/>
                        </wps:bodyPr>
                      </wps:wsp>
                    </wpg:wgp>
                  </a:graphicData>
                </a:graphic>
              </wp:anchor>
            </w:drawing>
          </mc:Choice>
          <mc:Fallback>
            <w:pict>
              <v:group w14:anchorId="133B09ED" id="Group 201153" o:spid="_x0000_s4903" style="position:absolute;left:0;text-align:left;margin-left:207.3pt;margin-top:31.25pt;width:10.55pt;height:14.85pt;z-index:251666432;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0KGwIAAIEEAAAOAAAAZHJzL2Uyb0RvYy54bWyklNuO2yAQhu8r9R0Q94kPcZzEirOqut2o&#10;UtVd7bYPQDA+SBgQkNjp03fAh7S7Ui+2vsDDgId/Pma8v+tbji5Mm0aKHEfLECMmqCwaUeX454+H&#10;xRYjY4koCJeC5fjKDL47fPyw71TGYllLXjCNIIgwWadyXFursiAwtGYtMUupmIDFUuqWWJjqKig0&#10;6SB6y4M4DNOgk7pQWlJmDHjvh0V88PHLklH7WJaGWcRzDNqsH7UfT24MDnuSVZqouqGjDPIOFS1p&#10;BBw6h7onlqCzbt6EahuqpZGlXVLZBrIsG8p8DpBNFL7K5qjlWflcqqyr1IwJ0L7i9O6w9PvlqNWL&#10;etJAolMVsPAzl0tf6ta9QSXqPbLrjIz1FlFwRqskimKMKCxF222yTgektAbub76i9Zd/fhdMhwZ/&#10;SekUFIe55W/+L/+XmijmsZoM8n/SqClyDNWUQIUI0kKZPkPhEFFxhga3h+N3z6hMZoDaxAlpCbW1&#10;iMLNzj2+FkZuiySJAQsCQos0jnZj0c0EN9tVuhsIxuswTTzBmQTJlDb2yGSLnJFjDdJ8eHL5ZiwI&#10;g63TFqeGCzcK+dBwPqw6DwCdBDvL9qfeZ73ahGt3Y855ksUVYNRS/3qEli657HIsRwu7Lofj3SpG&#10;/KuAS3ANNRl6Mk6ToS3/LH3bDYI+na0sG6/4dtqoDG7XW77OfUpjT7pG+nPud93+HIffAAAA//8D&#10;AFBLAwQUAAYACAAAACEA9+BjMOAAAAAJAQAADwAAAGRycy9kb3ducmV2LnhtbEyPQU+DQBCF7yb+&#10;h82YeLMLFFCRoWka9dQ0sTUx3qYwBVJ2l7BboP/e9aTHyfvy3jf5aladGHmwrdEI4SIAwbo0Vatr&#10;hM/D28MTCOtIV9QZzQhXtrAqbm9yyioz6Q8e964WvkTbjBAa5/pMSls2rMguTM/aZyczKHL+HGpZ&#10;DTT5ctXJKAhSqajVfqGhnjcNl+f9RSG8TzStl+HruD2fNtfvQ7L72oaMeH83r19AOJ7dHwy/+l4d&#10;Cu90NBddWdEhxGGcehQhjRIQHoiXySOII8JzFIEscvn/g+IHAAD//wMAUEsBAi0AFAAGAAgAAAAh&#10;ALaDOJL+AAAA4QEAABMAAAAAAAAAAAAAAAAAAAAAAFtDb250ZW50X1R5cGVzXS54bWxQSwECLQAU&#10;AAYACAAAACEAOP0h/9YAAACUAQAACwAAAAAAAAAAAAAAAAAvAQAAX3JlbHMvLnJlbHNQSwECLQAU&#10;AAYACAAAACEAMnSNChsCAACBBAAADgAAAAAAAAAAAAAAAAAuAgAAZHJzL2Uyb0RvYy54bWxQSwEC&#10;LQAUAAYACAAAACEA9+BjMOAAAAAJAQAADwAAAAAAAAAAAAAAAAB1BAAAZHJzL2Rvd25yZXYueG1s&#10;UEsFBgAAAAAEAAQA8wAAAIIFAAAAAA==&#10;">
                <v:rect id="Rectangle 20040" o:spid="_x0000_s4904"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Ys1xQAAAN4AAAAPAAAAZHJzL2Rvd25yZXYueG1sRI9Ba8JA&#10;EIXvhf6HZQre6sZSikRXEYs0By+1Ch6H7JhEs7NLdjXRX985FHoc3rzv8c2Xg2vVjbrYeDYwGWeg&#10;iEtvG64M7H82r1NQMSFbbD2TgTtFWC6en+aYW9/zN912qVIC4ZijgTqlkGsdy5ocxrEPxJKdfOcw&#10;ydlV2nbYC9y1+i3LPrTDhmWhxkDrmsrL7uoMHD85FJtel6fHOmzPxbT9uu4PxoxehtUMVKIh/T//&#10;tQtrQIjvIiA6ogJ68QsAAP//AwBQSwECLQAUAAYACAAAACEA2+H2y+4AAACFAQAAEwAAAAAAAAAA&#10;AAAAAAAAAAAAW0NvbnRlbnRfVHlwZXNdLnhtbFBLAQItABQABgAIAAAAIQBa9CxbvwAAABUBAAAL&#10;AAAAAAAAAAAAAAAAAB8BAABfcmVscy8ucmVsc1BLAQItABQABgAIAAAAIQDB0Ys1xQAAAN4AAAAP&#10;AAAAAAAAAAAAAAAAAAcCAABkcnMvZG93bnJldi54bWxQSwUGAAAAAAMAAwC3AAAA+QIAAAAA&#10;" filled="f" stroked="f">
                  <v:textbox inset="0,0,0,0">
                    <w:txbxContent>
                      <w:p w14:paraId="4894DA26" w14:textId="77777777" w:rsidR="00B32EF2" w:rsidRDefault="00000000">
                        <w:r>
                          <w:rPr>
                            <w:rFonts w:ascii="Times New Roman" w:eastAsia="Times New Roman" w:hAnsi="Times New Roman" w:cs="Times New Roman"/>
                          </w:rPr>
                          <w:t>47</w:t>
                        </w:r>
                      </w:p>
                    </w:txbxContent>
                  </v:textbox>
                </v:rect>
                <w10:wrap type="topAndBottom" anchorx="page" anchory="page"/>
              </v:group>
            </w:pict>
          </mc:Fallback>
        </mc:AlternateContent>
      </w:r>
    </w:p>
    <w:p w14:paraId="677BA265" w14:textId="77777777" w:rsidR="00B32EF2" w:rsidRDefault="00000000">
      <w:pPr>
        <w:spacing w:after="0"/>
        <w:ind w:left="-356" w:right="-306"/>
      </w:pPr>
      <w:r>
        <w:rPr>
          <w:noProof/>
        </w:rPr>
        <w:lastRenderedPageBreak/>
        <mc:AlternateContent>
          <mc:Choice Requires="wpg">
            <w:drawing>
              <wp:inline distT="0" distB="0" distL="0" distR="0" wp14:anchorId="0A935C49" wp14:editId="524803DB">
                <wp:extent cx="3991802" cy="5636467"/>
                <wp:effectExtent l="0" t="0" r="0" b="0"/>
                <wp:docPr id="201154" name="Group 201154"/>
                <wp:cNvGraphicFramePr/>
                <a:graphic xmlns:a="http://schemas.openxmlformats.org/drawingml/2006/main">
                  <a:graphicData uri="http://schemas.microsoft.com/office/word/2010/wordprocessingGroup">
                    <wpg:wgp>
                      <wpg:cNvGrpSpPr/>
                      <wpg:grpSpPr>
                        <a:xfrm>
                          <a:off x="0" y="0"/>
                          <a:ext cx="3991802" cy="5636467"/>
                          <a:chOff x="0" y="0"/>
                          <a:chExt cx="3991802" cy="5636467"/>
                        </a:xfrm>
                      </wpg:grpSpPr>
                      <wps:wsp>
                        <wps:cNvPr id="20041" name="Rectangle 20041"/>
                        <wps:cNvSpPr/>
                        <wps:spPr>
                          <a:xfrm rot="-10799999">
                            <a:off x="1655195" y="5493578"/>
                            <a:ext cx="570558" cy="142889"/>
                          </a:xfrm>
                          <a:prstGeom prst="rect">
                            <a:avLst/>
                          </a:prstGeom>
                          <a:ln>
                            <a:noFill/>
                          </a:ln>
                        </wps:spPr>
                        <wps:txbx>
                          <w:txbxContent>
                            <w:p w14:paraId="36BD327D" w14:textId="77777777" w:rsidR="00B32EF2" w:rsidRDefault="00000000">
                              <w:r>
                                <w:rPr>
                                  <w:rFonts w:ascii="Arial" w:eastAsia="Arial" w:hAnsi="Arial" w:cs="Arial"/>
                                  <w:b/>
                                  <w:sz w:val="18"/>
                                </w:rPr>
                                <w:t>CAPO II</w:t>
                              </w:r>
                            </w:p>
                          </w:txbxContent>
                        </wps:txbx>
                        <wps:bodyPr horzOverflow="overflow" vert="horz" lIns="0" tIns="0" rIns="0" bIns="0" rtlCol="0">
                          <a:noAutofit/>
                        </wps:bodyPr>
                      </wps:wsp>
                      <wps:wsp>
                        <wps:cNvPr id="20042" name="Rectangle 20042"/>
                        <wps:cNvSpPr/>
                        <wps:spPr>
                          <a:xfrm rot="-10799999">
                            <a:off x="-1220801" y="5246919"/>
                            <a:ext cx="5154311" cy="142889"/>
                          </a:xfrm>
                          <a:prstGeom prst="rect">
                            <a:avLst/>
                          </a:prstGeom>
                          <a:ln>
                            <a:noFill/>
                          </a:ln>
                        </wps:spPr>
                        <wps:txbx>
                          <w:txbxContent>
                            <w:p w14:paraId="1B0178FD" w14:textId="77777777" w:rsidR="00B32EF2" w:rsidRDefault="00000000">
                              <w:r>
                                <w:rPr>
                                  <w:rFonts w:ascii="Arial" w:eastAsia="Arial" w:hAnsi="Arial" w:cs="Arial"/>
                                  <w:b/>
                                  <w:sz w:val="18"/>
                                </w:rPr>
                                <w:t xml:space="preserve"> DELLE PARTI E DELLA LORO RAPPRESENTANZA E ASSISTENZA IN </w:t>
                              </w:r>
                            </w:p>
                          </w:txbxContent>
                        </wps:txbx>
                        <wps:bodyPr horzOverflow="overflow" vert="horz" lIns="0" tIns="0" rIns="0" bIns="0" rtlCol="0">
                          <a:noAutofit/>
                        </wps:bodyPr>
                      </wps:wsp>
                      <wps:wsp>
                        <wps:cNvPr id="20043" name="Rectangle 20043"/>
                        <wps:cNvSpPr/>
                        <wps:spPr>
                          <a:xfrm rot="-10799999">
                            <a:off x="1577712" y="5123589"/>
                            <a:ext cx="697190" cy="142889"/>
                          </a:xfrm>
                          <a:prstGeom prst="rect">
                            <a:avLst/>
                          </a:prstGeom>
                          <a:ln>
                            <a:noFill/>
                          </a:ln>
                        </wps:spPr>
                        <wps:txbx>
                          <w:txbxContent>
                            <w:p w14:paraId="509D535F" w14:textId="77777777" w:rsidR="00B32EF2" w:rsidRDefault="00000000">
                              <w:r>
                                <w:rPr>
                                  <w:rFonts w:ascii="Arial" w:eastAsia="Arial" w:hAnsi="Arial" w:cs="Arial"/>
                                  <w:b/>
                                  <w:sz w:val="18"/>
                                </w:rPr>
                                <w:t>GIUDIZIO</w:t>
                              </w:r>
                            </w:p>
                          </w:txbxContent>
                        </wps:txbx>
                        <wps:bodyPr horzOverflow="overflow" vert="horz" lIns="0" tIns="0" rIns="0" bIns="0" rtlCol="0">
                          <a:noAutofit/>
                        </wps:bodyPr>
                      </wps:wsp>
                      <wps:wsp>
                        <wps:cNvPr id="20044" name="Rectangle 20044"/>
                        <wps:cNvSpPr/>
                        <wps:spPr>
                          <a:xfrm rot="-10799999">
                            <a:off x="1506543" y="4876930"/>
                            <a:ext cx="810763" cy="142889"/>
                          </a:xfrm>
                          <a:prstGeom prst="rect">
                            <a:avLst/>
                          </a:prstGeom>
                          <a:ln>
                            <a:noFill/>
                          </a:ln>
                        </wps:spPr>
                        <wps:txbx>
                          <w:txbxContent>
                            <w:p w14:paraId="57759DB4" w14:textId="77777777" w:rsidR="00B32EF2" w:rsidRDefault="00000000">
                              <w:r>
                                <w:rPr>
                                  <w:rFonts w:ascii="Arial" w:eastAsia="Arial" w:hAnsi="Arial" w:cs="Arial"/>
                                  <w:b/>
                                  <w:sz w:val="18"/>
                                </w:rPr>
                                <w:t>Articolo 55</w:t>
                              </w:r>
                            </w:p>
                          </w:txbxContent>
                        </wps:txbx>
                        <wps:bodyPr horzOverflow="overflow" vert="horz" lIns="0" tIns="0" rIns="0" bIns="0" rtlCol="0">
                          <a:noAutofit/>
                        </wps:bodyPr>
                      </wps:wsp>
                      <wps:wsp>
                        <wps:cNvPr id="201066" name="Rectangle 201066"/>
                        <wps:cNvSpPr/>
                        <wps:spPr>
                          <a:xfrm rot="-10799999">
                            <a:off x="805439" y="4753600"/>
                            <a:ext cx="2343480" cy="142889"/>
                          </a:xfrm>
                          <a:prstGeom prst="rect">
                            <a:avLst/>
                          </a:prstGeom>
                          <a:ln>
                            <a:noFill/>
                          </a:ln>
                        </wps:spPr>
                        <wps:txbx>
                          <w:txbxContent>
                            <w:p w14:paraId="0693646D" w14:textId="77777777" w:rsidR="00B32EF2" w:rsidRDefault="00000000">
                              <w:r>
                                <w:rPr>
                                  <w:rFonts w:ascii="Arial" w:eastAsia="Arial" w:hAnsi="Arial" w:cs="Arial"/>
                                  <w:i/>
                                  <w:sz w:val="18"/>
                                </w:rPr>
                                <w:t xml:space="preserve">articolo 10 D.lgs. n. 546 del </w:t>
                              </w:r>
                            </w:p>
                          </w:txbxContent>
                        </wps:txbx>
                        <wps:bodyPr horzOverflow="overflow" vert="horz" lIns="0" tIns="0" rIns="0" bIns="0" rtlCol="0">
                          <a:noAutofit/>
                        </wps:bodyPr>
                      </wps:wsp>
                      <wps:wsp>
                        <wps:cNvPr id="201065" name="Rectangle 201065"/>
                        <wps:cNvSpPr/>
                        <wps:spPr>
                          <a:xfrm rot="-10799999">
                            <a:off x="-921416" y="4753599"/>
                            <a:ext cx="2343480" cy="142889"/>
                          </a:xfrm>
                          <a:prstGeom prst="rect">
                            <a:avLst/>
                          </a:prstGeom>
                          <a:ln>
                            <a:noFill/>
                          </a:ln>
                        </wps:spPr>
                        <wps:txbx>
                          <w:txbxContent>
                            <w:p w14:paraId="5B400AE8" w14:textId="77777777" w:rsidR="00B32EF2" w:rsidRDefault="00000000">
                              <w:r>
                                <w:rPr>
                                  <w:rFonts w:ascii="Arial" w:eastAsia="Arial" w:hAnsi="Arial" w:cs="Arial"/>
                                  <w:i/>
                                  <w:sz w:val="18"/>
                                </w:rPr>
                                <w:t>1992)</w:t>
                              </w:r>
                            </w:p>
                          </w:txbxContent>
                        </wps:txbx>
                        <wps:bodyPr horzOverflow="overflow" vert="horz" lIns="0" tIns="0" rIns="0" bIns="0" rtlCol="0">
                          <a:noAutofit/>
                        </wps:bodyPr>
                      </wps:wsp>
                      <wps:wsp>
                        <wps:cNvPr id="201064" name="Rectangle 201064"/>
                        <wps:cNvSpPr/>
                        <wps:spPr>
                          <a:xfrm rot="-10799999">
                            <a:off x="2273280" y="4753600"/>
                            <a:ext cx="2343480" cy="142889"/>
                          </a:xfrm>
                          <a:prstGeom prst="rect">
                            <a:avLst/>
                          </a:prstGeom>
                          <a:ln>
                            <a:noFill/>
                          </a:ln>
                        </wps:spPr>
                        <wps:txbx>
                          <w:txbxContent>
                            <w:p w14:paraId="7407E28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046" name="Rectangle 20046"/>
                        <wps:cNvSpPr/>
                        <wps:spPr>
                          <a:xfrm rot="-10799999">
                            <a:off x="1616541" y="4630270"/>
                            <a:ext cx="607954" cy="142889"/>
                          </a:xfrm>
                          <a:prstGeom prst="rect">
                            <a:avLst/>
                          </a:prstGeom>
                          <a:ln>
                            <a:noFill/>
                          </a:ln>
                        </wps:spPr>
                        <wps:txbx>
                          <w:txbxContent>
                            <w:p w14:paraId="1439967B" w14:textId="77777777" w:rsidR="00B32EF2" w:rsidRDefault="00000000">
                              <w:r>
                                <w:rPr>
                                  <w:rFonts w:ascii="Arial" w:eastAsia="Arial" w:hAnsi="Arial" w:cs="Arial"/>
                                  <w:b/>
                                  <w:sz w:val="18"/>
                                </w:rPr>
                                <w:t xml:space="preserve">Le parti </w:t>
                              </w:r>
                            </w:p>
                          </w:txbxContent>
                        </wps:txbx>
                        <wps:bodyPr horzOverflow="overflow" vert="horz" lIns="0" tIns="0" rIns="0" bIns="0" rtlCol="0">
                          <a:noAutofit/>
                        </wps:bodyPr>
                      </wps:wsp>
                      <wps:wsp>
                        <wps:cNvPr id="201063" name="Rectangle 201063"/>
                        <wps:cNvSpPr/>
                        <wps:spPr>
                          <a:xfrm rot="-10799999">
                            <a:off x="-1376429" y="4503282"/>
                            <a:ext cx="5309035" cy="142889"/>
                          </a:xfrm>
                          <a:prstGeom prst="rect">
                            <a:avLst/>
                          </a:prstGeom>
                          <a:ln>
                            <a:noFill/>
                          </a:ln>
                        </wps:spPr>
                        <wps:txbx>
                          <w:txbxContent>
                            <w:p w14:paraId="625AA276" w14:textId="77777777" w:rsidR="00B32EF2" w:rsidRDefault="00000000">
                              <w:r>
                                <w:rPr>
                                  <w:rFonts w:ascii="Arial" w:eastAsia="Arial" w:hAnsi="Arial" w:cs="Arial"/>
                                  <w:sz w:val="18"/>
                                </w:rPr>
                                <w:t xml:space="preserve">. Sono parti nel processo dinanzi alle corti di giustizia tributaria di primo e </w:t>
                              </w:r>
                            </w:p>
                          </w:txbxContent>
                        </wps:txbx>
                        <wps:bodyPr horzOverflow="overflow" vert="horz" lIns="0" tIns="0" rIns="0" bIns="0" rtlCol="0">
                          <a:noAutofit/>
                        </wps:bodyPr>
                      </wps:wsp>
                      <wps:wsp>
                        <wps:cNvPr id="201062" name="Rectangle 201062"/>
                        <wps:cNvSpPr/>
                        <wps:spPr>
                          <a:xfrm rot="-10799999">
                            <a:off x="2610972" y="4503282"/>
                            <a:ext cx="5309037" cy="142889"/>
                          </a:xfrm>
                          <a:prstGeom prst="rect">
                            <a:avLst/>
                          </a:prstGeom>
                          <a:ln>
                            <a:noFill/>
                          </a:ln>
                        </wps:spPr>
                        <wps:txbx>
                          <w:txbxContent>
                            <w:p w14:paraId="0334A023"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48" name="Rectangle 20048"/>
                        <wps:cNvSpPr/>
                        <wps:spPr>
                          <a:xfrm rot="-10799999">
                            <a:off x="-1220367" y="4376296"/>
                            <a:ext cx="5212170" cy="142889"/>
                          </a:xfrm>
                          <a:prstGeom prst="rect">
                            <a:avLst/>
                          </a:prstGeom>
                          <a:ln>
                            <a:noFill/>
                          </a:ln>
                        </wps:spPr>
                        <wps:txbx>
                          <w:txbxContent>
                            <w:p w14:paraId="58B1B694" w14:textId="77777777" w:rsidR="00B32EF2" w:rsidRDefault="00000000">
                              <w:r>
                                <w:rPr>
                                  <w:rFonts w:ascii="Arial" w:eastAsia="Arial" w:hAnsi="Arial" w:cs="Arial"/>
                                  <w:sz w:val="18"/>
                                </w:rPr>
                                <w:t>secondo grado oltre al ricorrente, l’ufficio dell’Agenzia delle entrate e dell’A</w:t>
                              </w:r>
                            </w:p>
                          </w:txbxContent>
                        </wps:txbx>
                        <wps:bodyPr horzOverflow="overflow" vert="horz" lIns="0" tIns="0" rIns="0" bIns="0" rtlCol="0">
                          <a:noAutofit/>
                        </wps:bodyPr>
                      </wps:wsp>
                      <wps:wsp>
                        <wps:cNvPr id="20049" name="Rectangle 20049"/>
                        <wps:cNvSpPr/>
                        <wps:spPr>
                          <a:xfrm rot="-10799999">
                            <a:off x="19204" y="4376296"/>
                            <a:ext cx="50622" cy="142889"/>
                          </a:xfrm>
                          <a:prstGeom prst="rect">
                            <a:avLst/>
                          </a:prstGeom>
                          <a:ln>
                            <a:noFill/>
                          </a:ln>
                        </wps:spPr>
                        <wps:txbx>
                          <w:txbxContent>
                            <w:p w14:paraId="4BC1D1F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050" name="Rectangle 20050"/>
                        <wps:cNvSpPr/>
                        <wps:spPr>
                          <a:xfrm rot="-10799999">
                            <a:off x="-1317294" y="4249308"/>
                            <a:ext cx="5309097" cy="142889"/>
                          </a:xfrm>
                          <a:prstGeom prst="rect">
                            <a:avLst/>
                          </a:prstGeom>
                          <a:ln>
                            <a:noFill/>
                          </a:ln>
                        </wps:spPr>
                        <wps:txbx>
                          <w:txbxContent>
                            <w:p w14:paraId="0634B0DE" w14:textId="77777777" w:rsidR="00B32EF2" w:rsidRDefault="00000000">
                              <w:r>
                                <w:rPr>
                                  <w:rFonts w:ascii="Arial" w:eastAsia="Arial" w:hAnsi="Arial" w:cs="Arial"/>
                                  <w:sz w:val="18"/>
                                </w:rPr>
                                <w:t xml:space="preserve">genzia delle dogane e dei monopoli di cui al decreto legislativo 30 luglio 1999, </w:t>
                              </w:r>
                            </w:p>
                          </w:txbxContent>
                        </wps:txbx>
                        <wps:bodyPr horzOverflow="overflow" vert="horz" lIns="0" tIns="0" rIns="0" bIns="0" rtlCol="0">
                          <a:noAutofit/>
                        </wps:bodyPr>
                      </wps:wsp>
                      <wps:wsp>
                        <wps:cNvPr id="20051" name="Rectangle 20051"/>
                        <wps:cNvSpPr/>
                        <wps:spPr>
                          <a:xfrm rot="-10799999">
                            <a:off x="-1317294" y="4122321"/>
                            <a:ext cx="5309097" cy="142889"/>
                          </a:xfrm>
                          <a:prstGeom prst="rect">
                            <a:avLst/>
                          </a:prstGeom>
                          <a:ln>
                            <a:noFill/>
                          </a:ln>
                        </wps:spPr>
                        <wps:txbx>
                          <w:txbxContent>
                            <w:p w14:paraId="61E8D08C" w14:textId="77777777" w:rsidR="00B32EF2" w:rsidRDefault="00000000">
                              <w:r>
                                <w:rPr>
                                  <w:rFonts w:ascii="Arial" w:eastAsia="Arial" w:hAnsi="Arial" w:cs="Arial"/>
                                  <w:sz w:val="18"/>
                                </w:rPr>
                                <w:t xml:space="preserve">n. 300, gli altri enti impositori, l’agente della riscossione ed i soggetti iscritti </w:t>
                              </w:r>
                            </w:p>
                          </w:txbxContent>
                        </wps:txbx>
                        <wps:bodyPr horzOverflow="overflow" vert="horz" lIns="0" tIns="0" rIns="0" bIns="0" rtlCol="0">
                          <a:noAutofit/>
                        </wps:bodyPr>
                      </wps:wsp>
                      <wps:wsp>
                        <wps:cNvPr id="20052" name="Rectangle 20052"/>
                        <wps:cNvSpPr/>
                        <wps:spPr>
                          <a:xfrm rot="-10799999">
                            <a:off x="-1317248" y="3995333"/>
                            <a:ext cx="5309051" cy="142889"/>
                          </a:xfrm>
                          <a:prstGeom prst="rect">
                            <a:avLst/>
                          </a:prstGeom>
                          <a:ln>
                            <a:noFill/>
                          </a:ln>
                        </wps:spPr>
                        <wps:txbx>
                          <w:txbxContent>
                            <w:p w14:paraId="6F308295" w14:textId="77777777" w:rsidR="00B32EF2" w:rsidRDefault="00000000">
                              <w:r>
                                <w:rPr>
                                  <w:rFonts w:ascii="Arial" w:eastAsia="Arial" w:hAnsi="Arial" w:cs="Arial"/>
                                  <w:sz w:val="18"/>
                                </w:rPr>
                                <w:t xml:space="preserve">nell’albo di cui all’articolo 53 del decreto legislativo 15 dicembre 1997, n. 446, </w:t>
                              </w:r>
                            </w:p>
                          </w:txbxContent>
                        </wps:txbx>
                        <wps:bodyPr horzOverflow="overflow" vert="horz" lIns="0" tIns="0" rIns="0" bIns="0" rtlCol="0">
                          <a:noAutofit/>
                        </wps:bodyPr>
                      </wps:wsp>
                      <wps:wsp>
                        <wps:cNvPr id="20053" name="Rectangle 20053"/>
                        <wps:cNvSpPr/>
                        <wps:spPr>
                          <a:xfrm rot="-10799999">
                            <a:off x="-1317202" y="3868347"/>
                            <a:ext cx="5309005" cy="142889"/>
                          </a:xfrm>
                          <a:prstGeom prst="rect">
                            <a:avLst/>
                          </a:prstGeom>
                          <a:ln>
                            <a:noFill/>
                          </a:ln>
                        </wps:spPr>
                        <wps:txbx>
                          <w:txbxContent>
                            <w:p w14:paraId="4E469DC5" w14:textId="77777777" w:rsidR="00B32EF2" w:rsidRDefault="00000000">
                              <w:r>
                                <w:rPr>
                                  <w:rFonts w:ascii="Arial" w:eastAsia="Arial" w:hAnsi="Arial" w:cs="Arial"/>
                                  <w:sz w:val="18"/>
                                </w:rPr>
                                <w:t xml:space="preserve">che hanno emesso l’atto impugnato o non hanno emesso l’atto richiesto. Se </w:t>
                              </w:r>
                            </w:p>
                          </w:txbxContent>
                        </wps:txbx>
                        <wps:bodyPr horzOverflow="overflow" vert="horz" lIns="0" tIns="0" rIns="0" bIns="0" rtlCol="0">
                          <a:noAutofit/>
                        </wps:bodyPr>
                      </wps:wsp>
                      <wps:wsp>
                        <wps:cNvPr id="20054" name="Rectangle 20054"/>
                        <wps:cNvSpPr/>
                        <wps:spPr>
                          <a:xfrm rot="-10799999">
                            <a:off x="-1317233" y="3741359"/>
                            <a:ext cx="5309035" cy="142889"/>
                          </a:xfrm>
                          <a:prstGeom prst="rect">
                            <a:avLst/>
                          </a:prstGeom>
                          <a:ln>
                            <a:noFill/>
                          </a:ln>
                        </wps:spPr>
                        <wps:txbx>
                          <w:txbxContent>
                            <w:p w14:paraId="7D9653B8" w14:textId="77777777" w:rsidR="00B32EF2" w:rsidRDefault="00000000">
                              <w:r>
                                <w:rPr>
                                  <w:rFonts w:ascii="Arial" w:eastAsia="Arial" w:hAnsi="Arial" w:cs="Arial"/>
                                  <w:sz w:val="18"/>
                                </w:rPr>
                                <w:t xml:space="preserve">l’ufficio è un’articolazione dell’Agenzia delle entrate, con competenza su tutto </w:t>
                              </w:r>
                            </w:p>
                          </w:txbxContent>
                        </wps:txbx>
                        <wps:bodyPr horzOverflow="overflow" vert="horz" lIns="0" tIns="0" rIns="0" bIns="0" rtlCol="0">
                          <a:noAutofit/>
                        </wps:bodyPr>
                      </wps:wsp>
                      <wps:wsp>
                        <wps:cNvPr id="20055" name="Rectangle 20055"/>
                        <wps:cNvSpPr/>
                        <wps:spPr>
                          <a:xfrm rot="-10799999">
                            <a:off x="-1221005" y="3614373"/>
                            <a:ext cx="5212808" cy="142889"/>
                          </a:xfrm>
                          <a:prstGeom prst="rect">
                            <a:avLst/>
                          </a:prstGeom>
                          <a:ln>
                            <a:noFill/>
                          </a:ln>
                        </wps:spPr>
                        <wps:txbx>
                          <w:txbxContent>
                            <w:p w14:paraId="7F3D2EF0" w14:textId="77777777" w:rsidR="00B32EF2" w:rsidRDefault="00000000">
                              <w:r>
                                <w:rPr>
                                  <w:rFonts w:ascii="Arial" w:eastAsia="Arial" w:hAnsi="Arial" w:cs="Arial"/>
                                  <w:sz w:val="18"/>
                                </w:rPr>
                                <w:t>o parte del territorio nazionale, individuata con il regolamento di amministra</w:t>
                              </w:r>
                            </w:p>
                          </w:txbxContent>
                        </wps:txbx>
                        <wps:bodyPr horzOverflow="overflow" vert="horz" lIns="0" tIns="0" rIns="0" bIns="0" rtlCol="0">
                          <a:noAutofit/>
                        </wps:bodyPr>
                      </wps:wsp>
                      <wps:wsp>
                        <wps:cNvPr id="20056" name="Rectangle 20056"/>
                        <wps:cNvSpPr/>
                        <wps:spPr>
                          <a:xfrm rot="-10799999">
                            <a:off x="19204" y="3614372"/>
                            <a:ext cx="50622" cy="142889"/>
                          </a:xfrm>
                          <a:prstGeom prst="rect">
                            <a:avLst/>
                          </a:prstGeom>
                          <a:ln>
                            <a:noFill/>
                          </a:ln>
                        </wps:spPr>
                        <wps:txbx>
                          <w:txbxContent>
                            <w:p w14:paraId="229D5D8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057" name="Rectangle 20057"/>
                        <wps:cNvSpPr/>
                        <wps:spPr>
                          <a:xfrm rot="-10799999">
                            <a:off x="-1317233" y="3487385"/>
                            <a:ext cx="5309035" cy="142889"/>
                          </a:xfrm>
                          <a:prstGeom prst="rect">
                            <a:avLst/>
                          </a:prstGeom>
                          <a:ln>
                            <a:noFill/>
                          </a:ln>
                        </wps:spPr>
                        <wps:txbx>
                          <w:txbxContent>
                            <w:p w14:paraId="17435F42" w14:textId="77777777" w:rsidR="00B32EF2" w:rsidRDefault="00000000">
                              <w:r>
                                <w:rPr>
                                  <w:rFonts w:ascii="Arial" w:eastAsia="Arial" w:hAnsi="Arial" w:cs="Arial"/>
                                  <w:sz w:val="18"/>
                                </w:rPr>
                                <w:t xml:space="preserve">zione di cui all’articolo 71 del decreto legislativo 30 luglio 1999, n. 300, è parte </w:t>
                              </w:r>
                            </w:p>
                          </w:txbxContent>
                        </wps:txbx>
                        <wps:bodyPr horzOverflow="overflow" vert="horz" lIns="0" tIns="0" rIns="0" bIns="0" rtlCol="0">
                          <a:noAutofit/>
                        </wps:bodyPr>
                      </wps:wsp>
                      <wps:wsp>
                        <wps:cNvPr id="20058" name="Rectangle 20058"/>
                        <wps:cNvSpPr/>
                        <wps:spPr>
                          <a:xfrm rot="-10799999">
                            <a:off x="-401273" y="3360398"/>
                            <a:ext cx="4393076" cy="142889"/>
                          </a:xfrm>
                          <a:prstGeom prst="rect">
                            <a:avLst/>
                          </a:prstGeom>
                          <a:ln>
                            <a:noFill/>
                          </a:ln>
                        </wps:spPr>
                        <wps:txbx>
                          <w:txbxContent>
                            <w:p w14:paraId="31D66282" w14:textId="77777777" w:rsidR="00B32EF2" w:rsidRDefault="00000000">
                              <w:r>
                                <w:rPr>
                                  <w:rFonts w:ascii="Arial" w:eastAsia="Arial" w:hAnsi="Arial" w:cs="Arial"/>
                                  <w:sz w:val="18"/>
                                </w:rPr>
                                <w:t>l’ufficio al quale spettano le attribuzioni sul rapporto controverso.</w:t>
                              </w:r>
                            </w:p>
                          </w:txbxContent>
                        </wps:txbx>
                        <wps:bodyPr horzOverflow="overflow" vert="horz" lIns="0" tIns="0" rIns="0" bIns="0" rtlCol="0">
                          <a:noAutofit/>
                        </wps:bodyPr>
                      </wps:wsp>
                      <wps:wsp>
                        <wps:cNvPr id="20059" name="Rectangle 20059"/>
                        <wps:cNvSpPr/>
                        <wps:spPr>
                          <a:xfrm rot="-10799999">
                            <a:off x="1506639" y="2496975"/>
                            <a:ext cx="809410" cy="142889"/>
                          </a:xfrm>
                          <a:prstGeom prst="rect">
                            <a:avLst/>
                          </a:prstGeom>
                          <a:ln>
                            <a:noFill/>
                          </a:ln>
                        </wps:spPr>
                        <wps:txbx>
                          <w:txbxContent>
                            <w:p w14:paraId="4627E739" w14:textId="77777777" w:rsidR="00B32EF2" w:rsidRDefault="00000000">
                              <w:r>
                                <w:rPr>
                                  <w:rFonts w:ascii="Arial" w:eastAsia="Arial" w:hAnsi="Arial" w:cs="Arial"/>
                                  <w:b/>
                                  <w:sz w:val="18"/>
                                </w:rPr>
                                <w:t>Articolo 56</w:t>
                              </w:r>
                            </w:p>
                          </w:txbxContent>
                        </wps:txbx>
                        <wps:bodyPr horzOverflow="overflow" vert="horz" lIns="0" tIns="0" rIns="0" bIns="0" rtlCol="0">
                          <a:noAutofit/>
                        </wps:bodyPr>
                      </wps:wsp>
                      <wps:wsp>
                        <wps:cNvPr id="201059" name="Rectangle 201059"/>
                        <wps:cNvSpPr/>
                        <wps:spPr>
                          <a:xfrm rot="-10799999">
                            <a:off x="2220448" y="2373646"/>
                            <a:ext cx="1930368" cy="142889"/>
                          </a:xfrm>
                          <a:prstGeom prst="rect">
                            <a:avLst/>
                          </a:prstGeom>
                          <a:ln>
                            <a:noFill/>
                          </a:ln>
                        </wps:spPr>
                        <wps:txbx>
                          <w:txbxContent>
                            <w:p w14:paraId="0028FBD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061" name="Rectangle 201061"/>
                        <wps:cNvSpPr/>
                        <wps:spPr>
                          <a:xfrm rot="-10799999">
                            <a:off x="1170305" y="2373646"/>
                            <a:ext cx="1930368" cy="142889"/>
                          </a:xfrm>
                          <a:prstGeom prst="rect">
                            <a:avLst/>
                          </a:prstGeom>
                          <a:ln>
                            <a:noFill/>
                          </a:ln>
                        </wps:spPr>
                        <wps:txbx>
                          <w:txbxContent>
                            <w:p w14:paraId="65C58CEE" w14:textId="77777777" w:rsidR="00B32EF2" w:rsidRDefault="00000000">
                              <w:r>
                                <w:rPr>
                                  <w:rFonts w:ascii="Arial" w:eastAsia="Arial" w:hAnsi="Arial" w:cs="Arial"/>
                                  <w:i/>
                                  <w:sz w:val="18"/>
                                </w:rPr>
                                <w:t xml:space="preserve">articolo 11 D.lgs. n. </w:t>
                              </w:r>
                            </w:p>
                          </w:txbxContent>
                        </wps:txbx>
                        <wps:bodyPr horzOverflow="overflow" vert="horz" lIns="0" tIns="0" rIns="0" bIns="0" rtlCol="0">
                          <a:noAutofit/>
                        </wps:bodyPr>
                      </wps:wsp>
                      <wps:wsp>
                        <wps:cNvPr id="201060" name="Rectangle 201060"/>
                        <wps:cNvSpPr/>
                        <wps:spPr>
                          <a:xfrm rot="-10799999">
                            <a:off x="-245939" y="2373646"/>
                            <a:ext cx="1930368" cy="142889"/>
                          </a:xfrm>
                          <a:prstGeom prst="rect">
                            <a:avLst/>
                          </a:prstGeom>
                          <a:ln>
                            <a:noFill/>
                          </a:ln>
                        </wps:spPr>
                        <wps:txbx>
                          <w:txbxContent>
                            <w:p w14:paraId="646B1445"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061" name="Rectangle 20061"/>
                        <wps:cNvSpPr/>
                        <wps:spPr>
                          <a:xfrm rot="-10799999">
                            <a:off x="689063" y="2250316"/>
                            <a:ext cx="2094016" cy="142889"/>
                          </a:xfrm>
                          <a:prstGeom prst="rect">
                            <a:avLst/>
                          </a:prstGeom>
                          <a:ln>
                            <a:noFill/>
                          </a:ln>
                        </wps:spPr>
                        <wps:txbx>
                          <w:txbxContent>
                            <w:p w14:paraId="3A8C20AA" w14:textId="77777777" w:rsidR="00B32EF2" w:rsidRDefault="00000000">
                              <w:r>
                                <w:rPr>
                                  <w:rFonts w:ascii="Arial" w:eastAsia="Arial" w:hAnsi="Arial" w:cs="Arial"/>
                                  <w:b/>
                                  <w:sz w:val="18"/>
                                </w:rPr>
                                <w:t xml:space="preserve">Capacità di stare in giudizio </w:t>
                              </w:r>
                            </w:p>
                          </w:txbxContent>
                        </wps:txbx>
                        <wps:bodyPr horzOverflow="overflow" vert="horz" lIns="0" tIns="0" rIns="0" bIns="0" rtlCol="0">
                          <a:noAutofit/>
                        </wps:bodyPr>
                      </wps:wsp>
                      <wps:wsp>
                        <wps:cNvPr id="201058" name="Rectangle 201058"/>
                        <wps:cNvSpPr/>
                        <wps:spPr>
                          <a:xfrm rot="-10799999">
                            <a:off x="-1279639" y="2123329"/>
                            <a:ext cx="5212246" cy="142889"/>
                          </a:xfrm>
                          <a:prstGeom prst="rect">
                            <a:avLst/>
                          </a:prstGeom>
                          <a:ln>
                            <a:noFill/>
                          </a:ln>
                        </wps:spPr>
                        <wps:txbx>
                          <w:txbxContent>
                            <w:p w14:paraId="70976DD3" w14:textId="77777777" w:rsidR="00B32EF2" w:rsidRDefault="00000000">
                              <w:r>
                                <w:rPr>
                                  <w:rFonts w:ascii="Arial" w:eastAsia="Arial" w:hAnsi="Arial" w:cs="Arial"/>
                                  <w:sz w:val="18"/>
                                </w:rPr>
                                <w:t>. Le parti diverse da quelle indicate nei commi 2 e 3 possono stare in giudi</w:t>
                              </w:r>
                            </w:p>
                          </w:txbxContent>
                        </wps:txbx>
                        <wps:bodyPr horzOverflow="overflow" vert="horz" lIns="0" tIns="0" rIns="0" bIns="0" rtlCol="0">
                          <a:noAutofit/>
                        </wps:bodyPr>
                      </wps:wsp>
                      <wps:wsp>
                        <wps:cNvPr id="201057" name="Rectangle 201057"/>
                        <wps:cNvSpPr/>
                        <wps:spPr>
                          <a:xfrm rot="-10799999">
                            <a:off x="2634987" y="2123329"/>
                            <a:ext cx="5212246" cy="142889"/>
                          </a:xfrm>
                          <a:prstGeom prst="rect">
                            <a:avLst/>
                          </a:prstGeom>
                          <a:ln>
                            <a:noFill/>
                          </a:ln>
                        </wps:spPr>
                        <wps:txbx>
                          <w:txbxContent>
                            <w:p w14:paraId="1E65A79F"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063" name="Rectangle 20063"/>
                        <wps:cNvSpPr/>
                        <wps:spPr>
                          <a:xfrm rot="-10799999">
                            <a:off x="19203" y="2123329"/>
                            <a:ext cx="50622" cy="142889"/>
                          </a:xfrm>
                          <a:prstGeom prst="rect">
                            <a:avLst/>
                          </a:prstGeom>
                          <a:ln>
                            <a:noFill/>
                          </a:ln>
                        </wps:spPr>
                        <wps:txbx>
                          <w:txbxContent>
                            <w:p w14:paraId="65F6260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064" name="Rectangle 20064"/>
                        <wps:cNvSpPr/>
                        <wps:spPr>
                          <a:xfrm rot="-10799999">
                            <a:off x="-1317202" y="1996341"/>
                            <a:ext cx="5309005" cy="142889"/>
                          </a:xfrm>
                          <a:prstGeom prst="rect">
                            <a:avLst/>
                          </a:prstGeom>
                          <a:ln>
                            <a:noFill/>
                          </a:ln>
                        </wps:spPr>
                        <wps:txbx>
                          <w:txbxContent>
                            <w:p w14:paraId="33B1D50F" w14:textId="77777777" w:rsidR="00B32EF2" w:rsidRDefault="00000000">
                              <w:r>
                                <w:rPr>
                                  <w:rFonts w:ascii="Arial" w:eastAsia="Arial" w:hAnsi="Arial" w:cs="Arial"/>
                                  <w:sz w:val="18"/>
                                </w:rPr>
                                <w:t xml:space="preserve">zio anche mediante procuratore generale o speciale. La procura speciale, se </w:t>
                              </w:r>
                            </w:p>
                          </w:txbxContent>
                        </wps:txbx>
                        <wps:bodyPr horzOverflow="overflow" vert="horz" lIns="0" tIns="0" rIns="0" bIns="0" rtlCol="0">
                          <a:noAutofit/>
                        </wps:bodyPr>
                      </wps:wsp>
                      <wps:wsp>
                        <wps:cNvPr id="20065" name="Rectangle 20065"/>
                        <wps:cNvSpPr/>
                        <wps:spPr>
                          <a:xfrm rot="-10799999">
                            <a:off x="-1317248" y="1869354"/>
                            <a:ext cx="5309051" cy="142889"/>
                          </a:xfrm>
                          <a:prstGeom prst="rect">
                            <a:avLst/>
                          </a:prstGeom>
                          <a:ln>
                            <a:noFill/>
                          </a:ln>
                        </wps:spPr>
                        <wps:txbx>
                          <w:txbxContent>
                            <w:p w14:paraId="7964B7F7" w14:textId="77777777" w:rsidR="00B32EF2" w:rsidRDefault="00000000">
                              <w:r>
                                <w:rPr>
                                  <w:rFonts w:ascii="Arial" w:eastAsia="Arial" w:hAnsi="Arial" w:cs="Arial"/>
                                  <w:sz w:val="18"/>
                                </w:rPr>
                                <w:t xml:space="preserve">conferita al coniuge e ai parenti o affini entro il quarto grado ai soli fini della </w:t>
                              </w:r>
                            </w:p>
                          </w:txbxContent>
                        </wps:txbx>
                        <wps:bodyPr horzOverflow="overflow" vert="horz" lIns="0" tIns="0" rIns="0" bIns="0" rtlCol="0">
                          <a:noAutofit/>
                        </wps:bodyPr>
                      </wps:wsp>
                      <wps:wsp>
                        <wps:cNvPr id="20066" name="Rectangle 20066"/>
                        <wps:cNvSpPr/>
                        <wps:spPr>
                          <a:xfrm rot="-10799999">
                            <a:off x="-1317233" y="1742367"/>
                            <a:ext cx="5309036" cy="142889"/>
                          </a:xfrm>
                          <a:prstGeom prst="rect">
                            <a:avLst/>
                          </a:prstGeom>
                          <a:ln>
                            <a:noFill/>
                          </a:ln>
                        </wps:spPr>
                        <wps:txbx>
                          <w:txbxContent>
                            <w:p w14:paraId="1C10B32E" w14:textId="77777777" w:rsidR="00B32EF2" w:rsidRDefault="00000000">
                              <w:r>
                                <w:rPr>
                                  <w:rFonts w:ascii="Arial" w:eastAsia="Arial" w:hAnsi="Arial" w:cs="Arial"/>
                                  <w:sz w:val="18"/>
                                </w:rPr>
                                <w:t xml:space="preserve">partecipazione all’udienza pubblica, può risultare anche da scrittura privata </w:t>
                              </w:r>
                            </w:p>
                          </w:txbxContent>
                        </wps:txbx>
                        <wps:bodyPr horzOverflow="overflow" vert="horz" lIns="0" tIns="0" rIns="0" bIns="0" rtlCol="0">
                          <a:noAutofit/>
                        </wps:bodyPr>
                      </wps:wsp>
                      <wps:wsp>
                        <wps:cNvPr id="20067" name="Rectangle 20067"/>
                        <wps:cNvSpPr/>
                        <wps:spPr>
                          <a:xfrm rot="-10799999">
                            <a:off x="2896823" y="1615380"/>
                            <a:ext cx="1094978" cy="142889"/>
                          </a:xfrm>
                          <a:prstGeom prst="rect">
                            <a:avLst/>
                          </a:prstGeom>
                          <a:ln>
                            <a:noFill/>
                          </a:ln>
                        </wps:spPr>
                        <wps:txbx>
                          <w:txbxContent>
                            <w:p w14:paraId="43E62788" w14:textId="77777777" w:rsidR="00B32EF2" w:rsidRDefault="00000000">
                              <w:r>
                                <w:rPr>
                                  <w:rFonts w:ascii="Arial" w:eastAsia="Arial" w:hAnsi="Arial" w:cs="Arial"/>
                                  <w:sz w:val="18"/>
                                </w:rPr>
                                <w:t>non autenticata.</w:t>
                              </w:r>
                            </w:p>
                          </w:txbxContent>
                        </wps:txbx>
                        <wps:bodyPr horzOverflow="overflow" vert="horz" lIns="0" tIns="0" rIns="0" bIns="0" rtlCol="0">
                          <a:noAutofit/>
                        </wps:bodyPr>
                      </wps:wsp>
                      <wps:wsp>
                        <wps:cNvPr id="201055" name="Rectangle 201055"/>
                        <wps:cNvSpPr/>
                        <wps:spPr>
                          <a:xfrm rot="-10799999">
                            <a:off x="2635417" y="1488393"/>
                            <a:ext cx="5210512" cy="142889"/>
                          </a:xfrm>
                          <a:prstGeom prst="rect">
                            <a:avLst/>
                          </a:prstGeom>
                          <a:ln>
                            <a:noFill/>
                          </a:ln>
                        </wps:spPr>
                        <wps:txbx>
                          <w:txbxContent>
                            <w:p w14:paraId="3964654F"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056" name="Rectangle 201056"/>
                        <wps:cNvSpPr/>
                        <wps:spPr>
                          <a:xfrm rot="-10799999">
                            <a:off x="-1283277" y="1488393"/>
                            <a:ext cx="5210512" cy="142889"/>
                          </a:xfrm>
                          <a:prstGeom prst="rect">
                            <a:avLst/>
                          </a:prstGeom>
                          <a:ln>
                            <a:noFill/>
                          </a:ln>
                        </wps:spPr>
                        <wps:txbx>
                          <w:txbxContent>
                            <w:p w14:paraId="24929458" w14:textId="77777777" w:rsidR="00B32EF2" w:rsidRDefault="00000000">
                              <w:r>
                                <w:rPr>
                                  <w:rFonts w:ascii="Arial" w:eastAsia="Arial" w:hAnsi="Arial" w:cs="Arial"/>
                                  <w:sz w:val="18"/>
                                </w:rPr>
                                <w:t>. L’ufficio dell’Agenzia delle entrate e dell’Agenzia delle dogane e dei mono</w:t>
                              </w:r>
                            </w:p>
                          </w:txbxContent>
                        </wps:txbx>
                        <wps:bodyPr horzOverflow="overflow" vert="horz" lIns="0" tIns="0" rIns="0" bIns="0" rtlCol="0">
                          <a:noAutofit/>
                        </wps:bodyPr>
                      </wps:wsp>
                      <wps:wsp>
                        <wps:cNvPr id="20069" name="Rectangle 20069"/>
                        <wps:cNvSpPr/>
                        <wps:spPr>
                          <a:xfrm rot="-10799999">
                            <a:off x="19203" y="1488393"/>
                            <a:ext cx="50622" cy="142889"/>
                          </a:xfrm>
                          <a:prstGeom prst="rect">
                            <a:avLst/>
                          </a:prstGeom>
                          <a:ln>
                            <a:noFill/>
                          </a:ln>
                        </wps:spPr>
                        <wps:txbx>
                          <w:txbxContent>
                            <w:p w14:paraId="28AAEE6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070" name="Rectangle 20070"/>
                        <wps:cNvSpPr/>
                        <wps:spPr>
                          <a:xfrm rot="-10799999">
                            <a:off x="-1317218" y="1361405"/>
                            <a:ext cx="5309020" cy="142889"/>
                          </a:xfrm>
                          <a:prstGeom prst="rect">
                            <a:avLst/>
                          </a:prstGeom>
                          <a:ln>
                            <a:noFill/>
                          </a:ln>
                        </wps:spPr>
                        <wps:txbx>
                          <w:txbxContent>
                            <w:p w14:paraId="49D308CA" w14:textId="77777777" w:rsidR="00B32EF2" w:rsidRDefault="00000000">
                              <w:r>
                                <w:rPr>
                                  <w:rFonts w:ascii="Arial" w:eastAsia="Arial" w:hAnsi="Arial" w:cs="Arial"/>
                                  <w:sz w:val="18"/>
                                </w:rPr>
                                <w:t xml:space="preserve">poli di cui al decreto legislativo 30 luglio 1999, n. 300, nonché dell’agente della </w:t>
                              </w:r>
                            </w:p>
                          </w:txbxContent>
                        </wps:txbx>
                        <wps:bodyPr horzOverflow="overflow" vert="horz" lIns="0" tIns="0" rIns="0" bIns="0" rtlCol="0">
                          <a:noAutofit/>
                        </wps:bodyPr>
                      </wps:wsp>
                      <wps:wsp>
                        <wps:cNvPr id="20071" name="Rectangle 20071"/>
                        <wps:cNvSpPr/>
                        <wps:spPr>
                          <a:xfrm rot="-10799999">
                            <a:off x="-1317233" y="1234418"/>
                            <a:ext cx="5309036" cy="142889"/>
                          </a:xfrm>
                          <a:prstGeom prst="rect">
                            <a:avLst/>
                          </a:prstGeom>
                          <a:ln>
                            <a:noFill/>
                          </a:ln>
                        </wps:spPr>
                        <wps:txbx>
                          <w:txbxContent>
                            <w:p w14:paraId="1DA7D3B9" w14:textId="77777777" w:rsidR="00B32EF2" w:rsidRDefault="00000000">
                              <w:r>
                                <w:rPr>
                                  <w:rFonts w:ascii="Arial" w:eastAsia="Arial" w:hAnsi="Arial" w:cs="Arial"/>
                                  <w:sz w:val="18"/>
                                </w:rPr>
                                <w:t xml:space="preserve">riscossione, nei cui confronti è proposto il ricorso, sta in giudizio direttamente </w:t>
                              </w:r>
                            </w:p>
                          </w:txbxContent>
                        </wps:txbx>
                        <wps:bodyPr horzOverflow="overflow" vert="horz" lIns="0" tIns="0" rIns="0" bIns="0" rtlCol="0">
                          <a:noAutofit/>
                        </wps:bodyPr>
                      </wps:wsp>
                      <wps:wsp>
                        <wps:cNvPr id="20072" name="Rectangle 20072"/>
                        <wps:cNvSpPr/>
                        <wps:spPr>
                          <a:xfrm rot="-10799999">
                            <a:off x="-1220549" y="1107431"/>
                            <a:ext cx="5212352" cy="142889"/>
                          </a:xfrm>
                          <a:prstGeom prst="rect">
                            <a:avLst/>
                          </a:prstGeom>
                          <a:ln>
                            <a:noFill/>
                          </a:ln>
                        </wps:spPr>
                        <wps:txbx>
                          <w:txbxContent>
                            <w:p w14:paraId="19358689" w14:textId="77777777" w:rsidR="00B32EF2" w:rsidRDefault="00000000">
                              <w:r>
                                <w:rPr>
                                  <w:rFonts w:ascii="Arial" w:eastAsia="Arial" w:hAnsi="Arial" w:cs="Arial"/>
                                  <w:sz w:val="18"/>
                                </w:rPr>
                                <w:t>o mediante la struttura territoriale sovraordinata. Stanno altresì in giudizio di</w:t>
                              </w:r>
                            </w:p>
                          </w:txbxContent>
                        </wps:txbx>
                        <wps:bodyPr horzOverflow="overflow" vert="horz" lIns="0" tIns="0" rIns="0" bIns="0" rtlCol="0">
                          <a:noAutofit/>
                        </wps:bodyPr>
                      </wps:wsp>
                      <wps:wsp>
                        <wps:cNvPr id="20073" name="Rectangle 20073"/>
                        <wps:cNvSpPr/>
                        <wps:spPr>
                          <a:xfrm rot="-10799999">
                            <a:off x="19203" y="1107431"/>
                            <a:ext cx="50622" cy="142889"/>
                          </a:xfrm>
                          <a:prstGeom prst="rect">
                            <a:avLst/>
                          </a:prstGeom>
                          <a:ln>
                            <a:noFill/>
                          </a:ln>
                        </wps:spPr>
                        <wps:txbx>
                          <w:txbxContent>
                            <w:p w14:paraId="31C73A8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074" name="Rectangle 20074"/>
                        <wps:cNvSpPr/>
                        <wps:spPr>
                          <a:xfrm rot="-10799999">
                            <a:off x="-1317234" y="980444"/>
                            <a:ext cx="5309036" cy="142889"/>
                          </a:xfrm>
                          <a:prstGeom prst="rect">
                            <a:avLst/>
                          </a:prstGeom>
                          <a:ln>
                            <a:noFill/>
                          </a:ln>
                        </wps:spPr>
                        <wps:txbx>
                          <w:txbxContent>
                            <w:p w14:paraId="76630864" w14:textId="77777777" w:rsidR="00B32EF2" w:rsidRDefault="00000000">
                              <w:r>
                                <w:rPr>
                                  <w:rFonts w:ascii="Arial" w:eastAsia="Arial" w:hAnsi="Arial" w:cs="Arial"/>
                                  <w:sz w:val="18"/>
                                </w:rPr>
                                <w:t xml:space="preserve">rettamente le cancellerie o segreterie degli uffici giudiziari per il contenzioso in </w:t>
                              </w:r>
                            </w:p>
                          </w:txbxContent>
                        </wps:txbx>
                        <wps:bodyPr horzOverflow="overflow" vert="horz" lIns="0" tIns="0" rIns="0" bIns="0" rtlCol="0">
                          <a:noAutofit/>
                        </wps:bodyPr>
                      </wps:wsp>
                      <wps:wsp>
                        <wps:cNvPr id="20075" name="Rectangle 20075"/>
                        <wps:cNvSpPr/>
                        <wps:spPr>
                          <a:xfrm rot="-10799999">
                            <a:off x="1938116" y="853457"/>
                            <a:ext cx="2053686" cy="142889"/>
                          </a:xfrm>
                          <a:prstGeom prst="rect">
                            <a:avLst/>
                          </a:prstGeom>
                          <a:ln>
                            <a:noFill/>
                          </a:ln>
                        </wps:spPr>
                        <wps:txbx>
                          <w:txbxContent>
                            <w:p w14:paraId="22911BD9" w14:textId="77777777" w:rsidR="00B32EF2" w:rsidRDefault="00000000">
                              <w:r>
                                <w:rPr>
                                  <w:rFonts w:ascii="Arial" w:eastAsia="Arial" w:hAnsi="Arial" w:cs="Arial"/>
                                  <w:sz w:val="18"/>
                                </w:rPr>
                                <w:t>materia di contributo unificato.</w:t>
                              </w:r>
                            </w:p>
                          </w:txbxContent>
                        </wps:txbx>
                        <wps:bodyPr horzOverflow="overflow" vert="horz" lIns="0" tIns="0" rIns="0" bIns="0" rtlCol="0">
                          <a:noAutofit/>
                        </wps:bodyPr>
                      </wps:wsp>
                      <wps:wsp>
                        <wps:cNvPr id="201053" name="Rectangle 201053"/>
                        <wps:cNvSpPr/>
                        <wps:spPr>
                          <a:xfrm rot="-10799999">
                            <a:off x="2634945" y="726470"/>
                            <a:ext cx="5212413" cy="142889"/>
                          </a:xfrm>
                          <a:prstGeom prst="rect">
                            <a:avLst/>
                          </a:prstGeom>
                          <a:ln>
                            <a:noFill/>
                          </a:ln>
                        </wps:spPr>
                        <wps:txbx>
                          <w:txbxContent>
                            <w:p w14:paraId="1CC13BB5"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1054" name="Rectangle 201054"/>
                        <wps:cNvSpPr/>
                        <wps:spPr>
                          <a:xfrm rot="-10799999">
                            <a:off x="-1285144" y="726469"/>
                            <a:ext cx="5212413" cy="142889"/>
                          </a:xfrm>
                          <a:prstGeom prst="rect">
                            <a:avLst/>
                          </a:prstGeom>
                          <a:ln>
                            <a:noFill/>
                          </a:ln>
                        </wps:spPr>
                        <wps:txbx>
                          <w:txbxContent>
                            <w:p w14:paraId="250B6D40" w14:textId="77777777" w:rsidR="00B32EF2" w:rsidRDefault="00000000">
                              <w:r>
                                <w:rPr>
                                  <w:rFonts w:ascii="Arial" w:eastAsia="Arial" w:hAnsi="Arial" w:cs="Arial"/>
                                  <w:sz w:val="18"/>
                                </w:rPr>
                                <w:t>. L’ente locale nei cui confronti è proposto il ricorso può stare in giudizio an</w:t>
                              </w:r>
                            </w:p>
                          </w:txbxContent>
                        </wps:txbx>
                        <wps:bodyPr horzOverflow="overflow" vert="horz" lIns="0" tIns="0" rIns="0" bIns="0" rtlCol="0">
                          <a:noAutofit/>
                        </wps:bodyPr>
                      </wps:wsp>
                      <wps:wsp>
                        <wps:cNvPr id="20077" name="Rectangle 20077"/>
                        <wps:cNvSpPr/>
                        <wps:spPr>
                          <a:xfrm rot="-10799999">
                            <a:off x="19203" y="726470"/>
                            <a:ext cx="50622" cy="142889"/>
                          </a:xfrm>
                          <a:prstGeom prst="rect">
                            <a:avLst/>
                          </a:prstGeom>
                          <a:ln>
                            <a:noFill/>
                          </a:ln>
                        </wps:spPr>
                        <wps:txbx>
                          <w:txbxContent>
                            <w:p w14:paraId="1E7A910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078" name="Rectangle 20078"/>
                        <wps:cNvSpPr/>
                        <wps:spPr>
                          <a:xfrm rot="-10799999">
                            <a:off x="-1317234" y="599482"/>
                            <a:ext cx="5309035" cy="142890"/>
                          </a:xfrm>
                          <a:prstGeom prst="rect">
                            <a:avLst/>
                          </a:prstGeom>
                          <a:ln>
                            <a:noFill/>
                          </a:ln>
                        </wps:spPr>
                        <wps:txbx>
                          <w:txbxContent>
                            <w:p w14:paraId="0EC4C4D1" w14:textId="77777777" w:rsidR="00B32EF2" w:rsidRDefault="00000000">
                              <w:r>
                                <w:rPr>
                                  <w:rFonts w:ascii="Arial" w:eastAsia="Arial" w:hAnsi="Arial" w:cs="Arial"/>
                                  <w:sz w:val="18"/>
                                </w:rPr>
                                <w:t xml:space="preserve">che mediante il dirigente dell’ufficio tributi, ovvero, per gli enti locali privi di </w:t>
                              </w:r>
                            </w:p>
                          </w:txbxContent>
                        </wps:txbx>
                        <wps:bodyPr horzOverflow="overflow" vert="horz" lIns="0" tIns="0" rIns="0" bIns="0" rtlCol="0">
                          <a:noAutofit/>
                        </wps:bodyPr>
                      </wps:wsp>
                      <wps:wsp>
                        <wps:cNvPr id="20079" name="Rectangle 20079"/>
                        <wps:cNvSpPr/>
                        <wps:spPr>
                          <a:xfrm rot="-10799999">
                            <a:off x="-1317234" y="472495"/>
                            <a:ext cx="5309035" cy="142889"/>
                          </a:xfrm>
                          <a:prstGeom prst="rect">
                            <a:avLst/>
                          </a:prstGeom>
                          <a:ln>
                            <a:noFill/>
                          </a:ln>
                        </wps:spPr>
                        <wps:txbx>
                          <w:txbxContent>
                            <w:p w14:paraId="1E8AF941" w14:textId="77777777" w:rsidR="00B32EF2" w:rsidRDefault="00000000">
                              <w:r>
                                <w:rPr>
                                  <w:rFonts w:ascii="Arial" w:eastAsia="Arial" w:hAnsi="Arial" w:cs="Arial"/>
                                  <w:sz w:val="18"/>
                                </w:rPr>
                                <w:t xml:space="preserve">figura dirigenziale, mediante il titolare della posizione organizzativa in cui è </w:t>
                              </w:r>
                            </w:p>
                          </w:txbxContent>
                        </wps:txbx>
                        <wps:bodyPr horzOverflow="overflow" vert="horz" lIns="0" tIns="0" rIns="0" bIns="0" rtlCol="0">
                          <a:noAutofit/>
                        </wps:bodyPr>
                      </wps:wsp>
                      <wps:wsp>
                        <wps:cNvPr id="20080" name="Rectangle 20080"/>
                        <wps:cNvSpPr/>
                        <wps:spPr>
                          <a:xfrm rot="-10799999">
                            <a:off x="2499781" y="345508"/>
                            <a:ext cx="1492021" cy="142889"/>
                          </a:xfrm>
                          <a:prstGeom prst="rect">
                            <a:avLst/>
                          </a:prstGeom>
                          <a:ln>
                            <a:noFill/>
                          </a:ln>
                        </wps:spPr>
                        <wps:txbx>
                          <w:txbxContent>
                            <w:p w14:paraId="2320AFD5" w14:textId="77777777" w:rsidR="00B32EF2" w:rsidRDefault="00000000">
                              <w:r>
                                <w:rPr>
                                  <w:rFonts w:ascii="Arial" w:eastAsia="Arial" w:hAnsi="Arial" w:cs="Arial"/>
                                  <w:sz w:val="18"/>
                                </w:rPr>
                                <w:t>collocato detto ufficio.</w:t>
                              </w:r>
                            </w:p>
                          </w:txbxContent>
                        </wps:txbx>
                        <wps:bodyPr horzOverflow="overflow" vert="horz" lIns="0" tIns="0" rIns="0" bIns="0" rtlCol="0">
                          <a:noAutofit/>
                        </wps:bodyPr>
                      </wps:wsp>
                      <wps:wsp>
                        <wps:cNvPr id="201051" name="Rectangle 201051"/>
                        <wps:cNvSpPr/>
                        <wps:spPr>
                          <a:xfrm rot="-10799999">
                            <a:off x="2610974" y="218521"/>
                            <a:ext cx="5309022" cy="142889"/>
                          </a:xfrm>
                          <a:prstGeom prst="rect">
                            <a:avLst/>
                          </a:prstGeom>
                          <a:ln>
                            <a:noFill/>
                          </a:ln>
                        </wps:spPr>
                        <wps:txbx>
                          <w:txbxContent>
                            <w:p w14:paraId="61A2057F"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1052" name="Rectangle 201052"/>
                        <wps:cNvSpPr/>
                        <wps:spPr>
                          <a:xfrm rot="-10799999">
                            <a:off x="-1380369" y="218521"/>
                            <a:ext cx="5309021" cy="142889"/>
                          </a:xfrm>
                          <a:prstGeom prst="rect">
                            <a:avLst/>
                          </a:prstGeom>
                          <a:ln>
                            <a:noFill/>
                          </a:ln>
                        </wps:spPr>
                        <wps:txbx>
                          <w:txbxContent>
                            <w:p w14:paraId="327E4DB5" w14:textId="77777777" w:rsidR="00B32EF2" w:rsidRDefault="00000000">
                              <w:r>
                                <w:rPr>
                                  <w:rFonts w:ascii="Arial" w:eastAsia="Arial" w:hAnsi="Arial" w:cs="Arial"/>
                                  <w:sz w:val="18"/>
                                </w:rPr>
                                <w:t xml:space="preserve">. La regione nei cui confronti è proposto il ricorso può stare in giudizio anche </w:t>
                              </w:r>
                            </w:p>
                          </w:txbxContent>
                        </wps:txbx>
                        <wps:bodyPr horzOverflow="overflow" vert="horz" lIns="0" tIns="0" rIns="0" bIns="0" rtlCol="0">
                          <a:noAutofit/>
                        </wps:bodyPr>
                      </wps:wsp>
                      <wps:wsp>
                        <wps:cNvPr id="20082" name="Rectangle 20082"/>
                        <wps:cNvSpPr/>
                        <wps:spPr>
                          <a:xfrm rot="-10799999">
                            <a:off x="-1218786" y="91533"/>
                            <a:ext cx="5210588" cy="142889"/>
                          </a:xfrm>
                          <a:prstGeom prst="rect">
                            <a:avLst/>
                          </a:prstGeom>
                          <a:ln>
                            <a:noFill/>
                          </a:ln>
                        </wps:spPr>
                        <wps:txbx>
                          <w:txbxContent>
                            <w:p w14:paraId="3EB6A1FC" w14:textId="77777777" w:rsidR="00B32EF2" w:rsidRDefault="00000000">
                              <w:r>
                                <w:rPr>
                                  <w:rFonts w:ascii="Arial" w:eastAsia="Arial" w:hAnsi="Arial" w:cs="Arial"/>
                                  <w:sz w:val="18"/>
                                </w:rPr>
                                <w:t>mediante i dirigenti degli uffici finanziari e tributari, nonché mediante i funzio</w:t>
                              </w:r>
                            </w:p>
                          </w:txbxContent>
                        </wps:txbx>
                        <wps:bodyPr horzOverflow="overflow" vert="horz" lIns="0" tIns="0" rIns="0" bIns="0" rtlCol="0">
                          <a:noAutofit/>
                        </wps:bodyPr>
                      </wps:wsp>
                      <wps:wsp>
                        <wps:cNvPr id="20083" name="Rectangle 20083"/>
                        <wps:cNvSpPr/>
                        <wps:spPr>
                          <a:xfrm rot="-10799999">
                            <a:off x="19203" y="91533"/>
                            <a:ext cx="50622" cy="142889"/>
                          </a:xfrm>
                          <a:prstGeom prst="rect">
                            <a:avLst/>
                          </a:prstGeom>
                          <a:ln>
                            <a:noFill/>
                          </a:ln>
                        </wps:spPr>
                        <wps:txbx>
                          <w:txbxContent>
                            <w:p w14:paraId="3269E9F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084" name="Rectangle 20084"/>
                        <wps:cNvSpPr/>
                        <wps:spPr>
                          <a:xfrm rot="-10799999">
                            <a:off x="492461" y="-35453"/>
                            <a:ext cx="3499341" cy="142889"/>
                          </a:xfrm>
                          <a:prstGeom prst="rect">
                            <a:avLst/>
                          </a:prstGeom>
                          <a:ln>
                            <a:noFill/>
                          </a:ln>
                        </wps:spPr>
                        <wps:txbx>
                          <w:txbxContent>
                            <w:p w14:paraId="22ADDFF1" w14:textId="77777777" w:rsidR="00B32EF2" w:rsidRDefault="00000000">
                              <w:r>
                                <w:rPr>
                                  <w:rFonts w:ascii="Arial" w:eastAsia="Arial" w:hAnsi="Arial" w:cs="Arial"/>
                                  <w:sz w:val="18"/>
                                </w:rPr>
                                <w:t>nari individuati dall’ente con proprio provvedimento.</w:t>
                              </w:r>
                            </w:p>
                          </w:txbxContent>
                        </wps:txbx>
                        <wps:bodyPr horzOverflow="overflow" vert="horz" lIns="0" tIns="0" rIns="0" bIns="0" rtlCol="0">
                          <a:noAutofit/>
                        </wps:bodyPr>
                      </wps:wsp>
                      <wps:wsp>
                        <wps:cNvPr id="208032" name="Shape 208032"/>
                        <wps:cNvSpPr/>
                        <wps:spPr>
                          <a:xfrm>
                            <a:off x="31671" y="2834813"/>
                            <a:ext cx="3960000" cy="509295"/>
                          </a:xfrm>
                          <a:custGeom>
                            <a:avLst/>
                            <a:gdLst/>
                            <a:ahLst/>
                            <a:cxnLst/>
                            <a:rect l="0" t="0" r="0" b="0"/>
                            <a:pathLst>
                              <a:path w="3960000" h="509295">
                                <a:moveTo>
                                  <a:pt x="0" y="0"/>
                                </a:moveTo>
                                <a:lnTo>
                                  <a:pt x="3960000" y="0"/>
                                </a:lnTo>
                                <a:lnTo>
                                  <a:pt x="3960000" y="509295"/>
                                </a:lnTo>
                                <a:lnTo>
                                  <a:pt x="0" y="509295"/>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20086" name="Rectangle 20086"/>
                        <wps:cNvSpPr/>
                        <wps:spPr>
                          <a:xfrm rot="-10799999">
                            <a:off x="2328655" y="3122877"/>
                            <a:ext cx="1585695" cy="142889"/>
                          </a:xfrm>
                          <a:prstGeom prst="rect">
                            <a:avLst/>
                          </a:prstGeom>
                          <a:ln>
                            <a:noFill/>
                          </a:ln>
                        </wps:spPr>
                        <wps:txbx>
                          <w:txbxContent>
                            <w:p w14:paraId="365E068A"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20087" name="Rectangle 20087"/>
                        <wps:cNvSpPr/>
                        <wps:spPr>
                          <a:xfrm rot="-10799999">
                            <a:off x="-1117139" y="2999548"/>
                            <a:ext cx="5030461" cy="142889"/>
                          </a:xfrm>
                          <a:prstGeom prst="rect">
                            <a:avLst/>
                          </a:prstGeom>
                          <a:ln>
                            <a:noFill/>
                          </a:ln>
                        </wps:spPr>
                        <wps:txbx>
                          <w:txbxContent>
                            <w:p w14:paraId="04AAE322" w14:textId="77777777" w:rsidR="00B32EF2" w:rsidRDefault="00000000">
                              <w:r>
                                <w:rPr>
                                  <w:rFonts w:ascii="Arial" w:eastAsia="Arial" w:hAnsi="Arial" w:cs="Arial"/>
                                  <w:i/>
                                  <w:sz w:val="18"/>
                                </w:rPr>
                                <w:t>art. 53 D.lgs. 446/1997 “Albo per l’accertamento e riscossione delle entra-</w:t>
                              </w:r>
                            </w:p>
                          </w:txbxContent>
                        </wps:txbx>
                        <wps:bodyPr horzOverflow="overflow" vert="horz" lIns="0" tIns="0" rIns="0" bIns="0" rtlCol="0">
                          <a:noAutofit/>
                        </wps:bodyPr>
                      </wps:wsp>
                      <wps:wsp>
                        <wps:cNvPr id="20088" name="Rectangle 20088"/>
                        <wps:cNvSpPr/>
                        <wps:spPr>
                          <a:xfrm rot="-10799999">
                            <a:off x="2677953" y="2876218"/>
                            <a:ext cx="1235367" cy="142889"/>
                          </a:xfrm>
                          <a:prstGeom prst="rect">
                            <a:avLst/>
                          </a:prstGeom>
                          <a:ln>
                            <a:noFill/>
                          </a:ln>
                        </wps:spPr>
                        <wps:txbx>
                          <w:txbxContent>
                            <w:p w14:paraId="45775177" w14:textId="77777777" w:rsidR="00B32EF2" w:rsidRDefault="00000000">
                              <w:r>
                                <w:rPr>
                                  <w:rFonts w:ascii="Arial" w:eastAsia="Arial" w:hAnsi="Arial" w:cs="Arial"/>
                                  <w:i/>
                                  <w:sz w:val="18"/>
                                </w:rPr>
                                <w:t>te degli enti locali”</w:t>
                              </w:r>
                            </w:p>
                          </w:txbxContent>
                        </wps:txbx>
                        <wps:bodyPr horzOverflow="overflow" vert="horz" lIns="0" tIns="0" rIns="0" bIns="0" rtlCol="0">
                          <a:noAutofit/>
                        </wps:bodyPr>
                      </wps:wsp>
                      <wps:wsp>
                        <wps:cNvPr id="20089" name="Shape 20089"/>
                        <wps:cNvSpPr/>
                        <wps:spPr>
                          <a:xfrm>
                            <a:off x="31670" y="2834817"/>
                            <a:ext cx="3960000" cy="509295"/>
                          </a:xfrm>
                          <a:custGeom>
                            <a:avLst/>
                            <a:gdLst/>
                            <a:ahLst/>
                            <a:cxnLst/>
                            <a:rect l="0" t="0" r="0" b="0"/>
                            <a:pathLst>
                              <a:path w="3960000" h="509295">
                                <a:moveTo>
                                  <a:pt x="0" y="509295"/>
                                </a:moveTo>
                                <a:lnTo>
                                  <a:pt x="3960000" y="509295"/>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A935C49" id="Group 201154" o:spid="_x0000_s4905" style="width:314.3pt;height:443.8pt;mso-position-horizontal-relative:char;mso-position-vertical-relative:line" coordsize="39918,56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VVPwAoAABJ1AAAOAAAAZHJzL2Uyb0RvYy54bWzkXduO2zgSfV9g/8Hwe8e86WakM1hkdoIF&#10;FjuDuXyA2i23DciSISnpzn79niIlyrI5SVYahA0wAbrd1MUUj6rqVLHIevvDy6lcfSqa9lhX92v+&#10;hq1XRbWrH4/V0/36j99/ukvXq7bLq8e8rKvifv25aNc/vPv7394+n7eFqA91+Vg0K9ykarfP5/v1&#10;oevO282m3R2KU96+qc9FhYP7ujnlHf5snjaPTf6Mu5/KjWAs3jzXzeO5qXdF26L1R3Nw/U7ff78v&#10;dt3P+31bdKvyfo2+dfpno38+0M/Nu7f59qnJz4fjru9GPqMXp/xY4UvtrX7Mu3z1sTne3Op03DV1&#10;W++7N7v6tKn3++Ou0M+Ap+Hs6mk+NPXHs36Wp+3z09kOE4b2apxm33b3n08fmvNv518ajMTz+Qlj&#10;of+iZ3nZNyf6jV6uXvSQfbZDVrx0qx0aZZbxlIn1aodjUSxjFSdmUHcHjPzNdbvDP79y5Wb44s2k&#10;O89nvCDtOAbtsjH47ZCfCz207RZj8EuzOj7er/FGKb5eVfkJr+qveHny6qksVqZZD5A+2w5Xu20x&#10;csNYrZoa79cdZ0lG//T70I8dj6OIZ9F6RaOkMhklqRmlYRyjhEURZIWGkSuRphkdt2ORb89N230o&#10;6tOKPtyvG3ROf0H+6d9tZ04dTqH+lBX9rOqfjmVpjlILhnToMn3qXh5e9HPLhMX0fdT4UD9+xnAc&#10;6ua/P0Ow92X9fL+u+09rknV8PR1dr8p/VYCBxGr40AwfHoYPTVe+r7XwmQ7942NX74+6x+O39T0D&#10;vqYP3wVovLQuoMUwEHgt/n+g77gQLGV4iQhpoeKMayTzrUWaR0pynOANai2g4+AHALV0Qy0XQc2j&#10;JEk43iJCmgsZGZkdkY6zhGeQDm9Aax0TFNDKDbRaCDSLIbMaaJUmcSZ73jCIdAqVH+O4N6C1igkI&#10;aM7i2IW0bu/t2Cz1nTIAnRmkk0jG7AppIZVUqUeZ5rpDYUEN2nRrqAF1tEiq7zLBFcdrBPWtgHUE&#10;xoZXZ1Tf/rHmwwMGwsmAqVOB6/YlYi1EIgWJbY/1K5RrSzsDwZoppwan5iVI8xiuFvlwhHQsmUiu&#10;NHgM7yzCW+bLVnNLOgMBGsLrpN+6fQnUd1wmsRK9tY4YJFwL0ajBI8kyJmE+vIFtiWc4YDvdaoBt&#10;FdwsYiZizrLEOFvqz7FOPGJt6UggWDOFeNUtMaPmZWKNCIpEFFGrcIi4yLRJuBBrwQWHXvcn1tZG&#10;BQM1tKwLaut4zhJqngkGU0ym2okzlAYk3pvyDi5OFkGmHCijeZlAS56IrAdaIPrNroPfZKczn7rb&#10;qqxQBDpyT3Og+a+DGqFwKfQNL3S3d6itygoGaicjY9EyQgb2DakmCgD1jVnASErt2VxBTe+ZLwUu&#10;rN4KBmqnp8Ui63POMtMGaprkJajTOJWqn+MdAuDa0WIeHS2jZgIKiyJO7bbV1uNcADUkWUOdKI6w&#10;KFmEK6n26VODEvYmKhipdgbAkS8wDMRMqIXgjISWpDrmoODXChx+Vgqu5k+BW70VDNTuoGhkHc5Z&#10;UI9+lsH5Okzm188SVmUFgzJcHZefZR3OWSgbMz3obkxUy1RriNeku63KCgZqd4wMqV6L/CzFOKa0&#10;jOrGLLXMrjxqTGJL5CR4VN1WYwWDtDtEZvgTMdNZQs0jpDr0GQkInSCl6EqmU5YpJAX4s9FWaQUC&#10;NGeA1KG+dfsSoRaIe6veoRYgY0ilnVJvDpmWsU8+ZrVWMFjHzjgZprOWBco45i9kz71fKdahxcmA&#10;qTP8rduXyPWdUFE2qPBXKdcmnzGk6IlbrJdKdZxmOtkBDrUQmKRGdhlenJF/C9hqRilnviKi0mqt&#10;YBQ4Laq49bVgrK0tm8XLkOefZJaYIftbIhFlAnaE6Any/z2CHVqgDKA6HWvdvkSDi1iqLDUZCUD1&#10;NWIdXKTMnVRG6ncJ0hQpM261G2e/kTIZXKTMnQ9MacJLUJ5MaPEMehwZo1PlTdPUPie0MMPSP2Eg&#10;lprS+R2GenGW/+U0NU+xdgcTZ7dQ+5ymlsGFytyLd2hNz3Kp7uPfPFGCkghvocZw++PfoQXLGOVx&#10;3tJval4CtUizOBXGUCPjP5JY2zFBGsnCKsMaa39IW/ciEP0Nku1U4Lp9EdYxVDY35JurNMXMxhRr&#10;OFoM6289Yh1eqAwT0g6xBg5LVbhIpUheM9gquKSy2DndwdC8RKxHT8st1H49LeMPhBQRpfUUDkNt&#10;ls/Nnr40nhaHIUZMlFP2CZyqiaXWqYPI1PRmqVVoYTKWOOe0qHmJQE/STxAkUwqw30Ltk35jD4f+&#10;CQMhZYxWzLmk2r7zc4PfAgmosAsk1dj8AhvaXEFN4TNkmPuTahshCgZquEMuqO07PwvqCzPtxNmz&#10;mQ4uSpa4077R/BfobrNEK0uRhuIKknlV3daxCEaene40M/lfswkZcohS3u96kkZSYcZsYqOh15Fi&#10;5DFEZpaWBMS84TQ7NbduXyLUetZSmfz+RMTqeicMmqDGAg+PNjrAGJlTfQPqpfpbpBGH0iZCRlgb&#10;53zMPPGPtY0WBKO/3ZFvBLeWCPXIx5wi7ZeOjQvFgwHZmV3EzO6us41070obcca+ZOqrG9tgm0m8&#10;Vd9vu9hxnXgwSLujoInVa7PcqwnSCuupsUfwhI9538JoXCYeCtK0T5zDkTZTjLNlGtBiQhKRN1ho&#10;0O7oeg8MrpB6hGXM3iIm4yLxQIAG63IGQnX7Ehtt9qoy2lvwFNzLIdM+d7YZ2WY4UDsDoYB6aSQU&#10;qQeSZsgg1n+OtU+xDi5EBrLk1N9LkQa8CUVGgHSGlBNXFkLqMeNknHoPRKhZ6oybUPMS7T16WC6U&#10;PTtY1nkMBmNnwISly+Il4FqKlgBBlO+QXWSozxgtQbZ/RinB/rhYaJExGFGrtXVpFtRc0W1flWRa&#10;X9UXWcF6K5raJkuMLYpSs9PuBaoZtn3Ghu4a1YhlwvhaF07z7qOpsUL3HOqqoKTPo6mwgrbD8Gn3&#10;Ug0fqRLLF6sLnfOOrqOb0scVyqnIoSsHlI4wPaHDJ5RZ+b3WJ3ZXlXPQy/FoWV2eZW+GBx/CAMMZ&#10;w++zvt/lmZMBGE4bfpvTMVS45TefOP1udJieVgcl7Aig8XKMy4oGgxDJUfppX+ampM3p2KEmVHk8&#10;YXIZ+zebPfhxqaOCTdt9LgsasLL6tdijlo2uU0QNbfP08L5sVp9yKj6j/5l6OeX5kPetfcykP1V3&#10;Vd+Hrt+jcI69JdeXTm75XtL//g79yXRdoYtO2SuZuXLX98ZUnkL9Jjz0UH8KT2Yv0t9cV529vkLV&#10;LP0l5Hj2TztOjkA6dEmf71o4hziQyz+2M3SzIiHYKjBFkST9ykmsnEtNoHQUXx6lUUwllHwtnhx3&#10;cgjG+LpD2FgJ91W1/IVaWHccq9/5sCAahbIis2PwCDWWzmIfeI/2FyvB+ycMBmp3IBsOzRKoRZxg&#10;t33QdG2TsZXzdUoYZQnpvZ59CfW4j0MwSNtA9kC0mClc9eXQJlmmC55luIHhWVcpBJZlEKYT9jAU&#10;FLzkAK+HZ026+i1ka3LBQJ2G37eMa8qPiLJcsjgzoNfn7Mq6LcjKfzOb0ozpS4zKUCFzz29kVA76&#10;0zOq4TbgKzekqac+83jYq2BUugIlCm/q8e+LhFJlz8u/NQMbS5m++x8AAAD//wMAUEsDBBQABgAI&#10;AAAAIQAk38Mg3QAAAAUBAAAPAAAAZHJzL2Rvd25yZXYueG1sTI9BS8NAEIXvBf/DMoK3dpNKY4jZ&#10;lFK0pyLYCuJtmp0modnZkN0m6b939aKXgcd7vPdNvp5MKwbqXWNZQbyIQBCXVjdcKfg4vs5TEM4j&#10;a2wtk4IbOVgXd7McM21Hfqfh4CsRSthlqKD2vsukdGVNBt3CdsTBO9veoA+yr6TucQzlppXLKEqk&#10;wYbDQo0dbWsqL4erUbAbcdw8xi/D/nLe3r6Oq7fPfUxKPdxPm2cQnib/F4Yf/IAORWA62StrJ1oF&#10;4RH/e4OXLNMExElBmj4lIItc/qcvvgEAAP//AwBQSwECLQAUAAYACAAAACEAtoM4kv4AAADhAQAA&#10;EwAAAAAAAAAAAAAAAAAAAAAAW0NvbnRlbnRfVHlwZXNdLnhtbFBLAQItABQABgAIAAAAIQA4/SH/&#10;1gAAAJQBAAALAAAAAAAAAAAAAAAAAC8BAABfcmVscy8ucmVsc1BLAQItABQABgAIAAAAIQBnAVVP&#10;wAoAABJ1AAAOAAAAAAAAAAAAAAAAAC4CAABkcnMvZTJvRG9jLnhtbFBLAQItABQABgAIAAAAIQAk&#10;38Mg3QAAAAUBAAAPAAAAAAAAAAAAAAAAABoNAABkcnMvZG93bnJldi54bWxQSwUGAAAAAAQABADz&#10;AAAAJA4AAAAA&#10;">
                <v:rect id="Rectangle 20041" o:spid="_x0000_s4906" style="position:absolute;left:16551;top:54935;width:57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6uxgAAAN4AAAAPAAAAZHJzL2Rvd25yZXYueG1sRI/NasMw&#10;EITvhb6D2EJvjexQSnCjhOJi4kMvzQ/0uFgb2621EpYcu3n6KBDIcZiZb5jlejKdOFHvW8sK0lkC&#10;griyuuVawX5XvCxA+ICssbNMCv7Jw3r1+LDETNuRv+m0DbWIEPYZKmhCcJmUvmrIoJ9ZRxy9o+0N&#10;hij7Wuoexwg3nZwnyZs02HJcaNBR3lD1tx2Mgp9PdmUxyup4zt3Xb7noNsP+oNTz0/TxDiLQFO7h&#10;W7vUCiLxNYXrnXgF5OoCAAD//wMAUEsBAi0AFAAGAAgAAAAhANvh9svuAAAAhQEAABMAAAAAAAAA&#10;AAAAAAAAAAAAAFtDb250ZW50X1R5cGVzXS54bWxQSwECLQAUAAYACAAAACEAWvQsW78AAAAVAQAA&#10;CwAAAAAAAAAAAAAAAAAfAQAAX3JlbHMvLnJlbHNQSwECLQAUAAYACAAAACEArp0ursYAAADeAAAA&#10;DwAAAAAAAAAAAAAAAAAHAgAAZHJzL2Rvd25yZXYueG1sUEsFBgAAAAADAAMAtwAAAPoCAAAAAA==&#10;" filled="f" stroked="f">
                  <v:textbox inset="0,0,0,0">
                    <w:txbxContent>
                      <w:p w14:paraId="36BD327D" w14:textId="77777777" w:rsidR="00B32EF2" w:rsidRDefault="00000000">
                        <w:r>
                          <w:rPr>
                            <w:rFonts w:ascii="Arial" w:eastAsia="Arial" w:hAnsi="Arial" w:cs="Arial"/>
                            <w:b/>
                            <w:sz w:val="18"/>
                          </w:rPr>
                          <w:t>CAPO II</w:t>
                        </w:r>
                      </w:p>
                    </w:txbxContent>
                  </v:textbox>
                </v:rect>
                <v:rect id="Rectangle 20042" o:spid="_x0000_s4907" style="position:absolute;left:-12208;top:52469;width:515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7DZxAAAAN4AAAAPAAAAZHJzL2Rvd25yZXYueG1sRI9Bi8Iw&#10;FITvC/6H8ARva6qISDWKKGIPXnQVPD6aZ9vd5iU00db99RtB2OMwM98wi1VnavGgxleWFYyGCQji&#10;3OqKCwXnr93nDIQPyBpry6TgSR5Wy97HAlNtWz7S4xQKESHsU1RQhuBSKX1ekkE/tI44ejfbGAxR&#10;NoXUDbYRbmo5TpKpNFhxXCjR0aak/Od0NwquW3bZrpX57XfjDt/ZrN7fzxelBv1uPQcRqAv/4Xc7&#10;0woicTKG1514BeTyDwAA//8DAFBLAQItABQABgAIAAAAIQDb4fbL7gAAAIUBAAATAAAAAAAAAAAA&#10;AAAAAAAAAABbQ29udGVudF9UeXBlc10ueG1sUEsBAi0AFAAGAAgAAAAhAFr0LFu/AAAAFQEAAAsA&#10;AAAAAAAAAAAAAAAAHwEAAF9yZWxzLy5yZWxzUEsBAi0AFAAGAAgAAAAhAF5PsNnEAAAA3gAAAA8A&#10;AAAAAAAAAAAAAAAABwIAAGRycy9kb3ducmV2LnhtbFBLBQYAAAAAAwADALcAAAD4AgAAAAA=&#10;" filled="f" stroked="f">
                  <v:textbox inset="0,0,0,0">
                    <w:txbxContent>
                      <w:p w14:paraId="1B0178FD" w14:textId="77777777" w:rsidR="00B32EF2" w:rsidRDefault="00000000">
                        <w:r>
                          <w:rPr>
                            <w:rFonts w:ascii="Arial" w:eastAsia="Arial" w:hAnsi="Arial" w:cs="Arial"/>
                            <w:b/>
                            <w:sz w:val="18"/>
                          </w:rPr>
                          <w:t xml:space="preserve"> DELLE PARTI E DELLA LORO RAPPRESENTANZA E ASSISTENZA IN </w:t>
                        </w:r>
                      </w:p>
                    </w:txbxContent>
                  </v:textbox>
                </v:rect>
                <v:rect id="Rectangle 20043" o:spid="_x0000_s4908" style="position:absolute;left:15777;top:51235;width:69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xVCxgAAAN4AAAAPAAAAZHJzL2Rvd25yZXYueG1sRI9Pi8Iw&#10;FMTvgt8hPMGbprqySNcoosj24GX9A3t8NM+2u81LaKKtfnqzsOBxmJnfMItVZ2pxo8ZXlhVMxgkI&#10;4tzqigsFp+NuNAfhA7LG2jIpuJOH1bLfW2CqbctfdDuEQkQI+xQVlCG4VEqfl2TQj60jjt7FNgZD&#10;lE0hdYNthJtaTpPkXRqsOC6U6GhTUv57uBoF31t22a6V+eWxcfufbF5/Xk9npYaDbv0BIlAXXuH/&#10;dqYVROLsDf7uxCsgl08AAAD//wMAUEsBAi0AFAAGAAgAAAAhANvh9svuAAAAhQEAABMAAAAAAAAA&#10;AAAAAAAAAAAAAFtDb250ZW50X1R5cGVzXS54bWxQSwECLQAUAAYACAAAACEAWvQsW78AAAAVAQAA&#10;CwAAAAAAAAAAAAAAAAAfAQAAX3JlbHMvLnJlbHNQSwECLQAUAAYACAAAACEAMQMVQsYAAADeAAAA&#10;DwAAAAAAAAAAAAAAAAAHAgAAZHJzL2Rvd25yZXYueG1sUEsFBgAAAAADAAMAtwAAAPoCAAAAAA==&#10;" filled="f" stroked="f">
                  <v:textbox inset="0,0,0,0">
                    <w:txbxContent>
                      <w:p w14:paraId="509D535F" w14:textId="77777777" w:rsidR="00B32EF2" w:rsidRDefault="00000000">
                        <w:r>
                          <w:rPr>
                            <w:rFonts w:ascii="Arial" w:eastAsia="Arial" w:hAnsi="Arial" w:cs="Arial"/>
                            <w:b/>
                            <w:sz w:val="18"/>
                          </w:rPr>
                          <w:t>GIUDIZIO</w:t>
                        </w:r>
                      </w:p>
                    </w:txbxContent>
                  </v:textbox>
                </v:rect>
                <v:rect id="Rectangle 20044" o:spid="_x0000_s4909" style="position:absolute;left:15065;top:48769;width:81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02xgAAAN4AAAAPAAAAZHJzL2Rvd25yZXYueG1sRI9Ba8JA&#10;FITvhf6H5RW81U2LFEldpaQEc+ilUaHHR/aZRLNvl+yapP56t1DwOMzMN8xqM5lODNT71rKCl3kC&#10;griyuuVawX6XPy9B+ICssbNMCn7Jw2b9+LDCVNuRv2koQy0ihH2KCpoQXCqlrxoy6OfWEUfvaHuD&#10;Icq+lrrHMcJNJ1+T5E0abDkuNOgoa6g6lxej4OeTXZGPsjpeM/d1Kpbd9rI/KDV7mj7eQQSawj38&#10;3y60gkhcLODvTrwCcn0DAAD//wMAUEsBAi0AFAAGAAgAAAAhANvh9svuAAAAhQEAABMAAAAAAAAA&#10;AAAAAAAAAAAAAFtDb250ZW50X1R5cGVzXS54bWxQSwECLQAUAAYACAAAACEAWvQsW78AAAAVAQAA&#10;CwAAAAAAAAAAAAAAAAAfAQAAX3JlbHMvLnJlbHNQSwECLQAUAAYACAAAACEAvuqNNsYAAADeAAAA&#10;DwAAAAAAAAAAAAAAAAAHAgAAZHJzL2Rvd25yZXYueG1sUEsFBgAAAAADAAMAtwAAAPoCAAAAAA==&#10;" filled="f" stroked="f">
                  <v:textbox inset="0,0,0,0">
                    <w:txbxContent>
                      <w:p w14:paraId="57759DB4" w14:textId="77777777" w:rsidR="00B32EF2" w:rsidRDefault="00000000">
                        <w:r>
                          <w:rPr>
                            <w:rFonts w:ascii="Arial" w:eastAsia="Arial" w:hAnsi="Arial" w:cs="Arial"/>
                            <w:b/>
                            <w:sz w:val="18"/>
                          </w:rPr>
                          <w:t>Articolo 55</w:t>
                        </w:r>
                      </w:p>
                    </w:txbxContent>
                  </v:textbox>
                </v:rect>
                <v:rect id="Rectangle 201066" o:spid="_x0000_s4910" style="position:absolute;left:8054;top:47536;width:2343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KBxwAAAN8AAAAPAAAAZHJzL2Rvd25yZXYueG1sRI9PawIx&#10;FMTvhX6H8AreaqKHRbZGEYt0D17qH/D42Dx3t25ewia62376RhA8DjPzG2a+HGwrbtSFxrGGyViB&#10;IC6dabjScNhv3mcgQkQ22DomDb8UYLl4fZljblzP33TbxUokCIccNdQx+lzKUNZkMYydJ07e2XUW&#10;Y5JdJU2HfYLbVk6VyqTFhtNCjZ7WNZWX3dVqOH2yLza9LM9/a7/9KWbt1/Vw1Hr0Nqw+QEQa4jP8&#10;aBdGw1RNVJbB/U/6AnLxDwAA//8DAFBLAQItABQABgAIAAAAIQDb4fbL7gAAAIUBAAATAAAAAAAA&#10;AAAAAAAAAAAAAABbQ29udGVudF9UeXBlc10ueG1sUEsBAi0AFAAGAAgAAAAhAFr0LFu/AAAAFQEA&#10;AAsAAAAAAAAAAAAAAAAAHwEAAF9yZWxzLy5yZWxzUEsBAi0AFAAGAAgAAAAhAIrP4oHHAAAA3wAA&#10;AA8AAAAAAAAAAAAAAAAABwIAAGRycy9kb3ducmV2LnhtbFBLBQYAAAAAAwADALcAAAD7AgAAAAA=&#10;" filled="f" stroked="f">
                  <v:textbox inset="0,0,0,0">
                    <w:txbxContent>
                      <w:p w14:paraId="0693646D" w14:textId="77777777" w:rsidR="00B32EF2" w:rsidRDefault="00000000">
                        <w:r>
                          <w:rPr>
                            <w:rFonts w:ascii="Arial" w:eastAsia="Arial" w:hAnsi="Arial" w:cs="Arial"/>
                            <w:i/>
                            <w:sz w:val="18"/>
                          </w:rPr>
                          <w:t xml:space="preserve">articolo 10 D.lgs. n. 546 del </w:t>
                        </w:r>
                      </w:p>
                    </w:txbxContent>
                  </v:textbox>
                </v:rect>
                <v:rect id="Rectangle 201065" o:spid="_x0000_s4911" style="position:absolute;left:-9214;top:47535;width:234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Xz2xwAAAN8AAAAPAAAAZHJzL2Rvd25yZXYueG1sRI9PawIx&#10;FMTvhX6H8Aq91UShIlujFIt0D178Bz0+Ns/d1c1L2ER366c3guBxmJnfMNN5bxtxoTbUjjUMBwoE&#10;ceFMzaWG3Xb5MQERIrLBxjFp+KcA89nryxQz4zpe02UTS5EgHDLUUMXoMylDUZHFMHCeOHkH11qM&#10;SbalNC12CW4bOVJqLC3WnBYq9LSoqDhtzlbD3w/7fNnJ4nBd+NUxnzS/591e6/e3/vsLRKQ+PsOP&#10;dm40jNRQjT/h/id9ATm7AQAA//8DAFBLAQItABQABgAIAAAAIQDb4fbL7gAAAIUBAAATAAAAAAAA&#10;AAAAAAAAAAAAAABbQ29udGVudF9UeXBlc10ueG1sUEsBAi0AFAAGAAgAAAAhAFr0LFu/AAAAFQEA&#10;AAsAAAAAAAAAAAAAAAAAHwEAAF9yZWxzLy5yZWxzUEsBAi0AFAAGAAgAAAAhAHodfPbHAAAA3wAA&#10;AA8AAAAAAAAAAAAAAAAABwIAAGRycy9kb3ducmV2LnhtbFBLBQYAAAAAAwADALcAAAD7AgAAAAA=&#10;" filled="f" stroked="f">
                  <v:textbox inset="0,0,0,0">
                    <w:txbxContent>
                      <w:p w14:paraId="5B400AE8" w14:textId="77777777" w:rsidR="00B32EF2" w:rsidRDefault="00000000">
                        <w:r>
                          <w:rPr>
                            <w:rFonts w:ascii="Arial" w:eastAsia="Arial" w:hAnsi="Arial" w:cs="Arial"/>
                            <w:i/>
                            <w:sz w:val="18"/>
                          </w:rPr>
                          <w:t>1992)</w:t>
                        </w:r>
                      </w:p>
                    </w:txbxContent>
                  </v:textbox>
                </v:rect>
                <v:rect id="Rectangle 201064" o:spid="_x0000_s4912" style="position:absolute;left:22732;top:47536;width:2343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dltxwAAAN8AAAAPAAAAZHJzL2Rvd25yZXYueG1sRI9PawIx&#10;FMTvhX6H8Aq91UQpIlujFIt0D178Bz0+Ns/d1c1L2ER366c3guBxmJnfMNN5bxtxoTbUjjUMBwoE&#10;ceFMzaWG3Xb5MQERIrLBxjFp+KcA89nryxQz4zpe02UTS5EgHDLUUMXoMylDUZHFMHCeOHkH11qM&#10;SbalNC12CW4bOVJqLC3WnBYq9LSoqDhtzlbD3w/7fNnJ4nBd+NUxnzS/591e6/e3/vsLRKQ+PsOP&#10;dm40jNRQjT/h/id9ATm7AQAA//8DAFBLAQItABQABgAIAAAAIQDb4fbL7gAAAIUBAAATAAAAAAAA&#10;AAAAAAAAAAAAAABbQ29udGVudF9UeXBlc10ueG1sUEsBAi0AFAAGAAgAAAAhAFr0LFu/AAAAFQEA&#10;AAsAAAAAAAAAAAAAAAAAHwEAAF9yZWxzLy5yZWxzUEsBAi0AFAAGAAgAAAAhABVR2W3HAAAA3wAA&#10;AA8AAAAAAAAAAAAAAAAABwIAAGRycy9kb3ducmV2LnhtbFBLBQYAAAAAAwADALcAAAD7AgAAAAA=&#10;" filled="f" stroked="f">
                  <v:textbox inset="0,0,0,0">
                    <w:txbxContent>
                      <w:p w14:paraId="7407E28E" w14:textId="77777777" w:rsidR="00B32EF2" w:rsidRDefault="00000000">
                        <w:r>
                          <w:rPr>
                            <w:rFonts w:ascii="Arial" w:eastAsia="Arial" w:hAnsi="Arial" w:cs="Arial"/>
                            <w:i/>
                            <w:sz w:val="18"/>
                          </w:rPr>
                          <w:t>(</w:t>
                        </w:r>
                      </w:p>
                    </w:txbxContent>
                  </v:textbox>
                </v:rect>
                <v:rect id="Rectangle 20046" o:spid="_x0000_s4913" style="position:absolute;left:16165;top:46302;width:60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baxQAAAN4AAAAPAAAAZHJzL2Rvd25yZXYueG1sRI9Pi8Iw&#10;FMTvgt8hPGFvmrosIl2jiItsD178B3t8NM+22ryEJtqun94IgsdhZn7DzBadqcWNGl9ZVjAeJSCI&#10;c6srLhQc9uvhFIQPyBpry6Tgnzws5v3eDFNtW97SbRcKESHsU1RQhuBSKX1ekkE/so44eifbGAxR&#10;NoXUDbYRbmr5mSQTabDiuFCio1VJ+WV3NQr+fthl61bmp/vKbc7ZtP69Ho5KfQy65TeIQF14h1/t&#10;TCuIxK8JPO/EKyDnDwAAAP//AwBQSwECLQAUAAYACAAAACEA2+H2y+4AAACFAQAAEwAAAAAAAAAA&#10;AAAAAAAAAAAAW0NvbnRlbnRfVHlwZXNdLnhtbFBLAQItABQABgAIAAAAIQBa9CxbvwAAABUBAAAL&#10;AAAAAAAAAAAAAAAAAB8BAABfcmVscy8ucmVsc1BLAQItABQABgAIAAAAIQAhdLbaxQAAAN4AAAAP&#10;AAAAAAAAAAAAAAAAAAcCAABkcnMvZG93bnJldi54bWxQSwUGAAAAAAMAAwC3AAAA+QIAAAAA&#10;" filled="f" stroked="f">
                  <v:textbox inset="0,0,0,0">
                    <w:txbxContent>
                      <w:p w14:paraId="1439967B" w14:textId="77777777" w:rsidR="00B32EF2" w:rsidRDefault="00000000">
                        <w:r>
                          <w:rPr>
                            <w:rFonts w:ascii="Arial" w:eastAsia="Arial" w:hAnsi="Arial" w:cs="Arial"/>
                            <w:b/>
                            <w:sz w:val="18"/>
                          </w:rPr>
                          <w:t xml:space="preserve">Le parti </w:t>
                        </w:r>
                      </w:p>
                    </w:txbxContent>
                  </v:textbox>
                </v:rect>
                <v:rect id="Rectangle 201063" o:spid="_x0000_s4914" style="position:absolute;left:-13764;top:4503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EEZxwAAAN8AAAAPAAAAZHJzL2Rvd25yZXYueG1sRI9PawIx&#10;FMTvhX6H8Aq91UQLIlujFIt0D178Bz0+Ns/d1c1L2ER366c3guBxmJnfMNN5bxtxoTbUjjUMBwoE&#10;ceFMzaWG3Xb5MQERIrLBxjFp+KcA89nryxQz4zpe02UTS5EgHDLUUMXoMylDUZHFMHCeOHkH11qM&#10;SbalNC12CW4bOVJqLC3WnBYq9LSoqDhtzlbD3w/7fNnJ4nBd+NUxnzS/591e6/e3/vsLRKQ+PsOP&#10;dm40jNRQjT/h/id9ATm7AQAA//8DAFBLAQItABQABgAIAAAAIQDb4fbL7gAAAIUBAAATAAAAAAAA&#10;AAAAAAAAAAAAAABbQ29udGVudF9UeXBlc10ueG1sUEsBAi0AFAAGAAgAAAAhAFr0LFu/AAAAFQEA&#10;AAsAAAAAAAAAAAAAAAAAHwEAAF9yZWxzLy5yZWxzUEsBAi0AFAAGAAgAAAAhAJq4QRnHAAAA3wAA&#10;AA8AAAAAAAAAAAAAAAAABwIAAGRycy9kb3ducmV2LnhtbFBLBQYAAAAAAwADALcAAAD7AgAAAAA=&#10;" filled="f" stroked="f">
                  <v:textbox inset="0,0,0,0">
                    <w:txbxContent>
                      <w:p w14:paraId="625AA276" w14:textId="77777777" w:rsidR="00B32EF2" w:rsidRDefault="00000000">
                        <w:r>
                          <w:rPr>
                            <w:rFonts w:ascii="Arial" w:eastAsia="Arial" w:hAnsi="Arial" w:cs="Arial"/>
                            <w:sz w:val="18"/>
                          </w:rPr>
                          <w:t xml:space="preserve">. Sono parti nel processo dinanzi alle corti di giustizia tributaria di primo e </w:t>
                        </w:r>
                      </w:p>
                    </w:txbxContent>
                  </v:textbox>
                </v:rect>
                <v:rect id="Rectangle 201062" o:spid="_x0000_s4915" style="position:absolute;left:26109;top:45032;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OSCyAAAAN8AAAAPAAAAZHJzL2Rvd25yZXYueG1sRI/BasMw&#10;EETvgf6D2EJviRQfQnCjmOAS6kMvSVPocbE2thtrJSwldvv1UaHQ4zAzb5hNMdle3GgInWMNy4UC&#10;QVw703Gj4fS+n69BhIhssHdMGr4pQLF9mG0wN27kA92OsREJwiFHDW2MPpcy1C1ZDAvniZN3doPF&#10;mOTQSDPgmOC2l5lSK2mx47TQoqeypfpyvFoNny/sq/0o6/NP6d++qnX/ej19aP30OO2eQUSa4n/4&#10;r10ZDZlaqlUGv3/SF5DbOwAAAP//AwBQSwECLQAUAAYACAAAACEA2+H2y+4AAACFAQAAEwAAAAAA&#10;AAAAAAAAAAAAAAAAW0NvbnRlbnRfVHlwZXNdLnhtbFBLAQItABQABgAIAAAAIQBa9CxbvwAAABUB&#10;AAALAAAAAAAAAAAAAAAAAB8BAABfcmVscy8ucmVsc1BLAQItABQABgAIAAAAIQD19OSCyAAAAN8A&#10;AAAPAAAAAAAAAAAAAAAAAAcCAABkcnMvZG93bnJldi54bWxQSwUGAAAAAAMAAwC3AAAA/AIAAAAA&#10;" filled="f" stroked="f">
                  <v:textbox inset="0,0,0,0">
                    <w:txbxContent>
                      <w:p w14:paraId="0334A023" w14:textId="77777777" w:rsidR="00B32EF2" w:rsidRDefault="00000000">
                        <w:r>
                          <w:rPr>
                            <w:rFonts w:ascii="Arial" w:eastAsia="Arial" w:hAnsi="Arial" w:cs="Arial"/>
                            <w:sz w:val="18"/>
                          </w:rPr>
                          <w:t>1</w:t>
                        </w:r>
                      </w:p>
                    </w:txbxContent>
                  </v:textbox>
                </v:rect>
                <v:rect id="Rectangle 20048" o:spid="_x0000_s4916" style="position:absolute;left:-12203;top:43762;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czxgAAAN4AAAAPAAAAZHJzL2Rvd25yZXYueG1sRI/BasJA&#10;EIbvhb7DMgVvdWMpRaKriEWag5daBY9Ddkyi2dklu5ro03cOhR6Hf/5v5psvB9eqG3Wx8WxgMs5A&#10;EZfeNlwZ2P9sXqegYkK22HomA3eKsFw8P80xt77nb7rtUqUEwjFHA3VKIdc6ljU5jGMfiCU7+c5h&#10;krGrtO2wF7hr9VuWfWiHDcuFGgOtayovu6szcPzkUGx6XZ4e67A9F9P267o/GDN6GVYzUImG9L/8&#10;1y6sASG+y7+iIyqgF78AAAD//wMAUEsBAi0AFAAGAAgAAAAhANvh9svuAAAAhQEAABMAAAAAAAAA&#10;AAAAAAAAAAAAAFtDb250ZW50X1R5cGVzXS54bWxQSwECLQAUAAYACAAAACEAWvQsW78AAAAVAQAA&#10;CwAAAAAAAAAAAAAAAAAfAQAAX3JlbHMvLnJlbHNQSwECLQAUAAYACAAAACEAP6eHM8YAAADeAAAA&#10;DwAAAAAAAAAAAAAAAAAHAgAAZHJzL2Rvd25yZXYueG1sUEsFBgAAAAADAAMAtwAAAPoCAAAAAA==&#10;" filled="f" stroked="f">
                  <v:textbox inset="0,0,0,0">
                    <w:txbxContent>
                      <w:p w14:paraId="58B1B694" w14:textId="77777777" w:rsidR="00B32EF2" w:rsidRDefault="00000000">
                        <w:r>
                          <w:rPr>
                            <w:rFonts w:ascii="Arial" w:eastAsia="Arial" w:hAnsi="Arial" w:cs="Arial"/>
                            <w:sz w:val="18"/>
                          </w:rPr>
                          <w:t>secondo grado oltre al ricorrente, l’ufficio dell’Agenzia delle entrate e dell’A</w:t>
                        </w:r>
                      </w:p>
                    </w:txbxContent>
                  </v:textbox>
                </v:rect>
                <v:rect id="Rectangle 20049" o:spid="_x0000_s4917" style="position:absolute;left:192;top:4376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yKoxgAAAN4AAAAPAAAAZHJzL2Rvd25yZXYueG1sRI9Ba8JA&#10;FITvQv/D8gre6qZFio2uoaSIOfRSTcHjI/tMotm3S3Y1sb++Wyh4HGbmG2aVjaYTV+p9a1nB8ywB&#10;QVxZ3XKtoNxvnhYgfEDW2FkmBTfykK0fJitMtR34i667UIsIYZ+igiYEl0rpq4YM+pl1xNE72t5g&#10;iLKvpe5xiHDTyZckeZUGW44LDTrKG6rOu4tRcPhgV2wGWR1/cvd5Khbd9lJ+KzV9HN+XIAKN4R7+&#10;bxdaQSTO3+DvTrwCcv0LAAD//wMAUEsBAi0AFAAGAAgAAAAhANvh9svuAAAAhQEAABMAAAAAAAAA&#10;AAAAAAAAAAAAAFtDb250ZW50X1R5cGVzXS54bWxQSwECLQAUAAYACAAAACEAWvQsW78AAAAVAQAA&#10;CwAAAAAAAAAAAAAAAAAfAQAAX3JlbHMvLnJlbHNQSwECLQAUAAYACAAAACEAUOsiqMYAAADeAAAA&#10;DwAAAAAAAAAAAAAAAAAHAgAAZHJzL2Rvd25yZXYueG1sUEsFBgAAAAADAAMAtwAAAPoCAAAAAA==&#10;" filled="f" stroked="f">
                  <v:textbox inset="0,0,0,0">
                    <w:txbxContent>
                      <w:p w14:paraId="4BC1D1FD" w14:textId="77777777" w:rsidR="00B32EF2" w:rsidRDefault="00000000">
                        <w:r>
                          <w:rPr>
                            <w:rFonts w:ascii="Arial" w:eastAsia="Arial" w:hAnsi="Arial" w:cs="Arial"/>
                            <w:sz w:val="18"/>
                          </w:rPr>
                          <w:t>-</w:t>
                        </w:r>
                      </w:p>
                    </w:txbxContent>
                  </v:textbox>
                </v:rect>
                <v:rect id="Rectangle 20050" o:spid="_x0000_s4918" style="position:absolute;left:-13172;top:42493;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B3oxQAAAN4AAAAPAAAAZHJzL2Rvd25yZXYueG1sRI9Ba8JA&#10;EIXvhf6HZQre6sZCi0RXEYs0By+1Ch6H7JhEs7NLdjXRX985FHoc3rzv8c2Xg2vVjbrYeDYwGWeg&#10;iEtvG64M7H82r1NQMSFbbD2TgTtFWC6en+aYW9/zN912qVIC4ZijgTqlkGsdy5ocxrEPxJKdfOcw&#10;ydlV2nbYC9y1+i3LPrTDhmWhxkDrmsrL7uoMHD85FJtel6fHOmzPxbT9uu4PxoxehtUMVKIh/T//&#10;tQtrQIjvIiA6ogJ68QsAAP//AwBQSwECLQAUAAYACAAAACEA2+H2y+4AAACFAQAAEwAAAAAAAAAA&#10;AAAAAAAAAAAAW0NvbnRlbnRfVHlwZXNdLnhtbFBLAQItABQABgAIAAAAIQBa9CxbvwAAABUBAAAL&#10;AAAAAAAAAAAAAAAAAB8BAABfcmVscy8ucmVsc1BLAQItABQABgAIAAAAIQBECB3oxQAAAN4AAAAP&#10;AAAAAAAAAAAAAAAAAAcCAABkcnMvZG93bnJldi54bWxQSwUGAAAAAAMAAwC3AAAA+QIAAAAA&#10;" filled="f" stroked="f">
                  <v:textbox inset="0,0,0,0">
                    <w:txbxContent>
                      <w:p w14:paraId="0634B0DE" w14:textId="77777777" w:rsidR="00B32EF2" w:rsidRDefault="00000000">
                        <w:r>
                          <w:rPr>
                            <w:rFonts w:ascii="Arial" w:eastAsia="Arial" w:hAnsi="Arial" w:cs="Arial"/>
                            <w:sz w:val="18"/>
                          </w:rPr>
                          <w:t xml:space="preserve">genzia delle dogane e dei monopoli di cui al decreto legislativo 30 luglio 1999, </w:t>
                        </w:r>
                      </w:p>
                    </w:txbxContent>
                  </v:textbox>
                </v:rect>
                <v:rect id="Rectangle 20051" o:spid="_x0000_s4919" style="position:absolute;left:-13172;top:4122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hzxgAAAN4AAAAPAAAAZHJzL2Rvd25yZXYueG1sRI/NasMw&#10;EITvhb6D2EJvjexAS3CjhOJi4kMvzQ/0uFgb2621EpYcu3n6KBDIcZiZb5jlejKdOFHvW8sK0lkC&#10;griyuuVawX5XvCxA+ICssbNMCv7Jw3r1+LDETNuRv+m0DbWIEPYZKmhCcJmUvmrIoJ9ZRxy9o+0N&#10;hij7Wuoexwg3nZwnyZs02HJcaNBR3lD1tx2Mgp9PdmUxyup4zt3Xb7noNsP+oNTz0/TxDiLQFO7h&#10;W7vUCiLxNYXrnXgF5OoCAAD//wMAUEsBAi0AFAAGAAgAAAAhANvh9svuAAAAhQEAABMAAAAAAAAA&#10;AAAAAAAAAAAAAFtDb250ZW50X1R5cGVzXS54bWxQSwECLQAUAAYACAAAACEAWvQsW78AAAAVAQAA&#10;CwAAAAAAAAAAAAAAAAAfAQAAX3JlbHMvLnJlbHNQSwECLQAUAAYACAAAACEAK0S4c8YAAADeAAAA&#10;DwAAAAAAAAAAAAAAAAAHAgAAZHJzL2Rvd25yZXYueG1sUEsFBgAAAAADAAMAtwAAAPoCAAAAAA==&#10;" filled="f" stroked="f">
                  <v:textbox inset="0,0,0,0">
                    <w:txbxContent>
                      <w:p w14:paraId="61E8D08C" w14:textId="77777777" w:rsidR="00B32EF2" w:rsidRDefault="00000000">
                        <w:r>
                          <w:rPr>
                            <w:rFonts w:ascii="Arial" w:eastAsia="Arial" w:hAnsi="Arial" w:cs="Arial"/>
                            <w:sz w:val="18"/>
                          </w:rPr>
                          <w:t xml:space="preserve">n. 300, gli altri enti impositori, l’agente della riscossione ed i soggetti iscritti </w:t>
                        </w:r>
                      </w:p>
                    </w:txbxContent>
                  </v:textbox>
                </v:rect>
                <v:rect id="Rectangle 20052" o:spid="_x0000_s4920" style="position:absolute;left:-13172;top:3995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iYExAAAAN4AAAAPAAAAZHJzL2Rvd25yZXYueG1sRI9Bi8Iw&#10;FITvC/6H8ARva6qgSDWKKGIPXnQVPD6aZ9vd5iU00db99RtB2OMwM98wi1VnavGgxleWFYyGCQji&#10;3OqKCwXnr93nDIQPyBpry6TgSR5Wy97HAlNtWz7S4xQKESHsU1RQhuBSKX1ekkE/tI44ejfbGAxR&#10;NoXUDbYRbmo5TpKpNFhxXCjR0aak/Od0NwquW3bZrpX57XfjDt/ZrN7fzxelBv1uPQcRqAv/4Xc7&#10;0woicTKG1514BeTyDwAA//8DAFBLAQItABQABgAIAAAAIQDb4fbL7gAAAIUBAAATAAAAAAAAAAAA&#10;AAAAAAAAAABbQ29udGVudF9UeXBlc10ueG1sUEsBAi0AFAAGAAgAAAAhAFr0LFu/AAAAFQEAAAsA&#10;AAAAAAAAAAAAAAAAHwEAAF9yZWxzLy5yZWxzUEsBAi0AFAAGAAgAAAAhANuWJgTEAAAA3gAAAA8A&#10;AAAAAAAAAAAAAAAABwIAAGRycy9kb3ducmV2LnhtbFBLBQYAAAAAAwADALcAAAD4AgAAAAA=&#10;" filled="f" stroked="f">
                  <v:textbox inset="0,0,0,0">
                    <w:txbxContent>
                      <w:p w14:paraId="6F308295" w14:textId="77777777" w:rsidR="00B32EF2" w:rsidRDefault="00000000">
                        <w:r>
                          <w:rPr>
                            <w:rFonts w:ascii="Arial" w:eastAsia="Arial" w:hAnsi="Arial" w:cs="Arial"/>
                            <w:sz w:val="18"/>
                          </w:rPr>
                          <w:t xml:space="preserve">nell’albo di cui all’articolo 53 del decreto legislativo 15 dicembre 1997, n. 446, </w:t>
                        </w:r>
                      </w:p>
                    </w:txbxContent>
                  </v:textbox>
                </v:rect>
                <v:rect id="Rectangle 20053" o:spid="_x0000_s4921" style="position:absolute;left:-13172;top:3868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oOfxgAAAN4AAAAPAAAAZHJzL2Rvd25yZXYueG1sRI9Pi8Iw&#10;FMTvgt8hPMGbprq4SNcoosj24GX9A3t8NM+2u81LaKKtfnqzsOBxmJnfMItVZ2pxo8ZXlhVMxgkI&#10;4tzqigsFp+NuNAfhA7LG2jIpuJOH1bLfW2CqbctfdDuEQkQI+xQVlCG4VEqfl2TQj60jjt7FNgZD&#10;lE0hdYNthJtaTpPkXRqsOC6U6GhTUv57uBoF31t22a6V+eWxcfufbF5/Xk9npYaDbv0BIlAXXuH/&#10;dqYVROLsDf7uxCsgl08AAAD//wMAUEsBAi0AFAAGAAgAAAAhANvh9svuAAAAhQEAABMAAAAAAAAA&#10;AAAAAAAAAAAAAFtDb250ZW50X1R5cGVzXS54bWxQSwECLQAUAAYACAAAACEAWvQsW78AAAAVAQAA&#10;CwAAAAAAAAAAAAAAAAAfAQAAX3JlbHMvLnJlbHNQSwECLQAUAAYACAAAACEAtNqDn8YAAADeAAAA&#10;DwAAAAAAAAAAAAAAAAAHAgAAZHJzL2Rvd25yZXYueG1sUEsFBgAAAAADAAMAtwAAAPoCAAAAAA==&#10;" filled="f" stroked="f">
                  <v:textbox inset="0,0,0,0">
                    <w:txbxContent>
                      <w:p w14:paraId="4E469DC5" w14:textId="77777777" w:rsidR="00B32EF2" w:rsidRDefault="00000000">
                        <w:r>
                          <w:rPr>
                            <w:rFonts w:ascii="Arial" w:eastAsia="Arial" w:hAnsi="Arial" w:cs="Arial"/>
                            <w:sz w:val="18"/>
                          </w:rPr>
                          <w:t xml:space="preserve">che hanno emesso l’atto impugnato o non hanno emesso l’atto richiesto. Se </w:t>
                        </w:r>
                      </w:p>
                    </w:txbxContent>
                  </v:textbox>
                </v:rect>
                <v:rect id="Rectangle 20054" o:spid="_x0000_s4922" style="position:absolute;left:-13172;top:3741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xvrxgAAAN4AAAAPAAAAZHJzL2Rvd25yZXYueG1sRI9Pi8Iw&#10;FMTvgt8hPMGbpsq6SNcoosj24GX9A3t8NM+2u81LaKKtfnqzsOBxmJnfMItVZ2pxo8ZXlhVMxgkI&#10;4tzqigsFp+NuNAfhA7LG2jIpuJOH1bLfW2CqbctfdDuEQkQI+xQVlCG4VEqfl2TQj60jjt7FNgZD&#10;lE0hdYNthJtaTpPkXRqsOC6U6GhTUv57uBoF31t22a6V+eWxcfufbF5/Xk9npYaDbv0BIlAXXuH/&#10;dqYVROLsDf7uxCsgl08AAAD//wMAUEsBAi0AFAAGAAgAAAAhANvh9svuAAAAhQEAABMAAAAAAAAA&#10;AAAAAAAAAAAAAFtDb250ZW50X1R5cGVzXS54bWxQSwECLQAUAAYACAAAACEAWvQsW78AAAAVAQAA&#10;CwAAAAAAAAAAAAAAAAAfAQAAX3JlbHMvLnJlbHNQSwECLQAUAAYACAAAACEAOzMb68YAAADeAAAA&#10;DwAAAAAAAAAAAAAAAAAHAgAAZHJzL2Rvd25yZXYueG1sUEsFBgAAAAADAAMAtwAAAPoCAAAAAA==&#10;" filled="f" stroked="f">
                  <v:textbox inset="0,0,0,0">
                    <w:txbxContent>
                      <w:p w14:paraId="7D9653B8" w14:textId="77777777" w:rsidR="00B32EF2" w:rsidRDefault="00000000">
                        <w:r>
                          <w:rPr>
                            <w:rFonts w:ascii="Arial" w:eastAsia="Arial" w:hAnsi="Arial" w:cs="Arial"/>
                            <w:sz w:val="18"/>
                          </w:rPr>
                          <w:t xml:space="preserve">l’ufficio è un’articolazione dell’Agenzia delle entrate, con competenza su tutto </w:t>
                        </w:r>
                      </w:p>
                    </w:txbxContent>
                  </v:textbox>
                </v:rect>
                <v:rect id="Rectangle 20055" o:spid="_x0000_s4923" style="position:absolute;left:-12210;top:36143;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75wxgAAAN4AAAAPAAAAZHJzL2Rvd25yZXYueG1sRI9Ba8JA&#10;FITvhf6H5RW81U0LFkldpaQEc+ilUaHHR/aZRLNvl+yapP56t1DwOMzMN8xqM5lODNT71rKCl3kC&#10;griyuuVawX6XPy9B+ICssbNMCn7Jw2b9+LDCVNuRv2koQy0ihH2KCpoQXCqlrxoy6OfWEUfvaHuD&#10;Icq+lrrHMcJNJ1+T5E0abDkuNOgoa6g6lxej4OeTXZGPsjpeM/d1Kpbd9rI/KDV7mj7eQQSawj38&#10;3y60gkhcLODvTrwCcn0DAAD//wMAUEsBAi0AFAAGAAgAAAAhANvh9svuAAAAhQEAABMAAAAAAAAA&#10;AAAAAAAAAAAAAFtDb250ZW50X1R5cGVzXS54bWxQSwECLQAUAAYACAAAACEAWvQsW78AAAAVAQAA&#10;CwAAAAAAAAAAAAAAAAAfAQAAX3JlbHMvLnJlbHNQSwECLQAUAAYACAAAACEAVH++cMYAAADeAAAA&#10;DwAAAAAAAAAAAAAAAAAHAgAAZHJzL2Rvd25yZXYueG1sUEsFBgAAAAADAAMAtwAAAPoCAAAAAA==&#10;" filled="f" stroked="f">
                  <v:textbox inset="0,0,0,0">
                    <w:txbxContent>
                      <w:p w14:paraId="7F3D2EF0" w14:textId="77777777" w:rsidR="00B32EF2" w:rsidRDefault="00000000">
                        <w:r>
                          <w:rPr>
                            <w:rFonts w:ascii="Arial" w:eastAsia="Arial" w:hAnsi="Arial" w:cs="Arial"/>
                            <w:sz w:val="18"/>
                          </w:rPr>
                          <w:t>o parte del territorio nazionale, individuata con il regolamento di amministra</w:t>
                        </w:r>
                      </w:p>
                    </w:txbxContent>
                  </v:textbox>
                </v:rect>
                <v:rect id="Rectangle 20056" o:spid="_x0000_s4924" style="position:absolute;left:192;top:3614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SAHxQAAAN4AAAAPAAAAZHJzL2Rvd25yZXYueG1sRI9Pi8Iw&#10;FMTvgt8hPGFvmrqwIl2jiItsD178B3t8NM+22ryEJtqun94IgsdhZn7DzBadqcWNGl9ZVjAeJSCI&#10;c6srLhQc9uvhFIQPyBpry6Tgnzws5v3eDFNtW97SbRcKESHsU1RQhuBSKX1ekkE/so44eifbGAxR&#10;NoXUDbYRbmr5mSQTabDiuFCio1VJ+WV3NQr+fthl61bmp/vKbc7ZtP69Ho5KfQy65TeIQF14h1/t&#10;TCuIxK8JPO/EKyDnDwAAAP//AwBQSwECLQAUAAYACAAAACEA2+H2y+4AAACFAQAAEwAAAAAAAAAA&#10;AAAAAAAAAAAAW0NvbnRlbnRfVHlwZXNdLnhtbFBLAQItABQABgAIAAAAIQBa9CxbvwAAABUBAAAL&#10;AAAAAAAAAAAAAAAAAB8BAABfcmVscy8ucmVsc1BLAQItABQABgAIAAAAIQCkrSAHxQAAAN4AAAAP&#10;AAAAAAAAAAAAAAAAAAcCAABkcnMvZG93bnJldi54bWxQSwUGAAAAAAMAAwC3AAAA+QIAAAAA&#10;" filled="f" stroked="f">
                  <v:textbox inset="0,0,0,0">
                    <w:txbxContent>
                      <w:p w14:paraId="229D5D86" w14:textId="77777777" w:rsidR="00B32EF2" w:rsidRDefault="00000000">
                        <w:r>
                          <w:rPr>
                            <w:rFonts w:ascii="Arial" w:eastAsia="Arial" w:hAnsi="Arial" w:cs="Arial"/>
                            <w:sz w:val="18"/>
                          </w:rPr>
                          <w:t>-</w:t>
                        </w:r>
                      </w:p>
                    </w:txbxContent>
                  </v:textbox>
                </v:rect>
                <v:rect id="Rectangle 20057" o:spid="_x0000_s4925" style="position:absolute;left:-13172;top:3487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YWcxgAAAN4AAAAPAAAAZHJzL2Rvd25yZXYueG1sRI9Pi8Iw&#10;FMTvgt8hPMGbpgrrStcoosj24GX9A3t8NM+2u81LaKKtfnqzsOBxmJnfMItVZ2pxo8ZXlhVMxgkI&#10;4tzqigsFp+NuNAfhA7LG2jIpuJOH1bLfW2CqbctfdDuEQkQI+xQVlCG4VEqfl2TQj60jjt7FNgZD&#10;lE0hdYNthJtaTpNkJg1WHBdKdLQpKf89XI2C7y27bNfK/PLYuP1PNq8/r6ezUsNBt/4AEagLr/B/&#10;O9MKIvHtHf7uxCsgl08AAAD//wMAUEsBAi0AFAAGAAgAAAAhANvh9svuAAAAhQEAABMAAAAAAAAA&#10;AAAAAAAAAAAAAFtDb250ZW50X1R5cGVzXS54bWxQSwECLQAUAAYACAAAACEAWvQsW78AAAAVAQAA&#10;CwAAAAAAAAAAAAAAAAAfAQAAX3JlbHMvLnJlbHNQSwECLQAUAAYACAAAACEAy+GFnMYAAADeAAAA&#10;DwAAAAAAAAAAAAAAAAAHAgAAZHJzL2Rvd25yZXYueG1sUEsFBgAAAAADAAMAtwAAAPoCAAAAAA==&#10;" filled="f" stroked="f">
                  <v:textbox inset="0,0,0,0">
                    <w:txbxContent>
                      <w:p w14:paraId="17435F42" w14:textId="77777777" w:rsidR="00B32EF2" w:rsidRDefault="00000000">
                        <w:r>
                          <w:rPr>
                            <w:rFonts w:ascii="Arial" w:eastAsia="Arial" w:hAnsi="Arial" w:cs="Arial"/>
                            <w:sz w:val="18"/>
                          </w:rPr>
                          <w:t xml:space="preserve">zione di cui all’articolo 71 del decreto legislativo 30 luglio 1999, n. 300, è parte </w:t>
                        </w:r>
                      </w:p>
                    </w:txbxContent>
                  </v:textbox>
                </v:rect>
                <v:rect id="Rectangle 20058" o:spid="_x0000_s4926" style="position:absolute;left:-4012;top:33603;width:439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hHuxgAAAN4AAAAPAAAAZHJzL2Rvd25yZXYueG1sRI/BasJA&#10;EIbvhb7DMgVvdWOhRaKriEWag5daBY9Ddkyi2dklu5ro03cOhR6Hf/5v5psvB9eqG3Wx8WxgMs5A&#10;EZfeNlwZ2P9sXqegYkK22HomA3eKsFw8P80xt77nb7rtUqUEwjFHA3VKIdc6ljU5jGMfiCU7+c5h&#10;krGrtO2wF7hr9VuWfWiHDcuFGgOtayovu6szcPzkUGx6XZ4e67A9F9P267o/GDN6GVYzUImG9L/8&#10;1y6sASG+y7+iIyqgF78AAAD//wMAUEsBAi0AFAAGAAgAAAAhANvh9svuAAAAhQEAABMAAAAAAAAA&#10;AAAAAAAAAAAAAFtDb250ZW50X1R5cGVzXS54bWxQSwECLQAUAAYACAAAACEAWvQsW78AAAAVAQAA&#10;CwAAAAAAAAAAAAAAAAAfAQAAX3JlbHMvLnJlbHNQSwECLQAUAAYACAAAACEAun4R7sYAAADeAAAA&#10;DwAAAAAAAAAAAAAAAAAHAgAAZHJzL2Rvd25yZXYueG1sUEsFBgAAAAADAAMAtwAAAPoCAAAAAA==&#10;" filled="f" stroked="f">
                  <v:textbox inset="0,0,0,0">
                    <w:txbxContent>
                      <w:p w14:paraId="31D66282" w14:textId="77777777" w:rsidR="00B32EF2" w:rsidRDefault="00000000">
                        <w:r>
                          <w:rPr>
                            <w:rFonts w:ascii="Arial" w:eastAsia="Arial" w:hAnsi="Arial" w:cs="Arial"/>
                            <w:sz w:val="18"/>
                          </w:rPr>
                          <w:t>l’ufficio al quale spettano le attribuzioni sul rapporto controverso.</w:t>
                        </w:r>
                      </w:p>
                    </w:txbxContent>
                  </v:textbox>
                </v:rect>
                <v:rect id="Rectangle 20059" o:spid="_x0000_s4927" style="position:absolute;left:15066;top:24969;width:80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R1xgAAAN4AAAAPAAAAZHJzL2Rvd25yZXYueG1sRI9Ba8JA&#10;FITvQv/D8gre6qYFi42uoaSIOfRSTcHjI/tMotm3S3Y1sb++Wyh4HGbmG2aVjaYTV+p9a1nB8ywB&#10;QVxZ3XKtoNxvnhYgfEDW2FkmBTfykK0fJitMtR34i667UIsIYZ+igiYEl0rpq4YM+pl1xNE72t5g&#10;iLKvpe5xiHDTyZckeZUGW44LDTrKG6rOu4tRcPhgV2wGWR1/cvd5Khbd9lJ+KzV9HN+XIAKN4R7+&#10;bxdaQSTO3+DvTrwCcv0LAAD//wMAUEsBAi0AFAAGAAgAAAAhANvh9svuAAAAhQEAABMAAAAAAAAA&#10;AAAAAAAAAAAAAFtDb250ZW50X1R5cGVzXS54bWxQSwECLQAUAAYACAAAACEAWvQsW78AAAAVAQAA&#10;CwAAAAAAAAAAAAAAAAAfAQAAX3JlbHMvLnJlbHNQSwECLQAUAAYACAAAACEA1TK0dcYAAADeAAAA&#10;DwAAAAAAAAAAAAAAAAAHAgAAZHJzL2Rvd25yZXYueG1sUEsFBgAAAAADAAMAtwAAAPoCAAAAAA==&#10;" filled="f" stroked="f">
                  <v:textbox inset="0,0,0,0">
                    <w:txbxContent>
                      <w:p w14:paraId="4627E739" w14:textId="77777777" w:rsidR="00B32EF2" w:rsidRDefault="00000000">
                        <w:r>
                          <w:rPr>
                            <w:rFonts w:ascii="Arial" w:eastAsia="Arial" w:hAnsi="Arial" w:cs="Arial"/>
                            <w:b/>
                            <w:sz w:val="18"/>
                          </w:rPr>
                          <w:t>Articolo 56</w:t>
                        </w:r>
                      </w:p>
                    </w:txbxContent>
                  </v:textbox>
                </v:rect>
                <v:rect id="Rectangle 201059" o:spid="_x0000_s4928" style="position:absolute;left:22204;top:23736;width:193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LxOyAAAAN8AAAAPAAAAZHJzL2Rvd25yZXYueG1sRI9PawIx&#10;FMTvBb9DeIK3mii06NYookj30Ev9Az0+Ns/d1c1L2ER37advCoUeh5n5DbNY9bYRd2pD7VjDZKxA&#10;EBfO1FxqOB52zzMQISIbbByThgcFWC0HTwvMjOv4k+77WIoE4ZChhipGn0kZiooshrHzxMk7u9Zi&#10;TLItpWmxS3DbyKlSr9JizWmhQk+biorr/mY1fG3Z57tOFufvjf+45LPm/XY8aT0a9us3EJH6+B/+&#10;a+dGw1RN1Mscfv+kLyCXPwAAAP//AwBQSwECLQAUAAYACAAAACEA2+H2y+4AAACFAQAAEwAAAAAA&#10;AAAAAAAAAAAAAAAAW0NvbnRlbnRfVHlwZXNdLnhtbFBLAQItABQABgAIAAAAIQBa9CxbvwAAABUB&#10;AAALAAAAAAAAAAAAAAAAAB8BAABfcmVscy8ucmVsc1BLAQItABQABgAIAAAAIQA1PLxOyAAAAN8A&#10;AAAPAAAAAAAAAAAAAAAAAAcCAABkcnMvZG93bnJldi54bWxQSwUGAAAAAAMAAwC3AAAA/AIAAAAA&#10;" filled="f" stroked="f">
                  <v:textbox inset="0,0,0,0">
                    <w:txbxContent>
                      <w:p w14:paraId="0028FBDC" w14:textId="77777777" w:rsidR="00B32EF2" w:rsidRDefault="00000000">
                        <w:r>
                          <w:rPr>
                            <w:rFonts w:ascii="Arial" w:eastAsia="Arial" w:hAnsi="Arial" w:cs="Arial"/>
                            <w:i/>
                            <w:sz w:val="18"/>
                          </w:rPr>
                          <w:t>(</w:t>
                        </w:r>
                      </w:p>
                    </w:txbxContent>
                  </v:textbox>
                </v:rect>
                <v:rect id="Rectangle 201061" o:spid="_x0000_s4929" style="position:absolute;left:11703;top:23736;width:193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nr1xwAAAN8AAAAPAAAAZHJzL2Rvd25yZXYueG1sRI9BawIx&#10;FITvhf6H8ARvNVkPIqtRRJHuwUutgsfH5rm7unkJm+hu++ubQqHHYWa+YZbrwbbiSV1oHGvIJgoE&#10;celMw5WG0+f+bQ4iRGSDrWPS8EUB1qvXlyXmxvX8Qc9jrESCcMhRQx2jz6UMZU0Ww8R54uRdXWcx&#10;JtlV0nTYJ7ht5VSpmbTYcFqo0dO2pvJ+fFgNlx37Yt/L8vq99YdbMW/fH6ez1uPRsFmAiDTE//Bf&#10;uzAapipTswx+/6QvIFc/AAAA//8DAFBLAQItABQABgAIAAAAIQDb4fbL7gAAAIUBAAATAAAAAAAA&#10;AAAAAAAAAAAAAABbQ29udGVudF9UeXBlc10ueG1sUEsBAi0AFAAGAAgAAAAhAFr0LFu/AAAAFQEA&#10;AAsAAAAAAAAAAAAAAAAAHwEAAF9yZWxzLy5yZWxzUEsBAi0AFAAGAAgAAAAhAAUmevXHAAAA3wAA&#10;AA8AAAAAAAAAAAAAAAAABwIAAGRycy9kb3ducmV2LnhtbFBLBQYAAAAAAwADALcAAAD7AgAAAAA=&#10;" filled="f" stroked="f">
                  <v:textbox inset="0,0,0,0">
                    <w:txbxContent>
                      <w:p w14:paraId="65C58CEE" w14:textId="77777777" w:rsidR="00B32EF2" w:rsidRDefault="00000000">
                        <w:r>
                          <w:rPr>
                            <w:rFonts w:ascii="Arial" w:eastAsia="Arial" w:hAnsi="Arial" w:cs="Arial"/>
                            <w:i/>
                            <w:sz w:val="18"/>
                          </w:rPr>
                          <w:t xml:space="preserve">articolo 11 D.lgs. n. </w:t>
                        </w:r>
                      </w:p>
                    </w:txbxContent>
                  </v:textbox>
                </v:rect>
                <v:rect id="Rectangle 201060" o:spid="_x0000_s4930" style="position:absolute;left:-2459;top:23736;width:193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t9uxQAAAN8AAAAPAAAAZHJzL2Rvd25yZXYueG1sRI/LisIw&#10;FIb3A75DOMLsxkQXItUooohduPEGLg/Nse1McxKaaDs+/WQx4PLnv/EtVr1txJPaUDvWMB4pEMSF&#10;MzWXGi7n3dcMRIjIBhvHpOGXAqyWg48FZsZ1fKTnKZYijXDIUEMVo8+kDEVFFsPIeeLk3V1rMSbZ&#10;ltK02KVx28iJUlNpseb0UKGnTUXFz+lhNdy27PNdJ4v7a+MP3/ms2T8uV60/h/16DiJSH9/h/3Zu&#10;NEzUWE0TQeJJLCCXfwAAAP//AwBQSwECLQAUAAYACAAAACEA2+H2y+4AAACFAQAAEwAAAAAAAAAA&#10;AAAAAAAAAAAAW0NvbnRlbnRfVHlwZXNdLnhtbFBLAQItABQABgAIAAAAIQBa9CxbvwAAABUBAAAL&#10;AAAAAAAAAAAAAAAAAB8BAABfcmVscy8ucmVsc1BLAQItABQABgAIAAAAIQBqat9uxQAAAN8AAAAP&#10;AAAAAAAAAAAAAAAAAAcCAABkcnMvZG93bnJldi54bWxQSwUGAAAAAAMAAwC3AAAA+QIAAAAA&#10;" filled="f" stroked="f">
                  <v:textbox inset="0,0,0,0">
                    <w:txbxContent>
                      <w:p w14:paraId="646B1445" w14:textId="77777777" w:rsidR="00B32EF2" w:rsidRDefault="00000000">
                        <w:r>
                          <w:rPr>
                            <w:rFonts w:ascii="Arial" w:eastAsia="Arial" w:hAnsi="Arial" w:cs="Arial"/>
                            <w:i/>
                            <w:sz w:val="18"/>
                          </w:rPr>
                          <w:t>546/92)</w:t>
                        </w:r>
                      </w:p>
                    </w:txbxContent>
                  </v:textbox>
                </v:rect>
                <v:rect id="Rectangle 20061" o:spid="_x0000_s4931" style="position:absolute;left:6890;top:22503;width:209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HLOwwAAAN4AAAAPAAAAZHJzL2Rvd25yZXYueG1sRI9Pi8Iw&#10;FMTvC36H8ARva6oHkWoUUcQevPgPPD6aZ9vd5iU00VY//UZY8DjMzG+Y+bIztXhQ4yvLCkbDBARx&#10;bnXFhYLzafs9BeEDssbaMil4koflovc1x1Tblg/0OIZCRAj7FBWUIbhUSp+XZNAPrSOO3s02BkOU&#10;TSF1g22Em1qOk2QiDVYcF0p0tC4p/z3ejYLrhl22bWV+e63d/ieb1rv7+aLUoN+tZiACdeET/m9n&#10;WsGbOIL3nXgF5OIPAAD//wMAUEsBAi0AFAAGAAgAAAAhANvh9svuAAAAhQEAABMAAAAAAAAAAAAA&#10;AAAAAAAAAFtDb250ZW50X1R5cGVzXS54bWxQSwECLQAUAAYACAAAACEAWvQsW78AAAAVAQAACwAA&#10;AAAAAAAAAAAAAAAfAQAAX3JlbHMvLnJlbHNQSwECLQAUAAYACAAAACEA5ShyzsMAAADeAAAADwAA&#10;AAAAAAAAAAAAAAAHAgAAZHJzL2Rvd25yZXYueG1sUEsFBgAAAAADAAMAtwAAAPcCAAAAAA==&#10;" filled="f" stroked="f">
                  <v:textbox inset="0,0,0,0">
                    <w:txbxContent>
                      <w:p w14:paraId="3A8C20AA" w14:textId="77777777" w:rsidR="00B32EF2" w:rsidRDefault="00000000">
                        <w:r>
                          <w:rPr>
                            <w:rFonts w:ascii="Arial" w:eastAsia="Arial" w:hAnsi="Arial" w:cs="Arial"/>
                            <w:b/>
                            <w:sz w:val="18"/>
                          </w:rPr>
                          <w:t xml:space="preserve">Capacità di stare in giudizio </w:t>
                        </w:r>
                      </w:p>
                    </w:txbxContent>
                  </v:textbox>
                </v:rect>
                <v:rect id="Rectangle 201058" o:spid="_x0000_s4932" style="position:absolute;left:-12796;top:21233;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BnVxAAAAN8AAAAPAAAAZHJzL2Rvd25yZXYueG1sRE/Pa8Iw&#10;FL4P/B/CE3abiYJDqlFEEXvYZa6Cx0fzbKvNS2ii7fbXL4fBjh/f79VmsK14UhcaxxqmEwWCuHSm&#10;4UpD8XV4W4AIEdlg65g0fFOAzXr0ssLMuJ4/6XmKlUghHDLUUMfoMylDWZPFMHGeOHFX11mMCXaV&#10;NB32Kdy2cqbUu7TYcGqo0dOupvJ+elgNlz37/NDL8vqz8x+3fNEeH8VZ69fxsF2CiDTEf/GfOzca&#10;Zmqq5mlw+pO+gFz/AgAA//8DAFBLAQItABQABgAIAAAAIQDb4fbL7gAAAIUBAAATAAAAAAAAAAAA&#10;AAAAAAAAAABbQ29udGVudF9UeXBlc10ueG1sUEsBAi0AFAAGAAgAAAAhAFr0LFu/AAAAFQEAAAsA&#10;AAAAAAAAAAAAAAAAHwEAAF9yZWxzLy5yZWxzUEsBAi0AFAAGAAgAAAAhAFpwGdXEAAAA3wAAAA8A&#10;AAAAAAAAAAAAAAAABwIAAGRycy9kb3ducmV2LnhtbFBLBQYAAAAAAwADALcAAAD4AgAAAAA=&#10;" filled="f" stroked="f">
                  <v:textbox inset="0,0,0,0">
                    <w:txbxContent>
                      <w:p w14:paraId="70976DD3" w14:textId="77777777" w:rsidR="00B32EF2" w:rsidRDefault="00000000">
                        <w:r>
                          <w:rPr>
                            <w:rFonts w:ascii="Arial" w:eastAsia="Arial" w:hAnsi="Arial" w:cs="Arial"/>
                            <w:sz w:val="18"/>
                          </w:rPr>
                          <w:t>. Le parti diverse da quelle indicate nei commi 2 e 3 possono stare in giudi</w:t>
                        </w:r>
                      </w:p>
                    </w:txbxContent>
                  </v:textbox>
                </v:rect>
                <v:rect id="Rectangle 201057" o:spid="_x0000_s4933" style="position:absolute;left:26349;top:21233;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42nxwAAAN8AAAAPAAAAZHJzL2Rvd25yZXYueG1sRI9BawIx&#10;FITvhf6H8AreaqJQK1ujFIt0D160Fnp8bJ67q5uXsInu6q83QsHjMDPfMLNFbxtxpjbUjjWMhgoE&#10;ceFMzaWG3c/qdQoiRGSDjWPScKEAi/nz0wwz4zre0HkbS5EgHDLUUMXoMylDUZHFMHSeOHl711qM&#10;SbalNC12CW4bOVZqIi3WnBYq9LSsqDhuT1bD3xf7fNXJYn9d+vUhnzbfp92v1oOX/vMDRKQ+PsL/&#10;7dxoGKuRenuH+5/0BeT8BgAA//8DAFBLAQItABQABgAIAAAAIQDb4fbL7gAAAIUBAAATAAAAAAAA&#10;AAAAAAAAAAAAAABbQ29udGVudF9UeXBlc10ueG1sUEsBAi0AFAAGAAgAAAAhAFr0LFu/AAAAFQEA&#10;AAsAAAAAAAAAAAAAAAAAHwEAAF9yZWxzLy5yZWxzUEsBAi0AFAAGAAgAAAAhACvvjafHAAAA3wAA&#10;AA8AAAAAAAAAAAAAAAAABwIAAGRycy9kb3ducmV2LnhtbFBLBQYAAAAAAwADALcAAAD7AgAAAAA=&#10;" filled="f" stroked="f">
                  <v:textbox inset="0,0,0,0">
                    <w:txbxContent>
                      <w:p w14:paraId="1E65A79F" w14:textId="77777777" w:rsidR="00B32EF2" w:rsidRDefault="00000000">
                        <w:r>
                          <w:rPr>
                            <w:rFonts w:ascii="Arial" w:eastAsia="Arial" w:hAnsi="Arial" w:cs="Arial"/>
                            <w:sz w:val="18"/>
                          </w:rPr>
                          <w:t>1</w:t>
                        </w:r>
                      </w:p>
                    </w:txbxContent>
                  </v:textbox>
                </v:rect>
                <v:rect id="Rectangle 20063" o:spid="_x0000_s4934" style="position:absolute;left:192;top:212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kkixAAAAN4AAAAPAAAAZHJzL2Rvd25yZXYueG1sRI9Pi8Iw&#10;FMTvgt8hPGFvmroLIl2jiItsD178B3t8NM+22ryEJtqun94IgsdhZn7DzBadqcWNGl9ZVjAeJSCI&#10;c6srLhQc9uvhFIQPyBpry6Tgnzws5v3eDFNtW97SbRcKESHsU1RQhuBSKX1ekkE/so44eifbGAxR&#10;NoXUDbYRbmr5mSQTabDiuFCio1VJ+WV3NQr+fthl61bmp/vKbc7ZtP69Ho5KfQy65TeIQF14h1/t&#10;TCt4Er/geSdeATl/AAAA//8DAFBLAQItABQABgAIAAAAIQDb4fbL7gAAAIUBAAATAAAAAAAAAAAA&#10;AAAAAAAAAABbQ29udGVudF9UeXBlc10ueG1sUEsBAi0AFAAGAAgAAAAhAFr0LFu/AAAAFQEAAAsA&#10;AAAAAAAAAAAAAAAAHwEAAF9yZWxzLy5yZWxzUEsBAi0AFAAGAAgAAAAhAHq2SSLEAAAA3gAAAA8A&#10;AAAAAAAAAAAAAAAABwIAAGRycy9kb3ducmV2LnhtbFBLBQYAAAAAAwADALcAAAD4AgAAAAA=&#10;" filled="f" stroked="f">
                  <v:textbox inset="0,0,0,0">
                    <w:txbxContent>
                      <w:p w14:paraId="65F6260A" w14:textId="77777777" w:rsidR="00B32EF2" w:rsidRDefault="00000000">
                        <w:r>
                          <w:rPr>
                            <w:rFonts w:ascii="Arial" w:eastAsia="Arial" w:hAnsi="Arial" w:cs="Arial"/>
                            <w:sz w:val="18"/>
                          </w:rPr>
                          <w:t>-</w:t>
                        </w:r>
                      </w:p>
                    </w:txbxContent>
                  </v:textbox>
                </v:rect>
                <v:rect id="Rectangle 20064" o:spid="_x0000_s4935" style="position:absolute;left:-13172;top:1996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9FWxAAAAN4AAAAPAAAAZHJzL2Rvd25yZXYueG1sRI9Pi8Iw&#10;FMTvgt8hPGFvmrosIl2jiItsD178B3t8NM+22ryEJtqun94IgsdhZn7DzBadqcWNGl9ZVjAeJSCI&#10;c6srLhQc9uvhFIQPyBpry6Tgnzws5v3eDFNtW97SbRcKESHsU1RQhuBSKX1ekkE/so44eifbGAxR&#10;NoXUDbYRbmr5mSQTabDiuFCio1VJ+WV3NQr+fthl61bmp/vKbc7ZtP69Ho5KfQy65TeIQF14h1/t&#10;TCt4Er/geSdeATl/AAAA//8DAFBLAQItABQABgAIAAAAIQDb4fbL7gAAAIUBAAATAAAAAAAAAAAA&#10;AAAAAAAAAABbQ29udGVudF9UeXBlc10ueG1sUEsBAi0AFAAGAAgAAAAhAFr0LFu/AAAAFQEAAAsA&#10;AAAAAAAAAAAAAAAAHwEAAF9yZWxzLy5yZWxzUEsBAi0AFAAGAAgAAAAhAPVf0VbEAAAA3gAAAA8A&#10;AAAAAAAAAAAAAAAABwIAAGRycy9kb3ducmV2LnhtbFBLBQYAAAAAAwADALcAAAD4AgAAAAA=&#10;" filled="f" stroked="f">
                  <v:textbox inset="0,0,0,0">
                    <w:txbxContent>
                      <w:p w14:paraId="33B1D50F" w14:textId="77777777" w:rsidR="00B32EF2" w:rsidRDefault="00000000">
                        <w:r>
                          <w:rPr>
                            <w:rFonts w:ascii="Arial" w:eastAsia="Arial" w:hAnsi="Arial" w:cs="Arial"/>
                            <w:sz w:val="18"/>
                          </w:rPr>
                          <w:t xml:space="preserve">zio anche mediante procuratore generale o speciale. La procura speciale, se </w:t>
                        </w:r>
                      </w:p>
                    </w:txbxContent>
                  </v:textbox>
                </v:rect>
                <v:rect id="Rectangle 20065" o:spid="_x0000_s4936" style="position:absolute;left:-13172;top:1869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3TNxAAAAN4AAAAPAAAAZHJzL2Rvd25yZXYueG1sRI9Pi8Iw&#10;FMTvgt8hPGFvmrqwIl2jiItsD178B3t8NM+22ryEJtqun94IgsdhZn7DzBadqcWNGl9ZVjAeJSCI&#10;c6srLhQc9uvhFIQPyBpry6Tgnzws5v3eDFNtW97SbRcKESHsU1RQhuBSKX1ekkE/so44eifbGAxR&#10;NoXUDbYRbmr5mSQTabDiuFCio1VJ+WV3NQr+fthl61bmp/vKbc7ZtP69Ho5KfQy65TeIQF14h1/t&#10;TCt4Er/geSdeATl/AAAA//8DAFBLAQItABQABgAIAAAAIQDb4fbL7gAAAIUBAAATAAAAAAAAAAAA&#10;AAAAAAAAAABbQ29udGVudF9UeXBlc10ueG1sUEsBAi0AFAAGAAgAAAAhAFr0LFu/AAAAFQEAAAsA&#10;AAAAAAAAAAAAAAAAHwEAAF9yZWxzLy5yZWxzUEsBAi0AFAAGAAgAAAAhAJoTdM3EAAAA3gAAAA8A&#10;AAAAAAAAAAAAAAAABwIAAGRycy9kb3ducmV2LnhtbFBLBQYAAAAAAwADALcAAAD4AgAAAAA=&#10;" filled="f" stroked="f">
                  <v:textbox inset="0,0,0,0">
                    <w:txbxContent>
                      <w:p w14:paraId="7964B7F7" w14:textId="77777777" w:rsidR="00B32EF2" w:rsidRDefault="00000000">
                        <w:r>
                          <w:rPr>
                            <w:rFonts w:ascii="Arial" w:eastAsia="Arial" w:hAnsi="Arial" w:cs="Arial"/>
                            <w:sz w:val="18"/>
                          </w:rPr>
                          <w:t xml:space="preserve">conferita al coniuge e ai parenti o affini entro il quarto grado ai soli fini della </w:t>
                        </w:r>
                      </w:p>
                    </w:txbxContent>
                  </v:textbox>
                </v:rect>
                <v:rect id="Rectangle 20066" o:spid="_x0000_s4937" style="position:absolute;left:-13172;top:1742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eq6xQAAAN4AAAAPAAAAZHJzL2Rvd25yZXYueG1sRI9Pa8JA&#10;FMTvBb/D8gre6qY9BIlZRRQxh16aKnh8ZF/+tNm3S3Y1sZ++KxR6HGbmN0y+mUwvbjT4zrKC10UC&#10;griyuuNGwenz8LIE4QOyxt4yKbiTh8169pRjpu3IH3QrQyMihH2GCtoQXCalr1oy6BfWEUevtoPB&#10;EOXQSD3gGOGml29JkkqDHceFFh3tWqq+y6tRcNmzKw6jrOqfnXv/Kpb98Xo6KzV/nrYrEIGm8B/+&#10;axdawYOYwuNOvAJy/QsAAP//AwBQSwECLQAUAAYACAAAACEA2+H2y+4AAACFAQAAEwAAAAAAAAAA&#10;AAAAAAAAAAAAW0NvbnRlbnRfVHlwZXNdLnhtbFBLAQItABQABgAIAAAAIQBa9CxbvwAAABUBAAAL&#10;AAAAAAAAAAAAAAAAAB8BAABfcmVscy8ucmVsc1BLAQItABQABgAIAAAAIQBqweq6xQAAAN4AAAAP&#10;AAAAAAAAAAAAAAAAAAcCAABkcnMvZG93bnJldi54bWxQSwUGAAAAAAMAAwC3AAAA+QIAAAAA&#10;" filled="f" stroked="f">
                  <v:textbox inset="0,0,0,0">
                    <w:txbxContent>
                      <w:p w14:paraId="1C10B32E" w14:textId="77777777" w:rsidR="00B32EF2" w:rsidRDefault="00000000">
                        <w:r>
                          <w:rPr>
                            <w:rFonts w:ascii="Arial" w:eastAsia="Arial" w:hAnsi="Arial" w:cs="Arial"/>
                            <w:sz w:val="18"/>
                          </w:rPr>
                          <w:t xml:space="preserve">partecipazione all’udienza pubblica, può risultare anche da scrittura privata </w:t>
                        </w:r>
                      </w:p>
                    </w:txbxContent>
                  </v:textbox>
                </v:rect>
                <v:rect id="Rectangle 20067" o:spid="_x0000_s4938" style="position:absolute;left:28968;top:16153;width:109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8hxAAAAN4AAAAPAAAAZHJzL2Rvd25yZXYueG1sRI9Pi8Iw&#10;FMTvgt8hPGFvmrqHVbpGERfZHrz4D/b4aJ5ttXkJTbRdP70RBI/DzPyGmS06U4sbNb6yrGA8SkAQ&#10;51ZXXCg47NfDKQgfkDXWlknBP3lYzPu9Gabatryl2y4UIkLYp6igDMGlUvq8JIN+ZB1x9E62MRii&#10;bAqpG2wj3NTyM0m+pMGK40KJjlYl5Zfd1Sj4+2GXrVuZn+4rtzln0/r3ejgq9THolt8gAnXhHX61&#10;M63gSZzA8068AnL+AAAA//8DAFBLAQItABQABgAIAAAAIQDb4fbL7gAAAIUBAAATAAAAAAAAAAAA&#10;AAAAAAAAAABbQ29udGVudF9UeXBlc10ueG1sUEsBAi0AFAAGAAgAAAAhAFr0LFu/AAAAFQEAAAsA&#10;AAAAAAAAAAAAAAAAHwEAAF9yZWxzLy5yZWxzUEsBAi0AFAAGAAgAAAAhAAWNTyHEAAAA3gAAAA8A&#10;AAAAAAAAAAAAAAAABwIAAGRycy9kb3ducmV2LnhtbFBLBQYAAAAAAwADALcAAAD4AgAAAAA=&#10;" filled="f" stroked="f">
                  <v:textbox inset="0,0,0,0">
                    <w:txbxContent>
                      <w:p w14:paraId="43E62788" w14:textId="77777777" w:rsidR="00B32EF2" w:rsidRDefault="00000000">
                        <w:r>
                          <w:rPr>
                            <w:rFonts w:ascii="Arial" w:eastAsia="Arial" w:hAnsi="Arial" w:cs="Arial"/>
                            <w:sz w:val="18"/>
                          </w:rPr>
                          <w:t>non autenticata.</w:t>
                        </w:r>
                      </w:p>
                    </w:txbxContent>
                  </v:textbox>
                </v:rect>
                <v:rect id="Rectangle 201055" o:spid="_x0000_s4939" style="position:absolute;left:26354;top:14883;width:52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bZLxwAAAN8AAAAPAAAAZHJzL2Rvd25yZXYueG1sRI9PawIx&#10;FMTvQr9DeIXeNFFQZGuUYpHuoRf/QY+PzXN3dfMSNtHd9tM3guBxmJnfMItVbxtxozbUjjWMRwoE&#10;ceFMzaWGw34znIMIEdlg45g0/FKA1fJlsMDMuI63dNvFUiQIhww1VDH6TMpQVGQxjJwnTt7JtRZj&#10;km0pTYtdgttGTpSaSYs1p4UKPa0rKi67q9Xw88k+33SyOP2t/fc5nzdf18NR67fX/uMdRKQ+PsOP&#10;dm40TNRYTadw/5O+gFz+AwAA//8DAFBLAQItABQABgAIAAAAIQDb4fbL7gAAAIUBAAATAAAAAAAA&#10;AAAAAAAAAAAAAABbQ29udGVudF9UeXBlc10ueG1sUEsBAi0AFAAGAAgAAAAhAFr0LFu/AAAAFQEA&#10;AAsAAAAAAAAAAAAAAAAAHwEAAF9yZWxzLy5yZWxzUEsBAi0AFAAGAAgAAAAhALRxtkvHAAAA3wAA&#10;AA8AAAAAAAAAAAAAAAAABwIAAGRycy9kb3ducmV2LnhtbFBLBQYAAAAAAwADALcAAAD7AgAAAAA=&#10;" filled="f" stroked="f">
                  <v:textbox inset="0,0,0,0">
                    <w:txbxContent>
                      <w:p w14:paraId="3964654F" w14:textId="77777777" w:rsidR="00B32EF2" w:rsidRDefault="00000000">
                        <w:r>
                          <w:rPr>
                            <w:rFonts w:ascii="Arial" w:eastAsia="Arial" w:hAnsi="Arial" w:cs="Arial"/>
                            <w:sz w:val="18"/>
                          </w:rPr>
                          <w:t>2</w:t>
                        </w:r>
                      </w:p>
                    </w:txbxContent>
                  </v:textbox>
                </v:rect>
                <v:rect id="Rectangle 201056" o:spid="_x0000_s4940" style="position:absolute;left:-12832;top:14883;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yg8xwAAAN8AAAAPAAAAZHJzL2Rvd25yZXYueG1sRI9PawIx&#10;FMTvhX6H8Aq91UShIlujFIt0D178Bz0+Ns/d1c1L2ER366c3guBxmJnfMNN5bxtxoTbUjjUMBwoE&#10;ceFMzaWG3Xb5MQERIrLBxjFp+KcA89nryxQz4zpe02UTS5EgHDLUUMXoMylDUZHFMHCeOHkH11qM&#10;SbalNC12CW4bOVJqLC3WnBYq9LSoqDhtzlbD3w/7fNnJ4nBd+NUxnzS/591e6/e3/vsLRKQ+PsOP&#10;dm40jNRQfY7h/id9ATm7AQAA//8DAFBLAQItABQABgAIAAAAIQDb4fbL7gAAAIUBAAATAAAAAAAA&#10;AAAAAAAAAAAAAABbQ29udGVudF9UeXBlc10ueG1sUEsBAi0AFAAGAAgAAAAhAFr0LFu/AAAAFQEA&#10;AAsAAAAAAAAAAAAAAAAAHwEAAF9yZWxzLy5yZWxzUEsBAi0AFAAGAAgAAAAhAESjKDzHAAAA3wAA&#10;AA8AAAAAAAAAAAAAAAAABwIAAGRycy9kb3ducmV2LnhtbFBLBQYAAAAAAwADALcAAAD7AgAAAAA=&#10;" filled="f" stroked="f">
                  <v:textbox inset="0,0,0,0">
                    <w:txbxContent>
                      <w:p w14:paraId="24929458" w14:textId="77777777" w:rsidR="00B32EF2" w:rsidRDefault="00000000">
                        <w:r>
                          <w:rPr>
                            <w:rFonts w:ascii="Arial" w:eastAsia="Arial" w:hAnsi="Arial" w:cs="Arial"/>
                            <w:sz w:val="18"/>
                          </w:rPr>
                          <w:t>. L’ufficio dell’Agenzia delle entrate e dell’Agenzia delle dogane e dei mono</w:t>
                        </w:r>
                      </w:p>
                    </w:txbxContent>
                  </v:textbox>
                </v:rect>
                <v:rect id="Rectangle 20069" o:spid="_x0000_s4941" style="position:absolute;left:192;top:1488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n7IxAAAAN4AAAAPAAAAZHJzL2Rvd25yZXYueG1sRI9Pi8Iw&#10;FMTvgt8hPGFvmrqHRbtGERfZHrz4D/b4aJ5ttXkJTbRdP70RBI/DzPyGmS06U4sbNb6yrGA8SkAQ&#10;51ZXXCg47NfDCQgfkDXWlknBP3lYzPu9Gabatryl2y4UIkLYp6igDMGlUvq8JIN+ZB1x9E62MRii&#10;bAqpG2wj3NTyM0m+pMGK40KJjlYl5Zfd1Sj4+2GXrVuZn+4rtzlnk/r3ejgq9THolt8gAnXhHX61&#10;M63gSZzC8068AnL+AAAA//8DAFBLAQItABQABgAIAAAAIQDb4fbL7gAAAIUBAAATAAAAAAAAAAAA&#10;AAAAAAAAAABbQ29udGVudF9UeXBlc10ueG1sUEsBAi0AFAAGAAgAAAAhAFr0LFu/AAAAFQEAAAsA&#10;AAAAAAAAAAAAAAAAHwEAAF9yZWxzLy5yZWxzUEsBAi0AFAAGAAgAAAAhABtefsjEAAAA3gAAAA8A&#10;AAAAAAAAAAAAAAAABwIAAGRycy9kb3ducmV2LnhtbFBLBQYAAAAAAwADALcAAAD4AgAAAAA=&#10;" filled="f" stroked="f">
                  <v:textbox inset="0,0,0,0">
                    <w:txbxContent>
                      <w:p w14:paraId="28AAEE65" w14:textId="77777777" w:rsidR="00B32EF2" w:rsidRDefault="00000000">
                        <w:r>
                          <w:rPr>
                            <w:rFonts w:ascii="Arial" w:eastAsia="Arial" w:hAnsi="Arial" w:cs="Arial"/>
                            <w:sz w:val="18"/>
                          </w:rPr>
                          <w:t>-</w:t>
                        </w:r>
                      </w:p>
                    </w:txbxContent>
                  </v:textbox>
                </v:rect>
                <v:rect id="Rectangle 20070" o:spid="_x0000_s4942" style="position:absolute;left:-13172;top:13614;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UGIxQAAAN4AAAAPAAAAZHJzL2Rvd25yZXYueG1sRI9Ba8JA&#10;EIXvhf6HZQre6sYeWomuIhZpDl5qFTwO2TGJZmeX7Gqiv75zKPQ4vHnf45svB9eqG3Wx8WxgMs5A&#10;EZfeNlwZ2P9sXqegYkK22HomA3eKsFw8P80xt77nb7rtUqUEwjFHA3VKIdc6ljU5jGMfiCU7+c5h&#10;krOrtO2wF7hr9VuWvWuHDctCjYHWNZWX3dUZOH5yKDa9Lk+Pddiei2n7dd0fjBm9DKsZqERD+n/+&#10;axfWgBA/REB0RAX04hcAAP//AwBQSwECLQAUAAYACAAAACEA2+H2y+4AAACFAQAAEwAAAAAAAAAA&#10;AAAAAAAAAAAAW0NvbnRlbnRfVHlwZXNdLnhtbFBLAQItABQABgAIAAAAIQBa9CxbvwAAABUBAAAL&#10;AAAAAAAAAAAAAAAAAB8BAABfcmVscy8ucmVsc1BLAQItABQABgAIAAAAIQAPvUGIxQAAAN4AAAAP&#10;AAAAAAAAAAAAAAAAAAcCAABkcnMvZG93bnJldi54bWxQSwUGAAAAAAMAAwC3AAAA+QIAAAAA&#10;" filled="f" stroked="f">
                  <v:textbox inset="0,0,0,0">
                    <w:txbxContent>
                      <w:p w14:paraId="49D308CA" w14:textId="77777777" w:rsidR="00B32EF2" w:rsidRDefault="00000000">
                        <w:r>
                          <w:rPr>
                            <w:rFonts w:ascii="Arial" w:eastAsia="Arial" w:hAnsi="Arial" w:cs="Arial"/>
                            <w:sz w:val="18"/>
                          </w:rPr>
                          <w:t xml:space="preserve">poli di cui al decreto legislativo 30 luglio 1999, n. 300, nonché dell’agente della </w:t>
                        </w:r>
                      </w:p>
                    </w:txbxContent>
                  </v:textbox>
                </v:rect>
                <v:rect id="Rectangle 20071" o:spid="_x0000_s4943" style="position:absolute;left:-13172;top:1234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eQTxgAAAN4AAAAPAAAAZHJzL2Rvd25yZXYueG1sRI/NasMw&#10;EITvhb6D2EJvjewc2uBGCcXFxIdemh/ocbE2tltrJSw5dvP0USCQ4zAz3zDL9WQ6caLet5YVpLME&#10;BHFldcu1gv2ueFmA8AFZY2eZFPyTh/Xq8WGJmbYjf9NpG2oRIewzVNCE4DIpfdWQQT+zjjh6R9sb&#10;DFH2tdQ9jhFuOjlPkldpsOW40KCjvKHqbzsYBT+f7MpilNXxnLuv33LRbYb9Qannp+njHUSgKdzD&#10;t3apFUTiWwrXO/EKyNUFAAD//wMAUEsBAi0AFAAGAAgAAAAhANvh9svuAAAAhQEAABMAAAAAAAAA&#10;AAAAAAAAAAAAAFtDb250ZW50X1R5cGVzXS54bWxQSwECLQAUAAYACAAAACEAWvQsW78AAAAVAQAA&#10;CwAAAAAAAAAAAAAAAAAfAQAAX3JlbHMvLnJlbHNQSwECLQAUAAYACAAAACEAYPHkE8YAAADeAAAA&#10;DwAAAAAAAAAAAAAAAAAHAgAAZHJzL2Rvd25yZXYueG1sUEsFBgAAAAADAAMAtwAAAPoCAAAAAA==&#10;" filled="f" stroked="f">
                  <v:textbox inset="0,0,0,0">
                    <w:txbxContent>
                      <w:p w14:paraId="1DA7D3B9" w14:textId="77777777" w:rsidR="00B32EF2" w:rsidRDefault="00000000">
                        <w:r>
                          <w:rPr>
                            <w:rFonts w:ascii="Arial" w:eastAsia="Arial" w:hAnsi="Arial" w:cs="Arial"/>
                            <w:sz w:val="18"/>
                          </w:rPr>
                          <w:t xml:space="preserve">riscossione, nei cui confronti è proposto il ricorso, sta in giudizio direttamente </w:t>
                        </w:r>
                      </w:p>
                    </w:txbxContent>
                  </v:textbox>
                </v:rect>
                <v:rect id="Rectangle 20072" o:spid="_x0000_s4944" style="position:absolute;left:-12205;top:11074;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3pkxQAAAN4AAAAPAAAAZHJzL2Rvd25yZXYueG1sRI9Bi8Iw&#10;FITvC/6H8ARva6oHlWoUUcQevOgqeHw0z7a7zUtooq376zeCsMdhZr5hFqvO1OJBja8sKxgNExDE&#10;udUVFwrOX7vPGQgfkDXWlknBkzyslr2PBabatnykxykUIkLYp6igDMGlUvq8JIN+aB1x9G62MRii&#10;bAqpG2wj3NRynCQTabDiuFCio01J+c/pbhRct+yyXSvz2+/GHb6zWb2/ny9KDfrdeg4iUBf+w+92&#10;phVE4nQMrzvxCsjlHwAAAP//AwBQSwECLQAUAAYACAAAACEA2+H2y+4AAACFAQAAEwAAAAAAAAAA&#10;AAAAAAAAAAAAW0NvbnRlbnRfVHlwZXNdLnhtbFBLAQItABQABgAIAAAAIQBa9CxbvwAAABUBAAAL&#10;AAAAAAAAAAAAAAAAAB8BAABfcmVscy8ucmVsc1BLAQItABQABgAIAAAAIQCQI3pkxQAAAN4AAAAP&#10;AAAAAAAAAAAAAAAAAAcCAABkcnMvZG93bnJldi54bWxQSwUGAAAAAAMAAwC3AAAA+QIAAAAA&#10;" filled="f" stroked="f">
                  <v:textbox inset="0,0,0,0">
                    <w:txbxContent>
                      <w:p w14:paraId="19358689" w14:textId="77777777" w:rsidR="00B32EF2" w:rsidRDefault="00000000">
                        <w:r>
                          <w:rPr>
                            <w:rFonts w:ascii="Arial" w:eastAsia="Arial" w:hAnsi="Arial" w:cs="Arial"/>
                            <w:sz w:val="18"/>
                          </w:rPr>
                          <w:t>o mediante la struttura territoriale sovraordinata. Stanno altresì in giudizio di</w:t>
                        </w:r>
                      </w:p>
                    </w:txbxContent>
                  </v:textbox>
                </v:rect>
                <v:rect id="Rectangle 20073" o:spid="_x0000_s4945" style="position:absolute;left:192;top:1107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xgAAAN4AAAAPAAAAZHJzL2Rvd25yZXYueG1sRI9Pi8Iw&#10;FMTvgt8hPMGbprrgStcoosj24GX9A3t8NM+2u81LaKKtfnqzsOBxmJnfMItVZ2pxo8ZXlhVMxgkI&#10;4tzqigsFp+NuNAfhA7LG2jIpuJOH1bLfW2CqbctfdDuEQkQI+xQVlCG4VEqfl2TQj60jjt7FNgZD&#10;lE0hdYNthJtaTpNkJg1WHBdKdLQpKf89XI2C7y27bNfK/PLYuP1PNq8/r6ezUsNBt/4AEagLr/B/&#10;O9MKIvH9Df7uxCsgl08AAAD//wMAUEsBAi0AFAAGAAgAAAAhANvh9svuAAAAhQEAABMAAAAAAAAA&#10;AAAAAAAAAAAAAFtDb250ZW50X1R5cGVzXS54bWxQSwECLQAUAAYACAAAACEAWvQsW78AAAAVAQAA&#10;CwAAAAAAAAAAAAAAAAAfAQAAX3JlbHMvLnJlbHNQSwECLQAUAAYACAAAACEA/2/f/8YAAADeAAAA&#10;DwAAAAAAAAAAAAAAAAAHAgAAZHJzL2Rvd25yZXYueG1sUEsFBgAAAAADAAMAtwAAAPoCAAAAAA==&#10;" filled="f" stroked="f">
                  <v:textbox inset="0,0,0,0">
                    <w:txbxContent>
                      <w:p w14:paraId="31C73A8E" w14:textId="77777777" w:rsidR="00B32EF2" w:rsidRDefault="00000000">
                        <w:r>
                          <w:rPr>
                            <w:rFonts w:ascii="Arial" w:eastAsia="Arial" w:hAnsi="Arial" w:cs="Arial"/>
                            <w:sz w:val="18"/>
                          </w:rPr>
                          <w:t>-</w:t>
                        </w:r>
                      </w:p>
                    </w:txbxContent>
                  </v:textbox>
                </v:rect>
                <v:rect id="Rectangle 20074" o:spid="_x0000_s4946" style="position:absolute;left:-13172;top:980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eLxgAAAN4AAAAPAAAAZHJzL2Rvd25yZXYueG1sRI9Pi8Iw&#10;FMTvgt8hPMGbpsriStcoosj24GX9A3t8NM+2u81LaKKtfnqzsOBxmJnfMItVZ2pxo8ZXlhVMxgkI&#10;4tzqigsFp+NuNAfhA7LG2jIpuJOH1bLfW2CqbctfdDuEQkQI+xQVlCG4VEqfl2TQj60jjt7FNgZD&#10;lE0hdYNthJtaTpNkJg1WHBdKdLQpKf89XI2C7y27bNfK/PLYuP1PNq8/r6ezUsNBt/4AEagLr/B/&#10;O9MKIvH9Df7uxCsgl08AAAD//wMAUEsBAi0AFAAGAAgAAAAhANvh9svuAAAAhQEAABMAAAAAAAAA&#10;AAAAAAAAAAAAAFtDb250ZW50X1R5cGVzXS54bWxQSwECLQAUAAYACAAAACEAWvQsW78AAAAVAQAA&#10;CwAAAAAAAAAAAAAAAAAfAQAAX3JlbHMvLnJlbHNQSwECLQAUAAYACAAAACEAcIZHi8YAAADeAAAA&#10;DwAAAAAAAAAAAAAAAAAHAgAAZHJzL2Rvd25yZXYueG1sUEsFBgAAAAADAAMAtwAAAPoCAAAAAA==&#10;" filled="f" stroked="f">
                  <v:textbox inset="0,0,0,0">
                    <w:txbxContent>
                      <w:p w14:paraId="76630864" w14:textId="77777777" w:rsidR="00B32EF2" w:rsidRDefault="00000000">
                        <w:r>
                          <w:rPr>
                            <w:rFonts w:ascii="Arial" w:eastAsia="Arial" w:hAnsi="Arial" w:cs="Arial"/>
                            <w:sz w:val="18"/>
                          </w:rPr>
                          <w:t xml:space="preserve">rettamente le cancellerie o segreterie degli uffici giudiziari per il contenzioso in </w:t>
                        </w:r>
                      </w:p>
                    </w:txbxContent>
                  </v:textbox>
                </v:rect>
                <v:rect id="Rectangle 20075" o:spid="_x0000_s4947" style="position:absolute;left:19381;top:8534;width:205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IQxgAAAN4AAAAPAAAAZHJzL2Rvd25yZXYueG1sRI9Pi8Iw&#10;FMTvgt8hPMGbpgrrStcoosj24GX9A3t8NM+2u81LaKKtfnqzsOBxmJnfMItVZ2pxo8ZXlhVMxgkI&#10;4tzqigsFp+NuNAfhA7LG2jIpuJOH1bLfW2CqbctfdDuEQkQI+xQVlCG4VEqfl2TQj60jjt7FNgZD&#10;lE0hdYNthJtaTpNkJg1WHBdKdLQpKf89XI2C7y27bNfK/PLYuP1PNq8/r6ezUsNBt/4AEagLr/B/&#10;O9MKIvH9Df7uxCsgl08AAAD//wMAUEsBAi0AFAAGAAgAAAAhANvh9svuAAAAhQEAABMAAAAAAAAA&#10;AAAAAAAAAAAAAFtDb250ZW50X1R5cGVzXS54bWxQSwECLQAUAAYACAAAACEAWvQsW78AAAAVAQAA&#10;CwAAAAAAAAAAAAAAAAAfAQAAX3JlbHMvLnJlbHNQSwECLQAUAAYACAAAACEAH8riEMYAAADeAAAA&#10;DwAAAAAAAAAAAAAAAAAHAgAAZHJzL2Rvd25yZXYueG1sUEsFBgAAAAADAAMAtwAAAPoCAAAAAA==&#10;" filled="f" stroked="f">
                  <v:textbox inset="0,0,0,0">
                    <w:txbxContent>
                      <w:p w14:paraId="22911BD9" w14:textId="77777777" w:rsidR="00B32EF2" w:rsidRDefault="00000000">
                        <w:r>
                          <w:rPr>
                            <w:rFonts w:ascii="Arial" w:eastAsia="Arial" w:hAnsi="Arial" w:cs="Arial"/>
                            <w:sz w:val="18"/>
                          </w:rPr>
                          <w:t>materia di contributo unificato.</w:t>
                        </w:r>
                      </w:p>
                    </w:txbxContent>
                  </v:textbox>
                </v:rect>
                <v:rect id="Rectangle 201053" o:spid="_x0000_s4948" style="position:absolute;left:26349;top:7264;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IukxwAAAN8AAAAPAAAAZHJzL2Rvd25yZXYueG1sRI9BawIx&#10;FITvhf6H8AreaqLFIlujFIt0D160Fnp8bJ67q5uXsInu6q83QsHjMDPfMLNFbxtxpjbUjjWMhgoE&#10;ceFMzaWG3c/qdQoiRGSDjWPScKEAi/nz0wwz4zre0HkbS5EgHDLUUMXoMylDUZHFMHSeOHl711qM&#10;SbalNC12CW4bOVbqXVqsOS1U6GlZUXHcnqyGvy/2+aqTxf669OtDPm2+T7tfrQcv/ecHiEh9fIT/&#10;27nRMFYjNXmD+5/0BeT8BgAA//8DAFBLAQItABQABgAIAAAAIQDb4fbL7gAAAIUBAAATAAAAAAAA&#10;AAAAAAAAAAAAAABbQ29udGVudF9UeXBlc10ueG1sUEsBAi0AFAAGAAgAAAAhAFr0LFu/AAAAFQEA&#10;AAsAAAAAAAAAAAAAAAAAHwEAAF9yZWxzLy5yZWxzUEsBAi0AFAAGAAgAAAAhAFTUi6THAAAA3wAA&#10;AA8AAAAAAAAAAAAAAAAABwIAAGRycy9kb3ducmV2LnhtbFBLBQYAAAAAAwADALcAAAD7AgAAAAA=&#10;" filled="f" stroked="f">
                  <v:textbox inset="0,0,0,0">
                    <w:txbxContent>
                      <w:p w14:paraId="1CC13BB5" w14:textId="77777777" w:rsidR="00B32EF2" w:rsidRDefault="00000000">
                        <w:r>
                          <w:rPr>
                            <w:rFonts w:ascii="Arial" w:eastAsia="Arial" w:hAnsi="Arial" w:cs="Arial"/>
                            <w:sz w:val="18"/>
                          </w:rPr>
                          <w:t>3</w:t>
                        </w:r>
                      </w:p>
                    </w:txbxContent>
                  </v:textbox>
                </v:rect>
                <v:rect id="Rectangle 201054" o:spid="_x0000_s4949" style="position:absolute;left:-12851;top:7264;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PQxwAAAN8AAAAPAAAAZHJzL2Rvd25yZXYueG1sRI9BawIx&#10;FITvhf6H8AreaqLUIlujFIt0D160Fnp8bJ67q5uXsInu6q83QsHjMDPfMLNFbxtxpjbUjjWMhgoE&#10;ceFMzaWG3c/qdQoiRGSDjWPScKEAi/nz0wwz4zre0HkbS5EgHDLUUMXoMylDUZHFMHSeOHl711qM&#10;SbalNC12CW4bOVbqXVqsOS1U6GlZUXHcnqyGvy/2+aqTxf669OtDPm2+T7tfrQcv/ecHiEh9fIT/&#10;27nRMFYjNXmD+5/0BeT8BgAA//8DAFBLAQItABQABgAIAAAAIQDb4fbL7gAAAIUBAAATAAAAAAAA&#10;AAAAAAAAAAAAAABbQ29udGVudF9UeXBlc10ueG1sUEsBAi0AFAAGAAgAAAAhAFr0LFu/AAAAFQEA&#10;AAsAAAAAAAAAAAAAAAAAHwEAAF9yZWxzLy5yZWxzUEsBAi0AFAAGAAgAAAAhANs9E9DHAAAA3wAA&#10;AA8AAAAAAAAAAAAAAAAABwIAAGRycy9kb3ducmV2LnhtbFBLBQYAAAAAAwADALcAAAD7AgAAAAA=&#10;" filled="f" stroked="f">
                  <v:textbox inset="0,0,0,0">
                    <w:txbxContent>
                      <w:p w14:paraId="250B6D40" w14:textId="77777777" w:rsidR="00B32EF2" w:rsidRDefault="00000000">
                        <w:r>
                          <w:rPr>
                            <w:rFonts w:ascii="Arial" w:eastAsia="Arial" w:hAnsi="Arial" w:cs="Arial"/>
                            <w:sz w:val="18"/>
                          </w:rPr>
                          <w:t>. L’ente locale nei cui confronti è proposto il ricorso può stare in giudizio an</w:t>
                        </w:r>
                      </w:p>
                    </w:txbxContent>
                  </v:textbox>
                </v:rect>
                <v:rect id="Rectangle 20077" o:spid="_x0000_s4950" style="position:absolute;left:192;top:726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Nn8xQAAAN4AAAAPAAAAZHJzL2Rvd25yZXYueG1sRI9Pi8Iw&#10;FMTvgt8hPGFvmrqHVbpGERfZHrz4D/b4aJ5ttXkJTbRdP70RBI/DzPyGmS06U4sbNb6yrGA8SkAQ&#10;51ZXXCg47NfDKQgfkDXWlknBP3lYzPu9Gabatryl2y4UIkLYp6igDMGlUvq8JIN+ZB1x9E62MRii&#10;bAqpG2wj3NTyM0m+pMGK40KJjlYl5Zfd1Sj4+2GXrVuZn+4rtzln0/r3ejgq9THolt8gAnXhHX61&#10;M60gEicTeN6JV0DOHwAAAP//AwBQSwECLQAUAAYACAAAACEA2+H2y+4AAACFAQAAEwAAAAAAAAAA&#10;AAAAAAAAAAAAW0NvbnRlbnRfVHlwZXNdLnhtbFBLAQItABQABgAIAAAAIQBa9CxbvwAAABUBAAAL&#10;AAAAAAAAAAAAAAAAAB8BAABfcmVscy8ucmVsc1BLAQItABQABgAIAAAAIQCAVNn8xQAAAN4AAAAP&#10;AAAAAAAAAAAAAAAAAAcCAABkcnMvZG93bnJldi54bWxQSwUGAAAAAAMAAwC3AAAA+QIAAAAA&#10;" filled="f" stroked="f">
                  <v:textbox inset="0,0,0,0">
                    <w:txbxContent>
                      <w:p w14:paraId="1E7A9106" w14:textId="77777777" w:rsidR="00B32EF2" w:rsidRDefault="00000000">
                        <w:r>
                          <w:rPr>
                            <w:rFonts w:ascii="Arial" w:eastAsia="Arial" w:hAnsi="Arial" w:cs="Arial"/>
                            <w:sz w:val="18"/>
                          </w:rPr>
                          <w:t>-</w:t>
                        </w:r>
                      </w:p>
                    </w:txbxContent>
                  </v:textbox>
                </v:rect>
                <v:rect id="Rectangle 20078" o:spid="_x0000_s4951" style="position:absolute;left:-13172;top:599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02OxgAAAN4AAAAPAAAAZHJzL2Rvd25yZXYueG1sRI/BbsIw&#10;DIbvk/YOkSdxGyk7bKgQEGJC64HLGEgcrca0hcaJmkALTz8fJu1o/f4/+5svB9eqG3Wx8WxgMs5A&#10;EZfeNlwZ2P9sXqegYkK22HomA3eKsFw8P80xt77nb7rtUqUEwjFHA3VKIdc6ljU5jGMfiCU7+c5h&#10;krGrtO2wF7hr9VuWvWuHDcuFGgOtayovu6szcPzkUGx6XZ4e67A9F9P267o/GDN6GVYzUImG9L/8&#10;1y6sASF+yL+iIyqgF78AAAD//wMAUEsBAi0AFAAGAAgAAAAhANvh9svuAAAAhQEAABMAAAAAAAAA&#10;AAAAAAAAAAAAAFtDb250ZW50X1R5cGVzXS54bWxQSwECLQAUAAYACAAAACEAWvQsW78AAAAVAQAA&#10;CwAAAAAAAAAAAAAAAAAfAQAAX3JlbHMvLnJlbHNQSwECLQAUAAYACAAAACEA8ctNjsYAAADeAAAA&#10;DwAAAAAAAAAAAAAAAAAHAgAAZHJzL2Rvd25yZXYueG1sUEsFBgAAAAADAAMAtwAAAPoCAAAAAA==&#10;" filled="f" stroked="f">
                  <v:textbox inset="0,0,0,0">
                    <w:txbxContent>
                      <w:p w14:paraId="0EC4C4D1" w14:textId="77777777" w:rsidR="00B32EF2" w:rsidRDefault="00000000">
                        <w:r>
                          <w:rPr>
                            <w:rFonts w:ascii="Arial" w:eastAsia="Arial" w:hAnsi="Arial" w:cs="Arial"/>
                            <w:sz w:val="18"/>
                          </w:rPr>
                          <w:t xml:space="preserve">che mediante il dirigente dell’ufficio tributi, ovvero, per gli enti locali privi di </w:t>
                        </w:r>
                      </w:p>
                    </w:txbxContent>
                  </v:textbox>
                </v:rect>
                <v:rect id="Rectangle 20079" o:spid="_x0000_s4952" style="position:absolute;left:-13172;top:472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gVxgAAAN4AAAAPAAAAZHJzL2Rvd25yZXYueG1sRI9Ba8JA&#10;FITvQv/D8gre6qY9WBtdQ0kRc+ilmoLHR/aZRLNvl+xqYn99t1DwOMzMN8wqG00nrtT71rKC51kC&#10;griyuuVaQbnfPC1A+ICssbNMCm7kIVs/TFaYajvwF113oRYRwj5FBU0ILpXSVw0Z9DPriKN3tL3B&#10;EGVfS93jEOGmky9JMpcGW44LDTrKG6rOu4tRcPhgV2wGWR1/cvd5Khbd9lJ+KzV9HN+XIAKN4R7+&#10;bxdaQSS+vsHfnXgF5PoXAAD//wMAUEsBAi0AFAAGAAgAAAAhANvh9svuAAAAhQEAABMAAAAAAAAA&#10;AAAAAAAAAAAAAFtDb250ZW50X1R5cGVzXS54bWxQSwECLQAUAAYACAAAACEAWvQsW78AAAAVAQAA&#10;CwAAAAAAAAAAAAAAAAAfAQAAX3JlbHMvLnJlbHNQSwECLQAUAAYACAAAACEAnofoFcYAAADeAAAA&#10;DwAAAAAAAAAAAAAAAAAHAgAAZHJzL2Rvd25yZXYueG1sUEsFBgAAAAADAAMAtwAAAPoCAAAAAA==&#10;" filled="f" stroked="f">
                  <v:textbox inset="0,0,0,0">
                    <w:txbxContent>
                      <w:p w14:paraId="1E8AF941" w14:textId="77777777" w:rsidR="00B32EF2" w:rsidRDefault="00000000">
                        <w:r>
                          <w:rPr>
                            <w:rFonts w:ascii="Arial" w:eastAsia="Arial" w:hAnsi="Arial" w:cs="Arial"/>
                            <w:sz w:val="18"/>
                          </w:rPr>
                          <w:t xml:space="preserve">figura dirigenziale, mediante il titolare della posizione organizzativa in cui è </w:t>
                        </w:r>
                      </w:p>
                    </w:txbxContent>
                  </v:textbox>
                </v:rect>
                <v:rect id="Rectangle 20080" o:spid="_x0000_s4953" style="position:absolute;left:24997;top:3455;width:1492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DGvxgAAAN4AAAAPAAAAZHJzL2Rvd25yZXYueG1sRI9Na8JA&#10;EIbvhf6HZQre6qY9SEhdRSzSHLz4UehxyI5JanZ2ya4m+us7h4LH4Z33eXnmy9F16kp9bD0beJtm&#10;oIgrb1uuDRwPm9ccVEzIFjvPZOBGEZaL56c5FtYPvKPrPtVKIBwLNNCkFAqtY9WQwzj1gViyk+8d&#10;Jjn7WtseB4G7Tr9n2Uw7bFkWGgy0bqg67y/OwM8nh3Iz6Op0X4ftb5l3X5fjtzGTl3H1ASrRmB7P&#10;/+3SGhBiLgKiIyqgF38AAAD//wMAUEsBAi0AFAAGAAgAAAAhANvh9svuAAAAhQEAABMAAAAAAAAA&#10;AAAAAAAAAAAAAFtDb250ZW50X1R5cGVzXS54bWxQSwECLQAUAAYACAAAACEAWvQsW78AAAAVAQAA&#10;CwAAAAAAAAAAAAAAAAAfAQAAX3JlbHMvLnJlbHNQSwECLQAUAAYACAAAACEAOmgxr8YAAADeAAAA&#10;DwAAAAAAAAAAAAAAAAAHAgAAZHJzL2Rvd25yZXYueG1sUEsFBgAAAAADAAMAtwAAAPoCAAAAAA==&#10;" filled="f" stroked="f">
                  <v:textbox inset="0,0,0,0">
                    <w:txbxContent>
                      <w:p w14:paraId="2320AFD5" w14:textId="77777777" w:rsidR="00B32EF2" w:rsidRDefault="00000000">
                        <w:r>
                          <w:rPr>
                            <w:rFonts w:ascii="Arial" w:eastAsia="Arial" w:hAnsi="Arial" w:cs="Arial"/>
                            <w:sz w:val="18"/>
                          </w:rPr>
                          <w:t>collocato detto ufficio.</w:t>
                        </w:r>
                      </w:p>
                    </w:txbxContent>
                  </v:textbox>
                </v:rect>
                <v:rect id="Rectangle 201051" o:spid="_x0000_s4954" style="position:absolute;left:26109;top:218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BIxwAAAN8AAAAPAAAAZHJzL2Rvd25yZXYueG1sRI9BawIx&#10;FITvQv9DeIXeNFmhIqtRxCLdQy9aCz0+Ns/d1c1L2ER321/fCEKPw8x8wyzXg23FjbrQONaQTRQI&#10;4tKZhisNx8/deA4iRGSDrWPS8EMB1qun0RJz43re0+0QK5EgHHLUUMfocylDWZPFMHGeOHkn11mM&#10;SXaVNB32CW5bOVVqJi02nBZq9LStqbwcrlbD9xv7YtfL8vS79R/nYt6+X49fWr88D5sFiEhD/A8/&#10;2oXRMFWZes3g/id9Abn6AwAA//8DAFBLAQItABQABgAIAAAAIQDb4fbL7gAAAIUBAAATAAAAAAAA&#10;AAAAAAAAAAAAAABbQ29udGVudF9UeXBlc10ueG1sUEsBAi0AFAAGAAgAAAAhAFr0LFu/AAAAFQEA&#10;AAsAAAAAAAAAAAAAAAAAHwEAAF9yZWxzLy5yZWxzUEsBAi0AFAAGAAgAAAAhAMtKsEjHAAAA3wAA&#10;AA8AAAAAAAAAAAAAAAAABwIAAGRycy9kb3ducmV2LnhtbFBLBQYAAAAAAwADALcAAAD7AgAAAAA=&#10;" filled="f" stroked="f">
                  <v:textbox inset="0,0,0,0">
                    <w:txbxContent>
                      <w:p w14:paraId="61A2057F" w14:textId="77777777" w:rsidR="00B32EF2" w:rsidRDefault="00000000">
                        <w:r>
                          <w:rPr>
                            <w:rFonts w:ascii="Arial" w:eastAsia="Arial" w:hAnsi="Arial" w:cs="Arial"/>
                            <w:sz w:val="18"/>
                          </w:rPr>
                          <w:t>4</w:t>
                        </w:r>
                      </w:p>
                    </w:txbxContent>
                  </v:textbox>
                </v:rect>
                <v:rect id="Rectangle 201052" o:spid="_x0000_s4955" style="position:absolute;left:-13803;top:218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C4/xwAAAN8AAAAPAAAAZHJzL2Rvd25yZXYueG1sRI9BawIx&#10;FITvQv9DeIXeNHGhIqtRxCLdQy9aCz0+Ns/d1c1L2ER321/fCEKPw8x8wyzXg23FjbrQONYwnSgQ&#10;xKUzDVcajp+78RxEiMgGW8ek4YcCrFdPoyXmxvW8p9shViJBOOSooY7R51KGsiaLYeI8cfJOrrMY&#10;k+wqaTrsE9y2MlNqJi02nBZq9LStqbwcrlbD9xv7YtfL8vS79R/nYt6+X49fWr88D5sFiEhD/A8/&#10;2oXRkKmpes3g/id9Abn6AwAA//8DAFBLAQItABQABgAIAAAAIQDb4fbL7gAAAIUBAAATAAAAAAAA&#10;AAAAAAAAAAAAAABbQ29udGVudF9UeXBlc10ueG1sUEsBAi0AFAAGAAgAAAAhAFr0LFu/AAAAFQEA&#10;AAsAAAAAAAAAAAAAAAAAHwEAAF9yZWxzLy5yZWxzUEsBAi0AFAAGAAgAAAAhADuYLj/HAAAA3wAA&#10;AA8AAAAAAAAAAAAAAAAABwIAAGRycy9kb3ducmV2LnhtbFBLBQYAAAAAAwADALcAAAD7AgAAAAA=&#10;" filled="f" stroked="f">
                  <v:textbox inset="0,0,0,0">
                    <w:txbxContent>
                      <w:p w14:paraId="327E4DB5" w14:textId="77777777" w:rsidR="00B32EF2" w:rsidRDefault="00000000">
                        <w:r>
                          <w:rPr>
                            <w:rFonts w:ascii="Arial" w:eastAsia="Arial" w:hAnsi="Arial" w:cs="Arial"/>
                            <w:sz w:val="18"/>
                          </w:rPr>
                          <w:t xml:space="preserve">. La regione nei cui confronti è proposto il ricorso può stare in giudizio anche </w:t>
                        </w:r>
                      </w:p>
                    </w:txbxContent>
                  </v:textbox>
                </v:rect>
                <v:rect id="Rectangle 20082" o:spid="_x0000_s4956" style="position:absolute;left:-12187;top:915;width:52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gpDxQAAAN4AAAAPAAAAZHJzL2Rvd25yZXYueG1sRI9Pi8Iw&#10;FMTvwn6H8Ba8aboepHSNIi6yPezFf+Dx0Tzbrs1LaKKtfnojCB6HmfkNM1v0phFXan1tWcHXOAFB&#10;XFhdc6lgv1uPUhA+IGtsLJOCG3lYzD8GM8y07XhD120oRYSwz1BBFYLLpPRFRQb92Dri6J1sazBE&#10;2ZZSt9hFuGnkJEmm0mDNcaFCR6uKivP2YhQcf9jl604Wp/vK/f3nafN72R+UGn72y28QgfrwDr/a&#10;uVYQiekEnnfiFZDzBwAAAP//AwBQSwECLQAUAAYACAAAACEA2+H2y+4AAACFAQAAEwAAAAAAAAAA&#10;AAAAAAAAAAAAW0NvbnRlbnRfVHlwZXNdLnhtbFBLAQItABQABgAIAAAAIQBa9CxbvwAAABUBAAAL&#10;AAAAAAAAAAAAAAAAAB8BAABfcmVscy8ucmVsc1BLAQItABQABgAIAAAAIQCl9gpDxQAAAN4AAAAP&#10;AAAAAAAAAAAAAAAAAAcCAABkcnMvZG93bnJldi54bWxQSwUGAAAAAAMAAwC3AAAA+QIAAAAA&#10;" filled="f" stroked="f">
                  <v:textbox inset="0,0,0,0">
                    <w:txbxContent>
                      <w:p w14:paraId="3EB6A1FC" w14:textId="77777777" w:rsidR="00B32EF2" w:rsidRDefault="00000000">
                        <w:r>
                          <w:rPr>
                            <w:rFonts w:ascii="Arial" w:eastAsia="Arial" w:hAnsi="Arial" w:cs="Arial"/>
                            <w:sz w:val="18"/>
                          </w:rPr>
                          <w:t>mediante i dirigenti degli uffici finanziari e tributari, nonché mediante i funzio</w:t>
                        </w:r>
                      </w:p>
                    </w:txbxContent>
                  </v:textbox>
                </v:rect>
                <v:rect id="Rectangle 20083" o:spid="_x0000_s4957" style="position:absolute;left:192;top:91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q/YxQAAAN4AAAAPAAAAZHJzL2Rvd25yZXYueG1sRI9Ba8JA&#10;FITvBf/D8gRvdWOFEqKriCLNwUvVQo+P7DOJZt8u2dXE/vquIHgcZuYbZr7sTSNu1PrasoLJOAFB&#10;XFhdc6ngeNi+pyB8QNbYWCYFd/KwXAze5php2/E33fahFBHCPkMFVQguk9IXFRn0Y+uIo3eyrcEQ&#10;ZVtK3WIX4aaRH0nyKQ3WHBcqdLSuqLjsr0bB74Zdvu1kcfpbu905T5uv6/FHqdGwX81ABOrDK/xs&#10;51pBJKZTeNyJV0Au/gEAAP//AwBQSwECLQAUAAYACAAAACEA2+H2y+4AAACFAQAAEwAAAAAAAAAA&#10;AAAAAAAAAAAAW0NvbnRlbnRfVHlwZXNdLnhtbFBLAQItABQABgAIAAAAIQBa9CxbvwAAABUBAAAL&#10;AAAAAAAAAAAAAAAAAB8BAABfcmVscy8ucmVsc1BLAQItABQABgAIAAAAIQDKuq/YxQAAAN4AAAAP&#10;AAAAAAAAAAAAAAAAAAcCAABkcnMvZG93bnJldi54bWxQSwUGAAAAAAMAAwC3AAAA+QIAAAAA&#10;" filled="f" stroked="f">
                  <v:textbox inset="0,0,0,0">
                    <w:txbxContent>
                      <w:p w14:paraId="3269E9FD" w14:textId="77777777" w:rsidR="00B32EF2" w:rsidRDefault="00000000">
                        <w:r>
                          <w:rPr>
                            <w:rFonts w:ascii="Arial" w:eastAsia="Arial" w:hAnsi="Arial" w:cs="Arial"/>
                            <w:sz w:val="18"/>
                          </w:rPr>
                          <w:t>-</w:t>
                        </w:r>
                      </w:p>
                    </w:txbxContent>
                  </v:textbox>
                </v:rect>
                <v:rect id="Rectangle 20084" o:spid="_x0000_s4958" style="position:absolute;left:4924;top:-354;width:3499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zesxQAAAN4AAAAPAAAAZHJzL2Rvd25yZXYueG1sRI9Ba8JA&#10;FITvBf/D8gRvdWOREqKriCLNwUvVQo+P7DOJZt8u2dXE/vquIHgcZuYbZr7sTSNu1PrasoLJOAFB&#10;XFhdc6ngeNi+pyB8QNbYWCYFd/KwXAze5php2/E33fahFBHCPkMFVQguk9IXFRn0Y+uIo3eyrcEQ&#10;ZVtK3WIX4aaRH0nyKQ3WHBcqdLSuqLjsr0bB74Zdvu1kcfpbu905T5uv6/FHqdGwX81ABOrDK/xs&#10;51pBJKZTeNyJV0Au/gEAAP//AwBQSwECLQAUAAYACAAAACEA2+H2y+4AAACFAQAAEwAAAAAAAAAA&#10;AAAAAAAAAAAAW0NvbnRlbnRfVHlwZXNdLnhtbFBLAQItABQABgAIAAAAIQBa9CxbvwAAABUBAAAL&#10;AAAAAAAAAAAAAAAAAB8BAABfcmVscy8ucmVsc1BLAQItABQABgAIAAAAIQBFUzesxQAAAN4AAAAP&#10;AAAAAAAAAAAAAAAAAAcCAABkcnMvZG93bnJldi54bWxQSwUGAAAAAAMAAwC3AAAA+QIAAAAA&#10;" filled="f" stroked="f">
                  <v:textbox inset="0,0,0,0">
                    <w:txbxContent>
                      <w:p w14:paraId="22ADDFF1" w14:textId="77777777" w:rsidR="00B32EF2" w:rsidRDefault="00000000">
                        <w:r>
                          <w:rPr>
                            <w:rFonts w:ascii="Arial" w:eastAsia="Arial" w:hAnsi="Arial" w:cs="Arial"/>
                            <w:sz w:val="18"/>
                          </w:rPr>
                          <w:t>nari individuati dall’ente con proprio provvedimento.</w:t>
                        </w:r>
                      </w:p>
                    </w:txbxContent>
                  </v:textbox>
                </v:rect>
                <v:shape id="Shape 208032" o:spid="_x0000_s4959" style="position:absolute;left:316;top:28348;width:39600;height:5093;visibility:visible;mso-wrap-style:square;v-text-anchor:top" coordsize="3960000,50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txcyAAAAN8AAAAPAAAAZHJzL2Rvd25yZXYueG1sRI/dasJA&#10;FITvC77DcoTe1V0jSEhdpQj9FQSttL08zZ4m0ezZkN3G+PauIHg5zMw3zGzR21p01PrKsYbxSIEg&#10;zp2puNCw+3x+SEH4gGywdkwaTuRhMR/czTAz7sgb6rahEBHCPkMNZQhNJqXPS7LoR64hjt6fay2G&#10;KNtCmhaPEW5rmSg1lRYrjgslNrQsKT9s/62Gj++VrKfr38m+OL2//nTuayfTF63vh/3TI4hAfbiF&#10;r+03oyFRqZokcPkTv4CcnwEAAP//AwBQSwECLQAUAAYACAAAACEA2+H2y+4AAACFAQAAEwAAAAAA&#10;AAAAAAAAAAAAAAAAW0NvbnRlbnRfVHlwZXNdLnhtbFBLAQItABQABgAIAAAAIQBa9CxbvwAAABUB&#10;AAALAAAAAAAAAAAAAAAAAB8BAABfcmVscy8ucmVsc1BLAQItABQABgAIAAAAIQAZCtxcyAAAAN8A&#10;AAAPAAAAAAAAAAAAAAAAAAcCAABkcnMvZG93bnJldi54bWxQSwUGAAAAAAMAAwC3AAAA/AIAAAAA&#10;" path="m,l3960000,r,509295l,509295,,e" fillcolor="#c3c3c3" stroked="f" strokeweight="0">
                  <v:stroke miterlimit="83231f" joinstyle="miter"/>
                  <v:path arrowok="t" textboxrect="0,0,3960000,509295"/>
                </v:shape>
                <v:rect id="Rectangle 20086" o:spid="_x0000_s4960" style="position:absolute;left:23286;top:31228;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xAxQAAAN4AAAAPAAAAZHJzL2Rvd25yZXYueG1sRI9Pi8Iw&#10;FMTvwn6H8Ba8abp7kNI1irjI9uDFf+Dx0Tzbrs1LaKKtfnojCB6HmfkNM533phFXan1tWcHXOAFB&#10;XFhdc6lgv1uNUhA+IGtsLJOCG3mYzz4GU8y07XhD120oRYSwz1BBFYLLpPRFRQb92Dri6J1sazBE&#10;2ZZSt9hFuGnkd5JMpMGa40KFjpYVFeftxSg4/rLLV50sTvelW//nafN32R+UGn72ix8QgfrwDr/a&#10;uVYQiekEnnfiFZCzBwAAAP//AwBQSwECLQAUAAYACAAAACEA2+H2y+4AAACFAQAAEwAAAAAAAAAA&#10;AAAAAAAAAAAAW0NvbnRlbnRfVHlwZXNdLnhtbFBLAQItABQABgAIAAAAIQBa9CxbvwAAABUBAAAL&#10;AAAAAAAAAAAAAAAAAB8BAABfcmVscy8ucmVsc1BLAQItABQABgAIAAAAIQDazQxAxQAAAN4AAAAP&#10;AAAAAAAAAAAAAAAAAAcCAABkcnMvZG93bnJldi54bWxQSwUGAAAAAAMAAwC3AAAA+QIAAAAA&#10;" filled="f" stroked="f">
                  <v:textbox inset="0,0,0,0">
                    <w:txbxContent>
                      <w:p w14:paraId="365E068A" w14:textId="77777777" w:rsidR="00B32EF2" w:rsidRDefault="00000000">
                        <w:r>
                          <w:rPr>
                            <w:rFonts w:ascii="Arial" w:eastAsia="Arial" w:hAnsi="Arial" w:cs="Arial"/>
                            <w:b/>
                            <w:i/>
                            <w:sz w:val="18"/>
                          </w:rPr>
                          <w:t>NORME RICHIAMATE</w:t>
                        </w:r>
                      </w:p>
                    </w:txbxContent>
                  </v:textbox>
                </v:rect>
                <v:rect id="Rectangle 20087" o:spid="_x0000_s4961" style="position:absolute;left:-11171;top:29995;width:503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anbxQAAAN4AAAAPAAAAZHJzL2Rvd25yZXYueG1sRI9Ba8JA&#10;FITvBf/D8gRvdWMPNkRXEUWag5eqhR4f2WcSzb5dsquJ/fVdQfA4zMw3zHzZm0bcqPW1ZQWTcQKC&#10;uLC65lLB8bB9T0H4gKyxsUwK7uRhuRi8zTHTtuNvuu1DKSKEfYYKqhBcJqUvKjLox9YRR+9kW4Mh&#10;yraUusUuwk0jP5JkKg3WHBcqdLSuqLjsr0bB74Zdvu1kcfpbu905T5uv6/FHqdGwX81ABOrDK/xs&#10;51pBJKaf8LgTr4Bc/AMAAP//AwBQSwECLQAUAAYACAAAACEA2+H2y+4AAACFAQAAEwAAAAAAAAAA&#10;AAAAAAAAAAAAW0NvbnRlbnRfVHlwZXNdLnhtbFBLAQItABQABgAIAAAAIQBa9CxbvwAAABUBAAAL&#10;AAAAAAAAAAAAAAAAAB8BAABfcmVscy8ucmVsc1BLAQItABQABgAIAAAAIQC1ganbxQAAAN4AAAAP&#10;AAAAAAAAAAAAAAAAAAcCAABkcnMvZG93bnJldi54bWxQSwUGAAAAAAMAAwC3AAAA+QIAAAAA&#10;" filled="f" stroked="f">
                  <v:textbox inset="0,0,0,0">
                    <w:txbxContent>
                      <w:p w14:paraId="04AAE322" w14:textId="77777777" w:rsidR="00B32EF2" w:rsidRDefault="00000000">
                        <w:r>
                          <w:rPr>
                            <w:rFonts w:ascii="Arial" w:eastAsia="Arial" w:hAnsi="Arial" w:cs="Arial"/>
                            <w:i/>
                            <w:sz w:val="18"/>
                          </w:rPr>
                          <w:t>art. 53 D.lgs. 446/1997 “Albo per l’accertamento e riscossione delle entra-</w:t>
                        </w:r>
                      </w:p>
                    </w:txbxContent>
                  </v:textbox>
                </v:rect>
                <v:rect id="Rectangle 20088" o:spid="_x0000_s4962" style="position:absolute;left:26779;top:28762;width:123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j2pxgAAAN4AAAAPAAAAZHJzL2Rvd25yZXYueG1sRI9Nb8Iw&#10;DIbvk/YfIk/iNtLtgKqOgBATWg9c+Ji0o9WYtqNxoibQwq+fD5M4Wq/fx37my9F16kp9bD0beJtm&#10;oIgrb1uuDRwPm9ccVEzIFjvPZOBGEZaL56c5FtYPvKPrPtVKIBwLNNCkFAqtY9WQwzj1gViyk+8d&#10;Jhn7WtseB4G7Tr9n2Uw7bFkuNBho3VB13l+cgZ9PDuVm0NXpvg7b3zLvvi7Hb2MmL+PqA1SiMT2W&#10;/9ulNSDEXP4VHVEBvfgDAAD//wMAUEsBAi0AFAAGAAgAAAAhANvh9svuAAAAhQEAABMAAAAAAAAA&#10;AAAAAAAAAAAAAFtDb250ZW50X1R5cGVzXS54bWxQSwECLQAUAAYACAAAACEAWvQsW78AAAAVAQAA&#10;CwAAAAAAAAAAAAAAAAAfAQAAX3JlbHMvLnJlbHNQSwECLQAUAAYACAAAACEAxB49qcYAAADeAAAA&#10;DwAAAAAAAAAAAAAAAAAHAgAAZHJzL2Rvd25yZXYueG1sUEsFBgAAAAADAAMAtwAAAPoCAAAAAA==&#10;" filled="f" stroked="f">
                  <v:textbox inset="0,0,0,0">
                    <w:txbxContent>
                      <w:p w14:paraId="45775177" w14:textId="77777777" w:rsidR="00B32EF2" w:rsidRDefault="00000000">
                        <w:r>
                          <w:rPr>
                            <w:rFonts w:ascii="Arial" w:eastAsia="Arial" w:hAnsi="Arial" w:cs="Arial"/>
                            <w:i/>
                            <w:sz w:val="18"/>
                          </w:rPr>
                          <w:t>te degli enti locali”</w:t>
                        </w:r>
                      </w:p>
                    </w:txbxContent>
                  </v:textbox>
                </v:rect>
                <v:shape id="Shape 20089" o:spid="_x0000_s4963" style="position:absolute;left:316;top:28348;width:39600;height:5093;visibility:visible;mso-wrap-style:square;v-text-anchor:top" coordsize="3960000,50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PYFxQAAAN4AAAAPAAAAZHJzL2Rvd25yZXYueG1sRI9La8Mw&#10;EITvhfwHsYXcark5mMS1bIohIackTR/nxdraptbKWIof/z4qFHocZuYbJitm04mRBtdaVvAcxSCI&#10;K6tbrhV8vO+ftiCcR9bYWSYFCzko8tVDhqm2E7/RePW1CBB2KSpovO9TKV3VkEEX2Z44eN92MOiD&#10;HGqpB5wC3HRyE8eJNNhyWGiwp7Kh6ud6MwrK/c591Rtsk3Hxn+fL7XA6Lwel1o/z6wsIT7P/D/+1&#10;j1pBIG538HsnXAGZ3wEAAP//AwBQSwECLQAUAAYACAAAACEA2+H2y+4AAACFAQAAEwAAAAAAAAAA&#10;AAAAAAAAAAAAW0NvbnRlbnRfVHlwZXNdLnhtbFBLAQItABQABgAIAAAAIQBa9CxbvwAAABUBAAAL&#10;AAAAAAAAAAAAAAAAAB8BAABfcmVscy8ucmVsc1BLAQItABQABgAIAAAAIQDV0PYFxQAAAN4AAAAP&#10;AAAAAAAAAAAAAAAAAAcCAABkcnMvZG93bnJldi54bWxQSwUGAAAAAAMAAwC3AAAA+QIAAAAA&#10;" path="m,509295r3960000,l3960000,,,,,509295xe" filled="f" strokeweight="1pt">
                  <v:stroke miterlimit="1" joinstyle="miter"/>
                  <v:path arrowok="t" textboxrect="0,0,3960000,509295"/>
                </v:shape>
                <w10:anchorlock/>
              </v:group>
            </w:pict>
          </mc:Fallback>
        </mc:AlternateContent>
      </w:r>
    </w:p>
    <w:p w14:paraId="0D11FD59" w14:textId="77777777" w:rsidR="00B32EF2" w:rsidRDefault="00000000">
      <w:pPr>
        <w:spacing w:after="841"/>
        <w:ind w:left="-1440" w:right="7064"/>
      </w:pPr>
      <w:r>
        <w:rPr>
          <w:noProof/>
        </w:rPr>
        <mc:AlternateContent>
          <mc:Choice Requires="wpg">
            <w:drawing>
              <wp:anchor distT="0" distB="0" distL="114300" distR="114300" simplePos="0" relativeHeight="251667456" behindDoc="0" locked="0" layoutInCell="1" allowOverlap="1" wp14:anchorId="2FC8D043" wp14:editId="45EA5CCD">
                <wp:simplePos x="0" y="0"/>
                <wp:positionH relativeFrom="page">
                  <wp:posOffset>2632944</wp:posOffset>
                </wp:positionH>
                <wp:positionV relativeFrom="page">
                  <wp:posOffset>397149</wp:posOffset>
                </wp:positionV>
                <wp:extent cx="134112" cy="188456"/>
                <wp:effectExtent l="0" t="0" r="0" b="0"/>
                <wp:wrapTopAndBottom/>
                <wp:docPr id="201594" name="Group 201594"/>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20154" name="Rectangle 20154"/>
                        <wps:cNvSpPr/>
                        <wps:spPr>
                          <a:xfrm rot="-10799999">
                            <a:off x="-44256" y="-62190"/>
                            <a:ext cx="178369" cy="250646"/>
                          </a:xfrm>
                          <a:prstGeom prst="rect">
                            <a:avLst/>
                          </a:prstGeom>
                          <a:ln>
                            <a:noFill/>
                          </a:ln>
                        </wps:spPr>
                        <wps:txbx>
                          <w:txbxContent>
                            <w:p w14:paraId="118E4887" w14:textId="77777777" w:rsidR="00B32EF2" w:rsidRDefault="00000000">
                              <w:r>
                                <w:rPr>
                                  <w:rFonts w:ascii="Times New Roman" w:eastAsia="Times New Roman" w:hAnsi="Times New Roman" w:cs="Times New Roman"/>
                                </w:rPr>
                                <w:t>46</w:t>
                              </w:r>
                            </w:p>
                          </w:txbxContent>
                        </wps:txbx>
                        <wps:bodyPr horzOverflow="overflow" vert="horz" lIns="0" tIns="0" rIns="0" bIns="0" rtlCol="0">
                          <a:noAutofit/>
                        </wps:bodyPr>
                      </wps:wsp>
                    </wpg:wgp>
                  </a:graphicData>
                </a:graphic>
              </wp:anchor>
            </w:drawing>
          </mc:Choice>
          <mc:Fallback>
            <w:pict>
              <v:group w14:anchorId="2FC8D043" id="Group 201594" o:spid="_x0000_s4964" style="position:absolute;left:0;text-align:left;margin-left:207.3pt;margin-top:31.25pt;width:10.55pt;height:14.85pt;z-index:251667456;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AwXGgIAAIEEAAAOAAAAZHJzL2Uyb0RvYy54bWyklNuO2yAQhu8r9R0Q94kPcZzEirOqut2o&#10;UtVd7bYPQDA+SBgQkNjp03fAh7S7Ui+2vsDDgId/Pma8v+tbji5Mm0aKHEfLECMmqCwaUeX454+H&#10;xRYjY4koCJeC5fjKDL47fPyw71TGYllLXjCNIIgwWadyXFursiAwtGYtMUupmIDFUuqWWJjqKig0&#10;6SB6y4M4DNOgk7pQWlJmDHjvh0V88PHLklH7WJaGWcRzDNqsH7UfT24MDnuSVZqouqGjDPIOFS1p&#10;BBw6h7onlqCzbt6EahuqpZGlXVLZBrIsG8p8DpBNFL7K5qjlWflcqqyr1IwJ0L7i9O6w9PvlqNWL&#10;etJAolMVsPAzl0tf6ta9QSXqPbLrjIz1FlFwRqskimKMKCxF222yTgektAbub76i9Zd/fhdMhwZ/&#10;SekUFIe55W/+L/+XmijmsZoM8n/SqClyDPzXCUaCtFCmz1A4RFScocHt4fjdMyqTGaA2cUJaQm0t&#10;onCzc4+vhZHbIkliwIKA0CKNo91YdDPBzXaV7gaC8TpME09wJkEypY09MtkiZ+RYgzQfnly+GQvC&#10;YOu0xanhwo1CPjScD6vOA0Anwc6y/an3Wa82aexuzDlPsrgCjFrqX4/Q0iWXXY7laGHX5XC8W8WI&#10;fxVwCa6hJkNPxmkytOWfpW+7QdCns5Vl4xXfThuVwe16y9e5T2nsSddIf879rtuf4/AbAAD//wMA&#10;UEsDBBQABgAIAAAAIQD34GMw4AAAAAkBAAAPAAAAZHJzL2Rvd25yZXYueG1sTI9BT4NAEIXvJv6H&#10;zZh4swsUUJGhaRr11DSxNTHepjAFUnaXsFug/971pMfJ+/LeN/lqVp0YebCt0QjhIgDBujRVq2uE&#10;z8PbwxMI60hX1BnNCFe2sCpub3LKKjPpDx73rha+RNuMEBrn+kxKWzasyC5Mz9pnJzMocv4calkN&#10;NPly1ckoCFKpqNV+oaGeNw2X5/1FIbxPNK2X4eu4PZ821+9Dsvvahox4fzevX0A4nt0fDL/6Xh0K&#10;73Q0F11Z0SHEYZx6FCGNEhAeiJfJI4gjwnMUgSxy+f+D4gcAAP//AwBQSwECLQAUAAYACAAAACEA&#10;toM4kv4AAADhAQAAEwAAAAAAAAAAAAAAAAAAAAAAW0NvbnRlbnRfVHlwZXNdLnhtbFBLAQItABQA&#10;BgAIAAAAIQA4/SH/1gAAAJQBAAALAAAAAAAAAAAAAAAAAC8BAABfcmVscy8ucmVsc1BLAQItABQA&#10;BgAIAAAAIQDQoAwXGgIAAIEEAAAOAAAAAAAAAAAAAAAAAC4CAABkcnMvZTJvRG9jLnhtbFBLAQIt&#10;ABQABgAIAAAAIQD34GMw4AAAAAkBAAAPAAAAAAAAAAAAAAAAAHQEAABkcnMvZG93bnJldi54bWxQ&#10;SwUGAAAAAAQABADzAAAAgQUAAAAA&#10;">
                <v:rect id="Rectangle 20154" o:spid="_x0000_s4965"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hR2xgAAAN4AAAAPAAAAZHJzL2Rvd25yZXYueG1sRI9Ba8JA&#10;FITvBf/D8gre6kapRaKrFEWagxetBY+P7DOJZt8u2dVEf70rFDwOM/MNM1t0phZXanxlWcFwkIAg&#10;zq2uuFCw/11/TED4gKyxtkwKbuRhMe+9zTDVtuUtXXehEBHCPkUFZQguldLnJRn0A+uIo3e0jcEQ&#10;ZVNI3WAb4aaWoyT5kgYrjgslOlqWlJ93F6PgsGKXrVuZH+9Ltzllk/rnsv9Tqv/efU9BBOrCK/zf&#10;zrSCUTIcf8LzTrwCcv4AAAD//wMAUEsBAi0AFAAGAAgAAAAhANvh9svuAAAAhQEAABMAAAAAAAAA&#10;AAAAAAAAAAAAAFtDb250ZW50X1R5cGVzXS54bWxQSwECLQAUAAYACAAAACEAWvQsW78AAAAVAQAA&#10;CwAAAAAAAAAAAAAAAAAfAQAAX3JlbHMvLnJlbHNQSwECLQAUAAYACAAAACEATdIUdsYAAADeAAAA&#10;DwAAAAAAAAAAAAAAAAAHAgAAZHJzL2Rvd25yZXYueG1sUEsFBgAAAAADAAMAtwAAAPoCAAAAAA==&#10;" filled="f" stroked="f">
                  <v:textbox inset="0,0,0,0">
                    <w:txbxContent>
                      <w:p w14:paraId="118E4887" w14:textId="77777777" w:rsidR="00B32EF2" w:rsidRDefault="00000000">
                        <w:r>
                          <w:rPr>
                            <w:rFonts w:ascii="Times New Roman" w:eastAsia="Times New Roman" w:hAnsi="Times New Roman" w:cs="Times New Roman"/>
                          </w:rPr>
                          <w:t>46</w:t>
                        </w:r>
                      </w:p>
                    </w:txbxContent>
                  </v:textbox>
                </v:rect>
                <w10:wrap type="topAndBottom" anchorx="page" anchory="page"/>
              </v:group>
            </w:pict>
          </mc:Fallback>
        </mc:AlternateContent>
      </w:r>
    </w:p>
    <w:p w14:paraId="0630EE17" w14:textId="77777777" w:rsidR="00B32EF2" w:rsidRDefault="00000000">
      <w:pPr>
        <w:spacing w:after="0"/>
        <w:ind w:left="-357" w:right="-306"/>
      </w:pPr>
      <w:r>
        <w:rPr>
          <w:noProof/>
        </w:rPr>
        <w:lastRenderedPageBreak/>
        <mc:AlternateContent>
          <mc:Choice Requires="wpg">
            <w:drawing>
              <wp:inline distT="0" distB="0" distL="0" distR="0" wp14:anchorId="4AF702BB" wp14:editId="0130AD1C">
                <wp:extent cx="3992156" cy="5404751"/>
                <wp:effectExtent l="0" t="0" r="0" b="0"/>
                <wp:docPr id="201595" name="Group 201595"/>
                <wp:cNvGraphicFramePr/>
                <a:graphic xmlns:a="http://schemas.openxmlformats.org/drawingml/2006/main">
                  <a:graphicData uri="http://schemas.microsoft.com/office/word/2010/wordprocessingGroup">
                    <wpg:wgp>
                      <wpg:cNvGrpSpPr/>
                      <wpg:grpSpPr>
                        <a:xfrm>
                          <a:off x="0" y="0"/>
                          <a:ext cx="3992156" cy="5404751"/>
                          <a:chOff x="0" y="0"/>
                          <a:chExt cx="3992156" cy="5404751"/>
                        </a:xfrm>
                      </wpg:grpSpPr>
                      <wps:wsp>
                        <wps:cNvPr id="20155" name="Rectangle 20155"/>
                        <wps:cNvSpPr/>
                        <wps:spPr>
                          <a:xfrm rot="-10799999">
                            <a:off x="1506625" y="2061151"/>
                            <a:ext cx="811265" cy="142889"/>
                          </a:xfrm>
                          <a:prstGeom prst="rect">
                            <a:avLst/>
                          </a:prstGeom>
                          <a:ln>
                            <a:noFill/>
                          </a:ln>
                        </wps:spPr>
                        <wps:txbx>
                          <w:txbxContent>
                            <w:p w14:paraId="6657F1D4" w14:textId="77777777" w:rsidR="00B32EF2" w:rsidRDefault="00000000">
                              <w:r>
                                <w:rPr>
                                  <w:rFonts w:ascii="Arial" w:eastAsia="Arial" w:hAnsi="Arial" w:cs="Arial"/>
                                  <w:b/>
                                  <w:sz w:val="18"/>
                                </w:rPr>
                                <w:t>Articolo 53</w:t>
                              </w:r>
                            </w:p>
                          </w:txbxContent>
                        </wps:txbx>
                        <wps:bodyPr horzOverflow="overflow" vert="horz" lIns="0" tIns="0" rIns="0" bIns="0" rtlCol="0">
                          <a:noAutofit/>
                        </wps:bodyPr>
                      </wps:wsp>
                      <wps:wsp>
                        <wps:cNvPr id="201552" name="Rectangle 201552"/>
                        <wps:cNvSpPr/>
                        <wps:spPr>
                          <a:xfrm rot="-10799999">
                            <a:off x="-144213" y="1937821"/>
                            <a:ext cx="1856714" cy="142889"/>
                          </a:xfrm>
                          <a:prstGeom prst="rect">
                            <a:avLst/>
                          </a:prstGeom>
                          <a:ln>
                            <a:noFill/>
                          </a:ln>
                        </wps:spPr>
                        <wps:txbx>
                          <w:txbxContent>
                            <w:p w14:paraId="35EF0742"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551" name="Rectangle 201551"/>
                        <wps:cNvSpPr/>
                        <wps:spPr>
                          <a:xfrm rot="-10799999">
                            <a:off x="2211416" y="1937822"/>
                            <a:ext cx="1856715" cy="142889"/>
                          </a:xfrm>
                          <a:prstGeom prst="rect">
                            <a:avLst/>
                          </a:prstGeom>
                          <a:ln>
                            <a:noFill/>
                          </a:ln>
                        </wps:spPr>
                        <wps:txbx>
                          <w:txbxContent>
                            <w:p w14:paraId="5C5A0B5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553" name="Rectangle 201553"/>
                        <wps:cNvSpPr/>
                        <wps:spPr>
                          <a:xfrm rot="-10799999">
                            <a:off x="1216653" y="1937822"/>
                            <a:ext cx="1856715" cy="142889"/>
                          </a:xfrm>
                          <a:prstGeom prst="rect">
                            <a:avLst/>
                          </a:prstGeom>
                          <a:ln>
                            <a:noFill/>
                          </a:ln>
                        </wps:spPr>
                        <wps:txbx>
                          <w:txbxContent>
                            <w:p w14:paraId="7BBB9016" w14:textId="77777777" w:rsidR="00B32EF2" w:rsidRDefault="00000000">
                              <w:r>
                                <w:rPr>
                                  <w:rFonts w:ascii="Arial" w:eastAsia="Arial" w:hAnsi="Arial" w:cs="Arial"/>
                                  <w:i/>
                                  <w:sz w:val="18"/>
                                </w:rPr>
                                <w:t xml:space="preserve">articolo 8 D.lgs. n. </w:t>
                              </w:r>
                            </w:p>
                          </w:txbxContent>
                        </wps:txbx>
                        <wps:bodyPr horzOverflow="overflow" vert="horz" lIns="0" tIns="0" rIns="0" bIns="0" rtlCol="0">
                          <a:noAutofit/>
                        </wps:bodyPr>
                      </wps:wsp>
                      <wps:wsp>
                        <wps:cNvPr id="20157" name="Rectangle 20157"/>
                        <wps:cNvSpPr/>
                        <wps:spPr>
                          <a:xfrm rot="-10799999">
                            <a:off x="658566" y="1814491"/>
                            <a:ext cx="2143498" cy="142889"/>
                          </a:xfrm>
                          <a:prstGeom prst="rect">
                            <a:avLst/>
                          </a:prstGeom>
                          <a:ln>
                            <a:noFill/>
                          </a:ln>
                        </wps:spPr>
                        <wps:txbx>
                          <w:txbxContent>
                            <w:p w14:paraId="67B16061" w14:textId="77777777" w:rsidR="00B32EF2" w:rsidRDefault="00000000">
                              <w:r>
                                <w:rPr>
                                  <w:rFonts w:ascii="Arial" w:eastAsia="Arial" w:hAnsi="Arial" w:cs="Arial"/>
                                  <w:b/>
                                  <w:sz w:val="18"/>
                                </w:rPr>
                                <w:t xml:space="preserve">Errore sulla norma tributaria </w:t>
                              </w:r>
                            </w:p>
                          </w:txbxContent>
                        </wps:txbx>
                        <wps:bodyPr horzOverflow="overflow" vert="horz" lIns="0" tIns="0" rIns="0" bIns="0" rtlCol="0">
                          <a:noAutofit/>
                        </wps:bodyPr>
                      </wps:wsp>
                      <wps:wsp>
                        <wps:cNvPr id="201550" name="Rectangle 201550"/>
                        <wps:cNvSpPr/>
                        <wps:spPr>
                          <a:xfrm rot="-10799999">
                            <a:off x="-1279348" y="1691162"/>
                            <a:ext cx="5212321" cy="142889"/>
                          </a:xfrm>
                          <a:prstGeom prst="rect">
                            <a:avLst/>
                          </a:prstGeom>
                          <a:ln>
                            <a:noFill/>
                          </a:ln>
                        </wps:spPr>
                        <wps:txbx>
                          <w:txbxContent>
                            <w:p w14:paraId="0582694B" w14:textId="77777777" w:rsidR="00B32EF2" w:rsidRDefault="00000000">
                              <w:r>
                                <w:rPr>
                                  <w:rFonts w:ascii="Arial" w:eastAsia="Arial" w:hAnsi="Arial" w:cs="Arial"/>
                                  <w:sz w:val="18"/>
                                </w:rPr>
                                <w:t>. La corte di giustizia tributaria di primo e secondo grado dichiara non appli</w:t>
                              </w:r>
                            </w:p>
                          </w:txbxContent>
                        </wps:txbx>
                        <wps:bodyPr horzOverflow="overflow" vert="horz" lIns="0" tIns="0" rIns="0" bIns="0" rtlCol="0">
                          <a:noAutofit/>
                        </wps:bodyPr>
                      </wps:wsp>
                      <wps:wsp>
                        <wps:cNvPr id="201549" name="Rectangle 201549"/>
                        <wps:cNvSpPr/>
                        <wps:spPr>
                          <a:xfrm rot="-10799999">
                            <a:off x="2635323" y="1691162"/>
                            <a:ext cx="5212321" cy="142889"/>
                          </a:xfrm>
                          <a:prstGeom prst="rect">
                            <a:avLst/>
                          </a:prstGeom>
                          <a:ln>
                            <a:noFill/>
                          </a:ln>
                        </wps:spPr>
                        <wps:txbx>
                          <w:txbxContent>
                            <w:p w14:paraId="6FAF6B0B"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59" name="Rectangle 20159"/>
                        <wps:cNvSpPr/>
                        <wps:spPr>
                          <a:xfrm rot="-10799999">
                            <a:off x="19558" y="1691162"/>
                            <a:ext cx="50622" cy="142889"/>
                          </a:xfrm>
                          <a:prstGeom prst="rect">
                            <a:avLst/>
                          </a:prstGeom>
                          <a:ln>
                            <a:noFill/>
                          </a:ln>
                        </wps:spPr>
                        <wps:txbx>
                          <w:txbxContent>
                            <w:p w14:paraId="23128F4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160" name="Rectangle 20160"/>
                        <wps:cNvSpPr/>
                        <wps:spPr>
                          <a:xfrm rot="-10799999">
                            <a:off x="-1316832" y="1567832"/>
                            <a:ext cx="5308990" cy="142889"/>
                          </a:xfrm>
                          <a:prstGeom prst="rect">
                            <a:avLst/>
                          </a:prstGeom>
                          <a:ln>
                            <a:noFill/>
                          </a:ln>
                        </wps:spPr>
                        <wps:txbx>
                          <w:txbxContent>
                            <w:p w14:paraId="7365AAEA" w14:textId="77777777" w:rsidR="00B32EF2" w:rsidRDefault="00000000">
                              <w:r>
                                <w:rPr>
                                  <w:rFonts w:ascii="Arial" w:eastAsia="Arial" w:hAnsi="Arial" w:cs="Arial"/>
                                  <w:sz w:val="18"/>
                                </w:rPr>
                                <w:t xml:space="preserve">cabili le sanzioni non penali previste dalle leggi tributarie quando la violazione </w:t>
                              </w:r>
                            </w:p>
                          </w:txbxContent>
                        </wps:txbx>
                        <wps:bodyPr horzOverflow="overflow" vert="horz" lIns="0" tIns="0" rIns="0" bIns="0" rtlCol="0">
                          <a:noAutofit/>
                        </wps:bodyPr>
                      </wps:wsp>
                      <wps:wsp>
                        <wps:cNvPr id="20161" name="Rectangle 20161"/>
                        <wps:cNvSpPr/>
                        <wps:spPr>
                          <a:xfrm rot="-10799999">
                            <a:off x="-1316849" y="1444502"/>
                            <a:ext cx="5309006" cy="142889"/>
                          </a:xfrm>
                          <a:prstGeom prst="rect">
                            <a:avLst/>
                          </a:prstGeom>
                          <a:ln>
                            <a:noFill/>
                          </a:ln>
                        </wps:spPr>
                        <wps:txbx>
                          <w:txbxContent>
                            <w:p w14:paraId="19915C8B" w14:textId="77777777" w:rsidR="00B32EF2" w:rsidRDefault="00000000">
                              <w:r>
                                <w:rPr>
                                  <w:rFonts w:ascii="Arial" w:eastAsia="Arial" w:hAnsi="Arial" w:cs="Arial"/>
                                  <w:sz w:val="18"/>
                                </w:rPr>
                                <w:t xml:space="preserve">è giustificata da obiettive condizioni di incertezza sulla portata e sull’ambito di </w:t>
                              </w:r>
                            </w:p>
                          </w:txbxContent>
                        </wps:txbx>
                        <wps:bodyPr horzOverflow="overflow" vert="horz" lIns="0" tIns="0" rIns="0" bIns="0" rtlCol="0">
                          <a:noAutofit/>
                        </wps:bodyPr>
                      </wps:wsp>
                      <wps:wsp>
                        <wps:cNvPr id="20162" name="Rectangle 20162"/>
                        <wps:cNvSpPr/>
                        <wps:spPr>
                          <a:xfrm rot="-10799999">
                            <a:off x="493803" y="1321173"/>
                            <a:ext cx="3498353" cy="142889"/>
                          </a:xfrm>
                          <a:prstGeom prst="rect">
                            <a:avLst/>
                          </a:prstGeom>
                          <a:ln>
                            <a:noFill/>
                          </a:ln>
                        </wps:spPr>
                        <wps:txbx>
                          <w:txbxContent>
                            <w:p w14:paraId="785D8A4A" w14:textId="77777777" w:rsidR="00B32EF2" w:rsidRDefault="00000000">
                              <w:r>
                                <w:rPr>
                                  <w:rFonts w:ascii="Arial" w:eastAsia="Arial" w:hAnsi="Arial" w:cs="Arial"/>
                                  <w:sz w:val="18"/>
                                </w:rPr>
                                <w:t>applicazione delle disposizioni alle quali si riferisce.</w:t>
                              </w:r>
                            </w:p>
                          </w:txbxContent>
                        </wps:txbx>
                        <wps:bodyPr horzOverflow="overflow" vert="horz" lIns="0" tIns="0" rIns="0" bIns="0" rtlCol="0">
                          <a:noAutofit/>
                        </wps:bodyPr>
                      </wps:wsp>
                      <wps:wsp>
                        <wps:cNvPr id="20163" name="Rectangle 20163"/>
                        <wps:cNvSpPr/>
                        <wps:spPr>
                          <a:xfrm rot="-10799999">
                            <a:off x="1505692" y="1074513"/>
                            <a:ext cx="812770" cy="142889"/>
                          </a:xfrm>
                          <a:prstGeom prst="rect">
                            <a:avLst/>
                          </a:prstGeom>
                          <a:ln>
                            <a:noFill/>
                          </a:ln>
                        </wps:spPr>
                        <wps:txbx>
                          <w:txbxContent>
                            <w:p w14:paraId="0C4E9596" w14:textId="77777777" w:rsidR="00B32EF2" w:rsidRDefault="00000000">
                              <w:r>
                                <w:rPr>
                                  <w:rFonts w:ascii="Arial" w:eastAsia="Arial" w:hAnsi="Arial" w:cs="Arial"/>
                                  <w:b/>
                                  <w:sz w:val="18"/>
                                </w:rPr>
                                <w:t>Articolo 54</w:t>
                              </w:r>
                            </w:p>
                          </w:txbxContent>
                        </wps:txbx>
                        <wps:bodyPr horzOverflow="overflow" vert="horz" lIns="0" tIns="0" rIns="0" bIns="0" rtlCol="0">
                          <a:noAutofit/>
                        </wps:bodyPr>
                      </wps:wsp>
                      <wps:wsp>
                        <wps:cNvPr id="201548" name="Rectangle 201548"/>
                        <wps:cNvSpPr/>
                        <wps:spPr>
                          <a:xfrm rot="-10799999">
                            <a:off x="1216653" y="951183"/>
                            <a:ext cx="1856715" cy="142889"/>
                          </a:xfrm>
                          <a:prstGeom prst="rect">
                            <a:avLst/>
                          </a:prstGeom>
                          <a:ln>
                            <a:noFill/>
                          </a:ln>
                        </wps:spPr>
                        <wps:txbx>
                          <w:txbxContent>
                            <w:p w14:paraId="0B6C0E77" w14:textId="77777777" w:rsidR="00B32EF2" w:rsidRDefault="00000000">
                              <w:r>
                                <w:rPr>
                                  <w:rFonts w:ascii="Arial" w:eastAsia="Arial" w:hAnsi="Arial" w:cs="Arial"/>
                                  <w:i/>
                                  <w:sz w:val="18"/>
                                </w:rPr>
                                <w:t xml:space="preserve">articolo 9 D.lgs. n. </w:t>
                              </w:r>
                            </w:p>
                          </w:txbxContent>
                        </wps:txbx>
                        <wps:bodyPr horzOverflow="overflow" vert="horz" lIns="0" tIns="0" rIns="0" bIns="0" rtlCol="0">
                          <a:noAutofit/>
                        </wps:bodyPr>
                      </wps:wsp>
                      <wps:wsp>
                        <wps:cNvPr id="201547" name="Rectangle 201547"/>
                        <wps:cNvSpPr/>
                        <wps:spPr>
                          <a:xfrm rot="-10799999">
                            <a:off x="-144213" y="951183"/>
                            <a:ext cx="1856714" cy="142889"/>
                          </a:xfrm>
                          <a:prstGeom prst="rect">
                            <a:avLst/>
                          </a:prstGeom>
                          <a:ln>
                            <a:noFill/>
                          </a:ln>
                        </wps:spPr>
                        <wps:txbx>
                          <w:txbxContent>
                            <w:p w14:paraId="2BAB0DCD"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546" name="Rectangle 201546"/>
                        <wps:cNvSpPr/>
                        <wps:spPr>
                          <a:xfrm rot="-10799999">
                            <a:off x="2211416" y="951184"/>
                            <a:ext cx="1856715" cy="142889"/>
                          </a:xfrm>
                          <a:prstGeom prst="rect">
                            <a:avLst/>
                          </a:prstGeom>
                          <a:ln>
                            <a:noFill/>
                          </a:ln>
                        </wps:spPr>
                        <wps:txbx>
                          <w:txbxContent>
                            <w:p w14:paraId="34098A0F"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65" name="Rectangle 20165"/>
                        <wps:cNvSpPr/>
                        <wps:spPr>
                          <a:xfrm rot="-10799999">
                            <a:off x="-1292964" y="827854"/>
                            <a:ext cx="5270606" cy="142889"/>
                          </a:xfrm>
                          <a:prstGeom prst="rect">
                            <a:avLst/>
                          </a:prstGeom>
                          <a:ln>
                            <a:noFill/>
                          </a:ln>
                        </wps:spPr>
                        <wps:txbx>
                          <w:txbxContent>
                            <w:p w14:paraId="06DD97C3" w14:textId="77777777" w:rsidR="00B32EF2" w:rsidRDefault="00000000">
                              <w:r>
                                <w:rPr>
                                  <w:rFonts w:ascii="Arial" w:eastAsia="Arial" w:hAnsi="Arial" w:cs="Arial"/>
                                  <w:b/>
                                  <w:sz w:val="18"/>
                                </w:rPr>
                                <w:t xml:space="preserve">Organi di assistenza alle corti di giustizia tributaria di primo e secondo </w:t>
                              </w:r>
                            </w:p>
                          </w:txbxContent>
                        </wps:txbx>
                        <wps:bodyPr horzOverflow="overflow" vert="horz" lIns="0" tIns="0" rIns="0" bIns="0" rtlCol="0">
                          <a:noAutofit/>
                        </wps:bodyPr>
                      </wps:wsp>
                      <wps:wsp>
                        <wps:cNvPr id="20166" name="Rectangle 20166"/>
                        <wps:cNvSpPr/>
                        <wps:spPr>
                          <a:xfrm rot="-10799999">
                            <a:off x="1701215" y="704524"/>
                            <a:ext cx="472885" cy="142889"/>
                          </a:xfrm>
                          <a:prstGeom prst="rect">
                            <a:avLst/>
                          </a:prstGeom>
                          <a:ln>
                            <a:noFill/>
                          </a:ln>
                        </wps:spPr>
                        <wps:txbx>
                          <w:txbxContent>
                            <w:p w14:paraId="5651116D" w14:textId="77777777" w:rsidR="00B32EF2" w:rsidRDefault="00000000">
                              <w:r>
                                <w:rPr>
                                  <w:rFonts w:ascii="Arial" w:eastAsia="Arial" w:hAnsi="Arial" w:cs="Arial"/>
                                  <w:b/>
                                  <w:sz w:val="18"/>
                                </w:rPr>
                                <w:t xml:space="preserve">grado </w:t>
                              </w:r>
                            </w:p>
                          </w:txbxContent>
                        </wps:txbx>
                        <wps:bodyPr horzOverflow="overflow" vert="horz" lIns="0" tIns="0" rIns="0" bIns="0" rtlCol="0">
                          <a:noAutofit/>
                        </wps:bodyPr>
                      </wps:wsp>
                      <wps:wsp>
                        <wps:cNvPr id="201545" name="Rectangle 201545"/>
                        <wps:cNvSpPr/>
                        <wps:spPr>
                          <a:xfrm rot="-10799999">
                            <a:off x="-1376063" y="581194"/>
                            <a:ext cx="5309036" cy="142889"/>
                          </a:xfrm>
                          <a:prstGeom prst="rect">
                            <a:avLst/>
                          </a:prstGeom>
                          <a:ln>
                            <a:noFill/>
                          </a:ln>
                        </wps:spPr>
                        <wps:txbx>
                          <w:txbxContent>
                            <w:p w14:paraId="1A186D04" w14:textId="77777777" w:rsidR="00B32EF2" w:rsidRDefault="00000000">
                              <w:r>
                                <w:rPr>
                                  <w:rFonts w:ascii="Arial" w:eastAsia="Arial" w:hAnsi="Arial" w:cs="Arial"/>
                                  <w:sz w:val="18"/>
                                </w:rPr>
                                <w:t xml:space="preserve">. Il personale dell’ufficio di segreteria assiste la corte di giustizia tributaria di </w:t>
                              </w:r>
                            </w:p>
                          </w:txbxContent>
                        </wps:txbx>
                        <wps:bodyPr horzOverflow="overflow" vert="horz" lIns="0" tIns="0" rIns="0" bIns="0" rtlCol="0">
                          <a:noAutofit/>
                        </wps:bodyPr>
                      </wps:wsp>
                      <wps:wsp>
                        <wps:cNvPr id="201544" name="Rectangle 201544"/>
                        <wps:cNvSpPr/>
                        <wps:spPr>
                          <a:xfrm rot="-10799999">
                            <a:off x="2611326" y="581195"/>
                            <a:ext cx="5309036" cy="142889"/>
                          </a:xfrm>
                          <a:prstGeom prst="rect">
                            <a:avLst/>
                          </a:prstGeom>
                          <a:ln>
                            <a:noFill/>
                          </a:ln>
                        </wps:spPr>
                        <wps:txbx>
                          <w:txbxContent>
                            <w:p w14:paraId="4097B146"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68" name="Rectangle 20168"/>
                        <wps:cNvSpPr/>
                        <wps:spPr>
                          <a:xfrm rot="-10799999">
                            <a:off x="-1318279" y="457865"/>
                            <a:ext cx="5313065" cy="142889"/>
                          </a:xfrm>
                          <a:prstGeom prst="rect">
                            <a:avLst/>
                          </a:prstGeom>
                          <a:ln>
                            <a:noFill/>
                          </a:ln>
                        </wps:spPr>
                        <wps:txbx>
                          <w:txbxContent>
                            <w:p w14:paraId="29F5A2C3" w14:textId="77777777" w:rsidR="00B32EF2" w:rsidRDefault="00000000">
                              <w:r>
                                <w:rPr>
                                  <w:rFonts w:ascii="Arial" w:eastAsia="Arial" w:hAnsi="Arial" w:cs="Arial"/>
                                  <w:sz w:val="18"/>
                                </w:rPr>
                                <w:t xml:space="preserve">primo e secondo grado secondo le disposizioni del codice di procedura civile </w:t>
                              </w:r>
                            </w:p>
                          </w:txbxContent>
                        </wps:txbx>
                        <wps:bodyPr horzOverflow="overflow" vert="horz" lIns="0" tIns="0" rIns="0" bIns="0" rtlCol="0">
                          <a:noAutofit/>
                        </wps:bodyPr>
                      </wps:wsp>
                      <wps:wsp>
                        <wps:cNvPr id="20169" name="Rectangle 20169"/>
                        <wps:cNvSpPr/>
                        <wps:spPr>
                          <a:xfrm rot="-10799999">
                            <a:off x="2254382" y="334535"/>
                            <a:ext cx="1737775" cy="142889"/>
                          </a:xfrm>
                          <a:prstGeom prst="rect">
                            <a:avLst/>
                          </a:prstGeom>
                          <a:ln>
                            <a:noFill/>
                          </a:ln>
                        </wps:spPr>
                        <wps:txbx>
                          <w:txbxContent>
                            <w:p w14:paraId="5E193D55" w14:textId="77777777" w:rsidR="00B32EF2" w:rsidRDefault="00000000">
                              <w:r>
                                <w:rPr>
                                  <w:rFonts w:ascii="Arial" w:eastAsia="Arial" w:hAnsi="Arial" w:cs="Arial"/>
                                  <w:sz w:val="18"/>
                                </w:rPr>
                                <w:t>concernenti il cancelliere.</w:t>
                              </w:r>
                            </w:p>
                          </w:txbxContent>
                        </wps:txbx>
                        <wps:bodyPr horzOverflow="overflow" vert="horz" lIns="0" tIns="0" rIns="0" bIns="0" rtlCol="0">
                          <a:noAutofit/>
                        </wps:bodyPr>
                      </wps:wsp>
                      <wps:wsp>
                        <wps:cNvPr id="201542" name="Rectangle 201542"/>
                        <wps:cNvSpPr/>
                        <wps:spPr>
                          <a:xfrm rot="-10799999">
                            <a:off x="2635806" y="211206"/>
                            <a:ext cx="5210375" cy="142889"/>
                          </a:xfrm>
                          <a:prstGeom prst="rect">
                            <a:avLst/>
                          </a:prstGeom>
                          <a:ln>
                            <a:noFill/>
                          </a:ln>
                        </wps:spPr>
                        <wps:txbx>
                          <w:txbxContent>
                            <w:p w14:paraId="4A23DE64"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543" name="Rectangle 201543"/>
                        <wps:cNvSpPr/>
                        <wps:spPr>
                          <a:xfrm rot="-10799999">
                            <a:off x="-1282775" y="211206"/>
                            <a:ext cx="5210376" cy="142889"/>
                          </a:xfrm>
                          <a:prstGeom prst="rect">
                            <a:avLst/>
                          </a:prstGeom>
                          <a:ln>
                            <a:noFill/>
                          </a:ln>
                        </wps:spPr>
                        <wps:txbx>
                          <w:txbxContent>
                            <w:p w14:paraId="68065AAC" w14:textId="77777777" w:rsidR="00B32EF2" w:rsidRDefault="00000000">
                              <w:r>
                                <w:rPr>
                                  <w:rFonts w:ascii="Arial" w:eastAsia="Arial" w:hAnsi="Arial" w:cs="Arial"/>
                                  <w:sz w:val="18"/>
                                </w:rPr>
                                <w:t>. Le attività dell’ufficiale giudiziario in udienza sono disimpegnate dal perso</w:t>
                              </w:r>
                            </w:p>
                          </w:txbxContent>
                        </wps:txbx>
                        <wps:bodyPr horzOverflow="overflow" vert="horz" lIns="0" tIns="0" rIns="0" bIns="0" rtlCol="0">
                          <a:noAutofit/>
                        </wps:bodyPr>
                      </wps:wsp>
                      <wps:wsp>
                        <wps:cNvPr id="20171" name="Rectangle 20171"/>
                        <wps:cNvSpPr/>
                        <wps:spPr>
                          <a:xfrm rot="-10799999">
                            <a:off x="19558" y="211206"/>
                            <a:ext cx="50622" cy="142889"/>
                          </a:xfrm>
                          <a:prstGeom prst="rect">
                            <a:avLst/>
                          </a:prstGeom>
                          <a:ln>
                            <a:noFill/>
                          </a:ln>
                        </wps:spPr>
                        <wps:txbx>
                          <w:txbxContent>
                            <w:p w14:paraId="39D9AE9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172" name="Rectangle 20172"/>
                        <wps:cNvSpPr/>
                        <wps:spPr>
                          <a:xfrm rot="-10799999">
                            <a:off x="1442464" y="87876"/>
                            <a:ext cx="2550378" cy="142889"/>
                          </a:xfrm>
                          <a:prstGeom prst="rect">
                            <a:avLst/>
                          </a:prstGeom>
                          <a:ln>
                            <a:noFill/>
                          </a:ln>
                        </wps:spPr>
                        <wps:txbx>
                          <w:txbxContent>
                            <w:p w14:paraId="385C7D0C" w14:textId="77777777" w:rsidR="00B32EF2" w:rsidRDefault="00000000">
                              <w:r>
                                <w:rPr>
                                  <w:rFonts w:ascii="Arial" w:eastAsia="Arial" w:hAnsi="Arial" w:cs="Arial"/>
                                  <w:sz w:val="18"/>
                                </w:rPr>
                                <w:t>nale ausiliario addetto alla segreteria.</w:t>
                              </w:r>
                            </w:p>
                          </w:txbxContent>
                        </wps:txbx>
                        <wps:bodyPr horzOverflow="overflow" vert="horz" lIns="0" tIns="0" rIns="0" bIns="0" rtlCol="0">
                          <a:noAutofit/>
                        </wps:bodyPr>
                      </wps:wsp>
                      <wps:wsp>
                        <wps:cNvPr id="20173" name="Rectangle 20173"/>
                        <wps:cNvSpPr/>
                        <wps:spPr>
                          <a:xfrm rot="-10799999">
                            <a:off x="3949895" y="-35453"/>
                            <a:ext cx="42262" cy="142889"/>
                          </a:xfrm>
                          <a:prstGeom prst="rect">
                            <a:avLst/>
                          </a:prstGeom>
                          <a:ln>
                            <a:noFill/>
                          </a:ln>
                        </wps:spPr>
                        <wps:txbx>
                          <w:txbxContent>
                            <w:p w14:paraId="6750F070" w14:textId="77777777" w:rsidR="00B32EF2" w:rsidRDefault="00000000">
                              <w:r>
                                <w:rPr>
                                  <w:rFonts w:ascii="Arial" w:eastAsia="Arial" w:hAnsi="Arial" w:cs="Arial"/>
                                  <w:sz w:val="18"/>
                                </w:rPr>
                                <w:t xml:space="preserve"> </w:t>
                              </w:r>
                            </w:p>
                          </w:txbxContent>
                        </wps:txbx>
                        <wps:bodyPr horzOverflow="overflow" vert="horz" lIns="0" tIns="0" rIns="0" bIns="0" rtlCol="0">
                          <a:noAutofit/>
                        </wps:bodyPr>
                      </wps:wsp>
                      <wps:wsp>
                        <wps:cNvPr id="208038" name="Shape 208038"/>
                        <wps:cNvSpPr/>
                        <wps:spPr>
                          <a:xfrm>
                            <a:off x="32156" y="2364648"/>
                            <a:ext cx="3960000" cy="3040101"/>
                          </a:xfrm>
                          <a:custGeom>
                            <a:avLst/>
                            <a:gdLst/>
                            <a:ahLst/>
                            <a:cxnLst/>
                            <a:rect l="0" t="0" r="0" b="0"/>
                            <a:pathLst>
                              <a:path w="3960000" h="3040101">
                                <a:moveTo>
                                  <a:pt x="0" y="0"/>
                                </a:moveTo>
                                <a:lnTo>
                                  <a:pt x="3960000" y="0"/>
                                </a:lnTo>
                                <a:lnTo>
                                  <a:pt x="3960000" y="3040101"/>
                                </a:lnTo>
                                <a:lnTo>
                                  <a:pt x="0" y="3040101"/>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20175" name="Rectangle 20175"/>
                        <wps:cNvSpPr/>
                        <wps:spPr>
                          <a:xfrm rot="-10799999">
                            <a:off x="537677" y="5183516"/>
                            <a:ext cx="3376129" cy="142891"/>
                          </a:xfrm>
                          <a:prstGeom prst="rect">
                            <a:avLst/>
                          </a:prstGeom>
                          <a:ln>
                            <a:noFill/>
                          </a:ln>
                        </wps:spPr>
                        <wps:txbx>
                          <w:txbxContent>
                            <w:p w14:paraId="5072D43E" w14:textId="77777777" w:rsidR="00B32EF2" w:rsidRDefault="00000000">
                              <w:r>
                                <w:rPr>
                                  <w:rFonts w:ascii="Arial" w:eastAsia="Arial" w:hAnsi="Arial" w:cs="Arial"/>
                                  <w:i/>
                                  <w:sz w:val="18"/>
                                </w:rPr>
                                <w:t>sità o quando la legge espressamente lo dispone.</w:t>
                              </w:r>
                            </w:p>
                          </w:txbxContent>
                        </wps:txbx>
                        <wps:bodyPr horzOverflow="overflow" vert="horz" lIns="0" tIns="0" rIns="0" bIns="0" rtlCol="0">
                          <a:noAutofit/>
                        </wps:bodyPr>
                      </wps:wsp>
                      <wps:wsp>
                        <wps:cNvPr id="20176" name="Rectangle 20176"/>
                        <wps:cNvSpPr/>
                        <wps:spPr>
                          <a:xfrm rot="-10799999">
                            <a:off x="91440" y="5060188"/>
                            <a:ext cx="3822366" cy="142889"/>
                          </a:xfrm>
                          <a:prstGeom prst="rect">
                            <a:avLst/>
                          </a:prstGeom>
                          <a:ln>
                            <a:noFill/>
                          </a:ln>
                        </wps:spPr>
                        <wps:txbx>
                          <w:txbxContent>
                            <w:p w14:paraId="56DCD875" w14:textId="77777777" w:rsidR="00B32EF2" w:rsidRDefault="00000000">
                              <w:r>
                                <w:rPr>
                                  <w:rFonts w:ascii="Arial" w:eastAsia="Arial" w:hAnsi="Arial" w:cs="Arial"/>
                                  <w:i/>
                                  <w:sz w:val="18"/>
                                </w:rPr>
                                <w:t xml:space="preserve">art. 210 c.p.c. “Ordine di esibizione alla parte o al terzo” </w:t>
                              </w:r>
                            </w:p>
                          </w:txbxContent>
                        </wps:txbx>
                        <wps:bodyPr horzOverflow="overflow" vert="horz" lIns="0" tIns="0" rIns="0" bIns="0" rtlCol="0">
                          <a:noAutofit/>
                        </wps:bodyPr>
                      </wps:wsp>
                      <wps:wsp>
                        <wps:cNvPr id="201574" name="Rectangle 201574"/>
                        <wps:cNvSpPr/>
                        <wps:spPr>
                          <a:xfrm rot="-10799999">
                            <a:off x="-1247826" y="4936858"/>
                            <a:ext cx="5107945" cy="142889"/>
                          </a:xfrm>
                          <a:prstGeom prst="rect">
                            <a:avLst/>
                          </a:prstGeom>
                          <a:ln>
                            <a:noFill/>
                          </a:ln>
                        </wps:spPr>
                        <wps:txbx>
                          <w:txbxContent>
                            <w:p w14:paraId="612255E5" w14:textId="77777777" w:rsidR="00B32EF2" w:rsidRDefault="00000000">
                              <w:r>
                                <w:rPr>
                                  <w:rFonts w:ascii="Arial" w:eastAsia="Arial" w:hAnsi="Arial" w:cs="Arial"/>
                                  <w:i/>
                                  <w:sz w:val="18"/>
                                </w:rPr>
                                <w:t xml:space="preserve">. Negli stessi limiti entro i quali può essere ordinata a norma dell’articolo </w:t>
                              </w:r>
                            </w:p>
                          </w:txbxContent>
                        </wps:txbx>
                        <wps:bodyPr horzOverflow="overflow" vert="horz" lIns="0" tIns="0" rIns="0" bIns="0" rtlCol="0">
                          <a:noAutofit/>
                        </wps:bodyPr>
                      </wps:wsp>
                      <wps:wsp>
                        <wps:cNvPr id="201573" name="Rectangle 201573"/>
                        <wps:cNvSpPr/>
                        <wps:spPr>
                          <a:xfrm rot="-10799999">
                            <a:off x="2582871" y="4936858"/>
                            <a:ext cx="5107946" cy="142889"/>
                          </a:xfrm>
                          <a:prstGeom prst="rect">
                            <a:avLst/>
                          </a:prstGeom>
                          <a:ln>
                            <a:noFill/>
                          </a:ln>
                        </wps:spPr>
                        <wps:txbx>
                          <w:txbxContent>
                            <w:p w14:paraId="04E64DF6"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571" name="Rectangle 201571"/>
                        <wps:cNvSpPr/>
                        <wps:spPr>
                          <a:xfrm rot="-10799999">
                            <a:off x="2465156" y="4813528"/>
                            <a:ext cx="5118571" cy="142889"/>
                          </a:xfrm>
                          <a:prstGeom prst="rect">
                            <a:avLst/>
                          </a:prstGeom>
                          <a:ln>
                            <a:noFill/>
                          </a:ln>
                        </wps:spPr>
                        <wps:txbx>
                          <w:txbxContent>
                            <w:p w14:paraId="277C94B3" w14:textId="77777777" w:rsidR="00B32EF2" w:rsidRDefault="00000000">
                              <w:r>
                                <w:rPr>
                                  <w:rFonts w:ascii="Arial" w:eastAsia="Arial" w:hAnsi="Arial" w:cs="Arial"/>
                                  <w:i/>
                                  <w:sz w:val="18"/>
                                </w:rPr>
                                <w:t>118</w:t>
                              </w:r>
                            </w:p>
                          </w:txbxContent>
                        </wps:txbx>
                        <wps:bodyPr horzOverflow="overflow" vert="horz" lIns="0" tIns="0" rIns="0" bIns="0" rtlCol="0">
                          <a:noAutofit/>
                        </wps:bodyPr>
                      </wps:wsp>
                      <wps:wsp>
                        <wps:cNvPr id="201572" name="Rectangle 201572"/>
                        <wps:cNvSpPr/>
                        <wps:spPr>
                          <a:xfrm rot="-10799999">
                            <a:off x="-1369905" y="4813528"/>
                            <a:ext cx="5118572" cy="142889"/>
                          </a:xfrm>
                          <a:prstGeom prst="rect">
                            <a:avLst/>
                          </a:prstGeom>
                          <a:ln>
                            <a:noFill/>
                          </a:ln>
                        </wps:spPr>
                        <wps:txbx>
                          <w:txbxContent>
                            <w:p w14:paraId="3D993B58" w14:textId="77777777" w:rsidR="00B32EF2" w:rsidRDefault="00000000">
                              <w:r>
                                <w:rPr>
                                  <w:rFonts w:ascii="Arial" w:eastAsia="Arial" w:hAnsi="Arial" w:cs="Arial"/>
                                  <w:i/>
                                  <w:sz w:val="18"/>
                                </w:rPr>
                                <w:t xml:space="preserve"> l’ispezione di cose in possesso di una parte o di un terzo, il giudice </w:t>
                              </w:r>
                            </w:p>
                          </w:txbxContent>
                        </wps:txbx>
                        <wps:bodyPr horzOverflow="overflow" vert="horz" lIns="0" tIns="0" rIns="0" bIns="0" rtlCol="0">
                          <a:noAutofit/>
                        </wps:bodyPr>
                      </wps:wsp>
                      <wps:wsp>
                        <wps:cNvPr id="20179" name="Rectangle 20179"/>
                        <wps:cNvSpPr/>
                        <wps:spPr>
                          <a:xfrm rot="-10799999">
                            <a:off x="-1192450" y="4690198"/>
                            <a:ext cx="5122143" cy="142889"/>
                          </a:xfrm>
                          <a:prstGeom prst="rect">
                            <a:avLst/>
                          </a:prstGeom>
                          <a:ln>
                            <a:noFill/>
                          </a:ln>
                        </wps:spPr>
                        <wps:txbx>
                          <w:txbxContent>
                            <w:p w14:paraId="54036CCD" w14:textId="77777777" w:rsidR="00B32EF2" w:rsidRDefault="00000000">
                              <w:r>
                                <w:rPr>
                                  <w:rFonts w:ascii="Arial" w:eastAsia="Arial" w:hAnsi="Arial" w:cs="Arial"/>
                                  <w:i/>
                                  <w:sz w:val="18"/>
                                </w:rPr>
                                <w:t xml:space="preserve">istruttore, su istanza di parte può ordinare all’altra parte o a un terzo di </w:t>
                              </w:r>
                            </w:p>
                          </w:txbxContent>
                        </wps:txbx>
                        <wps:bodyPr horzOverflow="overflow" vert="horz" lIns="0" tIns="0" rIns="0" bIns="0" rtlCol="0">
                          <a:noAutofit/>
                        </wps:bodyPr>
                      </wps:wsp>
                      <wps:wsp>
                        <wps:cNvPr id="20180" name="Rectangle 20180"/>
                        <wps:cNvSpPr/>
                        <wps:spPr>
                          <a:xfrm rot="-10799999">
                            <a:off x="-1191535" y="4566869"/>
                            <a:ext cx="5119058" cy="142889"/>
                          </a:xfrm>
                          <a:prstGeom prst="rect">
                            <a:avLst/>
                          </a:prstGeom>
                          <a:ln>
                            <a:noFill/>
                          </a:ln>
                        </wps:spPr>
                        <wps:txbx>
                          <w:txbxContent>
                            <w:p w14:paraId="049152E4" w14:textId="77777777" w:rsidR="00B32EF2" w:rsidRDefault="00000000">
                              <w:r>
                                <w:rPr>
                                  <w:rFonts w:ascii="Arial" w:eastAsia="Arial" w:hAnsi="Arial" w:cs="Arial"/>
                                  <w:i/>
                                  <w:sz w:val="18"/>
                                </w:rPr>
                                <w:t xml:space="preserve">esibire in giudizio un documento o altra cosa di cui ritenga   necessaria </w:t>
                              </w:r>
                            </w:p>
                          </w:txbxContent>
                        </wps:txbx>
                        <wps:bodyPr horzOverflow="overflow" vert="horz" lIns="0" tIns="0" rIns="0" bIns="0" rtlCol="0">
                          <a:noAutofit/>
                        </wps:bodyPr>
                      </wps:wsp>
                      <wps:wsp>
                        <wps:cNvPr id="20181" name="Rectangle 20181"/>
                        <wps:cNvSpPr/>
                        <wps:spPr>
                          <a:xfrm rot="-10799999">
                            <a:off x="2084455" y="4443539"/>
                            <a:ext cx="1829352" cy="142889"/>
                          </a:xfrm>
                          <a:prstGeom prst="rect">
                            <a:avLst/>
                          </a:prstGeom>
                          <a:ln>
                            <a:noFill/>
                          </a:ln>
                        </wps:spPr>
                        <wps:txbx>
                          <w:txbxContent>
                            <w:p w14:paraId="7EA7FF24" w14:textId="77777777" w:rsidR="00B32EF2" w:rsidRDefault="00000000">
                              <w:r>
                                <w:rPr>
                                  <w:rFonts w:ascii="Arial" w:eastAsia="Arial" w:hAnsi="Arial" w:cs="Arial"/>
                                  <w:i/>
                                  <w:sz w:val="18"/>
                                </w:rPr>
                                <w:t xml:space="preserve">l’acquisizione al processo. </w:t>
                              </w:r>
                            </w:p>
                          </w:txbxContent>
                        </wps:txbx>
                        <wps:bodyPr horzOverflow="overflow" vert="horz" lIns="0" tIns="0" rIns="0" bIns="0" rtlCol="0">
                          <a:noAutofit/>
                        </wps:bodyPr>
                      </wps:wsp>
                      <wps:wsp>
                        <wps:cNvPr id="201567" name="Rectangle 201567"/>
                        <wps:cNvSpPr/>
                        <wps:spPr>
                          <a:xfrm rot="-10799999">
                            <a:off x="2582694" y="4320209"/>
                            <a:ext cx="5108660" cy="142889"/>
                          </a:xfrm>
                          <a:prstGeom prst="rect">
                            <a:avLst/>
                          </a:prstGeom>
                          <a:ln>
                            <a:noFill/>
                          </a:ln>
                        </wps:spPr>
                        <wps:txbx>
                          <w:txbxContent>
                            <w:p w14:paraId="65BAC63B"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568" name="Rectangle 201568"/>
                        <wps:cNvSpPr/>
                        <wps:spPr>
                          <a:xfrm rot="-10799999">
                            <a:off x="-1253637" y="4320209"/>
                            <a:ext cx="5108660" cy="142889"/>
                          </a:xfrm>
                          <a:prstGeom prst="rect">
                            <a:avLst/>
                          </a:prstGeom>
                          <a:ln>
                            <a:noFill/>
                          </a:ln>
                        </wps:spPr>
                        <wps:txbx>
                          <w:txbxContent>
                            <w:p w14:paraId="28AA6B40" w14:textId="77777777" w:rsidR="00B32EF2" w:rsidRDefault="00000000">
                              <w:r>
                                <w:rPr>
                                  <w:rFonts w:ascii="Arial" w:eastAsia="Arial" w:hAnsi="Arial" w:cs="Arial"/>
                                  <w:i/>
                                  <w:sz w:val="18"/>
                                </w:rPr>
                                <w:t xml:space="preserve">. Nell’ordinare l’esibizione, il giudice dà i provvedimenti opportuni circa il </w:t>
                              </w:r>
                            </w:p>
                          </w:txbxContent>
                        </wps:txbx>
                        <wps:bodyPr horzOverflow="overflow" vert="horz" lIns="0" tIns="0" rIns="0" bIns="0" rtlCol="0">
                          <a:noAutofit/>
                        </wps:bodyPr>
                      </wps:wsp>
                      <wps:wsp>
                        <wps:cNvPr id="20183" name="Rectangle 20183"/>
                        <wps:cNvSpPr/>
                        <wps:spPr>
                          <a:xfrm rot="-10799999">
                            <a:off x="1166716" y="4196880"/>
                            <a:ext cx="2747090" cy="142889"/>
                          </a:xfrm>
                          <a:prstGeom prst="rect">
                            <a:avLst/>
                          </a:prstGeom>
                          <a:ln>
                            <a:noFill/>
                          </a:ln>
                        </wps:spPr>
                        <wps:txbx>
                          <w:txbxContent>
                            <w:p w14:paraId="56BCA2B6" w14:textId="77777777" w:rsidR="00B32EF2" w:rsidRDefault="00000000">
                              <w:r>
                                <w:rPr>
                                  <w:rFonts w:ascii="Arial" w:eastAsia="Arial" w:hAnsi="Arial" w:cs="Arial"/>
                                  <w:i/>
                                  <w:sz w:val="18"/>
                                </w:rPr>
                                <w:t xml:space="preserve">tempo, il luogo e il modo dell’esibizione. </w:t>
                              </w:r>
                            </w:p>
                          </w:txbxContent>
                        </wps:txbx>
                        <wps:bodyPr horzOverflow="overflow" vert="horz" lIns="0" tIns="0" rIns="0" bIns="0" rtlCol="0">
                          <a:noAutofit/>
                        </wps:bodyPr>
                      </wps:wsp>
                      <wps:wsp>
                        <wps:cNvPr id="201564" name="Rectangle 201564"/>
                        <wps:cNvSpPr/>
                        <wps:spPr>
                          <a:xfrm rot="-10799999">
                            <a:off x="2608822" y="4073550"/>
                            <a:ext cx="5003356" cy="142889"/>
                          </a:xfrm>
                          <a:prstGeom prst="rect">
                            <a:avLst/>
                          </a:prstGeom>
                          <a:ln>
                            <a:noFill/>
                          </a:ln>
                        </wps:spPr>
                        <wps:txbx>
                          <w:txbxContent>
                            <w:p w14:paraId="2D7DAADA"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1565" name="Rectangle 201565"/>
                        <wps:cNvSpPr/>
                        <wps:spPr>
                          <a:xfrm rot="-10799999">
                            <a:off x="-1155877" y="4073550"/>
                            <a:ext cx="5003356" cy="142889"/>
                          </a:xfrm>
                          <a:prstGeom prst="rect">
                            <a:avLst/>
                          </a:prstGeom>
                          <a:ln>
                            <a:noFill/>
                          </a:ln>
                        </wps:spPr>
                        <wps:txbx>
                          <w:txbxContent>
                            <w:p w14:paraId="0F31A513" w14:textId="77777777" w:rsidR="00B32EF2" w:rsidRDefault="00000000">
                              <w:r>
                                <w:rPr>
                                  <w:rFonts w:ascii="Arial" w:eastAsia="Arial" w:hAnsi="Arial" w:cs="Arial"/>
                                  <w:i/>
                                  <w:sz w:val="18"/>
                                </w:rPr>
                                <w:t>. Se l’esibizione importa una spesa, questa deve essere in ogni caso anti</w:t>
                              </w:r>
                            </w:p>
                          </w:txbxContent>
                        </wps:txbx>
                        <wps:bodyPr horzOverflow="overflow" vert="horz" lIns="0" tIns="0" rIns="0" bIns="0" rtlCol="0">
                          <a:noAutofit/>
                        </wps:bodyPr>
                      </wps:wsp>
                      <wps:wsp>
                        <wps:cNvPr id="20185" name="Rectangle 20185"/>
                        <wps:cNvSpPr/>
                        <wps:spPr>
                          <a:xfrm rot="-10799999">
                            <a:off x="97912" y="4073550"/>
                            <a:ext cx="50622" cy="142889"/>
                          </a:xfrm>
                          <a:prstGeom prst="rect">
                            <a:avLst/>
                          </a:prstGeom>
                          <a:ln>
                            <a:noFill/>
                          </a:ln>
                        </wps:spPr>
                        <wps:txbx>
                          <w:txbxContent>
                            <w:p w14:paraId="7187FF0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86" name="Rectangle 20186"/>
                        <wps:cNvSpPr/>
                        <wps:spPr>
                          <a:xfrm rot="-10799999">
                            <a:off x="27303" y="3950220"/>
                            <a:ext cx="3886503" cy="142889"/>
                          </a:xfrm>
                          <a:prstGeom prst="rect">
                            <a:avLst/>
                          </a:prstGeom>
                          <a:ln>
                            <a:noFill/>
                          </a:ln>
                        </wps:spPr>
                        <wps:txbx>
                          <w:txbxContent>
                            <w:p w14:paraId="6FFCA03A" w14:textId="77777777" w:rsidR="00B32EF2" w:rsidRDefault="00000000">
                              <w:r>
                                <w:rPr>
                                  <w:rFonts w:ascii="Arial" w:eastAsia="Arial" w:hAnsi="Arial" w:cs="Arial"/>
                                  <w:i/>
                                  <w:sz w:val="18"/>
                                </w:rPr>
                                <w:t xml:space="preserve">cipata dalla parte che ha proposta l’istanza di esibizione. </w:t>
                              </w:r>
                            </w:p>
                          </w:txbxContent>
                        </wps:txbx>
                        <wps:bodyPr horzOverflow="overflow" vert="horz" lIns="0" tIns="0" rIns="0" bIns="0" rtlCol="0">
                          <a:noAutofit/>
                        </wps:bodyPr>
                      </wps:wsp>
                      <wps:wsp>
                        <wps:cNvPr id="201561" name="Rectangle 201561"/>
                        <wps:cNvSpPr/>
                        <wps:spPr>
                          <a:xfrm rot="-10799999">
                            <a:off x="2609067" y="3826891"/>
                            <a:ext cx="5002368" cy="142889"/>
                          </a:xfrm>
                          <a:prstGeom prst="rect">
                            <a:avLst/>
                          </a:prstGeom>
                          <a:ln>
                            <a:noFill/>
                          </a:ln>
                        </wps:spPr>
                        <wps:txbx>
                          <w:txbxContent>
                            <w:p w14:paraId="771A7A62"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201562" name="Rectangle 201562"/>
                        <wps:cNvSpPr/>
                        <wps:spPr>
                          <a:xfrm rot="-10799999">
                            <a:off x="-1154078" y="3826891"/>
                            <a:ext cx="5002368" cy="142889"/>
                          </a:xfrm>
                          <a:prstGeom prst="rect">
                            <a:avLst/>
                          </a:prstGeom>
                          <a:ln>
                            <a:noFill/>
                          </a:ln>
                        </wps:spPr>
                        <wps:txbx>
                          <w:txbxContent>
                            <w:p w14:paraId="2280D6A8" w14:textId="77777777" w:rsidR="00B32EF2" w:rsidRDefault="00000000">
                              <w:r>
                                <w:rPr>
                                  <w:rFonts w:ascii="Arial" w:eastAsia="Arial" w:hAnsi="Arial" w:cs="Arial"/>
                                  <w:i/>
                                  <w:sz w:val="18"/>
                                </w:rPr>
                                <w:t>. Se la parte non adempie senza giustificato motivo all’ordine di esibizio</w:t>
                              </w:r>
                            </w:p>
                          </w:txbxContent>
                        </wps:txbx>
                        <wps:bodyPr horzOverflow="overflow" vert="horz" lIns="0" tIns="0" rIns="0" bIns="0" rtlCol="0">
                          <a:noAutofit/>
                        </wps:bodyPr>
                      </wps:wsp>
                      <wps:wsp>
                        <wps:cNvPr id="20188" name="Rectangle 20188"/>
                        <wps:cNvSpPr/>
                        <wps:spPr>
                          <a:xfrm rot="-10799999">
                            <a:off x="97912" y="3826891"/>
                            <a:ext cx="50622" cy="142889"/>
                          </a:xfrm>
                          <a:prstGeom prst="rect">
                            <a:avLst/>
                          </a:prstGeom>
                          <a:ln>
                            <a:noFill/>
                          </a:ln>
                        </wps:spPr>
                        <wps:txbx>
                          <w:txbxContent>
                            <w:p w14:paraId="789BB82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89" name="Rectangle 20189"/>
                        <wps:cNvSpPr/>
                        <wps:spPr>
                          <a:xfrm rot="-10799999">
                            <a:off x="-1186395" y="3703561"/>
                            <a:ext cx="5099401" cy="142889"/>
                          </a:xfrm>
                          <a:prstGeom prst="rect">
                            <a:avLst/>
                          </a:prstGeom>
                          <a:ln>
                            <a:noFill/>
                          </a:ln>
                        </wps:spPr>
                        <wps:txbx>
                          <w:txbxContent>
                            <w:p w14:paraId="0473BE1E" w14:textId="77777777" w:rsidR="00B32EF2" w:rsidRDefault="00000000">
                              <w:r>
                                <w:rPr>
                                  <w:rFonts w:ascii="Arial" w:eastAsia="Arial" w:hAnsi="Arial" w:cs="Arial"/>
                                  <w:i/>
                                  <w:sz w:val="18"/>
                                </w:rPr>
                                <w:t xml:space="preserve">ne, il giudice la condanna a una pena pecuniaria da euro 500 a euro 3.000 </w:t>
                              </w:r>
                            </w:p>
                          </w:txbxContent>
                        </wps:txbx>
                        <wps:bodyPr horzOverflow="overflow" vert="horz" lIns="0" tIns="0" rIns="0" bIns="0" rtlCol="0">
                          <a:noAutofit/>
                        </wps:bodyPr>
                      </wps:wsp>
                      <wps:wsp>
                        <wps:cNvPr id="20190" name="Rectangle 20190"/>
                        <wps:cNvSpPr/>
                        <wps:spPr>
                          <a:xfrm rot="-10799999">
                            <a:off x="-1192245" y="3580231"/>
                            <a:ext cx="5121368" cy="142889"/>
                          </a:xfrm>
                          <a:prstGeom prst="rect">
                            <a:avLst/>
                          </a:prstGeom>
                          <a:ln>
                            <a:noFill/>
                          </a:ln>
                        </wps:spPr>
                        <wps:txbx>
                          <w:txbxContent>
                            <w:p w14:paraId="2FCD44FE" w14:textId="77777777" w:rsidR="00B32EF2" w:rsidRDefault="00000000">
                              <w:r>
                                <w:rPr>
                                  <w:rFonts w:ascii="Arial" w:eastAsia="Arial" w:hAnsi="Arial" w:cs="Arial"/>
                                  <w:i/>
                                  <w:sz w:val="18"/>
                                </w:rPr>
                                <w:t xml:space="preserve">e può da questo comportamento desumere argomenti di prova a norma </w:t>
                              </w:r>
                            </w:p>
                          </w:txbxContent>
                        </wps:txbx>
                        <wps:bodyPr horzOverflow="overflow" vert="horz" lIns="0" tIns="0" rIns="0" bIns="0" rtlCol="0">
                          <a:noAutofit/>
                        </wps:bodyPr>
                      </wps:wsp>
                      <wps:wsp>
                        <wps:cNvPr id="20191" name="Rectangle 20191"/>
                        <wps:cNvSpPr/>
                        <wps:spPr>
                          <a:xfrm rot="-10799999">
                            <a:off x="1551583" y="3456902"/>
                            <a:ext cx="2362223" cy="142889"/>
                          </a:xfrm>
                          <a:prstGeom prst="rect">
                            <a:avLst/>
                          </a:prstGeom>
                          <a:ln>
                            <a:noFill/>
                          </a:ln>
                        </wps:spPr>
                        <wps:txbx>
                          <w:txbxContent>
                            <w:p w14:paraId="56971F27" w14:textId="77777777" w:rsidR="00B32EF2" w:rsidRDefault="00000000">
                              <w:r>
                                <w:rPr>
                                  <w:rFonts w:ascii="Arial" w:eastAsia="Arial" w:hAnsi="Arial" w:cs="Arial"/>
                                  <w:i/>
                                  <w:sz w:val="18"/>
                                </w:rPr>
                                <w:t xml:space="preserve">dell’articolo 116, secondo comma. </w:t>
                              </w:r>
                            </w:p>
                          </w:txbxContent>
                        </wps:txbx>
                        <wps:bodyPr horzOverflow="overflow" vert="horz" lIns="0" tIns="0" rIns="0" bIns="0" rtlCol="0">
                          <a:noAutofit/>
                        </wps:bodyPr>
                      </wps:wsp>
                      <wps:wsp>
                        <wps:cNvPr id="201558" name="Rectangle 201558"/>
                        <wps:cNvSpPr/>
                        <wps:spPr>
                          <a:xfrm rot="-10799999">
                            <a:off x="2584995" y="3333572"/>
                            <a:ext cx="5099386" cy="142889"/>
                          </a:xfrm>
                          <a:prstGeom prst="rect">
                            <a:avLst/>
                          </a:prstGeom>
                          <a:ln>
                            <a:noFill/>
                          </a:ln>
                        </wps:spPr>
                        <wps:txbx>
                          <w:txbxContent>
                            <w:p w14:paraId="66B7206E"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201559" name="Rectangle 201559"/>
                        <wps:cNvSpPr/>
                        <wps:spPr>
                          <a:xfrm rot="-10799999">
                            <a:off x="-1253279" y="3333572"/>
                            <a:ext cx="5099387" cy="142889"/>
                          </a:xfrm>
                          <a:prstGeom prst="rect">
                            <a:avLst/>
                          </a:prstGeom>
                          <a:ln>
                            <a:noFill/>
                          </a:ln>
                        </wps:spPr>
                        <wps:txbx>
                          <w:txbxContent>
                            <w:p w14:paraId="0CBED2C3" w14:textId="77777777" w:rsidR="00B32EF2" w:rsidRDefault="00000000">
                              <w:r>
                                <w:rPr>
                                  <w:rFonts w:ascii="Arial" w:eastAsia="Arial" w:hAnsi="Arial" w:cs="Arial"/>
                                  <w:i/>
                                  <w:sz w:val="18"/>
                                </w:rPr>
                                <w:t xml:space="preserve">. Se non adempie il terzo, il giudice lo  condanna  a  una  pena pecuniaria </w:t>
                              </w:r>
                            </w:p>
                          </w:txbxContent>
                        </wps:txbx>
                        <wps:bodyPr horzOverflow="overflow" vert="horz" lIns="0" tIns="0" rIns="0" bIns="0" rtlCol="0">
                          <a:noAutofit/>
                        </wps:bodyPr>
                      </wps:wsp>
                      <wps:wsp>
                        <wps:cNvPr id="20193" name="Rectangle 20193"/>
                        <wps:cNvSpPr/>
                        <wps:spPr>
                          <a:xfrm rot="-10799999">
                            <a:off x="2147634" y="3210242"/>
                            <a:ext cx="1766172" cy="142889"/>
                          </a:xfrm>
                          <a:prstGeom prst="rect">
                            <a:avLst/>
                          </a:prstGeom>
                          <a:ln>
                            <a:noFill/>
                          </a:ln>
                        </wps:spPr>
                        <wps:txbx>
                          <w:txbxContent>
                            <w:p w14:paraId="4418C903" w14:textId="77777777" w:rsidR="00B32EF2" w:rsidRDefault="00000000">
                              <w:r>
                                <w:rPr>
                                  <w:rFonts w:ascii="Arial" w:eastAsia="Arial" w:hAnsi="Arial" w:cs="Arial"/>
                                  <w:i/>
                                  <w:sz w:val="18"/>
                                </w:rPr>
                                <w:t>da euro 250 a euro 1.500.</w:t>
                              </w:r>
                            </w:p>
                          </w:txbxContent>
                        </wps:txbx>
                        <wps:bodyPr horzOverflow="overflow" vert="horz" lIns="0" tIns="0" rIns="0" bIns="0" rtlCol="0">
                          <a:noAutofit/>
                        </wps:bodyPr>
                      </wps:wsp>
                      <wps:wsp>
                        <wps:cNvPr id="20194" name="Rectangle 20194"/>
                        <wps:cNvSpPr/>
                        <wps:spPr>
                          <a:xfrm rot="-10799999">
                            <a:off x="-854042" y="3086912"/>
                            <a:ext cx="4767848" cy="142889"/>
                          </a:xfrm>
                          <a:prstGeom prst="rect">
                            <a:avLst/>
                          </a:prstGeom>
                          <a:ln>
                            <a:noFill/>
                          </a:ln>
                        </wps:spPr>
                        <wps:txbx>
                          <w:txbxContent>
                            <w:p w14:paraId="20E90300" w14:textId="77777777" w:rsidR="00B32EF2" w:rsidRDefault="00000000">
                              <w:r>
                                <w:rPr>
                                  <w:rFonts w:ascii="Arial" w:eastAsia="Arial" w:hAnsi="Arial" w:cs="Arial"/>
                                  <w:i/>
                                  <w:sz w:val="18"/>
                                </w:rPr>
                                <w:t xml:space="preserve">art. 23 c.p.c. “Richiesta d’informazioni alla pubblica amministrazione.” </w:t>
                              </w:r>
                            </w:p>
                          </w:txbxContent>
                        </wps:txbx>
                        <wps:bodyPr horzOverflow="overflow" vert="horz" lIns="0" tIns="0" rIns="0" bIns="0" rtlCol="0">
                          <a:noAutofit/>
                        </wps:bodyPr>
                      </wps:wsp>
                      <wps:wsp>
                        <wps:cNvPr id="201556" name="Rectangle 201556"/>
                        <wps:cNvSpPr/>
                        <wps:spPr>
                          <a:xfrm rot="-10799999">
                            <a:off x="2582807" y="2963583"/>
                            <a:ext cx="5108203" cy="142889"/>
                          </a:xfrm>
                          <a:prstGeom prst="rect">
                            <a:avLst/>
                          </a:prstGeom>
                          <a:ln>
                            <a:noFill/>
                          </a:ln>
                        </wps:spPr>
                        <wps:txbx>
                          <w:txbxContent>
                            <w:p w14:paraId="6F301CB1"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557" name="Rectangle 201557"/>
                        <wps:cNvSpPr/>
                        <wps:spPr>
                          <a:xfrm rot="-10799999">
                            <a:off x="-1248541" y="2963583"/>
                            <a:ext cx="5108203" cy="142889"/>
                          </a:xfrm>
                          <a:prstGeom prst="rect">
                            <a:avLst/>
                          </a:prstGeom>
                          <a:ln>
                            <a:noFill/>
                          </a:ln>
                        </wps:spPr>
                        <wps:txbx>
                          <w:txbxContent>
                            <w:p w14:paraId="0BC65122" w14:textId="77777777" w:rsidR="00B32EF2" w:rsidRDefault="00000000">
                              <w:r>
                                <w:rPr>
                                  <w:rFonts w:ascii="Arial" w:eastAsia="Arial" w:hAnsi="Arial" w:cs="Arial"/>
                                  <w:i/>
                                  <w:sz w:val="18"/>
                                </w:rPr>
                                <w:t xml:space="preserve">. Per le cause tra soci è competente il giudice del luogo dove ha sede la </w:t>
                              </w:r>
                            </w:p>
                          </w:txbxContent>
                        </wps:txbx>
                        <wps:bodyPr horzOverflow="overflow" vert="horz" lIns="0" tIns="0" rIns="0" bIns="0" rtlCol="0">
                          <a:noAutofit/>
                        </wps:bodyPr>
                      </wps:wsp>
                      <wps:wsp>
                        <wps:cNvPr id="20196" name="Rectangle 20196"/>
                        <wps:cNvSpPr/>
                        <wps:spPr>
                          <a:xfrm rot="-10799999">
                            <a:off x="-1187904" y="2840254"/>
                            <a:ext cx="5105482" cy="142889"/>
                          </a:xfrm>
                          <a:prstGeom prst="rect">
                            <a:avLst/>
                          </a:prstGeom>
                          <a:ln>
                            <a:noFill/>
                          </a:ln>
                        </wps:spPr>
                        <wps:txbx>
                          <w:txbxContent>
                            <w:p w14:paraId="29FAA933" w14:textId="77777777" w:rsidR="00B32EF2" w:rsidRDefault="00000000">
                              <w:r>
                                <w:rPr>
                                  <w:rFonts w:ascii="Arial" w:eastAsia="Arial" w:hAnsi="Arial" w:cs="Arial"/>
                                  <w:i/>
                                  <w:sz w:val="18"/>
                                </w:rPr>
                                <w:t xml:space="preserve">società; per le cause tra condomini, ovvero tra condomini e condominio, il </w:t>
                              </w:r>
                            </w:p>
                          </w:txbxContent>
                        </wps:txbx>
                        <wps:bodyPr horzOverflow="overflow" vert="horz" lIns="0" tIns="0" rIns="0" bIns="0" rtlCol="0">
                          <a:noAutofit/>
                        </wps:bodyPr>
                      </wps:wsp>
                      <wps:wsp>
                        <wps:cNvPr id="20197" name="Rectangle 20197"/>
                        <wps:cNvSpPr/>
                        <wps:spPr>
                          <a:xfrm rot="-10799999">
                            <a:off x="-1186349" y="2716924"/>
                            <a:ext cx="5099584" cy="142889"/>
                          </a:xfrm>
                          <a:prstGeom prst="rect">
                            <a:avLst/>
                          </a:prstGeom>
                          <a:ln>
                            <a:noFill/>
                          </a:ln>
                        </wps:spPr>
                        <wps:txbx>
                          <w:txbxContent>
                            <w:p w14:paraId="17E2BE2D" w14:textId="77777777" w:rsidR="00B32EF2" w:rsidRDefault="00000000">
                              <w:r>
                                <w:rPr>
                                  <w:rFonts w:ascii="Arial" w:eastAsia="Arial" w:hAnsi="Arial" w:cs="Arial"/>
                                  <w:i/>
                                  <w:sz w:val="18"/>
                                </w:rPr>
                                <w:t xml:space="preserve">giudice del luogo dove si trovano i beni comuni o la maggior parte   di essi. </w:t>
                              </w:r>
                            </w:p>
                          </w:txbxContent>
                        </wps:txbx>
                        <wps:bodyPr horzOverflow="overflow" vert="horz" lIns="0" tIns="0" rIns="0" bIns="0" rtlCol="0">
                          <a:noAutofit/>
                        </wps:bodyPr>
                      </wps:wsp>
                      <wps:wsp>
                        <wps:cNvPr id="201554" name="Rectangle 201554"/>
                        <wps:cNvSpPr/>
                        <wps:spPr>
                          <a:xfrm rot="-10799999">
                            <a:off x="2608592" y="2593594"/>
                            <a:ext cx="5004282" cy="142889"/>
                          </a:xfrm>
                          <a:prstGeom prst="rect">
                            <a:avLst/>
                          </a:prstGeom>
                          <a:ln>
                            <a:noFill/>
                          </a:ln>
                        </wps:spPr>
                        <wps:txbx>
                          <w:txbxContent>
                            <w:p w14:paraId="3FE7AD73"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555" name="Rectangle 201555"/>
                        <wps:cNvSpPr/>
                        <wps:spPr>
                          <a:xfrm rot="-10799999">
                            <a:off x="-1155205" y="2593594"/>
                            <a:ext cx="5004284" cy="142889"/>
                          </a:xfrm>
                          <a:prstGeom prst="rect">
                            <a:avLst/>
                          </a:prstGeom>
                          <a:ln>
                            <a:noFill/>
                          </a:ln>
                        </wps:spPr>
                        <wps:txbx>
                          <w:txbxContent>
                            <w:p w14:paraId="37D2A96F" w14:textId="77777777" w:rsidR="00B32EF2" w:rsidRDefault="00000000">
                              <w:r>
                                <w:rPr>
                                  <w:rFonts w:ascii="Arial" w:eastAsia="Arial" w:hAnsi="Arial" w:cs="Arial"/>
                                  <w:i/>
                                  <w:sz w:val="18"/>
                                </w:rPr>
                                <w:t>. Tale norma si applica anche dopo lo scioglimento della società o del con</w:t>
                              </w:r>
                            </w:p>
                          </w:txbxContent>
                        </wps:txbx>
                        <wps:bodyPr horzOverflow="overflow" vert="horz" lIns="0" tIns="0" rIns="0" bIns="0" rtlCol="0">
                          <a:noAutofit/>
                        </wps:bodyPr>
                      </wps:wsp>
                      <wps:wsp>
                        <wps:cNvPr id="20199" name="Rectangle 20199"/>
                        <wps:cNvSpPr/>
                        <wps:spPr>
                          <a:xfrm rot="-10799999">
                            <a:off x="97912" y="2593594"/>
                            <a:ext cx="50622" cy="142889"/>
                          </a:xfrm>
                          <a:prstGeom prst="rect">
                            <a:avLst/>
                          </a:prstGeom>
                          <a:ln>
                            <a:noFill/>
                          </a:ln>
                        </wps:spPr>
                        <wps:txbx>
                          <w:txbxContent>
                            <w:p w14:paraId="437486EF"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00" name="Rectangle 20200"/>
                        <wps:cNvSpPr/>
                        <wps:spPr>
                          <a:xfrm rot="-10799999">
                            <a:off x="-1102866" y="2470264"/>
                            <a:ext cx="5016673" cy="142889"/>
                          </a:xfrm>
                          <a:prstGeom prst="rect">
                            <a:avLst/>
                          </a:prstGeom>
                          <a:ln>
                            <a:noFill/>
                          </a:ln>
                        </wps:spPr>
                        <wps:txbx>
                          <w:txbxContent>
                            <w:p w14:paraId="2E9D6ADC" w14:textId="77777777" w:rsidR="00B32EF2" w:rsidRDefault="00000000">
                              <w:r>
                                <w:rPr>
                                  <w:rFonts w:ascii="Arial" w:eastAsia="Arial" w:hAnsi="Arial" w:cs="Arial"/>
                                  <w:i/>
                                  <w:sz w:val="18"/>
                                </w:rPr>
                                <w:t>dominio, purché la domanda sia proposta entro un biennio dalla divisione.</w:t>
                              </w:r>
                            </w:p>
                          </w:txbxContent>
                        </wps:txbx>
                        <wps:bodyPr horzOverflow="overflow" vert="horz" lIns="0" tIns="0" rIns="0" bIns="0" rtlCol="0">
                          <a:noAutofit/>
                        </wps:bodyPr>
                      </wps:wsp>
                      <wps:wsp>
                        <wps:cNvPr id="20201" name="Shape 20201"/>
                        <wps:cNvSpPr/>
                        <wps:spPr>
                          <a:xfrm>
                            <a:off x="32155" y="2364650"/>
                            <a:ext cx="3960000" cy="3040101"/>
                          </a:xfrm>
                          <a:custGeom>
                            <a:avLst/>
                            <a:gdLst/>
                            <a:ahLst/>
                            <a:cxnLst/>
                            <a:rect l="0" t="0" r="0" b="0"/>
                            <a:pathLst>
                              <a:path w="3960000" h="3040101">
                                <a:moveTo>
                                  <a:pt x="0" y="3040101"/>
                                </a:moveTo>
                                <a:lnTo>
                                  <a:pt x="3960000" y="3040101"/>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AF702BB" id="Group 201595" o:spid="_x0000_s4966" style="width:314.35pt;height:425.55pt;mso-position-horizontal-relative:char;mso-position-vertical-relative:line" coordsize="39921,54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301dQsAANt8AAAOAAAAZHJzL2Uyb0RvYy54bWzkXetu20YW/r9A30HQf8dz4ZBDI05RpG1Q&#10;YLEt2u4D0LJkCaBEgWRip0+/35khhxI9crIkmjE6CWDLI3JEno/nftHb75/25eLTum521eF2yd+w&#10;5WJ9WFX3u8PD7fK/f/58pZeLpi0O90VZHda3y8/rZvn9u+/+9fbxeLMW1bYq79f1ApscmpvH4+1y&#10;27bHm+vrZrVd74vmTXVcH/Dmpqr3RYs/64fr+7p4xO778lowll4/VvX9sa5W66bB6o/2zeU7s/9m&#10;s161v242zbpdlLdLXFtrftbm5x39vH73trh5qIvjdrfqLqOYcBX7YnfAh7qtfizaYvGx3j3bar9b&#10;1VVTbdo3q2p/XW02u9Xa3APuhrPR3Xyoq49Hcy8PN48PR0cmkHZEp8nbrv7z6UN9/OP4Ww1KPB4f&#10;QAvzF93L06be029c5eLJkOyzI9n6qV2ssCjzXHCVLhcrvKcSlmSKW6KutqD8s/NW25++cOZ1/8HX&#10;Z5fzeMQD0gw0aObR4I9tcVwb0jY3oMFv9WJ3f7sEBkotF4dij0f1dzw8xeGhXC/ssiGQOdqRq7lp&#10;QLmeVou6wvN1xVmW0z/zPHS044qlqcDWoJJgKec9lXo6as5FiveJjDwRWudERUeL4uZYN+2HdbVf&#10;0IvbZY2LMx9QfPp309pD+0PoesoD/TxUP+/K0r5LKyBpf8n0qn26ezL3LbNU0ufR4l11/xnk2Fb1&#10;X7+CsTdl9Xi7rLpXS+J1fDy9u1yUvxwAA7FV/6LuX9z1L+q2fF8Z5rMX9MPHttrszBUPn9ZdGfC1&#10;1/BtgBYXkBY9KfBg/P9QX/EkEVwaqHkuMy06huih5lqlGU8CYp30NxgP1vwC1gYbehAnYS0E5wmH&#10;9COuNVibZ6e4Occ6JF+r+LAG73kluBNxk7DmgqepOuXrV4d1Gh3WmR/qrCfEJKRTBQndMbWGNM9H&#10;AlzwRCY5DNtgytrdXzwCHFaGl6mNCT9ZgF9xkeUyAZYkwdOc83TE1UpwIaHCw4Gt+4c5GrCT3A82&#10;1jsjdRJfi1QqKToJ/jqxdjcYDdYXoHaEmIQ0z5V6iadZKmD8hxLfmZNZsaCc+qU3lufw8xWXPNUS&#10;SJLwhlNFr7HhYH4ryXSe48ODQe38i2ig9ntaqSPEJIa2UJNeMPGRJFHsOdQ54oEBoTYXNMQ0/vkR&#10;FJhKPpvMWlCTTbIkl5p1ShqGF8+M2zbwNJne0OMBgXZ+ZDQ8DWp7jO8hZjiJpxETVWneSW+WJQpB&#10;szPprWGcQ1eGE97xxcnIE/IgrbA+R1Ofxk5yxbkeIW1DogHDZFl8YbLkQuwE63OgPg1/X4Y6YPQ7&#10;iy9KlsAs8nK1I8UkAX4a/TZQG3k5aOrwXO0e5Wg0NWSoB2lkFufxtMhFnoJpYX1rkWk1QlqJjKVB&#10;jW+nn6JB2s/TiFvPQZpnDLoaDxGAzliixAjoJENqOqSednGhWHBWiZ+laX0O0vCoM7CsdbQUyg/y&#10;EdSIneRMBnSotYsOxYM1RKxHfKvEYDPZpRYoOJECUIKrDdTm0RkUdXioXXQoFqhTv6OF5ZlMzaGf&#10;bZgsUZm2iv8UaS5ZyDojHV+UzJ/hSJ0mm2h7q0SCmMTSUiZKjlgaYbMsg1cbLHhiXfyYwqEq8cdD&#10;aX0OU1PaUpNxDagRD0X5IG13wtOCMxkUaqedYpHe4L0LitrFhidxNcoRIL4JyxexDmmUOaszFqwz&#10;f0ILy3OYeshQe1k6bIJaOycyGpD9ojubJ7mpEjjpwyaZtpHHQXALpSC4YQiGyk7r6OJjSCb6HCyb&#10;Y5zsX8kcOcncSu0rCc98lN5IhKBcaTCYnVMRCTsjf+zcK9PogQ4Os/ZFiU12Vdeygdwz9bWQIpYp&#10;uNgQcWBemacM/yyqkiXo3jEa4aRlY/XRtmzQpn2bBjqE7m3DBta2/avV06F/SY0dLzYrHYuWzqNN&#10;6eUC3RnuWrZ43V0Kvb9H28aflTmyHXXi4DKHd8vD6VFuN9y6CcHg2P6I/vfR7Hd6ZP+5IPHF40Et&#10;7Pn1R55/OralGzb7OyJg8ZTM5YHoQagUaCbblIVtktnvWnSZlbs96oQQqgZs/WU+64lp2s/lmkhW&#10;Hn5fb9AdYzqfaKGpH+7el/XiU0HtLOaf7cApj9uiW+327Q7tSIF96PwNWnHcltycerble0n/ux26&#10;g+m8tWljc2cye+aquxrby4aOMNx039EGoriTzCdXh9adf0AfnvkQEnfd3Q5uGtGF/vqmrThk8HrC&#10;XljG5UyWygoBzgxJTjxyChlnhT4NbHfCwXifC3jnvVy2dd4gXt/41jdU/U09V7bHa6D9P79iCBaQ&#10;F2hnb07ymnLYWVa0oMuOcT2W1FpAggf0mVCA2D3HkehfrrILgWysz2Fp+McJGuqsWkahWKpR5nvG&#10;1Iq6Lyll0jP1t26ktEIkJqZWF4xqWp8DtlBaaPK+IcBfwDokYzv3MB7G9kdD1MxwCNxk1ZvbieZS&#10;iWd8jWoSehiC8bV7mOPB2h8UUTOjIsg8pyjKt+7yC2AH9JhtLjwmIU45Q58JPi9LdYWyAoFafSvD&#10;05xxtE2O9DWqyCiaHoyvnZMRC1+jrsIH9VBuMckIJ6g5pSGNukb/rLYZzsHfQt0vuD5guDN3bkY0&#10;UPu1tZ6Xu0AwDQ04HdJJgmYMIyUGpFGDkEOFB2Tq6ALb6H7zcjWtzzXCU6hDw9VSMMFGWMPh0in1&#10;9wUT4EajxKSr1YXiIVqfgzW8ayVTaUNmyesE29kj0Yhwf8ZqKK+ZpK0x5wAziLo4Cs9TbbX/IMJF&#10;lmSo/wzG1trG6ONi6wtBM2SQ57C1SJlGCNSKcJZJZJ1HNjhjUvYz3AIMH9M2cxYX1jCfPP6Wmt2p&#10;gQF2ust6JK8T7OiCZtQw4cEay3PYOs9y/iJTh5xxQR3c3c1Fo6ihTX0oO6dzkqIWmeya4WWOmQdi&#10;JLqlRok3HRDI+tbM6aZYcFYYZeEDmtbn8DPUdM7Ii6MSCeS49HjsmGIMecxw8RONkG1kPK0ujLig&#10;9TlYI1iGWblU+vd6wXZyKxbGRt2Aj69tOQEZp5ME+KCmLzB1WDXtokPRoOxPdAy1OJNQBkPrFBra&#10;MnTG4E4ZbTA41IrlOYoEA2pqFxyKBWoKX3gssqEcZyrUuUBSy0KNzhwhx1CjhTqsoo4uSgZbyQv1&#10;PJMMvjRXiLQZLZ1gWNF46BjsMYHisnBMzeMrLaMMooeraeDjHJMM1UZJ3gtwiXiYrXI4F+ASnTHB&#10;XC3uHuZYBLhSfmVN63OwNomOvk0aWF8CG85YKL8aoZ3IfK3cn+jA8hyoUVyC77aw+Ut0dDBhm3EH&#10;tuZZmnLwejik3Q3GwtaUTvZI8KHoappdhqlEjFqwyaVGTpqio3hyBqTxIGSaBtwF4+n4YmWUVfJA&#10;rbA+i6upNJjZWBkGU6E/3jDRgDVVJYiQcVHMUIpMfisFPLxYuxjDNL5GzT9YGwY+GPuVgu2e5mhE&#10;uJ+vhwq7iVBzneVIKRiodcLEs0FznGEWaUht7R7maKD2s3XuCDEZathlsO+Jq1GKgjrhc3VNATP4&#10;ZAHVtXMoY4Fagd38ItxZLpPApgoU1U16FgqlodbUO1HXDJZbULZ2DmU8WPurEhQKe+eYZpTaUqLr&#10;7ngB7ICMbZPoMZUb4csofXyN5TlQD6mtCzgHTW3Zr12MCGV8Ha4PZVqegzIYmgmUeFtNjapQYesR&#10;T6U3VZMGjIKjuDEuZwtfSNtD3c83oaUvwkzhkJPxJjaHZcabjGtC3WgPCpacT+zopyOczt14ReNN&#10;zi/2a4acnJ/Rjzjpfz8fdWL4CWMi+iP63/ZIMCFINj5mVVbNGvjgtK8cYmIGlcD6vTjIxE4gsXt6&#10;vtzXN8jEM3WkG2TSb+ObVdJNHJk2/uRVDDIxXyWNb9A29O++7Zu+ovv0bzP4ZPhO8nf/AwAA//8D&#10;AFBLAwQUAAYACAAAACEA9Lq6R90AAAAFAQAADwAAAGRycy9kb3ducmV2LnhtbEyPQUvDQBCF74L/&#10;YRnBm91spTXEbEop6qkItoJ4m2anSWh2NmS3SfrvXb3Yy8DjPd77Jl9NthUD9b5xrEHNEhDEpTMN&#10;Vxo+968PKQgfkA22jknDhTysitubHDPjRv6gYRcqEUvYZ6ihDqHLpPRlTRb9zHXE0Tu63mKIsq+k&#10;6XGM5baV8yRZSosNx4UaO9rUVJ52Z6vhbcRx/ahehu3puLl87xfvX1tFWt/fTetnEIGm8B+GX/yI&#10;DkVkOrgzGy9aDfGR8Hejt5ynTyAOGtKFUiCLXF7TFz8AAAD//wMAUEsBAi0AFAAGAAgAAAAhALaD&#10;OJL+AAAA4QEAABMAAAAAAAAAAAAAAAAAAAAAAFtDb250ZW50X1R5cGVzXS54bWxQSwECLQAUAAYA&#10;CAAAACEAOP0h/9YAAACUAQAACwAAAAAAAAAAAAAAAAAvAQAAX3JlbHMvLnJlbHNQSwECLQAUAAYA&#10;CAAAACEAlCd9NXULAADbfAAADgAAAAAAAAAAAAAAAAAuAgAAZHJzL2Uyb0RvYy54bWxQSwECLQAU&#10;AAYACAAAACEA9Lq6R90AAAAFAQAADwAAAAAAAAAAAAAAAADPDQAAZHJzL2Rvd25yZXYueG1sUEsF&#10;BgAAAAAEAAQA8wAAANkOAAAAAA==&#10;">
                <v:rect id="Rectangle 20155" o:spid="_x0000_s4967" style="position:absolute;left:15066;top:20611;width:81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rHtxQAAAN4AAAAPAAAAZHJzL2Rvd25yZXYueG1sRI9Bi8Iw&#10;FITvgv8hPGFvmiooUo0iimwPXnQVPD6aZ1ttXkITbd1fv1lY2OMwM98wy3VnavGixleWFYxHCQji&#10;3OqKCwXnr/1wDsIHZI21ZVLwJg/rVb+3xFTblo/0OoVCRAj7FBWUIbhUSp+XZNCPrCOO3s02BkOU&#10;TSF1g22Em1pOkmQmDVYcF0p0tC0pf5yeRsF1xy7btzK/fW/d4Z7N68/n+aLUx6DbLEAE6sJ/+K+d&#10;aQWTZDydwu+deAXk6gcAAP//AwBQSwECLQAUAAYACAAAACEA2+H2y+4AAACFAQAAEwAAAAAAAAAA&#10;AAAAAAAAAAAAW0NvbnRlbnRfVHlwZXNdLnhtbFBLAQItABQABgAIAAAAIQBa9CxbvwAAABUBAAAL&#10;AAAAAAAAAAAAAAAAAB8BAABfcmVscy8ucmVsc1BLAQItABQABgAIAAAAIQAinrHtxQAAAN4AAAAP&#10;AAAAAAAAAAAAAAAAAAcCAABkcnMvZG93bnJldi54bWxQSwUGAAAAAAMAAwC3AAAA+QIAAAAA&#10;" filled="f" stroked="f">
                  <v:textbox inset="0,0,0,0">
                    <w:txbxContent>
                      <w:p w14:paraId="6657F1D4" w14:textId="77777777" w:rsidR="00B32EF2" w:rsidRDefault="00000000">
                        <w:r>
                          <w:rPr>
                            <w:rFonts w:ascii="Arial" w:eastAsia="Arial" w:hAnsi="Arial" w:cs="Arial"/>
                            <w:b/>
                            <w:sz w:val="18"/>
                          </w:rPr>
                          <w:t>Articolo 53</w:t>
                        </w:r>
                      </w:p>
                    </w:txbxContent>
                  </v:textbox>
                </v:rect>
                <v:rect id="Rectangle 201552" o:spid="_x0000_s4968" style="position:absolute;left:-1442;top:19378;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o27yAAAAN8AAAAPAAAAZHJzL2Rvd25yZXYueG1sRI9La8Mw&#10;EITvhfwHsYXeGjmGlOBEDiUh1IdemgfkuFjrR2uthKXEbn59VCjkOMzMN8xqPZpOXKn3rWUFs2kC&#10;gri0uuVawfGwe12A8AFZY2eZFPySh3U+eVphpu3AX3Tdh1pECPsMFTQhuExKXzZk0E+tI45eZXuD&#10;Icq+lrrHIcJNJ9MkeZMGW44LDTraNFT+7C9GwXnLrtgNsqxuG/f5XSy6j8vxpNTL8/i+BBFoDI/w&#10;f7vQCtJkNp+n8PcnfgGZ3wEAAP//AwBQSwECLQAUAAYACAAAACEA2+H2y+4AAACFAQAAEwAAAAAA&#10;AAAAAAAAAAAAAAAAW0NvbnRlbnRfVHlwZXNdLnhtbFBLAQItABQABgAIAAAAIQBa9CxbvwAAABUB&#10;AAALAAAAAAAAAAAAAAAAAB8BAABfcmVscy8ucmVsc1BLAQItABQABgAIAAAAIQBW9o27yAAAAN8A&#10;AAAPAAAAAAAAAAAAAAAAAAcCAABkcnMvZG93bnJldi54bWxQSwUGAAAAAAMAAwC3AAAA/AIAAAAA&#10;" filled="f" stroked="f">
                  <v:textbox inset="0,0,0,0">
                    <w:txbxContent>
                      <w:p w14:paraId="35EF0742" w14:textId="77777777" w:rsidR="00B32EF2" w:rsidRDefault="00000000">
                        <w:r>
                          <w:rPr>
                            <w:rFonts w:ascii="Arial" w:eastAsia="Arial" w:hAnsi="Arial" w:cs="Arial"/>
                            <w:i/>
                            <w:sz w:val="18"/>
                          </w:rPr>
                          <w:t>546/92)</w:t>
                        </w:r>
                      </w:p>
                    </w:txbxContent>
                  </v:textbox>
                </v:rect>
                <v:rect id="Rectangle 201551" o:spid="_x0000_s4969" style="position:absolute;left:22114;top:19378;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BPMxwAAAN8AAAAPAAAAZHJzL2Rvd25yZXYueG1sRI9Ba8JA&#10;FITvgv9heUJvuolgkegqokhz8FKr4PGRfSbR7Nslu5rYX98tFHocZuYbZrnuTSOe1PrasoJ0koAg&#10;LqyuuVRw+tqP5yB8QNbYWCYFL/KwXg0HS8y07fiTnsdQighhn6GCKgSXSemLigz6iXXE0bva1mCI&#10;si2lbrGLcNPIaZK8S4M1x4UKHW0rKu7Hh1Fw2bHL950srt9bd7jl8+bjcTor9TbqNwsQgfrwH/5r&#10;51rBNElnsxR+/8QvIFc/AAAA//8DAFBLAQItABQABgAIAAAAIQDb4fbL7gAAAIUBAAATAAAAAAAA&#10;AAAAAAAAAAAAAABbQ29udGVudF9UeXBlc10ueG1sUEsBAi0AFAAGAAgAAAAhAFr0LFu/AAAAFQEA&#10;AAsAAAAAAAAAAAAAAAAAHwEAAF9yZWxzLy5yZWxzUEsBAi0AFAAGAAgAAAAhAKYkE8zHAAAA3wAA&#10;AA8AAAAAAAAAAAAAAAAABwIAAGRycy9kb3ducmV2LnhtbFBLBQYAAAAAAwADALcAAAD7AgAAAAA=&#10;" filled="f" stroked="f">
                  <v:textbox inset="0,0,0,0">
                    <w:txbxContent>
                      <w:p w14:paraId="5C5A0B56" w14:textId="77777777" w:rsidR="00B32EF2" w:rsidRDefault="00000000">
                        <w:r>
                          <w:rPr>
                            <w:rFonts w:ascii="Arial" w:eastAsia="Arial" w:hAnsi="Arial" w:cs="Arial"/>
                            <w:i/>
                            <w:sz w:val="18"/>
                          </w:rPr>
                          <w:t>(</w:t>
                        </w:r>
                      </w:p>
                    </w:txbxContent>
                  </v:textbox>
                </v:rect>
                <v:rect id="Rectangle 201553" o:spid="_x0000_s4970" style="position:absolute;left:12166;top:19378;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iggxwAAAN8AAAAPAAAAZHJzL2Rvd25yZXYueG1sRI9Ba8JA&#10;FITvgv9heUJvutFikegqoog5eKla6PGRfSbR7Nslu5q0v94tFDwOM/MNs1h1phYPanxlWcF4lIAg&#10;zq2uuFBwPu2GMxA+IGusLZOCH/KwWvZ7C0y1bfmTHsdQiAhhn6KCMgSXSunzkgz6kXXE0bvYxmCI&#10;simkbrCNcFPLSZJ8SIMVx4USHW1Kym/Hu1HwvWWX7VqZX3437nDNZvX+fv5S6m3QrecgAnXhFf5v&#10;Z1rBJBlPp+/w9yd+Abl8AgAA//8DAFBLAQItABQABgAIAAAAIQDb4fbL7gAAAIUBAAATAAAAAAAA&#10;AAAAAAAAAAAAAABbQ29udGVudF9UeXBlc10ueG1sUEsBAi0AFAAGAAgAAAAhAFr0LFu/AAAAFQEA&#10;AAsAAAAAAAAAAAAAAAAAHwEAAF9yZWxzLy5yZWxzUEsBAi0AFAAGAAgAAAAhADm6KCDHAAAA3wAA&#10;AA8AAAAAAAAAAAAAAAAABwIAAGRycy9kb3ducmV2LnhtbFBLBQYAAAAAAwADALcAAAD7AgAAAAA=&#10;" filled="f" stroked="f">
                  <v:textbox inset="0,0,0,0">
                    <w:txbxContent>
                      <w:p w14:paraId="7BBB9016" w14:textId="77777777" w:rsidR="00B32EF2" w:rsidRDefault="00000000">
                        <w:r>
                          <w:rPr>
                            <w:rFonts w:ascii="Arial" w:eastAsia="Arial" w:hAnsi="Arial" w:cs="Arial"/>
                            <w:i/>
                            <w:sz w:val="18"/>
                          </w:rPr>
                          <w:t xml:space="preserve">articolo 8 D.lgs. n. </w:t>
                        </w:r>
                      </w:p>
                    </w:txbxContent>
                  </v:textbox>
                </v:rect>
                <v:rect id="Rectangle 20157" o:spid="_x0000_s4971" style="position:absolute;left:6585;top:18144;width:214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IoBxgAAAN4AAAAPAAAAZHJzL2Rvd25yZXYueG1sRI9Ba8JA&#10;FITvBf/D8gre6kahVqKrFEWagxetBY+P7DOJZt8u2dVEf70rFDwOM/MNM1t0phZXanxlWcFwkIAg&#10;zq2uuFCw/11/TED4gKyxtkwKbuRhMe+9zTDVtuUtXXehEBHCPkUFZQguldLnJRn0A+uIo3e0jcEQ&#10;ZVNI3WAb4aaWoyQZS4MVx4USHS1Lys+7i1FwWLHL1q3Mj/el25yySf1z2f8p1X/vvqcgAnXhFf5v&#10;Z1rBKBl+fsHzTrwCcv4AAAD//wMAUEsBAi0AFAAGAAgAAAAhANvh9svuAAAAhQEAABMAAAAAAAAA&#10;AAAAAAAAAAAAAFtDb250ZW50X1R5cGVzXS54bWxQSwECLQAUAAYACAAAACEAWvQsW78AAAAVAQAA&#10;CwAAAAAAAAAAAAAAAAAfAQAAX3JlbHMvLnJlbHNQSwECLQAUAAYACAAAACEAvQCKAcYAAADeAAAA&#10;DwAAAAAAAAAAAAAAAAAHAgAAZHJzL2Rvd25yZXYueG1sUEsFBgAAAAADAAMAtwAAAPoCAAAAAA==&#10;" filled="f" stroked="f">
                  <v:textbox inset="0,0,0,0">
                    <w:txbxContent>
                      <w:p w14:paraId="67B16061" w14:textId="77777777" w:rsidR="00B32EF2" w:rsidRDefault="00000000">
                        <w:r>
                          <w:rPr>
                            <w:rFonts w:ascii="Arial" w:eastAsia="Arial" w:hAnsi="Arial" w:cs="Arial"/>
                            <w:b/>
                            <w:sz w:val="18"/>
                          </w:rPr>
                          <w:t xml:space="preserve">Errore sulla norma tributaria </w:t>
                        </w:r>
                      </w:p>
                    </w:txbxContent>
                  </v:textbox>
                </v:rect>
                <v:rect id="Rectangle 201550" o:spid="_x0000_s4972" style="position:absolute;left:-12793;top:16911;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LZXxQAAAN8AAAAPAAAAZHJzL2Rvd25yZXYueG1sRI/NisIw&#10;FIX3A75DuIK7MVVwkGoUUcQu3IxTweWlubbV5iY00VaffrIYmOXh/PEt171pxJNaX1tWMBknIIgL&#10;q2suFeQ/+885CB+QNTaWScGLPKxXg48lptp2/E3PUyhFHGGfooIqBJdK6YuKDPqxdcTRu9rWYIiy&#10;LaVusYvjppHTJPmSBmuODxU62lZU3E8Po+CyY5ftO1lc31t3vGXz5vDIz0qNhv1mASJQH/7Df+1M&#10;K5gmk9ksEkSeyAJy9QsAAP//AwBQSwECLQAUAAYACAAAACEA2+H2y+4AAACFAQAAEwAAAAAAAAAA&#10;AAAAAAAAAAAAW0NvbnRlbnRfVHlwZXNdLnhtbFBLAQItABQABgAIAAAAIQBa9CxbvwAAABUBAAAL&#10;AAAAAAAAAAAAAAAAAB8BAABfcmVscy8ucmVsc1BLAQItABQABgAIAAAAIQDJaLZXxQAAAN8AAAAP&#10;AAAAAAAAAAAAAAAAAAcCAABkcnMvZG93bnJldi54bWxQSwUGAAAAAAMAAwC3AAAA+QIAAAAA&#10;" filled="f" stroked="f">
                  <v:textbox inset="0,0,0,0">
                    <w:txbxContent>
                      <w:p w14:paraId="0582694B" w14:textId="77777777" w:rsidR="00B32EF2" w:rsidRDefault="00000000">
                        <w:r>
                          <w:rPr>
                            <w:rFonts w:ascii="Arial" w:eastAsia="Arial" w:hAnsi="Arial" w:cs="Arial"/>
                            <w:sz w:val="18"/>
                          </w:rPr>
                          <w:t>. La corte di giustizia tributaria di primo e secondo grado dichiara non appli</w:t>
                        </w:r>
                      </w:p>
                    </w:txbxContent>
                  </v:textbox>
                </v:rect>
                <v:rect id="Rectangle 201549" o:spid="_x0000_s4973" style="position:absolute;left:26353;top:16911;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4kXyAAAAN8AAAAPAAAAZHJzL2Rvd25yZXYueG1sRI9Pa8JA&#10;FMTvgt9heUJvulGq2NRVikXMoRf/FHp8ZJ9J2uzbJbua6KfvCoLHYWZ+wyxWnanFhRpfWVYwHiUg&#10;iHOrKy4UHA+b4RyED8gaa8uk4EoeVst+b4Gpti3v6LIPhYgQ9ikqKENwqZQ+L8mgH1lHHL2TbQyG&#10;KJtC6gbbCDe1nCTJTBqsOC6U6GhdUv63PxsFP5/ssk0r89Nt7b5+s3m9PR+/lXoZdB/vIAJ14Rl+&#10;tDOtYJKMp69vcP8Tv4Bc/gMAAP//AwBQSwECLQAUAAYACAAAACEA2+H2y+4AAACFAQAAEwAAAAAA&#10;AAAAAAAAAAAAAAAAW0NvbnRlbnRfVHlwZXNdLnhtbFBLAQItABQABgAIAAAAIQBa9CxbvwAAABUB&#10;AAALAAAAAAAAAAAAAAAAAB8BAABfcmVscy8ucmVsc1BLAQItABQABgAIAAAAIQDdi4kXyAAAAN8A&#10;AAAPAAAAAAAAAAAAAAAAAAcCAABkcnMvZG93bnJldi54bWxQSwUGAAAAAAMAAwC3AAAA/AIAAAAA&#10;" filled="f" stroked="f">
                  <v:textbox inset="0,0,0,0">
                    <w:txbxContent>
                      <w:p w14:paraId="6FAF6B0B" w14:textId="77777777" w:rsidR="00B32EF2" w:rsidRDefault="00000000">
                        <w:r>
                          <w:rPr>
                            <w:rFonts w:ascii="Arial" w:eastAsia="Arial" w:hAnsi="Arial" w:cs="Arial"/>
                            <w:sz w:val="18"/>
                          </w:rPr>
                          <w:t>1</w:t>
                        </w:r>
                      </w:p>
                    </w:txbxContent>
                  </v:textbox>
                </v:rect>
                <v:rect id="Rectangle 20159" o:spid="_x0000_s4974" style="position:absolute;left:195;top:1691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7voxwAAAN4AAAAPAAAAZHJzL2Rvd25yZXYueG1sRI9Pi8Iw&#10;FMTvC36H8ARva6qwi1ajiCLbg5f1D3h8NM+22ryEJtrqp98sLOxxmJnfMPNlZ2rxoMZXlhWMhgkI&#10;4tzqigsFx8P2fQLCB2SNtWVS8CQPy0XvbY6pti1/02MfChEh7FNUUIbgUil9XpJBP7SOOHoX2xgM&#10;UTaF1A22EW5qOU6ST2mw4rhQoqN1SfltfzcKzht22baV+eW1drtrNqm/7seTUoN+t5qBCNSF//Bf&#10;O9MKxsnoYwq/d+IVkIsfAAAA//8DAFBLAQItABQABgAIAAAAIQDb4fbL7gAAAIUBAAATAAAAAAAA&#10;AAAAAAAAAAAAAABbQ29udGVudF9UeXBlc10ueG1sUEsBAi0AFAAGAAgAAAAhAFr0LFu/AAAAFQEA&#10;AAsAAAAAAAAAAAAAAAAAHwEAAF9yZWxzLy5yZWxzUEsBAi0AFAAGAAgAAAAhAKPTu+jHAAAA3gAA&#10;AA8AAAAAAAAAAAAAAAAABwIAAGRycy9kb3ducmV2LnhtbFBLBQYAAAAAAwADALcAAAD7AgAAAAA=&#10;" filled="f" stroked="f">
                  <v:textbox inset="0,0,0,0">
                    <w:txbxContent>
                      <w:p w14:paraId="23128F4B" w14:textId="77777777" w:rsidR="00B32EF2" w:rsidRDefault="00000000">
                        <w:r>
                          <w:rPr>
                            <w:rFonts w:ascii="Arial" w:eastAsia="Arial" w:hAnsi="Arial" w:cs="Arial"/>
                            <w:sz w:val="18"/>
                          </w:rPr>
                          <w:t>-</w:t>
                        </w:r>
                      </w:p>
                    </w:txbxContent>
                  </v:textbox>
                </v:rect>
                <v:rect id="Rectangle 20160" o:spid="_x0000_s4975" style="position:absolute;left:-13168;top:156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djIxAAAAN4AAAAPAAAAZHJzL2Rvd25yZXYueG1sRI/LisIw&#10;FIb3wrxDOAPuNNWFSMdYhg4yXczGG8zy0BzbanMSmmirT28Wgsuf/8a3ygbTiht1vrGsYDZNQBCX&#10;VjdcKTjsN5MlCB+QNbaWScGdPGTrj9EKU2173tJtFyoRR9inqKAOwaVS+rImg35qHXH0TrYzGKLs&#10;Kqk77OO4aeU8SRbSYMPxoUZHeU3lZXc1Cv5/2BWbXpanR+7+zsWy/b0ejkqNP4fvLxCBhvAOv9qF&#10;VjBPZosIEHEiCsj1EwAA//8DAFBLAQItABQABgAIAAAAIQDb4fbL7gAAAIUBAAATAAAAAAAAAAAA&#10;AAAAAAAAAABbQ29udGVudF9UeXBlc10ueG1sUEsBAi0AFAAGAAgAAAAhAFr0LFu/AAAAFQEAAAsA&#10;AAAAAAAAAAAAAAAAHwEAAF9yZWxzLy5yZWxzUEsBAi0AFAAGAAgAAAAhAPyF2MjEAAAA3gAAAA8A&#10;AAAAAAAAAAAAAAAABwIAAGRycy9kb3ducmV2LnhtbFBLBQYAAAAAAwADALcAAAD4AgAAAAA=&#10;" filled="f" stroked="f">
                  <v:textbox inset="0,0,0,0">
                    <w:txbxContent>
                      <w:p w14:paraId="7365AAEA" w14:textId="77777777" w:rsidR="00B32EF2" w:rsidRDefault="00000000">
                        <w:r>
                          <w:rPr>
                            <w:rFonts w:ascii="Arial" w:eastAsia="Arial" w:hAnsi="Arial" w:cs="Arial"/>
                            <w:sz w:val="18"/>
                          </w:rPr>
                          <w:t xml:space="preserve">cabili le sanzioni non penali previste dalle leggi tributarie quando la violazione </w:t>
                        </w:r>
                      </w:p>
                    </w:txbxContent>
                  </v:textbox>
                </v:rect>
                <v:rect id="Rectangle 20161" o:spid="_x0000_s4976" style="position:absolute;left:-13168;top:14445;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X1TxgAAAN4AAAAPAAAAZHJzL2Rvd25yZXYueG1sRI9Pi8Iw&#10;FMTvgt8hvAVvmtaDSNco4iL24MV/4PHRPNuuzUtoou3upzcLCx6HmfkNs1j1phFPan1tWUE6SUAQ&#10;F1bXXCo4n7bjOQgfkDU2lknBD3lYLYeDBWbadnyg5zGUIkLYZ6igCsFlUvqiIoN+Yh1x9G62NRii&#10;bEupW+wi3DRymiQzabDmuFCho01Fxf34MAquX+zybSeL2+/G7b/zebN7nC9KjT769SeIQH14h//b&#10;uVYwTdJZCn934hWQyxcAAAD//wMAUEsBAi0AFAAGAAgAAAAhANvh9svuAAAAhQEAABMAAAAAAAAA&#10;AAAAAAAAAAAAAFtDb250ZW50X1R5cGVzXS54bWxQSwECLQAUAAYACAAAACEAWvQsW78AAAAVAQAA&#10;CwAAAAAAAAAAAAAAAAAfAQAAX3JlbHMvLnJlbHNQSwECLQAUAAYACAAAACEAk8l9U8YAAADeAAAA&#10;DwAAAAAAAAAAAAAAAAAHAgAAZHJzL2Rvd25yZXYueG1sUEsFBgAAAAADAAMAtwAAAPoCAAAAAA==&#10;" filled="f" stroked="f">
                  <v:textbox inset="0,0,0,0">
                    <w:txbxContent>
                      <w:p w14:paraId="19915C8B" w14:textId="77777777" w:rsidR="00B32EF2" w:rsidRDefault="00000000">
                        <w:r>
                          <w:rPr>
                            <w:rFonts w:ascii="Arial" w:eastAsia="Arial" w:hAnsi="Arial" w:cs="Arial"/>
                            <w:sz w:val="18"/>
                          </w:rPr>
                          <w:t xml:space="preserve">è giustificata da obiettive condizioni di incertezza sulla portata e sull’ambito di </w:t>
                        </w:r>
                      </w:p>
                    </w:txbxContent>
                  </v:textbox>
                </v:rect>
                <v:rect id="Rectangle 20162" o:spid="_x0000_s4977" style="position:absolute;left:4938;top:13211;width:349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MkxgAAAN4AAAAPAAAAZHJzL2Rvd25yZXYueG1sRI9Pi8Iw&#10;FMTvgt8hvAVvmtqDSNco4iL24MV/4PHRPNuuzUtoou3upzcLCx6HmfkNs1j1phFPan1tWcF0koAg&#10;LqyuuVRwPm3HcxA+IGtsLJOCH/KwWg4HC8y07fhAz2MoRYSwz1BBFYLLpPRFRQb9xDri6N1sazBE&#10;2ZZSt9hFuGlkmiQzabDmuFCho01Fxf34MAquX+zybSeL2+/G7b/zebN7nC9KjT769SeIQH14h//b&#10;uVaQJtNZCn934hWQyxcAAAD//wMAUEsBAi0AFAAGAAgAAAAhANvh9svuAAAAhQEAABMAAAAAAAAA&#10;AAAAAAAAAAAAAFtDb250ZW50X1R5cGVzXS54bWxQSwECLQAUAAYACAAAACEAWvQsW78AAAAVAQAA&#10;CwAAAAAAAAAAAAAAAAAfAQAAX3JlbHMvLnJlbHNQSwECLQAUAAYACAAAACEAYxvjJMYAAADeAAAA&#10;DwAAAAAAAAAAAAAAAAAHAgAAZHJzL2Rvd25yZXYueG1sUEsFBgAAAAADAAMAtwAAAPoCAAAAAA==&#10;" filled="f" stroked="f">
                  <v:textbox inset="0,0,0,0">
                    <w:txbxContent>
                      <w:p w14:paraId="785D8A4A" w14:textId="77777777" w:rsidR="00B32EF2" w:rsidRDefault="00000000">
                        <w:r>
                          <w:rPr>
                            <w:rFonts w:ascii="Arial" w:eastAsia="Arial" w:hAnsi="Arial" w:cs="Arial"/>
                            <w:sz w:val="18"/>
                          </w:rPr>
                          <w:t>applicazione delle disposizioni alle quali si riferisce.</w:t>
                        </w:r>
                      </w:p>
                    </w:txbxContent>
                  </v:textbox>
                </v:rect>
                <v:rect id="Rectangle 20163" o:spid="_x0000_s4978" style="position:absolute;left:15056;top:10745;width:8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0a/xQAAAN4AAAAPAAAAZHJzL2Rvd25yZXYueG1sRI9Bi8Iw&#10;FITvC/6H8ARva6oLItUoosj2sBddBY+P5tlWm5fQRFv31xtB2OMwM98w82VnanGnxleWFYyGCQji&#10;3OqKCwWH3+3nFIQPyBpry6TgQR6Wi97HHFNtW97RfR8KESHsU1RQhuBSKX1ekkE/tI44emfbGAxR&#10;NoXUDbYRbmo5TpKJNFhxXCjR0bqk/Lq/GQWnDbts28r8/Ld2P5dsWn/fDkelBv1uNQMRqAv/4Xc7&#10;0wrGyWjyBa878QrIxRMAAP//AwBQSwECLQAUAAYACAAAACEA2+H2y+4AAACFAQAAEwAAAAAAAAAA&#10;AAAAAAAAAAAAW0NvbnRlbnRfVHlwZXNdLnhtbFBLAQItABQABgAIAAAAIQBa9CxbvwAAABUBAAAL&#10;AAAAAAAAAAAAAAAAAB8BAABfcmVscy8ucmVsc1BLAQItABQABgAIAAAAIQAMV0a/xQAAAN4AAAAP&#10;AAAAAAAAAAAAAAAAAAcCAABkcnMvZG93bnJldi54bWxQSwUGAAAAAAMAAwC3AAAA+QIAAAAA&#10;" filled="f" stroked="f">
                  <v:textbox inset="0,0,0,0">
                    <w:txbxContent>
                      <w:p w14:paraId="0C4E9596" w14:textId="77777777" w:rsidR="00B32EF2" w:rsidRDefault="00000000">
                        <w:r>
                          <w:rPr>
                            <w:rFonts w:ascii="Arial" w:eastAsia="Arial" w:hAnsi="Arial" w:cs="Arial"/>
                            <w:b/>
                            <w:sz w:val="18"/>
                          </w:rPr>
                          <w:t>Articolo 54</w:t>
                        </w:r>
                      </w:p>
                    </w:txbxContent>
                  </v:textbox>
                </v:rect>
                <v:rect id="Rectangle 201548" o:spid="_x0000_s4979" style="position:absolute;left:12166;top:9511;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yyMxQAAAN8AAAAPAAAAZHJzL2Rvd25yZXYueG1sRE/JasMw&#10;EL0X8g9iArnVckJbgms5hIRQH3ppFuhxsMZLa42EpcROv746FHp8vD3fTKYXNxp8Z1nBMklBEFdW&#10;d9woOJ8Oj2sQPiBr7C2Tgjt52BSzhxwzbUf+oNsxNCKGsM9QQRuCy6T0VUsGfWIdceRqOxgMEQ6N&#10;1AOOMdz0cpWmL9Jgx7GhRUe7lqrv49Uo+NyzKw+jrOqfnXv/Ktf92/V8UWoxn7avIAJN4V/85y61&#10;glW6fH6Kg+Of+AVk8QsAAP//AwBQSwECLQAUAAYACAAAACEA2+H2y+4AAACFAQAAEwAAAAAAAAAA&#10;AAAAAAAAAAAAW0NvbnRlbnRfVHlwZXNdLnhtbFBLAQItABQABgAIAAAAIQBa9CxbvwAAABUBAAAL&#10;AAAAAAAAAAAAAAAAAB8BAABfcmVscy8ucmVsc1BLAQItABQABgAIAAAAIQCyxyyMxQAAAN8AAAAP&#10;AAAAAAAAAAAAAAAAAAcCAABkcnMvZG93bnJldi54bWxQSwUGAAAAAAMAAwC3AAAA+QIAAAAA&#10;" filled="f" stroked="f">
                  <v:textbox inset="0,0,0,0">
                    <w:txbxContent>
                      <w:p w14:paraId="0B6C0E77" w14:textId="77777777" w:rsidR="00B32EF2" w:rsidRDefault="00000000">
                        <w:r>
                          <w:rPr>
                            <w:rFonts w:ascii="Arial" w:eastAsia="Arial" w:hAnsi="Arial" w:cs="Arial"/>
                            <w:i/>
                            <w:sz w:val="18"/>
                          </w:rPr>
                          <w:t xml:space="preserve">articolo 9 D.lgs. n. </w:t>
                        </w:r>
                      </w:p>
                    </w:txbxContent>
                  </v:textbox>
                </v:rect>
                <v:rect id="Rectangle 201547" o:spid="_x0000_s4980" style="position:absolute;left:-1442;top:9511;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Lj+yAAAAN8AAAAPAAAAZHJzL2Rvd25yZXYueG1sRI9Pa8JA&#10;FMTvgt9heUJvulGqldRVikXMoRf/FHp8ZJ9J2uzbJbua6KfvCoLHYWZ+wyxWnanFhRpfWVYwHiUg&#10;iHOrKy4UHA+b4RyED8gaa8uk4EoeVst+b4Gpti3v6LIPhYgQ9ikqKENwqZQ+L8mgH1lHHL2TbQyG&#10;KJtC6gbbCDe1nCTJTBqsOC6U6GhdUv63PxsFP5/ssk0r89Nt7b5+s3m9PR+/lXoZdB/vIAJ14Rl+&#10;tDOtYJKMp69vcP8Tv4Bc/gMAAP//AwBQSwECLQAUAAYACAAAACEA2+H2y+4AAACFAQAAEwAAAAAA&#10;AAAAAAAAAAAAAAAAW0NvbnRlbnRfVHlwZXNdLnhtbFBLAQItABQABgAIAAAAIQBa9CxbvwAAABUB&#10;AAALAAAAAAAAAAAAAAAAAB8BAABfcmVscy8ucmVsc1BLAQItABQABgAIAAAAIQDDWLj+yAAAAN8A&#10;AAAPAAAAAAAAAAAAAAAAAAcCAABkcnMvZG93bnJldi54bWxQSwUGAAAAAAMAAwC3AAAA/AIAAAAA&#10;" filled="f" stroked="f">
                  <v:textbox inset="0,0,0,0">
                    <w:txbxContent>
                      <w:p w14:paraId="2BAB0DCD" w14:textId="77777777" w:rsidR="00B32EF2" w:rsidRDefault="00000000">
                        <w:r>
                          <w:rPr>
                            <w:rFonts w:ascii="Arial" w:eastAsia="Arial" w:hAnsi="Arial" w:cs="Arial"/>
                            <w:i/>
                            <w:sz w:val="18"/>
                          </w:rPr>
                          <w:t>546/92)</w:t>
                        </w:r>
                      </w:p>
                    </w:txbxContent>
                  </v:textbox>
                </v:rect>
                <v:rect id="Rectangle 201546" o:spid="_x0000_s4981" style="position:absolute;left:22114;top:9511;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B1lxwAAAN8AAAAPAAAAZHJzL2Rvd25yZXYueG1sRI9Ba8JA&#10;FITvgv9heUJvulGqSHQVUcQcvGgt9PjIPpNo9u2SXU3aX+8WCj0OM/MNs1x3phZPanxlWcF4lIAg&#10;zq2uuFBw+dgP5yB8QNZYWyYF3+Rhver3lphq2/KJnudQiAhhn6KCMgSXSunzkgz6kXXE0bvaxmCI&#10;simkbrCNcFPLSZLMpMGK40KJjrYl5ffzwyj42rHL9q3Mrz9bd7xl8/rwuHwq9TboNgsQgbrwH/5r&#10;Z1rBJBlP32fw+yd+Abl6AQAA//8DAFBLAQItABQABgAIAAAAIQDb4fbL7gAAAIUBAAATAAAAAAAA&#10;AAAAAAAAAAAAAABbQ29udGVudF9UeXBlc10ueG1sUEsBAi0AFAAGAAgAAAAhAFr0LFu/AAAAFQEA&#10;AAsAAAAAAAAAAAAAAAAAHwEAAF9yZWxzLy5yZWxzUEsBAi0AFAAGAAgAAAAhAKwUHWXHAAAA3wAA&#10;AA8AAAAAAAAAAAAAAAAABwIAAGRycy9kb3ducmV2LnhtbFBLBQYAAAAAAwADALcAAAD7AgAAAAA=&#10;" filled="f" stroked="f">
                  <v:textbox inset="0,0,0,0">
                    <w:txbxContent>
                      <w:p w14:paraId="34098A0F" w14:textId="77777777" w:rsidR="00B32EF2" w:rsidRDefault="00000000">
                        <w:r>
                          <w:rPr>
                            <w:rFonts w:ascii="Arial" w:eastAsia="Arial" w:hAnsi="Arial" w:cs="Arial"/>
                            <w:i/>
                            <w:sz w:val="18"/>
                          </w:rPr>
                          <w:t>(</w:t>
                        </w:r>
                      </w:p>
                    </w:txbxContent>
                  </v:textbox>
                </v:rect>
                <v:rect id="Rectangle 20165" o:spid="_x0000_s4982" style="position:absolute;left:-12929;top:8278;width:527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ntQxQAAAN4AAAAPAAAAZHJzL2Rvd25yZXYueG1sRI9Bi8Iw&#10;FITvC/6H8ARva6qwItUoosj2sBddBY+P5tlWm5fQRFv31xtB2OMwM98w82VnanGnxleWFYyGCQji&#10;3OqKCwWH3+3nFIQPyBpry6TgQR6Wi97HHFNtW97RfR8KESHsU1RQhuBSKX1ekkE/tI44emfbGAxR&#10;NoXUDbYRbmo5TpKJNFhxXCjR0bqk/Lq/GQWnDbts28r8/Ld2P5dsWn/fDkelBv1uNQMRqAv/4Xc7&#10;0wrGyWjyBa878QrIxRMAAP//AwBQSwECLQAUAAYACAAAACEA2+H2y+4AAACFAQAAEwAAAAAAAAAA&#10;AAAAAAAAAAAAW0NvbnRlbnRfVHlwZXNdLnhtbFBLAQItABQABgAIAAAAIQBa9CxbvwAAABUBAAAL&#10;AAAAAAAAAAAAAAAAAB8BAABfcmVscy8ucmVsc1BLAQItABQABgAIAAAAIQDs8ntQxQAAAN4AAAAP&#10;AAAAAAAAAAAAAAAAAAcCAABkcnMvZG93bnJldi54bWxQSwUGAAAAAAMAAwC3AAAA+QIAAAAA&#10;" filled="f" stroked="f">
                  <v:textbox inset="0,0,0,0">
                    <w:txbxContent>
                      <w:p w14:paraId="06DD97C3" w14:textId="77777777" w:rsidR="00B32EF2" w:rsidRDefault="00000000">
                        <w:r>
                          <w:rPr>
                            <w:rFonts w:ascii="Arial" w:eastAsia="Arial" w:hAnsi="Arial" w:cs="Arial"/>
                            <w:b/>
                            <w:sz w:val="18"/>
                          </w:rPr>
                          <w:t xml:space="preserve">Organi di assistenza alle corti di giustizia tributaria di primo e secondo </w:t>
                        </w:r>
                      </w:p>
                    </w:txbxContent>
                  </v:textbox>
                </v:rect>
                <v:rect id="Rectangle 20166" o:spid="_x0000_s4983" style="position:absolute;left:17012;top:7045;width:47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UnxQAAAN4AAAAPAAAAZHJzL2Rvd25yZXYueG1sRI9Bi8Iw&#10;FITvC/6H8ARva6qHItUooog9eFlXweOjebbV5iU00VZ//WZhYY/DzHzDLFa9acSTWl9bVjAZJyCI&#10;C6trLhWcvnefMxA+IGtsLJOCF3lYLQcfC8y07fiLnsdQighhn6GCKgSXSemLigz6sXXE0bva1mCI&#10;si2lbrGLcNPIaZKk0mDNcaFCR5uKivvxYRRctuzyXSeL63vjDrd81uwfp7NSo2G/noMI1If/8F87&#10;1wqmySRN4fdOvAJy+QMAAP//AwBQSwECLQAUAAYACAAAACEA2+H2y+4AAACFAQAAEwAAAAAAAAAA&#10;AAAAAAAAAAAAW0NvbnRlbnRfVHlwZXNdLnhtbFBLAQItABQABgAIAAAAIQBa9CxbvwAAABUBAAAL&#10;AAAAAAAAAAAAAAAAAB8BAABfcmVscy8ucmVsc1BLAQItABQABgAIAAAAIQAcIOUnxQAAAN4AAAAP&#10;AAAAAAAAAAAAAAAAAAcCAABkcnMvZG93bnJldi54bWxQSwUGAAAAAAMAAwC3AAAA+QIAAAAA&#10;" filled="f" stroked="f">
                  <v:textbox inset="0,0,0,0">
                    <w:txbxContent>
                      <w:p w14:paraId="5651116D" w14:textId="77777777" w:rsidR="00B32EF2" w:rsidRDefault="00000000">
                        <w:r>
                          <w:rPr>
                            <w:rFonts w:ascii="Arial" w:eastAsia="Arial" w:hAnsi="Arial" w:cs="Arial"/>
                            <w:b/>
                            <w:sz w:val="18"/>
                          </w:rPr>
                          <w:t xml:space="preserve">grado </w:t>
                        </w:r>
                      </w:p>
                    </w:txbxContent>
                  </v:textbox>
                </v:rect>
                <v:rect id="Rectangle 201545" o:spid="_x0000_s4984" style="position:absolute;left:-13760;top:58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oMSxwAAAN8AAAAPAAAAZHJzL2Rvd25yZXYueG1sRI9Ba8JA&#10;FITvgv9heUJvulFqkegqoog5eKla6PGRfSbR7Nslu5q0v94tFDwOM/MNs1h1phYPanxlWcF4lIAg&#10;zq2uuFBwPu2GMxA+IGusLZOCH/KwWvZ7C0y1bfmTHsdQiAhhn6KCMgSXSunzkgz6kXXE0bvYxmCI&#10;simkbrCNcFPLSZJ8SIMVx4USHW1Kym/Hu1HwvWWX7VqZX3437nDNZvX+fv5S6m3QrecgAnXhFf5v&#10;Z1rBJBlP36fw9yd+Abl8AgAA//8DAFBLAQItABQABgAIAAAAIQDb4fbL7gAAAIUBAAATAAAAAAAA&#10;AAAAAAAAAAAAAABbQ29udGVudF9UeXBlc10ueG1sUEsBAi0AFAAGAAgAAAAhAFr0LFu/AAAAFQEA&#10;AAsAAAAAAAAAAAAAAAAAHwEAAF9yZWxzLy5yZWxzUEsBAi0AFAAGAAgAAAAhAFzGgxLHAAAA3wAA&#10;AA8AAAAAAAAAAAAAAAAABwIAAGRycy9kb3ducmV2LnhtbFBLBQYAAAAAAwADALcAAAD7AgAAAAA=&#10;" filled="f" stroked="f">
                  <v:textbox inset="0,0,0,0">
                    <w:txbxContent>
                      <w:p w14:paraId="1A186D04" w14:textId="77777777" w:rsidR="00B32EF2" w:rsidRDefault="00000000">
                        <w:r>
                          <w:rPr>
                            <w:rFonts w:ascii="Arial" w:eastAsia="Arial" w:hAnsi="Arial" w:cs="Arial"/>
                            <w:sz w:val="18"/>
                          </w:rPr>
                          <w:t xml:space="preserve">. Il personale dell’ufficio di segreteria assiste la corte di giustizia tributaria di </w:t>
                        </w:r>
                      </w:p>
                    </w:txbxContent>
                  </v:textbox>
                </v:rect>
                <v:rect id="Rectangle 201544" o:spid="_x0000_s4985" style="position:absolute;left:26113;top:581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iaJxwAAAN8AAAAPAAAAZHJzL2Rvd25yZXYueG1sRI9Ba8JA&#10;FITvgv9heUJvulGsSHQVUcQcvNRa6PGRfSbR7Nslu5rUX98tCD0OM/MNs1x3phYPanxlWcF4lIAg&#10;zq2uuFBw/twP5yB8QNZYWyYFP+Rhver3lphq2/IHPU6hEBHCPkUFZQguldLnJRn0I+uIo3exjcEQ&#10;ZVNI3WAb4aaWkySZSYMVx4USHW1Lym+nu1HwvWOX7VuZX55bd7xm8/pwP38p9TboNgsQgbrwH361&#10;M61gkozfp1P4+xO/gFz9AgAA//8DAFBLAQItABQABgAIAAAAIQDb4fbL7gAAAIUBAAATAAAAAAAA&#10;AAAAAAAAAAAAAABbQ29udGVudF9UeXBlc10ueG1sUEsBAi0AFAAGAAgAAAAhAFr0LFu/AAAAFQEA&#10;AAsAAAAAAAAAAAAAAAAAHwEAAF9yZWxzLy5yZWxzUEsBAi0AFAAGAAgAAAAhADOKJonHAAAA3wAA&#10;AA8AAAAAAAAAAAAAAAAABwIAAGRycy9kb3ducmV2LnhtbFBLBQYAAAAAAwADALcAAAD7AgAAAAA=&#10;" filled="f" stroked="f">
                  <v:textbox inset="0,0,0,0">
                    <w:txbxContent>
                      <w:p w14:paraId="4097B146" w14:textId="77777777" w:rsidR="00B32EF2" w:rsidRDefault="00000000">
                        <w:r>
                          <w:rPr>
                            <w:rFonts w:ascii="Arial" w:eastAsia="Arial" w:hAnsi="Arial" w:cs="Arial"/>
                            <w:sz w:val="18"/>
                          </w:rPr>
                          <w:t>1</w:t>
                        </w:r>
                      </w:p>
                    </w:txbxContent>
                  </v:textbox>
                </v:rect>
                <v:rect id="Rectangle 20168" o:spid="_x0000_s4986" style="position:absolute;left:-13182;top:4578;width:531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9TOwwAAAN4AAAAPAAAAZHJzL2Rvd25yZXYueG1sRE/LisIw&#10;FN0L8w/hDrjTVBciHWMZOsh0MRtfMMtLc22rzU1ooq1+vVkILg/nvcoG04obdb6xrGA2TUAQl1Y3&#10;XCk47DeTJQgfkDW2lknBnTxk64/RClNte97SbRcqEUPYp6igDsGlUvqyJoN+ah1x5E62Mxgi7Cqp&#10;O+xjuGnlPEkW0mDDsaFGR3lN5WV3NQr+f9gVm16Wp0fu/s7Fsv29Ho5KjT+H7y8QgYbwFr/chVYw&#10;T2aLuDfeiVdArp8AAAD//wMAUEsBAi0AFAAGAAgAAAAhANvh9svuAAAAhQEAABMAAAAAAAAAAAAA&#10;AAAAAAAAAFtDb250ZW50X1R5cGVzXS54bWxQSwECLQAUAAYACAAAACEAWvQsW78AAAAVAQAACwAA&#10;AAAAAAAAAAAAAAAfAQAAX3JlbHMvLnJlbHNQSwECLQAUAAYACAAAACEAAvPUzsMAAADeAAAADwAA&#10;AAAAAAAAAAAAAAAHAgAAZHJzL2Rvd25yZXYueG1sUEsFBgAAAAADAAMAtwAAAPcCAAAAAA==&#10;" filled="f" stroked="f">
                  <v:textbox inset="0,0,0,0">
                    <w:txbxContent>
                      <w:p w14:paraId="29F5A2C3" w14:textId="77777777" w:rsidR="00B32EF2" w:rsidRDefault="00000000">
                        <w:r>
                          <w:rPr>
                            <w:rFonts w:ascii="Arial" w:eastAsia="Arial" w:hAnsi="Arial" w:cs="Arial"/>
                            <w:sz w:val="18"/>
                          </w:rPr>
                          <w:t xml:space="preserve">primo e secondo grado secondo le disposizioni del codice di procedura civile </w:t>
                        </w:r>
                      </w:p>
                    </w:txbxContent>
                  </v:textbox>
                </v:rect>
                <v:rect id="Rectangle 20169" o:spid="_x0000_s4987" style="position:absolute;left:22543;top:3345;width:173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3FVxgAAAN4AAAAPAAAAZHJzL2Rvd25yZXYueG1sRI9Bi8Iw&#10;FITvC/6H8IS9rakexK1GEUW2By+6Ch4fzbOtNi+hibbur98IgsdhZr5hZovO1OJOja8sKxgOEhDE&#10;udUVFwoOv5uvCQgfkDXWlknBgzws5r2PGabatryj+z4UIkLYp6igDMGlUvq8JIN+YB1x9M62MRii&#10;bAqpG2wj3NRylCRjabDiuFCio1VJ+XV/MwpOa3bZppX5+W/ltpdsUv/cDkelPvvdcgoiUBfe4Vc7&#10;0wpGyXD8Dc878QrI+T8AAAD//wMAUEsBAi0AFAAGAAgAAAAhANvh9svuAAAAhQEAABMAAAAAAAAA&#10;AAAAAAAAAAAAAFtDb250ZW50X1R5cGVzXS54bWxQSwECLQAUAAYACAAAACEAWvQsW78AAAAVAQAA&#10;CwAAAAAAAAAAAAAAAAAfAQAAX3JlbHMvLnJlbHNQSwECLQAUAAYACAAAACEAbb9xVcYAAADeAAAA&#10;DwAAAAAAAAAAAAAAAAAHAgAAZHJzL2Rvd25yZXYueG1sUEsFBgAAAAADAAMAtwAAAPoCAAAAAA==&#10;" filled="f" stroked="f">
                  <v:textbox inset="0,0,0,0">
                    <w:txbxContent>
                      <w:p w14:paraId="5E193D55" w14:textId="77777777" w:rsidR="00B32EF2" w:rsidRDefault="00000000">
                        <w:r>
                          <w:rPr>
                            <w:rFonts w:ascii="Arial" w:eastAsia="Arial" w:hAnsi="Arial" w:cs="Arial"/>
                            <w:sz w:val="18"/>
                          </w:rPr>
                          <w:t>concernenti il cancelliere.</w:t>
                        </w:r>
                      </w:p>
                    </w:txbxContent>
                  </v:textbox>
                </v:rect>
                <v:rect id="Rectangle 201542" o:spid="_x0000_s4988" style="position:absolute;left:26358;top:2112;width:5210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xtmyAAAAN8AAAAPAAAAZHJzL2Rvd25yZXYueG1sRI9Pa8JA&#10;FMTvgt9heYI33RhqkdRVRJHm0Ev9Az0+ss8kbfbtkl1N7Kd3CwWPw8z8hlmue9OIG7W+tqxgNk1A&#10;EBdW11wqOB33kwUIH5A1NpZJwZ08rFfDwRIzbTv+pNshlCJC2GeooArBZVL6oiKDfmodcfQutjUY&#10;omxLqVvsItw0Mk2SV2mw5rhQoaNtRcXP4WoUfO3Y5ftOFpffrfv4zhfN+/V0Vmo86jdvIAL14Rn+&#10;b+daQZrM5i8p/P2JX0CuHgAAAP//AwBQSwECLQAUAAYACAAAACEA2+H2y+4AAACFAQAAEwAAAAAA&#10;AAAAAAAAAAAAAAAAW0NvbnRlbnRfVHlwZXNdLnhtbFBLAQItABQABgAIAAAAIQBa9CxbvwAAABUB&#10;AAALAAAAAAAAAAAAAAAAAB8BAABfcmVscy8ucmVsc1BLAQItABQABgAIAAAAIQDTLxtmyAAAAN8A&#10;AAAPAAAAAAAAAAAAAAAAAAcCAABkcnMvZG93bnJldi54bWxQSwUGAAAAAAMAAwC3AAAA/AIAAAAA&#10;" filled="f" stroked="f">
                  <v:textbox inset="0,0,0,0">
                    <w:txbxContent>
                      <w:p w14:paraId="4A23DE64" w14:textId="77777777" w:rsidR="00B32EF2" w:rsidRDefault="00000000">
                        <w:r>
                          <w:rPr>
                            <w:rFonts w:ascii="Arial" w:eastAsia="Arial" w:hAnsi="Arial" w:cs="Arial"/>
                            <w:sz w:val="18"/>
                          </w:rPr>
                          <w:t>2</w:t>
                        </w:r>
                      </w:p>
                    </w:txbxContent>
                  </v:textbox>
                </v:rect>
                <v:rect id="Rectangle 201543" o:spid="_x0000_s4989" style="position:absolute;left:-12827;top:2112;width:5210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779yAAAAN8AAAAPAAAAZHJzL2Rvd25yZXYueG1sRI9Pa8JA&#10;FMTvgt9heUJvutFqkdRVikXMoRf/FHp8ZJ9J2uzbJbua6KfvCoLHYWZ+wyxWnanFhRpfWVYwHiUg&#10;iHOrKy4UHA+b4RyED8gaa8uk4EoeVst+b4Gpti3v6LIPhYgQ9ikqKENwqZQ+L8mgH1lHHL2TbQyG&#10;KJtC6gbbCDe1nCTJmzRYcVwo0dG6pPxvfzYKfj7ZZZtW5qfb2n39ZvN6ez5+K/Uy6D7eQQTqwjP8&#10;aGdawSQZz6avcP8Tv4Bc/gMAAP//AwBQSwECLQAUAAYACAAAACEA2+H2y+4AAACFAQAAEwAAAAAA&#10;AAAAAAAAAAAAAAAAW0NvbnRlbnRfVHlwZXNdLnhtbFBLAQItABQABgAIAAAAIQBa9CxbvwAAABUB&#10;AAALAAAAAAAAAAAAAAAAAB8BAABfcmVscy8ucmVsc1BLAQItABQABgAIAAAAIQC8Y779yAAAAN8A&#10;AAAPAAAAAAAAAAAAAAAAAAcCAABkcnMvZG93bnJldi54bWxQSwUGAAAAAAMAAwC3AAAA/AIAAAAA&#10;" filled="f" stroked="f">
                  <v:textbox inset="0,0,0,0">
                    <w:txbxContent>
                      <w:p w14:paraId="68065AAC" w14:textId="77777777" w:rsidR="00B32EF2" w:rsidRDefault="00000000">
                        <w:r>
                          <w:rPr>
                            <w:rFonts w:ascii="Arial" w:eastAsia="Arial" w:hAnsi="Arial" w:cs="Arial"/>
                            <w:sz w:val="18"/>
                          </w:rPr>
                          <w:t>. Le attività dell’ufficiale giudiziario in udienza sono disimpegnate dal perso</w:t>
                        </w:r>
                      </w:p>
                    </w:txbxContent>
                  </v:textbox>
                </v:rect>
                <v:rect id="Rectangle 20171" o:spid="_x0000_s4990" style="position:absolute;left:195;top:2112;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OuOxgAAAN4AAAAPAAAAZHJzL2Rvd25yZXYueG1sRI9Ba8JA&#10;FITvBf/D8oTe6iYeqqSuIoqYQy/aCB4f2WeSmn27ZFeT9td3BaHHYWa+YRarwbTiTp1vLCtIJwkI&#10;4tLqhisFxdfubQ7CB2SNrWVS8EMeVsvRywIzbXs+0P0YKhEh7DNUUIfgMil9WZNBP7GOOHoX2xkM&#10;UXaV1B32EW5aOU2Sd2mw4bhQo6NNTeX1eDMKzlt2+a6X5eV34z6/83m7vxUnpV7Hw/oDRKAh/Ief&#10;7VwrmCbpLIXHnXgF5PIPAAD//wMAUEsBAi0AFAAGAAgAAAAhANvh9svuAAAAhQEAABMAAAAAAAAA&#10;AAAAAAAAAAAAAFtDb250ZW50X1R5cGVzXS54bWxQSwECLQAUAAYACAAAACEAWvQsW78AAAAVAQAA&#10;CwAAAAAAAAAAAAAAAAAfAQAAX3JlbHMvLnJlbHNQSwECLQAUAAYACAAAACEAFhDrjsYAAADeAAAA&#10;DwAAAAAAAAAAAAAAAAAHAgAAZHJzL2Rvd25yZXYueG1sUEsFBgAAAAADAAMAtwAAAPoCAAAAAA==&#10;" filled="f" stroked="f">
                  <v:textbox inset="0,0,0,0">
                    <w:txbxContent>
                      <w:p w14:paraId="39D9AE99" w14:textId="77777777" w:rsidR="00B32EF2" w:rsidRDefault="00000000">
                        <w:r>
                          <w:rPr>
                            <w:rFonts w:ascii="Arial" w:eastAsia="Arial" w:hAnsi="Arial" w:cs="Arial"/>
                            <w:sz w:val="18"/>
                          </w:rPr>
                          <w:t>-</w:t>
                        </w:r>
                      </w:p>
                    </w:txbxContent>
                  </v:textbox>
                </v:rect>
                <v:rect id="Rectangle 20172" o:spid="_x0000_s4991" style="position:absolute;left:14424;top:878;width:255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nX5xgAAAN4AAAAPAAAAZHJzL2Rvd25yZXYueG1sRI9Ba8JA&#10;FITvBf/D8oTe6sYcqqSuIoqYQy/aCB4f2WeSmn27ZFeT9td3BaHHYWa+YRarwbTiTp1vLCuYThIQ&#10;xKXVDVcKiq/d2xyED8gaW8uk4Ic8rJajlwVm2vZ8oPsxVCJC2GeooA7BZVL6siaDfmIdcfQutjMY&#10;ouwqqTvsI9y0Mk2Sd2mw4bhQo6NNTeX1eDMKzlt2+a6X5eV34z6/83m7vxUnpV7Hw/oDRKAh/Ief&#10;7VwrSJPpLIXHnXgF5PIPAAD//wMAUEsBAi0AFAAGAAgAAAAhANvh9svuAAAAhQEAABMAAAAAAAAA&#10;AAAAAAAAAAAAAFtDb250ZW50X1R5cGVzXS54bWxQSwECLQAUAAYACAAAACEAWvQsW78AAAAVAQAA&#10;CwAAAAAAAAAAAAAAAAAfAQAAX3JlbHMvLnJlbHNQSwECLQAUAAYACAAAACEA5sJ1+cYAAADeAAAA&#10;DwAAAAAAAAAAAAAAAAAHAgAAZHJzL2Rvd25yZXYueG1sUEsFBgAAAAADAAMAtwAAAPoCAAAAAA==&#10;" filled="f" stroked="f">
                  <v:textbox inset="0,0,0,0">
                    <w:txbxContent>
                      <w:p w14:paraId="385C7D0C" w14:textId="77777777" w:rsidR="00B32EF2" w:rsidRDefault="00000000">
                        <w:r>
                          <w:rPr>
                            <w:rFonts w:ascii="Arial" w:eastAsia="Arial" w:hAnsi="Arial" w:cs="Arial"/>
                            <w:sz w:val="18"/>
                          </w:rPr>
                          <w:t>nale ausiliario addetto alla segreteria.</w:t>
                        </w:r>
                      </w:p>
                    </w:txbxContent>
                  </v:textbox>
                </v:rect>
                <v:rect id="Rectangle 20173" o:spid="_x0000_s4992" style="position:absolute;left:39498;top:-354;width:42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tBixgAAAN4AAAAPAAAAZHJzL2Rvd25yZXYueG1sRI9Ba8JA&#10;FITvBf/D8gre6kYLVqKrFEWagxetBY+P7DOJZt8u2dVEf70rFDwOM/MNM1t0phZXanxlWcFwkIAg&#10;zq2uuFCw/11/TED4gKyxtkwKbuRhMe+9zTDVtuUtXXehEBHCPkUFZQguldLnJRn0A+uIo3e0jcEQ&#10;ZVNI3WAb4aaWoyQZS4MVx4USHS1Lys+7i1FwWLHL1q3Mj/el25yySf1z2f8p1X/vvqcgAnXhFf5v&#10;Z1rBKBl+fcLzTrwCcv4AAAD//wMAUEsBAi0AFAAGAAgAAAAhANvh9svuAAAAhQEAABMAAAAAAAAA&#10;AAAAAAAAAAAAAFtDb250ZW50X1R5cGVzXS54bWxQSwECLQAUAAYACAAAACEAWvQsW78AAAAVAQAA&#10;CwAAAAAAAAAAAAAAAAAfAQAAX3JlbHMvLnJlbHNQSwECLQAUAAYACAAAACEAiY7QYsYAAADeAAAA&#10;DwAAAAAAAAAAAAAAAAAHAgAAZHJzL2Rvd25yZXYueG1sUEsFBgAAAAADAAMAtwAAAPoCAAAAAA==&#10;" filled="f" stroked="f">
                  <v:textbox inset="0,0,0,0">
                    <w:txbxContent>
                      <w:p w14:paraId="6750F070" w14:textId="77777777" w:rsidR="00B32EF2" w:rsidRDefault="00000000">
                        <w:r>
                          <w:rPr>
                            <w:rFonts w:ascii="Arial" w:eastAsia="Arial" w:hAnsi="Arial" w:cs="Arial"/>
                            <w:sz w:val="18"/>
                          </w:rPr>
                          <w:t xml:space="preserve"> </w:t>
                        </w:r>
                      </w:p>
                    </w:txbxContent>
                  </v:textbox>
                </v:rect>
                <v:shape id="Shape 208038" o:spid="_x0000_s4993" style="position:absolute;left:321;top:23646;width:39600;height:30401;visibility:visible;mso-wrap-style:square;v-text-anchor:top" coordsize="3960000,304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cxqxAAAAN8AAAAPAAAAZHJzL2Rvd25yZXYueG1sRE/LagIx&#10;FN0X/IdwBXc1UWnR0SgiFOqiCx/o9jq5zkQnN8Mko9O/bxZCl4fzXqw6V4kHNcF61jAaKhDEuTeW&#10;Cw3Hw9f7FESIyAYrz6ThlwKslr23BWbGP3lHj30sRArhkKGGMsY6kzLkJTkMQ18TJ+7qG4cxwaaQ&#10;psFnCneVHCv1KR1aTg0l1rQpKb/vW6dhe2vp43KpW3ueFdvT/fpjfR61HvS79RxEpC7+i1/ub6Nh&#10;rKZqkganP+kLyOUfAAAA//8DAFBLAQItABQABgAIAAAAIQDb4fbL7gAAAIUBAAATAAAAAAAAAAAA&#10;AAAAAAAAAABbQ29udGVudF9UeXBlc10ueG1sUEsBAi0AFAAGAAgAAAAhAFr0LFu/AAAAFQEAAAsA&#10;AAAAAAAAAAAAAAAAHwEAAF9yZWxzLy5yZWxzUEsBAi0AFAAGAAgAAAAhALbdzGrEAAAA3wAAAA8A&#10;AAAAAAAAAAAAAAAABwIAAGRycy9kb3ducmV2LnhtbFBLBQYAAAAAAwADALcAAAD4AgAAAAA=&#10;" path="m,l3960000,r,3040101l,3040101,,e" fillcolor="#c3c3c3" stroked="f" strokeweight="0">
                  <v:stroke miterlimit="83231f" joinstyle="miter"/>
                  <v:path arrowok="t" textboxrect="0,0,3960000,3040101"/>
                </v:shape>
                <v:rect id="Rectangle 20175" o:spid="_x0000_s4994" style="position:absolute;left:5376;top:51835;width:337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2NxgAAAN4AAAAPAAAAZHJzL2Rvd25yZXYueG1sRI9Ba8JA&#10;FITvBf/D8gre6kahVqKrFEWagxetBY+P7DOJZt8u2dVEf70rFDwOM/MNM1t0phZXanxlWcFwkIAg&#10;zq2uuFCw/11/TED4gKyxtkwKbuRhMe+9zTDVtuUtXXehEBHCPkUFZQguldLnJRn0A+uIo3e0jcEQ&#10;ZVNI3WAb4aaWoyQZS4MVx4USHS1Lys+7i1FwWLHL1q3Mj/el25yySf1z2f8p1X/vvqcgAnXhFf5v&#10;Z1rBKBl+fcLzTrwCcv4AAAD//wMAUEsBAi0AFAAGAAgAAAAhANvh9svuAAAAhQEAABMAAAAAAAAA&#10;AAAAAAAAAAAAAFtDb250ZW50X1R5cGVzXS54bWxQSwECLQAUAAYACAAAACEAWvQsW78AAAAVAQAA&#10;CwAAAAAAAAAAAAAAAAAfAQAAX3JlbHMvLnJlbHNQSwECLQAUAAYACAAAACEAaSvtjcYAAADeAAAA&#10;DwAAAAAAAAAAAAAAAAAHAgAAZHJzL2Rvd25yZXYueG1sUEsFBgAAAAADAAMAtwAAAPoCAAAAAA==&#10;" filled="f" stroked="f">
                  <v:textbox inset="0,0,0,0">
                    <w:txbxContent>
                      <w:p w14:paraId="5072D43E" w14:textId="77777777" w:rsidR="00B32EF2" w:rsidRDefault="00000000">
                        <w:r>
                          <w:rPr>
                            <w:rFonts w:ascii="Arial" w:eastAsia="Arial" w:hAnsi="Arial" w:cs="Arial"/>
                            <w:i/>
                            <w:sz w:val="18"/>
                          </w:rPr>
                          <w:t>sità o quando la legge espressamente lo dispone.</w:t>
                        </w:r>
                      </w:p>
                    </w:txbxContent>
                  </v:textbox>
                </v:rect>
                <v:rect id="Rectangle 20176" o:spid="_x0000_s4995" style="position:absolute;left:914;top:50601;width:382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P6xgAAAN4AAAAPAAAAZHJzL2Rvd25yZXYueG1sRI9Bi8Iw&#10;FITvgv8hPGFvmupBpRpFFNkevOgqeHw0z7bavIQm2rq/frOwsMdhZr5hluvO1OJFja8sKxiPEhDE&#10;udUVFwrOX/vhHIQPyBpry6TgTR7Wq35viam2LR/pdQqFiBD2KSooQ3CplD4vyaAfWUccvZttDIYo&#10;m0LqBtsIN7WcJMlUGqw4LpToaFtS/jg9jYLrjl22b2V++966wz2b15/P80Wpj0G3WYAI1IX/8F87&#10;0womyXg2hd878QrI1Q8AAAD//wMAUEsBAi0AFAAGAAgAAAAhANvh9svuAAAAhQEAABMAAAAAAAAA&#10;AAAAAAAAAAAAAFtDb250ZW50X1R5cGVzXS54bWxQSwECLQAUAAYACAAAACEAWvQsW78AAAAVAQAA&#10;CwAAAAAAAAAAAAAAAAAfAQAAX3JlbHMvLnJlbHNQSwECLQAUAAYACAAAACEAmflz+sYAAADeAAAA&#10;DwAAAAAAAAAAAAAAAAAHAgAAZHJzL2Rvd25yZXYueG1sUEsFBgAAAAADAAMAtwAAAPoCAAAAAA==&#10;" filled="f" stroked="f">
                  <v:textbox inset="0,0,0,0">
                    <w:txbxContent>
                      <w:p w14:paraId="56DCD875" w14:textId="77777777" w:rsidR="00B32EF2" w:rsidRDefault="00000000">
                        <w:r>
                          <w:rPr>
                            <w:rFonts w:ascii="Arial" w:eastAsia="Arial" w:hAnsi="Arial" w:cs="Arial"/>
                            <w:i/>
                            <w:sz w:val="18"/>
                          </w:rPr>
                          <w:t xml:space="preserve">art. 210 c.p.c. “Ordine di esibizione alla parte o al terzo” </w:t>
                        </w:r>
                      </w:p>
                    </w:txbxContent>
                  </v:textbox>
                </v:rect>
                <v:rect id="Rectangle 201574" o:spid="_x0000_s4996" style="position:absolute;left:-12478;top:49368;width:510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uw0yAAAAN8AAAAPAAAAZHJzL2Rvd25yZXYueG1sRI9Pa8JA&#10;FMTvgt9heUJvulGqldRVikXMoRf/FHp8ZJ9J2uzbJbua6KfvCoLHYWZ+wyxWnanFhRpfWVYwHiUg&#10;iHOrKy4UHA+b4RyED8gaa8uk4EoeVst+b4Gpti3v6LIPhYgQ9ikqKENwqZQ+L8mgH1lHHL2TbQyG&#10;KJtC6gbbCDe1nCTJTBqsOC6U6GhdUv63PxsFP5/ssk0r89Nt7b5+s3m9PR+/lXoZdB/vIAJ14Rl+&#10;tDOtYJKMp2+vcP8Tv4Bc/gMAAP//AwBQSwECLQAUAAYACAAAACEA2+H2y+4AAACFAQAAEwAAAAAA&#10;AAAAAAAAAAAAAAAAW0NvbnRlbnRfVHlwZXNdLnhtbFBLAQItABQABgAIAAAAIQBa9CxbvwAAABUB&#10;AAALAAAAAAAAAAAAAAAAAB8BAABfcmVscy8ucmVsc1BLAQItABQABgAIAAAAIQD95uw0yAAAAN8A&#10;AAAPAAAAAAAAAAAAAAAAAAcCAABkcnMvZG93bnJldi54bWxQSwUGAAAAAAMAAwC3AAAA/AIAAAAA&#10;" filled="f" stroked="f">
                  <v:textbox inset="0,0,0,0">
                    <w:txbxContent>
                      <w:p w14:paraId="612255E5" w14:textId="77777777" w:rsidR="00B32EF2" w:rsidRDefault="00000000">
                        <w:r>
                          <w:rPr>
                            <w:rFonts w:ascii="Arial" w:eastAsia="Arial" w:hAnsi="Arial" w:cs="Arial"/>
                            <w:i/>
                            <w:sz w:val="18"/>
                          </w:rPr>
                          <w:t xml:space="preserve">. Negli stessi limiti entro i quali può essere ordinata a norma dell’articolo </w:t>
                        </w:r>
                      </w:p>
                    </w:txbxContent>
                  </v:textbox>
                </v:rect>
                <v:rect id="Rectangle 201573" o:spid="_x0000_s4997" style="position:absolute;left:25828;top:49368;width:510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3RAyAAAAN8AAAAPAAAAZHJzL2Rvd25yZXYueG1sRI9Pa8JA&#10;FMTvgt9heUJvutGildRVikXMoRf/FHp8ZJ9J2uzbJbua6KfvCoLHYWZ+wyxWnanFhRpfWVYwHiUg&#10;iHOrKy4UHA+b4RyED8gaa8uk4EoeVst+b4Gpti3v6LIPhYgQ9ikqKENwqZQ+L8mgH1lHHL2TbQyG&#10;KJtC6gbbCDe1nCTJTBqsOC6U6GhdUv63PxsFP5/ssk0r89Nt7b5+s3m9PR+/lXoZdB/vIAJ14Rl+&#10;tDOtYJKMp2+vcP8Tv4Bc/gMAAP//AwBQSwECLQAUAAYACAAAACEA2+H2y+4AAACFAQAAEwAAAAAA&#10;AAAAAAAAAAAAAAAAW0NvbnRlbnRfVHlwZXNdLnhtbFBLAQItABQABgAIAAAAIQBa9CxbvwAAABUB&#10;AAALAAAAAAAAAAAAAAAAAB8BAABfcmVscy8ucmVsc1BLAQItABQABgAIAAAAIQByD3RAyAAAAN8A&#10;AAAPAAAAAAAAAAAAAAAAAAcCAABkcnMvZG93bnJldi54bWxQSwUGAAAAAAMAAwC3AAAA/AIAAAAA&#10;" filled="f" stroked="f">
                  <v:textbox inset="0,0,0,0">
                    <w:txbxContent>
                      <w:p w14:paraId="04E64DF6" w14:textId="77777777" w:rsidR="00B32EF2" w:rsidRDefault="00000000">
                        <w:r>
                          <w:rPr>
                            <w:rFonts w:ascii="Arial" w:eastAsia="Arial" w:hAnsi="Arial" w:cs="Arial"/>
                            <w:i/>
                            <w:sz w:val="18"/>
                          </w:rPr>
                          <w:t>1</w:t>
                        </w:r>
                      </w:p>
                    </w:txbxContent>
                  </v:textbox>
                </v:rect>
                <v:rect id="Rectangle 201571" o:spid="_x0000_s4998" style="position:absolute;left:24651;top:48135;width:511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syAAAAN8AAAAPAAAAZHJzL2Rvd25yZXYueG1sRI9Pa8JA&#10;FMTvgt9heYI33USoldRVRJHm0Ev9Az0+ss8kbfbtkl1N7Kd3CwWPw8z8hlmue9OIG7W+tqwgnSYg&#10;iAuray4VnI77yQKED8gaG8uk4E4e1qvhYImZth1/0u0QShEh7DNUUIXgMil9UZFBP7WOOHoX2xoM&#10;Ubal1C12EW4aOUuSuTRYc1yo0NG2ouLncDUKvnbs8n0ni8vv1n1854vm/Xo6KzUe9Zs3EIH68Az/&#10;t3OtYJakL68p/P2JX0CuHgAAAP//AwBQSwECLQAUAAYACAAAACEA2+H2y+4AAACFAQAAEwAAAAAA&#10;AAAAAAAAAAAAAAAAW0NvbnRlbnRfVHlwZXNdLnhtbFBLAQItABQABgAIAAAAIQBa9CxbvwAAABUB&#10;AAALAAAAAAAAAAAAAAAAAB8BAABfcmVscy8ucmVsc1BLAQItABQABgAIAAAAIQDtkU+syAAAAN8A&#10;AAAPAAAAAAAAAAAAAAAAAAcCAABkcnMvZG93bnJldi54bWxQSwUGAAAAAAMAAwC3AAAA/AIAAAAA&#10;" filled="f" stroked="f">
                  <v:textbox inset="0,0,0,0">
                    <w:txbxContent>
                      <w:p w14:paraId="277C94B3" w14:textId="77777777" w:rsidR="00B32EF2" w:rsidRDefault="00000000">
                        <w:r>
                          <w:rPr>
                            <w:rFonts w:ascii="Arial" w:eastAsia="Arial" w:hAnsi="Arial" w:cs="Arial"/>
                            <w:i/>
                            <w:sz w:val="18"/>
                          </w:rPr>
                          <w:t>118</w:t>
                        </w:r>
                      </w:p>
                    </w:txbxContent>
                  </v:textbox>
                </v:rect>
                <v:rect id="Rectangle 201572" o:spid="_x0000_s4999" style="position:absolute;left:-13699;top:48135;width:511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9HbyAAAAN8AAAAPAAAAZHJzL2Rvd25yZXYueG1sRI9Pa8JA&#10;FMTvgt9heYI33RioldRVRJHm0Ev9Az0+ss8kbfbtkl1N7Kd3CwWPw8z8hlmue9OIG7W+tqxgNk1A&#10;EBdW11wqOB33kwUIH5A1NpZJwZ08rFfDwRIzbTv+pNshlCJC2GeooArBZVL6oiKDfmodcfQutjUY&#10;omxLqVvsItw0Mk2SuTRYc1yo0NG2ouLncDUKvnbs8n0ni8vv1n1854vm/Xo6KzUe9Zs3EIH68Az/&#10;t3OtIE1mL68p/P2JX0CuHgAAAP//AwBQSwECLQAUAAYACAAAACEA2+H2y+4AAACFAQAAEwAAAAAA&#10;AAAAAAAAAAAAAAAAW0NvbnRlbnRfVHlwZXNdLnhtbFBLAQItABQABgAIAAAAIQBa9CxbvwAAABUB&#10;AAALAAAAAAAAAAAAAAAAAB8BAABfcmVscy8ucmVsc1BLAQItABQABgAIAAAAIQAdQ9HbyAAAAN8A&#10;AAAPAAAAAAAAAAAAAAAAAAcCAABkcnMvZG93bnJldi54bWxQSwUGAAAAAAMAAwC3AAAA/AIAAAAA&#10;" filled="f" stroked="f">
                  <v:textbox inset="0,0,0,0">
                    <w:txbxContent>
                      <w:p w14:paraId="3D993B58" w14:textId="77777777" w:rsidR="00B32EF2" w:rsidRDefault="00000000">
                        <w:r>
                          <w:rPr>
                            <w:rFonts w:ascii="Arial" w:eastAsia="Arial" w:hAnsi="Arial" w:cs="Arial"/>
                            <w:i/>
                            <w:sz w:val="18"/>
                          </w:rPr>
                          <w:t xml:space="preserve"> l’ispezione di cose in possesso di una parte o di un terzo, il giudice </w:t>
                        </w:r>
                      </w:p>
                    </w:txbxContent>
                  </v:textbox>
                </v:rect>
                <v:rect id="Rectangle 20179" o:spid="_x0000_s5000" style="position:absolute;left:-11924;top:46901;width:512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eIxwAAAN4AAAAPAAAAZHJzL2Rvd25yZXYueG1sRI9Pi8Iw&#10;FMTvC36H8ARva6qHXa1GEUW2By/rH/D4aJ5ttXkJTbTVT79ZWNjjMDO/YebLztTiQY2vLCsYDRMQ&#10;xLnVFRcKjoft+wSED8gaa8uk4Ekelove2xxTbVv+psc+FCJC2KeooAzBpVL6vCSDfmgdcfQutjEY&#10;omwKqRtsI9zUcpwkH9JgxXGhREfrkvLb/m4UnDfssm0r88tr7XbXbFJ/3Y8npQb9bjUDEagL/+G/&#10;dqYVjJPR5xR+78QrIBc/AAAA//8DAFBLAQItABQABgAIAAAAIQDb4fbL7gAAAIUBAAATAAAAAAAA&#10;AAAAAAAAAAAAAABbQ29udGVudF9UeXBlc10ueG1sUEsBAi0AFAAGAAgAAAAhAFr0LFu/AAAAFQEA&#10;AAsAAAAAAAAAAAAAAAAAHwEAAF9yZWxzLy5yZWxzUEsBAi0AFAAGAAgAAAAhAOhm54jHAAAA3gAA&#10;AA8AAAAAAAAAAAAAAAAABwIAAGRycy9kb3ducmV2LnhtbFBLBQYAAAAAAwADALcAAAD7AgAAAAA=&#10;" filled="f" stroked="f">
                  <v:textbox inset="0,0,0,0">
                    <w:txbxContent>
                      <w:p w14:paraId="54036CCD" w14:textId="77777777" w:rsidR="00B32EF2" w:rsidRDefault="00000000">
                        <w:r>
                          <w:rPr>
                            <w:rFonts w:ascii="Arial" w:eastAsia="Arial" w:hAnsi="Arial" w:cs="Arial"/>
                            <w:i/>
                            <w:sz w:val="18"/>
                          </w:rPr>
                          <w:t xml:space="preserve">istruttore, su istanza di parte può ordinare all’altra parte o a un terzo di </w:t>
                        </w:r>
                      </w:p>
                    </w:txbxContent>
                  </v:textbox>
                </v:rect>
                <v:rect id="Rectangle 20180" o:spid="_x0000_s5001" style="position:absolute;left:-11915;top:45668;width:511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T4yxQAAAN4AAAAPAAAAZHJzL2Rvd25yZXYueG1sRI+7asMw&#10;FIb3Qt5BnEC2Rk6GYlwroSSEeOiSNIWOB+v40lpHwpIvydNXQ6Hjz3/jy/ez6cRIvW8tK9isExDE&#10;pdUt1wpuH6fnFIQPyBo7y6TgTh72u8VTjpm2E19ovIZaxBH2GSpoQnCZlL5syKBfW0ccvcr2BkOU&#10;fS11j1McN53cJsmLNNhyfGjQ0aGh8uc6GAVfR3bFaZJl9Ti49+8i7c7D7VOp1XJ+ewURaA7/4b92&#10;oRVsk00aASJORAG5+wUAAP//AwBQSwECLQAUAAYACAAAACEA2+H2y+4AAACFAQAAEwAAAAAAAAAA&#10;AAAAAAAAAAAAW0NvbnRlbnRfVHlwZXNdLnhtbFBLAQItABQABgAIAAAAIQBa9CxbvwAAABUBAAAL&#10;AAAAAAAAAAAAAAAAAB8BAABfcmVscy8ucmVsc1BLAQItABQABgAIAAAAIQBMiT4yxQAAAN4AAAAP&#10;AAAAAAAAAAAAAAAAAAcCAABkcnMvZG93bnJldi54bWxQSwUGAAAAAAMAAwC3AAAA+QIAAAAA&#10;" filled="f" stroked="f">
                  <v:textbox inset="0,0,0,0">
                    <w:txbxContent>
                      <w:p w14:paraId="049152E4" w14:textId="77777777" w:rsidR="00B32EF2" w:rsidRDefault="00000000">
                        <w:r>
                          <w:rPr>
                            <w:rFonts w:ascii="Arial" w:eastAsia="Arial" w:hAnsi="Arial" w:cs="Arial"/>
                            <w:i/>
                            <w:sz w:val="18"/>
                          </w:rPr>
                          <w:t xml:space="preserve">esibire in giudizio un documento o altra cosa di cui ritenga   necessaria </w:t>
                        </w:r>
                      </w:p>
                    </w:txbxContent>
                  </v:textbox>
                </v:rect>
                <v:rect id="Rectangle 20181" o:spid="_x0000_s5002" style="position:absolute;left:20844;top:44435;width:182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ZupxgAAAN4AAAAPAAAAZHJzL2Rvd25yZXYueG1sRI9Pi8Iw&#10;FMTvC36H8ARva1oPUqpRRBF78LL+AY+P5tl2t3kJTbTd/fSbhQWPw8z8hlmuB9OKJ3W+sawgnSYg&#10;iEurG64UXM779wyED8gaW8uk4Js8rFejtyXm2vb8Qc9TqESEsM9RQR2Cy6X0ZU0G/dQ64ujdbWcw&#10;RNlVUnfYR7hp5SxJ5tJgw3GhRkfbmsqv08MouO3YFftelvefrTt+Fll7eFyuSk3Gw2YBItAQXuH/&#10;dqEVzJI0S+HvTrwCcvULAAD//wMAUEsBAi0AFAAGAAgAAAAhANvh9svuAAAAhQEAABMAAAAAAAAA&#10;AAAAAAAAAAAAAFtDb250ZW50X1R5cGVzXS54bWxQSwECLQAUAAYACAAAACEAWvQsW78AAAAVAQAA&#10;CwAAAAAAAAAAAAAAAAAfAQAAX3JlbHMvLnJlbHNQSwECLQAUAAYACAAAACEAI8WbqcYAAADeAAAA&#10;DwAAAAAAAAAAAAAAAAAHAgAAZHJzL2Rvd25yZXYueG1sUEsFBgAAAAADAAMAtwAAAPoCAAAAAA==&#10;" filled="f" stroked="f">
                  <v:textbox inset="0,0,0,0">
                    <w:txbxContent>
                      <w:p w14:paraId="7EA7FF24" w14:textId="77777777" w:rsidR="00B32EF2" w:rsidRDefault="00000000">
                        <w:r>
                          <w:rPr>
                            <w:rFonts w:ascii="Arial" w:eastAsia="Arial" w:hAnsi="Arial" w:cs="Arial"/>
                            <w:i/>
                            <w:sz w:val="18"/>
                          </w:rPr>
                          <w:t xml:space="preserve">l’acquisizione al processo. </w:t>
                        </w:r>
                      </w:p>
                    </w:txbxContent>
                  </v:textbox>
                </v:rect>
                <v:rect id="Rectangle 201567" o:spid="_x0000_s5003" style="position:absolute;left:25826;top:43202;width:5108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eSexwAAAN8AAAAPAAAAZHJzL2Rvd25yZXYueG1sRI9Ba8JA&#10;FITvgv9heUJvulGolegqoog5eKla6PGRfSbR7Nslu5q0v94tFDwOM/MNs1h1phYPanxlWcF4lIAg&#10;zq2uuFBwPu2GMxA+IGusLZOCH/KwWvZ7C0y1bfmTHsdQiAhhn6KCMgSXSunzkgz6kXXE0bvYxmCI&#10;simkbrCNcFPLSZJMpcGK40KJjjYl5bfj3Sj43rLLdq3ML78bd7hms3p/P38p9Tbo1nMQgbrwCv+3&#10;M61gkozfpx/w9yd+Abl8AgAA//8DAFBLAQItABQABgAIAAAAIQDb4fbL7gAAAIUBAAATAAAAAAAA&#10;AAAAAAAAAAAAAABbQ29udGVudF9UeXBlc10ueG1sUEsBAi0AFAAGAAgAAAAhAFr0LFu/AAAAFQEA&#10;AAsAAAAAAAAAAAAAAAAAHwEAAF9yZWxzLy5yZWxzUEsBAi0AFAAGAAgAAAAhAIjt5J7HAAAA3wAA&#10;AA8AAAAAAAAAAAAAAAAABwIAAGRycy9kb3ducmV2LnhtbFBLBQYAAAAAAwADALcAAAD7AgAAAAA=&#10;" filled="f" stroked="f">
                  <v:textbox inset="0,0,0,0">
                    <w:txbxContent>
                      <w:p w14:paraId="65BAC63B" w14:textId="77777777" w:rsidR="00B32EF2" w:rsidRDefault="00000000">
                        <w:r>
                          <w:rPr>
                            <w:rFonts w:ascii="Arial" w:eastAsia="Arial" w:hAnsi="Arial" w:cs="Arial"/>
                            <w:i/>
                            <w:sz w:val="18"/>
                          </w:rPr>
                          <w:t>2</w:t>
                        </w:r>
                      </w:p>
                    </w:txbxContent>
                  </v:textbox>
                </v:rect>
                <v:rect id="Rectangle 201568" o:spid="_x0000_s5004" style="position:absolute;left:-12536;top:43202;width:5108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nDsxQAAAN8AAAAPAAAAZHJzL2Rvd25yZXYueG1sRE/Pa8Iw&#10;FL4P/B/CE7zNVMFSOqMMRezByzoHOz6aZ9uteQlNbOv++uUw2PHj+73dT6YTA/W+taxgtUxAEFdW&#10;t1wruL6fnjMQPiBr7CyTggd52O9mT1vMtR35jYYy1CKGsM9RQROCy6X0VUMG/dI64sjdbG8wRNjX&#10;Uvc4xnDTyXWSpNJgy7GhQUeHhqrv8m4UfB7ZFadRVrefg7t8FVl3vl8/lFrMp9cXEIGm8C/+cxda&#10;wTpZbdI4OP6JX0DufgEAAP//AwBQSwECLQAUAAYACAAAACEA2+H2y+4AAACFAQAAEwAAAAAAAAAA&#10;AAAAAAAAAAAAW0NvbnRlbnRfVHlwZXNdLnhtbFBLAQItABQABgAIAAAAIQBa9CxbvwAAABUBAAAL&#10;AAAAAAAAAAAAAAAAAB8BAABfcmVscy8ucmVsc1BLAQItABQABgAIAAAAIQD5cnDsxQAAAN8AAAAP&#10;AAAAAAAAAAAAAAAAAAcCAABkcnMvZG93bnJldi54bWxQSwUGAAAAAAMAAwC3AAAA+QIAAAAA&#10;" filled="f" stroked="f">
                  <v:textbox inset="0,0,0,0">
                    <w:txbxContent>
                      <w:p w14:paraId="28AA6B40" w14:textId="77777777" w:rsidR="00B32EF2" w:rsidRDefault="00000000">
                        <w:r>
                          <w:rPr>
                            <w:rFonts w:ascii="Arial" w:eastAsia="Arial" w:hAnsi="Arial" w:cs="Arial"/>
                            <w:i/>
                            <w:sz w:val="18"/>
                          </w:rPr>
                          <w:t xml:space="preserve">. Nell’ordinare l’esibizione, il giudice dà i provvedimenti opportuni circa il </w:t>
                        </w:r>
                      </w:p>
                    </w:txbxContent>
                  </v:textbox>
                </v:rect>
                <v:rect id="Rectangle 20183" o:spid="_x0000_s5005" style="position:absolute;left:11667;top:41968;width:274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6BFxgAAAN4AAAAPAAAAZHJzL2Rvd25yZXYueG1sRI9Ba8JA&#10;FITvQv/D8gredKNCCamriCLm0Es1hR4f2WeSmn27ZFeT+uvdQsHjMDPfMMv1YFpxo843lhXMpgkI&#10;4tLqhisFxWk/SUH4gKyxtUwKfsnDevUyWmKmbc+fdDuGSkQI+wwV1CG4TEpf1mTQT60jjt7ZdgZD&#10;lF0ldYd9hJtWzpPkTRpsOC7U6GhbU3k5Xo2C7x27fN/L8nzfuo+fPG0P1+JLqfHrsHkHEWgIz/B/&#10;O9cK5sksXcDfnXgF5OoBAAD//wMAUEsBAi0AFAAGAAgAAAAhANvh9svuAAAAhQEAABMAAAAAAAAA&#10;AAAAAAAAAAAAAFtDb250ZW50X1R5cGVzXS54bWxQSwECLQAUAAYACAAAACEAWvQsW78AAAAVAQAA&#10;CwAAAAAAAAAAAAAAAAAfAQAAX3JlbHMvLnJlbHNQSwECLQAUAAYACAAAACEAvFugRcYAAADeAAAA&#10;DwAAAAAAAAAAAAAAAAAHAgAAZHJzL2Rvd25yZXYueG1sUEsFBgAAAAADAAMAtwAAAPoCAAAAAA==&#10;" filled="f" stroked="f">
                  <v:textbox inset="0,0,0,0">
                    <w:txbxContent>
                      <w:p w14:paraId="56BCA2B6" w14:textId="77777777" w:rsidR="00B32EF2" w:rsidRDefault="00000000">
                        <w:r>
                          <w:rPr>
                            <w:rFonts w:ascii="Arial" w:eastAsia="Arial" w:hAnsi="Arial" w:cs="Arial"/>
                            <w:i/>
                            <w:sz w:val="18"/>
                          </w:rPr>
                          <w:t xml:space="preserve">tempo, il luogo e il modo dell’esibizione. </w:t>
                        </w:r>
                      </w:p>
                    </w:txbxContent>
                  </v:textbox>
                </v:rect>
                <v:rect id="Rectangle 201564" o:spid="_x0000_s5006" style="position:absolute;left:26088;top:40735;width:500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3rpxwAAAN8AAAAPAAAAZHJzL2Rvd25yZXYueG1sRI9Ba8JA&#10;FITvgv9heUJvulGqSHQVUcQcvGgt9PjIPpNo9u2SXU3aX+8WCj0OM/MNs1x3phZPanxlWcF4lIAg&#10;zq2uuFBw+dgP5yB8QNZYWyYF3+Rhver3lphq2/KJnudQiAhhn6KCMgSXSunzkgz6kXXE0bvaxmCI&#10;simkbrCNcFPLSZLMpMGK40KJjrYl5ffzwyj42rHL9q3Mrz9bd7xl8/rwuHwq9TboNgsQgbrwH/5r&#10;Z1rBJBlPZ+/w+yd+Abl6AQAA//8DAFBLAQItABQABgAIAAAAIQDb4fbL7gAAAIUBAAATAAAAAAAA&#10;AAAAAAAAAAAAAABbQ29udGVudF9UeXBlc10ueG1sUEsBAi0AFAAGAAgAAAAhAFr0LFu/AAAAFQEA&#10;AAsAAAAAAAAAAAAAAAAAHwEAAF9yZWxzLy5yZWxzUEsBAi0AFAAGAAgAAAAhAHg/eunHAAAA3wAA&#10;AA8AAAAAAAAAAAAAAAAABwIAAGRycy9kb3ducmV2LnhtbFBLBQYAAAAAAwADALcAAAD7AgAAAAA=&#10;" filled="f" stroked="f">
                  <v:textbox inset="0,0,0,0">
                    <w:txbxContent>
                      <w:p w14:paraId="2D7DAADA" w14:textId="77777777" w:rsidR="00B32EF2" w:rsidRDefault="00000000">
                        <w:r>
                          <w:rPr>
                            <w:rFonts w:ascii="Arial" w:eastAsia="Arial" w:hAnsi="Arial" w:cs="Arial"/>
                            <w:i/>
                            <w:sz w:val="18"/>
                          </w:rPr>
                          <w:t>3</w:t>
                        </w:r>
                      </w:p>
                    </w:txbxContent>
                  </v:textbox>
                </v:rect>
                <v:rect id="Rectangle 201565" o:spid="_x0000_s5007" style="position:absolute;left:-11558;top:40735;width:500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99yxgAAAN8AAAAPAAAAZHJzL2Rvd25yZXYueG1sRI9Bi8Iw&#10;FITvC/6H8ARva6qgSDWKKGIPXlZd2OOjebbV5iU00VZ//WZhweMwM98wi1VnavGgxleWFYyGCQji&#10;3OqKCwXn0+5zBsIHZI21ZVLwJA+rZe9jgam2LX/R4xgKESHsU1RQhuBSKX1ekkE/tI44ehfbGAxR&#10;NoXUDbYRbmo5TpKpNFhxXCjR0aak/Ha8GwU/W3bZrpX55bVxh2s2q/f387dSg363noMI1IV3+L+d&#10;aQXjZDSZTuDvT/wCcvkLAAD//wMAUEsBAi0AFAAGAAgAAAAhANvh9svuAAAAhQEAABMAAAAAAAAA&#10;AAAAAAAAAAAAAFtDb250ZW50X1R5cGVzXS54bWxQSwECLQAUAAYACAAAACEAWvQsW78AAAAVAQAA&#10;CwAAAAAAAAAAAAAAAAAfAQAAX3JlbHMvLnJlbHNQSwECLQAUAAYACAAAACEAF3PfcsYAAADfAAAA&#10;DwAAAAAAAAAAAAAAAAAHAgAAZHJzL2Rvd25yZXYueG1sUEsFBgAAAAADAAMAtwAAAPoCAAAAAA==&#10;" filled="f" stroked="f">
                  <v:textbox inset="0,0,0,0">
                    <w:txbxContent>
                      <w:p w14:paraId="0F31A513" w14:textId="77777777" w:rsidR="00B32EF2" w:rsidRDefault="00000000">
                        <w:r>
                          <w:rPr>
                            <w:rFonts w:ascii="Arial" w:eastAsia="Arial" w:hAnsi="Arial" w:cs="Arial"/>
                            <w:i/>
                            <w:sz w:val="18"/>
                          </w:rPr>
                          <w:t>. Se l’esibizione importa una spesa, questa deve essere in ogni caso anti</w:t>
                        </w:r>
                      </w:p>
                    </w:txbxContent>
                  </v:textbox>
                </v:rect>
                <v:rect id="Rectangle 20185" o:spid="_x0000_s5008" style="position:absolute;left:979;top:4073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2qxgAAAN4AAAAPAAAAZHJzL2Rvd25yZXYueG1sRI9Ba8JA&#10;FITvQv/D8gredKNgCamriCLm0Es1hR4f2WeSmn27ZFeT+uvdQsHjMDPfMMv1YFpxo843lhXMpgkI&#10;4tLqhisFxWk/SUH4gKyxtUwKfsnDevUyWmKmbc+fdDuGSkQI+wwV1CG4TEpf1mTQT60jjt7ZdgZD&#10;lF0ldYd9hJtWzpPkTRpsOC7U6GhbU3k5Xo2C7x27fN/L8nzfuo+fPG0P1+JLqfHrsHkHEWgIz/B/&#10;O9cK5sksXcDfnXgF5OoBAAD//wMAUEsBAi0AFAAGAAgAAAAhANvh9svuAAAAhQEAABMAAAAAAAAA&#10;AAAAAAAAAAAAAFtDb250ZW50X1R5cGVzXS54bWxQSwECLQAUAAYACAAAACEAWvQsW78AAAAVAQAA&#10;CwAAAAAAAAAAAAAAAAAfAQAAX3JlbHMvLnJlbHNQSwECLQAUAAYACAAAACEAXP6dqsYAAADeAAAA&#10;DwAAAAAAAAAAAAAAAAAHAgAAZHJzL2Rvd25yZXYueG1sUEsFBgAAAAADAAMAtwAAAPoCAAAAAA==&#10;" filled="f" stroked="f">
                  <v:textbox inset="0,0,0,0">
                    <w:txbxContent>
                      <w:p w14:paraId="7187FF0D" w14:textId="77777777" w:rsidR="00B32EF2" w:rsidRDefault="00000000">
                        <w:r>
                          <w:rPr>
                            <w:rFonts w:ascii="Arial" w:eastAsia="Arial" w:hAnsi="Arial" w:cs="Arial"/>
                            <w:i/>
                            <w:sz w:val="18"/>
                          </w:rPr>
                          <w:t>-</w:t>
                        </w:r>
                      </w:p>
                    </w:txbxContent>
                  </v:textbox>
                </v:rect>
                <v:rect id="Rectangle 20186" o:spid="_x0000_s5009" style="position:absolute;left:273;top:39502;width:388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PdxgAAAN4AAAAPAAAAZHJzL2Rvd25yZXYueG1sRI9Pi8Iw&#10;FMTvgt8hvAVvmupBStco4iL24MV/4PHRPNuuzUtoou3upzcLCx6HmfkNs1j1phFPan1tWcF0koAg&#10;LqyuuVRwPm3HKQgfkDU2lknBD3lYLYeDBWbadnyg5zGUIkLYZ6igCsFlUvqiIoN+Yh1x9G62NRii&#10;bEupW+wi3DRyliRzabDmuFCho01Fxf34MAquX+zybSeL2+/G7b/ztNk9zhelRh/9+hNEoD68w//t&#10;XCuYJdN0Dn934hWQyxcAAAD//wMAUEsBAi0AFAAGAAgAAAAhANvh9svuAAAAhQEAABMAAAAAAAAA&#10;AAAAAAAAAAAAAFtDb250ZW50X1R5cGVzXS54bWxQSwECLQAUAAYACAAAACEAWvQsW78AAAAVAQAA&#10;CwAAAAAAAAAAAAAAAAAfAQAAX3JlbHMvLnJlbHNQSwECLQAUAAYACAAAACEArCwD3cYAAADeAAAA&#10;DwAAAAAAAAAAAAAAAAAHAgAAZHJzL2Rvd25yZXYueG1sUEsFBgAAAAADAAMAtwAAAPoCAAAAAA==&#10;" filled="f" stroked="f">
                  <v:textbox inset="0,0,0,0">
                    <w:txbxContent>
                      <w:p w14:paraId="6FFCA03A" w14:textId="77777777" w:rsidR="00B32EF2" w:rsidRDefault="00000000">
                        <w:r>
                          <w:rPr>
                            <w:rFonts w:ascii="Arial" w:eastAsia="Arial" w:hAnsi="Arial" w:cs="Arial"/>
                            <w:i/>
                            <w:sz w:val="18"/>
                          </w:rPr>
                          <w:t xml:space="preserve">cipata dalla parte che ha proposta l’istanza di esibizione. </w:t>
                        </w:r>
                      </w:p>
                    </w:txbxContent>
                  </v:textbox>
                </v:rect>
                <v:rect id="Rectangle 201561" o:spid="_x0000_s5010" style="position:absolute;left:26090;top:38268;width:500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NlxxwAAAN8AAAAPAAAAZHJzL2Rvd25yZXYueG1sRI9Pi8Iw&#10;FMTvC36H8ARva1phRbpGEUW2By/rH9jjo3m23W1eQhNt9dNvBMHjMDO/YebL3jTiSq2vLStIxwkI&#10;4sLqmksFx8P2fQbCB2SNjWVScCMPy8XgbY6Zth1/03UfShEh7DNUUIXgMil9UZFBP7aOOHpn2xoM&#10;Ubal1C12EW4aOUmSqTRYc1yo0NG6ouJvfzEKfjbs8m0ni/N97Xa/+az5uhxPSo2G/eoTRKA+vMLP&#10;dq4VTJL0Y5rC40/8AnLxDwAA//8DAFBLAQItABQABgAIAAAAIQDb4fbL7gAAAIUBAAATAAAAAAAA&#10;AAAAAAAAAAAAAABbQ29udGVudF9UeXBlc10ueG1sUEsBAi0AFAAGAAgAAAAhAFr0LFu/AAAAFQEA&#10;AAsAAAAAAAAAAAAAAAAAHwEAAF9yZWxzLy5yZWxzUEsBAi0AFAAGAAgAAAAhAGhI2XHHAAAA3wAA&#10;AA8AAAAAAAAAAAAAAAAABwIAAGRycy9kb3ducmV2LnhtbFBLBQYAAAAAAwADALcAAAD7AgAAAAA=&#10;" filled="f" stroked="f">
                  <v:textbox inset="0,0,0,0">
                    <w:txbxContent>
                      <w:p w14:paraId="771A7A62" w14:textId="77777777" w:rsidR="00B32EF2" w:rsidRDefault="00000000">
                        <w:r>
                          <w:rPr>
                            <w:rFonts w:ascii="Arial" w:eastAsia="Arial" w:hAnsi="Arial" w:cs="Arial"/>
                            <w:i/>
                            <w:sz w:val="18"/>
                          </w:rPr>
                          <w:t>4</w:t>
                        </w:r>
                      </w:p>
                    </w:txbxContent>
                  </v:textbox>
                </v:rect>
                <v:rect id="Rectangle 201562" o:spid="_x0000_s5011" style="position:absolute;left:-11540;top:38268;width:500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kcGyAAAAN8AAAAPAAAAZHJzL2Rvd25yZXYueG1sRI9Pa8JA&#10;FMTvBb/D8oTe6sZARaIbEUWaQy+1Ch4f2Zc/mn27ZFeT9tN3C4Ueh5n5DbPejKYTD+p9a1nBfJaA&#10;IC6tbrlWcPo8vCxB+ICssbNMCr7IwyafPK0x03bgD3ocQy0ihH2GCpoQXCalLxsy6GfWEUevsr3B&#10;EGVfS93jEOGmk2mSLKTBluNCg452DZW3490ouOzZFYdBltX3zr1fi2X3dj+dlXqejtsViEBj+A//&#10;tQutIE3mr4sUfv/ELyDzHwAAAP//AwBQSwECLQAUAAYACAAAACEA2+H2y+4AAACFAQAAEwAAAAAA&#10;AAAAAAAAAAAAAAAAW0NvbnRlbnRfVHlwZXNdLnhtbFBLAQItABQABgAIAAAAIQBa9CxbvwAAABUB&#10;AAALAAAAAAAAAAAAAAAAAB8BAABfcmVscy8ucmVsc1BLAQItABQABgAIAAAAIQCYmkcGyAAAAN8A&#10;AAAPAAAAAAAAAAAAAAAAAAcCAABkcnMvZG93bnJldi54bWxQSwUGAAAAAAMAAwC3AAAA/AIAAAAA&#10;" filled="f" stroked="f">
                  <v:textbox inset="0,0,0,0">
                    <w:txbxContent>
                      <w:p w14:paraId="2280D6A8" w14:textId="77777777" w:rsidR="00B32EF2" w:rsidRDefault="00000000">
                        <w:r>
                          <w:rPr>
                            <w:rFonts w:ascii="Arial" w:eastAsia="Arial" w:hAnsi="Arial" w:cs="Arial"/>
                            <w:i/>
                            <w:sz w:val="18"/>
                          </w:rPr>
                          <w:t>. Se la parte non adempie senza giustificato motivo all’ordine di esibizio</w:t>
                        </w:r>
                      </w:p>
                    </w:txbxContent>
                  </v:textbox>
                </v:rect>
                <v:rect id="Rectangle 20188" o:spid="_x0000_s5012" style="position:absolute;left:979;top:3826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I0xAAAAN4AAAAPAAAAZHJzL2Rvd25yZXYueG1sRE+7asMw&#10;FN0L+QdxA9kaORmKca2EkhDioUvSFDperOtHa10JS34kX18NhY6H8873s+nESL1vLSvYrBMQxKXV&#10;LdcKbh+n5xSED8gaO8uk4E4e9rvFU46ZthNfaLyGWsQQ9hkqaEJwmZS+bMigX1tHHLnK9gZDhH0t&#10;dY9TDDed3CbJizTYcmxo0NGhofLnOhgFX0d2xWmSZfU4uPfvIu3Ow+1TqdVyfnsFEWgO/+I/d6EV&#10;bJNNGvfGO/EKyN0vAAAA//8DAFBLAQItABQABgAIAAAAIQDb4fbL7gAAAIUBAAATAAAAAAAAAAAA&#10;AAAAAAAAAABbQ29udGVudF9UeXBlc10ueG1sUEsBAi0AFAAGAAgAAAAhAFr0LFu/AAAAFQEAAAsA&#10;AAAAAAAAAAAAAAAAHwEAAF9yZWxzLy5yZWxzUEsBAi0AFAAGAAgAAAAhALL/MjTEAAAA3gAAAA8A&#10;AAAAAAAAAAAAAAAABwIAAGRycy9kb3ducmV2LnhtbFBLBQYAAAAAAwADALcAAAD4AgAAAAA=&#10;" filled="f" stroked="f">
                  <v:textbox inset="0,0,0,0">
                    <w:txbxContent>
                      <w:p w14:paraId="789BB820" w14:textId="77777777" w:rsidR="00B32EF2" w:rsidRDefault="00000000">
                        <w:r>
                          <w:rPr>
                            <w:rFonts w:ascii="Arial" w:eastAsia="Arial" w:hAnsi="Arial" w:cs="Arial"/>
                            <w:i/>
                            <w:sz w:val="18"/>
                          </w:rPr>
                          <w:t>-</w:t>
                        </w:r>
                      </w:p>
                    </w:txbxContent>
                  </v:textbox>
                </v:rect>
                <v:rect id="Rectangle 20189" o:spid="_x0000_s5013" style="position:absolute;left:-11863;top:37035;width:509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5evxgAAAN4AAAAPAAAAZHJzL2Rvd25yZXYueG1sRI9Ba8JA&#10;FITvhf6H5RW81Y0eJE1dRRQxBy+1ETw+ss8kNft2ya4m+uvdQqHHYWa+YebLwbTiRp1vLCuYjBMQ&#10;xKXVDVcKiu/tewrCB2SNrWVScCcPy8XryxwzbXv+otshVCJC2GeooA7BZVL6siaDfmwdcfTOtjMY&#10;ouwqqTvsI9y0cpokM2mw4bhQo6N1TeXlcDUKTht2+baX5fmxdvufPG131+Ko1OhtWH2CCDSE//Bf&#10;O9cKpskk/YDfO/EKyMUTAAD//wMAUEsBAi0AFAAGAAgAAAAhANvh9svuAAAAhQEAABMAAAAAAAAA&#10;AAAAAAAAAAAAAFtDb250ZW50X1R5cGVzXS54bWxQSwECLQAUAAYACAAAACEAWvQsW78AAAAVAQAA&#10;CwAAAAAAAAAAAAAAAAAfAQAAX3JlbHMvLnJlbHNQSwECLQAUAAYACAAAACEA3bOXr8YAAADeAAAA&#10;DwAAAAAAAAAAAAAAAAAHAgAAZHJzL2Rvd25yZXYueG1sUEsFBgAAAAADAAMAtwAAAPoCAAAAAA==&#10;" filled="f" stroked="f">
                  <v:textbox inset="0,0,0,0">
                    <w:txbxContent>
                      <w:p w14:paraId="0473BE1E" w14:textId="77777777" w:rsidR="00B32EF2" w:rsidRDefault="00000000">
                        <w:r>
                          <w:rPr>
                            <w:rFonts w:ascii="Arial" w:eastAsia="Arial" w:hAnsi="Arial" w:cs="Arial"/>
                            <w:i/>
                            <w:sz w:val="18"/>
                          </w:rPr>
                          <w:t xml:space="preserve">ne, il giudice la condanna a una pena pecuniaria da euro 500 a euro 3.000 </w:t>
                        </w:r>
                      </w:p>
                    </w:txbxContent>
                  </v:textbox>
                </v:rect>
                <v:rect id="Rectangle 20190" o:spid="_x0000_s5014" style="position:absolute;left:-11922;top:35802;width:512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KjvxQAAAN4AAAAPAAAAZHJzL2Rvd25yZXYueG1sRI/NisIw&#10;FIX3wrxDuMLsNNWFaMco4iB2MRu1wiwvzbWtNjehibYzT28WgsvD+eNbrnvTiAe1vrasYDJOQBAX&#10;VtdcKshPu9EchA/IGhvLpOCPPKxXH4Mlptp2fKDHMZQijrBPUUEVgkul9EVFBv3YOuLoXWxrMETZ&#10;llK32MVx08hpksykwZrjQ4WOthUVt+PdKPj9ZpftOllc/rfu55rNm/09Pyv1Oew3XyAC9eEdfrUz&#10;rWCaTBYRIOJEFJCrJwAAAP//AwBQSwECLQAUAAYACAAAACEA2+H2y+4AAACFAQAAEwAAAAAAAAAA&#10;AAAAAAAAAAAAW0NvbnRlbnRfVHlwZXNdLnhtbFBLAQItABQABgAIAAAAIQBa9CxbvwAAABUBAAAL&#10;AAAAAAAAAAAAAAAAAB8BAABfcmVscy8ucmVsc1BLAQItABQABgAIAAAAIQDJUKjvxQAAAN4AAAAP&#10;AAAAAAAAAAAAAAAAAAcCAABkcnMvZG93bnJldi54bWxQSwUGAAAAAAMAAwC3AAAA+QIAAAAA&#10;" filled="f" stroked="f">
                  <v:textbox inset="0,0,0,0">
                    <w:txbxContent>
                      <w:p w14:paraId="2FCD44FE" w14:textId="77777777" w:rsidR="00B32EF2" w:rsidRDefault="00000000">
                        <w:r>
                          <w:rPr>
                            <w:rFonts w:ascii="Arial" w:eastAsia="Arial" w:hAnsi="Arial" w:cs="Arial"/>
                            <w:i/>
                            <w:sz w:val="18"/>
                          </w:rPr>
                          <w:t xml:space="preserve">e può da questo comportamento desumere argomenti di prova a norma </w:t>
                        </w:r>
                      </w:p>
                    </w:txbxContent>
                  </v:textbox>
                </v:rect>
                <v:rect id="Rectangle 20191" o:spid="_x0000_s5015" style="position:absolute;left:15515;top:34569;width:2362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A10xgAAAN4AAAAPAAAAZHJzL2Rvd25yZXYueG1sRI9Ba8JA&#10;FITvQv/D8gredBMPYlNXEUXMwYvWQo+P7DNJzb5dsquJ/npXKPQ4zMw3zHzZm0bcqPW1ZQXpOAFB&#10;XFhdc6ng9LUdzUD4gKyxsUwK7uRhuXgbzDHTtuMD3Y6hFBHCPkMFVQguk9IXFRn0Y+uIo3e2rcEQ&#10;ZVtK3WIX4aaRkySZSoM1x4UKHa0rKi7Hq1Hws2GXbztZnB9rt//NZ83uevpWavjerz5BBOrDf/iv&#10;nWsFkyT9SOF1J14BuXgCAAD//wMAUEsBAi0AFAAGAAgAAAAhANvh9svuAAAAhQEAABMAAAAAAAAA&#10;AAAAAAAAAAAAAFtDb250ZW50X1R5cGVzXS54bWxQSwECLQAUAAYACAAAACEAWvQsW78AAAAVAQAA&#10;CwAAAAAAAAAAAAAAAAAfAQAAX3JlbHMvLnJlbHNQSwECLQAUAAYACAAAACEAphwNdMYAAADeAAAA&#10;DwAAAAAAAAAAAAAAAAAHAgAAZHJzL2Rvd25yZXYueG1sUEsFBgAAAAADAAMAtwAAAPoCAAAAAA==&#10;" filled="f" stroked="f">
                  <v:textbox inset="0,0,0,0">
                    <w:txbxContent>
                      <w:p w14:paraId="56971F27" w14:textId="77777777" w:rsidR="00B32EF2" w:rsidRDefault="00000000">
                        <w:r>
                          <w:rPr>
                            <w:rFonts w:ascii="Arial" w:eastAsia="Arial" w:hAnsi="Arial" w:cs="Arial"/>
                            <w:i/>
                            <w:sz w:val="18"/>
                          </w:rPr>
                          <w:t xml:space="preserve">dell’articolo 116, secondo comma. </w:t>
                        </w:r>
                      </w:p>
                    </w:txbxContent>
                  </v:textbox>
                </v:rect>
                <v:rect id="Rectangle 201558" o:spid="_x0000_s5016" style="position:absolute;left:25849;top:33335;width:509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rpRxAAAAN8AAAAPAAAAZHJzL2Rvd25yZXYueG1sRE9Ni8Iw&#10;EL0v+B/CCN7WVMFFqlFEEXvwsm4Fj0MzttVmEppoq79+c1jY4+N9L9e9acSTWl9bVjAZJyCIC6tr&#10;LhXkP/vPOQgfkDU2lknBizysV4OPJabadvxNz1MoRQxhn6KCKgSXSumLigz6sXXEkbva1mCIsC2l&#10;brGL4aaR0yT5kgZrjg0VOtpWVNxPD6PgsmOX7TtZXN9bd7xl8+bwyM9KjYb9ZgEiUB/+xX/uTCuY&#10;JpPZLA6Of+IXkKtfAAAA//8DAFBLAQItABQABgAIAAAAIQDb4fbL7gAAAIUBAAATAAAAAAAAAAAA&#10;AAAAAAAAAABbQ29udGVudF9UeXBlc10ueG1sUEsBAi0AFAAGAAgAAAAhAFr0LFu/AAAAFQEAAAsA&#10;AAAAAAAAAAAAAAAAHwEAAF9yZWxzLy5yZWxzUEsBAi0AFAAGAAgAAAAhADceulHEAAAA3wAAAA8A&#10;AAAAAAAAAAAAAAAABwIAAGRycy9kb3ducmV2LnhtbFBLBQYAAAAAAwADALcAAAD4AgAAAAA=&#10;" filled="f" stroked="f">
                  <v:textbox inset="0,0,0,0">
                    <w:txbxContent>
                      <w:p w14:paraId="66B7206E" w14:textId="77777777" w:rsidR="00B32EF2" w:rsidRDefault="00000000">
                        <w:r>
                          <w:rPr>
                            <w:rFonts w:ascii="Arial" w:eastAsia="Arial" w:hAnsi="Arial" w:cs="Arial"/>
                            <w:i/>
                            <w:sz w:val="18"/>
                          </w:rPr>
                          <w:t>5</w:t>
                        </w:r>
                      </w:p>
                    </w:txbxContent>
                  </v:textbox>
                </v:rect>
                <v:rect id="Rectangle 201559" o:spid="_x0000_s5017" style="position:absolute;left:-12532;top:33335;width:509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h/KxwAAAN8AAAAPAAAAZHJzL2Rvd25yZXYueG1sRI9Ba8JA&#10;FITvgv9heUJvdaNgsdFVRBFz8KK10OMj+0yi2bdLdjWpv74rFDwOM/MNM192phZ3anxlWcFomIAg&#10;zq2uuFBw+tq+T0H4gKyxtkwKfsnDctHvzTHVtuUD3Y+hEBHCPkUFZQguldLnJRn0Q+uIo3e2jcEQ&#10;ZVNI3WAb4aaW4yT5kAYrjgslOlqXlF+PN6PgZ8Mu27YyPz/Wbn/JpvXudvpW6m3QrWYgAnXhFf5v&#10;Z1rBOBlNJp/w/BO/gFz8AQAA//8DAFBLAQItABQABgAIAAAAIQDb4fbL7gAAAIUBAAATAAAAAAAA&#10;AAAAAAAAAAAAAABbQ29udGVudF9UeXBlc10ueG1sUEsBAi0AFAAGAAgAAAAhAFr0LFu/AAAAFQEA&#10;AAsAAAAAAAAAAAAAAAAAHwEAAF9yZWxzLy5yZWxzUEsBAi0AFAAGAAgAAAAhAFhSH8rHAAAA3wAA&#10;AA8AAAAAAAAAAAAAAAAABwIAAGRycy9kb3ducmV2LnhtbFBLBQYAAAAAAwADALcAAAD7AgAAAAA=&#10;" filled="f" stroked="f">
                  <v:textbox inset="0,0,0,0">
                    <w:txbxContent>
                      <w:p w14:paraId="0CBED2C3" w14:textId="77777777" w:rsidR="00B32EF2" w:rsidRDefault="00000000">
                        <w:r>
                          <w:rPr>
                            <w:rFonts w:ascii="Arial" w:eastAsia="Arial" w:hAnsi="Arial" w:cs="Arial"/>
                            <w:i/>
                            <w:sz w:val="18"/>
                          </w:rPr>
                          <w:t xml:space="preserve">. Se non adempie il terzo, il giudice lo  condanna  a  una  pena pecuniaria </w:t>
                        </w:r>
                      </w:p>
                    </w:txbxContent>
                  </v:textbox>
                </v:rect>
                <v:rect id="Rectangle 20193" o:spid="_x0000_s5018" style="position:absolute;left:21476;top:32102;width:176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jaYxwAAAN4AAAAPAAAAZHJzL2Rvd25yZXYueG1sRI9Pi8Iw&#10;FMTvC36H8ARva6oLi1ajiCLbg5f1D3h8NM+22ryEJtrqp98sLOxxmJnfMPNlZ2rxoMZXlhWMhgkI&#10;4tzqigsFx8P2fQLCB2SNtWVS8CQPy0XvbY6pti1/02MfChEh7FNUUIbgUil9XpJBP7SOOHoX2xgM&#10;UTaF1A22EW5qOU6ST2mw4rhQoqN1SfltfzcKzht22baV+eW1drtrNqm/7seTUoN+t5qBCNSF//Bf&#10;O9MKxslo+gG/d+IVkIsfAAAA//8DAFBLAQItABQABgAIAAAAIQDb4fbL7gAAAIUBAAATAAAAAAAA&#10;AAAAAAAAAAAAAABbQ29udGVudF9UeXBlc10ueG1sUEsBAi0AFAAGAAgAAAAhAFr0LFu/AAAAFQEA&#10;AAsAAAAAAAAAAAAAAAAAHwEAAF9yZWxzLy5yZWxzUEsBAi0AFAAGAAgAAAAhADmCNpjHAAAA3gAA&#10;AA8AAAAAAAAAAAAAAAAABwIAAGRycy9kb3ducmV2LnhtbFBLBQYAAAAAAwADALcAAAD7AgAAAAA=&#10;" filled="f" stroked="f">
                  <v:textbox inset="0,0,0,0">
                    <w:txbxContent>
                      <w:p w14:paraId="4418C903" w14:textId="77777777" w:rsidR="00B32EF2" w:rsidRDefault="00000000">
                        <w:r>
                          <w:rPr>
                            <w:rFonts w:ascii="Arial" w:eastAsia="Arial" w:hAnsi="Arial" w:cs="Arial"/>
                            <w:i/>
                            <w:sz w:val="18"/>
                          </w:rPr>
                          <w:t>da euro 250 a euro 1.500.</w:t>
                        </w:r>
                      </w:p>
                    </w:txbxContent>
                  </v:textbox>
                </v:rect>
                <v:rect id="Rectangle 20194" o:spid="_x0000_s5019" style="position:absolute;left:-8540;top:30869;width:476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67sxwAAAN4AAAAPAAAAZHJzL2Rvd25yZXYueG1sRI9Pi8Iw&#10;FMTvC36H8ARva6osi1ajiCLbg5f1D3h8NM+22ryEJtrqp98sLOxxmJnfMPNlZ2rxoMZXlhWMhgkI&#10;4tzqigsFx8P2fQLCB2SNtWVS8CQPy0XvbY6pti1/02MfChEh7FNUUIbgUil9XpJBP7SOOHoX2xgM&#10;UTaF1A22EW5qOU6ST2mw4rhQoqN1SfltfzcKzht22baV+eW1drtrNqm/7seTUoN+t5qBCNSF//Bf&#10;O9MKxslo+gG/d+IVkIsfAAAA//8DAFBLAQItABQABgAIAAAAIQDb4fbL7gAAAIUBAAATAAAAAAAA&#10;AAAAAAAAAAAAAABbQ29udGVudF9UeXBlc10ueG1sUEsBAi0AFAAGAAgAAAAhAFr0LFu/AAAAFQEA&#10;AAsAAAAAAAAAAAAAAAAAHwEAAF9yZWxzLy5yZWxzUEsBAi0AFAAGAAgAAAAhALZrruzHAAAA3gAA&#10;AA8AAAAAAAAAAAAAAAAABwIAAGRycy9kb3ducmV2LnhtbFBLBQYAAAAAAwADALcAAAD7AgAAAAA=&#10;" filled="f" stroked="f">
                  <v:textbox inset="0,0,0,0">
                    <w:txbxContent>
                      <w:p w14:paraId="20E90300" w14:textId="77777777" w:rsidR="00B32EF2" w:rsidRDefault="00000000">
                        <w:r>
                          <w:rPr>
                            <w:rFonts w:ascii="Arial" w:eastAsia="Arial" w:hAnsi="Arial" w:cs="Arial"/>
                            <w:i/>
                            <w:sz w:val="18"/>
                          </w:rPr>
                          <w:t xml:space="preserve">art. 23 c.p.c. “Richiesta d’informazioni alla pubblica amministrazione.” </w:t>
                        </w:r>
                      </w:p>
                    </w:txbxContent>
                  </v:textbox>
                </v:rect>
                <v:rect id="Rectangle 201556" o:spid="_x0000_s5020" style="position:absolute;left:25828;top:29635;width:510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Yu4xgAAAN8AAAAPAAAAZHJzL2Rvd25yZXYueG1sRI9Bi8Iw&#10;FITvC/6H8ARva6qgSDWKKGIPXlZd2OOjebbV5iU00VZ//WZhweMwM98wi1VnavGgxleWFYyGCQji&#10;3OqKCwXn0+5zBsIHZI21ZVLwJA+rZe9jgam2LX/R4xgKESHsU1RQhuBSKX1ekkE/tI44ehfbGAxR&#10;NoXUDbYRbmo5TpKpNFhxXCjR0aak/Ha8GwU/W3bZrpX55bVxh2s2q/f387dSg363noMI1IV3+L+d&#10;aQXjZDSZTOHvT/wCcvkLAAD//wMAUEsBAi0AFAAGAAgAAAAhANvh9svuAAAAhQEAABMAAAAAAAAA&#10;AAAAAAAAAAAAAFtDb250ZW50X1R5cGVzXS54bWxQSwECLQAUAAYACAAAACEAWvQsW78AAAAVAQAA&#10;CwAAAAAAAAAAAAAAAAAfAQAAX3JlbHMvLnJlbHNQSwECLQAUAAYACAAAACEAKc2LuMYAAADfAAAA&#10;DwAAAAAAAAAAAAAAAAAHAgAAZHJzL2Rvd25yZXYueG1sUEsFBgAAAAADAAMAtwAAAPoCAAAAAA==&#10;" filled="f" stroked="f">
                  <v:textbox inset="0,0,0,0">
                    <w:txbxContent>
                      <w:p w14:paraId="6F301CB1" w14:textId="77777777" w:rsidR="00B32EF2" w:rsidRDefault="00000000">
                        <w:r>
                          <w:rPr>
                            <w:rFonts w:ascii="Arial" w:eastAsia="Arial" w:hAnsi="Arial" w:cs="Arial"/>
                            <w:i/>
                            <w:sz w:val="18"/>
                          </w:rPr>
                          <w:t>1</w:t>
                        </w:r>
                      </w:p>
                    </w:txbxContent>
                  </v:textbox>
                </v:rect>
                <v:rect id="Rectangle 201557" o:spid="_x0000_s5021" style="position:absolute;left:-12485;top:29635;width:510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S4jxwAAAN8AAAAPAAAAZHJzL2Rvd25yZXYueG1sRI9Ba8JA&#10;FITvgv9heUJvulGwSnQVUcQcvNRa6PGRfSbR7Nslu5rUX98tCD0OM/MNs1x3phYPanxlWcF4lIAg&#10;zq2uuFBw/twP5yB8QNZYWyYFP+Rhver3lphq2/IHPU6hEBHCPkUFZQguldLnJRn0I+uIo3exjcEQ&#10;ZVNI3WAb4aaWkyR5lwYrjgslOtqWlN9Od6Pge8cu27cyvzy37njN5vXhfv5S6m3QbRYgAnXhP/xq&#10;Z1rBJBlPpzP4+xO/gFz9AgAA//8DAFBLAQItABQABgAIAAAAIQDb4fbL7gAAAIUBAAATAAAAAAAA&#10;AAAAAAAAAAAAAABbQ29udGVudF9UeXBlc10ueG1sUEsBAi0AFAAGAAgAAAAhAFr0LFu/AAAAFQEA&#10;AAsAAAAAAAAAAAAAAAAAHwEAAF9yZWxzLy5yZWxzUEsBAi0AFAAGAAgAAAAhAEaBLiPHAAAA3wAA&#10;AA8AAAAAAAAAAAAAAAAABwIAAGRycy9kb3ducmV2LnhtbFBLBQYAAAAAAwADALcAAAD7AgAAAAA=&#10;" filled="f" stroked="f">
                  <v:textbox inset="0,0,0,0">
                    <w:txbxContent>
                      <w:p w14:paraId="0BC65122" w14:textId="77777777" w:rsidR="00B32EF2" w:rsidRDefault="00000000">
                        <w:r>
                          <w:rPr>
                            <w:rFonts w:ascii="Arial" w:eastAsia="Arial" w:hAnsi="Arial" w:cs="Arial"/>
                            <w:i/>
                            <w:sz w:val="18"/>
                          </w:rPr>
                          <w:t xml:space="preserve">. Per le cause tra soci è competente il giudice del luogo dove ha sede la </w:t>
                        </w:r>
                      </w:p>
                    </w:txbxContent>
                  </v:textbox>
                </v:rect>
                <v:rect id="Rectangle 20196" o:spid="_x0000_s5022" style="position:absolute;left:-11879;top:28402;width:510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ZUAxgAAAN4AAAAPAAAAZHJzL2Rvd25yZXYueG1sRI9Bi8Iw&#10;FITvC/6H8IS9rakexK1GEUW2By+6Ch4fzbOtNi+hibbur98IgsdhZr5hZovO1OJOja8sKxgOEhDE&#10;udUVFwoOv5uvCQgfkDXWlknBgzws5r2PGabatryj+z4UIkLYp6igDMGlUvq8JIN+YB1x9M62MRii&#10;bAqpG2wj3NRylCRjabDiuFCio1VJ+XV/MwpOa3bZppX5+W/ltpdsUv/cDkelPvvdcgoiUBfe4Vc7&#10;0wpGyfB7DM878QrI+T8AAAD//wMAUEsBAi0AFAAGAAgAAAAhANvh9svuAAAAhQEAABMAAAAAAAAA&#10;AAAAAAAAAAAAAFtDb250ZW50X1R5cGVzXS54bWxQSwECLQAUAAYACAAAACEAWvQsW78AAAAVAQAA&#10;CwAAAAAAAAAAAAAAAAAfAQAAX3JlbHMvLnJlbHNQSwECLQAUAAYACAAAACEAKfWVAMYAAADeAAAA&#10;DwAAAAAAAAAAAAAAAAAHAgAAZHJzL2Rvd25yZXYueG1sUEsFBgAAAAADAAMAtwAAAPoCAAAAAA==&#10;" filled="f" stroked="f">
                  <v:textbox inset="0,0,0,0">
                    <w:txbxContent>
                      <w:p w14:paraId="29FAA933" w14:textId="77777777" w:rsidR="00B32EF2" w:rsidRDefault="00000000">
                        <w:r>
                          <w:rPr>
                            <w:rFonts w:ascii="Arial" w:eastAsia="Arial" w:hAnsi="Arial" w:cs="Arial"/>
                            <w:i/>
                            <w:sz w:val="18"/>
                          </w:rPr>
                          <w:t xml:space="preserve">società; per le cause tra condomini, ovvero tra condomini e condominio, il </w:t>
                        </w:r>
                      </w:p>
                    </w:txbxContent>
                  </v:textbox>
                </v:rect>
                <v:rect id="Rectangle 20197" o:spid="_x0000_s5023" style="position:absolute;left:-11863;top:27169;width:509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TCbxwAAAN4AAAAPAAAAZHJzL2Rvd25yZXYueG1sRI9Pi8Iw&#10;FMTvC36H8ARva6qHXa1GEUW2By/rH/D4aJ5ttXkJTbTVT79ZWNjjMDO/YebLztTiQY2vLCsYDRMQ&#10;xLnVFRcKjoft+wSED8gaa8uk4Ekelove2xxTbVv+psc+FCJC2KeooAzBpVL6vCSDfmgdcfQutjEY&#10;omwKqRtsI9zUcpwkH9JgxXGhREfrkvLb/m4UnDfssm0r88tr7XbXbFJ/3Y8npQb9bjUDEagL/+G/&#10;dqYVjJPR9BN+78QrIBc/AAAA//8DAFBLAQItABQABgAIAAAAIQDb4fbL7gAAAIUBAAATAAAAAAAA&#10;AAAAAAAAAAAAAABbQ29udGVudF9UeXBlc10ueG1sUEsBAi0AFAAGAAgAAAAhAFr0LFu/AAAAFQEA&#10;AAsAAAAAAAAAAAAAAAAAHwEAAF9yZWxzLy5yZWxzUEsBAi0AFAAGAAgAAAAhAEa5MJvHAAAA3gAA&#10;AA8AAAAAAAAAAAAAAAAABwIAAGRycy9kb3ducmV2LnhtbFBLBQYAAAAAAwADALcAAAD7AgAAAAA=&#10;" filled="f" stroked="f">
                  <v:textbox inset="0,0,0,0">
                    <w:txbxContent>
                      <w:p w14:paraId="17E2BE2D" w14:textId="77777777" w:rsidR="00B32EF2" w:rsidRDefault="00000000">
                        <w:r>
                          <w:rPr>
                            <w:rFonts w:ascii="Arial" w:eastAsia="Arial" w:hAnsi="Arial" w:cs="Arial"/>
                            <w:i/>
                            <w:sz w:val="18"/>
                          </w:rPr>
                          <w:t xml:space="preserve">giudice del luogo dove si trovano i beni comuni o la maggior parte   di essi. </w:t>
                        </w:r>
                      </w:p>
                    </w:txbxContent>
                  </v:textbox>
                </v:rect>
                <v:rect id="Rectangle 201554" o:spid="_x0000_s5024" style="position:absolute;left:26085;top:25935;width:500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7BUxwAAAN8AAAAPAAAAZHJzL2Rvd25yZXYueG1sRI9Ba8JA&#10;FITvgv9heUJvulFqkegqoog5eKla6PGRfSbR7Nslu5q0v94tFDwOM/MNs1h1phYPanxlWcF4lIAg&#10;zq2uuFBwPu2GMxA+IGusLZOCH/KwWvZ7C0y1bfmTHsdQiAhhn6KCMgSXSunzkgz6kXXE0bvYxmCI&#10;simkbrCNcFPLSZJ8SIMVx4USHW1Kym/Hu1HwvWWX7VqZX3437nDNZvX+fv5S6m3QrecgAnXhFf5v&#10;Z1rBJBlPp+/w9yd+Abl8AgAA//8DAFBLAQItABQABgAIAAAAIQDb4fbL7gAAAIUBAAATAAAAAAAA&#10;AAAAAAAAAAAAAABbQ29udGVudF9UeXBlc10ueG1sUEsBAi0AFAAGAAgAAAAhAFr0LFu/AAAAFQEA&#10;AAsAAAAAAAAAAAAAAAAAHwEAAF9yZWxzLy5yZWxzUEsBAi0AFAAGAAgAAAAhALZTsFTHAAAA3wAA&#10;AA8AAAAAAAAAAAAAAAAABwIAAGRycy9kb3ducmV2LnhtbFBLBQYAAAAAAwADALcAAAD7AgAAAAA=&#10;" filled="f" stroked="f">
                  <v:textbox inset="0,0,0,0">
                    <w:txbxContent>
                      <w:p w14:paraId="3FE7AD73" w14:textId="77777777" w:rsidR="00B32EF2" w:rsidRDefault="00000000">
                        <w:r>
                          <w:rPr>
                            <w:rFonts w:ascii="Arial" w:eastAsia="Arial" w:hAnsi="Arial" w:cs="Arial"/>
                            <w:i/>
                            <w:sz w:val="18"/>
                          </w:rPr>
                          <w:t>2</w:t>
                        </w:r>
                      </w:p>
                    </w:txbxContent>
                  </v:textbox>
                </v:rect>
                <v:rect id="Rectangle 201555" o:spid="_x0000_s5025" style="position:absolute;left:-11552;top:25935;width:500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xXPxwAAAN8AAAAPAAAAZHJzL2Rvd25yZXYueG1sRI9Ba8JA&#10;FITvgv9heUJvulFIkegqokhz8FKr4PGRfSbR7Nslu5rYX98tFHocZuYbZrnuTSOe1PrasoLpJAFB&#10;XFhdc6ng9LUfz0H4gKyxsUwKXuRhvRoOlphp2/EnPY+hFBHCPkMFVQguk9IXFRn0E+uIo3e1rcEQ&#10;ZVtK3WIX4aaRsyR5lwZrjgsVOtpWVNyPD6PgsmOX7ztZXL+37nDL583H43RW6m3UbxYgAvXhP/zX&#10;zrWCWTJN0xR+/8QvIFc/AAAA//8DAFBLAQItABQABgAIAAAAIQDb4fbL7gAAAIUBAAATAAAAAAAA&#10;AAAAAAAAAAAAAABbQ29udGVudF9UeXBlc10ueG1sUEsBAi0AFAAGAAgAAAAhAFr0LFu/AAAAFQEA&#10;AAsAAAAAAAAAAAAAAAAAHwEAAF9yZWxzLy5yZWxzUEsBAi0AFAAGAAgAAAAhANkfFc/HAAAA3wAA&#10;AA8AAAAAAAAAAAAAAAAABwIAAGRycy9kb3ducmV2LnhtbFBLBQYAAAAAAwADALcAAAD7AgAAAAA=&#10;" filled="f" stroked="f">
                  <v:textbox inset="0,0,0,0">
                    <w:txbxContent>
                      <w:p w14:paraId="37D2A96F" w14:textId="77777777" w:rsidR="00B32EF2" w:rsidRDefault="00000000">
                        <w:r>
                          <w:rPr>
                            <w:rFonts w:ascii="Arial" w:eastAsia="Arial" w:hAnsi="Arial" w:cs="Arial"/>
                            <w:i/>
                            <w:sz w:val="18"/>
                          </w:rPr>
                          <w:t>. Tale norma si applica anche dopo lo scioglimento della società o del con</w:t>
                        </w:r>
                      </w:p>
                    </w:txbxContent>
                  </v:textbox>
                </v:rect>
                <v:rect id="Rectangle 20199" o:spid="_x0000_s5026" style="position:absolute;left:979;top:2593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gFyxgAAAN4AAAAPAAAAZHJzL2Rvd25yZXYueG1sRI9Bi8Iw&#10;FITvC/6H8ARva6qHRatRRJHtYS+6Ch4fzbOtNi+hibburzeCsMdhZr5h5svO1OJOja8sKxgNExDE&#10;udUVFwoOv9vPCQgfkDXWlknBgzwsF72POabatryj+z4UIkLYp6igDMGlUvq8JIN+aB1x9M62MRii&#10;bAqpG2wj3NRynCRf0mDFcaFER+uS8uv+ZhScNuyybSvz89/a/VyySf19OxyVGvS71QxEoC78h9/t&#10;TCsYJ6PpFF534hWQiycAAAD//wMAUEsBAi0AFAAGAAgAAAAhANvh9svuAAAAhQEAABMAAAAAAAAA&#10;AAAAAAAAAAAAAFtDb250ZW50X1R5cGVzXS54bWxQSwECLQAUAAYACAAAACEAWvQsW78AAAAVAQAA&#10;CwAAAAAAAAAAAAAAAAAfAQAAX3JlbHMvLnJlbHNQSwECLQAUAAYACAAAACEAWGoBcsYAAADeAAAA&#10;DwAAAAAAAAAAAAAAAAAHAgAAZHJzL2Rvd25yZXYueG1sUEsFBgAAAAADAAMAtwAAAPoCAAAAAA==&#10;" filled="f" stroked="f">
                  <v:textbox inset="0,0,0,0">
                    <w:txbxContent>
                      <w:p w14:paraId="437486EF" w14:textId="77777777" w:rsidR="00B32EF2" w:rsidRDefault="00000000">
                        <w:r>
                          <w:rPr>
                            <w:rFonts w:ascii="Arial" w:eastAsia="Arial" w:hAnsi="Arial" w:cs="Arial"/>
                            <w:i/>
                            <w:sz w:val="18"/>
                          </w:rPr>
                          <w:t>-</w:t>
                        </w:r>
                      </w:p>
                    </w:txbxContent>
                  </v:textbox>
                </v:rect>
                <v:rect id="Rectangle 20200" o:spid="_x0000_s5027" style="position:absolute;left:-11028;top:24702;width:501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1wUxAAAAN4AAAAPAAAAZHJzL2Rvd25yZXYueG1sRI9Pi8Iw&#10;FMTvgt8hPGFvmuphkWoUUcQevKx/wOOjebbV5iU00VY//WZhweMwM79h5svO1OJJja8sKxiPEhDE&#10;udUVFwpOx+1wCsIHZI21ZVLwIg/LRb83x1Tbln/oeQiFiBD2KSooQ3CplD4vyaAfWUccvattDIYo&#10;m0LqBtsIN7WcJMm3NFhxXCjR0bqk/H54GAWXDbts28r8+l67/S2b1rvH6azU16BbzUAE6sIn/N/O&#10;tIJJEpnwdydeAbn4BQAA//8DAFBLAQItABQABgAIAAAAIQDb4fbL7gAAAIUBAAATAAAAAAAAAAAA&#10;AAAAAAAAAABbQ29udGVudF9UeXBlc10ueG1sUEsBAi0AFAAGAAgAAAAhAFr0LFu/AAAAFQEAAAsA&#10;AAAAAAAAAAAAAAAAHwEAAF9yZWxzLy5yZWxzUEsBAi0AFAAGAAgAAAAhAPp/XBTEAAAA3gAAAA8A&#10;AAAAAAAAAAAAAAAABwIAAGRycy9kb3ducmV2LnhtbFBLBQYAAAAAAwADALcAAAD4AgAAAAA=&#10;" filled="f" stroked="f">
                  <v:textbox inset="0,0,0,0">
                    <w:txbxContent>
                      <w:p w14:paraId="2E9D6ADC" w14:textId="77777777" w:rsidR="00B32EF2" w:rsidRDefault="00000000">
                        <w:r>
                          <w:rPr>
                            <w:rFonts w:ascii="Arial" w:eastAsia="Arial" w:hAnsi="Arial" w:cs="Arial"/>
                            <w:i/>
                            <w:sz w:val="18"/>
                          </w:rPr>
                          <w:t>dominio, purché la domanda sia proposta entro un biennio dalla divisione.</w:t>
                        </w:r>
                      </w:p>
                    </w:txbxContent>
                  </v:textbox>
                </v:rect>
                <v:shape id="Shape 20201" o:spid="_x0000_s5028" style="position:absolute;left:321;top:23646;width:39600;height:30401;visibility:visible;mso-wrap-style:square;v-text-anchor:top" coordsize="3960000,304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YS8xwAAAN4AAAAPAAAAZHJzL2Rvd25yZXYueG1sRI/NasMw&#10;EITvhb6D2EJujRQfgnGjhNI/ckhTYvfS22JtLTfWyliq4759FAj0OMzMN8xqM7lOjDSE1rOGxVyB&#10;IK69abnR8Fm93ucgQkQ22HkmDX8UYLO+vVlhYfyJDzSWsREJwqFADTbGvpAy1JYchrnviZP37QeH&#10;McmhkWbAU4K7TmZKLaXDltOCxZ6eLNXH8tdp+Hrml+bj/a3alccxLzP7Y/N9pfXsbnp8ABFpiv/h&#10;a3trNGQqUwu43ElXQK7PAAAA//8DAFBLAQItABQABgAIAAAAIQDb4fbL7gAAAIUBAAATAAAAAAAA&#10;AAAAAAAAAAAAAABbQ29udGVudF9UeXBlc10ueG1sUEsBAi0AFAAGAAgAAAAhAFr0LFu/AAAAFQEA&#10;AAsAAAAAAAAAAAAAAAAAHwEAAF9yZWxzLy5yZWxzUEsBAi0AFAAGAAgAAAAhAMWJhLzHAAAA3gAA&#10;AA8AAAAAAAAAAAAAAAAABwIAAGRycy9kb3ducmV2LnhtbFBLBQYAAAAAAwADALcAAAD7AgAAAAA=&#10;" path="m,3040101r3960000,l3960000,,,,,3040101xe" filled="f" strokeweight="1pt">
                  <v:stroke miterlimit="1" joinstyle="miter"/>
                  <v:path arrowok="t" textboxrect="0,0,3960000,3040101"/>
                </v:shape>
                <w10:anchorlock/>
              </v:group>
            </w:pict>
          </mc:Fallback>
        </mc:AlternateContent>
      </w:r>
    </w:p>
    <w:p w14:paraId="1E2AA905" w14:textId="77777777" w:rsidR="00B32EF2" w:rsidRDefault="00000000">
      <w:pPr>
        <w:spacing w:after="0"/>
        <w:ind w:left="-306" w:right="-306"/>
      </w:pPr>
      <w:r>
        <w:rPr>
          <w:noProof/>
        </w:rPr>
        <w:lastRenderedPageBreak/>
        <mc:AlternateContent>
          <mc:Choice Requires="wpg">
            <w:drawing>
              <wp:inline distT="0" distB="0" distL="0" distR="0" wp14:anchorId="436DB13C" wp14:editId="62352F20">
                <wp:extent cx="3960001" cy="6274493"/>
                <wp:effectExtent l="0" t="0" r="0" b="0"/>
                <wp:docPr id="201802" name="Group 201802"/>
                <wp:cNvGraphicFramePr/>
                <a:graphic xmlns:a="http://schemas.openxmlformats.org/drawingml/2006/main">
                  <a:graphicData uri="http://schemas.microsoft.com/office/word/2010/wordprocessingGroup">
                    <wpg:wgp>
                      <wpg:cNvGrpSpPr/>
                      <wpg:grpSpPr>
                        <a:xfrm>
                          <a:off x="0" y="0"/>
                          <a:ext cx="3960001" cy="6274493"/>
                          <a:chOff x="0" y="0"/>
                          <a:chExt cx="3960001" cy="6274493"/>
                        </a:xfrm>
                      </wpg:grpSpPr>
                      <wps:wsp>
                        <wps:cNvPr id="20232" name="Rectangle 20232"/>
                        <wps:cNvSpPr/>
                        <wps:spPr>
                          <a:xfrm rot="-10799999">
                            <a:off x="1868687" y="-62190"/>
                            <a:ext cx="178369" cy="250646"/>
                          </a:xfrm>
                          <a:prstGeom prst="rect">
                            <a:avLst/>
                          </a:prstGeom>
                          <a:ln>
                            <a:noFill/>
                          </a:ln>
                        </wps:spPr>
                        <wps:txbx>
                          <w:txbxContent>
                            <w:p w14:paraId="2C424D73" w14:textId="77777777" w:rsidR="00B32EF2" w:rsidRDefault="00000000">
                              <w:r>
                                <w:rPr>
                                  <w:rFonts w:ascii="Times New Roman" w:eastAsia="Times New Roman" w:hAnsi="Times New Roman" w:cs="Times New Roman"/>
                                </w:rPr>
                                <w:t>45</w:t>
                              </w:r>
                            </w:p>
                          </w:txbxContent>
                        </wps:txbx>
                        <wps:bodyPr horzOverflow="overflow" vert="horz" lIns="0" tIns="0" rIns="0" bIns="0" rtlCol="0">
                          <a:noAutofit/>
                        </wps:bodyPr>
                      </wps:wsp>
                      <wps:wsp>
                        <wps:cNvPr id="208042" name="Shape 208042"/>
                        <wps:cNvSpPr/>
                        <wps:spPr>
                          <a:xfrm>
                            <a:off x="1" y="473194"/>
                            <a:ext cx="3960000" cy="5801297"/>
                          </a:xfrm>
                          <a:custGeom>
                            <a:avLst/>
                            <a:gdLst/>
                            <a:ahLst/>
                            <a:cxnLst/>
                            <a:rect l="0" t="0" r="0" b="0"/>
                            <a:pathLst>
                              <a:path w="3960000" h="5801297">
                                <a:moveTo>
                                  <a:pt x="0" y="0"/>
                                </a:moveTo>
                                <a:lnTo>
                                  <a:pt x="3960000" y="0"/>
                                </a:lnTo>
                                <a:lnTo>
                                  <a:pt x="3960000" y="5801297"/>
                                </a:lnTo>
                                <a:lnTo>
                                  <a:pt x="0" y="5801297"/>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20234" name="Rectangle 20234"/>
                        <wps:cNvSpPr/>
                        <wps:spPr>
                          <a:xfrm rot="-10799999">
                            <a:off x="-1218982" y="6053264"/>
                            <a:ext cx="5100634" cy="142891"/>
                          </a:xfrm>
                          <a:prstGeom prst="rect">
                            <a:avLst/>
                          </a:prstGeom>
                          <a:ln>
                            <a:noFill/>
                          </a:ln>
                        </wps:spPr>
                        <wps:txbx>
                          <w:txbxContent>
                            <w:p w14:paraId="0D718A9D" w14:textId="77777777" w:rsidR="00B32EF2" w:rsidRDefault="00000000">
                              <w:r>
                                <w:rPr>
                                  <w:rFonts w:ascii="Arial" w:eastAsia="Arial" w:hAnsi="Arial" w:cs="Arial"/>
                                  <w:i/>
                                  <w:sz w:val="18"/>
                                </w:rPr>
                                <w:t xml:space="preserve">istruzioni per la sua compilazione, da notificare unitamente al modello. Il </w:t>
                              </w:r>
                            </w:p>
                          </w:txbxContent>
                        </wps:txbx>
                        <wps:bodyPr horzOverflow="overflow" vert="horz" lIns="0" tIns="0" rIns="0" bIns="0" rtlCol="0">
                          <a:noAutofit/>
                        </wps:bodyPr>
                      </wps:wsp>
                      <wps:wsp>
                        <wps:cNvPr id="20235" name="Rectangle 20235"/>
                        <wps:cNvSpPr/>
                        <wps:spPr>
                          <a:xfrm rot="-10799999">
                            <a:off x="-1219027" y="5929936"/>
                            <a:ext cx="5100678" cy="142889"/>
                          </a:xfrm>
                          <a:prstGeom prst="rect">
                            <a:avLst/>
                          </a:prstGeom>
                          <a:ln>
                            <a:noFill/>
                          </a:ln>
                        </wps:spPr>
                        <wps:txbx>
                          <w:txbxContent>
                            <w:p w14:paraId="319340BE" w14:textId="77777777" w:rsidR="00B32EF2" w:rsidRDefault="00000000">
                              <w:r>
                                <w:rPr>
                                  <w:rFonts w:ascii="Arial" w:eastAsia="Arial" w:hAnsi="Arial" w:cs="Arial"/>
                                  <w:i/>
                                  <w:sz w:val="18"/>
                                </w:rPr>
                                <w:t xml:space="preserve">modello, sottoscritto in ogni suo foglio o firmato digitalmente dalla parte </w:t>
                              </w:r>
                            </w:p>
                          </w:txbxContent>
                        </wps:txbx>
                        <wps:bodyPr horzOverflow="overflow" vert="horz" lIns="0" tIns="0" rIns="0" bIns="0" rtlCol="0">
                          <a:noAutofit/>
                        </wps:bodyPr>
                      </wps:wsp>
                      <wps:wsp>
                        <wps:cNvPr id="20236" name="Rectangle 20236"/>
                        <wps:cNvSpPr/>
                        <wps:spPr>
                          <a:xfrm rot="-10799999">
                            <a:off x="-1220281" y="5806606"/>
                            <a:ext cx="5104905" cy="142889"/>
                          </a:xfrm>
                          <a:prstGeom prst="rect">
                            <a:avLst/>
                          </a:prstGeom>
                          <a:ln>
                            <a:noFill/>
                          </a:ln>
                        </wps:spPr>
                        <wps:txbx>
                          <w:txbxContent>
                            <w:p w14:paraId="7C235202" w14:textId="77777777" w:rsidR="00B32EF2" w:rsidRDefault="00000000">
                              <w:r>
                                <w:rPr>
                                  <w:rFonts w:ascii="Arial" w:eastAsia="Arial" w:hAnsi="Arial" w:cs="Arial"/>
                                  <w:i/>
                                  <w:sz w:val="18"/>
                                </w:rPr>
                                <w:t xml:space="preserve">che ne ha curato la compilazione, deve contenere, oltre all’indicazione del </w:t>
                              </w:r>
                            </w:p>
                          </w:txbxContent>
                        </wps:txbx>
                        <wps:bodyPr horzOverflow="overflow" vert="horz" lIns="0" tIns="0" rIns="0" bIns="0" rtlCol="0">
                          <a:noAutofit/>
                        </wps:bodyPr>
                      </wps:wsp>
                      <wps:wsp>
                        <wps:cNvPr id="20237" name="Rectangle 20237"/>
                        <wps:cNvSpPr/>
                        <wps:spPr>
                          <a:xfrm rot="-10799999">
                            <a:off x="-1121112" y="5683277"/>
                            <a:ext cx="5002763" cy="142889"/>
                          </a:xfrm>
                          <a:prstGeom prst="rect">
                            <a:avLst/>
                          </a:prstGeom>
                          <a:ln>
                            <a:noFill/>
                          </a:ln>
                        </wps:spPr>
                        <wps:txbx>
                          <w:txbxContent>
                            <w:p w14:paraId="21647C47" w14:textId="77777777" w:rsidR="00B32EF2" w:rsidRDefault="00000000">
                              <w:r>
                                <w:rPr>
                                  <w:rFonts w:ascii="Arial" w:eastAsia="Arial" w:hAnsi="Arial" w:cs="Arial"/>
                                  <w:i/>
                                  <w:sz w:val="18"/>
                                </w:rPr>
                                <w:t>procedimento e dell’ordinanza di ammissione da parte del giudice proce</w:t>
                              </w:r>
                            </w:p>
                          </w:txbxContent>
                        </wps:txbx>
                        <wps:bodyPr horzOverflow="overflow" vert="horz" lIns="0" tIns="0" rIns="0" bIns="0" rtlCol="0">
                          <a:noAutofit/>
                        </wps:bodyPr>
                      </wps:wsp>
                      <wps:wsp>
                        <wps:cNvPr id="20238" name="Rectangle 20238"/>
                        <wps:cNvSpPr/>
                        <wps:spPr>
                          <a:xfrm rot="-10799999">
                            <a:off x="65757" y="5683276"/>
                            <a:ext cx="50622" cy="142889"/>
                          </a:xfrm>
                          <a:prstGeom prst="rect">
                            <a:avLst/>
                          </a:prstGeom>
                          <a:ln>
                            <a:noFill/>
                          </a:ln>
                        </wps:spPr>
                        <wps:txbx>
                          <w:txbxContent>
                            <w:p w14:paraId="5A0BE4C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39" name="Rectangle 20239"/>
                        <wps:cNvSpPr/>
                        <wps:spPr>
                          <a:xfrm rot="-10799999">
                            <a:off x="-1120914" y="5559947"/>
                            <a:ext cx="5002566" cy="142889"/>
                          </a:xfrm>
                          <a:prstGeom prst="rect">
                            <a:avLst/>
                          </a:prstGeom>
                          <a:ln>
                            <a:noFill/>
                          </a:ln>
                        </wps:spPr>
                        <wps:txbx>
                          <w:txbxContent>
                            <w:p w14:paraId="548AF069" w14:textId="77777777" w:rsidR="00B32EF2" w:rsidRDefault="00000000">
                              <w:r>
                                <w:rPr>
                                  <w:rFonts w:ascii="Arial" w:eastAsia="Arial" w:hAnsi="Arial" w:cs="Arial"/>
                                  <w:i/>
                                  <w:sz w:val="18"/>
                                </w:rPr>
                                <w:t>dente, idonei spazi per l’inserimento delle complete generalità del testimo</w:t>
                              </w:r>
                            </w:p>
                          </w:txbxContent>
                        </wps:txbx>
                        <wps:bodyPr horzOverflow="overflow" vert="horz" lIns="0" tIns="0" rIns="0" bIns="0" rtlCol="0">
                          <a:noAutofit/>
                        </wps:bodyPr>
                      </wps:wsp>
                      <wps:wsp>
                        <wps:cNvPr id="20240" name="Rectangle 20240"/>
                        <wps:cNvSpPr/>
                        <wps:spPr>
                          <a:xfrm rot="-10799999">
                            <a:off x="65757" y="5559947"/>
                            <a:ext cx="50622" cy="142889"/>
                          </a:xfrm>
                          <a:prstGeom prst="rect">
                            <a:avLst/>
                          </a:prstGeom>
                          <a:ln>
                            <a:noFill/>
                          </a:ln>
                        </wps:spPr>
                        <wps:txbx>
                          <w:txbxContent>
                            <w:p w14:paraId="35ABB53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41" name="Rectangle 20241"/>
                        <wps:cNvSpPr/>
                        <wps:spPr>
                          <a:xfrm rot="-10799999">
                            <a:off x="-1219918" y="5436617"/>
                            <a:ext cx="5103856" cy="142889"/>
                          </a:xfrm>
                          <a:prstGeom prst="rect">
                            <a:avLst/>
                          </a:prstGeom>
                          <a:ln>
                            <a:noFill/>
                          </a:ln>
                        </wps:spPr>
                        <wps:txbx>
                          <w:txbxContent>
                            <w:p w14:paraId="0F0C61BF" w14:textId="77777777" w:rsidR="00B32EF2" w:rsidRDefault="00000000">
                              <w:r>
                                <w:rPr>
                                  <w:rFonts w:ascii="Arial" w:eastAsia="Arial" w:hAnsi="Arial" w:cs="Arial"/>
                                  <w:i/>
                                  <w:sz w:val="18"/>
                                </w:rPr>
                                <w:t xml:space="preserve">ne, dell’indicazione della sua residenza, del suo domicilio e, ove possibile, </w:t>
                              </w:r>
                            </w:p>
                          </w:txbxContent>
                        </wps:txbx>
                        <wps:bodyPr horzOverflow="overflow" vert="horz" lIns="0" tIns="0" rIns="0" bIns="0" rtlCol="0">
                          <a:noAutofit/>
                        </wps:bodyPr>
                      </wps:wsp>
                      <wps:wsp>
                        <wps:cNvPr id="20242" name="Rectangle 20242"/>
                        <wps:cNvSpPr/>
                        <wps:spPr>
                          <a:xfrm rot="-10799999">
                            <a:off x="-1224164" y="5313288"/>
                            <a:ext cx="5121475" cy="142889"/>
                          </a:xfrm>
                          <a:prstGeom prst="rect">
                            <a:avLst/>
                          </a:prstGeom>
                          <a:ln>
                            <a:noFill/>
                          </a:ln>
                        </wps:spPr>
                        <wps:txbx>
                          <w:txbxContent>
                            <w:p w14:paraId="6F139E8F" w14:textId="77777777" w:rsidR="00B32EF2" w:rsidRDefault="00000000">
                              <w:r>
                                <w:rPr>
                                  <w:rFonts w:ascii="Arial" w:eastAsia="Arial" w:hAnsi="Arial" w:cs="Arial"/>
                                  <w:i/>
                                  <w:sz w:val="18"/>
                                </w:rPr>
                                <w:t xml:space="preserve">di un suo recapito telefonico. Deve altresì contenere l’ammonimento del </w:t>
                              </w:r>
                            </w:p>
                          </w:txbxContent>
                        </wps:txbx>
                        <wps:bodyPr horzOverflow="overflow" vert="horz" lIns="0" tIns="0" rIns="0" bIns="0" rtlCol="0">
                          <a:noAutofit/>
                        </wps:bodyPr>
                      </wps:wsp>
                      <wps:wsp>
                        <wps:cNvPr id="20243" name="Rectangle 20243"/>
                        <wps:cNvSpPr/>
                        <wps:spPr>
                          <a:xfrm rot="-10799999">
                            <a:off x="-1220428" y="5189958"/>
                            <a:ext cx="5107337" cy="142889"/>
                          </a:xfrm>
                          <a:prstGeom prst="rect">
                            <a:avLst/>
                          </a:prstGeom>
                          <a:ln>
                            <a:noFill/>
                          </a:ln>
                        </wps:spPr>
                        <wps:txbx>
                          <w:txbxContent>
                            <w:p w14:paraId="232459E3" w14:textId="77777777" w:rsidR="00B32EF2" w:rsidRDefault="00000000">
                              <w:r>
                                <w:rPr>
                                  <w:rFonts w:ascii="Arial" w:eastAsia="Arial" w:hAnsi="Arial" w:cs="Arial"/>
                                  <w:i/>
                                  <w:sz w:val="18"/>
                                </w:rPr>
                                <w:t xml:space="preserve">testimone ai sensi dell’articolo 251 del codice e la formula del giuramento </w:t>
                              </w:r>
                            </w:p>
                          </w:txbxContent>
                        </wps:txbx>
                        <wps:bodyPr horzOverflow="overflow" vert="horz" lIns="0" tIns="0" rIns="0" bIns="0" rtlCol="0">
                          <a:noAutofit/>
                        </wps:bodyPr>
                      </wps:wsp>
                      <wps:wsp>
                        <wps:cNvPr id="20244" name="Rectangle 20244"/>
                        <wps:cNvSpPr/>
                        <wps:spPr>
                          <a:xfrm rot="-10799999">
                            <a:off x="-1218322" y="5066628"/>
                            <a:ext cx="5096316" cy="142889"/>
                          </a:xfrm>
                          <a:prstGeom prst="rect">
                            <a:avLst/>
                          </a:prstGeom>
                          <a:ln>
                            <a:noFill/>
                          </a:ln>
                        </wps:spPr>
                        <wps:txbx>
                          <w:txbxContent>
                            <w:p w14:paraId="428EBD50" w14:textId="77777777" w:rsidR="00B32EF2" w:rsidRDefault="00000000">
                              <w:r>
                                <w:rPr>
                                  <w:rFonts w:ascii="Arial" w:eastAsia="Arial" w:hAnsi="Arial" w:cs="Arial"/>
                                  <w:i/>
                                  <w:sz w:val="18"/>
                                </w:rPr>
                                <w:t xml:space="preserve">di cui al medesimo articolo, oltre all’avviso in ordine alla facoltà di astenersi </w:t>
                              </w:r>
                            </w:p>
                          </w:txbxContent>
                        </wps:txbx>
                        <wps:bodyPr horzOverflow="overflow" vert="horz" lIns="0" tIns="0" rIns="0" bIns="0" rtlCol="0">
                          <a:noAutofit/>
                        </wps:bodyPr>
                      </wps:wsp>
                      <wps:wsp>
                        <wps:cNvPr id="20245" name="Rectangle 20245"/>
                        <wps:cNvSpPr/>
                        <wps:spPr>
                          <a:xfrm rot="-10799999">
                            <a:off x="-1218241" y="4943299"/>
                            <a:ext cx="5098064" cy="142889"/>
                          </a:xfrm>
                          <a:prstGeom prst="rect">
                            <a:avLst/>
                          </a:prstGeom>
                          <a:ln>
                            <a:noFill/>
                          </a:ln>
                        </wps:spPr>
                        <wps:txbx>
                          <w:txbxContent>
                            <w:p w14:paraId="48BCFC4A" w14:textId="77777777" w:rsidR="00B32EF2" w:rsidRDefault="00000000">
                              <w:r>
                                <w:rPr>
                                  <w:rFonts w:ascii="Arial" w:eastAsia="Arial" w:hAnsi="Arial" w:cs="Arial"/>
                                  <w:i/>
                                  <w:sz w:val="18"/>
                                </w:rPr>
                                <w:t xml:space="preserve">ai sensi degli articoli 200, 201 e 202 del codice di procedura penale, con lo </w:t>
                              </w:r>
                            </w:p>
                          </w:txbxContent>
                        </wps:txbx>
                        <wps:bodyPr horzOverflow="overflow" vert="horz" lIns="0" tIns="0" rIns="0" bIns="0" rtlCol="0">
                          <a:noAutofit/>
                        </wps:bodyPr>
                      </wps:wsp>
                      <wps:wsp>
                        <wps:cNvPr id="20246" name="Rectangle 20246"/>
                        <wps:cNvSpPr/>
                        <wps:spPr>
                          <a:xfrm rot="-10799999">
                            <a:off x="-1219916" y="4819969"/>
                            <a:ext cx="5104540" cy="142889"/>
                          </a:xfrm>
                          <a:prstGeom prst="rect">
                            <a:avLst/>
                          </a:prstGeom>
                          <a:ln>
                            <a:noFill/>
                          </a:ln>
                        </wps:spPr>
                        <wps:txbx>
                          <w:txbxContent>
                            <w:p w14:paraId="272D93C7" w14:textId="77777777" w:rsidR="00B32EF2" w:rsidRDefault="00000000">
                              <w:r>
                                <w:rPr>
                                  <w:rFonts w:ascii="Arial" w:eastAsia="Arial" w:hAnsi="Arial" w:cs="Arial"/>
                                  <w:i/>
                                  <w:sz w:val="18"/>
                                </w:rPr>
                                <w:t xml:space="preserve">spazio per la sottoscrizione obbligatoria del testimone, nonché le richieste </w:t>
                              </w:r>
                            </w:p>
                          </w:txbxContent>
                        </wps:txbx>
                        <wps:bodyPr horzOverflow="overflow" vert="horz" lIns="0" tIns="0" rIns="0" bIns="0" rtlCol="0">
                          <a:noAutofit/>
                        </wps:bodyPr>
                      </wps:wsp>
                      <wps:wsp>
                        <wps:cNvPr id="20247" name="Rectangle 20247"/>
                        <wps:cNvSpPr/>
                        <wps:spPr>
                          <a:xfrm rot="-10799999">
                            <a:off x="-1219423" y="4696639"/>
                            <a:ext cx="5103704" cy="142889"/>
                          </a:xfrm>
                          <a:prstGeom prst="rect">
                            <a:avLst/>
                          </a:prstGeom>
                          <a:ln>
                            <a:noFill/>
                          </a:ln>
                        </wps:spPr>
                        <wps:txbx>
                          <w:txbxContent>
                            <w:p w14:paraId="6105B814" w14:textId="77777777" w:rsidR="00B32EF2" w:rsidRDefault="00000000">
                              <w:r>
                                <w:rPr>
                                  <w:rFonts w:ascii="Arial" w:eastAsia="Arial" w:hAnsi="Arial" w:cs="Arial"/>
                                  <w:i/>
                                  <w:sz w:val="18"/>
                                </w:rPr>
                                <w:t xml:space="preserve">di cui all’articolo 252, primo comma, del codice, ivi compresa l’indicazione </w:t>
                              </w:r>
                            </w:p>
                          </w:txbxContent>
                        </wps:txbx>
                        <wps:bodyPr horzOverflow="overflow" vert="horz" lIns="0" tIns="0" rIns="0" bIns="0" rtlCol="0">
                          <a:noAutofit/>
                        </wps:bodyPr>
                      </wps:wsp>
                      <wps:wsp>
                        <wps:cNvPr id="20248" name="Rectangle 20248"/>
                        <wps:cNvSpPr/>
                        <wps:spPr>
                          <a:xfrm rot="-10799999">
                            <a:off x="-1122221" y="4573309"/>
                            <a:ext cx="5003873" cy="142889"/>
                          </a:xfrm>
                          <a:prstGeom prst="rect">
                            <a:avLst/>
                          </a:prstGeom>
                          <a:ln>
                            <a:noFill/>
                          </a:ln>
                        </wps:spPr>
                        <wps:txbx>
                          <w:txbxContent>
                            <w:p w14:paraId="7AD68E07" w14:textId="77777777" w:rsidR="00B32EF2" w:rsidRDefault="00000000">
                              <w:r>
                                <w:rPr>
                                  <w:rFonts w:ascii="Arial" w:eastAsia="Arial" w:hAnsi="Arial" w:cs="Arial"/>
                                  <w:i/>
                                  <w:sz w:val="18"/>
                                </w:rPr>
                                <w:t>di eventuali rapporti personali con le parti, e la trascrizione dei quesiti am</w:t>
                              </w:r>
                            </w:p>
                          </w:txbxContent>
                        </wps:txbx>
                        <wps:bodyPr horzOverflow="overflow" vert="horz" lIns="0" tIns="0" rIns="0" bIns="0" rtlCol="0">
                          <a:noAutofit/>
                        </wps:bodyPr>
                      </wps:wsp>
                      <wps:wsp>
                        <wps:cNvPr id="20249" name="Rectangle 20249"/>
                        <wps:cNvSpPr/>
                        <wps:spPr>
                          <a:xfrm rot="-10799999">
                            <a:off x="65757" y="4573309"/>
                            <a:ext cx="50622" cy="142889"/>
                          </a:xfrm>
                          <a:prstGeom prst="rect">
                            <a:avLst/>
                          </a:prstGeom>
                          <a:ln>
                            <a:noFill/>
                          </a:ln>
                        </wps:spPr>
                        <wps:txbx>
                          <w:txbxContent>
                            <w:p w14:paraId="4CA2B5D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50" name="Rectangle 20250"/>
                        <wps:cNvSpPr/>
                        <wps:spPr>
                          <a:xfrm rot="-10799999">
                            <a:off x="-1219057" y="4449980"/>
                            <a:ext cx="5100709" cy="142889"/>
                          </a:xfrm>
                          <a:prstGeom prst="rect">
                            <a:avLst/>
                          </a:prstGeom>
                          <a:ln>
                            <a:noFill/>
                          </a:ln>
                        </wps:spPr>
                        <wps:txbx>
                          <w:txbxContent>
                            <w:p w14:paraId="5708A84F" w14:textId="77777777" w:rsidR="00B32EF2" w:rsidRDefault="00000000">
                              <w:r>
                                <w:rPr>
                                  <w:rFonts w:ascii="Arial" w:eastAsia="Arial" w:hAnsi="Arial" w:cs="Arial"/>
                                  <w:i/>
                                  <w:sz w:val="18"/>
                                </w:rPr>
                                <w:t xml:space="preserve">messi, con l’avvertenza che il testimone deve rendere risposte specifiche </w:t>
                              </w:r>
                            </w:p>
                          </w:txbxContent>
                        </wps:txbx>
                        <wps:bodyPr horzOverflow="overflow" vert="horz" lIns="0" tIns="0" rIns="0" bIns="0" rtlCol="0">
                          <a:noAutofit/>
                        </wps:bodyPr>
                      </wps:wsp>
                      <wps:wsp>
                        <wps:cNvPr id="20251" name="Rectangle 20251"/>
                        <wps:cNvSpPr/>
                        <wps:spPr>
                          <a:xfrm rot="-10799999">
                            <a:off x="-1120609" y="4326650"/>
                            <a:ext cx="5002261" cy="142889"/>
                          </a:xfrm>
                          <a:prstGeom prst="rect">
                            <a:avLst/>
                          </a:prstGeom>
                          <a:ln>
                            <a:noFill/>
                          </a:ln>
                        </wps:spPr>
                        <wps:txbx>
                          <w:txbxContent>
                            <w:p w14:paraId="2EAE7C13" w14:textId="77777777" w:rsidR="00B32EF2" w:rsidRDefault="00000000">
                              <w:r>
                                <w:rPr>
                                  <w:rFonts w:ascii="Arial" w:eastAsia="Arial" w:hAnsi="Arial" w:cs="Arial"/>
                                  <w:i/>
                                  <w:sz w:val="18"/>
                                </w:rPr>
                                <w:t>e pertinenti a ciascuna domanda e deve altresì precisare se ha avuto co</w:t>
                              </w:r>
                            </w:p>
                          </w:txbxContent>
                        </wps:txbx>
                        <wps:bodyPr horzOverflow="overflow" vert="horz" lIns="0" tIns="0" rIns="0" bIns="0" rtlCol="0">
                          <a:noAutofit/>
                        </wps:bodyPr>
                      </wps:wsp>
                      <wps:wsp>
                        <wps:cNvPr id="20252" name="Rectangle 20252"/>
                        <wps:cNvSpPr/>
                        <wps:spPr>
                          <a:xfrm rot="-10799999">
                            <a:off x="65757" y="4326650"/>
                            <a:ext cx="50622" cy="142889"/>
                          </a:xfrm>
                          <a:prstGeom prst="rect">
                            <a:avLst/>
                          </a:prstGeom>
                          <a:ln>
                            <a:noFill/>
                          </a:ln>
                        </wps:spPr>
                        <wps:txbx>
                          <w:txbxContent>
                            <w:p w14:paraId="3E25669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53" name="Rectangle 20253"/>
                        <wps:cNvSpPr/>
                        <wps:spPr>
                          <a:xfrm rot="-10799999">
                            <a:off x="-1096043" y="4203320"/>
                            <a:ext cx="4977695" cy="142889"/>
                          </a:xfrm>
                          <a:prstGeom prst="rect">
                            <a:avLst/>
                          </a:prstGeom>
                          <a:ln>
                            <a:noFill/>
                          </a:ln>
                        </wps:spPr>
                        <wps:txbx>
                          <w:txbxContent>
                            <w:p w14:paraId="56494106" w14:textId="77777777" w:rsidR="00B32EF2" w:rsidRDefault="00000000">
                              <w:r>
                                <w:rPr>
                                  <w:rFonts w:ascii="Arial" w:eastAsia="Arial" w:hAnsi="Arial" w:cs="Arial"/>
                                  <w:i/>
                                  <w:sz w:val="18"/>
                                </w:rPr>
                                <w:t xml:space="preserve">noscenza dei fatti oggetto della testimonianza in modo diretto o indiretto. </w:t>
                              </w:r>
                            </w:p>
                          </w:txbxContent>
                        </wps:txbx>
                        <wps:bodyPr horzOverflow="overflow" vert="horz" lIns="0" tIns="0" rIns="0" bIns="0" rtlCol="0">
                          <a:noAutofit/>
                        </wps:bodyPr>
                      </wps:wsp>
                      <wps:wsp>
                        <wps:cNvPr id="201688" name="Rectangle 201688"/>
                        <wps:cNvSpPr/>
                        <wps:spPr>
                          <a:xfrm rot="-10799999">
                            <a:off x="2550508" y="4079991"/>
                            <a:ext cx="5108781" cy="142889"/>
                          </a:xfrm>
                          <a:prstGeom prst="rect">
                            <a:avLst/>
                          </a:prstGeom>
                          <a:ln>
                            <a:noFill/>
                          </a:ln>
                        </wps:spPr>
                        <wps:txbx>
                          <w:txbxContent>
                            <w:p w14:paraId="4F1882F3"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690" name="Rectangle 201690"/>
                        <wps:cNvSpPr/>
                        <wps:spPr>
                          <a:xfrm rot="-10799999">
                            <a:off x="-1285342" y="4079991"/>
                            <a:ext cx="5108781" cy="142889"/>
                          </a:xfrm>
                          <a:prstGeom prst="rect">
                            <a:avLst/>
                          </a:prstGeom>
                          <a:ln>
                            <a:noFill/>
                          </a:ln>
                        </wps:spPr>
                        <wps:txbx>
                          <w:txbxContent>
                            <w:p w14:paraId="7ECAF999" w14:textId="77777777" w:rsidR="00B32EF2" w:rsidRDefault="00000000">
                              <w:r>
                                <w:rPr>
                                  <w:rFonts w:ascii="Arial" w:eastAsia="Arial" w:hAnsi="Arial" w:cs="Arial"/>
                                  <w:i/>
                                  <w:sz w:val="18"/>
                                </w:rPr>
                                <w:t xml:space="preserve">. Quando il modulo è compilato su supporto cartaceo, al termine di ogni </w:t>
                              </w:r>
                            </w:p>
                          </w:txbxContent>
                        </wps:txbx>
                        <wps:bodyPr horzOverflow="overflow" vert="horz" lIns="0" tIns="0" rIns="0" bIns="0" rtlCol="0">
                          <a:noAutofit/>
                        </wps:bodyPr>
                      </wps:wsp>
                      <wps:wsp>
                        <wps:cNvPr id="20255" name="Rectangle 20255"/>
                        <wps:cNvSpPr/>
                        <wps:spPr>
                          <a:xfrm rot="-10799999">
                            <a:off x="-1218169" y="3956661"/>
                            <a:ext cx="5096164" cy="142889"/>
                          </a:xfrm>
                          <a:prstGeom prst="rect">
                            <a:avLst/>
                          </a:prstGeom>
                          <a:ln>
                            <a:noFill/>
                          </a:ln>
                        </wps:spPr>
                        <wps:txbx>
                          <w:txbxContent>
                            <w:p w14:paraId="7A310F6B" w14:textId="77777777" w:rsidR="00B32EF2" w:rsidRDefault="00000000">
                              <w:r>
                                <w:rPr>
                                  <w:rFonts w:ascii="Arial" w:eastAsia="Arial" w:hAnsi="Arial" w:cs="Arial"/>
                                  <w:i/>
                                  <w:sz w:val="18"/>
                                </w:rPr>
                                <w:t xml:space="preserve">risposta è apposta, di seguito e senza lasciare spazi vuoti, la sottoscrizione </w:t>
                              </w:r>
                            </w:p>
                          </w:txbxContent>
                        </wps:txbx>
                        <wps:bodyPr horzOverflow="overflow" vert="horz" lIns="0" tIns="0" rIns="0" bIns="0" rtlCol="0">
                          <a:noAutofit/>
                        </wps:bodyPr>
                      </wps:wsp>
                      <wps:wsp>
                        <wps:cNvPr id="20256" name="Rectangle 20256"/>
                        <wps:cNvSpPr/>
                        <wps:spPr>
                          <a:xfrm rot="-10799999">
                            <a:off x="2275327" y="3833331"/>
                            <a:ext cx="1606324" cy="142889"/>
                          </a:xfrm>
                          <a:prstGeom prst="rect">
                            <a:avLst/>
                          </a:prstGeom>
                          <a:ln>
                            <a:noFill/>
                          </a:ln>
                        </wps:spPr>
                        <wps:txbx>
                          <w:txbxContent>
                            <w:p w14:paraId="1DC05445" w14:textId="77777777" w:rsidR="00B32EF2" w:rsidRDefault="00000000">
                              <w:r>
                                <w:rPr>
                                  <w:rFonts w:ascii="Arial" w:eastAsia="Arial" w:hAnsi="Arial" w:cs="Arial"/>
                                  <w:i/>
                                  <w:sz w:val="18"/>
                                </w:rPr>
                                <w:t xml:space="preserve">da parte del testimone. </w:t>
                              </w:r>
                            </w:p>
                          </w:txbxContent>
                        </wps:txbx>
                        <wps:bodyPr horzOverflow="overflow" vert="horz" lIns="0" tIns="0" rIns="0" bIns="0" rtlCol="0">
                          <a:noAutofit/>
                        </wps:bodyPr>
                      </wps:wsp>
                      <wps:wsp>
                        <wps:cNvPr id="201683" name="Rectangle 201683"/>
                        <wps:cNvSpPr/>
                        <wps:spPr>
                          <a:xfrm rot="-10799999">
                            <a:off x="2576723" y="3710002"/>
                            <a:ext cx="5003128" cy="142889"/>
                          </a:xfrm>
                          <a:prstGeom prst="rect">
                            <a:avLst/>
                          </a:prstGeom>
                          <a:ln>
                            <a:noFill/>
                          </a:ln>
                        </wps:spPr>
                        <wps:txbx>
                          <w:txbxContent>
                            <w:p w14:paraId="65CB479A"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1685" name="Rectangle 201685"/>
                        <wps:cNvSpPr/>
                        <wps:spPr>
                          <a:xfrm rot="-10799999">
                            <a:off x="-1187804" y="3710002"/>
                            <a:ext cx="5003128" cy="142889"/>
                          </a:xfrm>
                          <a:prstGeom prst="rect">
                            <a:avLst/>
                          </a:prstGeom>
                          <a:ln>
                            <a:noFill/>
                          </a:ln>
                        </wps:spPr>
                        <wps:txbx>
                          <w:txbxContent>
                            <w:p w14:paraId="4AA74C6D" w14:textId="77777777" w:rsidR="00B32EF2" w:rsidRDefault="00000000">
                              <w:r>
                                <w:rPr>
                                  <w:rFonts w:ascii="Arial" w:eastAsia="Arial" w:hAnsi="Arial" w:cs="Arial"/>
                                  <w:i/>
                                  <w:sz w:val="18"/>
                                </w:rPr>
                                <w:t>. Le sottoscrizioni apposte sul modulo redatto su supporto cartaceo de</w:t>
                              </w:r>
                            </w:p>
                          </w:txbxContent>
                        </wps:txbx>
                        <wps:bodyPr horzOverflow="overflow" vert="horz" lIns="0" tIns="0" rIns="0" bIns="0" rtlCol="0">
                          <a:noAutofit/>
                        </wps:bodyPr>
                      </wps:wsp>
                      <wps:wsp>
                        <wps:cNvPr id="20258" name="Rectangle 20258"/>
                        <wps:cNvSpPr/>
                        <wps:spPr>
                          <a:xfrm rot="-10799999">
                            <a:off x="65757" y="3710001"/>
                            <a:ext cx="50622" cy="142889"/>
                          </a:xfrm>
                          <a:prstGeom prst="rect">
                            <a:avLst/>
                          </a:prstGeom>
                          <a:ln>
                            <a:noFill/>
                          </a:ln>
                        </wps:spPr>
                        <wps:txbx>
                          <w:txbxContent>
                            <w:p w14:paraId="1DC0DE0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59" name="Rectangle 20259"/>
                        <wps:cNvSpPr/>
                        <wps:spPr>
                          <a:xfrm rot="-10799999">
                            <a:off x="-1225243" y="3586672"/>
                            <a:ext cx="5125868" cy="142889"/>
                          </a:xfrm>
                          <a:prstGeom prst="rect">
                            <a:avLst/>
                          </a:prstGeom>
                          <a:ln>
                            <a:noFill/>
                          </a:ln>
                        </wps:spPr>
                        <wps:txbx>
                          <w:txbxContent>
                            <w:p w14:paraId="4F8C6D7D" w14:textId="77777777" w:rsidR="00B32EF2" w:rsidRDefault="00000000">
                              <w:r>
                                <w:rPr>
                                  <w:rFonts w:ascii="Arial" w:eastAsia="Arial" w:hAnsi="Arial" w:cs="Arial"/>
                                  <w:i/>
                                  <w:sz w:val="18"/>
                                </w:rPr>
                                <w:t xml:space="preserve">vono essere autenticate da un segretario comunale o dal cancelliere di </w:t>
                              </w:r>
                            </w:p>
                          </w:txbxContent>
                        </wps:txbx>
                        <wps:bodyPr horzOverflow="overflow" vert="horz" lIns="0" tIns="0" rIns="0" bIns="0" rtlCol="0">
                          <a:noAutofit/>
                        </wps:bodyPr>
                      </wps:wsp>
                      <wps:wsp>
                        <wps:cNvPr id="20260" name="Rectangle 20260"/>
                        <wps:cNvSpPr/>
                        <wps:spPr>
                          <a:xfrm rot="-10799999">
                            <a:off x="-1218951" y="3463342"/>
                            <a:ext cx="5100602" cy="142889"/>
                          </a:xfrm>
                          <a:prstGeom prst="rect">
                            <a:avLst/>
                          </a:prstGeom>
                          <a:ln>
                            <a:noFill/>
                          </a:ln>
                        </wps:spPr>
                        <wps:txbx>
                          <w:txbxContent>
                            <w:p w14:paraId="1A0C2310" w14:textId="77777777" w:rsidR="00B32EF2" w:rsidRDefault="00000000">
                              <w:r>
                                <w:rPr>
                                  <w:rFonts w:ascii="Arial" w:eastAsia="Arial" w:hAnsi="Arial" w:cs="Arial"/>
                                  <w:i/>
                                  <w:sz w:val="18"/>
                                </w:rPr>
                                <w:t xml:space="preserve">un ufficio giudiziario. L’autentica delle sottoscrizioni è in ogni caso gratuita </w:t>
                              </w:r>
                            </w:p>
                          </w:txbxContent>
                        </wps:txbx>
                        <wps:bodyPr horzOverflow="overflow" vert="horz" lIns="0" tIns="0" rIns="0" bIns="0" rtlCol="0">
                          <a:noAutofit/>
                        </wps:bodyPr>
                      </wps:wsp>
                      <wps:wsp>
                        <wps:cNvPr id="20261" name="Rectangle 20261"/>
                        <wps:cNvSpPr/>
                        <wps:spPr>
                          <a:xfrm rot="-10799999">
                            <a:off x="345643" y="3340013"/>
                            <a:ext cx="3536008" cy="142889"/>
                          </a:xfrm>
                          <a:prstGeom prst="rect">
                            <a:avLst/>
                          </a:prstGeom>
                          <a:ln>
                            <a:noFill/>
                          </a:ln>
                        </wps:spPr>
                        <wps:txbx>
                          <w:txbxContent>
                            <w:p w14:paraId="361B1C5D" w14:textId="77777777" w:rsidR="00B32EF2" w:rsidRDefault="00000000">
                              <w:r>
                                <w:rPr>
                                  <w:rFonts w:ascii="Arial" w:eastAsia="Arial" w:hAnsi="Arial" w:cs="Arial"/>
                                  <w:i/>
                                  <w:sz w:val="18"/>
                                </w:rPr>
                                <w:t>nonché esente dall’imposta di bollo e da ogni diritto.</w:t>
                              </w:r>
                            </w:p>
                          </w:txbxContent>
                        </wps:txbx>
                        <wps:bodyPr horzOverflow="overflow" vert="horz" lIns="0" tIns="0" rIns="0" bIns="0" rtlCol="0">
                          <a:noAutofit/>
                        </wps:bodyPr>
                      </wps:wsp>
                      <wps:wsp>
                        <wps:cNvPr id="20262" name="Rectangle 20262"/>
                        <wps:cNvSpPr/>
                        <wps:spPr>
                          <a:xfrm rot="-10799999">
                            <a:off x="2282929" y="3216683"/>
                            <a:ext cx="1598723" cy="142889"/>
                          </a:xfrm>
                          <a:prstGeom prst="rect">
                            <a:avLst/>
                          </a:prstGeom>
                          <a:ln>
                            <a:noFill/>
                          </a:ln>
                        </wps:spPr>
                        <wps:txbx>
                          <w:txbxContent>
                            <w:p w14:paraId="4E32693F" w14:textId="77777777" w:rsidR="00B32EF2" w:rsidRDefault="00000000">
                              <w:r>
                                <w:rPr>
                                  <w:rFonts w:ascii="Arial" w:eastAsia="Arial" w:hAnsi="Arial" w:cs="Arial"/>
                                  <w:b/>
                                  <w:i/>
                                  <w:sz w:val="18"/>
                                </w:rPr>
                                <w:t xml:space="preserve">NORME COLLEGATE </w:t>
                              </w:r>
                            </w:p>
                          </w:txbxContent>
                        </wps:txbx>
                        <wps:bodyPr horzOverflow="overflow" vert="horz" lIns="0" tIns="0" rIns="0" bIns="0" rtlCol="0">
                          <a:noAutofit/>
                        </wps:bodyPr>
                      </wps:wsp>
                      <wps:wsp>
                        <wps:cNvPr id="20263" name="Rectangle 20263"/>
                        <wps:cNvSpPr/>
                        <wps:spPr>
                          <a:xfrm rot="-10799999">
                            <a:off x="1535527" y="3093353"/>
                            <a:ext cx="2346124" cy="142889"/>
                          </a:xfrm>
                          <a:prstGeom prst="rect">
                            <a:avLst/>
                          </a:prstGeom>
                          <a:ln>
                            <a:noFill/>
                          </a:ln>
                        </wps:spPr>
                        <wps:txbx>
                          <w:txbxContent>
                            <w:p w14:paraId="38E91B1E" w14:textId="77777777" w:rsidR="00B32EF2" w:rsidRDefault="00000000">
                              <w:r>
                                <w:rPr>
                                  <w:rFonts w:ascii="Arial" w:eastAsia="Arial" w:hAnsi="Arial" w:cs="Arial"/>
                                  <w:i/>
                                  <w:sz w:val="18"/>
                                </w:rPr>
                                <w:t xml:space="preserve">art. 61 c.p.c. “Consulente tecnico” </w:t>
                              </w:r>
                            </w:p>
                          </w:txbxContent>
                        </wps:txbx>
                        <wps:bodyPr horzOverflow="overflow" vert="horz" lIns="0" tIns="0" rIns="0" bIns="0" rtlCol="0">
                          <a:noAutofit/>
                        </wps:bodyPr>
                      </wps:wsp>
                      <wps:wsp>
                        <wps:cNvPr id="201680" name="Rectangle 201680"/>
                        <wps:cNvSpPr/>
                        <wps:spPr>
                          <a:xfrm rot="-10799999">
                            <a:off x="2549045" y="2970023"/>
                            <a:ext cx="5114680" cy="142889"/>
                          </a:xfrm>
                          <a:prstGeom prst="rect">
                            <a:avLst/>
                          </a:prstGeom>
                          <a:ln>
                            <a:noFill/>
                          </a:ln>
                        </wps:spPr>
                        <wps:txbx>
                          <w:txbxContent>
                            <w:p w14:paraId="6F7E5AB6"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681" name="Rectangle 201681"/>
                        <wps:cNvSpPr/>
                        <wps:spPr>
                          <a:xfrm rot="-10799999">
                            <a:off x="-1281685" y="2970023"/>
                            <a:ext cx="5114680" cy="142889"/>
                          </a:xfrm>
                          <a:prstGeom prst="rect">
                            <a:avLst/>
                          </a:prstGeom>
                          <a:ln>
                            <a:noFill/>
                          </a:ln>
                        </wps:spPr>
                        <wps:txbx>
                          <w:txbxContent>
                            <w:p w14:paraId="688F1885" w14:textId="77777777" w:rsidR="00B32EF2" w:rsidRDefault="00000000">
                              <w:r>
                                <w:rPr>
                                  <w:rFonts w:ascii="Arial" w:eastAsia="Arial" w:hAnsi="Arial" w:cs="Arial"/>
                                  <w:i/>
                                  <w:sz w:val="18"/>
                                </w:rPr>
                                <w:t xml:space="preserve">. Quando è necessario, il giudice può farsi assistere, per il compimento </w:t>
                              </w:r>
                            </w:p>
                          </w:txbxContent>
                        </wps:txbx>
                        <wps:bodyPr horzOverflow="overflow" vert="horz" lIns="0" tIns="0" rIns="0" bIns="0" rtlCol="0">
                          <a:noAutofit/>
                        </wps:bodyPr>
                      </wps:wsp>
                      <wps:wsp>
                        <wps:cNvPr id="20265" name="Rectangle 20265"/>
                        <wps:cNvSpPr/>
                        <wps:spPr>
                          <a:xfrm rot="-10799999">
                            <a:off x="-1220686" y="2846694"/>
                            <a:ext cx="5107595" cy="142889"/>
                          </a:xfrm>
                          <a:prstGeom prst="rect">
                            <a:avLst/>
                          </a:prstGeom>
                          <a:ln>
                            <a:noFill/>
                          </a:ln>
                        </wps:spPr>
                        <wps:txbx>
                          <w:txbxContent>
                            <w:p w14:paraId="7DDEF519" w14:textId="77777777" w:rsidR="00B32EF2" w:rsidRDefault="00000000">
                              <w:r>
                                <w:rPr>
                                  <w:rFonts w:ascii="Arial" w:eastAsia="Arial" w:hAnsi="Arial" w:cs="Arial"/>
                                  <w:i/>
                                  <w:sz w:val="18"/>
                                </w:rPr>
                                <w:t xml:space="preserve">di singoli atti o per tutto il processo, da uno o più consulenti di particolare </w:t>
                              </w:r>
                            </w:p>
                          </w:txbxContent>
                        </wps:txbx>
                        <wps:bodyPr horzOverflow="overflow" vert="horz" lIns="0" tIns="0" rIns="0" bIns="0" rtlCol="0">
                          <a:noAutofit/>
                        </wps:bodyPr>
                      </wps:wsp>
                      <wps:wsp>
                        <wps:cNvPr id="20266" name="Rectangle 20266"/>
                        <wps:cNvSpPr/>
                        <wps:spPr>
                          <a:xfrm rot="-10799999">
                            <a:off x="2433092" y="2723364"/>
                            <a:ext cx="1448559" cy="142889"/>
                          </a:xfrm>
                          <a:prstGeom prst="rect">
                            <a:avLst/>
                          </a:prstGeom>
                          <a:ln>
                            <a:noFill/>
                          </a:ln>
                        </wps:spPr>
                        <wps:txbx>
                          <w:txbxContent>
                            <w:p w14:paraId="25DE2933" w14:textId="77777777" w:rsidR="00B32EF2" w:rsidRDefault="00000000">
                              <w:r>
                                <w:rPr>
                                  <w:rFonts w:ascii="Arial" w:eastAsia="Arial" w:hAnsi="Arial" w:cs="Arial"/>
                                  <w:i/>
                                  <w:sz w:val="18"/>
                                </w:rPr>
                                <w:t xml:space="preserve">competenza tecnica. </w:t>
                              </w:r>
                            </w:p>
                          </w:txbxContent>
                        </wps:txbx>
                        <wps:bodyPr horzOverflow="overflow" vert="horz" lIns="0" tIns="0" rIns="0" bIns="0" rtlCol="0">
                          <a:noAutofit/>
                        </wps:bodyPr>
                      </wps:wsp>
                      <wps:wsp>
                        <wps:cNvPr id="201664" name="Rectangle 201664"/>
                        <wps:cNvSpPr/>
                        <wps:spPr>
                          <a:xfrm rot="-10799999">
                            <a:off x="2574585" y="2600034"/>
                            <a:ext cx="5011746" cy="142889"/>
                          </a:xfrm>
                          <a:prstGeom prst="rect">
                            <a:avLst/>
                          </a:prstGeom>
                          <a:ln>
                            <a:noFill/>
                          </a:ln>
                        </wps:spPr>
                        <wps:txbx>
                          <w:txbxContent>
                            <w:p w14:paraId="4D791DEE"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667" name="Rectangle 201667"/>
                        <wps:cNvSpPr/>
                        <wps:spPr>
                          <a:xfrm rot="-10799999">
                            <a:off x="-1194823" y="2600034"/>
                            <a:ext cx="5011747" cy="142889"/>
                          </a:xfrm>
                          <a:prstGeom prst="rect">
                            <a:avLst/>
                          </a:prstGeom>
                          <a:ln>
                            <a:noFill/>
                          </a:ln>
                        </wps:spPr>
                        <wps:txbx>
                          <w:txbxContent>
                            <w:p w14:paraId="132CB97D" w14:textId="77777777" w:rsidR="00B32EF2" w:rsidRDefault="00000000">
                              <w:r>
                                <w:rPr>
                                  <w:rFonts w:ascii="Arial" w:eastAsia="Arial" w:hAnsi="Arial" w:cs="Arial"/>
                                  <w:i/>
                                  <w:sz w:val="18"/>
                                </w:rPr>
                                <w:t>. La scelta dei consulenti tecnici deve essere normalmente fatta tra le per</w:t>
                              </w:r>
                            </w:p>
                          </w:txbxContent>
                        </wps:txbx>
                        <wps:bodyPr horzOverflow="overflow" vert="horz" lIns="0" tIns="0" rIns="0" bIns="0" rtlCol="0">
                          <a:noAutofit/>
                        </wps:bodyPr>
                      </wps:wsp>
                      <wps:wsp>
                        <wps:cNvPr id="20268" name="Rectangle 20268"/>
                        <wps:cNvSpPr/>
                        <wps:spPr>
                          <a:xfrm rot="-10799999">
                            <a:off x="65757" y="2600034"/>
                            <a:ext cx="50622" cy="142889"/>
                          </a:xfrm>
                          <a:prstGeom prst="rect">
                            <a:avLst/>
                          </a:prstGeom>
                          <a:ln>
                            <a:noFill/>
                          </a:ln>
                        </wps:spPr>
                        <wps:txbx>
                          <w:txbxContent>
                            <w:p w14:paraId="3C1870B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69" name="Rectangle 20269"/>
                        <wps:cNvSpPr/>
                        <wps:spPr>
                          <a:xfrm rot="-10799999">
                            <a:off x="-1218474" y="2476704"/>
                            <a:ext cx="5099098" cy="142889"/>
                          </a:xfrm>
                          <a:prstGeom prst="rect">
                            <a:avLst/>
                          </a:prstGeom>
                          <a:ln>
                            <a:noFill/>
                          </a:ln>
                        </wps:spPr>
                        <wps:txbx>
                          <w:txbxContent>
                            <w:p w14:paraId="110BB3A5" w14:textId="77777777" w:rsidR="00B32EF2" w:rsidRDefault="00000000">
                              <w:r>
                                <w:rPr>
                                  <w:rFonts w:ascii="Arial" w:eastAsia="Arial" w:hAnsi="Arial" w:cs="Arial"/>
                                  <w:i/>
                                  <w:sz w:val="18"/>
                                </w:rPr>
                                <w:t xml:space="preserve">sone iscritte in albi speciali formati a norma delle disposizioni di attuazione </w:t>
                              </w:r>
                            </w:p>
                          </w:txbxContent>
                        </wps:txbx>
                        <wps:bodyPr horzOverflow="overflow" vert="horz" lIns="0" tIns="0" rIns="0" bIns="0" rtlCol="0">
                          <a:noAutofit/>
                        </wps:bodyPr>
                      </wps:wsp>
                      <wps:wsp>
                        <wps:cNvPr id="20270" name="Rectangle 20270"/>
                        <wps:cNvSpPr/>
                        <wps:spPr>
                          <a:xfrm rot="-10799999">
                            <a:off x="2557490" y="2353375"/>
                            <a:ext cx="1324162" cy="142889"/>
                          </a:xfrm>
                          <a:prstGeom prst="rect">
                            <a:avLst/>
                          </a:prstGeom>
                          <a:ln>
                            <a:noFill/>
                          </a:ln>
                        </wps:spPr>
                        <wps:txbx>
                          <w:txbxContent>
                            <w:p w14:paraId="1ABDE194" w14:textId="77777777" w:rsidR="00B32EF2" w:rsidRDefault="00000000">
                              <w:r>
                                <w:rPr>
                                  <w:rFonts w:ascii="Arial" w:eastAsia="Arial" w:hAnsi="Arial" w:cs="Arial"/>
                                  <w:i/>
                                  <w:sz w:val="18"/>
                                </w:rPr>
                                <w:t>al presente Codice.</w:t>
                              </w:r>
                            </w:p>
                          </w:txbxContent>
                        </wps:txbx>
                        <wps:bodyPr horzOverflow="overflow" vert="horz" lIns="0" tIns="0" rIns="0" bIns="0" rtlCol="0">
                          <a:noAutofit/>
                        </wps:bodyPr>
                      </wps:wsp>
                      <wps:wsp>
                        <wps:cNvPr id="20271" name="Rectangle 20271"/>
                        <wps:cNvSpPr/>
                        <wps:spPr>
                          <a:xfrm rot="-10799999">
                            <a:off x="-572231" y="2230045"/>
                            <a:ext cx="4453883" cy="142889"/>
                          </a:xfrm>
                          <a:prstGeom prst="rect">
                            <a:avLst/>
                          </a:prstGeom>
                          <a:ln>
                            <a:noFill/>
                          </a:ln>
                        </wps:spPr>
                        <wps:txbx>
                          <w:txbxContent>
                            <w:p w14:paraId="30ED471C" w14:textId="77777777" w:rsidR="00B32EF2" w:rsidRDefault="00000000">
                              <w:r>
                                <w:rPr>
                                  <w:rFonts w:ascii="Arial" w:eastAsia="Arial" w:hAnsi="Arial" w:cs="Arial"/>
                                  <w:i/>
                                  <w:sz w:val="18"/>
                                </w:rPr>
                                <w:t xml:space="preserve">art.134 c.p.c “Forma, contenuto e comunicazione dell’ordinanza.” </w:t>
                              </w:r>
                            </w:p>
                          </w:txbxContent>
                        </wps:txbx>
                        <wps:bodyPr horzOverflow="overflow" vert="horz" lIns="0" tIns="0" rIns="0" bIns="0" rtlCol="0">
                          <a:noAutofit/>
                        </wps:bodyPr>
                      </wps:wsp>
                      <wps:wsp>
                        <wps:cNvPr id="201660" name="Rectangle 201660"/>
                        <wps:cNvSpPr/>
                        <wps:spPr>
                          <a:xfrm rot="-10799999">
                            <a:off x="2576293" y="2106715"/>
                            <a:ext cx="5004861" cy="142889"/>
                          </a:xfrm>
                          <a:prstGeom prst="rect">
                            <a:avLst/>
                          </a:prstGeom>
                          <a:ln>
                            <a:noFill/>
                          </a:ln>
                        </wps:spPr>
                        <wps:txbx>
                          <w:txbxContent>
                            <w:p w14:paraId="0925E69C"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662" name="Rectangle 201662"/>
                        <wps:cNvSpPr/>
                        <wps:spPr>
                          <a:xfrm rot="-10799999">
                            <a:off x="-1182611" y="2106715"/>
                            <a:ext cx="5004861" cy="142889"/>
                          </a:xfrm>
                          <a:prstGeom prst="rect">
                            <a:avLst/>
                          </a:prstGeom>
                          <a:ln>
                            <a:noFill/>
                          </a:ln>
                        </wps:spPr>
                        <wps:txbx>
                          <w:txbxContent>
                            <w:p w14:paraId="18998C2E" w14:textId="77777777" w:rsidR="00B32EF2" w:rsidRDefault="00000000">
                              <w:r>
                                <w:rPr>
                                  <w:rFonts w:ascii="Arial" w:eastAsia="Arial" w:hAnsi="Arial" w:cs="Arial"/>
                                  <w:i/>
                                  <w:sz w:val="18"/>
                                </w:rPr>
                                <w:t>. L’ordinanza è succintamente motivata. Se è pronunciata in udienza è in</w:t>
                              </w:r>
                            </w:p>
                          </w:txbxContent>
                        </wps:txbx>
                        <wps:bodyPr horzOverflow="overflow" vert="horz" lIns="0" tIns="0" rIns="0" bIns="0" rtlCol="0">
                          <a:noAutofit/>
                        </wps:bodyPr>
                      </wps:wsp>
                      <wps:wsp>
                        <wps:cNvPr id="20273" name="Rectangle 20273"/>
                        <wps:cNvSpPr/>
                        <wps:spPr>
                          <a:xfrm rot="-10799999">
                            <a:off x="65757" y="2106715"/>
                            <a:ext cx="50622" cy="142889"/>
                          </a:xfrm>
                          <a:prstGeom prst="rect">
                            <a:avLst/>
                          </a:prstGeom>
                          <a:ln>
                            <a:noFill/>
                          </a:ln>
                        </wps:spPr>
                        <wps:txbx>
                          <w:txbxContent>
                            <w:p w14:paraId="79AEC28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74" name="Rectangle 20274"/>
                        <wps:cNvSpPr/>
                        <wps:spPr>
                          <a:xfrm rot="-10799999">
                            <a:off x="-1219283" y="1983385"/>
                            <a:ext cx="5101849" cy="142889"/>
                          </a:xfrm>
                          <a:prstGeom prst="rect">
                            <a:avLst/>
                          </a:prstGeom>
                          <a:ln>
                            <a:noFill/>
                          </a:ln>
                        </wps:spPr>
                        <wps:txbx>
                          <w:txbxContent>
                            <w:p w14:paraId="54D0D6A8" w14:textId="77777777" w:rsidR="00B32EF2" w:rsidRDefault="00000000">
                              <w:r>
                                <w:rPr>
                                  <w:rFonts w:ascii="Arial" w:eastAsia="Arial" w:hAnsi="Arial" w:cs="Arial"/>
                                  <w:i/>
                                  <w:sz w:val="18"/>
                                </w:rPr>
                                <w:t xml:space="preserve">serita nel processo verbale; se è pronunciata fuori dell’udienza, è scritta in </w:t>
                              </w:r>
                            </w:p>
                          </w:txbxContent>
                        </wps:txbx>
                        <wps:bodyPr horzOverflow="overflow" vert="horz" lIns="0" tIns="0" rIns="0" bIns="0" rtlCol="0">
                          <a:noAutofit/>
                        </wps:bodyPr>
                      </wps:wsp>
                      <wps:wsp>
                        <wps:cNvPr id="20275" name="Rectangle 20275"/>
                        <wps:cNvSpPr/>
                        <wps:spPr>
                          <a:xfrm rot="-10799999">
                            <a:off x="-1122996" y="1860056"/>
                            <a:ext cx="5004648" cy="142889"/>
                          </a:xfrm>
                          <a:prstGeom prst="rect">
                            <a:avLst/>
                          </a:prstGeom>
                          <a:ln>
                            <a:noFill/>
                          </a:ln>
                        </wps:spPr>
                        <wps:txbx>
                          <w:txbxContent>
                            <w:p w14:paraId="0EA17C20" w14:textId="77777777" w:rsidR="00B32EF2" w:rsidRDefault="00000000">
                              <w:r>
                                <w:rPr>
                                  <w:rFonts w:ascii="Arial" w:eastAsia="Arial" w:hAnsi="Arial" w:cs="Arial"/>
                                  <w:i/>
                                  <w:sz w:val="18"/>
                                </w:rPr>
                                <w:t>calce al processo verbale oppure in foglio separato, munito della data e del</w:t>
                              </w:r>
                            </w:p>
                          </w:txbxContent>
                        </wps:txbx>
                        <wps:bodyPr horzOverflow="overflow" vert="horz" lIns="0" tIns="0" rIns="0" bIns="0" rtlCol="0">
                          <a:noAutofit/>
                        </wps:bodyPr>
                      </wps:wsp>
                      <wps:wsp>
                        <wps:cNvPr id="20276" name="Rectangle 20276"/>
                        <wps:cNvSpPr/>
                        <wps:spPr>
                          <a:xfrm rot="-10799999">
                            <a:off x="65757" y="1860056"/>
                            <a:ext cx="50622" cy="142889"/>
                          </a:xfrm>
                          <a:prstGeom prst="rect">
                            <a:avLst/>
                          </a:prstGeom>
                          <a:ln>
                            <a:noFill/>
                          </a:ln>
                        </wps:spPr>
                        <wps:txbx>
                          <w:txbxContent>
                            <w:p w14:paraId="4217FC1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77" name="Rectangle 20277"/>
                        <wps:cNvSpPr/>
                        <wps:spPr>
                          <a:xfrm rot="-10799999">
                            <a:off x="-1177981" y="1736726"/>
                            <a:ext cx="5059633" cy="142889"/>
                          </a:xfrm>
                          <a:prstGeom prst="rect">
                            <a:avLst/>
                          </a:prstGeom>
                          <a:ln>
                            <a:noFill/>
                          </a:ln>
                        </wps:spPr>
                        <wps:txbx>
                          <w:txbxContent>
                            <w:p w14:paraId="5642D9C8" w14:textId="77777777" w:rsidR="00B32EF2" w:rsidRDefault="00000000">
                              <w:r>
                                <w:rPr>
                                  <w:rFonts w:ascii="Arial" w:eastAsia="Arial" w:hAnsi="Arial" w:cs="Arial"/>
                                  <w:i/>
                                  <w:sz w:val="18"/>
                                </w:rPr>
                                <w:t xml:space="preserve">la sottoscrizione del giudice o, quando questo è collegiale, del presidente. </w:t>
                              </w:r>
                            </w:p>
                          </w:txbxContent>
                        </wps:txbx>
                        <wps:bodyPr horzOverflow="overflow" vert="horz" lIns="0" tIns="0" rIns="0" bIns="0" rtlCol="0">
                          <a:noAutofit/>
                        </wps:bodyPr>
                      </wps:wsp>
                      <wps:wsp>
                        <wps:cNvPr id="201656" name="Rectangle 201656"/>
                        <wps:cNvSpPr/>
                        <wps:spPr>
                          <a:xfrm rot="-10799999">
                            <a:off x="2576338" y="1613397"/>
                            <a:ext cx="5004678" cy="142889"/>
                          </a:xfrm>
                          <a:prstGeom prst="rect">
                            <a:avLst/>
                          </a:prstGeom>
                          <a:ln>
                            <a:noFill/>
                          </a:ln>
                        </wps:spPr>
                        <wps:txbx>
                          <w:txbxContent>
                            <w:p w14:paraId="4FB6CE61"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657" name="Rectangle 201657"/>
                        <wps:cNvSpPr/>
                        <wps:spPr>
                          <a:xfrm rot="-10799999">
                            <a:off x="-1187754" y="1613396"/>
                            <a:ext cx="5004678" cy="142889"/>
                          </a:xfrm>
                          <a:prstGeom prst="rect">
                            <a:avLst/>
                          </a:prstGeom>
                          <a:ln>
                            <a:noFill/>
                          </a:ln>
                        </wps:spPr>
                        <wps:txbx>
                          <w:txbxContent>
                            <w:p w14:paraId="42F68A13" w14:textId="77777777" w:rsidR="00B32EF2" w:rsidRDefault="00000000">
                              <w:r>
                                <w:rPr>
                                  <w:rFonts w:ascii="Arial" w:eastAsia="Arial" w:hAnsi="Arial" w:cs="Arial"/>
                                  <w:i/>
                                  <w:sz w:val="18"/>
                                </w:rPr>
                                <w:t>. Il cancelliere comunica alle parti l’ordinanza pronunciata fuori dell’udien</w:t>
                              </w:r>
                            </w:p>
                          </w:txbxContent>
                        </wps:txbx>
                        <wps:bodyPr horzOverflow="overflow" vert="horz" lIns="0" tIns="0" rIns="0" bIns="0" rtlCol="0">
                          <a:noAutofit/>
                        </wps:bodyPr>
                      </wps:wsp>
                      <wps:wsp>
                        <wps:cNvPr id="20279" name="Rectangle 20279"/>
                        <wps:cNvSpPr/>
                        <wps:spPr>
                          <a:xfrm rot="-10799999">
                            <a:off x="65757" y="1613397"/>
                            <a:ext cx="50622" cy="142889"/>
                          </a:xfrm>
                          <a:prstGeom prst="rect">
                            <a:avLst/>
                          </a:prstGeom>
                          <a:ln>
                            <a:noFill/>
                          </a:ln>
                        </wps:spPr>
                        <wps:txbx>
                          <w:txbxContent>
                            <w:p w14:paraId="542FF28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80" name="Rectangle 20280"/>
                        <wps:cNvSpPr/>
                        <wps:spPr>
                          <a:xfrm rot="-10799999">
                            <a:off x="382356" y="1490066"/>
                            <a:ext cx="3499295" cy="142889"/>
                          </a:xfrm>
                          <a:prstGeom prst="rect">
                            <a:avLst/>
                          </a:prstGeom>
                          <a:ln>
                            <a:noFill/>
                          </a:ln>
                        </wps:spPr>
                        <wps:txbx>
                          <w:txbxContent>
                            <w:p w14:paraId="47831F84" w14:textId="77777777" w:rsidR="00B32EF2" w:rsidRDefault="00000000">
                              <w:r>
                                <w:rPr>
                                  <w:rFonts w:ascii="Arial" w:eastAsia="Arial" w:hAnsi="Arial" w:cs="Arial"/>
                                  <w:i/>
                                  <w:sz w:val="18"/>
                                </w:rPr>
                                <w:t xml:space="preserve">za, salvo che la legge ne prescrive la notificazione. </w:t>
                              </w:r>
                            </w:p>
                          </w:txbxContent>
                        </wps:txbx>
                        <wps:bodyPr horzOverflow="overflow" vert="horz" lIns="0" tIns="0" rIns="0" bIns="0" rtlCol="0">
                          <a:noAutofit/>
                        </wps:bodyPr>
                      </wps:wsp>
                      <wps:wsp>
                        <wps:cNvPr id="201653" name="Rectangle 201653"/>
                        <wps:cNvSpPr/>
                        <wps:spPr>
                          <a:xfrm rot="-10799999">
                            <a:off x="2576477" y="1366737"/>
                            <a:ext cx="5004117" cy="142889"/>
                          </a:xfrm>
                          <a:prstGeom prst="rect">
                            <a:avLst/>
                          </a:prstGeom>
                          <a:ln>
                            <a:noFill/>
                          </a:ln>
                        </wps:spPr>
                        <wps:txbx>
                          <w:txbxContent>
                            <w:p w14:paraId="60946A81"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1654" name="Rectangle 201654"/>
                        <wps:cNvSpPr/>
                        <wps:spPr>
                          <a:xfrm rot="-10799999">
                            <a:off x="-1188793" y="1366737"/>
                            <a:ext cx="5004117" cy="142889"/>
                          </a:xfrm>
                          <a:prstGeom prst="rect">
                            <a:avLst/>
                          </a:prstGeom>
                          <a:ln>
                            <a:noFill/>
                          </a:ln>
                        </wps:spPr>
                        <wps:txbx>
                          <w:txbxContent>
                            <w:p w14:paraId="3E38843B" w14:textId="77777777" w:rsidR="00B32EF2" w:rsidRDefault="00000000">
                              <w:r>
                                <w:rPr>
                                  <w:rFonts w:ascii="Arial" w:eastAsia="Arial" w:hAnsi="Arial" w:cs="Arial"/>
                                  <w:i/>
                                  <w:sz w:val="18"/>
                                </w:rPr>
                                <w:t>. Comma abrogato dalla lettera c) del comma 1 dell’art. 25, L. 12 novem</w:t>
                              </w:r>
                            </w:p>
                          </w:txbxContent>
                        </wps:txbx>
                        <wps:bodyPr horzOverflow="overflow" vert="horz" lIns="0" tIns="0" rIns="0" bIns="0" rtlCol="0">
                          <a:noAutofit/>
                        </wps:bodyPr>
                      </wps:wsp>
                      <wps:wsp>
                        <wps:cNvPr id="20282" name="Rectangle 20282"/>
                        <wps:cNvSpPr/>
                        <wps:spPr>
                          <a:xfrm rot="-10799999">
                            <a:off x="65757" y="1366737"/>
                            <a:ext cx="50622" cy="142889"/>
                          </a:xfrm>
                          <a:prstGeom prst="rect">
                            <a:avLst/>
                          </a:prstGeom>
                          <a:ln>
                            <a:noFill/>
                          </a:ln>
                        </wps:spPr>
                        <wps:txbx>
                          <w:txbxContent>
                            <w:p w14:paraId="36DC251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83" name="Rectangle 20283"/>
                        <wps:cNvSpPr/>
                        <wps:spPr>
                          <a:xfrm rot="-10799999">
                            <a:off x="725174" y="1243407"/>
                            <a:ext cx="3156477" cy="142889"/>
                          </a:xfrm>
                          <a:prstGeom prst="rect">
                            <a:avLst/>
                          </a:prstGeom>
                          <a:ln>
                            <a:noFill/>
                          </a:ln>
                        </wps:spPr>
                        <wps:txbx>
                          <w:txbxContent>
                            <w:p w14:paraId="0EC88BFB" w14:textId="77777777" w:rsidR="00B32EF2" w:rsidRDefault="00000000">
                              <w:r>
                                <w:rPr>
                                  <w:rFonts w:ascii="Arial" w:eastAsia="Arial" w:hAnsi="Arial" w:cs="Arial"/>
                                  <w:i/>
                                  <w:sz w:val="18"/>
                                </w:rPr>
                                <w:t>bre 2011, n. 183 in vigore dal 1° gennaio 2012.</w:t>
                              </w:r>
                            </w:p>
                          </w:txbxContent>
                        </wps:txbx>
                        <wps:bodyPr horzOverflow="overflow" vert="horz" lIns="0" tIns="0" rIns="0" bIns="0" rtlCol="0">
                          <a:noAutofit/>
                        </wps:bodyPr>
                      </wps:wsp>
                      <wps:wsp>
                        <wps:cNvPr id="20284" name="Rectangle 20284"/>
                        <wps:cNvSpPr/>
                        <wps:spPr>
                          <a:xfrm rot="-10799999">
                            <a:off x="682457" y="1120078"/>
                            <a:ext cx="3199194" cy="142889"/>
                          </a:xfrm>
                          <a:prstGeom prst="rect">
                            <a:avLst/>
                          </a:prstGeom>
                          <a:ln>
                            <a:noFill/>
                          </a:ln>
                        </wps:spPr>
                        <wps:txbx>
                          <w:txbxContent>
                            <w:p w14:paraId="52BA9F91" w14:textId="77777777" w:rsidR="00B32EF2" w:rsidRDefault="00000000">
                              <w:r>
                                <w:rPr>
                                  <w:rFonts w:ascii="Arial" w:eastAsia="Arial" w:hAnsi="Arial" w:cs="Arial"/>
                                  <w:i/>
                                  <w:sz w:val="18"/>
                                </w:rPr>
                                <w:t xml:space="preserve">art.191 c.p.c. “Nomina del consulente tecnico.” </w:t>
                              </w:r>
                            </w:p>
                          </w:txbxContent>
                        </wps:txbx>
                        <wps:bodyPr horzOverflow="overflow" vert="horz" lIns="0" tIns="0" rIns="0" bIns="0" rtlCol="0">
                          <a:noAutofit/>
                        </wps:bodyPr>
                      </wps:wsp>
                      <wps:wsp>
                        <wps:cNvPr id="201651" name="Rectangle 201651"/>
                        <wps:cNvSpPr/>
                        <wps:spPr>
                          <a:xfrm rot="-10799999">
                            <a:off x="2574497" y="996748"/>
                            <a:ext cx="5012098" cy="142889"/>
                          </a:xfrm>
                          <a:prstGeom prst="rect">
                            <a:avLst/>
                          </a:prstGeom>
                          <a:ln>
                            <a:noFill/>
                          </a:ln>
                        </wps:spPr>
                        <wps:txbx>
                          <w:txbxContent>
                            <w:p w14:paraId="76D42623"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652" name="Rectangle 201652"/>
                        <wps:cNvSpPr/>
                        <wps:spPr>
                          <a:xfrm rot="-10799999">
                            <a:off x="-1189847" y="996748"/>
                            <a:ext cx="5012097" cy="142889"/>
                          </a:xfrm>
                          <a:prstGeom prst="rect">
                            <a:avLst/>
                          </a:prstGeom>
                          <a:ln>
                            <a:noFill/>
                          </a:ln>
                        </wps:spPr>
                        <wps:txbx>
                          <w:txbxContent>
                            <w:p w14:paraId="6C6527F6" w14:textId="77777777" w:rsidR="00B32EF2" w:rsidRDefault="00000000">
                              <w:r>
                                <w:rPr>
                                  <w:rFonts w:ascii="Arial" w:eastAsia="Arial" w:hAnsi="Arial" w:cs="Arial"/>
                                  <w:i/>
                                  <w:sz w:val="18"/>
                                </w:rPr>
                                <w:t>. Nei casi previsti dagli articoli 61 e seguenti il giudice istruttore, con or</w:t>
                              </w:r>
                            </w:p>
                          </w:txbxContent>
                        </wps:txbx>
                        <wps:bodyPr horzOverflow="overflow" vert="horz" lIns="0" tIns="0" rIns="0" bIns="0" rtlCol="0">
                          <a:noAutofit/>
                        </wps:bodyPr>
                      </wps:wsp>
                      <wps:wsp>
                        <wps:cNvPr id="20286" name="Rectangle 20286"/>
                        <wps:cNvSpPr/>
                        <wps:spPr>
                          <a:xfrm rot="-10799999">
                            <a:off x="65757" y="996748"/>
                            <a:ext cx="50622" cy="142889"/>
                          </a:xfrm>
                          <a:prstGeom prst="rect">
                            <a:avLst/>
                          </a:prstGeom>
                          <a:ln>
                            <a:noFill/>
                          </a:ln>
                        </wps:spPr>
                        <wps:txbx>
                          <w:txbxContent>
                            <w:p w14:paraId="4295999F"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87" name="Rectangle 20287"/>
                        <wps:cNvSpPr/>
                        <wps:spPr>
                          <a:xfrm rot="-10799999">
                            <a:off x="-1220746" y="873418"/>
                            <a:ext cx="5107885" cy="142889"/>
                          </a:xfrm>
                          <a:prstGeom prst="rect">
                            <a:avLst/>
                          </a:prstGeom>
                          <a:ln>
                            <a:noFill/>
                          </a:ln>
                        </wps:spPr>
                        <wps:txbx>
                          <w:txbxContent>
                            <w:p w14:paraId="47A075DC" w14:textId="77777777" w:rsidR="00B32EF2" w:rsidRDefault="00000000">
                              <w:r>
                                <w:rPr>
                                  <w:rFonts w:ascii="Arial" w:eastAsia="Arial" w:hAnsi="Arial" w:cs="Arial"/>
                                  <w:i/>
                                  <w:sz w:val="18"/>
                                </w:rPr>
                                <w:t xml:space="preserve">dinanza ai sensi dell’articolo 183, quarto comma, o con altra   successiva </w:t>
                              </w:r>
                            </w:p>
                          </w:txbxContent>
                        </wps:txbx>
                        <wps:bodyPr horzOverflow="overflow" vert="horz" lIns="0" tIns="0" rIns="0" bIns="0" rtlCol="0">
                          <a:noAutofit/>
                        </wps:bodyPr>
                      </wps:wsp>
                      <wps:wsp>
                        <wps:cNvPr id="20288" name="Rectangle 20288"/>
                        <wps:cNvSpPr/>
                        <wps:spPr>
                          <a:xfrm rot="-10799999">
                            <a:off x="-1218996" y="750089"/>
                            <a:ext cx="5100648" cy="142889"/>
                          </a:xfrm>
                          <a:prstGeom prst="rect">
                            <a:avLst/>
                          </a:prstGeom>
                          <a:ln>
                            <a:noFill/>
                          </a:ln>
                        </wps:spPr>
                        <wps:txbx>
                          <w:txbxContent>
                            <w:p w14:paraId="48DE041E" w14:textId="77777777" w:rsidR="00B32EF2" w:rsidRDefault="00000000">
                              <w:r>
                                <w:rPr>
                                  <w:rFonts w:ascii="Arial" w:eastAsia="Arial" w:hAnsi="Arial" w:cs="Arial"/>
                                  <w:i/>
                                  <w:sz w:val="18"/>
                                </w:rPr>
                                <w:t xml:space="preserve">ordinanza, nomina un consulente, formula i quesiti e fissa l’udienza nella </w:t>
                              </w:r>
                            </w:p>
                          </w:txbxContent>
                        </wps:txbx>
                        <wps:bodyPr horzOverflow="overflow" vert="horz" lIns="0" tIns="0" rIns="0" bIns="0" rtlCol="0">
                          <a:noAutofit/>
                        </wps:bodyPr>
                      </wps:wsp>
                      <wps:wsp>
                        <wps:cNvPr id="20289" name="Rectangle 20289"/>
                        <wps:cNvSpPr/>
                        <wps:spPr>
                          <a:xfrm rot="-10799999">
                            <a:off x="1424476" y="626759"/>
                            <a:ext cx="2457174" cy="142889"/>
                          </a:xfrm>
                          <a:prstGeom prst="rect">
                            <a:avLst/>
                          </a:prstGeom>
                          <a:ln>
                            <a:noFill/>
                          </a:ln>
                        </wps:spPr>
                        <wps:txbx>
                          <w:txbxContent>
                            <w:p w14:paraId="20802CAD" w14:textId="77777777" w:rsidR="00B32EF2" w:rsidRDefault="00000000">
                              <w:r>
                                <w:rPr>
                                  <w:rFonts w:ascii="Arial" w:eastAsia="Arial" w:hAnsi="Arial" w:cs="Arial"/>
                                  <w:i/>
                                  <w:sz w:val="18"/>
                                </w:rPr>
                                <w:t xml:space="preserve">quale il consulente deve comparire. </w:t>
                              </w:r>
                            </w:p>
                          </w:txbxContent>
                        </wps:txbx>
                        <wps:bodyPr horzOverflow="overflow" vert="horz" lIns="0" tIns="0" rIns="0" bIns="0" rtlCol="0">
                          <a:noAutofit/>
                        </wps:bodyPr>
                      </wps:wsp>
                      <wps:wsp>
                        <wps:cNvPr id="201648" name="Rectangle 201648"/>
                        <wps:cNvSpPr/>
                        <wps:spPr>
                          <a:xfrm rot="-10799999">
                            <a:off x="2576787" y="503429"/>
                            <a:ext cx="5002870" cy="142889"/>
                          </a:xfrm>
                          <a:prstGeom prst="rect">
                            <a:avLst/>
                          </a:prstGeom>
                          <a:ln>
                            <a:noFill/>
                          </a:ln>
                        </wps:spPr>
                        <wps:txbx>
                          <w:txbxContent>
                            <w:p w14:paraId="30CB821D"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650" name="Rectangle 201650"/>
                        <wps:cNvSpPr/>
                        <wps:spPr>
                          <a:xfrm rot="-10799999">
                            <a:off x="-1185946" y="503429"/>
                            <a:ext cx="5002869" cy="142889"/>
                          </a:xfrm>
                          <a:prstGeom prst="rect">
                            <a:avLst/>
                          </a:prstGeom>
                          <a:ln>
                            <a:noFill/>
                          </a:ln>
                        </wps:spPr>
                        <wps:txbx>
                          <w:txbxContent>
                            <w:p w14:paraId="08B205C3" w14:textId="77777777" w:rsidR="00B32EF2" w:rsidRDefault="00000000">
                              <w:r>
                                <w:rPr>
                                  <w:rFonts w:ascii="Arial" w:eastAsia="Arial" w:hAnsi="Arial" w:cs="Arial"/>
                                  <w:i/>
                                  <w:sz w:val="18"/>
                                </w:rPr>
                                <w:t>. Possono essere nominati più consulenti soltanto in caso di grave neces</w:t>
                              </w:r>
                            </w:p>
                          </w:txbxContent>
                        </wps:txbx>
                        <wps:bodyPr horzOverflow="overflow" vert="horz" lIns="0" tIns="0" rIns="0" bIns="0" rtlCol="0">
                          <a:noAutofit/>
                        </wps:bodyPr>
                      </wps:wsp>
                      <wps:wsp>
                        <wps:cNvPr id="20291" name="Rectangle 20291"/>
                        <wps:cNvSpPr/>
                        <wps:spPr>
                          <a:xfrm rot="-10799999">
                            <a:off x="65757" y="503429"/>
                            <a:ext cx="50622" cy="142889"/>
                          </a:xfrm>
                          <a:prstGeom prst="rect">
                            <a:avLst/>
                          </a:prstGeom>
                          <a:ln>
                            <a:noFill/>
                          </a:ln>
                        </wps:spPr>
                        <wps:txbx>
                          <w:txbxContent>
                            <w:p w14:paraId="2C8DF83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92" name="Shape 20292"/>
                        <wps:cNvSpPr/>
                        <wps:spPr>
                          <a:xfrm>
                            <a:off x="0" y="473197"/>
                            <a:ext cx="3960000" cy="5801297"/>
                          </a:xfrm>
                          <a:custGeom>
                            <a:avLst/>
                            <a:gdLst/>
                            <a:ahLst/>
                            <a:cxnLst/>
                            <a:rect l="0" t="0" r="0" b="0"/>
                            <a:pathLst>
                              <a:path w="3960000" h="5801297">
                                <a:moveTo>
                                  <a:pt x="0" y="5801297"/>
                                </a:moveTo>
                                <a:lnTo>
                                  <a:pt x="3960000" y="5801297"/>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6DB13C" id="Group 201802" o:spid="_x0000_s5029" style="width:311.8pt;height:494.05pt;mso-position-horizontal-relative:char;mso-position-vertical-relative:line" coordsize="39600,62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9Dg0AAAqMAAAOAAAAZHJzL2Uyb0RvYy54bWzkXWtv47gV/V6g/8Hw99mIpEhJwWQWxWx3&#10;UGDRXezjByiO/ABkyZA1k0x/fc+9lCjZ4XRQq10OwARwFJqiRB7d1+El9fb7l2O9+lR150PbPKzF&#10;d8l6VTWb9unQ7B7Wf/z+45t8vTr3ZfNU1m1TPaw/V+f19+/++pe3z6f7Srb7tn6quhUaac73z6eH&#10;9b7vT/d3d+fNvjqW5+/aU9Xgy23bHcse/3a7u6eufEbrx/pOJom5e267p1PXbqrzGaU/2C/X77j9&#10;7bba9D9vt+eqX9UPa9xbz58dfz7S5927t+X9ritP+8NmuI3yhrs4locGF3VN/VD25epjd3jV1PGw&#10;6dpzu+2/27THu3a7PWwq7gN6I5Kr3nzo2o8n7svu/nl3csOEob0ap5ub3fzz04fu9Nvplw4j8Xza&#10;YSz4P+rLy7Y70l/c5eqFh+yzG7LqpV9tUKgKkySJWK82+M7ILE0LZQd1s8fIvzpvs//7V868Gy98&#10;d3E7zyc8IOdpDM7LxuC3fXmqeGjP9xiDX7rV4elhLROp5HrVlEc8qr/i4SmbXV2tbDEPENd2w3W+&#10;P2PkxrFadS2erzciyQr64edhGDuRG/xm6xVG6Y2RohievHEYRZYrU9hRlDoxqaFBdENR3p+6c/+h&#10;ao8rOnhYd7g3br/89NO5t1XHKnQ7dUOfTfvjoa7tt1SCER3vmI76l8cX7rbKJYNGhY/t02eMxr7t&#10;/vUz5Hpbt88P63Y4WpOo4/L07XpV/6MBCiRV40E3HjyOB11fv29Z9uwN/e1j324PfMfT1YY7A7z0&#10;DP4pOOdJ6oDmZwEgc9lXUaZ+jKgynmmmRJHah37E04oFhobEQueJkEV2hejmo0WU2htRhP54snii&#10;bD8ebV6a8ZBw/4+q7FT2dB41SocrgOfuZT/dCn1/BKq/t1yzv5JTPHjTt3Uzr+VaG3UB6o41xr8n&#10;bm9e83IIxnrjX1sfo/VqsMYa4995TRYhd3UcUIdZaNwgoHA+zHVD40GolDA127q0MnQ89LBB9eEI&#10;AyYzqLMBKY/InPvPdUVDVje/VlsID+tFKjh3u8f3dbf6VNLTzj9WQOvTvhxKh3aHqnyr3A6dv4Wk&#10;uiYFn3rR5HtFv0MLQ2U6r2Ij585M7Jmb4W6spYO9QKdHe4dBcSfxldumd+c3sNJ8EZLDobeToJIq&#10;GQT0T5NUqVK/RmaRo7uB/v7vNfIbIUVe5FACeOhMopU0VzKsBfwLujjJsEhlXohh+EfDOGrc/5dS&#10;dj2MRClLpf1Qaxr4RVAXibTWVxeyKBSbV8jB4Isw1Blc1RHqvPiToXY9jAZq44eakVkCNZy1HP6o&#10;NSXGJK+hTosEz1kwqF0Po4EakudzqdkjWgA1NLgQVoFrkyuZcYMzqU4g9EYFhNr1MBqooUN9UOeL&#10;FLjRmR60N+N8LdKJkXgMggm061w0KCNS9aHMRnORQCeFgMNFulvrokg9Aq0NDEcwqF0PY4E6ReDg&#10;gRrFSzyymUD7cQ4q0Mp1LhqU4TD5UOaAZ4FAg+gqBEwCCXSqjBHXAi0SleuAAq1cD6OB2tFeF/wm&#10;2LAlAo1oWqYCETRDrYSSOVvFmTMGby3NAvrdIHaHHkYDNVxfn1Q7rvdW4kSCPB2kGhxKoV9BnWRK&#10;wWELZaaV62E0UPs5stQxSLdCLRBXDSFWYowB7BCimVQnhVEipAJ3PYwGaj9HljoG6XaoocJZgadF&#10;qsCSvYI6x8RUQKl2PYwGaj9HZicHl7plaBtuWZrDRcPM46VUiyTV5PkHU+DRcWQIdb222jFIN0t1&#10;kWJyl6E2hTHqNdQqS0JKtethNFLt58hSRyPdCDVccCkHBa7hgCXXUCcItrKAdKhyPYwGaj9RljIy&#10;NyvwiT1J/TiHZU9c52JBWfs5MhQvDKmRJjTw3inyqoqcG5w535igziDlwcz0xAJGA7WfKNOORrpZ&#10;dyeGkCSPDJkIxj47M6gxlSUNLh7KI0NkEBl7ov1EGYqXSPVMd/txDqq7JxYwGoH2c2TaMUg3CjR4&#10;kSQd/G6ZKCWvdHdaZJkpAtKhuLm4BFoYUNKeGIvLl4i01DrRieVDU879ZV05U94iyTPKSQmmvGMj&#10;yYRBgrUXa5t4fbPrjXmOXCtKHSZL/W2CHR1Npv2MKIqXiDUniOJBYqhVgbwD+F9ocCbXUPI85xVM&#10;rqOjyWiu2DOlheIlUEuZIf/XZhipXOHnCmmBNEIlA7JkNhOG1FYkjhmsstcz4/JFWOvMZAMjqjJE&#10;0Ak79HOpThS0fEBrHRtNBky9GpzLl2D9Rgg4XsRuw1p/o2DHx5Z5vXBpkwhudsymuNrifKXAsaQu&#10;ZIroRAVGor6l9jPfKF4m0FJqOcTVSucGqvzKJxN4kkxA7T1RgbFAbbyhlkTxQqiRW4TRZN2dGkVR&#10;FxqcGWpanwXrHSysnqjAaKD20982MLpZd6tUm1GmVYrV5ExNTUArrbDIPKRMx8aVSeMnv1G8RKal&#10;zCWW31mRlsKQj38h0kIXOTvnoSJqHRtTJml9lCeiRvESpIVWWo8RdVIoiPAl0ljVa0TIiHpihyJR&#10;3oimvIaay5dgLTUWVCL9kAw1tjlAQH2FtRYi5YsHk2pHD8WDtddSA2sOjG421cR/c1j+DYMdXUKZ&#10;8bInEsVLxJqWdCTYtcbKdZ4ac73JCVbNZzrkHObEGUQi18gM8Vtrp+Bumq5GRI1sQTupJeF/qeut&#10;MESa5lioFzDUcrxBJEjDOQZt+dox4/IlYi11lmriW8la095d2OEE7U3Rlk6EyJBiHiysnoiDeLD2&#10;Zn8Da2fLbpJr8N9FSnt7fQXsgEu1JuogErAlkZOv5ZqKl4j1xH9/QaiD8t8TbxANyn7+2660WeJ+&#10;izzN7ISWTDGTicmtK+1dFEkRkCubiINYoM68YTU2klsk0MgqyxBXW9UN+kRh7fQF0lhjjRXXAelv&#10;6yTSsxwN0t6gWmYLY2qdSYmMEzbSUiXEpVwgnaZa5ZQOEYo/mSLJSJCG5+UVai5fYqbhfRuJHXIZ&#10;a5GYTFxhrQF/HjLRHxHm0MF4sPZOdgDrZbMdlH2CNRuDYH+bYLv4IhKwJa1/9HjfKF4i1jPv249z&#10;WO/bhRbRoOzlTrA7+SKUKSO4kGSIwZ2IAomi4FEuLDUYUfjnAXmyKb6IBmo/+W295QWBFthvbIxg&#10;oc7Bk9kU4zlNlqQGa7aDOWVTfBEN1H7yO3Mey00k2aS7sUm/D+egunuKLaJB2cuFDpu7LhHoLCuG&#10;jYFFppA4yI/NXKA19jIKGGXZVMaI4mlh/Ms5uHyJO0ZRFoyzVd5GKGVfvjDHGso75H7fk78ZiVgD&#10;U69cc/kSrDnHP0PeFjtlDPYrwQ4NtnM7IwFbZn72G8VLoJ5Zar9Qh7XUHAtEpL6lP5+MipegTC8j&#10;IrtAMRYIcOw6eBljKeyEIkNmnUz+ZiTiDB3tZU24fAnUZKdT7NrPWGN74AybhqK9SzuNbISAQVZs&#10;BBkw9XInXL4Ea7LTeTZQ3+LbBDs6noxef+RhQ1G8BOqZnfbjHNZOOyckEvXNjKUP5WWcdyY18sSs&#10;7kYCITbDuNTdSmBVDyn3ULOWkx8SDdBe1S1zF3/cRpDlEvsMWqAF3rmKuPnCSOPthwW9ADEc0G7+&#10;PRKgYYy9mQhcvkRzU3IodqZirMF+Z3ZP0rk/hgcgZHbRZJnigdprowH1MiNN/liBXLKvYB1Sfzv7&#10;FAnWkhZb+Az1/2qCwy/SQb2xyTZFAzJEygeyizRvMtK8WofT9sGbYJfnFK/dubDStFgnp7z/YO5Y&#10;fPyYP9PbvhlnwUwWvbh2mJrOkC9m31U6M9K0L0LImWmoscEJiUam/Xy3ReZmpPHO4RQ53myhjTRY&#10;a3cp0uSWcwgWTKSdzooEaOz255VpLl/oeGM+0jpjGkuysEnCpfbGquqcEs2DQR0bNwYH+wspwNNm&#10;TjdaapHrghbYwVJ/EWvadzIY1tExZHizu88nsy98v1l/TzyoH+agjve0EW4kuhs7z4wg/7YvT9UK&#10;LwpH0Ve1Ns1Htdvt6uVhbVfjpBkYr2uyE9t948fKrM4TgY0wqOm78v5l2x2pjc3Hc/+havm4/PTT&#10;uWcFv3saj8r9eLR5acbDrtr0q5qv3PNnx5+P9Mnnn8qezqML0OHqGRsdjveyh34ZboW+P7afqt9b&#10;rtlPvRlr2Jud6tTNvK5rk3TWRffGeuPfE7c9r893ioEYa4x/bU07ptd1NnV7ruwtUbd4IF1X0dZ8&#10;MOuGei2w4IrGvzw9rLd12a+5y4e+6lb14YjvCZ/pMmiR5Pp8+qV795aP+s91RefUza/VdnV4At6C&#10;Gzl3u8f3dbf6VBIQl82gKp2zPdS1Oyv54llUtaxP+3Joa3hChgtwJ4eWqGa13QL962Y3w93YB2F3&#10;8ThgYNxJfFttM53ftE3FF5z1lg6t+NNY03/P5xMf7e6fd3RU3u+68rQ/bH4o+3L+P9e6r2S7b+un&#10;qnv3bwAAAP//AwBQSwMEFAAGAAgAAAAhAEDungrdAAAABQEAAA8AAABkcnMvZG93bnJldi54bWxM&#10;j0FLw0AQhe+C/2EZwZvdpMUQ02xKKeqpCLaC9DbNTpPQ7GzIbpP037t6qZeBx3u8902+mkwrBupd&#10;Y1lBPItAEJdWN1wp+Nq/PaUgnEfW2FomBVdysCru73LMtB35k4adr0QoYZehgtr7LpPSlTUZdDPb&#10;EQfvZHuDPsi+krrHMZSbVs6jKJEGGw4LNXa0qak87y5GwfuI43oRvw7b82lzPeyfP763MSn1+DCt&#10;lyA8Tf4Whl/8gA5FYDraC2snWgXhEf93g5fMFwmIo4KXNI1BFrn8T1/8AAAA//8DAFBLAQItABQA&#10;BgAIAAAAIQC2gziS/gAAAOEBAAATAAAAAAAAAAAAAAAAAAAAAABbQ29udGVudF9UeXBlc10ueG1s&#10;UEsBAi0AFAAGAAgAAAAhADj9If/WAAAAlAEAAAsAAAAAAAAAAAAAAAAALwEAAF9yZWxzLy5yZWxz&#10;UEsBAi0AFAAGAAgAAAAhAD9NYD0ODQAACowAAA4AAAAAAAAAAAAAAAAALgIAAGRycy9lMm9Eb2Mu&#10;eG1sUEsBAi0AFAAGAAgAAAAhAEDungrdAAAABQEAAA8AAAAAAAAAAAAAAAAAaA8AAGRycy9kb3du&#10;cmV2LnhtbFBLBQYAAAAABAAEAPMAAAByEAAAAAA=&#10;">
                <v:rect id="Rectangle 20232" o:spid="_x0000_s5030" style="position:absolute;left:18686;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a1FxgAAAN4AAAAPAAAAZHJzL2Rvd25yZXYueG1sRI9Ba8JA&#10;FITvgv9heYI33RihSHQVUcQceqlV8PjIPpNo9u2SXU3aX98tFHocZuYbZrXpTSNe1PrasoLZNAFB&#10;XFhdc6ng/HmYLED4gKyxsUwKvsjDZj0crDDTtuMPep1CKSKEfYYKqhBcJqUvKjLop9YRR+9mW4Mh&#10;yraUusUuwk0j0yR5kwZrjgsVOtpVVDxOT6PgumeXHzpZ3L537v2eL5rj83xRajzqt0sQgfrwH/5r&#10;51pBmqTzFH7vxCsg1z8AAAD//wMAUEsBAi0AFAAGAAgAAAAhANvh9svuAAAAhQEAABMAAAAAAAAA&#10;AAAAAAAAAAAAAFtDb250ZW50X1R5cGVzXS54bWxQSwECLQAUAAYACAAAACEAWvQsW78AAAAVAQAA&#10;CwAAAAAAAAAAAAAAAAAfAQAAX3JlbHMvLnJlbHNQSwECLQAUAAYACAAAACEAq42tRcYAAADeAAAA&#10;DwAAAAAAAAAAAAAAAAAHAgAAZHJzL2Rvd25yZXYueG1sUEsFBgAAAAADAAMAtwAAAPoCAAAAAA==&#10;" filled="f" stroked="f">
                  <v:textbox inset="0,0,0,0">
                    <w:txbxContent>
                      <w:p w14:paraId="2C424D73" w14:textId="77777777" w:rsidR="00B32EF2" w:rsidRDefault="00000000">
                        <w:r>
                          <w:rPr>
                            <w:rFonts w:ascii="Times New Roman" w:eastAsia="Times New Roman" w:hAnsi="Times New Roman" w:cs="Times New Roman"/>
                          </w:rPr>
                          <w:t>45</w:t>
                        </w:r>
                      </w:p>
                    </w:txbxContent>
                  </v:textbox>
                </v:rect>
                <v:shape id="Shape 208042" o:spid="_x0000_s5031" style="position:absolute;top:4731;width:39600;height:58013;visibility:visible;mso-wrap-style:square;v-text-anchor:top" coordsize="3960000,580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DiexQAAAN8AAAAPAAAAZHJzL2Rvd25yZXYueG1sRE9da8Iw&#10;FH0X9h/CHfgyNLGMTapRNkFwiIO5oj7eNXdtsbkpTdT6781g4OPhfE/nna3FmVpfOdYwGioQxLkz&#10;FRcasu/lYAzCB2SDtWPScCUP89lDb4qpcRf+ovM2FCKGsE9RQxlCk0rp85Is+qFriCP361qLIcK2&#10;kKbFSwy3tUyUepEWK44NJTa0KCk/bk9Ww+Hj/WdffL5mG3vMdtkhznsya637j93bBESgLtzF/+6V&#10;0ZCosXpO4O9P/AJydgMAAP//AwBQSwECLQAUAAYACAAAACEA2+H2y+4AAACFAQAAEwAAAAAAAAAA&#10;AAAAAAAAAAAAW0NvbnRlbnRfVHlwZXNdLnhtbFBLAQItABQABgAIAAAAIQBa9CxbvwAAABUBAAAL&#10;AAAAAAAAAAAAAAAAAB8BAABfcmVscy8ucmVsc1BLAQItABQABgAIAAAAIQBmRDiexQAAAN8AAAAP&#10;AAAAAAAAAAAAAAAAAAcCAABkcnMvZG93bnJldi54bWxQSwUGAAAAAAMAAwC3AAAA+QIAAAAA&#10;" path="m,l3960000,r,5801297l,5801297,,e" fillcolor="#c3c3c3" stroked="f" strokeweight="0">
                  <v:stroke miterlimit="83231f" joinstyle="miter"/>
                  <v:path arrowok="t" textboxrect="0,0,3960000,5801297"/>
                </v:shape>
                <v:rect id="Rectangle 20234" o:spid="_x0000_s5032" style="position:absolute;left:-12189;top:60532;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JCqxgAAAN4AAAAPAAAAZHJzL2Rvd25yZXYueG1sRI9Ba8JA&#10;FITvBf/D8gRvdWNaikRXEUWag5daBY+P7DOJZt8u2dVEf323UOhxmJlvmPmyN424U+trywom4wQE&#10;cWF1zaWCw/f2dQrCB2SNjWVS8CAPy8XgZY6Zth1/0X0fShEh7DNUUIXgMil9UZFBP7aOOHpn2xoM&#10;Ubal1C12EW4amSbJhzRYc1yo0NG6ouK6vxkFpw27fNvJ4vxcu90lnzaft8NRqdGwX81ABOrDf/iv&#10;nWsFaZK+vcPvnXgF5OIHAAD//wMAUEsBAi0AFAAGAAgAAAAhANvh9svuAAAAhQEAABMAAAAAAAAA&#10;AAAAAAAAAAAAAFtDb250ZW50X1R5cGVzXS54bWxQSwECLQAUAAYACAAAACEAWvQsW78AAAAVAQAA&#10;CwAAAAAAAAAAAAAAAAAfAQAAX3JlbHMvLnJlbHNQSwECLQAUAAYACAAAACEASyiQqsYAAADeAAAA&#10;DwAAAAAAAAAAAAAAAAAHAgAAZHJzL2Rvd25yZXYueG1sUEsFBgAAAAADAAMAtwAAAPoCAAAAAA==&#10;" filled="f" stroked="f">
                  <v:textbox inset="0,0,0,0">
                    <w:txbxContent>
                      <w:p w14:paraId="0D718A9D" w14:textId="77777777" w:rsidR="00B32EF2" w:rsidRDefault="00000000">
                        <w:r>
                          <w:rPr>
                            <w:rFonts w:ascii="Arial" w:eastAsia="Arial" w:hAnsi="Arial" w:cs="Arial"/>
                            <w:i/>
                            <w:sz w:val="18"/>
                          </w:rPr>
                          <w:t xml:space="preserve">istruzioni per la sua compilazione, da notificare unitamente al modello. Il </w:t>
                        </w:r>
                      </w:p>
                    </w:txbxContent>
                  </v:textbox>
                </v:rect>
                <v:rect id="Rectangle 20235" o:spid="_x0000_s5033" style="position:absolute;left:-12190;top:59299;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UxxgAAAN4AAAAPAAAAZHJzL2Rvd25yZXYueG1sRI9Ba8JA&#10;FITvBf/D8gRvdWNKi0RXEUWag5daBY+P7DOJZt8u2dVEf323UOhxmJlvmPmyN424U+trywom4wQE&#10;cWF1zaWCw/f2dQrCB2SNjWVS8CAPy8XgZY6Zth1/0X0fShEh7DNUUIXgMil9UZFBP7aOOHpn2xoM&#10;Ubal1C12EW4amSbJhzRYc1yo0NG6ouK6vxkFpw27fNvJ4vxcu90lnzaft8NRqdGwX81ABOrDf/iv&#10;nWsFaZK+vcPvnXgF5OIHAAD//wMAUEsBAi0AFAAGAAgAAAAhANvh9svuAAAAhQEAABMAAAAAAAAA&#10;AAAAAAAAAAAAAFtDb250ZW50X1R5cGVzXS54bWxQSwECLQAUAAYACAAAACEAWvQsW78AAAAVAQAA&#10;CwAAAAAAAAAAAAAAAAAfAQAAX3JlbHMvLnJlbHNQSwECLQAUAAYACAAAACEAJGQ1McYAAADeAAAA&#10;DwAAAAAAAAAAAAAAAAAHAgAAZHJzL2Rvd25yZXYueG1sUEsFBgAAAAADAAMAtwAAAPoCAAAAAA==&#10;" filled="f" stroked="f">
                  <v:textbox inset="0,0,0,0">
                    <w:txbxContent>
                      <w:p w14:paraId="319340BE" w14:textId="77777777" w:rsidR="00B32EF2" w:rsidRDefault="00000000">
                        <w:r>
                          <w:rPr>
                            <w:rFonts w:ascii="Arial" w:eastAsia="Arial" w:hAnsi="Arial" w:cs="Arial"/>
                            <w:i/>
                            <w:sz w:val="18"/>
                          </w:rPr>
                          <w:t xml:space="preserve">modello, sottoscritto in ogni suo foglio o firmato digitalmente dalla parte </w:t>
                        </w:r>
                      </w:p>
                    </w:txbxContent>
                  </v:textbox>
                </v:rect>
                <v:rect id="Rectangle 20236" o:spid="_x0000_s5034" style="position:absolute;left:-12202;top:58066;width:5104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qtGxgAAAN4AAAAPAAAAZHJzL2Rvd25yZXYueG1sRI9Ba8JA&#10;FITvgv9heQVvumkEkdRVRBFz6KU2gsdH9pmkZt8u2dXE/vpuodDjMDPfMKvNYFrxoM43lhW8zhIQ&#10;xKXVDVcKis/DdAnCB2SNrWVS8CQPm/V4tMJM254/6HEKlYgQ9hkqqENwmZS+rMmgn1lHHL2r7QyG&#10;KLtK6g77CDetTJNkIQ02HBdqdLSrqbyd7kbBZc8uP/SyvH7v3PtXvmyP9+Ks1ORl2L6BCDSE//Bf&#10;O9cK0iSdL+D3TrwCcv0DAAD//wMAUEsBAi0AFAAGAAgAAAAhANvh9svuAAAAhQEAABMAAAAAAAAA&#10;AAAAAAAAAAAAAFtDb250ZW50X1R5cGVzXS54bWxQSwECLQAUAAYACAAAACEAWvQsW78AAAAVAQAA&#10;CwAAAAAAAAAAAAAAAAAfAQAAX3JlbHMvLnJlbHNQSwECLQAUAAYACAAAACEA1LarRsYAAADeAAAA&#10;DwAAAAAAAAAAAAAAAAAHAgAAZHJzL2Rvd25yZXYueG1sUEsFBgAAAAADAAMAtwAAAPoCAAAAAA==&#10;" filled="f" stroked="f">
                  <v:textbox inset="0,0,0,0">
                    <w:txbxContent>
                      <w:p w14:paraId="7C235202" w14:textId="77777777" w:rsidR="00B32EF2" w:rsidRDefault="00000000">
                        <w:r>
                          <w:rPr>
                            <w:rFonts w:ascii="Arial" w:eastAsia="Arial" w:hAnsi="Arial" w:cs="Arial"/>
                            <w:i/>
                            <w:sz w:val="18"/>
                          </w:rPr>
                          <w:t xml:space="preserve">che ne ha curato la compilazione, deve contenere, oltre all’indicazione del </w:t>
                        </w:r>
                      </w:p>
                    </w:txbxContent>
                  </v:textbox>
                </v:rect>
                <v:rect id="Rectangle 20237" o:spid="_x0000_s5035" style="position:absolute;left:-11211;top:56832;width:500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7dxgAAAN4AAAAPAAAAZHJzL2Rvd25yZXYueG1sRI9Ba8JA&#10;FITvBf/D8gRvdWMKrURXEUWag5daBY+P7DOJZt8u2dVEf323UOhxmJlvmPmyN424U+trywom4wQE&#10;cWF1zaWCw/f2dQrCB2SNjWVS8CAPy8XgZY6Zth1/0X0fShEh7DNUUIXgMil9UZFBP7aOOHpn2xoM&#10;Ubal1C12EW4amSbJuzRYc1yo0NG6ouK6vxkFpw27fNvJ4vxcu90lnzaft8NRqdGwX81ABOrDf/iv&#10;nWsFaZK+fcDvnXgF5OIHAAD//wMAUEsBAi0AFAAGAAgAAAAhANvh9svuAAAAhQEAABMAAAAAAAAA&#10;AAAAAAAAAAAAAFtDb250ZW50X1R5cGVzXS54bWxQSwECLQAUAAYACAAAACEAWvQsW78AAAAVAQAA&#10;CwAAAAAAAAAAAAAAAAAfAQAAX3JlbHMvLnJlbHNQSwECLQAUAAYACAAAACEAu/oO3cYAAADeAAAA&#10;DwAAAAAAAAAAAAAAAAAHAgAAZHJzL2Rvd25yZXYueG1sUEsFBgAAAAADAAMAtwAAAPoCAAAAAA==&#10;" filled="f" stroked="f">
                  <v:textbox inset="0,0,0,0">
                    <w:txbxContent>
                      <w:p w14:paraId="21647C47" w14:textId="77777777" w:rsidR="00B32EF2" w:rsidRDefault="00000000">
                        <w:r>
                          <w:rPr>
                            <w:rFonts w:ascii="Arial" w:eastAsia="Arial" w:hAnsi="Arial" w:cs="Arial"/>
                            <w:i/>
                            <w:sz w:val="18"/>
                          </w:rPr>
                          <w:t>procedimento e dell’ordinanza di ammissione da parte del giudice proce</w:t>
                        </w:r>
                      </w:p>
                    </w:txbxContent>
                  </v:textbox>
                </v:rect>
                <v:rect id="Rectangle 20238" o:spid="_x0000_s5036" style="position:absolute;left:657;top:5683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ZqvwwAAAN4AAAAPAAAAZHJzL2Rvd25yZXYueG1sRE/LisIw&#10;FN0L8w/hDsxO06kgUo0iDmIXs/EFLi/Nta02N6GJtjNfbxaCy8N5z5e9acSDWl9bVvA9SkAQF1bX&#10;XCo4HjbDKQgfkDU2lknBH3lYLj4Gc8y07XhHj30oRQxhn6GCKgSXSemLigz6kXXEkbvY1mCIsC2l&#10;brGL4aaRaZJMpMGaY0OFjtYVFbf93Sg4/7DLN50sLv9r93vNp832fjwp9fXZr2YgAvXhLX65c60g&#10;TdJx3BvvxCsgF08AAAD//wMAUEsBAi0AFAAGAAgAAAAhANvh9svuAAAAhQEAABMAAAAAAAAAAAAA&#10;AAAAAAAAAFtDb250ZW50X1R5cGVzXS54bWxQSwECLQAUAAYACAAAACEAWvQsW78AAAAVAQAACwAA&#10;AAAAAAAAAAAAAAAfAQAAX3JlbHMvLnJlbHNQSwECLQAUAAYACAAAACEAymWar8MAAADeAAAADwAA&#10;AAAAAAAAAAAAAAAHAgAAZHJzL2Rvd25yZXYueG1sUEsFBgAAAAADAAMAtwAAAPcCAAAAAA==&#10;" filled="f" stroked="f">
                  <v:textbox inset="0,0,0,0">
                    <w:txbxContent>
                      <w:p w14:paraId="5A0BE4C4" w14:textId="77777777" w:rsidR="00B32EF2" w:rsidRDefault="00000000">
                        <w:r>
                          <w:rPr>
                            <w:rFonts w:ascii="Arial" w:eastAsia="Arial" w:hAnsi="Arial" w:cs="Arial"/>
                            <w:i/>
                            <w:sz w:val="18"/>
                          </w:rPr>
                          <w:t>-</w:t>
                        </w:r>
                      </w:p>
                    </w:txbxContent>
                  </v:textbox>
                </v:rect>
                <v:rect id="Rectangle 20239" o:spid="_x0000_s5037" style="position:absolute;left:-11209;top:55599;width:500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T80xgAAAN4AAAAPAAAAZHJzL2Rvd25yZXYueG1sRI9Ba8JA&#10;FITvBf/D8gRvdWMKxUZXEUWag5daBY+P7DOJZt8u2dVEf323UOhxmJlvmPmyN424U+trywom4wQE&#10;cWF1zaWCw/f2dQrCB2SNjWVS8CAPy8XgZY6Zth1/0X0fShEh7DNUUIXgMil9UZFBP7aOOHpn2xoM&#10;Ubal1C12EW4amSbJuzRYc1yo0NG6ouK6vxkFpw27fNvJ4vxcu90lnzaft8NRqdGwX81ABOrDf/iv&#10;nWsFaZK+fcDvnXgF5OIHAAD//wMAUEsBAi0AFAAGAAgAAAAhANvh9svuAAAAhQEAABMAAAAAAAAA&#10;AAAAAAAAAAAAAFtDb250ZW50X1R5cGVzXS54bWxQSwECLQAUAAYACAAAACEAWvQsW78AAAAVAQAA&#10;CwAAAAAAAAAAAAAAAAAfAQAAX3JlbHMvLnJlbHNQSwECLQAUAAYACAAAACEApSk/NMYAAADeAAAA&#10;DwAAAAAAAAAAAAAAAAAHAgAAZHJzL2Rvd25yZXYueG1sUEsFBgAAAAADAAMAtwAAAPoCAAAAAA==&#10;" filled="f" stroked="f">
                  <v:textbox inset="0,0,0,0">
                    <w:txbxContent>
                      <w:p w14:paraId="548AF069" w14:textId="77777777" w:rsidR="00B32EF2" w:rsidRDefault="00000000">
                        <w:r>
                          <w:rPr>
                            <w:rFonts w:ascii="Arial" w:eastAsia="Arial" w:hAnsi="Arial" w:cs="Arial"/>
                            <w:i/>
                            <w:sz w:val="18"/>
                          </w:rPr>
                          <w:t>dente, idonei spazi per l’inserimento delle complete generalità del testimo</w:t>
                        </w:r>
                      </w:p>
                    </w:txbxContent>
                  </v:textbox>
                </v:rect>
                <v:rect id="Rectangle 20240" o:spid="_x0000_s5038" style="position:absolute;left:657;top:555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eXUxAAAAN4AAAAPAAAAZHJzL2Rvd25yZXYueG1sRI/LisIw&#10;FIb3wrxDOAOz03SKiFSjiIPYxWy8gctDc2yrzUloou3M05uF4PLnv/HNl71pxINaX1tW8D1KQBAX&#10;VtdcKjgeNsMpCB+QNTaWScEfeVguPgZzzLTteEePfShFHGGfoYIqBJdJ6YuKDPqRdcTRu9jWYIiy&#10;LaVusYvjppFpkkykwZrjQ4WO1hUVt/3dKDj/sMs3nSwu/2v3e82nzfZ+PCn19dmvZiAC9eEdfrVz&#10;rSBN0nEEiDgRBeTiCQAA//8DAFBLAQItABQABgAIAAAAIQDb4fbL7gAAAIUBAAATAAAAAAAAAAAA&#10;AAAAAAAAAABbQ29udGVudF9UeXBlc10ueG1sUEsBAi0AFAAGAAgAAAAhAFr0LFu/AAAAFQEAAAsA&#10;AAAAAAAAAAAAAAAAHwEAAF9yZWxzLy5yZWxzUEsBAi0AFAAGAAgAAAAhAGwV5dTEAAAA3gAAAA8A&#10;AAAAAAAAAAAAAAAABwIAAGRycy9kb3ducmV2LnhtbFBLBQYAAAAAAwADALcAAAD4AgAAAAA=&#10;" filled="f" stroked="f">
                  <v:textbox inset="0,0,0,0">
                    <w:txbxContent>
                      <w:p w14:paraId="35ABB539" w14:textId="77777777" w:rsidR="00B32EF2" w:rsidRDefault="00000000">
                        <w:r>
                          <w:rPr>
                            <w:rFonts w:ascii="Arial" w:eastAsia="Arial" w:hAnsi="Arial" w:cs="Arial"/>
                            <w:i/>
                            <w:sz w:val="18"/>
                          </w:rPr>
                          <w:t>-</w:t>
                        </w:r>
                      </w:p>
                    </w:txbxContent>
                  </v:textbox>
                </v:rect>
                <v:rect id="Rectangle 20241" o:spid="_x0000_s5039" style="position:absolute;left:-12199;top:54366;width:510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UBPxgAAAN4AAAAPAAAAZHJzL2Rvd25yZXYueG1sRI9Ba8JA&#10;FITvBf/D8oTe6sZQRFJXEUXMoRdtBI+P7DNJzb5dsqtJ++u7gtDjMDPfMIvVYFpxp843lhVMJwkI&#10;4tLqhisFxdfubQ7CB2SNrWVS8EMeVsvRywIzbXs+0P0YKhEh7DNUUIfgMil9WZNBP7GOOHoX2xkM&#10;UXaV1B32EW5amSbJTBpsOC7U6GhTU3k93oyC85ZdvutlefnduM/vfN7ub8VJqdfxsP4AEWgI/+Fn&#10;O9cK0iR9n8LjTrwCcvkHAAD//wMAUEsBAi0AFAAGAAgAAAAhANvh9svuAAAAhQEAABMAAAAAAAAA&#10;AAAAAAAAAAAAAFtDb250ZW50X1R5cGVzXS54bWxQSwECLQAUAAYACAAAACEAWvQsW78AAAAVAQAA&#10;CwAAAAAAAAAAAAAAAAAfAQAAX3JlbHMvLnJlbHNQSwECLQAUAAYACAAAACEAA1lAT8YAAADeAAAA&#10;DwAAAAAAAAAAAAAAAAAHAgAAZHJzL2Rvd25yZXYueG1sUEsFBgAAAAADAAMAtwAAAPoCAAAAAA==&#10;" filled="f" stroked="f">
                  <v:textbox inset="0,0,0,0">
                    <w:txbxContent>
                      <w:p w14:paraId="0F0C61BF" w14:textId="77777777" w:rsidR="00B32EF2" w:rsidRDefault="00000000">
                        <w:r>
                          <w:rPr>
                            <w:rFonts w:ascii="Arial" w:eastAsia="Arial" w:hAnsi="Arial" w:cs="Arial"/>
                            <w:i/>
                            <w:sz w:val="18"/>
                          </w:rPr>
                          <w:t xml:space="preserve">ne, dell’indicazione della sua residenza, del suo domicilio e, ove possibile, </w:t>
                        </w:r>
                      </w:p>
                    </w:txbxContent>
                  </v:textbox>
                </v:rect>
                <v:rect id="Rectangle 20242" o:spid="_x0000_s5040" style="position:absolute;left:-12241;top:53132;width:512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944xgAAAN4AAAAPAAAAZHJzL2Rvd25yZXYueG1sRI9Ba8JA&#10;FITvgv9heYI33RikSHQVUcQceqlV8PjIPpNo9u2SXU3aX98tFHocZuYbZrXpTSNe1PrasoLZNAFB&#10;XFhdc6ng/HmYLED4gKyxsUwKvsjDZj0crDDTtuMPep1CKSKEfYYKqhBcJqUvKjLop9YRR+9mW4Mh&#10;yraUusUuwk0j0yR5kwZrjgsVOtpVVDxOT6PgumeXHzpZ3L537v2eL5rj83xRajzqt0sQgfrwH/5r&#10;51pBmqTzFH7vxCsg1z8AAAD//wMAUEsBAi0AFAAGAAgAAAAhANvh9svuAAAAhQEAABMAAAAAAAAA&#10;AAAAAAAAAAAAAFtDb250ZW50X1R5cGVzXS54bWxQSwECLQAUAAYACAAAACEAWvQsW78AAAAVAQAA&#10;CwAAAAAAAAAAAAAAAAAfAQAAX3JlbHMvLnJlbHNQSwECLQAUAAYACAAAACEA84veOMYAAADeAAAA&#10;DwAAAAAAAAAAAAAAAAAHAgAAZHJzL2Rvd25yZXYueG1sUEsFBgAAAAADAAMAtwAAAPoCAAAAAA==&#10;" filled="f" stroked="f">
                  <v:textbox inset="0,0,0,0">
                    <w:txbxContent>
                      <w:p w14:paraId="6F139E8F" w14:textId="77777777" w:rsidR="00B32EF2" w:rsidRDefault="00000000">
                        <w:r>
                          <w:rPr>
                            <w:rFonts w:ascii="Arial" w:eastAsia="Arial" w:hAnsi="Arial" w:cs="Arial"/>
                            <w:i/>
                            <w:sz w:val="18"/>
                          </w:rPr>
                          <w:t xml:space="preserve">di un suo recapito telefonico. Deve altresì contenere l’ammonimento del </w:t>
                        </w:r>
                      </w:p>
                    </w:txbxContent>
                  </v:textbox>
                </v:rect>
                <v:rect id="Rectangle 20243" o:spid="_x0000_s5041" style="position:absolute;left:-12204;top:51899;width:510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3ujxgAAAN4AAAAPAAAAZHJzL2Rvd25yZXYueG1sRI9Ba8JA&#10;FITvBf/D8gRvdWNaikRXEUWag5daBY+P7DOJZt8u2dVEf323UOhxmJlvmPmyN424U+trywom4wQE&#10;cWF1zaWCw/f2dQrCB2SNjWVS8CAPy8XgZY6Zth1/0X0fShEh7DNUUIXgMil9UZFBP7aOOHpn2xoM&#10;Ubal1C12EW4amSbJhzRYc1yo0NG6ouK6vxkFpw27fNvJ4vxcu90lnzaft8NRqdGwX81ABOrDf/iv&#10;nWsFaZK+v8HvnXgF5OIHAAD//wMAUEsBAi0AFAAGAAgAAAAhANvh9svuAAAAhQEAABMAAAAAAAAA&#10;AAAAAAAAAAAAAFtDb250ZW50X1R5cGVzXS54bWxQSwECLQAUAAYACAAAACEAWvQsW78AAAAVAQAA&#10;CwAAAAAAAAAAAAAAAAAfAQAAX3JlbHMvLnJlbHNQSwECLQAUAAYACAAAACEAnMd7o8YAAADeAAAA&#10;DwAAAAAAAAAAAAAAAAAHAgAAZHJzL2Rvd25yZXYueG1sUEsFBgAAAAADAAMAtwAAAPoCAAAAAA==&#10;" filled="f" stroked="f">
                  <v:textbox inset="0,0,0,0">
                    <w:txbxContent>
                      <w:p w14:paraId="232459E3" w14:textId="77777777" w:rsidR="00B32EF2" w:rsidRDefault="00000000">
                        <w:r>
                          <w:rPr>
                            <w:rFonts w:ascii="Arial" w:eastAsia="Arial" w:hAnsi="Arial" w:cs="Arial"/>
                            <w:i/>
                            <w:sz w:val="18"/>
                          </w:rPr>
                          <w:t xml:space="preserve">testimone ai sensi dell’articolo 251 del codice e la formula del giuramento </w:t>
                        </w:r>
                      </w:p>
                    </w:txbxContent>
                  </v:textbox>
                </v:rect>
                <v:rect id="Rectangle 20244" o:spid="_x0000_s5042" style="position:absolute;left:-12183;top:50666;width:509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PXxgAAAN4AAAAPAAAAZHJzL2Rvd25yZXYueG1sRI9Ba8JA&#10;FITvBf/D8gre6qZBiqSuIoqYg5faCB4f2WeSmn27ZFcT/fVuodDjMDPfMPPlYFpxo843lhW8TxIQ&#10;xKXVDVcKiu/t2wyED8gaW8uk4E4elovRyxwzbXv+otshVCJC2GeooA7BZVL6siaDfmIdcfTOtjMY&#10;ouwqqTvsI9y0Mk2SD2mw4bhQo6N1TeXlcDUKTht2+baX5fmxdvuffNbursVRqfHrsPoEEWgI/+G/&#10;dq4VpEk6ncLvnXgF5OIJAAD//wMAUEsBAi0AFAAGAAgAAAAhANvh9svuAAAAhQEAABMAAAAAAAAA&#10;AAAAAAAAAAAAAFtDb250ZW50X1R5cGVzXS54bWxQSwECLQAUAAYACAAAACEAWvQsW78AAAAVAQAA&#10;CwAAAAAAAAAAAAAAAAAfAQAAX3JlbHMvLnJlbHNQSwECLQAUAAYACAAAACEAEy7j18YAAADeAAAA&#10;DwAAAAAAAAAAAAAAAAAHAgAAZHJzL2Rvd25yZXYueG1sUEsFBgAAAAADAAMAtwAAAPoCAAAAAA==&#10;" filled="f" stroked="f">
                  <v:textbox inset="0,0,0,0">
                    <w:txbxContent>
                      <w:p w14:paraId="428EBD50" w14:textId="77777777" w:rsidR="00B32EF2" w:rsidRDefault="00000000">
                        <w:r>
                          <w:rPr>
                            <w:rFonts w:ascii="Arial" w:eastAsia="Arial" w:hAnsi="Arial" w:cs="Arial"/>
                            <w:i/>
                            <w:sz w:val="18"/>
                          </w:rPr>
                          <w:t xml:space="preserve">di cui al medesimo articolo, oltre all’avviso in ordine alla facoltà di astenersi </w:t>
                        </w:r>
                      </w:p>
                    </w:txbxContent>
                  </v:textbox>
                </v:rect>
                <v:rect id="Rectangle 20245" o:spid="_x0000_s5043" style="position:absolute;left:-12182;top:49432;width:509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ZMxgAAAN4AAAAPAAAAZHJzL2Rvd25yZXYueG1sRI9Ba8JA&#10;FITvBf/D8gRvdWNoi0RXEUWag5daBY+P7DOJZt8u2dVEf323UOhxmJlvmPmyN424U+trywom4wQE&#10;cWF1zaWCw/f2dQrCB2SNjWVS8CAPy8XgZY6Zth1/0X0fShEh7DNUUIXgMil9UZFBP7aOOHpn2xoM&#10;Ubal1C12EW4amSbJhzRYc1yo0NG6ouK6vxkFpw27fNvJ4vxcu90lnzaft8NRqdGwX81ABOrDf/iv&#10;nWsFaZK+vcPvnXgF5OIHAAD//wMAUEsBAi0AFAAGAAgAAAAhANvh9svuAAAAhQEAABMAAAAAAAAA&#10;AAAAAAAAAAAAAFtDb250ZW50X1R5cGVzXS54bWxQSwECLQAUAAYACAAAACEAWvQsW78AAAAVAQAA&#10;CwAAAAAAAAAAAAAAAAAfAQAAX3JlbHMvLnJlbHNQSwECLQAUAAYACAAAACEAfGJGTMYAAADeAAAA&#10;DwAAAAAAAAAAAAAAAAAHAgAAZHJzL2Rvd25yZXYueG1sUEsFBgAAAAADAAMAtwAAAPoCAAAAAA==&#10;" filled="f" stroked="f">
                  <v:textbox inset="0,0,0,0">
                    <w:txbxContent>
                      <w:p w14:paraId="48BCFC4A" w14:textId="77777777" w:rsidR="00B32EF2" w:rsidRDefault="00000000">
                        <w:r>
                          <w:rPr>
                            <w:rFonts w:ascii="Arial" w:eastAsia="Arial" w:hAnsi="Arial" w:cs="Arial"/>
                            <w:i/>
                            <w:sz w:val="18"/>
                          </w:rPr>
                          <w:t xml:space="preserve">ai sensi degli articoli 200, 201 e 202 del codice di procedura penale, con lo </w:t>
                        </w:r>
                      </w:p>
                    </w:txbxContent>
                  </v:textbox>
                </v:rect>
                <v:rect id="Rectangle 20246" o:spid="_x0000_s5044" style="position:absolute;left:-12199;top:48199;width:51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Ng7xgAAAN4AAAAPAAAAZHJzL2Rvd25yZXYueG1sRI9Ba8JA&#10;FITvgv9heQVvumkQkdRVRBFz6KU2gsdH9pmkZt8u2dXE/vpuodDjMDPfMKvNYFrxoM43lhW8zhIQ&#10;xKXVDVcKis/DdAnCB2SNrWVS8CQPm/V4tMJM254/6HEKlYgQ9hkqqENwmZS+rMmgn1lHHL2r7QyG&#10;KLtK6g77CDetTJNkIQ02HBdqdLSrqbyd7kbBZc8uP/SyvH7v3PtXvmyP9+Ks1ORl2L6BCDSE//Bf&#10;O9cK0iSdL+D3TrwCcv0DAAD//wMAUEsBAi0AFAAGAAgAAAAhANvh9svuAAAAhQEAABMAAAAAAAAA&#10;AAAAAAAAAAAAAFtDb250ZW50X1R5cGVzXS54bWxQSwECLQAUAAYACAAAACEAWvQsW78AAAAVAQAA&#10;CwAAAAAAAAAAAAAAAAAfAQAAX3JlbHMvLnJlbHNQSwECLQAUAAYACAAAACEAjLDYO8YAAADeAAAA&#10;DwAAAAAAAAAAAAAAAAAHAgAAZHJzL2Rvd25yZXYueG1sUEsFBgAAAAADAAMAtwAAAPoCAAAAAA==&#10;" filled="f" stroked="f">
                  <v:textbox inset="0,0,0,0">
                    <w:txbxContent>
                      <w:p w14:paraId="272D93C7" w14:textId="77777777" w:rsidR="00B32EF2" w:rsidRDefault="00000000">
                        <w:r>
                          <w:rPr>
                            <w:rFonts w:ascii="Arial" w:eastAsia="Arial" w:hAnsi="Arial" w:cs="Arial"/>
                            <w:i/>
                            <w:sz w:val="18"/>
                          </w:rPr>
                          <w:t xml:space="preserve">spazio per la sottoscrizione obbligatoria del testimone, nonché le richieste </w:t>
                        </w:r>
                      </w:p>
                    </w:txbxContent>
                  </v:textbox>
                </v:rect>
                <v:rect id="Rectangle 20247" o:spid="_x0000_s5045" style="position:absolute;left:-12194;top:46966;width:510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2gxgAAAN4AAAAPAAAAZHJzL2Rvd25yZXYueG1sRI9Ba8JA&#10;FITvBf/D8gRvdWMorURXEUWag5daBY+P7DOJZt8u2dVEf323UOhxmJlvmPmyN424U+trywom4wQE&#10;cWF1zaWCw/f2dQrCB2SNjWVS8CAPy8XgZY6Zth1/0X0fShEh7DNUUIXgMil9UZFBP7aOOHpn2xoM&#10;Ubal1C12EW4amSbJuzRYc1yo0NG6ouK6vxkFpw27fNvJ4vxcu90lnzaft8NRqdGwX81ABOrDf/iv&#10;nWsFaZK+fcDvnXgF5OIHAAD//wMAUEsBAi0AFAAGAAgAAAAhANvh9svuAAAAhQEAABMAAAAAAAAA&#10;AAAAAAAAAAAAAFtDb250ZW50X1R5cGVzXS54bWxQSwECLQAUAAYACAAAACEAWvQsW78AAAAVAQAA&#10;CwAAAAAAAAAAAAAAAAAfAQAAX3JlbHMvLnJlbHNQSwECLQAUAAYACAAAACEA4/x9oMYAAADeAAAA&#10;DwAAAAAAAAAAAAAAAAAHAgAAZHJzL2Rvd25yZXYueG1sUEsFBgAAAAADAAMAtwAAAPoCAAAAAA==&#10;" filled="f" stroked="f">
                  <v:textbox inset="0,0,0,0">
                    <w:txbxContent>
                      <w:p w14:paraId="6105B814" w14:textId="77777777" w:rsidR="00B32EF2" w:rsidRDefault="00000000">
                        <w:r>
                          <w:rPr>
                            <w:rFonts w:ascii="Arial" w:eastAsia="Arial" w:hAnsi="Arial" w:cs="Arial"/>
                            <w:i/>
                            <w:sz w:val="18"/>
                          </w:rPr>
                          <w:t xml:space="preserve">di cui all’articolo 252, primo comma, del codice, ivi compresa l’indicazione </w:t>
                        </w:r>
                      </w:p>
                    </w:txbxContent>
                  </v:textbox>
                </v:rect>
                <v:rect id="Rectangle 20248" o:spid="_x0000_s5046" style="position:absolute;left:-11222;top:45733;width:5003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nSwwAAAN4AAAAPAAAAZHJzL2Rvd25yZXYueG1sRE/LisIw&#10;FN0L8w/hDsxO0ykiUo0iDmIXs/EFLi/Nta02N6GJtjNfbxaCy8N5z5e9acSDWl9bVvA9SkAQF1bX&#10;XCo4HjbDKQgfkDU2lknBH3lYLj4Gc8y07XhHj30oRQxhn6GCKgSXSemLigz6kXXEkbvY1mCIsC2l&#10;brGL4aaRaZJMpMGaY0OFjtYVFbf93Sg4/7DLN50sLv9r93vNp832fjwp9fXZr2YgAvXhLX65c60g&#10;TdJx3BvvxCsgF08AAAD//wMAUEsBAi0AFAAGAAgAAAAhANvh9svuAAAAhQEAABMAAAAAAAAAAAAA&#10;AAAAAAAAAFtDb250ZW50X1R5cGVzXS54bWxQSwECLQAUAAYACAAAACEAWvQsW78AAAAVAQAACwAA&#10;AAAAAAAAAAAAAAAfAQAAX3JlbHMvLnJlbHNQSwECLQAUAAYACAAAACEAkmPp0sMAAADeAAAADwAA&#10;AAAAAAAAAAAAAAAHAgAAZHJzL2Rvd25yZXYueG1sUEsFBgAAAAADAAMAtwAAAPcCAAAAAA==&#10;" filled="f" stroked="f">
                  <v:textbox inset="0,0,0,0">
                    <w:txbxContent>
                      <w:p w14:paraId="7AD68E07" w14:textId="77777777" w:rsidR="00B32EF2" w:rsidRDefault="00000000">
                        <w:r>
                          <w:rPr>
                            <w:rFonts w:ascii="Arial" w:eastAsia="Arial" w:hAnsi="Arial" w:cs="Arial"/>
                            <w:i/>
                            <w:sz w:val="18"/>
                          </w:rPr>
                          <w:t>di eventuali rapporti personali con le parti, e la trascrizione dei quesiti am</w:t>
                        </w:r>
                      </w:p>
                    </w:txbxContent>
                  </v:textbox>
                </v:rect>
                <v:rect id="Rectangle 20249" o:spid="_x0000_s5047" style="position:absolute;left:657;top:45733;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0xJxgAAAN4AAAAPAAAAZHJzL2Rvd25yZXYueG1sRI9Ba8JA&#10;FITvBf/D8gRvdWMoxUZXEUWag5daBY+P7DOJZt8u2dVEf323UOhxmJlvmPmyN424U+trywom4wQE&#10;cWF1zaWCw/f2dQrCB2SNjWVS8CAPy8XgZY6Zth1/0X0fShEh7DNUUIXgMil9UZFBP7aOOHpn2xoM&#10;Ubal1C12EW4amSbJuzRYc1yo0NG6ouK6vxkFpw27fNvJ4vxcu90lnzaft8NRqdGwX81ABOrDf/iv&#10;nWsFaZK+fcDvnXgF5OIHAAD//wMAUEsBAi0AFAAGAAgAAAAhANvh9svuAAAAhQEAABMAAAAAAAAA&#10;AAAAAAAAAAAAAFtDb250ZW50X1R5cGVzXS54bWxQSwECLQAUAAYACAAAACEAWvQsW78AAAAVAQAA&#10;CwAAAAAAAAAAAAAAAAAfAQAAX3JlbHMvLnJlbHNQSwECLQAUAAYACAAAACEA/S9MScYAAADeAAAA&#10;DwAAAAAAAAAAAAAAAAAHAgAAZHJzL2Rvd25yZXYueG1sUEsFBgAAAAADAAMAtwAAAPoCAAAAAA==&#10;" filled="f" stroked="f">
                  <v:textbox inset="0,0,0,0">
                    <w:txbxContent>
                      <w:p w14:paraId="4CA2B5D0" w14:textId="77777777" w:rsidR="00B32EF2" w:rsidRDefault="00000000">
                        <w:r>
                          <w:rPr>
                            <w:rFonts w:ascii="Arial" w:eastAsia="Arial" w:hAnsi="Arial" w:cs="Arial"/>
                            <w:i/>
                            <w:sz w:val="18"/>
                          </w:rPr>
                          <w:t>-</w:t>
                        </w:r>
                      </w:p>
                    </w:txbxContent>
                  </v:textbox>
                </v:rect>
                <v:rect id="Rectangle 20250" o:spid="_x0000_s5048" style="position:absolute;left:-12190;top:44499;width:510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HMJxAAAAN4AAAAPAAAAZHJzL2Rvd25yZXYueG1sRI/LisIw&#10;FIb3wrxDOAOz03QKilSjiIPYxWy8gctDc2yrzUloou3M05uF4PLnv/HNl71pxINaX1tW8D1KQBAX&#10;VtdcKjgeNsMpCB+QNTaWScEfeVguPgZzzLTteEePfShFHGGfoYIqBJdJ6YuKDPqRdcTRu9jWYIiy&#10;LaVusYvjppFpkkykwZrjQ4WO1hUVt/3dKDj/sMs3nSwu/2v3e82nzfZ+PCn19dmvZiAC9eEdfrVz&#10;rSBN0nEEiDgRBeTiCQAA//8DAFBLAQItABQABgAIAAAAIQDb4fbL7gAAAIUBAAATAAAAAAAAAAAA&#10;AAAAAAAAAABbQ29udGVudF9UeXBlc10ueG1sUEsBAi0AFAAGAAgAAAAhAFr0LFu/AAAAFQEAAAsA&#10;AAAAAAAAAAAAAAAAHwEAAF9yZWxzLy5yZWxzUEsBAi0AFAAGAAgAAAAhAOnMcwnEAAAA3gAAAA8A&#10;AAAAAAAAAAAAAAAABwIAAGRycy9kb3ducmV2LnhtbFBLBQYAAAAAAwADALcAAAD4AgAAAAA=&#10;" filled="f" stroked="f">
                  <v:textbox inset="0,0,0,0">
                    <w:txbxContent>
                      <w:p w14:paraId="5708A84F" w14:textId="77777777" w:rsidR="00B32EF2" w:rsidRDefault="00000000">
                        <w:r>
                          <w:rPr>
                            <w:rFonts w:ascii="Arial" w:eastAsia="Arial" w:hAnsi="Arial" w:cs="Arial"/>
                            <w:i/>
                            <w:sz w:val="18"/>
                          </w:rPr>
                          <w:t xml:space="preserve">messi, con l’avvertenza che il testimone deve rendere risposte specifiche </w:t>
                        </w:r>
                      </w:p>
                    </w:txbxContent>
                  </v:textbox>
                </v:rect>
                <v:rect id="Rectangle 20251" o:spid="_x0000_s5049" style="position:absolute;left:-11206;top:43266;width:500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aSxgAAAN4AAAAPAAAAZHJzL2Rvd25yZXYueG1sRI9Ba8JA&#10;FITvBf/D8oTe6sZARVJXEUXMoRdtBI+P7DNJzb5dsqtJ++u7gtDjMDPfMIvVYFpxp843lhVMJwkI&#10;4tLqhisFxdfubQ7CB2SNrWVS8EMeVsvRywIzbXs+0P0YKhEh7DNUUIfgMil9WZNBP7GOOHoX2xkM&#10;UXaV1B32EW5amSbJTBpsOC7U6GhTU3k93oyC85ZdvutlefnduM/vfN7ub8VJqdfxsP4AEWgI/+Fn&#10;O9cK0iR9n8LjTrwCcvkHAAD//wMAUEsBAi0AFAAGAAgAAAAhANvh9svuAAAAhQEAABMAAAAAAAAA&#10;AAAAAAAAAAAAAFtDb250ZW50X1R5cGVzXS54bWxQSwECLQAUAAYACAAAACEAWvQsW78AAAAVAQAA&#10;CwAAAAAAAAAAAAAAAAAfAQAAX3JlbHMvLnJlbHNQSwECLQAUAAYACAAAACEAhoDWksYAAADeAAAA&#10;DwAAAAAAAAAAAAAAAAAHAgAAZHJzL2Rvd25yZXYueG1sUEsFBgAAAAADAAMAtwAAAPoCAAAAAA==&#10;" filled="f" stroked="f">
                  <v:textbox inset="0,0,0,0">
                    <w:txbxContent>
                      <w:p w14:paraId="2EAE7C13" w14:textId="77777777" w:rsidR="00B32EF2" w:rsidRDefault="00000000">
                        <w:r>
                          <w:rPr>
                            <w:rFonts w:ascii="Arial" w:eastAsia="Arial" w:hAnsi="Arial" w:cs="Arial"/>
                            <w:i/>
                            <w:sz w:val="18"/>
                          </w:rPr>
                          <w:t>e pertinenti a ciascuna domanda e deve altresì precisare se ha avuto co</w:t>
                        </w:r>
                      </w:p>
                    </w:txbxContent>
                  </v:textbox>
                </v:rect>
                <v:rect id="Rectangle 20252" o:spid="_x0000_s5050" style="position:absolute;left:657;top:432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jlxgAAAN4AAAAPAAAAZHJzL2Rvd25yZXYueG1sRI9Ba8JA&#10;FITvgv9heYI33RiwSHQVUcQceqlV8PjIPpNo9u2SXU3aX98tFHocZuYbZrXpTSNe1PrasoLZNAFB&#10;XFhdc6ng/HmYLED4gKyxsUwKvsjDZj0crDDTtuMPep1CKSKEfYYKqhBcJqUvKjLop9YRR+9mW4Mh&#10;yraUusUuwk0j0yR5kwZrjgsVOtpVVDxOT6PgumeXHzpZ3L537v2eL5rj83xRajzqt0sQgfrwH/5r&#10;51pBmqTzFH7vxCsg1z8AAAD//wMAUEsBAi0AFAAGAAgAAAAhANvh9svuAAAAhQEAABMAAAAAAAAA&#10;AAAAAAAAAAAAAFtDb250ZW50X1R5cGVzXS54bWxQSwECLQAUAAYACAAAACEAWvQsW78AAAAVAQAA&#10;CwAAAAAAAAAAAAAAAAAfAQAAX3JlbHMvLnJlbHNQSwECLQAUAAYACAAAACEAdlJI5cYAAADeAAAA&#10;DwAAAAAAAAAAAAAAAAAHAgAAZHJzL2Rvd25yZXYueG1sUEsFBgAAAAADAAMAtwAAAPoCAAAAAA==&#10;" filled="f" stroked="f">
                  <v:textbox inset="0,0,0,0">
                    <w:txbxContent>
                      <w:p w14:paraId="3E25669C" w14:textId="77777777" w:rsidR="00B32EF2" w:rsidRDefault="00000000">
                        <w:r>
                          <w:rPr>
                            <w:rFonts w:ascii="Arial" w:eastAsia="Arial" w:hAnsi="Arial" w:cs="Arial"/>
                            <w:i/>
                            <w:sz w:val="18"/>
                          </w:rPr>
                          <w:t>-</w:t>
                        </w:r>
                      </w:p>
                    </w:txbxContent>
                  </v:textbox>
                </v:rect>
                <v:rect id="Rectangle 20253" o:spid="_x0000_s5051" style="position:absolute;left:-10960;top:42033;width:497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1+xgAAAN4AAAAPAAAAZHJzL2Rvd25yZXYueG1sRI9Ba8JA&#10;FITvBf/D8gRvdWNKi0RXEUWag5daBY+P7DOJZt8u2dVEf323UOhxmJlvmPmyN424U+trywom4wQE&#10;cWF1zaWCw/f2dQrCB2SNjWVS8CAPy8XgZY6Zth1/0X0fShEh7DNUUIXgMil9UZFBP7aOOHpn2xoM&#10;Ubal1C12EW4amSbJhzRYc1yo0NG6ouK6vxkFpw27fNvJ4vxcu90lnzaft8NRqdGwX81ABOrDf/iv&#10;nWsFaZK+v8HvnXgF5OIHAAD//wMAUEsBAi0AFAAGAAgAAAAhANvh9svuAAAAhQEAABMAAAAAAAAA&#10;AAAAAAAAAAAAAFtDb250ZW50X1R5cGVzXS54bWxQSwECLQAUAAYACAAAACEAWvQsW78AAAAVAQAA&#10;CwAAAAAAAAAAAAAAAAAfAQAAX3JlbHMvLnJlbHNQSwECLQAUAAYACAAAACEAGR7tfsYAAADeAAAA&#10;DwAAAAAAAAAAAAAAAAAHAgAAZHJzL2Rvd25yZXYueG1sUEsFBgAAAAADAAMAtwAAAPoCAAAAAA==&#10;" filled="f" stroked="f">
                  <v:textbox inset="0,0,0,0">
                    <w:txbxContent>
                      <w:p w14:paraId="56494106" w14:textId="77777777" w:rsidR="00B32EF2" w:rsidRDefault="00000000">
                        <w:r>
                          <w:rPr>
                            <w:rFonts w:ascii="Arial" w:eastAsia="Arial" w:hAnsi="Arial" w:cs="Arial"/>
                            <w:i/>
                            <w:sz w:val="18"/>
                          </w:rPr>
                          <w:t xml:space="preserve">noscenza dei fatti oggetto della testimonianza in modo diretto o indiretto. </w:t>
                        </w:r>
                      </w:p>
                    </w:txbxContent>
                  </v:textbox>
                </v:rect>
                <v:rect id="Rectangle 201688" o:spid="_x0000_s5052" style="position:absolute;left:25505;top:40799;width:510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qwwAAAN8AAAAPAAAAZHJzL2Rvd25yZXYueG1sRE9Ni8Iw&#10;EL0v+B/CCN7WVA9SqlFEEXvwoqvgcWjGttpMQhNt9ddvDgt7fLzvxao3jXhR62vLCibjBARxYXXN&#10;pYLzz+47BeEDssbGMil4k4fVcvC1wEzbjo/0OoVSxBD2GSqoQnCZlL6oyKAfW0ccuZttDYYI21Lq&#10;FrsYbho5TZKZNFhzbKjQ0aai4nF6GgXXLbt818ni9tm4wz1Pm/3zfFFqNOzXcxCB+vAv/nPnWsE0&#10;mczSODj+iV9ALn8BAAD//wMAUEsBAi0AFAAGAAgAAAAhANvh9svuAAAAhQEAABMAAAAAAAAAAAAA&#10;AAAAAAAAAFtDb250ZW50X1R5cGVzXS54bWxQSwECLQAUAAYACAAAACEAWvQsW78AAAAVAQAACwAA&#10;AAAAAAAAAAAAAAAfAQAAX3JlbHMvLnJlbHNQSwECLQAUAAYACAAAACEAklv3asMAAADfAAAADwAA&#10;AAAAAAAAAAAAAAAHAgAAZHJzL2Rvd25yZXYueG1sUEsFBgAAAAADAAMAtwAAAPcCAAAAAA==&#10;" filled="f" stroked="f">
                  <v:textbox inset="0,0,0,0">
                    <w:txbxContent>
                      <w:p w14:paraId="4F1882F3" w14:textId="77777777" w:rsidR="00B32EF2" w:rsidRDefault="00000000">
                        <w:r>
                          <w:rPr>
                            <w:rFonts w:ascii="Arial" w:eastAsia="Arial" w:hAnsi="Arial" w:cs="Arial"/>
                            <w:i/>
                            <w:sz w:val="18"/>
                          </w:rPr>
                          <w:t>2</w:t>
                        </w:r>
                      </w:p>
                    </w:txbxContent>
                  </v:textbox>
                </v:rect>
                <v:rect id="Rectangle 201690" o:spid="_x0000_s5053" style="position:absolute;left:-12853;top:40799;width:510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G2xxQAAAN8AAAAPAAAAZHJzL2Rvd25yZXYueG1sRI/NisIw&#10;FIX3wrxDuAPuNNWFaMco4iDTxWzUCi4vzbXt2NyEJto6T28WgsvD+eNbrnvTiDu1vrasYDJOQBAX&#10;VtdcKsiPu9EchA/IGhvLpOBBHtarj8ESU2073tP9EEoRR9inqKAKwaVS+qIig35sHXH0LrY1GKJs&#10;S6lb7OK4aeQ0SWbSYM3xoUJH24qK6+FmFJy/2WW7ThaX/637/cvmzc8tPyk1/Ow3XyAC9eEdfrUz&#10;rWCaTGaLSBB5IgvI1RMAAP//AwBQSwECLQAUAAYACAAAACEA2+H2y+4AAACFAQAAEwAAAAAAAAAA&#10;AAAAAAAAAAAAW0NvbnRlbnRfVHlwZXNdLnhtbFBLAQItABQABgAIAAAAIQBa9CxbvwAAABUBAAAL&#10;AAAAAAAAAAAAAAAAAB8BAABfcmVscy8ucmVsc1BLAQItABQABgAIAAAAIQDp9G2xxQAAAN8AAAAP&#10;AAAAAAAAAAAAAAAAAAcCAABkcnMvZG93bnJldi54bWxQSwUGAAAAAAMAAwC3AAAA+QIAAAAA&#10;" filled="f" stroked="f">
                  <v:textbox inset="0,0,0,0">
                    <w:txbxContent>
                      <w:p w14:paraId="7ECAF999" w14:textId="77777777" w:rsidR="00B32EF2" w:rsidRDefault="00000000">
                        <w:r>
                          <w:rPr>
                            <w:rFonts w:ascii="Arial" w:eastAsia="Arial" w:hAnsi="Arial" w:cs="Arial"/>
                            <w:i/>
                            <w:sz w:val="18"/>
                          </w:rPr>
                          <w:t xml:space="preserve">. Quando il modulo è compilato su supporto cartaceo, al termine di ogni </w:t>
                        </w:r>
                      </w:p>
                    </w:txbxContent>
                  </v:textbox>
                </v:rect>
                <v:rect id="Rectangle 20255" o:spid="_x0000_s5054" style="position:absolute;left:-12181;top:39566;width:509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9CRxgAAAN4AAAAPAAAAZHJzL2Rvd25yZXYueG1sRI9Ba8JA&#10;FITvBf/D8gre6qYBi6SuIoqYg5faCB4f2WeSmn27ZFcT/fVuodDjMDPfMPPlYFpxo843lhW8TxIQ&#10;xKXVDVcKiu/t2wyED8gaW8uk4E4elovRyxwzbXv+otshVCJC2GeooA7BZVL6siaDfmIdcfTOtjMY&#10;ouwqqTvsI9y0Mk2SD2mw4bhQo6N1TeXlcDUKTht2+baX5fmxdvuffNbursVRqfHrsPoEEWgI/+G/&#10;dq4VpEk6ncLvnXgF5OIJAAD//wMAUEsBAi0AFAAGAAgAAAAhANvh9svuAAAAhQEAABMAAAAAAAAA&#10;AAAAAAAAAAAAAFtDb250ZW50X1R5cGVzXS54bWxQSwECLQAUAAYACAAAACEAWvQsW78AAAAVAQAA&#10;CwAAAAAAAAAAAAAAAAAfAQAAX3JlbHMvLnJlbHNQSwECLQAUAAYACAAAACEA+bvQkcYAAADeAAAA&#10;DwAAAAAAAAAAAAAAAAAHAgAAZHJzL2Rvd25yZXYueG1sUEsFBgAAAAADAAMAtwAAAPoCAAAAAA==&#10;" filled="f" stroked="f">
                  <v:textbox inset="0,0,0,0">
                    <w:txbxContent>
                      <w:p w14:paraId="7A310F6B" w14:textId="77777777" w:rsidR="00B32EF2" w:rsidRDefault="00000000">
                        <w:r>
                          <w:rPr>
                            <w:rFonts w:ascii="Arial" w:eastAsia="Arial" w:hAnsi="Arial" w:cs="Arial"/>
                            <w:i/>
                            <w:sz w:val="18"/>
                          </w:rPr>
                          <w:t xml:space="preserve">risposta è apposta, di seguito e senza lasciare spazi vuoti, la sottoscrizione </w:t>
                        </w:r>
                      </w:p>
                    </w:txbxContent>
                  </v:textbox>
                </v:rect>
                <v:rect id="Rectangle 20256" o:spid="_x0000_s5055" style="position:absolute;left:22753;top:38333;width:160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U7mxgAAAN4AAAAPAAAAZHJzL2Rvd25yZXYueG1sRI9Ba8JA&#10;FITvgv9heQVvumlAkdRVRBFz6KU2gsdH9pmkZt8u2dXE/vpuodDjMDPfMKvNYFrxoM43lhW8zhIQ&#10;xKXVDVcKis/DdAnCB2SNrWVS8CQPm/V4tMJM254/6HEKlYgQ9hkqqENwmZS+rMmgn1lHHL2r7QyG&#10;KLtK6g77CDetTJNkIQ02HBdqdLSrqbyd7kbBZc8uP/SyvH7v3PtXvmyP9+Ks1ORl2L6BCDSE//Bf&#10;O9cK0iSdL+D3TrwCcv0DAAD//wMAUEsBAi0AFAAGAAgAAAAhANvh9svuAAAAhQEAABMAAAAAAAAA&#10;AAAAAAAAAAAAAFtDb250ZW50X1R5cGVzXS54bWxQSwECLQAUAAYACAAAACEAWvQsW78AAAAVAQAA&#10;CwAAAAAAAAAAAAAAAAAfAQAAX3JlbHMvLnJlbHNQSwECLQAUAAYACAAAACEACWlO5sYAAADeAAAA&#10;DwAAAAAAAAAAAAAAAAAHAgAAZHJzL2Rvd25yZXYueG1sUEsFBgAAAAADAAMAtwAAAPoCAAAAAA==&#10;" filled="f" stroked="f">
                  <v:textbox inset="0,0,0,0">
                    <w:txbxContent>
                      <w:p w14:paraId="1DC05445" w14:textId="77777777" w:rsidR="00B32EF2" w:rsidRDefault="00000000">
                        <w:r>
                          <w:rPr>
                            <w:rFonts w:ascii="Arial" w:eastAsia="Arial" w:hAnsi="Arial" w:cs="Arial"/>
                            <w:i/>
                            <w:sz w:val="18"/>
                          </w:rPr>
                          <w:t xml:space="preserve">da parte del testimone. </w:t>
                        </w:r>
                      </w:p>
                    </w:txbxContent>
                  </v:textbox>
                </v:rect>
                <v:rect id="Rectangle 201683" o:spid="_x0000_s5056" style="position:absolute;left:25767;top:37100;width:5003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UbxwAAAN8AAAAPAAAAZHJzL2Rvd25yZXYueG1sRI9Ba8JA&#10;FITvBf/D8gRvdaMFCdFVRJHm4KVWweMj+0yi2bdLdjXRX98tFHocZuYbZrHqTSMe1PrasoLJOAFB&#10;XFhdc6ng+L17T0H4gKyxsUwKnuRhtRy8LTDTtuMvehxCKSKEfYYKqhBcJqUvKjLox9YRR+9iW4Mh&#10;yraUusUuwk0jp0kykwZrjgsVOtpUVNwOd6PgvGWX7zpZXF4bt7/mafN5P56UGg379RxEoD78h//a&#10;uVYwTSaz9AN+/8QvIJc/AAAA//8DAFBLAQItABQABgAIAAAAIQDb4fbL7gAAAIUBAAATAAAAAAAA&#10;AAAAAAAAAAAAAABbQ29udGVudF9UeXBlc10ueG1sUEsBAi0AFAAGAAgAAAAhAFr0LFu/AAAAFQEA&#10;AAsAAAAAAAAAAAAAAAAAHwEAAF9yZWxzLy5yZWxzUEsBAi0AFAAGAAgAAAAhAJz/ZRvHAAAA3wAA&#10;AA8AAAAAAAAAAAAAAAAABwIAAGRycy9kb3ducmV2LnhtbFBLBQYAAAAAAwADALcAAAD7AgAAAAA=&#10;" filled="f" stroked="f">
                  <v:textbox inset="0,0,0,0">
                    <w:txbxContent>
                      <w:p w14:paraId="65CB479A" w14:textId="77777777" w:rsidR="00B32EF2" w:rsidRDefault="00000000">
                        <w:r>
                          <w:rPr>
                            <w:rFonts w:ascii="Arial" w:eastAsia="Arial" w:hAnsi="Arial" w:cs="Arial"/>
                            <w:i/>
                            <w:sz w:val="18"/>
                          </w:rPr>
                          <w:t>3</w:t>
                        </w:r>
                      </w:p>
                    </w:txbxContent>
                  </v:textbox>
                </v:rect>
                <v:rect id="Rectangle 201685" o:spid="_x0000_s5057" style="position:absolute;left:-11878;top:37100;width:5003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lj0xwAAAN8AAAAPAAAAZHJzL2Rvd25yZXYueG1sRI9Ba8JA&#10;FITvBf/D8gRvdaNQCdFVRJHm4KVWweMj+0yi2bdLdjXRX98tFHocZuYbZrHqTSMe1PrasoLJOAFB&#10;XFhdc6ng+L17T0H4gKyxsUwKnuRhtRy8LTDTtuMvehxCKSKEfYYKqhBcJqUvKjLox9YRR+9iW4Mh&#10;yraUusUuwk0jp0kykwZrjgsVOtpUVNwOd6PgvGWX7zpZXF4bt7/mafN5P56UGg379RxEoD78h//a&#10;uVYwTSaz9AN+/8QvIJc/AAAA//8DAFBLAQItABQABgAIAAAAIQDb4fbL7gAAAIUBAAATAAAAAAAA&#10;AAAAAAAAAAAAAABbQ29udGVudF9UeXBlc10ueG1sUEsBAi0AFAAGAAgAAAAhAFr0LFu/AAAAFQEA&#10;AAsAAAAAAAAAAAAAAAAAHwEAAF9yZWxzLy5yZWxzUEsBAi0AFAAGAAgAAAAhAHxaWPTHAAAA3wAA&#10;AA8AAAAAAAAAAAAAAAAABwIAAGRycy9kb3ducmV2LnhtbFBLBQYAAAAAAwADALcAAAD7AgAAAAA=&#10;" filled="f" stroked="f">
                  <v:textbox inset="0,0,0,0">
                    <w:txbxContent>
                      <w:p w14:paraId="4AA74C6D" w14:textId="77777777" w:rsidR="00B32EF2" w:rsidRDefault="00000000">
                        <w:r>
                          <w:rPr>
                            <w:rFonts w:ascii="Arial" w:eastAsia="Arial" w:hAnsi="Arial" w:cs="Arial"/>
                            <w:i/>
                            <w:sz w:val="18"/>
                          </w:rPr>
                          <w:t>. Le sottoscrizioni apposte sul modulo redatto su supporto cartaceo de</w:t>
                        </w:r>
                      </w:p>
                    </w:txbxContent>
                  </v:textbox>
                </v:rect>
                <v:rect id="Rectangle 20258" o:spid="_x0000_s5058" style="position:absolute;left:657;top:3710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n8PwwAAAN4AAAAPAAAAZHJzL2Rvd25yZXYueG1sRE/LisIw&#10;FN0L8w/hDsxO0ykoUo0iDmIXs/EFLi/Nta02N6GJtjNfbxaCy8N5z5e9acSDWl9bVvA9SkAQF1bX&#10;XCo4HjbDKQgfkDU2lknBH3lYLj4Gc8y07XhHj30oRQxhn6GCKgSXSemLigz6kXXEkbvY1mCIsC2l&#10;brGL4aaRaZJMpMGaY0OFjtYVFbf93Sg4/7DLN50sLv9r93vNp832fjwp9fXZr2YgAvXhLX65c60g&#10;TdJx3BvvxCsgF08AAAD//wMAUEsBAi0AFAAGAAgAAAAhANvh9svuAAAAhQEAABMAAAAAAAAAAAAA&#10;AAAAAAAAAFtDb250ZW50X1R5cGVzXS54bWxQSwECLQAUAAYACAAAACEAWvQsW78AAAAVAQAACwAA&#10;AAAAAAAAAAAAAAAfAQAAX3JlbHMvLnJlbHNQSwECLQAUAAYACAAAACEAF7p/D8MAAADeAAAADwAA&#10;AAAAAAAAAAAAAAAHAgAAZHJzL2Rvd25yZXYueG1sUEsFBgAAAAADAAMAtwAAAPcCAAAAAA==&#10;" filled="f" stroked="f">
                  <v:textbox inset="0,0,0,0">
                    <w:txbxContent>
                      <w:p w14:paraId="1DC0DE04" w14:textId="77777777" w:rsidR="00B32EF2" w:rsidRDefault="00000000">
                        <w:r>
                          <w:rPr>
                            <w:rFonts w:ascii="Arial" w:eastAsia="Arial" w:hAnsi="Arial" w:cs="Arial"/>
                            <w:i/>
                            <w:sz w:val="18"/>
                          </w:rPr>
                          <w:t>-</w:t>
                        </w:r>
                      </w:p>
                    </w:txbxContent>
                  </v:textbox>
                </v:rect>
                <v:rect id="Rectangle 20259" o:spid="_x0000_s5059" style="position:absolute;left:-12252;top:35866;width:512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tqUxgAAAN4AAAAPAAAAZHJzL2Rvd25yZXYueG1sRI9Ba8JA&#10;FITvBf/D8gRvdWOgxUZXEUWag5daBY+P7DOJZt8u2dVEf323UOhxmJlvmPmyN424U+trywom4wQE&#10;cWF1zaWCw/f2dQrCB2SNjWVS8CAPy8XgZY6Zth1/0X0fShEh7DNUUIXgMil9UZFBP7aOOHpn2xoM&#10;Ubal1C12EW4amSbJuzRYc1yo0NG6ouK6vxkFpw27fNvJ4vxcu90lnzaft8NRqdGwX81ABOrDf/iv&#10;nWsFaZK+fcDvnXgF5OIHAAD//wMAUEsBAi0AFAAGAAgAAAAhANvh9svuAAAAhQEAABMAAAAAAAAA&#10;AAAAAAAAAAAAAFtDb250ZW50X1R5cGVzXS54bWxQSwECLQAUAAYACAAAACEAWvQsW78AAAAVAQAA&#10;CwAAAAAAAAAAAAAAAAAfAQAAX3JlbHMvLnJlbHNQSwECLQAUAAYACAAAACEAePbalMYAAADeAAAA&#10;DwAAAAAAAAAAAAAAAAAHAgAAZHJzL2Rvd25yZXYueG1sUEsFBgAAAAADAAMAtwAAAPoCAAAAAA==&#10;" filled="f" stroked="f">
                  <v:textbox inset="0,0,0,0">
                    <w:txbxContent>
                      <w:p w14:paraId="4F8C6D7D" w14:textId="77777777" w:rsidR="00B32EF2" w:rsidRDefault="00000000">
                        <w:r>
                          <w:rPr>
                            <w:rFonts w:ascii="Arial" w:eastAsia="Arial" w:hAnsi="Arial" w:cs="Arial"/>
                            <w:i/>
                            <w:sz w:val="18"/>
                          </w:rPr>
                          <w:t xml:space="preserve">vono essere autenticate da un segretario comunale o dal cancelliere di </w:t>
                        </w:r>
                      </w:p>
                    </w:txbxContent>
                  </v:textbox>
                </v:rect>
                <v:rect id="Rectangle 20260" o:spid="_x0000_s5060" style="position:absolute;left:-12189;top:34633;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m0xQAAAN4AAAAPAAAAZHJzL2Rvd25yZXYueG1sRI+7asMw&#10;FIb3Qt5BnEC3Ro4HExwroSSEeMhSN4WOB+v4klpHwlJit09fDYWOP/+Nr9jPZhAPGn1vWcF6lYAg&#10;rq3uuVVwfT+9bED4gKxxsEwKvsnDfrd4KjDXduI3elShFXGEfY4KuhBcLqWvOzLoV9YRR6+xo8EQ&#10;5dhKPeIUx80g0yTJpMGe40OHjg4d1V/V3Sj4PLIrT5Osm5+Du9zKzXC+Xz+Uel7Or1sQgebwH/5r&#10;l1pBmqRZBIg4EQXk7hcAAP//AwBQSwECLQAUAAYACAAAACEA2+H2y+4AAACFAQAAEwAAAAAAAAAA&#10;AAAAAAAAAAAAW0NvbnRlbnRfVHlwZXNdLnhtbFBLAQItABQABgAIAAAAIQBa9CxbvwAAABUBAAAL&#10;AAAAAAAAAAAAAAAAAB8BAABfcmVscy8ucmVsc1BLAQItABQABgAIAAAAIQAnoLm0xQAAAN4AAAAP&#10;AAAAAAAAAAAAAAAAAAcCAABkcnMvZG93bnJldi54bWxQSwUGAAAAAAMAAwC3AAAA+QIAAAAA&#10;" filled="f" stroked="f">
                  <v:textbox inset="0,0,0,0">
                    <w:txbxContent>
                      <w:p w14:paraId="1A0C2310" w14:textId="77777777" w:rsidR="00B32EF2" w:rsidRDefault="00000000">
                        <w:r>
                          <w:rPr>
                            <w:rFonts w:ascii="Arial" w:eastAsia="Arial" w:hAnsi="Arial" w:cs="Arial"/>
                            <w:i/>
                            <w:sz w:val="18"/>
                          </w:rPr>
                          <w:t xml:space="preserve">un ufficio giudiziario. L’autentica delle sottoscrizioni è in ogni caso gratuita </w:t>
                        </w:r>
                      </w:p>
                    </w:txbxContent>
                  </v:textbox>
                </v:rect>
                <v:rect id="Rectangle 20261" o:spid="_x0000_s5061" style="position:absolute;left:3456;top:33400;width:353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BwvxgAAAN4AAAAPAAAAZHJzL2Rvd25yZXYueG1sRI9Pi8Iw&#10;FMTvgt8hvAVvmtqDSNco4iL24MV/4PHRPNuuzUtoou3upzcLCx6HmfkNs1j1phFPan1tWcF0koAg&#10;LqyuuVRwPm3HcxA+IGtsLJOCH/KwWg4HC8y07fhAz2MoRYSwz1BBFYLLpPRFRQb9xDri6N1sazBE&#10;2ZZSt9hFuGlkmiQzabDmuFCho01Fxf34MAquX+zybSeL2+/G7b/zebN7nC9KjT769SeIQH14h//b&#10;uVaQJulsCn934hWQyxcAAAD//wMAUEsBAi0AFAAGAAgAAAAhANvh9svuAAAAhQEAABMAAAAAAAAA&#10;AAAAAAAAAAAAAFtDb250ZW50X1R5cGVzXS54bWxQSwECLQAUAAYACAAAACEAWvQsW78AAAAVAQAA&#10;CwAAAAAAAAAAAAAAAAAfAQAAX3JlbHMvLnJlbHNQSwECLQAUAAYACAAAACEASOwcL8YAAADeAAAA&#10;DwAAAAAAAAAAAAAAAAAHAgAAZHJzL2Rvd25yZXYueG1sUEsFBgAAAAADAAMAtwAAAPoCAAAAAA==&#10;" filled="f" stroked="f">
                  <v:textbox inset="0,0,0,0">
                    <w:txbxContent>
                      <w:p w14:paraId="361B1C5D" w14:textId="77777777" w:rsidR="00B32EF2" w:rsidRDefault="00000000">
                        <w:r>
                          <w:rPr>
                            <w:rFonts w:ascii="Arial" w:eastAsia="Arial" w:hAnsi="Arial" w:cs="Arial"/>
                            <w:i/>
                            <w:sz w:val="18"/>
                          </w:rPr>
                          <w:t>nonché esente dall’imposta di bollo e da ogni diritto.</w:t>
                        </w:r>
                      </w:p>
                    </w:txbxContent>
                  </v:textbox>
                </v:rect>
                <v:rect id="Rectangle 20262" o:spid="_x0000_s5062" style="position:absolute;left:22829;top:32166;width:159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oJYxgAAAN4AAAAPAAAAZHJzL2Rvd25yZXYueG1sRI9Pi8Iw&#10;FMTvC36H8IS9rak9iFSjiCL2sJf1D3h8NM+22ryEJtrqp98sLHgcZuY3zHzZm0Y8qPW1ZQXjUQKC&#10;uLC65lLB8bD9moLwAVljY5kUPMnDcjH4mGOmbcc/9NiHUkQI+wwVVCG4TEpfVGTQj6wjjt7FtgZD&#10;lG0pdYtdhJtGpkkykQZrjgsVOlpXVNz2d6PgvGGXbztZXF5r933Np83ufjwp9TnsVzMQgfrwDv+3&#10;c60gTdJJCn934hWQi18AAAD//wMAUEsBAi0AFAAGAAgAAAAhANvh9svuAAAAhQEAABMAAAAAAAAA&#10;AAAAAAAAAAAAAFtDb250ZW50X1R5cGVzXS54bWxQSwECLQAUAAYACAAAACEAWvQsW78AAAAVAQAA&#10;CwAAAAAAAAAAAAAAAAAfAQAAX3JlbHMvLnJlbHNQSwECLQAUAAYACAAAACEAuD6CWMYAAADeAAAA&#10;DwAAAAAAAAAAAAAAAAAHAgAAZHJzL2Rvd25yZXYueG1sUEsFBgAAAAADAAMAtwAAAPoCAAAAAA==&#10;" filled="f" stroked="f">
                  <v:textbox inset="0,0,0,0">
                    <w:txbxContent>
                      <w:p w14:paraId="4E32693F" w14:textId="77777777" w:rsidR="00B32EF2" w:rsidRDefault="00000000">
                        <w:r>
                          <w:rPr>
                            <w:rFonts w:ascii="Arial" w:eastAsia="Arial" w:hAnsi="Arial" w:cs="Arial"/>
                            <w:b/>
                            <w:i/>
                            <w:sz w:val="18"/>
                          </w:rPr>
                          <w:t xml:space="preserve">NORME COLLEGATE </w:t>
                        </w:r>
                      </w:p>
                    </w:txbxContent>
                  </v:textbox>
                </v:rect>
                <v:rect id="Rectangle 20263" o:spid="_x0000_s5063" style="position:absolute;left:15355;top:30933;width:234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ifDxgAAAN4AAAAPAAAAZHJzL2Rvd25yZXYueG1sRI9Ba8JA&#10;FITvgv9heQVvumkEkdRVRBFz6KU2gsdH9pmkZt8u2dXE/vpuodDjMDPfMKvNYFrxoM43lhW8zhIQ&#10;xKXVDVcKis/DdAnCB2SNrWVS8CQPm/V4tMJM254/6HEKlYgQ9hkqqENwmZS+rMmgn1lHHL2r7QyG&#10;KLtK6g77CDetTJNkIQ02HBdqdLSrqbyd7kbBZc8uP/SyvH7v3PtXvmyP9+Ks1ORl2L6BCDSE//Bf&#10;O9cK0iRdzOH3TrwCcv0DAAD//wMAUEsBAi0AFAAGAAgAAAAhANvh9svuAAAAhQEAABMAAAAAAAAA&#10;AAAAAAAAAAAAAFtDb250ZW50X1R5cGVzXS54bWxQSwECLQAUAAYACAAAACEAWvQsW78AAAAVAQAA&#10;CwAAAAAAAAAAAAAAAAAfAQAAX3JlbHMvLnJlbHNQSwECLQAUAAYACAAAACEA13Inw8YAAADeAAAA&#10;DwAAAAAAAAAAAAAAAAAHAgAAZHJzL2Rvd25yZXYueG1sUEsFBgAAAAADAAMAtwAAAPoCAAAAAA==&#10;" filled="f" stroked="f">
                  <v:textbox inset="0,0,0,0">
                    <w:txbxContent>
                      <w:p w14:paraId="38E91B1E" w14:textId="77777777" w:rsidR="00B32EF2" w:rsidRDefault="00000000">
                        <w:r>
                          <w:rPr>
                            <w:rFonts w:ascii="Arial" w:eastAsia="Arial" w:hAnsi="Arial" w:cs="Arial"/>
                            <w:i/>
                            <w:sz w:val="18"/>
                          </w:rPr>
                          <w:t xml:space="preserve">art. 61 c.p.c. “Consulente tecnico” </w:t>
                        </w:r>
                      </w:p>
                    </w:txbxContent>
                  </v:textbox>
                </v:rect>
                <v:rect id="Rectangle 201680" o:spid="_x0000_s5064" style="position:absolute;left:25490;top:29700;width:511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ftsxQAAAN8AAAAPAAAAZHJzL2Rvd25yZXYueG1sRI/NisIw&#10;FIX3A75DuIK7MdWFlGoUUcQu3OgouLw017ba3IQm2urTTxYDszycP77FqjeNeFHra8sKJuMEBHFh&#10;dc2lgvPP7jsF4QOyxsYyKXiTh9Vy8LXATNuOj/Q6hVLEEfYZKqhCcJmUvqjIoB9bRxy9m20Nhijb&#10;UuoWuzhuGjlNkpk0WHN8qNDRpqLicXoaBdctu3zXyeL22bjDPU+b/fN8UWo07NdzEIH68B/+a+da&#10;wTSZzNJIEHkiC8jlLwAAAP//AwBQSwECLQAUAAYACAAAACEA2+H2y+4AAACFAQAAEwAAAAAAAAAA&#10;AAAAAAAAAAAAW0NvbnRlbnRfVHlwZXNdLnhtbFBLAQItABQABgAIAAAAIQBa9CxbvwAAABUBAAAL&#10;AAAAAAAAAAAAAAAAAB8BAABfcmVscy8ucmVsc1BLAQItABQABgAIAAAAIQBsLftsxQAAAN8AAAAP&#10;AAAAAAAAAAAAAAAAAAcCAABkcnMvZG93bnJldi54bWxQSwUGAAAAAAMAAwC3AAAA+QIAAAAA&#10;" filled="f" stroked="f">
                  <v:textbox inset="0,0,0,0">
                    <w:txbxContent>
                      <w:p w14:paraId="6F7E5AB6" w14:textId="77777777" w:rsidR="00B32EF2" w:rsidRDefault="00000000">
                        <w:r>
                          <w:rPr>
                            <w:rFonts w:ascii="Arial" w:eastAsia="Arial" w:hAnsi="Arial" w:cs="Arial"/>
                            <w:i/>
                            <w:sz w:val="18"/>
                          </w:rPr>
                          <w:t>1</w:t>
                        </w:r>
                      </w:p>
                    </w:txbxContent>
                  </v:textbox>
                </v:rect>
                <v:rect id="Rectangle 201681" o:spid="_x0000_s5065" style="position:absolute;left:-12816;top:29700;width:511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V73xwAAAN8AAAAPAAAAZHJzL2Rvd25yZXYueG1sRI9Ba8JA&#10;FITvBf/D8oTe6iYeJERXEUXMoZeqhR4f2WcSzb5dsquJ/vpuoeBxmJlvmMVqMK24U+cbywrSSQKC&#10;uLS64UrB6bj7yED4gKyxtUwKHuRhtRy9LTDXtucvuh9CJSKEfY4K6hBcLqUvazLoJ9YRR+9sO4Mh&#10;yq6SusM+wk0rp0kykwYbjgs1OtrUVF4PN6PgZ8uu2PWyPD837vNSZO3+dvpW6n08rOcgAg3hFf5v&#10;F1rBNElnWQp/f+IXkMtfAAAA//8DAFBLAQItABQABgAIAAAAIQDb4fbL7gAAAIUBAAATAAAAAAAA&#10;AAAAAAAAAAAAAABbQ29udGVudF9UeXBlc10ueG1sUEsBAi0AFAAGAAgAAAAhAFr0LFu/AAAAFQEA&#10;AAsAAAAAAAAAAAAAAAAAHwEAAF9yZWxzLy5yZWxzUEsBAi0AFAAGAAgAAAAhAANhXvfHAAAA3wAA&#10;AA8AAAAAAAAAAAAAAAAABwIAAGRycy9kb3ducmV2LnhtbFBLBQYAAAAAAwADALcAAAD7AgAAAAA=&#10;" filled="f" stroked="f">
                  <v:textbox inset="0,0,0,0">
                    <w:txbxContent>
                      <w:p w14:paraId="688F1885" w14:textId="77777777" w:rsidR="00B32EF2" w:rsidRDefault="00000000">
                        <w:r>
                          <w:rPr>
                            <w:rFonts w:ascii="Arial" w:eastAsia="Arial" w:hAnsi="Arial" w:cs="Arial"/>
                            <w:i/>
                            <w:sz w:val="18"/>
                          </w:rPr>
                          <w:t xml:space="preserve">. Quando è necessario, il giudice può farsi assistere, per il compimento </w:t>
                        </w:r>
                      </w:p>
                    </w:txbxContent>
                  </v:textbox>
                </v:rect>
                <v:rect id="Rectangle 20265" o:spid="_x0000_s5066" style="position:absolute;left:-12206;top:28466;width:510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xosxgAAAN4AAAAPAAAAZHJzL2Rvd25yZXYueG1sRI9Ba8JA&#10;FITvgv9heQVvumlAkdRVRBFz6KU2gsdH9pmkZt8u2dXE/vpuodDjMDPfMKvNYFrxoM43lhW8zhIQ&#10;xKXVDVcKis/DdAnCB2SNrWVS8CQPm/V4tMJM254/6HEKlYgQ9hkqqENwmZS+rMmgn1lHHL2r7QyG&#10;KLtK6g77CDetTJNkIQ02HBdqdLSrqbyd7kbBZc8uP/SyvH7v3PtXvmyP9+Ks1ORl2L6BCDSE//Bf&#10;O9cK0iRdzOH3TrwCcv0DAAD//wMAUEsBAi0AFAAGAAgAAAAhANvh9svuAAAAhQEAABMAAAAAAAAA&#10;AAAAAAAAAAAAAFtDb250ZW50X1R5cGVzXS54bWxQSwECLQAUAAYACAAAACEAWvQsW78AAAAVAQAA&#10;CwAAAAAAAAAAAAAAAAAfAQAAX3JlbHMvLnJlbHNQSwECLQAUAAYACAAAACEAN9caLMYAAADeAAAA&#10;DwAAAAAAAAAAAAAAAAAHAgAAZHJzL2Rvd25yZXYueG1sUEsFBgAAAAADAAMAtwAAAPoCAAAAAA==&#10;" filled="f" stroked="f">
                  <v:textbox inset="0,0,0,0">
                    <w:txbxContent>
                      <w:p w14:paraId="7DDEF519" w14:textId="77777777" w:rsidR="00B32EF2" w:rsidRDefault="00000000">
                        <w:r>
                          <w:rPr>
                            <w:rFonts w:ascii="Arial" w:eastAsia="Arial" w:hAnsi="Arial" w:cs="Arial"/>
                            <w:i/>
                            <w:sz w:val="18"/>
                          </w:rPr>
                          <w:t xml:space="preserve">di singoli atti o per tutto il processo, da uno o più consulenti di particolare </w:t>
                        </w:r>
                      </w:p>
                    </w:txbxContent>
                  </v:textbox>
                </v:rect>
                <v:rect id="Rectangle 20266" o:spid="_x0000_s5067" style="position:absolute;left:24330;top:27233;width:144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YRbxgAAAN4AAAAPAAAAZHJzL2Rvd25yZXYueG1sRI9Pi8Iw&#10;FMTvC36H8Bb2tqbbQ5FqFFHEHvay/gGPj+bZdrd5CU201U+/EQSPw8z8hpktBtOKK3W+sazga5yA&#10;IC6tbrhScNhvPicgfEDW2FomBTfysJiP3maYa9vzD113oRIRwj5HBXUILpfSlzUZ9GPriKN3tp3B&#10;EGVXSd1hH+GmlWmSZNJgw3GhRkermsq/3cUoOK3ZFZteluf7yn3/FpN2ezkclfp4H5ZTEIGG8Ao/&#10;24VWkCZplsHjTrwCcv4PAAD//wMAUEsBAi0AFAAGAAgAAAAhANvh9svuAAAAhQEAABMAAAAAAAAA&#10;AAAAAAAAAAAAAFtDb250ZW50X1R5cGVzXS54bWxQSwECLQAUAAYACAAAACEAWvQsW78AAAAVAQAA&#10;CwAAAAAAAAAAAAAAAAAfAQAAX3JlbHMvLnJlbHNQSwECLQAUAAYACAAAACEAxwWEW8YAAADeAAAA&#10;DwAAAAAAAAAAAAAAAAAHAgAAZHJzL2Rvd25yZXYueG1sUEsFBgAAAAADAAMAtwAAAPoCAAAAAA==&#10;" filled="f" stroked="f">
                  <v:textbox inset="0,0,0,0">
                    <w:txbxContent>
                      <w:p w14:paraId="25DE2933" w14:textId="77777777" w:rsidR="00B32EF2" w:rsidRDefault="00000000">
                        <w:r>
                          <w:rPr>
                            <w:rFonts w:ascii="Arial" w:eastAsia="Arial" w:hAnsi="Arial" w:cs="Arial"/>
                            <w:i/>
                            <w:sz w:val="18"/>
                          </w:rPr>
                          <w:t xml:space="preserve">competenza tecnica. </w:t>
                        </w:r>
                      </w:p>
                    </w:txbxContent>
                  </v:textbox>
                </v:rect>
                <v:rect id="Rectangle 201664" o:spid="_x0000_s5068" style="position:absolute;left:25745;top:26000;width:501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uVxwAAAN8AAAAPAAAAZHJzL2Rvd25yZXYueG1sRI9Ba8JA&#10;FITvBf/D8gRvdaOUINFVRJHm4KVWweMj+0yi2bdLdjXRX98tFHocZuYbZrHqTSMe1PrasoLJOAFB&#10;XFhdc6ng+L17n4HwAVljY5kUPMnDajl4W2Cmbcdf9DiEUkQI+wwVVCG4TEpfVGTQj60jjt7FtgZD&#10;lG0pdYtdhJtGTpMklQZrjgsVOtpUVNwOd6PgvGWX7zpZXF4bt7/ms+bzfjwpNRr26zmIQH34D/+1&#10;c61gmkzS9AN+/8QvIJc/AAAA//8DAFBLAQItABQABgAIAAAAIQDb4fbL7gAAAIUBAAATAAAAAAAA&#10;AAAAAAAAAAAAAABbQ29udGVudF9UeXBlc10ueG1sUEsBAi0AFAAGAAgAAAAhAFr0LFu/AAAAFQEA&#10;AAsAAAAAAAAAAAAAAAAAHwEAAF9yZWxzLy5yZWxzUEsBAi0AFAAGAAgAAAAhAKMaG5XHAAAA3wAA&#10;AA8AAAAAAAAAAAAAAAAABwIAAGRycy9kb3ducmV2LnhtbFBLBQYAAAAAAwADALcAAAD7AgAAAAA=&#10;" filled="f" stroked="f">
                  <v:textbox inset="0,0,0,0">
                    <w:txbxContent>
                      <w:p w14:paraId="4D791DEE" w14:textId="77777777" w:rsidR="00B32EF2" w:rsidRDefault="00000000">
                        <w:r>
                          <w:rPr>
                            <w:rFonts w:ascii="Arial" w:eastAsia="Arial" w:hAnsi="Arial" w:cs="Arial"/>
                            <w:i/>
                            <w:sz w:val="18"/>
                          </w:rPr>
                          <w:t>2</w:t>
                        </w:r>
                      </w:p>
                    </w:txbxContent>
                  </v:textbox>
                </v:rect>
                <v:rect id="Rectangle 201667" o:spid="_x0000_s5069" style="position:absolute;left:-11948;top:26000;width:501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IXixwAAAN8AAAAPAAAAZHJzL2Rvd25yZXYueG1sRI9Ba8JA&#10;FITvgv9heUJvutFDKtFVRJHm4KVWweMj+0yi2bdLdjWxv75bKPQ4zMw3zHLdm0Y8qfW1ZQXTSQKC&#10;uLC65lLB6Ws/noPwAVljY5kUvMjDejUcLDHTtuNPeh5DKSKEfYYKqhBcJqUvKjLoJ9YRR+9qW4Mh&#10;yraUusUuwk0jZ0mSSoM1x4UKHW0rKu7Hh1Fw2bHL950srt9bd7jl8+bjcTor9TbqNwsQgfrwH/5r&#10;51rBLJmm6Tv8/olfQK5+AAAA//8DAFBLAQItABQABgAIAAAAIQDb4fbL7gAAAIUBAAATAAAAAAAA&#10;AAAAAAAAAAAAAABbQ29udGVudF9UeXBlc10ueG1sUEsBAi0AFAAGAAgAAAAhAFr0LFu/AAAAFQEA&#10;AAsAAAAAAAAAAAAAAAAAHwEAAF9yZWxzLy5yZWxzUEsBAi0AFAAGAAgAAAAhAFPIheLHAAAA3wAA&#10;AA8AAAAAAAAAAAAAAAAABwIAAGRycy9kb3ducmV2LnhtbFBLBQYAAAAAAwADALcAAAD7AgAAAAA=&#10;" filled="f" stroked="f">
                  <v:textbox inset="0,0,0,0">
                    <w:txbxContent>
                      <w:p w14:paraId="132CB97D" w14:textId="77777777" w:rsidR="00B32EF2" w:rsidRDefault="00000000">
                        <w:r>
                          <w:rPr>
                            <w:rFonts w:ascii="Arial" w:eastAsia="Arial" w:hAnsi="Arial" w:cs="Arial"/>
                            <w:i/>
                            <w:sz w:val="18"/>
                          </w:rPr>
                          <w:t>. La scelta dei consulenti tecnici deve essere normalmente fatta tra le per</w:t>
                        </w:r>
                      </w:p>
                    </w:txbxContent>
                  </v:textbox>
                </v:rect>
                <v:rect id="Rectangle 20268" o:spid="_x0000_s5070" style="position:absolute;left:657;top:260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rWyxAAAAN4AAAAPAAAAZHJzL2Rvd25yZXYueG1sRE+7asMw&#10;FN0L+QdxA90aOR5McKyEkhDiIUvdFDperOtHal0JS4ndfn01FDoezrvYz2YQDxp9b1nBepWAIK6t&#10;7rlVcH0/vWxA+ICscbBMCr7Jw363eCow13biN3pUoRUxhH2OCroQXC6lrzsy6FfWEUeusaPBEOHY&#10;Sj3iFMPNINMkyaTBnmNDh44OHdVf1d0o+DyyK0+TrJufg7vcys1wvl8/lHpezq9bEIHm8C/+c5da&#10;QZqkWdwb78QrIHe/AAAA//8DAFBLAQItABQABgAIAAAAIQDb4fbL7gAAAIUBAAATAAAAAAAAAAAA&#10;AAAAAAAAAABbQ29udGVudF9UeXBlc10ueG1sUEsBAi0AFAAGAAgAAAAhAFr0LFu/AAAAFQEAAAsA&#10;AAAAAAAAAAAAAAAAHwEAAF9yZWxzLy5yZWxzUEsBAi0AFAAGAAgAAAAhANnWtbLEAAAA3gAAAA8A&#10;AAAAAAAAAAAAAAAABwIAAGRycy9kb3ducmV2LnhtbFBLBQYAAAAAAwADALcAAAD4AgAAAAA=&#10;" filled="f" stroked="f">
                  <v:textbox inset="0,0,0,0">
                    <w:txbxContent>
                      <w:p w14:paraId="3C1870B0" w14:textId="77777777" w:rsidR="00B32EF2" w:rsidRDefault="00000000">
                        <w:r>
                          <w:rPr>
                            <w:rFonts w:ascii="Arial" w:eastAsia="Arial" w:hAnsi="Arial" w:cs="Arial"/>
                            <w:i/>
                            <w:sz w:val="18"/>
                          </w:rPr>
                          <w:t>-</w:t>
                        </w:r>
                      </w:p>
                    </w:txbxContent>
                  </v:textbox>
                </v:rect>
                <v:rect id="Rectangle 20269" o:spid="_x0000_s5071" style="position:absolute;left:-12184;top:24767;width:509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hApxgAAAN4AAAAPAAAAZHJzL2Rvd25yZXYueG1sRI9Ba8JA&#10;FITvBf/D8oTe6sYcxEZXEUWagxethR4f2WcSzb5dsquJ/fVdQfA4zMw3zHzZm0bcqPW1ZQXjUQKC&#10;uLC65lLB8Xv7MQXhA7LGxjIpuJOH5WLwNsdM2473dDuEUkQI+wwVVCG4TEpfVGTQj6wjjt7JtgZD&#10;lG0pdYtdhJtGpkkykQZrjgsVOlpXVFwOV6Pgd8Mu33ayOP2t3e6cT5uv6/FHqfdhv5qBCNSHV/jZ&#10;zrWCNEknn/C4E6+AXPwDAAD//wMAUEsBAi0AFAAGAAgAAAAhANvh9svuAAAAhQEAABMAAAAAAAAA&#10;AAAAAAAAAAAAAFtDb250ZW50X1R5cGVzXS54bWxQSwECLQAUAAYACAAAACEAWvQsW78AAAAVAQAA&#10;CwAAAAAAAAAAAAAAAAAfAQAAX3JlbHMvLnJlbHNQSwECLQAUAAYACAAAACEAtpoQKcYAAADeAAAA&#10;DwAAAAAAAAAAAAAAAAAHAgAAZHJzL2Rvd25yZXYueG1sUEsFBgAAAAADAAMAtwAAAPoCAAAAAA==&#10;" filled="f" stroked="f">
                  <v:textbox inset="0,0,0,0">
                    <w:txbxContent>
                      <w:p w14:paraId="110BB3A5" w14:textId="77777777" w:rsidR="00B32EF2" w:rsidRDefault="00000000">
                        <w:r>
                          <w:rPr>
                            <w:rFonts w:ascii="Arial" w:eastAsia="Arial" w:hAnsi="Arial" w:cs="Arial"/>
                            <w:i/>
                            <w:sz w:val="18"/>
                          </w:rPr>
                          <w:t xml:space="preserve">sone iscritte in albi speciali formati a norma delle disposizioni di attuazione </w:t>
                        </w:r>
                      </w:p>
                    </w:txbxContent>
                  </v:textbox>
                </v:rect>
                <v:rect id="Rectangle 20270" o:spid="_x0000_s5072" style="position:absolute;left:25574;top:23533;width:132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9pxAAAAN4AAAAPAAAAZHJzL2Rvd25yZXYueG1sRI/LisIw&#10;FIb3wrxDOAOz03S6UKlGEQexi9l4A5eH5thWm5PQRNuZpzcLweXPf+ObL3vTiAe1vras4HuUgCAu&#10;rK65VHA8bIZTED4ga2wsk4I/8rBcfAzmmGnb8Y4e+1CKOMI+QwVVCC6T0hcVGfQj64ijd7GtwRBl&#10;W0rdYhfHTSPTJBlLgzXHhwodrSsqbvu7UXD+YZdvOllc/tfu95pPm+39eFLq67NfzUAE6sM7/Grn&#10;WkGapJMIEHEiCsjFEwAA//8DAFBLAQItABQABgAIAAAAIQDb4fbL7gAAAIUBAAATAAAAAAAAAAAA&#10;AAAAAAAAAABbQ29udGVudF9UeXBlc10ueG1sUEsBAi0AFAAGAAgAAAAhAFr0LFu/AAAAFQEAAAsA&#10;AAAAAAAAAAAAAAAAHwEAAF9yZWxzLy5yZWxzUEsBAi0AFAAGAAgAAAAhAKJ5L2nEAAAA3gAAAA8A&#10;AAAAAAAAAAAAAAAABwIAAGRycy9kb3ducmV2LnhtbFBLBQYAAAAAAwADALcAAAD4AgAAAAA=&#10;" filled="f" stroked="f">
                  <v:textbox inset="0,0,0,0">
                    <w:txbxContent>
                      <w:p w14:paraId="1ABDE194" w14:textId="77777777" w:rsidR="00B32EF2" w:rsidRDefault="00000000">
                        <w:r>
                          <w:rPr>
                            <w:rFonts w:ascii="Arial" w:eastAsia="Arial" w:hAnsi="Arial" w:cs="Arial"/>
                            <w:i/>
                            <w:sz w:val="18"/>
                          </w:rPr>
                          <w:t>al presente Codice.</w:t>
                        </w:r>
                      </w:p>
                    </w:txbxContent>
                  </v:textbox>
                </v:rect>
                <v:rect id="Rectangle 20271" o:spid="_x0000_s5073" style="position:absolute;left:-5722;top:22300;width:445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YryxgAAAN4AAAAPAAAAZHJzL2Rvd25yZXYueG1sRI9Ba8JA&#10;FITvBf/D8oTe6sYcqqSuIoqYQy/aCB4f2WeSmn27ZFeT9td3BaHHYWa+YRarwbTiTp1vLCuYThIQ&#10;xKXVDVcKiq/d2xyED8gaW8uk4Ic8rJajlwVm2vZ8oPsxVCJC2GeooA7BZVL6siaDfmIdcfQutjMY&#10;ouwqqTvsI9y0Mk2Sd2mw4bhQo6NNTeX1eDMKzlt2+a6X5eV34z6/83m7vxUnpV7Hw/oDRKAh/Ief&#10;7VwrSJN0NoXHnXgF5PIPAAD//wMAUEsBAi0AFAAGAAgAAAAhANvh9svuAAAAhQEAABMAAAAAAAAA&#10;AAAAAAAAAAAAAFtDb250ZW50X1R5cGVzXS54bWxQSwECLQAUAAYACAAAACEAWvQsW78AAAAVAQAA&#10;CwAAAAAAAAAAAAAAAAAfAQAAX3JlbHMvLnJlbHNQSwECLQAUAAYACAAAACEAzTWK8sYAAADeAAAA&#10;DwAAAAAAAAAAAAAAAAAHAgAAZHJzL2Rvd25yZXYueG1sUEsFBgAAAAADAAMAtwAAAPoCAAAAAA==&#10;" filled="f" stroked="f">
                  <v:textbox inset="0,0,0,0">
                    <w:txbxContent>
                      <w:p w14:paraId="30ED471C" w14:textId="77777777" w:rsidR="00B32EF2" w:rsidRDefault="00000000">
                        <w:r>
                          <w:rPr>
                            <w:rFonts w:ascii="Arial" w:eastAsia="Arial" w:hAnsi="Arial" w:cs="Arial"/>
                            <w:i/>
                            <w:sz w:val="18"/>
                          </w:rPr>
                          <w:t xml:space="preserve">art.134 c.p.c “Forma, contenuto e comunicazione dell’ordinanza.” </w:t>
                        </w:r>
                      </w:p>
                    </w:txbxContent>
                  </v:textbox>
                </v:rect>
                <v:rect id="Rectangle 201660" o:spid="_x0000_s5074" style="position:absolute;left:25762;top:21067;width:500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R2WxQAAAN8AAAAPAAAAZHJzL2Rvd25yZXYueG1sRI/NisIw&#10;FIX3A75DuIK7MdVFkWoUUcQu3OgouLw017ba3IQm2urTTxYDszycP77FqjeNeFHra8sKJuMEBHFh&#10;dc2lgvPP7nsGwgdkjY1lUvAmD6vl4GuBmbYdH+l1CqWII+wzVFCF4DIpfVGRQT+2jjh6N9saDFG2&#10;pdQtdnHcNHKaJKk0WHN8qNDRpqLicXoaBdctu3zXyeL22bjDPZ81++f5otRo2K/nIAL14T/81861&#10;gmkySdNIEHkiC8jlLwAAAP//AwBQSwECLQAUAAYACAAAACEA2+H2y+4AAACFAQAAEwAAAAAAAAAA&#10;AAAAAAAAAAAAW0NvbnRlbnRfVHlwZXNdLnhtbFBLAQItABQABgAIAAAAIQBa9CxbvwAAABUBAAAL&#10;AAAAAAAAAAAAAAAAAB8BAABfcmVscy8ucmVsc1BLAQItABQABgAIAAAAIQDcIR2WxQAAAN8AAAAP&#10;AAAAAAAAAAAAAAAAAAcCAABkcnMvZG93bnJldi54bWxQSwUGAAAAAAMAAwC3AAAA+QIAAAAA&#10;" filled="f" stroked="f">
                  <v:textbox inset="0,0,0,0">
                    <w:txbxContent>
                      <w:p w14:paraId="0925E69C" w14:textId="77777777" w:rsidR="00B32EF2" w:rsidRDefault="00000000">
                        <w:r>
                          <w:rPr>
                            <w:rFonts w:ascii="Arial" w:eastAsia="Arial" w:hAnsi="Arial" w:cs="Arial"/>
                            <w:i/>
                            <w:sz w:val="18"/>
                          </w:rPr>
                          <w:t>1</w:t>
                        </w:r>
                      </w:p>
                    </w:txbxContent>
                  </v:textbox>
                </v:rect>
                <v:rect id="Rectangle 201662" o:spid="_x0000_s5075" style="position:absolute;left:-11826;top:21067;width:500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yZ6xwAAAN8AAAAPAAAAZHJzL2Rvd25yZXYueG1sRI9Ba8JA&#10;FITvBf/D8oTe6sYcgkRXEUXMoZeqhR4f2WcSzb5dsquJ/vpuoeBxmJlvmMVqMK24U+cbywqmkwQE&#10;cWl1w5WC03H3MQPhA7LG1jIpeJCH1XL0tsBc256/6H4IlYgQ9jkqqENwuZS+rMmgn1hHHL2z7QyG&#10;KLtK6g77CDetTJMkkwYbjgs1OtrUVF4PN6PgZ8uu2PWyPD837vNSzNr97fSt1Pt4WM9BBBrCK/zf&#10;LrSCNJlmWQp/f+IXkMtfAAAA//8DAFBLAQItABQABgAIAAAAIQDb4fbL7gAAAIUBAAATAAAAAAAA&#10;AAAAAAAAAAAAAABbQ29udGVudF9UeXBlc10ueG1sUEsBAi0AFAAGAAgAAAAhAFr0LFu/AAAAFQEA&#10;AAsAAAAAAAAAAAAAAAAAHwEAAF9yZWxzLy5yZWxzUEsBAi0AFAAGAAgAAAAhAEO/JnrHAAAA3wAA&#10;AA8AAAAAAAAAAAAAAAAABwIAAGRycy9kb3ducmV2LnhtbFBLBQYAAAAAAwADALcAAAD7AgAAAAA=&#10;" filled="f" stroked="f">
                  <v:textbox inset="0,0,0,0">
                    <w:txbxContent>
                      <w:p w14:paraId="18998C2E" w14:textId="77777777" w:rsidR="00B32EF2" w:rsidRDefault="00000000">
                        <w:r>
                          <w:rPr>
                            <w:rFonts w:ascii="Arial" w:eastAsia="Arial" w:hAnsi="Arial" w:cs="Arial"/>
                            <w:i/>
                            <w:sz w:val="18"/>
                          </w:rPr>
                          <w:t>. L’ordinanza è succintamente motivata. Se è pronunciata in udienza è in</w:t>
                        </w:r>
                      </w:p>
                    </w:txbxContent>
                  </v:textbox>
                </v:rect>
                <v:rect id="Rectangle 20273" o:spid="_x0000_s5076" style="position:absolute;left:657;top:210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7EexgAAAN4AAAAPAAAAZHJzL2Rvd25yZXYueG1sRI9Ba8JA&#10;FITvBf/D8gRvdWMKrURXEUWag5daBY+P7DOJZt8u2dVEf323UOhxmJlvmPmyN424U+trywom4wQE&#10;cWF1zaWCw/f2dQrCB2SNjWVS8CAPy8XgZY6Zth1/0X0fShEh7DNUUIXgMil9UZFBP7aOOHpn2xoM&#10;Ubal1C12EW4amSbJuzRYc1yo0NG6ouK6vxkFpw27fNvJ4vxcu90lnzaft8NRqdGwX81ABOrDf/iv&#10;nWsFaZJ+vMHvnXgF5OIHAAD//wMAUEsBAi0AFAAGAAgAAAAhANvh9svuAAAAhQEAABMAAAAAAAAA&#10;AAAAAAAAAAAAAFtDb250ZW50X1R5cGVzXS54bWxQSwECLQAUAAYACAAAACEAWvQsW78AAAAVAQAA&#10;CwAAAAAAAAAAAAAAAAAfAQAAX3JlbHMvLnJlbHNQSwECLQAUAAYACAAAACEAUquxHsYAAADeAAAA&#10;DwAAAAAAAAAAAAAAAAAHAgAAZHJzL2Rvd25yZXYueG1sUEsFBgAAAAADAAMAtwAAAPoCAAAAAA==&#10;" filled="f" stroked="f">
                  <v:textbox inset="0,0,0,0">
                    <w:txbxContent>
                      <w:p w14:paraId="79AEC28D" w14:textId="77777777" w:rsidR="00B32EF2" w:rsidRDefault="00000000">
                        <w:r>
                          <w:rPr>
                            <w:rFonts w:ascii="Arial" w:eastAsia="Arial" w:hAnsi="Arial" w:cs="Arial"/>
                            <w:i/>
                            <w:sz w:val="18"/>
                          </w:rPr>
                          <w:t>-</w:t>
                        </w:r>
                      </w:p>
                    </w:txbxContent>
                  </v:textbox>
                </v:rect>
                <v:rect id="Rectangle 20274" o:spid="_x0000_s5077" style="position:absolute;left:-12192;top:19833;width:510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ilqxgAAAN4AAAAPAAAAZHJzL2Rvd25yZXYueG1sRI9Ba8JA&#10;FITvBf/D8gRvdWMorURXEUWag5daBY+P7DOJZt8u2dVEf323UOhxmJlvmPmyN424U+trywom4wQE&#10;cWF1zaWCw/f2dQrCB2SNjWVS8CAPy8XgZY6Zth1/0X0fShEh7DNUUIXgMil9UZFBP7aOOHpn2xoM&#10;Ubal1C12EW4amSbJuzRYc1yo0NG6ouK6vxkFpw27fNvJ4vxcu90lnzaft8NRqdGwX81ABOrDf/iv&#10;nWsFaZJ+vMHvnXgF5OIHAAD//wMAUEsBAi0AFAAGAAgAAAAhANvh9svuAAAAhQEAABMAAAAAAAAA&#10;AAAAAAAAAAAAAFtDb250ZW50X1R5cGVzXS54bWxQSwECLQAUAAYACAAAACEAWvQsW78AAAAVAQAA&#10;CwAAAAAAAAAAAAAAAAAfAQAAX3JlbHMvLnJlbHNQSwECLQAUAAYACAAAACEA3UIpasYAAADeAAAA&#10;DwAAAAAAAAAAAAAAAAAHAgAAZHJzL2Rvd25yZXYueG1sUEsFBgAAAAADAAMAtwAAAPoCAAAAAA==&#10;" filled="f" stroked="f">
                  <v:textbox inset="0,0,0,0">
                    <w:txbxContent>
                      <w:p w14:paraId="54D0D6A8" w14:textId="77777777" w:rsidR="00B32EF2" w:rsidRDefault="00000000">
                        <w:r>
                          <w:rPr>
                            <w:rFonts w:ascii="Arial" w:eastAsia="Arial" w:hAnsi="Arial" w:cs="Arial"/>
                            <w:i/>
                            <w:sz w:val="18"/>
                          </w:rPr>
                          <w:t xml:space="preserve">serita nel processo verbale; se è pronunciata fuori dell’udienza, è scritta in </w:t>
                        </w:r>
                      </w:p>
                    </w:txbxContent>
                  </v:textbox>
                </v:rect>
                <v:rect id="Rectangle 20275" o:spid="_x0000_s5078" style="position:absolute;left:-11229;top:18600;width:50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ozxxgAAAN4AAAAPAAAAZHJzL2Rvd25yZXYueG1sRI9Ba8JA&#10;FITvBf/D8gRvdWOgrURXEUWag5daBY+P7DOJZt8u2dVEf323UOhxmJlvmPmyN424U+trywom4wQE&#10;cWF1zaWCw/f2dQrCB2SNjWVS8CAPy8XgZY6Zth1/0X0fShEh7DNUUIXgMil9UZFBP7aOOHpn2xoM&#10;Ubal1C12EW4amSbJuzRYc1yo0NG6ouK6vxkFpw27fNvJ4vxcu90lnzaft8NRqdGwX81ABOrDf/iv&#10;nWsFaZJ+vMHvnXgF5OIHAAD//wMAUEsBAi0AFAAGAAgAAAAhANvh9svuAAAAhQEAABMAAAAAAAAA&#10;AAAAAAAAAAAAAFtDb250ZW50X1R5cGVzXS54bWxQSwECLQAUAAYACAAAACEAWvQsW78AAAAVAQAA&#10;CwAAAAAAAAAAAAAAAAAfAQAAX3JlbHMvLnJlbHNQSwECLQAUAAYACAAAACEAsg6M8cYAAADeAAAA&#10;DwAAAAAAAAAAAAAAAAAHAgAAZHJzL2Rvd25yZXYueG1sUEsFBgAAAAADAAMAtwAAAPoCAAAAAA==&#10;" filled="f" stroked="f">
                  <v:textbox inset="0,0,0,0">
                    <w:txbxContent>
                      <w:p w14:paraId="0EA17C20" w14:textId="77777777" w:rsidR="00B32EF2" w:rsidRDefault="00000000">
                        <w:r>
                          <w:rPr>
                            <w:rFonts w:ascii="Arial" w:eastAsia="Arial" w:hAnsi="Arial" w:cs="Arial"/>
                            <w:i/>
                            <w:sz w:val="18"/>
                          </w:rPr>
                          <w:t>calce al processo verbale oppure in foglio separato, munito della data e del</w:t>
                        </w:r>
                      </w:p>
                    </w:txbxContent>
                  </v:textbox>
                </v:rect>
                <v:rect id="Rectangle 20276" o:spid="_x0000_s5079" style="position:absolute;left:657;top:186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BKGxgAAAN4AAAAPAAAAZHJzL2Rvd25yZXYueG1sRI9Ba8JA&#10;FITvBf/D8gre6qY5WEldRRQxBy+1ETw+ss8kNft2ya4m+uvdQqHHYWa+YebLwbTiRp1vLCt4nyQg&#10;iEurG64UFN/btxkIH5A1tpZJwZ08LBejlzlm2vb8RbdDqESEsM9QQR2Cy6T0ZU0G/cQ64uidbWcw&#10;RNlVUnfYR7hpZZokU2mw4bhQo6N1TeXlcDUKTht2+baX5fmxdvuffNbursVRqfHrsPoEEWgI/+G/&#10;dq4VpEn6MYXfO/EKyMUTAAD//wMAUEsBAi0AFAAGAAgAAAAhANvh9svuAAAAhQEAABMAAAAAAAAA&#10;AAAAAAAAAAAAAFtDb250ZW50X1R5cGVzXS54bWxQSwECLQAUAAYACAAAACEAWvQsW78AAAAVAQAA&#10;CwAAAAAAAAAAAAAAAAAfAQAAX3JlbHMvLnJlbHNQSwECLQAUAAYACAAAACEAQtwShsYAAADeAAAA&#10;DwAAAAAAAAAAAAAAAAAHAgAAZHJzL2Rvd25yZXYueG1sUEsFBgAAAAADAAMAtwAAAPoCAAAAAA==&#10;" filled="f" stroked="f">
                  <v:textbox inset="0,0,0,0">
                    <w:txbxContent>
                      <w:p w14:paraId="4217FC11" w14:textId="77777777" w:rsidR="00B32EF2" w:rsidRDefault="00000000">
                        <w:r>
                          <w:rPr>
                            <w:rFonts w:ascii="Arial" w:eastAsia="Arial" w:hAnsi="Arial" w:cs="Arial"/>
                            <w:i/>
                            <w:sz w:val="18"/>
                          </w:rPr>
                          <w:t>-</w:t>
                        </w:r>
                      </w:p>
                    </w:txbxContent>
                  </v:textbox>
                </v:rect>
                <v:rect id="Rectangle 20277" o:spid="_x0000_s5080" style="position:absolute;left:-11779;top:17367;width:505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cdxgAAAN4AAAAPAAAAZHJzL2Rvd25yZXYueG1sRI9Ba8JA&#10;FITvgv9heQVvumkOKqmriCLm0EttBI+P7DNJzb5dsquJ/fXdQqHHYWa+YVabwbTiQZ1vLCt4nSUg&#10;iEurG64UFJ+H6RKED8gaW8uk4EkeNuvxaIWZtj1/0OMUKhEh7DNUUIfgMil9WZNBP7OOOHpX2xkM&#10;UXaV1B32EW5amSbJXBpsOC7U6GhXU3k73Y2Cy55dfuhlef3eufevfNke78VZqcnLsH0DEWgI/+G/&#10;dq4VpEm6WMDvnXgF5PoHAAD//wMAUEsBAi0AFAAGAAgAAAAhANvh9svuAAAAhQEAABMAAAAAAAAA&#10;AAAAAAAAAAAAAFtDb250ZW50X1R5cGVzXS54bWxQSwECLQAUAAYACAAAACEAWvQsW78AAAAVAQAA&#10;CwAAAAAAAAAAAAAAAAAfAQAAX3JlbHMvLnJlbHNQSwECLQAUAAYACAAAACEALZC3HcYAAADeAAAA&#10;DwAAAAAAAAAAAAAAAAAHAgAAZHJzL2Rvd25yZXYueG1sUEsFBgAAAAADAAMAtwAAAPoCAAAAAA==&#10;" filled="f" stroked="f">
                  <v:textbox inset="0,0,0,0">
                    <w:txbxContent>
                      <w:p w14:paraId="5642D9C8" w14:textId="77777777" w:rsidR="00B32EF2" w:rsidRDefault="00000000">
                        <w:r>
                          <w:rPr>
                            <w:rFonts w:ascii="Arial" w:eastAsia="Arial" w:hAnsi="Arial" w:cs="Arial"/>
                            <w:i/>
                            <w:sz w:val="18"/>
                          </w:rPr>
                          <w:t xml:space="preserve">la sottoscrizione del giudice o, quando questo è collegiale, del presidente. </w:t>
                        </w:r>
                      </w:p>
                    </w:txbxContent>
                  </v:textbox>
                </v:rect>
                <v:rect id="Rectangle 201656" o:spid="_x0000_s5081" style="position:absolute;left:25763;top:16133;width:500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OrExwAAAN8AAAAPAAAAZHJzL2Rvd25yZXYueG1sRI9Ba8JA&#10;FITvBf/D8gRvdaPQINFVRJHm4KVWweMj+0yi2bdLdjXRX98tFHocZuYbZrHqTSMe1PrasoLJOAFB&#10;XFhdc6ng+L17n4HwAVljY5kUPMnDajl4W2Cmbcdf9DiEUkQI+wwVVCG4TEpfVGTQj60jjt7FtgZD&#10;lG0pdYtdhJtGTpMklQZrjgsVOtpUVNwOd6PgvGWX7zpZXF4bt7/ms+bzfjwpNRr26zmIQH34D/+1&#10;c61gmkzSjxR+/8QvIJc/AAAA//8DAFBLAQItABQABgAIAAAAIQDb4fbL7gAAAIUBAAATAAAAAAAA&#10;AAAAAAAAAAAAAABbQ29udGVudF9UeXBlc10ueG1sUEsBAi0AFAAGAAgAAAAhAFr0LFu/AAAAFQEA&#10;AAsAAAAAAAAAAAAAAAAAHwEAAF9yZWxzLy5yZWxzUEsBAi0AFAAGAAgAAAAhAPLo6sTHAAAA3wAA&#10;AA8AAAAAAAAAAAAAAAAABwIAAGRycy9kb3ducmV2LnhtbFBLBQYAAAAAAwADALcAAAD7AgAAAAA=&#10;" filled="f" stroked="f">
                  <v:textbox inset="0,0,0,0">
                    <w:txbxContent>
                      <w:p w14:paraId="4FB6CE61" w14:textId="77777777" w:rsidR="00B32EF2" w:rsidRDefault="00000000">
                        <w:r>
                          <w:rPr>
                            <w:rFonts w:ascii="Arial" w:eastAsia="Arial" w:hAnsi="Arial" w:cs="Arial"/>
                            <w:i/>
                            <w:sz w:val="18"/>
                          </w:rPr>
                          <w:t>2</w:t>
                        </w:r>
                      </w:p>
                    </w:txbxContent>
                  </v:textbox>
                </v:rect>
                <v:rect id="Rectangle 201657" o:spid="_x0000_s5082" style="position:absolute;left:-11877;top:16133;width:500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E9fxwAAAN8AAAAPAAAAZHJzL2Rvd25yZXYueG1sRI9Ba8JA&#10;FITvgv9heUJvulGolegqoog5eKla6PGRfSbR7Nslu5q0v94tFDwOM/MNs1h1phYPanxlWcF4lIAg&#10;zq2uuFBwPu2GMxA+IGusLZOCH/KwWvZ7C0y1bfmTHsdQiAhhn6KCMgSXSunzkgz6kXXE0bvYxmCI&#10;simkbrCNcFPLSZJMpcGK40KJjjYl5bfj3Sj43rLLdq3ML78bd7hms3p/P38p9Tbo1nMQgbrwCv+3&#10;M61gkoyn7x/w9yd+Abl8AgAA//8DAFBLAQItABQABgAIAAAAIQDb4fbL7gAAAIUBAAATAAAAAAAA&#10;AAAAAAAAAAAAAABbQ29udGVudF9UeXBlc10ueG1sUEsBAi0AFAAGAAgAAAAhAFr0LFu/AAAAFQEA&#10;AAsAAAAAAAAAAAAAAAAAHwEAAF9yZWxzLy5yZWxzUEsBAi0AFAAGAAgAAAAhAJ2kT1/HAAAA3wAA&#10;AA8AAAAAAAAAAAAAAAAABwIAAGRycy9kb3ducmV2LnhtbFBLBQYAAAAAAwADALcAAAD7AgAAAAA=&#10;" filled="f" stroked="f">
                  <v:textbox inset="0,0,0,0">
                    <w:txbxContent>
                      <w:p w14:paraId="42F68A13" w14:textId="77777777" w:rsidR="00B32EF2" w:rsidRDefault="00000000">
                        <w:r>
                          <w:rPr>
                            <w:rFonts w:ascii="Arial" w:eastAsia="Arial" w:hAnsi="Arial" w:cs="Arial"/>
                            <w:i/>
                            <w:sz w:val="18"/>
                          </w:rPr>
                          <w:t>. Il cancelliere comunica alle parti l’ordinanza pronunciata fuori dell’udien</w:t>
                        </w:r>
                      </w:p>
                    </w:txbxContent>
                  </v:textbox>
                </v:rect>
                <v:rect id="Rectangle 20279" o:spid="_x0000_s5083" style="position:absolute;left:657;top:161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4b0xwAAAN4AAAAPAAAAZHJzL2Rvd25yZXYueG1sRI9Ba8JA&#10;FITvBf/D8gRvdWMOrY2uIoo0By+1Ch4f2WcSzb5dsquJ/vpuodDjMDPfMPNlbxpxp9bXlhVMxgkI&#10;4sLqmksFh+/t6xSED8gaG8uk4EEelovByxwzbTv+ovs+lCJC2GeooArBZVL6oiKDfmwdcfTOtjUY&#10;omxLqVvsItw0Mk2SN2mw5rhQoaN1RcV1fzMKTht2+baTxfm5drtLPm0+b4ejUqNhv5qBCNSH//Bf&#10;O9cK0iR9/4DfO/EKyMUPAAAA//8DAFBLAQItABQABgAIAAAAIQDb4fbL7gAAAIUBAAATAAAAAAAA&#10;AAAAAAAAAAAAAABbQ29udGVudF9UeXBlc10ueG1sUEsBAi0AFAAGAAgAAAAhAFr0LFu/AAAAFQEA&#10;AAsAAAAAAAAAAAAAAAAAHwEAAF9yZWxzLy5yZWxzUEsBAi0AFAAGAAgAAAAhADNDhvTHAAAA3gAA&#10;AA8AAAAAAAAAAAAAAAAABwIAAGRycy9kb3ducmV2LnhtbFBLBQYAAAAAAwADALcAAAD7AgAAAAA=&#10;" filled="f" stroked="f">
                  <v:textbox inset="0,0,0,0">
                    <w:txbxContent>
                      <w:p w14:paraId="542FF280" w14:textId="77777777" w:rsidR="00B32EF2" w:rsidRDefault="00000000">
                        <w:r>
                          <w:rPr>
                            <w:rFonts w:ascii="Arial" w:eastAsia="Arial" w:hAnsi="Arial" w:cs="Arial"/>
                            <w:i/>
                            <w:sz w:val="18"/>
                          </w:rPr>
                          <w:t>-</w:t>
                        </w:r>
                      </w:p>
                    </w:txbxContent>
                  </v:textbox>
                </v:rect>
                <v:rect id="Rectangle 20280" o:spid="_x0000_s5084" style="position:absolute;left:3823;top:14900;width:349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9OxAAAAN4AAAAPAAAAZHJzL2Rvd25yZXYueG1sRI/LisIw&#10;FIb3wrxDOMLsNLULKdUog4NMF27GC7g8NMe22pyEJtrOPL1ZCC5//hvfcj2YVjyo841lBbNpAoK4&#10;tLrhSsHxsJ1kIHxA1thaJgV/5GG9+hgtMde251967EMl4gj7HBXUIbhcSl/WZNBPrSOO3sV2BkOU&#10;XSV1h30cN61Mk2QuDTYcH2p0tKmpvO3vRsH5m12x7WV5+d+43bXI2p/78aTU53j4WoAINIR3+NUu&#10;tII0SbMIEHEiCsjVEwAA//8DAFBLAQItABQABgAIAAAAIQDb4fbL7gAAAIUBAAATAAAAAAAAAAAA&#10;AAAAAAAAAABbQ29udGVudF9UeXBlc10ueG1sUEsBAi0AFAAGAAgAAAAhAFr0LFu/AAAAFQEAAAsA&#10;AAAAAAAAAAAAAAAAHwEAAF9yZWxzLy5yZWxzUEsBAi0AFAAGAAgAAAAhAJesX07EAAAA3gAAAA8A&#10;AAAAAAAAAAAAAAAABwIAAGRycy9kb3ducmV2LnhtbFBLBQYAAAAAAwADALcAAAD4AgAAAAA=&#10;" filled="f" stroked="f">
                  <v:textbox inset="0,0,0,0">
                    <w:txbxContent>
                      <w:p w14:paraId="47831F84" w14:textId="77777777" w:rsidR="00B32EF2" w:rsidRDefault="00000000">
                        <w:r>
                          <w:rPr>
                            <w:rFonts w:ascii="Arial" w:eastAsia="Arial" w:hAnsi="Arial" w:cs="Arial"/>
                            <w:i/>
                            <w:sz w:val="18"/>
                          </w:rPr>
                          <w:t xml:space="preserve">za, salvo che la legge ne prescrive la notificazione. </w:t>
                        </w:r>
                      </w:p>
                    </w:txbxContent>
                  </v:textbox>
                </v:rect>
                <v:rect id="Rectangle 201653" o:spid="_x0000_s5085" style="position:absolute;left:25764;top:13667;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0lcxwAAAN8AAAAPAAAAZHJzL2Rvd25yZXYueG1sRI9Ba8JA&#10;FITvgv9heUJvutGiSHQVUcQcvGgt9PjIPpNo9u2SXU3aX+8WCj0OM/MNs1x3phZPanxlWcF4lIAg&#10;zq2uuFBw+dgP5yB8QNZYWyYF3+Rhver3lphq2/KJnudQiAhhn6KCMgSXSunzkgz6kXXE0bvaxmCI&#10;simkbrCNcFPLSZLMpMGK40KJjrYl5ffzwyj42rHL9q3Mrz9bd7xl8/rwuHwq9TboNgsQgbrwH/5r&#10;Z1rBJBnPpu/w+yd+Abl6AQAA//8DAFBLAQItABQABgAIAAAAIQDb4fbL7gAAAIUBAAATAAAAAAAA&#10;AAAAAAAAAAAAAABbQ29udGVudF9UeXBlc10ueG1sUEsBAi0AFAAGAAgAAAAhAFr0LFu/AAAAFQEA&#10;AAsAAAAAAAAAAAAAAAAAHwEAAF9yZWxzLy5yZWxzUEsBAi0AFAAGAAgAAAAhAOKfSVzHAAAA3wAA&#10;AA8AAAAAAAAAAAAAAAAABwIAAGRycy9kb3ducmV2LnhtbFBLBQYAAAAAAwADALcAAAD7AgAAAAA=&#10;" filled="f" stroked="f">
                  <v:textbox inset="0,0,0,0">
                    <w:txbxContent>
                      <w:p w14:paraId="60946A81" w14:textId="77777777" w:rsidR="00B32EF2" w:rsidRDefault="00000000">
                        <w:r>
                          <w:rPr>
                            <w:rFonts w:ascii="Arial" w:eastAsia="Arial" w:hAnsi="Arial" w:cs="Arial"/>
                            <w:i/>
                            <w:sz w:val="18"/>
                          </w:rPr>
                          <w:t>3</w:t>
                        </w:r>
                      </w:p>
                    </w:txbxContent>
                  </v:textbox>
                </v:rect>
                <v:rect id="Rectangle 201654" o:spid="_x0000_s5086" style="position:absolute;left:-11887;top:13667;width:500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tEoxwAAAN8AAAAPAAAAZHJzL2Rvd25yZXYueG1sRI9Ba8JA&#10;FITvgv9heUJvulGqSHQVUcQcvGgt9PjIPpNo9u2SXU3aX+8WCj0OM/MNs1x3phZPanxlWcF4lIAg&#10;zq2uuFBw+dgP5yB8QNZYWyYF3+Rhver3lphq2/KJnudQiAhhn6KCMgSXSunzkgz6kXXE0bvaxmCI&#10;simkbrCNcFPLSZLMpMGK40KJjrYl5ffzwyj42rHL9q3Mrz9bd7xl8/rwuHwq9TboNgsQgbrwH/5r&#10;Z1rBJBnPpu/w+yd+Abl6AQAA//8DAFBLAQItABQABgAIAAAAIQDb4fbL7gAAAIUBAAATAAAAAAAA&#10;AAAAAAAAAAAAAABbQ29udGVudF9UeXBlc10ueG1sUEsBAi0AFAAGAAgAAAAhAFr0LFu/AAAAFQEA&#10;AAsAAAAAAAAAAAAAAAAAHwEAAF9yZWxzLy5yZWxzUEsBAi0AFAAGAAgAAAAhAG120SjHAAAA3wAA&#10;AA8AAAAAAAAAAAAAAAAABwIAAGRycy9kb3ducmV2LnhtbFBLBQYAAAAAAwADALcAAAD7AgAAAAA=&#10;" filled="f" stroked="f">
                  <v:textbox inset="0,0,0,0">
                    <w:txbxContent>
                      <w:p w14:paraId="3E38843B" w14:textId="77777777" w:rsidR="00B32EF2" w:rsidRDefault="00000000">
                        <w:r>
                          <w:rPr>
                            <w:rFonts w:ascii="Arial" w:eastAsia="Arial" w:hAnsi="Arial" w:cs="Arial"/>
                            <w:i/>
                            <w:sz w:val="18"/>
                          </w:rPr>
                          <w:t>. Comma abrogato dalla lettera c) del comma 1 dell’art. 25, L. 12 novem</w:t>
                        </w:r>
                      </w:p>
                    </w:txbxContent>
                  </v:textbox>
                </v:rect>
                <v:rect id="Rectangle 20282" o:spid="_x0000_s5087" style="position:absolute;left:657;top:136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mSixgAAAN4AAAAPAAAAZHJzL2Rvd25yZXYueG1sRI9Pi8Iw&#10;FMTvwn6H8Bb2pun2sJRqFHERe/Din4U9PppnW21eQhNt9dObhQWPw8z8hpktBtOKG3W+sazgc5KA&#10;IC6tbrhScDysxxkIH5A1tpZJwZ08LOZvoxnm2va8o9s+VCJC2OeooA7B5VL6siaDfmIdcfROtjMY&#10;ouwqqTvsI9y0Mk2SL2mw4bhQo6NVTeVlfzUKfr/ZFetelqfHym3PRdZurscfpT7eh+UURKAhvML/&#10;7UIrSJM0S+HvTrwCcv4EAAD//wMAUEsBAi0AFAAGAAgAAAAhANvh9svuAAAAhQEAABMAAAAAAAAA&#10;AAAAAAAAAAAAAFtDb250ZW50X1R5cGVzXS54bWxQSwECLQAUAAYACAAAACEAWvQsW78AAAAVAQAA&#10;CwAAAAAAAAAAAAAAAAAfAQAAX3JlbHMvLnJlbHNQSwECLQAUAAYACAAAACEACDJkosYAAADeAAAA&#10;DwAAAAAAAAAAAAAAAAAHAgAAZHJzL2Rvd25yZXYueG1sUEsFBgAAAAADAAMAtwAAAPoCAAAAAA==&#10;" filled="f" stroked="f">
                  <v:textbox inset="0,0,0,0">
                    <w:txbxContent>
                      <w:p w14:paraId="36DC2517" w14:textId="77777777" w:rsidR="00B32EF2" w:rsidRDefault="00000000">
                        <w:r>
                          <w:rPr>
                            <w:rFonts w:ascii="Arial" w:eastAsia="Arial" w:hAnsi="Arial" w:cs="Arial"/>
                            <w:i/>
                            <w:sz w:val="18"/>
                          </w:rPr>
                          <w:t>-</w:t>
                        </w:r>
                      </w:p>
                    </w:txbxContent>
                  </v:textbox>
                </v:rect>
                <v:rect id="Rectangle 20283" o:spid="_x0000_s5088" style="position:absolute;left:7251;top:12434;width:3156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E5xwAAAN4AAAAPAAAAZHJzL2Rvd25yZXYueG1sRI9Ba8JA&#10;FITvBf/D8oTe6qYpSEjdhKKIOXjRKvT4yD6TtNm3S3Y1sb++Wyj0OMzMN8yqnEwvbjT4zrKC50UC&#10;gri2uuNGwel9+5SB8AFZY2+ZFNzJQ1nMHlaYazvygW7H0IgIYZ+jgjYEl0vp65YM+oV1xNG72MFg&#10;iHJopB5wjHDTyzRJltJgx3GhRUfrluqv49Uo+Niwq7ajrC/fa7f/rLJ+dz2dlXqcT2+vIAJN4T/8&#10;1660gjRJsxf4vROvgCx+AAAA//8DAFBLAQItABQABgAIAAAAIQDb4fbL7gAAAIUBAAATAAAAAAAA&#10;AAAAAAAAAAAAAABbQ29udGVudF9UeXBlc10ueG1sUEsBAi0AFAAGAAgAAAAhAFr0LFu/AAAAFQEA&#10;AAsAAAAAAAAAAAAAAAAAHwEAAF9yZWxzLy5yZWxzUEsBAi0AFAAGAAgAAAAhAGd+wTnHAAAA3gAA&#10;AA8AAAAAAAAAAAAAAAAABwIAAGRycy9kb3ducmV2LnhtbFBLBQYAAAAAAwADALcAAAD7AgAAAAA=&#10;" filled="f" stroked="f">
                  <v:textbox inset="0,0,0,0">
                    <w:txbxContent>
                      <w:p w14:paraId="0EC88BFB" w14:textId="77777777" w:rsidR="00B32EF2" w:rsidRDefault="00000000">
                        <w:r>
                          <w:rPr>
                            <w:rFonts w:ascii="Arial" w:eastAsia="Arial" w:hAnsi="Arial" w:cs="Arial"/>
                            <w:i/>
                            <w:sz w:val="18"/>
                          </w:rPr>
                          <w:t>bre 2011, n. 183 in vigore dal 1° gennaio 2012.</w:t>
                        </w:r>
                      </w:p>
                    </w:txbxContent>
                  </v:textbox>
                </v:rect>
                <v:rect id="Rectangle 20284" o:spid="_x0000_s5089" style="position:absolute;left:6824;top:11200;width:319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1lNxwAAAN4AAAAPAAAAZHJzL2Rvd25yZXYueG1sRI9Ba8JA&#10;FITvBf/D8oTe6qahSEjdhKKIOXjRKvT4yD6TtNm3S3Y1sb++Wyj0OMzMN8yqnEwvbjT4zrKC50UC&#10;gri2uuNGwel9+5SB8AFZY2+ZFNzJQ1nMHlaYazvygW7H0IgIYZ+jgjYEl0vp65YM+oV1xNG72MFg&#10;iHJopB5wjHDTyzRJltJgx3GhRUfrluqv49Uo+Niwq7ajrC/fa7f/rLJ+dz2dlXqcT2+vIAJN4T/8&#10;1660gjRJsxf4vROvgCx+AAAA//8DAFBLAQItABQABgAIAAAAIQDb4fbL7gAAAIUBAAATAAAAAAAA&#10;AAAAAAAAAAAAAABbQ29udGVudF9UeXBlc10ueG1sUEsBAi0AFAAGAAgAAAAhAFr0LFu/AAAAFQEA&#10;AAsAAAAAAAAAAAAAAAAAHwEAAF9yZWxzLy5yZWxzUEsBAi0AFAAGAAgAAAAhAOiXWU3HAAAA3gAA&#10;AA8AAAAAAAAAAAAAAAAABwIAAGRycy9kb3ducmV2LnhtbFBLBQYAAAAAAwADALcAAAD7AgAAAAA=&#10;" filled="f" stroked="f">
                  <v:textbox inset="0,0,0,0">
                    <w:txbxContent>
                      <w:p w14:paraId="52BA9F91" w14:textId="77777777" w:rsidR="00B32EF2" w:rsidRDefault="00000000">
                        <w:r>
                          <w:rPr>
                            <w:rFonts w:ascii="Arial" w:eastAsia="Arial" w:hAnsi="Arial" w:cs="Arial"/>
                            <w:i/>
                            <w:sz w:val="18"/>
                          </w:rPr>
                          <w:t xml:space="preserve">art.191 c.p.c. “Nomina del consulente tecnico.” </w:t>
                        </w:r>
                      </w:p>
                    </w:txbxContent>
                  </v:textbox>
                </v:rect>
                <v:rect id="Rectangle 201651" o:spid="_x0000_s5090" style="position:absolute;left:25744;top:9967;width:50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XKwxwAAAN8AAAAPAAAAZHJzL2Rvd25yZXYueG1sRI9Pi8Iw&#10;FMTvC36H8ARva1phRbpGEUW2By/rH9jjo3m23W1eQhNt9dNvBMHjMDO/YebL3jTiSq2vLStIxwkI&#10;4sLqmksFx8P2fQbCB2SNjWVScCMPy8XgbY6Zth1/03UfShEh7DNUUIXgMil9UZFBP7aOOHpn2xoM&#10;Ubal1C12EW4aOUmSqTRYc1yo0NG6ouJvfzEKfjbs8m0ni/N97Xa/+az5uhxPSo2G/eoTRKA+vMLP&#10;dq4VTJJ0+pHC40/8AnLxDwAA//8DAFBLAQItABQABgAIAAAAIQDb4fbL7gAAAIUBAAATAAAAAAAA&#10;AAAAAAAAAAAAAABbQ29udGVudF9UeXBlc10ueG1sUEsBAi0AFAAGAAgAAAAhAFr0LFu/AAAAFQEA&#10;AAsAAAAAAAAAAAAAAAAAHwEAAF9yZWxzLy5yZWxzUEsBAi0AFAAGAAgAAAAhAH0BcrDHAAAA3wAA&#10;AA8AAAAAAAAAAAAAAAAABwIAAGRycy9kb3ducmV2LnhtbFBLBQYAAAAAAwADALcAAAD7AgAAAAA=&#10;" filled="f" stroked="f">
                  <v:textbox inset="0,0,0,0">
                    <w:txbxContent>
                      <w:p w14:paraId="76D42623" w14:textId="77777777" w:rsidR="00B32EF2" w:rsidRDefault="00000000">
                        <w:r>
                          <w:rPr>
                            <w:rFonts w:ascii="Arial" w:eastAsia="Arial" w:hAnsi="Arial" w:cs="Arial"/>
                            <w:i/>
                            <w:sz w:val="18"/>
                          </w:rPr>
                          <w:t>1</w:t>
                        </w:r>
                      </w:p>
                    </w:txbxContent>
                  </v:textbox>
                </v:rect>
                <v:rect id="Rectangle 201652" o:spid="_x0000_s5091" style="position:absolute;left:-11898;top:9967;width:501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zHyAAAAN8AAAAPAAAAZHJzL2Rvd25yZXYueG1sRI9Pa8JA&#10;FMTvBb/D8oTe6sZARaIbEUWaQy+1Ch4f2Zc/mn27ZFeT9tN3C4Ueh5n5DbPejKYTD+p9a1nBfJaA&#10;IC6tbrlWcPo8vCxB+ICssbNMCr7IwyafPK0x03bgD3ocQy0ihH2GCpoQXCalLxsy6GfWEUevsr3B&#10;EGVfS93jEOGmk2mSLKTBluNCg452DZW3490ouOzZFYdBltX3zr1fi2X3dj+dlXqejtsViEBj+A//&#10;tQutIE3mi9cUfv/ELyDzHwAAAP//AwBQSwECLQAUAAYACAAAACEA2+H2y+4AAACFAQAAEwAAAAAA&#10;AAAAAAAAAAAAAAAAW0NvbnRlbnRfVHlwZXNdLnhtbFBLAQItABQABgAIAAAAIQBa9CxbvwAAABUB&#10;AAALAAAAAAAAAAAAAAAAAB8BAABfcmVscy8ucmVsc1BLAQItABQABgAIAAAAIQCN0+zHyAAAAN8A&#10;AAAPAAAAAAAAAAAAAAAAAAcCAABkcnMvZG93bnJldi54bWxQSwUGAAAAAAMAAwC3AAAA/AIAAAAA&#10;" filled="f" stroked="f">
                  <v:textbox inset="0,0,0,0">
                    <w:txbxContent>
                      <w:p w14:paraId="6C6527F6" w14:textId="77777777" w:rsidR="00B32EF2" w:rsidRDefault="00000000">
                        <w:r>
                          <w:rPr>
                            <w:rFonts w:ascii="Arial" w:eastAsia="Arial" w:hAnsi="Arial" w:cs="Arial"/>
                            <w:i/>
                            <w:sz w:val="18"/>
                          </w:rPr>
                          <w:t>. Nei casi previsti dagli articoli 61 e seguenti il giudice istruttore, con or</w:t>
                        </w:r>
                      </w:p>
                    </w:txbxContent>
                  </v:textbox>
                </v:rect>
                <v:rect id="Rectangle 20286" o:spid="_x0000_s5092" style="position:absolute;left:657;top:99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WKhxgAAAN4AAAAPAAAAZHJzL2Rvd25yZXYueG1sRI9Ba8JA&#10;FITvBf/D8oTe6sYcJERXEUXMoZdaBY+P7DNJm327ZFcT/fVdQehxmJlvmMVqMK24UecbywqmkwQE&#10;cWl1w5WC4/fuIwPhA7LG1jIpuJOH1XL0tsBc256/6HYIlYgQ9jkqqENwuZS+rMmgn1hHHL2L7QyG&#10;KLtK6g77CDetTJNkJg02HBdqdLSpqfw9XI2C85ZdsetleXls3OdPkbX76/Gk1Pt4WM9BBBrCf/jV&#10;LrSCNEmzGTzvxCsgl38AAAD//wMAUEsBAi0AFAAGAAgAAAAhANvh9svuAAAAhQEAABMAAAAAAAAA&#10;AAAAAAAAAAAAAFtDb250ZW50X1R5cGVzXS54bWxQSwECLQAUAAYACAAAACEAWvQsW78AAAAVAQAA&#10;CwAAAAAAAAAAAAAAAAAfAQAAX3JlbHMvLnJlbHNQSwECLQAUAAYACAAAACEAdwliocYAAADeAAAA&#10;DwAAAAAAAAAAAAAAAAAHAgAAZHJzL2Rvd25yZXYueG1sUEsFBgAAAAADAAMAtwAAAPoCAAAAAA==&#10;" filled="f" stroked="f">
                  <v:textbox inset="0,0,0,0">
                    <w:txbxContent>
                      <w:p w14:paraId="4295999F" w14:textId="77777777" w:rsidR="00B32EF2" w:rsidRDefault="00000000">
                        <w:r>
                          <w:rPr>
                            <w:rFonts w:ascii="Arial" w:eastAsia="Arial" w:hAnsi="Arial" w:cs="Arial"/>
                            <w:i/>
                            <w:sz w:val="18"/>
                          </w:rPr>
                          <w:t>-</w:t>
                        </w:r>
                      </w:p>
                    </w:txbxContent>
                  </v:textbox>
                </v:rect>
                <v:rect id="Rectangle 20287" o:spid="_x0000_s5093" style="position:absolute;left:-12207;top:8734;width:510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cc6xwAAAN4AAAAPAAAAZHJzL2Rvd25yZXYueG1sRI9Ba8JA&#10;FITvBf/D8oTe6qY51JC6CUURc/CiVejxkX0mabNvl+xqYn99t1DocZiZb5hVOZle3GjwnWUFz4sE&#10;BHFtdceNgtP79ikD4QOyxt4yKbiTh7KYPaww13bkA92OoRERwj5HBW0ILpfS1y0Z9AvriKN3sYPB&#10;EOXQSD3gGOGml2mSvEiDHceFFh2tW6q/jlej4GPDrtqOsr58r93+s8r63fV0VupxPr29ggg0hf/w&#10;X7vSCtIkzZbweydeAVn8AAAA//8DAFBLAQItABQABgAIAAAAIQDb4fbL7gAAAIUBAAATAAAAAAAA&#10;AAAAAAAAAAAAAABbQ29udGVudF9UeXBlc10ueG1sUEsBAi0AFAAGAAgAAAAhAFr0LFu/AAAAFQEA&#10;AAsAAAAAAAAAAAAAAAAAHwEAAF9yZWxzLy5yZWxzUEsBAi0AFAAGAAgAAAAhABhFxzrHAAAA3gAA&#10;AA8AAAAAAAAAAAAAAAAABwIAAGRycy9kb3ducmV2LnhtbFBLBQYAAAAAAwADALcAAAD7AgAAAAA=&#10;" filled="f" stroked="f">
                  <v:textbox inset="0,0,0,0">
                    <w:txbxContent>
                      <w:p w14:paraId="47A075DC" w14:textId="77777777" w:rsidR="00B32EF2" w:rsidRDefault="00000000">
                        <w:r>
                          <w:rPr>
                            <w:rFonts w:ascii="Arial" w:eastAsia="Arial" w:hAnsi="Arial" w:cs="Arial"/>
                            <w:i/>
                            <w:sz w:val="18"/>
                          </w:rPr>
                          <w:t xml:space="preserve">dinanza ai sensi dell’articolo 183, quarto comma, o con altra   successiva </w:t>
                        </w:r>
                      </w:p>
                    </w:txbxContent>
                  </v:textbox>
                </v:rect>
                <v:rect id="Rectangle 20288" o:spid="_x0000_s5094" style="position:absolute;left:-12189;top:7500;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lNIwwAAAN4AAAAPAAAAZHJzL2Rvd25yZXYueG1sRE/LisIw&#10;FN0L8w/hCrPT1C6kVKMMDjJduBkf4PLSXNtqcxOaaDvz9WYhuDyc93I9mFY8qPONZQWzaQKCuLS6&#10;4UrB8bCdZCB8QNbYWiYFf+RhvfoYLTHXtudfeuxDJWII+xwV1CG4XEpf1mTQT60jjtzFdgZDhF0l&#10;dYd9DDetTJNkLg02HBtqdLSpqbzt70bB+Ztdse1lefnfuN21yNqf+/Gk1Od4+FqACDSEt/jlLrSC&#10;NEmzuDfeiVdArp4AAAD//wMAUEsBAi0AFAAGAAgAAAAhANvh9svuAAAAhQEAABMAAAAAAAAAAAAA&#10;AAAAAAAAAFtDb250ZW50X1R5cGVzXS54bWxQSwECLQAUAAYACAAAACEAWvQsW78AAAAVAQAACwAA&#10;AAAAAAAAAAAAAAAfAQAAX3JlbHMvLnJlbHNQSwECLQAUAAYACAAAACEAadpTSMMAAADeAAAADwAA&#10;AAAAAAAAAAAAAAAHAgAAZHJzL2Rvd25yZXYueG1sUEsFBgAAAAADAAMAtwAAAPcCAAAAAA==&#10;" filled="f" stroked="f">
                  <v:textbox inset="0,0,0,0">
                    <w:txbxContent>
                      <w:p w14:paraId="48DE041E" w14:textId="77777777" w:rsidR="00B32EF2" w:rsidRDefault="00000000">
                        <w:r>
                          <w:rPr>
                            <w:rFonts w:ascii="Arial" w:eastAsia="Arial" w:hAnsi="Arial" w:cs="Arial"/>
                            <w:i/>
                            <w:sz w:val="18"/>
                          </w:rPr>
                          <w:t xml:space="preserve">ordinanza, nomina un consulente, formula i quesiti e fissa l’udienza nella </w:t>
                        </w:r>
                      </w:p>
                    </w:txbxContent>
                  </v:textbox>
                </v:rect>
                <v:rect id="Rectangle 20289" o:spid="_x0000_s5095" style="position:absolute;left:14244;top:6267;width:245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vbTxwAAAN4AAAAPAAAAZHJzL2Rvd25yZXYueG1sRI9Ba8JA&#10;FITvBf/D8oTe6qY5lDS6CUURc+ilVsHjI/tMotm3S3Y1aX99t1DocZiZb5hVOZle3GnwnWUFz4sE&#10;BHFtdceNgsPn9ikD4QOyxt4yKfgiD2Uxe1hhru3IH3Tfh0ZECPscFbQhuFxKX7dk0C+sI47e2Q4G&#10;Q5RDI/WAY4SbXqZJ8iINdhwXWnS0bqm+7m9GwWnDrtqOsj5/r937pcr63e1wVOpxPr0tQQSawn/4&#10;r11pBWmSZq/weydeAVn8AAAA//8DAFBLAQItABQABgAIAAAAIQDb4fbL7gAAAIUBAAATAAAAAAAA&#10;AAAAAAAAAAAAAABbQ29udGVudF9UeXBlc10ueG1sUEsBAi0AFAAGAAgAAAAhAFr0LFu/AAAAFQEA&#10;AAsAAAAAAAAAAAAAAAAAHwEAAF9yZWxzLy5yZWxzUEsBAi0AFAAGAAgAAAAhAAaW9tPHAAAA3gAA&#10;AA8AAAAAAAAAAAAAAAAABwIAAGRycy9kb3ducmV2LnhtbFBLBQYAAAAAAwADALcAAAD7AgAAAAA=&#10;" filled="f" stroked="f">
                  <v:textbox inset="0,0,0,0">
                    <w:txbxContent>
                      <w:p w14:paraId="20802CAD" w14:textId="77777777" w:rsidR="00B32EF2" w:rsidRDefault="00000000">
                        <w:r>
                          <w:rPr>
                            <w:rFonts w:ascii="Arial" w:eastAsia="Arial" w:hAnsi="Arial" w:cs="Arial"/>
                            <w:i/>
                            <w:sz w:val="18"/>
                          </w:rPr>
                          <w:t xml:space="preserve">quale il consulente deve comparire. </w:t>
                        </w:r>
                      </w:p>
                    </w:txbxContent>
                  </v:textbox>
                </v:rect>
                <v:rect id="Rectangle 201648" o:spid="_x0000_s5096" style="position:absolute;left:25767;top:5034;width:500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k3wxQAAAN8AAAAPAAAAZHJzL2Rvd25yZXYueG1sRE/Pa8Iw&#10;FL4P/B/CE7zNVJFSOqMMRezByzoHOz6aZ9uteQlNbOv++uUw2PHj+73dT6YTA/W+taxgtUxAEFdW&#10;t1wruL6fnjMQPiBr7CyTggd52O9mT1vMtR35jYYy1CKGsM9RQROCy6X0VUMG/dI64sjdbG8wRNjX&#10;Uvc4xnDTyXWSpNJgy7GhQUeHhqrv8m4UfB7ZFadRVrefg7t8FVl3vl8/lFrMp9cXEIGm8C/+cxda&#10;wTpZpZs4OP6JX0DufgEAAP//AwBQSwECLQAUAAYACAAAACEA2+H2y+4AAACFAQAAEwAAAAAAAAAA&#10;AAAAAAAAAAAAW0NvbnRlbnRfVHlwZXNdLnhtbFBLAQItABQABgAIAAAAIQBa9CxbvwAAABUBAAAL&#10;AAAAAAAAAAAAAAAAAB8BAABfcmVscy8ucmVsc1BLAQItABQABgAIAAAAIQBp4k3wxQAAAN8AAAAP&#10;AAAAAAAAAAAAAAAAAAcCAABkcnMvZG93bnJldi54bWxQSwUGAAAAAAMAAwC3AAAA+QIAAAAA&#10;" filled="f" stroked="f">
                  <v:textbox inset="0,0,0,0">
                    <w:txbxContent>
                      <w:p w14:paraId="30CB821D" w14:textId="77777777" w:rsidR="00B32EF2" w:rsidRDefault="00000000">
                        <w:r>
                          <w:rPr>
                            <w:rFonts w:ascii="Arial" w:eastAsia="Arial" w:hAnsi="Arial" w:cs="Arial"/>
                            <w:i/>
                            <w:sz w:val="18"/>
                          </w:rPr>
                          <w:t>2</w:t>
                        </w:r>
                      </w:p>
                    </w:txbxContent>
                  </v:textbox>
                </v:rect>
                <v:rect id="Rectangle 201650" o:spid="_x0000_s5097" style="position:absolute;left:-11859;top:5034;width:500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dcrxwAAAN8AAAAPAAAAZHJzL2Rvd25yZXYueG1sRI/NasJA&#10;FIX3Bd9huIK7OlEwhNRRiiJm4aaphS4vmWuSNnNnyIxJ7NN3FoUuD+ePb7ufTCcG6n1rWcFqmYAg&#10;rqxuuVZwfT89ZyB8QNbYWSYFD/Kw382etphrO/IbDWWoRRxhn6OCJgSXS+mrhgz6pXXE0bvZ3mCI&#10;sq+l7nGM46aT6yRJpcGW40ODjg4NVd/l3Sj4PLIrTqOsbj8Hd/kqsu58v34otZhPry8gAk3hP/zX&#10;LrSCdbJKN5Eg8kQWkLtfAAAA//8DAFBLAQItABQABgAIAAAAIQDb4fbL7gAAAIUBAAATAAAAAAAA&#10;AAAAAAAAAAAAAABbQ29udGVudF9UeXBlc10ueG1sUEsBAi0AFAAGAAgAAAAhAFr0LFu/AAAAFQEA&#10;AAsAAAAAAAAAAAAAAAAAHwEAAF9yZWxzLy5yZWxzUEsBAi0AFAAGAAgAAAAhABJN1yvHAAAA3wAA&#10;AA8AAAAAAAAAAAAAAAAABwIAAGRycy9kb3ducmV2LnhtbFBLBQYAAAAAAwADALcAAAD7AgAAAAA=&#10;" filled="f" stroked="f">
                  <v:textbox inset="0,0,0,0">
                    <w:txbxContent>
                      <w:p w14:paraId="08B205C3" w14:textId="77777777" w:rsidR="00B32EF2" w:rsidRDefault="00000000">
                        <w:r>
                          <w:rPr>
                            <w:rFonts w:ascii="Arial" w:eastAsia="Arial" w:hAnsi="Arial" w:cs="Arial"/>
                            <w:i/>
                            <w:sz w:val="18"/>
                          </w:rPr>
                          <w:t>. Possono essere nominati più consulenti soltanto in caso di grave neces</w:t>
                        </w:r>
                      </w:p>
                    </w:txbxContent>
                  </v:textbox>
                </v:rect>
                <v:rect id="Rectangle 20291" o:spid="_x0000_s5098" style="position:absolute;left:657;top:50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WwIxgAAAN4AAAAPAAAAZHJzL2Rvd25yZXYueG1sRI9Ba8JA&#10;FITvQv/D8gredGMOYlNXEUXMoZfaCB4f2WeSmn27ZFeT+uvdQqHHYWa+YZbrwbTiTp1vLCuYTRMQ&#10;xKXVDVcKiq/9ZAHCB2SNrWVS8EMe1quX0RIzbXv+pPsxVCJC2GeooA7BZVL6siaDfmodcfQutjMY&#10;ouwqqTvsI9y0Mk2SuTTYcFyo0dG2pvJ6vBkF5x27fN/L8vLYuo/vfNEebsVJqfHrsHkHEWgI/+G/&#10;dq4VpEn6NoPfO/EKyNUTAAD//wMAUEsBAi0AFAAGAAgAAAAhANvh9svuAAAAhQEAABMAAAAAAAAA&#10;AAAAAAAAAAAAAFtDb250ZW50X1R5cGVzXS54bWxQSwECLQAUAAYACAAAACEAWvQsW78AAAAVAQAA&#10;CwAAAAAAAAAAAAAAAAAfAQAAX3JlbHMvLnJlbHNQSwECLQAUAAYACAAAACEAfTlsCMYAAADeAAAA&#10;DwAAAAAAAAAAAAAAAAAHAgAAZHJzL2Rvd25yZXYueG1sUEsFBgAAAAADAAMAtwAAAPoCAAAAAA==&#10;" filled="f" stroked="f">
                  <v:textbox inset="0,0,0,0">
                    <w:txbxContent>
                      <w:p w14:paraId="2C8DF839" w14:textId="77777777" w:rsidR="00B32EF2" w:rsidRDefault="00000000">
                        <w:r>
                          <w:rPr>
                            <w:rFonts w:ascii="Arial" w:eastAsia="Arial" w:hAnsi="Arial" w:cs="Arial"/>
                            <w:i/>
                            <w:sz w:val="18"/>
                          </w:rPr>
                          <w:t>-</w:t>
                        </w:r>
                      </w:p>
                    </w:txbxContent>
                  </v:textbox>
                </v:rect>
                <v:shape id="Shape 20292" o:spid="_x0000_s5099" style="position:absolute;top:4731;width:39600;height:58013;visibility:visible;mso-wrap-style:square;v-text-anchor:top" coordsize="3960000,580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b55xgAAAN4AAAAPAAAAZHJzL2Rvd25yZXYueG1sRI9BawIx&#10;FITvQv9DeIXeNOtCta5GUaFQT6Ltxdtz89xd3LysSaqpv94UCj0OM/MNM1tE04orOd9YVjAcZCCI&#10;S6sbrhR8fb7330D4gKyxtUwKfsjDYv7Um2Gh7Y13dN2HSiQI+wIV1CF0hZS+rMmgH9iOOHkn6wyG&#10;JF0ltcNbgptW5lk2kgYbTgs1drSuqTzvv42CzpWr7Xr8urkfx/dd5OPqcMGo1MtzXE5BBIrhP/zX&#10;/tAK8iyf5PB7J10BOX8AAAD//wMAUEsBAi0AFAAGAAgAAAAhANvh9svuAAAAhQEAABMAAAAAAAAA&#10;AAAAAAAAAAAAAFtDb250ZW50X1R5cGVzXS54bWxQSwECLQAUAAYACAAAACEAWvQsW78AAAAVAQAA&#10;CwAAAAAAAAAAAAAAAAAfAQAAX3JlbHMvLnJlbHNQSwECLQAUAAYACAAAACEA+sm+ecYAAADeAAAA&#10;DwAAAAAAAAAAAAAAAAAHAgAAZHJzL2Rvd25yZXYueG1sUEsFBgAAAAADAAMAtwAAAPoCAAAAAA==&#10;" path="m,5801297r3960000,l3960000,,,,,5801297xe" filled="f" strokeweight="1pt">
                  <v:stroke miterlimit="1" joinstyle="miter"/>
                  <v:path arrowok="t" textboxrect="0,0,3960000,5801297"/>
                </v:shape>
                <w10:anchorlock/>
              </v:group>
            </w:pict>
          </mc:Fallback>
        </mc:AlternateContent>
      </w:r>
    </w:p>
    <w:p w14:paraId="65A2F54A" w14:textId="77777777" w:rsidR="00B32EF2" w:rsidRDefault="00000000">
      <w:pPr>
        <w:spacing w:after="0"/>
        <w:ind w:left="-356" w:right="-306"/>
      </w:pPr>
      <w:r>
        <w:rPr>
          <w:noProof/>
        </w:rPr>
        <w:lastRenderedPageBreak/>
        <mc:AlternateContent>
          <mc:Choice Requires="wpg">
            <w:drawing>
              <wp:inline distT="0" distB="0" distL="0" distR="0" wp14:anchorId="2D5DCC3F" wp14:editId="02715CC4">
                <wp:extent cx="3991756" cy="6262854"/>
                <wp:effectExtent l="0" t="0" r="0" b="0"/>
                <wp:docPr id="201926" name="Group 201926"/>
                <wp:cNvGraphicFramePr/>
                <a:graphic xmlns:a="http://schemas.openxmlformats.org/drawingml/2006/main">
                  <a:graphicData uri="http://schemas.microsoft.com/office/word/2010/wordprocessingGroup">
                    <wpg:wgp>
                      <wpg:cNvGrpSpPr/>
                      <wpg:grpSpPr>
                        <a:xfrm>
                          <a:off x="0" y="0"/>
                          <a:ext cx="3991756" cy="6262854"/>
                          <a:chOff x="0" y="0"/>
                          <a:chExt cx="3991756" cy="6262854"/>
                        </a:xfrm>
                      </wpg:grpSpPr>
                      <wps:wsp>
                        <wps:cNvPr id="20368" name="Rectangle 20368"/>
                        <wps:cNvSpPr/>
                        <wps:spPr>
                          <a:xfrm rot="-10799999">
                            <a:off x="1900442" y="-62190"/>
                            <a:ext cx="178369" cy="250646"/>
                          </a:xfrm>
                          <a:prstGeom prst="rect">
                            <a:avLst/>
                          </a:prstGeom>
                          <a:ln>
                            <a:noFill/>
                          </a:ln>
                        </wps:spPr>
                        <wps:txbx>
                          <w:txbxContent>
                            <w:p w14:paraId="7082ED39" w14:textId="77777777" w:rsidR="00B32EF2" w:rsidRDefault="00000000">
                              <w:r>
                                <w:rPr>
                                  <w:rFonts w:ascii="Times New Roman" w:eastAsia="Times New Roman" w:hAnsi="Times New Roman" w:cs="Times New Roman"/>
                                </w:rPr>
                                <w:t>44</w:t>
                              </w:r>
                            </w:p>
                          </w:txbxContent>
                        </wps:txbx>
                        <wps:bodyPr horzOverflow="overflow" vert="horz" lIns="0" tIns="0" rIns="0" bIns="0" rtlCol="0">
                          <a:noAutofit/>
                        </wps:bodyPr>
                      </wps:wsp>
                      <wps:wsp>
                        <wps:cNvPr id="20369" name="Rectangle 20369"/>
                        <wps:cNvSpPr/>
                        <wps:spPr>
                          <a:xfrm rot="-10799999">
                            <a:off x="-1317278" y="6119964"/>
                            <a:ext cx="5309036" cy="142890"/>
                          </a:xfrm>
                          <a:prstGeom prst="rect">
                            <a:avLst/>
                          </a:prstGeom>
                          <a:ln>
                            <a:noFill/>
                          </a:ln>
                        </wps:spPr>
                        <wps:txbx>
                          <w:txbxContent>
                            <w:p w14:paraId="7286E9F7" w14:textId="77777777" w:rsidR="00B32EF2" w:rsidRDefault="00000000">
                              <w:r>
                                <w:rPr>
                                  <w:rFonts w:ascii="Arial" w:eastAsia="Arial" w:hAnsi="Arial" w:cs="Arial"/>
                                  <w:sz w:val="18"/>
                                </w:rPr>
                                <w:t xml:space="preserve">timo un regolamento o un atto generale rilevante ai fini della decisione, non lo </w:t>
                              </w:r>
                            </w:p>
                          </w:txbxContent>
                        </wps:txbx>
                        <wps:bodyPr horzOverflow="overflow" vert="horz" lIns="0" tIns="0" rIns="0" bIns="0" rtlCol="0">
                          <a:noAutofit/>
                        </wps:bodyPr>
                      </wps:wsp>
                      <wps:wsp>
                        <wps:cNvPr id="20370" name="Rectangle 20370"/>
                        <wps:cNvSpPr/>
                        <wps:spPr>
                          <a:xfrm rot="-10799999">
                            <a:off x="-1220777" y="5996634"/>
                            <a:ext cx="5212535" cy="142891"/>
                          </a:xfrm>
                          <a:prstGeom prst="rect">
                            <a:avLst/>
                          </a:prstGeom>
                          <a:ln>
                            <a:noFill/>
                          </a:ln>
                        </wps:spPr>
                        <wps:txbx>
                          <w:txbxContent>
                            <w:p w14:paraId="42E2AB79" w14:textId="77777777" w:rsidR="00B32EF2" w:rsidRDefault="00000000">
                              <w:r>
                                <w:rPr>
                                  <w:rFonts w:ascii="Arial" w:eastAsia="Arial" w:hAnsi="Arial" w:cs="Arial"/>
                                  <w:sz w:val="18"/>
                                </w:rPr>
                                <w:t>applicano, in relazione all’oggetto dedotto in giudizio, salva l’eventuale impu</w:t>
                              </w:r>
                            </w:p>
                          </w:txbxContent>
                        </wps:txbx>
                        <wps:bodyPr horzOverflow="overflow" vert="horz" lIns="0" tIns="0" rIns="0" bIns="0" rtlCol="0">
                          <a:noAutofit/>
                        </wps:bodyPr>
                      </wps:wsp>
                      <wps:wsp>
                        <wps:cNvPr id="20371" name="Rectangle 20371"/>
                        <wps:cNvSpPr/>
                        <wps:spPr>
                          <a:xfrm rot="-10799999">
                            <a:off x="19158" y="5996635"/>
                            <a:ext cx="50622" cy="142890"/>
                          </a:xfrm>
                          <a:prstGeom prst="rect">
                            <a:avLst/>
                          </a:prstGeom>
                          <a:ln>
                            <a:noFill/>
                          </a:ln>
                        </wps:spPr>
                        <wps:txbx>
                          <w:txbxContent>
                            <w:p w14:paraId="02165C9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372" name="Rectangle 20372"/>
                        <wps:cNvSpPr/>
                        <wps:spPr>
                          <a:xfrm rot="-10799999">
                            <a:off x="1200155" y="5873305"/>
                            <a:ext cx="2791601" cy="142889"/>
                          </a:xfrm>
                          <a:prstGeom prst="rect">
                            <a:avLst/>
                          </a:prstGeom>
                          <a:ln>
                            <a:noFill/>
                          </a:ln>
                        </wps:spPr>
                        <wps:txbx>
                          <w:txbxContent>
                            <w:p w14:paraId="5C9F3920" w14:textId="77777777" w:rsidR="00B32EF2" w:rsidRDefault="00000000">
                              <w:r>
                                <w:rPr>
                                  <w:rFonts w:ascii="Arial" w:eastAsia="Arial" w:hAnsi="Arial" w:cs="Arial"/>
                                  <w:sz w:val="18"/>
                                </w:rPr>
                                <w:t>gnazione nella diversa sede competente.</w:t>
                              </w:r>
                            </w:p>
                          </w:txbxContent>
                        </wps:txbx>
                        <wps:bodyPr horzOverflow="overflow" vert="horz" lIns="0" tIns="0" rIns="0" bIns="0" rtlCol="0">
                          <a:noAutofit/>
                        </wps:bodyPr>
                      </wps:wsp>
                      <wps:wsp>
                        <wps:cNvPr id="201790" name="Rectangle 201790"/>
                        <wps:cNvSpPr/>
                        <wps:spPr>
                          <a:xfrm rot="-10799999">
                            <a:off x="2634848" y="5749976"/>
                            <a:ext cx="5212625" cy="142889"/>
                          </a:xfrm>
                          <a:prstGeom prst="rect">
                            <a:avLst/>
                          </a:prstGeom>
                          <a:ln>
                            <a:noFill/>
                          </a:ln>
                        </wps:spPr>
                        <wps:txbx>
                          <w:txbxContent>
                            <w:p w14:paraId="5E0702EA"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01791" name="Rectangle 201791"/>
                        <wps:cNvSpPr/>
                        <wps:spPr>
                          <a:xfrm rot="-10799999">
                            <a:off x="-1285265" y="5749976"/>
                            <a:ext cx="5212625" cy="142889"/>
                          </a:xfrm>
                          <a:prstGeom prst="rect">
                            <a:avLst/>
                          </a:prstGeom>
                          <a:ln>
                            <a:noFill/>
                          </a:ln>
                        </wps:spPr>
                        <wps:txbx>
                          <w:txbxContent>
                            <w:p w14:paraId="1A793A66" w14:textId="77777777" w:rsidR="00B32EF2" w:rsidRDefault="00000000">
                              <w:r>
                                <w:rPr>
                                  <w:rFonts w:ascii="Arial" w:eastAsia="Arial" w:hAnsi="Arial" w:cs="Arial"/>
                                  <w:sz w:val="18"/>
                                </w:rPr>
                                <w:t>. L’amministrazione prova in giudizio le violazioni contestate con l’atto impu</w:t>
                              </w:r>
                            </w:p>
                          </w:txbxContent>
                        </wps:txbx>
                        <wps:bodyPr horzOverflow="overflow" vert="horz" lIns="0" tIns="0" rIns="0" bIns="0" rtlCol="0">
                          <a:noAutofit/>
                        </wps:bodyPr>
                      </wps:wsp>
                      <wps:wsp>
                        <wps:cNvPr id="20374" name="Rectangle 20374"/>
                        <wps:cNvSpPr/>
                        <wps:spPr>
                          <a:xfrm rot="-10799999">
                            <a:off x="19158" y="5749975"/>
                            <a:ext cx="50622" cy="142889"/>
                          </a:xfrm>
                          <a:prstGeom prst="rect">
                            <a:avLst/>
                          </a:prstGeom>
                          <a:ln>
                            <a:noFill/>
                          </a:ln>
                        </wps:spPr>
                        <wps:txbx>
                          <w:txbxContent>
                            <w:p w14:paraId="2ADC874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375" name="Rectangle 20375"/>
                        <wps:cNvSpPr/>
                        <wps:spPr>
                          <a:xfrm rot="-10799999">
                            <a:off x="-1317233" y="5626646"/>
                            <a:ext cx="5308990" cy="142889"/>
                          </a:xfrm>
                          <a:prstGeom prst="rect">
                            <a:avLst/>
                          </a:prstGeom>
                          <a:ln>
                            <a:noFill/>
                          </a:ln>
                        </wps:spPr>
                        <wps:txbx>
                          <w:txbxContent>
                            <w:p w14:paraId="10962719" w14:textId="77777777" w:rsidR="00B32EF2" w:rsidRDefault="00000000">
                              <w:r>
                                <w:rPr>
                                  <w:rFonts w:ascii="Arial" w:eastAsia="Arial" w:hAnsi="Arial" w:cs="Arial"/>
                                  <w:sz w:val="18"/>
                                </w:rPr>
                                <w:t xml:space="preserve">gnato. Il giudice fonda la decisione sugli elementi di prova che emergono nel </w:t>
                              </w:r>
                            </w:p>
                          </w:txbxContent>
                        </wps:txbx>
                        <wps:bodyPr horzOverflow="overflow" vert="horz" lIns="0" tIns="0" rIns="0" bIns="0" rtlCol="0">
                          <a:noAutofit/>
                        </wps:bodyPr>
                      </wps:wsp>
                      <wps:wsp>
                        <wps:cNvPr id="20376" name="Rectangle 20376"/>
                        <wps:cNvSpPr/>
                        <wps:spPr>
                          <a:xfrm rot="-10799999">
                            <a:off x="-1317279" y="5503316"/>
                            <a:ext cx="5309035" cy="142889"/>
                          </a:xfrm>
                          <a:prstGeom prst="rect">
                            <a:avLst/>
                          </a:prstGeom>
                          <a:ln>
                            <a:noFill/>
                          </a:ln>
                        </wps:spPr>
                        <wps:txbx>
                          <w:txbxContent>
                            <w:p w14:paraId="5CB6F19A" w14:textId="77777777" w:rsidR="00B32EF2" w:rsidRDefault="00000000">
                              <w:r>
                                <w:rPr>
                                  <w:rFonts w:ascii="Arial" w:eastAsia="Arial" w:hAnsi="Arial" w:cs="Arial"/>
                                  <w:sz w:val="18"/>
                                </w:rPr>
                                <w:t xml:space="preserve">giudizio e annulla l’atto impositivo se la prova della sua fondatezza manca o è </w:t>
                              </w:r>
                            </w:p>
                          </w:txbxContent>
                        </wps:txbx>
                        <wps:bodyPr horzOverflow="overflow" vert="horz" lIns="0" tIns="0" rIns="0" bIns="0" rtlCol="0">
                          <a:noAutofit/>
                        </wps:bodyPr>
                      </wps:wsp>
                      <wps:wsp>
                        <wps:cNvPr id="20377" name="Rectangle 20377"/>
                        <wps:cNvSpPr/>
                        <wps:spPr>
                          <a:xfrm rot="-10799999">
                            <a:off x="-1220655" y="5379987"/>
                            <a:ext cx="5212413" cy="142889"/>
                          </a:xfrm>
                          <a:prstGeom prst="rect">
                            <a:avLst/>
                          </a:prstGeom>
                          <a:ln>
                            <a:noFill/>
                          </a:ln>
                        </wps:spPr>
                        <wps:txbx>
                          <w:txbxContent>
                            <w:p w14:paraId="7632CB7C" w14:textId="77777777" w:rsidR="00B32EF2" w:rsidRDefault="00000000">
                              <w:r>
                                <w:rPr>
                                  <w:rFonts w:ascii="Arial" w:eastAsia="Arial" w:hAnsi="Arial" w:cs="Arial"/>
                                  <w:sz w:val="18"/>
                                </w:rPr>
                                <w:t>contraddittoria o se è comunque insufficiente a dimostrare, in modo circostan</w:t>
                              </w:r>
                            </w:p>
                          </w:txbxContent>
                        </wps:txbx>
                        <wps:bodyPr horzOverflow="overflow" vert="horz" lIns="0" tIns="0" rIns="0" bIns="0" rtlCol="0">
                          <a:noAutofit/>
                        </wps:bodyPr>
                      </wps:wsp>
                      <wps:wsp>
                        <wps:cNvPr id="20378" name="Rectangle 20378"/>
                        <wps:cNvSpPr/>
                        <wps:spPr>
                          <a:xfrm rot="-10799999">
                            <a:off x="19158" y="5379986"/>
                            <a:ext cx="50622" cy="142889"/>
                          </a:xfrm>
                          <a:prstGeom prst="rect">
                            <a:avLst/>
                          </a:prstGeom>
                          <a:ln>
                            <a:noFill/>
                          </a:ln>
                        </wps:spPr>
                        <wps:txbx>
                          <w:txbxContent>
                            <w:p w14:paraId="64631B8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379" name="Rectangle 20379"/>
                        <wps:cNvSpPr/>
                        <wps:spPr>
                          <a:xfrm rot="-10799999">
                            <a:off x="-1221051" y="5256657"/>
                            <a:ext cx="5212808" cy="142889"/>
                          </a:xfrm>
                          <a:prstGeom prst="rect">
                            <a:avLst/>
                          </a:prstGeom>
                          <a:ln>
                            <a:noFill/>
                          </a:ln>
                        </wps:spPr>
                        <wps:txbx>
                          <w:txbxContent>
                            <w:p w14:paraId="283F81BF" w14:textId="77777777" w:rsidR="00B32EF2" w:rsidRDefault="00000000">
                              <w:r>
                                <w:rPr>
                                  <w:rFonts w:ascii="Arial" w:eastAsia="Arial" w:hAnsi="Arial" w:cs="Arial"/>
                                  <w:sz w:val="18"/>
                                </w:rPr>
                                <w:t>ziato e puntuale, comunque in coerenza con la normativa tributaria sostanzia</w:t>
                              </w:r>
                            </w:p>
                          </w:txbxContent>
                        </wps:txbx>
                        <wps:bodyPr horzOverflow="overflow" vert="horz" lIns="0" tIns="0" rIns="0" bIns="0" rtlCol="0">
                          <a:noAutofit/>
                        </wps:bodyPr>
                      </wps:wsp>
                      <wps:wsp>
                        <wps:cNvPr id="20380" name="Rectangle 20380"/>
                        <wps:cNvSpPr/>
                        <wps:spPr>
                          <a:xfrm rot="-10799999">
                            <a:off x="19158" y="5256657"/>
                            <a:ext cx="50622" cy="142889"/>
                          </a:xfrm>
                          <a:prstGeom prst="rect">
                            <a:avLst/>
                          </a:prstGeom>
                          <a:ln>
                            <a:noFill/>
                          </a:ln>
                        </wps:spPr>
                        <wps:txbx>
                          <w:txbxContent>
                            <w:p w14:paraId="5A6CB54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381" name="Rectangle 20381"/>
                        <wps:cNvSpPr/>
                        <wps:spPr>
                          <a:xfrm rot="-10799999">
                            <a:off x="-1317203" y="5133327"/>
                            <a:ext cx="5308960" cy="142889"/>
                          </a:xfrm>
                          <a:prstGeom prst="rect">
                            <a:avLst/>
                          </a:prstGeom>
                          <a:ln>
                            <a:noFill/>
                          </a:ln>
                        </wps:spPr>
                        <wps:txbx>
                          <w:txbxContent>
                            <w:p w14:paraId="63D96A7E" w14:textId="77777777" w:rsidR="00B32EF2" w:rsidRDefault="00000000">
                              <w:r>
                                <w:rPr>
                                  <w:rFonts w:ascii="Arial" w:eastAsia="Arial" w:hAnsi="Arial" w:cs="Arial"/>
                                  <w:sz w:val="18"/>
                                </w:rPr>
                                <w:t xml:space="preserve">le, le ragioni oggettive su cui si fondano la pretesa impositiva e l’irrogazione </w:t>
                              </w:r>
                            </w:p>
                          </w:txbxContent>
                        </wps:txbx>
                        <wps:bodyPr horzOverflow="overflow" vert="horz" lIns="0" tIns="0" rIns="0" bIns="0" rtlCol="0">
                          <a:noAutofit/>
                        </wps:bodyPr>
                      </wps:wsp>
                      <wps:wsp>
                        <wps:cNvPr id="20382" name="Rectangle 20382"/>
                        <wps:cNvSpPr/>
                        <wps:spPr>
                          <a:xfrm rot="-10799999">
                            <a:off x="-1219211" y="5009998"/>
                            <a:ext cx="5210969" cy="142889"/>
                          </a:xfrm>
                          <a:prstGeom prst="rect">
                            <a:avLst/>
                          </a:prstGeom>
                          <a:ln>
                            <a:noFill/>
                          </a:ln>
                        </wps:spPr>
                        <wps:txbx>
                          <w:txbxContent>
                            <w:p w14:paraId="2BB3D294" w14:textId="77777777" w:rsidR="00B32EF2" w:rsidRDefault="00000000">
                              <w:r>
                                <w:rPr>
                                  <w:rFonts w:ascii="Arial" w:eastAsia="Arial" w:hAnsi="Arial" w:cs="Arial"/>
                                  <w:sz w:val="18"/>
                                </w:rPr>
                                <w:t>delle sanzioni. Spetta comunque al contribuente fornire le ragioni della richie</w:t>
                              </w:r>
                            </w:p>
                          </w:txbxContent>
                        </wps:txbx>
                        <wps:bodyPr horzOverflow="overflow" vert="horz" lIns="0" tIns="0" rIns="0" bIns="0" rtlCol="0">
                          <a:noAutofit/>
                        </wps:bodyPr>
                      </wps:wsp>
                      <wps:wsp>
                        <wps:cNvPr id="20383" name="Rectangle 20383"/>
                        <wps:cNvSpPr/>
                        <wps:spPr>
                          <a:xfrm rot="-10799999">
                            <a:off x="19158" y="5009997"/>
                            <a:ext cx="50622" cy="142889"/>
                          </a:xfrm>
                          <a:prstGeom prst="rect">
                            <a:avLst/>
                          </a:prstGeom>
                          <a:ln>
                            <a:noFill/>
                          </a:ln>
                        </wps:spPr>
                        <wps:txbx>
                          <w:txbxContent>
                            <w:p w14:paraId="66CBBF6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384" name="Rectangle 20384"/>
                        <wps:cNvSpPr/>
                        <wps:spPr>
                          <a:xfrm rot="-10799999">
                            <a:off x="-1317233" y="4886668"/>
                            <a:ext cx="5308990" cy="142889"/>
                          </a:xfrm>
                          <a:prstGeom prst="rect">
                            <a:avLst/>
                          </a:prstGeom>
                          <a:ln>
                            <a:noFill/>
                          </a:ln>
                        </wps:spPr>
                        <wps:txbx>
                          <w:txbxContent>
                            <w:p w14:paraId="3851DF68" w14:textId="77777777" w:rsidR="00B32EF2" w:rsidRDefault="00000000">
                              <w:r>
                                <w:rPr>
                                  <w:rFonts w:ascii="Arial" w:eastAsia="Arial" w:hAnsi="Arial" w:cs="Arial"/>
                                  <w:sz w:val="18"/>
                                </w:rPr>
                                <w:t xml:space="preserve">sta di rimborso, quando non sia conseguente al pagamento di somme oggetto </w:t>
                              </w:r>
                            </w:p>
                          </w:txbxContent>
                        </wps:txbx>
                        <wps:bodyPr horzOverflow="overflow" vert="horz" lIns="0" tIns="0" rIns="0" bIns="0" rtlCol="0">
                          <a:noAutofit/>
                        </wps:bodyPr>
                      </wps:wsp>
                      <wps:wsp>
                        <wps:cNvPr id="20385" name="Rectangle 20385"/>
                        <wps:cNvSpPr/>
                        <wps:spPr>
                          <a:xfrm rot="-10799999">
                            <a:off x="2188963" y="4763338"/>
                            <a:ext cx="1802793" cy="142889"/>
                          </a:xfrm>
                          <a:prstGeom prst="rect">
                            <a:avLst/>
                          </a:prstGeom>
                          <a:ln>
                            <a:noFill/>
                          </a:ln>
                        </wps:spPr>
                        <wps:txbx>
                          <w:txbxContent>
                            <w:p w14:paraId="3745B64A" w14:textId="77777777" w:rsidR="00B32EF2" w:rsidRDefault="00000000">
                              <w:r>
                                <w:rPr>
                                  <w:rFonts w:ascii="Arial" w:eastAsia="Arial" w:hAnsi="Arial" w:cs="Arial"/>
                                  <w:sz w:val="18"/>
                                </w:rPr>
                                <w:t>di accertamenti impugnati.</w:t>
                              </w:r>
                            </w:p>
                          </w:txbxContent>
                        </wps:txbx>
                        <wps:bodyPr horzOverflow="overflow" vert="horz" lIns="0" tIns="0" rIns="0" bIns="0" rtlCol="0">
                          <a:noAutofit/>
                        </wps:bodyPr>
                      </wps:wsp>
                      <wps:wsp>
                        <wps:cNvPr id="208048" name="Shape 208048"/>
                        <wps:cNvSpPr/>
                        <wps:spPr>
                          <a:xfrm>
                            <a:off x="31756" y="473194"/>
                            <a:ext cx="3960000" cy="4244302"/>
                          </a:xfrm>
                          <a:custGeom>
                            <a:avLst/>
                            <a:gdLst/>
                            <a:ahLst/>
                            <a:cxnLst/>
                            <a:rect l="0" t="0" r="0" b="0"/>
                            <a:pathLst>
                              <a:path w="3960000" h="4244302">
                                <a:moveTo>
                                  <a:pt x="0" y="0"/>
                                </a:moveTo>
                                <a:lnTo>
                                  <a:pt x="3960000" y="0"/>
                                </a:lnTo>
                                <a:lnTo>
                                  <a:pt x="3960000" y="4244302"/>
                                </a:lnTo>
                                <a:lnTo>
                                  <a:pt x="0" y="4244302"/>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20387" name="Rectangle 20387"/>
                        <wps:cNvSpPr/>
                        <wps:spPr>
                          <a:xfrm rot="-10799999">
                            <a:off x="2328741" y="4496264"/>
                            <a:ext cx="1585695" cy="142889"/>
                          </a:xfrm>
                          <a:prstGeom prst="rect">
                            <a:avLst/>
                          </a:prstGeom>
                          <a:ln>
                            <a:noFill/>
                          </a:ln>
                        </wps:spPr>
                        <wps:txbx>
                          <w:txbxContent>
                            <w:p w14:paraId="25C015F6"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20388" name="Rectangle 20388"/>
                        <wps:cNvSpPr/>
                        <wps:spPr>
                          <a:xfrm rot="-10799999">
                            <a:off x="1096478" y="4372934"/>
                            <a:ext cx="2816928" cy="142889"/>
                          </a:xfrm>
                          <a:prstGeom prst="rect">
                            <a:avLst/>
                          </a:prstGeom>
                          <a:ln>
                            <a:noFill/>
                          </a:ln>
                        </wps:spPr>
                        <wps:txbx>
                          <w:txbxContent>
                            <w:p w14:paraId="78BCFC29" w14:textId="77777777" w:rsidR="00B32EF2" w:rsidRDefault="00000000">
                              <w:r>
                                <w:rPr>
                                  <w:rFonts w:ascii="Arial" w:eastAsia="Arial" w:hAnsi="Arial" w:cs="Arial"/>
                                  <w:i/>
                                  <w:sz w:val="18"/>
                                </w:rPr>
                                <w:t xml:space="preserve">art. 257-bis c.p.c. “Testimonianza scritta” </w:t>
                              </w:r>
                            </w:p>
                          </w:txbxContent>
                        </wps:txbx>
                        <wps:bodyPr horzOverflow="overflow" vert="horz" lIns="0" tIns="0" rIns="0" bIns="0" rtlCol="0">
                          <a:noAutofit/>
                        </wps:bodyPr>
                      </wps:wsp>
                      <wps:wsp>
                        <wps:cNvPr id="201788" name="Rectangle 201788"/>
                        <wps:cNvSpPr/>
                        <wps:spPr>
                          <a:xfrm rot="-10799999">
                            <a:off x="2581298" y="4249605"/>
                            <a:ext cx="5112673" cy="142889"/>
                          </a:xfrm>
                          <a:prstGeom prst="rect">
                            <a:avLst/>
                          </a:prstGeom>
                          <a:ln>
                            <a:noFill/>
                          </a:ln>
                        </wps:spPr>
                        <wps:txbx>
                          <w:txbxContent>
                            <w:p w14:paraId="1C9DD887"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789" name="Rectangle 201789"/>
                        <wps:cNvSpPr/>
                        <wps:spPr>
                          <a:xfrm rot="-10799999">
                            <a:off x="-1249981" y="4249605"/>
                            <a:ext cx="5112673" cy="142889"/>
                          </a:xfrm>
                          <a:prstGeom prst="rect">
                            <a:avLst/>
                          </a:prstGeom>
                          <a:ln>
                            <a:noFill/>
                          </a:ln>
                        </wps:spPr>
                        <wps:txbx>
                          <w:txbxContent>
                            <w:p w14:paraId="031C5F1F" w14:textId="77777777" w:rsidR="00B32EF2" w:rsidRDefault="00000000">
                              <w:r>
                                <w:rPr>
                                  <w:rFonts w:ascii="Arial" w:eastAsia="Arial" w:hAnsi="Arial" w:cs="Arial"/>
                                  <w:i/>
                                  <w:sz w:val="18"/>
                                </w:rPr>
                                <w:t xml:space="preserve">. Il giudice, su accordo delle parti, tenuto conto della natura della causa </w:t>
                              </w:r>
                            </w:p>
                          </w:txbxContent>
                        </wps:txbx>
                        <wps:bodyPr horzOverflow="overflow" vert="horz" lIns="0" tIns="0" rIns="0" bIns="0" rtlCol="0">
                          <a:noAutofit/>
                        </wps:bodyPr>
                      </wps:wsp>
                      <wps:wsp>
                        <wps:cNvPr id="20390" name="Rectangle 20390"/>
                        <wps:cNvSpPr/>
                        <wps:spPr>
                          <a:xfrm rot="-10799999">
                            <a:off x="-1090268" y="4126275"/>
                            <a:ext cx="5003675" cy="142889"/>
                          </a:xfrm>
                          <a:prstGeom prst="rect">
                            <a:avLst/>
                          </a:prstGeom>
                          <a:ln>
                            <a:noFill/>
                          </a:ln>
                        </wps:spPr>
                        <wps:txbx>
                          <w:txbxContent>
                            <w:p w14:paraId="45D90B64" w14:textId="77777777" w:rsidR="00B32EF2" w:rsidRDefault="00000000">
                              <w:r>
                                <w:rPr>
                                  <w:rFonts w:ascii="Arial" w:eastAsia="Arial" w:hAnsi="Arial" w:cs="Arial"/>
                                  <w:i/>
                                  <w:sz w:val="18"/>
                                </w:rPr>
                                <w:t>e di ogni altra circostanza, può disporre di assumere la deposizione chie</w:t>
                              </w:r>
                            </w:p>
                          </w:txbxContent>
                        </wps:txbx>
                        <wps:bodyPr horzOverflow="overflow" vert="horz" lIns="0" tIns="0" rIns="0" bIns="0" rtlCol="0">
                          <a:noAutofit/>
                        </wps:bodyPr>
                      </wps:wsp>
                      <wps:wsp>
                        <wps:cNvPr id="20391" name="Rectangle 20391"/>
                        <wps:cNvSpPr/>
                        <wps:spPr>
                          <a:xfrm rot="-10799999">
                            <a:off x="97512" y="4126275"/>
                            <a:ext cx="50622" cy="142889"/>
                          </a:xfrm>
                          <a:prstGeom prst="rect">
                            <a:avLst/>
                          </a:prstGeom>
                          <a:ln>
                            <a:noFill/>
                          </a:ln>
                        </wps:spPr>
                        <wps:txbx>
                          <w:txbxContent>
                            <w:p w14:paraId="5D0440B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392" name="Rectangle 20392"/>
                        <wps:cNvSpPr/>
                        <wps:spPr>
                          <a:xfrm rot="-10799999">
                            <a:off x="-1193145" y="4002945"/>
                            <a:ext cx="5122554" cy="142889"/>
                          </a:xfrm>
                          <a:prstGeom prst="rect">
                            <a:avLst/>
                          </a:prstGeom>
                          <a:ln>
                            <a:noFill/>
                          </a:ln>
                        </wps:spPr>
                        <wps:txbx>
                          <w:txbxContent>
                            <w:p w14:paraId="0A8510D6" w14:textId="77777777" w:rsidR="00B32EF2" w:rsidRDefault="00000000">
                              <w:r>
                                <w:rPr>
                                  <w:rFonts w:ascii="Arial" w:eastAsia="Arial" w:hAnsi="Arial" w:cs="Arial"/>
                                  <w:i/>
                                  <w:sz w:val="18"/>
                                </w:rPr>
                                <w:t xml:space="preserve">dendo al testimone, anche nelle ipotesi di cui all’articolo 203, di fornire, </w:t>
                              </w:r>
                            </w:p>
                          </w:txbxContent>
                        </wps:txbx>
                        <wps:bodyPr horzOverflow="overflow" vert="horz" lIns="0" tIns="0" rIns="0" bIns="0" rtlCol="0">
                          <a:noAutofit/>
                        </wps:bodyPr>
                      </wps:wsp>
                      <wps:wsp>
                        <wps:cNvPr id="20393" name="Rectangle 20393"/>
                        <wps:cNvSpPr/>
                        <wps:spPr>
                          <a:xfrm rot="-10799999">
                            <a:off x="-1187468" y="3879616"/>
                            <a:ext cx="5101561" cy="142889"/>
                          </a:xfrm>
                          <a:prstGeom prst="rect">
                            <a:avLst/>
                          </a:prstGeom>
                          <a:ln>
                            <a:noFill/>
                          </a:ln>
                        </wps:spPr>
                        <wps:txbx>
                          <w:txbxContent>
                            <w:p w14:paraId="0DE36266" w14:textId="77777777" w:rsidR="00B32EF2" w:rsidRDefault="00000000">
                              <w:r>
                                <w:rPr>
                                  <w:rFonts w:ascii="Arial" w:eastAsia="Arial" w:hAnsi="Arial" w:cs="Arial"/>
                                  <w:i/>
                                  <w:sz w:val="18"/>
                                </w:rPr>
                                <w:t xml:space="preserve">per iscritto e nel termine fissato, le risposte ai quesiti sui quali deve essere </w:t>
                              </w:r>
                            </w:p>
                          </w:txbxContent>
                        </wps:txbx>
                        <wps:bodyPr horzOverflow="overflow" vert="horz" lIns="0" tIns="0" rIns="0" bIns="0" rtlCol="0">
                          <a:noAutofit/>
                        </wps:bodyPr>
                      </wps:wsp>
                      <wps:wsp>
                        <wps:cNvPr id="20394" name="Rectangle 20394"/>
                        <wps:cNvSpPr/>
                        <wps:spPr>
                          <a:xfrm rot="-10799999">
                            <a:off x="3132941" y="3756286"/>
                            <a:ext cx="780465" cy="142889"/>
                          </a:xfrm>
                          <a:prstGeom prst="rect">
                            <a:avLst/>
                          </a:prstGeom>
                          <a:ln>
                            <a:noFill/>
                          </a:ln>
                        </wps:spPr>
                        <wps:txbx>
                          <w:txbxContent>
                            <w:p w14:paraId="031F53DB" w14:textId="77777777" w:rsidR="00B32EF2" w:rsidRDefault="00000000">
                              <w:r>
                                <w:rPr>
                                  <w:rFonts w:ascii="Arial" w:eastAsia="Arial" w:hAnsi="Arial" w:cs="Arial"/>
                                  <w:i/>
                                  <w:sz w:val="18"/>
                                </w:rPr>
                                <w:t>interrogato.</w:t>
                              </w:r>
                            </w:p>
                          </w:txbxContent>
                        </wps:txbx>
                        <wps:bodyPr horzOverflow="overflow" vert="horz" lIns="0" tIns="0" rIns="0" bIns="0" rtlCol="0">
                          <a:noAutofit/>
                        </wps:bodyPr>
                      </wps:wsp>
                      <wps:wsp>
                        <wps:cNvPr id="201782" name="Rectangle 201782"/>
                        <wps:cNvSpPr/>
                        <wps:spPr>
                          <a:xfrm rot="-10799999">
                            <a:off x="2581147" y="3632957"/>
                            <a:ext cx="5113280" cy="142889"/>
                          </a:xfrm>
                          <a:prstGeom prst="rect">
                            <a:avLst/>
                          </a:prstGeom>
                          <a:ln>
                            <a:noFill/>
                          </a:ln>
                        </wps:spPr>
                        <wps:txbx>
                          <w:txbxContent>
                            <w:p w14:paraId="3B8B3A16"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787" name="Rectangle 201787"/>
                        <wps:cNvSpPr/>
                        <wps:spPr>
                          <a:xfrm rot="-10799999">
                            <a:off x="-1255115" y="3632957"/>
                            <a:ext cx="5113282" cy="142889"/>
                          </a:xfrm>
                          <a:prstGeom prst="rect">
                            <a:avLst/>
                          </a:prstGeom>
                          <a:ln>
                            <a:noFill/>
                          </a:ln>
                        </wps:spPr>
                        <wps:txbx>
                          <w:txbxContent>
                            <w:p w14:paraId="22B6BA11" w14:textId="77777777" w:rsidR="00B32EF2" w:rsidRDefault="00000000">
                              <w:r>
                                <w:rPr>
                                  <w:rFonts w:ascii="Arial" w:eastAsia="Arial" w:hAnsi="Arial" w:cs="Arial"/>
                                  <w:i/>
                                  <w:sz w:val="18"/>
                                </w:rPr>
                                <w:t xml:space="preserve">. Il giudice, con il provvedimento di cui al primo comma, dispone che la </w:t>
                              </w:r>
                            </w:p>
                          </w:txbxContent>
                        </wps:txbx>
                        <wps:bodyPr horzOverflow="overflow" vert="horz" lIns="0" tIns="0" rIns="0" bIns="0" rtlCol="0">
                          <a:noAutofit/>
                        </wps:bodyPr>
                      </wps:wsp>
                      <wps:wsp>
                        <wps:cNvPr id="20396" name="Rectangle 20396"/>
                        <wps:cNvSpPr/>
                        <wps:spPr>
                          <a:xfrm rot="-10799999">
                            <a:off x="-1185766" y="3509627"/>
                            <a:ext cx="5096316" cy="142889"/>
                          </a:xfrm>
                          <a:prstGeom prst="rect">
                            <a:avLst/>
                          </a:prstGeom>
                          <a:ln>
                            <a:noFill/>
                          </a:ln>
                        </wps:spPr>
                        <wps:txbx>
                          <w:txbxContent>
                            <w:p w14:paraId="2335556F" w14:textId="77777777" w:rsidR="00B32EF2" w:rsidRDefault="00000000">
                              <w:r>
                                <w:rPr>
                                  <w:rFonts w:ascii="Arial" w:eastAsia="Arial" w:hAnsi="Arial" w:cs="Arial"/>
                                  <w:i/>
                                  <w:sz w:val="18"/>
                                </w:rPr>
                                <w:t xml:space="preserve">parte che ha richiesto l’assunzione predisponga il modello di testimonianza </w:t>
                              </w:r>
                            </w:p>
                          </w:txbxContent>
                        </wps:txbx>
                        <wps:bodyPr horzOverflow="overflow" vert="horz" lIns="0" tIns="0" rIns="0" bIns="0" rtlCol="0">
                          <a:noAutofit/>
                        </wps:bodyPr>
                      </wps:wsp>
                      <wps:wsp>
                        <wps:cNvPr id="20397" name="Rectangle 20397"/>
                        <wps:cNvSpPr/>
                        <wps:spPr>
                          <a:xfrm rot="-10799999">
                            <a:off x="-724890" y="3386297"/>
                            <a:ext cx="4638297" cy="142889"/>
                          </a:xfrm>
                          <a:prstGeom prst="rect">
                            <a:avLst/>
                          </a:prstGeom>
                          <a:ln>
                            <a:noFill/>
                          </a:ln>
                        </wps:spPr>
                        <wps:txbx>
                          <w:txbxContent>
                            <w:p w14:paraId="438754CD" w14:textId="77777777" w:rsidR="00B32EF2" w:rsidRDefault="00000000">
                              <w:r>
                                <w:rPr>
                                  <w:rFonts w:ascii="Arial" w:eastAsia="Arial" w:hAnsi="Arial" w:cs="Arial"/>
                                  <w:i/>
                                  <w:sz w:val="18"/>
                                </w:rPr>
                                <w:t>in conformità agli articoli ammessi e lo faccia notificare al testimone.</w:t>
                              </w:r>
                            </w:p>
                          </w:txbxContent>
                        </wps:txbx>
                        <wps:bodyPr horzOverflow="overflow" vert="horz" lIns="0" tIns="0" rIns="0" bIns="0" rtlCol="0">
                          <a:noAutofit/>
                        </wps:bodyPr>
                      </wps:wsp>
                      <wps:wsp>
                        <wps:cNvPr id="201778" name="Rectangle 201778"/>
                        <wps:cNvSpPr/>
                        <wps:spPr>
                          <a:xfrm rot="-10799999">
                            <a:off x="2585224" y="3262968"/>
                            <a:ext cx="5096847" cy="142889"/>
                          </a:xfrm>
                          <a:prstGeom prst="rect">
                            <a:avLst/>
                          </a:prstGeom>
                          <a:ln>
                            <a:noFill/>
                          </a:ln>
                        </wps:spPr>
                        <wps:txbx>
                          <w:txbxContent>
                            <w:p w14:paraId="0DD4D61B"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1780" name="Rectangle 201780"/>
                        <wps:cNvSpPr/>
                        <wps:spPr>
                          <a:xfrm rot="-10799999">
                            <a:off x="-1252284" y="3262968"/>
                            <a:ext cx="5096848" cy="142889"/>
                          </a:xfrm>
                          <a:prstGeom prst="rect">
                            <a:avLst/>
                          </a:prstGeom>
                          <a:ln>
                            <a:noFill/>
                          </a:ln>
                        </wps:spPr>
                        <wps:txbx>
                          <w:txbxContent>
                            <w:p w14:paraId="15B7FEA6" w14:textId="77777777" w:rsidR="00B32EF2" w:rsidRDefault="00000000">
                              <w:r>
                                <w:rPr>
                                  <w:rFonts w:ascii="Arial" w:eastAsia="Arial" w:hAnsi="Arial" w:cs="Arial"/>
                                  <w:i/>
                                  <w:sz w:val="18"/>
                                </w:rPr>
                                <w:t xml:space="preserve">. Il testimone rende la deposizione compilando il modello di testimonianza </w:t>
                              </w:r>
                            </w:p>
                          </w:txbxContent>
                        </wps:txbx>
                        <wps:bodyPr horzOverflow="overflow" vert="horz" lIns="0" tIns="0" rIns="0" bIns="0" rtlCol="0">
                          <a:noAutofit/>
                        </wps:bodyPr>
                      </wps:wsp>
                      <wps:wsp>
                        <wps:cNvPr id="20399" name="Rectangle 20399"/>
                        <wps:cNvSpPr/>
                        <wps:spPr>
                          <a:xfrm rot="-10799999">
                            <a:off x="-1190367" y="3139638"/>
                            <a:ext cx="5112460" cy="142889"/>
                          </a:xfrm>
                          <a:prstGeom prst="rect">
                            <a:avLst/>
                          </a:prstGeom>
                          <a:ln>
                            <a:noFill/>
                          </a:ln>
                        </wps:spPr>
                        <wps:txbx>
                          <w:txbxContent>
                            <w:p w14:paraId="74E419B1" w14:textId="77777777" w:rsidR="00B32EF2" w:rsidRDefault="00000000">
                              <w:r>
                                <w:rPr>
                                  <w:rFonts w:ascii="Arial" w:eastAsia="Arial" w:hAnsi="Arial" w:cs="Arial"/>
                                  <w:i/>
                                  <w:sz w:val="18"/>
                                </w:rPr>
                                <w:t xml:space="preserve">in ogni sua parte, con risposta separata a ciascuno dei quesiti, e precisa </w:t>
                              </w:r>
                            </w:p>
                          </w:txbxContent>
                        </wps:txbx>
                        <wps:bodyPr horzOverflow="overflow" vert="horz" lIns="0" tIns="0" rIns="0" bIns="0" rtlCol="0">
                          <a:noAutofit/>
                        </wps:bodyPr>
                      </wps:wsp>
                      <wps:wsp>
                        <wps:cNvPr id="20400" name="Rectangle 20400"/>
                        <wps:cNvSpPr/>
                        <wps:spPr>
                          <a:xfrm rot="-10799999">
                            <a:off x="-1061673" y="3016308"/>
                            <a:ext cx="4975080" cy="142889"/>
                          </a:xfrm>
                          <a:prstGeom prst="rect">
                            <a:avLst/>
                          </a:prstGeom>
                          <a:ln>
                            <a:noFill/>
                          </a:ln>
                        </wps:spPr>
                        <wps:txbx>
                          <w:txbxContent>
                            <w:p w14:paraId="295CE783" w14:textId="77777777" w:rsidR="00B32EF2" w:rsidRDefault="00000000">
                              <w:r>
                                <w:rPr>
                                  <w:rFonts w:ascii="Arial" w:eastAsia="Arial" w:hAnsi="Arial" w:cs="Arial"/>
                                  <w:i/>
                                  <w:sz w:val="18"/>
                                </w:rPr>
                                <w:t>quali sono quelli cui non è in grado di rispondere, indicandone la ragione.</w:t>
                              </w:r>
                            </w:p>
                          </w:txbxContent>
                        </wps:txbx>
                        <wps:bodyPr horzOverflow="overflow" vert="horz" lIns="0" tIns="0" rIns="0" bIns="0" rtlCol="0">
                          <a:noAutofit/>
                        </wps:bodyPr>
                      </wps:wsp>
                      <wps:wsp>
                        <wps:cNvPr id="201769" name="Rectangle 201769"/>
                        <wps:cNvSpPr/>
                        <wps:spPr>
                          <a:xfrm rot="-10799999">
                            <a:off x="-1156515" y="2892979"/>
                            <a:ext cx="5004406" cy="142889"/>
                          </a:xfrm>
                          <a:prstGeom prst="rect">
                            <a:avLst/>
                          </a:prstGeom>
                          <a:ln>
                            <a:noFill/>
                          </a:ln>
                        </wps:spPr>
                        <wps:txbx>
                          <w:txbxContent>
                            <w:p w14:paraId="313560CF" w14:textId="77777777" w:rsidR="00B32EF2" w:rsidRDefault="00000000">
                              <w:r>
                                <w:rPr>
                                  <w:rFonts w:ascii="Arial" w:eastAsia="Arial" w:hAnsi="Arial" w:cs="Arial"/>
                                  <w:i/>
                                  <w:sz w:val="18"/>
                                </w:rPr>
                                <w:t>. Il testimone sottoscrive la deposizione apponendo la propria firma auten</w:t>
                              </w:r>
                            </w:p>
                          </w:txbxContent>
                        </wps:txbx>
                        <wps:bodyPr horzOverflow="overflow" vert="horz" lIns="0" tIns="0" rIns="0" bIns="0" rtlCol="0">
                          <a:noAutofit/>
                        </wps:bodyPr>
                      </wps:wsp>
                      <wps:wsp>
                        <wps:cNvPr id="201767" name="Rectangle 201767"/>
                        <wps:cNvSpPr/>
                        <wps:spPr>
                          <a:xfrm rot="-10799999">
                            <a:off x="2608161" y="2892979"/>
                            <a:ext cx="5004406" cy="142889"/>
                          </a:xfrm>
                          <a:prstGeom prst="rect">
                            <a:avLst/>
                          </a:prstGeom>
                          <a:ln>
                            <a:noFill/>
                          </a:ln>
                        </wps:spPr>
                        <wps:txbx>
                          <w:txbxContent>
                            <w:p w14:paraId="23CA6362"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20402" name="Rectangle 20402"/>
                        <wps:cNvSpPr/>
                        <wps:spPr>
                          <a:xfrm rot="-10799999">
                            <a:off x="97512" y="2892978"/>
                            <a:ext cx="50622" cy="142889"/>
                          </a:xfrm>
                          <a:prstGeom prst="rect">
                            <a:avLst/>
                          </a:prstGeom>
                          <a:ln>
                            <a:noFill/>
                          </a:ln>
                        </wps:spPr>
                        <wps:txbx>
                          <w:txbxContent>
                            <w:p w14:paraId="6737BCF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403" name="Rectangle 20403"/>
                        <wps:cNvSpPr/>
                        <wps:spPr>
                          <a:xfrm rot="-10799999">
                            <a:off x="-1190285" y="2769649"/>
                            <a:ext cx="5111351" cy="142889"/>
                          </a:xfrm>
                          <a:prstGeom prst="rect">
                            <a:avLst/>
                          </a:prstGeom>
                          <a:ln>
                            <a:noFill/>
                          </a:ln>
                        </wps:spPr>
                        <wps:txbx>
                          <w:txbxContent>
                            <w:p w14:paraId="7A600751" w14:textId="77777777" w:rsidR="00B32EF2" w:rsidRDefault="00000000">
                              <w:r>
                                <w:rPr>
                                  <w:rFonts w:ascii="Arial" w:eastAsia="Arial" w:hAnsi="Arial" w:cs="Arial"/>
                                  <w:i/>
                                  <w:sz w:val="18"/>
                                </w:rPr>
                                <w:t xml:space="preserve">ticata su ciascuna delle facciate del foglio di testimonianza, che spedisce </w:t>
                              </w:r>
                            </w:p>
                          </w:txbxContent>
                        </wps:txbx>
                        <wps:bodyPr horzOverflow="overflow" vert="horz" lIns="0" tIns="0" rIns="0" bIns="0" rtlCol="0">
                          <a:noAutofit/>
                        </wps:bodyPr>
                      </wps:wsp>
                      <wps:wsp>
                        <wps:cNvPr id="20404" name="Rectangle 20404"/>
                        <wps:cNvSpPr/>
                        <wps:spPr>
                          <a:xfrm rot="-10799999">
                            <a:off x="-1192658" y="2646318"/>
                            <a:ext cx="5122524" cy="142889"/>
                          </a:xfrm>
                          <a:prstGeom prst="rect">
                            <a:avLst/>
                          </a:prstGeom>
                          <a:ln>
                            <a:noFill/>
                          </a:ln>
                        </wps:spPr>
                        <wps:txbx>
                          <w:txbxContent>
                            <w:p w14:paraId="5EA50F4A" w14:textId="77777777" w:rsidR="00B32EF2" w:rsidRDefault="00000000">
                              <w:r>
                                <w:rPr>
                                  <w:rFonts w:ascii="Arial" w:eastAsia="Arial" w:hAnsi="Arial" w:cs="Arial"/>
                                  <w:i/>
                                  <w:sz w:val="18"/>
                                </w:rPr>
                                <w:t xml:space="preserve">in busta chiusa con plico raccomandato o consegna alla cancelleria del </w:t>
                              </w:r>
                            </w:p>
                          </w:txbxContent>
                        </wps:txbx>
                        <wps:bodyPr horzOverflow="overflow" vert="horz" lIns="0" tIns="0" rIns="0" bIns="0" rtlCol="0">
                          <a:noAutofit/>
                        </wps:bodyPr>
                      </wps:wsp>
                      <wps:wsp>
                        <wps:cNvPr id="20405" name="Rectangle 20405"/>
                        <wps:cNvSpPr/>
                        <wps:spPr>
                          <a:xfrm rot="-10799999">
                            <a:off x="3381535" y="2522989"/>
                            <a:ext cx="531413" cy="142889"/>
                          </a:xfrm>
                          <a:prstGeom prst="rect">
                            <a:avLst/>
                          </a:prstGeom>
                          <a:ln>
                            <a:noFill/>
                          </a:ln>
                        </wps:spPr>
                        <wps:txbx>
                          <w:txbxContent>
                            <w:p w14:paraId="60AA3966" w14:textId="77777777" w:rsidR="00B32EF2" w:rsidRDefault="00000000">
                              <w:r>
                                <w:rPr>
                                  <w:rFonts w:ascii="Arial" w:eastAsia="Arial" w:hAnsi="Arial" w:cs="Arial"/>
                                  <w:i/>
                                  <w:sz w:val="18"/>
                                </w:rPr>
                                <w:t>giudice.</w:t>
                              </w:r>
                            </w:p>
                          </w:txbxContent>
                        </wps:txbx>
                        <wps:bodyPr horzOverflow="overflow" vert="horz" lIns="0" tIns="0" rIns="0" bIns="0" rtlCol="0">
                          <a:noAutofit/>
                        </wps:bodyPr>
                      </wps:wsp>
                      <wps:wsp>
                        <wps:cNvPr id="201766" name="Rectangle 201766"/>
                        <wps:cNvSpPr/>
                        <wps:spPr>
                          <a:xfrm rot="-10799999">
                            <a:off x="-1253902" y="2399659"/>
                            <a:ext cx="5098581" cy="142889"/>
                          </a:xfrm>
                          <a:prstGeom prst="rect">
                            <a:avLst/>
                          </a:prstGeom>
                          <a:ln>
                            <a:noFill/>
                          </a:ln>
                        </wps:spPr>
                        <wps:txbx>
                          <w:txbxContent>
                            <w:p w14:paraId="3C4BA58D" w14:textId="77777777" w:rsidR="00B32EF2" w:rsidRDefault="00000000">
                              <w:r>
                                <w:rPr>
                                  <w:rFonts w:ascii="Arial" w:eastAsia="Arial" w:hAnsi="Arial" w:cs="Arial"/>
                                  <w:i/>
                                  <w:sz w:val="18"/>
                                </w:rPr>
                                <w:t xml:space="preserve">. Quando il testimone si avvale della facoltà d’astensione di cui all’articolo </w:t>
                              </w:r>
                            </w:p>
                          </w:txbxContent>
                        </wps:txbx>
                        <wps:bodyPr horzOverflow="overflow" vert="horz" lIns="0" tIns="0" rIns="0" bIns="0" rtlCol="0">
                          <a:noAutofit/>
                        </wps:bodyPr>
                      </wps:wsp>
                      <wps:wsp>
                        <wps:cNvPr id="201764" name="Rectangle 201764"/>
                        <wps:cNvSpPr/>
                        <wps:spPr>
                          <a:xfrm rot="-10799999">
                            <a:off x="2584795" y="2399659"/>
                            <a:ext cx="5098580" cy="142889"/>
                          </a:xfrm>
                          <a:prstGeom prst="rect">
                            <a:avLst/>
                          </a:prstGeom>
                          <a:ln>
                            <a:noFill/>
                          </a:ln>
                        </wps:spPr>
                        <wps:txbx>
                          <w:txbxContent>
                            <w:p w14:paraId="4BB400EF"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201762" name="Rectangle 201762"/>
                        <wps:cNvSpPr/>
                        <wps:spPr>
                          <a:xfrm rot="-10799999">
                            <a:off x="-1281747" y="2276329"/>
                            <a:ext cx="5003919" cy="142889"/>
                          </a:xfrm>
                          <a:prstGeom prst="rect">
                            <a:avLst/>
                          </a:prstGeom>
                          <a:ln>
                            <a:noFill/>
                          </a:ln>
                        </wps:spPr>
                        <wps:txbx>
                          <w:txbxContent>
                            <w:p w14:paraId="0A4FC2D4" w14:textId="77777777" w:rsidR="00B32EF2" w:rsidRDefault="00000000">
                              <w:r>
                                <w:rPr>
                                  <w:rFonts w:ascii="Arial" w:eastAsia="Arial" w:hAnsi="Arial" w:cs="Arial"/>
                                  <w:i/>
                                  <w:sz w:val="18"/>
                                </w:rPr>
                                <w:t>, ha l’obbligo di compilare il modello di testimonianza, indicando le com</w:t>
                              </w:r>
                            </w:p>
                          </w:txbxContent>
                        </wps:txbx>
                        <wps:bodyPr horzOverflow="overflow" vert="horz" lIns="0" tIns="0" rIns="0" bIns="0" rtlCol="0">
                          <a:noAutofit/>
                        </wps:bodyPr>
                      </wps:wsp>
                      <wps:wsp>
                        <wps:cNvPr id="201761" name="Rectangle 201761"/>
                        <wps:cNvSpPr/>
                        <wps:spPr>
                          <a:xfrm rot="-10799999">
                            <a:off x="2481339" y="2276330"/>
                            <a:ext cx="5003919" cy="142889"/>
                          </a:xfrm>
                          <a:prstGeom prst="rect">
                            <a:avLst/>
                          </a:prstGeom>
                          <a:ln>
                            <a:noFill/>
                          </a:ln>
                        </wps:spPr>
                        <wps:txbx>
                          <w:txbxContent>
                            <w:p w14:paraId="4DF9118C" w14:textId="77777777" w:rsidR="00B32EF2" w:rsidRDefault="00000000">
                              <w:r>
                                <w:rPr>
                                  <w:rFonts w:ascii="Arial" w:eastAsia="Arial" w:hAnsi="Arial" w:cs="Arial"/>
                                  <w:i/>
                                  <w:sz w:val="18"/>
                                </w:rPr>
                                <w:t>249</w:t>
                              </w:r>
                            </w:p>
                          </w:txbxContent>
                        </wps:txbx>
                        <wps:bodyPr horzOverflow="overflow" vert="horz" lIns="0" tIns="0" rIns="0" bIns="0" rtlCol="0">
                          <a:noAutofit/>
                        </wps:bodyPr>
                      </wps:wsp>
                      <wps:wsp>
                        <wps:cNvPr id="20408" name="Rectangle 20408"/>
                        <wps:cNvSpPr/>
                        <wps:spPr>
                          <a:xfrm rot="-10799999">
                            <a:off x="97512" y="2276330"/>
                            <a:ext cx="50622" cy="142889"/>
                          </a:xfrm>
                          <a:prstGeom prst="rect">
                            <a:avLst/>
                          </a:prstGeom>
                          <a:ln>
                            <a:noFill/>
                          </a:ln>
                        </wps:spPr>
                        <wps:txbx>
                          <w:txbxContent>
                            <w:p w14:paraId="45A03AB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409" name="Rectangle 20409"/>
                        <wps:cNvSpPr/>
                        <wps:spPr>
                          <a:xfrm rot="-10799999">
                            <a:off x="1225619" y="2153000"/>
                            <a:ext cx="2687786" cy="142889"/>
                          </a:xfrm>
                          <a:prstGeom prst="rect">
                            <a:avLst/>
                          </a:prstGeom>
                          <a:ln>
                            <a:noFill/>
                          </a:ln>
                        </wps:spPr>
                        <wps:txbx>
                          <w:txbxContent>
                            <w:p w14:paraId="2FD2070C" w14:textId="77777777" w:rsidR="00B32EF2" w:rsidRDefault="00000000">
                              <w:r>
                                <w:rPr>
                                  <w:rFonts w:ascii="Arial" w:eastAsia="Arial" w:hAnsi="Arial" w:cs="Arial"/>
                                  <w:i/>
                                  <w:sz w:val="18"/>
                                </w:rPr>
                                <w:t>plete generalità e i motivi di astensione.</w:t>
                              </w:r>
                            </w:p>
                          </w:txbxContent>
                        </wps:txbx>
                        <wps:bodyPr horzOverflow="overflow" vert="horz" lIns="0" tIns="0" rIns="0" bIns="0" rtlCol="0">
                          <a:noAutofit/>
                        </wps:bodyPr>
                      </wps:wsp>
                      <wps:wsp>
                        <wps:cNvPr id="201760" name="Rectangle 201760"/>
                        <wps:cNvSpPr/>
                        <wps:spPr>
                          <a:xfrm rot="-10799999">
                            <a:off x="-1258894" y="2029670"/>
                            <a:ext cx="5121323" cy="142889"/>
                          </a:xfrm>
                          <a:prstGeom prst="rect">
                            <a:avLst/>
                          </a:prstGeom>
                          <a:ln>
                            <a:noFill/>
                          </a:ln>
                        </wps:spPr>
                        <wps:txbx>
                          <w:txbxContent>
                            <w:p w14:paraId="6E4018AA" w14:textId="77777777" w:rsidR="00B32EF2" w:rsidRDefault="00000000">
                              <w:r>
                                <w:rPr>
                                  <w:rFonts w:ascii="Arial" w:eastAsia="Arial" w:hAnsi="Arial" w:cs="Arial"/>
                                  <w:i/>
                                  <w:sz w:val="18"/>
                                </w:rPr>
                                <w:t xml:space="preserve">. Quando il testimone non spedisce o non consegna le risposte scritte </w:t>
                              </w:r>
                            </w:p>
                          </w:txbxContent>
                        </wps:txbx>
                        <wps:bodyPr horzOverflow="overflow" vert="horz" lIns="0" tIns="0" rIns="0" bIns="0" rtlCol="0">
                          <a:noAutofit/>
                        </wps:bodyPr>
                      </wps:wsp>
                      <wps:wsp>
                        <wps:cNvPr id="201759" name="Rectangle 201759"/>
                        <wps:cNvSpPr/>
                        <wps:spPr>
                          <a:xfrm rot="-10799999">
                            <a:off x="2579152" y="2029670"/>
                            <a:ext cx="5121323" cy="142889"/>
                          </a:xfrm>
                          <a:prstGeom prst="rect">
                            <a:avLst/>
                          </a:prstGeom>
                          <a:ln>
                            <a:noFill/>
                          </a:ln>
                        </wps:spPr>
                        <wps:txbx>
                          <w:txbxContent>
                            <w:p w14:paraId="77240802" w14:textId="77777777" w:rsidR="00B32EF2" w:rsidRDefault="00000000">
                              <w:r>
                                <w:rPr>
                                  <w:rFonts w:ascii="Arial" w:eastAsia="Arial" w:hAnsi="Arial" w:cs="Arial"/>
                                  <w:i/>
                                  <w:sz w:val="18"/>
                                </w:rPr>
                                <w:t>6</w:t>
                              </w:r>
                            </w:p>
                          </w:txbxContent>
                        </wps:txbx>
                        <wps:bodyPr horzOverflow="overflow" vert="horz" lIns="0" tIns="0" rIns="0" bIns="0" rtlCol="0">
                          <a:noAutofit/>
                        </wps:bodyPr>
                      </wps:wsp>
                      <wps:wsp>
                        <wps:cNvPr id="20411" name="Rectangle 20411"/>
                        <wps:cNvSpPr/>
                        <wps:spPr>
                          <a:xfrm rot="-10799999">
                            <a:off x="-1188284" y="1906340"/>
                            <a:ext cx="5104205" cy="142889"/>
                          </a:xfrm>
                          <a:prstGeom prst="rect">
                            <a:avLst/>
                          </a:prstGeom>
                          <a:ln>
                            <a:noFill/>
                          </a:ln>
                        </wps:spPr>
                        <wps:txbx>
                          <w:txbxContent>
                            <w:p w14:paraId="05CCFCCB" w14:textId="77777777" w:rsidR="00B32EF2" w:rsidRDefault="00000000">
                              <w:r>
                                <w:rPr>
                                  <w:rFonts w:ascii="Arial" w:eastAsia="Arial" w:hAnsi="Arial" w:cs="Arial"/>
                                  <w:i/>
                                  <w:sz w:val="18"/>
                                </w:rPr>
                                <w:t xml:space="preserve">nel termine stabilito, il giudice può condannarlo alla pena pecuniaria di cui </w:t>
                              </w:r>
                            </w:p>
                          </w:txbxContent>
                        </wps:txbx>
                        <wps:bodyPr horzOverflow="overflow" vert="horz" lIns="0" tIns="0" rIns="0" bIns="0" rtlCol="0">
                          <a:noAutofit/>
                        </wps:bodyPr>
                      </wps:wsp>
                      <wps:wsp>
                        <wps:cNvPr id="20412" name="Rectangle 20412"/>
                        <wps:cNvSpPr/>
                        <wps:spPr>
                          <a:xfrm rot="-10799999">
                            <a:off x="1854780" y="1783011"/>
                            <a:ext cx="2058626" cy="142889"/>
                          </a:xfrm>
                          <a:prstGeom prst="rect">
                            <a:avLst/>
                          </a:prstGeom>
                          <a:ln>
                            <a:noFill/>
                          </a:ln>
                        </wps:spPr>
                        <wps:txbx>
                          <w:txbxContent>
                            <w:p w14:paraId="4AEF7D81" w14:textId="77777777" w:rsidR="00B32EF2" w:rsidRDefault="00000000">
                              <w:r>
                                <w:rPr>
                                  <w:rFonts w:ascii="Arial" w:eastAsia="Arial" w:hAnsi="Arial" w:cs="Arial"/>
                                  <w:i/>
                                  <w:sz w:val="18"/>
                                </w:rPr>
                                <w:t>all’articolo 255, primo comma.</w:t>
                              </w:r>
                            </w:p>
                          </w:txbxContent>
                        </wps:txbx>
                        <wps:bodyPr horzOverflow="overflow" vert="horz" lIns="0" tIns="0" rIns="0" bIns="0" rtlCol="0">
                          <a:noAutofit/>
                        </wps:bodyPr>
                      </wps:wsp>
                      <wps:wsp>
                        <wps:cNvPr id="201757" name="Rectangle 201757"/>
                        <wps:cNvSpPr/>
                        <wps:spPr>
                          <a:xfrm rot="-10799999">
                            <a:off x="2608232" y="1659681"/>
                            <a:ext cx="5004117" cy="142889"/>
                          </a:xfrm>
                          <a:prstGeom prst="rect">
                            <a:avLst/>
                          </a:prstGeom>
                          <a:ln>
                            <a:noFill/>
                          </a:ln>
                        </wps:spPr>
                        <wps:txbx>
                          <w:txbxContent>
                            <w:p w14:paraId="25FE7A8E" w14:textId="77777777" w:rsidR="00B32EF2" w:rsidRDefault="00000000">
                              <w:r>
                                <w:rPr>
                                  <w:rFonts w:ascii="Arial" w:eastAsia="Arial" w:hAnsi="Arial" w:cs="Arial"/>
                                  <w:i/>
                                  <w:sz w:val="18"/>
                                </w:rPr>
                                <w:t>7</w:t>
                              </w:r>
                            </w:p>
                          </w:txbxContent>
                        </wps:txbx>
                        <wps:bodyPr horzOverflow="overflow" vert="horz" lIns="0" tIns="0" rIns="0" bIns="0" rtlCol="0">
                          <a:noAutofit/>
                        </wps:bodyPr>
                      </wps:wsp>
                      <wps:wsp>
                        <wps:cNvPr id="201758" name="Rectangle 201758"/>
                        <wps:cNvSpPr/>
                        <wps:spPr>
                          <a:xfrm rot="-10799999">
                            <a:off x="-1145768" y="1659681"/>
                            <a:ext cx="5004117" cy="142889"/>
                          </a:xfrm>
                          <a:prstGeom prst="rect">
                            <a:avLst/>
                          </a:prstGeom>
                          <a:ln>
                            <a:noFill/>
                          </a:ln>
                        </wps:spPr>
                        <wps:txbx>
                          <w:txbxContent>
                            <w:p w14:paraId="3EFEB42A" w14:textId="77777777" w:rsidR="00B32EF2" w:rsidRDefault="00000000">
                              <w:r>
                                <w:rPr>
                                  <w:rFonts w:ascii="Arial" w:eastAsia="Arial" w:hAnsi="Arial" w:cs="Arial"/>
                                  <w:i/>
                                  <w:sz w:val="18"/>
                                </w:rPr>
                                <w:t>. Quando la testimonianza ha ad oggetto documenti di spesa già deposita</w:t>
                              </w:r>
                            </w:p>
                          </w:txbxContent>
                        </wps:txbx>
                        <wps:bodyPr horzOverflow="overflow" vert="horz" lIns="0" tIns="0" rIns="0" bIns="0" rtlCol="0">
                          <a:noAutofit/>
                        </wps:bodyPr>
                      </wps:wsp>
                      <wps:wsp>
                        <wps:cNvPr id="20414" name="Rectangle 20414"/>
                        <wps:cNvSpPr/>
                        <wps:spPr>
                          <a:xfrm rot="-10799999">
                            <a:off x="97512" y="1659681"/>
                            <a:ext cx="50622" cy="142889"/>
                          </a:xfrm>
                          <a:prstGeom prst="rect">
                            <a:avLst/>
                          </a:prstGeom>
                          <a:ln>
                            <a:noFill/>
                          </a:ln>
                        </wps:spPr>
                        <wps:txbx>
                          <w:txbxContent>
                            <w:p w14:paraId="124BD95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415" name="Rectangle 20415"/>
                        <wps:cNvSpPr/>
                        <wps:spPr>
                          <a:xfrm rot="-10799999">
                            <a:off x="-1188829" y="1536351"/>
                            <a:ext cx="5105893" cy="142889"/>
                          </a:xfrm>
                          <a:prstGeom prst="rect">
                            <a:avLst/>
                          </a:prstGeom>
                          <a:ln>
                            <a:noFill/>
                          </a:ln>
                        </wps:spPr>
                        <wps:txbx>
                          <w:txbxContent>
                            <w:p w14:paraId="6F864953" w14:textId="77777777" w:rsidR="00B32EF2" w:rsidRDefault="00000000">
                              <w:r>
                                <w:rPr>
                                  <w:rFonts w:ascii="Arial" w:eastAsia="Arial" w:hAnsi="Arial" w:cs="Arial"/>
                                  <w:i/>
                                  <w:sz w:val="18"/>
                                </w:rPr>
                                <w:t xml:space="preserve">ti dalle parti, essa può essere resa mediante dichiarazione sottoscritta dal </w:t>
                              </w:r>
                            </w:p>
                          </w:txbxContent>
                        </wps:txbx>
                        <wps:bodyPr horzOverflow="overflow" vert="horz" lIns="0" tIns="0" rIns="0" bIns="0" rtlCol="0">
                          <a:noAutofit/>
                        </wps:bodyPr>
                      </wps:wsp>
                      <wps:wsp>
                        <wps:cNvPr id="20416" name="Rectangle 20416"/>
                        <wps:cNvSpPr/>
                        <wps:spPr>
                          <a:xfrm rot="-10799999">
                            <a:off x="-1188488" y="1413022"/>
                            <a:ext cx="5104981" cy="142889"/>
                          </a:xfrm>
                          <a:prstGeom prst="rect">
                            <a:avLst/>
                          </a:prstGeom>
                          <a:ln>
                            <a:noFill/>
                          </a:ln>
                        </wps:spPr>
                        <wps:txbx>
                          <w:txbxContent>
                            <w:p w14:paraId="649774F4" w14:textId="77777777" w:rsidR="00B32EF2" w:rsidRDefault="00000000">
                              <w:r>
                                <w:rPr>
                                  <w:rFonts w:ascii="Arial" w:eastAsia="Arial" w:hAnsi="Arial" w:cs="Arial"/>
                                  <w:i/>
                                  <w:sz w:val="18"/>
                                </w:rPr>
                                <w:t xml:space="preserve">testimone e trasmessa al difensore della parte nel cui interesse la prova è </w:t>
                              </w:r>
                            </w:p>
                          </w:txbxContent>
                        </wps:txbx>
                        <wps:bodyPr horzOverflow="overflow" vert="horz" lIns="0" tIns="0" rIns="0" bIns="0" rtlCol="0">
                          <a:noAutofit/>
                        </wps:bodyPr>
                      </wps:wsp>
                      <wps:wsp>
                        <wps:cNvPr id="20417" name="Rectangle 20417"/>
                        <wps:cNvSpPr/>
                        <wps:spPr>
                          <a:xfrm rot="-10799999">
                            <a:off x="-759354" y="1289692"/>
                            <a:ext cx="4672760" cy="142889"/>
                          </a:xfrm>
                          <a:prstGeom prst="rect">
                            <a:avLst/>
                          </a:prstGeom>
                          <a:ln>
                            <a:noFill/>
                          </a:ln>
                        </wps:spPr>
                        <wps:txbx>
                          <w:txbxContent>
                            <w:p w14:paraId="2D64C7EE" w14:textId="77777777" w:rsidR="00B32EF2" w:rsidRDefault="00000000">
                              <w:r>
                                <w:rPr>
                                  <w:rFonts w:ascii="Arial" w:eastAsia="Arial" w:hAnsi="Arial" w:cs="Arial"/>
                                  <w:i/>
                                  <w:sz w:val="18"/>
                                </w:rPr>
                                <w:t>stata ammessa, senza il ricorso al modello di cui al secondo comma.</w:t>
                              </w:r>
                            </w:p>
                          </w:txbxContent>
                        </wps:txbx>
                        <wps:bodyPr horzOverflow="overflow" vert="horz" lIns="0" tIns="0" rIns="0" bIns="0" rtlCol="0">
                          <a:noAutofit/>
                        </wps:bodyPr>
                      </wps:wsp>
                      <wps:wsp>
                        <wps:cNvPr id="201754" name="Rectangle 201754"/>
                        <wps:cNvSpPr/>
                        <wps:spPr>
                          <a:xfrm rot="-10799999">
                            <a:off x="2583206" y="1166362"/>
                            <a:ext cx="5104981" cy="142890"/>
                          </a:xfrm>
                          <a:prstGeom prst="rect">
                            <a:avLst/>
                          </a:prstGeom>
                          <a:ln>
                            <a:noFill/>
                          </a:ln>
                        </wps:spPr>
                        <wps:txbx>
                          <w:txbxContent>
                            <w:p w14:paraId="300B94CC" w14:textId="77777777" w:rsidR="00B32EF2" w:rsidRDefault="00000000">
                              <w:r>
                                <w:rPr>
                                  <w:rFonts w:ascii="Arial" w:eastAsia="Arial" w:hAnsi="Arial" w:cs="Arial"/>
                                  <w:i/>
                                  <w:sz w:val="18"/>
                                </w:rPr>
                                <w:t>8</w:t>
                              </w:r>
                            </w:p>
                          </w:txbxContent>
                        </wps:txbx>
                        <wps:bodyPr horzOverflow="overflow" vert="horz" lIns="0" tIns="0" rIns="0" bIns="0" rtlCol="0">
                          <a:noAutofit/>
                        </wps:bodyPr>
                      </wps:wsp>
                      <wps:wsp>
                        <wps:cNvPr id="201755" name="Rectangle 201755"/>
                        <wps:cNvSpPr/>
                        <wps:spPr>
                          <a:xfrm rot="-10799999">
                            <a:off x="-1254851" y="1166362"/>
                            <a:ext cx="5104981" cy="142890"/>
                          </a:xfrm>
                          <a:prstGeom prst="rect">
                            <a:avLst/>
                          </a:prstGeom>
                          <a:ln>
                            <a:noFill/>
                          </a:ln>
                        </wps:spPr>
                        <wps:txbx>
                          <w:txbxContent>
                            <w:p w14:paraId="1B5A044A" w14:textId="77777777" w:rsidR="00B32EF2" w:rsidRDefault="00000000">
                              <w:r>
                                <w:rPr>
                                  <w:rFonts w:ascii="Arial" w:eastAsia="Arial" w:hAnsi="Arial" w:cs="Arial"/>
                                  <w:i/>
                                  <w:sz w:val="18"/>
                                </w:rPr>
                                <w:t xml:space="preserve">. Il giudice, esaminate le risposte o le dichiarazioni, può sempre disporre </w:t>
                              </w:r>
                            </w:p>
                          </w:txbxContent>
                        </wps:txbx>
                        <wps:bodyPr horzOverflow="overflow" vert="horz" lIns="0" tIns="0" rIns="0" bIns="0" rtlCol="0">
                          <a:noAutofit/>
                        </wps:bodyPr>
                      </wps:wsp>
                      <wps:wsp>
                        <wps:cNvPr id="20419" name="Rectangle 20419"/>
                        <wps:cNvSpPr/>
                        <wps:spPr>
                          <a:xfrm rot="-10799999">
                            <a:off x="-1191138" y="1043033"/>
                            <a:ext cx="5114604" cy="142889"/>
                          </a:xfrm>
                          <a:prstGeom prst="rect">
                            <a:avLst/>
                          </a:prstGeom>
                          <a:ln>
                            <a:noFill/>
                          </a:ln>
                        </wps:spPr>
                        <wps:txbx>
                          <w:txbxContent>
                            <w:p w14:paraId="697551E3" w14:textId="77777777" w:rsidR="00B32EF2" w:rsidRDefault="00000000">
                              <w:r>
                                <w:rPr>
                                  <w:rFonts w:ascii="Arial" w:eastAsia="Arial" w:hAnsi="Arial" w:cs="Arial"/>
                                  <w:i/>
                                  <w:sz w:val="18"/>
                                </w:rPr>
                                <w:t xml:space="preserve">che il testimone sia chiamato a deporre davanti a lui o davanti al giudice </w:t>
                              </w:r>
                            </w:p>
                          </w:txbxContent>
                        </wps:txbx>
                        <wps:bodyPr horzOverflow="overflow" vert="horz" lIns="0" tIns="0" rIns="0" bIns="0" rtlCol="0">
                          <a:noAutofit/>
                        </wps:bodyPr>
                      </wps:wsp>
                      <wps:wsp>
                        <wps:cNvPr id="20420" name="Rectangle 20420"/>
                        <wps:cNvSpPr/>
                        <wps:spPr>
                          <a:xfrm rot="-10799999">
                            <a:off x="3281632" y="919703"/>
                            <a:ext cx="632460" cy="142889"/>
                          </a:xfrm>
                          <a:prstGeom prst="rect">
                            <a:avLst/>
                          </a:prstGeom>
                          <a:ln>
                            <a:noFill/>
                          </a:ln>
                        </wps:spPr>
                        <wps:txbx>
                          <w:txbxContent>
                            <w:p w14:paraId="4D77AD68" w14:textId="77777777" w:rsidR="00B32EF2" w:rsidRDefault="00000000">
                              <w:r>
                                <w:rPr>
                                  <w:rFonts w:ascii="Arial" w:eastAsia="Arial" w:hAnsi="Arial" w:cs="Arial"/>
                                  <w:i/>
                                  <w:sz w:val="18"/>
                                </w:rPr>
                                <w:t>delegato.</w:t>
                              </w:r>
                            </w:p>
                          </w:txbxContent>
                        </wps:txbx>
                        <wps:bodyPr horzOverflow="overflow" vert="horz" lIns="0" tIns="0" rIns="0" bIns="0" rtlCol="0">
                          <a:noAutofit/>
                        </wps:bodyPr>
                      </wps:wsp>
                      <wps:wsp>
                        <wps:cNvPr id="20421" name="Rectangle 20421"/>
                        <wps:cNvSpPr/>
                        <wps:spPr>
                          <a:xfrm rot="-10799999">
                            <a:off x="-647346" y="796374"/>
                            <a:ext cx="4560753" cy="142889"/>
                          </a:xfrm>
                          <a:prstGeom prst="rect">
                            <a:avLst/>
                          </a:prstGeom>
                          <a:ln>
                            <a:noFill/>
                          </a:ln>
                        </wps:spPr>
                        <wps:txbx>
                          <w:txbxContent>
                            <w:p w14:paraId="6E5DA506" w14:textId="77777777" w:rsidR="00B32EF2" w:rsidRDefault="00000000">
                              <w:r>
                                <w:rPr>
                                  <w:rFonts w:ascii="Arial" w:eastAsia="Arial" w:hAnsi="Arial" w:cs="Arial"/>
                                  <w:i/>
                                  <w:sz w:val="18"/>
                                </w:rPr>
                                <w:t>art. 103-bis disposizioni di attuazione del codice di procedura civile</w:t>
                              </w:r>
                            </w:p>
                          </w:txbxContent>
                        </wps:txbx>
                        <wps:bodyPr horzOverflow="overflow" vert="horz" lIns="0" tIns="0" rIns="0" bIns="0" rtlCol="0">
                          <a:noAutofit/>
                        </wps:bodyPr>
                      </wps:wsp>
                      <wps:wsp>
                        <wps:cNvPr id="201751" name="Rectangle 201751"/>
                        <wps:cNvSpPr/>
                        <wps:spPr>
                          <a:xfrm rot="-10799999">
                            <a:off x="2579129" y="673044"/>
                            <a:ext cx="5121414" cy="142889"/>
                          </a:xfrm>
                          <a:prstGeom prst="rect">
                            <a:avLst/>
                          </a:prstGeom>
                          <a:ln>
                            <a:noFill/>
                          </a:ln>
                        </wps:spPr>
                        <wps:txbx>
                          <w:txbxContent>
                            <w:p w14:paraId="64AC52F6"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752" name="Rectangle 201752"/>
                        <wps:cNvSpPr/>
                        <wps:spPr>
                          <a:xfrm rot="-10799999">
                            <a:off x="-1251636" y="673044"/>
                            <a:ext cx="5121414" cy="142889"/>
                          </a:xfrm>
                          <a:prstGeom prst="rect">
                            <a:avLst/>
                          </a:prstGeom>
                          <a:ln>
                            <a:noFill/>
                          </a:ln>
                        </wps:spPr>
                        <wps:txbx>
                          <w:txbxContent>
                            <w:p w14:paraId="52A85772" w14:textId="77777777" w:rsidR="00B32EF2" w:rsidRDefault="00000000">
                              <w:r>
                                <w:rPr>
                                  <w:rFonts w:ascii="Arial" w:eastAsia="Arial" w:hAnsi="Arial" w:cs="Arial"/>
                                  <w:i/>
                                  <w:sz w:val="18"/>
                                </w:rPr>
                                <w:t xml:space="preserve">. La testimonianza scritta è resa su di un modulo conforme al modello </w:t>
                              </w:r>
                            </w:p>
                          </w:txbxContent>
                        </wps:txbx>
                        <wps:bodyPr horzOverflow="overflow" vert="horz" lIns="0" tIns="0" rIns="0" bIns="0" rtlCol="0">
                          <a:noAutofit/>
                        </wps:bodyPr>
                      </wps:wsp>
                      <wps:wsp>
                        <wps:cNvPr id="20423" name="Rectangle 20423"/>
                        <wps:cNvSpPr/>
                        <wps:spPr>
                          <a:xfrm rot="-10799999">
                            <a:off x="-1190402" y="549714"/>
                            <a:ext cx="5113525" cy="142889"/>
                          </a:xfrm>
                          <a:prstGeom prst="rect">
                            <a:avLst/>
                          </a:prstGeom>
                          <a:ln>
                            <a:noFill/>
                          </a:ln>
                        </wps:spPr>
                        <wps:txbx>
                          <w:txbxContent>
                            <w:p w14:paraId="7FF13919" w14:textId="77777777" w:rsidR="00B32EF2" w:rsidRDefault="00000000">
                              <w:r>
                                <w:rPr>
                                  <w:rFonts w:ascii="Arial" w:eastAsia="Arial" w:hAnsi="Arial" w:cs="Arial"/>
                                  <w:i/>
                                  <w:sz w:val="18"/>
                                </w:rPr>
                                <w:t xml:space="preserve">approvato con decreto del Ministro della giustizia, che individua anche le </w:t>
                              </w:r>
                            </w:p>
                          </w:txbxContent>
                        </wps:txbx>
                        <wps:bodyPr horzOverflow="overflow" vert="horz" lIns="0" tIns="0" rIns="0" bIns="0" rtlCol="0">
                          <a:noAutofit/>
                        </wps:bodyPr>
                      </wps:wsp>
                      <wps:wsp>
                        <wps:cNvPr id="20424" name="Shape 20424"/>
                        <wps:cNvSpPr/>
                        <wps:spPr>
                          <a:xfrm>
                            <a:off x="31755" y="473197"/>
                            <a:ext cx="3960000" cy="4244302"/>
                          </a:xfrm>
                          <a:custGeom>
                            <a:avLst/>
                            <a:gdLst/>
                            <a:ahLst/>
                            <a:cxnLst/>
                            <a:rect l="0" t="0" r="0" b="0"/>
                            <a:pathLst>
                              <a:path w="3960000" h="4244302">
                                <a:moveTo>
                                  <a:pt x="0" y="4244302"/>
                                </a:moveTo>
                                <a:lnTo>
                                  <a:pt x="3960000" y="4244302"/>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5DCC3F" id="Group 201926" o:spid="_x0000_s5100" style="width:314.3pt;height:493.15pt;mso-position-horizontal-relative:char;mso-position-vertical-relative:line" coordsize="39917,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VUlgwAAFWIAAAOAAAAZHJzL2Uyb0RvYy54bWzkXetu2zga/b/AvoPh/2nEiyjJaDpYtDvF&#10;AoudwczsAyiOfAFky5DVJt2n3/OREiXLTNqVsGEwbIHEoSVK4uF35eGn9z89HcrF16I+76vj3ZK9&#10;i5aL4riuHvbH7d3y33/8fJMuF+cmPz7kZXUs7pbfivPypw9//cv7x9Oq4NWuKh+KeoFOjufV4+lu&#10;uWua0+r29rzeFYf8/K46FUd8uanqQ97gz3p7+1Dnj+j9UN7yKFK3j1X9cKqrdXE+o/WT+XL5Qfe/&#10;2RTr5pfN5lw0i/JuiXtr9M9a/7ynn7cf3uerbZ2fdvt1exv5hLs45PsjLmq7+pQ3+eJLvb/q6rBf&#10;19W52jTv1tXhttps9utCPwOehkWjp/lcV19O+lm2q8ftyQ4ThnY0TpO7Xf/r6+f69Pvp1xoj8Xja&#10;Yiz0X/QsT5v6QL9xl4snPWTf7JAVT81ijUaRZSyJ1XKxxneKK57G0gzqeoeRvzpvvfv7d8687S58&#10;e3E7jydMkHM/Bud5Y/D7Lj8VemjPK4zBr/Vi/3C35JFQmLDH/ICp+hsmT37clsXCNOsB0kfb4Tqv&#10;zhi5bqwWdYX5dcOiJKN/ej60Y8eyKJKSLxcYpRvF8acZpG4YWZIKlZlR5HGkpKLv7VDkq1N9bj4X&#10;1WFBH+6WNe5N959//ee5MYd2h9DtlEf6eax+3pel+ZZaMKLdHdOn5un+ST+2SDNG16PG++rhG0Zj&#10;V9X/+QVyvSmrx7tl1X5akqjj8vTtclH+4wgUSKq6D3X34b77UDflx0rLnrmhv31pqs1e33F/tfbO&#10;AK+5h1fBGaPtwjnrBgKz4n/H+YYJlvAEc4jEgbEsU604dEjHIsowywzUTPLUTIVXhJp3TxgK1Amm&#10;qANqNLdzfiLUnEdJkmioYwCtxBhqzngs4gHUWspeEWrRPWEwUDM31Fa9TYKaZSw2Im1wjmlY85UV&#10;6UhxqHaygF4EWk+7Xpv++XV3gtF2CbTVbNNQhj/JYogrcIzTRIhohDNPMqYizLAO6VQbi1eUZ31D&#10;ASHNElhHB9S6fY7y5lDWqWxlOpFZlmiHayDT0N2KD3T3q2OtbygsrJ3KG1jP0943DEEJV61gv02w&#10;k+AMtXTJtUisLZumwntDrXEeKXAEVkND/eoinQaHMoTOZaitHZuEsgmyhDCWGkmHNlweaG8RpRmZ&#10;Dm+W2oaRwXjeCGldUFszNgPqBLE6OWVxJAQbG2odT/sz1EjsBCfViHldUFsjNhFqxNOq878Fcmip&#10;7nAg1fDJJIPYe5LqDL5/YFkyymS5oLaWbBLUg3ha4zwWaa9mOotsGBmM7nbnQqF258RY8Ls5i2I4&#10;9aS7eaxU7BDoNMIU8ybQwSXIUmc8LdA8B+qBQDtx9izQNqgIRaBTZyQt0DwHZeN3R63fzYQQfCzQ&#10;5Hcrf353ZlJ2AWVNROrOhaJ5HtRYo+Ss1d1RhOVMbfIvnLEo65YsKe39ytF0FtnIIhiphuQ5nLHU&#10;GrG5zpjGeSzSnnW3vp2gBNqdGUutEZuE8kXORKapUiA6QEMMBNpzziSDI9iqrGAE2p0eS+elxziD&#10;LlbGSstEwUyPkGZphKUsn3G0DSwCQTqNaK3J6G7NPAKlSLd910aThLYcIjBLiGiFYEomgmVaH/Ti&#10;K+B34Z+JpSSXUpg4drA6uf5iOETUZ8cbAmPtwTCI0LbrPq2fjt1HYhq9SJ475Q2dR53SxwXoQvZe&#10;drjX9lbo+wN4RH9U+shmxAzDbfbflsfhUbY3PLkOU3Bsd0T3+6T7Gx7ZXRcj/OzxGC0azYvB6nrs&#10;fpuezZGXV0e39MC6fzsIaBwOc3mk8SBUcpAbN2VuWFuHfQPWY7k/gDHAE4Ktu80rkta5+VYWNGTl&#10;8bdiA7qWZuJRw7ne3n8s68XXnPhV+p+hhJWnXd62tv22h7ZDgX7o/A24YbZLpk+96PKjoP9tD+3B&#10;dF6haZX2zMicuW7vxnArwVDEQ3cMSwyKPUlfuTo29vwjeKH6ImTk26ft7T2NC/31qtwwJB6djpb1&#10;RSaZYC54mkjjUkuZYd1iJMIgmcQq85jKZjYLEIheFqlVyxdsTzRj4tG8m4Q0Q2QkWxKgFAnPxsww&#10;njKVcY+JL0R27QMGgjQItk6odfscrHmcMo7guLUksMLjRWcGJkni0dtiNhUQDtbOhDawto7nJLlG&#10;RhtUIUquGbfhLYJtkwGBgC3cDDFqniPWYPFjIYg2AxDUxAVLxnIdgcaNRm+LF8xmBIKB2p3WnskP&#10;y5IYKvIFnH2ShkBo6uZxMCi7M9qZNWMTdTfLBJOQVxLoKOIZPkND9BE0ZgGPsXvJn0AHl9GmJJQj&#10;o43mebqbIdBqdbdIk0xdkYYYmN4K2sTXwjOzoWQwUu1Oa5s01uRISzABQTYOmUB6jKcjLkmCNBtR&#10;f70BbSPJQICGk+3U37p9jlRToMWk2W4lFGC/YpMwTAbiN3jD2kYX4WDtzJQBa6vfJhprWGIG14eM&#10;9QtgY6b5Apvb+CIQsJFcdxtr67VMhJqlcaLMwoaIkTm7IpWgjWi//qAOLVkmMqdYU/McDX6TcEnb&#10;nbVQi1Rx01/vgUsFOgtd25tQ2xgjEKFmiZvhq9vnYA1rHXMOn48UOLIn2RXdAFKdkjn3hrUNMoLB&#10;2k3+hLW2tmyiCufAGgSV74Dtcb0DM7GdzYGAjbosbmttfdSJUKN0CdKeBmoGn2BMLoHbxqVPCig2&#10;7YYFNZJZLqipeY4GRwYceRNauCIVHjEFfhh1ODDXyJyCxuJRhVvXMxCpZgkxbq8zZrp9HtjIh8Vt&#10;wIWaNPDCtKLowY6pgBE4t/7stXU+wwHb6YYDbDsUk5Q4VxH4ByZp9kaxDi1rJkHWc8g1Nc8R635p&#10;y+A8UuB+98NDyXQPF4hES9o7c629qXkOyjeoMxahxoW21BwmQsmx8mbIjdJOPF/BlrC+SDBQO9c7&#10;ZGQDkUmqm6BGKRNDSwCBEImxsUzTKiYF3t6gDi1bJsH4ckq1DUQmQQ3aPtPV4+B+U3ydGfLSwCPD&#10;crbP3fDC2qZAZBqOlzMFrtvnKXDUCaR95xRqcYTuKh4r8ChLsf7lUaqtiQoHbKcGB9jzVDgyozIh&#10;lvfLWHsMqw1buefg/+kLCgJTp/ut22cKdsqSdtGawzXDsvVlDgVhtcgYgnpv5tpaqXAEG3r02gsH&#10;2NZzmWSwsbiFPfGAkgSbsDZO78Bge8c6tHyZpOIi11BT8xyxHoTVbpy9MkaFzQ4FItEyciZFqXkO&#10;yhRIKVLNJM9wxdtter08gx6O5VOPKVGz9hKWoXaudUB32wTDJN2NnR0xdk2bJUwOcrAy1cF7sMEO&#10;Br3M4zYeWJZ2Ngci1tju7JRr3T5HsHmMkrJxG229Saylnc2BYC2p1IzDUPf7FCeKNWohdMwEJElR&#10;9VmP7FCsI8kpgePL/wZ5OSyxxmYqN9Q2nTQJarAIseUW1gHWGowWLFjrge2RBsqgnHm01nj9S1hI&#10;Q1E/s4BpqNuTWf+0gInd9AZr5MqUKWzWY02L1Qx7LPxJdXjpMlqUuNbgmAPzYi2seEjwg82KB3ub&#10;YNuEYDDW2pkalf2O1EkqvA+rn8HZa1httgsGFGxJogNdSzQ1z/G+IdApnDITVyOsVrQwjQ4H2htV&#10;Y1Of9anM29eCgtq5sCXNvsnJdlpDjWJzxlBjsTLC6xfGUEtdUMGb+x1csozcIpdU24GYpLtvEKwL&#10;2jxN7jfIRihvc4m0VHgvnk9eMCqwBed+O800XDLrsEzCGqkygVL9BmuG995h9exlqTbFOFAGrHul&#10;aPeuyv/P6ywzw38KSIEDU6ex1u3ttJ+ENSVGZdoWcWdvEuw4vGSZMy8qsVYxD2qUcWdYU9A6PEIB&#10;SbxiZyTXDFs7oFR8WWvjKQYk18hNOq11v/t4klRjnzz2c5gECtgHiSGg9h44vvO6hwfJ+XYmhxJR&#10;c3f+G82zRBplCAWiGZJolEFpX6/W4yxjFSWxx0UtXDssoGGQnUjr9jlQ60WtNqrGri1s1hnrbg66&#10;qE/dbZ3OQGQakDpXOnT7HKjJJ4P6NmL9NrG2KaJAsJbEDHBE1WiehzQWLfXeICjwWGaJybD2Chy7&#10;bQVereTRIwuOUkZ7KwzSXSV3FBD/PsqU4BwUcgdkgFQXcteJlx5SW8ScnOzL2uRd9DysMP6GCrlf&#10;3uyPlHO/PKMrud79vi7qriM9pBG6I7rfzxdpRzn2sjoXEEKc9oPl2nVJdojUsyXbTa1102d5/KGS&#10;7Y766m3J9q4bV1X2trb6tELvb6JkO4q3b1eP25Me/22dn3b79ae8yYd/6wFcFbzaVeVDUX/4LwAA&#10;AP//AwBQSwMEFAAGAAgAAAAhABgNBmzdAAAABQEAAA8AAABkcnMvZG93bnJldi54bWxMj0FLw0AQ&#10;he+C/2EZwZvdpMUQ02xKKeqpCLaC9DbNTpPQ7GzIbpP037t6qZeBx3u8902+mkwrBupdY1lBPItA&#10;EJdWN1wp+Nq/PaUgnEfW2FomBVdysCru73LMtB35k4adr0QoYZehgtr7LpPSlTUZdDPbEQfvZHuD&#10;Psi+krrHMZSbVs6jKJEGGw4LNXa0qak87y5GwfuI43oRvw7b82lzPeyfP763MSn1+DCtlyA8Tf4W&#10;hl/8gA5FYDraC2snWgXhEf93g5fM0wTEUcFLmixAFrn8T1/8AAAA//8DAFBLAQItABQABgAIAAAA&#10;IQC2gziS/gAAAOEBAAATAAAAAAAAAAAAAAAAAAAAAABbQ29udGVudF9UeXBlc10ueG1sUEsBAi0A&#10;FAAGAAgAAAAhADj9If/WAAAAlAEAAAsAAAAAAAAAAAAAAAAALwEAAF9yZWxzLy5yZWxzUEsBAi0A&#10;FAAGAAgAAAAhAMB2tVSWDAAAVYgAAA4AAAAAAAAAAAAAAAAALgIAAGRycy9lMm9Eb2MueG1sUEsB&#10;Ai0AFAAGAAgAAAAhABgNBmzdAAAABQEAAA8AAAAAAAAAAAAAAAAA8A4AAGRycy9kb3ducmV2Lnht&#10;bFBLBQYAAAAABAAEAPMAAAD6DwAAAAA=&#10;">
                <v:rect id="Rectangle 20368" o:spid="_x0000_s5101"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ovxAAAAN4AAAAPAAAAZHJzL2Rvd25yZXYueG1sRE/Pa8Iw&#10;FL4P/B/CE7zN1ApFOqOIUuxhl3UKOz6aZ9uteQlNtN3++uUw2PHj+73dT6YXDxp8Z1nBapmAIK6t&#10;7rhRcHkvnjcgfEDW2FsmBd/kYb+bPW0x13bkN3pUoRExhH2OCtoQXC6lr1sy6JfWEUfuZgeDIcKh&#10;kXrAMYabXqZJkkmDHceGFh0dW6q/qrtR8HFiVxajrG8/R/f6WW768/1yVWoxnw4vIAJN4V/85y61&#10;gjRZZ3FvvBOvgNz9AgAA//8DAFBLAQItABQABgAIAAAAIQDb4fbL7gAAAIUBAAATAAAAAAAAAAAA&#10;AAAAAAAAAABbQ29udGVudF9UeXBlc10ueG1sUEsBAi0AFAAGAAgAAAAhAFr0LFu/AAAAFQEAAAsA&#10;AAAAAAAAAAAAAAAAHwEAAF9yZWxzLy5yZWxzUEsBAi0AFAAGAAgAAAAhAK83ui/EAAAA3gAAAA8A&#10;AAAAAAAAAAAAAAAABwIAAGRycy9kb3ducmV2LnhtbFBLBQYAAAAAAwADALcAAAD4AgAAAAA=&#10;" filled="f" stroked="f">
                  <v:textbox inset="0,0,0,0">
                    <w:txbxContent>
                      <w:p w14:paraId="7082ED39" w14:textId="77777777" w:rsidR="00B32EF2" w:rsidRDefault="00000000">
                        <w:r>
                          <w:rPr>
                            <w:rFonts w:ascii="Times New Roman" w:eastAsia="Times New Roman" w:hAnsi="Times New Roman" w:cs="Times New Roman"/>
                          </w:rPr>
                          <w:t>44</w:t>
                        </w:r>
                      </w:p>
                    </w:txbxContent>
                  </v:textbox>
                </v:rect>
                <v:rect id="Rectangle 20369" o:spid="_x0000_s5102" style="position:absolute;left:-13172;top:61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x+0xgAAAN4AAAAPAAAAZHJzL2Rvd25yZXYueG1sRI9Pi8Iw&#10;FMTvC36H8ARva7oKotUoi4tsD3vxH3h8NM+22ryEJtrqp98IC3scZuY3zGLVmVrcqfGVZQUfwwQE&#10;cW51xYWCw37zPgXhA7LG2jIpeJCH1bL3tsBU25a3dN+FQkQI+xQVlCG4VEqfl2TQD60jjt7ZNgZD&#10;lE0hdYNthJtajpJkIg1WHBdKdLQuKb/ubkbB6Ytdtmllfn6u3c8lm9bft8NRqUG/+5yDCNSF//Bf&#10;O9MKRsl4MoPXnXgF5PIXAAD//wMAUEsBAi0AFAAGAAgAAAAhANvh9svuAAAAhQEAABMAAAAAAAAA&#10;AAAAAAAAAAAAAFtDb250ZW50X1R5cGVzXS54bWxQSwECLQAUAAYACAAAACEAWvQsW78AAAAVAQAA&#10;CwAAAAAAAAAAAAAAAAAfAQAAX3JlbHMvLnJlbHNQSwECLQAUAAYACAAAACEAwHsftMYAAADeAAAA&#10;DwAAAAAAAAAAAAAAAAAHAgAAZHJzL2Rvd25yZXYueG1sUEsFBgAAAAADAAMAtwAAAPoCAAAAAA==&#10;" filled="f" stroked="f">
                  <v:textbox inset="0,0,0,0">
                    <w:txbxContent>
                      <w:p w14:paraId="7286E9F7" w14:textId="77777777" w:rsidR="00B32EF2" w:rsidRDefault="00000000">
                        <w:r>
                          <w:rPr>
                            <w:rFonts w:ascii="Arial" w:eastAsia="Arial" w:hAnsi="Arial" w:cs="Arial"/>
                            <w:sz w:val="18"/>
                          </w:rPr>
                          <w:t xml:space="preserve">timo un regolamento o un atto generale rilevante ai fini della decisione, non lo </w:t>
                        </w:r>
                      </w:p>
                    </w:txbxContent>
                  </v:textbox>
                </v:rect>
                <v:rect id="Rectangle 20370" o:spid="_x0000_s5103" style="position:absolute;left:-12207;top:59966;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CD0xQAAAN4AAAAPAAAAZHJzL2Rvd25yZXYueG1sRI/LisIw&#10;FIb3gu8QjuBOUx1wpBpFFJkuZjNewOWhObbV5iQ00dZ5erMYmOXPf+NbrjtTiyc1vrKsYDJOQBDn&#10;VldcKDgd96M5CB+QNdaWScGLPKxX/d4SU21b/qHnIRQijrBPUUEZgkul9HlJBv3YOuLoXW1jMETZ&#10;FFI32MZxU8tpksykwYrjQ4mOtiXl98PDKLjs2GX7VubX3637vmXz+utxOis1HHSbBYhAXfgP/7Uz&#10;rWCafHxGgIgTUUCu3gAAAP//AwBQSwECLQAUAAYACAAAACEA2+H2y+4AAACFAQAAEwAAAAAAAAAA&#10;AAAAAAAAAAAAW0NvbnRlbnRfVHlwZXNdLnhtbFBLAQItABQABgAIAAAAIQBa9CxbvwAAABUBAAAL&#10;AAAAAAAAAAAAAAAAAB8BAABfcmVscy8ucmVsc1BLAQItABQABgAIAAAAIQDUmCD0xQAAAN4AAAAP&#10;AAAAAAAAAAAAAAAAAAcCAABkcnMvZG93bnJldi54bWxQSwUGAAAAAAMAAwC3AAAA+QIAAAAA&#10;" filled="f" stroked="f">
                  <v:textbox inset="0,0,0,0">
                    <w:txbxContent>
                      <w:p w14:paraId="42E2AB79" w14:textId="77777777" w:rsidR="00B32EF2" w:rsidRDefault="00000000">
                        <w:r>
                          <w:rPr>
                            <w:rFonts w:ascii="Arial" w:eastAsia="Arial" w:hAnsi="Arial" w:cs="Arial"/>
                            <w:sz w:val="18"/>
                          </w:rPr>
                          <w:t>applicano, in relazione all’oggetto dedotto in giudizio, salva l’eventuale impu</w:t>
                        </w:r>
                      </w:p>
                    </w:txbxContent>
                  </v:textbox>
                </v:rect>
                <v:rect id="Rectangle 20371" o:spid="_x0000_s5104" style="position:absolute;left:191;top:599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IVvxgAAAN4AAAAPAAAAZHJzL2Rvd25yZXYueG1sRI9Ba8JA&#10;FITvBf/D8gre6kYLVqKrFEWagxetBY+P7DOJZt8u2dVEf70rFDwOM/MNM1t0phZXanxlWcFwkIAg&#10;zq2uuFCw/11/TED4gKyxtkwKbuRhMe+9zTDVtuUtXXehEBHCPkUFZQguldLnJRn0A+uIo3e0jcEQ&#10;ZVNI3WAb4aaWoyQZS4MVx4USHS1Lys+7i1FwWLHL1q3Mj/el25yySf1z2f8p1X/vvqcgAnXhFf5v&#10;Z1rBKPn8GsLzTrwCcv4AAAD//wMAUEsBAi0AFAAGAAgAAAAhANvh9svuAAAAhQEAABMAAAAAAAAA&#10;AAAAAAAAAAAAAFtDb250ZW50X1R5cGVzXS54bWxQSwECLQAUAAYACAAAACEAWvQsW78AAAAVAQAA&#10;CwAAAAAAAAAAAAAAAAAfAQAAX3JlbHMvLnJlbHNQSwECLQAUAAYACAAAACEAu9SFb8YAAADeAAAA&#10;DwAAAAAAAAAAAAAAAAAHAgAAZHJzL2Rvd25yZXYueG1sUEsFBgAAAAADAAMAtwAAAPoCAAAAAA==&#10;" filled="f" stroked="f">
                  <v:textbox inset="0,0,0,0">
                    <w:txbxContent>
                      <w:p w14:paraId="02165C91" w14:textId="77777777" w:rsidR="00B32EF2" w:rsidRDefault="00000000">
                        <w:r>
                          <w:rPr>
                            <w:rFonts w:ascii="Arial" w:eastAsia="Arial" w:hAnsi="Arial" w:cs="Arial"/>
                            <w:sz w:val="18"/>
                          </w:rPr>
                          <w:t>-</w:t>
                        </w:r>
                      </w:p>
                    </w:txbxContent>
                  </v:textbox>
                </v:rect>
                <v:rect id="Rectangle 20372" o:spid="_x0000_s5105" style="position:absolute;left:12001;top:58733;width:2791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hsYxgAAAN4AAAAPAAAAZHJzL2Rvd25yZXYueG1sRI9Ba8JA&#10;FITvBf/D8gRvdWMKrURXEUWag5daBY+P7DOJZt8u2dVEf323UOhxmJlvmPmyN424U+trywom4wQE&#10;cWF1zaWCw/f2dQrCB2SNjWVS8CAPy8XgZY6Zth1/0X0fShEh7DNUUIXgMil9UZFBP7aOOHpn2xoM&#10;Ubal1C12EW4amSbJuzRYc1yo0NG6ouK6vxkFpw27fNvJ4vxcu90lnzaft8NRqdGwX81ABOrDf/iv&#10;nWsFafL2kcLvnXgF5OIHAAD//wMAUEsBAi0AFAAGAAgAAAAhANvh9svuAAAAhQEAABMAAAAAAAAA&#10;AAAAAAAAAAAAAFtDb250ZW50X1R5cGVzXS54bWxQSwECLQAUAAYACAAAACEAWvQsW78AAAAVAQAA&#10;CwAAAAAAAAAAAAAAAAAfAQAAX3JlbHMvLnJlbHNQSwECLQAUAAYACAAAACEASwYbGMYAAADeAAAA&#10;DwAAAAAAAAAAAAAAAAAHAgAAZHJzL2Rvd25yZXYueG1sUEsFBgAAAAADAAMAtwAAAPoCAAAAAA==&#10;" filled="f" stroked="f">
                  <v:textbox inset="0,0,0,0">
                    <w:txbxContent>
                      <w:p w14:paraId="5C9F3920" w14:textId="77777777" w:rsidR="00B32EF2" w:rsidRDefault="00000000">
                        <w:r>
                          <w:rPr>
                            <w:rFonts w:ascii="Arial" w:eastAsia="Arial" w:hAnsi="Arial" w:cs="Arial"/>
                            <w:sz w:val="18"/>
                          </w:rPr>
                          <w:t>gnazione nella diversa sede competente.</w:t>
                        </w:r>
                      </w:p>
                    </w:txbxContent>
                  </v:textbox>
                </v:rect>
                <v:rect id="Rectangle 201790" o:spid="_x0000_s5106" style="position:absolute;left:26348;top:57499;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IsxwAAAN8AAAAPAAAAZHJzL2Rvd25yZXYueG1sRI+7bsIw&#10;FIb3SryDdZC6FQeGNk0xCIEQGbo0BYnxKD4kKfGxFTuX9unroVLHX/9N33o7mVYM1PnGsoLlIgFB&#10;XFrdcKXg/Hl8SkH4gKyxtUwKvsnDdjN7WGOm7cgfNBShEnGEfYYK6hBcJqUvazLoF9YRR+9mO4Mh&#10;yq6SusMxjptWrpLkWRpsOD7U6GhfU3kveqPgemCXH0dZ3n727v0rT9tTf74o9Tifdm8gAk3hP/zX&#10;zrWCVbJ8eY0EkSeygNz8AgAA//8DAFBLAQItABQABgAIAAAAIQDb4fbL7gAAAIUBAAATAAAAAAAA&#10;AAAAAAAAAAAAAABbQ29udGVudF9UeXBlc10ueG1sUEsBAi0AFAAGAAgAAAAhAFr0LFu/AAAAFQEA&#10;AAsAAAAAAAAAAAAAAAAAHwEAAF9yZWxzLy5yZWxzUEsBAi0AFAAGAAgAAAAhAJ8VYizHAAAA3wAA&#10;AA8AAAAAAAAAAAAAAAAABwIAAGRycy9kb3ducmV2LnhtbFBLBQYAAAAAAwADALcAAAD7AgAAAAA=&#10;" filled="f" stroked="f">
                  <v:textbox inset="0,0,0,0">
                    <w:txbxContent>
                      <w:p w14:paraId="5E0702EA" w14:textId="77777777" w:rsidR="00B32EF2" w:rsidRDefault="00000000">
                        <w:r>
                          <w:rPr>
                            <w:rFonts w:ascii="Arial" w:eastAsia="Arial" w:hAnsi="Arial" w:cs="Arial"/>
                            <w:sz w:val="18"/>
                          </w:rPr>
                          <w:t>5</w:t>
                        </w:r>
                      </w:p>
                    </w:txbxContent>
                  </v:textbox>
                </v:rect>
                <v:rect id="Rectangle 201791" o:spid="_x0000_s5107" style="position:absolute;left:-12852;top:57499;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e3yAAAAN8AAAAPAAAAZHJzL2Rvd25yZXYueG1sRI9Pa8JA&#10;FMTvBb/D8gRvuomHalNXEUWaQy/+KfT4yD6TtNm3S3Y1sZ/eFYQeh5n5DbNY9aYRV2p9bVlBOklA&#10;EBdW11wqOB134zkIH5A1NpZJwY08rJaDlwVm2na8p+shlCJC2GeooArBZVL6oiKDfmIdcfTOtjUY&#10;omxLqVvsItw0cpokr9JgzXGhQkebiorfw8Uo+N6yy3edLM5/G/f5k8+bj8vpS6nRsF+/gwjUh//w&#10;s51rBdMknb2l8PgTv4Bc3gEAAP//AwBQSwECLQAUAAYACAAAACEA2+H2y+4AAACFAQAAEwAAAAAA&#10;AAAAAAAAAAAAAAAAW0NvbnRlbnRfVHlwZXNdLnhtbFBLAQItABQABgAIAAAAIQBa9CxbvwAAABUB&#10;AAALAAAAAAAAAAAAAAAAAB8BAABfcmVscy8ucmVsc1BLAQItABQABgAIAAAAIQDwWce3yAAAAN8A&#10;AAAPAAAAAAAAAAAAAAAAAAcCAABkcnMvZG93bnJldi54bWxQSwUGAAAAAAMAAwC3AAAA/AIAAAAA&#10;" filled="f" stroked="f">
                  <v:textbox inset="0,0,0,0">
                    <w:txbxContent>
                      <w:p w14:paraId="1A793A66" w14:textId="77777777" w:rsidR="00B32EF2" w:rsidRDefault="00000000">
                        <w:r>
                          <w:rPr>
                            <w:rFonts w:ascii="Arial" w:eastAsia="Arial" w:hAnsi="Arial" w:cs="Arial"/>
                            <w:sz w:val="18"/>
                          </w:rPr>
                          <w:t>. L’amministrazione prova in giudizio le violazioni contestate con l’atto impu</w:t>
                        </w:r>
                      </w:p>
                    </w:txbxContent>
                  </v:textbox>
                </v:rect>
                <v:rect id="Rectangle 20374" o:spid="_x0000_s5108" style="position:absolute;left:191;top:574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yb3xwAAAN4AAAAPAAAAZHJzL2Rvd25yZXYueG1sRI9Pa8JA&#10;FMTvBb/D8gRvdVMtKtFVikXMoZf6Bzw+ss8kNvt2ya4m9tN3C4LHYWZ+wyxWnanFjRpfWVbwNkxA&#10;EOdWV1woOOw3rzMQPiBrrC2Tgjt5WC17LwtMtW35m267UIgIYZ+igjIEl0rp85IM+qF1xNE728Zg&#10;iLIppG6wjXBTy1GSTKTBiuNCiY7WJeU/u6tRcPpkl21amZ9/1+7rks3q7fVwVGrQ7z7mIAJ14Rl+&#10;tDOtYJSMp+/wfydeAbn8AwAA//8DAFBLAQItABQABgAIAAAAIQDb4fbL7gAAAIUBAAATAAAAAAAA&#10;AAAAAAAAAAAAAABbQ29udGVudF9UeXBlc10ueG1sUEsBAi0AFAAGAAgAAAAhAFr0LFu/AAAAFQEA&#10;AAsAAAAAAAAAAAAAAAAAHwEAAF9yZWxzLy5yZWxzUEsBAi0AFAAGAAgAAAAhAKujJvfHAAAA3gAA&#10;AA8AAAAAAAAAAAAAAAAABwIAAGRycy9kb3ducmV2LnhtbFBLBQYAAAAAAwADALcAAAD7AgAAAAA=&#10;" filled="f" stroked="f">
                  <v:textbox inset="0,0,0,0">
                    <w:txbxContent>
                      <w:p w14:paraId="2ADC8745" w14:textId="77777777" w:rsidR="00B32EF2" w:rsidRDefault="00000000">
                        <w:r>
                          <w:rPr>
                            <w:rFonts w:ascii="Arial" w:eastAsia="Arial" w:hAnsi="Arial" w:cs="Arial"/>
                            <w:sz w:val="18"/>
                          </w:rPr>
                          <w:t>-</w:t>
                        </w:r>
                      </w:p>
                    </w:txbxContent>
                  </v:textbox>
                </v:rect>
                <v:rect id="Rectangle 20375" o:spid="_x0000_s5109" style="position:absolute;left:-13172;top:562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4NsxwAAAN4AAAAPAAAAZHJzL2Rvd25yZXYueG1sRI9Pa8JA&#10;FMTvBb/D8gRvdVOlKtFVikXMoZf6Bzw+ss8kNvt2ya4m9tN3C4LHYWZ+wyxWnanFjRpfWVbwNkxA&#10;EOdWV1woOOw3rzMQPiBrrC2Tgjt5WC17LwtMtW35m267UIgIYZ+igjIEl0rp85IM+qF1xNE728Zg&#10;iLIppG6wjXBTy1GSTKTBiuNCiY7WJeU/u6tRcPpkl21amZ9/1+7rks3q7fVwVGrQ7z7mIAJ14Rl+&#10;tDOtYJSMp+/wfydeAbn8AwAA//8DAFBLAQItABQABgAIAAAAIQDb4fbL7gAAAIUBAAATAAAAAAAA&#10;AAAAAAAAAAAAAABbQ29udGVudF9UeXBlc10ueG1sUEsBAi0AFAAGAAgAAAAhAFr0LFu/AAAAFQEA&#10;AAsAAAAAAAAAAAAAAAAAHwEAAF9yZWxzLy5yZWxzUEsBAi0AFAAGAAgAAAAhAMTvg2zHAAAA3gAA&#10;AA8AAAAAAAAAAAAAAAAABwIAAGRycy9kb3ducmV2LnhtbFBLBQYAAAAAAwADALcAAAD7AgAAAAA=&#10;" filled="f" stroked="f">
                  <v:textbox inset="0,0,0,0">
                    <w:txbxContent>
                      <w:p w14:paraId="10962719" w14:textId="77777777" w:rsidR="00B32EF2" w:rsidRDefault="00000000">
                        <w:r>
                          <w:rPr>
                            <w:rFonts w:ascii="Arial" w:eastAsia="Arial" w:hAnsi="Arial" w:cs="Arial"/>
                            <w:sz w:val="18"/>
                          </w:rPr>
                          <w:t xml:space="preserve">gnato. Il giudice fonda la decisione sugli elementi di prova che emergono nel </w:t>
                        </w:r>
                      </w:p>
                    </w:txbxContent>
                  </v:textbox>
                </v:rect>
                <v:rect id="Rectangle 20376" o:spid="_x0000_s5110" style="position:absolute;left:-13172;top:550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R0bxwAAAN4AAAAPAAAAZHJzL2Rvd25yZXYueG1sRI9Pi8Iw&#10;FMTvgt8hPGFvmq4LrlSjLIrYw17WP+Dx0TzbavMSmmirn36zsOBxmJnfMPNlZ2pxp8ZXlhW8jxIQ&#10;xLnVFRcKDvvNcArCB2SNtWVS8CAPy0W/N8dU25Z/6L4LhYgQ9ikqKENwqZQ+L8mgH1lHHL2zbQyG&#10;KJtC6gbbCDe1HCfJRBqsOC6U6GhVUn7d3YyC05pdtmllfn6u3Pclm9bb2+Go1Nug+5qBCNSFV/i/&#10;nWkF4+TjcwJ/d+IVkItfAAAA//8DAFBLAQItABQABgAIAAAAIQDb4fbL7gAAAIUBAAATAAAAAAAA&#10;AAAAAAAAAAAAAABbQ29udGVudF9UeXBlc10ueG1sUEsBAi0AFAAGAAgAAAAhAFr0LFu/AAAAFQEA&#10;AAsAAAAAAAAAAAAAAAAAHwEAAF9yZWxzLy5yZWxzUEsBAi0AFAAGAAgAAAAhADQ9HRvHAAAA3gAA&#10;AA8AAAAAAAAAAAAAAAAABwIAAGRycy9kb3ducmV2LnhtbFBLBQYAAAAAAwADALcAAAD7AgAAAAA=&#10;" filled="f" stroked="f">
                  <v:textbox inset="0,0,0,0">
                    <w:txbxContent>
                      <w:p w14:paraId="5CB6F19A" w14:textId="77777777" w:rsidR="00B32EF2" w:rsidRDefault="00000000">
                        <w:r>
                          <w:rPr>
                            <w:rFonts w:ascii="Arial" w:eastAsia="Arial" w:hAnsi="Arial" w:cs="Arial"/>
                            <w:sz w:val="18"/>
                          </w:rPr>
                          <w:t xml:space="preserve">giudizio e annulla l’atto impositivo se la prova della sua fondatezza manca o è </w:t>
                        </w:r>
                      </w:p>
                    </w:txbxContent>
                  </v:textbox>
                </v:rect>
                <v:rect id="Rectangle 20377" o:spid="_x0000_s5111" style="position:absolute;left:-12206;top:53799;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biAxwAAAN4AAAAPAAAAZHJzL2Rvd25yZXYueG1sRI9Pi8Iw&#10;FMTvgt8hPGFvmq4Lq1SjLIrYw17WP+Dx0TzbavMSmmirn36zsOBxmJnfMPNlZ2pxp8ZXlhW8jxIQ&#10;xLnVFRcKDvvNcArCB2SNtWVS8CAPy0W/N8dU25Z/6L4LhYgQ9ikqKENwqZQ+L8mgH1lHHL2zbQyG&#10;KJtC6gbbCDe1HCfJpzRYcVwo0dGqpPy6uxkFpzW7bNPK/Pxcue9LNq23t8NRqbdB9zUDEagLr/B/&#10;O9MKxsnHZAJ/d+IVkItfAAAA//8DAFBLAQItABQABgAIAAAAIQDb4fbL7gAAAIUBAAATAAAAAAAA&#10;AAAAAAAAAAAAAABbQ29udGVudF9UeXBlc10ueG1sUEsBAi0AFAAGAAgAAAAhAFr0LFu/AAAAFQEA&#10;AAsAAAAAAAAAAAAAAAAAHwEAAF9yZWxzLy5yZWxzUEsBAi0AFAAGAAgAAAAhAFtxuIDHAAAA3gAA&#10;AA8AAAAAAAAAAAAAAAAABwIAAGRycy9kb3ducmV2LnhtbFBLBQYAAAAAAwADALcAAAD7AgAAAAA=&#10;" filled="f" stroked="f">
                  <v:textbox inset="0,0,0,0">
                    <w:txbxContent>
                      <w:p w14:paraId="7632CB7C" w14:textId="77777777" w:rsidR="00B32EF2" w:rsidRDefault="00000000">
                        <w:r>
                          <w:rPr>
                            <w:rFonts w:ascii="Arial" w:eastAsia="Arial" w:hAnsi="Arial" w:cs="Arial"/>
                            <w:sz w:val="18"/>
                          </w:rPr>
                          <w:t>contraddittoria o se è comunque insufficiente a dimostrare, in modo circostan</w:t>
                        </w:r>
                      </w:p>
                    </w:txbxContent>
                  </v:textbox>
                </v:rect>
                <v:rect id="Rectangle 20378" o:spid="_x0000_s5112" style="position:absolute;left:191;top:537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izywwAAAN4AAAAPAAAAZHJzL2Rvd25yZXYueG1sRE/LisIw&#10;FN0L/kO4gjtNdcCRahRRZLqYzfgAl5fm2labm9BEW+frzWJglofzXq47U4snNb6yrGAyTkAQ51ZX&#10;XCg4HfejOQgfkDXWlknBizysV/3eElNtW/6h5yEUIoawT1FBGYJLpfR5SQb92DriyF1tYzBE2BRS&#10;N9jGcFPLaZLMpMGKY0OJjrYl5ffDwyi47Nhl+1bm19+t+75l8/rrcTorNRx0mwWIQF34F/+5M61g&#10;mnx8xr3xTrwCcvUGAAD//wMAUEsBAi0AFAAGAAgAAAAhANvh9svuAAAAhQEAABMAAAAAAAAAAAAA&#10;AAAAAAAAAFtDb250ZW50X1R5cGVzXS54bWxQSwECLQAUAAYACAAAACEAWvQsW78AAAAVAQAACwAA&#10;AAAAAAAAAAAAAAAfAQAAX3JlbHMvLnJlbHNQSwECLQAUAAYACAAAACEAKu4s8sMAAADeAAAADwAA&#10;AAAAAAAAAAAAAAAHAgAAZHJzL2Rvd25yZXYueG1sUEsFBgAAAAADAAMAtwAAAPcCAAAAAA==&#10;" filled="f" stroked="f">
                  <v:textbox inset="0,0,0,0">
                    <w:txbxContent>
                      <w:p w14:paraId="64631B8D" w14:textId="77777777" w:rsidR="00B32EF2" w:rsidRDefault="00000000">
                        <w:r>
                          <w:rPr>
                            <w:rFonts w:ascii="Arial" w:eastAsia="Arial" w:hAnsi="Arial" w:cs="Arial"/>
                            <w:sz w:val="18"/>
                          </w:rPr>
                          <w:t>-</w:t>
                        </w:r>
                      </w:p>
                    </w:txbxContent>
                  </v:textbox>
                </v:rect>
                <v:rect id="Rectangle 20379" o:spid="_x0000_s5113" style="position:absolute;left:-12210;top:52566;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olpxwAAAN4AAAAPAAAAZHJzL2Rvd25yZXYueG1sRI9Ba8JA&#10;FITvQv/D8gredKNCtdFVRJHm4KXWQo+P7DOJZt8u2dWk/fVuQfA4zMw3zGLVmVrcqPGVZQWjYQKC&#10;OLe64kLB8Ws3mIHwAVljbZkU/JKH1fKlt8BU25Y/6XYIhYgQ9ikqKENwqZQ+L8mgH1pHHL2TbQyG&#10;KJtC6gbbCDe1HCfJmzRYcVwo0dGmpPxyuBoFP1t22a6V+elv4/bnbFZ/XI/fSvVfu/UcRKAuPMOP&#10;dqYVjJPJ9B3+78QrIJd3AAAA//8DAFBLAQItABQABgAIAAAAIQDb4fbL7gAAAIUBAAATAAAAAAAA&#10;AAAAAAAAAAAAAABbQ29udGVudF9UeXBlc10ueG1sUEsBAi0AFAAGAAgAAAAhAFr0LFu/AAAAFQEA&#10;AAsAAAAAAAAAAAAAAAAAHwEAAF9yZWxzLy5yZWxzUEsBAi0AFAAGAAgAAAAhAEWiiWnHAAAA3gAA&#10;AA8AAAAAAAAAAAAAAAAABwIAAGRycy9kb3ducmV2LnhtbFBLBQYAAAAAAwADALcAAAD7AgAAAAA=&#10;" filled="f" stroked="f">
                  <v:textbox inset="0,0,0,0">
                    <w:txbxContent>
                      <w:p w14:paraId="283F81BF" w14:textId="77777777" w:rsidR="00B32EF2" w:rsidRDefault="00000000">
                        <w:r>
                          <w:rPr>
                            <w:rFonts w:ascii="Arial" w:eastAsia="Arial" w:hAnsi="Arial" w:cs="Arial"/>
                            <w:sz w:val="18"/>
                          </w:rPr>
                          <w:t>ziato e puntuale, comunque in coerenza con la normativa tributaria sostanzia</w:t>
                        </w:r>
                      </w:p>
                    </w:txbxContent>
                  </v:textbox>
                </v:rect>
                <v:rect id="Rectangle 20380" o:spid="_x0000_s5114" style="position:absolute;left:191;top:525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VDTxAAAAN4AAAAPAAAAZHJzL2Rvd25yZXYueG1sRI/LisIw&#10;FIb3wrxDOAOz03QUpFSjiIPYxWy8gctDc2yrzUloou3M05uF4PLnv/HNl71pxINaX1tW8D1KQBAX&#10;VtdcKjgeNsMUhA/IGhvLpOCPPCwXH4M5Ztp2vKPHPpQijrDPUEEVgsuk9EVFBv3IOuLoXWxrMETZ&#10;llK32MVx08hxkkylwZrjQ4WO1hUVt/3dKDj/sMs3nSwu/2v3e83TZns/npT6+uxXMxCB+vAOv9q5&#10;VjBOJmkEiDgRBeTiCQAA//8DAFBLAQItABQABgAIAAAAIQDb4fbL7gAAAIUBAAATAAAAAAAAAAAA&#10;AAAAAAAAAABbQ29udGVudF9UeXBlc10ueG1sUEsBAi0AFAAGAAgAAAAhAFr0LFu/AAAAFQEAAAsA&#10;AAAAAAAAAAAAAAAAHwEAAF9yZWxzLy5yZWxzUEsBAi0AFAAGAAgAAAAhAOFNUNPEAAAA3gAAAA8A&#10;AAAAAAAAAAAAAAAABwIAAGRycy9kb3ducmV2LnhtbFBLBQYAAAAAAwADALcAAAD4AgAAAAA=&#10;" filled="f" stroked="f">
                  <v:textbox inset="0,0,0,0">
                    <w:txbxContent>
                      <w:p w14:paraId="5A6CB54E" w14:textId="77777777" w:rsidR="00B32EF2" w:rsidRDefault="00000000">
                        <w:r>
                          <w:rPr>
                            <w:rFonts w:ascii="Arial" w:eastAsia="Arial" w:hAnsi="Arial" w:cs="Arial"/>
                            <w:sz w:val="18"/>
                          </w:rPr>
                          <w:t>-</w:t>
                        </w:r>
                      </w:p>
                    </w:txbxContent>
                  </v:textbox>
                </v:rect>
                <v:rect id="Rectangle 20381" o:spid="_x0000_s5115" style="position:absolute;left:-13172;top:513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fVIxgAAAN4AAAAPAAAAZHJzL2Rvd25yZXYueG1sRI9Ba8JA&#10;FITvQv/D8gredKNCCamriCLm0Es1hR4f2WeSmn27ZFeT+uvdQsHjMDPfMMv1YFpxo843lhXMpgkI&#10;4tLqhisFxWk/SUH4gKyxtUwKfsnDevUyWmKmbc+fdDuGSkQI+wwV1CG4TEpf1mTQT60jjt7ZdgZD&#10;lF0ldYd9hJtWzpPkTRpsOC7U6GhbU3k5Xo2C7x27fN/L8nzfuo+fPG0P1+JLqfHrsHkHEWgIz/B/&#10;O9cK5skincHfnXgF5OoBAAD//wMAUEsBAi0AFAAGAAgAAAAhANvh9svuAAAAhQEAABMAAAAAAAAA&#10;AAAAAAAAAAAAAFtDb250ZW50X1R5cGVzXS54bWxQSwECLQAUAAYACAAAACEAWvQsW78AAAAVAQAA&#10;CwAAAAAAAAAAAAAAAAAfAQAAX3JlbHMvLnJlbHNQSwECLQAUAAYACAAAACEAjgH1SMYAAADeAAAA&#10;DwAAAAAAAAAAAAAAAAAHAgAAZHJzL2Rvd25yZXYueG1sUEsFBgAAAAADAAMAtwAAAPoCAAAAAA==&#10;" filled="f" stroked="f">
                  <v:textbox inset="0,0,0,0">
                    <w:txbxContent>
                      <w:p w14:paraId="63D96A7E" w14:textId="77777777" w:rsidR="00B32EF2" w:rsidRDefault="00000000">
                        <w:r>
                          <w:rPr>
                            <w:rFonts w:ascii="Arial" w:eastAsia="Arial" w:hAnsi="Arial" w:cs="Arial"/>
                            <w:sz w:val="18"/>
                          </w:rPr>
                          <w:t xml:space="preserve">le, le ragioni oggettive su cui si fondano la pretesa impositiva e l’irrogazione </w:t>
                        </w:r>
                      </w:p>
                    </w:txbxContent>
                  </v:textbox>
                </v:rect>
                <v:rect id="Rectangle 20382" o:spid="_x0000_s5116" style="position:absolute;left:-12192;top:50099;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s/xwAAAN4AAAAPAAAAZHJzL2Rvd25yZXYueG1sRI9Ba8JA&#10;FITvBf/D8oTe6qYpSEjdhKKIOXjRKvT4yD6TtNm3S3Y1sb++Wyj0OMzMN8yqnEwvbjT4zrKC50UC&#10;gri2uuNGwel9+5SB8AFZY2+ZFNzJQ1nMHlaYazvygW7H0IgIYZ+jgjYEl0vp65YM+oV1xNG72MFg&#10;iHJopB5wjHDTyzRJltJgx3GhRUfrluqv49Uo+Niwq7ajrC/fa7f/rLJ+dz2dlXqcT2+vIAJN4T/8&#10;1660gjR5yVL4vROvgCx+AAAA//8DAFBLAQItABQABgAIAAAAIQDb4fbL7gAAAIUBAAATAAAAAAAA&#10;AAAAAAAAAAAAAABbQ29udGVudF9UeXBlc10ueG1sUEsBAi0AFAAGAAgAAAAhAFr0LFu/AAAAFQEA&#10;AAsAAAAAAAAAAAAAAAAAHwEAAF9yZWxzLy5yZWxzUEsBAi0AFAAGAAgAAAAhAH7Taz/HAAAA3gAA&#10;AA8AAAAAAAAAAAAAAAAABwIAAGRycy9kb3ducmV2LnhtbFBLBQYAAAAAAwADALcAAAD7AgAAAAA=&#10;" filled="f" stroked="f">
                  <v:textbox inset="0,0,0,0">
                    <w:txbxContent>
                      <w:p w14:paraId="2BB3D294" w14:textId="77777777" w:rsidR="00B32EF2" w:rsidRDefault="00000000">
                        <w:r>
                          <w:rPr>
                            <w:rFonts w:ascii="Arial" w:eastAsia="Arial" w:hAnsi="Arial" w:cs="Arial"/>
                            <w:sz w:val="18"/>
                          </w:rPr>
                          <w:t>delle sanzioni. Spetta comunque al contribuente fornire le ragioni della richie</w:t>
                        </w:r>
                      </w:p>
                    </w:txbxContent>
                  </v:textbox>
                </v:rect>
                <v:rect id="Rectangle 20383" o:spid="_x0000_s5117" style="position:absolute;left:191;top:500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86kxgAAAN4AAAAPAAAAZHJzL2Rvd25yZXYueG1sRI9Ba8JA&#10;FITvBf/D8oTe6kaFEqKriCLNwUvVQo+P7DOJZt8u2dXE/vquIHgcZuYbZr7sTSNu1PrasoLxKAFB&#10;XFhdc6ngeNh+pCB8QNbYWCYFd/KwXAze5php2/E33fahFBHCPkMFVQguk9IXFRn0I+uIo3eyrcEQ&#10;ZVtK3WIX4aaRkyT5lAZrjgsVOlpXVFz2V6Pgd8Mu33ayOP2t3e6cp83X9fij1PuwX81ABOrDK/xs&#10;51rBJJmmU3jciVdALv4BAAD//wMAUEsBAi0AFAAGAAgAAAAhANvh9svuAAAAhQEAABMAAAAAAAAA&#10;AAAAAAAAAAAAAFtDb250ZW50X1R5cGVzXS54bWxQSwECLQAUAAYACAAAACEAWvQsW78AAAAVAQAA&#10;CwAAAAAAAAAAAAAAAAAfAQAAX3JlbHMvLnJlbHNQSwECLQAUAAYACAAAACEAEZ/OpMYAAADeAAAA&#10;DwAAAAAAAAAAAAAAAAAHAgAAZHJzL2Rvd25yZXYueG1sUEsFBgAAAAADAAMAtwAAAPoCAAAAAA==&#10;" filled="f" stroked="f">
                  <v:textbox inset="0,0,0,0">
                    <w:txbxContent>
                      <w:p w14:paraId="66CBBF63" w14:textId="77777777" w:rsidR="00B32EF2" w:rsidRDefault="00000000">
                        <w:r>
                          <w:rPr>
                            <w:rFonts w:ascii="Arial" w:eastAsia="Arial" w:hAnsi="Arial" w:cs="Arial"/>
                            <w:sz w:val="18"/>
                          </w:rPr>
                          <w:t>-</w:t>
                        </w:r>
                      </w:p>
                    </w:txbxContent>
                  </v:textbox>
                </v:rect>
                <v:rect id="Rectangle 20384" o:spid="_x0000_s5118" style="position:absolute;left:-13172;top:488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bQxwAAAN4AAAAPAAAAZHJzL2Rvd25yZXYueG1sRI9Pa8JA&#10;FMTvBb/D8gRvdaMtJURXEUWaQy/1D3h8ZJ9JNPt2ya4m9tN3CwWPw8z8hpkve9OIO7W+tqxgMk5A&#10;EBdW11wqOOy3rykIH5A1NpZJwYM8LBeDlzlm2nb8TfddKEWEsM9QQRWCy6T0RUUG/dg64uidbWsw&#10;RNmWUrfYRbhp5DRJPqTBmuNChY7WFRXX3c0oOG3Y5dtOFueftfu65GnzeTsclRoN+9UMRKA+PMP/&#10;7VwrmCZv6Tv83YlXQC5+AQAA//8DAFBLAQItABQABgAIAAAAIQDb4fbL7gAAAIUBAAATAAAAAAAA&#10;AAAAAAAAAAAAAABbQ29udGVudF9UeXBlc10ueG1sUEsBAi0AFAAGAAgAAAAhAFr0LFu/AAAAFQEA&#10;AAsAAAAAAAAAAAAAAAAAHwEAAF9yZWxzLy5yZWxzUEsBAi0AFAAGAAgAAAAhAJ52VtDHAAAA3gAA&#10;AA8AAAAAAAAAAAAAAAAABwIAAGRycy9kb3ducmV2LnhtbFBLBQYAAAAAAwADALcAAAD7AgAAAAA=&#10;" filled="f" stroked="f">
                  <v:textbox inset="0,0,0,0">
                    <w:txbxContent>
                      <w:p w14:paraId="3851DF68" w14:textId="77777777" w:rsidR="00B32EF2" w:rsidRDefault="00000000">
                        <w:r>
                          <w:rPr>
                            <w:rFonts w:ascii="Arial" w:eastAsia="Arial" w:hAnsi="Arial" w:cs="Arial"/>
                            <w:sz w:val="18"/>
                          </w:rPr>
                          <w:t xml:space="preserve">sta di rimborso, quando non sia conseguente al pagamento di somme oggetto </w:t>
                        </w:r>
                      </w:p>
                    </w:txbxContent>
                  </v:textbox>
                </v:rect>
                <v:rect id="Rectangle 20385" o:spid="_x0000_s5119" style="position:absolute;left:21889;top:47633;width:180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vNLxwAAAN4AAAAPAAAAZHJzL2Rvd25yZXYueG1sRI9Pa8JA&#10;FMTvBb/D8gRvdaOlJURXEUWaQy/1D3h8ZJ9JNPt2ya4m9tN3CwWPw8z8hpkve9OIO7W+tqxgMk5A&#10;EBdW11wqOOy3rykIH5A1NpZJwYM8LBeDlzlm2nb8TfddKEWEsM9QQRWCy6T0RUUG/dg64uidbWsw&#10;RNmWUrfYRbhp5DRJPqTBmuNChY7WFRXX3c0oOG3Y5dtOFueftfu65GnzeTsclRoN+9UMRKA+PMP/&#10;7VwrmCZv6Tv83YlXQC5+AQAA//8DAFBLAQItABQABgAIAAAAIQDb4fbL7gAAAIUBAAATAAAAAAAA&#10;AAAAAAAAAAAAAABbQ29udGVudF9UeXBlc10ueG1sUEsBAi0AFAAGAAgAAAAhAFr0LFu/AAAAFQEA&#10;AAsAAAAAAAAAAAAAAAAAHwEAAF9yZWxzLy5yZWxzUEsBAi0AFAAGAAgAAAAhAPE680vHAAAA3gAA&#10;AA8AAAAAAAAAAAAAAAAABwIAAGRycy9kb3ducmV2LnhtbFBLBQYAAAAAAwADALcAAAD7AgAAAAA=&#10;" filled="f" stroked="f">
                  <v:textbox inset="0,0,0,0">
                    <w:txbxContent>
                      <w:p w14:paraId="3745B64A" w14:textId="77777777" w:rsidR="00B32EF2" w:rsidRDefault="00000000">
                        <w:r>
                          <w:rPr>
                            <w:rFonts w:ascii="Arial" w:eastAsia="Arial" w:hAnsi="Arial" w:cs="Arial"/>
                            <w:sz w:val="18"/>
                          </w:rPr>
                          <w:t>di accertamenti impugnati.</w:t>
                        </w:r>
                      </w:p>
                    </w:txbxContent>
                  </v:textbox>
                </v:rect>
                <v:shape id="Shape 208048" o:spid="_x0000_s5120" style="position:absolute;left:317;top:4731;width:39600;height:42443;visibility:visible;mso-wrap-style:square;v-text-anchor:top" coordsize="3960000,424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mUDxQAAAN8AAAAPAAAAZHJzL2Rvd25yZXYueG1sRE/LagIx&#10;FN0L/YdwhW6kJh2Kj9EopbTQ1WCtuL5OrpPRyc0wiTr9e7MQujyc93Ldu0ZcqQu1Zw2vYwWCuPSm&#10;5krD7vfrZQYiRGSDjWfS8EcB1qunwRJz42/8Q9dtrEQK4ZCjBhtjm0sZSksOw9i3xIk7+s5hTLCr&#10;pOnwlsJdIzOlJtJhzanBYksflsrz9uI0XIrK7qfTelPMD6fiMJe7Mht9av087N8XICL18V/8cH8b&#10;DZmaqbc0OP1JX0Cu7gAAAP//AwBQSwECLQAUAAYACAAAACEA2+H2y+4AAACFAQAAEwAAAAAAAAAA&#10;AAAAAAAAAAAAW0NvbnRlbnRfVHlwZXNdLnhtbFBLAQItABQABgAIAAAAIQBa9CxbvwAAABUBAAAL&#10;AAAAAAAAAAAAAAAAAB8BAABfcmVscy8ucmVsc1BLAQItABQABgAIAAAAIQD61mUDxQAAAN8AAAAP&#10;AAAAAAAAAAAAAAAAAAcCAABkcnMvZG93bnJldi54bWxQSwUGAAAAAAMAAwC3AAAA+QIAAAAA&#10;" path="m,l3960000,r,4244302l,4244302,,e" fillcolor="#c3c3c3" stroked="f" strokeweight="0">
                  <v:stroke miterlimit="83231f" joinstyle="miter"/>
                  <v:path arrowok="t" textboxrect="0,0,3960000,4244302"/>
                </v:shape>
                <v:rect id="Rectangle 20387" o:spid="_x0000_s5121" style="position:absolute;left:23287;top:4496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MinxwAAAN4AAAAPAAAAZHJzL2Rvd25yZXYueG1sRI9Pa8JA&#10;FMTvBb/D8gRvdaOFNkRXEUWaQy/1D3h8ZJ9JNPt2ya4m9tN3CwWPw8z8hpkve9OIO7W+tqxgMk5A&#10;EBdW11wqOOy3rykIH5A1NpZJwYM8LBeDlzlm2nb8TfddKEWEsM9QQRWCy6T0RUUG/dg64uidbWsw&#10;RNmWUrfYRbhp5DRJ3qXBmuNChY7WFRXX3c0oOG3Y5dtOFueftfu65GnzeTsclRoN+9UMRKA+PMP/&#10;7VwrmCZv6Qf83YlXQC5+AQAA//8DAFBLAQItABQABgAIAAAAIQDb4fbL7gAAAIUBAAATAAAAAAAA&#10;AAAAAAAAAAAAAABbQ29udGVudF9UeXBlc10ueG1sUEsBAi0AFAAGAAgAAAAhAFr0LFu/AAAAFQEA&#10;AAsAAAAAAAAAAAAAAAAAHwEAAF9yZWxzLy5yZWxzUEsBAi0AFAAGAAgAAAAhAG6kyKfHAAAA3gAA&#10;AA8AAAAAAAAAAAAAAAAABwIAAGRycy9kb3ducmV2LnhtbFBLBQYAAAAAAwADALcAAAD7AgAAAAA=&#10;" filled="f" stroked="f">
                  <v:textbox inset="0,0,0,0">
                    <w:txbxContent>
                      <w:p w14:paraId="25C015F6" w14:textId="77777777" w:rsidR="00B32EF2" w:rsidRDefault="00000000">
                        <w:r>
                          <w:rPr>
                            <w:rFonts w:ascii="Arial" w:eastAsia="Arial" w:hAnsi="Arial" w:cs="Arial"/>
                            <w:b/>
                            <w:i/>
                            <w:sz w:val="18"/>
                          </w:rPr>
                          <w:t>NORME RICHIAMATE</w:t>
                        </w:r>
                      </w:p>
                    </w:txbxContent>
                  </v:textbox>
                </v:rect>
                <v:rect id="Rectangle 20388" o:spid="_x0000_s5122" style="position:absolute;left:10964;top:43729;width:281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1zVwwAAAN4AAAAPAAAAZHJzL2Rvd25yZXYueG1sRE/LisIw&#10;FN0L8w/hDsxO01GQUo0iDmIXs/EFLi/Nta02N6GJtjNfbxaCy8N5z5e9acSDWl9bVvA9SkAQF1bX&#10;XCo4HjbDFIQPyBoby6TgjzwsFx+DOWbadryjxz6UIoawz1BBFYLLpPRFRQb9yDriyF1sazBE2JZS&#10;t9jFcNPIcZJMpcGaY0OFjtYVFbf93Sg4/7DLN50sLv9r93vN02Z7P56U+vrsVzMQgfrwFr/cuVYw&#10;TiZp3BvvxCsgF08AAAD//wMAUEsBAi0AFAAGAAgAAAAhANvh9svuAAAAhQEAABMAAAAAAAAAAAAA&#10;AAAAAAAAAFtDb250ZW50X1R5cGVzXS54bWxQSwECLQAUAAYACAAAACEAWvQsW78AAAAVAQAACwAA&#10;AAAAAAAAAAAAAAAfAQAAX3JlbHMvLnJlbHNQSwECLQAUAAYACAAAACEAHztc1cMAAADeAAAADwAA&#10;AAAAAAAAAAAAAAAHAgAAZHJzL2Rvd25yZXYueG1sUEsFBgAAAAADAAMAtwAAAPcCAAAAAA==&#10;" filled="f" stroked="f">
                  <v:textbox inset="0,0,0,0">
                    <w:txbxContent>
                      <w:p w14:paraId="78BCFC29" w14:textId="77777777" w:rsidR="00B32EF2" w:rsidRDefault="00000000">
                        <w:r>
                          <w:rPr>
                            <w:rFonts w:ascii="Arial" w:eastAsia="Arial" w:hAnsi="Arial" w:cs="Arial"/>
                            <w:i/>
                            <w:sz w:val="18"/>
                          </w:rPr>
                          <w:t xml:space="preserve">art. 257-bis c.p.c. “Testimonianza scritta” </w:t>
                        </w:r>
                      </w:p>
                    </w:txbxContent>
                  </v:textbox>
                </v:rect>
                <v:rect id="Rectangle 201788" o:spid="_x0000_s5123" style="position:absolute;left:25812;top:42496;width:5112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vj3xAAAAN8AAAAPAAAAZHJzL2Rvd25yZXYueG1sRE/LisIw&#10;FN0P+A/hCu7GVBczpRpFFJkuZuMLXF6aa1ttbkITbZ2vN4sBl4fzni9704gHtb62rGAyTkAQF1bX&#10;XCo4HrafKQgfkDU2lknBkzwsF4OPOWbadryjxz6UIoawz1BBFYLLpPRFRQb92DriyF1sazBE2JZS&#10;t9jFcNPIaZJ8SYM1x4YKHa0rKm77u1Fw3rDLt50sLn9r93vN0+bnfjwpNRr2qxmIQH14i//duVYw&#10;TSbfaRwc/8QvIBcvAAAA//8DAFBLAQItABQABgAIAAAAIQDb4fbL7gAAAIUBAAATAAAAAAAAAAAA&#10;AAAAAAAAAABbQ29udGVudF9UeXBlc10ueG1sUEsBAi0AFAAGAAgAAAAhAFr0LFu/AAAAFQEAAAsA&#10;AAAAAAAAAAAAAAAAHwEAAF9yZWxzLy5yZWxzUEsBAi0AFAAGAAgAAAAhAOS6+PfEAAAA3wAAAA8A&#10;AAAAAAAAAAAAAAAABwIAAGRycy9kb3ducmV2LnhtbFBLBQYAAAAAAwADALcAAAD4AgAAAAA=&#10;" filled="f" stroked="f">
                  <v:textbox inset="0,0,0,0">
                    <w:txbxContent>
                      <w:p w14:paraId="1C9DD887" w14:textId="77777777" w:rsidR="00B32EF2" w:rsidRDefault="00000000">
                        <w:r>
                          <w:rPr>
                            <w:rFonts w:ascii="Arial" w:eastAsia="Arial" w:hAnsi="Arial" w:cs="Arial"/>
                            <w:i/>
                            <w:sz w:val="18"/>
                          </w:rPr>
                          <w:t>1</w:t>
                        </w:r>
                      </w:p>
                    </w:txbxContent>
                  </v:textbox>
                </v:rect>
                <v:rect id="Rectangle 201789" o:spid="_x0000_s5124" style="position:absolute;left:-12499;top:42496;width:5112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l1syAAAAN8AAAAPAAAAZHJzL2Rvd25yZXYueG1sRI9Pa8JA&#10;FMTvgt9heYK3utFDjamriCLNoZf6B3p8ZJ9J2uzbJbua2E/vFgoeh5n5DbNc96YRN2p9bVnBdJKA&#10;IC6srrlUcDruX1IQPiBrbCyTgjt5WK+GgyVm2nb8SbdDKEWEsM9QQRWCy6T0RUUG/cQ64uhdbGsw&#10;RNmWUrfYRbhp5CxJXqXBmuNChY62FRU/h6tR8LVjl+87WVx+t+7jO0+b9+vprNR41G/eQATqwzP8&#10;3861glkynacL+PsTv4BcPQAAAP//AwBQSwECLQAUAAYACAAAACEA2+H2y+4AAACFAQAAEwAAAAAA&#10;AAAAAAAAAAAAAAAAW0NvbnRlbnRfVHlwZXNdLnhtbFBLAQItABQABgAIAAAAIQBa9CxbvwAAABUB&#10;AAALAAAAAAAAAAAAAAAAAB8BAABfcmVscy8ucmVsc1BLAQItABQABgAIAAAAIQCL9l1syAAAAN8A&#10;AAAPAAAAAAAAAAAAAAAAAAcCAABkcnMvZG93bnJldi54bWxQSwUGAAAAAAMAAwC3AAAA/AIAAAAA&#10;" filled="f" stroked="f">
                  <v:textbox inset="0,0,0,0">
                    <w:txbxContent>
                      <w:p w14:paraId="031C5F1F" w14:textId="77777777" w:rsidR="00B32EF2" w:rsidRDefault="00000000">
                        <w:r>
                          <w:rPr>
                            <w:rFonts w:ascii="Arial" w:eastAsia="Arial" w:hAnsi="Arial" w:cs="Arial"/>
                            <w:i/>
                            <w:sz w:val="18"/>
                          </w:rPr>
                          <w:t xml:space="preserve">. Il giudice, su accordo delle parti, tenuto conto della natura della causa </w:t>
                        </w:r>
                      </w:p>
                    </w:txbxContent>
                  </v:textbox>
                </v:rect>
                <v:rect id="Rectangle 20390" o:spid="_x0000_s5125" style="position:absolute;left:-10902;top:41262;width:500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MYOxgAAAN4AAAAPAAAAZHJzL2Rvd25yZXYueG1sRI/NasJA&#10;FIX3Qt9huIXudNIUxKaOUlKkWbhptNDlJXNNopk7Q2ZMok/fWRS6PJw/vvV2Mp0YqPetZQXPiwQE&#10;cWV1y7WC42E3X4HwAVljZ5kU3MjDdvMwW2Om7chfNJShFnGEfYYKmhBcJqWvGjLoF9YRR+9ke4Mh&#10;yr6WuscxjptOpkmylAZbjg8NOsobqi7l1Sj4+WBX7EZZne6525+LVfd5PX4r9fQ4vb+BCDSF//Bf&#10;u9AK0uTlNQJEnIgCcvMLAAD//wMAUEsBAi0AFAAGAAgAAAAhANvh9svuAAAAhQEAABMAAAAAAAAA&#10;AAAAAAAAAAAAAFtDb250ZW50X1R5cGVzXS54bWxQSwECLQAUAAYACAAAACEAWvQsW78AAAAVAQAA&#10;CwAAAAAAAAAAAAAAAAAfAQAAX3JlbHMvLnJlbHNQSwECLQAUAAYACAAAACEAZJTGDsYAAADeAAAA&#10;DwAAAAAAAAAAAAAAAAAHAgAAZHJzL2Rvd25yZXYueG1sUEsFBgAAAAADAAMAtwAAAPoCAAAAAA==&#10;" filled="f" stroked="f">
                  <v:textbox inset="0,0,0,0">
                    <w:txbxContent>
                      <w:p w14:paraId="45D90B64" w14:textId="77777777" w:rsidR="00B32EF2" w:rsidRDefault="00000000">
                        <w:r>
                          <w:rPr>
                            <w:rFonts w:ascii="Arial" w:eastAsia="Arial" w:hAnsi="Arial" w:cs="Arial"/>
                            <w:i/>
                            <w:sz w:val="18"/>
                          </w:rPr>
                          <w:t>e di ogni altra circostanza, può disporre di assumere la deposizione chie</w:t>
                        </w:r>
                      </w:p>
                    </w:txbxContent>
                  </v:textbox>
                </v:rect>
                <v:rect id="Rectangle 20391" o:spid="_x0000_s5126" style="position:absolute;left:975;top:4126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GOVxwAAAN4AAAAPAAAAZHJzL2Rvd25yZXYueG1sRI9Pi8Iw&#10;FMTvC36H8ARva6oLi1ajiCLbg5f1D3h8NM+22ryEJtrqp98sLOxxmJnfMPNlZ2rxoMZXlhWMhgkI&#10;4tzqigsFx8P2fQLCB2SNtWVS8CQPy0XvbY6pti1/02MfChEh7FNUUIbgUil9XpJBP7SOOHoX2xgM&#10;UTaF1A22EW5qOU6ST2mw4rhQoqN1SfltfzcKzht22baV+eW1drtrNqm/7seTUoN+t5qBCNSF//Bf&#10;O9MKxsnHdAS/d+IVkIsfAAAA//8DAFBLAQItABQABgAIAAAAIQDb4fbL7gAAAIUBAAATAAAAAAAA&#10;AAAAAAAAAAAAAABbQ29udGVudF9UeXBlc10ueG1sUEsBAi0AFAAGAAgAAAAhAFr0LFu/AAAAFQEA&#10;AAsAAAAAAAAAAAAAAAAAHwEAAF9yZWxzLy5yZWxzUEsBAi0AFAAGAAgAAAAhAAvYY5XHAAAA3gAA&#10;AA8AAAAAAAAAAAAAAAAABwIAAGRycy9kb3ducmV2LnhtbFBLBQYAAAAAAwADALcAAAD7AgAAAAA=&#10;" filled="f" stroked="f">
                  <v:textbox inset="0,0,0,0">
                    <w:txbxContent>
                      <w:p w14:paraId="5D0440BE" w14:textId="77777777" w:rsidR="00B32EF2" w:rsidRDefault="00000000">
                        <w:r>
                          <w:rPr>
                            <w:rFonts w:ascii="Arial" w:eastAsia="Arial" w:hAnsi="Arial" w:cs="Arial"/>
                            <w:i/>
                            <w:sz w:val="18"/>
                          </w:rPr>
                          <w:t>-</w:t>
                        </w:r>
                      </w:p>
                    </w:txbxContent>
                  </v:textbox>
                </v:rect>
                <v:rect id="Rectangle 20392" o:spid="_x0000_s5127" style="position:absolute;left:-11931;top:40029;width:512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v3ixgAAAN4AAAAPAAAAZHJzL2Rvd25yZXYueG1sRI9Ba8JA&#10;FITvBf/D8gRvdWMKxUZXEUWag5daBY+P7DOJZt8u2dVEf323UOhxmJlvmPmyN424U+trywom4wQE&#10;cWF1zaWCw/f2dQrCB2SNjWVS8CAPy8XgZY6Zth1/0X0fShEh7DNUUIXgMil9UZFBP7aOOHpn2xoM&#10;Ubal1C12EW4amSbJuzRYc1yo0NG6ouK6vxkFpw27fNvJ4vxcu90lnzaft8NRqdGwX81ABOrDf/iv&#10;nWsFafL2kcLvnXgF5OIHAAD//wMAUEsBAi0AFAAGAAgAAAAhANvh9svuAAAAhQEAABMAAAAAAAAA&#10;AAAAAAAAAAAAAFtDb250ZW50X1R5cGVzXS54bWxQSwECLQAUAAYACAAAACEAWvQsW78AAAAVAQAA&#10;CwAAAAAAAAAAAAAAAAAfAQAAX3JlbHMvLnJlbHNQSwECLQAUAAYACAAAACEA+wr94sYAAADeAAAA&#10;DwAAAAAAAAAAAAAAAAAHAgAAZHJzL2Rvd25yZXYueG1sUEsFBgAAAAADAAMAtwAAAPoCAAAAAA==&#10;" filled="f" stroked="f">
                  <v:textbox inset="0,0,0,0">
                    <w:txbxContent>
                      <w:p w14:paraId="0A8510D6" w14:textId="77777777" w:rsidR="00B32EF2" w:rsidRDefault="00000000">
                        <w:r>
                          <w:rPr>
                            <w:rFonts w:ascii="Arial" w:eastAsia="Arial" w:hAnsi="Arial" w:cs="Arial"/>
                            <w:i/>
                            <w:sz w:val="18"/>
                          </w:rPr>
                          <w:t xml:space="preserve">dendo al testimone, anche nelle ipotesi di cui all’articolo 203, di fornire, </w:t>
                        </w:r>
                      </w:p>
                    </w:txbxContent>
                  </v:textbox>
                </v:rect>
                <v:rect id="Rectangle 20393" o:spid="_x0000_s5128" style="position:absolute;left:-11874;top:38796;width:510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lh5xwAAAN4AAAAPAAAAZHJzL2Rvd25yZXYueG1sRI9Pi8Iw&#10;FMTvC36H8ARva7oKi1ajLIrYg5f1D3h8NM+22ryEJtrqp98sLOxxmJnfMPNlZ2rxoMZXlhV8DBMQ&#10;xLnVFRcKjofN+wSED8gaa8uk4Ekelove2xxTbVv+psc+FCJC2KeooAzBpVL6vCSDfmgdcfQutjEY&#10;omwKqRtsI9zUcpQkn9JgxXGhREerkvLb/m4UnNfssk0r88tr5XbXbFJv78eTUoN+9zUDEagL/+G/&#10;dqYVjJLxdAy/d+IVkIsfAAAA//8DAFBLAQItABQABgAIAAAAIQDb4fbL7gAAAIUBAAATAAAAAAAA&#10;AAAAAAAAAAAAAABbQ29udGVudF9UeXBlc10ueG1sUEsBAi0AFAAGAAgAAAAhAFr0LFu/AAAAFQEA&#10;AAsAAAAAAAAAAAAAAAAAHwEAAF9yZWxzLy5yZWxzUEsBAi0AFAAGAAgAAAAhAJRGWHnHAAAA3gAA&#10;AA8AAAAAAAAAAAAAAAAABwIAAGRycy9kb3ducmV2LnhtbFBLBQYAAAAAAwADALcAAAD7AgAAAAA=&#10;" filled="f" stroked="f">
                  <v:textbox inset="0,0,0,0">
                    <w:txbxContent>
                      <w:p w14:paraId="0DE36266" w14:textId="77777777" w:rsidR="00B32EF2" w:rsidRDefault="00000000">
                        <w:r>
                          <w:rPr>
                            <w:rFonts w:ascii="Arial" w:eastAsia="Arial" w:hAnsi="Arial" w:cs="Arial"/>
                            <w:i/>
                            <w:sz w:val="18"/>
                          </w:rPr>
                          <w:t xml:space="preserve">per iscritto e nel termine fissato, le risposte ai quesiti sui quali deve essere </w:t>
                        </w:r>
                      </w:p>
                    </w:txbxContent>
                  </v:textbox>
                </v:rect>
                <v:rect id="Rectangle 20394" o:spid="_x0000_s5129" style="position:absolute;left:31329;top:37562;width:78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8ANxwAAAN4AAAAPAAAAZHJzL2Rvd25yZXYueG1sRI9Ba8JA&#10;FITvQv/D8gredKMWsdFVRJHm4KXWQo+P7DOJZt8u2dWk/fVuQfA4zMw3zGLVmVrcqPGVZQWjYQKC&#10;OLe64kLB8Ws3mIHwAVljbZkU/JKH1fKlt8BU25Y/6XYIhYgQ9ikqKENwqZQ+L8mgH1pHHL2TbQyG&#10;KJtC6gbbCDe1HCfJVBqsOC6U6GhTUn45XI2Cny27bNfK/PS3cftzNqs/rsdvpfqv3XoOIlAXnuFH&#10;O9MKxsnk/Q3+78QrIJd3AAAA//8DAFBLAQItABQABgAIAAAAIQDb4fbL7gAAAIUBAAATAAAAAAAA&#10;AAAAAAAAAAAAAABbQ29udGVudF9UeXBlc10ueG1sUEsBAi0AFAAGAAgAAAAhAFr0LFu/AAAAFQEA&#10;AAsAAAAAAAAAAAAAAAAAHwEAAF9yZWxzLy5yZWxzUEsBAi0AFAAGAAgAAAAhABuvwA3HAAAA3gAA&#10;AA8AAAAAAAAAAAAAAAAABwIAAGRycy9kb3ducmV2LnhtbFBLBQYAAAAAAwADALcAAAD7AgAAAAA=&#10;" filled="f" stroked="f">
                  <v:textbox inset="0,0,0,0">
                    <w:txbxContent>
                      <w:p w14:paraId="031F53DB" w14:textId="77777777" w:rsidR="00B32EF2" w:rsidRDefault="00000000">
                        <w:r>
                          <w:rPr>
                            <w:rFonts w:ascii="Arial" w:eastAsia="Arial" w:hAnsi="Arial" w:cs="Arial"/>
                            <w:i/>
                            <w:sz w:val="18"/>
                          </w:rPr>
                          <w:t>interrogato.</w:t>
                        </w:r>
                      </w:p>
                    </w:txbxContent>
                  </v:textbox>
                </v:rect>
                <v:rect id="Rectangle 201782" o:spid="_x0000_s5130" style="position:absolute;left:25811;top:36329;width:511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s8dxwAAAN8AAAAPAAAAZHJzL2Rvd25yZXYueG1sRI9Ba8JA&#10;FITvgv9heUJvujGHNqSuUhQxh16qFnp8ZJ9J2uzbJbua1F/vCoLHYWa+YRarwbTiQp1vLCuYzxIQ&#10;xKXVDVcKjoftNAPhA7LG1jIp+CcPq+V4tMBc256/6LIPlYgQ9jkqqENwuZS+rMmgn1lHHL2T7QyG&#10;KLtK6g77CDetTJPkVRpsOC7U6GhdU/m3PxsFPxt2xbaX5em6dp+/RdbuzsdvpV4mw8c7iEBDeIYf&#10;7UIrSJP5W5bC/U/8AnJ5AwAA//8DAFBLAQItABQABgAIAAAAIQDb4fbL7gAAAIUBAAATAAAAAAAA&#10;AAAAAAAAAAAAAABbQ29udGVudF9UeXBlc10ueG1sUEsBAi0AFAAGAAgAAAAhAFr0LFu/AAAAFQEA&#10;AAsAAAAAAAAAAAAAAAAAHwEAAF9yZWxzLy5yZWxzUEsBAi0AFAAGAAgAAAAhAIVSzx3HAAAA3wAA&#10;AA8AAAAAAAAAAAAAAAAABwIAAGRycy9kb3ducmV2LnhtbFBLBQYAAAAAAwADALcAAAD7AgAAAAA=&#10;" filled="f" stroked="f">
                  <v:textbox inset="0,0,0,0">
                    <w:txbxContent>
                      <w:p w14:paraId="3B8B3A16" w14:textId="77777777" w:rsidR="00B32EF2" w:rsidRDefault="00000000">
                        <w:r>
                          <w:rPr>
                            <w:rFonts w:ascii="Arial" w:eastAsia="Arial" w:hAnsi="Arial" w:cs="Arial"/>
                            <w:i/>
                            <w:sz w:val="18"/>
                          </w:rPr>
                          <w:t>2</w:t>
                        </w:r>
                      </w:p>
                    </w:txbxContent>
                  </v:textbox>
                </v:rect>
                <v:rect id="Rectangle 201787" o:spid="_x0000_s5131" style="position:absolute;left:-12551;top:36329;width:511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WyFxwAAAN8AAAAPAAAAZHJzL2Rvd25yZXYueG1sRI9Ba8JA&#10;FITvBf/D8gRvdaOHGqKriCLNwUutgsdH9plEs2+X7Gqiv75bKPQ4zMw3zGLVm0Y8qPW1ZQWTcQKC&#10;uLC65lLB8Xv3noLwAVljY5kUPMnDajl4W2Cmbcdf9DiEUkQI+wwVVCG4TEpfVGTQj60jjt7FtgZD&#10;lG0pdYtdhJtGTpPkQxqsOS5U6GhTUXE73I2C85ZdvutkcXlt3P6ap83n/XhSajTs13MQgfrwH/5r&#10;51rBNJnM0hn8/olfQC5/AAAA//8DAFBLAQItABQABgAIAAAAIQDb4fbL7gAAAIUBAAATAAAAAAAA&#10;AAAAAAAAAAAAAABbQ29udGVudF9UeXBlc10ueG1sUEsBAi0AFAAGAAgAAAAhAFr0LFu/AAAAFQEA&#10;AAsAAAAAAAAAAAAAAAAAHwEAAF9yZWxzLy5yZWxzUEsBAi0AFAAGAAgAAAAhAJUlbIXHAAAA3wAA&#10;AA8AAAAAAAAAAAAAAAAABwIAAGRycy9kb3ducmV2LnhtbFBLBQYAAAAAAwADALcAAAD7AgAAAAA=&#10;" filled="f" stroked="f">
                  <v:textbox inset="0,0,0,0">
                    <w:txbxContent>
                      <w:p w14:paraId="22B6BA11" w14:textId="77777777" w:rsidR="00B32EF2" w:rsidRDefault="00000000">
                        <w:r>
                          <w:rPr>
                            <w:rFonts w:ascii="Arial" w:eastAsia="Arial" w:hAnsi="Arial" w:cs="Arial"/>
                            <w:i/>
                            <w:sz w:val="18"/>
                          </w:rPr>
                          <w:t xml:space="preserve">. Il giudice, con il provvedimento di cui al primo comma, dispone che la </w:t>
                        </w:r>
                      </w:p>
                    </w:txbxContent>
                  </v:textbox>
                </v:rect>
                <v:rect id="Rectangle 20396" o:spid="_x0000_s5132" style="position:absolute;left:-11857;top:35096;width:509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fvhxgAAAN4AAAAPAAAAZHJzL2Rvd25yZXYueG1sRI9Pi8Iw&#10;FMTvC36H8ARva7oKotUoi4tsD3vxH3h8NM+22ryEJtrqp98IC3scZuY3zGLVmVrcqfGVZQUfwwQE&#10;cW51xYWCw37zPgXhA7LG2jIpeJCH1bL3tsBU25a3dN+FQkQI+xQVlCG4VEqfl2TQD60jjt7ZNgZD&#10;lE0hdYNthJtajpJkIg1WHBdKdLQuKb/ubkbB6Ytdtmllfn6u3c8lm9bft8NRqUG/+5yDCNSF//Bf&#10;O9MKRsl4NoHXnXgF5PIXAAD//wMAUEsBAi0AFAAGAAgAAAAhANvh9svuAAAAhQEAABMAAAAAAAAA&#10;AAAAAAAAAAAAAFtDb250ZW50X1R5cGVzXS54bWxQSwECLQAUAAYACAAAACEAWvQsW78AAAAVAQAA&#10;CwAAAAAAAAAAAAAAAAAfAQAAX3JlbHMvLnJlbHNQSwECLQAUAAYACAAAACEAhDH74cYAAADeAAAA&#10;DwAAAAAAAAAAAAAAAAAHAgAAZHJzL2Rvd25yZXYueG1sUEsFBgAAAAADAAMAtwAAAPoCAAAAAA==&#10;" filled="f" stroked="f">
                  <v:textbox inset="0,0,0,0">
                    <w:txbxContent>
                      <w:p w14:paraId="2335556F" w14:textId="77777777" w:rsidR="00B32EF2" w:rsidRDefault="00000000">
                        <w:r>
                          <w:rPr>
                            <w:rFonts w:ascii="Arial" w:eastAsia="Arial" w:hAnsi="Arial" w:cs="Arial"/>
                            <w:i/>
                            <w:sz w:val="18"/>
                          </w:rPr>
                          <w:t xml:space="preserve">parte che ha richiesto l’assunzione predisponga il modello di testimonianza </w:t>
                        </w:r>
                      </w:p>
                    </w:txbxContent>
                  </v:textbox>
                </v:rect>
                <v:rect id="Rectangle 20397" o:spid="_x0000_s5133" style="position:absolute;left:-7248;top:33862;width:463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V56xwAAAN4AAAAPAAAAZHJzL2Rvd25yZXYueG1sRI9Ba8JA&#10;FITvQv/D8gredKNCtdFVRJHm4KXWQo+P7DOJZt8u2dWk/fVuQfA4zMw3zGLVmVrcqPGVZQWjYQKC&#10;OLe64kLB8Ws3mIHwAVljbZkU/JKH1fKlt8BU25Y/6XYIhYgQ9ikqKENwqZQ+L8mgH1pHHL2TbQyG&#10;KJtC6gbbCDe1HCfJmzRYcVwo0dGmpPxyuBoFP1t22a6V+elv4/bnbFZ/XI/fSvVfu/UcRKAuPMOP&#10;dqYVjJPJ+xT+78QrIJd3AAAA//8DAFBLAQItABQABgAIAAAAIQDb4fbL7gAAAIUBAAATAAAAAAAA&#10;AAAAAAAAAAAAAABbQ29udGVudF9UeXBlc10ueG1sUEsBAi0AFAAGAAgAAAAhAFr0LFu/AAAAFQEA&#10;AAsAAAAAAAAAAAAAAAAAHwEAAF9yZWxzLy5yZWxzUEsBAi0AFAAGAAgAAAAhAOt9XnrHAAAA3gAA&#10;AA8AAAAAAAAAAAAAAAAABwIAAGRycy9kb3ducmV2LnhtbFBLBQYAAAAAAwADALcAAAD7AgAAAAA=&#10;" filled="f" stroked="f">
                  <v:textbox inset="0,0,0,0">
                    <w:txbxContent>
                      <w:p w14:paraId="438754CD" w14:textId="77777777" w:rsidR="00B32EF2" w:rsidRDefault="00000000">
                        <w:r>
                          <w:rPr>
                            <w:rFonts w:ascii="Arial" w:eastAsia="Arial" w:hAnsi="Arial" w:cs="Arial"/>
                            <w:i/>
                            <w:sz w:val="18"/>
                          </w:rPr>
                          <w:t>in conformità agli articoli ammessi e lo faccia notificare al testimone.</w:t>
                        </w:r>
                      </w:p>
                    </w:txbxContent>
                  </v:textbox>
                </v:rect>
                <v:rect id="Rectangle 201778" o:spid="_x0000_s5134" style="position:absolute;left:25852;top:32629;width:509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4jQxQAAAN8AAAAPAAAAZHJzL2Rvd25yZXYueG1sRE89b8Iw&#10;EN0r8R+sQ2IrDgwkSjGoAiEysDSlUsdTfCRp47MVmyT019dDpY5P73u7n0wnBup9a1nBapmAIK6s&#10;brlWcH0/PWcgfEDW2FkmBQ/ysN/NnraYazvyGw1lqEUMYZ+jgiYEl0vpq4YM+qV1xJG72d5giLCv&#10;pe5xjOGmk+sk2UiDLceGBh0dGqq+y7tR8HlkV5xGWd1+Du7yVWTd+X79UGoxn15fQASawr/4z11o&#10;BetklaZxcPwTv4Dc/QIAAP//AwBQSwECLQAUAAYACAAAACEA2+H2y+4AAACFAQAAEwAAAAAAAAAA&#10;AAAAAAAAAAAAW0NvbnRlbnRfVHlwZXNdLnhtbFBLAQItABQABgAIAAAAIQBa9CxbvwAAABUBAAAL&#10;AAAAAAAAAAAAAAAAAB8BAABfcmVscy8ucmVsc1BLAQItABQABgAIAAAAIQDRb4jQxQAAAN8AAAAP&#10;AAAAAAAAAAAAAAAAAAcCAABkcnMvZG93bnJldi54bWxQSwUGAAAAAAMAAwC3AAAA+QIAAAAA&#10;" filled="f" stroked="f">
                  <v:textbox inset="0,0,0,0">
                    <w:txbxContent>
                      <w:p w14:paraId="0DD4D61B" w14:textId="77777777" w:rsidR="00B32EF2" w:rsidRDefault="00000000">
                        <w:r>
                          <w:rPr>
                            <w:rFonts w:ascii="Arial" w:eastAsia="Arial" w:hAnsi="Arial" w:cs="Arial"/>
                            <w:i/>
                            <w:sz w:val="18"/>
                          </w:rPr>
                          <w:t>3</w:t>
                        </w:r>
                      </w:p>
                    </w:txbxContent>
                  </v:textbox>
                </v:rect>
                <v:rect id="Rectangle 201780" o:spid="_x0000_s5135" style="position:absolute;left:-12522;top:32629;width:509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PTxxQAAAN8AAAAPAAAAZHJzL2Rvd25yZXYueG1sRI/LisIw&#10;FIb3A75DOIK7MdXFTKlGEUWmi9l4A5eH5thWm5PQRFvn6c1iwOXPf+ObL3vTiAe1vrasYDJOQBAX&#10;VtdcKjgetp8pCB+QNTaWScGTPCwXg485Ztp2vKPHPpQijrDPUEEVgsuk9EVFBv3YOuLoXWxrMETZ&#10;llK32MVx08hpknxJgzXHhwodrSsqbvu7UXDesMu3nSwuf2v3e83T5ud+PCk1GvarGYhAfXiH/9u5&#10;VjBNJt9pJIg8kQXk4gUAAP//AwBQSwECLQAUAAYACAAAACEA2+H2y+4AAACFAQAAEwAAAAAAAAAA&#10;AAAAAAAAAAAAW0NvbnRlbnRfVHlwZXNdLnhtbFBLAQItABQABgAIAAAAIQBa9CxbvwAAABUBAAAL&#10;AAAAAAAAAAAAAAAAAB8BAABfcmVscy8ucmVsc1BLAQItABQABgAIAAAAIQAazPTxxQAAAN8AAAAP&#10;AAAAAAAAAAAAAAAAAAcCAABkcnMvZG93bnJldi54bWxQSwUGAAAAAAMAAwC3AAAA+QIAAAAA&#10;" filled="f" stroked="f">
                  <v:textbox inset="0,0,0,0">
                    <w:txbxContent>
                      <w:p w14:paraId="15B7FEA6" w14:textId="77777777" w:rsidR="00B32EF2" w:rsidRDefault="00000000">
                        <w:r>
                          <w:rPr>
                            <w:rFonts w:ascii="Arial" w:eastAsia="Arial" w:hAnsi="Arial" w:cs="Arial"/>
                            <w:i/>
                            <w:sz w:val="18"/>
                          </w:rPr>
                          <w:t xml:space="preserve">. Il testimone rende la deposizione compilando il modello di testimonianza </w:t>
                        </w:r>
                      </w:p>
                    </w:txbxContent>
                  </v:textbox>
                </v:rect>
                <v:rect id="Rectangle 20399" o:spid="_x0000_s5136" style="position:absolute;left:-11903;top:31396;width:51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m+TxwAAAN4AAAAPAAAAZHJzL2Rvd25yZXYueG1sRI9Pi8Iw&#10;FMTvgt8hPGFvmq4Li1ajLIrYw17WP+Dx0TzbavMSmmirn36zsOBxmJnfMPNlZ2pxp8ZXlhW8jxIQ&#10;xLnVFRcKDvvNcALCB2SNtWVS8CAPy0W/N8dU25Z/6L4LhYgQ9ikqKENwqZQ+L8mgH1lHHL2zbQyG&#10;KJtC6gbbCDe1HCfJpzRYcVwo0dGqpPy6uxkFpzW7bNPK/Pxcue9LNqm3t8NRqbdB9zUDEagLr/B/&#10;O9MKxsnHdAp/d+IVkItfAAAA//8DAFBLAQItABQABgAIAAAAIQDb4fbL7gAAAIUBAAATAAAAAAAA&#10;AAAAAAAAAAAAAABbQ29udGVudF9UeXBlc10ueG1sUEsBAi0AFAAGAAgAAAAhAFr0LFu/AAAAFQEA&#10;AAsAAAAAAAAAAAAAAAAAHwEAAF9yZWxzLy5yZWxzUEsBAi0AFAAGAAgAAAAhAPWub5PHAAAA3gAA&#10;AA8AAAAAAAAAAAAAAAAABwIAAGRycy9kb3ducmV2LnhtbFBLBQYAAAAAAwADALcAAAD7AgAAAAA=&#10;" filled="f" stroked="f">
                  <v:textbox inset="0,0,0,0">
                    <w:txbxContent>
                      <w:p w14:paraId="74E419B1" w14:textId="77777777" w:rsidR="00B32EF2" w:rsidRDefault="00000000">
                        <w:r>
                          <w:rPr>
                            <w:rFonts w:ascii="Arial" w:eastAsia="Arial" w:hAnsi="Arial" w:cs="Arial"/>
                            <w:i/>
                            <w:sz w:val="18"/>
                          </w:rPr>
                          <w:t xml:space="preserve">in ogni sua parte, con risposta separata a ciascuno dei quesiti, e precisa </w:t>
                        </w:r>
                      </w:p>
                    </w:txbxContent>
                  </v:textbox>
                </v:rect>
                <v:rect id="Rectangle 20400" o:spid="_x0000_s5137" style="position:absolute;left:-10616;top:30163;width:4975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J7sxQAAAN4AAAAPAAAAZHJzL2Rvd25yZXYueG1sRI/LagIx&#10;FIb3Bd8hHMFdTZRSZDSKKNJZdOOl0OVhcpwZnZyESXTGPr1ZFFz+/De+xaq3jbhTG2rHGiZjBYK4&#10;cKbmUsPpuHufgQgR2WDjmDQ8KMBqOXhbYGZcx3u6H2Ip0giHDDVUMfpMylBUZDGMnSdO3tm1FmOS&#10;bSlNi10at42cKvUpLdacHir0tKmouB5uVsPvln2+62Rx/tv470s+a75upx+tR8N+PQcRqY+v8H87&#10;Nxqm6kMlgISTUEAunwAAAP//AwBQSwECLQAUAAYACAAAACEA2+H2y+4AAACFAQAAEwAAAAAAAAAA&#10;AAAAAAAAAAAAW0NvbnRlbnRfVHlwZXNdLnhtbFBLAQItABQABgAIAAAAIQBa9CxbvwAAABUBAAAL&#10;AAAAAAAAAAAAAAAAAB8BAABfcmVscy8ucmVsc1BLAQItABQABgAIAAAAIQBMNJ7sxQAAAN4AAAAP&#10;AAAAAAAAAAAAAAAAAAcCAABkcnMvZG93bnJldi54bWxQSwUGAAAAAAMAAwC3AAAA+QIAAAAA&#10;" filled="f" stroked="f">
                  <v:textbox inset="0,0,0,0">
                    <w:txbxContent>
                      <w:p w14:paraId="295CE783" w14:textId="77777777" w:rsidR="00B32EF2" w:rsidRDefault="00000000">
                        <w:r>
                          <w:rPr>
                            <w:rFonts w:ascii="Arial" w:eastAsia="Arial" w:hAnsi="Arial" w:cs="Arial"/>
                            <w:i/>
                            <w:sz w:val="18"/>
                          </w:rPr>
                          <w:t>quali sono quelli cui non è in grado di rispondere, indicandone la ragione.</w:t>
                        </w:r>
                      </w:p>
                    </w:txbxContent>
                  </v:textbox>
                </v:rect>
                <v:rect id="Rectangle 201769" o:spid="_x0000_s5138" style="position:absolute;left:-11565;top:28929;width:500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uWxwAAAN8AAAAPAAAAZHJzL2Rvd25yZXYueG1sRI9Ba8JA&#10;FITvgv9heUJvdaMHa6OriCLm4EVrocdH9plEs2+X7GpSf31XKHgcZuYbZr7sTC3u1PjKsoLRMAFB&#10;nFtdcaHg9LV9n4LwAVljbZkU/JKH5aLfm2OqbcsHuh9DISKEfYoKyhBcKqXPSzLoh9YRR+9sG4Mh&#10;yqaQusE2wk0tx0kykQYrjgslOlqXlF+PN6PgZ8Mu27YyPz/Wbn/JpvXudvpW6m3QrWYgAnXhFf5v&#10;Z1rBOBl9TD7h+Sd+Abn4AwAA//8DAFBLAQItABQABgAIAAAAIQDb4fbL7gAAAIUBAAATAAAAAAAA&#10;AAAAAAAAAAAAAABbQ29udGVudF9UeXBlc10ueG1sUEsBAi0AFAAGAAgAAAAhAFr0LFu/AAAAFQEA&#10;AAsAAAAAAAAAAAAAAAAAHwEAAF9yZWxzLy5yZWxzUEsBAi0AFAAGAAgAAAAhADv6u5bHAAAA3wAA&#10;AA8AAAAAAAAAAAAAAAAABwIAAGRycy9kb3ducmV2LnhtbFBLBQYAAAAAAwADALcAAAD7AgAAAAA=&#10;" filled="f" stroked="f">
                  <v:textbox inset="0,0,0,0">
                    <w:txbxContent>
                      <w:p w14:paraId="313560CF" w14:textId="77777777" w:rsidR="00B32EF2" w:rsidRDefault="00000000">
                        <w:r>
                          <w:rPr>
                            <w:rFonts w:ascii="Arial" w:eastAsia="Arial" w:hAnsi="Arial" w:cs="Arial"/>
                            <w:i/>
                            <w:sz w:val="18"/>
                          </w:rPr>
                          <w:t>. Il testimone sottoscrive la deposizione apponendo la propria firma auten</w:t>
                        </w:r>
                      </w:p>
                    </w:txbxContent>
                  </v:textbox>
                </v:rect>
                <v:rect id="Rectangle 201767" o:spid="_x0000_s5139" style="position:absolute;left:26081;top:28929;width:50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Yp/xgAAAN8AAAAPAAAAZHJzL2Rvd25yZXYueG1sRI9Bi8Iw&#10;FITvC/6H8ARva6oHlWoUUcQevKy6sMdH82yrzUtooq3++s3CgsdhZr5hFqvO1OJBja8sKxgNExDE&#10;udUVFwrOp93nDIQPyBpry6TgSR5Wy97HAlNtW/6ixzEUIkLYp6igDMGlUvq8JIN+aB1x9C62MRii&#10;bAqpG2wj3NRynCQTabDiuFCio01J+e14Nwp+tuyyXSvzy2vjDtdsVu/v52+lBv1uPQcRqAvv8H87&#10;0wrGyWg6mcLfn/gF5PIXAAD//wMAUEsBAi0AFAAGAAgAAAAhANvh9svuAAAAhQEAABMAAAAAAAAA&#10;AAAAAAAAAAAAAFtDb250ZW50X1R5cGVzXS54bWxQSwECLQAUAAYACAAAACEAWvQsW78AAAAVAQAA&#10;CwAAAAAAAAAAAAAAAAAfAQAAX3JlbHMvLnJlbHNQSwECLQAUAAYACAAAACEAJSmKf8YAAADfAAAA&#10;DwAAAAAAAAAAAAAAAAAHAgAAZHJzL2Rvd25yZXYueG1sUEsFBgAAAAADAAMAtwAAAPoCAAAAAA==&#10;" filled="f" stroked="f">
                  <v:textbox inset="0,0,0,0">
                    <w:txbxContent>
                      <w:p w14:paraId="23CA6362" w14:textId="77777777" w:rsidR="00B32EF2" w:rsidRDefault="00000000">
                        <w:r>
                          <w:rPr>
                            <w:rFonts w:ascii="Arial" w:eastAsia="Arial" w:hAnsi="Arial" w:cs="Arial"/>
                            <w:i/>
                            <w:sz w:val="18"/>
                          </w:rPr>
                          <w:t>4</w:t>
                        </w:r>
                      </w:p>
                    </w:txbxContent>
                  </v:textbox>
                </v:rect>
                <v:rect id="Rectangle 20402" o:spid="_x0000_s5140" style="position:absolute;left:975;top:2892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qUAxwAAAN4AAAAPAAAAZHJzL2Rvd25yZXYueG1sRI9PawIx&#10;FMTvQr9DeIXeNOlSiqxGKRbpHnqpf8DjY/PcXd28hE10t/30jSB4HGbmN8x8OdhWXKkLjWMNrxMF&#10;grh0puFKw267Hk9BhIhssHVMGn4pwHLxNJpjblzPP3TdxEokCIccNdQx+lzKUNZkMUycJ07e0XUW&#10;Y5JdJU2HfYLbVmZKvUuLDaeFGj2tairPm4vVcPhkX6x7WR7/Vv77VEzbr8tur/XL8/AxAxFpiI/w&#10;vV0YDZl6Uxnc7qQrIBf/AAAA//8DAFBLAQItABQABgAIAAAAIQDb4fbL7gAAAIUBAAATAAAAAAAA&#10;AAAAAAAAAAAAAABbQ29udGVudF9UeXBlc10ueG1sUEsBAi0AFAAGAAgAAAAhAFr0LFu/AAAAFQEA&#10;AAsAAAAAAAAAAAAAAAAAHwEAAF9yZWxzLy5yZWxzUEsBAi0AFAAGAAgAAAAhANOqpQDHAAAA3gAA&#10;AA8AAAAAAAAAAAAAAAAABwIAAGRycy9kb3ducmV2LnhtbFBLBQYAAAAAAwADALcAAAD7AgAAAAA=&#10;" filled="f" stroked="f">
                  <v:textbox inset="0,0,0,0">
                    <w:txbxContent>
                      <w:p w14:paraId="6737BCFD" w14:textId="77777777" w:rsidR="00B32EF2" w:rsidRDefault="00000000">
                        <w:r>
                          <w:rPr>
                            <w:rFonts w:ascii="Arial" w:eastAsia="Arial" w:hAnsi="Arial" w:cs="Arial"/>
                            <w:i/>
                            <w:sz w:val="18"/>
                          </w:rPr>
                          <w:t>-</w:t>
                        </w:r>
                      </w:p>
                    </w:txbxContent>
                  </v:textbox>
                </v:rect>
                <v:rect id="Rectangle 20403" o:spid="_x0000_s5141" style="position:absolute;left:-11902;top:27696;width:511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gCbxgAAAN4AAAAPAAAAZHJzL2Rvd25yZXYueG1sRI9BawIx&#10;FITvhf6H8ARvNVGLyGoUsYh76KXWQo+PzXN3dfMSNtFd++ubgtDjMDPfMMt1bxtxozbUjjWMRwoE&#10;ceFMzaWG4+fuZQ4iRGSDjWPScKcA69Xz0xIz4zr+oNshliJBOGSooYrRZ1KGoiKLYeQ8cfJOrrUY&#10;k2xLaVrsEtw2cqLUTFqsOS1U6GlbUXE5XK2G7zf2+a6Txeln69/P+bzZX49fWg8H/WYBIlIf/8OP&#10;dm40TNSrmsLfnXQF5OoXAAD//wMAUEsBAi0AFAAGAAgAAAAhANvh9svuAAAAhQEAABMAAAAAAAAA&#10;AAAAAAAAAAAAAFtDb250ZW50X1R5cGVzXS54bWxQSwECLQAUAAYACAAAACEAWvQsW78AAAAVAQAA&#10;CwAAAAAAAAAAAAAAAAAfAQAAX3JlbHMvLnJlbHNQSwECLQAUAAYACAAAACEAvOYAm8YAAADeAAAA&#10;DwAAAAAAAAAAAAAAAAAHAgAAZHJzL2Rvd25yZXYueG1sUEsFBgAAAAADAAMAtwAAAPoCAAAAAA==&#10;" filled="f" stroked="f">
                  <v:textbox inset="0,0,0,0">
                    <w:txbxContent>
                      <w:p w14:paraId="7A600751" w14:textId="77777777" w:rsidR="00B32EF2" w:rsidRDefault="00000000">
                        <w:r>
                          <w:rPr>
                            <w:rFonts w:ascii="Arial" w:eastAsia="Arial" w:hAnsi="Arial" w:cs="Arial"/>
                            <w:i/>
                            <w:sz w:val="18"/>
                          </w:rPr>
                          <w:t xml:space="preserve">ticata su ciascuna delle facciate del foglio di testimonianza, che spedisce </w:t>
                        </w:r>
                      </w:p>
                    </w:txbxContent>
                  </v:textbox>
                </v:rect>
                <v:rect id="Rectangle 20404" o:spid="_x0000_s5142" style="position:absolute;left:-11926;top:26463;width:512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5jvxgAAAN4AAAAPAAAAZHJzL2Rvd25yZXYueG1sRI9PawIx&#10;FMTvBb9DeIK3mihSZGuUooh76KX+AY+PzXN3281L2ER366c3hYLHYWZ+wyxWvW3EjdpQO9YwGSsQ&#10;xIUzNZcajoft6xxEiMgGG8ek4ZcCrJaDlwVmxnX8Rbd9LEWCcMhQQxWjz6QMRUUWw9h54uRdXGsx&#10;JtmW0rTYJbht5FSpN2mx5rRQoad1RcXP/mo1nDfs820ni8t97T+/83mzux5PWo+G/cc7iEh9fIb/&#10;27nRMFUzNYO/O+kKyOUDAAD//wMAUEsBAi0AFAAGAAgAAAAhANvh9svuAAAAhQEAABMAAAAAAAAA&#10;AAAAAAAAAAAAAFtDb250ZW50X1R5cGVzXS54bWxQSwECLQAUAAYACAAAACEAWvQsW78AAAAVAQAA&#10;CwAAAAAAAAAAAAAAAAAfAQAAX3JlbHMvLnJlbHNQSwECLQAUAAYACAAAACEAMw+Y78YAAADeAAAA&#10;DwAAAAAAAAAAAAAAAAAHAgAAZHJzL2Rvd25yZXYueG1sUEsFBgAAAAADAAMAtwAAAPoCAAAAAA==&#10;" filled="f" stroked="f">
                  <v:textbox inset="0,0,0,0">
                    <w:txbxContent>
                      <w:p w14:paraId="5EA50F4A" w14:textId="77777777" w:rsidR="00B32EF2" w:rsidRDefault="00000000">
                        <w:r>
                          <w:rPr>
                            <w:rFonts w:ascii="Arial" w:eastAsia="Arial" w:hAnsi="Arial" w:cs="Arial"/>
                            <w:i/>
                            <w:sz w:val="18"/>
                          </w:rPr>
                          <w:t xml:space="preserve">in busta chiusa con plico raccomandato o consegna alla cancelleria del </w:t>
                        </w:r>
                      </w:p>
                    </w:txbxContent>
                  </v:textbox>
                </v:rect>
                <v:rect id="Rectangle 20405" o:spid="_x0000_s5143" style="position:absolute;left:33815;top:25229;width:53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z10xgAAAN4AAAAPAAAAZHJzL2Rvd25yZXYueG1sRI9BawIx&#10;FITvhf6H8ARvNVGsyGoUsYh76KXWQo+PzXN3dfMSNtFd++ubgtDjMDPfMMt1bxtxozbUjjWMRwoE&#10;ceFMzaWG4+fuZQ4iRGSDjWPScKcA69Xz0xIz4zr+oNshliJBOGSooYrRZ1KGoiKLYeQ8cfJOrrUY&#10;k2xLaVrsEtw2cqLUTFqsOS1U6GlbUXE5XK2G7zf2+a6Txeln69/P+bzZX49fWg8H/WYBIlIf/8OP&#10;dm40TNRUvcLfnXQF5OoXAAD//wMAUEsBAi0AFAAGAAgAAAAhANvh9svuAAAAhQEAABMAAAAAAAAA&#10;AAAAAAAAAAAAAFtDb250ZW50X1R5cGVzXS54bWxQSwECLQAUAAYACAAAACEAWvQsW78AAAAVAQAA&#10;CwAAAAAAAAAAAAAAAAAfAQAAX3JlbHMvLnJlbHNQSwECLQAUAAYACAAAACEAXEM9dMYAAADeAAAA&#10;DwAAAAAAAAAAAAAAAAAHAgAAZHJzL2Rvd25yZXYueG1sUEsFBgAAAAADAAMAtwAAAPoCAAAAAA==&#10;" filled="f" stroked="f">
                  <v:textbox inset="0,0,0,0">
                    <w:txbxContent>
                      <w:p w14:paraId="60AA3966" w14:textId="77777777" w:rsidR="00B32EF2" w:rsidRDefault="00000000">
                        <w:r>
                          <w:rPr>
                            <w:rFonts w:ascii="Arial" w:eastAsia="Arial" w:hAnsi="Arial" w:cs="Arial"/>
                            <w:i/>
                            <w:sz w:val="18"/>
                          </w:rPr>
                          <w:t>giudice.</w:t>
                        </w:r>
                      </w:p>
                    </w:txbxContent>
                  </v:textbox>
                </v:rect>
                <v:rect id="Rectangle 201766" o:spid="_x0000_s5144" style="position:absolute;left:-12539;top:23996;width:509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S/kxwAAAN8AAAAPAAAAZHJzL2Rvd25yZXYueG1sRI9Ba8JA&#10;FITvgv9heUJvutFDKtFVRJHm4KVWweMj+0yi2bdLdjWxv75bKPQ4zMw3zHLdm0Y8qfW1ZQXTSQKC&#10;uLC65lLB6Ws/noPwAVljY5kUvMjDejUcLDHTtuNPeh5DKSKEfYYKqhBcJqUvKjLoJ9YRR+9qW4Mh&#10;yraUusUuwk0jZ0mSSoM1x4UKHW0rKu7Hh1Fw2bHL950srt9bd7jl8+bjcTor9TbqNwsQgfrwH/5r&#10;51rBLJm+pyn8/olfQK5+AAAA//8DAFBLAQItABQABgAIAAAAIQDb4fbL7gAAAIUBAAATAAAAAAAA&#10;AAAAAAAAAAAAAABbQ29udGVudF9UeXBlc10ueG1sUEsBAi0AFAAGAAgAAAAhAFr0LFu/AAAAFQEA&#10;AAsAAAAAAAAAAAAAAAAAHwEAAF9yZWxzLy5yZWxzUEsBAi0AFAAGAAgAAAAhAEplL+THAAAA3wAA&#10;AA8AAAAAAAAAAAAAAAAABwIAAGRycy9kb3ducmV2LnhtbFBLBQYAAAAAAwADALcAAAD7AgAAAAA=&#10;" filled="f" stroked="f">
                  <v:textbox inset="0,0,0,0">
                    <w:txbxContent>
                      <w:p w14:paraId="3C4BA58D" w14:textId="77777777" w:rsidR="00B32EF2" w:rsidRDefault="00000000">
                        <w:r>
                          <w:rPr>
                            <w:rFonts w:ascii="Arial" w:eastAsia="Arial" w:hAnsi="Arial" w:cs="Arial"/>
                            <w:i/>
                            <w:sz w:val="18"/>
                          </w:rPr>
                          <w:t xml:space="preserve">. Quando il testimone si avvale della facoltà d’astensione di cui all’articolo </w:t>
                        </w:r>
                      </w:p>
                    </w:txbxContent>
                  </v:textbox>
                </v:rect>
                <v:rect id="Rectangle 201764" o:spid="_x0000_s5145" style="position:absolute;left:25847;top:23996;width:509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QIxwAAAN8AAAAPAAAAZHJzL2Rvd25yZXYueG1sRI9Ba8JA&#10;FITvgv9heUJvulGKlegqoog5eKla6PGRfSbR7Nslu5q0v94tFDwOM/MNs1h1phYPanxlWcF4lIAg&#10;zq2uuFBwPu2GMxA+IGusLZOCH/KwWvZ7C0y1bfmTHsdQiAhhn6KCMgSXSunzkgz6kXXE0bvYxmCI&#10;simkbrCNcFPLSZJMpcGK40KJjjYl5bfj3Sj43rLLdq3ML78bd7hms3p/P38p9Tbo1nMQgbrwCv+3&#10;M61gkow/pu/w9yd+Abl8AgAA//8DAFBLAQItABQABgAIAAAAIQDb4fbL7gAAAIUBAAATAAAAAAAA&#10;AAAAAAAAAAAAAABbQ29udGVudF9UeXBlc10ueG1sUEsBAi0AFAAGAAgAAAAhAFr0LFu/AAAAFQEA&#10;AAsAAAAAAAAAAAAAAAAAHwEAAF9yZWxzLy5yZWxzUEsBAi0AFAAGAAgAAAAhANX7FAjHAAAA3wAA&#10;AA8AAAAAAAAAAAAAAAAABwIAAGRycy9kb3ducmV2LnhtbFBLBQYAAAAAAwADALcAAAD7AgAAAAA=&#10;" filled="f" stroked="f">
                  <v:textbox inset="0,0,0,0">
                    <w:txbxContent>
                      <w:p w14:paraId="4BB400EF" w14:textId="77777777" w:rsidR="00B32EF2" w:rsidRDefault="00000000">
                        <w:r>
                          <w:rPr>
                            <w:rFonts w:ascii="Arial" w:eastAsia="Arial" w:hAnsi="Arial" w:cs="Arial"/>
                            <w:i/>
                            <w:sz w:val="18"/>
                          </w:rPr>
                          <w:t>5</w:t>
                        </w:r>
                      </w:p>
                    </w:txbxContent>
                  </v:textbox>
                </v:rect>
                <v:rect id="Rectangle 201762" o:spid="_x0000_s5146" style="position:absolute;left:-12817;top:22763;width:500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innyAAAAN8AAAAPAAAAZHJzL2Rvd25yZXYueG1sRI9La8Mw&#10;EITvhfwHsYXeGjk+pMGJHEpCqA+9NA/IcbHWj9ZaCUuJ3fz6qFDIcZiZb5jVejSduFLvW8sKZtME&#10;BHFpdcu1guNh97oA4QOyxs4yKfglD+t88rTCTNuBv+i6D7WIEPYZKmhCcJmUvmzIoJ9aRxy9yvYG&#10;Q5R9LXWPQ4SbTqZJMpcGW44LDTraNFT+7C9GwXnLrtgNsqxuG/f5XSy6j8vxpNTL8/i+BBFoDI/w&#10;f7vQCtJk9jZP4e9P/AIyvwMAAP//AwBQSwECLQAUAAYACAAAACEA2+H2y+4AAACFAQAAEwAAAAAA&#10;AAAAAAAAAAAAAAAAW0NvbnRlbnRfVHlwZXNdLnhtbFBLAQItABQABgAIAAAAIQBa9CxbvwAAABUB&#10;AAALAAAAAAAAAAAAAAAAAB8BAABfcmVscy8ucmVsc1BLAQItABQABgAIAAAAIQA1XinnyAAAAN8A&#10;AAAPAAAAAAAAAAAAAAAAAAcCAABkcnMvZG93bnJldi54bWxQSwUGAAAAAAMAAwC3AAAA/AIAAAAA&#10;" filled="f" stroked="f">
                  <v:textbox inset="0,0,0,0">
                    <w:txbxContent>
                      <w:p w14:paraId="0A4FC2D4" w14:textId="77777777" w:rsidR="00B32EF2" w:rsidRDefault="00000000">
                        <w:r>
                          <w:rPr>
                            <w:rFonts w:ascii="Arial" w:eastAsia="Arial" w:hAnsi="Arial" w:cs="Arial"/>
                            <w:i/>
                            <w:sz w:val="18"/>
                          </w:rPr>
                          <w:t>, ha l’obbligo di compilare il modello di testimonianza, indicando le com</w:t>
                        </w:r>
                      </w:p>
                    </w:txbxContent>
                  </v:textbox>
                </v:rect>
                <v:rect id="Rectangle 201761" o:spid="_x0000_s5147" style="position:absolute;left:24813;top:22763;width:500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LeQxwAAAN8AAAAPAAAAZHJzL2Rvd25yZXYueG1sRI9Ba8JA&#10;FITvgv9heUJvuokHK9FVRJHm4KVWweMj+0yi2bdLdjWxv75bKPQ4zMw3zHLdm0Y8qfW1ZQXpJAFB&#10;XFhdc6ng9LUfz0H4gKyxsUwKXuRhvRoOlphp2/EnPY+hFBHCPkMFVQguk9IXFRn0E+uIo3e1rcEQ&#10;ZVtK3WIX4aaR0ySZSYM1x4UKHW0rKu7Hh1Fw2bHL950srt9bd7jl8+bjcTor9TbqNwsQgfrwH/5r&#10;51rBNEnfZyn8/olfQK5+AAAA//8DAFBLAQItABQABgAIAAAAIQDb4fbL7gAAAIUBAAATAAAAAAAA&#10;AAAAAAAAAAAAAABbQ29udGVudF9UeXBlc10ueG1sUEsBAi0AFAAGAAgAAAAhAFr0LFu/AAAAFQEA&#10;AAsAAAAAAAAAAAAAAAAAHwEAAF9yZWxzLy5yZWxzUEsBAi0AFAAGAAgAAAAhAMWMt5DHAAAA3wAA&#10;AA8AAAAAAAAAAAAAAAAABwIAAGRycy9kb3ducmV2LnhtbFBLBQYAAAAAAwADALcAAAD7AgAAAAA=&#10;" filled="f" stroked="f">
                  <v:textbox inset="0,0,0,0">
                    <w:txbxContent>
                      <w:p w14:paraId="4DF9118C" w14:textId="77777777" w:rsidR="00B32EF2" w:rsidRDefault="00000000">
                        <w:r>
                          <w:rPr>
                            <w:rFonts w:ascii="Arial" w:eastAsia="Arial" w:hAnsi="Arial" w:cs="Arial"/>
                            <w:i/>
                            <w:sz w:val="18"/>
                          </w:rPr>
                          <w:t>249</w:t>
                        </w:r>
                      </w:p>
                    </w:txbxContent>
                  </v:textbox>
                </v:rect>
                <v:rect id="Rectangle 20408" o:spid="_x0000_s5148" style="position:absolute;left:975;top:2276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pLqwwAAAN4AAAAPAAAAZHJzL2Rvd25yZXYueG1sRE/LisIw&#10;FN0P+A/hCu7GRBkGqUYRRaaL2fgYmOWlubbV5iY00db5erMYcHk478Wqt424UxtqxxomYwWCuHCm&#10;5lLD6bh7n4EIEdlg45g0PCjAajl4W2BmXMd7uh9iKVIIhww1VDH6TMpQVGQxjJ0nTtzZtRZjgm0p&#10;TYtdCreNnCr1KS3WnBoq9LSpqLgeblbD75Z9vutkcf7b+O9LPmu+bqcfrUfDfj0HEamPL/G/Ozca&#10;pupDpb3pTroCcvkEAAD//wMAUEsBAi0AFAAGAAgAAAAhANvh9svuAAAAhQEAABMAAAAAAAAAAAAA&#10;AAAAAAAAAFtDb250ZW50X1R5cGVzXS54bWxQSwECLQAUAAYACAAAACEAWvQsW78AAAAVAQAACwAA&#10;AAAAAAAAAAAAAAAfAQAAX3JlbHMvLnJlbHNQSwECLQAUAAYACAAAACEAskKS6sMAAADeAAAADwAA&#10;AAAAAAAAAAAAAAAHAgAAZHJzL2Rvd25yZXYueG1sUEsFBgAAAAADAAMAtwAAAPcCAAAAAA==&#10;" filled="f" stroked="f">
                  <v:textbox inset="0,0,0,0">
                    <w:txbxContent>
                      <w:p w14:paraId="45A03AB7" w14:textId="77777777" w:rsidR="00B32EF2" w:rsidRDefault="00000000">
                        <w:r>
                          <w:rPr>
                            <w:rFonts w:ascii="Arial" w:eastAsia="Arial" w:hAnsi="Arial" w:cs="Arial"/>
                            <w:i/>
                            <w:sz w:val="18"/>
                          </w:rPr>
                          <w:t>-</w:t>
                        </w:r>
                      </w:p>
                    </w:txbxContent>
                  </v:textbox>
                </v:rect>
                <v:rect id="Rectangle 20409" o:spid="_x0000_s5149" style="position:absolute;left:12256;top:21530;width:2687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jdxxgAAAN4AAAAPAAAAZHJzL2Rvd25yZXYueG1sRI9BawIx&#10;FITvhf6H8ITeNFGK2NUoYpHuwUuthR4fm+fu6uYlbKK79debgtDjMDPfMItVbxtxpTbUjjWMRwoE&#10;ceFMzaWGw9d2OAMRIrLBxjFp+KUAq+Xz0wIz4zr+pOs+liJBOGSooYrRZ1KGoiKLYeQ8cfKOrrUY&#10;k2xLaVrsEtw2cqLUVFqsOS1U6GlTUXHeX6yGn3f2+baTxfG28btTPms+LodvrV8G/XoOIlIf/8OP&#10;dm40TNSreoO/O+kKyOUdAAD//wMAUEsBAi0AFAAGAAgAAAAhANvh9svuAAAAhQEAABMAAAAAAAAA&#10;AAAAAAAAAAAAAFtDb250ZW50X1R5cGVzXS54bWxQSwECLQAUAAYACAAAACEAWvQsW78AAAAVAQAA&#10;CwAAAAAAAAAAAAAAAAAfAQAAX3JlbHMvLnJlbHNQSwECLQAUAAYACAAAACEA3Q43ccYAAADeAAAA&#10;DwAAAAAAAAAAAAAAAAAHAgAAZHJzL2Rvd25yZXYueG1sUEsFBgAAAAADAAMAtwAAAPoCAAAAAA==&#10;" filled="f" stroked="f">
                  <v:textbox inset="0,0,0,0">
                    <w:txbxContent>
                      <w:p w14:paraId="2FD2070C" w14:textId="77777777" w:rsidR="00B32EF2" w:rsidRDefault="00000000">
                        <w:r>
                          <w:rPr>
                            <w:rFonts w:ascii="Arial" w:eastAsia="Arial" w:hAnsi="Arial" w:cs="Arial"/>
                            <w:i/>
                            <w:sz w:val="18"/>
                          </w:rPr>
                          <w:t>plete generalità e i motivi di astensione.</w:t>
                        </w:r>
                      </w:p>
                    </w:txbxContent>
                  </v:textbox>
                </v:rect>
                <v:rect id="Rectangle 201760" o:spid="_x0000_s5150" style="position:absolute;left:-12588;top:20296;width:512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BILxQAAAN8AAAAPAAAAZHJzL2Rvd25yZXYueG1sRI/NisIw&#10;FIX3A75DuIK7MdWFI9UooohduBmngstLc22rzU1ooq0+/WQxMMvD+eNbrnvTiCe1vrasYDJOQBAX&#10;VtdcKsh/9p9zED4ga2wsk4IXeVivBh9LTLXt+Juep1CKOMI+RQVVCC6V0hcVGfRj64ijd7WtwRBl&#10;W0rdYhfHTSOnSTKTBmuODxU62lZU3E8Po+CyY5ftO1lc31t3vGXz5vDIz0qNhv1mASJQH/7Df+1M&#10;K5gmk69ZJIg8kQXk6hcAAP//AwBQSwECLQAUAAYACAAAACEA2+H2y+4AAACFAQAAEwAAAAAAAAAA&#10;AAAAAAAAAAAAW0NvbnRlbnRfVHlwZXNdLnhtbFBLAQItABQABgAIAAAAIQBa9CxbvwAAABUBAAAL&#10;AAAAAAAAAAAAAAAAAB8BAABfcmVscy8ucmVsc1BLAQItABQABgAIAAAAIQCqwBILxQAAAN8AAAAP&#10;AAAAAAAAAAAAAAAAAAcCAABkcnMvZG93bnJldi54bWxQSwUGAAAAAAMAAwC3AAAA+QIAAAAA&#10;" filled="f" stroked="f">
                  <v:textbox inset="0,0,0,0">
                    <w:txbxContent>
                      <w:p w14:paraId="6E4018AA" w14:textId="77777777" w:rsidR="00B32EF2" w:rsidRDefault="00000000">
                        <w:r>
                          <w:rPr>
                            <w:rFonts w:ascii="Arial" w:eastAsia="Arial" w:hAnsi="Arial" w:cs="Arial"/>
                            <w:i/>
                            <w:sz w:val="18"/>
                          </w:rPr>
                          <w:t xml:space="preserve">. Quando il testimone non spedisce o non consegna le risposte scritte </w:t>
                        </w:r>
                      </w:p>
                    </w:txbxContent>
                  </v:textbox>
                </v:rect>
                <v:rect id="Rectangle 201759" o:spid="_x0000_s5151" style="position:absolute;left:25791;top:20296;width:512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nEryAAAAN8AAAAPAAAAZHJzL2Rvd25yZXYueG1sRI9Pa8JA&#10;FMTvgt9heUJvulGo2tRVikXMoRf/FHp8ZJ9J2uzbJbua6KfvCoLHYWZ+wyxWnanFhRpfWVYwHiUg&#10;iHOrKy4UHA+b4RyED8gaa8uk4EoeVst+b4Gpti3v6LIPhYgQ9ikqKENwqZQ+L8mgH1lHHL2TbQyG&#10;KJtC6gbbCDe1nCTJVBqsOC6U6GhdUv63PxsFP5/ssk0r89Nt7b5+s3m9PR+/lXoZdB/vIAJ14Rl+&#10;tDOtYJKMZ69vcP8Tv4Bc/gMAAP//AwBQSwECLQAUAAYACAAAACEA2+H2y+4AAACFAQAAEwAAAAAA&#10;AAAAAAAAAAAAAAAAW0NvbnRlbnRfVHlwZXNdLnhtbFBLAQItABQABgAIAAAAIQBa9CxbvwAAABUB&#10;AAALAAAAAAAAAAAAAAAAAB8BAABfcmVscy8ucmVsc1BLAQItABQABgAIAAAAIQD1lnEryAAAAN8A&#10;AAAPAAAAAAAAAAAAAAAAAAcCAABkcnMvZG93bnJldi54bWxQSwUGAAAAAAMAAwC3AAAA/AIAAAAA&#10;" filled="f" stroked="f">
                  <v:textbox inset="0,0,0,0">
                    <w:txbxContent>
                      <w:p w14:paraId="77240802" w14:textId="77777777" w:rsidR="00B32EF2" w:rsidRDefault="00000000">
                        <w:r>
                          <w:rPr>
                            <w:rFonts w:ascii="Arial" w:eastAsia="Arial" w:hAnsi="Arial" w:cs="Arial"/>
                            <w:i/>
                            <w:sz w:val="18"/>
                          </w:rPr>
                          <w:t>6</w:t>
                        </w:r>
                      </w:p>
                    </w:txbxContent>
                  </v:textbox>
                </v:rect>
                <v:rect id="Rectangle 20411" o:spid="_x0000_s5152" style="position:absolute;left:-11882;top:19063;width:51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a2qxgAAAN4AAAAPAAAAZHJzL2Rvd25yZXYueG1sRI9Ba8JA&#10;FITvBf/D8oTe6iZSRFJXEUXMoRdtBI+P7DNJzb5dsqtJ++u7gtDjMDPfMIvVYFpxp843lhWkkwQE&#10;cWl1w5WC4mv3NgfhA7LG1jIp+CEPq+XoZYGZtj0f6H4MlYgQ9hkqqENwmZS+rMmgn1hHHL2L7QyG&#10;KLtK6g77CDetnCbJTBpsOC7U6GhTU3k93oyC85ZdvutlefnduM/vfN7ub8VJqdfxsP4AEWgI/+Fn&#10;O9cKpsl7msLjTrwCcvkHAAD//wMAUEsBAi0AFAAGAAgAAAAhANvh9svuAAAAhQEAABMAAAAAAAAA&#10;AAAAAAAAAAAAAFtDb250ZW50X1R5cGVzXS54bWxQSwECLQAUAAYACAAAACEAWvQsW78AAAAVAQAA&#10;CwAAAAAAAAAAAAAAAAAfAQAAX3JlbHMvLnJlbHNQSwECLQAUAAYACAAAACEApqGtqsYAAADeAAAA&#10;DwAAAAAAAAAAAAAAAAAHAgAAZHJzL2Rvd25yZXYueG1sUEsFBgAAAAADAAMAtwAAAPoCAAAAAA==&#10;" filled="f" stroked="f">
                  <v:textbox inset="0,0,0,0">
                    <w:txbxContent>
                      <w:p w14:paraId="05CCFCCB" w14:textId="77777777" w:rsidR="00B32EF2" w:rsidRDefault="00000000">
                        <w:r>
                          <w:rPr>
                            <w:rFonts w:ascii="Arial" w:eastAsia="Arial" w:hAnsi="Arial" w:cs="Arial"/>
                            <w:i/>
                            <w:sz w:val="18"/>
                          </w:rPr>
                          <w:t xml:space="preserve">nel termine stabilito, il giudice può condannarlo alla pena pecuniaria di cui </w:t>
                        </w:r>
                      </w:p>
                    </w:txbxContent>
                  </v:textbox>
                </v:rect>
                <v:rect id="Rectangle 20412" o:spid="_x0000_s5153" style="position:absolute;left:18547;top:17830;width:205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zPdxgAAAN4AAAAPAAAAZHJzL2Rvd25yZXYueG1sRI9Ba8JA&#10;FITvBf/D8oTe6sZQRFJXEUXMoRdtBI+P7DNJzb5dsqtJ++u7gtDjMDPfMIvVYFpxp843lhVMJwkI&#10;4tLqhisFxdfubQ7CB2SNrWVS8EMeVsvRywIzbXs+0P0YKhEh7DNUUIfgMil9WZNBP7GOOHoX2xkM&#10;UXaV1B32EW5amSbJTBpsOC7U6GhTU3k93oyC85ZdvutlefnduM/vfN7ub8VJqdfxsP4AEWgI/+Fn&#10;O9cK0uR9msLjTrwCcvkHAAD//wMAUEsBAi0AFAAGAAgAAAAhANvh9svuAAAAhQEAABMAAAAAAAAA&#10;AAAAAAAAAAAAAFtDb250ZW50X1R5cGVzXS54bWxQSwECLQAUAAYACAAAACEAWvQsW78AAAAVAQAA&#10;CwAAAAAAAAAAAAAAAAAfAQAAX3JlbHMvLnJlbHNQSwECLQAUAAYACAAAACEAVnMz3cYAAADeAAAA&#10;DwAAAAAAAAAAAAAAAAAHAgAAZHJzL2Rvd25yZXYueG1sUEsFBgAAAAADAAMAtwAAAPoCAAAAAA==&#10;" filled="f" stroked="f">
                  <v:textbox inset="0,0,0,0">
                    <w:txbxContent>
                      <w:p w14:paraId="4AEF7D81" w14:textId="77777777" w:rsidR="00B32EF2" w:rsidRDefault="00000000">
                        <w:r>
                          <w:rPr>
                            <w:rFonts w:ascii="Arial" w:eastAsia="Arial" w:hAnsi="Arial" w:cs="Arial"/>
                            <w:i/>
                            <w:sz w:val="18"/>
                          </w:rPr>
                          <w:t>all’articolo 255, primo comma.</w:t>
                        </w:r>
                      </w:p>
                    </w:txbxContent>
                  </v:textbox>
                </v:rect>
                <v:rect id="Rectangle 201757" o:spid="_x0000_s5154" style="position:absolute;left:26082;top:16596;width:50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UDCxwAAAN8AAAAPAAAAZHJzL2Rvd25yZXYueG1sRI9Ba8JA&#10;FITvgv9heUJvulGoSnQVUcQcvGgt9PjIPpNo9u2SXU3aX+8WCj0OM/MNs1x3phZPanxlWcF4lIAg&#10;zq2uuFBw+dgP5yB8QNZYWyYF3+Rhver3lphq2/KJnudQiAhhn6KCMgSXSunzkgz6kXXE0bvaxmCI&#10;simkbrCNcFPLSZJMpcGK40KJjrYl5ffzwyj42rHL9q3Mrz9bd7xl8/rwuHwq9TboNgsQgbrwH/5r&#10;Z1rBJBnP3mfw+yd+Abl6AQAA//8DAFBLAQItABQABgAIAAAAIQDb4fbL7gAAAIUBAAATAAAAAAAA&#10;AAAAAAAAAAAAAABbQ29udGVudF9UeXBlc10ueG1sUEsBAi0AFAAGAAgAAAAhAFr0LFu/AAAAFQEA&#10;AAsAAAAAAAAAAAAAAAAAHwEAAF9yZWxzLy5yZWxzUEsBAi0AFAAGAAgAAAAhAOtFQMLHAAAA3wAA&#10;AA8AAAAAAAAAAAAAAAAABwIAAGRycy9kb3ducmV2LnhtbFBLBQYAAAAAAwADALcAAAD7AgAAAAA=&#10;" filled="f" stroked="f">
                  <v:textbox inset="0,0,0,0">
                    <w:txbxContent>
                      <w:p w14:paraId="25FE7A8E" w14:textId="77777777" w:rsidR="00B32EF2" w:rsidRDefault="00000000">
                        <w:r>
                          <w:rPr>
                            <w:rFonts w:ascii="Arial" w:eastAsia="Arial" w:hAnsi="Arial" w:cs="Arial"/>
                            <w:i/>
                            <w:sz w:val="18"/>
                          </w:rPr>
                          <w:t>7</w:t>
                        </w:r>
                      </w:p>
                    </w:txbxContent>
                  </v:textbox>
                </v:rect>
                <v:rect id="Rectangle 201758" o:spid="_x0000_s5155" style="position:absolute;left:-11457;top:16596;width:500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tSwxQAAAN8AAAAPAAAAZHJzL2Rvd25yZXYueG1sRE/JasMw&#10;EL0X8g9iArnVcgJtg2s5hIRQH3ppFuhxsMZLa42EpcROv746FHp8vD3fTKYXNxp8Z1nBMklBEFdW&#10;d9woOJ8Oj2sQPiBr7C2Tgjt52BSzhxwzbUf+oNsxNCKGsM9QQRuCy6T0VUsGfWIdceRqOxgMEQ6N&#10;1AOOMdz0cpWmz9Jgx7GhRUe7lqrv49Uo+NyzKw+jrOqfnXv/Ktf92/V8UWoxn7avIAJN4V/85y61&#10;glW6fHmKg+Of+AVk8QsAAP//AwBQSwECLQAUAAYACAAAACEA2+H2y+4AAACFAQAAEwAAAAAAAAAA&#10;AAAAAAAAAAAAW0NvbnRlbnRfVHlwZXNdLnhtbFBLAQItABQABgAIAAAAIQBa9CxbvwAAABUBAAAL&#10;AAAAAAAAAAAAAAAAAB8BAABfcmVscy8ucmVsc1BLAQItABQABgAIAAAAIQCa2tSwxQAAAN8AAAAP&#10;AAAAAAAAAAAAAAAAAAcCAABkcnMvZG93bnJldi54bWxQSwUGAAAAAAMAAwC3AAAA+QIAAAAA&#10;" filled="f" stroked="f">
                  <v:textbox inset="0,0,0,0">
                    <w:txbxContent>
                      <w:p w14:paraId="3EFEB42A" w14:textId="77777777" w:rsidR="00B32EF2" w:rsidRDefault="00000000">
                        <w:r>
                          <w:rPr>
                            <w:rFonts w:ascii="Arial" w:eastAsia="Arial" w:hAnsi="Arial" w:cs="Arial"/>
                            <w:i/>
                            <w:sz w:val="18"/>
                          </w:rPr>
                          <w:t>. Quando la testimonianza ha ad oggetto documenti di spesa già deposita</w:t>
                        </w:r>
                      </w:p>
                    </w:txbxContent>
                  </v:textbox>
                </v:rect>
                <v:rect id="Rectangle 20414" o:spid="_x0000_s5156" style="position:absolute;left:975;top:1659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g4yxQAAAN4AAAAPAAAAZHJzL2Rvd25yZXYueG1sRI9Bi8Iw&#10;FITvgv8hPGFvmioiUo0iimwPXnQVPD6aZ1ttXkITbd1fv1lY2OMwM98wy3VnavGixleWFYxHCQji&#10;3OqKCwXnr/1wDsIHZI21ZVLwJg/rVb+3xFTblo/0OoVCRAj7FBWUIbhUSp+XZNCPrCOO3s02BkOU&#10;TSF1g22Em1pOkmQmDVYcF0p0tC0pf5yeRsF1xy7btzK/fW/d4Z7N68/n+aLUx6DbLEAE6sJ/+K+d&#10;aQWTZDqewu+deAXk6gcAAP//AwBQSwECLQAUAAYACAAAACEA2+H2y+4AAACFAQAAEwAAAAAAAAAA&#10;AAAAAAAAAAAAW0NvbnRlbnRfVHlwZXNdLnhtbFBLAQItABQABgAIAAAAIQBa9CxbvwAAABUBAAAL&#10;AAAAAAAAAAAAAAAAAB8BAABfcmVscy8ucmVsc1BLAQItABQABgAIAAAAIQC21g4yxQAAAN4AAAAP&#10;AAAAAAAAAAAAAAAAAAcCAABkcnMvZG93bnJldi54bWxQSwUGAAAAAAMAAwC3AAAA+QIAAAAA&#10;" filled="f" stroked="f">
                  <v:textbox inset="0,0,0,0">
                    <w:txbxContent>
                      <w:p w14:paraId="124BD952" w14:textId="77777777" w:rsidR="00B32EF2" w:rsidRDefault="00000000">
                        <w:r>
                          <w:rPr>
                            <w:rFonts w:ascii="Arial" w:eastAsia="Arial" w:hAnsi="Arial" w:cs="Arial"/>
                            <w:i/>
                            <w:sz w:val="18"/>
                          </w:rPr>
                          <w:t>-</w:t>
                        </w:r>
                      </w:p>
                    </w:txbxContent>
                  </v:textbox>
                </v:rect>
                <v:rect id="Rectangle 20415" o:spid="_x0000_s5157" style="position:absolute;left:-11888;top:15363;width:510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qupxgAAAN4AAAAPAAAAZHJzL2Rvd25yZXYueG1sRI9Ba8JA&#10;FITvBf/D8gre6kapRaKrFEWagxetBY+P7DOJZt8u2dVEf70rFDwOM/MNM1t0phZXanxlWcFwkIAg&#10;zq2uuFCw/11/TED4gKyxtkwKbuRhMe+9zTDVtuUtXXehEBHCPkUFZQguldLnJRn0A+uIo3e0jcEQ&#10;ZVNI3WAb4aaWoyT5kgYrjgslOlqWlJ93F6PgsGKXrVuZH+9Ltzllk/rnsv9Tqv/efU9BBOrCK/zf&#10;zrSCUfI5HMPzTrwCcv4AAAD//wMAUEsBAi0AFAAGAAgAAAAhANvh9svuAAAAhQEAABMAAAAAAAAA&#10;AAAAAAAAAAAAAFtDb250ZW50X1R5cGVzXS54bWxQSwECLQAUAAYACAAAACEAWvQsW78AAAAVAQAA&#10;CwAAAAAAAAAAAAAAAAAfAQAAX3JlbHMvLnJlbHNQSwECLQAUAAYACAAAACEA2ZqrqcYAAADeAAAA&#10;DwAAAAAAAAAAAAAAAAAHAgAAZHJzL2Rvd25yZXYueG1sUEsFBgAAAAADAAMAtwAAAPoCAAAAAA==&#10;" filled="f" stroked="f">
                  <v:textbox inset="0,0,0,0">
                    <w:txbxContent>
                      <w:p w14:paraId="6F864953" w14:textId="77777777" w:rsidR="00B32EF2" w:rsidRDefault="00000000">
                        <w:r>
                          <w:rPr>
                            <w:rFonts w:ascii="Arial" w:eastAsia="Arial" w:hAnsi="Arial" w:cs="Arial"/>
                            <w:i/>
                            <w:sz w:val="18"/>
                          </w:rPr>
                          <w:t xml:space="preserve">ti dalle parti, essa può essere resa mediante dichiarazione sottoscritta dal </w:t>
                        </w:r>
                      </w:p>
                    </w:txbxContent>
                  </v:textbox>
                </v:rect>
                <v:rect id="Rectangle 20416" o:spid="_x0000_s5158" style="position:absolute;left:-11884;top:14130;width:510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DXexQAAAN4AAAAPAAAAZHJzL2Rvd25yZXYueG1sRI9Bi8Iw&#10;FITvC/6H8ARva6osItUoosj2sBddBY+P5tlWm5fQRFv31xtB2OMwM98w82VnanGnxleWFYyGCQji&#10;3OqKCwWH3+3nFIQPyBpry6TgQR6Wi97HHFNtW97RfR8KESHsU1RQhuBSKX1ekkE/tI44emfbGAxR&#10;NoXUDbYRbmo5TpKJNFhxXCjR0bqk/Lq/GQWnDbts28r8/Ld2P5dsWn/fDkelBv1uNQMRqAv/4Xc7&#10;0wrGyddoAq878QrIxRMAAP//AwBQSwECLQAUAAYACAAAACEA2+H2y+4AAACFAQAAEwAAAAAAAAAA&#10;AAAAAAAAAAAAW0NvbnRlbnRfVHlwZXNdLnhtbFBLAQItABQABgAIAAAAIQBa9CxbvwAAABUBAAAL&#10;AAAAAAAAAAAAAAAAAB8BAABfcmVscy8ucmVsc1BLAQItABQABgAIAAAAIQApSDXexQAAAN4AAAAP&#10;AAAAAAAAAAAAAAAAAAcCAABkcnMvZG93bnJldi54bWxQSwUGAAAAAAMAAwC3AAAA+QIAAAAA&#10;" filled="f" stroked="f">
                  <v:textbox inset="0,0,0,0">
                    <w:txbxContent>
                      <w:p w14:paraId="649774F4" w14:textId="77777777" w:rsidR="00B32EF2" w:rsidRDefault="00000000">
                        <w:r>
                          <w:rPr>
                            <w:rFonts w:ascii="Arial" w:eastAsia="Arial" w:hAnsi="Arial" w:cs="Arial"/>
                            <w:i/>
                            <w:sz w:val="18"/>
                          </w:rPr>
                          <w:t xml:space="preserve">testimone e trasmessa al difensore della parte nel cui interesse la prova è </w:t>
                        </w:r>
                      </w:p>
                    </w:txbxContent>
                  </v:textbox>
                </v:rect>
                <v:rect id="Rectangle 20417" o:spid="_x0000_s5159" style="position:absolute;left:-7593;top:12896;width:467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JBFxgAAAN4AAAAPAAAAZHJzL2Rvd25yZXYueG1sRI9Ba8JA&#10;FITvBf/D8gre6kYpVqKrFEWagxetBY+P7DOJZt8u2dVEf70rFDwOM/MNM1t0phZXanxlWcFwkIAg&#10;zq2uuFCw/11/TED4gKyxtkwKbuRhMe+9zTDVtuUtXXehEBHCPkUFZQguldLnJRn0A+uIo3e0jcEQ&#10;ZVNI3WAb4aaWoyQZS4MVx4USHS1Lys+7i1FwWLHL1q3Mj/el25yySf1z2f8p1X/vvqcgAnXhFf5v&#10;Z1rBKPkcfsHzTrwCcv4AAAD//wMAUEsBAi0AFAAGAAgAAAAhANvh9svuAAAAhQEAABMAAAAAAAAA&#10;AAAAAAAAAAAAAFtDb250ZW50X1R5cGVzXS54bWxQSwECLQAUAAYACAAAACEAWvQsW78AAAAVAQAA&#10;CwAAAAAAAAAAAAAAAAAfAQAAX3JlbHMvLnJlbHNQSwECLQAUAAYACAAAACEARgSQRcYAAADeAAAA&#10;DwAAAAAAAAAAAAAAAAAHAgAAZHJzL2Rvd25yZXYueG1sUEsFBgAAAAADAAMAtwAAAPoCAAAAAA==&#10;" filled="f" stroked="f">
                  <v:textbox inset="0,0,0,0">
                    <w:txbxContent>
                      <w:p w14:paraId="2D64C7EE" w14:textId="77777777" w:rsidR="00B32EF2" w:rsidRDefault="00000000">
                        <w:r>
                          <w:rPr>
                            <w:rFonts w:ascii="Arial" w:eastAsia="Arial" w:hAnsi="Arial" w:cs="Arial"/>
                            <w:i/>
                            <w:sz w:val="18"/>
                          </w:rPr>
                          <w:t>stata ammessa, senza il ricorso al modello di cui al secondo comma.</w:t>
                        </w:r>
                      </w:p>
                    </w:txbxContent>
                  </v:textbox>
                </v:rect>
                <v:rect id="Rectangle 201754" o:spid="_x0000_s5160" style="position:absolute;left:25832;top:11663;width:510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961yAAAAN8AAAAPAAAAZHJzL2Rvd25yZXYueG1sRI9Pa8JA&#10;FMTvgt9heUJvulGqldRVikXMoRf/FHp8ZJ9J2uzbJbua6KfvCoLHYWZ+wyxWnanFhRpfWVYwHiUg&#10;iHOrKy4UHA+b4RyED8gaa8uk4EoeVst+b4Gpti3v6LIPhYgQ9ikqKENwqZQ+L8mgH1lHHL2TbQyG&#10;KJtC6gbbCDe1nCTJTBqsOC6U6GhdUv63PxsFP5/ssk0r89Nt7b5+s3m9PR+/lXoZdB/vIAJ14Rl+&#10;tDOtYJKM36avcP8Tv4Bc/gMAAP//AwBQSwECLQAUAAYACAAAACEA2+H2y+4AAACFAQAAEwAAAAAA&#10;AAAAAAAAAAAAAAAAW0NvbnRlbnRfVHlwZXNdLnhtbFBLAQItABQABgAIAAAAIQBa9CxbvwAAABUB&#10;AAALAAAAAAAAAAAAAAAAAB8BAABfcmVscy8ucmVsc1BLAQItABQABgAIAAAAIQAbl961yAAAAN8A&#10;AAAPAAAAAAAAAAAAAAAAAAcCAABkcnMvZG93bnJldi54bWxQSwUGAAAAAAMAAwC3AAAA/AIAAAAA&#10;" filled="f" stroked="f">
                  <v:textbox inset="0,0,0,0">
                    <w:txbxContent>
                      <w:p w14:paraId="300B94CC" w14:textId="77777777" w:rsidR="00B32EF2" w:rsidRDefault="00000000">
                        <w:r>
                          <w:rPr>
                            <w:rFonts w:ascii="Arial" w:eastAsia="Arial" w:hAnsi="Arial" w:cs="Arial"/>
                            <w:i/>
                            <w:sz w:val="18"/>
                          </w:rPr>
                          <w:t>8</w:t>
                        </w:r>
                      </w:p>
                    </w:txbxContent>
                  </v:textbox>
                </v:rect>
                <v:rect id="Rectangle 201755" o:spid="_x0000_s5161" style="position:absolute;left:-12548;top:11663;width:510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3suxwAAAN8AAAAPAAAAZHJzL2Rvd25yZXYueG1sRI9Ba8JA&#10;FITvgv9heUJvulGwSnQVUcQcvNRa6PGRfSbR7Nslu5rUX98tCD0OM/MNs1x3phYPanxlWcF4lIAg&#10;zq2uuFBw/twP5yB8QNZYWyYFP+Rhver3lphq2/IHPU6hEBHCPkUFZQguldLnJRn0I+uIo3exjcEQ&#10;ZVNI3WAb4aaWkyR5lwYrjgslOtqWlN9Od6Pge8cu27cyvzy37njN5vXhfv5S6m3QbRYgAnXhP/xq&#10;Z1rBJBnPplP4+xO/gFz9AgAA//8DAFBLAQItABQABgAIAAAAIQDb4fbL7gAAAIUBAAATAAAAAAAA&#10;AAAAAAAAAAAAAABbQ29udGVudF9UeXBlc10ueG1sUEsBAi0AFAAGAAgAAAAhAFr0LFu/AAAAFQEA&#10;AAsAAAAAAAAAAAAAAAAAHwEAAF9yZWxzLy5yZWxzUEsBAi0AFAAGAAgAAAAhAHTbey7HAAAA3wAA&#10;AA8AAAAAAAAAAAAAAAAABwIAAGRycy9kb3ducmV2LnhtbFBLBQYAAAAAAwADALcAAAD7AgAAAAA=&#10;" filled="f" stroked="f">
                  <v:textbox inset="0,0,0,0">
                    <w:txbxContent>
                      <w:p w14:paraId="1B5A044A" w14:textId="77777777" w:rsidR="00B32EF2" w:rsidRDefault="00000000">
                        <w:r>
                          <w:rPr>
                            <w:rFonts w:ascii="Arial" w:eastAsia="Arial" w:hAnsi="Arial" w:cs="Arial"/>
                            <w:i/>
                            <w:sz w:val="18"/>
                          </w:rPr>
                          <w:t xml:space="preserve">. Il giudice, esaminate le risposte o le dichiarazioni, può sempre disporre </w:t>
                        </w:r>
                      </w:p>
                    </w:txbxContent>
                  </v:textbox>
                </v:rect>
                <v:rect id="Rectangle 20419" o:spid="_x0000_s5162" style="position:absolute;left:-11911;top:10430;width:511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6GsxwAAAN4AAAAPAAAAZHJzL2Rvd25yZXYueG1sRI9Pi8Iw&#10;FMTvC36H8ARva6osi1ajiCLbg5f1D3h8NM+22ryEJtrqp98sLOxxmJnfMPNlZ2rxoMZXlhWMhgkI&#10;4tzqigsFx8P2fQLCB2SNtWVS8CQPy0XvbY6pti1/02MfChEh7FNUUIbgUil9XpJBP7SOOHoX2xgM&#10;UTaF1A22EW5qOU6ST2mw4rhQoqN1SfltfzcKzht22baV+eW1drtrNqm/7seTUoN+t5qBCNSF//Bf&#10;O9MKxsnHaAq/d+IVkIsfAAAA//8DAFBLAQItABQABgAIAAAAIQDb4fbL7gAAAIUBAAATAAAAAAAA&#10;AAAAAAAAAAAAAABbQ29udGVudF9UeXBlc10ueG1sUEsBAi0AFAAGAAgAAAAhAFr0LFu/AAAAFQEA&#10;AAsAAAAAAAAAAAAAAAAAHwEAAF9yZWxzLy5yZWxzUEsBAi0AFAAGAAgAAAAhAFjXoazHAAAA3gAA&#10;AA8AAAAAAAAAAAAAAAAABwIAAGRycy9kb3ducmV2LnhtbFBLBQYAAAAAAwADALcAAAD7AgAAAAA=&#10;" filled="f" stroked="f">
                  <v:textbox inset="0,0,0,0">
                    <w:txbxContent>
                      <w:p w14:paraId="697551E3" w14:textId="77777777" w:rsidR="00B32EF2" w:rsidRDefault="00000000">
                        <w:r>
                          <w:rPr>
                            <w:rFonts w:ascii="Arial" w:eastAsia="Arial" w:hAnsi="Arial" w:cs="Arial"/>
                            <w:i/>
                            <w:sz w:val="18"/>
                          </w:rPr>
                          <w:t xml:space="preserve">che il testimone sia chiamato a deporre davanti a lui o davanti al giudice </w:t>
                        </w:r>
                      </w:p>
                    </w:txbxContent>
                  </v:textbox>
                </v:rect>
                <v:rect id="Rectangle 20420" o:spid="_x0000_s5163" style="position:absolute;left:32816;top:9197;width:632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cKMxAAAAN4AAAAPAAAAZHJzL2Rvd25yZXYueG1sRI/LisIw&#10;FIb3wrxDOAOz03SKiFSjiIPYxWy8gctDc2yrzUloou3M05uF4PLnv/HNl71pxINaX1tW8D1KQBAX&#10;VtdcKjgeNsMpCB+QNTaWScEfeVguPgZzzLTteEePfShFHGGfoYIqBJdJ6YuKDPqRdcTRu9jWYIiy&#10;LaVusYvjppFpkkykwZrjQ4WO1hUVt/3dKDj/sMs3nSwu/2v3e82nzfZ+PCn19dmvZiAC9eEdfrVz&#10;rSBNxmkEiDgRBeTiCQAA//8DAFBLAQItABQABgAIAAAAIQDb4fbL7gAAAIUBAAATAAAAAAAAAAAA&#10;AAAAAAAAAABbQ29udGVudF9UeXBlc10ueG1sUEsBAi0AFAAGAAgAAAAhAFr0LFu/AAAAFQEAAAsA&#10;AAAAAAAAAAAAAAAAHwEAAF9yZWxzLy5yZWxzUEsBAi0AFAAGAAgAAAAhAAeBwozEAAAA3gAAAA8A&#10;AAAAAAAAAAAAAAAABwIAAGRycy9kb3ducmV2LnhtbFBLBQYAAAAAAwADALcAAAD4AgAAAAA=&#10;" filled="f" stroked="f">
                  <v:textbox inset="0,0,0,0">
                    <w:txbxContent>
                      <w:p w14:paraId="4D77AD68" w14:textId="77777777" w:rsidR="00B32EF2" w:rsidRDefault="00000000">
                        <w:r>
                          <w:rPr>
                            <w:rFonts w:ascii="Arial" w:eastAsia="Arial" w:hAnsi="Arial" w:cs="Arial"/>
                            <w:i/>
                            <w:sz w:val="18"/>
                          </w:rPr>
                          <w:t>delegato.</w:t>
                        </w:r>
                      </w:p>
                    </w:txbxContent>
                  </v:textbox>
                </v:rect>
                <v:rect id="Rectangle 20421" o:spid="_x0000_s5164" style="position:absolute;left:-6473;top:7963;width:456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WcXxgAAAN4AAAAPAAAAZHJzL2Rvd25yZXYueG1sRI9Ba8JA&#10;FITvBf/D8oTe6sZQRFJXEUXMoRdtBI+P7DNJzb5dsqtJ++u7gtDjMDPfMIvVYFpxp843lhVMJwkI&#10;4tLqhisFxdfubQ7CB2SNrWVS8EMeVsvRywIzbXs+0P0YKhEh7DNUUIfgMil9WZNBP7GOOHoX2xkM&#10;UXaV1B32EW5amSbJTBpsOC7U6GhTU3k93oyC85ZdvutlefnduM/vfN7ub8VJqdfxsP4AEWgI/+Fn&#10;O9cK0uQ9ncLjTrwCcvkHAAD//wMAUEsBAi0AFAAGAAgAAAAhANvh9svuAAAAhQEAABMAAAAAAAAA&#10;AAAAAAAAAAAAAFtDb250ZW50X1R5cGVzXS54bWxQSwECLQAUAAYACAAAACEAWvQsW78AAAAVAQAA&#10;CwAAAAAAAAAAAAAAAAAfAQAAX3JlbHMvLnJlbHNQSwECLQAUAAYACAAAACEAaM1nF8YAAADeAAAA&#10;DwAAAAAAAAAAAAAAAAAHAgAAZHJzL2Rvd25yZXYueG1sUEsFBgAAAAADAAMAtwAAAPoCAAAAAA==&#10;" filled="f" stroked="f">
                  <v:textbox inset="0,0,0,0">
                    <w:txbxContent>
                      <w:p w14:paraId="6E5DA506" w14:textId="77777777" w:rsidR="00B32EF2" w:rsidRDefault="00000000">
                        <w:r>
                          <w:rPr>
                            <w:rFonts w:ascii="Arial" w:eastAsia="Arial" w:hAnsi="Arial" w:cs="Arial"/>
                            <w:i/>
                            <w:sz w:val="18"/>
                          </w:rPr>
                          <w:t>art. 103-bis disposizioni di attuazione del codice di procedura civile</w:t>
                        </w:r>
                      </w:p>
                    </w:txbxContent>
                  </v:textbox>
                </v:rect>
                <v:rect id="Rectangle 201751" o:spid="_x0000_s5165" style="position:absolute;left:25791;top:6730;width:512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H0tyAAAAN8AAAAPAAAAZHJzL2Rvd25yZXYueG1sRI9Pa8JA&#10;FMTvgt9heYI33USoldRVRJHm0Ev9Az0+ss8kbfbtkl1N7Kd3CwWPw8z8hlmue9OIG7W+tqwgnSYg&#10;iAuray4VnI77yQKED8gaG8uk4E4e1qvhYImZth1/0u0QShEh7DNUUIXgMil9UZFBP7WOOHoX2xoM&#10;Ubal1C12EW4aOUuSuTRYc1yo0NG2ouLncDUKvnbs8n0ni8vv1n1854vm/Xo6KzUe9Zs3EIH68Az/&#10;t3OtYJakry8p/P2JX0CuHgAAAP//AwBQSwECLQAUAAYACAAAACEA2+H2y+4AAACFAQAAEwAAAAAA&#10;AAAAAAAAAAAAAAAAW0NvbnRlbnRfVHlwZXNdLnhtbFBLAQItABQABgAIAAAAIQBa9CxbvwAAABUB&#10;AAALAAAAAAAAAAAAAAAAAB8BAABfcmVscy8ucmVsc1BLAQItABQABgAIAAAAIQAL4H0tyAAAAN8A&#10;AAAPAAAAAAAAAAAAAAAAAAcCAABkcnMvZG93bnJldi54bWxQSwUGAAAAAAMAAwC3AAAA/AIAAAAA&#10;" filled="f" stroked="f">
                  <v:textbox inset="0,0,0,0">
                    <w:txbxContent>
                      <w:p w14:paraId="64AC52F6" w14:textId="77777777" w:rsidR="00B32EF2" w:rsidRDefault="00000000">
                        <w:r>
                          <w:rPr>
                            <w:rFonts w:ascii="Arial" w:eastAsia="Arial" w:hAnsi="Arial" w:cs="Arial"/>
                            <w:i/>
                            <w:sz w:val="18"/>
                          </w:rPr>
                          <w:t>1</w:t>
                        </w:r>
                      </w:p>
                    </w:txbxContent>
                  </v:textbox>
                </v:rect>
                <v:rect id="Rectangle 201752" o:spid="_x0000_s5166" style="position:absolute;left:-12516;top:6730;width:512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uNayAAAAN8AAAAPAAAAZHJzL2Rvd25yZXYueG1sRI9Pa8JA&#10;FMTvgt9heYI33RioldRVRJHm0Ev9Az0+ss8kbfbtkl1N7Kd3CwWPw8z8hlmue9OIG7W+tqxgNk1A&#10;EBdW11wqOB33kwUIH5A1NpZJwZ08rFfDwRIzbTv+pNshlCJC2GeooArBZVL6oiKDfmodcfQutjUY&#10;omxLqVvsItw0Mk2SuTRYc1yo0NG2ouLncDUKvnbs8n0ni8vv1n1854vm/Xo6KzUe9Zs3EIH68Az/&#10;t3OtIE1mry8p/P2JX0CuHgAAAP//AwBQSwECLQAUAAYACAAAACEA2+H2y+4AAACFAQAAEwAAAAAA&#10;AAAAAAAAAAAAAAAAW0NvbnRlbnRfVHlwZXNdLnhtbFBLAQItABQABgAIAAAAIQBa9CxbvwAAABUB&#10;AAALAAAAAAAAAAAAAAAAAB8BAABfcmVscy8ucmVsc1BLAQItABQABgAIAAAAIQD7MuNayAAAAN8A&#10;AAAPAAAAAAAAAAAAAAAAAAcCAABkcnMvZG93bnJldi54bWxQSwUGAAAAAAMAAwC3AAAA/AIAAAAA&#10;" filled="f" stroked="f">
                  <v:textbox inset="0,0,0,0">
                    <w:txbxContent>
                      <w:p w14:paraId="52A85772" w14:textId="77777777" w:rsidR="00B32EF2" w:rsidRDefault="00000000">
                        <w:r>
                          <w:rPr>
                            <w:rFonts w:ascii="Arial" w:eastAsia="Arial" w:hAnsi="Arial" w:cs="Arial"/>
                            <w:i/>
                            <w:sz w:val="18"/>
                          </w:rPr>
                          <w:t xml:space="preserve">. La testimonianza scritta è resa su di un modulo conforme al modello </w:t>
                        </w:r>
                      </w:p>
                    </w:txbxContent>
                  </v:textbox>
                </v:rect>
                <v:rect id="Rectangle 20423" o:spid="_x0000_s5167" style="position:absolute;left:-11904;top:5497;width:511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1z7xgAAAN4AAAAPAAAAZHJzL2Rvd25yZXYueG1sRI9Ba8JA&#10;FITvBf/D8gRvdWNaikRXEUWag5daBY+P7DOJZt8u2dVEf323UOhxmJlvmPmyN424U+trywom4wQE&#10;cWF1zaWCw/f2dQrCB2SNjWVS8CAPy8XgZY6Zth1/0X0fShEh7DNUUIXgMil9UZFBP7aOOHpn2xoM&#10;Ubal1C12EW4amSbJhzRYc1yo0NG6ouK6vxkFpw27fNvJ4vxcu90lnzaft8NRqdGwX81ABOrDf/iv&#10;nWsFafKevsHvnXgF5OIHAAD//wMAUEsBAi0AFAAGAAgAAAAhANvh9svuAAAAhQEAABMAAAAAAAAA&#10;AAAAAAAAAAAAAFtDb250ZW50X1R5cGVzXS54bWxQSwECLQAUAAYACAAAACEAWvQsW78AAAAVAQAA&#10;CwAAAAAAAAAAAAAAAAAfAQAAX3JlbHMvLnJlbHNQSwECLQAUAAYACAAAACEA91Nc+8YAAADeAAAA&#10;DwAAAAAAAAAAAAAAAAAHAgAAZHJzL2Rvd25yZXYueG1sUEsFBgAAAAADAAMAtwAAAPoCAAAAAA==&#10;" filled="f" stroked="f">
                  <v:textbox inset="0,0,0,0">
                    <w:txbxContent>
                      <w:p w14:paraId="7FF13919" w14:textId="77777777" w:rsidR="00B32EF2" w:rsidRDefault="00000000">
                        <w:r>
                          <w:rPr>
                            <w:rFonts w:ascii="Arial" w:eastAsia="Arial" w:hAnsi="Arial" w:cs="Arial"/>
                            <w:i/>
                            <w:sz w:val="18"/>
                          </w:rPr>
                          <w:t xml:space="preserve">approvato con decreto del Ministro della giustizia, che individua anche le </w:t>
                        </w:r>
                      </w:p>
                    </w:txbxContent>
                  </v:textbox>
                </v:rect>
                <v:shape id="Shape 20424" o:spid="_x0000_s5168" style="position:absolute;left:317;top:4731;width:39600;height:42443;visibility:visible;mso-wrap-style:square;v-text-anchor:top" coordsize="3960000,424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E9BxgAAAN4AAAAPAAAAZHJzL2Rvd25yZXYueG1sRI9Ba8JA&#10;FITvhf6H5RW8lLppDEWiq0ihIJ7U2Hp9ZJ9JaPZt2F01+utdQfA4zMw3zHTem1acyPnGsoLPYQKC&#10;uLS64UrBrvj5GIPwAVlja5kUXMjDfPb6MsVc2zNv6LQNlYgQ9jkqqEPocil9WZNBP7QdcfQO1hkM&#10;UbpKaofnCDetTJPkSxpsOC7U2NF3TeX/9mgU/G2KBbnsiu2oeN8f1r/FeBWuSg3e+sUERKA+PMOP&#10;9lIrSJMszeB+J14BObsBAAD//wMAUEsBAi0AFAAGAAgAAAAhANvh9svuAAAAhQEAABMAAAAAAAAA&#10;AAAAAAAAAAAAAFtDb250ZW50X1R5cGVzXS54bWxQSwECLQAUAAYACAAAACEAWvQsW78AAAAVAQAA&#10;CwAAAAAAAAAAAAAAAAAfAQAAX3JlbHMvLnJlbHNQSwECLQAUAAYACAAAACEANdhPQcYAAADeAAAA&#10;DwAAAAAAAAAAAAAAAAAHAgAAZHJzL2Rvd25yZXYueG1sUEsFBgAAAAADAAMAtwAAAPoCAAAAAA==&#10;" path="m,4244302r3960000,l3960000,,,,,4244302xe" filled="f" strokeweight="1pt">
                  <v:stroke miterlimit="1" joinstyle="miter"/>
                  <v:path arrowok="t" textboxrect="0,0,3960000,4244302"/>
                </v:shape>
                <w10:anchorlock/>
              </v:group>
            </w:pict>
          </mc:Fallback>
        </mc:AlternateContent>
      </w:r>
    </w:p>
    <w:p w14:paraId="37A8F4DF" w14:textId="77777777" w:rsidR="00B32EF2" w:rsidRDefault="00000000">
      <w:pPr>
        <w:spacing w:after="0"/>
        <w:ind w:left="-356" w:right="-306"/>
      </w:pPr>
      <w:r>
        <w:rPr>
          <w:noProof/>
        </w:rPr>
        <w:lastRenderedPageBreak/>
        <mc:AlternateContent>
          <mc:Choice Requires="wpg">
            <w:drawing>
              <wp:inline distT="0" distB="0" distL="0" distR="0" wp14:anchorId="52007071" wp14:editId="75E68374">
                <wp:extent cx="3991882" cy="6256511"/>
                <wp:effectExtent l="0" t="0" r="0" b="0"/>
                <wp:docPr id="201917" name="Group 201917"/>
                <wp:cNvGraphicFramePr/>
                <a:graphic xmlns:a="http://schemas.openxmlformats.org/drawingml/2006/main">
                  <a:graphicData uri="http://schemas.microsoft.com/office/word/2010/wordprocessingGroup">
                    <wpg:wgp>
                      <wpg:cNvGrpSpPr/>
                      <wpg:grpSpPr>
                        <a:xfrm>
                          <a:off x="0" y="0"/>
                          <a:ext cx="3991882" cy="6256511"/>
                          <a:chOff x="0" y="0"/>
                          <a:chExt cx="3991882" cy="6256511"/>
                        </a:xfrm>
                      </wpg:grpSpPr>
                      <wps:wsp>
                        <wps:cNvPr id="20449" name="Rectangle 20449"/>
                        <wps:cNvSpPr/>
                        <wps:spPr>
                          <a:xfrm rot="-10799999">
                            <a:off x="1900568" y="-62190"/>
                            <a:ext cx="178369" cy="250646"/>
                          </a:xfrm>
                          <a:prstGeom prst="rect">
                            <a:avLst/>
                          </a:prstGeom>
                          <a:ln>
                            <a:noFill/>
                          </a:ln>
                        </wps:spPr>
                        <wps:txbx>
                          <w:txbxContent>
                            <w:p w14:paraId="7E6F4CC9" w14:textId="77777777" w:rsidR="00B32EF2" w:rsidRDefault="00000000">
                              <w:r>
                                <w:rPr>
                                  <w:rFonts w:ascii="Times New Roman" w:eastAsia="Times New Roman" w:hAnsi="Times New Roman" w:cs="Times New Roman"/>
                                </w:rPr>
                                <w:t>43</w:t>
                              </w:r>
                            </w:p>
                          </w:txbxContent>
                        </wps:txbx>
                        <wps:bodyPr horzOverflow="overflow" vert="horz" lIns="0" tIns="0" rIns="0" bIns="0" rtlCol="0">
                          <a:noAutofit/>
                        </wps:bodyPr>
                      </wps:wsp>
                      <wps:wsp>
                        <wps:cNvPr id="20450" name="Rectangle 20450"/>
                        <wps:cNvSpPr/>
                        <wps:spPr>
                          <a:xfrm rot="-10799999">
                            <a:off x="1507547" y="4146385"/>
                            <a:ext cx="809349" cy="142889"/>
                          </a:xfrm>
                          <a:prstGeom prst="rect">
                            <a:avLst/>
                          </a:prstGeom>
                          <a:ln>
                            <a:noFill/>
                          </a:ln>
                        </wps:spPr>
                        <wps:txbx>
                          <w:txbxContent>
                            <w:p w14:paraId="01C78ED7" w14:textId="77777777" w:rsidR="00B32EF2" w:rsidRDefault="00000000">
                              <w:r>
                                <w:rPr>
                                  <w:rFonts w:ascii="Arial" w:eastAsia="Arial" w:hAnsi="Arial" w:cs="Arial"/>
                                  <w:b/>
                                  <w:sz w:val="18"/>
                                </w:rPr>
                                <w:t>Articolo 52</w:t>
                              </w:r>
                            </w:p>
                          </w:txbxContent>
                        </wps:txbx>
                        <wps:bodyPr horzOverflow="overflow" vert="horz" lIns="0" tIns="0" rIns="0" bIns="0" rtlCol="0">
                          <a:noAutofit/>
                        </wps:bodyPr>
                      </wps:wsp>
                      <wps:wsp>
                        <wps:cNvPr id="201773" name="Rectangle 201773"/>
                        <wps:cNvSpPr/>
                        <wps:spPr>
                          <a:xfrm rot="-10799999">
                            <a:off x="2211108" y="4023056"/>
                            <a:ext cx="1856715" cy="142889"/>
                          </a:xfrm>
                          <a:prstGeom prst="rect">
                            <a:avLst/>
                          </a:prstGeom>
                          <a:ln>
                            <a:noFill/>
                          </a:ln>
                        </wps:spPr>
                        <wps:txbx>
                          <w:txbxContent>
                            <w:p w14:paraId="4F00B82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774" name="Rectangle 201774"/>
                        <wps:cNvSpPr/>
                        <wps:spPr>
                          <a:xfrm rot="-10799999">
                            <a:off x="-144522" y="4023056"/>
                            <a:ext cx="1856715" cy="142889"/>
                          </a:xfrm>
                          <a:prstGeom prst="rect">
                            <a:avLst/>
                          </a:prstGeom>
                          <a:ln>
                            <a:noFill/>
                          </a:ln>
                        </wps:spPr>
                        <wps:txbx>
                          <w:txbxContent>
                            <w:p w14:paraId="7F38F259"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775" name="Rectangle 201775"/>
                        <wps:cNvSpPr/>
                        <wps:spPr>
                          <a:xfrm rot="-10799999">
                            <a:off x="1216344" y="4023056"/>
                            <a:ext cx="1856715" cy="142889"/>
                          </a:xfrm>
                          <a:prstGeom prst="rect">
                            <a:avLst/>
                          </a:prstGeom>
                          <a:ln>
                            <a:noFill/>
                          </a:ln>
                        </wps:spPr>
                        <wps:txbx>
                          <w:txbxContent>
                            <w:p w14:paraId="57B166B5" w14:textId="77777777" w:rsidR="00B32EF2" w:rsidRDefault="00000000">
                              <w:r>
                                <w:rPr>
                                  <w:rFonts w:ascii="Arial" w:eastAsia="Arial" w:hAnsi="Arial" w:cs="Arial"/>
                                  <w:i/>
                                  <w:sz w:val="18"/>
                                </w:rPr>
                                <w:t xml:space="preserve">articolo 7 D.lgs. n. </w:t>
                              </w:r>
                            </w:p>
                          </w:txbxContent>
                        </wps:txbx>
                        <wps:bodyPr horzOverflow="overflow" vert="horz" lIns="0" tIns="0" rIns="0" bIns="0" rtlCol="0">
                          <a:noAutofit/>
                        </wps:bodyPr>
                      </wps:wsp>
                      <wps:wsp>
                        <wps:cNvPr id="20452" name="Rectangle 20452"/>
                        <wps:cNvSpPr/>
                        <wps:spPr>
                          <a:xfrm rot="-10799999">
                            <a:off x="-979483" y="3899726"/>
                            <a:ext cx="4767879" cy="142889"/>
                          </a:xfrm>
                          <a:prstGeom prst="rect">
                            <a:avLst/>
                          </a:prstGeom>
                          <a:ln>
                            <a:noFill/>
                          </a:ln>
                        </wps:spPr>
                        <wps:txbx>
                          <w:txbxContent>
                            <w:p w14:paraId="54F0FB7C" w14:textId="77777777" w:rsidR="00B32EF2" w:rsidRDefault="00000000">
                              <w:r>
                                <w:rPr>
                                  <w:rFonts w:ascii="Arial" w:eastAsia="Arial" w:hAnsi="Arial" w:cs="Arial"/>
                                  <w:b/>
                                  <w:sz w:val="18"/>
                                </w:rPr>
                                <w:t xml:space="preserve">Poteri delle corti di giustizia tributaria di primo e secondo grado </w:t>
                              </w:r>
                            </w:p>
                          </w:txbxContent>
                        </wps:txbx>
                        <wps:bodyPr horzOverflow="overflow" vert="horz" lIns="0" tIns="0" rIns="0" bIns="0" rtlCol="0">
                          <a:noAutofit/>
                        </wps:bodyPr>
                      </wps:wsp>
                      <wps:wsp>
                        <wps:cNvPr id="201771" name="Rectangle 201771"/>
                        <wps:cNvSpPr/>
                        <wps:spPr>
                          <a:xfrm rot="-10799999">
                            <a:off x="2611049" y="3776397"/>
                            <a:ext cx="5308914" cy="142889"/>
                          </a:xfrm>
                          <a:prstGeom prst="rect">
                            <a:avLst/>
                          </a:prstGeom>
                          <a:ln>
                            <a:noFill/>
                          </a:ln>
                        </wps:spPr>
                        <wps:txbx>
                          <w:txbxContent>
                            <w:p w14:paraId="7F7A7EBF"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772" name="Rectangle 201772"/>
                        <wps:cNvSpPr/>
                        <wps:spPr>
                          <a:xfrm rot="-10799999">
                            <a:off x="-1376249" y="3776397"/>
                            <a:ext cx="5308914" cy="142889"/>
                          </a:xfrm>
                          <a:prstGeom prst="rect">
                            <a:avLst/>
                          </a:prstGeom>
                          <a:ln>
                            <a:noFill/>
                          </a:ln>
                        </wps:spPr>
                        <wps:txbx>
                          <w:txbxContent>
                            <w:p w14:paraId="2D2399A5" w14:textId="77777777" w:rsidR="00B32EF2" w:rsidRDefault="00000000">
                              <w:r>
                                <w:rPr>
                                  <w:rFonts w:ascii="Arial" w:eastAsia="Arial" w:hAnsi="Arial" w:cs="Arial"/>
                                  <w:sz w:val="18"/>
                                </w:rPr>
                                <w:t xml:space="preserve">. Le corti di giustizia tributaria di primo e secondo grado, ai fini istruttori e nei </w:t>
                              </w:r>
                            </w:p>
                          </w:txbxContent>
                        </wps:txbx>
                        <wps:bodyPr horzOverflow="overflow" vert="horz" lIns="0" tIns="0" rIns="0" bIns="0" rtlCol="0">
                          <a:noAutofit/>
                        </wps:bodyPr>
                      </wps:wsp>
                      <wps:wsp>
                        <wps:cNvPr id="20454" name="Rectangle 20454"/>
                        <wps:cNvSpPr/>
                        <wps:spPr>
                          <a:xfrm rot="-10799999">
                            <a:off x="-1219164" y="3653067"/>
                            <a:ext cx="5211014" cy="142889"/>
                          </a:xfrm>
                          <a:prstGeom prst="rect">
                            <a:avLst/>
                          </a:prstGeom>
                          <a:ln>
                            <a:noFill/>
                          </a:ln>
                        </wps:spPr>
                        <wps:txbx>
                          <w:txbxContent>
                            <w:p w14:paraId="67D99CE0" w14:textId="77777777" w:rsidR="00B32EF2" w:rsidRDefault="00000000">
                              <w:r>
                                <w:rPr>
                                  <w:rFonts w:ascii="Arial" w:eastAsia="Arial" w:hAnsi="Arial" w:cs="Arial"/>
                                  <w:sz w:val="18"/>
                                </w:rPr>
                                <w:t>limiti dei fatti dedotti dalle parti, esercitano tutte le facoltà di accesso, di richie</w:t>
                              </w:r>
                            </w:p>
                          </w:txbxContent>
                        </wps:txbx>
                        <wps:bodyPr horzOverflow="overflow" vert="horz" lIns="0" tIns="0" rIns="0" bIns="0" rtlCol="0">
                          <a:noAutofit/>
                        </wps:bodyPr>
                      </wps:wsp>
                      <wps:wsp>
                        <wps:cNvPr id="20455" name="Rectangle 20455"/>
                        <wps:cNvSpPr/>
                        <wps:spPr>
                          <a:xfrm rot="-10799999">
                            <a:off x="19250" y="3653067"/>
                            <a:ext cx="50622" cy="142889"/>
                          </a:xfrm>
                          <a:prstGeom prst="rect">
                            <a:avLst/>
                          </a:prstGeom>
                          <a:ln>
                            <a:noFill/>
                          </a:ln>
                        </wps:spPr>
                        <wps:txbx>
                          <w:txbxContent>
                            <w:p w14:paraId="76C134C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456" name="Rectangle 20456"/>
                        <wps:cNvSpPr/>
                        <wps:spPr>
                          <a:xfrm rot="-10799999">
                            <a:off x="-1317141" y="3529737"/>
                            <a:ext cx="5308990" cy="142889"/>
                          </a:xfrm>
                          <a:prstGeom prst="rect">
                            <a:avLst/>
                          </a:prstGeom>
                          <a:ln>
                            <a:noFill/>
                          </a:ln>
                        </wps:spPr>
                        <wps:txbx>
                          <w:txbxContent>
                            <w:p w14:paraId="17FA9A18" w14:textId="77777777" w:rsidR="00B32EF2" w:rsidRDefault="00000000">
                              <w:r>
                                <w:rPr>
                                  <w:rFonts w:ascii="Arial" w:eastAsia="Arial" w:hAnsi="Arial" w:cs="Arial"/>
                                  <w:sz w:val="18"/>
                                </w:rPr>
                                <w:t xml:space="preserve">sta di dati, di informazioni e chiarimenti conferite agli uffici tributari ed all’ente </w:t>
                              </w:r>
                            </w:p>
                          </w:txbxContent>
                        </wps:txbx>
                        <wps:bodyPr horzOverflow="overflow" vert="horz" lIns="0" tIns="0" rIns="0" bIns="0" rtlCol="0">
                          <a:noAutofit/>
                        </wps:bodyPr>
                      </wps:wsp>
                      <wps:wsp>
                        <wps:cNvPr id="20457" name="Rectangle 20457"/>
                        <wps:cNvSpPr/>
                        <wps:spPr>
                          <a:xfrm rot="-10799999">
                            <a:off x="1560851" y="3406408"/>
                            <a:ext cx="2430997" cy="142889"/>
                          </a:xfrm>
                          <a:prstGeom prst="rect">
                            <a:avLst/>
                          </a:prstGeom>
                          <a:ln>
                            <a:noFill/>
                          </a:ln>
                        </wps:spPr>
                        <wps:txbx>
                          <w:txbxContent>
                            <w:p w14:paraId="1B85B5C4" w14:textId="77777777" w:rsidR="00B32EF2" w:rsidRDefault="00000000">
                              <w:r>
                                <w:rPr>
                                  <w:rFonts w:ascii="Arial" w:eastAsia="Arial" w:hAnsi="Arial" w:cs="Arial"/>
                                  <w:sz w:val="18"/>
                                </w:rPr>
                                <w:t>locale da ciascuna legge d’imposta.</w:t>
                              </w:r>
                            </w:p>
                          </w:txbxContent>
                        </wps:txbx>
                        <wps:bodyPr horzOverflow="overflow" vert="horz" lIns="0" tIns="0" rIns="0" bIns="0" rtlCol="0">
                          <a:noAutofit/>
                        </wps:bodyPr>
                      </wps:wsp>
                      <wps:wsp>
                        <wps:cNvPr id="201770" name="Rectangle 201770"/>
                        <wps:cNvSpPr/>
                        <wps:spPr>
                          <a:xfrm rot="-10799999">
                            <a:off x="-1381728" y="3283078"/>
                            <a:ext cx="5309021" cy="142889"/>
                          </a:xfrm>
                          <a:prstGeom prst="rect">
                            <a:avLst/>
                          </a:prstGeom>
                          <a:ln>
                            <a:noFill/>
                          </a:ln>
                        </wps:spPr>
                        <wps:txbx>
                          <w:txbxContent>
                            <w:p w14:paraId="17B734DE" w14:textId="77777777" w:rsidR="00B32EF2" w:rsidRDefault="00000000">
                              <w:r>
                                <w:rPr>
                                  <w:rFonts w:ascii="Arial" w:eastAsia="Arial" w:hAnsi="Arial" w:cs="Arial"/>
                                  <w:sz w:val="18"/>
                                </w:rPr>
                                <w:t xml:space="preserve">. Le corti di giustizia tributaria di primo e secondo grado, quando occorre </w:t>
                              </w:r>
                            </w:p>
                          </w:txbxContent>
                        </wps:txbx>
                        <wps:bodyPr horzOverflow="overflow" vert="horz" lIns="0" tIns="0" rIns="0" bIns="0" rtlCol="0">
                          <a:noAutofit/>
                        </wps:bodyPr>
                      </wps:wsp>
                      <wps:wsp>
                        <wps:cNvPr id="201768" name="Rectangle 201768"/>
                        <wps:cNvSpPr/>
                        <wps:spPr>
                          <a:xfrm rot="-10799999">
                            <a:off x="2611022" y="3283078"/>
                            <a:ext cx="5309020" cy="142889"/>
                          </a:xfrm>
                          <a:prstGeom prst="rect">
                            <a:avLst/>
                          </a:prstGeom>
                          <a:ln>
                            <a:noFill/>
                          </a:ln>
                        </wps:spPr>
                        <wps:txbx>
                          <w:txbxContent>
                            <w:p w14:paraId="790D1216"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459" name="Rectangle 20459"/>
                        <wps:cNvSpPr/>
                        <wps:spPr>
                          <a:xfrm rot="-10799999">
                            <a:off x="-1317535" y="3159748"/>
                            <a:ext cx="5310070" cy="142889"/>
                          </a:xfrm>
                          <a:prstGeom prst="rect">
                            <a:avLst/>
                          </a:prstGeom>
                          <a:ln>
                            <a:noFill/>
                          </a:ln>
                        </wps:spPr>
                        <wps:txbx>
                          <w:txbxContent>
                            <w:p w14:paraId="7C843A82" w14:textId="77777777" w:rsidR="00B32EF2" w:rsidRDefault="00000000">
                              <w:r>
                                <w:rPr>
                                  <w:rFonts w:ascii="Arial" w:eastAsia="Arial" w:hAnsi="Arial" w:cs="Arial"/>
                                  <w:sz w:val="18"/>
                                </w:rPr>
                                <w:t xml:space="preserve">acquisire elementi conoscitivi di particolare complessità, possono richiedere </w:t>
                              </w:r>
                            </w:p>
                          </w:txbxContent>
                        </wps:txbx>
                        <wps:bodyPr horzOverflow="overflow" vert="horz" lIns="0" tIns="0" rIns="0" bIns="0" rtlCol="0">
                          <a:noAutofit/>
                        </wps:bodyPr>
                      </wps:wsp>
                      <wps:wsp>
                        <wps:cNvPr id="20460" name="Rectangle 20460"/>
                        <wps:cNvSpPr/>
                        <wps:spPr>
                          <a:xfrm rot="-10799999">
                            <a:off x="-1317187" y="3036419"/>
                            <a:ext cx="5309035" cy="142889"/>
                          </a:xfrm>
                          <a:prstGeom prst="rect">
                            <a:avLst/>
                          </a:prstGeom>
                          <a:ln>
                            <a:noFill/>
                          </a:ln>
                        </wps:spPr>
                        <wps:txbx>
                          <w:txbxContent>
                            <w:p w14:paraId="7122E2E1" w14:textId="77777777" w:rsidR="00B32EF2" w:rsidRDefault="00000000">
                              <w:r>
                                <w:rPr>
                                  <w:rFonts w:ascii="Arial" w:eastAsia="Arial" w:hAnsi="Arial" w:cs="Arial"/>
                                  <w:sz w:val="18"/>
                                </w:rPr>
                                <w:t xml:space="preserve">apposite relazioni ad organi tecnici dell’amministrazione dello Stato o di altri </w:t>
                              </w:r>
                            </w:p>
                          </w:txbxContent>
                        </wps:txbx>
                        <wps:bodyPr horzOverflow="overflow" vert="horz" lIns="0" tIns="0" rIns="0" bIns="0" rtlCol="0">
                          <a:noAutofit/>
                        </wps:bodyPr>
                      </wps:wsp>
                      <wps:wsp>
                        <wps:cNvPr id="20461" name="Rectangle 20461"/>
                        <wps:cNvSpPr/>
                        <wps:spPr>
                          <a:xfrm rot="-10799999">
                            <a:off x="-1220806" y="2913089"/>
                            <a:ext cx="5213112" cy="142889"/>
                          </a:xfrm>
                          <a:prstGeom prst="rect">
                            <a:avLst/>
                          </a:prstGeom>
                          <a:ln>
                            <a:noFill/>
                          </a:ln>
                        </wps:spPr>
                        <wps:txbx>
                          <w:txbxContent>
                            <w:p w14:paraId="1CD8E494" w14:textId="77777777" w:rsidR="00B32EF2" w:rsidRDefault="00000000">
                              <w:r>
                                <w:rPr>
                                  <w:rFonts w:ascii="Arial" w:eastAsia="Arial" w:hAnsi="Arial" w:cs="Arial"/>
                                  <w:sz w:val="18"/>
                                </w:rPr>
                                <w:t>enti pubblici compreso il Corpo della Guardia di finanza, ovvero disporre con</w:t>
                              </w:r>
                            </w:p>
                          </w:txbxContent>
                        </wps:txbx>
                        <wps:bodyPr horzOverflow="overflow" vert="horz" lIns="0" tIns="0" rIns="0" bIns="0" rtlCol="0">
                          <a:noAutofit/>
                        </wps:bodyPr>
                      </wps:wsp>
                      <wps:wsp>
                        <wps:cNvPr id="20462" name="Rectangle 20462"/>
                        <wps:cNvSpPr/>
                        <wps:spPr>
                          <a:xfrm rot="-10799999">
                            <a:off x="19250" y="2913089"/>
                            <a:ext cx="50622" cy="142889"/>
                          </a:xfrm>
                          <a:prstGeom prst="rect">
                            <a:avLst/>
                          </a:prstGeom>
                          <a:ln>
                            <a:noFill/>
                          </a:ln>
                        </wps:spPr>
                        <wps:txbx>
                          <w:txbxContent>
                            <w:p w14:paraId="0708FA3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463" name="Rectangle 20463"/>
                        <wps:cNvSpPr/>
                        <wps:spPr>
                          <a:xfrm rot="-10799999">
                            <a:off x="-1219550" y="2789759"/>
                            <a:ext cx="5212656" cy="142889"/>
                          </a:xfrm>
                          <a:prstGeom prst="rect">
                            <a:avLst/>
                          </a:prstGeom>
                          <a:ln>
                            <a:noFill/>
                          </a:ln>
                        </wps:spPr>
                        <wps:txbx>
                          <w:txbxContent>
                            <w:p w14:paraId="48976A79" w14:textId="77777777" w:rsidR="00B32EF2" w:rsidRDefault="00000000">
                              <w:r>
                                <w:rPr>
                                  <w:rFonts w:ascii="Arial" w:eastAsia="Arial" w:hAnsi="Arial" w:cs="Arial"/>
                                  <w:sz w:val="18"/>
                                </w:rPr>
                                <w:t>sulenza tecnica. I compensi spettanti ai consulenti tecnici non possono ecce</w:t>
                              </w:r>
                            </w:p>
                          </w:txbxContent>
                        </wps:txbx>
                        <wps:bodyPr horzOverflow="overflow" vert="horz" lIns="0" tIns="0" rIns="0" bIns="0" rtlCol="0">
                          <a:noAutofit/>
                        </wps:bodyPr>
                      </wps:wsp>
                      <wps:wsp>
                        <wps:cNvPr id="20464" name="Rectangle 20464"/>
                        <wps:cNvSpPr/>
                        <wps:spPr>
                          <a:xfrm rot="-10799999">
                            <a:off x="19250" y="2789759"/>
                            <a:ext cx="50622" cy="142889"/>
                          </a:xfrm>
                          <a:prstGeom prst="rect">
                            <a:avLst/>
                          </a:prstGeom>
                          <a:ln>
                            <a:noFill/>
                          </a:ln>
                        </wps:spPr>
                        <wps:txbx>
                          <w:txbxContent>
                            <w:p w14:paraId="6FD52A1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465" name="Rectangle 20465"/>
                        <wps:cNvSpPr/>
                        <wps:spPr>
                          <a:xfrm rot="-10799999">
                            <a:off x="-1317080" y="2666429"/>
                            <a:ext cx="5308929" cy="142889"/>
                          </a:xfrm>
                          <a:prstGeom prst="rect">
                            <a:avLst/>
                          </a:prstGeom>
                          <a:ln>
                            <a:noFill/>
                          </a:ln>
                        </wps:spPr>
                        <wps:txbx>
                          <w:txbxContent>
                            <w:p w14:paraId="0ED0C6BF" w14:textId="77777777" w:rsidR="00B32EF2" w:rsidRDefault="00000000">
                              <w:r>
                                <w:rPr>
                                  <w:rFonts w:ascii="Arial" w:eastAsia="Arial" w:hAnsi="Arial" w:cs="Arial"/>
                                  <w:sz w:val="18"/>
                                </w:rPr>
                                <w:t xml:space="preserve">dere quelli previsti dalla legge 8 luglio 1980, n. 319 e dal decreto del Presidente </w:t>
                              </w:r>
                            </w:p>
                          </w:txbxContent>
                        </wps:txbx>
                        <wps:bodyPr horzOverflow="overflow" vert="horz" lIns="0" tIns="0" rIns="0" bIns="0" rtlCol="0">
                          <a:noAutofit/>
                        </wps:bodyPr>
                      </wps:wsp>
                      <wps:wsp>
                        <wps:cNvPr id="20466" name="Rectangle 20466"/>
                        <wps:cNvSpPr/>
                        <wps:spPr>
                          <a:xfrm rot="-10799999">
                            <a:off x="1172900" y="2543100"/>
                            <a:ext cx="2818949" cy="142889"/>
                          </a:xfrm>
                          <a:prstGeom prst="rect">
                            <a:avLst/>
                          </a:prstGeom>
                          <a:ln>
                            <a:noFill/>
                          </a:ln>
                        </wps:spPr>
                        <wps:txbx>
                          <w:txbxContent>
                            <w:p w14:paraId="19735017" w14:textId="77777777" w:rsidR="00B32EF2" w:rsidRDefault="00000000">
                              <w:r>
                                <w:rPr>
                                  <w:rFonts w:ascii="Arial" w:eastAsia="Arial" w:hAnsi="Arial" w:cs="Arial"/>
                                  <w:sz w:val="18"/>
                                </w:rPr>
                                <w:t>della Repubblica 30 maggio 2002, n. 115.</w:t>
                              </w:r>
                            </w:p>
                          </w:txbxContent>
                        </wps:txbx>
                        <wps:bodyPr horzOverflow="overflow" vert="horz" lIns="0" tIns="0" rIns="0" bIns="0" rtlCol="0">
                          <a:noAutofit/>
                        </wps:bodyPr>
                      </wps:wsp>
                      <wps:wsp>
                        <wps:cNvPr id="201765" name="Rectangle 201765"/>
                        <wps:cNvSpPr/>
                        <wps:spPr>
                          <a:xfrm rot="-10799999">
                            <a:off x="-1381527" y="2419769"/>
                            <a:ext cx="5308853" cy="142889"/>
                          </a:xfrm>
                          <a:prstGeom prst="rect">
                            <a:avLst/>
                          </a:prstGeom>
                          <a:ln>
                            <a:noFill/>
                          </a:ln>
                        </wps:spPr>
                        <wps:txbx>
                          <w:txbxContent>
                            <w:p w14:paraId="23B1B796" w14:textId="77777777" w:rsidR="00B32EF2" w:rsidRDefault="00000000">
                              <w:r>
                                <w:rPr>
                                  <w:rFonts w:ascii="Arial" w:eastAsia="Arial" w:hAnsi="Arial" w:cs="Arial"/>
                                  <w:sz w:val="18"/>
                                </w:rPr>
                                <w:t xml:space="preserve">. Non è ammesso il giuramento. La corte di giustizia tributaria, ove lo ritenga </w:t>
                              </w:r>
                            </w:p>
                          </w:txbxContent>
                        </wps:txbx>
                        <wps:bodyPr horzOverflow="overflow" vert="horz" lIns="0" tIns="0" rIns="0" bIns="0" rtlCol="0">
                          <a:noAutofit/>
                        </wps:bodyPr>
                      </wps:wsp>
                      <wps:wsp>
                        <wps:cNvPr id="201763" name="Rectangle 201763"/>
                        <wps:cNvSpPr/>
                        <wps:spPr>
                          <a:xfrm rot="-10799999">
                            <a:off x="2611064" y="2419770"/>
                            <a:ext cx="5308853" cy="142889"/>
                          </a:xfrm>
                          <a:prstGeom prst="rect">
                            <a:avLst/>
                          </a:prstGeom>
                          <a:ln>
                            <a:noFill/>
                          </a:ln>
                        </wps:spPr>
                        <wps:txbx>
                          <w:txbxContent>
                            <w:p w14:paraId="76D75AE5"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468" name="Rectangle 20468"/>
                        <wps:cNvSpPr/>
                        <wps:spPr>
                          <a:xfrm rot="-10799999">
                            <a:off x="-1220222" y="2296440"/>
                            <a:ext cx="5211500" cy="142889"/>
                          </a:xfrm>
                          <a:prstGeom prst="rect">
                            <a:avLst/>
                          </a:prstGeom>
                          <a:ln>
                            <a:noFill/>
                          </a:ln>
                        </wps:spPr>
                        <wps:txbx>
                          <w:txbxContent>
                            <w:p w14:paraId="741F0855" w14:textId="77777777" w:rsidR="00B32EF2" w:rsidRDefault="00000000">
                              <w:r>
                                <w:rPr>
                                  <w:rFonts w:ascii="Arial" w:eastAsia="Arial" w:hAnsi="Arial" w:cs="Arial"/>
                                  <w:sz w:val="18"/>
                                </w:rPr>
                                <w:t>necessario ai fini della decisione e anche senza l’accordo delle parti, può am</w:t>
                              </w:r>
                            </w:p>
                          </w:txbxContent>
                        </wps:txbx>
                        <wps:bodyPr horzOverflow="overflow" vert="horz" lIns="0" tIns="0" rIns="0" bIns="0" rtlCol="0">
                          <a:noAutofit/>
                        </wps:bodyPr>
                      </wps:wsp>
                      <wps:wsp>
                        <wps:cNvPr id="20469" name="Rectangle 20469"/>
                        <wps:cNvSpPr/>
                        <wps:spPr>
                          <a:xfrm rot="-10799999">
                            <a:off x="19250" y="2296440"/>
                            <a:ext cx="50622" cy="142889"/>
                          </a:xfrm>
                          <a:prstGeom prst="rect">
                            <a:avLst/>
                          </a:prstGeom>
                          <a:ln>
                            <a:noFill/>
                          </a:ln>
                        </wps:spPr>
                        <wps:txbx>
                          <w:txbxContent>
                            <w:p w14:paraId="5064237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470" name="Rectangle 20470"/>
                        <wps:cNvSpPr/>
                        <wps:spPr>
                          <a:xfrm rot="-10799999">
                            <a:off x="-1317217" y="2173110"/>
                            <a:ext cx="5309066" cy="142889"/>
                          </a:xfrm>
                          <a:prstGeom prst="rect">
                            <a:avLst/>
                          </a:prstGeom>
                          <a:ln>
                            <a:noFill/>
                          </a:ln>
                        </wps:spPr>
                        <wps:txbx>
                          <w:txbxContent>
                            <w:p w14:paraId="4282366A" w14:textId="77777777" w:rsidR="00B32EF2" w:rsidRDefault="00000000">
                              <w:r>
                                <w:rPr>
                                  <w:rFonts w:ascii="Arial" w:eastAsia="Arial" w:hAnsi="Arial" w:cs="Arial"/>
                                  <w:sz w:val="18"/>
                                </w:rPr>
                                <w:t xml:space="preserve">mettere la prova testimoniale, assunta con le forme di cui all’articolo 257-bis </w:t>
                              </w:r>
                            </w:p>
                          </w:txbxContent>
                        </wps:txbx>
                        <wps:bodyPr horzOverflow="overflow" vert="horz" lIns="0" tIns="0" rIns="0" bIns="0" rtlCol="0">
                          <a:noAutofit/>
                        </wps:bodyPr>
                      </wps:wsp>
                      <wps:wsp>
                        <wps:cNvPr id="20471" name="Rectangle 20471"/>
                        <wps:cNvSpPr/>
                        <wps:spPr>
                          <a:xfrm rot="-10799999">
                            <a:off x="-1317187" y="2049780"/>
                            <a:ext cx="5309035" cy="142889"/>
                          </a:xfrm>
                          <a:prstGeom prst="rect">
                            <a:avLst/>
                          </a:prstGeom>
                          <a:ln>
                            <a:noFill/>
                          </a:ln>
                        </wps:spPr>
                        <wps:txbx>
                          <w:txbxContent>
                            <w:p w14:paraId="5B9E44BD" w14:textId="77777777" w:rsidR="00B32EF2" w:rsidRDefault="00000000">
                              <w:r>
                                <w:rPr>
                                  <w:rFonts w:ascii="Arial" w:eastAsia="Arial" w:hAnsi="Arial" w:cs="Arial"/>
                                  <w:sz w:val="18"/>
                                </w:rPr>
                                <w:t xml:space="preserve">del codice di procedura civile. Nei casi in cui la pretesa tributaria sia fondata </w:t>
                              </w:r>
                            </w:p>
                          </w:txbxContent>
                        </wps:txbx>
                        <wps:bodyPr horzOverflow="overflow" vert="horz" lIns="0" tIns="0" rIns="0" bIns="0" rtlCol="0">
                          <a:noAutofit/>
                        </wps:bodyPr>
                      </wps:wsp>
                      <wps:wsp>
                        <wps:cNvPr id="20472" name="Rectangle 20472"/>
                        <wps:cNvSpPr/>
                        <wps:spPr>
                          <a:xfrm rot="-10799999">
                            <a:off x="-1317156" y="1926451"/>
                            <a:ext cx="5309005" cy="142889"/>
                          </a:xfrm>
                          <a:prstGeom prst="rect">
                            <a:avLst/>
                          </a:prstGeom>
                          <a:ln>
                            <a:noFill/>
                          </a:ln>
                        </wps:spPr>
                        <wps:txbx>
                          <w:txbxContent>
                            <w:p w14:paraId="18878683" w14:textId="77777777" w:rsidR="00B32EF2" w:rsidRDefault="00000000">
                              <w:r>
                                <w:rPr>
                                  <w:rFonts w:ascii="Arial" w:eastAsia="Arial" w:hAnsi="Arial" w:cs="Arial"/>
                                  <w:sz w:val="18"/>
                                </w:rPr>
                                <w:t xml:space="preserve">su verbali o altri atti facenti fede fino a querela di falso, la prova è ammessa </w:t>
                              </w:r>
                            </w:p>
                          </w:txbxContent>
                        </wps:txbx>
                        <wps:bodyPr horzOverflow="overflow" vert="horz" lIns="0" tIns="0" rIns="0" bIns="0" rtlCol="0">
                          <a:noAutofit/>
                        </wps:bodyPr>
                      </wps:wsp>
                      <wps:wsp>
                        <wps:cNvPr id="20473" name="Rectangle 20473"/>
                        <wps:cNvSpPr/>
                        <wps:spPr>
                          <a:xfrm rot="-10799999">
                            <a:off x="-1220974" y="1803121"/>
                            <a:ext cx="5212822" cy="142889"/>
                          </a:xfrm>
                          <a:prstGeom prst="rect">
                            <a:avLst/>
                          </a:prstGeom>
                          <a:ln>
                            <a:noFill/>
                          </a:ln>
                        </wps:spPr>
                        <wps:txbx>
                          <w:txbxContent>
                            <w:p w14:paraId="0E35442B" w14:textId="77777777" w:rsidR="00B32EF2" w:rsidRDefault="00000000">
                              <w:r>
                                <w:rPr>
                                  <w:rFonts w:ascii="Arial" w:eastAsia="Arial" w:hAnsi="Arial" w:cs="Arial"/>
                                  <w:sz w:val="18"/>
                                </w:rPr>
                                <w:t>soltanto su circostanze di fatto diverse da quelle attestate dal pubblico ufficia</w:t>
                              </w:r>
                            </w:p>
                          </w:txbxContent>
                        </wps:txbx>
                        <wps:bodyPr horzOverflow="overflow" vert="horz" lIns="0" tIns="0" rIns="0" bIns="0" rtlCol="0">
                          <a:noAutofit/>
                        </wps:bodyPr>
                      </wps:wsp>
                      <wps:wsp>
                        <wps:cNvPr id="20474" name="Rectangle 20474"/>
                        <wps:cNvSpPr/>
                        <wps:spPr>
                          <a:xfrm rot="-10799999">
                            <a:off x="19250" y="1803121"/>
                            <a:ext cx="50622" cy="142889"/>
                          </a:xfrm>
                          <a:prstGeom prst="rect">
                            <a:avLst/>
                          </a:prstGeom>
                          <a:ln>
                            <a:noFill/>
                          </a:ln>
                        </wps:spPr>
                        <wps:txbx>
                          <w:txbxContent>
                            <w:p w14:paraId="0049FD1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475" name="Rectangle 20475"/>
                        <wps:cNvSpPr/>
                        <wps:spPr>
                          <a:xfrm rot="-10799999">
                            <a:off x="-1317201" y="1679791"/>
                            <a:ext cx="5309051" cy="142889"/>
                          </a:xfrm>
                          <a:prstGeom prst="rect">
                            <a:avLst/>
                          </a:prstGeom>
                          <a:ln>
                            <a:noFill/>
                          </a:ln>
                        </wps:spPr>
                        <wps:txbx>
                          <w:txbxContent>
                            <w:p w14:paraId="76F4FEAC" w14:textId="77777777" w:rsidR="00B32EF2" w:rsidRDefault="00000000">
                              <w:r>
                                <w:rPr>
                                  <w:rFonts w:ascii="Arial" w:eastAsia="Arial" w:hAnsi="Arial" w:cs="Arial"/>
                                  <w:sz w:val="18"/>
                                </w:rPr>
                                <w:t xml:space="preserve">le. La notificazione dell’intimazione e del modulo di deposizione testimoniale, </w:t>
                              </w:r>
                            </w:p>
                          </w:txbxContent>
                        </wps:txbx>
                        <wps:bodyPr horzOverflow="overflow" vert="horz" lIns="0" tIns="0" rIns="0" bIns="0" rtlCol="0">
                          <a:noAutofit/>
                        </wps:bodyPr>
                      </wps:wsp>
                      <wps:wsp>
                        <wps:cNvPr id="20476" name="Rectangle 20476"/>
                        <wps:cNvSpPr/>
                        <wps:spPr>
                          <a:xfrm rot="-10799999">
                            <a:off x="-1317172" y="1556462"/>
                            <a:ext cx="5309022" cy="142889"/>
                          </a:xfrm>
                          <a:prstGeom prst="rect">
                            <a:avLst/>
                          </a:prstGeom>
                          <a:ln>
                            <a:noFill/>
                          </a:ln>
                        </wps:spPr>
                        <wps:txbx>
                          <w:txbxContent>
                            <w:p w14:paraId="00B0B734" w14:textId="77777777" w:rsidR="00B32EF2" w:rsidRDefault="00000000">
                              <w:r>
                                <w:rPr>
                                  <w:rFonts w:ascii="Arial" w:eastAsia="Arial" w:hAnsi="Arial" w:cs="Arial"/>
                                  <w:sz w:val="18"/>
                                </w:rPr>
                                <w:t xml:space="preserve">il cui modello, con le relative istruzioni per la compilazione, è reso disponibile </w:t>
                              </w:r>
                            </w:p>
                          </w:txbxContent>
                        </wps:txbx>
                        <wps:bodyPr horzOverflow="overflow" vert="horz" lIns="0" tIns="0" rIns="0" bIns="0" rtlCol="0">
                          <a:noAutofit/>
                        </wps:bodyPr>
                      </wps:wsp>
                      <wps:wsp>
                        <wps:cNvPr id="20477" name="Rectangle 20477"/>
                        <wps:cNvSpPr/>
                        <wps:spPr>
                          <a:xfrm rot="-10799999">
                            <a:off x="-1223078" y="1433132"/>
                            <a:ext cx="5215499" cy="142889"/>
                          </a:xfrm>
                          <a:prstGeom prst="rect">
                            <a:avLst/>
                          </a:prstGeom>
                          <a:ln>
                            <a:noFill/>
                          </a:ln>
                        </wps:spPr>
                        <wps:txbx>
                          <w:txbxContent>
                            <w:p w14:paraId="0837F006" w14:textId="77777777" w:rsidR="00B32EF2" w:rsidRDefault="00000000">
                              <w:r>
                                <w:rPr>
                                  <w:rFonts w:ascii="Arial" w:eastAsia="Arial" w:hAnsi="Arial" w:cs="Arial"/>
                                  <w:sz w:val="18"/>
                                </w:rPr>
                                <w:t>sul sito istituzionale dal Dipartimento della giustizia tributaria, può essere ef</w:t>
                              </w:r>
                            </w:p>
                          </w:txbxContent>
                        </wps:txbx>
                        <wps:bodyPr horzOverflow="overflow" vert="horz" lIns="0" tIns="0" rIns="0" bIns="0" rtlCol="0">
                          <a:noAutofit/>
                        </wps:bodyPr>
                      </wps:wsp>
                      <wps:wsp>
                        <wps:cNvPr id="20478" name="Rectangle 20478"/>
                        <wps:cNvSpPr/>
                        <wps:spPr>
                          <a:xfrm rot="-10799999">
                            <a:off x="19250" y="1433132"/>
                            <a:ext cx="50622" cy="142889"/>
                          </a:xfrm>
                          <a:prstGeom prst="rect">
                            <a:avLst/>
                          </a:prstGeom>
                          <a:ln>
                            <a:noFill/>
                          </a:ln>
                        </wps:spPr>
                        <wps:txbx>
                          <w:txbxContent>
                            <w:p w14:paraId="41E9CAA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479" name="Rectangle 20479"/>
                        <wps:cNvSpPr/>
                        <wps:spPr>
                          <a:xfrm rot="-10799999">
                            <a:off x="-1317157" y="1309802"/>
                            <a:ext cx="5309005" cy="142889"/>
                          </a:xfrm>
                          <a:prstGeom prst="rect">
                            <a:avLst/>
                          </a:prstGeom>
                          <a:ln>
                            <a:noFill/>
                          </a:ln>
                        </wps:spPr>
                        <wps:txbx>
                          <w:txbxContent>
                            <w:p w14:paraId="30C73FD4" w14:textId="77777777" w:rsidR="00B32EF2" w:rsidRDefault="00000000">
                              <w:r>
                                <w:rPr>
                                  <w:rFonts w:ascii="Arial" w:eastAsia="Arial" w:hAnsi="Arial" w:cs="Arial"/>
                                  <w:sz w:val="18"/>
                                </w:rPr>
                                <w:t xml:space="preserve">fettuata anche in via telematica. In deroga all’articolo 103-bis delle disposizioni </w:t>
                              </w:r>
                            </w:p>
                          </w:txbxContent>
                        </wps:txbx>
                        <wps:bodyPr horzOverflow="overflow" vert="horz" lIns="0" tIns="0" rIns="0" bIns="0" rtlCol="0">
                          <a:noAutofit/>
                        </wps:bodyPr>
                      </wps:wsp>
                      <wps:wsp>
                        <wps:cNvPr id="20480" name="Rectangle 20480"/>
                        <wps:cNvSpPr/>
                        <wps:spPr>
                          <a:xfrm rot="-10799999">
                            <a:off x="-1317141" y="1186473"/>
                            <a:ext cx="5308990" cy="142890"/>
                          </a:xfrm>
                          <a:prstGeom prst="rect">
                            <a:avLst/>
                          </a:prstGeom>
                          <a:ln>
                            <a:noFill/>
                          </a:ln>
                        </wps:spPr>
                        <wps:txbx>
                          <w:txbxContent>
                            <w:p w14:paraId="7D2FC9BE" w14:textId="77777777" w:rsidR="00B32EF2" w:rsidRDefault="00000000">
                              <w:r>
                                <w:rPr>
                                  <w:rFonts w:ascii="Arial" w:eastAsia="Arial" w:hAnsi="Arial" w:cs="Arial"/>
                                  <w:sz w:val="18"/>
                                </w:rPr>
                                <w:t xml:space="preserve">di attuazione del codice di procedura civile, se il testimone è in possesso di </w:t>
                              </w:r>
                            </w:p>
                          </w:txbxContent>
                        </wps:txbx>
                        <wps:bodyPr horzOverflow="overflow" vert="horz" lIns="0" tIns="0" rIns="0" bIns="0" rtlCol="0">
                          <a:noAutofit/>
                        </wps:bodyPr>
                      </wps:wsp>
                      <wps:wsp>
                        <wps:cNvPr id="20481" name="Rectangle 20481"/>
                        <wps:cNvSpPr/>
                        <wps:spPr>
                          <a:xfrm rot="-10799999">
                            <a:off x="-1317187" y="1063143"/>
                            <a:ext cx="5309036" cy="142889"/>
                          </a:xfrm>
                          <a:prstGeom prst="rect">
                            <a:avLst/>
                          </a:prstGeom>
                          <a:ln>
                            <a:noFill/>
                          </a:ln>
                        </wps:spPr>
                        <wps:txbx>
                          <w:txbxContent>
                            <w:p w14:paraId="26FB4BCB" w14:textId="77777777" w:rsidR="00B32EF2" w:rsidRDefault="00000000">
                              <w:r>
                                <w:rPr>
                                  <w:rFonts w:ascii="Arial" w:eastAsia="Arial" w:hAnsi="Arial" w:cs="Arial"/>
                                  <w:sz w:val="18"/>
                                </w:rPr>
                                <w:t xml:space="preserve">firma digitale, il difensore della parte che lo ha citato deposita telematicamente </w:t>
                              </w:r>
                            </w:p>
                          </w:txbxContent>
                        </wps:txbx>
                        <wps:bodyPr horzOverflow="overflow" vert="horz" lIns="0" tIns="0" rIns="0" bIns="0" rtlCol="0">
                          <a:noAutofit/>
                        </wps:bodyPr>
                      </wps:wsp>
                      <wps:wsp>
                        <wps:cNvPr id="20482" name="Rectangle 20482"/>
                        <wps:cNvSpPr/>
                        <wps:spPr>
                          <a:xfrm rot="-10799999">
                            <a:off x="-1317172" y="939813"/>
                            <a:ext cx="5309021" cy="142889"/>
                          </a:xfrm>
                          <a:prstGeom prst="rect">
                            <a:avLst/>
                          </a:prstGeom>
                          <a:ln>
                            <a:noFill/>
                          </a:ln>
                        </wps:spPr>
                        <wps:txbx>
                          <w:txbxContent>
                            <w:p w14:paraId="77991BC8" w14:textId="77777777" w:rsidR="00B32EF2" w:rsidRDefault="00000000">
                              <w:r>
                                <w:rPr>
                                  <w:rFonts w:ascii="Arial" w:eastAsia="Arial" w:hAnsi="Arial" w:cs="Arial"/>
                                  <w:sz w:val="18"/>
                                </w:rPr>
                                <w:t xml:space="preserve">il modulo di deposizione trasmessogli dal testimone dopo che lo stesso lo ha </w:t>
                              </w:r>
                            </w:p>
                          </w:txbxContent>
                        </wps:txbx>
                        <wps:bodyPr horzOverflow="overflow" vert="horz" lIns="0" tIns="0" rIns="0" bIns="0" rtlCol="0">
                          <a:noAutofit/>
                        </wps:bodyPr>
                      </wps:wsp>
                      <wps:wsp>
                        <wps:cNvPr id="20483" name="Rectangle 20483"/>
                        <wps:cNvSpPr/>
                        <wps:spPr>
                          <a:xfrm rot="-10799999">
                            <a:off x="-1317141" y="816484"/>
                            <a:ext cx="5308990" cy="142889"/>
                          </a:xfrm>
                          <a:prstGeom prst="rect">
                            <a:avLst/>
                          </a:prstGeom>
                          <a:ln>
                            <a:noFill/>
                          </a:ln>
                        </wps:spPr>
                        <wps:txbx>
                          <w:txbxContent>
                            <w:p w14:paraId="6CED950D" w14:textId="77777777" w:rsidR="00B32EF2" w:rsidRDefault="00000000">
                              <w:r>
                                <w:rPr>
                                  <w:rFonts w:ascii="Arial" w:eastAsia="Arial" w:hAnsi="Arial" w:cs="Arial"/>
                                  <w:sz w:val="18"/>
                                </w:rPr>
                                <w:t xml:space="preserve">compilato e sottoscritto in ogni sua parte con firma digitale apposta in base a </w:t>
                              </w:r>
                            </w:p>
                          </w:txbxContent>
                        </wps:txbx>
                        <wps:bodyPr horzOverflow="overflow" vert="horz" lIns="0" tIns="0" rIns="0" bIns="0" rtlCol="0">
                          <a:noAutofit/>
                        </wps:bodyPr>
                      </wps:wsp>
                      <wps:wsp>
                        <wps:cNvPr id="20484" name="Rectangle 20484"/>
                        <wps:cNvSpPr/>
                        <wps:spPr>
                          <a:xfrm rot="-10799999">
                            <a:off x="-1317157" y="693154"/>
                            <a:ext cx="5309005" cy="142889"/>
                          </a:xfrm>
                          <a:prstGeom prst="rect">
                            <a:avLst/>
                          </a:prstGeom>
                          <a:ln>
                            <a:noFill/>
                          </a:ln>
                        </wps:spPr>
                        <wps:txbx>
                          <w:txbxContent>
                            <w:p w14:paraId="3FCD6027" w14:textId="77777777" w:rsidR="00B32EF2" w:rsidRDefault="00000000">
                              <w:r>
                                <w:rPr>
                                  <w:rFonts w:ascii="Arial" w:eastAsia="Arial" w:hAnsi="Arial" w:cs="Arial"/>
                                  <w:sz w:val="18"/>
                                </w:rPr>
                                <w:t xml:space="preserve">un certificato di firma qualificato la cui validità non è scaduta ovvero che non è </w:t>
                              </w:r>
                            </w:p>
                          </w:txbxContent>
                        </wps:txbx>
                        <wps:bodyPr horzOverflow="overflow" vert="horz" lIns="0" tIns="0" rIns="0" bIns="0" rtlCol="0">
                          <a:noAutofit/>
                        </wps:bodyPr>
                      </wps:wsp>
                      <wps:wsp>
                        <wps:cNvPr id="20485" name="Rectangle 20485"/>
                        <wps:cNvSpPr/>
                        <wps:spPr>
                          <a:xfrm rot="-10799999">
                            <a:off x="45556" y="569824"/>
                            <a:ext cx="3946291" cy="142889"/>
                          </a:xfrm>
                          <a:prstGeom prst="rect">
                            <a:avLst/>
                          </a:prstGeom>
                          <a:ln>
                            <a:noFill/>
                          </a:ln>
                        </wps:spPr>
                        <wps:txbx>
                          <w:txbxContent>
                            <w:p w14:paraId="0F9DA5D1" w14:textId="77777777" w:rsidR="00B32EF2" w:rsidRDefault="00000000">
                              <w:r>
                                <w:rPr>
                                  <w:rFonts w:ascii="Arial" w:eastAsia="Arial" w:hAnsi="Arial" w:cs="Arial"/>
                                  <w:sz w:val="18"/>
                                </w:rPr>
                                <w:t>stato revocato o sospeso al momento della sottoscrizione.</w:t>
                              </w:r>
                            </w:p>
                          </w:txbxContent>
                        </wps:txbx>
                        <wps:bodyPr horzOverflow="overflow" vert="horz" lIns="0" tIns="0" rIns="0" bIns="0" rtlCol="0">
                          <a:noAutofit/>
                        </wps:bodyPr>
                      </wps:wsp>
                      <wps:wsp>
                        <wps:cNvPr id="201753" name="Rectangle 201753"/>
                        <wps:cNvSpPr/>
                        <wps:spPr>
                          <a:xfrm rot="-10799999">
                            <a:off x="2634208" y="446494"/>
                            <a:ext cx="5215576" cy="142889"/>
                          </a:xfrm>
                          <a:prstGeom prst="rect">
                            <a:avLst/>
                          </a:prstGeom>
                          <a:ln>
                            <a:noFill/>
                          </a:ln>
                        </wps:spPr>
                        <wps:txbx>
                          <w:txbxContent>
                            <w:p w14:paraId="4283E9B2"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1756" name="Rectangle 201756"/>
                        <wps:cNvSpPr/>
                        <wps:spPr>
                          <a:xfrm rot="-10799999">
                            <a:off x="-1286865" y="446494"/>
                            <a:ext cx="5215575" cy="142889"/>
                          </a:xfrm>
                          <a:prstGeom prst="rect">
                            <a:avLst/>
                          </a:prstGeom>
                          <a:ln>
                            <a:noFill/>
                          </a:ln>
                        </wps:spPr>
                        <wps:txbx>
                          <w:txbxContent>
                            <w:p w14:paraId="48CBD2FC" w14:textId="77777777" w:rsidR="00B32EF2" w:rsidRDefault="00000000">
                              <w:r>
                                <w:rPr>
                                  <w:rFonts w:ascii="Arial" w:eastAsia="Arial" w:hAnsi="Arial" w:cs="Arial"/>
                                  <w:sz w:val="18"/>
                                </w:rPr>
                                <w:t>. Le corti di giustizia tributaria di primo e secondo grado, se ritengono illegit</w:t>
                              </w:r>
                            </w:p>
                          </w:txbxContent>
                        </wps:txbx>
                        <wps:bodyPr horzOverflow="overflow" vert="horz" lIns="0" tIns="0" rIns="0" bIns="0" rtlCol="0">
                          <a:noAutofit/>
                        </wps:bodyPr>
                      </wps:wsp>
                      <wps:wsp>
                        <wps:cNvPr id="20487" name="Rectangle 20487"/>
                        <wps:cNvSpPr/>
                        <wps:spPr>
                          <a:xfrm rot="-10799999">
                            <a:off x="19250" y="446494"/>
                            <a:ext cx="50622" cy="142889"/>
                          </a:xfrm>
                          <a:prstGeom prst="rect">
                            <a:avLst/>
                          </a:prstGeom>
                          <a:ln>
                            <a:noFill/>
                          </a:ln>
                        </wps:spPr>
                        <wps:txbx>
                          <w:txbxContent>
                            <w:p w14:paraId="50CA480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8054" name="Shape 208054"/>
                        <wps:cNvSpPr/>
                        <wps:spPr>
                          <a:xfrm>
                            <a:off x="31882" y="4406206"/>
                            <a:ext cx="3960000" cy="1850301"/>
                          </a:xfrm>
                          <a:custGeom>
                            <a:avLst/>
                            <a:gdLst/>
                            <a:ahLst/>
                            <a:cxnLst/>
                            <a:rect l="0" t="0" r="0" b="0"/>
                            <a:pathLst>
                              <a:path w="3960000" h="1850301">
                                <a:moveTo>
                                  <a:pt x="0" y="0"/>
                                </a:moveTo>
                                <a:lnTo>
                                  <a:pt x="3960000" y="0"/>
                                </a:lnTo>
                                <a:lnTo>
                                  <a:pt x="3960000" y="1850301"/>
                                </a:lnTo>
                                <a:lnTo>
                                  <a:pt x="0" y="1850301"/>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20489" name="Rectangle 20489"/>
                        <wps:cNvSpPr/>
                        <wps:spPr>
                          <a:xfrm rot="-10799999">
                            <a:off x="-1196336" y="6035263"/>
                            <a:ext cx="5137073" cy="142891"/>
                          </a:xfrm>
                          <a:prstGeom prst="rect">
                            <a:avLst/>
                          </a:prstGeom>
                          <a:ln>
                            <a:noFill/>
                          </a:ln>
                        </wps:spPr>
                        <wps:txbx>
                          <w:txbxContent>
                            <w:p w14:paraId="040EC92A" w14:textId="77777777" w:rsidR="00B32EF2" w:rsidRDefault="00000000">
                              <w:r>
                                <w:rPr>
                                  <w:rFonts w:ascii="Arial" w:eastAsia="Arial" w:hAnsi="Arial" w:cs="Arial"/>
                                  <w:i/>
                                  <w:sz w:val="18"/>
                                </w:rPr>
                                <w:t xml:space="preserve">astenersi nei processi riguardanti controversie da loro esaminate quali </w:t>
                              </w:r>
                            </w:p>
                          </w:txbxContent>
                        </wps:txbx>
                        <wps:bodyPr horzOverflow="overflow" vert="horz" lIns="0" tIns="0" rIns="0" bIns="0" rtlCol="0">
                          <a:noAutofit/>
                        </wps:bodyPr>
                      </wps:wsp>
                      <wps:wsp>
                        <wps:cNvPr id="20490" name="Rectangle 20490"/>
                        <wps:cNvSpPr/>
                        <wps:spPr>
                          <a:xfrm rot="-10799999">
                            <a:off x="1765453" y="5911934"/>
                            <a:ext cx="2149108" cy="142889"/>
                          </a:xfrm>
                          <a:prstGeom prst="rect">
                            <a:avLst/>
                          </a:prstGeom>
                          <a:ln>
                            <a:noFill/>
                          </a:ln>
                        </wps:spPr>
                        <wps:txbx>
                          <w:txbxContent>
                            <w:p w14:paraId="54650DBA" w14:textId="77777777" w:rsidR="00B32EF2" w:rsidRDefault="00000000">
                              <w:r>
                                <w:rPr>
                                  <w:rFonts w:ascii="Arial" w:eastAsia="Arial" w:hAnsi="Arial" w:cs="Arial"/>
                                  <w:i/>
                                  <w:sz w:val="18"/>
                                </w:rPr>
                                <w:t>componenti della commissione.</w:t>
                              </w:r>
                            </w:p>
                          </w:txbxContent>
                        </wps:txbx>
                        <wps:bodyPr horzOverflow="overflow" vert="horz" lIns="0" tIns="0" rIns="0" bIns="0" rtlCol="0">
                          <a:noAutofit/>
                        </wps:bodyPr>
                      </wps:wsp>
                      <wps:wsp>
                        <wps:cNvPr id="20491" name="Rectangle 20491"/>
                        <wps:cNvSpPr/>
                        <wps:spPr>
                          <a:xfrm rot="-10799999">
                            <a:off x="-1120673" y="5788605"/>
                            <a:ext cx="5026433" cy="142889"/>
                          </a:xfrm>
                          <a:prstGeom prst="rect">
                            <a:avLst/>
                          </a:prstGeom>
                          <a:ln>
                            <a:noFill/>
                          </a:ln>
                        </wps:spPr>
                        <wps:txbx>
                          <w:txbxContent>
                            <w:p w14:paraId="1525B9A1" w14:textId="77777777" w:rsidR="00B32EF2" w:rsidRDefault="00000000">
                              <w:r>
                                <w:rPr>
                                  <w:rFonts w:ascii="Arial" w:eastAsia="Arial" w:hAnsi="Arial" w:cs="Arial"/>
                                  <w:b/>
                                  <w:i/>
                                  <w:sz w:val="18"/>
                                </w:rPr>
                                <w:t xml:space="preserve">NORME COLLEGATE                                                                                                             </w:t>
                              </w:r>
                            </w:p>
                          </w:txbxContent>
                        </wps:txbx>
                        <wps:bodyPr horzOverflow="overflow" vert="horz" lIns="0" tIns="0" rIns="0" bIns="0" rtlCol="0">
                          <a:noAutofit/>
                        </wps:bodyPr>
                      </wps:wsp>
                      <wps:wsp>
                        <wps:cNvPr id="20492" name="Rectangle 20492"/>
                        <wps:cNvSpPr/>
                        <wps:spPr>
                          <a:xfrm rot="-10799999">
                            <a:off x="981390" y="5665275"/>
                            <a:ext cx="2932143" cy="142889"/>
                          </a:xfrm>
                          <a:prstGeom prst="rect">
                            <a:avLst/>
                          </a:prstGeom>
                          <a:ln>
                            <a:noFill/>
                          </a:ln>
                        </wps:spPr>
                        <wps:txbx>
                          <w:txbxContent>
                            <w:p w14:paraId="6CEC1CCF" w14:textId="77777777" w:rsidR="00B32EF2" w:rsidRDefault="00000000">
                              <w:r>
                                <w:rPr>
                                  <w:rFonts w:ascii="Arial" w:eastAsia="Arial" w:hAnsi="Arial" w:cs="Arial"/>
                                  <w:i/>
                                  <w:sz w:val="18"/>
                                </w:rPr>
                                <w:t xml:space="preserve">art. 54 c.p.c. “Ordinanza sulla ricusazione” </w:t>
                              </w:r>
                            </w:p>
                          </w:txbxContent>
                        </wps:txbx>
                        <wps:bodyPr horzOverflow="overflow" vert="horz" lIns="0" tIns="0" rIns="0" bIns="0" rtlCol="0">
                          <a:noAutofit/>
                        </wps:bodyPr>
                      </wps:wsp>
                      <wps:wsp>
                        <wps:cNvPr id="201786" name="Rectangle 201786"/>
                        <wps:cNvSpPr/>
                        <wps:spPr>
                          <a:xfrm rot="-10799999">
                            <a:off x="-1247709" y="5541945"/>
                            <a:ext cx="5105498" cy="142889"/>
                          </a:xfrm>
                          <a:prstGeom prst="rect">
                            <a:avLst/>
                          </a:prstGeom>
                          <a:ln>
                            <a:noFill/>
                          </a:ln>
                        </wps:spPr>
                        <wps:txbx>
                          <w:txbxContent>
                            <w:p w14:paraId="3C6D5399" w14:textId="77777777" w:rsidR="00B32EF2" w:rsidRDefault="00000000">
                              <w:r>
                                <w:rPr>
                                  <w:rFonts w:ascii="Arial" w:eastAsia="Arial" w:hAnsi="Arial" w:cs="Arial"/>
                                  <w:i/>
                                  <w:sz w:val="18"/>
                                </w:rPr>
                                <w:t xml:space="preserve">. L’ordinanza che accoglie il ricorso designa il giudice che deve sostituire </w:t>
                              </w:r>
                            </w:p>
                          </w:txbxContent>
                        </wps:txbx>
                        <wps:bodyPr horzOverflow="overflow" vert="horz" lIns="0" tIns="0" rIns="0" bIns="0" rtlCol="0">
                          <a:noAutofit/>
                        </wps:bodyPr>
                      </wps:wsp>
                      <wps:wsp>
                        <wps:cNvPr id="201785" name="Rectangle 201785"/>
                        <wps:cNvSpPr/>
                        <wps:spPr>
                          <a:xfrm rot="-10799999">
                            <a:off x="2583204" y="5541945"/>
                            <a:ext cx="5105498" cy="142889"/>
                          </a:xfrm>
                          <a:prstGeom prst="rect">
                            <a:avLst/>
                          </a:prstGeom>
                          <a:ln>
                            <a:noFill/>
                          </a:ln>
                        </wps:spPr>
                        <wps:txbx>
                          <w:txbxContent>
                            <w:p w14:paraId="59EEEBFC"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494" name="Rectangle 20494"/>
                        <wps:cNvSpPr/>
                        <wps:spPr>
                          <a:xfrm rot="-10799999">
                            <a:off x="2878214" y="5418616"/>
                            <a:ext cx="1035432" cy="142889"/>
                          </a:xfrm>
                          <a:prstGeom prst="rect">
                            <a:avLst/>
                          </a:prstGeom>
                          <a:ln>
                            <a:noFill/>
                          </a:ln>
                        </wps:spPr>
                        <wps:txbx>
                          <w:txbxContent>
                            <w:p w14:paraId="57BF32A8" w14:textId="77777777" w:rsidR="00B32EF2" w:rsidRDefault="00000000">
                              <w:r>
                                <w:rPr>
                                  <w:rFonts w:ascii="Arial" w:eastAsia="Arial" w:hAnsi="Arial" w:cs="Arial"/>
                                  <w:i/>
                                  <w:sz w:val="18"/>
                                </w:rPr>
                                <w:t>quello ricusato.</w:t>
                              </w:r>
                            </w:p>
                          </w:txbxContent>
                        </wps:txbx>
                        <wps:bodyPr horzOverflow="overflow" vert="horz" lIns="0" tIns="0" rIns="0" bIns="0" rtlCol="0">
                          <a:noAutofit/>
                        </wps:bodyPr>
                      </wps:wsp>
                      <wps:wsp>
                        <wps:cNvPr id="201783" name="Rectangle 201783"/>
                        <wps:cNvSpPr/>
                        <wps:spPr>
                          <a:xfrm rot="-10799999">
                            <a:off x="2583566" y="5295286"/>
                            <a:ext cx="5104039" cy="142889"/>
                          </a:xfrm>
                          <a:prstGeom prst="rect">
                            <a:avLst/>
                          </a:prstGeom>
                          <a:ln>
                            <a:noFill/>
                          </a:ln>
                        </wps:spPr>
                        <wps:txbx>
                          <w:txbxContent>
                            <w:p w14:paraId="7B57653C"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1784" name="Rectangle 201784"/>
                        <wps:cNvSpPr/>
                        <wps:spPr>
                          <a:xfrm rot="-10799999">
                            <a:off x="-1252948" y="5295286"/>
                            <a:ext cx="5104039" cy="142889"/>
                          </a:xfrm>
                          <a:prstGeom prst="rect">
                            <a:avLst/>
                          </a:prstGeom>
                          <a:ln>
                            <a:noFill/>
                          </a:ln>
                        </wps:spPr>
                        <wps:txbx>
                          <w:txbxContent>
                            <w:p w14:paraId="6F37F5F2" w14:textId="77777777" w:rsidR="00B32EF2" w:rsidRDefault="00000000">
                              <w:r>
                                <w:rPr>
                                  <w:rFonts w:ascii="Arial" w:eastAsia="Arial" w:hAnsi="Arial" w:cs="Arial"/>
                                  <w:i/>
                                  <w:sz w:val="18"/>
                                </w:rPr>
                                <w:t xml:space="preserve">. La ricusazione è dichiarata inammissibile, se non è stata proposta nelle </w:t>
                              </w:r>
                            </w:p>
                          </w:txbxContent>
                        </wps:txbx>
                        <wps:bodyPr horzOverflow="overflow" vert="horz" lIns="0" tIns="0" rIns="0" bIns="0" rtlCol="0">
                          <a:noAutofit/>
                        </wps:bodyPr>
                      </wps:wsp>
                      <wps:wsp>
                        <wps:cNvPr id="20496" name="Rectangle 20496"/>
                        <wps:cNvSpPr/>
                        <wps:spPr>
                          <a:xfrm rot="-10799999">
                            <a:off x="1086101" y="5171956"/>
                            <a:ext cx="2827432" cy="142889"/>
                          </a:xfrm>
                          <a:prstGeom prst="rect">
                            <a:avLst/>
                          </a:prstGeom>
                          <a:ln>
                            <a:noFill/>
                          </a:ln>
                        </wps:spPr>
                        <wps:txbx>
                          <w:txbxContent>
                            <w:p w14:paraId="39DC81DA" w14:textId="77777777" w:rsidR="00B32EF2" w:rsidRDefault="00000000">
                              <w:r>
                                <w:rPr>
                                  <w:rFonts w:ascii="Arial" w:eastAsia="Arial" w:hAnsi="Arial" w:cs="Arial"/>
                                  <w:i/>
                                  <w:sz w:val="18"/>
                                </w:rPr>
                                <w:t xml:space="preserve">forme e nei termini fissati nell’articolo 52. </w:t>
                              </w:r>
                            </w:p>
                          </w:txbxContent>
                        </wps:txbx>
                        <wps:bodyPr horzOverflow="overflow" vert="horz" lIns="0" tIns="0" rIns="0" bIns="0" rtlCol="0">
                          <a:noAutofit/>
                        </wps:bodyPr>
                      </wps:wsp>
                      <wps:wsp>
                        <wps:cNvPr id="201779" name="Rectangle 201779"/>
                        <wps:cNvSpPr/>
                        <wps:spPr>
                          <a:xfrm rot="-10799999">
                            <a:off x="2608201" y="5048627"/>
                            <a:ext cx="5004754" cy="142889"/>
                          </a:xfrm>
                          <a:prstGeom prst="rect">
                            <a:avLst/>
                          </a:prstGeom>
                          <a:ln>
                            <a:noFill/>
                          </a:ln>
                        </wps:spPr>
                        <wps:txbx>
                          <w:txbxContent>
                            <w:p w14:paraId="319788C4"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1781" name="Rectangle 201781"/>
                        <wps:cNvSpPr/>
                        <wps:spPr>
                          <a:xfrm rot="-10799999">
                            <a:off x="-1157550" y="5048627"/>
                            <a:ext cx="5004755" cy="142889"/>
                          </a:xfrm>
                          <a:prstGeom prst="rect">
                            <a:avLst/>
                          </a:prstGeom>
                          <a:ln>
                            <a:noFill/>
                          </a:ln>
                        </wps:spPr>
                        <wps:txbx>
                          <w:txbxContent>
                            <w:p w14:paraId="03C4659D" w14:textId="77777777" w:rsidR="00B32EF2" w:rsidRDefault="00000000">
                              <w:r>
                                <w:rPr>
                                  <w:rFonts w:ascii="Arial" w:eastAsia="Arial" w:hAnsi="Arial" w:cs="Arial"/>
                                  <w:i/>
                                  <w:sz w:val="18"/>
                                </w:rPr>
                                <w:t>. Il giudice, con l’ordinanza con cui dichiara inammissibile o rigetta la ricu</w:t>
                              </w:r>
                            </w:p>
                          </w:txbxContent>
                        </wps:txbx>
                        <wps:bodyPr horzOverflow="overflow" vert="horz" lIns="0" tIns="0" rIns="0" bIns="0" rtlCol="0">
                          <a:noAutofit/>
                        </wps:bodyPr>
                      </wps:wsp>
                      <wps:wsp>
                        <wps:cNvPr id="20498" name="Rectangle 20498"/>
                        <wps:cNvSpPr/>
                        <wps:spPr>
                          <a:xfrm rot="-10799999">
                            <a:off x="97638" y="5048627"/>
                            <a:ext cx="50622" cy="142889"/>
                          </a:xfrm>
                          <a:prstGeom prst="rect">
                            <a:avLst/>
                          </a:prstGeom>
                          <a:ln>
                            <a:noFill/>
                          </a:ln>
                        </wps:spPr>
                        <wps:txbx>
                          <w:txbxContent>
                            <w:p w14:paraId="2702EE4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499" name="Rectangle 20499"/>
                        <wps:cNvSpPr/>
                        <wps:spPr>
                          <a:xfrm rot="-10799999">
                            <a:off x="-1185976" y="4925297"/>
                            <a:ext cx="5095966" cy="142889"/>
                          </a:xfrm>
                          <a:prstGeom prst="rect">
                            <a:avLst/>
                          </a:prstGeom>
                          <a:ln>
                            <a:noFill/>
                          </a:ln>
                        </wps:spPr>
                        <wps:txbx>
                          <w:txbxContent>
                            <w:p w14:paraId="27C8E372" w14:textId="77777777" w:rsidR="00B32EF2" w:rsidRDefault="00000000">
                              <w:r>
                                <w:rPr>
                                  <w:rFonts w:ascii="Arial" w:eastAsia="Arial" w:hAnsi="Arial" w:cs="Arial"/>
                                  <w:i/>
                                  <w:sz w:val="18"/>
                                </w:rPr>
                                <w:t xml:space="preserve">sazione, provvede sulle spese e può condannare la parte che l’ha proposta </w:t>
                              </w:r>
                            </w:p>
                          </w:txbxContent>
                        </wps:txbx>
                        <wps:bodyPr horzOverflow="overflow" vert="horz" lIns="0" tIns="0" rIns="0" bIns="0" rtlCol="0">
                          <a:noAutofit/>
                        </wps:bodyPr>
                      </wps:wsp>
                      <wps:wsp>
                        <wps:cNvPr id="20500" name="Rectangle 20500"/>
                        <wps:cNvSpPr/>
                        <wps:spPr>
                          <a:xfrm rot="-10799999">
                            <a:off x="503731" y="4801967"/>
                            <a:ext cx="3409802" cy="142889"/>
                          </a:xfrm>
                          <a:prstGeom prst="rect">
                            <a:avLst/>
                          </a:prstGeom>
                          <a:ln>
                            <a:noFill/>
                          </a:ln>
                        </wps:spPr>
                        <wps:txbx>
                          <w:txbxContent>
                            <w:p w14:paraId="4E884B62" w14:textId="77777777" w:rsidR="00B32EF2" w:rsidRDefault="00000000">
                              <w:r>
                                <w:rPr>
                                  <w:rFonts w:ascii="Arial" w:eastAsia="Arial" w:hAnsi="Arial" w:cs="Arial"/>
                                  <w:i/>
                                  <w:sz w:val="18"/>
                                </w:rPr>
                                <w:t>ad una pena pecuniaria non superiore a euro 250.</w:t>
                              </w:r>
                            </w:p>
                          </w:txbxContent>
                        </wps:txbx>
                        <wps:bodyPr horzOverflow="overflow" vert="horz" lIns="0" tIns="0" rIns="0" bIns="0" rtlCol="0">
                          <a:noAutofit/>
                        </wps:bodyPr>
                      </wps:wsp>
                      <wps:wsp>
                        <wps:cNvPr id="201776" name="Rectangle 201776"/>
                        <wps:cNvSpPr/>
                        <wps:spPr>
                          <a:xfrm rot="-10799999">
                            <a:off x="2581039" y="4678638"/>
                            <a:ext cx="5114224" cy="142889"/>
                          </a:xfrm>
                          <a:prstGeom prst="rect">
                            <a:avLst/>
                          </a:prstGeom>
                          <a:ln>
                            <a:noFill/>
                          </a:ln>
                        </wps:spPr>
                        <wps:txbx>
                          <w:txbxContent>
                            <w:p w14:paraId="4618DCC5"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201777" name="Rectangle 201777"/>
                        <wps:cNvSpPr/>
                        <wps:spPr>
                          <a:xfrm rot="-10799999">
                            <a:off x="-1256263" y="4678638"/>
                            <a:ext cx="5114223" cy="142889"/>
                          </a:xfrm>
                          <a:prstGeom prst="rect">
                            <a:avLst/>
                          </a:prstGeom>
                          <a:ln>
                            <a:noFill/>
                          </a:ln>
                        </wps:spPr>
                        <wps:txbx>
                          <w:txbxContent>
                            <w:p w14:paraId="4977DE61" w14:textId="77777777" w:rsidR="00B32EF2" w:rsidRDefault="00000000">
                              <w:r>
                                <w:rPr>
                                  <w:rFonts w:ascii="Arial" w:eastAsia="Arial" w:hAnsi="Arial" w:cs="Arial"/>
                                  <w:i/>
                                  <w:sz w:val="18"/>
                                </w:rPr>
                                <w:t xml:space="preserve">. Dell’ordinanza è data notizia dalla cancelleria al giudice e alle parti, le </w:t>
                              </w:r>
                            </w:p>
                          </w:txbxContent>
                        </wps:txbx>
                        <wps:bodyPr horzOverflow="overflow" vert="horz" lIns="0" tIns="0" rIns="0" bIns="0" rtlCol="0">
                          <a:noAutofit/>
                        </wps:bodyPr>
                      </wps:wsp>
                      <wps:wsp>
                        <wps:cNvPr id="20502" name="Rectangle 20502"/>
                        <wps:cNvSpPr/>
                        <wps:spPr>
                          <a:xfrm rot="-10799999">
                            <a:off x="-1090917" y="4555308"/>
                            <a:ext cx="5004451" cy="142889"/>
                          </a:xfrm>
                          <a:prstGeom prst="rect">
                            <a:avLst/>
                          </a:prstGeom>
                          <a:ln>
                            <a:noFill/>
                          </a:ln>
                        </wps:spPr>
                        <wps:txbx>
                          <w:txbxContent>
                            <w:p w14:paraId="53EBFF1E" w14:textId="77777777" w:rsidR="00B32EF2" w:rsidRDefault="00000000">
                              <w:r>
                                <w:rPr>
                                  <w:rFonts w:ascii="Arial" w:eastAsia="Arial" w:hAnsi="Arial" w:cs="Arial"/>
                                  <w:i/>
                                  <w:sz w:val="18"/>
                                </w:rPr>
                                <w:t>quali debbono provvedere alla riassunzione della causa nel termine peren</w:t>
                              </w:r>
                            </w:p>
                          </w:txbxContent>
                        </wps:txbx>
                        <wps:bodyPr horzOverflow="overflow" vert="horz" lIns="0" tIns="0" rIns="0" bIns="0" rtlCol="0">
                          <a:noAutofit/>
                        </wps:bodyPr>
                      </wps:wsp>
                      <wps:wsp>
                        <wps:cNvPr id="20503" name="Rectangle 20503"/>
                        <wps:cNvSpPr/>
                        <wps:spPr>
                          <a:xfrm rot="-10799999">
                            <a:off x="97638" y="4555308"/>
                            <a:ext cx="50622" cy="142889"/>
                          </a:xfrm>
                          <a:prstGeom prst="rect">
                            <a:avLst/>
                          </a:prstGeom>
                          <a:ln>
                            <a:noFill/>
                          </a:ln>
                        </wps:spPr>
                        <wps:txbx>
                          <w:txbxContent>
                            <w:p w14:paraId="679DCA9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504" name="Rectangle 20504"/>
                        <wps:cNvSpPr/>
                        <wps:spPr>
                          <a:xfrm rot="-10799999">
                            <a:off x="2801620" y="4431978"/>
                            <a:ext cx="1111913" cy="142889"/>
                          </a:xfrm>
                          <a:prstGeom prst="rect">
                            <a:avLst/>
                          </a:prstGeom>
                          <a:ln>
                            <a:noFill/>
                          </a:ln>
                        </wps:spPr>
                        <wps:txbx>
                          <w:txbxContent>
                            <w:p w14:paraId="50C97E2A" w14:textId="77777777" w:rsidR="00B32EF2" w:rsidRDefault="00000000">
                              <w:r>
                                <w:rPr>
                                  <w:rFonts w:ascii="Arial" w:eastAsia="Arial" w:hAnsi="Arial" w:cs="Arial"/>
                                  <w:i/>
                                  <w:sz w:val="18"/>
                                </w:rPr>
                                <w:t>torio di sei mesi.</w:t>
                              </w:r>
                            </w:p>
                          </w:txbxContent>
                        </wps:txbx>
                        <wps:bodyPr horzOverflow="overflow" vert="horz" lIns="0" tIns="0" rIns="0" bIns="0" rtlCol="0">
                          <a:noAutofit/>
                        </wps:bodyPr>
                      </wps:wsp>
                      <wps:wsp>
                        <wps:cNvPr id="20505" name="Shape 20505"/>
                        <wps:cNvSpPr/>
                        <wps:spPr>
                          <a:xfrm>
                            <a:off x="31881" y="4406210"/>
                            <a:ext cx="3960000" cy="1850301"/>
                          </a:xfrm>
                          <a:custGeom>
                            <a:avLst/>
                            <a:gdLst/>
                            <a:ahLst/>
                            <a:cxnLst/>
                            <a:rect l="0" t="0" r="0" b="0"/>
                            <a:pathLst>
                              <a:path w="3960000" h="1850301">
                                <a:moveTo>
                                  <a:pt x="0" y="1850301"/>
                                </a:moveTo>
                                <a:lnTo>
                                  <a:pt x="3960000" y="1850301"/>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2007071" id="Group 201917" o:spid="_x0000_s5169" style="width:314.3pt;height:492.65pt;mso-position-horizontal-relative:char;mso-position-vertical-relative:line" coordsize="39918,6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3nOwwAAGOGAAAOAAAAZHJzL2Uyb0RvYy54bWzkXe1u2zgW/b/AvoPh/2lEiqJIo+lg0e4U&#10;Cyx2ipnZB1Ad+QOQLUN2m3Sffs8lJcpSmHYg7YbBsAUSh5YoiYf36/Dy6u1Pj4dq8bVszvv6eLdk&#10;b5Llojyu6/v9cXu3/PfvP9+o5eJ8KY73RVUfy7vlt/K8/OndX//y9uG0Knm9q6v7slmgk+N59XC6&#10;W+4ul9Pq9va83pWH4vymPpVHfLmpm0NxwZ/N9va+KR7Q+6G65Ukibx/q5v7U1OvyfEbrB/vl8p3p&#10;f7Mp15dfNptzeVlUd0vc28X8bMzPz/Tz9t3bYrVtitNuv25vo5hwF4dif8RFXVcfikux+NLsn3R1&#10;2K+b+lxvLm/W9eG23mz269I8A56GJaOn+djUX07mWbarh+3JDROGdjROk7td/+vrx+b02+lTg5F4&#10;OG0xFuYvepbHTXOg37jLxaMZsm9uyMrHy2KNxlRrphRfLtb4TvJMZozZQV3vMPJPzlvv/v6DM2+7&#10;C98ObufhhAly7sfgPG8MftsVp9IM7XmFMfjULPb3d0ueCKGXi2NxwFT9FZOnOG6rcmGbzQCZo91w&#10;nVdnjFw3Voumxvy6YUmu6Z+ZD+3YMZ0kmYQsYJRuJMefdpC6YWS5SiWuTKPIs0QKSd+7oShWp+Z8&#10;+VjWhwV9uFs2uDfTf/H1n+eLPbQ7hG6nOtLPY/3zvqrst9SCEe3umD5dHj8/msdOdZbT9ajxc33/&#10;DaOxq5v//AK53lT1w92ybj8tSdRxefp2uaj+cQQKJFXdh6b78Ln70Fyq97WRPXtDf/tyqTd7c8f9&#10;1do7A7z2Hl4C5wz37cEZze1AYFZMwDlL8kzkBmfBhExVNgRaJTqlKUZAM8GV0i8MtOqeLxKgWZ6n&#10;PqRN+xyoOWeMJVakRcJTyPcQaqYymbMsINZmbvVi9qcXamAqnsFadNN+kljfMCEyDisHqX2dWEun&#10;t+KRa4jWUw2OOWBULk37SVgzzmQqMI9eL9bGw4pIriF7PqipeY4Gv9G5FgrWAUinSuucjzS4yGWu&#10;8oDWWroHjEeqmQ9qSLWb9JOkmksYa3K8COs8l6k2Hm+x6jzwLE2UZhD7UJ6ZTLvJHA/WXrEG1m7a&#10;T8L6hqW55K8bbOePRAK2yLyeGTXPUuGw1ppJa61TCSGWY7mGm54ElWvnjkQDtdcxE5kbiElSzTSI&#10;Eau/vTgnkhz0YNrbuA5R+WTSZ6iFjYIne9/Q3SxnAk4AGeqM6zwdCzQZavBn4aCOjysDofU00hI9&#10;aThNoDOZqKxFWoDzBJkCW9C7ZFykCbzygEhHSJZ5aVG4ZI5fmIQ1xFqxnFu2LOUqTfIR2DDdOuGY&#10;DcE0eHxsGS1IPJVrlqN9jlNmYq2WLfsO1gFVeD+bo/HJEPo+hVpkbtJPFWuWZyn8PbLWLNO5eCLW&#10;LEkw3MHEuucNYoEaVLAP6p4hng41U3ZpK01SKZiZO725Nhqc5kIoDd7TBtFA7SXLhJzHld0wzhOV&#10;wL+HVHPNyOEeemYZh5vOAoZbWNNrLVQ0UHu5MtEzxJOkug+q/TiHDaqxmhcbyt61auQRdAMxCWUI&#10;NNNZy57wXOnc2v0r3c0Zlwjdw+luRw5FI9B+QhRc5hzf+0qgvTgHFujoWDLp50LRPAdlw5LBRFsL&#10;LaUUfGyhyWijMZxAR8eSST8hiuY5UDPQJkgetEhnIkU4Rf31qpsrpnTIlDLL5EREfYMg8Uq1aZ+D&#10;tWHJMm5jLI4AK0dO6ABsWqVWGZyEYDGWuaG4wPb6ZAB7nlNmWLJ25dJgbUmpXrCDYw370s7maHwy&#10;LyEqZvKhJp7mLSHKuZZCjHQ44mmWkZIPJdbKMQbRQO0nRK3Cnbx8eeV+e3EO635jn0ZkAk3Ms4f2&#10;7vn/ifE0Fqk5a+00y8GFjQWaVrPIIQwm0M44xSLQIPq9UDvNNh3qjvbGPiCdW6s4MNM6CUl7K8cY&#10;RAO1nwvt+f8ZUBMJBtobilwKJCeMvW/axxVQqh1tEA3UXudb9Pz/RKixwoHFSgu1SlIQpCOoQYiq&#10;kAllytEG0UDtJ0T7RYBJUPceGfPiHNgji44lw+4cr5l2mm0SyoYQxQ5qK9Ayx86OsUCTR0bZZsE8&#10;MpdUE41A+wnR3Gm26VDD/bZQZxn2SpuwZuSRBdXdsZFkIkcs5IuznHqbCDXHvlrwy8YjE2nK0jHU&#10;nGUCW+2DSbXdyB8RHyoIDh/UTr1NgvrKTHtxDmumrTGJCmU/PYbNkC2DNAllY6YZ8saNQMMiq2Qs&#10;0GSmQ4ZYOjqOjJaRPQLds/8zoG43cjCmZBuzDcz0cCOH1aUvV/RER8eRgeb3Qv0/5MhYIlMmzMgO&#10;oAZHFpAO1dFxZFSTySfVTr3NkOrW+dapVsyHdMhtHNoFkrGEWVTBwIe0024zkG71t8IWW0szD2R6&#10;qL5fupSRdnFkNEj7GbJ+AWAG0q1TJjW2cRhlOUA6sE/mwshokPazZLaa2OTVaWzBbpc3MqkVH8Gc&#10;ajApiHTCxdIuhIwEZto75dPdpn1OnMVRwQhbOEyYJYQU1v25kmjQJhl4uHBQuzgyHqi9bCigdmZs&#10;ovbmSipKSMSq5fNYB1u0FIlNWI2JPKFdcj6PzJmxSUj3FJkX5pAMGUB2IWQkAq2SvqKNKSaLKrGm&#10;7Yd6m5K327Kwqa2dayQX+GHL3SDfINUS0tOlBaosSe0wX1Ek6y+2Lix12tWCRRXie1sVFm277tP6&#10;8dh9pOqx3y2IfCoudB51Sh8XKAHr7mWH5Ij2Vuj7A2rD/l6bIy+jar+4zf7b6nh9lOsNj25Sp3Bs&#10;d0T3+2T6uz6yuy4G6dnjMVqUvjEYrK7H7rft2R45vDq6pQc2/btBQOP1MFdHGg9CpUDB6k1V2Eq8&#10;h/0Flayr/QFX53mr9cxtPim8e758q0oasur4a7lBCV5TXZkazs328/uqWXwtqGau+WfL/FanXdG2&#10;0hxBv+2h7VCgHzp/g3q/rktmTh10+T6l/20P7cF0XmlKZbszE3vmur0bWy8bVafx0F3VbNyBO8lc&#10;uT5e3PlH1Po2FyGt3z5tbwDo/umvF633i+jUq5OdIzJJJ98wpmVKzBYmnUQaGDyvoQxnKEaWUAna&#10;bt3ZriVg+Lry2l3d5v9LaWdoZsf4RKKZBRUH8pjffqluEtS0u0OQvw6kMw3c01H8xJnQpiBwh/TL&#10;EiJA2jE+0SDt57P75bpJSEOoYYpJZgnqXCmJBSkorav4KUF2YHol1C8OdXR8NtblvELttNskqInA&#10;JnVBQEuJrVcjoLlOIdYhgY6NzsabEJ4JlPuMyElQYxcO0lQSuAEEdobddWIEdsbg02uwJsEUuKMC&#10;IlHgANtLdJp2aFzyEieBzTOVIlv/NWPtyIBIsCYS0qvBnSmbhrTKFVS0RVogz4CNgmgGr1wgbyyc&#10;VMdHa/uXJOklN+RHzZJqmGmLNdcZmM+RX4Ya30kaLB0QLrgLJyORamDqFWvTPgdrmGtUf0U5OWOu&#10;XyXYdtNfz2v86d+vIrDk7lXhzm+ZpMIRNEvU6LZIo/qvtksifbiFnTh5UBVu32kWEdIo+Orly0z7&#10;HLHmqPnb7dPIEqEkql2gvx5rbIMXeIVWOHONsnbtA8ajwr00ClS4W9SZJNfgUbK8Kzv2HbADrk3a&#10;9LWIBNvEtz5y1Dmpk6BGpZq0NdV+oQ5YnF/Q6x/iEmmzJcaHsnNPJ6EMgVao8WsdcIH3MaA8/1h7&#10;60yHq3sAqGPjy0zZmKdQU/McO421ZpS1MC6ZUAkWuUZAp8Ju3ggWVdswPyLNDdfL632b9jlQgysD&#10;R2J5UYEXnpEmR39XLhnDm0qRLRgO69i4MmDqTSEy7XOwpqha0ho1RdXfATvgigdznkgk/neGFXpP&#10;VE3N86DGTjrdFimizF+UDhzJNUItqnESTq6dOxIN1BAsn7Gex4v23vczOAf1vrnzRKJB2UuJIgKe&#10;JdAcfhhyBK3qRiFYlKIayjPeR42X4QVU3baITkQ+WUY7la08dzmg1PRDtU3e1VUKaOtn4x1YfFxI&#10;zqU/mjXpQVZjlz92nZv4ilJAhymYfyQRdHhGl6zZ/X6aDjpM3ewTSJ9P70QiZ1WfS+CD/Ls/mOhp&#10;kjlhI59N9rRZmrbP6tjmNp5Pnxq70uVL9vRkZrbJnl03vnzONitzWoroq0j2RNrndvWwPZnx3zbF&#10;abdffyguxfXfZgBXJa93dXVfNu/+CwAA//8DAFBLAwQUAAYACAAAACEA0kCvw90AAAAFAQAADwAA&#10;AGRycy9kb3ducmV2LnhtbEyPQUvDQBCF74L/YRnBm92kpSGN2ZRS1FMRbAXpbZqdJqHZ2ZDdJum/&#10;d/Wil4HHe7z3Tb6eTCsG6l1jWUE8i0AQl1Y3XCn4PLw+pSCcR9bYWiYFN3KwLu7vcsy0HfmDhr2v&#10;RChhl6GC2vsuk9KVNRl0M9sRB+9se4M+yL6SuscxlJtWzqMokQYbDgs1drStqbzsr0bB24jjZhG/&#10;DLvLeXs7HpbvX7uYlHp8mDbPIDxN/i8MP/gBHYrAdLJX1k60CsIj/vcGL5mnCYiTglW6XIAscvmf&#10;vvgGAAD//wMAUEsBAi0AFAAGAAgAAAAhALaDOJL+AAAA4QEAABMAAAAAAAAAAAAAAAAAAAAAAFtD&#10;b250ZW50X1R5cGVzXS54bWxQSwECLQAUAAYACAAAACEAOP0h/9YAAACUAQAACwAAAAAAAAAAAAAA&#10;AAAvAQAAX3JlbHMvLnJlbHNQSwECLQAUAAYACAAAACEAGjxd5zsMAABjhgAADgAAAAAAAAAAAAAA&#10;AAAuAgAAZHJzL2Uyb0RvYy54bWxQSwECLQAUAAYACAAAACEA0kCvw90AAAAFAQAADwAAAAAAAAAA&#10;AAAAAACVDgAAZHJzL2Rvd25yZXYueG1sUEsFBgAAAAAEAAQA8wAAAJ8PAAAAAA==&#10;">
                <v:rect id="Rectangle 20449" o:spid="_x0000_s5170" style="position:absolute;left:19005;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I6xxwAAAN4AAAAPAAAAZHJzL2Rvd25yZXYueG1sRI9Pi8Iw&#10;FMTvC36H8ARva7oii1ajLIrYg5f1D3h8NM+22ryEJtrqp98sLOxxmJnfMPNlZ2rxoMZXlhV8DBMQ&#10;xLnVFRcKjofN+wSED8gaa8uk4Ekelove2xxTbVv+psc+FCJC2KeooAzBpVL6vCSDfmgdcfQutjEY&#10;omwKqRtsI9zUcpQkn9JgxXGhREerkvLb/m4UnNfssk0r88tr5XbXbFJv78eTUoN+9zUDEagL/+G/&#10;dqYVjJLxeAq/d+IVkIsfAAAA//8DAFBLAQItABQABgAIAAAAIQDb4fbL7gAAAIUBAAATAAAAAAAA&#10;AAAAAAAAAAAAAABbQ29udGVudF9UeXBlc10ueG1sUEsBAi0AFAAGAAgAAAAhAFr0LFu/AAAAFQEA&#10;AAsAAAAAAAAAAAAAAAAAHwEAAF9yZWxzLy5yZWxzUEsBAi0AFAAGAAgAAAAhAEtkjrHHAAAA3gAA&#10;AA8AAAAAAAAAAAAAAAAABwIAAGRycy9kb3ducmV2LnhtbFBLBQYAAAAAAwADALcAAAD7AgAAAAA=&#10;" filled="f" stroked="f">
                  <v:textbox inset="0,0,0,0">
                    <w:txbxContent>
                      <w:p w14:paraId="7E6F4CC9" w14:textId="77777777" w:rsidR="00B32EF2" w:rsidRDefault="00000000">
                        <w:r>
                          <w:rPr>
                            <w:rFonts w:ascii="Times New Roman" w:eastAsia="Times New Roman" w:hAnsi="Times New Roman" w:cs="Times New Roman"/>
                          </w:rPr>
                          <w:t>43</w:t>
                        </w:r>
                      </w:p>
                    </w:txbxContent>
                  </v:textbox>
                </v:rect>
                <v:rect id="Rectangle 20450" o:spid="_x0000_s5171" style="position:absolute;left:15075;top:41463;width:80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7HxxQAAAN4AAAAPAAAAZHJzL2Rvd25yZXYueG1sRI/LisIw&#10;FIb3gu8QjuBOU2UcpBpFFJkuZjNewOWhObbV5iQ00dZ5erMYmOXPf+NbrjtTiyc1vrKsYDJOQBDn&#10;VldcKDgd96M5CB+QNdaWScGLPKxX/d4SU21b/qHnIRQijrBPUUEZgkul9HlJBv3YOuLoXW1jMETZ&#10;FFI32MZxU8tpknxKgxXHhxIdbUvK74eHUXDZscv2rcyvv1v3fcvm9dfjdFZqOOg2CxCBuvAf/mtn&#10;WsE0+ZhFgIgTUUCu3gAAAP//AwBQSwECLQAUAAYACAAAACEA2+H2y+4AAACFAQAAEwAAAAAAAAAA&#10;AAAAAAAAAAAAW0NvbnRlbnRfVHlwZXNdLnhtbFBLAQItABQABgAIAAAAIQBa9CxbvwAAABUBAAAL&#10;AAAAAAAAAAAAAAAAAB8BAABfcmVscy8ucmVsc1BLAQItABQABgAIAAAAIQBfh7HxxQAAAN4AAAAP&#10;AAAAAAAAAAAAAAAAAAcCAABkcnMvZG93bnJldi54bWxQSwUGAAAAAAMAAwC3AAAA+QIAAAAA&#10;" filled="f" stroked="f">
                  <v:textbox inset="0,0,0,0">
                    <w:txbxContent>
                      <w:p w14:paraId="01C78ED7" w14:textId="77777777" w:rsidR="00B32EF2" w:rsidRDefault="00000000">
                        <w:r>
                          <w:rPr>
                            <w:rFonts w:ascii="Arial" w:eastAsia="Arial" w:hAnsi="Arial" w:cs="Arial"/>
                            <w:b/>
                            <w:sz w:val="18"/>
                          </w:rPr>
                          <w:t>Articolo 52</w:t>
                        </w:r>
                      </w:p>
                    </w:txbxContent>
                  </v:textbox>
                </v:rect>
                <v:rect id="Rectangle 201773" o:spid="_x0000_s5172" style="position:absolute;left:22111;top:40230;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xqhxwAAAN8AAAAPAAAAZHJzL2Rvd25yZXYueG1sRI9Ba8JA&#10;FITvgv9heUJvutGCSnQVUcQcvGgt9PjIPpNo9u2SXU3aX+8WCj0OM/MNs1x3phZPanxlWcF4lIAg&#10;zq2uuFBw+dgP5yB8QNZYWyYF3+Rhver3lphq2/KJnudQiAhhn6KCMgSXSunzkgz6kXXE0bvaxmCI&#10;simkbrCNcFPLSZJMpcGK40KJjrYl5ffzwyj42rHL9q3Mrz9bd7xl8/rwuHwq9TboNgsQgbrwH/5r&#10;Z1rBJBnPZu/w+yd+Abl6AQAA//8DAFBLAQItABQABgAIAAAAIQDb4fbL7gAAAIUBAAATAAAAAAAA&#10;AAAAAAAAAAAAAABbQ29udGVudF9UeXBlc10ueG1sUEsBAi0AFAAGAAgAAAAhAFr0LFu/AAAAFQEA&#10;AAsAAAAAAAAAAAAAAAAAHwEAAF9yZWxzLy5yZWxzUEsBAi0AFAAGAAgAAAAhAN/LGqHHAAAA3wAA&#10;AA8AAAAAAAAAAAAAAAAABwIAAGRycy9kb3ducmV2LnhtbFBLBQYAAAAAAwADALcAAAD7AgAAAAA=&#10;" filled="f" stroked="f">
                  <v:textbox inset="0,0,0,0">
                    <w:txbxContent>
                      <w:p w14:paraId="4F00B824" w14:textId="77777777" w:rsidR="00B32EF2" w:rsidRDefault="00000000">
                        <w:r>
                          <w:rPr>
                            <w:rFonts w:ascii="Arial" w:eastAsia="Arial" w:hAnsi="Arial" w:cs="Arial"/>
                            <w:i/>
                            <w:sz w:val="18"/>
                          </w:rPr>
                          <w:t>(</w:t>
                        </w:r>
                      </w:p>
                    </w:txbxContent>
                  </v:textbox>
                </v:rect>
                <v:rect id="Rectangle 201774" o:spid="_x0000_s5173" style="position:absolute;left:-1445;top:40230;width:185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oLVxwAAAN8AAAAPAAAAZHJzL2Rvd25yZXYueG1sRI9Ba8JA&#10;FITvgv9heUJvulGKSnQVUcQcvGgt9PjIPpNo9u2SXU3aX+8WCj0OM/MNs1x3phZPanxlWcF4lIAg&#10;zq2uuFBw+dgP5yB8QNZYWyYF3+Rhver3lphq2/KJnudQiAhhn6KCMgSXSunzkgz6kXXE0bvaxmCI&#10;simkbrCNcFPLSZJMpcGK40KJjrYl5ffzwyj42rHL9q3Mrz9bd7xl8/rwuHwq9TboNgsQgbrwH/5r&#10;Z1rBJBnPZu/w+yd+Abl6AQAA//8DAFBLAQItABQABgAIAAAAIQDb4fbL7gAAAIUBAAATAAAAAAAA&#10;AAAAAAAAAAAAAABbQ29udGVudF9UeXBlc10ueG1sUEsBAi0AFAAGAAgAAAAhAFr0LFu/AAAAFQEA&#10;AAsAAAAAAAAAAAAAAAAAHwEAAF9yZWxzLy5yZWxzUEsBAi0AFAAGAAgAAAAhAFAigtXHAAAA3wAA&#10;AA8AAAAAAAAAAAAAAAAABwIAAGRycy9kb3ducmV2LnhtbFBLBQYAAAAAAwADALcAAAD7AgAAAAA=&#10;" filled="f" stroked="f">
                  <v:textbox inset="0,0,0,0">
                    <w:txbxContent>
                      <w:p w14:paraId="7F38F259" w14:textId="77777777" w:rsidR="00B32EF2" w:rsidRDefault="00000000">
                        <w:r>
                          <w:rPr>
                            <w:rFonts w:ascii="Arial" w:eastAsia="Arial" w:hAnsi="Arial" w:cs="Arial"/>
                            <w:i/>
                            <w:sz w:val="18"/>
                          </w:rPr>
                          <w:t>546/92)</w:t>
                        </w:r>
                      </w:p>
                    </w:txbxContent>
                  </v:textbox>
                </v:rect>
                <v:rect id="Rectangle 201775" o:spid="_x0000_s5174" style="position:absolute;left:12163;top:40230;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dOxwAAAN8AAAAPAAAAZHJzL2Rvd25yZXYueG1sRI9Ba8JA&#10;FITvgv9heUJvulGoSnQVUcQcvGgt9PjIPpNo9u2SXU3aX+8WCj0OM/MNs1x3phZPanxlWcF4lIAg&#10;zq2uuFBw+dgP5yB8QNZYWyYF3+Rhver3lphq2/KJnudQiAhhn6KCMgSXSunzkgz6kXXE0bvaxmCI&#10;simkbrCNcFPLSZJMpcGK40KJjrYl5ffzwyj42rHL9q3Mrz9bd7xl8/rwuHwq9TboNgsQgbrwH/5r&#10;Z1rBJBnPZu/w+yd+Abl6AQAA//8DAFBLAQItABQABgAIAAAAIQDb4fbL7gAAAIUBAAATAAAAAAAA&#10;AAAAAAAAAAAAAABbQ29udGVudF9UeXBlc10ueG1sUEsBAi0AFAAGAAgAAAAhAFr0LFu/AAAAFQEA&#10;AAsAAAAAAAAAAAAAAAAAHwEAAF9yZWxzLy5yZWxzUEsBAi0AFAAGAAgAAAAhAD9uJ07HAAAA3wAA&#10;AA8AAAAAAAAAAAAAAAAABwIAAGRycy9kb3ducmV2LnhtbFBLBQYAAAAAAwADALcAAAD7AgAAAAA=&#10;" filled="f" stroked="f">
                  <v:textbox inset="0,0,0,0">
                    <w:txbxContent>
                      <w:p w14:paraId="57B166B5" w14:textId="77777777" w:rsidR="00B32EF2" w:rsidRDefault="00000000">
                        <w:r>
                          <w:rPr>
                            <w:rFonts w:ascii="Arial" w:eastAsia="Arial" w:hAnsi="Arial" w:cs="Arial"/>
                            <w:i/>
                            <w:sz w:val="18"/>
                          </w:rPr>
                          <w:t xml:space="preserve">articolo 7 D.lgs. n. </w:t>
                        </w:r>
                      </w:p>
                    </w:txbxContent>
                  </v:textbox>
                </v:rect>
                <v:rect id="Rectangle 20452" o:spid="_x0000_s5175" style="position:absolute;left:-9794;top:38997;width:476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YodxgAAAN4AAAAPAAAAZHJzL2Rvd25yZXYueG1sRI9Ba8JA&#10;FITvBf/D8gRvdWNoi0RXEUWag5daBY+P7DOJZt8u2dVEf323UOhxmJlvmPmyN424U+trywom4wQE&#10;cWF1zaWCw/f2dQrCB2SNjWVS8CAPy8XgZY6Zth1/0X0fShEh7DNUUIXgMil9UZFBP7aOOHpn2xoM&#10;Ubal1C12EW4amSbJhzRYc1yo0NG6ouK6vxkFpw27fNvJ4vxcu90lnzaft8NRqdGwX81ABOrDf/iv&#10;nWsFafL2nsLvnXgF5OIHAAD//wMAUEsBAi0AFAAGAAgAAAAhANvh9svuAAAAhQEAABMAAAAAAAAA&#10;AAAAAAAAAAAAAFtDb250ZW50X1R5cGVzXS54bWxQSwECLQAUAAYACAAAACEAWvQsW78AAAAVAQAA&#10;CwAAAAAAAAAAAAAAAAAfAQAAX3JlbHMvLnJlbHNQSwECLQAUAAYACAAAACEAwBmKHcYAAADeAAAA&#10;DwAAAAAAAAAAAAAAAAAHAgAAZHJzL2Rvd25yZXYueG1sUEsFBgAAAAADAAMAtwAAAPoCAAAAAA==&#10;" filled="f" stroked="f">
                  <v:textbox inset="0,0,0,0">
                    <w:txbxContent>
                      <w:p w14:paraId="54F0FB7C" w14:textId="77777777" w:rsidR="00B32EF2" w:rsidRDefault="00000000">
                        <w:r>
                          <w:rPr>
                            <w:rFonts w:ascii="Arial" w:eastAsia="Arial" w:hAnsi="Arial" w:cs="Arial"/>
                            <w:b/>
                            <w:sz w:val="18"/>
                          </w:rPr>
                          <w:t xml:space="preserve">Poteri delle corti di giustizia tributaria di primo e secondo grado </w:t>
                        </w:r>
                      </w:p>
                    </w:txbxContent>
                  </v:textbox>
                </v:rect>
                <v:rect id="Rectangle 201771" o:spid="_x0000_s5176" style="position:absolute;left:26110;top:3776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SFNxwAAAN8AAAAPAAAAZHJzL2Rvd25yZXYueG1sRI9Pi8Iw&#10;FMTvC36H8ARva1oPq3SNIopsD17WP7DHR/Nsu9u8hCba6qffCILHYWZ+w8yXvWnElVpfW1aQjhMQ&#10;xIXVNZcKjoft+wyED8gaG8uk4EYelovB2xwzbTv+pus+lCJC2GeooArBZVL6oiKDfmwdcfTOtjUY&#10;omxLqVvsItw0cpIkH9JgzXGhQkfrioq//cUo+Nmwy7edLM73tdv95rPm63I8KTUa9qtPEIH68Ao/&#10;27lWMEnS6TSFx5/4BeTiHwAA//8DAFBLAQItABQABgAIAAAAIQDb4fbL7gAAAIUBAAATAAAAAAAA&#10;AAAAAAAAAAAAAABbQ29udGVudF9UeXBlc10ueG1sUEsBAi0AFAAGAAgAAAAhAFr0LFu/AAAAFQEA&#10;AAsAAAAAAAAAAAAAAAAAHwEAAF9yZWxzLy5yZWxzUEsBAi0AFAAGAAgAAAAhAEBVIU3HAAAA3wAA&#10;AA8AAAAAAAAAAAAAAAAABwIAAGRycy9kb3ducmV2LnhtbFBLBQYAAAAAAwADALcAAAD7AgAAAAA=&#10;" filled="f" stroked="f">
                  <v:textbox inset="0,0,0,0">
                    <w:txbxContent>
                      <w:p w14:paraId="7F7A7EBF" w14:textId="77777777" w:rsidR="00B32EF2" w:rsidRDefault="00000000">
                        <w:r>
                          <w:rPr>
                            <w:rFonts w:ascii="Arial" w:eastAsia="Arial" w:hAnsi="Arial" w:cs="Arial"/>
                            <w:sz w:val="18"/>
                          </w:rPr>
                          <w:t>1</w:t>
                        </w:r>
                      </w:p>
                    </w:txbxContent>
                  </v:textbox>
                </v:rect>
                <v:rect id="Rectangle 201772" o:spid="_x0000_s5177" style="position:absolute;left:-13762;top:37763;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786yAAAAN8AAAAPAAAAZHJzL2Rvd25yZXYueG1sRI9Pa8JA&#10;FMTvBb/D8oTe6sYcqkQ3Ioo0h15qFTw+si9/NPt2ya4m7afvFgo9DjPzG2a9GU0nHtT71rKC+SwB&#10;QVxa3XKt4PR5eFmC8AFZY2eZFHyRh00+eVpjpu3AH/Q4hlpECPsMFTQhuExKXzZk0M+sI45eZXuD&#10;Icq+lrrHIcJNJ9MkeZUGW44LDTraNVTejnej4LJnVxwGWVbfO/d+LZbd2/10Vup5Om5XIAKN4T/8&#10;1y60gjSZLxYp/P6JX0DmPwAAAP//AwBQSwECLQAUAAYACAAAACEA2+H2y+4AAACFAQAAEwAAAAAA&#10;AAAAAAAAAAAAAAAAW0NvbnRlbnRfVHlwZXNdLnhtbFBLAQItABQABgAIAAAAIQBa9CxbvwAAABUB&#10;AAALAAAAAAAAAAAAAAAAAB8BAABfcmVscy8ucmVsc1BLAQItABQABgAIAAAAIQCwh786yAAAAN8A&#10;AAAPAAAAAAAAAAAAAAAAAAcCAABkcnMvZG93bnJldi54bWxQSwUGAAAAAAMAAwC3AAAA/AIAAAAA&#10;" filled="f" stroked="f">
                  <v:textbox inset="0,0,0,0">
                    <w:txbxContent>
                      <w:p w14:paraId="2D2399A5" w14:textId="77777777" w:rsidR="00B32EF2" w:rsidRDefault="00000000">
                        <w:r>
                          <w:rPr>
                            <w:rFonts w:ascii="Arial" w:eastAsia="Arial" w:hAnsi="Arial" w:cs="Arial"/>
                            <w:sz w:val="18"/>
                          </w:rPr>
                          <w:t xml:space="preserve">. Le corti di giustizia tributaria di primo e secondo grado, ai fini istruttori e nei </w:t>
                        </w:r>
                      </w:p>
                    </w:txbxContent>
                  </v:textbox>
                </v:rect>
                <v:rect id="Rectangle 20454" o:spid="_x0000_s5178" style="position:absolute;left:-12191;top:36530;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fyxwAAAN4AAAAPAAAAZHJzL2Rvd25yZXYueG1sRI9Pi8Iw&#10;FMTvC36H8ARva7riLlKNsihiD17WP+Dx0TzbavMSmmirn36zsOBxmJnfMLNFZ2pxp8ZXlhV8DBMQ&#10;xLnVFRcKDvv1+wSED8gaa8uk4EEeFvPe2wxTbVv+ofsuFCJC2KeooAzBpVL6vCSDfmgdcfTOtjEY&#10;omwKqRtsI9zUcpQkX9JgxXGhREfLkvLr7mYUnFbssnUr8/Nz6baXbFJvboejUoN+9z0FEagLr/B/&#10;O9MKRsn4cwx/d+IVkPNfAAAA//8DAFBLAQItABQABgAIAAAAIQDb4fbL7gAAAIUBAAATAAAAAAAA&#10;AAAAAAAAAAAAAABbQ29udGVudF9UeXBlc10ueG1sUEsBAi0AFAAGAAgAAAAhAFr0LFu/AAAAFQEA&#10;AAsAAAAAAAAAAAAAAAAAHwEAAF9yZWxzLy5yZWxzUEsBAi0AFAAGAAgAAAAhACC8t/LHAAAA3gAA&#10;AA8AAAAAAAAAAAAAAAAABwIAAGRycy9kb3ducmV2LnhtbFBLBQYAAAAAAwADALcAAAD7AgAAAAA=&#10;" filled="f" stroked="f">
                  <v:textbox inset="0,0,0,0">
                    <w:txbxContent>
                      <w:p w14:paraId="67D99CE0" w14:textId="77777777" w:rsidR="00B32EF2" w:rsidRDefault="00000000">
                        <w:r>
                          <w:rPr>
                            <w:rFonts w:ascii="Arial" w:eastAsia="Arial" w:hAnsi="Arial" w:cs="Arial"/>
                            <w:sz w:val="18"/>
                          </w:rPr>
                          <w:t>limiti dei fatti dedotti dalle parti, esercitano tutte le facoltà di accesso, di richie</w:t>
                        </w:r>
                      </w:p>
                    </w:txbxContent>
                  </v:textbox>
                </v:rect>
                <v:rect id="Rectangle 20455" o:spid="_x0000_s5179" style="position:absolute;left:192;top:3653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BJpxwAAAN4AAAAPAAAAZHJzL2Rvd25yZXYueG1sRI9Pi8Iw&#10;FMTvgt8hPGFvmq6si1SjLIrYw17WP+Dx0TzbavMSmmirn36zsOBxmJnfMPNlZ2pxp8ZXlhW8jxIQ&#10;xLnVFRcKDvvNcArCB2SNtWVS8CAPy0W/N8dU25Z/6L4LhYgQ9ikqKENwqZQ+L8mgH1lHHL2zbQyG&#10;KJtC6gbbCDe1HCfJpzRYcVwo0dGqpPy6uxkFpzW7bNPK/Pxcue9LNq23t8NRqbdB9zUDEagLr/B/&#10;O9MKxsnHZAJ/d+IVkItfAAAA//8DAFBLAQItABQABgAIAAAAIQDb4fbL7gAAAIUBAAATAAAAAAAA&#10;AAAAAAAAAAAAAABbQ29udGVudF9UeXBlc10ueG1sUEsBAi0AFAAGAAgAAAAhAFr0LFu/AAAAFQEA&#10;AAsAAAAAAAAAAAAAAAAAHwEAAF9yZWxzLy5yZWxzUEsBAi0AFAAGAAgAAAAhAE/wEmnHAAAA3gAA&#10;AA8AAAAAAAAAAAAAAAAABwIAAGRycy9kb3ducmV2LnhtbFBLBQYAAAAAAwADALcAAAD7AgAAAAA=&#10;" filled="f" stroked="f">
                  <v:textbox inset="0,0,0,0">
                    <w:txbxContent>
                      <w:p w14:paraId="76C134CB" w14:textId="77777777" w:rsidR="00B32EF2" w:rsidRDefault="00000000">
                        <w:r>
                          <w:rPr>
                            <w:rFonts w:ascii="Arial" w:eastAsia="Arial" w:hAnsi="Arial" w:cs="Arial"/>
                            <w:sz w:val="18"/>
                          </w:rPr>
                          <w:t>-</w:t>
                        </w:r>
                      </w:p>
                    </w:txbxContent>
                  </v:textbox>
                </v:rect>
                <v:rect id="Rectangle 20456" o:spid="_x0000_s5180" style="position:absolute;left:-13171;top:3529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wexwAAAN4AAAAPAAAAZHJzL2Rvd25yZXYueG1sRI9Pi8Iw&#10;FMTvgt8hPGFvmq7silSjLIrYw17WP+Dx0TzbavMSmmirn36zsOBxmJnfMPNlZ2pxp8ZXlhW8jxIQ&#10;xLnVFRcKDvvNcArCB2SNtWVS8CAPy0W/N8dU25Z/6L4LhYgQ9ikqKENwqZQ+L8mgH1lHHL2zbQyG&#10;KJtC6gbbCDe1HCfJRBqsOC6U6GhVUn7d3YyC05pdtmllfn6u3Pclm9bb2+Go1Nug+5qBCNSFV/i/&#10;nWkF4+TjcwJ/d+IVkItfAAAA//8DAFBLAQItABQABgAIAAAAIQDb4fbL7gAAAIUBAAATAAAAAAAA&#10;AAAAAAAAAAAAAABbQ29udGVudF9UeXBlc10ueG1sUEsBAi0AFAAGAAgAAAAhAFr0LFu/AAAAFQEA&#10;AAsAAAAAAAAAAAAAAAAAHwEAAF9yZWxzLy5yZWxzUEsBAi0AFAAGAAgAAAAhAL8ijB7HAAAA3gAA&#10;AA8AAAAAAAAAAAAAAAAABwIAAGRycy9kb3ducmV2LnhtbFBLBQYAAAAAAwADALcAAAD7AgAAAAA=&#10;" filled="f" stroked="f">
                  <v:textbox inset="0,0,0,0">
                    <w:txbxContent>
                      <w:p w14:paraId="17FA9A18" w14:textId="77777777" w:rsidR="00B32EF2" w:rsidRDefault="00000000">
                        <w:r>
                          <w:rPr>
                            <w:rFonts w:ascii="Arial" w:eastAsia="Arial" w:hAnsi="Arial" w:cs="Arial"/>
                            <w:sz w:val="18"/>
                          </w:rPr>
                          <w:t xml:space="preserve">sta di dati, di informazioni e chiarimenti conferite agli uffici tributari ed all’ente </w:t>
                        </w:r>
                      </w:p>
                    </w:txbxContent>
                  </v:textbox>
                </v:rect>
                <v:rect id="Rectangle 20457" o:spid="_x0000_s5181" style="position:absolute;left:15608;top:34064;width:2431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imFxwAAAN4AAAAPAAAAZHJzL2Rvd25yZXYueG1sRI9Pa8JA&#10;FMTvBb/D8gRvdVOxKtFVikXMoZf6Bzw+ss8kNvt2ya4m9tN3C4LHYWZ+wyxWnanFjRpfWVbwNkxA&#10;EOdWV1woOOw3rzMQPiBrrC2Tgjt5WC17LwtMtW35m267UIgIYZ+igjIEl0rp85IM+qF1xNE728Zg&#10;iLIppG6wjXBTy1GSTKTBiuNCiY7WJeU/u6tRcPpkl21amZ9/1+7rks3q7fVwVGrQ7z7mIAJ14Rl+&#10;tDOtYJSM36fwfydeAbn8AwAA//8DAFBLAQItABQABgAIAAAAIQDb4fbL7gAAAIUBAAATAAAAAAAA&#10;AAAAAAAAAAAAAABbQ29udGVudF9UeXBlc10ueG1sUEsBAi0AFAAGAAgAAAAhAFr0LFu/AAAAFQEA&#10;AAsAAAAAAAAAAAAAAAAAHwEAAF9yZWxzLy5yZWxzUEsBAi0AFAAGAAgAAAAhANBuKYXHAAAA3gAA&#10;AA8AAAAAAAAAAAAAAAAABwIAAGRycy9kb3ducmV2LnhtbFBLBQYAAAAAAwADALcAAAD7AgAAAAA=&#10;" filled="f" stroked="f">
                  <v:textbox inset="0,0,0,0">
                    <w:txbxContent>
                      <w:p w14:paraId="1B85B5C4" w14:textId="77777777" w:rsidR="00B32EF2" w:rsidRDefault="00000000">
                        <w:r>
                          <w:rPr>
                            <w:rFonts w:ascii="Arial" w:eastAsia="Arial" w:hAnsi="Arial" w:cs="Arial"/>
                            <w:sz w:val="18"/>
                          </w:rPr>
                          <w:t>locale da ciascuna legge d’imposta.</w:t>
                        </w:r>
                      </w:p>
                    </w:txbxContent>
                  </v:textbox>
                </v:rect>
                <v:rect id="Rectangle 201770" o:spid="_x0000_s5182" style="position:absolute;left:-13817;top:3283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YTWxwAAAN8AAAAPAAAAZHJzL2Rvd25yZXYueG1sRI+9bsIw&#10;FIX3SryDdZHYigMDiVIMqkCIDCxNqdTxKr4kaeNrKzZJ6NPXQ6WOR+dP33Y/mU4M1PvWsoLVMgFB&#10;XFndcq3g+n56zkD4gKyxs0wKHuRhv5s9bTHXduQ3GspQizjCPkcFTQgul9JXDRn0S+uIo3ezvcEQ&#10;ZV9L3eMYx00n10mykQZbjg8NOjo0VH2Xd6Pg88iuOI2yuv0c3OWryLrz/fqh1GI+vb6ACDSF//Bf&#10;u9AK1skqTSNB5IksIHe/AAAA//8DAFBLAQItABQABgAIAAAAIQDb4fbL7gAAAIUBAAATAAAAAAAA&#10;AAAAAAAAAAAAAABbQ29udGVudF9UeXBlc10ueG1sUEsBAi0AFAAGAAgAAAAhAFr0LFu/AAAAFQEA&#10;AAsAAAAAAAAAAAAAAAAAHwEAAF9yZWxzLy5yZWxzUEsBAi0AFAAGAAgAAAAhAC8ZhNbHAAAA3wAA&#10;AA8AAAAAAAAAAAAAAAAABwIAAGRycy9kb3ducmV2LnhtbFBLBQYAAAAAAwADALcAAAD7AgAAAAA=&#10;" filled="f" stroked="f">
                  <v:textbox inset="0,0,0,0">
                    <w:txbxContent>
                      <w:p w14:paraId="17B734DE" w14:textId="77777777" w:rsidR="00B32EF2" w:rsidRDefault="00000000">
                        <w:r>
                          <w:rPr>
                            <w:rFonts w:ascii="Arial" w:eastAsia="Arial" w:hAnsi="Arial" w:cs="Arial"/>
                            <w:sz w:val="18"/>
                          </w:rPr>
                          <w:t xml:space="preserve">. Le corti di giustizia tributaria di primo e secondo grado, quando occorre </w:t>
                        </w:r>
                      </w:p>
                    </w:txbxContent>
                  </v:textbox>
                </v:rect>
                <v:rect id="Rectangle 201768" o:spid="_x0000_s5183" style="position:absolute;left:26110;top:3283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h4NxAAAAN8AAAAPAAAAZHJzL2Rvd25yZXYueG1sRE9Ni8Iw&#10;EL0v+B/CCN7WVA+uVKOIIvbgZd0KHodmbKvNJDTRVn/95rCwx8f7Xq5704gntb62rGAyTkAQF1bX&#10;XCrIf/afcxA+IGtsLJOCF3lYrwYfS0y17fibnqdQihjCPkUFVQguldIXFRn0Y+uII3e1rcEQYVtK&#10;3WIXw00jp0kykwZrjg0VOtpWVNxPD6PgsmOX7TtZXN9bd7xl8+bwyM9KjYb9ZgEiUB/+xX/uTCuY&#10;JpOvWRwc/8QvIFe/AAAA//8DAFBLAQItABQABgAIAAAAIQDb4fbL7gAAAIUBAAATAAAAAAAAAAAA&#10;AAAAAAAAAABbQ29udGVudF9UeXBlc10ueG1sUEsBAi0AFAAGAAgAAAAhAFr0LFu/AAAAFQEAAAsA&#10;AAAAAAAAAAAAAAAAHwEAAF9yZWxzLy5yZWxzUEsBAi0AFAAGAAgAAAAhAFS2Hg3EAAAA3wAAAA8A&#10;AAAAAAAAAAAAAAAABwIAAGRycy9kb3ducmV2LnhtbFBLBQYAAAAAAwADALcAAAD4AgAAAAA=&#10;" filled="f" stroked="f">
                  <v:textbox inset="0,0,0,0">
                    <w:txbxContent>
                      <w:p w14:paraId="790D1216" w14:textId="77777777" w:rsidR="00B32EF2" w:rsidRDefault="00000000">
                        <w:r>
                          <w:rPr>
                            <w:rFonts w:ascii="Arial" w:eastAsia="Arial" w:hAnsi="Arial" w:cs="Arial"/>
                            <w:sz w:val="18"/>
                          </w:rPr>
                          <w:t>2</w:t>
                        </w:r>
                      </w:p>
                    </w:txbxContent>
                  </v:textbox>
                </v:rect>
                <v:rect id="Rectangle 20459" o:spid="_x0000_s5184" style="position:absolute;left:-13175;top:31597;width:531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RhsxwAAAN4AAAAPAAAAZHJzL2Rvd25yZXYueG1sRI9Ba8JA&#10;FITvQv/D8gredKNYsdFVRJHm4KXWQo+P7DOJZt8u2dWk/fVuQfA4zMw3zGLVmVrcqPGVZQWjYQKC&#10;OLe64kLB8Ws3mIHwAVljbZkU/JKH1fKlt8BU25Y/6XYIhYgQ9ikqKENwqZQ+L8mgH1pHHL2TbQyG&#10;KJtC6gbbCDe1HCfJVBqsOC6U6GhTUn45XI2Cny27bNfK/PS3cftzNqs/rsdvpfqv3XoOIlAXnuFH&#10;O9MKxsnk7R3+78QrIJd3AAAA//8DAFBLAQItABQABgAIAAAAIQDb4fbL7gAAAIUBAAATAAAAAAAA&#10;AAAAAAAAAAAAAABbQ29udGVudF9UeXBlc10ueG1sUEsBAi0AFAAGAAgAAAAhAFr0LFu/AAAAFQEA&#10;AAsAAAAAAAAAAAAAAAAAHwEAAF9yZWxzLy5yZWxzUEsBAi0AFAAGAAgAAAAhAM69GGzHAAAA3gAA&#10;AA8AAAAAAAAAAAAAAAAABwIAAGRycy9kb3ducmV2LnhtbFBLBQYAAAAAAwADALcAAAD7AgAAAAA=&#10;" filled="f" stroked="f">
                  <v:textbox inset="0,0,0,0">
                    <w:txbxContent>
                      <w:p w14:paraId="7C843A82" w14:textId="77777777" w:rsidR="00B32EF2" w:rsidRDefault="00000000">
                        <w:r>
                          <w:rPr>
                            <w:rFonts w:ascii="Arial" w:eastAsia="Arial" w:hAnsi="Arial" w:cs="Arial"/>
                            <w:sz w:val="18"/>
                          </w:rPr>
                          <w:t xml:space="preserve">acquisire elementi conoscitivi di particolare complessità, possono richiedere </w:t>
                        </w:r>
                      </w:p>
                    </w:txbxContent>
                  </v:textbox>
                </v:rect>
                <v:rect id="Rectangle 20460" o:spid="_x0000_s5185" style="position:absolute;left:-13171;top:3036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3tMxgAAAN4AAAAPAAAAZHJzL2Rvd25yZXYueG1sRI/NasJA&#10;FIX3Bd9huIK7OjFIkNRRRAlm0U1ThS4vmWuSNnNnyIwm7dN3FoUuD+ePb7ufTC8eNPjOsoLVMgFB&#10;XFvdcaPg8l48b0D4gKyxt0wKvsnDfjd72mKu7chv9KhCI+II+xwVtCG4XEpft2TQL60jjt7NDgZD&#10;lEMj9YBjHDe9TJMkkwY7jg8tOjq2VH9Vd6Pg48SuLEZZ336O7vWz3PTn++Wq1GI+HV5ABJrCf/iv&#10;XWoFabLOIkDEiSggd78AAAD//wMAUEsBAi0AFAAGAAgAAAAhANvh9svuAAAAhQEAABMAAAAAAAAA&#10;AAAAAAAAAAAAAFtDb250ZW50X1R5cGVzXS54bWxQSwECLQAUAAYACAAAACEAWvQsW78AAAAVAQAA&#10;CwAAAAAAAAAAAAAAAAAfAQAAX3JlbHMvLnJlbHNQSwECLQAUAAYACAAAACEAket7TMYAAADeAAAA&#10;DwAAAAAAAAAAAAAAAAAHAgAAZHJzL2Rvd25yZXYueG1sUEsFBgAAAAADAAMAtwAAAPoCAAAAAA==&#10;" filled="f" stroked="f">
                  <v:textbox inset="0,0,0,0">
                    <w:txbxContent>
                      <w:p w14:paraId="7122E2E1" w14:textId="77777777" w:rsidR="00B32EF2" w:rsidRDefault="00000000">
                        <w:r>
                          <w:rPr>
                            <w:rFonts w:ascii="Arial" w:eastAsia="Arial" w:hAnsi="Arial" w:cs="Arial"/>
                            <w:sz w:val="18"/>
                          </w:rPr>
                          <w:t xml:space="preserve">apposite relazioni ad organi tecnici dell’amministrazione dello Stato o di altri </w:t>
                        </w:r>
                      </w:p>
                    </w:txbxContent>
                  </v:textbox>
                </v:rect>
                <v:rect id="Rectangle 20461" o:spid="_x0000_s5186" style="position:absolute;left:-12208;top:29130;width:521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7XxQAAAN4AAAAPAAAAZHJzL2Rvd25yZXYueG1sRI9Bi8Iw&#10;FITvC/6H8ARva6osItUoosj2sBddBY+P5tlWm5fQRFv31xtB2OMwM98w82VnanGnxleWFYyGCQji&#10;3OqKCwWH3+3nFIQPyBpry6TgQR6Wi97HHFNtW97RfR8KESHsU1RQhuBSKX1ekkE/tI44emfbGAxR&#10;NoXUDbYRbmo5TpKJNFhxXCjR0bqk/Lq/GQWnDbts28r8/Ld2P5dsWn/fDkelBv1uNQMRqAv/4Xc7&#10;0wrGyddkBK878QrIxRMAAP//AwBQSwECLQAUAAYACAAAACEA2+H2y+4AAACFAQAAEwAAAAAAAAAA&#10;AAAAAAAAAAAAW0NvbnRlbnRfVHlwZXNdLnhtbFBLAQItABQABgAIAAAAIQBa9CxbvwAAABUBAAAL&#10;AAAAAAAAAAAAAAAAAB8BAABfcmVscy8ucmVsc1BLAQItABQABgAIAAAAIQD+p97XxQAAAN4AAAAP&#10;AAAAAAAAAAAAAAAAAAcCAABkcnMvZG93bnJldi54bWxQSwUGAAAAAAMAAwC3AAAA+QIAAAAA&#10;" filled="f" stroked="f">
                  <v:textbox inset="0,0,0,0">
                    <w:txbxContent>
                      <w:p w14:paraId="1CD8E494" w14:textId="77777777" w:rsidR="00B32EF2" w:rsidRDefault="00000000">
                        <w:r>
                          <w:rPr>
                            <w:rFonts w:ascii="Arial" w:eastAsia="Arial" w:hAnsi="Arial" w:cs="Arial"/>
                            <w:sz w:val="18"/>
                          </w:rPr>
                          <w:t>enti pubblici compreso il Corpo della Guardia di finanza, ovvero disporre con</w:t>
                        </w:r>
                      </w:p>
                    </w:txbxContent>
                  </v:textbox>
                </v:rect>
                <v:rect id="Rectangle 20462" o:spid="_x0000_s5187" style="position:absolute;left:192;top:2913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UCgxgAAAN4AAAAPAAAAZHJzL2Rvd25yZXYueG1sRI9Ba8JA&#10;FITvgv9heQVvumkQkdRVRBFz6KU2gsdH9pmkZt8u2dXE/vpuodDjMDPfMKvNYFrxoM43lhW8zhIQ&#10;xKXVDVcKis/DdAnCB2SNrWVS8CQPm/V4tMJM254/6HEKlYgQ9hkqqENwmZS+rMmgn1lHHL2r7QyG&#10;KLtK6g77CDetTJNkIQ02HBdqdLSrqbyd7kbBZc8uP/SyvH7v3PtXvmyP9+Ks1ORl2L6BCDSE//Bf&#10;O9cK0mS+SOH3TrwCcv0DAAD//wMAUEsBAi0AFAAGAAgAAAAhANvh9svuAAAAhQEAABMAAAAAAAAA&#10;AAAAAAAAAAAAAFtDb250ZW50X1R5cGVzXS54bWxQSwECLQAUAAYACAAAACEAWvQsW78AAAAVAQAA&#10;CwAAAAAAAAAAAAAAAAAfAQAAX3JlbHMvLnJlbHNQSwECLQAUAAYACAAAACEADnVAoMYAAADeAAAA&#10;DwAAAAAAAAAAAAAAAAAHAgAAZHJzL2Rvd25yZXYueG1sUEsFBgAAAAADAAMAtwAAAPoCAAAAAA==&#10;" filled="f" stroked="f">
                  <v:textbox inset="0,0,0,0">
                    <w:txbxContent>
                      <w:p w14:paraId="0708FA39" w14:textId="77777777" w:rsidR="00B32EF2" w:rsidRDefault="00000000">
                        <w:r>
                          <w:rPr>
                            <w:rFonts w:ascii="Arial" w:eastAsia="Arial" w:hAnsi="Arial" w:cs="Arial"/>
                            <w:sz w:val="18"/>
                          </w:rPr>
                          <w:t>-</w:t>
                        </w:r>
                      </w:p>
                    </w:txbxContent>
                  </v:textbox>
                </v:rect>
                <v:rect id="Rectangle 20463" o:spid="_x0000_s5188" style="position:absolute;left:-12195;top:27897;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eU7xwAAAN4AAAAPAAAAZHJzL2Rvd25yZXYueG1sRI9Pi8Iw&#10;FMTvgt8hPGFvmq67iFSjLIrYw17WP+Dx0TzbavMSmmirn36zsOBxmJnfMPNlZ2pxp8ZXlhW8jxIQ&#10;xLnVFRcKDvvNcArCB2SNtWVS8CAPy0W/N8dU25Z/6L4LhYgQ9ikqKENwqZQ+L8mgH1lHHL2zbQyG&#10;KJtC6gbbCDe1HCfJRBqsOC6U6GhVUn7d3YyC05pdtmllfn6u3Pclm9bb2+Go1Nug+5qBCNSFV/i/&#10;nWkF4+Rz8gF/d+IVkItfAAAA//8DAFBLAQItABQABgAIAAAAIQDb4fbL7gAAAIUBAAATAAAAAAAA&#10;AAAAAAAAAAAAAABbQ29udGVudF9UeXBlc10ueG1sUEsBAi0AFAAGAAgAAAAhAFr0LFu/AAAAFQEA&#10;AAsAAAAAAAAAAAAAAAAAHwEAAF9yZWxzLy5yZWxzUEsBAi0AFAAGAAgAAAAhAGE55TvHAAAA3gAA&#10;AA8AAAAAAAAAAAAAAAAABwIAAGRycy9kb3ducmV2LnhtbFBLBQYAAAAAAwADALcAAAD7AgAAAAA=&#10;" filled="f" stroked="f">
                  <v:textbox inset="0,0,0,0">
                    <w:txbxContent>
                      <w:p w14:paraId="48976A79" w14:textId="77777777" w:rsidR="00B32EF2" w:rsidRDefault="00000000">
                        <w:r>
                          <w:rPr>
                            <w:rFonts w:ascii="Arial" w:eastAsia="Arial" w:hAnsi="Arial" w:cs="Arial"/>
                            <w:sz w:val="18"/>
                          </w:rPr>
                          <w:t>sulenza tecnica. I compensi spettanti ai consulenti tecnici non possono ecce</w:t>
                        </w:r>
                      </w:p>
                    </w:txbxContent>
                  </v:textbox>
                </v:rect>
                <v:rect id="Rectangle 20464" o:spid="_x0000_s5189" style="position:absolute;left:192;top:2789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H1PxgAAAN4AAAAPAAAAZHJzL2Rvd25yZXYueG1sRI9Pi8Iw&#10;FMTvC36H8ARva6qISDWKKGIPe1n/gMdH82yrzUtooq376TcLCx6HmfkNs1h1phZPanxlWcFomIAg&#10;zq2uuFBwOu4+ZyB8QNZYWyYFL/KwWvY+Fphq2/I3PQ+hEBHCPkUFZQguldLnJRn0Q+uIo3e1jcEQ&#10;ZVNI3WAb4aaW4ySZSoMVx4USHW1Kyu+Hh1Fw2bLLdq3Mrz8b93XLZvX+cTorNeh36zmIQF14h//b&#10;mVYwTibTCfzdiVdALn8BAAD//wMAUEsBAi0AFAAGAAgAAAAhANvh9svuAAAAhQEAABMAAAAAAAAA&#10;AAAAAAAAAAAAAFtDb250ZW50X1R5cGVzXS54bWxQSwECLQAUAAYACAAAACEAWvQsW78AAAAVAQAA&#10;CwAAAAAAAAAAAAAAAAAfAQAAX3JlbHMvLnJlbHNQSwECLQAUAAYACAAAACEA7tB9T8YAAADeAAAA&#10;DwAAAAAAAAAAAAAAAAAHAgAAZHJzL2Rvd25yZXYueG1sUEsFBgAAAAADAAMAtwAAAPoCAAAAAA==&#10;" filled="f" stroked="f">
                  <v:textbox inset="0,0,0,0">
                    <w:txbxContent>
                      <w:p w14:paraId="6FD52A1F" w14:textId="77777777" w:rsidR="00B32EF2" w:rsidRDefault="00000000">
                        <w:r>
                          <w:rPr>
                            <w:rFonts w:ascii="Arial" w:eastAsia="Arial" w:hAnsi="Arial" w:cs="Arial"/>
                            <w:sz w:val="18"/>
                          </w:rPr>
                          <w:t>-</w:t>
                        </w:r>
                      </w:p>
                    </w:txbxContent>
                  </v:textbox>
                </v:rect>
                <v:rect id="Rectangle 20465" o:spid="_x0000_s5190" style="position:absolute;left:-13170;top:26664;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NjUxwAAAN4AAAAPAAAAZHJzL2Rvd25yZXYueG1sRI9Pi8Iw&#10;FMTvgt8hPGFvmq7silSjLIrYw17WP+Dx0TzbavMSmmirn36zsOBxmJnfMPNlZ2pxp8ZXlhW8jxIQ&#10;xLnVFRcKDvvNcArCB2SNtWVS8CAPy0W/N8dU25Z/6L4LhYgQ9ikqKENwqZQ+L8mgH1lHHL2zbQyG&#10;KJtC6gbbCDe1HCfJRBqsOC6U6GhVUn7d3YyC05pdtmllfn6u3Pclm9bb2+Go1Nug+5qBCNSFV/i/&#10;nWkF4+Rj8gl/d+IVkItfAAAA//8DAFBLAQItABQABgAIAAAAIQDb4fbL7gAAAIUBAAATAAAAAAAA&#10;AAAAAAAAAAAAAABbQ29udGVudF9UeXBlc10ueG1sUEsBAi0AFAAGAAgAAAAhAFr0LFu/AAAAFQEA&#10;AAsAAAAAAAAAAAAAAAAAHwEAAF9yZWxzLy5yZWxzUEsBAi0AFAAGAAgAAAAhAIGc2NTHAAAA3gAA&#10;AA8AAAAAAAAAAAAAAAAABwIAAGRycy9kb3ducmV2LnhtbFBLBQYAAAAAAwADALcAAAD7AgAAAAA=&#10;" filled="f" stroked="f">
                  <v:textbox inset="0,0,0,0">
                    <w:txbxContent>
                      <w:p w14:paraId="0ED0C6BF" w14:textId="77777777" w:rsidR="00B32EF2" w:rsidRDefault="00000000">
                        <w:r>
                          <w:rPr>
                            <w:rFonts w:ascii="Arial" w:eastAsia="Arial" w:hAnsi="Arial" w:cs="Arial"/>
                            <w:sz w:val="18"/>
                          </w:rPr>
                          <w:t xml:space="preserve">dere quelli previsti dalla legge 8 luglio 1980, n. 319 e dal decreto del Presidente </w:t>
                        </w:r>
                      </w:p>
                    </w:txbxContent>
                  </v:textbox>
                </v:rect>
                <v:rect id="Rectangle 20466" o:spid="_x0000_s5191" style="position:absolute;left:11729;top:25431;width:281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ajxgAAAN4AAAAPAAAAZHJzL2Rvd25yZXYueG1sRI9Ba8JA&#10;FITvBf/D8gre6qZSgqSuIoo0By/VCB4f2WeSmn27ZFcT/fXdQsHjMDPfMPPlYFpxo843lhW8TxIQ&#10;xKXVDVcKisP2bQbCB2SNrWVScCcPy8XoZY6Ztj1/020fKhEh7DNUUIfgMil9WZNBP7GOOHpn2xkM&#10;UXaV1B32EW5aOU2SVBpsOC7U6GhdU3nZX42C04Zdvu1leX6s3e4nn7Vf1+Ko1Ph1WH2CCDSEZ/i/&#10;nWsF0+QjTeHvTrwCcvELAAD//wMAUEsBAi0AFAAGAAgAAAAhANvh9svuAAAAhQEAABMAAAAAAAAA&#10;AAAAAAAAAAAAAFtDb250ZW50X1R5cGVzXS54bWxQSwECLQAUAAYACAAAACEAWvQsW78AAAAVAQAA&#10;CwAAAAAAAAAAAAAAAAAfAQAAX3JlbHMvLnJlbHNQSwECLQAUAAYACAAAACEAcU5Go8YAAADeAAAA&#10;DwAAAAAAAAAAAAAAAAAHAgAAZHJzL2Rvd25yZXYueG1sUEsFBgAAAAADAAMAtwAAAPoCAAAAAA==&#10;" filled="f" stroked="f">
                  <v:textbox inset="0,0,0,0">
                    <w:txbxContent>
                      <w:p w14:paraId="19735017" w14:textId="77777777" w:rsidR="00B32EF2" w:rsidRDefault="00000000">
                        <w:r>
                          <w:rPr>
                            <w:rFonts w:ascii="Arial" w:eastAsia="Arial" w:hAnsi="Arial" w:cs="Arial"/>
                            <w:sz w:val="18"/>
                          </w:rPr>
                          <w:t>della Repubblica 30 maggio 2002, n. 115.</w:t>
                        </w:r>
                      </w:p>
                    </w:txbxContent>
                  </v:textbox>
                </v:rect>
                <v:rect id="Rectangle 201765" o:spid="_x0000_s5192" style="position:absolute;left:-13815;top:24197;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7GTxwAAAN8AAAAPAAAAZHJzL2Rvd25yZXYueG1sRI9Ba8JA&#10;FITvgv9heUJvulGolegqoog5eKla6PGRfSbR7Nslu5q0v94tFDwOM/MNs1h1phYPanxlWcF4lIAg&#10;zq2uuFBwPu2GMxA+IGusLZOCH/KwWvZ7C0y1bfmTHsdQiAhhn6KCMgSXSunzkgz6kXXE0bvYxmCI&#10;simkbrCNcFPLSZJMpcGK40KJjjYl5bfj3Sj43rLLdq3ML78bd7hms3p/P38p9Tbo1nMQgbrwCv+3&#10;M61gkow/pu/w9yd+Abl8AgAA//8DAFBLAQItABQABgAIAAAAIQDb4fbL7gAAAIUBAAATAAAAAAAA&#10;AAAAAAAAAAAAAABbQ29udGVudF9UeXBlc10ueG1sUEsBAi0AFAAGAAgAAAAhAFr0LFu/AAAAFQEA&#10;AAsAAAAAAAAAAAAAAAAAHwEAAF9yZWxzLy5yZWxzUEsBAi0AFAAGAAgAAAAhALq3sZPHAAAA3wAA&#10;AA8AAAAAAAAAAAAAAAAABwIAAGRycy9kb3ducmV2LnhtbFBLBQYAAAAAAwADALcAAAD7AgAAAAA=&#10;" filled="f" stroked="f">
                  <v:textbox inset="0,0,0,0">
                    <w:txbxContent>
                      <w:p w14:paraId="23B1B796" w14:textId="77777777" w:rsidR="00B32EF2" w:rsidRDefault="00000000">
                        <w:r>
                          <w:rPr>
                            <w:rFonts w:ascii="Arial" w:eastAsia="Arial" w:hAnsi="Arial" w:cs="Arial"/>
                            <w:sz w:val="18"/>
                          </w:rPr>
                          <w:t xml:space="preserve">. Non è ammesso il giuramento. La corte di giustizia tributaria, ove lo ritenga </w:t>
                        </w:r>
                      </w:p>
                    </w:txbxContent>
                  </v:textbox>
                </v:rect>
                <v:rect id="Rectangle 201763" o:spid="_x0000_s5193" style="position:absolute;left:26110;top:2419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ox8xwAAAN8AAAAPAAAAZHJzL2Rvd25yZXYueG1sRI9Ba8JA&#10;FITvgv9heUJvutGClegqoog5eKla6PGRfSbR7Nslu5q0v94tFDwOM/MNs1h1phYPanxlWcF4lIAg&#10;zq2uuFBwPu2GMxA+IGusLZOCH/KwWvZ7C0y1bfmTHsdQiAhhn6KCMgSXSunzkgz6kXXE0bvYxmCI&#10;simkbrCNcFPLSZJMpcGK40KJjjYl5bfj3Sj43rLLdq3ML78bd7hms3p/P38p9Tbo1nMQgbrwCv+3&#10;M61gkow/pu/w9yd+Abl8AgAA//8DAFBLAQItABQABgAIAAAAIQDb4fbL7gAAAIUBAAATAAAAAAAA&#10;AAAAAAAAAAAAAABbQ29udGVudF9UeXBlc10ueG1sUEsBAi0AFAAGAAgAAAAhAFr0LFu/AAAAFQEA&#10;AAsAAAAAAAAAAAAAAAAAHwEAAF9yZWxzLy5yZWxzUEsBAi0AFAAGAAgAAAAhAFoSjHzHAAAA3wAA&#10;AA8AAAAAAAAAAAAAAAAABwIAAGRycy9kb3ducmV2LnhtbFBLBQYAAAAAAwADALcAAAD7AgAAAAA=&#10;" filled="f" stroked="f">
                  <v:textbox inset="0,0,0,0">
                    <w:txbxContent>
                      <w:p w14:paraId="76D75AE5" w14:textId="77777777" w:rsidR="00B32EF2" w:rsidRDefault="00000000">
                        <w:r>
                          <w:rPr>
                            <w:rFonts w:ascii="Arial" w:eastAsia="Arial" w:hAnsi="Arial" w:cs="Arial"/>
                            <w:sz w:val="18"/>
                          </w:rPr>
                          <w:t>3</w:t>
                        </w:r>
                      </w:p>
                    </w:txbxContent>
                  </v:textbox>
                </v:rect>
                <v:rect id="Rectangle 20468" o:spid="_x0000_s5194" style="position:absolute;left:-12202;top:22964;width:521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XdKxAAAAN4AAAAPAAAAZHJzL2Rvd25yZXYueG1sRE/Pa8Iw&#10;FL4P/B/CE7zN1CJFOqOIUuxhl3UKOz6aZ9uteQlNtN3++uUw2PHj+73dT6YXDxp8Z1nBapmAIK6t&#10;7rhRcHkvnjcgfEDW2FsmBd/kYb+bPW0x13bkN3pUoRExhH2OCtoQXC6lr1sy6JfWEUfuZgeDIcKh&#10;kXrAMYabXqZJkkmDHceGFh0dW6q/qrtR8HFiVxajrG8/R/f6WW768/1yVWoxnw4vIAJN4V/85y61&#10;gjRZZ3FvvBOvgNz9AgAA//8DAFBLAQItABQABgAIAAAAIQDb4fbL7gAAAIUBAAATAAAAAAAAAAAA&#10;AAAAAAAAAABbQ29udGVudF9UeXBlc10ueG1sUEsBAi0AFAAGAAgAAAAhAFr0LFu/AAAAFQEAAAsA&#10;AAAAAAAAAAAAAAAAHwEAAF9yZWxzLy5yZWxzUEsBAi0AFAAGAAgAAAAhAG+dd0rEAAAA3gAAAA8A&#10;AAAAAAAAAAAAAAAABwIAAGRycy9kb3ducmV2LnhtbFBLBQYAAAAAAwADALcAAAD4AgAAAAA=&#10;" filled="f" stroked="f">
                  <v:textbox inset="0,0,0,0">
                    <w:txbxContent>
                      <w:p w14:paraId="741F0855" w14:textId="77777777" w:rsidR="00B32EF2" w:rsidRDefault="00000000">
                        <w:r>
                          <w:rPr>
                            <w:rFonts w:ascii="Arial" w:eastAsia="Arial" w:hAnsi="Arial" w:cs="Arial"/>
                            <w:sz w:val="18"/>
                          </w:rPr>
                          <w:t>necessario ai fini della decisione e anche senza l’accordo delle parti, può am</w:t>
                        </w:r>
                      </w:p>
                    </w:txbxContent>
                  </v:textbox>
                </v:rect>
                <v:rect id="Rectangle 20469" o:spid="_x0000_s5195" style="position:absolute;left:192;top:2296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dLRxgAAAN4AAAAPAAAAZHJzL2Rvd25yZXYueG1sRI9Pi8Iw&#10;FMTvC36H8ARva7oiotUoi4tsD3vxH3h8NM+22ryEJtrqp98IC3scZuY3zGLVmVrcqfGVZQUfwwQE&#10;cW51xYWCw37zPgXhA7LG2jIpeJCH1bL3tsBU25a3dN+FQkQI+xQVlCG4VEqfl2TQD60jjt7ZNgZD&#10;lE0hdYNthJtajpJkIg1WHBdKdLQuKb/ubkbB6Ytdtmllfn6u3c8lm9bft8NRqUG/+5yDCNSF//Bf&#10;O9MKRsl4MoPXnXgF5PIXAAD//wMAUEsBAi0AFAAGAAgAAAAhANvh9svuAAAAhQEAABMAAAAAAAAA&#10;AAAAAAAAAAAAAFtDb250ZW50X1R5cGVzXS54bWxQSwECLQAUAAYACAAAACEAWvQsW78AAAAVAQAA&#10;CwAAAAAAAAAAAAAAAAAfAQAAX3JlbHMvLnJlbHNQSwECLQAUAAYACAAAACEAANHS0cYAAADeAAAA&#10;DwAAAAAAAAAAAAAAAAAHAgAAZHJzL2Rvd25yZXYueG1sUEsFBgAAAAADAAMAtwAAAPoCAAAAAA==&#10;" filled="f" stroked="f">
                  <v:textbox inset="0,0,0,0">
                    <w:txbxContent>
                      <w:p w14:paraId="5064237B" w14:textId="77777777" w:rsidR="00B32EF2" w:rsidRDefault="00000000">
                        <w:r>
                          <w:rPr>
                            <w:rFonts w:ascii="Arial" w:eastAsia="Arial" w:hAnsi="Arial" w:cs="Arial"/>
                            <w:sz w:val="18"/>
                          </w:rPr>
                          <w:t>-</w:t>
                        </w:r>
                      </w:p>
                    </w:txbxContent>
                  </v:textbox>
                </v:rect>
                <v:rect id="Rectangle 20470" o:spid="_x0000_s5196" style="position:absolute;left:-13172;top:21731;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2RxQAAAN4AAAAPAAAAZHJzL2Rvd25yZXYueG1sRI/LisIw&#10;FIb3gu8QjuBOU2VwpBpFFJkuZjNewOWhObbV5iQ00dZ5erMYmOXPf+NbrjtTiyc1vrKsYDJOQBDn&#10;VldcKDgd96M5CB+QNdaWScGLPKxX/d4SU21b/qHnIRQijrBPUUEZgkul9HlJBv3YOuLoXW1jMETZ&#10;FFI32MZxU8tpksykwYrjQ4mOtiXl98PDKLjs2GX7VubX3637vmXz+utxOis1HHSbBYhAXfgP/7Uz&#10;rWCafHxGgIgTUUCu3gAAAP//AwBQSwECLQAUAAYACAAAACEA2+H2y+4AAACFAQAAEwAAAAAAAAAA&#10;AAAAAAAAAAAAW0NvbnRlbnRfVHlwZXNdLnhtbFBLAQItABQABgAIAAAAIQBa9CxbvwAAABUBAAAL&#10;AAAAAAAAAAAAAAAAAB8BAABfcmVscy8ucmVsc1BLAQItABQABgAIAAAAIQAUMu2RxQAAAN4AAAAP&#10;AAAAAAAAAAAAAAAAAAcCAABkcnMvZG93bnJldi54bWxQSwUGAAAAAAMAAwC3AAAA+QIAAAAA&#10;" filled="f" stroked="f">
                  <v:textbox inset="0,0,0,0">
                    <w:txbxContent>
                      <w:p w14:paraId="4282366A" w14:textId="77777777" w:rsidR="00B32EF2" w:rsidRDefault="00000000">
                        <w:r>
                          <w:rPr>
                            <w:rFonts w:ascii="Arial" w:eastAsia="Arial" w:hAnsi="Arial" w:cs="Arial"/>
                            <w:sz w:val="18"/>
                          </w:rPr>
                          <w:t xml:space="preserve">mettere la prova testimoniale, assunta con le forme di cui all’articolo 257-bis </w:t>
                        </w:r>
                      </w:p>
                    </w:txbxContent>
                  </v:textbox>
                </v:rect>
                <v:rect id="Rectangle 20471" o:spid="_x0000_s5197" style="position:absolute;left:-13171;top:2049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gKxgAAAN4AAAAPAAAAZHJzL2Rvd25yZXYueG1sRI9Ba8JA&#10;FITvBf/D8gre6kYpVqKrFEWagxetBY+P7DOJZt8u2dVEf70rFDwOM/MNM1t0phZXanxlWcFwkIAg&#10;zq2uuFCw/11/TED4gKyxtkwKbuRhMe+9zTDVtuUtXXehEBHCPkUFZQguldLnJRn0A+uIo3e0jcEQ&#10;ZVNI3WAb4aaWoyQZS4MVx4USHS1Lys+7i1FwWLHL1q3Mj/el25yySf1z2f8p1X/vvqcgAnXhFf5v&#10;Z1rBKPn8GsLzTrwCcv4AAAD//wMAUEsBAi0AFAAGAAgAAAAhANvh9svuAAAAhQEAABMAAAAAAAAA&#10;AAAAAAAAAAAAAFtDb250ZW50X1R5cGVzXS54bWxQSwECLQAUAAYACAAAACEAWvQsW78AAAAVAQAA&#10;CwAAAAAAAAAAAAAAAAAfAQAAX3JlbHMvLnJlbHNQSwECLQAUAAYACAAAACEAe35ICsYAAADeAAAA&#10;DwAAAAAAAAAAAAAAAAAHAgAAZHJzL2Rvd25yZXYueG1sUEsFBgAAAAADAAMAtwAAAPoCAAAAAA==&#10;" filled="f" stroked="f">
                  <v:textbox inset="0,0,0,0">
                    <w:txbxContent>
                      <w:p w14:paraId="5B9E44BD" w14:textId="77777777" w:rsidR="00B32EF2" w:rsidRDefault="00000000">
                        <w:r>
                          <w:rPr>
                            <w:rFonts w:ascii="Arial" w:eastAsia="Arial" w:hAnsi="Arial" w:cs="Arial"/>
                            <w:sz w:val="18"/>
                          </w:rPr>
                          <w:t xml:space="preserve">del codice di procedura civile. Nei casi in cui la pretesa tributaria sia fondata </w:t>
                        </w:r>
                      </w:p>
                    </w:txbxContent>
                  </v:textbox>
                </v:rect>
                <v:rect id="Rectangle 20472" o:spid="_x0000_s5198" style="position:absolute;left:-13171;top:1926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NZ9xgAAAN4AAAAPAAAAZHJzL2Rvd25yZXYueG1sRI9Ba8JA&#10;FITvBf/D8gRvdWMorURXEUWag5daBY+P7DOJZt8u2dVEf323UOhxmJlvmPmyN424U+trywom4wQE&#10;cWF1zaWCw/f2dQrCB2SNjWVS8CAPy8XgZY6Zth1/0X0fShEh7DNUUIXgMil9UZFBP7aOOHpn2xoM&#10;Ubal1C12EW4amSbJuzRYc1yo0NG6ouK6vxkFpw27fNvJ4vxcu90lnzaft8NRqdGwX81ABOrDf/iv&#10;nWsFafL2kcLvnXgF5OIHAAD//wMAUEsBAi0AFAAGAAgAAAAhANvh9svuAAAAhQEAABMAAAAAAAAA&#10;AAAAAAAAAAAAAFtDb250ZW50X1R5cGVzXS54bWxQSwECLQAUAAYACAAAACEAWvQsW78AAAAVAQAA&#10;CwAAAAAAAAAAAAAAAAAfAQAAX3JlbHMvLnJlbHNQSwECLQAUAAYACAAAACEAi6zWfcYAAADeAAAA&#10;DwAAAAAAAAAAAAAAAAAHAgAAZHJzL2Rvd25yZXYueG1sUEsFBgAAAAADAAMAtwAAAPoCAAAAAA==&#10;" filled="f" stroked="f">
                  <v:textbox inset="0,0,0,0">
                    <w:txbxContent>
                      <w:p w14:paraId="18878683" w14:textId="77777777" w:rsidR="00B32EF2" w:rsidRDefault="00000000">
                        <w:r>
                          <w:rPr>
                            <w:rFonts w:ascii="Arial" w:eastAsia="Arial" w:hAnsi="Arial" w:cs="Arial"/>
                            <w:sz w:val="18"/>
                          </w:rPr>
                          <w:t xml:space="preserve">su verbali o altri atti facenti fede fino a querela di falso, la prova è ammessa </w:t>
                        </w:r>
                      </w:p>
                    </w:txbxContent>
                  </v:textbox>
                </v:rect>
                <v:rect id="Rectangle 20473" o:spid="_x0000_s5199" style="position:absolute;left:-12209;top:18031;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HPmxwAAAN4AAAAPAAAAZHJzL2Rvd25yZXYueG1sRI9Pa8JA&#10;FMTvBb/D8gRvdVMtKtFVikXMoZf6Bzw+ss8kNvt2ya4m9tN3C4LHYWZ+wyxWnanFjRpfWVbwNkxA&#10;EOdWV1woOOw3rzMQPiBrrC2Tgjt5WC17LwtMtW35m267UIgIYZ+igjIEl0rp85IM+qF1xNE728Zg&#10;iLIppG6wjXBTy1GSTKTBiuNCiY7WJeU/u6tRcPpkl21amZ9/1+7rks3q7fVwVGrQ7z7mIAJ14Rl+&#10;tDOtYJS8T8fwfydeAbn8AwAA//8DAFBLAQItABQABgAIAAAAIQDb4fbL7gAAAIUBAAATAAAAAAAA&#10;AAAAAAAAAAAAAABbQ29udGVudF9UeXBlc10ueG1sUEsBAi0AFAAGAAgAAAAhAFr0LFu/AAAAFQEA&#10;AAsAAAAAAAAAAAAAAAAAHwEAAF9yZWxzLy5yZWxzUEsBAi0AFAAGAAgAAAAhAOTgc+bHAAAA3gAA&#10;AA8AAAAAAAAAAAAAAAAABwIAAGRycy9kb3ducmV2LnhtbFBLBQYAAAAAAwADALcAAAD7AgAAAAA=&#10;" filled="f" stroked="f">
                  <v:textbox inset="0,0,0,0">
                    <w:txbxContent>
                      <w:p w14:paraId="0E35442B" w14:textId="77777777" w:rsidR="00B32EF2" w:rsidRDefault="00000000">
                        <w:r>
                          <w:rPr>
                            <w:rFonts w:ascii="Arial" w:eastAsia="Arial" w:hAnsi="Arial" w:cs="Arial"/>
                            <w:sz w:val="18"/>
                          </w:rPr>
                          <w:t>soltanto su circostanze di fatto diverse da quelle attestate dal pubblico ufficia</w:t>
                        </w:r>
                      </w:p>
                    </w:txbxContent>
                  </v:textbox>
                </v:rect>
                <v:rect id="Rectangle 20474" o:spid="_x0000_s5200" style="position:absolute;left:192;top:1803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euSxwAAAN4AAAAPAAAAZHJzL2Rvd25yZXYueG1sRI9Pi8Iw&#10;FMTvC36H8ARva7oiu1KNsihiD17WP+Dx0TzbavMSmmirn36zsOBxmJnfMLNFZ2pxp8ZXlhV8DBMQ&#10;xLnVFRcKDvv1+wSED8gaa8uk4EEeFvPe2wxTbVv+ofsuFCJC2KeooAzBpVL6vCSDfmgdcfTOtjEY&#10;omwKqRtsI9zUcpQkn9JgxXGhREfLkvLr7mYUnFbssnUr8/Nz6baXbFJvboejUoN+9z0FEagLr/B/&#10;O9MKRsn4awx/d+IVkPNfAAAA//8DAFBLAQItABQABgAIAAAAIQDb4fbL7gAAAIUBAAATAAAAAAAA&#10;AAAAAAAAAAAAAABbQ29udGVudF9UeXBlc10ueG1sUEsBAi0AFAAGAAgAAAAhAFr0LFu/AAAAFQEA&#10;AAsAAAAAAAAAAAAAAAAAHwEAAF9yZWxzLy5yZWxzUEsBAi0AFAAGAAgAAAAhAGsJ65LHAAAA3gAA&#10;AA8AAAAAAAAAAAAAAAAABwIAAGRycy9kb3ducmV2LnhtbFBLBQYAAAAAAwADALcAAAD7AgAAAAA=&#10;" filled="f" stroked="f">
                  <v:textbox inset="0,0,0,0">
                    <w:txbxContent>
                      <w:p w14:paraId="0049FD18" w14:textId="77777777" w:rsidR="00B32EF2" w:rsidRDefault="00000000">
                        <w:r>
                          <w:rPr>
                            <w:rFonts w:ascii="Arial" w:eastAsia="Arial" w:hAnsi="Arial" w:cs="Arial"/>
                            <w:sz w:val="18"/>
                          </w:rPr>
                          <w:t>-</w:t>
                        </w:r>
                      </w:p>
                    </w:txbxContent>
                  </v:textbox>
                </v:rect>
                <v:rect id="Rectangle 20475" o:spid="_x0000_s5201" style="position:absolute;left:-13172;top:1679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U4JxwAAAN4AAAAPAAAAZHJzL2Rvd25yZXYueG1sRI9Pa8JA&#10;FMTvBb/D8gRvdVOxKtFVikXMoZf6Bzw+ss8kNvt2ya4m9tN3C4LHYWZ+wyxWnanFjRpfWVbwNkxA&#10;EOdWV1woOOw3rzMQPiBrrC2Tgjt5WC17LwtMtW35m267UIgIYZ+igjIEl0rp85IM+qF1xNE728Zg&#10;iLIppG6wjXBTy1GSTKTBiuNCiY7WJeU/u6tRcPpkl21amZ9/1+7rks3q7fVwVGrQ7z7mIAJ14Rl+&#10;tDOtYJSMp+/wfydeAbn8AwAA//8DAFBLAQItABQABgAIAAAAIQDb4fbL7gAAAIUBAAATAAAAAAAA&#10;AAAAAAAAAAAAAABbQ29udGVudF9UeXBlc10ueG1sUEsBAi0AFAAGAAgAAAAhAFr0LFu/AAAAFQEA&#10;AAsAAAAAAAAAAAAAAAAAHwEAAF9yZWxzLy5yZWxzUEsBAi0AFAAGAAgAAAAhAARFTgnHAAAA3gAA&#10;AA8AAAAAAAAAAAAAAAAABwIAAGRycy9kb3ducmV2LnhtbFBLBQYAAAAAAwADALcAAAD7AgAAAAA=&#10;" filled="f" stroked="f">
                  <v:textbox inset="0,0,0,0">
                    <w:txbxContent>
                      <w:p w14:paraId="76F4FEAC" w14:textId="77777777" w:rsidR="00B32EF2" w:rsidRDefault="00000000">
                        <w:r>
                          <w:rPr>
                            <w:rFonts w:ascii="Arial" w:eastAsia="Arial" w:hAnsi="Arial" w:cs="Arial"/>
                            <w:sz w:val="18"/>
                          </w:rPr>
                          <w:t xml:space="preserve">le. La notificazione dell’intimazione e del modulo di deposizione testimoniale, </w:t>
                        </w:r>
                      </w:p>
                    </w:txbxContent>
                  </v:textbox>
                </v:rect>
                <v:rect id="Rectangle 20476" o:spid="_x0000_s5202" style="position:absolute;left:-13171;top:1556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9B+xwAAAN4AAAAPAAAAZHJzL2Rvd25yZXYueG1sRI9Pi8Iw&#10;FMTvgt8hPGFvmq4srlSjLIrYw17WP+Dx0TzbavMSmmirn36zsOBxmJnfMPNlZ2pxp8ZXlhW8jxIQ&#10;xLnVFRcKDvvNcArCB2SNtWVS8CAPy0W/N8dU25Z/6L4LhYgQ9ikqKENwqZQ+L8mgH1lHHL2zbQyG&#10;KJtC6gbbCDe1HCfJRBqsOC6U6GhVUn7d3YyC05pdtmllfn6u3Pclm9bb2+Go1Nug+5qBCNSFV/i/&#10;nWkF4+TjcwJ/d+IVkItfAAAA//8DAFBLAQItABQABgAIAAAAIQDb4fbL7gAAAIUBAAATAAAAAAAA&#10;AAAAAAAAAAAAAABbQ29udGVudF9UeXBlc10ueG1sUEsBAi0AFAAGAAgAAAAhAFr0LFu/AAAAFQEA&#10;AAsAAAAAAAAAAAAAAAAAHwEAAF9yZWxzLy5yZWxzUEsBAi0AFAAGAAgAAAAhAPSX0H7HAAAA3gAA&#10;AA8AAAAAAAAAAAAAAAAABwIAAGRycy9kb3ducmV2LnhtbFBLBQYAAAAAAwADALcAAAD7AgAAAAA=&#10;" filled="f" stroked="f">
                  <v:textbox inset="0,0,0,0">
                    <w:txbxContent>
                      <w:p w14:paraId="00B0B734" w14:textId="77777777" w:rsidR="00B32EF2" w:rsidRDefault="00000000">
                        <w:r>
                          <w:rPr>
                            <w:rFonts w:ascii="Arial" w:eastAsia="Arial" w:hAnsi="Arial" w:cs="Arial"/>
                            <w:sz w:val="18"/>
                          </w:rPr>
                          <w:t xml:space="preserve">il cui modello, con le relative istruzioni per la compilazione, è reso disponibile </w:t>
                        </w:r>
                      </w:p>
                    </w:txbxContent>
                  </v:textbox>
                </v:rect>
                <v:rect id="Rectangle 20477" o:spid="_x0000_s5203" style="position:absolute;left:-12230;top:14331;width:521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3XlxwAAAN4AAAAPAAAAZHJzL2Rvd25yZXYueG1sRI9Pi8Iw&#10;FMTvgt8hPGFvmq4sq1SjLIrYw17WP+Dx0TzbavMSmmirn36zsOBxmJnfMPNlZ2pxp8ZXlhW8jxIQ&#10;xLnVFRcKDvvNcArCB2SNtWVS8CAPy0W/N8dU25Z/6L4LhYgQ9ikqKENwqZQ+L8mgH1lHHL2zbQyG&#10;KJtC6gbbCDe1HCfJpzRYcVwo0dGqpPy6uxkFpzW7bNPK/Pxcue9LNq23t8NRqbdB9zUDEagLr/B/&#10;O9MKxsnHZAJ/d+IVkItfAAAA//8DAFBLAQItABQABgAIAAAAIQDb4fbL7gAAAIUBAAATAAAAAAAA&#10;AAAAAAAAAAAAAABbQ29udGVudF9UeXBlc10ueG1sUEsBAi0AFAAGAAgAAAAhAFr0LFu/AAAAFQEA&#10;AAsAAAAAAAAAAAAAAAAAHwEAAF9yZWxzLy5yZWxzUEsBAi0AFAAGAAgAAAAhAJvbdeXHAAAA3gAA&#10;AA8AAAAAAAAAAAAAAAAABwIAAGRycy9kb3ducmV2LnhtbFBLBQYAAAAAAwADALcAAAD7AgAAAAA=&#10;" filled="f" stroked="f">
                  <v:textbox inset="0,0,0,0">
                    <w:txbxContent>
                      <w:p w14:paraId="0837F006" w14:textId="77777777" w:rsidR="00B32EF2" w:rsidRDefault="00000000">
                        <w:r>
                          <w:rPr>
                            <w:rFonts w:ascii="Arial" w:eastAsia="Arial" w:hAnsi="Arial" w:cs="Arial"/>
                            <w:sz w:val="18"/>
                          </w:rPr>
                          <w:t>sul sito istituzionale dal Dipartimento della giustizia tributaria, può essere ef</w:t>
                        </w:r>
                      </w:p>
                    </w:txbxContent>
                  </v:textbox>
                </v:rect>
                <v:rect id="Rectangle 20478" o:spid="_x0000_s5204" style="position:absolute;left:192;top:1433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OGXwwAAAN4AAAAPAAAAZHJzL2Rvd25yZXYueG1sRE/LisIw&#10;FN0L/kO4gjtNlcGRahRRZLqYzfgAl5fm2labm9BEW+frzWJglofzXq47U4snNb6yrGAyTkAQ51ZX&#10;XCg4HfejOQgfkDXWlknBizysV/3eElNtW/6h5yEUIoawT1FBGYJLpfR5SQb92DriyF1tYzBE2BRS&#10;N9jGcFPLaZLMpMGKY0OJjrYl5ffDwyi47Nhl+1bm19+t+75l8/rrcTorNRx0mwWIQF34F/+5M61g&#10;mnx8xr3xTrwCcvUGAAD//wMAUEsBAi0AFAAGAAgAAAAhANvh9svuAAAAhQEAABMAAAAAAAAAAAAA&#10;AAAAAAAAAFtDb250ZW50X1R5cGVzXS54bWxQSwECLQAUAAYACAAAACEAWvQsW78AAAAVAQAACwAA&#10;AAAAAAAAAAAAAAAfAQAAX3JlbHMvLnJlbHNQSwECLQAUAAYACAAAACEA6kThl8MAAADeAAAADwAA&#10;AAAAAAAAAAAAAAAHAgAAZHJzL2Rvd25yZXYueG1sUEsFBgAAAAADAAMAtwAAAPcCAAAAAA==&#10;" filled="f" stroked="f">
                  <v:textbox inset="0,0,0,0">
                    <w:txbxContent>
                      <w:p w14:paraId="41E9CAA9" w14:textId="77777777" w:rsidR="00B32EF2" w:rsidRDefault="00000000">
                        <w:r>
                          <w:rPr>
                            <w:rFonts w:ascii="Arial" w:eastAsia="Arial" w:hAnsi="Arial" w:cs="Arial"/>
                            <w:sz w:val="18"/>
                          </w:rPr>
                          <w:t>-</w:t>
                        </w:r>
                      </w:p>
                    </w:txbxContent>
                  </v:textbox>
                </v:rect>
                <v:rect id="Rectangle 20479" o:spid="_x0000_s5205" style="position:absolute;left:-13171;top:13098;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EQMxwAAAN4AAAAPAAAAZHJzL2Rvd25yZXYueG1sRI9Ba8JA&#10;FITvQv/D8gredKNItdFVRJHm4KXWQo+P7DOJZt8u2dWk/fVuQfA4zMw3zGLVmVrcqPGVZQWjYQKC&#10;OLe64kLB8Ws3mIHwAVljbZkU/JKH1fKlt8BU25Y/6XYIhYgQ9ikqKENwqZQ+L8mgH1pHHL2TbQyG&#10;KJtC6gbbCDe1HCfJmzRYcVwo0dGmpPxyuBoFP1t22a6V+elv4/bnbFZ/XI/fSvVfu/UcRKAuPMOP&#10;dqYVjJPJ9B3+78QrIJd3AAAA//8DAFBLAQItABQABgAIAAAAIQDb4fbL7gAAAIUBAAATAAAAAAAA&#10;AAAAAAAAAAAAAABbQ29udGVudF9UeXBlc10ueG1sUEsBAi0AFAAGAAgAAAAhAFr0LFu/AAAAFQEA&#10;AAsAAAAAAAAAAAAAAAAAHwEAAF9yZWxzLy5yZWxzUEsBAi0AFAAGAAgAAAAhAIUIRAzHAAAA3gAA&#10;AA8AAAAAAAAAAAAAAAAABwIAAGRycy9kb3ducmV2LnhtbFBLBQYAAAAAAwADALcAAAD7AgAAAAA=&#10;" filled="f" stroked="f">
                  <v:textbox inset="0,0,0,0">
                    <w:txbxContent>
                      <w:p w14:paraId="30C73FD4" w14:textId="77777777" w:rsidR="00B32EF2" w:rsidRDefault="00000000">
                        <w:r>
                          <w:rPr>
                            <w:rFonts w:ascii="Arial" w:eastAsia="Arial" w:hAnsi="Arial" w:cs="Arial"/>
                            <w:sz w:val="18"/>
                          </w:rPr>
                          <w:t xml:space="preserve">fettuata anche in via telematica. In deroga all’articolo 103-bis delle disposizioni </w:t>
                        </w:r>
                      </w:p>
                    </w:txbxContent>
                  </v:textbox>
                </v:rect>
                <v:rect id="Rectangle 20480" o:spid="_x0000_s5206" style="position:absolute;left:-13171;top:1186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522xAAAAN4AAAAPAAAAZHJzL2Rvd25yZXYueG1sRI/LisIw&#10;FIb3wrxDOAOz03REpFSjiIPYxWy8gctDc2yrzUloou3M05uF4PLnv/HNl71pxINaX1tW8D1KQBAX&#10;VtdcKjgeNsMUhA/IGhvLpOCPPCwXH4M5Ztp2vKPHPpQijrDPUEEVgsuk9EVFBv3IOuLoXWxrMETZ&#10;llK32MVx08hxkkylwZrjQ4WO1hUVt/3dKDj/sMs3nSwu/2v3e83TZns/npT6+uxXMxCB+vAOv9q5&#10;VjBOJmkEiDgRBeTiCQAA//8DAFBLAQItABQABgAIAAAAIQDb4fbL7gAAAIUBAAATAAAAAAAAAAAA&#10;AAAAAAAAAABbQ29udGVudF9UeXBlc10ueG1sUEsBAi0AFAAGAAgAAAAhAFr0LFu/AAAAFQEAAAsA&#10;AAAAAAAAAAAAAAAAHwEAAF9yZWxzLy5yZWxzUEsBAi0AFAAGAAgAAAAhACHnnbbEAAAA3gAAAA8A&#10;AAAAAAAAAAAAAAAABwIAAGRycy9kb3ducmV2LnhtbFBLBQYAAAAAAwADALcAAAD4AgAAAAA=&#10;" filled="f" stroked="f">
                  <v:textbox inset="0,0,0,0">
                    <w:txbxContent>
                      <w:p w14:paraId="7D2FC9BE" w14:textId="77777777" w:rsidR="00B32EF2" w:rsidRDefault="00000000">
                        <w:r>
                          <w:rPr>
                            <w:rFonts w:ascii="Arial" w:eastAsia="Arial" w:hAnsi="Arial" w:cs="Arial"/>
                            <w:sz w:val="18"/>
                          </w:rPr>
                          <w:t xml:space="preserve">di attuazione del codice di procedura civile, se il testimone è in possesso di </w:t>
                        </w:r>
                      </w:p>
                    </w:txbxContent>
                  </v:textbox>
                </v:rect>
                <v:rect id="Rectangle 20481" o:spid="_x0000_s5207" style="position:absolute;left:-13171;top:1063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zgtxgAAAN4AAAAPAAAAZHJzL2Rvd25yZXYueG1sRI9Ba8JA&#10;FITvQv/D8gredKNICamriCLm0Es1hR4f2WeSmn27ZFeT+uvdQsHjMDPfMMv1YFpxo843lhXMpgkI&#10;4tLqhisFxWk/SUH4gKyxtUwKfsnDevUyWmKmbc+fdDuGSkQI+wwV1CG4TEpf1mTQT60jjt7ZdgZD&#10;lF0ldYd9hJtWzpPkTRpsOC7U6GhbU3k5Xo2C7x27fN/L8nzfuo+fPG0P1+JLqfHrsHkHEWgIz/B/&#10;O9cK5skincHfnXgF5OoBAAD//wMAUEsBAi0AFAAGAAgAAAAhANvh9svuAAAAhQEAABMAAAAAAAAA&#10;AAAAAAAAAAAAAFtDb250ZW50X1R5cGVzXS54bWxQSwECLQAUAAYACAAAACEAWvQsW78AAAAVAQAA&#10;CwAAAAAAAAAAAAAAAAAfAQAAX3JlbHMvLnJlbHNQSwECLQAUAAYACAAAACEATqs4LcYAAADeAAAA&#10;DwAAAAAAAAAAAAAAAAAHAgAAZHJzL2Rvd25yZXYueG1sUEsFBgAAAAADAAMAtwAAAPoCAAAAAA==&#10;" filled="f" stroked="f">
                  <v:textbox inset="0,0,0,0">
                    <w:txbxContent>
                      <w:p w14:paraId="26FB4BCB" w14:textId="77777777" w:rsidR="00B32EF2" w:rsidRDefault="00000000">
                        <w:r>
                          <w:rPr>
                            <w:rFonts w:ascii="Arial" w:eastAsia="Arial" w:hAnsi="Arial" w:cs="Arial"/>
                            <w:sz w:val="18"/>
                          </w:rPr>
                          <w:t xml:space="preserve">firma digitale, il difensore della parte che lo ha citato deposita telematicamente </w:t>
                        </w:r>
                      </w:p>
                    </w:txbxContent>
                  </v:textbox>
                </v:rect>
                <v:rect id="Rectangle 20482" o:spid="_x0000_s5208" style="position:absolute;left:-13171;top:939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ZaxwAAAN4AAAAPAAAAZHJzL2Rvd25yZXYueG1sRI9Ba8JA&#10;FITvBf/D8oTe6qahSEjdhKKIOXjRKvT4yD6TtNm3S3Y1sb++Wyj0OMzMN8yqnEwvbjT4zrKC50UC&#10;gri2uuNGwel9+5SB8AFZY2+ZFNzJQ1nMHlaYazvygW7H0IgIYZ+jgjYEl0vp65YM+oV1xNG72MFg&#10;iHJopB5wjHDTyzRJltJgx3GhRUfrluqv49Uo+Niwq7ajrC/fa7f/rLJ+dz2dlXqcT2+vIAJN4T/8&#10;1660gjR5yVL4vROvgCx+AAAA//8DAFBLAQItABQABgAIAAAAIQDb4fbL7gAAAIUBAAATAAAAAAAA&#10;AAAAAAAAAAAAAABbQ29udGVudF9UeXBlc10ueG1sUEsBAi0AFAAGAAgAAAAhAFr0LFu/AAAAFQEA&#10;AAsAAAAAAAAAAAAAAAAAHwEAAF9yZWxzLy5yZWxzUEsBAi0AFAAGAAgAAAAhAL55plrHAAAA3gAA&#10;AA8AAAAAAAAAAAAAAAAABwIAAGRycy9kb3ducmV2LnhtbFBLBQYAAAAAAwADALcAAAD7AgAAAAA=&#10;" filled="f" stroked="f">
                  <v:textbox inset="0,0,0,0">
                    <w:txbxContent>
                      <w:p w14:paraId="77991BC8" w14:textId="77777777" w:rsidR="00B32EF2" w:rsidRDefault="00000000">
                        <w:r>
                          <w:rPr>
                            <w:rFonts w:ascii="Arial" w:eastAsia="Arial" w:hAnsi="Arial" w:cs="Arial"/>
                            <w:sz w:val="18"/>
                          </w:rPr>
                          <w:t xml:space="preserve">il modulo di deposizione trasmessogli dal testimone dopo che lo stesso lo ha </w:t>
                        </w:r>
                      </w:p>
                    </w:txbxContent>
                  </v:textbox>
                </v:rect>
                <v:rect id="Rectangle 20483" o:spid="_x0000_s5209" style="position:absolute;left:-13171;top:816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QPBxwAAAN4AAAAPAAAAZHJzL2Rvd25yZXYueG1sRI9Pa8JA&#10;FMTvBb/D8gRvdaMtJURXEUWaQy/1D3h8ZJ9JNPt2ya4m9tN3CwWPw8z8hpkve9OIO7W+tqxgMk5A&#10;EBdW11wqOOy3rykIH5A1NpZJwYM8LBeDlzlm2nb8TfddKEWEsM9QQRWCy6T0RUUG/dg64uidbWsw&#10;RNmWUrfYRbhp5DRJPqTBmuNChY7WFRXX3c0oOG3Y5dtOFueftfu65GnzeTsclRoN+9UMRKA+PMP/&#10;7VwrmCbv6Rv83YlXQC5+AQAA//8DAFBLAQItABQABgAIAAAAIQDb4fbL7gAAAIUBAAATAAAAAAAA&#10;AAAAAAAAAAAAAABbQ29udGVudF9UeXBlc10ueG1sUEsBAi0AFAAGAAgAAAAhAFr0LFu/AAAAFQEA&#10;AAsAAAAAAAAAAAAAAAAAHwEAAF9yZWxzLy5yZWxzUEsBAi0AFAAGAAgAAAAhANE1A8HHAAAA3gAA&#10;AA8AAAAAAAAAAAAAAAAABwIAAGRycy9kb3ducmV2LnhtbFBLBQYAAAAAAwADALcAAAD7AgAAAAA=&#10;" filled="f" stroked="f">
                  <v:textbox inset="0,0,0,0">
                    <w:txbxContent>
                      <w:p w14:paraId="6CED950D" w14:textId="77777777" w:rsidR="00B32EF2" w:rsidRDefault="00000000">
                        <w:r>
                          <w:rPr>
                            <w:rFonts w:ascii="Arial" w:eastAsia="Arial" w:hAnsi="Arial" w:cs="Arial"/>
                            <w:sz w:val="18"/>
                          </w:rPr>
                          <w:t xml:space="preserve">compilato e sottoscritto in ogni sua parte con firma digitale apposta in base a </w:t>
                        </w:r>
                      </w:p>
                    </w:txbxContent>
                  </v:textbox>
                </v:rect>
                <v:rect id="Rectangle 20484" o:spid="_x0000_s5210" style="position:absolute;left:-13171;top:693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Ju1xgAAAN4AAAAPAAAAZHJzL2Rvd25yZXYueG1sRI9Ba8JA&#10;FITvBf/D8oTe6kaREqKriCLNwUvVQo+P7DOJZt8u2dXE/vquIHgcZuYbZr7sTSNu1PrasoLxKAFB&#10;XFhdc6ngeNh+pCB8QNbYWCYFd/KwXAze5php2/E33fahFBHCPkMFVQguk9IXFRn0I+uIo3eyrcEQ&#10;ZVtK3WIX4aaRkyT5lAZrjgsVOlpXVFz2V6Pgd8Mu33ayOP2t3e6cp83X9fij1PuwX81ABOrDK/xs&#10;51rBJJmmU3jciVdALv4BAAD//wMAUEsBAi0AFAAGAAgAAAAhANvh9svuAAAAhQEAABMAAAAAAAAA&#10;AAAAAAAAAAAAAFtDb250ZW50X1R5cGVzXS54bWxQSwECLQAUAAYACAAAACEAWvQsW78AAAAVAQAA&#10;CwAAAAAAAAAAAAAAAAAfAQAAX3JlbHMvLnJlbHNQSwECLQAUAAYACAAAACEAXtybtcYAAADeAAAA&#10;DwAAAAAAAAAAAAAAAAAHAgAAZHJzL2Rvd25yZXYueG1sUEsFBgAAAAADAAMAtwAAAPoCAAAAAA==&#10;" filled="f" stroked="f">
                  <v:textbox inset="0,0,0,0">
                    <w:txbxContent>
                      <w:p w14:paraId="3FCD6027" w14:textId="77777777" w:rsidR="00B32EF2" w:rsidRDefault="00000000">
                        <w:r>
                          <w:rPr>
                            <w:rFonts w:ascii="Arial" w:eastAsia="Arial" w:hAnsi="Arial" w:cs="Arial"/>
                            <w:sz w:val="18"/>
                          </w:rPr>
                          <w:t xml:space="preserve">un certificato di firma qualificato la cui validità non è scaduta ovvero che non è </w:t>
                        </w:r>
                      </w:p>
                    </w:txbxContent>
                  </v:textbox>
                </v:rect>
                <v:rect id="Rectangle 20485" o:spid="_x0000_s5211" style="position:absolute;left:455;top:5698;width:394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D4uxwAAAN4AAAAPAAAAZHJzL2Rvd25yZXYueG1sRI9Pa8JA&#10;FMTvBb/D8gRvdaO0JURXEUWaQy/1D3h8ZJ9JNPt2ya4m9tN3CwWPw8z8hpkve9OIO7W+tqxgMk5A&#10;EBdW11wqOOy3rykIH5A1NpZJwYM8LBeDlzlm2nb8TfddKEWEsM9QQRWCy6T0RUUG/dg64uidbWsw&#10;RNmWUrfYRbhp5DRJPqTBmuNChY7WFRXX3c0oOG3Y5dtOFueftfu65GnzeTsclRoN+9UMRKA+PMP/&#10;7VwrmCZv6Tv83YlXQC5+AQAA//8DAFBLAQItABQABgAIAAAAIQDb4fbL7gAAAIUBAAATAAAAAAAA&#10;AAAAAAAAAAAAAABbQ29udGVudF9UeXBlc10ueG1sUEsBAi0AFAAGAAgAAAAhAFr0LFu/AAAAFQEA&#10;AAsAAAAAAAAAAAAAAAAAHwEAAF9yZWxzLy5yZWxzUEsBAi0AFAAGAAgAAAAhADGQPi7HAAAA3gAA&#10;AA8AAAAAAAAAAAAAAAAABwIAAGRycy9kb3ducmV2LnhtbFBLBQYAAAAAAwADALcAAAD7AgAAAAA=&#10;" filled="f" stroked="f">
                  <v:textbox inset="0,0,0,0">
                    <w:txbxContent>
                      <w:p w14:paraId="0F9DA5D1" w14:textId="77777777" w:rsidR="00B32EF2" w:rsidRDefault="00000000">
                        <w:r>
                          <w:rPr>
                            <w:rFonts w:ascii="Arial" w:eastAsia="Arial" w:hAnsi="Arial" w:cs="Arial"/>
                            <w:sz w:val="18"/>
                          </w:rPr>
                          <w:t>stato revocato o sospeso al momento della sottoscrizione.</w:t>
                        </w:r>
                      </w:p>
                    </w:txbxContent>
                  </v:textbox>
                </v:rect>
                <v:rect id="Rectangle 201753" o:spid="_x0000_s5212" style="position:absolute;left:26342;top:4464;width:521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bByAAAAN8AAAAPAAAAZHJzL2Rvd25yZXYueG1sRI9Pa8JA&#10;FMTvgt9heUJvutGildRVikXMoRf/FHp8ZJ9J2uzbJbua6KfvCoLHYWZ+wyxWnanFhRpfWVYwHiUg&#10;iHOrKy4UHA+b4RyED8gaa8uk4EoeVst+b4Gpti3v6LIPhYgQ9ikqKENwqZQ+L8mgH1lHHL2TbQyG&#10;KJtC6gbbCDe1nCTJTBqsOC6U6GhdUv63PxsFP5/ssk0r89Nt7b5+s3m9PR+/lXoZdB/vIAJ14Rl+&#10;tDOtYJKM36avcP8Tv4Bc/gMAAP//AwBQSwECLQAUAAYACAAAACEA2+H2y+4AAACFAQAAEwAAAAAA&#10;AAAAAAAAAAAAAAAAW0NvbnRlbnRfVHlwZXNdLnhtbFBLAQItABQABgAIAAAAIQBa9CxbvwAAABUB&#10;AAALAAAAAAAAAAAAAAAAAB8BAABfcmVscy8ucmVsc1BLAQItABQABgAIAAAAIQCUfkbByAAAAN8A&#10;AAAPAAAAAAAAAAAAAAAAAAcCAABkcnMvZG93bnJldi54bWxQSwUGAAAAAAMAAwC3AAAA/AIAAAAA&#10;" filled="f" stroked="f">
                  <v:textbox inset="0,0,0,0">
                    <w:txbxContent>
                      <w:p w14:paraId="4283E9B2" w14:textId="77777777" w:rsidR="00B32EF2" w:rsidRDefault="00000000">
                        <w:r>
                          <w:rPr>
                            <w:rFonts w:ascii="Arial" w:eastAsia="Arial" w:hAnsi="Arial" w:cs="Arial"/>
                            <w:sz w:val="18"/>
                          </w:rPr>
                          <w:t>4</w:t>
                        </w:r>
                      </w:p>
                    </w:txbxContent>
                  </v:textbox>
                </v:rect>
                <v:rect id="Rectangle 201756" o:spid="_x0000_s5213" style="position:absolute;left:-12868;top:4464;width:521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eVZxwAAAN8AAAAPAAAAZHJzL2Rvd25yZXYueG1sRI9Ba8JA&#10;FITvgv9heUJvulGolegqoog5eKla6PGRfSbR7Nslu5q0v94tFDwOM/MNs1h1phYPanxlWcF4lIAg&#10;zq2uuFBwPu2GMxA+IGusLZOCH/KwWvZ7C0y1bfmTHsdQiAhhn6KCMgSXSunzkgz6kXXE0bvYxmCI&#10;simkbrCNcFPLSZJMpcGK40KJjjYl5bfj3Sj43rLLdq3ML78bd7hms3p/P38p9Tbo1nMQgbrwCv+3&#10;M61gkow/3qfw9yd+Abl8AgAA//8DAFBLAQItABQABgAIAAAAIQDb4fbL7gAAAIUBAAATAAAAAAAA&#10;AAAAAAAAAAAAAABbQ29udGVudF9UeXBlc10ueG1sUEsBAi0AFAAGAAgAAAAhAFr0LFu/AAAAFQEA&#10;AAsAAAAAAAAAAAAAAAAAHwEAAF9yZWxzLy5yZWxzUEsBAi0AFAAGAAgAAAAhAIQJ5VnHAAAA3wAA&#10;AA8AAAAAAAAAAAAAAAAABwIAAGRycy9kb3ducmV2LnhtbFBLBQYAAAAAAwADALcAAAD7AgAAAAA=&#10;" filled="f" stroked="f">
                  <v:textbox inset="0,0,0,0">
                    <w:txbxContent>
                      <w:p w14:paraId="48CBD2FC" w14:textId="77777777" w:rsidR="00B32EF2" w:rsidRDefault="00000000">
                        <w:r>
                          <w:rPr>
                            <w:rFonts w:ascii="Arial" w:eastAsia="Arial" w:hAnsi="Arial" w:cs="Arial"/>
                            <w:sz w:val="18"/>
                          </w:rPr>
                          <w:t>. Le corti di giustizia tributaria di primo e secondo grado, se ritengono illegit</w:t>
                        </w:r>
                      </w:p>
                    </w:txbxContent>
                  </v:textbox>
                </v:rect>
                <v:rect id="Rectangle 20487" o:spid="_x0000_s5214" style="position:absolute;left:192;top:446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gXCxwAAAN4AAAAPAAAAZHJzL2Rvd25yZXYueG1sRI9Pa8JA&#10;FMTvBb/D8gRvdaOUNkRXEUWaQy/1D3h8ZJ9JNPt2ya4m9tN3CwWPw8z8hpkve9OIO7W+tqxgMk5A&#10;EBdW11wqOOy3rykIH5A1NpZJwYM8LBeDlzlm2nb8TfddKEWEsM9QQRWCy6T0RUUG/dg64uidbWsw&#10;RNmWUrfYRbhp5DRJ3qXBmuNChY7WFRXX3c0oOG3Y5dtOFueftfu65GnzeTsclRoN+9UMRKA+PMP/&#10;7VwrmCZv6Qf83YlXQC5+AQAA//8DAFBLAQItABQABgAIAAAAIQDb4fbL7gAAAIUBAAATAAAAAAAA&#10;AAAAAAAAAAAAAABbQ29udGVudF9UeXBlc10ueG1sUEsBAi0AFAAGAAgAAAAhAFr0LFu/AAAAFQEA&#10;AAsAAAAAAAAAAAAAAAAAHwEAAF9yZWxzLy5yZWxzUEsBAi0AFAAGAAgAAAAhAK4OBcLHAAAA3gAA&#10;AA8AAAAAAAAAAAAAAAAABwIAAGRycy9kb3ducmV2LnhtbFBLBQYAAAAAAwADALcAAAD7AgAAAAA=&#10;" filled="f" stroked="f">
                  <v:textbox inset="0,0,0,0">
                    <w:txbxContent>
                      <w:p w14:paraId="50CA4808" w14:textId="77777777" w:rsidR="00B32EF2" w:rsidRDefault="00000000">
                        <w:r>
                          <w:rPr>
                            <w:rFonts w:ascii="Arial" w:eastAsia="Arial" w:hAnsi="Arial" w:cs="Arial"/>
                            <w:sz w:val="18"/>
                          </w:rPr>
                          <w:t>-</w:t>
                        </w:r>
                      </w:p>
                    </w:txbxContent>
                  </v:textbox>
                </v:rect>
                <v:shape id="Shape 208054" o:spid="_x0000_s5215" style="position:absolute;left:318;top:44062;width:39600;height:18503;visibility:visible;mso-wrap-style:square;v-text-anchor:top" coordsize="3960000,1850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qz2yAAAAN8AAAAPAAAAZHJzL2Rvd25yZXYueG1sRI9Pa8JA&#10;FMTvBb/D8gRvdVeJVaOriCD00EPrH9DbI/tMgtm3IbuatJ++Wyh4HGbmN8xy3dlKPKjxpWMNo6EC&#10;QZw5U3Ku4XjYvc5A+IBssHJMGr7Jw3rVe1lialzLX/TYh1xECPsUNRQh1KmUPivIoh+6mjh6V9dY&#10;DFE2uTQNthFuKzlW6k1aLDkuFFjTtqDstr9bDT/T8rKZn87+nH3ewiQ5uA9sE60H/W6zABGoC8/w&#10;f/vdaBirmZok8PcnfgG5+gUAAP//AwBQSwECLQAUAAYACAAAACEA2+H2y+4AAACFAQAAEwAAAAAA&#10;AAAAAAAAAAAAAAAAW0NvbnRlbnRfVHlwZXNdLnhtbFBLAQItABQABgAIAAAAIQBa9CxbvwAAABUB&#10;AAALAAAAAAAAAAAAAAAAAB8BAABfcmVscy8ucmVsc1BLAQItABQABgAIAAAAIQDjOqz2yAAAAN8A&#10;AAAPAAAAAAAAAAAAAAAAAAcCAABkcnMvZG93bnJldi54bWxQSwUGAAAAAAMAAwC3AAAA/AIAAAAA&#10;" path="m,l3960000,r,1850301l,1850301,,e" fillcolor="#c3c3c3" stroked="f" strokeweight="0">
                  <v:stroke miterlimit="83231f" joinstyle="miter"/>
                  <v:path arrowok="t" textboxrect="0,0,3960000,1850301"/>
                </v:shape>
                <v:rect id="Rectangle 20489" o:spid="_x0000_s5216" style="position:absolute;left:-11963;top:60352;width:513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TQrxwAAAN4AAAAPAAAAZHJzL2Rvd25yZXYueG1sRI9Pa8JA&#10;FMTvBb/D8gRvdaOUEqOriCLNoZf6Bzw+ss8kmn27ZFcT++m7hUKPw8z8hlmsetOIB7W+tqxgMk5A&#10;EBdW11wqOB52rykIH5A1NpZJwZM8rJaDlwVm2nb8RY99KEWEsM9QQRWCy6T0RUUG/dg64uhdbGsw&#10;RNmWUrfYRbhp5DRJ3qXBmuNChY42FRW3/d0oOG/Z5btOFpfvjfu85mnzcT+elBoN+/UcRKA+/If/&#10;2rlWME3e0hn83olXQC5/AAAA//8DAFBLAQItABQABgAIAAAAIQDb4fbL7gAAAIUBAAATAAAAAAAA&#10;AAAAAAAAAAAAAABbQ29udGVudF9UeXBlc10ueG1sUEsBAi0AFAAGAAgAAAAhAFr0LFu/AAAAFQEA&#10;AAsAAAAAAAAAAAAAAAAAHwEAAF9yZWxzLy5yZWxzUEsBAi0AFAAGAAgAAAAhALDdNCvHAAAA3gAA&#10;AA8AAAAAAAAAAAAAAAAABwIAAGRycy9kb3ducmV2LnhtbFBLBQYAAAAAAwADALcAAAD7AgAAAAA=&#10;" filled="f" stroked="f">
                  <v:textbox inset="0,0,0,0">
                    <w:txbxContent>
                      <w:p w14:paraId="040EC92A" w14:textId="77777777" w:rsidR="00B32EF2" w:rsidRDefault="00000000">
                        <w:r>
                          <w:rPr>
                            <w:rFonts w:ascii="Arial" w:eastAsia="Arial" w:hAnsi="Arial" w:cs="Arial"/>
                            <w:i/>
                            <w:sz w:val="18"/>
                          </w:rPr>
                          <w:t xml:space="preserve">astenersi nei processi riguardanti controversie da loro esaminate quali </w:t>
                        </w:r>
                      </w:p>
                    </w:txbxContent>
                  </v:textbox>
                </v:rect>
                <v:rect id="Rectangle 20490" o:spid="_x0000_s5217" style="position:absolute;left:17654;top:59119;width:214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gtrxgAAAN4AAAAPAAAAZHJzL2Rvd25yZXYueG1sRI/NasJA&#10;FIX3Qt9huIXudNJQxKaOUlKkWbhptNDlJXNNopk7Q2ZMok/fWRS6PJw/vvV2Mp0YqPetZQXPiwQE&#10;cWV1y7WC42E3X4HwAVljZ5kU3MjDdvMwW2Om7chfNJShFnGEfYYKmhBcJqWvGjLoF9YRR+9ke4Mh&#10;yr6WuscxjptOpkmylAZbjg8NOsobqi7l1Sj4+WBX7EZZne6525+LVfd5PX4r9fQ4vb+BCDSF//Bf&#10;u9AK0uTlNQJEnIgCcvMLAAD//wMAUEsBAi0AFAAGAAgAAAAhANvh9svuAAAAhQEAABMAAAAAAAAA&#10;AAAAAAAAAAAAAFtDb250ZW50X1R5cGVzXS54bWxQSwECLQAUAAYACAAAACEAWvQsW78AAAAVAQAA&#10;CwAAAAAAAAAAAAAAAAAfAQAAX3JlbHMvLnJlbHNQSwECLQAUAAYACAAAACEApD4La8YAAADeAAAA&#10;DwAAAAAAAAAAAAAAAAAHAgAAZHJzL2Rvd25yZXYueG1sUEsFBgAAAAADAAMAtwAAAPoCAAAAAA==&#10;" filled="f" stroked="f">
                  <v:textbox inset="0,0,0,0">
                    <w:txbxContent>
                      <w:p w14:paraId="54650DBA" w14:textId="77777777" w:rsidR="00B32EF2" w:rsidRDefault="00000000">
                        <w:r>
                          <w:rPr>
                            <w:rFonts w:ascii="Arial" w:eastAsia="Arial" w:hAnsi="Arial" w:cs="Arial"/>
                            <w:i/>
                            <w:sz w:val="18"/>
                          </w:rPr>
                          <w:t>componenti della commissione.</w:t>
                        </w:r>
                      </w:p>
                    </w:txbxContent>
                  </v:textbox>
                </v:rect>
                <v:rect id="Rectangle 20491" o:spid="_x0000_s5218" style="position:absolute;left:-11206;top:57886;width:5026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q7wxwAAAN4AAAAPAAAAZHJzL2Rvd25yZXYueG1sRI9Pi8Iw&#10;FMTvC36H8ARva6osi1ajiCLbg5f1D3h8NM+22ryEJtrqp98sLOxxmJnfMPNlZ2rxoMZXlhWMhgkI&#10;4tzqigsFx8P2fQLCB2SNtWVS8CQPy0XvbY6pti1/02MfChEh7FNUUIbgUil9XpJBP7SOOHoX2xgM&#10;UTaF1A22EW5qOU6ST2mw4rhQoqN1SfltfzcKzht22baV+eW1drtrNqm/7seTUoN+t5qBCNSF//Bf&#10;O9MKxsnHdAS/d+IVkIsfAAAA//8DAFBLAQItABQABgAIAAAAIQDb4fbL7gAAAIUBAAATAAAAAAAA&#10;AAAAAAAAAAAAAABbQ29udGVudF9UeXBlc10ueG1sUEsBAi0AFAAGAAgAAAAhAFr0LFu/AAAAFQEA&#10;AAsAAAAAAAAAAAAAAAAAHwEAAF9yZWxzLy5yZWxzUEsBAi0AFAAGAAgAAAAhAMtyrvDHAAAA3gAA&#10;AA8AAAAAAAAAAAAAAAAABwIAAGRycy9kb3ducmV2LnhtbFBLBQYAAAAAAwADALcAAAD7AgAAAAA=&#10;" filled="f" stroked="f">
                  <v:textbox inset="0,0,0,0">
                    <w:txbxContent>
                      <w:p w14:paraId="1525B9A1" w14:textId="77777777" w:rsidR="00B32EF2" w:rsidRDefault="00000000">
                        <w:r>
                          <w:rPr>
                            <w:rFonts w:ascii="Arial" w:eastAsia="Arial" w:hAnsi="Arial" w:cs="Arial"/>
                            <w:b/>
                            <w:i/>
                            <w:sz w:val="18"/>
                          </w:rPr>
                          <w:t xml:space="preserve">NORME COLLEGATE                                                                                                             </w:t>
                        </w:r>
                      </w:p>
                    </w:txbxContent>
                  </v:textbox>
                </v:rect>
                <v:rect id="Rectangle 20492" o:spid="_x0000_s5219" style="position:absolute;left:9813;top:56652;width:293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DCHxgAAAN4AAAAPAAAAZHJzL2Rvd25yZXYueG1sRI9Ba8JA&#10;FITvBf/D8gRvdWMoxUZXEUWag5daBY+P7DOJZt8u2dVEf323UOhxmJlvmPmyN424U+trywom4wQE&#10;cWF1zaWCw/f2dQrCB2SNjWVS8CAPy8XgZY6Zth1/0X0fShEh7DNUUIXgMil9UZFBP7aOOHpn2xoM&#10;Ubal1C12EW4amSbJuzRYc1yo0NG6ouK6vxkFpw27fNvJ4vxcu90lnzaft8NRqdGwX81ABOrDf/iv&#10;nWsFafL2kcLvnXgF5OIHAAD//wMAUEsBAi0AFAAGAAgAAAAhANvh9svuAAAAhQEAABMAAAAAAAAA&#10;AAAAAAAAAAAAAFtDb250ZW50X1R5cGVzXS54bWxQSwECLQAUAAYACAAAACEAWvQsW78AAAAVAQAA&#10;CwAAAAAAAAAAAAAAAAAfAQAAX3JlbHMvLnJlbHNQSwECLQAUAAYACAAAACEAO6Awh8YAAADeAAAA&#10;DwAAAAAAAAAAAAAAAAAHAgAAZHJzL2Rvd25yZXYueG1sUEsFBgAAAAADAAMAtwAAAPoCAAAAAA==&#10;" filled="f" stroked="f">
                  <v:textbox inset="0,0,0,0">
                    <w:txbxContent>
                      <w:p w14:paraId="6CEC1CCF" w14:textId="77777777" w:rsidR="00B32EF2" w:rsidRDefault="00000000">
                        <w:r>
                          <w:rPr>
                            <w:rFonts w:ascii="Arial" w:eastAsia="Arial" w:hAnsi="Arial" w:cs="Arial"/>
                            <w:i/>
                            <w:sz w:val="18"/>
                          </w:rPr>
                          <w:t xml:space="preserve">art. 54 c.p.c. “Ordinanza sulla ricusazione” </w:t>
                        </w:r>
                      </w:p>
                    </w:txbxContent>
                  </v:textbox>
                </v:rect>
                <v:rect id="Rectangle 201786" o:spid="_x0000_s5220" style="position:absolute;left:-12477;top:55419;width:510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ckexwAAAN8AAAAPAAAAZHJzL2Rvd25yZXYueG1sRI9Pi8Iw&#10;FMTvC36H8Bb2tqZ60FKNsiiyPXjxH3h8NM+2u81LaKKt++k3guBxmJnfMPNlbxpxo9bXlhWMhgkI&#10;4sLqmksFx8PmMwXhA7LGxjIpuJOH5WLwNsdM2453dNuHUkQI+wwVVCG4TEpfVGTQD60jjt7FtgZD&#10;lG0pdYtdhJtGjpNkIg3WHBcqdLSqqPjdX42C85pdvulkcflbue1Pnjbf1+NJqY/3/msGIlAfXuFn&#10;O9cKxslomk7g8Sd+Abn4BwAA//8DAFBLAQItABQABgAIAAAAIQDb4fbL7gAAAIUBAAATAAAAAAAA&#10;AAAAAAAAAAAAAABbQ29udGVudF9UeXBlc10ueG1sUEsBAi0AFAAGAAgAAAAhAFr0LFu/AAAAFQEA&#10;AAsAAAAAAAAAAAAAAAAAHwEAAF9yZWxzLy5yZWxzUEsBAi0AFAAGAAgAAAAhAPppyR7HAAAA3wAA&#10;AA8AAAAAAAAAAAAAAAAABwIAAGRycy9kb3ducmV2LnhtbFBLBQYAAAAAAwADALcAAAD7AgAAAAA=&#10;" filled="f" stroked="f">
                  <v:textbox inset="0,0,0,0">
                    <w:txbxContent>
                      <w:p w14:paraId="3C6D5399" w14:textId="77777777" w:rsidR="00B32EF2" w:rsidRDefault="00000000">
                        <w:r>
                          <w:rPr>
                            <w:rFonts w:ascii="Arial" w:eastAsia="Arial" w:hAnsi="Arial" w:cs="Arial"/>
                            <w:i/>
                            <w:sz w:val="18"/>
                          </w:rPr>
                          <w:t xml:space="preserve">. L’ordinanza che accoglie il ricorso designa il giudice che deve sostituire </w:t>
                        </w:r>
                      </w:p>
                    </w:txbxContent>
                  </v:textbox>
                </v:rect>
                <v:rect id="Rectangle 201785" o:spid="_x0000_s5221" style="position:absolute;left:25832;top:55419;width:510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1dpyAAAAN8AAAAPAAAAZHJzL2Rvd25yZXYueG1sRI9Pa8JA&#10;FMTvgt9heYI33SjUhtRVRJHm0Ev9Az0+ss8kbfbtkl1N7Kd3CwWPw8z8hlmue9OIG7W+tqxgNk1A&#10;EBdW11wqOB33kxSED8gaG8uk4E4e1qvhYImZth1/0u0QShEh7DNUUIXgMil9UZFBP7WOOHoX2xoM&#10;Ubal1C12EW4aOU+ShTRYc1yo0NG2ouLncDUKvnbs8n0ni8vv1n1852nzfj2dlRqP+s0biEB9eIb/&#10;27lWME9mr+kL/P2JX0CuHgAAAP//AwBQSwECLQAUAAYACAAAACEA2+H2y+4AAACFAQAAEwAAAAAA&#10;AAAAAAAAAAAAAAAAW0NvbnRlbnRfVHlwZXNdLnhtbFBLAQItABQABgAIAAAAIQBa9CxbvwAAABUB&#10;AAALAAAAAAAAAAAAAAAAAB8BAABfcmVscy8ucmVsc1BLAQItABQABgAIAAAAIQAKu1dpyAAAAN8A&#10;AAAPAAAAAAAAAAAAAAAAAAcCAABkcnMvZG93bnJldi54bWxQSwUGAAAAAAMAAwC3AAAA/AIAAAAA&#10;" filled="f" stroked="f">
                  <v:textbox inset="0,0,0,0">
                    <w:txbxContent>
                      <w:p w14:paraId="59EEEBFC" w14:textId="77777777" w:rsidR="00B32EF2" w:rsidRDefault="00000000">
                        <w:r>
                          <w:rPr>
                            <w:rFonts w:ascii="Arial" w:eastAsia="Arial" w:hAnsi="Arial" w:cs="Arial"/>
                            <w:i/>
                            <w:sz w:val="18"/>
                          </w:rPr>
                          <w:t>1</w:t>
                        </w:r>
                      </w:p>
                    </w:txbxContent>
                  </v:textbox>
                </v:rect>
                <v:rect id="Rectangle 20494" o:spid="_x0000_s5222" style="position:absolute;left:28782;top:54186;width:103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Q1oxwAAAN4AAAAPAAAAZHJzL2Rvd25yZXYueG1sRI9Pi8Iw&#10;FMTvC36H8ARva7oii1ajLIrYg5f1D3h8NM+22ryEJtrqp98sLOxxmJnfMPNlZ2rxoMZXlhV8DBMQ&#10;xLnVFRcKjofN+wSED8gaa8uk4Ekelove2xxTbVv+psc+FCJC2KeooAzBpVL6vCSDfmgdcfQutjEY&#10;omwKqRtsI9zUcpQkn9JgxXGhREerkvLb/m4UnNfssk0r88tr5XbXbFJv78eTUoN+9zUDEagL/+G/&#10;dqYVjJLxdAy/d+IVkIsfAAAA//8DAFBLAQItABQABgAIAAAAIQDb4fbL7gAAAIUBAAATAAAAAAAA&#10;AAAAAAAAAAAAAABbQ29udGVudF9UeXBlc10ueG1sUEsBAi0AFAAGAAgAAAAhAFr0LFu/AAAAFQEA&#10;AAsAAAAAAAAAAAAAAAAAHwEAAF9yZWxzLy5yZWxzUEsBAi0AFAAGAAgAAAAhANsFDWjHAAAA3gAA&#10;AA8AAAAAAAAAAAAAAAAABwIAAGRycy9kb3ducmV2LnhtbFBLBQYAAAAAAwADALcAAAD7AgAAAAA=&#10;" filled="f" stroked="f">
                  <v:textbox inset="0,0,0,0">
                    <w:txbxContent>
                      <w:p w14:paraId="57BF32A8" w14:textId="77777777" w:rsidR="00B32EF2" w:rsidRDefault="00000000">
                        <w:r>
                          <w:rPr>
                            <w:rFonts w:ascii="Arial" w:eastAsia="Arial" w:hAnsi="Arial" w:cs="Arial"/>
                            <w:i/>
                            <w:sz w:val="18"/>
                          </w:rPr>
                          <w:t>quello ricusato.</w:t>
                        </w:r>
                      </w:p>
                    </w:txbxContent>
                  </v:textbox>
                </v:rect>
                <v:rect id="Rectangle 201783" o:spid="_x0000_s5223" style="position:absolute;left:25835;top:52952;width:51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mqGyAAAAN8AAAAPAAAAZHJzL2Rvd25yZXYueG1sRI9Pa8JA&#10;FMTvgt9heYI33WjBhtRVRJHm0Ev9Az0+ss8kbfbtkl1N7Kd3CwWPw8z8hlmue9OIG7W+tqxgNk1A&#10;EBdW11wqOB33kxSED8gaG8uk4E4e1qvhYImZth1/0u0QShEh7DNUUIXgMil9UZFBP7WOOHoX2xoM&#10;Ubal1C12EW4aOU+ShTRYc1yo0NG2ouLncDUKvnbs8n0ni8vv1n1852nzfj2dlRqP+s0biEB9eIb/&#10;27lWME9mr+kL/P2JX0CuHgAAAP//AwBQSwECLQAUAAYACAAAACEA2+H2y+4AAACFAQAAEwAAAAAA&#10;AAAAAAAAAAAAAAAAW0NvbnRlbnRfVHlwZXNdLnhtbFBLAQItABQABgAIAAAAIQBa9CxbvwAAABUB&#10;AAALAAAAAAAAAAAAAAAAAB8BAABfcmVscy8ucmVsc1BLAQItABQABgAIAAAAIQDqHmqGyAAAAN8A&#10;AAAPAAAAAAAAAAAAAAAAAAcCAABkcnMvZG93bnJldi54bWxQSwUGAAAAAAMAAwC3AAAA/AIAAAAA&#10;" filled="f" stroked="f">
                  <v:textbox inset="0,0,0,0">
                    <w:txbxContent>
                      <w:p w14:paraId="7B57653C" w14:textId="77777777" w:rsidR="00B32EF2" w:rsidRDefault="00000000">
                        <w:r>
                          <w:rPr>
                            <w:rFonts w:ascii="Arial" w:eastAsia="Arial" w:hAnsi="Arial" w:cs="Arial"/>
                            <w:i/>
                            <w:sz w:val="18"/>
                          </w:rPr>
                          <w:t>2</w:t>
                        </w:r>
                      </w:p>
                    </w:txbxContent>
                  </v:textbox>
                </v:rect>
                <v:rect id="Rectangle 201784" o:spid="_x0000_s5224" style="position:absolute;left:-12529;top:52952;width:510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LyyAAAAN8AAAAPAAAAZHJzL2Rvd25yZXYueG1sRI9Pa8JA&#10;FMTvgt9heYI33SjFhtRVRJHm0Ev9Az0+ss8kbfbtkl1N7Kd3CwWPw8z8hlmue9OIG7W+tqxgNk1A&#10;EBdW11wqOB33kxSED8gaG8uk4E4e1qvhYImZth1/0u0QShEh7DNUUIXgMil9UZFBP7WOOHoX2xoM&#10;Ubal1C12EW4aOU+ShTRYc1yo0NG2ouLncDUKvnbs8n0ni8vv1n1852nzfj2dlRqP+s0biEB9eIb/&#10;27lWME9mr+kL/P2JX0CuHgAAAP//AwBQSwECLQAUAAYACAAAACEA2+H2y+4AAACFAQAAEwAAAAAA&#10;AAAAAAAAAAAAAAAAW0NvbnRlbnRfVHlwZXNdLnhtbFBLAQItABQABgAIAAAAIQBa9CxbvwAAABUB&#10;AAALAAAAAAAAAAAAAAAAAB8BAABfcmVscy8ucmVsc1BLAQItABQABgAIAAAAIQBl9/LyyAAAAN8A&#10;AAAPAAAAAAAAAAAAAAAAAAcCAABkcnMvZG93bnJldi54bWxQSwUGAAAAAAMAAwC3AAAA/AIAAAAA&#10;" filled="f" stroked="f">
                  <v:textbox inset="0,0,0,0">
                    <w:txbxContent>
                      <w:p w14:paraId="6F37F5F2" w14:textId="77777777" w:rsidR="00B32EF2" w:rsidRDefault="00000000">
                        <w:r>
                          <w:rPr>
                            <w:rFonts w:ascii="Arial" w:eastAsia="Arial" w:hAnsi="Arial" w:cs="Arial"/>
                            <w:i/>
                            <w:sz w:val="18"/>
                          </w:rPr>
                          <w:t xml:space="preserve">. La ricusazione è dichiarata inammissibile, se non è stata proposta nelle </w:t>
                        </w:r>
                      </w:p>
                    </w:txbxContent>
                  </v:textbox>
                </v:rect>
                <v:rect id="Rectangle 20496" o:spid="_x0000_s5225" style="position:absolute;left:10861;top:51719;width:282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zaExgAAAN4AAAAPAAAAZHJzL2Rvd25yZXYueG1sRI9Pi8Iw&#10;FMTvC36H8ARva7oiotUoi4tsD3vxH3h8NM+22ryEJtrqp98IC3scZuY3zGLVmVrcqfGVZQUfwwQE&#10;cW51xYWCw37zPgXhA7LG2jIpeJCH1bL3tsBU25a3dN+FQkQI+xQVlCG4VEqfl2TQD60jjt7ZNgZD&#10;lE0hdYNthJtajpJkIg1WHBdKdLQuKb/ubkbB6Ytdtmllfn6u3c8lm9bft8NRqUG/+5yDCNSF//Bf&#10;O9MKRsl4NoHXnXgF5PIXAAD//wMAUEsBAi0AFAAGAAgAAAAhANvh9svuAAAAhQEAABMAAAAAAAAA&#10;AAAAAAAAAAAAAFtDb250ZW50X1R5cGVzXS54bWxQSwECLQAUAAYACAAAACEAWvQsW78AAAAVAQAA&#10;CwAAAAAAAAAAAAAAAAAfAQAAX3JlbHMvLnJlbHNQSwECLQAUAAYACAAAACEARJs2hMYAAADeAAAA&#10;DwAAAAAAAAAAAAAAAAAHAgAAZHJzL2Rvd25yZXYueG1sUEsFBgAAAAADAAMAtwAAAPoCAAAAAA==&#10;" filled="f" stroked="f">
                  <v:textbox inset="0,0,0,0">
                    <w:txbxContent>
                      <w:p w14:paraId="39DC81DA" w14:textId="77777777" w:rsidR="00B32EF2" w:rsidRDefault="00000000">
                        <w:r>
                          <w:rPr>
                            <w:rFonts w:ascii="Arial" w:eastAsia="Arial" w:hAnsi="Arial" w:cs="Arial"/>
                            <w:i/>
                            <w:sz w:val="18"/>
                          </w:rPr>
                          <w:t xml:space="preserve">forme e nei termini fissati nell’articolo 52. </w:t>
                        </w:r>
                      </w:p>
                    </w:txbxContent>
                  </v:textbox>
                </v:rect>
                <v:rect id="Rectangle 201779" o:spid="_x0000_s5226" style="position:absolute;left:26082;top:50486;width:500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1LyAAAAN8AAAAPAAAAZHJzL2Rvd25yZXYueG1sRI9Ba8JA&#10;FITvgv9heYI33ehBbXSVYpHm4KU2hR4f2WcSm327ZFeT9te7BcHjMDPfMJtdbxpxo9bXlhXMpgkI&#10;4sLqmksF+edhsgLhA7LGxjIp+CUPu+1wsMFU244/6HYKpYgQ9ikqqEJwqZS+qMign1pHHL2zbQ2G&#10;KNtS6ha7CDeNnCfJQhqsOS5U6GhfUfFzuhoF32/sskMni/Pf3h0v2ap5v+ZfSo1H/esaRKA+PMOP&#10;dqYVzJPZcvkC/3/iF5DbOwAAAP//AwBQSwECLQAUAAYACAAAACEA2+H2y+4AAACFAQAAEwAAAAAA&#10;AAAAAAAAAAAAAAAAW0NvbnRlbnRfVHlwZXNdLnhtbFBLAQItABQABgAIAAAAIQBa9CxbvwAAABUB&#10;AAALAAAAAAAAAAAAAAAAAB8BAABfcmVscy8ucmVsc1BLAQItABQABgAIAAAAIQC+Iy1LyAAAAN8A&#10;AAAPAAAAAAAAAAAAAAAAAAcCAABkcnMvZG93bnJldi54bWxQSwUGAAAAAAMAAwC3AAAA/AIAAAAA&#10;" filled="f" stroked="f">
                  <v:textbox inset="0,0,0,0">
                    <w:txbxContent>
                      <w:p w14:paraId="319788C4" w14:textId="77777777" w:rsidR="00B32EF2" w:rsidRDefault="00000000">
                        <w:r>
                          <w:rPr>
                            <w:rFonts w:ascii="Arial" w:eastAsia="Arial" w:hAnsi="Arial" w:cs="Arial"/>
                            <w:i/>
                            <w:sz w:val="18"/>
                          </w:rPr>
                          <w:t>3</w:t>
                        </w:r>
                      </w:p>
                    </w:txbxContent>
                  </v:textbox>
                </v:rect>
                <v:rect id="Rectangle 201781" o:spid="_x0000_s5227" style="position:absolute;left:-11575;top:50486;width:500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FFqxwAAAN8AAAAPAAAAZHJzL2Rvd25yZXYueG1sRI9Ba8JA&#10;FITvgv9heUJvuomHNqSuUhQxh16qFnp8ZJ9J2uzbJbua1F/vCoLHYWa+YRarwbTiQp1vLCtIZwkI&#10;4tLqhisFx8N2moHwAVlja5kU/JOH1XI8WmCubc9fdNmHSkQI+xwV1CG4XEpf1mTQz6wjjt7JdgZD&#10;lF0ldYd9hJtWzpPkVRpsOC7U6GhdU/m3PxsFPxt2xbaX5em6dp+/RdbuzsdvpV4mw8c7iEBDeIYf&#10;7UIrmCfpW5bC/U/8AnJ5AwAA//8DAFBLAQItABQABgAIAAAAIQDb4fbL7gAAAIUBAAATAAAAAAAA&#10;AAAAAAAAAAAAAABbQ29udGVudF9UeXBlc10ueG1sUEsBAi0AFAAGAAgAAAAhAFr0LFu/AAAAFQEA&#10;AAsAAAAAAAAAAAAAAAAAHwEAAF9yZWxzLy5yZWxzUEsBAi0AFAAGAAgAAAAhAHWAUWrHAAAA3wAA&#10;AA8AAAAAAAAAAAAAAAAABwIAAGRycy9kb3ducmV2LnhtbFBLBQYAAAAAAwADALcAAAD7AgAAAAA=&#10;" filled="f" stroked="f">
                  <v:textbox inset="0,0,0,0">
                    <w:txbxContent>
                      <w:p w14:paraId="03C4659D" w14:textId="77777777" w:rsidR="00B32EF2" w:rsidRDefault="00000000">
                        <w:r>
                          <w:rPr>
                            <w:rFonts w:ascii="Arial" w:eastAsia="Arial" w:hAnsi="Arial" w:cs="Arial"/>
                            <w:i/>
                            <w:sz w:val="18"/>
                          </w:rPr>
                          <w:t>. Il giudice, con l’ordinanza con cui dichiara inammissibile o rigetta la ricu</w:t>
                        </w:r>
                      </w:p>
                    </w:txbxContent>
                  </v:textbox>
                </v:rect>
                <v:rect id="Rectangle 20498" o:spid="_x0000_s5228" style="position:absolute;left:976;top:5048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dtxQAAAN4AAAAPAAAAZHJzL2Rvd25yZXYueG1sRE/Pa8Iw&#10;FL4L+x/CG+ym6coQ1xlldMh68LLqYMdH82yrzUtoYlv965fDYMeP7/d6O5lODNT71rKC50UCgriy&#10;uuVawfGwm69A+ICssbNMCm7kYbt5mK0x03bkLxrKUIsYwj5DBU0ILpPSVw0Z9AvriCN3sr3BEGFf&#10;S93jGMNNJ9MkWUqDLceGBh3lDVWX8moU/HywK3ajrE733O3Pxar7vB6/lXp6nN7fQASawr/4z11o&#10;BWny8hr3xjvxCsjNLwAAAP//AwBQSwECLQAUAAYACAAAACEA2+H2y+4AAACFAQAAEwAAAAAAAAAA&#10;AAAAAAAAAAAAW0NvbnRlbnRfVHlwZXNdLnhtbFBLAQItABQABgAIAAAAIQBa9CxbvwAAABUBAAAL&#10;AAAAAAAAAAAAAAAAAB8BAABfcmVscy8ucmVsc1BLAQItABQABgAIAAAAIQBaSAdtxQAAAN4AAAAP&#10;AAAAAAAAAAAAAAAAAAcCAABkcnMvZG93bnJldi54bWxQSwUGAAAAAAMAAwC3AAAA+QIAAAAA&#10;" filled="f" stroked="f">
                  <v:textbox inset="0,0,0,0">
                    <w:txbxContent>
                      <w:p w14:paraId="2702EE41" w14:textId="77777777" w:rsidR="00B32EF2" w:rsidRDefault="00000000">
                        <w:r>
                          <w:rPr>
                            <w:rFonts w:ascii="Arial" w:eastAsia="Arial" w:hAnsi="Arial" w:cs="Arial"/>
                            <w:i/>
                            <w:sz w:val="18"/>
                          </w:rPr>
                          <w:t>-</w:t>
                        </w:r>
                      </w:p>
                    </w:txbxContent>
                  </v:textbox>
                </v:rect>
                <v:rect id="Rectangle 20499" o:spid="_x0000_s5229" style="position:absolute;left:-11859;top:49252;width:509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KL2xwAAAN4AAAAPAAAAZHJzL2Rvd25yZXYueG1sRI9Pi8Iw&#10;FMTvgt8hPGFvmq4si1ajLIrYw17WP+Dx0TzbavMSmmirn36zsOBxmJnfMPNlZ2pxp8ZXlhW8jxIQ&#10;xLnVFRcKDvvNcALCB2SNtWVS8CAPy0W/N8dU25Z/6L4LhYgQ9ikqKENwqZQ+L8mgH1lHHL2zbQyG&#10;KJtC6gbbCDe1HCfJpzRYcVwo0dGqpPy6uxkFpzW7bNPK/Pxcue9LNqm3t8NRqbdB9zUDEagLr/B/&#10;O9MKxsnHdAp/d+IVkItfAAAA//8DAFBLAQItABQABgAIAAAAIQDb4fbL7gAAAIUBAAATAAAAAAAA&#10;AAAAAAAAAAAAAABbQ29udGVudF9UeXBlc10ueG1sUEsBAi0AFAAGAAgAAAAhAFr0LFu/AAAAFQEA&#10;AAsAAAAAAAAAAAAAAAAAHwEAAF9yZWxzLy5yZWxzUEsBAi0AFAAGAAgAAAAhADUEovbHAAAA3gAA&#10;AA8AAAAAAAAAAAAAAAAABwIAAGRycy9kb3ducmV2LnhtbFBLBQYAAAAAAwADALcAAAD7AgAAAAA=&#10;" filled="f" stroked="f">
                  <v:textbox inset="0,0,0,0">
                    <w:txbxContent>
                      <w:p w14:paraId="27C8E372" w14:textId="77777777" w:rsidR="00B32EF2" w:rsidRDefault="00000000">
                        <w:r>
                          <w:rPr>
                            <w:rFonts w:ascii="Arial" w:eastAsia="Arial" w:hAnsi="Arial" w:cs="Arial"/>
                            <w:i/>
                            <w:sz w:val="18"/>
                          </w:rPr>
                          <w:t xml:space="preserve">sazione, provvede sulle spese e può condannare la parte che l’ha proposta </w:t>
                        </w:r>
                      </w:p>
                    </w:txbxContent>
                  </v:textbox>
                </v:rect>
                <v:rect id="Rectangle 20500" o:spid="_x0000_s5230" style="position:absolute;left:5037;top:48019;width:34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ZFxxQAAAN4AAAAPAAAAZHJzL2Rvd25yZXYueG1sRI/LagIx&#10;FIb3Bd8hHMFdTRRaZDSKKNJZdOOl0OVhcpwZnZyESXTGPr1ZFFz+/De+xaq3jbhTG2rHGiZjBYK4&#10;cKbmUsPpuHufgQgR2WDjmDQ8KMBqOXhbYGZcx3u6H2Ip0giHDDVUMfpMylBUZDGMnSdO3tm1FmOS&#10;bSlNi10at42cKvUpLdacHir0tKmouB5uVsPvln2+62Rx/tv470s+a75upx+tR8N+PQcRqY+v8H87&#10;Nxqm6kMlgISTUEAunwAAAP//AwBQSwECLQAUAAYACAAAACEA2+H2y+4AAACFAQAAEwAAAAAAAAAA&#10;AAAAAAAAAAAAW0NvbnRlbnRfVHlwZXNdLnhtbFBLAQItABQABgAIAAAAIQBa9CxbvwAAABUBAAAL&#10;AAAAAAAAAAAAAAAAAB8BAABfcmVscy8ucmVsc1BLAQItABQABgAIAAAAIQA61ZFxxQAAAN4AAAAP&#10;AAAAAAAAAAAAAAAAAAcCAABkcnMvZG93bnJldi54bWxQSwUGAAAAAAMAAwC3AAAA+QIAAAAA&#10;" filled="f" stroked="f">
                  <v:textbox inset="0,0,0,0">
                    <w:txbxContent>
                      <w:p w14:paraId="4E884B62" w14:textId="77777777" w:rsidR="00B32EF2" w:rsidRDefault="00000000">
                        <w:r>
                          <w:rPr>
                            <w:rFonts w:ascii="Arial" w:eastAsia="Arial" w:hAnsi="Arial" w:cs="Arial"/>
                            <w:i/>
                            <w:sz w:val="18"/>
                          </w:rPr>
                          <w:t>ad una pena pecuniaria non superiore a euro 250.</w:t>
                        </w:r>
                      </w:p>
                    </w:txbxContent>
                  </v:textbox>
                </v:rect>
                <v:rect id="Rectangle 201776" o:spid="_x0000_s5231" style="position:absolute;left:25810;top:46786;width:511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Lk5xgAAAN8AAAAPAAAAZHJzL2Rvd25yZXYueG1sRI9Bi8Iw&#10;FITvC/6H8ARva6oHlWoUUcQevKy6sMdH82yrzUtooq3++s3CgsdhZr5hFqvO1OJBja8sKxgNExDE&#10;udUVFwrOp93nDIQPyBpry6TgSR5Wy97HAlNtW/6ixzEUIkLYp6igDMGlUvq8JIN+aB1x9C62MRii&#10;bAqpG2wj3NRynCQTabDiuFCio01J+e14Nwp+tuyyXSvzy2vjDtdsVu/v52+lBv1uPQcRqAvv8H87&#10;0wrGyWg6ncDfn/gF5PIXAAD//wMAUEsBAi0AFAAGAAgAAAAhANvh9svuAAAAhQEAABMAAAAAAAAA&#10;AAAAAAAAAAAAAFtDb250ZW50X1R5cGVzXS54bWxQSwECLQAUAAYACAAAACEAWvQsW78AAAAVAQAA&#10;CwAAAAAAAAAAAAAAAAAfAQAAX3JlbHMvLnJlbHNQSwECLQAUAAYACAAAACEAz7y5OcYAAADfAAAA&#10;DwAAAAAAAAAAAAAAAAAHAgAAZHJzL2Rvd25yZXYueG1sUEsFBgAAAAADAAMAtwAAAPoCAAAAAA==&#10;" filled="f" stroked="f">
                  <v:textbox inset="0,0,0,0">
                    <w:txbxContent>
                      <w:p w14:paraId="4618DCC5" w14:textId="77777777" w:rsidR="00B32EF2" w:rsidRDefault="00000000">
                        <w:r>
                          <w:rPr>
                            <w:rFonts w:ascii="Arial" w:eastAsia="Arial" w:hAnsi="Arial" w:cs="Arial"/>
                            <w:i/>
                            <w:sz w:val="18"/>
                          </w:rPr>
                          <w:t>4</w:t>
                        </w:r>
                      </w:p>
                    </w:txbxContent>
                  </v:textbox>
                </v:rect>
                <v:rect id="Rectangle 201777" o:spid="_x0000_s5232" style="position:absolute;left:-12562;top:46786;width:511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ByixwAAAN8AAAAPAAAAZHJzL2Rvd25yZXYueG1sRI9Ba8JA&#10;FITvBf/D8gRvdaOHRqKriCLNwUutgsdH9plEs2+X7Gqiv75bKPQ4zMw3zGLVm0Y8qPW1ZQWTcQKC&#10;uLC65lLB8Xv3PgPhA7LGxjIpeJKH1XLwtsBM246/6HEIpYgQ9hkqqEJwmZS+qMigH1tHHL2LbQ2G&#10;KNtS6ha7CDeNnCbJhzRYc1yo0NGmouJ2uBsF5y27fNfJ4vLauP01nzWf9+NJqdGwX89BBOrDf/iv&#10;nWsF02SSpin8/olfQC5/AAAA//8DAFBLAQItABQABgAIAAAAIQDb4fbL7gAAAIUBAAATAAAAAAAA&#10;AAAAAAAAAAAAAABbQ29udGVudF9UeXBlc10ueG1sUEsBAi0AFAAGAAgAAAAhAFr0LFu/AAAAFQEA&#10;AAsAAAAAAAAAAAAAAAAAHwEAAF9yZWxzLy5yZWxzUEsBAi0AFAAGAAgAAAAhAKDwHKLHAAAA3wAA&#10;AA8AAAAAAAAAAAAAAAAABwIAAGRycy9kb3ducmV2LnhtbFBLBQYAAAAAAwADALcAAAD7AgAAAAA=&#10;" filled="f" stroked="f">
                  <v:textbox inset="0,0,0,0">
                    <w:txbxContent>
                      <w:p w14:paraId="4977DE61" w14:textId="77777777" w:rsidR="00B32EF2" w:rsidRDefault="00000000">
                        <w:r>
                          <w:rPr>
                            <w:rFonts w:ascii="Arial" w:eastAsia="Arial" w:hAnsi="Arial" w:cs="Arial"/>
                            <w:i/>
                            <w:sz w:val="18"/>
                          </w:rPr>
                          <w:t xml:space="preserve">. Dell’ordinanza è data notizia dalla cancelleria al giudice e alle parti, le </w:t>
                        </w:r>
                      </w:p>
                    </w:txbxContent>
                  </v:textbox>
                </v:rect>
                <v:rect id="Rectangle 20502" o:spid="_x0000_s5233" style="position:absolute;left:-10909;top:45553;width:5004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6qdxwAAAN4AAAAPAAAAZHJzL2Rvd25yZXYueG1sRI9PawIx&#10;FMTvQr9DeIXeNOlCi6xGKRbpHnqpf8DjY/PcXd28hE10t/30jSB4HGbmN8x8OdhWXKkLjWMNrxMF&#10;grh0puFKw267Hk9BhIhssHVMGn4pwHLxNJpjblzPP3TdxEokCIccNdQx+lzKUNZkMUycJ07e0XUW&#10;Y5JdJU2HfYLbVmZKvUuLDaeFGj2tairPm4vVcPhkX6x7WR7/Vv77VEzbr8tur/XL8/AxAxFpiI/w&#10;vV0YDZl6Uxnc7qQrIBf/AAAA//8DAFBLAQItABQABgAIAAAAIQDb4fbL7gAAAIUBAAATAAAAAAAA&#10;AAAAAAAAAAAAAABbQ29udGVudF9UeXBlc10ueG1sUEsBAi0AFAAGAAgAAAAhAFr0LFu/AAAAFQEA&#10;AAsAAAAAAAAAAAAAAAAAHwEAAF9yZWxzLy5yZWxzUEsBAi0AFAAGAAgAAAAhAKVLqp3HAAAA3gAA&#10;AA8AAAAAAAAAAAAAAAAABwIAAGRycy9kb3ducmV2LnhtbFBLBQYAAAAAAwADALcAAAD7AgAAAAA=&#10;" filled="f" stroked="f">
                  <v:textbox inset="0,0,0,0">
                    <w:txbxContent>
                      <w:p w14:paraId="53EBFF1E" w14:textId="77777777" w:rsidR="00B32EF2" w:rsidRDefault="00000000">
                        <w:r>
                          <w:rPr>
                            <w:rFonts w:ascii="Arial" w:eastAsia="Arial" w:hAnsi="Arial" w:cs="Arial"/>
                            <w:i/>
                            <w:sz w:val="18"/>
                          </w:rPr>
                          <w:t>quali debbono provvedere alla riassunzione della causa nel termine peren</w:t>
                        </w:r>
                      </w:p>
                    </w:txbxContent>
                  </v:textbox>
                </v:rect>
                <v:rect id="Rectangle 20503" o:spid="_x0000_s5234" style="position:absolute;left:976;top:45553;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w8GxgAAAN4AAAAPAAAAZHJzL2Rvd25yZXYueG1sRI9BawIx&#10;FITvhf6H8ARvNVGpyGoUsYh76KXWQo+PzXN3dfMSNtFd++ubgtDjMDPfMMt1bxtxozbUjjWMRwoE&#10;ceFMzaWG4+fuZQ4iRGSDjWPScKcA69Xz0xIz4zr+oNshliJBOGSooYrRZ1KGoiKLYeQ8cfJOrrUY&#10;k2xLaVrsEtw2cqLUTFqsOS1U6GlbUXE5XK2G7zf2+a6Txeln69/P+bzZX49fWg8H/WYBIlIf/8OP&#10;dm40TNSrmsLfnXQF5OoXAAD//wMAUEsBAi0AFAAGAAgAAAAhANvh9svuAAAAhQEAABMAAAAAAAAA&#10;AAAAAAAAAAAAAFtDb250ZW50X1R5cGVzXS54bWxQSwECLQAUAAYACAAAACEAWvQsW78AAAAVAQAA&#10;CwAAAAAAAAAAAAAAAAAfAQAAX3JlbHMvLnJlbHNQSwECLQAUAAYACAAAACEAygcPBsYAAADeAAAA&#10;DwAAAAAAAAAAAAAAAAAHAgAAZHJzL2Rvd25yZXYueG1sUEsFBgAAAAADAAMAtwAAAPoCAAAAAA==&#10;" filled="f" stroked="f">
                  <v:textbox inset="0,0,0,0">
                    <w:txbxContent>
                      <w:p w14:paraId="679DCA98" w14:textId="77777777" w:rsidR="00B32EF2" w:rsidRDefault="00000000">
                        <w:r>
                          <w:rPr>
                            <w:rFonts w:ascii="Arial" w:eastAsia="Arial" w:hAnsi="Arial" w:cs="Arial"/>
                            <w:i/>
                            <w:sz w:val="18"/>
                          </w:rPr>
                          <w:t>-</w:t>
                        </w:r>
                      </w:p>
                    </w:txbxContent>
                  </v:textbox>
                </v:rect>
                <v:rect id="Rectangle 20504" o:spid="_x0000_s5235" style="position:absolute;left:28016;top:44319;width:111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pdyxgAAAN4AAAAPAAAAZHJzL2Rvd25yZXYueG1sRI9BawIx&#10;FITvhf6H8ARvNVGsyGoUsYh76KXWQo+PzXN3dfMSNtFd++ubgtDjMDPfMMt1bxtxozbUjjWMRwoE&#10;ceFMzaWG4+fuZQ4iRGSDjWPScKcA69Xz0xIz4zr+oNshliJBOGSooYrRZ1KGoiKLYeQ8cfJOrrUY&#10;k2xLaVrsEtw2cqLUTFqsOS1U6GlbUXE5XK2G7zf2+a6Txeln69/P+bzZX49fWg8H/WYBIlIf/8OP&#10;dm40TNSrmsLfnXQF5OoXAAD//wMAUEsBAi0AFAAGAAgAAAAhANvh9svuAAAAhQEAABMAAAAAAAAA&#10;AAAAAAAAAAAAAFtDb250ZW50X1R5cGVzXS54bWxQSwECLQAUAAYACAAAACEAWvQsW78AAAAVAQAA&#10;CwAAAAAAAAAAAAAAAAAfAQAAX3JlbHMvLnJlbHNQSwECLQAUAAYACAAAACEARe6XcsYAAADeAAAA&#10;DwAAAAAAAAAAAAAAAAAHAgAAZHJzL2Rvd25yZXYueG1sUEsFBgAAAAADAAMAtwAAAPoCAAAAAA==&#10;" filled="f" stroked="f">
                  <v:textbox inset="0,0,0,0">
                    <w:txbxContent>
                      <w:p w14:paraId="50C97E2A" w14:textId="77777777" w:rsidR="00B32EF2" w:rsidRDefault="00000000">
                        <w:r>
                          <w:rPr>
                            <w:rFonts w:ascii="Arial" w:eastAsia="Arial" w:hAnsi="Arial" w:cs="Arial"/>
                            <w:i/>
                            <w:sz w:val="18"/>
                          </w:rPr>
                          <w:t>torio di sei mesi.</w:t>
                        </w:r>
                      </w:p>
                    </w:txbxContent>
                  </v:textbox>
                </v:rect>
                <v:shape id="Shape 20505" o:spid="_x0000_s5236" style="position:absolute;left:318;top:44062;width:39600;height:18503;visibility:visible;mso-wrap-style:square;v-text-anchor:top" coordsize="3960000,1850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QAkxgAAAN4AAAAPAAAAZHJzL2Rvd25yZXYueG1sRI9BawIx&#10;FITvhf6H8Aq91aSWlbIaRaSisCeteH5snrvRzcuySddtf30jCB6HmfmGmS0G14ieumA9a3gfKRDE&#10;pTeWKw2H7/XbJ4gQkQ02nknDLwVYzJ+fZpgbf+Ud9ftYiQThkKOGOsY2lzKUNTkMI98SJ+/kO4cx&#10;ya6SpsNrgrtGjpWaSIeW00KNLa1qKi/7H6dhs9582H7bF6fD8nycZF+2KP5WWr++DMspiEhDfITv&#10;7a3RMFaZyuB2J10BOf8HAAD//wMAUEsBAi0AFAAGAAgAAAAhANvh9svuAAAAhQEAABMAAAAAAAAA&#10;AAAAAAAAAAAAAFtDb250ZW50X1R5cGVzXS54bWxQSwECLQAUAAYACAAAACEAWvQsW78AAAAVAQAA&#10;CwAAAAAAAAAAAAAAAAAfAQAAX3JlbHMvLnJlbHNQSwECLQAUAAYACAAAACEA0vUAJMYAAADeAAAA&#10;DwAAAAAAAAAAAAAAAAAHAgAAZHJzL2Rvd25yZXYueG1sUEsFBgAAAAADAAMAtwAAAPoCAAAAAA==&#10;" path="m,1850301r3960000,l3960000,,,,,1850301xe" filled="f" strokeweight="1pt">
                  <v:stroke miterlimit="1" joinstyle="miter"/>
                  <v:path arrowok="t" textboxrect="0,0,3960000,1850301"/>
                </v:shape>
                <w10:anchorlock/>
              </v:group>
            </w:pict>
          </mc:Fallback>
        </mc:AlternateContent>
      </w:r>
    </w:p>
    <w:p w14:paraId="67C6D272" w14:textId="77777777" w:rsidR="00B32EF2" w:rsidRDefault="00000000">
      <w:pPr>
        <w:spacing w:after="0"/>
        <w:ind w:left="-356" w:right="-306"/>
      </w:pPr>
      <w:r>
        <w:rPr>
          <w:noProof/>
        </w:rPr>
        <w:lastRenderedPageBreak/>
        <mc:AlternateContent>
          <mc:Choice Requires="wpg">
            <w:drawing>
              <wp:inline distT="0" distB="0" distL="0" distR="0" wp14:anchorId="274DF945" wp14:editId="756096EB">
                <wp:extent cx="3991774" cy="6262854"/>
                <wp:effectExtent l="0" t="0" r="0" b="0"/>
                <wp:docPr id="201951" name="Group 201951"/>
                <wp:cNvGraphicFramePr/>
                <a:graphic xmlns:a="http://schemas.openxmlformats.org/drawingml/2006/main">
                  <a:graphicData uri="http://schemas.microsoft.com/office/word/2010/wordprocessingGroup">
                    <wpg:wgp>
                      <wpg:cNvGrpSpPr/>
                      <wpg:grpSpPr>
                        <a:xfrm>
                          <a:off x="0" y="0"/>
                          <a:ext cx="3991774" cy="6262854"/>
                          <a:chOff x="0" y="0"/>
                          <a:chExt cx="3991774" cy="6262854"/>
                        </a:xfrm>
                      </wpg:grpSpPr>
                      <wps:wsp>
                        <wps:cNvPr id="20578" name="Rectangle 20578"/>
                        <wps:cNvSpPr/>
                        <wps:spPr>
                          <a:xfrm rot="-10799999">
                            <a:off x="1900460" y="-62190"/>
                            <a:ext cx="178369" cy="250646"/>
                          </a:xfrm>
                          <a:prstGeom prst="rect">
                            <a:avLst/>
                          </a:prstGeom>
                          <a:ln>
                            <a:noFill/>
                          </a:ln>
                        </wps:spPr>
                        <wps:txbx>
                          <w:txbxContent>
                            <w:p w14:paraId="791C2281" w14:textId="77777777" w:rsidR="00B32EF2" w:rsidRDefault="00000000">
                              <w:r>
                                <w:rPr>
                                  <w:rFonts w:ascii="Times New Roman" w:eastAsia="Times New Roman" w:hAnsi="Times New Roman" w:cs="Times New Roman"/>
                                </w:rPr>
                                <w:t>42</w:t>
                              </w:r>
                            </w:p>
                          </w:txbxContent>
                        </wps:txbx>
                        <wps:bodyPr horzOverflow="overflow" vert="horz" lIns="0" tIns="0" rIns="0" bIns="0" rtlCol="0">
                          <a:noAutofit/>
                        </wps:bodyPr>
                      </wps:wsp>
                      <wps:wsp>
                        <wps:cNvPr id="20579" name="Rectangle 20579"/>
                        <wps:cNvSpPr/>
                        <wps:spPr>
                          <a:xfrm rot="-10799999">
                            <a:off x="1505891" y="6119965"/>
                            <a:ext cx="811827" cy="142889"/>
                          </a:xfrm>
                          <a:prstGeom prst="rect">
                            <a:avLst/>
                          </a:prstGeom>
                          <a:ln>
                            <a:noFill/>
                          </a:ln>
                        </wps:spPr>
                        <wps:txbx>
                          <w:txbxContent>
                            <w:p w14:paraId="7A1BEDAF" w14:textId="77777777" w:rsidR="00B32EF2" w:rsidRDefault="00000000">
                              <w:r>
                                <w:rPr>
                                  <w:rFonts w:ascii="Arial" w:eastAsia="Arial" w:hAnsi="Arial" w:cs="Arial"/>
                                  <w:b/>
                                  <w:sz w:val="18"/>
                                </w:rPr>
                                <w:t>Articolo 50</w:t>
                              </w:r>
                            </w:p>
                          </w:txbxContent>
                        </wps:txbx>
                        <wps:bodyPr horzOverflow="overflow" vert="horz" lIns="0" tIns="0" rIns="0" bIns="0" rtlCol="0">
                          <a:noAutofit/>
                        </wps:bodyPr>
                      </wps:wsp>
                      <wps:wsp>
                        <wps:cNvPr id="201890" name="Rectangle 201890"/>
                        <wps:cNvSpPr/>
                        <wps:spPr>
                          <a:xfrm rot="-10799999">
                            <a:off x="2211016" y="5996635"/>
                            <a:ext cx="1856715" cy="142890"/>
                          </a:xfrm>
                          <a:prstGeom prst="rect">
                            <a:avLst/>
                          </a:prstGeom>
                          <a:ln>
                            <a:noFill/>
                          </a:ln>
                        </wps:spPr>
                        <wps:txbx>
                          <w:txbxContent>
                            <w:p w14:paraId="1B7311D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891" name="Rectangle 201891"/>
                        <wps:cNvSpPr/>
                        <wps:spPr>
                          <a:xfrm rot="-10799999">
                            <a:off x="-144614" y="5996635"/>
                            <a:ext cx="1856715" cy="142890"/>
                          </a:xfrm>
                          <a:prstGeom prst="rect">
                            <a:avLst/>
                          </a:prstGeom>
                          <a:ln>
                            <a:noFill/>
                          </a:ln>
                        </wps:spPr>
                        <wps:txbx>
                          <w:txbxContent>
                            <w:p w14:paraId="00290F64"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892" name="Rectangle 201892"/>
                        <wps:cNvSpPr/>
                        <wps:spPr>
                          <a:xfrm rot="-10799999">
                            <a:off x="1216252" y="5996635"/>
                            <a:ext cx="1856715" cy="142890"/>
                          </a:xfrm>
                          <a:prstGeom prst="rect">
                            <a:avLst/>
                          </a:prstGeom>
                          <a:ln>
                            <a:noFill/>
                          </a:ln>
                        </wps:spPr>
                        <wps:txbx>
                          <w:txbxContent>
                            <w:p w14:paraId="3352D5B0" w14:textId="77777777" w:rsidR="00B32EF2" w:rsidRDefault="00000000">
                              <w:r>
                                <w:rPr>
                                  <w:rFonts w:ascii="Arial" w:eastAsia="Arial" w:hAnsi="Arial" w:cs="Arial"/>
                                  <w:i/>
                                  <w:sz w:val="18"/>
                                </w:rPr>
                                <w:t xml:space="preserve">articolo 5 D.lgs. n. </w:t>
                              </w:r>
                            </w:p>
                          </w:txbxContent>
                        </wps:txbx>
                        <wps:bodyPr horzOverflow="overflow" vert="horz" lIns="0" tIns="0" rIns="0" bIns="0" rtlCol="0">
                          <a:noAutofit/>
                        </wps:bodyPr>
                      </wps:wsp>
                      <wps:wsp>
                        <wps:cNvPr id="20581" name="Rectangle 20581"/>
                        <wps:cNvSpPr/>
                        <wps:spPr>
                          <a:xfrm rot="-10799999">
                            <a:off x="1320913" y="5873305"/>
                            <a:ext cx="1081615" cy="142889"/>
                          </a:xfrm>
                          <a:prstGeom prst="rect">
                            <a:avLst/>
                          </a:prstGeom>
                          <a:ln>
                            <a:noFill/>
                          </a:ln>
                        </wps:spPr>
                        <wps:txbx>
                          <w:txbxContent>
                            <w:p w14:paraId="298F3171" w14:textId="77777777" w:rsidR="00B32EF2" w:rsidRDefault="00000000">
                              <w:r>
                                <w:rPr>
                                  <w:rFonts w:ascii="Arial" w:eastAsia="Arial" w:hAnsi="Arial" w:cs="Arial"/>
                                  <w:b/>
                                  <w:sz w:val="18"/>
                                </w:rPr>
                                <w:t xml:space="preserve">Incompetenza </w:t>
                              </w:r>
                            </w:p>
                          </w:txbxContent>
                        </wps:txbx>
                        <wps:bodyPr horzOverflow="overflow" vert="horz" lIns="0" tIns="0" rIns="0" bIns="0" rtlCol="0">
                          <a:noAutofit/>
                        </wps:bodyPr>
                      </wps:wsp>
                      <wps:wsp>
                        <wps:cNvPr id="201885" name="Rectangle 201885"/>
                        <wps:cNvSpPr/>
                        <wps:spPr>
                          <a:xfrm rot="-10799999">
                            <a:off x="2610930" y="5749976"/>
                            <a:ext cx="5309022" cy="142889"/>
                          </a:xfrm>
                          <a:prstGeom prst="rect">
                            <a:avLst/>
                          </a:prstGeom>
                          <a:ln>
                            <a:noFill/>
                          </a:ln>
                        </wps:spPr>
                        <wps:txbx>
                          <w:txbxContent>
                            <w:p w14:paraId="43DBB095"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886" name="Rectangle 201886"/>
                        <wps:cNvSpPr/>
                        <wps:spPr>
                          <a:xfrm rot="-10799999">
                            <a:off x="-1376448" y="5749976"/>
                            <a:ext cx="5309021" cy="142889"/>
                          </a:xfrm>
                          <a:prstGeom prst="rect">
                            <a:avLst/>
                          </a:prstGeom>
                          <a:ln>
                            <a:noFill/>
                          </a:ln>
                        </wps:spPr>
                        <wps:txbx>
                          <w:txbxContent>
                            <w:p w14:paraId="7A8168D4" w14:textId="77777777" w:rsidR="00B32EF2" w:rsidRDefault="00000000">
                              <w:r>
                                <w:rPr>
                                  <w:rFonts w:ascii="Arial" w:eastAsia="Arial" w:hAnsi="Arial" w:cs="Arial"/>
                                  <w:sz w:val="18"/>
                                </w:rPr>
                                <w:t xml:space="preserve">. La competenza delle corti di giustizia tributaria di primo e secondo grado è </w:t>
                              </w:r>
                            </w:p>
                          </w:txbxContent>
                        </wps:txbx>
                        <wps:bodyPr horzOverflow="overflow" vert="horz" lIns="0" tIns="0" rIns="0" bIns="0" rtlCol="0">
                          <a:noAutofit/>
                        </wps:bodyPr>
                      </wps:wsp>
                      <wps:wsp>
                        <wps:cNvPr id="20583" name="Rectangle 20583"/>
                        <wps:cNvSpPr/>
                        <wps:spPr>
                          <a:xfrm rot="-10799999">
                            <a:off x="3109722" y="5626646"/>
                            <a:ext cx="882835" cy="142889"/>
                          </a:xfrm>
                          <a:prstGeom prst="rect">
                            <a:avLst/>
                          </a:prstGeom>
                          <a:ln>
                            <a:noFill/>
                          </a:ln>
                        </wps:spPr>
                        <wps:txbx>
                          <w:txbxContent>
                            <w:p w14:paraId="6FBD3D50" w14:textId="77777777" w:rsidR="00B32EF2" w:rsidRDefault="00000000">
                              <w:r>
                                <w:rPr>
                                  <w:rFonts w:ascii="Arial" w:eastAsia="Arial" w:hAnsi="Arial" w:cs="Arial"/>
                                  <w:sz w:val="18"/>
                                </w:rPr>
                                <w:t>inderogabile.</w:t>
                              </w:r>
                            </w:p>
                          </w:txbxContent>
                        </wps:txbx>
                        <wps:bodyPr horzOverflow="overflow" vert="horz" lIns="0" tIns="0" rIns="0" bIns="0" rtlCol="0">
                          <a:noAutofit/>
                        </wps:bodyPr>
                      </wps:wsp>
                      <wps:wsp>
                        <wps:cNvPr id="201882" name="Rectangle 201882"/>
                        <wps:cNvSpPr/>
                        <wps:spPr>
                          <a:xfrm rot="-10799999">
                            <a:off x="2610930" y="5503316"/>
                            <a:ext cx="5309022" cy="142889"/>
                          </a:xfrm>
                          <a:prstGeom prst="rect">
                            <a:avLst/>
                          </a:prstGeom>
                          <a:ln>
                            <a:noFill/>
                          </a:ln>
                        </wps:spPr>
                        <wps:txbx>
                          <w:txbxContent>
                            <w:p w14:paraId="1D42B148"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883" name="Rectangle 201883"/>
                        <wps:cNvSpPr/>
                        <wps:spPr>
                          <a:xfrm rot="-10799999">
                            <a:off x="-1381821" y="5503316"/>
                            <a:ext cx="5309021" cy="142889"/>
                          </a:xfrm>
                          <a:prstGeom prst="rect">
                            <a:avLst/>
                          </a:prstGeom>
                          <a:ln>
                            <a:noFill/>
                          </a:ln>
                        </wps:spPr>
                        <wps:txbx>
                          <w:txbxContent>
                            <w:p w14:paraId="3886E982" w14:textId="77777777" w:rsidR="00B32EF2" w:rsidRDefault="00000000">
                              <w:r>
                                <w:rPr>
                                  <w:rFonts w:ascii="Arial" w:eastAsia="Arial" w:hAnsi="Arial" w:cs="Arial"/>
                                  <w:sz w:val="18"/>
                                </w:rPr>
                                <w:t xml:space="preserve">. L’incompetenza della corte di giustizia tributaria di primo e secondo grado è </w:t>
                              </w:r>
                            </w:p>
                          </w:txbxContent>
                        </wps:txbx>
                        <wps:bodyPr horzOverflow="overflow" vert="horz" lIns="0" tIns="0" rIns="0" bIns="0" rtlCol="0">
                          <a:noAutofit/>
                        </wps:bodyPr>
                      </wps:wsp>
                      <wps:wsp>
                        <wps:cNvPr id="20585" name="Rectangle 20585"/>
                        <wps:cNvSpPr/>
                        <wps:spPr>
                          <a:xfrm rot="-10799999">
                            <a:off x="-814962" y="5379987"/>
                            <a:ext cx="4806719" cy="142889"/>
                          </a:xfrm>
                          <a:prstGeom prst="rect">
                            <a:avLst/>
                          </a:prstGeom>
                          <a:ln>
                            <a:noFill/>
                          </a:ln>
                        </wps:spPr>
                        <wps:txbx>
                          <w:txbxContent>
                            <w:p w14:paraId="16F37D9E" w14:textId="77777777" w:rsidR="00B32EF2" w:rsidRDefault="00000000">
                              <w:r>
                                <w:rPr>
                                  <w:rFonts w:ascii="Arial" w:eastAsia="Arial" w:hAnsi="Arial" w:cs="Arial"/>
                                  <w:sz w:val="18"/>
                                </w:rPr>
                                <w:t>rilevabile, anche d’ufficio, soltanto nel grado al quale il vizio si riferisce.</w:t>
                              </w:r>
                            </w:p>
                          </w:txbxContent>
                        </wps:txbx>
                        <wps:bodyPr horzOverflow="overflow" vert="horz" lIns="0" tIns="0" rIns="0" bIns="0" rtlCol="0">
                          <a:noAutofit/>
                        </wps:bodyPr>
                      </wps:wsp>
                      <wps:wsp>
                        <wps:cNvPr id="201880" name="Rectangle 201880"/>
                        <wps:cNvSpPr/>
                        <wps:spPr>
                          <a:xfrm rot="-10799999">
                            <a:off x="2610926" y="5256657"/>
                            <a:ext cx="5309037" cy="142889"/>
                          </a:xfrm>
                          <a:prstGeom prst="rect">
                            <a:avLst/>
                          </a:prstGeom>
                          <a:ln>
                            <a:noFill/>
                          </a:ln>
                        </wps:spPr>
                        <wps:txbx>
                          <w:txbxContent>
                            <w:p w14:paraId="68329285"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1881" name="Rectangle 201881"/>
                        <wps:cNvSpPr/>
                        <wps:spPr>
                          <a:xfrm rot="-10799999">
                            <a:off x="-1381801" y="5256657"/>
                            <a:ext cx="5309035" cy="142889"/>
                          </a:xfrm>
                          <a:prstGeom prst="rect">
                            <a:avLst/>
                          </a:prstGeom>
                          <a:ln>
                            <a:noFill/>
                          </a:ln>
                        </wps:spPr>
                        <wps:txbx>
                          <w:txbxContent>
                            <w:p w14:paraId="6B20CC8C" w14:textId="77777777" w:rsidR="00B32EF2" w:rsidRDefault="00000000">
                              <w:r>
                                <w:rPr>
                                  <w:rFonts w:ascii="Arial" w:eastAsia="Arial" w:hAnsi="Arial" w:cs="Arial"/>
                                  <w:sz w:val="18"/>
                                </w:rPr>
                                <w:t xml:space="preserve">. La sentenza della corte di giustizia tributaria di primo e secondo grado che </w:t>
                              </w:r>
                            </w:p>
                          </w:txbxContent>
                        </wps:txbx>
                        <wps:bodyPr horzOverflow="overflow" vert="horz" lIns="0" tIns="0" rIns="0" bIns="0" rtlCol="0">
                          <a:noAutofit/>
                        </wps:bodyPr>
                      </wps:wsp>
                      <wps:wsp>
                        <wps:cNvPr id="20587" name="Rectangle 20587"/>
                        <wps:cNvSpPr/>
                        <wps:spPr>
                          <a:xfrm rot="-10799999">
                            <a:off x="-1221051" y="5133327"/>
                            <a:ext cx="5212808" cy="142889"/>
                          </a:xfrm>
                          <a:prstGeom prst="rect">
                            <a:avLst/>
                          </a:prstGeom>
                          <a:ln>
                            <a:noFill/>
                          </a:ln>
                        </wps:spPr>
                        <wps:txbx>
                          <w:txbxContent>
                            <w:p w14:paraId="096D0DE8" w14:textId="77777777" w:rsidR="00B32EF2" w:rsidRDefault="00000000">
                              <w:r>
                                <w:rPr>
                                  <w:rFonts w:ascii="Arial" w:eastAsia="Arial" w:hAnsi="Arial" w:cs="Arial"/>
                                  <w:sz w:val="18"/>
                                </w:rPr>
                                <w:t>dichiara la propria incompetenza rende incontestabile l’incompetenza dichia</w:t>
                              </w:r>
                            </w:p>
                          </w:txbxContent>
                        </wps:txbx>
                        <wps:bodyPr horzOverflow="overflow" vert="horz" lIns="0" tIns="0" rIns="0" bIns="0" rtlCol="0">
                          <a:noAutofit/>
                        </wps:bodyPr>
                      </wps:wsp>
                      <wps:wsp>
                        <wps:cNvPr id="20588" name="Rectangle 20588"/>
                        <wps:cNvSpPr/>
                        <wps:spPr>
                          <a:xfrm rot="-10799999">
                            <a:off x="19158" y="5133327"/>
                            <a:ext cx="50622" cy="142889"/>
                          </a:xfrm>
                          <a:prstGeom prst="rect">
                            <a:avLst/>
                          </a:prstGeom>
                          <a:ln>
                            <a:noFill/>
                          </a:ln>
                        </wps:spPr>
                        <wps:txbx>
                          <w:txbxContent>
                            <w:p w14:paraId="2507E01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589" name="Rectangle 20589"/>
                        <wps:cNvSpPr/>
                        <wps:spPr>
                          <a:xfrm rot="-10799999">
                            <a:off x="-1220990" y="5009998"/>
                            <a:ext cx="5212747" cy="142889"/>
                          </a:xfrm>
                          <a:prstGeom prst="rect">
                            <a:avLst/>
                          </a:prstGeom>
                          <a:ln>
                            <a:noFill/>
                          </a:ln>
                        </wps:spPr>
                        <wps:txbx>
                          <w:txbxContent>
                            <w:p w14:paraId="72074ED1" w14:textId="77777777" w:rsidR="00B32EF2" w:rsidRDefault="00000000">
                              <w:r>
                                <w:rPr>
                                  <w:rFonts w:ascii="Arial" w:eastAsia="Arial" w:hAnsi="Arial" w:cs="Arial"/>
                                  <w:sz w:val="18"/>
                                </w:rPr>
                                <w:t>rata e la competenza della corte di giustizia tributaria di primo e secondo gra</w:t>
                              </w:r>
                            </w:p>
                          </w:txbxContent>
                        </wps:txbx>
                        <wps:bodyPr horzOverflow="overflow" vert="horz" lIns="0" tIns="0" rIns="0" bIns="0" rtlCol="0">
                          <a:noAutofit/>
                        </wps:bodyPr>
                      </wps:wsp>
                      <wps:wsp>
                        <wps:cNvPr id="20590" name="Rectangle 20590"/>
                        <wps:cNvSpPr/>
                        <wps:spPr>
                          <a:xfrm rot="-10799999">
                            <a:off x="19158" y="5009997"/>
                            <a:ext cx="50622" cy="142889"/>
                          </a:xfrm>
                          <a:prstGeom prst="rect">
                            <a:avLst/>
                          </a:prstGeom>
                          <a:ln>
                            <a:noFill/>
                          </a:ln>
                        </wps:spPr>
                        <wps:txbx>
                          <w:txbxContent>
                            <w:p w14:paraId="293D134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591" name="Rectangle 20591"/>
                        <wps:cNvSpPr/>
                        <wps:spPr>
                          <a:xfrm rot="-10799999">
                            <a:off x="-961144" y="4886668"/>
                            <a:ext cx="4952901" cy="142889"/>
                          </a:xfrm>
                          <a:prstGeom prst="rect">
                            <a:avLst/>
                          </a:prstGeom>
                          <a:ln>
                            <a:noFill/>
                          </a:ln>
                        </wps:spPr>
                        <wps:txbx>
                          <w:txbxContent>
                            <w:p w14:paraId="7261922E" w14:textId="77777777" w:rsidR="00B32EF2" w:rsidRDefault="00000000">
                              <w:r>
                                <w:rPr>
                                  <w:rFonts w:ascii="Arial" w:eastAsia="Arial" w:hAnsi="Arial" w:cs="Arial"/>
                                  <w:sz w:val="18"/>
                                </w:rPr>
                                <w:t>do in essa indicata, se il processo viene riassunto a norma del comma 5.</w:t>
                              </w:r>
                            </w:p>
                          </w:txbxContent>
                        </wps:txbx>
                        <wps:bodyPr horzOverflow="overflow" vert="horz" lIns="0" tIns="0" rIns="0" bIns="0" rtlCol="0">
                          <a:noAutofit/>
                        </wps:bodyPr>
                      </wps:wsp>
                      <wps:wsp>
                        <wps:cNvPr id="201879" name="Rectangle 201879"/>
                        <wps:cNvSpPr/>
                        <wps:spPr>
                          <a:xfrm rot="-10799999">
                            <a:off x="-1284175" y="4763338"/>
                            <a:ext cx="5212793" cy="142889"/>
                          </a:xfrm>
                          <a:prstGeom prst="rect">
                            <a:avLst/>
                          </a:prstGeom>
                          <a:ln>
                            <a:noFill/>
                          </a:ln>
                        </wps:spPr>
                        <wps:txbx>
                          <w:txbxContent>
                            <w:p w14:paraId="28A4CFD5" w14:textId="77777777" w:rsidR="00B32EF2" w:rsidRDefault="00000000">
                              <w:r>
                                <w:rPr>
                                  <w:rFonts w:ascii="Arial" w:eastAsia="Arial" w:hAnsi="Arial" w:cs="Arial"/>
                                  <w:sz w:val="18"/>
                                </w:rPr>
                                <w:t>. Non si applicano le disposizioni del codice di procedura civile sui regola</w:t>
                              </w:r>
                            </w:p>
                          </w:txbxContent>
                        </wps:txbx>
                        <wps:bodyPr horzOverflow="overflow" vert="horz" lIns="0" tIns="0" rIns="0" bIns="0" rtlCol="0">
                          <a:noAutofit/>
                        </wps:bodyPr>
                      </wps:wsp>
                      <wps:wsp>
                        <wps:cNvPr id="201878" name="Rectangle 201878"/>
                        <wps:cNvSpPr/>
                        <wps:spPr>
                          <a:xfrm rot="-10799999">
                            <a:off x="2634806" y="4763338"/>
                            <a:ext cx="5212793" cy="142889"/>
                          </a:xfrm>
                          <a:prstGeom prst="rect">
                            <a:avLst/>
                          </a:prstGeom>
                          <a:ln>
                            <a:noFill/>
                          </a:ln>
                        </wps:spPr>
                        <wps:txbx>
                          <w:txbxContent>
                            <w:p w14:paraId="224FA1E1"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593" name="Rectangle 20593"/>
                        <wps:cNvSpPr/>
                        <wps:spPr>
                          <a:xfrm rot="-10799999">
                            <a:off x="19158" y="4763338"/>
                            <a:ext cx="50622" cy="142889"/>
                          </a:xfrm>
                          <a:prstGeom prst="rect">
                            <a:avLst/>
                          </a:prstGeom>
                          <a:ln>
                            <a:noFill/>
                          </a:ln>
                        </wps:spPr>
                        <wps:txbx>
                          <w:txbxContent>
                            <w:p w14:paraId="3895336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594" name="Rectangle 20594"/>
                        <wps:cNvSpPr/>
                        <wps:spPr>
                          <a:xfrm rot="-10799999">
                            <a:off x="2531766" y="4640009"/>
                            <a:ext cx="1459990" cy="142889"/>
                          </a:xfrm>
                          <a:prstGeom prst="rect">
                            <a:avLst/>
                          </a:prstGeom>
                          <a:ln>
                            <a:noFill/>
                          </a:ln>
                        </wps:spPr>
                        <wps:txbx>
                          <w:txbxContent>
                            <w:p w14:paraId="2DCD135E" w14:textId="77777777" w:rsidR="00B32EF2" w:rsidRDefault="00000000">
                              <w:r>
                                <w:rPr>
                                  <w:rFonts w:ascii="Arial" w:eastAsia="Arial" w:hAnsi="Arial" w:cs="Arial"/>
                                  <w:sz w:val="18"/>
                                </w:rPr>
                                <w:t>menti di competenza.</w:t>
                              </w:r>
                            </w:p>
                          </w:txbxContent>
                        </wps:txbx>
                        <wps:bodyPr horzOverflow="overflow" vert="horz" lIns="0" tIns="0" rIns="0" bIns="0" rtlCol="0">
                          <a:noAutofit/>
                        </wps:bodyPr>
                      </wps:wsp>
                      <wps:wsp>
                        <wps:cNvPr id="201877" name="Rectangle 201877"/>
                        <wps:cNvSpPr/>
                        <wps:spPr>
                          <a:xfrm rot="-10799999">
                            <a:off x="-1284961" y="4516679"/>
                            <a:ext cx="5212321" cy="142889"/>
                          </a:xfrm>
                          <a:prstGeom prst="rect">
                            <a:avLst/>
                          </a:prstGeom>
                          <a:ln>
                            <a:noFill/>
                          </a:ln>
                        </wps:spPr>
                        <wps:txbx>
                          <w:txbxContent>
                            <w:p w14:paraId="7B38F3D5" w14:textId="77777777" w:rsidR="00B32EF2" w:rsidRDefault="00000000">
                              <w:r>
                                <w:rPr>
                                  <w:rFonts w:ascii="Arial" w:eastAsia="Arial" w:hAnsi="Arial" w:cs="Arial"/>
                                  <w:sz w:val="18"/>
                                </w:rPr>
                                <w:t>. La riassunzione del processo davanti alla corte di giustizia tributaria di pri</w:t>
                              </w:r>
                            </w:p>
                          </w:txbxContent>
                        </wps:txbx>
                        <wps:bodyPr horzOverflow="overflow" vert="horz" lIns="0" tIns="0" rIns="0" bIns="0" rtlCol="0">
                          <a:noAutofit/>
                        </wps:bodyPr>
                      </wps:wsp>
                      <wps:wsp>
                        <wps:cNvPr id="201876" name="Rectangle 201876"/>
                        <wps:cNvSpPr/>
                        <wps:spPr>
                          <a:xfrm rot="-10799999">
                            <a:off x="2634923" y="4516679"/>
                            <a:ext cx="5212322" cy="142889"/>
                          </a:xfrm>
                          <a:prstGeom prst="rect">
                            <a:avLst/>
                          </a:prstGeom>
                          <a:ln>
                            <a:noFill/>
                          </a:ln>
                        </wps:spPr>
                        <wps:txbx>
                          <w:txbxContent>
                            <w:p w14:paraId="3C467D88"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0596" name="Rectangle 20596"/>
                        <wps:cNvSpPr/>
                        <wps:spPr>
                          <a:xfrm rot="-10799999">
                            <a:off x="19158" y="4516678"/>
                            <a:ext cx="50622" cy="142889"/>
                          </a:xfrm>
                          <a:prstGeom prst="rect">
                            <a:avLst/>
                          </a:prstGeom>
                          <a:ln>
                            <a:noFill/>
                          </a:ln>
                        </wps:spPr>
                        <wps:txbx>
                          <w:txbxContent>
                            <w:p w14:paraId="036C8F0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597" name="Rectangle 20597"/>
                        <wps:cNvSpPr/>
                        <wps:spPr>
                          <a:xfrm rot="-10799999">
                            <a:off x="-1317233" y="4393349"/>
                            <a:ext cx="5308990" cy="142889"/>
                          </a:xfrm>
                          <a:prstGeom prst="rect">
                            <a:avLst/>
                          </a:prstGeom>
                          <a:ln>
                            <a:noFill/>
                          </a:ln>
                        </wps:spPr>
                        <wps:txbx>
                          <w:txbxContent>
                            <w:p w14:paraId="5F8C5260" w14:textId="77777777" w:rsidR="00B32EF2" w:rsidRDefault="00000000">
                              <w:r>
                                <w:rPr>
                                  <w:rFonts w:ascii="Arial" w:eastAsia="Arial" w:hAnsi="Arial" w:cs="Arial"/>
                                  <w:sz w:val="18"/>
                                </w:rPr>
                                <w:t xml:space="preserve">mo e secondo grado dichiarata competente deve essere effettuata a istanza </w:t>
                              </w:r>
                            </w:p>
                          </w:txbxContent>
                        </wps:txbx>
                        <wps:bodyPr horzOverflow="overflow" vert="horz" lIns="0" tIns="0" rIns="0" bIns="0" rtlCol="0">
                          <a:noAutofit/>
                        </wps:bodyPr>
                      </wps:wsp>
                      <wps:wsp>
                        <wps:cNvPr id="20598" name="Rectangle 20598"/>
                        <wps:cNvSpPr/>
                        <wps:spPr>
                          <a:xfrm rot="-10799999">
                            <a:off x="-1317248" y="4270019"/>
                            <a:ext cx="5309005" cy="142889"/>
                          </a:xfrm>
                          <a:prstGeom prst="rect">
                            <a:avLst/>
                          </a:prstGeom>
                          <a:ln>
                            <a:noFill/>
                          </a:ln>
                        </wps:spPr>
                        <wps:txbx>
                          <w:txbxContent>
                            <w:p w14:paraId="4FB33237" w14:textId="77777777" w:rsidR="00B32EF2" w:rsidRDefault="00000000">
                              <w:r>
                                <w:rPr>
                                  <w:rFonts w:ascii="Arial" w:eastAsia="Arial" w:hAnsi="Arial" w:cs="Arial"/>
                                  <w:sz w:val="18"/>
                                </w:rPr>
                                <w:t xml:space="preserve">di parte nel termine fissato nella sentenza o in mancanza nel termine di sei </w:t>
                              </w:r>
                            </w:p>
                          </w:txbxContent>
                        </wps:txbx>
                        <wps:bodyPr horzOverflow="overflow" vert="horz" lIns="0" tIns="0" rIns="0" bIns="0" rtlCol="0">
                          <a:noAutofit/>
                        </wps:bodyPr>
                      </wps:wsp>
                      <wps:wsp>
                        <wps:cNvPr id="20599" name="Rectangle 20599"/>
                        <wps:cNvSpPr/>
                        <wps:spPr>
                          <a:xfrm rot="-10799999">
                            <a:off x="-1317279" y="4146690"/>
                            <a:ext cx="5309035" cy="142889"/>
                          </a:xfrm>
                          <a:prstGeom prst="rect">
                            <a:avLst/>
                          </a:prstGeom>
                          <a:ln>
                            <a:noFill/>
                          </a:ln>
                        </wps:spPr>
                        <wps:txbx>
                          <w:txbxContent>
                            <w:p w14:paraId="4012B004" w14:textId="77777777" w:rsidR="00B32EF2" w:rsidRDefault="00000000">
                              <w:r>
                                <w:rPr>
                                  <w:rFonts w:ascii="Arial" w:eastAsia="Arial" w:hAnsi="Arial" w:cs="Arial"/>
                                  <w:sz w:val="18"/>
                                </w:rPr>
                                <w:t xml:space="preserve">mesi dalla comunicazione della sentenza stessa. Se la riassunzione avviene </w:t>
                              </w:r>
                            </w:p>
                          </w:txbxContent>
                        </wps:txbx>
                        <wps:bodyPr horzOverflow="overflow" vert="horz" lIns="0" tIns="0" rIns="0" bIns="0" rtlCol="0">
                          <a:noAutofit/>
                        </wps:bodyPr>
                      </wps:wsp>
                      <wps:wsp>
                        <wps:cNvPr id="20600" name="Rectangle 20600"/>
                        <wps:cNvSpPr/>
                        <wps:spPr>
                          <a:xfrm rot="-10799999">
                            <a:off x="-1317279" y="4023360"/>
                            <a:ext cx="5309035" cy="142889"/>
                          </a:xfrm>
                          <a:prstGeom prst="rect">
                            <a:avLst/>
                          </a:prstGeom>
                          <a:ln>
                            <a:noFill/>
                          </a:ln>
                        </wps:spPr>
                        <wps:txbx>
                          <w:txbxContent>
                            <w:p w14:paraId="55D4A682" w14:textId="77777777" w:rsidR="00B32EF2" w:rsidRDefault="00000000">
                              <w:r>
                                <w:rPr>
                                  <w:rFonts w:ascii="Arial" w:eastAsia="Arial" w:hAnsi="Arial" w:cs="Arial"/>
                                  <w:sz w:val="18"/>
                                </w:rPr>
                                <w:t xml:space="preserve">nei termini suindicati il processo continua davanti alla nuova corte di giustizia </w:t>
                              </w:r>
                            </w:p>
                          </w:txbxContent>
                        </wps:txbx>
                        <wps:bodyPr horzOverflow="overflow" vert="horz" lIns="0" tIns="0" rIns="0" bIns="0" rtlCol="0">
                          <a:noAutofit/>
                        </wps:bodyPr>
                      </wps:wsp>
                      <wps:wsp>
                        <wps:cNvPr id="20601" name="Rectangle 20601"/>
                        <wps:cNvSpPr/>
                        <wps:spPr>
                          <a:xfrm rot="-10799999">
                            <a:off x="1855266" y="3883684"/>
                            <a:ext cx="2136490" cy="142889"/>
                          </a:xfrm>
                          <a:prstGeom prst="rect">
                            <a:avLst/>
                          </a:prstGeom>
                          <a:ln>
                            <a:noFill/>
                          </a:ln>
                        </wps:spPr>
                        <wps:txbx>
                          <w:txbxContent>
                            <w:p w14:paraId="7F46D0F7" w14:textId="77777777" w:rsidR="00B32EF2" w:rsidRDefault="00000000">
                              <w:r>
                                <w:rPr>
                                  <w:rFonts w:ascii="Arial" w:eastAsia="Arial" w:hAnsi="Arial" w:cs="Arial"/>
                                  <w:sz w:val="18"/>
                                </w:rPr>
                                <w:t>tributaria, altrimenti si estingue.</w:t>
                              </w:r>
                            </w:p>
                          </w:txbxContent>
                        </wps:txbx>
                        <wps:bodyPr horzOverflow="overflow" vert="horz" lIns="0" tIns="0" rIns="0" bIns="0" rtlCol="0">
                          <a:noAutofit/>
                        </wps:bodyPr>
                      </wps:wsp>
                      <wps:wsp>
                        <wps:cNvPr id="20602" name="Rectangle 20602"/>
                        <wps:cNvSpPr/>
                        <wps:spPr>
                          <a:xfrm rot="-10799999">
                            <a:off x="1510354" y="3604336"/>
                            <a:ext cx="804622" cy="142889"/>
                          </a:xfrm>
                          <a:prstGeom prst="rect">
                            <a:avLst/>
                          </a:prstGeom>
                          <a:ln>
                            <a:noFill/>
                          </a:ln>
                        </wps:spPr>
                        <wps:txbx>
                          <w:txbxContent>
                            <w:p w14:paraId="4D9E1917" w14:textId="77777777" w:rsidR="00B32EF2" w:rsidRDefault="00000000">
                              <w:r>
                                <w:rPr>
                                  <w:rFonts w:ascii="Arial" w:eastAsia="Arial" w:hAnsi="Arial" w:cs="Arial"/>
                                  <w:b/>
                                  <w:sz w:val="18"/>
                                </w:rPr>
                                <w:t>Articolo 51</w:t>
                              </w:r>
                            </w:p>
                          </w:txbxContent>
                        </wps:txbx>
                        <wps:bodyPr horzOverflow="overflow" vert="horz" lIns="0" tIns="0" rIns="0" bIns="0" rtlCol="0">
                          <a:noAutofit/>
                        </wps:bodyPr>
                      </wps:wsp>
                      <wps:wsp>
                        <wps:cNvPr id="201875" name="Rectangle 201875"/>
                        <wps:cNvSpPr/>
                        <wps:spPr>
                          <a:xfrm rot="-10799999">
                            <a:off x="1216253" y="3464661"/>
                            <a:ext cx="1856715" cy="142889"/>
                          </a:xfrm>
                          <a:prstGeom prst="rect">
                            <a:avLst/>
                          </a:prstGeom>
                          <a:ln>
                            <a:noFill/>
                          </a:ln>
                        </wps:spPr>
                        <wps:txbx>
                          <w:txbxContent>
                            <w:p w14:paraId="2C37A8D4" w14:textId="77777777" w:rsidR="00B32EF2" w:rsidRDefault="00000000">
                              <w:r>
                                <w:rPr>
                                  <w:rFonts w:ascii="Arial" w:eastAsia="Arial" w:hAnsi="Arial" w:cs="Arial"/>
                                  <w:i/>
                                  <w:sz w:val="18"/>
                                </w:rPr>
                                <w:t xml:space="preserve">articolo 6 D.lgs. n. </w:t>
                              </w:r>
                            </w:p>
                          </w:txbxContent>
                        </wps:txbx>
                        <wps:bodyPr horzOverflow="overflow" vert="horz" lIns="0" tIns="0" rIns="0" bIns="0" rtlCol="0">
                          <a:noAutofit/>
                        </wps:bodyPr>
                      </wps:wsp>
                      <wps:wsp>
                        <wps:cNvPr id="201873" name="Rectangle 201873"/>
                        <wps:cNvSpPr/>
                        <wps:spPr>
                          <a:xfrm rot="-10799999">
                            <a:off x="2211016" y="3464661"/>
                            <a:ext cx="1856715" cy="142889"/>
                          </a:xfrm>
                          <a:prstGeom prst="rect">
                            <a:avLst/>
                          </a:prstGeom>
                          <a:ln>
                            <a:noFill/>
                          </a:ln>
                        </wps:spPr>
                        <wps:txbx>
                          <w:txbxContent>
                            <w:p w14:paraId="3E9AE7D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874" name="Rectangle 201874"/>
                        <wps:cNvSpPr/>
                        <wps:spPr>
                          <a:xfrm rot="-10799999">
                            <a:off x="-144614" y="3464661"/>
                            <a:ext cx="1856715" cy="142889"/>
                          </a:xfrm>
                          <a:prstGeom prst="rect">
                            <a:avLst/>
                          </a:prstGeom>
                          <a:ln>
                            <a:noFill/>
                          </a:ln>
                        </wps:spPr>
                        <wps:txbx>
                          <w:txbxContent>
                            <w:p w14:paraId="2988A244"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604" name="Rectangle 20604"/>
                        <wps:cNvSpPr/>
                        <wps:spPr>
                          <a:xfrm rot="-10799999">
                            <a:off x="-1189180" y="3324987"/>
                            <a:ext cx="5129274" cy="142889"/>
                          </a:xfrm>
                          <a:prstGeom prst="rect">
                            <a:avLst/>
                          </a:prstGeom>
                          <a:ln>
                            <a:noFill/>
                          </a:ln>
                        </wps:spPr>
                        <wps:txbx>
                          <w:txbxContent>
                            <w:p w14:paraId="3581D554" w14:textId="77777777" w:rsidR="00B32EF2" w:rsidRDefault="00000000">
                              <w:r>
                                <w:rPr>
                                  <w:rFonts w:ascii="Arial" w:eastAsia="Arial" w:hAnsi="Arial" w:cs="Arial"/>
                                  <w:b/>
                                  <w:sz w:val="18"/>
                                </w:rPr>
                                <w:t>Astensione e ricusazione dei componenti delle corti di giustizia tribu-</w:t>
                              </w:r>
                            </w:p>
                          </w:txbxContent>
                        </wps:txbx>
                        <wps:bodyPr horzOverflow="overflow" vert="horz" lIns="0" tIns="0" rIns="0" bIns="0" rtlCol="0">
                          <a:noAutofit/>
                        </wps:bodyPr>
                      </wps:wsp>
                      <wps:wsp>
                        <wps:cNvPr id="20605" name="Rectangle 20605"/>
                        <wps:cNvSpPr/>
                        <wps:spPr>
                          <a:xfrm rot="-10799999">
                            <a:off x="557325" y="3185312"/>
                            <a:ext cx="2305262" cy="142889"/>
                          </a:xfrm>
                          <a:prstGeom prst="rect">
                            <a:avLst/>
                          </a:prstGeom>
                          <a:ln>
                            <a:noFill/>
                          </a:ln>
                        </wps:spPr>
                        <wps:txbx>
                          <w:txbxContent>
                            <w:p w14:paraId="7F8E7FBB" w14:textId="77777777" w:rsidR="00B32EF2" w:rsidRDefault="00000000">
                              <w:r>
                                <w:rPr>
                                  <w:rFonts w:ascii="Arial" w:eastAsia="Arial" w:hAnsi="Arial" w:cs="Arial"/>
                                  <w:b/>
                                  <w:sz w:val="18"/>
                                </w:rPr>
                                <w:t xml:space="preserve">taria di primo e secondo grado </w:t>
                              </w:r>
                            </w:p>
                          </w:txbxContent>
                        </wps:txbx>
                        <wps:bodyPr horzOverflow="overflow" vert="horz" lIns="0" tIns="0" rIns="0" bIns="0" rtlCol="0">
                          <a:noAutofit/>
                        </wps:bodyPr>
                      </wps:wsp>
                      <wps:wsp>
                        <wps:cNvPr id="201871" name="Rectangle 201871"/>
                        <wps:cNvSpPr/>
                        <wps:spPr>
                          <a:xfrm rot="-10799999">
                            <a:off x="-1376448" y="3045638"/>
                            <a:ext cx="5309021" cy="142889"/>
                          </a:xfrm>
                          <a:prstGeom prst="rect">
                            <a:avLst/>
                          </a:prstGeom>
                          <a:ln>
                            <a:noFill/>
                          </a:ln>
                        </wps:spPr>
                        <wps:txbx>
                          <w:txbxContent>
                            <w:p w14:paraId="2AFDBB6A" w14:textId="77777777" w:rsidR="00B32EF2" w:rsidRDefault="00000000">
                              <w:r>
                                <w:rPr>
                                  <w:rFonts w:ascii="Arial" w:eastAsia="Arial" w:hAnsi="Arial" w:cs="Arial"/>
                                  <w:sz w:val="18"/>
                                </w:rPr>
                                <w:t xml:space="preserve">. L’astensione e la ricusazione dei componenti delle corti di giustizia tributaria </w:t>
                              </w:r>
                            </w:p>
                          </w:txbxContent>
                        </wps:txbx>
                        <wps:bodyPr horzOverflow="overflow" vert="horz" lIns="0" tIns="0" rIns="0" bIns="0" rtlCol="0">
                          <a:noAutofit/>
                        </wps:bodyPr>
                      </wps:wsp>
                      <wps:wsp>
                        <wps:cNvPr id="201870" name="Rectangle 201870"/>
                        <wps:cNvSpPr/>
                        <wps:spPr>
                          <a:xfrm rot="-10799999">
                            <a:off x="2610930" y="3045638"/>
                            <a:ext cx="5309021" cy="142889"/>
                          </a:xfrm>
                          <a:prstGeom prst="rect">
                            <a:avLst/>
                          </a:prstGeom>
                          <a:ln>
                            <a:noFill/>
                          </a:ln>
                        </wps:spPr>
                        <wps:txbx>
                          <w:txbxContent>
                            <w:p w14:paraId="4C9D61D9"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607" name="Rectangle 20607"/>
                        <wps:cNvSpPr/>
                        <wps:spPr>
                          <a:xfrm rot="-10799999">
                            <a:off x="-1317232" y="2905963"/>
                            <a:ext cx="5308990" cy="142889"/>
                          </a:xfrm>
                          <a:prstGeom prst="rect">
                            <a:avLst/>
                          </a:prstGeom>
                          <a:ln>
                            <a:noFill/>
                          </a:ln>
                        </wps:spPr>
                        <wps:txbx>
                          <w:txbxContent>
                            <w:p w14:paraId="6CFD9014" w14:textId="77777777" w:rsidR="00B32EF2" w:rsidRDefault="00000000">
                              <w:r>
                                <w:rPr>
                                  <w:rFonts w:ascii="Arial" w:eastAsia="Arial" w:hAnsi="Arial" w:cs="Arial"/>
                                  <w:sz w:val="18"/>
                                </w:rPr>
                                <w:t xml:space="preserve">di primo e secondo grado sono disciplinate dalle disposizioni del codice di </w:t>
                              </w:r>
                            </w:p>
                          </w:txbxContent>
                        </wps:txbx>
                        <wps:bodyPr horzOverflow="overflow" vert="horz" lIns="0" tIns="0" rIns="0" bIns="0" rtlCol="0">
                          <a:noAutofit/>
                        </wps:bodyPr>
                      </wps:wsp>
                      <wps:wsp>
                        <wps:cNvPr id="20608" name="Rectangle 20608"/>
                        <wps:cNvSpPr/>
                        <wps:spPr>
                          <a:xfrm rot="-10799999">
                            <a:off x="1474610" y="2766289"/>
                            <a:ext cx="2517146" cy="142890"/>
                          </a:xfrm>
                          <a:prstGeom prst="rect">
                            <a:avLst/>
                          </a:prstGeom>
                          <a:ln>
                            <a:noFill/>
                          </a:ln>
                        </wps:spPr>
                        <wps:txbx>
                          <w:txbxContent>
                            <w:p w14:paraId="02BC07F9" w14:textId="77777777" w:rsidR="00B32EF2" w:rsidRDefault="00000000">
                              <w:r>
                                <w:rPr>
                                  <w:rFonts w:ascii="Arial" w:eastAsia="Arial" w:hAnsi="Arial" w:cs="Arial"/>
                                  <w:sz w:val="18"/>
                                </w:rPr>
                                <w:t>procedura civile in quanto applicabili.</w:t>
                              </w:r>
                            </w:p>
                          </w:txbxContent>
                        </wps:txbx>
                        <wps:bodyPr horzOverflow="overflow" vert="horz" lIns="0" tIns="0" rIns="0" bIns="0" rtlCol="0">
                          <a:noAutofit/>
                        </wps:bodyPr>
                      </wps:wsp>
                      <wps:wsp>
                        <wps:cNvPr id="201868" name="Rectangle 201868"/>
                        <wps:cNvSpPr/>
                        <wps:spPr>
                          <a:xfrm rot="-10799999">
                            <a:off x="2610934" y="2626615"/>
                            <a:ext cx="5309005" cy="142889"/>
                          </a:xfrm>
                          <a:prstGeom prst="rect">
                            <a:avLst/>
                          </a:prstGeom>
                          <a:ln>
                            <a:noFill/>
                          </a:ln>
                        </wps:spPr>
                        <wps:txbx>
                          <w:txbxContent>
                            <w:p w14:paraId="18695AB3"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869" name="Rectangle 201869"/>
                        <wps:cNvSpPr/>
                        <wps:spPr>
                          <a:xfrm rot="-10799999">
                            <a:off x="-1381804" y="2626615"/>
                            <a:ext cx="5309005" cy="142889"/>
                          </a:xfrm>
                          <a:prstGeom prst="rect">
                            <a:avLst/>
                          </a:prstGeom>
                          <a:ln>
                            <a:noFill/>
                          </a:ln>
                        </wps:spPr>
                        <wps:txbx>
                          <w:txbxContent>
                            <w:p w14:paraId="70EAB521" w14:textId="77777777" w:rsidR="00B32EF2" w:rsidRDefault="00000000">
                              <w:r>
                                <w:rPr>
                                  <w:rFonts w:ascii="Arial" w:eastAsia="Arial" w:hAnsi="Arial" w:cs="Arial"/>
                                  <w:sz w:val="18"/>
                                </w:rPr>
                                <w:t xml:space="preserve">. Il giudice tributario ha l’obbligo di astenersi e può essere ricusato anche nel </w:t>
                              </w:r>
                            </w:p>
                          </w:txbxContent>
                        </wps:txbx>
                        <wps:bodyPr horzOverflow="overflow" vert="horz" lIns="0" tIns="0" rIns="0" bIns="0" rtlCol="0">
                          <a:noAutofit/>
                        </wps:bodyPr>
                      </wps:wsp>
                      <wps:wsp>
                        <wps:cNvPr id="20610" name="Rectangle 20610"/>
                        <wps:cNvSpPr/>
                        <wps:spPr>
                          <a:xfrm rot="-10799999">
                            <a:off x="-1220135" y="2486940"/>
                            <a:ext cx="5213036" cy="142889"/>
                          </a:xfrm>
                          <a:prstGeom prst="rect">
                            <a:avLst/>
                          </a:prstGeom>
                          <a:ln>
                            <a:noFill/>
                          </a:ln>
                        </wps:spPr>
                        <wps:txbx>
                          <w:txbxContent>
                            <w:p w14:paraId="127472E6" w14:textId="77777777" w:rsidR="00B32EF2" w:rsidRDefault="00000000">
                              <w:r>
                                <w:rPr>
                                  <w:rFonts w:ascii="Arial" w:eastAsia="Arial" w:hAnsi="Arial" w:cs="Arial"/>
                                  <w:sz w:val="18"/>
                                </w:rPr>
                                <w:t>caso di cui all’articolo 139, comma 2, del decreto del Presidente della Repub</w:t>
                              </w:r>
                            </w:p>
                          </w:txbxContent>
                        </wps:txbx>
                        <wps:bodyPr horzOverflow="overflow" vert="horz" lIns="0" tIns="0" rIns="0" bIns="0" rtlCol="0">
                          <a:noAutofit/>
                        </wps:bodyPr>
                      </wps:wsp>
                      <wps:wsp>
                        <wps:cNvPr id="20611" name="Rectangle 20611"/>
                        <wps:cNvSpPr/>
                        <wps:spPr>
                          <a:xfrm rot="-10799999">
                            <a:off x="19158" y="2486941"/>
                            <a:ext cx="50622" cy="142889"/>
                          </a:xfrm>
                          <a:prstGeom prst="rect">
                            <a:avLst/>
                          </a:prstGeom>
                          <a:ln>
                            <a:noFill/>
                          </a:ln>
                        </wps:spPr>
                        <wps:txbx>
                          <w:txbxContent>
                            <w:p w14:paraId="7E21B17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612" name="Rectangle 20612"/>
                        <wps:cNvSpPr/>
                        <wps:spPr>
                          <a:xfrm rot="-10799999">
                            <a:off x="-1317247" y="2347266"/>
                            <a:ext cx="5309005" cy="142889"/>
                          </a:xfrm>
                          <a:prstGeom prst="rect">
                            <a:avLst/>
                          </a:prstGeom>
                          <a:ln>
                            <a:noFill/>
                          </a:ln>
                        </wps:spPr>
                        <wps:txbx>
                          <w:txbxContent>
                            <w:p w14:paraId="0AD1922E" w14:textId="77777777" w:rsidR="00B32EF2" w:rsidRDefault="00000000">
                              <w:r>
                                <w:rPr>
                                  <w:rFonts w:ascii="Arial" w:eastAsia="Arial" w:hAnsi="Arial" w:cs="Arial"/>
                                  <w:sz w:val="18"/>
                                </w:rPr>
                                <w:t xml:space="preserve">blica 30 maggio 2002, n. 115 e in ogni caso in cui abbia o abbia avuto rapporti </w:t>
                              </w:r>
                            </w:p>
                          </w:txbxContent>
                        </wps:txbx>
                        <wps:bodyPr horzOverflow="overflow" vert="horz" lIns="0" tIns="0" rIns="0" bIns="0" rtlCol="0">
                          <a:noAutofit/>
                        </wps:bodyPr>
                      </wps:wsp>
                      <wps:wsp>
                        <wps:cNvPr id="20613" name="Rectangle 20613"/>
                        <wps:cNvSpPr/>
                        <wps:spPr>
                          <a:xfrm rot="-10799999">
                            <a:off x="-361839" y="2207591"/>
                            <a:ext cx="4353597" cy="142889"/>
                          </a:xfrm>
                          <a:prstGeom prst="rect">
                            <a:avLst/>
                          </a:prstGeom>
                          <a:ln>
                            <a:noFill/>
                          </a:ln>
                        </wps:spPr>
                        <wps:txbx>
                          <w:txbxContent>
                            <w:p w14:paraId="00990BC9" w14:textId="77777777" w:rsidR="00B32EF2" w:rsidRDefault="00000000">
                              <w:r>
                                <w:rPr>
                                  <w:rFonts w:ascii="Arial" w:eastAsia="Arial" w:hAnsi="Arial" w:cs="Arial"/>
                                  <w:sz w:val="18"/>
                                </w:rPr>
                                <w:t>di lavoro autonomo ovvero di collaborazione con una delle parti.</w:t>
                              </w:r>
                            </w:p>
                          </w:txbxContent>
                        </wps:txbx>
                        <wps:bodyPr horzOverflow="overflow" vert="horz" lIns="0" tIns="0" rIns="0" bIns="0" rtlCol="0">
                          <a:noAutofit/>
                        </wps:bodyPr>
                      </wps:wsp>
                      <wps:wsp>
                        <wps:cNvPr id="201866" name="Rectangle 201866"/>
                        <wps:cNvSpPr/>
                        <wps:spPr>
                          <a:xfrm rot="-10799999">
                            <a:off x="2610926" y="2067917"/>
                            <a:ext cx="5309036" cy="142889"/>
                          </a:xfrm>
                          <a:prstGeom prst="rect">
                            <a:avLst/>
                          </a:prstGeom>
                          <a:ln>
                            <a:noFill/>
                          </a:ln>
                        </wps:spPr>
                        <wps:txbx>
                          <w:txbxContent>
                            <w:p w14:paraId="7CCCE1B5"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1867" name="Rectangle 201867"/>
                        <wps:cNvSpPr/>
                        <wps:spPr>
                          <a:xfrm rot="-10799999">
                            <a:off x="-1381801" y="2067917"/>
                            <a:ext cx="5309036" cy="142889"/>
                          </a:xfrm>
                          <a:prstGeom prst="rect">
                            <a:avLst/>
                          </a:prstGeom>
                          <a:ln>
                            <a:noFill/>
                          </a:ln>
                        </wps:spPr>
                        <wps:txbx>
                          <w:txbxContent>
                            <w:p w14:paraId="093A9D2B" w14:textId="77777777" w:rsidR="00B32EF2" w:rsidRDefault="00000000">
                              <w:r>
                                <w:rPr>
                                  <w:rFonts w:ascii="Arial" w:eastAsia="Arial" w:hAnsi="Arial" w:cs="Arial"/>
                                  <w:sz w:val="18"/>
                                </w:rPr>
                                <w:t xml:space="preserve">. Sulla ricusazione decide il collegio al quale appartiene il componente della </w:t>
                              </w:r>
                            </w:p>
                          </w:txbxContent>
                        </wps:txbx>
                        <wps:bodyPr horzOverflow="overflow" vert="horz" lIns="0" tIns="0" rIns="0" bIns="0" rtlCol="0">
                          <a:noAutofit/>
                        </wps:bodyPr>
                      </wps:wsp>
                      <wps:wsp>
                        <wps:cNvPr id="20615" name="Rectangle 20615"/>
                        <wps:cNvSpPr/>
                        <wps:spPr>
                          <a:xfrm rot="-10799999">
                            <a:off x="-1317232" y="1928242"/>
                            <a:ext cx="5308989" cy="142889"/>
                          </a:xfrm>
                          <a:prstGeom prst="rect">
                            <a:avLst/>
                          </a:prstGeom>
                          <a:ln>
                            <a:noFill/>
                          </a:ln>
                        </wps:spPr>
                        <wps:txbx>
                          <w:txbxContent>
                            <w:p w14:paraId="735F84FF" w14:textId="77777777" w:rsidR="00B32EF2" w:rsidRDefault="00000000">
                              <w:r>
                                <w:rPr>
                                  <w:rFonts w:ascii="Arial" w:eastAsia="Arial" w:hAnsi="Arial" w:cs="Arial"/>
                                  <w:sz w:val="18"/>
                                </w:rPr>
                                <w:t xml:space="preserve">corte di giustizia tributaria di primo e secondo grado ricusato, senza la sua </w:t>
                              </w:r>
                            </w:p>
                          </w:txbxContent>
                        </wps:txbx>
                        <wps:bodyPr horzOverflow="overflow" vert="horz" lIns="0" tIns="0" rIns="0" bIns="0" rtlCol="0">
                          <a:noAutofit/>
                        </wps:bodyPr>
                      </wps:wsp>
                      <wps:wsp>
                        <wps:cNvPr id="20616" name="Rectangle 20616"/>
                        <wps:cNvSpPr/>
                        <wps:spPr>
                          <a:xfrm rot="-10799999">
                            <a:off x="-1220837" y="1788568"/>
                            <a:ext cx="5212595" cy="142889"/>
                          </a:xfrm>
                          <a:prstGeom prst="rect">
                            <a:avLst/>
                          </a:prstGeom>
                          <a:ln>
                            <a:noFill/>
                          </a:ln>
                        </wps:spPr>
                        <wps:txbx>
                          <w:txbxContent>
                            <w:p w14:paraId="2CF66F29" w14:textId="77777777" w:rsidR="00B32EF2" w:rsidRDefault="00000000">
                              <w:r>
                                <w:rPr>
                                  <w:rFonts w:ascii="Arial" w:eastAsia="Arial" w:hAnsi="Arial" w:cs="Arial"/>
                                  <w:sz w:val="18"/>
                                </w:rPr>
                                <w:t>partecipazione e con l’integrazione di altro membro della stessa corte di giu</w:t>
                              </w:r>
                            </w:p>
                          </w:txbxContent>
                        </wps:txbx>
                        <wps:bodyPr horzOverflow="overflow" vert="horz" lIns="0" tIns="0" rIns="0" bIns="0" rtlCol="0">
                          <a:noAutofit/>
                        </wps:bodyPr>
                      </wps:wsp>
                      <wps:wsp>
                        <wps:cNvPr id="20617" name="Rectangle 20617"/>
                        <wps:cNvSpPr/>
                        <wps:spPr>
                          <a:xfrm rot="-10799999">
                            <a:off x="19158" y="1788568"/>
                            <a:ext cx="50622" cy="142889"/>
                          </a:xfrm>
                          <a:prstGeom prst="rect">
                            <a:avLst/>
                          </a:prstGeom>
                          <a:ln>
                            <a:noFill/>
                          </a:ln>
                        </wps:spPr>
                        <wps:txbx>
                          <w:txbxContent>
                            <w:p w14:paraId="516A088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618" name="Rectangle 20618"/>
                        <wps:cNvSpPr/>
                        <wps:spPr>
                          <a:xfrm rot="-10799999">
                            <a:off x="948214" y="1648894"/>
                            <a:ext cx="3043542" cy="142889"/>
                          </a:xfrm>
                          <a:prstGeom prst="rect">
                            <a:avLst/>
                          </a:prstGeom>
                          <a:ln>
                            <a:noFill/>
                          </a:ln>
                        </wps:spPr>
                        <wps:txbx>
                          <w:txbxContent>
                            <w:p w14:paraId="7406A81F" w14:textId="77777777" w:rsidR="00B32EF2" w:rsidRDefault="00000000">
                              <w:r>
                                <w:rPr>
                                  <w:rFonts w:ascii="Arial" w:eastAsia="Arial" w:hAnsi="Arial" w:cs="Arial"/>
                                  <w:sz w:val="18"/>
                                </w:rPr>
                                <w:t>stizia tributaria designato dal suo presidente.</w:t>
                              </w:r>
                            </w:p>
                          </w:txbxContent>
                        </wps:txbx>
                        <wps:bodyPr horzOverflow="overflow" vert="horz" lIns="0" tIns="0" rIns="0" bIns="0" rtlCol="0">
                          <a:noAutofit/>
                        </wps:bodyPr>
                      </wps:wsp>
                      <wps:wsp>
                        <wps:cNvPr id="208060" name="Shape 208060"/>
                        <wps:cNvSpPr/>
                        <wps:spPr>
                          <a:xfrm>
                            <a:off x="31774" y="392206"/>
                            <a:ext cx="3960000" cy="1238301"/>
                          </a:xfrm>
                          <a:custGeom>
                            <a:avLst/>
                            <a:gdLst/>
                            <a:ahLst/>
                            <a:cxnLst/>
                            <a:rect l="0" t="0" r="0" b="0"/>
                            <a:pathLst>
                              <a:path w="3960000" h="1238301">
                                <a:moveTo>
                                  <a:pt x="0" y="0"/>
                                </a:moveTo>
                                <a:lnTo>
                                  <a:pt x="3960000" y="0"/>
                                </a:lnTo>
                                <a:lnTo>
                                  <a:pt x="3960000" y="1238301"/>
                                </a:lnTo>
                                <a:lnTo>
                                  <a:pt x="0" y="1238301"/>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20620" name="Rectangle 20620"/>
                        <wps:cNvSpPr/>
                        <wps:spPr>
                          <a:xfrm rot="-10799999">
                            <a:off x="2328758" y="1409265"/>
                            <a:ext cx="1585695" cy="142889"/>
                          </a:xfrm>
                          <a:prstGeom prst="rect">
                            <a:avLst/>
                          </a:prstGeom>
                          <a:ln>
                            <a:noFill/>
                          </a:ln>
                        </wps:spPr>
                        <wps:txbx>
                          <w:txbxContent>
                            <w:p w14:paraId="69A68738"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20621" name="Rectangle 20621"/>
                        <wps:cNvSpPr/>
                        <wps:spPr>
                          <a:xfrm rot="-10799999">
                            <a:off x="380999" y="1285935"/>
                            <a:ext cx="3533454" cy="142889"/>
                          </a:xfrm>
                          <a:prstGeom prst="rect">
                            <a:avLst/>
                          </a:prstGeom>
                          <a:ln>
                            <a:noFill/>
                          </a:ln>
                        </wps:spPr>
                        <wps:txbx>
                          <w:txbxContent>
                            <w:p w14:paraId="387B7576" w14:textId="77777777" w:rsidR="00B32EF2" w:rsidRDefault="00000000">
                              <w:r>
                                <w:rPr>
                                  <w:rFonts w:ascii="Arial" w:eastAsia="Arial" w:hAnsi="Arial" w:cs="Arial"/>
                                  <w:i/>
                                  <w:sz w:val="18"/>
                                </w:rPr>
                                <w:t>art. 139 dpr. 115/2002 “Funzioni della commissione”</w:t>
                              </w:r>
                            </w:p>
                          </w:txbxContent>
                        </wps:txbx>
                        <wps:bodyPr horzOverflow="overflow" vert="horz" lIns="0" tIns="0" rIns="0" bIns="0" rtlCol="0">
                          <a:noAutofit/>
                        </wps:bodyPr>
                      </wps:wsp>
                      <wps:wsp>
                        <wps:cNvPr id="201864" name="Rectangle 201864"/>
                        <wps:cNvSpPr/>
                        <wps:spPr>
                          <a:xfrm rot="-10799999">
                            <a:off x="2585076" y="1162605"/>
                            <a:ext cx="5097517" cy="142890"/>
                          </a:xfrm>
                          <a:prstGeom prst="rect">
                            <a:avLst/>
                          </a:prstGeom>
                          <a:ln>
                            <a:noFill/>
                          </a:ln>
                        </wps:spPr>
                        <wps:txbx>
                          <w:txbxContent>
                            <w:p w14:paraId="458024C8"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01865" name="Rectangle 201865"/>
                        <wps:cNvSpPr/>
                        <wps:spPr>
                          <a:xfrm rot="-10799999">
                            <a:off x="-1246009" y="1162605"/>
                            <a:ext cx="5097517" cy="142890"/>
                          </a:xfrm>
                          <a:prstGeom prst="rect">
                            <a:avLst/>
                          </a:prstGeom>
                          <a:ln>
                            <a:noFill/>
                          </a:ln>
                        </wps:spPr>
                        <wps:txbx>
                          <w:txbxContent>
                            <w:p w14:paraId="5C8BED7F" w14:textId="77777777" w:rsidR="00B32EF2" w:rsidRDefault="00000000">
                              <w:r>
                                <w:rPr>
                                  <w:rFonts w:ascii="Arial" w:eastAsia="Arial" w:hAnsi="Arial" w:cs="Arial"/>
                                  <w:i/>
                                  <w:sz w:val="18"/>
                                </w:rPr>
                                <w:t xml:space="preserve">. Le funzioni che gli articoli 79, 124, 126, 127 e 136 attribuiscono, anche in </w:t>
                              </w:r>
                            </w:p>
                          </w:txbxContent>
                        </wps:txbx>
                        <wps:bodyPr horzOverflow="overflow" vert="horz" lIns="0" tIns="0" rIns="0" bIns="0" rtlCol="0">
                          <a:noAutofit/>
                        </wps:bodyPr>
                      </wps:wsp>
                      <wps:wsp>
                        <wps:cNvPr id="20623" name="Rectangle 20623"/>
                        <wps:cNvSpPr/>
                        <wps:spPr>
                          <a:xfrm rot="-10799999">
                            <a:off x="-1189385" y="1039276"/>
                            <a:ext cx="5110925" cy="142889"/>
                          </a:xfrm>
                          <a:prstGeom prst="rect">
                            <a:avLst/>
                          </a:prstGeom>
                          <a:ln>
                            <a:noFill/>
                          </a:ln>
                        </wps:spPr>
                        <wps:txbx>
                          <w:txbxContent>
                            <w:p w14:paraId="001F2B2A" w14:textId="77777777" w:rsidR="00B32EF2" w:rsidRDefault="00000000">
                              <w:r>
                                <w:rPr>
                                  <w:rFonts w:ascii="Arial" w:eastAsia="Arial" w:hAnsi="Arial" w:cs="Arial"/>
                                  <w:i/>
                                  <w:sz w:val="18"/>
                                </w:rPr>
                                <w:t xml:space="preserve">modo ripartito, al consiglio dell’ordine degli avvocati e al magistrato sono </w:t>
                              </w:r>
                            </w:p>
                          </w:txbxContent>
                        </wps:txbx>
                        <wps:bodyPr horzOverflow="overflow" vert="horz" lIns="0" tIns="0" rIns="0" bIns="0" rtlCol="0">
                          <a:noAutofit/>
                        </wps:bodyPr>
                      </wps:wsp>
                      <wps:wsp>
                        <wps:cNvPr id="20624" name="Rectangle 20624"/>
                        <wps:cNvSpPr/>
                        <wps:spPr>
                          <a:xfrm rot="-10799999">
                            <a:off x="-1090813" y="915946"/>
                            <a:ext cx="5004237" cy="142889"/>
                          </a:xfrm>
                          <a:prstGeom prst="rect">
                            <a:avLst/>
                          </a:prstGeom>
                          <a:ln>
                            <a:noFill/>
                          </a:ln>
                        </wps:spPr>
                        <wps:txbx>
                          <w:txbxContent>
                            <w:p w14:paraId="71181CB2" w14:textId="77777777" w:rsidR="00B32EF2" w:rsidRDefault="00000000">
                              <w:r>
                                <w:rPr>
                                  <w:rFonts w:ascii="Arial" w:eastAsia="Arial" w:hAnsi="Arial" w:cs="Arial"/>
                                  <w:i/>
                                  <w:sz w:val="18"/>
                                </w:rPr>
                                <w:t>svolte solo dalla commissione del patrocinio a spese dello Stato; l’istan</w:t>
                              </w:r>
                            </w:p>
                          </w:txbxContent>
                        </wps:txbx>
                        <wps:bodyPr horzOverflow="overflow" vert="horz" lIns="0" tIns="0" rIns="0" bIns="0" rtlCol="0">
                          <a:noAutofit/>
                        </wps:bodyPr>
                      </wps:wsp>
                      <wps:wsp>
                        <wps:cNvPr id="20625" name="Rectangle 20625"/>
                        <wps:cNvSpPr/>
                        <wps:spPr>
                          <a:xfrm rot="-10799999">
                            <a:off x="97530" y="915946"/>
                            <a:ext cx="50622" cy="142889"/>
                          </a:xfrm>
                          <a:prstGeom prst="rect">
                            <a:avLst/>
                          </a:prstGeom>
                          <a:ln>
                            <a:noFill/>
                          </a:ln>
                        </wps:spPr>
                        <wps:txbx>
                          <w:txbxContent>
                            <w:p w14:paraId="5555757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626" name="Rectangle 20626"/>
                        <wps:cNvSpPr/>
                        <wps:spPr>
                          <a:xfrm rot="-10799999">
                            <a:off x="-1189492" y="792616"/>
                            <a:ext cx="5110803" cy="142889"/>
                          </a:xfrm>
                          <a:prstGeom prst="rect">
                            <a:avLst/>
                          </a:prstGeom>
                          <a:ln>
                            <a:noFill/>
                          </a:ln>
                        </wps:spPr>
                        <wps:txbx>
                          <w:txbxContent>
                            <w:p w14:paraId="522DB497" w14:textId="77777777" w:rsidR="00B32EF2" w:rsidRDefault="00000000">
                              <w:r>
                                <w:rPr>
                                  <w:rFonts w:ascii="Arial" w:eastAsia="Arial" w:hAnsi="Arial" w:cs="Arial"/>
                                  <w:i/>
                                  <w:sz w:val="18"/>
                                </w:rPr>
                                <w:t xml:space="preserve">za respinta o dichiarata inammissibile dalla commissione non può essere </w:t>
                              </w:r>
                            </w:p>
                          </w:txbxContent>
                        </wps:txbx>
                        <wps:bodyPr horzOverflow="overflow" vert="horz" lIns="0" tIns="0" rIns="0" bIns="0" rtlCol="0">
                          <a:noAutofit/>
                        </wps:bodyPr>
                      </wps:wsp>
                      <wps:wsp>
                        <wps:cNvPr id="20627" name="Rectangle 20627"/>
                        <wps:cNvSpPr/>
                        <wps:spPr>
                          <a:xfrm rot="-10799999">
                            <a:off x="-1188868" y="669287"/>
                            <a:ext cx="5107549" cy="142889"/>
                          </a:xfrm>
                          <a:prstGeom prst="rect">
                            <a:avLst/>
                          </a:prstGeom>
                          <a:ln>
                            <a:noFill/>
                          </a:ln>
                        </wps:spPr>
                        <wps:txbx>
                          <w:txbxContent>
                            <w:p w14:paraId="4D06AC27" w14:textId="77777777" w:rsidR="00B32EF2" w:rsidRDefault="00000000">
                              <w:r>
                                <w:rPr>
                                  <w:rFonts w:ascii="Arial" w:eastAsia="Arial" w:hAnsi="Arial" w:cs="Arial"/>
                                  <w:i/>
                                  <w:sz w:val="18"/>
                                </w:rPr>
                                <w:t xml:space="preserve">proposta al magistrato davanti al quale pende il processo o competente a </w:t>
                              </w:r>
                            </w:p>
                          </w:txbxContent>
                        </wps:txbx>
                        <wps:bodyPr horzOverflow="overflow" vert="horz" lIns="0" tIns="0" rIns="0" bIns="0" rtlCol="0">
                          <a:noAutofit/>
                        </wps:bodyPr>
                      </wps:wsp>
                      <wps:wsp>
                        <wps:cNvPr id="20628" name="Rectangle 20628"/>
                        <wps:cNvSpPr/>
                        <wps:spPr>
                          <a:xfrm rot="-10799999">
                            <a:off x="2574669" y="545957"/>
                            <a:ext cx="1338756" cy="142889"/>
                          </a:xfrm>
                          <a:prstGeom prst="rect">
                            <a:avLst/>
                          </a:prstGeom>
                          <a:ln>
                            <a:noFill/>
                          </a:ln>
                        </wps:spPr>
                        <wps:txbx>
                          <w:txbxContent>
                            <w:p w14:paraId="71EA3AFE" w14:textId="77777777" w:rsidR="00B32EF2" w:rsidRDefault="00000000">
                              <w:r>
                                <w:rPr>
                                  <w:rFonts w:ascii="Arial" w:eastAsia="Arial" w:hAnsi="Arial" w:cs="Arial"/>
                                  <w:i/>
                                  <w:sz w:val="18"/>
                                </w:rPr>
                                <w:t>conoscere il merito.</w:t>
                              </w:r>
                            </w:p>
                          </w:txbxContent>
                        </wps:txbx>
                        <wps:bodyPr horzOverflow="overflow" vert="horz" lIns="0" tIns="0" rIns="0" bIns="0" rtlCol="0">
                          <a:noAutofit/>
                        </wps:bodyPr>
                      </wps:wsp>
                      <wps:wsp>
                        <wps:cNvPr id="201863" name="Rectangle 201863"/>
                        <wps:cNvSpPr/>
                        <wps:spPr>
                          <a:xfrm rot="-10799999">
                            <a:off x="-1255417" y="422627"/>
                            <a:ext cx="5113828" cy="142889"/>
                          </a:xfrm>
                          <a:prstGeom prst="rect">
                            <a:avLst/>
                          </a:prstGeom>
                          <a:ln>
                            <a:noFill/>
                          </a:ln>
                        </wps:spPr>
                        <wps:txbx>
                          <w:txbxContent>
                            <w:p w14:paraId="31B4B773" w14:textId="77777777" w:rsidR="00B32EF2" w:rsidRDefault="00000000">
                              <w:r>
                                <w:rPr>
                                  <w:rFonts w:ascii="Arial" w:eastAsia="Arial" w:hAnsi="Arial" w:cs="Arial"/>
                                  <w:i/>
                                  <w:sz w:val="18"/>
                                </w:rPr>
                                <w:t xml:space="preserve">. I giudici tributari che fanno parte della commissione hanno l’obbligo di </w:t>
                              </w:r>
                            </w:p>
                          </w:txbxContent>
                        </wps:txbx>
                        <wps:bodyPr horzOverflow="overflow" vert="horz" lIns="0" tIns="0" rIns="0" bIns="0" rtlCol="0">
                          <a:noAutofit/>
                        </wps:bodyPr>
                      </wps:wsp>
                      <wps:wsp>
                        <wps:cNvPr id="201862" name="Rectangle 201862"/>
                        <wps:cNvSpPr/>
                        <wps:spPr>
                          <a:xfrm rot="-10799999">
                            <a:off x="2581029" y="422627"/>
                            <a:ext cx="5113828" cy="142889"/>
                          </a:xfrm>
                          <a:prstGeom prst="rect">
                            <a:avLst/>
                          </a:prstGeom>
                          <a:ln>
                            <a:noFill/>
                          </a:ln>
                        </wps:spPr>
                        <wps:txbx>
                          <w:txbxContent>
                            <w:p w14:paraId="65548468" w14:textId="77777777" w:rsidR="00B32EF2" w:rsidRDefault="00000000">
                              <w:r>
                                <w:rPr>
                                  <w:rFonts w:ascii="Arial" w:eastAsia="Arial" w:hAnsi="Arial" w:cs="Arial"/>
                                  <w:i/>
                                  <w:sz w:val="18"/>
                                </w:rPr>
                                <w:t>2</w:t>
                              </w:r>
                            </w:p>
                          </w:txbxContent>
                        </wps:txbx>
                        <wps:bodyPr horzOverflow="overflow" vert="horz" lIns="0" tIns="0" rIns="0" bIns="0" rtlCol="0">
                          <a:noAutofit/>
                        </wps:bodyPr>
                      </wps:wsp>
                      <wps:wsp>
                        <wps:cNvPr id="20630" name="Shape 20630"/>
                        <wps:cNvSpPr/>
                        <wps:spPr>
                          <a:xfrm>
                            <a:off x="31773" y="392209"/>
                            <a:ext cx="3960000" cy="1238301"/>
                          </a:xfrm>
                          <a:custGeom>
                            <a:avLst/>
                            <a:gdLst/>
                            <a:ahLst/>
                            <a:cxnLst/>
                            <a:rect l="0" t="0" r="0" b="0"/>
                            <a:pathLst>
                              <a:path w="3960000" h="1238301">
                                <a:moveTo>
                                  <a:pt x="0" y="1238301"/>
                                </a:moveTo>
                                <a:lnTo>
                                  <a:pt x="3960000" y="1238301"/>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74DF945" id="Group 201951" o:spid="_x0000_s5237" style="width:314.3pt;height:493.15pt;mso-position-horizontal-relative:char;mso-position-vertical-relative:line" coordsize="39917,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8udHgwAAG+GAAAOAAAAZHJzL2Uyb0RvYy54bWzkXeuO27gV/l+g72D4/2REUqQoI5NFkXSD&#10;AkU32MsDKB75AsiWITmZSZ++3yElyhdOE0iLoVsmwIyHlmnqfDr3Q563Pz3vqtnXsmm39f5hzt4k&#10;81m5X9aP2/36Yf7H7z/f6fmsPRb7x6Kq9+XD/FvZzn9699e/vH06LEpeb+rqsWxmmGTfLp4OD/PN&#10;8XhY3N+3y025K9o39aHc481V3eyKI/5s1vePTfGE2XfVPU8Sdf9UN4+Hpl6WbYvRD/bN+Tsz/2pV&#10;Lo+/rFZteZxVD3Os7Wh+NubnZ/p5/+5tsVg3xWGzXXbLKEasYlds9/hSN9WH4ljMvjTbq6l222VT&#10;t/Xq+GZZ7+7r1Wq7LM094G5YcnE3H5v6y8Hcy3rxtD44MoG0F3QaPe3yX18/NoffDp8aUOLpsAYt&#10;zF90L8+rZke/scrZsyHZN0ey8vk4W2JQ5DnLsnQ+W+I9xRXXMrVEXW5A+avPLTd//84n7/svvj9b&#10;ztMBD0g70KCdRoPfNsWhNKRtF6DBp2a2fXyY80RmeGD3xQ6P6q94eIr9uipndtgQyFztyNUuWlCu&#10;p9WsqfF83bEky+mfeR462rE8SVKFBxBUulMcf1oi9WRkmRYqt1TkMlGpovcdKYrFoWmPH8t6N6MX&#10;D/MGazPzF1//2R7tpf0ltJxqTz/39c/bqrLv0ggo2q+YXh2fPz+b204Tzun7aPBz/fgN1NjUzb9/&#10;AV+vqvrpYV53r+bE6vh6enc+q/6xBwrEVf2Lpn/xuX/RHKv3teE9u6C/fTnWq61Z8fBt3coAr13D&#10;q+AMavtwzntC4KkYgbNMpM6ZwVkxludKngOtGdM8s0CzlGttvu8VgRb9/UUCNNPgNQ/SZrx75kdB&#10;zTljCVMGagmglbiAmmmpMiYHrC3TvyLWRhIPbPZ/z9TAFKx3zdVmfArWdyxNFYOWg/i+UazNwxcX&#10;1vwFrJ0uG8XXjDPFJea+XayNcRAR1lJ72ZqGp3A1EzzJmbBI60yI5FKCJ5qpUwn+6to6628wGm2t&#10;oTB9EhzjU7DmiiW5sAa4zNI8zwwTFYveApciyckMNo5MEMtM9zcYD9awnrxYOwE3SoLfMZGpNIUj&#10;RyL8ZbAhVMhrDQK2czMiAVtqyNlrrGl4ClsLcHVGXEtII/zQOc4DW2vNNQzzYEBD5HT3FwnQDBT3&#10;IW3Gp0B9JsFlIgR8L8w3QB1cggtnjsSDtZergfU0toYE14iT2DiKfBnsgBJcOC8jErCl3zKj4Sls&#10;fadZmqtOggtETrWxeQe2TnWCMEoXGw2hq4V7liNBGuz7QsgM41OwNiKcdyEzLpWSF1gbES4ChkdF&#10;fCEzv2+NZ8Bps7FGOER40onwl8EOaZs5yRUJY0vIVq8R7sIMI6FGLDyRHdRMCIEMx7lpxhnXCRyy&#10;UP6WcB5lNFD785jaRRlGQc1yJju/2otzokKGUKA5OvUUDcr+LKaNU1KEeBTKd4wjMkp5M3KrE7zM&#10;zWMzGGUSDJ2lIRW1e45jgdqfxpQ2qTga6hOGNjhfCu7ADB1dmMyfwJQYnmJ43+UoRkht/jLVWil1&#10;wc9pLnlOxlooBZ06zyISfmY688puMz4Ja5haKctgV0N4p5mCOXYBthHeOSI3wcB2T3M8YHvNMYDt&#10;9NgoTc2VoPjILWMdXZyMOMuT6cDwFLYeFLWfp8Mq6tTdXCQcLXNoUx/KLoA0jp+lYJnq+FmlCWyy&#10;c0+apag/IlMwmOx2NxgJ0pDR3qiJGZ/C0fCyNELfNmySSqYULAJMeO5lCcqCBAM7tggZQH2hJsHW&#10;i4z2s0hR5xyagYyyl7EOWH9iS85jqirLvVBLDE9h6xNFbXC+NL4DK+roQmS5V3pLDE9BGRlqlnGk&#10;Bg1Di1yAvS+Et0h0WE3tXItINLVElNJrkzlCjLLJLNRdOVnKsyRBNvpcT1PtIIpHw+lps6CoZLc3&#10;eALb+E/gagrMkJpmqVI2vHpikhHUIQvKZGyBMpV4ixFoeLoA76FOIMqxPe+aq4NCHVuYTFEE+tqp&#10;puEpUGMjlkRpqGFqgdI0pY0POzA1Z0KlIZ1qbDfpbjASVa0Sb5EoDU9CWjIIZ5vnAD+nYOpzntbY&#10;hRsyQy1ji5PBoYZddM3TZnwS1GablrW/RYq6bwRSMN/A1FfbL197847dCB+RUQZMvaFvMz4F69Ot&#10;tjeKdYSBMm8AHFi7APFIb2vYanujWLv4UDTK2gs19OskZX2HoxBylIhau0zw9Kr0WzKeo8wonF9t&#10;65MjEuGKohjX2pqGpwhwKTPBbUWCgF4WzJh5g67m2HqLs2MCAu1CRJHwNOS019cy41OgPtt8KZJU&#10;qqvyE7PTNmBWS7ogUTxge2MoAHtaEOV0T95tYm2DOlFJcG++QyV/Sr7D7tNCqSCyZMaVHWQ49u6E&#10;zXdYBzAqqL35DoWNFlMkOEszHHZjzTKOYhRuHecBaS5Zhtj4oK1tkPz1DjaCpdDdYDQCHAW7HruM&#10;aVvISw/9KG/LCnAbMIMBhiCKMfQGrM2OvJCpLStmIuJqYOrNbZnxKXxtN1XDaaPk1o2C7TzKSBjb&#10;yFmPvwXxOw1qbOBhlLsiqFM8Uba+/oSvkfNIEB0PlrK2ByNGxNfYgeET4TQ8Beqh3MjifBEFx1mi&#10;IfMdyLrFpakVQhseRU3DU1DualBg2hNDizSjfCYmPGHo0DUoyjkY0chub7ZD4US5SVALxbSwJSiQ&#10;4lm392tAOhVSUPlaONHt/ItIkIbp5S0VNeNTsD49EIPjmBOcpe3h6qBqOr5YGQSZR4IDayfgRrla&#10;nfkNI4BE+E2CPUQDI2Fsc7inz/yelu6w2honRBHULOeapxcJDxMsQ1wlmAxH9L8TXNFA7RXhyp4i&#10;NzqAYo5K0HRkEUGdaZz5bbTjoK5pt63M4YqF2sSTOdMzGqi9ElxZ5Toa6sHT8uMc1tNC6U1sDO0N&#10;icJ47gkxSk3nKc4dtDEypnBWAvZ5gq4DOyPNhQrDgKnqob4mEnbG/naXvTRtW9CPxYx91/Im3LoG&#10;LNitQ4UkENIih1d14TyLHOXkVGduZDQXWtiS45OUxvKLbcBCc/ZNV9Du59G2X8HYpn+1fN73L6lN&#10;y3/tPHQojvQ5mpReztBrxa1lA4XSLYXe36EJy++1ufJ40VYHyxzerfanV7nZcOcmpohr+yv63wcz&#10;3+mV/feCwi9ebxNEP37l+bdjWrphM78jAgZPyVztiR6ESoHOUKuqsC1vdtsjWkZV2x3RB7txhomv&#10;Oty0x29VSSSr9r+WK/S6MW2MaKBt1p/fV83sa0HNacw/20+nOmyKbpQYH0vqLu1IgXno8ys01nFT&#10;MvPRsynfC/rfzdBdTJ8rTU8q98nEfnLZrcY2pkJ7J9x0354KK3AfMt9c74/u83s01TJfQlqtu9sh&#10;pkrrp79es7GO4li7x6TGMJYzWvlywVFJDIlPZlaa5PyysQ7OJZMqqJnlfIZI5DLaWPmRdq7FKAUs&#10;NJ03ZoFGN7EcWQw8OCcKWGKvJdX4B7OnY4tpI/QBcl/ztBmfxNTg2YQ23BNTo+tKV2Y4YC1xujuK&#10;DQasX7vSAEc/dDcYCVMDU28FqBmfgjUcZTTAw3EmNwy28xwiAVvRgRTXfE3D06BGYbeg48KJrxMY&#10;3FfNVtA6LaeC4GAyPLawtuJeEU7D06DGdmjd9VDC2bC5PUXkVIInKQ95ovdwZHk0TO0V4OhpNglp&#10;KOKufZIf5qBlBsNZ5dGA7I9m43D9aewMyY1ziozkzuBkXfVYgeDWCbRGKMGN5jLdDUaDtD+YbY9Y&#10;H+1P0+YrHARrHWoccwHvmgh7IrjRxljiTJtwSDsjJBqk/QFt7szSUf40Rwc0AGxYWuL0wMueGzjH&#10;HZEViJNgLO1MkEiAhi/ltbvN+DTxzaXE2b8G65SjxveKqdFYCc9TOKydERIP1t6CQGDtNNlIttYs&#10;4ZatbxNqZ4pEArUi+9h6032aioa+y9CkdU+yVBANcJtNlso4qYNKdhkaI6n/l7JU51miH8lVnX+i&#10;z1T1v68zVkMSyGa/zq8EMKDp5TXLqm5LwPPjuSiTb4L0fDEfZRNJds5q36Vf2sOnxqY+fPkoT/Ko&#10;y0f10/hSTl3iaFwW6ybyUchMrRdP64Oh/7opDpvt8kNxLE7/NgRclLze1NVj2bz7DwAAAP//AwBQ&#10;SwMEFAAGAAgAAAAhABgNBmzdAAAABQEAAA8AAABkcnMvZG93bnJldi54bWxMj0FLw0AQhe+C/2EZ&#10;wZvdpMUQ02xKKeqpCLaC9DbNTpPQ7GzIbpP037t6qZeBx3u8902+mkwrBupdY1lBPItAEJdWN1wp&#10;+Nq/PaUgnEfW2FomBVdysCru73LMtB35k4adr0QoYZehgtr7LpPSlTUZdDPbEQfvZHuDPsi+krrH&#10;MZSbVs6jKJEGGw4LNXa0qak87y5GwfuI43oRvw7b82lzPeyfP763MSn1+DCtlyA8Tf4Whl/8gA5F&#10;YDraC2snWgXhEf93g5fM0wTEUcFLmixAFrn8T1/8AAAA//8DAFBLAQItABQABgAIAAAAIQC2gziS&#10;/gAAAOEBAAATAAAAAAAAAAAAAAAAAAAAAABbQ29udGVudF9UeXBlc10ueG1sUEsBAi0AFAAGAAgA&#10;AAAhADj9If/WAAAAlAEAAAsAAAAAAAAAAAAAAAAALwEAAF9yZWxzLy5yZWxzUEsBAi0AFAAGAAgA&#10;AAAhAJUfy50eDAAAb4YAAA4AAAAAAAAAAAAAAAAALgIAAGRycy9lMm9Eb2MueG1sUEsBAi0AFAAG&#10;AAgAAAAhABgNBmzdAAAABQEAAA8AAAAAAAAAAAAAAAAAeA4AAGRycy9kb3ducmV2LnhtbFBLBQYA&#10;AAAABAAEAPMAAACCDwAAAAA=&#10;">
                <v:rect id="Rectangle 20578" o:spid="_x0000_s5238"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e4KwwAAAN4AAAAPAAAAZHJzL2Rvd25yZXYueG1sRE/LisIw&#10;FN0L/kO4gjtNFcaRahRRZLqYzfgAl5fm2labm9BEW+frzWJglofzXq47U4snNb6yrGAyTkAQ51ZX&#10;XCg4HfejOQgfkDXWlknBizysV/3eElNtW/6h5yEUIoawT1FBGYJLpfR5SQb92DriyF1tYzBE2BRS&#10;N9jGcFPLaZLMpMGKY0OJjrYl5ffDwyi47Nhl+1bm19+t+75l8/rrcTorNRx0mwWIQF34F/+5M61g&#10;mnx8xr3xTrwCcvUGAAD//wMAUEsBAi0AFAAGAAgAAAAhANvh9svuAAAAhQEAABMAAAAAAAAAAAAA&#10;AAAAAAAAAFtDb250ZW50X1R5cGVzXS54bWxQSwECLQAUAAYACAAAACEAWvQsW78AAAAVAQAACwAA&#10;AAAAAAAAAAAAAAAfAQAAX3JlbHMvLnJlbHNQSwECLQAUAAYACAAAACEAnKXuCsMAAADeAAAADwAA&#10;AAAAAAAAAAAAAAAHAgAAZHJzL2Rvd25yZXYueG1sUEsFBgAAAAADAAMAtwAAAPcCAAAAAA==&#10;" filled="f" stroked="f">
                  <v:textbox inset="0,0,0,0">
                    <w:txbxContent>
                      <w:p w14:paraId="791C2281" w14:textId="77777777" w:rsidR="00B32EF2" w:rsidRDefault="00000000">
                        <w:r>
                          <w:rPr>
                            <w:rFonts w:ascii="Times New Roman" w:eastAsia="Times New Roman" w:hAnsi="Times New Roman" w:cs="Times New Roman"/>
                          </w:rPr>
                          <w:t>42</w:t>
                        </w:r>
                      </w:p>
                    </w:txbxContent>
                  </v:textbox>
                </v:rect>
                <v:rect id="Rectangle 20579" o:spid="_x0000_s5239" style="position:absolute;left:15058;top:61199;width:81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UuRxwAAAN4AAAAPAAAAZHJzL2Rvd25yZXYueG1sRI9Ba8JA&#10;FITvQv/D8gredKNgtdFVRJHm4KXWQo+P7DOJZt8u2dWk/fVuQfA4zMw3zGLVmVrcqPGVZQWjYQKC&#10;OLe64kLB8Ws3mIHwAVljbZkU/JKH1fKlt8BU25Y/6XYIhYgQ9ikqKENwqZQ+L8mgH1pHHL2TbQyG&#10;KJtC6gbbCDe1HCfJmzRYcVwo0dGmpPxyuBoFP1t22a6V+elv4/bnbFZ/XI/fSvVfu/UcRKAuPMOP&#10;dqYVjJPJ9B3+78QrIJd3AAAA//8DAFBLAQItABQABgAIAAAAIQDb4fbL7gAAAIUBAAATAAAAAAAA&#10;AAAAAAAAAAAAAABbQ29udGVudF9UeXBlc10ueG1sUEsBAi0AFAAGAAgAAAAhAFr0LFu/AAAAFQEA&#10;AAsAAAAAAAAAAAAAAAAAHwEAAF9yZWxzLy5yZWxzUEsBAi0AFAAGAAgAAAAhAPPpS5HHAAAA3gAA&#10;AA8AAAAAAAAAAAAAAAAABwIAAGRycy9kb3ducmV2LnhtbFBLBQYAAAAAAwADALcAAAD7AgAAAAA=&#10;" filled="f" stroked="f">
                  <v:textbox inset="0,0,0,0">
                    <w:txbxContent>
                      <w:p w14:paraId="7A1BEDAF" w14:textId="77777777" w:rsidR="00B32EF2" w:rsidRDefault="00000000">
                        <w:r>
                          <w:rPr>
                            <w:rFonts w:ascii="Arial" w:eastAsia="Arial" w:hAnsi="Arial" w:cs="Arial"/>
                            <w:b/>
                            <w:sz w:val="18"/>
                          </w:rPr>
                          <w:t>Articolo 50</w:t>
                        </w:r>
                      </w:p>
                    </w:txbxContent>
                  </v:textbox>
                </v:rect>
                <v:rect id="Rectangle 201890" o:spid="_x0000_s5240" style="position:absolute;left:22110;top:59966;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fZ6xQAAAN8AAAAPAAAAZHJzL2Rvd25yZXYueG1sRI/LisIw&#10;FIb3A75DOIK7MdXFUKtRRJHpYjbewOWhObbV5iQ00dZ5erMYmOXPf+NbrHrTiCe1vrasYDJOQBAX&#10;VtdcKjgdd58pCB+QNTaWScGLPKyWg48FZtp2vKfnIZQijrDPUEEVgsuk9EVFBv3YOuLoXW1rMETZ&#10;llK32MVx08hpknxJgzXHhwodbSoq7oeHUXDZsst3nSyuvxv3c8vT5vtxOis1GvbrOYhAffgP/7Vz&#10;rWCaTNJZJIg8kQXk8g0AAP//AwBQSwECLQAUAAYACAAAACEA2+H2y+4AAACFAQAAEwAAAAAAAAAA&#10;AAAAAAAAAAAAW0NvbnRlbnRfVHlwZXNdLnhtbFBLAQItABQABgAIAAAAIQBa9CxbvwAAABUBAAAL&#10;AAAAAAAAAAAAAAAAAB8BAABfcmVscy8ucmVsc1BLAQItABQABgAIAAAAIQBpofZ6xQAAAN8AAAAP&#10;AAAAAAAAAAAAAAAAAAcCAABkcnMvZG93bnJldi54bWxQSwUGAAAAAAMAAwC3AAAA+QIAAAAA&#10;" filled="f" stroked="f">
                  <v:textbox inset="0,0,0,0">
                    <w:txbxContent>
                      <w:p w14:paraId="1B7311DE" w14:textId="77777777" w:rsidR="00B32EF2" w:rsidRDefault="00000000">
                        <w:r>
                          <w:rPr>
                            <w:rFonts w:ascii="Arial" w:eastAsia="Arial" w:hAnsi="Arial" w:cs="Arial"/>
                            <w:i/>
                            <w:sz w:val="18"/>
                          </w:rPr>
                          <w:t>(</w:t>
                        </w:r>
                      </w:p>
                    </w:txbxContent>
                  </v:textbox>
                </v:rect>
                <v:rect id="Rectangle 201891" o:spid="_x0000_s5241" style="position:absolute;left:-1446;top:59966;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VPhxwAAAN8AAAAPAAAAZHJzL2Rvd25yZXYueG1sRI9Ba8JA&#10;FITvBf/D8oTe6iYeSoyuIoqYQy9VCz0+ss8kmn27ZFeT9td3C4LHYWa+YRarwbTiTp1vLCtIJwkI&#10;4tLqhisFp+PuLQPhA7LG1jIp+CEPq+XoZYG5tj1/0v0QKhEh7HNUUIfgcil9WZNBP7GOOHpn2xkM&#10;UXaV1B32EW5aOU2Sd2mw4bhQo6NNTeX1cDMKvrfsil0vy/Pvxn1ciqzd305fSr2Oh/UcRKAhPMOP&#10;dqEVTJM0m6Xw/yd+Abn8AwAA//8DAFBLAQItABQABgAIAAAAIQDb4fbL7gAAAIUBAAATAAAAAAAA&#10;AAAAAAAAAAAAAABbQ29udGVudF9UeXBlc10ueG1sUEsBAi0AFAAGAAgAAAAhAFr0LFu/AAAAFQEA&#10;AAsAAAAAAAAAAAAAAAAAHwEAAF9yZWxzLy5yZWxzUEsBAi0AFAAGAAgAAAAhAAbtU+HHAAAA3wAA&#10;AA8AAAAAAAAAAAAAAAAABwIAAGRycy9kb3ducmV2LnhtbFBLBQYAAAAAAwADALcAAAD7AgAAAAA=&#10;" filled="f" stroked="f">
                  <v:textbox inset="0,0,0,0">
                    <w:txbxContent>
                      <w:p w14:paraId="00290F64" w14:textId="77777777" w:rsidR="00B32EF2" w:rsidRDefault="00000000">
                        <w:r>
                          <w:rPr>
                            <w:rFonts w:ascii="Arial" w:eastAsia="Arial" w:hAnsi="Arial" w:cs="Arial"/>
                            <w:i/>
                            <w:sz w:val="18"/>
                          </w:rPr>
                          <w:t>546/92)</w:t>
                        </w:r>
                      </w:p>
                    </w:txbxContent>
                  </v:textbox>
                </v:rect>
                <v:rect id="Rectangle 201892" o:spid="_x0000_s5242" style="position:absolute;left:12162;top:59966;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82WxwAAAN8AAAAPAAAAZHJzL2Rvd25yZXYueG1sRI9Ba8JA&#10;FITvgv9heUJvujGHElNXKYqYQy9VCz0+ss8kbfbtkl1N6q93C4LHYWa+YZbrwbTiSp1vLCuYzxIQ&#10;xKXVDVcKTsfdNAPhA7LG1jIp+CMP69V4tMRc254/6XoIlYgQ9jkqqENwuZS+rMmgn1lHHL2z7QyG&#10;KLtK6g77CDetTJPkVRpsOC7U6GhTU/l7uBgF31t2xa6X5fm2cR8/RdbuL6cvpV4mw/sbiEBDeIYf&#10;7UIrSJN5tkjh/0/8AnJ1BwAA//8DAFBLAQItABQABgAIAAAAIQDb4fbL7gAAAIUBAAATAAAAAAAA&#10;AAAAAAAAAAAAAABbQ29udGVudF9UeXBlc10ueG1sUEsBAi0AFAAGAAgAAAAhAFr0LFu/AAAAFQEA&#10;AAsAAAAAAAAAAAAAAAAAHwEAAF9yZWxzLy5yZWxzUEsBAi0AFAAGAAgAAAAhAPY/zZbHAAAA3wAA&#10;AA8AAAAAAAAAAAAAAAAABwIAAGRycy9kb3ducmV2LnhtbFBLBQYAAAAAAwADALcAAAD7AgAAAAA=&#10;" filled="f" stroked="f">
                  <v:textbox inset="0,0,0,0">
                    <w:txbxContent>
                      <w:p w14:paraId="3352D5B0" w14:textId="77777777" w:rsidR="00B32EF2" w:rsidRDefault="00000000">
                        <w:r>
                          <w:rPr>
                            <w:rFonts w:ascii="Arial" w:eastAsia="Arial" w:hAnsi="Arial" w:cs="Arial"/>
                            <w:i/>
                            <w:sz w:val="18"/>
                          </w:rPr>
                          <w:t xml:space="preserve">articolo 5 D.lgs. n. </w:t>
                        </w:r>
                      </w:p>
                    </w:txbxContent>
                  </v:textbox>
                </v:rect>
                <v:rect id="Rectangle 20581" o:spid="_x0000_s5243" style="position:absolute;left:13209;top:58733;width:1081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jewxgAAAN4AAAAPAAAAZHJzL2Rvd25yZXYueG1sRI9Ba8JA&#10;FITvQv/D8gredKNgCamriCLm0Es1hR4f2WeSmn27ZFeT+uvdQsHjMDPfMMv1YFpxo843lhXMpgkI&#10;4tLqhisFxWk/SUH4gKyxtUwKfsnDevUyWmKmbc+fdDuGSkQI+wwV1CG4TEpf1mTQT60jjt7ZdgZD&#10;lF0ldYd9hJtWzpPkTRpsOC7U6GhbU3k5Xo2C7x27fN/L8nzfuo+fPG0P1+JLqfHrsHkHEWgIz/B/&#10;O9cK5skincHfnXgF5OoBAAD//wMAUEsBAi0AFAAGAAgAAAAhANvh9svuAAAAhQEAABMAAAAAAAAA&#10;AAAAAAAAAAAAAFtDb250ZW50X1R5cGVzXS54bWxQSwECLQAUAAYACAAAACEAWvQsW78AAAAVAQAA&#10;CwAAAAAAAAAAAAAAAAAfAQAAX3JlbHMvLnJlbHNQSwECLQAUAAYACAAAACEAOEo3sMYAAADeAAAA&#10;DwAAAAAAAAAAAAAAAAAHAgAAZHJzL2Rvd25yZXYueG1sUEsFBgAAAAADAAMAtwAAAPoCAAAAAA==&#10;" filled="f" stroked="f">
                  <v:textbox inset="0,0,0,0">
                    <w:txbxContent>
                      <w:p w14:paraId="298F3171" w14:textId="77777777" w:rsidR="00B32EF2" w:rsidRDefault="00000000">
                        <w:r>
                          <w:rPr>
                            <w:rFonts w:ascii="Arial" w:eastAsia="Arial" w:hAnsi="Arial" w:cs="Arial"/>
                            <w:b/>
                            <w:sz w:val="18"/>
                          </w:rPr>
                          <w:t xml:space="preserve">Incompetenza </w:t>
                        </w:r>
                      </w:p>
                    </w:txbxContent>
                  </v:textbox>
                </v:rect>
                <v:rect id="Rectangle 201885" o:spid="_x0000_s5244" style="position:absolute;left:26109;top:574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8M/xwAAAN8AAAAPAAAAZHJzL2Rvd25yZXYueG1sRI9Ba8JA&#10;FITvBf/D8gRvdaOghOgqoog59KK10OMj+0yi2bdLdjVpf31XEHocZuYbZrnuTSMe1PrasoLJOAFB&#10;XFhdc6ng/Ll/T0H4gKyxsUwKfsjDejV4W2KmbcdHepxCKSKEfYYKqhBcJqUvKjLox9YRR+9iW4Mh&#10;yraUusUuwk0jp0kylwZrjgsVOtpWVNxOd6Pge8cu33eyuPxu3cc1T5vD/fyl1GjYbxYgAvXhP/xq&#10;51rBNJmk6Qyef+IXkKs/AAAA//8DAFBLAQItABQABgAIAAAAIQDb4fbL7gAAAIUBAAATAAAAAAAA&#10;AAAAAAAAAAAAAABbQ29udGVudF9UeXBlc10ueG1sUEsBAi0AFAAGAAgAAAAhAFr0LFu/AAAAFQEA&#10;AAsAAAAAAAAAAAAAAAAAHwEAAF9yZWxzLy5yZWxzUEsBAi0AFAAGAAgAAAAhAPwPwz/HAAAA3wAA&#10;AA8AAAAAAAAAAAAAAAAABwIAAGRycy9kb3ducmV2LnhtbFBLBQYAAAAAAwADALcAAAD7AgAAAAA=&#10;" filled="f" stroked="f">
                  <v:textbox inset="0,0,0,0">
                    <w:txbxContent>
                      <w:p w14:paraId="43DBB095" w14:textId="77777777" w:rsidR="00B32EF2" w:rsidRDefault="00000000">
                        <w:r>
                          <w:rPr>
                            <w:rFonts w:ascii="Arial" w:eastAsia="Arial" w:hAnsi="Arial" w:cs="Arial"/>
                            <w:sz w:val="18"/>
                          </w:rPr>
                          <w:t>1</w:t>
                        </w:r>
                      </w:p>
                    </w:txbxContent>
                  </v:textbox>
                </v:rect>
                <v:rect id="Rectangle 201886" o:spid="_x0000_s5245" style="position:absolute;left:-13764;top:57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V1IxgAAAN8AAAAPAAAAZHJzL2Rvd25yZXYueG1sRI9Pi8Iw&#10;FMTvgt8hvAVvmupBStco4iL24MV/4PHRPNuuzUtoou3upzcLCx6HmfkNs1j1phFPan1tWcF0koAg&#10;LqyuuVRwPm3HKQgfkDU2lknBD3lYLYeDBWbadnyg5zGUIkLYZ6igCsFlUvqiIoN+Yh1x9G62NRii&#10;bEupW+wi3DRyliRzabDmuFCho01Fxf34MAquX+zybSeL2+/G7b/ztNk9zhelRh/9+hNEoD68w//t&#10;XCuYJdM0ncPfn/gF5PIFAAD//wMAUEsBAi0AFAAGAAgAAAAhANvh9svuAAAAhQEAABMAAAAAAAAA&#10;AAAAAAAAAAAAAFtDb250ZW50X1R5cGVzXS54bWxQSwECLQAUAAYACAAAACEAWvQsW78AAAAVAQAA&#10;CwAAAAAAAAAAAAAAAAAfAQAAX3JlbHMvLnJlbHNQSwECLQAUAAYACAAAACEADN1dSMYAAADfAAAA&#10;DwAAAAAAAAAAAAAAAAAHAgAAZHJzL2Rvd25yZXYueG1sUEsFBgAAAAADAAMAtwAAAPoCAAAAAA==&#10;" filled="f" stroked="f">
                  <v:textbox inset="0,0,0,0">
                    <w:txbxContent>
                      <w:p w14:paraId="7A8168D4" w14:textId="77777777" w:rsidR="00B32EF2" w:rsidRDefault="00000000">
                        <w:r>
                          <w:rPr>
                            <w:rFonts w:ascii="Arial" w:eastAsia="Arial" w:hAnsi="Arial" w:cs="Arial"/>
                            <w:sz w:val="18"/>
                          </w:rPr>
                          <w:t xml:space="preserve">. La competenza delle corti di giustizia tributaria di primo e secondo grado è </w:t>
                        </w:r>
                      </w:p>
                    </w:txbxContent>
                  </v:textbox>
                </v:rect>
                <v:rect id="Rectangle 20583" o:spid="_x0000_s5246" style="position:absolute;left:31097;top:56266;width:88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AxcxwAAAN4AAAAPAAAAZHJzL2Rvd25yZXYueG1sRI9Pa8JA&#10;FMTvBb/D8gRvdaOlJURXEUWaQy/1D3h8ZJ9JNPt2ya4m9tN3CwWPw8z8hpkve9OIO7W+tqxgMk5A&#10;EBdW11wqOOy3rykIH5A1NpZJwYM8LBeDlzlm2nb8TfddKEWEsM9QQRWCy6T0RUUG/dg64uidbWsw&#10;RNmWUrfYRbhp5DRJPqTBmuNChY7WFRXX3c0oOG3Y5dtOFueftfu65GnzeTsclRoN+9UMRKA+PMP/&#10;7VwrmCbv6Rv83YlXQC5+AQAA//8DAFBLAQItABQABgAIAAAAIQDb4fbL7gAAAIUBAAATAAAAAAAA&#10;AAAAAAAAAAAAAABbQ29udGVudF9UeXBlc10ueG1sUEsBAi0AFAAGAAgAAAAhAFr0LFu/AAAAFQEA&#10;AAsAAAAAAAAAAAAAAAAAHwEAAF9yZWxzLy5yZWxzUEsBAi0AFAAGAAgAAAAhAKfUDFzHAAAA3gAA&#10;AA8AAAAAAAAAAAAAAAAABwIAAGRycy9kb3ducmV2LnhtbFBLBQYAAAAAAwADALcAAAD7AgAAAAA=&#10;" filled="f" stroked="f">
                  <v:textbox inset="0,0,0,0">
                    <w:txbxContent>
                      <w:p w14:paraId="6FBD3D50" w14:textId="77777777" w:rsidR="00B32EF2" w:rsidRDefault="00000000">
                        <w:r>
                          <w:rPr>
                            <w:rFonts w:ascii="Arial" w:eastAsia="Arial" w:hAnsi="Arial" w:cs="Arial"/>
                            <w:sz w:val="18"/>
                          </w:rPr>
                          <w:t>inderogabile.</w:t>
                        </w:r>
                      </w:p>
                    </w:txbxContent>
                  </v:textbox>
                </v:rect>
                <v:rect id="Rectangle 201882" o:spid="_x0000_s5247" style="position:absolute;left:26109;top:550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ltLxwAAAN8AAAAPAAAAZHJzL2Rvd25yZXYueG1sRI9Pi8Iw&#10;FMTvC36H8ARva2oPUqpRRBF78LL+AY+P5tl2t3kJTbTd/fSbhQWPw8z8hlmuB9OKJ3W+saxgNk1A&#10;EJdWN1wpuJz37xkIH5A1tpZJwTd5WK9Gb0vMte35g56nUIkIYZ+jgjoEl0vpy5oM+ql1xNG7285g&#10;iLKrpO6wj3DTyjRJ5tJgw3GhRkfbmsqv08MouO3YFftelvefrTt+Fll7eFyuSk3Gw2YBItAQXuH/&#10;dqEVpMksy1L4+xO/gFz9AgAA//8DAFBLAQItABQABgAIAAAAIQDb4fbL7gAAAIUBAAATAAAAAAAA&#10;AAAAAAAAAAAAAABbQ29udGVudF9UeXBlc10ueG1sUEsBAi0AFAAGAAgAAAAhAFr0LFu/AAAAFQEA&#10;AAsAAAAAAAAAAAAAAAAAHwEAAF9yZWxzLy5yZWxzUEsBAi0AFAAGAAgAAAAhAHPmW0vHAAAA3wAA&#10;AA8AAAAAAAAAAAAAAAAABwIAAGRycy9kb3ducmV2LnhtbFBLBQYAAAAAAwADALcAAAD7AgAAAAA=&#10;" filled="f" stroked="f">
                  <v:textbox inset="0,0,0,0">
                    <w:txbxContent>
                      <w:p w14:paraId="1D42B148" w14:textId="77777777" w:rsidR="00B32EF2" w:rsidRDefault="00000000">
                        <w:r>
                          <w:rPr>
                            <w:rFonts w:ascii="Arial" w:eastAsia="Arial" w:hAnsi="Arial" w:cs="Arial"/>
                            <w:sz w:val="18"/>
                          </w:rPr>
                          <w:t>2</w:t>
                        </w:r>
                      </w:p>
                    </w:txbxContent>
                  </v:textbox>
                </v:rect>
                <v:rect id="Rectangle 201883" o:spid="_x0000_s5248" style="position:absolute;left:-13818;top:550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7QxwAAAN8AAAAPAAAAZHJzL2Rvd25yZXYueG1sRI9Ba8JA&#10;FITvBf/D8gRvdaOChOgqoog59KK10OMj+0yi2bdLdjVpf31XEHocZuYbZrnuTSMe1PrasoLJOAFB&#10;XFhdc6ng/Ll/T0H4gKyxsUwKfsjDejV4W2KmbcdHepxCKSKEfYYKqhBcJqUvKjLox9YRR+9iW4Mh&#10;yraUusUuwk0jp0kylwZrjgsVOtpWVNxOd6Pge8cu33eyuPxu3cc1T5vD/fyl1GjYbxYgAvXhP/xq&#10;51rBNJmk6Qyef+IXkKs/AAAA//8DAFBLAQItABQABgAIAAAAIQDb4fbL7gAAAIUBAAATAAAAAAAA&#10;AAAAAAAAAAAAAABbQ29udGVudF9UeXBlc10ueG1sUEsBAi0AFAAGAAgAAAAhAFr0LFu/AAAAFQEA&#10;AAsAAAAAAAAAAAAAAAAAHwEAAF9yZWxzLy5yZWxzUEsBAi0AFAAGAAgAAAAhAByq/tDHAAAA3wAA&#10;AA8AAAAAAAAAAAAAAAAABwIAAGRycy9kb3ducmV2LnhtbFBLBQYAAAAAAwADALcAAAD7AgAAAAA=&#10;" filled="f" stroked="f">
                  <v:textbox inset="0,0,0,0">
                    <w:txbxContent>
                      <w:p w14:paraId="3886E982" w14:textId="77777777" w:rsidR="00B32EF2" w:rsidRDefault="00000000">
                        <w:r>
                          <w:rPr>
                            <w:rFonts w:ascii="Arial" w:eastAsia="Arial" w:hAnsi="Arial" w:cs="Arial"/>
                            <w:sz w:val="18"/>
                          </w:rPr>
                          <w:t xml:space="preserve">. L’incompetenza della corte di giustizia tributaria di primo e secondo grado è </w:t>
                        </w:r>
                      </w:p>
                    </w:txbxContent>
                  </v:textbox>
                </v:rect>
                <v:rect id="Rectangle 20585" o:spid="_x0000_s5249" style="position:absolute;left:-8149;top:53799;width:480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TGzxgAAAN4AAAAPAAAAZHJzL2Rvd25yZXYueG1sRI9Ba8JA&#10;FITvBf/D8oTe6kbBEqKriCLNwUvVQo+P7DOJZt8u2dXE/vquIHgcZuYbZr7sTSNu1PrasoLxKAFB&#10;XFhdc6ngeNh+pCB8QNbYWCYFd/KwXAze5php2/E33fahFBHCPkMFVQguk9IXFRn0I+uIo3eyrcEQ&#10;ZVtK3WIX4aaRkyT5lAZrjgsVOlpXVFz2V6Pgd8Mu33ayOP2t3e6cp83X9fij1PuwX81ABOrDK/xs&#10;51rBJJmmU3jciVdALv4BAAD//wMAUEsBAi0AFAAGAAgAAAAhANvh9svuAAAAhQEAABMAAAAAAAAA&#10;AAAAAAAAAAAAAFtDb250ZW50X1R5cGVzXS54bWxQSwECLQAUAAYACAAAACEAWvQsW78AAAAVAQAA&#10;CwAAAAAAAAAAAAAAAAAfAQAAX3JlbHMvLnJlbHNQSwECLQAUAAYACAAAACEAR3Exs8YAAADeAAAA&#10;DwAAAAAAAAAAAAAAAAAHAgAAZHJzL2Rvd25yZXYueG1sUEsFBgAAAAADAAMAtwAAAPoCAAAAAA==&#10;" filled="f" stroked="f">
                  <v:textbox inset="0,0,0,0">
                    <w:txbxContent>
                      <w:p w14:paraId="16F37D9E" w14:textId="77777777" w:rsidR="00B32EF2" w:rsidRDefault="00000000">
                        <w:r>
                          <w:rPr>
                            <w:rFonts w:ascii="Arial" w:eastAsia="Arial" w:hAnsi="Arial" w:cs="Arial"/>
                            <w:sz w:val="18"/>
                          </w:rPr>
                          <w:t>rilevabile, anche d’ufficio, soltanto nel grado al quale il vizio si riferisce.</w:t>
                        </w:r>
                      </w:p>
                    </w:txbxContent>
                  </v:textbox>
                </v:rect>
                <v:rect id="Rectangle 201880" o:spid="_x0000_s5250" style="position:absolute;left:26109;top:525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GCnxgAAAN8AAAAPAAAAZHJzL2Rvd25yZXYueG1sRI+7asMw&#10;FIb3Qt5BnEC2Rk6GYlwroSSEeOiSNIWOB+v40lpHwpIvydNXQ6Hjz3/jy/ez6cRIvW8tK9isExDE&#10;pdUt1wpuH6fnFIQPyBo7y6TgTh72u8VTjpm2E19ovIZaxBH2GSpoQnCZlL5syKBfW0ccvcr2BkOU&#10;fS11j1McN53cJsmLNNhyfGjQ0aGh8uc6GAVfR3bFaZJl9Ti49+8i7c7D7VOp1XJ+ewURaA7/4b92&#10;oRVsk02aRoLIE1lA7n4BAAD//wMAUEsBAi0AFAAGAAgAAAAhANvh9svuAAAAhQEAABMAAAAAAAAA&#10;AAAAAAAAAAAAAFtDb250ZW50X1R5cGVzXS54bWxQSwECLQAUAAYACAAAACEAWvQsW78AAAAVAQAA&#10;CwAAAAAAAAAAAAAAAAAfAQAAX3JlbHMvLnJlbHNQSwECLQAUAAYACAAAACEA7Hhgp8YAAADfAAAA&#10;DwAAAAAAAAAAAAAAAAAHAgAAZHJzL2Rvd25yZXYueG1sUEsFBgAAAAADAAMAtwAAAPoCAAAAAA==&#10;" filled="f" stroked="f">
                  <v:textbox inset="0,0,0,0">
                    <w:txbxContent>
                      <w:p w14:paraId="68329285" w14:textId="77777777" w:rsidR="00B32EF2" w:rsidRDefault="00000000">
                        <w:r>
                          <w:rPr>
                            <w:rFonts w:ascii="Arial" w:eastAsia="Arial" w:hAnsi="Arial" w:cs="Arial"/>
                            <w:sz w:val="18"/>
                          </w:rPr>
                          <w:t>3</w:t>
                        </w:r>
                      </w:p>
                    </w:txbxContent>
                  </v:textbox>
                </v:rect>
                <v:rect id="Rectangle 201881" o:spid="_x0000_s5251" style="position:absolute;left:-13818;top:525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MU8xwAAAN8AAAAPAAAAZHJzL2Rvd25yZXYueG1sRI9Pi8Iw&#10;FMTvC36H8ARva1oPUqpRRBF78LL+AY+P5tl2t3kJTbTd/fSbhQWPw8z8hlmuB9OKJ3W+sawgnSYg&#10;iEurG64UXM779wyED8gaW8uk4Js8rFejtyXm2vb8Qc9TqESEsM9RQR2Cy6X0ZU0G/dQ64ujdbWcw&#10;RNlVUnfYR7hp5SxJ5tJgw3GhRkfbmsqv08MouO3YFftelvefrTt+Fll7eFyuSk3Gw2YBItAQXuH/&#10;dqEVzJI0y1L4+xO/gFz9AgAA//8DAFBLAQItABQABgAIAAAAIQDb4fbL7gAAAIUBAAATAAAAAAAA&#10;AAAAAAAAAAAAAABbQ29udGVudF9UeXBlc10ueG1sUEsBAi0AFAAGAAgAAAAhAFr0LFu/AAAAFQEA&#10;AAsAAAAAAAAAAAAAAAAAHwEAAF9yZWxzLy5yZWxzUEsBAi0AFAAGAAgAAAAhAIM0xTzHAAAA3wAA&#10;AA8AAAAAAAAAAAAAAAAABwIAAGRycy9kb3ducmV2LnhtbFBLBQYAAAAAAwADALcAAAD7AgAAAAA=&#10;" filled="f" stroked="f">
                  <v:textbox inset="0,0,0,0">
                    <w:txbxContent>
                      <w:p w14:paraId="6B20CC8C" w14:textId="77777777" w:rsidR="00B32EF2" w:rsidRDefault="00000000">
                        <w:r>
                          <w:rPr>
                            <w:rFonts w:ascii="Arial" w:eastAsia="Arial" w:hAnsi="Arial" w:cs="Arial"/>
                            <w:sz w:val="18"/>
                          </w:rPr>
                          <w:t xml:space="preserve">. La sentenza della corte di giustizia tributaria di primo e secondo grado che </w:t>
                        </w:r>
                      </w:p>
                    </w:txbxContent>
                  </v:textbox>
                </v:rect>
                <v:rect id="Rectangle 20587" o:spid="_x0000_s5252" style="position:absolute;left:-12210;top:51333;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wpfxwAAAN4AAAAPAAAAZHJzL2Rvd25yZXYueG1sRI9Pa8JA&#10;FMTvBb/D8gRvdaPQNkRXEUWaQy/1D3h8ZJ9JNPt2ya4m9tN3CwWPw8z8hpkve9OIO7W+tqxgMk5A&#10;EBdW11wqOOy3rykIH5A1NpZJwYM8LBeDlzlm2nb8TfddKEWEsM9QQRWCy6T0RUUG/dg64uidbWsw&#10;RNmWUrfYRbhp5DRJ3qXBmuNChY7WFRXX3c0oOG3Y5dtOFueftfu65GnzeTsclRoN+9UMRKA+PMP/&#10;7VwrmCZv6Qf83YlXQC5+AQAA//8DAFBLAQItABQABgAIAAAAIQDb4fbL7gAAAIUBAAATAAAAAAAA&#10;AAAAAAAAAAAAAABbQ29udGVudF9UeXBlc10ueG1sUEsBAi0AFAAGAAgAAAAhAFr0LFu/AAAAFQEA&#10;AAsAAAAAAAAAAAAAAAAAHwEAAF9yZWxzLy5yZWxzUEsBAi0AFAAGAAgAAAAhANjvCl/HAAAA3gAA&#10;AA8AAAAAAAAAAAAAAAAABwIAAGRycy9kb3ducmV2LnhtbFBLBQYAAAAAAwADALcAAAD7AgAAAAA=&#10;" filled="f" stroked="f">
                  <v:textbox inset="0,0,0,0">
                    <w:txbxContent>
                      <w:p w14:paraId="096D0DE8" w14:textId="77777777" w:rsidR="00B32EF2" w:rsidRDefault="00000000">
                        <w:r>
                          <w:rPr>
                            <w:rFonts w:ascii="Arial" w:eastAsia="Arial" w:hAnsi="Arial" w:cs="Arial"/>
                            <w:sz w:val="18"/>
                          </w:rPr>
                          <w:t>dichiara la propria incompetenza rende incontestabile l’incompetenza dichia</w:t>
                        </w:r>
                      </w:p>
                    </w:txbxContent>
                  </v:textbox>
                </v:rect>
                <v:rect id="Rectangle 20588" o:spid="_x0000_s5253" style="position:absolute;left:191;top:513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J4twwAAAN4AAAAPAAAAZHJzL2Rvd25yZXYueG1sRE/LisIw&#10;FN0L8w/hDsxO0xGUUo0iDmIXs/EFLi/Nta02N6GJtjNfbxaCy8N5z5e9acSDWl9bVvA9SkAQF1bX&#10;XCo4HjbDFIQPyBoby6TgjzwsFx+DOWbadryjxz6UIoawz1BBFYLLpPRFRQb9yDriyF1sazBE2JZS&#10;t9jFcNPIcZJMpcGaY0OFjtYVFbf93Sg4/7DLN50sLv9r93vN02Z7P56U+vrsVzMQgfrwFr/cuVYw&#10;TiZp3BvvxCsgF08AAAD//wMAUEsBAi0AFAAGAAgAAAAhANvh9svuAAAAhQEAABMAAAAAAAAAAAAA&#10;AAAAAAAAAFtDb250ZW50X1R5cGVzXS54bWxQSwECLQAUAAYACAAAACEAWvQsW78AAAAVAQAACwAA&#10;AAAAAAAAAAAAAAAfAQAAX3JlbHMvLnJlbHNQSwECLQAUAAYACAAAACEAqXCeLcMAAADeAAAADwAA&#10;AAAAAAAAAAAAAAAHAgAAZHJzL2Rvd25yZXYueG1sUEsFBgAAAAADAAMAtwAAAPcCAAAAAA==&#10;" filled="f" stroked="f">
                  <v:textbox inset="0,0,0,0">
                    <w:txbxContent>
                      <w:p w14:paraId="2507E01B" w14:textId="77777777" w:rsidR="00B32EF2" w:rsidRDefault="00000000">
                        <w:r>
                          <w:rPr>
                            <w:rFonts w:ascii="Arial" w:eastAsia="Arial" w:hAnsi="Arial" w:cs="Arial"/>
                            <w:sz w:val="18"/>
                          </w:rPr>
                          <w:t>-</w:t>
                        </w:r>
                      </w:p>
                    </w:txbxContent>
                  </v:textbox>
                </v:rect>
                <v:rect id="Rectangle 20589" o:spid="_x0000_s5254" style="position:absolute;left:-12209;top:50099;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Du2xwAAAN4AAAAPAAAAZHJzL2Rvd25yZXYueG1sRI9Pa8JA&#10;FMTvBb/D8gRvdaPQEqOriCLNoZf6Bzw+ss8kmn27ZFcT++m7hUKPw8z8hlmsetOIB7W+tqxgMk5A&#10;EBdW11wqOB52rykIH5A1NpZJwZM8rJaDlwVm2nb8RY99KEWEsM9QQRWCy6T0RUUG/dg64uhdbGsw&#10;RNmWUrfYRbhp5DRJ3qXBmuNChY42FRW3/d0oOG/Z5btOFpfvjfu85mnzcT+elBoN+/UcRKA+/If/&#10;2rlWME3e0hn83olXQC5/AAAA//8DAFBLAQItABQABgAIAAAAIQDb4fbL7gAAAIUBAAATAAAAAAAA&#10;AAAAAAAAAAAAAABbQ29udGVudF9UeXBlc10ueG1sUEsBAi0AFAAGAAgAAAAhAFr0LFu/AAAAFQEA&#10;AAsAAAAAAAAAAAAAAAAAHwEAAF9yZWxzLy5yZWxzUEsBAi0AFAAGAAgAAAAhAMY8O7bHAAAA3gAA&#10;AA8AAAAAAAAAAAAAAAAABwIAAGRycy9kb3ducmV2LnhtbFBLBQYAAAAAAwADALcAAAD7AgAAAAA=&#10;" filled="f" stroked="f">
                  <v:textbox inset="0,0,0,0">
                    <w:txbxContent>
                      <w:p w14:paraId="72074ED1" w14:textId="77777777" w:rsidR="00B32EF2" w:rsidRDefault="00000000">
                        <w:r>
                          <w:rPr>
                            <w:rFonts w:ascii="Arial" w:eastAsia="Arial" w:hAnsi="Arial" w:cs="Arial"/>
                            <w:sz w:val="18"/>
                          </w:rPr>
                          <w:t>rata e la competenza della corte di giustizia tributaria di primo e secondo gra</w:t>
                        </w:r>
                      </w:p>
                    </w:txbxContent>
                  </v:textbox>
                </v:rect>
                <v:rect id="Rectangle 20590" o:spid="_x0000_s5255" style="position:absolute;left:191;top:500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wT2xgAAAN4AAAAPAAAAZHJzL2Rvd25yZXYueG1sRI/NasJA&#10;FIX3Qt9huIXudNJAxaaOUlKkWbhptNDlJXNNopk7Q2ZMok/fWRS6PJw/vvV2Mp0YqPetZQXPiwQE&#10;cWV1y7WC42E3X4HwAVljZ5kU3MjDdvMwW2Om7chfNJShFnGEfYYKmhBcJqWvGjLoF9YRR+9ke4Mh&#10;yr6WuscxjptOpkmylAZbjg8NOsobqi7l1Sj4+WBX7EZZne6525+LVfd5PX4r9fQ4vb+BCDSF//Bf&#10;u9AK0uTlNQJEnIgCcvMLAAD//wMAUEsBAi0AFAAGAAgAAAAhANvh9svuAAAAhQEAABMAAAAAAAAA&#10;AAAAAAAAAAAAAFtDb250ZW50X1R5cGVzXS54bWxQSwECLQAUAAYACAAAACEAWvQsW78AAAAVAQAA&#10;CwAAAAAAAAAAAAAAAAAfAQAAX3JlbHMvLnJlbHNQSwECLQAUAAYACAAAACEA0t8E9sYAAADeAAAA&#10;DwAAAAAAAAAAAAAAAAAHAgAAZHJzL2Rvd25yZXYueG1sUEsFBgAAAAADAAMAtwAAAPoCAAAAAA==&#10;" filled="f" stroked="f">
                  <v:textbox inset="0,0,0,0">
                    <w:txbxContent>
                      <w:p w14:paraId="293D1342" w14:textId="77777777" w:rsidR="00B32EF2" w:rsidRDefault="00000000">
                        <w:r>
                          <w:rPr>
                            <w:rFonts w:ascii="Arial" w:eastAsia="Arial" w:hAnsi="Arial" w:cs="Arial"/>
                            <w:sz w:val="18"/>
                          </w:rPr>
                          <w:t>-</w:t>
                        </w:r>
                      </w:p>
                    </w:txbxContent>
                  </v:textbox>
                </v:rect>
                <v:rect id="Rectangle 20591" o:spid="_x0000_s5256" style="position:absolute;left:-9611;top:48866;width:495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6FtxwAAAN4AAAAPAAAAZHJzL2Rvd25yZXYueG1sRI9Pi8Iw&#10;FMTvC36H8ARva6qwi1ajiCLbg5f1D3h8NM+22ryEJtrqp98sLOxxmJnfMPNlZ2rxoMZXlhWMhgkI&#10;4tzqigsFx8P2fQLCB2SNtWVS8CQPy0XvbY6pti1/02MfChEh7FNUUIbgUil9XpJBP7SOOHoX2xgM&#10;UTaF1A22EW5qOU6ST2mw4rhQoqN1SfltfzcKzht22baV+eW1drtrNqm/7seTUoN+t5qBCNSF//Bf&#10;O9MKxsnHdAS/d+IVkIsfAAAA//8DAFBLAQItABQABgAIAAAAIQDb4fbL7gAAAIUBAAATAAAAAAAA&#10;AAAAAAAAAAAAAABbQ29udGVudF9UeXBlc10ueG1sUEsBAi0AFAAGAAgAAAAhAFr0LFu/AAAAFQEA&#10;AAsAAAAAAAAAAAAAAAAAHwEAAF9yZWxzLy5yZWxzUEsBAi0AFAAGAAgAAAAhAL2ToW3HAAAA3gAA&#10;AA8AAAAAAAAAAAAAAAAABwIAAGRycy9kb3ducmV2LnhtbFBLBQYAAAAAAwADALcAAAD7AgAAAAA=&#10;" filled="f" stroked="f">
                  <v:textbox inset="0,0,0,0">
                    <w:txbxContent>
                      <w:p w14:paraId="7261922E" w14:textId="77777777" w:rsidR="00B32EF2" w:rsidRDefault="00000000">
                        <w:r>
                          <w:rPr>
                            <w:rFonts w:ascii="Arial" w:eastAsia="Arial" w:hAnsi="Arial" w:cs="Arial"/>
                            <w:sz w:val="18"/>
                          </w:rPr>
                          <w:t>do in essa indicata, se il processo viene riassunto a norma del comma 5.</w:t>
                        </w:r>
                      </w:p>
                    </w:txbxContent>
                  </v:textbox>
                </v:rect>
                <v:rect id="Rectangle 201879" o:spid="_x0000_s5257" style="position:absolute;left:-12841;top:47633;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7kdyAAAAN8AAAAPAAAAZHJzL2Rvd25yZXYueG1sRI9Pa8JA&#10;FMTvgt9heYK3utFDjamriCLNoZf6B3p8ZJ9J2uzbJbua2E/vFgoeh5n5DbNc96YRN2p9bVnBdJKA&#10;IC6srrlUcDruX1IQPiBrbCyTgjt5WK+GgyVm2nb8SbdDKEWEsM9QQRWCy6T0RUUG/cQ64uhdbGsw&#10;RNmWUrfYRbhp5CxJXqXBmuNChY62FRU/h6tR8LVjl+87WVx+t+7jO0+b9+vprNR41G/eQATqwzP8&#10;3861glkyTecL+PsTv4BcPQAAAP//AwBQSwECLQAUAAYACAAAACEA2+H2y+4AAACFAQAAEwAAAAAA&#10;AAAAAAAAAAAAAAAAW0NvbnRlbnRfVHlwZXNdLnhtbFBLAQItABQABgAIAAAAIQBa9CxbvwAAABUB&#10;AAALAAAAAAAAAAAAAAAAAB8BAABfcmVscy8ucmVsc1BLAQItABQABgAIAAAAIQBIl7kdyAAAAN8A&#10;AAAPAAAAAAAAAAAAAAAAAAcCAABkcnMvZG93bnJldi54bWxQSwUGAAAAAAMAAwC3AAAA/AIAAAAA&#10;" filled="f" stroked="f">
                  <v:textbox inset="0,0,0,0">
                    <w:txbxContent>
                      <w:p w14:paraId="28A4CFD5" w14:textId="77777777" w:rsidR="00B32EF2" w:rsidRDefault="00000000">
                        <w:r>
                          <w:rPr>
                            <w:rFonts w:ascii="Arial" w:eastAsia="Arial" w:hAnsi="Arial" w:cs="Arial"/>
                            <w:sz w:val="18"/>
                          </w:rPr>
                          <w:t>. Non si applicano le disposizioni del codice di procedura civile sui regola</w:t>
                        </w:r>
                      </w:p>
                    </w:txbxContent>
                  </v:textbox>
                </v:rect>
                <v:rect id="Rectangle 201878" o:spid="_x0000_s5258" style="position:absolute;left:26348;top:47633;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xyGxAAAAN8AAAAPAAAAZHJzL2Rvd25yZXYueG1sRE/LisIw&#10;FN0P+A/hCu7GVBczpRpFFJkuZuMLXF6aa1ttbkITbZ2vN4sBl4fzni9704gHtb62rGAyTkAQF1bX&#10;XCo4HrafKQgfkDU2lknBkzwsF4OPOWbadryjxz6UIoawz1BBFYLLpPRFRQb92DriyF1sazBE2JZS&#10;t9jFcNPIaZJ8SYM1x4YKHa0rKm77u1Fw3rDLt50sLn9r93vN0+bnfjwpNRr2qxmIQH14i//duVYw&#10;TSbpdxwc/8QvIBcvAAAA//8DAFBLAQItABQABgAIAAAAIQDb4fbL7gAAAIUBAAATAAAAAAAAAAAA&#10;AAAAAAAAAABbQ29udGVudF9UeXBlc10ueG1sUEsBAi0AFAAGAAgAAAAhAFr0LFu/AAAAFQEAAAsA&#10;AAAAAAAAAAAAAAAAHwEAAF9yZWxzLy5yZWxzUEsBAi0AFAAGAAgAAAAhACfbHIbEAAAA3wAAAA8A&#10;AAAAAAAAAAAAAAAABwIAAGRycy9kb3ducmV2LnhtbFBLBQYAAAAAAwADALcAAAD4AgAAAAA=&#10;" filled="f" stroked="f">
                  <v:textbox inset="0,0,0,0">
                    <w:txbxContent>
                      <w:p w14:paraId="224FA1E1" w14:textId="77777777" w:rsidR="00B32EF2" w:rsidRDefault="00000000">
                        <w:r>
                          <w:rPr>
                            <w:rFonts w:ascii="Arial" w:eastAsia="Arial" w:hAnsi="Arial" w:cs="Arial"/>
                            <w:sz w:val="18"/>
                          </w:rPr>
                          <w:t>4</w:t>
                        </w:r>
                      </w:p>
                    </w:txbxContent>
                  </v:textbox>
                </v:rect>
                <v:rect id="Rectangle 20593" o:spid="_x0000_s5259" style="position:absolute;left:191;top:476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ZqBxwAAAN4AAAAPAAAAZHJzL2Rvd25yZXYueG1sRI9Ba8JA&#10;FITvQv/D8gredKNSsdFVRJHm4KXWQo+P7DOJZt8u2dWk/fVuQfA4zMw3zGLVmVrcqPGVZQWjYQKC&#10;OLe64kLB8Ws3mIHwAVljbZkU/JKH1fKlt8BU25Y/6XYIhYgQ9ikqKENwqZQ+L8mgH1pHHL2TbQyG&#10;KJtC6gbbCDe1HCfJVBqsOC6U6GhTUn45XI2Cny27bNfK/PS3cftzNqs/rsdvpfqv3XoOIlAXnuFH&#10;O9MKxsnb+wT+78QrIJd3AAAA//8DAFBLAQItABQABgAIAAAAIQDb4fbL7gAAAIUBAAATAAAAAAAA&#10;AAAAAAAAAAAAAABbQ29udGVudF9UeXBlc10ueG1sUEsBAi0AFAAGAAgAAAAhAFr0LFu/AAAAFQEA&#10;AAsAAAAAAAAAAAAAAAAAHwEAAF9yZWxzLy5yZWxzUEsBAi0AFAAGAAgAAAAhACINmoHHAAAA3gAA&#10;AA8AAAAAAAAAAAAAAAAABwIAAGRycy9kb3ducmV2LnhtbFBLBQYAAAAAAwADALcAAAD7AgAAAAA=&#10;" filled="f" stroked="f">
                  <v:textbox inset="0,0,0,0">
                    <w:txbxContent>
                      <w:p w14:paraId="38953363" w14:textId="77777777" w:rsidR="00B32EF2" w:rsidRDefault="00000000">
                        <w:r>
                          <w:rPr>
                            <w:rFonts w:ascii="Arial" w:eastAsia="Arial" w:hAnsi="Arial" w:cs="Arial"/>
                            <w:sz w:val="18"/>
                          </w:rPr>
                          <w:t>-</w:t>
                        </w:r>
                      </w:p>
                    </w:txbxContent>
                  </v:textbox>
                </v:rect>
                <v:rect id="Rectangle 20594" o:spid="_x0000_s5260" style="position:absolute;left:25317;top:46400;width:1460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AL1xwAAAN4AAAAPAAAAZHJzL2Rvd25yZXYueG1sRI9Ba8JA&#10;FITvQv/D8gredKNYsdFVRJHm4KXWQo+P7DOJZt8u2dWk/fVuQfA4zMw3zGLVmVrcqPGVZQWjYQKC&#10;OLe64kLB8Ws3mIHwAVljbZkU/JKH1fKlt8BU25Y/6XYIhYgQ9ikqKENwqZQ+L8mgH1pHHL2TbQyG&#10;KJtC6gbbCDe1HCfJVBqsOC6U6GhTUn45XI2Cny27bNfK/PS3cftzNqs/rsdvpfqv3XoOIlAXnuFH&#10;O9MKxsnb+wT+78QrIJd3AAAA//8DAFBLAQItABQABgAIAAAAIQDb4fbL7gAAAIUBAAATAAAAAAAA&#10;AAAAAAAAAAAAAABbQ29udGVudF9UeXBlc10ueG1sUEsBAi0AFAAGAAgAAAAhAFr0LFu/AAAAFQEA&#10;AAsAAAAAAAAAAAAAAAAAHwEAAF9yZWxzLy5yZWxzUEsBAi0AFAAGAAgAAAAhAK3kAvXHAAAA3gAA&#10;AA8AAAAAAAAAAAAAAAAABwIAAGRycy9kb3ducmV2LnhtbFBLBQYAAAAAAwADALcAAAD7AgAAAAA=&#10;" filled="f" stroked="f">
                  <v:textbox inset="0,0,0,0">
                    <w:txbxContent>
                      <w:p w14:paraId="2DCD135E" w14:textId="77777777" w:rsidR="00B32EF2" w:rsidRDefault="00000000">
                        <w:r>
                          <w:rPr>
                            <w:rFonts w:ascii="Arial" w:eastAsia="Arial" w:hAnsi="Arial" w:cs="Arial"/>
                            <w:sz w:val="18"/>
                          </w:rPr>
                          <w:t>menti di competenza.</w:t>
                        </w:r>
                      </w:p>
                    </w:txbxContent>
                  </v:textbox>
                </v:rect>
                <v:rect id="Rectangle 201877" o:spid="_x0000_s5261" style="position:absolute;left:-12849;top:45166;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Ij0xwAAAN8AAAAPAAAAZHJzL2Rvd25yZXYueG1sRI9Ba8JA&#10;FITvBf/D8gRvdaOHGqKriCLNwUutgsdH9plEs2+X7Gqiv75bKPQ4zMw3zGLVm0Y8qPW1ZQWTcQKC&#10;uLC65lLB8Xv3noLwAVljY5kUPMnDajl4W2Cmbcdf9DiEUkQI+wwVVCG4TEpfVGTQj60jjt7FtgZD&#10;lG0pdYtdhJtGTpPkQxqsOS5U6GhTUXE73I2C85ZdvutkcXlt3P6ap83n/XhSajTs13MQgfrwH/5r&#10;51rBNJmksxn8/olfQC5/AAAA//8DAFBLAQItABQABgAIAAAAIQDb4fbL7gAAAIUBAAATAAAAAAAA&#10;AAAAAAAAAAAAAABbQ29udGVudF9UeXBlc10ueG1sUEsBAi0AFAAGAAgAAAAhAFr0LFu/AAAAFQEA&#10;AAsAAAAAAAAAAAAAAAAAHwEAAF9yZWxzLy5yZWxzUEsBAi0AFAAGAAgAAAAhAFZEiPTHAAAA3wAA&#10;AA8AAAAAAAAAAAAAAAAABwIAAGRycy9kb3ducmV2LnhtbFBLBQYAAAAAAwADALcAAAD7AgAAAAA=&#10;" filled="f" stroked="f">
                  <v:textbox inset="0,0,0,0">
                    <w:txbxContent>
                      <w:p w14:paraId="7B38F3D5" w14:textId="77777777" w:rsidR="00B32EF2" w:rsidRDefault="00000000">
                        <w:r>
                          <w:rPr>
                            <w:rFonts w:ascii="Arial" w:eastAsia="Arial" w:hAnsi="Arial" w:cs="Arial"/>
                            <w:sz w:val="18"/>
                          </w:rPr>
                          <w:t>. La riassunzione del processo davanti alla corte di giustizia tributaria di pri</w:t>
                        </w:r>
                      </w:p>
                    </w:txbxContent>
                  </v:textbox>
                </v:rect>
                <v:rect id="Rectangle 201876" o:spid="_x0000_s5262" style="position:absolute;left:26349;top:45166;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C1vxwAAAN8AAAAPAAAAZHJzL2Rvd25yZXYueG1sRI9Pi8Iw&#10;FMTvC36H8Bb2tqZ60FKNsiiyPXjxH3h8NM+2u81LaKKt++k3guBxmJnfMPNlbxpxo9bXlhWMhgkI&#10;4sLqmksFx8PmMwXhA7LGxjIpuJOH5WLwNsdM2453dNuHUkQI+wwVVCG4TEpfVGTQD60jjt7FtgZD&#10;lG0pdYtdhJtGjpNkIg3WHBcqdLSqqPjdX42C85pdvulkcflbue1Pnjbf1+NJqY/3/msGIlAfXuFn&#10;O9cKxskonU7g8Sd+Abn4BwAA//8DAFBLAQItABQABgAIAAAAIQDb4fbL7gAAAIUBAAATAAAAAAAA&#10;AAAAAAAAAAAAAABbQ29udGVudF9UeXBlc10ueG1sUEsBAi0AFAAGAAgAAAAhAFr0LFu/AAAAFQEA&#10;AAsAAAAAAAAAAAAAAAAAHwEAAF9yZWxzLy5yZWxzUEsBAi0AFAAGAAgAAAAhADkILW/HAAAA3wAA&#10;AA8AAAAAAAAAAAAAAAAABwIAAGRycy9kb3ducmV2LnhtbFBLBQYAAAAAAwADALcAAAD7AgAAAAA=&#10;" filled="f" stroked="f">
                  <v:textbox inset="0,0,0,0">
                    <w:txbxContent>
                      <w:p w14:paraId="3C467D88" w14:textId="77777777" w:rsidR="00B32EF2" w:rsidRDefault="00000000">
                        <w:r>
                          <w:rPr>
                            <w:rFonts w:ascii="Arial" w:eastAsia="Arial" w:hAnsi="Arial" w:cs="Arial"/>
                            <w:sz w:val="18"/>
                          </w:rPr>
                          <w:t>5</w:t>
                        </w:r>
                      </w:p>
                    </w:txbxContent>
                  </v:textbox>
                </v:rect>
                <v:rect id="Rectangle 20596" o:spid="_x0000_s5263" style="position:absolute;left:191;top:451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jkZxgAAAN4AAAAPAAAAZHJzL2Rvd25yZXYueG1sRI9Pi8Iw&#10;FMTvC36H8ARva7qCotUoi4tsD3vxH3h8NM+22ryEJtrqp98IC3scZuY3zGLVmVrcqfGVZQUfwwQE&#10;cW51xYWCw37zPgXhA7LG2jIpeJCH1bL3tsBU25a3dN+FQkQI+xQVlCG4VEqfl2TQD60jjt7ZNgZD&#10;lE0hdYNthJtajpJkIg1WHBdKdLQuKb/ubkbB6Ytdtmllfn6u3c8lm9bft8NRqUG/+5yDCNSF//Bf&#10;O9MKRsl4NoHXnXgF5PIXAAD//wMAUEsBAi0AFAAGAAgAAAAhANvh9svuAAAAhQEAABMAAAAAAAAA&#10;AAAAAAAAAAAAAFtDb250ZW50X1R5cGVzXS54bWxQSwECLQAUAAYACAAAACEAWvQsW78AAAAVAQAA&#10;CwAAAAAAAAAAAAAAAAAfAQAAX3JlbHMvLnJlbHNQSwECLQAUAAYACAAAACEAMno5GcYAAADeAAAA&#10;DwAAAAAAAAAAAAAAAAAHAgAAZHJzL2Rvd25yZXYueG1sUEsFBgAAAAADAAMAtwAAAPoCAAAAAA==&#10;" filled="f" stroked="f">
                  <v:textbox inset="0,0,0,0">
                    <w:txbxContent>
                      <w:p w14:paraId="036C8F01" w14:textId="77777777" w:rsidR="00B32EF2" w:rsidRDefault="00000000">
                        <w:r>
                          <w:rPr>
                            <w:rFonts w:ascii="Arial" w:eastAsia="Arial" w:hAnsi="Arial" w:cs="Arial"/>
                            <w:sz w:val="18"/>
                          </w:rPr>
                          <w:t>-</w:t>
                        </w:r>
                      </w:p>
                    </w:txbxContent>
                  </v:textbox>
                </v:rect>
                <v:rect id="Rectangle 20597" o:spid="_x0000_s5264" style="position:absolute;left:-13172;top:439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pyCxwAAAN4AAAAPAAAAZHJzL2Rvd25yZXYueG1sRI9Ba8JA&#10;FITvQv/D8gredKNgtdFVRJHm4KXWQo+P7DOJZt8u2dWk/fVuQfA4zMw3zGLVmVrcqPGVZQWjYQKC&#10;OLe64kLB8Ws3mIHwAVljbZkU/JKH1fKlt8BU25Y/6XYIhYgQ9ikqKENwqZQ+L8mgH1pHHL2TbQyG&#10;KJtC6gbbCDe1HCfJmzRYcVwo0dGmpPxyuBoFP1t22a6V+elv4/bnbFZ/XI/fSvVfu/UcRKAuPMOP&#10;dqYVjJPJ+xT+78QrIJd3AAAA//8DAFBLAQItABQABgAIAAAAIQDb4fbL7gAAAIUBAAATAAAAAAAA&#10;AAAAAAAAAAAAAABbQ29udGVudF9UeXBlc10ueG1sUEsBAi0AFAAGAAgAAAAhAFr0LFu/AAAAFQEA&#10;AAsAAAAAAAAAAAAAAAAAHwEAAF9yZWxzLy5yZWxzUEsBAi0AFAAGAAgAAAAhAF02nILHAAAA3gAA&#10;AA8AAAAAAAAAAAAAAAAABwIAAGRycy9kb3ducmV2LnhtbFBLBQYAAAAAAwADALcAAAD7AgAAAAA=&#10;" filled="f" stroked="f">
                  <v:textbox inset="0,0,0,0">
                    <w:txbxContent>
                      <w:p w14:paraId="5F8C5260" w14:textId="77777777" w:rsidR="00B32EF2" w:rsidRDefault="00000000">
                        <w:r>
                          <w:rPr>
                            <w:rFonts w:ascii="Arial" w:eastAsia="Arial" w:hAnsi="Arial" w:cs="Arial"/>
                            <w:sz w:val="18"/>
                          </w:rPr>
                          <w:t xml:space="preserve">mo e secondo grado dichiarata competente deve essere effettuata a istanza </w:t>
                        </w:r>
                      </w:p>
                    </w:txbxContent>
                  </v:textbox>
                </v:rect>
                <v:rect id="Rectangle 20598" o:spid="_x0000_s5265" style="position:absolute;left:-13172;top:427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jwxQAAAN4AAAAPAAAAZHJzL2Rvd25yZXYueG1sRE/Pa8Iw&#10;FL4L+x/CG+ym6QoT1xlldMh68LLqYMdH82yrzUtoYlv965fDYMeP7/d6O5lODNT71rKC50UCgriy&#10;uuVawfGwm69A+ICssbNMCm7kYbt5mK0x03bkLxrKUIsYwj5DBU0ILpPSVw0Z9AvriCN3sr3BEGFf&#10;S93jGMNNJ9MkWUqDLceGBh3lDVWX8moU/HywK3ajrE733O3Pxar7vB6/lXp6nN7fQASawr/4z11o&#10;BWny8hr3xjvxCsjNLwAAAP//AwBQSwECLQAUAAYACAAAACEA2+H2y+4AAACFAQAAEwAAAAAAAAAA&#10;AAAAAAAAAAAAW0NvbnRlbnRfVHlwZXNdLnhtbFBLAQItABQABgAIAAAAIQBa9CxbvwAAABUBAAAL&#10;AAAAAAAAAAAAAAAAAB8BAABfcmVscy8ucmVsc1BLAQItABQABgAIAAAAIQAsqQjwxQAAAN4AAAAP&#10;AAAAAAAAAAAAAAAAAAcCAABkcnMvZG93bnJldi54bWxQSwUGAAAAAAMAAwC3AAAA+QIAAAAA&#10;" filled="f" stroked="f">
                  <v:textbox inset="0,0,0,0">
                    <w:txbxContent>
                      <w:p w14:paraId="4FB33237" w14:textId="77777777" w:rsidR="00B32EF2" w:rsidRDefault="00000000">
                        <w:r>
                          <w:rPr>
                            <w:rFonts w:ascii="Arial" w:eastAsia="Arial" w:hAnsi="Arial" w:cs="Arial"/>
                            <w:sz w:val="18"/>
                          </w:rPr>
                          <w:t xml:space="preserve">di parte nel termine fissato nella sentenza o in mancanza nel termine di sei </w:t>
                        </w:r>
                      </w:p>
                    </w:txbxContent>
                  </v:textbox>
                </v:rect>
                <v:rect id="Rectangle 20599" o:spid="_x0000_s5266" style="position:absolute;left:-13172;top:414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a1rxwAAAN4AAAAPAAAAZHJzL2Rvd25yZXYueG1sRI9Pi8Iw&#10;FMTvgt8hPGFvmq6wi1ajLIrYw17WP+Dx0TzbavMSmmirn36zsOBxmJnfMPNlZ2pxp8ZXlhW8jxIQ&#10;xLnVFRcKDvvNcALCB2SNtWVS8CAPy0W/N8dU25Z/6L4LhYgQ9ikqKENwqZQ+L8mgH1lHHL2zbQyG&#10;KJtC6gbbCDe1HCfJpzRYcVwo0dGqpPy6uxkFpzW7bNPK/Pxcue9LNqm3t8NRqbdB9zUDEagLr/B/&#10;O9MKxsnHdAp/d+IVkItfAAAA//8DAFBLAQItABQABgAIAAAAIQDb4fbL7gAAAIUBAAATAAAAAAAA&#10;AAAAAAAAAAAAAABbQ29udGVudF9UeXBlc10ueG1sUEsBAi0AFAAGAAgAAAAhAFr0LFu/AAAAFQEA&#10;AAsAAAAAAAAAAAAAAAAAHwEAAF9yZWxzLy5yZWxzUEsBAi0AFAAGAAgAAAAhAEPlrWvHAAAA3gAA&#10;AA8AAAAAAAAAAAAAAAAABwIAAGRycy9kb3ducmV2LnhtbFBLBQYAAAAAAwADALcAAAD7AgAAAAA=&#10;" filled="f" stroked="f">
                  <v:textbox inset="0,0,0,0">
                    <w:txbxContent>
                      <w:p w14:paraId="4012B004" w14:textId="77777777" w:rsidR="00B32EF2" w:rsidRDefault="00000000">
                        <w:r>
                          <w:rPr>
                            <w:rFonts w:ascii="Arial" w:eastAsia="Arial" w:hAnsi="Arial" w:cs="Arial"/>
                            <w:sz w:val="18"/>
                          </w:rPr>
                          <w:t xml:space="preserve">mesi dalla comunicazione della sentenza stessa. Se la riassunzione avviene </w:t>
                        </w:r>
                      </w:p>
                    </w:txbxContent>
                  </v:textbox>
                </v:rect>
                <v:rect id="Rectangle 20600" o:spid="_x0000_s5267" style="position:absolute;left:-13172;top:402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PANxAAAAN4AAAAPAAAAZHJzL2Rvd25yZXYueG1sRI/NisIw&#10;FIX3A75DuIK7MdGFSDWKKGIXbnQcmOWlubbV5iY00VaffrIYmOXh/PEt171txJPaUDvWMBkrEMSF&#10;MzWXGi5f+885iBCRDTaOScOLAqxXg48lZsZ1fKLnOZYijXDIUEMVo8+kDEVFFsPYeeLkXV1rMSbZ&#10;ltK02KVx28ipUjNpseb0UKGnbUXF/fywGn527PN9J4vre+uPt3zeHB6Xb61Hw36zABGpj//hv3Zu&#10;NEzVTCWAhJNQQK5+AQAA//8DAFBLAQItABQABgAIAAAAIQDb4fbL7gAAAIUBAAATAAAAAAAAAAAA&#10;AAAAAAAAAABbQ29udGVudF9UeXBlc10ueG1sUEsBAi0AFAAGAAgAAAAhAFr0LFu/AAAAFQEAAAsA&#10;AAAAAAAAAAAAAAAAHwEAAF9yZWxzLy5yZWxzUEsBAi0AFAAGAAgAAAAhAOHw8A3EAAAA3gAAAA8A&#10;AAAAAAAAAAAAAAAABwIAAGRycy9kb3ducmV2LnhtbFBLBQYAAAAAAwADALcAAAD4AgAAAAA=&#10;" filled="f" stroked="f">
                  <v:textbox inset="0,0,0,0">
                    <w:txbxContent>
                      <w:p w14:paraId="55D4A682" w14:textId="77777777" w:rsidR="00B32EF2" w:rsidRDefault="00000000">
                        <w:r>
                          <w:rPr>
                            <w:rFonts w:ascii="Arial" w:eastAsia="Arial" w:hAnsi="Arial" w:cs="Arial"/>
                            <w:sz w:val="18"/>
                          </w:rPr>
                          <w:t xml:space="preserve">nei termini suindicati il processo continua davanti alla nuova corte di giustizia </w:t>
                        </w:r>
                      </w:p>
                    </w:txbxContent>
                  </v:textbox>
                </v:rect>
                <v:rect id="Rectangle 20601" o:spid="_x0000_s5268" style="position:absolute;left:18552;top:38836;width:213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FWWxgAAAN4AAAAPAAAAZHJzL2Rvd25yZXYueG1sRI9BawIx&#10;FITvgv8hPKE3N9GDyNYoRRH30ItWweNj89zddvMSNtHd9tebQqHHYWa+YVabwbbiQV1oHGuYZQoE&#10;celMw5WG88d+ugQRIrLB1jFp+KYAm/V4tMLcuJ6P9DjFSiQIhxw11DH6XMpQ1mQxZM4TJ+/mOosx&#10;ya6SpsM+wW0r50otpMWG00KNnrY1lV+nu9Vw3bEv9r0sbz9b//5ZLNvD/XzR+mUyvL2CiDTE//Bf&#10;uzAa5mqhZvB7J10BuX4CAAD//wMAUEsBAi0AFAAGAAgAAAAhANvh9svuAAAAhQEAABMAAAAAAAAA&#10;AAAAAAAAAAAAAFtDb250ZW50X1R5cGVzXS54bWxQSwECLQAUAAYACAAAACEAWvQsW78AAAAVAQAA&#10;CwAAAAAAAAAAAAAAAAAfAQAAX3JlbHMvLnJlbHNQSwECLQAUAAYACAAAACEAjrxVlsYAAADeAAAA&#10;DwAAAAAAAAAAAAAAAAAHAgAAZHJzL2Rvd25yZXYueG1sUEsFBgAAAAADAAMAtwAAAPoCAAAAAA==&#10;" filled="f" stroked="f">
                  <v:textbox inset="0,0,0,0">
                    <w:txbxContent>
                      <w:p w14:paraId="7F46D0F7" w14:textId="77777777" w:rsidR="00B32EF2" w:rsidRDefault="00000000">
                        <w:r>
                          <w:rPr>
                            <w:rFonts w:ascii="Arial" w:eastAsia="Arial" w:hAnsi="Arial" w:cs="Arial"/>
                            <w:sz w:val="18"/>
                          </w:rPr>
                          <w:t>tributaria, altrimenti si estingue.</w:t>
                        </w:r>
                      </w:p>
                    </w:txbxContent>
                  </v:textbox>
                </v:rect>
                <v:rect id="Rectangle 20602" o:spid="_x0000_s5269" style="position:absolute;left:15103;top:36043;width:80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hxgAAAN4AAAAPAAAAZHJzL2Rvd25yZXYueG1sRI9BawIx&#10;FITvhf6H8AreatI9iGyNIop0D15qFXp8bJ67q5uXsInu6q9vBKHHYWa+YWaLwbbiSl1oHGv4GCsQ&#10;xKUzDVca9j+b9ymIEJENto5Jw40CLOavLzPMjev5m667WIkE4ZCjhjpGn0sZyposhrHzxMk7us5i&#10;TLKrpOmwT3DbykypibTYcFqo0dOqpvK8u1gNv2v2xaaX5fG+8ttTMW2/LvuD1qO3YfkJItIQ/8PP&#10;dmE0ZGqiMnjcSVdAzv8AAAD//wMAUEsBAi0AFAAGAAgAAAAhANvh9svuAAAAhQEAABMAAAAAAAAA&#10;AAAAAAAAAAAAAFtDb250ZW50X1R5cGVzXS54bWxQSwECLQAUAAYACAAAACEAWvQsW78AAAAVAQAA&#10;CwAAAAAAAAAAAAAAAAAfAQAAX3JlbHMvLnJlbHNQSwECLQAUAAYACAAAACEAfm7L4cYAAADeAAAA&#10;DwAAAAAAAAAAAAAAAAAHAgAAZHJzL2Rvd25yZXYueG1sUEsFBgAAAAADAAMAtwAAAPoCAAAAAA==&#10;" filled="f" stroked="f">
                  <v:textbox inset="0,0,0,0">
                    <w:txbxContent>
                      <w:p w14:paraId="4D9E1917" w14:textId="77777777" w:rsidR="00B32EF2" w:rsidRDefault="00000000">
                        <w:r>
                          <w:rPr>
                            <w:rFonts w:ascii="Arial" w:eastAsia="Arial" w:hAnsi="Arial" w:cs="Arial"/>
                            <w:b/>
                            <w:sz w:val="18"/>
                          </w:rPr>
                          <w:t>Articolo 51</w:t>
                        </w:r>
                      </w:p>
                    </w:txbxContent>
                  </v:textbox>
                </v:rect>
                <v:rect id="Rectangle 201875" o:spid="_x0000_s5270" style="position:absolute;left:12162;top:34646;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rMYyAAAAN8AAAAPAAAAZHJzL2Rvd25yZXYueG1sRI9Pa8JA&#10;FMTvgt9heYI33SjUhtRVRJHm0Ev9Az0+ss8kbfbtkl1N7Kd3CwWPw8z8hlmue9OIG7W+tqxgNk1A&#10;EBdW11wqOB33kxSED8gaG8uk4E4e1qvhYImZth1/0u0QShEh7DNUUIXgMil9UZFBP7WOOHoX2xoM&#10;Ubal1C12EW4aOU+ShTRYc1yo0NG2ouLncDUKvnbs8n0ni8vv1n1852nzfj2dlRqP+s0biEB9eIb/&#10;27lWME9m6esL/P2JX0CuHgAAAP//AwBQSwECLQAUAAYACAAAACEA2+H2y+4AAACFAQAAEwAAAAAA&#10;AAAAAAAAAAAAAAAAW0NvbnRlbnRfVHlwZXNdLnhtbFBLAQItABQABgAIAAAAIQBa9CxbvwAAABUB&#10;AAALAAAAAAAAAAAAAAAAAB8BAABfcmVscy8ucmVsc1BLAQItABQABgAIAAAAIQDJ2rMYyAAAAN8A&#10;AAAPAAAAAAAAAAAAAAAAAAcCAABkcnMvZG93bnJldi54bWxQSwUGAAAAAAMAAwC3AAAA/AIAAAAA&#10;" filled="f" stroked="f">
                  <v:textbox inset="0,0,0,0">
                    <w:txbxContent>
                      <w:p w14:paraId="2C37A8D4" w14:textId="77777777" w:rsidR="00B32EF2" w:rsidRDefault="00000000">
                        <w:r>
                          <w:rPr>
                            <w:rFonts w:ascii="Arial" w:eastAsia="Arial" w:hAnsi="Arial" w:cs="Arial"/>
                            <w:i/>
                            <w:sz w:val="18"/>
                          </w:rPr>
                          <w:t xml:space="preserve">articolo 6 D.lgs. n. </w:t>
                        </w:r>
                      </w:p>
                    </w:txbxContent>
                  </v:textbox>
                </v:rect>
                <v:rect id="Rectangle 201873" o:spid="_x0000_s5271" style="position:absolute;left:22110;top:34646;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473yAAAAN8AAAAPAAAAZHJzL2Rvd25yZXYueG1sRI9Pa8JA&#10;FMTvgt9heYI33WjBhtRVRJHm0Ev9Az0+ss8kbfbtkl1N7Kd3CwWPw8z8hlmue9OIG7W+tqxgNk1A&#10;EBdW11wqOB33kxSED8gaG8uk4E4e1qvhYImZth1/0u0QShEh7DNUUIXgMil9UZFBP7WOOHoX2xoM&#10;Ubal1C12EW4aOU+ShTRYc1yo0NG2ouLncDUKvnbs8n0ni8vv1n1852nzfj2dlRqP+s0biEB9eIb/&#10;27lWME9m6esL/P2JX0CuHgAAAP//AwBQSwECLQAUAAYACAAAACEA2+H2y+4AAACFAQAAEwAAAAAA&#10;AAAAAAAAAAAAAAAAW0NvbnRlbnRfVHlwZXNdLnhtbFBLAQItABQABgAIAAAAIQBa9CxbvwAAABUB&#10;AAALAAAAAAAAAAAAAAAAAB8BAABfcmVscy8ucmVsc1BLAQItABQABgAIAAAAIQApf473yAAAAN8A&#10;AAAPAAAAAAAAAAAAAAAAAAcCAABkcnMvZG93bnJldi54bWxQSwUGAAAAAAMAAwC3AAAA/AIAAAAA&#10;" filled="f" stroked="f">
                  <v:textbox inset="0,0,0,0">
                    <w:txbxContent>
                      <w:p w14:paraId="3E9AE7DD" w14:textId="77777777" w:rsidR="00B32EF2" w:rsidRDefault="00000000">
                        <w:r>
                          <w:rPr>
                            <w:rFonts w:ascii="Arial" w:eastAsia="Arial" w:hAnsi="Arial" w:cs="Arial"/>
                            <w:i/>
                            <w:sz w:val="18"/>
                          </w:rPr>
                          <w:t>(</w:t>
                        </w:r>
                      </w:p>
                    </w:txbxContent>
                  </v:textbox>
                </v:rect>
                <v:rect id="Rectangle 201874" o:spid="_x0000_s5272" style="position:absolute;left:-1446;top:34646;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haDyAAAAN8AAAAPAAAAZHJzL2Rvd25yZXYueG1sRI9Pa8JA&#10;FMTvgt9heYI33SjFhtRVRJHm0Ev9Az0+ss8kbfbtkl1N7Kd3CwWPw8z8hlmue9OIG7W+tqxgNk1A&#10;EBdW11wqOB33kxSED8gaG8uk4E4e1qvhYImZth1/0u0QShEh7DNUUIXgMil9UZFBP7WOOHoX2xoM&#10;Ubal1C12EW4aOU+ShTRYc1yo0NG2ouLncDUKvnbs8n0ni8vv1n1852nzfj2dlRqP+s0biEB9eIb/&#10;27lWME9m6esL/P2JX0CuHgAAAP//AwBQSwECLQAUAAYACAAAACEA2+H2y+4AAACFAQAAEwAAAAAA&#10;AAAAAAAAAAAAAAAAW0NvbnRlbnRfVHlwZXNdLnhtbFBLAQItABQABgAIAAAAIQBa9CxbvwAAABUB&#10;AAALAAAAAAAAAAAAAAAAAB8BAABfcmVscy8ucmVsc1BLAQItABQABgAIAAAAIQCmlhaDyAAAAN8A&#10;AAAPAAAAAAAAAAAAAAAAAAcCAABkcnMvZG93bnJldi54bWxQSwUGAAAAAAMAAwC3AAAA/AIAAAAA&#10;" filled="f" stroked="f">
                  <v:textbox inset="0,0,0,0">
                    <w:txbxContent>
                      <w:p w14:paraId="2988A244" w14:textId="77777777" w:rsidR="00B32EF2" w:rsidRDefault="00000000">
                        <w:r>
                          <w:rPr>
                            <w:rFonts w:ascii="Arial" w:eastAsia="Arial" w:hAnsi="Arial" w:cs="Arial"/>
                            <w:i/>
                            <w:sz w:val="18"/>
                          </w:rPr>
                          <w:t>546/92)</w:t>
                        </w:r>
                      </w:p>
                    </w:txbxContent>
                  </v:textbox>
                </v:rect>
                <v:rect id="Rectangle 20604" o:spid="_x0000_s5273" style="position:absolute;left:-11891;top:33249;width:512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YOxgAAAN4AAAAPAAAAZHJzL2Rvd25yZXYueG1sRI9BawIx&#10;FITvBf9DeIK3mihFZGuUokj34KVqocfH5rm77eYlbKK7+usbQfA4zMw3zGLV20ZcqA21Yw2TsQJB&#10;XDhTc6nheNi+zkGEiGywcUwarhRgtRy8LDAzruMvuuxjKRKEQ4Yaqhh9JmUoKrIYxs4TJ+/kWosx&#10;ybaUpsUuwW0jp0rNpMWa00KFntYVFX/7s9Xws2GfbztZnG5rv/vN583n+fit9WjYf7yDiNTHZ/jR&#10;zo2GqZqpN7jfSVdALv8BAAD//wMAUEsBAi0AFAAGAAgAAAAhANvh9svuAAAAhQEAABMAAAAAAAAA&#10;AAAAAAAAAAAAAFtDb250ZW50X1R5cGVzXS54bWxQSwECLQAUAAYACAAAACEAWvQsW78AAAAVAQAA&#10;CwAAAAAAAAAAAAAAAAAfAQAAX3JlbHMvLnJlbHNQSwECLQAUAAYACAAAACEAnsv2DsYAAADeAAAA&#10;DwAAAAAAAAAAAAAAAAAHAgAAZHJzL2Rvd25yZXYueG1sUEsFBgAAAAADAAMAtwAAAPoCAAAAAA==&#10;" filled="f" stroked="f">
                  <v:textbox inset="0,0,0,0">
                    <w:txbxContent>
                      <w:p w14:paraId="3581D554" w14:textId="77777777" w:rsidR="00B32EF2" w:rsidRDefault="00000000">
                        <w:r>
                          <w:rPr>
                            <w:rFonts w:ascii="Arial" w:eastAsia="Arial" w:hAnsi="Arial" w:cs="Arial"/>
                            <w:b/>
                            <w:sz w:val="18"/>
                          </w:rPr>
                          <w:t>Astensione e ricusazione dei componenti delle corti di giustizia tribu-</w:t>
                        </w:r>
                      </w:p>
                    </w:txbxContent>
                  </v:textbox>
                </v:rect>
                <v:rect id="Rectangle 20605" o:spid="_x0000_s5274" style="position:absolute;left:5573;top:31853;width:230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1OVxgAAAN4AAAAPAAAAZHJzL2Rvd25yZXYueG1sRI9BawIx&#10;FITvBf9DeIK3mihUZGuUokj34KVqocfH5rm77eYlbKK7+usbQfA4zMw3zGLV20ZcqA21Yw2TsQJB&#10;XDhTc6nheNi+zkGEiGywcUwarhRgtRy8LDAzruMvuuxjKRKEQ4Yaqhh9JmUoKrIYxs4TJ+/kWosx&#10;ybaUpsUuwW0jp0rNpMWa00KFntYVFX/7s9Xws2GfbztZnG5rv/vN583n+fit9WjYf7yDiNTHZ/jR&#10;zo2GqZqpN7jfSVdALv8BAAD//wMAUEsBAi0AFAAGAAgAAAAhANvh9svuAAAAhQEAABMAAAAAAAAA&#10;AAAAAAAAAAAAAFtDb250ZW50X1R5cGVzXS54bWxQSwECLQAUAAYACAAAACEAWvQsW78AAAAVAQAA&#10;CwAAAAAAAAAAAAAAAAAfAQAAX3JlbHMvLnJlbHNQSwECLQAUAAYACAAAACEA8YdTlcYAAADeAAAA&#10;DwAAAAAAAAAAAAAAAAAHAgAAZHJzL2Rvd25yZXYueG1sUEsFBgAAAAADAAMAtwAAAPoCAAAAAA==&#10;" filled="f" stroked="f">
                  <v:textbox inset="0,0,0,0">
                    <w:txbxContent>
                      <w:p w14:paraId="7F8E7FBB" w14:textId="77777777" w:rsidR="00B32EF2" w:rsidRDefault="00000000">
                        <w:r>
                          <w:rPr>
                            <w:rFonts w:ascii="Arial" w:eastAsia="Arial" w:hAnsi="Arial" w:cs="Arial"/>
                            <w:b/>
                            <w:sz w:val="18"/>
                          </w:rPr>
                          <w:t xml:space="preserve">taria di primo e secondo grado </w:t>
                        </w:r>
                      </w:p>
                    </w:txbxContent>
                  </v:textbox>
                </v:rect>
                <v:rect id="Rectangle 201871" o:spid="_x0000_s5275" style="position:absolute;left:-13764;top:3045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bUbxwAAAN8AAAAPAAAAZHJzL2Rvd25yZXYueG1sRI9Ba8JA&#10;FITvgv9heUJvuomHNqSuUhQxh16qFnp8ZJ9J2uzbJbua1F/vCoLHYWa+YRarwbTiQp1vLCtIZwkI&#10;4tLqhisFx8N2moHwAVlja5kU/JOH1XI8WmCubc9fdNmHSkQI+xwV1CG4XEpf1mTQz6wjjt7JdgZD&#10;lF0ldYd9hJtWzpPkVRpsOC7U6GhdU/m3PxsFPxt2xbaX5em6dp+/RdbuzsdvpV4mw8c7iEBDeIYf&#10;7UIrmCdp9pbC/U/8AnJ5AwAA//8DAFBLAQItABQABgAIAAAAIQDb4fbL7gAAAIUBAAATAAAAAAAA&#10;AAAAAAAAAAAAAABbQ29udGVudF9UeXBlc10ueG1sUEsBAi0AFAAGAAgAAAAhAFr0LFu/AAAAFQEA&#10;AAsAAAAAAAAAAAAAAAAAHwEAAF9yZWxzLy5yZWxzUEsBAi0AFAAGAAgAAAAhALbhtRvHAAAA3wAA&#10;AA8AAAAAAAAAAAAAAAAABwIAAGRycy9kb3ducmV2LnhtbFBLBQYAAAAAAwADALcAAAD7AgAAAAA=&#10;" filled="f" stroked="f">
                  <v:textbox inset="0,0,0,0">
                    <w:txbxContent>
                      <w:p w14:paraId="2AFDBB6A" w14:textId="77777777" w:rsidR="00B32EF2" w:rsidRDefault="00000000">
                        <w:r>
                          <w:rPr>
                            <w:rFonts w:ascii="Arial" w:eastAsia="Arial" w:hAnsi="Arial" w:cs="Arial"/>
                            <w:sz w:val="18"/>
                          </w:rPr>
                          <w:t xml:space="preserve">. L’astensione e la ricusazione dei componenti delle corti di giustizia tributaria </w:t>
                        </w:r>
                      </w:p>
                    </w:txbxContent>
                  </v:textbox>
                </v:rect>
                <v:rect id="Rectangle 201870" o:spid="_x0000_s5276" style="position:absolute;left:26109;top:3045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RCAxQAAAN8AAAAPAAAAZHJzL2Rvd25yZXYueG1sRI/LisIw&#10;FIb3A75DOIK7MdXFTKlGEUWmi9l4A5eH5thWm5PQRFvn6c1iwOXPf+ObL3vTiAe1vrasYDJOQBAX&#10;VtdcKjgetp8pCB+QNTaWScGTPCwXg485Ztp2vKPHPpQijrDPUEEVgsuk9EVFBv3YOuLoXWxrMETZ&#10;llK32MVx08hpknxJgzXHhwodrSsqbvu7UXDesMu3nSwuf2v3e83T5ud+PCk1GvarGYhAfXiH/9u5&#10;VjBNJul3JIg8kQXk4gUAAP//AwBQSwECLQAUAAYACAAAACEA2+H2y+4AAACFAQAAEwAAAAAAAAAA&#10;AAAAAAAAAAAAW0NvbnRlbnRfVHlwZXNdLnhtbFBLAQItABQABgAIAAAAIQBa9CxbvwAAABUBAAAL&#10;AAAAAAAAAAAAAAAAAB8BAABfcmVscy8ucmVsc1BLAQItABQABgAIAAAAIQDZrRCAxQAAAN8AAAAP&#10;AAAAAAAAAAAAAAAAAAcCAABkcnMvZG93bnJldi54bWxQSwUGAAAAAAMAAwC3AAAA+QIAAAAA&#10;" filled="f" stroked="f">
                  <v:textbox inset="0,0,0,0">
                    <w:txbxContent>
                      <w:p w14:paraId="4C9D61D9" w14:textId="77777777" w:rsidR="00B32EF2" w:rsidRDefault="00000000">
                        <w:r>
                          <w:rPr>
                            <w:rFonts w:ascii="Arial" w:eastAsia="Arial" w:hAnsi="Arial" w:cs="Arial"/>
                            <w:sz w:val="18"/>
                          </w:rPr>
                          <w:t>1</w:t>
                        </w:r>
                      </w:p>
                    </w:txbxContent>
                  </v:textbox>
                </v:rect>
                <v:rect id="Rectangle 20607" o:spid="_x0000_s5277" style="position:absolute;left:-13172;top:2905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Wh5xwAAAN4AAAAPAAAAZHJzL2Rvd25yZXYueG1sRI9PawIx&#10;FMTvBb9DeIK3mujBytYoRRH30Ev9Ax4fm+futpuXsInu1k9vCgWPw8z8hlmsetuIG7WhdqxhMlYg&#10;iAtnai41HA/b1zmIEJENNo5Jwy8FWC0HLwvMjOv4i277WIoE4ZChhipGn0kZiooshrHzxMm7uNZi&#10;TLItpWmxS3DbyKlSM2mx5rRQoad1RcXP/mo1nDfs820ni8t97T+/83mzux5PWo+G/cc7iEh9fIb/&#10;27nRMFUz9QZ/d9IVkMsHAAAA//8DAFBLAQItABQABgAIAAAAIQDb4fbL7gAAAIUBAAATAAAAAAAA&#10;AAAAAAAAAAAAAABbQ29udGVudF9UeXBlc10ueG1sUEsBAi0AFAAGAAgAAAAhAFr0LFu/AAAAFQEA&#10;AAsAAAAAAAAAAAAAAAAAHwEAAF9yZWxzLy5yZWxzUEsBAi0AFAAGAAgAAAAhAG4ZaHnHAAAA3gAA&#10;AA8AAAAAAAAAAAAAAAAABwIAAGRycy9kb3ducmV2LnhtbFBLBQYAAAAAAwADALcAAAD7AgAAAAA=&#10;" filled="f" stroked="f">
                  <v:textbox inset="0,0,0,0">
                    <w:txbxContent>
                      <w:p w14:paraId="6CFD9014" w14:textId="77777777" w:rsidR="00B32EF2" w:rsidRDefault="00000000">
                        <w:r>
                          <w:rPr>
                            <w:rFonts w:ascii="Arial" w:eastAsia="Arial" w:hAnsi="Arial" w:cs="Arial"/>
                            <w:sz w:val="18"/>
                          </w:rPr>
                          <w:t xml:space="preserve">di primo e secondo grado sono disciplinate dalle disposizioni del codice di </w:t>
                        </w:r>
                      </w:p>
                    </w:txbxContent>
                  </v:textbox>
                </v:rect>
                <v:rect id="Rectangle 20608" o:spid="_x0000_s5278" style="position:absolute;left:14746;top:27662;width:251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vwLwgAAAN4AAAAPAAAAZHJzL2Rvd25yZXYueG1sRE9Ni8Iw&#10;EL0v+B/CCN7WRA8i1SiiiD140XVhj0MzttVmEppoq79+c1jY4+N9L9e9bcST2lA71jAZKxDEhTM1&#10;lxouX/vPOYgQkQ02jknDiwKsV4OPJWbGdXyi5zmWIoVwyFBDFaPPpAxFRRbD2HnixF1dazEm2JbS&#10;tNilcNvIqVIzabHm1FChp21Fxf38sBp+duzzfSeL63vrj7d83hwel2+tR8N+swARqY//4j93bjRM&#10;1UylvelOugJy9QsAAP//AwBQSwECLQAUAAYACAAAACEA2+H2y+4AAACFAQAAEwAAAAAAAAAAAAAA&#10;AAAAAAAAW0NvbnRlbnRfVHlwZXNdLnhtbFBLAQItABQABgAIAAAAIQBa9CxbvwAAABUBAAALAAAA&#10;AAAAAAAAAAAAAB8BAABfcmVscy8ucmVsc1BLAQItABQABgAIAAAAIQAfhvwLwgAAAN4AAAAPAAAA&#10;AAAAAAAAAAAAAAcCAABkcnMvZG93bnJldi54bWxQSwUGAAAAAAMAAwC3AAAA9gIAAAAA&#10;" filled="f" stroked="f">
                  <v:textbox inset="0,0,0,0">
                    <w:txbxContent>
                      <w:p w14:paraId="02BC07F9" w14:textId="77777777" w:rsidR="00B32EF2" w:rsidRDefault="00000000">
                        <w:r>
                          <w:rPr>
                            <w:rFonts w:ascii="Arial" w:eastAsia="Arial" w:hAnsi="Arial" w:cs="Arial"/>
                            <w:sz w:val="18"/>
                          </w:rPr>
                          <w:t>procedura civile in quanto applicabili.</w:t>
                        </w:r>
                      </w:p>
                    </w:txbxContent>
                  </v:textbox>
                </v:rect>
                <v:rect id="Rectangle 201868" o:spid="_x0000_s5279" style="position:absolute;left:26109;top:262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opbwwAAAN8AAAAPAAAAZHJzL2Rvd25yZXYueG1sRE9Ni8Iw&#10;EL0v+B/CCN7WVA9SqlFEEXvwoqvgcWjGttpMQhNt9ddvDgt7fLzvxao3jXhR62vLCibjBARxYXXN&#10;pYLzz+47BeEDssbGMil4k4fVcvC1wEzbjo/0OoVSxBD2GSqoQnCZlL6oyKAfW0ccuZttDYYI21Lq&#10;FrsYbho5TZKZNFhzbKjQ0aai4nF6GgXXLbt818ni9tm4wz1Pm/3zfFFqNOzXcxCB+vAv/nPnWsE0&#10;maSzODj+iV9ALn8BAAD//wMAUEsBAi0AFAAGAAgAAAAhANvh9svuAAAAhQEAABMAAAAAAAAAAAAA&#10;AAAAAAAAAFtDb250ZW50X1R5cGVzXS54bWxQSwECLQAUAAYACAAAACEAWvQsW78AAAAVAQAACwAA&#10;AAAAAAAAAAAAAAAfAQAAX3JlbHMvLnJlbHNQSwECLQAUAAYACAAAACEAogKKW8MAAADfAAAADwAA&#10;AAAAAAAAAAAAAAAHAgAAZHJzL2Rvd25yZXYueG1sUEsFBgAAAAADAAMAtwAAAPcCAAAAAA==&#10;" filled="f" stroked="f">
                  <v:textbox inset="0,0,0,0">
                    <w:txbxContent>
                      <w:p w14:paraId="18695AB3" w14:textId="77777777" w:rsidR="00B32EF2" w:rsidRDefault="00000000">
                        <w:r>
                          <w:rPr>
                            <w:rFonts w:ascii="Arial" w:eastAsia="Arial" w:hAnsi="Arial" w:cs="Arial"/>
                            <w:sz w:val="18"/>
                          </w:rPr>
                          <w:t>2</w:t>
                        </w:r>
                      </w:p>
                    </w:txbxContent>
                  </v:textbox>
                </v:rect>
                <v:rect id="Rectangle 201869" o:spid="_x0000_s5280" style="position:absolute;left:-13818;top:262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AxwAAAN8AAAAPAAAAZHJzL2Rvd25yZXYueG1sRI9Pi8Iw&#10;FMTvC36H8Bb2tqZ6kFqNsiiyPXjxH3h8NM+2u81LaKKt++k3guBxmJnfMPNlbxpxo9bXlhWMhgkI&#10;4sLqmksFx8PmMwXhA7LGxjIpuJOH5WLwNsdM2453dNuHUkQI+wwVVCG4TEpfVGTQD60jjt7FtgZD&#10;lG0pdYtdhJtGjpNkIg3WHBcqdLSqqPjdX42C85pdvulkcflbue1Pnjbf1+NJqY/3/msGIlAfXuFn&#10;O9cKxskonUzh8Sd+Abn4BwAA//8DAFBLAQItABQABgAIAAAAIQDb4fbL7gAAAIUBAAATAAAAAAAA&#10;AAAAAAAAAAAAAABbQ29udGVudF9UeXBlc10ueG1sUEsBAi0AFAAGAAgAAAAhAFr0LFu/AAAAFQEA&#10;AAsAAAAAAAAAAAAAAAAAHwEAAF9yZWxzLy5yZWxzUEsBAi0AFAAGAAgAAAAhAM1OL8DHAAAA3wAA&#10;AA8AAAAAAAAAAAAAAAAABwIAAGRycy9kb3ducmV2LnhtbFBLBQYAAAAAAwADALcAAAD7AgAAAAA=&#10;" filled="f" stroked="f">
                  <v:textbox inset="0,0,0,0">
                    <w:txbxContent>
                      <w:p w14:paraId="70EAB521" w14:textId="77777777" w:rsidR="00B32EF2" w:rsidRDefault="00000000">
                        <w:r>
                          <w:rPr>
                            <w:rFonts w:ascii="Arial" w:eastAsia="Arial" w:hAnsi="Arial" w:cs="Arial"/>
                            <w:sz w:val="18"/>
                          </w:rPr>
                          <w:t xml:space="preserve">. Il giudice tributario ha l’obbligo di astenersi e può essere ricusato anche nel </w:t>
                        </w:r>
                      </w:p>
                    </w:txbxContent>
                  </v:textbox>
                </v:rect>
                <v:rect id="Rectangle 20610" o:spid="_x0000_s5281" style="position:absolute;left:-12201;top:24869;width:521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WbQxAAAAN4AAAAPAAAAZHJzL2Rvd25yZXYueG1sRI/LisIw&#10;FIb3wrxDOAPuNNWFSMdYhg4yXczGG8zy0BzbanMSmmirT28Wgsuf/8a3ygbTiht1vrGsYDZNQBCX&#10;VjdcKTjsN5MlCB+QNbaWScGdPGTrj9EKU2173tJtFyoRR9inqKAOwaVS+rImg35qHXH0TrYzGKLs&#10;Kqk77OO4aeU8SRbSYMPxoUZHeU3lZXc1Cv5/2BWbXpanR+7+zsWy/b0ejkqNP4fvLxCBhvAOv9qF&#10;VjBPFrMIEHEiCsj1EwAA//8DAFBLAQItABQABgAIAAAAIQDb4fbL7gAAAIUBAAATAAAAAAAAAAAA&#10;AAAAAAAAAABbQ29udGVudF9UeXBlc10ueG1sUEsBAi0AFAAGAAgAAAAhAFr0LFu/AAAAFQEAAAsA&#10;AAAAAAAAAAAAAAAAHwEAAF9yZWxzLy5yZWxzUEsBAi0AFAAGAAgAAAAhAGQpZtDEAAAA3gAAAA8A&#10;AAAAAAAAAAAAAAAABwIAAGRycy9kb3ducmV2LnhtbFBLBQYAAAAAAwADALcAAAD4AgAAAAA=&#10;" filled="f" stroked="f">
                  <v:textbox inset="0,0,0,0">
                    <w:txbxContent>
                      <w:p w14:paraId="127472E6" w14:textId="77777777" w:rsidR="00B32EF2" w:rsidRDefault="00000000">
                        <w:r>
                          <w:rPr>
                            <w:rFonts w:ascii="Arial" w:eastAsia="Arial" w:hAnsi="Arial" w:cs="Arial"/>
                            <w:sz w:val="18"/>
                          </w:rPr>
                          <w:t>caso di cui all’articolo 139, comma 2, del decreto del Presidente della Repub</w:t>
                        </w:r>
                      </w:p>
                    </w:txbxContent>
                  </v:textbox>
                </v:rect>
                <v:rect id="Rectangle 20611" o:spid="_x0000_s5282" style="position:absolute;left:191;top:2486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cNLxgAAAN4AAAAPAAAAZHJzL2Rvd25yZXYueG1sRI9Pi8Iw&#10;FMTvgt8hvAVvmtaDSNco4iL24MV/4PHRPNuuzUtoou3upzcLCx6HmfkNs1j1phFPan1tWUE6SUAQ&#10;F1bXXCo4n7bjOQgfkDU2lknBD3lYLYeDBWbadnyg5zGUIkLYZ6igCsFlUvqiIoN+Yh1x9G62NRii&#10;bEupW+wi3DRymiQzabDmuFCho01Fxf34MAquX+zybSeL2+/G7b/zebN7nC9KjT769SeIQH14h//b&#10;uVYwTWZpCn934hWQyxcAAAD//wMAUEsBAi0AFAAGAAgAAAAhANvh9svuAAAAhQEAABMAAAAAAAAA&#10;AAAAAAAAAAAAAFtDb250ZW50X1R5cGVzXS54bWxQSwECLQAUAAYACAAAACEAWvQsW78AAAAVAQAA&#10;CwAAAAAAAAAAAAAAAAAfAQAAX3JlbHMvLnJlbHNQSwECLQAUAAYACAAAACEAC2XDS8YAAADeAAAA&#10;DwAAAAAAAAAAAAAAAAAHAgAAZHJzL2Rvd25yZXYueG1sUEsFBgAAAAADAAMAtwAAAPoCAAAAAA==&#10;" filled="f" stroked="f">
                  <v:textbox inset="0,0,0,0">
                    <w:txbxContent>
                      <w:p w14:paraId="7E21B179" w14:textId="77777777" w:rsidR="00B32EF2" w:rsidRDefault="00000000">
                        <w:r>
                          <w:rPr>
                            <w:rFonts w:ascii="Arial" w:eastAsia="Arial" w:hAnsi="Arial" w:cs="Arial"/>
                            <w:sz w:val="18"/>
                          </w:rPr>
                          <w:t>-</w:t>
                        </w:r>
                      </w:p>
                    </w:txbxContent>
                  </v:textbox>
                </v:rect>
                <v:rect id="Rectangle 20612" o:spid="_x0000_s5283" style="position:absolute;left:-13172;top:2347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108xgAAAN4AAAAPAAAAZHJzL2Rvd25yZXYueG1sRI9Pi8Iw&#10;FMTvgt8hvAVvmtqDSNco4iL24MV/4PHRPNuuzUtoou3upzcLCx6HmfkNs1j1phFPan1tWcF0koAg&#10;LqyuuVRwPm3HcxA+IGtsLJOCH/KwWg4HC8y07fhAz2MoRYSwz1BBFYLLpPRFRQb9xDri6N1sazBE&#10;2ZZSt9hFuGlkmiQzabDmuFCho01Fxf34MAquX+zybSeL2+/G7b/zebN7nC9KjT769SeIQH14h//b&#10;uVaQJrNpCn934hWQyxcAAAD//wMAUEsBAi0AFAAGAAgAAAAhANvh9svuAAAAhQEAABMAAAAAAAAA&#10;AAAAAAAAAAAAAFtDb250ZW50X1R5cGVzXS54bWxQSwECLQAUAAYACAAAACEAWvQsW78AAAAVAQAA&#10;CwAAAAAAAAAAAAAAAAAfAQAAX3JlbHMvLnJlbHNQSwECLQAUAAYACAAAACEA+7ddPMYAAADeAAAA&#10;DwAAAAAAAAAAAAAAAAAHAgAAZHJzL2Rvd25yZXYueG1sUEsFBgAAAAADAAMAtwAAAPoCAAAAAA==&#10;" filled="f" stroked="f">
                  <v:textbox inset="0,0,0,0">
                    <w:txbxContent>
                      <w:p w14:paraId="0AD1922E" w14:textId="77777777" w:rsidR="00B32EF2" w:rsidRDefault="00000000">
                        <w:r>
                          <w:rPr>
                            <w:rFonts w:ascii="Arial" w:eastAsia="Arial" w:hAnsi="Arial" w:cs="Arial"/>
                            <w:sz w:val="18"/>
                          </w:rPr>
                          <w:t xml:space="preserve">blica 30 maggio 2002, n. 115 e in ogni caso in cui abbia o abbia avuto rapporti </w:t>
                        </w:r>
                      </w:p>
                    </w:txbxContent>
                  </v:textbox>
                </v:rect>
                <v:rect id="Rectangle 20613" o:spid="_x0000_s5284" style="position:absolute;left:-3618;top:22075;width:435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nxQAAAN4AAAAPAAAAZHJzL2Rvd25yZXYueG1sRI9Bi8Iw&#10;FITvC/6H8ARva6oLItUoosj2sBddBY+P5tlWm5fQRFv31xtB2OMwM98w82VnanGnxleWFYyGCQji&#10;3OqKCwWH3+3nFIQPyBpry6TgQR6Wi97HHFNtW97RfR8KESHsU1RQhuBSKX1ekkE/tI44emfbGAxR&#10;NoXUDbYRbmo5TpKJNFhxXCjR0bqk/Lq/GQWnDbts28r8/Ld2P5dsWn/fDkelBv1uNQMRqAv/4Xc7&#10;0wrGyWT0Ba878QrIxRMAAP//AwBQSwECLQAUAAYACAAAACEA2+H2y+4AAACFAQAAEwAAAAAAAAAA&#10;AAAAAAAAAAAAW0NvbnRlbnRfVHlwZXNdLnhtbFBLAQItABQABgAIAAAAIQBa9CxbvwAAABUBAAAL&#10;AAAAAAAAAAAAAAAAAB8BAABfcmVscy8ucmVsc1BLAQItABQABgAIAAAAIQCU+/inxQAAAN4AAAAP&#10;AAAAAAAAAAAAAAAAAAcCAABkcnMvZG93bnJldi54bWxQSwUGAAAAAAMAAwC3AAAA+QIAAAAA&#10;" filled="f" stroked="f">
                  <v:textbox inset="0,0,0,0">
                    <w:txbxContent>
                      <w:p w14:paraId="00990BC9" w14:textId="77777777" w:rsidR="00B32EF2" w:rsidRDefault="00000000">
                        <w:r>
                          <w:rPr>
                            <w:rFonts w:ascii="Arial" w:eastAsia="Arial" w:hAnsi="Arial" w:cs="Arial"/>
                            <w:sz w:val="18"/>
                          </w:rPr>
                          <w:t>di lavoro autonomo ovvero di collaborazione con una delle parti.</w:t>
                        </w:r>
                      </w:p>
                    </w:txbxContent>
                  </v:textbox>
                </v:rect>
                <v:rect id="Rectangle 201866" o:spid="_x0000_s5285" style="position:absolute;left:26109;top:2067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buyxwAAAN8AAAAPAAAAZHJzL2Rvd25yZXYueG1sRI9Ba8JA&#10;FITvBf/D8oTe6kYPIURXEUXMoZeqhR4f2WcSzb5dsquJ/vpuoeBxmJlvmMVqMK24U+cbywqmkwQE&#10;cWl1w5WC03H3kYHwAVlja5kUPMjDajl6W2Cubc9fdD+ESkQI+xwV1CG4XEpf1mTQT6wjjt7ZdgZD&#10;lF0ldYd9hJtWzpIklQYbjgs1OtrUVF4PN6PgZ8uu2PWyPD837vNSZO3+dvpW6n08rOcgAg3hFf5v&#10;F1rBLJlmaQp/f+IXkMtfAAAA//8DAFBLAQItABQABgAIAAAAIQDb4fbL7gAAAIUBAAATAAAAAAAA&#10;AAAAAAAAAAAAAABbQ29udGVudF9UeXBlc10ueG1sUEsBAi0AFAAGAAgAAAAhAFr0LFu/AAAAFQEA&#10;AAsAAAAAAAAAAAAAAAAAHwEAAF9yZWxzLy5yZWxzUEsBAi0AFAAGAAgAAAAhALzRu7LHAAAA3wAA&#10;AA8AAAAAAAAAAAAAAAAABwIAAGRycy9kb3ducmV2LnhtbFBLBQYAAAAAAwADALcAAAD7AgAAAAA=&#10;" filled="f" stroked="f">
                  <v:textbox inset="0,0,0,0">
                    <w:txbxContent>
                      <w:p w14:paraId="7CCCE1B5" w14:textId="77777777" w:rsidR="00B32EF2" w:rsidRDefault="00000000">
                        <w:r>
                          <w:rPr>
                            <w:rFonts w:ascii="Arial" w:eastAsia="Arial" w:hAnsi="Arial" w:cs="Arial"/>
                            <w:sz w:val="18"/>
                          </w:rPr>
                          <w:t>3</w:t>
                        </w:r>
                      </w:p>
                    </w:txbxContent>
                  </v:textbox>
                </v:rect>
                <v:rect id="Rectangle 201867" o:spid="_x0000_s5286" style="position:absolute;left:-13818;top:2067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R4pxwAAAN8AAAAPAAAAZHJzL2Rvd25yZXYueG1sRI9Pi8Iw&#10;FMTvC36H8Bb2tqZ60FKNsiiyPXjxH3h8NM+2u81LaKKt++k3guBxmJnfMPNlbxpxo9bXlhWMhgkI&#10;4sLqmksFx8PmMwXhA7LGxjIpuJOH5WLwNsdM2453dNuHUkQI+wwVVCG4TEpfVGTQD60jjt7FtgZD&#10;lG0pdYtdhJtGjpNkIg3WHBcqdLSqqPjdX42C85pdvulkcflbue1Pnjbf1+NJqY/3/msGIlAfXuFn&#10;O9cKxskonUzh8Sd+Abn4BwAA//8DAFBLAQItABQABgAIAAAAIQDb4fbL7gAAAIUBAAATAAAAAAAA&#10;AAAAAAAAAAAAAABbQ29udGVudF9UeXBlc10ueG1sUEsBAi0AFAAGAAgAAAAhAFr0LFu/AAAAFQEA&#10;AAsAAAAAAAAAAAAAAAAAHwEAAF9yZWxzLy5yZWxzUEsBAi0AFAAGAAgAAAAhANOdHinHAAAA3wAA&#10;AA8AAAAAAAAAAAAAAAAABwIAAGRycy9kb3ducmV2LnhtbFBLBQYAAAAAAwADALcAAAD7AgAAAAA=&#10;" filled="f" stroked="f">
                  <v:textbox inset="0,0,0,0">
                    <w:txbxContent>
                      <w:p w14:paraId="093A9D2B" w14:textId="77777777" w:rsidR="00B32EF2" w:rsidRDefault="00000000">
                        <w:r>
                          <w:rPr>
                            <w:rFonts w:ascii="Arial" w:eastAsia="Arial" w:hAnsi="Arial" w:cs="Arial"/>
                            <w:sz w:val="18"/>
                          </w:rPr>
                          <w:t xml:space="preserve">. Sulla ricusazione decide il collegio al quale appartiene il componente della </w:t>
                        </w:r>
                      </w:p>
                    </w:txbxContent>
                  </v:textbox>
                </v:rect>
                <v:rect id="Rectangle 20615" o:spid="_x0000_s5287" style="position:absolute;left:-13172;top:1928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sVIxQAAAN4AAAAPAAAAZHJzL2Rvd25yZXYueG1sRI9Bi8Iw&#10;FITvC/6H8ARva6qwItUoosj2sBddBY+P5tlWm5fQRFv31xtB2OMwM98w82VnanGnxleWFYyGCQji&#10;3OqKCwWH3+3nFIQPyBpry6TgQR6Wi97HHFNtW97RfR8KESHsU1RQhuBSKX1ekkE/tI44emfbGAxR&#10;NoXUDbYRbmo5TpKJNFhxXCjR0bqk/Lq/GQWnDbts28r8/Ld2P5dsWn/fDkelBv1uNQMRqAv/4Xc7&#10;0wrGyWT0Ba878QrIxRMAAP//AwBQSwECLQAUAAYACAAAACEA2+H2y+4AAACFAQAAEwAAAAAAAAAA&#10;AAAAAAAAAAAAW0NvbnRlbnRfVHlwZXNdLnhtbFBLAQItABQABgAIAAAAIQBa9CxbvwAAABUBAAAL&#10;AAAAAAAAAAAAAAAAAB8BAABfcmVscy8ucmVsc1BLAQItABQABgAIAAAAIQB0XsVIxQAAAN4AAAAP&#10;AAAAAAAAAAAAAAAAAAcCAABkcnMvZG93bnJldi54bWxQSwUGAAAAAAMAAwC3AAAA+QIAAAAA&#10;" filled="f" stroked="f">
                  <v:textbox inset="0,0,0,0">
                    <w:txbxContent>
                      <w:p w14:paraId="735F84FF" w14:textId="77777777" w:rsidR="00B32EF2" w:rsidRDefault="00000000">
                        <w:r>
                          <w:rPr>
                            <w:rFonts w:ascii="Arial" w:eastAsia="Arial" w:hAnsi="Arial" w:cs="Arial"/>
                            <w:sz w:val="18"/>
                          </w:rPr>
                          <w:t xml:space="preserve">corte di giustizia tributaria di primo e secondo grado ricusato, senza la sua </w:t>
                        </w:r>
                      </w:p>
                    </w:txbxContent>
                  </v:textbox>
                </v:rect>
                <v:rect id="Rectangle 20616" o:spid="_x0000_s5288" style="position:absolute;left:-12208;top:17885;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Fs/xQAAAN4AAAAPAAAAZHJzL2Rvd25yZXYueG1sRI9Bi8Iw&#10;FITvC/6H8ARva6qHItUooog9eFlXweOjebbV5iU00VZ//WZhYY/DzHzDLFa9acSTWl9bVjAZJyCI&#10;C6trLhWcvnefMxA+IGtsLJOCF3lYLQcfC8y07fiLnsdQighhn6GCKgSXSemLigz6sXXE0bva1mCI&#10;si2lbrGLcNPIaZKk0mDNcaFCR5uKivvxYRRctuzyXSeL63vjDrd81uwfp7NSo2G/noMI1If/8F87&#10;1wqmSTpJ4fdOvAJy+QMAAP//AwBQSwECLQAUAAYACAAAACEA2+H2y+4AAACFAQAAEwAAAAAAAAAA&#10;AAAAAAAAAAAAW0NvbnRlbnRfVHlwZXNdLnhtbFBLAQItABQABgAIAAAAIQBa9CxbvwAAABUBAAAL&#10;AAAAAAAAAAAAAAAAAB8BAABfcmVscy8ucmVsc1BLAQItABQABgAIAAAAIQCEjFs/xQAAAN4AAAAP&#10;AAAAAAAAAAAAAAAAAAcCAABkcnMvZG93bnJldi54bWxQSwUGAAAAAAMAAwC3AAAA+QIAAAAA&#10;" filled="f" stroked="f">
                  <v:textbox inset="0,0,0,0">
                    <w:txbxContent>
                      <w:p w14:paraId="2CF66F29" w14:textId="77777777" w:rsidR="00B32EF2" w:rsidRDefault="00000000">
                        <w:r>
                          <w:rPr>
                            <w:rFonts w:ascii="Arial" w:eastAsia="Arial" w:hAnsi="Arial" w:cs="Arial"/>
                            <w:sz w:val="18"/>
                          </w:rPr>
                          <w:t>partecipazione e con l’integrazione di altro membro della stessa corte di giu</w:t>
                        </w:r>
                      </w:p>
                    </w:txbxContent>
                  </v:textbox>
                </v:rect>
                <v:rect id="Rectangle 20617" o:spid="_x0000_s5289" style="position:absolute;left:191;top:1788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P6kxgAAAN4AAAAPAAAAZHJzL2Rvd25yZXYueG1sRI9Bi8Iw&#10;FITvgv8hPGFvmupBpRpFFNkevOgqeHw0z7bavIQm2rq/frOwsMdhZr5hluvO1OJFja8sKxiPEhDE&#10;udUVFwrOX/vhHIQPyBpry6TgTR7Wq35viam2LR/pdQqFiBD2KSooQ3CplD4vyaAfWUccvZttDIYo&#10;m0LqBtsIN7WcJMlUGqw4LpToaFtS/jg9jYLrjl22b2V++966wz2b15/P80Wpj0G3WYAI1IX/8F87&#10;0womyXQ8g9878QrI1Q8AAAD//wMAUEsBAi0AFAAGAAgAAAAhANvh9svuAAAAhQEAABMAAAAAAAAA&#10;AAAAAAAAAAAAAFtDb250ZW50X1R5cGVzXS54bWxQSwECLQAUAAYACAAAACEAWvQsW78AAAAVAQAA&#10;CwAAAAAAAAAAAAAAAAAfAQAAX3JlbHMvLnJlbHNQSwECLQAUAAYACAAAACEA68D+pMYAAADeAAAA&#10;DwAAAAAAAAAAAAAAAAAHAgAAZHJzL2Rvd25yZXYueG1sUEsFBgAAAAADAAMAtwAAAPoCAAAAAA==&#10;" filled="f" stroked="f">
                  <v:textbox inset="0,0,0,0">
                    <w:txbxContent>
                      <w:p w14:paraId="516A0883" w14:textId="77777777" w:rsidR="00B32EF2" w:rsidRDefault="00000000">
                        <w:r>
                          <w:rPr>
                            <w:rFonts w:ascii="Arial" w:eastAsia="Arial" w:hAnsi="Arial" w:cs="Arial"/>
                            <w:sz w:val="18"/>
                          </w:rPr>
                          <w:t>-</w:t>
                        </w:r>
                      </w:p>
                    </w:txbxContent>
                  </v:textbox>
                </v:rect>
                <v:rect id="Rectangle 20618" o:spid="_x0000_s5290" style="position:absolute;left:9482;top:16488;width:304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2rWwwAAAN4AAAAPAAAAZHJzL2Rvd25yZXYueG1sRE/LisIw&#10;FN0L8w/hDrjTVBciHWMZOsh0MRtfMMtLc22rzU1ooq1+vVkILg/nvcoG04obdb6xrGA2TUAQl1Y3&#10;XCk47DeTJQgfkDW2lknBnTxk64/RClNte97SbRcqEUPYp6igDsGlUvqyJoN+ah1x5E62Mxgi7Cqp&#10;O+xjuGnlPEkW0mDDsaFGR3lN5WV3NQr+f9gVm16Wp0fu/s7Fsv29Ho5KjT+H7y8QgYbwFr/chVYw&#10;TxazuDfeiVdArp8AAAD//wMAUEsBAi0AFAAGAAgAAAAhANvh9svuAAAAhQEAABMAAAAAAAAAAAAA&#10;AAAAAAAAAFtDb250ZW50X1R5cGVzXS54bWxQSwECLQAUAAYACAAAACEAWvQsW78AAAAVAQAACwAA&#10;AAAAAAAAAAAAAAAfAQAAX3JlbHMvLnJlbHNQSwECLQAUAAYACAAAACEAml9q1sMAAADeAAAADwAA&#10;AAAAAAAAAAAAAAAHAgAAZHJzL2Rvd25yZXYueG1sUEsFBgAAAAADAAMAtwAAAPcCAAAAAA==&#10;" filled="f" stroked="f">
                  <v:textbox inset="0,0,0,0">
                    <w:txbxContent>
                      <w:p w14:paraId="7406A81F" w14:textId="77777777" w:rsidR="00B32EF2" w:rsidRDefault="00000000">
                        <w:r>
                          <w:rPr>
                            <w:rFonts w:ascii="Arial" w:eastAsia="Arial" w:hAnsi="Arial" w:cs="Arial"/>
                            <w:sz w:val="18"/>
                          </w:rPr>
                          <w:t>stizia tributaria designato dal suo presidente.</w:t>
                        </w:r>
                      </w:p>
                    </w:txbxContent>
                  </v:textbox>
                </v:rect>
                <v:shape id="Shape 208060" o:spid="_x0000_s5291" style="position:absolute;left:317;top:3922;width:39600;height:12383;visibility:visible;mso-wrap-style:square;v-text-anchor:top" coordsize="3960000,123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Rd+xQAAAN8AAAAPAAAAZHJzL2Rvd25yZXYueG1sRI/NagIx&#10;FIX3hb5DuAV3NVFxsKNRithScOVYur6dXGeGTm6GJHXSt28WgsvD+ePb7JLtxZV86BxrmE0VCOLa&#10;mY4bDZ/nt+cViBCRDfaOScMfBdhtHx82WBo38omuVWxEHuFQooY2xqGUMtQtWQxTNxBn7+K8xZil&#10;b6TxOOZx28u5UoW02HF+aHGgfUv1T/VrNSzHWf1tkh8Xx+7r5b1YnuhwTFpPntLrGkSkFO/hW/vD&#10;aJirlSoyQebJLCC3/wAAAP//AwBQSwECLQAUAAYACAAAACEA2+H2y+4AAACFAQAAEwAAAAAAAAAA&#10;AAAAAAAAAAAAW0NvbnRlbnRfVHlwZXNdLnhtbFBLAQItABQABgAIAAAAIQBa9CxbvwAAABUBAAAL&#10;AAAAAAAAAAAAAAAAAB8BAABfcmVscy8ucmVsc1BLAQItABQABgAIAAAAIQB0NRd+xQAAAN8AAAAP&#10;AAAAAAAAAAAAAAAAAAcCAABkcnMvZG93bnJldi54bWxQSwUGAAAAAAMAAwC3AAAA+QIAAAAA&#10;" path="m,l3960000,r,1238301l,1238301,,e" fillcolor="#c3c3c3" stroked="f" strokeweight="0">
                  <v:stroke miterlimit="83231f" joinstyle="miter"/>
                  <v:path arrowok="t" textboxrect="0,0,3960000,1238301"/>
                </v:shape>
                <v:rect id="Rectangle 20620" o:spid="_x0000_s5292" style="position:absolute;left:23287;top:1409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axtxQAAAN4AAAAPAAAAZHJzL2Rvd25yZXYueG1sRI+7asMw&#10;FIb3Qt5BnEC3Ro4HExwroSSEeMhSN4WOB+v4klpHwlJit09fDYWOP/+Nr9jPZhAPGn1vWcF6lYAg&#10;rq3uuVVwfT+9bED4gKxxsEwKvsnDfrd4KjDXduI3elShFXGEfY4KuhBcLqWvOzLoV9YRR6+xo8EQ&#10;5dhKPeIUx80g0yTJpMGe40OHjg4d1V/V3Sj4PLIrT5Osm5+Du9zKzXC+Xz+Uel7Or1sQgebwH/5r&#10;l1pBmmRpBIg4EQXk7hcAAP//AwBQSwECLQAUAAYACAAAACEA2+H2y+4AAACFAQAAEwAAAAAAAAAA&#10;AAAAAAAAAAAAW0NvbnRlbnRfVHlwZXNdLnhtbFBLAQItABQABgAIAAAAIQBa9CxbvwAAABUBAAAL&#10;AAAAAAAAAAAAAAAAAB8BAABfcmVscy8ucmVsc1BLAQItABQABgAIAAAAIQCqRaxtxQAAAN4AAAAP&#10;AAAAAAAAAAAAAAAAAAcCAABkcnMvZG93bnJldi54bWxQSwUGAAAAAAMAAwC3AAAA+QIAAAAA&#10;" filled="f" stroked="f">
                  <v:textbox inset="0,0,0,0">
                    <w:txbxContent>
                      <w:p w14:paraId="69A68738" w14:textId="77777777" w:rsidR="00B32EF2" w:rsidRDefault="00000000">
                        <w:r>
                          <w:rPr>
                            <w:rFonts w:ascii="Arial" w:eastAsia="Arial" w:hAnsi="Arial" w:cs="Arial"/>
                            <w:b/>
                            <w:i/>
                            <w:sz w:val="18"/>
                          </w:rPr>
                          <w:t>NORME RICHIAMATE</w:t>
                        </w:r>
                      </w:p>
                    </w:txbxContent>
                  </v:textbox>
                </v:rect>
                <v:rect id="Rectangle 20621" o:spid="_x0000_s5293" style="position:absolute;left:3809;top:12859;width:353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Qn2xgAAAN4AAAAPAAAAZHJzL2Rvd25yZXYueG1sRI9Pi8Iw&#10;FMTvgt8hvAVvmtqDSNco4iL24MV/4PHRPNuuzUtoou3upzcLCx6HmfkNs1j1phFPan1tWcF0koAg&#10;LqyuuVRwPm3HcxA+IGtsLJOCH/KwWg4HC8y07fhAz2MoRYSwz1BBFYLLpPRFRQb9xDri6N1sazBE&#10;2ZZSt9hFuGlkmiQzabDmuFCho01Fxf34MAquX+zybSeL2+/G7b/zebN7nC9KjT769SeIQH14h//b&#10;uVaQJrN0Cn934hWQyxcAAAD//wMAUEsBAi0AFAAGAAgAAAAhANvh9svuAAAAhQEAABMAAAAAAAAA&#10;AAAAAAAAAAAAAFtDb250ZW50X1R5cGVzXS54bWxQSwECLQAUAAYACAAAACEAWvQsW78AAAAVAQAA&#10;CwAAAAAAAAAAAAAAAAAfAQAAX3JlbHMvLnJlbHNQSwECLQAUAAYACAAAACEAxQkJ9sYAAADeAAAA&#10;DwAAAAAAAAAAAAAAAAAHAgAAZHJzL2Rvd25yZXYueG1sUEsFBgAAAAADAAMAtwAAAPoCAAAAAA==&#10;" filled="f" stroked="f">
                  <v:textbox inset="0,0,0,0">
                    <w:txbxContent>
                      <w:p w14:paraId="387B7576" w14:textId="77777777" w:rsidR="00B32EF2" w:rsidRDefault="00000000">
                        <w:r>
                          <w:rPr>
                            <w:rFonts w:ascii="Arial" w:eastAsia="Arial" w:hAnsi="Arial" w:cs="Arial"/>
                            <w:i/>
                            <w:sz w:val="18"/>
                          </w:rPr>
                          <w:t>art. 139 dpr. 115/2002 “Funzioni della commissione”</w:t>
                        </w:r>
                      </w:p>
                    </w:txbxContent>
                  </v:textbox>
                </v:rect>
                <v:rect id="Rectangle 201864" o:spid="_x0000_s5294" style="position:absolute;left:25850;top:11626;width:5097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4BexwAAAN8AAAAPAAAAZHJzL2Rvd25yZXYueG1sRI9Ba8JA&#10;FITvBf/D8gRvdaMUCdFVRJHm4KVWweMj+0yi2bdLdjXRX98tFHocZuYbZrHqTSMe1PrasoLJOAFB&#10;XFhdc6ng+L17T0H4gKyxsUwKnuRhtRy8LTDTtuMvehxCKSKEfYYKqhBcJqUvKjLox9YRR+9iW4Mh&#10;yraUusUuwk0jp0kykwZrjgsVOtpUVNwOd6PgvGWX7zpZXF4bt7/mafN5P56UGg379RxEoD78h//a&#10;uVYwTSbp7AN+/8QvIJc/AAAA//8DAFBLAQItABQABgAIAAAAIQDb4fbL7gAAAIUBAAATAAAAAAAA&#10;AAAAAAAAAAAAAABbQ29udGVudF9UeXBlc10ueG1sUEsBAi0AFAAGAAgAAAAhAFr0LFu/AAAAFQEA&#10;AAsAAAAAAAAAAAAAAAAAHwEAAF9yZWxzLy5yZWxzUEsBAi0AFAAGAAgAAAAhACNPgF7HAAAA3wAA&#10;AA8AAAAAAAAAAAAAAAAABwIAAGRycy9kb3ducmV2LnhtbFBLBQYAAAAAAwADALcAAAD7AgAAAAA=&#10;" filled="f" stroked="f">
                  <v:textbox inset="0,0,0,0">
                    <w:txbxContent>
                      <w:p w14:paraId="458024C8" w14:textId="77777777" w:rsidR="00B32EF2" w:rsidRDefault="00000000">
                        <w:r>
                          <w:rPr>
                            <w:rFonts w:ascii="Arial" w:eastAsia="Arial" w:hAnsi="Arial" w:cs="Arial"/>
                            <w:i/>
                            <w:sz w:val="18"/>
                          </w:rPr>
                          <w:t>1</w:t>
                        </w:r>
                      </w:p>
                    </w:txbxContent>
                  </v:textbox>
                </v:rect>
                <v:rect id="Rectangle 201865" o:spid="_x0000_s5295" style="position:absolute;left:-12460;top:11626;width:5097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yXFxwAAAN8AAAAPAAAAZHJzL2Rvd25yZXYueG1sRI9Ba8JA&#10;FITvBf/D8gRvdaNQCdFVRJHm4KVWweMj+0yi2bdLdjXRX98tFHocZuYbZrHqTSMe1PrasoLJOAFB&#10;XFhdc6ng+L17T0H4gKyxsUwKnuRhtRy8LTDTtuMvehxCKSKEfYYKqhBcJqUvKjLox9YRR+9iW4Mh&#10;yraUusUuwk0jp0kykwZrjgsVOtpUVNwOd6PgvGWX7zpZXF4bt7/mafN5P56UGg379RxEoD78h//a&#10;uVYwTSbp7AN+/8QvIJc/AAAA//8DAFBLAQItABQABgAIAAAAIQDb4fbL7gAAAIUBAAATAAAAAAAA&#10;AAAAAAAAAAAAAABbQ29udGVudF9UeXBlc10ueG1sUEsBAi0AFAAGAAgAAAAhAFr0LFu/AAAAFQEA&#10;AAsAAAAAAAAAAAAAAAAAHwEAAF9yZWxzLy5yZWxzUEsBAi0AFAAGAAgAAAAhAEwDJcXHAAAA3wAA&#10;AA8AAAAAAAAAAAAAAAAABwIAAGRycy9kb3ducmV2LnhtbFBLBQYAAAAAAwADALcAAAD7AgAAAAA=&#10;" filled="f" stroked="f">
                  <v:textbox inset="0,0,0,0">
                    <w:txbxContent>
                      <w:p w14:paraId="5C8BED7F" w14:textId="77777777" w:rsidR="00B32EF2" w:rsidRDefault="00000000">
                        <w:r>
                          <w:rPr>
                            <w:rFonts w:ascii="Arial" w:eastAsia="Arial" w:hAnsi="Arial" w:cs="Arial"/>
                            <w:i/>
                            <w:sz w:val="18"/>
                          </w:rPr>
                          <w:t xml:space="preserve">. Le funzioni che gli articoli 79, 124, 126, 127 e 136 attribuiscono, anche in </w:t>
                        </w:r>
                      </w:p>
                    </w:txbxContent>
                  </v:textbox>
                </v:rect>
                <v:rect id="Rectangle 20623" o:spid="_x0000_s5296" style="position:absolute;left:-11893;top:10392;width:511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zIaxgAAAN4AAAAPAAAAZHJzL2Rvd25yZXYueG1sRI9Ba8JA&#10;FITvgv9heQVvumkEkdRVRBFz6KU2gsdH9pmkZt8u2dXE/vpuodDjMDPfMKvNYFrxoM43lhW8zhIQ&#10;xKXVDVcKis/DdAnCB2SNrWVS8CQPm/V4tMJM254/6HEKlYgQ9hkqqENwmZS+rMmgn1lHHL2r7QyG&#10;KLtK6g77CDetTJNkIQ02HBdqdLSrqbyd7kbBZc8uP/SyvH7v3PtXvmyP9+Ks1ORl2L6BCDSE//Bf&#10;O9cK0mSRzuH3TrwCcv0DAAD//wMAUEsBAi0AFAAGAAgAAAAhANvh9svuAAAAhQEAABMAAAAAAAAA&#10;AAAAAAAAAAAAAFtDb250ZW50X1R5cGVzXS54bWxQSwECLQAUAAYACAAAACEAWvQsW78AAAAVAQAA&#10;CwAAAAAAAAAAAAAAAAAfAQAAX3JlbHMvLnJlbHNQSwECLQAUAAYACAAAACEAWpcyGsYAAADeAAAA&#10;DwAAAAAAAAAAAAAAAAAHAgAAZHJzL2Rvd25yZXYueG1sUEsFBgAAAAADAAMAtwAAAPoCAAAAAA==&#10;" filled="f" stroked="f">
                  <v:textbox inset="0,0,0,0">
                    <w:txbxContent>
                      <w:p w14:paraId="001F2B2A" w14:textId="77777777" w:rsidR="00B32EF2" w:rsidRDefault="00000000">
                        <w:r>
                          <w:rPr>
                            <w:rFonts w:ascii="Arial" w:eastAsia="Arial" w:hAnsi="Arial" w:cs="Arial"/>
                            <w:i/>
                            <w:sz w:val="18"/>
                          </w:rPr>
                          <w:t xml:space="preserve">modo ripartito, al consiglio dell’ordine degli avvocati e al magistrato sono </w:t>
                        </w:r>
                      </w:p>
                    </w:txbxContent>
                  </v:textbox>
                </v:rect>
                <v:rect id="Rectangle 20624" o:spid="_x0000_s5297" style="position:absolute;left:-10908;top:9159;width:500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qpuxgAAAN4AAAAPAAAAZHJzL2Rvd25yZXYueG1sRI9Ba8JA&#10;FITvgv9heQVvumkQkdRVRBFz6KU2gsdH9pmkZt8u2dXE/vpuodDjMDPfMKvNYFrxoM43lhW8zhIQ&#10;xKXVDVcKis/DdAnCB2SNrWVS8CQPm/V4tMJM254/6HEKlYgQ9hkqqENwmZS+rMmgn1lHHL2r7QyG&#10;KLtK6g77CDetTJNkIQ02HBdqdLSrqbyd7kbBZc8uP/SyvH7v3PtXvmyP9+Ks1ORl2L6BCDSE//Bf&#10;O9cK0mSRzuH3TrwCcv0DAAD//wMAUEsBAi0AFAAGAAgAAAAhANvh9svuAAAAhQEAABMAAAAAAAAA&#10;AAAAAAAAAAAAAFtDb250ZW50X1R5cGVzXS54bWxQSwECLQAUAAYACAAAACEAWvQsW78AAAAVAQAA&#10;CwAAAAAAAAAAAAAAAAAfAQAAX3JlbHMvLnJlbHNQSwECLQAUAAYACAAAACEA1X6qbsYAAADeAAAA&#10;DwAAAAAAAAAAAAAAAAAHAgAAZHJzL2Rvd25yZXYueG1sUEsFBgAAAAADAAMAtwAAAPoCAAAAAA==&#10;" filled="f" stroked="f">
                  <v:textbox inset="0,0,0,0">
                    <w:txbxContent>
                      <w:p w14:paraId="71181CB2" w14:textId="77777777" w:rsidR="00B32EF2" w:rsidRDefault="00000000">
                        <w:r>
                          <w:rPr>
                            <w:rFonts w:ascii="Arial" w:eastAsia="Arial" w:hAnsi="Arial" w:cs="Arial"/>
                            <w:i/>
                            <w:sz w:val="18"/>
                          </w:rPr>
                          <w:t>svolte solo dalla commissione del patrocinio a spese dello Stato; l’istan</w:t>
                        </w:r>
                      </w:p>
                    </w:txbxContent>
                  </v:textbox>
                </v:rect>
                <v:rect id="Rectangle 20625" o:spid="_x0000_s5298" style="position:absolute;left:975;top:915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g/1xgAAAN4AAAAPAAAAZHJzL2Rvd25yZXYueG1sRI9Ba8JA&#10;FITvgv9heQVvumlAkdRVRBFz6KU2gsdH9pmkZt8u2dXE/vpuodDjMDPfMKvNYFrxoM43lhW8zhIQ&#10;xKXVDVcKis/DdAnCB2SNrWVS8CQPm/V4tMJM254/6HEKlYgQ9hkqqENwmZS+rMmgn1lHHL2r7QyG&#10;KLtK6g77CDetTJNkIQ02HBdqdLSrqbyd7kbBZc8uP/SyvH7v3PtXvmyP9+Ks1ORl2L6BCDSE//Bf&#10;O9cK0mSRzuH3TrwCcv0DAAD//wMAUEsBAi0AFAAGAAgAAAAhANvh9svuAAAAhQEAABMAAAAAAAAA&#10;AAAAAAAAAAAAAFtDb250ZW50X1R5cGVzXS54bWxQSwECLQAUAAYACAAAACEAWvQsW78AAAAVAQAA&#10;CwAAAAAAAAAAAAAAAAAfAQAAX3JlbHMvLnJlbHNQSwECLQAUAAYACAAAACEAujIP9cYAAADeAAAA&#10;DwAAAAAAAAAAAAAAAAAHAgAAZHJzL2Rvd25yZXYueG1sUEsFBgAAAAADAAMAtwAAAPoCAAAAAA==&#10;" filled="f" stroked="f">
                  <v:textbox inset="0,0,0,0">
                    <w:txbxContent>
                      <w:p w14:paraId="55557573" w14:textId="77777777" w:rsidR="00B32EF2" w:rsidRDefault="00000000">
                        <w:r>
                          <w:rPr>
                            <w:rFonts w:ascii="Arial" w:eastAsia="Arial" w:hAnsi="Arial" w:cs="Arial"/>
                            <w:i/>
                            <w:sz w:val="18"/>
                          </w:rPr>
                          <w:t>-</w:t>
                        </w:r>
                      </w:p>
                    </w:txbxContent>
                  </v:textbox>
                </v:rect>
                <v:rect id="Rectangle 20626" o:spid="_x0000_s5299" style="position:absolute;left:-11894;top:7926;width:511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JGCxgAAAN4AAAAPAAAAZHJzL2Rvd25yZXYueG1sRI9Pi8Iw&#10;FMTvC36H8Bb2tqbbQ5FqFFHEHvay/gGPj+bZdrd5CU201U+/EQSPw8z8hpktBtOKK3W+sazga5yA&#10;IC6tbrhScNhvPicgfEDW2FomBTfysJiP3maYa9vzD113oRIRwj5HBXUILpfSlzUZ9GPriKN3tp3B&#10;EGVXSd1hH+GmlWmSZNJgw3GhRkermsq/3cUoOK3ZFZteluf7yn3/FpN2ezkclfp4H5ZTEIGG8Ao/&#10;24VWkCZZmsHjTrwCcv4PAAD//wMAUEsBAi0AFAAGAAgAAAAhANvh9svuAAAAhQEAABMAAAAAAAAA&#10;AAAAAAAAAAAAAFtDb250ZW50X1R5cGVzXS54bWxQSwECLQAUAAYACAAAACEAWvQsW78AAAAVAQAA&#10;CwAAAAAAAAAAAAAAAAAfAQAAX3JlbHMvLnJlbHNQSwECLQAUAAYACAAAACEASuCRgsYAAADeAAAA&#10;DwAAAAAAAAAAAAAAAAAHAgAAZHJzL2Rvd25yZXYueG1sUEsFBgAAAAADAAMAtwAAAPoCAAAAAA==&#10;" filled="f" stroked="f">
                  <v:textbox inset="0,0,0,0">
                    <w:txbxContent>
                      <w:p w14:paraId="522DB497" w14:textId="77777777" w:rsidR="00B32EF2" w:rsidRDefault="00000000">
                        <w:r>
                          <w:rPr>
                            <w:rFonts w:ascii="Arial" w:eastAsia="Arial" w:hAnsi="Arial" w:cs="Arial"/>
                            <w:i/>
                            <w:sz w:val="18"/>
                          </w:rPr>
                          <w:t xml:space="preserve">za respinta o dichiarata inammissibile dalla commissione non può essere </w:t>
                        </w:r>
                      </w:p>
                    </w:txbxContent>
                  </v:textbox>
                </v:rect>
                <v:rect id="Rectangle 20627" o:spid="_x0000_s5300" style="position:absolute;left:-11888;top:6692;width:510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DQZxgAAAN4AAAAPAAAAZHJzL2Rvd25yZXYueG1sRI9Ba8JA&#10;FITvBf/D8gre6qY5WEldRRQxBy+1ETw+ss8kNft2ya4m+uvdQqHHYWa+YebLwbTiRp1vLCt4nyQg&#10;iEurG64UFN/btxkIH5A1tpZJwZ08LBejlzlm2vb8RbdDqESEsM9QQR2Cy6T0ZU0G/cQ64uidbWcw&#10;RNlVUnfYR7hpZZokU2mw4bhQo6N1TeXlcDUKTht2+baX5fmxdvuffNbursVRqfHrsPoEEWgI/+G/&#10;dq4VpMk0/YDfO/EKyMUTAAD//wMAUEsBAi0AFAAGAAgAAAAhANvh9svuAAAAhQEAABMAAAAAAAAA&#10;AAAAAAAAAAAAAFtDb250ZW50X1R5cGVzXS54bWxQSwECLQAUAAYACAAAACEAWvQsW78AAAAVAQAA&#10;CwAAAAAAAAAAAAAAAAAfAQAAX3JlbHMvLnJlbHNQSwECLQAUAAYACAAAACEAJaw0GcYAAADeAAAA&#10;DwAAAAAAAAAAAAAAAAAHAgAAZHJzL2Rvd25yZXYueG1sUEsFBgAAAAADAAMAtwAAAPoCAAAAAA==&#10;" filled="f" stroked="f">
                  <v:textbox inset="0,0,0,0">
                    <w:txbxContent>
                      <w:p w14:paraId="4D06AC27" w14:textId="77777777" w:rsidR="00B32EF2" w:rsidRDefault="00000000">
                        <w:r>
                          <w:rPr>
                            <w:rFonts w:ascii="Arial" w:eastAsia="Arial" w:hAnsi="Arial" w:cs="Arial"/>
                            <w:i/>
                            <w:sz w:val="18"/>
                          </w:rPr>
                          <w:t xml:space="preserve">proposta al magistrato davanti al quale pende il processo o competente a </w:t>
                        </w:r>
                      </w:p>
                    </w:txbxContent>
                  </v:textbox>
                </v:rect>
                <v:rect id="Rectangle 20628" o:spid="_x0000_s5301" style="position:absolute;left:25746;top:5459;width:133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6BrxAAAAN4AAAAPAAAAZHJzL2Rvd25yZXYueG1sRE+7asMw&#10;FN0L+QdxA90aOR5McKyEkhDiIUvdFDperOtHal0JS4ndfn01FDoezrvYz2YQDxp9b1nBepWAIK6t&#10;7rlVcH0/vWxA+ICscbBMCr7Jw363eCow13biN3pUoRUxhH2OCroQXC6lrzsy6FfWEUeusaPBEOHY&#10;Sj3iFMPNINMkyaTBnmNDh44OHdVf1d0o+DyyK0+TrJufg7vcys1wvl8/lHpezq9bEIHm8C/+c5da&#10;QZpkadwb78QrIHe/AAAA//8DAFBLAQItABQABgAIAAAAIQDb4fbL7gAAAIUBAAATAAAAAAAAAAAA&#10;AAAAAAAAAABbQ29udGVudF9UeXBlc10ueG1sUEsBAi0AFAAGAAgAAAAhAFr0LFu/AAAAFQEAAAsA&#10;AAAAAAAAAAAAAAAAHwEAAF9yZWxzLy5yZWxzUEsBAi0AFAAGAAgAAAAhAFQzoGvEAAAA3gAAAA8A&#10;AAAAAAAAAAAAAAAABwIAAGRycy9kb3ducmV2LnhtbFBLBQYAAAAAAwADALcAAAD4AgAAAAA=&#10;" filled="f" stroked="f">
                  <v:textbox inset="0,0,0,0">
                    <w:txbxContent>
                      <w:p w14:paraId="71EA3AFE" w14:textId="77777777" w:rsidR="00B32EF2" w:rsidRDefault="00000000">
                        <w:r>
                          <w:rPr>
                            <w:rFonts w:ascii="Arial" w:eastAsia="Arial" w:hAnsi="Arial" w:cs="Arial"/>
                            <w:i/>
                            <w:sz w:val="18"/>
                          </w:rPr>
                          <w:t>conoscere il merito.</w:t>
                        </w:r>
                      </w:p>
                    </w:txbxContent>
                  </v:textbox>
                </v:rect>
                <v:rect id="Rectangle 201863" o:spid="_x0000_s5302" style="position:absolute;left:-12554;top:4226;width:511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hgqxwAAAN8AAAAPAAAAZHJzL2Rvd25yZXYueG1sRI9Ba8JA&#10;FITvBf/D8gRvdaMFCdFVRJHm4KVWweMj+0yi2bdLdjXRX98tFHocZuYbZrHqTSMe1PrasoLJOAFB&#10;XFhdc6ng+L17T0H4gKyxsUwKnuRhtRy8LTDTtuMvehxCKSKEfYYKqhBcJqUvKjLox9YRR+9iW4Mh&#10;yraUusUuwk0jp0kykwZrjgsVOtpUVNwOd6PgvGWX7zpZXF4bt7/mafN5P56UGg379RxEoD78h//a&#10;uVYwTSbp7AN+/8QvIJc/AAAA//8DAFBLAQItABQABgAIAAAAIQDb4fbL7gAAAIUBAAATAAAAAAAA&#10;AAAAAAAAAAAAAABbQ29udGVudF9UeXBlc10ueG1sUEsBAi0AFAAGAAgAAAAhAFr0LFu/AAAAFQEA&#10;AAsAAAAAAAAAAAAAAAAAHwEAAF9yZWxzLy5yZWxzUEsBAi0AFAAGAAgAAAAhAKymGCrHAAAA3wAA&#10;AA8AAAAAAAAAAAAAAAAABwIAAGRycy9kb3ducmV2LnhtbFBLBQYAAAAAAwADALcAAAD7AgAAAAA=&#10;" filled="f" stroked="f">
                  <v:textbox inset="0,0,0,0">
                    <w:txbxContent>
                      <w:p w14:paraId="31B4B773" w14:textId="77777777" w:rsidR="00B32EF2" w:rsidRDefault="00000000">
                        <w:r>
                          <w:rPr>
                            <w:rFonts w:ascii="Arial" w:eastAsia="Arial" w:hAnsi="Arial" w:cs="Arial"/>
                            <w:i/>
                            <w:sz w:val="18"/>
                          </w:rPr>
                          <w:t xml:space="preserve">. I giudici tributari che fanno parte della commissione hanno l’obbligo di </w:t>
                        </w:r>
                      </w:p>
                    </w:txbxContent>
                  </v:textbox>
                </v:rect>
                <v:rect id="Rectangle 201862" o:spid="_x0000_s5303" style="position:absolute;left:25810;top:4226;width:511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r2xxwAAAN8AAAAPAAAAZHJzL2Rvd25yZXYueG1sRI9Ba8JA&#10;FITvBf/D8oTe6sYcJERXEUXMoZeqhR4f2WcSzb5dsquJ/vpuoeBxmJlvmMVqMK24U+cbywqmkwQE&#10;cWl1w5WC03H3kYHwAVlja5kUPMjDajl6W2Cubc9fdD+ESkQI+xwV1CG4XEpf1mTQT6wjjt7ZdgZD&#10;lF0ldYd9hJtWpkkykwYbjgs1OtrUVF4PN6PgZ8uu2PWyPD837vNSZO3+dvpW6n08rOcgAg3hFf5v&#10;F1pBmkyzWQp/f+IXkMtfAAAA//8DAFBLAQItABQABgAIAAAAIQDb4fbL7gAAAIUBAAATAAAAAAAA&#10;AAAAAAAAAAAAAABbQ29udGVudF9UeXBlc10ueG1sUEsBAi0AFAAGAAgAAAAhAFr0LFu/AAAAFQEA&#10;AAsAAAAAAAAAAAAAAAAAHwEAAF9yZWxzLy5yZWxzUEsBAi0AFAAGAAgAAAAhAMPqvbHHAAAA3wAA&#10;AA8AAAAAAAAAAAAAAAAABwIAAGRycy9kb3ducmV2LnhtbFBLBQYAAAAAAwADALcAAAD7AgAAAAA=&#10;" filled="f" stroked="f">
                  <v:textbox inset="0,0,0,0">
                    <w:txbxContent>
                      <w:p w14:paraId="65548468" w14:textId="77777777" w:rsidR="00B32EF2" w:rsidRDefault="00000000">
                        <w:r>
                          <w:rPr>
                            <w:rFonts w:ascii="Arial" w:eastAsia="Arial" w:hAnsi="Arial" w:cs="Arial"/>
                            <w:i/>
                            <w:sz w:val="18"/>
                          </w:rPr>
                          <w:t>2</w:t>
                        </w:r>
                      </w:p>
                    </w:txbxContent>
                  </v:textbox>
                </v:rect>
                <v:shape id="Shape 20630" o:spid="_x0000_s5304" style="position:absolute;left:317;top:3922;width:39600;height:12383;visibility:visible;mso-wrap-style:square;v-text-anchor:top" coordsize="3960000,123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UkxgAAAN4AAAAPAAAAZHJzL2Rvd25yZXYueG1sRI/NasJA&#10;FIX3Bd9huEJ3OmmKQVInQUorutNoKd3dZm6TtJk7MTNqfHtnIXR5OH98i3wwrThT7xrLCp6mEQji&#10;0uqGKwWH/ftkDsJ5ZI2tZVJwJQd5NnpYYKrthXd0Lnwlwgi7FBXU3neplK6syaCb2o44eD+2N+iD&#10;7Cupe7yEcdPKOIoSabDh8FBjR681lX/FyShYJh/F7LM57mKMV2+/5vtri36j1ON4WL6A8DT4//C9&#10;vdYK4ih5DgABJ6CAzG4AAAD//wMAUEsBAi0AFAAGAAgAAAAhANvh9svuAAAAhQEAABMAAAAAAAAA&#10;AAAAAAAAAAAAAFtDb250ZW50X1R5cGVzXS54bWxQSwECLQAUAAYACAAAACEAWvQsW78AAAAVAQAA&#10;CwAAAAAAAAAAAAAAAAAfAQAAX3JlbHMvLnJlbHNQSwECLQAUAAYACAAAACEACPxVJMYAAADeAAAA&#10;DwAAAAAAAAAAAAAAAAAHAgAAZHJzL2Rvd25yZXYueG1sUEsFBgAAAAADAAMAtwAAAPoCAAAAAA==&#10;" path="m,1238301r3960000,l3960000,,,,,1238301xe" filled="f" strokeweight="1pt">
                  <v:stroke miterlimit="1" joinstyle="miter"/>
                  <v:path arrowok="t" textboxrect="0,0,3960000,1238301"/>
                </v:shape>
                <w10:anchorlock/>
              </v:group>
            </w:pict>
          </mc:Fallback>
        </mc:AlternateContent>
      </w:r>
    </w:p>
    <w:p w14:paraId="51844B89" w14:textId="77777777" w:rsidR="00B32EF2" w:rsidRDefault="00000000">
      <w:pPr>
        <w:spacing w:after="259"/>
        <w:ind w:left="-1440" w:right="7064"/>
      </w:pPr>
      <w:r>
        <w:rPr>
          <w:noProof/>
        </w:rPr>
        <w:lastRenderedPageBreak/>
        <mc:AlternateContent>
          <mc:Choice Requires="wpg">
            <w:drawing>
              <wp:anchor distT="0" distB="0" distL="114300" distR="114300" simplePos="0" relativeHeight="251668480" behindDoc="0" locked="0" layoutInCell="1" allowOverlap="1" wp14:anchorId="158AA0D2" wp14:editId="02485E0D">
                <wp:simplePos x="0" y="0"/>
                <wp:positionH relativeFrom="page">
                  <wp:posOffset>2632944</wp:posOffset>
                </wp:positionH>
                <wp:positionV relativeFrom="page">
                  <wp:posOffset>397149</wp:posOffset>
                </wp:positionV>
                <wp:extent cx="134112" cy="188456"/>
                <wp:effectExtent l="0" t="0" r="0" b="0"/>
                <wp:wrapTopAndBottom/>
                <wp:docPr id="201995" name="Group 201995"/>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20659" name="Rectangle 20659"/>
                        <wps:cNvSpPr/>
                        <wps:spPr>
                          <a:xfrm rot="-10799999">
                            <a:off x="-44256" y="-62190"/>
                            <a:ext cx="178369" cy="250646"/>
                          </a:xfrm>
                          <a:prstGeom prst="rect">
                            <a:avLst/>
                          </a:prstGeom>
                          <a:ln>
                            <a:noFill/>
                          </a:ln>
                        </wps:spPr>
                        <wps:txbx>
                          <w:txbxContent>
                            <w:p w14:paraId="21DEAD1A" w14:textId="77777777" w:rsidR="00B32EF2" w:rsidRDefault="00000000">
                              <w:r>
                                <w:rPr>
                                  <w:rFonts w:ascii="Times New Roman" w:eastAsia="Times New Roman" w:hAnsi="Times New Roman" w:cs="Times New Roman"/>
                                </w:rPr>
                                <w:t>41</w:t>
                              </w:r>
                            </w:p>
                          </w:txbxContent>
                        </wps:txbx>
                        <wps:bodyPr horzOverflow="overflow" vert="horz" lIns="0" tIns="0" rIns="0" bIns="0" rtlCol="0">
                          <a:noAutofit/>
                        </wps:bodyPr>
                      </wps:wsp>
                    </wpg:wgp>
                  </a:graphicData>
                </a:graphic>
              </wp:anchor>
            </w:drawing>
          </mc:Choice>
          <mc:Fallback>
            <w:pict>
              <v:group w14:anchorId="158AA0D2" id="Group 201995" o:spid="_x0000_s5305" style="position:absolute;left:0;text-align:left;margin-left:207.3pt;margin-top:31.25pt;width:10.55pt;height:14.85pt;z-index:251668480;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ntHAIAAIEEAAAOAAAAZHJzL2Uyb0RvYy54bWyklN1umzAUx+8n7R0s3yd8lNAEhVTTukaT&#10;prVqtwdwjA1IxrZsJ5A9/Y4dIFsr7aLjwhx/cM7//HwO27uhE+jEjG2VLHGyjDFikqqqlXWJf/54&#10;WKwxso7IigglWYnPzOK73ccP214XLFWNEhUzCJxIW/S6xI1zuogiSxvWEbtUmknY5Mp0xMHU1FFl&#10;SA/eOxGlcZxHvTKVNooya2H1/rKJd8E/54y6R84tc0iUGLS5MJowHvwY7bakqA3RTUtHGeQdKjrS&#10;Sgg6u7onjqCjad+46lpqlFXcLanqIsV5S1nIAbJJ4lfZ7I066pBLXfS1njEB2lec3u2Wfj/tjX7R&#10;TwZI9LoGFmHmcxm46fwbVKIhIDvPyNjgEIXF5CZLkhQjClvJep2t8gtS2gD3N1/R5ss/v4umoNFf&#10;UnoNxWGv+dv/y/+lIZoFrLaA/J8MaqsSp3G+2mAkSQdl+gyFQ2QtGLosBzjh9IzKFhaoTZyQUVBb&#10;iyS+3fgn1MLIbZFlKWBBQGiRp8lmLLqZ4O36JofAnmC6ivMsEJxJkEIb6/ZMdcgbJTYgLbgnp2/W&#10;gTA4Oh3xaoT0o1QPrRCXXb8CQCfB3nLDYQhZZ/H61t+YXzyo6gwwGmV+PUJLc6H6EqvRwr7LIbzf&#10;xUh8lXAJvqEmw0zGYTKME59VaLuLoE9Hp3gbFF+jjcrgdoMV6jykNPakb6Q/5+HU9c+x+w0AAP//&#10;AwBQSwMEFAAGAAgAAAAhAPfgYzDgAAAACQEAAA8AAABkcnMvZG93bnJldi54bWxMj0FPg0AQhe8m&#10;/ofNmHizCxRQkaFpGvXUNLE1Md6mMAVSdpewW6D/3vWkx8n78t43+WpWnRh5sK3RCOEiAMG6NFWr&#10;a4TPw9vDEwjrSFfUGc0IV7awKm5vcsoqM+kPHveuFr5E24wQGuf6TEpbNqzILkzP2mcnMyhy/hxq&#10;WQ00+XLVySgIUqmo1X6hoZ43DZfn/UUhvE80rZfh67g9nzbX70Oy+9qGjHh/N69fQDie3R8Mv/pe&#10;HQrvdDQXXVnRIcRhnHoUIY0SEB6Il8kjiCPCcxSBLHL5/4PiBwAA//8DAFBLAQItABQABgAIAAAA&#10;IQC2gziS/gAAAOEBAAATAAAAAAAAAAAAAAAAAAAAAABbQ29udGVudF9UeXBlc10ueG1sUEsBAi0A&#10;FAAGAAgAAAAhADj9If/WAAAAlAEAAAsAAAAAAAAAAAAAAAAALwEAAF9yZWxzLy5yZWxzUEsBAi0A&#10;FAAGAAgAAAAhAOODCe0cAgAAgQQAAA4AAAAAAAAAAAAAAAAALgIAAGRycy9lMm9Eb2MueG1sUEsB&#10;Ai0AFAAGAAgAAAAhAPfgYzDgAAAACQEAAA8AAAAAAAAAAAAAAAAAdgQAAGRycy9kb3ducmV2Lnht&#10;bFBLBQYAAAAABAAEAPMAAACDBQAAAAA=&#10;">
                <v:rect id="Rectangle 20659" o:spid="_x0000_s5306"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XaNxgAAAN4AAAAPAAAAZHJzL2Rvd25yZXYueG1sRI9Pi8Iw&#10;FMTvC36H8ARva7qCotUoi4tsD3vxH3h8NM+22ryEJtrqp98IC3scZuY3zGLVmVrcqfGVZQUfwwQE&#10;cW51xYWCw37zPgXhA7LG2jIpeJCH1bL3tsBU25a3dN+FQkQI+xQVlCG4VEqfl2TQD60jjt7ZNgZD&#10;lE0hdYNthJtajpJkIg1WHBdKdLQuKb/ubkbB6Ytdtmllfn6u3c8lm9bft8NRqUG/+5yDCNSF//Bf&#10;O9MKRslkPIPXnXgF5PIXAAD//wMAUEsBAi0AFAAGAAgAAAAhANvh9svuAAAAhQEAABMAAAAAAAAA&#10;AAAAAAAAAAAAAFtDb250ZW50X1R5cGVzXS54bWxQSwECLQAUAAYACAAAACEAWvQsW78AAAAVAQAA&#10;CwAAAAAAAAAAAAAAAAAfAQAAX3JlbHMvLnJlbHNQSwECLQAUAAYACAAAACEAY3l2jcYAAADeAAAA&#10;DwAAAAAAAAAAAAAAAAAHAgAAZHJzL2Rvd25yZXYueG1sUEsFBgAAAAADAAMAtwAAAPoCAAAAAA==&#10;" filled="f" stroked="f">
                  <v:textbox inset="0,0,0,0">
                    <w:txbxContent>
                      <w:p w14:paraId="21DEAD1A" w14:textId="77777777" w:rsidR="00B32EF2" w:rsidRDefault="00000000">
                        <w:r>
                          <w:rPr>
                            <w:rFonts w:ascii="Times New Roman" w:eastAsia="Times New Roman" w:hAnsi="Times New Roman" w:cs="Times New Roman"/>
                          </w:rPr>
                          <w:t>41</w:t>
                        </w:r>
                      </w:p>
                    </w:txbxContent>
                  </v:textbox>
                </v:rect>
                <w10:wrap type="topAndBottom" anchorx="page" anchory="page"/>
              </v:group>
            </w:pict>
          </mc:Fallback>
        </mc:AlternateContent>
      </w:r>
    </w:p>
    <w:p w14:paraId="5B52A4BA" w14:textId="77777777" w:rsidR="00B32EF2" w:rsidRDefault="00000000">
      <w:pPr>
        <w:spacing w:after="0"/>
        <w:ind w:left="-357" w:right="-306"/>
      </w:pPr>
      <w:r>
        <w:rPr>
          <w:noProof/>
        </w:rPr>
        <w:lastRenderedPageBreak/>
        <mc:AlternateContent>
          <mc:Choice Requires="wpg">
            <w:drawing>
              <wp:inline distT="0" distB="0" distL="0" distR="0" wp14:anchorId="2D4CD052" wp14:editId="76E0AB16">
                <wp:extent cx="3992248" cy="5774607"/>
                <wp:effectExtent l="0" t="0" r="0" b="0"/>
                <wp:docPr id="201996" name="Group 201996"/>
                <wp:cNvGraphicFramePr/>
                <a:graphic xmlns:a="http://schemas.openxmlformats.org/drawingml/2006/main">
                  <a:graphicData uri="http://schemas.microsoft.com/office/word/2010/wordprocessingGroup">
                    <wpg:wgp>
                      <wpg:cNvGrpSpPr/>
                      <wpg:grpSpPr>
                        <a:xfrm>
                          <a:off x="0" y="0"/>
                          <a:ext cx="3992248" cy="5774607"/>
                          <a:chOff x="0" y="0"/>
                          <a:chExt cx="3992248" cy="5774607"/>
                        </a:xfrm>
                      </wpg:grpSpPr>
                      <wps:wsp>
                        <wps:cNvPr id="20660" name="Rectangle 20660"/>
                        <wps:cNvSpPr/>
                        <wps:spPr>
                          <a:xfrm rot="-10799999">
                            <a:off x="1506443" y="4034540"/>
                            <a:ext cx="811766" cy="142889"/>
                          </a:xfrm>
                          <a:prstGeom prst="rect">
                            <a:avLst/>
                          </a:prstGeom>
                          <a:ln>
                            <a:noFill/>
                          </a:ln>
                        </wps:spPr>
                        <wps:txbx>
                          <w:txbxContent>
                            <w:p w14:paraId="7B330FEA" w14:textId="77777777" w:rsidR="00B32EF2" w:rsidRDefault="00000000">
                              <w:r>
                                <w:rPr>
                                  <w:rFonts w:ascii="Arial" w:eastAsia="Arial" w:hAnsi="Arial" w:cs="Arial"/>
                                  <w:b/>
                                  <w:sz w:val="18"/>
                                </w:rPr>
                                <w:t>Articolo 48</w:t>
                              </w:r>
                            </w:p>
                          </w:txbxContent>
                        </wps:txbx>
                        <wps:bodyPr horzOverflow="overflow" vert="horz" lIns="0" tIns="0" rIns="0" bIns="0" rtlCol="0">
                          <a:noAutofit/>
                        </wps:bodyPr>
                      </wps:wsp>
                      <wps:wsp>
                        <wps:cNvPr id="201908" name="Rectangle 201908"/>
                        <wps:cNvSpPr/>
                        <wps:spPr>
                          <a:xfrm rot="-10799999">
                            <a:off x="2211509" y="3911211"/>
                            <a:ext cx="1856715" cy="142889"/>
                          </a:xfrm>
                          <a:prstGeom prst="rect">
                            <a:avLst/>
                          </a:prstGeom>
                          <a:ln>
                            <a:noFill/>
                          </a:ln>
                        </wps:spPr>
                        <wps:txbx>
                          <w:txbxContent>
                            <w:p w14:paraId="3C745AC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910" name="Rectangle 201910"/>
                        <wps:cNvSpPr/>
                        <wps:spPr>
                          <a:xfrm rot="-10799999">
                            <a:off x="1216744" y="3911211"/>
                            <a:ext cx="1856715" cy="142889"/>
                          </a:xfrm>
                          <a:prstGeom prst="rect">
                            <a:avLst/>
                          </a:prstGeom>
                          <a:ln>
                            <a:noFill/>
                          </a:ln>
                        </wps:spPr>
                        <wps:txbx>
                          <w:txbxContent>
                            <w:p w14:paraId="53098E78" w14:textId="77777777" w:rsidR="00B32EF2" w:rsidRDefault="00000000">
                              <w:r>
                                <w:rPr>
                                  <w:rFonts w:ascii="Arial" w:eastAsia="Arial" w:hAnsi="Arial" w:cs="Arial"/>
                                  <w:i/>
                                  <w:sz w:val="18"/>
                                </w:rPr>
                                <w:t xml:space="preserve">articolo 4 D.lgs. n. </w:t>
                              </w:r>
                            </w:p>
                          </w:txbxContent>
                        </wps:txbx>
                        <wps:bodyPr horzOverflow="overflow" vert="horz" lIns="0" tIns="0" rIns="0" bIns="0" rtlCol="0">
                          <a:noAutofit/>
                        </wps:bodyPr>
                      </wps:wsp>
                      <wps:wsp>
                        <wps:cNvPr id="201909" name="Rectangle 201909"/>
                        <wps:cNvSpPr/>
                        <wps:spPr>
                          <a:xfrm rot="-10799999">
                            <a:off x="-144122" y="3911211"/>
                            <a:ext cx="1856715" cy="142889"/>
                          </a:xfrm>
                          <a:prstGeom prst="rect">
                            <a:avLst/>
                          </a:prstGeom>
                          <a:ln>
                            <a:noFill/>
                          </a:ln>
                        </wps:spPr>
                        <wps:txbx>
                          <w:txbxContent>
                            <w:p w14:paraId="3F4A64B3"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662" name="Rectangle 20662"/>
                        <wps:cNvSpPr/>
                        <wps:spPr>
                          <a:xfrm rot="-10799999">
                            <a:off x="780090" y="3787881"/>
                            <a:ext cx="1948914" cy="142889"/>
                          </a:xfrm>
                          <a:prstGeom prst="rect">
                            <a:avLst/>
                          </a:prstGeom>
                          <a:ln>
                            <a:noFill/>
                          </a:ln>
                        </wps:spPr>
                        <wps:txbx>
                          <w:txbxContent>
                            <w:p w14:paraId="12AA355D" w14:textId="77777777" w:rsidR="00B32EF2" w:rsidRDefault="00000000">
                              <w:r>
                                <w:rPr>
                                  <w:rFonts w:ascii="Arial" w:eastAsia="Arial" w:hAnsi="Arial" w:cs="Arial"/>
                                  <w:b/>
                                  <w:sz w:val="18"/>
                                </w:rPr>
                                <w:t xml:space="preserve">Competenza per territorio </w:t>
                              </w:r>
                            </w:p>
                          </w:txbxContent>
                        </wps:txbx>
                        <wps:bodyPr horzOverflow="overflow" vert="horz" lIns="0" tIns="0" rIns="0" bIns="0" rtlCol="0">
                          <a:noAutofit/>
                        </wps:bodyPr>
                      </wps:wsp>
                      <wps:wsp>
                        <wps:cNvPr id="201907" name="Rectangle 201907"/>
                        <wps:cNvSpPr/>
                        <wps:spPr>
                          <a:xfrm rot="-10799999">
                            <a:off x="-1279273" y="3664551"/>
                            <a:ext cx="5212337" cy="142889"/>
                          </a:xfrm>
                          <a:prstGeom prst="rect">
                            <a:avLst/>
                          </a:prstGeom>
                          <a:ln>
                            <a:noFill/>
                          </a:ln>
                        </wps:spPr>
                        <wps:txbx>
                          <w:txbxContent>
                            <w:p w14:paraId="42677F46" w14:textId="77777777" w:rsidR="00B32EF2" w:rsidRDefault="00000000">
                              <w:r>
                                <w:rPr>
                                  <w:rFonts w:ascii="Arial" w:eastAsia="Arial" w:hAnsi="Arial" w:cs="Arial"/>
                                  <w:sz w:val="18"/>
                                </w:rPr>
                                <w:t>. Le corti di giustizia tributaria di primo grado sono competenti per le con</w:t>
                              </w:r>
                            </w:p>
                          </w:txbxContent>
                        </wps:txbx>
                        <wps:bodyPr horzOverflow="overflow" vert="horz" lIns="0" tIns="0" rIns="0" bIns="0" rtlCol="0">
                          <a:noAutofit/>
                        </wps:bodyPr>
                      </wps:wsp>
                      <wps:wsp>
                        <wps:cNvPr id="201906" name="Rectangle 201906"/>
                        <wps:cNvSpPr/>
                        <wps:spPr>
                          <a:xfrm rot="-10799999">
                            <a:off x="2635410" y="3664551"/>
                            <a:ext cx="5212337" cy="142889"/>
                          </a:xfrm>
                          <a:prstGeom prst="rect">
                            <a:avLst/>
                          </a:prstGeom>
                          <a:ln>
                            <a:noFill/>
                          </a:ln>
                        </wps:spPr>
                        <wps:txbx>
                          <w:txbxContent>
                            <w:p w14:paraId="349310FC"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664" name="Rectangle 20664"/>
                        <wps:cNvSpPr/>
                        <wps:spPr>
                          <a:xfrm rot="-10799999">
                            <a:off x="19649" y="3664552"/>
                            <a:ext cx="50622" cy="142889"/>
                          </a:xfrm>
                          <a:prstGeom prst="rect">
                            <a:avLst/>
                          </a:prstGeom>
                          <a:ln>
                            <a:noFill/>
                          </a:ln>
                        </wps:spPr>
                        <wps:txbx>
                          <w:txbxContent>
                            <w:p w14:paraId="4700A41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665" name="Rectangle 20665"/>
                        <wps:cNvSpPr/>
                        <wps:spPr>
                          <a:xfrm rot="-10799999">
                            <a:off x="-1220792" y="3541222"/>
                            <a:ext cx="5214070" cy="142889"/>
                          </a:xfrm>
                          <a:prstGeom prst="rect">
                            <a:avLst/>
                          </a:prstGeom>
                          <a:ln>
                            <a:noFill/>
                          </a:ln>
                        </wps:spPr>
                        <wps:txbx>
                          <w:txbxContent>
                            <w:p w14:paraId="558ADEFA" w14:textId="77777777" w:rsidR="00B32EF2" w:rsidRDefault="00000000">
                              <w:r>
                                <w:rPr>
                                  <w:rFonts w:ascii="Arial" w:eastAsia="Arial" w:hAnsi="Arial" w:cs="Arial"/>
                                  <w:sz w:val="18"/>
                                </w:rPr>
                                <w:t>troversie proposte nei confronti degli enti impositori, degli agenti della riscos</w:t>
                              </w:r>
                            </w:p>
                          </w:txbxContent>
                        </wps:txbx>
                        <wps:bodyPr horzOverflow="overflow" vert="horz" lIns="0" tIns="0" rIns="0" bIns="0" rtlCol="0">
                          <a:noAutofit/>
                        </wps:bodyPr>
                      </wps:wsp>
                      <wps:wsp>
                        <wps:cNvPr id="20666" name="Rectangle 20666"/>
                        <wps:cNvSpPr/>
                        <wps:spPr>
                          <a:xfrm rot="-10799999">
                            <a:off x="19649" y="3541222"/>
                            <a:ext cx="50622" cy="142889"/>
                          </a:xfrm>
                          <a:prstGeom prst="rect">
                            <a:avLst/>
                          </a:prstGeom>
                          <a:ln>
                            <a:noFill/>
                          </a:ln>
                        </wps:spPr>
                        <wps:txbx>
                          <w:txbxContent>
                            <w:p w14:paraId="4505110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667" name="Rectangle 20667"/>
                        <wps:cNvSpPr/>
                        <wps:spPr>
                          <a:xfrm rot="-10799999">
                            <a:off x="-1316787" y="3417892"/>
                            <a:ext cx="5309036" cy="142889"/>
                          </a:xfrm>
                          <a:prstGeom prst="rect">
                            <a:avLst/>
                          </a:prstGeom>
                          <a:ln>
                            <a:noFill/>
                          </a:ln>
                        </wps:spPr>
                        <wps:txbx>
                          <w:txbxContent>
                            <w:p w14:paraId="25F73F01" w14:textId="77777777" w:rsidR="00B32EF2" w:rsidRDefault="00000000">
                              <w:r>
                                <w:rPr>
                                  <w:rFonts w:ascii="Arial" w:eastAsia="Arial" w:hAnsi="Arial" w:cs="Arial"/>
                                  <w:sz w:val="18"/>
                                </w:rPr>
                                <w:t xml:space="preserve">sione e dei soggetti iscritti all’albo di cui all’articolo 53 del decreto legislativo </w:t>
                              </w:r>
                            </w:p>
                          </w:txbxContent>
                        </wps:txbx>
                        <wps:bodyPr horzOverflow="overflow" vert="horz" lIns="0" tIns="0" rIns="0" bIns="0" rtlCol="0">
                          <a:noAutofit/>
                        </wps:bodyPr>
                      </wps:wsp>
                      <wps:wsp>
                        <wps:cNvPr id="201905" name="Rectangle 201905"/>
                        <wps:cNvSpPr/>
                        <wps:spPr>
                          <a:xfrm rot="-10799999">
                            <a:off x="-1440094" y="3294563"/>
                            <a:ext cx="5309036" cy="142889"/>
                          </a:xfrm>
                          <a:prstGeom prst="rect">
                            <a:avLst/>
                          </a:prstGeom>
                          <a:ln>
                            <a:noFill/>
                          </a:ln>
                        </wps:spPr>
                        <wps:txbx>
                          <w:txbxContent>
                            <w:p w14:paraId="33D63191" w14:textId="77777777" w:rsidR="00B32EF2" w:rsidRDefault="00000000">
                              <w:r>
                                <w:rPr>
                                  <w:rFonts w:ascii="Arial" w:eastAsia="Arial" w:hAnsi="Arial" w:cs="Arial"/>
                                  <w:sz w:val="18"/>
                                </w:rPr>
                                <w:t xml:space="preserve"> dicembre 1997, n. 446, che hanno sede nella loro circoscrizione. Se la </w:t>
                              </w:r>
                            </w:p>
                          </w:txbxContent>
                        </wps:txbx>
                        <wps:bodyPr horzOverflow="overflow" vert="horz" lIns="0" tIns="0" rIns="0" bIns="0" rtlCol="0">
                          <a:noAutofit/>
                        </wps:bodyPr>
                      </wps:wsp>
                      <wps:wsp>
                        <wps:cNvPr id="201904" name="Rectangle 201904"/>
                        <wps:cNvSpPr/>
                        <wps:spPr>
                          <a:xfrm rot="-10799999">
                            <a:off x="2551661" y="3294563"/>
                            <a:ext cx="5309036" cy="142889"/>
                          </a:xfrm>
                          <a:prstGeom prst="rect">
                            <a:avLst/>
                          </a:prstGeom>
                          <a:ln>
                            <a:noFill/>
                          </a:ln>
                        </wps:spPr>
                        <wps:txbx>
                          <w:txbxContent>
                            <w:p w14:paraId="7C7D9C92" w14:textId="77777777" w:rsidR="00B32EF2" w:rsidRDefault="00000000">
                              <w:r>
                                <w:rPr>
                                  <w:rFonts w:ascii="Arial" w:eastAsia="Arial" w:hAnsi="Arial" w:cs="Arial"/>
                                  <w:sz w:val="18"/>
                                </w:rPr>
                                <w:t>15</w:t>
                              </w:r>
                            </w:p>
                          </w:txbxContent>
                        </wps:txbx>
                        <wps:bodyPr horzOverflow="overflow" vert="horz" lIns="0" tIns="0" rIns="0" bIns="0" rtlCol="0">
                          <a:noAutofit/>
                        </wps:bodyPr>
                      </wps:wsp>
                      <wps:wsp>
                        <wps:cNvPr id="20669" name="Rectangle 20669"/>
                        <wps:cNvSpPr/>
                        <wps:spPr>
                          <a:xfrm rot="-10799999">
                            <a:off x="-1220731" y="3171233"/>
                            <a:ext cx="5214009" cy="142889"/>
                          </a:xfrm>
                          <a:prstGeom prst="rect">
                            <a:avLst/>
                          </a:prstGeom>
                          <a:ln>
                            <a:noFill/>
                          </a:ln>
                        </wps:spPr>
                        <wps:txbx>
                          <w:txbxContent>
                            <w:p w14:paraId="028BD9EE" w14:textId="77777777" w:rsidR="00B32EF2" w:rsidRDefault="00000000">
                              <w:r>
                                <w:rPr>
                                  <w:rFonts w:ascii="Arial" w:eastAsia="Arial" w:hAnsi="Arial" w:cs="Arial"/>
                                  <w:sz w:val="18"/>
                                </w:rPr>
                                <w:t>controversia è proposta nei confronti di articolazioni dell’Agenzia delle entra</w:t>
                              </w:r>
                            </w:p>
                          </w:txbxContent>
                        </wps:txbx>
                        <wps:bodyPr horzOverflow="overflow" vert="horz" lIns="0" tIns="0" rIns="0" bIns="0" rtlCol="0">
                          <a:noAutofit/>
                        </wps:bodyPr>
                      </wps:wsp>
                      <wps:wsp>
                        <wps:cNvPr id="20670" name="Rectangle 20670"/>
                        <wps:cNvSpPr/>
                        <wps:spPr>
                          <a:xfrm rot="-10799999">
                            <a:off x="19649" y="3171233"/>
                            <a:ext cx="50622" cy="142889"/>
                          </a:xfrm>
                          <a:prstGeom prst="rect">
                            <a:avLst/>
                          </a:prstGeom>
                          <a:ln>
                            <a:noFill/>
                          </a:ln>
                        </wps:spPr>
                        <wps:txbx>
                          <w:txbxContent>
                            <w:p w14:paraId="4FCC704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671" name="Rectangle 20671"/>
                        <wps:cNvSpPr/>
                        <wps:spPr>
                          <a:xfrm rot="-10799999">
                            <a:off x="-1316818" y="3047903"/>
                            <a:ext cx="5309066" cy="142889"/>
                          </a:xfrm>
                          <a:prstGeom prst="rect">
                            <a:avLst/>
                          </a:prstGeom>
                          <a:ln>
                            <a:noFill/>
                          </a:ln>
                        </wps:spPr>
                        <wps:txbx>
                          <w:txbxContent>
                            <w:p w14:paraId="123676A5" w14:textId="77777777" w:rsidR="00B32EF2" w:rsidRDefault="00000000">
                              <w:r>
                                <w:rPr>
                                  <w:rFonts w:ascii="Arial" w:eastAsia="Arial" w:hAnsi="Arial" w:cs="Arial"/>
                                  <w:sz w:val="18"/>
                                </w:rPr>
                                <w:t xml:space="preserve">te, con competenza su tutto o parte del territorio nazionale, individuate con il </w:t>
                              </w:r>
                            </w:p>
                          </w:txbxContent>
                        </wps:txbx>
                        <wps:bodyPr horzOverflow="overflow" vert="horz" lIns="0" tIns="0" rIns="0" bIns="0" rtlCol="0">
                          <a:noAutofit/>
                        </wps:bodyPr>
                      </wps:wsp>
                      <wps:wsp>
                        <wps:cNvPr id="20672" name="Rectangle 20672"/>
                        <wps:cNvSpPr/>
                        <wps:spPr>
                          <a:xfrm rot="-10799999">
                            <a:off x="-1317217" y="2924574"/>
                            <a:ext cx="5310723" cy="142889"/>
                          </a:xfrm>
                          <a:prstGeom prst="rect">
                            <a:avLst/>
                          </a:prstGeom>
                          <a:ln>
                            <a:noFill/>
                          </a:ln>
                        </wps:spPr>
                        <wps:txbx>
                          <w:txbxContent>
                            <w:p w14:paraId="10BBA572" w14:textId="77777777" w:rsidR="00B32EF2" w:rsidRDefault="00000000">
                              <w:r>
                                <w:rPr>
                                  <w:rFonts w:ascii="Arial" w:eastAsia="Arial" w:hAnsi="Arial" w:cs="Arial"/>
                                  <w:sz w:val="18"/>
                                </w:rPr>
                                <w:t xml:space="preserve">regolamento di amministrazione di cui all’articolo 71 del decreto legislativo 30 </w:t>
                              </w:r>
                            </w:p>
                          </w:txbxContent>
                        </wps:txbx>
                        <wps:bodyPr horzOverflow="overflow" vert="horz" lIns="0" tIns="0" rIns="0" bIns="0" rtlCol="0">
                          <a:noAutofit/>
                        </wps:bodyPr>
                      </wps:wsp>
                      <wps:wsp>
                        <wps:cNvPr id="20673" name="Rectangle 20673"/>
                        <wps:cNvSpPr/>
                        <wps:spPr>
                          <a:xfrm rot="-10799999">
                            <a:off x="-1317667" y="2801244"/>
                            <a:ext cx="5310602" cy="142889"/>
                          </a:xfrm>
                          <a:prstGeom prst="rect">
                            <a:avLst/>
                          </a:prstGeom>
                          <a:ln>
                            <a:noFill/>
                          </a:ln>
                        </wps:spPr>
                        <wps:txbx>
                          <w:txbxContent>
                            <w:p w14:paraId="27187A0A" w14:textId="77777777" w:rsidR="00B32EF2" w:rsidRDefault="00000000">
                              <w:r>
                                <w:rPr>
                                  <w:rFonts w:ascii="Arial" w:eastAsia="Arial" w:hAnsi="Arial" w:cs="Arial"/>
                                  <w:sz w:val="18"/>
                                </w:rPr>
                                <w:t xml:space="preserve">luglio 1999, n. 300, è competente la corte di giustizia tributaria di primo grado </w:t>
                              </w:r>
                            </w:p>
                          </w:txbxContent>
                        </wps:txbx>
                        <wps:bodyPr horzOverflow="overflow" vert="horz" lIns="0" tIns="0" rIns="0" bIns="0" rtlCol="0">
                          <a:noAutofit/>
                        </wps:bodyPr>
                      </wps:wsp>
                      <wps:wsp>
                        <wps:cNvPr id="20674" name="Rectangle 20674"/>
                        <wps:cNvSpPr/>
                        <wps:spPr>
                          <a:xfrm rot="-10799999">
                            <a:off x="-1316787" y="2677914"/>
                            <a:ext cx="5309036" cy="142889"/>
                          </a:xfrm>
                          <a:prstGeom prst="rect">
                            <a:avLst/>
                          </a:prstGeom>
                          <a:ln>
                            <a:noFill/>
                          </a:ln>
                        </wps:spPr>
                        <wps:txbx>
                          <w:txbxContent>
                            <w:p w14:paraId="55884FAB" w14:textId="77777777" w:rsidR="00B32EF2" w:rsidRDefault="00000000">
                              <w:r>
                                <w:rPr>
                                  <w:rFonts w:ascii="Arial" w:eastAsia="Arial" w:hAnsi="Arial" w:cs="Arial"/>
                                  <w:sz w:val="18"/>
                                </w:rPr>
                                <w:t xml:space="preserve">nella cui circoscrizione ha sede l’ufficio al quale spettano le attribuzioni sul </w:t>
                              </w:r>
                            </w:p>
                          </w:txbxContent>
                        </wps:txbx>
                        <wps:bodyPr horzOverflow="overflow" vert="horz" lIns="0" tIns="0" rIns="0" bIns="0" rtlCol="0">
                          <a:noAutofit/>
                        </wps:bodyPr>
                      </wps:wsp>
                      <wps:wsp>
                        <wps:cNvPr id="20675" name="Rectangle 20675"/>
                        <wps:cNvSpPr/>
                        <wps:spPr>
                          <a:xfrm rot="-10799999">
                            <a:off x="2524804" y="2554585"/>
                            <a:ext cx="1468473" cy="142889"/>
                          </a:xfrm>
                          <a:prstGeom prst="rect">
                            <a:avLst/>
                          </a:prstGeom>
                          <a:ln>
                            <a:noFill/>
                          </a:ln>
                        </wps:spPr>
                        <wps:txbx>
                          <w:txbxContent>
                            <w:p w14:paraId="6D79FCFF" w14:textId="77777777" w:rsidR="00B32EF2" w:rsidRDefault="00000000">
                              <w:r>
                                <w:rPr>
                                  <w:rFonts w:ascii="Arial" w:eastAsia="Arial" w:hAnsi="Arial" w:cs="Arial"/>
                                  <w:sz w:val="18"/>
                                </w:rPr>
                                <w:t>rapporto controverso.</w:t>
                              </w:r>
                            </w:p>
                          </w:txbxContent>
                        </wps:txbx>
                        <wps:bodyPr horzOverflow="overflow" vert="horz" lIns="0" tIns="0" rIns="0" bIns="0" rtlCol="0">
                          <a:noAutofit/>
                        </wps:bodyPr>
                      </wps:wsp>
                      <wps:wsp>
                        <wps:cNvPr id="201902" name="Rectangle 201902"/>
                        <wps:cNvSpPr/>
                        <wps:spPr>
                          <a:xfrm rot="-10799999">
                            <a:off x="2635475" y="2431255"/>
                            <a:ext cx="5212077" cy="142889"/>
                          </a:xfrm>
                          <a:prstGeom prst="rect">
                            <a:avLst/>
                          </a:prstGeom>
                          <a:ln>
                            <a:noFill/>
                          </a:ln>
                        </wps:spPr>
                        <wps:txbx>
                          <w:txbxContent>
                            <w:p w14:paraId="1D28D4AB"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903" name="Rectangle 201903"/>
                        <wps:cNvSpPr/>
                        <wps:spPr>
                          <a:xfrm rot="-10799999">
                            <a:off x="-1284386" y="2431255"/>
                            <a:ext cx="5212078" cy="142889"/>
                          </a:xfrm>
                          <a:prstGeom prst="rect">
                            <a:avLst/>
                          </a:prstGeom>
                          <a:ln>
                            <a:noFill/>
                          </a:ln>
                        </wps:spPr>
                        <wps:txbx>
                          <w:txbxContent>
                            <w:p w14:paraId="5EBD9133" w14:textId="77777777" w:rsidR="00B32EF2" w:rsidRDefault="00000000">
                              <w:r>
                                <w:rPr>
                                  <w:rFonts w:ascii="Arial" w:eastAsia="Arial" w:hAnsi="Arial" w:cs="Arial"/>
                                  <w:sz w:val="18"/>
                                </w:rPr>
                                <w:t>. Le corti di giustizia tributaria di secondo grado sono competenti per le im</w:t>
                              </w:r>
                            </w:p>
                          </w:txbxContent>
                        </wps:txbx>
                        <wps:bodyPr horzOverflow="overflow" vert="horz" lIns="0" tIns="0" rIns="0" bIns="0" rtlCol="0">
                          <a:noAutofit/>
                        </wps:bodyPr>
                      </wps:wsp>
                      <wps:wsp>
                        <wps:cNvPr id="20677" name="Rectangle 20677"/>
                        <wps:cNvSpPr/>
                        <wps:spPr>
                          <a:xfrm rot="-10799999">
                            <a:off x="19649" y="2431254"/>
                            <a:ext cx="50622" cy="142889"/>
                          </a:xfrm>
                          <a:prstGeom prst="rect">
                            <a:avLst/>
                          </a:prstGeom>
                          <a:ln>
                            <a:noFill/>
                          </a:ln>
                        </wps:spPr>
                        <wps:txbx>
                          <w:txbxContent>
                            <w:p w14:paraId="04D667C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678" name="Rectangle 20678"/>
                        <wps:cNvSpPr/>
                        <wps:spPr>
                          <a:xfrm rot="-10799999">
                            <a:off x="-1316817" y="2307925"/>
                            <a:ext cx="5309066" cy="142889"/>
                          </a:xfrm>
                          <a:prstGeom prst="rect">
                            <a:avLst/>
                          </a:prstGeom>
                          <a:ln>
                            <a:noFill/>
                          </a:ln>
                        </wps:spPr>
                        <wps:txbx>
                          <w:txbxContent>
                            <w:p w14:paraId="456CB51A" w14:textId="77777777" w:rsidR="00B32EF2" w:rsidRDefault="00000000">
                              <w:r>
                                <w:rPr>
                                  <w:rFonts w:ascii="Arial" w:eastAsia="Arial" w:hAnsi="Arial" w:cs="Arial"/>
                                  <w:sz w:val="18"/>
                                </w:rPr>
                                <w:t xml:space="preserve">pugnazioni avverso le decisioni delle corti di giustizia tributaria di primo grado, </w:t>
                              </w:r>
                            </w:p>
                          </w:txbxContent>
                        </wps:txbx>
                        <wps:bodyPr horzOverflow="overflow" vert="horz" lIns="0" tIns="0" rIns="0" bIns="0" rtlCol="0">
                          <a:noAutofit/>
                        </wps:bodyPr>
                      </wps:wsp>
                      <wps:wsp>
                        <wps:cNvPr id="20679" name="Rectangle 20679"/>
                        <wps:cNvSpPr/>
                        <wps:spPr>
                          <a:xfrm rot="-10799999">
                            <a:off x="1207548" y="2184595"/>
                            <a:ext cx="2784699" cy="142889"/>
                          </a:xfrm>
                          <a:prstGeom prst="rect">
                            <a:avLst/>
                          </a:prstGeom>
                          <a:ln>
                            <a:noFill/>
                          </a:ln>
                        </wps:spPr>
                        <wps:txbx>
                          <w:txbxContent>
                            <w:p w14:paraId="3937DC93" w14:textId="77777777" w:rsidR="00B32EF2" w:rsidRDefault="00000000">
                              <w:r>
                                <w:rPr>
                                  <w:rFonts w:ascii="Arial" w:eastAsia="Arial" w:hAnsi="Arial" w:cs="Arial"/>
                                  <w:sz w:val="18"/>
                                </w:rPr>
                                <w:t>che hanno sede nella loro circoscrizione.</w:t>
                              </w:r>
                            </w:p>
                          </w:txbxContent>
                        </wps:txbx>
                        <wps:bodyPr horzOverflow="overflow" vert="horz" lIns="0" tIns="0" rIns="0" bIns="0" rtlCol="0">
                          <a:noAutofit/>
                        </wps:bodyPr>
                      </wps:wsp>
                      <wps:wsp>
                        <wps:cNvPr id="20680" name="Rectangle 20680"/>
                        <wps:cNvSpPr/>
                        <wps:spPr>
                          <a:xfrm rot="-10799999">
                            <a:off x="1506565" y="1444502"/>
                            <a:ext cx="811417" cy="142889"/>
                          </a:xfrm>
                          <a:prstGeom prst="rect">
                            <a:avLst/>
                          </a:prstGeom>
                          <a:ln>
                            <a:noFill/>
                          </a:ln>
                        </wps:spPr>
                        <wps:txbx>
                          <w:txbxContent>
                            <w:p w14:paraId="71E59B66" w14:textId="77777777" w:rsidR="00B32EF2" w:rsidRDefault="00000000">
                              <w:r>
                                <w:rPr>
                                  <w:rFonts w:ascii="Arial" w:eastAsia="Arial" w:hAnsi="Arial" w:cs="Arial"/>
                                  <w:b/>
                                  <w:sz w:val="18"/>
                                </w:rPr>
                                <w:t>Articolo 49</w:t>
                              </w:r>
                            </w:p>
                          </w:txbxContent>
                        </wps:txbx>
                        <wps:bodyPr horzOverflow="overflow" vert="horz" lIns="0" tIns="0" rIns="0" bIns="0" rtlCol="0">
                          <a:noAutofit/>
                        </wps:bodyPr>
                      </wps:wsp>
                      <wps:wsp>
                        <wps:cNvPr id="201900" name="Rectangle 201900"/>
                        <wps:cNvSpPr/>
                        <wps:spPr>
                          <a:xfrm rot="-10799999">
                            <a:off x="-500056" y="1321173"/>
                            <a:ext cx="2115344" cy="142889"/>
                          </a:xfrm>
                          <a:prstGeom prst="rect">
                            <a:avLst/>
                          </a:prstGeom>
                          <a:ln>
                            <a:noFill/>
                          </a:ln>
                        </wps:spPr>
                        <wps:txbx>
                          <w:txbxContent>
                            <w:p w14:paraId="3DBDA427"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899" name="Rectangle 201899"/>
                        <wps:cNvSpPr/>
                        <wps:spPr>
                          <a:xfrm rot="-10799999">
                            <a:off x="2244491" y="1321173"/>
                            <a:ext cx="2115344" cy="142889"/>
                          </a:xfrm>
                          <a:prstGeom prst="rect">
                            <a:avLst/>
                          </a:prstGeom>
                          <a:ln>
                            <a:noFill/>
                          </a:ln>
                        </wps:spPr>
                        <wps:txbx>
                          <w:txbxContent>
                            <w:p w14:paraId="10825DC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901" name="Rectangle 201901"/>
                        <wps:cNvSpPr/>
                        <wps:spPr>
                          <a:xfrm rot="-10799999">
                            <a:off x="1055269" y="1321173"/>
                            <a:ext cx="2115344" cy="142889"/>
                          </a:xfrm>
                          <a:prstGeom prst="rect">
                            <a:avLst/>
                          </a:prstGeom>
                          <a:ln>
                            <a:noFill/>
                          </a:ln>
                        </wps:spPr>
                        <wps:txbx>
                          <w:txbxContent>
                            <w:p w14:paraId="71C0908D" w14:textId="77777777" w:rsidR="00B32EF2" w:rsidRDefault="00000000">
                              <w:r>
                                <w:rPr>
                                  <w:rFonts w:ascii="Arial" w:eastAsia="Arial" w:hAnsi="Arial" w:cs="Arial"/>
                                  <w:i/>
                                  <w:sz w:val="18"/>
                                </w:rPr>
                                <w:t xml:space="preserve">articolo 4-bis D.lgs. n. </w:t>
                              </w:r>
                            </w:p>
                          </w:txbxContent>
                        </wps:txbx>
                        <wps:bodyPr horzOverflow="overflow" vert="horz" lIns="0" tIns="0" rIns="0" bIns="0" rtlCol="0">
                          <a:noAutofit/>
                        </wps:bodyPr>
                      </wps:wsp>
                      <wps:wsp>
                        <wps:cNvPr id="20682" name="Rectangle 20682"/>
                        <wps:cNvSpPr/>
                        <wps:spPr>
                          <a:xfrm rot="-10799999">
                            <a:off x="252125" y="1197843"/>
                            <a:ext cx="2794747" cy="142889"/>
                          </a:xfrm>
                          <a:prstGeom prst="rect">
                            <a:avLst/>
                          </a:prstGeom>
                          <a:ln>
                            <a:noFill/>
                          </a:ln>
                        </wps:spPr>
                        <wps:txbx>
                          <w:txbxContent>
                            <w:p w14:paraId="6DABA53A" w14:textId="77777777" w:rsidR="00B32EF2" w:rsidRDefault="00000000">
                              <w:r>
                                <w:rPr>
                                  <w:rFonts w:ascii="Arial" w:eastAsia="Arial" w:hAnsi="Arial" w:cs="Arial"/>
                                  <w:b/>
                                  <w:sz w:val="18"/>
                                </w:rPr>
                                <w:t xml:space="preserve">Competenza del giudice monocratico </w:t>
                              </w:r>
                            </w:p>
                          </w:txbxContent>
                        </wps:txbx>
                        <wps:bodyPr horzOverflow="overflow" vert="horz" lIns="0" tIns="0" rIns="0" bIns="0" rtlCol="0">
                          <a:noAutofit/>
                        </wps:bodyPr>
                      </wps:wsp>
                      <wps:wsp>
                        <wps:cNvPr id="201898" name="Rectangle 201898"/>
                        <wps:cNvSpPr/>
                        <wps:spPr>
                          <a:xfrm rot="-10799999">
                            <a:off x="-1278505" y="1074513"/>
                            <a:ext cx="5213386" cy="142889"/>
                          </a:xfrm>
                          <a:prstGeom prst="rect">
                            <a:avLst/>
                          </a:prstGeom>
                          <a:ln>
                            <a:noFill/>
                          </a:ln>
                        </wps:spPr>
                        <wps:txbx>
                          <w:txbxContent>
                            <w:p w14:paraId="188997FA" w14:textId="77777777" w:rsidR="00B32EF2" w:rsidRDefault="00000000">
                              <w:r>
                                <w:rPr>
                                  <w:rFonts w:ascii="Arial" w:eastAsia="Arial" w:hAnsi="Arial" w:cs="Arial"/>
                                  <w:sz w:val="18"/>
                                </w:rPr>
                                <w:t>. Le corti di giustizia tributaria di primo grado decidono in composizione mo</w:t>
                              </w:r>
                            </w:p>
                          </w:txbxContent>
                        </wps:txbx>
                        <wps:bodyPr horzOverflow="overflow" vert="horz" lIns="0" tIns="0" rIns="0" bIns="0" rtlCol="0">
                          <a:noAutofit/>
                        </wps:bodyPr>
                      </wps:wsp>
                      <wps:wsp>
                        <wps:cNvPr id="201897" name="Rectangle 201897"/>
                        <wps:cNvSpPr/>
                        <wps:spPr>
                          <a:xfrm rot="-10799999">
                            <a:off x="2635035" y="1074514"/>
                            <a:ext cx="5213387" cy="142889"/>
                          </a:xfrm>
                          <a:prstGeom prst="rect">
                            <a:avLst/>
                          </a:prstGeom>
                          <a:ln>
                            <a:noFill/>
                          </a:ln>
                        </wps:spPr>
                        <wps:txbx>
                          <w:txbxContent>
                            <w:p w14:paraId="7209EF84"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684" name="Rectangle 20684"/>
                        <wps:cNvSpPr/>
                        <wps:spPr>
                          <a:xfrm rot="-10799999">
                            <a:off x="19535" y="1074514"/>
                            <a:ext cx="50622" cy="142889"/>
                          </a:xfrm>
                          <a:prstGeom prst="rect">
                            <a:avLst/>
                          </a:prstGeom>
                          <a:ln>
                            <a:noFill/>
                          </a:ln>
                        </wps:spPr>
                        <wps:txbx>
                          <w:txbxContent>
                            <w:p w14:paraId="0469999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685" name="Rectangle 20685"/>
                        <wps:cNvSpPr/>
                        <wps:spPr>
                          <a:xfrm rot="-10799999">
                            <a:off x="-1218377" y="951183"/>
                            <a:ext cx="5210512" cy="142889"/>
                          </a:xfrm>
                          <a:prstGeom prst="rect">
                            <a:avLst/>
                          </a:prstGeom>
                          <a:ln>
                            <a:noFill/>
                          </a:ln>
                        </wps:spPr>
                        <wps:txbx>
                          <w:txbxContent>
                            <w:p w14:paraId="4BD1CD30" w14:textId="77777777" w:rsidR="00B32EF2" w:rsidRDefault="00000000">
                              <w:r>
                                <w:rPr>
                                  <w:rFonts w:ascii="Arial" w:eastAsia="Arial" w:hAnsi="Arial" w:cs="Arial"/>
                                  <w:sz w:val="18"/>
                                </w:rPr>
                                <w:t>nocratica le controversie di valore fino a 5.000 euro. Sono escluse le contro</w:t>
                              </w:r>
                            </w:p>
                          </w:txbxContent>
                        </wps:txbx>
                        <wps:bodyPr horzOverflow="overflow" vert="horz" lIns="0" tIns="0" rIns="0" bIns="0" rtlCol="0">
                          <a:noAutofit/>
                        </wps:bodyPr>
                      </wps:wsp>
                      <wps:wsp>
                        <wps:cNvPr id="20686" name="Rectangle 20686"/>
                        <wps:cNvSpPr/>
                        <wps:spPr>
                          <a:xfrm rot="-10799999">
                            <a:off x="19535" y="951184"/>
                            <a:ext cx="50622" cy="142889"/>
                          </a:xfrm>
                          <a:prstGeom prst="rect">
                            <a:avLst/>
                          </a:prstGeom>
                          <a:ln>
                            <a:noFill/>
                          </a:ln>
                        </wps:spPr>
                        <wps:txbx>
                          <w:txbxContent>
                            <w:p w14:paraId="49E66B8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687" name="Rectangle 20687"/>
                        <wps:cNvSpPr/>
                        <wps:spPr>
                          <a:xfrm rot="-10799999">
                            <a:off x="1833266" y="827854"/>
                            <a:ext cx="2158868" cy="142889"/>
                          </a:xfrm>
                          <a:prstGeom prst="rect">
                            <a:avLst/>
                          </a:prstGeom>
                          <a:ln>
                            <a:noFill/>
                          </a:ln>
                        </wps:spPr>
                        <wps:txbx>
                          <w:txbxContent>
                            <w:p w14:paraId="60E445BE" w14:textId="77777777" w:rsidR="00B32EF2" w:rsidRDefault="00000000">
                              <w:r>
                                <w:rPr>
                                  <w:rFonts w:ascii="Arial" w:eastAsia="Arial" w:hAnsi="Arial" w:cs="Arial"/>
                                  <w:sz w:val="18"/>
                                </w:rPr>
                                <w:t>versie di valore indeterminabile.</w:t>
                              </w:r>
                            </w:p>
                          </w:txbxContent>
                        </wps:txbx>
                        <wps:bodyPr horzOverflow="overflow" vert="horz" lIns="0" tIns="0" rIns="0" bIns="0" rtlCol="0">
                          <a:noAutofit/>
                        </wps:bodyPr>
                      </wps:wsp>
                      <wps:wsp>
                        <wps:cNvPr id="201895" name="Rectangle 201895"/>
                        <wps:cNvSpPr/>
                        <wps:spPr>
                          <a:xfrm rot="-10799999">
                            <a:off x="-1381503" y="704524"/>
                            <a:ext cx="5309082" cy="142890"/>
                          </a:xfrm>
                          <a:prstGeom prst="rect">
                            <a:avLst/>
                          </a:prstGeom>
                          <a:ln>
                            <a:noFill/>
                          </a:ln>
                        </wps:spPr>
                        <wps:txbx>
                          <w:txbxContent>
                            <w:p w14:paraId="311D603C" w14:textId="77777777" w:rsidR="00B32EF2" w:rsidRDefault="00000000">
                              <w:r>
                                <w:rPr>
                                  <w:rFonts w:ascii="Arial" w:eastAsia="Arial" w:hAnsi="Arial" w:cs="Arial"/>
                                  <w:sz w:val="18"/>
                                </w:rPr>
                                <w:t xml:space="preserve">. Per valore della lite si intende quello determinato ai sensi dell’articolo 57, </w:t>
                              </w:r>
                            </w:p>
                          </w:txbxContent>
                        </wps:txbx>
                        <wps:bodyPr horzOverflow="overflow" vert="horz" lIns="0" tIns="0" rIns="0" bIns="0" rtlCol="0">
                          <a:noAutofit/>
                        </wps:bodyPr>
                      </wps:wsp>
                      <wps:wsp>
                        <wps:cNvPr id="201894" name="Rectangle 201894"/>
                        <wps:cNvSpPr/>
                        <wps:spPr>
                          <a:xfrm rot="-10799999">
                            <a:off x="2611292" y="704524"/>
                            <a:ext cx="5309082" cy="142890"/>
                          </a:xfrm>
                          <a:prstGeom prst="rect">
                            <a:avLst/>
                          </a:prstGeom>
                          <a:ln>
                            <a:noFill/>
                          </a:ln>
                        </wps:spPr>
                        <wps:txbx>
                          <w:txbxContent>
                            <w:p w14:paraId="0C7F2177"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689" name="Rectangle 20689"/>
                        <wps:cNvSpPr/>
                        <wps:spPr>
                          <a:xfrm rot="-10799999">
                            <a:off x="-1316886" y="581195"/>
                            <a:ext cx="5309021" cy="142889"/>
                          </a:xfrm>
                          <a:prstGeom prst="rect">
                            <a:avLst/>
                          </a:prstGeom>
                          <a:ln>
                            <a:noFill/>
                          </a:ln>
                        </wps:spPr>
                        <wps:txbx>
                          <w:txbxContent>
                            <w:p w14:paraId="46CE4BBD" w14:textId="77777777" w:rsidR="00B32EF2" w:rsidRDefault="00000000">
                              <w:r>
                                <w:rPr>
                                  <w:rFonts w:ascii="Arial" w:eastAsia="Arial" w:hAnsi="Arial" w:cs="Arial"/>
                                  <w:sz w:val="18"/>
                                </w:rPr>
                                <w:t xml:space="preserve">comma 2. Si tiene conto anche dell’imposta virtuale calcolata a seguito delle </w:t>
                              </w:r>
                            </w:p>
                          </w:txbxContent>
                        </wps:txbx>
                        <wps:bodyPr horzOverflow="overflow" vert="horz" lIns="0" tIns="0" rIns="0" bIns="0" rtlCol="0">
                          <a:noAutofit/>
                        </wps:bodyPr>
                      </wps:wsp>
                      <wps:wsp>
                        <wps:cNvPr id="20690" name="Rectangle 20690"/>
                        <wps:cNvSpPr/>
                        <wps:spPr>
                          <a:xfrm rot="-10799999">
                            <a:off x="2685682" y="457865"/>
                            <a:ext cx="1306452" cy="142889"/>
                          </a:xfrm>
                          <a:prstGeom prst="rect">
                            <a:avLst/>
                          </a:prstGeom>
                          <a:ln>
                            <a:noFill/>
                          </a:ln>
                        </wps:spPr>
                        <wps:txbx>
                          <w:txbxContent>
                            <w:p w14:paraId="6E5CB189" w14:textId="77777777" w:rsidR="00B32EF2" w:rsidRDefault="00000000">
                              <w:r>
                                <w:rPr>
                                  <w:rFonts w:ascii="Arial" w:eastAsia="Arial" w:hAnsi="Arial" w:cs="Arial"/>
                                  <w:sz w:val="18"/>
                                </w:rPr>
                                <w:t>rettifiche di perdita.</w:t>
                              </w:r>
                            </w:p>
                          </w:txbxContent>
                        </wps:txbx>
                        <wps:bodyPr horzOverflow="overflow" vert="horz" lIns="0" tIns="0" rIns="0" bIns="0" rtlCol="0">
                          <a:noAutofit/>
                        </wps:bodyPr>
                      </wps:wsp>
                      <wps:wsp>
                        <wps:cNvPr id="201872" name="Rectangle 201872"/>
                        <wps:cNvSpPr/>
                        <wps:spPr>
                          <a:xfrm rot="-10799999">
                            <a:off x="2611314" y="334535"/>
                            <a:ext cx="5308989" cy="142889"/>
                          </a:xfrm>
                          <a:prstGeom prst="rect">
                            <a:avLst/>
                          </a:prstGeom>
                          <a:ln>
                            <a:noFill/>
                          </a:ln>
                        </wps:spPr>
                        <wps:txbx>
                          <w:txbxContent>
                            <w:p w14:paraId="1082D863"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1893" name="Rectangle 201893"/>
                        <wps:cNvSpPr/>
                        <wps:spPr>
                          <a:xfrm rot="-10799999">
                            <a:off x="-1381378" y="334535"/>
                            <a:ext cx="5308990" cy="142889"/>
                          </a:xfrm>
                          <a:prstGeom prst="rect">
                            <a:avLst/>
                          </a:prstGeom>
                          <a:ln>
                            <a:noFill/>
                          </a:ln>
                        </wps:spPr>
                        <wps:txbx>
                          <w:txbxContent>
                            <w:p w14:paraId="41CDA78D" w14:textId="77777777" w:rsidR="00B32EF2" w:rsidRDefault="00000000">
                              <w:r>
                                <w:rPr>
                                  <w:rFonts w:ascii="Arial" w:eastAsia="Arial" w:hAnsi="Arial" w:cs="Arial"/>
                                  <w:sz w:val="18"/>
                                </w:rPr>
                                <w:t xml:space="preserve">. Nel procedimento davanti alla corte di giustizia tributaria di primo grado in </w:t>
                              </w:r>
                            </w:p>
                          </w:txbxContent>
                        </wps:txbx>
                        <wps:bodyPr horzOverflow="overflow" vert="horz" lIns="0" tIns="0" rIns="0" bIns="0" rtlCol="0">
                          <a:noAutofit/>
                        </wps:bodyPr>
                      </wps:wsp>
                      <wps:wsp>
                        <wps:cNvPr id="20692" name="Rectangle 20692"/>
                        <wps:cNvSpPr/>
                        <wps:spPr>
                          <a:xfrm rot="-10799999">
                            <a:off x="-1218394" y="211206"/>
                            <a:ext cx="5210528" cy="142889"/>
                          </a:xfrm>
                          <a:prstGeom prst="rect">
                            <a:avLst/>
                          </a:prstGeom>
                          <a:ln>
                            <a:noFill/>
                          </a:ln>
                        </wps:spPr>
                        <wps:txbx>
                          <w:txbxContent>
                            <w:p w14:paraId="1A4CBB66" w14:textId="77777777" w:rsidR="00B32EF2" w:rsidRDefault="00000000">
                              <w:r>
                                <w:rPr>
                                  <w:rFonts w:ascii="Arial" w:eastAsia="Arial" w:hAnsi="Arial" w:cs="Arial"/>
                                  <w:sz w:val="18"/>
                                </w:rPr>
                                <w:t>composizione monocratica si osservano, in quanto applicabili e ove non dero</w:t>
                              </w:r>
                            </w:p>
                          </w:txbxContent>
                        </wps:txbx>
                        <wps:bodyPr horzOverflow="overflow" vert="horz" lIns="0" tIns="0" rIns="0" bIns="0" rtlCol="0">
                          <a:noAutofit/>
                        </wps:bodyPr>
                      </wps:wsp>
                      <wps:wsp>
                        <wps:cNvPr id="20693" name="Rectangle 20693"/>
                        <wps:cNvSpPr/>
                        <wps:spPr>
                          <a:xfrm rot="-10799999">
                            <a:off x="19535" y="211206"/>
                            <a:ext cx="50622" cy="142889"/>
                          </a:xfrm>
                          <a:prstGeom prst="rect">
                            <a:avLst/>
                          </a:prstGeom>
                          <a:ln>
                            <a:noFill/>
                          </a:ln>
                        </wps:spPr>
                        <wps:txbx>
                          <w:txbxContent>
                            <w:p w14:paraId="708269B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694" name="Rectangle 20694"/>
                        <wps:cNvSpPr/>
                        <wps:spPr>
                          <a:xfrm rot="-10799999">
                            <a:off x="-1316794" y="87876"/>
                            <a:ext cx="5308929" cy="142889"/>
                          </a:xfrm>
                          <a:prstGeom prst="rect">
                            <a:avLst/>
                          </a:prstGeom>
                          <a:ln>
                            <a:noFill/>
                          </a:ln>
                        </wps:spPr>
                        <wps:txbx>
                          <w:txbxContent>
                            <w:p w14:paraId="7BFED497" w14:textId="77777777" w:rsidR="00B32EF2" w:rsidRDefault="00000000">
                              <w:r>
                                <w:rPr>
                                  <w:rFonts w:ascii="Arial" w:eastAsia="Arial" w:hAnsi="Arial" w:cs="Arial"/>
                                  <w:sz w:val="18"/>
                                </w:rPr>
                                <w:t xml:space="preserve">gate dal presente testo unico, le disposizioni ivi contenute relative ai giudizi in </w:t>
                              </w:r>
                            </w:p>
                          </w:txbxContent>
                        </wps:txbx>
                        <wps:bodyPr horzOverflow="overflow" vert="horz" lIns="0" tIns="0" rIns="0" bIns="0" rtlCol="0">
                          <a:noAutofit/>
                        </wps:bodyPr>
                      </wps:wsp>
                      <wps:wsp>
                        <wps:cNvPr id="20695" name="Rectangle 20695"/>
                        <wps:cNvSpPr/>
                        <wps:spPr>
                          <a:xfrm rot="-10799999">
                            <a:off x="2317722" y="-35453"/>
                            <a:ext cx="1675097" cy="142889"/>
                          </a:xfrm>
                          <a:prstGeom prst="rect">
                            <a:avLst/>
                          </a:prstGeom>
                          <a:ln>
                            <a:noFill/>
                          </a:ln>
                        </wps:spPr>
                        <wps:txbx>
                          <w:txbxContent>
                            <w:p w14:paraId="6B7ED69C" w14:textId="77777777" w:rsidR="00B32EF2" w:rsidRDefault="00000000">
                              <w:r>
                                <w:rPr>
                                  <w:rFonts w:ascii="Arial" w:eastAsia="Arial" w:hAnsi="Arial" w:cs="Arial"/>
                                  <w:sz w:val="18"/>
                                </w:rPr>
                                <w:t>composizione collegiale.</w:t>
                              </w:r>
                            </w:p>
                          </w:txbxContent>
                        </wps:txbx>
                        <wps:bodyPr horzOverflow="overflow" vert="horz" lIns="0" tIns="0" rIns="0" bIns="0" rtlCol="0">
                          <a:noAutofit/>
                        </wps:bodyPr>
                      </wps:wsp>
                      <wps:wsp>
                        <wps:cNvPr id="208068" name="Shape 208068"/>
                        <wps:cNvSpPr/>
                        <wps:spPr>
                          <a:xfrm>
                            <a:off x="25938" y="4275307"/>
                            <a:ext cx="3960000" cy="1499298"/>
                          </a:xfrm>
                          <a:custGeom>
                            <a:avLst/>
                            <a:gdLst/>
                            <a:ahLst/>
                            <a:cxnLst/>
                            <a:rect l="0" t="0" r="0" b="0"/>
                            <a:pathLst>
                              <a:path w="3960000" h="1499298">
                                <a:moveTo>
                                  <a:pt x="0" y="0"/>
                                </a:moveTo>
                                <a:lnTo>
                                  <a:pt x="3960000" y="0"/>
                                </a:lnTo>
                                <a:lnTo>
                                  <a:pt x="3960000" y="1499298"/>
                                </a:lnTo>
                                <a:lnTo>
                                  <a:pt x="0" y="1499298"/>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20697" name="Rectangle 20697"/>
                        <wps:cNvSpPr/>
                        <wps:spPr>
                          <a:xfrm rot="-10799999">
                            <a:off x="-1195518" y="5553373"/>
                            <a:ext cx="5110651" cy="142891"/>
                          </a:xfrm>
                          <a:prstGeom prst="rect">
                            <a:avLst/>
                          </a:prstGeom>
                          <a:ln>
                            <a:noFill/>
                          </a:ln>
                        </wps:spPr>
                        <wps:txbx>
                          <w:txbxContent>
                            <w:p w14:paraId="0EF1EEE3" w14:textId="77777777" w:rsidR="00B32EF2" w:rsidRDefault="00000000">
                              <w:r>
                                <w:rPr>
                                  <w:rFonts w:ascii="Arial" w:eastAsia="Arial" w:hAnsi="Arial" w:cs="Arial"/>
                                  <w:i/>
                                  <w:color w:val="020202"/>
                                  <w:sz w:val="18"/>
                                </w:rPr>
                                <w:t xml:space="preserve">te può chiedere alle sezioni unite della Corte di cassazione che risolvano </w:t>
                              </w:r>
                            </w:p>
                          </w:txbxContent>
                        </wps:txbx>
                        <wps:bodyPr horzOverflow="overflow" vert="horz" lIns="0" tIns="0" rIns="0" bIns="0" rtlCol="0">
                          <a:noAutofit/>
                        </wps:bodyPr>
                      </wps:wsp>
                      <wps:wsp>
                        <wps:cNvPr id="20698" name="Rectangle 20698"/>
                        <wps:cNvSpPr/>
                        <wps:spPr>
                          <a:xfrm rot="-10799999">
                            <a:off x="-1196681" y="5430044"/>
                            <a:ext cx="5115242" cy="142889"/>
                          </a:xfrm>
                          <a:prstGeom prst="rect">
                            <a:avLst/>
                          </a:prstGeom>
                          <a:ln>
                            <a:noFill/>
                          </a:ln>
                        </wps:spPr>
                        <wps:txbx>
                          <w:txbxContent>
                            <w:p w14:paraId="5816A487" w14:textId="77777777" w:rsidR="00B32EF2" w:rsidRDefault="00000000">
                              <w:r>
                                <w:rPr>
                                  <w:rFonts w:ascii="Arial" w:eastAsia="Arial" w:hAnsi="Arial" w:cs="Arial"/>
                                  <w:i/>
                                  <w:color w:val="020202"/>
                                  <w:sz w:val="18"/>
                                </w:rPr>
                                <w:t xml:space="preserve">le questioni di giurisdizione di cui all’articolo 37. L’istanza si propone con </w:t>
                              </w:r>
                            </w:p>
                          </w:txbxContent>
                        </wps:txbx>
                        <wps:bodyPr horzOverflow="overflow" vert="horz" lIns="0" tIns="0" rIns="0" bIns="0" rtlCol="0">
                          <a:noAutofit/>
                        </wps:bodyPr>
                      </wps:wsp>
                      <wps:wsp>
                        <wps:cNvPr id="20699" name="Rectangle 20699"/>
                        <wps:cNvSpPr/>
                        <wps:spPr>
                          <a:xfrm rot="-10799999">
                            <a:off x="-1197490" y="5306715"/>
                            <a:ext cx="5120624" cy="142889"/>
                          </a:xfrm>
                          <a:prstGeom prst="rect">
                            <a:avLst/>
                          </a:prstGeom>
                          <a:ln>
                            <a:noFill/>
                          </a:ln>
                        </wps:spPr>
                        <wps:txbx>
                          <w:txbxContent>
                            <w:p w14:paraId="1DFFA104" w14:textId="77777777" w:rsidR="00B32EF2" w:rsidRDefault="00000000">
                              <w:r>
                                <w:rPr>
                                  <w:rFonts w:ascii="Arial" w:eastAsia="Arial" w:hAnsi="Arial" w:cs="Arial"/>
                                  <w:i/>
                                  <w:color w:val="020202"/>
                                  <w:sz w:val="18"/>
                                </w:rPr>
                                <w:t xml:space="preserve">ricorso a norma degli articoli 364 e seguenti, e produce gli effetti di cui </w:t>
                              </w:r>
                            </w:p>
                          </w:txbxContent>
                        </wps:txbx>
                        <wps:bodyPr horzOverflow="overflow" vert="horz" lIns="0" tIns="0" rIns="0" bIns="0" rtlCol="0">
                          <a:noAutofit/>
                        </wps:bodyPr>
                      </wps:wsp>
                      <wps:wsp>
                        <wps:cNvPr id="20700" name="Rectangle 20700"/>
                        <wps:cNvSpPr/>
                        <wps:spPr>
                          <a:xfrm rot="-10799999">
                            <a:off x="2882943" y="5183385"/>
                            <a:ext cx="1025216" cy="142889"/>
                          </a:xfrm>
                          <a:prstGeom prst="rect">
                            <a:avLst/>
                          </a:prstGeom>
                          <a:ln>
                            <a:noFill/>
                          </a:ln>
                        </wps:spPr>
                        <wps:txbx>
                          <w:txbxContent>
                            <w:p w14:paraId="4F5DFB71" w14:textId="77777777" w:rsidR="00B32EF2" w:rsidRDefault="00000000">
                              <w:r>
                                <w:rPr>
                                  <w:rFonts w:ascii="Arial" w:eastAsia="Arial" w:hAnsi="Arial" w:cs="Arial"/>
                                  <w:i/>
                                  <w:color w:val="020202"/>
                                  <w:sz w:val="18"/>
                                </w:rPr>
                                <w:t>all’articolo 367.</w:t>
                              </w:r>
                            </w:p>
                          </w:txbxContent>
                        </wps:txbx>
                        <wps:bodyPr horzOverflow="overflow" vert="horz" lIns="0" tIns="0" rIns="0" bIns="0" rtlCol="0">
                          <a:noAutofit/>
                        </wps:bodyPr>
                      </wps:wsp>
                      <wps:wsp>
                        <wps:cNvPr id="201913" name="Rectangle 201913"/>
                        <wps:cNvSpPr/>
                        <wps:spPr>
                          <a:xfrm rot="-10799999">
                            <a:off x="-1259684" y="5060055"/>
                            <a:ext cx="5107003" cy="142889"/>
                          </a:xfrm>
                          <a:prstGeom prst="rect">
                            <a:avLst/>
                          </a:prstGeom>
                          <a:ln>
                            <a:noFill/>
                          </a:ln>
                        </wps:spPr>
                        <wps:txbx>
                          <w:txbxContent>
                            <w:p w14:paraId="5A50A5E9" w14:textId="77777777" w:rsidR="00B32EF2" w:rsidRDefault="00000000">
                              <w:r>
                                <w:rPr>
                                  <w:rFonts w:ascii="Arial" w:eastAsia="Arial" w:hAnsi="Arial" w:cs="Arial"/>
                                  <w:i/>
                                  <w:color w:val="020202"/>
                                  <w:sz w:val="18"/>
                                </w:rPr>
                                <w:t xml:space="preserve">. La pubblica amministrazione che non è parte in causa può chiedere  in </w:t>
                              </w:r>
                            </w:p>
                          </w:txbxContent>
                        </wps:txbx>
                        <wps:bodyPr horzOverflow="overflow" vert="horz" lIns="0" tIns="0" rIns="0" bIns="0" rtlCol="0">
                          <a:noAutofit/>
                        </wps:bodyPr>
                      </wps:wsp>
                      <wps:wsp>
                        <wps:cNvPr id="201911" name="Rectangle 201911"/>
                        <wps:cNvSpPr/>
                        <wps:spPr>
                          <a:xfrm rot="-10799999">
                            <a:off x="2576887" y="5060055"/>
                            <a:ext cx="5107003" cy="142889"/>
                          </a:xfrm>
                          <a:prstGeom prst="rect">
                            <a:avLst/>
                          </a:prstGeom>
                          <a:ln>
                            <a:noFill/>
                          </a:ln>
                        </wps:spPr>
                        <wps:txbx>
                          <w:txbxContent>
                            <w:p w14:paraId="22E1CEA2" w14:textId="77777777" w:rsidR="00B32EF2" w:rsidRDefault="00000000">
                              <w:r>
                                <w:rPr>
                                  <w:rFonts w:ascii="Arial" w:eastAsia="Arial" w:hAnsi="Arial" w:cs="Arial"/>
                                  <w:i/>
                                  <w:color w:val="020202"/>
                                  <w:sz w:val="18"/>
                                </w:rPr>
                                <w:t>2</w:t>
                              </w:r>
                            </w:p>
                          </w:txbxContent>
                        </wps:txbx>
                        <wps:bodyPr horzOverflow="overflow" vert="horz" lIns="0" tIns="0" rIns="0" bIns="0" rtlCol="0">
                          <a:noAutofit/>
                        </wps:bodyPr>
                      </wps:wsp>
                      <wps:wsp>
                        <wps:cNvPr id="20702" name="Rectangle 20702"/>
                        <wps:cNvSpPr/>
                        <wps:spPr>
                          <a:xfrm rot="-10799999">
                            <a:off x="-1193858" y="4936726"/>
                            <a:ext cx="5104190" cy="142889"/>
                          </a:xfrm>
                          <a:prstGeom prst="rect">
                            <a:avLst/>
                          </a:prstGeom>
                          <a:ln>
                            <a:noFill/>
                          </a:ln>
                        </wps:spPr>
                        <wps:txbx>
                          <w:txbxContent>
                            <w:p w14:paraId="3FDF6E5C" w14:textId="77777777" w:rsidR="00B32EF2" w:rsidRDefault="00000000">
                              <w:r>
                                <w:rPr>
                                  <w:rFonts w:ascii="Arial" w:eastAsia="Arial" w:hAnsi="Arial" w:cs="Arial"/>
                                  <w:i/>
                                  <w:color w:val="020202"/>
                                  <w:sz w:val="18"/>
                                </w:rPr>
                                <w:t xml:space="preserve">ogni stato e grado del processo che sia dichiarato dalle sezioni unite della </w:t>
                              </w:r>
                            </w:p>
                          </w:txbxContent>
                        </wps:txbx>
                        <wps:bodyPr horzOverflow="overflow" vert="horz" lIns="0" tIns="0" rIns="0" bIns="0" rtlCol="0">
                          <a:noAutofit/>
                        </wps:bodyPr>
                      </wps:wsp>
                      <wps:wsp>
                        <wps:cNvPr id="20703" name="Rectangle 20703"/>
                        <wps:cNvSpPr/>
                        <wps:spPr>
                          <a:xfrm rot="-10799999">
                            <a:off x="-1194501" y="4813396"/>
                            <a:ext cx="5106318" cy="142889"/>
                          </a:xfrm>
                          <a:prstGeom prst="rect">
                            <a:avLst/>
                          </a:prstGeom>
                          <a:ln>
                            <a:noFill/>
                          </a:ln>
                        </wps:spPr>
                        <wps:txbx>
                          <w:txbxContent>
                            <w:p w14:paraId="1396BCA7" w14:textId="77777777" w:rsidR="00B32EF2" w:rsidRDefault="00000000">
                              <w:r>
                                <w:rPr>
                                  <w:rFonts w:ascii="Arial" w:eastAsia="Arial" w:hAnsi="Arial" w:cs="Arial"/>
                                  <w:i/>
                                  <w:color w:val="020202"/>
                                  <w:sz w:val="18"/>
                                </w:rPr>
                                <w:t xml:space="preserve">Corte di cassazione il difetto di giurisdizione del giudice ordinario a causa </w:t>
                              </w:r>
                            </w:p>
                          </w:txbxContent>
                        </wps:txbx>
                        <wps:bodyPr horzOverflow="overflow" vert="horz" lIns="0" tIns="0" rIns="0" bIns="0" rtlCol="0">
                          <a:noAutofit/>
                        </wps:bodyPr>
                      </wps:wsp>
                      <wps:wsp>
                        <wps:cNvPr id="20704" name="Rectangle 20704"/>
                        <wps:cNvSpPr/>
                        <wps:spPr>
                          <a:xfrm rot="-10799999">
                            <a:off x="-1096375" y="4690066"/>
                            <a:ext cx="5003964" cy="142889"/>
                          </a:xfrm>
                          <a:prstGeom prst="rect">
                            <a:avLst/>
                          </a:prstGeom>
                          <a:ln>
                            <a:noFill/>
                          </a:ln>
                        </wps:spPr>
                        <wps:txbx>
                          <w:txbxContent>
                            <w:p w14:paraId="034E5FAA" w14:textId="77777777" w:rsidR="00B32EF2" w:rsidRDefault="00000000">
                              <w:r>
                                <w:rPr>
                                  <w:rFonts w:ascii="Arial" w:eastAsia="Arial" w:hAnsi="Arial" w:cs="Arial"/>
                                  <w:i/>
                                  <w:color w:val="020202"/>
                                  <w:sz w:val="18"/>
                                </w:rPr>
                                <w:t>dei poteri attribuiti dalla legge alla amministrazione stessa, finché la giuri</w:t>
                              </w:r>
                            </w:p>
                          </w:txbxContent>
                        </wps:txbx>
                        <wps:bodyPr horzOverflow="overflow" vert="horz" lIns="0" tIns="0" rIns="0" bIns="0" rtlCol="0">
                          <a:noAutofit/>
                        </wps:bodyPr>
                      </wps:wsp>
                      <wps:wsp>
                        <wps:cNvPr id="20705" name="Rectangle 20705"/>
                        <wps:cNvSpPr/>
                        <wps:spPr>
                          <a:xfrm rot="-10799999">
                            <a:off x="91695" y="4690067"/>
                            <a:ext cx="50622" cy="142889"/>
                          </a:xfrm>
                          <a:prstGeom prst="rect">
                            <a:avLst/>
                          </a:prstGeom>
                          <a:ln>
                            <a:noFill/>
                          </a:ln>
                        </wps:spPr>
                        <wps:txbx>
                          <w:txbxContent>
                            <w:p w14:paraId="77B28674" w14:textId="77777777" w:rsidR="00B32EF2" w:rsidRDefault="00000000">
                              <w:r>
                                <w:rPr>
                                  <w:rFonts w:ascii="Arial" w:eastAsia="Arial" w:hAnsi="Arial" w:cs="Arial"/>
                                  <w:i/>
                                  <w:color w:val="020202"/>
                                  <w:sz w:val="18"/>
                                </w:rPr>
                                <w:t>-</w:t>
                              </w:r>
                            </w:p>
                          </w:txbxContent>
                        </wps:txbx>
                        <wps:bodyPr horzOverflow="overflow" vert="horz" lIns="0" tIns="0" rIns="0" bIns="0" rtlCol="0">
                          <a:noAutofit/>
                        </wps:bodyPr>
                      </wps:wsp>
                      <wps:wsp>
                        <wps:cNvPr id="20706" name="Rectangle 20706"/>
                        <wps:cNvSpPr/>
                        <wps:spPr>
                          <a:xfrm rot="-10799999">
                            <a:off x="-658089" y="4566737"/>
                            <a:ext cx="4565678" cy="142889"/>
                          </a:xfrm>
                          <a:prstGeom prst="rect">
                            <a:avLst/>
                          </a:prstGeom>
                          <a:ln>
                            <a:noFill/>
                          </a:ln>
                        </wps:spPr>
                        <wps:txbx>
                          <w:txbxContent>
                            <w:p w14:paraId="3647FA11" w14:textId="77777777" w:rsidR="00B32EF2" w:rsidRDefault="00000000">
                              <w:r>
                                <w:rPr>
                                  <w:rFonts w:ascii="Arial" w:eastAsia="Arial" w:hAnsi="Arial" w:cs="Arial"/>
                                  <w:i/>
                                  <w:color w:val="020202"/>
                                  <w:sz w:val="18"/>
                                </w:rPr>
                                <w:t>sdizione non sia stata affermata con sentenza passata in giudicato.</w:t>
                              </w:r>
                            </w:p>
                          </w:txbxContent>
                        </wps:txbx>
                        <wps:bodyPr horzOverflow="overflow" vert="horz" lIns="0" tIns="0" rIns="0" bIns="0" rtlCol="0">
                          <a:noAutofit/>
                        </wps:bodyPr>
                      </wps:wsp>
                      <wps:wsp>
                        <wps:cNvPr id="20707" name="Rectangle 20707"/>
                        <wps:cNvSpPr/>
                        <wps:spPr>
                          <a:xfrm rot="-10799999">
                            <a:off x="2350773" y="4443407"/>
                            <a:ext cx="1557845" cy="142889"/>
                          </a:xfrm>
                          <a:prstGeom prst="rect">
                            <a:avLst/>
                          </a:prstGeom>
                          <a:ln>
                            <a:noFill/>
                          </a:ln>
                        </wps:spPr>
                        <wps:txbx>
                          <w:txbxContent>
                            <w:p w14:paraId="7F0FF7F1" w14:textId="77777777" w:rsidR="00B32EF2" w:rsidRDefault="00000000">
                              <w:r>
                                <w:rPr>
                                  <w:rFonts w:ascii="Arial" w:eastAsia="Arial" w:hAnsi="Arial" w:cs="Arial"/>
                                  <w:b/>
                                  <w:i/>
                                  <w:color w:val="020202"/>
                                  <w:sz w:val="18"/>
                                </w:rPr>
                                <w:t>NORME COLLEGATE</w:t>
                              </w:r>
                            </w:p>
                          </w:txbxContent>
                        </wps:txbx>
                        <wps:bodyPr horzOverflow="overflow" vert="horz" lIns="0" tIns="0" rIns="0" bIns="0" rtlCol="0">
                          <a:noAutofit/>
                        </wps:bodyPr>
                      </wps:wsp>
                      <wps:wsp>
                        <wps:cNvPr id="20708" name="Rectangle 20708"/>
                        <wps:cNvSpPr/>
                        <wps:spPr>
                          <a:xfrm rot="-10799999">
                            <a:off x="-940434" y="4320077"/>
                            <a:ext cx="4848023" cy="142889"/>
                          </a:xfrm>
                          <a:prstGeom prst="rect">
                            <a:avLst/>
                          </a:prstGeom>
                          <a:ln>
                            <a:noFill/>
                          </a:ln>
                        </wps:spPr>
                        <wps:txbx>
                          <w:txbxContent>
                            <w:p w14:paraId="1DD41A1D" w14:textId="77777777" w:rsidR="00B32EF2" w:rsidRDefault="00000000">
                              <w:r>
                                <w:rPr>
                                  <w:rFonts w:ascii="Arial" w:eastAsia="Arial" w:hAnsi="Arial" w:cs="Arial"/>
                                  <w:i/>
                                  <w:color w:val="020202"/>
                                  <w:sz w:val="18"/>
                                </w:rPr>
                                <w:t xml:space="preserve"> art. 5 c.p.c. “Momento determinante della giurisdizione e competenza” </w:t>
                              </w:r>
                            </w:p>
                          </w:txbxContent>
                        </wps:txbx>
                        <wps:bodyPr horzOverflow="overflow" vert="horz" lIns="0" tIns="0" rIns="0" bIns="0" rtlCol="0">
                          <a:noAutofit/>
                        </wps:bodyPr>
                      </wps:wsp>
                      <wps:wsp>
                        <wps:cNvPr id="20709" name="Shape 20709"/>
                        <wps:cNvSpPr/>
                        <wps:spPr>
                          <a:xfrm>
                            <a:off x="25937" y="4275309"/>
                            <a:ext cx="3960000" cy="1499298"/>
                          </a:xfrm>
                          <a:custGeom>
                            <a:avLst/>
                            <a:gdLst/>
                            <a:ahLst/>
                            <a:cxnLst/>
                            <a:rect l="0" t="0" r="0" b="0"/>
                            <a:pathLst>
                              <a:path w="3960000" h="1499298">
                                <a:moveTo>
                                  <a:pt x="0" y="1499298"/>
                                </a:moveTo>
                                <a:lnTo>
                                  <a:pt x="3960000" y="1499298"/>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08069" name="Shape 208069"/>
                        <wps:cNvSpPr/>
                        <wps:spPr>
                          <a:xfrm>
                            <a:off x="25938" y="1692406"/>
                            <a:ext cx="3960000" cy="489496"/>
                          </a:xfrm>
                          <a:custGeom>
                            <a:avLst/>
                            <a:gdLst/>
                            <a:ahLst/>
                            <a:cxnLst/>
                            <a:rect l="0" t="0" r="0" b="0"/>
                            <a:pathLst>
                              <a:path w="3960000" h="489496">
                                <a:moveTo>
                                  <a:pt x="0" y="0"/>
                                </a:moveTo>
                                <a:lnTo>
                                  <a:pt x="3960000" y="0"/>
                                </a:lnTo>
                                <a:lnTo>
                                  <a:pt x="3960000" y="489496"/>
                                </a:lnTo>
                                <a:lnTo>
                                  <a:pt x="0" y="489496"/>
                                </a:lnTo>
                                <a:lnTo>
                                  <a:pt x="0" y="0"/>
                                </a:lnTo>
                              </a:path>
                            </a:pathLst>
                          </a:custGeom>
                          <a:ln w="0" cap="flat">
                            <a:miter lim="100000"/>
                          </a:ln>
                        </wps:spPr>
                        <wps:style>
                          <a:lnRef idx="0">
                            <a:srgbClr val="000000">
                              <a:alpha val="0"/>
                            </a:srgbClr>
                          </a:lnRef>
                          <a:fillRef idx="1">
                            <a:srgbClr val="C3C3C3"/>
                          </a:fillRef>
                          <a:effectRef idx="0">
                            <a:scrgbClr r="0" g="0" b="0"/>
                          </a:effectRef>
                          <a:fontRef idx="none"/>
                        </wps:style>
                        <wps:bodyPr/>
                      </wps:wsp>
                      <wps:wsp>
                        <wps:cNvPr id="20711" name="Rectangle 20711"/>
                        <wps:cNvSpPr/>
                        <wps:spPr>
                          <a:xfrm rot="-10799999">
                            <a:off x="2322923" y="1960674"/>
                            <a:ext cx="1585695" cy="142889"/>
                          </a:xfrm>
                          <a:prstGeom prst="rect">
                            <a:avLst/>
                          </a:prstGeom>
                          <a:ln>
                            <a:noFill/>
                          </a:ln>
                        </wps:spPr>
                        <wps:txbx>
                          <w:txbxContent>
                            <w:p w14:paraId="62CF1318" w14:textId="77777777" w:rsidR="00B32EF2" w:rsidRDefault="00000000">
                              <w:r>
                                <w:rPr>
                                  <w:rFonts w:ascii="Arial" w:eastAsia="Arial" w:hAnsi="Arial" w:cs="Arial"/>
                                  <w:b/>
                                  <w:i/>
                                  <w:color w:val="020202"/>
                                  <w:sz w:val="18"/>
                                </w:rPr>
                                <w:t>NORME RICHIAMATE</w:t>
                              </w:r>
                            </w:p>
                          </w:txbxContent>
                        </wps:txbx>
                        <wps:bodyPr horzOverflow="overflow" vert="horz" lIns="0" tIns="0" rIns="0" bIns="0" rtlCol="0">
                          <a:noAutofit/>
                        </wps:bodyPr>
                      </wps:wsp>
                      <wps:wsp>
                        <wps:cNvPr id="20712" name="Rectangle 20712"/>
                        <wps:cNvSpPr/>
                        <wps:spPr>
                          <a:xfrm rot="-10799999">
                            <a:off x="-1191144" y="1837344"/>
                            <a:ext cx="5092789" cy="142889"/>
                          </a:xfrm>
                          <a:prstGeom prst="rect">
                            <a:avLst/>
                          </a:prstGeom>
                          <a:ln>
                            <a:noFill/>
                          </a:ln>
                        </wps:spPr>
                        <wps:txbx>
                          <w:txbxContent>
                            <w:p w14:paraId="058D3EA4" w14:textId="77777777" w:rsidR="00B32EF2" w:rsidRDefault="00000000">
                              <w:r>
                                <w:rPr>
                                  <w:rFonts w:ascii="Arial" w:eastAsia="Arial" w:hAnsi="Arial" w:cs="Arial"/>
                                  <w:i/>
                                  <w:color w:val="020202"/>
                                  <w:sz w:val="18"/>
                                </w:rPr>
                                <w:t xml:space="preserve">art. 53 D.lgs. 446/1997  “Albo per l’accertamento e riscossione delle entrate </w:t>
                              </w:r>
                            </w:p>
                          </w:txbxContent>
                        </wps:txbx>
                        <wps:bodyPr horzOverflow="overflow" vert="horz" lIns="0" tIns="0" rIns="0" bIns="0" rtlCol="0">
                          <a:noAutofit/>
                        </wps:bodyPr>
                      </wps:wsp>
                      <wps:wsp>
                        <wps:cNvPr id="20713" name="Rectangle 20713"/>
                        <wps:cNvSpPr/>
                        <wps:spPr>
                          <a:xfrm rot="-10799999">
                            <a:off x="2798928" y="1714014"/>
                            <a:ext cx="1108660" cy="142889"/>
                          </a:xfrm>
                          <a:prstGeom prst="rect">
                            <a:avLst/>
                          </a:prstGeom>
                          <a:ln>
                            <a:noFill/>
                          </a:ln>
                        </wps:spPr>
                        <wps:txbx>
                          <w:txbxContent>
                            <w:p w14:paraId="633CF5DD" w14:textId="77777777" w:rsidR="00B32EF2" w:rsidRDefault="00000000">
                              <w:r>
                                <w:rPr>
                                  <w:rFonts w:ascii="Arial" w:eastAsia="Arial" w:hAnsi="Arial" w:cs="Arial"/>
                                  <w:i/>
                                  <w:color w:val="020202"/>
                                  <w:sz w:val="18"/>
                                </w:rPr>
                                <w:t>degli enti locali”.</w:t>
                              </w:r>
                            </w:p>
                          </w:txbxContent>
                        </wps:txbx>
                        <wps:bodyPr horzOverflow="overflow" vert="horz" lIns="0" tIns="0" rIns="0" bIns="0" rtlCol="0">
                          <a:noAutofit/>
                        </wps:bodyPr>
                      </wps:wsp>
                      <wps:wsp>
                        <wps:cNvPr id="20714" name="Shape 20714"/>
                        <wps:cNvSpPr/>
                        <wps:spPr>
                          <a:xfrm>
                            <a:off x="25937" y="1692410"/>
                            <a:ext cx="3960000" cy="489496"/>
                          </a:xfrm>
                          <a:custGeom>
                            <a:avLst/>
                            <a:gdLst/>
                            <a:ahLst/>
                            <a:cxnLst/>
                            <a:rect l="0" t="0" r="0" b="0"/>
                            <a:pathLst>
                              <a:path w="3960000" h="489496">
                                <a:moveTo>
                                  <a:pt x="0" y="489496"/>
                                </a:moveTo>
                                <a:lnTo>
                                  <a:pt x="3960000" y="489496"/>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4CD052" id="Group 201996" o:spid="_x0000_s5307" style="width:314.35pt;height:454.7pt;mso-position-horizontal-relative:char;mso-position-vertical-relative:line" coordsize="39922,57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A9jAwAAN6HAAAOAAAAZHJzL2Uyb0RvYy54bWzsXWtv2zgW/b7A/gfD39OIFB+S0XSwaHeK&#10;BRY7g5nZH6A68gOwLUN2m3R//Z5LSpQtM2lW6oSe5bRA4tASJfHwXN4Xr97+8LjdTL6U9WFd7e6m&#10;7E0ynZS7eXW/3i3vpv/+7cebbDo5HIvdfbGpduXd9Gt5mP7w7q9/efuwn5W8WlWb+7KeoJPdYfaw&#10;v5uujsf97Pb2MF+V2+LwptqXO3y5qOptccSf9fL2vi4e0Pt2c8uTRN0+VPX9vq7m5eGA1g/2y+k7&#10;0/9iUc6PPy0Wh/I42dxNcW9H87M2Pz/Rz9t3b4vZsi72q/W8uY1iwF1si/UOF3VdfSiOxeRzvb7o&#10;arue19WhWhzfzKvtbbVYrOeleQY8DUt6T/Oxrj7vzbMsZw/LvRsmDG1vnAZ3O//Xl4/1/tf9zzVG&#10;4mG/xFiYv+hZHhf1ln7jLiePZsi+uiErH4+TORrTPOdcAOQ5vpNaC5VoO6jzFUb+4rz56u/fOPO2&#10;vfDt2e087DFBDt0YHMaNwa+rYl+aoT3MMAY/15P1/d2UJ0phluyKLabqL5g8xW65KSe22QyQOdoN&#10;12F2wMi1YzWpK8yvG5bonP6Z+dCMHZOJEiKdTjBKIkmFFM3Ua8cxY0wrZYeRCZ5lOY2iG4titq8P&#10;x49ltZ3Qh7tpjZszFyi+/PNwtIe2h9D9bHb0c1f9uN5s7LfUgiFtb5k+HR8/PZrnFkmW0fWo8VN1&#10;/xXDsarq//wEYi821cPdtGo+TYnruDx9O51s/rEDDESr9kPdfvjUfqiPm/eVIZ+9ob99PlaLtbnj&#10;7mrNnQFfew+vADTLE8zaS6RNezMUmBj/O9ScM6CdG6jTnDH8aQnRQs0yqTSTAbE2c6sb/QiwZl5W&#10;sxztY7AGuEoLccVY5+4B4+E1uOfltZv2g3h9w4RgnF8z1kbQRMRrpQDHJdTUPIbVOksS8IbW6lRn&#10;Osv6AjwXWc7AetJ5QizWuXu+eEitfUhjsTbaJs35gaTmOufaKmapUkLKHtiSM56muHowsNN2MscD&#10;NhThS1oDbNUOxSCwuUqlIE2AiH2dWIv2ASPBGij4oKbmMRKc5Uo0GrjB2cjLYtZq4DDGaCEPxmjZ&#10;Plw0KMPauSS0Um4gBvH5BuoYbO1GJQO1OVDFtDkBmjORaDA+GNROYkUDtVd2K/g2vhOhvTgHJrRT&#10;QqJB2auOKeUGYiChU9jTGfqmFVownVlN94TQKTTzNKCfLI/QT+YV3tDGxkpvIWBnNc4TngupjKZ7&#10;TWA7j0EkvAaoXn3MtI+R3xx2lVLMEvsasWZJbI4ypbx+Mmoeg7RVytIGaqbJevYoZeQgD6SUsSQ6&#10;PxmpwB79G81joD6xsrw4B1XKWBKbkwxBJT/KbroPV8oyhmAZKWWJ0FDAeoQmpSxg8JLZG4rJ8a39&#10;jm80jyH0DUuZ5szq3zznQmrjhzlVyRDd5nCXBpPdzjEUiUqmyDntk93OLTyY1Ug4aKDOEsYRxsTc&#10;OYdaQYiGg9rZF9FA7VW+EWEezWpnVXOlNcWuelCHtapZ59iPBmqvUa20m/ODWM0lcrHIhMNSDZNL&#10;yMz015GaCZUJkijB5LfzEEWCNExn71pt2scs1iaahflisBYpA949ViNymWhI+GBYR+gr8y7WwHrs&#10;as0zkWbwexKxnwa7ycMMkJPAYNA3szkSYmMh9StmTsINEuGdUW1x7i/VYY3qLl8uGpS9WaLQp9rp&#10;PghlsrRU1lpaKUUx+9I7tFFt01ajMqr9DlHtJNsgqGkRlpQhT6KbZULmPaS5zoRCuniwdZo5r0Es&#10;pM78/lA0j9HIKMlfIqeBkEayqJDWBdlp30jyR1AzINBOC4kEaCheXqRN+xiob2SSJNLqYyxFij9s&#10;KvTXQU2bAFLKDA+lfFsbPyLxzTKSoZeeMtM+BmvsbxIitwGtK8XarCgxYZ0jhufDmtrHYM0SKTkF&#10;RkmEXyevXSJVJDJcZV7/CTWPQRquMrhMLNAshwrWF+A6F1qEXKydHRkJ0BDUXlvLtI+BGikJOpNI&#10;VzKsTrSQrAc25kJq3CvBVmtnTsYDttd9ArDdvB9kbpFbNElPse57UAzWIYnt7MlIsEbIwbdYU/MY&#10;WrNcPotzWE8Zd7ZkNCiDdJfqt7IhKFJOB/EZwptlKflaoZLlkuGPc0sLsjuRcGEEs7S4UzmjQdqf&#10;44/4xPfhs4G5L7YD09lpm9GA7F2fFbLzR4GcpSmnXDGwOSO1rAczZzLLVMA4FpKbmueLBGhoXF7B&#10;bdrHQI0YRwaXKCKiwFonArkJPclNIQ6y7lqt2xYreLWiJ8h5ig9rryoGrN1QDFqluUKhk2Yn3nVC&#10;HZuLTKGCkFcdc9bHIKBt4LLJRJAIaPSjWZJIDZXIkfqVKxkx7rSQSAS4oloVHsW7K/0yCGkOzd34&#10;3iC9kQic2c26XYSDpShpJU+k96sD7TSRSIBmmT/t27SPWalJeqdU0ARQpyhOBrMa3XVQg9PwzQWM&#10;UPMI3WP+TLIsd/rpIFYbpQxVbZ7HmiRKq5S9Oq3dAhUJrRXpTT757UzOgUiT46TZX4twNIoY9lhN&#10;jhMwKxjSaXQuMpDXi/Q4TneOUC/MYR0n2Akalz2tiHI+Oo+zsIzijZik9ZygSEKfzbRG84BrdOrE&#10;VTRy2+s3UdYiGuzw5tiDp5s6gzcoWCV7/m5UyEB50YDxK7ufO6Jskywhh6SltKkbjILApu2bOjcp&#10;0U0FYC7z1Gpdgmso1MZ46VTsNFfIKHNqF6oq20ojJ86w+WdbAZg6bav+ouD0va3/i7ZV+2n+uGs/&#10;Up3gZ2tf74sjnUed0scJiv26e1lRHqO9Ffp+iyrAv1XmyGOvsDNus/t2szs9yvUG48Is+Di2PaL9&#10;vTf9nR7ZXhdD/OTxGC30+fIjz6+ObumBTf9uENB4OsybHY0HoVKgNvliU9iay9v1EUXLN+strs41&#10;wdbe5kWJ5cPx66akIdvsfikXKLZsCmlTw6Fefnq/qSdfCqqObP7Zgs6b/apoWpt+m0OboUA/dP4C&#10;lZ1dl8ycetbl+5T+Nz00B9N5pamK7s5M7Jnz5m5saXQUGMdDtwXSMSjuJHPland05+9Q1t1chARC&#10;87SdbKBxob9es7KzIuHoW4Cdv2CgPg09Szb74KWUKArZk8wITiIB+MT1haRBOzHaSupthe7fp4g3&#10;S52KEc0S7ATzWbX2rkrTYKgVtmcY+SJFmiQXm6OR3stFQOeXddF0RPu/r+Ftdkj4WO3cBYOh1oL8&#10;HVhKsCybyuwgbbcyI7cAFhT07lAOEZQ7ww1FBDVWVJ8Ap+ZmIAZBjZcqoPKUDUdCjiPhr+fmRMkY&#10;JJMgNh0MabdCRSK/UYDf6xEx7WOwRtaQzE3eGdE6gW59sTsahUwSCk4HAzs6nzZehuHjNcB2PqJh&#10;xJZaZU3VyCvF2i1SkRBb+4seUPM4WjNY0bKxo/NUaRvtPV2tE4HdXeFobV/sE9Vq7RXhenTJA4aS&#10;oLTNBxJcZMjPz/seT1hbKdljoSS4cGIrGlZ7XdtI+BnJ6iRXaVPKBFuh8Vq3PtRYqVHSPSDUTm5F&#10;A7XXua1HFv3NGbnHDaUNzj0vaNjC/MzuAYtKdnszuXVXj2uQQnajZIZolMVZosoc3p+CZb9bpVHr&#10;Ge9ACym6ncSKhs9ep6ge+f4cjs1WmuqJ0SKNFxzibQvnSDOJ1DEBygdbpGNL/NT+9xpS8yjVOxcJ&#10;8LVIp3j1KrbknHM6Q+m5kKVBRXx+Mpfi24YldVeG62nJTZL4JCoJwUDsNVFJY6d2ctpF5Cx7/0BR&#10;yfOo4Etik+dntJHJ9vdlhLIL+tlo5/mR1qHcP2a+qQ4lWPPy2KOJL0J6Phl/tIFD26fnFa+++KMn&#10;WNjEH9tufCHGJlA4LGoZU/wRqQEXvDRtGF3SLV9MTOvmgMbMRT9374yYeBuhsMYx5lUbajwNY79a&#10;tkBzJyRgOspZ6pwTovv2nDbuuSCR+uR5+sizAWgPa3+fXv7FB55f++V0JcfT96TqKNKZlAPC4s9U&#10;gSfe9q39Hmlq/iZZn3nbN085NkNZrRj1HBFUNOZGt65ik6M0hnAwrdgobzFZurRD/DJ8jNeTjEL6&#10;BhugUNTNqsWIKWqq+YWp00GNXD1scw2Yl4nSg81cjsXU9ccUtS368vwK/BypNbbAULo8lia87kQk&#10;/SrqyP7JlAoZeoguykR7ls7zMgFMO91frGdZA8joWba+bcdep4+QoD7THq5bzzq71ZcoW2cntKpT&#10;+/tP42eUHnYVxg/SMJezh+XeGJ/Lutiv1vMPxbE4/dska85KXq2qzX1Zv/svAAAA//8DAFBLAwQU&#10;AAYACAAAACEAGQLgft4AAAAFAQAADwAAAGRycy9kb3ducmV2LnhtbEyPQWvCQBCF7wX/wzKF3uom&#10;2lpNsxGRticR1ELpbcyOSTA7G7JrEv99t73Uy8DjPd77Jl0OphYdta6yrCAeRyCIc6srLhR8Ht4f&#10;5yCcR9ZYWyYFV3KwzEZ3KSba9ryjbu8LEUrYJaig9L5JpHR5SQbd2DbEwTvZ1qAPsi2kbrEP5aaW&#10;kyiaSYMVh4USG1qXlJ/3F6Pgo8d+NY3fus35tL5+H563X5uYlHq4H1avIDwN/j8Mv/gBHbLAdLQX&#10;1k7UCsIj/u8GbzaZv4A4KlhEiyeQWSpv6bMfAAAA//8DAFBLAQItABQABgAIAAAAIQC2gziS/gAA&#10;AOEBAAATAAAAAAAAAAAAAAAAAAAAAABbQ29udGVudF9UeXBlc10ueG1sUEsBAi0AFAAGAAgAAAAh&#10;ADj9If/WAAAAlAEAAAsAAAAAAAAAAAAAAAAALwEAAF9yZWxzLy5yZWxzUEsBAi0AFAAGAAgAAAAh&#10;AFSKUD2MDAAA3ocAAA4AAAAAAAAAAAAAAAAALgIAAGRycy9lMm9Eb2MueG1sUEsBAi0AFAAGAAgA&#10;AAAhABkC4H7eAAAABQEAAA8AAAAAAAAAAAAAAAAA5g4AAGRycy9kb3ducmV2LnhtbFBLBQYAAAAA&#10;BAAEAPMAAADxDwAAAAA=&#10;">
                <v:rect id="Rectangle 20660" o:spid="_x0000_s5308" style="position:absolute;left:15064;top:40345;width:81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xWtxQAAAN4AAAAPAAAAZHJzL2Rvd25yZXYueG1sRI+7asMw&#10;FIb3Qt5BnEC3Rk4GExwroSSEeMhSN4WOB+v4klpHwlJst09fDYWOP/+NLz/MphcjDb6zrGC9SkAQ&#10;V1Z33Ci4vZ9ftiB8QNbYWyYF3+ThsF885ZhpO/EbjWVoRBxhn6GCNgSXSemrlgz6lXXE0avtYDBE&#10;OTRSDzjFcdPLTZKk0mDH8aFFR8eWqq/yYRR8ntgV50lW9c/RXe/Ftr88bh9KPS/n1x2IQHP4D/+1&#10;C61gk6RpBIg4EQXk/hcAAP//AwBQSwECLQAUAAYACAAAACEA2+H2y+4AAACFAQAAEwAAAAAAAAAA&#10;AAAAAAAAAAAAW0NvbnRlbnRfVHlwZXNdLnhtbFBLAQItABQABgAIAAAAIQBa9CxbvwAAABUBAAAL&#10;AAAAAAAAAAAAAAAAAB8BAABfcmVscy8ucmVsc1BLAQItABQABgAIAAAAIQA8LxWtxQAAAN4AAAAP&#10;AAAAAAAAAAAAAAAAAAcCAABkcnMvZG93bnJldi54bWxQSwUGAAAAAAMAAwC3AAAA+QIAAAAA&#10;" filled="f" stroked="f">
                  <v:textbox inset="0,0,0,0">
                    <w:txbxContent>
                      <w:p w14:paraId="7B330FEA" w14:textId="77777777" w:rsidR="00B32EF2" w:rsidRDefault="00000000">
                        <w:r>
                          <w:rPr>
                            <w:rFonts w:ascii="Arial" w:eastAsia="Arial" w:hAnsi="Arial" w:cs="Arial"/>
                            <w:b/>
                            <w:sz w:val="18"/>
                          </w:rPr>
                          <w:t>Articolo 48</w:t>
                        </w:r>
                      </w:p>
                    </w:txbxContent>
                  </v:textbox>
                </v:rect>
                <v:rect id="Rectangle 201908" o:spid="_x0000_s5309" style="position:absolute;left:22115;top:39112;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GBmxAAAAN8AAAAPAAAAZHJzL2Rvd25yZXYueG1sRE89b8Iw&#10;EN0r8R+sQ+pWbBgqCBiEQKgZuhSCxHiKjyQQn63YkLS/vh4qdXx636vNYFvxpC40jjVMJwoEcelM&#10;w5WG4nR4m4MIEdlg65g0fFOAzXr0ssLMuJ6/6HmMlUghHDLUUMfoMylDWZPFMHGeOHFX11mMCXaV&#10;NB32Kdy2cqbUu7TYcGqo0dOupvJ+fFgNlz37/NDL8vqz85+3fN5+PIqz1q/jYbsEEWmI/+I/d240&#10;zNR0odLg9Cd9Abn+BQAA//8DAFBLAQItABQABgAIAAAAIQDb4fbL7gAAAIUBAAATAAAAAAAAAAAA&#10;AAAAAAAAAABbQ29udGVudF9UeXBlc10ueG1sUEsBAi0AFAAGAAgAAAAhAFr0LFu/AAAAFQEAAAsA&#10;AAAAAAAAAAAAAAAAHwEAAF9yZWxzLy5yZWxzUEsBAi0AFAAGAAgAAAAhAAk8YGbEAAAA3wAAAA8A&#10;AAAAAAAAAAAAAAAABwIAAGRycy9kb3ducmV2LnhtbFBLBQYAAAAAAwADALcAAAD4AgAAAAA=&#10;" filled="f" stroked="f">
                  <v:textbox inset="0,0,0,0">
                    <w:txbxContent>
                      <w:p w14:paraId="3C745AC7" w14:textId="77777777" w:rsidR="00B32EF2" w:rsidRDefault="00000000">
                        <w:r>
                          <w:rPr>
                            <w:rFonts w:ascii="Arial" w:eastAsia="Arial" w:hAnsi="Arial" w:cs="Arial"/>
                            <w:i/>
                            <w:sz w:val="18"/>
                          </w:rPr>
                          <w:t>(</w:t>
                        </w:r>
                      </w:p>
                    </w:txbxContent>
                  </v:textbox>
                </v:rect>
                <v:rect id="Rectangle 201910" o:spid="_x0000_s5310" style="position:absolute;left:12167;top:39112;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q9xQAAAN8AAAAPAAAAZHJzL2Rvd25yZXYueG1sRI/NisIw&#10;FIX3A75DuIK7Ma0LcapRRBG7mI2OgstLc22rzU1ooq3z9GYxMMvD+eNbrHrTiCe1vrasIB0nIIgL&#10;q2suFZx+dp8zED4ga2wsk4IXeVgtBx8LzLTt+EDPYyhFHGGfoYIqBJdJ6YuKDPqxdcTRu9rWYIiy&#10;LaVusYvjppGTJJlKgzXHhwodbSoq7seHUXDZsst3nSyuvxv3fctnzf5xOis1GvbrOYhAffgP/7Vz&#10;rWCSpF9pJIg8kQXk8g0AAP//AwBQSwECLQAUAAYACAAAACEA2+H2y+4AAACFAQAAEwAAAAAAAAAA&#10;AAAAAAAAAAAAW0NvbnRlbnRfVHlwZXNdLnhtbFBLAQItABQABgAIAAAAIQBa9CxbvwAAABUBAAAL&#10;AAAAAAAAAAAAAAAAAB8BAABfcmVscy8ucmVsc1BLAQItABQABgAIAAAAIQByk/q9xQAAAN8AAAAP&#10;AAAAAAAAAAAAAAAAAAcCAABkcnMvZG93bnJldi54bWxQSwUGAAAAAAMAAwC3AAAA+QIAAAAA&#10;" filled="f" stroked="f">
                  <v:textbox inset="0,0,0,0">
                    <w:txbxContent>
                      <w:p w14:paraId="53098E78" w14:textId="77777777" w:rsidR="00B32EF2" w:rsidRDefault="00000000">
                        <w:r>
                          <w:rPr>
                            <w:rFonts w:ascii="Arial" w:eastAsia="Arial" w:hAnsi="Arial" w:cs="Arial"/>
                            <w:i/>
                            <w:sz w:val="18"/>
                          </w:rPr>
                          <w:t xml:space="preserve">articolo 4 D.lgs. n. </w:t>
                        </w:r>
                      </w:p>
                    </w:txbxContent>
                  </v:textbox>
                </v:rect>
                <v:rect id="Rectangle 201909" o:spid="_x0000_s5311" style="position:absolute;left:-1441;top:39112;width:185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MX9xwAAAN8AAAAPAAAAZHJzL2Rvd25yZXYueG1sRI9PawIx&#10;FMTvhX6H8Aq91UQPRbdGKRbpHrz4D3p8bJ67q5uXsInu1k9vBMHjMDO/Yabz3jbiQm2oHWsYDhQI&#10;4sKZmksNu+3yYwwiRGSDjWPS8E8B5rPXlylmxnW8pssmliJBOGSooYrRZ1KGoiKLYeA8cfIOrrUY&#10;k2xLaVrsEtw2cqTUp7RYc1qo0NOiouK0OVsNfz/s82Uni8N14VfHfNz8nnd7rd/f+u8vEJH6+Aw/&#10;2rnRMFLDiZrA/U/6AnJ2AwAA//8DAFBLAQItABQABgAIAAAAIQDb4fbL7gAAAIUBAAATAAAAAAAA&#10;AAAAAAAAAAAAAABbQ29udGVudF9UeXBlc10ueG1sUEsBAi0AFAAGAAgAAAAhAFr0LFu/AAAAFQEA&#10;AAsAAAAAAAAAAAAAAAAAHwEAAF9yZWxzLy5yZWxzUEsBAi0AFAAGAAgAAAAhAGZwxf3HAAAA3wAA&#10;AA8AAAAAAAAAAAAAAAAABwIAAGRycy9kb3ducmV2LnhtbFBLBQYAAAAAAwADALcAAAD7AgAAAAA=&#10;" filled="f" stroked="f">
                  <v:textbox inset="0,0,0,0">
                    <w:txbxContent>
                      <w:p w14:paraId="3F4A64B3" w14:textId="77777777" w:rsidR="00B32EF2" w:rsidRDefault="00000000">
                        <w:r>
                          <w:rPr>
                            <w:rFonts w:ascii="Arial" w:eastAsia="Arial" w:hAnsi="Arial" w:cs="Arial"/>
                            <w:i/>
                            <w:sz w:val="18"/>
                          </w:rPr>
                          <w:t>546/92)</w:t>
                        </w:r>
                      </w:p>
                    </w:txbxContent>
                  </v:textbox>
                </v:rect>
                <v:rect id="Rectangle 20662" o:spid="_x0000_s5312" style="position:absolute;left:7800;top:37878;width:194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S5BxgAAAN4AAAAPAAAAZHJzL2Rvd25yZXYueG1sRI9Pi8Iw&#10;FMTvC36H8Bb2tqbbQ5FqFFHEHvay/gGPj+bZdrd5CU201U+/EQSPw8z8hpktBtOKK3W+sazga5yA&#10;IC6tbrhScNhvPicgfEDW2FomBTfysJiP3maYa9vzD113oRIRwj5HBXUILpfSlzUZ9GPriKN3tp3B&#10;EGVXSd1hH+GmlWmSZNJgw3GhRkermsq/3cUoOK3ZFZteluf7yn3/FpN2ezkclfp4H5ZTEIGG8Ao/&#10;24VWkCZZlsLjTrwCcv4PAAD//wMAUEsBAi0AFAAGAAgAAAAhANvh9svuAAAAhQEAABMAAAAAAAAA&#10;AAAAAAAAAAAAAFtDb250ZW50X1R5cGVzXS54bWxQSwECLQAUAAYACAAAACEAWvQsW78AAAAVAQAA&#10;CwAAAAAAAAAAAAAAAAAfAQAAX3JlbHMvLnJlbHNQSwECLQAUAAYACAAAACEAo7EuQcYAAADeAAAA&#10;DwAAAAAAAAAAAAAAAAAHAgAAZHJzL2Rvd25yZXYueG1sUEsFBgAAAAADAAMAtwAAAPoCAAAAAA==&#10;" filled="f" stroked="f">
                  <v:textbox inset="0,0,0,0">
                    <w:txbxContent>
                      <w:p w14:paraId="12AA355D" w14:textId="77777777" w:rsidR="00B32EF2" w:rsidRDefault="00000000">
                        <w:r>
                          <w:rPr>
                            <w:rFonts w:ascii="Arial" w:eastAsia="Arial" w:hAnsi="Arial" w:cs="Arial"/>
                            <w:b/>
                            <w:sz w:val="18"/>
                          </w:rPr>
                          <w:t xml:space="preserve">Competenza per territorio </w:t>
                        </w:r>
                      </w:p>
                    </w:txbxContent>
                  </v:textbox>
                </v:rect>
                <v:rect id="Rectangle 201907" o:spid="_x0000_s5313" style="position:absolute;left:-12792;top:36645;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QUyAAAAN8AAAAPAAAAZHJzL2Rvd25yZXYueG1sRI9PawIx&#10;FMTvBb9DeIK3muih1a1RRJHuoZf6B3p8bJ67q5uXsInu2k/fFAo9DjPzG2ax6m0j7tSG2rGGyViB&#10;IC6cqbnUcDzsnmcgQkQ22DgmDQ8KsFoOnhaYGdfxJ933sRQJwiFDDVWMPpMyFBVZDGPniZN3dq3F&#10;mGRbStNil+C2kVOlXqTFmtNChZ42FRXX/c1q+Nqyz3edLM7fG/9xyWfN++140no07NdvICL18T/8&#10;186NhqmazNUr/P5JX0AufwAAAP//AwBQSwECLQAUAAYACAAAACEA2+H2y+4AAACFAQAAEwAAAAAA&#10;AAAAAAAAAAAAAAAAW0NvbnRlbnRfVHlwZXNdLnhtbFBLAQItABQABgAIAAAAIQBa9CxbvwAAABUB&#10;AAALAAAAAAAAAAAAAAAAAB8BAABfcmVscy8ucmVsc1BLAQItABQABgAIAAAAIQB4o/QUyAAAAN8A&#10;AAAPAAAAAAAAAAAAAAAAAAcCAABkcnMvZG93bnJldi54bWxQSwUGAAAAAAMAAwC3AAAA/AIAAAAA&#10;" filled="f" stroked="f">
                  <v:textbox inset="0,0,0,0">
                    <w:txbxContent>
                      <w:p w14:paraId="42677F46" w14:textId="77777777" w:rsidR="00B32EF2" w:rsidRDefault="00000000">
                        <w:r>
                          <w:rPr>
                            <w:rFonts w:ascii="Arial" w:eastAsia="Arial" w:hAnsi="Arial" w:cs="Arial"/>
                            <w:sz w:val="18"/>
                          </w:rPr>
                          <w:t>. Le corti di giustizia tributaria di primo grado sono competenti per le con</w:t>
                        </w:r>
                      </w:p>
                    </w:txbxContent>
                  </v:textbox>
                </v:rect>
                <v:rect id="Rectangle 201906" o:spid="_x0000_s5314" style="position:absolute;left:26354;top:36645;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1GPxwAAAN8AAAAPAAAAZHJzL2Rvd25yZXYueG1sRI9BawIx&#10;FITvQv9DeIXeNNGD2K1RikW6h160Cj0+Ns/d1c1L2ER36683guBxmJlvmPmyt424UBtqxxrGIwWC&#10;uHCm5lLD7nc9nIEIEdlg45g0/FOA5eJlMMfMuI43dNnGUiQIhww1VDH6TMpQVGQxjJwnTt7BtRZj&#10;km0pTYtdgttGTpSaSos1p4UKPa0qKk7bs9Xw98U+X3eyOFxX/ueYz5rv826v9dtr//kBIlIfn+FH&#10;OzcaJmr8rqZw/5O+gFzcAAAA//8DAFBLAQItABQABgAIAAAAIQDb4fbL7gAAAIUBAAATAAAAAAAA&#10;AAAAAAAAAAAAAABbQ29udGVudF9UeXBlc10ueG1sUEsBAi0AFAAGAAgAAAAhAFr0LFu/AAAAFQEA&#10;AAsAAAAAAAAAAAAAAAAAHwEAAF9yZWxzLy5yZWxzUEsBAi0AFAAGAAgAAAAhABfvUY/HAAAA3wAA&#10;AA8AAAAAAAAAAAAAAAAABwIAAGRycy9kb3ducmV2LnhtbFBLBQYAAAAAAwADALcAAAD7AgAAAAA=&#10;" filled="f" stroked="f">
                  <v:textbox inset="0,0,0,0">
                    <w:txbxContent>
                      <w:p w14:paraId="349310FC" w14:textId="77777777" w:rsidR="00B32EF2" w:rsidRDefault="00000000">
                        <w:r>
                          <w:rPr>
                            <w:rFonts w:ascii="Arial" w:eastAsia="Arial" w:hAnsi="Arial" w:cs="Arial"/>
                            <w:sz w:val="18"/>
                          </w:rPr>
                          <w:t>1</w:t>
                        </w:r>
                      </w:p>
                    </w:txbxContent>
                  </v:textbox>
                </v:rect>
                <v:rect id="Rectangle 20664" o:spid="_x0000_s5315" style="position:absolute;left:196;top:3664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BOuxgAAAN4AAAAPAAAAZHJzL2Rvd25yZXYueG1sRI9Ba8JA&#10;FITvBf/D8gre6qZSgqSuIoo0By/VCB4f2WeSmn27ZFcT/fXdQsHjMDPfMPPlYFpxo843lhW8TxIQ&#10;xKXVDVcKisP2bQbCB2SNrWVScCcPy8XoZY6Ztj1/020fKhEh7DNUUIfgMil9WZNBP7GOOHpn2xkM&#10;UXaV1B32EW5aOU2SVBpsOC7U6GhdU3nZX42C04Zdvu1leX6s3e4nn7Vf1+Ko1Ph1WH2CCDSEZ/i/&#10;nWsF0yRNP+DvTrwCcvELAAD//wMAUEsBAi0AFAAGAAgAAAAhANvh9svuAAAAhQEAABMAAAAAAAAA&#10;AAAAAAAAAAAAAFtDb250ZW50X1R5cGVzXS54bWxQSwECLQAUAAYACAAAACEAWvQsW78AAAAVAQAA&#10;CwAAAAAAAAAAAAAAAAAfAQAAX3JlbHMvLnJlbHNQSwECLQAUAAYACAAAACEAQxQTrsYAAADeAAAA&#10;DwAAAAAAAAAAAAAAAAAHAgAAZHJzL2Rvd25yZXYueG1sUEsFBgAAAAADAAMAtwAAAPoCAAAAAA==&#10;" filled="f" stroked="f">
                  <v:textbox inset="0,0,0,0">
                    <w:txbxContent>
                      <w:p w14:paraId="4700A412" w14:textId="77777777" w:rsidR="00B32EF2" w:rsidRDefault="00000000">
                        <w:r>
                          <w:rPr>
                            <w:rFonts w:ascii="Arial" w:eastAsia="Arial" w:hAnsi="Arial" w:cs="Arial"/>
                            <w:sz w:val="18"/>
                          </w:rPr>
                          <w:t>-</w:t>
                        </w:r>
                      </w:p>
                    </w:txbxContent>
                  </v:textbox>
                </v:rect>
                <v:rect id="Rectangle 20665" o:spid="_x0000_s5316" style="position:absolute;left:-12207;top:35412;width:521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Y1xgAAAN4AAAAPAAAAZHJzL2Rvd25yZXYueG1sRI9Ba8JA&#10;FITvBf/D8gre6qZCg6SuIoo0By/VCB4f2WeSmn27ZFcT/fXdQsHjMDPfMPPlYFpxo843lhW8TxIQ&#10;xKXVDVcKisP2bQbCB2SNrWVScCcPy8XoZY6Ztj1/020fKhEh7DNUUIfgMil9WZNBP7GOOHpn2xkM&#10;UXaV1B32EW5aOU2SVBpsOC7U6GhdU3nZX42C04Zdvu1leX6s3e4nn7Vf1+Ko1Ph1WH2CCDSEZ/i/&#10;nWsF0yRNP+DvTrwCcvELAAD//wMAUEsBAi0AFAAGAAgAAAAhANvh9svuAAAAhQEAABMAAAAAAAAA&#10;AAAAAAAAAAAAAFtDb250ZW50X1R5cGVzXS54bWxQSwECLQAUAAYACAAAACEAWvQsW78AAAAVAQAA&#10;CwAAAAAAAAAAAAAAAAAfAQAAX3JlbHMvLnJlbHNQSwECLQAUAAYACAAAACEALFi2NcYAAADeAAAA&#10;DwAAAAAAAAAAAAAAAAAHAgAAZHJzL2Rvd25yZXYueG1sUEsFBgAAAAADAAMAtwAAAPoCAAAAAA==&#10;" filled="f" stroked="f">
                  <v:textbox inset="0,0,0,0">
                    <w:txbxContent>
                      <w:p w14:paraId="558ADEFA" w14:textId="77777777" w:rsidR="00B32EF2" w:rsidRDefault="00000000">
                        <w:r>
                          <w:rPr>
                            <w:rFonts w:ascii="Arial" w:eastAsia="Arial" w:hAnsi="Arial" w:cs="Arial"/>
                            <w:sz w:val="18"/>
                          </w:rPr>
                          <w:t>troversie proposte nei confronti degli enti impositori, degli agenti della riscos</w:t>
                        </w:r>
                      </w:p>
                    </w:txbxContent>
                  </v:textbox>
                </v:rect>
                <v:rect id="Rectangle 20666" o:spid="_x0000_s5317" style="position:absolute;left:196;top:3541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ihCxQAAAN4AAAAPAAAAZHJzL2Rvd25yZXYueG1sRI9Bi8Iw&#10;FITvwv6H8ARvmuqhSDXK4iLbgxddBY+P5tlWm5fQRNvdX28EYY/DzHzDLNe9acSDWl9bVjCdJCCI&#10;C6trLhUcf7bjOQgfkDU2lknBL3lYrz4GS8y07XhPj0MoRYSwz1BBFYLLpPRFRQb9xDri6F1sazBE&#10;2ZZSt9hFuGnkLElSabDmuFCho01Fxe1wNwrOX+zybSeLy9/G7a75vPm+H09KjYb95wJEoD78h9/t&#10;XCuYJWmawutOvAJy9QQAAP//AwBQSwECLQAUAAYACAAAACEA2+H2y+4AAACFAQAAEwAAAAAAAAAA&#10;AAAAAAAAAAAAW0NvbnRlbnRfVHlwZXNdLnhtbFBLAQItABQABgAIAAAAIQBa9CxbvwAAABUBAAAL&#10;AAAAAAAAAAAAAAAAAB8BAABfcmVscy8ucmVsc1BLAQItABQABgAIAAAAIQDciihCxQAAAN4AAAAP&#10;AAAAAAAAAAAAAAAAAAcCAABkcnMvZG93bnJldi54bWxQSwUGAAAAAAMAAwC3AAAA+QIAAAAA&#10;" filled="f" stroked="f">
                  <v:textbox inset="0,0,0,0">
                    <w:txbxContent>
                      <w:p w14:paraId="45051109" w14:textId="77777777" w:rsidR="00B32EF2" w:rsidRDefault="00000000">
                        <w:r>
                          <w:rPr>
                            <w:rFonts w:ascii="Arial" w:eastAsia="Arial" w:hAnsi="Arial" w:cs="Arial"/>
                            <w:sz w:val="18"/>
                          </w:rPr>
                          <w:t>-</w:t>
                        </w:r>
                      </w:p>
                    </w:txbxContent>
                  </v:textbox>
                </v:rect>
                <v:rect id="Rectangle 20667" o:spid="_x0000_s5318" style="position:absolute;left:-13167;top:341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o3ZxgAAAN4AAAAPAAAAZHJzL2Rvd25yZXYueG1sRI9Ba8JA&#10;FITvBf/D8gre6qYeUkldRRQxBy+1ETw+ss8kNft2ya4m+uvdQqHHYWa+YebLwbTiRp1vLCt4nyQg&#10;iEurG64UFN/btxkIH5A1tpZJwZ08LBejlzlm2vb8RbdDqESEsM9QQR2Cy6T0ZU0G/cQ64uidbWcw&#10;RNlVUnfYR7hp5TRJUmmw4bhQo6N1TeXlcDUKTht2+baX5fmxdvuffNbursVRqfHrsPoEEWgI/+G/&#10;dq4VTJM0/YDfO/EKyMUTAAD//wMAUEsBAi0AFAAGAAgAAAAhANvh9svuAAAAhQEAABMAAAAAAAAA&#10;AAAAAAAAAAAAAFtDb250ZW50X1R5cGVzXS54bWxQSwECLQAUAAYACAAAACEAWvQsW78AAAAVAQAA&#10;CwAAAAAAAAAAAAAAAAAfAQAAX3JlbHMvLnJlbHNQSwECLQAUAAYACAAAACEAs8aN2cYAAADeAAAA&#10;DwAAAAAAAAAAAAAAAAAHAgAAZHJzL2Rvd25yZXYueG1sUEsFBgAAAAADAAMAtwAAAPoCAAAAAA==&#10;" filled="f" stroked="f">
                  <v:textbox inset="0,0,0,0">
                    <w:txbxContent>
                      <w:p w14:paraId="25F73F01" w14:textId="77777777" w:rsidR="00B32EF2" w:rsidRDefault="00000000">
                        <w:r>
                          <w:rPr>
                            <w:rFonts w:ascii="Arial" w:eastAsia="Arial" w:hAnsi="Arial" w:cs="Arial"/>
                            <w:sz w:val="18"/>
                          </w:rPr>
                          <w:t xml:space="preserve">sione e dei soggetti iscritti all’albo di cui all’articolo 53 del decreto legislativo </w:t>
                        </w:r>
                      </w:p>
                    </w:txbxContent>
                  </v:textbox>
                </v:rect>
                <v:rect id="Rectangle 201905" o:spid="_x0000_s5319" style="position:absolute;left:-14400;top:3294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c/4yAAAAN8AAAAPAAAAZHJzL2Rvd25yZXYueG1sRI9PawIx&#10;FMTvBb9DeIK3mii06NYookj30Ev9Az0+Ns/d1c1L2ER37advCoUeh5n5DbNY9bYRd2pD7VjDZKxA&#10;EBfO1FxqOB52zzMQISIbbByThgcFWC0HTwvMjOv4k+77WIoE4ZChhipGn0kZiooshrHzxMk7u9Zi&#10;TLItpWmxS3DbyKlSr9JizWmhQk+biorr/mY1fG3Z57tOFufvjf+45LPm/XY8aT0a9us3EJH6+B/+&#10;a+dGw1RN5uoFfv+kLyCXPwAAAP//AwBQSwECLQAUAAYACAAAACEA2+H2y+4AAACFAQAAEwAAAAAA&#10;AAAAAAAAAAAAAAAAW0NvbnRlbnRfVHlwZXNdLnhtbFBLAQItABQABgAIAAAAIQBa9CxbvwAAABUB&#10;AAALAAAAAAAAAAAAAAAAAB8BAABfcmVscy8ucmVsc1BLAQItABQABgAIAAAAIQDnPc/4yAAAAN8A&#10;AAAPAAAAAAAAAAAAAAAAAAcCAABkcnMvZG93bnJldi54bWxQSwUGAAAAAAMAAwC3AAAA/AIAAAAA&#10;" filled="f" stroked="f">
                  <v:textbox inset="0,0,0,0">
                    <w:txbxContent>
                      <w:p w14:paraId="33D63191" w14:textId="77777777" w:rsidR="00B32EF2" w:rsidRDefault="00000000">
                        <w:r>
                          <w:rPr>
                            <w:rFonts w:ascii="Arial" w:eastAsia="Arial" w:hAnsi="Arial" w:cs="Arial"/>
                            <w:sz w:val="18"/>
                          </w:rPr>
                          <w:t xml:space="preserve"> dicembre 1997, n. 446, che hanno sede nella loro circoscrizione. Se la </w:t>
                        </w:r>
                      </w:p>
                    </w:txbxContent>
                  </v:textbox>
                </v:rect>
                <v:rect id="Rectangle 201904" o:spid="_x0000_s5320" style="position:absolute;left:25516;top:3294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WpjyAAAAN8AAAAPAAAAZHJzL2Rvd25yZXYueG1sRI9PawIx&#10;FMTvBb9DeIK3miil6NYookj30Ev9Az0+Ns/d1c1L2ER37advCoUeh5n5DbNY9bYRd2pD7VjDZKxA&#10;EBfO1FxqOB52zzMQISIbbByThgcFWC0HTwvMjOv4k+77WIoE4ZChhipGn0kZiooshrHzxMk7u9Zi&#10;TLItpWmxS3DbyKlSr9JizWmhQk+biorr/mY1fG3Z57tOFufvjf+45LPm/XY8aT0a9us3EJH6+B/+&#10;a+dGw1RN5uoFfv+kLyCXPwAAAP//AwBQSwECLQAUAAYACAAAACEA2+H2y+4AAACFAQAAEwAAAAAA&#10;AAAAAAAAAAAAAAAAW0NvbnRlbnRfVHlwZXNdLnhtbFBLAQItABQABgAIAAAAIQBa9CxbvwAAABUB&#10;AAALAAAAAAAAAAAAAAAAAB8BAABfcmVscy8ucmVsc1BLAQItABQABgAIAAAAIQCIcWpjyAAAAN8A&#10;AAAPAAAAAAAAAAAAAAAAAAcCAABkcnMvZG93bnJldi54bWxQSwUGAAAAAAMAAwC3AAAA/AIAAAAA&#10;" filled="f" stroked="f">
                  <v:textbox inset="0,0,0,0">
                    <w:txbxContent>
                      <w:p w14:paraId="7C7D9C92" w14:textId="77777777" w:rsidR="00B32EF2" w:rsidRDefault="00000000">
                        <w:r>
                          <w:rPr>
                            <w:rFonts w:ascii="Arial" w:eastAsia="Arial" w:hAnsi="Arial" w:cs="Arial"/>
                            <w:sz w:val="18"/>
                          </w:rPr>
                          <w:t>15</w:t>
                        </w:r>
                      </w:p>
                    </w:txbxContent>
                  </v:textbox>
                </v:rect>
                <v:rect id="Rectangle 20669" o:spid="_x0000_s5321" style="position:absolute;left:-12207;top:31712;width:521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bwwxgAAAN4AAAAPAAAAZHJzL2Rvd25yZXYueG1sRI9Ba8JA&#10;FITvBf/D8oTe6kYPwUZXEUWagxethR4f2WcSzb5dsquJ/fVdQfA4zMw3zHzZm0bcqPW1ZQXjUQKC&#10;uLC65lLB8Xv7MQXhA7LGxjIpuJOH5WLwNsdM2473dDuEUkQI+wwVVCG4TEpfVGTQj6wjjt7JtgZD&#10;lG0pdYtdhJtGTpIklQZrjgsVOlpXVFwOV6Pgd8Mu33ayOP2t3e6cT5uv6/FHqfdhv5qBCNSHV/jZ&#10;zrWCSZKmn/C4E6+AXPwDAAD//wMAUEsBAi0AFAAGAAgAAAAhANvh9svuAAAAhQEAABMAAAAAAAAA&#10;AAAAAAAAAAAAAFtDb250ZW50X1R5cGVzXS54bWxQSwECLQAUAAYACAAAACEAWvQsW78AAAAVAQAA&#10;CwAAAAAAAAAAAAAAAAAfAQAAX3JlbHMvLnJlbHNQSwECLQAUAAYACAAAACEArRW8MMYAAADeAAAA&#10;DwAAAAAAAAAAAAAAAAAHAgAAZHJzL2Rvd25yZXYueG1sUEsFBgAAAAADAAMAtwAAAPoCAAAAAA==&#10;" filled="f" stroked="f">
                  <v:textbox inset="0,0,0,0">
                    <w:txbxContent>
                      <w:p w14:paraId="028BD9EE" w14:textId="77777777" w:rsidR="00B32EF2" w:rsidRDefault="00000000">
                        <w:r>
                          <w:rPr>
                            <w:rFonts w:ascii="Arial" w:eastAsia="Arial" w:hAnsi="Arial" w:cs="Arial"/>
                            <w:sz w:val="18"/>
                          </w:rPr>
                          <w:t>controversia è proposta nei confronti di articolazioni dell’Agenzia delle entra</w:t>
                        </w:r>
                      </w:p>
                    </w:txbxContent>
                  </v:textbox>
                </v:rect>
                <v:rect id="Rectangle 20670" o:spid="_x0000_s5322" style="position:absolute;left:196;top:3171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oNwxgAAAN4AAAAPAAAAZHJzL2Rvd25yZXYueG1sRI+9asMw&#10;FIX3QN9B3EK2RG6GNLhRTHEJ9dClrgMdL9aN7cS6EpZiO336aih0PJw/vn02m16MNPjOsoKndQKC&#10;uLa640ZB9XVc7UD4gKyxt0wK7uQhOzws9phqO/EnjWVoRBxhn6KCNgSXSunrlgz6tXXE0TvbwWCI&#10;cmikHnCK46aXmyTZSoMdx4cWHeUt1dfyZhR8v7ErjpOszz+5+7gUu/79Vp2UWj7Ory8gAs3hP/zX&#10;LrSCTbJ9jgARJ6KAPPwCAAD//wMAUEsBAi0AFAAGAAgAAAAhANvh9svuAAAAhQEAABMAAAAAAAAA&#10;AAAAAAAAAAAAAFtDb250ZW50X1R5cGVzXS54bWxQSwECLQAUAAYACAAAACEAWvQsW78AAAAVAQAA&#10;CwAAAAAAAAAAAAAAAAAfAQAAX3JlbHMvLnJlbHNQSwECLQAUAAYACAAAACEAufaDcMYAAADeAAAA&#10;DwAAAAAAAAAAAAAAAAAHAgAAZHJzL2Rvd25yZXYueG1sUEsFBgAAAAADAAMAtwAAAPoCAAAAAA==&#10;" filled="f" stroked="f">
                  <v:textbox inset="0,0,0,0">
                    <w:txbxContent>
                      <w:p w14:paraId="4FCC7046" w14:textId="77777777" w:rsidR="00B32EF2" w:rsidRDefault="00000000">
                        <w:r>
                          <w:rPr>
                            <w:rFonts w:ascii="Arial" w:eastAsia="Arial" w:hAnsi="Arial" w:cs="Arial"/>
                            <w:sz w:val="18"/>
                          </w:rPr>
                          <w:t>-</w:t>
                        </w:r>
                      </w:p>
                    </w:txbxContent>
                  </v:textbox>
                </v:rect>
                <v:rect id="Rectangle 20671" o:spid="_x0000_s5323" style="position:absolute;left:-13168;top:30479;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ibrxgAAAN4AAAAPAAAAZHJzL2Rvd25yZXYueG1sRI9Bi8Iw&#10;FITvgv8hPGFvmupBpRpFFNkevOgqeHw0z7bavIQm2rq/frOwsMdhZr5hluvO1OJFja8sKxiPEhDE&#10;udUVFwrOX/vhHIQPyBpry6TgTR7Wq35viam2LR/pdQqFiBD2KSooQ3CplD4vyaAfWUccvZttDIYo&#10;m0LqBtsIN7WcJMlUGqw4LpToaFtS/jg9jYLrjl22b2V++966wz2b15/P80Wpj0G3WYAI1IX/8F87&#10;0womyXQ2ht878QrI1Q8AAAD//wMAUEsBAi0AFAAGAAgAAAAhANvh9svuAAAAhQEAABMAAAAAAAAA&#10;AAAAAAAAAAAAAFtDb250ZW50X1R5cGVzXS54bWxQSwECLQAUAAYACAAAACEAWvQsW78AAAAVAQAA&#10;CwAAAAAAAAAAAAAAAAAfAQAAX3JlbHMvLnJlbHNQSwECLQAUAAYACAAAACEA1rom68YAAADeAAAA&#10;DwAAAAAAAAAAAAAAAAAHAgAAZHJzL2Rvd25yZXYueG1sUEsFBgAAAAADAAMAtwAAAPoCAAAAAA==&#10;" filled="f" stroked="f">
                  <v:textbox inset="0,0,0,0">
                    <w:txbxContent>
                      <w:p w14:paraId="123676A5" w14:textId="77777777" w:rsidR="00B32EF2" w:rsidRDefault="00000000">
                        <w:r>
                          <w:rPr>
                            <w:rFonts w:ascii="Arial" w:eastAsia="Arial" w:hAnsi="Arial" w:cs="Arial"/>
                            <w:sz w:val="18"/>
                          </w:rPr>
                          <w:t xml:space="preserve">te, con competenza su tutto o parte del territorio nazionale, individuate con il </w:t>
                        </w:r>
                      </w:p>
                    </w:txbxContent>
                  </v:textbox>
                </v:rect>
                <v:rect id="Rectangle 20672" o:spid="_x0000_s5324" style="position:absolute;left:-13172;top:29245;width:531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icxgAAAN4AAAAPAAAAZHJzL2Rvd25yZXYueG1sRI9Ba8JA&#10;FITvBf/D8gre6qY5WEldRRQxBy+1ETw+ss8kNft2ya4m+uvdQqHHYWa+YebLwbTiRp1vLCt4nyQg&#10;iEurG64UFN/btxkIH5A1tpZJwZ08LBejlzlm2vb8RbdDqESEsM9QQR2Cy6T0ZU0G/cQ64uidbWcw&#10;RNlVUnfYR7hpZZokU2mw4bhQo6N1TeXlcDUKTht2+baX5fmxdvuffNbursVRqfHrsPoEEWgI/+G/&#10;dq4VpMn0I4XfO/EKyMUTAAD//wMAUEsBAi0AFAAGAAgAAAAhANvh9svuAAAAhQEAABMAAAAAAAAA&#10;AAAAAAAAAAAAAFtDb250ZW50X1R5cGVzXS54bWxQSwECLQAUAAYACAAAACEAWvQsW78AAAAVAQAA&#10;CwAAAAAAAAAAAAAAAAAfAQAAX3JlbHMvLnJlbHNQSwECLQAUAAYACAAAACEAJmi4nMYAAADeAAAA&#10;DwAAAAAAAAAAAAAAAAAHAgAAZHJzL2Rvd25yZXYueG1sUEsFBgAAAAADAAMAtwAAAPoCAAAAAA==&#10;" filled="f" stroked="f">
                  <v:textbox inset="0,0,0,0">
                    <w:txbxContent>
                      <w:p w14:paraId="10BBA572" w14:textId="77777777" w:rsidR="00B32EF2" w:rsidRDefault="00000000">
                        <w:r>
                          <w:rPr>
                            <w:rFonts w:ascii="Arial" w:eastAsia="Arial" w:hAnsi="Arial" w:cs="Arial"/>
                            <w:sz w:val="18"/>
                          </w:rPr>
                          <w:t xml:space="preserve">regolamento di amministrazione di cui all’articolo 71 del decreto legislativo 30 </w:t>
                        </w:r>
                      </w:p>
                    </w:txbxContent>
                  </v:textbox>
                </v:rect>
                <v:rect id="Rectangle 20673" o:spid="_x0000_s5325" style="position:absolute;left:-13176;top:28012;width:53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B0HxwAAAN4AAAAPAAAAZHJzL2Rvd25yZXYueG1sRI9Pi8Iw&#10;FMTvgt8hPGFvmq4LrlSjLIrYw17WP+Dx0TzbavMSmmirn36zsOBxmJnfMPNlZ2pxp8ZXlhW8jxIQ&#10;xLnVFRcKDvvNcArCB2SNtWVS8CAPy0W/N8dU25Z/6L4LhYgQ9ikqKENwqZQ+L8mgH1lHHL2zbQyG&#10;KJtC6gbbCDe1HCfJRBqsOC6U6GhVUn7d3YyC05pdtmllfn6u3Pclm9bb2+Go1Nug+5qBCNSFV/i/&#10;nWkF42Ty+QF/d+IVkItfAAAA//8DAFBLAQItABQABgAIAAAAIQDb4fbL7gAAAIUBAAATAAAAAAAA&#10;AAAAAAAAAAAAAABbQ29udGVudF9UeXBlc10ueG1sUEsBAi0AFAAGAAgAAAAhAFr0LFu/AAAAFQEA&#10;AAsAAAAAAAAAAAAAAAAAHwEAAF9yZWxzLy5yZWxzUEsBAi0AFAAGAAgAAAAhAEkkHQfHAAAA3gAA&#10;AA8AAAAAAAAAAAAAAAAABwIAAGRycy9kb3ducmV2LnhtbFBLBQYAAAAAAwADALcAAAD7AgAAAAA=&#10;" filled="f" stroked="f">
                  <v:textbox inset="0,0,0,0">
                    <w:txbxContent>
                      <w:p w14:paraId="27187A0A" w14:textId="77777777" w:rsidR="00B32EF2" w:rsidRDefault="00000000">
                        <w:r>
                          <w:rPr>
                            <w:rFonts w:ascii="Arial" w:eastAsia="Arial" w:hAnsi="Arial" w:cs="Arial"/>
                            <w:sz w:val="18"/>
                          </w:rPr>
                          <w:t xml:space="preserve">luglio 1999, n. 300, è competente la corte di giustizia tributaria di primo grado </w:t>
                        </w:r>
                      </w:p>
                    </w:txbxContent>
                  </v:textbox>
                </v:rect>
                <v:rect id="Rectangle 20674" o:spid="_x0000_s5326" style="position:absolute;left:-13167;top:2677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YVzxwAAAN4AAAAPAAAAZHJzL2Rvd25yZXYueG1sRI9Pi8Iw&#10;FMTvgt8hPGFvmq4srlSjLIrYw17WP+Dx0TzbavMSmmirn36zsOBxmJnfMPNlZ2pxp8ZXlhW8jxIQ&#10;xLnVFRcKDvvNcArCB2SNtWVS8CAPy0W/N8dU25Z/6L4LhYgQ9ikqKENwqZQ+L8mgH1lHHL2zbQyG&#10;KJtC6gbbCDe1HCfJRBqsOC6U6GhVUn7d3YyC05pdtmllfn6u3Pclm9bb2+Go1Nug+5qBCNSFV/i/&#10;nWkF42Ty+QF/d+IVkItfAAAA//8DAFBLAQItABQABgAIAAAAIQDb4fbL7gAAAIUBAAATAAAAAAAA&#10;AAAAAAAAAAAAAABbQ29udGVudF9UeXBlc10ueG1sUEsBAi0AFAAGAAgAAAAhAFr0LFu/AAAAFQEA&#10;AAsAAAAAAAAAAAAAAAAAHwEAAF9yZWxzLy5yZWxzUEsBAi0AFAAGAAgAAAAhAMbNhXPHAAAA3gAA&#10;AA8AAAAAAAAAAAAAAAAABwIAAGRycy9kb3ducmV2LnhtbFBLBQYAAAAAAwADALcAAAD7AgAAAAA=&#10;" filled="f" stroked="f">
                  <v:textbox inset="0,0,0,0">
                    <w:txbxContent>
                      <w:p w14:paraId="55884FAB" w14:textId="77777777" w:rsidR="00B32EF2" w:rsidRDefault="00000000">
                        <w:r>
                          <w:rPr>
                            <w:rFonts w:ascii="Arial" w:eastAsia="Arial" w:hAnsi="Arial" w:cs="Arial"/>
                            <w:sz w:val="18"/>
                          </w:rPr>
                          <w:t xml:space="preserve">nella cui circoscrizione ha sede l’ufficio al quale spettano le attribuzioni sul </w:t>
                        </w:r>
                      </w:p>
                    </w:txbxContent>
                  </v:textbox>
                </v:rect>
                <v:rect id="Rectangle 20675" o:spid="_x0000_s5327" style="position:absolute;left:25248;top:25545;width:146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SDoxwAAAN4AAAAPAAAAZHJzL2Rvd25yZXYueG1sRI9Pi8Iw&#10;FMTvgt8hPGFvmq6wrlSjLIrYw17WP+Dx0TzbavMSmmirn36zsOBxmJnfMPNlZ2pxp8ZXlhW8jxIQ&#10;xLnVFRcKDvvNcArCB2SNtWVS8CAPy0W/N8dU25Z/6L4LhYgQ9ikqKENwqZQ+L8mgH1lHHL2zbQyG&#10;KJtC6gbbCDe1HCfJRBqsOC6U6GhVUn7d3YyC05pdtmllfn6u3Pclm9bb2+Go1Nug+5qBCNSFV/i/&#10;nWkF42Ty+QF/d+IVkItfAAAA//8DAFBLAQItABQABgAIAAAAIQDb4fbL7gAAAIUBAAATAAAAAAAA&#10;AAAAAAAAAAAAAABbQ29udGVudF9UeXBlc10ueG1sUEsBAi0AFAAGAAgAAAAhAFr0LFu/AAAAFQEA&#10;AAsAAAAAAAAAAAAAAAAAHwEAAF9yZWxzLy5yZWxzUEsBAi0AFAAGAAgAAAAhAKmBIOjHAAAA3gAA&#10;AA8AAAAAAAAAAAAAAAAABwIAAGRycy9kb3ducmV2LnhtbFBLBQYAAAAAAwADALcAAAD7AgAAAAA=&#10;" filled="f" stroked="f">
                  <v:textbox inset="0,0,0,0">
                    <w:txbxContent>
                      <w:p w14:paraId="6D79FCFF" w14:textId="77777777" w:rsidR="00B32EF2" w:rsidRDefault="00000000">
                        <w:r>
                          <w:rPr>
                            <w:rFonts w:ascii="Arial" w:eastAsia="Arial" w:hAnsi="Arial" w:cs="Arial"/>
                            <w:sz w:val="18"/>
                          </w:rPr>
                          <w:t>rapporto controverso.</w:t>
                        </w:r>
                      </w:p>
                    </w:txbxContent>
                  </v:textbox>
                </v:rect>
                <v:rect id="Rectangle 201902" o:spid="_x0000_s5328" style="position:absolute;left:26354;top:24312;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FeMxwAAAN8AAAAPAAAAZHJzL2Rvd25yZXYueG1sRI9BawIx&#10;FITvQv9DeIXeNHEPRbdGEYt0D71ULfT42Dx3t25ewia6W3+9KQgeh5n5hlmsBtuKC3WhcaxhOlEg&#10;iEtnGq40HPbb8QxEiMgGW8ek4Y8CrJZPowXmxvX8RZddrESCcMhRQx2jz6UMZU0Ww8R54uQdXWcx&#10;JtlV0nTYJ7htZabUq7TYcFqo0dOmpvK0O1sNP+/si20vy+N14z9/i1n7cT58a/3yPKzfQEQa4iN8&#10;bxdGQ6amc5XB/5/0BeTyBgAA//8DAFBLAQItABQABgAIAAAAIQDb4fbL7gAAAIUBAAATAAAAAAAA&#10;AAAAAAAAAAAAAABbQ29udGVudF9UeXBlc10ueG1sUEsBAi0AFAAGAAgAAAAhAFr0LFu/AAAAFQEA&#10;AAsAAAAAAAAAAAAAAAAAHwEAAF9yZWxzLy5yZWxzUEsBAi0AFAAGAAgAAAAhAGjUV4zHAAAA3wAA&#10;AA8AAAAAAAAAAAAAAAAABwIAAGRycy9kb3ducmV2LnhtbFBLBQYAAAAAAwADALcAAAD7AgAAAAA=&#10;" filled="f" stroked="f">
                  <v:textbox inset="0,0,0,0">
                    <w:txbxContent>
                      <w:p w14:paraId="1D28D4AB" w14:textId="77777777" w:rsidR="00B32EF2" w:rsidRDefault="00000000">
                        <w:r>
                          <w:rPr>
                            <w:rFonts w:ascii="Arial" w:eastAsia="Arial" w:hAnsi="Arial" w:cs="Arial"/>
                            <w:sz w:val="18"/>
                          </w:rPr>
                          <w:t>2</w:t>
                        </w:r>
                      </w:p>
                    </w:txbxContent>
                  </v:textbox>
                </v:rect>
                <v:rect id="Rectangle 201903" o:spid="_x0000_s5329" style="position:absolute;left:-12843;top:24312;width:521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PIXyAAAAN8AAAAPAAAAZHJzL2Rvd25yZXYueG1sRI9PawIx&#10;FMTvBb9DeIK3mmih6NYookj30Ev9Az0+Ns/d1c1L2ER37advCoUeh5n5DbNY9bYRd2pD7VjDZKxA&#10;EBfO1FxqOB52zzMQISIbbByThgcFWC0HTwvMjOv4k+77WIoE4ZChhipGn0kZiooshrHzxMk7u9Zi&#10;TLItpWmxS3DbyKlSr9JizWmhQk+biorr/mY1fG3Z57tOFufvjf+45LPm/XY8aT0a9us3EJH6+B/+&#10;a+dGw1RN5uoFfv+kLyCXPwAAAP//AwBQSwECLQAUAAYACAAAACEA2+H2y+4AAACFAQAAEwAAAAAA&#10;AAAAAAAAAAAAAAAAW0NvbnRlbnRfVHlwZXNdLnhtbFBLAQItABQABgAIAAAAIQBa9CxbvwAAABUB&#10;AAALAAAAAAAAAAAAAAAAAB8BAABfcmVscy8ucmVsc1BLAQItABQABgAIAAAAIQAHmPIXyAAAAN8A&#10;AAAPAAAAAAAAAAAAAAAAAAcCAABkcnMvZG93bnJldi54bWxQSwUGAAAAAAMAAwC3AAAA/AIAAAAA&#10;" filled="f" stroked="f">
                  <v:textbox inset="0,0,0,0">
                    <w:txbxContent>
                      <w:p w14:paraId="5EBD9133" w14:textId="77777777" w:rsidR="00B32EF2" w:rsidRDefault="00000000">
                        <w:r>
                          <w:rPr>
                            <w:rFonts w:ascii="Arial" w:eastAsia="Arial" w:hAnsi="Arial" w:cs="Arial"/>
                            <w:sz w:val="18"/>
                          </w:rPr>
                          <w:t>. Le corti di giustizia tributaria di secondo grado sono competenti per le im</w:t>
                        </w:r>
                      </w:p>
                    </w:txbxContent>
                  </v:textbox>
                </v:rect>
                <v:rect id="Rectangle 20677" o:spid="_x0000_s5330" style="position:absolute;left:196;top:2431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xsExgAAAN4AAAAPAAAAZHJzL2Rvd25yZXYueG1sRI9Pi8Iw&#10;FMTvC36H8ARva6oHlWoUUcQe9rL+AY+P5tlWm5fQRFv3028WFjwOM/MbZrHqTC2e1PjKsoLRMAFB&#10;nFtdcaHgdNx9zkD4gKyxtkwKXuRhtex9LDDVtuVveh5CISKEfYoKyhBcKqXPSzLoh9YRR+9qG4Mh&#10;yqaQusE2wk0tx0kykQYrjgslOtqUlN8PD6PgsmWX7VqZX3827uuWzer943RWatDv1nMQgbrwDv+3&#10;M61gnEymU/i7E6+AXP4CAAD//wMAUEsBAi0AFAAGAAgAAAAhANvh9svuAAAAhQEAABMAAAAAAAAA&#10;AAAAAAAAAAAAAFtDb250ZW50X1R5cGVzXS54bWxQSwECLQAUAAYACAAAACEAWvQsW78AAAAVAQAA&#10;CwAAAAAAAAAAAAAAAAAfAQAAX3JlbHMvLnJlbHNQSwECLQAUAAYACAAAACEANh8bBMYAAADeAAAA&#10;DwAAAAAAAAAAAAAAAAAHAgAAZHJzL2Rvd25yZXYueG1sUEsFBgAAAAADAAMAtwAAAPoCAAAAAA==&#10;" filled="f" stroked="f">
                  <v:textbox inset="0,0,0,0">
                    <w:txbxContent>
                      <w:p w14:paraId="04D667C9" w14:textId="77777777" w:rsidR="00B32EF2" w:rsidRDefault="00000000">
                        <w:r>
                          <w:rPr>
                            <w:rFonts w:ascii="Arial" w:eastAsia="Arial" w:hAnsi="Arial" w:cs="Arial"/>
                            <w:sz w:val="18"/>
                          </w:rPr>
                          <w:t>-</w:t>
                        </w:r>
                      </w:p>
                    </w:txbxContent>
                  </v:textbox>
                </v:rect>
                <v:rect id="Rectangle 20678" o:spid="_x0000_s5331" style="position:absolute;left:-13168;top:2307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I92xAAAAN4AAAAPAAAAZHJzL2Rvd25yZXYueG1sRE89a8Mw&#10;EN0D/Q/iCtkSuRnS4EYxxSXUQ5e6DnQ8rIvtxDoJS7Gd/vpqKHR8vO99NptejDT4zrKCp3UCgri2&#10;uuNGQfV1XO1A+ICssbdMCu7kITs8LPaYajvxJ41laEQMYZ+igjYEl0rp65YM+rV1xJE728FgiHBo&#10;pB5wiuGml5sk2UqDHceGFh3lLdXX8mYUfL+xK46TrM8/ufu4FLv+/VadlFo+zq8vIALN4V/85y60&#10;gk2yfY574514BeThFwAA//8DAFBLAQItABQABgAIAAAAIQDb4fbL7gAAAIUBAAATAAAAAAAAAAAA&#10;AAAAAAAAAABbQ29udGVudF9UeXBlc10ueG1sUEsBAi0AFAAGAAgAAAAhAFr0LFu/AAAAFQEAAAsA&#10;AAAAAAAAAAAAAAAAHwEAAF9yZWxzLy5yZWxzUEsBAi0AFAAGAAgAAAAhAEeAj3bEAAAA3gAAAA8A&#10;AAAAAAAAAAAAAAAABwIAAGRycy9kb3ducmV2LnhtbFBLBQYAAAAAAwADALcAAAD4AgAAAAA=&#10;" filled="f" stroked="f">
                  <v:textbox inset="0,0,0,0">
                    <w:txbxContent>
                      <w:p w14:paraId="456CB51A" w14:textId="77777777" w:rsidR="00B32EF2" w:rsidRDefault="00000000">
                        <w:r>
                          <w:rPr>
                            <w:rFonts w:ascii="Arial" w:eastAsia="Arial" w:hAnsi="Arial" w:cs="Arial"/>
                            <w:sz w:val="18"/>
                          </w:rPr>
                          <w:t xml:space="preserve">pugnazioni avverso le decisioni delle corti di giustizia tributaria di primo grado, </w:t>
                        </w:r>
                      </w:p>
                    </w:txbxContent>
                  </v:textbox>
                </v:rect>
                <v:rect id="Rectangle 20679" o:spid="_x0000_s5332" style="position:absolute;left:12075;top:21845;width:278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CrtxwAAAN4AAAAPAAAAZHJzL2Rvd25yZXYueG1sRI9Pi8Iw&#10;FMTvC36H8ARva7oeXK1GWRSxBy/rH/D4aJ5ttXkJTbTVT79ZWNjjMDO/YebLztTiQY2vLCv4GCYg&#10;iHOrKy4UHA+b9wkIH5A11pZJwZM8LBe9tzmm2rb8TY99KESEsE9RQRmCS6X0eUkG/dA64uhdbGMw&#10;RNkUUjfYRrip5ShJxtJgxXGhREerkvLb/m4UnNfssk0r88tr5XbXbFJv78eTUoN+9zUDEagL/+G/&#10;dqYVjJLx5xR+78QrIBc/AAAA//8DAFBLAQItABQABgAIAAAAIQDb4fbL7gAAAIUBAAATAAAAAAAA&#10;AAAAAAAAAAAAAABbQ29udGVudF9UeXBlc10ueG1sUEsBAi0AFAAGAAgAAAAhAFr0LFu/AAAAFQEA&#10;AAsAAAAAAAAAAAAAAAAAHwEAAF9yZWxzLy5yZWxzUEsBAi0AFAAGAAgAAAAhACjMKu3HAAAA3gAA&#10;AA8AAAAAAAAAAAAAAAAABwIAAGRycy9kb3ducmV2LnhtbFBLBQYAAAAAAwADALcAAAD7AgAAAAA=&#10;" filled="f" stroked="f">
                  <v:textbox inset="0,0,0,0">
                    <w:txbxContent>
                      <w:p w14:paraId="3937DC93" w14:textId="77777777" w:rsidR="00B32EF2" w:rsidRDefault="00000000">
                        <w:r>
                          <w:rPr>
                            <w:rFonts w:ascii="Arial" w:eastAsia="Arial" w:hAnsi="Arial" w:cs="Arial"/>
                            <w:sz w:val="18"/>
                          </w:rPr>
                          <w:t>che hanno sede nella loro circoscrizione.</w:t>
                        </w:r>
                      </w:p>
                    </w:txbxContent>
                  </v:textbox>
                </v:rect>
                <v:rect id="Rectangle 20680" o:spid="_x0000_s5333" style="position:absolute;left:15065;top:14445;width:811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NXxgAAAN4AAAAPAAAAZHJzL2Rvd25yZXYueG1sRI+9asMw&#10;FIX3Qt5B3EC3Ro6HYJwooSSEeMhS14WOF+vGdmpdCUuO3T59NRQ6Hs4f3+4wm148aPCdZQXrVQKC&#10;uLa640ZB9X5+yUD4gKyxt0wKvsnDYb942mGu7cRv9ChDI+II+xwVtCG4XEpft2TQr6wjjt7NDgZD&#10;lEMj9YBTHDe9TJNkIw12HB9adHRsqf4qR6Pg88SuOE+yvv0c3fVeZP1lrD6Uel7Or1sQgebwH/5r&#10;F1pBmmyyCBBxIgrI/S8AAAD//wMAUEsBAi0AFAAGAAgAAAAhANvh9svuAAAAhQEAABMAAAAAAAAA&#10;AAAAAAAAAAAAAFtDb250ZW50X1R5cGVzXS54bWxQSwECLQAUAAYACAAAACEAWvQsW78AAAAVAQAA&#10;CwAAAAAAAAAAAAAAAAAfAQAAX3JlbHMvLnJlbHNQSwECLQAUAAYACAAAACEAjCPzV8YAAADeAAAA&#10;DwAAAAAAAAAAAAAAAAAHAgAAZHJzL2Rvd25yZXYueG1sUEsFBgAAAAADAAMAtwAAAPoCAAAAAA==&#10;" filled="f" stroked="f">
                  <v:textbox inset="0,0,0,0">
                    <w:txbxContent>
                      <w:p w14:paraId="71E59B66" w14:textId="77777777" w:rsidR="00B32EF2" w:rsidRDefault="00000000">
                        <w:r>
                          <w:rPr>
                            <w:rFonts w:ascii="Arial" w:eastAsia="Arial" w:hAnsi="Arial" w:cs="Arial"/>
                            <w:b/>
                            <w:sz w:val="18"/>
                          </w:rPr>
                          <w:t>Articolo 49</w:t>
                        </w:r>
                      </w:p>
                    </w:txbxContent>
                  </v:textbox>
                </v:rect>
                <v:rect id="Rectangle 201900" o:spid="_x0000_s5334" style="position:absolute;left:-5000;top:13211;width:211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mxgxgAAAN8AAAAPAAAAZHJzL2Rvd25yZXYueG1sRI+9bsIw&#10;FIX3SryDdZG6FRuGCgIGIRBqhi6FIDFexZckEF9bsSFpn74eKnU8On/6VpvBtuJJXWgca5hOFAji&#10;0pmGKw3F6fA2BxEissHWMWn4pgCb9ehlhZlxPX/R8xgrkUY4ZKihjtFnUoayJoth4jxx8q6usxiT&#10;7CppOuzTuG3lTKl3abHh9FCjp11N5f34sBoue/b5oZfl9WfnP2/5vP14FGetX8fDdgki0hD/w3/t&#10;3GiYqelCJYLEk1hArn8BAAD//wMAUEsBAi0AFAAGAAgAAAAhANvh9svuAAAAhQEAABMAAAAAAAAA&#10;AAAAAAAAAAAAAFtDb250ZW50X1R5cGVzXS54bWxQSwECLQAUAAYACAAAACEAWvQsW78AAAAVAQAA&#10;CwAAAAAAAAAAAAAAAAAfAQAAX3JlbHMvLnJlbHNQSwECLQAUAAYACAAAACEA90psYMYAAADfAAAA&#10;DwAAAAAAAAAAAAAAAAAHAgAAZHJzL2Rvd25yZXYueG1sUEsFBgAAAAADAAMAtwAAAPoCAAAAAA==&#10;" filled="f" stroked="f">
                  <v:textbox inset="0,0,0,0">
                    <w:txbxContent>
                      <w:p w14:paraId="3DBDA427" w14:textId="77777777" w:rsidR="00B32EF2" w:rsidRDefault="00000000">
                        <w:r>
                          <w:rPr>
                            <w:rFonts w:ascii="Arial" w:eastAsia="Arial" w:hAnsi="Arial" w:cs="Arial"/>
                            <w:i/>
                            <w:sz w:val="18"/>
                          </w:rPr>
                          <w:t>546/92)</w:t>
                        </w:r>
                      </w:p>
                    </w:txbxContent>
                  </v:textbox>
                </v:rect>
                <v:rect id="Rectangle 201899" o:spid="_x0000_s5335" style="position:absolute;left:22444;top:13211;width:211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1/nxwAAAN8AAAAPAAAAZHJzL2Rvd25yZXYueG1sRI9Ba8JA&#10;FITvBf/D8gRvdaOHEqOriCLNwUutgsdH9plEs2+X7Gqiv75bKPQ4zMw3zGLVm0Y8qPW1ZQWTcQKC&#10;uLC65lLB8Xv3noLwAVljY5kUPMnDajl4W2Cmbcdf9DiEUkQI+wwVVCG4TEpfVGTQj60jjt7FtgZD&#10;lG0pdYtdhJtGTpPkQxqsOS5U6GhTUXE73I2C85ZdvutkcXlt3P6ap83n/XhSajTs13MQgfrwH/5r&#10;51rBNJmksxn8/olfQC5/AAAA//8DAFBLAQItABQABgAIAAAAIQDb4fbL7gAAAIUBAAATAAAAAAAA&#10;AAAAAAAAAAAAAABbQ29udGVudF9UeXBlc10ueG1sUEsBAi0AFAAGAAgAAAAhAFr0LFu/AAAAFQEA&#10;AAsAAAAAAAAAAAAAAAAAHwEAAF9yZWxzLy5yZWxzUEsBAi0AFAAGAAgAAAAhAPibX+fHAAAA3wAA&#10;AA8AAAAAAAAAAAAAAAAABwIAAGRycy9kb3ducmV2LnhtbFBLBQYAAAAAAwADALcAAAD7AgAAAAA=&#10;" filled="f" stroked="f">
                  <v:textbox inset="0,0,0,0">
                    <w:txbxContent>
                      <w:p w14:paraId="10825DCA" w14:textId="77777777" w:rsidR="00B32EF2" w:rsidRDefault="00000000">
                        <w:r>
                          <w:rPr>
                            <w:rFonts w:ascii="Arial" w:eastAsia="Arial" w:hAnsi="Arial" w:cs="Arial"/>
                            <w:i/>
                            <w:sz w:val="18"/>
                          </w:rPr>
                          <w:t>(</w:t>
                        </w:r>
                      </w:p>
                    </w:txbxContent>
                  </v:textbox>
                </v:rect>
                <v:rect id="Rectangle 201901" o:spid="_x0000_s5336" style="position:absolute;left:10552;top:13211;width:211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sn7xwAAAN8AAAAPAAAAZHJzL2Rvd25yZXYueG1sRI9BawIx&#10;FITvQv9DeIXeNFkPRbdGEYt0D71ULfT42Dx3t25ewia6W3+9KQgeh5n5hlmsBtuKC3WhcawhmygQ&#10;xKUzDVcaDvvteAYiRGSDrWPS8EcBVsun0QJz43r+ossuViJBOOSooY7R51KGsiaLYeI8cfKOrrMY&#10;k+wqaTrsE9y2cqrUq7TYcFqo0dOmpvK0O1sNP+/si20vy+N14z9/i1n7cT58a/3yPKzfQEQa4iN8&#10;bxdGw1Rlc5XB/5/0BeTyBgAA//8DAFBLAQItABQABgAIAAAAIQDb4fbL7gAAAIUBAAATAAAAAAAA&#10;AAAAAAAAAAAAAABbQ29udGVudF9UeXBlc10ueG1sUEsBAi0AFAAGAAgAAAAhAFr0LFu/AAAAFQEA&#10;AAsAAAAAAAAAAAAAAAAAHwEAAF9yZWxzLy5yZWxzUEsBAi0AFAAGAAgAAAAhAJgGyfvHAAAA3wAA&#10;AA8AAAAAAAAAAAAAAAAABwIAAGRycy9kb3ducmV2LnhtbFBLBQYAAAAAAwADALcAAAD7AgAAAAA=&#10;" filled="f" stroked="f">
                  <v:textbox inset="0,0,0,0">
                    <w:txbxContent>
                      <w:p w14:paraId="71C0908D" w14:textId="77777777" w:rsidR="00B32EF2" w:rsidRDefault="00000000">
                        <w:r>
                          <w:rPr>
                            <w:rFonts w:ascii="Arial" w:eastAsia="Arial" w:hAnsi="Arial" w:cs="Arial"/>
                            <w:i/>
                            <w:sz w:val="18"/>
                          </w:rPr>
                          <w:t xml:space="preserve">articolo 4-bis D.lgs. n. </w:t>
                        </w:r>
                      </w:p>
                    </w:txbxContent>
                  </v:textbox>
                </v:rect>
                <v:rect id="Rectangle 20682" o:spid="_x0000_s5337" style="position:absolute;left:2521;top:11978;width:279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ci7xgAAAN4AAAAPAAAAZHJzL2Rvd25yZXYueG1sRI9Ba8JA&#10;FITvBf/D8oTe6sYcJERXEUXMoZdaBY+P7DNJm327ZFcT/fVdQehxmJlvmMVqMK24UecbywqmkwQE&#10;cWl1w5WC4/fuIwPhA7LG1jIpuJOH1XL0tsBc256/6HYIlYgQ9jkqqENwuZS+rMmgn1hHHL2L7QyG&#10;KLtK6g77CDetTJNkJg02HBdqdLSpqfw9XI2C85ZdsetleXls3OdPkbX76/Gk1Pt4WM9BBBrCf/jV&#10;LrSCNJllKTzvxCsgl38AAAD//wMAUEsBAi0AFAAGAAgAAAAhANvh9svuAAAAhQEAABMAAAAAAAAA&#10;AAAAAAAAAAAAAFtDb250ZW50X1R5cGVzXS54bWxQSwECLQAUAAYACAAAACEAWvQsW78AAAAVAQAA&#10;CwAAAAAAAAAAAAAAAAAfAQAAX3JlbHMvLnJlbHNQSwECLQAUAAYACAAAACEAE73Iu8YAAADeAAAA&#10;DwAAAAAAAAAAAAAAAAAHAgAAZHJzL2Rvd25yZXYueG1sUEsFBgAAAAADAAMAtwAAAPoCAAAAAA==&#10;" filled="f" stroked="f">
                  <v:textbox inset="0,0,0,0">
                    <w:txbxContent>
                      <w:p w14:paraId="6DABA53A" w14:textId="77777777" w:rsidR="00B32EF2" w:rsidRDefault="00000000">
                        <w:r>
                          <w:rPr>
                            <w:rFonts w:ascii="Arial" w:eastAsia="Arial" w:hAnsi="Arial" w:cs="Arial"/>
                            <w:b/>
                            <w:sz w:val="18"/>
                          </w:rPr>
                          <w:t xml:space="preserve">Competenza del giudice monocratico </w:t>
                        </w:r>
                      </w:p>
                    </w:txbxContent>
                  </v:textbox>
                </v:rect>
                <v:rect id="Rectangle 201898" o:spid="_x0000_s5338" style="position:absolute;left:-12785;top:10745;width:521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p8xAAAAN8AAAAPAAAAZHJzL2Rvd25yZXYueG1sRE/LisIw&#10;FN0P+A/hCu7GVBdDrUYRRaaL2fgCl5fm2labm9BEW+frzWJglofzXqx604gntb62rGAyTkAQF1bX&#10;XCo4HXefKQgfkDU2lknBizysloOPBWbadryn5yGUIoawz1BBFYLLpPRFRQb92DriyF1tazBE2JZS&#10;t9jFcNPIaZJ8SYM1x4YKHW0qKu6Hh1Fw2bLLd50srr8b93PL0+b7cTorNRr26zmIQH34F/+5c61g&#10;mkzSWRwc/8QvIJdvAAAA//8DAFBLAQItABQABgAIAAAAIQDb4fbL7gAAAIUBAAATAAAAAAAAAAAA&#10;AAAAAAAAAABbQ29udGVudF9UeXBlc10ueG1sUEsBAi0AFAAGAAgAAAAhAFr0LFu/AAAAFQEAAAsA&#10;AAAAAAAAAAAAAAAAHwEAAF9yZWxzLy5yZWxzUEsBAi0AFAAGAAgAAAAhAJfX+nzEAAAA3wAAAA8A&#10;AAAAAAAAAAAAAAAABwIAAGRycy9kb3ducmV2LnhtbFBLBQYAAAAAAwADALcAAAD4AgAAAAA=&#10;" filled="f" stroked="f">
                  <v:textbox inset="0,0,0,0">
                    <w:txbxContent>
                      <w:p w14:paraId="188997FA" w14:textId="77777777" w:rsidR="00B32EF2" w:rsidRDefault="00000000">
                        <w:r>
                          <w:rPr>
                            <w:rFonts w:ascii="Arial" w:eastAsia="Arial" w:hAnsi="Arial" w:cs="Arial"/>
                            <w:sz w:val="18"/>
                          </w:rPr>
                          <w:t>. Le corti di giustizia tributaria di primo grado decidono in composizione mo</w:t>
                        </w:r>
                      </w:p>
                    </w:txbxContent>
                  </v:textbox>
                </v:rect>
                <v:rect id="Rectangle 201897" o:spid="_x0000_s5339" style="position:absolute;left:26350;top:10745;width:521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G4OyAAAAN8AAAAPAAAAZHJzL2Rvd25yZXYueG1sRI9Pa8JA&#10;FMTvgt9heYK3utFDjamriCLNoZf6B3p8ZJ9J2uzbJbua2E/vFgoeh5n5DbNc96YRN2p9bVnBdJKA&#10;IC6srrlUcDruX1IQPiBrbCyTgjt5WK+GgyVm2nb8SbdDKEWEsM9QQRWCy6T0RUUG/cQ64uhdbGsw&#10;RNmWUrfYRbhp5CxJXqXBmuNChY62FRU/h6tR8LVjl+87WVx+t+7jO0+b9+vprNR41G/eQATqwzP8&#10;3861glkyTRdz+PsTv4BcPQAAAP//AwBQSwECLQAUAAYACAAAACEA2+H2y+4AAACFAQAAEwAAAAAA&#10;AAAAAAAAAAAAAAAAW0NvbnRlbnRfVHlwZXNdLnhtbFBLAQItABQABgAIAAAAIQBa9CxbvwAAABUB&#10;AAALAAAAAAAAAAAAAAAAAB8BAABfcmVscy8ucmVsc1BLAQItABQABgAIAAAAIQDmSG4OyAAAAN8A&#10;AAAPAAAAAAAAAAAAAAAAAAcCAABkcnMvZG93bnJldi54bWxQSwUGAAAAAAMAAwC3AAAA/AIAAAAA&#10;" filled="f" stroked="f">
                  <v:textbox inset="0,0,0,0">
                    <w:txbxContent>
                      <w:p w14:paraId="7209EF84" w14:textId="77777777" w:rsidR="00B32EF2" w:rsidRDefault="00000000">
                        <w:r>
                          <w:rPr>
                            <w:rFonts w:ascii="Arial" w:eastAsia="Arial" w:hAnsi="Arial" w:cs="Arial"/>
                            <w:sz w:val="18"/>
                          </w:rPr>
                          <w:t>1</w:t>
                        </w:r>
                      </w:p>
                    </w:txbxContent>
                  </v:textbox>
                </v:rect>
                <v:rect id="Rectangle 20684" o:spid="_x0000_s5340" style="position:absolute;left:195;top:1074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PVUxgAAAN4AAAAPAAAAZHJzL2Rvd25yZXYueG1sRI9Ba8JA&#10;FITvBf/D8gre6qZSJKSuIoo0By/VCB4f2WeSmn27ZFcT/fXdQsHjMDPfMPPlYFpxo843lhW8TxIQ&#10;xKXVDVcKisP2LQXhA7LG1jIpuJOH5WL0MsdM256/6bYPlYgQ9hkqqENwmZS+rMmgn1hHHL2z7QyG&#10;KLtK6g77CDetnCbJTBpsOC7U6GhdU3nZX42C04Zdvu1leX6s3e4nT9uva3FUavw6rD5BBBrCM/zf&#10;zrWCaTJLP+DvTrwCcvELAAD//wMAUEsBAi0AFAAGAAgAAAAhANvh9svuAAAAhQEAABMAAAAAAAAA&#10;AAAAAAAAAAAAAFtDb250ZW50X1R5cGVzXS54bWxQSwECLQAUAAYACAAAACEAWvQsW78AAAAVAQAA&#10;CwAAAAAAAAAAAAAAAAAfAQAAX3JlbHMvLnJlbHNQSwECLQAUAAYACAAAACEA8xj1VMYAAADeAAAA&#10;DwAAAAAAAAAAAAAAAAAHAgAAZHJzL2Rvd25yZXYueG1sUEsFBgAAAAADAAMAtwAAAPoCAAAAAA==&#10;" filled="f" stroked="f">
                  <v:textbox inset="0,0,0,0">
                    <w:txbxContent>
                      <w:p w14:paraId="04699997" w14:textId="77777777" w:rsidR="00B32EF2" w:rsidRDefault="00000000">
                        <w:r>
                          <w:rPr>
                            <w:rFonts w:ascii="Arial" w:eastAsia="Arial" w:hAnsi="Arial" w:cs="Arial"/>
                            <w:sz w:val="18"/>
                          </w:rPr>
                          <w:t>-</w:t>
                        </w:r>
                      </w:p>
                    </w:txbxContent>
                  </v:textbox>
                </v:rect>
                <v:rect id="Rectangle 20685" o:spid="_x0000_s5341" style="position:absolute;left:-12183;top:9511;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FDPxgAAAN4AAAAPAAAAZHJzL2Rvd25yZXYueG1sRI9Ba8JA&#10;FITvBf/D8gre6qZCJaSuIoo0By/VCB4f2WeSmn27ZFcT/fXdQsHjMDPfMPPlYFpxo843lhW8TxIQ&#10;xKXVDVcKisP2LQXhA7LG1jIpuJOH5WL0MsdM256/6bYPlYgQ9hkqqENwmZS+rMmgn1hHHL2z7QyG&#10;KLtK6g77CDetnCbJTBpsOC7U6GhdU3nZX42C04Zdvu1leX6s3e4nT9uva3FUavw6rD5BBBrCM/zf&#10;zrWCaTJLP+DvTrwCcvELAAD//wMAUEsBAi0AFAAGAAgAAAAhANvh9svuAAAAhQEAABMAAAAAAAAA&#10;AAAAAAAAAAAAAFtDb250ZW50X1R5cGVzXS54bWxQSwECLQAUAAYACAAAACEAWvQsW78AAAAVAQAA&#10;CwAAAAAAAAAAAAAAAAAfAQAAX3JlbHMvLnJlbHNQSwECLQAUAAYACAAAACEAnFRQz8YAAADeAAAA&#10;DwAAAAAAAAAAAAAAAAAHAgAAZHJzL2Rvd25yZXYueG1sUEsFBgAAAAADAAMAtwAAAPoCAAAAAA==&#10;" filled="f" stroked="f">
                  <v:textbox inset="0,0,0,0">
                    <w:txbxContent>
                      <w:p w14:paraId="4BD1CD30" w14:textId="77777777" w:rsidR="00B32EF2" w:rsidRDefault="00000000">
                        <w:r>
                          <w:rPr>
                            <w:rFonts w:ascii="Arial" w:eastAsia="Arial" w:hAnsi="Arial" w:cs="Arial"/>
                            <w:sz w:val="18"/>
                          </w:rPr>
                          <w:t>nocratica le controversie di valore fino a 5.000 euro. Sono escluse le contro</w:t>
                        </w:r>
                      </w:p>
                    </w:txbxContent>
                  </v:textbox>
                </v:rect>
                <v:rect id="Rectangle 20686" o:spid="_x0000_s5342" style="position:absolute;left:195;top:951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s64xgAAAN4AAAAPAAAAZHJzL2Rvd25yZXYueG1sRI9Ba8JA&#10;FITvgv9heQVvuqmHEKKriCLm4KVWweMj+0zSZt8u2dVEf323UOhxmJlvmOV6MK14UOcbywreZwkI&#10;4tLqhisF58/9NAPhA7LG1jIpeJKH9Wo8WmKubc8f9DiFSkQI+xwV1CG4XEpf1mTQz6wjjt7NdgZD&#10;lF0ldYd9hJtWzpMklQYbjgs1OtrWVH6f7kbBdceu2PeyvL227vhVZO3hfr4oNXkbNgsQgYbwH/5r&#10;F1rBPEmzFH7vxCsgVz8AAAD//wMAUEsBAi0AFAAGAAgAAAAhANvh9svuAAAAhQEAABMAAAAAAAAA&#10;AAAAAAAAAAAAAFtDb250ZW50X1R5cGVzXS54bWxQSwECLQAUAAYACAAAACEAWvQsW78AAAAVAQAA&#10;CwAAAAAAAAAAAAAAAAAfAQAAX3JlbHMvLnJlbHNQSwECLQAUAAYACAAAACEAbIbOuMYAAADeAAAA&#10;DwAAAAAAAAAAAAAAAAAHAgAAZHJzL2Rvd25yZXYueG1sUEsFBgAAAAADAAMAtwAAAPoCAAAAAA==&#10;" filled="f" stroked="f">
                  <v:textbox inset="0,0,0,0">
                    <w:txbxContent>
                      <w:p w14:paraId="49E66B89" w14:textId="77777777" w:rsidR="00B32EF2" w:rsidRDefault="00000000">
                        <w:r>
                          <w:rPr>
                            <w:rFonts w:ascii="Arial" w:eastAsia="Arial" w:hAnsi="Arial" w:cs="Arial"/>
                            <w:sz w:val="18"/>
                          </w:rPr>
                          <w:t>-</w:t>
                        </w:r>
                      </w:p>
                    </w:txbxContent>
                  </v:textbox>
                </v:rect>
                <v:rect id="Rectangle 20687" o:spid="_x0000_s5343" style="position:absolute;left:18332;top:8278;width:215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msjxgAAAN4AAAAPAAAAZHJzL2Rvd25yZXYueG1sRI9Ba8JA&#10;FITvBf/D8oTe6kYPNkRXEUWag5eqhR4f2WcSzb5dsquJ/fVdQfA4zMw3zHzZm0bcqPW1ZQXjUQKC&#10;uLC65lLB8bD9SEH4gKyxsUwK7uRhuRi8zTHTtuNvuu1DKSKEfYYKqhBcJqUvKjLoR9YRR+9kW4Mh&#10;yraUusUuwk0jJ0kylQZrjgsVOlpXVFz2V6Pgd8Mu33ayOP2t3e6cp83X9fij1PuwX81ABOrDK/xs&#10;51rBJJmmn/C4E6+AXPwDAAD//wMAUEsBAi0AFAAGAAgAAAAhANvh9svuAAAAhQEAABMAAAAAAAAA&#10;AAAAAAAAAAAAAFtDb250ZW50X1R5cGVzXS54bWxQSwECLQAUAAYACAAAACEAWvQsW78AAAAVAQAA&#10;CwAAAAAAAAAAAAAAAAAfAQAAX3JlbHMvLnJlbHNQSwECLQAUAAYACAAAACEAA8prI8YAAADeAAAA&#10;DwAAAAAAAAAAAAAAAAAHAgAAZHJzL2Rvd25yZXYueG1sUEsFBgAAAAADAAMAtwAAAPoCAAAAAA==&#10;" filled="f" stroked="f">
                  <v:textbox inset="0,0,0,0">
                    <w:txbxContent>
                      <w:p w14:paraId="60E445BE" w14:textId="77777777" w:rsidR="00B32EF2" w:rsidRDefault="00000000">
                        <w:r>
                          <w:rPr>
                            <w:rFonts w:ascii="Arial" w:eastAsia="Arial" w:hAnsi="Arial" w:cs="Arial"/>
                            <w:sz w:val="18"/>
                          </w:rPr>
                          <w:t>versie di valore indeterminabile.</w:t>
                        </w:r>
                      </w:p>
                    </w:txbxContent>
                  </v:textbox>
                </v:rect>
                <v:rect id="Rectangle 201895" o:spid="_x0000_s5344" style="position:absolute;left:-13815;top:704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lXiyAAAAN8AAAAPAAAAZHJzL2Rvd25yZXYueG1sRI9Pa8JA&#10;FMTvgt9heYK3ulGoxNRVRJHm0Ev9Az0+ss8kbfbtkl1N7Kd3CwWPw8z8hlmue9OIG7W+tqxgOklA&#10;EBdW11wqOB33LykIH5A1NpZJwZ08rFfDwRIzbTv+pNshlCJC2GeooArBZVL6oiKDfmIdcfQutjUY&#10;omxLqVvsItw0cpYkc2mw5rhQoaNtRcXP4WoUfO3Y5ftOFpffrfv4ztPm/Xo6KzUe9Zs3EIH68Az/&#10;t3OtYJZM08Ur/P2JX0CuHgAAAP//AwBQSwECLQAUAAYACAAAACEA2+H2y+4AAACFAQAAEwAAAAAA&#10;AAAAAAAAAAAAAAAAW0NvbnRlbnRfVHlwZXNdLnhtbFBLAQItABQABgAIAAAAIQBa9CxbvwAAABUB&#10;AAALAAAAAAAAAAAAAAAAAB8BAABfcmVscy8ucmVsc1BLAQItABQABgAIAAAAIQB51lXiyAAAAN8A&#10;AAAPAAAAAAAAAAAAAAAAAAcCAABkcnMvZG93bnJldi54bWxQSwUGAAAAAAMAAwC3AAAA/AIAAAAA&#10;" filled="f" stroked="f">
                  <v:textbox inset="0,0,0,0">
                    <w:txbxContent>
                      <w:p w14:paraId="311D603C" w14:textId="77777777" w:rsidR="00B32EF2" w:rsidRDefault="00000000">
                        <w:r>
                          <w:rPr>
                            <w:rFonts w:ascii="Arial" w:eastAsia="Arial" w:hAnsi="Arial" w:cs="Arial"/>
                            <w:sz w:val="18"/>
                          </w:rPr>
                          <w:t xml:space="preserve">. Per valore della lite si intende quello determinato ai sensi dell’articolo 57, </w:t>
                        </w:r>
                      </w:p>
                    </w:txbxContent>
                  </v:textbox>
                </v:rect>
                <v:rect id="Rectangle 201894" o:spid="_x0000_s5345" style="position:absolute;left:26112;top:7045;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B5yAAAAN8AAAAPAAAAZHJzL2Rvd25yZXYueG1sRI9Pa8JA&#10;FMTvgt9heYK3ulGKxNRVRJHm0Ev9Az0+ss8kbfbtkl1N7Kd3CwWPw8z8hlmue9OIG7W+tqxgOklA&#10;EBdW11wqOB33LykIH5A1NpZJwZ08rFfDwRIzbTv+pNshlCJC2GeooArBZVL6oiKDfmIdcfQutjUY&#10;omxLqVvsItw0cpYkc2mw5rhQoaNtRcXP4WoUfO3Y5ftOFpffrfv4ztPm/Xo6KzUe9Zs3EIH68Az/&#10;t3OtYJZM08Ur/P2JX0CuHgAAAP//AwBQSwECLQAUAAYACAAAACEA2+H2y+4AAACFAQAAEwAAAAAA&#10;AAAAAAAAAAAAAAAAW0NvbnRlbnRfVHlwZXNdLnhtbFBLAQItABQABgAIAAAAIQBa9CxbvwAAABUB&#10;AAALAAAAAAAAAAAAAAAAAB8BAABfcmVscy8ucmVsc1BLAQItABQABgAIAAAAIQAWmvB5yAAAAN8A&#10;AAAPAAAAAAAAAAAAAAAAAAcCAABkcnMvZG93bnJldi54bWxQSwUGAAAAAAMAAwC3AAAA/AIAAAAA&#10;" filled="f" stroked="f">
                  <v:textbox inset="0,0,0,0">
                    <w:txbxContent>
                      <w:p w14:paraId="0C7F2177" w14:textId="77777777" w:rsidR="00B32EF2" w:rsidRDefault="00000000">
                        <w:r>
                          <w:rPr>
                            <w:rFonts w:ascii="Arial" w:eastAsia="Arial" w:hAnsi="Arial" w:cs="Arial"/>
                            <w:sz w:val="18"/>
                          </w:rPr>
                          <w:t>2</w:t>
                        </w:r>
                      </w:p>
                    </w:txbxContent>
                  </v:textbox>
                </v:rect>
                <v:rect id="Rectangle 20689" o:spid="_x0000_s5346" style="position:absolute;left:-13168;top:58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VrKxgAAAN4AAAAPAAAAZHJzL2Rvd25yZXYueG1sRI9Ba8JA&#10;FITvgv9heQVvuqkHSVNXEUXMwUttCj0+ss8kNft2ya4m+uvdQqHHYWa+YZbrwbTiRp1vLCt4nSUg&#10;iEurG64UFJ/7aQrCB2SNrWVScCcP69V4tMRM254/6HYKlYgQ9hkqqENwmZS+rMmgn1lHHL2z7QyG&#10;KLtK6g77CDetnCfJQhpsOC7U6GhbU3k5XY2C7x27fN/L8vzYuuNPnraHa/Gl1ORl2LyDCDSE//Bf&#10;O9cK5skifYPfO/EKyNUTAAD//wMAUEsBAi0AFAAGAAgAAAAhANvh9svuAAAAhQEAABMAAAAAAAAA&#10;AAAAAAAAAAAAAFtDb250ZW50X1R5cGVzXS54bWxQSwECLQAUAAYACAAAACEAWvQsW78AAAAVAQAA&#10;CwAAAAAAAAAAAAAAAAAfAQAAX3JlbHMvLnJlbHNQSwECLQAUAAYACAAAACEAHRlaysYAAADeAAAA&#10;DwAAAAAAAAAAAAAAAAAHAgAAZHJzL2Rvd25yZXYueG1sUEsFBgAAAAADAAMAtwAAAPoCAAAAAA==&#10;" filled="f" stroked="f">
                  <v:textbox inset="0,0,0,0">
                    <w:txbxContent>
                      <w:p w14:paraId="46CE4BBD" w14:textId="77777777" w:rsidR="00B32EF2" w:rsidRDefault="00000000">
                        <w:r>
                          <w:rPr>
                            <w:rFonts w:ascii="Arial" w:eastAsia="Arial" w:hAnsi="Arial" w:cs="Arial"/>
                            <w:sz w:val="18"/>
                          </w:rPr>
                          <w:t xml:space="preserve">comma 2. Si tiene conto anche dell’imposta virtuale calcolata a seguito delle </w:t>
                        </w:r>
                      </w:p>
                    </w:txbxContent>
                  </v:textbox>
                </v:rect>
                <v:rect id="Rectangle 20690" o:spid="_x0000_s5347" style="position:absolute;left:26856;top:4578;width:130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WKxQAAAN4AAAAPAAAAZHJzL2Rvd25yZXYueG1sRI/NisIw&#10;FIX3gu8QruBOU12IdowiDjJdzEatMMtLc22rzU1ooq3z9GYxMMvD+eNbb3vTiCe1vrasYDZNQBAX&#10;VtdcKsjPh8kShA/IGhvLpOBFHrab4WCNqbYdH+l5CqWII+xTVFCF4FIpfVGRQT+1jjh6V9saDFG2&#10;pdQtdnHcNHKeJAtpsOb4UKGjfUXF/fQwCn4+2WWHThbX3737vmXL5uuRX5Qaj/rdB4hAffgP/7Uz&#10;rWCeLFYRIOJEFJCbNwAAAP//AwBQSwECLQAUAAYACAAAACEA2+H2y+4AAACFAQAAEwAAAAAAAAAA&#10;AAAAAAAAAAAAW0NvbnRlbnRfVHlwZXNdLnhtbFBLAQItABQABgAIAAAAIQBa9CxbvwAAABUBAAAL&#10;AAAAAAAAAAAAAAAAAB8BAABfcmVscy8ucmVsc1BLAQItABQABgAIAAAAIQAJ+mWKxQAAAN4AAAAP&#10;AAAAAAAAAAAAAAAAAAcCAABkcnMvZG93bnJldi54bWxQSwUGAAAAAAMAAwC3AAAA+QIAAAAA&#10;" filled="f" stroked="f">
                  <v:textbox inset="0,0,0,0">
                    <w:txbxContent>
                      <w:p w14:paraId="6E5CB189" w14:textId="77777777" w:rsidR="00B32EF2" w:rsidRDefault="00000000">
                        <w:r>
                          <w:rPr>
                            <w:rFonts w:ascii="Arial" w:eastAsia="Arial" w:hAnsi="Arial" w:cs="Arial"/>
                            <w:sz w:val="18"/>
                          </w:rPr>
                          <w:t>rettifiche di perdita.</w:t>
                        </w:r>
                      </w:p>
                    </w:txbxContent>
                  </v:textbox>
                </v:rect>
                <v:rect id="Rectangle 201872" o:spid="_x0000_s5348" style="position:absolute;left:26113;top:334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ytsxwAAAN8AAAAPAAAAZHJzL2Rvd25yZXYueG1sRI9Ba8JA&#10;FITvgv9heUJvujGHNqSuUhQxh16qFnp8ZJ9J2uzbJbua1F/vCoLHYWa+YRarwbTiQp1vLCuYzxIQ&#10;xKXVDVcKjoftNAPhA7LG1jIp+CcPq+V4tMBc256/6LIPlYgQ9jkqqENwuZS+rMmgn1lHHL2T7QyG&#10;KLtK6g77CDetTJPkVRpsOC7U6GhdU/m3PxsFPxt2xbaX5em6dp+/RdbuzsdvpV4mw8c7iEBDeIYf&#10;7UIrSJN59pbC/U/8AnJ5AwAA//8DAFBLAQItABQABgAIAAAAIQDb4fbL7gAAAIUBAAATAAAAAAAA&#10;AAAAAAAAAAAAAABbQ29udGVudF9UeXBlc10ueG1sUEsBAi0AFAAGAAgAAAAhAFr0LFu/AAAAFQEA&#10;AAsAAAAAAAAAAAAAAAAAHwEAAF9yZWxzLy5yZWxzUEsBAi0AFAAGAAgAAAAhAEYzK2zHAAAA3wAA&#10;AA8AAAAAAAAAAAAAAAAABwIAAGRycy9kb3ducmV2LnhtbFBLBQYAAAAAAwADALcAAAD7AgAAAAA=&#10;" filled="f" stroked="f">
                  <v:textbox inset="0,0,0,0">
                    <w:txbxContent>
                      <w:p w14:paraId="1082D863" w14:textId="77777777" w:rsidR="00B32EF2" w:rsidRDefault="00000000">
                        <w:r>
                          <w:rPr>
                            <w:rFonts w:ascii="Arial" w:eastAsia="Arial" w:hAnsi="Arial" w:cs="Arial"/>
                            <w:sz w:val="18"/>
                          </w:rPr>
                          <w:t>3</w:t>
                        </w:r>
                      </w:p>
                    </w:txbxContent>
                  </v:textbox>
                </v:rect>
                <v:rect id="Rectangle 201893" o:spid="_x0000_s5349" style="position:absolute;left:-13813;top:334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2gNyAAAAN8AAAAPAAAAZHJzL2Rvd25yZXYueG1sRI9Pa8JA&#10;FMTvgt9heYK3utGCxNRVRJHm0Ev9Az0+ss8kbfbtkl1N7Kd3CwWPw8z8hlmue9OIG7W+tqxgOklA&#10;EBdW11wqOB33LykIH5A1NpZJwZ08rFfDwRIzbTv+pNshlCJC2GeooArBZVL6oiKDfmIdcfQutjUY&#10;omxLqVvsItw0cpYkc2mw5rhQoaNtRcXP4WoUfO3Y5ftOFpffrfv4ztPm/Xo6KzUe9Zs3EIH68Az/&#10;t3OtYJZM08Ur/P2JX0CuHgAAAP//AwBQSwECLQAUAAYACAAAACEA2+H2y+4AAACFAQAAEwAAAAAA&#10;AAAAAAAAAAAAAAAAW0NvbnRlbnRfVHlwZXNdLnhtbFBLAQItABQABgAIAAAAIQBa9CxbvwAAABUB&#10;AAALAAAAAAAAAAAAAAAAAB8BAABfcmVscy8ucmVsc1BLAQItABQABgAIAAAAIQCZc2gNyAAAAN8A&#10;AAAPAAAAAAAAAAAAAAAAAAcCAABkcnMvZG93bnJldi54bWxQSwUGAAAAAAMAAwC3AAAA/AIAAAAA&#10;" filled="f" stroked="f">
                  <v:textbox inset="0,0,0,0">
                    <w:txbxContent>
                      <w:p w14:paraId="41CDA78D" w14:textId="77777777" w:rsidR="00B32EF2" w:rsidRDefault="00000000">
                        <w:r>
                          <w:rPr>
                            <w:rFonts w:ascii="Arial" w:eastAsia="Arial" w:hAnsi="Arial" w:cs="Arial"/>
                            <w:sz w:val="18"/>
                          </w:rPr>
                          <w:t xml:space="preserve">. Nel procedimento davanti alla corte di giustizia tributaria di primo grado in </w:t>
                        </w:r>
                      </w:p>
                    </w:txbxContent>
                  </v:textbox>
                </v:rect>
                <v:rect id="Rectangle 20692" o:spid="_x0000_s5350" style="position:absolute;left:-12183;top:2112;width:5210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F5mxgAAAN4AAAAPAAAAZHJzL2Rvd25yZXYueG1sRI9Ba8JA&#10;FITvBf/D8oTe6sYcxEZXEUWagxethR4f2WcSzb5dsquJ/fVdQfA4zMw3zHzZm0bcqPW1ZQXjUQKC&#10;uLC65lLB8Xv7MQXhA7LGxjIpuJOH5WLwNsdM2473dDuEUkQI+wwVVCG4TEpfVGTQj6wjjt7JtgZD&#10;lG0pdYtdhJtGpkkykQZrjgsVOlpXVFwOV6Pgd8Mu33ayOP2t3e6cT5uv6/FHqfdhv5qBCNSHV/jZ&#10;zrWCNJl8pvC4E6+AXPwDAAD//wMAUEsBAi0AFAAGAAgAAAAhANvh9svuAAAAhQEAABMAAAAAAAAA&#10;AAAAAAAAAAAAAFtDb250ZW50X1R5cGVzXS54bWxQSwECLQAUAAYACAAAACEAWvQsW78AAAAVAQAA&#10;CwAAAAAAAAAAAAAAAAAfAQAAX3JlbHMvLnJlbHNQSwECLQAUAAYACAAAACEAlmReZsYAAADeAAAA&#10;DwAAAAAAAAAAAAAAAAAHAgAAZHJzL2Rvd25yZXYueG1sUEsFBgAAAAADAAMAtwAAAPoCAAAAAA==&#10;" filled="f" stroked="f">
                  <v:textbox inset="0,0,0,0">
                    <w:txbxContent>
                      <w:p w14:paraId="1A4CBB66" w14:textId="77777777" w:rsidR="00B32EF2" w:rsidRDefault="00000000">
                        <w:r>
                          <w:rPr>
                            <w:rFonts w:ascii="Arial" w:eastAsia="Arial" w:hAnsi="Arial" w:cs="Arial"/>
                            <w:sz w:val="18"/>
                          </w:rPr>
                          <w:t>composizione monocratica si osservano, in quanto applicabili e ove non dero</w:t>
                        </w:r>
                      </w:p>
                    </w:txbxContent>
                  </v:textbox>
                </v:rect>
                <v:rect id="Rectangle 20693" o:spid="_x0000_s5351" style="position:absolute;left:195;top:2112;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Pv9xgAAAN4AAAAPAAAAZHJzL2Rvd25yZXYueG1sRI9Pi8Iw&#10;FMTvC36H8ARva7oKotUoi4tsD3vxH3h8NM+22ryEJtrqp98IC3scZuY3zGLVmVrcqfGVZQUfwwQE&#10;cW51xYWCw37zPgXhA7LG2jIpeJCH1bL3tsBU25a3dN+FQkQI+xQVlCG4VEqfl2TQD60jjt7ZNgZD&#10;lE0hdYNthJtajpJkIg1WHBdKdLQuKb/ubkbB6Ytdtmllfn6u3c8lm9bft8NRqUG/+5yDCNSF//Bf&#10;O9MKRslkNobXnXgF5PIXAAD//wMAUEsBAi0AFAAGAAgAAAAhANvh9svuAAAAhQEAABMAAAAAAAAA&#10;AAAAAAAAAAAAAFtDb250ZW50X1R5cGVzXS54bWxQSwECLQAUAAYACAAAACEAWvQsW78AAAAVAQAA&#10;CwAAAAAAAAAAAAAAAAAfAQAAX3JlbHMvLnJlbHNQSwECLQAUAAYACAAAACEA+Sj7/cYAAADeAAAA&#10;DwAAAAAAAAAAAAAAAAAHAgAAZHJzL2Rvd25yZXYueG1sUEsFBgAAAAADAAMAtwAAAPoCAAAAAA==&#10;" filled="f" stroked="f">
                  <v:textbox inset="0,0,0,0">
                    <w:txbxContent>
                      <w:p w14:paraId="708269BA" w14:textId="77777777" w:rsidR="00B32EF2" w:rsidRDefault="00000000">
                        <w:r>
                          <w:rPr>
                            <w:rFonts w:ascii="Arial" w:eastAsia="Arial" w:hAnsi="Arial" w:cs="Arial"/>
                            <w:sz w:val="18"/>
                          </w:rPr>
                          <w:t>-</w:t>
                        </w:r>
                      </w:p>
                    </w:txbxContent>
                  </v:textbox>
                </v:rect>
                <v:rect id="Rectangle 20694" o:spid="_x0000_s5352" style="position:absolute;left:-13167;top:878;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WOJxgAAAN4AAAAPAAAAZHJzL2Rvd25yZXYueG1sRI9Pi8Iw&#10;FMTvC36H8ARva7oiotUoi4tsD3vxH3h8NM+22ryEJtrqp98IC3scZuY3zGLVmVrcqfGVZQUfwwQE&#10;cW51xYWCw37zPgXhA7LG2jIpeJCH1bL3tsBU25a3dN+FQkQI+xQVlCG4VEqfl2TQD60jjt7ZNgZD&#10;lE0hdYNthJtajpJkIg1WHBdKdLQuKb/ubkbB6Ytdtmllfn6u3c8lm9bft8NRqUG/+5yDCNSF//Bf&#10;O9MKRslkNobXnXgF5PIXAAD//wMAUEsBAi0AFAAGAAgAAAAhANvh9svuAAAAhQEAABMAAAAAAAAA&#10;AAAAAAAAAAAAAFtDb250ZW50X1R5cGVzXS54bWxQSwECLQAUAAYACAAAACEAWvQsW78AAAAVAQAA&#10;CwAAAAAAAAAAAAAAAAAfAQAAX3JlbHMvLnJlbHNQSwECLQAUAAYACAAAACEAdsFjicYAAADeAAAA&#10;DwAAAAAAAAAAAAAAAAAHAgAAZHJzL2Rvd25yZXYueG1sUEsFBgAAAAADAAMAtwAAAPoCAAAAAA==&#10;" filled="f" stroked="f">
                  <v:textbox inset="0,0,0,0">
                    <w:txbxContent>
                      <w:p w14:paraId="7BFED497" w14:textId="77777777" w:rsidR="00B32EF2" w:rsidRDefault="00000000">
                        <w:r>
                          <w:rPr>
                            <w:rFonts w:ascii="Arial" w:eastAsia="Arial" w:hAnsi="Arial" w:cs="Arial"/>
                            <w:sz w:val="18"/>
                          </w:rPr>
                          <w:t xml:space="preserve">gate dal presente testo unico, le disposizioni ivi contenute relative ai giudizi in </w:t>
                        </w:r>
                      </w:p>
                    </w:txbxContent>
                  </v:textbox>
                </v:rect>
                <v:rect id="Rectangle 20695" o:spid="_x0000_s5353" style="position:absolute;left:23177;top:-354;width:1675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cYSxgAAAN4AAAAPAAAAZHJzL2Rvd25yZXYueG1sRI9Pi8Iw&#10;FMTvC36H8ARva7qCotUoi4tsD3vxH3h8NM+22ryEJtrqp98IC3scZuY3zGLVmVrcqfGVZQUfwwQE&#10;cW51xYWCw37zPgXhA7LG2jIpeJCH1bL3tsBU25a3dN+FQkQI+xQVlCG4VEqfl2TQD60jjt7ZNgZD&#10;lE0hdYNthJtajpJkIg1WHBdKdLQuKb/ubkbB6Ytdtmllfn6u3c8lm9bft8NRqUG/+5yDCNSF//Bf&#10;O9MKRslkNobXnXgF5PIXAAD//wMAUEsBAi0AFAAGAAgAAAAhANvh9svuAAAAhQEAABMAAAAAAAAA&#10;AAAAAAAAAAAAAFtDb250ZW50X1R5cGVzXS54bWxQSwECLQAUAAYACAAAACEAWvQsW78AAAAVAQAA&#10;CwAAAAAAAAAAAAAAAAAfAQAAX3JlbHMvLnJlbHNQSwECLQAUAAYACAAAACEAGY3GEsYAAADeAAAA&#10;DwAAAAAAAAAAAAAAAAAHAgAAZHJzL2Rvd25yZXYueG1sUEsFBgAAAAADAAMAtwAAAPoCAAAAAA==&#10;" filled="f" stroked="f">
                  <v:textbox inset="0,0,0,0">
                    <w:txbxContent>
                      <w:p w14:paraId="6B7ED69C" w14:textId="77777777" w:rsidR="00B32EF2" w:rsidRDefault="00000000">
                        <w:r>
                          <w:rPr>
                            <w:rFonts w:ascii="Arial" w:eastAsia="Arial" w:hAnsi="Arial" w:cs="Arial"/>
                            <w:sz w:val="18"/>
                          </w:rPr>
                          <w:t>composizione collegiale.</w:t>
                        </w:r>
                      </w:p>
                    </w:txbxContent>
                  </v:textbox>
                </v:rect>
                <v:shape id="Shape 208068" o:spid="_x0000_s5354" style="position:absolute;left:259;top:42753;width:39600;height:14993;visibility:visible;mso-wrap-style:square;v-text-anchor:top" coordsize="3960000,149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IW5xQAAAN8AAAAPAAAAZHJzL2Rvd25yZXYueG1sRE/Pa8Iw&#10;FL4P9j+EJ+wyNLEO0WqUTZhsR7uBeHskz7bYvNQmq91/vxwGHj++3+vt4BrRUxdqzxqmEwWC2Hhb&#10;c6nh++t9vAARIrLFxjNp+KUA283jwxpz6298oL6IpUghHHLUUMXY5lIGU5HDMPEtceLOvnMYE+xK&#10;aTu8pXDXyEypuXRYc2qosKVdReZS/DgN56Pp92+z5e7zeba/ZplpX4rlSeun0fC6AhFpiHfxv/vD&#10;asjUQs3T4PQnfQG5+QMAAP//AwBQSwECLQAUAAYACAAAACEA2+H2y+4AAACFAQAAEwAAAAAAAAAA&#10;AAAAAAAAAAAAW0NvbnRlbnRfVHlwZXNdLnhtbFBLAQItABQABgAIAAAAIQBa9CxbvwAAABUBAAAL&#10;AAAAAAAAAAAAAAAAAB8BAABfcmVscy8ucmVsc1BLAQItABQABgAIAAAAIQDmkIW5xQAAAN8AAAAP&#10;AAAAAAAAAAAAAAAAAAcCAABkcnMvZG93bnJldi54bWxQSwUGAAAAAAMAAwC3AAAA+QIAAAAA&#10;" path="m,l3960000,r,1499298l,1499298,,e" fillcolor="#c3c3c3" stroked="f" strokeweight="0">
                  <v:stroke miterlimit="83231f" joinstyle="miter"/>
                  <v:path arrowok="t" textboxrect="0,0,3960000,1499298"/>
                </v:shape>
                <v:rect id="Rectangle 20697" o:spid="_x0000_s5355" style="position:absolute;left:-11955;top:55533;width:511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3+xwAAAN4AAAAPAAAAZHJzL2Rvd25yZXYueG1sRI9Pi8Iw&#10;FMTvC36H8ARva7oeXK1GWRSxBy/rH/D4aJ5ttXkJTbTVT79ZWNjjMDO/YebLztTiQY2vLCv4GCYg&#10;iHOrKy4UHA+b9wkIH5A11pZJwZM8LBe9tzmm2rb8TY99KESEsE9RQRmCS6X0eUkG/dA64uhdbGMw&#10;RNkUUjfYRrip5ShJxtJgxXGhREerkvLb/m4UnNfssk0r88tr5XbXbFJv78eTUoN+9zUDEagL/+G/&#10;dqYVjJLx9BN+78QrIBc/AAAA//8DAFBLAQItABQABgAIAAAAIQDb4fbL7gAAAIUBAAATAAAAAAAA&#10;AAAAAAAAAAAAAABbQ29udGVudF9UeXBlc10ueG1sUEsBAi0AFAAGAAgAAAAhAFr0LFu/AAAAFQEA&#10;AAsAAAAAAAAAAAAAAAAAHwEAAF9yZWxzLy5yZWxzUEsBAi0AFAAGAAgAAAAhAIYT/f7HAAAA3gAA&#10;AA8AAAAAAAAAAAAAAAAABwIAAGRycy9kb3ducmV2LnhtbFBLBQYAAAAAAwADALcAAAD7AgAAAAA=&#10;" filled="f" stroked="f">
                  <v:textbox inset="0,0,0,0">
                    <w:txbxContent>
                      <w:p w14:paraId="0EF1EEE3" w14:textId="77777777" w:rsidR="00B32EF2" w:rsidRDefault="00000000">
                        <w:r>
                          <w:rPr>
                            <w:rFonts w:ascii="Arial" w:eastAsia="Arial" w:hAnsi="Arial" w:cs="Arial"/>
                            <w:i/>
                            <w:color w:val="020202"/>
                            <w:sz w:val="18"/>
                          </w:rPr>
                          <w:t xml:space="preserve">te può chiedere alle sezioni unite della Corte di cassazione che risolvano </w:t>
                        </w:r>
                      </w:p>
                    </w:txbxContent>
                  </v:textbox>
                </v:rect>
                <v:rect id="Rectangle 20698" o:spid="_x0000_s5356" style="position:absolute;left:-11966;top:54300;width:511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GmMwwAAAN4AAAAPAAAAZHJzL2Rvd25yZXYueG1sRE9Ni8Iw&#10;EL0L/ocwgjdN9SDaNYq4yPawF7XCHodmbKvNJDTR1v315rCwx8f7Xm9704gntb62rGA2TUAQF1bX&#10;XCrIz4fJEoQPyBoby6TgRR62m+Fgjam2HR/peQqliCHsU1RQheBSKX1RkUE/tY44clfbGgwRtqXU&#10;LXYx3DRyniQLabDm2FCho31Fxf30MAp+Ptllh04W19+9+75ly+brkV+UGo/63QeIQH34F/+5M61g&#10;nixWcW+8E6+A3LwBAAD//wMAUEsBAi0AFAAGAAgAAAAhANvh9svuAAAAhQEAABMAAAAAAAAAAAAA&#10;AAAAAAAAAFtDb250ZW50X1R5cGVzXS54bWxQSwECLQAUAAYACAAAACEAWvQsW78AAAAVAQAACwAA&#10;AAAAAAAAAAAAAAAfAQAAX3JlbHMvLnJlbHNQSwECLQAUAAYACAAAACEA94xpjMMAAADeAAAADwAA&#10;AAAAAAAAAAAAAAAHAgAAZHJzL2Rvd25yZXYueG1sUEsFBgAAAAADAAMAtwAAAPcCAAAAAA==&#10;" filled="f" stroked="f">
                  <v:textbox inset="0,0,0,0">
                    <w:txbxContent>
                      <w:p w14:paraId="5816A487" w14:textId="77777777" w:rsidR="00B32EF2" w:rsidRDefault="00000000">
                        <w:r>
                          <w:rPr>
                            <w:rFonts w:ascii="Arial" w:eastAsia="Arial" w:hAnsi="Arial" w:cs="Arial"/>
                            <w:i/>
                            <w:color w:val="020202"/>
                            <w:sz w:val="18"/>
                          </w:rPr>
                          <w:t xml:space="preserve">le questioni di giurisdizione di cui all’articolo 37. L’istanza si propone con </w:t>
                        </w:r>
                      </w:p>
                    </w:txbxContent>
                  </v:textbox>
                </v:rect>
                <v:rect id="Rectangle 20699" o:spid="_x0000_s5357" style="position:absolute;left:-11974;top:53067;width:512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wXxgAAAN4AAAAPAAAAZHJzL2Rvd25yZXYueG1sRI9Pi8Iw&#10;FMTvC36H8ARva6oH0WoUUcQe9rL+AY+P5tlWm5fQRFv3028WFjwOM/MbZrHqTC2e1PjKsoLRMAFB&#10;nFtdcaHgdNx9TkH4gKyxtkwKXuRhtex9LDDVtuVveh5CISKEfYoKyhBcKqXPSzLoh9YRR+9qG4Mh&#10;yqaQusE2wk0tx0kykQYrjgslOtqUlN8PD6PgsmWX7VqZX3827uuWTev943RWatDv1nMQgbrwDv+3&#10;M61gnExmM/i7E6+AXP4CAAD//wMAUEsBAi0AFAAGAAgAAAAhANvh9svuAAAAhQEAABMAAAAAAAAA&#10;AAAAAAAAAAAAAFtDb250ZW50X1R5cGVzXS54bWxQSwECLQAUAAYACAAAACEAWvQsW78AAAAVAQAA&#10;CwAAAAAAAAAAAAAAAAAfAQAAX3JlbHMvLnJlbHNQSwECLQAUAAYACAAAACEAmMDMF8YAAADeAAAA&#10;DwAAAAAAAAAAAAAAAAAHAgAAZHJzL2Rvd25yZXYueG1sUEsFBgAAAAADAAMAtwAAAPoCAAAAAA==&#10;" filled="f" stroked="f">
                  <v:textbox inset="0,0,0,0">
                    <w:txbxContent>
                      <w:p w14:paraId="1DFFA104" w14:textId="77777777" w:rsidR="00B32EF2" w:rsidRDefault="00000000">
                        <w:r>
                          <w:rPr>
                            <w:rFonts w:ascii="Arial" w:eastAsia="Arial" w:hAnsi="Arial" w:cs="Arial"/>
                            <w:i/>
                            <w:color w:val="020202"/>
                            <w:sz w:val="18"/>
                          </w:rPr>
                          <w:t xml:space="preserve">ricorso a norma degli articoli 364 e seguenti, e produce gli effetti di cui </w:t>
                        </w:r>
                      </w:p>
                    </w:txbxContent>
                  </v:textbox>
                </v:rect>
                <v:rect id="Rectangle 20700" o:spid="_x0000_s5358" style="position:absolute;left:28829;top:51833;width:102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f+QxQAAAN4AAAAPAAAAZHJzL2Rvd25yZXYueG1sRI+7bsIw&#10;FIb3SryDdZDYig1DiwIGIRBqhi5cKnU8ig9JID62YkNCnx4PlRh//Td9i1VvG3GnNtSONUzGCgRx&#10;4UzNpYbTcfc+AxEissHGMWl4UIDVcvC2wMy4jvd0P8RSpBEOGWqoYvSZlKGoyGIYO0+cvLNrLcYk&#10;21KaFrs0bhs5VepDWqw5PVToaVNRcT3crIbfLft818ni/Lfx35d81nzdTj9aj4b9eg4iUh9f4f92&#10;bjRM1adKAAknoYBcPgEAAP//AwBQSwECLQAUAAYACAAAACEA2+H2y+4AAACFAQAAEwAAAAAAAAAA&#10;AAAAAAAAAAAAW0NvbnRlbnRfVHlwZXNdLnhtbFBLAQItABQABgAIAAAAIQBa9CxbvwAAABUBAAAL&#10;AAAAAAAAAAAAAAAAAB8BAABfcmVscy8ucmVsc1BLAQItABQABgAIAAAAIQCXEf+QxQAAAN4AAAAP&#10;AAAAAAAAAAAAAAAAAAcCAABkcnMvZG93bnJldi54bWxQSwUGAAAAAAMAAwC3AAAA+QIAAAAA&#10;" filled="f" stroked="f">
                  <v:textbox inset="0,0,0,0">
                    <w:txbxContent>
                      <w:p w14:paraId="4F5DFB71" w14:textId="77777777" w:rsidR="00B32EF2" w:rsidRDefault="00000000">
                        <w:r>
                          <w:rPr>
                            <w:rFonts w:ascii="Arial" w:eastAsia="Arial" w:hAnsi="Arial" w:cs="Arial"/>
                            <w:i/>
                            <w:color w:val="020202"/>
                            <w:sz w:val="18"/>
                          </w:rPr>
                          <w:t>all’articolo 367.</w:t>
                        </w:r>
                      </w:p>
                    </w:txbxContent>
                  </v:textbox>
                </v:rect>
                <v:rect id="Rectangle 201913" o:spid="_x0000_s5359" style="position:absolute;left:-12596;top:50600;width:510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WTKyAAAAN8AAAAPAAAAZHJzL2Rvd25yZXYueG1sRI9Pa8JA&#10;FMTvBb/D8gRvuokFsamriCLNoRf/FHp8ZJ9J2uzbJbua2E/vCkKPw8z8hlmsetOIK7W+tqwgnSQg&#10;iAuray4VnI678RyED8gaG8uk4EYeVsvBywIzbTve0/UQShEh7DNUUIXgMil9UZFBP7GOOHpn2xoM&#10;Ubal1C12EW4aOU2SmTRYc1yo0NGmouL3cDEKvrfs8l0ni/Pfxn3+5PPm43L6Umo07NfvIAL14T/8&#10;bOdawTRJ39JXePyJX0Au7wAAAP//AwBQSwECLQAUAAYACAAAACEA2+H2y+4AAACFAQAAEwAAAAAA&#10;AAAAAAAAAAAAAAAAW0NvbnRlbnRfVHlwZXNdLnhtbFBLAQItABQABgAIAAAAIQBa9CxbvwAAABUB&#10;AAALAAAAAAAAAAAAAAAAAB8BAABfcmVscy8ucmVsc1BLAQItABQABgAIAAAAIQCCQWTKyAAAAN8A&#10;AAAPAAAAAAAAAAAAAAAAAAcCAABkcnMvZG93bnJldi54bWxQSwUGAAAAAAMAAwC3AAAA/AIAAAAA&#10;" filled="f" stroked="f">
                  <v:textbox inset="0,0,0,0">
                    <w:txbxContent>
                      <w:p w14:paraId="5A50A5E9" w14:textId="77777777" w:rsidR="00B32EF2" w:rsidRDefault="00000000">
                        <w:r>
                          <w:rPr>
                            <w:rFonts w:ascii="Arial" w:eastAsia="Arial" w:hAnsi="Arial" w:cs="Arial"/>
                            <w:i/>
                            <w:color w:val="020202"/>
                            <w:sz w:val="18"/>
                          </w:rPr>
                          <w:t xml:space="preserve">. La pubblica amministrazione che non è parte in causa può chiedere  in </w:t>
                        </w:r>
                      </w:p>
                    </w:txbxContent>
                  </v:textbox>
                </v:rect>
                <v:rect id="Rectangle 201911" o:spid="_x0000_s5360" style="position:absolute;left:25768;top:50600;width:51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18mxwAAAN8AAAAPAAAAZHJzL2Rvd25yZXYueG1sRI9Ba8JA&#10;FITvBf/D8gRvdRMPotFVRBFz6KVqocdH9plEs2+X7GrS/vpuQfA4zMw3zHLdm0Y8qPW1ZQXpOAFB&#10;XFhdc6ngfNq/z0D4gKyxsUwKfsjDejV4W2Kmbcef9DiGUkQI+wwVVCG4TEpfVGTQj60jjt7FtgZD&#10;lG0pdYtdhJtGTpJkKg3WHBcqdLStqLgd70bB945dvu9kcfnduo9rPmsO9/OXUqNhv1mACNSHV/jZ&#10;zrWCSZLO0xT+/8QvIFd/AAAA//8DAFBLAQItABQABgAIAAAAIQDb4fbL7gAAAIUBAAATAAAAAAAA&#10;AAAAAAAAAAAAAABbQ29udGVudF9UeXBlc10ueG1sUEsBAi0AFAAGAAgAAAAhAFr0LFu/AAAAFQEA&#10;AAsAAAAAAAAAAAAAAAAAHwEAAF9yZWxzLy5yZWxzUEsBAi0AFAAGAAgAAAAhAB3fXybHAAAA3wAA&#10;AA8AAAAAAAAAAAAAAAAABwIAAGRycy9kb3ducmV2LnhtbFBLBQYAAAAAAwADALcAAAD7AgAAAAA=&#10;" filled="f" stroked="f">
                  <v:textbox inset="0,0,0,0">
                    <w:txbxContent>
                      <w:p w14:paraId="22E1CEA2" w14:textId="77777777" w:rsidR="00B32EF2" w:rsidRDefault="00000000">
                        <w:r>
                          <w:rPr>
                            <w:rFonts w:ascii="Arial" w:eastAsia="Arial" w:hAnsi="Arial" w:cs="Arial"/>
                            <w:i/>
                            <w:color w:val="020202"/>
                            <w:sz w:val="18"/>
                          </w:rPr>
                          <w:t>2</w:t>
                        </w:r>
                      </w:p>
                    </w:txbxContent>
                  </v:textbox>
                </v:rect>
                <v:rect id="Rectangle 20702" o:spid="_x0000_s5361" style="position:absolute;left:-11938;top:49367;width:51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8R8xwAAAN4AAAAPAAAAZHJzL2Rvd25yZXYueG1sRI9PawIx&#10;FMTvQr9DeIXeNOkeWlmNUizSPfRS/4DHx+a5u7p5CZvobvvpG0HwOMzMb5j5crCtuFIXGscaXicK&#10;BHHpTMOVht12PZ6CCBHZYOuYNPxSgOXiaTTH3Lief+i6iZVIEA45aqhj9LmUoazJYpg4T5y8o+ss&#10;xiS7SpoO+wS3rcyUepMWG04LNXpa1VSeNxer4fDJvlj3sjz+rfz3qZi2X5fdXuuX5+FjBiLSEB/h&#10;e7swGjL1rjK43UlXQC7+AQAA//8DAFBLAQItABQABgAIAAAAIQDb4fbL7gAAAIUBAAATAAAAAAAA&#10;AAAAAAAAAAAAAABbQ29udGVudF9UeXBlc10ueG1sUEsBAi0AFAAGAAgAAAAhAFr0LFu/AAAAFQEA&#10;AAsAAAAAAAAAAAAAAAAAHwEAAF9yZWxzLy5yZWxzUEsBAi0AFAAGAAgAAAAhAAiPxHzHAAAA3gAA&#10;AA8AAAAAAAAAAAAAAAAABwIAAGRycy9kb3ducmV2LnhtbFBLBQYAAAAAAwADALcAAAD7AgAAAAA=&#10;" filled="f" stroked="f">
                  <v:textbox inset="0,0,0,0">
                    <w:txbxContent>
                      <w:p w14:paraId="3FDF6E5C" w14:textId="77777777" w:rsidR="00B32EF2" w:rsidRDefault="00000000">
                        <w:r>
                          <w:rPr>
                            <w:rFonts w:ascii="Arial" w:eastAsia="Arial" w:hAnsi="Arial" w:cs="Arial"/>
                            <w:i/>
                            <w:color w:val="020202"/>
                            <w:sz w:val="18"/>
                          </w:rPr>
                          <w:t xml:space="preserve">ogni stato e grado del processo che sia dichiarato dalle sezioni unite della </w:t>
                        </w:r>
                      </w:p>
                    </w:txbxContent>
                  </v:textbox>
                </v:rect>
                <v:rect id="Rectangle 20703" o:spid="_x0000_s5362" style="position:absolute;left:-11945;top:48133;width:510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2HnxgAAAN4AAAAPAAAAZHJzL2Rvd25yZXYueG1sRI9BawIx&#10;FITvhf6H8ARvNVGhymoUsYh76KXWQo+PzXN3dfMSNtFd++ubgtDjMDPfMMt1bxtxozbUjjWMRwoE&#10;ceFMzaWG4+fuZQ4iRGSDjWPScKcA69Xz0xIz4zr+oNshliJBOGSooYrRZ1KGoiKLYeQ8cfJOrrUY&#10;k2xLaVrsEtw2cqLUq7RYc1qo0NO2ouJyuFoN32/s810ni9PP1r+f83mzvx6/tB4O+s0CRKQ+/ocf&#10;7dxomKiZmsLfnXQF5OoXAAD//wMAUEsBAi0AFAAGAAgAAAAhANvh9svuAAAAhQEAABMAAAAAAAAA&#10;AAAAAAAAAAAAAFtDb250ZW50X1R5cGVzXS54bWxQSwECLQAUAAYACAAAACEAWvQsW78AAAAVAQAA&#10;CwAAAAAAAAAAAAAAAAAfAQAAX3JlbHMvLnJlbHNQSwECLQAUAAYACAAAACEAZ8Nh58YAAADeAAAA&#10;DwAAAAAAAAAAAAAAAAAHAgAAZHJzL2Rvd25yZXYueG1sUEsFBgAAAAADAAMAtwAAAPoCAAAAAA==&#10;" filled="f" stroked="f">
                  <v:textbox inset="0,0,0,0">
                    <w:txbxContent>
                      <w:p w14:paraId="1396BCA7" w14:textId="77777777" w:rsidR="00B32EF2" w:rsidRDefault="00000000">
                        <w:r>
                          <w:rPr>
                            <w:rFonts w:ascii="Arial" w:eastAsia="Arial" w:hAnsi="Arial" w:cs="Arial"/>
                            <w:i/>
                            <w:color w:val="020202"/>
                            <w:sz w:val="18"/>
                          </w:rPr>
                          <w:t xml:space="preserve">Corte di cassazione il difetto di giurisdizione del giudice ordinario a causa </w:t>
                        </w:r>
                      </w:p>
                    </w:txbxContent>
                  </v:textbox>
                </v:rect>
                <v:rect id="Rectangle 20704" o:spid="_x0000_s5363" style="position:absolute;left:-10963;top:46900;width:500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vmTxgAAAN4AAAAPAAAAZHJzL2Rvd25yZXYueG1sRI9BawIx&#10;FITvhf6H8ARvNVGkymoUsYh76KXWQo+PzXN3dfMSNtFd++ubgtDjMDPfMMt1bxtxozbUjjWMRwoE&#10;ceFMzaWG4+fuZQ4iRGSDjWPScKcA69Xz0xIz4zr+oNshliJBOGSooYrRZ1KGoiKLYeQ8cfJOrrUY&#10;k2xLaVrsEtw2cqLUq7RYc1qo0NO2ouJyuFoN32/s810ni9PP1r+f83mzvx6/tB4O+s0CRKQ+/ocf&#10;7dxomKiZmsLfnXQF5OoXAAD//wMAUEsBAi0AFAAGAAgAAAAhANvh9svuAAAAhQEAABMAAAAAAAAA&#10;AAAAAAAAAAAAAFtDb250ZW50X1R5cGVzXS54bWxQSwECLQAUAAYACAAAACEAWvQsW78AAAAVAQAA&#10;CwAAAAAAAAAAAAAAAAAfAQAAX3JlbHMvLnJlbHNQSwECLQAUAAYACAAAACEA6Cr5k8YAAADeAAAA&#10;DwAAAAAAAAAAAAAAAAAHAgAAZHJzL2Rvd25yZXYueG1sUEsFBgAAAAADAAMAtwAAAPoCAAAAAA==&#10;" filled="f" stroked="f">
                  <v:textbox inset="0,0,0,0">
                    <w:txbxContent>
                      <w:p w14:paraId="034E5FAA" w14:textId="77777777" w:rsidR="00B32EF2" w:rsidRDefault="00000000">
                        <w:r>
                          <w:rPr>
                            <w:rFonts w:ascii="Arial" w:eastAsia="Arial" w:hAnsi="Arial" w:cs="Arial"/>
                            <w:i/>
                            <w:color w:val="020202"/>
                            <w:sz w:val="18"/>
                          </w:rPr>
                          <w:t>dei poteri attribuiti dalla legge alla amministrazione stessa, finché la giuri</w:t>
                        </w:r>
                      </w:p>
                    </w:txbxContent>
                  </v:textbox>
                </v:rect>
                <v:rect id="Rectangle 20705" o:spid="_x0000_s5364" style="position:absolute;left:916;top:4690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wIxgAAAN4AAAAPAAAAZHJzL2Rvd25yZXYueG1sRI9BawIx&#10;FITvhf6H8ARvNVGwymoUsYh76KXWQo+PzXN3dfMSNtFd++ubgtDjMDPfMMt1bxtxozbUjjWMRwoE&#10;ceFMzaWG4+fuZQ4iRGSDjWPScKcA69Xz0xIz4zr+oNshliJBOGSooYrRZ1KGoiKLYeQ8cfJOrrUY&#10;k2xLaVrsEtw2cqLUq7RYc1qo0NO2ouJyuFoN32/s810ni9PP1r+f83mzvx6/tB4O+s0CRKQ+/ocf&#10;7dxomKiZmsLfnXQF5OoXAAD//wMAUEsBAi0AFAAGAAgAAAAhANvh9svuAAAAhQEAABMAAAAAAAAA&#10;AAAAAAAAAAAAAFtDb250ZW50X1R5cGVzXS54bWxQSwECLQAUAAYACAAAACEAWvQsW78AAAAVAQAA&#10;CwAAAAAAAAAAAAAAAAAfAQAAX3JlbHMvLnJlbHNQSwECLQAUAAYACAAAACEAh2ZcCMYAAADeAAAA&#10;DwAAAAAAAAAAAAAAAAAHAgAAZHJzL2Rvd25yZXYueG1sUEsFBgAAAAADAAMAtwAAAPoCAAAAAA==&#10;" filled="f" stroked="f">
                  <v:textbox inset="0,0,0,0">
                    <w:txbxContent>
                      <w:p w14:paraId="77B28674" w14:textId="77777777" w:rsidR="00B32EF2" w:rsidRDefault="00000000">
                        <w:r>
                          <w:rPr>
                            <w:rFonts w:ascii="Arial" w:eastAsia="Arial" w:hAnsi="Arial" w:cs="Arial"/>
                            <w:i/>
                            <w:color w:val="020202"/>
                            <w:sz w:val="18"/>
                          </w:rPr>
                          <w:t>-</w:t>
                        </w:r>
                      </w:p>
                    </w:txbxContent>
                  </v:textbox>
                </v:rect>
                <v:rect id="Rectangle 20706" o:spid="_x0000_s5365" style="position:absolute;left:-6580;top:45667;width:456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MJ/xwAAAN4AAAAPAAAAZHJzL2Rvd25yZXYueG1sRI9PawIx&#10;FMTvBb9DeIK3mujBytYoRRH30Ev9Ax4fm+futpuXsInu1k9vCgWPw8z8hlmsetuIG7WhdqxhMlYg&#10;iAtnai41HA/b1zmIEJENNo5Jwy8FWC0HLwvMjOv4i277WIoE4ZChhipGn0kZiooshrHzxMm7uNZi&#10;TLItpWmxS3DbyKlSM2mx5rRQoad1RcXP/mo1nDfs820ni8t97T+/83mzux5PWo+G/cc7iEh9fIb/&#10;27nRMFVvagZ/d9IVkMsHAAAA//8DAFBLAQItABQABgAIAAAAIQDb4fbL7gAAAIUBAAATAAAAAAAA&#10;AAAAAAAAAAAAAABbQ29udGVudF9UeXBlc10ueG1sUEsBAi0AFAAGAAgAAAAhAFr0LFu/AAAAFQEA&#10;AAsAAAAAAAAAAAAAAAAAHwEAAF9yZWxzLy5yZWxzUEsBAi0AFAAGAAgAAAAhAHe0wn/HAAAA3gAA&#10;AA8AAAAAAAAAAAAAAAAABwIAAGRycy9kb3ducmV2LnhtbFBLBQYAAAAAAwADALcAAAD7AgAAAAA=&#10;" filled="f" stroked="f">
                  <v:textbox inset="0,0,0,0">
                    <w:txbxContent>
                      <w:p w14:paraId="3647FA11" w14:textId="77777777" w:rsidR="00B32EF2" w:rsidRDefault="00000000">
                        <w:r>
                          <w:rPr>
                            <w:rFonts w:ascii="Arial" w:eastAsia="Arial" w:hAnsi="Arial" w:cs="Arial"/>
                            <w:i/>
                            <w:color w:val="020202"/>
                            <w:sz w:val="18"/>
                          </w:rPr>
                          <w:t>sdizione non sia stata affermata con sentenza passata in giudicato.</w:t>
                        </w:r>
                      </w:p>
                    </w:txbxContent>
                  </v:textbox>
                </v:rect>
                <v:rect id="Rectangle 20707" o:spid="_x0000_s5366" style="position:absolute;left:23507;top:44434;width:1557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fkxgAAAN4AAAAPAAAAZHJzL2Rvd25yZXYueG1sRI9BawIx&#10;FITvBf9DeIK3muihytYoRZHuwUvVQo+PzXN3281L2ER39dc3guBxmJlvmMWqt424UBtqxxomYwWC&#10;uHCm5lLD8bB9nYMIEdlg45g0XCnAajl4WWBmXMdfdNnHUiQIhww1VDH6TMpQVGQxjJ0nTt7JtRZj&#10;km0pTYtdgttGTpV6kxZrTgsVelpXVPztz1bDz4Z9vu1kcbqt/e43nzef5+O31qNh//EOIlIfn+FH&#10;OzcapmqmZnC/k66AXP4DAAD//wMAUEsBAi0AFAAGAAgAAAAhANvh9svuAAAAhQEAABMAAAAAAAAA&#10;AAAAAAAAAAAAAFtDb250ZW50X1R5cGVzXS54bWxQSwECLQAUAAYACAAAACEAWvQsW78AAAAVAQAA&#10;CwAAAAAAAAAAAAAAAAAfAQAAX3JlbHMvLnJlbHNQSwECLQAUAAYACAAAACEAGPhn5MYAAADeAAAA&#10;DwAAAAAAAAAAAAAAAAAHAgAAZHJzL2Rvd25yZXYueG1sUEsFBgAAAAADAAMAtwAAAPoCAAAAAA==&#10;" filled="f" stroked="f">
                  <v:textbox inset="0,0,0,0">
                    <w:txbxContent>
                      <w:p w14:paraId="7F0FF7F1" w14:textId="77777777" w:rsidR="00B32EF2" w:rsidRDefault="00000000">
                        <w:r>
                          <w:rPr>
                            <w:rFonts w:ascii="Arial" w:eastAsia="Arial" w:hAnsi="Arial" w:cs="Arial"/>
                            <w:b/>
                            <w:i/>
                            <w:color w:val="020202"/>
                            <w:sz w:val="18"/>
                          </w:rPr>
                          <w:t>NORME COLLEGATE</w:t>
                        </w:r>
                      </w:p>
                    </w:txbxContent>
                  </v:textbox>
                </v:rect>
                <v:rect id="Rectangle 20708" o:spid="_x0000_s5367" style="position:absolute;left:-9404;top:43200;width:484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OWwwAAAN4AAAAPAAAAZHJzL2Rvd25yZXYueG1sRE+7bsIw&#10;FN0r8Q/WRWIrNgwtChiEQKgZuvCo1PEqviSB+NqKDQn9ejxUYjw678Wqt424UxtqxxomYwWCuHCm&#10;5lLD6bh7n4EIEdlg45g0PCjAajl4W2BmXMd7uh9iKVIIhww1VDH6TMpQVGQxjJ0nTtzZtRZjgm0p&#10;TYtdCreNnCr1IS3WnBoq9LSpqLgeblbD75Z9vutkcf7b+O9LPmu+bqcfrUfDfj0HEamPL/G/Ozca&#10;pupTpb3pTroCcvkEAAD//wMAUEsBAi0AFAAGAAgAAAAhANvh9svuAAAAhQEAABMAAAAAAAAAAAAA&#10;AAAAAAAAAFtDb250ZW50X1R5cGVzXS54bWxQSwECLQAUAAYACAAAACEAWvQsW78AAAAVAQAACwAA&#10;AAAAAAAAAAAAAAAfAQAAX3JlbHMvLnJlbHNQSwECLQAUAAYACAAAACEAaWfzlsMAAADeAAAADwAA&#10;AAAAAAAAAAAAAAAHAgAAZHJzL2Rvd25yZXYueG1sUEsFBgAAAAADAAMAtwAAAPcCAAAAAA==&#10;" filled="f" stroked="f">
                  <v:textbox inset="0,0,0,0">
                    <w:txbxContent>
                      <w:p w14:paraId="1DD41A1D" w14:textId="77777777" w:rsidR="00B32EF2" w:rsidRDefault="00000000">
                        <w:r>
                          <w:rPr>
                            <w:rFonts w:ascii="Arial" w:eastAsia="Arial" w:hAnsi="Arial" w:cs="Arial"/>
                            <w:i/>
                            <w:color w:val="020202"/>
                            <w:sz w:val="18"/>
                          </w:rPr>
                          <w:t xml:space="preserve"> art. 5 c.p.c. “Momento determinante della giurisdizione e competenza” </w:t>
                        </w:r>
                      </w:p>
                    </w:txbxContent>
                  </v:textbox>
                </v:rect>
                <v:shape id="Shape 20709" o:spid="_x0000_s5368" style="position:absolute;left:259;top:42753;width:39600;height:14993;visibility:visible;mso-wrap-style:square;v-text-anchor:top" coordsize="3960000,149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Ez2xQAAAN4AAAAPAAAAZHJzL2Rvd25yZXYueG1sRI9PawIx&#10;FMTvhX6H8ITeaqKH/lmNIgXFo7UW9PZInpt1Ny/LJnW3374pCB6HmfkNM18OvhFX6mIVWMNkrEAQ&#10;m2ArLjUcvtbPbyBiQrbYBCYNvxRhuXh8mGNhQ8+fdN2nUmQIxwI1uJTaQspoHHmM49ASZ+8cOo8p&#10;y66UtsM+w30jp0q9SI8V5wWHLX04MvX+x2swx90levft6zr0J5O2u8tmVWr9NBpWMxCJhnQP39pb&#10;q2GqXtU7/N/JV0Au/gAAAP//AwBQSwECLQAUAAYACAAAACEA2+H2y+4AAACFAQAAEwAAAAAAAAAA&#10;AAAAAAAAAAAAW0NvbnRlbnRfVHlwZXNdLnhtbFBLAQItABQABgAIAAAAIQBa9CxbvwAAABUBAAAL&#10;AAAAAAAAAAAAAAAAAB8BAABfcmVscy8ucmVsc1BLAQItABQABgAIAAAAIQDSMEz2xQAAAN4AAAAP&#10;AAAAAAAAAAAAAAAAAAcCAABkcnMvZG93bnJldi54bWxQSwUGAAAAAAMAAwC3AAAA+QIAAAAA&#10;" path="m,1499298r3960000,l3960000,,,,,1499298xe" filled="f" strokeweight="1pt">
                  <v:stroke miterlimit="1" joinstyle="miter"/>
                  <v:path arrowok="t" textboxrect="0,0,3960000,1499298"/>
                </v:shape>
                <v:shape id="Shape 208069" o:spid="_x0000_s5369" style="position:absolute;left:259;top:16924;width:39600;height:4895;visibility:visible;mso-wrap-style:square;v-text-anchor:top" coordsize="3960000,489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WVXxQAAAN8AAAAPAAAAZHJzL2Rvd25yZXYueG1sRI/BasMw&#10;EETvhf6D2EBujZRAUseNEkqhpMc2MTkv1sY2tVZGUmzl76tCocdhZt4wu0OyvRjJh86xhuVCgSCu&#10;nem40VCd358KECEiG+wdk4Y7BTjsHx92WBo38ReNp9iIDOFQooY2xqGUMtQtWQwLNxBn7+q8xZil&#10;b6TxOGW47eVKqY202HFeaHGgt5bq79PNaij8tnqurmkYz5/Had3dLomqi9bzWXp9AREpxf/wX/vD&#10;aFipQm228PsnfwG5/wEAAP//AwBQSwECLQAUAAYACAAAACEA2+H2y+4AAACFAQAAEwAAAAAAAAAA&#10;AAAAAAAAAAAAW0NvbnRlbnRfVHlwZXNdLnhtbFBLAQItABQABgAIAAAAIQBa9CxbvwAAABUBAAAL&#10;AAAAAAAAAAAAAAAAAB8BAABfcmVscy8ucmVsc1BLAQItABQABgAIAAAAIQCowWVXxQAAAN8AAAAP&#10;AAAAAAAAAAAAAAAAAAcCAABkcnMvZG93bnJldi54bWxQSwUGAAAAAAMAAwC3AAAA+QIAAAAA&#10;" path="m,l3960000,r,489496l,489496,,e" fillcolor="#c3c3c3" stroked="f" strokeweight="0">
                  <v:stroke miterlimit="1" joinstyle="miter"/>
                  <v:path arrowok="t" textboxrect="0,0,3960000,489496"/>
                </v:shape>
                <v:rect id="Rectangle 20711" o:spid="_x0000_s5370" style="position:absolute;left:23229;top:19606;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MzWxgAAAN4AAAAPAAAAZHJzL2Rvd25yZXYueG1sRI9Ba8JA&#10;FITvBf/D8oTe6iYeqqSuIoqYQy/aCB4f2WeSmn27ZFeT9td3BaHHYWa+YRarwbTiTp1vLCtIJwkI&#10;4tLqhisFxdfubQ7CB2SNrWVS8EMeVsvRywIzbXs+0P0YKhEh7DNUUIfgMil9WZNBP7GOOHoX2xkM&#10;UXaV1B32EW5aOU2Sd2mw4bhQo6NNTeX1eDMKzlt2+a6X5eV34z6/83m7vxUnpV7Hw/oDRKAh/Ief&#10;7VwrmCazNIXHnXgF5PIPAAD//wMAUEsBAi0AFAAGAAgAAAAhANvh9svuAAAAhQEAABMAAAAAAAAA&#10;AAAAAAAAAAAAAFtDb250ZW50X1R5cGVzXS54bWxQSwECLQAUAAYACAAAACEAWvQsW78AAAAVAQAA&#10;CwAAAAAAAAAAAAAAAAAfAQAAX3JlbHMvLnJlbHNQSwECLQAUAAYACAAAACEAfYTM1sYAAADeAAAA&#10;DwAAAAAAAAAAAAAAAAAHAgAAZHJzL2Rvd25yZXYueG1sUEsFBgAAAAADAAMAtwAAAPoCAAAAAA==&#10;" filled="f" stroked="f">
                  <v:textbox inset="0,0,0,0">
                    <w:txbxContent>
                      <w:p w14:paraId="62CF1318" w14:textId="77777777" w:rsidR="00B32EF2" w:rsidRDefault="00000000">
                        <w:r>
                          <w:rPr>
                            <w:rFonts w:ascii="Arial" w:eastAsia="Arial" w:hAnsi="Arial" w:cs="Arial"/>
                            <w:b/>
                            <w:i/>
                            <w:color w:val="020202"/>
                            <w:sz w:val="18"/>
                          </w:rPr>
                          <w:t>NORME RICHIAMATE</w:t>
                        </w:r>
                      </w:p>
                    </w:txbxContent>
                  </v:textbox>
                </v:rect>
                <v:rect id="Rectangle 20712" o:spid="_x0000_s5371" style="position:absolute;left:-11911;top:18373;width:509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lKhxgAAAN4AAAAPAAAAZHJzL2Rvd25yZXYueG1sRI9Ba8JA&#10;FITvBf/D8oTe6sYcqqSuIoqYQy/aCB4f2WeSmn27ZFeT9td3BaHHYWa+YRarwbTiTp1vLCuYThIQ&#10;xKXVDVcKiq/d2xyED8gaW8uk4Ic8rJajlwVm2vZ8oPsxVCJC2GeooA7BZVL6siaDfmIdcfQutjMY&#10;ouwqqTvsI9y0Mk2Sd2mw4bhQo6NNTeX1eDMKzlt2+a6X5eV34z6/83m7vxUnpV7Hw/oDRKAh/Ief&#10;7VwrSJPZNIXHnXgF5PIPAAD//wMAUEsBAi0AFAAGAAgAAAAhANvh9svuAAAAhQEAABMAAAAAAAAA&#10;AAAAAAAAAAAAAFtDb250ZW50X1R5cGVzXS54bWxQSwECLQAUAAYACAAAACEAWvQsW78AAAAVAQAA&#10;CwAAAAAAAAAAAAAAAAAfAQAAX3JlbHMvLnJlbHNQSwECLQAUAAYACAAAACEAjVZSocYAAADeAAAA&#10;DwAAAAAAAAAAAAAAAAAHAgAAZHJzL2Rvd25yZXYueG1sUEsFBgAAAAADAAMAtwAAAPoCAAAAAA==&#10;" filled="f" stroked="f">
                  <v:textbox inset="0,0,0,0">
                    <w:txbxContent>
                      <w:p w14:paraId="058D3EA4" w14:textId="77777777" w:rsidR="00B32EF2" w:rsidRDefault="00000000">
                        <w:r>
                          <w:rPr>
                            <w:rFonts w:ascii="Arial" w:eastAsia="Arial" w:hAnsi="Arial" w:cs="Arial"/>
                            <w:i/>
                            <w:color w:val="020202"/>
                            <w:sz w:val="18"/>
                          </w:rPr>
                          <w:t xml:space="preserve">art. 53 D.lgs. 446/1997  “Albo per l’accertamento e riscossione delle entrate </w:t>
                        </w:r>
                      </w:p>
                    </w:txbxContent>
                  </v:textbox>
                </v:rect>
                <v:rect id="Rectangle 20713" o:spid="_x0000_s5372" style="position:absolute;left:27989;top:17140;width:110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vc6xgAAAN4AAAAPAAAAZHJzL2Rvd25yZXYueG1sRI9Ba8JA&#10;FITvBf/D8gre6kYLVqKrFEWagxetBY+P7DOJZt8u2dVEf70rFDwOM/MNM1t0phZXanxlWcFwkIAg&#10;zq2uuFCw/11/TED4gKyxtkwKbuRhMe+9zTDVtuUtXXehEBHCPkUFZQguldLnJRn0A+uIo3e0jcEQ&#10;ZVNI3WAb4aaWoyQZS4MVx4USHS1Lys+7i1FwWLHL1q3Mj/el25yySf1z2f8p1X/vvqcgAnXhFf5v&#10;Z1rBKPkafsLzTrwCcv4AAAD//wMAUEsBAi0AFAAGAAgAAAAhANvh9svuAAAAhQEAABMAAAAAAAAA&#10;AAAAAAAAAAAAAFtDb250ZW50X1R5cGVzXS54bWxQSwECLQAUAAYACAAAACEAWvQsW78AAAAVAQAA&#10;CwAAAAAAAAAAAAAAAAAfAQAAX3JlbHMvLnJlbHNQSwECLQAUAAYACAAAACEA4hr3OsYAAADeAAAA&#10;DwAAAAAAAAAAAAAAAAAHAgAAZHJzL2Rvd25yZXYueG1sUEsFBgAAAAADAAMAtwAAAPoCAAAAAA==&#10;" filled="f" stroked="f">
                  <v:textbox inset="0,0,0,0">
                    <w:txbxContent>
                      <w:p w14:paraId="633CF5DD" w14:textId="77777777" w:rsidR="00B32EF2" w:rsidRDefault="00000000">
                        <w:r>
                          <w:rPr>
                            <w:rFonts w:ascii="Arial" w:eastAsia="Arial" w:hAnsi="Arial" w:cs="Arial"/>
                            <w:i/>
                            <w:color w:val="020202"/>
                            <w:sz w:val="18"/>
                          </w:rPr>
                          <w:t>degli enti locali”.</w:t>
                        </w:r>
                      </w:p>
                    </w:txbxContent>
                  </v:textbox>
                </v:rect>
                <v:shape id="Shape 20714" o:spid="_x0000_s5373" style="position:absolute;left:259;top:16924;width:39600;height:4895;visibility:visible;mso-wrap-style:square;v-text-anchor:top" coordsize="3960000,489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CjaxgAAAN4AAAAPAAAAZHJzL2Rvd25yZXYueG1sRI9Ba8JA&#10;FITvgv9heQVvujGISnQVEYRSqKGxl94e2WcSmn0bdjcx/vtuodDjMDPfMPvjaFoxkPONZQXLRQKC&#10;uLS64UrB5+0y34LwAVlja5kUPMnD8TCd7DHT9sEfNBShEhHCPkMFdQhdJqUvazLoF7Yjjt7dOoMh&#10;SldJ7fAR4aaVaZKspcGG40KNHZ1rKr+L3ig4u/T0vG7e8oH70n01af7eD7lSs5fxtAMRaAz/4b/2&#10;q1aQJpvlCn7vxCsgDz8AAAD//wMAUEsBAi0AFAAGAAgAAAAhANvh9svuAAAAhQEAABMAAAAAAAAA&#10;AAAAAAAAAAAAAFtDb250ZW50X1R5cGVzXS54bWxQSwECLQAUAAYACAAAACEAWvQsW78AAAAVAQAA&#10;CwAAAAAAAAAAAAAAAAAfAQAAX3JlbHMvLnJlbHNQSwECLQAUAAYACAAAACEAD0wo2sYAAADeAAAA&#10;DwAAAAAAAAAAAAAAAAAHAgAAZHJzL2Rvd25yZXYueG1sUEsFBgAAAAADAAMAtwAAAPoCAAAAAA==&#10;" path="m,489496r3960000,l3960000,,,,,489496xe" filled="f" strokeweight="1pt">
                  <v:stroke miterlimit="1" joinstyle="miter"/>
                  <v:path arrowok="t" textboxrect="0,0,3960000,489496"/>
                </v:shape>
                <w10:anchorlock/>
              </v:group>
            </w:pict>
          </mc:Fallback>
        </mc:AlternateContent>
      </w:r>
    </w:p>
    <w:p w14:paraId="0C866B3C" w14:textId="77777777" w:rsidR="00B32EF2" w:rsidRDefault="00000000">
      <w:pPr>
        <w:spacing w:after="0"/>
        <w:ind w:left="-356" w:right="-306"/>
      </w:pPr>
      <w:r>
        <w:rPr>
          <w:noProof/>
        </w:rPr>
        <w:lastRenderedPageBreak/>
        <mc:AlternateContent>
          <mc:Choice Requires="wpg">
            <w:drawing>
              <wp:inline distT="0" distB="0" distL="0" distR="0" wp14:anchorId="24105EE9" wp14:editId="2315C41F">
                <wp:extent cx="3991905" cy="6262854"/>
                <wp:effectExtent l="0" t="0" r="0" b="0"/>
                <wp:docPr id="201937" name="Group 201937"/>
                <wp:cNvGraphicFramePr/>
                <a:graphic xmlns:a="http://schemas.openxmlformats.org/drawingml/2006/main">
                  <a:graphicData uri="http://schemas.microsoft.com/office/word/2010/wordprocessingGroup">
                    <wpg:wgp>
                      <wpg:cNvGrpSpPr/>
                      <wpg:grpSpPr>
                        <a:xfrm>
                          <a:off x="0" y="0"/>
                          <a:ext cx="3991905" cy="6262854"/>
                          <a:chOff x="0" y="0"/>
                          <a:chExt cx="3991905" cy="6262854"/>
                        </a:xfrm>
                      </wpg:grpSpPr>
                      <wps:wsp>
                        <wps:cNvPr id="20788" name="Rectangle 20788"/>
                        <wps:cNvSpPr/>
                        <wps:spPr>
                          <a:xfrm rot="-10799999">
                            <a:off x="1900477" y="-62190"/>
                            <a:ext cx="178369" cy="250646"/>
                          </a:xfrm>
                          <a:prstGeom prst="rect">
                            <a:avLst/>
                          </a:prstGeom>
                          <a:ln>
                            <a:noFill/>
                          </a:ln>
                        </wps:spPr>
                        <wps:txbx>
                          <w:txbxContent>
                            <w:p w14:paraId="047A507E" w14:textId="77777777" w:rsidR="00B32EF2" w:rsidRDefault="00000000">
                              <w:r>
                                <w:rPr>
                                  <w:rFonts w:ascii="Times New Roman" w:eastAsia="Times New Roman" w:hAnsi="Times New Roman" w:cs="Times New Roman"/>
                                </w:rPr>
                                <w:t>40</w:t>
                              </w:r>
                            </w:p>
                          </w:txbxContent>
                        </wps:txbx>
                        <wps:bodyPr horzOverflow="overflow" vert="horz" lIns="0" tIns="0" rIns="0" bIns="0" rtlCol="0">
                          <a:noAutofit/>
                        </wps:bodyPr>
                      </wps:wsp>
                      <wps:wsp>
                        <wps:cNvPr id="20789" name="Rectangle 20789"/>
                        <wps:cNvSpPr/>
                        <wps:spPr>
                          <a:xfrm rot="-10799999">
                            <a:off x="1789264" y="6119964"/>
                            <a:ext cx="2202527" cy="142890"/>
                          </a:xfrm>
                          <a:prstGeom prst="rect">
                            <a:avLst/>
                          </a:prstGeom>
                          <a:ln>
                            <a:noFill/>
                          </a:ln>
                        </wps:spPr>
                        <wps:txbx>
                          <w:txbxContent>
                            <w:p w14:paraId="23CF7C11" w14:textId="77777777" w:rsidR="00B32EF2" w:rsidRDefault="00000000">
                              <w:r>
                                <w:rPr>
                                  <w:rFonts w:ascii="Arial" w:eastAsia="Arial" w:hAnsi="Arial" w:cs="Arial"/>
                                  <w:sz w:val="18"/>
                                </w:rPr>
                                <w:t>del Presidente della Repubblica.</w:t>
                              </w:r>
                            </w:p>
                          </w:txbxContent>
                        </wps:txbx>
                        <wps:bodyPr horzOverflow="overflow" vert="horz" lIns="0" tIns="0" rIns="0" bIns="0" rtlCol="0">
                          <a:noAutofit/>
                        </wps:bodyPr>
                      </wps:wsp>
                      <wps:wsp>
                        <wps:cNvPr id="201750" name="Rectangle 201750"/>
                        <wps:cNvSpPr/>
                        <wps:spPr>
                          <a:xfrm rot="-10799999">
                            <a:off x="-1381801" y="5996634"/>
                            <a:ext cx="5309036" cy="142891"/>
                          </a:xfrm>
                          <a:prstGeom prst="rect">
                            <a:avLst/>
                          </a:prstGeom>
                          <a:ln>
                            <a:noFill/>
                          </a:ln>
                        </wps:spPr>
                        <wps:txbx>
                          <w:txbxContent>
                            <w:p w14:paraId="057DC053" w14:textId="77777777" w:rsidR="00B32EF2" w:rsidRDefault="00000000">
                              <w:r>
                                <w:rPr>
                                  <w:rFonts w:ascii="Arial" w:eastAsia="Arial" w:hAnsi="Arial" w:cs="Arial"/>
                                  <w:sz w:val="18"/>
                                </w:rPr>
                                <w:t xml:space="preserve">. Appartengono altresì alla giurisdizione tributaria le controversie promosse </w:t>
                              </w:r>
                            </w:p>
                          </w:txbxContent>
                        </wps:txbx>
                        <wps:bodyPr horzOverflow="overflow" vert="horz" lIns="0" tIns="0" rIns="0" bIns="0" rtlCol="0">
                          <a:noAutofit/>
                        </wps:bodyPr>
                      </wps:wsp>
                      <wps:wsp>
                        <wps:cNvPr id="201749" name="Rectangle 201749"/>
                        <wps:cNvSpPr/>
                        <wps:spPr>
                          <a:xfrm rot="-10799999">
                            <a:off x="2610961" y="5996634"/>
                            <a:ext cx="5309036" cy="142891"/>
                          </a:xfrm>
                          <a:prstGeom prst="rect">
                            <a:avLst/>
                          </a:prstGeom>
                          <a:ln>
                            <a:noFill/>
                          </a:ln>
                        </wps:spPr>
                        <wps:txbx>
                          <w:txbxContent>
                            <w:p w14:paraId="1430F1F5"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791" name="Rectangle 20791"/>
                        <wps:cNvSpPr/>
                        <wps:spPr>
                          <a:xfrm rot="-10799999">
                            <a:off x="-1317290" y="5873305"/>
                            <a:ext cx="5309082" cy="142889"/>
                          </a:xfrm>
                          <a:prstGeom prst="rect">
                            <a:avLst/>
                          </a:prstGeom>
                          <a:ln>
                            <a:noFill/>
                          </a:ln>
                        </wps:spPr>
                        <wps:txbx>
                          <w:txbxContent>
                            <w:p w14:paraId="1ED827F5" w14:textId="77777777" w:rsidR="00B32EF2" w:rsidRDefault="00000000">
                              <w:r>
                                <w:rPr>
                                  <w:rFonts w:ascii="Arial" w:eastAsia="Arial" w:hAnsi="Arial" w:cs="Arial"/>
                                  <w:sz w:val="18"/>
                                </w:rPr>
                                <w:t xml:space="preserve">dai singoli possessori concernenti l’intestazione, la delimitazione, la figura, </w:t>
                              </w:r>
                            </w:p>
                          </w:txbxContent>
                        </wps:txbx>
                        <wps:bodyPr horzOverflow="overflow" vert="horz" lIns="0" tIns="0" rIns="0" bIns="0" rtlCol="0">
                          <a:noAutofit/>
                        </wps:bodyPr>
                      </wps:wsp>
                      <wps:wsp>
                        <wps:cNvPr id="20792" name="Rectangle 20792"/>
                        <wps:cNvSpPr/>
                        <wps:spPr>
                          <a:xfrm rot="-10799999">
                            <a:off x="-1220378" y="5749976"/>
                            <a:ext cx="5212170" cy="142889"/>
                          </a:xfrm>
                          <a:prstGeom prst="rect">
                            <a:avLst/>
                          </a:prstGeom>
                          <a:ln>
                            <a:noFill/>
                          </a:ln>
                        </wps:spPr>
                        <wps:txbx>
                          <w:txbxContent>
                            <w:p w14:paraId="3C58276B" w14:textId="77777777" w:rsidR="00B32EF2" w:rsidRDefault="00000000">
                              <w:r>
                                <w:rPr>
                                  <w:rFonts w:ascii="Arial" w:eastAsia="Arial" w:hAnsi="Arial" w:cs="Arial"/>
                                  <w:sz w:val="18"/>
                                </w:rPr>
                                <w:t>l’estensione, il classamento dei terreni e la ripartizione dell’estimo fra i com</w:t>
                              </w:r>
                            </w:p>
                          </w:txbxContent>
                        </wps:txbx>
                        <wps:bodyPr horzOverflow="overflow" vert="horz" lIns="0" tIns="0" rIns="0" bIns="0" rtlCol="0">
                          <a:noAutofit/>
                        </wps:bodyPr>
                      </wps:wsp>
                      <wps:wsp>
                        <wps:cNvPr id="20793" name="Rectangle 20793"/>
                        <wps:cNvSpPr/>
                        <wps:spPr>
                          <a:xfrm rot="-10799999">
                            <a:off x="19192" y="5749975"/>
                            <a:ext cx="50622" cy="142889"/>
                          </a:xfrm>
                          <a:prstGeom prst="rect">
                            <a:avLst/>
                          </a:prstGeom>
                          <a:ln>
                            <a:noFill/>
                          </a:ln>
                        </wps:spPr>
                        <wps:txbx>
                          <w:txbxContent>
                            <w:p w14:paraId="4C6A99D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794" name="Rectangle 20794"/>
                        <wps:cNvSpPr/>
                        <wps:spPr>
                          <a:xfrm rot="-10799999">
                            <a:off x="-1228982" y="5626646"/>
                            <a:ext cx="5220773" cy="142889"/>
                          </a:xfrm>
                          <a:prstGeom prst="rect">
                            <a:avLst/>
                          </a:prstGeom>
                          <a:ln>
                            <a:noFill/>
                          </a:ln>
                        </wps:spPr>
                        <wps:txbx>
                          <w:txbxContent>
                            <w:p w14:paraId="07A8C1F7" w14:textId="77777777" w:rsidR="00B32EF2" w:rsidRDefault="00000000">
                              <w:r>
                                <w:rPr>
                                  <w:rFonts w:ascii="Arial" w:eastAsia="Arial" w:hAnsi="Arial" w:cs="Arial"/>
                                  <w:sz w:val="18"/>
                                </w:rPr>
                                <w:t>possessori a titolo di promiscuità di una stessa particella, nonché le controver</w:t>
                              </w:r>
                            </w:p>
                          </w:txbxContent>
                        </wps:txbx>
                        <wps:bodyPr horzOverflow="overflow" vert="horz" lIns="0" tIns="0" rIns="0" bIns="0" rtlCol="0">
                          <a:noAutofit/>
                        </wps:bodyPr>
                      </wps:wsp>
                      <wps:wsp>
                        <wps:cNvPr id="20795" name="Rectangle 20795"/>
                        <wps:cNvSpPr/>
                        <wps:spPr>
                          <a:xfrm rot="-10799999">
                            <a:off x="19192" y="5626646"/>
                            <a:ext cx="50622" cy="142889"/>
                          </a:xfrm>
                          <a:prstGeom prst="rect">
                            <a:avLst/>
                          </a:prstGeom>
                          <a:ln>
                            <a:noFill/>
                          </a:ln>
                        </wps:spPr>
                        <wps:txbx>
                          <w:txbxContent>
                            <w:p w14:paraId="76A1030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796" name="Rectangle 20796"/>
                        <wps:cNvSpPr/>
                        <wps:spPr>
                          <a:xfrm rot="-10799999">
                            <a:off x="-1317244" y="5503316"/>
                            <a:ext cx="5309035" cy="142889"/>
                          </a:xfrm>
                          <a:prstGeom prst="rect">
                            <a:avLst/>
                          </a:prstGeom>
                          <a:ln>
                            <a:noFill/>
                          </a:ln>
                        </wps:spPr>
                        <wps:txbx>
                          <w:txbxContent>
                            <w:p w14:paraId="5B542ECB" w14:textId="77777777" w:rsidR="00B32EF2" w:rsidRDefault="00000000">
                              <w:r>
                                <w:rPr>
                                  <w:rFonts w:ascii="Arial" w:eastAsia="Arial" w:hAnsi="Arial" w:cs="Arial"/>
                                  <w:sz w:val="18"/>
                                </w:rPr>
                                <w:t xml:space="preserve">sie concernenti la consistenza, il classamento delle singole unità immobiliari </w:t>
                              </w:r>
                            </w:p>
                          </w:txbxContent>
                        </wps:txbx>
                        <wps:bodyPr horzOverflow="overflow" vert="horz" lIns="0" tIns="0" rIns="0" bIns="0" rtlCol="0">
                          <a:noAutofit/>
                        </wps:bodyPr>
                      </wps:wsp>
                      <wps:wsp>
                        <wps:cNvPr id="20797" name="Rectangle 20797"/>
                        <wps:cNvSpPr/>
                        <wps:spPr>
                          <a:xfrm rot="-10799999">
                            <a:off x="-1317199" y="5379987"/>
                            <a:ext cx="5308990" cy="142889"/>
                          </a:xfrm>
                          <a:prstGeom prst="rect">
                            <a:avLst/>
                          </a:prstGeom>
                          <a:ln>
                            <a:noFill/>
                          </a:ln>
                        </wps:spPr>
                        <wps:txbx>
                          <w:txbxContent>
                            <w:p w14:paraId="13809728" w14:textId="77777777" w:rsidR="00B32EF2" w:rsidRDefault="00000000">
                              <w:r>
                                <w:rPr>
                                  <w:rFonts w:ascii="Arial" w:eastAsia="Arial" w:hAnsi="Arial" w:cs="Arial"/>
                                  <w:sz w:val="18"/>
                                </w:rPr>
                                <w:t xml:space="preserve">urbane e l’attribuzione della rendita catastale. Appartengono alla giurisdizione </w:t>
                              </w:r>
                            </w:p>
                          </w:txbxContent>
                        </wps:txbx>
                        <wps:bodyPr horzOverflow="overflow" vert="horz" lIns="0" tIns="0" rIns="0" bIns="0" rtlCol="0">
                          <a:noAutofit/>
                        </wps:bodyPr>
                      </wps:wsp>
                      <wps:wsp>
                        <wps:cNvPr id="20798" name="Rectangle 20798"/>
                        <wps:cNvSpPr/>
                        <wps:spPr>
                          <a:xfrm rot="-10799999">
                            <a:off x="-1317230" y="5256657"/>
                            <a:ext cx="5309021" cy="142889"/>
                          </a:xfrm>
                          <a:prstGeom prst="rect">
                            <a:avLst/>
                          </a:prstGeom>
                          <a:ln>
                            <a:noFill/>
                          </a:ln>
                        </wps:spPr>
                        <wps:txbx>
                          <w:txbxContent>
                            <w:p w14:paraId="237E0BD1" w14:textId="77777777" w:rsidR="00B32EF2" w:rsidRDefault="00000000">
                              <w:r>
                                <w:rPr>
                                  <w:rFonts w:ascii="Arial" w:eastAsia="Arial" w:hAnsi="Arial" w:cs="Arial"/>
                                  <w:sz w:val="18"/>
                                </w:rPr>
                                <w:t xml:space="preserve">tributaria anche le controversie attinenti l’imposta o il canone comunale sulla </w:t>
                              </w:r>
                            </w:p>
                          </w:txbxContent>
                        </wps:txbx>
                        <wps:bodyPr horzOverflow="overflow" vert="horz" lIns="0" tIns="0" rIns="0" bIns="0" rtlCol="0">
                          <a:noAutofit/>
                        </wps:bodyPr>
                      </wps:wsp>
                      <wps:wsp>
                        <wps:cNvPr id="20799" name="Rectangle 20799"/>
                        <wps:cNvSpPr/>
                        <wps:spPr>
                          <a:xfrm rot="-10799999">
                            <a:off x="926145" y="5133327"/>
                            <a:ext cx="3065646" cy="142889"/>
                          </a:xfrm>
                          <a:prstGeom prst="rect">
                            <a:avLst/>
                          </a:prstGeom>
                          <a:ln>
                            <a:noFill/>
                          </a:ln>
                        </wps:spPr>
                        <wps:txbx>
                          <w:txbxContent>
                            <w:p w14:paraId="287420F9" w14:textId="77777777" w:rsidR="00B32EF2" w:rsidRDefault="00000000">
                              <w:r>
                                <w:rPr>
                                  <w:rFonts w:ascii="Arial" w:eastAsia="Arial" w:hAnsi="Arial" w:cs="Arial"/>
                                  <w:sz w:val="18"/>
                                </w:rPr>
                                <w:t>pubblicità e il diritto sulle pubbliche affissioni.</w:t>
                              </w:r>
                            </w:p>
                          </w:txbxContent>
                        </wps:txbx>
                        <wps:bodyPr horzOverflow="overflow" vert="horz" lIns="0" tIns="0" rIns="0" bIns="0" rtlCol="0">
                          <a:noAutofit/>
                        </wps:bodyPr>
                      </wps:wsp>
                      <wps:wsp>
                        <wps:cNvPr id="201748" name="Rectangle 201748"/>
                        <wps:cNvSpPr/>
                        <wps:spPr>
                          <a:xfrm rot="-10799999">
                            <a:off x="-1381766" y="5009998"/>
                            <a:ext cx="5309035" cy="142889"/>
                          </a:xfrm>
                          <a:prstGeom prst="rect">
                            <a:avLst/>
                          </a:prstGeom>
                          <a:ln>
                            <a:noFill/>
                          </a:ln>
                        </wps:spPr>
                        <wps:txbx>
                          <w:txbxContent>
                            <w:p w14:paraId="4B9D0B54" w14:textId="77777777" w:rsidR="00B32EF2" w:rsidRDefault="00000000">
                              <w:r>
                                <w:rPr>
                                  <w:rFonts w:ascii="Arial" w:eastAsia="Arial" w:hAnsi="Arial" w:cs="Arial"/>
                                  <w:sz w:val="18"/>
                                </w:rPr>
                                <w:t xml:space="preserve">. Il giudice tributario risolve in via incidentale ogni questione da cui dipende </w:t>
                              </w:r>
                            </w:p>
                          </w:txbxContent>
                        </wps:txbx>
                        <wps:bodyPr horzOverflow="overflow" vert="horz" lIns="0" tIns="0" rIns="0" bIns="0" rtlCol="0">
                          <a:noAutofit/>
                        </wps:bodyPr>
                      </wps:wsp>
                      <wps:wsp>
                        <wps:cNvPr id="201747" name="Rectangle 201747"/>
                        <wps:cNvSpPr/>
                        <wps:spPr>
                          <a:xfrm rot="-10799999">
                            <a:off x="2610961" y="5009998"/>
                            <a:ext cx="5309036" cy="142889"/>
                          </a:xfrm>
                          <a:prstGeom prst="rect">
                            <a:avLst/>
                          </a:prstGeom>
                          <a:ln>
                            <a:noFill/>
                          </a:ln>
                        </wps:spPr>
                        <wps:txbx>
                          <w:txbxContent>
                            <w:p w14:paraId="3C50FFA8"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801" name="Rectangle 20801"/>
                        <wps:cNvSpPr/>
                        <wps:spPr>
                          <a:xfrm rot="-10799999">
                            <a:off x="-1219197" y="4886668"/>
                            <a:ext cx="5212018" cy="142889"/>
                          </a:xfrm>
                          <a:prstGeom prst="rect">
                            <a:avLst/>
                          </a:prstGeom>
                          <a:ln>
                            <a:noFill/>
                          </a:ln>
                        </wps:spPr>
                        <wps:txbx>
                          <w:txbxContent>
                            <w:p w14:paraId="04F18ADF" w14:textId="77777777" w:rsidR="00B32EF2" w:rsidRDefault="00000000">
                              <w:r>
                                <w:rPr>
                                  <w:rFonts w:ascii="Arial" w:eastAsia="Arial" w:hAnsi="Arial" w:cs="Arial"/>
                                  <w:sz w:val="18"/>
                                </w:rPr>
                                <w:t>la decisione delle controversie rientranti nella propria giurisdizione, fatta ecce</w:t>
                              </w:r>
                            </w:p>
                          </w:txbxContent>
                        </wps:txbx>
                        <wps:bodyPr horzOverflow="overflow" vert="horz" lIns="0" tIns="0" rIns="0" bIns="0" rtlCol="0">
                          <a:noAutofit/>
                        </wps:bodyPr>
                      </wps:wsp>
                      <wps:wsp>
                        <wps:cNvPr id="20802" name="Rectangle 20802"/>
                        <wps:cNvSpPr/>
                        <wps:spPr>
                          <a:xfrm rot="-10799999">
                            <a:off x="19192" y="4886667"/>
                            <a:ext cx="50622" cy="142889"/>
                          </a:xfrm>
                          <a:prstGeom prst="rect">
                            <a:avLst/>
                          </a:prstGeom>
                          <a:ln>
                            <a:noFill/>
                          </a:ln>
                        </wps:spPr>
                        <wps:txbx>
                          <w:txbxContent>
                            <w:p w14:paraId="7BA5868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803" name="Rectangle 20803"/>
                        <wps:cNvSpPr/>
                        <wps:spPr>
                          <a:xfrm rot="-10799999">
                            <a:off x="-1317229" y="4763338"/>
                            <a:ext cx="5309021" cy="142889"/>
                          </a:xfrm>
                          <a:prstGeom prst="rect">
                            <a:avLst/>
                          </a:prstGeom>
                          <a:ln>
                            <a:noFill/>
                          </a:ln>
                        </wps:spPr>
                        <wps:txbx>
                          <w:txbxContent>
                            <w:p w14:paraId="50EA6E19" w14:textId="77777777" w:rsidR="00B32EF2" w:rsidRDefault="00000000">
                              <w:r>
                                <w:rPr>
                                  <w:rFonts w:ascii="Arial" w:eastAsia="Arial" w:hAnsi="Arial" w:cs="Arial"/>
                                  <w:sz w:val="18"/>
                                </w:rPr>
                                <w:t xml:space="preserve">zione per le questioni in materia di querela di falso e sullo stato o la capacità </w:t>
                              </w:r>
                            </w:p>
                          </w:txbxContent>
                        </wps:txbx>
                        <wps:bodyPr horzOverflow="overflow" vert="horz" lIns="0" tIns="0" rIns="0" bIns="0" rtlCol="0">
                          <a:noAutofit/>
                        </wps:bodyPr>
                      </wps:wsp>
                      <wps:wsp>
                        <wps:cNvPr id="20804" name="Rectangle 20804"/>
                        <wps:cNvSpPr/>
                        <wps:spPr>
                          <a:xfrm rot="-10799999">
                            <a:off x="189126" y="4640009"/>
                            <a:ext cx="3802665" cy="142889"/>
                          </a:xfrm>
                          <a:prstGeom prst="rect">
                            <a:avLst/>
                          </a:prstGeom>
                          <a:ln>
                            <a:noFill/>
                          </a:ln>
                        </wps:spPr>
                        <wps:txbx>
                          <w:txbxContent>
                            <w:p w14:paraId="126CF829" w14:textId="77777777" w:rsidR="00B32EF2" w:rsidRDefault="00000000">
                              <w:r>
                                <w:rPr>
                                  <w:rFonts w:ascii="Arial" w:eastAsia="Arial" w:hAnsi="Arial" w:cs="Arial"/>
                                  <w:sz w:val="18"/>
                                </w:rPr>
                                <w:t>delle persone, diversa dalla capacità di stare in giudizio.</w:t>
                              </w:r>
                            </w:p>
                          </w:txbxContent>
                        </wps:txbx>
                        <wps:bodyPr horzOverflow="overflow" vert="horz" lIns="0" tIns="0" rIns="0" bIns="0" rtlCol="0">
                          <a:noAutofit/>
                        </wps:bodyPr>
                      </wps:wsp>
                      <wps:wsp>
                        <wps:cNvPr id="20805" name="Rectangle 20805"/>
                        <wps:cNvSpPr/>
                        <wps:spPr>
                          <a:xfrm rot="-10799999">
                            <a:off x="1510021" y="1679638"/>
                            <a:ext cx="804074" cy="142889"/>
                          </a:xfrm>
                          <a:prstGeom prst="rect">
                            <a:avLst/>
                          </a:prstGeom>
                          <a:ln>
                            <a:noFill/>
                          </a:ln>
                        </wps:spPr>
                        <wps:txbx>
                          <w:txbxContent>
                            <w:p w14:paraId="32E8F8CF" w14:textId="77777777" w:rsidR="00B32EF2" w:rsidRDefault="00000000">
                              <w:r>
                                <w:rPr>
                                  <w:rFonts w:ascii="Arial" w:eastAsia="Arial" w:hAnsi="Arial" w:cs="Arial"/>
                                  <w:b/>
                                  <w:sz w:val="18"/>
                                </w:rPr>
                                <w:t>Articolo 47</w:t>
                              </w:r>
                            </w:p>
                          </w:txbxContent>
                        </wps:txbx>
                        <wps:bodyPr horzOverflow="overflow" vert="horz" lIns="0" tIns="0" rIns="0" bIns="0" rtlCol="0">
                          <a:noAutofit/>
                        </wps:bodyPr>
                      </wps:wsp>
                      <wps:wsp>
                        <wps:cNvPr id="201739" name="Rectangle 201739"/>
                        <wps:cNvSpPr/>
                        <wps:spPr>
                          <a:xfrm rot="-10799999">
                            <a:off x="-484110" y="1556308"/>
                            <a:ext cx="2103503" cy="142889"/>
                          </a:xfrm>
                          <a:prstGeom prst="rect">
                            <a:avLst/>
                          </a:prstGeom>
                          <a:ln>
                            <a:noFill/>
                          </a:ln>
                        </wps:spPr>
                        <wps:txbx>
                          <w:txbxContent>
                            <w:p w14:paraId="7CCA8FEC"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740" name="Rectangle 201740"/>
                        <wps:cNvSpPr/>
                        <wps:spPr>
                          <a:xfrm rot="-10799999">
                            <a:off x="1062311" y="1556308"/>
                            <a:ext cx="2103503" cy="142889"/>
                          </a:xfrm>
                          <a:prstGeom prst="rect">
                            <a:avLst/>
                          </a:prstGeom>
                          <a:ln>
                            <a:noFill/>
                          </a:ln>
                        </wps:spPr>
                        <wps:txbx>
                          <w:txbxContent>
                            <w:p w14:paraId="61281931" w14:textId="77777777" w:rsidR="00B32EF2" w:rsidRDefault="00000000">
                              <w:r>
                                <w:rPr>
                                  <w:rFonts w:ascii="Arial" w:eastAsia="Arial" w:hAnsi="Arial" w:cs="Arial"/>
                                  <w:i/>
                                  <w:sz w:val="18"/>
                                </w:rPr>
                                <w:t xml:space="preserve">articolo 3 del D.lgs. n. </w:t>
                              </w:r>
                            </w:p>
                          </w:txbxContent>
                        </wps:txbx>
                        <wps:bodyPr horzOverflow="overflow" vert="horz" lIns="0" tIns="0" rIns="0" bIns="0" rtlCol="0">
                          <a:noAutofit/>
                        </wps:bodyPr>
                      </wps:wsp>
                      <wps:wsp>
                        <wps:cNvPr id="201738" name="Rectangle 201738"/>
                        <wps:cNvSpPr/>
                        <wps:spPr>
                          <a:xfrm rot="-10799999">
                            <a:off x="2242630" y="1556308"/>
                            <a:ext cx="2103503" cy="142889"/>
                          </a:xfrm>
                          <a:prstGeom prst="rect">
                            <a:avLst/>
                          </a:prstGeom>
                          <a:ln>
                            <a:noFill/>
                          </a:ln>
                        </wps:spPr>
                        <wps:txbx>
                          <w:txbxContent>
                            <w:p w14:paraId="7CE830C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807" name="Rectangle 20807"/>
                        <wps:cNvSpPr/>
                        <wps:spPr>
                          <a:xfrm rot="-10799999">
                            <a:off x="920942" y="1432978"/>
                            <a:ext cx="1722680" cy="142889"/>
                          </a:xfrm>
                          <a:prstGeom prst="rect">
                            <a:avLst/>
                          </a:prstGeom>
                          <a:ln>
                            <a:noFill/>
                          </a:ln>
                        </wps:spPr>
                        <wps:txbx>
                          <w:txbxContent>
                            <w:p w14:paraId="1A7C7142" w14:textId="77777777" w:rsidR="00B32EF2" w:rsidRDefault="00000000">
                              <w:r>
                                <w:rPr>
                                  <w:rFonts w:ascii="Arial" w:eastAsia="Arial" w:hAnsi="Arial" w:cs="Arial"/>
                                  <w:b/>
                                  <w:sz w:val="18"/>
                                </w:rPr>
                                <w:t xml:space="preserve">Difetto di giurisdizione </w:t>
                              </w:r>
                            </w:p>
                          </w:txbxContent>
                        </wps:txbx>
                        <wps:bodyPr horzOverflow="overflow" vert="horz" lIns="0" tIns="0" rIns="0" bIns="0" rtlCol="0">
                          <a:noAutofit/>
                        </wps:bodyPr>
                      </wps:wsp>
                      <wps:wsp>
                        <wps:cNvPr id="201735" name="Rectangle 201735"/>
                        <wps:cNvSpPr/>
                        <wps:spPr>
                          <a:xfrm rot="-10799999">
                            <a:off x="-1376300" y="1309648"/>
                            <a:ext cx="5309021" cy="142889"/>
                          </a:xfrm>
                          <a:prstGeom prst="rect">
                            <a:avLst/>
                          </a:prstGeom>
                          <a:ln>
                            <a:noFill/>
                          </a:ln>
                        </wps:spPr>
                        <wps:txbx>
                          <w:txbxContent>
                            <w:p w14:paraId="4B11D772" w14:textId="77777777" w:rsidR="00B32EF2" w:rsidRDefault="00000000">
                              <w:r>
                                <w:rPr>
                                  <w:rFonts w:ascii="Arial" w:eastAsia="Arial" w:hAnsi="Arial" w:cs="Arial"/>
                                  <w:sz w:val="18"/>
                                </w:rPr>
                                <w:t xml:space="preserve">. Il difetto di giurisdizione delle corti di giustizia tributaria di primo e secondo </w:t>
                              </w:r>
                            </w:p>
                          </w:txbxContent>
                        </wps:txbx>
                        <wps:bodyPr horzOverflow="overflow" vert="horz" lIns="0" tIns="0" rIns="0" bIns="0" rtlCol="0">
                          <a:noAutofit/>
                        </wps:bodyPr>
                      </wps:wsp>
                      <wps:wsp>
                        <wps:cNvPr id="201734" name="Rectangle 201734"/>
                        <wps:cNvSpPr/>
                        <wps:spPr>
                          <a:xfrm rot="-10799999">
                            <a:off x="2611078" y="1309649"/>
                            <a:ext cx="5309021" cy="142889"/>
                          </a:xfrm>
                          <a:prstGeom prst="rect">
                            <a:avLst/>
                          </a:prstGeom>
                          <a:ln>
                            <a:noFill/>
                          </a:ln>
                        </wps:spPr>
                        <wps:txbx>
                          <w:txbxContent>
                            <w:p w14:paraId="6B193DB3"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809" name="Rectangle 20809"/>
                        <wps:cNvSpPr/>
                        <wps:spPr>
                          <a:xfrm rot="-10799999">
                            <a:off x="-566476" y="1186319"/>
                            <a:ext cx="4558381" cy="142890"/>
                          </a:xfrm>
                          <a:prstGeom prst="rect">
                            <a:avLst/>
                          </a:prstGeom>
                          <a:ln>
                            <a:noFill/>
                          </a:ln>
                        </wps:spPr>
                        <wps:txbx>
                          <w:txbxContent>
                            <w:p w14:paraId="19B4237B" w14:textId="77777777" w:rsidR="00B32EF2" w:rsidRDefault="00000000">
                              <w:r>
                                <w:rPr>
                                  <w:rFonts w:ascii="Arial" w:eastAsia="Arial" w:hAnsi="Arial" w:cs="Arial"/>
                                  <w:sz w:val="18"/>
                                </w:rPr>
                                <w:t>grado è rilevato, anche d’ufficio, in ogni stato e grado del processo.</w:t>
                              </w:r>
                            </w:p>
                          </w:txbxContent>
                        </wps:txbx>
                        <wps:bodyPr horzOverflow="overflow" vert="horz" lIns="0" tIns="0" rIns="0" bIns="0" rtlCol="0">
                          <a:noAutofit/>
                        </wps:bodyPr>
                      </wps:wsp>
                      <wps:wsp>
                        <wps:cNvPr id="201732" name="Rectangle 201732"/>
                        <wps:cNvSpPr/>
                        <wps:spPr>
                          <a:xfrm rot="-10799999">
                            <a:off x="2611060" y="1055560"/>
                            <a:ext cx="5309096" cy="142889"/>
                          </a:xfrm>
                          <a:prstGeom prst="rect">
                            <a:avLst/>
                          </a:prstGeom>
                          <a:ln>
                            <a:noFill/>
                          </a:ln>
                        </wps:spPr>
                        <wps:txbx>
                          <w:txbxContent>
                            <w:p w14:paraId="614F820D"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733" name="Rectangle 201733"/>
                        <wps:cNvSpPr/>
                        <wps:spPr>
                          <a:xfrm rot="-10799999">
                            <a:off x="-1381748" y="1055560"/>
                            <a:ext cx="5309096" cy="142889"/>
                          </a:xfrm>
                          <a:prstGeom prst="rect">
                            <a:avLst/>
                          </a:prstGeom>
                          <a:ln>
                            <a:noFill/>
                          </a:ln>
                        </wps:spPr>
                        <wps:txbx>
                          <w:txbxContent>
                            <w:p w14:paraId="3D1A127D" w14:textId="77777777" w:rsidR="00B32EF2" w:rsidRDefault="00000000">
                              <w:r>
                                <w:rPr>
                                  <w:rFonts w:ascii="Arial" w:eastAsia="Arial" w:hAnsi="Arial" w:cs="Arial"/>
                                  <w:sz w:val="18"/>
                                </w:rPr>
                                <w:t xml:space="preserve">. È ammesso il regolamento preventivo di giurisdizione previsto dall’articolo </w:t>
                              </w:r>
                            </w:p>
                          </w:txbxContent>
                        </wps:txbx>
                        <wps:bodyPr horzOverflow="overflow" vert="horz" lIns="0" tIns="0" rIns="0" bIns="0" rtlCol="0">
                          <a:noAutofit/>
                        </wps:bodyPr>
                      </wps:wsp>
                      <wps:wsp>
                        <wps:cNvPr id="201730" name="Rectangle 201730"/>
                        <wps:cNvSpPr/>
                        <wps:spPr>
                          <a:xfrm rot="-10799999">
                            <a:off x="3057544" y="932230"/>
                            <a:ext cx="3282015" cy="142889"/>
                          </a:xfrm>
                          <a:prstGeom prst="rect">
                            <a:avLst/>
                          </a:prstGeom>
                          <a:ln>
                            <a:noFill/>
                          </a:ln>
                        </wps:spPr>
                        <wps:txbx>
                          <w:txbxContent>
                            <w:p w14:paraId="4D6400EE" w14:textId="77777777" w:rsidR="00B32EF2" w:rsidRDefault="00000000">
                              <w:r>
                                <w:rPr>
                                  <w:rFonts w:ascii="Arial" w:eastAsia="Arial" w:hAnsi="Arial" w:cs="Arial"/>
                                  <w:sz w:val="18"/>
                                </w:rPr>
                                <w:t>41</w:t>
                              </w:r>
                            </w:p>
                          </w:txbxContent>
                        </wps:txbx>
                        <wps:bodyPr horzOverflow="overflow" vert="horz" lIns="0" tIns="0" rIns="0" bIns="0" rtlCol="0">
                          <a:noAutofit/>
                        </wps:bodyPr>
                      </wps:wsp>
                      <wps:wsp>
                        <wps:cNvPr id="201731" name="Rectangle 201731"/>
                        <wps:cNvSpPr/>
                        <wps:spPr>
                          <a:xfrm rot="-10799999">
                            <a:off x="594195" y="932230"/>
                            <a:ext cx="3282015" cy="142889"/>
                          </a:xfrm>
                          <a:prstGeom prst="rect">
                            <a:avLst/>
                          </a:prstGeom>
                          <a:ln>
                            <a:noFill/>
                          </a:ln>
                        </wps:spPr>
                        <wps:txbx>
                          <w:txbxContent>
                            <w:p w14:paraId="46027916" w14:textId="77777777" w:rsidR="00B32EF2" w:rsidRDefault="00000000">
                              <w:r>
                                <w:rPr>
                                  <w:rFonts w:ascii="Arial" w:eastAsia="Arial" w:hAnsi="Arial" w:cs="Arial"/>
                                  <w:sz w:val="18"/>
                                </w:rPr>
                                <w:t>, primo comma, del codice di procedura civile.</w:t>
                              </w:r>
                            </w:p>
                          </w:txbxContent>
                        </wps:txbx>
                        <wps:bodyPr horzOverflow="overflow" vert="horz" lIns="0" tIns="0" rIns="0" bIns="0" rtlCol="0">
                          <a:noAutofit/>
                        </wps:bodyPr>
                      </wps:wsp>
                      <wps:wsp>
                        <wps:cNvPr id="208074" name="Shape 208074"/>
                        <wps:cNvSpPr/>
                        <wps:spPr>
                          <a:xfrm>
                            <a:off x="31791" y="412006"/>
                            <a:ext cx="3960000" cy="516496"/>
                          </a:xfrm>
                          <a:custGeom>
                            <a:avLst/>
                            <a:gdLst/>
                            <a:ahLst/>
                            <a:cxnLst/>
                            <a:rect l="0" t="0" r="0" b="0"/>
                            <a:pathLst>
                              <a:path w="3960000" h="516496">
                                <a:moveTo>
                                  <a:pt x="0" y="0"/>
                                </a:moveTo>
                                <a:lnTo>
                                  <a:pt x="3960000" y="0"/>
                                </a:lnTo>
                                <a:lnTo>
                                  <a:pt x="3960000" y="516496"/>
                                </a:lnTo>
                                <a:lnTo>
                                  <a:pt x="0" y="516496"/>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20813" name="Rectangle 20813"/>
                        <wps:cNvSpPr/>
                        <wps:spPr>
                          <a:xfrm rot="-10799999">
                            <a:off x="2328775" y="707265"/>
                            <a:ext cx="1585695" cy="142889"/>
                          </a:xfrm>
                          <a:prstGeom prst="rect">
                            <a:avLst/>
                          </a:prstGeom>
                          <a:ln>
                            <a:noFill/>
                          </a:ln>
                        </wps:spPr>
                        <wps:txbx>
                          <w:txbxContent>
                            <w:p w14:paraId="66D41A4D" w14:textId="77777777" w:rsidR="00B32EF2" w:rsidRDefault="00000000">
                              <w:r>
                                <w:rPr>
                                  <w:rFonts w:ascii="Arial" w:eastAsia="Arial" w:hAnsi="Arial" w:cs="Arial"/>
                                  <w:b/>
                                  <w:i/>
                                  <w:color w:val="020202"/>
                                  <w:sz w:val="18"/>
                                </w:rPr>
                                <w:t>NORME RICHIAMATE</w:t>
                              </w:r>
                            </w:p>
                          </w:txbxContent>
                        </wps:txbx>
                        <wps:bodyPr horzOverflow="overflow" vert="horz" lIns="0" tIns="0" rIns="0" bIns="0" rtlCol="0">
                          <a:noAutofit/>
                        </wps:bodyPr>
                      </wps:wsp>
                      <wps:wsp>
                        <wps:cNvPr id="20814" name="Rectangle 20814"/>
                        <wps:cNvSpPr/>
                        <wps:spPr>
                          <a:xfrm rot="-10799999">
                            <a:off x="900880" y="583935"/>
                            <a:ext cx="3012560" cy="142889"/>
                          </a:xfrm>
                          <a:prstGeom prst="rect">
                            <a:avLst/>
                          </a:prstGeom>
                          <a:ln>
                            <a:noFill/>
                          </a:ln>
                        </wps:spPr>
                        <wps:txbx>
                          <w:txbxContent>
                            <w:p w14:paraId="4D5FE81E" w14:textId="77777777" w:rsidR="00B32EF2" w:rsidRDefault="00000000">
                              <w:r>
                                <w:rPr>
                                  <w:rFonts w:ascii="Arial" w:eastAsia="Arial" w:hAnsi="Arial" w:cs="Arial"/>
                                  <w:i/>
                                  <w:color w:val="020202"/>
                                  <w:sz w:val="18"/>
                                </w:rPr>
                                <w:t>art. 41 c.p.c. “Regolamento di giurisdizione “</w:t>
                              </w:r>
                            </w:p>
                          </w:txbxContent>
                        </wps:txbx>
                        <wps:bodyPr horzOverflow="overflow" vert="horz" lIns="0" tIns="0" rIns="0" bIns="0" rtlCol="0">
                          <a:noAutofit/>
                        </wps:bodyPr>
                      </wps:wsp>
                      <wps:wsp>
                        <wps:cNvPr id="201726" name="Rectangle 201726"/>
                        <wps:cNvSpPr/>
                        <wps:spPr>
                          <a:xfrm rot="-10799999">
                            <a:off x="-1156917" y="460605"/>
                            <a:ext cx="5010957" cy="142889"/>
                          </a:xfrm>
                          <a:prstGeom prst="rect">
                            <a:avLst/>
                          </a:prstGeom>
                          <a:ln>
                            <a:noFill/>
                          </a:ln>
                        </wps:spPr>
                        <wps:txbx>
                          <w:txbxContent>
                            <w:p w14:paraId="2DAD5B35" w14:textId="77777777" w:rsidR="00B32EF2" w:rsidRDefault="00000000">
                              <w:r>
                                <w:rPr>
                                  <w:rFonts w:ascii="Arial" w:eastAsia="Arial" w:hAnsi="Arial" w:cs="Arial"/>
                                  <w:i/>
                                  <w:color w:val="020202"/>
                                  <w:sz w:val="18"/>
                                </w:rPr>
                                <w:t>. Finché la causa non sia decisa nel merito in primo grado, ciascuna par</w:t>
                              </w:r>
                            </w:p>
                          </w:txbxContent>
                        </wps:txbx>
                        <wps:bodyPr horzOverflow="overflow" vert="horz" lIns="0" tIns="0" rIns="0" bIns="0" rtlCol="0">
                          <a:noAutofit/>
                        </wps:bodyPr>
                      </wps:wsp>
                      <wps:wsp>
                        <wps:cNvPr id="201724" name="Rectangle 201724"/>
                        <wps:cNvSpPr/>
                        <wps:spPr>
                          <a:xfrm rot="-10799999">
                            <a:off x="2606570" y="460605"/>
                            <a:ext cx="5010958" cy="142889"/>
                          </a:xfrm>
                          <a:prstGeom prst="rect">
                            <a:avLst/>
                          </a:prstGeom>
                          <a:ln>
                            <a:noFill/>
                          </a:ln>
                        </wps:spPr>
                        <wps:txbx>
                          <w:txbxContent>
                            <w:p w14:paraId="450EA7C5" w14:textId="77777777" w:rsidR="00B32EF2" w:rsidRDefault="00000000">
                              <w:r>
                                <w:rPr>
                                  <w:rFonts w:ascii="Arial" w:eastAsia="Arial" w:hAnsi="Arial" w:cs="Arial"/>
                                  <w:i/>
                                  <w:color w:val="020202"/>
                                  <w:sz w:val="18"/>
                                </w:rPr>
                                <w:t>1</w:t>
                              </w:r>
                            </w:p>
                          </w:txbxContent>
                        </wps:txbx>
                        <wps:bodyPr horzOverflow="overflow" vert="horz" lIns="0" tIns="0" rIns="0" bIns="0" rtlCol="0">
                          <a:noAutofit/>
                        </wps:bodyPr>
                      </wps:wsp>
                      <wps:wsp>
                        <wps:cNvPr id="20816" name="Rectangle 20816"/>
                        <wps:cNvSpPr/>
                        <wps:spPr>
                          <a:xfrm rot="-10799999">
                            <a:off x="97547" y="460605"/>
                            <a:ext cx="50622" cy="142889"/>
                          </a:xfrm>
                          <a:prstGeom prst="rect">
                            <a:avLst/>
                          </a:prstGeom>
                          <a:ln>
                            <a:noFill/>
                          </a:ln>
                        </wps:spPr>
                        <wps:txbx>
                          <w:txbxContent>
                            <w:p w14:paraId="68F66BF7" w14:textId="77777777" w:rsidR="00B32EF2" w:rsidRDefault="00000000">
                              <w:r>
                                <w:rPr>
                                  <w:rFonts w:ascii="Arial" w:eastAsia="Arial" w:hAnsi="Arial" w:cs="Arial"/>
                                  <w:i/>
                                  <w:color w:val="020202"/>
                                  <w:sz w:val="18"/>
                                </w:rPr>
                                <w:t>-</w:t>
                              </w:r>
                            </w:p>
                          </w:txbxContent>
                        </wps:txbx>
                        <wps:bodyPr horzOverflow="overflow" vert="horz" lIns="0" tIns="0" rIns="0" bIns="0" rtlCol="0">
                          <a:noAutofit/>
                        </wps:bodyPr>
                      </wps:wsp>
                      <wps:wsp>
                        <wps:cNvPr id="20817" name="Shape 20817"/>
                        <wps:cNvSpPr/>
                        <wps:spPr>
                          <a:xfrm>
                            <a:off x="31790" y="412010"/>
                            <a:ext cx="3960000" cy="516496"/>
                          </a:xfrm>
                          <a:custGeom>
                            <a:avLst/>
                            <a:gdLst/>
                            <a:ahLst/>
                            <a:cxnLst/>
                            <a:rect l="0" t="0" r="0" b="0"/>
                            <a:pathLst>
                              <a:path w="3960000" h="516496">
                                <a:moveTo>
                                  <a:pt x="0" y="516496"/>
                                </a:moveTo>
                                <a:lnTo>
                                  <a:pt x="3960000" y="516496"/>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s:wsp>
                        <wps:cNvPr id="208075" name="Shape 208075"/>
                        <wps:cNvSpPr/>
                        <wps:spPr>
                          <a:xfrm>
                            <a:off x="31791" y="2017603"/>
                            <a:ext cx="3960000" cy="2610803"/>
                          </a:xfrm>
                          <a:custGeom>
                            <a:avLst/>
                            <a:gdLst/>
                            <a:ahLst/>
                            <a:cxnLst/>
                            <a:rect l="0" t="0" r="0" b="0"/>
                            <a:pathLst>
                              <a:path w="3960000" h="2610803">
                                <a:moveTo>
                                  <a:pt x="0" y="0"/>
                                </a:moveTo>
                                <a:lnTo>
                                  <a:pt x="3960000" y="0"/>
                                </a:lnTo>
                                <a:lnTo>
                                  <a:pt x="3960000" y="2610803"/>
                                </a:lnTo>
                                <a:lnTo>
                                  <a:pt x="0" y="2610803"/>
                                </a:lnTo>
                                <a:lnTo>
                                  <a:pt x="0" y="0"/>
                                </a:lnTo>
                              </a:path>
                            </a:pathLst>
                          </a:custGeom>
                          <a:ln w="0" cap="flat">
                            <a:miter lim="100000"/>
                          </a:ln>
                        </wps:spPr>
                        <wps:style>
                          <a:lnRef idx="0">
                            <a:srgbClr val="000000">
                              <a:alpha val="0"/>
                            </a:srgbClr>
                          </a:lnRef>
                          <a:fillRef idx="1">
                            <a:srgbClr val="C3C3C3"/>
                          </a:fillRef>
                          <a:effectRef idx="0">
                            <a:scrgbClr r="0" g="0" b="0"/>
                          </a:effectRef>
                          <a:fontRef idx="none"/>
                        </wps:style>
                        <wps:bodyPr/>
                      </wps:wsp>
                      <wps:wsp>
                        <wps:cNvPr id="20819" name="Rectangle 20819"/>
                        <wps:cNvSpPr/>
                        <wps:spPr>
                          <a:xfrm rot="-10799999">
                            <a:off x="2328775" y="4407163"/>
                            <a:ext cx="1585695" cy="142889"/>
                          </a:xfrm>
                          <a:prstGeom prst="rect">
                            <a:avLst/>
                          </a:prstGeom>
                          <a:ln>
                            <a:noFill/>
                          </a:ln>
                        </wps:spPr>
                        <wps:txbx>
                          <w:txbxContent>
                            <w:p w14:paraId="11611DDE" w14:textId="77777777" w:rsidR="00B32EF2" w:rsidRDefault="00000000">
                              <w:r>
                                <w:rPr>
                                  <w:rFonts w:ascii="Arial" w:eastAsia="Arial" w:hAnsi="Arial" w:cs="Arial"/>
                                  <w:b/>
                                  <w:i/>
                                  <w:color w:val="020202"/>
                                  <w:sz w:val="18"/>
                                </w:rPr>
                                <w:t>NORME RICHIAMATE</w:t>
                              </w:r>
                            </w:p>
                          </w:txbxContent>
                        </wps:txbx>
                        <wps:bodyPr horzOverflow="overflow" vert="horz" lIns="0" tIns="0" rIns="0" bIns="0" rtlCol="0">
                          <a:noAutofit/>
                        </wps:bodyPr>
                      </wps:wsp>
                      <wps:wsp>
                        <wps:cNvPr id="20820" name="Rectangle 20820"/>
                        <wps:cNvSpPr/>
                        <wps:spPr>
                          <a:xfrm rot="-10799999">
                            <a:off x="-27940" y="4283834"/>
                            <a:ext cx="3941381" cy="142889"/>
                          </a:xfrm>
                          <a:prstGeom prst="rect">
                            <a:avLst/>
                          </a:prstGeom>
                          <a:ln>
                            <a:noFill/>
                          </a:ln>
                        </wps:spPr>
                        <wps:txbx>
                          <w:txbxContent>
                            <w:p w14:paraId="46888DF4" w14:textId="77777777" w:rsidR="00B32EF2" w:rsidRDefault="00000000">
                              <w:r>
                                <w:rPr>
                                  <w:rFonts w:ascii="Arial" w:eastAsia="Arial" w:hAnsi="Arial" w:cs="Arial"/>
                                  <w:i/>
                                  <w:color w:val="020202"/>
                                  <w:sz w:val="18"/>
                                </w:rPr>
                                <w:t>art. 50 dpr. 602/1972 “Termine per l’inizio dell’esecuzione”</w:t>
                              </w:r>
                            </w:p>
                          </w:txbxContent>
                        </wps:txbx>
                        <wps:bodyPr horzOverflow="overflow" vert="horz" lIns="0" tIns="0" rIns="0" bIns="0" rtlCol="0">
                          <a:noAutofit/>
                        </wps:bodyPr>
                      </wps:wsp>
                      <wps:wsp>
                        <wps:cNvPr id="201746" name="Rectangle 201746"/>
                        <wps:cNvSpPr/>
                        <wps:spPr>
                          <a:xfrm rot="-10799999">
                            <a:off x="-1150715" y="4160504"/>
                            <a:ext cx="5004755" cy="142889"/>
                          </a:xfrm>
                          <a:prstGeom prst="rect">
                            <a:avLst/>
                          </a:prstGeom>
                          <a:ln>
                            <a:noFill/>
                          </a:ln>
                        </wps:spPr>
                        <wps:txbx>
                          <w:txbxContent>
                            <w:p w14:paraId="37F02268" w14:textId="77777777" w:rsidR="00B32EF2" w:rsidRDefault="00000000">
                              <w:r>
                                <w:rPr>
                                  <w:rFonts w:ascii="Arial" w:eastAsia="Arial" w:hAnsi="Arial" w:cs="Arial"/>
                                  <w:i/>
                                  <w:color w:val="020202"/>
                                  <w:sz w:val="18"/>
                                </w:rPr>
                                <w:t>. Il concessionario procede ad espropriazione forzata quando è inutilmen</w:t>
                              </w:r>
                            </w:p>
                          </w:txbxContent>
                        </wps:txbx>
                        <wps:bodyPr horzOverflow="overflow" vert="horz" lIns="0" tIns="0" rIns="0" bIns="0" rtlCol="0">
                          <a:noAutofit/>
                        </wps:bodyPr>
                      </wps:wsp>
                      <wps:wsp>
                        <wps:cNvPr id="201745" name="Rectangle 201745"/>
                        <wps:cNvSpPr/>
                        <wps:spPr>
                          <a:xfrm rot="-10799999">
                            <a:off x="2608109" y="4160504"/>
                            <a:ext cx="5004754" cy="142889"/>
                          </a:xfrm>
                          <a:prstGeom prst="rect">
                            <a:avLst/>
                          </a:prstGeom>
                          <a:ln>
                            <a:noFill/>
                          </a:ln>
                        </wps:spPr>
                        <wps:txbx>
                          <w:txbxContent>
                            <w:p w14:paraId="3D3645DA" w14:textId="77777777" w:rsidR="00B32EF2" w:rsidRDefault="00000000">
                              <w:r>
                                <w:rPr>
                                  <w:rFonts w:ascii="Arial" w:eastAsia="Arial" w:hAnsi="Arial" w:cs="Arial"/>
                                  <w:i/>
                                  <w:color w:val="020202"/>
                                  <w:sz w:val="18"/>
                                </w:rPr>
                                <w:t>1</w:t>
                              </w:r>
                            </w:p>
                          </w:txbxContent>
                        </wps:txbx>
                        <wps:bodyPr horzOverflow="overflow" vert="horz" lIns="0" tIns="0" rIns="0" bIns="0" rtlCol="0">
                          <a:noAutofit/>
                        </wps:bodyPr>
                      </wps:wsp>
                      <wps:wsp>
                        <wps:cNvPr id="20822" name="Rectangle 20822"/>
                        <wps:cNvSpPr/>
                        <wps:spPr>
                          <a:xfrm rot="-10799999">
                            <a:off x="97547" y="4160504"/>
                            <a:ext cx="50622" cy="142889"/>
                          </a:xfrm>
                          <a:prstGeom prst="rect">
                            <a:avLst/>
                          </a:prstGeom>
                          <a:ln>
                            <a:noFill/>
                          </a:ln>
                        </wps:spPr>
                        <wps:txbx>
                          <w:txbxContent>
                            <w:p w14:paraId="5683F8B8" w14:textId="77777777" w:rsidR="00B32EF2" w:rsidRDefault="00000000">
                              <w:r>
                                <w:rPr>
                                  <w:rFonts w:ascii="Arial" w:eastAsia="Arial" w:hAnsi="Arial" w:cs="Arial"/>
                                  <w:i/>
                                  <w:color w:val="020202"/>
                                  <w:sz w:val="18"/>
                                </w:rPr>
                                <w:t>-</w:t>
                              </w:r>
                            </w:p>
                          </w:txbxContent>
                        </wps:txbx>
                        <wps:bodyPr horzOverflow="overflow" vert="horz" lIns="0" tIns="0" rIns="0" bIns="0" rtlCol="0">
                          <a:noAutofit/>
                        </wps:bodyPr>
                      </wps:wsp>
                      <wps:wsp>
                        <wps:cNvPr id="20823" name="Rectangle 20823"/>
                        <wps:cNvSpPr/>
                        <wps:spPr>
                          <a:xfrm rot="-10799999">
                            <a:off x="-1187161" y="4037174"/>
                            <a:ext cx="5100602" cy="142889"/>
                          </a:xfrm>
                          <a:prstGeom prst="rect">
                            <a:avLst/>
                          </a:prstGeom>
                          <a:ln>
                            <a:noFill/>
                          </a:ln>
                        </wps:spPr>
                        <wps:txbx>
                          <w:txbxContent>
                            <w:p w14:paraId="5D1DF909" w14:textId="77777777" w:rsidR="00B32EF2" w:rsidRDefault="00000000">
                              <w:r>
                                <w:rPr>
                                  <w:rFonts w:ascii="Arial" w:eastAsia="Arial" w:hAnsi="Arial" w:cs="Arial"/>
                                  <w:i/>
                                  <w:color w:val="020202"/>
                                  <w:sz w:val="18"/>
                                </w:rPr>
                                <w:t xml:space="preserve">te decorso il termine di sessanta giorni dalla notificazione della cartella di </w:t>
                              </w:r>
                            </w:p>
                          </w:txbxContent>
                        </wps:txbx>
                        <wps:bodyPr horzOverflow="overflow" vert="horz" lIns="0" tIns="0" rIns="0" bIns="0" rtlCol="0">
                          <a:noAutofit/>
                        </wps:bodyPr>
                      </wps:wsp>
                      <wps:wsp>
                        <wps:cNvPr id="20824" name="Rectangle 20824"/>
                        <wps:cNvSpPr/>
                        <wps:spPr>
                          <a:xfrm rot="-10799999">
                            <a:off x="-1186588" y="3913845"/>
                            <a:ext cx="5098200" cy="142889"/>
                          </a:xfrm>
                          <a:prstGeom prst="rect">
                            <a:avLst/>
                          </a:prstGeom>
                          <a:ln>
                            <a:noFill/>
                          </a:ln>
                        </wps:spPr>
                        <wps:txbx>
                          <w:txbxContent>
                            <w:p w14:paraId="13F194C1" w14:textId="77777777" w:rsidR="00B32EF2" w:rsidRDefault="00000000">
                              <w:r>
                                <w:rPr>
                                  <w:rFonts w:ascii="Arial" w:eastAsia="Arial" w:hAnsi="Arial" w:cs="Arial"/>
                                  <w:i/>
                                  <w:color w:val="020202"/>
                                  <w:sz w:val="18"/>
                                </w:rPr>
                                <w:t xml:space="preserve">pagamento, salve le disposizioni relative alla dilazione ed alla sospensione </w:t>
                              </w:r>
                            </w:p>
                          </w:txbxContent>
                        </wps:txbx>
                        <wps:bodyPr horzOverflow="overflow" vert="horz" lIns="0" tIns="0" rIns="0" bIns="0" rtlCol="0">
                          <a:noAutofit/>
                        </wps:bodyPr>
                      </wps:wsp>
                      <wps:wsp>
                        <wps:cNvPr id="20825" name="Rectangle 20825"/>
                        <wps:cNvSpPr/>
                        <wps:spPr>
                          <a:xfrm rot="-10799999">
                            <a:off x="2815271" y="3790515"/>
                            <a:ext cx="1098170" cy="142889"/>
                          </a:xfrm>
                          <a:prstGeom prst="rect">
                            <a:avLst/>
                          </a:prstGeom>
                          <a:ln>
                            <a:noFill/>
                          </a:ln>
                        </wps:spPr>
                        <wps:txbx>
                          <w:txbxContent>
                            <w:p w14:paraId="171ADA87" w14:textId="77777777" w:rsidR="00B32EF2" w:rsidRDefault="00000000">
                              <w:r>
                                <w:rPr>
                                  <w:rFonts w:ascii="Arial" w:eastAsia="Arial" w:hAnsi="Arial" w:cs="Arial"/>
                                  <w:i/>
                                  <w:color w:val="020202"/>
                                  <w:sz w:val="18"/>
                                </w:rPr>
                                <w:t xml:space="preserve">del pagamento. </w:t>
                              </w:r>
                            </w:p>
                          </w:txbxContent>
                        </wps:txbx>
                        <wps:bodyPr horzOverflow="overflow" vert="horz" lIns="0" tIns="0" rIns="0" bIns="0" rtlCol="0">
                          <a:noAutofit/>
                        </wps:bodyPr>
                      </wps:wsp>
                      <wps:wsp>
                        <wps:cNvPr id="201744" name="Rectangle 201744"/>
                        <wps:cNvSpPr/>
                        <wps:spPr>
                          <a:xfrm rot="-10799999">
                            <a:off x="-1162685" y="3667186"/>
                            <a:ext cx="5011398" cy="142889"/>
                          </a:xfrm>
                          <a:prstGeom prst="rect">
                            <a:avLst/>
                          </a:prstGeom>
                          <a:ln>
                            <a:noFill/>
                          </a:ln>
                        </wps:spPr>
                        <wps:txbx>
                          <w:txbxContent>
                            <w:p w14:paraId="797A7D11" w14:textId="77777777" w:rsidR="00B32EF2" w:rsidRDefault="00000000">
                              <w:r>
                                <w:rPr>
                                  <w:rFonts w:ascii="Arial" w:eastAsia="Arial" w:hAnsi="Arial" w:cs="Arial"/>
                                  <w:i/>
                                  <w:color w:val="020202"/>
                                  <w:sz w:val="18"/>
                                </w:rPr>
                                <w:t>. Se l’espropriazione non è iniziata entro un anno dalla notifica della car</w:t>
                              </w:r>
                            </w:p>
                          </w:txbxContent>
                        </wps:txbx>
                        <wps:bodyPr horzOverflow="overflow" vert="horz" lIns="0" tIns="0" rIns="0" bIns="0" rtlCol="0">
                          <a:noAutofit/>
                        </wps:bodyPr>
                      </wps:wsp>
                      <wps:wsp>
                        <wps:cNvPr id="201743" name="Rectangle 201743"/>
                        <wps:cNvSpPr/>
                        <wps:spPr>
                          <a:xfrm rot="-10799999">
                            <a:off x="2606461" y="3667186"/>
                            <a:ext cx="5011397" cy="142889"/>
                          </a:xfrm>
                          <a:prstGeom prst="rect">
                            <a:avLst/>
                          </a:prstGeom>
                          <a:ln>
                            <a:noFill/>
                          </a:ln>
                        </wps:spPr>
                        <wps:txbx>
                          <w:txbxContent>
                            <w:p w14:paraId="50E75D05" w14:textId="77777777" w:rsidR="00B32EF2" w:rsidRDefault="00000000">
                              <w:r>
                                <w:rPr>
                                  <w:rFonts w:ascii="Arial" w:eastAsia="Arial" w:hAnsi="Arial" w:cs="Arial"/>
                                  <w:i/>
                                  <w:color w:val="020202"/>
                                  <w:sz w:val="18"/>
                                </w:rPr>
                                <w:t>2</w:t>
                              </w:r>
                            </w:p>
                          </w:txbxContent>
                        </wps:txbx>
                        <wps:bodyPr horzOverflow="overflow" vert="horz" lIns="0" tIns="0" rIns="0" bIns="0" rtlCol="0">
                          <a:noAutofit/>
                        </wps:bodyPr>
                      </wps:wsp>
                      <wps:wsp>
                        <wps:cNvPr id="20827" name="Rectangle 20827"/>
                        <wps:cNvSpPr/>
                        <wps:spPr>
                          <a:xfrm rot="-10799999">
                            <a:off x="97547" y="3667185"/>
                            <a:ext cx="50622" cy="142889"/>
                          </a:xfrm>
                          <a:prstGeom prst="rect">
                            <a:avLst/>
                          </a:prstGeom>
                          <a:ln>
                            <a:noFill/>
                          </a:ln>
                        </wps:spPr>
                        <wps:txbx>
                          <w:txbxContent>
                            <w:p w14:paraId="2C4B96A3" w14:textId="77777777" w:rsidR="00B32EF2" w:rsidRDefault="00000000">
                              <w:r>
                                <w:rPr>
                                  <w:rFonts w:ascii="Arial" w:eastAsia="Arial" w:hAnsi="Arial" w:cs="Arial"/>
                                  <w:i/>
                                  <w:color w:val="020202"/>
                                  <w:sz w:val="18"/>
                                </w:rPr>
                                <w:t>-</w:t>
                              </w:r>
                            </w:p>
                          </w:txbxContent>
                        </wps:txbx>
                        <wps:bodyPr horzOverflow="overflow" vert="horz" lIns="0" tIns="0" rIns="0" bIns="0" rtlCol="0">
                          <a:noAutofit/>
                        </wps:bodyPr>
                      </wps:wsp>
                      <wps:wsp>
                        <wps:cNvPr id="20828" name="Rectangle 20828"/>
                        <wps:cNvSpPr/>
                        <wps:spPr>
                          <a:xfrm rot="-10799999">
                            <a:off x="-1193265" y="3543856"/>
                            <a:ext cx="5124652" cy="142889"/>
                          </a:xfrm>
                          <a:prstGeom prst="rect">
                            <a:avLst/>
                          </a:prstGeom>
                          <a:ln>
                            <a:noFill/>
                          </a:ln>
                        </wps:spPr>
                        <wps:txbx>
                          <w:txbxContent>
                            <w:p w14:paraId="7B076C1F" w14:textId="77777777" w:rsidR="00B32EF2" w:rsidRDefault="00000000">
                              <w:r>
                                <w:rPr>
                                  <w:rFonts w:ascii="Arial" w:eastAsia="Arial" w:hAnsi="Arial" w:cs="Arial"/>
                                  <w:i/>
                                  <w:color w:val="020202"/>
                                  <w:sz w:val="18"/>
                                </w:rPr>
                                <w:t xml:space="preserve">tella di pagamento, l’espropriazione stessa deve essere preceduta dalla </w:t>
                              </w:r>
                            </w:p>
                          </w:txbxContent>
                        </wps:txbx>
                        <wps:bodyPr horzOverflow="overflow" vert="horz" lIns="0" tIns="0" rIns="0" bIns="0" rtlCol="0">
                          <a:noAutofit/>
                        </wps:bodyPr>
                      </wps:wsp>
                      <wps:wsp>
                        <wps:cNvPr id="20829" name="Rectangle 20829"/>
                        <wps:cNvSpPr/>
                        <wps:spPr>
                          <a:xfrm rot="-10799999">
                            <a:off x="-1187192" y="3420526"/>
                            <a:ext cx="5100634" cy="142889"/>
                          </a:xfrm>
                          <a:prstGeom prst="rect">
                            <a:avLst/>
                          </a:prstGeom>
                          <a:ln>
                            <a:noFill/>
                          </a:ln>
                        </wps:spPr>
                        <wps:txbx>
                          <w:txbxContent>
                            <w:p w14:paraId="3786D91D" w14:textId="77777777" w:rsidR="00B32EF2" w:rsidRDefault="00000000">
                              <w:r>
                                <w:rPr>
                                  <w:rFonts w:ascii="Arial" w:eastAsia="Arial" w:hAnsi="Arial" w:cs="Arial"/>
                                  <w:i/>
                                  <w:color w:val="020202"/>
                                  <w:sz w:val="18"/>
                                </w:rPr>
                                <w:t xml:space="preserve">notifica, da effettuarsi con le modalità previste dall’articolo 26, di un avviso </w:t>
                              </w:r>
                            </w:p>
                          </w:txbxContent>
                        </wps:txbx>
                        <wps:bodyPr horzOverflow="overflow" vert="horz" lIns="0" tIns="0" rIns="0" bIns="0" rtlCol="0">
                          <a:noAutofit/>
                        </wps:bodyPr>
                      </wps:wsp>
                      <wps:wsp>
                        <wps:cNvPr id="20830" name="Rectangle 20830"/>
                        <wps:cNvSpPr/>
                        <wps:spPr>
                          <a:xfrm rot="-10799999">
                            <a:off x="-1187759" y="3297197"/>
                            <a:ext cx="5102230" cy="142889"/>
                          </a:xfrm>
                          <a:prstGeom prst="rect">
                            <a:avLst/>
                          </a:prstGeom>
                          <a:ln>
                            <a:noFill/>
                          </a:ln>
                        </wps:spPr>
                        <wps:txbx>
                          <w:txbxContent>
                            <w:p w14:paraId="0CB355DA" w14:textId="77777777" w:rsidR="00B32EF2" w:rsidRDefault="00000000">
                              <w:r>
                                <w:rPr>
                                  <w:rFonts w:ascii="Arial" w:eastAsia="Arial" w:hAnsi="Arial" w:cs="Arial"/>
                                  <w:i/>
                                  <w:color w:val="020202"/>
                                  <w:sz w:val="18"/>
                                </w:rPr>
                                <w:t xml:space="preserve">che contiene l’intimazione ad adempiere l’obbligo risultante dal ruolo entro </w:t>
                              </w:r>
                            </w:p>
                          </w:txbxContent>
                        </wps:txbx>
                        <wps:bodyPr horzOverflow="overflow" vert="horz" lIns="0" tIns="0" rIns="0" bIns="0" rtlCol="0">
                          <a:noAutofit/>
                        </wps:bodyPr>
                      </wps:wsp>
                      <wps:wsp>
                        <wps:cNvPr id="20831" name="Rectangle 20831"/>
                        <wps:cNvSpPr/>
                        <wps:spPr>
                          <a:xfrm rot="-10799999">
                            <a:off x="2993310" y="3173867"/>
                            <a:ext cx="921159" cy="142889"/>
                          </a:xfrm>
                          <a:prstGeom prst="rect">
                            <a:avLst/>
                          </a:prstGeom>
                          <a:ln>
                            <a:noFill/>
                          </a:ln>
                        </wps:spPr>
                        <wps:txbx>
                          <w:txbxContent>
                            <w:p w14:paraId="7FBFDFAE" w14:textId="77777777" w:rsidR="00B32EF2" w:rsidRDefault="00000000">
                              <w:r>
                                <w:rPr>
                                  <w:rFonts w:ascii="Arial" w:eastAsia="Arial" w:hAnsi="Arial" w:cs="Arial"/>
                                  <w:i/>
                                  <w:color w:val="020202"/>
                                  <w:sz w:val="18"/>
                                </w:rPr>
                                <w:t>cinque giorni.</w:t>
                              </w:r>
                            </w:p>
                          </w:txbxContent>
                        </wps:txbx>
                        <wps:bodyPr horzOverflow="overflow" vert="horz" lIns="0" tIns="0" rIns="0" bIns="0" rtlCol="0">
                          <a:noAutofit/>
                        </wps:bodyPr>
                      </wps:wsp>
                      <wps:wsp>
                        <wps:cNvPr id="201741" name="Rectangle 201741"/>
                        <wps:cNvSpPr/>
                        <wps:spPr>
                          <a:xfrm rot="-10799999">
                            <a:off x="2583026" y="3050537"/>
                            <a:ext cx="5105848" cy="142889"/>
                          </a:xfrm>
                          <a:prstGeom prst="rect">
                            <a:avLst/>
                          </a:prstGeom>
                          <a:ln>
                            <a:noFill/>
                          </a:ln>
                        </wps:spPr>
                        <wps:txbx>
                          <w:txbxContent>
                            <w:p w14:paraId="19F6E304" w14:textId="77777777" w:rsidR="00B32EF2" w:rsidRDefault="00000000">
                              <w:r>
                                <w:rPr>
                                  <w:rFonts w:ascii="Arial" w:eastAsia="Arial" w:hAnsi="Arial" w:cs="Arial"/>
                                  <w:i/>
                                  <w:color w:val="020202"/>
                                  <w:sz w:val="18"/>
                                </w:rPr>
                                <w:t>3</w:t>
                              </w:r>
                            </w:p>
                          </w:txbxContent>
                        </wps:txbx>
                        <wps:bodyPr horzOverflow="overflow" vert="horz" lIns="0" tIns="0" rIns="0" bIns="0" rtlCol="0">
                          <a:noAutofit/>
                        </wps:bodyPr>
                      </wps:wsp>
                      <wps:wsp>
                        <wps:cNvPr id="201742" name="Rectangle 201742"/>
                        <wps:cNvSpPr/>
                        <wps:spPr>
                          <a:xfrm rot="-10799999">
                            <a:off x="-1254734" y="3050537"/>
                            <a:ext cx="5105848" cy="142889"/>
                          </a:xfrm>
                          <a:prstGeom prst="rect">
                            <a:avLst/>
                          </a:prstGeom>
                          <a:ln>
                            <a:noFill/>
                          </a:ln>
                        </wps:spPr>
                        <wps:txbx>
                          <w:txbxContent>
                            <w:p w14:paraId="6EF2C52A" w14:textId="77777777" w:rsidR="00B32EF2" w:rsidRDefault="00000000">
                              <w:r>
                                <w:rPr>
                                  <w:rFonts w:ascii="Arial" w:eastAsia="Arial" w:hAnsi="Arial" w:cs="Arial"/>
                                  <w:i/>
                                  <w:color w:val="020202"/>
                                  <w:sz w:val="18"/>
                                </w:rPr>
                                <w:t xml:space="preserve">. L’avviso di cui al comma 2 è redatto in conformità al modello approvato </w:t>
                              </w:r>
                            </w:p>
                          </w:txbxContent>
                        </wps:txbx>
                        <wps:bodyPr horzOverflow="overflow" vert="horz" lIns="0" tIns="0" rIns="0" bIns="0" rtlCol="0">
                          <a:noAutofit/>
                        </wps:bodyPr>
                      </wps:wsp>
                      <wps:wsp>
                        <wps:cNvPr id="20833" name="Rectangle 20833"/>
                        <wps:cNvSpPr/>
                        <wps:spPr>
                          <a:xfrm rot="-10799999">
                            <a:off x="-1187207" y="2927207"/>
                            <a:ext cx="5100648" cy="142889"/>
                          </a:xfrm>
                          <a:prstGeom prst="rect">
                            <a:avLst/>
                          </a:prstGeom>
                          <a:ln>
                            <a:noFill/>
                          </a:ln>
                        </wps:spPr>
                        <wps:txbx>
                          <w:txbxContent>
                            <w:p w14:paraId="1DC9D53A" w14:textId="77777777" w:rsidR="00B32EF2" w:rsidRDefault="00000000">
                              <w:r>
                                <w:rPr>
                                  <w:rFonts w:ascii="Arial" w:eastAsia="Arial" w:hAnsi="Arial" w:cs="Arial"/>
                                  <w:i/>
                                  <w:color w:val="020202"/>
                                  <w:sz w:val="18"/>
                                </w:rPr>
                                <w:t xml:space="preserve">con decreto del Ministero delle finanze e perde efficacia trascorso un anno </w:t>
                              </w:r>
                            </w:p>
                          </w:txbxContent>
                        </wps:txbx>
                        <wps:bodyPr horzOverflow="overflow" vert="horz" lIns="0" tIns="0" rIns="0" bIns="0" rtlCol="0">
                          <a:noAutofit/>
                        </wps:bodyPr>
                      </wps:wsp>
                      <wps:wsp>
                        <wps:cNvPr id="20834" name="Rectangle 20834"/>
                        <wps:cNvSpPr/>
                        <wps:spPr>
                          <a:xfrm rot="-10799999">
                            <a:off x="2348496" y="2803878"/>
                            <a:ext cx="1564944" cy="142889"/>
                          </a:xfrm>
                          <a:prstGeom prst="rect">
                            <a:avLst/>
                          </a:prstGeom>
                          <a:ln>
                            <a:noFill/>
                          </a:ln>
                        </wps:spPr>
                        <wps:txbx>
                          <w:txbxContent>
                            <w:p w14:paraId="6EE8A3FF" w14:textId="77777777" w:rsidR="00B32EF2" w:rsidRDefault="00000000">
                              <w:r>
                                <w:rPr>
                                  <w:rFonts w:ascii="Arial" w:eastAsia="Arial" w:hAnsi="Arial" w:cs="Arial"/>
                                  <w:i/>
                                  <w:color w:val="020202"/>
                                  <w:sz w:val="18"/>
                                </w:rPr>
                                <w:t>dalla data della notifica</w:t>
                              </w:r>
                            </w:p>
                          </w:txbxContent>
                        </wps:txbx>
                        <wps:bodyPr horzOverflow="overflow" vert="horz" lIns="0" tIns="0" rIns="0" bIns="0" rtlCol="0">
                          <a:noAutofit/>
                        </wps:bodyPr>
                      </wps:wsp>
                      <wps:wsp>
                        <wps:cNvPr id="20835" name="Rectangle 20835"/>
                        <wps:cNvSpPr/>
                        <wps:spPr>
                          <a:xfrm rot="-10799999">
                            <a:off x="2696517" y="2803878"/>
                            <a:ext cx="42262" cy="142889"/>
                          </a:xfrm>
                          <a:prstGeom prst="rect">
                            <a:avLst/>
                          </a:prstGeom>
                          <a:ln>
                            <a:noFill/>
                          </a:ln>
                        </wps:spPr>
                        <wps:txbx>
                          <w:txbxContent>
                            <w:p w14:paraId="051BCD46" w14:textId="77777777" w:rsidR="00B32EF2" w:rsidRDefault="00000000">
                              <w:r>
                                <w:rPr>
                                  <w:rFonts w:ascii="Arial" w:eastAsia="Arial" w:hAnsi="Arial" w:cs="Arial"/>
                                  <w:color w:val="020202"/>
                                  <w:sz w:val="18"/>
                                </w:rPr>
                                <w:t>.</w:t>
                              </w:r>
                            </w:p>
                          </w:txbxContent>
                        </wps:txbx>
                        <wps:bodyPr horzOverflow="overflow" vert="horz" lIns="0" tIns="0" rIns="0" bIns="0" rtlCol="0">
                          <a:noAutofit/>
                        </wps:bodyPr>
                      </wps:wsp>
                      <wps:wsp>
                        <wps:cNvPr id="20836" name="Rectangle 20836"/>
                        <wps:cNvSpPr/>
                        <wps:spPr>
                          <a:xfrm rot="-10799999">
                            <a:off x="2356625" y="2680548"/>
                            <a:ext cx="1557845" cy="142889"/>
                          </a:xfrm>
                          <a:prstGeom prst="rect">
                            <a:avLst/>
                          </a:prstGeom>
                          <a:ln>
                            <a:noFill/>
                          </a:ln>
                        </wps:spPr>
                        <wps:txbx>
                          <w:txbxContent>
                            <w:p w14:paraId="623EE00D" w14:textId="77777777" w:rsidR="00B32EF2" w:rsidRDefault="00000000">
                              <w:r>
                                <w:rPr>
                                  <w:rFonts w:ascii="Arial" w:eastAsia="Arial" w:hAnsi="Arial" w:cs="Arial"/>
                                  <w:b/>
                                  <w:i/>
                                  <w:color w:val="020202"/>
                                  <w:sz w:val="18"/>
                                </w:rPr>
                                <w:t>NORME COLLEGATE</w:t>
                              </w:r>
                            </w:p>
                          </w:txbxContent>
                        </wps:txbx>
                        <wps:bodyPr horzOverflow="overflow" vert="horz" lIns="0" tIns="0" rIns="0" bIns="0" rtlCol="0">
                          <a:noAutofit/>
                        </wps:bodyPr>
                      </wps:wsp>
                      <wps:wsp>
                        <wps:cNvPr id="20837" name="Rectangle 20837"/>
                        <wps:cNvSpPr/>
                        <wps:spPr>
                          <a:xfrm rot="-10799999">
                            <a:off x="-1185223" y="2557218"/>
                            <a:ext cx="5092607" cy="142889"/>
                          </a:xfrm>
                          <a:prstGeom prst="rect">
                            <a:avLst/>
                          </a:prstGeom>
                          <a:ln>
                            <a:noFill/>
                          </a:ln>
                        </wps:spPr>
                        <wps:txbx>
                          <w:txbxContent>
                            <w:p w14:paraId="543CF74E" w14:textId="77777777" w:rsidR="00B32EF2" w:rsidRDefault="00000000">
                              <w:r>
                                <w:rPr>
                                  <w:rFonts w:ascii="Arial" w:eastAsia="Arial" w:hAnsi="Arial" w:cs="Arial"/>
                                  <w:i/>
                                  <w:color w:val="020202"/>
                                  <w:sz w:val="18"/>
                                </w:rPr>
                                <w:t xml:space="preserve">art. 5 c.p.c. “Momento determinante della giurisdizione e della competenza” </w:t>
                              </w:r>
                            </w:p>
                          </w:txbxContent>
                        </wps:txbx>
                        <wps:bodyPr horzOverflow="overflow" vert="horz" lIns="0" tIns="0" rIns="0" bIns="0" rtlCol="0">
                          <a:noAutofit/>
                        </wps:bodyPr>
                      </wps:wsp>
                      <wps:wsp>
                        <wps:cNvPr id="20838" name="Rectangle 20838"/>
                        <wps:cNvSpPr/>
                        <wps:spPr>
                          <a:xfrm rot="-10799999">
                            <a:off x="-1190884" y="2433888"/>
                            <a:ext cx="5117127" cy="142889"/>
                          </a:xfrm>
                          <a:prstGeom prst="rect">
                            <a:avLst/>
                          </a:prstGeom>
                          <a:ln>
                            <a:noFill/>
                          </a:ln>
                        </wps:spPr>
                        <wps:txbx>
                          <w:txbxContent>
                            <w:p w14:paraId="09CBFD54" w14:textId="77777777" w:rsidR="00B32EF2" w:rsidRDefault="00000000">
                              <w:r>
                                <w:rPr>
                                  <w:rFonts w:ascii="Arial" w:eastAsia="Arial" w:hAnsi="Arial" w:cs="Arial"/>
                                  <w:i/>
                                  <w:color w:val="020202"/>
                                  <w:sz w:val="18"/>
                                </w:rPr>
                                <w:t xml:space="preserve">La giurisdizione e la competenza si determinano con riguardo alla legge </w:t>
                              </w:r>
                            </w:p>
                          </w:txbxContent>
                        </wps:txbx>
                        <wps:bodyPr horzOverflow="overflow" vert="horz" lIns="0" tIns="0" rIns="0" bIns="0" rtlCol="0">
                          <a:noAutofit/>
                        </wps:bodyPr>
                      </wps:wsp>
                      <wps:wsp>
                        <wps:cNvPr id="20839" name="Rectangle 20839"/>
                        <wps:cNvSpPr/>
                        <wps:spPr>
                          <a:xfrm rot="-10799999">
                            <a:off x="-1190272" y="2310558"/>
                            <a:ext cx="5112171" cy="142889"/>
                          </a:xfrm>
                          <a:prstGeom prst="rect">
                            <a:avLst/>
                          </a:prstGeom>
                          <a:ln>
                            <a:noFill/>
                          </a:ln>
                        </wps:spPr>
                        <wps:txbx>
                          <w:txbxContent>
                            <w:p w14:paraId="441F3571" w14:textId="77777777" w:rsidR="00B32EF2" w:rsidRDefault="00000000">
                              <w:r>
                                <w:rPr>
                                  <w:rFonts w:ascii="Arial" w:eastAsia="Arial" w:hAnsi="Arial" w:cs="Arial"/>
                                  <w:i/>
                                  <w:color w:val="020202"/>
                                  <w:sz w:val="18"/>
                                </w:rPr>
                                <w:t xml:space="preserve">vigente e allo stato di fatto esistente al momento della proposizione della </w:t>
                              </w:r>
                            </w:p>
                          </w:txbxContent>
                        </wps:txbx>
                        <wps:bodyPr horzOverflow="overflow" vert="horz" lIns="0" tIns="0" rIns="0" bIns="0" rtlCol="0">
                          <a:noAutofit/>
                        </wps:bodyPr>
                      </wps:wsp>
                      <wps:wsp>
                        <wps:cNvPr id="20840" name="Rectangle 20840"/>
                        <wps:cNvSpPr/>
                        <wps:spPr>
                          <a:xfrm rot="-10799999">
                            <a:off x="-1190566" y="2187229"/>
                            <a:ext cx="5113266" cy="142889"/>
                          </a:xfrm>
                          <a:prstGeom prst="rect">
                            <a:avLst/>
                          </a:prstGeom>
                          <a:ln>
                            <a:noFill/>
                          </a:ln>
                        </wps:spPr>
                        <wps:txbx>
                          <w:txbxContent>
                            <w:p w14:paraId="74072DD7" w14:textId="77777777" w:rsidR="00B32EF2" w:rsidRDefault="00000000">
                              <w:r>
                                <w:rPr>
                                  <w:rFonts w:ascii="Arial" w:eastAsia="Arial" w:hAnsi="Arial" w:cs="Arial"/>
                                  <w:i/>
                                  <w:color w:val="020202"/>
                                  <w:sz w:val="18"/>
                                </w:rPr>
                                <w:t xml:space="preserve">domanda, e non hanno rilevanza rispetto ad esse i successivi mutamenti </w:t>
                              </w:r>
                            </w:p>
                          </w:txbxContent>
                        </wps:txbx>
                        <wps:bodyPr horzOverflow="overflow" vert="horz" lIns="0" tIns="0" rIns="0" bIns="0" rtlCol="0">
                          <a:noAutofit/>
                        </wps:bodyPr>
                      </wps:wsp>
                      <wps:wsp>
                        <wps:cNvPr id="20841" name="Rectangle 20841"/>
                        <wps:cNvSpPr/>
                        <wps:spPr>
                          <a:xfrm rot="-10799999">
                            <a:off x="1505370" y="2063899"/>
                            <a:ext cx="2408757" cy="142889"/>
                          </a:xfrm>
                          <a:prstGeom prst="rect">
                            <a:avLst/>
                          </a:prstGeom>
                          <a:ln>
                            <a:noFill/>
                          </a:ln>
                        </wps:spPr>
                        <wps:txbx>
                          <w:txbxContent>
                            <w:p w14:paraId="27C2EBB1" w14:textId="77777777" w:rsidR="00B32EF2" w:rsidRDefault="00000000">
                              <w:r>
                                <w:rPr>
                                  <w:rFonts w:ascii="Arial" w:eastAsia="Arial" w:hAnsi="Arial" w:cs="Arial"/>
                                  <w:i/>
                                  <w:color w:val="020202"/>
                                  <w:sz w:val="18"/>
                                </w:rPr>
                                <w:t>della legge o dello stato medesimo.</w:t>
                              </w:r>
                            </w:p>
                          </w:txbxContent>
                        </wps:txbx>
                        <wps:bodyPr horzOverflow="overflow" vert="horz" lIns="0" tIns="0" rIns="0" bIns="0" rtlCol="0">
                          <a:noAutofit/>
                        </wps:bodyPr>
                      </wps:wsp>
                      <wps:wsp>
                        <wps:cNvPr id="20842" name="Shape 20842"/>
                        <wps:cNvSpPr/>
                        <wps:spPr>
                          <a:xfrm>
                            <a:off x="31790" y="2017606"/>
                            <a:ext cx="3960000" cy="2610802"/>
                          </a:xfrm>
                          <a:custGeom>
                            <a:avLst/>
                            <a:gdLst/>
                            <a:ahLst/>
                            <a:cxnLst/>
                            <a:rect l="0" t="0" r="0" b="0"/>
                            <a:pathLst>
                              <a:path w="3960000" h="2610802">
                                <a:moveTo>
                                  <a:pt x="0" y="2610802"/>
                                </a:moveTo>
                                <a:lnTo>
                                  <a:pt x="3960000" y="2610802"/>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4105EE9" id="Group 201937" o:spid="_x0000_s5374" style="width:314.3pt;height:493.15pt;mso-position-horizontal-relative:char;mso-position-vertical-relative:line" coordsize="39919,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lQqQwAAOWHAAAOAAAAZHJzL2Uyb0RvYy54bWzsXeuO2zYW/r/AvoPh/5MhKYmijEyKItkG&#10;Cyy2Rdt9AMUjjw3IliE7mck+/X6HlKiLOZeVgOG0bAKMZZqiKX48V55z/P6Hh325+FbUp111uFny&#10;d2y5KA7r6nZ3uLtZ/uf3n67UcnE654fbvKwOxc3ye3Fa/vDh7397f39cFaLaVuVtUS8wyOG0uj/e&#10;LLfn83F1fX1ab4t9fnpXHYsDPtxU9T4/4219d31b5/cYfV9eC8bk9X1V3x7ral2cTmj9ZD5cftDj&#10;bzbF+vzzZnMqzovyZom5nfXfWv/9Qn+vP7zPV3d1ftzu1s008gmz2Oe7A77UDvUpP+eLr/XuYqj9&#10;bl1Xp2pzfreu9tfVZrNbF/oZ8DScjZ7mc119PepnuVvd3x3tMmFpR+s0edj1v799ro+/HX+psRL3&#10;xzushX5Hz/Kwqff0ilkuHvSSfbdLVjycF2s0RlnGM5YsF2t8JoUUKonNoq63WPmL+9bbfzxz53X7&#10;xdeD6dwfsUFO3Rqc5q3Bb9v8WOilPa2wBr/Ui93tzVKwVGHDHvI9tuqv2Dz54a4sFqZZL5DubZfr&#10;tDph5dq1WtQV9tcVZ2lG//R+aNYOa8TiNF0usEpXUuCtWaR2GXmqIpmZVRQJk7Gkz+1S5KtjfTp/&#10;Lqr9gi5uljXmpsfPv/3rdDZd2y40nfJAfw/VT7uyNJ9SC1a0nTFdnR++POjHjnmi50ONX6rb71iN&#10;bVX/92fQ9aas7m+WVXO1JFLH19Ony0X5zwNQIKpqL+r24kt7UZ/Lj5WmPTOhH7+eq81Oz7j7tmZm&#10;gJf24CvhjNV24ZzRwtMksCsm4JyqTMhY4yw5zzJcY7x81QItBBOJwEYgeuGxUGYnvCLSvH3AQJDm&#10;KTa3A2rdPgfrKx4prhjXYCeAWkYjsJOIZSySPbD14r8i2CI4sGMnXfMU7XPAFpKzTL5prKP2AQMh&#10;7DQDHA4WjuY5SIOseSrAlklWJyqNIqg3Ax6uyVqJjqyV3luvSNaaz3Ty888vrTOstgtqy98mSesr&#10;DnEcpdD4CGqwiCzVelcnrhPBBU+xF1px/epQ670XFNSRG2rL3iZBzWGmYA9ZnMckzaTwSdB62wWF&#10;MnRkF0FbzjYJZSJolRFrJqBhjjaGVJ+gYcyl2GLeCDptpVMwYhreARfUlrNNgrpH0E6cPRO0Cg5l&#10;mDkulC1nm4SyUcZiY1AnCYsiPpbQ2sZqHFBkUL+6hLaGRTAEDfeFC2rL2aZDDY+J4d0RfGhKD9jj&#10;3RFTGSnmvni3DM5Llrm9oWieb2JFjYklEimTS6gzJmDfeYPaGpHBULXTcQIynAU1vKE8BncmfYxH&#10;UQTX58CWjphMSEnzB7Q1IQMBGq4wJ1Hr9plUrXgqgSWBzRiOQDSbGDBw+EM9ymppjchwwHYKa4A9&#10;T1oP/KGPY+2TsK0pGQjW+ijiUi+j5nlkjeNKnpmzy1gpKeWYrOEkYxxMxZuwtqZkMFA7/aGKWWE2&#10;SQXvbGqD80hW41zap5MMkqXZx8Gg7HSFKmal2CSUjU0tjKEVpxJa2Zigyab2qn1b4RQM1E5/qGJW&#10;iE2CmquMC6OQxTJmkNMj7RscA8aXR85tDclggMZqu4S0FWHTgE440xQL1ZvLNJNjksZOYin2mDcR&#10;bc3IQIDmaeQ0qHX7LH0sVjHnxnfCk0TCKTYkasFhY0FGeMMa56VhCWpYU8Djkqp1+xysOTSuiJuo&#10;kzeKtTUuwqHrR9wnhuVODh0UIhYgZu09eaNYW+siEKwVczpPqHkOVWeCZbE5o+ZxJDIEoGC4zk2G&#10;8CMhFXaCL2GN8/HQGDh5JV0MHO1zoIatBQOLNVQNs0rC+ToAWweT+bS1oBUGB7bT2IJmZpdikhIO&#10;nyhi/yEdSAnXWI/MLf9Y290cDAd3KuHKGMKTZfUVjizhOTFIcyUjPkI6ThKF6PCOhb92mL8JZAwo&#10;ogzU6/SJ6vY5LFxTNU7+NVWzBBbXKHdHU3Xm8aQDeUXBcXCnZxRYW81lEgeHuMYRJp2PEgt/m2CH&#10;5jEDqCA+p25m/QyTwEZcf5o0oWVZJAS+ZqCZRULhWMujczQN0GfmTOnAFrBuhklQJ1nMMyAJqn6T&#10;SMPYC4uDw4S2OrhOxUWOrW57VlKTodwk1SJPh1KAAGqMA2g2CgyNMokDj8aKTriMIaIxei9LZ/3V&#10;5NTSkG0eLTK4b01GLdq27dX64dBeUubtk8nkx/xM99GgdLlA+qydypaioPRM6OM90mp/r3TH8yhR&#10;GrPsPi0P/V52MDy33jbo2/ZoX496vH7PwQK03dpX092oOC/uOPxuTIKeVq+vXQE09te4PNBiECI5&#10;Mv03ZW5SmPe7M0oAlLs9RK5ICTIDkyNj+XT+Xha0YOXh12KD3GWdlk4Np/ruy8eyXnzLKdlY/zP5&#10;0eVxmzetzbhNVz1VPQ7dv0GitB2S61sHQ36M6H8zQtOZ7it0jQF7JzN3rpvZmEIDSNfHQ7flBrAo&#10;9ib9zdXhbO8/oEiC/hLS3Jun7ZR4Whd695qJ0oo7VS1qxnRoNpM4soB0TVPDklOWChxCYrieDyxR&#10;iSSW7csHBuOteb5QTGVuOXK/8oFC8xygUfhAkS8T3AomcWb8aR3OEeOI/yWegA4+wveRLBQWzvAu&#10;w1Z16dNon4P0FecgWd4EikkmL/JmUeEkQ6S3P6wtzwqEpoG1k6h1+xysBeBNKC+WlK9HofYYEqgs&#10;1woEaoXEKAdVU/McoDOYyE9RtNeIQBWcO5u4q2Hd1mpC07MAk2bVM5oauqWoXa1s98TxH9RoGlgt&#10;L7GcBje0dlD7emk+dTaJMcWGPc16jvusy+pUAJqXm0ba/HnKPDJ2jRnzheaRw5ZpzKN2GBgf2g7p&#10;W0CNHTPNqArKPGJkxIxIktr+X5o0jgxQZCpNfO8jREmJF00EMDZWW6Ktb2a/miujnQrtno7m+s6E&#10;liS6T4eE0/dQtH3bHu3rJTG239tu4MdJ8uU9h9/+cpIly+VRb8YEcp1FeH95M9o6kI+V91M4qHVq&#10;SdbVPtubESPQlptEs46EuXd3hlUDQ9GHBUjz0srFkc7zrPmJQo5XIs0o2JPsHoEj/nHJtwgnDYOD&#10;/9cuR2CS5juf4Z++NhTOa52Wj25/Vgo/BTX8GSBl46OMOdwZJhujo2okucZp4tNJGd5hMCWTX5I1&#10;wH6ByvUE2HBoKHinmtOkR7GGN8Wbo9KKqGA4uDOgRyEHcQ5Z9zwabpr26tIwcWIBsW8l3OdLaJ6D&#10;MpzRCmpYczyMIn/gEDRgj3kjY0oiYdYbQXd1KoMhaKczWsFHPRdqmVDdbihlUQb1y8iCHtQMNeHa&#10;UAAfh0woPdg8YTBQO8W0EjOltOIonm2IGhWiWALtbEDUEOEI4COj3NNxYmbZViBIg686qVq3zyRr&#10;FPaDi1+TtZQp4qyHYCeM84gqVHkD2zKucMB2SmuAbff9NAcKzhDjRlpHj2Pt8ewYsSihsXB71jSI&#10;BzEVvCYH/nTqt8F5xMA91xgxMYJBqd/gn5f2tBLWszCJnqF+I9CWKkuQTpbEEaK5Rsybi1gmPtVv&#10;e24aCPNWVPLFBbV1LEyFGpZWU1w7igVLTBxRT/0mSwuOUn9y2m7mUKB2p0wok+IwmXdrozpNjJeM&#10;EpepLNhA/0YZEp1I4Q9qu5mDgRrmkIOqZ2ZMiCxDrWVz0IE4+0jJEdKZgHscO8GT7k3mfFj6GHRs&#10;J9K6fY6hJRCXizJQRlTjkCOJRlCDqBNFSXHesA4tFhuYOn3fun0O1viBBMTzkSwmvextgh2crwxJ&#10;q04OPs+k1sIaP3ahoRaZSOl6LKxhdfuka/uEwQhrp6+siSKYrJeJCDXBKAMdRC0QHKYuKsqgxnZG&#10;fjpvHDw0T5lyF5Sh5jn8W8hMJk2KhRPpGKWD/BnVMP7axwuGop3BJ/g113YhJhnVIkKFERyWaIpG&#10;LahkXDYIFcJSOufyR9H2AYNB2u0PNdryZN5NYjqBzWygBqoClbSHYprhRxRIjntj3lpvCMkpilJ+&#10;To3M+pEmETU5RZEMaZRvEaPsMg6th1BzniIJwCPU9gmDoWq3UxTFW+fIaQ01VG5D1XCkoB7UBdT4&#10;ZUlY9N6o2j5hKFC7i7QqNM+GGtLaQI2oIwE/+5iqcRaCDr6gNlleITFwt6sMhZNnQY14YDjHjFNU&#10;4EgDv0Y2RFrETKUeM5zhk20fMBiito4ymxEJ39mzBO3MiDTZV6ODSpujRNRrEor0+G8j+0rogiNd&#10;flU/+2o42a7Pc5lV7eO1/drXy0ysYdZUV4emP4txn7/SInEy6q1qDOrH3K3u7446LfWuzo/b3fpT&#10;fs7773WVmVUhqm1V3hb1h/8BAAD//wMAUEsDBBQABgAIAAAAIQAYDQZs3QAAAAUBAAAPAAAAZHJz&#10;L2Rvd25yZXYueG1sTI9BS8NAEIXvgv9hGcGb3aTFENNsSinqqQi2gvQ2zU6T0OxsyG6T9N+7eqmX&#10;gcd7vPdNvppMKwbqXWNZQTyLQBCXVjdcKfjavz2lIJxH1thaJgVXcrAq7u9yzLQd+ZOGna9EKGGX&#10;oYLa+y6T0pU1GXQz2xEH72R7gz7IvpK6xzGUm1bOoyiRBhsOCzV2tKmpPO8uRsH7iON6Eb8O2/Np&#10;cz3snz++tzEp9fgwrZcgPE3+FoZf/IAORWA62gtrJ1oF4RH/d4OXzNMExFHBS5osQBa5/E9f/AAA&#10;AP//AwBQSwECLQAUAAYACAAAACEAtoM4kv4AAADhAQAAEwAAAAAAAAAAAAAAAAAAAAAAW0NvbnRl&#10;bnRfVHlwZXNdLnhtbFBLAQItABQABgAIAAAAIQA4/SH/1gAAAJQBAAALAAAAAAAAAAAAAAAAAC8B&#10;AABfcmVscy8ucmVsc1BLAQItABQABgAIAAAAIQBWtFlQqQwAAOWHAAAOAAAAAAAAAAAAAAAAAC4C&#10;AABkcnMvZTJvRG9jLnhtbFBLAQItABQABgAIAAAAIQAYDQZs3QAAAAUBAAAPAAAAAAAAAAAAAAAA&#10;AAMPAABkcnMvZG93bnJldi54bWxQSwUGAAAAAAQABADzAAAADRAAAAAA&#10;">
                <v:rect id="Rectangle 20788" o:spid="_x0000_s5375" style="position:absolute;left:19004;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PDMwwAAAN4AAAAPAAAAZHJzL2Rvd25yZXYueG1sRE/LisIw&#10;FN0L8w/hDsxO03GhpRpFHMQuZuMLXF6aa1ttbkITbWe+3iwEl4fzni9704gHtb62rOB7lIAgLqyu&#10;uVRwPGyGKQgfkDU2lknBH3lYLj4Gc8y07XhHj30oRQxhn6GCKgSXSemLigz6kXXEkbvY1mCIsC2l&#10;brGL4aaR4ySZSIM1x4YKHa0rKm77u1Fw/mGXbzpZXP7X7veap832fjwp9fXZr2YgAvXhLX65c61g&#10;nEzTuDfeiVdALp4AAAD//wMAUEsBAi0AFAAGAAgAAAAhANvh9svuAAAAhQEAABMAAAAAAAAAAAAA&#10;AAAAAAAAAFtDb250ZW50X1R5cGVzXS54bWxQSwECLQAUAAYACAAAACEAWvQsW78AAAAVAQAACwAA&#10;AAAAAAAAAAAAAAAfAQAAX3JlbHMvLnJlbHNQSwECLQAUAAYACAAAACEABLTwzMMAAADeAAAADwAA&#10;AAAAAAAAAAAAAAAHAgAAZHJzL2Rvd25yZXYueG1sUEsFBgAAAAADAAMAtwAAAPcCAAAAAA==&#10;" filled="f" stroked="f">
                  <v:textbox inset="0,0,0,0">
                    <w:txbxContent>
                      <w:p w14:paraId="047A507E" w14:textId="77777777" w:rsidR="00B32EF2" w:rsidRDefault="00000000">
                        <w:r>
                          <w:rPr>
                            <w:rFonts w:ascii="Times New Roman" w:eastAsia="Times New Roman" w:hAnsi="Times New Roman" w:cs="Times New Roman"/>
                          </w:rPr>
                          <w:t>40</w:t>
                        </w:r>
                      </w:p>
                    </w:txbxContent>
                  </v:textbox>
                </v:rect>
                <v:rect id="Rectangle 20789" o:spid="_x0000_s5376" style="position:absolute;left:17892;top:61199;width:220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VXxwAAAN4AAAAPAAAAZHJzL2Rvd25yZXYueG1sRI9Pa8JA&#10;FMTvBb/D8gRvdaOHNkZXEUWaQy/1D3h8ZJ9JNPt2ya4m9tN3C4Ueh5n5DbNY9aYRD2p9bVnBZJyA&#10;IC6srrlUcDzsXlMQPiBrbCyTgid5WC0HLwvMtO34ix77UIoIYZ+hgioEl0npi4oM+rF1xNG72NZg&#10;iLItpW6xi3DTyGmSvEmDNceFCh1tKipu+7tRcN6yy3edLC7fG/d5zdPm4348KTUa9us5iEB9+A//&#10;tXOtYJq8pzP4vROvgFz+AAAA//8DAFBLAQItABQABgAIAAAAIQDb4fbL7gAAAIUBAAATAAAAAAAA&#10;AAAAAAAAAAAAAABbQ29udGVudF9UeXBlc10ueG1sUEsBAi0AFAAGAAgAAAAhAFr0LFu/AAAAFQEA&#10;AAsAAAAAAAAAAAAAAAAAHwEAAF9yZWxzLy5yZWxzUEsBAi0AFAAGAAgAAAAhAGv4VVfHAAAA3gAA&#10;AA8AAAAAAAAAAAAAAAAABwIAAGRycy9kb3ducmV2LnhtbFBLBQYAAAAAAwADALcAAAD7AgAAAAA=&#10;" filled="f" stroked="f">
                  <v:textbox inset="0,0,0,0">
                    <w:txbxContent>
                      <w:p w14:paraId="23CF7C11" w14:textId="77777777" w:rsidR="00B32EF2" w:rsidRDefault="00000000">
                        <w:r>
                          <w:rPr>
                            <w:rFonts w:ascii="Arial" w:eastAsia="Arial" w:hAnsi="Arial" w:cs="Arial"/>
                            <w:sz w:val="18"/>
                          </w:rPr>
                          <w:t>del Presidente della Repubblica.</w:t>
                        </w:r>
                      </w:p>
                    </w:txbxContent>
                  </v:textbox>
                </v:rect>
                <v:rect id="Rectangle 201750" o:spid="_x0000_s5377" style="position:absolute;left:-13818;top:599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Ni2xwAAAN8AAAAPAAAAZHJzL2Rvd25yZXYueG1sRI/LasMw&#10;EEX3hfyDmEB2tZxA2+BaDiEh1Itumgd0OVjjR2uNhKXETr++WhS6vNwXJ99Mphc3GnxnWcEySUEQ&#10;V1Z33Cg4nw6PaxA+IGvsLZOCO3nYFLOHHDNtR/6g2zE0Io6wz1BBG4LLpPRVSwZ9Yh1x9Go7GAxR&#10;Do3UA45x3PRylabP0mDH8aFFR7uWqu/j1Sj43LMrD6Os6p+de/8q1/3b9XxRajGftq8gAk3hP/zX&#10;LrWCVbp8eYoEkSeygCx+AQAA//8DAFBLAQItABQABgAIAAAAIQDb4fbL7gAAAIUBAAATAAAAAAAA&#10;AAAAAAAAAAAAAABbQ29udGVudF9UeXBlc10ueG1sUEsBAi0AFAAGAAgAAAAhAFr0LFu/AAAAFQEA&#10;AAsAAAAAAAAAAAAAAAAAHwEAAF9yZWxzLy5yZWxzUEsBAi0AFAAGAAgAAAAhAGSs2LbHAAAA3wAA&#10;AA8AAAAAAAAAAAAAAAAABwIAAGRycy9kb3ducmV2LnhtbFBLBQYAAAAAAwADALcAAAD7AgAAAAA=&#10;" filled="f" stroked="f">
                  <v:textbox inset="0,0,0,0">
                    <w:txbxContent>
                      <w:p w14:paraId="057DC053" w14:textId="77777777" w:rsidR="00B32EF2" w:rsidRDefault="00000000">
                        <w:r>
                          <w:rPr>
                            <w:rFonts w:ascii="Arial" w:eastAsia="Arial" w:hAnsi="Arial" w:cs="Arial"/>
                            <w:sz w:val="18"/>
                          </w:rPr>
                          <w:t xml:space="preserve">. Appartengono altresì alla giurisdizione tributaria le controversie promosse </w:t>
                        </w:r>
                      </w:p>
                    </w:txbxContent>
                  </v:textbox>
                </v:rect>
                <v:rect id="Rectangle 201749" o:spid="_x0000_s5378" style="position:absolute;left:26109;top:599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f2yAAAAN8AAAAPAAAAZHJzL2Rvd25yZXYueG1sRI9Pa8JA&#10;FMTvgt9heUJvulGK2tRVikXMoRf/FHp8ZJ9J2uzbJbua6KfvCoLHYWZ+wyxWnanFhRpfWVYwHiUg&#10;iHOrKy4UHA+b4RyED8gaa8uk4EoeVst+b4Gpti3v6LIPhYgQ9ikqKENwqZQ+L8mgH1lHHL2TbQyG&#10;KJtC6gbbCDe1nCTJVBqsOC6U6GhdUv63PxsFP5/ssk0r89Nt7b5+s3m9PR+/lXoZdB/vIAJ14Rl+&#10;tDOtYJKMZ69vcP8Tv4Bc/gMAAP//AwBQSwECLQAUAAYACAAAACEA2+H2y+4AAACFAQAAEwAAAAAA&#10;AAAAAAAAAAAAAAAAW0NvbnRlbnRfVHlwZXNdLnhtbFBLAQItABQABgAIAAAAIQBa9CxbvwAAABUB&#10;AAALAAAAAAAAAAAAAAAAAB8BAABfcmVscy8ucmVsc1BLAQItABQABgAIAAAAIQBwT+f2yAAAAN8A&#10;AAAPAAAAAAAAAAAAAAAAAAcCAABkcnMvZG93bnJldi54bWxQSwUGAAAAAAMAAwC3AAAA/AIAAAAA&#10;" filled="f" stroked="f">
                  <v:textbox inset="0,0,0,0">
                    <w:txbxContent>
                      <w:p w14:paraId="1430F1F5" w14:textId="77777777" w:rsidR="00B32EF2" w:rsidRDefault="00000000">
                        <w:r>
                          <w:rPr>
                            <w:rFonts w:ascii="Arial" w:eastAsia="Arial" w:hAnsi="Arial" w:cs="Arial"/>
                            <w:sz w:val="18"/>
                          </w:rPr>
                          <w:t>2</w:t>
                        </w:r>
                      </w:p>
                    </w:txbxContent>
                  </v:textbox>
                </v:rect>
                <v:rect id="Rectangle 20791" o:spid="_x0000_s5379" style="position:absolute;left:-13172;top:58733;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8+MxwAAAN4AAAAPAAAAZHJzL2Rvd25yZXYueG1sRI9Pi8Iw&#10;FMTvC36H8ARva6qHXa1GEUW2By/rH/D4aJ5ttXkJTbTVT79ZWNjjMDO/YebLztTiQY2vLCsYDRMQ&#10;xLnVFRcKjoft+wSED8gaa8uk4Ekelove2xxTbVv+psc+FCJC2KeooAzBpVL6vCSDfmgdcfQutjEY&#10;omwKqRtsI9zUcpwkH9JgxXGhREfrkvLb/m4UnDfssm0r88tr7XbXbFJ/3Y8npQb9bjUDEagL/+G/&#10;dqYVjJPP6Qh+78QrIBc/AAAA//8DAFBLAQItABQABgAIAAAAIQDb4fbL7gAAAIUBAAATAAAAAAAA&#10;AAAAAAAAAAAAAABbQ29udGVudF9UeXBlc10ueG1sUEsBAi0AFAAGAAgAAAAhAFr0LFu/AAAAFQEA&#10;AAsAAAAAAAAAAAAAAAAAHwEAAF9yZWxzLy5yZWxzUEsBAi0AFAAGAAgAAAAhABBXz4zHAAAA3gAA&#10;AA8AAAAAAAAAAAAAAAAABwIAAGRycy9kb3ducmV2LnhtbFBLBQYAAAAAAwADALcAAAD7AgAAAAA=&#10;" filled="f" stroked="f">
                  <v:textbox inset="0,0,0,0">
                    <w:txbxContent>
                      <w:p w14:paraId="1ED827F5" w14:textId="77777777" w:rsidR="00B32EF2" w:rsidRDefault="00000000">
                        <w:r>
                          <w:rPr>
                            <w:rFonts w:ascii="Arial" w:eastAsia="Arial" w:hAnsi="Arial" w:cs="Arial"/>
                            <w:sz w:val="18"/>
                          </w:rPr>
                          <w:t xml:space="preserve">dai singoli possessori concernenti l’intestazione, la delimitazione, la figura, </w:t>
                        </w:r>
                      </w:p>
                    </w:txbxContent>
                  </v:textbox>
                </v:rect>
                <v:rect id="Rectangle 20792" o:spid="_x0000_s5380" style="position:absolute;left:-12203;top:57499;width:521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VH7xwAAAN4AAAAPAAAAZHJzL2Rvd25yZXYueG1sRI9Ba8JA&#10;FITvBf/D8gRvdWMOrY2uIoo0By+1Ch4f2WcSzb5dsquJ/vpuodDjMDPfMPNlbxpxp9bXlhVMxgkI&#10;4sLqmksFh+/t6xSED8gaG8uk4EEelovByxwzbTv+ovs+lCJC2GeooArBZVL6oiKDfmwdcfTOtjUY&#10;omxLqVvsItw0Mk2SN2mw5rhQoaN1RcV1fzMKTht2+baTxfm5drtLPm0+b4ejUqNhv5qBCNSH//Bf&#10;O9cK0uT9I4XfO/EKyMUPAAAA//8DAFBLAQItABQABgAIAAAAIQDb4fbL7gAAAIUBAAATAAAAAAAA&#10;AAAAAAAAAAAAAABbQ29udGVudF9UeXBlc10ueG1sUEsBAi0AFAAGAAgAAAAhAFr0LFu/AAAAFQEA&#10;AAsAAAAAAAAAAAAAAAAAHwEAAF9yZWxzLy5yZWxzUEsBAi0AFAAGAAgAAAAhAOCFUfvHAAAA3gAA&#10;AA8AAAAAAAAAAAAAAAAABwIAAGRycy9kb3ducmV2LnhtbFBLBQYAAAAAAwADALcAAAD7AgAAAAA=&#10;" filled="f" stroked="f">
                  <v:textbox inset="0,0,0,0">
                    <w:txbxContent>
                      <w:p w14:paraId="3C58276B" w14:textId="77777777" w:rsidR="00B32EF2" w:rsidRDefault="00000000">
                        <w:r>
                          <w:rPr>
                            <w:rFonts w:ascii="Arial" w:eastAsia="Arial" w:hAnsi="Arial" w:cs="Arial"/>
                            <w:sz w:val="18"/>
                          </w:rPr>
                          <w:t>l’estensione, il classamento dei terreni e la ripartizione dell’estimo fra i com</w:t>
                        </w:r>
                      </w:p>
                    </w:txbxContent>
                  </v:textbox>
                </v:rect>
                <v:rect id="Rectangle 20793" o:spid="_x0000_s5381" style="position:absolute;left:191;top:57499;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RgxwAAAN4AAAAPAAAAZHJzL2Rvd25yZXYueG1sRI9Ba8JA&#10;FITvQv/D8gredKNCtdFVRJHm4KXWQo+P7DOJZt8u2dWk/fVuQfA4zMw3zGLVmVrcqPGVZQWjYQKC&#10;OLe64kLB8Ws3mIHwAVljbZkU/JKH1fKlt8BU25Y/6XYIhYgQ9ikqKENwqZQ+L8mgH1pHHL2TbQyG&#10;KJtC6gbbCDe1HCfJmzRYcVwo0dGmpPxyuBoFP1t22a6V+elv4/bnbFZ/XI/fSvVfu/UcRKAuPMOP&#10;dqYVjJPp+wT+78QrIJd3AAAA//8DAFBLAQItABQABgAIAAAAIQDb4fbL7gAAAIUBAAATAAAAAAAA&#10;AAAAAAAAAAAAAABbQ29udGVudF9UeXBlc10ueG1sUEsBAi0AFAAGAAgAAAAhAFr0LFu/AAAAFQEA&#10;AAsAAAAAAAAAAAAAAAAAHwEAAF9yZWxzLy5yZWxzUEsBAi0AFAAGAAgAAAAhAI/J9GDHAAAA3gAA&#10;AA8AAAAAAAAAAAAAAAAABwIAAGRycy9kb3ducmV2LnhtbFBLBQYAAAAAAwADALcAAAD7AgAAAAA=&#10;" filled="f" stroked="f">
                  <v:textbox inset="0,0,0,0">
                    <w:txbxContent>
                      <w:p w14:paraId="4C6A99D7" w14:textId="77777777" w:rsidR="00B32EF2" w:rsidRDefault="00000000">
                        <w:r>
                          <w:rPr>
                            <w:rFonts w:ascii="Arial" w:eastAsia="Arial" w:hAnsi="Arial" w:cs="Arial"/>
                            <w:sz w:val="18"/>
                          </w:rPr>
                          <w:t>-</w:t>
                        </w:r>
                      </w:p>
                    </w:txbxContent>
                  </v:textbox>
                </v:rect>
                <v:rect id="Rectangle 20794" o:spid="_x0000_s5382" style="position:absolute;left:-12289;top:56266;width:522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GwUxwAAAN4AAAAPAAAAZHJzL2Rvd25yZXYueG1sRI9Ba8JA&#10;FITvQv/D8gredKNItdFVRJHm4KXWQo+P7DOJZt8u2dWk/fVuQfA4zMw3zGLVmVrcqPGVZQWjYQKC&#10;OLe64kLB8Ws3mIHwAVljbZkU/JKH1fKlt8BU25Y/6XYIhYgQ9ikqKENwqZQ+L8mgH1pHHL2TbQyG&#10;KJtC6gbbCDe1HCfJmzRYcVwo0dGmpPxyuBoFP1t22a6V+elv4/bnbFZ/XI/fSvVfu/UcRKAuPMOP&#10;dqYVjJPp+wT+78QrIJd3AAAA//8DAFBLAQItABQABgAIAAAAIQDb4fbL7gAAAIUBAAATAAAAAAAA&#10;AAAAAAAAAAAAAABbQ29udGVudF9UeXBlc10ueG1sUEsBAi0AFAAGAAgAAAAhAFr0LFu/AAAAFQEA&#10;AAsAAAAAAAAAAAAAAAAAHwEAAF9yZWxzLy5yZWxzUEsBAi0AFAAGAAgAAAAhAAAgbBTHAAAA3gAA&#10;AA8AAAAAAAAAAAAAAAAABwIAAGRycy9kb3ducmV2LnhtbFBLBQYAAAAAAwADALcAAAD7AgAAAAA=&#10;" filled="f" stroked="f">
                  <v:textbox inset="0,0,0,0">
                    <w:txbxContent>
                      <w:p w14:paraId="07A8C1F7" w14:textId="77777777" w:rsidR="00B32EF2" w:rsidRDefault="00000000">
                        <w:r>
                          <w:rPr>
                            <w:rFonts w:ascii="Arial" w:eastAsia="Arial" w:hAnsi="Arial" w:cs="Arial"/>
                            <w:sz w:val="18"/>
                          </w:rPr>
                          <w:t>possessori a titolo di promiscuità di una stessa particella, nonché le controver</w:t>
                        </w:r>
                      </w:p>
                    </w:txbxContent>
                  </v:textbox>
                </v:rect>
                <v:rect id="Rectangle 20795" o:spid="_x0000_s5383" style="position:absolute;left:191;top:56266;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MmPxwAAAN4AAAAPAAAAZHJzL2Rvd25yZXYueG1sRI9Ba8JA&#10;FITvQv/D8gredKNgtdFVRJHm4KXWQo+P7DOJZt8u2dWk/fVuQfA4zMw3zGLVmVrcqPGVZQWjYQKC&#10;OLe64kLB8Ws3mIHwAVljbZkU/JKH1fKlt8BU25Y/6XYIhYgQ9ikqKENwqZQ+L8mgH1pHHL2TbQyG&#10;KJtC6gbbCDe1HCfJmzRYcVwo0dGmpPxyuBoFP1t22a6V+elv4/bnbFZ/XI/fSvVfu/UcRKAuPMOP&#10;dqYVjJPp+wT+78QrIJd3AAAA//8DAFBLAQItABQABgAIAAAAIQDb4fbL7gAAAIUBAAATAAAAAAAA&#10;AAAAAAAAAAAAAABbQ29udGVudF9UeXBlc10ueG1sUEsBAi0AFAAGAAgAAAAhAFr0LFu/AAAAFQEA&#10;AAsAAAAAAAAAAAAAAAAAHwEAAF9yZWxzLy5yZWxzUEsBAi0AFAAGAAgAAAAhAG9syY/HAAAA3gAA&#10;AA8AAAAAAAAAAAAAAAAABwIAAGRycy9kb3ducmV2LnhtbFBLBQYAAAAAAwADALcAAAD7AgAAAAA=&#10;" filled="f" stroked="f">
                  <v:textbox inset="0,0,0,0">
                    <w:txbxContent>
                      <w:p w14:paraId="76A1030B" w14:textId="77777777" w:rsidR="00B32EF2" w:rsidRDefault="00000000">
                        <w:r>
                          <w:rPr>
                            <w:rFonts w:ascii="Arial" w:eastAsia="Arial" w:hAnsi="Arial" w:cs="Arial"/>
                            <w:sz w:val="18"/>
                          </w:rPr>
                          <w:t>-</w:t>
                        </w:r>
                      </w:p>
                    </w:txbxContent>
                  </v:textbox>
                </v:rect>
                <v:rect id="Rectangle 20796" o:spid="_x0000_s5384" style="position:absolute;left:-13172;top:550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lf4xwAAAN4AAAAPAAAAZHJzL2Rvd25yZXYueG1sRI9Pi8Iw&#10;FMTvC36H8ARva7oeXK1GWRSxBy/rH/D4aJ5ttXkJTbTVT79ZWNjjMDO/YebLztTiQY2vLCv4GCYg&#10;iHOrKy4UHA+b9wkIH5A11pZJwZM8LBe9tzmm2rb8TY99KESEsE9RQRmCS6X0eUkG/dA64uhdbGMw&#10;RNkUUjfYRrip5ShJxtJgxXGhREerkvLb/m4UnNfssk0r88tr5XbXbFJv78eTUoN+9zUDEagL/+G/&#10;dqYVjJLP6Rh+78QrIBc/AAAA//8DAFBLAQItABQABgAIAAAAIQDb4fbL7gAAAIUBAAATAAAAAAAA&#10;AAAAAAAAAAAAAABbQ29udGVudF9UeXBlc10ueG1sUEsBAi0AFAAGAAgAAAAhAFr0LFu/AAAAFQEA&#10;AAsAAAAAAAAAAAAAAAAAHwEAAF9yZWxzLy5yZWxzUEsBAi0AFAAGAAgAAAAhAJ++V/jHAAAA3gAA&#10;AA8AAAAAAAAAAAAAAAAABwIAAGRycy9kb3ducmV2LnhtbFBLBQYAAAAAAwADALcAAAD7AgAAAAA=&#10;" filled="f" stroked="f">
                  <v:textbox inset="0,0,0,0">
                    <w:txbxContent>
                      <w:p w14:paraId="5B542ECB" w14:textId="77777777" w:rsidR="00B32EF2" w:rsidRDefault="00000000">
                        <w:r>
                          <w:rPr>
                            <w:rFonts w:ascii="Arial" w:eastAsia="Arial" w:hAnsi="Arial" w:cs="Arial"/>
                            <w:sz w:val="18"/>
                          </w:rPr>
                          <w:t xml:space="preserve">sie concernenti la consistenza, il classamento delle singole unità immobiliari </w:t>
                        </w:r>
                      </w:p>
                    </w:txbxContent>
                  </v:textbox>
                </v:rect>
                <v:rect id="Rectangle 20797" o:spid="_x0000_s5385" style="position:absolute;left:-13171;top:53799;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vJjxwAAAN4AAAAPAAAAZHJzL2Rvd25yZXYueG1sRI9Lb8Iw&#10;EITvlfgP1iJxK0458AgYVFGh5tALL4njKl6SQLy2YkMCv75GqtTjaGa+0SxWnanFnRpfWVbwMUxA&#10;EOdWV1woOOw371MQPiBrrC2Tggd5WC17bwtMtW15S/ddKESEsE9RQRmCS6X0eUkG/dA64uidbWMw&#10;RNkUUjfYRrip5ShJxtJgxXGhREfrkvLr7mYUnL7YZZtW5ufn2v1csmn9fTsclRr0u885iEBd+A//&#10;tTOtYJRMZhN43YlXQC5/AQAA//8DAFBLAQItABQABgAIAAAAIQDb4fbL7gAAAIUBAAATAAAAAAAA&#10;AAAAAAAAAAAAAABbQ29udGVudF9UeXBlc10ueG1sUEsBAi0AFAAGAAgAAAAhAFr0LFu/AAAAFQEA&#10;AAsAAAAAAAAAAAAAAAAAHwEAAF9yZWxzLy5yZWxzUEsBAi0AFAAGAAgAAAAhAPDy8mPHAAAA3gAA&#10;AA8AAAAAAAAAAAAAAAAABwIAAGRycy9kb3ducmV2LnhtbFBLBQYAAAAAAwADALcAAAD7AgAAAAA=&#10;" filled="f" stroked="f">
                  <v:textbox inset="0,0,0,0">
                    <w:txbxContent>
                      <w:p w14:paraId="13809728" w14:textId="77777777" w:rsidR="00B32EF2" w:rsidRDefault="00000000">
                        <w:r>
                          <w:rPr>
                            <w:rFonts w:ascii="Arial" w:eastAsia="Arial" w:hAnsi="Arial" w:cs="Arial"/>
                            <w:sz w:val="18"/>
                          </w:rPr>
                          <w:t xml:space="preserve">urbane e l’attribuzione della rendita catastale. Appartengono alla giurisdizione </w:t>
                        </w:r>
                      </w:p>
                    </w:txbxContent>
                  </v:textbox>
                </v:rect>
                <v:rect id="Rectangle 20798" o:spid="_x0000_s5386" style="position:absolute;left:-13172;top:525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WYRxQAAAN4AAAAPAAAAZHJzL2Rvd25yZXYueG1sRE89b8Iw&#10;EN2R+h+sq9QNnGYoNMWgKhVqBpYGKnU8xUcSiM9WbJLAr6+HSh2f3vd6O5lODNT71rKC50UCgriy&#10;uuVawfGwm69A+ICssbNMCm7kYbt5mK0x03bkLxrKUIsYwj5DBU0ILpPSVw0Z9AvriCN3sr3BEGFf&#10;S93jGMNNJ9MkeZEGW44NDTrKG6ou5dUo+PlgV+xGWZ3uudufi1X3eT1+K/X0OL2/gQg0hX/xn7vQ&#10;CtJk+Rr3xjvxCsjNLwAAAP//AwBQSwECLQAUAAYACAAAACEA2+H2y+4AAACFAQAAEwAAAAAAAAAA&#10;AAAAAAAAAAAAW0NvbnRlbnRfVHlwZXNdLnhtbFBLAQItABQABgAIAAAAIQBa9CxbvwAAABUBAAAL&#10;AAAAAAAAAAAAAAAAAB8BAABfcmVscy8ucmVsc1BLAQItABQABgAIAAAAIQCBbWYRxQAAAN4AAAAP&#10;AAAAAAAAAAAAAAAAAAcCAABkcnMvZG93bnJldi54bWxQSwUGAAAAAAMAAwC3AAAA+QIAAAAA&#10;" filled="f" stroked="f">
                  <v:textbox inset="0,0,0,0">
                    <w:txbxContent>
                      <w:p w14:paraId="237E0BD1" w14:textId="77777777" w:rsidR="00B32EF2" w:rsidRDefault="00000000">
                        <w:r>
                          <w:rPr>
                            <w:rFonts w:ascii="Arial" w:eastAsia="Arial" w:hAnsi="Arial" w:cs="Arial"/>
                            <w:sz w:val="18"/>
                          </w:rPr>
                          <w:t xml:space="preserve">tributaria anche le controversie attinenti l’imposta o il canone comunale sulla </w:t>
                        </w:r>
                      </w:p>
                    </w:txbxContent>
                  </v:textbox>
                </v:rect>
                <v:rect id="Rectangle 20799" o:spid="_x0000_s5387" style="position:absolute;left:9261;top:51333;width:306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cOKxwAAAN4AAAAPAAAAZHJzL2Rvd25yZXYueG1sRI9Pi8Iw&#10;FMTvgt8hPGFvmq6HXa1GWRSxh72sf8Djo3m21eYlNNFWP/1mYcHjMDO/YebLztTiTo2vLCt4HyUg&#10;iHOrKy4UHPab4QSED8gaa8uk4EEelot+b46pti3/0H0XChEh7FNUUIbgUil9XpJBP7KOOHpn2xgM&#10;UTaF1A22EW5qOU6SD2mw4rhQoqNVSfl1dzMKTmt22aaV+fm5ct+XbFJvb4ejUm+D7msGIlAXXuH/&#10;dqYVjJPP6RT+7sQrIBe/AAAA//8DAFBLAQItABQABgAIAAAAIQDb4fbL7gAAAIUBAAATAAAAAAAA&#10;AAAAAAAAAAAAAABbQ29udGVudF9UeXBlc10ueG1sUEsBAi0AFAAGAAgAAAAhAFr0LFu/AAAAFQEA&#10;AAsAAAAAAAAAAAAAAAAAHwEAAF9yZWxzLy5yZWxzUEsBAi0AFAAGAAgAAAAhAO4hw4rHAAAA3gAA&#10;AA8AAAAAAAAAAAAAAAAABwIAAGRycy9kb3ducmV2LnhtbFBLBQYAAAAAAwADALcAAAD7AgAAAAA=&#10;" filled="f" stroked="f">
                  <v:textbox inset="0,0,0,0">
                    <w:txbxContent>
                      <w:p w14:paraId="287420F9" w14:textId="77777777" w:rsidR="00B32EF2" w:rsidRDefault="00000000">
                        <w:r>
                          <w:rPr>
                            <w:rFonts w:ascii="Arial" w:eastAsia="Arial" w:hAnsi="Arial" w:cs="Arial"/>
                            <w:sz w:val="18"/>
                          </w:rPr>
                          <w:t>pubblicità e il diritto sulle pubbliche affissioni.</w:t>
                        </w:r>
                      </w:p>
                    </w:txbxContent>
                  </v:textbox>
                </v:rect>
                <v:rect id="Rectangle 201748" o:spid="_x0000_s5388" style="position:absolute;left:-13817;top:500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0JtxQAAAN8AAAAPAAAAZHJzL2Rvd25yZXYueG1sRE/JasMw&#10;EL0X8g9iArnVckJpg2s5hIRQH3ppFuhxsMZLa42EpcROv746FHp8vD3fTKYXNxp8Z1nBMklBEFdW&#10;d9woOJ8Oj2sQPiBr7C2Tgjt52BSzhxwzbUf+oNsxNCKGsM9QQRuCy6T0VUsGfWIdceRqOxgMEQ6N&#10;1AOOMdz0cpWmz9Jgx7GhRUe7lqrv49Uo+NyzKw+jrOqfnXv/Ktf92/V8UWoxn7avIAJN4V/85y61&#10;glW6fHmKg+Of+AVk8QsAAP//AwBQSwECLQAUAAYACAAAACEA2+H2y+4AAACFAQAAEwAAAAAAAAAA&#10;AAAAAAAAAAAAW0NvbnRlbnRfVHlwZXNdLnhtbFBLAQItABQABgAIAAAAIQBa9CxbvwAAABUBAAAL&#10;AAAAAAAAAAAAAAAAAB8BAABfcmVscy8ucmVsc1BLAQItABQABgAIAAAAIQAfA0JtxQAAAN8AAAAP&#10;AAAAAAAAAAAAAAAAAAcCAABkcnMvZG93bnJldi54bWxQSwUGAAAAAAMAAwC3AAAA+QIAAAAA&#10;" filled="f" stroked="f">
                  <v:textbox inset="0,0,0,0">
                    <w:txbxContent>
                      <w:p w14:paraId="4B9D0B54" w14:textId="77777777" w:rsidR="00B32EF2" w:rsidRDefault="00000000">
                        <w:r>
                          <w:rPr>
                            <w:rFonts w:ascii="Arial" w:eastAsia="Arial" w:hAnsi="Arial" w:cs="Arial"/>
                            <w:sz w:val="18"/>
                          </w:rPr>
                          <w:t xml:space="preserve">. Il giudice tributario risolve in via incidentale ogni questione da cui dipende </w:t>
                        </w:r>
                      </w:p>
                    </w:txbxContent>
                  </v:textbox>
                </v:rect>
                <v:rect id="Rectangle 201747" o:spid="_x0000_s5389" style="position:absolute;left:26109;top:500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NYfxwAAAN8AAAAPAAAAZHJzL2Rvd25yZXYueG1sRI9Ba8JA&#10;FITvgv9heUJvulGKSnQVUcQcvGgt9PjIPpNo9u2SXU3aX+8WCj0OM/MNs1x3phZPanxlWcF4lIAg&#10;zq2uuFBw+dgP5yB8QNZYWyYF3+Rhver3lphq2/KJnudQiAhhn6KCMgSXSunzkgz6kXXE0bvaxmCI&#10;simkbrCNcFPLSZJMpcGK40KJjrYl5ffzwyj42rHL9q3Mrz9bd7xl8/rwuHwq9TboNgsQgbrwH/5r&#10;Z1rBJBnP3mfw+yd+Abl6AQAA//8DAFBLAQItABQABgAIAAAAIQDb4fbL7gAAAIUBAAATAAAAAAAA&#10;AAAAAAAAAAAAAABbQ29udGVudF9UeXBlc10ueG1sUEsBAi0AFAAGAAgAAAAhAFr0LFu/AAAAFQEA&#10;AAsAAAAAAAAAAAAAAAAAHwEAAF9yZWxzLy5yZWxzUEsBAi0AFAAGAAgAAAAhAG6c1h/HAAAA3wAA&#10;AA8AAAAAAAAAAAAAAAAABwIAAGRycy9kb3ducmV2LnhtbFBLBQYAAAAAAwADALcAAAD7AgAAAAA=&#10;" filled="f" stroked="f">
                  <v:textbox inset="0,0,0,0">
                    <w:txbxContent>
                      <w:p w14:paraId="3C50FFA8" w14:textId="77777777" w:rsidR="00B32EF2" w:rsidRDefault="00000000">
                        <w:r>
                          <w:rPr>
                            <w:rFonts w:ascii="Arial" w:eastAsia="Arial" w:hAnsi="Arial" w:cs="Arial"/>
                            <w:sz w:val="18"/>
                          </w:rPr>
                          <w:t>3</w:t>
                        </w:r>
                      </w:p>
                    </w:txbxContent>
                  </v:textbox>
                </v:rect>
                <v:rect id="Rectangle 20801" o:spid="_x0000_s5390" style="position:absolute;left:-12191;top:48866;width:521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c5dxgAAAN4AAAAPAAAAZHJzL2Rvd25yZXYueG1sRI9BawIx&#10;FITvgv8hPKE3TfRQlq1RikW6h160Cj0+Ns/d1c1L2ER39debQqHHYWa+YZbrwbbiRl1oHGuYzxQI&#10;4tKZhisNh+/tNAMRIrLB1jFpuFOA9Wo8WmJuXM87uu1jJRKEQ44a6hh9LmUoa7IYZs4TJ+/kOosx&#10;ya6SpsM+wW0rF0q9SosNp4UaPW1qKi/7q9Xw88G+2PayPD02/utcZO3n9XDU+mUyvL+BiDTE//Bf&#10;uzAaFipTc/i9k66AXD0BAAD//wMAUEsBAi0AFAAGAAgAAAAhANvh9svuAAAAhQEAABMAAAAAAAAA&#10;AAAAAAAAAAAAAFtDb250ZW50X1R5cGVzXS54bWxQSwECLQAUAAYACAAAACEAWvQsW78AAAAVAQAA&#10;CwAAAAAAAAAAAAAAAAAfAQAAX3JlbHMvLnJlbHNQSwECLQAUAAYACAAAACEADunOXcYAAADeAAAA&#10;DwAAAAAAAAAAAAAAAAAHAgAAZHJzL2Rvd25yZXYueG1sUEsFBgAAAAADAAMAtwAAAPoCAAAAAA==&#10;" filled="f" stroked="f">
                  <v:textbox inset="0,0,0,0">
                    <w:txbxContent>
                      <w:p w14:paraId="04F18ADF" w14:textId="77777777" w:rsidR="00B32EF2" w:rsidRDefault="00000000">
                        <w:r>
                          <w:rPr>
                            <w:rFonts w:ascii="Arial" w:eastAsia="Arial" w:hAnsi="Arial" w:cs="Arial"/>
                            <w:sz w:val="18"/>
                          </w:rPr>
                          <w:t>la decisione delle controversie rientranti nella propria giurisdizione, fatta ecce</w:t>
                        </w:r>
                      </w:p>
                    </w:txbxContent>
                  </v:textbox>
                </v:rect>
                <v:rect id="Rectangle 20802" o:spid="_x0000_s5391" style="position:absolute;left:191;top:48866;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AqxgAAAN4AAAAPAAAAZHJzL2Rvd25yZXYueG1sRI9Ba8JA&#10;FITvBf/D8gRvddccJKSuIoo0h15qLfT4yD6T1OzbJbuatL++Kwg9DjPzDbPajLYTN+pD61jDYq5A&#10;EFfOtFxrOH0cnnMQISIb7ByThh8KsFlPnlZYGDfwO92OsRYJwqFADU2MvpAyVA1ZDHPniZN3dr3F&#10;mGRfS9PjkOC2k5lSS2mx5bTQoKddQ9XleLUavvbsy8Mgq/Pvzr99l3n3ej19aj2bjtsXEJHG+B9+&#10;tEujIVO5yuB+J10Buf4DAAD//wMAUEsBAi0AFAAGAAgAAAAhANvh9svuAAAAhQEAABMAAAAAAAAA&#10;AAAAAAAAAAAAAFtDb250ZW50X1R5cGVzXS54bWxQSwECLQAUAAYACAAAACEAWvQsW78AAAAVAQAA&#10;CwAAAAAAAAAAAAAAAAAfAQAAX3JlbHMvLnJlbHNQSwECLQAUAAYACAAAACEA/jtQKsYAAADeAAAA&#10;DwAAAAAAAAAAAAAAAAAHAgAAZHJzL2Rvd25yZXYueG1sUEsFBgAAAAADAAMAtwAAAPoCAAAAAA==&#10;" filled="f" stroked="f">
                  <v:textbox inset="0,0,0,0">
                    <w:txbxContent>
                      <w:p w14:paraId="7BA5868E" w14:textId="77777777" w:rsidR="00B32EF2" w:rsidRDefault="00000000">
                        <w:r>
                          <w:rPr>
                            <w:rFonts w:ascii="Arial" w:eastAsia="Arial" w:hAnsi="Arial" w:cs="Arial"/>
                            <w:sz w:val="18"/>
                          </w:rPr>
                          <w:t>-</w:t>
                        </w:r>
                      </w:p>
                    </w:txbxContent>
                  </v:textbox>
                </v:rect>
                <v:rect id="Rectangle 20803" o:spid="_x0000_s5392" style="position:absolute;left:-13172;top:476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xxgAAAN4AAAAPAAAAZHJzL2Rvd25yZXYueG1sRI9BawIx&#10;FITvBf9DeEJvNdGCLFujiEW6h160Cj0+Ns/d1c1L2ER321/fCEKPw8x8wyxWg23FjbrQONYwnSgQ&#10;xKUzDVcaDl/blwxEiMgGW8ek4YcCrJajpwXmxvW8o9s+ViJBOOSooY7R51KGsiaLYeI8cfJOrrMY&#10;k+wqaTrsE9y2cqbUXFpsOC3U6GlTU3nZX62G73f2xbaX5el34z/PRdZ+XA9HrZ/Hw/oNRKQh/ocf&#10;7cJomKlMvcL9TroCcvkHAAD//wMAUEsBAi0AFAAGAAgAAAAhANvh9svuAAAAhQEAABMAAAAAAAAA&#10;AAAAAAAAAAAAAFtDb250ZW50X1R5cGVzXS54bWxQSwECLQAUAAYACAAAACEAWvQsW78AAAAVAQAA&#10;CwAAAAAAAAAAAAAAAAAfAQAAX3JlbHMvLnJlbHNQSwECLQAUAAYACAAAACEAkXf1scYAAADeAAAA&#10;DwAAAAAAAAAAAAAAAAAHAgAAZHJzL2Rvd25yZXYueG1sUEsFBgAAAAADAAMAtwAAAPoCAAAAAA==&#10;" filled="f" stroked="f">
                  <v:textbox inset="0,0,0,0">
                    <w:txbxContent>
                      <w:p w14:paraId="50EA6E19" w14:textId="77777777" w:rsidR="00B32EF2" w:rsidRDefault="00000000">
                        <w:r>
                          <w:rPr>
                            <w:rFonts w:ascii="Arial" w:eastAsia="Arial" w:hAnsi="Arial" w:cs="Arial"/>
                            <w:sz w:val="18"/>
                          </w:rPr>
                          <w:t xml:space="preserve">zione per le questioni in materia di querela di falso e sullo stato o la capacità </w:t>
                        </w:r>
                      </w:p>
                    </w:txbxContent>
                  </v:textbox>
                </v:rect>
                <v:rect id="Rectangle 20804" o:spid="_x0000_s5393" style="position:absolute;left:1891;top:46400;width:3802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m3FxgAAAN4AAAAPAAAAZHJzL2Rvd25yZXYueG1sRI9BawIx&#10;FITvBf9DeEJvNVGKLFujiEW6h160Cj0+Ns/d1c1L2ER321/fCEKPw8x8wyxWg23FjbrQONYwnSgQ&#10;xKUzDVcaDl/blwxEiMgGW8ek4YcCrJajpwXmxvW8o9s+ViJBOOSooY7R51KGsiaLYeI8cfJOrrMY&#10;k+wqaTrsE9y2cqbUXFpsOC3U6GlTU3nZX62G73f2xbaX5el34z/PRdZ+XA9HrZ/Hw/oNRKQh/ocf&#10;7cJomKlMvcL9TroCcvkHAAD//wMAUEsBAi0AFAAGAAgAAAAhANvh9svuAAAAhQEAABMAAAAAAAAA&#10;AAAAAAAAAAAAAFtDb250ZW50X1R5cGVzXS54bWxQSwECLQAUAAYACAAAACEAWvQsW78AAAAVAQAA&#10;CwAAAAAAAAAAAAAAAAAfAQAAX3JlbHMvLnJlbHNQSwECLQAUAAYACAAAACEAHp5txcYAAADeAAAA&#10;DwAAAAAAAAAAAAAAAAAHAgAAZHJzL2Rvd25yZXYueG1sUEsFBgAAAAADAAMAtwAAAPoCAAAAAA==&#10;" filled="f" stroked="f">
                  <v:textbox inset="0,0,0,0">
                    <w:txbxContent>
                      <w:p w14:paraId="126CF829" w14:textId="77777777" w:rsidR="00B32EF2" w:rsidRDefault="00000000">
                        <w:r>
                          <w:rPr>
                            <w:rFonts w:ascii="Arial" w:eastAsia="Arial" w:hAnsi="Arial" w:cs="Arial"/>
                            <w:sz w:val="18"/>
                          </w:rPr>
                          <w:t>delle persone, diversa dalla capacità di stare in giudizio.</w:t>
                        </w:r>
                      </w:p>
                    </w:txbxContent>
                  </v:textbox>
                </v:rect>
                <v:rect id="Rectangle 20805" o:spid="_x0000_s5394" style="position:absolute;left:15100;top:16796;width:80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shexgAAAN4AAAAPAAAAZHJzL2Rvd25yZXYueG1sRI9BawIx&#10;FITvBf9DeEJvNVGoLFujiEW6h160Cj0+Ns/d1c1L2ER321/fCEKPw8x8wyxWg23FjbrQONYwnSgQ&#10;xKUzDVcaDl/blwxEiMgGW8ek4YcCrJajpwXmxvW8o9s+ViJBOOSooY7R51KGsiaLYeI8cfJOrrMY&#10;k+wqaTrsE9y2cqbUXFpsOC3U6GlTU3nZX62G73f2xbaX5el34z/PRdZ+XA9HrZ/Hw/oNRKQh/ocf&#10;7cJomKlMvcL9TroCcvkHAAD//wMAUEsBAi0AFAAGAAgAAAAhANvh9svuAAAAhQEAABMAAAAAAAAA&#10;AAAAAAAAAAAAAFtDb250ZW50X1R5cGVzXS54bWxQSwECLQAUAAYACAAAACEAWvQsW78AAAAVAQAA&#10;CwAAAAAAAAAAAAAAAAAfAQAAX3JlbHMvLnJlbHNQSwECLQAUAAYACAAAACEAcdLIXsYAAADeAAAA&#10;DwAAAAAAAAAAAAAAAAAHAgAAZHJzL2Rvd25yZXYueG1sUEsFBgAAAAADAAMAtwAAAPoCAAAAAA==&#10;" filled="f" stroked="f">
                  <v:textbox inset="0,0,0,0">
                    <w:txbxContent>
                      <w:p w14:paraId="32E8F8CF" w14:textId="77777777" w:rsidR="00B32EF2" w:rsidRDefault="00000000">
                        <w:r>
                          <w:rPr>
                            <w:rFonts w:ascii="Arial" w:eastAsia="Arial" w:hAnsi="Arial" w:cs="Arial"/>
                            <w:b/>
                            <w:sz w:val="18"/>
                          </w:rPr>
                          <w:t>Articolo 47</w:t>
                        </w:r>
                      </w:p>
                    </w:txbxContent>
                  </v:textbox>
                </v:rect>
                <v:rect id="Rectangle 201739" o:spid="_x0000_s5395" style="position:absolute;left:-4841;top:15563;width:2103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ZSLyAAAAN8AAAAPAAAAZHJzL2Rvd25yZXYueG1sRI9Pa8JA&#10;FMTvgt9heUJvutGC2tRVikXMoRf/FHp8ZJ9J2uzbJbua6KfvCoLHYWZ+wyxWnanFhRpfWVYwHiUg&#10;iHOrKy4UHA+b4RyED8gaa8uk4EoeVst+b4Gpti3v6LIPhYgQ9ikqKENwqZQ+L8mgH1lHHL2TbQyG&#10;KJtC6gbbCDe1nCTJVBqsOC6U6GhdUv63PxsFP5/ssk0r89Nt7b5+s3m9PR+/lXoZdB/vIAJ14Rl+&#10;tDOtYJKMZ69vcP8Tv4Bc/gMAAP//AwBQSwECLQAUAAYACAAAACEA2+H2y+4AAACFAQAAEwAAAAAA&#10;AAAAAAAAAAAAAAAAW0NvbnRlbnRfVHlwZXNdLnhtbFBLAQItABQABgAIAAAAIQBa9CxbvwAAABUB&#10;AAALAAAAAAAAAAAAAAAAAB8BAABfcmVscy8ucmVsc1BLAQItABQABgAIAAAAIQAoSZSLyAAAAN8A&#10;AAAPAAAAAAAAAAAAAAAAAAcCAABkcnMvZG93bnJldi54bWxQSwUGAAAAAAMAAwC3AAAA/AIAAAAA&#10;" filled="f" stroked="f">
                  <v:textbox inset="0,0,0,0">
                    <w:txbxContent>
                      <w:p w14:paraId="7CCA8FEC" w14:textId="77777777" w:rsidR="00B32EF2" w:rsidRDefault="00000000">
                        <w:r>
                          <w:rPr>
                            <w:rFonts w:ascii="Arial" w:eastAsia="Arial" w:hAnsi="Arial" w:cs="Arial"/>
                            <w:i/>
                            <w:sz w:val="18"/>
                          </w:rPr>
                          <w:t>546/92)</w:t>
                        </w:r>
                      </w:p>
                    </w:txbxContent>
                  </v:textbox>
                </v:rect>
                <v:rect id="Rectangle 201740" o:spid="_x0000_s5396" style="position:absolute;left:10623;top:15563;width:2103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U5rxwAAAN8AAAAPAAAAZHJzL2Rvd25yZXYueG1sRI/LasMw&#10;EEX3hfyDmEB2tZxQ2uBaDiEh1Itumgd0OVjjR2uNhKXETr++WhS6vNwXJ99Mphc3GnxnWcEySUEQ&#10;V1Z33Cg4nw6PaxA+IGvsLZOCO3nYFLOHHDNtR/6g2zE0Io6wz1BBG4LLpPRVSwZ9Yh1x9Go7GAxR&#10;Do3UA45x3PRylabP0mDH8aFFR7uWqu/j1Sj43LMrD6Os6p+de/8q1/3b9XxRajGftq8gAk3hP/zX&#10;LrWCVbp8eYoEkSeygCx+AQAA//8DAFBLAQItABQABgAIAAAAIQDb4fbL7gAAAIUBAAATAAAAAAAA&#10;AAAAAAAAAAAAAABbQ29udGVudF9UeXBlc10ueG1sUEsBAi0AFAAGAAgAAAAhAFr0LFu/AAAAFQEA&#10;AAsAAAAAAAAAAAAAAAAAHwEAAF9yZWxzLy5yZWxzUEsBAi0AFAAGAAgAAAAhAOF1TmvHAAAA3wAA&#10;AA8AAAAAAAAAAAAAAAAABwIAAGRycy9kb3ducmV2LnhtbFBLBQYAAAAAAwADALcAAAD7AgAAAAA=&#10;" filled="f" stroked="f">
                  <v:textbox inset="0,0,0,0">
                    <w:txbxContent>
                      <w:p w14:paraId="61281931" w14:textId="77777777" w:rsidR="00B32EF2" w:rsidRDefault="00000000">
                        <w:r>
                          <w:rPr>
                            <w:rFonts w:ascii="Arial" w:eastAsia="Arial" w:hAnsi="Arial" w:cs="Arial"/>
                            <w:i/>
                            <w:sz w:val="18"/>
                          </w:rPr>
                          <w:t xml:space="preserve">articolo 3 del D.lgs. n. </w:t>
                        </w:r>
                      </w:p>
                    </w:txbxContent>
                  </v:textbox>
                </v:rect>
                <v:rect id="Rectangle 201738" o:spid="_x0000_s5397" style="position:absolute;left:22426;top:15563;width:2103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TEQxQAAAN8AAAAPAAAAZHJzL2Rvd25yZXYueG1sRE/JasMw&#10;EL0X8g9iArnVclJog2s5hIRQH3ppFuhxsMZLa42EpcROv746FHp8vD3fTKYXNxp8Z1nBMklBEFdW&#10;d9woOJ8Oj2sQPiBr7C2Tgjt52BSzhxwzbUf+oNsxNCKGsM9QQRuCy6T0VUsGfWIdceRqOxgMEQ6N&#10;1AOOMdz0cpWmz9Jgx7GhRUe7lqrv49Uo+NyzKw+jrOqfnXv/Ktf92/V8UWoxn7avIAJN4V/85y61&#10;glW6fHmKg+Of+AVk8QsAAP//AwBQSwECLQAUAAYACAAAACEA2+H2y+4AAACFAQAAEwAAAAAAAAAA&#10;AAAAAAAAAAAAW0NvbnRlbnRfVHlwZXNdLnhtbFBLAQItABQABgAIAAAAIQBa9CxbvwAAABUBAAAL&#10;AAAAAAAAAAAAAAAAAB8BAABfcmVscy8ucmVsc1BLAQItABQABgAIAAAAIQBHBTEQxQAAAN8AAAAP&#10;AAAAAAAAAAAAAAAAAAcCAABkcnMvZG93bnJldi54bWxQSwUGAAAAAAMAAwC3AAAA+QIAAAAA&#10;" filled="f" stroked="f">
                  <v:textbox inset="0,0,0,0">
                    <w:txbxContent>
                      <w:p w14:paraId="7CE830C6" w14:textId="77777777" w:rsidR="00B32EF2" w:rsidRDefault="00000000">
                        <w:r>
                          <w:rPr>
                            <w:rFonts w:ascii="Arial" w:eastAsia="Arial" w:hAnsi="Arial" w:cs="Arial"/>
                            <w:i/>
                            <w:sz w:val="18"/>
                          </w:rPr>
                          <w:t>(</w:t>
                        </w:r>
                      </w:p>
                    </w:txbxContent>
                  </v:textbox>
                </v:rect>
                <v:rect id="Rectangle 20807" o:spid="_x0000_s5398" style="position:absolute;left:9209;top:14329;width:172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POyxgAAAN4AAAAPAAAAZHJzL2Rvd25yZXYueG1sRI9BawIx&#10;FITvBf9DeEJvNdFDXbZGEYt0D71oFXp8bJ67q5uXsInutr++EYQeh5n5hlmsBtuKG3WhcaxhOlEg&#10;iEtnGq40HL62LxmIEJENto5Jww8FWC1HTwvMjet5R7d9rESCcMhRQx2jz6UMZU0Ww8R54uSdXGcx&#10;JtlV0nTYJ7ht5UypV2mx4bRQo6dNTeVlf7Uavt/ZF9telqffjf88F1n7cT0ctX4eD+s3EJGG+B9+&#10;tAujYaYyNYf7nXQF5PIPAAD//wMAUEsBAi0AFAAGAAgAAAAhANvh9svuAAAAhQEAABMAAAAAAAAA&#10;AAAAAAAAAAAAAFtDb250ZW50X1R5cGVzXS54bWxQSwECLQAUAAYACAAAACEAWvQsW78AAAAVAQAA&#10;CwAAAAAAAAAAAAAAAAAfAQAAX3JlbHMvLnJlbHNQSwECLQAUAAYACAAAACEA7kzzssYAAADeAAAA&#10;DwAAAAAAAAAAAAAAAAAHAgAAZHJzL2Rvd25yZXYueG1sUEsFBgAAAAADAAMAtwAAAPoCAAAAAA==&#10;" filled="f" stroked="f">
                  <v:textbox inset="0,0,0,0">
                    <w:txbxContent>
                      <w:p w14:paraId="1A7C7142" w14:textId="77777777" w:rsidR="00B32EF2" w:rsidRDefault="00000000">
                        <w:r>
                          <w:rPr>
                            <w:rFonts w:ascii="Arial" w:eastAsia="Arial" w:hAnsi="Arial" w:cs="Arial"/>
                            <w:b/>
                            <w:sz w:val="18"/>
                          </w:rPr>
                          <w:t xml:space="preserve">Difetto di giurisdizione </w:t>
                        </w:r>
                      </w:p>
                    </w:txbxContent>
                  </v:textbox>
                </v:rect>
                <v:rect id="Rectangle 201735" o:spid="_x0000_s5399" style="position:absolute;left:-13763;top:1309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J6OyAAAAN8AAAAPAAAAZHJzL2Rvd25yZXYueG1sRI9Pa8JA&#10;FMTvgt9heUJvutGildRVikXMoRf/FHp8ZJ9J2uzbJbua6KfvCoLHYWZ+wyxWnanFhRpfWVYwHiUg&#10;iHOrKy4UHA+b4RyED8gaa8uk4EoeVst+b4Gpti3v6LIPhYgQ9ikqKENwqZQ+L8mgH1lHHL2TbQyG&#10;KJtC6gbbCDe1nCTJTBqsOC6U6GhdUv63PxsFP5/ssk0r89Nt7b5+s3m9PR+/lXoZdB/vIAJ14Rl+&#10;tDOtYJKM316ncP8Tv4Bc/gMAAP//AwBQSwECLQAUAAYACAAAACEA2+H2y+4AAACFAQAAEwAAAAAA&#10;AAAAAAAAAAAAAAAAW0NvbnRlbnRfVHlwZXNdLnhtbFBLAQItABQABgAIAAAAIQBa9CxbvwAAABUB&#10;AAALAAAAAAAAAAAAAAAAAB8BAABfcmVscy8ucmVsc1BLAQItABQABgAIAAAAIQCpBJ6OyAAAAN8A&#10;AAAPAAAAAAAAAAAAAAAAAAcCAABkcnMvZG93bnJldi54bWxQSwUGAAAAAAMAAwC3AAAA/AIAAAAA&#10;" filled="f" stroked="f">
                  <v:textbox inset="0,0,0,0">
                    <w:txbxContent>
                      <w:p w14:paraId="4B11D772" w14:textId="77777777" w:rsidR="00B32EF2" w:rsidRDefault="00000000">
                        <w:r>
                          <w:rPr>
                            <w:rFonts w:ascii="Arial" w:eastAsia="Arial" w:hAnsi="Arial" w:cs="Arial"/>
                            <w:sz w:val="18"/>
                          </w:rPr>
                          <w:t xml:space="preserve">. Il difetto di giurisdizione delle corti di giustizia tributaria di primo e secondo </w:t>
                        </w:r>
                      </w:p>
                    </w:txbxContent>
                  </v:textbox>
                </v:rect>
                <v:rect id="Rectangle 201734" o:spid="_x0000_s5400" style="position:absolute;left:26110;top:1309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DsVyAAAAN8AAAAPAAAAZHJzL2Rvd25yZXYueG1sRI9Pa8JA&#10;FMTvgt9heUJvutGKldRVikXMoRf/FHp8ZJ9J2uzbJbua6KfvCoLHYWZ+wyxWnanFhRpfWVYwHiUg&#10;iHOrKy4UHA+b4RyED8gaa8uk4EoeVst+b4Gpti3v6LIPhYgQ9ikqKENwqZQ+L8mgH1lHHL2TbQyG&#10;KJtC6gbbCDe1nCTJTBqsOC6U6GhdUv63PxsFP5/ssk0r89Nt7b5+s3m9PR+/lXoZdB/vIAJ14Rl+&#10;tDOtYJKM316ncP8Tv4Bc/gMAAP//AwBQSwECLQAUAAYACAAAACEA2+H2y+4AAACFAQAAEwAAAAAA&#10;AAAAAAAAAAAAAAAAW0NvbnRlbnRfVHlwZXNdLnhtbFBLAQItABQABgAIAAAAIQBa9CxbvwAAABUB&#10;AAALAAAAAAAAAAAAAAAAAB8BAABfcmVscy8ucmVsc1BLAQItABQABgAIAAAAIQDGSDsVyAAAAN8A&#10;AAAPAAAAAAAAAAAAAAAAAAcCAABkcnMvZG93bnJldi54bWxQSwUGAAAAAAMAAwC3AAAA/AIAAAAA&#10;" filled="f" stroked="f">
                  <v:textbox inset="0,0,0,0">
                    <w:txbxContent>
                      <w:p w14:paraId="6B193DB3" w14:textId="77777777" w:rsidR="00B32EF2" w:rsidRDefault="00000000">
                        <w:r>
                          <w:rPr>
                            <w:rFonts w:ascii="Arial" w:eastAsia="Arial" w:hAnsi="Arial" w:cs="Arial"/>
                            <w:sz w:val="18"/>
                          </w:rPr>
                          <w:t>1</w:t>
                        </w:r>
                      </w:p>
                    </w:txbxContent>
                  </v:textbox>
                </v:rect>
                <v:rect id="Rectangle 20809" o:spid="_x0000_s5401" style="position:absolute;left:-5664;top:11863;width:455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8JbxgAAAN4AAAAPAAAAZHJzL2Rvd25yZXYueG1sRI9BawIx&#10;FITvBf9DeEJvNdFD2W6NIhbpHnrRKvT42Dx3VzcvYRPdbX99Iwgeh5n5hpkvB9uKK3WhcaxhOlEg&#10;iEtnGq407L83LxmIEJENto5Jwy8FWC5GT3PMjet5S9ddrESCcMhRQx2jz6UMZU0Ww8R54uQdXWcx&#10;JtlV0nTYJ7ht5UypV2mx4bRQo6d1TeV5d7Eafj7YF5telse/tf86FVn7edkftH4eD6t3EJGG+Ajf&#10;24XRMFOZeoPbnXQF5OIfAAD//wMAUEsBAi0AFAAGAAgAAAAhANvh9svuAAAAhQEAABMAAAAAAAAA&#10;AAAAAAAAAAAAAFtDb250ZW50X1R5cGVzXS54bWxQSwECLQAUAAYACAAAACEAWvQsW78AAAAVAQAA&#10;CwAAAAAAAAAAAAAAAAAfAQAAX3JlbHMvLnJlbHNQSwECLQAUAAYACAAAACEA8J/CW8YAAADeAAAA&#10;DwAAAAAAAAAAAAAAAAAHAgAAZHJzL2Rvd25yZXYueG1sUEsFBgAAAAADAAMAtwAAAPoCAAAAAA==&#10;" filled="f" stroked="f">
                  <v:textbox inset="0,0,0,0">
                    <w:txbxContent>
                      <w:p w14:paraId="19B4237B" w14:textId="77777777" w:rsidR="00B32EF2" w:rsidRDefault="00000000">
                        <w:r>
                          <w:rPr>
                            <w:rFonts w:ascii="Arial" w:eastAsia="Arial" w:hAnsi="Arial" w:cs="Arial"/>
                            <w:sz w:val="18"/>
                          </w:rPr>
                          <w:t>grado è rilevato, anche d’ufficio, in ogni stato e grado del processo.</w:t>
                        </w:r>
                      </w:p>
                    </w:txbxContent>
                  </v:textbox>
                </v:rect>
                <v:rect id="Rectangle 201732" o:spid="_x0000_s5402" style="position:absolute;left:26110;top:10555;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Qb6yAAAAN8AAAAPAAAAZHJzL2Rvd25yZXYueG1sRI9Pa8JA&#10;FMTvgt9heYI33ZiCldRVRJHm0Ev9Az0+ss8kbfbtkl1N7Kd3CwWPw8z8hlmue9OIG7W+tqxgNk1A&#10;EBdW11wqOB33kwUIH5A1NpZJwZ08rFfDwRIzbTv+pNshlCJC2GeooArBZVL6oiKDfmodcfQutjUY&#10;omxLqVvsItw0Mk2SuTRYc1yo0NG2ouLncDUKvnbs8n0ni8vv1n1854vm/Xo6KzUe9Zs3EIH68Az/&#10;t3OtIE1mry8p/P2JX0CuHgAAAP//AwBQSwECLQAUAAYACAAAACEA2+H2y+4AAACFAQAAEwAAAAAA&#10;AAAAAAAAAAAAAAAAW0NvbnRlbnRfVHlwZXNdLnhtbFBLAQItABQABgAIAAAAIQBa9CxbvwAAABUB&#10;AAALAAAAAAAAAAAAAAAAAB8BAABfcmVscy8ucmVsc1BLAQItABQABgAIAAAAIQAm7Qb6yAAAAN8A&#10;AAAPAAAAAAAAAAAAAAAAAAcCAABkcnMvZG93bnJldi54bWxQSwUGAAAAAAMAAwC3AAAA/AIAAAAA&#10;" filled="f" stroked="f">
                  <v:textbox inset="0,0,0,0">
                    <w:txbxContent>
                      <w:p w14:paraId="614F820D" w14:textId="77777777" w:rsidR="00B32EF2" w:rsidRDefault="00000000">
                        <w:r>
                          <w:rPr>
                            <w:rFonts w:ascii="Arial" w:eastAsia="Arial" w:hAnsi="Arial" w:cs="Arial"/>
                            <w:sz w:val="18"/>
                          </w:rPr>
                          <w:t>2</w:t>
                        </w:r>
                      </w:p>
                    </w:txbxContent>
                  </v:textbox>
                </v:rect>
                <v:rect id="Rectangle 201733" o:spid="_x0000_s5403" style="position:absolute;left:-13817;top:1055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aNhxwAAAN8AAAAPAAAAZHJzL2Rvd25yZXYueG1sRI9Ba8JA&#10;FITvgv9heUJvulGhSnQVUcQcvNRa6PGRfSbR7Nslu5rUX98tCD0OM/MNs1x3phYPanxlWcF4lIAg&#10;zq2uuFBw/twP5yB8QNZYWyYFP+Rhver3lphq2/IHPU6hEBHCPkUFZQguldLnJRn0I+uIo3exjcEQ&#10;ZVNI3WAb4aaWkyR5lwYrjgslOtqWlN9Od6Pge8cu27cyvzy37njN5vXhfv5S6m3QbRYgAnXhP/xq&#10;Z1rBJBnPplP4+xO/gFz9AgAA//8DAFBLAQItABQABgAIAAAAIQDb4fbL7gAAAIUBAAATAAAAAAAA&#10;AAAAAAAAAAAAAABbQ29udGVudF9UeXBlc10ueG1sUEsBAi0AFAAGAAgAAAAhAFr0LFu/AAAAFQEA&#10;AAsAAAAAAAAAAAAAAAAAHwEAAF9yZWxzLy5yZWxzUEsBAi0AFAAGAAgAAAAhAEmho2HHAAAA3wAA&#10;AA8AAAAAAAAAAAAAAAAABwIAAGRycy9kb3ducmV2LnhtbFBLBQYAAAAAAwADALcAAAD7AgAAAAA=&#10;" filled="f" stroked="f">
                  <v:textbox inset="0,0,0,0">
                    <w:txbxContent>
                      <w:p w14:paraId="3D1A127D" w14:textId="77777777" w:rsidR="00B32EF2" w:rsidRDefault="00000000">
                        <w:r>
                          <w:rPr>
                            <w:rFonts w:ascii="Arial" w:eastAsia="Arial" w:hAnsi="Arial" w:cs="Arial"/>
                            <w:sz w:val="18"/>
                          </w:rPr>
                          <w:t xml:space="preserve">. È ammesso il regolamento preventivo di giurisdizione previsto dall’articolo </w:t>
                        </w:r>
                      </w:p>
                    </w:txbxContent>
                  </v:textbox>
                </v:rect>
                <v:rect id="Rectangle 201730" o:spid="_x0000_s5404" style="position:absolute;left:30575;top:9322;width:328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z0WxwAAAN8AAAAPAAAAZHJzL2Rvd25yZXYueG1sRI/LasMw&#10;EEX3hfyDmEB2tZwU2uBaDiEh1Itumgd0OVjjR2uNhKXETr++WhS6vNwXJ99Mphc3GnxnWcEySUEQ&#10;V1Z33Cg4nw6PaxA+IGvsLZOCO3nYFLOHHDNtR/6g2zE0Io6wz1BBG4LLpPRVSwZ9Yh1x9Go7GAxR&#10;Do3UA45x3PRylabP0mDH8aFFR7uWqu/j1Sj43LMrD6Os6p+de/8q1/3b9XxRajGftq8gAk3hP/zX&#10;LrWCVbp8eYoEkSeygCx+AQAA//8DAFBLAQItABQABgAIAAAAIQDb4fbL7gAAAIUBAAATAAAAAAAA&#10;AAAAAAAAAAAAAABbQ29udGVudF9UeXBlc10ueG1sUEsBAi0AFAAGAAgAAAAhAFr0LFu/AAAAFQEA&#10;AAsAAAAAAAAAAAAAAAAAHwEAAF9yZWxzLy5yZWxzUEsBAi0AFAAGAAgAAAAhALlzPRbHAAAA3wAA&#10;AA8AAAAAAAAAAAAAAAAABwIAAGRycy9kb3ducmV2LnhtbFBLBQYAAAAAAwADALcAAAD7AgAAAAA=&#10;" filled="f" stroked="f">
                  <v:textbox inset="0,0,0,0">
                    <w:txbxContent>
                      <w:p w14:paraId="4D6400EE" w14:textId="77777777" w:rsidR="00B32EF2" w:rsidRDefault="00000000">
                        <w:r>
                          <w:rPr>
                            <w:rFonts w:ascii="Arial" w:eastAsia="Arial" w:hAnsi="Arial" w:cs="Arial"/>
                            <w:sz w:val="18"/>
                          </w:rPr>
                          <w:t>41</w:t>
                        </w:r>
                      </w:p>
                    </w:txbxContent>
                  </v:textbox>
                </v:rect>
                <v:rect id="Rectangle 201731" o:spid="_x0000_s5405" style="position:absolute;left:5941;top:9322;width:328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5iNyAAAAN8AAAAPAAAAZHJzL2Rvd25yZXYueG1sRI9Pa8JA&#10;FMTvgt9heYI33cSCldRVRJHm0Ev9Az0+ss8kbfbtkl1N7Kd3CwWPw8z8hlmue9OIG7W+tqwgnSYg&#10;iAuray4VnI77yQKED8gaG8uk4E4e1qvhYImZth1/0u0QShEh7DNUUIXgMil9UZFBP7WOOHoX2xoM&#10;Ubal1C12EW4aOUuSuTRYc1yo0NG2ouLncDUKvnbs8n0ni8vv1n1854vm/Xo6KzUe9Zs3EIH68Az/&#10;t3OtYJakry8p/P2JX0CuHgAAAP//AwBQSwECLQAUAAYACAAAACEA2+H2y+4AAACFAQAAEwAAAAAA&#10;AAAAAAAAAAAAAAAAW0NvbnRlbnRfVHlwZXNdLnhtbFBLAQItABQABgAIAAAAIQBa9CxbvwAAABUB&#10;AAALAAAAAAAAAAAAAAAAAB8BAABfcmVscy8ucmVsc1BLAQItABQABgAIAAAAIQDWP5iNyAAAAN8A&#10;AAAPAAAAAAAAAAAAAAAAAAcCAABkcnMvZG93bnJldi54bWxQSwUGAAAAAAMAAwC3AAAA/AIAAAAA&#10;" filled="f" stroked="f">
                  <v:textbox inset="0,0,0,0">
                    <w:txbxContent>
                      <w:p w14:paraId="46027916" w14:textId="77777777" w:rsidR="00B32EF2" w:rsidRDefault="00000000">
                        <w:r>
                          <w:rPr>
                            <w:rFonts w:ascii="Arial" w:eastAsia="Arial" w:hAnsi="Arial" w:cs="Arial"/>
                            <w:sz w:val="18"/>
                          </w:rPr>
                          <w:t>, primo comma, del codice di procedura civile.</w:t>
                        </w:r>
                      </w:p>
                    </w:txbxContent>
                  </v:textbox>
                </v:rect>
                <v:shape id="Shape 208074" o:spid="_x0000_s5406" style="position:absolute;left:317;top:4120;width:39600;height:5165;visibility:visible;mso-wrap-style:square;v-text-anchor:top" coordsize="3960000,51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WDxwAAAN8AAAAPAAAAZHJzL2Rvd25yZXYueG1sRI9Ba8JA&#10;FITvhf6H5RV6KbqbIG2IrlKEUqGnRuv5mX0mIdm3Ibua+O/dQqHHYWa+YVabyXbiSoNvHGtI5goE&#10;celMw5WGw/5jloHwAdlg55g03MjDZv34sMLcuJG/6VqESkQI+xw11CH0uZS+rMmin7ueOHpnN1gM&#10;UQ6VNAOOEW47mSr1Ki02HBdq7GlbU9kWF6vh51IskuPp5YSj46T93N7a9KvR+vlpel+CCDSF//Bf&#10;e2c0pCpTbwv4/RO/gFzfAQAA//8DAFBLAQItABQABgAIAAAAIQDb4fbL7gAAAIUBAAATAAAAAAAA&#10;AAAAAAAAAAAAAABbQ29udGVudF9UeXBlc10ueG1sUEsBAi0AFAAGAAgAAAAhAFr0LFu/AAAAFQEA&#10;AAsAAAAAAAAAAAAAAAAAHwEAAF9yZWxzLy5yZWxzUEsBAi0AFAAGAAgAAAAhAOOsxYPHAAAA3wAA&#10;AA8AAAAAAAAAAAAAAAAABwIAAGRycy9kb3ducmV2LnhtbFBLBQYAAAAAAwADALcAAAD7AgAAAAA=&#10;" path="m,l3960000,r,516496l,516496,,e" fillcolor="#c3c3c3" stroked="f" strokeweight="0">
                  <v:stroke miterlimit="83231f" joinstyle="miter"/>
                  <v:path arrowok="t" textboxrect="0,0,3960000,516496"/>
                </v:shape>
                <v:rect id="Rectangle 20813" o:spid="_x0000_s5407" style="position:absolute;left:23287;top:707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mNsxgAAAN4AAAAPAAAAZHJzL2Rvd25yZXYueG1sRI9Ba8JA&#10;FITvQv/D8gredKNCCamriCLm0Es1hR4f2WeSmn27ZFeT+uvdQsHjMDPfMMv1YFpxo843lhXMpgkI&#10;4tLqhisFxWk/SUH4gKyxtUwKfsnDevUyWmKmbc+fdDuGSkQI+wwV1CG4TEpf1mTQT60jjt7ZdgZD&#10;lF0ldYd9hJtWzpPkTRpsOC7U6GhbU3k5Xo2C7x27fN/L8nzfuo+fPG0P1+JLqfHrsHkHEWgIz/B/&#10;O9cK5kk6W8DfnXgF5OoBAAD//wMAUEsBAi0AFAAGAAgAAAAhANvh9svuAAAAhQEAABMAAAAAAAAA&#10;AAAAAAAAAAAAAFtDb250ZW50X1R5cGVzXS54bWxQSwECLQAUAAYACAAAACEAWvQsW78AAAAVAQAA&#10;CwAAAAAAAAAAAAAAAAAfAQAAX3JlbHMvLnJlbHNQSwECLQAUAAYACAAAACEAFK5jbMYAAADeAAAA&#10;DwAAAAAAAAAAAAAAAAAHAgAAZHJzL2Rvd25yZXYueG1sUEsFBgAAAAADAAMAtwAAAPoCAAAAAA==&#10;" filled="f" stroked="f">
                  <v:textbox inset="0,0,0,0">
                    <w:txbxContent>
                      <w:p w14:paraId="66D41A4D" w14:textId="77777777" w:rsidR="00B32EF2" w:rsidRDefault="00000000">
                        <w:r>
                          <w:rPr>
                            <w:rFonts w:ascii="Arial" w:eastAsia="Arial" w:hAnsi="Arial" w:cs="Arial"/>
                            <w:b/>
                            <w:i/>
                            <w:color w:val="020202"/>
                            <w:sz w:val="18"/>
                          </w:rPr>
                          <w:t>NORME RICHIAMATE</w:t>
                        </w:r>
                      </w:p>
                    </w:txbxContent>
                  </v:textbox>
                </v:rect>
                <v:rect id="Rectangle 20814" o:spid="_x0000_s5408" style="position:absolute;left:9008;top:5839;width:30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sYxgAAAN4AAAAPAAAAZHJzL2Rvd25yZXYueG1sRI9Ba8JA&#10;FITvQv/D8gredKNICamriCLm0Es1hR4f2WeSmn27ZFeT+uvdQsHjMDPfMMv1YFpxo843lhXMpgkI&#10;4tLqhisFxWk/SUH4gKyxtUwKfsnDevUyWmKmbc+fdDuGSkQI+wwV1CG4TEpf1mTQT60jjt7ZdgZD&#10;lF0ldYd9hJtWzpPkTRpsOC7U6GhbU3k5Xo2C7x27fN/L8nzfuo+fPG0P1+JLqfHrsHkHEWgIz/B/&#10;O9cK5kk6W8DfnXgF5OoBAAD//wMAUEsBAi0AFAAGAAgAAAAhANvh9svuAAAAhQEAABMAAAAAAAAA&#10;AAAAAAAAAAAAAFtDb250ZW50X1R5cGVzXS54bWxQSwECLQAUAAYACAAAACEAWvQsW78AAAAVAQAA&#10;CwAAAAAAAAAAAAAAAAAfAQAAX3JlbHMvLnJlbHNQSwECLQAUAAYACAAAACEAm0f7GMYAAADeAAAA&#10;DwAAAAAAAAAAAAAAAAAHAgAAZHJzL2Rvd25yZXYueG1sUEsFBgAAAAADAAMAtwAAAPoCAAAAAA==&#10;" filled="f" stroked="f">
                  <v:textbox inset="0,0,0,0">
                    <w:txbxContent>
                      <w:p w14:paraId="4D5FE81E" w14:textId="77777777" w:rsidR="00B32EF2" w:rsidRDefault="00000000">
                        <w:r>
                          <w:rPr>
                            <w:rFonts w:ascii="Arial" w:eastAsia="Arial" w:hAnsi="Arial" w:cs="Arial"/>
                            <w:i/>
                            <w:color w:val="020202"/>
                            <w:sz w:val="18"/>
                          </w:rPr>
                          <w:t>art. 41 c.p.c. “Regolamento di giurisdizione “</w:t>
                        </w:r>
                      </w:p>
                    </w:txbxContent>
                  </v:textbox>
                </v:rect>
                <v:rect id="Rectangle 201726" o:spid="_x0000_s5409" style="position:absolute;left:-11569;top:4606;width:5010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5YkyAAAAN8AAAAPAAAAZHJzL2Rvd25yZXYueG1sRI9La8Mw&#10;EITvhfwHsYXeGjk+pMGJHEpCqA+9NA/IcbHWj9ZaCUuJ3fz6qFDIcZiZb5jVejSduFLvW8sKZtME&#10;BHFpdcu1guNh97oA4QOyxs4yKfglD+t88rTCTNuBv+i6D7WIEPYZKmhCcJmUvmzIoJ9aRxy9yvYG&#10;Q5R9LXWPQ4SbTqZJMpcGW44LDTraNFT+7C9GwXnLrtgNsqxuG/f5XSy6j8vxpNTL8/i+BBFoDI/w&#10;f7vQCtJk9pbO4e9P/AIyvwMAAP//AwBQSwECLQAUAAYACAAAACEA2+H2y+4AAACFAQAAEwAAAAAA&#10;AAAAAAAAAAAAAAAAW0NvbnRlbnRfVHlwZXNdLnhtbFBLAQItABQABgAIAAAAIQBa9CxbvwAAABUB&#10;AAALAAAAAAAAAAAAAAAAAB8BAABfcmVscy8ucmVsc1BLAQItABQABgAIAAAAIQDcD5YkyAAAAN8A&#10;AAAPAAAAAAAAAAAAAAAAAAcCAABkcnMvZG93bnJldi54bWxQSwUGAAAAAAMAAwC3AAAA/AIAAAAA&#10;" filled="f" stroked="f">
                  <v:textbox inset="0,0,0,0">
                    <w:txbxContent>
                      <w:p w14:paraId="2DAD5B35" w14:textId="77777777" w:rsidR="00B32EF2" w:rsidRDefault="00000000">
                        <w:r>
                          <w:rPr>
                            <w:rFonts w:ascii="Arial" w:eastAsia="Arial" w:hAnsi="Arial" w:cs="Arial"/>
                            <w:i/>
                            <w:color w:val="020202"/>
                            <w:sz w:val="18"/>
                          </w:rPr>
                          <w:t>. Finché la causa non sia decisa nel merito in primo grado, ciascuna par</w:t>
                        </w:r>
                      </w:p>
                    </w:txbxContent>
                  </v:textbox>
                </v:rect>
                <v:rect id="Rectangle 201724" o:spid="_x0000_s5410" style="position:absolute;left:26065;top:4606;width:5011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a3IyAAAAN8AAAAPAAAAZHJzL2Rvd25yZXYueG1sRI9Pa8JA&#10;FMTvgt9heYI33RiKldRVRJHm0Ev9Az0+ss8kbfbtkl1N7Kd3CwWPw8z8hlmue9OIG7W+tqxgNk1A&#10;EBdW11wqOB33kwUIH5A1NpZJwZ08rFfDwRIzbTv+pNshlCJC2GeooArBZVL6oiKDfmodcfQutjUY&#10;omxLqVvsItw0Mk2SuTRYc1yo0NG2ouLncDUKvnbs8n0ni8vv1n1854vm/Xo6KzUe9Zs3EIH68Az/&#10;t3OtIE1mr+kL/P2JX0CuHgAAAP//AwBQSwECLQAUAAYACAAAACEA2+H2y+4AAACFAQAAEwAAAAAA&#10;AAAAAAAAAAAAAAAAW0NvbnRlbnRfVHlwZXNdLnhtbFBLAQItABQABgAIAAAAIQBa9CxbvwAAABUB&#10;AAALAAAAAAAAAAAAAAAAAB8BAABfcmVscy8ucmVsc1BLAQItABQABgAIAAAAIQBDka3IyAAAAN8A&#10;AAAPAAAAAAAAAAAAAAAAAAcCAABkcnMvZG93bnJldi54bWxQSwUGAAAAAAMAAwC3AAAA/AIAAAAA&#10;" filled="f" stroked="f">
                  <v:textbox inset="0,0,0,0">
                    <w:txbxContent>
                      <w:p w14:paraId="450EA7C5" w14:textId="77777777" w:rsidR="00B32EF2" w:rsidRDefault="00000000">
                        <w:r>
                          <w:rPr>
                            <w:rFonts w:ascii="Arial" w:eastAsia="Arial" w:hAnsi="Arial" w:cs="Arial"/>
                            <w:i/>
                            <w:color w:val="020202"/>
                            <w:sz w:val="18"/>
                          </w:rPr>
                          <w:t>1</w:t>
                        </w:r>
                      </w:p>
                    </w:txbxContent>
                  </v:textbox>
                </v:rect>
                <v:rect id="Rectangle 20816" o:spid="_x0000_s5411" style="position:absolute;left:975;top:4606;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cD0xgAAAN4AAAAPAAAAZHJzL2Rvd25yZXYueG1sRI9Pi8Iw&#10;FMTvgt8hvAVvmupBStco4iL24MV/4PHRPNuuzUtoou3upzcLCx6HmfkNs1j1phFPan1tWcF0koAg&#10;LqyuuVRwPm3HKQgfkDU2lknBD3lYLYeDBWbadnyg5zGUIkLYZ6igCsFlUvqiIoN+Yh1x9G62NRii&#10;bEupW+wi3DRyliRzabDmuFCho01Fxf34MAquX+zybSeL2+/G7b/ztNk9zhelRh/9+hNEoD68w//t&#10;XCuYJel0Dn934hWQyxcAAAD//wMAUEsBAi0AFAAGAAgAAAAhANvh9svuAAAAhQEAABMAAAAAAAAA&#10;AAAAAAAAAAAAAFtDb250ZW50X1R5cGVzXS54bWxQSwECLQAUAAYACAAAACEAWvQsW78AAAAVAQAA&#10;CwAAAAAAAAAAAAAAAAAfAQAAX3JlbHMvLnJlbHNQSwECLQAUAAYACAAAACEABNnA9MYAAADeAAAA&#10;DwAAAAAAAAAAAAAAAAAHAgAAZHJzL2Rvd25yZXYueG1sUEsFBgAAAAADAAMAtwAAAPoCAAAAAA==&#10;" filled="f" stroked="f">
                  <v:textbox inset="0,0,0,0">
                    <w:txbxContent>
                      <w:p w14:paraId="68F66BF7" w14:textId="77777777" w:rsidR="00B32EF2" w:rsidRDefault="00000000">
                        <w:r>
                          <w:rPr>
                            <w:rFonts w:ascii="Arial" w:eastAsia="Arial" w:hAnsi="Arial" w:cs="Arial"/>
                            <w:i/>
                            <w:color w:val="020202"/>
                            <w:sz w:val="18"/>
                          </w:rPr>
                          <w:t>-</w:t>
                        </w:r>
                      </w:p>
                    </w:txbxContent>
                  </v:textbox>
                </v:rect>
                <v:shape id="Shape 20817" o:spid="_x0000_s5412" style="position:absolute;left:317;top:4120;width:39600;height:5165;visibility:visible;mso-wrap-style:square;v-text-anchor:top" coordsize="3960000,51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VRxgAAAN4AAAAPAAAAZHJzL2Rvd25yZXYueG1sRI9Pi8Iw&#10;FMTvC36H8ARva2oRlWoUWVhwDx78g+dn87bp2ryUJmurn94IgsdhZn7DLFadrcSVGl86VjAaJiCI&#10;c6dLLhQcD9+fMxA+IGusHJOCG3lYLXsfC8y0a3lH130oRISwz1CBCaHOpPS5IYt+6Gri6P26xmKI&#10;simkbrCNcFvJNEkm0mLJccFgTV+G8sv+3yqo/i6T7bg9lXc9/dmc76lZn0+dUoN+t56DCNSFd/jV&#10;3mgFaTIbTeF5J14BuXwAAAD//wMAUEsBAi0AFAAGAAgAAAAhANvh9svuAAAAhQEAABMAAAAAAAAA&#10;AAAAAAAAAAAAAFtDb250ZW50X1R5cGVzXS54bWxQSwECLQAUAAYACAAAACEAWvQsW78AAAAVAQAA&#10;CwAAAAAAAAAAAAAAAAAfAQAAX3JlbHMvLnJlbHNQSwECLQAUAAYACAAAACEA/2xVUcYAAADeAAAA&#10;DwAAAAAAAAAAAAAAAAAHAgAAZHJzL2Rvd25yZXYueG1sUEsFBgAAAAADAAMAtwAAAPoCAAAAAA==&#10;" path="m,516496r3960000,l3960000,,,,,516496xe" filled="f" strokeweight="1pt">
                  <v:stroke miterlimit="1" joinstyle="miter"/>
                  <v:path arrowok="t" textboxrect="0,0,3960000,516496"/>
                </v:shape>
                <v:shape id="Shape 208075" o:spid="_x0000_s5413" style="position:absolute;left:317;top:20176;width:39600;height:26108;visibility:visible;mso-wrap-style:square;v-text-anchor:top" coordsize="3960000,2610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9jxAAAAN8AAAAPAAAAZHJzL2Rvd25yZXYueG1sRI/RagIx&#10;FETfC/5DuELfaqLQKqtRpFAo2ye1H3DZ3O6uJjfbJJrt3zeFgo/DzJlhNrvRWXGjEHvPGuYzBYK4&#10;8abnVsPn6e1pBSImZIPWM2n4oQi77eRhg5XxmQ90O6ZWlBKOFWroUhoqKWPTkcM48wNx8b58cJiK&#10;DK00AXMpd1YulHqRDnsuCx0O9NpRczlenYYF74dl9rau7SHlc67D99V/aP04HfdrEInGdA//0++m&#10;cGqlls/w96d8Abn9BQAA//8DAFBLAQItABQABgAIAAAAIQDb4fbL7gAAAIUBAAATAAAAAAAAAAAA&#10;AAAAAAAAAABbQ29udGVudF9UeXBlc10ueG1sUEsBAi0AFAAGAAgAAAAhAFr0LFu/AAAAFQEAAAsA&#10;AAAAAAAAAAAAAAAAHwEAAF9yZWxzLy5yZWxzUEsBAi0AFAAGAAgAAAAhABjH72PEAAAA3wAAAA8A&#10;AAAAAAAAAAAAAAAABwIAAGRycy9kb3ducmV2LnhtbFBLBQYAAAAAAwADALcAAAD4AgAAAAA=&#10;" path="m,l3960000,r,2610803l,2610803,,e" fillcolor="#c3c3c3" stroked="f" strokeweight="0">
                  <v:stroke miterlimit="1" joinstyle="miter"/>
                  <v:path arrowok="t" textboxrect="0,0,3960000,2610803"/>
                </v:shape>
                <v:rect id="Rectangle 20819" o:spid="_x0000_s5414" style="position:absolute;left:23287;top:44071;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lSGxgAAAN4AAAAPAAAAZHJzL2Rvd25yZXYueG1sRI9Ba8JA&#10;FITvhf6H5RW81Y0eJE1dRRQxBy+1ETw+ss8kNft2ya4m+uvdQqHHYWa+YebLwbTiRp1vLCuYjBMQ&#10;xKXVDVcKiu/tewrCB2SNrWVScCcPy8XryxwzbXv+otshVCJC2GeooA7BZVL6siaDfmwdcfTOtjMY&#10;ouwqqTvsI9y0cpokM2mw4bhQo6N1TeXlcDUKTht2+baX5fmxdvufPG131+Ko1OhtWH2CCDSE//Bf&#10;O9cKpkk6+YDfO/EKyMUTAAD//wMAUEsBAi0AFAAGAAgAAAAhANvh9svuAAAAhQEAABMAAAAAAAAA&#10;AAAAAAAAAAAAAFtDb250ZW50X1R5cGVzXS54bWxQSwECLQAUAAYACAAAACEAWvQsW78AAAAVAQAA&#10;CwAAAAAAAAAAAAAAAAAfAQAAX3JlbHMvLnJlbHNQSwECLQAUAAYACAAAACEAdUZUhsYAAADeAAAA&#10;DwAAAAAAAAAAAAAAAAAHAgAAZHJzL2Rvd25yZXYueG1sUEsFBgAAAAADAAMAtwAAAPoCAAAAAA==&#10;" filled="f" stroked="f">
                  <v:textbox inset="0,0,0,0">
                    <w:txbxContent>
                      <w:p w14:paraId="11611DDE" w14:textId="77777777" w:rsidR="00B32EF2" w:rsidRDefault="00000000">
                        <w:r>
                          <w:rPr>
                            <w:rFonts w:ascii="Arial" w:eastAsia="Arial" w:hAnsi="Arial" w:cs="Arial"/>
                            <w:b/>
                            <w:i/>
                            <w:color w:val="020202"/>
                            <w:sz w:val="18"/>
                          </w:rPr>
                          <w:t>NORME RICHIAMATE</w:t>
                        </w:r>
                      </w:p>
                    </w:txbxContent>
                  </v:textbox>
                </v:rect>
                <v:rect id="Rectangle 20820" o:spid="_x0000_s5415" style="position:absolute;left:-279;top:42838;width:394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DemxAAAAN4AAAAPAAAAZHJzL2Rvd25yZXYueG1sRI/LisIw&#10;FIb3wrxDOMLsNLULKdUog4NMF27GC7g8NMe22pyEJtrOPL1ZCC5//hvfcj2YVjyo841lBbNpAoK4&#10;tLrhSsHxsJ1kIHxA1thaJgV/5GG9+hgtMde251967EMl4gj7HBXUIbhcSl/WZNBPrSOO3sV2BkOU&#10;XSV1h30cN61Mk2QuDTYcH2p0tKmpvO3vRsH5m12x7WV5+d+43bXI2p/78aTU53j4WoAINIR3+NUu&#10;tII0ydIIEHEiCsjVEwAA//8DAFBLAQItABQABgAIAAAAIQDb4fbL7gAAAIUBAAATAAAAAAAAAAAA&#10;AAAAAAAAAABbQ29udGVudF9UeXBlc10ueG1sUEsBAi0AFAAGAAgAAAAhAFr0LFu/AAAAFQEAAAsA&#10;AAAAAAAAAAAAAAAAHwEAAF9yZWxzLy5yZWxzUEsBAi0AFAAGAAgAAAAhACoQN6bEAAAA3gAAAA8A&#10;AAAAAAAAAAAAAAAABwIAAGRycy9kb3ducmV2LnhtbFBLBQYAAAAAAwADALcAAAD4AgAAAAA=&#10;" filled="f" stroked="f">
                  <v:textbox inset="0,0,0,0">
                    <w:txbxContent>
                      <w:p w14:paraId="46888DF4" w14:textId="77777777" w:rsidR="00B32EF2" w:rsidRDefault="00000000">
                        <w:r>
                          <w:rPr>
                            <w:rFonts w:ascii="Arial" w:eastAsia="Arial" w:hAnsi="Arial" w:cs="Arial"/>
                            <w:i/>
                            <w:color w:val="020202"/>
                            <w:sz w:val="18"/>
                          </w:rPr>
                          <w:t>art. 50 dpr. 602/1972 “Termine per l’inizio dell’esecuzione”</w:t>
                        </w:r>
                      </w:p>
                    </w:txbxContent>
                  </v:textbox>
                </v:rect>
                <v:rect id="Rectangle 201746" o:spid="_x0000_s5416" style="position:absolute;left:-11507;top:41605;width:5004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HOExwAAAN8AAAAPAAAAZHJzL2Rvd25yZXYueG1sRI9Ba8JA&#10;FITvgv9heUJvulGKlegqoog5eKla6PGRfSbR7Nslu5q0v94tFDwOM/MNs1h1phYPanxlWcF4lIAg&#10;zq2uuFBwPu2GMxA+IGusLZOCH/KwWvZ7C0y1bfmTHsdQiAhhn6KCMgSXSunzkgz6kXXE0bvYxmCI&#10;simkbrCNcFPLSZJMpcGK40KJjjYl5bfj3Sj43rLLdq3ML78bd7hms3p/P38p9Tbo1nMQgbrwCv+3&#10;M61gkow/3qfw9yd+Abl8AgAA//8DAFBLAQItABQABgAIAAAAIQDb4fbL7gAAAIUBAAATAAAAAAAA&#10;AAAAAAAAAAAAAABbQ29udGVudF9UeXBlc10ueG1sUEsBAi0AFAAGAAgAAAAhAFr0LFu/AAAAFQEA&#10;AAsAAAAAAAAAAAAAAAAAHwEAAF9yZWxzLy5yZWxzUEsBAi0AFAAGAAgAAAAhAAHQc4THAAAA3wAA&#10;AA8AAAAAAAAAAAAAAAAABwIAAGRycy9kb3ducmV2LnhtbFBLBQYAAAAAAwADALcAAAD7AgAAAAA=&#10;" filled="f" stroked="f">
                  <v:textbox inset="0,0,0,0">
                    <w:txbxContent>
                      <w:p w14:paraId="37F02268" w14:textId="77777777" w:rsidR="00B32EF2" w:rsidRDefault="00000000">
                        <w:r>
                          <w:rPr>
                            <w:rFonts w:ascii="Arial" w:eastAsia="Arial" w:hAnsi="Arial" w:cs="Arial"/>
                            <w:i/>
                            <w:color w:val="020202"/>
                            <w:sz w:val="18"/>
                          </w:rPr>
                          <w:t>. Il concessionario procede ad espropriazione forzata quando è inutilmen</w:t>
                        </w:r>
                      </w:p>
                    </w:txbxContent>
                  </v:textbox>
                </v:rect>
                <v:rect id="Rectangle 201745" o:spid="_x0000_s5417" style="position:absolute;left:26081;top:41605;width:5004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3zyAAAAN8AAAAPAAAAZHJzL2Rvd25yZXYueG1sRI9Pa8JA&#10;FMTvgt9heUJvulGqldRVikXMoRf/FHp8ZJ9J2uzbJbua6KfvCoLHYWZ+wyxWnanFhRpfWVYwHiUg&#10;iHOrKy4UHA+b4RyED8gaa8uk4EoeVst+b4Gpti3v6LIPhYgQ9ikqKENwqZQ+L8mgH1lHHL2TbQyG&#10;KJtC6gbbCDe1nCTJTBqsOC6U6GhdUv63PxsFP5/ssk0r89Nt7b5+s3m9PR+/lXoZdB/vIAJ14Rl+&#10;tDOtYJKM316ncP8Tv4Bc/gMAAP//AwBQSwECLQAUAAYACAAAACEA2+H2y+4AAACFAQAAEwAAAAAA&#10;AAAAAAAAAAAAAAAAW0NvbnRlbnRfVHlwZXNdLnhtbFBLAQItABQABgAIAAAAIQBa9CxbvwAAABUB&#10;AAALAAAAAAAAAAAAAAAAAB8BAABfcmVscy8ucmVsc1BLAQItABQABgAIAAAAIQDxAu3zyAAAAN8A&#10;AAAPAAAAAAAAAAAAAAAAAAcCAABkcnMvZG93bnJldi54bWxQSwUGAAAAAAMAAwC3AAAA/AIAAAAA&#10;" filled="f" stroked="f">
                  <v:textbox inset="0,0,0,0">
                    <w:txbxContent>
                      <w:p w14:paraId="3D3645DA" w14:textId="77777777" w:rsidR="00B32EF2" w:rsidRDefault="00000000">
                        <w:r>
                          <w:rPr>
                            <w:rFonts w:ascii="Arial" w:eastAsia="Arial" w:hAnsi="Arial" w:cs="Arial"/>
                            <w:i/>
                            <w:color w:val="020202"/>
                            <w:sz w:val="18"/>
                          </w:rPr>
                          <w:t>1</w:t>
                        </w:r>
                      </w:p>
                    </w:txbxContent>
                  </v:textbox>
                </v:rect>
                <v:rect id="Rectangle 20822" o:spid="_x0000_s5418" style="position:absolute;left:975;top:41605;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gxKxgAAAN4AAAAPAAAAZHJzL2Rvd25yZXYueG1sRI9Pi8Iw&#10;FMTvwn6H8Bb2pun2sJRqFHERe/Din4U9PppnW21eQhNt9dObhQWPw8z8hpktBtOKG3W+sazgc5KA&#10;IC6tbrhScDysxxkIH5A1tpZJwZ08LOZvoxnm2va8o9s+VCJC2OeooA7B5VL6siaDfmIdcfROtjMY&#10;ouwqqTvsI9y0Mk2SL2mw4bhQo6NVTeVlfzUKfr/ZFetelqfHym3PRdZurscfpT7eh+UURKAhvML/&#10;7UIrSJMsTeHvTrwCcv4EAAD//wMAUEsBAi0AFAAGAAgAAAAhANvh9svuAAAAhQEAABMAAAAAAAAA&#10;AAAAAAAAAAAAAFtDb250ZW50X1R5cGVzXS54bWxQSwECLQAUAAYACAAAACEAWvQsW78AAAAVAQAA&#10;CwAAAAAAAAAAAAAAAAAfAQAAX3JlbHMvLnJlbHNQSwECLQAUAAYACAAAACEAtY4MSsYAAADeAAAA&#10;DwAAAAAAAAAAAAAAAAAHAgAAZHJzL2Rvd25yZXYueG1sUEsFBgAAAAADAAMAtwAAAPoCAAAAAA==&#10;" filled="f" stroked="f">
                  <v:textbox inset="0,0,0,0">
                    <w:txbxContent>
                      <w:p w14:paraId="5683F8B8" w14:textId="77777777" w:rsidR="00B32EF2" w:rsidRDefault="00000000">
                        <w:r>
                          <w:rPr>
                            <w:rFonts w:ascii="Arial" w:eastAsia="Arial" w:hAnsi="Arial" w:cs="Arial"/>
                            <w:i/>
                            <w:color w:val="020202"/>
                            <w:sz w:val="18"/>
                          </w:rPr>
                          <w:t>-</w:t>
                        </w:r>
                      </w:p>
                    </w:txbxContent>
                  </v:textbox>
                </v:rect>
                <v:rect id="Rectangle 20823" o:spid="_x0000_s5419" style="position:absolute;left:-11871;top:40371;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nRxwAAAN4AAAAPAAAAZHJzL2Rvd25yZXYueG1sRI9Ba8JA&#10;FITvBf/D8oTe6qYpSEjdhKKIOXjRKvT4yD6TtNm3S3Y1sb++Wyj0OMzMN8yqnEwvbjT4zrKC50UC&#10;gri2uuNGwel9+5SB8AFZY2+ZFNzJQ1nMHlaYazvygW7H0IgIYZ+jgjYEl0vp65YM+oV1xNG72MFg&#10;iHJopB5wjHDTyzRJltJgx3GhRUfrluqv49Uo+Niwq7ajrC/fa7f/rLJ+dz2dlXqcT2+vIAJN4T/8&#10;1660gjTJ0hf4vROvgCx+AAAA//8DAFBLAQItABQABgAIAAAAIQDb4fbL7gAAAIUBAAATAAAAAAAA&#10;AAAAAAAAAAAAAABbQ29udGVudF9UeXBlc10ueG1sUEsBAi0AFAAGAAgAAAAhAFr0LFu/AAAAFQEA&#10;AAsAAAAAAAAAAAAAAAAAHwEAAF9yZWxzLy5yZWxzUEsBAi0AFAAGAAgAAAAhANrCqdHHAAAA3gAA&#10;AA8AAAAAAAAAAAAAAAAABwIAAGRycy9kb3ducmV2LnhtbFBLBQYAAAAAAwADALcAAAD7AgAAAAA=&#10;" filled="f" stroked="f">
                  <v:textbox inset="0,0,0,0">
                    <w:txbxContent>
                      <w:p w14:paraId="5D1DF909" w14:textId="77777777" w:rsidR="00B32EF2" w:rsidRDefault="00000000">
                        <w:r>
                          <w:rPr>
                            <w:rFonts w:ascii="Arial" w:eastAsia="Arial" w:hAnsi="Arial" w:cs="Arial"/>
                            <w:i/>
                            <w:color w:val="020202"/>
                            <w:sz w:val="18"/>
                          </w:rPr>
                          <w:t xml:space="preserve">te decorso il termine di sessanta giorni dalla notificazione della cartella di </w:t>
                        </w:r>
                      </w:p>
                    </w:txbxContent>
                  </v:textbox>
                </v:rect>
                <v:rect id="Rectangle 20824" o:spid="_x0000_s5420" style="position:absolute;left:-11865;top:39138;width:509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zGlxwAAAN4AAAAPAAAAZHJzL2Rvd25yZXYueG1sRI9Ba8JA&#10;FITvBf/D8oTe6qahSEjdhKKIOXjRKvT4yD6TtNm3S3Y1sb++Wyj0OMzMN8yqnEwvbjT4zrKC50UC&#10;gri2uuNGwel9+5SB8AFZY2+ZFNzJQ1nMHlaYazvygW7H0IgIYZ+jgjYEl0vp65YM+oV1xNG72MFg&#10;iHJopB5wjHDTyzRJltJgx3GhRUfrluqv49Uo+Niwq7ajrC/fa7f/rLJ+dz2dlXqcT2+vIAJN4T/8&#10;1660gjTJ0hf4vROvgCx+AAAA//8DAFBLAQItABQABgAIAAAAIQDb4fbL7gAAAIUBAAATAAAAAAAA&#10;AAAAAAAAAAAAAABbQ29udGVudF9UeXBlc10ueG1sUEsBAi0AFAAGAAgAAAAhAFr0LFu/AAAAFQEA&#10;AAsAAAAAAAAAAAAAAAAAHwEAAF9yZWxzLy5yZWxzUEsBAi0AFAAGAAgAAAAhAFUrMaXHAAAA3gAA&#10;AA8AAAAAAAAAAAAAAAAABwIAAGRycy9kb3ducmV2LnhtbFBLBQYAAAAAAwADALcAAAD7AgAAAAA=&#10;" filled="f" stroked="f">
                  <v:textbox inset="0,0,0,0">
                    <w:txbxContent>
                      <w:p w14:paraId="13F194C1" w14:textId="77777777" w:rsidR="00B32EF2" w:rsidRDefault="00000000">
                        <w:r>
                          <w:rPr>
                            <w:rFonts w:ascii="Arial" w:eastAsia="Arial" w:hAnsi="Arial" w:cs="Arial"/>
                            <w:i/>
                            <w:color w:val="020202"/>
                            <w:sz w:val="18"/>
                          </w:rPr>
                          <w:t xml:space="preserve">pagamento, salve le disposizioni relative alla dilazione ed alla sospensione </w:t>
                        </w:r>
                      </w:p>
                    </w:txbxContent>
                  </v:textbox>
                </v:rect>
                <v:rect id="Rectangle 20825" o:spid="_x0000_s5421" style="position:absolute;left:28152;top:37905;width:109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5Q+xwAAAN4AAAAPAAAAZHJzL2Rvd25yZXYueG1sRI9Ba8JA&#10;FITvBf/D8oTe6qaBSkjdhKKIOXjRKvT4yD6TtNm3S3Y1sb++Wyj0OMzMN8yqnEwvbjT4zrKC50UC&#10;gri2uuNGwel9+5SB8AFZY2+ZFNzJQ1nMHlaYazvygW7H0IgIYZ+jgjYEl0vp65YM+oV1xNG72MFg&#10;iHJopB5wjHDTyzRJltJgx3GhRUfrluqv49Uo+Niwq7ajrC/fa7f/rLJ+dz2dlXqcT2+vIAJN4T/8&#10;1660gjTJ0hf4vROvgCx+AAAA//8DAFBLAQItABQABgAIAAAAIQDb4fbL7gAAAIUBAAATAAAAAAAA&#10;AAAAAAAAAAAAAABbQ29udGVudF9UeXBlc10ueG1sUEsBAi0AFAAGAAgAAAAhAFr0LFu/AAAAFQEA&#10;AAsAAAAAAAAAAAAAAAAAHwEAAF9yZWxzLy5yZWxzUEsBAi0AFAAGAAgAAAAhADpnlD7HAAAA3gAA&#10;AA8AAAAAAAAAAAAAAAAABwIAAGRycy9kb3ducmV2LnhtbFBLBQYAAAAAAwADALcAAAD7AgAAAAA=&#10;" filled="f" stroked="f">
                  <v:textbox inset="0,0,0,0">
                    <w:txbxContent>
                      <w:p w14:paraId="171ADA87" w14:textId="77777777" w:rsidR="00B32EF2" w:rsidRDefault="00000000">
                        <w:r>
                          <w:rPr>
                            <w:rFonts w:ascii="Arial" w:eastAsia="Arial" w:hAnsi="Arial" w:cs="Arial"/>
                            <w:i/>
                            <w:color w:val="020202"/>
                            <w:sz w:val="18"/>
                          </w:rPr>
                          <w:t xml:space="preserve">del pagamento. </w:t>
                        </w:r>
                      </w:p>
                    </w:txbxContent>
                  </v:textbox>
                </v:rect>
                <v:rect id="Rectangle 201744" o:spid="_x0000_s5422" style="position:absolute;left:-11626;top:36671;width:501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khoxwAAAN8AAAAPAAAAZHJzL2Rvd25yZXYueG1sRI9Ba8JA&#10;FITvgv9heUJvulGkSnQVUcQcvNRa6PGRfSbR7Nslu5rUX98tCD0OM/MNs1x3phYPanxlWcF4lIAg&#10;zq2uuFBw/twP5yB8QNZYWyYFP+Rhver3lphq2/IHPU6hEBHCPkUFZQguldLnJRn0I+uIo3exjcEQ&#10;ZVNI3WAb4aaWkyR5lwYrjgslOtqWlN9Od6Pge8cu27cyvzy37njN5vXhfv5S6m3QbRYgAnXhP/xq&#10;Z1rBJBnPplP4+xO/gFz9AgAA//8DAFBLAQItABQABgAIAAAAIQDb4fbL7gAAAIUBAAATAAAAAAAA&#10;AAAAAAAAAAAAAABbQ29udGVudF9UeXBlc10ueG1sUEsBAi0AFAAGAAgAAAAhAFr0LFu/AAAAFQEA&#10;AAsAAAAAAAAAAAAAAAAAHwEAAF9yZWxzLy5yZWxzUEsBAi0AFAAGAAgAAAAhAJ5OSGjHAAAA3wAA&#10;AA8AAAAAAAAAAAAAAAAABwIAAGRycy9kb3ducmV2LnhtbFBLBQYAAAAAAwADALcAAAD7AgAAAAA=&#10;" filled="f" stroked="f">
                  <v:textbox inset="0,0,0,0">
                    <w:txbxContent>
                      <w:p w14:paraId="797A7D11" w14:textId="77777777" w:rsidR="00B32EF2" w:rsidRDefault="00000000">
                        <w:r>
                          <w:rPr>
                            <w:rFonts w:ascii="Arial" w:eastAsia="Arial" w:hAnsi="Arial" w:cs="Arial"/>
                            <w:i/>
                            <w:color w:val="020202"/>
                            <w:sz w:val="18"/>
                          </w:rPr>
                          <w:t>. Se l’espropriazione non è iniziata entro un anno dalla notifica della car</w:t>
                        </w:r>
                      </w:p>
                    </w:txbxContent>
                  </v:textbox>
                </v:rect>
                <v:rect id="Rectangle 201743" o:spid="_x0000_s5423" style="position:absolute;left:26064;top:36671;width:501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9AcyAAAAN8AAAAPAAAAZHJzL2Rvd25yZXYueG1sRI9Pa8JA&#10;FMTvgt9heUJvutGKldRVikXMoRf/FHp8ZJ9J2uzbJbua6KfvCoLHYWZ+wyxWnanFhRpfWVYwHiUg&#10;iHOrKy4UHA+b4RyED8gaa8uk4EoeVst+b4Gpti3v6LIPhYgQ9ikqKENwqZQ+L8mgH1lHHL2TbQyG&#10;KJtC6gbbCDe1nCTJTBqsOC6U6GhdUv63PxsFP5/ssk0r89Nt7b5+s3m9PR+/lXoZdB/vIAJ14Rl+&#10;tDOtYJKM36avcP8Tv4Bc/gMAAP//AwBQSwECLQAUAAYACAAAACEA2+H2y+4AAACFAQAAEwAAAAAA&#10;AAAAAAAAAAAAAAAAW0NvbnRlbnRfVHlwZXNdLnhtbFBLAQItABQABgAIAAAAIQBa9CxbvwAAABUB&#10;AAALAAAAAAAAAAAAAAAAAB8BAABfcmVscy8ucmVsc1BLAQItABQABgAIAAAAIQARp9AcyAAAAN8A&#10;AAAPAAAAAAAAAAAAAAAAAAcCAABkcnMvZG93bnJldi54bWxQSwUGAAAAAAMAAwC3AAAA/AIAAAAA&#10;" filled="f" stroked="f">
                  <v:textbox inset="0,0,0,0">
                    <w:txbxContent>
                      <w:p w14:paraId="50E75D05" w14:textId="77777777" w:rsidR="00B32EF2" w:rsidRDefault="00000000">
                        <w:r>
                          <w:rPr>
                            <w:rFonts w:ascii="Arial" w:eastAsia="Arial" w:hAnsi="Arial" w:cs="Arial"/>
                            <w:i/>
                            <w:color w:val="020202"/>
                            <w:sz w:val="18"/>
                          </w:rPr>
                          <w:t>2</w:t>
                        </w:r>
                      </w:p>
                    </w:txbxContent>
                  </v:textbox>
                </v:rect>
                <v:rect id="Rectangle 20827" o:spid="_x0000_s5424" style="position:absolute;left:975;top:3667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SxwAAAN4AAAAPAAAAZHJzL2Rvd25yZXYueG1sRI9Ba8JA&#10;FITvBf/D8oTe6qY51JC6CUURc/CiVejxkX0mabNvl+xqYn99t1DocZiZb5hVOZle3GjwnWUFz4sE&#10;BHFtdceNgtP79ikD4QOyxt4yKbiTh7KYPaww13bkA92OoRERwj5HBW0ILpfS1y0Z9AvriKN3sYPB&#10;EOXQSD3gGOGml2mSvEiDHceFFh2tW6q/jlej4GPDrtqOsr58r93+s8r63fV0VupxPr29ggg0hf/w&#10;X7vSCtIkS5fweydeAVn8AAAA//8DAFBLAQItABQABgAIAAAAIQDb4fbL7gAAAIUBAAATAAAAAAAA&#10;AAAAAAAAAAAAAABbQ29udGVudF9UeXBlc10ueG1sUEsBAi0AFAAGAAgAAAAhAFr0LFu/AAAAFQEA&#10;AAsAAAAAAAAAAAAAAAAAHwEAAF9yZWxzLy5yZWxzUEsBAi0AFAAGAAgAAAAhAKX5r9LHAAAA3gAA&#10;AA8AAAAAAAAAAAAAAAAABwIAAGRycy9kb3ducmV2LnhtbFBLBQYAAAAAAwADALcAAAD7AgAAAAA=&#10;" filled="f" stroked="f">
                  <v:textbox inset="0,0,0,0">
                    <w:txbxContent>
                      <w:p w14:paraId="2C4B96A3" w14:textId="77777777" w:rsidR="00B32EF2" w:rsidRDefault="00000000">
                        <w:r>
                          <w:rPr>
                            <w:rFonts w:ascii="Arial" w:eastAsia="Arial" w:hAnsi="Arial" w:cs="Arial"/>
                            <w:i/>
                            <w:color w:val="020202"/>
                            <w:sz w:val="18"/>
                          </w:rPr>
                          <w:t>-</w:t>
                        </w:r>
                      </w:p>
                    </w:txbxContent>
                  </v:textbox>
                </v:rect>
                <v:rect id="Rectangle 20828" o:spid="_x0000_s5425" style="position:absolute;left:-11932;top:35438;width:512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jugwwAAAN4AAAAPAAAAZHJzL2Rvd25yZXYueG1sRE/LisIw&#10;FN0L8w/hCrPT1C6kVKMMDjJduBkf4PLSXNtqcxOaaDvz9WYhuDyc93I9mFY8qPONZQWzaQKCuLS6&#10;4UrB8bCdZCB8QNbYWiYFf+RhvfoYLTHXtudfeuxDJWII+xwV1CG4XEpf1mTQT60jjtzFdgZDhF0l&#10;dYd9DDetTJNkLg02HBtqdLSpqbzt70bB+Ztdse1lefnfuN21yNqf+/Gk1Od4+FqACDSEt/jlLrSC&#10;NMnSuDfeiVdArp4AAAD//wMAUEsBAi0AFAAGAAgAAAAhANvh9svuAAAAhQEAABMAAAAAAAAAAAAA&#10;AAAAAAAAAFtDb250ZW50X1R5cGVzXS54bWxQSwECLQAUAAYACAAAACEAWvQsW78AAAAVAQAACwAA&#10;AAAAAAAAAAAAAAAfAQAAX3JlbHMvLnJlbHNQSwECLQAUAAYACAAAACEA1GY7oMMAAADeAAAADwAA&#10;AAAAAAAAAAAAAAAHAgAAZHJzL2Rvd25yZXYueG1sUEsFBgAAAAADAAMAtwAAAPcCAAAAAA==&#10;" filled="f" stroked="f">
                  <v:textbox inset="0,0,0,0">
                    <w:txbxContent>
                      <w:p w14:paraId="7B076C1F" w14:textId="77777777" w:rsidR="00B32EF2" w:rsidRDefault="00000000">
                        <w:r>
                          <w:rPr>
                            <w:rFonts w:ascii="Arial" w:eastAsia="Arial" w:hAnsi="Arial" w:cs="Arial"/>
                            <w:i/>
                            <w:color w:val="020202"/>
                            <w:sz w:val="18"/>
                          </w:rPr>
                          <w:t xml:space="preserve">tella di pagamento, l’espropriazione stessa deve essere preceduta dalla </w:t>
                        </w:r>
                      </w:p>
                    </w:txbxContent>
                  </v:textbox>
                </v:rect>
                <v:rect id="Rectangle 20829" o:spid="_x0000_s5426" style="position:absolute;left:-11871;top:34205;width:510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p47xwAAAN4AAAAPAAAAZHJzL2Rvd25yZXYueG1sRI9Ba8JA&#10;FITvBf/D8oTe6qY5lDS6CUURc+ilVsHjI/tMotm3S3Y1aX99t1DocZiZb5hVOZle3GnwnWUFz4sE&#10;BHFtdceNgsPn9ikD4QOyxt4yKfgiD2Uxe1hhru3IH3Tfh0ZECPscFbQhuFxKX7dk0C+sI47e2Q4G&#10;Q5RDI/WAY4SbXqZJ8iINdhwXWnS0bqm+7m9GwWnDrtqOsj5/r937pcr63e1wVOpxPr0tQQSawn/4&#10;r11pBWmSpa/weydeAVn8AAAA//8DAFBLAQItABQABgAIAAAAIQDb4fbL7gAAAIUBAAATAAAAAAAA&#10;AAAAAAAAAAAAAABbQ29udGVudF9UeXBlc10ueG1sUEsBAi0AFAAGAAgAAAAhAFr0LFu/AAAAFQEA&#10;AAsAAAAAAAAAAAAAAAAAHwEAAF9yZWxzLy5yZWxzUEsBAi0AFAAGAAgAAAAhALsqnjvHAAAA3gAA&#10;AA8AAAAAAAAAAAAAAAAABwIAAGRycy9kb3ducmV2LnhtbFBLBQYAAAAAAwADALcAAAD7AgAAAAA=&#10;" filled="f" stroked="f">
                  <v:textbox inset="0,0,0,0">
                    <w:txbxContent>
                      <w:p w14:paraId="3786D91D" w14:textId="77777777" w:rsidR="00B32EF2" w:rsidRDefault="00000000">
                        <w:r>
                          <w:rPr>
                            <w:rFonts w:ascii="Arial" w:eastAsia="Arial" w:hAnsi="Arial" w:cs="Arial"/>
                            <w:i/>
                            <w:color w:val="020202"/>
                            <w:sz w:val="18"/>
                          </w:rPr>
                          <w:t xml:space="preserve">notifica, da effettuarsi con le modalità previste dall’articolo 26, di un avviso </w:t>
                        </w:r>
                      </w:p>
                    </w:txbxContent>
                  </v:textbox>
                </v:rect>
                <v:rect id="Rectangle 20830" o:spid="_x0000_s5427" style="position:absolute;left:-11877;top:32971;width:510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aF7xAAAAN4AAAAPAAAAZHJzL2Rvd25yZXYueG1sRI/LisIw&#10;FIb3wrxDOAOz03QUpFSjiIPYxWy8gctDc2yrzUloou3M05uF4PLnv/HNl71pxINaX1tW8D1KQBAX&#10;VtdcKjgeNsMUhA/IGhvLpOCPPCwXH4M5Ztp2vKPHPpQijrDPUEEVgsuk9EVFBv3IOuLoXWxrMETZ&#10;llK32MVx08hxkkylwZrjQ4WO1hUVt/3dKDj/sMs3nSwu/2v3e83TZns/npT6+uxXMxCB+vAOv9q5&#10;VjBO0kkEiDgRBeTiCQAA//8DAFBLAQItABQABgAIAAAAIQDb4fbL7gAAAIUBAAATAAAAAAAAAAAA&#10;AAAAAAAAAABbQ29udGVudF9UeXBlc10ueG1sUEsBAi0AFAAGAAgAAAAhAFr0LFu/AAAAFQEAAAsA&#10;AAAAAAAAAAAAAAAAHwEAAF9yZWxzLy5yZWxzUEsBAi0AFAAGAAgAAAAhAK/JoXvEAAAA3gAAAA8A&#10;AAAAAAAAAAAAAAAABwIAAGRycy9kb3ducmV2LnhtbFBLBQYAAAAAAwADALcAAAD4AgAAAAA=&#10;" filled="f" stroked="f">
                  <v:textbox inset="0,0,0,0">
                    <w:txbxContent>
                      <w:p w14:paraId="0CB355DA" w14:textId="77777777" w:rsidR="00B32EF2" w:rsidRDefault="00000000">
                        <w:r>
                          <w:rPr>
                            <w:rFonts w:ascii="Arial" w:eastAsia="Arial" w:hAnsi="Arial" w:cs="Arial"/>
                            <w:i/>
                            <w:color w:val="020202"/>
                            <w:sz w:val="18"/>
                          </w:rPr>
                          <w:t xml:space="preserve">che contiene l’intimazione ad adempiere l’obbligo risultante dal ruolo entro </w:t>
                        </w:r>
                      </w:p>
                    </w:txbxContent>
                  </v:textbox>
                </v:rect>
                <v:rect id="Rectangle 20831" o:spid="_x0000_s5428" style="position:absolute;left:29933;top:31738;width:92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QTgxgAAAN4AAAAPAAAAZHJzL2Rvd25yZXYueG1sRI9Ba8JA&#10;FITvQv/D8gredKNCCamriCLm0Es1hR4f2WeSmn27ZFeT+uvdQsHjMDPfMMv1YFpxo843lhXMpgkI&#10;4tLqhisFxWk/SUH4gKyxtUwKfsnDevUyWmKmbc+fdDuGSkQI+wwV1CG4TEpf1mTQT60jjt7ZdgZD&#10;lF0ldYd9hJtWzpPkTRpsOC7U6GhbU3k5Xo2C7x27fN/L8nzfuo+fPG0P1+JLqfHrsHkHEWgIz/B/&#10;O9cK5km6mMHfnXgF5OoBAAD//wMAUEsBAi0AFAAGAAgAAAAhANvh9svuAAAAhQEAABMAAAAAAAAA&#10;AAAAAAAAAAAAAFtDb250ZW50X1R5cGVzXS54bWxQSwECLQAUAAYACAAAACEAWvQsW78AAAAVAQAA&#10;CwAAAAAAAAAAAAAAAAAfAQAAX3JlbHMvLnJlbHNQSwECLQAUAAYACAAAACEAwIUE4MYAAADeAAAA&#10;DwAAAAAAAAAAAAAAAAAHAgAAZHJzL2Rvd25yZXYueG1sUEsFBgAAAAADAAMAtwAAAPoCAAAAAA==&#10;" filled="f" stroked="f">
                  <v:textbox inset="0,0,0,0">
                    <w:txbxContent>
                      <w:p w14:paraId="7FBFDFAE" w14:textId="77777777" w:rsidR="00B32EF2" w:rsidRDefault="00000000">
                        <w:r>
                          <w:rPr>
                            <w:rFonts w:ascii="Arial" w:eastAsia="Arial" w:hAnsi="Arial" w:cs="Arial"/>
                            <w:i/>
                            <w:color w:val="020202"/>
                            <w:sz w:val="18"/>
                          </w:rPr>
                          <w:t>cinque giorni.</w:t>
                        </w:r>
                      </w:p>
                    </w:txbxContent>
                  </v:textbox>
                </v:rect>
                <v:rect id="Rectangle 201741" o:spid="_x0000_s5429" style="position:absolute;left:25830;top:30505;width:510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evwyAAAAN8AAAAPAAAAZHJzL2Rvd25yZXYueG1sRI9Pa8JA&#10;FMTvgt9heYI33USKldRVRJHm0Ev9Az0+ss8kbfbtkl1N7Kd3CwWPw8z8hlmue9OIG7W+tqwgnSYg&#10;iAuray4VnI77yQKED8gaG8uk4E4e1qvhYImZth1/0u0QShEh7DNUUIXgMil9UZFBP7WOOHoX2xoM&#10;Ubal1C12EW4aOUuSuTRYc1yo0NG2ouLncDUKvnbs8n0ni8vv1n1854vm/Xo6KzUe9Zs3EIH68Az/&#10;t3OtYJakry8p/P2JX0CuHgAAAP//AwBQSwECLQAUAAYACAAAACEA2+H2y+4AAACFAQAAEwAAAAAA&#10;AAAAAAAAAAAAAAAAW0NvbnRlbnRfVHlwZXNdLnhtbFBLAQItABQABgAIAAAAIQBa9CxbvwAAABUB&#10;AAALAAAAAAAAAAAAAAAAAB8BAABfcmVscy8ucmVsc1BLAQItABQABgAIAAAAIQCOOevwyAAAAN8A&#10;AAAPAAAAAAAAAAAAAAAAAAcCAABkcnMvZG93bnJldi54bWxQSwUGAAAAAAMAAwC3AAAA/AIAAAAA&#10;" filled="f" stroked="f">
                  <v:textbox inset="0,0,0,0">
                    <w:txbxContent>
                      <w:p w14:paraId="19F6E304" w14:textId="77777777" w:rsidR="00B32EF2" w:rsidRDefault="00000000">
                        <w:r>
                          <w:rPr>
                            <w:rFonts w:ascii="Arial" w:eastAsia="Arial" w:hAnsi="Arial" w:cs="Arial"/>
                            <w:i/>
                            <w:color w:val="020202"/>
                            <w:sz w:val="18"/>
                          </w:rPr>
                          <w:t>3</w:t>
                        </w:r>
                      </w:p>
                    </w:txbxContent>
                  </v:textbox>
                </v:rect>
                <v:rect id="Rectangle 201742" o:spid="_x0000_s5430" style="position:absolute;left:-12547;top:30505;width:510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WHyAAAAN8AAAAPAAAAZHJzL2Rvd25yZXYueG1sRI9Pa8JA&#10;FMTvgt9heYI33RiKldRVRJHm0Ev9Az0+ss8kbfbtkl1N7Kd3CwWPw8z8hlmue9OIG7W+tqxgNk1A&#10;EBdW11wqOB33kwUIH5A1NpZJwZ08rFfDwRIzbTv+pNshlCJC2GeooArBZVL6oiKDfmodcfQutjUY&#10;omxLqVvsItw0Mk2SuTRYc1yo0NG2ouLncDUKvnbs8n0ni8vv1n1854vm/Xo6KzUe9Zs3EIH68Az/&#10;t3OtIE1mry8p/P2JX0CuHgAAAP//AwBQSwECLQAUAAYACAAAACEA2+H2y+4AAACFAQAAEwAAAAAA&#10;AAAAAAAAAAAAAAAAW0NvbnRlbnRfVHlwZXNdLnhtbFBLAQItABQABgAIAAAAIQBa9CxbvwAAABUB&#10;AAALAAAAAAAAAAAAAAAAAB8BAABfcmVscy8ucmVsc1BLAQItABQABgAIAAAAIQB+63WHyAAAAN8A&#10;AAAPAAAAAAAAAAAAAAAAAAcCAABkcnMvZG93bnJldi54bWxQSwUGAAAAAAMAAwC3AAAA/AIAAAAA&#10;" filled="f" stroked="f">
                  <v:textbox inset="0,0,0,0">
                    <w:txbxContent>
                      <w:p w14:paraId="6EF2C52A" w14:textId="77777777" w:rsidR="00B32EF2" w:rsidRDefault="00000000">
                        <w:r>
                          <w:rPr>
                            <w:rFonts w:ascii="Arial" w:eastAsia="Arial" w:hAnsi="Arial" w:cs="Arial"/>
                            <w:i/>
                            <w:color w:val="020202"/>
                            <w:sz w:val="18"/>
                          </w:rPr>
                          <w:t xml:space="preserve">. L’avviso di cui al comma 2 è redatto in conformità al modello approvato </w:t>
                        </w:r>
                      </w:p>
                    </w:txbxContent>
                  </v:textbox>
                </v:rect>
                <v:rect id="Rectangle 20833" o:spid="_x0000_s5431" style="position:absolute;left:-11872;top:29272;width:510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z8MxgAAAN4AAAAPAAAAZHJzL2Rvd25yZXYueG1sRI9Ba8JA&#10;FITvBf/D8oTe6kaFEqKriCLNwUvVQo+P7DOJZt8u2dXE/vquIHgcZuYbZr7sTSNu1PrasoLxKAFB&#10;XFhdc6ngeNh+pCB8QNbYWCYFd/KwXAze5php2/E33fahFBHCPkMFVQguk9IXFRn0I+uIo3eyrcEQ&#10;ZVtK3WIX4aaRkyT5lAZrjgsVOlpXVFz2V6Pgd8Mu33ayOP2t3e6cp83X9fij1PuwX81ABOrDK/xs&#10;51rBJEmnU3jciVdALv4BAAD//wMAUEsBAi0AFAAGAAgAAAAhANvh9svuAAAAhQEAABMAAAAAAAAA&#10;AAAAAAAAAAAAAFtDb250ZW50X1R5cGVzXS54bWxQSwECLQAUAAYACAAAACEAWvQsW78AAAAVAQAA&#10;CwAAAAAAAAAAAAAAAAAfAQAAX3JlbHMvLnJlbHNQSwECLQAUAAYACAAAACEAXxs/DMYAAADeAAAA&#10;DwAAAAAAAAAAAAAAAAAHAgAAZHJzL2Rvd25yZXYueG1sUEsFBgAAAAADAAMAtwAAAPoCAAAAAA==&#10;" filled="f" stroked="f">
                  <v:textbox inset="0,0,0,0">
                    <w:txbxContent>
                      <w:p w14:paraId="1DC9D53A" w14:textId="77777777" w:rsidR="00B32EF2" w:rsidRDefault="00000000">
                        <w:r>
                          <w:rPr>
                            <w:rFonts w:ascii="Arial" w:eastAsia="Arial" w:hAnsi="Arial" w:cs="Arial"/>
                            <w:i/>
                            <w:color w:val="020202"/>
                            <w:sz w:val="18"/>
                          </w:rPr>
                          <w:t xml:space="preserve">con decreto del Ministero delle finanze e perde efficacia trascorso un anno </w:t>
                        </w:r>
                      </w:p>
                    </w:txbxContent>
                  </v:textbox>
                </v:rect>
                <v:rect id="Rectangle 20834" o:spid="_x0000_s5432" style="position:absolute;left:23484;top:28038;width:156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qd4xwAAAN4AAAAPAAAAZHJzL2Rvd25yZXYueG1sRI9Pa8JA&#10;FMTvBb/D8gRvdaMtJURXEUWaQy/1D3h8ZJ9JNPt2ya4m9tN3CwWPw8z8hpkve9OIO7W+tqxgMk5A&#10;EBdW11wqOOy3rykIH5A1NpZJwYM8LBeDlzlm2nb8TfddKEWEsM9QQRWCy6T0RUUG/dg64uidbWsw&#10;RNmWUrfYRbhp5DRJPqTBmuNChY7WFRXX3c0oOG3Y5dtOFueftfu65GnzeTsclRoN+9UMRKA+PMP/&#10;7VwrmCbp2zv83YlXQC5+AQAA//8DAFBLAQItABQABgAIAAAAIQDb4fbL7gAAAIUBAAATAAAAAAAA&#10;AAAAAAAAAAAAAABbQ29udGVudF9UeXBlc10ueG1sUEsBAi0AFAAGAAgAAAAhAFr0LFu/AAAAFQEA&#10;AAsAAAAAAAAAAAAAAAAAHwEAAF9yZWxzLy5yZWxzUEsBAi0AFAAGAAgAAAAhANDyp3jHAAAA3gAA&#10;AA8AAAAAAAAAAAAAAAAABwIAAGRycy9kb3ducmV2LnhtbFBLBQYAAAAAAwADALcAAAD7AgAAAAA=&#10;" filled="f" stroked="f">
                  <v:textbox inset="0,0,0,0">
                    <w:txbxContent>
                      <w:p w14:paraId="6EE8A3FF" w14:textId="77777777" w:rsidR="00B32EF2" w:rsidRDefault="00000000">
                        <w:r>
                          <w:rPr>
                            <w:rFonts w:ascii="Arial" w:eastAsia="Arial" w:hAnsi="Arial" w:cs="Arial"/>
                            <w:i/>
                            <w:color w:val="020202"/>
                            <w:sz w:val="18"/>
                          </w:rPr>
                          <w:t>dalla data della notifica</w:t>
                        </w:r>
                      </w:p>
                    </w:txbxContent>
                  </v:textbox>
                </v:rect>
                <v:rect id="Rectangle 20835" o:spid="_x0000_s5433" style="position:absolute;left:26965;top:28038;width:4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LjxwAAAN4AAAAPAAAAZHJzL2Rvd25yZXYueG1sRI9Pa8JA&#10;FMTvBb/D8gRvdaOlJURXEUWaQy/1D3h8ZJ9JNPt2ya4m9tN3CwWPw8z8hpkve9OIO7W+tqxgMk5A&#10;EBdW11wqOOy3rykIH5A1NpZJwYM8LBeDlzlm2nb8TfddKEWEsM9QQRWCy6T0RUUG/dg64uidbWsw&#10;RNmWUrfYRbhp5DRJPqTBmuNChY7WFRXX3c0oOG3Y5dtOFueftfu65GnzeTsclRoN+9UMRKA+PMP/&#10;7VwrmCbp2zv83YlXQC5+AQAA//8DAFBLAQItABQABgAIAAAAIQDb4fbL7gAAAIUBAAATAAAAAAAA&#10;AAAAAAAAAAAAAABbQ29udGVudF9UeXBlc10ueG1sUEsBAi0AFAAGAAgAAAAhAFr0LFu/AAAAFQEA&#10;AAsAAAAAAAAAAAAAAAAAHwEAAF9yZWxzLy5yZWxzUEsBAi0AFAAGAAgAAAAhAL++AuPHAAAA3gAA&#10;AA8AAAAAAAAAAAAAAAAABwIAAGRycy9kb3ducmV2LnhtbFBLBQYAAAAAAwADALcAAAD7AgAAAAA=&#10;" filled="f" stroked="f">
                  <v:textbox inset="0,0,0,0">
                    <w:txbxContent>
                      <w:p w14:paraId="051BCD46" w14:textId="77777777" w:rsidR="00B32EF2" w:rsidRDefault="00000000">
                        <w:r>
                          <w:rPr>
                            <w:rFonts w:ascii="Arial" w:eastAsia="Arial" w:hAnsi="Arial" w:cs="Arial"/>
                            <w:color w:val="020202"/>
                            <w:sz w:val="18"/>
                          </w:rPr>
                          <w:t>.</w:t>
                        </w:r>
                      </w:p>
                    </w:txbxContent>
                  </v:textbox>
                </v:rect>
                <v:rect id="Rectangle 20836" o:spid="_x0000_s5434" style="position:absolute;left:23566;top:26805;width:155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JyUxgAAAN4AAAAPAAAAZHJzL2Rvd25yZXYueG1sRI9Ba8JA&#10;FITvBf/D8gre6qYWJKSuIoo0By/VCB4f2WeSmn27ZFcT/fXdQsHjMDPfMPPlYFpxo843lhW8TxIQ&#10;xKXVDVcKisP2LQXhA7LG1jIpuJOH5WL0MsdM256/6bYPlYgQ9hkqqENwmZS+rMmgn1hHHL2z7QyG&#10;KLtK6g77CDetnCbJTBpsOC7U6GhdU3nZX42C04Zdvu1leX6s3e4nT9uva3FUavw6rD5BBBrCM/zf&#10;zrWCaZJ+zODvTrwCcvELAAD//wMAUEsBAi0AFAAGAAgAAAAhANvh9svuAAAAhQEAABMAAAAAAAAA&#10;AAAAAAAAAAAAAFtDb250ZW50X1R5cGVzXS54bWxQSwECLQAUAAYACAAAACEAWvQsW78AAAAVAQAA&#10;CwAAAAAAAAAAAAAAAAAfAQAAX3JlbHMvLnJlbHNQSwECLQAUAAYACAAAACEAT2yclMYAAADeAAAA&#10;DwAAAAAAAAAAAAAAAAAHAgAAZHJzL2Rvd25yZXYueG1sUEsFBgAAAAADAAMAtwAAAPoCAAAAAA==&#10;" filled="f" stroked="f">
                  <v:textbox inset="0,0,0,0">
                    <w:txbxContent>
                      <w:p w14:paraId="623EE00D" w14:textId="77777777" w:rsidR="00B32EF2" w:rsidRDefault="00000000">
                        <w:r>
                          <w:rPr>
                            <w:rFonts w:ascii="Arial" w:eastAsia="Arial" w:hAnsi="Arial" w:cs="Arial"/>
                            <w:b/>
                            <w:i/>
                            <w:color w:val="020202"/>
                            <w:sz w:val="18"/>
                          </w:rPr>
                          <w:t>NORME COLLEGATE</w:t>
                        </w:r>
                      </w:p>
                    </w:txbxContent>
                  </v:textbox>
                </v:rect>
                <v:rect id="Rectangle 20837" o:spid="_x0000_s5435" style="position:absolute;left:-11852;top:25572;width:509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DkPxwAAAN4AAAAPAAAAZHJzL2Rvd25yZXYueG1sRI9Pa8JA&#10;FMTvBb/D8gRvdaOFNkRXEUWaQy/1D3h8ZJ9JNPt2ya4m9tN3CwWPw8z8hpkve9OIO7W+tqxgMk5A&#10;EBdW11wqOOy3rykIH5A1NpZJwYM8LBeDlzlm2nb8TfddKEWEsM9QQRWCy6T0RUUG/dg64uidbWsw&#10;RNmWUrfYRbhp5DRJ3qXBmuNChY7WFRXX3c0oOG3Y5dtOFueftfu65GnzeTsclRoN+9UMRKA+PMP/&#10;7VwrmCbp2wf83YlXQC5+AQAA//8DAFBLAQItABQABgAIAAAAIQDb4fbL7gAAAIUBAAATAAAAAAAA&#10;AAAAAAAAAAAAAABbQ29udGVudF9UeXBlc10ueG1sUEsBAi0AFAAGAAgAAAAhAFr0LFu/AAAAFQEA&#10;AAsAAAAAAAAAAAAAAAAAHwEAAF9yZWxzLy5yZWxzUEsBAi0AFAAGAAgAAAAhACAgOQ/HAAAA3gAA&#10;AA8AAAAAAAAAAAAAAAAABwIAAGRycy9kb3ducmV2LnhtbFBLBQYAAAAAAwADALcAAAD7AgAAAAA=&#10;" filled="f" stroked="f">
                  <v:textbox inset="0,0,0,0">
                    <w:txbxContent>
                      <w:p w14:paraId="543CF74E" w14:textId="77777777" w:rsidR="00B32EF2" w:rsidRDefault="00000000">
                        <w:r>
                          <w:rPr>
                            <w:rFonts w:ascii="Arial" w:eastAsia="Arial" w:hAnsi="Arial" w:cs="Arial"/>
                            <w:i/>
                            <w:color w:val="020202"/>
                            <w:sz w:val="18"/>
                          </w:rPr>
                          <w:t xml:space="preserve">art. 5 c.p.c. “Momento determinante della giurisdizione e della competenza” </w:t>
                        </w:r>
                      </w:p>
                    </w:txbxContent>
                  </v:textbox>
                </v:rect>
                <v:rect id="Rectangle 20838" o:spid="_x0000_s5436" style="position:absolute;left:-11908;top:24338;width:511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619wwAAAN4AAAAPAAAAZHJzL2Rvd25yZXYueG1sRE/LisIw&#10;FN0L8w/hDsxO01GQUo0iDmIXs/EFLi/Nta02N6GJtjNfbxaCy8N5z5e9acSDWl9bVvA9SkAQF1bX&#10;XCo4HjbDFIQPyBoby6TgjzwsFx+DOWbadryjxz6UIoawz1BBFYLLpPRFRQb9yDriyF1sazBE2JZS&#10;t9jFcNPIcZJMpcGaY0OFjtYVFbf93Sg4/7DLN50sLv9r93vN02Z7P56U+vrsVzMQgfrwFr/cuVYw&#10;TtJJ3BvvxCsgF08AAAD//wMAUEsBAi0AFAAGAAgAAAAhANvh9svuAAAAhQEAABMAAAAAAAAAAAAA&#10;AAAAAAAAAFtDb250ZW50X1R5cGVzXS54bWxQSwECLQAUAAYACAAAACEAWvQsW78AAAAVAQAACwAA&#10;AAAAAAAAAAAAAAAfAQAAX3JlbHMvLnJlbHNQSwECLQAUAAYACAAAACEAUb+tfcMAAADeAAAADwAA&#10;AAAAAAAAAAAAAAAHAgAAZHJzL2Rvd25yZXYueG1sUEsFBgAAAAADAAMAtwAAAPcCAAAAAA==&#10;" filled="f" stroked="f">
                  <v:textbox inset="0,0,0,0">
                    <w:txbxContent>
                      <w:p w14:paraId="09CBFD54" w14:textId="77777777" w:rsidR="00B32EF2" w:rsidRDefault="00000000">
                        <w:r>
                          <w:rPr>
                            <w:rFonts w:ascii="Arial" w:eastAsia="Arial" w:hAnsi="Arial" w:cs="Arial"/>
                            <w:i/>
                            <w:color w:val="020202"/>
                            <w:sz w:val="18"/>
                          </w:rPr>
                          <w:t xml:space="preserve">La giurisdizione e la competenza si determinano con riguardo alla legge </w:t>
                        </w:r>
                      </w:p>
                    </w:txbxContent>
                  </v:textbox>
                </v:rect>
                <v:rect id="Rectangle 20839" o:spid="_x0000_s5437" style="position:absolute;left:-11902;top:23105;width:511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jmxwAAAN4AAAAPAAAAZHJzL2Rvd25yZXYueG1sRI9Pa8JA&#10;FMTvBb/D8gRvdaOFEqOriCLNoZf6Bzw+ss8kmn27ZFcT++m7hUKPw8z8hlmsetOIB7W+tqxgMk5A&#10;EBdW11wqOB52rykIH5A1NpZJwZM8rJaDlwVm2nb8RY99KEWEsM9QQRWCy6T0RUUG/dg64uhdbGsw&#10;RNmWUrfYRbhp5DRJ3qXBmuNChY42FRW3/d0oOG/Z5btOFpfvjfu85mnzcT+elBoN+/UcRKA+/If/&#10;2rlWME3Stxn83olXQC5/AAAA//8DAFBLAQItABQABgAIAAAAIQDb4fbL7gAAAIUBAAATAAAAAAAA&#10;AAAAAAAAAAAAAABbQ29udGVudF9UeXBlc10ueG1sUEsBAi0AFAAGAAgAAAAhAFr0LFu/AAAAFQEA&#10;AAsAAAAAAAAAAAAAAAAAHwEAAF9yZWxzLy5yZWxzUEsBAi0AFAAGAAgAAAAhAD7zCObHAAAA3gAA&#10;AA8AAAAAAAAAAAAAAAAABwIAAGRycy9kb3ducmV2LnhtbFBLBQYAAAAAAwADALcAAAD7AgAAAAA=&#10;" filled="f" stroked="f">
                  <v:textbox inset="0,0,0,0">
                    <w:txbxContent>
                      <w:p w14:paraId="441F3571" w14:textId="77777777" w:rsidR="00B32EF2" w:rsidRDefault="00000000">
                        <w:r>
                          <w:rPr>
                            <w:rFonts w:ascii="Arial" w:eastAsia="Arial" w:hAnsi="Arial" w:cs="Arial"/>
                            <w:i/>
                            <w:color w:val="020202"/>
                            <w:sz w:val="18"/>
                          </w:rPr>
                          <w:t xml:space="preserve">vigente e allo stato di fatto esistente al momento della proposizione della </w:t>
                        </w:r>
                      </w:p>
                    </w:txbxContent>
                  </v:textbox>
                </v:rect>
                <v:rect id="Rectangle 20840" o:spid="_x0000_s5438" style="position:absolute;left:-11905;top:21872;width:511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9IGxAAAAN4AAAAPAAAAZHJzL2Rvd25yZXYueG1sRI/LisIw&#10;FIb3wrxDOAOz03REpFSjiIPYxWy8gctDc2yrzUloou3M05uF4PLnv/HNl71pxINaX1tW8D1KQBAX&#10;VtdcKjgeNsMUhA/IGhvLpOCPPCwXH4M5Ztp2vKPHPpQijrDPUEEVgsuk9EVFBv3IOuLoXWxrMETZ&#10;llK32MVx08hxkkylwZrjQ4WO1hUVt/3dKDj/sMs3nSwu/2v3e83TZns/npT6+uxXMxCB+vAOv9q5&#10;VjBO0kkEiDgRBeTiCQAA//8DAFBLAQItABQABgAIAAAAIQDb4fbL7gAAAIUBAAATAAAAAAAAAAAA&#10;AAAAAAAAAABbQ29udGVudF9UeXBlc10ueG1sUEsBAi0AFAAGAAgAAAAhAFr0LFu/AAAAFQEAAAsA&#10;AAAAAAAAAAAAAAAAHwEAAF9yZWxzLy5yZWxzUEsBAi0AFAAGAAgAAAAhAPfP0gbEAAAA3gAAAA8A&#10;AAAAAAAAAAAAAAAABwIAAGRycy9kb3ducmV2LnhtbFBLBQYAAAAAAwADALcAAAD4AgAAAAA=&#10;" filled="f" stroked="f">
                  <v:textbox inset="0,0,0,0">
                    <w:txbxContent>
                      <w:p w14:paraId="74072DD7" w14:textId="77777777" w:rsidR="00B32EF2" w:rsidRDefault="00000000">
                        <w:r>
                          <w:rPr>
                            <w:rFonts w:ascii="Arial" w:eastAsia="Arial" w:hAnsi="Arial" w:cs="Arial"/>
                            <w:i/>
                            <w:color w:val="020202"/>
                            <w:sz w:val="18"/>
                          </w:rPr>
                          <w:t xml:space="preserve">domanda, e non hanno rilevanza rispetto ad esse i successivi mutamenti </w:t>
                        </w:r>
                      </w:p>
                    </w:txbxContent>
                  </v:textbox>
                </v:rect>
                <v:rect id="Rectangle 20841" o:spid="_x0000_s5439" style="position:absolute;left:15053;top:20638;width:24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3edxgAAAN4AAAAPAAAAZHJzL2Rvd25yZXYueG1sRI9Ba8JA&#10;FITvQv/D8gredKNICamriCLm0Es1hR4f2WeSmn27ZFeT+uvdQsHjMDPfMMv1YFpxo843lhXMpgkI&#10;4tLqhisFxWk/SUH4gKyxtUwKfsnDevUyWmKmbc+fdDuGSkQI+wwV1CG4TEpf1mTQT60jjt7ZdgZD&#10;lF0ldYd9hJtWzpPkTRpsOC7U6GhbU3k5Xo2C7x27fN/L8nzfuo+fPG0P1+JLqfHrsHkHEWgIz/B/&#10;O9cK5km6mMHfnXgF5OoBAAD//wMAUEsBAi0AFAAGAAgAAAAhANvh9svuAAAAhQEAABMAAAAAAAAA&#10;AAAAAAAAAAAAAFtDb250ZW50X1R5cGVzXS54bWxQSwECLQAUAAYACAAAACEAWvQsW78AAAAVAQAA&#10;CwAAAAAAAAAAAAAAAAAfAQAAX3JlbHMvLnJlbHNQSwECLQAUAAYACAAAACEAmIN3ncYAAADeAAAA&#10;DwAAAAAAAAAAAAAAAAAHAgAAZHJzL2Rvd25yZXYueG1sUEsFBgAAAAADAAMAtwAAAPoCAAAAAA==&#10;" filled="f" stroked="f">
                  <v:textbox inset="0,0,0,0">
                    <w:txbxContent>
                      <w:p w14:paraId="27C2EBB1" w14:textId="77777777" w:rsidR="00B32EF2" w:rsidRDefault="00000000">
                        <w:r>
                          <w:rPr>
                            <w:rFonts w:ascii="Arial" w:eastAsia="Arial" w:hAnsi="Arial" w:cs="Arial"/>
                            <w:i/>
                            <w:color w:val="020202"/>
                            <w:sz w:val="18"/>
                          </w:rPr>
                          <w:t>della legge o dello stato medesimo.</w:t>
                        </w:r>
                      </w:p>
                    </w:txbxContent>
                  </v:textbox>
                </v:rect>
                <v:shape id="Shape 20842" o:spid="_x0000_s5440" style="position:absolute;left:317;top:20176;width:39600;height:26108;visibility:visible;mso-wrap-style:square;v-text-anchor:top" coordsize="3960000,261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dD3xwAAAN4AAAAPAAAAZHJzL2Rvd25yZXYueG1sRI9PawIx&#10;FMTvQr9DeIXearaLFF2NYgsFLy34h/b63Dx3UzcvS5Lqrp/eCAWPw8z8hpktOtuIE/lgHCt4GWYg&#10;iEunDVcKdtuP5zGIEJE1No5JQU8BFvOHwQwL7c68ptMmViJBOBSooI6xLaQMZU0Ww9C1xMk7OG8x&#10;JukrqT2eE9w2Ms+yV2nRcFqosaX3msrj5s8qeLvs18fLZL/sfkxPn/xl/O93r9TTY7ecgojUxXv4&#10;v73SCvJsPMrhdiddATm/AgAA//8DAFBLAQItABQABgAIAAAAIQDb4fbL7gAAAIUBAAATAAAAAAAA&#10;AAAAAAAAAAAAAABbQ29udGVudF9UeXBlc10ueG1sUEsBAi0AFAAGAAgAAAAhAFr0LFu/AAAAFQEA&#10;AAsAAAAAAAAAAAAAAAAAHwEAAF9yZWxzLy5yZWxzUEsBAi0AFAAGAAgAAAAhAENx0PfHAAAA3gAA&#10;AA8AAAAAAAAAAAAAAAAABwIAAGRycy9kb3ducmV2LnhtbFBLBQYAAAAAAwADALcAAAD7AgAAAAA=&#10;" path="m,2610802r3960000,l3960000,,,,,2610802xe" filled="f" strokeweight="1pt">
                  <v:stroke miterlimit="1" joinstyle="miter"/>
                  <v:path arrowok="t" textboxrect="0,0,3960000,2610802"/>
                </v:shape>
                <w10:anchorlock/>
              </v:group>
            </w:pict>
          </mc:Fallback>
        </mc:AlternateContent>
      </w:r>
    </w:p>
    <w:p w14:paraId="1BCC9359" w14:textId="77777777" w:rsidR="00B32EF2" w:rsidRDefault="00000000">
      <w:pPr>
        <w:spacing w:after="0"/>
        <w:ind w:left="-357" w:right="-306"/>
      </w:pPr>
      <w:r>
        <w:rPr>
          <w:noProof/>
        </w:rPr>
        <w:lastRenderedPageBreak/>
        <mc:AlternateContent>
          <mc:Choice Requires="wpg">
            <w:drawing>
              <wp:inline distT="0" distB="0" distL="0" distR="0" wp14:anchorId="1511AAF0" wp14:editId="61D76C36">
                <wp:extent cx="3991951" cy="6262854"/>
                <wp:effectExtent l="0" t="0" r="0" b="0"/>
                <wp:docPr id="201706" name="Group 201706"/>
                <wp:cNvGraphicFramePr/>
                <a:graphic xmlns:a="http://schemas.openxmlformats.org/drawingml/2006/main">
                  <a:graphicData uri="http://schemas.microsoft.com/office/word/2010/wordprocessingGroup">
                    <wpg:wgp>
                      <wpg:cNvGrpSpPr/>
                      <wpg:grpSpPr>
                        <a:xfrm>
                          <a:off x="0" y="0"/>
                          <a:ext cx="3991951" cy="6262854"/>
                          <a:chOff x="0" y="0"/>
                          <a:chExt cx="3991951" cy="6262854"/>
                        </a:xfrm>
                      </wpg:grpSpPr>
                      <wps:wsp>
                        <wps:cNvPr id="20866" name="Rectangle 20866"/>
                        <wps:cNvSpPr/>
                        <wps:spPr>
                          <a:xfrm rot="-10799999">
                            <a:off x="1900722" y="-62190"/>
                            <a:ext cx="178369" cy="250646"/>
                          </a:xfrm>
                          <a:prstGeom prst="rect">
                            <a:avLst/>
                          </a:prstGeom>
                          <a:ln>
                            <a:noFill/>
                          </a:ln>
                        </wps:spPr>
                        <wps:txbx>
                          <w:txbxContent>
                            <w:p w14:paraId="43215128" w14:textId="77777777" w:rsidR="00B32EF2" w:rsidRDefault="00000000">
                              <w:r>
                                <w:rPr>
                                  <w:rFonts w:ascii="Times New Roman" w:eastAsia="Times New Roman" w:hAnsi="Times New Roman" w:cs="Times New Roman"/>
                                </w:rPr>
                                <w:t>39</w:t>
                              </w:r>
                            </w:p>
                          </w:txbxContent>
                        </wps:txbx>
                        <wps:bodyPr horzOverflow="overflow" vert="horz" lIns="0" tIns="0" rIns="0" bIns="0" rtlCol="0">
                          <a:noAutofit/>
                        </wps:bodyPr>
                      </wps:wsp>
                      <wps:wsp>
                        <wps:cNvPr id="20867" name="Rectangle 20867"/>
                        <wps:cNvSpPr/>
                        <wps:spPr>
                          <a:xfrm rot="-10799999">
                            <a:off x="1647019" y="6119965"/>
                            <a:ext cx="584255" cy="142889"/>
                          </a:xfrm>
                          <a:prstGeom prst="rect">
                            <a:avLst/>
                          </a:prstGeom>
                          <a:ln>
                            <a:noFill/>
                          </a:ln>
                        </wps:spPr>
                        <wps:txbx>
                          <w:txbxContent>
                            <w:p w14:paraId="7C774278" w14:textId="77777777" w:rsidR="00B32EF2" w:rsidRDefault="00000000">
                              <w:r>
                                <w:rPr>
                                  <w:rFonts w:ascii="Arial" w:eastAsia="Arial" w:hAnsi="Arial" w:cs="Arial"/>
                                  <w:b/>
                                  <w:sz w:val="18"/>
                                </w:rPr>
                                <w:t>CAPO V</w:t>
                              </w:r>
                            </w:p>
                          </w:txbxContent>
                        </wps:txbx>
                        <wps:bodyPr horzOverflow="overflow" vert="horz" lIns="0" tIns="0" rIns="0" bIns="0" rtlCol="0">
                          <a:noAutofit/>
                        </wps:bodyPr>
                      </wps:wsp>
                      <wps:wsp>
                        <wps:cNvPr id="20868" name="Rectangle 20868"/>
                        <wps:cNvSpPr/>
                        <wps:spPr>
                          <a:xfrm rot="-10799999">
                            <a:off x="-504319" y="5980289"/>
                            <a:ext cx="4032213" cy="142889"/>
                          </a:xfrm>
                          <a:prstGeom prst="rect">
                            <a:avLst/>
                          </a:prstGeom>
                          <a:ln>
                            <a:noFill/>
                          </a:ln>
                        </wps:spPr>
                        <wps:txbx>
                          <w:txbxContent>
                            <w:p w14:paraId="12DA5B8C" w14:textId="77777777" w:rsidR="00B32EF2" w:rsidRDefault="00000000">
                              <w:r>
                                <w:rPr>
                                  <w:rFonts w:ascii="Arial" w:eastAsia="Arial" w:hAnsi="Arial" w:cs="Arial"/>
                                  <w:b/>
                                  <w:sz w:val="18"/>
                                </w:rPr>
                                <w:t xml:space="preserve"> SEZIONE CIVILE PRESSO LA CORTE DI CASSAZIONE</w:t>
                              </w:r>
                            </w:p>
                          </w:txbxContent>
                        </wps:txbx>
                        <wps:bodyPr horzOverflow="overflow" vert="horz" lIns="0" tIns="0" rIns="0" bIns="0" rtlCol="0">
                          <a:noAutofit/>
                        </wps:bodyPr>
                      </wps:wsp>
                      <wps:wsp>
                        <wps:cNvPr id="20869" name="Rectangle 20869"/>
                        <wps:cNvSpPr/>
                        <wps:spPr>
                          <a:xfrm rot="-10799999">
                            <a:off x="1505137" y="5700940"/>
                            <a:ext cx="813347" cy="142889"/>
                          </a:xfrm>
                          <a:prstGeom prst="rect">
                            <a:avLst/>
                          </a:prstGeom>
                          <a:ln>
                            <a:noFill/>
                          </a:ln>
                        </wps:spPr>
                        <wps:txbx>
                          <w:txbxContent>
                            <w:p w14:paraId="604B6113" w14:textId="77777777" w:rsidR="00B32EF2" w:rsidRDefault="00000000">
                              <w:r>
                                <w:rPr>
                                  <w:rFonts w:ascii="Arial" w:eastAsia="Arial" w:hAnsi="Arial" w:cs="Arial"/>
                                  <w:b/>
                                  <w:sz w:val="18"/>
                                </w:rPr>
                                <w:t>Articolo 44</w:t>
                              </w:r>
                            </w:p>
                          </w:txbxContent>
                        </wps:txbx>
                        <wps:bodyPr horzOverflow="overflow" vert="horz" lIns="0" tIns="0" rIns="0" bIns="0" rtlCol="0">
                          <a:noAutofit/>
                        </wps:bodyPr>
                      </wps:wsp>
                      <wps:wsp>
                        <wps:cNvPr id="201676" name="Rectangle 201676"/>
                        <wps:cNvSpPr/>
                        <wps:spPr>
                          <a:xfrm rot="-10799999">
                            <a:off x="350232" y="5561266"/>
                            <a:ext cx="1586045" cy="142889"/>
                          </a:xfrm>
                          <a:prstGeom prst="rect">
                            <a:avLst/>
                          </a:prstGeom>
                          <a:ln>
                            <a:noFill/>
                          </a:ln>
                        </wps:spPr>
                        <wps:txbx>
                          <w:txbxContent>
                            <w:p w14:paraId="6545FB7F" w14:textId="77777777" w:rsidR="00B32EF2" w:rsidRDefault="00000000">
                              <w:r>
                                <w:rPr>
                                  <w:rFonts w:ascii="Arial" w:eastAsia="Arial" w:hAnsi="Arial" w:cs="Arial"/>
                                  <w:i/>
                                  <w:sz w:val="18"/>
                                </w:rPr>
                                <w:t>130/2022)</w:t>
                              </w:r>
                            </w:p>
                          </w:txbxContent>
                        </wps:txbx>
                        <wps:bodyPr horzOverflow="overflow" vert="horz" lIns="0" tIns="0" rIns="0" bIns="0" rtlCol="0">
                          <a:noAutofit/>
                        </wps:bodyPr>
                      </wps:wsp>
                      <wps:wsp>
                        <wps:cNvPr id="201678" name="Rectangle 201678"/>
                        <wps:cNvSpPr/>
                        <wps:spPr>
                          <a:xfrm rot="-10799999">
                            <a:off x="1507588" y="5561266"/>
                            <a:ext cx="1586045" cy="142889"/>
                          </a:xfrm>
                          <a:prstGeom prst="rect">
                            <a:avLst/>
                          </a:prstGeom>
                          <a:ln>
                            <a:noFill/>
                          </a:ln>
                        </wps:spPr>
                        <wps:txbx>
                          <w:txbxContent>
                            <w:p w14:paraId="255CADC3" w14:textId="77777777" w:rsidR="00B32EF2" w:rsidRDefault="00000000">
                              <w:r>
                                <w:rPr>
                                  <w:rFonts w:ascii="Arial" w:eastAsia="Arial" w:hAnsi="Arial" w:cs="Arial"/>
                                  <w:i/>
                                  <w:sz w:val="18"/>
                                </w:rPr>
                                <w:t xml:space="preserve">articolo 3 L. </w:t>
                              </w:r>
                            </w:p>
                          </w:txbxContent>
                        </wps:txbx>
                        <wps:bodyPr horzOverflow="overflow" vert="horz" lIns="0" tIns="0" rIns="0" bIns="0" rtlCol="0">
                          <a:noAutofit/>
                        </wps:bodyPr>
                      </wps:wsp>
                      <wps:wsp>
                        <wps:cNvPr id="201673" name="Rectangle 201673"/>
                        <wps:cNvSpPr/>
                        <wps:spPr>
                          <a:xfrm rot="-10799999">
                            <a:off x="2176644" y="5561266"/>
                            <a:ext cx="1586045" cy="142889"/>
                          </a:xfrm>
                          <a:prstGeom prst="rect">
                            <a:avLst/>
                          </a:prstGeom>
                          <a:ln>
                            <a:noFill/>
                          </a:ln>
                        </wps:spPr>
                        <wps:txbx>
                          <w:txbxContent>
                            <w:p w14:paraId="0742E15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871" name="Rectangle 20871"/>
                        <wps:cNvSpPr/>
                        <wps:spPr>
                          <a:xfrm rot="-10799999">
                            <a:off x="-1283455" y="5421592"/>
                            <a:ext cx="5255176" cy="142889"/>
                          </a:xfrm>
                          <a:prstGeom prst="rect">
                            <a:avLst/>
                          </a:prstGeom>
                          <a:ln>
                            <a:noFill/>
                          </a:ln>
                        </wps:spPr>
                        <wps:txbx>
                          <w:txbxContent>
                            <w:p w14:paraId="15AFD58F" w14:textId="77777777" w:rsidR="00B32EF2" w:rsidRDefault="00000000">
                              <w:r>
                                <w:rPr>
                                  <w:rFonts w:ascii="Arial" w:eastAsia="Arial" w:hAnsi="Arial" w:cs="Arial"/>
                                  <w:b/>
                                  <w:sz w:val="18"/>
                                </w:rPr>
                                <w:t xml:space="preserve">Misure per la definizione del contenzioso tributario pendente presso la </w:t>
                              </w:r>
                            </w:p>
                          </w:txbxContent>
                        </wps:txbx>
                        <wps:bodyPr horzOverflow="overflow" vert="horz" lIns="0" tIns="0" rIns="0" bIns="0" rtlCol="0">
                          <a:noAutofit/>
                        </wps:bodyPr>
                      </wps:wsp>
                      <wps:wsp>
                        <wps:cNvPr id="20872" name="Rectangle 20872"/>
                        <wps:cNvSpPr/>
                        <wps:spPr>
                          <a:xfrm rot="-10799999">
                            <a:off x="1041404" y="5281916"/>
                            <a:ext cx="1529798" cy="142889"/>
                          </a:xfrm>
                          <a:prstGeom prst="rect">
                            <a:avLst/>
                          </a:prstGeom>
                          <a:ln>
                            <a:noFill/>
                          </a:ln>
                        </wps:spPr>
                        <wps:txbx>
                          <w:txbxContent>
                            <w:p w14:paraId="4A7618BC" w14:textId="77777777" w:rsidR="00B32EF2" w:rsidRDefault="00000000">
                              <w:r>
                                <w:rPr>
                                  <w:rFonts w:ascii="Arial" w:eastAsia="Arial" w:hAnsi="Arial" w:cs="Arial"/>
                                  <w:b/>
                                  <w:sz w:val="18"/>
                                </w:rPr>
                                <w:t xml:space="preserve">Corte di Cassazione </w:t>
                              </w:r>
                            </w:p>
                          </w:txbxContent>
                        </wps:txbx>
                        <wps:bodyPr horzOverflow="overflow" vert="horz" lIns="0" tIns="0" rIns="0" bIns="0" rtlCol="0">
                          <a:noAutofit/>
                        </wps:bodyPr>
                      </wps:wsp>
                      <wps:wsp>
                        <wps:cNvPr id="201668" name="Rectangle 201668"/>
                        <wps:cNvSpPr/>
                        <wps:spPr>
                          <a:xfrm rot="-10799999">
                            <a:off x="2635058" y="5142242"/>
                            <a:ext cx="5212565" cy="142889"/>
                          </a:xfrm>
                          <a:prstGeom prst="rect">
                            <a:avLst/>
                          </a:prstGeom>
                          <a:ln>
                            <a:noFill/>
                          </a:ln>
                        </wps:spPr>
                        <wps:txbx>
                          <w:txbxContent>
                            <w:p w14:paraId="1DB89D1D"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670" name="Rectangle 201670"/>
                        <wps:cNvSpPr/>
                        <wps:spPr>
                          <a:xfrm rot="-10799999">
                            <a:off x="-1279797" y="5142242"/>
                            <a:ext cx="5212565" cy="142889"/>
                          </a:xfrm>
                          <a:prstGeom prst="rect">
                            <a:avLst/>
                          </a:prstGeom>
                          <a:ln>
                            <a:noFill/>
                          </a:ln>
                        </wps:spPr>
                        <wps:txbx>
                          <w:txbxContent>
                            <w:p w14:paraId="402FFFBD" w14:textId="77777777" w:rsidR="00B32EF2" w:rsidRDefault="00000000">
                              <w:r>
                                <w:rPr>
                                  <w:rFonts w:ascii="Arial" w:eastAsia="Arial" w:hAnsi="Arial" w:cs="Arial"/>
                                  <w:sz w:val="18"/>
                                </w:rPr>
                                <w:t>. Presso la Corte di Cassazione è istituita una sezione civile incaricata esclu</w:t>
                              </w:r>
                            </w:p>
                          </w:txbxContent>
                        </wps:txbx>
                        <wps:bodyPr horzOverflow="overflow" vert="horz" lIns="0" tIns="0" rIns="0" bIns="0" rtlCol="0">
                          <a:noAutofit/>
                        </wps:bodyPr>
                      </wps:wsp>
                      <wps:wsp>
                        <wps:cNvPr id="20874" name="Rectangle 20874"/>
                        <wps:cNvSpPr/>
                        <wps:spPr>
                          <a:xfrm rot="-10799999">
                            <a:off x="19352" y="5142242"/>
                            <a:ext cx="50622" cy="142889"/>
                          </a:xfrm>
                          <a:prstGeom prst="rect">
                            <a:avLst/>
                          </a:prstGeom>
                          <a:ln>
                            <a:noFill/>
                          </a:ln>
                        </wps:spPr>
                        <wps:txbx>
                          <w:txbxContent>
                            <w:p w14:paraId="2DE5184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875" name="Rectangle 20875"/>
                        <wps:cNvSpPr/>
                        <wps:spPr>
                          <a:xfrm rot="-10799999">
                            <a:off x="-497291" y="5002567"/>
                            <a:ext cx="4489243" cy="142889"/>
                          </a:xfrm>
                          <a:prstGeom prst="rect">
                            <a:avLst/>
                          </a:prstGeom>
                          <a:ln>
                            <a:noFill/>
                          </a:ln>
                        </wps:spPr>
                        <wps:txbx>
                          <w:txbxContent>
                            <w:p w14:paraId="7B087346" w14:textId="77777777" w:rsidR="00B32EF2" w:rsidRDefault="00000000">
                              <w:r>
                                <w:rPr>
                                  <w:rFonts w:ascii="Arial" w:eastAsia="Arial" w:hAnsi="Arial" w:cs="Arial"/>
                                  <w:sz w:val="18"/>
                                </w:rPr>
                                <w:t>sivamente della trattazione delle controversie in materia tributaria.</w:t>
                              </w:r>
                            </w:p>
                          </w:txbxContent>
                        </wps:txbx>
                        <wps:bodyPr horzOverflow="overflow" vert="horz" lIns="0" tIns="0" rIns="0" bIns="0" rtlCol="0">
                          <a:noAutofit/>
                        </wps:bodyPr>
                      </wps:wsp>
                      <wps:wsp>
                        <wps:cNvPr id="201665" name="Rectangle 201665"/>
                        <wps:cNvSpPr/>
                        <wps:spPr>
                          <a:xfrm rot="-10799999">
                            <a:off x="-1381626" y="4862893"/>
                            <a:ext cx="5309021" cy="142889"/>
                          </a:xfrm>
                          <a:prstGeom prst="rect">
                            <a:avLst/>
                          </a:prstGeom>
                          <a:ln>
                            <a:noFill/>
                          </a:ln>
                        </wps:spPr>
                        <wps:txbx>
                          <w:txbxContent>
                            <w:p w14:paraId="101E6B1F" w14:textId="77777777" w:rsidR="00B32EF2" w:rsidRDefault="00000000">
                              <w:r>
                                <w:rPr>
                                  <w:rFonts w:ascii="Arial" w:eastAsia="Arial" w:hAnsi="Arial" w:cs="Arial"/>
                                  <w:sz w:val="18"/>
                                </w:rPr>
                                <w:t xml:space="preserve">. Il primo presidente adotta provvedimenti organizzativi adeguati al fine di </w:t>
                              </w:r>
                            </w:p>
                          </w:txbxContent>
                        </wps:txbx>
                        <wps:bodyPr horzOverflow="overflow" vert="horz" lIns="0" tIns="0" rIns="0" bIns="0" rtlCol="0">
                          <a:noAutofit/>
                        </wps:bodyPr>
                      </wps:wsp>
                      <wps:wsp>
                        <wps:cNvPr id="201663" name="Rectangle 201663"/>
                        <wps:cNvSpPr/>
                        <wps:spPr>
                          <a:xfrm rot="-10799999">
                            <a:off x="2611125" y="4862893"/>
                            <a:ext cx="5309020" cy="142889"/>
                          </a:xfrm>
                          <a:prstGeom prst="rect">
                            <a:avLst/>
                          </a:prstGeom>
                          <a:ln>
                            <a:noFill/>
                          </a:ln>
                        </wps:spPr>
                        <wps:txbx>
                          <w:txbxContent>
                            <w:p w14:paraId="78669CCD"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877" name="Rectangle 20877"/>
                        <wps:cNvSpPr/>
                        <wps:spPr>
                          <a:xfrm rot="-10799999">
                            <a:off x="-1317084" y="4723218"/>
                            <a:ext cx="5309035" cy="142889"/>
                          </a:xfrm>
                          <a:prstGeom prst="rect">
                            <a:avLst/>
                          </a:prstGeom>
                          <a:ln>
                            <a:noFill/>
                          </a:ln>
                        </wps:spPr>
                        <wps:txbx>
                          <w:txbxContent>
                            <w:p w14:paraId="211B8061" w14:textId="77777777" w:rsidR="00B32EF2" w:rsidRDefault="00000000">
                              <w:r>
                                <w:rPr>
                                  <w:rFonts w:ascii="Arial" w:eastAsia="Arial" w:hAnsi="Arial" w:cs="Arial"/>
                                  <w:sz w:val="18"/>
                                </w:rPr>
                                <w:t xml:space="preserve">stabilizzare gli orientamenti di legittimità e di agevolare la rapida definizione </w:t>
                              </w:r>
                            </w:p>
                          </w:txbxContent>
                        </wps:txbx>
                        <wps:bodyPr horzOverflow="overflow" vert="horz" lIns="0" tIns="0" rIns="0" bIns="0" rtlCol="0">
                          <a:noAutofit/>
                        </wps:bodyPr>
                      </wps:wsp>
                      <wps:wsp>
                        <wps:cNvPr id="20878" name="Rectangle 20878"/>
                        <wps:cNvSpPr/>
                        <wps:spPr>
                          <a:xfrm rot="-10799999">
                            <a:off x="-1317130" y="4583543"/>
                            <a:ext cx="5309082" cy="142889"/>
                          </a:xfrm>
                          <a:prstGeom prst="rect">
                            <a:avLst/>
                          </a:prstGeom>
                          <a:ln>
                            <a:noFill/>
                          </a:ln>
                        </wps:spPr>
                        <wps:txbx>
                          <w:txbxContent>
                            <w:p w14:paraId="4C2EDD17" w14:textId="77777777" w:rsidR="00B32EF2" w:rsidRDefault="00000000">
                              <w:r>
                                <w:rPr>
                                  <w:rFonts w:ascii="Arial" w:eastAsia="Arial" w:hAnsi="Arial" w:cs="Arial"/>
                                  <w:sz w:val="18"/>
                                </w:rPr>
                                <w:t xml:space="preserve">dei procedimenti pendenti presso la Corte di Cassazione in materia tributaria, </w:t>
                              </w:r>
                            </w:p>
                          </w:txbxContent>
                        </wps:txbx>
                        <wps:bodyPr horzOverflow="overflow" vert="horz" lIns="0" tIns="0" rIns="0" bIns="0" rtlCol="0">
                          <a:noAutofit/>
                        </wps:bodyPr>
                      </wps:wsp>
                      <wps:wsp>
                        <wps:cNvPr id="20879" name="Rectangle 20879"/>
                        <wps:cNvSpPr/>
                        <wps:spPr>
                          <a:xfrm rot="-10799999">
                            <a:off x="-1317069" y="4443869"/>
                            <a:ext cx="5309021" cy="142889"/>
                          </a:xfrm>
                          <a:prstGeom prst="rect">
                            <a:avLst/>
                          </a:prstGeom>
                          <a:ln>
                            <a:noFill/>
                          </a:ln>
                        </wps:spPr>
                        <wps:txbx>
                          <w:txbxContent>
                            <w:p w14:paraId="290887A8" w14:textId="77777777" w:rsidR="00B32EF2" w:rsidRDefault="00000000">
                              <w:r>
                                <w:rPr>
                                  <w:rFonts w:ascii="Arial" w:eastAsia="Arial" w:hAnsi="Arial" w:cs="Arial"/>
                                  <w:sz w:val="18"/>
                                </w:rPr>
                                <w:t xml:space="preserve">favorendo l’acquisizione di una specifica competenza da parte dei magistrati </w:t>
                              </w:r>
                            </w:p>
                          </w:txbxContent>
                        </wps:txbx>
                        <wps:bodyPr horzOverflow="overflow" vert="horz" lIns="0" tIns="0" rIns="0" bIns="0" rtlCol="0">
                          <a:noAutofit/>
                        </wps:bodyPr>
                      </wps:wsp>
                      <wps:wsp>
                        <wps:cNvPr id="20880" name="Rectangle 20880"/>
                        <wps:cNvSpPr/>
                        <wps:spPr>
                          <a:xfrm rot="-10799999">
                            <a:off x="819877" y="4304195"/>
                            <a:ext cx="3172074" cy="142889"/>
                          </a:xfrm>
                          <a:prstGeom prst="rect">
                            <a:avLst/>
                          </a:prstGeom>
                          <a:ln>
                            <a:noFill/>
                          </a:ln>
                        </wps:spPr>
                        <wps:txbx>
                          <w:txbxContent>
                            <w:p w14:paraId="559373F9" w14:textId="77777777" w:rsidR="00B32EF2" w:rsidRDefault="00000000">
                              <w:r>
                                <w:rPr>
                                  <w:rFonts w:ascii="Arial" w:eastAsia="Arial" w:hAnsi="Arial" w:cs="Arial"/>
                                  <w:sz w:val="18"/>
                                </w:rPr>
                                <w:t>assegnati alla sezione civile di cui al comma 1.</w:t>
                              </w:r>
                            </w:p>
                          </w:txbxContent>
                        </wps:txbx>
                        <wps:bodyPr horzOverflow="overflow" vert="horz" lIns="0" tIns="0" rIns="0" bIns="0" rtlCol="0">
                          <a:noAutofit/>
                        </wps:bodyPr>
                      </wps:wsp>
                      <wps:wsp>
                        <wps:cNvPr id="20881" name="Rectangle 20881"/>
                        <wps:cNvSpPr/>
                        <wps:spPr>
                          <a:xfrm rot="-10799999">
                            <a:off x="1612424" y="4057535"/>
                            <a:ext cx="635880" cy="142889"/>
                          </a:xfrm>
                          <a:prstGeom prst="rect">
                            <a:avLst/>
                          </a:prstGeom>
                          <a:ln>
                            <a:noFill/>
                          </a:ln>
                        </wps:spPr>
                        <wps:txbx>
                          <w:txbxContent>
                            <w:p w14:paraId="48E35AA7" w14:textId="77777777" w:rsidR="00B32EF2" w:rsidRDefault="00000000">
                              <w:r>
                                <w:rPr>
                                  <w:rFonts w:ascii="Arial" w:eastAsia="Arial" w:hAnsi="Arial" w:cs="Arial"/>
                                  <w:b/>
                                  <w:sz w:val="18"/>
                                </w:rPr>
                                <w:t>PARTE II</w:t>
                              </w:r>
                            </w:p>
                          </w:txbxContent>
                        </wps:txbx>
                        <wps:bodyPr horzOverflow="overflow" vert="horz" lIns="0" tIns="0" rIns="0" bIns="0" rtlCol="0">
                          <a:noAutofit/>
                        </wps:bodyPr>
                      </wps:wsp>
                      <wps:wsp>
                        <wps:cNvPr id="20882" name="Rectangle 20882"/>
                        <wps:cNvSpPr/>
                        <wps:spPr>
                          <a:xfrm rot="-10799999">
                            <a:off x="-68411" y="3934206"/>
                            <a:ext cx="3335130" cy="142889"/>
                          </a:xfrm>
                          <a:prstGeom prst="rect">
                            <a:avLst/>
                          </a:prstGeom>
                          <a:ln>
                            <a:noFill/>
                          </a:ln>
                        </wps:spPr>
                        <wps:txbx>
                          <w:txbxContent>
                            <w:p w14:paraId="4F13CE0C" w14:textId="77777777" w:rsidR="00B32EF2" w:rsidRDefault="00000000">
                              <w:r>
                                <w:rPr>
                                  <w:rFonts w:ascii="Arial" w:eastAsia="Arial" w:hAnsi="Arial" w:cs="Arial"/>
                                  <w:b/>
                                  <w:sz w:val="18"/>
                                </w:rPr>
                                <w:t xml:space="preserve"> DISPOSIZIONI SUL PROCESSO TRIBUTARIO</w:t>
                              </w:r>
                            </w:p>
                          </w:txbxContent>
                        </wps:txbx>
                        <wps:bodyPr horzOverflow="overflow" vert="horz" lIns="0" tIns="0" rIns="0" bIns="0" rtlCol="0">
                          <a:noAutofit/>
                        </wps:bodyPr>
                      </wps:wsp>
                      <wps:wsp>
                        <wps:cNvPr id="20883" name="Rectangle 20883"/>
                        <wps:cNvSpPr/>
                        <wps:spPr>
                          <a:xfrm rot="-10799999">
                            <a:off x="1609215" y="3687546"/>
                            <a:ext cx="644576" cy="142889"/>
                          </a:xfrm>
                          <a:prstGeom prst="rect">
                            <a:avLst/>
                          </a:prstGeom>
                          <a:ln>
                            <a:noFill/>
                          </a:ln>
                        </wps:spPr>
                        <wps:txbx>
                          <w:txbxContent>
                            <w:p w14:paraId="04EC93D9" w14:textId="77777777" w:rsidR="00B32EF2" w:rsidRDefault="00000000">
                              <w:r>
                                <w:rPr>
                                  <w:rFonts w:ascii="Arial" w:eastAsia="Arial" w:hAnsi="Arial" w:cs="Arial"/>
                                  <w:b/>
                                  <w:sz w:val="18"/>
                                </w:rPr>
                                <w:t>TITOLO I</w:t>
                              </w:r>
                            </w:p>
                          </w:txbxContent>
                        </wps:txbx>
                        <wps:bodyPr horzOverflow="overflow" vert="horz" lIns="0" tIns="0" rIns="0" bIns="0" rtlCol="0">
                          <a:noAutofit/>
                        </wps:bodyPr>
                      </wps:wsp>
                      <wps:wsp>
                        <wps:cNvPr id="20884" name="Rectangle 20884"/>
                        <wps:cNvSpPr/>
                        <wps:spPr>
                          <a:xfrm rot="-10799999">
                            <a:off x="829776" y="3564217"/>
                            <a:ext cx="1895616" cy="142889"/>
                          </a:xfrm>
                          <a:prstGeom prst="rect">
                            <a:avLst/>
                          </a:prstGeom>
                          <a:ln>
                            <a:noFill/>
                          </a:ln>
                        </wps:spPr>
                        <wps:txbx>
                          <w:txbxContent>
                            <w:p w14:paraId="647B471A" w14:textId="77777777" w:rsidR="00B32EF2" w:rsidRDefault="00000000">
                              <w:r>
                                <w:rPr>
                                  <w:rFonts w:ascii="Arial" w:eastAsia="Arial" w:hAnsi="Arial" w:cs="Arial"/>
                                  <w:b/>
                                  <w:sz w:val="18"/>
                                </w:rPr>
                                <w:t>DISPOSIZIONI GENERALI</w:t>
                              </w:r>
                            </w:p>
                          </w:txbxContent>
                        </wps:txbx>
                        <wps:bodyPr horzOverflow="overflow" vert="horz" lIns="0" tIns="0" rIns="0" bIns="0" rtlCol="0">
                          <a:noAutofit/>
                        </wps:bodyPr>
                      </wps:wsp>
                      <wps:wsp>
                        <wps:cNvPr id="20885" name="Rectangle 20885"/>
                        <wps:cNvSpPr/>
                        <wps:spPr>
                          <a:xfrm rot="-10799999">
                            <a:off x="1683865" y="3317557"/>
                            <a:ext cx="525119" cy="142889"/>
                          </a:xfrm>
                          <a:prstGeom prst="rect">
                            <a:avLst/>
                          </a:prstGeom>
                          <a:ln>
                            <a:noFill/>
                          </a:ln>
                        </wps:spPr>
                        <wps:txbx>
                          <w:txbxContent>
                            <w:p w14:paraId="50497DD6" w14:textId="77777777" w:rsidR="00B32EF2" w:rsidRDefault="00000000">
                              <w:r>
                                <w:rPr>
                                  <w:rFonts w:ascii="Arial" w:eastAsia="Arial" w:hAnsi="Arial" w:cs="Arial"/>
                                  <w:b/>
                                  <w:sz w:val="18"/>
                                </w:rPr>
                                <w:t>CAPO I</w:t>
                              </w:r>
                            </w:p>
                          </w:txbxContent>
                        </wps:txbx>
                        <wps:bodyPr horzOverflow="overflow" vert="horz" lIns="0" tIns="0" rIns="0" bIns="0" rtlCol="0">
                          <a:noAutofit/>
                        </wps:bodyPr>
                      </wps:wsp>
                      <wps:wsp>
                        <wps:cNvPr id="20886" name="Rectangle 20886"/>
                        <wps:cNvSpPr/>
                        <wps:spPr>
                          <a:xfrm rot="-10799999">
                            <a:off x="-272164" y="3194228"/>
                            <a:ext cx="3660040" cy="142889"/>
                          </a:xfrm>
                          <a:prstGeom prst="rect">
                            <a:avLst/>
                          </a:prstGeom>
                          <a:ln>
                            <a:noFill/>
                          </a:ln>
                        </wps:spPr>
                        <wps:txbx>
                          <w:txbxContent>
                            <w:p w14:paraId="356F117D" w14:textId="77777777" w:rsidR="00B32EF2" w:rsidRDefault="00000000">
                              <w:r>
                                <w:rPr>
                                  <w:rFonts w:ascii="Arial" w:eastAsia="Arial" w:hAnsi="Arial" w:cs="Arial"/>
                                  <w:b/>
                                  <w:sz w:val="18"/>
                                </w:rPr>
                                <w:t>DEL GIUDICE TRIBUTARIO E DEI SUOI AUSILIARI</w:t>
                              </w:r>
                            </w:p>
                          </w:txbxContent>
                        </wps:txbx>
                        <wps:bodyPr horzOverflow="overflow" vert="horz" lIns="0" tIns="0" rIns="0" bIns="0" rtlCol="0">
                          <a:noAutofit/>
                        </wps:bodyPr>
                      </wps:wsp>
                      <wps:wsp>
                        <wps:cNvPr id="20887" name="Rectangle 20887"/>
                        <wps:cNvSpPr/>
                        <wps:spPr>
                          <a:xfrm rot="-10799999">
                            <a:off x="1506321" y="2947568"/>
                            <a:ext cx="811477" cy="142889"/>
                          </a:xfrm>
                          <a:prstGeom prst="rect">
                            <a:avLst/>
                          </a:prstGeom>
                          <a:ln>
                            <a:noFill/>
                          </a:ln>
                        </wps:spPr>
                        <wps:txbx>
                          <w:txbxContent>
                            <w:p w14:paraId="473E30A1" w14:textId="77777777" w:rsidR="00B32EF2" w:rsidRDefault="00000000">
                              <w:r>
                                <w:rPr>
                                  <w:rFonts w:ascii="Arial" w:eastAsia="Arial" w:hAnsi="Arial" w:cs="Arial"/>
                                  <w:b/>
                                  <w:sz w:val="18"/>
                                </w:rPr>
                                <w:t>Articolo 45</w:t>
                              </w:r>
                            </w:p>
                          </w:txbxContent>
                        </wps:txbx>
                        <wps:bodyPr horzOverflow="overflow" vert="horz" lIns="0" tIns="0" rIns="0" bIns="0" rtlCol="0">
                          <a:noAutofit/>
                        </wps:bodyPr>
                      </wps:wsp>
                      <wps:wsp>
                        <wps:cNvPr id="201659" name="Rectangle 201659"/>
                        <wps:cNvSpPr/>
                        <wps:spPr>
                          <a:xfrm rot="-10799999">
                            <a:off x="-144419" y="2824238"/>
                            <a:ext cx="1856714" cy="142890"/>
                          </a:xfrm>
                          <a:prstGeom prst="rect">
                            <a:avLst/>
                          </a:prstGeom>
                          <a:ln>
                            <a:noFill/>
                          </a:ln>
                        </wps:spPr>
                        <wps:txbx>
                          <w:txbxContent>
                            <w:p w14:paraId="200FDCD3"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661" name="Rectangle 201661"/>
                        <wps:cNvSpPr/>
                        <wps:spPr>
                          <a:xfrm rot="-10799999">
                            <a:off x="1216448" y="2824238"/>
                            <a:ext cx="1856715" cy="142890"/>
                          </a:xfrm>
                          <a:prstGeom prst="rect">
                            <a:avLst/>
                          </a:prstGeom>
                          <a:ln>
                            <a:noFill/>
                          </a:ln>
                        </wps:spPr>
                        <wps:txbx>
                          <w:txbxContent>
                            <w:p w14:paraId="151A5F72" w14:textId="77777777" w:rsidR="00B32EF2" w:rsidRDefault="00000000">
                              <w:r>
                                <w:rPr>
                                  <w:rFonts w:ascii="Arial" w:eastAsia="Arial" w:hAnsi="Arial" w:cs="Arial"/>
                                  <w:i/>
                                  <w:sz w:val="18"/>
                                </w:rPr>
                                <w:t xml:space="preserve">articolo 1 D.lgs. n. </w:t>
                              </w:r>
                            </w:p>
                          </w:txbxContent>
                        </wps:txbx>
                        <wps:bodyPr horzOverflow="overflow" vert="horz" lIns="0" tIns="0" rIns="0" bIns="0" rtlCol="0">
                          <a:noAutofit/>
                        </wps:bodyPr>
                      </wps:wsp>
                      <wps:wsp>
                        <wps:cNvPr id="201658" name="Rectangle 201658"/>
                        <wps:cNvSpPr/>
                        <wps:spPr>
                          <a:xfrm rot="-10799999">
                            <a:off x="2211211" y="2824238"/>
                            <a:ext cx="1856715" cy="142890"/>
                          </a:xfrm>
                          <a:prstGeom prst="rect">
                            <a:avLst/>
                          </a:prstGeom>
                          <a:ln>
                            <a:noFill/>
                          </a:ln>
                        </wps:spPr>
                        <wps:txbx>
                          <w:txbxContent>
                            <w:p w14:paraId="4E6AFA4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889" name="Rectangle 20889"/>
                        <wps:cNvSpPr/>
                        <wps:spPr>
                          <a:xfrm rot="-10799999">
                            <a:off x="191932" y="2700908"/>
                            <a:ext cx="2890991" cy="142889"/>
                          </a:xfrm>
                          <a:prstGeom prst="rect">
                            <a:avLst/>
                          </a:prstGeom>
                          <a:ln>
                            <a:noFill/>
                          </a:ln>
                        </wps:spPr>
                        <wps:txbx>
                          <w:txbxContent>
                            <w:p w14:paraId="6CFD5B29" w14:textId="77777777" w:rsidR="00B32EF2" w:rsidRDefault="00000000">
                              <w:r>
                                <w:rPr>
                                  <w:rFonts w:ascii="Arial" w:eastAsia="Arial" w:hAnsi="Arial" w:cs="Arial"/>
                                  <w:b/>
                                  <w:sz w:val="18"/>
                                </w:rPr>
                                <w:t xml:space="preserve">Gli organi della giurisdizione tributaria </w:t>
                              </w:r>
                            </w:p>
                          </w:txbxContent>
                        </wps:txbx>
                        <wps:bodyPr horzOverflow="overflow" vert="horz" lIns="0" tIns="0" rIns="0" bIns="0" rtlCol="0">
                          <a:noAutofit/>
                        </wps:bodyPr>
                      </wps:wsp>
                      <wps:wsp>
                        <wps:cNvPr id="201655" name="Rectangle 201655"/>
                        <wps:cNvSpPr/>
                        <wps:spPr>
                          <a:xfrm rot="-10799999">
                            <a:off x="-1376268" y="2577578"/>
                            <a:ext cx="5309035" cy="142889"/>
                          </a:xfrm>
                          <a:prstGeom prst="rect">
                            <a:avLst/>
                          </a:prstGeom>
                          <a:ln>
                            <a:noFill/>
                          </a:ln>
                        </wps:spPr>
                        <wps:txbx>
                          <w:txbxContent>
                            <w:p w14:paraId="4CDDB1FC" w14:textId="77777777" w:rsidR="00B32EF2" w:rsidRDefault="00000000">
                              <w:r>
                                <w:rPr>
                                  <w:rFonts w:ascii="Arial" w:eastAsia="Arial" w:hAnsi="Arial" w:cs="Arial"/>
                                  <w:sz w:val="18"/>
                                </w:rPr>
                                <w:t xml:space="preserve">. La giurisdizione tributaria è esercitata dalle corti di giustizia tributaria di </w:t>
                              </w:r>
                            </w:p>
                          </w:txbxContent>
                        </wps:txbx>
                        <wps:bodyPr horzOverflow="overflow" vert="horz" lIns="0" tIns="0" rIns="0" bIns="0" rtlCol="0">
                          <a:noAutofit/>
                        </wps:bodyPr>
                      </wps:wsp>
                      <wps:wsp>
                        <wps:cNvPr id="201649" name="Rectangle 201649"/>
                        <wps:cNvSpPr/>
                        <wps:spPr>
                          <a:xfrm rot="-10799999">
                            <a:off x="2611121" y="2577579"/>
                            <a:ext cx="5309035" cy="142889"/>
                          </a:xfrm>
                          <a:prstGeom prst="rect">
                            <a:avLst/>
                          </a:prstGeom>
                          <a:ln>
                            <a:noFill/>
                          </a:ln>
                        </wps:spPr>
                        <wps:txbx>
                          <w:txbxContent>
                            <w:p w14:paraId="136D1671"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891" name="Rectangle 20891"/>
                        <wps:cNvSpPr/>
                        <wps:spPr>
                          <a:xfrm rot="-10799999">
                            <a:off x="961087" y="2454249"/>
                            <a:ext cx="3030864" cy="142889"/>
                          </a:xfrm>
                          <a:prstGeom prst="rect">
                            <a:avLst/>
                          </a:prstGeom>
                          <a:ln>
                            <a:noFill/>
                          </a:ln>
                        </wps:spPr>
                        <wps:txbx>
                          <w:txbxContent>
                            <w:p w14:paraId="126D0355" w14:textId="77777777" w:rsidR="00B32EF2" w:rsidRDefault="00000000">
                              <w:r>
                                <w:rPr>
                                  <w:rFonts w:ascii="Arial" w:eastAsia="Arial" w:hAnsi="Arial" w:cs="Arial"/>
                                  <w:sz w:val="18"/>
                                </w:rPr>
                                <w:t>primo e di secondo grado di cui all’articolo 1.</w:t>
                              </w:r>
                            </w:p>
                          </w:txbxContent>
                        </wps:txbx>
                        <wps:bodyPr horzOverflow="overflow" vert="horz" lIns="0" tIns="0" rIns="0" bIns="0" rtlCol="0">
                          <a:noAutofit/>
                        </wps:bodyPr>
                      </wps:wsp>
                      <wps:wsp>
                        <wps:cNvPr id="201647" name="Rectangle 201647"/>
                        <wps:cNvSpPr/>
                        <wps:spPr>
                          <a:xfrm rot="-10799999">
                            <a:off x="-1381610" y="2330919"/>
                            <a:ext cx="5309005" cy="142889"/>
                          </a:xfrm>
                          <a:prstGeom prst="rect">
                            <a:avLst/>
                          </a:prstGeom>
                          <a:ln>
                            <a:noFill/>
                          </a:ln>
                        </wps:spPr>
                        <wps:txbx>
                          <w:txbxContent>
                            <w:p w14:paraId="6D4D171F" w14:textId="77777777" w:rsidR="00B32EF2" w:rsidRDefault="00000000">
                              <w:r>
                                <w:rPr>
                                  <w:rFonts w:ascii="Arial" w:eastAsia="Arial" w:hAnsi="Arial" w:cs="Arial"/>
                                  <w:sz w:val="18"/>
                                </w:rPr>
                                <w:t xml:space="preserve">. I giudici tributari applicano le norme del presente testo unico e, per quanto </w:t>
                              </w:r>
                            </w:p>
                          </w:txbxContent>
                        </wps:txbx>
                        <wps:bodyPr horzOverflow="overflow" vert="horz" lIns="0" tIns="0" rIns="0" bIns="0" rtlCol="0">
                          <a:noAutofit/>
                        </wps:bodyPr>
                      </wps:wsp>
                      <wps:wsp>
                        <wps:cNvPr id="201646" name="Rectangle 201646"/>
                        <wps:cNvSpPr/>
                        <wps:spPr>
                          <a:xfrm rot="-10799999">
                            <a:off x="2611129" y="2330919"/>
                            <a:ext cx="5309005" cy="142889"/>
                          </a:xfrm>
                          <a:prstGeom prst="rect">
                            <a:avLst/>
                          </a:prstGeom>
                          <a:ln>
                            <a:noFill/>
                          </a:ln>
                        </wps:spPr>
                        <wps:txbx>
                          <w:txbxContent>
                            <w:p w14:paraId="6F43581E"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893" name="Rectangle 20893"/>
                        <wps:cNvSpPr/>
                        <wps:spPr>
                          <a:xfrm rot="-10799999">
                            <a:off x="-1317099" y="2207589"/>
                            <a:ext cx="5309051" cy="142889"/>
                          </a:xfrm>
                          <a:prstGeom prst="rect">
                            <a:avLst/>
                          </a:prstGeom>
                          <a:ln>
                            <a:noFill/>
                          </a:ln>
                        </wps:spPr>
                        <wps:txbx>
                          <w:txbxContent>
                            <w:p w14:paraId="450F92EA" w14:textId="77777777" w:rsidR="00B32EF2" w:rsidRDefault="00000000">
                              <w:r>
                                <w:rPr>
                                  <w:rFonts w:ascii="Arial" w:eastAsia="Arial" w:hAnsi="Arial" w:cs="Arial"/>
                                  <w:sz w:val="18"/>
                                </w:rPr>
                                <w:t xml:space="preserve">da esse non disposto e con esse compatibili, le norme del codice di procedura </w:t>
                              </w:r>
                            </w:p>
                          </w:txbxContent>
                        </wps:txbx>
                        <wps:bodyPr horzOverflow="overflow" vert="horz" lIns="0" tIns="0" rIns="0" bIns="0" rtlCol="0">
                          <a:noAutofit/>
                        </wps:bodyPr>
                      </wps:wsp>
                      <wps:wsp>
                        <wps:cNvPr id="20894" name="Rectangle 20894"/>
                        <wps:cNvSpPr/>
                        <wps:spPr>
                          <a:xfrm rot="-10799999">
                            <a:off x="3605323" y="2084260"/>
                            <a:ext cx="387542" cy="142889"/>
                          </a:xfrm>
                          <a:prstGeom prst="rect">
                            <a:avLst/>
                          </a:prstGeom>
                          <a:ln>
                            <a:noFill/>
                          </a:ln>
                        </wps:spPr>
                        <wps:txbx>
                          <w:txbxContent>
                            <w:p w14:paraId="3DB121E0" w14:textId="77777777" w:rsidR="00B32EF2" w:rsidRDefault="00000000">
                              <w:r>
                                <w:rPr>
                                  <w:rFonts w:ascii="Arial" w:eastAsia="Arial" w:hAnsi="Arial" w:cs="Arial"/>
                                  <w:sz w:val="18"/>
                                </w:rPr>
                                <w:t>civile.</w:t>
                              </w:r>
                            </w:p>
                          </w:txbxContent>
                        </wps:txbx>
                        <wps:bodyPr horzOverflow="overflow" vert="horz" lIns="0" tIns="0" rIns="0" bIns="0" rtlCol="0">
                          <a:noAutofit/>
                        </wps:bodyPr>
                      </wps:wsp>
                      <wps:wsp>
                        <wps:cNvPr id="20895" name="Rectangle 20895"/>
                        <wps:cNvSpPr/>
                        <wps:spPr>
                          <a:xfrm rot="-10799999">
                            <a:off x="1506826" y="1837600"/>
                            <a:ext cx="809486" cy="142889"/>
                          </a:xfrm>
                          <a:prstGeom prst="rect">
                            <a:avLst/>
                          </a:prstGeom>
                          <a:ln>
                            <a:noFill/>
                          </a:ln>
                        </wps:spPr>
                        <wps:txbx>
                          <w:txbxContent>
                            <w:p w14:paraId="33E7BBBF" w14:textId="77777777" w:rsidR="00B32EF2" w:rsidRDefault="00000000">
                              <w:r>
                                <w:rPr>
                                  <w:rFonts w:ascii="Arial" w:eastAsia="Arial" w:hAnsi="Arial" w:cs="Arial"/>
                                  <w:b/>
                                  <w:sz w:val="18"/>
                                </w:rPr>
                                <w:t>Articolo 46</w:t>
                              </w:r>
                            </w:p>
                          </w:txbxContent>
                        </wps:txbx>
                        <wps:bodyPr horzOverflow="overflow" vert="horz" lIns="0" tIns="0" rIns="0" bIns="0" rtlCol="0">
                          <a:noAutofit/>
                        </wps:bodyPr>
                      </wps:wsp>
                      <wps:wsp>
                        <wps:cNvPr id="201645" name="Rectangle 201645"/>
                        <wps:cNvSpPr/>
                        <wps:spPr>
                          <a:xfrm rot="-10799999">
                            <a:off x="1216448" y="1714271"/>
                            <a:ext cx="1856715" cy="142889"/>
                          </a:xfrm>
                          <a:prstGeom prst="rect">
                            <a:avLst/>
                          </a:prstGeom>
                          <a:ln>
                            <a:noFill/>
                          </a:ln>
                        </wps:spPr>
                        <wps:txbx>
                          <w:txbxContent>
                            <w:p w14:paraId="7A236180" w14:textId="77777777" w:rsidR="00B32EF2" w:rsidRDefault="00000000">
                              <w:r>
                                <w:rPr>
                                  <w:rFonts w:ascii="Arial" w:eastAsia="Arial" w:hAnsi="Arial" w:cs="Arial"/>
                                  <w:i/>
                                  <w:sz w:val="18"/>
                                </w:rPr>
                                <w:t xml:space="preserve">articolo 2 D.lgs. n. </w:t>
                              </w:r>
                            </w:p>
                          </w:txbxContent>
                        </wps:txbx>
                        <wps:bodyPr horzOverflow="overflow" vert="horz" lIns="0" tIns="0" rIns="0" bIns="0" rtlCol="0">
                          <a:noAutofit/>
                        </wps:bodyPr>
                      </wps:wsp>
                      <wps:wsp>
                        <wps:cNvPr id="201644" name="Rectangle 201644"/>
                        <wps:cNvSpPr/>
                        <wps:spPr>
                          <a:xfrm rot="-10799999">
                            <a:off x="-144419" y="1714271"/>
                            <a:ext cx="1856714" cy="142889"/>
                          </a:xfrm>
                          <a:prstGeom prst="rect">
                            <a:avLst/>
                          </a:prstGeom>
                          <a:ln>
                            <a:noFill/>
                          </a:ln>
                        </wps:spPr>
                        <wps:txbx>
                          <w:txbxContent>
                            <w:p w14:paraId="1F757120" w14:textId="77777777" w:rsidR="00B32EF2" w:rsidRDefault="00000000">
                              <w:r>
                                <w:rPr>
                                  <w:rFonts w:ascii="Arial" w:eastAsia="Arial" w:hAnsi="Arial" w:cs="Arial"/>
                                  <w:i/>
                                  <w:sz w:val="18"/>
                                </w:rPr>
                                <w:t>546/92)</w:t>
                              </w:r>
                            </w:p>
                          </w:txbxContent>
                        </wps:txbx>
                        <wps:bodyPr horzOverflow="overflow" vert="horz" lIns="0" tIns="0" rIns="0" bIns="0" rtlCol="0">
                          <a:noAutofit/>
                        </wps:bodyPr>
                      </wps:wsp>
                      <wps:wsp>
                        <wps:cNvPr id="201643" name="Rectangle 201643"/>
                        <wps:cNvSpPr/>
                        <wps:spPr>
                          <a:xfrm rot="-10799999">
                            <a:off x="2211212" y="1714271"/>
                            <a:ext cx="1856715" cy="142889"/>
                          </a:xfrm>
                          <a:prstGeom prst="rect">
                            <a:avLst/>
                          </a:prstGeom>
                          <a:ln>
                            <a:noFill/>
                          </a:ln>
                        </wps:spPr>
                        <wps:txbx>
                          <w:txbxContent>
                            <w:p w14:paraId="3FBD750F"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897" name="Rectangle 20897"/>
                        <wps:cNvSpPr/>
                        <wps:spPr>
                          <a:xfrm rot="-10799999">
                            <a:off x="269230" y="1590941"/>
                            <a:ext cx="2766944" cy="142889"/>
                          </a:xfrm>
                          <a:prstGeom prst="rect">
                            <a:avLst/>
                          </a:prstGeom>
                          <a:ln>
                            <a:noFill/>
                          </a:ln>
                        </wps:spPr>
                        <wps:txbx>
                          <w:txbxContent>
                            <w:p w14:paraId="612174EF" w14:textId="77777777" w:rsidR="00B32EF2" w:rsidRDefault="00000000">
                              <w:r>
                                <w:rPr>
                                  <w:rFonts w:ascii="Arial" w:eastAsia="Arial" w:hAnsi="Arial" w:cs="Arial"/>
                                  <w:b/>
                                  <w:sz w:val="18"/>
                                </w:rPr>
                                <w:t xml:space="preserve">Oggetto della giurisdizione tributaria </w:t>
                              </w:r>
                            </w:p>
                          </w:txbxContent>
                        </wps:txbx>
                        <wps:bodyPr horzOverflow="overflow" vert="horz" lIns="0" tIns="0" rIns="0" bIns="0" rtlCol="0">
                          <a:noAutofit/>
                        </wps:bodyPr>
                      </wps:wsp>
                      <wps:wsp>
                        <wps:cNvPr id="201642" name="Rectangle 201642"/>
                        <wps:cNvSpPr/>
                        <wps:spPr>
                          <a:xfrm rot="-10799999">
                            <a:off x="-1279433" y="1467611"/>
                            <a:ext cx="5212200" cy="142889"/>
                          </a:xfrm>
                          <a:prstGeom prst="rect">
                            <a:avLst/>
                          </a:prstGeom>
                          <a:ln>
                            <a:noFill/>
                          </a:ln>
                        </wps:spPr>
                        <wps:txbx>
                          <w:txbxContent>
                            <w:p w14:paraId="3C2825AF" w14:textId="77777777" w:rsidR="00B32EF2" w:rsidRDefault="00000000">
                              <w:r>
                                <w:rPr>
                                  <w:rFonts w:ascii="Arial" w:eastAsia="Arial" w:hAnsi="Arial" w:cs="Arial"/>
                                  <w:sz w:val="18"/>
                                </w:rPr>
                                <w:t>. Appartengono alla giurisdizione tributaria tutte le controversie aventi ad og</w:t>
                              </w:r>
                            </w:p>
                          </w:txbxContent>
                        </wps:txbx>
                        <wps:bodyPr horzOverflow="overflow" vert="horz" lIns="0" tIns="0" rIns="0" bIns="0" rtlCol="0">
                          <a:noAutofit/>
                        </wps:bodyPr>
                      </wps:wsp>
                      <wps:wsp>
                        <wps:cNvPr id="201641" name="Rectangle 201641"/>
                        <wps:cNvSpPr/>
                        <wps:spPr>
                          <a:xfrm rot="-10799999">
                            <a:off x="2635148" y="1467612"/>
                            <a:ext cx="5212200" cy="142889"/>
                          </a:xfrm>
                          <a:prstGeom prst="rect">
                            <a:avLst/>
                          </a:prstGeom>
                          <a:ln>
                            <a:noFill/>
                          </a:ln>
                        </wps:spPr>
                        <wps:txbx>
                          <w:txbxContent>
                            <w:p w14:paraId="3B47D299"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899" name="Rectangle 20899"/>
                        <wps:cNvSpPr/>
                        <wps:spPr>
                          <a:xfrm rot="-10799999">
                            <a:off x="19352" y="1467612"/>
                            <a:ext cx="50622" cy="142889"/>
                          </a:xfrm>
                          <a:prstGeom prst="rect">
                            <a:avLst/>
                          </a:prstGeom>
                          <a:ln>
                            <a:noFill/>
                          </a:ln>
                        </wps:spPr>
                        <wps:txbx>
                          <w:txbxContent>
                            <w:p w14:paraId="07619EE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900" name="Rectangle 20900"/>
                        <wps:cNvSpPr/>
                        <wps:spPr>
                          <a:xfrm rot="-10799999">
                            <a:off x="-1317130" y="1344282"/>
                            <a:ext cx="5309082" cy="142889"/>
                          </a:xfrm>
                          <a:prstGeom prst="rect">
                            <a:avLst/>
                          </a:prstGeom>
                          <a:ln>
                            <a:noFill/>
                          </a:ln>
                        </wps:spPr>
                        <wps:txbx>
                          <w:txbxContent>
                            <w:p w14:paraId="49654A3B" w14:textId="77777777" w:rsidR="00B32EF2" w:rsidRDefault="00000000">
                              <w:r>
                                <w:rPr>
                                  <w:rFonts w:ascii="Arial" w:eastAsia="Arial" w:hAnsi="Arial" w:cs="Arial"/>
                                  <w:sz w:val="18"/>
                                </w:rPr>
                                <w:t xml:space="preserve">getto i tributi di ogni genere e specie comunque denominati, compresi quelli </w:t>
                              </w:r>
                            </w:p>
                          </w:txbxContent>
                        </wps:txbx>
                        <wps:bodyPr horzOverflow="overflow" vert="horz" lIns="0" tIns="0" rIns="0" bIns="0" rtlCol="0">
                          <a:noAutofit/>
                        </wps:bodyPr>
                      </wps:wsp>
                      <wps:wsp>
                        <wps:cNvPr id="20901" name="Rectangle 20901"/>
                        <wps:cNvSpPr/>
                        <wps:spPr>
                          <a:xfrm rot="-10799999">
                            <a:off x="-1218591" y="1220952"/>
                            <a:ext cx="5210543" cy="142890"/>
                          </a:xfrm>
                          <a:prstGeom prst="rect">
                            <a:avLst/>
                          </a:prstGeom>
                          <a:ln>
                            <a:noFill/>
                          </a:ln>
                        </wps:spPr>
                        <wps:txbx>
                          <w:txbxContent>
                            <w:p w14:paraId="4850B723" w14:textId="77777777" w:rsidR="00B32EF2" w:rsidRDefault="00000000">
                              <w:r>
                                <w:rPr>
                                  <w:rFonts w:ascii="Arial" w:eastAsia="Arial" w:hAnsi="Arial" w:cs="Arial"/>
                                  <w:sz w:val="18"/>
                                </w:rPr>
                                <w:t>regionali, provinciali e comunali e il contributo per il Servizio sanitario nazio</w:t>
                              </w:r>
                            </w:p>
                          </w:txbxContent>
                        </wps:txbx>
                        <wps:bodyPr horzOverflow="overflow" vert="horz" lIns="0" tIns="0" rIns="0" bIns="0" rtlCol="0">
                          <a:noAutofit/>
                        </wps:bodyPr>
                      </wps:wsp>
                      <wps:wsp>
                        <wps:cNvPr id="20902" name="Rectangle 20902"/>
                        <wps:cNvSpPr/>
                        <wps:spPr>
                          <a:xfrm rot="-10799999">
                            <a:off x="19353" y="1220952"/>
                            <a:ext cx="50622" cy="142889"/>
                          </a:xfrm>
                          <a:prstGeom prst="rect">
                            <a:avLst/>
                          </a:prstGeom>
                          <a:ln>
                            <a:noFill/>
                          </a:ln>
                        </wps:spPr>
                        <wps:txbx>
                          <w:txbxContent>
                            <w:p w14:paraId="06DF4A5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903" name="Rectangle 20903"/>
                        <wps:cNvSpPr/>
                        <wps:spPr>
                          <a:xfrm rot="-10799999">
                            <a:off x="-1317569" y="1097622"/>
                            <a:ext cx="5310206" cy="142889"/>
                          </a:xfrm>
                          <a:prstGeom prst="rect">
                            <a:avLst/>
                          </a:prstGeom>
                          <a:ln>
                            <a:noFill/>
                          </a:ln>
                        </wps:spPr>
                        <wps:txbx>
                          <w:txbxContent>
                            <w:p w14:paraId="48069D8F" w14:textId="77777777" w:rsidR="00B32EF2" w:rsidRDefault="00000000">
                              <w:r>
                                <w:rPr>
                                  <w:rFonts w:ascii="Arial" w:eastAsia="Arial" w:hAnsi="Arial" w:cs="Arial"/>
                                  <w:sz w:val="18"/>
                                </w:rPr>
                                <w:t xml:space="preserve">nale, le sovrimposte e le addizionali, le relative sanzioni nonché gli interessi e </w:t>
                              </w:r>
                            </w:p>
                          </w:txbxContent>
                        </wps:txbx>
                        <wps:bodyPr horzOverflow="overflow" vert="horz" lIns="0" tIns="0" rIns="0" bIns="0" rtlCol="0">
                          <a:noAutofit/>
                        </wps:bodyPr>
                      </wps:wsp>
                      <wps:wsp>
                        <wps:cNvPr id="20904" name="Rectangle 20904"/>
                        <wps:cNvSpPr/>
                        <wps:spPr>
                          <a:xfrm rot="-10799999">
                            <a:off x="-1317055" y="974293"/>
                            <a:ext cx="5309005" cy="142889"/>
                          </a:xfrm>
                          <a:prstGeom prst="rect">
                            <a:avLst/>
                          </a:prstGeom>
                          <a:ln>
                            <a:noFill/>
                          </a:ln>
                        </wps:spPr>
                        <wps:txbx>
                          <w:txbxContent>
                            <w:p w14:paraId="1E1274C4" w14:textId="77777777" w:rsidR="00B32EF2" w:rsidRDefault="00000000">
                              <w:r>
                                <w:rPr>
                                  <w:rFonts w:ascii="Arial" w:eastAsia="Arial" w:hAnsi="Arial" w:cs="Arial"/>
                                  <w:sz w:val="18"/>
                                </w:rPr>
                                <w:t xml:space="preserve">ogni altro accessorio. Restano escluse dalla giurisdizione tributaria soltanto le </w:t>
                              </w:r>
                            </w:p>
                          </w:txbxContent>
                        </wps:txbx>
                        <wps:bodyPr horzOverflow="overflow" vert="horz" lIns="0" tIns="0" rIns="0" bIns="0" rtlCol="0">
                          <a:noAutofit/>
                        </wps:bodyPr>
                      </wps:wsp>
                      <wps:wsp>
                        <wps:cNvPr id="20905" name="Rectangle 20905"/>
                        <wps:cNvSpPr/>
                        <wps:spPr>
                          <a:xfrm rot="-10799999">
                            <a:off x="-1317084" y="850963"/>
                            <a:ext cx="5309036" cy="142889"/>
                          </a:xfrm>
                          <a:prstGeom prst="rect">
                            <a:avLst/>
                          </a:prstGeom>
                          <a:ln>
                            <a:noFill/>
                          </a:ln>
                        </wps:spPr>
                        <wps:txbx>
                          <w:txbxContent>
                            <w:p w14:paraId="02646A0E" w14:textId="77777777" w:rsidR="00B32EF2" w:rsidRDefault="00000000">
                              <w:r>
                                <w:rPr>
                                  <w:rFonts w:ascii="Arial" w:eastAsia="Arial" w:hAnsi="Arial" w:cs="Arial"/>
                                  <w:sz w:val="18"/>
                                </w:rPr>
                                <w:t xml:space="preserve">controversie riguardanti gli atti della esecuzione forzata tributaria successivi </w:t>
                              </w:r>
                            </w:p>
                          </w:txbxContent>
                        </wps:txbx>
                        <wps:bodyPr horzOverflow="overflow" vert="horz" lIns="0" tIns="0" rIns="0" bIns="0" rtlCol="0">
                          <a:noAutofit/>
                        </wps:bodyPr>
                      </wps:wsp>
                      <wps:wsp>
                        <wps:cNvPr id="20906" name="Rectangle 20906"/>
                        <wps:cNvSpPr/>
                        <wps:spPr>
                          <a:xfrm rot="-10799999">
                            <a:off x="-1228837" y="727633"/>
                            <a:ext cx="5220789" cy="142889"/>
                          </a:xfrm>
                          <a:prstGeom prst="rect">
                            <a:avLst/>
                          </a:prstGeom>
                          <a:ln>
                            <a:noFill/>
                          </a:ln>
                        </wps:spPr>
                        <wps:txbx>
                          <w:txbxContent>
                            <w:p w14:paraId="3CFA63EF" w14:textId="77777777" w:rsidR="00B32EF2" w:rsidRDefault="00000000">
                              <w:r>
                                <w:rPr>
                                  <w:rFonts w:ascii="Arial" w:eastAsia="Arial" w:hAnsi="Arial" w:cs="Arial"/>
                                  <w:sz w:val="18"/>
                                </w:rPr>
                                <w:t>alla notifica della cartella di pagamento e, ove previsto, dell’avviso di cui all’ar</w:t>
                              </w:r>
                            </w:p>
                          </w:txbxContent>
                        </wps:txbx>
                        <wps:bodyPr horzOverflow="overflow" vert="horz" lIns="0" tIns="0" rIns="0" bIns="0" rtlCol="0">
                          <a:noAutofit/>
                        </wps:bodyPr>
                      </wps:wsp>
                      <wps:wsp>
                        <wps:cNvPr id="20907" name="Rectangle 20907"/>
                        <wps:cNvSpPr/>
                        <wps:spPr>
                          <a:xfrm rot="-10799999">
                            <a:off x="19352" y="727633"/>
                            <a:ext cx="50622" cy="142889"/>
                          </a:xfrm>
                          <a:prstGeom prst="rect">
                            <a:avLst/>
                          </a:prstGeom>
                          <a:ln>
                            <a:noFill/>
                          </a:ln>
                        </wps:spPr>
                        <wps:txbx>
                          <w:txbxContent>
                            <w:p w14:paraId="4B7D026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908" name="Rectangle 20908"/>
                        <wps:cNvSpPr/>
                        <wps:spPr>
                          <a:xfrm rot="-10799999">
                            <a:off x="-1317023" y="604304"/>
                            <a:ext cx="5308975" cy="142889"/>
                          </a:xfrm>
                          <a:prstGeom prst="rect">
                            <a:avLst/>
                          </a:prstGeom>
                          <a:ln>
                            <a:noFill/>
                          </a:ln>
                        </wps:spPr>
                        <wps:txbx>
                          <w:txbxContent>
                            <w:p w14:paraId="54EB1B09" w14:textId="77777777" w:rsidR="00B32EF2" w:rsidRDefault="00000000">
                              <w:r>
                                <w:rPr>
                                  <w:rFonts w:ascii="Arial" w:eastAsia="Arial" w:hAnsi="Arial" w:cs="Arial"/>
                                  <w:sz w:val="18"/>
                                </w:rPr>
                                <w:t xml:space="preserve">ticolo 50 del decreto del Presidente della Repubblica 29 settembre 1973, n. </w:t>
                              </w:r>
                            </w:p>
                          </w:txbxContent>
                        </wps:txbx>
                        <wps:bodyPr horzOverflow="overflow" vert="horz" lIns="0" tIns="0" rIns="0" bIns="0" rtlCol="0">
                          <a:noAutofit/>
                        </wps:bodyPr>
                      </wps:wsp>
                      <wps:wsp>
                        <wps:cNvPr id="201640" name="Rectangle 201640"/>
                        <wps:cNvSpPr/>
                        <wps:spPr>
                          <a:xfrm rot="-10799999">
                            <a:off x="-1511745" y="480974"/>
                            <a:ext cx="5309021" cy="142889"/>
                          </a:xfrm>
                          <a:prstGeom prst="rect">
                            <a:avLst/>
                          </a:prstGeom>
                          <a:ln>
                            <a:noFill/>
                          </a:ln>
                        </wps:spPr>
                        <wps:txbx>
                          <w:txbxContent>
                            <w:p w14:paraId="6F303F65" w14:textId="77777777" w:rsidR="00B32EF2" w:rsidRDefault="00000000">
                              <w:r>
                                <w:rPr>
                                  <w:rFonts w:ascii="Arial" w:eastAsia="Arial" w:hAnsi="Arial" w:cs="Arial"/>
                                  <w:sz w:val="18"/>
                                </w:rPr>
                                <w:t xml:space="preserve">, per le quali continuano ad applicarsi le disposizioni del medesimo decreto </w:t>
                              </w:r>
                            </w:p>
                          </w:txbxContent>
                        </wps:txbx>
                        <wps:bodyPr horzOverflow="overflow" vert="horz" lIns="0" tIns="0" rIns="0" bIns="0" rtlCol="0">
                          <a:noAutofit/>
                        </wps:bodyPr>
                      </wps:wsp>
                      <wps:wsp>
                        <wps:cNvPr id="201634" name="Rectangle 201634"/>
                        <wps:cNvSpPr/>
                        <wps:spPr>
                          <a:xfrm rot="-10799999">
                            <a:off x="2480342" y="480974"/>
                            <a:ext cx="5309021" cy="142889"/>
                          </a:xfrm>
                          <a:prstGeom prst="rect">
                            <a:avLst/>
                          </a:prstGeom>
                          <a:ln>
                            <a:noFill/>
                          </a:ln>
                        </wps:spPr>
                        <wps:txbx>
                          <w:txbxContent>
                            <w:p w14:paraId="09B063CB" w14:textId="77777777" w:rsidR="00B32EF2" w:rsidRDefault="00000000">
                              <w:r>
                                <w:rPr>
                                  <w:rFonts w:ascii="Arial" w:eastAsia="Arial" w:hAnsi="Arial" w:cs="Arial"/>
                                  <w:sz w:val="18"/>
                                </w:rPr>
                                <w:t>602</w:t>
                              </w:r>
                            </w:p>
                          </w:txbxContent>
                        </wps:txbx>
                        <wps:bodyPr horzOverflow="overflow" vert="horz" lIns="0" tIns="0" rIns="0" bIns="0" rtlCol="0">
                          <a:noAutofit/>
                        </wps:bodyPr>
                      </wps:wsp>
                    </wpg:wgp>
                  </a:graphicData>
                </a:graphic>
              </wp:inline>
            </w:drawing>
          </mc:Choice>
          <mc:Fallback>
            <w:pict>
              <v:group w14:anchorId="1511AAF0" id="Group 201706" o:spid="_x0000_s5441" style="width:314.35pt;height:493.15pt;mso-position-horizontal-relative:char;mso-position-vertical-relative:line" coordsize="39919,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LYIWAkAAOJtAAAOAAAAZHJzL2Uyb0RvYy54bWzkXetu2zYY/T9g72Dov2veRRpNh2GXYsCw&#10;Frs8gOLYiQHbMiS3Sff0OyRlypHZDpCAMACLIrXpVBZ5eL77R7394Wm/m31eN+22PtwU9A0pZuvD&#10;qr7bHu5vin/+/nWui1l7qg531a4+rG+KL+u2+OHd99+9fTwu16x+qHd362aGixza5ePxpng4nY7L&#10;xaJdPaz3VfumPq4P+HBTN/vqhLfN/eKuqR5x9f1uwQhRi8e6uTs29Wrdthj92X9YvHPX32zWq9OH&#10;zaZdn2a7mwL3dnI/G/fz1v5cvHtbLe+b6viwXXW3UY24i321PeBLw6V+rk7V7FOzvbrUfrtq6rbe&#10;nN6s6v2i3my2q7WbA2ZDyWA275v609HN5X75eH8My4SlHazT6Muu/vj8vjn+dfzYYCUej/dYC/fO&#10;zuVp0+ztv7jL2ZNbsi9hydZPp9kKg9wYaiQtZit8pphiWgq/qKsHrPzV/1s9/PI//3Nx/uLFs9t5&#10;PGKDtP0atNPW4K+H6rh2S9susQYfm9n27qZgRCtVzA7VHlv1T2ye6nC/W8/8sFsg99thudpli5U7&#10;r9WsqbG/5pSUxv5x+6FbO2oIKRkrZliluWJ46xfpvIy01FwZv4pMEiWU/TwsRbU8Nu3p/brez+yL&#10;m6LBvbnrV59/b0/+V8+/Ym9nd7A/D/Wv293Of2pHsKLnO7avTk+3T27aglFmv88O3tZ3X7AaD3Xz&#10;7wfwerOrH2+KuntVWKrj6+2nxWz32wEoWFadXzTnF7fnF81p91PtuOdv6MdPp3qzdXfcf1t3Z4DX&#10;38OL4FzGcS7PC4FdMQJnJUpCAaRlA6XGKPkcaKkFk9IDTQXT2rww0Pw8v2yAhgaKEVqfF2IU0HNJ&#10;BO+AlkYT5oGslmdGC8IZozwh0k4O9yTLgNLgXQxpRzG7EKOQppJIyiEtQGlZEmLEQHZryrnA51YD&#10;JqG0EzEZAU1VGVXSbrxTY6Og5pIw7pW0lIoy2AK4XM9pKrUiIqX0djeUF9RR8Q2op8lvsLqUGte2&#10;rH6dWAdLJBNNDUyhLq8FuBufQmtGS6WEeM1Yh82cCda6hMt4DbUdnoL0nDLNhbWvLa3h1kjjHJte&#10;hEtY39gOCbV1sEaygRoaNQZ1cDlH6WpKBBWkIzXT1NArZc1MaSDhU9llzNmJWSlr9RVljfEptGYK&#10;lpnslDVMbCauWE2ZhKudDusgtzJhNZQyAj/XtHbjU7CGCC/B287fep1gB8mVCdi6hJy9xtoOT4Ga&#10;Gi47byuKM1E2YppMfGcXKSshQGMoh/jCKEU9F6ZkBuaeNckIgZx2jk1vkgmhDRMJI2UsbONM+EyV&#10;1ZXXULvxKYyeU64pskAObKGRDTKORT3YkhNDWJcvShEtY2E35wP2V9xqFSTcKGIzJDhgdv0f1jAT&#10;konw3MJluoxntTA8kda0JNo7W6JEjJQ6g35Aa57SAA8zzITWGgHQiAi3w5OhphykhboWUnMJzYwL&#10;DqDWKQ2zMMNsoI4ntsoQSholv6GswWpbdWChFoJrvL6GOqmyDjPMBWod9ao1hqewGuExpxos0ByB&#10;MzOoSsBGYMQ6eak0NQRON79sgI4HwHUIJI3iNEXWUsCfcZQmspTQyc8ojUia3UzpgA7zywboePgb&#10;GnQKo+dKC+qdam64YGQQ/eaco2ohJdBhftkAHXWztJ7mZVFFDPJYjtFc6VL60sDeHkNmU6ZMaPEw&#10;v2yAjkdD4R9NYbRGusriCB3NpULuchAmo9qgTiFh5pKH+WUDdDRKpnUIIY3U0RqmdsdoWF5SDpBG&#10;jhqlowl1dJhfNkCDVtfhUK1D/GgU0HNWMqq8MYZaUeQtB1ETrhQhKCdMZ42FCWaDdDxApkP4aBTS&#10;qCZTCIo54c2MKKVPePdKWlMqbGwumX8V5pcJ0FTJaNDEjU9R03OKUElX+M00nC0+IDXVyHDRC1/a&#10;93q8XC+Hv6G86k6izjTSWcHbHEdrK76Frzv5BtYXYe8Xxzq3ABn4G417u/EpvEazBsVfL8K/zuuE&#10;WPu+g4x4bZujomZZ2PTjWI2Oxa7Kn9l+DjIQ4EhaE3Q1plPWIkitfJR11NMCqYMrMgpqpDhKlCN0&#10;ElyWpfTpsd4wc/UIKROXvpQxI1ZDpUZp7cYnSXBXj9BJcId1LJ2VFOvsQmVWjEYcawxPQdooSuCx&#10;2VAZEyjzx4bC5XpSc8LRyH1hgr90ly2aTbr5ZSPBbQfkNdIgdfA8x0pwVJRRxEgs2BzVY/C9noHt&#10;JDi5sMteHOygo/IBOxovA9ghnjQKbF9RBu3werEOE8wEa1vAGeF1V9dpzZZRSPvaE5yR4aBG7YEc&#10;9s87Wp8PFklRKNoLrmygjue1TFBmo6DmikjOsIssqVFEyNSgf57bpGbCejIEePJS1kgkxjkdFNko&#10;oG0QXHe131TD8SIDoDXOTkBKJVkQ3JuJeblaUaShqCdCfREYpQh2M9+321vgPgie0CiTuRWUAdOo&#10;+HbjnXwbRevLhMc3sE7obcFKyEuAA9OoVebGp2Dtg+DQxdDV38A6Ja+zKyuzrbDXjrXG8CSklWFd&#10;lT8OSYBidhzqBTjDkRnGSpRUGWuZW6wM5I1WirrxKVC7jmqBMj3HaoHDk5DmwgV7sCXO/8NhmgnB&#10;Di5GJr4WQI1GRt34FLDtUQm0S1lTh7UTmK8J62B6ZoK1tmGOmASfmsY8d8/HcU7bPS9zC5ThgNcY&#10;ynZ4Cp9doOzcj0e5wJGhQ0LbjuqU/Xi+fDUjt9qQqOy2w9OgRlut7E5KsArZ4HSMoZ4mth8zGGUv&#10;XW6E2ptuhpnIbpxVEGd1cENG+dT25JPOHovinFh2B8WUDcpRd9qQ4IOMQtnJbtk12FJiUIoyJDSn&#10;xLZuBUK/dO7Sx+Kzkt3RKJnBSXLTZLftpe4OHjSlYNFzT1JmqftS2GxIHY19G4AwHenuLAwtifGn&#10;qFw4WNYe4yk5HXRTNkhHyxGM74mdkKNGww7yWC5uUiIg5jsdL5CG7i4hsdNJ76CfskE6Ggw1ZFow&#10;tD+ILgpzWmsMdWy52dzRCv+uTnsCna2K7goRcIw7zsGwC3tBZxQNGnsGXqqQt39WSEbGGKKd0aCJ&#10;G5+mpNFBW9qT+pHIEqg78CdVPsM67TF0/tECWWGN/vFIGJSqvq98lJfFgC8OwHjFUAfllFpLuydq&#10;4UFi7slS3UPP7JPKLt+7ZzH1j2Z79x8AAAD//wMAUEsDBBQABgAIAAAAIQAF8LNt3QAAAAUBAAAP&#10;AAAAZHJzL2Rvd25yZXYueG1sTI9BS8NAEIXvgv9hGcGb3aTFmKbZlFLUUxFsBfE2zU6T0OxsyG6T&#10;9N+7etHLwOM93vsmX0+mFQP1rrGsIJ5FIIhLqxuuFHwcXh5SEM4ja2wtk4IrOVgXtzc5ZtqO/E7D&#10;3lcilLDLUEHtfZdJ6cqaDLqZ7YiDd7K9QR9kX0nd4xjKTSvnUZRIgw2HhRo72tZUnvcXo+B1xHGz&#10;iJ+H3fm0vX4dHt8+dzEpdX83bVYgPE3+Lww/+AEdisB0tBfWTrQKwiP+9wYvmadPII4KlmmyAFnk&#10;8j998Q0AAP//AwBQSwECLQAUAAYACAAAACEAtoM4kv4AAADhAQAAEwAAAAAAAAAAAAAAAAAAAAAA&#10;W0NvbnRlbnRfVHlwZXNdLnhtbFBLAQItABQABgAIAAAAIQA4/SH/1gAAAJQBAAALAAAAAAAAAAAA&#10;AAAAAC8BAABfcmVscy8ucmVsc1BLAQItABQABgAIAAAAIQAM9LYIWAkAAOJtAAAOAAAAAAAAAAAA&#10;AAAAAC4CAABkcnMvZTJvRG9jLnhtbFBLAQItABQABgAIAAAAIQAF8LNt3QAAAAUBAAAPAAAAAAAA&#10;AAAAAAAAALILAABkcnMvZG93bnJldi54bWxQSwUGAAAAAAQABADzAAAAvAwAAAAA&#10;">
                <v:rect id="Rectangle 20866" o:spid="_x0000_s5442" style="position:absolute;left:19007;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7OJxgAAAN4AAAAPAAAAZHJzL2Rvd25yZXYueG1sRI9Ba8JA&#10;FITvgv9heQVvuqmHEKKriCLm4KVWweMj+0zSZt8u2dVEf323UOhxmJlvmOV6MK14UOcbywreZwkI&#10;4tLqhisF58/9NAPhA7LG1jIpeJKH9Wo8WmKubc8f9DiFSkQI+xwV1CG4XEpf1mTQz6wjjt7NdgZD&#10;lF0ldYd9hJtWzpMklQYbjgs1OtrWVH6f7kbBdceu2PeyvL227vhVZO3hfr4oNXkbNgsQgYbwH/5r&#10;F1rBPMnSFH7vxCsgVz8AAAD//wMAUEsBAi0AFAAGAAgAAAAhANvh9svuAAAAhQEAABMAAAAAAAAA&#10;AAAAAAAAAAAAAFtDb250ZW50X1R5cGVzXS54bWxQSwECLQAUAAYACAAAACEAWvQsW78AAAAVAQAA&#10;CwAAAAAAAAAAAAAAAAAfAQAAX3JlbHMvLnJlbHNQSwECLQAUAAYACAAAACEAXN+zicYAAADeAAAA&#10;DwAAAAAAAAAAAAAAAAAHAgAAZHJzL2Rvd25yZXYueG1sUEsFBgAAAAADAAMAtwAAAPoCAAAAAA==&#10;" filled="f" stroked="f">
                  <v:textbox inset="0,0,0,0">
                    <w:txbxContent>
                      <w:p w14:paraId="43215128" w14:textId="77777777" w:rsidR="00B32EF2" w:rsidRDefault="00000000">
                        <w:r>
                          <w:rPr>
                            <w:rFonts w:ascii="Times New Roman" w:eastAsia="Times New Roman" w:hAnsi="Times New Roman" w:cs="Times New Roman"/>
                          </w:rPr>
                          <w:t>39</w:t>
                        </w:r>
                      </w:p>
                    </w:txbxContent>
                  </v:textbox>
                </v:rect>
                <v:rect id="Rectangle 20867" o:spid="_x0000_s5443" style="position:absolute;left:16470;top:61199;width:58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xYSxgAAAN4AAAAPAAAAZHJzL2Rvd25yZXYueG1sRI9Ba8JA&#10;FITvBf/D8oTe6kYPNkRXEUWag5eqhR4f2WcSzb5dsquJ/fVdQfA4zMw3zHzZm0bcqPW1ZQXjUQKC&#10;uLC65lLB8bD9SEH4gKyxsUwK7uRhuRi8zTHTtuNvuu1DKSKEfYYKqhBcJqUvKjLoR9YRR+9kW4Mh&#10;yraUusUuwk0jJ0kylQZrjgsVOlpXVFz2V6Pgd8Mu33ayOP2t3e6cp83X9fij1PuwX81ABOrDK/xs&#10;51rBJEmnn/C4E6+AXPwDAAD//wMAUEsBAi0AFAAGAAgAAAAhANvh9svuAAAAhQEAABMAAAAAAAAA&#10;AAAAAAAAAAAAAFtDb250ZW50X1R5cGVzXS54bWxQSwECLQAUAAYACAAAACEAWvQsW78AAAAVAQAA&#10;CwAAAAAAAAAAAAAAAAAfAQAAX3JlbHMvLnJlbHNQSwECLQAUAAYACAAAACEAM5MWEsYAAADeAAAA&#10;DwAAAAAAAAAAAAAAAAAHAgAAZHJzL2Rvd25yZXYueG1sUEsFBgAAAAADAAMAtwAAAPoCAAAAAA==&#10;" filled="f" stroked="f">
                  <v:textbox inset="0,0,0,0">
                    <w:txbxContent>
                      <w:p w14:paraId="7C774278" w14:textId="77777777" w:rsidR="00B32EF2" w:rsidRDefault="00000000">
                        <w:r>
                          <w:rPr>
                            <w:rFonts w:ascii="Arial" w:eastAsia="Arial" w:hAnsi="Arial" w:cs="Arial"/>
                            <w:b/>
                            <w:sz w:val="18"/>
                          </w:rPr>
                          <w:t>CAPO V</w:t>
                        </w:r>
                      </w:p>
                    </w:txbxContent>
                  </v:textbox>
                </v:rect>
                <v:rect id="Rectangle 20868" o:spid="_x0000_s5444" style="position:absolute;left:-5043;top:59802;width:403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IJgxAAAAN4AAAAPAAAAZHJzL2Rvd25yZXYueG1sRE89a8Mw&#10;EN0L+Q/iAt0aOR6CcaKEkhDiIUtdFzoe1sV2ap2EJcduf301FDo+3vfuMJtePGjwnWUF61UCgri2&#10;uuNGQfV+fslA+ICssbdMCr7Jw2G/eNphru3Eb/QoQyNiCPscFbQhuFxKX7dk0K+sI47czQ4GQ4RD&#10;I/WAUww3vUyTZCMNdhwbWnR0bKn+Kkej4PPErjhPsr79HN31XmT9Zaw+lHpezq9bEIHm8C/+cxda&#10;QZpkm7g33olXQO5/AQAA//8DAFBLAQItABQABgAIAAAAIQDb4fbL7gAAAIUBAAATAAAAAAAAAAAA&#10;AAAAAAAAAABbQ29udGVudF9UeXBlc10ueG1sUEsBAi0AFAAGAAgAAAAhAFr0LFu/AAAAFQEAAAsA&#10;AAAAAAAAAAAAAAAAHwEAAF9yZWxzLy5yZWxzUEsBAi0AFAAGAAgAAAAhAEIMgmDEAAAA3gAAAA8A&#10;AAAAAAAAAAAAAAAABwIAAGRycy9kb3ducmV2LnhtbFBLBQYAAAAAAwADALcAAAD4AgAAAAA=&#10;" filled="f" stroked="f">
                  <v:textbox inset="0,0,0,0">
                    <w:txbxContent>
                      <w:p w14:paraId="12DA5B8C" w14:textId="77777777" w:rsidR="00B32EF2" w:rsidRDefault="00000000">
                        <w:r>
                          <w:rPr>
                            <w:rFonts w:ascii="Arial" w:eastAsia="Arial" w:hAnsi="Arial" w:cs="Arial"/>
                            <w:b/>
                            <w:sz w:val="18"/>
                          </w:rPr>
                          <w:t xml:space="preserve"> SEZIONE CIVILE PRESSO LA CORTE DI CASSAZIONE</w:t>
                        </w:r>
                      </w:p>
                    </w:txbxContent>
                  </v:textbox>
                </v:rect>
                <v:rect id="Rectangle 20869" o:spid="_x0000_s5445" style="position:absolute;left:15051;top:57009;width:81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f7xgAAAN4AAAAPAAAAZHJzL2Rvd25yZXYueG1sRI9Ba8JA&#10;FITvgv9heQVvuqkHSVNXEUXMwUttCj0+ss8kNft2ya4m+uvdQqHHYWa+YZbrwbTiRp1vLCt4nSUg&#10;iEurG64UFJ/7aQrCB2SNrWVScCcP69V4tMRM254/6HYKlYgQ9hkqqENwmZS+rMmgn1lHHL2z7QyG&#10;KLtK6g77CDetnCfJQhpsOC7U6GhbU3k5XY2C7x27fN/L8vzYuuNPnraHa/Gl1ORl2LyDCDSE//Bf&#10;O9cK5km6eIPfO/EKyNUTAAD//wMAUEsBAi0AFAAGAAgAAAAhANvh9svuAAAAhQEAABMAAAAAAAAA&#10;AAAAAAAAAAAAAFtDb250ZW50X1R5cGVzXS54bWxQSwECLQAUAAYACAAAACEAWvQsW78AAAAVAQAA&#10;CwAAAAAAAAAAAAAAAAAfAQAAX3JlbHMvLnJlbHNQSwECLQAUAAYACAAAACEALUAn+8YAAADeAAAA&#10;DwAAAAAAAAAAAAAAAAAHAgAAZHJzL2Rvd25yZXYueG1sUEsFBgAAAAADAAMAtwAAAPoCAAAAAA==&#10;" filled="f" stroked="f">
                  <v:textbox inset="0,0,0,0">
                    <w:txbxContent>
                      <w:p w14:paraId="604B6113" w14:textId="77777777" w:rsidR="00B32EF2" w:rsidRDefault="00000000">
                        <w:r>
                          <w:rPr>
                            <w:rFonts w:ascii="Arial" w:eastAsia="Arial" w:hAnsi="Arial" w:cs="Arial"/>
                            <w:b/>
                            <w:sz w:val="18"/>
                          </w:rPr>
                          <w:t>Articolo 44</w:t>
                        </w:r>
                      </w:p>
                    </w:txbxContent>
                  </v:textbox>
                </v:rect>
                <v:rect id="Rectangle 201676" o:spid="_x0000_s5446" style="position:absolute;left:3502;top:55612;width:158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akxwAAAN8AAAAPAAAAZHJzL2Rvd25yZXYueG1sRI9Ba8JA&#10;FITvgv9heUJvutFDKtFVRJHm4KVWweMj+0yi2bdLdjWxv75bKPQ4zMw3zHLdm0Y8qfW1ZQXTSQKC&#10;uLC65lLB6Ws/noPwAVljY5kUvMjDejUcLDHTtuNPeh5DKSKEfYYKqhBcJqUvKjLoJ9YRR+9qW4Mh&#10;yraUusUuwk0jZ0mSSoM1x4UKHW0rKu7Hh1Fw2bHL950srt9bd7jl8+bjcTor9TbqNwsQgfrwH/5r&#10;51rBLJmm7yn8/olfQK5+AAAA//8DAFBLAQItABQABgAIAAAAIQDb4fbL7gAAAIUBAAATAAAAAAAA&#10;AAAAAAAAAAAAAABbQ29udGVudF9UeXBlc10ueG1sUEsBAi0AFAAGAAgAAAAhAFr0LFu/AAAAFQEA&#10;AAsAAAAAAAAAAAAAAAAAHwEAAF9yZWxzLy5yZWxzUEsBAi0AFAAGAAgAAAAhALldtqTHAAAA3wAA&#10;AA8AAAAAAAAAAAAAAAAABwIAAGRycy9kb3ducmV2LnhtbFBLBQYAAAAAAwADALcAAAD7AgAAAAA=&#10;" filled="f" stroked="f">
                  <v:textbox inset="0,0,0,0">
                    <w:txbxContent>
                      <w:p w14:paraId="6545FB7F" w14:textId="77777777" w:rsidR="00B32EF2" w:rsidRDefault="00000000">
                        <w:r>
                          <w:rPr>
                            <w:rFonts w:ascii="Arial" w:eastAsia="Arial" w:hAnsi="Arial" w:cs="Arial"/>
                            <w:i/>
                            <w:sz w:val="18"/>
                          </w:rPr>
                          <w:t>130/2022)</w:t>
                        </w:r>
                      </w:p>
                    </w:txbxContent>
                  </v:textbox>
                </v:rect>
                <v:rect id="Rectangle 201678" o:spid="_x0000_s5447" style="position:absolute;left:15075;top:55612;width:158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odNxAAAAN8AAAAPAAAAZHJzL2Rvd25yZXYueG1sRE9Ni8Iw&#10;EL0v+B/CCN7WVA+uVKOIIvbgZd0KHodmbKvNJDTRVn/95rCwx8f7Xq5704gntb62rGAyTkAQF1bX&#10;XCrIf/afcxA+IGtsLJOCF3lYrwYfS0y17fibnqdQihjCPkUFVQguldIXFRn0Y+uII3e1rcEQYVtK&#10;3WIXw00jp0kykwZrjg0VOtpWVNxPD6PgsmOX7TtZXN9bd7xl8+bwyM9KjYb9ZgEiUB/+xX/uTCuY&#10;JpPZVxwc/8QvIFe/AAAA//8DAFBLAQItABQABgAIAAAAIQDb4fbL7gAAAIUBAAATAAAAAAAAAAAA&#10;AAAAAAAAAABbQ29udGVudF9UeXBlc10ueG1sUEsBAi0AFAAGAAgAAAAhAFr0LFu/AAAAFQEAAAsA&#10;AAAAAAAAAAAAAAAAHwEAAF9yZWxzLy5yZWxzUEsBAi0AFAAGAAgAAAAhAKeOh03EAAAA3wAAAA8A&#10;AAAAAAAAAAAAAAAABwIAAGRycy9kb3ducmV2LnhtbFBLBQYAAAAAAwADALcAAAD4AgAAAAA=&#10;" filled="f" stroked="f">
                  <v:textbox inset="0,0,0,0">
                    <w:txbxContent>
                      <w:p w14:paraId="255CADC3" w14:textId="77777777" w:rsidR="00B32EF2" w:rsidRDefault="00000000">
                        <w:r>
                          <w:rPr>
                            <w:rFonts w:ascii="Arial" w:eastAsia="Arial" w:hAnsi="Arial" w:cs="Arial"/>
                            <w:i/>
                            <w:sz w:val="18"/>
                          </w:rPr>
                          <w:t xml:space="preserve">articolo 3 L. </w:t>
                        </w:r>
                      </w:p>
                    </w:txbxContent>
                  </v:textbox>
                </v:rect>
                <v:rect id="Rectangle 201673" o:spid="_x0000_s5448" style="position:absolute;left:21766;top:55612;width:158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hU8xwAAAN8AAAAPAAAAZHJzL2Rvd25yZXYueG1sRI9Ba8JA&#10;FITvgv9heUJvutGClegqoog5eKla6PGRfSbR7Nslu5q0v94tFDwOM/MNs1h1phYPanxlWcF4lIAg&#10;zq2uuFBwPu2GMxA+IGusLZOCH/KwWvZ7C0y1bfmTHsdQiAhhn6KCMgSXSunzkgz6kXXE0bvYxmCI&#10;simkbrCNcFPLSZJMpcGK40KJjjYl5bfj3Sj43rLLdq3ML78bd7hms3p/P38p9Tbo1nMQgbrwCv+3&#10;M61gkoynH+/w9yd+Abl8AgAA//8DAFBLAQItABQABgAIAAAAIQDb4fbL7gAAAIUBAAATAAAAAAAA&#10;AAAAAAAAAAAAAABbQ29udGVudF9UeXBlc10ueG1sUEsBAi0AFAAGAAgAAAAhAFr0LFu/AAAAFQEA&#10;AAsAAAAAAAAAAAAAAAAAHwEAAF9yZWxzLy5yZWxzUEsBAi0AFAAGAAgAAAAhAKkqFTzHAAAA3wAA&#10;AA8AAAAAAAAAAAAAAAAABwIAAGRycy9kb3ducmV2LnhtbFBLBQYAAAAAAwADALcAAAD7AgAAAAA=&#10;" filled="f" stroked="f">
                  <v:textbox inset="0,0,0,0">
                    <w:txbxContent>
                      <w:p w14:paraId="0742E151" w14:textId="77777777" w:rsidR="00B32EF2" w:rsidRDefault="00000000">
                        <w:r>
                          <w:rPr>
                            <w:rFonts w:ascii="Arial" w:eastAsia="Arial" w:hAnsi="Arial" w:cs="Arial"/>
                            <w:i/>
                            <w:sz w:val="18"/>
                          </w:rPr>
                          <w:t>(</w:t>
                        </w:r>
                      </w:p>
                    </w:txbxContent>
                  </v:textbox>
                </v:rect>
                <v:rect id="Rectangle 20871" o:spid="_x0000_s5449" style="position:absolute;left:-12834;top:54215;width:525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70gxgAAAN4AAAAPAAAAZHJzL2Rvd25yZXYueG1sRI9Ba8JA&#10;FITvQv/D8gredKMHG1JXEUXMoZdqCj0+ss8kNft2ya4m9de7hYLHYWa+YZbrwbTiRp1vLCuYTRMQ&#10;xKXVDVcKitN+koLwAVlja5kU/JKH9epltMRM254/6XYMlYgQ9hkqqENwmZS+rMmgn1pHHL2z7QyG&#10;KLtK6g77CDetnCfJQhpsOC7U6GhbU3k5Xo2C7x27fN/L8nzfuo+fPG0P1+JLqfHrsHkHEWgIz/B/&#10;O9cK5kn6NoO/O/EKyNUDAAD//wMAUEsBAi0AFAAGAAgAAAAhANvh9svuAAAAhQEAABMAAAAAAAAA&#10;AAAAAAAAAAAAAFtDb250ZW50X1R5cGVzXS54bWxQSwECLQAUAAYACAAAACEAWvQsW78AAAAVAQAA&#10;CwAAAAAAAAAAAAAAAAAfAQAAX3JlbHMvLnJlbHNQSwECLQAUAAYACAAAACEAVu+9IMYAAADeAAAA&#10;DwAAAAAAAAAAAAAAAAAHAgAAZHJzL2Rvd25yZXYueG1sUEsFBgAAAAADAAMAtwAAAPoCAAAAAA==&#10;" filled="f" stroked="f">
                  <v:textbox inset="0,0,0,0">
                    <w:txbxContent>
                      <w:p w14:paraId="15AFD58F" w14:textId="77777777" w:rsidR="00B32EF2" w:rsidRDefault="00000000">
                        <w:r>
                          <w:rPr>
                            <w:rFonts w:ascii="Arial" w:eastAsia="Arial" w:hAnsi="Arial" w:cs="Arial"/>
                            <w:b/>
                            <w:sz w:val="18"/>
                          </w:rPr>
                          <w:t xml:space="preserve">Misure per la definizione del contenzioso tributario pendente presso la </w:t>
                        </w:r>
                      </w:p>
                    </w:txbxContent>
                  </v:textbox>
                </v:rect>
                <v:rect id="Rectangle 20872" o:spid="_x0000_s5450" style="position:absolute;left:10414;top:52819;width:152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SNXxwAAAN4AAAAPAAAAZHJzL2Rvd25yZXYueG1sRI9Ba8JA&#10;FITvBf/D8oTe6qY51JC6CUURc/CiVejxkX0mabNvl+xqYn99t1DocZiZb5hVOZle3GjwnWUFz4sE&#10;BHFtdceNgtP79ikD4QOyxt4yKbiTh7KYPaww13bkA92OoRERwj5HBW0ILpfS1y0Z9AvriKN3sYPB&#10;EOXQSD3gGOGml2mSvEiDHceFFh2tW6q/jlej4GPDrtqOsr58r93+s8r63fV0VupxPr29ggg0hf/w&#10;X7vSCtIkW6bweydeAVn8AAAA//8DAFBLAQItABQABgAIAAAAIQDb4fbL7gAAAIUBAAATAAAAAAAA&#10;AAAAAAAAAAAAAABbQ29udGVudF9UeXBlc10ueG1sUEsBAi0AFAAGAAgAAAAhAFr0LFu/AAAAFQEA&#10;AAsAAAAAAAAAAAAAAAAAHwEAAF9yZWxzLy5yZWxzUEsBAi0AFAAGAAgAAAAhAKY9I1fHAAAA3gAA&#10;AA8AAAAAAAAAAAAAAAAABwIAAGRycy9kb3ducmV2LnhtbFBLBQYAAAAAAwADALcAAAD7AgAAAAA=&#10;" filled="f" stroked="f">
                  <v:textbox inset="0,0,0,0">
                    <w:txbxContent>
                      <w:p w14:paraId="4A7618BC" w14:textId="77777777" w:rsidR="00B32EF2" w:rsidRDefault="00000000">
                        <w:r>
                          <w:rPr>
                            <w:rFonts w:ascii="Arial" w:eastAsia="Arial" w:hAnsi="Arial" w:cs="Arial"/>
                            <w:b/>
                            <w:sz w:val="18"/>
                          </w:rPr>
                          <w:t xml:space="preserve">Corte di Cassazione </w:t>
                        </w:r>
                      </w:p>
                    </w:txbxContent>
                  </v:textbox>
                </v:rect>
                <v:rect id="Rectangle 201668" o:spid="_x0000_s5451" style="position:absolute;left:26350;top:51422;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xGQwwAAAN8AAAAPAAAAZHJzL2Rvd25yZXYueG1sRE9Ni8Iw&#10;EL0v+B/CCN7WVA9FqlFEEXvwoqvgcWjGttpMQhNt9ddvDgt7fLzvxao3jXhR62vLCibjBARxYXXN&#10;pYLzz+57BsIHZI2NZVLwJg+r5eBrgZm2HR/pdQqliCHsM1RQheAyKX1RkUE/to44cjfbGgwRtqXU&#10;LXYx3DRymiSpNFhzbKjQ0aai4nF6GgXXLbt818ni9tm4wz2fNfvn+aLUaNiv5yAC9eFf/OfOtYJp&#10;MknTODj+iV9ALn8BAAD//wMAUEsBAi0AFAAGAAgAAAAhANvh9svuAAAAhQEAABMAAAAAAAAAAAAA&#10;AAAAAAAAAFtDb250ZW50X1R5cGVzXS54bWxQSwECLQAUAAYACAAAACEAWvQsW78AAAAVAQAACwAA&#10;AAAAAAAAAAAAAAAfAQAAX3JlbHMvLnJlbHNQSwECLQAUAAYACAAAACEAIlcRkMMAAADfAAAADwAA&#10;AAAAAAAAAAAAAAAHAgAAZHJzL2Rvd25yZXYueG1sUEsFBgAAAAADAAMAtwAAAPcCAAAAAA==&#10;" filled="f" stroked="f">
                  <v:textbox inset="0,0,0,0">
                    <w:txbxContent>
                      <w:p w14:paraId="1DB89D1D" w14:textId="77777777" w:rsidR="00B32EF2" w:rsidRDefault="00000000">
                        <w:r>
                          <w:rPr>
                            <w:rFonts w:ascii="Arial" w:eastAsia="Arial" w:hAnsi="Arial" w:cs="Arial"/>
                            <w:sz w:val="18"/>
                          </w:rPr>
                          <w:t>1</w:t>
                        </w:r>
                      </w:p>
                    </w:txbxContent>
                  </v:textbox>
                </v:rect>
                <v:rect id="Rectangle 201670" o:spid="_x0000_s5452" style="position:absolute;left:-12797;top:51422;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LxQAAAN8AAAAPAAAAZHJzL2Rvd25yZXYueG1sRI/NisIw&#10;FIX3A75DuIK7MdWFI9UooohduBmngstLc22rzU1ooq0+/WQxMMvD+eNbrnvTiCe1vrasYDJOQBAX&#10;VtdcKsh/9p9zED4ga2wsk4IXeVivBh9LTLXt+Juep1CKOMI+RQVVCC6V0hcVGfRj64ijd7WtwRBl&#10;W0rdYhfHTSOnSTKTBmuODxU62lZU3E8Po+CyY5ftO1lc31t3vGXz5vDIz0qNhv1mASJQH/7Df+1M&#10;K5gmk9lXJIg8kQXk6hcAAP//AwBQSwECLQAUAAYACAAAACEA2+H2y+4AAACFAQAAEwAAAAAAAAAA&#10;AAAAAAAAAAAAW0NvbnRlbnRfVHlwZXNdLnhtbFBLAQItABQABgAIAAAAIQBa9CxbvwAAABUBAAAL&#10;AAAAAAAAAAAAAAAAAB8BAABfcmVscy8ucmVsc1BLAQItABQABgAIAAAAIQBZ+ItLxQAAAN8AAAAP&#10;AAAAAAAAAAAAAAAAAAcCAABkcnMvZG93bnJldi54bWxQSwUGAAAAAAMAAwC3AAAA+QIAAAAA&#10;" filled="f" stroked="f">
                  <v:textbox inset="0,0,0,0">
                    <w:txbxContent>
                      <w:p w14:paraId="402FFFBD" w14:textId="77777777" w:rsidR="00B32EF2" w:rsidRDefault="00000000">
                        <w:r>
                          <w:rPr>
                            <w:rFonts w:ascii="Arial" w:eastAsia="Arial" w:hAnsi="Arial" w:cs="Arial"/>
                            <w:sz w:val="18"/>
                          </w:rPr>
                          <w:t>. Presso la Corte di Cassazione è istituita una sezione civile incaricata esclu</w:t>
                        </w:r>
                      </w:p>
                    </w:txbxContent>
                  </v:textbox>
                </v:rect>
                <v:rect id="Rectangle 20874" o:spid="_x0000_s5453" style="position:absolute;left:193;top:5142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B64xwAAAN4AAAAPAAAAZHJzL2Rvd25yZXYueG1sRI9Pa8JA&#10;FMTvBb/D8gRvdaOUNkRXEUWaQy/1D3h8ZJ9JNPt2ya4m9tN3CwWPw8z8hpkve9OIO7W+tqxgMk5A&#10;EBdW11wqOOy3rykIH5A1NpZJwYM8LBeDlzlm2nb8TfddKEWEsM9QQRWCy6T0RUUG/dg64uidbWsw&#10;RNmWUrfYRbhp5DRJ3qXBmuNChY7WFRXX3c0oOG3Y5dtOFueftfu65GnzeTsclRoN+9UMRKA+PMP/&#10;7VwrmCbpxxv83YlXQC5+AQAA//8DAFBLAQItABQABgAIAAAAIQDb4fbL7gAAAIUBAAATAAAAAAAA&#10;AAAAAAAAAAAAAABbQ29udGVudF9UeXBlc10ueG1sUEsBAi0AFAAGAAgAAAAhAFr0LFu/AAAAFQEA&#10;AAsAAAAAAAAAAAAAAAAAHwEAAF9yZWxzLy5yZWxzUEsBAi0AFAAGAAgAAAAhAEaYHrjHAAAA3gAA&#10;AA8AAAAAAAAAAAAAAAAABwIAAGRycy9kb3ducmV2LnhtbFBLBQYAAAAAAwADALcAAAD7AgAAAAA=&#10;" filled="f" stroked="f">
                  <v:textbox inset="0,0,0,0">
                    <w:txbxContent>
                      <w:p w14:paraId="2DE51846" w14:textId="77777777" w:rsidR="00B32EF2" w:rsidRDefault="00000000">
                        <w:r>
                          <w:rPr>
                            <w:rFonts w:ascii="Arial" w:eastAsia="Arial" w:hAnsi="Arial" w:cs="Arial"/>
                            <w:sz w:val="18"/>
                          </w:rPr>
                          <w:t>-</w:t>
                        </w:r>
                      </w:p>
                    </w:txbxContent>
                  </v:textbox>
                </v:rect>
                <v:rect id="Rectangle 20875" o:spid="_x0000_s5454" style="position:absolute;left:-4972;top:50025;width:448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LsjxwAAAN4AAAAPAAAAZHJzL2Rvd25yZXYueG1sRI9Pa8JA&#10;FMTvBb/D8gRvdaPQNkRXEUWaQy/1D3h8ZJ9JNPt2ya4m9tN3CwWPw8z8hpkve9OIO7W+tqxgMk5A&#10;EBdW11wqOOy3rykIH5A1NpZJwYM8LBeDlzlm2nb8TfddKEWEsM9QQRWCy6T0RUUG/dg64uidbWsw&#10;RNmWUrfYRbhp5DRJ3qXBmuNChY7WFRXX3c0oOG3Y5dtOFueftfu65GnzeTsclRoN+9UMRKA+PMP/&#10;7VwrmCbpxxv83YlXQC5+AQAA//8DAFBLAQItABQABgAIAAAAIQDb4fbL7gAAAIUBAAATAAAAAAAA&#10;AAAAAAAAAAAAAABbQ29udGVudF9UeXBlc10ueG1sUEsBAi0AFAAGAAgAAAAhAFr0LFu/AAAAFQEA&#10;AAsAAAAAAAAAAAAAAAAAHwEAAF9yZWxzLy5yZWxzUEsBAi0AFAAGAAgAAAAhACnUuyPHAAAA3gAA&#10;AA8AAAAAAAAAAAAAAAAABwIAAGRycy9kb3ducmV2LnhtbFBLBQYAAAAAAwADALcAAAD7AgAAAAA=&#10;" filled="f" stroked="f">
                  <v:textbox inset="0,0,0,0">
                    <w:txbxContent>
                      <w:p w14:paraId="7B087346" w14:textId="77777777" w:rsidR="00B32EF2" w:rsidRDefault="00000000">
                        <w:r>
                          <w:rPr>
                            <w:rFonts w:ascii="Arial" w:eastAsia="Arial" w:hAnsi="Arial" w:cs="Arial"/>
                            <w:sz w:val="18"/>
                          </w:rPr>
                          <w:t>sivamente della trattazione delle controversie in materia tributaria.</w:t>
                        </w:r>
                      </w:p>
                    </w:txbxContent>
                  </v:textbox>
                </v:rect>
                <v:rect id="Rectangle 201665" o:spid="_x0000_s5455" style="position:absolute;left:-13816;top:4862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r4OxwAAAN8AAAAPAAAAZHJzL2Rvd25yZXYueG1sRI9Ba8JA&#10;FITvBf/D8gRvdaPQINFVRJHm4KVWweMj+0yi2bdLdjXRX98tFHocZuYbZrHqTSMe1PrasoLJOAFB&#10;XFhdc6ng+L17n4HwAVljY5kUPMnDajl4W2Cmbcdf9DiEUkQI+wwVVCG4TEpfVGTQj60jjt7FtgZD&#10;lG0pdYtdhJtGTpMklQZrjgsVOtpUVNwOd6PgvGWX7zpZXF4bt7/ms+bzfjwpNRr26zmIQH34D/+1&#10;c61gmkzS9AN+/8QvIJc/AAAA//8DAFBLAQItABQABgAIAAAAIQDb4fbL7gAAAIUBAAATAAAAAAAA&#10;AAAAAAAAAAAAAABbQ29udGVudF9UeXBlc10ueG1sUEsBAi0AFAAGAAgAAAAhAFr0LFu/AAAAFQEA&#10;AAsAAAAAAAAAAAAAAAAAHwEAAF9yZWxzLy5yZWxzUEsBAi0AFAAGAAgAAAAhAMxWvg7HAAAA3wAA&#10;AA8AAAAAAAAAAAAAAAAABwIAAGRycy9kb3ducmV2LnhtbFBLBQYAAAAAAwADALcAAAD7AgAAAAA=&#10;" filled="f" stroked="f">
                  <v:textbox inset="0,0,0,0">
                    <w:txbxContent>
                      <w:p w14:paraId="101E6B1F" w14:textId="77777777" w:rsidR="00B32EF2" w:rsidRDefault="00000000">
                        <w:r>
                          <w:rPr>
                            <w:rFonts w:ascii="Arial" w:eastAsia="Arial" w:hAnsi="Arial" w:cs="Arial"/>
                            <w:sz w:val="18"/>
                          </w:rPr>
                          <w:t xml:space="preserve">. Il primo presidente adotta provvedimenti organizzativi adeguati al fine di </w:t>
                        </w:r>
                      </w:p>
                    </w:txbxContent>
                  </v:textbox>
                </v:rect>
                <v:rect id="Rectangle 201663" o:spid="_x0000_s5456" style="position:absolute;left:26111;top:4862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4PhxwAAAN8AAAAPAAAAZHJzL2Rvd25yZXYueG1sRI9Ba8JA&#10;FITvBf/D8gRvdaOFINFVRJHm4KVWweMj+0yi2bdLdjXRX98tFHocZuYbZrHqTSMe1PrasoLJOAFB&#10;XFhdc6ng+L17n4HwAVljY5kUPMnDajl4W2Cmbcdf9DiEUkQI+wwVVCG4TEpfVGTQj60jjt7FtgZD&#10;lG0pdYtdhJtGTpMklQZrjgsVOtpUVNwOd6PgvGWX7zpZXF4bt7/ms+bzfjwpNRr26zmIQH34D/+1&#10;c61gmkzS9AN+/8QvIJc/AAAA//8DAFBLAQItABQABgAIAAAAIQDb4fbL7gAAAIUBAAATAAAAAAAA&#10;AAAAAAAAAAAAAABbQ29udGVudF9UeXBlc10ueG1sUEsBAi0AFAAGAAgAAAAhAFr0LFu/AAAAFQEA&#10;AAsAAAAAAAAAAAAAAAAAHwEAAF9yZWxzLy5yZWxzUEsBAi0AFAAGAAgAAAAhACzzg+HHAAAA3wAA&#10;AA8AAAAAAAAAAAAAAAAABwIAAGRycy9kb3ducmV2LnhtbFBLBQYAAAAAAwADALcAAAD7AgAAAAA=&#10;" filled="f" stroked="f">
                  <v:textbox inset="0,0,0,0">
                    <w:txbxContent>
                      <w:p w14:paraId="78669CCD" w14:textId="77777777" w:rsidR="00B32EF2" w:rsidRDefault="00000000">
                        <w:r>
                          <w:rPr>
                            <w:rFonts w:ascii="Arial" w:eastAsia="Arial" w:hAnsi="Arial" w:cs="Arial"/>
                            <w:sz w:val="18"/>
                          </w:rPr>
                          <w:t>2</w:t>
                        </w:r>
                      </w:p>
                    </w:txbxContent>
                  </v:textbox>
                </v:rect>
                <v:rect id="Rectangle 20877" o:spid="_x0000_s5457" style="position:absolute;left:-13170;top:4723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oDPxgAAAN4AAAAPAAAAZHJzL2Rvd25yZXYueG1sRI9Ba8JA&#10;FITvBf/D8gre6qYeakhdRRRpDl6qETw+ss8kNft2ya4m+uu7hYLHYWa+YebLwbTiRp1vLCt4nyQg&#10;iEurG64UFIftWwrCB2SNrWVScCcPy8XoZY6Ztj1/020fKhEh7DNUUIfgMil9WZNBP7GOOHpn2xkM&#10;UXaV1B32EW5aOU2SD2mw4bhQo6N1TeVlfzUKTht2+baX5fmxdrufPG2/rsVRqfHrsPoEEWgIz/B/&#10;O9cKpkk6m8HfnXgF5OIXAAD//wMAUEsBAi0AFAAGAAgAAAAhANvh9svuAAAAhQEAABMAAAAAAAAA&#10;AAAAAAAAAAAAAFtDb250ZW50X1R5cGVzXS54bWxQSwECLQAUAAYACAAAACEAWvQsW78AAAAVAQAA&#10;CwAAAAAAAAAAAAAAAAAfAQAAX3JlbHMvLnJlbHNQSwECLQAUAAYACAAAACEAtkqAz8YAAADeAAAA&#10;DwAAAAAAAAAAAAAAAAAHAgAAZHJzL2Rvd25yZXYueG1sUEsFBgAAAAADAAMAtwAAAPoCAAAAAA==&#10;" filled="f" stroked="f">
                  <v:textbox inset="0,0,0,0">
                    <w:txbxContent>
                      <w:p w14:paraId="211B8061" w14:textId="77777777" w:rsidR="00B32EF2" w:rsidRDefault="00000000">
                        <w:r>
                          <w:rPr>
                            <w:rFonts w:ascii="Arial" w:eastAsia="Arial" w:hAnsi="Arial" w:cs="Arial"/>
                            <w:sz w:val="18"/>
                          </w:rPr>
                          <w:t xml:space="preserve">stabilizzare gli orientamenti di legittimità e di agevolare la rapida definizione </w:t>
                        </w:r>
                      </w:p>
                    </w:txbxContent>
                  </v:textbox>
                </v:rect>
                <v:rect id="Rectangle 20878" o:spid="_x0000_s5458" style="position:absolute;left:-13171;top:4583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RS9wwAAAN4AAAAPAAAAZHJzL2Rvd25yZXYueG1sRE/LisIw&#10;FN0L8w/hDsxO03GhpRpFHMQuZuMLXF6aa1ttbkITbWe+3iwEl4fzni9704gHtb62rOB7lIAgLqyu&#10;uVRwPGyGKQgfkDU2lknBH3lYLj4Gc8y07XhHj30oRQxhn6GCKgSXSemLigz6kXXEkbvY1mCIsC2l&#10;brGL4aaR4ySZSIM1x4YKHa0rKm77u1Fw/mGXbzpZXP7X7veap832fjwp9fXZr2YgAvXhLX65c61g&#10;nKTTuDfeiVdALp4AAAD//wMAUEsBAi0AFAAGAAgAAAAhANvh9svuAAAAhQEAABMAAAAAAAAAAAAA&#10;AAAAAAAAAFtDb250ZW50X1R5cGVzXS54bWxQSwECLQAUAAYACAAAACEAWvQsW78AAAAVAQAACwAA&#10;AAAAAAAAAAAAAAAfAQAAX3JlbHMvLnJlbHNQSwECLQAUAAYACAAAACEAx9UUvcMAAADeAAAADwAA&#10;AAAAAAAAAAAAAAAHAgAAZHJzL2Rvd25yZXYueG1sUEsFBgAAAAADAAMAtwAAAPcCAAAAAA==&#10;" filled="f" stroked="f">
                  <v:textbox inset="0,0,0,0">
                    <w:txbxContent>
                      <w:p w14:paraId="4C2EDD17" w14:textId="77777777" w:rsidR="00B32EF2" w:rsidRDefault="00000000">
                        <w:r>
                          <w:rPr>
                            <w:rFonts w:ascii="Arial" w:eastAsia="Arial" w:hAnsi="Arial" w:cs="Arial"/>
                            <w:sz w:val="18"/>
                          </w:rPr>
                          <w:t xml:space="preserve">dei procedimenti pendenti presso la Corte di Cassazione in materia tributaria, </w:t>
                        </w:r>
                      </w:p>
                    </w:txbxContent>
                  </v:textbox>
                </v:rect>
                <v:rect id="Rectangle 20879" o:spid="_x0000_s5459" style="position:absolute;left:-13170;top:4443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bEmxwAAAN4AAAAPAAAAZHJzL2Rvd25yZXYueG1sRI9Pa8JA&#10;FMTvBb/D8gRvdaOHNkZXEUWaQy/1D3h8ZJ9JNPt2ya4m9tN3C4Ueh5n5DbNY9aYRD2p9bVnBZJyA&#10;IC6srrlUcDzsXlMQPiBrbCyTgid5WC0HLwvMtO34ix77UIoIYZ+hgioEl0npi4oM+rF1xNG72NZg&#10;iLItpW6xi3DTyGmSvEmDNceFCh1tKipu+7tRcN6yy3edLC7fG/d5zdPm4348KTUa9us5iEB9+A//&#10;tXOtYJqk7zP4vROvgFz+AAAA//8DAFBLAQItABQABgAIAAAAIQDb4fbL7gAAAIUBAAATAAAAAAAA&#10;AAAAAAAAAAAAAABbQ29udGVudF9UeXBlc10ueG1sUEsBAi0AFAAGAAgAAAAhAFr0LFu/AAAAFQEA&#10;AAsAAAAAAAAAAAAAAAAAHwEAAF9yZWxzLy5yZWxzUEsBAi0AFAAGAAgAAAAhAKiZsSbHAAAA3gAA&#10;AA8AAAAAAAAAAAAAAAAABwIAAGRycy9kb3ducmV2LnhtbFBLBQYAAAAAAwADALcAAAD7AgAAAAA=&#10;" filled="f" stroked="f">
                  <v:textbox inset="0,0,0,0">
                    <w:txbxContent>
                      <w:p w14:paraId="290887A8" w14:textId="77777777" w:rsidR="00B32EF2" w:rsidRDefault="00000000">
                        <w:r>
                          <w:rPr>
                            <w:rFonts w:ascii="Arial" w:eastAsia="Arial" w:hAnsi="Arial" w:cs="Arial"/>
                            <w:sz w:val="18"/>
                          </w:rPr>
                          <w:t xml:space="preserve">favorendo l’acquisizione di una specifica competenza da parte dei magistrati </w:t>
                        </w:r>
                      </w:p>
                    </w:txbxContent>
                  </v:textbox>
                </v:rect>
                <v:rect id="Rectangle 20880" o:spid="_x0000_s5460" style="position:absolute;left:8198;top:43041;width:317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icxAAAAN4AAAAPAAAAZHJzL2Rvd25yZXYueG1sRI/LisIw&#10;FIb3wrxDOMLsbKoLKR2jDA4yXbjxBrM8NMe22pyEJtqOT28Wgsuf/8a3WA2mFXfqfGNZwTRJQRCX&#10;VjdcKTgeNpMMhA/IGlvLpOCfPKyWH6MF5tr2vKP7PlQijrDPUUEdgsul9GVNBn1iHXH0zrYzGKLs&#10;Kqk77OO4aeUsTefSYMPxoUZH65rK6/5mFPz9sCs2vSzPj7XbXoqs/b0dT0p9jofvLxCBhvAOv9qF&#10;VjBLsywCRJyIAnL5BAAA//8DAFBLAQItABQABgAIAAAAIQDb4fbL7gAAAIUBAAATAAAAAAAAAAAA&#10;AAAAAAAAAABbQ29udGVudF9UeXBlc10ueG1sUEsBAi0AFAAGAAgAAAAhAFr0LFu/AAAAFQEAAAsA&#10;AAAAAAAAAAAAAAAAHwEAAF9yZWxzLy5yZWxzUEsBAi0AFAAGAAgAAAAhAAx2aJzEAAAA3gAAAA8A&#10;AAAAAAAAAAAAAAAABwIAAGRycy9kb3ducmV2LnhtbFBLBQYAAAAAAwADALcAAAD4AgAAAAA=&#10;" filled="f" stroked="f">
                  <v:textbox inset="0,0,0,0">
                    <w:txbxContent>
                      <w:p w14:paraId="559373F9" w14:textId="77777777" w:rsidR="00B32EF2" w:rsidRDefault="00000000">
                        <w:r>
                          <w:rPr>
                            <w:rFonts w:ascii="Arial" w:eastAsia="Arial" w:hAnsi="Arial" w:cs="Arial"/>
                            <w:sz w:val="18"/>
                          </w:rPr>
                          <w:t>assegnati alla sezione civile di cui al comma 1.</w:t>
                        </w:r>
                      </w:p>
                    </w:txbxContent>
                  </v:textbox>
                </v:rect>
                <v:rect id="Rectangle 20881" o:spid="_x0000_s5461" style="position:absolute;left:16124;top:40575;width:63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s0HxgAAAN4AAAAPAAAAZHJzL2Rvd25yZXYueG1sRI9Pi8Iw&#10;FMTvC36H8IS9rakellKNIorYg5f1D3h8NM+22ryEJtrqp98sLHgcZuY3zGzRm0Y8qPW1ZQXjUQKC&#10;uLC65lLB8bD5SkH4gKyxsUwKnuRhMR98zDDTtuMfeuxDKSKEfYYKqhBcJqUvKjLoR9YRR+9iW4Mh&#10;yraUusUuwk0jJ0nyLQ3WHBcqdLSqqLjt70bBec0u33SyuLxWbnfN02Z7P56U+hz2yymIQH14h//b&#10;uVYwSdJ0DH934hWQ818AAAD//wMAUEsBAi0AFAAGAAgAAAAhANvh9svuAAAAhQEAABMAAAAAAAAA&#10;AAAAAAAAAAAAAFtDb250ZW50X1R5cGVzXS54bWxQSwECLQAUAAYACAAAACEAWvQsW78AAAAVAQAA&#10;CwAAAAAAAAAAAAAAAAAfAQAAX3JlbHMvLnJlbHNQSwECLQAUAAYACAAAACEAYzrNB8YAAADeAAAA&#10;DwAAAAAAAAAAAAAAAAAHAgAAZHJzL2Rvd25yZXYueG1sUEsFBgAAAAADAAMAtwAAAPoCAAAAAA==&#10;" filled="f" stroked="f">
                  <v:textbox inset="0,0,0,0">
                    <w:txbxContent>
                      <w:p w14:paraId="48E35AA7" w14:textId="77777777" w:rsidR="00B32EF2" w:rsidRDefault="00000000">
                        <w:r>
                          <w:rPr>
                            <w:rFonts w:ascii="Arial" w:eastAsia="Arial" w:hAnsi="Arial" w:cs="Arial"/>
                            <w:b/>
                            <w:sz w:val="18"/>
                          </w:rPr>
                          <w:t>PARTE II</w:t>
                        </w:r>
                      </w:p>
                    </w:txbxContent>
                  </v:textbox>
                </v:rect>
                <v:rect id="Rectangle 20882" o:spid="_x0000_s5462" style="position:absolute;left:-684;top:39342;width:3335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FNwxgAAAN4AAAAPAAAAZHJzL2Rvd25yZXYueG1sRI9Pi8Iw&#10;FMTvwn6H8Bb2pun2sJRqFHERe/Din4U9PppnW21eQhNt9dObhQWPw8z8hpktBtOKG3W+sazgc5KA&#10;IC6tbrhScDysxxkIH5A1tpZJwZ08LOZvoxnm2va8o9s+VCJC2OeooA7B5VL6siaDfmIdcfROtjMY&#10;ouwqqTvsI9y0Mk2SL2mw4bhQo6NVTeVlfzUKfr/ZFetelqfHym3PRdZurscfpT7eh+UURKAhvML/&#10;7UIrSJMsS+HvTrwCcv4EAAD//wMAUEsBAi0AFAAGAAgAAAAhANvh9svuAAAAhQEAABMAAAAAAAAA&#10;AAAAAAAAAAAAAFtDb250ZW50X1R5cGVzXS54bWxQSwECLQAUAAYACAAAACEAWvQsW78AAAAVAQAA&#10;CwAAAAAAAAAAAAAAAAAfAQAAX3JlbHMvLnJlbHNQSwECLQAUAAYACAAAACEAk+hTcMYAAADeAAAA&#10;DwAAAAAAAAAAAAAAAAAHAgAAZHJzL2Rvd25yZXYueG1sUEsFBgAAAAADAAMAtwAAAPoCAAAAAA==&#10;" filled="f" stroked="f">
                  <v:textbox inset="0,0,0,0">
                    <w:txbxContent>
                      <w:p w14:paraId="4F13CE0C" w14:textId="77777777" w:rsidR="00B32EF2" w:rsidRDefault="00000000">
                        <w:r>
                          <w:rPr>
                            <w:rFonts w:ascii="Arial" w:eastAsia="Arial" w:hAnsi="Arial" w:cs="Arial"/>
                            <w:b/>
                            <w:sz w:val="18"/>
                          </w:rPr>
                          <w:t xml:space="preserve"> DISPOSIZIONI SUL PROCESSO TRIBUTARIO</w:t>
                        </w:r>
                      </w:p>
                    </w:txbxContent>
                  </v:textbox>
                </v:rect>
                <v:rect id="Rectangle 20883" o:spid="_x0000_s5463" style="position:absolute;left:16092;top:36875;width:64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PbrxgAAAN4AAAAPAAAAZHJzL2Rvd25yZXYueG1sRI9Ba8JA&#10;FITvBf/D8gRvdaNCCdFVRBFz8FKr4PGRfSbR7Nslu5rYX98tFHocZuYbZrHqTSOe1PrasoLJOAFB&#10;XFhdc6ng9LV7T0H4gKyxsUwKXuRhtRy8LTDTtuNPeh5DKSKEfYYKqhBcJqUvKjLox9YRR+9qW4Mh&#10;yraUusUuwk0jp0nyIQ3WHBcqdLSpqLgfH0bBZcsu33WyuH5v3OGWp83+cTorNRr26zmIQH34D/+1&#10;c61gmqTpDH7vxCsglz8AAAD//wMAUEsBAi0AFAAGAAgAAAAhANvh9svuAAAAhQEAABMAAAAAAAAA&#10;AAAAAAAAAAAAAFtDb250ZW50X1R5cGVzXS54bWxQSwECLQAUAAYACAAAACEAWvQsW78AAAAVAQAA&#10;CwAAAAAAAAAAAAAAAAAfAQAAX3JlbHMvLnJlbHNQSwECLQAUAAYACAAAACEA/KT268YAAADeAAAA&#10;DwAAAAAAAAAAAAAAAAAHAgAAZHJzL2Rvd25yZXYueG1sUEsFBgAAAAADAAMAtwAAAPoCAAAAAA==&#10;" filled="f" stroked="f">
                  <v:textbox inset="0,0,0,0">
                    <w:txbxContent>
                      <w:p w14:paraId="04EC93D9" w14:textId="77777777" w:rsidR="00B32EF2" w:rsidRDefault="00000000">
                        <w:r>
                          <w:rPr>
                            <w:rFonts w:ascii="Arial" w:eastAsia="Arial" w:hAnsi="Arial" w:cs="Arial"/>
                            <w:b/>
                            <w:sz w:val="18"/>
                          </w:rPr>
                          <w:t>TITOLO I</w:t>
                        </w:r>
                      </w:p>
                    </w:txbxContent>
                  </v:textbox>
                </v:rect>
                <v:rect id="Rectangle 20884" o:spid="_x0000_s5464" style="position:absolute;left:8297;top:35642;width:189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W6fxgAAAN4AAAAPAAAAZHJzL2Rvd25yZXYueG1sRI9Ba8JA&#10;FITvBf/D8gRvdaNICdFVRBFz8FKr4PGRfSbR7Nslu5rYX98tFHocZuYbZrHqTSOe1PrasoLJOAFB&#10;XFhdc6ng9LV7T0H4gKyxsUwKXuRhtRy8LTDTtuNPeh5DKSKEfYYKqhBcJqUvKjLox9YRR+9qW4Mh&#10;yraUusUuwk0jp0nyIQ3WHBcqdLSpqLgfH0bBZcsu33WyuH5v3OGWp83+cTorNRr26zmIQH34D/+1&#10;c61gmqTpDH7vxCsglz8AAAD//wMAUEsBAi0AFAAGAAgAAAAhANvh9svuAAAAhQEAABMAAAAAAAAA&#10;AAAAAAAAAAAAAFtDb250ZW50X1R5cGVzXS54bWxQSwECLQAUAAYACAAAACEAWvQsW78AAAAVAQAA&#10;CwAAAAAAAAAAAAAAAAAfAQAAX3JlbHMvLnJlbHNQSwECLQAUAAYACAAAACEAc01un8YAAADeAAAA&#10;DwAAAAAAAAAAAAAAAAAHAgAAZHJzL2Rvd25yZXYueG1sUEsFBgAAAAADAAMAtwAAAPoCAAAAAA==&#10;" filled="f" stroked="f">
                  <v:textbox inset="0,0,0,0">
                    <w:txbxContent>
                      <w:p w14:paraId="647B471A" w14:textId="77777777" w:rsidR="00B32EF2" w:rsidRDefault="00000000">
                        <w:r>
                          <w:rPr>
                            <w:rFonts w:ascii="Arial" w:eastAsia="Arial" w:hAnsi="Arial" w:cs="Arial"/>
                            <w:b/>
                            <w:sz w:val="18"/>
                          </w:rPr>
                          <w:t>DISPOSIZIONI GENERALI</w:t>
                        </w:r>
                      </w:p>
                    </w:txbxContent>
                  </v:textbox>
                </v:rect>
                <v:rect id="Rectangle 20885" o:spid="_x0000_s5465" style="position:absolute;left:16838;top:33175;width:52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csExgAAAN4AAAAPAAAAZHJzL2Rvd25yZXYueG1sRI9Ba8JA&#10;FITvBf/D8gRvdaNgCdFVRBFz8FKr4PGRfSbR7Nslu5rYX98tFHocZuYbZrHqTSOe1PrasoLJOAFB&#10;XFhdc6ng9LV7T0H4gKyxsUwKXuRhtRy8LTDTtuNPeh5DKSKEfYYKqhBcJqUvKjLox9YRR+9qW4Mh&#10;yraUusUuwk0jp0nyIQ3WHBcqdLSpqLgfH0bBZcsu33WyuH5v3OGWp83+cTorNRr26zmIQH34D/+1&#10;c61gmqTpDH7vxCsglz8AAAD//wMAUEsBAi0AFAAGAAgAAAAhANvh9svuAAAAhQEAABMAAAAAAAAA&#10;AAAAAAAAAAAAAFtDb250ZW50X1R5cGVzXS54bWxQSwECLQAUAAYACAAAACEAWvQsW78AAAAVAQAA&#10;CwAAAAAAAAAAAAAAAAAfAQAAX3JlbHMvLnJlbHNQSwECLQAUAAYACAAAACEAHAHLBMYAAADeAAAA&#10;DwAAAAAAAAAAAAAAAAAHAgAAZHJzL2Rvd25yZXYueG1sUEsFBgAAAAADAAMAtwAAAPoCAAAAAA==&#10;" filled="f" stroked="f">
                  <v:textbox inset="0,0,0,0">
                    <w:txbxContent>
                      <w:p w14:paraId="50497DD6" w14:textId="77777777" w:rsidR="00B32EF2" w:rsidRDefault="00000000">
                        <w:r>
                          <w:rPr>
                            <w:rFonts w:ascii="Arial" w:eastAsia="Arial" w:hAnsi="Arial" w:cs="Arial"/>
                            <w:b/>
                            <w:sz w:val="18"/>
                          </w:rPr>
                          <w:t>CAPO I</w:t>
                        </w:r>
                      </w:p>
                    </w:txbxContent>
                  </v:textbox>
                </v:rect>
                <v:rect id="Rectangle 20886" o:spid="_x0000_s5466" style="position:absolute;left:-2721;top:31942;width:365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1VzxgAAAN4AAAAPAAAAZHJzL2Rvd25yZXYueG1sRI9Pi8Iw&#10;FMTvC36H8IS9rakepFSjiCL2sJf1D3h8NM+22ryEJtrqp98sLHgcZuY3zHzZm0Y8qPW1ZQXjUQKC&#10;uLC65lLB8bD9SkH4gKyxsUwKnuRhuRh8zDHTtuMfeuxDKSKEfYYKqhBcJqUvKjLoR9YRR+9iW4Mh&#10;yraUusUuwk0jJ0kylQZrjgsVOlpXVNz2d6PgvGGXbztZXF5r933N02Z3P56U+hz2qxmIQH14h//b&#10;uVYwSdJ0Cn934hWQi18AAAD//wMAUEsBAi0AFAAGAAgAAAAhANvh9svuAAAAhQEAABMAAAAAAAAA&#10;AAAAAAAAAAAAAFtDb250ZW50X1R5cGVzXS54bWxQSwECLQAUAAYACAAAACEAWvQsW78AAAAVAQAA&#10;CwAAAAAAAAAAAAAAAAAfAQAAX3JlbHMvLnJlbHNQSwECLQAUAAYACAAAACEA7NNVc8YAAADeAAAA&#10;DwAAAAAAAAAAAAAAAAAHAgAAZHJzL2Rvd25yZXYueG1sUEsFBgAAAAADAAMAtwAAAPoCAAAAAA==&#10;" filled="f" stroked="f">
                  <v:textbox inset="0,0,0,0">
                    <w:txbxContent>
                      <w:p w14:paraId="356F117D" w14:textId="77777777" w:rsidR="00B32EF2" w:rsidRDefault="00000000">
                        <w:r>
                          <w:rPr>
                            <w:rFonts w:ascii="Arial" w:eastAsia="Arial" w:hAnsi="Arial" w:cs="Arial"/>
                            <w:b/>
                            <w:sz w:val="18"/>
                          </w:rPr>
                          <w:t>DEL GIUDICE TRIBUTARIO E DEI SUOI AUSILIARI</w:t>
                        </w:r>
                      </w:p>
                    </w:txbxContent>
                  </v:textbox>
                </v:rect>
                <v:rect id="Rectangle 20887" o:spid="_x0000_s5467" style="position:absolute;left:15063;top:29475;width:81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DoxgAAAN4AAAAPAAAAZHJzL2Rvd25yZXYueG1sRI9Ba8JA&#10;FITvBf/D8gRvdaMHG6KriCLm4KVWweMj+0yi2bdLdjWxv75bKPQ4zMw3zGLVm0Y8qfW1ZQWTcQKC&#10;uLC65lLB6Wv3noLwAVljY5kUvMjDajl4W2Cmbcef9DyGUkQI+wwVVCG4TEpfVGTQj60jjt7VtgZD&#10;lG0pdYtdhJtGTpNkJg3WHBcqdLSpqLgfH0bBZcsu33WyuH5v3OGWp83+cTorNRr26zmIQH34D/+1&#10;c61gmqTpB/zeiVdALn8AAAD//wMAUEsBAi0AFAAGAAgAAAAhANvh9svuAAAAhQEAABMAAAAAAAAA&#10;AAAAAAAAAAAAAFtDb250ZW50X1R5cGVzXS54bWxQSwECLQAUAAYACAAAACEAWvQsW78AAAAVAQAA&#10;CwAAAAAAAAAAAAAAAAAfAQAAX3JlbHMvLnJlbHNQSwECLQAUAAYACAAAACEAg5/w6MYAAADeAAAA&#10;DwAAAAAAAAAAAAAAAAAHAgAAZHJzL2Rvd25yZXYueG1sUEsFBgAAAAADAAMAtwAAAPoCAAAAAA==&#10;" filled="f" stroked="f">
                  <v:textbox inset="0,0,0,0">
                    <w:txbxContent>
                      <w:p w14:paraId="473E30A1" w14:textId="77777777" w:rsidR="00B32EF2" w:rsidRDefault="00000000">
                        <w:r>
                          <w:rPr>
                            <w:rFonts w:ascii="Arial" w:eastAsia="Arial" w:hAnsi="Arial" w:cs="Arial"/>
                            <w:b/>
                            <w:sz w:val="18"/>
                          </w:rPr>
                          <w:t>Articolo 45</w:t>
                        </w:r>
                      </w:p>
                    </w:txbxContent>
                  </v:textbox>
                </v:rect>
                <v:rect id="Rectangle 201659" o:spid="_x0000_s5468" style="position:absolute;left:-1444;top:28242;width:185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362xwAAAN8AAAAPAAAAZHJzL2Rvd25yZXYueG1sRI9Ba8JA&#10;FITvgv9heYI33SgoNrpKsUhz8FKbQo+P7DOJzb5dsqtJ++vdguBxmJlvmM2uN424Uetrywpm0wQE&#10;cWF1zaWC/PMwWYHwAVljY5kU/JKH3XY42GCqbccfdDuFUkQI+xQVVCG4VEpfVGTQT60jjt7ZtgZD&#10;lG0pdYtdhJtGzpNkKQ3WHBcqdLSvqPg5XY2C7zd22aGTxflv746XbNW8X/Mvpcaj/nUNIlAfnuFH&#10;O9MK5slsuXiB/z/xC8jtHQAA//8DAFBLAQItABQABgAIAAAAIQDb4fbL7gAAAIUBAAATAAAAAAAA&#10;AAAAAAAAAAAAAABbQ29udGVudF9UeXBlc10ueG1sUEsBAi0AFAAGAAgAAAAhAFr0LFu/AAAAFQEA&#10;AAsAAAAAAAAAAAAAAAAAHwEAAF9yZWxzLy5yZWxzUEsBAi0AFAAGAAgAAAAhAIN3frbHAAAA3wAA&#10;AA8AAAAAAAAAAAAAAAAABwIAAGRycy9kb3ducmV2LnhtbFBLBQYAAAAAAwADALcAAAD7AgAAAAA=&#10;" filled="f" stroked="f">
                  <v:textbox inset="0,0,0,0">
                    <w:txbxContent>
                      <w:p w14:paraId="200FDCD3" w14:textId="77777777" w:rsidR="00B32EF2" w:rsidRDefault="00000000">
                        <w:r>
                          <w:rPr>
                            <w:rFonts w:ascii="Arial" w:eastAsia="Arial" w:hAnsi="Arial" w:cs="Arial"/>
                            <w:i/>
                            <w:sz w:val="18"/>
                          </w:rPr>
                          <w:t>546/92)</w:t>
                        </w:r>
                      </w:p>
                    </w:txbxContent>
                  </v:textbox>
                </v:rect>
                <v:rect id="Rectangle 201661" o:spid="_x0000_s5469" style="position:absolute;left:12164;top:28242;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bgNxwAAAN8AAAAPAAAAZHJzL2Rvd25yZXYueG1sRI9Ba8JA&#10;FITvBf/D8gRvdRMPQVJXKYqYg5eqhR4f2WeSNvt2ya4m+uu7guBxmJlvmMVqMK24UucbywrSaQKC&#10;uLS64UrB6bh9n4PwAVlja5kU3MjDajl6W2Cubc9fdD2ESkQI+xwV1CG4XEpf1mTQT60jjt7ZdgZD&#10;lF0ldYd9hJtWzpIkkwYbjgs1OlrXVP4dLkbBz4Zdse1leb6v3f63mLe7y+lbqcl4+PwAEWgIr/Cz&#10;XWgFsyTNshQef+IXkMt/AAAA//8DAFBLAQItABQABgAIAAAAIQDb4fbL7gAAAIUBAAATAAAAAAAA&#10;AAAAAAAAAAAAAABbQ29udGVudF9UeXBlc10ueG1sUEsBAi0AFAAGAAgAAAAhAFr0LFu/AAAAFQEA&#10;AAsAAAAAAAAAAAAAAAAAHwEAAF9yZWxzLy5yZWxzUEsBAi0AFAAGAAgAAAAhALNtuA3HAAAA3wAA&#10;AA8AAAAAAAAAAAAAAAAABwIAAGRycy9kb3ducmV2LnhtbFBLBQYAAAAAAwADALcAAAD7AgAAAAA=&#10;" filled="f" stroked="f">
                  <v:textbox inset="0,0,0,0">
                    <w:txbxContent>
                      <w:p w14:paraId="151A5F72" w14:textId="77777777" w:rsidR="00B32EF2" w:rsidRDefault="00000000">
                        <w:r>
                          <w:rPr>
                            <w:rFonts w:ascii="Arial" w:eastAsia="Arial" w:hAnsi="Arial" w:cs="Arial"/>
                            <w:i/>
                            <w:sz w:val="18"/>
                          </w:rPr>
                          <w:t xml:space="preserve">articolo 1 D.lgs. n. </w:t>
                        </w:r>
                      </w:p>
                    </w:txbxContent>
                  </v:textbox>
                </v:rect>
                <v:rect id="Rectangle 201658" o:spid="_x0000_s5470" style="position:absolute;left:22112;top:28242;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9stxQAAAN8AAAAPAAAAZHJzL2Rvd25yZXYueG1sRE/Pa8Iw&#10;FL4P/B/CE7zNVMFSOqMMRezByzoHOz6aZ9uteQlNbOv++uUw2PHj+73dT6YTA/W+taxgtUxAEFdW&#10;t1wruL6fnjMQPiBr7CyTggd52O9mT1vMtR35jYYy1CKGsM9RQROCy6X0VUMG/dI64sjdbG8wRNjX&#10;Uvc4xnDTyXWSpNJgy7GhQUeHhqrv8m4UfB7ZFadRVrefg7t8FVl3vl8/lFrMp9cXEIGm8C/+cxda&#10;wTpZpZs4OP6JX0DufgEAAP//AwBQSwECLQAUAAYACAAAACEA2+H2y+4AAACFAQAAEwAAAAAAAAAA&#10;AAAAAAAAAAAAW0NvbnRlbnRfVHlwZXNdLnhtbFBLAQItABQABgAIAAAAIQBa9CxbvwAAABUBAAAL&#10;AAAAAAAAAAAAAAAAAB8BAABfcmVscy8ucmVsc1BLAQItABQABgAIAAAAIQDsO9stxQAAAN8AAAAP&#10;AAAAAAAAAAAAAAAAAAcCAABkcnMvZG93bnJldi54bWxQSwUGAAAAAAMAAwC3AAAA+QIAAAAA&#10;" filled="f" stroked="f">
                  <v:textbox inset="0,0,0,0">
                    <w:txbxContent>
                      <w:p w14:paraId="4E6AFA43" w14:textId="77777777" w:rsidR="00B32EF2" w:rsidRDefault="00000000">
                        <w:r>
                          <w:rPr>
                            <w:rFonts w:ascii="Arial" w:eastAsia="Arial" w:hAnsi="Arial" w:cs="Arial"/>
                            <w:i/>
                            <w:sz w:val="18"/>
                          </w:rPr>
                          <w:t>(</w:t>
                        </w:r>
                      </w:p>
                    </w:txbxContent>
                  </v:textbox>
                </v:rect>
                <v:rect id="Rectangle 20889" o:spid="_x0000_s5471" style="position:absolute;left:1919;top:27009;width:2891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MEBxgAAAN4AAAAPAAAAZHJzL2Rvd25yZXYueG1sRI9Ba8JA&#10;FITvBf/D8gRvdaMHSaOriCLm4KVWweMj+0yi2bdLdjWxv75bKPQ4zMw3zGLVm0Y8qfW1ZQWTcQKC&#10;uLC65lLB6Wv3noLwAVljY5kUvMjDajl4W2Cmbcef9DyGUkQI+wwVVCG4TEpfVGTQj60jjt7VtgZD&#10;lG0pdYtdhJtGTpNkJg3WHBcqdLSpqLgfH0bBZcsu33WyuH5v3OGWp83+cTorNRr26zmIQH34D/+1&#10;c61gmqTpB/zeiVdALn8AAAD//wMAUEsBAi0AFAAGAAgAAAAhANvh9svuAAAAhQEAABMAAAAAAAAA&#10;AAAAAAAAAAAAAFtDb250ZW50X1R5cGVzXS54bWxQSwECLQAUAAYACAAAACEAWvQsW78AAAAVAQAA&#10;CwAAAAAAAAAAAAAAAAAfAQAAX3JlbHMvLnJlbHNQSwECLQAUAAYACAAAACEAnUzBAcYAAADeAAAA&#10;DwAAAAAAAAAAAAAAAAAHAgAAZHJzL2Rvd25yZXYueG1sUEsFBgAAAAADAAMAtwAAAPoCAAAAAA==&#10;" filled="f" stroked="f">
                  <v:textbox inset="0,0,0,0">
                    <w:txbxContent>
                      <w:p w14:paraId="6CFD5B29" w14:textId="77777777" w:rsidR="00B32EF2" w:rsidRDefault="00000000">
                        <w:r>
                          <w:rPr>
                            <w:rFonts w:ascii="Arial" w:eastAsia="Arial" w:hAnsi="Arial" w:cs="Arial"/>
                            <w:b/>
                            <w:sz w:val="18"/>
                          </w:rPr>
                          <w:t xml:space="preserve">Gli organi della giurisdizione tributaria </w:t>
                        </w:r>
                      </w:p>
                    </w:txbxContent>
                  </v:textbox>
                </v:rect>
                <v:rect id="Rectangle 201655" o:spid="_x0000_s5472" style="position:absolute;left:-13762;top:2577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nSzxgAAAN8AAAAPAAAAZHJzL2Rvd25yZXYueG1sRI9Bi8Iw&#10;FITvC/6H8ARva6qgSDWKKGIPXlZd2OOjebbV5iU00VZ//WZhweMwM98wi1VnavGgxleWFYyGCQji&#10;3OqKCwXn0+5zBsIHZI21ZVLwJA+rZe9jgam2LX/R4xgKESHsU1RQhuBSKX1ekkE/tI44ehfbGAxR&#10;NoXUDbYRbmo5TpKpNFhxXCjR0aak/Ha8GwU/W3bZrpX55bVxh2s2q/f387dSg363noMI1IV3+L+d&#10;aQXjZDSdTODvT/wCcvkLAAD//wMAUEsBAi0AFAAGAAgAAAAhANvh9svuAAAAhQEAABMAAAAAAAAA&#10;AAAAAAAAAAAAAFtDb250ZW50X1R5cGVzXS54bWxQSwECLQAUAAYACAAAACEAWvQsW78AAAAVAQAA&#10;CwAAAAAAAAAAAAAAAAAfAQAAX3JlbHMvLnJlbHNQSwECLQAUAAYACAAAACEAAjp0s8YAAADfAAAA&#10;DwAAAAAAAAAAAAAAAAAHAgAAZHJzL2Rvd25yZXYueG1sUEsFBgAAAAADAAMAtwAAAPoCAAAAAA==&#10;" filled="f" stroked="f">
                  <v:textbox inset="0,0,0,0">
                    <w:txbxContent>
                      <w:p w14:paraId="4CDDB1FC" w14:textId="77777777" w:rsidR="00B32EF2" w:rsidRDefault="00000000">
                        <w:r>
                          <w:rPr>
                            <w:rFonts w:ascii="Arial" w:eastAsia="Arial" w:hAnsi="Arial" w:cs="Arial"/>
                            <w:sz w:val="18"/>
                          </w:rPr>
                          <w:t xml:space="preserve">. La giurisdizione tributaria è esercitata dalle corti di giustizia tributaria di </w:t>
                        </w:r>
                      </w:p>
                    </w:txbxContent>
                  </v:textbox>
                </v:rect>
                <v:rect id="Rectangle 201649" o:spid="_x0000_s5473" style="position:absolute;left:26111;top:2577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uhrxwAAAN8AAAAPAAAAZHJzL2Rvd25yZXYueG1sRI9Ba8JA&#10;FITvgv9heYI33SgiNrpKsUhz8FKbQo+P7DOJzb5dsqtJ++vdguBxmJlvmM2uN424Uetrywpm0wQE&#10;cWF1zaWC/PMwWYHwAVljY5kU/JKH3XY42GCqbccfdDuFUkQI+xQVVCG4VEpfVGTQT60jjt7ZtgZD&#10;lG0pdYtdhJtGzpNkKQ3WHBcqdLSvqPg5XY2C7zd22aGTxflv746XbNW8X/Mvpcaj/nUNIlAfnuFH&#10;O9MK5slsuXiB/z/xC8jtHQAA//8DAFBLAQItABQABgAIAAAAIQDb4fbL7gAAAIUBAAATAAAAAAAA&#10;AAAAAAAAAAAAAABbQ29udGVudF9UeXBlc10ueG1sUEsBAi0AFAAGAAgAAAAhAFr0LFu/AAAAFQEA&#10;AAsAAAAAAAAAAAAAAAAAHwEAAF9yZWxzLy5yZWxzUEsBAi0AFAAGAAgAAAAhAAau6GvHAAAA3wAA&#10;AA8AAAAAAAAAAAAAAAAABwIAAGRycy9kb3ducmV2LnhtbFBLBQYAAAAAAwADALcAAAD7AgAAAAA=&#10;" filled="f" stroked="f">
                  <v:textbox inset="0,0,0,0">
                    <w:txbxContent>
                      <w:p w14:paraId="136D1671" w14:textId="77777777" w:rsidR="00B32EF2" w:rsidRDefault="00000000">
                        <w:r>
                          <w:rPr>
                            <w:rFonts w:ascii="Arial" w:eastAsia="Arial" w:hAnsi="Arial" w:cs="Arial"/>
                            <w:sz w:val="18"/>
                          </w:rPr>
                          <w:t>1</w:t>
                        </w:r>
                      </w:p>
                    </w:txbxContent>
                  </v:textbox>
                </v:rect>
                <v:rect id="Rectangle 20891" o:spid="_x0000_s5474" style="position:absolute;left:9610;top:24542;width:303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1vaxgAAAN4AAAAPAAAAZHJzL2Rvd25yZXYueG1sRI9Ba8JA&#10;FITvhf6H5RW81Y0eJE1dRRQxBy+1ETw+ss8kNft2ya4m+uvdQqHHYWa+YebLwbTiRp1vLCuYjBMQ&#10;xKXVDVcKiu/tewrCB2SNrWVScCcPy8XryxwzbXv+otshVCJC2GeooA7BZVL6siaDfmwdcfTOtjMY&#10;ouwqqTvsI9y0cpokM2mw4bhQo6N1TeXlcDUKTht2+baX5fmxdvufPG131+Ko1OhtWH2CCDSE//Bf&#10;O9cKpkn6MYHfO/EKyMUTAAD//wMAUEsBAi0AFAAGAAgAAAAhANvh9svuAAAAhQEAABMAAAAAAAAA&#10;AAAAAAAAAAAAAFtDb250ZW50X1R5cGVzXS54bWxQSwECLQAUAAYACAAAACEAWvQsW78AAAAVAQAA&#10;CwAAAAAAAAAAAAAAAAAfAQAAX3JlbHMvLnJlbHNQSwECLQAUAAYACAAAACEA5uNb2sYAAADeAAAA&#10;DwAAAAAAAAAAAAAAAAAHAgAAZHJzL2Rvd25yZXYueG1sUEsFBgAAAAADAAMAtwAAAPoCAAAAAA==&#10;" filled="f" stroked="f">
                  <v:textbox inset="0,0,0,0">
                    <w:txbxContent>
                      <w:p w14:paraId="126D0355" w14:textId="77777777" w:rsidR="00B32EF2" w:rsidRDefault="00000000">
                        <w:r>
                          <w:rPr>
                            <w:rFonts w:ascii="Arial" w:eastAsia="Arial" w:hAnsi="Arial" w:cs="Arial"/>
                            <w:sz w:val="18"/>
                          </w:rPr>
                          <w:t>primo e di secondo grado di cui all’articolo 1.</w:t>
                        </w:r>
                      </w:p>
                    </w:txbxContent>
                  </v:textbox>
                </v:rect>
                <v:rect id="Rectangle 201647" o:spid="_x0000_s5475" style="position:absolute;left:-13816;top:2330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dmCxwAAAN8AAAAPAAAAZHJzL2Rvd25yZXYueG1sRI9Ba8JA&#10;FITvgv9heUJvulGKlegqoog5eKla6PGRfSbR7Nslu5q0v94tFDwOM/MNs1h1phYPanxlWcF4lIAg&#10;zq2uuFBwPu2GMxA+IGusLZOCH/KwWvZ7C0y1bfmTHsdQiAhhn6KCMgSXSunzkgz6kXXE0bvYxmCI&#10;simkbrCNcFPLSZJMpcGK40KJjjYl5bfj3Sj43rLLdq3ML78bd7hms3p/P38p9Tbo1nMQgbrwCv+3&#10;M61gkoyn7x/w9yd+Abl8AgAA//8DAFBLAQItABQABgAIAAAAIQDb4fbL7gAAAIUBAAATAAAAAAAA&#10;AAAAAAAAAAAAAABbQ29udGVudF9UeXBlc10ueG1sUEsBAi0AFAAGAAgAAAAhAFr0LFu/AAAAFQEA&#10;AAsAAAAAAAAAAAAAAAAAHwEAAF9yZWxzLy5yZWxzUEsBAi0AFAAGAAgAAAAhABh92YLHAAAA3wAA&#10;AA8AAAAAAAAAAAAAAAAABwIAAGRycy9kb3ducmV2LnhtbFBLBQYAAAAAAwADALcAAAD7AgAAAAA=&#10;" filled="f" stroked="f">
                  <v:textbox inset="0,0,0,0">
                    <w:txbxContent>
                      <w:p w14:paraId="6D4D171F" w14:textId="77777777" w:rsidR="00B32EF2" w:rsidRDefault="00000000">
                        <w:r>
                          <w:rPr>
                            <w:rFonts w:ascii="Arial" w:eastAsia="Arial" w:hAnsi="Arial" w:cs="Arial"/>
                            <w:sz w:val="18"/>
                          </w:rPr>
                          <w:t xml:space="preserve">. I giudici tributari applicano le norme del presente testo unico e, per quanto </w:t>
                        </w:r>
                      </w:p>
                    </w:txbxContent>
                  </v:textbox>
                </v:rect>
                <v:rect id="Rectangle 201646" o:spid="_x0000_s5476" style="position:absolute;left:26111;top:2330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XwZxwAAAN8AAAAPAAAAZHJzL2Rvd25yZXYueG1sRI9Ba8JA&#10;FITvBf/D8gRvdaOUINFVRJHm4KVWweMj+0yi2bdLdjXRX98tFHocZuYbZrHqTSMe1PrasoLJOAFB&#10;XFhdc6ng+L17n4HwAVljY5kUPMnDajl4W2Cmbcdf9DiEUkQI+wwVVCG4TEpfVGTQj60jjt7FtgZD&#10;lG0pdYtdhJtGTpMklQZrjgsVOtpUVNwOd6PgvGWX7zpZXF4bt7/ms+bzfjwpNRr26zmIQH34D/+1&#10;c61gmkzSjxR+/8QvIJc/AAAA//8DAFBLAQItABQABgAIAAAAIQDb4fbL7gAAAIUBAAATAAAAAAAA&#10;AAAAAAAAAAAAAABbQ29udGVudF9UeXBlc10ueG1sUEsBAi0AFAAGAAgAAAAhAFr0LFu/AAAAFQEA&#10;AAsAAAAAAAAAAAAAAAAAHwEAAF9yZWxzLy5yZWxzUEsBAi0AFAAGAAgAAAAhAHcxfBnHAAAA3wAA&#10;AA8AAAAAAAAAAAAAAAAABwIAAGRycy9kb3ducmV2LnhtbFBLBQYAAAAAAwADALcAAAD7AgAAAAA=&#10;" filled="f" stroked="f">
                  <v:textbox inset="0,0,0,0">
                    <w:txbxContent>
                      <w:p w14:paraId="6F43581E" w14:textId="77777777" w:rsidR="00B32EF2" w:rsidRDefault="00000000">
                        <w:r>
                          <w:rPr>
                            <w:rFonts w:ascii="Arial" w:eastAsia="Arial" w:hAnsi="Arial" w:cs="Arial"/>
                            <w:sz w:val="18"/>
                          </w:rPr>
                          <w:t>2</w:t>
                        </w:r>
                      </w:p>
                    </w:txbxContent>
                  </v:textbox>
                </v:rect>
                <v:rect id="Rectangle 20893" o:spid="_x0000_s5477" style="position:absolute;left:-13170;top:2207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WA2xwAAAN4AAAAPAAAAZHJzL2Rvd25yZXYueG1sRI9Pa8JA&#10;FMTvBb/D8gRvdaOFEqOriCLNoZf6Bzw+ss8kmn27ZFcT++m7hUKPw8z8hlmsetOIB7W+tqxgMk5A&#10;EBdW11wqOB52rykIH5A1NpZJwZM8rJaDlwVm2nb8RY99KEWEsM9QQRWCy6T0RUUG/dg64uhdbGsw&#10;RNmWUrfYRbhp5DRJ3qXBmuNChY42FRW3/d0oOG/Z5btOFpfvjfu85mnzcT+elBoN+/UcRKA+/If/&#10;2rlWME3S2Rv83olXQC5/AAAA//8DAFBLAQItABQABgAIAAAAIQDb4fbL7gAAAIUBAAATAAAAAAAA&#10;AAAAAAAAAAAAAABbQ29udGVudF9UeXBlc10ueG1sUEsBAi0AFAAGAAgAAAAhAFr0LFu/AAAAFQEA&#10;AAsAAAAAAAAAAAAAAAAAHwEAAF9yZWxzLy5yZWxzUEsBAi0AFAAGAAgAAAAhAHl9YDbHAAAA3gAA&#10;AA8AAAAAAAAAAAAAAAAABwIAAGRycy9kb3ducmV2LnhtbFBLBQYAAAAAAwADALcAAAD7AgAAAAA=&#10;" filled="f" stroked="f">
                  <v:textbox inset="0,0,0,0">
                    <w:txbxContent>
                      <w:p w14:paraId="450F92EA" w14:textId="77777777" w:rsidR="00B32EF2" w:rsidRDefault="00000000">
                        <w:r>
                          <w:rPr>
                            <w:rFonts w:ascii="Arial" w:eastAsia="Arial" w:hAnsi="Arial" w:cs="Arial"/>
                            <w:sz w:val="18"/>
                          </w:rPr>
                          <w:t xml:space="preserve">da esse non disposto e con esse compatibili, le norme del codice di procedura </w:t>
                        </w:r>
                      </w:p>
                    </w:txbxContent>
                  </v:textbox>
                </v:rect>
                <v:rect id="Rectangle 20894" o:spid="_x0000_s5478" style="position:absolute;left:36053;top:20842;width:38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PhCxwAAAN4AAAAPAAAAZHJzL2Rvd25yZXYueG1sRI9Pa8JA&#10;FMTvBb/D8gRvdaOUEqOriCLNoZf6Bzw+ss8kmn27ZFcT++m7hUKPw8z8hlmsetOIB7W+tqxgMk5A&#10;EBdW11wqOB52rykIH5A1NpZJwZM8rJaDlwVm2nb8RY99KEWEsM9QQRWCy6T0RUUG/dg64uhdbGsw&#10;RNmWUrfYRbhp5DRJ3qXBmuNChY42FRW3/d0oOG/Z5btOFpfvjfu85mnzcT+elBoN+/UcRKA+/If/&#10;2rlWME3S2Rv83olXQC5/AAAA//8DAFBLAQItABQABgAIAAAAIQDb4fbL7gAAAIUBAAATAAAAAAAA&#10;AAAAAAAAAAAAAABbQ29udGVudF9UeXBlc10ueG1sUEsBAi0AFAAGAAgAAAAhAFr0LFu/AAAAFQEA&#10;AAsAAAAAAAAAAAAAAAAAHwEAAF9yZWxzLy5yZWxzUEsBAi0AFAAGAAgAAAAhAPaU+ELHAAAA3gAA&#10;AA8AAAAAAAAAAAAAAAAABwIAAGRycy9kb3ducmV2LnhtbFBLBQYAAAAAAwADALcAAAD7AgAAAAA=&#10;" filled="f" stroked="f">
                  <v:textbox inset="0,0,0,0">
                    <w:txbxContent>
                      <w:p w14:paraId="3DB121E0" w14:textId="77777777" w:rsidR="00B32EF2" w:rsidRDefault="00000000">
                        <w:r>
                          <w:rPr>
                            <w:rFonts w:ascii="Arial" w:eastAsia="Arial" w:hAnsi="Arial" w:cs="Arial"/>
                            <w:sz w:val="18"/>
                          </w:rPr>
                          <w:t>civile.</w:t>
                        </w:r>
                      </w:p>
                    </w:txbxContent>
                  </v:textbox>
                </v:rect>
                <v:rect id="Rectangle 20895" o:spid="_x0000_s5479" style="position:absolute;left:15068;top:18376;width:809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F3ZxwAAAN4AAAAPAAAAZHJzL2Rvd25yZXYueG1sRI9Pa8JA&#10;FMTvBb/D8gRvdaPQEqOriCLNoZf6Bzw+ss8kmn27ZFcT++m7hUKPw8z8hlmsetOIB7W+tqxgMk5A&#10;EBdW11wqOB52rykIH5A1NpZJwZM8rJaDlwVm2nb8RY99KEWEsM9QQRWCy6T0RUUG/dg64uhdbGsw&#10;RNmWUrfYRbhp5DRJ3qXBmuNChY42FRW3/d0oOG/Z5btOFpfvjfu85mnzcT+elBoN+/UcRKA+/If/&#10;2rlWME3S2Rv83olXQC5/AAAA//8DAFBLAQItABQABgAIAAAAIQDb4fbL7gAAAIUBAAATAAAAAAAA&#10;AAAAAAAAAAAAAABbQ29udGVudF9UeXBlc10ueG1sUEsBAi0AFAAGAAgAAAAhAFr0LFu/AAAAFQEA&#10;AAsAAAAAAAAAAAAAAAAAHwEAAF9yZWxzLy5yZWxzUEsBAi0AFAAGAAgAAAAhAJnYXdnHAAAA3gAA&#10;AA8AAAAAAAAAAAAAAAAABwIAAGRycy9kb3ducmV2LnhtbFBLBQYAAAAAAwADALcAAAD7AgAAAAA=&#10;" filled="f" stroked="f">
                  <v:textbox inset="0,0,0,0">
                    <w:txbxContent>
                      <w:p w14:paraId="33E7BBBF" w14:textId="77777777" w:rsidR="00B32EF2" w:rsidRDefault="00000000">
                        <w:r>
                          <w:rPr>
                            <w:rFonts w:ascii="Arial" w:eastAsia="Arial" w:hAnsi="Arial" w:cs="Arial"/>
                            <w:b/>
                            <w:sz w:val="18"/>
                          </w:rPr>
                          <w:t>Articolo 46</w:t>
                        </w:r>
                      </w:p>
                    </w:txbxContent>
                  </v:textbox>
                </v:rect>
                <v:rect id="Rectangle 201645" o:spid="_x0000_s5480" style="position:absolute;left:12164;top:17142;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JuxwAAAN8AAAAPAAAAZHJzL2Rvd25yZXYueG1sRI9Ba8JA&#10;FITvgv9heUJvulGqSHQVUcQcvGgt9PjIPpNo9u2SXU3aX+8WCj0OM/MNs1x3phZPanxlWcF4lIAg&#10;zq2uuFBw+dgP5yB8QNZYWyYF3+Rhver3lphq2/KJnudQiAhhn6KCMgSXSunzkgz6kXXE0bvaxmCI&#10;simkbrCNcFPLSZLMpMGK40KJjrYl5ffzwyj42rHL9q3Mrz9bd7xl8/rwuHwq9TboNgsQgbrwH/5r&#10;Z1rBJBnP3qfw+yd+Abl6AQAA//8DAFBLAQItABQABgAIAAAAIQDb4fbL7gAAAIUBAAATAAAAAAAA&#10;AAAAAAAAAAAAAABbQ29udGVudF9UeXBlc10ueG1sUEsBAi0AFAAGAAgAAAAhAFr0LFu/AAAAFQEA&#10;AAsAAAAAAAAAAAAAAAAAHwEAAF9yZWxzLy5yZWxzUEsBAi0AFAAGAAgAAAAhAIfj4m7HAAAA3wAA&#10;AA8AAAAAAAAAAAAAAAAABwIAAGRycy9kb3ducmV2LnhtbFBLBQYAAAAAAwADALcAAAD7AgAAAAA=&#10;" filled="f" stroked="f">
                  <v:textbox inset="0,0,0,0">
                    <w:txbxContent>
                      <w:p w14:paraId="7A236180" w14:textId="77777777" w:rsidR="00B32EF2" w:rsidRDefault="00000000">
                        <w:r>
                          <w:rPr>
                            <w:rFonts w:ascii="Arial" w:eastAsia="Arial" w:hAnsi="Arial" w:cs="Arial"/>
                            <w:i/>
                            <w:sz w:val="18"/>
                          </w:rPr>
                          <w:t xml:space="preserve">articolo 2 D.lgs. n. </w:t>
                        </w:r>
                      </w:p>
                    </w:txbxContent>
                  </v:textbox>
                </v:rect>
                <v:rect id="Rectangle 201644" o:spid="_x0000_s5481" style="position:absolute;left:-1444;top:17142;width:185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0f1xgAAAN8AAAAPAAAAZHJzL2Rvd25yZXYueG1sRI9Bi8Iw&#10;FITvC/6H8ARva6qISDWKKGIPXlZd2OOjebbV5iU00VZ//WZhweMwM98wi1VnavGgxleWFYyGCQji&#10;3OqKCwXn0+5zBsIHZI21ZVLwJA+rZe9jgam2LX/R4xgKESHsU1RQhuBSKX1ekkE/tI44ehfbGAxR&#10;NoXUDbYRbmo5TpKpNFhxXCjR0aak/Ha8GwU/W3bZrpX55bVxh2s2q/f387dSg363noMI1IV3+L+d&#10;aQXjZDSdTODvT/wCcvkLAAD//wMAUEsBAi0AFAAGAAgAAAAhANvh9svuAAAAhQEAABMAAAAAAAAA&#10;AAAAAAAAAAAAAFtDb250ZW50X1R5cGVzXS54bWxQSwECLQAUAAYACAAAACEAWvQsW78AAAAVAQAA&#10;CwAAAAAAAAAAAAAAAAAfAQAAX3JlbHMvLnJlbHNQSwECLQAUAAYACAAAACEA6K9H9cYAAADfAAAA&#10;DwAAAAAAAAAAAAAAAAAHAgAAZHJzL2Rvd25yZXYueG1sUEsFBgAAAAADAAMAtwAAAPoCAAAAAA==&#10;" filled="f" stroked="f">
                  <v:textbox inset="0,0,0,0">
                    <w:txbxContent>
                      <w:p w14:paraId="1F757120" w14:textId="77777777" w:rsidR="00B32EF2" w:rsidRDefault="00000000">
                        <w:r>
                          <w:rPr>
                            <w:rFonts w:ascii="Arial" w:eastAsia="Arial" w:hAnsi="Arial" w:cs="Arial"/>
                            <w:i/>
                            <w:sz w:val="18"/>
                          </w:rPr>
                          <w:t>546/92)</w:t>
                        </w:r>
                      </w:p>
                    </w:txbxContent>
                  </v:textbox>
                </v:rect>
                <v:rect id="Rectangle 201643" o:spid="_x0000_s5482" style="position:absolute;left:22112;top:17142;width:18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t+BxwAAAN8AAAAPAAAAZHJzL2Rvd25yZXYueG1sRI9Ba8JA&#10;FITvgv9heUJvutGKSHQVUcQcvGgt9PjIPpNo9u2SXU3aX+8WCj0OM/MNs1x3phZPanxlWcF4lIAg&#10;zq2uuFBw+dgP5yB8QNZYWyYF3+Rhver3lphq2/KJnudQiAhhn6KCMgSXSunzkgz6kXXE0bvaxmCI&#10;simkbrCNcFPLSZLMpMGK40KJjrYl5ffzwyj42rHL9q3Mrz9bd7xl8/rwuHwq9TboNgsQgbrwH/5r&#10;Z1rBJBnPpu/w+yd+Abl6AQAA//8DAFBLAQItABQABgAIAAAAIQDb4fbL7gAAAIUBAAATAAAAAAAA&#10;AAAAAAAAAAAAAABbQ29udGVudF9UeXBlc10ueG1sUEsBAi0AFAAGAAgAAAAhAFr0LFu/AAAAFQEA&#10;AAsAAAAAAAAAAAAAAAAAHwEAAF9yZWxzLy5yZWxzUEsBAi0AFAAGAAgAAAAhAGdG34HHAAAA3wAA&#10;AA8AAAAAAAAAAAAAAAAABwIAAGRycy9kb3ducmV2LnhtbFBLBQYAAAAAAwADALcAAAD7AgAAAAA=&#10;" filled="f" stroked="f">
                  <v:textbox inset="0,0,0,0">
                    <w:txbxContent>
                      <w:p w14:paraId="3FBD750F" w14:textId="77777777" w:rsidR="00B32EF2" w:rsidRDefault="00000000">
                        <w:r>
                          <w:rPr>
                            <w:rFonts w:ascii="Arial" w:eastAsia="Arial" w:hAnsi="Arial" w:cs="Arial"/>
                            <w:i/>
                            <w:sz w:val="18"/>
                          </w:rPr>
                          <w:t>(</w:t>
                        </w:r>
                      </w:p>
                    </w:txbxContent>
                  </v:textbox>
                </v:rect>
                <v:rect id="Rectangle 20897" o:spid="_x0000_s5483" style="position:absolute;left:2692;top:15909;width:276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Y1xwAAAN4AAAAPAAAAZHJzL2Rvd25yZXYueG1sRI9Pa8JA&#10;FMTvBb/D8gRvdaOHNkZXEUWaQy/1D3h8ZJ9JNPt2ya4m9tN3C4Ueh5n5DbNY9aYRD2p9bVnBZJyA&#10;IC6srrlUcDzsXlMQPiBrbCyTgid5WC0HLwvMtO34ix77UIoIYZ+hgioEl0npi4oM+rF1xNG72NZg&#10;iLItpW6xi3DTyGmSvEmDNceFCh1tKipu+7tRcN6yy3edLC7fG/d5zdPm4348KTUa9us5iEB9+A//&#10;tXOtYJqks3f4vROvgFz+AAAA//8DAFBLAQItABQABgAIAAAAIQDb4fbL7gAAAIUBAAATAAAAAAAA&#10;AAAAAAAAAAAAAABbQ29udGVudF9UeXBlc10ueG1sUEsBAi0AFAAGAAgAAAAhAFr0LFu/AAAAFQEA&#10;AAsAAAAAAAAAAAAAAAAAHwEAAF9yZWxzLy5yZWxzUEsBAi0AFAAGAAgAAAAhAAZGZjXHAAAA3gAA&#10;AA8AAAAAAAAAAAAAAAAABwIAAGRycy9kb3ducmV2LnhtbFBLBQYAAAAAAwADALcAAAD7AgAAAAA=&#10;" filled="f" stroked="f">
                  <v:textbox inset="0,0,0,0">
                    <w:txbxContent>
                      <w:p w14:paraId="612174EF" w14:textId="77777777" w:rsidR="00B32EF2" w:rsidRDefault="00000000">
                        <w:r>
                          <w:rPr>
                            <w:rFonts w:ascii="Arial" w:eastAsia="Arial" w:hAnsi="Arial" w:cs="Arial"/>
                            <w:b/>
                            <w:sz w:val="18"/>
                          </w:rPr>
                          <w:t xml:space="preserve">Oggetto della giurisdizione tributaria </w:t>
                        </w:r>
                      </w:p>
                    </w:txbxContent>
                  </v:textbox>
                </v:rect>
                <v:rect id="Rectangle 201642" o:spid="_x0000_s5484" style="position:absolute;left:-12794;top:14676;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noayAAAAN8AAAAPAAAAZHJzL2Rvd25yZXYueG1sRI9Pa8JA&#10;FMTvBb/D8oTe6sZQRKIbEUWaQy+1Ch4f2Zc/mn27ZFeT9tN3C4Ueh5n5DbPejKYTD+p9a1nBfJaA&#10;IC6tbrlWcPo8vCxB+ICssbNMCr7IwyafPK0x03bgD3ocQy0ihH2GCpoQXCalLxsy6GfWEUevsr3B&#10;EGVfS93jEOGmk2mSLKTBluNCg452DZW3490ouOzZFYdBltX3zr1fi2X3dj+dlXqejtsViEBj+A//&#10;tQutIE3mi9cUfv/ELyDzHwAAAP//AwBQSwECLQAUAAYACAAAACEA2+H2y+4AAACFAQAAEwAAAAAA&#10;AAAAAAAAAAAAAAAAW0NvbnRlbnRfVHlwZXNdLnhtbFBLAQItABQABgAIAAAAIQBa9CxbvwAAABUB&#10;AAALAAAAAAAAAAAAAAAAAB8BAABfcmVscy8ucmVsc1BLAQItABQABgAIAAAAIQAICnoayAAAAN8A&#10;AAAPAAAAAAAAAAAAAAAAAAcCAABkcnMvZG93bnJldi54bWxQSwUGAAAAAAMAAwC3AAAA/AIAAAAA&#10;" filled="f" stroked="f">
                  <v:textbox inset="0,0,0,0">
                    <w:txbxContent>
                      <w:p w14:paraId="3C2825AF" w14:textId="77777777" w:rsidR="00B32EF2" w:rsidRDefault="00000000">
                        <w:r>
                          <w:rPr>
                            <w:rFonts w:ascii="Arial" w:eastAsia="Arial" w:hAnsi="Arial" w:cs="Arial"/>
                            <w:sz w:val="18"/>
                          </w:rPr>
                          <w:t>. Appartengono alla giurisdizione tributaria tutte le controversie aventi ad og</w:t>
                        </w:r>
                      </w:p>
                    </w:txbxContent>
                  </v:textbox>
                </v:rect>
                <v:rect id="Rectangle 201641" o:spid="_x0000_s5485" style="position:absolute;left:26351;top:14676;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ORtxwAAAN8AAAAPAAAAZHJzL2Rvd25yZXYueG1sRI9Pi8Iw&#10;FMTvC36H8ARva1pZRLpGEUW2By/rH9jjo3m23W1eQhNt9dNvBMHjMDO/YebL3jTiSq2vLStIxwkI&#10;4sLqmksFx8P2fQbCB2SNjWVScCMPy8XgbY6Zth1/03UfShEh7DNUUIXgMil9UZFBP7aOOHpn2xoM&#10;Ubal1C12EW4aOUmSqTRYc1yo0NG6ouJvfzEKfjbs8m0ni/N97Xa/+az5uhxPSo2G/eoTRKA+vMLP&#10;dq4VTJJ0+pHC40/8AnLxDwAA//8DAFBLAQItABQABgAIAAAAIQDb4fbL7gAAAIUBAAATAAAAAAAA&#10;AAAAAAAAAAAAAABbQ29udGVudF9UeXBlc10ueG1sUEsBAi0AFAAGAAgAAAAhAFr0LFu/AAAAFQEA&#10;AAsAAAAAAAAAAAAAAAAAHwEAAF9yZWxzLy5yZWxzUEsBAi0AFAAGAAgAAAAhAPjY5G3HAAAA3wAA&#10;AA8AAAAAAAAAAAAAAAAABwIAAGRycy9kb3ducmV2LnhtbFBLBQYAAAAAAwADALcAAAD7AgAAAAA=&#10;" filled="f" stroked="f">
                  <v:textbox inset="0,0,0,0">
                    <w:txbxContent>
                      <w:p w14:paraId="3B47D299" w14:textId="77777777" w:rsidR="00B32EF2" w:rsidRDefault="00000000">
                        <w:r>
                          <w:rPr>
                            <w:rFonts w:ascii="Arial" w:eastAsia="Arial" w:hAnsi="Arial" w:cs="Arial"/>
                            <w:sz w:val="18"/>
                          </w:rPr>
                          <w:t>1</w:t>
                        </w:r>
                      </w:p>
                    </w:txbxContent>
                  </v:textbox>
                </v:rect>
                <v:rect id="Rectangle 20899" o:spid="_x0000_s5486" style="position:absolute;left:193;top:1467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VfcxgAAAN4AAAAPAAAAZHJzL2Rvd25yZXYueG1sRI9Ba8JA&#10;FITvBf/D8gre6qYeSkxdRRRpDl6qETw+ss8kNft2ya4m+uu7hYLHYWa+YebLwbTiRp1vLCt4nyQg&#10;iEurG64UFIftWwrCB2SNrWVScCcPy8XoZY6Ztj1/020fKhEh7DNUUIfgMil9WZNBP7GOOHpn2xkM&#10;UXaV1B32EW5aOU2SD2mw4bhQo6N1TeVlfzUKTht2+baX5fmxdrufPG2/rsVRqfHrsPoEEWgIz/B/&#10;O9cKpkk6m8HfnXgF5OIXAAD//wMAUEsBAi0AFAAGAAgAAAAhANvh9svuAAAAhQEAABMAAAAAAAAA&#10;AAAAAAAAAAAAAFtDb250ZW50X1R5cGVzXS54bWxQSwECLQAUAAYACAAAACEAWvQsW78AAAAVAQAA&#10;CwAAAAAAAAAAAAAAAAAfAQAAX3JlbHMvLnJlbHNQSwECLQAUAAYACAAAACEAGJVX3MYAAADeAAAA&#10;DwAAAAAAAAAAAAAAAAAHAgAAZHJzL2Rvd25yZXYueG1sUEsFBgAAAAADAAMAtwAAAPoCAAAAAA==&#10;" filled="f" stroked="f">
                  <v:textbox inset="0,0,0,0">
                    <w:txbxContent>
                      <w:p w14:paraId="07619EE8" w14:textId="77777777" w:rsidR="00B32EF2" w:rsidRDefault="00000000">
                        <w:r>
                          <w:rPr>
                            <w:rFonts w:ascii="Arial" w:eastAsia="Arial" w:hAnsi="Arial" w:cs="Arial"/>
                            <w:sz w:val="18"/>
                          </w:rPr>
                          <w:t>-</w:t>
                        </w:r>
                      </w:p>
                    </w:txbxContent>
                  </v:textbox>
                </v:rect>
                <v:rect id="Rectangle 20900" o:spid="_x0000_s5487" style="position:absolute;left:-13171;top:1344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GRbxQAAAN4AAAAPAAAAZHJzL2Rvd25yZXYueG1sRI/LagIx&#10;FIb3gu8QTsGdJnVRdGpGRJHOopuqhS4PkzOXOjkJk+iMffpmUejy57/xbbaj7cSd+tA61vC8UCCI&#10;S2darjVczsf5CkSIyAY7x6ThQQG2+XSywcy4gT/ofoq1SCMcMtTQxOgzKUPZkMWwcJ44eZXrLcYk&#10;+1qaHoc0bju5VOpFWmw5PTToad9QeT3drIavA/viOMiy+tn79+9i1b3dLp9az57G3SuISGP8D/+1&#10;C6NhqdYqASSchAIy/wUAAP//AwBQSwECLQAUAAYACAAAACEA2+H2y+4AAACFAQAAEwAAAAAAAAAA&#10;AAAAAAAAAAAAW0NvbnRlbnRfVHlwZXNdLnhtbFBLAQItABQABgAIAAAAIQBa9CxbvwAAABUBAAAL&#10;AAAAAAAAAAAAAAAAAB8BAABfcmVscy8ucmVsc1BLAQItABQABgAIAAAAIQAXRGRbxQAAAN4AAAAP&#10;AAAAAAAAAAAAAAAAAAcCAABkcnMvZG93bnJldi54bWxQSwUGAAAAAAMAAwC3AAAA+QIAAAAA&#10;" filled="f" stroked="f">
                  <v:textbox inset="0,0,0,0">
                    <w:txbxContent>
                      <w:p w14:paraId="49654A3B" w14:textId="77777777" w:rsidR="00B32EF2" w:rsidRDefault="00000000">
                        <w:r>
                          <w:rPr>
                            <w:rFonts w:ascii="Arial" w:eastAsia="Arial" w:hAnsi="Arial" w:cs="Arial"/>
                            <w:sz w:val="18"/>
                          </w:rPr>
                          <w:t xml:space="preserve">getto i tributi di ogni genere e specie comunque denominati, compresi quelli </w:t>
                        </w:r>
                      </w:p>
                    </w:txbxContent>
                  </v:textbox>
                </v:rect>
                <v:rect id="Rectangle 20901" o:spid="_x0000_s5488" style="position:absolute;left:-12185;top:12209;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MHAxwAAAN4AAAAPAAAAZHJzL2Rvd25yZXYueG1sRI9PawIx&#10;FMTvgt8hPKE3TfRQdGuUooh76KX+AY+PzXN3281L2ER366c3hUKPw8z8hlmue9uIO7WhdqxhOlEg&#10;iAtnai41nI678RxEiMgGG8ek4YcCrFfDwRIz4zr+pPshliJBOGSooYrRZ1KGoiKLYeI8cfKurrUY&#10;k2xLaVrsEtw2cqbUq7RYc1qo0NOmouL7cLMaLlv2+a6TxfWx8R9f+bzZ305nrV9G/fsbiEh9/A//&#10;tXOjYaYWagq/d9IVkKsnAAAA//8DAFBLAQItABQABgAIAAAAIQDb4fbL7gAAAIUBAAATAAAAAAAA&#10;AAAAAAAAAAAAAABbQ29udGVudF9UeXBlc10ueG1sUEsBAi0AFAAGAAgAAAAhAFr0LFu/AAAAFQEA&#10;AAsAAAAAAAAAAAAAAAAAHwEAAF9yZWxzLy5yZWxzUEsBAi0AFAAGAAgAAAAhAHgIwcDHAAAA3gAA&#10;AA8AAAAAAAAAAAAAAAAABwIAAGRycy9kb3ducmV2LnhtbFBLBQYAAAAAAwADALcAAAD7AgAAAAA=&#10;" filled="f" stroked="f">
                  <v:textbox inset="0,0,0,0">
                    <w:txbxContent>
                      <w:p w14:paraId="4850B723" w14:textId="77777777" w:rsidR="00B32EF2" w:rsidRDefault="00000000">
                        <w:r>
                          <w:rPr>
                            <w:rFonts w:ascii="Arial" w:eastAsia="Arial" w:hAnsi="Arial" w:cs="Arial"/>
                            <w:sz w:val="18"/>
                          </w:rPr>
                          <w:t>regionali, provinciali e comunali e il contributo per il Servizio sanitario nazio</w:t>
                        </w:r>
                      </w:p>
                    </w:txbxContent>
                  </v:textbox>
                </v:rect>
                <v:rect id="Rectangle 20902" o:spid="_x0000_s5489" style="position:absolute;left:193;top:1220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l+3xgAAAN4AAAAPAAAAZHJzL2Rvd25yZXYueG1sRI9BawIx&#10;FITvBf9DeEJvNXEPxW6NIhbpHnrRKvT42Dx3VzcvYRPdbX99Iwgeh5n5hpkvB9uKK3WhcaxhOlEg&#10;iEtnGq407L83LzMQISIbbB2Thl8KsFyMnuaYG9fzlq67WIkE4ZCjhjpGn0sZyposhonzxMk7us5i&#10;TLKrpOmwT3DbykypV2mx4bRQo6d1TeV5d7Eafj7YF5telse/tf86FbP287I/aP08HlbvICIN8RG+&#10;twujIVNvKoPbnXQF5OIfAAD//wMAUEsBAi0AFAAGAAgAAAAhANvh9svuAAAAhQEAABMAAAAAAAAA&#10;AAAAAAAAAAAAAFtDb250ZW50X1R5cGVzXS54bWxQSwECLQAUAAYACAAAACEAWvQsW78AAAAVAQAA&#10;CwAAAAAAAAAAAAAAAAAfAQAAX3JlbHMvLnJlbHNQSwECLQAUAAYACAAAACEAiNpft8YAAADeAAAA&#10;DwAAAAAAAAAAAAAAAAAHAgAAZHJzL2Rvd25yZXYueG1sUEsFBgAAAAADAAMAtwAAAPoCAAAAAA==&#10;" filled="f" stroked="f">
                  <v:textbox inset="0,0,0,0">
                    <w:txbxContent>
                      <w:p w14:paraId="06DF4A59" w14:textId="77777777" w:rsidR="00B32EF2" w:rsidRDefault="00000000">
                        <w:r>
                          <w:rPr>
                            <w:rFonts w:ascii="Arial" w:eastAsia="Arial" w:hAnsi="Arial" w:cs="Arial"/>
                            <w:sz w:val="18"/>
                          </w:rPr>
                          <w:t>-</w:t>
                        </w:r>
                      </w:p>
                    </w:txbxContent>
                  </v:textbox>
                </v:rect>
                <v:rect id="Rectangle 20903" o:spid="_x0000_s5490" style="position:absolute;left:-13175;top:10976;width:531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vosxgAAAN4AAAAPAAAAZHJzL2Rvd25yZXYueG1sRI9BawIx&#10;FITvhf6H8ITeNNGC2NUoYpHuwUuthR4fm+fu6uYlbKK79debgtDjMDPfMItVbxtxpTbUjjWMRwoE&#10;ceFMzaWGw9d2OAMRIrLBxjFp+KUAq+Xz0wIz4zr+pOs+liJBOGSooYrRZ1KGoiKLYeQ8cfKOrrUY&#10;k2xLaVrsEtw2cqLUVFqsOS1U6GlTUXHeX6yGn3f2+baTxfG28btTPms+LodvrV8G/XoOIlIf/8OP&#10;dm40TNSbeoW/O+kKyOUdAAD//wMAUEsBAi0AFAAGAAgAAAAhANvh9svuAAAAhQEAABMAAAAAAAAA&#10;AAAAAAAAAAAAAFtDb250ZW50X1R5cGVzXS54bWxQSwECLQAUAAYACAAAACEAWvQsW78AAAAVAQAA&#10;CwAAAAAAAAAAAAAAAAAfAQAAX3JlbHMvLnJlbHNQSwECLQAUAAYACAAAACEA55b6LMYAAADeAAAA&#10;DwAAAAAAAAAAAAAAAAAHAgAAZHJzL2Rvd25yZXYueG1sUEsFBgAAAAADAAMAtwAAAPoCAAAAAA==&#10;" filled="f" stroked="f">
                  <v:textbox inset="0,0,0,0">
                    <w:txbxContent>
                      <w:p w14:paraId="48069D8F" w14:textId="77777777" w:rsidR="00B32EF2" w:rsidRDefault="00000000">
                        <w:r>
                          <w:rPr>
                            <w:rFonts w:ascii="Arial" w:eastAsia="Arial" w:hAnsi="Arial" w:cs="Arial"/>
                            <w:sz w:val="18"/>
                          </w:rPr>
                          <w:t xml:space="preserve">nale, le sovrimposte e le addizionali, le relative sanzioni nonché gli interessi e </w:t>
                        </w:r>
                      </w:p>
                    </w:txbxContent>
                  </v:textbox>
                </v:rect>
                <v:rect id="Rectangle 20904" o:spid="_x0000_s5491" style="position:absolute;left:-13170;top:974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2JYxgAAAN4AAAAPAAAAZHJzL2Rvd25yZXYueG1sRI9BawIx&#10;FITvhf6H8ITeNFGK2NUoYpHuwUuthR4fm+fu6uYlbKK79debgtDjMDPfMItVbxtxpTbUjjWMRwoE&#10;ceFMzaWGw9d2OAMRIrLBxjFp+KUAq+Xz0wIz4zr+pOs+liJBOGSooYrRZ1KGoiKLYeQ8cfKOrrUY&#10;k2xLaVrsEtw2cqLUVFqsOS1U6GlTUXHeX6yGn3f2+baTxfG28btTPms+LodvrV8G/XoOIlIf/8OP&#10;dm40TNSbeoW/O+kKyOUdAAD//wMAUEsBAi0AFAAGAAgAAAAhANvh9svuAAAAhQEAABMAAAAAAAAA&#10;AAAAAAAAAAAAAFtDb250ZW50X1R5cGVzXS54bWxQSwECLQAUAAYACAAAACEAWvQsW78AAAAVAQAA&#10;CwAAAAAAAAAAAAAAAAAfAQAAX3JlbHMvLnJlbHNQSwECLQAUAAYACAAAACEAaH9iWMYAAADeAAAA&#10;DwAAAAAAAAAAAAAAAAAHAgAAZHJzL2Rvd25yZXYueG1sUEsFBgAAAAADAAMAtwAAAPoCAAAAAA==&#10;" filled="f" stroked="f">
                  <v:textbox inset="0,0,0,0">
                    <w:txbxContent>
                      <w:p w14:paraId="1E1274C4" w14:textId="77777777" w:rsidR="00B32EF2" w:rsidRDefault="00000000">
                        <w:r>
                          <w:rPr>
                            <w:rFonts w:ascii="Arial" w:eastAsia="Arial" w:hAnsi="Arial" w:cs="Arial"/>
                            <w:sz w:val="18"/>
                          </w:rPr>
                          <w:t xml:space="preserve">ogni altro accessorio. Restano escluse dalla giurisdizione tributaria soltanto le </w:t>
                        </w:r>
                      </w:p>
                    </w:txbxContent>
                  </v:textbox>
                </v:rect>
                <v:rect id="Rectangle 20905" o:spid="_x0000_s5492" style="position:absolute;left:-13170;top:850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8fDxgAAAN4AAAAPAAAAZHJzL2Rvd25yZXYueG1sRI9BawIx&#10;FITvhf6H8ITeNFGo2NUoYpHuwUuthR4fm+fu6uYlbKK79debgtDjMDPfMItVbxtxpTbUjjWMRwoE&#10;ceFMzaWGw9d2OAMRIrLBxjFp+KUAq+Xz0wIz4zr+pOs+liJBOGSooYrRZ1KGoiKLYeQ8cfKOrrUY&#10;k2xLaVrsEtw2cqLUVFqsOS1U6GlTUXHeX6yGn3f2+baTxfG28btTPms+LodvrV8G/XoOIlIf/8OP&#10;dm40TNSbeoW/O+kKyOUdAAD//wMAUEsBAi0AFAAGAAgAAAAhANvh9svuAAAAhQEAABMAAAAAAAAA&#10;AAAAAAAAAAAAAFtDb250ZW50X1R5cGVzXS54bWxQSwECLQAUAAYACAAAACEAWvQsW78AAAAVAQAA&#10;CwAAAAAAAAAAAAAAAAAfAQAAX3JlbHMvLnJlbHNQSwECLQAUAAYACAAAACEABzPHw8YAAADeAAAA&#10;DwAAAAAAAAAAAAAAAAAHAgAAZHJzL2Rvd25yZXYueG1sUEsFBgAAAAADAAMAtwAAAPoCAAAAAA==&#10;" filled="f" stroked="f">
                  <v:textbox inset="0,0,0,0">
                    <w:txbxContent>
                      <w:p w14:paraId="02646A0E" w14:textId="77777777" w:rsidR="00B32EF2" w:rsidRDefault="00000000">
                        <w:r>
                          <w:rPr>
                            <w:rFonts w:ascii="Arial" w:eastAsia="Arial" w:hAnsi="Arial" w:cs="Arial"/>
                            <w:sz w:val="18"/>
                          </w:rPr>
                          <w:t xml:space="preserve">controversie riguardanti gli atti della esecuzione forzata tributaria successivi </w:t>
                        </w:r>
                      </w:p>
                    </w:txbxContent>
                  </v:textbox>
                </v:rect>
                <v:rect id="Rectangle 20906" o:spid="_x0000_s5493" style="position:absolute;left:-12288;top:7276;width:522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Vm0xgAAAN4AAAAPAAAAZHJzL2Rvd25yZXYueG1sRI9BawIx&#10;FITvBf9DeEJvNdGD2NUookj34EVrocfH5rm7unkJm+iu/fWNUOhxmJlvmMWqt424UxtqxxrGIwWC&#10;uHCm5lLD6XP3NgMRIrLBxjFpeFCA1XLwssDMuI4PdD/GUiQIhww1VDH6TMpQVGQxjJwnTt7ZtRZj&#10;km0pTYtdgttGTpSaSos1p4UKPW0qKq7Hm9XwvWWf7zpZnH82fn/JZ83H7fSl9euwX89BROrjf/iv&#10;nRsNE/WupvC8k66AXP4CAAD//wMAUEsBAi0AFAAGAAgAAAAhANvh9svuAAAAhQEAABMAAAAAAAAA&#10;AAAAAAAAAAAAAFtDb250ZW50X1R5cGVzXS54bWxQSwECLQAUAAYACAAAACEAWvQsW78AAAAVAQAA&#10;CwAAAAAAAAAAAAAAAAAfAQAAX3JlbHMvLnJlbHNQSwECLQAUAAYACAAAACEA9+FZtMYAAADeAAAA&#10;DwAAAAAAAAAAAAAAAAAHAgAAZHJzL2Rvd25yZXYueG1sUEsFBgAAAAADAAMAtwAAAPoCAAAAAA==&#10;" filled="f" stroked="f">
                  <v:textbox inset="0,0,0,0">
                    <w:txbxContent>
                      <w:p w14:paraId="3CFA63EF" w14:textId="77777777" w:rsidR="00B32EF2" w:rsidRDefault="00000000">
                        <w:r>
                          <w:rPr>
                            <w:rFonts w:ascii="Arial" w:eastAsia="Arial" w:hAnsi="Arial" w:cs="Arial"/>
                            <w:sz w:val="18"/>
                          </w:rPr>
                          <w:t>alla notifica della cartella di pagamento e, ove previsto, dell’avviso di cui all’ar</w:t>
                        </w:r>
                      </w:p>
                    </w:txbxContent>
                  </v:textbox>
                </v:rect>
                <v:rect id="Rectangle 20907" o:spid="_x0000_s5494" style="position:absolute;left:193;top:727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fwvxwAAAN4AAAAPAAAAZHJzL2Rvd25yZXYueG1sRI9BawIx&#10;FITvhf6H8ITeNNFDtatRxCLdg5daCz0+Ns/d1c1L2ER36683BaHHYWa+YRar3jbiSm2oHWsYjxQI&#10;4sKZmksNh6/tcAYiRGSDjWPS8EsBVsvnpwVmxnX8Sdd9LEWCcMhQQxWjz6QMRUUWw8h54uQdXWsx&#10;JtmW0rTYJbht5ESpV2mx5rRQoadNRcV5f7Eaft7Z59tOFsfbxu9O+az5uBy+tX4Z9Os5iEh9/A8/&#10;2rnRMFFvagp/d9IVkMs7AAAA//8DAFBLAQItABQABgAIAAAAIQDb4fbL7gAAAIUBAAATAAAAAAAA&#10;AAAAAAAAAAAAAABbQ29udGVudF9UeXBlc10ueG1sUEsBAi0AFAAGAAgAAAAhAFr0LFu/AAAAFQEA&#10;AAsAAAAAAAAAAAAAAAAAHwEAAF9yZWxzLy5yZWxzUEsBAi0AFAAGAAgAAAAhAJit/C/HAAAA3gAA&#10;AA8AAAAAAAAAAAAAAAAABwIAAGRycy9kb3ducmV2LnhtbFBLBQYAAAAAAwADALcAAAD7AgAAAAA=&#10;" filled="f" stroked="f">
                  <v:textbox inset="0,0,0,0">
                    <w:txbxContent>
                      <w:p w14:paraId="4B7D026C" w14:textId="77777777" w:rsidR="00B32EF2" w:rsidRDefault="00000000">
                        <w:r>
                          <w:rPr>
                            <w:rFonts w:ascii="Arial" w:eastAsia="Arial" w:hAnsi="Arial" w:cs="Arial"/>
                            <w:sz w:val="18"/>
                          </w:rPr>
                          <w:t>-</w:t>
                        </w:r>
                      </w:p>
                    </w:txbxContent>
                  </v:textbox>
                </v:rect>
                <v:rect id="Rectangle 20908" o:spid="_x0000_s5495" style="position:absolute;left:-13170;top:6043;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mhdxAAAAN4AAAAPAAAAZHJzL2Rvd25yZXYueG1sRE+7bsIw&#10;FN2R+AfrVmIDuwwVpDgIgVAzdClQqeNVfPMo8bUVGxL69fVQqePReW+2o+3EnfrQOtbwvFAgiEtn&#10;Wq41XM7H+QpEiMgGO8ek4UEBtvl0ssHMuIE/6H6KtUghHDLU0MToMylD2ZDFsHCeOHGV6y3GBPta&#10;mh6HFG47uVTqRVpsOTU06GnfUHk93ayGrwP74jjIsvrZ+/fvYtW93S6fWs+ext0riEhj/Bf/uQuj&#10;YanWKu1Nd9IVkPkvAAAA//8DAFBLAQItABQABgAIAAAAIQDb4fbL7gAAAIUBAAATAAAAAAAAAAAA&#10;AAAAAAAAAABbQ29udGVudF9UeXBlc10ueG1sUEsBAi0AFAAGAAgAAAAhAFr0LFu/AAAAFQEAAAsA&#10;AAAAAAAAAAAAAAAAHwEAAF9yZWxzLy5yZWxzUEsBAi0AFAAGAAgAAAAhAOkyaF3EAAAA3gAAAA8A&#10;AAAAAAAAAAAAAAAABwIAAGRycy9kb3ducmV2LnhtbFBLBQYAAAAAAwADALcAAAD4AgAAAAA=&#10;" filled="f" stroked="f">
                  <v:textbox inset="0,0,0,0">
                    <w:txbxContent>
                      <w:p w14:paraId="54EB1B09" w14:textId="77777777" w:rsidR="00B32EF2" w:rsidRDefault="00000000">
                        <w:r>
                          <w:rPr>
                            <w:rFonts w:ascii="Arial" w:eastAsia="Arial" w:hAnsi="Arial" w:cs="Arial"/>
                            <w:sz w:val="18"/>
                          </w:rPr>
                          <w:t xml:space="preserve">ticolo 50 del decreto del Presidente della Repubblica 29 settembre 1973, n. </w:t>
                        </w:r>
                      </w:p>
                    </w:txbxContent>
                  </v:textbox>
                </v:rect>
                <v:rect id="Rectangle 201640" o:spid="_x0000_s5496" style="position:absolute;left:-15117;top:480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EH2xwAAAN8AAAAPAAAAZHJzL2Rvd25yZXYueG1sRI/NasJA&#10;FIX3Bd9huIK7OlEkhNRRiiJm4aaphS4vmWuSNnNnyIxJ7NN3FoUuD+ePb7ufTCcG6n1rWcFqmYAg&#10;rqxuuVZwfT89ZyB8QNbYWSYFD/Kw382etphrO/IbDWWoRRxhn6OCJgSXS+mrhgz6pXXE0bvZ3mCI&#10;sq+l7nGM46aT6yRJpcGW40ODjg4NVd/l3Sj4PLIrTqOsbj8Hd/kqsu58v34otZhPry8gAk3hP/zX&#10;LrSCdbJKN5Eg8kQWkLtfAAAA//8DAFBLAQItABQABgAIAAAAIQDb4fbL7gAAAIUBAAATAAAAAAAA&#10;AAAAAAAAAAAAAABbQ29udGVudF9UeXBlc10ueG1sUEsBAi0AFAAGAAgAAAAhAFr0LFu/AAAAFQEA&#10;AAsAAAAAAAAAAAAAAAAAHwEAAF9yZWxzLy5yZWxzUEsBAi0AFAAGAAgAAAAhAJeUQfbHAAAA3wAA&#10;AA8AAAAAAAAAAAAAAAAABwIAAGRycy9kb3ducmV2LnhtbFBLBQYAAAAAAwADALcAAAD7AgAAAAA=&#10;" filled="f" stroked="f">
                  <v:textbox inset="0,0,0,0">
                    <w:txbxContent>
                      <w:p w14:paraId="6F303F65" w14:textId="77777777" w:rsidR="00B32EF2" w:rsidRDefault="00000000">
                        <w:r>
                          <w:rPr>
                            <w:rFonts w:ascii="Arial" w:eastAsia="Arial" w:hAnsi="Arial" w:cs="Arial"/>
                            <w:sz w:val="18"/>
                          </w:rPr>
                          <w:t xml:space="preserve">, per le quali continuano ad applicarsi le disposizioni del medesimo decreto </w:t>
                        </w:r>
                      </w:p>
                    </w:txbxContent>
                  </v:textbox>
                </v:rect>
                <v:rect id="Rectangle 201634" o:spid="_x0000_s5497" style="position:absolute;left:24803;top:480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TSIxwAAAN8AAAAPAAAAZHJzL2Rvd25yZXYueG1sRI9Ba8JA&#10;FITvgv9heUJvutGKSHQVUcQcvGgt9PjIPpNo9u2SXU3aX+8WCj0OM/MNs1x3phZPanxlWcF4lIAg&#10;zq2uuFBw+dgP5yB8QNZYWyYF3+Rhver3lphq2/KJnudQiAhhn6KCMgSXSunzkgz6kXXE0bvaxmCI&#10;simkbrCNcFPLSZLMpMGK40KJjrYl5ffzwyj42rHL9q3Mrz9bd7xl8/rwuHwq9TboNgsQgbrwH/5r&#10;Z1rBJBnP3qfw+yd+Abl6AQAA//8DAFBLAQItABQABgAIAAAAIQDb4fbL7gAAAIUBAAATAAAAAAAA&#10;AAAAAAAAAAAAAABbQ29udGVudF9UeXBlc10ueG1sUEsBAi0AFAAGAAgAAAAhAFr0LFu/AAAAFQEA&#10;AAsAAAAAAAAAAAAAAAAAHwEAAF9yZWxzLy5yZWxzUEsBAi0AFAAGAAgAAAAhALCpNIjHAAAA3wAA&#10;AA8AAAAAAAAAAAAAAAAABwIAAGRycy9kb3ducmV2LnhtbFBLBQYAAAAAAwADALcAAAD7AgAAAAA=&#10;" filled="f" stroked="f">
                  <v:textbox inset="0,0,0,0">
                    <w:txbxContent>
                      <w:p w14:paraId="09B063CB" w14:textId="77777777" w:rsidR="00B32EF2" w:rsidRDefault="00000000">
                        <w:r>
                          <w:rPr>
                            <w:rFonts w:ascii="Arial" w:eastAsia="Arial" w:hAnsi="Arial" w:cs="Arial"/>
                            <w:sz w:val="18"/>
                          </w:rPr>
                          <w:t>602</w:t>
                        </w:r>
                      </w:p>
                    </w:txbxContent>
                  </v:textbox>
                </v:rect>
                <w10:anchorlock/>
              </v:group>
            </w:pict>
          </mc:Fallback>
        </mc:AlternateContent>
      </w:r>
    </w:p>
    <w:p w14:paraId="123D79CD" w14:textId="77777777" w:rsidR="00B32EF2" w:rsidRDefault="00000000">
      <w:pPr>
        <w:spacing w:after="0"/>
        <w:ind w:left="-356" w:right="-306"/>
      </w:pPr>
      <w:r>
        <w:rPr>
          <w:noProof/>
        </w:rPr>
        <w:lastRenderedPageBreak/>
        <mc:AlternateContent>
          <mc:Choice Requires="wpg">
            <w:drawing>
              <wp:inline distT="0" distB="0" distL="0" distR="0" wp14:anchorId="205F4835" wp14:editId="0261E503">
                <wp:extent cx="3992099" cy="6262854"/>
                <wp:effectExtent l="0" t="0" r="0" b="0"/>
                <wp:docPr id="201705" name="Group 201705"/>
                <wp:cNvGraphicFramePr/>
                <a:graphic xmlns:a="http://schemas.openxmlformats.org/drawingml/2006/main">
                  <a:graphicData uri="http://schemas.microsoft.com/office/word/2010/wordprocessingGroup">
                    <wpg:wgp>
                      <wpg:cNvGrpSpPr/>
                      <wpg:grpSpPr>
                        <a:xfrm>
                          <a:off x="0" y="0"/>
                          <a:ext cx="3992099" cy="6262854"/>
                          <a:chOff x="0" y="0"/>
                          <a:chExt cx="3992099" cy="6262854"/>
                        </a:xfrm>
                      </wpg:grpSpPr>
                      <wps:wsp>
                        <wps:cNvPr id="20984" name="Rectangle 20984"/>
                        <wps:cNvSpPr/>
                        <wps:spPr>
                          <a:xfrm rot="-10799999">
                            <a:off x="1900590" y="-62190"/>
                            <a:ext cx="178369" cy="250646"/>
                          </a:xfrm>
                          <a:prstGeom prst="rect">
                            <a:avLst/>
                          </a:prstGeom>
                          <a:ln>
                            <a:noFill/>
                          </a:ln>
                        </wps:spPr>
                        <wps:txbx>
                          <w:txbxContent>
                            <w:p w14:paraId="1172BFF1" w14:textId="77777777" w:rsidR="00B32EF2" w:rsidRDefault="00000000">
                              <w:r>
                                <w:rPr>
                                  <w:rFonts w:ascii="Times New Roman" w:eastAsia="Times New Roman" w:hAnsi="Times New Roman" w:cs="Times New Roman"/>
                                </w:rPr>
                                <w:t>38</w:t>
                              </w:r>
                            </w:p>
                          </w:txbxContent>
                        </wps:txbx>
                        <wps:bodyPr horzOverflow="overflow" vert="horz" lIns="0" tIns="0" rIns="0" bIns="0" rtlCol="0">
                          <a:noAutofit/>
                        </wps:bodyPr>
                      </wps:wsp>
                      <wps:wsp>
                        <wps:cNvPr id="20985" name="Rectangle 20985"/>
                        <wps:cNvSpPr/>
                        <wps:spPr>
                          <a:xfrm rot="-10799999">
                            <a:off x="1506240" y="6119965"/>
                            <a:ext cx="811478" cy="142889"/>
                          </a:xfrm>
                          <a:prstGeom prst="rect">
                            <a:avLst/>
                          </a:prstGeom>
                          <a:ln>
                            <a:noFill/>
                          </a:ln>
                        </wps:spPr>
                        <wps:txbx>
                          <w:txbxContent>
                            <w:p w14:paraId="2968B9FF" w14:textId="77777777" w:rsidR="00B32EF2" w:rsidRDefault="00000000">
                              <w:r>
                                <w:rPr>
                                  <w:rFonts w:ascii="Arial" w:eastAsia="Arial" w:hAnsi="Arial" w:cs="Arial"/>
                                  <w:b/>
                                  <w:sz w:val="18"/>
                                </w:rPr>
                                <w:t>Articolo 40</w:t>
                              </w:r>
                            </w:p>
                          </w:txbxContent>
                        </wps:txbx>
                        <wps:bodyPr horzOverflow="overflow" vert="horz" lIns="0" tIns="0" rIns="0" bIns="0" rtlCol="0">
                          <a:noAutofit/>
                        </wps:bodyPr>
                      </wps:wsp>
                      <wps:wsp>
                        <wps:cNvPr id="201637" name="Rectangle 201637"/>
                        <wps:cNvSpPr/>
                        <wps:spPr>
                          <a:xfrm rot="-10799999">
                            <a:off x="2222185" y="5996635"/>
                            <a:ext cx="1942530" cy="142890"/>
                          </a:xfrm>
                          <a:prstGeom prst="rect">
                            <a:avLst/>
                          </a:prstGeom>
                          <a:ln>
                            <a:noFill/>
                          </a:ln>
                        </wps:spPr>
                        <wps:txbx>
                          <w:txbxContent>
                            <w:p w14:paraId="697306A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638" name="Rectangle 201638"/>
                        <wps:cNvSpPr/>
                        <wps:spPr>
                          <a:xfrm rot="-10799999">
                            <a:off x="-261954" y="5996635"/>
                            <a:ext cx="1942530" cy="142890"/>
                          </a:xfrm>
                          <a:prstGeom prst="rect">
                            <a:avLst/>
                          </a:prstGeom>
                          <a:ln>
                            <a:noFill/>
                          </a:ln>
                        </wps:spPr>
                        <wps:txbx>
                          <w:txbxContent>
                            <w:p w14:paraId="5EBCDB97"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1639" name="Rectangle 201639"/>
                        <wps:cNvSpPr/>
                        <wps:spPr>
                          <a:xfrm rot="-10799999">
                            <a:off x="1163435" y="5996635"/>
                            <a:ext cx="1942530" cy="142890"/>
                          </a:xfrm>
                          <a:prstGeom prst="rect">
                            <a:avLst/>
                          </a:prstGeom>
                          <a:ln>
                            <a:noFill/>
                          </a:ln>
                        </wps:spPr>
                        <wps:txbx>
                          <w:txbxContent>
                            <w:p w14:paraId="71BBB0B6" w14:textId="77777777" w:rsidR="00B32EF2" w:rsidRDefault="00000000">
                              <w:r>
                                <w:rPr>
                                  <w:rFonts w:ascii="Arial" w:eastAsia="Arial" w:hAnsi="Arial" w:cs="Arial"/>
                                  <w:i/>
                                  <w:sz w:val="18"/>
                                </w:rPr>
                                <w:t xml:space="preserve">articolo 32 D.lgs. n. </w:t>
                              </w:r>
                            </w:p>
                          </w:txbxContent>
                        </wps:txbx>
                        <wps:bodyPr horzOverflow="overflow" vert="horz" lIns="0" tIns="0" rIns="0" bIns="0" rtlCol="0">
                          <a:noAutofit/>
                        </wps:bodyPr>
                      </wps:wsp>
                      <wps:wsp>
                        <wps:cNvPr id="20987" name="Rectangle 20987"/>
                        <wps:cNvSpPr/>
                        <wps:spPr>
                          <a:xfrm rot="-10799999">
                            <a:off x="-1213962" y="5873305"/>
                            <a:ext cx="5201604" cy="142889"/>
                          </a:xfrm>
                          <a:prstGeom prst="rect">
                            <a:avLst/>
                          </a:prstGeom>
                          <a:ln>
                            <a:noFill/>
                          </a:ln>
                        </wps:spPr>
                        <wps:txbx>
                          <w:txbxContent>
                            <w:p w14:paraId="1DA8995A" w14:textId="77777777" w:rsidR="00B32EF2" w:rsidRDefault="00000000">
                              <w:r>
                                <w:rPr>
                                  <w:rFonts w:ascii="Arial" w:eastAsia="Arial" w:hAnsi="Arial" w:cs="Arial"/>
                                  <w:b/>
                                  <w:sz w:val="18"/>
                                </w:rPr>
                                <w:t>Personale addetto agli uffici di segreteria delle corti di giustizia tributa</w:t>
                              </w:r>
                            </w:p>
                          </w:txbxContent>
                        </wps:txbx>
                        <wps:bodyPr horzOverflow="overflow" vert="horz" lIns="0" tIns="0" rIns="0" bIns="0" rtlCol="0">
                          <a:noAutofit/>
                        </wps:bodyPr>
                      </wps:wsp>
                      <wps:wsp>
                        <wps:cNvPr id="20988" name="Rectangle 20988"/>
                        <wps:cNvSpPr/>
                        <wps:spPr>
                          <a:xfrm rot="-10799999">
                            <a:off x="23844" y="5873305"/>
                            <a:ext cx="50622" cy="142889"/>
                          </a:xfrm>
                          <a:prstGeom prst="rect">
                            <a:avLst/>
                          </a:prstGeom>
                          <a:ln>
                            <a:noFill/>
                          </a:ln>
                        </wps:spPr>
                        <wps:txbx>
                          <w:txbxContent>
                            <w:p w14:paraId="4378B336" w14:textId="77777777" w:rsidR="00B32EF2" w:rsidRDefault="00000000">
                              <w:r>
                                <w:rPr>
                                  <w:rFonts w:ascii="Arial" w:eastAsia="Arial" w:hAnsi="Arial" w:cs="Arial"/>
                                  <w:b/>
                                  <w:sz w:val="18"/>
                                </w:rPr>
                                <w:t>-</w:t>
                              </w:r>
                            </w:p>
                          </w:txbxContent>
                        </wps:txbx>
                        <wps:bodyPr horzOverflow="overflow" vert="horz" lIns="0" tIns="0" rIns="0" bIns="0" rtlCol="0">
                          <a:noAutofit/>
                        </wps:bodyPr>
                      </wps:wsp>
                      <wps:wsp>
                        <wps:cNvPr id="20989" name="Rectangle 20989"/>
                        <wps:cNvSpPr/>
                        <wps:spPr>
                          <a:xfrm rot="-10799999">
                            <a:off x="645211" y="5749976"/>
                            <a:ext cx="2164797" cy="142889"/>
                          </a:xfrm>
                          <a:prstGeom prst="rect">
                            <a:avLst/>
                          </a:prstGeom>
                          <a:ln>
                            <a:noFill/>
                          </a:ln>
                        </wps:spPr>
                        <wps:txbx>
                          <w:txbxContent>
                            <w:p w14:paraId="31B6034E" w14:textId="77777777" w:rsidR="00B32EF2" w:rsidRDefault="00000000">
                              <w:r>
                                <w:rPr>
                                  <w:rFonts w:ascii="Arial" w:eastAsia="Arial" w:hAnsi="Arial" w:cs="Arial"/>
                                  <w:b/>
                                  <w:sz w:val="18"/>
                                </w:rPr>
                                <w:t xml:space="preserve">ria di primo e secondo grado </w:t>
                              </w:r>
                            </w:p>
                          </w:txbxContent>
                        </wps:txbx>
                        <wps:bodyPr horzOverflow="overflow" vert="horz" lIns="0" tIns="0" rIns="0" bIns="0" rtlCol="0">
                          <a:noAutofit/>
                        </wps:bodyPr>
                      </wps:wsp>
                      <wps:wsp>
                        <wps:cNvPr id="201630" name="Rectangle 201630"/>
                        <wps:cNvSpPr/>
                        <wps:spPr>
                          <a:xfrm rot="-10799999">
                            <a:off x="2611269" y="5626646"/>
                            <a:ext cx="5309037" cy="142889"/>
                          </a:xfrm>
                          <a:prstGeom prst="rect">
                            <a:avLst/>
                          </a:prstGeom>
                          <a:ln>
                            <a:noFill/>
                          </a:ln>
                        </wps:spPr>
                        <wps:txbx>
                          <w:txbxContent>
                            <w:p w14:paraId="3A7F8534"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631" name="Rectangle 201631"/>
                        <wps:cNvSpPr/>
                        <wps:spPr>
                          <a:xfrm rot="-10799999">
                            <a:off x="-1376121" y="5626646"/>
                            <a:ext cx="5309035" cy="142889"/>
                          </a:xfrm>
                          <a:prstGeom prst="rect">
                            <a:avLst/>
                          </a:prstGeom>
                          <a:ln>
                            <a:noFill/>
                          </a:ln>
                        </wps:spPr>
                        <wps:txbx>
                          <w:txbxContent>
                            <w:p w14:paraId="50C0F390" w14:textId="77777777" w:rsidR="00B32EF2" w:rsidRDefault="00000000">
                              <w:r>
                                <w:rPr>
                                  <w:rFonts w:ascii="Arial" w:eastAsia="Arial" w:hAnsi="Arial" w:cs="Arial"/>
                                  <w:sz w:val="18"/>
                                </w:rPr>
                                <w:t xml:space="preserve">. Agli uffici di segreteria delle corti di giustizia tributaria di primo e secondo </w:t>
                              </w:r>
                            </w:p>
                          </w:txbxContent>
                        </wps:txbx>
                        <wps:bodyPr horzOverflow="overflow" vert="horz" lIns="0" tIns="0" rIns="0" bIns="0" rtlCol="0">
                          <a:noAutofit/>
                        </wps:bodyPr>
                      </wps:wsp>
                      <wps:wsp>
                        <wps:cNvPr id="20991" name="Rectangle 20991"/>
                        <wps:cNvSpPr/>
                        <wps:spPr>
                          <a:xfrm rot="-10799999">
                            <a:off x="-1218428" y="5503316"/>
                            <a:ext cx="5210528" cy="142889"/>
                          </a:xfrm>
                          <a:prstGeom prst="rect">
                            <a:avLst/>
                          </a:prstGeom>
                          <a:ln>
                            <a:noFill/>
                          </a:ln>
                        </wps:spPr>
                        <wps:txbx>
                          <w:txbxContent>
                            <w:p w14:paraId="39A65829" w14:textId="77777777" w:rsidR="00B32EF2" w:rsidRDefault="00000000">
                              <w:r>
                                <w:rPr>
                                  <w:rFonts w:ascii="Arial" w:eastAsia="Arial" w:hAnsi="Arial" w:cs="Arial"/>
                                  <w:sz w:val="18"/>
                                </w:rPr>
                                <w:t>grado sono assegnati dipendenti appartenenti al ruolo del Ministero dell’eco</w:t>
                              </w:r>
                            </w:p>
                          </w:txbxContent>
                        </wps:txbx>
                        <wps:bodyPr horzOverflow="overflow" vert="horz" lIns="0" tIns="0" rIns="0" bIns="0" rtlCol="0">
                          <a:noAutofit/>
                        </wps:bodyPr>
                      </wps:wsp>
                      <wps:wsp>
                        <wps:cNvPr id="20992" name="Rectangle 20992"/>
                        <wps:cNvSpPr/>
                        <wps:spPr>
                          <a:xfrm rot="-10799999">
                            <a:off x="19501" y="5503316"/>
                            <a:ext cx="50622" cy="142889"/>
                          </a:xfrm>
                          <a:prstGeom prst="rect">
                            <a:avLst/>
                          </a:prstGeom>
                          <a:ln>
                            <a:noFill/>
                          </a:ln>
                        </wps:spPr>
                        <wps:txbx>
                          <w:txbxContent>
                            <w:p w14:paraId="7DA3F87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993" name="Rectangle 20993"/>
                        <wps:cNvSpPr/>
                        <wps:spPr>
                          <a:xfrm rot="-10799999">
                            <a:off x="-1316906" y="5379987"/>
                            <a:ext cx="5309006" cy="142889"/>
                          </a:xfrm>
                          <a:prstGeom prst="rect">
                            <a:avLst/>
                          </a:prstGeom>
                          <a:ln>
                            <a:noFill/>
                          </a:ln>
                        </wps:spPr>
                        <wps:txbx>
                          <w:txbxContent>
                            <w:p w14:paraId="50C562BF" w14:textId="77777777" w:rsidR="00B32EF2" w:rsidRDefault="00000000">
                              <w:r>
                                <w:rPr>
                                  <w:rFonts w:ascii="Arial" w:eastAsia="Arial" w:hAnsi="Arial" w:cs="Arial"/>
                                  <w:sz w:val="18"/>
                                </w:rPr>
                                <w:t xml:space="preserve">nomia e delle finanze compresi in un apposito contingente individuato con </w:t>
                              </w:r>
                            </w:p>
                          </w:txbxContent>
                        </wps:txbx>
                        <wps:bodyPr horzOverflow="overflow" vert="horz" lIns="0" tIns="0" rIns="0" bIns="0" rtlCol="0">
                          <a:noAutofit/>
                        </wps:bodyPr>
                      </wps:wsp>
                      <wps:wsp>
                        <wps:cNvPr id="20994" name="Rectangle 20994"/>
                        <wps:cNvSpPr/>
                        <wps:spPr>
                          <a:xfrm rot="-10799999">
                            <a:off x="-1228877" y="5256657"/>
                            <a:ext cx="5222005" cy="142889"/>
                          </a:xfrm>
                          <a:prstGeom prst="rect">
                            <a:avLst/>
                          </a:prstGeom>
                          <a:ln>
                            <a:noFill/>
                          </a:ln>
                        </wps:spPr>
                        <wps:txbx>
                          <w:txbxContent>
                            <w:p w14:paraId="64537F86" w14:textId="77777777" w:rsidR="00B32EF2" w:rsidRDefault="00000000">
                              <w:r>
                                <w:rPr>
                                  <w:rFonts w:ascii="Arial" w:eastAsia="Arial" w:hAnsi="Arial" w:cs="Arial"/>
                                  <w:sz w:val="18"/>
                                </w:rPr>
                                <w:t>decreto del Ministro dell’economia e delle finanze nell’ambito del relativo per</w:t>
                              </w:r>
                            </w:p>
                          </w:txbxContent>
                        </wps:txbx>
                        <wps:bodyPr horzOverflow="overflow" vert="horz" lIns="0" tIns="0" rIns="0" bIns="0" rtlCol="0">
                          <a:noAutofit/>
                        </wps:bodyPr>
                      </wps:wsp>
                      <wps:wsp>
                        <wps:cNvPr id="20995" name="Rectangle 20995"/>
                        <wps:cNvSpPr/>
                        <wps:spPr>
                          <a:xfrm rot="-10799999">
                            <a:off x="19501" y="5256657"/>
                            <a:ext cx="50622" cy="142889"/>
                          </a:xfrm>
                          <a:prstGeom prst="rect">
                            <a:avLst/>
                          </a:prstGeom>
                          <a:ln>
                            <a:noFill/>
                          </a:ln>
                        </wps:spPr>
                        <wps:txbx>
                          <w:txbxContent>
                            <w:p w14:paraId="079FABC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996" name="Rectangle 20996"/>
                        <wps:cNvSpPr/>
                        <wps:spPr>
                          <a:xfrm rot="-10799999">
                            <a:off x="-1316936" y="5133327"/>
                            <a:ext cx="5309035" cy="142889"/>
                          </a:xfrm>
                          <a:prstGeom prst="rect">
                            <a:avLst/>
                          </a:prstGeom>
                          <a:ln>
                            <a:noFill/>
                          </a:ln>
                        </wps:spPr>
                        <wps:txbx>
                          <w:txbxContent>
                            <w:p w14:paraId="1BABDF2F" w14:textId="77777777" w:rsidR="00B32EF2" w:rsidRDefault="00000000">
                              <w:r>
                                <w:rPr>
                                  <w:rFonts w:ascii="Arial" w:eastAsia="Arial" w:hAnsi="Arial" w:cs="Arial"/>
                                  <w:sz w:val="18"/>
                                </w:rPr>
                                <w:t xml:space="preserve">sonale previsto dal regolamento di cui all’ articolo 17, comma 4-bis della legge </w:t>
                              </w:r>
                            </w:p>
                          </w:txbxContent>
                        </wps:txbx>
                        <wps:bodyPr horzOverflow="overflow" vert="horz" lIns="0" tIns="0" rIns="0" bIns="0" rtlCol="0">
                          <a:noAutofit/>
                        </wps:bodyPr>
                      </wps:wsp>
                      <wps:wsp>
                        <wps:cNvPr id="201626" name="Rectangle 201626"/>
                        <wps:cNvSpPr/>
                        <wps:spPr>
                          <a:xfrm rot="-10799999">
                            <a:off x="3463739" y="5009998"/>
                            <a:ext cx="1613180" cy="142889"/>
                          </a:xfrm>
                          <a:prstGeom prst="rect">
                            <a:avLst/>
                          </a:prstGeom>
                          <a:ln>
                            <a:noFill/>
                          </a:ln>
                        </wps:spPr>
                        <wps:txbx>
                          <w:txbxContent>
                            <w:p w14:paraId="5DB5544A" w14:textId="77777777" w:rsidR="00B32EF2" w:rsidRDefault="00000000">
                              <w:r>
                                <w:rPr>
                                  <w:rFonts w:ascii="Arial" w:eastAsia="Arial" w:hAnsi="Arial" w:cs="Arial"/>
                                  <w:sz w:val="18"/>
                                </w:rPr>
                                <w:t>23</w:t>
                              </w:r>
                            </w:p>
                          </w:txbxContent>
                        </wps:txbx>
                        <wps:bodyPr horzOverflow="overflow" vert="horz" lIns="0" tIns="0" rIns="0" bIns="0" rtlCol="0">
                          <a:noAutofit/>
                        </wps:bodyPr>
                      </wps:wsp>
                      <wps:wsp>
                        <wps:cNvPr id="201627" name="Rectangle 201627"/>
                        <wps:cNvSpPr/>
                        <wps:spPr>
                          <a:xfrm rot="-10799999">
                            <a:off x="1393287" y="5009998"/>
                            <a:ext cx="1613180" cy="142889"/>
                          </a:xfrm>
                          <a:prstGeom prst="rect">
                            <a:avLst/>
                          </a:prstGeom>
                          <a:ln>
                            <a:noFill/>
                          </a:ln>
                        </wps:spPr>
                        <wps:txbx>
                          <w:txbxContent>
                            <w:p w14:paraId="228C8476" w14:textId="77777777" w:rsidR="00B32EF2" w:rsidRDefault="00000000">
                              <w:r>
                                <w:rPr>
                                  <w:rFonts w:ascii="Arial" w:eastAsia="Arial" w:hAnsi="Arial" w:cs="Arial"/>
                                  <w:sz w:val="18"/>
                                </w:rPr>
                                <w:t>400.</w:t>
                              </w:r>
                            </w:p>
                          </w:txbxContent>
                        </wps:txbx>
                        <wps:bodyPr horzOverflow="overflow" vert="horz" lIns="0" tIns="0" rIns="0" bIns="0" rtlCol="0">
                          <a:noAutofit/>
                        </wps:bodyPr>
                      </wps:wsp>
                      <wps:wsp>
                        <wps:cNvPr id="201629" name="Rectangle 201629"/>
                        <wps:cNvSpPr/>
                        <wps:spPr>
                          <a:xfrm rot="-10799999">
                            <a:off x="2478108" y="5009998"/>
                            <a:ext cx="1613180" cy="142889"/>
                          </a:xfrm>
                          <a:prstGeom prst="rect">
                            <a:avLst/>
                          </a:prstGeom>
                          <a:ln>
                            <a:noFill/>
                          </a:ln>
                        </wps:spPr>
                        <wps:txbx>
                          <w:txbxContent>
                            <w:p w14:paraId="55CCCDB8" w14:textId="77777777" w:rsidR="00B32EF2" w:rsidRDefault="00000000">
                              <w:r>
                                <w:rPr>
                                  <w:rFonts w:ascii="Arial" w:eastAsia="Arial" w:hAnsi="Arial" w:cs="Arial"/>
                                  <w:sz w:val="18"/>
                                </w:rPr>
                                <w:t xml:space="preserve"> agosto 1988, n. </w:t>
                              </w:r>
                            </w:p>
                          </w:txbxContent>
                        </wps:txbx>
                        <wps:bodyPr horzOverflow="overflow" vert="horz" lIns="0" tIns="0" rIns="0" bIns="0" rtlCol="0">
                          <a:noAutofit/>
                        </wps:bodyPr>
                      </wps:wsp>
                      <wps:wsp>
                        <wps:cNvPr id="201624" name="Rectangle 201624"/>
                        <wps:cNvSpPr/>
                        <wps:spPr>
                          <a:xfrm rot="-10799999">
                            <a:off x="-1381492" y="4886668"/>
                            <a:ext cx="5309035" cy="142889"/>
                          </a:xfrm>
                          <a:prstGeom prst="rect">
                            <a:avLst/>
                          </a:prstGeom>
                          <a:ln>
                            <a:noFill/>
                          </a:ln>
                        </wps:spPr>
                        <wps:txbx>
                          <w:txbxContent>
                            <w:p w14:paraId="00069997" w14:textId="77777777" w:rsidR="00B32EF2" w:rsidRDefault="00000000">
                              <w:r>
                                <w:rPr>
                                  <w:rFonts w:ascii="Arial" w:eastAsia="Arial" w:hAnsi="Arial" w:cs="Arial"/>
                                  <w:sz w:val="18"/>
                                </w:rPr>
                                <w:t xml:space="preserve">. Il Ministro dell’economia e delle finanze, con proprio decreto determina ogni </w:t>
                              </w:r>
                            </w:p>
                          </w:txbxContent>
                        </wps:txbx>
                        <wps:bodyPr horzOverflow="overflow" vert="horz" lIns="0" tIns="0" rIns="0" bIns="0" rtlCol="0">
                          <a:noAutofit/>
                        </wps:bodyPr>
                      </wps:wsp>
                      <wps:wsp>
                        <wps:cNvPr id="201623" name="Rectangle 201623"/>
                        <wps:cNvSpPr/>
                        <wps:spPr>
                          <a:xfrm rot="-10799999">
                            <a:off x="2611269" y="4886668"/>
                            <a:ext cx="5309037" cy="142889"/>
                          </a:xfrm>
                          <a:prstGeom prst="rect">
                            <a:avLst/>
                          </a:prstGeom>
                          <a:ln>
                            <a:noFill/>
                          </a:ln>
                        </wps:spPr>
                        <wps:txbx>
                          <w:txbxContent>
                            <w:p w14:paraId="41AF665C"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999" name="Rectangle 20999"/>
                        <wps:cNvSpPr/>
                        <wps:spPr>
                          <a:xfrm rot="-10799999">
                            <a:off x="-1316927" y="4763338"/>
                            <a:ext cx="5309598" cy="142889"/>
                          </a:xfrm>
                          <a:prstGeom prst="rect">
                            <a:avLst/>
                          </a:prstGeom>
                          <a:ln>
                            <a:noFill/>
                          </a:ln>
                        </wps:spPr>
                        <wps:txbx>
                          <w:txbxContent>
                            <w:p w14:paraId="1535075B" w14:textId="77777777" w:rsidR="00B32EF2" w:rsidRDefault="00000000">
                              <w:r>
                                <w:rPr>
                                  <w:rFonts w:ascii="Arial" w:eastAsia="Arial" w:hAnsi="Arial" w:cs="Arial"/>
                                  <w:sz w:val="18"/>
                                </w:rPr>
                                <w:t xml:space="preserve">anno le variazioni da apportare alle dotazioni del contingente in relazione alle </w:t>
                              </w:r>
                            </w:p>
                          </w:txbxContent>
                        </wps:txbx>
                        <wps:bodyPr horzOverflow="overflow" vert="horz" lIns="0" tIns="0" rIns="0" bIns="0" rtlCol="0">
                          <a:noAutofit/>
                        </wps:bodyPr>
                      </wps:wsp>
                      <wps:wsp>
                        <wps:cNvPr id="21000" name="Rectangle 21000"/>
                        <wps:cNvSpPr/>
                        <wps:spPr>
                          <a:xfrm rot="-10799999">
                            <a:off x="-1316875" y="4640009"/>
                            <a:ext cx="5308975" cy="142889"/>
                          </a:xfrm>
                          <a:prstGeom prst="rect">
                            <a:avLst/>
                          </a:prstGeom>
                          <a:ln>
                            <a:noFill/>
                          </a:ln>
                        </wps:spPr>
                        <wps:txbx>
                          <w:txbxContent>
                            <w:p w14:paraId="65FB9722" w14:textId="77777777" w:rsidR="00B32EF2" w:rsidRDefault="00000000">
                              <w:r>
                                <w:rPr>
                                  <w:rFonts w:ascii="Arial" w:eastAsia="Arial" w:hAnsi="Arial" w:cs="Arial"/>
                                  <w:sz w:val="18"/>
                                </w:rPr>
                                <w:t xml:space="preserve">variazioni del numero di sezioni e del flusso dei ricorsi presso ogni corte di </w:t>
                              </w:r>
                            </w:p>
                          </w:txbxContent>
                        </wps:txbx>
                        <wps:bodyPr horzOverflow="overflow" vert="horz" lIns="0" tIns="0" rIns="0" bIns="0" rtlCol="0">
                          <a:noAutofit/>
                        </wps:bodyPr>
                      </wps:wsp>
                      <wps:wsp>
                        <wps:cNvPr id="21001" name="Rectangle 21001"/>
                        <wps:cNvSpPr/>
                        <wps:spPr>
                          <a:xfrm rot="-10799999">
                            <a:off x="968972" y="4516679"/>
                            <a:ext cx="3023126" cy="142889"/>
                          </a:xfrm>
                          <a:prstGeom prst="rect">
                            <a:avLst/>
                          </a:prstGeom>
                          <a:ln>
                            <a:noFill/>
                          </a:ln>
                        </wps:spPr>
                        <wps:txbx>
                          <w:txbxContent>
                            <w:p w14:paraId="1936DC93" w14:textId="77777777" w:rsidR="00B32EF2" w:rsidRDefault="00000000">
                              <w:r>
                                <w:rPr>
                                  <w:rFonts w:ascii="Arial" w:eastAsia="Arial" w:hAnsi="Arial" w:cs="Arial"/>
                                  <w:sz w:val="18"/>
                                </w:rPr>
                                <w:t>giustizia tributaria di primo e secondo grado.</w:t>
                              </w:r>
                            </w:p>
                          </w:txbxContent>
                        </wps:txbx>
                        <wps:bodyPr horzOverflow="overflow" vert="horz" lIns="0" tIns="0" rIns="0" bIns="0" rtlCol="0">
                          <a:noAutofit/>
                        </wps:bodyPr>
                      </wps:wsp>
                      <wps:wsp>
                        <wps:cNvPr id="21002" name="Rectangle 21002"/>
                        <wps:cNvSpPr/>
                        <wps:spPr>
                          <a:xfrm rot="-10799999">
                            <a:off x="1511789" y="4270019"/>
                            <a:ext cx="802843" cy="142889"/>
                          </a:xfrm>
                          <a:prstGeom prst="rect">
                            <a:avLst/>
                          </a:prstGeom>
                          <a:ln>
                            <a:noFill/>
                          </a:ln>
                        </wps:spPr>
                        <wps:txbx>
                          <w:txbxContent>
                            <w:p w14:paraId="0FCCCD11" w14:textId="77777777" w:rsidR="00B32EF2" w:rsidRDefault="00000000">
                              <w:r>
                                <w:rPr>
                                  <w:rFonts w:ascii="Arial" w:eastAsia="Arial" w:hAnsi="Arial" w:cs="Arial"/>
                                  <w:b/>
                                  <w:sz w:val="18"/>
                                </w:rPr>
                                <w:t>Articolo 41</w:t>
                              </w:r>
                            </w:p>
                          </w:txbxContent>
                        </wps:txbx>
                        <wps:bodyPr horzOverflow="overflow" vert="horz" lIns="0" tIns="0" rIns="0" bIns="0" rtlCol="0">
                          <a:noAutofit/>
                        </wps:bodyPr>
                      </wps:wsp>
                      <wps:wsp>
                        <wps:cNvPr id="201620" name="Rectangle 201620"/>
                        <wps:cNvSpPr/>
                        <wps:spPr>
                          <a:xfrm rot="-10799999">
                            <a:off x="2222590" y="4146690"/>
                            <a:ext cx="1944581" cy="142889"/>
                          </a:xfrm>
                          <a:prstGeom prst="rect">
                            <a:avLst/>
                          </a:prstGeom>
                          <a:ln>
                            <a:noFill/>
                          </a:ln>
                        </wps:spPr>
                        <wps:txbx>
                          <w:txbxContent>
                            <w:p w14:paraId="4374563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621" name="Rectangle 201621"/>
                        <wps:cNvSpPr/>
                        <wps:spPr>
                          <a:xfrm rot="-10799999">
                            <a:off x="-264633" y="4146689"/>
                            <a:ext cx="1944582" cy="142889"/>
                          </a:xfrm>
                          <a:prstGeom prst="rect">
                            <a:avLst/>
                          </a:prstGeom>
                          <a:ln>
                            <a:noFill/>
                          </a:ln>
                        </wps:spPr>
                        <wps:txbx>
                          <w:txbxContent>
                            <w:p w14:paraId="18BE97D3"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1622" name="Rectangle 201622"/>
                        <wps:cNvSpPr/>
                        <wps:spPr>
                          <a:xfrm rot="-10799999">
                            <a:off x="1162298" y="4146690"/>
                            <a:ext cx="1944581" cy="142889"/>
                          </a:xfrm>
                          <a:prstGeom prst="rect">
                            <a:avLst/>
                          </a:prstGeom>
                          <a:ln>
                            <a:noFill/>
                          </a:ln>
                        </wps:spPr>
                        <wps:txbx>
                          <w:txbxContent>
                            <w:p w14:paraId="5AFB56B6" w14:textId="77777777" w:rsidR="00B32EF2" w:rsidRDefault="00000000">
                              <w:r>
                                <w:rPr>
                                  <w:rFonts w:ascii="Arial" w:eastAsia="Arial" w:hAnsi="Arial" w:cs="Arial"/>
                                  <w:i/>
                                  <w:sz w:val="18"/>
                                </w:rPr>
                                <w:t xml:space="preserve">articolo 33 D.lgs. n. </w:t>
                              </w:r>
                            </w:p>
                          </w:txbxContent>
                        </wps:txbx>
                        <wps:bodyPr horzOverflow="overflow" vert="horz" lIns="0" tIns="0" rIns="0" bIns="0" rtlCol="0">
                          <a:noAutofit/>
                        </wps:bodyPr>
                      </wps:wsp>
                      <wps:wsp>
                        <wps:cNvPr id="21004" name="Rectangle 21004"/>
                        <wps:cNvSpPr/>
                        <wps:spPr>
                          <a:xfrm rot="-10799999">
                            <a:off x="-891339" y="4023360"/>
                            <a:ext cx="4627064" cy="142889"/>
                          </a:xfrm>
                          <a:prstGeom prst="rect">
                            <a:avLst/>
                          </a:prstGeom>
                          <a:ln>
                            <a:noFill/>
                          </a:ln>
                        </wps:spPr>
                        <wps:txbx>
                          <w:txbxContent>
                            <w:p w14:paraId="15784E93" w14:textId="77777777" w:rsidR="00B32EF2" w:rsidRDefault="00000000">
                              <w:r>
                                <w:rPr>
                                  <w:rFonts w:ascii="Arial" w:eastAsia="Arial" w:hAnsi="Arial" w:cs="Arial"/>
                                  <w:b/>
                                  <w:sz w:val="18"/>
                                </w:rPr>
                                <w:t xml:space="preserve">Trattamento economico del personale degli uffici di segreteria </w:t>
                              </w:r>
                            </w:p>
                          </w:txbxContent>
                        </wps:txbx>
                        <wps:bodyPr horzOverflow="overflow" vert="horz" lIns="0" tIns="0" rIns="0" bIns="0" rtlCol="0">
                          <a:noAutofit/>
                        </wps:bodyPr>
                      </wps:wsp>
                      <wps:wsp>
                        <wps:cNvPr id="201618" name="Rectangle 201618"/>
                        <wps:cNvSpPr/>
                        <wps:spPr>
                          <a:xfrm rot="-10799999">
                            <a:off x="2611265" y="3900030"/>
                            <a:ext cx="5309052" cy="142889"/>
                          </a:xfrm>
                          <a:prstGeom prst="rect">
                            <a:avLst/>
                          </a:prstGeom>
                          <a:ln>
                            <a:noFill/>
                          </a:ln>
                        </wps:spPr>
                        <wps:txbx>
                          <w:txbxContent>
                            <w:p w14:paraId="7FD4BDFD"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619" name="Rectangle 201619"/>
                        <wps:cNvSpPr/>
                        <wps:spPr>
                          <a:xfrm rot="-10799999">
                            <a:off x="-1376135" y="3900030"/>
                            <a:ext cx="5309051" cy="142889"/>
                          </a:xfrm>
                          <a:prstGeom prst="rect">
                            <a:avLst/>
                          </a:prstGeom>
                          <a:ln>
                            <a:noFill/>
                          </a:ln>
                        </wps:spPr>
                        <wps:txbx>
                          <w:txbxContent>
                            <w:p w14:paraId="7D19C30D" w14:textId="77777777" w:rsidR="00B32EF2" w:rsidRDefault="00000000">
                              <w:r>
                                <w:rPr>
                                  <w:rFonts w:ascii="Arial" w:eastAsia="Arial" w:hAnsi="Arial" w:cs="Arial"/>
                                  <w:sz w:val="18"/>
                                </w:rPr>
                                <w:t xml:space="preserve">. Al personale addetto agli uffici di segreteria delle corti di giustizia tributaria </w:t>
                              </w:r>
                            </w:p>
                          </w:txbxContent>
                        </wps:txbx>
                        <wps:bodyPr horzOverflow="overflow" vert="horz" lIns="0" tIns="0" rIns="0" bIns="0" rtlCol="0">
                          <a:noAutofit/>
                        </wps:bodyPr>
                      </wps:wsp>
                      <wps:wsp>
                        <wps:cNvPr id="21006" name="Rectangle 21006"/>
                        <wps:cNvSpPr/>
                        <wps:spPr>
                          <a:xfrm rot="-10799999">
                            <a:off x="-1220252" y="3776701"/>
                            <a:ext cx="5212352" cy="142889"/>
                          </a:xfrm>
                          <a:prstGeom prst="rect">
                            <a:avLst/>
                          </a:prstGeom>
                          <a:ln>
                            <a:noFill/>
                          </a:ln>
                        </wps:spPr>
                        <wps:txbx>
                          <w:txbxContent>
                            <w:p w14:paraId="64C3A35C" w14:textId="77777777" w:rsidR="00B32EF2" w:rsidRDefault="00000000">
                              <w:r>
                                <w:rPr>
                                  <w:rFonts w:ascii="Arial" w:eastAsia="Arial" w:hAnsi="Arial" w:cs="Arial"/>
                                  <w:sz w:val="18"/>
                                </w:rPr>
                                <w:t>di primo e secondo grado spetta il trattamento economico previsto per le ri</w:t>
                              </w:r>
                            </w:p>
                          </w:txbxContent>
                        </wps:txbx>
                        <wps:bodyPr horzOverflow="overflow" vert="horz" lIns="0" tIns="0" rIns="0" bIns="0" rtlCol="0">
                          <a:noAutofit/>
                        </wps:bodyPr>
                      </wps:wsp>
                      <wps:wsp>
                        <wps:cNvPr id="21007" name="Rectangle 21007"/>
                        <wps:cNvSpPr/>
                        <wps:spPr>
                          <a:xfrm rot="-10799999">
                            <a:off x="19501" y="3776700"/>
                            <a:ext cx="50622" cy="142889"/>
                          </a:xfrm>
                          <a:prstGeom prst="rect">
                            <a:avLst/>
                          </a:prstGeom>
                          <a:ln>
                            <a:noFill/>
                          </a:ln>
                        </wps:spPr>
                        <wps:txbx>
                          <w:txbxContent>
                            <w:p w14:paraId="150A09E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008" name="Rectangle 21008"/>
                        <wps:cNvSpPr/>
                        <wps:spPr>
                          <a:xfrm rot="-10799999">
                            <a:off x="-1316799" y="3653371"/>
                            <a:ext cx="5308899" cy="142889"/>
                          </a:xfrm>
                          <a:prstGeom prst="rect">
                            <a:avLst/>
                          </a:prstGeom>
                          <a:ln>
                            <a:noFill/>
                          </a:ln>
                        </wps:spPr>
                        <wps:txbx>
                          <w:txbxContent>
                            <w:p w14:paraId="53F03F7B" w14:textId="77777777" w:rsidR="00B32EF2" w:rsidRDefault="00000000">
                              <w:r>
                                <w:rPr>
                                  <w:rFonts w:ascii="Arial" w:eastAsia="Arial" w:hAnsi="Arial" w:cs="Arial"/>
                                  <w:sz w:val="18"/>
                                </w:rPr>
                                <w:t xml:space="preserve">spettive aree di appartenenza dalle disposizioni concernenti il personale del </w:t>
                              </w:r>
                            </w:p>
                          </w:txbxContent>
                        </wps:txbx>
                        <wps:bodyPr horzOverflow="overflow" vert="horz" lIns="0" tIns="0" rIns="0" bIns="0" rtlCol="0">
                          <a:noAutofit/>
                        </wps:bodyPr>
                      </wps:wsp>
                      <wps:wsp>
                        <wps:cNvPr id="21009" name="Rectangle 21009"/>
                        <wps:cNvSpPr/>
                        <wps:spPr>
                          <a:xfrm rot="-10799999">
                            <a:off x="1316595" y="3530041"/>
                            <a:ext cx="2675504" cy="142889"/>
                          </a:xfrm>
                          <a:prstGeom prst="rect">
                            <a:avLst/>
                          </a:prstGeom>
                          <a:ln>
                            <a:noFill/>
                          </a:ln>
                        </wps:spPr>
                        <wps:txbx>
                          <w:txbxContent>
                            <w:p w14:paraId="617223ED" w14:textId="77777777" w:rsidR="00B32EF2" w:rsidRDefault="00000000">
                              <w:r>
                                <w:rPr>
                                  <w:rFonts w:ascii="Arial" w:eastAsia="Arial" w:hAnsi="Arial" w:cs="Arial"/>
                                  <w:sz w:val="18"/>
                                </w:rPr>
                                <w:t>Ministero dell’economia e delle finanze.</w:t>
                              </w:r>
                            </w:p>
                          </w:txbxContent>
                        </wps:txbx>
                        <wps:bodyPr horzOverflow="overflow" vert="horz" lIns="0" tIns="0" rIns="0" bIns="0" rtlCol="0">
                          <a:noAutofit/>
                        </wps:bodyPr>
                      </wps:wsp>
                      <wps:wsp>
                        <wps:cNvPr id="201617" name="Rectangle 201617"/>
                        <wps:cNvSpPr/>
                        <wps:spPr>
                          <a:xfrm rot="-10799999">
                            <a:off x="-1381477" y="3406712"/>
                            <a:ext cx="5309021" cy="142889"/>
                          </a:xfrm>
                          <a:prstGeom prst="rect">
                            <a:avLst/>
                          </a:prstGeom>
                          <a:ln>
                            <a:noFill/>
                          </a:ln>
                        </wps:spPr>
                        <wps:txbx>
                          <w:txbxContent>
                            <w:p w14:paraId="11A83773" w14:textId="77777777" w:rsidR="00B32EF2" w:rsidRDefault="00000000">
                              <w:r>
                                <w:rPr>
                                  <w:rFonts w:ascii="Arial" w:eastAsia="Arial" w:hAnsi="Arial" w:cs="Arial"/>
                                  <w:sz w:val="18"/>
                                </w:rPr>
                                <w:t xml:space="preserve">. Al personale di cui al comma 1 è attribuita, se più favorevole, l’indennità </w:t>
                              </w:r>
                            </w:p>
                          </w:txbxContent>
                        </wps:txbx>
                        <wps:bodyPr horzOverflow="overflow" vert="horz" lIns="0" tIns="0" rIns="0" bIns="0" rtlCol="0">
                          <a:noAutofit/>
                        </wps:bodyPr>
                      </wps:wsp>
                      <wps:wsp>
                        <wps:cNvPr id="201616" name="Rectangle 201616"/>
                        <wps:cNvSpPr/>
                        <wps:spPr>
                          <a:xfrm rot="-10799999">
                            <a:off x="2611273" y="3406712"/>
                            <a:ext cx="5309021" cy="142889"/>
                          </a:xfrm>
                          <a:prstGeom prst="rect">
                            <a:avLst/>
                          </a:prstGeom>
                          <a:ln>
                            <a:noFill/>
                          </a:ln>
                        </wps:spPr>
                        <wps:txbx>
                          <w:txbxContent>
                            <w:p w14:paraId="00B667E8"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1011" name="Rectangle 21011"/>
                        <wps:cNvSpPr/>
                        <wps:spPr>
                          <a:xfrm rot="-10799999">
                            <a:off x="-1316890" y="3283382"/>
                            <a:ext cx="5308990" cy="142889"/>
                          </a:xfrm>
                          <a:prstGeom prst="rect">
                            <a:avLst/>
                          </a:prstGeom>
                          <a:ln>
                            <a:noFill/>
                          </a:ln>
                        </wps:spPr>
                        <wps:txbx>
                          <w:txbxContent>
                            <w:p w14:paraId="17209780" w14:textId="77777777" w:rsidR="00B32EF2" w:rsidRDefault="00000000">
                              <w:r>
                                <w:rPr>
                                  <w:rFonts w:ascii="Arial" w:eastAsia="Arial" w:hAnsi="Arial" w:cs="Arial"/>
                                  <w:sz w:val="18"/>
                                </w:rPr>
                                <w:t xml:space="preserve">prevista dalla legge 22 giugno 1988, n. 221, e con le modalità da essa stabilite </w:t>
                              </w:r>
                            </w:p>
                          </w:txbxContent>
                        </wps:txbx>
                        <wps:bodyPr horzOverflow="overflow" vert="horz" lIns="0" tIns="0" rIns="0" bIns="0" rtlCol="0">
                          <a:noAutofit/>
                        </wps:bodyPr>
                      </wps:wsp>
                      <wps:wsp>
                        <wps:cNvPr id="21012" name="Rectangle 21012"/>
                        <wps:cNvSpPr/>
                        <wps:spPr>
                          <a:xfrm rot="-10799999">
                            <a:off x="-1316936" y="3160052"/>
                            <a:ext cx="5309036" cy="142889"/>
                          </a:xfrm>
                          <a:prstGeom prst="rect">
                            <a:avLst/>
                          </a:prstGeom>
                          <a:ln>
                            <a:noFill/>
                          </a:ln>
                        </wps:spPr>
                        <wps:txbx>
                          <w:txbxContent>
                            <w:p w14:paraId="14387DBC" w14:textId="77777777" w:rsidR="00B32EF2" w:rsidRDefault="00000000">
                              <w:r>
                                <w:rPr>
                                  <w:rFonts w:ascii="Arial" w:eastAsia="Arial" w:hAnsi="Arial" w:cs="Arial"/>
                                  <w:sz w:val="18"/>
                                </w:rPr>
                                <w:t xml:space="preserve">in luogo dei compensi previsti dall’articolo 4, commi 4, 5 e 6 del decreto-legge </w:t>
                              </w:r>
                            </w:p>
                          </w:txbxContent>
                        </wps:txbx>
                        <wps:bodyPr horzOverflow="overflow" vert="horz" lIns="0" tIns="0" rIns="0" bIns="0" rtlCol="0">
                          <a:noAutofit/>
                        </wps:bodyPr>
                      </wps:wsp>
                      <wps:wsp>
                        <wps:cNvPr id="201615" name="Rectangle 201615"/>
                        <wps:cNvSpPr/>
                        <wps:spPr>
                          <a:xfrm rot="-10799999">
                            <a:off x="-1440002" y="3036723"/>
                            <a:ext cx="5304977" cy="142889"/>
                          </a:xfrm>
                          <a:prstGeom prst="rect">
                            <a:avLst/>
                          </a:prstGeom>
                          <a:ln>
                            <a:noFill/>
                          </a:ln>
                        </wps:spPr>
                        <wps:txbx>
                          <w:txbxContent>
                            <w:p w14:paraId="6239602B" w14:textId="77777777" w:rsidR="00B32EF2" w:rsidRDefault="00000000">
                              <w:r>
                                <w:rPr>
                                  <w:rFonts w:ascii="Arial" w:eastAsia="Arial" w:hAnsi="Arial" w:cs="Arial"/>
                                  <w:sz w:val="18"/>
                                </w:rPr>
                                <w:t xml:space="preserve"> dicembre 1984, n. 853, convertito con modificazioni dalla legge 17 febbraio </w:t>
                              </w:r>
                            </w:p>
                          </w:txbxContent>
                        </wps:txbx>
                        <wps:bodyPr horzOverflow="overflow" vert="horz" lIns="0" tIns="0" rIns="0" bIns="0" rtlCol="0">
                          <a:noAutofit/>
                        </wps:bodyPr>
                      </wps:wsp>
                      <wps:wsp>
                        <wps:cNvPr id="201614" name="Rectangle 201614"/>
                        <wps:cNvSpPr/>
                        <wps:spPr>
                          <a:xfrm rot="-10799999">
                            <a:off x="2551926" y="3036723"/>
                            <a:ext cx="5304977" cy="142889"/>
                          </a:xfrm>
                          <a:prstGeom prst="rect">
                            <a:avLst/>
                          </a:prstGeom>
                          <a:ln>
                            <a:noFill/>
                          </a:ln>
                        </wps:spPr>
                        <wps:txbx>
                          <w:txbxContent>
                            <w:p w14:paraId="6BEC7FFB" w14:textId="77777777" w:rsidR="00B32EF2" w:rsidRDefault="00000000">
                              <w:r>
                                <w:rPr>
                                  <w:rFonts w:ascii="Arial" w:eastAsia="Arial" w:hAnsi="Arial" w:cs="Arial"/>
                                  <w:sz w:val="18"/>
                                </w:rPr>
                                <w:t>19</w:t>
                              </w:r>
                            </w:p>
                          </w:txbxContent>
                        </wps:txbx>
                        <wps:bodyPr horzOverflow="overflow" vert="horz" lIns="0" tIns="0" rIns="0" bIns="0" rtlCol="0">
                          <a:noAutofit/>
                        </wps:bodyPr>
                      </wps:wsp>
                      <wps:wsp>
                        <wps:cNvPr id="201613" name="Rectangle 201613"/>
                        <wps:cNvSpPr/>
                        <wps:spPr>
                          <a:xfrm rot="-10799999">
                            <a:off x="-1573055" y="2913393"/>
                            <a:ext cx="5308975" cy="142889"/>
                          </a:xfrm>
                          <a:prstGeom prst="rect">
                            <a:avLst/>
                          </a:prstGeom>
                          <a:ln>
                            <a:noFill/>
                          </a:ln>
                        </wps:spPr>
                        <wps:txbx>
                          <w:txbxContent>
                            <w:p w14:paraId="15F7B675" w14:textId="77777777" w:rsidR="00B32EF2" w:rsidRDefault="00000000">
                              <w:r>
                                <w:rPr>
                                  <w:rFonts w:ascii="Arial" w:eastAsia="Arial" w:hAnsi="Arial" w:cs="Arial"/>
                                  <w:sz w:val="18"/>
                                </w:rPr>
                                <w:t xml:space="preserve">, n. 17, del compenso previsto dall’articolo 10 del decreto del Presidente </w:t>
                              </w:r>
                            </w:p>
                          </w:txbxContent>
                        </wps:txbx>
                        <wps:bodyPr horzOverflow="overflow" vert="horz" lIns="0" tIns="0" rIns="0" bIns="0" rtlCol="0">
                          <a:noAutofit/>
                        </wps:bodyPr>
                      </wps:wsp>
                      <wps:wsp>
                        <wps:cNvPr id="201612" name="Rectangle 201612"/>
                        <wps:cNvSpPr/>
                        <wps:spPr>
                          <a:xfrm rot="-10799999">
                            <a:off x="2419168" y="2913393"/>
                            <a:ext cx="5308975" cy="142889"/>
                          </a:xfrm>
                          <a:prstGeom prst="rect">
                            <a:avLst/>
                          </a:prstGeom>
                          <a:ln>
                            <a:noFill/>
                          </a:ln>
                        </wps:spPr>
                        <wps:txbx>
                          <w:txbxContent>
                            <w:p w14:paraId="5F32E82E" w14:textId="77777777" w:rsidR="00B32EF2" w:rsidRDefault="00000000">
                              <w:r>
                                <w:rPr>
                                  <w:rFonts w:ascii="Arial" w:eastAsia="Arial" w:hAnsi="Arial" w:cs="Arial"/>
                                  <w:sz w:val="18"/>
                                </w:rPr>
                                <w:t>1985</w:t>
                              </w:r>
                            </w:p>
                          </w:txbxContent>
                        </wps:txbx>
                        <wps:bodyPr horzOverflow="overflow" vert="horz" lIns="0" tIns="0" rIns="0" bIns="0" rtlCol="0">
                          <a:noAutofit/>
                        </wps:bodyPr>
                      </wps:wsp>
                      <wps:wsp>
                        <wps:cNvPr id="21015" name="Rectangle 21015"/>
                        <wps:cNvSpPr/>
                        <wps:spPr>
                          <a:xfrm rot="-10799999">
                            <a:off x="-1316905" y="2790063"/>
                            <a:ext cx="5309005" cy="142889"/>
                          </a:xfrm>
                          <a:prstGeom prst="rect">
                            <a:avLst/>
                          </a:prstGeom>
                          <a:ln>
                            <a:noFill/>
                          </a:ln>
                        </wps:spPr>
                        <wps:txbx>
                          <w:txbxContent>
                            <w:p w14:paraId="4BC220E5" w14:textId="77777777" w:rsidR="00B32EF2" w:rsidRDefault="00000000">
                              <w:r>
                                <w:rPr>
                                  <w:rFonts w:ascii="Arial" w:eastAsia="Arial" w:hAnsi="Arial" w:cs="Arial"/>
                                  <w:sz w:val="18"/>
                                </w:rPr>
                                <w:t xml:space="preserve">della Repubblica 25 giugno 1983, n. 344, nonché di qualsiasi altro compenso </w:t>
                              </w:r>
                            </w:p>
                          </w:txbxContent>
                        </wps:txbx>
                        <wps:bodyPr horzOverflow="overflow" vert="horz" lIns="0" tIns="0" rIns="0" bIns="0" rtlCol="0">
                          <a:noAutofit/>
                        </wps:bodyPr>
                      </wps:wsp>
                      <wps:wsp>
                        <wps:cNvPr id="21016" name="Rectangle 21016"/>
                        <wps:cNvSpPr/>
                        <wps:spPr>
                          <a:xfrm rot="-10799999">
                            <a:off x="1371961" y="2666733"/>
                            <a:ext cx="2620139" cy="142889"/>
                          </a:xfrm>
                          <a:prstGeom prst="rect">
                            <a:avLst/>
                          </a:prstGeom>
                          <a:ln>
                            <a:noFill/>
                          </a:ln>
                        </wps:spPr>
                        <wps:txbx>
                          <w:txbxContent>
                            <w:p w14:paraId="288C845B" w14:textId="77777777" w:rsidR="00B32EF2" w:rsidRDefault="00000000">
                              <w:r>
                                <w:rPr>
                                  <w:rFonts w:ascii="Arial" w:eastAsia="Arial" w:hAnsi="Arial" w:cs="Arial"/>
                                  <w:sz w:val="18"/>
                                </w:rPr>
                                <w:t>o indennità incentivante la produttività.</w:t>
                              </w:r>
                            </w:p>
                          </w:txbxContent>
                        </wps:txbx>
                        <wps:bodyPr horzOverflow="overflow" vert="horz" lIns="0" tIns="0" rIns="0" bIns="0" rtlCol="0">
                          <a:noAutofit/>
                        </wps:bodyPr>
                      </wps:wsp>
                      <wps:wsp>
                        <wps:cNvPr id="201610" name="Rectangle 201610"/>
                        <wps:cNvSpPr/>
                        <wps:spPr>
                          <a:xfrm rot="-10799999">
                            <a:off x="2611284" y="2543403"/>
                            <a:ext cx="5308975" cy="142889"/>
                          </a:xfrm>
                          <a:prstGeom prst="rect">
                            <a:avLst/>
                          </a:prstGeom>
                          <a:ln>
                            <a:noFill/>
                          </a:ln>
                        </wps:spPr>
                        <wps:txbx>
                          <w:txbxContent>
                            <w:p w14:paraId="6FE1918A"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1611" name="Rectangle 201611"/>
                        <wps:cNvSpPr/>
                        <wps:spPr>
                          <a:xfrm rot="-10799999">
                            <a:off x="-1381397" y="2543403"/>
                            <a:ext cx="5308975" cy="142889"/>
                          </a:xfrm>
                          <a:prstGeom prst="rect">
                            <a:avLst/>
                          </a:prstGeom>
                          <a:ln>
                            <a:noFill/>
                          </a:ln>
                        </wps:spPr>
                        <wps:txbx>
                          <w:txbxContent>
                            <w:p w14:paraId="00A03A0D" w14:textId="77777777" w:rsidR="00B32EF2" w:rsidRDefault="00000000">
                              <w:r>
                                <w:rPr>
                                  <w:rFonts w:ascii="Arial" w:eastAsia="Arial" w:hAnsi="Arial" w:cs="Arial"/>
                                  <w:sz w:val="18"/>
                                </w:rPr>
                                <w:t xml:space="preserve">. L’attribuzione dell’indennità di cui al comma 2, nei casi stabiliti dall’articolo </w:t>
                              </w:r>
                            </w:p>
                          </w:txbxContent>
                        </wps:txbx>
                        <wps:bodyPr horzOverflow="overflow" vert="horz" lIns="0" tIns="0" rIns="0" bIns="0" rtlCol="0">
                          <a:noAutofit/>
                        </wps:bodyPr>
                      </wps:wsp>
                      <wps:wsp>
                        <wps:cNvPr id="201609" name="Rectangle 201609"/>
                        <wps:cNvSpPr/>
                        <wps:spPr>
                          <a:xfrm rot="-10799999">
                            <a:off x="-1281963" y="2420073"/>
                            <a:ext cx="5210512" cy="142889"/>
                          </a:xfrm>
                          <a:prstGeom prst="rect">
                            <a:avLst/>
                          </a:prstGeom>
                          <a:ln>
                            <a:noFill/>
                          </a:ln>
                        </wps:spPr>
                        <wps:txbx>
                          <w:txbxContent>
                            <w:p w14:paraId="2B14A96B" w14:textId="77777777" w:rsidR="00B32EF2" w:rsidRDefault="00000000">
                              <w:r>
                                <w:rPr>
                                  <w:rFonts w:ascii="Arial" w:eastAsia="Arial" w:hAnsi="Arial" w:cs="Arial"/>
                                  <w:sz w:val="18"/>
                                </w:rPr>
                                <w:t xml:space="preserve"> della legge 22 giugno 1988, n. 221, è fatta con decreto del Ministro dell’eco</w:t>
                              </w:r>
                            </w:p>
                          </w:txbxContent>
                        </wps:txbx>
                        <wps:bodyPr horzOverflow="overflow" vert="horz" lIns="0" tIns="0" rIns="0" bIns="0" rtlCol="0">
                          <a:noAutofit/>
                        </wps:bodyPr>
                      </wps:wsp>
                      <wps:wsp>
                        <wps:cNvPr id="201608" name="Rectangle 201608"/>
                        <wps:cNvSpPr/>
                        <wps:spPr>
                          <a:xfrm rot="-10799999">
                            <a:off x="2635714" y="2420074"/>
                            <a:ext cx="5210512" cy="142889"/>
                          </a:xfrm>
                          <a:prstGeom prst="rect">
                            <a:avLst/>
                          </a:prstGeom>
                          <a:ln>
                            <a:noFill/>
                          </a:ln>
                        </wps:spPr>
                        <wps:txbx>
                          <w:txbxContent>
                            <w:p w14:paraId="653D803F"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1019" name="Rectangle 21019"/>
                        <wps:cNvSpPr/>
                        <wps:spPr>
                          <a:xfrm rot="-10799999">
                            <a:off x="19501" y="2420074"/>
                            <a:ext cx="50622" cy="142889"/>
                          </a:xfrm>
                          <a:prstGeom prst="rect">
                            <a:avLst/>
                          </a:prstGeom>
                          <a:ln>
                            <a:noFill/>
                          </a:ln>
                        </wps:spPr>
                        <wps:txbx>
                          <w:txbxContent>
                            <w:p w14:paraId="277422D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020" name="Rectangle 21020"/>
                        <wps:cNvSpPr/>
                        <wps:spPr>
                          <a:xfrm rot="-10799999">
                            <a:off x="2501827" y="2296744"/>
                            <a:ext cx="1490273" cy="142889"/>
                          </a:xfrm>
                          <a:prstGeom prst="rect">
                            <a:avLst/>
                          </a:prstGeom>
                          <a:ln>
                            <a:noFill/>
                          </a:ln>
                        </wps:spPr>
                        <wps:txbx>
                          <w:txbxContent>
                            <w:p w14:paraId="1FDD4AFD" w14:textId="77777777" w:rsidR="00B32EF2" w:rsidRDefault="00000000">
                              <w:r>
                                <w:rPr>
                                  <w:rFonts w:ascii="Arial" w:eastAsia="Arial" w:hAnsi="Arial" w:cs="Arial"/>
                                  <w:sz w:val="18"/>
                                </w:rPr>
                                <w:t>nomia e delle finanze.</w:t>
                              </w:r>
                            </w:p>
                          </w:txbxContent>
                        </wps:txbx>
                        <wps:bodyPr horzOverflow="overflow" vert="horz" lIns="0" tIns="0" rIns="0" bIns="0" rtlCol="0">
                          <a:noAutofit/>
                        </wps:bodyPr>
                      </wps:wsp>
                      <wps:wsp>
                        <wps:cNvPr id="21021" name="Rectangle 21021"/>
                        <wps:cNvSpPr/>
                        <wps:spPr>
                          <a:xfrm rot="-10799999">
                            <a:off x="1507441" y="2050084"/>
                            <a:ext cx="809820" cy="142889"/>
                          </a:xfrm>
                          <a:prstGeom prst="rect">
                            <a:avLst/>
                          </a:prstGeom>
                          <a:ln>
                            <a:noFill/>
                          </a:ln>
                        </wps:spPr>
                        <wps:txbx>
                          <w:txbxContent>
                            <w:p w14:paraId="1A086C52" w14:textId="77777777" w:rsidR="00B32EF2" w:rsidRDefault="00000000">
                              <w:r>
                                <w:rPr>
                                  <w:rFonts w:ascii="Arial" w:eastAsia="Arial" w:hAnsi="Arial" w:cs="Arial"/>
                                  <w:b/>
                                  <w:sz w:val="18"/>
                                </w:rPr>
                                <w:t>Articolo 42</w:t>
                              </w:r>
                            </w:p>
                          </w:txbxContent>
                        </wps:txbx>
                        <wps:bodyPr horzOverflow="overflow" vert="horz" lIns="0" tIns="0" rIns="0" bIns="0" rtlCol="0">
                          <a:noAutofit/>
                        </wps:bodyPr>
                      </wps:wsp>
                      <wps:wsp>
                        <wps:cNvPr id="201606" name="Rectangle 201606"/>
                        <wps:cNvSpPr/>
                        <wps:spPr>
                          <a:xfrm rot="-10799999">
                            <a:off x="-265549" y="1926755"/>
                            <a:ext cx="1945235" cy="142889"/>
                          </a:xfrm>
                          <a:prstGeom prst="rect">
                            <a:avLst/>
                          </a:prstGeom>
                          <a:ln>
                            <a:noFill/>
                          </a:ln>
                        </wps:spPr>
                        <wps:txbx>
                          <w:txbxContent>
                            <w:p w14:paraId="6747FDE5"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1607" name="Rectangle 201607"/>
                        <wps:cNvSpPr/>
                        <wps:spPr>
                          <a:xfrm rot="-10799999">
                            <a:off x="1161873" y="1926755"/>
                            <a:ext cx="1945235" cy="142889"/>
                          </a:xfrm>
                          <a:prstGeom prst="rect">
                            <a:avLst/>
                          </a:prstGeom>
                          <a:ln>
                            <a:noFill/>
                          </a:ln>
                        </wps:spPr>
                        <wps:txbx>
                          <w:txbxContent>
                            <w:p w14:paraId="00A131E1" w14:textId="77777777" w:rsidR="00B32EF2" w:rsidRDefault="00000000">
                              <w:r>
                                <w:rPr>
                                  <w:rFonts w:ascii="Arial" w:eastAsia="Arial" w:hAnsi="Arial" w:cs="Arial"/>
                                  <w:i/>
                                  <w:sz w:val="18"/>
                                </w:rPr>
                                <w:t xml:space="preserve">articolo 34 D.lgs. n. </w:t>
                              </w:r>
                            </w:p>
                          </w:txbxContent>
                        </wps:txbx>
                        <wps:bodyPr horzOverflow="overflow" vert="horz" lIns="0" tIns="0" rIns="0" bIns="0" rtlCol="0">
                          <a:noAutofit/>
                        </wps:bodyPr>
                      </wps:wsp>
                      <wps:wsp>
                        <wps:cNvPr id="201605" name="Rectangle 201605"/>
                        <wps:cNvSpPr/>
                        <wps:spPr>
                          <a:xfrm rot="-10799999">
                            <a:off x="2222657" y="1926755"/>
                            <a:ext cx="1945235" cy="142889"/>
                          </a:xfrm>
                          <a:prstGeom prst="rect">
                            <a:avLst/>
                          </a:prstGeom>
                          <a:ln>
                            <a:noFill/>
                          </a:ln>
                        </wps:spPr>
                        <wps:txbx>
                          <w:txbxContent>
                            <w:p w14:paraId="6AF8658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1023" name="Rectangle 21023"/>
                        <wps:cNvSpPr/>
                        <wps:spPr>
                          <a:xfrm rot="-10799999">
                            <a:off x="-206316" y="1803425"/>
                            <a:ext cx="3529076" cy="142889"/>
                          </a:xfrm>
                          <a:prstGeom prst="rect">
                            <a:avLst/>
                          </a:prstGeom>
                          <a:ln>
                            <a:noFill/>
                          </a:ln>
                        </wps:spPr>
                        <wps:txbx>
                          <w:txbxContent>
                            <w:p w14:paraId="1A58BA20" w14:textId="77777777" w:rsidR="00B32EF2" w:rsidRDefault="00000000">
                              <w:r>
                                <w:rPr>
                                  <w:rFonts w:ascii="Arial" w:eastAsia="Arial" w:hAnsi="Arial" w:cs="Arial"/>
                                  <w:b/>
                                  <w:sz w:val="18"/>
                                </w:rPr>
                                <w:t xml:space="preserve">Amministrazione del personale delle segreterie </w:t>
                              </w:r>
                            </w:p>
                          </w:txbxContent>
                        </wps:txbx>
                        <wps:bodyPr horzOverflow="overflow" vert="horz" lIns="0" tIns="0" rIns="0" bIns="0" rtlCol="0">
                          <a:noAutofit/>
                        </wps:bodyPr>
                      </wps:wsp>
                      <wps:wsp>
                        <wps:cNvPr id="201604" name="Rectangle 201604"/>
                        <wps:cNvSpPr/>
                        <wps:spPr>
                          <a:xfrm rot="-10799999">
                            <a:off x="-1376074" y="1680095"/>
                            <a:ext cx="5308989" cy="142889"/>
                          </a:xfrm>
                          <a:prstGeom prst="rect">
                            <a:avLst/>
                          </a:prstGeom>
                          <a:ln>
                            <a:noFill/>
                          </a:ln>
                        </wps:spPr>
                        <wps:txbx>
                          <w:txbxContent>
                            <w:p w14:paraId="039D5D74" w14:textId="77777777" w:rsidR="00B32EF2" w:rsidRDefault="00000000">
                              <w:r>
                                <w:rPr>
                                  <w:rFonts w:ascii="Arial" w:eastAsia="Arial" w:hAnsi="Arial" w:cs="Arial"/>
                                  <w:sz w:val="18"/>
                                </w:rPr>
                                <w:t xml:space="preserve">. Il personale di cui all’articolo 40 dipende organicamente dal Dipartimento </w:t>
                              </w:r>
                            </w:p>
                          </w:txbxContent>
                        </wps:txbx>
                        <wps:bodyPr horzOverflow="overflow" vert="horz" lIns="0" tIns="0" rIns="0" bIns="0" rtlCol="0">
                          <a:noAutofit/>
                        </wps:bodyPr>
                      </wps:wsp>
                      <wps:wsp>
                        <wps:cNvPr id="201603" name="Rectangle 201603"/>
                        <wps:cNvSpPr/>
                        <wps:spPr>
                          <a:xfrm rot="-10799999">
                            <a:off x="2611280" y="1680096"/>
                            <a:ext cx="5308989" cy="142889"/>
                          </a:xfrm>
                          <a:prstGeom prst="rect">
                            <a:avLst/>
                          </a:prstGeom>
                          <a:ln>
                            <a:noFill/>
                          </a:ln>
                        </wps:spPr>
                        <wps:txbx>
                          <w:txbxContent>
                            <w:p w14:paraId="52A68DBC"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1025" name="Rectangle 21025"/>
                        <wps:cNvSpPr/>
                        <wps:spPr>
                          <a:xfrm rot="-10799999">
                            <a:off x="-543889" y="1556766"/>
                            <a:ext cx="4535990" cy="142889"/>
                          </a:xfrm>
                          <a:prstGeom prst="rect">
                            <a:avLst/>
                          </a:prstGeom>
                          <a:ln>
                            <a:noFill/>
                          </a:ln>
                        </wps:spPr>
                        <wps:txbx>
                          <w:txbxContent>
                            <w:p w14:paraId="1ECC071A" w14:textId="77777777" w:rsidR="00B32EF2" w:rsidRDefault="00000000">
                              <w:r>
                                <w:rPr>
                                  <w:rFonts w:ascii="Arial" w:eastAsia="Arial" w:hAnsi="Arial" w:cs="Arial"/>
                                  <w:sz w:val="18"/>
                                </w:rPr>
                                <w:t>della giustizia tributaria del Ministero dell’economia e delle finanze.</w:t>
                              </w:r>
                            </w:p>
                          </w:txbxContent>
                        </wps:txbx>
                        <wps:bodyPr horzOverflow="overflow" vert="horz" lIns="0" tIns="0" rIns="0" bIns="0" rtlCol="0">
                          <a:noAutofit/>
                        </wps:bodyPr>
                      </wps:wsp>
                      <wps:wsp>
                        <wps:cNvPr id="21026" name="Rectangle 21026"/>
                        <wps:cNvSpPr/>
                        <wps:spPr>
                          <a:xfrm rot="-10799999">
                            <a:off x="1506082" y="1310106"/>
                            <a:ext cx="811979" cy="142889"/>
                          </a:xfrm>
                          <a:prstGeom prst="rect">
                            <a:avLst/>
                          </a:prstGeom>
                          <a:ln>
                            <a:noFill/>
                          </a:ln>
                        </wps:spPr>
                        <wps:txbx>
                          <w:txbxContent>
                            <w:p w14:paraId="73A4928B" w14:textId="77777777" w:rsidR="00B32EF2" w:rsidRDefault="00000000">
                              <w:r>
                                <w:rPr>
                                  <w:rFonts w:ascii="Arial" w:eastAsia="Arial" w:hAnsi="Arial" w:cs="Arial"/>
                                  <w:b/>
                                  <w:sz w:val="18"/>
                                </w:rPr>
                                <w:t>Articolo 43</w:t>
                              </w:r>
                            </w:p>
                          </w:txbxContent>
                        </wps:txbx>
                        <wps:bodyPr horzOverflow="overflow" vert="horz" lIns="0" tIns="0" rIns="0" bIns="0" rtlCol="0">
                          <a:noAutofit/>
                        </wps:bodyPr>
                      </wps:wsp>
                      <wps:wsp>
                        <wps:cNvPr id="201602" name="Rectangle 201602"/>
                        <wps:cNvSpPr/>
                        <wps:spPr>
                          <a:xfrm rot="-10799999">
                            <a:off x="1162457" y="1186776"/>
                            <a:ext cx="1944309" cy="142889"/>
                          </a:xfrm>
                          <a:prstGeom prst="rect">
                            <a:avLst/>
                          </a:prstGeom>
                          <a:ln>
                            <a:noFill/>
                          </a:ln>
                        </wps:spPr>
                        <wps:txbx>
                          <w:txbxContent>
                            <w:p w14:paraId="3568F0AB" w14:textId="77777777" w:rsidR="00B32EF2" w:rsidRDefault="00000000">
                              <w:r>
                                <w:rPr>
                                  <w:rFonts w:ascii="Arial" w:eastAsia="Arial" w:hAnsi="Arial" w:cs="Arial"/>
                                  <w:i/>
                                  <w:sz w:val="18"/>
                                </w:rPr>
                                <w:t xml:space="preserve">articolo 35 D.lgs. n. </w:t>
                              </w:r>
                            </w:p>
                          </w:txbxContent>
                        </wps:txbx>
                        <wps:bodyPr horzOverflow="overflow" vert="horz" lIns="0" tIns="0" rIns="0" bIns="0" rtlCol="0">
                          <a:noAutofit/>
                        </wps:bodyPr>
                      </wps:wsp>
                      <wps:wsp>
                        <wps:cNvPr id="201601" name="Rectangle 201601"/>
                        <wps:cNvSpPr/>
                        <wps:spPr>
                          <a:xfrm rot="-10799999">
                            <a:off x="-264269" y="1186776"/>
                            <a:ext cx="1944308" cy="142889"/>
                          </a:xfrm>
                          <a:prstGeom prst="rect">
                            <a:avLst/>
                          </a:prstGeom>
                          <a:ln>
                            <a:noFill/>
                          </a:ln>
                        </wps:spPr>
                        <wps:txbx>
                          <w:txbxContent>
                            <w:p w14:paraId="27C727C1"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1600" name="Rectangle 201600"/>
                        <wps:cNvSpPr/>
                        <wps:spPr>
                          <a:xfrm rot="-10799999">
                            <a:off x="2222544" y="1186777"/>
                            <a:ext cx="1944309" cy="142889"/>
                          </a:xfrm>
                          <a:prstGeom prst="rect">
                            <a:avLst/>
                          </a:prstGeom>
                          <a:ln>
                            <a:noFill/>
                          </a:ln>
                        </wps:spPr>
                        <wps:txbx>
                          <w:txbxContent>
                            <w:p w14:paraId="078580A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1028" name="Rectangle 21028"/>
                        <wps:cNvSpPr/>
                        <wps:spPr>
                          <a:xfrm rot="-10799999">
                            <a:off x="35037" y="1063447"/>
                            <a:ext cx="3142446" cy="142889"/>
                          </a:xfrm>
                          <a:prstGeom prst="rect">
                            <a:avLst/>
                          </a:prstGeom>
                          <a:ln>
                            <a:noFill/>
                          </a:ln>
                        </wps:spPr>
                        <wps:txbx>
                          <w:txbxContent>
                            <w:p w14:paraId="24F1C9DC" w14:textId="77777777" w:rsidR="00B32EF2" w:rsidRDefault="00000000">
                              <w:r>
                                <w:rPr>
                                  <w:rFonts w:ascii="Arial" w:eastAsia="Arial" w:hAnsi="Arial" w:cs="Arial"/>
                                  <w:b/>
                                  <w:sz w:val="18"/>
                                </w:rPr>
                                <w:t xml:space="preserve">Attribuzioni del personale delle segreterie </w:t>
                              </w:r>
                            </w:p>
                          </w:txbxContent>
                        </wps:txbx>
                        <wps:bodyPr horzOverflow="overflow" vert="horz" lIns="0" tIns="0" rIns="0" bIns="0" rtlCol="0">
                          <a:noAutofit/>
                        </wps:bodyPr>
                      </wps:wsp>
                      <wps:wsp>
                        <wps:cNvPr id="201599" name="Rectangle 201599"/>
                        <wps:cNvSpPr/>
                        <wps:spPr>
                          <a:xfrm rot="-10799999">
                            <a:off x="-1279436" y="940117"/>
                            <a:ext cx="5212351" cy="142889"/>
                          </a:xfrm>
                          <a:prstGeom prst="rect">
                            <a:avLst/>
                          </a:prstGeom>
                          <a:ln>
                            <a:noFill/>
                          </a:ln>
                        </wps:spPr>
                        <wps:txbx>
                          <w:txbxContent>
                            <w:p w14:paraId="410B3448" w14:textId="77777777" w:rsidR="00B32EF2" w:rsidRDefault="00000000">
                              <w:r>
                                <w:rPr>
                                  <w:rFonts w:ascii="Arial" w:eastAsia="Arial" w:hAnsi="Arial" w:cs="Arial"/>
                                  <w:sz w:val="18"/>
                                </w:rPr>
                                <w:t>. Agli uffici di segreteria delle Corti di giustizia tributaria sono preposti diri</w:t>
                              </w:r>
                            </w:p>
                          </w:txbxContent>
                        </wps:txbx>
                        <wps:bodyPr horzOverflow="overflow" vert="horz" lIns="0" tIns="0" rIns="0" bIns="0" rtlCol="0">
                          <a:noAutofit/>
                        </wps:bodyPr>
                      </wps:wsp>
                      <wps:wsp>
                        <wps:cNvPr id="201598" name="Rectangle 201598"/>
                        <wps:cNvSpPr/>
                        <wps:spPr>
                          <a:xfrm rot="-10799999">
                            <a:off x="2635257" y="940117"/>
                            <a:ext cx="5212353" cy="142889"/>
                          </a:xfrm>
                          <a:prstGeom prst="rect">
                            <a:avLst/>
                          </a:prstGeom>
                          <a:ln>
                            <a:noFill/>
                          </a:ln>
                        </wps:spPr>
                        <wps:txbx>
                          <w:txbxContent>
                            <w:p w14:paraId="16D222D5"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1030" name="Rectangle 21030"/>
                        <wps:cNvSpPr/>
                        <wps:spPr>
                          <a:xfrm rot="-10799999">
                            <a:off x="19501" y="940117"/>
                            <a:ext cx="50622" cy="142889"/>
                          </a:xfrm>
                          <a:prstGeom prst="rect">
                            <a:avLst/>
                          </a:prstGeom>
                          <a:ln>
                            <a:noFill/>
                          </a:ln>
                        </wps:spPr>
                        <wps:txbx>
                          <w:txbxContent>
                            <w:p w14:paraId="053B834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031" name="Rectangle 21031"/>
                        <wps:cNvSpPr/>
                        <wps:spPr>
                          <a:xfrm rot="-10799999">
                            <a:off x="-1316921" y="816788"/>
                            <a:ext cx="5309021" cy="142889"/>
                          </a:xfrm>
                          <a:prstGeom prst="rect">
                            <a:avLst/>
                          </a:prstGeom>
                          <a:ln>
                            <a:noFill/>
                          </a:ln>
                        </wps:spPr>
                        <wps:txbx>
                          <w:txbxContent>
                            <w:p w14:paraId="0D68C34F" w14:textId="77777777" w:rsidR="00B32EF2" w:rsidRDefault="00000000">
                              <w:r>
                                <w:rPr>
                                  <w:rFonts w:ascii="Arial" w:eastAsia="Arial" w:hAnsi="Arial" w:cs="Arial"/>
                                  <w:sz w:val="18"/>
                                </w:rPr>
                                <w:t xml:space="preserve">genti di livello non generale ai quali è attribuita la direzione di uno o più uffici </w:t>
                              </w:r>
                            </w:p>
                          </w:txbxContent>
                        </wps:txbx>
                        <wps:bodyPr horzOverflow="overflow" vert="horz" lIns="0" tIns="0" rIns="0" bIns="0" rtlCol="0">
                          <a:noAutofit/>
                        </wps:bodyPr>
                      </wps:wsp>
                      <wps:wsp>
                        <wps:cNvPr id="21032" name="Rectangle 21032"/>
                        <wps:cNvSpPr/>
                        <wps:spPr>
                          <a:xfrm rot="-10799999">
                            <a:off x="-1274735" y="693458"/>
                            <a:ext cx="5266836" cy="142889"/>
                          </a:xfrm>
                          <a:prstGeom prst="rect">
                            <a:avLst/>
                          </a:prstGeom>
                          <a:ln>
                            <a:noFill/>
                          </a:ln>
                        </wps:spPr>
                        <wps:txbx>
                          <w:txbxContent>
                            <w:p w14:paraId="758EF78C" w14:textId="77777777" w:rsidR="00B32EF2" w:rsidRDefault="00000000">
                              <w:r>
                                <w:rPr>
                                  <w:rFonts w:ascii="Arial" w:eastAsia="Arial" w:hAnsi="Arial" w:cs="Arial"/>
                                  <w:sz w:val="18"/>
                                </w:rPr>
                                <w:t>di segreteria individuati con decreto del Ministro dell’economia e delle finanze.</w:t>
                              </w:r>
                            </w:p>
                          </w:txbxContent>
                        </wps:txbx>
                        <wps:bodyPr horzOverflow="overflow" vert="horz" lIns="0" tIns="0" rIns="0" bIns="0" rtlCol="0">
                          <a:noAutofit/>
                        </wps:bodyPr>
                      </wps:wsp>
                      <wps:wsp>
                        <wps:cNvPr id="201597" name="Rectangle 201597"/>
                        <wps:cNvSpPr/>
                        <wps:spPr>
                          <a:xfrm rot="-10799999">
                            <a:off x="-1382601" y="570128"/>
                            <a:ext cx="5312077" cy="142889"/>
                          </a:xfrm>
                          <a:prstGeom prst="rect">
                            <a:avLst/>
                          </a:prstGeom>
                          <a:ln>
                            <a:noFill/>
                          </a:ln>
                        </wps:spPr>
                        <wps:txbx>
                          <w:txbxContent>
                            <w:p w14:paraId="252A4B37" w14:textId="77777777" w:rsidR="00B32EF2" w:rsidRDefault="00000000">
                              <w:r>
                                <w:rPr>
                                  <w:rFonts w:ascii="Arial" w:eastAsia="Arial" w:hAnsi="Arial" w:cs="Arial"/>
                                  <w:sz w:val="18"/>
                                </w:rPr>
                                <w:t xml:space="preserve">. Il personale degli uffici di segreteria nell’espletamento dei propri compiti, si </w:t>
                              </w:r>
                            </w:p>
                          </w:txbxContent>
                        </wps:txbx>
                        <wps:bodyPr horzOverflow="overflow" vert="horz" lIns="0" tIns="0" rIns="0" bIns="0" rtlCol="0">
                          <a:noAutofit/>
                        </wps:bodyPr>
                      </wps:wsp>
                      <wps:wsp>
                        <wps:cNvPr id="201596" name="Rectangle 201596"/>
                        <wps:cNvSpPr/>
                        <wps:spPr>
                          <a:xfrm rot="-10799999">
                            <a:off x="2610514" y="570128"/>
                            <a:ext cx="5312076" cy="142889"/>
                          </a:xfrm>
                          <a:prstGeom prst="rect">
                            <a:avLst/>
                          </a:prstGeom>
                          <a:ln>
                            <a:noFill/>
                          </a:ln>
                        </wps:spPr>
                        <wps:txbx>
                          <w:txbxContent>
                            <w:p w14:paraId="6D63C406"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1034" name="Rectangle 21034"/>
                        <wps:cNvSpPr/>
                        <wps:spPr>
                          <a:xfrm rot="-10799999">
                            <a:off x="279263" y="430454"/>
                            <a:ext cx="3712836" cy="142889"/>
                          </a:xfrm>
                          <a:prstGeom prst="rect">
                            <a:avLst/>
                          </a:prstGeom>
                          <a:ln>
                            <a:noFill/>
                          </a:ln>
                        </wps:spPr>
                        <wps:txbx>
                          <w:txbxContent>
                            <w:p w14:paraId="424D01B4" w14:textId="77777777" w:rsidR="00B32EF2" w:rsidRDefault="00000000">
                              <w:r>
                                <w:rPr>
                                  <w:rFonts w:ascii="Arial" w:eastAsia="Arial" w:hAnsi="Arial" w:cs="Arial"/>
                                  <w:sz w:val="18"/>
                                </w:rPr>
                                <w:t>avvale del sistema informativo della giustizia tributaria.</w:t>
                              </w:r>
                            </w:p>
                          </w:txbxContent>
                        </wps:txbx>
                        <wps:bodyPr horzOverflow="overflow" vert="horz" lIns="0" tIns="0" rIns="0" bIns="0" rtlCol="0">
                          <a:noAutofit/>
                        </wps:bodyPr>
                      </wps:wsp>
                    </wpg:wgp>
                  </a:graphicData>
                </a:graphic>
              </wp:inline>
            </w:drawing>
          </mc:Choice>
          <mc:Fallback>
            <w:pict>
              <v:group w14:anchorId="205F4835" id="Group 201705" o:spid="_x0000_s5498" style="width:314.35pt;height:493.15pt;mso-position-horizontal-relative:char;mso-position-vertical-relative:line" coordsize="39920,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jxKgsAAKaMAAAOAAAAZHJzL2Uyb0RvYy54bWzknVuP27gVx98L9DsYfp9YvEoyMrMomm5Q&#10;oOguuu0HUDy+AbZlyE486afv/5ASNZbpXYACQqPMw8RDe2SJP54rD8mPP73td5Nvy+a0rQ/PU/Yh&#10;m06Wh0X9uj2sn6f/+ffPT8V0cjpXh9dqVx+Wz9Pvy9P0p5c//+nj5Thf8npT716XzQQXOZzml+Pz&#10;dHM+H+ez2WmxWe6r04f6uDzgzVXd7Kszfm3Ws9emuuDq+92MZ5meXerm9djUi+XphNZP9s3pi7n+&#10;arVcnH9ZrU7L82T3PMW9nc3Pxvz8Qj9nLx+r+bqpjpvtor2NKuAu9tX2gC91l/pUnavJ12Z7c6n9&#10;dtHUp3p1/rCo97N6tdouluYZ8DQsGzzN56b+ejTPsp5f1kfXTejaQT8FX3bxz2+fm+Nvx18b9MTl&#10;uEZfmN/oWd5WzZ7+x11O3kyXfXddtnw7TxZoFGXJs7KcThZ4T3PNCyVtpy426Pmbv1ts/vYHfznr&#10;vnh2dTuXIwbIqe+D07g++G1THZema09z9MGvzWT7+jzFoxRyOjlUewzVf2HwVIf1bjmxzaaDzKdd&#10;d53mJ/Rc11eTpsb4emJZXtI/Mx7avmNllqkSAxC99KQ5frWd1HUjywuh217kKtNS0/uuK6r5sTmd&#10;Py/r/YRePE8b3Ju5fvXtH6ez/Wj3Ebqd3YF+Huqft7udfZda0KPdHdOr89uXN/PYkuuCvo8av9Sv&#10;39Ebm7r57y+Q69WuvjxP6/bVlEQdX0/vTie7vx9AgaSqe9F0L750L5rz7q+1kT17Q3/5eq5XW3PH&#10;/be1dwa89h5+CGfl56y6jsCoCOAMdlxazpqxstTmetW8A10wJnPoRBIXJnlRlD8YtPm+vuv/70Ez&#10;LXIfadPejvkg1Bz/WIFRBJIKoLUYoGal5EpgLHSsrdD/OKHOjZJJizVE61Z7g7XTb0Gsn7hmJQzb&#10;A7Nmnd5KRIGDKeyll7VTcUGsGa4sIcsPzJonxrosvCqcmsdo8CfGmSg1t6iLXIhsoMIVnHKdQe47&#10;Ff6jzXUuuidMRKzLwqvBqXkMai4K2apvL2d4bRgG0SibkCkhQ11Cjjy6m5rHUNZSccasOOeyLHMT&#10;RfXON2da5iV0STTQLrpIRJxhS+EAe620c06DrDQcMsYpYibvG3mHNmLuWcPzLjNy/aOxNoMvIaEG&#10;a8iel7VzToNYPzGRa9jqP4INny0abOeJJCLYZellTc1jNDi5ZAXSIha1yoRgAx0ODZ8p+kA01M4T&#10;SQY1XKNbsUbidxRqBNRZK9JezpFdMueJJENZ+Cm7CCRUdzNdZtoKtEBm3AZtA0NNH4gl0IXzRJJB&#10;7Z/jKF0YEoiaI5+dw+Uin4wrrZWxiu9QI2WKeZCIqJ11SgY1etunu10gEoT6ne72co6ruwtnmJKh&#10;DPXpo+xCkCDK8Luhu0Wru5kQgg8F2gRZMQXaWadEUDPEuj7Wpn2M5y0kJsoopU7KO8OUfmn83F55&#10;M43hAFsZz04785QOa2/eG6xduBkk2Mh6C0459cdl7exTOqy9KVGwdpFIEGuOcgOWtQH1Y8q1s1Lp&#10;sPY64GDtVFwQaxjsgknE5STYsii0tnU9vRK3WdGYBttprnRgewNrwHa+SxDs9xnw32EdMQPez9kl&#10;wpqK/rx++DgVbv1w2Hwj1rmGIz7wzUisFRy2eL6Ze8I0ULMs881rmeYxXrhBXeRQ0KTBtcTXmJ69&#10;0uBFSR+IlS6zVWzpzGuBqW+qwzSPQV1qcGxNtWJa5wPQIuMCU5wRQSeWLANR30SHaR4DmimG8m4b&#10;WUueYzgNSBcZLySchGgSnVq+DL6XT3uj1gvtY1BTTXBX5i+Z1Jj5oOv12hs1wVIV0CfRWDunMw1D&#10;TUx96tu2j2GNmmCkzCC2ZKmJtS1eGrKGSonG2kWT6bD2aXBi7VRcUKyFmmDOyb/uWD+eXCeWMINV&#10;9uVQTPMoqS5KTHS0xhoemNADDS6RfMX6rIhSnV66jEHybqe3MCHhSnGCpNpmUGysJbBAL0Ot4pW1&#10;NtkyFVODp5ctg3PsZ+0yDEGsEVijhrBd1vE7sGO6Zm40p2Guoat9U5mmeZQKZ6gy4SS2sNYiz3WO&#10;AP5arjnjIqpcu8GcDGrfTCZQOwUXJNV9HYrlPNTfUetQBFKE7ThOhrLPUIOy02xBlE1SFJWDVqC1&#10;EiIfCrTIsJIaH4gUagmrYZJKivrsNFA7zRaEmiqOVNm6ZHC/MjkgzXWuVMQVecjKpiXUCJ6ZT3fb&#10;9nF2mmar23pRITOdM9O3fQbF+N+Uvokm1ully7Dewu9/u7AzSLBNrIXVrMYne0zWiWXLWEZLJW/C&#10;atM8UqwZcqFIsJP7zQtMVt+KNYx1vErCdpl3StYamtWL2hmzIKG2hQltgTAsN2r7b1FjFWa8SUyB&#10;EDMpH5zMMtynG7G27ePkWlI5QhtWA2puC5iuzLUsyZ5HM9cumkwj4CKoviy4bR8DmyvFSio+IB3+&#10;mKxdTJkO6zuFhMx5qYFaXOUwiTbo4mb6w1zwSrCj1hyhui09Le6z2CTY40w2l6yEe2YE+zFZs+Sy&#10;Zl6DDT/cTekGijWt3qLVltDhPMf8lr4Va9qWMp69RgCSlHMGpr7o2jSPsdaY22KlRjRHpFH0j52s&#10;qGN7BY59WTMs+olI2mmtdKz1nRKzXr8FibVJpNAmtcRaSeTNBqyRNItrrHt3JB3WvkwKGWun4IJY&#10;I74uILa28P9BYSeWNQNUOKPe+Lp3UgNh8wJa3KZIucRGCXbzv16Lm61vKJMTK77uPZJkJJtWTvqS&#10;KSOnNDl2C84pdictblgbOXok1oklzuCE+eTaNI/yzdw2R37OcUsUMLWXmAfurfxn2djCf+xlVbQr&#10;9FAprHPsNnrlgWNZbsZp/iua7k4sXwakPqfMNI+SZ5UBbhtrZdgpA774FekCZ0jQIIsGOr1cmbeO&#10;kDw1Z8PCPDKulZKwCjDSlA1H5ck1aqzmUSgkjMe611rpOGR3ilHGVhIiWMPO0I/M2sWS6bCGaHmd&#10;73GZUVqlR3vTPbBcJ5Yug1X2zW2Z5jHG+okj6U05V9LgRSZwIMu1BkcVeJlhm/Bo1rrfBCQdqb4z&#10;ZY2qzlGsaYUHfDMLWxcoRR3ANplRWogdyzXrt/dJB7ZPrsk1M1lrKsEKcs1sFtzWmGE6E6yNq/cu&#10;f0JZ8KisnY1KgzV0tc9am+ZRYo05DjolzahwpXSuB6SlEjh+K2LAhTKZ9gGTIe2fxew7IkimGc7O&#10;y1ArakgLJN5s+NbLNM7OK7FLSjz1nViyjNT0nSqUfhVEGGqsp5edB84KjUV6134Z7ZNBVT/xWCeW&#10;LiPWvnyZbR+lwLFPRndSC7vPGvMs0dyyBDNmd4oT+iWLQXJt9r9pD9qyrI3K7FV4dLm2S/xTKv2n&#10;s1Jukihwy5yCCyItcGZHm0FBiC3lgLPA2bYShxhHk2kcRZSUU4ZqQf/mk6Z9lP5mKB6U7SKPUmLV&#10;0IA1yhKQBIfxiKW/RWLZMmLtE2rbPoY1lSXw1i+7jzriLKYtbExJfXvPz2PtVjXB+ZN+4wQv5rhF&#10;CcIlAlMJqL0H5wGyM2JBNtouz2vPzSuYzu2GzL03Fn19tT0yPSlx9gXUIO1MWCBpnsu83d0IR7Zg&#10;j8nreFqhLLyIuQ4T352cP+afqVao5x1jo6komJtgHZNaCnsbWU/+vVQznsVchonAIDnWvowo+WNu&#10;2AfJNaY5MtWWid5HHTPMclFkMqbaN3sJBe58ljDQOeqLbPUJ8p5SDWrKsL4HGynE5PwwKbLZ5bie&#10;X9bHl4+zar5uquNmu/hUnav3v+P15Thf8npT716Xzcv/AAAA//8DAFBLAwQUAAYACAAAACEABfCz&#10;bd0AAAAFAQAADwAAAGRycy9kb3ducmV2LnhtbEyPQUvDQBCF74L/YRnBm92kxZim2ZRS1FMRbAXx&#10;Ns1Ok9DsbMhuk/Tfu3rRy8DjPd77Jl9PphUD9a6xrCCeRSCIS6sbrhR8HF4eUhDOI2tsLZOCKzlY&#10;F7c3OWbajvxOw95XIpSwy1BB7X2XSenKmgy6me2Ig3eyvUEfZF9J3eMYyk0r51GUSIMNh4UaO9rW&#10;VJ73F6PgdcRxs4ifh935tL1+HR7fPncxKXV/N21WIDxN/i8MP/gBHYrAdLQX1k60CsIj/vcGL5mn&#10;TyCOCpZpsgBZ5PI/ffENAAD//wMAUEsBAi0AFAAGAAgAAAAhALaDOJL+AAAA4QEAABMAAAAAAAAA&#10;AAAAAAAAAAAAAFtDb250ZW50X1R5cGVzXS54bWxQSwECLQAUAAYACAAAACEAOP0h/9YAAACUAQAA&#10;CwAAAAAAAAAAAAAAAAAvAQAAX3JlbHMvLnJlbHNQSwECLQAUAAYACAAAACEAgS1Y8SoLAACmjAAA&#10;DgAAAAAAAAAAAAAAAAAuAgAAZHJzL2Uyb0RvYy54bWxQSwECLQAUAAYACAAAACEABfCzbd0AAAAF&#10;AQAADwAAAAAAAAAAAAAAAACEDQAAZHJzL2Rvd25yZXYueG1sUEsFBgAAAAAEAAQA8wAAAI4OAAAA&#10;AA==&#10;">
                <v:rect id="Rectangle 20984" o:spid="_x0000_s5499" style="position:absolute;left:19005;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ECxwAAAN4AAAAPAAAAZHJzL2Rvd25yZXYueG1sRI9Pa8JA&#10;FMTvBb/D8gRvdaOUEqOriCLNoZf6Bzw+ss8kmn27ZFcT++m7hUKPw8z8hlmsetOIB7W+tqxgMk5A&#10;EBdW11wqOB52rykIH5A1NpZJwZM8rJaDlwVm2nb8RY99KEWEsM9QQRWCy6T0RUUG/dg64uhdbGsw&#10;RNmWUrfYRbhp5DRJ3qXBmuNChY42FRW3/d0oOG/Z5btOFpfvjfu85mnzcT+elBoN+/UcRKA+/If/&#10;2rlWME1m6Rv83olXQC5/AAAA//8DAFBLAQItABQABgAIAAAAIQDb4fbL7gAAAIUBAAATAAAAAAAA&#10;AAAAAAAAAAAAAABbQ29udGVudF9UeXBlc10ueG1sUEsBAi0AFAAGAAgAAAAhAFr0LFu/AAAAFQEA&#10;AAsAAAAAAAAAAAAAAAAAHwEAAF9yZWxzLy5yZWxzUEsBAi0AFAAGAAgAAAAhAAWsYQLHAAAA3gAA&#10;AA8AAAAAAAAAAAAAAAAABwIAAGRycy9kb3ducmV2LnhtbFBLBQYAAAAAAwADALcAAAD7AgAAAAA=&#10;" filled="f" stroked="f">
                  <v:textbox inset="0,0,0,0">
                    <w:txbxContent>
                      <w:p w14:paraId="1172BFF1" w14:textId="77777777" w:rsidR="00B32EF2" w:rsidRDefault="00000000">
                        <w:r>
                          <w:rPr>
                            <w:rFonts w:ascii="Times New Roman" w:eastAsia="Times New Roman" w:hAnsi="Times New Roman" w:cs="Times New Roman"/>
                          </w:rPr>
                          <w:t>38</w:t>
                        </w:r>
                      </w:p>
                    </w:txbxContent>
                  </v:textbox>
                </v:rect>
                <v:rect id="Rectangle 20985" o:spid="_x0000_s5500" style="position:absolute;left:15062;top:61199;width:81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MSZxwAAAN4AAAAPAAAAZHJzL2Rvd25yZXYueG1sRI9Pa8JA&#10;FMTvBb/D8gRvdaPQEqOriCLNoZf6Bzw+ss8kmn27ZFcT++m7hUKPw8z8hlmsetOIB7W+tqxgMk5A&#10;EBdW11wqOB52rykIH5A1NpZJwZM8rJaDlwVm2nb8RY99KEWEsM9QQRWCy6T0RUUG/dg64uhdbGsw&#10;RNmWUrfYRbhp5DRJ3qXBmuNChY42FRW3/d0oOG/Z5btOFpfvjfu85mnzcT+elBoN+/UcRKA+/If/&#10;2rlWME1m6Rv83olXQC5/AAAA//8DAFBLAQItABQABgAIAAAAIQDb4fbL7gAAAIUBAAATAAAAAAAA&#10;AAAAAAAAAAAAAABbQ29udGVudF9UeXBlc10ueG1sUEsBAi0AFAAGAAgAAAAhAFr0LFu/AAAAFQEA&#10;AAsAAAAAAAAAAAAAAAAAHwEAAF9yZWxzLy5yZWxzUEsBAi0AFAAGAAgAAAAhAGrgxJnHAAAA3gAA&#10;AA8AAAAAAAAAAAAAAAAABwIAAGRycy9kb3ducmV2LnhtbFBLBQYAAAAAAwADALcAAAD7AgAAAAA=&#10;" filled="f" stroked="f">
                  <v:textbox inset="0,0,0,0">
                    <w:txbxContent>
                      <w:p w14:paraId="2968B9FF" w14:textId="77777777" w:rsidR="00B32EF2" w:rsidRDefault="00000000">
                        <w:r>
                          <w:rPr>
                            <w:rFonts w:ascii="Arial" w:eastAsia="Arial" w:hAnsi="Arial" w:cs="Arial"/>
                            <w:b/>
                            <w:sz w:val="18"/>
                          </w:rPr>
                          <w:t>Articolo 40</w:t>
                        </w:r>
                      </w:p>
                    </w:txbxContent>
                  </v:textbox>
                </v:rect>
                <v:rect id="Rectangle 201637" o:spid="_x0000_s5501" style="position:absolute;left:22221;top:59966;width:194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6r/xwAAAN8AAAAPAAAAZHJzL2Rvd25yZXYueG1sRI9Ba8JA&#10;FITvgv9heUJvutGClegqoog5eKla6PGRfSbR7Nslu5q0v94tFDwOM/MNs1h1phYPanxlWcF4lIAg&#10;zq2uuFBwPu2GMxA+IGusLZOCH/KwWvZ7C0y1bfmTHsdQiAhhn6KCMgSXSunzkgz6kXXE0bvYxmCI&#10;simkbrCNcFPLSZJMpcGK40KJjjYl5bfj3Sj43rLLdq3ML78bd7hms3p/P38p9Tbo1nMQgbrwCv+3&#10;M61gkoyn7x/w9yd+Abl8AgAA//8DAFBLAQItABQABgAIAAAAIQDb4fbL7gAAAIUBAAATAAAAAAAA&#10;AAAAAAAAAAAAAABbQ29udGVudF9UeXBlc10ueG1sUEsBAi0AFAAGAAgAAAAhAFr0LFu/AAAAFQEA&#10;AAsAAAAAAAAAAAAAAAAAHwEAAF9yZWxzLy5yZWxzUEsBAi0AFAAGAAgAAAAhAEB7qv/HAAAA3wAA&#10;AA8AAAAAAAAAAAAAAAAABwIAAGRycy9kb3ducmV2LnhtbFBLBQYAAAAAAwADALcAAAD7AgAAAAA=&#10;" filled="f" stroked="f">
                  <v:textbox inset="0,0,0,0">
                    <w:txbxContent>
                      <w:p w14:paraId="697306AA" w14:textId="77777777" w:rsidR="00B32EF2" w:rsidRDefault="00000000">
                        <w:r>
                          <w:rPr>
                            <w:rFonts w:ascii="Arial" w:eastAsia="Arial" w:hAnsi="Arial" w:cs="Arial"/>
                            <w:i/>
                            <w:sz w:val="18"/>
                          </w:rPr>
                          <w:t>(</w:t>
                        </w:r>
                      </w:p>
                    </w:txbxContent>
                  </v:textbox>
                </v:rect>
                <v:rect id="Rectangle 201638" o:spid="_x0000_s5502" style="position:absolute;left:-2619;top:59966;width:194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D6NxQAAAN8AAAAPAAAAZHJzL2Rvd25yZXYueG1sRE/Pa8Iw&#10;FL4P/B/CE7zNVIVSOqMMRezByzoHOz6aZ9uteQlNbOv++uUw2PHj+73dT6YTA/W+taxgtUxAEFdW&#10;t1wruL6fnjMQPiBr7CyTggd52O9mT1vMtR35jYYy1CKGsM9RQROCy6X0VUMG/dI64sjdbG8wRNjX&#10;Uvc4xnDTyXWSpNJgy7GhQUeHhqrv8m4UfB7ZFadRVrefg7t8FVl3vl8/lFrMp9cXEIGm8C/+cxda&#10;wTpZpZs4OP6JX0DufgEAAP//AwBQSwECLQAUAAYACAAAACEA2+H2y+4AAACFAQAAEwAAAAAAAAAA&#10;AAAAAAAAAAAAW0NvbnRlbnRfVHlwZXNdLnhtbFBLAQItABQABgAIAAAAIQBa9CxbvwAAABUBAAAL&#10;AAAAAAAAAAAAAAAAAB8BAABfcmVscy8ucmVsc1BLAQItABQABgAIAAAAIQAx5D6NxQAAAN8AAAAP&#10;AAAAAAAAAAAAAAAAAAcCAABkcnMvZG93bnJldi54bWxQSwUGAAAAAAMAAwC3AAAA+QIAAAAA&#10;" filled="f" stroked="f">
                  <v:textbox inset="0,0,0,0">
                    <w:txbxContent>
                      <w:p w14:paraId="5EBCDB97" w14:textId="77777777" w:rsidR="00B32EF2" w:rsidRDefault="00000000">
                        <w:r>
                          <w:rPr>
                            <w:rFonts w:ascii="Arial" w:eastAsia="Arial" w:hAnsi="Arial" w:cs="Arial"/>
                            <w:i/>
                            <w:sz w:val="18"/>
                          </w:rPr>
                          <w:t>545/92)</w:t>
                        </w:r>
                      </w:p>
                    </w:txbxContent>
                  </v:textbox>
                </v:rect>
                <v:rect id="Rectangle 201639" o:spid="_x0000_s5503" style="position:absolute;left:11634;top:59966;width:194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JsWxwAAAN8AAAAPAAAAZHJzL2Rvd25yZXYueG1sRI9Ba8JA&#10;FITvgv9heYI33aggNrpKsUhz8FKbQo+P7DOJzb5dsqtJ++vdguBxmJlvmM2uN424Uetrywpm0wQE&#10;cWF1zaWC/PMwWYHwAVljY5kU/JKH3XY42GCqbccfdDuFUkQI+xQVVCG4VEpfVGTQT60jjt7ZtgZD&#10;lG0pdYtdhJtGzpNkKQ3WHBcqdLSvqPg5XY2C7zd22aGTxflv746XbNW8X/Mvpcaj/nUNIlAfnuFH&#10;O9MK5slsuXiB/z/xC8jtHQAA//8DAFBLAQItABQABgAIAAAAIQDb4fbL7gAAAIUBAAATAAAAAAAA&#10;AAAAAAAAAAAAAABbQ29udGVudF9UeXBlc10ueG1sUEsBAi0AFAAGAAgAAAAhAFr0LFu/AAAAFQEA&#10;AAsAAAAAAAAAAAAAAAAAHwEAAF9yZWxzLy5yZWxzUEsBAi0AFAAGAAgAAAAhAF6omxbHAAAA3wAA&#10;AA8AAAAAAAAAAAAAAAAABwIAAGRycy9kb3ducmV2LnhtbFBLBQYAAAAAAwADALcAAAD7AgAAAAA=&#10;" filled="f" stroked="f">
                  <v:textbox inset="0,0,0,0">
                    <w:txbxContent>
                      <w:p w14:paraId="71BBB0B6" w14:textId="77777777" w:rsidR="00B32EF2" w:rsidRDefault="00000000">
                        <w:r>
                          <w:rPr>
                            <w:rFonts w:ascii="Arial" w:eastAsia="Arial" w:hAnsi="Arial" w:cs="Arial"/>
                            <w:i/>
                            <w:sz w:val="18"/>
                          </w:rPr>
                          <w:t xml:space="preserve">articolo 32 D.lgs. n. </w:t>
                        </w:r>
                      </w:p>
                    </w:txbxContent>
                  </v:textbox>
                </v:rect>
                <v:rect id="Rectangle 20987" o:spid="_x0000_s5504" style="position:absolute;left:-12139;top:58733;width:5201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v91xwAAAN4AAAAPAAAAZHJzL2Rvd25yZXYueG1sRI9Pa8JA&#10;FMTvBb/D8gRvdaOHNkZXEUWaQy/1D3h8ZJ9JNPt2ya4m9tN3C4Ueh5n5DbNY9aYRD2p9bVnBZJyA&#10;IC6srrlUcDzsXlMQPiBrbCyTgid5WC0HLwvMtO34ix77UIoIYZ+hgioEl0npi4oM+rF1xNG72NZg&#10;iLItpW6xi3DTyGmSvEmDNceFCh1tKipu+7tRcN6yy3edLC7fG/d5zdPm4348KTUa9us5iEB9+A//&#10;tXOtYJrM0nf4vROvgFz+AAAA//8DAFBLAQItABQABgAIAAAAIQDb4fbL7gAAAIUBAAATAAAAAAAA&#10;AAAAAAAAAAAAAABbQ29udGVudF9UeXBlc10ueG1sUEsBAi0AFAAGAAgAAAAhAFr0LFu/AAAAFQEA&#10;AAsAAAAAAAAAAAAAAAAAHwEAAF9yZWxzLy5yZWxzUEsBAi0AFAAGAAgAAAAhAPV+/3XHAAAA3gAA&#10;AA8AAAAAAAAAAAAAAAAABwIAAGRycy9kb3ducmV2LnhtbFBLBQYAAAAAAwADALcAAAD7AgAAAAA=&#10;" filled="f" stroked="f">
                  <v:textbox inset="0,0,0,0">
                    <w:txbxContent>
                      <w:p w14:paraId="1DA8995A" w14:textId="77777777" w:rsidR="00B32EF2" w:rsidRDefault="00000000">
                        <w:r>
                          <w:rPr>
                            <w:rFonts w:ascii="Arial" w:eastAsia="Arial" w:hAnsi="Arial" w:cs="Arial"/>
                            <w:b/>
                            <w:sz w:val="18"/>
                          </w:rPr>
                          <w:t>Personale addetto agli uffici di segreteria delle corti di giustizia tributa</w:t>
                        </w:r>
                      </w:p>
                    </w:txbxContent>
                  </v:textbox>
                </v:rect>
                <v:rect id="Rectangle 20988" o:spid="_x0000_s5505" style="position:absolute;left:238;top:58733;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WsHxAAAAN4AAAAPAAAAZHJzL2Rvd25yZXYueG1sRE89a8Mw&#10;EN0L+Q/iAtkaOR6K60YJxSHUQ5a6KXQ8rIvt1joJS7Gd/PpqKHR8vO/tfja9GGnwnWUFm3UCgri2&#10;uuNGwfnj+JiB8AFZY2+ZFNzIw363eNhiru3E7zRWoRExhH2OCtoQXC6lr1sy6NfWEUfuYgeDIcKh&#10;kXrAKYabXqZJ8iQNdhwbWnRUtFT/VFej4OvArjxOsr7cC3f6LrP+7Xr+VGq1nF9fQASaw7/4z11q&#10;BWnynMW98U68AnL3CwAA//8DAFBLAQItABQABgAIAAAAIQDb4fbL7gAAAIUBAAATAAAAAAAAAAAA&#10;AAAAAAAAAABbQ29udGVudF9UeXBlc10ueG1sUEsBAi0AFAAGAAgAAAAhAFr0LFu/AAAAFQEAAAsA&#10;AAAAAAAAAAAAAAAAHwEAAF9yZWxzLy5yZWxzUEsBAi0AFAAGAAgAAAAhAIThawfEAAAA3gAAAA8A&#10;AAAAAAAAAAAAAAAABwIAAGRycy9kb3ducmV2LnhtbFBLBQYAAAAAAwADALcAAAD4AgAAAAA=&#10;" filled="f" stroked="f">
                  <v:textbox inset="0,0,0,0">
                    <w:txbxContent>
                      <w:p w14:paraId="4378B336" w14:textId="77777777" w:rsidR="00B32EF2" w:rsidRDefault="00000000">
                        <w:r>
                          <w:rPr>
                            <w:rFonts w:ascii="Arial" w:eastAsia="Arial" w:hAnsi="Arial" w:cs="Arial"/>
                            <w:b/>
                            <w:sz w:val="18"/>
                          </w:rPr>
                          <w:t>-</w:t>
                        </w:r>
                      </w:p>
                    </w:txbxContent>
                  </v:textbox>
                </v:rect>
                <v:rect id="Rectangle 20989" o:spid="_x0000_s5506" style="position:absolute;left:6452;top:57499;width:216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c6cxgAAAN4AAAAPAAAAZHJzL2Rvd25yZXYueG1sRI9Ba8JA&#10;FITvBf/D8gre6qYeSkxdRRRpDl6qETw+ss8kNft2ya4m+uu7hYLHYWa+YebLwbTiRp1vLCt4nyQg&#10;iEurG64UFIftWwrCB2SNrWVScCcPy8XoZY6Ztj1/020fKhEh7DNUUIfgMil9WZNBP7GOOHpn2xkM&#10;UXaV1B32EW5aOU2SD2mw4bhQo6N1TeVlfzUKTht2+baX5fmxdrufPG2/rsVRqfHrsPoEEWgIz/B/&#10;O9cKpsksncHfnXgF5OIXAAD//wMAUEsBAi0AFAAGAAgAAAAhANvh9svuAAAAhQEAABMAAAAAAAAA&#10;AAAAAAAAAAAAAFtDb250ZW50X1R5cGVzXS54bWxQSwECLQAUAAYACAAAACEAWvQsW78AAAAVAQAA&#10;CwAAAAAAAAAAAAAAAAAfAQAAX3JlbHMvLnJlbHNQSwECLQAUAAYACAAAACEA663OnMYAAADeAAAA&#10;DwAAAAAAAAAAAAAAAAAHAgAAZHJzL2Rvd25yZXYueG1sUEsFBgAAAAADAAMAtwAAAPoCAAAAAA==&#10;" filled="f" stroked="f">
                  <v:textbox inset="0,0,0,0">
                    <w:txbxContent>
                      <w:p w14:paraId="31B6034E" w14:textId="77777777" w:rsidR="00B32EF2" w:rsidRDefault="00000000">
                        <w:r>
                          <w:rPr>
                            <w:rFonts w:ascii="Arial" w:eastAsia="Arial" w:hAnsi="Arial" w:cs="Arial"/>
                            <w:b/>
                            <w:sz w:val="18"/>
                          </w:rPr>
                          <w:t xml:space="preserve">ria di primo e secondo grado </w:t>
                        </w:r>
                      </w:p>
                    </w:txbxContent>
                  </v:textbox>
                </v:rect>
                <v:rect id="Rectangle 201630" o:spid="_x0000_s5507" style="position:absolute;left:26112;top:56266;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jKLxwAAAN8AAAAPAAAAZHJzL2Rvd25yZXYueG1sRI/NasJA&#10;FIX3Bd9huIK7OlEhhNRRiiJm4aaphS4vmWuSNnNnyIxJ7NN3FoUuD+ePb7ufTCcG6n1rWcFqmYAg&#10;rqxuuVZwfT89ZyB8QNbYWSYFD/Kw382etphrO/IbDWWoRRxhn6OCJgSXS+mrhgz6pXXE0bvZ3mCI&#10;sq+l7nGM46aT6yRJpcGW40ODjg4NVd/l3Sj4PLIrTqOsbj8Hd/kqsu58v34otZhPry8gAk3hP/zX&#10;LrSCdbJKN5Eg8kQWkLtfAAAA//8DAFBLAQItABQABgAIAAAAIQDb4fbL7gAAAIUBAAATAAAAAAAA&#10;AAAAAAAAAAAAAABbQ29udGVudF9UeXBlc10ueG1sUEsBAi0AFAAGAAgAAAAhAFr0LFu/AAAAFQEA&#10;AAsAAAAAAAAAAAAAAAAAHwEAAF9yZWxzLy5yZWxzUEsBAi0AFAAGAAgAAAAhAM+SMovHAAAA3wAA&#10;AA8AAAAAAAAAAAAAAAAABwIAAGRycy9kb3ducmV2LnhtbFBLBQYAAAAAAwADALcAAAD7AgAAAAA=&#10;" filled="f" stroked="f">
                  <v:textbox inset="0,0,0,0">
                    <w:txbxContent>
                      <w:p w14:paraId="3A7F8534" w14:textId="77777777" w:rsidR="00B32EF2" w:rsidRDefault="00000000">
                        <w:r>
                          <w:rPr>
                            <w:rFonts w:ascii="Arial" w:eastAsia="Arial" w:hAnsi="Arial" w:cs="Arial"/>
                            <w:sz w:val="18"/>
                          </w:rPr>
                          <w:t>1</w:t>
                        </w:r>
                      </w:p>
                    </w:txbxContent>
                  </v:textbox>
                </v:rect>
                <v:rect id="Rectangle 201631" o:spid="_x0000_s5508" style="position:absolute;left:-13761;top:562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pcQxwAAAN8AAAAPAAAAZHJzL2Rvd25yZXYueG1sRI9Pi8Iw&#10;FMTvC36H8ARva1oXRLpGEUW2By/rH9jjo3m23W1eQhNt9dNvBMHjMDO/YebL3jTiSq2vLStIxwkI&#10;4sLqmksFx8P2fQbCB2SNjWVScCMPy8XgbY6Zth1/03UfShEh7DNUUIXgMil9UZFBP7aOOHpn2xoM&#10;Ubal1C12EW4aOUmSqTRYc1yo0NG6ouJvfzEKfjbs8m0ni/N97Xa/+az5uhxPSo2G/eoTRKA+vMLP&#10;dq4VTJJ0+pHC40/8AnLxDwAA//8DAFBLAQItABQABgAIAAAAIQDb4fbL7gAAAIUBAAATAAAAAAAA&#10;AAAAAAAAAAAAAABbQ29udGVudF9UeXBlc10ueG1sUEsBAi0AFAAGAAgAAAAhAFr0LFu/AAAAFQEA&#10;AAsAAAAAAAAAAAAAAAAAHwEAAF9yZWxzLy5yZWxzUEsBAi0AFAAGAAgAAAAhAKDelxDHAAAA3wAA&#10;AA8AAAAAAAAAAAAAAAAABwIAAGRycy9kb3ducmV2LnhtbFBLBQYAAAAAAwADALcAAAD7AgAAAAA=&#10;" filled="f" stroked="f">
                  <v:textbox inset="0,0,0,0">
                    <w:txbxContent>
                      <w:p w14:paraId="50C0F390" w14:textId="77777777" w:rsidR="00B32EF2" w:rsidRDefault="00000000">
                        <w:r>
                          <w:rPr>
                            <w:rFonts w:ascii="Arial" w:eastAsia="Arial" w:hAnsi="Arial" w:cs="Arial"/>
                            <w:sz w:val="18"/>
                          </w:rPr>
                          <w:t xml:space="preserve">. Agli uffici di segreteria delle corti di giustizia tributaria di primo e secondo </w:t>
                        </w:r>
                      </w:p>
                    </w:txbxContent>
                  </v:textbox>
                </v:rect>
                <v:rect id="Rectangle 20991" o:spid="_x0000_s5509" style="position:absolute;left:-12184;top:55033;width:52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lRHxgAAAN4AAAAPAAAAZHJzL2Rvd25yZXYueG1sRI9Bi8Iw&#10;FITvC/6H8ARva6qHRatRRJHtYS+6Ch4fzbOtNi+hibburzeCsMdhZr5h5svO1OJOja8sKxgNExDE&#10;udUVFwoOv9vPCQgfkDXWlknBgzwsF72POabatryj+z4UIkLYp6igDMGlUvq8JIN+aB1x9M62MRii&#10;bAqpG2wj3NRynCRf0mDFcaFER+uS8uv+ZhScNuyybSvz89/a/VyySf19OxyVGvS71QxEoC78h9/t&#10;TCsYJ9PpCF534hWQiycAAAD//wMAUEsBAi0AFAAGAAgAAAAhANvh9svuAAAAhQEAABMAAAAAAAAA&#10;AAAAAAAAAAAAAFtDb250ZW50X1R5cGVzXS54bWxQSwECLQAUAAYACAAAACEAWvQsW78AAAAVAQAA&#10;CwAAAAAAAAAAAAAAAAAfAQAAX3JlbHMvLnJlbHNQSwECLQAUAAYACAAAACEAkAJUR8YAAADeAAAA&#10;DwAAAAAAAAAAAAAAAAAHAgAAZHJzL2Rvd25yZXYueG1sUEsFBgAAAAADAAMAtwAAAPoCAAAAAA==&#10;" filled="f" stroked="f">
                  <v:textbox inset="0,0,0,0">
                    <w:txbxContent>
                      <w:p w14:paraId="39A65829" w14:textId="77777777" w:rsidR="00B32EF2" w:rsidRDefault="00000000">
                        <w:r>
                          <w:rPr>
                            <w:rFonts w:ascii="Arial" w:eastAsia="Arial" w:hAnsi="Arial" w:cs="Arial"/>
                            <w:sz w:val="18"/>
                          </w:rPr>
                          <w:t>grado sono assegnati dipendenti appartenenti al ruolo del Ministero dell’eco</w:t>
                        </w:r>
                      </w:p>
                    </w:txbxContent>
                  </v:textbox>
                </v:rect>
                <v:rect id="Rectangle 20992" o:spid="_x0000_s5510" style="position:absolute;left:195;top:550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MowxgAAAN4AAAAPAAAAZHJzL2Rvd25yZXYueG1sRI9Ba8JA&#10;FITvgv9heQVvumkOoqmriCLm0EttBI+P7DNJzb5dsquJ/fXdQqHHYWa+YVabwbTiQZ1vLCt4nSUg&#10;iEurG64UFJ+H6QKED8gaW8uk4EkeNuvxaIWZtj1/0OMUKhEh7DNUUIfgMil9WZNBP7OOOHpX2xkM&#10;UXaV1B32EW5amSbJXBpsOC7U6GhXU3k73Y2Cy55dfuhlef3eufevfNEe78VZqcnLsH0DEWgI/+G/&#10;dq4VpMlymcLvnXgF5PoHAAD//wMAUEsBAi0AFAAGAAgAAAAhANvh9svuAAAAhQEAABMAAAAAAAAA&#10;AAAAAAAAAAAAAFtDb250ZW50X1R5cGVzXS54bWxQSwECLQAUAAYACAAAACEAWvQsW78AAAAVAQAA&#10;CwAAAAAAAAAAAAAAAAAfAQAAX3JlbHMvLnJlbHNQSwECLQAUAAYACAAAACEAYNDKMMYAAADeAAAA&#10;DwAAAAAAAAAAAAAAAAAHAgAAZHJzL2Rvd25yZXYueG1sUEsFBgAAAAADAAMAtwAAAPoCAAAAAA==&#10;" filled="f" stroked="f">
                  <v:textbox inset="0,0,0,0">
                    <w:txbxContent>
                      <w:p w14:paraId="7DA3F879" w14:textId="77777777" w:rsidR="00B32EF2" w:rsidRDefault="00000000">
                        <w:r>
                          <w:rPr>
                            <w:rFonts w:ascii="Arial" w:eastAsia="Arial" w:hAnsi="Arial" w:cs="Arial"/>
                            <w:sz w:val="18"/>
                          </w:rPr>
                          <w:t>-</w:t>
                        </w:r>
                      </w:p>
                    </w:txbxContent>
                  </v:textbox>
                </v:rect>
                <v:rect id="Rectangle 20993" o:spid="_x0000_s5511" style="position:absolute;left:-13169;top:537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G+rxwAAAN4AAAAPAAAAZHJzL2Rvd25yZXYueG1sRI9Pi8Iw&#10;FMTvgt8hPGFvmq4Li1ajLIrYw17WP+Dx0TzbavMSmmirn36zsOBxmJnfMPNlZ2pxp8ZXlhW8jxIQ&#10;xLnVFRcKDvvNcALCB2SNtWVS8CAPy0W/N8dU25Z/6L4LhYgQ9ikqKENwqZQ+L8mgH1lHHL2zbQyG&#10;KJtC6gbbCDe1HCfJpzRYcVwo0dGqpPy6uxkFpzW7bNPK/Pxcue9LNqm3t8NRqbdB9zUDEagLr/B/&#10;O9MKxsl0+gF/d+IVkItfAAAA//8DAFBLAQItABQABgAIAAAAIQDb4fbL7gAAAIUBAAATAAAAAAAA&#10;AAAAAAAAAAAAAABbQ29udGVudF9UeXBlc10ueG1sUEsBAi0AFAAGAAgAAAAhAFr0LFu/AAAAFQEA&#10;AAsAAAAAAAAAAAAAAAAAHwEAAF9yZWxzLy5yZWxzUEsBAi0AFAAGAAgAAAAhAA+cb6vHAAAA3gAA&#10;AA8AAAAAAAAAAAAAAAAABwIAAGRycy9kb3ducmV2LnhtbFBLBQYAAAAAAwADALcAAAD7AgAAAAA=&#10;" filled="f" stroked="f">
                  <v:textbox inset="0,0,0,0">
                    <w:txbxContent>
                      <w:p w14:paraId="50C562BF" w14:textId="77777777" w:rsidR="00B32EF2" w:rsidRDefault="00000000">
                        <w:r>
                          <w:rPr>
                            <w:rFonts w:ascii="Arial" w:eastAsia="Arial" w:hAnsi="Arial" w:cs="Arial"/>
                            <w:sz w:val="18"/>
                          </w:rPr>
                          <w:t xml:space="preserve">nomia e delle finanze compresi in un apposito contingente individuato con </w:t>
                        </w:r>
                      </w:p>
                    </w:txbxContent>
                  </v:textbox>
                </v:rect>
                <v:rect id="Rectangle 20994" o:spid="_x0000_s5512" style="position:absolute;left:-12288;top:52566;width:522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fffxwAAAN4AAAAPAAAAZHJzL2Rvd25yZXYueG1sRI9Pi8Iw&#10;FMTvgt8hPGFvmq4si1ajLIrYw17WP+Dx0TzbavMSmmirn36zsOBxmJnfMPNlZ2pxp8ZXlhW8jxIQ&#10;xLnVFRcKDvvNcALCB2SNtWVS8CAPy0W/N8dU25Z/6L4LhYgQ9ikqKENwqZQ+L8mgH1lHHL2zbQyG&#10;KJtC6gbbCDe1HCfJpzRYcVwo0dGqpPy6uxkFpzW7bNPK/Pxcue9LNqm3t8NRqbdB9zUDEagLr/B/&#10;O9MKxsl0+gF/d+IVkItfAAAA//8DAFBLAQItABQABgAIAAAAIQDb4fbL7gAAAIUBAAATAAAAAAAA&#10;AAAAAAAAAAAAAABbQ29udGVudF9UeXBlc10ueG1sUEsBAi0AFAAGAAgAAAAhAFr0LFu/AAAAFQEA&#10;AAsAAAAAAAAAAAAAAAAAHwEAAF9yZWxzLy5yZWxzUEsBAi0AFAAGAAgAAAAhAIB199/HAAAA3gAA&#10;AA8AAAAAAAAAAAAAAAAABwIAAGRycy9kb3ducmV2LnhtbFBLBQYAAAAAAwADALcAAAD7AgAAAAA=&#10;" filled="f" stroked="f">
                  <v:textbox inset="0,0,0,0">
                    <w:txbxContent>
                      <w:p w14:paraId="64537F86" w14:textId="77777777" w:rsidR="00B32EF2" w:rsidRDefault="00000000">
                        <w:r>
                          <w:rPr>
                            <w:rFonts w:ascii="Arial" w:eastAsia="Arial" w:hAnsi="Arial" w:cs="Arial"/>
                            <w:sz w:val="18"/>
                          </w:rPr>
                          <w:t>decreto del Ministro dell’economia e delle finanze nell’ambito del relativo per</w:t>
                        </w:r>
                      </w:p>
                    </w:txbxContent>
                  </v:textbox>
                </v:rect>
                <v:rect id="Rectangle 20995" o:spid="_x0000_s5513" style="position:absolute;left:195;top:525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VJExwAAAN4AAAAPAAAAZHJzL2Rvd25yZXYueG1sRI9Pi8Iw&#10;FMTvgt8hPGFvmq6wi1ajLIrYw17WP+Dx0TzbavMSmmirn36zsOBxmJnfMPNlZ2pxp8ZXlhW8jxIQ&#10;xLnVFRcKDvvNcALCB2SNtWVS8CAPy0W/N8dU25Z/6L4LhYgQ9ikqKENwqZQ+L8mgH1lHHL2zbQyG&#10;KJtC6gbbCDe1HCfJpzRYcVwo0dGqpPy6uxkFpzW7bNPK/Pxcue9LNqm3t8NRqbdB9zUDEagLr/B/&#10;O9MKxsl0+gF/d+IVkItfAAAA//8DAFBLAQItABQABgAIAAAAIQDb4fbL7gAAAIUBAAATAAAAAAAA&#10;AAAAAAAAAAAAAABbQ29udGVudF9UeXBlc10ueG1sUEsBAi0AFAAGAAgAAAAhAFr0LFu/AAAAFQEA&#10;AAsAAAAAAAAAAAAAAAAAHwEAAF9yZWxzLy5yZWxzUEsBAi0AFAAGAAgAAAAhAO85UkTHAAAA3gAA&#10;AA8AAAAAAAAAAAAAAAAABwIAAGRycy9kb3ducmV2LnhtbFBLBQYAAAAAAwADALcAAAD7AgAAAAA=&#10;" filled="f" stroked="f">
                  <v:textbox inset="0,0,0,0">
                    <w:txbxContent>
                      <w:p w14:paraId="079FABC1" w14:textId="77777777" w:rsidR="00B32EF2" w:rsidRDefault="00000000">
                        <w:r>
                          <w:rPr>
                            <w:rFonts w:ascii="Arial" w:eastAsia="Arial" w:hAnsi="Arial" w:cs="Arial"/>
                            <w:sz w:val="18"/>
                          </w:rPr>
                          <w:t>-</w:t>
                        </w:r>
                      </w:p>
                    </w:txbxContent>
                  </v:textbox>
                </v:rect>
                <v:rect id="Rectangle 20996" o:spid="_x0000_s5514" style="position:absolute;left:-13169;top:513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8wzxgAAAN4AAAAPAAAAZHJzL2Rvd25yZXYueG1sRI9Pi8Iw&#10;FMTvC36H8ARva6oH0WoUUcQe9rL+AY+P5tlWm5fQRFv3028WFjwOM/MbZrHqTC2e1PjKsoLRMAFB&#10;nFtdcaHgdNx9TkH4gKyxtkwKXuRhtex9LDDVtuVveh5CISKEfYoKyhBcKqXPSzLoh9YRR+9qG4Mh&#10;yqaQusE2wk0tx0kykQYrjgslOtqUlN8PD6PgsmWX7VqZX3827uuWTev943RWatDv1nMQgbrwDv+3&#10;M61gnMxmE/i7E6+AXP4CAAD//wMAUEsBAi0AFAAGAAgAAAAhANvh9svuAAAAhQEAABMAAAAAAAAA&#10;AAAAAAAAAAAAAFtDb250ZW50X1R5cGVzXS54bWxQSwECLQAUAAYACAAAACEAWvQsW78AAAAVAQAA&#10;CwAAAAAAAAAAAAAAAAAfAQAAX3JlbHMvLnJlbHNQSwECLQAUAAYACAAAACEAH+vMM8YAAADeAAAA&#10;DwAAAAAAAAAAAAAAAAAHAgAAZHJzL2Rvd25yZXYueG1sUEsFBgAAAAADAAMAtwAAAPoCAAAAAA==&#10;" filled="f" stroked="f">
                  <v:textbox inset="0,0,0,0">
                    <w:txbxContent>
                      <w:p w14:paraId="1BABDF2F" w14:textId="77777777" w:rsidR="00B32EF2" w:rsidRDefault="00000000">
                        <w:r>
                          <w:rPr>
                            <w:rFonts w:ascii="Arial" w:eastAsia="Arial" w:hAnsi="Arial" w:cs="Arial"/>
                            <w:sz w:val="18"/>
                          </w:rPr>
                          <w:t xml:space="preserve">sonale previsto dal regolamento di cui all’ articolo 17, comma 4-bis della legge </w:t>
                        </w:r>
                      </w:p>
                    </w:txbxContent>
                  </v:textbox>
                </v:rect>
                <v:rect id="Rectangle 201626" o:spid="_x0000_s5515" style="position:absolute;left:34637;top:50099;width:161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pm5xwAAAN8AAAAPAAAAZHJzL2Rvd25yZXYueG1sRI9Ba8JA&#10;FITvBf/D8oTe6sYcgkRXEUXMoZeqhR4f2WcSzb5dsquJ/vpuoeBxmJlvmMVqMK24U+cbywqmkwQE&#10;cWl1w5WC03H3MQPhA7LG1jIpeJCH1XL0tsBc256/6H4IlYgQ9jkqqENwuZS+rMmgn1hHHL2z7QyG&#10;KLtK6g77CDetTJMkkwYbjgs1OtrUVF4PN6PgZ8uu2PWyPD837vNSzNr97fSt1Pt4WM9BBBrCK/zf&#10;LrSCNJlmaQZ/f+IXkMtfAAAA//8DAFBLAQItABQABgAIAAAAIQDb4fbL7gAAAIUBAAATAAAAAAAA&#10;AAAAAAAAAAAAAABbQ29udGVudF9UeXBlc10ueG1sUEsBAi0AFAAGAAgAAAAhAFr0LFu/AAAAFQEA&#10;AAsAAAAAAAAAAAAAAAAAHwEAAF9yZWxzLy5yZWxzUEsBAi0AFAAGAAgAAAAhAKrumbnHAAAA3wAA&#10;AA8AAAAAAAAAAAAAAAAABwIAAGRycy9kb3ducmV2LnhtbFBLBQYAAAAAAwADALcAAAD7AgAAAAA=&#10;" filled="f" stroked="f">
                  <v:textbox inset="0,0,0,0">
                    <w:txbxContent>
                      <w:p w14:paraId="5DB5544A" w14:textId="77777777" w:rsidR="00B32EF2" w:rsidRDefault="00000000">
                        <w:r>
                          <w:rPr>
                            <w:rFonts w:ascii="Arial" w:eastAsia="Arial" w:hAnsi="Arial" w:cs="Arial"/>
                            <w:sz w:val="18"/>
                          </w:rPr>
                          <w:t>23</w:t>
                        </w:r>
                      </w:p>
                    </w:txbxContent>
                  </v:textbox>
                </v:rect>
                <v:rect id="Rectangle 201627" o:spid="_x0000_s5516" style="position:absolute;left:13932;top:50099;width:161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jwiyAAAAN8AAAAPAAAAZHJzL2Rvd25yZXYueG1sRI9La8Mw&#10;EITvhfwHsYXeGjk+pMGJHEpCqA+9NA/IcbHWj9ZaCUuJ3fz6qFDIcZiZb5jVejSduFLvW8sKZtME&#10;BHFpdcu1guNh97oA4QOyxs4yKfglD+t88rTCTNuBv+i6D7WIEPYZKmhCcJmUvmzIoJ9aRxy9yvYG&#10;Q5R9LXWPQ4SbTqZJMpcGW44LDTraNFT+7C9GwXnLrtgNsqxuG/f5XSy6j8vxpNTL8/i+BBFoDI/w&#10;f7vQCtJkNk/f4O9P/AIyvwMAAP//AwBQSwECLQAUAAYACAAAACEA2+H2y+4AAACFAQAAEwAAAAAA&#10;AAAAAAAAAAAAAAAAW0NvbnRlbnRfVHlwZXNdLnhtbFBLAQItABQABgAIAAAAIQBa9CxbvwAAABUB&#10;AAALAAAAAAAAAAAAAAAAAB8BAABfcmVscy8ucmVsc1BLAQItABQABgAIAAAAIQDFojwiyAAAAN8A&#10;AAAPAAAAAAAAAAAAAAAAAAcCAABkcnMvZG93bnJldi54bWxQSwUGAAAAAAMAAwC3AAAA/AIAAAAA&#10;" filled="f" stroked="f">
                  <v:textbox inset="0,0,0,0">
                    <w:txbxContent>
                      <w:p w14:paraId="228C8476" w14:textId="77777777" w:rsidR="00B32EF2" w:rsidRDefault="00000000">
                        <w:r>
                          <w:rPr>
                            <w:rFonts w:ascii="Arial" w:eastAsia="Arial" w:hAnsi="Arial" w:cs="Arial"/>
                            <w:sz w:val="18"/>
                          </w:rPr>
                          <w:t>400.</w:t>
                        </w:r>
                      </w:p>
                    </w:txbxContent>
                  </v:textbox>
                </v:rect>
                <v:rect id="Rectangle 201629" o:spid="_x0000_s5517" style="position:absolute;left:24781;top:50099;width:161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Q3LxwAAAN8AAAAPAAAAZHJzL2Rvd25yZXYueG1sRI9Pi8Iw&#10;FMTvgt8hPGFvmtqDaDWKKLI97GX9Ax4fzbOtNi+hiba7n36zsLDHYWZ+w6w2vWnEi1pfW1YwnSQg&#10;iAuray4VnE+H8RyED8gaG8uk4Is8bNbDwQozbTv+pNcxlCJC2GeooArBZVL6oiKDfmIdcfRutjUY&#10;omxLqVvsItw0Mk2SmTRYc1yo0NGuouJxfBoF1z27/NDJ4va9cx/3fN68P88Xpd5G/XYJIlAf/sN/&#10;7VwrSJPpLF3A75/4BeT6BwAA//8DAFBLAQItABQABgAIAAAAIQDb4fbL7gAAAIUBAAATAAAAAAAA&#10;AAAAAAAAAAAAAABbQ29udGVudF9UeXBlc10ueG1sUEsBAi0AFAAGAAgAAAAhAFr0LFu/AAAAFQEA&#10;AAsAAAAAAAAAAAAAAAAAHwEAAF9yZWxzLy5yZWxzUEsBAi0AFAAGAAgAAAAhANtxDcvHAAAA3wAA&#10;AA8AAAAAAAAAAAAAAAAABwIAAGRycy9kb3ducmV2LnhtbFBLBQYAAAAAAwADALcAAAD7AgAAAAA=&#10;" filled="f" stroked="f">
                  <v:textbox inset="0,0,0,0">
                    <w:txbxContent>
                      <w:p w14:paraId="55CCCDB8" w14:textId="77777777" w:rsidR="00B32EF2" w:rsidRDefault="00000000">
                        <w:r>
                          <w:rPr>
                            <w:rFonts w:ascii="Arial" w:eastAsia="Arial" w:hAnsi="Arial" w:cs="Arial"/>
                            <w:sz w:val="18"/>
                          </w:rPr>
                          <w:t xml:space="preserve"> agosto 1988, n. </w:t>
                        </w:r>
                      </w:p>
                    </w:txbxContent>
                  </v:textbox>
                </v:rect>
                <v:rect id="Rectangle 201624" o:spid="_x0000_s5518" style="position:absolute;left:-13814;top:488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KJVyAAAAN8AAAAPAAAAZHJzL2Rvd25yZXYueG1sRI9Pa8JA&#10;FMTvBb/D8oTe6sZQRKIbEUWaQy+1Ch4f2Zc/mn27ZFeT9tN3C4Ueh5n5DbPejKYTD+p9a1nBfJaA&#10;IC6tbrlWcPo8vCxB+ICssbNMCr7IwyafPK0x03bgD3ocQy0ihH2GCpoQXCalLxsy6GfWEUevsr3B&#10;EGVfS93jEOGmk2mSLKTBluNCg452DZW3490ouOzZFYdBltX3zr1fi2X3dj+dlXqejtsViEBj+A//&#10;tQutIE3mi/QVfv/ELyDzHwAAAP//AwBQSwECLQAUAAYACAAAACEA2+H2y+4AAACFAQAAEwAAAAAA&#10;AAAAAAAAAAAAAAAAW0NvbnRlbnRfVHlwZXNdLnhtbFBLAQItABQABgAIAAAAIQBa9CxbvwAAABUB&#10;AAALAAAAAAAAAAAAAAAAAB8BAABfcmVscy8ucmVsc1BLAQItABQABgAIAAAAIQA1cKJVyAAAAN8A&#10;AAAPAAAAAAAAAAAAAAAAAAcCAABkcnMvZG93bnJldi54bWxQSwUGAAAAAAMAAwC3AAAA/AIAAAAA&#10;" filled="f" stroked="f">
                  <v:textbox inset="0,0,0,0">
                    <w:txbxContent>
                      <w:p w14:paraId="00069997" w14:textId="77777777" w:rsidR="00B32EF2" w:rsidRDefault="00000000">
                        <w:r>
                          <w:rPr>
                            <w:rFonts w:ascii="Arial" w:eastAsia="Arial" w:hAnsi="Arial" w:cs="Arial"/>
                            <w:sz w:val="18"/>
                          </w:rPr>
                          <w:t xml:space="preserve">. Il Ministro dell’economia e delle finanze, con proprio decreto determina ogni </w:t>
                        </w:r>
                      </w:p>
                    </w:txbxContent>
                  </v:textbox>
                </v:rect>
                <v:rect id="Rectangle 201623" o:spid="_x0000_s5519" style="position:absolute;left:26112;top:48866;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TohyAAAAN8AAAAPAAAAZHJzL2Rvd25yZXYueG1sRI9Pa8JA&#10;FMTvBb/D8oTe6sYURKIbEUWaQy+1Ch4f2Zc/mn27ZFeT9tN3C4Ueh5n5DbPejKYTD+p9a1nBfJaA&#10;IC6tbrlWcPo8vCxB+ICssbNMCr7IwyafPK0x03bgD3ocQy0ihH2GCpoQXCalLxsy6GfWEUevsr3B&#10;EGVfS93jEOGmk2mSLKTBluNCg452DZW3490ouOzZFYdBltX3zr1fi2X3dj+dlXqejtsViEBj+A//&#10;tQutIE3mi/QVfv/ELyDzHwAAAP//AwBQSwECLQAUAAYACAAAACEA2+H2y+4AAACFAQAAEwAAAAAA&#10;AAAAAAAAAAAAAAAAW0NvbnRlbnRfVHlwZXNdLnhtbFBLAQItABQABgAIAAAAIQBa9CxbvwAAABUB&#10;AAALAAAAAAAAAAAAAAAAAB8BAABfcmVscy8ucmVsc1BLAQItABQABgAIAAAAIQC6mTohyAAAAN8A&#10;AAAPAAAAAAAAAAAAAAAAAAcCAABkcnMvZG93bnJldi54bWxQSwUGAAAAAAMAAwC3AAAA/AIAAAAA&#10;" filled="f" stroked="f">
                  <v:textbox inset="0,0,0,0">
                    <w:txbxContent>
                      <w:p w14:paraId="41AF665C" w14:textId="77777777" w:rsidR="00B32EF2" w:rsidRDefault="00000000">
                        <w:r>
                          <w:rPr>
                            <w:rFonts w:ascii="Arial" w:eastAsia="Arial" w:hAnsi="Arial" w:cs="Arial"/>
                            <w:sz w:val="18"/>
                          </w:rPr>
                          <w:t>2</w:t>
                        </w:r>
                      </w:p>
                    </w:txbxContent>
                  </v:textbox>
                </v:rect>
                <v:rect id="Rectangle 20999" o:spid="_x0000_s5520" style="position:absolute;left:-13169;top:47633;width:530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hBxgAAAN4AAAAPAAAAZHJzL2Rvd25yZXYueG1sRI9Ba8JA&#10;FITvBf/D8gre6qYeikldRRRpDl6qETw+ss8kNft2ya4m+uu7hYLHYWa+YebLwbTiRp1vLCt4nyQg&#10;iEurG64UFIft2wyED8gaW8uk4E4elovRyxwzbXv+pts+VCJC2GeooA7BZVL6siaDfmIdcfTOtjMY&#10;ouwqqTvsI9y0cpokH9Jgw3GhRkfrmsrL/moUnDbs8m0vy/Nj7XY/+az9uhZHpcavw+oTRKAhPMP/&#10;7VwrmCZpmsLfnXgF5OIXAAD//wMAUEsBAi0AFAAGAAgAAAAhANvh9svuAAAAhQEAABMAAAAAAAAA&#10;AAAAAAAAAAAAAFtDb250ZW50X1R5cGVzXS54bWxQSwECLQAUAAYACAAAACEAWvQsW78AAAAVAQAA&#10;CwAAAAAAAAAAAAAAAAAfAQAAX3JlbHMvLnJlbHNQSwECLQAUAAYACAAAACEAbnRYQcYAAADeAAAA&#10;DwAAAAAAAAAAAAAAAAAHAgAAZHJzL2Rvd25yZXYueG1sUEsFBgAAAAADAAMAtwAAAPoCAAAAAA==&#10;" filled="f" stroked="f">
                  <v:textbox inset="0,0,0,0">
                    <w:txbxContent>
                      <w:p w14:paraId="1535075B" w14:textId="77777777" w:rsidR="00B32EF2" w:rsidRDefault="00000000">
                        <w:r>
                          <w:rPr>
                            <w:rFonts w:ascii="Arial" w:eastAsia="Arial" w:hAnsi="Arial" w:cs="Arial"/>
                            <w:sz w:val="18"/>
                          </w:rPr>
                          <w:t xml:space="preserve">anno le variazioni da apportare alle dotazioni del contingente in relazione alle </w:t>
                        </w:r>
                      </w:p>
                    </w:txbxContent>
                  </v:textbox>
                </v:rect>
                <v:rect id="Rectangle 21000" o:spid="_x0000_s5521" style="position:absolute;left:-13168;top:46400;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lMxAAAAN4AAAAPAAAAZHJzL2Rvd25yZXYueG1sRI/NisIw&#10;FIX3A75DuIK7MdGFSDWKKGIXbsZRcHlprm21uQlNtHWefrIYmOXh/PEt171txIvaUDvWMBkrEMSF&#10;MzWXGs7f+885iBCRDTaOScObAqxXg48lZsZ1/EWvUyxFGuGQoYYqRp9JGYqKLIax88TJu7nWYkyy&#10;LaVpsUvjtpFTpWbSYs3poUJP24qKx+lpNVx37PN9J4vbz9Yf7/m8OTzPF61Hw36zABGpj//hv3Zu&#10;NEwnSiWAhJNQQK5+AQAA//8DAFBLAQItABQABgAIAAAAIQDb4fbL7gAAAIUBAAATAAAAAAAAAAAA&#10;AAAAAAAAAABbQ29udGVudF9UeXBlc10ueG1sUEsBAi0AFAAGAAgAAAAhAFr0LFu/AAAAFQEAAAsA&#10;AAAAAAAAAAAAAAAAHwEAAF9yZWxzLy5yZWxzUEsBAi0AFAAGAAgAAAAhAL9gyUzEAAAA3gAAAA8A&#10;AAAAAAAAAAAAAAAABwIAAGRycy9kb3ducmV2LnhtbFBLBQYAAAAAAwADALcAAAD4AgAAAAA=&#10;" filled="f" stroked="f">
                  <v:textbox inset="0,0,0,0">
                    <w:txbxContent>
                      <w:p w14:paraId="65FB9722" w14:textId="77777777" w:rsidR="00B32EF2" w:rsidRDefault="00000000">
                        <w:r>
                          <w:rPr>
                            <w:rFonts w:ascii="Arial" w:eastAsia="Arial" w:hAnsi="Arial" w:cs="Arial"/>
                            <w:sz w:val="18"/>
                          </w:rPr>
                          <w:t xml:space="preserve">variazioni del numero di sezioni e del flusso dei ricorsi presso ogni corte di </w:t>
                        </w:r>
                      </w:p>
                    </w:txbxContent>
                  </v:textbox>
                </v:rect>
                <v:rect id="Rectangle 21001" o:spid="_x0000_s5522" style="position:absolute;left:9689;top:45166;width:302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GzXxgAAAN4AAAAPAAAAZHJzL2Rvd25yZXYueG1sRI9PawIx&#10;FMTvQr9DeIXeNFkPRbZGEUW6h178Bz0+Ns/d1c1L2ER3209vCgWPw8z8hpkvB9uKO3WhcawhmygQ&#10;xKUzDVcajofteAYiRGSDrWPS8EMBlouX0Rxz43re0X0fK5EgHHLUUMfocylDWZPFMHGeOHln11mM&#10;SXaVNB32CW5bOVXqXVpsOC3U6GldU3nd36yG7w37YtvL8vy79l+XYtZ+3o4nrd9eh9UHiEhDfIb/&#10;24XRMM2UyuDvTroCcvEAAAD//wMAUEsBAi0AFAAGAAgAAAAhANvh9svuAAAAhQEAABMAAAAAAAAA&#10;AAAAAAAAAAAAAFtDb250ZW50X1R5cGVzXS54bWxQSwECLQAUAAYACAAAACEAWvQsW78AAAAVAQAA&#10;CwAAAAAAAAAAAAAAAAAfAQAAX3JlbHMvLnJlbHNQSwECLQAUAAYACAAAACEA0Cxs18YAAADeAAAA&#10;DwAAAAAAAAAAAAAAAAAHAgAAZHJzL2Rvd25yZXYueG1sUEsFBgAAAAADAAMAtwAAAPoCAAAAAA==&#10;" filled="f" stroked="f">
                  <v:textbox inset="0,0,0,0">
                    <w:txbxContent>
                      <w:p w14:paraId="1936DC93" w14:textId="77777777" w:rsidR="00B32EF2" w:rsidRDefault="00000000">
                        <w:r>
                          <w:rPr>
                            <w:rFonts w:ascii="Arial" w:eastAsia="Arial" w:hAnsi="Arial" w:cs="Arial"/>
                            <w:sz w:val="18"/>
                          </w:rPr>
                          <w:t>giustizia tributaria di primo e secondo grado.</w:t>
                        </w:r>
                      </w:p>
                    </w:txbxContent>
                  </v:textbox>
                </v:rect>
                <v:rect id="Rectangle 21002" o:spid="_x0000_s5523" style="position:absolute;left:15117;top:42700;width:80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KgxgAAAN4AAAAPAAAAZHJzL2Rvd25yZXYueG1sRI9BawIx&#10;FITvgv8hPKE3TdxDka1RikW6h160Cj0+Ns/d1c1L2ER39debQqHHYWa+YZbrwbbiRl1oHGuYzxQI&#10;4tKZhisNh+/tdAEiRGSDrWPScKcA69V4tMTcuJ53dNvHSiQIhxw11DH6XMpQ1mQxzJwnTt7JdRZj&#10;kl0lTYd9gttWZkq9SosNp4UaPW1qKi/7q9Xw88G+2PayPD02/utcLNrP6+Go9ctkeH8DEWmI/+G/&#10;dmE0ZHOlMvi9k66AXD0BAAD//wMAUEsBAi0AFAAGAAgAAAAhANvh9svuAAAAhQEAABMAAAAAAAAA&#10;AAAAAAAAAAAAAFtDb250ZW50X1R5cGVzXS54bWxQSwECLQAUAAYACAAAACEAWvQsW78AAAAVAQAA&#10;CwAAAAAAAAAAAAAAAAAfAQAAX3JlbHMvLnJlbHNQSwECLQAUAAYACAAAACEAIP7yoMYAAADeAAAA&#10;DwAAAAAAAAAAAAAAAAAHAgAAZHJzL2Rvd25yZXYueG1sUEsFBgAAAAADAAMAtwAAAPoCAAAAAA==&#10;" filled="f" stroked="f">
                  <v:textbox inset="0,0,0,0">
                    <w:txbxContent>
                      <w:p w14:paraId="0FCCCD11" w14:textId="77777777" w:rsidR="00B32EF2" w:rsidRDefault="00000000">
                        <w:r>
                          <w:rPr>
                            <w:rFonts w:ascii="Arial" w:eastAsia="Arial" w:hAnsi="Arial" w:cs="Arial"/>
                            <w:b/>
                            <w:sz w:val="18"/>
                          </w:rPr>
                          <w:t>Articolo 41</w:t>
                        </w:r>
                      </w:p>
                    </w:txbxContent>
                  </v:textbox>
                </v:rect>
                <v:rect id="Rectangle 201620" o:spid="_x0000_s5524" style="position:absolute;left:22225;top:41466;width:194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6RWxQAAAN8AAAAPAAAAZHJzL2Rvd25yZXYueG1sRI/NisIw&#10;FIX3A75DuIK7MbULkWoUUcQu3OgouLw017ba3IQm2urTTxYDszycP77FqjeNeFHra8sKJuMEBHFh&#10;dc2lgvPP7nsGwgdkjY1lUvAmD6vl4GuBmbYdH+l1CqWII+wzVFCF4DIpfVGRQT+2jjh6N9saDFG2&#10;pdQtdnHcNDJNkqk0WHN8qNDRpqLicXoaBdctu3zXyeL22bjDPZ81++f5otRo2K/nIAL14T/81861&#10;gjSZTNNIEHkiC8jlLwAAAP//AwBQSwECLQAUAAYACAAAACEA2+H2y+4AAACFAQAAEwAAAAAAAAAA&#10;AAAAAAAAAAAAW0NvbnRlbnRfVHlwZXNdLnhtbFBLAQItABQABgAIAAAAIQBa9CxbvwAAABUBAAAL&#10;AAAAAAAAAAAAAAAAAB8BAABfcmVscy8ucmVsc1BLAQItABQABgAIAAAAIQBKS6RWxQAAAN8AAAAP&#10;AAAAAAAAAAAAAAAAAAcCAABkcnMvZG93bnJldi54bWxQSwUGAAAAAAMAAwC3AAAA+QIAAAAA&#10;" filled="f" stroked="f">
                  <v:textbox inset="0,0,0,0">
                    <w:txbxContent>
                      <w:p w14:paraId="43745637" w14:textId="77777777" w:rsidR="00B32EF2" w:rsidRDefault="00000000">
                        <w:r>
                          <w:rPr>
                            <w:rFonts w:ascii="Arial" w:eastAsia="Arial" w:hAnsi="Arial" w:cs="Arial"/>
                            <w:i/>
                            <w:sz w:val="18"/>
                          </w:rPr>
                          <w:t>(</w:t>
                        </w:r>
                      </w:p>
                    </w:txbxContent>
                  </v:textbox>
                </v:rect>
                <v:rect id="Rectangle 201621" o:spid="_x0000_s5525" style="position:absolute;left:-2646;top:41466;width:194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HNxwAAAN8AAAAPAAAAZHJzL2Rvd25yZXYueG1sRI9Ba8JA&#10;FITvBf/D8gRvdZMcRFJXKYqYg5eqhR4f2WeSNvt2ya4m+uu7guBxmJlvmMVqMK24UucbywrSaQKC&#10;uLS64UrB6bh9n4PwAVlja5kU3MjDajl6W2Cubc9fdD2ESkQI+xwV1CG4XEpf1mTQT60jjt7ZdgZD&#10;lF0ldYd9hJtWZkkykwYbjgs1OlrXVP4dLkbBz4Zdse1leb6v3f63mLe7y+lbqcl4+PwAEWgIr/Cz&#10;XWgFWZLOshQef+IXkMt/AAAA//8DAFBLAQItABQABgAIAAAAIQDb4fbL7gAAAIUBAAATAAAAAAAA&#10;AAAAAAAAAAAAAABbQ29udGVudF9UeXBlc10ueG1sUEsBAi0AFAAGAAgAAAAhAFr0LFu/AAAAFQEA&#10;AAsAAAAAAAAAAAAAAAAAHwEAAF9yZWxzLy5yZWxzUEsBAi0AFAAGAAgAAAAhACUHAc3HAAAA3wAA&#10;AA8AAAAAAAAAAAAAAAAABwIAAGRycy9kb3ducmV2LnhtbFBLBQYAAAAAAwADALcAAAD7AgAAAAA=&#10;" filled="f" stroked="f">
                  <v:textbox inset="0,0,0,0">
                    <w:txbxContent>
                      <w:p w14:paraId="18BE97D3" w14:textId="77777777" w:rsidR="00B32EF2" w:rsidRDefault="00000000">
                        <w:r>
                          <w:rPr>
                            <w:rFonts w:ascii="Arial" w:eastAsia="Arial" w:hAnsi="Arial" w:cs="Arial"/>
                            <w:i/>
                            <w:sz w:val="18"/>
                          </w:rPr>
                          <w:t>545/92)</w:t>
                        </w:r>
                      </w:p>
                    </w:txbxContent>
                  </v:textbox>
                </v:rect>
                <v:rect id="Rectangle 201622" o:spid="_x0000_s5526" style="position:absolute;left:11622;top:41466;width:194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Z+6xgAAAN8AAAAPAAAAZHJzL2Rvd25yZXYueG1sRI9Pi8Iw&#10;FMTvgt8hvAVvmtqDSNco4iL24MV/4PHRPNuuzUtoou3upzcLCx6HmfkNs1j1phFPan1tWcF0koAg&#10;LqyuuVRwPm3HcxA+IGtsLJOCH/KwWg4HC8y07fhAz2MoRYSwz1BBFYLLpPRFRQb9xDri6N1sazBE&#10;2ZZSt9hFuGlkmiQzabDmuFCho01Fxf34MAquX+zybSeL2+/G7b/zebN7nC9KjT769SeIQH14h//b&#10;uVaQJtNZmsLfn/gF5PIFAAD//wMAUEsBAi0AFAAGAAgAAAAhANvh9svuAAAAhQEAABMAAAAAAAAA&#10;AAAAAAAAAAAAAFtDb250ZW50X1R5cGVzXS54bWxQSwECLQAUAAYACAAAACEAWvQsW78AAAAVAQAA&#10;CwAAAAAAAAAAAAAAAAAfAQAAX3JlbHMvLnJlbHNQSwECLQAUAAYACAAAACEA1dWfusYAAADfAAAA&#10;DwAAAAAAAAAAAAAAAAAHAgAAZHJzL2Rvd25yZXYueG1sUEsFBgAAAAADAAMAtwAAAPoCAAAAAA==&#10;" filled="f" stroked="f">
                  <v:textbox inset="0,0,0,0">
                    <w:txbxContent>
                      <w:p w14:paraId="5AFB56B6" w14:textId="77777777" w:rsidR="00B32EF2" w:rsidRDefault="00000000">
                        <w:r>
                          <w:rPr>
                            <w:rFonts w:ascii="Arial" w:eastAsia="Arial" w:hAnsi="Arial" w:cs="Arial"/>
                            <w:i/>
                            <w:sz w:val="18"/>
                          </w:rPr>
                          <w:t xml:space="preserve">articolo 33 D.lgs. n. </w:t>
                        </w:r>
                      </w:p>
                    </w:txbxContent>
                  </v:textbox>
                </v:rect>
                <v:rect id="Rectangle 21004" o:spid="_x0000_s5527" style="position:absolute;left:-8913;top:40233;width:462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89PxwAAAN4AAAAPAAAAZHJzL2Rvd25yZXYueG1sRI9Ba8JA&#10;FITvBf/D8oTe6q5SRKKbUCzSHLxoLfT4yD6T2OzbJbua2F/fLRR6HGbmG2ZTjLYTN+pD61jDfKZA&#10;EFfOtFxrOL3vnlYgQkQ22DkmDXcKUOSThw1mxg18oNsx1iJBOGSooYnRZ1KGqiGLYeY8cfLOrrcY&#10;k+xraXocEtx2cqHUUlpsOS006GnbUPV1vFoNn6/sy90gq/P31u8v5ap7u54+tH6cji9rEJHG+B/+&#10;a5dGw2Ku1DP83klXQOY/AAAA//8DAFBLAQItABQABgAIAAAAIQDb4fbL7gAAAIUBAAATAAAAAAAA&#10;AAAAAAAAAAAAAABbQ29udGVudF9UeXBlc10ueG1sUEsBAi0AFAAGAAgAAAAhAFr0LFu/AAAAFQEA&#10;AAsAAAAAAAAAAAAAAAAAHwEAAF9yZWxzLy5yZWxzUEsBAi0AFAAGAAgAAAAhAMBbz0/HAAAA3gAA&#10;AA8AAAAAAAAAAAAAAAAABwIAAGRycy9kb3ducmV2LnhtbFBLBQYAAAAAAwADALcAAAD7AgAAAAA=&#10;" filled="f" stroked="f">
                  <v:textbox inset="0,0,0,0">
                    <w:txbxContent>
                      <w:p w14:paraId="15784E93" w14:textId="77777777" w:rsidR="00B32EF2" w:rsidRDefault="00000000">
                        <w:r>
                          <w:rPr>
                            <w:rFonts w:ascii="Arial" w:eastAsia="Arial" w:hAnsi="Arial" w:cs="Arial"/>
                            <w:b/>
                            <w:sz w:val="18"/>
                          </w:rPr>
                          <w:t xml:space="preserve">Trattamento economico del personale degli uffici di segreteria </w:t>
                        </w:r>
                      </w:p>
                    </w:txbxContent>
                  </v:textbox>
                </v:rect>
                <v:rect id="Rectangle 201618" o:spid="_x0000_s5528" style="position:absolute;left:26112;top:39000;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WLtwwAAAN8AAAAPAAAAZHJzL2Rvd25yZXYueG1sRE9Ni8Iw&#10;EL0v+B/CCN7WtB5EqlFEEXvwoqvgcWjGttpMQhNt9ddvDgt7fLzvxao3jXhR62vLCtJxAoK4sLrm&#10;UsH5Z/c9A+EDssbGMil4k4fVcvC1wEzbjo/0OoVSxBD2GSqoQnCZlL6oyKAfW0ccuZttDYYI21Lq&#10;FrsYbho5SZKpNFhzbKjQ0aai4nF6GgXXLbt818ni9tm4wz2fNfvn+aLUaNiv5yAC9eFf/OfOtYJJ&#10;kk7TODj+iV9ALn8BAAD//wMAUEsBAi0AFAAGAAgAAAAhANvh9svuAAAAhQEAABMAAAAAAAAAAAAA&#10;AAAAAAAAAFtDb250ZW50X1R5cGVzXS54bWxQSwECLQAUAAYACAAAACEAWvQsW78AAAAVAQAACwAA&#10;AAAAAAAAAAAAAAAfAQAAX3JlbHMvLnJlbHNQSwECLQAUAAYACAAAACEAelFi7cMAAADfAAAADwAA&#10;AAAAAAAAAAAAAAAHAgAAZHJzL2Rvd25yZXYueG1sUEsFBgAAAAADAAMAtwAAAPcCAAAAAA==&#10;" filled="f" stroked="f">
                  <v:textbox inset="0,0,0,0">
                    <w:txbxContent>
                      <w:p w14:paraId="7FD4BDFD" w14:textId="77777777" w:rsidR="00B32EF2" w:rsidRDefault="00000000">
                        <w:r>
                          <w:rPr>
                            <w:rFonts w:ascii="Arial" w:eastAsia="Arial" w:hAnsi="Arial" w:cs="Arial"/>
                            <w:sz w:val="18"/>
                          </w:rPr>
                          <w:t>1</w:t>
                        </w:r>
                      </w:p>
                    </w:txbxContent>
                  </v:textbox>
                </v:rect>
                <v:rect id="Rectangle 201619" o:spid="_x0000_s5529" style="position:absolute;left:-13761;top:390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d2xwAAAN8AAAAPAAAAZHJzL2Rvd25yZXYueG1sRI9Ba8JA&#10;FITvBf/D8oTe6iYexEZXEUWagxetgsdH9plEs2+X7Gpif31XKPQ4zMw3zHzZm0Y8qPW1ZQXpKAFB&#10;XFhdc6ng+L39mILwAVljY5kUPMnDcjF4m2Ombcd7ehxCKSKEfYYKqhBcJqUvKjLoR9YRR+9iW4Mh&#10;yraUusUuwk0jx0kykQZrjgsVOlpXVNwOd6PgvGGXbztZXH7WbnfNp83X/XhS6n3Yr2YgAvXhP/zX&#10;zrWCcZJO0k94/YlfQC5+AQAA//8DAFBLAQItABQABgAIAAAAIQDb4fbL7gAAAIUBAAATAAAAAAAA&#10;AAAAAAAAAAAAAABbQ29udGVudF9UeXBlc10ueG1sUEsBAi0AFAAGAAgAAAAhAFr0LFu/AAAAFQEA&#10;AAsAAAAAAAAAAAAAAAAAHwEAAF9yZWxzLy5yZWxzUEsBAi0AFAAGAAgAAAAhABUdx3bHAAAA3wAA&#10;AA8AAAAAAAAAAAAAAAAABwIAAGRycy9kb3ducmV2LnhtbFBLBQYAAAAAAwADALcAAAD7AgAAAAA=&#10;" filled="f" stroked="f">
                  <v:textbox inset="0,0,0,0">
                    <w:txbxContent>
                      <w:p w14:paraId="7D19C30D" w14:textId="77777777" w:rsidR="00B32EF2" w:rsidRDefault="00000000">
                        <w:r>
                          <w:rPr>
                            <w:rFonts w:ascii="Arial" w:eastAsia="Arial" w:hAnsi="Arial" w:cs="Arial"/>
                            <w:sz w:val="18"/>
                          </w:rPr>
                          <w:t xml:space="preserve">. Al personale addetto agli uffici di segreteria delle corti di giustizia tributaria </w:t>
                        </w:r>
                      </w:p>
                    </w:txbxContent>
                  </v:textbox>
                </v:rect>
                <v:rect id="Rectangle 21006" o:spid="_x0000_s5530" style="position:absolute;left:-12202;top:37767;width:5212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fSjxAAAAN4AAAAPAAAAZHJzL2Rvd25yZXYueG1sRI9Pi8Iw&#10;FMTvC36H8ARva6oHkWoUUcQevKx/wOOjebbV5iU00VY//WZhweMwM79h5svO1OJJja8sKxgNExDE&#10;udUVFwpOx+33FIQPyBpry6TgRR6Wi97XHFNtW/6h5yEUIkLYp6igDMGlUvq8JIN+aB1x9K62MRii&#10;bAqpG2wj3NRynCQTabDiuFCio3VJ+f3wMAouG3bZtpX59b12+1s2rXeP01mpQb9bzUAE6sIn/N/O&#10;tILxKCLh7068AnLxCwAA//8DAFBLAQItABQABgAIAAAAIQDb4fbL7gAAAIUBAAATAAAAAAAAAAAA&#10;AAAAAAAAAABbQ29udGVudF9UeXBlc10ueG1sUEsBAi0AFAAGAAgAAAAhAFr0LFu/AAAAFQEAAAsA&#10;AAAAAAAAAAAAAAAAHwEAAF9yZWxzLy5yZWxzUEsBAi0AFAAGAAgAAAAhAF/F9KPEAAAA3gAAAA8A&#10;AAAAAAAAAAAAAAAABwIAAGRycy9kb3ducmV2LnhtbFBLBQYAAAAAAwADALcAAAD4AgAAAAA=&#10;" filled="f" stroked="f">
                  <v:textbox inset="0,0,0,0">
                    <w:txbxContent>
                      <w:p w14:paraId="64C3A35C" w14:textId="77777777" w:rsidR="00B32EF2" w:rsidRDefault="00000000">
                        <w:r>
                          <w:rPr>
                            <w:rFonts w:ascii="Arial" w:eastAsia="Arial" w:hAnsi="Arial" w:cs="Arial"/>
                            <w:sz w:val="18"/>
                          </w:rPr>
                          <w:t>di primo e secondo grado spetta il trattamento economico previsto per le ri</w:t>
                        </w:r>
                      </w:p>
                    </w:txbxContent>
                  </v:textbox>
                </v:rect>
                <v:rect id="Rectangle 21007" o:spid="_x0000_s5531" style="position:absolute;left:195;top:37767;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VE4xwAAAN4AAAAPAAAAZHJzL2Rvd25yZXYueG1sRI9Ba8JA&#10;FITvBf/D8oTe6q4eqkQ3oVikOXjRWujxkX0msdm3S3Y1sb++Wyj0OMzMN8ymGG0nbtSH1rGG+UyB&#10;IK6cabnWcHrfPa1AhIhssHNMGu4UoMgnDxvMjBv4QLdjrEWCcMhQQxOjz6QMVUMWw8x54uSdXW8x&#10;JtnX0vQ4JLjt5EKpZ2mx5bTQoKdtQ9XX8Wo1fL6yL3eDrM7fW7+/lKvu7Xr60PpxOr6sQUQa43/4&#10;r10aDYu5Ukv4vZOugMx/AAAA//8DAFBLAQItABQABgAIAAAAIQDb4fbL7gAAAIUBAAATAAAAAAAA&#10;AAAAAAAAAAAAAABbQ29udGVudF9UeXBlc10ueG1sUEsBAi0AFAAGAAgAAAAhAFr0LFu/AAAAFQEA&#10;AAsAAAAAAAAAAAAAAAAAHwEAAF9yZWxzLy5yZWxzUEsBAi0AFAAGAAgAAAAhADCJUTjHAAAA3gAA&#10;AA8AAAAAAAAAAAAAAAAABwIAAGRycy9kb3ducmV2LnhtbFBLBQYAAAAAAwADALcAAAD7AgAAAAA=&#10;" filled="f" stroked="f">
                  <v:textbox inset="0,0,0,0">
                    <w:txbxContent>
                      <w:p w14:paraId="150A09EF" w14:textId="77777777" w:rsidR="00B32EF2" w:rsidRDefault="00000000">
                        <w:r>
                          <w:rPr>
                            <w:rFonts w:ascii="Arial" w:eastAsia="Arial" w:hAnsi="Arial" w:cs="Arial"/>
                            <w:sz w:val="18"/>
                          </w:rPr>
                          <w:t>-</w:t>
                        </w:r>
                      </w:p>
                    </w:txbxContent>
                  </v:textbox>
                </v:rect>
                <v:rect id="Rectangle 21008" o:spid="_x0000_s5532" style="position:absolute;left:-13167;top:36533;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sVKwgAAAN4AAAAPAAAAZHJzL2Rvd25yZXYueG1sRE9Ni8Iw&#10;EL0v+B/CCN7WRA8i1SiiiD14WVfB49CMbbWZhCbaur9+c1jY4+N9L9e9bcSL2lA71jAZKxDEhTM1&#10;lxrO3/vPOYgQkQ02jknDmwKsV4OPJWbGdfxFr1MsRQrhkKGGKkafSRmKiiyGsfPEibu51mJMsC2l&#10;abFL4baRU6Vm0mLNqaFCT9uKisfpaTVcd+zzfSeL28/WH+/5vDk8zxetR8N+swARqY//4j93bjRM&#10;J0qlvelOugJy9QsAAP//AwBQSwECLQAUAAYACAAAACEA2+H2y+4AAACFAQAAEwAAAAAAAAAAAAAA&#10;AAAAAAAAW0NvbnRlbnRfVHlwZXNdLnhtbFBLAQItABQABgAIAAAAIQBa9CxbvwAAABUBAAALAAAA&#10;AAAAAAAAAAAAAB8BAABfcmVscy8ucmVsc1BLAQItABQABgAIAAAAIQBBFsVKwgAAAN4AAAAPAAAA&#10;AAAAAAAAAAAAAAcCAABkcnMvZG93bnJldi54bWxQSwUGAAAAAAMAAwC3AAAA9gIAAAAA&#10;" filled="f" stroked="f">
                  <v:textbox inset="0,0,0,0">
                    <w:txbxContent>
                      <w:p w14:paraId="53F03F7B" w14:textId="77777777" w:rsidR="00B32EF2" w:rsidRDefault="00000000">
                        <w:r>
                          <w:rPr>
                            <w:rFonts w:ascii="Arial" w:eastAsia="Arial" w:hAnsi="Arial" w:cs="Arial"/>
                            <w:sz w:val="18"/>
                          </w:rPr>
                          <w:t xml:space="preserve">spettive aree di appartenenza dalle disposizioni concernenti il personale del </w:t>
                        </w:r>
                      </w:p>
                    </w:txbxContent>
                  </v:textbox>
                </v:rect>
                <v:rect id="Rectangle 21009" o:spid="_x0000_s5533" style="position:absolute;left:13165;top:35300;width:267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mDRxwAAAN4AAAAPAAAAZHJzL2Rvd25yZXYueG1sRI9PawIx&#10;FMTvgt8hPKE3TfRQdGuUooh76KX+AY+PzXN3281L2ER366c3hUKPw8z8hlmue9uIO7WhdqxhOlEg&#10;iAtnai41nI678RxEiMgGG8ek4YcCrFfDwRIz4zr+pPshliJBOGSooYrRZ1KGoiKLYeI8cfKurrUY&#10;k2xLaVrsEtw2cqbUq7RYc1qo0NOmouL7cLMaLlv2+a6TxfWx8R9f+bzZ305nrV9G/fsbiEh9/A//&#10;tXOjYTZVagG/d9IVkKsnAAAA//8DAFBLAQItABQABgAIAAAAIQDb4fbL7gAAAIUBAAATAAAAAAAA&#10;AAAAAAAAAAAAAABbQ29udGVudF9UeXBlc10ueG1sUEsBAi0AFAAGAAgAAAAhAFr0LFu/AAAAFQEA&#10;AAsAAAAAAAAAAAAAAAAAHwEAAF9yZWxzLy5yZWxzUEsBAi0AFAAGAAgAAAAhAC5aYNHHAAAA3gAA&#10;AA8AAAAAAAAAAAAAAAAABwIAAGRycy9kb3ducmV2LnhtbFBLBQYAAAAAAwADALcAAAD7AgAAAAA=&#10;" filled="f" stroked="f">
                  <v:textbox inset="0,0,0,0">
                    <w:txbxContent>
                      <w:p w14:paraId="617223ED" w14:textId="77777777" w:rsidR="00B32EF2" w:rsidRDefault="00000000">
                        <w:r>
                          <w:rPr>
                            <w:rFonts w:ascii="Arial" w:eastAsia="Arial" w:hAnsi="Arial" w:cs="Arial"/>
                            <w:sz w:val="18"/>
                          </w:rPr>
                          <w:t>Ministero dell’economia e delle finanze.</w:t>
                        </w:r>
                      </w:p>
                    </w:txbxContent>
                  </v:textbox>
                </v:rect>
                <v:rect id="Rectangle 201617" o:spid="_x0000_s5534" style="position:absolute;left:-13814;top:340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vafxwAAAN8AAAAPAAAAZHJzL2Rvd25yZXYueG1sRI9Ba8JA&#10;FITvgv9heUJvuokHK9FVRJHm4KVWweMj+0yi2bdLdjWxv75bKPQ4zMw3zHLdm0Y8qfW1ZQXpJAFB&#10;XFhdc6ng9LUfz0H4gKyxsUwKXuRhvRoOlphp2/EnPY+hFBHCPkMFVQguk9IXFRn0E+uIo3e1rcEQ&#10;ZVtK3WIX4aaR0ySZSYM1x4UKHW0rKu7Hh1Fw2bHL950srt9bd7jl8+bjcTor9TbqNwsQgfrwH/5r&#10;51rBNEln6Tv8/olfQK5+AAAA//8DAFBLAQItABQABgAIAAAAIQDb4fbL7gAAAIUBAAATAAAAAAAA&#10;AAAAAAAAAAAAAABbQ29udGVudF9UeXBlc10ueG1sUEsBAi0AFAAGAAgAAAAhAFr0LFu/AAAAFQEA&#10;AAsAAAAAAAAAAAAAAAAAHwEAAF9yZWxzLy5yZWxzUEsBAi0AFAAGAAgAAAAhAAvO9p/HAAAA3wAA&#10;AA8AAAAAAAAAAAAAAAAABwIAAGRycy9kb3ducmV2LnhtbFBLBQYAAAAAAwADALcAAAD7AgAAAAA=&#10;" filled="f" stroked="f">
                  <v:textbox inset="0,0,0,0">
                    <w:txbxContent>
                      <w:p w14:paraId="11A83773" w14:textId="77777777" w:rsidR="00B32EF2" w:rsidRDefault="00000000">
                        <w:r>
                          <w:rPr>
                            <w:rFonts w:ascii="Arial" w:eastAsia="Arial" w:hAnsi="Arial" w:cs="Arial"/>
                            <w:sz w:val="18"/>
                          </w:rPr>
                          <w:t xml:space="preserve">. Al personale di cui al comma 1 è attribuita, se più favorevole, l’indennità </w:t>
                        </w:r>
                      </w:p>
                    </w:txbxContent>
                  </v:textbox>
                </v:rect>
                <v:rect id="Rectangle 201616" o:spid="_x0000_s5535" style="position:absolute;left:26112;top:340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lMExwAAAN8AAAAPAAAAZHJzL2Rvd25yZXYueG1sRI9Ba8JA&#10;FITvBf/D8gRvdRMPQVJXKYqYg5eqhR4f2WeSNvt2ya4m+uu7guBxmJlvmMVqMK24UucbywrSaQKC&#10;uLS64UrB6bh9n4PwAVlja5kU3MjDajl6W2Cubc9fdD2ESkQI+xwV1CG4XEpf1mTQT60jjt7ZdgZD&#10;lF0ldYd9hJtWzpIkkwYbjgs1OlrXVP4dLkbBz4Zdse1leb6v3f63mLe7y+lbqcl4+PwAEWgIr/Cz&#10;XWgFsyTN0gwef+IXkMt/AAAA//8DAFBLAQItABQABgAIAAAAIQDb4fbL7gAAAIUBAAATAAAAAAAA&#10;AAAAAAAAAAAAAABbQ29udGVudF9UeXBlc10ueG1sUEsBAi0AFAAGAAgAAAAhAFr0LFu/AAAAFQEA&#10;AAsAAAAAAAAAAAAAAAAAHwEAAF9yZWxzLy5yZWxzUEsBAi0AFAAGAAgAAAAhAGSCUwTHAAAA3wAA&#10;AA8AAAAAAAAAAAAAAAAABwIAAGRycy9kb3ducmV2LnhtbFBLBQYAAAAAAwADALcAAAD7AgAAAAA=&#10;" filled="f" stroked="f">
                  <v:textbox inset="0,0,0,0">
                    <w:txbxContent>
                      <w:p w14:paraId="00B667E8" w14:textId="77777777" w:rsidR="00B32EF2" w:rsidRDefault="00000000">
                        <w:r>
                          <w:rPr>
                            <w:rFonts w:ascii="Arial" w:eastAsia="Arial" w:hAnsi="Arial" w:cs="Arial"/>
                            <w:sz w:val="18"/>
                          </w:rPr>
                          <w:t>2</w:t>
                        </w:r>
                      </w:p>
                    </w:txbxContent>
                  </v:textbox>
                </v:rect>
                <v:rect id="Rectangle 21011" o:spid="_x0000_s5536" style="position:absolute;left:-13168;top:328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foKxQAAAN4AAAAPAAAAZHJzL2Rvd25yZXYueG1sRI9Bi8Iw&#10;FITvwv6H8Ba8aVoPItUoi4vYgxddBY+P5tlWm5fQRNvdX28EYY/DzHzDLFa9acSDWl9bVpCOExDE&#10;hdU1lwqOP5vRDIQPyBoby6Tglzyslh+DBWbadrynxyGUIkLYZ6igCsFlUvqiIoN+bB1x9C62NRii&#10;bEupW+wi3DRykiRTabDmuFCho3VFxe1wNwrO3+zyTSeLy9/a7a75rNnejyelhp/91xxEoD78h9/t&#10;XCuYpEmawutOvAJy+QQAAP//AwBQSwECLQAUAAYACAAAACEA2+H2y+4AAACFAQAAEwAAAAAAAAAA&#10;AAAAAAAAAAAAW0NvbnRlbnRfVHlwZXNdLnhtbFBLAQItABQABgAIAAAAIQBa9CxbvwAAABUBAAAL&#10;AAAAAAAAAAAAAAAAAB8BAABfcmVscy8ucmVsc1BLAQItABQABgAIAAAAIQBV9foKxQAAAN4AAAAP&#10;AAAAAAAAAAAAAAAAAAcCAABkcnMvZG93bnJldi54bWxQSwUGAAAAAAMAAwC3AAAA+QIAAAAA&#10;" filled="f" stroked="f">
                  <v:textbox inset="0,0,0,0">
                    <w:txbxContent>
                      <w:p w14:paraId="17209780" w14:textId="77777777" w:rsidR="00B32EF2" w:rsidRDefault="00000000">
                        <w:r>
                          <w:rPr>
                            <w:rFonts w:ascii="Arial" w:eastAsia="Arial" w:hAnsi="Arial" w:cs="Arial"/>
                            <w:sz w:val="18"/>
                          </w:rPr>
                          <w:t xml:space="preserve">prevista dalla legge 22 giugno 1988, n. 221, e con le modalità da essa stabilite </w:t>
                        </w:r>
                      </w:p>
                    </w:txbxContent>
                  </v:textbox>
                </v:rect>
                <v:rect id="Rectangle 21012" o:spid="_x0000_s5537" style="position:absolute;left:-13169;top:316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2R9xgAAAN4AAAAPAAAAZHJzL2Rvd25yZXYueG1sRI9Pi8Iw&#10;FMTvC36H8ARva9oeRKpRRBF78LL+AY+P5tl2t3kJTbTd/fSbhQWPw8z8hlmuB9OKJ3W+sawgnSYg&#10;iEurG64UXM779zkIH5A1tpZJwTd5WK9Gb0vMte35g56nUIkIYZ+jgjoEl0vpy5oM+ql1xNG7285g&#10;iLKrpO6wj3DTyixJZtJgw3GhRkfbmsqv08MouO3YFftelvefrTt+FvP28LhclZqMh80CRKAhvML/&#10;7UIryNIkzeDvTrwCcvULAAD//wMAUEsBAi0AFAAGAAgAAAAhANvh9svuAAAAhQEAABMAAAAAAAAA&#10;AAAAAAAAAAAAAFtDb250ZW50X1R5cGVzXS54bWxQSwECLQAUAAYACAAAACEAWvQsW78AAAAVAQAA&#10;CwAAAAAAAAAAAAAAAAAfAQAAX3JlbHMvLnJlbHNQSwECLQAUAAYACAAAACEApSdkfcYAAADeAAAA&#10;DwAAAAAAAAAAAAAAAAAHAgAAZHJzL2Rvd25yZXYueG1sUEsFBgAAAAADAAMAtwAAAPoCAAAAAA==&#10;" filled="f" stroked="f">
                  <v:textbox inset="0,0,0,0">
                    <w:txbxContent>
                      <w:p w14:paraId="14387DBC" w14:textId="77777777" w:rsidR="00B32EF2" w:rsidRDefault="00000000">
                        <w:r>
                          <w:rPr>
                            <w:rFonts w:ascii="Arial" w:eastAsia="Arial" w:hAnsi="Arial" w:cs="Arial"/>
                            <w:sz w:val="18"/>
                          </w:rPr>
                          <w:t xml:space="preserve">in luogo dei compensi previsti dall’articolo 4, commi 4, 5 e 6 del decreto-legge </w:t>
                        </w:r>
                      </w:p>
                    </w:txbxContent>
                  </v:textbox>
                </v:rect>
                <v:rect id="Rectangle 201615" o:spid="_x0000_s5538" style="position:absolute;left:-14400;top:30367;width:530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M1zxwAAAN8AAAAPAAAAZHJzL2Rvd25yZXYueG1sRI9Pi8Iw&#10;FMTvC36H8ARva1phRbpGEUW2By/rH9jjo3m23W1eQhNt9dNvBMHjMDO/YebL3jTiSq2vLStIxwkI&#10;4sLqmksFx8P2fQbCB2SNjWVScCMPy8XgbY6Zth1/03UfShEh7DNUUIXgMil9UZFBP7aOOHpn2xoM&#10;Ubal1C12EW4aOUmSqTRYc1yo0NG6ouJvfzEKfjbs8m0ni/N97Xa/+az5uhxPSo2G/eoTRKA+vMLP&#10;dq4VTJJ0mn7A40/8AnLxDwAA//8DAFBLAQItABQABgAIAAAAIQDb4fbL7gAAAIUBAAATAAAAAAAA&#10;AAAAAAAAAAAAAABbQ29udGVudF9UeXBlc10ueG1sUEsBAi0AFAAGAAgAAAAhAFr0LFu/AAAAFQEA&#10;AAsAAAAAAAAAAAAAAAAAHwEAAF9yZWxzLy5yZWxzUEsBAi0AFAAGAAgAAAAhAJRQzXPHAAAA3wAA&#10;AA8AAAAAAAAAAAAAAAAABwIAAGRycy9kb3ducmV2LnhtbFBLBQYAAAAAAwADALcAAAD7AgAAAAA=&#10;" filled="f" stroked="f">
                  <v:textbox inset="0,0,0,0">
                    <w:txbxContent>
                      <w:p w14:paraId="6239602B" w14:textId="77777777" w:rsidR="00B32EF2" w:rsidRDefault="00000000">
                        <w:r>
                          <w:rPr>
                            <w:rFonts w:ascii="Arial" w:eastAsia="Arial" w:hAnsi="Arial" w:cs="Arial"/>
                            <w:sz w:val="18"/>
                          </w:rPr>
                          <w:t xml:space="preserve"> dicembre 1984, n. 853, convertito con modificazioni dalla legge 17 febbraio </w:t>
                        </w:r>
                      </w:p>
                    </w:txbxContent>
                  </v:textbox>
                </v:rect>
                <v:rect id="Rectangle 201614" o:spid="_x0000_s5539" style="position:absolute;left:25519;top:30367;width:530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GjoxwAAAN8AAAAPAAAAZHJzL2Rvd25yZXYueG1sRI9Pi8Iw&#10;FMTvC36H8ARva1pZRLpGEUW2By/rH9jjo3m23W1eQhNt9dNvBMHjMDO/YebL3jTiSq2vLStIxwkI&#10;4sLqmksFx8P2fQbCB2SNjWVScCMPy8XgbY6Zth1/03UfShEh7DNUUIXgMil9UZFBP7aOOHpn2xoM&#10;Ubal1C12EW4aOUmSqTRYc1yo0NG6ouJvfzEKfjbs8m0ni/N97Xa/+az5uhxPSo2G/eoTRKA+vMLP&#10;dq4VTJJ0mn7A40/8AnLxDwAA//8DAFBLAQItABQABgAIAAAAIQDb4fbL7gAAAIUBAAATAAAAAAAA&#10;AAAAAAAAAAAAAABbQ29udGVudF9UeXBlc10ueG1sUEsBAi0AFAAGAAgAAAAhAFr0LFu/AAAAFQEA&#10;AAsAAAAAAAAAAAAAAAAAHwEAAF9yZWxzLy5yZWxzUEsBAi0AFAAGAAgAAAAhAPscaOjHAAAA3wAA&#10;AA8AAAAAAAAAAAAAAAAABwIAAGRycy9kb3ducmV2LnhtbFBLBQYAAAAAAwADALcAAAD7AgAAAAA=&#10;" filled="f" stroked="f">
                  <v:textbox inset="0,0,0,0">
                    <w:txbxContent>
                      <w:p w14:paraId="6BEC7FFB" w14:textId="77777777" w:rsidR="00B32EF2" w:rsidRDefault="00000000">
                        <w:r>
                          <w:rPr>
                            <w:rFonts w:ascii="Arial" w:eastAsia="Arial" w:hAnsi="Arial" w:cs="Arial"/>
                            <w:sz w:val="18"/>
                          </w:rPr>
                          <w:t>19</w:t>
                        </w:r>
                      </w:p>
                    </w:txbxContent>
                  </v:textbox>
                </v:rect>
                <v:rect id="Rectangle 201613" o:spid="_x0000_s5540" style="position:absolute;left:-15730;top:291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fCcxwAAAN8AAAAPAAAAZHJzL2Rvd25yZXYueG1sRI9Pi8Iw&#10;FMTvC36H8ARva1oXRLpGEUW2By/rH9jjo3m23W1eQhNt9dNvBMHjMDO/YebL3jTiSq2vLStIxwkI&#10;4sLqmksFx8P2fQbCB2SNjWVScCMPy8XgbY6Zth1/03UfShEh7DNUUIXgMil9UZFBP7aOOHpn2xoM&#10;Ubal1C12EW4aOUmSqTRYc1yo0NG6ouJvfzEKfjbs8m0ni/N97Xa/+az5uhxPSo2G/eoTRKA+vMLP&#10;dq4VTJJ0mn7A40/8AnLxDwAA//8DAFBLAQItABQABgAIAAAAIQDb4fbL7gAAAIUBAAATAAAAAAAA&#10;AAAAAAAAAAAAAABbQ29udGVudF9UeXBlc10ueG1sUEsBAi0AFAAGAAgAAAAhAFr0LFu/AAAAFQEA&#10;AAsAAAAAAAAAAAAAAAAAHwEAAF9yZWxzLy5yZWxzUEsBAi0AFAAGAAgAAAAhAHT18JzHAAAA3wAA&#10;AA8AAAAAAAAAAAAAAAAABwIAAGRycy9kb3ducmV2LnhtbFBLBQYAAAAAAwADALcAAAD7AgAAAAA=&#10;" filled="f" stroked="f">
                  <v:textbox inset="0,0,0,0">
                    <w:txbxContent>
                      <w:p w14:paraId="15F7B675" w14:textId="77777777" w:rsidR="00B32EF2" w:rsidRDefault="00000000">
                        <w:r>
                          <w:rPr>
                            <w:rFonts w:ascii="Arial" w:eastAsia="Arial" w:hAnsi="Arial" w:cs="Arial"/>
                            <w:sz w:val="18"/>
                          </w:rPr>
                          <w:t xml:space="preserve">, n. 17, del compenso previsto dall’articolo 10 del decreto del Presidente </w:t>
                        </w:r>
                      </w:p>
                    </w:txbxContent>
                  </v:textbox>
                </v:rect>
                <v:rect id="Rectangle 201612" o:spid="_x0000_s5541" style="position:absolute;left:24191;top:291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VUHxwAAAN8AAAAPAAAAZHJzL2Rvd25yZXYueG1sRI9Ba8JA&#10;FITvBf/D8gRvdZMcRFJXKYqYg5eqhR4f2WeSNvt2ya4m+uu7guBxmJlvmMVqMK24UucbywrSaQKC&#10;uLS64UrB6bh9n4PwAVlja5kU3MjDajl6W2Cubc9fdD2ESkQI+xwV1CG4XEpf1mTQT60jjt7ZdgZD&#10;lF0ldYd9hJtWZkkykwYbjgs1OlrXVP4dLkbBz4Zdse1leb6v3f63mLe7y+lbqcl4+PwAEWgIr/Cz&#10;XWgFWZLO0gwef+IXkMt/AAAA//8DAFBLAQItABQABgAIAAAAIQDb4fbL7gAAAIUBAAATAAAAAAAA&#10;AAAAAAAAAAAAAABbQ29udGVudF9UeXBlc10ueG1sUEsBAi0AFAAGAAgAAAAhAFr0LFu/AAAAFQEA&#10;AAsAAAAAAAAAAAAAAAAAHwEAAF9yZWxzLy5yZWxzUEsBAi0AFAAGAAgAAAAhABu5VQfHAAAA3wAA&#10;AA8AAAAAAAAAAAAAAAAABwIAAGRycy9kb3ducmV2LnhtbFBLBQYAAAAAAwADALcAAAD7AgAAAAA=&#10;" filled="f" stroked="f">
                  <v:textbox inset="0,0,0,0">
                    <w:txbxContent>
                      <w:p w14:paraId="5F32E82E" w14:textId="77777777" w:rsidR="00B32EF2" w:rsidRDefault="00000000">
                        <w:r>
                          <w:rPr>
                            <w:rFonts w:ascii="Arial" w:eastAsia="Arial" w:hAnsi="Arial" w:cs="Arial"/>
                            <w:sz w:val="18"/>
                          </w:rPr>
                          <w:t>1985</w:t>
                        </w:r>
                      </w:p>
                    </w:txbxContent>
                  </v:textbox>
                </v:rect>
                <v:rect id="Rectangle 21015" o:spid="_x0000_s5542" style="position:absolute;left:-13169;top:279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vwJxgAAAN4AAAAPAAAAZHJzL2Rvd25yZXYueG1sRI9Ba8JA&#10;FITvBf/D8oTe6iZCRVJXEUXMoRdtBI+P7DNJzb5dsqtJ++u7gtDjMDPfMIvVYFpxp843lhWkkwQE&#10;cWl1w5WC4mv3NgfhA7LG1jIp+CEPq+XoZYGZtj0f6H4MlYgQ9hkqqENwmZS+rMmgn1hHHL2L7QyG&#10;KLtK6g77CDetnCbJTBpsOC7U6GhTU3k93oyC85ZdvutlefnduM/vfN7ub8VJqdfxsP4AEWgI/+Fn&#10;O9cKpmmSvsPjTrwCcvkHAAD//wMAUEsBAi0AFAAGAAgAAAAhANvh9svuAAAAhQEAABMAAAAAAAAA&#10;AAAAAAAAAAAAAFtDb250ZW50X1R5cGVzXS54bWxQSwECLQAUAAYACAAAACEAWvQsW78AAAAVAQAA&#10;CwAAAAAAAAAAAAAAAAAfAQAAX3JlbHMvLnJlbHNQSwECLQAUAAYACAAAACEAKs78CcYAAADeAAAA&#10;DwAAAAAAAAAAAAAAAAAHAgAAZHJzL2Rvd25yZXYueG1sUEsFBgAAAAADAAMAtwAAAPoCAAAAAA==&#10;" filled="f" stroked="f">
                  <v:textbox inset="0,0,0,0">
                    <w:txbxContent>
                      <w:p w14:paraId="4BC220E5" w14:textId="77777777" w:rsidR="00B32EF2" w:rsidRDefault="00000000">
                        <w:r>
                          <w:rPr>
                            <w:rFonts w:ascii="Arial" w:eastAsia="Arial" w:hAnsi="Arial" w:cs="Arial"/>
                            <w:sz w:val="18"/>
                          </w:rPr>
                          <w:t xml:space="preserve">della Repubblica 25 giugno 1983, n. 344, nonché di qualsiasi altro compenso </w:t>
                        </w:r>
                      </w:p>
                    </w:txbxContent>
                  </v:textbox>
                </v:rect>
                <v:rect id="Rectangle 21016" o:spid="_x0000_s5543" style="position:absolute;left:13719;top:26667;width:262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GJ+xgAAAN4AAAAPAAAAZHJzL2Rvd25yZXYueG1sRI9Pi8Iw&#10;FMTvgt8hvAVvmtaDSNco4iL24MV/4PHRPNuuzUtoou3upzcLCx6HmfkNs1j1phFPan1tWUE6SUAQ&#10;F1bXXCo4n7bjOQgfkDU2lknBD3lYLYeDBWbadnyg5zGUIkLYZ6igCsFlUvqiIoN+Yh1x9G62NRii&#10;bEupW+wi3DRymiQzabDmuFCho01Fxf34MAquX+zybSeL2+/G7b/zebN7nC9KjT769SeIQH14h//b&#10;uVYwTZN0Bn934hWQyxcAAAD//wMAUEsBAi0AFAAGAAgAAAAhANvh9svuAAAAhQEAABMAAAAAAAAA&#10;AAAAAAAAAAAAAFtDb250ZW50X1R5cGVzXS54bWxQSwECLQAUAAYACAAAACEAWvQsW78AAAAVAQAA&#10;CwAAAAAAAAAAAAAAAAAfAQAAX3JlbHMvLnJlbHNQSwECLQAUAAYACAAAACEA2hxifsYAAADeAAAA&#10;DwAAAAAAAAAAAAAAAAAHAgAAZHJzL2Rvd25yZXYueG1sUEsFBgAAAAADAAMAtwAAAPoCAAAAAA==&#10;" filled="f" stroked="f">
                  <v:textbox inset="0,0,0,0">
                    <w:txbxContent>
                      <w:p w14:paraId="288C845B" w14:textId="77777777" w:rsidR="00B32EF2" w:rsidRDefault="00000000">
                        <w:r>
                          <w:rPr>
                            <w:rFonts w:ascii="Arial" w:eastAsia="Arial" w:hAnsi="Arial" w:cs="Arial"/>
                            <w:sz w:val="18"/>
                          </w:rPr>
                          <w:t>o indennità incentivante la produttività.</w:t>
                        </w:r>
                      </w:p>
                    </w:txbxContent>
                  </v:textbox>
                </v:rect>
                <v:rect id="Rectangle 201610" o:spid="_x0000_s5544" style="position:absolute;left:26112;top:25434;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27rxQAAAN8AAAAPAAAAZHJzL2Rvd25yZXYueG1sRI/NisIw&#10;FIX3A75DuIK7Ma0LkWoUUcQu3OgouLw017ba3IQm2urTTxYDszycP77FqjeNeFHra8sK0nECgriw&#10;uuZSwfln9z0D4QOyxsYyKXiTh9Vy8LXATNuOj/Q6hVLEEfYZKqhCcJmUvqjIoB9bRxy9m20Nhijb&#10;UuoWuzhuGjlJkqk0WHN8qNDRpqLicXoaBdctu3zXyeL22bjDPZ81++f5otRo2K/nIAL14T/81861&#10;gkmSTtNIEHkiC8jlLwAAAP//AwBQSwECLQAUAAYACAAAACEA2+H2y+4AAACFAQAAEwAAAAAAAAAA&#10;AAAAAAAAAAAAW0NvbnRlbnRfVHlwZXNdLnhtbFBLAQItABQABgAIAAAAIQBa9CxbvwAAABUBAAAL&#10;AAAAAAAAAAAAAAAAAB8BAABfcmVscy8ucmVsc1BLAQItABQABgAIAAAAIQCEJ27rxQAAAN8AAAAP&#10;AAAAAAAAAAAAAAAAAAcCAABkcnMvZG93bnJldi54bWxQSwUGAAAAAAMAAwC3AAAA+QIAAAAA&#10;" filled="f" stroked="f">
                  <v:textbox inset="0,0,0,0">
                    <w:txbxContent>
                      <w:p w14:paraId="6FE1918A" w14:textId="77777777" w:rsidR="00B32EF2" w:rsidRDefault="00000000">
                        <w:r>
                          <w:rPr>
                            <w:rFonts w:ascii="Arial" w:eastAsia="Arial" w:hAnsi="Arial" w:cs="Arial"/>
                            <w:sz w:val="18"/>
                          </w:rPr>
                          <w:t>3</w:t>
                        </w:r>
                      </w:p>
                    </w:txbxContent>
                  </v:textbox>
                </v:rect>
                <v:rect id="Rectangle 201611" o:spid="_x0000_s5545" style="position:absolute;left:-13813;top:25434;width:5308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8twxgAAAN8AAAAPAAAAZHJzL2Rvd25yZXYueG1sRI9Pi8Iw&#10;FMTvgt8hvAVvmtaDSNco4iL24MV/4PHRPNuuzUtoou3upzcLCx6HmfkNs1j1phFPan1tWUE6SUAQ&#10;F1bXXCo4n7bjOQgfkDU2lknBD3lYLYeDBWbadnyg5zGUIkLYZ6igCsFlUvqiIoN+Yh1x9G62NRii&#10;bEupW+wi3DRymiQzabDmuFCho01Fxf34MAquX+zybSeL2+/G7b/zebN7nC9KjT769SeIQH14h//b&#10;uVYwTdJZmsLfn/gF5PIFAAD//wMAUEsBAi0AFAAGAAgAAAAhANvh9svuAAAAhQEAABMAAAAAAAAA&#10;AAAAAAAAAAAAAFtDb250ZW50X1R5cGVzXS54bWxQSwECLQAUAAYACAAAACEAWvQsW78AAAAVAQAA&#10;CwAAAAAAAAAAAAAAAAAfAQAAX3JlbHMvLnJlbHNQSwECLQAUAAYACAAAACEA62vLcMYAAADfAAAA&#10;DwAAAAAAAAAAAAAAAAAHAgAAZHJzL2Rvd25yZXYueG1sUEsFBgAAAAADAAMAtwAAAPoCAAAAAA==&#10;" filled="f" stroked="f">
                  <v:textbox inset="0,0,0,0">
                    <w:txbxContent>
                      <w:p w14:paraId="00A03A0D" w14:textId="77777777" w:rsidR="00B32EF2" w:rsidRDefault="00000000">
                        <w:r>
                          <w:rPr>
                            <w:rFonts w:ascii="Arial" w:eastAsia="Arial" w:hAnsi="Arial" w:cs="Arial"/>
                            <w:sz w:val="18"/>
                          </w:rPr>
                          <w:t xml:space="preserve">. L’attribuzione dell’indennità di cui al comma 2, nei casi stabiliti dall’articolo </w:t>
                        </w:r>
                      </w:p>
                    </w:txbxContent>
                  </v:textbox>
                </v:rect>
                <v:rect id="Rectangle 201609" o:spid="_x0000_s5546" style="position:absolute;left:-12819;top:24200;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FGrxwAAAN8AAAAPAAAAZHJzL2Rvd25yZXYueG1sRI9BawIx&#10;FITvQv9DeIXeNNGD2K1RikW6h160Cj0+Ns/d1c1L2ER36683guBxmJlvmPmyt424UBtqxxrGIwWC&#10;uHCm5lLD7nc9nIEIEdlg45g0/FOA5eJlMMfMuI43dNnGUiQIhww1VDH6TMpQVGQxjJwnTt7BtRZj&#10;km0pTYtdgttGTpSaSos1p4UKPa0qKk7bs9Xw98U+X3eyOFxX/ueYz5rv826v9dtr//kBIlIfn+FH&#10;OzcaJmo8Ve9w/5O+gFzcAAAA//8DAFBLAQItABQABgAIAAAAIQDb4fbL7gAAAIUBAAATAAAAAAAA&#10;AAAAAAAAAAAAAABbQ29udGVudF9UeXBlc10ueG1sUEsBAi0AFAAGAAgAAAAhAFr0LFu/AAAAFQEA&#10;AAsAAAAAAAAAAAAAAAAAHwEAAF9yZWxzLy5yZWxzUEsBAi0AFAAGAAgAAAAhAJDEUavHAAAA3wAA&#10;AA8AAAAAAAAAAAAAAAAABwIAAGRycy9kb3ducmV2LnhtbFBLBQYAAAAAAwADALcAAAD7AgAAAAA=&#10;" filled="f" stroked="f">
                  <v:textbox inset="0,0,0,0">
                    <w:txbxContent>
                      <w:p w14:paraId="2B14A96B" w14:textId="77777777" w:rsidR="00B32EF2" w:rsidRDefault="00000000">
                        <w:r>
                          <w:rPr>
                            <w:rFonts w:ascii="Arial" w:eastAsia="Arial" w:hAnsi="Arial" w:cs="Arial"/>
                            <w:sz w:val="18"/>
                          </w:rPr>
                          <w:t xml:space="preserve"> della legge 22 giugno 1988, n. 221, è fatta con decreto del Ministro dell’eco</w:t>
                        </w:r>
                      </w:p>
                    </w:txbxContent>
                  </v:textbox>
                </v:rect>
                <v:rect id="Rectangle 201608" o:spid="_x0000_s5547" style="position:absolute;left:26357;top:24200;width:52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QwwwAAAN8AAAAPAAAAZHJzL2Rvd25yZXYueG1sRE/LisIw&#10;FN0P+A/hCrMbE12IVKOIInbhxhe4vDTXtjPNTWii7fj1k8WAy8N5L1a9bcST2lA71jAeKRDEhTM1&#10;lxou593XDESIyAYbx6ThlwKsloOPBWbGdXyk5ymWIoVwyFBDFaPPpAxFRRbDyHnixN1dazEm2JbS&#10;tNilcNvIiVJTabHm1FChp01Fxc/pYTXctuzzXSeL+2vjD9/5rNk/LletP4f9eg4iUh/f4n93bjRM&#10;1Hiq0uD0J30BufwDAAD//wMAUEsBAi0AFAAGAAgAAAAhANvh9svuAAAAhQEAABMAAAAAAAAAAAAA&#10;AAAAAAAAAFtDb250ZW50X1R5cGVzXS54bWxQSwECLQAUAAYACAAAACEAWvQsW78AAAAVAQAACwAA&#10;AAAAAAAAAAAAAAAfAQAAX3JlbHMvLnJlbHNQSwECLQAUAAYACAAAACEA/4j0MMMAAADfAAAADwAA&#10;AAAAAAAAAAAAAAAHAgAAZHJzL2Rvd25yZXYueG1sUEsFBgAAAAADAAMAtwAAAPcCAAAAAA==&#10;" filled="f" stroked="f">
                  <v:textbox inset="0,0,0,0">
                    <w:txbxContent>
                      <w:p w14:paraId="653D803F" w14:textId="77777777" w:rsidR="00B32EF2" w:rsidRDefault="00000000">
                        <w:r>
                          <w:rPr>
                            <w:rFonts w:ascii="Arial" w:eastAsia="Arial" w:hAnsi="Arial" w:cs="Arial"/>
                            <w:sz w:val="18"/>
                          </w:rPr>
                          <w:t>2</w:t>
                        </w:r>
                      </w:p>
                    </w:txbxContent>
                  </v:textbox>
                </v:rect>
                <v:rect id="Rectangle 21019" o:spid="_x0000_s5548" style="position:absolute;left:195;top:242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YMxgAAAN4AAAAPAAAAZHJzL2Rvd25yZXYueG1sRI9Ba8JA&#10;FITvQv/D8gredBMPYlNXEUXMwYvWQo+P7DNJzb5dsquJ/npXKPQ4zMw3zHzZm0bcqPW1ZQXpOAFB&#10;XFhdc6ng9LUdzUD4gKyxsUwK7uRhuXgbzDHTtuMD3Y6hFBHCPkMFVQguk9IXFRn0Y+uIo3e2rcEQ&#10;ZVtK3WIX4aaRkySZSoM1x4UKHa0rKi7Hq1Hws2GXbztZnB9rt//NZ83uevpWavjerz5BBOrDf/iv&#10;nWsFkzRJP+B1J14BuXgCAAD//wMAUEsBAi0AFAAGAAgAAAAhANvh9svuAAAAhQEAABMAAAAAAAAA&#10;AAAAAAAAAAAAAFtDb250ZW50X1R5cGVzXS54bWxQSwECLQAUAAYACAAAACEAWvQsW78AAAAVAQAA&#10;CwAAAAAAAAAAAAAAAAAfAQAAX3JlbHMvLnJlbHNQSwECLQAUAAYACAAAACEAq4P2DMYAAADeAAAA&#10;DwAAAAAAAAAAAAAAAAAHAgAAZHJzL2Rvd25yZXYueG1sUEsFBgAAAAADAAMAtwAAAPoCAAAAAA==&#10;" filled="f" stroked="f">
                  <v:textbox inset="0,0,0,0">
                    <w:txbxContent>
                      <w:p w14:paraId="277422D2" w14:textId="77777777" w:rsidR="00B32EF2" w:rsidRDefault="00000000">
                        <w:r>
                          <w:rPr>
                            <w:rFonts w:ascii="Arial" w:eastAsia="Arial" w:hAnsi="Arial" w:cs="Arial"/>
                            <w:sz w:val="18"/>
                          </w:rPr>
                          <w:t>-</w:t>
                        </w:r>
                      </w:p>
                    </w:txbxContent>
                  </v:textbox>
                </v:rect>
                <v:rect id="Rectangle 21020" o:spid="_x0000_s5549" style="position:absolute;left:25018;top:22967;width:149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ZUsxQAAAN4AAAAPAAAAZHJzL2Rvd25yZXYueG1sRI+7asMw&#10;FIb3Qt5BnEC2Ro6HEtwooSSYeOgSN4WOB+vEdmsdCUu+JE9fDYWOP/+Nb3eYTSdG6n1rWcFmnYAg&#10;rqxuuVZw/ciftyB8QNbYWSYFd/Jw2C+edphpO/GFxjLUIo6wz1BBE4LLpPRVQwb92jri6N1sbzBE&#10;2ddS9zjFcdPJNElepMGW40ODjo4NVT/lYBR8ndgV+SSr2+Po3r+LbXcerp9KrZbz2yuIQHP4D/+1&#10;C60g3SRpBIg4EQXk/hcAAP//AwBQSwECLQAUAAYACAAAACEA2+H2y+4AAACFAQAAEwAAAAAAAAAA&#10;AAAAAAAAAAAAW0NvbnRlbnRfVHlwZXNdLnhtbFBLAQItABQABgAIAAAAIQBa9CxbvwAAABUBAAAL&#10;AAAAAAAAAAAAAAAAAB8BAABfcmVscy8ucmVsc1BLAQItABQABgAIAAAAIQD01ZUsxQAAAN4AAAAP&#10;AAAAAAAAAAAAAAAAAAcCAABkcnMvZG93bnJldi54bWxQSwUGAAAAAAMAAwC3AAAA+QIAAAAA&#10;" filled="f" stroked="f">
                  <v:textbox inset="0,0,0,0">
                    <w:txbxContent>
                      <w:p w14:paraId="1FDD4AFD" w14:textId="77777777" w:rsidR="00B32EF2" w:rsidRDefault="00000000">
                        <w:r>
                          <w:rPr>
                            <w:rFonts w:ascii="Arial" w:eastAsia="Arial" w:hAnsi="Arial" w:cs="Arial"/>
                            <w:sz w:val="18"/>
                          </w:rPr>
                          <w:t>nomia e delle finanze.</w:t>
                        </w:r>
                      </w:p>
                    </w:txbxContent>
                  </v:textbox>
                </v:rect>
                <v:rect id="Rectangle 21021" o:spid="_x0000_s5550" style="position:absolute;left:15074;top:20500;width:8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TC3xgAAAN4AAAAPAAAAZHJzL2Rvd25yZXYueG1sRI9Pi8Iw&#10;FMTvC36H8ARva9oeRKpRRBF78LL+AY+P5tl2t3kJTbTd/fSbhQWPw8z8hlmuB9OKJ3W+sawgnSYg&#10;iEurG64UXM779zkIH5A1tpZJwTd5WK9Gb0vMte35g56nUIkIYZ+jgjoEl0vpy5oM+ql1xNG7285g&#10;iLKrpO6wj3DTyixJZtJgw3GhRkfbmsqv08MouO3YFftelvefrTt+FvP28LhclZqMh80CRKAhvML/&#10;7UIryNIkS+HvTrwCcvULAAD//wMAUEsBAi0AFAAGAAgAAAAhANvh9svuAAAAhQEAABMAAAAAAAAA&#10;AAAAAAAAAAAAAFtDb250ZW50X1R5cGVzXS54bWxQSwECLQAUAAYACAAAACEAWvQsW78AAAAVAQAA&#10;CwAAAAAAAAAAAAAAAAAfAQAAX3JlbHMvLnJlbHNQSwECLQAUAAYACAAAACEAm5kwt8YAAADeAAAA&#10;DwAAAAAAAAAAAAAAAAAHAgAAZHJzL2Rvd25yZXYueG1sUEsFBgAAAAADAAMAtwAAAPoCAAAAAA==&#10;" filled="f" stroked="f">
                  <v:textbox inset="0,0,0,0">
                    <w:txbxContent>
                      <w:p w14:paraId="1A086C52" w14:textId="77777777" w:rsidR="00B32EF2" w:rsidRDefault="00000000">
                        <w:r>
                          <w:rPr>
                            <w:rFonts w:ascii="Arial" w:eastAsia="Arial" w:hAnsi="Arial" w:cs="Arial"/>
                            <w:b/>
                            <w:sz w:val="18"/>
                          </w:rPr>
                          <w:t>Articolo 42</w:t>
                        </w:r>
                      </w:p>
                    </w:txbxContent>
                  </v:textbox>
                </v:rect>
                <v:rect id="Rectangle 201606" o:spid="_x0000_s5551" style="position:absolute;left:-2655;top:19267;width:194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8XZxwAAAN8AAAAPAAAAZHJzL2Rvd25yZXYueG1sRI9PawIx&#10;FMTvhX6H8AreaqKHRbZGEYt0D17qH/D42Dx3t25ewia62376RhA8DjPzG2a+HGwrbtSFxrGGyViB&#10;IC6dabjScNhv3mcgQkQ22DomDb8UYLl4fZljblzP33TbxUokCIccNdQx+lzKUNZkMYydJ07e2XUW&#10;Y5JdJU2HfYLbVk6VyqTFhtNCjZ7WNZWX3dVqOH2yLza9LM9/a7/9KWbt1/Vw1Hr0Nqw+QEQa4jP8&#10;aBdGw1RNMpXB/U/6AnLxDwAA//8DAFBLAQItABQABgAIAAAAIQDb4fbL7gAAAIUBAAATAAAAAAAA&#10;AAAAAAAAAAAAAABbQ29udGVudF9UeXBlc10ueG1sUEsBAi0AFAAGAAgAAAAhAFr0LFu/AAAAFQEA&#10;AAsAAAAAAAAAAAAAAAAAHwEAAF9yZWxzLy5yZWxzUEsBAi0AFAAGAAgAAAAhAOFbxdnHAAAA3wAA&#10;AA8AAAAAAAAAAAAAAAAABwIAAGRycy9kb3ducmV2LnhtbFBLBQYAAAAAAwADALcAAAD7AgAAAAA=&#10;" filled="f" stroked="f">
                  <v:textbox inset="0,0,0,0">
                    <w:txbxContent>
                      <w:p w14:paraId="6747FDE5" w14:textId="77777777" w:rsidR="00B32EF2" w:rsidRDefault="00000000">
                        <w:r>
                          <w:rPr>
                            <w:rFonts w:ascii="Arial" w:eastAsia="Arial" w:hAnsi="Arial" w:cs="Arial"/>
                            <w:i/>
                            <w:sz w:val="18"/>
                          </w:rPr>
                          <w:t>545/92)</w:t>
                        </w:r>
                      </w:p>
                    </w:txbxContent>
                  </v:textbox>
                </v:rect>
                <v:rect id="Rectangle 201607" o:spid="_x0000_s5552" style="position:absolute;left:11618;top:19267;width:194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2BCxwAAAN8AAAAPAAAAZHJzL2Rvd25yZXYueG1sRI9PawIx&#10;FMTvQr9DeIXeNNGDytYoxSLdQy/+gx4fm+fu6uYlbKK77advBMHjMDO/YRar3jbiRm2oHWsYjxQI&#10;4sKZmksNh/1mOAcRIrLBxjFp+KUAq+XLYIGZcR1v6baLpUgQDhlqqGL0mZShqMhiGDlPnLyTay3G&#10;JNtSmha7BLeNnCg1lRZrTgsVelpXVFx2V6vh55N9vulkcfpb++9zPm++roej1m+v/cc7iEh9fIYf&#10;7dxomKjxVM3g/id9Abn8BwAA//8DAFBLAQItABQABgAIAAAAIQDb4fbL7gAAAIUBAAATAAAAAAAA&#10;AAAAAAAAAAAAAABbQ29udGVudF9UeXBlc10ueG1sUEsBAi0AFAAGAAgAAAAhAFr0LFu/AAAAFQEA&#10;AAsAAAAAAAAAAAAAAAAAHwEAAF9yZWxzLy5yZWxzUEsBAi0AFAAGAAgAAAAhAI4XYELHAAAA3wAA&#10;AA8AAAAAAAAAAAAAAAAABwIAAGRycy9kb3ducmV2LnhtbFBLBQYAAAAAAwADALcAAAD7AgAAAAA=&#10;" filled="f" stroked="f">
                  <v:textbox inset="0,0,0,0">
                    <w:txbxContent>
                      <w:p w14:paraId="00A131E1" w14:textId="77777777" w:rsidR="00B32EF2" w:rsidRDefault="00000000">
                        <w:r>
                          <w:rPr>
                            <w:rFonts w:ascii="Arial" w:eastAsia="Arial" w:hAnsi="Arial" w:cs="Arial"/>
                            <w:i/>
                            <w:sz w:val="18"/>
                          </w:rPr>
                          <w:t xml:space="preserve">articolo 34 D.lgs. n. </w:t>
                        </w:r>
                      </w:p>
                    </w:txbxContent>
                  </v:textbox>
                </v:rect>
                <v:rect id="Rectangle 201605" o:spid="_x0000_s5553" style="position:absolute;left:22226;top:19267;width:194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VuuxwAAAN8AAAAPAAAAZHJzL2Rvd25yZXYueG1sRI9PawIx&#10;FMTvhX6H8Aq91UShIlujFIt0D178Bz0+Ns/d1c1L2ER366c3guBxmJnfMNN5bxtxoTbUjjUMBwoE&#10;ceFMzaWG3Xb5MQERIrLBxjFp+KcA89nryxQz4zpe02UTS5EgHDLUUMXoMylDUZHFMHCeOHkH11qM&#10;SbalNC12CW4bOVJqLC3WnBYq9LSoqDhtzlbD3w/7fNnJ4nBd+NUxnzS/591e6/e3/vsLRKQ+PsOP&#10;dm40jNRwrD7h/id9ATm7AQAA//8DAFBLAQItABQABgAIAAAAIQDb4fbL7gAAAIUBAAATAAAAAAAA&#10;AAAAAAAAAAAAAABbQ29udGVudF9UeXBlc10ueG1sUEsBAi0AFAAGAAgAAAAhAFr0LFu/AAAAFQEA&#10;AAsAAAAAAAAAAAAAAAAAHwEAAF9yZWxzLy5yZWxzUEsBAi0AFAAGAAgAAAAhABGJW67HAAAA3wAA&#10;AA8AAAAAAAAAAAAAAAAABwIAAGRycy9kb3ducmV2LnhtbFBLBQYAAAAAAwADALcAAAD7AgAAAAA=&#10;" filled="f" stroked="f">
                  <v:textbox inset="0,0,0,0">
                    <w:txbxContent>
                      <w:p w14:paraId="6AF86587" w14:textId="77777777" w:rsidR="00B32EF2" w:rsidRDefault="00000000">
                        <w:r>
                          <w:rPr>
                            <w:rFonts w:ascii="Arial" w:eastAsia="Arial" w:hAnsi="Arial" w:cs="Arial"/>
                            <w:i/>
                            <w:sz w:val="18"/>
                          </w:rPr>
                          <w:t>(</w:t>
                        </w:r>
                      </w:p>
                    </w:txbxContent>
                  </v:textbox>
                </v:rect>
                <v:rect id="Rectangle 21023" o:spid="_x0000_s5554" style="position:absolute;left:-2063;top:18034;width:352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wtbxgAAAN4AAAAPAAAAZHJzL2Rvd25yZXYueG1sRI9Ba8JA&#10;FITvBf/D8oTe6sYURFJXEUXMoRdtBI+P7DNJzb5dsqtJ++u7gtDjMDPfMIvVYFpxp843lhVMJwkI&#10;4tLqhisFxdfubQ7CB2SNrWVS8EMeVsvRywIzbXs+0P0YKhEh7DNUUIfgMil9WZNBP7GOOHoX2xkM&#10;UXaV1B32EW5amSbJTBpsOC7U6GhTU3k93oyC85ZdvutlefnduM/vfN7ub8VJqdfxsP4AEWgI/+Fn&#10;O9cK0mmSvsPjTrwCcvkHAAD//wMAUEsBAi0AFAAGAAgAAAAhANvh9svuAAAAhQEAABMAAAAAAAAA&#10;AAAAAAAAAAAAAFtDb250ZW50X1R5cGVzXS54bWxQSwECLQAUAAYACAAAACEAWvQsW78AAAAVAQAA&#10;CwAAAAAAAAAAAAAAAAAfAQAAX3JlbHMvLnJlbHNQSwECLQAUAAYACAAAACEABAcLW8YAAADeAAAA&#10;DwAAAAAAAAAAAAAAAAAHAgAAZHJzL2Rvd25yZXYueG1sUEsFBgAAAAADAAMAtwAAAPoCAAAAAA==&#10;" filled="f" stroked="f">
                  <v:textbox inset="0,0,0,0">
                    <w:txbxContent>
                      <w:p w14:paraId="1A58BA20" w14:textId="77777777" w:rsidR="00B32EF2" w:rsidRDefault="00000000">
                        <w:r>
                          <w:rPr>
                            <w:rFonts w:ascii="Arial" w:eastAsia="Arial" w:hAnsi="Arial" w:cs="Arial"/>
                            <w:b/>
                            <w:sz w:val="18"/>
                          </w:rPr>
                          <w:t xml:space="preserve">Amministrazione del personale delle segreterie </w:t>
                        </w:r>
                      </w:p>
                    </w:txbxContent>
                  </v:textbox>
                </v:rect>
                <v:rect id="Rectangle 201604" o:spid="_x0000_s5555" style="position:absolute;left:-13760;top:168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41xwAAAN8AAAAPAAAAZHJzL2Rvd25yZXYueG1sRI9PawIx&#10;FMTvhX6H8Aq91UQpIlujFIt0D178Bz0+Ns/d1c1L2ER366c3guBxmJnfMNN5bxtxoTbUjjUMBwoE&#10;ceFMzaWG3Xb5MQERIrLBxjFp+KcA89nryxQz4zpe02UTS5EgHDLUUMXoMylDUZHFMHCeOHkH11qM&#10;SbalNC12CW4bOVJqLC3WnBYq9LSoqDhtzlbD3w/7fNnJ4nBd+NUxnzS/591e6/e3/vsLRKQ+PsOP&#10;dm40jNRwrD7h/id9ATm7AQAA//8DAFBLAQItABQABgAIAAAAIQDb4fbL7gAAAIUBAAATAAAAAAAA&#10;AAAAAAAAAAAAAABbQ29udGVudF9UeXBlc10ueG1sUEsBAi0AFAAGAAgAAAAhAFr0LFu/AAAAFQEA&#10;AAsAAAAAAAAAAAAAAAAAHwEAAF9yZWxzLy5yZWxzUEsBAi0AFAAGAAgAAAAhAH7F/jXHAAAA3wAA&#10;AA8AAAAAAAAAAAAAAAAABwIAAGRycy9kb3ducmV2LnhtbFBLBQYAAAAAAwADALcAAAD7AgAAAAA=&#10;" filled="f" stroked="f">
                  <v:textbox inset="0,0,0,0">
                    <w:txbxContent>
                      <w:p w14:paraId="039D5D74" w14:textId="77777777" w:rsidR="00B32EF2" w:rsidRDefault="00000000">
                        <w:r>
                          <w:rPr>
                            <w:rFonts w:ascii="Arial" w:eastAsia="Arial" w:hAnsi="Arial" w:cs="Arial"/>
                            <w:sz w:val="18"/>
                          </w:rPr>
                          <w:t xml:space="preserve">. Il personale di cui all’articolo 40 dipende organicamente dal Dipartimento </w:t>
                        </w:r>
                      </w:p>
                    </w:txbxContent>
                  </v:textbox>
                </v:rect>
                <v:rect id="Rectangle 201603" o:spid="_x0000_s5556" style="position:absolute;left:26112;top:168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GZBxwAAAN8AAAAPAAAAZHJzL2Rvd25yZXYueG1sRI9PawIx&#10;FMTvhX6H8Aq91UQLIlujFIt0D178Bz0+Ns/d1c1L2ER366c3guBxmJnfMNN5bxtxoTbUjjUMBwoE&#10;ceFMzaWG3Xb5MQERIrLBxjFp+KcA89nryxQz4zpe02UTS5EgHDLUUMXoMylDUZHFMHCeOHkH11qM&#10;SbalNC12CW4bOVJqLC3WnBYq9LSoqDhtzlbD3w/7fNnJ4nBd+NUxnzS/591e6/e3/vsLRKQ+PsOP&#10;dm40jNRwrD7h/id9ATm7AQAA//8DAFBLAQItABQABgAIAAAAIQDb4fbL7gAAAIUBAAATAAAAAAAA&#10;AAAAAAAAAAAAAABbQ29udGVudF9UeXBlc10ueG1sUEsBAi0AFAAGAAgAAAAhAFr0LFu/AAAAFQEA&#10;AAsAAAAAAAAAAAAAAAAAHwEAAF9yZWxzLy5yZWxzUEsBAi0AFAAGAAgAAAAhAPEsZkHHAAAA3wAA&#10;AA8AAAAAAAAAAAAAAAAABwIAAGRycy9kb3ducmV2LnhtbFBLBQYAAAAAAwADALcAAAD7AgAAAAA=&#10;" filled="f" stroked="f">
                  <v:textbox inset="0,0,0,0">
                    <w:txbxContent>
                      <w:p w14:paraId="52A68DBC" w14:textId="77777777" w:rsidR="00B32EF2" w:rsidRDefault="00000000">
                        <w:r>
                          <w:rPr>
                            <w:rFonts w:ascii="Arial" w:eastAsia="Arial" w:hAnsi="Arial" w:cs="Arial"/>
                            <w:sz w:val="18"/>
                          </w:rPr>
                          <w:t>1</w:t>
                        </w:r>
                      </w:p>
                    </w:txbxContent>
                  </v:textbox>
                </v:rect>
                <v:rect id="Rectangle 21025" o:spid="_x0000_s5557" style="position:absolute;left:-5438;top:15567;width:453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ja0xgAAAN4AAAAPAAAAZHJzL2Rvd25yZXYueG1sRI9Ba8JA&#10;FITvBf/D8oTe6sZARVJXEUXMoRdtBI+P7DNJzb5dsqtJ++u7gtDjMDPfMIvVYFpxp843lhVMJwkI&#10;4tLqhisFxdfubQ7CB2SNrWVS8EMeVsvRywIzbXs+0P0YKhEh7DNUUIfgMil9WZNBP7GOOHoX2xkM&#10;UXaV1B32EW5amSbJTBpsOC7U6GhTU3k93oyC85ZdvutlefnduM/vfN7ub8VJqdfxsP4AEWgI/+Fn&#10;O9cK0mmSvsPjTrwCcvkHAAD//wMAUEsBAi0AFAAGAAgAAAAhANvh9svuAAAAhQEAABMAAAAAAAAA&#10;AAAAAAAAAAAAAFtDb250ZW50X1R5cGVzXS54bWxQSwECLQAUAAYACAAAACEAWvQsW78AAAAVAQAA&#10;CwAAAAAAAAAAAAAAAAAfAQAAX3JlbHMvLnJlbHNQSwECLQAUAAYACAAAACEA5KI2tMYAAADeAAAA&#10;DwAAAAAAAAAAAAAAAAAHAgAAZHJzL2Rvd25yZXYueG1sUEsFBgAAAAADAAMAtwAAAPoCAAAAAA==&#10;" filled="f" stroked="f">
                  <v:textbox inset="0,0,0,0">
                    <w:txbxContent>
                      <w:p w14:paraId="1ECC071A" w14:textId="77777777" w:rsidR="00B32EF2" w:rsidRDefault="00000000">
                        <w:r>
                          <w:rPr>
                            <w:rFonts w:ascii="Arial" w:eastAsia="Arial" w:hAnsi="Arial" w:cs="Arial"/>
                            <w:sz w:val="18"/>
                          </w:rPr>
                          <w:t>della giustizia tributaria del Ministero dell’economia e delle finanze.</w:t>
                        </w:r>
                      </w:p>
                    </w:txbxContent>
                  </v:textbox>
                </v:rect>
                <v:rect id="Rectangle 21026" o:spid="_x0000_s5558" style="position:absolute;left:15060;top:13101;width:812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KjDxgAAAN4AAAAPAAAAZHJzL2Rvd25yZXYueG1sRI9Pi8Iw&#10;FMTvgt8hvAVvmtqDSNco4iL24MV/4PHRPNuuzUtoou3upzcLCx6HmfkNs1j1phFPan1tWcF0koAg&#10;LqyuuVRwPm3HcxA+IGtsLJOCH/KwWg4HC8y07fhAz2MoRYSwz1BBFYLLpPRFRQb9xDri6N1sazBE&#10;2ZZSt9hFuGlkmiQzabDmuFCho01Fxf34MAquX+zybSeL2+/G7b/zebN7nC9KjT769SeIQH14h//b&#10;uVaQTpN0Bn934hWQyxcAAAD//wMAUEsBAi0AFAAGAAgAAAAhANvh9svuAAAAhQEAABMAAAAAAAAA&#10;AAAAAAAAAAAAAFtDb250ZW50X1R5cGVzXS54bWxQSwECLQAUAAYACAAAACEAWvQsW78AAAAVAQAA&#10;CwAAAAAAAAAAAAAAAAAfAQAAX3JlbHMvLnJlbHNQSwECLQAUAAYACAAAACEAFHCow8YAAADeAAAA&#10;DwAAAAAAAAAAAAAAAAAHAgAAZHJzL2Rvd25yZXYueG1sUEsFBgAAAAADAAMAtwAAAPoCAAAAAA==&#10;" filled="f" stroked="f">
                  <v:textbox inset="0,0,0,0">
                    <w:txbxContent>
                      <w:p w14:paraId="73A4928B" w14:textId="77777777" w:rsidR="00B32EF2" w:rsidRDefault="00000000">
                        <w:r>
                          <w:rPr>
                            <w:rFonts w:ascii="Arial" w:eastAsia="Arial" w:hAnsi="Arial" w:cs="Arial"/>
                            <w:b/>
                            <w:sz w:val="18"/>
                          </w:rPr>
                          <w:t>Articolo 43</w:t>
                        </w:r>
                      </w:p>
                    </w:txbxContent>
                  </v:textbox>
                </v:rect>
                <v:rect id="Rectangle 201602" o:spid="_x0000_s5559" style="position:absolute;left:11624;top:11867;width:194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MPayAAAAN8AAAAPAAAAZHJzL2Rvd25yZXYueG1sRI/BasMw&#10;EETvgf6D2EJviRQfQnCjmOAS6kMvSVPocbE2thtrJSwldvv1UaHQ4zAzb5hNMdle3GgInWMNy4UC&#10;QVw703Gj4fS+n69BhIhssHdMGr4pQLF9mG0wN27kA92OsREJwiFHDW2MPpcy1C1ZDAvniZN3doPF&#10;mOTQSDPgmOC2l5lSK2mx47TQoqeypfpyvFoNny/sq/0o6/NP6d++qnX/ej19aP30OO2eQUSa4n/4&#10;r10ZDZlarlQGv3/SF5DbOwAAAP//AwBQSwECLQAUAAYACAAAACEA2+H2y+4AAACFAQAAEwAAAAAA&#10;AAAAAAAAAAAAAAAAW0NvbnRlbnRfVHlwZXNdLnhtbFBLAQItABQABgAIAAAAIQBa9CxbvwAAABUB&#10;AAALAAAAAAAAAAAAAAAAAB8BAABfcmVscy8ucmVsc1BLAQItABQABgAIAAAAIQCeYMPayAAAAN8A&#10;AAAPAAAAAAAAAAAAAAAAAAcCAABkcnMvZG93bnJldi54bWxQSwUGAAAAAAMAAwC3AAAA/AIAAAAA&#10;" filled="f" stroked="f">
                  <v:textbox inset="0,0,0,0">
                    <w:txbxContent>
                      <w:p w14:paraId="3568F0AB" w14:textId="77777777" w:rsidR="00B32EF2" w:rsidRDefault="00000000">
                        <w:r>
                          <w:rPr>
                            <w:rFonts w:ascii="Arial" w:eastAsia="Arial" w:hAnsi="Arial" w:cs="Arial"/>
                            <w:i/>
                            <w:sz w:val="18"/>
                          </w:rPr>
                          <w:t xml:space="preserve">articolo 35 D.lgs. n. </w:t>
                        </w:r>
                      </w:p>
                    </w:txbxContent>
                  </v:textbox>
                </v:rect>
                <v:rect id="Rectangle 201601" o:spid="_x0000_s5560" style="position:absolute;left:-2642;top:11867;width:194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l2txwAAAN8AAAAPAAAAZHJzL2Rvd25yZXYueG1sRI9BawIx&#10;FITvhf6H8ARvNVkPIqtRRJHuwUutgsfH5rm7unkJm+hu++ubQqHHYWa+YZbrwbbiSV1oHGvIJgoE&#10;celMw5WG0+f+bQ4iRGSDrWPS8EUB1qvXlyXmxvX8Qc9jrESCcMhRQx2jz6UMZU0Ww8R54uRdXWcx&#10;JtlV0nTYJ7ht5VSpmbTYcFqo0dO2pvJ+fFgNlx37Yt/L8vq99YdbMW/fH6ez1uPRsFmAiDTE//Bf&#10;uzAapiqbqQx+/6QvIFc/AAAA//8DAFBLAQItABQABgAIAAAAIQDb4fbL7gAAAIUBAAATAAAAAAAA&#10;AAAAAAAAAAAAAABbQ29udGVudF9UeXBlc10ueG1sUEsBAi0AFAAGAAgAAAAhAFr0LFu/AAAAFQEA&#10;AAsAAAAAAAAAAAAAAAAAHwEAAF9yZWxzLy5yZWxzUEsBAi0AFAAGAAgAAAAhAG6yXa3HAAAA3wAA&#10;AA8AAAAAAAAAAAAAAAAABwIAAGRycy9kb3ducmV2LnhtbFBLBQYAAAAAAwADALcAAAD7AgAAAAA=&#10;" filled="f" stroked="f">
                  <v:textbox inset="0,0,0,0">
                    <w:txbxContent>
                      <w:p w14:paraId="27C727C1" w14:textId="77777777" w:rsidR="00B32EF2" w:rsidRDefault="00000000">
                        <w:r>
                          <w:rPr>
                            <w:rFonts w:ascii="Arial" w:eastAsia="Arial" w:hAnsi="Arial" w:cs="Arial"/>
                            <w:i/>
                            <w:sz w:val="18"/>
                          </w:rPr>
                          <w:t>545/92)</w:t>
                        </w:r>
                      </w:p>
                    </w:txbxContent>
                  </v:textbox>
                </v:rect>
                <v:rect id="Rectangle 201600" o:spid="_x0000_s5561" style="position:absolute;left:22225;top:11867;width:194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g2xQAAAN8AAAAPAAAAZHJzL2Rvd25yZXYueG1sRI/LisIw&#10;FIb3A75DOMLsxkQXItUooohduPEGLg/Nse1McxKaaDs+/WQx4PLnv/EtVr1txJPaUDvWMB4pEMSF&#10;MzWXGi7n3dcMRIjIBhvHpOGXAqyWg48FZsZ1fKTnKZYijXDIUEMVo8+kDEVFFsPIeeLk3V1rMSbZ&#10;ltK02KVx28iJUlNpseb0UKGnTUXFz+lhNdy27PNdJ4v7a+MP3/ms2T8uV60/h/16DiJSH9/h/3Zu&#10;NEzUeKoSQeJJLCCXfwAAAP//AwBQSwECLQAUAAYACAAAACEA2+H2y+4AAACFAQAAEwAAAAAAAAAA&#10;AAAAAAAAAAAAW0NvbnRlbnRfVHlwZXNdLnhtbFBLAQItABQABgAIAAAAIQBa9CxbvwAAABUBAAAL&#10;AAAAAAAAAAAAAAAAAB8BAABfcmVscy8ucmVsc1BLAQItABQABgAIAAAAIQAB/vg2xQAAAN8AAAAP&#10;AAAAAAAAAAAAAAAAAAcCAABkcnMvZG93bnJldi54bWxQSwUGAAAAAAMAAwC3AAAA+QIAAAAA&#10;" filled="f" stroked="f">
                  <v:textbox inset="0,0,0,0">
                    <w:txbxContent>
                      <w:p w14:paraId="078580AC" w14:textId="77777777" w:rsidR="00B32EF2" w:rsidRDefault="00000000">
                        <w:r>
                          <w:rPr>
                            <w:rFonts w:ascii="Arial" w:eastAsia="Arial" w:hAnsi="Arial" w:cs="Arial"/>
                            <w:i/>
                            <w:sz w:val="18"/>
                          </w:rPr>
                          <w:t>(</w:t>
                        </w:r>
                      </w:p>
                    </w:txbxContent>
                  </v:textbox>
                </v:rect>
                <v:rect id="Rectangle 21028" o:spid="_x0000_s5562" style="position:absolute;left:350;top:10634;width:314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5kqxAAAAN4AAAAPAAAAZHJzL2Rvd25yZXYueG1sRE+7asMw&#10;FN0L+QdxA9kaOR5KcKOEkmDioUvcFDperBvbrXUlLPmRfH01FDoeznt3mE0nRup9a1nBZp2AIK6s&#10;brlWcP3In7cgfEDW2FkmBXfycNgvnnaYaTvxhcYy1CKGsM9QQROCy6T0VUMG/do64sjdbG8wRNjX&#10;Uvc4xXDTyTRJXqTBlmNDg46ODVU/5WAUfJ3YFfkkq9vj6N6/i213Hq6fSq2W89sriEBz+Bf/uQut&#10;IN0kadwb78QrIPe/AAAA//8DAFBLAQItABQABgAIAAAAIQDb4fbL7gAAAIUBAAATAAAAAAAAAAAA&#10;AAAAAAAAAABbQ29udGVudF9UeXBlc10ueG1sUEsBAi0AFAAGAAgAAAAhAFr0LFu/AAAAFQEAAAsA&#10;AAAAAAAAAAAAAAAAHwEAAF9yZWxzLy5yZWxzUEsBAi0AFAAGAAgAAAAhAAqjmSrEAAAA3gAAAA8A&#10;AAAAAAAAAAAAAAAABwIAAGRycy9kb3ducmV2LnhtbFBLBQYAAAAAAwADALcAAAD4AgAAAAA=&#10;" filled="f" stroked="f">
                  <v:textbox inset="0,0,0,0">
                    <w:txbxContent>
                      <w:p w14:paraId="24F1C9DC" w14:textId="77777777" w:rsidR="00B32EF2" w:rsidRDefault="00000000">
                        <w:r>
                          <w:rPr>
                            <w:rFonts w:ascii="Arial" w:eastAsia="Arial" w:hAnsi="Arial" w:cs="Arial"/>
                            <w:b/>
                            <w:sz w:val="18"/>
                          </w:rPr>
                          <w:t xml:space="preserve">Attribuzioni del personale delle segreterie </w:t>
                        </w:r>
                      </w:p>
                    </w:txbxContent>
                  </v:textbox>
                </v:rect>
                <v:rect id="Rectangle 201599" o:spid="_x0000_s5563" style="position:absolute;left:-12794;top:9401;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6VQxwAAAN8AAAAPAAAAZHJzL2Rvd25yZXYueG1sRI9Ba8JA&#10;FITvgv9heUJvulGoaHQVUcQcvGgt9PjIPpNo9u2SXU3aX+8WCj0OM/MNs1x3phZPanxlWcF4lIAg&#10;zq2uuFBw+dgPZyB8QNZYWyYF3+Rhver3lphq2/KJnudQiAhhn6KCMgSXSunzkgz6kXXE0bvaxmCI&#10;simkbrCNcFPLSZJMpcGK40KJjrYl5ffzwyj42rHL9q3Mrz9bd7xls/rwuHwq9TboNgsQgbrwH/5r&#10;Z1rBJBm/z+fw+yd+Abl6AQAA//8DAFBLAQItABQABgAIAAAAIQDb4fbL7gAAAIUBAAATAAAAAAAA&#10;AAAAAAAAAAAAAABbQ29udGVudF9UeXBlc10ueG1sUEsBAi0AFAAGAAgAAAAhAFr0LFu/AAAAFQEA&#10;AAsAAAAAAAAAAAAAAAAAHwEAAF9yZWxzLy5yZWxzUEsBAi0AFAAGAAgAAAAhAKPrpVDHAAAA3wAA&#10;AA8AAAAAAAAAAAAAAAAABwIAAGRycy9kb3ducmV2LnhtbFBLBQYAAAAAAwADALcAAAD7AgAAAAA=&#10;" filled="f" stroked="f">
                  <v:textbox inset="0,0,0,0">
                    <w:txbxContent>
                      <w:p w14:paraId="410B3448" w14:textId="77777777" w:rsidR="00B32EF2" w:rsidRDefault="00000000">
                        <w:r>
                          <w:rPr>
                            <w:rFonts w:ascii="Arial" w:eastAsia="Arial" w:hAnsi="Arial" w:cs="Arial"/>
                            <w:sz w:val="18"/>
                          </w:rPr>
                          <w:t>. Agli uffici di segreteria delle Corti di giustizia tributaria sono preposti diri</w:t>
                        </w:r>
                      </w:p>
                    </w:txbxContent>
                  </v:textbox>
                </v:rect>
                <v:rect id="Rectangle 201598" o:spid="_x0000_s5564" style="position:absolute;left:26352;top:9401;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DLxQAAAN8AAAAPAAAAZHJzL2Rvd25yZXYueG1sRE/LasJA&#10;FN0X/IfhCt3ViUJLmjqKKGIW3TRVcHnJXJPUzJ0hM3m0X99ZFLo8nPd6O5lWDNT5xrKC5SIBQVxa&#10;3XCl4Px5fEpB+ICssbVMCr7Jw3Yze1hjpu3IHzQUoRIxhH2GCuoQXCalL2sy6BfWEUfuZjuDIcKu&#10;krrDMYabVq6S5EUabDg21OhoX1N5L3qj4Hpglx9HWd5+9u79K0/bU3++KPU4n3ZvIAJN4V/85861&#10;glWyfH6Ng+Of+AXk5hcAAP//AwBQSwECLQAUAAYACAAAACEA2+H2y+4AAACFAQAAEwAAAAAAAAAA&#10;AAAAAAAAAAAAW0NvbnRlbnRfVHlwZXNdLnhtbFBLAQItABQABgAIAAAAIQBa9CxbvwAAABUBAAAL&#10;AAAAAAAAAAAAAAAAAB8BAABfcmVscy8ucmVsc1BLAQItABQABgAIAAAAIQDMpwDLxQAAAN8AAAAP&#10;AAAAAAAAAAAAAAAAAAcCAABkcnMvZG93bnJldi54bWxQSwUGAAAAAAMAAwC3AAAA+QIAAAAA&#10;" filled="f" stroked="f">
                  <v:textbox inset="0,0,0,0">
                    <w:txbxContent>
                      <w:p w14:paraId="16D222D5" w14:textId="77777777" w:rsidR="00B32EF2" w:rsidRDefault="00000000">
                        <w:r>
                          <w:rPr>
                            <w:rFonts w:ascii="Arial" w:eastAsia="Arial" w:hAnsi="Arial" w:cs="Arial"/>
                            <w:sz w:val="18"/>
                          </w:rPr>
                          <w:t>1</w:t>
                        </w:r>
                      </w:p>
                    </w:txbxContent>
                  </v:textbox>
                </v:rect>
                <v:rect id="Rectangle 21030" o:spid="_x0000_s5565" style="position:absolute;left:195;top:940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APxxAAAAN4AAAAPAAAAZHJzL2Rvd25yZXYueG1sRI/NisIw&#10;FIX3wrxDuMLsNFVBpGMUcRC7mI1aYZaX5tpWm5vQRNuZpzcLweXh/PEt171pxINaX1tWMBknIIgL&#10;q2suFeSn3WgBwgdkjY1lUvBHHtarj8ESU207PtDjGEoRR9inqKAKwaVS+qIig35sHXH0LrY1GKJs&#10;S6lb7OK4aeQ0SebSYM3xoUJH24qK2/FuFPx+s8t2nSwu/1v3c80Wzf6en5X6HPabLxCB+vAOv9qZ&#10;VjCdJLMIEHEiCsjVEwAA//8DAFBLAQItABQABgAIAAAAIQDb4fbL7gAAAIUBAAATAAAAAAAAAAAA&#10;AAAAAAAAAABbQ29udGVudF9UeXBlc10ueG1sUEsBAi0AFAAGAAgAAAAhAFr0LFu/AAAAFQEAAAsA&#10;AAAAAAAAAAAAAAAAHwEAAF9yZWxzLy5yZWxzUEsBAi0AFAAGAAgAAAAhAHEMA/HEAAAA3gAAAA8A&#10;AAAAAAAAAAAAAAAABwIAAGRycy9kb3ducmV2LnhtbFBLBQYAAAAAAwADALcAAAD4AgAAAAA=&#10;" filled="f" stroked="f">
                  <v:textbox inset="0,0,0,0">
                    <w:txbxContent>
                      <w:p w14:paraId="053B8341" w14:textId="77777777" w:rsidR="00B32EF2" w:rsidRDefault="00000000">
                        <w:r>
                          <w:rPr>
                            <w:rFonts w:ascii="Arial" w:eastAsia="Arial" w:hAnsi="Arial" w:cs="Arial"/>
                            <w:sz w:val="18"/>
                          </w:rPr>
                          <w:t>-</w:t>
                        </w:r>
                      </w:p>
                    </w:txbxContent>
                  </v:textbox>
                </v:rect>
                <v:rect id="Rectangle 21031" o:spid="_x0000_s5566" style="position:absolute;left:-13169;top:81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KZqxgAAAN4AAAAPAAAAZHJzL2Rvd25yZXYueG1sRI9Ba8JA&#10;FITvBf/D8oTe6iYWRFJXEUXMoRdtBI+P7DNJzb5dsqtJ++u7gtDjMDPfMIvVYFpxp843lhWkkwQE&#10;cWl1w5WC4mv3NgfhA7LG1jIp+CEPq+XoZYGZtj0f6H4MlYgQ9hkqqENwmZS+rMmgn1hHHL2L7QyG&#10;KLtK6g77CDetnCbJTBpsOC7U6GhTU3k93oyC85ZdvutlefnduM/vfN7ub8VJqdfxsP4AEWgI/+Fn&#10;O9cKpmnynsLjTrwCcvkHAAD//wMAUEsBAi0AFAAGAAgAAAAhANvh9svuAAAAhQEAABMAAAAAAAAA&#10;AAAAAAAAAAAAAFtDb250ZW50X1R5cGVzXS54bWxQSwECLQAUAAYACAAAACEAWvQsW78AAAAVAQAA&#10;CwAAAAAAAAAAAAAAAAAfAQAAX3JlbHMvLnJlbHNQSwECLQAUAAYACAAAACEAHkCmasYAAADeAAAA&#10;DwAAAAAAAAAAAAAAAAAHAgAAZHJzL2Rvd25yZXYueG1sUEsFBgAAAAADAAMAtwAAAPoCAAAAAA==&#10;" filled="f" stroked="f">
                  <v:textbox inset="0,0,0,0">
                    <w:txbxContent>
                      <w:p w14:paraId="0D68C34F" w14:textId="77777777" w:rsidR="00B32EF2" w:rsidRDefault="00000000">
                        <w:r>
                          <w:rPr>
                            <w:rFonts w:ascii="Arial" w:eastAsia="Arial" w:hAnsi="Arial" w:cs="Arial"/>
                            <w:sz w:val="18"/>
                          </w:rPr>
                          <w:t xml:space="preserve">genti di livello non generale ai quali è attribuita la direzione di uno o più uffici </w:t>
                        </w:r>
                      </w:p>
                    </w:txbxContent>
                  </v:textbox>
                </v:rect>
                <v:rect id="Rectangle 21032" o:spid="_x0000_s5567" style="position:absolute;left:-12747;top:6934;width:526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jgdxgAAAN4AAAAPAAAAZHJzL2Rvd25yZXYueG1sRI9Ba8JA&#10;FITvBf/D8oTe6sYURFJXEUXMoRdtBI+P7DNJzb5dsqtJ++u7gtDjMDPfMIvVYFpxp843lhVMJwkI&#10;4tLqhisFxdfubQ7CB2SNrWVS8EMeVsvRywIzbXs+0P0YKhEh7DNUUIfgMil9WZNBP7GOOHoX2xkM&#10;UXaV1B32EW5amSbJTBpsOC7U6GhTU3k93oyC85ZdvutlefnduM/vfN7ub8VJqdfxsP4AEWgI/+Fn&#10;O9cK0mnynsLjTrwCcvkHAAD//wMAUEsBAi0AFAAGAAgAAAAhANvh9svuAAAAhQEAABMAAAAAAAAA&#10;AAAAAAAAAAAAAFtDb250ZW50X1R5cGVzXS54bWxQSwECLQAUAAYACAAAACEAWvQsW78AAAAVAQAA&#10;CwAAAAAAAAAAAAAAAAAfAQAAX3JlbHMvLnJlbHNQSwECLQAUAAYACAAAACEA7pI4HcYAAADeAAAA&#10;DwAAAAAAAAAAAAAAAAAHAgAAZHJzL2Rvd25yZXYueG1sUEsFBgAAAAADAAMAtwAAAPoCAAAAAA==&#10;" filled="f" stroked="f">
                  <v:textbox inset="0,0,0,0">
                    <w:txbxContent>
                      <w:p w14:paraId="758EF78C" w14:textId="77777777" w:rsidR="00B32EF2" w:rsidRDefault="00000000">
                        <w:r>
                          <w:rPr>
                            <w:rFonts w:ascii="Arial" w:eastAsia="Arial" w:hAnsi="Arial" w:cs="Arial"/>
                            <w:sz w:val="18"/>
                          </w:rPr>
                          <w:t>di segreteria individuati con decreto del Ministro dell’economia e delle finanze.</w:t>
                        </w:r>
                      </w:p>
                    </w:txbxContent>
                  </v:textbox>
                </v:rect>
                <v:rect id="Rectangle 201597" o:spid="_x0000_s5568" style="position:absolute;left:-13826;top:5701;width:531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JS5yAAAAN8AAAAPAAAAZHJzL2Rvd25yZXYueG1sRI9Pa8JA&#10;FMTvgt9heUJvulGo2tRVikXMoRf/FHp8ZJ9J2uzbJbua6KfvCoLHYWZ+wyxWnanFhRpfWVYwHiUg&#10;iHOrKy4UHA+b4RyED8gaa8uk4EoeVst+b4Gpti3v6LIPhYgQ9ikqKENwqZQ+L8mgH1lHHL2TbQyG&#10;KJtC6gbbCDe1nCTJVBqsOC6U6GhdUv63PxsFP5/ssk0r89Nt7b5+s3m9PR+/lXoZdB/vIAJ14Rl+&#10;tDOtYJKMX99mcP8Tv4Bc/gMAAP//AwBQSwECLQAUAAYACAAAACEA2+H2y+4AAACFAQAAEwAAAAAA&#10;AAAAAAAAAAAAAAAAW0NvbnRlbnRfVHlwZXNdLnhtbFBLAQItABQABgAIAAAAIQBa9CxbvwAAABUB&#10;AAALAAAAAAAAAAAAAAAAAB8BAABfcmVscy8ucmVsc1BLAQItABQABgAIAAAAIQC9OJS5yAAAAN8A&#10;AAAPAAAAAAAAAAAAAAAAAAcCAABkcnMvZG93bnJldi54bWxQSwUGAAAAAAMAAwC3AAAA/AIAAAAA&#10;" filled="f" stroked="f">
                  <v:textbox inset="0,0,0,0">
                    <w:txbxContent>
                      <w:p w14:paraId="252A4B37" w14:textId="77777777" w:rsidR="00B32EF2" w:rsidRDefault="00000000">
                        <w:r>
                          <w:rPr>
                            <w:rFonts w:ascii="Arial" w:eastAsia="Arial" w:hAnsi="Arial" w:cs="Arial"/>
                            <w:sz w:val="18"/>
                          </w:rPr>
                          <w:t xml:space="preserve">. Il personale degli uffici di segreteria nell’espletamento dei propri compiti, si </w:t>
                        </w:r>
                      </w:p>
                    </w:txbxContent>
                  </v:textbox>
                </v:rect>
                <v:rect id="Rectangle 201596" o:spid="_x0000_s5569" style="position:absolute;left:26105;top:5701;width:531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DEixwAAAN8AAAAPAAAAZHJzL2Rvd25yZXYueG1sRI9Ba8JA&#10;FITvgv9heYI33SgoNrpKsUhz8FKbQo+P7DOJzb5dsqtJ++vdguBxmJlvmM2uN424Uetrywpm0wQE&#10;cWF1zaWC/PMwWYHwAVljY5kU/JKH3XY42GCqbccfdDuFUkQI+xQVVCG4VEpfVGTQT60jjt7ZtgZD&#10;lG0pdYtdhJtGzpNkKQ3WHBcqdLSvqPg5XY2C7zd22aGTxflv746XbNW8X/Mvpcaj/nUNIlAfnuFH&#10;O9MK5sls8bKE/z/xC8jtHQAA//8DAFBLAQItABQABgAIAAAAIQDb4fbL7gAAAIUBAAATAAAAAAAA&#10;AAAAAAAAAAAAAABbQ29udGVudF9UeXBlc10ueG1sUEsBAi0AFAAGAAgAAAAhAFr0LFu/AAAAFQEA&#10;AAsAAAAAAAAAAAAAAAAAHwEAAF9yZWxzLy5yZWxzUEsBAi0AFAAGAAgAAAAhANJ0MSLHAAAA3wAA&#10;AA8AAAAAAAAAAAAAAAAABwIAAGRycy9kb3ducmV2LnhtbFBLBQYAAAAAAwADALcAAAD7AgAAAAA=&#10;" filled="f" stroked="f">
                  <v:textbox inset="0,0,0,0">
                    <w:txbxContent>
                      <w:p w14:paraId="6D63C406" w14:textId="77777777" w:rsidR="00B32EF2" w:rsidRDefault="00000000">
                        <w:r>
                          <w:rPr>
                            <w:rFonts w:ascii="Arial" w:eastAsia="Arial" w:hAnsi="Arial" w:cs="Arial"/>
                            <w:sz w:val="18"/>
                          </w:rPr>
                          <w:t>2</w:t>
                        </w:r>
                      </w:p>
                    </w:txbxContent>
                  </v:textbox>
                </v:rect>
                <v:rect id="Rectangle 21034" o:spid="_x0000_s5570" style="position:absolute;left:2792;top:4304;width:37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wXyxgAAAN4AAAAPAAAAZHJzL2Rvd25yZXYueG1sRI9Ba8JA&#10;FITvBf/D8gre6kYrRaKrFEWagxetBY+P7DOJZt8u2dVEf70rFDwOM/MNM1t0phZXanxlWcFwkIAg&#10;zq2uuFCw/11/TED4gKyxtkwKbuRhMe+9zTDVtuUtXXehEBHCPkUFZQguldLnJRn0A+uIo3e0jcEQ&#10;ZVNI3WAb4aaWoyT5kgYrjgslOlqWlJ93F6PgsGKXrVuZH+9Ltzllk/rnsv9Tqv/efU9BBOrCK/zf&#10;zrSC0TD5HMPzTrwCcv4AAAD//wMAUEsBAi0AFAAGAAgAAAAhANvh9svuAAAAhQEAABMAAAAAAAAA&#10;AAAAAAAAAAAAAFtDb250ZW50X1R5cGVzXS54bWxQSwECLQAUAAYACAAAACEAWvQsW78AAAAVAQAA&#10;CwAAAAAAAAAAAAAAAAAfAQAAX3JlbHMvLnJlbHNQSwECLQAUAAYACAAAACEADjcF8sYAAADeAAAA&#10;DwAAAAAAAAAAAAAAAAAHAgAAZHJzL2Rvd25yZXYueG1sUEsFBgAAAAADAAMAtwAAAPoCAAAAAA==&#10;" filled="f" stroked="f">
                  <v:textbox inset="0,0,0,0">
                    <w:txbxContent>
                      <w:p w14:paraId="424D01B4" w14:textId="77777777" w:rsidR="00B32EF2" w:rsidRDefault="00000000">
                        <w:r>
                          <w:rPr>
                            <w:rFonts w:ascii="Arial" w:eastAsia="Arial" w:hAnsi="Arial" w:cs="Arial"/>
                            <w:sz w:val="18"/>
                          </w:rPr>
                          <w:t>avvale del sistema informativo della giustizia tributaria.</w:t>
                        </w:r>
                      </w:p>
                    </w:txbxContent>
                  </v:textbox>
                </v:rect>
                <w10:anchorlock/>
              </v:group>
            </w:pict>
          </mc:Fallback>
        </mc:AlternateContent>
      </w:r>
    </w:p>
    <w:p w14:paraId="5B76775A" w14:textId="77777777" w:rsidR="00B32EF2" w:rsidRDefault="00000000">
      <w:pPr>
        <w:spacing w:after="453"/>
        <w:ind w:left="-1440" w:right="7064"/>
      </w:pPr>
      <w:r>
        <w:rPr>
          <w:noProof/>
        </w:rPr>
        <w:lastRenderedPageBreak/>
        <mc:AlternateContent>
          <mc:Choice Requires="wpg">
            <w:drawing>
              <wp:anchor distT="0" distB="0" distL="114300" distR="114300" simplePos="0" relativeHeight="251669504" behindDoc="0" locked="0" layoutInCell="1" allowOverlap="1" wp14:anchorId="009B49B5" wp14:editId="60675F46">
                <wp:simplePos x="0" y="0"/>
                <wp:positionH relativeFrom="page">
                  <wp:posOffset>2632944</wp:posOffset>
                </wp:positionH>
                <wp:positionV relativeFrom="page">
                  <wp:posOffset>397149</wp:posOffset>
                </wp:positionV>
                <wp:extent cx="134112" cy="188456"/>
                <wp:effectExtent l="0" t="0" r="0" b="0"/>
                <wp:wrapTopAndBottom/>
                <wp:docPr id="201798" name="Group 201798"/>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21074" name="Rectangle 21074"/>
                        <wps:cNvSpPr/>
                        <wps:spPr>
                          <a:xfrm rot="-10799999">
                            <a:off x="-44256" y="-62190"/>
                            <a:ext cx="178369" cy="250646"/>
                          </a:xfrm>
                          <a:prstGeom prst="rect">
                            <a:avLst/>
                          </a:prstGeom>
                          <a:ln>
                            <a:noFill/>
                          </a:ln>
                        </wps:spPr>
                        <wps:txbx>
                          <w:txbxContent>
                            <w:p w14:paraId="067FD6BA" w14:textId="77777777" w:rsidR="00B32EF2" w:rsidRDefault="00000000">
                              <w:r>
                                <w:rPr>
                                  <w:rFonts w:ascii="Times New Roman" w:eastAsia="Times New Roman" w:hAnsi="Times New Roman" w:cs="Times New Roman"/>
                                </w:rPr>
                                <w:t>37</w:t>
                              </w:r>
                            </w:p>
                          </w:txbxContent>
                        </wps:txbx>
                        <wps:bodyPr horzOverflow="overflow" vert="horz" lIns="0" tIns="0" rIns="0" bIns="0" rtlCol="0">
                          <a:noAutofit/>
                        </wps:bodyPr>
                      </wps:wsp>
                    </wpg:wgp>
                  </a:graphicData>
                </a:graphic>
              </wp:anchor>
            </w:drawing>
          </mc:Choice>
          <mc:Fallback>
            <w:pict>
              <v:group w14:anchorId="009B49B5" id="Group 201798" o:spid="_x0000_s5571" style="position:absolute;left:0;text-align:left;margin-left:207.3pt;margin-top:31.25pt;width:10.55pt;height:14.85pt;z-index:251669504;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46XGQIAAIEEAAAOAAAAZHJzL2Uyb0RvYy54bWyklNtu2zAMhu8H7B0E3Sc+xE0TI04xrGsw&#10;YFiLdnsARZZsA7IkSErs7OlHyYdsLbCLLhcKRcrUz8+kd3d9K9CZGdsoWeBkGWPEJFVlI6sC//zx&#10;sNhgZB2RJRFKsgJfmMV3+48fdp3OWapqJUpmECSRNu90gWvndB5FltasJXapNJMQ5Mq0xMHWVFFp&#10;SAfZWxGlcbyOOmVKbRRl1oL3fgjifcjPOaPukXPLHBIFBm0urCasR79G+x3JK0N03dBRBnmHipY0&#10;Ei6dU90TR9DJNG9StQ01yirullS1keK8oSzUANUk8atqDkaddKilyrtKz5gA7StO705Lv58PRr/o&#10;JwMkOl0Bi7DztfTctP4fVKI+ILvMyFjvEAVnssqSJMWIQijZbLKb9YCU1sD9zVO0/vLP56Lp0ugv&#10;KZ2G5rDX+u3/1f9SE80CVptD/U8GNWWB0yS+zTCSpIU2fYbGIbISDA3uACecnlHZ3AK1iRMyCnpr&#10;ATm2/hd6YeS2yLIUsCAgtFinyXZsupng7Wa13g4E05t4nQWCMwmSa2PdgakWeaPABqSF9OT8zToQ&#10;BkenI16NkH6V6qERYoh6DwCdBHvL9cc+VJ2tsqDHO4+qvACMWplfjzDSXKiuwGq0sJ9yuN5HMRJf&#10;JbwEP1CTYSbjOBnGic8qjN0g6NPJKd4ExdfbRmXwdoMV+jyUNM6kH6Q/9+HU9cux/w0AAP//AwBQ&#10;SwMEFAAGAAgAAAAhAPfgYzDgAAAACQEAAA8AAABkcnMvZG93bnJldi54bWxMj0FPg0AQhe8m/ofN&#10;mHizCxRQkaFpGvXUNLE1Md6mMAVSdpewW6D/3vWkx8n78t43+WpWnRh5sK3RCOEiAMG6NFWra4TP&#10;w9vDEwjrSFfUGc0IV7awKm5vcsoqM+kPHveuFr5E24wQGuf6TEpbNqzILkzP2mcnMyhy/hxqWQ00&#10;+XLVySgIUqmo1X6hoZ43DZfn/UUhvE80rZfh67g9nzbX70Oy+9qGjHh/N69fQDie3R8Mv/peHQrv&#10;dDQXXVnRIcRhnHoUIY0SEB6Il8kjiCPCcxSBLHL5/4PiBwAA//8DAFBLAQItABQABgAIAAAAIQC2&#10;gziS/gAAAOEBAAATAAAAAAAAAAAAAAAAAAAAAABbQ29udGVudF9UeXBlc10ueG1sUEsBAi0AFAAG&#10;AAgAAAAhADj9If/WAAAAlAEAAAsAAAAAAAAAAAAAAAAALwEAAF9yZWxzLy5yZWxzUEsBAi0AFAAG&#10;AAgAAAAhAGRHjpcZAgAAgQQAAA4AAAAAAAAAAAAAAAAALgIAAGRycy9lMm9Eb2MueG1sUEsBAi0A&#10;FAAGAAgAAAAhAPfgYzDgAAAACQEAAA8AAAAAAAAAAAAAAAAAcwQAAGRycy9kb3ducmV2LnhtbFBL&#10;BQYAAAAABAAEAPMAAACABQAAAAA=&#10;">
                <v:rect id="Rectangle 21074" o:spid="_x0000_s5572"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bwyxgAAAN4AAAAPAAAAZHJzL2Rvd25yZXYueG1sRI9Ba8JA&#10;FITvBf/D8gre6kYpVqKrFEWagxetBY+P7DOJZt8u2dVEf70rFDwOM/MNM1t0phZXanxlWcFwkIAg&#10;zq2uuFCw/11/TED4gKyxtkwKbuRhMe+9zTDVtuUtXXehEBHCPkUFZQguldLnJRn0A+uIo3e0jcEQ&#10;ZVNI3WAb4aaWoyQZS4MVx4USHS1Lys+7i1FwWLHL1q3Mj/el25yySf1z2f8p1X/vvqcgAnXhFf5v&#10;Z1rBaJh8fcLzTrwCcv4AAAD//wMAUEsBAi0AFAAGAAgAAAAhANvh9svuAAAAhQEAABMAAAAAAAAA&#10;AAAAAAAAAAAAAFtDb250ZW50X1R5cGVzXS54bWxQSwECLQAUAAYACAAAACEAWvQsW78AAAAVAQAA&#10;CwAAAAAAAAAAAAAAAAAfAQAAX3JlbHMvLnJlbHNQSwECLQAUAAYACAAAACEAmF28MsYAAADeAAAA&#10;DwAAAAAAAAAAAAAAAAAHAgAAZHJzL2Rvd25yZXYueG1sUEsFBgAAAAADAAMAtwAAAPoCAAAAAA==&#10;" filled="f" stroked="f">
                  <v:textbox inset="0,0,0,0">
                    <w:txbxContent>
                      <w:p w14:paraId="067FD6BA" w14:textId="77777777" w:rsidR="00B32EF2" w:rsidRDefault="00000000">
                        <w:r>
                          <w:rPr>
                            <w:rFonts w:ascii="Times New Roman" w:eastAsia="Times New Roman" w:hAnsi="Times New Roman" w:cs="Times New Roman"/>
                          </w:rPr>
                          <w:t>37</w:t>
                        </w:r>
                      </w:p>
                    </w:txbxContent>
                  </v:textbox>
                </v:rect>
                <w10:wrap type="topAndBottom" anchorx="page" anchory="page"/>
              </v:group>
            </w:pict>
          </mc:Fallback>
        </mc:AlternateContent>
      </w:r>
    </w:p>
    <w:p w14:paraId="6ACD9547" w14:textId="77777777" w:rsidR="00B32EF2" w:rsidRDefault="00000000">
      <w:pPr>
        <w:spacing w:after="608"/>
        <w:ind w:left="-357" w:right="-306"/>
      </w:pPr>
      <w:r>
        <w:rPr>
          <w:noProof/>
        </w:rPr>
        <mc:AlternateContent>
          <mc:Choice Requires="wpg">
            <w:drawing>
              <wp:inline distT="0" distB="0" distL="0" distR="0" wp14:anchorId="78BEEBF1" wp14:editId="4F6E82BF">
                <wp:extent cx="3992008" cy="3067348"/>
                <wp:effectExtent l="0" t="0" r="0" b="0"/>
                <wp:docPr id="201801" name="Group 201801"/>
                <wp:cNvGraphicFramePr/>
                <a:graphic xmlns:a="http://schemas.openxmlformats.org/drawingml/2006/main">
                  <a:graphicData uri="http://schemas.microsoft.com/office/word/2010/wordprocessingGroup">
                    <wpg:wgp>
                      <wpg:cNvGrpSpPr/>
                      <wpg:grpSpPr>
                        <a:xfrm>
                          <a:off x="0" y="0"/>
                          <a:ext cx="3992008" cy="3067348"/>
                          <a:chOff x="0" y="0"/>
                          <a:chExt cx="3992008" cy="3067348"/>
                        </a:xfrm>
                      </wpg:grpSpPr>
                      <wps:wsp>
                        <wps:cNvPr id="21095" name="Rectangle 21095"/>
                        <wps:cNvSpPr/>
                        <wps:spPr>
                          <a:xfrm rot="-10799999">
                            <a:off x="1618531" y="2924458"/>
                            <a:ext cx="629830" cy="142889"/>
                          </a:xfrm>
                          <a:prstGeom prst="rect">
                            <a:avLst/>
                          </a:prstGeom>
                          <a:ln>
                            <a:noFill/>
                          </a:ln>
                        </wps:spPr>
                        <wps:txbx>
                          <w:txbxContent>
                            <w:p w14:paraId="219C8652" w14:textId="77777777" w:rsidR="00B32EF2" w:rsidRDefault="00000000">
                              <w:r>
                                <w:rPr>
                                  <w:rFonts w:ascii="Arial" w:eastAsia="Arial" w:hAnsi="Arial" w:cs="Arial"/>
                                  <w:b/>
                                  <w:sz w:val="18"/>
                                </w:rPr>
                                <w:t>CAPO IV</w:t>
                              </w:r>
                            </w:p>
                          </w:txbxContent>
                        </wps:txbx>
                        <wps:bodyPr horzOverflow="overflow" vert="horz" lIns="0" tIns="0" rIns="0" bIns="0" rtlCol="0">
                          <a:noAutofit/>
                        </wps:bodyPr>
                      </wps:wsp>
                      <wps:wsp>
                        <wps:cNvPr id="21096" name="Rectangle 21096"/>
                        <wps:cNvSpPr/>
                        <wps:spPr>
                          <a:xfrm rot="-10799999">
                            <a:off x="715015" y="2677799"/>
                            <a:ext cx="2078328" cy="142889"/>
                          </a:xfrm>
                          <a:prstGeom prst="rect">
                            <a:avLst/>
                          </a:prstGeom>
                          <a:ln>
                            <a:noFill/>
                          </a:ln>
                        </wps:spPr>
                        <wps:txbx>
                          <w:txbxContent>
                            <w:p w14:paraId="1951F5ED" w14:textId="77777777" w:rsidR="00B32EF2" w:rsidRDefault="00000000">
                              <w:r>
                                <w:rPr>
                                  <w:rFonts w:ascii="Arial" w:eastAsia="Arial" w:hAnsi="Arial" w:cs="Arial"/>
                                  <w:b/>
                                  <w:sz w:val="18"/>
                                </w:rPr>
                                <w:t xml:space="preserve"> GLI UFFICI DI SEGRETERIA</w:t>
                              </w:r>
                            </w:p>
                          </w:txbxContent>
                        </wps:txbx>
                        <wps:bodyPr horzOverflow="overflow" vert="horz" lIns="0" tIns="0" rIns="0" bIns="0" rtlCol="0">
                          <a:noAutofit/>
                        </wps:bodyPr>
                      </wps:wsp>
                      <wps:wsp>
                        <wps:cNvPr id="21097" name="Rectangle 21097"/>
                        <wps:cNvSpPr/>
                        <wps:spPr>
                          <a:xfrm rot="-10799999">
                            <a:off x="1507137" y="2307810"/>
                            <a:ext cx="810261" cy="142889"/>
                          </a:xfrm>
                          <a:prstGeom prst="rect">
                            <a:avLst/>
                          </a:prstGeom>
                          <a:ln>
                            <a:noFill/>
                          </a:ln>
                        </wps:spPr>
                        <wps:txbx>
                          <w:txbxContent>
                            <w:p w14:paraId="516FF80F" w14:textId="77777777" w:rsidR="00B32EF2" w:rsidRDefault="00000000">
                              <w:r>
                                <w:rPr>
                                  <w:rFonts w:ascii="Arial" w:eastAsia="Arial" w:hAnsi="Arial" w:cs="Arial"/>
                                  <w:b/>
                                  <w:sz w:val="18"/>
                                </w:rPr>
                                <w:t>Articolo 38</w:t>
                              </w:r>
                            </w:p>
                          </w:txbxContent>
                        </wps:txbx>
                        <wps:bodyPr horzOverflow="overflow" vert="horz" lIns="0" tIns="0" rIns="0" bIns="0" rtlCol="0">
                          <a:noAutofit/>
                        </wps:bodyPr>
                      </wps:wsp>
                      <wps:wsp>
                        <wps:cNvPr id="201722" name="Rectangle 201722"/>
                        <wps:cNvSpPr/>
                        <wps:spPr>
                          <a:xfrm rot="-10799999">
                            <a:off x="1161334" y="2184480"/>
                            <a:ext cx="1946025" cy="142890"/>
                          </a:xfrm>
                          <a:prstGeom prst="rect">
                            <a:avLst/>
                          </a:prstGeom>
                          <a:ln>
                            <a:noFill/>
                          </a:ln>
                        </wps:spPr>
                        <wps:txbx>
                          <w:txbxContent>
                            <w:p w14:paraId="4F154385" w14:textId="77777777" w:rsidR="00B32EF2" w:rsidRDefault="00000000">
                              <w:r>
                                <w:rPr>
                                  <w:rFonts w:ascii="Arial" w:eastAsia="Arial" w:hAnsi="Arial" w:cs="Arial"/>
                                  <w:i/>
                                  <w:sz w:val="18"/>
                                </w:rPr>
                                <w:t xml:space="preserve">articolo 30 D.lgs. n. </w:t>
                              </w:r>
                            </w:p>
                          </w:txbxContent>
                        </wps:txbx>
                        <wps:bodyPr horzOverflow="overflow" vert="horz" lIns="0" tIns="0" rIns="0" bIns="0" rtlCol="0">
                          <a:noAutofit/>
                        </wps:bodyPr>
                      </wps:wsp>
                      <wps:wsp>
                        <wps:cNvPr id="201720" name="Rectangle 201720"/>
                        <wps:cNvSpPr/>
                        <wps:spPr>
                          <a:xfrm rot="-10799999">
                            <a:off x="2222712" y="2184480"/>
                            <a:ext cx="1946025" cy="142890"/>
                          </a:xfrm>
                          <a:prstGeom prst="rect">
                            <a:avLst/>
                          </a:prstGeom>
                          <a:ln>
                            <a:noFill/>
                          </a:ln>
                        </wps:spPr>
                        <wps:txbx>
                          <w:txbxContent>
                            <w:p w14:paraId="1E382C2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721" name="Rectangle 201721"/>
                        <wps:cNvSpPr/>
                        <wps:spPr>
                          <a:xfrm rot="-10799999">
                            <a:off x="-266683" y="2184480"/>
                            <a:ext cx="1946025" cy="142890"/>
                          </a:xfrm>
                          <a:prstGeom prst="rect">
                            <a:avLst/>
                          </a:prstGeom>
                          <a:ln>
                            <a:noFill/>
                          </a:ln>
                        </wps:spPr>
                        <wps:txbx>
                          <w:txbxContent>
                            <w:p w14:paraId="357FB49E"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1099" name="Rectangle 21099"/>
                        <wps:cNvSpPr/>
                        <wps:spPr>
                          <a:xfrm rot="-10799999">
                            <a:off x="-216501" y="2061151"/>
                            <a:ext cx="3545569" cy="142889"/>
                          </a:xfrm>
                          <a:prstGeom prst="rect">
                            <a:avLst/>
                          </a:prstGeom>
                          <a:ln>
                            <a:noFill/>
                          </a:ln>
                        </wps:spPr>
                        <wps:txbx>
                          <w:txbxContent>
                            <w:p w14:paraId="780EDA85" w14:textId="77777777" w:rsidR="00B32EF2" w:rsidRDefault="00000000">
                              <w:r>
                                <w:rPr>
                                  <w:rFonts w:ascii="Arial" w:eastAsia="Arial" w:hAnsi="Arial" w:cs="Arial"/>
                                  <w:b/>
                                  <w:sz w:val="18"/>
                                </w:rPr>
                                <w:t xml:space="preserve">Ufficio di segreteria del Consiglio di presidenza </w:t>
                              </w:r>
                            </w:p>
                          </w:txbxContent>
                        </wps:txbx>
                        <wps:bodyPr horzOverflow="overflow" vert="horz" lIns="0" tIns="0" rIns="0" bIns="0" rtlCol="0">
                          <a:noAutofit/>
                        </wps:bodyPr>
                      </wps:wsp>
                      <wps:wsp>
                        <wps:cNvPr id="201719" name="Rectangle 201719"/>
                        <wps:cNvSpPr/>
                        <wps:spPr>
                          <a:xfrm rot="-10799999">
                            <a:off x="-1376196" y="1937821"/>
                            <a:ext cx="5309021" cy="142889"/>
                          </a:xfrm>
                          <a:prstGeom prst="rect">
                            <a:avLst/>
                          </a:prstGeom>
                          <a:ln>
                            <a:noFill/>
                          </a:ln>
                        </wps:spPr>
                        <wps:txbx>
                          <w:txbxContent>
                            <w:p w14:paraId="386872B0" w14:textId="77777777" w:rsidR="00B32EF2" w:rsidRDefault="00000000">
                              <w:r>
                                <w:rPr>
                                  <w:rFonts w:ascii="Arial" w:eastAsia="Arial" w:hAnsi="Arial" w:cs="Arial"/>
                                  <w:sz w:val="18"/>
                                </w:rPr>
                                <w:t xml:space="preserve">. Fatto salvo quanto previsto da successivi provvedimenti di riorganizzazione, </w:t>
                              </w:r>
                            </w:p>
                          </w:txbxContent>
                        </wps:txbx>
                        <wps:bodyPr horzOverflow="overflow" vert="horz" lIns="0" tIns="0" rIns="0" bIns="0" rtlCol="0">
                          <a:noAutofit/>
                        </wps:bodyPr>
                      </wps:wsp>
                      <wps:wsp>
                        <wps:cNvPr id="201718" name="Rectangle 201718"/>
                        <wps:cNvSpPr/>
                        <wps:spPr>
                          <a:xfrm rot="-10799999">
                            <a:off x="2611182" y="1937821"/>
                            <a:ext cx="5309020" cy="142889"/>
                          </a:xfrm>
                          <a:prstGeom prst="rect">
                            <a:avLst/>
                          </a:prstGeom>
                          <a:ln>
                            <a:noFill/>
                          </a:ln>
                        </wps:spPr>
                        <wps:txbx>
                          <w:txbxContent>
                            <w:p w14:paraId="3CFAF2C3"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1101" name="Rectangle 21101"/>
                        <wps:cNvSpPr/>
                        <wps:spPr>
                          <a:xfrm rot="-10799999">
                            <a:off x="-1218473" y="1814491"/>
                            <a:ext cx="5210482" cy="142889"/>
                          </a:xfrm>
                          <a:prstGeom prst="rect">
                            <a:avLst/>
                          </a:prstGeom>
                          <a:ln>
                            <a:noFill/>
                          </a:ln>
                        </wps:spPr>
                        <wps:txbx>
                          <w:txbxContent>
                            <w:p w14:paraId="6A63412D" w14:textId="77777777" w:rsidR="00B32EF2" w:rsidRDefault="00000000">
                              <w:r>
                                <w:rPr>
                                  <w:rFonts w:ascii="Arial" w:eastAsia="Arial" w:hAnsi="Arial" w:cs="Arial"/>
                                  <w:sz w:val="18"/>
                                </w:rPr>
                                <w:t>il Consiglio di presidenza è assistito da un ufficio di segreteria al quale vengo</w:t>
                              </w:r>
                            </w:p>
                          </w:txbxContent>
                        </wps:txbx>
                        <wps:bodyPr horzOverflow="overflow" vert="horz" lIns="0" tIns="0" rIns="0" bIns="0" rtlCol="0">
                          <a:noAutofit/>
                        </wps:bodyPr>
                      </wps:wsp>
                      <wps:wsp>
                        <wps:cNvPr id="21102" name="Rectangle 21102"/>
                        <wps:cNvSpPr/>
                        <wps:spPr>
                          <a:xfrm rot="-10799999">
                            <a:off x="19409" y="1814492"/>
                            <a:ext cx="50622" cy="142889"/>
                          </a:xfrm>
                          <a:prstGeom prst="rect">
                            <a:avLst/>
                          </a:prstGeom>
                          <a:ln>
                            <a:noFill/>
                          </a:ln>
                        </wps:spPr>
                        <wps:txbx>
                          <w:txbxContent>
                            <w:p w14:paraId="2AAFB87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103" name="Rectangle 21103"/>
                        <wps:cNvSpPr/>
                        <wps:spPr>
                          <a:xfrm rot="-10799999">
                            <a:off x="-1317042" y="1691162"/>
                            <a:ext cx="5309051" cy="142889"/>
                          </a:xfrm>
                          <a:prstGeom prst="rect">
                            <a:avLst/>
                          </a:prstGeom>
                          <a:ln>
                            <a:noFill/>
                          </a:ln>
                        </wps:spPr>
                        <wps:txbx>
                          <w:txbxContent>
                            <w:p w14:paraId="788B982E" w14:textId="77777777" w:rsidR="00B32EF2" w:rsidRDefault="00000000">
                              <w:r>
                                <w:rPr>
                                  <w:rFonts w:ascii="Arial" w:eastAsia="Arial" w:hAnsi="Arial" w:cs="Arial"/>
                                  <w:sz w:val="18"/>
                                </w:rPr>
                                <w:t xml:space="preserve">no assegnati con decreto del Ministro dell’economia e delle finanze due unità </w:t>
                              </w:r>
                            </w:p>
                          </w:txbxContent>
                        </wps:txbx>
                        <wps:bodyPr horzOverflow="overflow" vert="horz" lIns="0" tIns="0" rIns="0" bIns="0" rtlCol="0">
                          <a:noAutofit/>
                        </wps:bodyPr>
                      </wps:wsp>
                      <wps:wsp>
                        <wps:cNvPr id="21104" name="Rectangle 21104"/>
                        <wps:cNvSpPr/>
                        <wps:spPr>
                          <a:xfrm rot="-10799999">
                            <a:off x="-1220312" y="1567832"/>
                            <a:ext cx="5212321" cy="142889"/>
                          </a:xfrm>
                          <a:prstGeom prst="rect">
                            <a:avLst/>
                          </a:prstGeom>
                          <a:ln>
                            <a:noFill/>
                          </a:ln>
                        </wps:spPr>
                        <wps:txbx>
                          <w:txbxContent>
                            <w:p w14:paraId="01A113EF" w14:textId="77777777" w:rsidR="00B32EF2" w:rsidRDefault="00000000">
                              <w:r>
                                <w:rPr>
                                  <w:rFonts w:ascii="Arial" w:eastAsia="Arial" w:hAnsi="Arial" w:cs="Arial"/>
                                  <w:sz w:val="18"/>
                                </w:rPr>
                                <w:t>di livello dirigenziale non generale e settantadue unità di personale ammini</w:t>
                              </w:r>
                            </w:p>
                          </w:txbxContent>
                        </wps:txbx>
                        <wps:bodyPr horzOverflow="overflow" vert="horz" lIns="0" tIns="0" rIns="0" bIns="0" rtlCol="0">
                          <a:noAutofit/>
                        </wps:bodyPr>
                      </wps:wsp>
                      <wps:wsp>
                        <wps:cNvPr id="21105" name="Rectangle 21105"/>
                        <wps:cNvSpPr/>
                        <wps:spPr>
                          <a:xfrm rot="-10799999">
                            <a:off x="19409" y="1567832"/>
                            <a:ext cx="50622" cy="142889"/>
                          </a:xfrm>
                          <a:prstGeom prst="rect">
                            <a:avLst/>
                          </a:prstGeom>
                          <a:ln>
                            <a:noFill/>
                          </a:ln>
                        </wps:spPr>
                        <wps:txbx>
                          <w:txbxContent>
                            <w:p w14:paraId="0BBE7DF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106" name="Rectangle 21106"/>
                        <wps:cNvSpPr/>
                        <wps:spPr>
                          <a:xfrm rot="-10799999">
                            <a:off x="-1317027" y="1444502"/>
                            <a:ext cx="5309035" cy="142889"/>
                          </a:xfrm>
                          <a:prstGeom prst="rect">
                            <a:avLst/>
                          </a:prstGeom>
                          <a:ln>
                            <a:noFill/>
                          </a:ln>
                        </wps:spPr>
                        <wps:txbx>
                          <w:txbxContent>
                            <w:p w14:paraId="6D7030E5" w14:textId="77777777" w:rsidR="00B32EF2" w:rsidRDefault="00000000">
                              <w:r>
                                <w:rPr>
                                  <w:rFonts w:ascii="Arial" w:eastAsia="Arial" w:hAnsi="Arial" w:cs="Arial"/>
                                  <w:sz w:val="18"/>
                                </w:rPr>
                                <w:t xml:space="preserve">strativo di livello non dirigenziale, appartenenti al contingente del personale </w:t>
                              </w:r>
                            </w:p>
                          </w:txbxContent>
                        </wps:txbx>
                        <wps:bodyPr horzOverflow="overflow" vert="horz" lIns="0" tIns="0" rIns="0" bIns="0" rtlCol="0">
                          <a:noAutofit/>
                        </wps:bodyPr>
                      </wps:wsp>
                      <wps:wsp>
                        <wps:cNvPr id="21107" name="Rectangle 21107"/>
                        <wps:cNvSpPr/>
                        <wps:spPr>
                          <a:xfrm rot="-10799999">
                            <a:off x="-911485" y="1321173"/>
                            <a:ext cx="4903495" cy="142889"/>
                          </a:xfrm>
                          <a:prstGeom prst="rect">
                            <a:avLst/>
                          </a:prstGeom>
                          <a:ln>
                            <a:noFill/>
                          </a:ln>
                        </wps:spPr>
                        <wps:txbx>
                          <w:txbxContent>
                            <w:p w14:paraId="102494FF" w14:textId="77777777" w:rsidR="00B32EF2" w:rsidRDefault="00000000">
                              <w:r>
                                <w:rPr>
                                  <w:rFonts w:ascii="Arial" w:eastAsia="Arial" w:hAnsi="Arial" w:cs="Arial"/>
                                  <w:sz w:val="18"/>
                                </w:rPr>
                                <w:t>del ruolo del Ministero dell’economia e delle finanze di cui all’articolo 40.</w:t>
                              </w:r>
                            </w:p>
                          </w:txbxContent>
                        </wps:txbx>
                        <wps:bodyPr horzOverflow="overflow" vert="horz" lIns="0" tIns="0" rIns="0" bIns="0" rtlCol="0">
                          <a:noAutofit/>
                        </wps:bodyPr>
                      </wps:wsp>
                      <wps:wsp>
                        <wps:cNvPr id="201716" name="Rectangle 201716"/>
                        <wps:cNvSpPr/>
                        <wps:spPr>
                          <a:xfrm rot="-10799999">
                            <a:off x="2611182" y="1197843"/>
                            <a:ext cx="5309020" cy="142889"/>
                          </a:xfrm>
                          <a:prstGeom prst="rect">
                            <a:avLst/>
                          </a:prstGeom>
                          <a:ln>
                            <a:noFill/>
                          </a:ln>
                        </wps:spPr>
                        <wps:txbx>
                          <w:txbxContent>
                            <w:p w14:paraId="2750A8CD"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717" name="Rectangle 201717"/>
                        <wps:cNvSpPr/>
                        <wps:spPr>
                          <a:xfrm rot="-10799999">
                            <a:off x="-1381568" y="1197843"/>
                            <a:ext cx="5309021" cy="142889"/>
                          </a:xfrm>
                          <a:prstGeom prst="rect">
                            <a:avLst/>
                          </a:prstGeom>
                          <a:ln>
                            <a:noFill/>
                          </a:ln>
                        </wps:spPr>
                        <wps:txbx>
                          <w:txbxContent>
                            <w:p w14:paraId="3156FEDE" w14:textId="77777777" w:rsidR="00B32EF2" w:rsidRDefault="00000000">
                              <w:r>
                                <w:rPr>
                                  <w:rFonts w:ascii="Arial" w:eastAsia="Arial" w:hAnsi="Arial" w:cs="Arial"/>
                                  <w:sz w:val="18"/>
                                </w:rPr>
                                <w:t xml:space="preserve">. L’ufficio di segreteria, per l’espletamento dei compiti affidatigli, può avvalersi </w:t>
                              </w:r>
                            </w:p>
                          </w:txbxContent>
                        </wps:txbx>
                        <wps:bodyPr horzOverflow="overflow" vert="horz" lIns="0" tIns="0" rIns="0" bIns="0" rtlCol="0">
                          <a:noAutofit/>
                        </wps:bodyPr>
                      </wps:wsp>
                      <wps:wsp>
                        <wps:cNvPr id="21109" name="Rectangle 21109"/>
                        <wps:cNvSpPr/>
                        <wps:spPr>
                          <a:xfrm rot="-10799999">
                            <a:off x="1913832" y="1074514"/>
                            <a:ext cx="2078176" cy="142889"/>
                          </a:xfrm>
                          <a:prstGeom prst="rect">
                            <a:avLst/>
                          </a:prstGeom>
                          <a:ln>
                            <a:noFill/>
                          </a:ln>
                        </wps:spPr>
                        <wps:txbx>
                          <w:txbxContent>
                            <w:p w14:paraId="4C41BFEB" w14:textId="77777777" w:rsidR="00B32EF2" w:rsidRDefault="00000000">
                              <w:r>
                                <w:rPr>
                                  <w:rFonts w:ascii="Arial" w:eastAsia="Arial" w:hAnsi="Arial" w:cs="Arial"/>
                                  <w:sz w:val="18"/>
                                </w:rPr>
                                <w:t>dei servizi di cui all’articolo 44.</w:t>
                              </w:r>
                            </w:p>
                          </w:txbxContent>
                        </wps:txbx>
                        <wps:bodyPr horzOverflow="overflow" vert="horz" lIns="0" tIns="0" rIns="0" bIns="0" rtlCol="0">
                          <a:noAutofit/>
                        </wps:bodyPr>
                      </wps:wsp>
                      <wps:wsp>
                        <wps:cNvPr id="21110" name="Rectangle 21110"/>
                        <wps:cNvSpPr/>
                        <wps:spPr>
                          <a:xfrm rot="-10799999">
                            <a:off x="1507212" y="827854"/>
                            <a:ext cx="809957" cy="142889"/>
                          </a:xfrm>
                          <a:prstGeom prst="rect">
                            <a:avLst/>
                          </a:prstGeom>
                          <a:ln>
                            <a:noFill/>
                          </a:ln>
                        </wps:spPr>
                        <wps:txbx>
                          <w:txbxContent>
                            <w:p w14:paraId="08D58BBE" w14:textId="77777777" w:rsidR="00B32EF2" w:rsidRDefault="00000000">
                              <w:r>
                                <w:rPr>
                                  <w:rFonts w:ascii="Arial" w:eastAsia="Arial" w:hAnsi="Arial" w:cs="Arial"/>
                                  <w:b/>
                                  <w:sz w:val="18"/>
                                </w:rPr>
                                <w:t>Articolo 39</w:t>
                              </w:r>
                            </w:p>
                          </w:txbxContent>
                        </wps:txbx>
                        <wps:bodyPr horzOverflow="overflow" vert="horz" lIns="0" tIns="0" rIns="0" bIns="0" rtlCol="0">
                          <a:noAutofit/>
                        </wps:bodyPr>
                      </wps:wsp>
                      <wps:wsp>
                        <wps:cNvPr id="201713" name="Rectangle 201713"/>
                        <wps:cNvSpPr/>
                        <wps:spPr>
                          <a:xfrm rot="-10799999">
                            <a:off x="2221866" y="704524"/>
                            <a:ext cx="1939762" cy="142889"/>
                          </a:xfrm>
                          <a:prstGeom prst="rect">
                            <a:avLst/>
                          </a:prstGeom>
                          <a:ln>
                            <a:noFill/>
                          </a:ln>
                        </wps:spPr>
                        <wps:txbx>
                          <w:txbxContent>
                            <w:p w14:paraId="602B731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714" name="Rectangle 201714"/>
                        <wps:cNvSpPr/>
                        <wps:spPr>
                          <a:xfrm rot="-10799999">
                            <a:off x="-258111" y="704524"/>
                            <a:ext cx="1939763" cy="142889"/>
                          </a:xfrm>
                          <a:prstGeom prst="rect">
                            <a:avLst/>
                          </a:prstGeom>
                          <a:ln>
                            <a:noFill/>
                          </a:ln>
                        </wps:spPr>
                        <wps:txbx>
                          <w:txbxContent>
                            <w:p w14:paraId="3B9A55E0"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1715" name="Rectangle 201715"/>
                        <wps:cNvSpPr/>
                        <wps:spPr>
                          <a:xfrm rot="-10799999">
                            <a:off x="1165197" y="704524"/>
                            <a:ext cx="1939762" cy="142889"/>
                          </a:xfrm>
                          <a:prstGeom prst="rect">
                            <a:avLst/>
                          </a:prstGeom>
                          <a:ln>
                            <a:noFill/>
                          </a:ln>
                        </wps:spPr>
                        <wps:txbx>
                          <w:txbxContent>
                            <w:p w14:paraId="05743AA8" w14:textId="77777777" w:rsidR="00B32EF2" w:rsidRDefault="00000000">
                              <w:r>
                                <w:rPr>
                                  <w:rFonts w:ascii="Arial" w:eastAsia="Arial" w:hAnsi="Arial" w:cs="Arial"/>
                                  <w:i/>
                                  <w:sz w:val="18"/>
                                </w:rPr>
                                <w:t xml:space="preserve">articolo 31 D.lgs. n. </w:t>
                              </w:r>
                            </w:p>
                          </w:txbxContent>
                        </wps:txbx>
                        <wps:bodyPr horzOverflow="overflow" vert="horz" lIns="0" tIns="0" rIns="0" bIns="0" rtlCol="0">
                          <a:noAutofit/>
                        </wps:bodyPr>
                      </wps:wsp>
                      <wps:wsp>
                        <wps:cNvPr id="21112" name="Rectangle 21112"/>
                        <wps:cNvSpPr/>
                        <wps:spPr>
                          <a:xfrm rot="-10799999">
                            <a:off x="-1317362" y="581194"/>
                            <a:ext cx="5309370" cy="142890"/>
                          </a:xfrm>
                          <a:prstGeom prst="rect">
                            <a:avLst/>
                          </a:prstGeom>
                          <a:ln>
                            <a:noFill/>
                          </a:ln>
                        </wps:spPr>
                        <wps:txbx>
                          <w:txbxContent>
                            <w:p w14:paraId="76CB5927" w14:textId="77777777" w:rsidR="00B32EF2" w:rsidRDefault="00000000">
                              <w:r>
                                <w:rPr>
                                  <w:rFonts w:ascii="Arial" w:eastAsia="Arial" w:hAnsi="Arial" w:cs="Arial"/>
                                  <w:b/>
                                  <w:sz w:val="18"/>
                                </w:rPr>
                                <w:t xml:space="preserve">Ufficio di segreteria delle corti di giustizia tributaria di primo e secondo </w:t>
                              </w:r>
                            </w:p>
                          </w:txbxContent>
                        </wps:txbx>
                        <wps:bodyPr horzOverflow="overflow" vert="horz" lIns="0" tIns="0" rIns="0" bIns="0" rtlCol="0">
                          <a:noAutofit/>
                        </wps:bodyPr>
                      </wps:wsp>
                      <wps:wsp>
                        <wps:cNvPr id="21113" name="Rectangle 21113"/>
                        <wps:cNvSpPr/>
                        <wps:spPr>
                          <a:xfrm rot="-10799999">
                            <a:off x="1701051" y="457865"/>
                            <a:ext cx="472901" cy="142889"/>
                          </a:xfrm>
                          <a:prstGeom prst="rect">
                            <a:avLst/>
                          </a:prstGeom>
                          <a:ln>
                            <a:noFill/>
                          </a:ln>
                        </wps:spPr>
                        <wps:txbx>
                          <w:txbxContent>
                            <w:p w14:paraId="063F96DB" w14:textId="77777777" w:rsidR="00B32EF2" w:rsidRDefault="00000000">
                              <w:r>
                                <w:rPr>
                                  <w:rFonts w:ascii="Arial" w:eastAsia="Arial" w:hAnsi="Arial" w:cs="Arial"/>
                                  <w:b/>
                                  <w:sz w:val="18"/>
                                </w:rPr>
                                <w:t xml:space="preserve">grado </w:t>
                              </w:r>
                            </w:p>
                          </w:txbxContent>
                        </wps:txbx>
                        <wps:bodyPr horzOverflow="overflow" vert="horz" lIns="0" tIns="0" rIns="0" bIns="0" rtlCol="0">
                          <a:noAutofit/>
                        </wps:bodyPr>
                      </wps:wsp>
                      <wps:wsp>
                        <wps:cNvPr id="201711" name="Rectangle 201711"/>
                        <wps:cNvSpPr/>
                        <wps:spPr>
                          <a:xfrm rot="-10799999">
                            <a:off x="2611178" y="334535"/>
                            <a:ext cx="5309036" cy="142889"/>
                          </a:xfrm>
                          <a:prstGeom prst="rect">
                            <a:avLst/>
                          </a:prstGeom>
                          <a:ln>
                            <a:noFill/>
                          </a:ln>
                        </wps:spPr>
                        <wps:txbx>
                          <w:txbxContent>
                            <w:p w14:paraId="7E4B5598"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712" name="Rectangle 201712"/>
                        <wps:cNvSpPr/>
                        <wps:spPr>
                          <a:xfrm rot="-10799999">
                            <a:off x="-1376211" y="334535"/>
                            <a:ext cx="5309036" cy="142889"/>
                          </a:xfrm>
                          <a:prstGeom prst="rect">
                            <a:avLst/>
                          </a:prstGeom>
                          <a:ln>
                            <a:noFill/>
                          </a:ln>
                        </wps:spPr>
                        <wps:txbx>
                          <w:txbxContent>
                            <w:p w14:paraId="7A5EB407" w14:textId="77777777" w:rsidR="00B32EF2" w:rsidRDefault="00000000">
                              <w:r>
                                <w:rPr>
                                  <w:rFonts w:ascii="Arial" w:eastAsia="Arial" w:hAnsi="Arial" w:cs="Arial"/>
                                  <w:sz w:val="18"/>
                                </w:rPr>
                                <w:t xml:space="preserve">. È istituito presso ogni corte di giustizia tributaria di primo e secondo grado un </w:t>
                              </w:r>
                            </w:p>
                          </w:txbxContent>
                        </wps:txbx>
                        <wps:bodyPr horzOverflow="overflow" vert="horz" lIns="0" tIns="0" rIns="0" bIns="0" rtlCol="0">
                          <a:noAutofit/>
                        </wps:bodyPr>
                      </wps:wsp>
                      <wps:wsp>
                        <wps:cNvPr id="21115" name="Rectangle 21115"/>
                        <wps:cNvSpPr/>
                        <wps:spPr>
                          <a:xfrm rot="-10799999">
                            <a:off x="-1316981" y="211206"/>
                            <a:ext cx="5308990" cy="142889"/>
                          </a:xfrm>
                          <a:prstGeom prst="rect">
                            <a:avLst/>
                          </a:prstGeom>
                          <a:ln>
                            <a:noFill/>
                          </a:ln>
                        </wps:spPr>
                        <wps:txbx>
                          <w:txbxContent>
                            <w:p w14:paraId="4EF51073" w14:textId="77777777" w:rsidR="00B32EF2" w:rsidRDefault="00000000">
                              <w:r>
                                <w:rPr>
                                  <w:rFonts w:ascii="Arial" w:eastAsia="Arial" w:hAnsi="Arial" w:cs="Arial"/>
                                  <w:sz w:val="18"/>
                                </w:rPr>
                                <w:t xml:space="preserve">ufficio di segreteria con funzioni di assistenza e collaborazione nell’esercizio </w:t>
                              </w:r>
                            </w:p>
                          </w:txbxContent>
                        </wps:txbx>
                        <wps:bodyPr horzOverflow="overflow" vert="horz" lIns="0" tIns="0" rIns="0" bIns="0" rtlCol="0">
                          <a:noAutofit/>
                        </wps:bodyPr>
                      </wps:wsp>
                      <wps:wsp>
                        <wps:cNvPr id="21116" name="Rectangle 21116"/>
                        <wps:cNvSpPr/>
                        <wps:spPr>
                          <a:xfrm rot="-10799999">
                            <a:off x="-1220161" y="87876"/>
                            <a:ext cx="5212170" cy="142889"/>
                          </a:xfrm>
                          <a:prstGeom prst="rect">
                            <a:avLst/>
                          </a:prstGeom>
                          <a:ln>
                            <a:noFill/>
                          </a:ln>
                        </wps:spPr>
                        <wps:txbx>
                          <w:txbxContent>
                            <w:p w14:paraId="46195F34" w14:textId="77777777" w:rsidR="00B32EF2" w:rsidRDefault="00000000">
                              <w:r>
                                <w:rPr>
                                  <w:rFonts w:ascii="Arial" w:eastAsia="Arial" w:hAnsi="Arial" w:cs="Arial"/>
                                  <w:sz w:val="18"/>
                                </w:rPr>
                                <w:t>dell’attività giurisdizionale nonché per lo svolgimento di ogni altra attività am</w:t>
                              </w:r>
                            </w:p>
                          </w:txbxContent>
                        </wps:txbx>
                        <wps:bodyPr horzOverflow="overflow" vert="horz" lIns="0" tIns="0" rIns="0" bIns="0" rtlCol="0">
                          <a:noAutofit/>
                        </wps:bodyPr>
                      </wps:wsp>
                      <wps:wsp>
                        <wps:cNvPr id="21117" name="Rectangle 21117"/>
                        <wps:cNvSpPr/>
                        <wps:spPr>
                          <a:xfrm rot="-10799999">
                            <a:off x="19409" y="87876"/>
                            <a:ext cx="50622" cy="142889"/>
                          </a:xfrm>
                          <a:prstGeom prst="rect">
                            <a:avLst/>
                          </a:prstGeom>
                          <a:ln>
                            <a:noFill/>
                          </a:ln>
                        </wps:spPr>
                        <wps:txbx>
                          <w:txbxContent>
                            <w:p w14:paraId="25827FF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118" name="Rectangle 21118"/>
                        <wps:cNvSpPr/>
                        <wps:spPr>
                          <a:xfrm rot="-10799999">
                            <a:off x="312418" y="-35453"/>
                            <a:ext cx="3679589" cy="142889"/>
                          </a:xfrm>
                          <a:prstGeom prst="rect">
                            <a:avLst/>
                          </a:prstGeom>
                          <a:ln>
                            <a:noFill/>
                          </a:ln>
                        </wps:spPr>
                        <wps:txbx>
                          <w:txbxContent>
                            <w:p w14:paraId="6BABFC39" w14:textId="77777777" w:rsidR="00B32EF2" w:rsidRDefault="00000000">
                              <w:r>
                                <w:rPr>
                                  <w:rFonts w:ascii="Arial" w:eastAsia="Arial" w:hAnsi="Arial" w:cs="Arial"/>
                                  <w:sz w:val="18"/>
                                </w:rPr>
                                <w:t>ministrativa attribuita alla stessa o ai suoi componenti.</w:t>
                              </w:r>
                            </w:p>
                          </w:txbxContent>
                        </wps:txbx>
                        <wps:bodyPr horzOverflow="overflow" vert="horz" lIns="0" tIns="0" rIns="0" bIns="0" rtlCol="0">
                          <a:noAutofit/>
                        </wps:bodyPr>
                      </wps:wsp>
                    </wpg:wgp>
                  </a:graphicData>
                </a:graphic>
              </wp:inline>
            </w:drawing>
          </mc:Choice>
          <mc:Fallback>
            <w:pict>
              <v:group w14:anchorId="78BEEBF1" id="Group 201801" o:spid="_x0000_s5573" style="width:314.35pt;height:241.5pt;mso-position-horizontal-relative:char;mso-position-vertical-relative:line" coordsize="39920,30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oMQJAYAAPY9AAAOAAAAZHJzL2Uyb0RvYy54bWzkm29vo0YQxt9X6ndAvPeZXWB3seKcql7v&#10;VKnqnXrtByAY/5FsQEDOuX76PrMLOHH2eipIIermheOMHVjmtzM78yzcvH04Hb0ved0cymLtszeB&#10;7+VFVm4OxW7t//Xn+4XyvaZNi016LIt87X/NG//t7Y8/3JyrVc7LfXnc5LWHgxTN6lyt/X3bVqvl&#10;ssn2+Slt3pRVXuDDbVmf0hZ/1rvlpk7POPrpuORBIJbnst5UdZnlTQPrO/Ohf6uPv93mWftxu23y&#10;1juufYyt1a+1fr2j1+XtTbra1Wm1P2TdMNIRozilhwInHQ71Lm1T774+PDvU6ZDVZVNu2zdZeVqW&#10;2+0hy/U14GpYcHU1H+ryvtLXsludd9XgJrj2yk+jD5v9/uVDXX2uPtXwxLnawRf6L7qWh219ot8Y&#10;pfegXfZ1cFn+0HoZjGGSAAMgZ/gsDIQMI2Wcmu3h+Wf/l+1/+c5/LvsTL58M51xhgjQXHzTTfPB5&#10;n1a5dm2zgg8+1d5hs/Y5C5LY94r0hKn6ByZPWuyOuWfM2kH624O7mlUDz/W+8uoS82vBApnQj54P&#10;ne+YYCoOme/BSzzhURR3Xur9KHiiQkxQciOLuFIJeXHwRbqq6qb9kJcnj96s/RqD0ydIv/zWtOar&#10;/VdoPMeCXovy/eF4NJ+SBS7th0zv2oe7B33dURgxOh8Z78rNV7hjX9Z/f0Rgb4/lee2X3TufYh2n&#10;p0997/hrAQwUVv2bun9z17+p2+PPpQ4+M6Cf7ttye9AjvpytGxn4mjG8CGhhBy16R2Ba/HfQksUB&#10;wxQizkJKzAQTDT1nHkgV8i5eZgHN++tzBrS0g5a9I0aBBmfJQhyaSIegyrrFpCcNAxeI+NkiOuyv&#10;zw3QAZOcW0gbe5fcxqFG9g7DyKBmKorUFWqWRCLgiPqedaK/8ILZO3KPNZadZ+s0sdaup6VlFGuO&#10;H8kwjyisXyfr2D3WSKNW1kPRMor1ggshVPiaWQ/FiBs5HOV3YkGtzVMy+IIzgbrMkA4EY7GeOemq&#10;X6zDOIpjgXP3GfzF6++hGnGDNDI1s6E29kmsUZUJlqC6p1YqCaXiV7DjMEgCGOeDrZu/S/vzf2+2&#10;CCpaHlsKh30KbFTYjCmzXP8L6zkba90AusOaMcqzz1Br8xTSC0blmDSrNVMsipLrsIZME9FcmCuH&#10;x0Pp6UYOB1Nbw6XNU1CjnQqwNlD61py1YnFZq+NAUKM3G+Wh6HSGMoLOFtCDwDCu+mYhk0HU5W6R&#10;MCauQdM6jUptPtSuaWVIoHbUg74wEjXnQdh11SwWJIHSsv8opjnj4ZwlWTxMZmei2rrRwYJBXhiF&#10;+lHutnKeOXcP89gZytZdDhYMwsIoygudu7lRv1GKRTEqgacBTbk7fCSJvnRDHQ/z2BnU1n0O7EZO&#10;6rAWWJgjZXa0GFI0Qwn+hHQEzhHtms5WkA1z2Q3S1E3botrYpxTeT7pplkgVXbE2ysmM3XQ8TGZ3&#10;WNvCmlgPrhibwhVKMcgy1Gd9G/ac5fegDbkBG42zTRLV5ilhzRIWUsWtSQcyipkugy7VN92UwCRy&#10;ymwp3DmRDHcL2HpqcxPB6N1LuikBnZQmrbhU8RVohf0VpNDZOAvHFDJK0zbxxNinxDS2qZkSZpMD&#10;KkrMr0hDDE8kBJX5UDsmkxFSm3hi7FNQL3issMuhg/rbqDHN5sreRrdzZ4uDkNrEE2OfghoaaIxS&#10;7Duo54xq52QyWk0t4jfMU0BrASWk/Izqm8I7ucrf1GmF8lGn9dK3lAk9IHeCGhnWtlJr8xTS2OOA&#10;pmqydxRLJbQudam9I8kT2jGdLXk7ppNRkoa7n4W0sU8hrdUTaRpq3C4aQ/3E4S6ktXgSzthloVzs&#10;rs+NfpqQ2rK3sU9BjfSN4rqryV4n60EdcoM18rStJNPmiaSZSJTJ3yDOzc7Jk6hWCRbn+RK4cyqZ&#10;Vf0G6SG9jRREsUmNO/2NeCIV9LCn6RvCChbzGUG7J5LZpG+AHnLbKNCXLWploTzvBjXml1NLNGDa&#10;bgzV5ilpGzebRHRkdFcLurf7ah8rFDKJsSM9W9KWr0Yd00/Z4uFi/bBp9yA0Pb38+G/9eOblce3b&#10;fwAAAP//AwBQSwMEFAAGAAgAAAAhAHN3pRfdAAAABQEAAA8AAABkcnMvZG93bnJldi54bWxMj0Fr&#10;wkAQhe9C/8Myhd50E7U2pNmISOtJCtVC6W3MjkkwOxuyaxL/fbe9tJeBx3u89022Hk0jeupcbVlB&#10;PItAEBdW11wq+Di+ThMQziNrbCyTghs5WOd3kwxTbQd+p/7gSxFK2KWooPK+TaV0RUUG3cy2xME7&#10;286gD7Irpe5wCOWmkfMoWkmDNYeFClvaVlRcDlejYDfgsFnEL/3+ct7evo6Pb5/7mJR6uB83zyA8&#10;jf4vDD/4AR3ywHSyV9ZONArCI/73Bm81T55AnBQsk0UEMs/kf/r8GwAA//8DAFBLAQItABQABgAI&#10;AAAAIQC2gziS/gAAAOEBAAATAAAAAAAAAAAAAAAAAAAAAABbQ29udGVudF9UeXBlc10ueG1sUEsB&#10;Ai0AFAAGAAgAAAAhADj9If/WAAAAlAEAAAsAAAAAAAAAAAAAAAAALwEAAF9yZWxzLy5yZWxzUEsB&#10;Ai0AFAAGAAgAAAAhAHS6gxAkBgAA9j0AAA4AAAAAAAAAAAAAAAAALgIAAGRycy9lMm9Eb2MueG1s&#10;UEsBAi0AFAAGAAgAAAAhAHN3pRfdAAAABQEAAA8AAAAAAAAAAAAAAAAAfggAAGRycy9kb3ducmV2&#10;LnhtbFBLBQYAAAAABAAEAPMAAACICQAAAAA=&#10;">
                <v:rect id="Rectangle 21095" o:spid="_x0000_s5574" style="position:absolute;left:16185;top:29244;width:62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f9TxwAAAN4AAAAPAAAAZHJzL2Rvd25yZXYueG1sRI9Pi8Iw&#10;FMTvC36H8ARva6qwi1ajiCLbg5f1D3h8NM+22ryEJtrqp98sLOxxmJnfMPNlZ2rxoMZXlhWMhgkI&#10;4tzqigsFx8P2fQLCB2SNtWVS8CQPy0XvbY6pti1/02MfChEh7FNUUIbgUil9XpJBP7SOOHoX2xgM&#10;UTaF1A22EW5qOU6ST2mw4rhQoqN1SfltfzcKzht22baV+eW1drtrNqm/7seTUoN+t5qBCNSF//Bf&#10;O9MKxqNk+gG/d+IVkIsfAAAA//8DAFBLAQItABQABgAIAAAAIQDb4fbL7gAAAIUBAAATAAAAAAAA&#10;AAAAAAAAAAAAAABbQ29udGVudF9UeXBlc10ueG1sUEsBAi0AFAAGAAgAAAAhAFr0LFu/AAAAFQEA&#10;AAsAAAAAAAAAAAAAAAAAHwEAAF9yZWxzLy5yZWxzUEsBAi0AFAAGAAgAAAAhAEcd/1PHAAAA3gAA&#10;AA8AAAAAAAAAAAAAAAAABwIAAGRycy9kb3ducmV2LnhtbFBLBQYAAAAAAwADALcAAAD7AgAAAAA=&#10;" filled="f" stroked="f">
                  <v:textbox inset="0,0,0,0">
                    <w:txbxContent>
                      <w:p w14:paraId="219C8652" w14:textId="77777777" w:rsidR="00B32EF2" w:rsidRDefault="00000000">
                        <w:r>
                          <w:rPr>
                            <w:rFonts w:ascii="Arial" w:eastAsia="Arial" w:hAnsi="Arial" w:cs="Arial"/>
                            <w:b/>
                            <w:sz w:val="18"/>
                          </w:rPr>
                          <w:t>CAPO IV</w:t>
                        </w:r>
                      </w:p>
                    </w:txbxContent>
                  </v:textbox>
                </v:rect>
                <v:rect id="Rectangle 21096" o:spid="_x0000_s5575" style="position:absolute;left:7150;top:26777;width:207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2EkxgAAAN4AAAAPAAAAZHJzL2Rvd25yZXYueG1sRI9Bi8Iw&#10;FITvC/6H8IS9rakexK1GEUW2By+6Ch4fzbOtNi+hibbur98IgsdhZr5hZovO1OJOja8sKxgOEhDE&#10;udUVFwoOv5uvCQgfkDXWlknBgzws5r2PGabatryj+z4UIkLYp6igDMGlUvq8JIN+YB1x9M62MRii&#10;bAqpG2wj3NRylCRjabDiuFCio1VJ+XV/MwpOa3bZppX5+W/ltpdsUv/cDkelPvvdcgoiUBfe4Vc7&#10;0wpGw+R7DM878QrI+T8AAAD//wMAUEsBAi0AFAAGAAgAAAAhANvh9svuAAAAhQEAABMAAAAAAAAA&#10;AAAAAAAAAAAAAFtDb250ZW50X1R5cGVzXS54bWxQSwECLQAUAAYACAAAACEAWvQsW78AAAAVAQAA&#10;CwAAAAAAAAAAAAAAAAAfAQAAX3JlbHMvLnJlbHNQSwECLQAUAAYACAAAACEAt89hJMYAAADeAAAA&#10;DwAAAAAAAAAAAAAAAAAHAgAAZHJzL2Rvd25yZXYueG1sUEsFBgAAAAADAAMAtwAAAPoCAAAAAA==&#10;" filled="f" stroked="f">
                  <v:textbox inset="0,0,0,0">
                    <w:txbxContent>
                      <w:p w14:paraId="1951F5ED" w14:textId="77777777" w:rsidR="00B32EF2" w:rsidRDefault="00000000">
                        <w:r>
                          <w:rPr>
                            <w:rFonts w:ascii="Arial" w:eastAsia="Arial" w:hAnsi="Arial" w:cs="Arial"/>
                            <w:b/>
                            <w:sz w:val="18"/>
                          </w:rPr>
                          <w:t xml:space="preserve"> GLI UFFICI DI SEGRETERIA</w:t>
                        </w:r>
                      </w:p>
                    </w:txbxContent>
                  </v:textbox>
                </v:rect>
                <v:rect id="Rectangle 21097" o:spid="_x0000_s5576" style="position:absolute;left:15071;top:23078;width:810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8S/xwAAAN4AAAAPAAAAZHJzL2Rvd25yZXYueG1sRI9Pi8Iw&#10;FMTvC36H8ARva6qHXa1GEUW2By/rH/D4aJ5ttXkJTbTVT79ZWNjjMDO/YebLztTiQY2vLCsYDRMQ&#10;xLnVFRcKjoft+wSED8gaa8uk4Ekelove2xxTbVv+psc+FCJC2KeooAzBpVL6vCSDfmgdcfQutjEY&#10;omwKqRtsI9zUcpwkH9JgxXGhREfrkvLb/m4UnDfssm0r88tr7XbXbFJ/3Y8npQb9bjUDEagL/+G/&#10;dqYVjEfJ9BN+78QrIBc/AAAA//8DAFBLAQItABQABgAIAAAAIQDb4fbL7gAAAIUBAAATAAAAAAAA&#10;AAAAAAAAAAAAAABbQ29udGVudF9UeXBlc10ueG1sUEsBAi0AFAAGAAgAAAAhAFr0LFu/AAAAFQEA&#10;AAsAAAAAAAAAAAAAAAAAHwEAAF9yZWxzLy5yZWxzUEsBAi0AFAAGAAgAAAAhANiDxL/HAAAA3gAA&#10;AA8AAAAAAAAAAAAAAAAABwIAAGRycy9kb3ducmV2LnhtbFBLBQYAAAAAAwADALcAAAD7AgAAAAA=&#10;" filled="f" stroked="f">
                  <v:textbox inset="0,0,0,0">
                    <w:txbxContent>
                      <w:p w14:paraId="516FF80F" w14:textId="77777777" w:rsidR="00B32EF2" w:rsidRDefault="00000000">
                        <w:r>
                          <w:rPr>
                            <w:rFonts w:ascii="Arial" w:eastAsia="Arial" w:hAnsi="Arial" w:cs="Arial"/>
                            <w:b/>
                            <w:sz w:val="18"/>
                          </w:rPr>
                          <w:t>Articolo 38</w:t>
                        </w:r>
                      </w:p>
                    </w:txbxContent>
                  </v:textbox>
                </v:rect>
                <v:rect id="Rectangle 201722" o:spid="_x0000_s5577" style="position:absolute;left:11613;top:21844;width:194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JAnxwAAAN8AAAAPAAAAZHJzL2Rvd25yZXYueG1sRI9Ba8JA&#10;FITvgv9heYI33ZiDlegqoog5eKm10OMj+0yi2bdLdjWxv75bKPQ4zMw3zGrTm0Y8qfW1ZQWzaQKC&#10;uLC65lLB5eMwWYDwAVljY5kUvMjDZj0crDDTtuN3ep5DKSKEfYYKqhBcJqUvKjLop9YRR+9qW4Mh&#10;yraUusUuwk0j0ySZS4M1x4UKHe0qKu7nh1HwtWeXHzpZXL937nTLF83xcflUajzqt0sQgfrwH/5r&#10;51pBmsze0hR+/8QvINc/AAAA//8DAFBLAQItABQABgAIAAAAIQDb4fbL7gAAAIUBAAATAAAAAAAA&#10;AAAAAAAAAAAAAABbQ29udGVudF9UeXBlc10ueG1sUEsBAi0AFAAGAAgAAAAhAFr0LFu/AAAAFQEA&#10;AAsAAAAAAAAAAAAAAAAAHwEAAF9yZWxzLy5yZWxzUEsBAi0AFAAGAAgAAAAhAKM0kCfHAAAA3wAA&#10;AA8AAAAAAAAAAAAAAAAABwIAAGRycy9kb3ducmV2LnhtbFBLBQYAAAAAAwADALcAAAD7AgAAAAA=&#10;" filled="f" stroked="f">
                  <v:textbox inset="0,0,0,0">
                    <w:txbxContent>
                      <w:p w14:paraId="4F154385" w14:textId="77777777" w:rsidR="00B32EF2" w:rsidRDefault="00000000">
                        <w:r>
                          <w:rPr>
                            <w:rFonts w:ascii="Arial" w:eastAsia="Arial" w:hAnsi="Arial" w:cs="Arial"/>
                            <w:i/>
                            <w:sz w:val="18"/>
                          </w:rPr>
                          <w:t xml:space="preserve">articolo 30 D.lgs. n. </w:t>
                        </w:r>
                      </w:p>
                    </w:txbxContent>
                  </v:textbox>
                </v:rect>
                <v:rect id="Rectangle 201720" o:spid="_x0000_s5578" style="position:absolute;left:22227;top:21844;width:194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qvLxQAAAN8AAAAPAAAAZHJzL2Rvd25yZXYueG1sRI/LisIw&#10;FIb3A75DOIK7MbWLGalGEUWmi9l4A5eH5thWm5PQRFvn6c1iwOXPf+ObL3vTiAe1vrasYDJOQBAX&#10;VtdcKjgetp9TED4ga2wsk4IneVguBh9zzLTteEePfShFHGGfoYIqBJdJ6YuKDPqxdcTRu9jWYIiy&#10;LaVusYvjppFpknxJgzXHhwodrSsqbvu7UXDesMu3nSwuf2v3e82nzc/9eFJqNOxXMxCB+vAO/7dz&#10;rSBNJt9pJIg8kQXk4gUAAP//AwBQSwECLQAUAAYACAAAACEA2+H2y+4AAACFAQAAEwAAAAAAAAAA&#10;AAAAAAAAAAAAW0NvbnRlbnRfVHlwZXNdLnhtbFBLAQItABQABgAIAAAAIQBa9CxbvwAAABUBAAAL&#10;AAAAAAAAAAAAAAAAAB8BAABfcmVscy8ucmVsc1BLAQItABQABgAIAAAAIQA8qqvLxQAAAN8AAAAP&#10;AAAAAAAAAAAAAAAAAAcCAABkcnMvZG93bnJldi54bWxQSwUGAAAAAAMAAwC3AAAA+QIAAAAA&#10;" filled="f" stroked="f">
                  <v:textbox inset="0,0,0,0">
                    <w:txbxContent>
                      <w:p w14:paraId="1E382C26" w14:textId="77777777" w:rsidR="00B32EF2" w:rsidRDefault="00000000">
                        <w:r>
                          <w:rPr>
                            <w:rFonts w:ascii="Arial" w:eastAsia="Arial" w:hAnsi="Arial" w:cs="Arial"/>
                            <w:i/>
                            <w:sz w:val="18"/>
                          </w:rPr>
                          <w:t>(</w:t>
                        </w:r>
                      </w:p>
                    </w:txbxContent>
                  </v:textbox>
                </v:rect>
                <v:rect id="Rectangle 201721" o:spid="_x0000_s5579" style="position:absolute;left:-2666;top:21844;width:194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g5QxwAAAN8AAAAPAAAAZHJzL2Rvd25yZXYueG1sRI9Ba8JA&#10;FITvQv/D8gredJMcVFJXEUXMwYvWQo+P7DNJzb5dsquJ/fXdQqHHYWa+YZbrwbTiQZ1vLCtIpwkI&#10;4tLqhisFl/f9ZAHCB2SNrWVS8CQP69XLaIm5tj2f6HEOlYgQ9jkqqENwuZS+rMmgn1pHHL2r7QyG&#10;KLtK6g77CDetzJJkJg02HBdqdLStqbyd70bB545dse9lef3euuNXsWgP98uHUuPXYfMGItAQ/sN/&#10;7UIryJJ0nqXw+yd+Abn6AQAA//8DAFBLAQItABQABgAIAAAAIQDb4fbL7gAAAIUBAAATAAAAAAAA&#10;AAAAAAAAAAAAAABbQ29udGVudF9UeXBlc10ueG1sUEsBAi0AFAAGAAgAAAAhAFr0LFu/AAAAFQEA&#10;AAsAAAAAAAAAAAAAAAAAHwEAAF9yZWxzLy5yZWxzUEsBAi0AFAAGAAgAAAAhAFPmDlDHAAAA3wAA&#10;AA8AAAAAAAAAAAAAAAAABwIAAGRycy9kb3ducmV2LnhtbFBLBQYAAAAAAwADALcAAAD7AgAAAAA=&#10;" filled="f" stroked="f">
                  <v:textbox inset="0,0,0,0">
                    <w:txbxContent>
                      <w:p w14:paraId="357FB49E" w14:textId="77777777" w:rsidR="00B32EF2" w:rsidRDefault="00000000">
                        <w:r>
                          <w:rPr>
                            <w:rFonts w:ascii="Arial" w:eastAsia="Arial" w:hAnsi="Arial" w:cs="Arial"/>
                            <w:i/>
                            <w:sz w:val="18"/>
                          </w:rPr>
                          <w:t>545/92)</w:t>
                        </w:r>
                      </w:p>
                    </w:txbxContent>
                  </v:textbox>
                </v:rect>
                <v:rect id="Rectangle 21099" o:spid="_x0000_s5580" style="position:absolute;left:-2165;top:20611;width:354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PVWxgAAAN4AAAAPAAAAZHJzL2Rvd25yZXYueG1sRI9Bi8Iw&#10;FITvC/6H8ARva6qHRatRRJHtYS+6Ch4fzbOtNi+hibburzeCsMdhZr5h5svO1OJOja8sKxgNExDE&#10;udUVFwoOv9vPCQgfkDXWlknBgzwsF72POabatryj+z4UIkLYp6igDMGlUvq8JIN+aB1x9M62MRii&#10;bAqpG2wj3NRynCRf0mDFcaFER+uS8uv+ZhScNuyybSvz89/a/VyySf19OxyVGvS71QxEoC78h9/t&#10;TCsYj5LpFF534hWQiycAAAD//wMAUEsBAi0AFAAGAAgAAAAhANvh9svuAAAAhQEAABMAAAAAAAAA&#10;AAAAAAAAAAAAAFtDb250ZW50X1R5cGVzXS54bWxQSwECLQAUAAYACAAAACEAWvQsW78AAAAVAQAA&#10;CwAAAAAAAAAAAAAAAAAfAQAAX3JlbHMvLnJlbHNQSwECLQAUAAYACAAAACEAxlD1VsYAAADeAAAA&#10;DwAAAAAAAAAAAAAAAAAHAgAAZHJzL2Rvd25yZXYueG1sUEsFBgAAAAADAAMAtwAAAPoCAAAAAA==&#10;" filled="f" stroked="f">
                  <v:textbox inset="0,0,0,0">
                    <w:txbxContent>
                      <w:p w14:paraId="780EDA85" w14:textId="77777777" w:rsidR="00B32EF2" w:rsidRDefault="00000000">
                        <w:r>
                          <w:rPr>
                            <w:rFonts w:ascii="Arial" w:eastAsia="Arial" w:hAnsi="Arial" w:cs="Arial"/>
                            <w:b/>
                            <w:sz w:val="18"/>
                          </w:rPr>
                          <w:t xml:space="preserve">Ufficio di segreteria del Consiglio di presidenza </w:t>
                        </w:r>
                      </w:p>
                    </w:txbxContent>
                  </v:textbox>
                </v:rect>
                <v:rect id="Rectangle 201719" o:spid="_x0000_s5581" style="position:absolute;left:-13761;top:193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jryAAAAN8AAAAPAAAAZHJzL2Rvd25yZXYueG1sRI9Pa8JA&#10;FMTvBb/D8gRvuomHalNXEUWaQy/+KfT4yD6TtNm3S3Y1sZ/eFYQeh5n5DbNY9aYRV2p9bVlBOklA&#10;EBdW11wqOB134zkIH5A1NpZJwY08rJaDlwVm2na8p+shlCJC2GeooArBZVL6oiKDfmIdcfTOtjUY&#10;omxLqVvsItw0cpokr9JgzXGhQkebiorfw8Uo+N6yy3edLM5/G/f5k8+bj8vpS6nRsF+/gwjUh//w&#10;s51rBdMknaVv8PgTv4Bc3gEAAP//AwBQSwECLQAUAAYACAAAACEA2+H2y+4AAACFAQAAEwAAAAAA&#10;AAAAAAAAAAAAAAAAW0NvbnRlbnRfVHlwZXNdLnhtbFBLAQItABQABgAIAAAAIQBa9CxbvwAAABUB&#10;AAALAAAAAAAAAAAAAAAAAB8BAABfcmVscy8ucmVsc1BLAQItABQABgAIAAAAIQBj/MjryAAAAN8A&#10;AAAPAAAAAAAAAAAAAAAAAAcCAABkcnMvZG93bnJldi54bWxQSwUGAAAAAAMAAwC3AAAA/AIAAAAA&#10;" filled="f" stroked="f">
                  <v:textbox inset="0,0,0,0">
                    <w:txbxContent>
                      <w:p w14:paraId="386872B0" w14:textId="77777777" w:rsidR="00B32EF2" w:rsidRDefault="00000000">
                        <w:r>
                          <w:rPr>
                            <w:rFonts w:ascii="Arial" w:eastAsia="Arial" w:hAnsi="Arial" w:cs="Arial"/>
                            <w:sz w:val="18"/>
                          </w:rPr>
                          <w:t xml:space="preserve">. Fatto salvo quanto previsto da successivi provvedimenti di riorganizzazione, </w:t>
                        </w:r>
                      </w:p>
                    </w:txbxContent>
                  </v:textbox>
                </v:rect>
                <v:rect id="Rectangle 201718" o:spid="_x0000_s5582" style="position:absolute;left:26111;top:19378;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G1wxAAAAN8AAAAPAAAAZHJzL2Rvd25yZXYueG1sRE/LisIw&#10;FN0P+A/hCu7GtC5mpBpFFJkuZuMLXF6aa1ttbkITbZ2vN4sBl4fzni9704gHtb62rCAdJyCIC6tr&#10;LhUcD9vPKQgfkDU2lknBkzwsF4OPOWbadryjxz6UIoawz1BBFYLLpPRFRQb92DriyF1sazBE2JZS&#10;t9jFcNPISZJ8SYM1x4YKHa0rKm77u1Fw3rDLt50sLn9r93vNp83P/XhSajTsVzMQgfrwFv+7c61g&#10;kqTfaRwc/8QvIBcvAAAA//8DAFBLAQItABQABgAIAAAAIQDb4fbL7gAAAIUBAAATAAAAAAAAAAAA&#10;AAAAAAAAAABbQ29udGVudF9UeXBlc10ueG1sUEsBAi0AFAAGAAgAAAAhAFr0LFu/AAAAFQEAAAsA&#10;AAAAAAAAAAAAAAAAHwEAAF9yZWxzLy5yZWxzUEsBAi0AFAAGAAgAAAAhAAywbXDEAAAA3wAAAA8A&#10;AAAAAAAAAAAAAAAABwIAAGRycy9kb3ducmV2LnhtbFBLBQYAAAAAAwADALcAAAD4AgAAAAA=&#10;" filled="f" stroked="f">
                  <v:textbox inset="0,0,0,0">
                    <w:txbxContent>
                      <w:p w14:paraId="3CFAF2C3" w14:textId="77777777" w:rsidR="00B32EF2" w:rsidRDefault="00000000">
                        <w:r>
                          <w:rPr>
                            <w:rFonts w:ascii="Arial" w:eastAsia="Arial" w:hAnsi="Arial" w:cs="Arial"/>
                            <w:sz w:val="18"/>
                          </w:rPr>
                          <w:t>1</w:t>
                        </w:r>
                      </w:p>
                    </w:txbxContent>
                  </v:textbox>
                </v:rect>
                <v:rect id="Rectangle 21101" o:spid="_x0000_s5583" style="position:absolute;left:-12184;top:18144;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WNKxQAAAN4AAAAPAAAAZHJzL2Rvd25yZXYueG1sRI9Bi8Iw&#10;FITvwv6H8Ba8aVoPItUoi4vYgxddBY+P5tlWm5fQRNvdX28EYY/DzHzDLFa9acSDWl9bVpCOExDE&#10;hdU1lwqOP5vRDIQPyBoby6Tglzyslh+DBWbadrynxyGUIkLYZ6igCsFlUvqiIoN+bB1x9C62NRii&#10;bEupW+wi3DRykiRTabDmuFCho3VFxe1wNwrO3+zyTSeLy9/a7a75rNnejyelhp/91xxEoD78h9/t&#10;XCuYpGmSwutOvAJy+QQAAP//AwBQSwECLQAUAAYACAAAACEA2+H2y+4AAACFAQAAEwAAAAAAAAAA&#10;AAAAAAAAAAAAW0NvbnRlbnRfVHlwZXNdLnhtbFBLAQItABQABgAIAAAAIQBa9CxbvwAAABUBAAAL&#10;AAAAAAAAAAAAAAAAAB8BAABfcmVscy8ucmVsc1BLAQItABQABgAIAAAAIQCmzWNKxQAAAN4AAAAP&#10;AAAAAAAAAAAAAAAAAAcCAABkcnMvZG93bnJldi54bWxQSwUGAAAAAAMAAwC3AAAA+QIAAAAA&#10;" filled="f" stroked="f">
                  <v:textbox inset="0,0,0,0">
                    <w:txbxContent>
                      <w:p w14:paraId="6A63412D" w14:textId="77777777" w:rsidR="00B32EF2" w:rsidRDefault="00000000">
                        <w:r>
                          <w:rPr>
                            <w:rFonts w:ascii="Arial" w:eastAsia="Arial" w:hAnsi="Arial" w:cs="Arial"/>
                            <w:sz w:val="18"/>
                          </w:rPr>
                          <w:t>il Consiglio di presidenza è assistito da un ufficio di segreteria al quale vengo</w:t>
                        </w:r>
                      </w:p>
                    </w:txbxContent>
                  </v:textbox>
                </v:rect>
                <v:rect id="Rectangle 21102" o:spid="_x0000_s5584" style="position:absolute;left:194;top:1814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09xgAAAN4AAAAPAAAAZHJzL2Rvd25yZXYueG1sRI9Pi8Iw&#10;FMTvC36H8ARva9oeRKpRRBF78LL+AY+P5tl2t3kJTbTd/fSbhQWPw8z8hlmuB9OKJ3W+sawgnSYg&#10;iEurG64UXM779zkIH5A1tpZJwTd5WK9Gb0vMte35g56nUIkIYZ+jgjoEl0vpy5oM+ql1xNG7285g&#10;iLKrpO6wj3DTyixJZtJgw3GhRkfbmsqv08MouO3YFftelvefrTt+FvP28LhclZqMh80CRKAhvML/&#10;7UIryNI0yeDvTrwCcvULAAD//wMAUEsBAi0AFAAGAAgAAAAhANvh9svuAAAAhQEAABMAAAAAAAAA&#10;AAAAAAAAAAAAAFtDb250ZW50X1R5cGVzXS54bWxQSwECLQAUAAYACAAAACEAWvQsW78AAAAVAQAA&#10;CwAAAAAAAAAAAAAAAAAfAQAAX3JlbHMvLnJlbHNQSwECLQAUAAYACAAAACEAVh/9PcYAAADeAAAA&#10;DwAAAAAAAAAAAAAAAAAHAgAAZHJzL2Rvd25yZXYueG1sUEsFBgAAAAADAAMAtwAAAPoCAAAAAA==&#10;" filled="f" stroked="f">
                  <v:textbox inset="0,0,0,0">
                    <w:txbxContent>
                      <w:p w14:paraId="2AAFB874" w14:textId="77777777" w:rsidR="00B32EF2" w:rsidRDefault="00000000">
                        <w:r>
                          <w:rPr>
                            <w:rFonts w:ascii="Arial" w:eastAsia="Arial" w:hAnsi="Arial" w:cs="Arial"/>
                            <w:sz w:val="18"/>
                          </w:rPr>
                          <w:t>-</w:t>
                        </w:r>
                      </w:p>
                    </w:txbxContent>
                  </v:textbox>
                </v:rect>
                <v:rect id="Rectangle 21103" o:spid="_x0000_s5585" style="position:absolute;left:-13170;top:1691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1imxgAAAN4AAAAPAAAAZHJzL2Rvd25yZXYueG1sRI9Ba8JA&#10;FITvBf/D8oTe6iYWRFJXEUXMoRdtBI+P7DNJzb5dsqtJ++u7gtDjMDPfMIvVYFpxp843lhWkkwQE&#10;cWl1w5WC4mv3NgfhA7LG1jIp+CEPq+XoZYGZtj0f6H4MlYgQ9hkqqENwmZS+rMmgn1hHHL2L7QyG&#10;KLtK6g77CDetnCbJTBpsOC7U6GhTU3k93oyC85ZdvutlefnduM/vfN7ub8VJqdfxsP4AEWgI/+Fn&#10;O9cKpmmavMPjTrwCcvkHAAD//wMAUEsBAi0AFAAGAAgAAAAhANvh9svuAAAAhQEAABMAAAAAAAAA&#10;AAAAAAAAAAAAAFtDb250ZW50X1R5cGVzXS54bWxQSwECLQAUAAYACAAAACEAWvQsW78AAAAVAQAA&#10;CwAAAAAAAAAAAAAAAAAfAQAAX3JlbHMvLnJlbHNQSwECLQAUAAYACAAAACEAOVNYpsYAAADeAAAA&#10;DwAAAAAAAAAAAAAAAAAHAgAAZHJzL2Rvd25yZXYueG1sUEsFBgAAAAADAAMAtwAAAPoCAAAAAA==&#10;" filled="f" stroked="f">
                  <v:textbox inset="0,0,0,0">
                    <w:txbxContent>
                      <w:p w14:paraId="788B982E" w14:textId="77777777" w:rsidR="00B32EF2" w:rsidRDefault="00000000">
                        <w:r>
                          <w:rPr>
                            <w:rFonts w:ascii="Arial" w:eastAsia="Arial" w:hAnsi="Arial" w:cs="Arial"/>
                            <w:sz w:val="18"/>
                          </w:rPr>
                          <w:t xml:space="preserve">no assegnati con decreto del Ministro dell’economia e delle finanze due unità </w:t>
                        </w:r>
                      </w:p>
                    </w:txbxContent>
                  </v:textbox>
                </v:rect>
                <v:rect id="Rectangle 21104" o:spid="_x0000_s5586" style="position:absolute;left:-12203;top:15678;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sDSxgAAAN4AAAAPAAAAZHJzL2Rvd25yZXYueG1sRI9Ba8JA&#10;FITvBf/D8oTe6iZSRFJXEUXMoRdtBI+P7DNJzb5dsqtJ++u7gtDjMDPfMIvVYFpxp843lhWkkwQE&#10;cWl1w5WC4mv3NgfhA7LG1jIp+CEPq+XoZYGZtj0f6H4MlYgQ9hkqqENwmZS+rMmgn1hHHL2L7QyG&#10;KLtK6g77CDetnCbJTBpsOC7U6GhTU3k93oyC85ZdvutlefnduM/vfN7ub8VJqdfxsP4AEWgI/+Fn&#10;O9cKpmmavMPjTrwCcvkHAAD//wMAUEsBAi0AFAAGAAgAAAAhANvh9svuAAAAhQEAABMAAAAAAAAA&#10;AAAAAAAAAAAAAFtDb250ZW50X1R5cGVzXS54bWxQSwECLQAUAAYACAAAACEAWvQsW78AAAAVAQAA&#10;CwAAAAAAAAAAAAAAAAAfAQAAX3JlbHMvLnJlbHNQSwECLQAUAAYACAAAACEAtrrA0sYAAADeAAAA&#10;DwAAAAAAAAAAAAAAAAAHAgAAZHJzL2Rvd25yZXYueG1sUEsFBgAAAAADAAMAtwAAAPoCAAAAAA==&#10;" filled="f" stroked="f">
                  <v:textbox inset="0,0,0,0">
                    <w:txbxContent>
                      <w:p w14:paraId="01A113EF" w14:textId="77777777" w:rsidR="00B32EF2" w:rsidRDefault="00000000">
                        <w:r>
                          <w:rPr>
                            <w:rFonts w:ascii="Arial" w:eastAsia="Arial" w:hAnsi="Arial" w:cs="Arial"/>
                            <w:sz w:val="18"/>
                          </w:rPr>
                          <w:t>di livello dirigenziale non generale e settantadue unità di personale ammini</w:t>
                        </w:r>
                      </w:p>
                    </w:txbxContent>
                  </v:textbox>
                </v:rect>
                <v:rect id="Rectangle 21105" o:spid="_x0000_s5587" style="position:absolute;left:194;top:1567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mVJxgAAAN4AAAAPAAAAZHJzL2Rvd25yZXYueG1sRI9Ba8JA&#10;FITvBf/D8oTe6iZCRVJXEUXMoRdtBI+P7DNJzb5dsqtJ++u7gtDjMDPfMIvVYFpxp843lhWkkwQE&#10;cWl1w5WC4mv3NgfhA7LG1jIp+CEPq+XoZYGZtj0f6H4MlYgQ9hkqqENwmZS+rMmgn1hHHL2L7QyG&#10;KLtK6g77CDetnCbJTBpsOC7U6GhTU3k93oyC85ZdvutlefnduM/vfN7ub8VJqdfxsP4AEWgI/+Fn&#10;O9cKpmmavMPjTrwCcvkHAAD//wMAUEsBAi0AFAAGAAgAAAAhANvh9svuAAAAhQEAABMAAAAAAAAA&#10;AAAAAAAAAAAAAFtDb250ZW50X1R5cGVzXS54bWxQSwECLQAUAAYACAAAACEAWvQsW78AAAAVAQAA&#10;CwAAAAAAAAAAAAAAAAAfAQAAX3JlbHMvLnJlbHNQSwECLQAUAAYACAAAACEA2fZlScYAAADeAAAA&#10;DwAAAAAAAAAAAAAAAAAHAgAAZHJzL2Rvd25yZXYueG1sUEsFBgAAAAADAAMAtwAAAPoCAAAAAA==&#10;" filled="f" stroked="f">
                  <v:textbox inset="0,0,0,0">
                    <w:txbxContent>
                      <w:p w14:paraId="0BBE7DF5" w14:textId="77777777" w:rsidR="00B32EF2" w:rsidRDefault="00000000">
                        <w:r>
                          <w:rPr>
                            <w:rFonts w:ascii="Arial" w:eastAsia="Arial" w:hAnsi="Arial" w:cs="Arial"/>
                            <w:sz w:val="18"/>
                          </w:rPr>
                          <w:t>-</w:t>
                        </w:r>
                      </w:p>
                    </w:txbxContent>
                  </v:textbox>
                </v:rect>
                <v:rect id="Rectangle 21106" o:spid="_x0000_s5588" style="position:absolute;left:-13170;top:14445;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Ps+xgAAAN4AAAAPAAAAZHJzL2Rvd25yZXYueG1sRI9Pi8Iw&#10;FMTvgt8hvAVvmtaDSNco4iL24MV/4PHRPNuuzUtoou3upzcLCx6HmfkNs1j1phFPan1tWUE6SUAQ&#10;F1bXXCo4n7bjOQgfkDU2lknBD3lYLYeDBWbadnyg5zGUIkLYZ6igCsFlUvqiIoN+Yh1x9G62NRii&#10;bEupW+wi3DRymiQzabDmuFCho01Fxf34MAquX+zybSeL2+/G7b/zebN7nC9KjT769SeIQH14h//b&#10;uVYwTdNkBn934hWQyxcAAAD//wMAUEsBAi0AFAAGAAgAAAAhANvh9svuAAAAhQEAABMAAAAAAAAA&#10;AAAAAAAAAAAAAFtDb250ZW50X1R5cGVzXS54bWxQSwECLQAUAAYACAAAACEAWvQsW78AAAAVAQAA&#10;CwAAAAAAAAAAAAAAAAAfAQAAX3JlbHMvLnJlbHNQSwECLQAUAAYACAAAACEAKST7PsYAAADeAAAA&#10;DwAAAAAAAAAAAAAAAAAHAgAAZHJzL2Rvd25yZXYueG1sUEsFBgAAAAADAAMAtwAAAPoCAAAAAA==&#10;" filled="f" stroked="f">
                  <v:textbox inset="0,0,0,0">
                    <w:txbxContent>
                      <w:p w14:paraId="6D7030E5" w14:textId="77777777" w:rsidR="00B32EF2" w:rsidRDefault="00000000">
                        <w:r>
                          <w:rPr>
                            <w:rFonts w:ascii="Arial" w:eastAsia="Arial" w:hAnsi="Arial" w:cs="Arial"/>
                            <w:sz w:val="18"/>
                          </w:rPr>
                          <w:t xml:space="preserve">strativo di livello non dirigenziale, appartenenti al contingente del personale </w:t>
                        </w:r>
                      </w:p>
                    </w:txbxContent>
                  </v:textbox>
                </v:rect>
                <v:rect id="Rectangle 21107" o:spid="_x0000_s5589" style="position:absolute;left:-9114;top:13211;width:490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F6lxgAAAN4AAAAPAAAAZHJzL2Rvd25yZXYueG1sRI9Ba8JA&#10;FITvBf/D8oTe6iYeqqSuIoqYQy/aCB4f2WeSmn27ZFeT9td3BaHHYWa+YRarwbTiTp1vLCtIJwkI&#10;4tLqhisFxdfubQ7CB2SNrWVS8EMeVsvRywIzbXs+0P0YKhEh7DNUUIfgMil9WZNBP7GOOHoX2xkM&#10;UXaV1B32EW5aOU2Sd2mw4bhQo6NNTeX1eDMKzlt2+a6X5eV34z6/83m7vxUnpV7Hw/oDRKAh/Ief&#10;7VwrmKZpMoPHnXgF5PIPAAD//wMAUEsBAi0AFAAGAAgAAAAhANvh9svuAAAAhQEAABMAAAAAAAAA&#10;AAAAAAAAAAAAAFtDb250ZW50X1R5cGVzXS54bWxQSwECLQAUAAYACAAAACEAWvQsW78AAAAVAQAA&#10;CwAAAAAAAAAAAAAAAAAfAQAAX3JlbHMvLnJlbHNQSwECLQAUAAYACAAAACEARmhepcYAAADeAAAA&#10;DwAAAAAAAAAAAAAAAAAHAgAAZHJzL2Rvd25yZXYueG1sUEsFBgAAAAADAAMAtwAAAPoCAAAAAA==&#10;" filled="f" stroked="f">
                  <v:textbox inset="0,0,0,0">
                    <w:txbxContent>
                      <w:p w14:paraId="102494FF" w14:textId="77777777" w:rsidR="00B32EF2" w:rsidRDefault="00000000">
                        <w:r>
                          <w:rPr>
                            <w:rFonts w:ascii="Arial" w:eastAsia="Arial" w:hAnsi="Arial" w:cs="Arial"/>
                            <w:sz w:val="18"/>
                          </w:rPr>
                          <w:t>del ruolo del Ministero dell’economia e delle finanze di cui all’articolo 40.</w:t>
                        </w:r>
                      </w:p>
                    </w:txbxContent>
                  </v:textbox>
                </v:rect>
                <v:rect id="Rectangle 201716" o:spid="_x0000_s5590" style="position:absolute;left:26111;top:11978;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1yZxwAAAN8AAAAPAAAAZHJzL2Rvd25yZXYueG1sRI9Ba8JA&#10;FITvgv9heUJvuokHK9FVRJHm4KVWweMj+0yi2bdLdjWxv75bKPQ4zMw3zHLdm0Y8qfW1ZQXpJAFB&#10;XFhdc6ng9LUfz0H4gKyxsUwKXuRhvRoOlphp2/EnPY+hFBHCPkMFVQguk9IXFRn0E+uIo3e1rcEQ&#10;ZVtK3WIX4aaR0ySZSYM1x4UKHW0rKu7Hh1Fw2bHL950srt9bd7jl8+bjcTor9TbqNwsQgfrwH/5r&#10;51rBNEnf0xn8/olfQK5+AAAA//8DAFBLAQItABQABgAIAAAAIQDb4fbL7gAAAIUBAAATAAAAAAAA&#10;AAAAAAAAAAAAAABbQ29udGVudF9UeXBlc10ueG1sUEsBAi0AFAAGAAgAAAAhAFr0LFu/AAAAFQEA&#10;AAsAAAAAAAAAAAAAAAAAHwEAAF9yZWxzLy5yZWxzUEsBAi0AFAAGAAgAAAAhABJjXJnHAAAA3wAA&#10;AA8AAAAAAAAAAAAAAAAABwIAAGRycy9kb3ducmV2LnhtbFBLBQYAAAAAAwADALcAAAD7AgAAAAA=&#10;" filled="f" stroked="f">
                  <v:textbox inset="0,0,0,0">
                    <w:txbxContent>
                      <w:p w14:paraId="2750A8CD" w14:textId="77777777" w:rsidR="00B32EF2" w:rsidRDefault="00000000">
                        <w:r>
                          <w:rPr>
                            <w:rFonts w:ascii="Arial" w:eastAsia="Arial" w:hAnsi="Arial" w:cs="Arial"/>
                            <w:sz w:val="18"/>
                          </w:rPr>
                          <w:t>2</w:t>
                        </w:r>
                      </w:p>
                    </w:txbxContent>
                  </v:textbox>
                </v:rect>
                <v:rect id="Rectangle 201717" o:spid="_x0000_s5591" style="position:absolute;left:-13815;top:119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kCxwAAAN8AAAAPAAAAZHJzL2Rvd25yZXYueG1sRI9Pi8Iw&#10;FMTvC36H8ARva1oPq3SNIopsD17WP7DHR/Nsu9u8hCba6qffCILHYWZ+w8yXvWnElVpfW1aQjhMQ&#10;xIXVNZcKjoft+wyED8gaG8uk4EYelovB2xwzbTv+pus+lCJC2GeooArBZVL6oiKDfmwdcfTOtjUY&#10;omxLqVvsItw0cpIkH9JgzXGhQkfrioq//cUo+Nmwy7edLM73tdv95rPm63I8KTUa9qtPEIH68Ao/&#10;27lWMEnSaTqFx5/4BeTiHwAA//8DAFBLAQItABQABgAIAAAAIQDb4fbL7gAAAIUBAAATAAAAAAAA&#10;AAAAAAAAAAAAAABbQ29udGVudF9UeXBlc10ueG1sUEsBAi0AFAAGAAgAAAAhAFr0LFu/AAAAFQEA&#10;AAsAAAAAAAAAAAAAAAAAHwEAAF9yZWxzLy5yZWxzUEsBAi0AFAAGAAgAAAAhAH0v+QLHAAAA3wAA&#10;AA8AAAAAAAAAAAAAAAAABwIAAGRycy9kb3ducmV2LnhtbFBLBQYAAAAAAwADALcAAAD7AgAAAAA=&#10;" filled="f" stroked="f">
                  <v:textbox inset="0,0,0,0">
                    <w:txbxContent>
                      <w:p w14:paraId="3156FEDE" w14:textId="77777777" w:rsidR="00B32EF2" w:rsidRDefault="00000000">
                        <w:r>
                          <w:rPr>
                            <w:rFonts w:ascii="Arial" w:eastAsia="Arial" w:hAnsi="Arial" w:cs="Arial"/>
                            <w:sz w:val="18"/>
                          </w:rPr>
                          <w:t xml:space="preserve">. L’ufficio di segreteria, per l’espletamento dei compiti affidatigli, può avvalersi </w:t>
                        </w:r>
                      </w:p>
                    </w:txbxContent>
                  </v:textbox>
                </v:rect>
                <v:rect id="Rectangle 21109" o:spid="_x0000_s5592" style="position:absolute;left:19138;top:10745;width:207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29MxgAAAN4AAAAPAAAAZHJzL2Rvd25yZXYueG1sRI9Ba8JA&#10;FITvQv/D8gredBMPYlNXEUXMwYvWQo+P7DNJzb5dsquJ/npXKPQ4zMw3zHzZm0bcqPW1ZQXpOAFB&#10;XFhdc6ng9LUdzUD4gKyxsUwK7uRhuXgbzDHTtuMD3Y6hFBHCPkMFVQguk9IXFRn0Y+uIo3e2rcEQ&#10;ZVtK3WIX4aaRkySZSoM1x4UKHa0rKi7Hq1Hws2GXbztZnB9rt//NZ83uevpWavjerz5BBOrDf/iv&#10;nWsFkzRNPuB1J14BuXgCAAD//wMAUEsBAi0AFAAGAAgAAAAhANvh9svuAAAAhQEAABMAAAAAAAAA&#10;AAAAAAAAAAAAAFtDb250ZW50X1R5cGVzXS54bWxQSwECLQAUAAYACAAAACEAWvQsW78AAAAVAQAA&#10;CwAAAAAAAAAAAAAAAAAfAQAAX3JlbHMvLnJlbHNQSwECLQAUAAYACAAAACEAWLtvTMYAAADeAAAA&#10;DwAAAAAAAAAAAAAAAAAHAgAAZHJzL2Rvd25yZXYueG1sUEsFBgAAAAADAAMAtwAAAPoCAAAAAA==&#10;" filled="f" stroked="f">
                  <v:textbox inset="0,0,0,0">
                    <w:txbxContent>
                      <w:p w14:paraId="4C41BFEB" w14:textId="77777777" w:rsidR="00B32EF2" w:rsidRDefault="00000000">
                        <w:r>
                          <w:rPr>
                            <w:rFonts w:ascii="Arial" w:eastAsia="Arial" w:hAnsi="Arial" w:cs="Arial"/>
                            <w:sz w:val="18"/>
                          </w:rPr>
                          <w:t>dei servizi di cui all’articolo 44.</w:t>
                        </w:r>
                      </w:p>
                    </w:txbxContent>
                  </v:textbox>
                </v:rect>
                <v:rect id="Rectangle 21110" o:spid="_x0000_s5593" style="position:absolute;left:15072;top:8278;width:80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FAMxQAAAN4AAAAPAAAAZHJzL2Rvd25yZXYueG1sRI+7asMw&#10;FIb3Qt5BnEC2RnaGElwroSSEeOgSN4WOB+v40lpHwlJsJ09fDYWOP/+NL9/PphcjDb6zrCBdJyCI&#10;K6s7bhRcP07PWxA+IGvsLZOCO3nY7xZPOWbaTnyhsQyNiCPsM1TQhuAyKX3VkkG/to44erUdDIYo&#10;h0bqAac4bnq5SZIXabDj+NCio0NL1U95Mwq+juyK0ySr+nFw79/Ftj/frp9KrZbz2yuIQHP4D/+1&#10;C61gk6ZpBIg4EQXk7hcAAP//AwBQSwECLQAUAAYACAAAACEA2+H2y+4AAACFAQAAEwAAAAAAAAAA&#10;AAAAAAAAAAAAW0NvbnRlbnRfVHlwZXNdLnhtbFBLAQItABQABgAIAAAAIQBa9CxbvwAAABUBAAAL&#10;AAAAAAAAAAAAAAAAAB8BAABfcmVscy8ucmVsc1BLAQItABQABgAIAAAAIQBMWFAMxQAAAN4AAAAP&#10;AAAAAAAAAAAAAAAAAAcCAABkcnMvZG93bnJldi54bWxQSwUGAAAAAAMAAwC3AAAA+QIAAAAA&#10;" filled="f" stroked="f">
                  <v:textbox inset="0,0,0,0">
                    <w:txbxContent>
                      <w:p w14:paraId="08D58BBE" w14:textId="77777777" w:rsidR="00B32EF2" w:rsidRDefault="00000000">
                        <w:r>
                          <w:rPr>
                            <w:rFonts w:ascii="Arial" w:eastAsia="Arial" w:hAnsi="Arial" w:cs="Arial"/>
                            <w:b/>
                            <w:sz w:val="18"/>
                          </w:rPr>
                          <w:t>Articolo 39</w:t>
                        </w:r>
                      </w:p>
                    </w:txbxContent>
                  </v:textbox>
                </v:rect>
                <v:rect id="Rectangle 201713" o:spid="_x0000_s5594" style="position:absolute;left:22218;top:7045;width:193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P8ByAAAAN8AAAAPAAAAZHJzL2Rvd25yZXYueG1sRI9Pa8JA&#10;FMTvgt9heYI33cSCldRVRJHm0Ev9Az0+ss8kbfbtkl1N7Kd3CwWPw8z8hlmue9OIG7W+tqwgnSYg&#10;iAuray4VnI77yQKED8gaG8uk4E4e1qvhYImZth1/0u0QShEh7DNUUIXgMil9UZFBP7WOOHoX2xoM&#10;Ubal1C12EW4aOUuSuTRYc1yo0NG2ouLncDUKvnbs8n0ni8vv1n1854vm/Xo6KzUe9Zs3EIH68Az/&#10;t3OtYJakr+kL/P2JX0CuHgAAAP//AwBQSwECLQAUAAYACAAAACEA2+H2y+4AAACFAQAAEwAAAAAA&#10;AAAAAAAAAAAAAAAAW0NvbnRlbnRfVHlwZXNdLnhtbFBLAQItABQABgAIAAAAIQBa9CxbvwAAABUB&#10;AAALAAAAAAAAAAAAAAAAAB8BAABfcmVscy8ucmVsc1BLAQItABQABgAIAAAAIQACFP8ByAAAAN8A&#10;AAAPAAAAAAAAAAAAAAAAAAcCAABkcnMvZG93bnJldi54bWxQSwUGAAAAAAMAAwC3AAAA/AIAAAAA&#10;" filled="f" stroked="f">
                  <v:textbox inset="0,0,0,0">
                    <w:txbxContent>
                      <w:p w14:paraId="602B7316" w14:textId="77777777" w:rsidR="00B32EF2" w:rsidRDefault="00000000">
                        <w:r>
                          <w:rPr>
                            <w:rFonts w:ascii="Arial" w:eastAsia="Arial" w:hAnsi="Arial" w:cs="Arial"/>
                            <w:i/>
                            <w:sz w:val="18"/>
                          </w:rPr>
                          <w:t>(</w:t>
                        </w:r>
                      </w:p>
                    </w:txbxContent>
                  </v:textbox>
                </v:rect>
                <v:rect id="Rectangle 201714" o:spid="_x0000_s5595" style="position:absolute;left:-2581;top:7045;width:193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d1yAAAAN8AAAAPAAAAZHJzL2Rvd25yZXYueG1sRI9Pa8JA&#10;FMTvgt9heYI33USKldRVRJHm0Ev9Az0+ss8kbfbtkl1N7Kd3CwWPw8z8hlmue9OIG7W+tqwgnSYg&#10;iAuray4VnI77yQKED8gaG8uk4E4e1qvhYImZth1/0u0QShEh7DNUUIXgMil9UZFBP7WOOHoX2xoM&#10;Ubal1C12EW4aOUuSuTRYc1yo0NG2ouLncDUKvnbs8n0ni8vv1n1854vm/Xo6KzUe9Zs3EIH68Az/&#10;t3OtYJakr+kL/P2JX0CuHgAAAP//AwBQSwECLQAUAAYACAAAACEA2+H2y+4AAACFAQAAEwAAAAAA&#10;AAAAAAAAAAAAAAAAW0NvbnRlbnRfVHlwZXNdLnhtbFBLAQItABQABgAIAAAAIQBa9CxbvwAAABUB&#10;AAALAAAAAAAAAAAAAAAAAB8BAABfcmVscy8ucmVsc1BLAQItABQABgAIAAAAIQCN/Wd1yAAAAN8A&#10;AAAPAAAAAAAAAAAAAAAAAAcCAABkcnMvZG93bnJldi54bWxQSwUGAAAAAAMAAwC3AAAA/AIAAAAA&#10;" filled="f" stroked="f">
                  <v:textbox inset="0,0,0,0">
                    <w:txbxContent>
                      <w:p w14:paraId="3B9A55E0" w14:textId="77777777" w:rsidR="00B32EF2" w:rsidRDefault="00000000">
                        <w:r>
                          <w:rPr>
                            <w:rFonts w:ascii="Arial" w:eastAsia="Arial" w:hAnsi="Arial" w:cs="Arial"/>
                            <w:i/>
                            <w:sz w:val="18"/>
                          </w:rPr>
                          <w:t>545/92)</w:t>
                        </w:r>
                      </w:p>
                    </w:txbxContent>
                  </v:textbox>
                </v:rect>
                <v:rect id="Rectangle 201715" o:spid="_x0000_s5596" style="position:absolute;left:11651;top:7045;width:193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cLuyAAAAN8AAAAPAAAAZHJzL2Rvd25yZXYueG1sRI9Pa8JA&#10;FMTvgt9heYI33USoldRVRJHm0Ev9Az0+ss8kbfbtkl1N7Kd3CwWPw8z8hlmue9OIG7W+tqwgnSYg&#10;iAuray4VnI77yQKED8gaG8uk4E4e1qvhYImZth1/0u0QShEh7DNUUIXgMil9UZFBP7WOOHoX2xoM&#10;Ubal1C12EW4aOUuSuTRYc1yo0NG2ouLncDUKvnbs8n0ni8vv1n1854vm/Xo6KzUe9Zs3EIH68Az/&#10;t3OtYJakr+kL/P2JX0CuHgAAAP//AwBQSwECLQAUAAYACAAAACEA2+H2y+4AAACFAQAAEwAAAAAA&#10;AAAAAAAAAAAAAAAAW0NvbnRlbnRfVHlwZXNdLnhtbFBLAQItABQABgAIAAAAIQBa9CxbvwAAABUB&#10;AAALAAAAAAAAAAAAAAAAAB8BAABfcmVscy8ucmVsc1BLAQItABQABgAIAAAAIQDiscLuyAAAAN8A&#10;AAAPAAAAAAAAAAAAAAAAAAcCAABkcnMvZG93bnJldi54bWxQSwUGAAAAAAMAAwC3AAAA/AIAAAAA&#10;" filled="f" stroked="f">
                  <v:textbox inset="0,0,0,0">
                    <w:txbxContent>
                      <w:p w14:paraId="05743AA8" w14:textId="77777777" w:rsidR="00B32EF2" w:rsidRDefault="00000000">
                        <w:r>
                          <w:rPr>
                            <w:rFonts w:ascii="Arial" w:eastAsia="Arial" w:hAnsi="Arial" w:cs="Arial"/>
                            <w:i/>
                            <w:sz w:val="18"/>
                          </w:rPr>
                          <w:t xml:space="preserve">articolo 31 D.lgs. n. </w:t>
                        </w:r>
                      </w:p>
                    </w:txbxContent>
                  </v:textbox>
                </v:rect>
                <v:rect id="Rectangle 21112" o:spid="_x0000_s5597" style="position:absolute;left:-13173;top:5811;width:530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mvgxgAAAN4AAAAPAAAAZHJzL2Rvd25yZXYueG1sRI9Pi8Iw&#10;FMTvC36H8ARva9oeRKpRRBF78LL+AY+P5tl2t3kJTbTd/fSbhQWPw8z8hlmuB9OKJ3W+sawgnSYg&#10;iEurG64UXM779zkIH5A1tpZJwTd5WK9Gb0vMte35g56nUIkIYZ+jgjoEl0vpy5oM+ql1xNG7285g&#10;iLKrpO6wj3DTyixJZtJgw3GhRkfbmsqv08MouO3YFftelvefrTt+FvP28LhclZqMh80CRKAhvML/&#10;7UIryNI0zeDvTrwCcvULAAD//wMAUEsBAi0AFAAGAAgAAAAhANvh9svuAAAAhQEAABMAAAAAAAAA&#10;AAAAAAAAAAAAAFtDb250ZW50X1R5cGVzXS54bWxQSwECLQAUAAYACAAAACEAWvQsW78AAAAVAQAA&#10;CwAAAAAAAAAAAAAAAAAfAQAAX3JlbHMvLnJlbHNQSwECLQAUAAYACAAAACEA08Zr4MYAAADeAAAA&#10;DwAAAAAAAAAAAAAAAAAHAgAAZHJzL2Rvd25yZXYueG1sUEsFBgAAAAADAAMAtwAAAPoCAAAAAA==&#10;" filled="f" stroked="f">
                  <v:textbox inset="0,0,0,0">
                    <w:txbxContent>
                      <w:p w14:paraId="76CB5927" w14:textId="77777777" w:rsidR="00B32EF2" w:rsidRDefault="00000000">
                        <w:r>
                          <w:rPr>
                            <w:rFonts w:ascii="Arial" w:eastAsia="Arial" w:hAnsi="Arial" w:cs="Arial"/>
                            <w:b/>
                            <w:sz w:val="18"/>
                          </w:rPr>
                          <w:t xml:space="preserve">Ufficio di segreteria delle corti di giustizia tributaria di primo e secondo </w:t>
                        </w:r>
                      </w:p>
                    </w:txbxContent>
                  </v:textbox>
                </v:rect>
                <v:rect id="Rectangle 21113" o:spid="_x0000_s5598" style="position:absolute;left:17010;top:4578;width:47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s57xgAAAN4AAAAPAAAAZHJzL2Rvd25yZXYueG1sRI9Ba8JA&#10;FITvgv9heYI33UShSHQVUcQcvNRa6PGRfSbR7Nslu5rYX98tFHocZuYbZrXpTSOe1PrasoJ0moAg&#10;LqyuuVRw+ThMFiB8QNbYWCYFL/KwWQ8HK8y07fidnudQighhn6GCKgSXSemLigz6qXXE0bva1mCI&#10;si2lbrGLcNPIWZK8SYM1x4UKHe0qKu7nh1HwtWeXHzpZXL937nTLF83xcflUajzqt0sQgfrwH/5r&#10;51rBLE3TOfzeiVdArn8AAAD//wMAUEsBAi0AFAAGAAgAAAAhANvh9svuAAAAhQEAABMAAAAAAAAA&#10;AAAAAAAAAAAAAFtDb250ZW50X1R5cGVzXS54bWxQSwECLQAUAAYACAAAACEAWvQsW78AAAAVAQAA&#10;CwAAAAAAAAAAAAAAAAAfAQAAX3JlbHMvLnJlbHNQSwECLQAUAAYACAAAACEAvIrOe8YAAADeAAAA&#10;DwAAAAAAAAAAAAAAAAAHAgAAZHJzL2Rvd25yZXYueG1sUEsFBgAAAAADAAMAtwAAAPoCAAAAAA==&#10;" filled="f" stroked="f">
                  <v:textbox inset="0,0,0,0">
                    <w:txbxContent>
                      <w:p w14:paraId="063F96DB" w14:textId="77777777" w:rsidR="00B32EF2" w:rsidRDefault="00000000">
                        <w:r>
                          <w:rPr>
                            <w:rFonts w:ascii="Arial" w:eastAsia="Arial" w:hAnsi="Arial" w:cs="Arial"/>
                            <w:b/>
                            <w:sz w:val="18"/>
                          </w:rPr>
                          <w:t xml:space="preserve">grado </w:t>
                        </w:r>
                      </w:p>
                    </w:txbxContent>
                  </v:textbox>
                </v:rect>
                <v:rect id="Rectangle 201711" o:spid="_x0000_s5599" style="position:absolute;left:26111;top:3345;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sTtxwAAAN8AAAAPAAAAZHJzL2Rvd25yZXYueG1sRI9Ba8JA&#10;FITvgv9heYI33cSDlegqoog5eKm10OMj+0yi2bdLdjWxv75bKPQ4zMw3zGrTm0Y8qfW1ZQXpNAFB&#10;XFhdc6ng8nGYLED4gKyxsUwKXuRhsx4OVphp2/E7Pc+hFBHCPkMFVQguk9IXFRn0U+uIo3e1rcEQ&#10;ZVtK3WIX4aaRsySZS4M1x4UKHe0qKu7nh1HwtWeXHzpZXL937nTLF83xcflUajzqt0sQgfrwH/5r&#10;51rBLEnf0hR+/8QvINc/AAAA//8DAFBLAQItABQABgAIAAAAIQDb4fbL7gAAAIUBAAATAAAAAAAA&#10;AAAAAAAAAAAAAABbQ29udGVudF9UeXBlc10ueG1sUEsBAi0AFAAGAAgAAAAhAFr0LFu/AAAAFQEA&#10;AAsAAAAAAAAAAAAAAAAAHwEAAF9yZWxzLy5yZWxzUEsBAi0AFAAGAAgAAAAhAJ2KxO3HAAAA3wAA&#10;AA8AAAAAAAAAAAAAAAAABwIAAGRycy9kb3ducmV2LnhtbFBLBQYAAAAAAwADALcAAAD7AgAAAAA=&#10;" filled="f" stroked="f">
                  <v:textbox inset="0,0,0,0">
                    <w:txbxContent>
                      <w:p w14:paraId="7E4B5598" w14:textId="77777777" w:rsidR="00B32EF2" w:rsidRDefault="00000000">
                        <w:r>
                          <w:rPr>
                            <w:rFonts w:ascii="Arial" w:eastAsia="Arial" w:hAnsi="Arial" w:cs="Arial"/>
                            <w:sz w:val="18"/>
                          </w:rPr>
                          <w:t>1</w:t>
                        </w:r>
                      </w:p>
                    </w:txbxContent>
                  </v:textbox>
                </v:rect>
                <v:rect id="Rectangle 201712" o:spid="_x0000_s5600" style="position:absolute;left:-13762;top:334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FqaxwAAAN8AAAAPAAAAZHJzL2Rvd25yZXYueG1sRI9Ba8JA&#10;FITvQv/D8gredJMcVFJXEUXMwYvWQo+P7DNJzb5dsquJ/fXdQqHHYWa+YZbrwbTiQZ1vLCtIpwkI&#10;4tLqhisFl/f9ZAHCB2SNrWVS8CQP69XLaIm5tj2f6HEOlYgQ9jkqqENwuZS+rMmgn1pHHL2r7QyG&#10;KLtK6g77CDetzJJkJg02HBdqdLStqbyd70bB545dse9lef3euuNXsWgP98uHUuPXYfMGItAQ/sN/&#10;7UIryJJ0nmbw+yd+Abn6AQAA//8DAFBLAQItABQABgAIAAAAIQDb4fbL7gAAAIUBAAATAAAAAAAA&#10;AAAAAAAAAAAAAABbQ29udGVudF9UeXBlc10ueG1sUEsBAi0AFAAGAAgAAAAhAFr0LFu/AAAAFQEA&#10;AAsAAAAAAAAAAAAAAAAAHwEAAF9yZWxzLy5yZWxzUEsBAi0AFAAGAAgAAAAhAG1YWprHAAAA3wAA&#10;AA8AAAAAAAAAAAAAAAAABwIAAGRycy9kb3ducmV2LnhtbFBLBQYAAAAAAwADALcAAAD7AgAAAAA=&#10;" filled="f" stroked="f">
                  <v:textbox inset="0,0,0,0">
                    <w:txbxContent>
                      <w:p w14:paraId="7A5EB407" w14:textId="77777777" w:rsidR="00B32EF2" w:rsidRDefault="00000000">
                        <w:r>
                          <w:rPr>
                            <w:rFonts w:ascii="Arial" w:eastAsia="Arial" w:hAnsi="Arial" w:cs="Arial"/>
                            <w:sz w:val="18"/>
                          </w:rPr>
                          <w:t xml:space="preserve">. È istituito presso ogni corte di giustizia tributaria di primo e secondo grado un </w:t>
                        </w:r>
                      </w:p>
                    </w:txbxContent>
                  </v:textbox>
                </v:rect>
                <v:rect id="Rectangle 21115" o:spid="_x0000_s5601" style="position:absolute;left:-13169;top:2112;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OUxgAAAN4AAAAPAAAAZHJzL2Rvd25yZXYueG1sRI9Ba8JA&#10;FITvgv9heYI33USwSHQVUcQcvNRa6PGRfSbR7Nslu5rYX98tFHocZuYbZrXpTSOe1PrasoJ0moAg&#10;LqyuuVRw+ThMFiB8QNbYWCYFL/KwWQ8HK8y07fidnudQighhn6GCKgSXSemLigz6qXXE0bva1mCI&#10;si2lbrGLcNPIWZK8SYM1x4UKHe0qKu7nh1HwtWeXHzpZXL937nTLF83xcflUajzqt0sQgfrwH/5r&#10;51rBLE3TOfzeiVdArn8AAAD//wMAUEsBAi0AFAAGAAgAAAAhANvh9svuAAAAhQEAABMAAAAAAAAA&#10;AAAAAAAAAAAAAFtDb250ZW50X1R5cGVzXS54bWxQSwECLQAUAAYACAAAACEAWvQsW78AAAAVAQAA&#10;CwAAAAAAAAAAAAAAAAAfAQAAX3JlbHMvLnJlbHNQSwECLQAUAAYACAAAACEAXC/zlMYAAADeAAAA&#10;DwAAAAAAAAAAAAAAAAAHAgAAZHJzL2Rvd25yZXYueG1sUEsFBgAAAAADAAMAtwAAAPoCAAAAAA==&#10;" filled="f" stroked="f">
                  <v:textbox inset="0,0,0,0">
                    <w:txbxContent>
                      <w:p w14:paraId="4EF51073" w14:textId="77777777" w:rsidR="00B32EF2" w:rsidRDefault="00000000">
                        <w:r>
                          <w:rPr>
                            <w:rFonts w:ascii="Arial" w:eastAsia="Arial" w:hAnsi="Arial" w:cs="Arial"/>
                            <w:sz w:val="18"/>
                          </w:rPr>
                          <w:t xml:space="preserve">ufficio di segreteria con funzioni di assistenza e collaborazione nell’esercizio </w:t>
                        </w:r>
                      </w:p>
                    </w:txbxContent>
                  </v:textbox>
                </v:rect>
                <v:rect id="Rectangle 21116" o:spid="_x0000_s5602" style="position:absolute;left:-12201;top:878;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3jxQAAAN4AAAAPAAAAZHJzL2Rvd25yZXYueG1sRI9Bi8Iw&#10;FITvC/6H8IS9rWk9iFSjiCL2sJdVF/b4aJ5ttXkJTbTVX78RBI/DzHzDzJe9acSNWl9bVpCOEhDE&#10;hdU1lwqOh+3XFIQPyBoby6TgTh6Wi8HHHDNtO/6h2z6UIkLYZ6igCsFlUvqiIoN+ZB1x9E62NRii&#10;bEupW+wi3DRynCQTabDmuFCho3VFxWV/NQr+NuzybSeL02Ptvs/5tNldj79KfQ771QxEoD68w692&#10;rhWM0zSdwPNOvAJy8Q8AAP//AwBQSwECLQAUAAYACAAAACEA2+H2y+4AAACFAQAAEwAAAAAAAAAA&#10;AAAAAAAAAAAAW0NvbnRlbnRfVHlwZXNdLnhtbFBLAQItABQABgAIAAAAIQBa9CxbvwAAABUBAAAL&#10;AAAAAAAAAAAAAAAAAB8BAABfcmVscy8ucmVsc1BLAQItABQABgAIAAAAIQCs/W3jxQAAAN4AAAAP&#10;AAAAAAAAAAAAAAAAAAcCAABkcnMvZG93bnJldi54bWxQSwUGAAAAAAMAAwC3AAAA+QIAAAAA&#10;" filled="f" stroked="f">
                  <v:textbox inset="0,0,0,0">
                    <w:txbxContent>
                      <w:p w14:paraId="46195F34" w14:textId="77777777" w:rsidR="00B32EF2" w:rsidRDefault="00000000">
                        <w:r>
                          <w:rPr>
                            <w:rFonts w:ascii="Arial" w:eastAsia="Arial" w:hAnsi="Arial" w:cs="Arial"/>
                            <w:sz w:val="18"/>
                          </w:rPr>
                          <w:t>dell’attività giurisdizionale nonché per lo svolgimento di ogni altra attività am</w:t>
                        </w:r>
                      </w:p>
                    </w:txbxContent>
                  </v:textbox>
                </v:rect>
                <v:rect id="Rectangle 21117" o:spid="_x0000_s5603" style="position:absolute;left:194;top:87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ch4xgAAAN4AAAAPAAAAZHJzL2Rvd25yZXYueG1sRI9Ba8JA&#10;FITvgv9heYI33cSDlegqoog5eKm10OMj+0yi2bdLdjWxv75bKPQ4zMw3zGrTm0Y8qfW1ZQXpNAFB&#10;XFhdc6ng8nGYLED4gKyxsUwKXuRhsx4OVphp2/E7Pc+hFBHCPkMFVQguk9IXFRn0U+uIo3e1rcEQ&#10;ZVtK3WIX4aaRsySZS4M1x4UKHe0qKu7nh1HwtWeXHzpZXL937nTLF83xcflUajzqt0sQgfrwH/5r&#10;51rBLE3TN/i9E6+AXP8AAAD//wMAUEsBAi0AFAAGAAgAAAAhANvh9svuAAAAhQEAABMAAAAAAAAA&#10;AAAAAAAAAAAAAFtDb250ZW50X1R5cGVzXS54bWxQSwECLQAUAAYACAAAACEAWvQsW78AAAAVAQAA&#10;CwAAAAAAAAAAAAAAAAAfAQAAX3JlbHMvLnJlbHNQSwECLQAUAAYACAAAACEAw7HIeMYAAADeAAAA&#10;DwAAAAAAAAAAAAAAAAAHAgAAZHJzL2Rvd25yZXYueG1sUEsFBgAAAAADAAMAtwAAAPoCAAAAAA==&#10;" filled="f" stroked="f">
                  <v:textbox inset="0,0,0,0">
                    <w:txbxContent>
                      <w:p w14:paraId="25827FF7" w14:textId="77777777" w:rsidR="00B32EF2" w:rsidRDefault="00000000">
                        <w:r>
                          <w:rPr>
                            <w:rFonts w:ascii="Arial" w:eastAsia="Arial" w:hAnsi="Arial" w:cs="Arial"/>
                            <w:sz w:val="18"/>
                          </w:rPr>
                          <w:t>-</w:t>
                        </w:r>
                      </w:p>
                    </w:txbxContent>
                  </v:textbox>
                </v:rect>
                <v:rect id="Rectangle 21118" o:spid="_x0000_s5604" style="position:absolute;left:3124;top:-354;width:3679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lwKxAAAAN4AAAAPAAAAZHJzL2Rvd25yZXYueG1sRE+7asMw&#10;FN0L+QdxA9ka2RlKcK2EkhDioUvcFDperOtHa10JS7GdfH01FDoezjvfz6YXIw2+s6wgXScgiCur&#10;O24UXD9Oz1sQPiBr7C2Tgjt52O8WTzlm2k58obEMjYgh7DNU0IbgMil91ZJBv7aOOHK1HQyGCIdG&#10;6gGnGG56uUmSF2mw49jQoqNDS9VPeTMKvo7sitMkq/pxcO/fxbY/366fSq2W89sriEBz+Bf/uQut&#10;YJOmadwb78QrIHe/AAAA//8DAFBLAQItABQABgAIAAAAIQDb4fbL7gAAAIUBAAATAAAAAAAAAAAA&#10;AAAAAAAAAABbQ29udGVudF9UeXBlc10ueG1sUEsBAi0AFAAGAAgAAAAhAFr0LFu/AAAAFQEAAAsA&#10;AAAAAAAAAAAAAAAAHwEAAF9yZWxzLy5yZWxzUEsBAi0AFAAGAAgAAAAhALIuXArEAAAA3gAAAA8A&#10;AAAAAAAAAAAAAAAABwIAAGRycy9kb3ducmV2LnhtbFBLBQYAAAAAAwADALcAAAD4AgAAAAA=&#10;" filled="f" stroked="f">
                  <v:textbox inset="0,0,0,0">
                    <w:txbxContent>
                      <w:p w14:paraId="6BABFC39" w14:textId="77777777" w:rsidR="00B32EF2" w:rsidRDefault="00000000">
                        <w:r>
                          <w:rPr>
                            <w:rFonts w:ascii="Arial" w:eastAsia="Arial" w:hAnsi="Arial" w:cs="Arial"/>
                            <w:sz w:val="18"/>
                          </w:rPr>
                          <w:t>ministrativa attribuita alla stessa o ai suoi componenti.</w:t>
                        </w:r>
                      </w:p>
                    </w:txbxContent>
                  </v:textbox>
                </v:rect>
                <w10:anchorlock/>
              </v:group>
            </w:pict>
          </mc:Fallback>
        </mc:AlternateContent>
      </w:r>
    </w:p>
    <w:p w14:paraId="6BE4BFF9" w14:textId="77777777" w:rsidR="00B32EF2" w:rsidRDefault="00000000">
      <w:pPr>
        <w:spacing w:after="0"/>
        <w:ind w:left="-357" w:right="-306"/>
      </w:pPr>
      <w:r>
        <w:rPr>
          <w:noProof/>
        </w:rPr>
        <w:lastRenderedPageBreak/>
        <mc:AlternateContent>
          <mc:Choice Requires="wpg">
            <w:drawing>
              <wp:inline distT="0" distB="0" distL="0" distR="0" wp14:anchorId="5D9ABF83" wp14:editId="14B1F489">
                <wp:extent cx="3992019" cy="2204040"/>
                <wp:effectExtent l="0" t="0" r="0" b="0"/>
                <wp:docPr id="201800" name="Group 201800"/>
                <wp:cNvGraphicFramePr/>
                <a:graphic xmlns:a="http://schemas.openxmlformats.org/drawingml/2006/main">
                  <a:graphicData uri="http://schemas.microsoft.com/office/word/2010/wordprocessingGroup">
                    <wpg:wgp>
                      <wpg:cNvGrpSpPr/>
                      <wpg:grpSpPr>
                        <a:xfrm>
                          <a:off x="0" y="0"/>
                          <a:ext cx="3992019" cy="2204040"/>
                          <a:chOff x="0" y="0"/>
                          <a:chExt cx="3992019" cy="2204040"/>
                        </a:xfrm>
                      </wpg:grpSpPr>
                      <wps:wsp>
                        <wps:cNvPr id="21075" name="Rectangle 21075"/>
                        <wps:cNvSpPr/>
                        <wps:spPr>
                          <a:xfrm rot="-10799999">
                            <a:off x="-1317592" y="2061151"/>
                            <a:ext cx="5310298" cy="142890"/>
                          </a:xfrm>
                          <a:prstGeom prst="rect">
                            <a:avLst/>
                          </a:prstGeom>
                          <a:ln>
                            <a:noFill/>
                          </a:ln>
                        </wps:spPr>
                        <wps:txbx>
                          <w:txbxContent>
                            <w:p w14:paraId="2888BD5E" w14:textId="77777777" w:rsidR="00B32EF2" w:rsidRDefault="00000000">
                              <w:r>
                                <w:rPr>
                                  <w:rFonts w:ascii="Arial" w:eastAsia="Arial" w:hAnsi="Arial" w:cs="Arial"/>
                                  <w:sz w:val="18"/>
                                </w:rPr>
                                <w:t xml:space="preserve">tributaria ed i servizi relativi e possono fare, al riguardo, le comunicazioni che </w:t>
                              </w:r>
                            </w:p>
                          </w:txbxContent>
                        </wps:txbx>
                        <wps:bodyPr horzOverflow="overflow" vert="horz" lIns="0" tIns="0" rIns="0" bIns="0" rtlCol="0">
                          <a:noAutofit/>
                        </wps:bodyPr>
                      </wps:wsp>
                      <wps:wsp>
                        <wps:cNvPr id="21076" name="Rectangle 21076"/>
                        <wps:cNvSpPr/>
                        <wps:spPr>
                          <a:xfrm rot="-10799999">
                            <a:off x="766845" y="1937821"/>
                            <a:ext cx="3225175" cy="142890"/>
                          </a:xfrm>
                          <a:prstGeom prst="rect">
                            <a:avLst/>
                          </a:prstGeom>
                          <a:ln>
                            <a:noFill/>
                          </a:ln>
                        </wps:spPr>
                        <wps:txbx>
                          <w:txbxContent>
                            <w:p w14:paraId="382DCF34" w14:textId="77777777" w:rsidR="00B32EF2" w:rsidRDefault="00000000">
                              <w:r>
                                <w:rPr>
                                  <w:rFonts w:ascii="Arial" w:eastAsia="Arial" w:hAnsi="Arial" w:cs="Arial"/>
                                  <w:sz w:val="18"/>
                                </w:rPr>
                                <w:t>ritengono opportune al Consiglio di presidenza.</w:t>
                              </w:r>
                            </w:p>
                          </w:txbxContent>
                        </wps:txbx>
                        <wps:bodyPr horzOverflow="overflow" vert="horz" lIns="0" tIns="0" rIns="0" bIns="0" rtlCol="0">
                          <a:noAutofit/>
                        </wps:bodyPr>
                      </wps:wsp>
                      <wps:wsp>
                        <wps:cNvPr id="201736" name="Rectangle 201736"/>
                        <wps:cNvSpPr/>
                        <wps:spPr>
                          <a:xfrm rot="-10799999">
                            <a:off x="2635070" y="1814492"/>
                            <a:ext cx="5212793" cy="142889"/>
                          </a:xfrm>
                          <a:prstGeom prst="rect">
                            <a:avLst/>
                          </a:prstGeom>
                          <a:ln>
                            <a:noFill/>
                          </a:ln>
                        </wps:spPr>
                        <wps:txbx>
                          <w:txbxContent>
                            <w:p w14:paraId="5DF97311"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737" name="Rectangle 201737"/>
                        <wps:cNvSpPr/>
                        <wps:spPr>
                          <a:xfrm rot="-10799999">
                            <a:off x="-1285329" y="1814492"/>
                            <a:ext cx="5212793" cy="142889"/>
                          </a:xfrm>
                          <a:prstGeom prst="rect">
                            <a:avLst/>
                          </a:prstGeom>
                          <a:ln>
                            <a:noFill/>
                          </a:ln>
                        </wps:spPr>
                        <wps:txbx>
                          <w:txbxContent>
                            <w:p w14:paraId="7843E75B" w14:textId="77777777" w:rsidR="00B32EF2" w:rsidRDefault="00000000">
                              <w:r>
                                <w:rPr>
                                  <w:rFonts w:ascii="Arial" w:eastAsia="Arial" w:hAnsi="Arial" w:cs="Arial"/>
                                  <w:sz w:val="18"/>
                                </w:rPr>
                                <w:t>. Il Ministro dell’economia e delle finanze presenta entro il 30 ottobre di cia</w:t>
                              </w:r>
                            </w:p>
                          </w:txbxContent>
                        </wps:txbx>
                        <wps:bodyPr horzOverflow="overflow" vert="horz" lIns="0" tIns="0" rIns="0" bIns="0" rtlCol="0">
                          <a:noAutofit/>
                        </wps:bodyPr>
                      </wps:wsp>
                      <wps:wsp>
                        <wps:cNvPr id="21078" name="Rectangle 21078"/>
                        <wps:cNvSpPr/>
                        <wps:spPr>
                          <a:xfrm rot="-10799999">
                            <a:off x="19421" y="1814492"/>
                            <a:ext cx="50622" cy="142889"/>
                          </a:xfrm>
                          <a:prstGeom prst="rect">
                            <a:avLst/>
                          </a:prstGeom>
                          <a:ln>
                            <a:noFill/>
                          </a:ln>
                        </wps:spPr>
                        <wps:txbx>
                          <w:txbxContent>
                            <w:p w14:paraId="4DF1679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079" name="Rectangle 21079"/>
                        <wps:cNvSpPr/>
                        <wps:spPr>
                          <a:xfrm rot="-10799999">
                            <a:off x="-1316970" y="1691162"/>
                            <a:ext cx="5308990" cy="142889"/>
                          </a:xfrm>
                          <a:prstGeom prst="rect">
                            <a:avLst/>
                          </a:prstGeom>
                          <a:ln>
                            <a:noFill/>
                          </a:ln>
                        </wps:spPr>
                        <wps:txbx>
                          <w:txbxContent>
                            <w:p w14:paraId="1C10090D" w14:textId="77777777" w:rsidR="00B32EF2" w:rsidRDefault="00000000">
                              <w:r>
                                <w:rPr>
                                  <w:rFonts w:ascii="Arial" w:eastAsia="Arial" w:hAnsi="Arial" w:cs="Arial"/>
                                  <w:sz w:val="18"/>
                                </w:rPr>
                                <w:t xml:space="preserve">scun anno una relazione al Parlamento sullo stato della giustizia tributaria </w:t>
                              </w:r>
                            </w:p>
                          </w:txbxContent>
                        </wps:txbx>
                        <wps:bodyPr horzOverflow="overflow" vert="horz" lIns="0" tIns="0" rIns="0" bIns="0" rtlCol="0">
                          <a:noAutofit/>
                        </wps:bodyPr>
                      </wps:wsp>
                      <wps:wsp>
                        <wps:cNvPr id="21080" name="Rectangle 21080"/>
                        <wps:cNvSpPr/>
                        <wps:spPr>
                          <a:xfrm rot="-10799999">
                            <a:off x="-1316970" y="1567833"/>
                            <a:ext cx="5308990" cy="142889"/>
                          </a:xfrm>
                          <a:prstGeom prst="rect">
                            <a:avLst/>
                          </a:prstGeom>
                          <a:ln>
                            <a:noFill/>
                          </a:ln>
                        </wps:spPr>
                        <wps:txbx>
                          <w:txbxContent>
                            <w:p w14:paraId="321037A8" w14:textId="77777777" w:rsidR="00B32EF2" w:rsidRDefault="00000000">
                              <w:r>
                                <w:rPr>
                                  <w:rFonts w:ascii="Arial" w:eastAsia="Arial" w:hAnsi="Arial" w:cs="Arial"/>
                                  <w:sz w:val="18"/>
                                </w:rPr>
                                <w:t xml:space="preserve">nell’anno precedente anche sulla base degli elementi predisposti dal Consiglio </w:t>
                              </w:r>
                            </w:p>
                          </w:txbxContent>
                        </wps:txbx>
                        <wps:bodyPr horzOverflow="overflow" vert="horz" lIns="0" tIns="0" rIns="0" bIns="0" rtlCol="0">
                          <a:noAutofit/>
                        </wps:bodyPr>
                      </wps:wsp>
                      <wps:wsp>
                        <wps:cNvPr id="21081" name="Rectangle 21081"/>
                        <wps:cNvSpPr/>
                        <wps:spPr>
                          <a:xfrm rot="-10799999">
                            <a:off x="-1317516" y="1444503"/>
                            <a:ext cx="5310222" cy="142889"/>
                          </a:xfrm>
                          <a:prstGeom prst="rect">
                            <a:avLst/>
                          </a:prstGeom>
                          <a:ln>
                            <a:noFill/>
                          </a:ln>
                        </wps:spPr>
                        <wps:txbx>
                          <w:txbxContent>
                            <w:p w14:paraId="6D63B7BE" w14:textId="77777777" w:rsidR="00B32EF2" w:rsidRDefault="00000000">
                              <w:r>
                                <w:rPr>
                                  <w:rFonts w:ascii="Arial" w:eastAsia="Arial" w:hAnsi="Arial" w:cs="Arial"/>
                                  <w:sz w:val="18"/>
                                </w:rPr>
                                <w:t xml:space="preserve">di presidenza, con particolare riguardo alla durata dei processi e all’efficacia </w:t>
                              </w:r>
                            </w:p>
                          </w:txbxContent>
                        </wps:txbx>
                        <wps:bodyPr horzOverflow="overflow" vert="horz" lIns="0" tIns="0" rIns="0" bIns="0" rtlCol="0">
                          <a:noAutofit/>
                        </wps:bodyPr>
                      </wps:wsp>
                      <wps:wsp>
                        <wps:cNvPr id="21082" name="Rectangle 21082"/>
                        <wps:cNvSpPr/>
                        <wps:spPr>
                          <a:xfrm rot="-10799999">
                            <a:off x="1464292" y="1321173"/>
                            <a:ext cx="2527727" cy="142889"/>
                          </a:xfrm>
                          <a:prstGeom prst="rect">
                            <a:avLst/>
                          </a:prstGeom>
                          <a:ln>
                            <a:noFill/>
                          </a:ln>
                        </wps:spPr>
                        <wps:txbx>
                          <w:txbxContent>
                            <w:p w14:paraId="27ED3000" w14:textId="77777777" w:rsidR="00B32EF2" w:rsidRDefault="00000000">
                              <w:r>
                                <w:rPr>
                                  <w:rFonts w:ascii="Arial" w:eastAsia="Arial" w:hAnsi="Arial" w:cs="Arial"/>
                                  <w:sz w:val="18"/>
                                </w:rPr>
                                <w:t>degli istituti deflattivi del contenzioso.</w:t>
                              </w:r>
                            </w:p>
                          </w:txbxContent>
                        </wps:txbx>
                        <wps:bodyPr horzOverflow="overflow" vert="horz" lIns="0" tIns="0" rIns="0" bIns="0" rtlCol="0">
                          <a:noAutofit/>
                        </wps:bodyPr>
                      </wps:wsp>
                      <wps:wsp>
                        <wps:cNvPr id="21083" name="Rectangle 21083"/>
                        <wps:cNvSpPr/>
                        <wps:spPr>
                          <a:xfrm rot="-10799999">
                            <a:off x="1509164" y="1074514"/>
                            <a:ext cx="805731" cy="142889"/>
                          </a:xfrm>
                          <a:prstGeom prst="rect">
                            <a:avLst/>
                          </a:prstGeom>
                          <a:ln>
                            <a:noFill/>
                          </a:ln>
                        </wps:spPr>
                        <wps:txbx>
                          <w:txbxContent>
                            <w:p w14:paraId="1871600E" w14:textId="77777777" w:rsidR="00B32EF2" w:rsidRDefault="00000000">
                              <w:r>
                                <w:rPr>
                                  <w:rFonts w:ascii="Arial" w:eastAsia="Arial" w:hAnsi="Arial" w:cs="Arial"/>
                                  <w:b/>
                                  <w:sz w:val="18"/>
                                </w:rPr>
                                <w:t>Articolo 37</w:t>
                              </w:r>
                            </w:p>
                          </w:txbxContent>
                        </wps:txbx>
                        <wps:bodyPr horzOverflow="overflow" vert="horz" lIns="0" tIns="0" rIns="0" bIns="0" rtlCol="0">
                          <a:noAutofit/>
                        </wps:bodyPr>
                      </wps:wsp>
                      <wps:wsp>
                        <wps:cNvPr id="201729" name="Rectangle 201729"/>
                        <wps:cNvSpPr/>
                        <wps:spPr>
                          <a:xfrm rot="-10799999">
                            <a:off x="1000968" y="951184"/>
                            <a:ext cx="2202862" cy="142889"/>
                          </a:xfrm>
                          <a:prstGeom prst="rect">
                            <a:avLst/>
                          </a:prstGeom>
                          <a:ln>
                            <a:noFill/>
                          </a:ln>
                        </wps:spPr>
                        <wps:txbx>
                          <w:txbxContent>
                            <w:p w14:paraId="2633478C" w14:textId="77777777" w:rsidR="00B32EF2" w:rsidRDefault="00000000">
                              <w:r>
                                <w:rPr>
                                  <w:rFonts w:ascii="Arial" w:eastAsia="Arial" w:hAnsi="Arial" w:cs="Arial"/>
                                  <w:i/>
                                  <w:sz w:val="18"/>
                                </w:rPr>
                                <w:t xml:space="preserve">articolo 29-bis D.lgs. n. </w:t>
                              </w:r>
                            </w:p>
                          </w:txbxContent>
                        </wps:txbx>
                        <wps:bodyPr horzOverflow="overflow" vert="horz" lIns="0" tIns="0" rIns="0" bIns="0" rtlCol="0">
                          <a:noAutofit/>
                        </wps:bodyPr>
                      </wps:wsp>
                      <wps:wsp>
                        <wps:cNvPr id="201728" name="Rectangle 201728"/>
                        <wps:cNvSpPr/>
                        <wps:spPr>
                          <a:xfrm rot="-10799999">
                            <a:off x="-620160" y="951183"/>
                            <a:ext cx="2202862" cy="142889"/>
                          </a:xfrm>
                          <a:prstGeom prst="rect">
                            <a:avLst/>
                          </a:prstGeom>
                          <a:ln>
                            <a:noFill/>
                          </a:ln>
                        </wps:spPr>
                        <wps:txbx>
                          <w:txbxContent>
                            <w:p w14:paraId="4C55A1B1"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1727" name="Rectangle 201727"/>
                        <wps:cNvSpPr/>
                        <wps:spPr>
                          <a:xfrm rot="-10799999">
                            <a:off x="2255467" y="951184"/>
                            <a:ext cx="2202862" cy="142889"/>
                          </a:xfrm>
                          <a:prstGeom prst="rect">
                            <a:avLst/>
                          </a:prstGeom>
                          <a:ln>
                            <a:noFill/>
                          </a:ln>
                        </wps:spPr>
                        <wps:txbx>
                          <w:txbxContent>
                            <w:p w14:paraId="1A0E395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1085" name="Rectangle 21085"/>
                        <wps:cNvSpPr/>
                        <wps:spPr>
                          <a:xfrm rot="-10799999">
                            <a:off x="-1200992" y="827855"/>
                            <a:ext cx="5181811" cy="142889"/>
                          </a:xfrm>
                          <a:prstGeom prst="rect">
                            <a:avLst/>
                          </a:prstGeom>
                          <a:ln>
                            <a:noFill/>
                          </a:ln>
                        </wps:spPr>
                        <wps:txbx>
                          <w:txbxContent>
                            <w:p w14:paraId="47F2B986" w14:textId="77777777" w:rsidR="00B32EF2" w:rsidRDefault="00000000">
                              <w:r>
                                <w:rPr>
                                  <w:rFonts w:ascii="Arial" w:eastAsia="Arial" w:hAnsi="Arial" w:cs="Arial"/>
                                  <w:b/>
                                  <w:sz w:val="18"/>
                                </w:rPr>
                                <w:t>Autonomia contabile del Consiglio di presidenza della giustizia tributa</w:t>
                              </w:r>
                            </w:p>
                          </w:txbxContent>
                        </wps:txbx>
                        <wps:bodyPr horzOverflow="overflow" vert="horz" lIns="0" tIns="0" rIns="0" bIns="0" rtlCol="0">
                          <a:noAutofit/>
                        </wps:bodyPr>
                      </wps:wsp>
                      <wps:wsp>
                        <wps:cNvPr id="21086" name="Rectangle 21086"/>
                        <wps:cNvSpPr/>
                        <wps:spPr>
                          <a:xfrm rot="-10799999">
                            <a:off x="31880" y="827854"/>
                            <a:ext cx="50622" cy="142889"/>
                          </a:xfrm>
                          <a:prstGeom prst="rect">
                            <a:avLst/>
                          </a:prstGeom>
                          <a:ln>
                            <a:noFill/>
                          </a:ln>
                        </wps:spPr>
                        <wps:txbx>
                          <w:txbxContent>
                            <w:p w14:paraId="12B2BE8C" w14:textId="77777777" w:rsidR="00B32EF2" w:rsidRDefault="00000000">
                              <w:r>
                                <w:rPr>
                                  <w:rFonts w:ascii="Arial" w:eastAsia="Arial" w:hAnsi="Arial" w:cs="Arial"/>
                                  <w:b/>
                                  <w:sz w:val="18"/>
                                </w:rPr>
                                <w:t>-</w:t>
                              </w:r>
                            </w:p>
                          </w:txbxContent>
                        </wps:txbx>
                        <wps:bodyPr horzOverflow="overflow" vert="horz" lIns="0" tIns="0" rIns="0" bIns="0" rtlCol="0">
                          <a:noAutofit/>
                        </wps:bodyPr>
                      </wps:wsp>
                      <wps:wsp>
                        <wps:cNvPr id="21087" name="Rectangle 21087"/>
                        <wps:cNvSpPr/>
                        <wps:spPr>
                          <a:xfrm rot="-10799999">
                            <a:off x="1850546" y="704525"/>
                            <a:ext cx="233349" cy="142889"/>
                          </a:xfrm>
                          <a:prstGeom prst="rect">
                            <a:avLst/>
                          </a:prstGeom>
                          <a:ln>
                            <a:noFill/>
                          </a:ln>
                        </wps:spPr>
                        <wps:txbx>
                          <w:txbxContent>
                            <w:p w14:paraId="60B80B85" w14:textId="77777777" w:rsidR="00B32EF2" w:rsidRDefault="00000000">
                              <w:r>
                                <w:rPr>
                                  <w:rFonts w:ascii="Arial" w:eastAsia="Arial" w:hAnsi="Arial" w:cs="Arial"/>
                                  <w:b/>
                                  <w:sz w:val="18"/>
                                </w:rPr>
                                <w:t xml:space="preserve">ria </w:t>
                              </w:r>
                            </w:p>
                          </w:txbxContent>
                        </wps:txbx>
                        <wps:bodyPr horzOverflow="overflow" vert="horz" lIns="0" tIns="0" rIns="0" bIns="0" rtlCol="0">
                          <a:noAutofit/>
                        </wps:bodyPr>
                      </wps:wsp>
                      <wps:wsp>
                        <wps:cNvPr id="201725" name="Rectangle 201725"/>
                        <wps:cNvSpPr/>
                        <wps:spPr>
                          <a:xfrm rot="-10799999">
                            <a:off x="-1376185" y="581195"/>
                            <a:ext cx="5309021" cy="142889"/>
                          </a:xfrm>
                          <a:prstGeom prst="rect">
                            <a:avLst/>
                          </a:prstGeom>
                          <a:ln>
                            <a:noFill/>
                          </a:ln>
                        </wps:spPr>
                        <wps:txbx>
                          <w:txbxContent>
                            <w:p w14:paraId="5AEEC852" w14:textId="77777777" w:rsidR="00B32EF2" w:rsidRDefault="00000000">
                              <w:r>
                                <w:rPr>
                                  <w:rFonts w:ascii="Arial" w:eastAsia="Arial" w:hAnsi="Arial" w:cs="Arial"/>
                                  <w:sz w:val="18"/>
                                </w:rPr>
                                <w:t xml:space="preserve">. Il Consiglio di presidenza provvede all’autonoma gestione delle spese per il </w:t>
                              </w:r>
                            </w:p>
                          </w:txbxContent>
                        </wps:txbx>
                        <wps:bodyPr horzOverflow="overflow" vert="horz" lIns="0" tIns="0" rIns="0" bIns="0" rtlCol="0">
                          <a:noAutofit/>
                        </wps:bodyPr>
                      </wps:wsp>
                      <wps:wsp>
                        <wps:cNvPr id="201723" name="Rectangle 201723"/>
                        <wps:cNvSpPr/>
                        <wps:spPr>
                          <a:xfrm rot="-10799999">
                            <a:off x="2611193" y="581195"/>
                            <a:ext cx="5309020" cy="142889"/>
                          </a:xfrm>
                          <a:prstGeom prst="rect">
                            <a:avLst/>
                          </a:prstGeom>
                          <a:ln>
                            <a:noFill/>
                          </a:ln>
                        </wps:spPr>
                        <wps:txbx>
                          <w:txbxContent>
                            <w:p w14:paraId="175C1CFD"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1089" name="Rectangle 21089"/>
                        <wps:cNvSpPr/>
                        <wps:spPr>
                          <a:xfrm rot="-10799999">
                            <a:off x="-1317015" y="457865"/>
                            <a:ext cx="5309035" cy="142889"/>
                          </a:xfrm>
                          <a:prstGeom prst="rect">
                            <a:avLst/>
                          </a:prstGeom>
                          <a:ln>
                            <a:noFill/>
                          </a:ln>
                        </wps:spPr>
                        <wps:txbx>
                          <w:txbxContent>
                            <w:p w14:paraId="3D1DDD60" w14:textId="77777777" w:rsidR="00B32EF2" w:rsidRDefault="00000000">
                              <w:r>
                                <w:rPr>
                                  <w:rFonts w:ascii="Arial" w:eastAsia="Arial" w:hAnsi="Arial" w:cs="Arial"/>
                                  <w:sz w:val="18"/>
                                </w:rPr>
                                <w:t xml:space="preserve">proprio funzionamento, nei limiti del fondo stanziato a tale scopo nel bilancio </w:t>
                              </w:r>
                            </w:p>
                          </w:txbxContent>
                        </wps:txbx>
                        <wps:bodyPr horzOverflow="overflow" vert="horz" lIns="0" tIns="0" rIns="0" bIns="0" rtlCol="0">
                          <a:noAutofit/>
                        </wps:bodyPr>
                      </wps:wsp>
                      <wps:wsp>
                        <wps:cNvPr id="21090" name="Rectangle 21090"/>
                        <wps:cNvSpPr/>
                        <wps:spPr>
                          <a:xfrm rot="-10799999">
                            <a:off x="-1316955" y="334536"/>
                            <a:ext cx="5308975" cy="142889"/>
                          </a:xfrm>
                          <a:prstGeom prst="rect">
                            <a:avLst/>
                          </a:prstGeom>
                          <a:ln>
                            <a:noFill/>
                          </a:ln>
                        </wps:spPr>
                        <wps:txbx>
                          <w:txbxContent>
                            <w:p w14:paraId="6C5C7A75" w14:textId="77777777" w:rsidR="00B32EF2" w:rsidRDefault="00000000">
                              <w:r>
                                <w:rPr>
                                  <w:rFonts w:ascii="Arial" w:eastAsia="Arial" w:hAnsi="Arial" w:cs="Arial"/>
                                  <w:sz w:val="18"/>
                                </w:rPr>
                                <w:t xml:space="preserve">dello Stato e iscritto con unico capitolo nello stato di previsione della spesa del </w:t>
                              </w:r>
                            </w:p>
                          </w:txbxContent>
                        </wps:txbx>
                        <wps:bodyPr horzOverflow="overflow" vert="horz" lIns="0" tIns="0" rIns="0" bIns="0" rtlCol="0">
                          <a:noAutofit/>
                        </wps:bodyPr>
                      </wps:wsp>
                      <wps:wsp>
                        <wps:cNvPr id="21091" name="Rectangle 21091"/>
                        <wps:cNvSpPr/>
                        <wps:spPr>
                          <a:xfrm rot="-10799999">
                            <a:off x="-1220363" y="211206"/>
                            <a:ext cx="5212154" cy="142889"/>
                          </a:xfrm>
                          <a:prstGeom prst="rect">
                            <a:avLst/>
                          </a:prstGeom>
                          <a:ln>
                            <a:noFill/>
                          </a:ln>
                        </wps:spPr>
                        <wps:txbx>
                          <w:txbxContent>
                            <w:p w14:paraId="5CF7F0B1" w14:textId="77777777" w:rsidR="00B32EF2" w:rsidRDefault="00000000">
                              <w:r>
                                <w:rPr>
                                  <w:rFonts w:ascii="Arial" w:eastAsia="Arial" w:hAnsi="Arial" w:cs="Arial"/>
                                  <w:sz w:val="18"/>
                                </w:rPr>
                                <w:t>Ministero dell’economia e delle finanze. La gestione si svolge in base al bilan</w:t>
                              </w:r>
                            </w:p>
                          </w:txbxContent>
                        </wps:txbx>
                        <wps:bodyPr horzOverflow="overflow" vert="horz" lIns="0" tIns="0" rIns="0" bIns="0" rtlCol="0">
                          <a:noAutofit/>
                        </wps:bodyPr>
                      </wps:wsp>
                      <wps:wsp>
                        <wps:cNvPr id="21092" name="Rectangle 21092"/>
                        <wps:cNvSpPr/>
                        <wps:spPr>
                          <a:xfrm rot="-10799999">
                            <a:off x="19421" y="211206"/>
                            <a:ext cx="50622" cy="142889"/>
                          </a:xfrm>
                          <a:prstGeom prst="rect">
                            <a:avLst/>
                          </a:prstGeom>
                          <a:ln>
                            <a:noFill/>
                          </a:ln>
                        </wps:spPr>
                        <wps:txbx>
                          <w:txbxContent>
                            <w:p w14:paraId="6C365E5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093" name="Rectangle 21093"/>
                        <wps:cNvSpPr/>
                        <wps:spPr>
                          <a:xfrm rot="-10799999">
                            <a:off x="-1316986" y="87876"/>
                            <a:ext cx="5309006" cy="142889"/>
                          </a:xfrm>
                          <a:prstGeom prst="rect">
                            <a:avLst/>
                          </a:prstGeom>
                          <a:ln>
                            <a:noFill/>
                          </a:ln>
                        </wps:spPr>
                        <wps:txbx>
                          <w:txbxContent>
                            <w:p w14:paraId="0D1589A3" w14:textId="77777777" w:rsidR="00B32EF2" w:rsidRDefault="00000000">
                              <w:r>
                                <w:rPr>
                                  <w:rFonts w:ascii="Arial" w:eastAsia="Arial" w:hAnsi="Arial" w:cs="Arial"/>
                                  <w:sz w:val="18"/>
                                </w:rPr>
                                <w:t xml:space="preserve">cio di previsione e a rendiconto consuntivo soggetto al controllo della Corte dei </w:t>
                              </w:r>
                            </w:p>
                          </w:txbxContent>
                        </wps:txbx>
                        <wps:bodyPr horzOverflow="overflow" vert="horz" lIns="0" tIns="0" rIns="0" bIns="0" rtlCol="0">
                          <a:noAutofit/>
                        </wps:bodyPr>
                      </wps:wsp>
                      <wps:wsp>
                        <wps:cNvPr id="21094" name="Rectangle 21094"/>
                        <wps:cNvSpPr/>
                        <wps:spPr>
                          <a:xfrm rot="-10799999">
                            <a:off x="-805274" y="-35452"/>
                            <a:ext cx="4797294" cy="142889"/>
                          </a:xfrm>
                          <a:prstGeom prst="rect">
                            <a:avLst/>
                          </a:prstGeom>
                          <a:ln>
                            <a:noFill/>
                          </a:ln>
                        </wps:spPr>
                        <wps:txbx>
                          <w:txbxContent>
                            <w:p w14:paraId="5D9F86E7" w14:textId="77777777" w:rsidR="00B32EF2" w:rsidRDefault="00000000">
                              <w:r>
                                <w:rPr>
                                  <w:rFonts w:ascii="Arial" w:eastAsia="Arial" w:hAnsi="Arial" w:cs="Arial"/>
                                  <w:sz w:val="18"/>
                                </w:rPr>
                                <w:t>conti. Il bilancio e il rendiconto sono pubblicati nella Gazzetta Ufficiale.</w:t>
                              </w:r>
                            </w:p>
                          </w:txbxContent>
                        </wps:txbx>
                        <wps:bodyPr horzOverflow="overflow" vert="horz" lIns="0" tIns="0" rIns="0" bIns="0" rtlCol="0">
                          <a:noAutofit/>
                        </wps:bodyPr>
                      </wps:wsp>
                    </wpg:wgp>
                  </a:graphicData>
                </a:graphic>
              </wp:inline>
            </w:drawing>
          </mc:Choice>
          <mc:Fallback>
            <w:pict>
              <v:group w14:anchorId="5D9ABF83" id="Group 201800" o:spid="_x0000_s5605" style="width:314.35pt;height:173.55pt;mso-position-horizontal-relative:char;mso-position-vertical-relative:line" coordsize="39920,2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kPNSAUAAIkwAAAOAAAAZHJzL2Uyb0RvYy54bWzkm39vozYYx/+ftPeA+D+Nf2CMo6anaber&#10;Jk270932AiiBJBLBCGiT7tXvaxOgJZxOI1KpRiulxCTGfj5+ftq9/XA6pM5TXJR7na1dekNcJ84i&#10;vdln27X791+fFoHrlFWYbcJUZ/HafY5L98Pdzz/dHvNVzPROp5u4cNBJVq6O+drdVVW+Wi7LaBcf&#10;wvJG53GGm4kuDmGFt8V2uSnCI3o/pEtGiL886mKTFzqKyxKtH+ub7p3tP0niqPqcJGVcOenaxdgq&#10;+1rY1wfzury7DVfbIsx3++g8jHDEKA7hPsND264+hlXoPBb7i64O+6jQpU6qm0gfljpJ9lFs54DZ&#10;UNKbzX2hH3M7l+3quM1bMUG0PTmN7jb68+m+yL/lXwpI4phvIQv7zszllBQH8xejdE5WZM+tyOJT&#10;5URo5Eph4Mp1ItxjjHj4rYUa7SD5i+9Fu99+8M1l8+Dlq+EccyyQspNBeZ0Mvu3CPLaiLVeQwZfC&#10;2W8wAUqkcJ0sPGCpfsXiCbNtGjt1sxWQ/XQrrnJVQnKNrJxCY30t0IcyP3Y9nGW3oJxKoZjrGDER&#10;n1JBazE1ghScEqagLUaQ1GOBsnJspRGu8qKs7mN9cMzF2i0wPPuI8OmPssLg8NHmI2ZEaWZeM/1p&#10;n6b1XdMCoTaDNlfV6eFkZ+5xycyATOOD3jxDIDtd/PMZqp2k+rh29fnKNdqOx5u7rpP+ngGEUazm&#10;omguHpqLokp/1Vb96gH98ljpZG9H3D3tPDIQrsfwJqj9YdR+IwgsjP+OWvp+4GERGYyKy4D1QHPG&#10;BNbChKB5M795gCZU8iHSdfs1Ws18LojE6jesA+p5UHD0F65apWaUScU71oEyH3hDpfbmx1oOaLVh&#10;LRtRjFLrBWWB4Aye7v3CFs0M56HYcLTwl0POOmgEMQo1VR6M9vc5E5/BkTd++s1VunVPs6EMpRui&#10;bG2pCSFGUTYhma8a6+0rSv2+9eYkUAjDpkPdmqy5oA4g7QHUaL7GT79GLXwZcBsDvXDUk6NuTdZs&#10;UMPEDqG24fJVWi0FRbxn0yjPE+QCNRKtSQ14a7dmgxrucgh1m3GOMuDU8z12TqkpZxQhnrESnVIz&#10;waRkCAenctWd2ZoNaeQ6Q6TblHMcaUEU9b1ap4n0BLVpTUc6IEJy2JPJQLdGax6gkU6ZTOiCdN1+&#10;jaumhBDlI6yH+VaC0qBHGiVGFiBQmw51a7Tmg3ooyzKo25hllFYvfFSO/bp6YlH3zffkqFurNR/U&#10;3ymewIteo9UoeQrPR9/vVqtnViejJBje50DzNaBRJYP9PgdlAZOBsP11nlqgThrQKV11O8F5KDVI&#10;DxW/bfM1pDkNTLIOhbaYe25aTFsjw5TPc5sN5CHDDcjX2W0aCALDbTFL4gnW02bGOffOm79mz/Kt&#10;a6Hd9ObB2QRdQ3a7br9GnVEikz5wW9QCFlr1UAtOFDFl8clyrDbanA/roWzasG4D01GBN8PxA2xN&#10;/wD1hHXv2ox0hwP+/0cRMOPLbBrmuy0VjgJtT50QWiu1J2TgDyk1x/2plLo+5DIn0mY/6aJuQmFb&#10;m4hlNGlfIdg2ARl8ssCJB7iDF3G32eB4eerkrV21mlmJDEiHNzg6QYwkjRIY92vrjaI3DpP1SOPM&#10;CRUolk6m0zOrkIH08P5GfRpo9FZWdwxhEPO0GRbCh5llWCZgGjLcrSBGqrM5hWBSdJNJy0D2tdmE&#10;3VDx6bR5dpUxBds5BLoVxDjQ2KNist7DWnCBXPq12fakwp7KlGb73RTG7MFvnHe3ByXPZ/PNgfqX&#10;7+154e4/CO7+BQAA//8DAFBLAwQUAAYACAAAACEA/y943N4AAAAFAQAADwAAAGRycy9kb3ducmV2&#10;LnhtbEyPT2vCQBDF7wW/wzKF3uom2qqk2YiI7UkK/oHS25gdk2B2NmTXJH77bnupl4HHe7z3m3Q5&#10;mFp01LrKsoJ4HIEgzq2uuFBwPLw/L0A4j6yxtkwKbuRgmY0eUky07XlH3d4XIpSwS1BB6X2TSOny&#10;kgy6sW2Ig3e2rUEfZFtI3WIfyk0tJ1E0kwYrDgslNrQuKb/sr0bBR4/9ahpvuu3lvL59H14/v7Yx&#10;KfX0OKzeQHga/H8YfvEDOmSB6WSvrJ2oFYRH/N8N3myymIM4KZi+zGOQWSrv6bMfAAAA//8DAFBL&#10;AQItABQABgAIAAAAIQC2gziS/gAAAOEBAAATAAAAAAAAAAAAAAAAAAAAAABbQ29udGVudF9UeXBl&#10;c10ueG1sUEsBAi0AFAAGAAgAAAAhADj9If/WAAAAlAEAAAsAAAAAAAAAAAAAAAAALwEAAF9yZWxz&#10;Ly5yZWxzUEsBAi0AFAAGAAgAAAAhAM7GQ81IBQAAiTAAAA4AAAAAAAAAAAAAAAAALgIAAGRycy9l&#10;Mm9Eb2MueG1sUEsBAi0AFAAGAAgAAAAhAP8veNzeAAAABQEAAA8AAAAAAAAAAAAAAAAAogcAAGRy&#10;cy9kb3ducmV2LnhtbFBLBQYAAAAABAAEAPMAAACtCAAAAAA=&#10;">
                <v:rect id="Rectangle 21075" o:spid="_x0000_s5606" style="position:absolute;left:-13175;top:20611;width:531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RmpxgAAAN4AAAAPAAAAZHJzL2Rvd25yZXYueG1sRI9Ba8JA&#10;FITvBf/D8gre6kahVqKrFEWagxetBY+P7DOJZt8u2dVEf70rFDwOM/MNM1t0phZXanxlWcFwkIAg&#10;zq2uuFCw/11/TED4gKyxtkwKbuRhMe+9zTDVtuUtXXehEBHCPkUFZQguldLnJRn0A+uIo3e0jcEQ&#10;ZVNI3WAb4aaWoyQZS4MVx4USHS1Lys+7i1FwWLHL1q3Mj/el25yySf1z2f8p1X/vvqcgAnXhFf5v&#10;Z1rBaJh8fcLzTrwCcv4AAAD//wMAUEsBAi0AFAAGAAgAAAAhANvh9svuAAAAhQEAABMAAAAAAAAA&#10;AAAAAAAAAAAAAFtDb250ZW50X1R5cGVzXS54bWxQSwECLQAUAAYACAAAACEAWvQsW78AAAAVAQAA&#10;CwAAAAAAAAAAAAAAAAAfAQAAX3JlbHMvLnJlbHNQSwECLQAUAAYACAAAACEA9xEZqcYAAADeAAAA&#10;DwAAAAAAAAAAAAAAAAAHAgAAZHJzL2Rvd25yZXYueG1sUEsFBgAAAAADAAMAtwAAAPoCAAAAAA==&#10;" filled="f" stroked="f">
                  <v:textbox inset="0,0,0,0">
                    <w:txbxContent>
                      <w:p w14:paraId="2888BD5E" w14:textId="77777777" w:rsidR="00B32EF2" w:rsidRDefault="00000000">
                        <w:r>
                          <w:rPr>
                            <w:rFonts w:ascii="Arial" w:eastAsia="Arial" w:hAnsi="Arial" w:cs="Arial"/>
                            <w:sz w:val="18"/>
                          </w:rPr>
                          <w:t xml:space="preserve">tributaria ed i servizi relativi e possono fare, al riguardo, le comunicazioni che </w:t>
                        </w:r>
                      </w:p>
                    </w:txbxContent>
                  </v:textbox>
                </v:rect>
                <v:rect id="Rectangle 21076" o:spid="_x0000_s5607" style="position:absolute;left:7668;top:19378;width:322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4fexgAAAN4AAAAPAAAAZHJzL2Rvd25yZXYueG1sRI9Bi8Iw&#10;FITvgv8hPGFvmupBpRpFFNkevOgqeHw0z7bavIQm2rq/frOwsMdhZr5hluvO1OJFja8sKxiPEhDE&#10;udUVFwrOX/vhHIQPyBpry6TgTR7Wq35viam2LR/pdQqFiBD2KSooQ3CplD4vyaAfWUccvZttDIYo&#10;m0LqBtsIN7WcJMlUGqw4LpToaFtS/jg9jYLrjl22b2V++966wz2b15/P80Wpj0G3WYAI1IX/8F87&#10;0wom42Q2hd878QrI1Q8AAAD//wMAUEsBAi0AFAAGAAgAAAAhANvh9svuAAAAhQEAABMAAAAAAAAA&#10;AAAAAAAAAAAAAFtDb250ZW50X1R5cGVzXS54bWxQSwECLQAUAAYACAAAACEAWvQsW78AAAAVAQAA&#10;CwAAAAAAAAAAAAAAAAAfAQAAX3JlbHMvLnJlbHNQSwECLQAUAAYACAAAACEAB8OH3sYAAADeAAAA&#10;DwAAAAAAAAAAAAAAAAAHAgAAZHJzL2Rvd25yZXYueG1sUEsFBgAAAAADAAMAtwAAAPoCAAAAAA==&#10;" filled="f" stroked="f">
                  <v:textbox inset="0,0,0,0">
                    <w:txbxContent>
                      <w:p w14:paraId="382DCF34" w14:textId="77777777" w:rsidR="00B32EF2" w:rsidRDefault="00000000">
                        <w:r>
                          <w:rPr>
                            <w:rFonts w:ascii="Arial" w:eastAsia="Arial" w:hAnsi="Arial" w:cs="Arial"/>
                            <w:sz w:val="18"/>
                          </w:rPr>
                          <w:t>ritengono opportune al Consiglio di presidenza.</w:t>
                        </w:r>
                      </w:p>
                    </w:txbxContent>
                  </v:textbox>
                </v:rect>
                <v:rect id="Rectangle 201736" o:spid="_x0000_s5608" style="position:absolute;left:26350;top:18144;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gD5xwAAAN8AAAAPAAAAZHJzL2Rvd25yZXYueG1sRI9Ba8JA&#10;FITvgv9heUJvutGClegqoog5eKla6PGRfSbR7Nslu5q0v94tFDwOM/MNs1h1phYPanxlWcF4lIAg&#10;zq2uuFBwPu2GMxA+IGusLZOCH/KwWvZ7C0y1bfmTHsdQiAhhn6KCMgSXSunzkgz6kXXE0bvYxmCI&#10;simkbrCNcFPLSZJMpcGK40KJjjYl5bfj3Sj43rLLdq3ML78bd7hms3p/P38p9Tbo1nMQgbrwCv+3&#10;M61gkow/3qfw9yd+Abl8AgAA//8DAFBLAQItABQABgAIAAAAIQDb4fbL7gAAAIUBAAATAAAAAAAA&#10;AAAAAAAAAAAAAABbQ29udGVudF9UeXBlc10ueG1sUEsBAi0AFAAGAAgAAAAhAFr0LFu/AAAAFQEA&#10;AAsAAAAAAAAAAAAAAAAAHwEAAF9yZWxzLy5yZWxzUEsBAi0AFAAGAAgAAAAhAFnWAPnHAAAA3wAA&#10;AA8AAAAAAAAAAAAAAAAABwIAAGRycy9kb3ducmV2LnhtbFBLBQYAAAAAAwADALcAAAD7AgAAAAA=&#10;" filled="f" stroked="f">
                  <v:textbox inset="0,0,0,0">
                    <w:txbxContent>
                      <w:p w14:paraId="5DF97311" w14:textId="77777777" w:rsidR="00B32EF2" w:rsidRDefault="00000000">
                        <w:r>
                          <w:rPr>
                            <w:rFonts w:ascii="Arial" w:eastAsia="Arial" w:hAnsi="Arial" w:cs="Arial"/>
                            <w:sz w:val="18"/>
                          </w:rPr>
                          <w:t>2</w:t>
                        </w:r>
                      </w:p>
                    </w:txbxContent>
                  </v:textbox>
                </v:rect>
                <v:rect id="Rectangle 201737" o:spid="_x0000_s5609" style="position:absolute;left:-12853;top:18144;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qVixwAAAN8AAAAPAAAAZHJzL2Rvd25yZXYueG1sRI9Ba8JA&#10;FITvgv9heUJvutGCSnQVUcQcvGgt9PjIPpNo9u2SXU3aX+8WCj0OM/MNs1x3phZPanxlWcF4lIAg&#10;zq2uuFBw+dgP5yB8QNZYWyYF3+Rhver3lphq2/KJnudQiAhhn6KCMgSXSunzkgz6kXXE0bvaxmCI&#10;simkbrCNcFPLSZJMpcGK40KJjrYl5ffzwyj42rHL9q3Mrz9bd7xl8/rwuHwq9TboNgsQgbrwH/5r&#10;Z1rBJBnP3mfw+yd+Abl6AQAA//8DAFBLAQItABQABgAIAAAAIQDb4fbL7gAAAIUBAAATAAAAAAAA&#10;AAAAAAAAAAAAAABbQ29udGVudF9UeXBlc10ueG1sUEsBAi0AFAAGAAgAAAAhAFr0LFu/AAAAFQEA&#10;AAsAAAAAAAAAAAAAAAAAHwEAAF9yZWxzLy5yZWxzUEsBAi0AFAAGAAgAAAAhADaapWLHAAAA3wAA&#10;AA8AAAAAAAAAAAAAAAAABwIAAGRycy9kb3ducmV2LnhtbFBLBQYAAAAAAwADALcAAAD7AgAAAAA=&#10;" filled="f" stroked="f">
                  <v:textbox inset="0,0,0,0">
                    <w:txbxContent>
                      <w:p w14:paraId="7843E75B" w14:textId="77777777" w:rsidR="00B32EF2" w:rsidRDefault="00000000">
                        <w:r>
                          <w:rPr>
                            <w:rFonts w:ascii="Arial" w:eastAsia="Arial" w:hAnsi="Arial" w:cs="Arial"/>
                            <w:sz w:val="18"/>
                          </w:rPr>
                          <w:t>. Il Ministro dell’economia e delle finanze presenta entro il 30 ottobre di cia</w:t>
                        </w:r>
                      </w:p>
                    </w:txbxContent>
                  </v:textbox>
                </v:rect>
                <v:rect id="Rectangle 21078" o:spid="_x0000_s5610" style="position:absolute;left:194;top:1814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Y3wwAAAN4AAAAPAAAAZHJzL2Rvd25yZXYueG1sRE9Ni8Iw&#10;EL0L+x/CCHvTVA8qXaOIi9jDXtQKexyasa02k9BE291fbw6Cx8f7Xq5704gHtb62rGAyTkAQF1bX&#10;XCrIT7vRAoQPyBoby6TgjzysVx+DJabadnygxzGUIoawT1FBFYJLpfRFRQb92DriyF1sazBE2JZS&#10;t9jFcNPIaZLMpMGaY0OFjrYVFbfj3Sj4/WaX7TpZXP637ueaLZr9PT8r9TnsN18gAvXhLX65M61g&#10;OknmcW+8E6+AXD0BAAD//wMAUEsBAi0AFAAGAAgAAAAhANvh9svuAAAAhQEAABMAAAAAAAAAAAAA&#10;AAAAAAAAAFtDb250ZW50X1R5cGVzXS54bWxQSwECLQAUAAYACAAAACEAWvQsW78AAAAVAQAACwAA&#10;AAAAAAAAAAAAAAAfAQAAX3JlbHMvLnJlbHNQSwECLQAUAAYACAAAACEAGRC2N8MAAADeAAAADwAA&#10;AAAAAAAAAAAAAAAHAgAAZHJzL2Rvd25yZXYueG1sUEsFBgAAAAADAAMAtwAAAPcCAAAAAA==&#10;" filled="f" stroked="f">
                  <v:textbox inset="0,0,0,0">
                    <w:txbxContent>
                      <w:p w14:paraId="4DF1679C" w14:textId="77777777" w:rsidR="00B32EF2" w:rsidRDefault="00000000">
                        <w:r>
                          <w:rPr>
                            <w:rFonts w:ascii="Arial" w:eastAsia="Arial" w:hAnsi="Arial" w:cs="Arial"/>
                            <w:sz w:val="18"/>
                          </w:rPr>
                          <w:t>-</w:t>
                        </w:r>
                      </w:p>
                    </w:txbxContent>
                  </v:textbox>
                </v:rect>
                <v:rect id="Rectangle 21079" o:spid="_x0000_s5611" style="position:absolute;left:-13169;top:169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BOsxwAAAN4AAAAPAAAAZHJzL2Rvd25yZXYueG1sRI9Pi8Iw&#10;FMTvC36H8ARva6qHXa1GEUW2By/rH/D4aJ5ttXkJTbTVT79ZWNjjMDO/YebLztTiQY2vLCsYDRMQ&#10;xLnVFRcKjoft+wSED8gaa8uk4Ekelove2xxTbVv+psc+FCJC2KeooAzBpVL6vCSDfmgdcfQutjEY&#10;omwKqRtsI9zUcpwkH9JgxXGhREfrkvLb/m4UnDfssm0r88tr7XbXbFJ/3Y8npQb9bjUDEagL/+G/&#10;dqYVjEfJ5xR+78QrIBc/AAAA//8DAFBLAQItABQABgAIAAAAIQDb4fbL7gAAAIUBAAATAAAAAAAA&#10;AAAAAAAAAAAAAABbQ29udGVudF9UeXBlc10ueG1sUEsBAi0AFAAGAAgAAAAhAFr0LFu/AAAAFQEA&#10;AAsAAAAAAAAAAAAAAAAAHwEAAF9yZWxzLy5yZWxzUEsBAi0AFAAGAAgAAAAhAHZcE6zHAAAA3gAA&#10;AA8AAAAAAAAAAAAAAAAABwIAAGRycy9kb3ducmV2LnhtbFBLBQYAAAAAAwADALcAAAD7AgAAAAA=&#10;" filled="f" stroked="f">
                  <v:textbox inset="0,0,0,0">
                    <w:txbxContent>
                      <w:p w14:paraId="1C10090D" w14:textId="77777777" w:rsidR="00B32EF2" w:rsidRDefault="00000000">
                        <w:r>
                          <w:rPr>
                            <w:rFonts w:ascii="Arial" w:eastAsia="Arial" w:hAnsi="Arial" w:cs="Arial"/>
                            <w:sz w:val="18"/>
                          </w:rPr>
                          <w:t xml:space="preserve">scun anno una relazione al Parlamento sullo stato della giustizia tributaria </w:t>
                        </w:r>
                      </w:p>
                    </w:txbxContent>
                  </v:textbox>
                </v:rect>
                <v:rect id="Rectangle 21080" o:spid="_x0000_s5612" style="position:absolute;left:-13169;top:156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8oWxQAAAN4AAAAPAAAAZHJzL2Rvd25yZXYueG1sRI+7asMw&#10;FIb3Qt5BnEC2Rk6GYlwroSSEeOiSNIWOB+v40lpHwpIvydNXQ6Hjz3/jy/ez6cRIvW8tK9isExDE&#10;pdUt1wpuH6fnFIQPyBo7y6TgTh72u8VTjpm2E19ovIZaxBH2GSpoQnCZlL5syKBfW0ccvcr2BkOU&#10;fS11j1McN53cJsmLNNhyfGjQ0aGh8uc6GAVfR3bFaZJl9Ti49+8i7c7D7VOp1XJ+ewURaA7/4b92&#10;oRVsN0kaASJORAG5+wUAAP//AwBQSwECLQAUAAYACAAAACEA2+H2y+4AAACFAQAAEwAAAAAAAAAA&#10;AAAAAAAAAAAAW0NvbnRlbnRfVHlwZXNdLnhtbFBLAQItABQABgAIAAAAIQBa9CxbvwAAABUBAAAL&#10;AAAAAAAAAAAAAAAAAB8BAABfcmVscy8ucmVsc1BLAQItABQABgAIAAAAIQDSs8oWxQAAAN4AAAAP&#10;AAAAAAAAAAAAAAAAAAcCAABkcnMvZG93bnJldi54bWxQSwUGAAAAAAMAAwC3AAAA+QIAAAAA&#10;" filled="f" stroked="f">
                  <v:textbox inset="0,0,0,0">
                    <w:txbxContent>
                      <w:p w14:paraId="321037A8" w14:textId="77777777" w:rsidR="00B32EF2" w:rsidRDefault="00000000">
                        <w:r>
                          <w:rPr>
                            <w:rFonts w:ascii="Arial" w:eastAsia="Arial" w:hAnsi="Arial" w:cs="Arial"/>
                            <w:sz w:val="18"/>
                          </w:rPr>
                          <w:t xml:space="preserve">nell’anno precedente anche sulla base degli elementi predisposti dal Consiglio </w:t>
                        </w:r>
                      </w:p>
                    </w:txbxContent>
                  </v:textbox>
                </v:rect>
                <v:rect id="Rectangle 21081" o:spid="_x0000_s5613" style="position:absolute;left:-13175;top:14445;width:5310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NxgAAAN4AAAAPAAAAZHJzL2Rvd25yZXYueG1sRI9Pi8Iw&#10;FMTvC36H8ARva1oPUqpRRBF78LL+AY+P5tl2t3kJTbTd/fSbhQWPw8z8hlmuB9OKJ3W+sawgnSYg&#10;iEurG64UXM779wyED8gaW8uk4Js8rFejtyXm2vb8Qc9TqESEsM9RQR2Cy6X0ZU0G/dQ64ujdbWcw&#10;RNlVUnfYR7hp5SxJ5tJgw3GhRkfbmsqv08MouO3YFftelvefrTt+Fll7eFyuSk3Gw2YBItAQXuH/&#10;dqEVzNIkS+HvTrwCcvULAAD//wMAUEsBAi0AFAAGAAgAAAAhANvh9svuAAAAhQEAABMAAAAAAAAA&#10;AAAAAAAAAAAAAFtDb250ZW50X1R5cGVzXS54bWxQSwECLQAUAAYACAAAACEAWvQsW78AAAAVAQAA&#10;CwAAAAAAAAAAAAAAAAAfAQAAX3JlbHMvLnJlbHNQSwECLQAUAAYACAAAACEAvf9vjcYAAADeAAAA&#10;DwAAAAAAAAAAAAAAAAAHAgAAZHJzL2Rvd25yZXYueG1sUEsFBgAAAAADAAMAtwAAAPoCAAAAAA==&#10;" filled="f" stroked="f">
                  <v:textbox inset="0,0,0,0">
                    <w:txbxContent>
                      <w:p w14:paraId="6D63B7BE" w14:textId="77777777" w:rsidR="00B32EF2" w:rsidRDefault="00000000">
                        <w:r>
                          <w:rPr>
                            <w:rFonts w:ascii="Arial" w:eastAsia="Arial" w:hAnsi="Arial" w:cs="Arial"/>
                            <w:sz w:val="18"/>
                          </w:rPr>
                          <w:t xml:space="preserve">di presidenza, con particolare riguardo alla durata dei processi e all’efficacia </w:t>
                        </w:r>
                      </w:p>
                    </w:txbxContent>
                  </v:textbox>
                </v:rect>
                <v:rect id="Rectangle 21082" o:spid="_x0000_s5614" style="position:absolute;left:14642;top:13211;width:252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fH6xwAAAN4AAAAPAAAAZHJzL2Rvd25yZXYueG1sRI9Ba8JA&#10;FITvBf/D8oTe6sYcSkjdBFGkOfRSq9DjI/tMotm3S3Y10V/fLRR6HGbmG2ZVTqYXNxp8Z1nBcpGA&#10;IK6t7rhRcPjavWQgfEDW2FsmBXfyUBazpxXm2o78Sbd9aESEsM9RQRuCy6X0dUsG/cI64uid7GAw&#10;RDk0Ug84RrjpZZokr9Jgx3GhRUeblurL/moUfG/ZVbtR1qfHxn2cq6x/vx6OSj3Pp/UbiEBT+A//&#10;tSutIF0mWQq/d+IVkMUPAAAA//8DAFBLAQItABQABgAIAAAAIQDb4fbL7gAAAIUBAAATAAAAAAAA&#10;AAAAAAAAAAAAAABbQ29udGVudF9UeXBlc10ueG1sUEsBAi0AFAAGAAgAAAAhAFr0LFu/AAAAFQEA&#10;AAsAAAAAAAAAAAAAAAAAHwEAAF9yZWxzLy5yZWxzUEsBAi0AFAAGAAgAAAAhAE0t8frHAAAA3gAA&#10;AA8AAAAAAAAAAAAAAAAABwIAAGRycy9kb3ducmV2LnhtbFBLBQYAAAAAAwADALcAAAD7AgAAAAA=&#10;" filled="f" stroked="f">
                  <v:textbox inset="0,0,0,0">
                    <w:txbxContent>
                      <w:p w14:paraId="27ED3000" w14:textId="77777777" w:rsidR="00B32EF2" w:rsidRDefault="00000000">
                        <w:r>
                          <w:rPr>
                            <w:rFonts w:ascii="Arial" w:eastAsia="Arial" w:hAnsi="Arial" w:cs="Arial"/>
                            <w:sz w:val="18"/>
                          </w:rPr>
                          <w:t>degli istituti deflattivi del contenzioso.</w:t>
                        </w:r>
                      </w:p>
                    </w:txbxContent>
                  </v:textbox>
                </v:rect>
                <v:rect id="Rectangle 21083" o:spid="_x0000_s5615" style="position:absolute;left:15091;top:10745;width:8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VRhxgAAAN4AAAAPAAAAZHJzL2Rvd25yZXYueG1sRI9Ba8JA&#10;FITvQv/D8gredKNCCamriCLm0Es1hR4f2WeSmn27ZFeT+uvdQsHjMDPfMMv1YFpxo843lhXMpgkI&#10;4tLqhisFxWk/SUH4gKyxtUwKfsnDevUyWmKmbc+fdDuGSkQI+wwV1CG4TEpf1mTQT60jjt7ZdgZD&#10;lF0ldYd9hJtWzpPkTRpsOC7U6GhbU3k5Xo2C7x27fN/L8nzfuo+fPG0P1+JLqfHrsHkHEWgIz/B/&#10;O9cK5rMkXcDfnXgF5OoBAAD//wMAUEsBAi0AFAAGAAgAAAAhANvh9svuAAAAhQEAABMAAAAAAAAA&#10;AAAAAAAAAAAAAFtDb250ZW50X1R5cGVzXS54bWxQSwECLQAUAAYACAAAACEAWvQsW78AAAAVAQAA&#10;CwAAAAAAAAAAAAAAAAAfAQAAX3JlbHMvLnJlbHNQSwECLQAUAAYACAAAACEAImFUYcYAAADeAAAA&#10;DwAAAAAAAAAAAAAAAAAHAgAAZHJzL2Rvd25yZXYueG1sUEsFBgAAAAADAAMAtwAAAPoCAAAAAA==&#10;" filled="f" stroked="f">
                  <v:textbox inset="0,0,0,0">
                    <w:txbxContent>
                      <w:p w14:paraId="1871600E" w14:textId="77777777" w:rsidR="00B32EF2" w:rsidRDefault="00000000">
                        <w:r>
                          <w:rPr>
                            <w:rFonts w:ascii="Arial" w:eastAsia="Arial" w:hAnsi="Arial" w:cs="Arial"/>
                            <w:b/>
                            <w:sz w:val="18"/>
                          </w:rPr>
                          <w:t>Articolo 37</w:t>
                        </w:r>
                      </w:p>
                    </w:txbxContent>
                  </v:textbox>
                </v:rect>
                <v:rect id="Rectangle 201729" o:spid="_x0000_s5616" style="position:absolute;left:10009;top:9511;width:220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AJWyAAAAN8AAAAPAAAAZHJzL2Rvd25yZXYueG1sRI9Pa8JA&#10;FMTvhX6H5Qm96cYcqqauIhZpDl7qH+jxkX0m0ezbJbua1E/vFoQeh5n5DTNf9qYRN2p9bVnBeJSA&#10;IC6srrlUcNhvhlMQPiBrbCyTgl/ysFy8vswx07bjb7rtQikihH2GCqoQXCalLyoy6EfWEUfvZFuD&#10;Icq2lLrFLsJNI9MkeZcGa44LFTpaV1Rcdlej4OeTXb7pZHG6r932nE+br+vhqNTboF99gAjUh//w&#10;s51rBWkynqQz+PsTv4BcPAAAAP//AwBQSwECLQAUAAYACAAAACEA2+H2y+4AAACFAQAAEwAAAAAA&#10;AAAAAAAAAAAAAAAAW0NvbnRlbnRfVHlwZXNdLnhtbFBLAQItABQABgAIAAAAIQBa9CxbvwAAABUB&#10;AAALAAAAAAAAAAAAAAAAAB8BAABfcmVscy8ucmVsc1BLAQItABQABgAIAAAAIQCtkAJWyAAAAN8A&#10;AAAPAAAAAAAAAAAAAAAAAAcCAABkcnMvZG93bnJldi54bWxQSwUGAAAAAAMAAwC3AAAA/AIAAAAA&#10;" filled="f" stroked="f">
                  <v:textbox inset="0,0,0,0">
                    <w:txbxContent>
                      <w:p w14:paraId="2633478C" w14:textId="77777777" w:rsidR="00B32EF2" w:rsidRDefault="00000000">
                        <w:r>
                          <w:rPr>
                            <w:rFonts w:ascii="Arial" w:eastAsia="Arial" w:hAnsi="Arial" w:cs="Arial"/>
                            <w:i/>
                            <w:sz w:val="18"/>
                          </w:rPr>
                          <w:t xml:space="preserve">articolo 29-bis D.lgs. n. </w:t>
                        </w:r>
                      </w:p>
                    </w:txbxContent>
                  </v:textbox>
                </v:rect>
                <v:rect id="Rectangle 201728" o:spid="_x0000_s5617" style="position:absolute;left:-6201;top:9511;width:220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KfNxAAAAN8AAAAPAAAAZHJzL2Rvd25yZXYueG1sRE/LisIw&#10;FN0P+A/hCu7G1C5mpBpFFJkuZuMLXF6aa1ttbkITbZ2vN4sBl4fzni9704gHtb62rGAyTkAQF1bX&#10;XCo4HrafUxA+IGtsLJOCJ3lYLgYfc8y07XhHj30oRQxhn6GCKgSXSemLigz6sXXEkbvY1mCIsC2l&#10;brGL4aaRaZJ8SYM1x4YKHa0rKm77u1Fw3rDLt50sLn9r93vNp83P/XhSajTsVzMQgfrwFv+7c60g&#10;TSbfaRwc/8QvIBcvAAAA//8DAFBLAQItABQABgAIAAAAIQDb4fbL7gAAAIUBAAATAAAAAAAAAAAA&#10;AAAAAAAAAABbQ29udGVudF9UeXBlc10ueG1sUEsBAi0AFAAGAAgAAAAhAFr0LFu/AAAAFQEAAAsA&#10;AAAAAAAAAAAAAAAAHwEAAF9yZWxzLy5yZWxzUEsBAi0AFAAGAAgAAAAhAMLcp83EAAAA3wAAAA8A&#10;AAAAAAAAAAAAAAAABwIAAGRycy9kb3ducmV2LnhtbFBLBQYAAAAAAwADALcAAAD4AgAAAAA=&#10;" filled="f" stroked="f">
                  <v:textbox inset="0,0,0,0">
                    <w:txbxContent>
                      <w:p w14:paraId="4C55A1B1" w14:textId="77777777" w:rsidR="00B32EF2" w:rsidRDefault="00000000">
                        <w:r>
                          <w:rPr>
                            <w:rFonts w:ascii="Arial" w:eastAsia="Arial" w:hAnsi="Arial" w:cs="Arial"/>
                            <w:i/>
                            <w:sz w:val="18"/>
                          </w:rPr>
                          <w:t>545/92)</w:t>
                        </w:r>
                      </w:p>
                    </w:txbxContent>
                  </v:textbox>
                </v:rect>
                <v:rect id="Rectangle 201727" o:spid="_x0000_s5618" style="position:absolute;left:22554;top:9511;width:220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zO/yAAAAN8AAAAPAAAAZHJzL2Rvd25yZXYueG1sRI9Pa8JA&#10;FMTvBb/D8oTe6sYcqkQ3Ioo0h15qFTw+si9/NPt2ya4m7afvFgo9DjPzG2a9GU0nHtT71rKC+SwB&#10;QVxa3XKt4PR5eFmC8AFZY2eZFHyRh00+eVpjpu3AH/Q4hlpECPsMFTQhuExKXzZk0M+sI45eZXuD&#10;Icq+lrrHIcJNJ9MkeZUGW44LDTraNVTejnej4LJnVxwGWVbfO/d+LZbd2/10Vup5Om5XIAKN4T/8&#10;1y60gjSZL9IF/P6JX0DmPwAAAP//AwBQSwECLQAUAAYACAAAACEA2+H2y+4AAACFAQAAEwAAAAAA&#10;AAAAAAAAAAAAAAAAW0NvbnRlbnRfVHlwZXNdLnhtbFBLAQItABQABgAIAAAAIQBa9CxbvwAAABUB&#10;AAALAAAAAAAAAAAAAAAAAB8BAABfcmVscy8ucmVsc1BLAQItABQABgAIAAAAIQCzQzO/yAAAAN8A&#10;AAAPAAAAAAAAAAAAAAAAAAcCAABkcnMvZG93bnJldi54bWxQSwUGAAAAAAMAAwC3AAAA/AIAAAAA&#10;" filled="f" stroked="f">
                  <v:textbox inset="0,0,0,0">
                    <w:txbxContent>
                      <w:p w14:paraId="1A0E3958" w14:textId="77777777" w:rsidR="00B32EF2" w:rsidRDefault="00000000">
                        <w:r>
                          <w:rPr>
                            <w:rFonts w:ascii="Arial" w:eastAsia="Arial" w:hAnsi="Arial" w:cs="Arial"/>
                            <w:i/>
                            <w:sz w:val="18"/>
                          </w:rPr>
                          <w:t>(</w:t>
                        </w:r>
                      </w:p>
                    </w:txbxContent>
                  </v:textbox>
                </v:rect>
                <v:rect id="Rectangle 21085" o:spid="_x0000_s5619" style="position:absolute;left:-12009;top:8278;width:518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mOxgAAAN4AAAAPAAAAZHJzL2Rvd25yZXYueG1sRI9Ba8JA&#10;FITvQv/D8gredKNgCamriCLm0Es1hR4f2WeSmn27ZFeT+uvdQsHjMDPfMMv1YFpxo843lhXMpgkI&#10;4tLqhisFxWk/SUH4gKyxtUwKfsnDevUyWmKmbc+fdDuGSkQI+wwV1CG4TEpf1mTQT60jjt7ZdgZD&#10;lF0ldYd9hJtWzpPkTRpsOC7U6GhbU3k5Xo2C7x27fN/L8nzfuo+fPG0P1+JLqfHrsHkHEWgIz/B/&#10;O9cK5rMkXcDfnXgF5OoBAAD//wMAUEsBAi0AFAAGAAgAAAAhANvh9svuAAAAhQEAABMAAAAAAAAA&#10;AAAAAAAAAAAAAFtDb250ZW50X1R5cGVzXS54bWxQSwECLQAUAAYACAAAACEAWvQsW78AAAAVAQAA&#10;CwAAAAAAAAAAAAAAAAAfAQAAX3JlbHMvLnJlbHNQSwECLQAUAAYACAAAACEAwsRpjsYAAADeAAAA&#10;DwAAAAAAAAAAAAAAAAAHAgAAZHJzL2Rvd25yZXYueG1sUEsFBgAAAAADAAMAtwAAAPoCAAAAAA==&#10;" filled="f" stroked="f">
                  <v:textbox inset="0,0,0,0">
                    <w:txbxContent>
                      <w:p w14:paraId="47F2B986" w14:textId="77777777" w:rsidR="00B32EF2" w:rsidRDefault="00000000">
                        <w:r>
                          <w:rPr>
                            <w:rFonts w:ascii="Arial" w:eastAsia="Arial" w:hAnsi="Arial" w:cs="Arial"/>
                            <w:b/>
                            <w:sz w:val="18"/>
                          </w:rPr>
                          <w:t>Autonomia contabile del Consiglio di presidenza della giustizia tributa</w:t>
                        </w:r>
                      </w:p>
                    </w:txbxContent>
                  </v:textbox>
                </v:rect>
                <v:rect id="Rectangle 21086" o:spid="_x0000_s5620" style="position:absolute;left:318;top:8278;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vf5xgAAAN4AAAAPAAAAZHJzL2Rvd25yZXYueG1sRI9Pi8Iw&#10;FMTvgt8hvAVvmupBStco4iL24MV/4PHRPNuuzUtoou3upzcLCx6HmfkNs1j1phFPan1tWcF0koAg&#10;LqyuuVRwPm3HKQgfkDU2lknBD3lYLYeDBWbadnyg5zGUIkLYZ6igCsFlUvqiIoN+Yh1x9G62NRii&#10;bEupW+wi3DRyliRzabDmuFCho01Fxf34MAquX+zybSeL2+/G7b/ztNk9zhelRh/9+hNEoD68w//t&#10;XCuYTZN0Dn934hWQyxcAAAD//wMAUEsBAi0AFAAGAAgAAAAhANvh9svuAAAAhQEAABMAAAAAAAAA&#10;AAAAAAAAAAAAAFtDb250ZW50X1R5cGVzXS54bWxQSwECLQAUAAYACAAAACEAWvQsW78AAAAVAQAA&#10;CwAAAAAAAAAAAAAAAAAfAQAAX3JlbHMvLnJlbHNQSwECLQAUAAYACAAAACEAMhb3+cYAAADeAAAA&#10;DwAAAAAAAAAAAAAAAAAHAgAAZHJzL2Rvd25yZXYueG1sUEsFBgAAAAADAAMAtwAAAPoCAAAAAA==&#10;" filled="f" stroked="f">
                  <v:textbox inset="0,0,0,0">
                    <w:txbxContent>
                      <w:p w14:paraId="12B2BE8C" w14:textId="77777777" w:rsidR="00B32EF2" w:rsidRDefault="00000000">
                        <w:r>
                          <w:rPr>
                            <w:rFonts w:ascii="Arial" w:eastAsia="Arial" w:hAnsi="Arial" w:cs="Arial"/>
                            <w:b/>
                            <w:sz w:val="18"/>
                          </w:rPr>
                          <w:t>-</w:t>
                        </w:r>
                      </w:p>
                    </w:txbxContent>
                  </v:textbox>
                </v:rect>
                <v:rect id="Rectangle 21087" o:spid="_x0000_s5621" style="position:absolute;left:18505;top:7045;width:23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lJixgAAAN4AAAAPAAAAZHJzL2Rvd25yZXYueG1sRI9Ba8JA&#10;FITvQv/D8gredKMHG1JXEUXMoZdqCj0+ss8kNft2ya4m9de7hYLHYWa+YZbrwbTiRp1vLCuYTRMQ&#10;xKXVDVcKitN+koLwAVlja5kU/JKH9epltMRM254/6XYMlYgQ9hkqqENwmZS+rMmgn1pHHL2z7QyG&#10;KLtK6g77CDetnCfJQhpsOC7U6GhbU3k5Xo2C7x27fN/L8nzfuo+fPG0P1+JLqfHrsHkHEWgIz/B/&#10;O9cK5rMkfYO/O/EKyNUDAAD//wMAUEsBAi0AFAAGAAgAAAAhANvh9svuAAAAhQEAABMAAAAAAAAA&#10;AAAAAAAAAAAAAFtDb250ZW50X1R5cGVzXS54bWxQSwECLQAUAAYACAAAACEAWvQsW78AAAAVAQAA&#10;CwAAAAAAAAAAAAAAAAAfAQAAX3JlbHMvLnJlbHNQSwECLQAUAAYACAAAACEAXVpSYsYAAADeAAAA&#10;DwAAAAAAAAAAAAAAAAAHAgAAZHJzL2Rvd25yZXYueG1sUEsFBgAAAAADAAMAtwAAAPoCAAAAAA==&#10;" filled="f" stroked="f">
                  <v:textbox inset="0,0,0,0">
                    <w:txbxContent>
                      <w:p w14:paraId="60B80B85" w14:textId="77777777" w:rsidR="00B32EF2" w:rsidRDefault="00000000">
                        <w:r>
                          <w:rPr>
                            <w:rFonts w:ascii="Arial" w:eastAsia="Arial" w:hAnsi="Arial" w:cs="Arial"/>
                            <w:b/>
                            <w:sz w:val="18"/>
                          </w:rPr>
                          <w:t xml:space="preserve">ria </w:t>
                        </w:r>
                      </w:p>
                    </w:txbxContent>
                  </v:textbox>
                </v:rect>
                <v:rect id="Rectangle 201725" o:spid="_x0000_s5622" style="position:absolute;left:-13761;top:58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QhTyAAAAN8AAAAPAAAAZHJzL2Rvd25yZXYueG1sRI9Pa8JA&#10;FMTvgt9heYI33RioldRVRJHm0Ev9Az0+ss8kbfbtkl1N7Kd3CwWPw8z8hlmue9OIG7W+tqxgNk1A&#10;EBdW11wqOB33kwUIH5A1NpZJwZ08rFfDwRIzbTv+pNshlCJC2GeooArBZVL6oiKDfmodcfQutjUY&#10;omxLqVvsItw0Mk2SuTRYc1yo0NG2ouLncDUKvnbs8n0ni8vv1n1854vm/Xo6KzUe9Zs3EIH68Az/&#10;t3OtIE1mr+kL/P2JX0CuHgAAAP//AwBQSwECLQAUAAYACAAAACEA2+H2y+4AAACFAQAAEwAAAAAA&#10;AAAAAAAAAAAAAAAAW0NvbnRlbnRfVHlwZXNdLnhtbFBLAQItABQABgAIAAAAIQBa9CxbvwAAABUB&#10;AAALAAAAAAAAAAAAAAAAAB8BAABfcmVscy8ucmVsc1BLAQItABQABgAIAAAAIQAs3QhTyAAAAN8A&#10;AAAPAAAAAAAAAAAAAAAAAAcCAABkcnMvZG93bnJldi54bWxQSwUGAAAAAAMAAwC3AAAA/AIAAAAA&#10;" filled="f" stroked="f">
                  <v:textbox inset="0,0,0,0">
                    <w:txbxContent>
                      <w:p w14:paraId="5AEEC852" w14:textId="77777777" w:rsidR="00B32EF2" w:rsidRDefault="00000000">
                        <w:r>
                          <w:rPr>
                            <w:rFonts w:ascii="Arial" w:eastAsia="Arial" w:hAnsi="Arial" w:cs="Arial"/>
                            <w:sz w:val="18"/>
                          </w:rPr>
                          <w:t xml:space="preserve">. Il Consiglio di presidenza provvede all’autonoma gestione delle spese per il </w:t>
                        </w:r>
                      </w:p>
                    </w:txbxContent>
                  </v:textbox>
                </v:rect>
                <v:rect id="Rectangle 201723" o:spid="_x0000_s5623" style="position:absolute;left:26111;top:5811;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DW8yAAAAN8AAAAPAAAAZHJzL2Rvd25yZXYueG1sRI9Pa8JA&#10;FMTvgt9heYI33ZiCldRVRJHm0Ev9Az0+ss8kbfbtkl1N7Kd3CwWPw8z8hlmue9OIG7W+tqxgNk1A&#10;EBdW11wqOB33kwUIH5A1NpZJwZ08rFfDwRIzbTv+pNshlCJC2GeooArBZVL6oiKDfmodcfQutjUY&#10;omxLqVvsItw0Mk2SuTRYc1yo0NG2ouLncDUKvnbs8n0ni8vv1n1854vm/Xo6KzUe9Zs3EIH68Az/&#10;t3OtIE1mr+kL/P2JX0CuHgAAAP//AwBQSwECLQAUAAYACAAAACEA2+H2y+4AAACFAQAAEwAAAAAA&#10;AAAAAAAAAAAAAAAAW0NvbnRlbnRfVHlwZXNdLnhtbFBLAQItABQABgAIAAAAIQBa9CxbvwAAABUB&#10;AAALAAAAAAAAAAAAAAAAAB8BAABfcmVscy8ucmVsc1BLAQItABQABgAIAAAAIQDMeDW8yAAAAN8A&#10;AAAPAAAAAAAAAAAAAAAAAAcCAABkcnMvZG93bnJldi54bWxQSwUGAAAAAAMAAwC3AAAA/AIAAAAA&#10;" filled="f" stroked="f">
                  <v:textbox inset="0,0,0,0">
                    <w:txbxContent>
                      <w:p w14:paraId="175C1CFD" w14:textId="77777777" w:rsidR="00B32EF2" w:rsidRDefault="00000000">
                        <w:r>
                          <w:rPr>
                            <w:rFonts w:ascii="Arial" w:eastAsia="Arial" w:hAnsi="Arial" w:cs="Arial"/>
                            <w:sz w:val="18"/>
                          </w:rPr>
                          <w:t>1</w:t>
                        </w:r>
                      </w:p>
                    </w:txbxContent>
                  </v:textbox>
                </v:rect>
                <v:rect id="Rectangle 21089" o:spid="_x0000_s5624" style="position:absolute;left:-13170;top:457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WOLxgAAAN4AAAAPAAAAZHJzL2Rvd25yZXYueG1sRI9Ba8JA&#10;FITvhf6H5RW81Y0eJE1dRRQxBy+1ETw+ss8kNft2ya4m+uvdQqHHYWa+YebLwbTiRp1vLCuYjBMQ&#10;xKXVDVcKiu/tewrCB2SNrWVScCcPy8XryxwzbXv+otshVCJC2GeooA7BZVL6siaDfmwdcfTOtjMY&#10;ouwqqTvsI9y0cpokM2mw4bhQo6N1TeXlcDUKTht2+baX5fmxdvufPG131+Ko1OhtWH2CCDSE//Bf&#10;O9cKppMk/YDfO/EKyMUTAAD//wMAUEsBAi0AFAAGAAgAAAAhANvh9svuAAAAhQEAABMAAAAAAAAA&#10;AAAAAAAAAAAAAFtDb250ZW50X1R5cGVzXS54bWxQSwECLQAUAAYACAAAACEAWvQsW78AAAAVAQAA&#10;CwAAAAAAAAAAAAAAAAAfAQAAX3JlbHMvLnJlbHNQSwECLQAUAAYACAAAACEAQ4lji8YAAADeAAAA&#10;DwAAAAAAAAAAAAAAAAAHAgAAZHJzL2Rvd25yZXYueG1sUEsFBgAAAAADAAMAtwAAAPoCAAAAAA==&#10;" filled="f" stroked="f">
                  <v:textbox inset="0,0,0,0">
                    <w:txbxContent>
                      <w:p w14:paraId="3D1DDD60" w14:textId="77777777" w:rsidR="00B32EF2" w:rsidRDefault="00000000">
                        <w:r>
                          <w:rPr>
                            <w:rFonts w:ascii="Arial" w:eastAsia="Arial" w:hAnsi="Arial" w:cs="Arial"/>
                            <w:sz w:val="18"/>
                          </w:rPr>
                          <w:t xml:space="preserve">proprio funzionamento, nei limiti del fondo stanziato a tale scopo nel bilancio </w:t>
                        </w:r>
                      </w:p>
                    </w:txbxContent>
                  </v:textbox>
                </v:rect>
                <v:rect id="Rectangle 21090" o:spid="_x0000_s5625" style="position:absolute;left:-13169;top:334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lzLxQAAAN4AAAAPAAAAZHJzL2Rvd25yZXYueG1sRI/NisIw&#10;FIX3wrxDuMLsNNWFaMco4iB2MRu1wiwvzbWtNjehibYzT28WgsvD+eNbrnvTiAe1vrasYDJOQBAX&#10;VtdcKshPu9EchA/IGhvLpOCPPKxXH4Mlptp2fKDHMZQijrBPUUEVgkul9EVFBv3YOuLoXWxrMETZ&#10;llK32MVx08hpksykwZrjQ4WOthUVt+PdKPj9ZpftOllc/rfu55rNm/09Pyv1Oew3XyAC9eEdfrUz&#10;rWA6SRYRIOJEFJCrJwAAAP//AwBQSwECLQAUAAYACAAAACEA2+H2y+4AAACFAQAAEwAAAAAAAAAA&#10;AAAAAAAAAAAAW0NvbnRlbnRfVHlwZXNdLnhtbFBLAQItABQABgAIAAAAIQBa9CxbvwAAABUBAAAL&#10;AAAAAAAAAAAAAAAAAB8BAABfcmVscy8ucmVsc1BLAQItABQABgAIAAAAIQBXalzLxQAAAN4AAAAP&#10;AAAAAAAAAAAAAAAAAAcCAABkcnMvZG93bnJldi54bWxQSwUGAAAAAAMAAwC3AAAA+QIAAAAA&#10;" filled="f" stroked="f">
                  <v:textbox inset="0,0,0,0">
                    <w:txbxContent>
                      <w:p w14:paraId="6C5C7A75" w14:textId="77777777" w:rsidR="00B32EF2" w:rsidRDefault="00000000">
                        <w:r>
                          <w:rPr>
                            <w:rFonts w:ascii="Arial" w:eastAsia="Arial" w:hAnsi="Arial" w:cs="Arial"/>
                            <w:sz w:val="18"/>
                          </w:rPr>
                          <w:t xml:space="preserve">dello Stato e iscritto con unico capitolo nello stato di previsione della spesa del </w:t>
                        </w:r>
                      </w:p>
                    </w:txbxContent>
                  </v:textbox>
                </v:rect>
                <v:rect id="Rectangle 21091" o:spid="_x0000_s5626" style="position:absolute;left:-12203;top:2112;width:5212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vlQxgAAAN4AAAAPAAAAZHJzL2Rvd25yZXYueG1sRI9Ba8JA&#10;FITvQv/D8gredBMPYlNXEUXMwYvWQo+P7DNJzb5dsquJ/npXKPQ4zMw3zHzZm0bcqPW1ZQXpOAFB&#10;XFhdc6ng9LUdzUD4gKyxsUwK7uRhuXgbzDHTtuMD3Y6hFBHCPkMFVQguk9IXFRn0Y+uIo3e2rcEQ&#10;ZVtK3WIX4aaRkySZSoM1x4UKHa0rKi7Hq1Hws2GXbztZnB9rt//NZ83uevpWavjerz5BBOrDf/iv&#10;nWsFkzT5SOF1J14BuXgCAAD//wMAUEsBAi0AFAAGAAgAAAAhANvh9svuAAAAhQEAABMAAAAAAAAA&#10;AAAAAAAAAAAAAFtDb250ZW50X1R5cGVzXS54bWxQSwECLQAUAAYACAAAACEAWvQsW78AAAAVAQAA&#10;CwAAAAAAAAAAAAAAAAAfAQAAX3JlbHMvLnJlbHNQSwECLQAUAAYACAAAACEAOCb5UMYAAADeAAAA&#10;DwAAAAAAAAAAAAAAAAAHAgAAZHJzL2Rvd25yZXYueG1sUEsFBgAAAAADAAMAtwAAAPoCAAAAAA==&#10;" filled="f" stroked="f">
                  <v:textbox inset="0,0,0,0">
                    <w:txbxContent>
                      <w:p w14:paraId="5CF7F0B1" w14:textId="77777777" w:rsidR="00B32EF2" w:rsidRDefault="00000000">
                        <w:r>
                          <w:rPr>
                            <w:rFonts w:ascii="Arial" w:eastAsia="Arial" w:hAnsi="Arial" w:cs="Arial"/>
                            <w:sz w:val="18"/>
                          </w:rPr>
                          <w:t>Ministero dell’economia e delle finanze. La gestione si svolge in base al bilan</w:t>
                        </w:r>
                      </w:p>
                    </w:txbxContent>
                  </v:textbox>
                </v:rect>
                <v:rect id="Rectangle 21092" o:spid="_x0000_s5627" style="position:absolute;left:194;top:2112;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GcnxgAAAN4AAAAPAAAAZHJzL2Rvd25yZXYueG1sRI9Ba8JA&#10;FITvQv/D8gredGMOYlNXEUXMoZfaCB4f2WeSmn27ZFeT+uvdQqHHYWa+YZbrwbTiTp1vLCuYTRMQ&#10;xKXVDVcKiq/9ZAHCB2SNrWVS8EMe1quX0RIzbXv+pPsxVCJC2GeooA7BZVL6siaDfmodcfQutjMY&#10;ouwqqTvsI9y0Mk2SuTTYcFyo0dG2pvJ6vBkF5x27fN/L8vLYuo/vfNEebsVJqfHrsHkHEWgI/+G/&#10;dq4VpLPkLYXfO/EKyNUTAAD//wMAUEsBAi0AFAAGAAgAAAAhANvh9svuAAAAhQEAABMAAAAAAAAA&#10;AAAAAAAAAAAAAFtDb250ZW50X1R5cGVzXS54bWxQSwECLQAUAAYACAAAACEAWvQsW78AAAAVAQAA&#10;CwAAAAAAAAAAAAAAAAAfAQAAX3JlbHMvLnJlbHNQSwECLQAUAAYACAAAACEAyPRnJ8YAAADeAAAA&#10;DwAAAAAAAAAAAAAAAAAHAgAAZHJzL2Rvd25yZXYueG1sUEsFBgAAAAADAAMAtwAAAPoCAAAAAA==&#10;" filled="f" stroked="f">
                  <v:textbox inset="0,0,0,0">
                    <w:txbxContent>
                      <w:p w14:paraId="6C365E57" w14:textId="77777777" w:rsidR="00B32EF2" w:rsidRDefault="00000000">
                        <w:r>
                          <w:rPr>
                            <w:rFonts w:ascii="Arial" w:eastAsia="Arial" w:hAnsi="Arial" w:cs="Arial"/>
                            <w:sz w:val="18"/>
                          </w:rPr>
                          <w:t>-</w:t>
                        </w:r>
                      </w:p>
                    </w:txbxContent>
                  </v:textbox>
                </v:rect>
                <v:rect id="Rectangle 21093" o:spid="_x0000_s5628" style="position:absolute;left:-13169;top:8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MK8xwAAAN4AAAAPAAAAZHJzL2Rvd25yZXYueG1sRI9Pi8Iw&#10;FMTvC36H8ARva6oLi1ajiCLbg5f1D3h8NM+22ryEJtrqp98sLOxxmJnfMPNlZ2rxoMZXlhWMhgkI&#10;4tzqigsFx8P2fQLCB2SNtWVS8CQPy0XvbY6pti1/02MfChEh7FNUUIbgUil9XpJBP7SOOHoX2xgM&#10;UTaF1A22EW5qOU6ST2mw4rhQoqN1SfltfzcKzht22baV+eW1drtrNqm/7seTUoN+t5qBCNSF//Bf&#10;O9MKxqNk+gG/d+IVkIsfAAAA//8DAFBLAQItABQABgAIAAAAIQDb4fbL7gAAAIUBAAATAAAAAAAA&#10;AAAAAAAAAAAAAABbQ29udGVudF9UeXBlc10ueG1sUEsBAi0AFAAGAAgAAAAhAFr0LFu/AAAAFQEA&#10;AAsAAAAAAAAAAAAAAAAAHwEAAF9yZWxzLy5yZWxzUEsBAi0AFAAGAAgAAAAhAKe4wrzHAAAA3gAA&#10;AA8AAAAAAAAAAAAAAAAABwIAAGRycy9kb3ducmV2LnhtbFBLBQYAAAAAAwADALcAAAD7AgAAAAA=&#10;" filled="f" stroked="f">
                  <v:textbox inset="0,0,0,0">
                    <w:txbxContent>
                      <w:p w14:paraId="0D1589A3" w14:textId="77777777" w:rsidR="00B32EF2" w:rsidRDefault="00000000">
                        <w:r>
                          <w:rPr>
                            <w:rFonts w:ascii="Arial" w:eastAsia="Arial" w:hAnsi="Arial" w:cs="Arial"/>
                            <w:sz w:val="18"/>
                          </w:rPr>
                          <w:t xml:space="preserve">cio di previsione e a rendiconto consuntivo soggetto al controllo della Corte dei </w:t>
                        </w:r>
                      </w:p>
                    </w:txbxContent>
                  </v:textbox>
                </v:rect>
                <v:rect id="Rectangle 21094" o:spid="_x0000_s5629" style="position:absolute;left:-8052;top:-354;width:4797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VrIxwAAAN4AAAAPAAAAZHJzL2Rvd25yZXYueG1sRI9Pi8Iw&#10;FMTvC36H8ARva6osi1ajiCLbg5f1D3h8NM+22ryEJtrqp98sLOxxmJnfMPNlZ2rxoMZXlhWMhgkI&#10;4tzqigsFx8P2fQLCB2SNtWVS8CQPy0XvbY6pti1/02MfChEh7FNUUIbgUil9XpJBP7SOOHoX2xgM&#10;UTaF1A22EW5qOU6ST2mw4rhQoqN1SfltfzcKzht22baV+eW1drtrNqm/7seTUoN+t5qBCNSF//Bf&#10;O9MKxqNk+gG/d+IVkIsfAAAA//8DAFBLAQItABQABgAIAAAAIQDb4fbL7gAAAIUBAAATAAAAAAAA&#10;AAAAAAAAAAAAAABbQ29udGVudF9UeXBlc10ueG1sUEsBAi0AFAAGAAgAAAAhAFr0LFu/AAAAFQEA&#10;AAsAAAAAAAAAAAAAAAAAHwEAAF9yZWxzLy5yZWxzUEsBAi0AFAAGAAgAAAAhAChRWsjHAAAA3gAA&#10;AA8AAAAAAAAAAAAAAAAABwIAAGRycy9kb3ducmV2LnhtbFBLBQYAAAAAAwADALcAAAD7AgAAAAA=&#10;" filled="f" stroked="f">
                  <v:textbox inset="0,0,0,0">
                    <w:txbxContent>
                      <w:p w14:paraId="5D9F86E7" w14:textId="77777777" w:rsidR="00B32EF2" w:rsidRDefault="00000000">
                        <w:r>
                          <w:rPr>
                            <w:rFonts w:ascii="Arial" w:eastAsia="Arial" w:hAnsi="Arial" w:cs="Arial"/>
                            <w:sz w:val="18"/>
                          </w:rPr>
                          <w:t>conti. Il bilancio e il rendiconto sono pubblicati nella Gazzetta Ufficiale.</w:t>
                        </w:r>
                      </w:p>
                    </w:txbxContent>
                  </v:textbox>
                </v:rect>
                <w10:anchorlock/>
              </v:group>
            </w:pict>
          </mc:Fallback>
        </mc:AlternateContent>
      </w:r>
    </w:p>
    <w:p w14:paraId="41A5A4F9" w14:textId="77777777" w:rsidR="00B32EF2" w:rsidRDefault="00000000">
      <w:pPr>
        <w:spacing w:after="0"/>
        <w:ind w:left="-356" w:right="-306"/>
      </w:pPr>
      <w:r>
        <w:rPr>
          <w:noProof/>
        </w:rPr>
        <w:lastRenderedPageBreak/>
        <mc:AlternateContent>
          <mc:Choice Requires="wpg">
            <w:drawing>
              <wp:inline distT="0" distB="0" distL="0" distR="0" wp14:anchorId="09FEED7C" wp14:editId="13E96CFD">
                <wp:extent cx="3991871" cy="6262854"/>
                <wp:effectExtent l="0" t="0" r="0" b="0"/>
                <wp:docPr id="201708" name="Group 201708"/>
                <wp:cNvGraphicFramePr/>
                <a:graphic xmlns:a="http://schemas.openxmlformats.org/drawingml/2006/main">
                  <a:graphicData uri="http://schemas.microsoft.com/office/word/2010/wordprocessingGroup">
                    <wpg:wgp>
                      <wpg:cNvGrpSpPr/>
                      <wpg:grpSpPr>
                        <a:xfrm>
                          <a:off x="0" y="0"/>
                          <a:ext cx="3991871" cy="6262854"/>
                          <a:chOff x="0" y="0"/>
                          <a:chExt cx="3991871" cy="6262854"/>
                        </a:xfrm>
                      </wpg:grpSpPr>
                      <wps:wsp>
                        <wps:cNvPr id="21187" name="Rectangle 21187"/>
                        <wps:cNvSpPr/>
                        <wps:spPr>
                          <a:xfrm rot="-10799999">
                            <a:off x="1900575" y="-62190"/>
                            <a:ext cx="178369" cy="250646"/>
                          </a:xfrm>
                          <a:prstGeom prst="rect">
                            <a:avLst/>
                          </a:prstGeom>
                          <a:ln>
                            <a:noFill/>
                          </a:ln>
                        </wps:spPr>
                        <wps:txbx>
                          <w:txbxContent>
                            <w:p w14:paraId="4ACD034D" w14:textId="77777777" w:rsidR="00B32EF2" w:rsidRDefault="00000000">
                              <w:r>
                                <w:rPr>
                                  <w:rFonts w:ascii="Times New Roman" w:eastAsia="Times New Roman" w:hAnsi="Times New Roman" w:cs="Times New Roman"/>
                                </w:rPr>
                                <w:t>36</w:t>
                              </w:r>
                            </w:p>
                          </w:txbxContent>
                        </wps:txbx>
                        <wps:bodyPr horzOverflow="overflow" vert="horz" lIns="0" tIns="0" rIns="0" bIns="0" rtlCol="0">
                          <a:noAutofit/>
                        </wps:bodyPr>
                      </wps:wsp>
                      <wps:wsp>
                        <wps:cNvPr id="21188" name="Rectangle 21188"/>
                        <wps:cNvSpPr/>
                        <wps:spPr>
                          <a:xfrm rot="-10799999">
                            <a:off x="1508093" y="6119965"/>
                            <a:ext cx="808483" cy="142889"/>
                          </a:xfrm>
                          <a:prstGeom prst="rect">
                            <a:avLst/>
                          </a:prstGeom>
                          <a:ln>
                            <a:noFill/>
                          </a:ln>
                        </wps:spPr>
                        <wps:txbx>
                          <w:txbxContent>
                            <w:p w14:paraId="65D9C45E" w14:textId="77777777" w:rsidR="00B32EF2" w:rsidRDefault="00000000">
                              <w:r>
                                <w:rPr>
                                  <w:rFonts w:ascii="Arial" w:eastAsia="Arial" w:hAnsi="Arial" w:cs="Arial"/>
                                  <w:b/>
                                  <w:sz w:val="18"/>
                                </w:rPr>
                                <w:t>Articolo 32</w:t>
                              </w:r>
                            </w:p>
                          </w:txbxContent>
                        </wps:txbx>
                        <wps:bodyPr horzOverflow="overflow" vert="horz" lIns="0" tIns="0" rIns="0" bIns="0" rtlCol="0">
                          <a:noAutofit/>
                        </wps:bodyPr>
                      </wps:wsp>
                      <wps:wsp>
                        <wps:cNvPr id="201703" name="Rectangle 201703"/>
                        <wps:cNvSpPr/>
                        <wps:spPr>
                          <a:xfrm rot="-10799999">
                            <a:off x="-261436" y="5989205"/>
                            <a:ext cx="1942104" cy="142889"/>
                          </a:xfrm>
                          <a:prstGeom prst="rect">
                            <a:avLst/>
                          </a:prstGeom>
                          <a:ln>
                            <a:noFill/>
                          </a:ln>
                        </wps:spPr>
                        <wps:txbx>
                          <w:txbxContent>
                            <w:p w14:paraId="72B072B1"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1702" name="Rectangle 201702"/>
                        <wps:cNvSpPr/>
                        <wps:spPr>
                          <a:xfrm rot="-10799999">
                            <a:off x="2222062" y="5989205"/>
                            <a:ext cx="1942104" cy="142889"/>
                          </a:xfrm>
                          <a:prstGeom prst="rect">
                            <a:avLst/>
                          </a:prstGeom>
                          <a:ln>
                            <a:noFill/>
                          </a:ln>
                        </wps:spPr>
                        <wps:txbx>
                          <w:txbxContent>
                            <w:p w14:paraId="34A05BC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704" name="Rectangle 201704"/>
                        <wps:cNvSpPr/>
                        <wps:spPr>
                          <a:xfrm rot="-10799999">
                            <a:off x="1163633" y="5989205"/>
                            <a:ext cx="1942104" cy="142889"/>
                          </a:xfrm>
                          <a:prstGeom prst="rect">
                            <a:avLst/>
                          </a:prstGeom>
                          <a:ln>
                            <a:noFill/>
                          </a:ln>
                        </wps:spPr>
                        <wps:txbx>
                          <w:txbxContent>
                            <w:p w14:paraId="71A277C5" w14:textId="77777777" w:rsidR="00B32EF2" w:rsidRDefault="00000000">
                              <w:r>
                                <w:rPr>
                                  <w:rFonts w:ascii="Arial" w:eastAsia="Arial" w:hAnsi="Arial" w:cs="Arial"/>
                                  <w:i/>
                                  <w:sz w:val="18"/>
                                </w:rPr>
                                <w:t xml:space="preserve">articolo 25 D.lgs. n. </w:t>
                              </w:r>
                            </w:p>
                          </w:txbxContent>
                        </wps:txbx>
                        <wps:bodyPr horzOverflow="overflow" vert="horz" lIns="0" tIns="0" rIns="0" bIns="0" rtlCol="0">
                          <a:noAutofit/>
                        </wps:bodyPr>
                      </wps:wsp>
                      <wps:wsp>
                        <wps:cNvPr id="21190" name="Rectangle 21190"/>
                        <wps:cNvSpPr/>
                        <wps:spPr>
                          <a:xfrm rot="-10799999">
                            <a:off x="1314911" y="5858447"/>
                            <a:ext cx="1091390" cy="142889"/>
                          </a:xfrm>
                          <a:prstGeom prst="rect">
                            <a:avLst/>
                          </a:prstGeom>
                          <a:ln>
                            <a:noFill/>
                          </a:ln>
                        </wps:spPr>
                        <wps:txbx>
                          <w:txbxContent>
                            <w:p w14:paraId="38360BD2" w14:textId="77777777" w:rsidR="00B32EF2" w:rsidRDefault="00000000">
                              <w:r>
                                <w:rPr>
                                  <w:rFonts w:ascii="Arial" w:eastAsia="Arial" w:hAnsi="Arial" w:cs="Arial"/>
                                  <w:b/>
                                  <w:sz w:val="18"/>
                                </w:rPr>
                                <w:t xml:space="preserve">Convocazione </w:t>
                              </w:r>
                            </w:p>
                          </w:txbxContent>
                        </wps:txbx>
                        <wps:bodyPr horzOverflow="overflow" vert="horz" lIns="0" tIns="0" rIns="0" bIns="0" rtlCol="0">
                          <a:noAutofit/>
                        </wps:bodyPr>
                      </wps:wsp>
                      <wps:wsp>
                        <wps:cNvPr id="201701" name="Rectangle 201701"/>
                        <wps:cNvSpPr/>
                        <wps:spPr>
                          <a:xfrm rot="-10799999">
                            <a:off x="-1376333" y="5727687"/>
                            <a:ext cx="5309021" cy="142889"/>
                          </a:xfrm>
                          <a:prstGeom prst="rect">
                            <a:avLst/>
                          </a:prstGeom>
                          <a:ln>
                            <a:noFill/>
                          </a:ln>
                        </wps:spPr>
                        <wps:txbx>
                          <w:txbxContent>
                            <w:p w14:paraId="4AA62A7B" w14:textId="77777777" w:rsidR="00B32EF2" w:rsidRDefault="00000000">
                              <w:r>
                                <w:rPr>
                                  <w:rFonts w:ascii="Arial" w:eastAsia="Arial" w:hAnsi="Arial" w:cs="Arial"/>
                                  <w:sz w:val="18"/>
                                </w:rPr>
                                <w:t xml:space="preserve">. Il Consiglio di presidenza è convocato dal presidente o, in sua assenza, dal </w:t>
                              </w:r>
                            </w:p>
                          </w:txbxContent>
                        </wps:txbx>
                        <wps:bodyPr horzOverflow="overflow" vert="horz" lIns="0" tIns="0" rIns="0" bIns="0" rtlCol="0">
                          <a:noAutofit/>
                        </wps:bodyPr>
                      </wps:wsp>
                      <wps:wsp>
                        <wps:cNvPr id="201700" name="Rectangle 201700"/>
                        <wps:cNvSpPr/>
                        <wps:spPr>
                          <a:xfrm rot="-10799999">
                            <a:off x="2611045" y="5727687"/>
                            <a:ext cx="5309022" cy="142889"/>
                          </a:xfrm>
                          <a:prstGeom prst="rect">
                            <a:avLst/>
                          </a:prstGeom>
                          <a:ln>
                            <a:noFill/>
                          </a:ln>
                        </wps:spPr>
                        <wps:txbx>
                          <w:txbxContent>
                            <w:p w14:paraId="37F21C03"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1192" name="Rectangle 21192"/>
                        <wps:cNvSpPr/>
                        <wps:spPr>
                          <a:xfrm rot="-10799999">
                            <a:off x="-1317118" y="5596927"/>
                            <a:ext cx="5308990" cy="142889"/>
                          </a:xfrm>
                          <a:prstGeom prst="rect">
                            <a:avLst/>
                          </a:prstGeom>
                          <a:ln>
                            <a:noFill/>
                          </a:ln>
                        </wps:spPr>
                        <wps:txbx>
                          <w:txbxContent>
                            <w:p w14:paraId="74230165" w14:textId="77777777" w:rsidR="00B32EF2" w:rsidRDefault="00000000">
                              <w:r>
                                <w:rPr>
                                  <w:rFonts w:ascii="Arial" w:eastAsia="Arial" w:hAnsi="Arial" w:cs="Arial"/>
                                  <w:sz w:val="18"/>
                                </w:rPr>
                                <w:t xml:space="preserve">componente che lo sostituisce, di iniziativa propria o su richiesta di almeno un </w:t>
                              </w:r>
                            </w:p>
                          </w:txbxContent>
                        </wps:txbx>
                        <wps:bodyPr horzOverflow="overflow" vert="horz" lIns="0" tIns="0" rIns="0" bIns="0" rtlCol="0">
                          <a:noAutofit/>
                        </wps:bodyPr>
                      </wps:wsp>
                      <wps:wsp>
                        <wps:cNvPr id="21193" name="Rectangle 21193"/>
                        <wps:cNvSpPr/>
                        <wps:spPr>
                          <a:xfrm rot="-10799999">
                            <a:off x="2194231" y="5466169"/>
                            <a:ext cx="1797640" cy="142889"/>
                          </a:xfrm>
                          <a:prstGeom prst="rect">
                            <a:avLst/>
                          </a:prstGeom>
                          <a:ln>
                            <a:noFill/>
                          </a:ln>
                        </wps:spPr>
                        <wps:txbx>
                          <w:txbxContent>
                            <w:p w14:paraId="654AE15A" w14:textId="77777777" w:rsidR="00B32EF2" w:rsidRDefault="00000000">
                              <w:r>
                                <w:rPr>
                                  <w:rFonts w:ascii="Arial" w:eastAsia="Arial" w:hAnsi="Arial" w:cs="Arial"/>
                                  <w:sz w:val="18"/>
                                </w:rPr>
                                <w:t>terzo dei suoi componenti.</w:t>
                              </w:r>
                            </w:p>
                          </w:txbxContent>
                        </wps:txbx>
                        <wps:bodyPr horzOverflow="overflow" vert="horz" lIns="0" tIns="0" rIns="0" bIns="0" rtlCol="0">
                          <a:noAutofit/>
                        </wps:bodyPr>
                      </wps:wsp>
                      <wps:wsp>
                        <wps:cNvPr id="21194" name="Rectangle 21194"/>
                        <wps:cNvSpPr/>
                        <wps:spPr>
                          <a:xfrm rot="-10799999">
                            <a:off x="1506802" y="5204536"/>
                            <a:ext cx="810459" cy="142889"/>
                          </a:xfrm>
                          <a:prstGeom prst="rect">
                            <a:avLst/>
                          </a:prstGeom>
                          <a:ln>
                            <a:noFill/>
                          </a:ln>
                        </wps:spPr>
                        <wps:txbx>
                          <w:txbxContent>
                            <w:p w14:paraId="10CD81DA" w14:textId="77777777" w:rsidR="00B32EF2" w:rsidRDefault="00000000">
                              <w:r>
                                <w:rPr>
                                  <w:rFonts w:ascii="Arial" w:eastAsia="Arial" w:hAnsi="Arial" w:cs="Arial"/>
                                  <w:b/>
                                  <w:sz w:val="18"/>
                                </w:rPr>
                                <w:t>Articolo 33</w:t>
                              </w:r>
                            </w:p>
                          </w:txbxContent>
                        </wps:txbx>
                        <wps:bodyPr horzOverflow="overflow" vert="horz" lIns="0" tIns="0" rIns="0" bIns="0" rtlCol="0">
                          <a:noAutofit/>
                        </wps:bodyPr>
                      </wps:wsp>
                      <wps:wsp>
                        <wps:cNvPr id="201697" name="Rectangle 201697"/>
                        <wps:cNvSpPr/>
                        <wps:spPr>
                          <a:xfrm rot="-10799999">
                            <a:off x="2222142" y="5073776"/>
                            <a:ext cx="1943168" cy="142889"/>
                          </a:xfrm>
                          <a:prstGeom prst="rect">
                            <a:avLst/>
                          </a:prstGeom>
                          <a:ln>
                            <a:noFill/>
                          </a:ln>
                        </wps:spPr>
                        <wps:txbx>
                          <w:txbxContent>
                            <w:p w14:paraId="5F27476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698" name="Rectangle 201698"/>
                        <wps:cNvSpPr/>
                        <wps:spPr>
                          <a:xfrm rot="-10799999">
                            <a:off x="-262956" y="5073776"/>
                            <a:ext cx="1943168" cy="142889"/>
                          </a:xfrm>
                          <a:prstGeom prst="rect">
                            <a:avLst/>
                          </a:prstGeom>
                          <a:ln>
                            <a:noFill/>
                          </a:ln>
                        </wps:spPr>
                        <wps:txbx>
                          <w:txbxContent>
                            <w:p w14:paraId="67DF258D"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1699" name="Rectangle 201699"/>
                        <wps:cNvSpPr/>
                        <wps:spPr>
                          <a:xfrm rot="-10799999">
                            <a:off x="1162912" y="5073776"/>
                            <a:ext cx="1943168" cy="142889"/>
                          </a:xfrm>
                          <a:prstGeom prst="rect">
                            <a:avLst/>
                          </a:prstGeom>
                          <a:ln>
                            <a:noFill/>
                          </a:ln>
                        </wps:spPr>
                        <wps:txbx>
                          <w:txbxContent>
                            <w:p w14:paraId="6DE008E3" w14:textId="77777777" w:rsidR="00B32EF2" w:rsidRDefault="00000000">
                              <w:r>
                                <w:rPr>
                                  <w:rFonts w:ascii="Arial" w:eastAsia="Arial" w:hAnsi="Arial" w:cs="Arial"/>
                                  <w:i/>
                                  <w:sz w:val="18"/>
                                </w:rPr>
                                <w:t xml:space="preserve">articolo 26 D.lgs. n. </w:t>
                              </w:r>
                            </w:p>
                          </w:txbxContent>
                        </wps:txbx>
                        <wps:bodyPr horzOverflow="overflow" vert="horz" lIns="0" tIns="0" rIns="0" bIns="0" rtlCol="0">
                          <a:noAutofit/>
                        </wps:bodyPr>
                      </wps:wsp>
                      <wps:wsp>
                        <wps:cNvPr id="21196" name="Rectangle 21196"/>
                        <wps:cNvSpPr/>
                        <wps:spPr>
                          <a:xfrm rot="-10799999">
                            <a:off x="1362376" y="4943017"/>
                            <a:ext cx="1015122" cy="142889"/>
                          </a:xfrm>
                          <a:prstGeom prst="rect">
                            <a:avLst/>
                          </a:prstGeom>
                          <a:ln>
                            <a:noFill/>
                          </a:ln>
                        </wps:spPr>
                        <wps:txbx>
                          <w:txbxContent>
                            <w:p w14:paraId="17EEF5E4" w14:textId="77777777" w:rsidR="00B32EF2" w:rsidRDefault="00000000">
                              <w:r>
                                <w:rPr>
                                  <w:rFonts w:ascii="Arial" w:eastAsia="Arial" w:hAnsi="Arial" w:cs="Arial"/>
                                  <w:b/>
                                  <w:sz w:val="18"/>
                                </w:rPr>
                                <w:t xml:space="preserve">Deliberazioni </w:t>
                              </w:r>
                            </w:p>
                          </w:txbxContent>
                        </wps:txbx>
                        <wps:bodyPr horzOverflow="overflow" vert="horz" lIns="0" tIns="0" rIns="0" bIns="0" rtlCol="0">
                          <a:noAutofit/>
                        </wps:bodyPr>
                      </wps:wsp>
                      <wps:wsp>
                        <wps:cNvPr id="201695" name="Rectangle 201695"/>
                        <wps:cNvSpPr/>
                        <wps:spPr>
                          <a:xfrm rot="-10799999">
                            <a:off x="2634961" y="4812258"/>
                            <a:ext cx="5212170" cy="142889"/>
                          </a:xfrm>
                          <a:prstGeom prst="rect">
                            <a:avLst/>
                          </a:prstGeom>
                          <a:ln>
                            <a:noFill/>
                          </a:ln>
                        </wps:spPr>
                        <wps:txbx>
                          <w:txbxContent>
                            <w:p w14:paraId="6F987042"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1696" name="Rectangle 201696"/>
                        <wps:cNvSpPr/>
                        <wps:spPr>
                          <a:xfrm rot="-10799999">
                            <a:off x="-1279597" y="4812258"/>
                            <a:ext cx="5212170" cy="142889"/>
                          </a:xfrm>
                          <a:prstGeom prst="rect">
                            <a:avLst/>
                          </a:prstGeom>
                          <a:ln>
                            <a:noFill/>
                          </a:ln>
                        </wps:spPr>
                        <wps:txbx>
                          <w:txbxContent>
                            <w:p w14:paraId="0DC846A3" w14:textId="77777777" w:rsidR="00B32EF2" w:rsidRDefault="00000000">
                              <w:r>
                                <w:rPr>
                                  <w:rFonts w:ascii="Arial" w:eastAsia="Arial" w:hAnsi="Arial" w:cs="Arial"/>
                                  <w:sz w:val="18"/>
                                </w:rPr>
                                <w:t>. Il Consiglio di presidenza delibera con la presenza di almeno quattro com</w:t>
                              </w:r>
                            </w:p>
                          </w:txbxContent>
                        </wps:txbx>
                        <wps:bodyPr horzOverflow="overflow" vert="horz" lIns="0" tIns="0" rIns="0" bIns="0" rtlCol="0">
                          <a:noAutofit/>
                        </wps:bodyPr>
                      </wps:wsp>
                      <wps:wsp>
                        <wps:cNvPr id="21198" name="Rectangle 21198"/>
                        <wps:cNvSpPr/>
                        <wps:spPr>
                          <a:xfrm rot="-10799999">
                            <a:off x="19158" y="4812258"/>
                            <a:ext cx="50622" cy="142889"/>
                          </a:xfrm>
                          <a:prstGeom prst="rect">
                            <a:avLst/>
                          </a:prstGeom>
                          <a:ln>
                            <a:noFill/>
                          </a:ln>
                        </wps:spPr>
                        <wps:txbx>
                          <w:txbxContent>
                            <w:p w14:paraId="62370F2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199" name="Rectangle 21199"/>
                        <wps:cNvSpPr/>
                        <wps:spPr>
                          <a:xfrm rot="-10799999">
                            <a:off x="3444255" y="4681499"/>
                            <a:ext cx="548302" cy="142889"/>
                          </a:xfrm>
                          <a:prstGeom prst="rect">
                            <a:avLst/>
                          </a:prstGeom>
                          <a:ln>
                            <a:noFill/>
                          </a:ln>
                        </wps:spPr>
                        <wps:txbx>
                          <w:txbxContent>
                            <w:p w14:paraId="14507B3C" w14:textId="77777777" w:rsidR="00B32EF2" w:rsidRDefault="00000000">
                              <w:r>
                                <w:rPr>
                                  <w:rFonts w:ascii="Arial" w:eastAsia="Arial" w:hAnsi="Arial" w:cs="Arial"/>
                                  <w:sz w:val="18"/>
                                </w:rPr>
                                <w:t>ponenti.</w:t>
                              </w:r>
                            </w:p>
                          </w:txbxContent>
                        </wps:txbx>
                        <wps:bodyPr horzOverflow="overflow" vert="horz" lIns="0" tIns="0" rIns="0" bIns="0" rtlCol="0">
                          <a:noAutofit/>
                        </wps:bodyPr>
                      </wps:wsp>
                      <wps:wsp>
                        <wps:cNvPr id="201693" name="Rectangle 201693"/>
                        <wps:cNvSpPr/>
                        <wps:spPr>
                          <a:xfrm rot="-10799999">
                            <a:off x="2610964" y="4550739"/>
                            <a:ext cx="5308884" cy="142889"/>
                          </a:xfrm>
                          <a:prstGeom prst="rect">
                            <a:avLst/>
                          </a:prstGeom>
                          <a:ln>
                            <a:noFill/>
                          </a:ln>
                        </wps:spPr>
                        <wps:txbx>
                          <w:txbxContent>
                            <w:p w14:paraId="4FE49094"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694" name="Rectangle 201694"/>
                        <wps:cNvSpPr/>
                        <wps:spPr>
                          <a:xfrm rot="-10799999">
                            <a:off x="-1381683" y="4550739"/>
                            <a:ext cx="5308884" cy="142889"/>
                          </a:xfrm>
                          <a:prstGeom prst="rect">
                            <a:avLst/>
                          </a:prstGeom>
                          <a:ln>
                            <a:noFill/>
                          </a:ln>
                        </wps:spPr>
                        <wps:txbx>
                          <w:txbxContent>
                            <w:p w14:paraId="165B7C90" w14:textId="77777777" w:rsidR="00B32EF2" w:rsidRDefault="00000000">
                              <w:r>
                                <w:rPr>
                                  <w:rFonts w:ascii="Arial" w:eastAsia="Arial" w:hAnsi="Arial" w:cs="Arial"/>
                                  <w:sz w:val="18"/>
                                </w:rPr>
                                <w:t xml:space="preserve">. Le deliberazioni sono adottate a maggioranza e a voto palese; in caso di </w:t>
                              </w:r>
                            </w:p>
                          </w:txbxContent>
                        </wps:txbx>
                        <wps:bodyPr horzOverflow="overflow" vert="horz" lIns="0" tIns="0" rIns="0" bIns="0" rtlCol="0">
                          <a:noAutofit/>
                        </wps:bodyPr>
                      </wps:wsp>
                      <wps:wsp>
                        <wps:cNvPr id="21201" name="Rectangle 21201"/>
                        <wps:cNvSpPr/>
                        <wps:spPr>
                          <a:xfrm rot="-10799999">
                            <a:off x="1572556" y="4419980"/>
                            <a:ext cx="2419201" cy="142889"/>
                          </a:xfrm>
                          <a:prstGeom prst="rect">
                            <a:avLst/>
                          </a:prstGeom>
                          <a:ln>
                            <a:noFill/>
                          </a:ln>
                        </wps:spPr>
                        <wps:txbx>
                          <w:txbxContent>
                            <w:p w14:paraId="2DDECC23" w14:textId="77777777" w:rsidR="00B32EF2" w:rsidRDefault="00000000">
                              <w:r>
                                <w:rPr>
                                  <w:rFonts w:ascii="Arial" w:eastAsia="Arial" w:hAnsi="Arial" w:cs="Arial"/>
                                  <w:sz w:val="18"/>
                                </w:rPr>
                                <w:t>parità prevale il voto del presidente.</w:t>
                              </w:r>
                            </w:p>
                          </w:txbxContent>
                        </wps:txbx>
                        <wps:bodyPr horzOverflow="overflow" vert="horz" lIns="0" tIns="0" rIns="0" bIns="0" rtlCol="0">
                          <a:noAutofit/>
                        </wps:bodyPr>
                      </wps:wsp>
                      <wps:wsp>
                        <wps:cNvPr id="201692" name="Rectangle 201692"/>
                        <wps:cNvSpPr/>
                        <wps:spPr>
                          <a:xfrm rot="-10799999">
                            <a:off x="-1381694" y="4289221"/>
                            <a:ext cx="5308929" cy="142889"/>
                          </a:xfrm>
                          <a:prstGeom prst="rect">
                            <a:avLst/>
                          </a:prstGeom>
                          <a:ln>
                            <a:noFill/>
                          </a:ln>
                        </wps:spPr>
                        <wps:txbx>
                          <w:txbxContent>
                            <w:p w14:paraId="52119CD0" w14:textId="77777777" w:rsidR="00B32EF2" w:rsidRDefault="00000000">
                              <w:r>
                                <w:rPr>
                                  <w:rFonts w:ascii="Arial" w:eastAsia="Arial" w:hAnsi="Arial" w:cs="Arial"/>
                                  <w:sz w:val="18"/>
                                </w:rPr>
                                <w:t xml:space="preserve">. Le deliberazioni sono adottate a scrutinio segreto, se riguardano persone o </w:t>
                              </w:r>
                            </w:p>
                          </w:txbxContent>
                        </wps:txbx>
                        <wps:bodyPr horzOverflow="overflow" vert="horz" lIns="0" tIns="0" rIns="0" bIns="0" rtlCol="0">
                          <a:noAutofit/>
                        </wps:bodyPr>
                      </wps:wsp>
                      <wps:wsp>
                        <wps:cNvPr id="201691" name="Rectangle 201691"/>
                        <wps:cNvSpPr/>
                        <wps:spPr>
                          <a:xfrm rot="-10799999">
                            <a:off x="2610952" y="4289221"/>
                            <a:ext cx="5308930" cy="142889"/>
                          </a:xfrm>
                          <a:prstGeom prst="rect">
                            <a:avLst/>
                          </a:prstGeom>
                          <a:ln>
                            <a:noFill/>
                          </a:ln>
                        </wps:spPr>
                        <wps:txbx>
                          <w:txbxContent>
                            <w:p w14:paraId="57FCC0E6"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1203" name="Rectangle 21203"/>
                        <wps:cNvSpPr/>
                        <wps:spPr>
                          <a:xfrm rot="-10799999">
                            <a:off x="732652" y="4158461"/>
                            <a:ext cx="3259105" cy="142889"/>
                          </a:xfrm>
                          <a:prstGeom prst="rect">
                            <a:avLst/>
                          </a:prstGeom>
                          <a:ln>
                            <a:noFill/>
                          </a:ln>
                        </wps:spPr>
                        <wps:txbx>
                          <w:txbxContent>
                            <w:p w14:paraId="70B31F4B" w14:textId="77777777" w:rsidR="00B32EF2" w:rsidRDefault="00000000">
                              <w:r>
                                <w:rPr>
                                  <w:rFonts w:ascii="Arial" w:eastAsia="Arial" w:hAnsi="Arial" w:cs="Arial"/>
                                  <w:sz w:val="18"/>
                                </w:rPr>
                                <w:t>su richiesta di almeno due componenti presenti.</w:t>
                              </w:r>
                            </w:p>
                          </w:txbxContent>
                        </wps:txbx>
                        <wps:bodyPr horzOverflow="overflow" vert="horz" lIns="0" tIns="0" rIns="0" bIns="0" rtlCol="0">
                          <a:noAutofit/>
                        </wps:bodyPr>
                      </wps:wsp>
                      <wps:wsp>
                        <wps:cNvPr id="21204" name="Rectangle 21204"/>
                        <wps:cNvSpPr/>
                        <wps:spPr>
                          <a:xfrm rot="-10799999">
                            <a:off x="1505816" y="3911802"/>
                            <a:ext cx="811903" cy="142889"/>
                          </a:xfrm>
                          <a:prstGeom prst="rect">
                            <a:avLst/>
                          </a:prstGeom>
                          <a:ln>
                            <a:noFill/>
                          </a:ln>
                        </wps:spPr>
                        <wps:txbx>
                          <w:txbxContent>
                            <w:p w14:paraId="634D7DE4" w14:textId="77777777" w:rsidR="00B32EF2" w:rsidRDefault="00000000">
                              <w:r>
                                <w:rPr>
                                  <w:rFonts w:ascii="Arial" w:eastAsia="Arial" w:hAnsi="Arial" w:cs="Arial"/>
                                  <w:b/>
                                  <w:sz w:val="18"/>
                                </w:rPr>
                                <w:t>Articolo 34</w:t>
                              </w:r>
                            </w:p>
                          </w:txbxContent>
                        </wps:txbx>
                        <wps:bodyPr horzOverflow="overflow" vert="horz" lIns="0" tIns="0" rIns="0" bIns="0" rtlCol="0">
                          <a:noAutofit/>
                        </wps:bodyPr>
                      </wps:wsp>
                      <wps:wsp>
                        <wps:cNvPr id="201689" name="Rectangle 201689"/>
                        <wps:cNvSpPr/>
                        <wps:spPr>
                          <a:xfrm rot="-10799999">
                            <a:off x="1163936" y="3788473"/>
                            <a:ext cx="1941343" cy="142889"/>
                          </a:xfrm>
                          <a:prstGeom prst="rect">
                            <a:avLst/>
                          </a:prstGeom>
                          <a:ln>
                            <a:noFill/>
                          </a:ln>
                        </wps:spPr>
                        <wps:txbx>
                          <w:txbxContent>
                            <w:p w14:paraId="67EFD3E6" w14:textId="77777777" w:rsidR="00B32EF2" w:rsidRDefault="00000000">
                              <w:r>
                                <w:rPr>
                                  <w:rFonts w:ascii="Arial" w:eastAsia="Arial" w:hAnsi="Arial" w:cs="Arial"/>
                                  <w:i/>
                                  <w:sz w:val="18"/>
                                </w:rPr>
                                <w:t xml:space="preserve">articolo 27 D.lgs. n. </w:t>
                              </w:r>
                            </w:p>
                          </w:txbxContent>
                        </wps:txbx>
                        <wps:bodyPr horzOverflow="overflow" vert="horz" lIns="0" tIns="0" rIns="0" bIns="0" rtlCol="0">
                          <a:noAutofit/>
                        </wps:bodyPr>
                      </wps:wsp>
                      <wps:wsp>
                        <wps:cNvPr id="201686" name="Rectangle 201686"/>
                        <wps:cNvSpPr/>
                        <wps:spPr>
                          <a:xfrm rot="-10799999">
                            <a:off x="2221794" y="3788473"/>
                            <a:ext cx="1941343" cy="142889"/>
                          </a:xfrm>
                          <a:prstGeom prst="rect">
                            <a:avLst/>
                          </a:prstGeom>
                          <a:ln>
                            <a:noFill/>
                          </a:ln>
                        </wps:spPr>
                        <wps:txbx>
                          <w:txbxContent>
                            <w:p w14:paraId="1E006BD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687" name="Rectangle 201687"/>
                        <wps:cNvSpPr/>
                        <wps:spPr>
                          <a:xfrm rot="-10799999">
                            <a:off x="-260561" y="3788472"/>
                            <a:ext cx="1941343" cy="142889"/>
                          </a:xfrm>
                          <a:prstGeom prst="rect">
                            <a:avLst/>
                          </a:prstGeom>
                          <a:ln>
                            <a:noFill/>
                          </a:ln>
                        </wps:spPr>
                        <wps:txbx>
                          <w:txbxContent>
                            <w:p w14:paraId="4E6332A0"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1206" name="Rectangle 21206"/>
                        <wps:cNvSpPr/>
                        <wps:spPr>
                          <a:xfrm rot="-10799999">
                            <a:off x="-608478" y="3665143"/>
                            <a:ext cx="4173211" cy="142889"/>
                          </a:xfrm>
                          <a:prstGeom prst="rect">
                            <a:avLst/>
                          </a:prstGeom>
                          <a:ln>
                            <a:noFill/>
                          </a:ln>
                        </wps:spPr>
                        <wps:txbx>
                          <w:txbxContent>
                            <w:p w14:paraId="0312D107" w14:textId="77777777" w:rsidR="00B32EF2" w:rsidRDefault="00000000">
                              <w:r>
                                <w:rPr>
                                  <w:rFonts w:ascii="Arial" w:eastAsia="Arial" w:hAnsi="Arial" w:cs="Arial"/>
                                  <w:b/>
                                  <w:sz w:val="18"/>
                                </w:rPr>
                                <w:t xml:space="preserve">Trattamento dei componenti del Consiglio di presidenza </w:t>
                              </w:r>
                            </w:p>
                          </w:txbxContent>
                        </wps:txbx>
                        <wps:bodyPr horzOverflow="overflow" vert="horz" lIns="0" tIns="0" rIns="0" bIns="0" rtlCol="0">
                          <a:noAutofit/>
                        </wps:bodyPr>
                      </wps:wsp>
                      <wps:wsp>
                        <wps:cNvPr id="201684" name="Rectangle 201684"/>
                        <wps:cNvSpPr/>
                        <wps:spPr>
                          <a:xfrm rot="-10799999">
                            <a:off x="-1277924" y="3541813"/>
                            <a:ext cx="5210497" cy="142889"/>
                          </a:xfrm>
                          <a:prstGeom prst="rect">
                            <a:avLst/>
                          </a:prstGeom>
                          <a:ln>
                            <a:noFill/>
                          </a:ln>
                        </wps:spPr>
                        <wps:txbx>
                          <w:txbxContent>
                            <w:p w14:paraId="39400C3B" w14:textId="77777777" w:rsidR="00B32EF2" w:rsidRDefault="00000000">
                              <w:r>
                                <w:rPr>
                                  <w:rFonts w:ascii="Arial" w:eastAsia="Arial" w:hAnsi="Arial" w:cs="Arial"/>
                                  <w:sz w:val="18"/>
                                </w:rPr>
                                <w:t>. I componenti del Consiglio di presidenza sono esonerati dalle funzioni pro</w:t>
                              </w:r>
                            </w:p>
                          </w:txbxContent>
                        </wps:txbx>
                        <wps:bodyPr horzOverflow="overflow" vert="horz" lIns="0" tIns="0" rIns="0" bIns="0" rtlCol="0">
                          <a:noAutofit/>
                        </wps:bodyPr>
                      </wps:wsp>
                      <wps:wsp>
                        <wps:cNvPr id="201682" name="Rectangle 201682"/>
                        <wps:cNvSpPr/>
                        <wps:spPr>
                          <a:xfrm rot="-10799999">
                            <a:off x="2635376" y="3541813"/>
                            <a:ext cx="5210497" cy="142889"/>
                          </a:xfrm>
                          <a:prstGeom prst="rect">
                            <a:avLst/>
                          </a:prstGeom>
                          <a:ln>
                            <a:noFill/>
                          </a:ln>
                        </wps:spPr>
                        <wps:txbx>
                          <w:txbxContent>
                            <w:p w14:paraId="573BF06E"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1208" name="Rectangle 21208"/>
                        <wps:cNvSpPr/>
                        <wps:spPr>
                          <a:xfrm rot="-10799999">
                            <a:off x="19158" y="3541813"/>
                            <a:ext cx="50622" cy="142889"/>
                          </a:xfrm>
                          <a:prstGeom prst="rect">
                            <a:avLst/>
                          </a:prstGeom>
                          <a:ln>
                            <a:noFill/>
                          </a:ln>
                        </wps:spPr>
                        <wps:txbx>
                          <w:txbxContent>
                            <w:p w14:paraId="1E60334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209" name="Rectangle 21209"/>
                        <wps:cNvSpPr/>
                        <wps:spPr>
                          <a:xfrm rot="-10799999">
                            <a:off x="-1317264" y="3418484"/>
                            <a:ext cx="5309021" cy="142889"/>
                          </a:xfrm>
                          <a:prstGeom prst="rect">
                            <a:avLst/>
                          </a:prstGeom>
                          <a:ln>
                            <a:noFill/>
                          </a:ln>
                        </wps:spPr>
                        <wps:txbx>
                          <w:txbxContent>
                            <w:p w14:paraId="3B6D1CF9" w14:textId="77777777" w:rsidR="00B32EF2" w:rsidRDefault="00000000">
                              <w:r>
                                <w:rPr>
                                  <w:rFonts w:ascii="Arial" w:eastAsia="Arial" w:hAnsi="Arial" w:cs="Arial"/>
                                  <w:sz w:val="18"/>
                                </w:rPr>
                                <w:t xml:space="preserve">prie conservando la titolarità dell’ufficio ed il relativo trattamento economico </w:t>
                              </w:r>
                            </w:p>
                          </w:txbxContent>
                        </wps:txbx>
                        <wps:bodyPr horzOverflow="overflow" vert="horz" lIns="0" tIns="0" rIns="0" bIns="0" rtlCol="0">
                          <a:noAutofit/>
                        </wps:bodyPr>
                      </wps:wsp>
                      <wps:wsp>
                        <wps:cNvPr id="21210" name="Rectangle 21210"/>
                        <wps:cNvSpPr/>
                        <wps:spPr>
                          <a:xfrm rot="-10799999">
                            <a:off x="-1317279" y="3295154"/>
                            <a:ext cx="5309035" cy="142889"/>
                          </a:xfrm>
                          <a:prstGeom prst="rect">
                            <a:avLst/>
                          </a:prstGeom>
                          <a:ln>
                            <a:noFill/>
                          </a:ln>
                        </wps:spPr>
                        <wps:txbx>
                          <w:txbxContent>
                            <w:p w14:paraId="091830F5" w14:textId="77777777" w:rsidR="00B32EF2" w:rsidRDefault="00000000">
                              <w:r>
                                <w:rPr>
                                  <w:rFonts w:ascii="Arial" w:eastAsia="Arial" w:hAnsi="Arial" w:cs="Arial"/>
                                  <w:sz w:val="18"/>
                                </w:rPr>
                                <w:t xml:space="preserve">ragguagliato, quanto alla parte variabile, a quella più elevata conferita nello </w:t>
                              </w:r>
                            </w:p>
                          </w:txbxContent>
                        </wps:txbx>
                        <wps:bodyPr horzOverflow="overflow" vert="horz" lIns="0" tIns="0" rIns="0" bIns="0" rtlCol="0">
                          <a:noAutofit/>
                        </wps:bodyPr>
                      </wps:wsp>
                      <wps:wsp>
                        <wps:cNvPr id="21211" name="Rectangle 21211"/>
                        <wps:cNvSpPr/>
                        <wps:spPr>
                          <a:xfrm rot="-10799999">
                            <a:off x="-1317264" y="3171824"/>
                            <a:ext cx="5309021" cy="142889"/>
                          </a:xfrm>
                          <a:prstGeom prst="rect">
                            <a:avLst/>
                          </a:prstGeom>
                          <a:ln>
                            <a:noFill/>
                          </a:ln>
                        </wps:spPr>
                        <wps:txbx>
                          <w:txbxContent>
                            <w:p w14:paraId="218CEEBD" w14:textId="77777777" w:rsidR="00B32EF2" w:rsidRDefault="00000000">
                              <w:r>
                                <w:rPr>
                                  <w:rFonts w:ascii="Arial" w:eastAsia="Arial" w:hAnsi="Arial" w:cs="Arial"/>
                                  <w:sz w:val="18"/>
                                </w:rPr>
                                <w:t xml:space="preserve">stesso periodo ai presidenti di corte di giustizia tributaria di primo e secondo </w:t>
                              </w:r>
                            </w:p>
                          </w:txbxContent>
                        </wps:txbx>
                        <wps:bodyPr horzOverflow="overflow" vert="horz" lIns="0" tIns="0" rIns="0" bIns="0" rtlCol="0">
                          <a:noAutofit/>
                        </wps:bodyPr>
                      </wps:wsp>
                      <wps:wsp>
                        <wps:cNvPr id="21212" name="Rectangle 21212"/>
                        <wps:cNvSpPr/>
                        <wps:spPr>
                          <a:xfrm rot="-10799999">
                            <a:off x="3558203" y="3048495"/>
                            <a:ext cx="432525" cy="142889"/>
                          </a:xfrm>
                          <a:prstGeom prst="rect">
                            <a:avLst/>
                          </a:prstGeom>
                          <a:ln>
                            <a:noFill/>
                          </a:ln>
                        </wps:spPr>
                        <wps:txbx>
                          <w:txbxContent>
                            <w:p w14:paraId="051D6C12" w14:textId="77777777" w:rsidR="00B32EF2" w:rsidRDefault="00000000">
                              <w:r>
                                <w:rPr>
                                  <w:rFonts w:ascii="Arial" w:eastAsia="Arial" w:hAnsi="Arial" w:cs="Arial"/>
                                  <w:sz w:val="18"/>
                                </w:rPr>
                                <w:t>grado.</w:t>
                              </w:r>
                            </w:p>
                          </w:txbxContent>
                        </wps:txbx>
                        <wps:bodyPr horzOverflow="overflow" vert="horz" lIns="0" tIns="0" rIns="0" bIns="0" rtlCol="0">
                          <a:noAutofit/>
                        </wps:bodyPr>
                      </wps:wsp>
                      <wps:wsp>
                        <wps:cNvPr id="201679" name="Rectangle 201679"/>
                        <wps:cNvSpPr/>
                        <wps:spPr>
                          <a:xfrm rot="-10799999">
                            <a:off x="-1381835" y="2925165"/>
                            <a:ext cx="5309035" cy="142889"/>
                          </a:xfrm>
                          <a:prstGeom prst="rect">
                            <a:avLst/>
                          </a:prstGeom>
                          <a:ln>
                            <a:noFill/>
                          </a:ln>
                        </wps:spPr>
                        <wps:txbx>
                          <w:txbxContent>
                            <w:p w14:paraId="09434944" w14:textId="77777777" w:rsidR="00B32EF2" w:rsidRDefault="00000000">
                              <w:r>
                                <w:rPr>
                                  <w:rFonts w:ascii="Arial" w:eastAsia="Arial" w:hAnsi="Arial" w:cs="Arial"/>
                                  <w:sz w:val="18"/>
                                </w:rPr>
                                <w:t xml:space="preserve">. Ai componenti del Consiglio di presidenza spetta, se con residenza fuori </w:t>
                              </w:r>
                            </w:p>
                          </w:txbxContent>
                        </wps:txbx>
                        <wps:bodyPr horzOverflow="overflow" vert="horz" lIns="0" tIns="0" rIns="0" bIns="0" rtlCol="0">
                          <a:noAutofit/>
                        </wps:bodyPr>
                      </wps:wsp>
                      <wps:wsp>
                        <wps:cNvPr id="201677" name="Rectangle 201677"/>
                        <wps:cNvSpPr/>
                        <wps:spPr>
                          <a:xfrm rot="-10799999">
                            <a:off x="2610927" y="2925165"/>
                            <a:ext cx="5309035" cy="142889"/>
                          </a:xfrm>
                          <a:prstGeom prst="rect">
                            <a:avLst/>
                          </a:prstGeom>
                          <a:ln>
                            <a:noFill/>
                          </a:ln>
                        </wps:spPr>
                        <wps:txbx>
                          <w:txbxContent>
                            <w:p w14:paraId="44687F31"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1214" name="Rectangle 21214"/>
                        <wps:cNvSpPr/>
                        <wps:spPr>
                          <a:xfrm rot="-10799999">
                            <a:off x="-1317232" y="2801835"/>
                            <a:ext cx="5308990" cy="142889"/>
                          </a:xfrm>
                          <a:prstGeom prst="rect">
                            <a:avLst/>
                          </a:prstGeom>
                          <a:ln>
                            <a:noFill/>
                          </a:ln>
                        </wps:spPr>
                        <wps:txbx>
                          <w:txbxContent>
                            <w:p w14:paraId="0B1785B5" w14:textId="77777777" w:rsidR="00B32EF2" w:rsidRDefault="00000000">
                              <w:r>
                                <w:rPr>
                                  <w:rFonts w:ascii="Arial" w:eastAsia="Arial" w:hAnsi="Arial" w:cs="Arial"/>
                                  <w:sz w:val="18"/>
                                </w:rPr>
                                <w:t xml:space="preserve">Roma, il trattamento di missione nella misura prevista per la qualifica rivestita </w:t>
                              </w:r>
                            </w:p>
                          </w:txbxContent>
                        </wps:txbx>
                        <wps:bodyPr horzOverflow="overflow" vert="horz" lIns="0" tIns="0" rIns="0" bIns="0" rtlCol="0">
                          <a:noAutofit/>
                        </wps:bodyPr>
                      </wps:wsp>
                      <wps:wsp>
                        <wps:cNvPr id="21215" name="Rectangle 21215"/>
                        <wps:cNvSpPr/>
                        <wps:spPr>
                          <a:xfrm rot="-10799999">
                            <a:off x="-1275047" y="2678505"/>
                            <a:ext cx="5266805" cy="142889"/>
                          </a:xfrm>
                          <a:prstGeom prst="rect">
                            <a:avLst/>
                          </a:prstGeom>
                          <a:ln>
                            <a:noFill/>
                          </a:ln>
                        </wps:spPr>
                        <wps:txbx>
                          <w:txbxContent>
                            <w:p w14:paraId="2D5FD5F0" w14:textId="77777777" w:rsidR="00B32EF2" w:rsidRDefault="00000000">
                              <w:r>
                                <w:rPr>
                                  <w:rFonts w:ascii="Arial" w:eastAsia="Arial" w:hAnsi="Arial" w:cs="Arial"/>
                                  <w:sz w:val="18"/>
                                </w:rPr>
                                <w:t>e comunque non inferiore a quella prevista per il dirigente generale dello Stato.</w:t>
                              </w:r>
                            </w:p>
                          </w:txbxContent>
                        </wps:txbx>
                        <wps:bodyPr horzOverflow="overflow" vert="horz" lIns="0" tIns="0" rIns="0" bIns="0" rtlCol="0">
                          <a:noAutofit/>
                        </wps:bodyPr>
                      </wps:wsp>
                      <wps:wsp>
                        <wps:cNvPr id="21216" name="Rectangle 21216"/>
                        <wps:cNvSpPr/>
                        <wps:spPr>
                          <a:xfrm rot="-10799999">
                            <a:off x="1507076" y="2431846"/>
                            <a:ext cx="809957" cy="142889"/>
                          </a:xfrm>
                          <a:prstGeom prst="rect">
                            <a:avLst/>
                          </a:prstGeom>
                          <a:ln>
                            <a:noFill/>
                          </a:ln>
                        </wps:spPr>
                        <wps:txbx>
                          <w:txbxContent>
                            <w:p w14:paraId="0415E1D3" w14:textId="77777777" w:rsidR="00B32EF2" w:rsidRDefault="00000000">
                              <w:r>
                                <w:rPr>
                                  <w:rFonts w:ascii="Arial" w:eastAsia="Arial" w:hAnsi="Arial" w:cs="Arial"/>
                                  <w:b/>
                                  <w:sz w:val="18"/>
                                </w:rPr>
                                <w:t>Articolo 35</w:t>
                              </w:r>
                            </w:p>
                          </w:txbxContent>
                        </wps:txbx>
                        <wps:bodyPr horzOverflow="overflow" vert="horz" lIns="0" tIns="0" rIns="0" bIns="0" rtlCol="0">
                          <a:noAutofit/>
                        </wps:bodyPr>
                      </wps:wsp>
                      <wps:wsp>
                        <wps:cNvPr id="201675" name="Rectangle 201675"/>
                        <wps:cNvSpPr/>
                        <wps:spPr>
                          <a:xfrm rot="-10799999">
                            <a:off x="1163451" y="2308516"/>
                            <a:ext cx="1942286" cy="142889"/>
                          </a:xfrm>
                          <a:prstGeom prst="rect">
                            <a:avLst/>
                          </a:prstGeom>
                          <a:ln>
                            <a:noFill/>
                          </a:ln>
                        </wps:spPr>
                        <wps:txbx>
                          <w:txbxContent>
                            <w:p w14:paraId="4B1DA597" w14:textId="77777777" w:rsidR="00B32EF2" w:rsidRDefault="00000000">
                              <w:r>
                                <w:rPr>
                                  <w:rFonts w:ascii="Arial" w:eastAsia="Arial" w:hAnsi="Arial" w:cs="Arial"/>
                                  <w:i/>
                                  <w:sz w:val="18"/>
                                </w:rPr>
                                <w:t xml:space="preserve">articolo 28 D.lgs. n. </w:t>
                              </w:r>
                            </w:p>
                          </w:txbxContent>
                        </wps:txbx>
                        <wps:bodyPr horzOverflow="overflow" vert="horz" lIns="0" tIns="0" rIns="0" bIns="0" rtlCol="0">
                          <a:noAutofit/>
                        </wps:bodyPr>
                      </wps:wsp>
                      <wps:wsp>
                        <wps:cNvPr id="201674" name="Rectangle 201674"/>
                        <wps:cNvSpPr/>
                        <wps:spPr>
                          <a:xfrm rot="-10799999">
                            <a:off x="-261755" y="2308516"/>
                            <a:ext cx="1942286" cy="142889"/>
                          </a:xfrm>
                          <a:prstGeom prst="rect">
                            <a:avLst/>
                          </a:prstGeom>
                          <a:ln>
                            <a:noFill/>
                          </a:ln>
                        </wps:spPr>
                        <wps:txbx>
                          <w:txbxContent>
                            <w:p w14:paraId="3224AA03"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1672" name="Rectangle 201672"/>
                        <wps:cNvSpPr/>
                        <wps:spPr>
                          <a:xfrm rot="-10799999">
                            <a:off x="2222018" y="2308516"/>
                            <a:ext cx="1942286" cy="142889"/>
                          </a:xfrm>
                          <a:prstGeom prst="rect">
                            <a:avLst/>
                          </a:prstGeom>
                          <a:ln>
                            <a:noFill/>
                          </a:ln>
                        </wps:spPr>
                        <wps:txbx>
                          <w:txbxContent>
                            <w:p w14:paraId="2BCFB23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1218" name="Rectangle 21218"/>
                        <wps:cNvSpPr/>
                        <wps:spPr>
                          <a:xfrm rot="-10799999">
                            <a:off x="82031" y="2185186"/>
                            <a:ext cx="3066877" cy="142889"/>
                          </a:xfrm>
                          <a:prstGeom prst="rect">
                            <a:avLst/>
                          </a:prstGeom>
                          <a:ln>
                            <a:noFill/>
                          </a:ln>
                        </wps:spPr>
                        <wps:txbx>
                          <w:txbxContent>
                            <w:p w14:paraId="101AC3F7" w14:textId="77777777" w:rsidR="00B32EF2" w:rsidRDefault="00000000">
                              <w:r>
                                <w:rPr>
                                  <w:rFonts w:ascii="Arial" w:eastAsia="Arial" w:hAnsi="Arial" w:cs="Arial"/>
                                  <w:b/>
                                  <w:sz w:val="18"/>
                                </w:rPr>
                                <w:t xml:space="preserve">Scioglimento del Consiglio di presidenza </w:t>
                              </w:r>
                            </w:p>
                          </w:txbxContent>
                        </wps:txbx>
                        <wps:bodyPr horzOverflow="overflow" vert="horz" lIns="0" tIns="0" rIns="0" bIns="0" rtlCol="0">
                          <a:noAutofit/>
                        </wps:bodyPr>
                      </wps:wsp>
                      <wps:wsp>
                        <wps:cNvPr id="201671" name="Rectangle 201671"/>
                        <wps:cNvSpPr/>
                        <wps:spPr>
                          <a:xfrm rot="-10799999">
                            <a:off x="-1376334" y="2061856"/>
                            <a:ext cx="5309021" cy="142889"/>
                          </a:xfrm>
                          <a:prstGeom prst="rect">
                            <a:avLst/>
                          </a:prstGeom>
                          <a:ln>
                            <a:noFill/>
                          </a:ln>
                        </wps:spPr>
                        <wps:txbx>
                          <w:txbxContent>
                            <w:p w14:paraId="4392BE8B" w14:textId="77777777" w:rsidR="00B32EF2" w:rsidRDefault="00000000">
                              <w:r>
                                <w:rPr>
                                  <w:rFonts w:ascii="Arial" w:eastAsia="Arial" w:hAnsi="Arial" w:cs="Arial"/>
                                  <w:sz w:val="18"/>
                                </w:rPr>
                                <w:t xml:space="preserve">. Il Consiglio di presidenza, qualora ne sia impossibile il funzionamento, è </w:t>
                              </w:r>
                            </w:p>
                          </w:txbxContent>
                        </wps:txbx>
                        <wps:bodyPr horzOverflow="overflow" vert="horz" lIns="0" tIns="0" rIns="0" bIns="0" rtlCol="0">
                          <a:noAutofit/>
                        </wps:bodyPr>
                      </wps:wsp>
                      <wps:wsp>
                        <wps:cNvPr id="201669" name="Rectangle 201669"/>
                        <wps:cNvSpPr/>
                        <wps:spPr>
                          <a:xfrm rot="-10799999">
                            <a:off x="2611044" y="2061857"/>
                            <a:ext cx="5309021" cy="142889"/>
                          </a:xfrm>
                          <a:prstGeom prst="rect">
                            <a:avLst/>
                          </a:prstGeom>
                          <a:ln>
                            <a:noFill/>
                          </a:ln>
                        </wps:spPr>
                        <wps:txbx>
                          <w:txbxContent>
                            <w:p w14:paraId="1D1A13BE"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1220" name="Rectangle 21220"/>
                        <wps:cNvSpPr/>
                        <wps:spPr>
                          <a:xfrm rot="-10799999">
                            <a:off x="-1317103" y="1938527"/>
                            <a:ext cx="5308975" cy="142889"/>
                          </a:xfrm>
                          <a:prstGeom prst="rect">
                            <a:avLst/>
                          </a:prstGeom>
                          <a:ln>
                            <a:noFill/>
                          </a:ln>
                        </wps:spPr>
                        <wps:txbx>
                          <w:txbxContent>
                            <w:p w14:paraId="601C3921" w14:textId="77777777" w:rsidR="00B32EF2" w:rsidRDefault="00000000">
                              <w:r>
                                <w:rPr>
                                  <w:rFonts w:ascii="Arial" w:eastAsia="Arial" w:hAnsi="Arial" w:cs="Arial"/>
                                  <w:sz w:val="18"/>
                                </w:rPr>
                                <w:t xml:space="preserve">sciolto con decreto del Presidente della Repubblica, su proposta del Ministro </w:t>
                              </w:r>
                            </w:p>
                          </w:txbxContent>
                        </wps:txbx>
                        <wps:bodyPr horzOverflow="overflow" vert="horz" lIns="0" tIns="0" rIns="0" bIns="0" rtlCol="0">
                          <a:noAutofit/>
                        </wps:bodyPr>
                      </wps:wsp>
                      <wps:wsp>
                        <wps:cNvPr id="21221" name="Rectangle 21221"/>
                        <wps:cNvSpPr/>
                        <wps:spPr>
                          <a:xfrm rot="-10799999">
                            <a:off x="-1184254" y="1815197"/>
                            <a:ext cx="5176125" cy="142889"/>
                          </a:xfrm>
                          <a:prstGeom prst="rect">
                            <a:avLst/>
                          </a:prstGeom>
                          <a:ln>
                            <a:noFill/>
                          </a:ln>
                        </wps:spPr>
                        <wps:txbx>
                          <w:txbxContent>
                            <w:p w14:paraId="6C4D2548" w14:textId="77777777" w:rsidR="00B32EF2" w:rsidRDefault="00000000">
                              <w:r>
                                <w:rPr>
                                  <w:rFonts w:ascii="Arial" w:eastAsia="Arial" w:hAnsi="Arial" w:cs="Arial"/>
                                  <w:sz w:val="18"/>
                                </w:rPr>
                                <w:t>dell’economia e delle finanze, previa deliberazione del Consiglio dei ministri.</w:t>
                              </w:r>
                            </w:p>
                          </w:txbxContent>
                        </wps:txbx>
                        <wps:bodyPr horzOverflow="overflow" vert="horz" lIns="0" tIns="0" rIns="0" bIns="0" rtlCol="0">
                          <a:noAutofit/>
                        </wps:bodyPr>
                      </wps:wsp>
                      <wps:wsp>
                        <wps:cNvPr id="201636" name="Rectangle 201636"/>
                        <wps:cNvSpPr/>
                        <wps:spPr>
                          <a:xfrm rot="-10799999">
                            <a:off x="2611040" y="1691868"/>
                            <a:ext cx="5309036" cy="142889"/>
                          </a:xfrm>
                          <a:prstGeom prst="rect">
                            <a:avLst/>
                          </a:prstGeom>
                          <a:ln>
                            <a:noFill/>
                          </a:ln>
                        </wps:spPr>
                        <wps:txbx>
                          <w:txbxContent>
                            <w:p w14:paraId="12590D47"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1666" name="Rectangle 201666"/>
                        <wps:cNvSpPr/>
                        <wps:spPr>
                          <a:xfrm rot="-10799999">
                            <a:off x="-1381732" y="1691867"/>
                            <a:ext cx="5309036" cy="142889"/>
                          </a:xfrm>
                          <a:prstGeom prst="rect">
                            <a:avLst/>
                          </a:prstGeom>
                          <a:ln>
                            <a:noFill/>
                          </a:ln>
                        </wps:spPr>
                        <wps:txbx>
                          <w:txbxContent>
                            <w:p w14:paraId="418D296C" w14:textId="77777777" w:rsidR="00B32EF2" w:rsidRDefault="00000000">
                              <w:r>
                                <w:rPr>
                                  <w:rFonts w:ascii="Arial" w:eastAsia="Arial" w:hAnsi="Arial" w:cs="Arial"/>
                                  <w:sz w:val="18"/>
                                </w:rPr>
                                <w:t xml:space="preserve">. Le nuove elezioni sono indette entro un mese dalla data di scioglimento ed </w:t>
                              </w:r>
                            </w:p>
                          </w:txbxContent>
                        </wps:txbx>
                        <wps:bodyPr horzOverflow="overflow" vert="horz" lIns="0" tIns="0" rIns="0" bIns="0" rtlCol="0">
                          <a:noAutofit/>
                        </wps:bodyPr>
                      </wps:wsp>
                      <wps:wsp>
                        <wps:cNvPr id="21223" name="Rectangle 21223"/>
                        <wps:cNvSpPr/>
                        <wps:spPr>
                          <a:xfrm rot="-10799999">
                            <a:off x="1171584" y="1568538"/>
                            <a:ext cx="2820287" cy="142889"/>
                          </a:xfrm>
                          <a:prstGeom prst="rect">
                            <a:avLst/>
                          </a:prstGeom>
                          <a:ln>
                            <a:noFill/>
                          </a:ln>
                        </wps:spPr>
                        <wps:txbx>
                          <w:txbxContent>
                            <w:p w14:paraId="092BEAAA" w14:textId="77777777" w:rsidR="00B32EF2" w:rsidRDefault="00000000">
                              <w:r>
                                <w:rPr>
                                  <w:rFonts w:ascii="Arial" w:eastAsia="Arial" w:hAnsi="Arial" w:cs="Arial"/>
                                  <w:sz w:val="18"/>
                                </w:rPr>
                                <w:t>hanno luogo entro il bimestre successivo.</w:t>
                              </w:r>
                            </w:p>
                          </w:txbxContent>
                        </wps:txbx>
                        <wps:bodyPr horzOverflow="overflow" vert="horz" lIns="0" tIns="0" rIns="0" bIns="0" rtlCol="0">
                          <a:noAutofit/>
                        </wps:bodyPr>
                      </wps:wsp>
                      <wps:wsp>
                        <wps:cNvPr id="21224" name="Rectangle 21224"/>
                        <wps:cNvSpPr/>
                        <wps:spPr>
                          <a:xfrm rot="-10799999">
                            <a:off x="1507482" y="1321878"/>
                            <a:ext cx="808179" cy="142889"/>
                          </a:xfrm>
                          <a:prstGeom prst="rect">
                            <a:avLst/>
                          </a:prstGeom>
                          <a:ln>
                            <a:noFill/>
                          </a:ln>
                        </wps:spPr>
                        <wps:txbx>
                          <w:txbxContent>
                            <w:p w14:paraId="59FB4A27" w14:textId="77777777" w:rsidR="00B32EF2" w:rsidRDefault="00000000">
                              <w:r>
                                <w:rPr>
                                  <w:rFonts w:ascii="Arial" w:eastAsia="Arial" w:hAnsi="Arial" w:cs="Arial"/>
                                  <w:b/>
                                  <w:sz w:val="18"/>
                                </w:rPr>
                                <w:t>Articolo 36</w:t>
                              </w:r>
                            </w:p>
                          </w:txbxContent>
                        </wps:txbx>
                        <wps:bodyPr horzOverflow="overflow" vert="horz" lIns="0" tIns="0" rIns="0" bIns="0" rtlCol="0">
                          <a:noAutofit/>
                        </wps:bodyPr>
                      </wps:wsp>
                      <wps:wsp>
                        <wps:cNvPr id="201633" name="Rectangle 201633"/>
                        <wps:cNvSpPr/>
                        <wps:spPr>
                          <a:xfrm rot="-10799999">
                            <a:off x="-263945" y="1198549"/>
                            <a:ext cx="1943928" cy="142889"/>
                          </a:xfrm>
                          <a:prstGeom prst="rect">
                            <a:avLst/>
                          </a:prstGeom>
                          <a:ln>
                            <a:noFill/>
                          </a:ln>
                        </wps:spPr>
                        <wps:txbx>
                          <w:txbxContent>
                            <w:p w14:paraId="1DC7ADA3"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1632" name="Rectangle 201632"/>
                        <wps:cNvSpPr/>
                        <wps:spPr>
                          <a:xfrm rot="-10799999">
                            <a:off x="2222296" y="1198549"/>
                            <a:ext cx="1943929" cy="142889"/>
                          </a:xfrm>
                          <a:prstGeom prst="rect">
                            <a:avLst/>
                          </a:prstGeom>
                          <a:ln>
                            <a:noFill/>
                          </a:ln>
                        </wps:spPr>
                        <wps:txbx>
                          <w:txbxContent>
                            <w:p w14:paraId="5ACF825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1635" name="Rectangle 201635"/>
                        <wps:cNvSpPr/>
                        <wps:spPr>
                          <a:xfrm rot="-10799999">
                            <a:off x="1162494" y="1198549"/>
                            <a:ext cx="1943929" cy="142889"/>
                          </a:xfrm>
                          <a:prstGeom prst="rect">
                            <a:avLst/>
                          </a:prstGeom>
                          <a:ln>
                            <a:noFill/>
                          </a:ln>
                        </wps:spPr>
                        <wps:txbx>
                          <w:txbxContent>
                            <w:p w14:paraId="726514AE" w14:textId="77777777" w:rsidR="00B32EF2" w:rsidRDefault="00000000">
                              <w:r>
                                <w:rPr>
                                  <w:rFonts w:ascii="Arial" w:eastAsia="Arial" w:hAnsi="Arial" w:cs="Arial"/>
                                  <w:i/>
                                  <w:sz w:val="18"/>
                                </w:rPr>
                                <w:t xml:space="preserve">articolo 29 D.lgs. n. </w:t>
                              </w:r>
                            </w:p>
                          </w:txbxContent>
                        </wps:txbx>
                        <wps:bodyPr horzOverflow="overflow" vert="horz" lIns="0" tIns="0" rIns="0" bIns="0" rtlCol="0">
                          <a:noAutofit/>
                        </wps:bodyPr>
                      </wps:wsp>
                      <wps:wsp>
                        <wps:cNvPr id="21226" name="Rectangle 21226"/>
                        <wps:cNvSpPr/>
                        <wps:spPr>
                          <a:xfrm rot="-10799999">
                            <a:off x="1168935" y="1075219"/>
                            <a:ext cx="1325378" cy="142889"/>
                          </a:xfrm>
                          <a:prstGeom prst="rect">
                            <a:avLst/>
                          </a:prstGeom>
                          <a:ln>
                            <a:noFill/>
                          </a:ln>
                        </wps:spPr>
                        <wps:txbx>
                          <w:txbxContent>
                            <w:p w14:paraId="22DC8846" w14:textId="77777777" w:rsidR="00B32EF2" w:rsidRDefault="00000000">
                              <w:r>
                                <w:rPr>
                                  <w:rFonts w:ascii="Arial" w:eastAsia="Arial" w:hAnsi="Arial" w:cs="Arial"/>
                                  <w:b/>
                                  <w:sz w:val="18"/>
                                </w:rPr>
                                <w:t xml:space="preserve">Alta sorveglianza </w:t>
                              </w:r>
                            </w:p>
                          </w:txbxContent>
                        </wps:txbx>
                        <wps:bodyPr horzOverflow="overflow" vert="horz" lIns="0" tIns="0" rIns="0" bIns="0" rtlCol="0">
                          <a:noAutofit/>
                        </wps:bodyPr>
                      </wps:wsp>
                      <wps:wsp>
                        <wps:cNvPr id="201628" name="Rectangle 201628"/>
                        <wps:cNvSpPr/>
                        <wps:spPr>
                          <a:xfrm rot="-10799999">
                            <a:off x="-1376299" y="951889"/>
                            <a:ext cx="5308975" cy="142889"/>
                          </a:xfrm>
                          <a:prstGeom prst="rect">
                            <a:avLst/>
                          </a:prstGeom>
                          <a:ln>
                            <a:noFill/>
                          </a:ln>
                        </wps:spPr>
                        <wps:txbx>
                          <w:txbxContent>
                            <w:p w14:paraId="0D6A1584" w14:textId="77777777" w:rsidR="00B32EF2" w:rsidRDefault="00000000">
                              <w:r>
                                <w:rPr>
                                  <w:rFonts w:ascii="Arial" w:eastAsia="Arial" w:hAnsi="Arial" w:cs="Arial"/>
                                  <w:sz w:val="18"/>
                                </w:rPr>
                                <w:t xml:space="preserve">. Il Presidente del Consiglio dei ministri esercita l’alta sorveglianza sulle corti </w:t>
                              </w:r>
                            </w:p>
                          </w:txbxContent>
                        </wps:txbx>
                        <wps:bodyPr horzOverflow="overflow" vert="horz" lIns="0" tIns="0" rIns="0" bIns="0" rtlCol="0">
                          <a:noAutofit/>
                        </wps:bodyPr>
                      </wps:wsp>
                      <wps:wsp>
                        <wps:cNvPr id="201625" name="Rectangle 201625"/>
                        <wps:cNvSpPr/>
                        <wps:spPr>
                          <a:xfrm rot="-10799999">
                            <a:off x="2611055" y="951890"/>
                            <a:ext cx="5308975" cy="142889"/>
                          </a:xfrm>
                          <a:prstGeom prst="rect">
                            <a:avLst/>
                          </a:prstGeom>
                          <a:ln>
                            <a:noFill/>
                          </a:ln>
                        </wps:spPr>
                        <wps:txbx>
                          <w:txbxContent>
                            <w:p w14:paraId="4B28B9F5"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1228" name="Rectangle 21228"/>
                        <wps:cNvSpPr/>
                        <wps:spPr>
                          <a:xfrm rot="-10799999">
                            <a:off x="-1220769" y="828560"/>
                            <a:ext cx="5212641" cy="142889"/>
                          </a:xfrm>
                          <a:prstGeom prst="rect">
                            <a:avLst/>
                          </a:prstGeom>
                          <a:ln>
                            <a:noFill/>
                          </a:ln>
                        </wps:spPr>
                        <wps:txbx>
                          <w:txbxContent>
                            <w:p w14:paraId="70313741" w14:textId="77777777" w:rsidR="00B32EF2" w:rsidRDefault="00000000">
                              <w:r>
                                <w:rPr>
                                  <w:rFonts w:ascii="Arial" w:eastAsia="Arial" w:hAnsi="Arial" w:cs="Arial"/>
                                  <w:sz w:val="18"/>
                                </w:rPr>
                                <w:t>di giustizia tributaria di primo e secondo grado e sui magistrati e i giudici tribu</w:t>
                              </w:r>
                            </w:p>
                          </w:txbxContent>
                        </wps:txbx>
                        <wps:bodyPr horzOverflow="overflow" vert="horz" lIns="0" tIns="0" rIns="0" bIns="0" rtlCol="0">
                          <a:noAutofit/>
                        </wps:bodyPr>
                      </wps:wsp>
                      <wps:wsp>
                        <wps:cNvPr id="21229" name="Rectangle 21229"/>
                        <wps:cNvSpPr/>
                        <wps:spPr>
                          <a:xfrm rot="-10799999">
                            <a:off x="19272" y="828560"/>
                            <a:ext cx="50622" cy="142889"/>
                          </a:xfrm>
                          <a:prstGeom prst="rect">
                            <a:avLst/>
                          </a:prstGeom>
                          <a:ln>
                            <a:noFill/>
                          </a:ln>
                        </wps:spPr>
                        <wps:txbx>
                          <w:txbxContent>
                            <w:p w14:paraId="440D261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230" name="Rectangle 21230"/>
                        <wps:cNvSpPr/>
                        <wps:spPr>
                          <a:xfrm rot="-10799999">
                            <a:off x="-1317043" y="705230"/>
                            <a:ext cx="5308914" cy="142889"/>
                          </a:xfrm>
                          <a:prstGeom prst="rect">
                            <a:avLst/>
                          </a:prstGeom>
                          <a:ln>
                            <a:noFill/>
                          </a:ln>
                        </wps:spPr>
                        <wps:txbx>
                          <w:txbxContent>
                            <w:p w14:paraId="5AFBC710" w14:textId="77777777" w:rsidR="00B32EF2" w:rsidRDefault="00000000">
                              <w:r>
                                <w:rPr>
                                  <w:rFonts w:ascii="Arial" w:eastAsia="Arial" w:hAnsi="Arial" w:cs="Arial"/>
                                  <w:sz w:val="18"/>
                                </w:rPr>
                                <w:t xml:space="preserve">tari. Il Presidente del Consiglio dei ministri e il Ministro dell’economia e delle </w:t>
                              </w:r>
                            </w:p>
                          </w:txbxContent>
                        </wps:txbx>
                        <wps:bodyPr horzOverflow="overflow" vert="horz" lIns="0" tIns="0" rIns="0" bIns="0" rtlCol="0">
                          <a:noAutofit/>
                        </wps:bodyPr>
                      </wps:wsp>
                      <wps:wsp>
                        <wps:cNvPr id="21231" name="Rectangle 21231"/>
                        <wps:cNvSpPr/>
                        <wps:spPr>
                          <a:xfrm rot="-10799999">
                            <a:off x="-1219171" y="581900"/>
                            <a:ext cx="5205556" cy="142889"/>
                          </a:xfrm>
                          <a:prstGeom prst="rect">
                            <a:avLst/>
                          </a:prstGeom>
                          <a:ln>
                            <a:noFill/>
                          </a:ln>
                        </wps:spPr>
                        <wps:txbx>
                          <w:txbxContent>
                            <w:p w14:paraId="01F6A88E" w14:textId="77777777" w:rsidR="00B32EF2" w:rsidRDefault="00000000">
                              <w:r>
                                <w:rPr>
                                  <w:rFonts w:ascii="Arial" w:eastAsia="Arial" w:hAnsi="Arial" w:cs="Arial"/>
                                  <w:sz w:val="18"/>
                                </w:rPr>
                                <w:t>finanze hanno facoltà di chiedere al Consiglio di presidenza e ai presidenti del</w:t>
                              </w:r>
                            </w:p>
                          </w:txbxContent>
                        </wps:txbx>
                        <wps:bodyPr horzOverflow="overflow" vert="horz" lIns="0" tIns="0" rIns="0" bIns="0" rtlCol="0">
                          <a:noAutofit/>
                        </wps:bodyPr>
                      </wps:wsp>
                      <wps:wsp>
                        <wps:cNvPr id="21232" name="Rectangle 21232"/>
                        <wps:cNvSpPr/>
                        <wps:spPr>
                          <a:xfrm rot="-10799999">
                            <a:off x="19272" y="581900"/>
                            <a:ext cx="50622" cy="142889"/>
                          </a:xfrm>
                          <a:prstGeom prst="rect">
                            <a:avLst/>
                          </a:prstGeom>
                          <a:ln>
                            <a:noFill/>
                          </a:ln>
                        </wps:spPr>
                        <wps:txbx>
                          <w:txbxContent>
                            <w:p w14:paraId="7C3C06E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233" name="Rectangle 21233"/>
                        <wps:cNvSpPr/>
                        <wps:spPr>
                          <a:xfrm rot="-10799999">
                            <a:off x="-1317033" y="458570"/>
                            <a:ext cx="5309477" cy="142889"/>
                          </a:xfrm>
                          <a:prstGeom prst="rect">
                            <a:avLst/>
                          </a:prstGeom>
                          <a:ln>
                            <a:noFill/>
                          </a:ln>
                        </wps:spPr>
                        <wps:txbx>
                          <w:txbxContent>
                            <w:p w14:paraId="043E0CF7" w14:textId="77777777" w:rsidR="00B32EF2" w:rsidRDefault="00000000">
                              <w:r>
                                <w:rPr>
                                  <w:rFonts w:ascii="Arial" w:eastAsia="Arial" w:hAnsi="Arial" w:cs="Arial"/>
                                  <w:sz w:val="18"/>
                                </w:rPr>
                                <w:t xml:space="preserve">le corti di giustizia tributaria informazioni circa il funzionamento della giustizia </w:t>
                              </w:r>
                            </w:p>
                          </w:txbxContent>
                        </wps:txbx>
                        <wps:bodyPr horzOverflow="overflow" vert="horz" lIns="0" tIns="0" rIns="0" bIns="0" rtlCol="0">
                          <a:noAutofit/>
                        </wps:bodyPr>
                      </wps:wsp>
                    </wpg:wgp>
                  </a:graphicData>
                </a:graphic>
              </wp:inline>
            </w:drawing>
          </mc:Choice>
          <mc:Fallback>
            <w:pict>
              <v:group w14:anchorId="09FEED7C" id="Group 201708" o:spid="_x0000_s5630" style="width:314.3pt;height:493.15pt;mso-position-horizontal-relative:char;mso-position-vertical-relative:line" coordsize="39918,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m9AgAoAACWBAAAOAAAAZHJzL2Uyb0RvYy54bWzkXV2P27gVfS/Q/2D4fTLipygjk0XRdIMC&#10;RXfRbX+A4pE/ANsyZCee9Nf3XFKmxjbdAiKwNMo8TDx0Yks8PIf3Hl5SH396224m35vusG53L1P2&#10;oZhOmt28fV3vli/Tf/3z5ycznRyO9e613rS75mX6ozlMf/r0xz98PO1nDW9X7ea16Sb4kN1hdtq/&#10;TFfH4372/HyYr5ptffjQ7psd3ly03bY+4tdu+fza1Sd8+nbzzItCP5/a7nXftfPmcEDrZ/fm9JP9&#10;/MWimR9/WSwOzXGyeZni2o72Z2d/fqWfz58+1rNlV+9X63l/GfWIq9jW6x2+1H/U5/pYT75165uP&#10;2q7nXXtoF8cP83b73C4W63lj7wF3w4qru/nStd/29l6Ws9Ny77sJXXvVT6M/dv7371+6/W/7Xzv0&#10;xGm/RF/Y3+he3hbdlv7GVU7ebJf98F3WvB0nczSKqmKmZNPJHO9prrlR0nXqfIWev/l/89Vf/sf/&#10;fD5/8fPF5Zz2GCCHoQ8OcX3w26reN7ZrDzP0wa/dZP36MuUMNzOd7Oothuo/MHjq3XLTTFyz7SD7&#10;r313HWYH9Ny5ryZdi/H1xIqyoj92PPR9x6qiUKWaTtBLT5rjV9dJ525kpRG6cr3IVaGlpvd9V9Sz&#10;fXc4fmna7YRevEw7XJv9/Pr73w5H90/P/4QuZ7Ojn7v25/Vm496lFvTo+Yrp1fHt65u9bSkq+33U&#10;+LV9/YHeWLXdv38Brxeb9vQybftXU6I6vp7enU42f90BBWLV+UV3fvH1/KI7bv7cWu65C/rTt2O7&#10;WNsrHr6tvzLAS2Pwd8IZwhTC2VDH00VgVIzAWRWmqITFWTNWVVpdAm0KIw3eJ7owyY2pfmegy/P9&#10;5QF0wcoC3X2DtGuPgfqJayaFtlCrylS8uIKaVZKzQibE2o/lfLDmd7Dm52E/itYcfwqNzwZrHxRr&#10;qyODpP6/CzjxF9QK8toGIOMlnGmhhZPwh8RaFjZ4yAdrzKMIMm6gts0xCs4EkxVD7EqsNspIaSfH&#10;euajsqJigr470WwtC3aWrXwUHHjcQE1s910xSsGfmCjB6p7WJS81An0MngFsJYqq4H0mkyA0k4Wf&#10;o/IBO8RrAtsr3CiwEZkh8HLZlrqPNebzZMQWeREbWh2KzGxzjISD1qxE0u40XFW64re0NlVSDffh&#10;SB60BqahhMs2x0AN00Ry0c/WUmsGv+RCwFlZlVqmnK1tAphVXBYKwYG0H/Kj5JvBADOYDW1cxiHk&#10;yLIvkDak7r1blmSmzswtK8C1kC3q2qNIjcQaCDqoi1KU5RXUGEuCaeh7spk6O8NMVyFrlLD2ftIo&#10;WsMw45XqDbPHxNrfYB5TNWEKGQ2kW9Qew2vGgDV7aF77G8wDa8zKoN4N1LY5CmmhOVJrq+ASYo3s&#10;7XKyZgVTjGMopFJw5pPJPJAmViP3vYHatcdgzbWQlXYhuDQAVVnBfOehcMaRvSfE2rtE+WAdojVh&#10;7YPUcbM142WlKOyDO/qgYGdmmEGrQ5GZbY6hNasYiHwfZ6x8pZTv/KyyUEwGlH3EMorQQkrJlTNF&#10;pTZY+rjyTxQKEyjrTjZPe9cgH+0OOWWk3X7Mj4Ia/ndRaXgzJN1KIde6hloUxph0pQmSZWaVEaYh&#10;r8y1x4g3HHADg8QtbD0o2D4SyYPYDKWcgfjbNsdAzbCWpXoDRUrMB+aqipCj0X53MgnP0CzDjBlM&#10;tXxwOkrCHa1JM0jDOcrLsDSNwfMu14KGVzyhC45Vt34050Fr0uoQr117DLHtfK0wkP4r1iJlXu1j&#10;zzywhlaHQjPbHIN0Kbg+A42kS8JMuSC14KpiKCRNFoTzzMwyIBqKy2xzDNBYw1SIyyylBYrMaD3z&#10;AmmDhI7GWKqp2k0n+SxWQ6VRax+cql0NflTBaNUXgosSaVVps7dhpsYaJhMyJdY+FslDvQnrO64o&#10;2mNoTcvVZR+VPSjW3jrIB+s7tQmuwnM0r7FeXah+tcNhfSXh6XmdmWOGWTlEa9scw+onjV1ZpbPA&#10;hdYK+3ouJ2vJELhRpXiy2To/v4zsyVBijfYorLGuVVbcJdZCSWbYFdiKdm3RwlcysP0clY+E33FR&#10;jI9cRrkoWLBW5+KEB8U6M8cMWh1cw6TmGFoPa5hhnNOuYXJ/c3kwGiiHci3bHIOyLffn/cqWgHZL&#10;NxsMuVbyXTxwZPs7zAVq1FfdTtSoA/JO0ijpdlCXGEYwRQUKR9n5YInz7jwLtUjolcGQzQ3qkP8N&#10;qH3VVQTUZ1ZjP49BeIaefSBWY99JblCHIjJAHReQCaWMtdaJ1AXUG5WKF0hLOOA8Jaf9/eUh37DK&#10;SGNDiRba+zE/ltWGGdJnYM0rrtj1WSjpBTw/r6y845WhPQZsu4KJrZcPjLW3DfIgNqQ6ZKDY5hik&#10;XVwm3GI1N4Wl+IWEg9Zpd9xCc/o7zAZqqOyNhANq3xEjFZyXqsChGJbVujRY07ycrRXX2KmZcrrO&#10;zCoDpmEHHM0xrMZydVn0u3g4dlyiMuESaZxqVqmEnqjw81MenKa4LERq1x4FNc43kgqJHIVlkGrE&#10;ZZdQY1mLc1o/TeV/i8zcMsI0NFe79his6Yy6sq/5f1CsfZKRD69DmTVh7VPPUbO1PaOuPwnlMbHG&#10;2Ry5xWXhtY6hcnYU0uSg9PrNIN+upGUwy0SBoIzyvFT6LTMzy4i7IWPUtUfptzu1zC1Wo/gBcF9N&#10;1snXO3B4R1akBqh0UPNNtuXaY8DGXI3Cg/dY25h3IHZ6rDPzy7DDPby2NVRJjxJw66Ewqv5FDI7j&#10;sowKnlpGCUAyDc/OLqOjH29YjRHgJ7ORUCOX5li6tFAbHIWByiKoxDtWs1KzlEseOCgxNwWnau0b&#10;rKHg7qCx0RWjTsEhGURrbBYyOLjqEms6Y5S+PBmtvU2UTbql72CN9pjZGhpuqCr0HdjXxE4Odmae&#10;GcQ6vGkLzTFQM5QkYK+WQ1ppo5xBNUg4R0bG6cEhyWidmWMGpAHHjYLb5iikYYNL1JxaAUfFt0FR&#10;+IWA4/Ed2P+REOj87DI6s/sGaZqr40gNa1RU/RnRdIKOkrZrB1LTyZMVCjeTkVplZpcRpnesUbTH&#10;0JqsUU7H31Fcdh/rhLzGekx/g9nEZVQZFOS1T0dGJVx08iTOIXxkrP1gzgNrzMqhENw2x7AaSJuq&#10;ry/DM9ewbedawVFLiI17CRXcT1F5IA0FpwkzxOphB8QoViPbKnGiLBQaEo5a8P65acNsbYuOUhpm&#10;rjo9q/30ZFoFsY5TcOui9IvWBPX1sxLTQ+3vLw9aQ6lDrLbNMQL+hE9A0ZEjtcGTQ7WNeN+RGuXm&#10;GquJ6UJw7xFlgzTQuOE0cPJ55yj5xrFkqG4g7Q7CnHZzHsrasoq9GapDgiAP+5lGgWxXtQo65wQ4&#10;l4Wir0HHvqMzFQZTVXIqm8wdV53PHA2kw4taw3amkUgj1oYpapHGMUd4uPEV0ngYqj2pMBnSXq9y&#10;Ee6gdYIB4JPNUUgPwh2EOa1wu3AhKzqHvFCA7PPMUSA74e6fjSjxJEyc4H8t3JVMWVHmjsl7BKTt&#10;Q+lPSzyoHA9nX3b1frWef66P9fvf7ePMZw1vV+3mtek+/QcAAP//AwBQSwMEFAAGAAgAAAAhABgN&#10;BmzdAAAABQEAAA8AAABkcnMvZG93bnJldi54bWxMj0FLw0AQhe+C/2EZwZvdpMUQ02xKKeqpCLaC&#10;9DbNTpPQ7GzIbpP037t6qZeBx3u8902+mkwrBupdY1lBPItAEJdWN1wp+Nq/PaUgnEfW2FomBVdy&#10;sCru73LMtB35k4adr0QoYZehgtr7LpPSlTUZdDPbEQfvZHuDPsi+krrHMZSbVs6jKJEGGw4LNXa0&#10;qak87y5GwfuI43oRvw7b82lzPeyfP763MSn1+DCtlyA8Tf4Whl/8gA5FYDraC2snWgXhEf93g5fM&#10;0wTEUcFLmixAFrn8T1/8AAAA//8DAFBLAQItABQABgAIAAAAIQC2gziS/gAAAOEBAAATAAAAAAAA&#10;AAAAAAAAAAAAAABbQ29udGVudF9UeXBlc10ueG1sUEsBAi0AFAAGAAgAAAAhADj9If/WAAAAlAEA&#10;AAsAAAAAAAAAAAAAAAAALwEAAF9yZWxzLy5yZWxzUEsBAi0AFAAGAAgAAAAhADJ2b0CACgAAJYEA&#10;AA4AAAAAAAAAAAAAAAAALgIAAGRycy9lMm9Eb2MueG1sUEsBAi0AFAAGAAgAAAAhABgNBmzdAAAA&#10;BQEAAA8AAAAAAAAAAAAAAAAA2gwAAGRycy9kb3ducmV2LnhtbFBLBQYAAAAABAAEAPMAAADkDQAA&#10;AAA=&#10;">
                <v:rect id="Rectangle 21187" o:spid="_x0000_s5631" style="position:absolute;left:19005;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3/xgAAAN4AAAAPAAAAZHJzL2Rvd25yZXYueG1sRI9Ba8JA&#10;FITvgv9heUJvuomHNqSuUhQxh16qFnp8ZJ9J2uzbJbua1F/vCoLHYWa+YRarwbTiQp1vLCtIZwkI&#10;4tLqhisFx8N2moHwAVlja5kU/JOH1XI8WmCubc9fdNmHSkQI+xwV1CG4XEpf1mTQz6wjjt7JdgZD&#10;lF0ldYd9hJtWzpPkVRpsOC7U6GhdU/m3PxsFPxt2xbaX5em6dp+/RdbuzsdvpV4mw8c7iEBDeIYf&#10;7UIrmKdp9gb3O/EKyOUNAAD//wMAUEsBAi0AFAAGAAgAAAAhANvh9svuAAAAhQEAABMAAAAAAAAA&#10;AAAAAAAAAAAAAFtDb250ZW50X1R5cGVzXS54bWxQSwECLQAUAAYACAAAACEAWvQsW78AAAAVAQAA&#10;CwAAAAAAAAAAAAAAAAAfAQAAX3JlbHMvLnJlbHNQSwECLQAUAAYACAAAACEAK7td/8YAAADeAAAA&#10;DwAAAAAAAAAAAAAAAAAHAgAAZHJzL2Rvd25yZXYueG1sUEsFBgAAAAADAAMAtwAAAPoCAAAAAA==&#10;" filled="f" stroked="f">
                  <v:textbox inset="0,0,0,0">
                    <w:txbxContent>
                      <w:p w14:paraId="4ACD034D" w14:textId="77777777" w:rsidR="00B32EF2" w:rsidRDefault="00000000">
                        <w:r>
                          <w:rPr>
                            <w:rFonts w:ascii="Times New Roman" w:eastAsia="Times New Roman" w:hAnsi="Times New Roman" w:cs="Times New Roman"/>
                          </w:rPr>
                          <w:t>36</w:t>
                        </w:r>
                      </w:p>
                    </w:txbxContent>
                  </v:textbox>
                </v:rect>
                <v:rect id="Rectangle 21188" o:spid="_x0000_s5632" style="position:absolute;left:15080;top:61199;width:80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mNwwAAAN4AAAAPAAAAZHJzL2Rvd25yZXYueG1sRE9Ni8Iw&#10;EL0v+B/CCN7WtB6kVKOIIvbgZV0X9jg0Y1ttJqGJtu6vNwdhj4/3vVwPphUP6nxjWUE6TUAQl1Y3&#10;XCk4f+8/MxA+IGtsLZOCJ3lYr0YfS8y17fmLHqdQiRjCPkcFdQgul9KXNRn0U+uII3exncEQYVdJ&#10;3WEfw00rZ0kylwYbjg01OtrWVN5Od6Pgd8eu2PeyvPxt3fFaZO3hfv5RajIeNgsQgYbwL367C61g&#10;lqZZ3BvvxCsgVy8AAAD//wMAUEsBAi0AFAAGAAgAAAAhANvh9svuAAAAhQEAABMAAAAAAAAAAAAA&#10;AAAAAAAAAFtDb250ZW50X1R5cGVzXS54bWxQSwECLQAUAAYACAAAACEAWvQsW78AAAAVAQAACwAA&#10;AAAAAAAAAAAAAAAfAQAAX3JlbHMvLnJlbHNQSwECLQAUAAYACAAAACEAWiTJjcMAAADeAAAADwAA&#10;AAAAAAAAAAAAAAAHAgAAZHJzL2Rvd25yZXYueG1sUEsFBgAAAAADAAMAtwAAAPcCAAAAAA==&#10;" filled="f" stroked="f">
                  <v:textbox inset="0,0,0,0">
                    <w:txbxContent>
                      <w:p w14:paraId="65D9C45E" w14:textId="77777777" w:rsidR="00B32EF2" w:rsidRDefault="00000000">
                        <w:r>
                          <w:rPr>
                            <w:rFonts w:ascii="Arial" w:eastAsia="Arial" w:hAnsi="Arial" w:cs="Arial"/>
                            <w:b/>
                            <w:sz w:val="18"/>
                          </w:rPr>
                          <w:t>Articolo 32</w:t>
                        </w:r>
                      </w:p>
                    </w:txbxContent>
                  </v:textbox>
                </v:rect>
                <v:rect id="Rectangle 201703" o:spid="_x0000_s5633" style="position:absolute;left:-2614;top:59892;width:1942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WncxwAAAN8AAAAPAAAAZHJzL2Rvd25yZXYueG1sRI9BawIx&#10;FITvhf6H8AreaqIFK1ujFIt0D160Fnp8bJ67q5uXsInu6q83QsHjMDPfMLNFbxtxpjbUjjWMhgoE&#10;ceFMzaWG3c/qdQoiRGSDjWPScKEAi/nz0wwz4zre0HkbS5EgHDLUUMXoMylDUZHFMHSeOHl711qM&#10;SbalNC12CW4bOVZqIi3WnBYq9LSsqDhuT1bD3xf7fNXJYn9d+vUhnzbfp92v1oOX/vMDRKQ+PsL/&#10;7dxoGKvRu3qD+5/0BeT8BgAA//8DAFBLAQItABQABgAIAAAAIQDb4fbL7gAAAIUBAAATAAAAAAAA&#10;AAAAAAAAAAAAAABbQ29udGVudF9UeXBlc10ueG1sUEsBAi0AFAAGAAgAAAAhAFr0LFu/AAAAFQEA&#10;AAsAAAAAAAAAAAAAAAAAHwEAAF9yZWxzLy5yZWxzUEsBAi0AFAAGAAgAAAAhAIfNadzHAAAA3wAA&#10;AA8AAAAAAAAAAAAAAAAABwIAAGRycy9kb3ducmV2LnhtbFBLBQYAAAAAAwADALcAAAD7AgAAAAA=&#10;" filled="f" stroked="f">
                  <v:textbox inset="0,0,0,0">
                    <w:txbxContent>
                      <w:p w14:paraId="72B072B1" w14:textId="77777777" w:rsidR="00B32EF2" w:rsidRDefault="00000000">
                        <w:r>
                          <w:rPr>
                            <w:rFonts w:ascii="Arial" w:eastAsia="Arial" w:hAnsi="Arial" w:cs="Arial"/>
                            <w:i/>
                            <w:sz w:val="18"/>
                          </w:rPr>
                          <w:t>545/92)</w:t>
                        </w:r>
                      </w:p>
                    </w:txbxContent>
                  </v:textbox>
                </v:rect>
                <v:rect id="Rectangle 201702" o:spid="_x0000_s5634" style="position:absolute;left:22220;top:59892;width:1942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cxHxwAAAN8AAAAPAAAAZHJzL2Rvd25yZXYueG1sRI9BawIx&#10;FITvQv9DeIXeNHEPVVajiEW6h160Fnp8bJ67q5uXsInutr++EYQeh5n5hlmuB9uKG3WhcaxhOlEg&#10;iEtnGq40HD934zmIEJENto5Jww8FWK+eRkvMjet5T7dDrESCcMhRQx2jz6UMZU0Ww8R54uSdXGcx&#10;JtlV0nTYJ7htZabUq7TYcFqo0dO2pvJyuFoN32/si10vy9Pv1n+ci3n7fj1+af3yPGwWICIN8T/8&#10;aBdGQ6amM5XB/U/6AnL1BwAA//8DAFBLAQItABQABgAIAAAAIQDb4fbL7gAAAIUBAAATAAAAAAAA&#10;AAAAAAAAAAAAAABbQ29udGVudF9UeXBlc10ueG1sUEsBAi0AFAAGAAgAAAAhAFr0LFu/AAAAFQEA&#10;AAsAAAAAAAAAAAAAAAAAHwEAAF9yZWxzLy5yZWxzUEsBAi0AFAAGAAgAAAAhAOiBzEfHAAAA3wAA&#10;AA8AAAAAAAAAAAAAAAAABwIAAGRycy9kb3ducmV2LnhtbFBLBQYAAAAAAwADALcAAAD7AgAAAAA=&#10;" filled="f" stroked="f">
                  <v:textbox inset="0,0,0,0">
                    <w:txbxContent>
                      <w:p w14:paraId="34A05BC9" w14:textId="77777777" w:rsidR="00B32EF2" w:rsidRDefault="00000000">
                        <w:r>
                          <w:rPr>
                            <w:rFonts w:ascii="Arial" w:eastAsia="Arial" w:hAnsi="Arial" w:cs="Arial"/>
                            <w:i/>
                            <w:sz w:val="18"/>
                          </w:rPr>
                          <w:t>(</w:t>
                        </w:r>
                      </w:p>
                    </w:txbxContent>
                  </v:textbox>
                </v:rect>
                <v:rect id="Rectangle 201704" o:spid="_x0000_s5635" style="position:absolute;left:11636;top:59892;width:1942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PGoxwAAAN8AAAAPAAAAZHJzL2Rvd25yZXYueG1sRI9BawIx&#10;FITvhf6H8AreaqIUK1ujFIt0D160Fnp8bJ67q5uXsInu6q83QsHjMDPfMLNFbxtxpjbUjjWMhgoE&#10;ceFMzaWG3c/qdQoiRGSDjWPScKEAi/nz0wwz4zre0HkbS5EgHDLUUMXoMylDUZHFMHSeOHl711qM&#10;SbalNC12CW4bOVZqIi3WnBYq9LSsqDhuT1bD3xf7fNXJYn9d+vUhnzbfp92v1oOX/vMDRKQ+PsL/&#10;7dxoGKvRu3qD+5/0BeT8BgAA//8DAFBLAQItABQABgAIAAAAIQDb4fbL7gAAAIUBAAATAAAAAAAA&#10;AAAAAAAAAAAAAABbQ29udGVudF9UeXBlc10ueG1sUEsBAi0AFAAGAAgAAAAhAFr0LFu/AAAAFQEA&#10;AAsAAAAAAAAAAAAAAAAAHwEAAF9yZWxzLy5yZWxzUEsBAi0AFAAGAAgAAAAhAAgk8ajHAAAA3wAA&#10;AA8AAAAAAAAAAAAAAAAABwIAAGRycy9kb3ducmV2LnhtbFBLBQYAAAAAAwADALcAAAD7AgAAAAA=&#10;" filled="f" stroked="f">
                  <v:textbox inset="0,0,0,0">
                    <w:txbxContent>
                      <w:p w14:paraId="71A277C5" w14:textId="77777777" w:rsidR="00B32EF2" w:rsidRDefault="00000000">
                        <w:r>
                          <w:rPr>
                            <w:rFonts w:ascii="Arial" w:eastAsia="Arial" w:hAnsi="Arial" w:cs="Arial"/>
                            <w:i/>
                            <w:sz w:val="18"/>
                          </w:rPr>
                          <w:t xml:space="preserve">articolo 25 D.lgs. n. </w:t>
                        </w:r>
                      </w:p>
                    </w:txbxContent>
                  </v:textbox>
                </v:rect>
                <v:rect id="Rectangle 21190" o:spid="_x0000_s5636" style="position:absolute;left:13149;top:58584;width:109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1NWxQAAAN4AAAAPAAAAZHJzL2Rvd25yZXYueG1sRI/NisIw&#10;FIX3A75DuIK7Ma0LcapRRBG7mI2OgstLc22rzU1ooq3z9GYxMMvD+eNbrHrTiCe1vrasIB0nIIgL&#10;q2suFZx+dp8zED4ga2wsk4IXeVgtBx8LzLTt+EDPYyhFHGGfoYIqBJdJ6YuKDPqxdcTRu9rWYIiy&#10;LaVusYvjppGTJJlKgzXHhwodbSoq7seHUXDZsst3nSyuvxv3fctnzf5xOis1GvbrOYhAffgP/7Vz&#10;rWCSpl8RIOJEFJDLNwAAAP//AwBQSwECLQAUAAYACAAAACEA2+H2y+4AAACFAQAAEwAAAAAAAAAA&#10;AAAAAAAAAAAAW0NvbnRlbnRfVHlwZXNdLnhtbFBLAQItABQABgAIAAAAIQBa9CxbvwAAABUBAAAL&#10;AAAAAAAAAAAAAAAAAB8BAABfcmVscy8ucmVsc1BLAQItABQABgAIAAAAIQAhi1NWxQAAAN4AAAAP&#10;AAAAAAAAAAAAAAAAAAcCAABkcnMvZG93bnJldi54bWxQSwUGAAAAAAMAAwC3AAAA+QIAAAAA&#10;" filled="f" stroked="f">
                  <v:textbox inset="0,0,0,0">
                    <w:txbxContent>
                      <w:p w14:paraId="38360BD2" w14:textId="77777777" w:rsidR="00B32EF2" w:rsidRDefault="00000000">
                        <w:r>
                          <w:rPr>
                            <w:rFonts w:ascii="Arial" w:eastAsia="Arial" w:hAnsi="Arial" w:cs="Arial"/>
                            <w:b/>
                            <w:sz w:val="18"/>
                          </w:rPr>
                          <w:t xml:space="preserve">Convocazione </w:t>
                        </w:r>
                      </w:p>
                    </w:txbxContent>
                  </v:textbox>
                </v:rect>
                <v:rect id="Rectangle 201701" o:spid="_x0000_s5637" style="position:absolute;left:-13763;top:5727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1IwxwAAAN8AAAAPAAAAZHJzL2Rvd25yZXYueG1sRI9BawIx&#10;FITvQv9DeIXeNFkPVVajiEW6h160Fnp8bJ67q5uXsInutr++EYQeh5n5hlmuB9uKG3WhcawhmygQ&#10;xKUzDVcajp+78RxEiMgGW8ek4YcCrFdPoyXmxvW8p9shViJBOOSooY7R51KGsiaLYeI8cfJOrrMY&#10;k+wqaTrsE9y2cqrUq7TYcFqo0dO2pvJyuFoN32/si10vy9Pv1n+ci3n7fj1+af3yPGwWICIN8T/8&#10;aBdGw1RlM5XB/U/6AnL1BwAA//8DAFBLAQItABQABgAIAAAAIQDb4fbL7gAAAIUBAAATAAAAAAAA&#10;AAAAAAAAAAAAAABbQ29udGVudF9UeXBlc10ueG1sUEsBAi0AFAAGAAgAAAAhAFr0LFu/AAAAFQEA&#10;AAsAAAAAAAAAAAAAAAAAHwEAAF9yZWxzLy5yZWxzUEsBAi0AFAAGAAgAAAAhABhTUjDHAAAA3wAA&#10;AA8AAAAAAAAAAAAAAAAABwIAAGRycy9kb3ducmV2LnhtbFBLBQYAAAAAAwADALcAAAD7AgAAAAA=&#10;" filled="f" stroked="f">
                  <v:textbox inset="0,0,0,0">
                    <w:txbxContent>
                      <w:p w14:paraId="4AA62A7B" w14:textId="77777777" w:rsidR="00B32EF2" w:rsidRDefault="00000000">
                        <w:r>
                          <w:rPr>
                            <w:rFonts w:ascii="Arial" w:eastAsia="Arial" w:hAnsi="Arial" w:cs="Arial"/>
                            <w:sz w:val="18"/>
                          </w:rPr>
                          <w:t xml:space="preserve">. Il Consiglio di presidenza è convocato dal presidente o, in sua assenza, dal </w:t>
                        </w:r>
                      </w:p>
                    </w:txbxContent>
                  </v:textbox>
                </v:rect>
                <v:rect id="Rectangle 201700" o:spid="_x0000_s5638" style="position:absolute;left:26110;top:5727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erxgAAAN8AAAAPAAAAZHJzL2Rvd25yZXYueG1sRI+9bsIw&#10;FIX3SryDdZG6FRsGigIGIRAiQ5fSIDFexZckEF9bsSFpn74eKnU8On/6VpvBtuJJXWgca5hOFAji&#10;0pmGKw3F1+FtASJEZIOtY9LwTQE269HLCjPjev6k5ylWIo1wyFBDHaPPpAxlTRbDxHni5F1dZzEm&#10;2VXSdNincdvKmVJzabHh9FCjp11N5f30sBoue/b5oZfl9WfnP275oj0+irPWr+NhuwQRaYj/4b92&#10;bjTM1PRdJYLEk1hArn8BAAD//wMAUEsBAi0AFAAGAAgAAAAhANvh9svuAAAAhQEAABMAAAAAAAAA&#10;AAAAAAAAAAAAAFtDb250ZW50X1R5cGVzXS54bWxQSwECLQAUAAYACAAAACEAWvQsW78AAAAVAQAA&#10;CwAAAAAAAAAAAAAAAAAfAQAAX3JlbHMvLnJlbHNQSwECLQAUAAYACAAAACEAdx/3q8YAAADfAAAA&#10;DwAAAAAAAAAAAAAAAAAHAgAAZHJzL2Rvd25yZXYueG1sUEsFBgAAAAADAAMAtwAAAPoCAAAAAA==&#10;" filled="f" stroked="f">
                  <v:textbox inset="0,0,0,0">
                    <w:txbxContent>
                      <w:p w14:paraId="37F21C03" w14:textId="77777777" w:rsidR="00B32EF2" w:rsidRDefault="00000000">
                        <w:r>
                          <w:rPr>
                            <w:rFonts w:ascii="Arial" w:eastAsia="Arial" w:hAnsi="Arial" w:cs="Arial"/>
                            <w:sz w:val="18"/>
                          </w:rPr>
                          <w:t>1</w:t>
                        </w:r>
                      </w:p>
                    </w:txbxContent>
                  </v:textbox>
                </v:rect>
                <v:rect id="Rectangle 21192" o:spid="_x0000_s5639" style="position:absolute;left:-13171;top:5596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i6xwAAAN4AAAAPAAAAZHJzL2Rvd25yZXYueG1sRI9Ba8JA&#10;FITvBf/D8oTe6iY5FBvdBFHEHHqptdDjI/tMotm3S3Y1aX99t1DocZiZb5h1OZle3GnwnWUF6SIB&#10;QVxb3XGj4PS+f1qC8AFZY2+ZFHyRh7KYPawx13bkN7ofQyMihH2OCtoQXC6lr1sy6BfWEUfvbAeD&#10;IcqhkXrAMcJNL7MkeZYGO44LLTratlRfjzej4HPHrtqPsj5/b93rpVr2h9vpQ6nH+bRZgQg0hf/w&#10;X7vSCrI0fcng9068ArL4AQAA//8DAFBLAQItABQABgAIAAAAIQDb4fbL7gAAAIUBAAATAAAAAAAA&#10;AAAAAAAAAAAAAABbQ29udGVudF9UeXBlc10ueG1sUEsBAi0AFAAGAAgAAAAhAFr0LFu/AAAAFQEA&#10;AAsAAAAAAAAAAAAAAAAAHwEAAF9yZWxzLy5yZWxzUEsBAi0AFAAGAAgAAAAhAL4VaLrHAAAA3gAA&#10;AA8AAAAAAAAAAAAAAAAABwIAAGRycy9kb3ducmV2LnhtbFBLBQYAAAAAAwADALcAAAD7AgAAAAA=&#10;" filled="f" stroked="f">
                  <v:textbox inset="0,0,0,0">
                    <w:txbxContent>
                      <w:p w14:paraId="74230165" w14:textId="77777777" w:rsidR="00B32EF2" w:rsidRDefault="00000000">
                        <w:r>
                          <w:rPr>
                            <w:rFonts w:ascii="Arial" w:eastAsia="Arial" w:hAnsi="Arial" w:cs="Arial"/>
                            <w:sz w:val="18"/>
                          </w:rPr>
                          <w:t xml:space="preserve">componente che lo sostituisce, di iniziativa propria o su richiesta di almeno un </w:t>
                        </w:r>
                      </w:p>
                    </w:txbxContent>
                  </v:textbox>
                </v:rect>
                <v:rect id="Rectangle 21193" o:spid="_x0000_s5640" style="position:absolute;left:21942;top:54661;width:179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c0hxwAAAN4AAAAPAAAAZHJzL2Rvd25yZXYueG1sRI9Pa8JA&#10;FMTvBb/D8gRvuokFsamriCLNoRf/FHp8ZJ9J2uzbJbua2E/vCkKPw8z8hlmsetOIK7W+tqwgnSQg&#10;iAuray4VnI678RyED8gaG8uk4EYeVsvBywIzbTve0/UQShEh7DNUUIXgMil9UZFBP7GOOHpn2xoM&#10;Ubal1C12EW4aOU2SmTRYc1yo0NGmouL3cDEKvrfs8l0ni/Pfxn3+5PPm43L6Umo07NfvIAL14T/8&#10;bOdawTRN317hcSdeAbm8AwAA//8DAFBLAQItABQABgAIAAAAIQDb4fbL7gAAAIUBAAATAAAAAAAA&#10;AAAAAAAAAAAAAABbQ29udGVudF9UeXBlc10ueG1sUEsBAi0AFAAGAAgAAAAhAFr0LFu/AAAAFQEA&#10;AAsAAAAAAAAAAAAAAAAAHwEAAF9yZWxzLy5yZWxzUEsBAi0AFAAGAAgAAAAhANFZzSHHAAAA3gAA&#10;AA8AAAAAAAAAAAAAAAAABwIAAGRycy9kb3ducmV2LnhtbFBLBQYAAAAAAwADALcAAAD7AgAAAAA=&#10;" filled="f" stroked="f">
                  <v:textbox inset="0,0,0,0">
                    <w:txbxContent>
                      <w:p w14:paraId="654AE15A" w14:textId="77777777" w:rsidR="00B32EF2" w:rsidRDefault="00000000">
                        <w:r>
                          <w:rPr>
                            <w:rFonts w:ascii="Arial" w:eastAsia="Arial" w:hAnsi="Arial" w:cs="Arial"/>
                            <w:sz w:val="18"/>
                          </w:rPr>
                          <w:t>terzo dei suoi componenti.</w:t>
                        </w:r>
                      </w:p>
                    </w:txbxContent>
                  </v:textbox>
                </v:rect>
                <v:rect id="Rectangle 21194" o:spid="_x0000_s5641" style="position:absolute;left:15068;top:52045;width:8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FVVxwAAAN4AAAAPAAAAZHJzL2Rvd25yZXYueG1sRI9Pa8JA&#10;FMTvBb/D8gRvuokUsamriCLNoRf/FHp8ZJ9J2uzbJbua2E/vCkKPw8z8hlmsetOIK7W+tqwgnSQg&#10;iAuray4VnI678RyED8gaG8uk4EYeVsvBywIzbTve0/UQShEh7DNUUIXgMil9UZFBP7GOOHpn2xoM&#10;Ubal1C12EW4aOU2SmTRYc1yo0NGmouL3cDEKvrfs8l0ni/Pfxn3+5PPm43L6Umo07NfvIAL14T/8&#10;bOdawTRN317hcSdeAbm8AwAA//8DAFBLAQItABQABgAIAAAAIQDb4fbL7gAAAIUBAAATAAAAAAAA&#10;AAAAAAAAAAAAAABbQ29udGVudF9UeXBlc10ueG1sUEsBAi0AFAAGAAgAAAAhAFr0LFu/AAAAFQEA&#10;AAsAAAAAAAAAAAAAAAAAHwEAAF9yZWxzLy5yZWxzUEsBAi0AFAAGAAgAAAAhAF6wVVXHAAAA3gAA&#10;AA8AAAAAAAAAAAAAAAAABwIAAGRycy9kb3ducmV2LnhtbFBLBQYAAAAAAwADALcAAAD7AgAAAAA=&#10;" filled="f" stroked="f">
                  <v:textbox inset="0,0,0,0">
                    <w:txbxContent>
                      <w:p w14:paraId="10CD81DA" w14:textId="77777777" w:rsidR="00B32EF2" w:rsidRDefault="00000000">
                        <w:r>
                          <w:rPr>
                            <w:rFonts w:ascii="Arial" w:eastAsia="Arial" w:hAnsi="Arial" w:cs="Arial"/>
                            <w:b/>
                            <w:sz w:val="18"/>
                          </w:rPr>
                          <w:t>Articolo 33</w:t>
                        </w:r>
                      </w:p>
                    </w:txbxContent>
                  </v:textbox>
                </v:rect>
                <v:rect id="Rectangle 201697" o:spid="_x0000_s5642" style="position:absolute;left:22221;top:50737;width:194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XFxwAAAN8AAAAPAAAAZHJzL2Rvd25yZXYueG1sRI9Ba8JA&#10;FITvgv9heUJvdaMHa6OriCLm4EVrocdH9plEs2+X7GpSf31XKHgcZuYbZr7sTC3u1PjKsoLRMAFB&#10;nFtdcaHg9LV9n4LwAVljbZkU/JKH5aLfm2OqbcsHuh9DISKEfYoKyhBcKqXPSzLoh9YRR+9sG4Mh&#10;yqaQusE2wk0tx0kykQYrjgslOlqXlF+PN6PgZ8Mu27YyPz/Wbn/JpvXudvpW6m3QrWYgAnXhFf5v&#10;Z1rBOBlNPj/g+Sd+Abn4AwAA//8DAFBLAQItABQABgAIAAAAIQDb4fbL7gAAAIUBAAATAAAAAAAA&#10;AAAAAAAAAAAAAABbQ29udGVudF9UeXBlc10ueG1sUEsBAi0AFAAGAAgAAAAhAFr0LFu/AAAAFQEA&#10;AAsAAAAAAAAAAAAAAAAAHwEAAF9yZWxzLy5yZWxzUEsBAi0AFAAGAAgAAAAhAGYd9cXHAAAA3wAA&#10;AA8AAAAAAAAAAAAAAAAABwIAAGRycy9kb3ducmV2LnhtbFBLBQYAAAAAAwADALcAAAD7AgAAAAA=&#10;" filled="f" stroked="f">
                  <v:textbox inset="0,0,0,0">
                    <w:txbxContent>
                      <w:p w14:paraId="5F27476A" w14:textId="77777777" w:rsidR="00B32EF2" w:rsidRDefault="00000000">
                        <w:r>
                          <w:rPr>
                            <w:rFonts w:ascii="Arial" w:eastAsia="Arial" w:hAnsi="Arial" w:cs="Arial"/>
                            <w:i/>
                            <w:sz w:val="18"/>
                          </w:rPr>
                          <w:t>(</w:t>
                        </w:r>
                      </w:p>
                    </w:txbxContent>
                  </v:textbox>
                </v:rect>
                <v:rect id="Rectangle 201698" o:spid="_x0000_s5643" style="position:absolute;left:-2629;top:50737;width:194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mG3xAAAAN8AAAAPAAAAZHJzL2Rvd25yZXYueG1sRE9Ni8Iw&#10;EL0L+x/CLHjTVA+iXaOIi2wPe1EreByase3aTEITbd1fbw6Cx8f7Xq5704g7tb62rGAyTkAQF1bX&#10;XCrIj7vRHIQPyBoby6TgQR7Wq4/BElNtO97T/RBKEUPYp6igCsGlUvqiIoN+bB1x5C62NRgibEup&#10;W+xiuGnkNElm0mDNsaFCR9uKiuvhZhScv9llu04Wl/+t+/3L5s3PLT8pNfzsN18gAvXhLX65M61g&#10;mkxmizg4/olfQK6eAAAA//8DAFBLAQItABQABgAIAAAAIQDb4fbL7gAAAIUBAAATAAAAAAAAAAAA&#10;AAAAAAAAAABbQ29udGVudF9UeXBlc10ueG1sUEsBAi0AFAAGAAgAAAAhAFr0LFu/AAAAFQEAAAsA&#10;AAAAAAAAAAAAAAAAHwEAAF9yZWxzLy5yZWxzUEsBAi0AFAAGAAgAAAAhABeCYbfEAAAA3wAAAA8A&#10;AAAAAAAAAAAAAAAABwIAAGRycy9kb3ducmV2LnhtbFBLBQYAAAAAAwADALcAAAD4AgAAAAA=&#10;" filled="f" stroked="f">
                  <v:textbox inset="0,0,0,0">
                    <w:txbxContent>
                      <w:p w14:paraId="67DF258D" w14:textId="77777777" w:rsidR="00B32EF2" w:rsidRDefault="00000000">
                        <w:r>
                          <w:rPr>
                            <w:rFonts w:ascii="Arial" w:eastAsia="Arial" w:hAnsi="Arial" w:cs="Arial"/>
                            <w:i/>
                            <w:sz w:val="18"/>
                          </w:rPr>
                          <w:t>545/92)</w:t>
                        </w:r>
                      </w:p>
                    </w:txbxContent>
                  </v:textbox>
                </v:rect>
                <v:rect id="Rectangle 201699" o:spid="_x0000_s5644" style="position:absolute;left:11629;top:50737;width:194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sQsxgAAAN8AAAAPAAAAZHJzL2Rvd25yZXYueG1sRI9Bi8Iw&#10;FITvC/6H8ARva6oH0WoUUcQevKy6sMdH82yrzUtooq3++s3CgsdhZr5hFqvO1OJBja8sKxgNExDE&#10;udUVFwrOp93nFIQPyBpry6TgSR5Wy97HAlNtW/6ixzEUIkLYp6igDMGlUvq8JIN+aB1x9C62MRii&#10;bAqpG2wj3NRynCQTabDiuFCio01J+e14Nwp+tuyyXSvzy2vjDtdsWu/v52+lBv1uPQcRqAvv8H87&#10;0wrGyWgym8Hfn/gF5PIXAAD//wMAUEsBAi0AFAAGAAgAAAAhANvh9svuAAAAhQEAABMAAAAAAAAA&#10;AAAAAAAAAAAAAFtDb250ZW50X1R5cGVzXS54bWxQSwECLQAUAAYACAAAACEAWvQsW78AAAAVAQAA&#10;CwAAAAAAAAAAAAAAAAAfAQAAX3JlbHMvLnJlbHNQSwECLQAUAAYACAAAACEAeM7ELMYAAADfAAAA&#10;DwAAAAAAAAAAAAAAAAAHAgAAZHJzL2Rvd25yZXYueG1sUEsFBgAAAAADAAMAtwAAAPoCAAAAAA==&#10;" filled="f" stroked="f">
                  <v:textbox inset="0,0,0,0">
                    <w:txbxContent>
                      <w:p w14:paraId="6DE008E3" w14:textId="77777777" w:rsidR="00B32EF2" w:rsidRDefault="00000000">
                        <w:r>
                          <w:rPr>
                            <w:rFonts w:ascii="Arial" w:eastAsia="Arial" w:hAnsi="Arial" w:cs="Arial"/>
                            <w:i/>
                            <w:sz w:val="18"/>
                          </w:rPr>
                          <w:t xml:space="preserve">articolo 26 D.lgs. n. </w:t>
                        </w:r>
                      </w:p>
                    </w:txbxContent>
                  </v:textbox>
                </v:rect>
                <v:rect id="Rectangle 21196" o:spid="_x0000_s5645" style="position:absolute;left:13623;top:49430;width:101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65xgAAAN4AAAAPAAAAZHJzL2Rvd25yZXYueG1sRI9Ba8JA&#10;FITvBf/D8gRvdRMPYlNXEUXMwYtWocdH9pmkzb5dsquJ/fVdQfA4zMw3zHzZm0bcqPW1ZQXpOAFB&#10;XFhdc6ng9LV9n4HwAVljY5kU3MnDcjF4m2OmbccHuh1DKSKEfYYKqhBcJqUvKjLox9YRR+9iW4Mh&#10;yraUusUuwk0jJ0kylQZrjgsVOlpXVPwer0bB94Zdvu1kcflbu/1PPmt219NZqdGwX32CCNSHV/jZ&#10;zrWCSZp+TOFxJ14BufgHAAD//wMAUEsBAi0AFAAGAAgAAAAhANvh9svuAAAAhQEAABMAAAAAAAAA&#10;AAAAAAAAAAAAAFtDb250ZW50X1R5cGVzXS54bWxQSwECLQAUAAYACAAAACEAWvQsW78AAAAVAQAA&#10;CwAAAAAAAAAAAAAAAAAfAQAAX3JlbHMvLnJlbHNQSwECLQAUAAYACAAAACEAwS5uucYAAADeAAAA&#10;DwAAAAAAAAAAAAAAAAAHAgAAZHJzL2Rvd25yZXYueG1sUEsFBgAAAAADAAMAtwAAAPoCAAAAAA==&#10;" filled="f" stroked="f">
                  <v:textbox inset="0,0,0,0">
                    <w:txbxContent>
                      <w:p w14:paraId="17EEF5E4" w14:textId="77777777" w:rsidR="00B32EF2" w:rsidRDefault="00000000">
                        <w:r>
                          <w:rPr>
                            <w:rFonts w:ascii="Arial" w:eastAsia="Arial" w:hAnsi="Arial" w:cs="Arial"/>
                            <w:b/>
                            <w:sz w:val="18"/>
                          </w:rPr>
                          <w:t xml:space="preserve">Deliberazioni </w:t>
                        </w:r>
                      </w:p>
                    </w:txbxContent>
                  </v:textbox>
                </v:rect>
                <v:rect id="Rectangle 201695" o:spid="_x0000_s5646" style="position:absolute;left:26349;top:48122;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84pxwAAAN8AAAAPAAAAZHJzL2Rvd25yZXYueG1sRI9Ba8JA&#10;FITvgv9heYI33SgoNrpKsUhz8FKbQo+P7DOJzb5dsqtJ++vdguBxmJlvmM2uN424Uetrywpm0wQE&#10;cWF1zaWC/PMwWYHwAVljY5kU/JKH3XY42GCqbccfdDuFUkQI+xQVVCG4VEpfVGTQT60jjt7ZtgZD&#10;lG0pdYtdhJtGzpNkKQ3WHBcqdLSvqPg5XY2C7zd22aGTxflv746XbNW8X/Mvpcaj/nUNIlAfnuFH&#10;O9MK5sls+bKA/z/xC8jtHQAA//8DAFBLAQItABQABgAIAAAAIQDb4fbL7gAAAIUBAAATAAAAAAAA&#10;AAAAAAAAAAAAAABbQ29udGVudF9UeXBlc10ueG1sUEsBAi0AFAAGAAgAAAAhAFr0LFu/AAAAFQEA&#10;AAsAAAAAAAAAAAAAAAAAHwEAAF9yZWxzLy5yZWxzUEsBAi0AFAAGAAgAAAAhAPmDzinHAAAA3wAA&#10;AA8AAAAAAAAAAAAAAAAABwIAAGRycy9kb3ducmV2LnhtbFBLBQYAAAAAAwADALcAAAD7AgAAAAA=&#10;" filled="f" stroked="f">
                  <v:textbox inset="0,0,0,0">
                    <w:txbxContent>
                      <w:p w14:paraId="6F987042" w14:textId="77777777" w:rsidR="00B32EF2" w:rsidRDefault="00000000">
                        <w:r>
                          <w:rPr>
                            <w:rFonts w:ascii="Arial" w:eastAsia="Arial" w:hAnsi="Arial" w:cs="Arial"/>
                            <w:sz w:val="18"/>
                          </w:rPr>
                          <w:t>1</w:t>
                        </w:r>
                      </w:p>
                    </w:txbxContent>
                  </v:textbox>
                </v:rect>
                <v:rect id="Rectangle 201696" o:spid="_x0000_s5647" style="position:absolute;left:-12795;top:48122;width:521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VBexwAAAN8AAAAPAAAAZHJzL2Rvd25yZXYueG1sRI9Ba8JA&#10;FITvBf/D8gre6kYPwUZXKYqYgxetgsdH9pmkzb5dsquJ/fVdQfA4zMw3zHzZm0bcqPW1ZQXjUQKC&#10;uLC65lLB8XvzMQXhA7LGxjIpuJOH5WLwNsdM2473dDuEUkQI+wwVVCG4TEpfVGTQj6wjjt7FtgZD&#10;lG0pdYtdhJtGTpIklQZrjgsVOlpVVPwerkbBec0u33SyuPyt3O4nnzbb6/Gk1PC9/5qBCNSHV/jZ&#10;zrWCSTJOP1N4/IlfQC7+AQAA//8DAFBLAQItABQABgAIAAAAIQDb4fbL7gAAAIUBAAATAAAAAAAA&#10;AAAAAAAAAAAAAABbQ29udGVudF9UeXBlc10ueG1sUEsBAi0AFAAGAAgAAAAhAFr0LFu/AAAAFQEA&#10;AAsAAAAAAAAAAAAAAAAAHwEAAF9yZWxzLy5yZWxzUEsBAi0AFAAGAAgAAAAhAAlRUF7HAAAA3wAA&#10;AA8AAAAAAAAAAAAAAAAABwIAAGRycy9kb3ducmV2LnhtbFBLBQYAAAAAAwADALcAAAD7AgAAAAA=&#10;" filled="f" stroked="f">
                  <v:textbox inset="0,0,0,0">
                    <w:txbxContent>
                      <w:p w14:paraId="0DC846A3" w14:textId="77777777" w:rsidR="00B32EF2" w:rsidRDefault="00000000">
                        <w:r>
                          <w:rPr>
                            <w:rFonts w:ascii="Arial" w:eastAsia="Arial" w:hAnsi="Arial" w:cs="Arial"/>
                            <w:sz w:val="18"/>
                          </w:rPr>
                          <w:t>. Il Consiglio di presidenza delibera con la presenza di almeno quattro com</w:t>
                        </w:r>
                      </w:p>
                    </w:txbxContent>
                  </v:textbox>
                </v:rect>
                <v:rect id="Rectangle 21198" o:spid="_x0000_s5648" style="position:absolute;left:191;top:4812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9QwwAAAN4AAAAPAAAAZHJzL2Rvd25yZXYueG1sRE9Ni8Iw&#10;EL0v+B/CCN7WtB7ErUYRRexhL7oKHodmbKvNJDTR1v315rCwx8f7Xqx604gntb62rCAdJyCIC6tr&#10;LhWcfnafMxA+IGtsLJOCF3lYLQcfC8y07fhAz2MoRQxhn6GCKgSXSemLigz6sXXEkbva1mCIsC2l&#10;brGL4aaRkySZSoM1x4YKHW0qKu7Hh1Fw2bLLd50srr8b933LZ83+cTorNRr26zmIQH34F/+5c61g&#10;kqZfcW+8E6+AXL4BAAD//wMAUEsBAi0AFAAGAAgAAAAhANvh9svuAAAAhQEAABMAAAAAAAAAAAAA&#10;AAAAAAAAAFtDb250ZW50X1R5cGVzXS54bWxQSwECLQAUAAYACAAAACEAWvQsW78AAAAVAQAACwAA&#10;AAAAAAAAAAAAAAAfAQAAX3JlbHMvLnJlbHNQSwECLQAUAAYACAAAACEA3/1fUMMAAADeAAAADwAA&#10;AAAAAAAAAAAAAAAHAgAAZHJzL2Rvd25yZXYueG1sUEsFBgAAAAADAAMAtwAAAPcCAAAAAA==&#10;" filled="f" stroked="f">
                  <v:textbox inset="0,0,0,0">
                    <w:txbxContent>
                      <w:p w14:paraId="62370F23" w14:textId="77777777" w:rsidR="00B32EF2" w:rsidRDefault="00000000">
                        <w:r>
                          <w:rPr>
                            <w:rFonts w:ascii="Arial" w:eastAsia="Arial" w:hAnsi="Arial" w:cs="Arial"/>
                            <w:sz w:val="18"/>
                          </w:rPr>
                          <w:t>-</w:t>
                        </w:r>
                      </w:p>
                    </w:txbxContent>
                  </v:textbox>
                </v:rect>
                <v:rect id="Rectangle 21199" o:spid="_x0000_s5649" style="position:absolute;left:34442;top:46814;width:54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frLxgAAAN4AAAAPAAAAZHJzL2Rvd25yZXYueG1sRI9Ba8JA&#10;FITvBf/D8gRvdRMPRaOriCLNwUutgsdH9plEs2+X7Gqiv75bKPQ4zMw3zGLVm0Y8qPW1ZQXpOAFB&#10;XFhdc6ng+L17n4LwAVljY5kUPMnDajl4W2Cmbcdf9DiEUkQI+wwVVCG4TEpfVGTQj60jjt7FtgZD&#10;lG0pdYtdhJtGTpLkQxqsOS5U6GhTUXE73I2C85ZdvutkcXlt3P6aT5vP+/Gk1GjYr+cgAvXhP/zX&#10;zrWCSZrOZvB7J14BufwBAAD//wMAUEsBAi0AFAAGAAgAAAAhANvh9svuAAAAhQEAABMAAAAAAAAA&#10;AAAAAAAAAAAAAFtDb250ZW50X1R5cGVzXS54bWxQSwECLQAUAAYACAAAACEAWvQsW78AAAAVAQAA&#10;CwAAAAAAAAAAAAAAAAAfAQAAX3JlbHMvLnJlbHNQSwECLQAUAAYACAAAACEAsLH6y8YAAADeAAAA&#10;DwAAAAAAAAAAAAAAAAAHAgAAZHJzL2Rvd25yZXYueG1sUEsFBgAAAAADAAMAtwAAAPoCAAAAAA==&#10;" filled="f" stroked="f">
                  <v:textbox inset="0,0,0,0">
                    <w:txbxContent>
                      <w:p w14:paraId="14507B3C" w14:textId="77777777" w:rsidR="00B32EF2" w:rsidRDefault="00000000">
                        <w:r>
                          <w:rPr>
                            <w:rFonts w:ascii="Arial" w:eastAsia="Arial" w:hAnsi="Arial" w:cs="Arial"/>
                            <w:sz w:val="18"/>
                          </w:rPr>
                          <w:t>ponenti.</w:t>
                        </w:r>
                      </w:p>
                    </w:txbxContent>
                  </v:textbox>
                </v:rect>
                <v:rect id="Rectangle 201693" o:spid="_x0000_s5650" style="position:absolute;left:26109;top:4550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vPGxwAAAN8AAAAPAAAAZHJzL2Rvd25yZXYueG1sRI9Ba8JA&#10;FITvgv9heYI33aggNrpKsUhz8FKbQo+P7DOJzb5dsqtJ++vdguBxmJlvmM2uN424Uetrywpm0wQE&#10;cWF1zaWC/PMwWYHwAVljY5kU/JKH3XY42GCqbccfdDuFUkQI+xQVVCG4VEpfVGTQT60jjt7ZtgZD&#10;lG0pdYtdhJtGzpNkKQ3WHBcqdLSvqPg5XY2C7zd22aGTxflv746XbNW8X/Mvpcaj/nUNIlAfnuFH&#10;O9MK5sls+bKA/z/xC8jtHQAA//8DAFBLAQItABQABgAIAAAAIQDb4fbL7gAAAIUBAAATAAAAAAAA&#10;AAAAAAAAAAAAAABbQ29udGVudF9UeXBlc10ueG1sUEsBAi0AFAAGAAgAAAAhAFr0LFu/AAAAFQEA&#10;AAsAAAAAAAAAAAAAAAAAHwEAAF9yZWxzLy5yZWxzUEsBAi0AFAAGAAgAAAAhABkm88bHAAAA3wAA&#10;AA8AAAAAAAAAAAAAAAAABwIAAGRycy9kb3ducmV2LnhtbFBLBQYAAAAAAwADALcAAAD7AgAAAAA=&#10;" filled="f" stroked="f">
                  <v:textbox inset="0,0,0,0">
                    <w:txbxContent>
                      <w:p w14:paraId="4FE49094" w14:textId="77777777" w:rsidR="00B32EF2" w:rsidRDefault="00000000">
                        <w:r>
                          <w:rPr>
                            <w:rFonts w:ascii="Arial" w:eastAsia="Arial" w:hAnsi="Arial" w:cs="Arial"/>
                            <w:sz w:val="18"/>
                          </w:rPr>
                          <w:t>2</w:t>
                        </w:r>
                      </w:p>
                    </w:txbxContent>
                  </v:textbox>
                </v:rect>
                <v:rect id="Rectangle 201694" o:spid="_x0000_s5651" style="position:absolute;left:-13816;top:45507;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2uyxwAAAN8AAAAPAAAAZHJzL2Rvd25yZXYueG1sRI9Ba8JA&#10;FITvgv9heYI33SgiNrpKsUhz8FKbQo+P7DOJzb5dsqtJ++vdguBxmJlvmM2uN424Uetrywpm0wQE&#10;cWF1zaWC/PMwWYHwAVljY5kU/JKH3XY42GCqbccfdDuFUkQI+xQVVCG4VEpfVGTQT60jjt7ZtgZD&#10;lG0pdYtdhJtGzpNkKQ3WHBcqdLSvqPg5XY2C7zd22aGTxflv746XbNW8X/Mvpcaj/nUNIlAfnuFH&#10;O9MK5sls+bKA/z/xC8jtHQAA//8DAFBLAQItABQABgAIAAAAIQDb4fbL7gAAAIUBAAATAAAAAAAA&#10;AAAAAAAAAAAAAABbQ29udGVudF9UeXBlc10ueG1sUEsBAi0AFAAGAAgAAAAhAFr0LFu/AAAAFQEA&#10;AAsAAAAAAAAAAAAAAAAAHwEAAF9yZWxzLy5yZWxzUEsBAi0AFAAGAAgAAAAhAJbPa7LHAAAA3wAA&#10;AA8AAAAAAAAAAAAAAAAABwIAAGRycy9kb3ducmV2LnhtbFBLBQYAAAAAAwADALcAAAD7AgAAAAA=&#10;" filled="f" stroked="f">
                  <v:textbox inset="0,0,0,0">
                    <w:txbxContent>
                      <w:p w14:paraId="165B7C90" w14:textId="77777777" w:rsidR="00B32EF2" w:rsidRDefault="00000000">
                        <w:r>
                          <w:rPr>
                            <w:rFonts w:ascii="Arial" w:eastAsia="Arial" w:hAnsi="Arial" w:cs="Arial"/>
                            <w:sz w:val="18"/>
                          </w:rPr>
                          <w:t xml:space="preserve">. Le deliberazioni sono adottate a maggioranza e a voto palese; in caso di </w:t>
                        </w:r>
                      </w:p>
                    </w:txbxContent>
                  </v:textbox>
                </v:rect>
                <v:rect id="Rectangle 21201" o:spid="_x0000_s5652" style="position:absolute;left:15725;top:44199;width:241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AI2xgAAAN4AAAAPAAAAZHJzL2Rvd25yZXYueG1sRI9Pi8Iw&#10;FMTvC36H8ARva9oeRKpRRBF78LL+AY+P5tl2t3kJTbTd/fSbhQWPw8z8hlmuB9OKJ3W+sawgnSYg&#10;iEurG64UXM779zkIH5A1tpZJwTd5WK9Gb0vMte35g56nUIkIYZ+jgjoEl0vpy5oM+ql1xNG7285g&#10;iLKrpO6wj3DTyixJZtJgw3GhRkfbmsqv08MouO3YFftelvefrTt+FvP28LhclZqMh80CRKAhvML/&#10;7UIryNIsSeHvTrwCcvULAAD//wMAUEsBAi0AFAAGAAgAAAAhANvh9svuAAAAhQEAABMAAAAAAAAA&#10;AAAAAAAAAAAAAFtDb250ZW50X1R5cGVzXS54bWxQSwECLQAUAAYACAAAACEAWvQsW78AAAAVAQAA&#10;CwAAAAAAAAAAAAAAAAAfAQAAX3JlbHMvLnJlbHNQSwECLQAUAAYACAAAACEAfegCNsYAAADeAAAA&#10;DwAAAAAAAAAAAAAAAAAHAgAAZHJzL2Rvd25yZXYueG1sUEsFBgAAAAADAAMAtwAAAPoCAAAAAA==&#10;" filled="f" stroked="f">
                  <v:textbox inset="0,0,0,0">
                    <w:txbxContent>
                      <w:p w14:paraId="2DDECC23" w14:textId="77777777" w:rsidR="00B32EF2" w:rsidRDefault="00000000">
                        <w:r>
                          <w:rPr>
                            <w:rFonts w:ascii="Arial" w:eastAsia="Arial" w:hAnsi="Arial" w:cs="Arial"/>
                            <w:sz w:val="18"/>
                          </w:rPr>
                          <w:t>parità prevale il voto del presidente.</w:t>
                        </w:r>
                      </w:p>
                    </w:txbxContent>
                  </v:textbox>
                </v:rect>
                <v:rect id="Rectangle 201692" o:spid="_x0000_s5653" style="position:absolute;left:-13816;top:42892;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lZdxwAAAN8AAAAPAAAAZHJzL2Rvd25yZXYueG1sRI9Pi8Iw&#10;FMTvgt8hPGFvmtqDaDWKKLI97GX9Ax4fzbOtNi+hiba7n36zsLDHYWZ+w6w2vWnEi1pfW1YwnSQg&#10;iAuray4VnE+H8RyED8gaG8uk4Is8bNbDwQozbTv+pNcxlCJC2GeooArBZVL6oiKDfmIdcfRutjUY&#10;omxLqVvsItw0Mk2SmTRYc1yo0NGuouJxfBoF1z27/NDJ4va9cx/3fN68P88Xpd5G/XYJIlAf/sN/&#10;7VwrSJPpbJHC75/4BeT6BwAA//8DAFBLAQItABQABgAIAAAAIQDb4fbL7gAAAIUBAAATAAAAAAAA&#10;AAAAAAAAAAAAAABbQ29udGVudF9UeXBlc10ueG1sUEsBAi0AFAAGAAgAAAAhAFr0LFu/AAAAFQEA&#10;AAsAAAAAAAAAAAAAAAAAHwEAAF9yZWxzLy5yZWxzUEsBAi0AFAAGAAgAAAAhAHZqVl3HAAAA3wAA&#10;AA8AAAAAAAAAAAAAAAAABwIAAGRycy9kb3ducmV2LnhtbFBLBQYAAAAAAwADALcAAAD7AgAAAAA=&#10;" filled="f" stroked="f">
                  <v:textbox inset="0,0,0,0">
                    <w:txbxContent>
                      <w:p w14:paraId="52119CD0" w14:textId="77777777" w:rsidR="00B32EF2" w:rsidRDefault="00000000">
                        <w:r>
                          <w:rPr>
                            <w:rFonts w:ascii="Arial" w:eastAsia="Arial" w:hAnsi="Arial" w:cs="Arial"/>
                            <w:sz w:val="18"/>
                          </w:rPr>
                          <w:t xml:space="preserve">. Le deliberazioni sono adottate a scrutinio segreto, se riguardano persone o </w:t>
                        </w:r>
                      </w:p>
                    </w:txbxContent>
                  </v:textbox>
                </v:rect>
                <v:rect id="Rectangle 201691" o:spid="_x0000_s5654" style="position:absolute;left:26109;top:4289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MgqxwAAAN8AAAAPAAAAZHJzL2Rvd25yZXYueG1sRI9Ba8JA&#10;FITvBf/D8oTe6iYexEZXEUWagxetgsdH9plEs2+X7Gpif31XKPQ4zMw3zHzZm0Y8qPW1ZQXpKAFB&#10;XFhdc6ng+L39mILwAVljY5kUPMnDcjF4m2Ombcd7ehxCKSKEfYYKqhBcJqUvKjLoR9YRR+9iW4Mh&#10;yraUusUuwk0jx0kykQZrjgsVOlpXVNwOd6PgvGGXbztZXH7WbnfNp83X/XhS6n3Yr2YgAvXhP/zX&#10;zrWCcZJOPlN4/YlfQC5+AQAA//8DAFBLAQItABQABgAIAAAAIQDb4fbL7gAAAIUBAAATAAAAAAAA&#10;AAAAAAAAAAAAAABbQ29udGVudF9UeXBlc10ueG1sUEsBAi0AFAAGAAgAAAAhAFr0LFu/AAAAFQEA&#10;AAsAAAAAAAAAAAAAAAAAHwEAAF9yZWxzLy5yZWxzUEsBAi0AFAAGAAgAAAAhAIa4yCrHAAAA3wAA&#10;AA8AAAAAAAAAAAAAAAAABwIAAGRycy9kb3ducmV2LnhtbFBLBQYAAAAAAwADALcAAAD7AgAAAAA=&#10;" filled="f" stroked="f">
                  <v:textbox inset="0,0,0,0">
                    <w:txbxContent>
                      <w:p w14:paraId="57FCC0E6" w14:textId="77777777" w:rsidR="00B32EF2" w:rsidRDefault="00000000">
                        <w:r>
                          <w:rPr>
                            <w:rFonts w:ascii="Arial" w:eastAsia="Arial" w:hAnsi="Arial" w:cs="Arial"/>
                            <w:sz w:val="18"/>
                          </w:rPr>
                          <w:t>3</w:t>
                        </w:r>
                      </w:p>
                    </w:txbxContent>
                  </v:textbox>
                </v:rect>
                <v:rect id="Rectangle 21203" o:spid="_x0000_s5655" style="position:absolute;left:7326;top:41584;width:325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jnaxgAAAN4AAAAPAAAAZHJzL2Rvd25yZXYueG1sRI9Ba8JA&#10;FITvBf/D8oTe6sYURFJXEUXMoRdtBI+P7DNJzb5dsqtJ++u7gtDjMDPfMIvVYFpxp843lhVMJwkI&#10;4tLqhisFxdfubQ7CB2SNrWVS8EMeVsvRywIzbXs+0P0YKhEh7DNUUIfgMil9WZNBP7GOOHoX2xkM&#10;UXaV1B32EW5amSbJTBpsOC7U6GhTU3k93oyC85ZdvutlefnduM/vfN7ub8VJqdfxsP4AEWgI/+Fn&#10;O9cK0mmavMPjTrwCcvkHAAD//wMAUEsBAi0AFAAGAAgAAAAhANvh9svuAAAAhQEAABMAAAAAAAAA&#10;AAAAAAAAAAAAAFtDb250ZW50X1R5cGVzXS54bWxQSwECLQAUAAYACAAAACEAWvQsW78AAAAVAQAA&#10;CwAAAAAAAAAAAAAAAAAfAQAAX3JlbHMvLnJlbHNQSwECLQAUAAYACAAAACEA4nY52sYAAADeAAAA&#10;DwAAAAAAAAAAAAAAAAAHAgAAZHJzL2Rvd25yZXYueG1sUEsFBgAAAAADAAMAtwAAAPoCAAAAAA==&#10;" filled="f" stroked="f">
                  <v:textbox inset="0,0,0,0">
                    <w:txbxContent>
                      <w:p w14:paraId="70B31F4B" w14:textId="77777777" w:rsidR="00B32EF2" w:rsidRDefault="00000000">
                        <w:r>
                          <w:rPr>
                            <w:rFonts w:ascii="Arial" w:eastAsia="Arial" w:hAnsi="Arial" w:cs="Arial"/>
                            <w:sz w:val="18"/>
                          </w:rPr>
                          <w:t>su richiesta di almeno due componenti presenti.</w:t>
                        </w:r>
                      </w:p>
                    </w:txbxContent>
                  </v:textbox>
                </v:rect>
                <v:rect id="Rectangle 21204" o:spid="_x0000_s5656" style="position:absolute;left:15058;top:39118;width:811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6GuxgAAAN4AAAAPAAAAZHJzL2Rvd25yZXYueG1sRI9Ba8JA&#10;FITvBf/D8oTe6sZQRFJXEUXMoRdtBI+P7DNJzb5dsqtJ++u7gtDjMDPfMIvVYFpxp843lhVMJwkI&#10;4tLqhisFxdfubQ7CB2SNrWVS8EMeVsvRywIzbXs+0P0YKhEh7DNUUIfgMil9WZNBP7GOOHoX2xkM&#10;UXaV1B32EW5amSbJTBpsOC7U6GhTU3k93oyC85ZdvutlefnduM/vfN7ub8VJqdfxsP4AEWgI/+Fn&#10;O9cK0mmavMPjTrwCcvkHAAD//wMAUEsBAi0AFAAGAAgAAAAhANvh9svuAAAAhQEAABMAAAAAAAAA&#10;AAAAAAAAAAAAAFtDb250ZW50X1R5cGVzXS54bWxQSwECLQAUAAYACAAAACEAWvQsW78AAAAVAQAA&#10;CwAAAAAAAAAAAAAAAAAfAQAAX3JlbHMvLnJlbHNQSwECLQAUAAYACAAAACEAbZ+hrsYAAADeAAAA&#10;DwAAAAAAAAAAAAAAAAAHAgAAZHJzL2Rvd25yZXYueG1sUEsFBgAAAAADAAMAtwAAAPoCAAAAAA==&#10;" filled="f" stroked="f">
                  <v:textbox inset="0,0,0,0">
                    <w:txbxContent>
                      <w:p w14:paraId="634D7DE4" w14:textId="77777777" w:rsidR="00B32EF2" w:rsidRDefault="00000000">
                        <w:r>
                          <w:rPr>
                            <w:rFonts w:ascii="Arial" w:eastAsia="Arial" w:hAnsi="Arial" w:cs="Arial"/>
                            <w:b/>
                            <w:sz w:val="18"/>
                          </w:rPr>
                          <w:t>Articolo 34</w:t>
                        </w:r>
                      </w:p>
                    </w:txbxContent>
                  </v:textbox>
                </v:rect>
                <v:rect id="Rectangle 201689" o:spid="_x0000_s5657" style="position:absolute;left:11639;top:37884;width:194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1LxxwAAAN8AAAAPAAAAZHJzL2Rvd25yZXYueG1sRI9Pi8Iw&#10;FMTvC36H8Bb2tqZ6kFqNsiiyPXjxH3h8NM+2u81LaKKt++k3guBxmJnfMPNlbxpxo9bXlhWMhgkI&#10;4sLqmksFx8PmMwXhA7LGxjIpuJOH5WLwNsdM2453dNuHUkQI+wwVVCG4TEpfVGTQD60jjt7FtgZD&#10;lG0pdYtdhJtGjpNkIg3WHBcqdLSqqPjdX42C85pdvulkcflbue1Pnjbf1+NJqY/3/msGIlAfXuFn&#10;O9cKxslokk7h8Sd+Abn4BwAA//8DAFBLAQItABQABgAIAAAAIQDb4fbL7gAAAIUBAAATAAAAAAAA&#10;AAAAAAAAAAAAAABbQ29udGVudF9UeXBlc10ueG1sUEsBAi0AFAAGAAgAAAAhAFr0LFu/AAAAFQEA&#10;AAsAAAAAAAAAAAAAAAAAHwEAAF9yZWxzLy5yZWxzUEsBAi0AFAAGAAgAAAAhAP0XUvHHAAAA3wAA&#10;AA8AAAAAAAAAAAAAAAAABwIAAGRycy9kb3ducmV2LnhtbFBLBQYAAAAAAwADALcAAAD7AgAAAAA=&#10;" filled="f" stroked="f">
                  <v:textbox inset="0,0,0,0">
                    <w:txbxContent>
                      <w:p w14:paraId="67EFD3E6" w14:textId="77777777" w:rsidR="00B32EF2" w:rsidRDefault="00000000">
                        <w:r>
                          <w:rPr>
                            <w:rFonts w:ascii="Arial" w:eastAsia="Arial" w:hAnsi="Arial" w:cs="Arial"/>
                            <w:i/>
                            <w:sz w:val="18"/>
                          </w:rPr>
                          <w:t xml:space="preserve">articolo 27 D.lgs. n. </w:t>
                        </w:r>
                      </w:p>
                    </w:txbxContent>
                  </v:textbox>
                </v:rect>
                <v:rect id="Rectangle 201686" o:spid="_x0000_s5658" style="position:absolute;left:22217;top:37884;width:194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MaDxwAAAN8AAAAPAAAAZHJzL2Rvd25yZXYueG1sRI9Ba8JA&#10;FITvBf/D8oTe6kYPIURXEUXMoZeqhR4f2WcSzb5dsquJ/vpuoeBxmJlvmMVqMK24U+cbywqmkwQE&#10;cWl1w5WC03H3kYHwAVlja5kUPMjDajl6W2Cubc9fdD+ESkQI+xwV1CG4XEpf1mTQT6wjjt7ZdgZD&#10;lF0ldYd9hJtWzpIklQYbjgs1OtrUVF4PN6PgZ8uu2PWyPD837vNSZO3+dvpW6n08rOcgAg3hFf5v&#10;F1rBLJmmWQp/f+IXkMtfAAAA//8DAFBLAQItABQABgAIAAAAIQDb4fbL7gAAAIUBAAATAAAAAAAA&#10;AAAAAAAAAAAAAABbQ29udGVudF9UeXBlc10ueG1sUEsBAi0AFAAGAAgAAAAhAFr0LFu/AAAAFQEA&#10;AAsAAAAAAAAAAAAAAAAAHwEAAF9yZWxzLy5yZWxzUEsBAi0AFAAGAAgAAAAhAIyIxoPHAAAA3wAA&#10;AA8AAAAAAAAAAAAAAAAABwIAAGRycy9kb3ducmV2LnhtbFBLBQYAAAAAAwADALcAAAD7AgAAAAA=&#10;" filled="f" stroked="f">
                  <v:textbox inset="0,0,0,0">
                    <w:txbxContent>
                      <w:p w14:paraId="1E006BD5" w14:textId="77777777" w:rsidR="00B32EF2" w:rsidRDefault="00000000">
                        <w:r>
                          <w:rPr>
                            <w:rFonts w:ascii="Arial" w:eastAsia="Arial" w:hAnsi="Arial" w:cs="Arial"/>
                            <w:i/>
                            <w:sz w:val="18"/>
                          </w:rPr>
                          <w:t>(</w:t>
                        </w:r>
                      </w:p>
                    </w:txbxContent>
                  </v:textbox>
                </v:rect>
                <v:rect id="Rectangle 201687" o:spid="_x0000_s5659" style="position:absolute;left:-2605;top:37884;width:194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MYxwAAAN8AAAAPAAAAZHJzL2Rvd25yZXYueG1sRI9Pi8Iw&#10;FMTvC36H8Bb2tqZ60FKNsiiyPXjxH3h8NM+2u81LaKKt++k3guBxmJnfMPNlbxpxo9bXlhWMhgkI&#10;4sLqmksFx8PmMwXhA7LGxjIpuJOH5WLwNsdM2453dNuHUkQI+wwVVCG4TEpfVGTQD60jjt7FtgZD&#10;lG0pdYtdhJtGjpNkIg3WHBcqdLSqqPjdX42C85pdvulkcflbue1Pnjbf1+NJqY/3/msGIlAfXuFn&#10;O9cKxslokk7h8Sd+Abn4BwAA//8DAFBLAQItABQABgAIAAAAIQDb4fbL7gAAAIUBAAATAAAAAAAA&#10;AAAAAAAAAAAAAABbQ29udGVudF9UeXBlc10ueG1sUEsBAi0AFAAGAAgAAAAhAFr0LFu/AAAAFQEA&#10;AAsAAAAAAAAAAAAAAAAAHwEAAF9yZWxzLy5yZWxzUEsBAi0AFAAGAAgAAAAhAOPEYxjHAAAA3wAA&#10;AA8AAAAAAAAAAAAAAAAABwIAAGRycy9kb3ducmV2LnhtbFBLBQYAAAAAAwADALcAAAD7AgAAAAA=&#10;" filled="f" stroked="f">
                  <v:textbox inset="0,0,0,0">
                    <w:txbxContent>
                      <w:p w14:paraId="4E6332A0" w14:textId="77777777" w:rsidR="00B32EF2" w:rsidRDefault="00000000">
                        <w:r>
                          <w:rPr>
                            <w:rFonts w:ascii="Arial" w:eastAsia="Arial" w:hAnsi="Arial" w:cs="Arial"/>
                            <w:i/>
                            <w:sz w:val="18"/>
                          </w:rPr>
                          <w:t>545/92)</w:t>
                        </w:r>
                      </w:p>
                    </w:txbxContent>
                  </v:textbox>
                </v:rect>
                <v:rect id="Rectangle 21206" o:spid="_x0000_s5660" style="position:absolute;left:-6084;top:36651;width:417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ZpCxgAAAN4AAAAPAAAAZHJzL2Rvd25yZXYueG1sRI9Pi8Iw&#10;FMTvgt8hvAVvmtqDSNco4iL24MV/4PHRPNuuzUtoou3upzcLCx6HmfkNs1j1phFPan1tWcF0koAg&#10;LqyuuVRwPm3HcxA+IGtsLJOCH/KwWg4HC8y07fhAz2MoRYSwz1BBFYLLpPRFRQb9xDri6N1sazBE&#10;2ZZSt9hFuGlkmiQzabDmuFCho01Fxf34MAquX+zybSeL2+/G7b/zebN7nC9KjT769SeIQH14h//b&#10;uVaQTtNkBn934hWQyxcAAAD//wMAUEsBAi0AFAAGAAgAAAAhANvh9svuAAAAhQEAABMAAAAAAAAA&#10;AAAAAAAAAAAAAFtDb250ZW50X1R5cGVzXS54bWxQSwECLQAUAAYACAAAACEAWvQsW78AAAAVAQAA&#10;CwAAAAAAAAAAAAAAAAAfAQAAX3JlbHMvLnJlbHNQSwECLQAUAAYACAAAACEA8gGaQsYAAADeAAAA&#10;DwAAAAAAAAAAAAAAAAAHAgAAZHJzL2Rvd25yZXYueG1sUEsFBgAAAAADAAMAtwAAAPoCAAAAAA==&#10;" filled="f" stroked="f">
                  <v:textbox inset="0,0,0,0">
                    <w:txbxContent>
                      <w:p w14:paraId="0312D107" w14:textId="77777777" w:rsidR="00B32EF2" w:rsidRDefault="00000000">
                        <w:r>
                          <w:rPr>
                            <w:rFonts w:ascii="Arial" w:eastAsia="Arial" w:hAnsi="Arial" w:cs="Arial"/>
                            <w:b/>
                            <w:sz w:val="18"/>
                          </w:rPr>
                          <w:t xml:space="preserve">Trattamento dei componenti del Consiglio di presidenza </w:t>
                        </w:r>
                      </w:p>
                    </w:txbxContent>
                  </v:textbox>
                </v:rect>
                <v:rect id="Rectangle 201684" o:spid="_x0000_s5661" style="position:absolute;left:-12779;top:35418;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v1vxwAAAN8AAAAPAAAAZHJzL2Rvd25yZXYueG1sRI9Ba8JA&#10;FITvBf/D8gRvdaMUCdFVRJHm4KVWweMj+0yi2bdLdjXRX98tFHocZuYbZrHqTSMe1PrasoLJOAFB&#10;XFhdc6ng+L17T0H4gKyxsUwKnuRhtRy8LTDTtuMvehxCKSKEfYYKqhBcJqUvKjLox9YRR+9iW4Mh&#10;yraUusUuwk0jp0kykwZrjgsVOtpUVNwOd6PgvGWX7zpZXF4bt7/mafN5P56UGg379RxEoD78h//a&#10;uVYwTSaz9AN+/8QvIJc/AAAA//8DAFBLAQItABQABgAIAAAAIQDb4fbL7gAAAIUBAAATAAAAAAAA&#10;AAAAAAAAAAAAAABbQ29udGVudF9UeXBlc10ueG1sUEsBAi0AFAAGAAgAAAAhAFr0LFu/AAAAFQEA&#10;AAsAAAAAAAAAAAAAAAAAHwEAAF9yZWxzLy5yZWxzUEsBAi0AFAAGAAgAAAAhABMW/W/HAAAA3wAA&#10;AA8AAAAAAAAAAAAAAAAABwIAAGRycy9kb3ducmV2LnhtbFBLBQYAAAAAAwADALcAAAD7AgAAAAA=&#10;" filled="f" stroked="f">
                  <v:textbox inset="0,0,0,0">
                    <w:txbxContent>
                      <w:p w14:paraId="39400C3B" w14:textId="77777777" w:rsidR="00B32EF2" w:rsidRDefault="00000000">
                        <w:r>
                          <w:rPr>
                            <w:rFonts w:ascii="Arial" w:eastAsia="Arial" w:hAnsi="Arial" w:cs="Arial"/>
                            <w:sz w:val="18"/>
                          </w:rPr>
                          <w:t>. I componenti del Consiglio di presidenza sono esonerati dalle funzioni pro</w:t>
                        </w:r>
                      </w:p>
                    </w:txbxContent>
                  </v:textbox>
                </v:rect>
                <v:rect id="Rectangle 201682" o:spid="_x0000_s5662" style="position:absolute;left:26353;top:35418;width:52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8CAxwAAAN8AAAAPAAAAZHJzL2Rvd25yZXYueG1sRI9Ba8JA&#10;FITvBf/D8oTe6sYcJERXEUXMoZeqhR4f2WcSzb5dsquJ/vpuoeBxmJlvmMVqMK24U+cbywqmkwQE&#10;cWl1w5WC03H3kYHwAVlja5kUPMjDajl6W2Cubc9fdD+ESkQI+xwV1CG4XEpf1mTQT6wjjt7ZdgZD&#10;lF0ldYd9hJtWpkkykwYbjgs1OtrUVF4PN6PgZ8uu2PWyPD837vNSZO3+dvpW6n08rOcgAg3hFf5v&#10;F1pBmkxnWQp/f+IXkMtfAAAA//8DAFBLAQItABQABgAIAAAAIQDb4fbL7gAAAIUBAAATAAAAAAAA&#10;AAAAAAAAAAAAAABbQ29udGVudF9UeXBlc10ueG1sUEsBAi0AFAAGAAgAAAAhAFr0LFu/AAAAFQEA&#10;AAsAAAAAAAAAAAAAAAAAHwEAAF9yZWxzLy5yZWxzUEsBAi0AFAAGAAgAAAAhAPOzwIDHAAAA3wAA&#10;AA8AAAAAAAAAAAAAAAAABwIAAGRycy9kb3ducmV2LnhtbFBLBQYAAAAAAwADALcAAAD7AgAAAAA=&#10;" filled="f" stroked="f">
                  <v:textbox inset="0,0,0,0">
                    <w:txbxContent>
                      <w:p w14:paraId="573BF06E" w14:textId="77777777" w:rsidR="00B32EF2" w:rsidRDefault="00000000">
                        <w:r>
                          <w:rPr>
                            <w:rFonts w:ascii="Arial" w:eastAsia="Arial" w:hAnsi="Arial" w:cs="Arial"/>
                            <w:sz w:val="18"/>
                          </w:rPr>
                          <w:t>1</w:t>
                        </w:r>
                      </w:p>
                    </w:txbxContent>
                  </v:textbox>
                </v:rect>
                <v:rect id="Rectangle 21208" o:spid="_x0000_s5663" style="position:absolute;left:191;top:3541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qurxAAAAN4AAAAPAAAAZHJzL2Rvd25yZXYueG1sRE+7asMw&#10;FN0L+QdxA9kaOR5KcKOEkmDioUvcFDperBvbrXUlLPmRfH01FDoeznt3mE0nRup9a1nBZp2AIK6s&#10;brlWcP3In7cgfEDW2FkmBXfycNgvnnaYaTvxhcYy1CKGsM9QQROCy6T0VUMG/do64sjdbG8wRNjX&#10;Uvc4xXDTyTRJXqTBlmNDg46ODVU/5WAUfJ3YFfkkq9vj6N6/i213Hq6fSq2W89sriEBz+Bf/uQut&#10;IN2kSdwb78QrIPe/AAAA//8DAFBLAQItABQABgAIAAAAIQDb4fbL7gAAAIUBAAATAAAAAAAAAAAA&#10;AAAAAAAAAABbQ29udGVudF9UeXBlc10ueG1sUEsBAi0AFAAGAAgAAAAhAFr0LFu/AAAAFQEAAAsA&#10;AAAAAAAAAAAAAAAAHwEAAF9yZWxzLy5yZWxzUEsBAi0AFAAGAAgAAAAhAOzSq6vEAAAA3gAAAA8A&#10;AAAAAAAAAAAAAAAABwIAAGRycy9kb3ducmV2LnhtbFBLBQYAAAAAAwADALcAAAD4AgAAAAA=&#10;" filled="f" stroked="f">
                  <v:textbox inset="0,0,0,0">
                    <w:txbxContent>
                      <w:p w14:paraId="1E603342" w14:textId="77777777" w:rsidR="00B32EF2" w:rsidRDefault="00000000">
                        <w:r>
                          <w:rPr>
                            <w:rFonts w:ascii="Arial" w:eastAsia="Arial" w:hAnsi="Arial" w:cs="Arial"/>
                            <w:sz w:val="18"/>
                          </w:rPr>
                          <w:t>-</w:t>
                        </w:r>
                      </w:p>
                    </w:txbxContent>
                  </v:textbox>
                </v:rect>
                <v:rect id="Rectangle 21209" o:spid="_x0000_s5664" style="position:absolute;left:-13172;top:3418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g4wxgAAAN4AAAAPAAAAZHJzL2Rvd25yZXYueG1sRI9Ba8JA&#10;FITvQv/D8gredGMOYlNXEUXMoZfaCB4f2WeSmn27ZFeT+uvdQqHHYWa+YZbrwbTiTp1vLCuYTRMQ&#10;xKXVDVcKiq/9ZAHCB2SNrWVS8EMe1quX0RIzbXv+pPsxVCJC2GeooA7BZVL6siaDfmodcfQutjMY&#10;ouwqqTvsI9y0Mk2SuTTYcFyo0dG2pvJ6vBkF5x27fN/L8vLYuo/vfNEebsVJqfHrsHkHEWgI/+G/&#10;dq4VpLM0eYPfO/EKyNUTAAD//wMAUEsBAi0AFAAGAAgAAAAhANvh9svuAAAAhQEAABMAAAAAAAAA&#10;AAAAAAAAAAAAAFtDb250ZW50X1R5cGVzXS54bWxQSwECLQAUAAYACAAAACEAWvQsW78AAAAVAQAA&#10;CwAAAAAAAAAAAAAAAAAfAQAAX3JlbHMvLnJlbHNQSwECLQAUAAYACAAAACEAg54OMMYAAADeAAAA&#10;DwAAAAAAAAAAAAAAAAAHAgAAZHJzL2Rvd25yZXYueG1sUEsFBgAAAAADAAMAtwAAAPoCAAAAAA==&#10;" filled="f" stroked="f">
                  <v:textbox inset="0,0,0,0">
                    <w:txbxContent>
                      <w:p w14:paraId="3B6D1CF9" w14:textId="77777777" w:rsidR="00B32EF2" w:rsidRDefault="00000000">
                        <w:r>
                          <w:rPr>
                            <w:rFonts w:ascii="Arial" w:eastAsia="Arial" w:hAnsi="Arial" w:cs="Arial"/>
                            <w:sz w:val="18"/>
                          </w:rPr>
                          <w:t xml:space="preserve">prie conservando la titolarità dell’ufficio ed il relativo trattamento economico </w:t>
                        </w:r>
                      </w:p>
                    </w:txbxContent>
                  </v:textbox>
                </v:rect>
                <v:rect id="Rectangle 21210" o:spid="_x0000_s5665" style="position:absolute;left:-13172;top:3295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TFwxAAAAN4AAAAPAAAAZHJzL2Rvd25yZXYueG1sRI/NisIw&#10;FIX3A75DuIK7MW0XItUooohduBlHweWlubbV5iY00dZ5+sliYJaH88e3XA+mFS/qfGNZQTpNQBCX&#10;VjdcKTh/7z/nIHxA1thaJgVv8rBejT6WmGvb8xe9TqEScYR9jgrqEFwupS9rMuin1hFH72Y7gyHK&#10;rpK6wz6Om1ZmSTKTBhuODzU62tZUPk5Po+C6Y1fse1nefrbueC/m7eF5vig1GQ+bBYhAQ/gP/7UL&#10;rSBLszQCRJyIAnL1CwAA//8DAFBLAQItABQABgAIAAAAIQDb4fbL7gAAAIUBAAATAAAAAAAAAAAA&#10;AAAAAAAAAABbQ29udGVudF9UeXBlc10ueG1sUEsBAi0AFAAGAAgAAAAhAFr0LFu/AAAAFQEAAAsA&#10;AAAAAAAAAAAAAAAAHwEAAF9yZWxzLy5yZWxzUEsBAi0AFAAGAAgAAAAhAJd9MXDEAAAA3gAAAA8A&#10;AAAAAAAAAAAAAAAABwIAAGRycy9kb3ducmV2LnhtbFBLBQYAAAAAAwADALcAAAD4AgAAAAA=&#10;" filled="f" stroked="f">
                  <v:textbox inset="0,0,0,0">
                    <w:txbxContent>
                      <w:p w14:paraId="091830F5" w14:textId="77777777" w:rsidR="00B32EF2" w:rsidRDefault="00000000">
                        <w:r>
                          <w:rPr>
                            <w:rFonts w:ascii="Arial" w:eastAsia="Arial" w:hAnsi="Arial" w:cs="Arial"/>
                            <w:sz w:val="18"/>
                          </w:rPr>
                          <w:t xml:space="preserve">ragguagliato, quanto alla parte variabile, a quella più elevata conferita nello </w:t>
                        </w:r>
                      </w:p>
                    </w:txbxContent>
                  </v:textbox>
                </v:rect>
                <v:rect id="Rectangle 21211" o:spid="_x0000_s5666" style="position:absolute;left:-13172;top:3171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ZTrxgAAAN4AAAAPAAAAZHJzL2Rvd25yZXYueG1sRI9Pi8Iw&#10;FMTvC36H8ARva9oeRKpRRBF78LL+AY+P5tl2t3kJTbTd/fSbhQWPw8z8hlmuB9OKJ3W+sawgnSYg&#10;iEurG64UXM779zkIH5A1tpZJwTd5WK9Gb0vMte35g56nUIkIYZ+jgjoEl0vpy5oM+ql1xNG7285g&#10;iLKrpO6wj3DTyixJZtJgw3GhRkfbmsqv08MouO3YFftelvefrTt+FvP28LhclZqMh80CRKAhvML/&#10;7UIryNIsTeHvTrwCcvULAAD//wMAUEsBAi0AFAAGAAgAAAAhANvh9svuAAAAhQEAABMAAAAAAAAA&#10;AAAAAAAAAAAAAFtDb250ZW50X1R5cGVzXS54bWxQSwECLQAUAAYACAAAACEAWvQsW78AAAAVAQAA&#10;CwAAAAAAAAAAAAAAAAAfAQAAX3JlbHMvLnJlbHNQSwECLQAUAAYACAAAACEA+DGU68YAAADeAAAA&#10;DwAAAAAAAAAAAAAAAAAHAgAAZHJzL2Rvd25yZXYueG1sUEsFBgAAAAADAAMAtwAAAPoCAAAAAA==&#10;" filled="f" stroked="f">
                  <v:textbox inset="0,0,0,0">
                    <w:txbxContent>
                      <w:p w14:paraId="218CEEBD" w14:textId="77777777" w:rsidR="00B32EF2" w:rsidRDefault="00000000">
                        <w:r>
                          <w:rPr>
                            <w:rFonts w:ascii="Arial" w:eastAsia="Arial" w:hAnsi="Arial" w:cs="Arial"/>
                            <w:sz w:val="18"/>
                          </w:rPr>
                          <w:t xml:space="preserve">stesso periodo ai presidenti di corte di giustizia tributaria di primo e secondo </w:t>
                        </w:r>
                      </w:p>
                    </w:txbxContent>
                  </v:textbox>
                </v:rect>
                <v:rect id="Rectangle 21212" o:spid="_x0000_s5667" style="position:absolute;left:35582;top:30484;width:43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wqcwwAAAN4AAAAPAAAAZHJzL2Rvd25yZXYueG1sRE/LisIw&#10;FN0P+A/hCu7GVBci1SiiiF24GR/g8tJc22pzE5poq18/GRiQszqcF2e+7EwtntT4yrKC0TABQZxb&#10;XXGh4HTcfk9B+ICssbZMCl7kYbnofc0x1bblH3oeQiFiCfsUFZQhuFRKn5dk0A+tI47a1TYGQ6RN&#10;IXWDbSw3tRwnyUQarDgulOhoXVJ+PzyMgsuGXbZtZX59r93+lk3r3eN0VmrQ71YzEIG68DH/pzOt&#10;YDyKgL878QrIxS8AAAD//wMAUEsBAi0AFAAGAAgAAAAhANvh9svuAAAAhQEAABMAAAAAAAAAAAAA&#10;AAAAAAAAAFtDb250ZW50X1R5cGVzXS54bWxQSwECLQAUAAYACAAAACEAWvQsW78AAAAVAQAACwAA&#10;AAAAAAAAAAAAAAAfAQAAX3JlbHMvLnJlbHNQSwECLQAUAAYACAAAACEACOMKnMMAAADeAAAADwAA&#10;AAAAAAAAAAAAAAAHAgAAZHJzL2Rvd25yZXYueG1sUEsFBgAAAAADAAMAtwAAAPcCAAAAAA==&#10;" filled="f" stroked="f">
                  <v:textbox inset="0,0,0,0">
                    <w:txbxContent>
                      <w:p w14:paraId="051D6C12" w14:textId="77777777" w:rsidR="00B32EF2" w:rsidRDefault="00000000">
                        <w:r>
                          <w:rPr>
                            <w:rFonts w:ascii="Arial" w:eastAsia="Arial" w:hAnsi="Arial" w:cs="Arial"/>
                            <w:sz w:val="18"/>
                          </w:rPr>
                          <w:t>grado.</w:t>
                        </w:r>
                      </w:p>
                    </w:txbxContent>
                  </v:textbox>
                </v:rect>
                <v:rect id="Rectangle 201679" o:spid="_x0000_s5668" style="position:absolute;left:-13818;top:2925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iLWxwAAAN8AAAAPAAAAZHJzL2Rvd25yZXYueG1sRI9Ba8JA&#10;FITvgv9heUJvdaMHa6OriCLm4EVrocdH9plEs2+X7GpSf31XKHgcZuYbZr7sTC3u1PjKsoLRMAFB&#10;nFtdcaHg9LV9n4LwAVljbZkU/JKH5aLfm2OqbcsHuh9DISKEfYoKyhBcKqXPSzLoh9YRR+9sG4Mh&#10;yqaQusE2wk0tx0kykQYrjgslOlqXlF+PN6PgZ8Mu27YyPz/Wbn/JpvXudvpW6m3QrWYgAnXhFf5v&#10;Z1rBOBlNPj7h+Sd+Abn4AwAA//8DAFBLAQItABQABgAIAAAAIQDb4fbL7gAAAIUBAAATAAAAAAAA&#10;AAAAAAAAAAAAAABbQ29udGVudF9UeXBlc10ueG1sUEsBAi0AFAAGAAgAAAAhAFr0LFu/AAAAFQEA&#10;AAsAAAAAAAAAAAAAAAAAHwEAAF9yZWxzLy5yZWxzUEsBAi0AFAAGAAgAAAAhAMjCItbHAAAA3wAA&#10;AA8AAAAAAAAAAAAAAAAABwIAAGRycy9kb3ducmV2LnhtbFBLBQYAAAAAAwADALcAAAD7AgAAAAA=&#10;" filled="f" stroked="f">
                  <v:textbox inset="0,0,0,0">
                    <w:txbxContent>
                      <w:p w14:paraId="09434944" w14:textId="77777777" w:rsidR="00B32EF2" w:rsidRDefault="00000000">
                        <w:r>
                          <w:rPr>
                            <w:rFonts w:ascii="Arial" w:eastAsia="Arial" w:hAnsi="Arial" w:cs="Arial"/>
                            <w:sz w:val="18"/>
                          </w:rPr>
                          <w:t xml:space="preserve">. Ai componenti del Consiglio di presidenza spetta, se con residenza fuori </w:t>
                        </w:r>
                      </w:p>
                    </w:txbxContent>
                  </v:textbox>
                </v:rect>
                <v:rect id="Rectangle 201677" o:spid="_x0000_s5669" style="position:absolute;left:26109;top:2925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RM/xgAAAN8AAAAPAAAAZHJzL2Rvd25yZXYueG1sRI9Bi8Iw&#10;FITvC/6H8ARva6oHlWoUUcQevKy6sMdH82yrzUtooq3++s3CgsdhZr5hFqvO1OJBja8sKxgNExDE&#10;udUVFwrOp93nDIQPyBpry6TgSR5Wy97HAlNtW/6ixzEUIkLYp6igDMGlUvq8JIN+aB1x9C62MRii&#10;bAqpG2wj3NRynCQTabDiuFCio01J+e14Nwp+tuyyXSvzy2vjDtdsVu/v52+lBv1uPQcRqAvv8H87&#10;0wrGyWgyncLfn/gF5PIXAAD//wMAUEsBAi0AFAAGAAgAAAAhANvh9svuAAAAhQEAABMAAAAAAAAA&#10;AAAAAAAAAAAAAFtDb250ZW50X1R5cGVzXS54bWxQSwECLQAUAAYACAAAACEAWvQsW78AAAAVAQAA&#10;CwAAAAAAAAAAAAAAAAAfAQAAX3JlbHMvLnJlbHNQSwECLQAUAAYACAAAACEA1hETP8YAAADfAAAA&#10;DwAAAAAAAAAAAAAAAAAHAgAAZHJzL2Rvd25yZXYueG1sUEsFBgAAAAADAAMAtwAAAPoCAAAAAA==&#10;" filled="f" stroked="f">
                  <v:textbox inset="0,0,0,0">
                    <w:txbxContent>
                      <w:p w14:paraId="44687F31" w14:textId="77777777" w:rsidR="00B32EF2" w:rsidRDefault="00000000">
                        <w:r>
                          <w:rPr>
                            <w:rFonts w:ascii="Arial" w:eastAsia="Arial" w:hAnsi="Arial" w:cs="Arial"/>
                            <w:sz w:val="18"/>
                          </w:rPr>
                          <w:t>2</w:t>
                        </w:r>
                      </w:p>
                    </w:txbxContent>
                  </v:textbox>
                </v:rect>
                <v:rect id="Rectangle 21214" o:spid="_x0000_s5670" style="position:absolute;left:-13172;top:2801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dzxwAAAN4AAAAPAAAAZHJzL2Rvd25yZXYueG1sRI9Pa8JA&#10;FMTvhX6H5RW81U2CFEldpShiDr3UP+DxkX0mabNvl+xqUj+9Kwgeh5n5DTNbDKYVF+p8Y1lBOk5A&#10;EJdWN1wp2O/W71MQPiBrbC2Tgn/ysJi/vsww17bnH7psQyUihH2OCuoQXC6lL2sy6MfWEUfvZDuD&#10;IcqukrrDPsJNK7Mk+ZAGG44LNTpa1lT+bc9GwXHFrlj3sjxdl+77t5i2m/P+oNTobfj6BBFoCM/w&#10;o11oBVmapRO434lXQM5vAAAA//8DAFBLAQItABQABgAIAAAAIQDb4fbL7gAAAIUBAAATAAAAAAAA&#10;AAAAAAAAAAAAAABbQ29udGVudF9UeXBlc10ueG1sUEsBAi0AFAAGAAgAAAAhAFr0LFu/AAAAFQEA&#10;AAsAAAAAAAAAAAAAAAAAHwEAAF9yZWxzLy5yZWxzUEsBAi0AFAAGAAgAAAAhAOhGN3PHAAAA3gAA&#10;AA8AAAAAAAAAAAAAAAAABwIAAGRycy9kb3ducmV2LnhtbFBLBQYAAAAAAwADALcAAAD7AgAAAAA=&#10;" filled="f" stroked="f">
                  <v:textbox inset="0,0,0,0">
                    <w:txbxContent>
                      <w:p w14:paraId="0B1785B5" w14:textId="77777777" w:rsidR="00B32EF2" w:rsidRDefault="00000000">
                        <w:r>
                          <w:rPr>
                            <w:rFonts w:ascii="Arial" w:eastAsia="Arial" w:hAnsi="Arial" w:cs="Arial"/>
                            <w:sz w:val="18"/>
                          </w:rPr>
                          <w:t xml:space="preserve">Roma, il trattamento di missione nella misura prevista per la qualifica rivestita </w:t>
                        </w:r>
                      </w:p>
                    </w:txbxContent>
                  </v:textbox>
                </v:rect>
                <v:rect id="Rectangle 21215" o:spid="_x0000_s5671" style="position:absolute;left:-12750;top:26785;width:5266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pLoxwAAAN4AAAAPAAAAZHJzL2Rvd25yZXYueG1sRI9Pa8JA&#10;FMTvhX6H5RW81U0CFkldpShiDr3UP+DxkX0mabNvl+xqUj+9Kwgeh5n5DTNbDKYVF+p8Y1lBOk5A&#10;EJdWN1wp2O/W71MQPiBrbC2Tgn/ysJi/vsww17bnH7psQyUihH2OCuoQXC6lL2sy6MfWEUfvZDuD&#10;IcqukrrDPsJNK7Mk+ZAGG44LNTpa1lT+bc9GwXHFrlj3sjxdl+77t5i2m/P+oNTobfj6BBFoCM/w&#10;o11oBVmapRO434lXQM5vAAAA//8DAFBLAQItABQABgAIAAAAIQDb4fbL7gAAAIUBAAATAAAAAAAA&#10;AAAAAAAAAAAAAABbQ29udGVudF9UeXBlc10ueG1sUEsBAi0AFAAGAAgAAAAhAFr0LFu/AAAAFQEA&#10;AAsAAAAAAAAAAAAAAAAAHwEAAF9yZWxzLy5yZWxzUEsBAi0AFAAGAAgAAAAhAIcKkujHAAAA3gAA&#10;AA8AAAAAAAAAAAAAAAAABwIAAGRycy9kb3ducmV2LnhtbFBLBQYAAAAAAwADALcAAAD7AgAAAAA=&#10;" filled="f" stroked="f">
                  <v:textbox inset="0,0,0,0">
                    <w:txbxContent>
                      <w:p w14:paraId="2D5FD5F0" w14:textId="77777777" w:rsidR="00B32EF2" w:rsidRDefault="00000000">
                        <w:r>
                          <w:rPr>
                            <w:rFonts w:ascii="Arial" w:eastAsia="Arial" w:hAnsi="Arial" w:cs="Arial"/>
                            <w:sz w:val="18"/>
                          </w:rPr>
                          <w:t>e comunque non inferiore a quella prevista per il dirigente generale dello Stato.</w:t>
                        </w:r>
                      </w:p>
                    </w:txbxContent>
                  </v:textbox>
                </v:rect>
                <v:rect id="Rectangle 21216" o:spid="_x0000_s5672" style="position:absolute;left:15070;top:24318;width:81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AyfxgAAAN4AAAAPAAAAZHJzL2Rvd25yZXYueG1sRI9Ba8JA&#10;FITvBf/D8gRvdZMcRFJXKYqYg5eqhR4f2WeSNvt2ya4m+uu7guBxmJlvmMVqMK24UucbywrSaQKC&#10;uLS64UrB6bh9n4PwAVlja5kU3MjDajl6W2Cubc9fdD2ESkQI+xwV1CG4XEpf1mTQT60jjt7ZdgZD&#10;lF0ldYd9hJtWZkkykwYbjgs1OlrXVP4dLkbBz4Zdse1leb6v3f63mLe7y+lbqcl4+PwAEWgIr/Cz&#10;XWgFWZqlM3jciVdALv8BAAD//wMAUEsBAi0AFAAGAAgAAAAhANvh9svuAAAAhQEAABMAAAAAAAAA&#10;AAAAAAAAAAAAAFtDb250ZW50X1R5cGVzXS54bWxQSwECLQAUAAYACAAAACEAWvQsW78AAAAVAQAA&#10;CwAAAAAAAAAAAAAAAAAfAQAAX3JlbHMvLnJlbHNQSwECLQAUAAYACAAAACEAd9gMn8YAAADeAAAA&#10;DwAAAAAAAAAAAAAAAAAHAgAAZHJzL2Rvd25yZXYueG1sUEsFBgAAAAADAAMAtwAAAPoCAAAAAA==&#10;" filled="f" stroked="f">
                  <v:textbox inset="0,0,0,0">
                    <w:txbxContent>
                      <w:p w14:paraId="0415E1D3" w14:textId="77777777" w:rsidR="00B32EF2" w:rsidRDefault="00000000">
                        <w:r>
                          <w:rPr>
                            <w:rFonts w:ascii="Arial" w:eastAsia="Arial" w:hAnsi="Arial" w:cs="Arial"/>
                            <w:b/>
                            <w:sz w:val="18"/>
                          </w:rPr>
                          <w:t>Articolo 35</w:t>
                        </w:r>
                      </w:p>
                    </w:txbxContent>
                  </v:textbox>
                </v:rect>
                <v:rect id="Rectangle 201675" o:spid="_x0000_s5673" style="position:absolute;left:11634;top:23085;width:194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yjTxwAAAN8AAAAPAAAAZHJzL2Rvd25yZXYueG1sRI9Ba8JA&#10;FITvgv9heUJvulGolegqoog5eKla6PGRfSbR7Nslu5q0v94tFDwOM/MNs1h1phYPanxlWcF4lIAg&#10;zq2uuFBwPu2GMxA+IGusLZOCH/KwWvZ7C0y1bfmTHsdQiAhhn6KCMgSXSunzkgz6kXXE0bvYxmCI&#10;simkbrCNcFPLSZJMpcGK40KJjjYl5bfj3Sj43rLLdq3ML78bd7hms3p/P38p9Tbo1nMQgbrwCv+3&#10;M61gkoynH+/w9yd+Abl8AgAA//8DAFBLAQItABQABgAIAAAAIQDb4fbL7gAAAIUBAAATAAAAAAAA&#10;AAAAAAAAAAAAAABbQ29udGVudF9UeXBlc10ueG1sUEsBAi0AFAAGAAgAAAAhAFr0LFu/AAAAFQEA&#10;AAsAAAAAAAAAAAAAAAAAHwEAAF9yZWxzLy5yZWxzUEsBAi0AFAAGAAgAAAAhAEmPKNPHAAAA3wAA&#10;AA8AAAAAAAAAAAAAAAAABwIAAGRycy9kb3ducmV2LnhtbFBLBQYAAAAAAwADALcAAAD7AgAAAAA=&#10;" filled="f" stroked="f">
                  <v:textbox inset="0,0,0,0">
                    <w:txbxContent>
                      <w:p w14:paraId="4B1DA597" w14:textId="77777777" w:rsidR="00B32EF2" w:rsidRDefault="00000000">
                        <w:r>
                          <w:rPr>
                            <w:rFonts w:ascii="Arial" w:eastAsia="Arial" w:hAnsi="Arial" w:cs="Arial"/>
                            <w:i/>
                            <w:sz w:val="18"/>
                          </w:rPr>
                          <w:t xml:space="preserve">articolo 28 D.lgs. n. </w:t>
                        </w:r>
                      </w:p>
                    </w:txbxContent>
                  </v:textbox>
                </v:rect>
                <v:rect id="Rectangle 201674" o:spid="_x0000_s5674" style="position:absolute;left:-2617;top:23085;width:194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41IxwAAAN8AAAAPAAAAZHJzL2Rvd25yZXYueG1sRI9Ba8JA&#10;FITvgv9heUJvulGKlegqoog5eKla6PGRfSbR7Nslu5q0v94tFDwOM/MNs1h1phYPanxlWcF4lIAg&#10;zq2uuFBwPu2GMxA+IGusLZOCH/KwWvZ7C0y1bfmTHsdQiAhhn6KCMgSXSunzkgz6kXXE0bvYxmCI&#10;simkbrCNcFPLSZJMpcGK40KJjjYl5bfj3Sj43rLLdq3ML78bd7hms3p/P38p9Tbo1nMQgbrwCv+3&#10;M61gkoynH+/w9yd+Abl8AgAA//8DAFBLAQItABQABgAIAAAAIQDb4fbL7gAAAIUBAAATAAAAAAAA&#10;AAAAAAAAAAAAAABbQ29udGVudF9UeXBlc10ueG1sUEsBAi0AFAAGAAgAAAAhAFr0LFu/AAAAFQEA&#10;AAsAAAAAAAAAAAAAAAAAHwEAAF9yZWxzLy5yZWxzUEsBAi0AFAAGAAgAAAAhACbDjUjHAAAA3wAA&#10;AA8AAAAAAAAAAAAAAAAABwIAAGRycy9kb3ducmV2LnhtbFBLBQYAAAAAAwADALcAAAD7AgAAAAA=&#10;" filled="f" stroked="f">
                  <v:textbox inset="0,0,0,0">
                    <w:txbxContent>
                      <w:p w14:paraId="3224AA03" w14:textId="77777777" w:rsidR="00B32EF2" w:rsidRDefault="00000000">
                        <w:r>
                          <w:rPr>
                            <w:rFonts w:ascii="Arial" w:eastAsia="Arial" w:hAnsi="Arial" w:cs="Arial"/>
                            <w:i/>
                            <w:sz w:val="18"/>
                          </w:rPr>
                          <w:t>545/92)</w:t>
                        </w:r>
                      </w:p>
                    </w:txbxContent>
                  </v:textbox>
                </v:rect>
                <v:rect id="Rectangle 201672" o:spid="_x0000_s5675" style="position:absolute;left:22220;top:23085;width:194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rCnyAAAAN8AAAAPAAAAZHJzL2Rvd25yZXYueG1sRI9La8Mw&#10;EITvhfwHsYXeGjk+pMGJHEpCqA+9NA/IcbHWj9ZaCUuJ3fz6qFDIcZiZb5jVejSduFLvW8sKZtME&#10;BHFpdcu1guNh97oA4QOyxs4yKfglD+t88rTCTNuBv+i6D7WIEPYZKmhCcJmUvmzIoJ9aRxy9yvYG&#10;Q5R9LXWPQ4SbTqZJMpcGW44LDTraNFT+7C9GwXnLrtgNsqxuG/f5XSy6j8vxpNTL8/i+BBFoDI/w&#10;f7vQCtJkNn9L4e9P/AIyvwMAAP//AwBQSwECLQAUAAYACAAAACEA2+H2y+4AAACFAQAAEwAAAAAA&#10;AAAAAAAAAAAAAAAAW0NvbnRlbnRfVHlwZXNdLnhtbFBLAQItABQABgAIAAAAIQBa9CxbvwAAABUB&#10;AAALAAAAAAAAAAAAAAAAAB8BAABfcmVscy8ucmVsc1BLAQItABQABgAIAAAAIQDGZrCnyAAAAN8A&#10;AAAPAAAAAAAAAAAAAAAAAAcCAABkcnMvZG93bnJldi54bWxQSwUGAAAAAAMAAwC3AAAA/AIAAAAA&#10;" filled="f" stroked="f">
                  <v:textbox inset="0,0,0,0">
                    <w:txbxContent>
                      <w:p w14:paraId="2BCFB235" w14:textId="77777777" w:rsidR="00B32EF2" w:rsidRDefault="00000000">
                        <w:r>
                          <w:rPr>
                            <w:rFonts w:ascii="Arial" w:eastAsia="Arial" w:hAnsi="Arial" w:cs="Arial"/>
                            <w:i/>
                            <w:sz w:val="18"/>
                          </w:rPr>
                          <w:t>(</w:t>
                        </w:r>
                      </w:p>
                    </w:txbxContent>
                  </v:textbox>
                </v:rect>
                <v:rect id="Rectangle 21218" o:spid="_x0000_s5676" style="position:absolute;left:820;top:21851;width:306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z12wwAAAN4AAAAPAAAAZHJzL2Rvd25yZXYueG1sRE9Ni8Iw&#10;EL0v+B/CCN7WtD2IVKOIIvbgZV0Fj0MzttVmEppo6/76zWFhj4/3vVwPphUv6nxjWUE6TUAQl1Y3&#10;XCk4f+8/5yB8QNbYWiYFb/KwXo0+lphr2/MXvU6hEjGEfY4K6hBcLqUvazLop9YRR+5mO4Mhwq6S&#10;usM+hptWZkkykwYbjg01OtrWVD5OT6PgumNX7HtZ3n627ngv5u3heb4oNRkPmwWIQEP4F/+5C60g&#10;S7M07o134hWQq18AAAD//wMAUEsBAi0AFAAGAAgAAAAhANvh9svuAAAAhQEAABMAAAAAAAAAAAAA&#10;AAAAAAAAAFtDb250ZW50X1R5cGVzXS54bWxQSwECLQAUAAYACAAAACEAWvQsW78AAAAVAQAACwAA&#10;AAAAAAAAAAAAAAAfAQAAX3JlbHMvLnJlbHNQSwECLQAUAAYACAAAACEAaQs9dsMAAADeAAAADwAA&#10;AAAAAAAAAAAAAAAHAgAAZHJzL2Rvd25yZXYueG1sUEsFBgAAAAADAAMAtwAAAPcCAAAAAA==&#10;" filled="f" stroked="f">
                  <v:textbox inset="0,0,0,0">
                    <w:txbxContent>
                      <w:p w14:paraId="101AC3F7" w14:textId="77777777" w:rsidR="00B32EF2" w:rsidRDefault="00000000">
                        <w:r>
                          <w:rPr>
                            <w:rFonts w:ascii="Arial" w:eastAsia="Arial" w:hAnsi="Arial" w:cs="Arial"/>
                            <w:b/>
                            <w:sz w:val="18"/>
                          </w:rPr>
                          <w:t xml:space="preserve">Scioglimento del Consiglio di presidenza </w:t>
                        </w:r>
                      </w:p>
                    </w:txbxContent>
                  </v:textbox>
                </v:rect>
                <v:rect id="Rectangle 201671" o:spid="_x0000_s5677" style="position:absolute;left:-13763;top:2061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C7QxwAAAN8AAAAPAAAAZHJzL2Rvd25yZXYueG1sRI9Ba8JA&#10;FITvgv9heUJvuokHK9FVRJHm4KVWweMj+0yi2bdLdjWxv75bKPQ4zMw3zHLdm0Y8qfW1ZQXpJAFB&#10;XFhdc6ng9LUfz0H4gKyxsUwKXuRhvRoOlphp2/EnPY+hFBHCPkMFVQguk9IXFRn0E+uIo3e1rcEQ&#10;ZVtK3WIX4aaR0ySZSYM1x4UKHW0rKu7Hh1Fw2bHL950srt9bd7jl8+bjcTor9TbqNwsQgfrwH/5r&#10;51rBNEln7yn8/olfQK5+AAAA//8DAFBLAQItABQABgAIAAAAIQDb4fbL7gAAAIUBAAATAAAAAAAA&#10;AAAAAAAAAAAAAABbQ29udGVudF9UeXBlc10ueG1sUEsBAi0AFAAGAAgAAAAhAFr0LFu/AAAAFQEA&#10;AAsAAAAAAAAAAAAAAAAAHwEAAF9yZWxzLy5yZWxzUEsBAi0AFAAGAAgAAAAhADa0LtDHAAAA3wAA&#10;AA8AAAAAAAAAAAAAAAAABwIAAGRycy9kb3ducmV2LnhtbFBLBQYAAAAAAwADALcAAAD7AgAAAAA=&#10;" filled="f" stroked="f">
                  <v:textbox inset="0,0,0,0">
                    <w:txbxContent>
                      <w:p w14:paraId="4392BE8B" w14:textId="77777777" w:rsidR="00B32EF2" w:rsidRDefault="00000000">
                        <w:r>
                          <w:rPr>
                            <w:rFonts w:ascii="Arial" w:eastAsia="Arial" w:hAnsi="Arial" w:cs="Arial"/>
                            <w:sz w:val="18"/>
                          </w:rPr>
                          <w:t xml:space="preserve">. Il Consiglio di presidenza, qualora ne sia impossibile il funzionamento, è </w:t>
                        </w:r>
                      </w:p>
                    </w:txbxContent>
                  </v:textbox>
                </v:rect>
                <v:rect id="Rectangle 201669" o:spid="_x0000_s5678" style="position:absolute;left:26110;top:2061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7QLxwAAAN8AAAAPAAAAZHJzL2Rvd25yZXYueG1sRI9Ba8JA&#10;FITvBf/D8gre6kYPwUZXKYqYgxetgsdH9pmkzb5dsquJ/fVdQfA4zMw3zHzZm0bcqPW1ZQXjUQKC&#10;uLC65lLB8XvzMQXhA7LGxjIpuJOH5WLwNsdM2473dDuEUkQI+wwVVCG4TEpfVGTQj6wjjt7FtgZD&#10;lG0pdYtdhJtGTpIklQZrjgsVOlpVVPwerkbBec0u33SyuPyt3O4nnzbb6/Gk1PC9/5qBCNSHV/jZ&#10;zrWCSTJO0094/IlfQC7+AQAA//8DAFBLAQItABQABgAIAAAAIQDb4fbL7gAAAIUBAAATAAAAAAAA&#10;AAAAAAAAAAAAAABbQ29udGVudF9UeXBlc10ueG1sUEsBAi0AFAAGAAgAAAAhAFr0LFu/AAAAFQEA&#10;AAsAAAAAAAAAAAAAAAAAHwEAAF9yZWxzLy5yZWxzUEsBAi0AFAAGAAgAAAAhAE0btAvHAAAA3wAA&#10;AA8AAAAAAAAAAAAAAAAABwIAAGRycy9kb3ducmV2LnhtbFBLBQYAAAAAAwADALcAAAD7AgAAAAA=&#10;" filled="f" stroked="f">
                  <v:textbox inset="0,0,0,0">
                    <w:txbxContent>
                      <w:p w14:paraId="1D1A13BE" w14:textId="77777777" w:rsidR="00B32EF2" w:rsidRDefault="00000000">
                        <w:r>
                          <w:rPr>
                            <w:rFonts w:ascii="Arial" w:eastAsia="Arial" w:hAnsi="Arial" w:cs="Arial"/>
                            <w:sz w:val="18"/>
                          </w:rPr>
                          <w:t>1</w:t>
                        </w:r>
                      </w:p>
                    </w:txbxContent>
                  </v:textbox>
                </v:rect>
                <v:rect id="Rectangle 21220" o:spid="_x0000_s5679" style="position:absolute;left:-13171;top:1938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fvNxAAAAN4AAAAPAAAAZHJzL2Rvd25yZXYueG1sRI/LisIw&#10;FIb3A75DOIK7MbULkWoUUcQu3HgZmOWhObbV5iQ00VaffrIYcPnz3/gWq9404kmtry0rmIwTEMSF&#10;1TWXCi7n3fcMhA/IGhvLpOBFHlbLwdcCM207PtLzFEoRR9hnqKAKwWVS+qIig35sHXH0rrY1GKJs&#10;S6lb7OK4aWSaJFNpsOb4UKGjTUXF/fQwCn637PJdJ4vre+MOt3zW7B+XH6VGw349BxGoD5/wfzvX&#10;CtJJmkaAiBNRQC7/AAAA//8DAFBLAQItABQABgAIAAAAIQDb4fbL7gAAAIUBAAATAAAAAAAAAAAA&#10;AAAAAAAAAABbQ29udGVudF9UeXBlc10ueG1sUEsBAi0AFAAGAAgAAAAhAFr0LFu/AAAAFQEAAAsA&#10;AAAAAAAAAAAAAAAAHwEAAF9yZWxzLy5yZWxzUEsBAi0AFAAGAAgAAAAhAFkR+83EAAAA3gAAAA8A&#10;AAAAAAAAAAAAAAAABwIAAGRycy9kb3ducmV2LnhtbFBLBQYAAAAAAwADALcAAAD4AgAAAAA=&#10;" filled="f" stroked="f">
                  <v:textbox inset="0,0,0,0">
                    <w:txbxContent>
                      <w:p w14:paraId="601C3921" w14:textId="77777777" w:rsidR="00B32EF2" w:rsidRDefault="00000000">
                        <w:r>
                          <w:rPr>
                            <w:rFonts w:ascii="Arial" w:eastAsia="Arial" w:hAnsi="Arial" w:cs="Arial"/>
                            <w:sz w:val="18"/>
                          </w:rPr>
                          <w:t xml:space="preserve">sciolto con decreto del Presidente della Repubblica, su proposta del Ministro </w:t>
                        </w:r>
                      </w:p>
                    </w:txbxContent>
                  </v:textbox>
                </v:rect>
                <v:rect id="Rectangle 21221" o:spid="_x0000_s5680" style="position:absolute;left:-11842;top:18151;width:517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V5WxgAAAN4AAAAPAAAAZHJzL2Rvd25yZXYueG1sRI9Pi8Iw&#10;FMTvC36H8ARva9oeRKpRRBF78LL+AY+P5tl2t3kJTbTd/fSbhQWPw8z8hlmuB9OKJ3W+sawgnSYg&#10;iEurG64UXM779zkIH5A1tpZJwTd5WK9Gb0vMte35g56nUIkIYZ+jgjoEl0vpy5oM+ql1xNG7285g&#10;iLKrpO6wj3DTyixJZtJgw3GhRkfbmsqv08MouO3YFftelvefrTt+FvP28LhclZqMh80CRKAhvML/&#10;7UIryNIsS+HvTrwCcvULAAD//wMAUEsBAi0AFAAGAAgAAAAhANvh9svuAAAAhQEAABMAAAAAAAAA&#10;AAAAAAAAAAAAAFtDb250ZW50X1R5cGVzXS54bWxQSwECLQAUAAYACAAAACEAWvQsW78AAAAVAQAA&#10;CwAAAAAAAAAAAAAAAAAfAQAAX3JlbHMvLnJlbHNQSwECLQAUAAYACAAAACEANl1eVsYAAADeAAAA&#10;DwAAAAAAAAAAAAAAAAAHAgAAZHJzL2Rvd25yZXYueG1sUEsFBgAAAAADAAMAtwAAAPoCAAAAAA==&#10;" filled="f" stroked="f">
                  <v:textbox inset="0,0,0,0">
                    <w:txbxContent>
                      <w:p w14:paraId="6C4D2548" w14:textId="77777777" w:rsidR="00B32EF2" w:rsidRDefault="00000000">
                        <w:r>
                          <w:rPr>
                            <w:rFonts w:ascii="Arial" w:eastAsia="Arial" w:hAnsi="Arial" w:cs="Arial"/>
                            <w:sz w:val="18"/>
                          </w:rPr>
                          <w:t>dell’economia e delle finanze, previa deliberazione del Consiglio dei ministri.</w:t>
                        </w:r>
                      </w:p>
                    </w:txbxContent>
                  </v:textbox>
                </v:rect>
                <v:rect id="Rectangle 201636" o:spid="_x0000_s5681" style="position:absolute;left:26110;top:1691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w9kxwAAAN8AAAAPAAAAZHJzL2Rvd25yZXYueG1sRI9Ba8JA&#10;FITvBf/D8gRvdaOFINFVRJHm4KVWweMj+0yi2bdLdjXRX98tFHocZuYbZrHqTSMe1PrasoLJOAFB&#10;XFhdc6ng+L17n4HwAVljY5kUPMnDajl4W2Cmbcdf9DiEUkQI+wwVVCG4TEpfVGTQj60jjt7FtgZD&#10;lG0pdYtdhJtGTpMklQZrjgsVOtpUVNwOd6PgvGWX7zpZXF4bt7/ms+bzfjwpNRr26zmIQH34D/+1&#10;c61gmkzSjxR+/8QvIJc/AAAA//8DAFBLAQItABQABgAIAAAAIQDb4fbL7gAAAIUBAAATAAAAAAAA&#10;AAAAAAAAAAAAAABbQ29udGVudF9UeXBlc10ueG1sUEsBAi0AFAAGAAgAAAAhAFr0LFu/AAAAFQEA&#10;AAsAAAAAAAAAAAAAAAAAHwEAAF9yZWxzLy5yZWxzUEsBAi0AFAAGAAgAAAAhAC83D2THAAAA3wAA&#10;AA8AAAAAAAAAAAAAAAAABwIAAGRycy9kb3ducmV2LnhtbFBLBQYAAAAAAwADALcAAAD7AgAAAAA=&#10;" filled="f" stroked="f">
                  <v:textbox inset="0,0,0,0">
                    <w:txbxContent>
                      <w:p w14:paraId="12590D47" w14:textId="77777777" w:rsidR="00B32EF2" w:rsidRDefault="00000000">
                        <w:r>
                          <w:rPr>
                            <w:rFonts w:ascii="Arial" w:eastAsia="Arial" w:hAnsi="Arial" w:cs="Arial"/>
                            <w:sz w:val="18"/>
                          </w:rPr>
                          <w:t>2</w:t>
                        </w:r>
                      </w:p>
                    </w:txbxContent>
                  </v:textbox>
                </v:rect>
                <v:rect id="Rectangle 201666" o:spid="_x0000_s5682" style="position:absolute;left:-13817;top:1691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CB5xgAAAN8AAAAPAAAAZHJzL2Rvd25yZXYueG1sRI9Bi8Iw&#10;FITvC/6H8ARva6qHItUooog9eFlXweOjebbV5iU00VZ//WZhYY/DzHzDLFa9acSTWl9bVjAZJyCI&#10;C6trLhWcvnefMxA+IGtsLJOCF3lYLQcfC8y07fiLnsdQighhn6GCKgSXSemLigz6sXXE0bva1mCI&#10;si2lbrGLcNPIaZKk0mDNcaFCR5uKivvxYRRctuzyXSeL63vjDrd81uwfp7NSo2G/noMI1If/8F87&#10;1wqmySRNU/j9E7+AXP4AAAD//wMAUEsBAi0AFAAGAAgAAAAhANvh9svuAAAAhQEAABMAAAAAAAAA&#10;AAAAAAAAAAAAAFtDb250ZW50X1R5cGVzXS54bWxQSwECLQAUAAYACAAAACEAWvQsW78AAAAVAQAA&#10;CwAAAAAAAAAAAAAAAAAfAQAAX3JlbHMvLnJlbHNQSwECLQAUAAYACAAAACEAPIQgecYAAADfAAAA&#10;DwAAAAAAAAAAAAAAAAAHAgAAZHJzL2Rvd25yZXYueG1sUEsFBgAAAAADAAMAtwAAAPoCAAAAAA==&#10;" filled="f" stroked="f">
                  <v:textbox inset="0,0,0,0">
                    <w:txbxContent>
                      <w:p w14:paraId="418D296C" w14:textId="77777777" w:rsidR="00B32EF2" w:rsidRDefault="00000000">
                        <w:r>
                          <w:rPr>
                            <w:rFonts w:ascii="Arial" w:eastAsia="Arial" w:hAnsi="Arial" w:cs="Arial"/>
                            <w:sz w:val="18"/>
                          </w:rPr>
                          <w:t xml:space="preserve">. Le nuove elezioni sono indette entro un mese dalla data di scioglimento ed </w:t>
                        </w:r>
                      </w:p>
                    </w:txbxContent>
                  </v:textbox>
                </v:rect>
                <v:rect id="Rectangle 21223" o:spid="_x0000_s5683" style="position:absolute;left:11715;top:15685;width:282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2W6xgAAAN4AAAAPAAAAZHJzL2Rvd25yZXYueG1sRI9Ba8JA&#10;FITvgv9heYI33RihSHQVUcQcvNRa6PGRfSbR7Nslu5rYX98tFHocZuYbZrXpTSOe1PrasoLZNAFB&#10;XFhdc6ng8nGYLED4gKyxsUwKXuRhsx4OVphp2/E7Pc+hFBHCPkMFVQguk9IXFRn0U+uIo3e1rcEQ&#10;ZVtK3WIX4aaRaZK8SYM1x4UKHe0qKu7nh1HwtWeXHzpZXL937nTLF83xcflUajzqt0sQgfrwH/5r&#10;51pBOkvTOfzeiVdArn8AAAD//wMAUEsBAi0AFAAGAAgAAAAhANvh9svuAAAAhQEAABMAAAAAAAAA&#10;AAAAAAAAAAAAAFtDb250ZW50X1R5cGVzXS54bWxQSwECLQAUAAYACAAAACEAWvQsW78AAAAVAQAA&#10;CwAAAAAAAAAAAAAAAAAfAQAAX3JlbHMvLnJlbHNQSwECLQAUAAYACAAAACEAqcNlusYAAADeAAAA&#10;DwAAAAAAAAAAAAAAAAAHAgAAZHJzL2Rvd25yZXYueG1sUEsFBgAAAAADAAMAtwAAAPoCAAAAAA==&#10;" filled="f" stroked="f">
                  <v:textbox inset="0,0,0,0">
                    <w:txbxContent>
                      <w:p w14:paraId="092BEAAA" w14:textId="77777777" w:rsidR="00B32EF2" w:rsidRDefault="00000000">
                        <w:r>
                          <w:rPr>
                            <w:rFonts w:ascii="Arial" w:eastAsia="Arial" w:hAnsi="Arial" w:cs="Arial"/>
                            <w:sz w:val="18"/>
                          </w:rPr>
                          <w:t>hanno luogo entro il bimestre successivo.</w:t>
                        </w:r>
                      </w:p>
                    </w:txbxContent>
                  </v:textbox>
                </v:rect>
                <v:rect id="Rectangle 21224" o:spid="_x0000_s5684" style="position:absolute;left:15074;top:13218;width:80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v3OxgAAAN4AAAAPAAAAZHJzL2Rvd25yZXYueG1sRI9Ba8JA&#10;FITvgv9heYI33RikSHQVUcQcvNRa6PGRfSbR7Nslu5rYX98tFHocZuYbZrXpTSOe1PrasoLZNAFB&#10;XFhdc6ng8nGYLED4gKyxsUwKXuRhsx4OVphp2/E7Pc+hFBHCPkMFVQguk9IXFRn0U+uIo3e1rcEQ&#10;ZVtK3WIX4aaRaZK8SYM1x4UKHe0qKu7nh1HwtWeXHzpZXL937nTLF83xcflUajzqt0sQgfrwH/5r&#10;51pBOkvTOfzeiVdArn8AAAD//wMAUEsBAi0AFAAGAAgAAAAhANvh9svuAAAAhQEAABMAAAAAAAAA&#10;AAAAAAAAAAAAAFtDb250ZW50X1R5cGVzXS54bWxQSwECLQAUAAYACAAAACEAWvQsW78AAAAVAQAA&#10;CwAAAAAAAAAAAAAAAAAfAQAAX3JlbHMvLnJlbHNQSwECLQAUAAYACAAAACEAJir9zsYAAADeAAAA&#10;DwAAAAAAAAAAAAAAAAAHAgAAZHJzL2Rvd25yZXYueG1sUEsFBgAAAAADAAMAtwAAAPoCAAAAAA==&#10;" filled="f" stroked="f">
                  <v:textbox inset="0,0,0,0">
                    <w:txbxContent>
                      <w:p w14:paraId="59FB4A27" w14:textId="77777777" w:rsidR="00B32EF2" w:rsidRDefault="00000000">
                        <w:r>
                          <w:rPr>
                            <w:rFonts w:ascii="Arial" w:eastAsia="Arial" w:hAnsi="Arial" w:cs="Arial"/>
                            <w:b/>
                            <w:sz w:val="18"/>
                          </w:rPr>
                          <w:t>Articolo 36</w:t>
                        </w:r>
                      </w:p>
                    </w:txbxContent>
                  </v:textbox>
                </v:rect>
                <v:rect id="Rectangle 201633" o:spid="_x0000_s5685" style="position:absolute;left:-2639;top:11985;width:194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z8xgAAAN8AAAAPAAAAZHJzL2Rvd25yZXYueG1sRI9Bi8Iw&#10;FITvC/6H8ARva6qCSDWKKGIPXlZd2OOjebbV5iU00VZ//WZhweMwM98wi1VnavGgxleWFYyGCQji&#10;3OqKCwXn0+5zBsIHZI21ZVLwJA+rZe9jgam2LX/R4xgKESHsU1RQhuBSKX1ekkE/tI44ehfbGAxR&#10;NoXUDbYRbmo5TpKpNFhxXCjR0aak/Ha8GwU/W3bZrpX55bVxh2s2q/f387dSg363noMI1IV3+L+d&#10;aQXjZDSdTODvT/wCcvkLAAD//wMAUEsBAi0AFAAGAAgAAAAhANvh9svuAAAAhQEAABMAAAAAAAAA&#10;AAAAAAAAAAAAAFtDb250ZW50X1R5cGVzXS54bWxQSwECLQAUAAYACAAAACEAWvQsW78AAAAVAQAA&#10;CwAAAAAAAAAAAAAAAAAfAQAAX3JlbHMvLnJlbHNQSwECLQAUAAYACAAAACEAP0Cs/MYAAADfAAAA&#10;DwAAAAAAAAAAAAAAAAAHAgAAZHJzL2Rvd25yZXYueG1sUEsFBgAAAAADAAMAtwAAAPoCAAAAAA==&#10;" filled="f" stroked="f">
                  <v:textbox inset="0,0,0,0">
                    <w:txbxContent>
                      <w:p w14:paraId="1DC7ADA3" w14:textId="77777777" w:rsidR="00B32EF2" w:rsidRDefault="00000000">
                        <w:r>
                          <w:rPr>
                            <w:rFonts w:ascii="Arial" w:eastAsia="Arial" w:hAnsi="Arial" w:cs="Arial"/>
                            <w:i/>
                            <w:sz w:val="18"/>
                          </w:rPr>
                          <w:t>545/92)</w:t>
                        </w:r>
                      </w:p>
                    </w:txbxContent>
                  </v:textbox>
                </v:rect>
                <v:rect id="Rectangle 201632" o:spid="_x0000_s5686" style="position:absolute;left:22222;top:11985;width:194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AlnyAAAAN8AAAAPAAAAZHJzL2Rvd25yZXYueG1sRI9Pa8JA&#10;FMTvBb/D8oTe6sYURKIbEUWaQy+1Ch4f2Zc/mn27ZFeT9tN3C4Ueh5n5DbPejKYTD+p9a1nBfJaA&#10;IC6tbrlWcPo8vCxB+ICssbNMCr7IwyafPK0x03bgD3ocQy0ihH2GCpoQXCalLxsy6GfWEUevsr3B&#10;EGVfS93jEOGmk2mSLKTBluNCg452DZW3490ouOzZFYdBltX3zr1fi2X3dj+dlXqejtsViEBj+A//&#10;tQutIE3mi9cUfv/ELyDzHwAAAP//AwBQSwECLQAUAAYACAAAACEA2+H2y+4AAACFAQAAEwAAAAAA&#10;AAAAAAAAAAAAAAAAW0NvbnRlbnRfVHlwZXNdLnhtbFBLAQItABQABgAIAAAAIQBa9CxbvwAAABUB&#10;AAALAAAAAAAAAAAAAAAAAB8BAABfcmVscy8ucmVsc1BLAQItABQABgAIAAAAIQBQDAlnyAAAAN8A&#10;AAAPAAAAAAAAAAAAAAAAAAcCAABkcnMvZG93bnJldi54bWxQSwUGAAAAAAMAAwC3AAAA/AIAAAAA&#10;" filled="f" stroked="f">
                  <v:textbox inset="0,0,0,0">
                    <w:txbxContent>
                      <w:p w14:paraId="5ACF825E" w14:textId="77777777" w:rsidR="00B32EF2" w:rsidRDefault="00000000">
                        <w:r>
                          <w:rPr>
                            <w:rFonts w:ascii="Arial" w:eastAsia="Arial" w:hAnsi="Arial" w:cs="Arial"/>
                            <w:i/>
                            <w:sz w:val="18"/>
                          </w:rPr>
                          <w:t>(</w:t>
                        </w:r>
                      </w:p>
                    </w:txbxContent>
                  </v:textbox>
                </v:rect>
                <v:rect id="Rectangle 201635" o:spid="_x0000_s5687" style="position:absolute;left:11624;top:11985;width:194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ZETxwAAAN8AAAAPAAAAZHJzL2Rvd25yZXYueG1sRI9Ba8JA&#10;FITvgv9heUJvutGiSHQVUcQcvGgt9PjIPpNo9u2SXU3aX+8WCj0OM/MNs1x3phZPanxlWcF4lIAg&#10;zq2uuFBw+dgP5yB8QNZYWyYF3+Rhver3lphq2/KJnudQiAhhn6KCMgSXSunzkgz6kXXE0bvaxmCI&#10;simkbrCNcFPLSZLMpMGK40KJjrYl5ffzwyj42rHL9q3Mrz9bd7xl8/rwuHwq9TboNgsQgbrwH/5r&#10;Z1rBJBnP3qfw+yd+Abl6AQAA//8DAFBLAQItABQABgAIAAAAIQDb4fbL7gAAAIUBAAATAAAAAAAA&#10;AAAAAAAAAAAAAABbQ29udGVudF9UeXBlc10ueG1sUEsBAi0AFAAGAAgAAAAhAFr0LFu/AAAAFQEA&#10;AAsAAAAAAAAAAAAAAAAAHwEAAF9yZWxzLy5yZWxzUEsBAi0AFAAGAAgAAAAhAN/lkRPHAAAA3wAA&#10;AA8AAAAAAAAAAAAAAAAABwIAAGRycy9kb3ducmV2LnhtbFBLBQYAAAAAAwADALcAAAD7AgAAAAA=&#10;" filled="f" stroked="f">
                  <v:textbox inset="0,0,0,0">
                    <w:txbxContent>
                      <w:p w14:paraId="726514AE" w14:textId="77777777" w:rsidR="00B32EF2" w:rsidRDefault="00000000">
                        <w:r>
                          <w:rPr>
                            <w:rFonts w:ascii="Arial" w:eastAsia="Arial" w:hAnsi="Arial" w:cs="Arial"/>
                            <w:i/>
                            <w:sz w:val="18"/>
                          </w:rPr>
                          <w:t xml:space="preserve">articolo 29 D.lgs. n. </w:t>
                        </w:r>
                      </w:p>
                    </w:txbxContent>
                  </v:textbox>
                </v:rect>
                <v:rect id="Rectangle 21226" o:spid="_x0000_s5688" style="position:absolute;left:11689;top:10752;width:132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MYixQAAAN4AAAAPAAAAZHJzL2Rvd25yZXYueG1sRI9Bi8Iw&#10;FITvC/6H8IS9rak9iFSjiCL2sJdVF/b4aJ5ttXkJTbTVX78RBI/DzHzDzJe9acSNWl9bVjAeJSCI&#10;C6trLhUcD9uvKQgfkDU2lknBnTwsF4OPOWbadvxDt30oRYSwz1BBFYLLpPRFRQb9yDri6J1sazBE&#10;2ZZSt9hFuGlkmiQTabDmuFCho3VFxWV/NQr+NuzybSeL02Ptvs/5tNldj79KfQ771QxEoD68w692&#10;rhWk4zSdwPNOvAJy8Q8AAP//AwBQSwECLQAUAAYACAAAACEA2+H2y+4AAACFAQAAEwAAAAAAAAAA&#10;AAAAAAAAAAAAW0NvbnRlbnRfVHlwZXNdLnhtbFBLAQItABQABgAIAAAAIQBa9CxbvwAAABUBAAAL&#10;AAAAAAAAAAAAAAAAAB8BAABfcmVscy8ucmVsc1BLAQItABQABgAIAAAAIQC5tMYixQAAAN4AAAAP&#10;AAAAAAAAAAAAAAAAAAcCAABkcnMvZG93bnJldi54bWxQSwUGAAAAAAMAAwC3AAAA+QIAAAAA&#10;" filled="f" stroked="f">
                  <v:textbox inset="0,0,0,0">
                    <w:txbxContent>
                      <w:p w14:paraId="22DC8846" w14:textId="77777777" w:rsidR="00B32EF2" w:rsidRDefault="00000000">
                        <w:r>
                          <w:rPr>
                            <w:rFonts w:ascii="Arial" w:eastAsia="Arial" w:hAnsi="Arial" w:cs="Arial"/>
                            <w:b/>
                            <w:sz w:val="18"/>
                          </w:rPr>
                          <w:t xml:space="preserve">Alta sorveglianza </w:t>
                        </w:r>
                      </w:p>
                    </w:txbxContent>
                  </v:textbox>
                </v:rect>
                <v:rect id="Rectangle 201628" o:spid="_x0000_s5689" style="position:absolute;left:-13762;top:9518;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ahQwwAAAN8AAAAPAAAAZHJzL2Rvd25yZXYueG1sRE9Ni8Iw&#10;EL0v+B/CCN7W1B5EqlFEEXvwoqvgcWjGttpMQhNt9ddvDgt7fLzvxao3jXhR62vLCibjBARxYXXN&#10;pYLzz+57BsIHZI2NZVLwJg+r5eBrgZm2HR/pdQqliCHsM1RQheAyKX1RkUE/to44cjfbGgwRtqXU&#10;LXYx3DQyTZKpNFhzbKjQ0aai4nF6GgXXLbt818ni9tm4wz2fNfvn+aLUaNiv5yAC9eFf/OfOtYI0&#10;mUzTODj+iV9ALn8BAAD//wMAUEsBAi0AFAAGAAgAAAAhANvh9svuAAAAhQEAABMAAAAAAAAAAAAA&#10;AAAAAAAAAFtDb250ZW50X1R5cGVzXS54bWxQSwECLQAUAAYACAAAACEAWvQsW78AAAAVAQAACwAA&#10;AAAAAAAAAAAAAAAfAQAAX3JlbHMvLnJlbHNQSwECLQAUAAYACAAAACEAtD2oUMMAAADfAAAADwAA&#10;AAAAAAAAAAAAAAAHAgAAZHJzL2Rvd25yZXYueG1sUEsFBgAAAAADAAMAtwAAAPcCAAAAAA==&#10;" filled="f" stroked="f">
                  <v:textbox inset="0,0,0,0">
                    <w:txbxContent>
                      <w:p w14:paraId="0D6A1584" w14:textId="77777777" w:rsidR="00B32EF2" w:rsidRDefault="00000000">
                        <w:r>
                          <w:rPr>
                            <w:rFonts w:ascii="Arial" w:eastAsia="Arial" w:hAnsi="Arial" w:cs="Arial"/>
                            <w:sz w:val="18"/>
                          </w:rPr>
                          <w:t xml:space="preserve">. Il Presidente del Consiglio dei ministri esercita l’alta sorveglianza sulle corti </w:t>
                        </w:r>
                      </w:p>
                    </w:txbxContent>
                  </v:textbox>
                </v:rect>
                <v:rect id="Rectangle 201625" o:spid="_x0000_s5690" style="position:absolute;left:26110;top:951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fOyAAAAN8AAAAPAAAAZHJzL2Rvd25yZXYueG1sRI9Pa8JA&#10;FMTvBb/D8oTe6sZARaIbEUWaQy+1Ch4f2Zc/mn27ZFeT9tN3C4Ueh5n5DbPejKYTD+p9a1nBfJaA&#10;IC6tbrlWcPo8vCxB+ICssbNMCr7IwyafPK0x03bgD3ocQy0ihH2GCpoQXCalLxsy6GfWEUevsr3B&#10;EGVfS93jEOGmk2mSLKTBluNCg452DZW3490ouOzZFYdBltX3zr1fi2X3dj+dlXqejtsViEBj+A//&#10;tQutIE3mi/QVfv/ELyDzHwAAAP//AwBQSwECLQAUAAYACAAAACEA2+H2y+4AAACFAQAAEwAAAAAA&#10;AAAAAAAAAAAAAAAAW0NvbnRlbnRfVHlwZXNdLnhtbFBLAQItABQABgAIAAAAIQBa9CxbvwAAABUB&#10;AAALAAAAAAAAAAAAAAAAAB8BAABfcmVscy8ucmVsc1BLAQItABQABgAIAAAAIQBaPAfOyAAAAN8A&#10;AAAPAAAAAAAAAAAAAAAAAAcCAABkcnMvZG93bnJldi54bWxQSwUGAAAAAAMAAwC3AAAA/AIAAAAA&#10;" filled="f" stroked="f">
                  <v:textbox inset="0,0,0,0">
                    <w:txbxContent>
                      <w:p w14:paraId="4B28B9F5" w14:textId="77777777" w:rsidR="00B32EF2" w:rsidRDefault="00000000">
                        <w:r>
                          <w:rPr>
                            <w:rFonts w:ascii="Arial" w:eastAsia="Arial" w:hAnsi="Arial" w:cs="Arial"/>
                            <w:sz w:val="18"/>
                          </w:rPr>
                          <w:t>1</w:t>
                        </w:r>
                      </w:p>
                    </w:txbxContent>
                  </v:textbox>
                </v:rect>
                <v:rect id="Rectangle 21228" o:spid="_x0000_s5691" style="position:absolute;left:-12207;top:8285;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fLwgAAAN4AAAAPAAAAZHJzL2Rvd25yZXYueG1sRE/LisIw&#10;FN0P+A/hCu7G1C5EqlFEEbtw42Nglpfm2labm9BEW/36yWLA5eG8F6veNOJJra8tK5iMExDEhdU1&#10;lwou5933DIQPyBoby6TgRR5Wy8HXAjNtOz7S8xRKEUPYZ6igCsFlUvqiIoN+bB1x5K62NRgibEup&#10;W+xiuGlkmiRTabDm2FCho01Fxf30MAp+t+zyXSeL63vjDrd81uwflx+lRsN+PQcRqA8f8b871wrS&#10;SZrGvfFOvAJy+QcAAP//AwBQSwECLQAUAAYACAAAACEA2+H2y+4AAACFAQAAEwAAAAAAAAAAAAAA&#10;AAAAAAAAW0NvbnRlbnRfVHlwZXNdLnhtbFBLAQItABQABgAIAAAAIQBa9CxbvwAAABUBAAALAAAA&#10;AAAAAAAAAAAAAB8BAABfcmVscy8ucmVsc1BLAQItABQABgAIAAAAIQCnZ/fLwgAAAN4AAAAPAAAA&#10;AAAAAAAAAAAAAAcCAABkcnMvZG93bnJldi54bWxQSwUGAAAAAAMAAwC3AAAA9gIAAAAA&#10;" filled="f" stroked="f">
                  <v:textbox inset="0,0,0,0">
                    <w:txbxContent>
                      <w:p w14:paraId="70313741" w14:textId="77777777" w:rsidR="00B32EF2" w:rsidRDefault="00000000">
                        <w:r>
                          <w:rPr>
                            <w:rFonts w:ascii="Arial" w:eastAsia="Arial" w:hAnsi="Arial" w:cs="Arial"/>
                            <w:sz w:val="18"/>
                          </w:rPr>
                          <w:t>di giustizia tributaria di primo e secondo grado e sui magistrati e i giudici tribu</w:t>
                        </w:r>
                      </w:p>
                    </w:txbxContent>
                  </v:textbox>
                </v:rect>
                <v:rect id="Rectangle 21229" o:spid="_x0000_s5692" style="position:absolute;left:192;top:828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1JQxgAAAN4AAAAPAAAAZHJzL2Rvd25yZXYueG1sRI9Ba8JA&#10;FITvBf/D8gRvdWMOotFVRBFz6KVqocdH9plEs2+X7GrS/vpuQfA4zMw3zHLdm0Y8qPW1ZQWTcQKC&#10;uLC65lLB+bR/n4HwAVljY5kU/JCH9WrwtsRM244/6XEMpYgQ9hkqqEJwmZS+qMigH1tHHL2LbQ2G&#10;KNtS6ha7CDeNTJNkKg3WHBcqdLStqLgd70bB945dvu9kcfnduo9rPmsO9/OXUqNhv1mACNSHV/jZ&#10;zrWCdJKmc/i/E6+AXP0BAAD//wMAUEsBAi0AFAAGAAgAAAAhANvh9svuAAAAhQEAABMAAAAAAAAA&#10;AAAAAAAAAAAAAFtDb250ZW50X1R5cGVzXS54bWxQSwECLQAUAAYACAAAACEAWvQsW78AAAAVAQAA&#10;CwAAAAAAAAAAAAAAAAAfAQAAX3JlbHMvLnJlbHNQSwECLQAUAAYACAAAACEAyCtSUMYAAADeAAAA&#10;DwAAAAAAAAAAAAAAAAAHAgAAZHJzL2Rvd25yZXYueG1sUEsFBgAAAAADAAMAtwAAAPoCAAAAAA==&#10;" filled="f" stroked="f">
                  <v:textbox inset="0,0,0,0">
                    <w:txbxContent>
                      <w:p w14:paraId="440D2617" w14:textId="77777777" w:rsidR="00B32EF2" w:rsidRDefault="00000000">
                        <w:r>
                          <w:rPr>
                            <w:rFonts w:ascii="Arial" w:eastAsia="Arial" w:hAnsi="Arial" w:cs="Arial"/>
                            <w:sz w:val="18"/>
                          </w:rPr>
                          <w:t>-</w:t>
                        </w:r>
                      </w:p>
                    </w:txbxContent>
                  </v:textbox>
                </v:rect>
                <v:rect id="Rectangle 21230" o:spid="_x0000_s5693" style="position:absolute;left:-13170;top:7052;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G0QxAAAAN4AAAAPAAAAZHJzL2Rvd25yZXYueG1sRI/LisIw&#10;FIb3A75DOIK7MbUDg1SjiCLTxWy8gctDc2yrzUlooq3z9GYx4PLnv/HNl71pxINaX1tWMBknIIgL&#10;q2suFRwP288pCB+QNTaWScGTPCwXg485Ztp2vKPHPpQijrDPUEEVgsuk9EVFBv3YOuLoXWxrMETZ&#10;llK32MVx08g0Sb6lwZrjQ4WO1hUVt/3dKDhv2OXbThaXv7X7vebT5ud+PCk1GvarGYhAfXiH/9u5&#10;VpBO0q8IEHEiCsjFCwAA//8DAFBLAQItABQABgAIAAAAIQDb4fbL7gAAAIUBAAATAAAAAAAAAAAA&#10;AAAAAAAAAABbQ29udGVudF9UeXBlc10ueG1sUEsBAi0AFAAGAAgAAAAhAFr0LFu/AAAAFQEAAAsA&#10;AAAAAAAAAAAAAAAAHwEAAF9yZWxzLy5yZWxzUEsBAi0AFAAGAAgAAAAhANzIbRDEAAAA3gAAAA8A&#10;AAAAAAAAAAAAAAAABwIAAGRycy9kb3ducmV2LnhtbFBLBQYAAAAAAwADALcAAAD4AgAAAAA=&#10;" filled="f" stroked="f">
                  <v:textbox inset="0,0,0,0">
                    <w:txbxContent>
                      <w:p w14:paraId="5AFBC710" w14:textId="77777777" w:rsidR="00B32EF2" w:rsidRDefault="00000000">
                        <w:r>
                          <w:rPr>
                            <w:rFonts w:ascii="Arial" w:eastAsia="Arial" w:hAnsi="Arial" w:cs="Arial"/>
                            <w:sz w:val="18"/>
                          </w:rPr>
                          <w:t xml:space="preserve">tari. Il Presidente del Consiglio dei ministri e il Ministro dell’economia e delle </w:t>
                        </w:r>
                      </w:p>
                    </w:txbxContent>
                  </v:textbox>
                </v:rect>
                <v:rect id="Rectangle 21231" o:spid="_x0000_s5694" style="position:absolute;left:-12191;top:5819;width:5205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MiLxwAAAN4AAAAPAAAAZHJzL2Rvd25yZXYueG1sRI9Pa8JA&#10;FMTvhX6H5RW81U0iFEldpShiDr3UP+DxkX0mabNvl+xqUj+9Kwgeh5n5DTNbDKYVF+p8Y1lBOk5A&#10;EJdWN1wp2O/W71MQPiBrbC2Tgn/ysJi/vsww17bnH7psQyUihH2OCuoQXC6lL2sy6MfWEUfvZDuD&#10;IcqukrrDPsJNK7Mk+ZAGG44LNTpa1lT+bc9GwXHFrlj3sjxdl+77t5i2m/P+oNTobfj6BBFoCM/w&#10;o11oBVmaTVK434lXQM5vAAAA//8DAFBLAQItABQABgAIAAAAIQDb4fbL7gAAAIUBAAATAAAAAAAA&#10;AAAAAAAAAAAAAABbQ29udGVudF9UeXBlc10ueG1sUEsBAi0AFAAGAAgAAAAhAFr0LFu/AAAAFQEA&#10;AAsAAAAAAAAAAAAAAAAAHwEAAF9yZWxzLy5yZWxzUEsBAi0AFAAGAAgAAAAhALOEyIvHAAAA3gAA&#10;AA8AAAAAAAAAAAAAAAAABwIAAGRycy9kb3ducmV2LnhtbFBLBQYAAAAAAwADALcAAAD7AgAAAAA=&#10;" filled="f" stroked="f">
                  <v:textbox inset="0,0,0,0">
                    <w:txbxContent>
                      <w:p w14:paraId="01F6A88E" w14:textId="77777777" w:rsidR="00B32EF2" w:rsidRDefault="00000000">
                        <w:r>
                          <w:rPr>
                            <w:rFonts w:ascii="Arial" w:eastAsia="Arial" w:hAnsi="Arial" w:cs="Arial"/>
                            <w:sz w:val="18"/>
                          </w:rPr>
                          <w:t>finanze hanno facoltà di chiedere al Consiglio di presidenza e ai presidenti del</w:t>
                        </w:r>
                      </w:p>
                    </w:txbxContent>
                  </v:textbox>
                </v:rect>
                <v:rect id="Rectangle 21232" o:spid="_x0000_s5695" style="position:absolute;left:192;top:5819;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lb8xgAAAN4AAAAPAAAAZHJzL2Rvd25yZXYueG1sRI9Ba8JA&#10;FITvgv9heYI33RihSHQVUcQcvNRa6PGRfSbR7Nslu5rYX98tFHocZuYbZrXpTSOe1PrasoLZNAFB&#10;XFhdc6ng8nGYLED4gKyxsUwKXuRhsx4OVphp2/E7Pc+hFBHCPkMFVQguk9IXFRn0U+uIo3e1rcEQ&#10;ZVtK3WIX4aaRaZK8SYM1x4UKHe0qKu7nh1HwtWeXHzpZXL937nTLF83xcflUajzqt0sQgfrwH/5r&#10;51pBOkvnKfzeiVdArn8AAAD//wMAUEsBAi0AFAAGAAgAAAAhANvh9svuAAAAhQEAABMAAAAAAAAA&#10;AAAAAAAAAAAAAFtDb250ZW50X1R5cGVzXS54bWxQSwECLQAUAAYACAAAACEAWvQsW78AAAAVAQAA&#10;CwAAAAAAAAAAAAAAAAAfAQAAX3JlbHMvLnJlbHNQSwECLQAUAAYACAAAACEAQ1ZW/MYAAADeAAAA&#10;DwAAAAAAAAAAAAAAAAAHAgAAZHJzL2Rvd25yZXYueG1sUEsFBgAAAAADAAMAtwAAAPoCAAAAAA==&#10;" filled="f" stroked="f">
                  <v:textbox inset="0,0,0,0">
                    <w:txbxContent>
                      <w:p w14:paraId="7C3C06ED" w14:textId="77777777" w:rsidR="00B32EF2" w:rsidRDefault="00000000">
                        <w:r>
                          <w:rPr>
                            <w:rFonts w:ascii="Arial" w:eastAsia="Arial" w:hAnsi="Arial" w:cs="Arial"/>
                            <w:sz w:val="18"/>
                          </w:rPr>
                          <w:t>-</w:t>
                        </w:r>
                      </w:p>
                    </w:txbxContent>
                  </v:textbox>
                </v:rect>
                <v:rect id="Rectangle 21233" o:spid="_x0000_s5696" style="position:absolute;left:-13170;top:4585;width:530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vNnxgAAAN4AAAAPAAAAZHJzL2Rvd25yZXYueG1sRI9Ba8JA&#10;FITvgv9heYXedGMEkegqRZHm4EWr4PGRfSZps2+X7Gpif31XEHocZuYbZrnuTSPu1PrasoLJOAFB&#10;XFhdc6ng9LUbzUH4gKyxsUwKHuRhvRoOlphp2/GB7sdQighhn6GCKgSXSemLigz6sXXE0bva1mCI&#10;si2lbrGLcNPINElm0mDNcaFCR5uKip/jzSi4bNnlu04W19+N23/n8+bzdjor9f7WfyxABOrDf/jV&#10;zrWCdJJOp/C8E6+AXP0BAAD//wMAUEsBAi0AFAAGAAgAAAAhANvh9svuAAAAhQEAABMAAAAAAAAA&#10;AAAAAAAAAAAAAFtDb250ZW50X1R5cGVzXS54bWxQSwECLQAUAAYACAAAACEAWvQsW78AAAAVAQAA&#10;CwAAAAAAAAAAAAAAAAAfAQAAX3JlbHMvLnJlbHNQSwECLQAUAAYACAAAACEALBrzZ8YAAADeAAAA&#10;DwAAAAAAAAAAAAAAAAAHAgAAZHJzL2Rvd25yZXYueG1sUEsFBgAAAAADAAMAtwAAAPoCAAAAAA==&#10;" filled="f" stroked="f">
                  <v:textbox inset="0,0,0,0">
                    <w:txbxContent>
                      <w:p w14:paraId="043E0CF7" w14:textId="77777777" w:rsidR="00B32EF2" w:rsidRDefault="00000000">
                        <w:r>
                          <w:rPr>
                            <w:rFonts w:ascii="Arial" w:eastAsia="Arial" w:hAnsi="Arial" w:cs="Arial"/>
                            <w:sz w:val="18"/>
                          </w:rPr>
                          <w:t xml:space="preserve">le corti di giustizia tributaria informazioni circa il funzionamento della giustizia </w:t>
                        </w:r>
                      </w:p>
                    </w:txbxContent>
                  </v:textbox>
                </v:rect>
                <w10:anchorlock/>
              </v:group>
            </w:pict>
          </mc:Fallback>
        </mc:AlternateContent>
      </w:r>
    </w:p>
    <w:p w14:paraId="0AB6C57E" w14:textId="77777777" w:rsidR="00B32EF2" w:rsidRDefault="00000000">
      <w:pPr>
        <w:spacing w:after="708"/>
        <w:ind w:left="-1440" w:right="7064"/>
      </w:pPr>
      <w:r>
        <w:rPr>
          <w:noProof/>
        </w:rPr>
        <w:lastRenderedPageBreak/>
        <mc:AlternateContent>
          <mc:Choice Requires="wpg">
            <w:drawing>
              <wp:anchor distT="0" distB="0" distL="114300" distR="114300" simplePos="0" relativeHeight="251670528" behindDoc="0" locked="0" layoutInCell="1" allowOverlap="1" wp14:anchorId="7D06EF90" wp14:editId="0E21565C">
                <wp:simplePos x="0" y="0"/>
                <wp:positionH relativeFrom="page">
                  <wp:posOffset>2632944</wp:posOffset>
                </wp:positionH>
                <wp:positionV relativeFrom="page">
                  <wp:posOffset>397149</wp:posOffset>
                </wp:positionV>
                <wp:extent cx="134112" cy="188456"/>
                <wp:effectExtent l="0" t="0" r="0" b="0"/>
                <wp:wrapTopAndBottom/>
                <wp:docPr id="202125" name="Group 202125"/>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21269" name="Rectangle 21269"/>
                        <wps:cNvSpPr/>
                        <wps:spPr>
                          <a:xfrm rot="-10799999">
                            <a:off x="-44256" y="-62190"/>
                            <a:ext cx="178369" cy="250646"/>
                          </a:xfrm>
                          <a:prstGeom prst="rect">
                            <a:avLst/>
                          </a:prstGeom>
                          <a:ln>
                            <a:noFill/>
                          </a:ln>
                        </wps:spPr>
                        <wps:txbx>
                          <w:txbxContent>
                            <w:p w14:paraId="75F2BDA3" w14:textId="77777777" w:rsidR="00B32EF2" w:rsidRDefault="00000000">
                              <w:r>
                                <w:rPr>
                                  <w:rFonts w:ascii="Times New Roman" w:eastAsia="Times New Roman" w:hAnsi="Times New Roman" w:cs="Times New Roman"/>
                                </w:rPr>
                                <w:t>35</w:t>
                              </w:r>
                            </w:p>
                          </w:txbxContent>
                        </wps:txbx>
                        <wps:bodyPr horzOverflow="overflow" vert="horz" lIns="0" tIns="0" rIns="0" bIns="0" rtlCol="0">
                          <a:noAutofit/>
                        </wps:bodyPr>
                      </wps:wsp>
                    </wpg:wgp>
                  </a:graphicData>
                </a:graphic>
              </wp:anchor>
            </w:drawing>
          </mc:Choice>
          <mc:Fallback>
            <w:pict>
              <v:group w14:anchorId="7D06EF90" id="Group 202125" o:spid="_x0000_s5697" style="position:absolute;left:0;text-align:left;margin-left:207.3pt;margin-top:31.25pt;width:10.55pt;height:14.85pt;z-index:251670528;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wIKGwIAAIEEAAAOAAAAZHJzL2Uyb0RvYy54bWyklNtu2zAMhu8H7B0E3Sc+1HUTI04xrGsw&#10;YFiLdnsARZYPgCwKkhK7e/pRSuxsLbCLzhcydTD58xPpze3YS3IUxnagSposY0qE4lB1qinpzx/3&#10;ixUl1jFVMQlKlPRFWHq7/fhhM+hCpNCCrIQh6ETZYtAlbZ3TRRRZ3oqe2SVooXCzBtMzh1PTRJVh&#10;A3rvZZTGcR4NYCptgAtrcfXutEm3wX9dC+4e6toKR2RJUZsLownj3o/RdsOKxjDddvwsg71DRc86&#10;hUFnV3fMMXIw3RtXfccNWKjdkkMfQV13XIQcMJskfpXNzsBBh1yaYmj0jAnRvuL0brf8+3Fn9LN+&#10;NEhi0A2yCDOfy1ib3r9RJRkDspcZmRgd4biYXGVJklLCcStZrbLr/ISUt8j9zVe8/fLP76IpaPSX&#10;lEFjcdhL/vb/8n9umRYBqy0w/0dDuqqkaZLma0oU67FMn7BwmGqkIKflACecnlHZwiK1iRMxgLW1&#10;SOKbtX9CLZy5LbIsRSwECS3yNFmfi24meLO68oE9wfQ6zrNAcCbBCm2s2wnoiTdKalBacM+O36xD&#10;YXh0OuLVSOVHBfedlKddv4JAJ8HecuN+DFlnWZ76G/OLe6heEEYL5tcDtnQtYSgpnC3quxzD+11K&#10;5FeFl+AbajLMZOwnwzj5GULbnQR9Ojiou6D4Eu2sDG83WKHOQ0rnnvSN9Oc8nLr8Oba/AQAA//8D&#10;AFBLAwQUAAYACAAAACEA9+BjMOAAAAAJAQAADwAAAGRycy9kb3ducmV2LnhtbEyPQU+DQBCF7yb+&#10;h82YeLMLFFCRoWka9dQ0sTUx3qYwBVJ2l7BboP/e9aTHyfvy3jf5aladGHmwrdEI4SIAwbo0Vatr&#10;hM/D28MTCOtIV9QZzQhXtrAqbm9yyioz6Q8e964WvkTbjBAa5/pMSls2rMguTM/aZyczKHL+HGpZ&#10;DTT5ctXJKAhSqajVfqGhnjcNl+f9RSG8TzStl+HruD2fNtfvQ7L72oaMeH83r19AOJ7dHwy/+l4d&#10;Cu90NBddWdEhxGGcehQhjRIQHoiXySOII8JzFIEscvn/g+IHAAD//wMAUEsBAi0AFAAGAAgAAAAh&#10;ALaDOJL+AAAA4QEAABMAAAAAAAAAAAAAAAAAAAAAAFtDb250ZW50X1R5cGVzXS54bWxQSwECLQAU&#10;AAYACAAAACEAOP0h/9YAAACUAQAACwAAAAAAAAAAAAAAAAAvAQAAX3JlbHMvLnJlbHNQSwECLQAU&#10;AAYACAAAACEAjScCChsCAACBBAAADgAAAAAAAAAAAAAAAAAuAgAAZHJzL2Uyb0RvYy54bWxQSwEC&#10;LQAUAAYACAAAACEA9+BjMOAAAAAJAQAADwAAAAAAAAAAAAAAAAB1BAAAZHJzL2Rvd25yZXYueG1s&#10;UEsFBgAAAAAEAAQA8wAAAIIFAAAAAA==&#10;">
                <v:rect id="Rectangle 21269" o:spid="_x0000_s5698"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euQxwAAAN4AAAAPAAAAZHJzL2Rvd25yZXYueG1sRI/NasMw&#10;EITvhbyD2EJvjRwfQupEDiUh1IdemjqQ42Ktf1prJSwldvP0UaHQ4zAz3zCb7WR6caXBd5YVLOYJ&#10;COLK6o4bBeXn4XkFwgdkjb1lUvBDHrb57GGDmbYjf9D1GBoRIewzVNCG4DIpfdWSQT+3jjh6tR0M&#10;hiiHRuoBxwg3vUyTZCkNdhwXWnS0a6n6Pl6MgvOeXXEYZVXfdu79q1j1b5fypNTT4/S6BhFoCv/h&#10;v3ahFaSLdPkCv3fiFZD5HQAA//8DAFBLAQItABQABgAIAAAAIQDb4fbL7gAAAIUBAAATAAAAAAAA&#10;AAAAAAAAAAAAAABbQ29udGVudF9UeXBlc10ueG1sUEsBAi0AFAAGAAgAAAAhAFr0LFu/AAAAFQEA&#10;AAsAAAAAAAAAAAAAAAAAHwEAAF9yZWxzLy5yZWxzUEsBAi0AFAAGAAgAAAAhAF5B65DHAAAA3gAA&#10;AA8AAAAAAAAAAAAAAAAABwIAAGRycy9kb3ducmV2LnhtbFBLBQYAAAAAAwADALcAAAD7AgAAAAA=&#10;" filled="f" stroked="f">
                  <v:textbox inset="0,0,0,0">
                    <w:txbxContent>
                      <w:p w14:paraId="75F2BDA3" w14:textId="77777777" w:rsidR="00B32EF2" w:rsidRDefault="00000000">
                        <w:r>
                          <w:rPr>
                            <w:rFonts w:ascii="Times New Roman" w:eastAsia="Times New Roman" w:hAnsi="Times New Roman" w:cs="Times New Roman"/>
                          </w:rPr>
                          <w:t>35</w:t>
                        </w:r>
                      </w:p>
                    </w:txbxContent>
                  </v:textbox>
                </v:rect>
                <w10:wrap type="topAndBottom" anchorx="page" anchory="page"/>
              </v:group>
            </w:pict>
          </mc:Fallback>
        </mc:AlternateContent>
      </w:r>
    </w:p>
    <w:p w14:paraId="20C32EDE" w14:textId="77777777" w:rsidR="00B32EF2" w:rsidRDefault="00000000">
      <w:pPr>
        <w:spacing w:after="0"/>
        <w:ind w:left="-356" w:right="-306"/>
      </w:pPr>
      <w:r>
        <w:rPr>
          <w:noProof/>
        </w:rPr>
        <w:lastRenderedPageBreak/>
        <mc:AlternateContent>
          <mc:Choice Requires="wpg">
            <w:drawing>
              <wp:inline distT="0" distB="0" distL="0" distR="0" wp14:anchorId="2FFAC264" wp14:editId="42004E4B">
                <wp:extent cx="3992076" cy="5495306"/>
                <wp:effectExtent l="0" t="0" r="0" b="0"/>
                <wp:docPr id="202126" name="Group 202126"/>
                <wp:cNvGraphicFramePr/>
                <a:graphic xmlns:a="http://schemas.openxmlformats.org/drawingml/2006/main">
                  <a:graphicData uri="http://schemas.microsoft.com/office/word/2010/wordprocessingGroup">
                    <wpg:wgp>
                      <wpg:cNvGrpSpPr/>
                      <wpg:grpSpPr>
                        <a:xfrm>
                          <a:off x="0" y="0"/>
                          <a:ext cx="3992076" cy="5495306"/>
                          <a:chOff x="0" y="0"/>
                          <a:chExt cx="3992076" cy="5495306"/>
                        </a:xfrm>
                      </wpg:grpSpPr>
                      <wps:wsp>
                        <wps:cNvPr id="21270" name="Rectangle 21270"/>
                        <wps:cNvSpPr/>
                        <wps:spPr>
                          <a:xfrm rot="-10799999">
                            <a:off x="-1317026" y="5352417"/>
                            <a:ext cx="5308989" cy="142890"/>
                          </a:xfrm>
                          <a:prstGeom prst="rect">
                            <a:avLst/>
                          </a:prstGeom>
                          <a:ln>
                            <a:noFill/>
                          </a:ln>
                        </wps:spPr>
                        <wps:txbx>
                          <w:txbxContent>
                            <w:p w14:paraId="58C3C6E6" w14:textId="77777777" w:rsidR="00B32EF2" w:rsidRDefault="00000000">
                              <w:r>
                                <w:rPr>
                                  <w:rFonts w:ascii="Arial" w:eastAsia="Arial" w:hAnsi="Arial" w:cs="Arial"/>
                                  <w:sz w:val="18"/>
                                </w:rPr>
                                <w:t xml:space="preserve">e delle finanze, attività presso le corti di giustizia tributaria di primo e secondo </w:t>
                              </w:r>
                            </w:p>
                          </w:txbxContent>
                        </wps:txbx>
                        <wps:bodyPr horzOverflow="overflow" vert="horz" lIns="0" tIns="0" rIns="0" bIns="0" rtlCol="0">
                          <a:noAutofit/>
                        </wps:bodyPr>
                      </wps:wsp>
                      <wps:wsp>
                        <wps:cNvPr id="21271" name="Rectangle 21271"/>
                        <wps:cNvSpPr/>
                        <wps:spPr>
                          <a:xfrm rot="-10799999">
                            <a:off x="181347" y="5229086"/>
                            <a:ext cx="3810615" cy="142891"/>
                          </a:xfrm>
                          <a:prstGeom prst="rect">
                            <a:avLst/>
                          </a:prstGeom>
                          <a:ln>
                            <a:noFill/>
                          </a:ln>
                        </wps:spPr>
                        <wps:txbx>
                          <w:txbxContent>
                            <w:p w14:paraId="75B85D0D" w14:textId="77777777" w:rsidR="00B32EF2" w:rsidRDefault="00000000">
                              <w:r>
                                <w:rPr>
                                  <w:rFonts w:ascii="Arial" w:eastAsia="Arial" w:hAnsi="Arial" w:cs="Arial"/>
                                  <w:sz w:val="18"/>
                                </w:rPr>
                                <w:t>grado, finalizzate alle verifiche di rispettiva competenza.</w:t>
                              </w:r>
                            </w:p>
                          </w:txbxContent>
                        </wps:txbx>
                        <wps:bodyPr horzOverflow="overflow" vert="horz" lIns="0" tIns="0" rIns="0" bIns="0" rtlCol="0">
                          <a:noAutofit/>
                        </wps:bodyPr>
                      </wps:wsp>
                      <wps:wsp>
                        <wps:cNvPr id="202071" name="Rectangle 202071"/>
                        <wps:cNvSpPr/>
                        <wps:spPr>
                          <a:xfrm rot="-10799999">
                            <a:off x="2611136" y="5105758"/>
                            <a:ext cx="5309020" cy="142889"/>
                          </a:xfrm>
                          <a:prstGeom prst="rect">
                            <a:avLst/>
                          </a:prstGeom>
                          <a:ln>
                            <a:noFill/>
                          </a:ln>
                        </wps:spPr>
                        <wps:txbx>
                          <w:txbxContent>
                            <w:p w14:paraId="135097BB"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2074" name="Rectangle 202074"/>
                        <wps:cNvSpPr/>
                        <wps:spPr>
                          <a:xfrm rot="-10799999">
                            <a:off x="-1380197" y="5105758"/>
                            <a:ext cx="5309021" cy="142889"/>
                          </a:xfrm>
                          <a:prstGeom prst="rect">
                            <a:avLst/>
                          </a:prstGeom>
                          <a:ln>
                            <a:noFill/>
                          </a:ln>
                        </wps:spPr>
                        <wps:txbx>
                          <w:txbxContent>
                            <w:p w14:paraId="5647BB84" w14:textId="77777777" w:rsidR="00B32EF2" w:rsidRDefault="00000000">
                              <w:r>
                                <w:rPr>
                                  <w:rFonts w:ascii="Arial" w:eastAsia="Arial" w:hAnsi="Arial" w:cs="Arial"/>
                                  <w:sz w:val="18"/>
                                </w:rPr>
                                <w:t xml:space="preserve">. I componenti dell’ufficio ispettivo sono esonerati dall’esercizio delle funzioni </w:t>
                              </w:r>
                            </w:p>
                          </w:txbxContent>
                        </wps:txbx>
                        <wps:bodyPr horzOverflow="overflow" vert="horz" lIns="0" tIns="0" rIns="0" bIns="0" rtlCol="0">
                          <a:noAutofit/>
                        </wps:bodyPr>
                      </wps:wsp>
                      <wps:wsp>
                        <wps:cNvPr id="21273" name="Rectangle 21273"/>
                        <wps:cNvSpPr/>
                        <wps:spPr>
                          <a:xfrm rot="-10799999">
                            <a:off x="-1218565" y="4982428"/>
                            <a:ext cx="5210528" cy="142889"/>
                          </a:xfrm>
                          <a:prstGeom prst="rect">
                            <a:avLst/>
                          </a:prstGeom>
                          <a:ln>
                            <a:noFill/>
                          </a:ln>
                        </wps:spPr>
                        <wps:txbx>
                          <w:txbxContent>
                            <w:p w14:paraId="068EAA73" w14:textId="77777777" w:rsidR="00B32EF2" w:rsidRDefault="00000000">
                              <w:r>
                                <w:rPr>
                                  <w:rFonts w:ascii="Arial" w:eastAsia="Arial" w:hAnsi="Arial" w:cs="Arial"/>
                                  <w:sz w:val="18"/>
                                </w:rPr>
                                <w:t>giurisdizionali presso le corti di giustizia tributaria. Ai giudici tributari compo</w:t>
                              </w:r>
                            </w:p>
                          </w:txbxContent>
                        </wps:txbx>
                        <wps:bodyPr horzOverflow="overflow" vert="horz" lIns="0" tIns="0" rIns="0" bIns="0" rtlCol="0">
                          <a:noAutofit/>
                        </wps:bodyPr>
                      </wps:wsp>
                      <wps:wsp>
                        <wps:cNvPr id="21274" name="Rectangle 21274"/>
                        <wps:cNvSpPr/>
                        <wps:spPr>
                          <a:xfrm rot="-10799999">
                            <a:off x="19364" y="4982428"/>
                            <a:ext cx="50622" cy="142889"/>
                          </a:xfrm>
                          <a:prstGeom prst="rect">
                            <a:avLst/>
                          </a:prstGeom>
                          <a:ln>
                            <a:noFill/>
                          </a:ln>
                        </wps:spPr>
                        <wps:txbx>
                          <w:txbxContent>
                            <w:p w14:paraId="332FDC3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275" name="Rectangle 21275"/>
                        <wps:cNvSpPr/>
                        <wps:spPr>
                          <a:xfrm rot="-10799999">
                            <a:off x="-1317058" y="4859099"/>
                            <a:ext cx="5309021" cy="142889"/>
                          </a:xfrm>
                          <a:prstGeom prst="rect">
                            <a:avLst/>
                          </a:prstGeom>
                          <a:ln>
                            <a:noFill/>
                          </a:ln>
                        </wps:spPr>
                        <wps:txbx>
                          <w:txbxContent>
                            <w:p w14:paraId="517E17C9" w14:textId="77777777" w:rsidR="00B32EF2" w:rsidRDefault="00000000">
                              <w:r>
                                <w:rPr>
                                  <w:rFonts w:ascii="Arial" w:eastAsia="Arial" w:hAnsi="Arial" w:cs="Arial"/>
                                  <w:sz w:val="18"/>
                                </w:rPr>
                                <w:t xml:space="preserve">nenti dell’ufficio è corrisposto un trattamento economico, sostitutivo di quello </w:t>
                              </w:r>
                            </w:p>
                          </w:txbxContent>
                        </wps:txbx>
                        <wps:bodyPr horzOverflow="overflow" vert="horz" lIns="0" tIns="0" rIns="0" bIns="0" rtlCol="0">
                          <a:noAutofit/>
                        </wps:bodyPr>
                      </wps:wsp>
                      <wps:wsp>
                        <wps:cNvPr id="21276" name="Rectangle 21276"/>
                        <wps:cNvSpPr/>
                        <wps:spPr>
                          <a:xfrm rot="-10799999">
                            <a:off x="-1316997" y="4735769"/>
                            <a:ext cx="5308960" cy="142889"/>
                          </a:xfrm>
                          <a:prstGeom prst="rect">
                            <a:avLst/>
                          </a:prstGeom>
                          <a:ln>
                            <a:noFill/>
                          </a:ln>
                        </wps:spPr>
                        <wps:txbx>
                          <w:txbxContent>
                            <w:p w14:paraId="18583C4B" w14:textId="77777777" w:rsidR="00B32EF2" w:rsidRDefault="00000000">
                              <w:r>
                                <w:rPr>
                                  <w:rFonts w:ascii="Arial" w:eastAsia="Arial" w:hAnsi="Arial" w:cs="Arial"/>
                                  <w:sz w:val="18"/>
                                </w:rPr>
                                <w:t xml:space="preserve">previsto dall’articolo 19, pari alla metà dell’ammontare più elevato corrisposto </w:t>
                              </w:r>
                            </w:p>
                          </w:txbxContent>
                        </wps:txbx>
                        <wps:bodyPr horzOverflow="overflow" vert="horz" lIns="0" tIns="0" rIns="0" bIns="0" rtlCol="0">
                          <a:noAutofit/>
                        </wps:bodyPr>
                      </wps:wsp>
                      <wps:wsp>
                        <wps:cNvPr id="21277" name="Rectangle 21277"/>
                        <wps:cNvSpPr/>
                        <wps:spPr>
                          <a:xfrm rot="-10799999">
                            <a:off x="-1317043" y="4612439"/>
                            <a:ext cx="5309006" cy="142889"/>
                          </a:xfrm>
                          <a:prstGeom prst="rect">
                            <a:avLst/>
                          </a:prstGeom>
                          <a:ln>
                            <a:noFill/>
                          </a:ln>
                        </wps:spPr>
                        <wps:txbx>
                          <w:txbxContent>
                            <w:p w14:paraId="06C5CE9B" w14:textId="77777777" w:rsidR="00B32EF2" w:rsidRDefault="00000000">
                              <w:r>
                                <w:rPr>
                                  <w:rFonts w:ascii="Arial" w:eastAsia="Arial" w:hAnsi="Arial" w:cs="Arial"/>
                                  <w:sz w:val="18"/>
                                </w:rPr>
                                <w:t xml:space="preserve">nello stesso periodo ai giudici tributari per l’incarico di presidente di corte di </w:t>
                              </w:r>
                            </w:p>
                          </w:txbxContent>
                        </wps:txbx>
                        <wps:bodyPr horzOverflow="overflow" vert="horz" lIns="0" tIns="0" rIns="0" bIns="0" rtlCol="0">
                          <a:noAutofit/>
                        </wps:bodyPr>
                      </wps:wsp>
                      <wps:wsp>
                        <wps:cNvPr id="21278" name="Rectangle 21278"/>
                        <wps:cNvSpPr/>
                        <wps:spPr>
                          <a:xfrm rot="-10799999">
                            <a:off x="2745660" y="4489110"/>
                            <a:ext cx="1246875" cy="142889"/>
                          </a:xfrm>
                          <a:prstGeom prst="rect">
                            <a:avLst/>
                          </a:prstGeom>
                          <a:ln>
                            <a:noFill/>
                          </a:ln>
                        </wps:spPr>
                        <wps:txbx>
                          <w:txbxContent>
                            <w:p w14:paraId="59718030" w14:textId="77777777" w:rsidR="00B32EF2" w:rsidRDefault="00000000">
                              <w:r>
                                <w:rPr>
                                  <w:rFonts w:ascii="Arial" w:eastAsia="Arial" w:hAnsi="Arial" w:cs="Arial"/>
                                  <w:sz w:val="18"/>
                                </w:rPr>
                                <w:t>giustizia tributaria.</w:t>
                              </w:r>
                            </w:p>
                          </w:txbxContent>
                        </wps:txbx>
                        <wps:bodyPr horzOverflow="overflow" vert="horz" lIns="0" tIns="0" rIns="0" bIns="0" rtlCol="0">
                          <a:noAutofit/>
                        </wps:bodyPr>
                      </wps:wsp>
                      <wps:wsp>
                        <wps:cNvPr id="21279" name="Rectangle 21279"/>
                        <wps:cNvSpPr/>
                        <wps:spPr>
                          <a:xfrm rot="-10799999">
                            <a:off x="1510287" y="4242450"/>
                            <a:ext cx="805123" cy="142889"/>
                          </a:xfrm>
                          <a:prstGeom prst="rect">
                            <a:avLst/>
                          </a:prstGeom>
                          <a:ln>
                            <a:noFill/>
                          </a:ln>
                        </wps:spPr>
                        <wps:txbx>
                          <w:txbxContent>
                            <w:p w14:paraId="74FA4249" w14:textId="77777777" w:rsidR="00B32EF2" w:rsidRDefault="00000000">
                              <w:r>
                                <w:rPr>
                                  <w:rFonts w:ascii="Arial" w:eastAsia="Arial" w:hAnsi="Arial" w:cs="Arial"/>
                                  <w:b/>
                                  <w:sz w:val="18"/>
                                </w:rPr>
                                <w:t>Articolo 31</w:t>
                              </w:r>
                            </w:p>
                          </w:txbxContent>
                        </wps:txbx>
                        <wps:bodyPr horzOverflow="overflow" vert="horz" lIns="0" tIns="0" rIns="0" bIns="0" rtlCol="0">
                          <a:noAutofit/>
                        </wps:bodyPr>
                      </wps:wsp>
                      <wps:wsp>
                        <wps:cNvPr id="202060" name="Rectangle 202060"/>
                        <wps:cNvSpPr/>
                        <wps:spPr>
                          <a:xfrm rot="-10799999">
                            <a:off x="1004045" y="4119120"/>
                            <a:ext cx="2198012" cy="142889"/>
                          </a:xfrm>
                          <a:prstGeom prst="rect">
                            <a:avLst/>
                          </a:prstGeom>
                          <a:ln>
                            <a:noFill/>
                          </a:ln>
                        </wps:spPr>
                        <wps:txbx>
                          <w:txbxContent>
                            <w:p w14:paraId="55BEBA7A" w14:textId="77777777" w:rsidR="00B32EF2" w:rsidRDefault="00000000">
                              <w:r>
                                <w:rPr>
                                  <w:rFonts w:ascii="Arial" w:eastAsia="Arial" w:hAnsi="Arial" w:cs="Arial"/>
                                  <w:i/>
                                  <w:sz w:val="18"/>
                                </w:rPr>
                                <w:t xml:space="preserve">articolo 24-bis D.lgs. n. </w:t>
                              </w:r>
                            </w:p>
                          </w:txbxContent>
                        </wps:txbx>
                        <wps:bodyPr horzOverflow="overflow" vert="horz" lIns="0" tIns="0" rIns="0" bIns="0" rtlCol="0">
                          <a:noAutofit/>
                        </wps:bodyPr>
                      </wps:wsp>
                      <wps:wsp>
                        <wps:cNvPr id="202051" name="Rectangle 202051"/>
                        <wps:cNvSpPr/>
                        <wps:spPr>
                          <a:xfrm rot="-10799999">
                            <a:off x="-613436" y="4119120"/>
                            <a:ext cx="2198012" cy="142889"/>
                          </a:xfrm>
                          <a:prstGeom prst="rect">
                            <a:avLst/>
                          </a:prstGeom>
                          <a:ln>
                            <a:noFill/>
                          </a:ln>
                        </wps:spPr>
                        <wps:txbx>
                          <w:txbxContent>
                            <w:p w14:paraId="7C667BBA"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046" name="Rectangle 202046"/>
                        <wps:cNvSpPr/>
                        <wps:spPr>
                          <a:xfrm rot="-10799999">
                            <a:off x="2254899" y="4119120"/>
                            <a:ext cx="2198012" cy="142889"/>
                          </a:xfrm>
                          <a:prstGeom prst="rect">
                            <a:avLst/>
                          </a:prstGeom>
                          <a:ln>
                            <a:noFill/>
                          </a:ln>
                        </wps:spPr>
                        <wps:txbx>
                          <w:txbxContent>
                            <w:p w14:paraId="2420F69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1281" name="Rectangle 21281"/>
                        <wps:cNvSpPr/>
                        <wps:spPr>
                          <a:xfrm rot="-10799999">
                            <a:off x="464043" y="3995791"/>
                            <a:ext cx="2454986" cy="142889"/>
                          </a:xfrm>
                          <a:prstGeom prst="rect">
                            <a:avLst/>
                          </a:prstGeom>
                          <a:ln>
                            <a:noFill/>
                          </a:ln>
                        </wps:spPr>
                        <wps:txbx>
                          <w:txbxContent>
                            <w:p w14:paraId="644A97CE" w14:textId="77777777" w:rsidR="00B32EF2" w:rsidRDefault="00000000">
                              <w:r>
                                <w:rPr>
                                  <w:rFonts w:ascii="Arial" w:eastAsia="Arial" w:hAnsi="Arial" w:cs="Arial"/>
                                  <w:b/>
                                  <w:sz w:val="18"/>
                                </w:rPr>
                                <w:t xml:space="preserve">Ufficio del massimario nazionale </w:t>
                              </w:r>
                            </w:p>
                          </w:txbxContent>
                        </wps:txbx>
                        <wps:bodyPr horzOverflow="overflow" vert="horz" lIns="0" tIns="0" rIns="0" bIns="0" rtlCol="0">
                          <a:noAutofit/>
                        </wps:bodyPr>
                      </wps:wsp>
                      <wps:wsp>
                        <wps:cNvPr id="202032" name="Rectangle 202032"/>
                        <wps:cNvSpPr/>
                        <wps:spPr>
                          <a:xfrm rot="-10799999">
                            <a:off x="-859193" y="3865031"/>
                            <a:ext cx="4792658" cy="142889"/>
                          </a:xfrm>
                          <a:prstGeom prst="rect">
                            <a:avLst/>
                          </a:prstGeom>
                          <a:ln>
                            <a:noFill/>
                          </a:ln>
                        </wps:spPr>
                        <wps:txbx>
                          <w:txbxContent>
                            <w:p w14:paraId="734F83E4" w14:textId="77777777" w:rsidR="00B32EF2" w:rsidRDefault="00000000">
                              <w:r>
                                <w:rPr>
                                  <w:rFonts w:ascii="Arial" w:eastAsia="Arial" w:hAnsi="Arial" w:cs="Arial"/>
                                  <w:sz w:val="18"/>
                                </w:rPr>
                                <w:t>. È istituito presso il Consiglio di presidenza della giustizia tributaria l</w:t>
                              </w:r>
                            </w:p>
                          </w:txbxContent>
                        </wps:txbx>
                        <wps:bodyPr horzOverflow="overflow" vert="horz" lIns="0" tIns="0" rIns="0" bIns="0" rtlCol="0">
                          <a:noAutofit/>
                        </wps:bodyPr>
                      </wps:wsp>
                      <wps:wsp>
                        <wps:cNvPr id="202031" name="Rectangle 202031"/>
                        <wps:cNvSpPr/>
                        <wps:spPr>
                          <a:xfrm rot="-10799999">
                            <a:off x="2739257" y="3865031"/>
                            <a:ext cx="4792658" cy="142889"/>
                          </a:xfrm>
                          <a:prstGeom prst="rect">
                            <a:avLst/>
                          </a:prstGeom>
                          <a:ln>
                            <a:noFill/>
                          </a:ln>
                        </wps:spPr>
                        <wps:txbx>
                          <w:txbxContent>
                            <w:p w14:paraId="760DBAC5"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1283" name="Rectangle 21283"/>
                        <wps:cNvSpPr/>
                        <wps:spPr>
                          <a:xfrm rot="-10799999">
                            <a:off x="-127717" y="3865031"/>
                            <a:ext cx="515800" cy="142889"/>
                          </a:xfrm>
                          <a:prstGeom prst="rect">
                            <a:avLst/>
                          </a:prstGeom>
                          <a:ln>
                            <a:noFill/>
                          </a:ln>
                        </wps:spPr>
                        <wps:txbx>
                          <w:txbxContent>
                            <w:p w14:paraId="622615BA" w14:textId="77777777" w:rsidR="00B32EF2" w:rsidRDefault="00000000">
                              <w:r>
                                <w:rPr>
                                  <w:rFonts w:ascii="Arial" w:eastAsia="Arial" w:hAnsi="Arial" w:cs="Arial"/>
                                  <w:sz w:val="18"/>
                                </w:rPr>
                                <w:t xml:space="preserve">’Ufficio </w:t>
                              </w:r>
                            </w:p>
                          </w:txbxContent>
                        </wps:txbx>
                        <wps:bodyPr horzOverflow="overflow" vert="horz" lIns="0" tIns="0" rIns="0" bIns="0" rtlCol="0">
                          <a:noAutofit/>
                        </wps:bodyPr>
                      </wps:wsp>
                      <wps:wsp>
                        <wps:cNvPr id="21284" name="Rectangle 21284"/>
                        <wps:cNvSpPr/>
                        <wps:spPr>
                          <a:xfrm rot="-10799999">
                            <a:off x="-1316913" y="3741701"/>
                            <a:ext cx="5308990" cy="142889"/>
                          </a:xfrm>
                          <a:prstGeom prst="rect">
                            <a:avLst/>
                          </a:prstGeom>
                          <a:ln>
                            <a:noFill/>
                          </a:ln>
                        </wps:spPr>
                        <wps:txbx>
                          <w:txbxContent>
                            <w:p w14:paraId="61E124F9" w14:textId="77777777" w:rsidR="00B32EF2" w:rsidRDefault="00000000">
                              <w:r>
                                <w:rPr>
                                  <w:rFonts w:ascii="Arial" w:eastAsia="Arial" w:hAnsi="Arial" w:cs="Arial"/>
                                  <w:sz w:val="18"/>
                                </w:rPr>
                                <w:t xml:space="preserve">del massimario nazionale, al quale sono assegnati un direttore, che ne è il </w:t>
                              </w:r>
                            </w:p>
                          </w:txbxContent>
                        </wps:txbx>
                        <wps:bodyPr horzOverflow="overflow" vert="horz" lIns="0" tIns="0" rIns="0" bIns="0" rtlCol="0">
                          <a:noAutofit/>
                        </wps:bodyPr>
                      </wps:wsp>
                      <wps:wsp>
                        <wps:cNvPr id="21285" name="Rectangle 21285"/>
                        <wps:cNvSpPr/>
                        <wps:spPr>
                          <a:xfrm rot="-10799999">
                            <a:off x="463320" y="3618372"/>
                            <a:ext cx="3528756" cy="142889"/>
                          </a:xfrm>
                          <a:prstGeom prst="rect">
                            <a:avLst/>
                          </a:prstGeom>
                          <a:ln>
                            <a:noFill/>
                          </a:ln>
                        </wps:spPr>
                        <wps:txbx>
                          <w:txbxContent>
                            <w:p w14:paraId="5C8A93E9" w14:textId="77777777" w:rsidR="00B32EF2" w:rsidRDefault="00000000">
                              <w:r>
                                <w:rPr>
                                  <w:rFonts w:ascii="Arial" w:eastAsia="Arial" w:hAnsi="Arial" w:cs="Arial"/>
                                  <w:sz w:val="18"/>
                                </w:rPr>
                                <w:t>responsabile, e quindici magistrati o giudici tributari.</w:t>
                              </w:r>
                            </w:p>
                          </w:txbxContent>
                        </wps:txbx>
                        <wps:bodyPr horzOverflow="overflow" vert="horz" lIns="0" tIns="0" rIns="0" bIns="0" rtlCol="0">
                          <a:noAutofit/>
                        </wps:bodyPr>
                      </wps:wsp>
                      <wps:wsp>
                        <wps:cNvPr id="202026" name="Rectangle 202026"/>
                        <wps:cNvSpPr/>
                        <wps:spPr>
                          <a:xfrm rot="-10799999">
                            <a:off x="2611247" y="3495042"/>
                            <a:ext cx="5309037" cy="142889"/>
                          </a:xfrm>
                          <a:prstGeom prst="rect">
                            <a:avLst/>
                          </a:prstGeom>
                          <a:ln>
                            <a:noFill/>
                          </a:ln>
                        </wps:spPr>
                        <wps:txbx>
                          <w:txbxContent>
                            <w:p w14:paraId="361FAEA5"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2028" name="Rectangle 202028"/>
                        <wps:cNvSpPr/>
                        <wps:spPr>
                          <a:xfrm rot="-10799999">
                            <a:off x="-1381515" y="3495042"/>
                            <a:ext cx="5309035" cy="142889"/>
                          </a:xfrm>
                          <a:prstGeom prst="rect">
                            <a:avLst/>
                          </a:prstGeom>
                          <a:ln>
                            <a:noFill/>
                          </a:ln>
                        </wps:spPr>
                        <wps:txbx>
                          <w:txbxContent>
                            <w:p w14:paraId="3C865708" w14:textId="77777777" w:rsidR="00B32EF2" w:rsidRDefault="00000000">
                              <w:r>
                                <w:rPr>
                                  <w:rFonts w:ascii="Arial" w:eastAsia="Arial" w:hAnsi="Arial" w:cs="Arial"/>
                                  <w:sz w:val="18"/>
                                </w:rPr>
                                <w:t xml:space="preserve">. Il direttore, i magistrati e i giudici tributari assegnati all’Ufficio sono nominati </w:t>
                              </w:r>
                            </w:p>
                          </w:txbxContent>
                        </wps:txbx>
                        <wps:bodyPr horzOverflow="overflow" vert="horz" lIns="0" tIns="0" rIns="0" bIns="0" rtlCol="0">
                          <a:noAutofit/>
                        </wps:bodyPr>
                      </wps:wsp>
                      <wps:wsp>
                        <wps:cNvPr id="21287" name="Rectangle 21287"/>
                        <wps:cNvSpPr/>
                        <wps:spPr>
                          <a:xfrm rot="-10799999">
                            <a:off x="-1316958" y="3364282"/>
                            <a:ext cx="5309035" cy="142889"/>
                          </a:xfrm>
                          <a:prstGeom prst="rect">
                            <a:avLst/>
                          </a:prstGeom>
                          <a:ln>
                            <a:noFill/>
                          </a:ln>
                        </wps:spPr>
                        <wps:txbx>
                          <w:txbxContent>
                            <w:p w14:paraId="21931E21" w14:textId="77777777" w:rsidR="00B32EF2" w:rsidRDefault="00000000">
                              <w:r>
                                <w:rPr>
                                  <w:rFonts w:ascii="Arial" w:eastAsia="Arial" w:hAnsi="Arial" w:cs="Arial"/>
                                  <w:sz w:val="18"/>
                                </w:rPr>
                                <w:t xml:space="preserve">con delibera del Consiglio di presidenza tra i componenti delle corti di giustizia </w:t>
                              </w:r>
                            </w:p>
                          </w:txbxContent>
                        </wps:txbx>
                        <wps:bodyPr horzOverflow="overflow" vert="horz" lIns="0" tIns="0" rIns="0" bIns="0" rtlCol="0">
                          <a:noAutofit/>
                        </wps:bodyPr>
                      </wps:wsp>
                      <wps:wsp>
                        <wps:cNvPr id="21288" name="Rectangle 21288"/>
                        <wps:cNvSpPr/>
                        <wps:spPr>
                          <a:xfrm rot="-10799999">
                            <a:off x="-1317025" y="3233523"/>
                            <a:ext cx="5309902" cy="142889"/>
                          </a:xfrm>
                          <a:prstGeom prst="rect">
                            <a:avLst/>
                          </a:prstGeom>
                          <a:ln>
                            <a:noFill/>
                          </a:ln>
                        </wps:spPr>
                        <wps:txbx>
                          <w:txbxContent>
                            <w:p w14:paraId="6EBEB715" w14:textId="77777777" w:rsidR="00B32EF2" w:rsidRDefault="00000000">
                              <w:r>
                                <w:rPr>
                                  <w:rFonts w:ascii="Arial" w:eastAsia="Arial" w:hAnsi="Arial" w:cs="Arial"/>
                                  <w:sz w:val="18"/>
                                </w:rPr>
                                <w:t xml:space="preserve">tributaria di primo e secondo grado. La nomina del direttore e dei componenti </w:t>
                              </w:r>
                            </w:p>
                          </w:txbxContent>
                        </wps:txbx>
                        <wps:bodyPr horzOverflow="overflow" vert="horz" lIns="0" tIns="0" rIns="0" bIns="0" rtlCol="0">
                          <a:noAutofit/>
                        </wps:bodyPr>
                      </wps:wsp>
                      <wps:wsp>
                        <wps:cNvPr id="21289" name="Rectangle 21289"/>
                        <wps:cNvSpPr/>
                        <wps:spPr>
                          <a:xfrm rot="-10799999">
                            <a:off x="-1316958" y="3102765"/>
                            <a:ext cx="5309035" cy="142889"/>
                          </a:xfrm>
                          <a:prstGeom prst="rect">
                            <a:avLst/>
                          </a:prstGeom>
                          <a:ln>
                            <a:noFill/>
                          </a:ln>
                        </wps:spPr>
                        <wps:txbx>
                          <w:txbxContent>
                            <w:p w14:paraId="1FF65667" w14:textId="77777777" w:rsidR="00B32EF2" w:rsidRDefault="00000000">
                              <w:r>
                                <w:rPr>
                                  <w:rFonts w:ascii="Arial" w:eastAsia="Arial" w:hAnsi="Arial" w:cs="Arial"/>
                                  <w:sz w:val="18"/>
                                </w:rPr>
                                <w:t xml:space="preserve">dell’Ufficio è effettuata tra i candidati che hanno maturato non meno di sette </w:t>
                              </w:r>
                            </w:p>
                          </w:txbxContent>
                        </wps:txbx>
                        <wps:bodyPr horzOverflow="overflow" vert="horz" lIns="0" tIns="0" rIns="0" bIns="0" rtlCol="0">
                          <a:noAutofit/>
                        </wps:bodyPr>
                      </wps:wsp>
                      <wps:wsp>
                        <wps:cNvPr id="21290" name="Rectangle 21290"/>
                        <wps:cNvSpPr/>
                        <wps:spPr>
                          <a:xfrm rot="-10799999">
                            <a:off x="350552" y="2972005"/>
                            <a:ext cx="3641524" cy="142889"/>
                          </a:xfrm>
                          <a:prstGeom prst="rect">
                            <a:avLst/>
                          </a:prstGeom>
                          <a:ln>
                            <a:noFill/>
                          </a:ln>
                        </wps:spPr>
                        <wps:txbx>
                          <w:txbxContent>
                            <w:p w14:paraId="44B67C32" w14:textId="77777777" w:rsidR="00B32EF2" w:rsidRDefault="00000000">
                              <w:r>
                                <w:rPr>
                                  <w:rFonts w:ascii="Arial" w:eastAsia="Arial" w:hAnsi="Arial" w:cs="Arial"/>
                                  <w:sz w:val="18"/>
                                </w:rPr>
                                <w:t>anni di effettivo esercizio nelle funzioni giurisdizionali.</w:t>
                              </w:r>
                            </w:p>
                          </w:txbxContent>
                        </wps:txbx>
                        <wps:bodyPr horzOverflow="overflow" vert="horz" lIns="0" tIns="0" rIns="0" bIns="0" rtlCol="0">
                          <a:noAutofit/>
                        </wps:bodyPr>
                      </wps:wsp>
                      <wps:wsp>
                        <wps:cNvPr id="21291" name="Rectangle 21291"/>
                        <wps:cNvSpPr/>
                        <wps:spPr>
                          <a:xfrm rot="-10799999">
                            <a:off x="-1316943" y="2841246"/>
                            <a:ext cx="5309021" cy="142889"/>
                          </a:xfrm>
                          <a:prstGeom prst="rect">
                            <a:avLst/>
                          </a:prstGeom>
                          <a:ln>
                            <a:noFill/>
                          </a:ln>
                        </wps:spPr>
                        <wps:txbx>
                          <w:txbxContent>
                            <w:p w14:paraId="2693B4B4" w14:textId="77777777" w:rsidR="00B32EF2" w:rsidRDefault="00000000">
                              <w:r>
                                <w:rPr>
                                  <w:rFonts w:ascii="Arial" w:eastAsia="Arial" w:hAnsi="Arial" w:cs="Arial"/>
                                  <w:sz w:val="18"/>
                                </w:rPr>
                                <w:t xml:space="preserve">L’incarico del direttore e dei componenti dell’Ufficio ha durata quinquennale e </w:t>
                              </w:r>
                            </w:p>
                          </w:txbxContent>
                        </wps:txbx>
                        <wps:bodyPr horzOverflow="overflow" vert="horz" lIns="0" tIns="0" rIns="0" bIns="0" rtlCol="0">
                          <a:noAutofit/>
                        </wps:bodyPr>
                      </wps:wsp>
                      <wps:wsp>
                        <wps:cNvPr id="21292" name="Rectangle 21292"/>
                        <wps:cNvSpPr/>
                        <wps:spPr>
                          <a:xfrm rot="-10799999">
                            <a:off x="2782643" y="2710487"/>
                            <a:ext cx="1209433" cy="142889"/>
                          </a:xfrm>
                          <a:prstGeom prst="rect">
                            <a:avLst/>
                          </a:prstGeom>
                          <a:ln>
                            <a:noFill/>
                          </a:ln>
                        </wps:spPr>
                        <wps:txbx>
                          <w:txbxContent>
                            <w:p w14:paraId="7F0CFA08" w14:textId="77777777" w:rsidR="00B32EF2" w:rsidRDefault="00000000">
                              <w:r>
                                <w:rPr>
                                  <w:rFonts w:ascii="Arial" w:eastAsia="Arial" w:hAnsi="Arial" w:cs="Arial"/>
                                  <w:sz w:val="18"/>
                                </w:rPr>
                                <w:t>non è rinnovabile.</w:t>
                              </w:r>
                            </w:p>
                          </w:txbxContent>
                        </wps:txbx>
                        <wps:bodyPr horzOverflow="overflow" vert="horz" lIns="0" tIns="0" rIns="0" bIns="0" rtlCol="0">
                          <a:noAutofit/>
                        </wps:bodyPr>
                      </wps:wsp>
                      <wps:wsp>
                        <wps:cNvPr id="202020" name="Rectangle 202020"/>
                        <wps:cNvSpPr/>
                        <wps:spPr>
                          <a:xfrm rot="-10799999">
                            <a:off x="2634968" y="2579728"/>
                            <a:ext cx="5213432" cy="142889"/>
                          </a:xfrm>
                          <a:prstGeom prst="rect">
                            <a:avLst/>
                          </a:prstGeom>
                          <a:ln>
                            <a:noFill/>
                          </a:ln>
                        </wps:spPr>
                        <wps:txbx>
                          <w:txbxContent>
                            <w:p w14:paraId="654EC332"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2022" name="Rectangle 202022"/>
                        <wps:cNvSpPr/>
                        <wps:spPr>
                          <a:xfrm rot="-10799999">
                            <a:off x="-1285191" y="2579728"/>
                            <a:ext cx="5213432" cy="142889"/>
                          </a:xfrm>
                          <a:prstGeom prst="rect">
                            <a:avLst/>
                          </a:prstGeom>
                          <a:ln>
                            <a:noFill/>
                          </a:ln>
                        </wps:spPr>
                        <wps:txbx>
                          <w:txbxContent>
                            <w:p w14:paraId="298D6EA4" w14:textId="77777777" w:rsidR="00B32EF2" w:rsidRDefault="00000000">
                              <w:r>
                                <w:rPr>
                                  <w:rFonts w:ascii="Arial" w:eastAsia="Arial" w:hAnsi="Arial" w:cs="Arial"/>
                                  <w:sz w:val="18"/>
                                </w:rPr>
                                <w:t>. L’Ufficio del massimario nazionale provvede a rilevare, classificare e ordi</w:t>
                              </w:r>
                            </w:p>
                          </w:txbxContent>
                        </wps:txbx>
                        <wps:bodyPr horzOverflow="overflow" vert="horz" lIns="0" tIns="0" rIns="0" bIns="0" rtlCol="0">
                          <a:noAutofit/>
                        </wps:bodyPr>
                      </wps:wsp>
                      <wps:wsp>
                        <wps:cNvPr id="21294" name="Rectangle 21294"/>
                        <wps:cNvSpPr/>
                        <wps:spPr>
                          <a:xfrm rot="-10799999">
                            <a:off x="19478" y="2579728"/>
                            <a:ext cx="50622" cy="142889"/>
                          </a:xfrm>
                          <a:prstGeom prst="rect">
                            <a:avLst/>
                          </a:prstGeom>
                          <a:ln>
                            <a:noFill/>
                          </a:ln>
                        </wps:spPr>
                        <wps:txbx>
                          <w:txbxContent>
                            <w:p w14:paraId="211F3D5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295" name="Rectangle 21295"/>
                        <wps:cNvSpPr/>
                        <wps:spPr>
                          <a:xfrm rot="-10799999">
                            <a:off x="-1316943" y="2448968"/>
                            <a:ext cx="5309021" cy="142889"/>
                          </a:xfrm>
                          <a:prstGeom prst="rect">
                            <a:avLst/>
                          </a:prstGeom>
                          <a:ln>
                            <a:noFill/>
                          </a:ln>
                        </wps:spPr>
                        <wps:txbx>
                          <w:txbxContent>
                            <w:p w14:paraId="362D423D" w14:textId="77777777" w:rsidR="00B32EF2" w:rsidRDefault="00000000">
                              <w:r>
                                <w:rPr>
                                  <w:rFonts w:ascii="Arial" w:eastAsia="Arial" w:hAnsi="Arial" w:cs="Arial"/>
                                  <w:sz w:val="18"/>
                                </w:rPr>
                                <w:t xml:space="preserve">nare in massime le decisioni delle corti di giustizia tributaria di secondo grado </w:t>
                              </w:r>
                            </w:p>
                          </w:txbxContent>
                        </wps:txbx>
                        <wps:bodyPr horzOverflow="overflow" vert="horz" lIns="0" tIns="0" rIns="0" bIns="0" rtlCol="0">
                          <a:noAutofit/>
                        </wps:bodyPr>
                      </wps:wsp>
                      <wps:wsp>
                        <wps:cNvPr id="21296" name="Rectangle 21296"/>
                        <wps:cNvSpPr/>
                        <wps:spPr>
                          <a:xfrm rot="-10799999">
                            <a:off x="-1316929" y="2318210"/>
                            <a:ext cx="5309006" cy="142889"/>
                          </a:xfrm>
                          <a:prstGeom prst="rect">
                            <a:avLst/>
                          </a:prstGeom>
                          <a:ln>
                            <a:noFill/>
                          </a:ln>
                        </wps:spPr>
                        <wps:txbx>
                          <w:txbxContent>
                            <w:p w14:paraId="66ECCA93" w14:textId="77777777" w:rsidR="00B32EF2" w:rsidRDefault="00000000">
                              <w:r>
                                <w:rPr>
                                  <w:rFonts w:ascii="Arial" w:eastAsia="Arial" w:hAnsi="Arial" w:cs="Arial"/>
                                  <w:sz w:val="18"/>
                                </w:rPr>
                                <w:t xml:space="preserve">e le più significative tra quelle emesse dalle corti di giustizia tributaria di primo </w:t>
                              </w:r>
                            </w:p>
                          </w:txbxContent>
                        </wps:txbx>
                        <wps:bodyPr horzOverflow="overflow" vert="horz" lIns="0" tIns="0" rIns="0" bIns="0" rtlCol="0">
                          <a:noAutofit/>
                        </wps:bodyPr>
                      </wps:wsp>
                      <wps:wsp>
                        <wps:cNvPr id="21297" name="Rectangle 21297"/>
                        <wps:cNvSpPr/>
                        <wps:spPr>
                          <a:xfrm rot="-10799999">
                            <a:off x="3558523" y="2187450"/>
                            <a:ext cx="432525" cy="142889"/>
                          </a:xfrm>
                          <a:prstGeom prst="rect">
                            <a:avLst/>
                          </a:prstGeom>
                          <a:ln>
                            <a:noFill/>
                          </a:ln>
                        </wps:spPr>
                        <wps:txbx>
                          <w:txbxContent>
                            <w:p w14:paraId="7F75EDA4" w14:textId="77777777" w:rsidR="00B32EF2" w:rsidRDefault="00000000">
                              <w:r>
                                <w:rPr>
                                  <w:rFonts w:ascii="Arial" w:eastAsia="Arial" w:hAnsi="Arial" w:cs="Arial"/>
                                  <w:sz w:val="18"/>
                                </w:rPr>
                                <w:t>grado.</w:t>
                              </w:r>
                            </w:p>
                          </w:txbxContent>
                        </wps:txbx>
                        <wps:bodyPr horzOverflow="overflow" vert="horz" lIns="0" tIns="0" rIns="0" bIns="0" rtlCol="0">
                          <a:noAutofit/>
                        </wps:bodyPr>
                      </wps:wsp>
                      <wps:wsp>
                        <wps:cNvPr id="202018" name="Rectangle 202018"/>
                        <wps:cNvSpPr/>
                        <wps:spPr>
                          <a:xfrm rot="-10799999">
                            <a:off x="-1379946" y="2056692"/>
                            <a:ext cx="5308884" cy="142889"/>
                          </a:xfrm>
                          <a:prstGeom prst="rect">
                            <a:avLst/>
                          </a:prstGeom>
                          <a:ln>
                            <a:noFill/>
                          </a:ln>
                        </wps:spPr>
                        <wps:txbx>
                          <w:txbxContent>
                            <w:p w14:paraId="02950203" w14:textId="77777777" w:rsidR="00B32EF2" w:rsidRDefault="00000000">
                              <w:r>
                                <w:rPr>
                                  <w:rFonts w:ascii="Arial" w:eastAsia="Arial" w:hAnsi="Arial" w:cs="Arial"/>
                                  <w:sz w:val="18"/>
                                </w:rPr>
                                <w:t xml:space="preserve">. Le massime delle decisioni di cui al comma 3 alimentano la banca dati della </w:t>
                              </w:r>
                            </w:p>
                          </w:txbxContent>
                        </wps:txbx>
                        <wps:bodyPr horzOverflow="overflow" vert="horz" lIns="0" tIns="0" rIns="0" bIns="0" rtlCol="0">
                          <a:noAutofit/>
                        </wps:bodyPr>
                      </wps:wsp>
                      <wps:wsp>
                        <wps:cNvPr id="202017" name="Rectangle 202017"/>
                        <wps:cNvSpPr/>
                        <wps:spPr>
                          <a:xfrm rot="-10799999">
                            <a:off x="2611285" y="2056692"/>
                            <a:ext cx="5308883" cy="142889"/>
                          </a:xfrm>
                          <a:prstGeom prst="rect">
                            <a:avLst/>
                          </a:prstGeom>
                          <a:ln>
                            <a:noFill/>
                          </a:ln>
                        </wps:spPr>
                        <wps:txbx>
                          <w:txbxContent>
                            <w:p w14:paraId="673FEC4B"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1299" name="Rectangle 21299"/>
                        <wps:cNvSpPr/>
                        <wps:spPr>
                          <a:xfrm rot="-10799999">
                            <a:off x="-1316958" y="1925932"/>
                            <a:ext cx="5309035" cy="142889"/>
                          </a:xfrm>
                          <a:prstGeom prst="rect">
                            <a:avLst/>
                          </a:prstGeom>
                          <a:ln>
                            <a:noFill/>
                          </a:ln>
                        </wps:spPr>
                        <wps:txbx>
                          <w:txbxContent>
                            <w:p w14:paraId="5D58FCA5" w14:textId="77777777" w:rsidR="00B32EF2" w:rsidRDefault="00000000">
                              <w:r>
                                <w:rPr>
                                  <w:rFonts w:ascii="Arial" w:eastAsia="Arial" w:hAnsi="Arial" w:cs="Arial"/>
                                  <w:sz w:val="18"/>
                                </w:rPr>
                                <w:t xml:space="preserve">giurisprudenza tributaria di merito, gestita dal Ministero dell’economia e delle </w:t>
                              </w:r>
                            </w:p>
                          </w:txbxContent>
                        </wps:txbx>
                        <wps:bodyPr horzOverflow="overflow" vert="horz" lIns="0" tIns="0" rIns="0" bIns="0" rtlCol="0">
                          <a:noAutofit/>
                        </wps:bodyPr>
                      </wps:wsp>
                      <wps:wsp>
                        <wps:cNvPr id="21300" name="Rectangle 21300"/>
                        <wps:cNvSpPr/>
                        <wps:spPr>
                          <a:xfrm rot="-10799999">
                            <a:off x="3456781" y="1795173"/>
                            <a:ext cx="535867" cy="142889"/>
                          </a:xfrm>
                          <a:prstGeom prst="rect">
                            <a:avLst/>
                          </a:prstGeom>
                          <a:ln>
                            <a:noFill/>
                          </a:ln>
                        </wps:spPr>
                        <wps:txbx>
                          <w:txbxContent>
                            <w:p w14:paraId="0E6FF79B" w14:textId="77777777" w:rsidR="00B32EF2" w:rsidRDefault="00000000">
                              <w:r>
                                <w:rPr>
                                  <w:rFonts w:ascii="Arial" w:eastAsia="Arial" w:hAnsi="Arial" w:cs="Arial"/>
                                  <w:sz w:val="18"/>
                                </w:rPr>
                                <w:t>finanze.</w:t>
                              </w:r>
                            </w:p>
                          </w:txbxContent>
                        </wps:txbx>
                        <wps:bodyPr horzOverflow="overflow" vert="horz" lIns="0" tIns="0" rIns="0" bIns="0" rtlCol="0">
                          <a:noAutofit/>
                        </wps:bodyPr>
                      </wps:wsp>
                      <wps:wsp>
                        <wps:cNvPr id="202015" name="Rectangle 202015"/>
                        <wps:cNvSpPr/>
                        <wps:spPr>
                          <a:xfrm rot="-10799999">
                            <a:off x="2635213" y="1664414"/>
                            <a:ext cx="5212443" cy="142889"/>
                          </a:xfrm>
                          <a:prstGeom prst="rect">
                            <a:avLst/>
                          </a:prstGeom>
                          <a:ln>
                            <a:noFill/>
                          </a:ln>
                        </wps:spPr>
                        <wps:txbx>
                          <w:txbxContent>
                            <w:p w14:paraId="1453BC93"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02016" name="Rectangle 202016"/>
                        <wps:cNvSpPr/>
                        <wps:spPr>
                          <a:xfrm rot="-10799999">
                            <a:off x="-1284762" y="1664414"/>
                            <a:ext cx="5212443" cy="142889"/>
                          </a:xfrm>
                          <a:prstGeom prst="rect">
                            <a:avLst/>
                          </a:prstGeom>
                          <a:ln>
                            <a:noFill/>
                          </a:ln>
                        </wps:spPr>
                        <wps:txbx>
                          <w:txbxContent>
                            <w:p w14:paraId="2B292972" w14:textId="77777777" w:rsidR="00B32EF2" w:rsidRDefault="00000000">
                              <w:r>
                                <w:rPr>
                                  <w:rFonts w:ascii="Arial" w:eastAsia="Arial" w:hAnsi="Arial" w:cs="Arial"/>
                                  <w:sz w:val="18"/>
                                </w:rPr>
                                <w:t>. Mediante convenzione tra il Ministero dell’economia e delle finanze, il Con</w:t>
                              </w:r>
                            </w:p>
                          </w:txbxContent>
                        </wps:txbx>
                        <wps:bodyPr horzOverflow="overflow" vert="horz" lIns="0" tIns="0" rIns="0" bIns="0" rtlCol="0">
                          <a:noAutofit/>
                        </wps:bodyPr>
                      </wps:wsp>
                      <wps:wsp>
                        <wps:cNvPr id="21302" name="Rectangle 21302"/>
                        <wps:cNvSpPr/>
                        <wps:spPr>
                          <a:xfrm rot="-10799999">
                            <a:off x="19478" y="1664414"/>
                            <a:ext cx="50622" cy="142889"/>
                          </a:xfrm>
                          <a:prstGeom prst="rect">
                            <a:avLst/>
                          </a:prstGeom>
                          <a:ln>
                            <a:noFill/>
                          </a:ln>
                        </wps:spPr>
                        <wps:txbx>
                          <w:txbxContent>
                            <w:p w14:paraId="4085BBA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303" name="Rectangle 21303"/>
                        <wps:cNvSpPr/>
                        <wps:spPr>
                          <a:xfrm rot="-10799999">
                            <a:off x="-1316958" y="1533655"/>
                            <a:ext cx="5309035" cy="142889"/>
                          </a:xfrm>
                          <a:prstGeom prst="rect">
                            <a:avLst/>
                          </a:prstGeom>
                          <a:ln>
                            <a:noFill/>
                          </a:ln>
                        </wps:spPr>
                        <wps:txbx>
                          <w:txbxContent>
                            <w:p w14:paraId="6658699B" w14:textId="77777777" w:rsidR="00B32EF2" w:rsidRDefault="00000000">
                              <w:r>
                                <w:rPr>
                                  <w:rFonts w:ascii="Arial" w:eastAsia="Arial" w:hAnsi="Arial" w:cs="Arial"/>
                                  <w:sz w:val="18"/>
                                </w:rPr>
                                <w:t xml:space="preserve">siglio di presidenza della giustizia tributaria e la Corte di cassazione sono </w:t>
                              </w:r>
                            </w:p>
                          </w:txbxContent>
                        </wps:txbx>
                        <wps:bodyPr horzOverflow="overflow" vert="horz" lIns="0" tIns="0" rIns="0" bIns="0" rtlCol="0">
                          <a:noAutofit/>
                        </wps:bodyPr>
                      </wps:wsp>
                      <wps:wsp>
                        <wps:cNvPr id="21304" name="Rectangle 21304"/>
                        <wps:cNvSpPr/>
                        <wps:spPr>
                          <a:xfrm rot="-10799999">
                            <a:off x="-1317384" y="1402896"/>
                            <a:ext cx="5309461" cy="142889"/>
                          </a:xfrm>
                          <a:prstGeom prst="rect">
                            <a:avLst/>
                          </a:prstGeom>
                          <a:ln>
                            <a:noFill/>
                          </a:ln>
                        </wps:spPr>
                        <wps:txbx>
                          <w:txbxContent>
                            <w:p w14:paraId="4BA7A65F" w14:textId="77777777" w:rsidR="00B32EF2" w:rsidRDefault="00000000">
                              <w:r>
                                <w:rPr>
                                  <w:rFonts w:ascii="Arial" w:eastAsia="Arial" w:hAnsi="Arial" w:cs="Arial"/>
                                  <w:sz w:val="18"/>
                                </w:rPr>
                                <w:t xml:space="preserve">stabilite le modalità per la consultazione della banca dati della giurisprudenza </w:t>
                              </w:r>
                            </w:p>
                          </w:txbxContent>
                        </wps:txbx>
                        <wps:bodyPr horzOverflow="overflow" vert="horz" lIns="0" tIns="0" rIns="0" bIns="0" rtlCol="0">
                          <a:noAutofit/>
                        </wps:bodyPr>
                      </wps:wsp>
                      <wps:wsp>
                        <wps:cNvPr id="21305" name="Rectangle 21305"/>
                        <wps:cNvSpPr/>
                        <wps:spPr>
                          <a:xfrm rot="-10799999">
                            <a:off x="1270024" y="1272137"/>
                            <a:ext cx="2722052" cy="142889"/>
                          </a:xfrm>
                          <a:prstGeom prst="rect">
                            <a:avLst/>
                          </a:prstGeom>
                          <a:ln>
                            <a:noFill/>
                          </a:ln>
                        </wps:spPr>
                        <wps:txbx>
                          <w:txbxContent>
                            <w:p w14:paraId="7F19E5BA" w14:textId="77777777" w:rsidR="00B32EF2" w:rsidRDefault="00000000">
                              <w:r>
                                <w:rPr>
                                  <w:rFonts w:ascii="Arial" w:eastAsia="Arial" w:hAnsi="Arial" w:cs="Arial"/>
                                  <w:sz w:val="18"/>
                                </w:rPr>
                                <w:t xml:space="preserve">tributaria di merito da parte della Corte. </w:t>
                              </w:r>
                            </w:p>
                          </w:txbxContent>
                        </wps:txbx>
                        <wps:bodyPr horzOverflow="overflow" vert="horz" lIns="0" tIns="0" rIns="0" bIns="0" rtlCol="0">
                          <a:noAutofit/>
                        </wps:bodyPr>
                      </wps:wsp>
                      <wps:wsp>
                        <wps:cNvPr id="202012" name="Rectangle 202012"/>
                        <wps:cNvSpPr/>
                        <wps:spPr>
                          <a:xfrm rot="-10799999">
                            <a:off x="-1284671" y="1141378"/>
                            <a:ext cx="5212443" cy="142889"/>
                          </a:xfrm>
                          <a:prstGeom prst="rect">
                            <a:avLst/>
                          </a:prstGeom>
                          <a:ln>
                            <a:noFill/>
                          </a:ln>
                        </wps:spPr>
                        <wps:txbx>
                          <w:txbxContent>
                            <w:p w14:paraId="4D415C29" w14:textId="77777777" w:rsidR="00B32EF2" w:rsidRDefault="00000000">
                              <w:r>
                                <w:rPr>
                                  <w:rFonts w:ascii="Arial" w:eastAsia="Arial" w:hAnsi="Arial" w:cs="Arial"/>
                                  <w:sz w:val="18"/>
                                </w:rPr>
                                <w:t>. L’Ufficio del massimario nazionale si avvale delle risorse previste nel contin</w:t>
                              </w:r>
                            </w:p>
                          </w:txbxContent>
                        </wps:txbx>
                        <wps:bodyPr horzOverflow="overflow" vert="horz" lIns="0" tIns="0" rIns="0" bIns="0" rtlCol="0">
                          <a:noAutofit/>
                        </wps:bodyPr>
                      </wps:wsp>
                      <wps:wsp>
                        <wps:cNvPr id="202010" name="Rectangle 202010"/>
                        <wps:cNvSpPr/>
                        <wps:spPr>
                          <a:xfrm rot="-10799999">
                            <a:off x="2635213" y="1141378"/>
                            <a:ext cx="5212443" cy="142889"/>
                          </a:xfrm>
                          <a:prstGeom prst="rect">
                            <a:avLst/>
                          </a:prstGeom>
                          <a:ln>
                            <a:noFill/>
                          </a:ln>
                        </wps:spPr>
                        <wps:txbx>
                          <w:txbxContent>
                            <w:p w14:paraId="512892A6"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1307" name="Rectangle 21307"/>
                        <wps:cNvSpPr/>
                        <wps:spPr>
                          <a:xfrm rot="-10799999">
                            <a:off x="19478" y="1141378"/>
                            <a:ext cx="50622" cy="142889"/>
                          </a:xfrm>
                          <a:prstGeom prst="rect">
                            <a:avLst/>
                          </a:prstGeom>
                          <a:ln>
                            <a:noFill/>
                          </a:ln>
                        </wps:spPr>
                        <wps:txbx>
                          <w:txbxContent>
                            <w:p w14:paraId="2B97762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308" name="Rectangle 21308"/>
                        <wps:cNvSpPr/>
                        <wps:spPr>
                          <a:xfrm rot="-10799999">
                            <a:off x="-1316958" y="1010619"/>
                            <a:ext cx="5309035" cy="142889"/>
                          </a:xfrm>
                          <a:prstGeom prst="rect">
                            <a:avLst/>
                          </a:prstGeom>
                          <a:ln>
                            <a:noFill/>
                          </a:ln>
                        </wps:spPr>
                        <wps:txbx>
                          <w:txbxContent>
                            <w:p w14:paraId="5412C06A" w14:textId="77777777" w:rsidR="00B32EF2" w:rsidRDefault="00000000">
                              <w:r>
                                <w:rPr>
                                  <w:rFonts w:ascii="Arial" w:eastAsia="Arial" w:hAnsi="Arial" w:cs="Arial"/>
                                  <w:sz w:val="18"/>
                                </w:rPr>
                                <w:t xml:space="preserve">gente di cui all’articolo 40 e dei servizi informatici del sistema informativo della </w:t>
                              </w:r>
                            </w:p>
                          </w:txbxContent>
                        </wps:txbx>
                        <wps:bodyPr horzOverflow="overflow" vert="horz" lIns="0" tIns="0" rIns="0" bIns="0" rtlCol="0">
                          <a:noAutofit/>
                        </wps:bodyPr>
                      </wps:wsp>
                      <wps:wsp>
                        <wps:cNvPr id="21309" name="Rectangle 21309"/>
                        <wps:cNvSpPr/>
                        <wps:spPr>
                          <a:xfrm rot="-10799999">
                            <a:off x="-176786" y="879860"/>
                            <a:ext cx="4168863" cy="142889"/>
                          </a:xfrm>
                          <a:prstGeom prst="rect">
                            <a:avLst/>
                          </a:prstGeom>
                          <a:ln>
                            <a:noFill/>
                          </a:ln>
                        </wps:spPr>
                        <wps:txbx>
                          <w:txbxContent>
                            <w:p w14:paraId="542765C7" w14:textId="77777777" w:rsidR="00B32EF2" w:rsidRDefault="00000000">
                              <w:r>
                                <w:rPr>
                                  <w:rFonts w:ascii="Arial" w:eastAsia="Arial" w:hAnsi="Arial" w:cs="Arial"/>
                                  <w:sz w:val="18"/>
                                </w:rPr>
                                <w:t>giustizia tributaria del Ministero dell’economia e delle finanze.</w:t>
                              </w:r>
                            </w:p>
                          </w:txbxContent>
                        </wps:txbx>
                        <wps:bodyPr horzOverflow="overflow" vert="horz" lIns="0" tIns="0" rIns="0" bIns="0" rtlCol="0">
                          <a:noAutofit/>
                        </wps:bodyPr>
                      </wps:wsp>
                      <wps:wsp>
                        <wps:cNvPr id="202006" name="Rectangle 202006"/>
                        <wps:cNvSpPr/>
                        <wps:spPr>
                          <a:xfrm rot="-10799999">
                            <a:off x="2635266" y="749101"/>
                            <a:ext cx="5212231" cy="142889"/>
                          </a:xfrm>
                          <a:prstGeom prst="rect">
                            <a:avLst/>
                          </a:prstGeom>
                          <a:ln>
                            <a:noFill/>
                          </a:ln>
                        </wps:spPr>
                        <wps:txbx>
                          <w:txbxContent>
                            <w:p w14:paraId="5396A7A4"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202008" name="Rectangle 202008"/>
                        <wps:cNvSpPr/>
                        <wps:spPr>
                          <a:xfrm rot="-10799999">
                            <a:off x="-1271703" y="749100"/>
                            <a:ext cx="5212231" cy="142889"/>
                          </a:xfrm>
                          <a:prstGeom prst="rect">
                            <a:avLst/>
                          </a:prstGeom>
                          <a:ln>
                            <a:noFill/>
                          </a:ln>
                        </wps:spPr>
                        <wps:txbx>
                          <w:txbxContent>
                            <w:p w14:paraId="7C8B2F1B" w14:textId="77777777" w:rsidR="00B32EF2" w:rsidRDefault="00000000">
                              <w:r>
                                <w:rPr>
                                  <w:rFonts w:ascii="Arial" w:eastAsia="Arial" w:hAnsi="Arial" w:cs="Arial"/>
                                  <w:sz w:val="18"/>
                                </w:rPr>
                                <w:t>. I componenti dell’Ufficio del massimario nazionale possono essere esone</w:t>
                              </w:r>
                            </w:p>
                          </w:txbxContent>
                        </wps:txbx>
                        <wps:bodyPr horzOverflow="overflow" vert="horz" lIns="0" tIns="0" rIns="0" bIns="0" rtlCol="0">
                          <a:noAutofit/>
                        </wps:bodyPr>
                      </wps:wsp>
                      <wps:wsp>
                        <wps:cNvPr id="21311" name="Rectangle 21311"/>
                        <wps:cNvSpPr/>
                        <wps:spPr>
                          <a:xfrm rot="-10799999">
                            <a:off x="19478" y="749101"/>
                            <a:ext cx="50622" cy="142889"/>
                          </a:xfrm>
                          <a:prstGeom prst="rect">
                            <a:avLst/>
                          </a:prstGeom>
                          <a:ln>
                            <a:noFill/>
                          </a:ln>
                        </wps:spPr>
                        <wps:txbx>
                          <w:txbxContent>
                            <w:p w14:paraId="1172255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312" name="Rectangle 21312"/>
                        <wps:cNvSpPr/>
                        <wps:spPr>
                          <a:xfrm rot="-10799999">
                            <a:off x="-1220518" y="618341"/>
                            <a:ext cx="5212595" cy="142889"/>
                          </a:xfrm>
                          <a:prstGeom prst="rect">
                            <a:avLst/>
                          </a:prstGeom>
                          <a:ln>
                            <a:noFill/>
                          </a:ln>
                        </wps:spPr>
                        <wps:txbx>
                          <w:txbxContent>
                            <w:p w14:paraId="45374152" w14:textId="77777777" w:rsidR="00B32EF2" w:rsidRDefault="00000000">
                              <w:r>
                                <w:rPr>
                                  <w:rFonts w:ascii="Arial" w:eastAsia="Arial" w:hAnsi="Arial" w:cs="Arial"/>
                                  <w:sz w:val="18"/>
                                </w:rPr>
                                <w:t>rati dall’esercizio delle funzioni giurisdizionali presso le corti di giustizia tribu</w:t>
                              </w:r>
                            </w:p>
                          </w:txbxContent>
                        </wps:txbx>
                        <wps:bodyPr horzOverflow="overflow" vert="horz" lIns="0" tIns="0" rIns="0" bIns="0" rtlCol="0">
                          <a:noAutofit/>
                        </wps:bodyPr>
                      </wps:wsp>
                      <wps:wsp>
                        <wps:cNvPr id="21313" name="Rectangle 21313"/>
                        <wps:cNvSpPr/>
                        <wps:spPr>
                          <a:xfrm rot="-10799999">
                            <a:off x="19478" y="618342"/>
                            <a:ext cx="50622" cy="142889"/>
                          </a:xfrm>
                          <a:prstGeom prst="rect">
                            <a:avLst/>
                          </a:prstGeom>
                          <a:ln>
                            <a:noFill/>
                          </a:ln>
                        </wps:spPr>
                        <wps:txbx>
                          <w:txbxContent>
                            <w:p w14:paraId="52C61BE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314" name="Rectangle 21314"/>
                        <wps:cNvSpPr/>
                        <wps:spPr>
                          <a:xfrm rot="-10799999">
                            <a:off x="-1218855" y="487582"/>
                            <a:ext cx="5213218" cy="142889"/>
                          </a:xfrm>
                          <a:prstGeom prst="rect">
                            <a:avLst/>
                          </a:prstGeom>
                          <a:ln>
                            <a:noFill/>
                          </a:ln>
                        </wps:spPr>
                        <wps:txbx>
                          <w:txbxContent>
                            <w:p w14:paraId="7FC2695C" w14:textId="77777777" w:rsidR="00B32EF2" w:rsidRDefault="00000000">
                              <w:r>
                                <w:rPr>
                                  <w:rFonts w:ascii="Arial" w:eastAsia="Arial" w:hAnsi="Arial" w:cs="Arial"/>
                                  <w:sz w:val="18"/>
                                </w:rPr>
                                <w:t>taria di primo e secondo grado. In caso di esonero, ai giudici tributari compo</w:t>
                              </w:r>
                            </w:p>
                          </w:txbxContent>
                        </wps:txbx>
                        <wps:bodyPr horzOverflow="overflow" vert="horz" lIns="0" tIns="0" rIns="0" bIns="0" rtlCol="0">
                          <a:noAutofit/>
                        </wps:bodyPr>
                      </wps:wsp>
                      <wps:wsp>
                        <wps:cNvPr id="21315" name="Rectangle 21315"/>
                        <wps:cNvSpPr/>
                        <wps:spPr>
                          <a:xfrm rot="-10799999">
                            <a:off x="19478" y="487583"/>
                            <a:ext cx="50622" cy="142889"/>
                          </a:xfrm>
                          <a:prstGeom prst="rect">
                            <a:avLst/>
                          </a:prstGeom>
                          <a:ln>
                            <a:noFill/>
                          </a:ln>
                        </wps:spPr>
                        <wps:txbx>
                          <w:txbxContent>
                            <w:p w14:paraId="19BD1A7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316" name="Rectangle 21316"/>
                        <wps:cNvSpPr/>
                        <wps:spPr>
                          <a:xfrm rot="-10799999">
                            <a:off x="-1316913" y="356823"/>
                            <a:ext cx="5308990" cy="142889"/>
                          </a:xfrm>
                          <a:prstGeom prst="rect">
                            <a:avLst/>
                          </a:prstGeom>
                          <a:ln>
                            <a:noFill/>
                          </a:ln>
                        </wps:spPr>
                        <wps:txbx>
                          <w:txbxContent>
                            <w:p w14:paraId="1BB1C818" w14:textId="77777777" w:rsidR="00B32EF2" w:rsidRDefault="00000000">
                              <w:r>
                                <w:rPr>
                                  <w:rFonts w:ascii="Arial" w:eastAsia="Arial" w:hAnsi="Arial" w:cs="Arial"/>
                                  <w:sz w:val="18"/>
                                </w:rPr>
                                <w:t xml:space="preserve">nenti dell’Ufficio è corrisposto un trattamento economico, sostitutivo di quello </w:t>
                              </w:r>
                            </w:p>
                          </w:txbxContent>
                        </wps:txbx>
                        <wps:bodyPr horzOverflow="overflow" vert="horz" lIns="0" tIns="0" rIns="0" bIns="0" rtlCol="0">
                          <a:noAutofit/>
                        </wps:bodyPr>
                      </wps:wsp>
                      <wps:wsp>
                        <wps:cNvPr id="21317" name="Rectangle 21317"/>
                        <wps:cNvSpPr/>
                        <wps:spPr>
                          <a:xfrm rot="-10799999">
                            <a:off x="-1316913" y="226064"/>
                            <a:ext cx="5308990" cy="142889"/>
                          </a:xfrm>
                          <a:prstGeom prst="rect">
                            <a:avLst/>
                          </a:prstGeom>
                          <a:ln>
                            <a:noFill/>
                          </a:ln>
                        </wps:spPr>
                        <wps:txbx>
                          <w:txbxContent>
                            <w:p w14:paraId="13018E47" w14:textId="77777777" w:rsidR="00B32EF2" w:rsidRDefault="00000000">
                              <w:r>
                                <w:rPr>
                                  <w:rFonts w:ascii="Arial" w:eastAsia="Arial" w:hAnsi="Arial" w:cs="Arial"/>
                                  <w:sz w:val="18"/>
                                </w:rPr>
                                <w:t xml:space="preserve">previsto dall’articolo 19, pari alla metà dell’ammontare più elevato corrisposto </w:t>
                              </w:r>
                            </w:p>
                          </w:txbxContent>
                        </wps:txbx>
                        <wps:bodyPr horzOverflow="overflow" vert="horz" lIns="0" tIns="0" rIns="0" bIns="0" rtlCol="0">
                          <a:noAutofit/>
                        </wps:bodyPr>
                      </wps:wsp>
                      <wps:wsp>
                        <wps:cNvPr id="21318" name="Rectangle 21318"/>
                        <wps:cNvSpPr/>
                        <wps:spPr>
                          <a:xfrm rot="-10799999">
                            <a:off x="-1316943" y="95305"/>
                            <a:ext cx="5309021" cy="142889"/>
                          </a:xfrm>
                          <a:prstGeom prst="rect">
                            <a:avLst/>
                          </a:prstGeom>
                          <a:ln>
                            <a:noFill/>
                          </a:ln>
                        </wps:spPr>
                        <wps:txbx>
                          <w:txbxContent>
                            <w:p w14:paraId="6FA9894B" w14:textId="77777777" w:rsidR="00B32EF2" w:rsidRDefault="00000000">
                              <w:r>
                                <w:rPr>
                                  <w:rFonts w:ascii="Arial" w:eastAsia="Arial" w:hAnsi="Arial" w:cs="Arial"/>
                                  <w:sz w:val="18"/>
                                </w:rPr>
                                <w:t xml:space="preserve">nello stesso periodo ai giudici tributari per l’incarico di presidente di corte di </w:t>
                              </w:r>
                            </w:p>
                          </w:txbxContent>
                        </wps:txbx>
                        <wps:bodyPr horzOverflow="overflow" vert="horz" lIns="0" tIns="0" rIns="0" bIns="0" rtlCol="0">
                          <a:noAutofit/>
                        </wps:bodyPr>
                      </wps:wsp>
                      <wps:wsp>
                        <wps:cNvPr id="21319" name="Rectangle 21319"/>
                        <wps:cNvSpPr/>
                        <wps:spPr>
                          <a:xfrm rot="-10799999">
                            <a:off x="2745773" y="-35453"/>
                            <a:ext cx="1246875" cy="142889"/>
                          </a:xfrm>
                          <a:prstGeom prst="rect">
                            <a:avLst/>
                          </a:prstGeom>
                          <a:ln>
                            <a:noFill/>
                          </a:ln>
                        </wps:spPr>
                        <wps:txbx>
                          <w:txbxContent>
                            <w:p w14:paraId="176CFC6C" w14:textId="77777777" w:rsidR="00B32EF2" w:rsidRDefault="00000000">
                              <w:r>
                                <w:rPr>
                                  <w:rFonts w:ascii="Arial" w:eastAsia="Arial" w:hAnsi="Arial" w:cs="Arial"/>
                                  <w:sz w:val="18"/>
                                </w:rPr>
                                <w:t>giustizia tributaria.</w:t>
                              </w:r>
                            </w:p>
                          </w:txbxContent>
                        </wps:txbx>
                        <wps:bodyPr horzOverflow="overflow" vert="horz" lIns="0" tIns="0" rIns="0" bIns="0" rtlCol="0">
                          <a:noAutofit/>
                        </wps:bodyPr>
                      </wps:wsp>
                    </wpg:wgp>
                  </a:graphicData>
                </a:graphic>
              </wp:inline>
            </w:drawing>
          </mc:Choice>
          <mc:Fallback>
            <w:pict>
              <v:group w14:anchorId="2FFAC264" id="Group 202126" o:spid="_x0000_s5699" style="width:314.35pt;height:432.7pt;mso-position-horizontal-relative:char;mso-position-vertical-relative:line" coordsize="39920,5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5jgkAAId1AAAOAAAAZHJzL2Uyb0RvYy54bWzkXWtv2zYU/T5g/8Hw99TiU5TRtBjWrRgw&#10;rMW6/QDFsRMDtmVIbpPu1+9cUqL8YFtM6sIA3IfMoVNbuofnPg4vqZevH7ebyadl3ayr3fWUvcim&#10;k+VuUd2ud3fX07//+vXKTCfNodzdlptqt7yefl4209evfvzh5cN+vuTVfbW5XdYTfMiumT/sr6f3&#10;h8N+Pps1i/vltmxeVPvlDm+uqnpbHvBrfTe7rcsHfPp2M+NZpmcPVX27r6vFsmkw+sa9OX1lP3+1&#10;Wi4O71arZnmYbK6nuLaD/Vnbnzf0c/bqZTm/q8v9/XrRXkY54Cq25XqHL/Uf9aY8lJOP9frio7br&#10;RV011erwYlFtZ9VqtV4s7T3gblh2djdv6+rj3t7L3fzhbu/NBNOe2Wnwxy7++PS23n/Yv69hiYf9&#10;HWxhf6N7eVzVW/o/rnLyaE322Zts+XiYLDAoioJnuZ5OFnhPyUKJTDujLu5h+Yt/t7j/5Rv/ctZ9&#10;8ezkch72mCBNb4NmnA0+3Jf7pTVtM4cN3teT9e31lDOeY5bsyi2m6p+YPOXubrOcuGFrIPvX3lzN&#10;vIHlOltN6grz64pleUH/2fnQ2u6KCZZnHHYiMwnFJcudmTpDwnCmMIUzJJPcFHZyemuU833dHN4u&#10;q+2EXlxPa1ye/Yry0+/NAReHP+3+hK5os6Ofu+rX9Wbj3qURGLW7aHp1eLx5tHcupRZ0QTR4U91+&#10;hkHuq/qfd6D2alM9XE+r9tWU2I6vp3enk81vOwBBxOpe1N2Lm+5Ffdj8XFn6uQv66eOhWq3tFfff&#10;1l4ZEHbX8CRQszDUrDMEJsZ/h5oZJmTugOa8yEzLhw5oYVimmToC2n7fEwItu/tLA+gMDiqEtBsf&#10;w2quGWOiJTXLVK7MBakLfE2PNQjuuNj51o6x/xepVXpYywCrCWs/7QfRGh7cZKxoif1lsDHTKBSS&#10;B39ysK2n6X1qAh5cBLBGDPehbCDUnBml4aIBpCwMB5ZnvOaYABiMB7XNHpKCOkRrQD2O1awQGh/8&#10;RZwzzXlElO20SwplkC6UffswNpDQlH0jOFugjSoyZOeIw+W8S8qQfSNQx/Td9oKSghp5UwhqH8QG&#10;Q62LNkzLXKhcX0JtCh0xJ0OFmVqhhawpBLUPYoOhzjOJFIDct2ZcikuoC2hE8Rw46o7UoIaTDUHt&#10;I9kgqBHmlSbOEtLSFIy1yl3nvwG+NvlRUf3UuXfOk0MaWlUIaR/IBiHNFMu4cVWWROIt1RnSJlOM&#10;g/Oxiqy+tkhGPSHiXSCNihrjrXcbBnWWyUy2VRZjBYNQcpKUcVag5I6Yf/fFRTJYqy8oZRgfg/WV&#10;hijaKmXyeWLtS4xksJahDBy8xvgYrDlXCNGIDhSsnyfW/gbTwJpxE6K1HR6DtNRw4C7/xjqgygvr&#10;JPqqGtEb8lnM/NtXGGkADfIKxMtQsMb4GKivoJpALLOkFkarTJxhLfOCa5JYoiVmvsRIB+sQq2kO&#10;jAvW0M8LrlwO/kyx9kVGGljDU4N6F7S2w6NYDQE9RycCheog0oopk0XUyowvMZIBOrzOYcatc1D/&#10;iS5Y679zdJ9kZ/7b9p+g5ySa/0aK0k7lZKAOL3YYX4kMKqvRyCOo5YAorZkRTpnqkzI0H0Epi5iU&#10;GZ+JpAE0AjI1fl14bzc+xn1T/wlve40Eeu8yaU3bY22XtQT8e6ykDGErKVITpiEF3I2PwZr6TyCO&#10;OrnsK2BH1MD7GJUGsZF+gVoXvLbDI6FGsG6XqwUaFLhzmee8jgm1j1HJQB2iNaD2VeegYN32Bbes&#10;5gLB2XrMU6jRmhDRhacnloVXttySIrVoDIa6ZzVWuXJ0mMFNnEKdiZisTkwuY2jPDjpw13s/GGqh&#10;MqVAWaTgvMixTeUMaLh0hi0AETntvVYq7hvSdChSO8V6MNCurG4lcG4ktSEEOB2zsaz3WslAHVLA&#10;QXVfdg5y3zw3XHdI5yyTyP1OvDeWrwspoLDEqrV6p5UG0lRThdy3Gx+TgHONAksj4SMHjmWtPND/&#10;jeXsiElZ77fSwTpEa8J6HK+vkMMrNJ88Z7D9HaYBNnx1WATH8Bhas0LmXyN13GZ/LK62N5cMyih1&#10;AupJ4bWFQYH6NCejblF48pNIHb3Zv5/HyUAdEsDBc68tjICau1YjLpjBtqwA1DE7wPvJnAzUYU0U&#10;WzLG+G6hlCFtzKZkzKAf/AxppGOKR9RO+qmcBtDIvFhIEnXjY6CGA8cBCtScSOl3hsZ/V7qdCGXG&#10;YLUhXqnlJ3M6YIdoTWB7Uwxy4XYJEyve38A6ZlmdnlYW1r/dnsmRWlm7qsXQYFa4lsQTWhdR9e/+&#10;DtOgNRPU23WZgtPwGA8usFsrp5ZjOHCWF4q5TTPHSCuj47UlqP7+0gCa/HSo2HLjY6CGVKZ421fG&#10;tJaS2Rr9CGocniRJN40kiyrX6EZuKx2sQ9UWYT223MISR67dwtYzBTs1qUxQa0DIg3tDDErLeqks&#10;jHNUqQybD7rwlAalEafhQEMoe0MMQtlJZV1KptBqpM5Wql0DYbyyGi2NyUEd1L5Fb4jBUOeCambK&#10;ySS6FJ1gcRSocQQKTlGIGKi97psMq0M5GcjuDTEIajrDMqPuEkKa58jOzlaqMQZZJd7qpXJHhKaV&#10;koXCNKVk4+I0rV5KTccbEthMAuvzxY7o+bcXiNKgNYEaqqrd+HertZ4n1qlpZSILyaJw4X7SD3Ph&#10;fqU6zOnI6Xdquy9xNHM4/fbTfRDKp+k3vIZmoQOsInYE4zCe5NLvoPiN3LgzxECocyiibknL5DgT&#10;4Xz1kmljcAJ3NJWMJbb7EtGY2gIuamo3PjpKawd1Lgt2sdEWCRl6FSJC7VPOZBKyoP8mqMc6cI7d&#10;86TNIPu2WJ/RGtJ4ZKy9QJQG1tjmDmZdsNoOjyF1r4cGKR03H3NLLumU00AzVE3b4TEgo5iGLkJd&#10;LaAzbZ2X52ckgM4KHV3xorRXhpKhc1j4xorjGKR7OluYbUA8UkIj09mv0iUDcljy7v3awJwbx/gb&#10;rGgQnbFdR13sooY0ij+JSGevEiSDdFjxRnPC96Gzhdn6hudDZ59jJgNyqLBCdPZ+bSCdj48wUtoE&#10;dsrj2ElIr7E6TZx6k1QeFlY/R/aEOl2sbSriXGd4RAfcwxGj6VlpMZF2JxUnhXRYAUX0HOO4HdLt&#10;rlp6dqCNAydAR30sB+r37v6Scd5h/bP3bYOcNx3gn6MLlFKxK6GkOovRsc/vV/0u0thA28de4mmf&#10;9oGO7ZNJ6XGix7/bpyX2z0999S8AAAD//wMAUEsDBBQABgAIAAAAIQD0XsNM3QAAAAUBAAAPAAAA&#10;ZHJzL2Rvd25yZXYueG1sTI9BS8NAEIXvgv9hGcGb3aTaGGI2pRT1VARbofQ2zU6T0OxsyG6T9N+7&#10;etHLwOM93vsmX06mFQP1rrGsIJ5FIIhLqxuuFHzt3h5SEM4ja2wtk4IrOVgWtzc5ZtqO/EnD1lci&#10;lLDLUEHtfZdJ6cqaDLqZ7YiDd7K9QR9kX0nd4xjKTSvnUZRIgw2HhRo7WtdUnrcXo+B9xHH1GL8O&#10;m/NpfT3sFh/7TUxK3d9NqxcQnib/F4Yf/IAORWA62gtrJ1oF4RH/e4OXzNNnEEcFabJ4Alnk8j99&#10;8Q0AAP//AwBQSwECLQAUAAYACAAAACEAtoM4kv4AAADhAQAAEwAAAAAAAAAAAAAAAAAAAAAAW0Nv&#10;bnRlbnRfVHlwZXNdLnhtbFBLAQItABQABgAIAAAAIQA4/SH/1gAAAJQBAAALAAAAAAAAAAAAAAAA&#10;AC8BAABfcmVscy8ucmVsc1BLAQItABQABgAIAAAAIQDdO1+5jgkAAId1AAAOAAAAAAAAAAAAAAAA&#10;AC4CAABkcnMvZTJvRG9jLnhtbFBLAQItABQABgAIAAAAIQD0XsNM3QAAAAUBAAAPAAAAAAAAAAAA&#10;AAAAAOgLAABkcnMvZG93bnJldi54bWxQSwUGAAAAAAQABADzAAAA8gwAAAAA&#10;">
                <v:rect id="Rectangle 21270" o:spid="_x0000_s5700" style="position:absolute;left:-13170;top:5352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tTQxQAAAN4AAAAPAAAAZHJzL2Rvd25yZXYueG1sRI/LisIw&#10;FIb3A75DOIK7MbWLGalGEUWmi9l4A5eH5thWm5PQRFvn6c1iwOXPf+ObL3vTiAe1vrasYDJOQBAX&#10;VtdcKjgetp9TED4ga2wsk4IneVguBh9zzLTteEePfShFHGGfoYIqBJdJ6YuKDPqxdcTRu9jWYIiy&#10;LaVusYvjppFpknxJgzXHhwodrSsqbvu7UXDesMu3nSwuf2v3e82nzc/9eFJqNOxXMxCB+vAO/7dz&#10;rSCdpN8RIOJEFJCLFwAAAP//AwBQSwECLQAUAAYACAAAACEA2+H2y+4AAACFAQAAEwAAAAAAAAAA&#10;AAAAAAAAAAAAW0NvbnRlbnRfVHlwZXNdLnhtbFBLAQItABQABgAIAAAAIQBa9CxbvwAAABUBAAAL&#10;AAAAAAAAAAAAAAAAAB8BAABfcmVscy8ucmVsc1BLAQItABQABgAIAAAAIQBKotTQxQAAAN4AAAAP&#10;AAAAAAAAAAAAAAAAAAcCAABkcnMvZG93bnJldi54bWxQSwUGAAAAAAMAAwC3AAAA+QIAAAAA&#10;" filled="f" stroked="f">
                  <v:textbox inset="0,0,0,0">
                    <w:txbxContent>
                      <w:p w14:paraId="58C3C6E6" w14:textId="77777777" w:rsidR="00B32EF2" w:rsidRDefault="00000000">
                        <w:r>
                          <w:rPr>
                            <w:rFonts w:ascii="Arial" w:eastAsia="Arial" w:hAnsi="Arial" w:cs="Arial"/>
                            <w:sz w:val="18"/>
                          </w:rPr>
                          <w:t xml:space="preserve">e delle finanze, attività presso le corti di giustizia tributaria di primo e secondo </w:t>
                        </w:r>
                      </w:p>
                    </w:txbxContent>
                  </v:textbox>
                </v:rect>
                <v:rect id="Rectangle 21271" o:spid="_x0000_s5701" style="position:absolute;left:1813;top:52290;width:381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nFLxwAAAN4AAAAPAAAAZHJzL2Rvd25yZXYueG1sRI9Pa8JA&#10;FMTvhX6H5RW81U1ysJK6SlHEHHqpf8DjI/tM0mbfLtnVpH56VxA8DjPzG2a2GEwrLtT5xrKCdJyA&#10;IC6tbrhSsN+t36cgfEDW2FomBf/kYTF/fZlhrm3PP3TZhkpECPscFdQhuFxKX9Zk0I+tI47eyXYG&#10;Q5RdJXWHfYSbVmZJMpEGG44LNTpa1lT+bc9GwXHFrlj3sjxdl+77t5i2m/P+oNTobfj6BBFoCM/w&#10;o11oBVmafaRwvxOvgJzfAAAA//8DAFBLAQItABQABgAIAAAAIQDb4fbL7gAAAIUBAAATAAAAAAAA&#10;AAAAAAAAAAAAAABbQ29udGVudF9UeXBlc10ueG1sUEsBAi0AFAAGAAgAAAAhAFr0LFu/AAAAFQEA&#10;AAsAAAAAAAAAAAAAAAAAHwEAAF9yZWxzLy5yZWxzUEsBAi0AFAAGAAgAAAAhACXucUvHAAAA3gAA&#10;AA8AAAAAAAAAAAAAAAAABwIAAGRycy9kb3ducmV2LnhtbFBLBQYAAAAAAwADALcAAAD7AgAAAAA=&#10;" filled="f" stroked="f">
                  <v:textbox inset="0,0,0,0">
                    <w:txbxContent>
                      <w:p w14:paraId="75B85D0D" w14:textId="77777777" w:rsidR="00B32EF2" w:rsidRDefault="00000000">
                        <w:r>
                          <w:rPr>
                            <w:rFonts w:ascii="Arial" w:eastAsia="Arial" w:hAnsi="Arial" w:cs="Arial"/>
                            <w:sz w:val="18"/>
                          </w:rPr>
                          <w:t>grado, finalizzate alle verifiche di rispettiva competenza.</w:t>
                        </w:r>
                      </w:p>
                    </w:txbxContent>
                  </v:textbox>
                </v:rect>
                <v:rect id="Rectangle 202071" o:spid="_x0000_s5702" style="position:absolute;left:26111;top:5105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ZE5xwAAAN8AAAAPAAAAZHJzL2Rvd25yZXYueG1sRI9BawIx&#10;FITvQv9DeIXeNHEPVVajiEW6h160Fnp8bJ67q5uXsInutr++EYQeh5n5hlmuB9uKG3WhcaxhOlEg&#10;iEtnGq40HD934zmIEJENto5Jww8FWK+eRkvMjet5T7dDrESCcMhRQx2jz6UMZU0Ww8R54uSdXGcx&#10;JtlV0nTYJ7htZabUq7TYcFqo0dO2pvJyuFoN32/si10vy9Pv1n+ci3n7fj1+af3yPGwWICIN8T/8&#10;aBdGQ6YyNZvC/U/6AnL1BwAA//8DAFBLAQItABQABgAIAAAAIQDb4fbL7gAAAIUBAAATAAAAAAAA&#10;AAAAAAAAAAAAAABbQ29udGVudF9UeXBlc10ueG1sUEsBAi0AFAAGAAgAAAAhAFr0LFu/AAAAFQEA&#10;AAsAAAAAAAAAAAAAAAAAHwEAAF9yZWxzLy5yZWxzUEsBAi0AFAAGAAgAAAAhAPmVkTnHAAAA3wAA&#10;AA8AAAAAAAAAAAAAAAAABwIAAGRycy9kb3ducmV2LnhtbFBLBQYAAAAAAwADALcAAAD7AgAAAAA=&#10;" filled="f" stroked="f">
                  <v:textbox inset="0,0,0,0">
                    <w:txbxContent>
                      <w:p w14:paraId="135097BB" w14:textId="77777777" w:rsidR="00B32EF2" w:rsidRDefault="00000000">
                        <w:r>
                          <w:rPr>
                            <w:rFonts w:ascii="Arial" w:eastAsia="Arial" w:hAnsi="Arial" w:cs="Arial"/>
                            <w:sz w:val="18"/>
                          </w:rPr>
                          <w:t>4</w:t>
                        </w:r>
                      </w:p>
                    </w:txbxContent>
                  </v:textbox>
                </v:rect>
                <v:rect id="Rectangle 202074" o:spid="_x0000_s5703" style="position:absolute;left:-13801;top:5105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jKhyAAAAN8AAAAPAAAAZHJzL2Rvd25yZXYueG1sRI9BawIx&#10;FITvhf6H8Aq91aRLsbIaRSzSPfSiVfD42Dx3VzcvYRPdbX+9EQo9DjPzDTNbDLYVV+pC41jD60iB&#10;IC6dabjSsPtev0xAhIhssHVMGn4owGL++DDD3LieN3TdxkokCIccNdQx+lzKUNZkMYycJ07e0XUW&#10;Y5JdJU2HfYLbVmZKjaXFhtNCjZ5WNZXn7cVqOHywL9a9LI+/K/91Kibt52W31/r5aVhOQUQa4n/4&#10;r10YDZnK1Psb3P+kLyDnNwAAAP//AwBQSwECLQAUAAYACAAAACEA2+H2y+4AAACFAQAAEwAAAAAA&#10;AAAAAAAAAAAAAAAAW0NvbnRlbnRfVHlwZXNdLnhtbFBLAQItABQABgAIAAAAIQBa9CxbvwAAABUB&#10;AAALAAAAAAAAAAAAAAAAAB8BAABfcmVscy8ucmVsc1BLAQItABQABgAIAAAAIQDp4jKhyAAAAN8A&#10;AAAPAAAAAAAAAAAAAAAAAAcCAABkcnMvZG93bnJldi54bWxQSwUGAAAAAAMAAwC3AAAA/AIAAAAA&#10;" filled="f" stroked="f">
                  <v:textbox inset="0,0,0,0">
                    <w:txbxContent>
                      <w:p w14:paraId="5647BB84" w14:textId="77777777" w:rsidR="00B32EF2" w:rsidRDefault="00000000">
                        <w:r>
                          <w:rPr>
                            <w:rFonts w:ascii="Arial" w:eastAsia="Arial" w:hAnsi="Arial" w:cs="Arial"/>
                            <w:sz w:val="18"/>
                          </w:rPr>
                          <w:t xml:space="preserve">. I componenti dell’ufficio ispettivo sono esonerati dall’esercizio delle funzioni </w:t>
                        </w:r>
                      </w:p>
                    </w:txbxContent>
                  </v:textbox>
                </v:rect>
                <v:rect id="Rectangle 21273" o:spid="_x0000_s5704" style="position:absolute;left:-12185;top:49824;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EqnxwAAAN4AAAAPAAAAZHJzL2Rvd25yZXYueG1sRI9Pa8JA&#10;FMTvgt9heYI33ZiCldRVRJHm0Ev9Az0+ss8kbfbtkl1N7Kd3CwWPw8z8hlmue9OIG7W+tqxgNk1A&#10;EBdW11wqOB33kwUIH5A1NpZJwZ08rFfDwRIzbTv+pNshlCJC2GeooArBZVL6oiKDfmodcfQutjUY&#10;omxLqVvsItw0Mk2SuTRYc1yo0NG2ouLncDUKvnbs8n0ni8vv1n1854vm/Xo6KzUe9Zs3EIH68Az/&#10;t3OtIJ2lry/wdydeAbl6AAAA//8DAFBLAQItABQABgAIAAAAIQDb4fbL7gAAAIUBAAATAAAAAAAA&#10;AAAAAAAAAAAAAABbQ29udGVudF9UeXBlc10ueG1sUEsBAi0AFAAGAAgAAAAhAFr0LFu/AAAAFQEA&#10;AAsAAAAAAAAAAAAAAAAAHwEAAF9yZWxzLy5yZWxzUEsBAi0AFAAGAAgAAAAhALpwSqfHAAAA3gAA&#10;AA8AAAAAAAAAAAAAAAAABwIAAGRycy9kb3ducmV2LnhtbFBLBQYAAAAAAwADALcAAAD7AgAAAAA=&#10;" filled="f" stroked="f">
                  <v:textbox inset="0,0,0,0">
                    <w:txbxContent>
                      <w:p w14:paraId="068EAA73" w14:textId="77777777" w:rsidR="00B32EF2" w:rsidRDefault="00000000">
                        <w:r>
                          <w:rPr>
                            <w:rFonts w:ascii="Arial" w:eastAsia="Arial" w:hAnsi="Arial" w:cs="Arial"/>
                            <w:sz w:val="18"/>
                          </w:rPr>
                          <w:t>giurisdizionali presso le corti di giustizia tributaria. Ai giudici tributari compo</w:t>
                        </w:r>
                      </w:p>
                    </w:txbxContent>
                  </v:textbox>
                </v:rect>
                <v:rect id="Rectangle 21274" o:spid="_x0000_s5705" style="position:absolute;left:193;top:4982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dLTxwAAAN4AAAAPAAAAZHJzL2Rvd25yZXYueG1sRI9Pa8JA&#10;FMTvgt9heYI33RiKldRVRJHm0Ev9Az0+ss8kbfbtkl1N7Kd3CwWPw8z8hlmue9OIG7W+tqxgNk1A&#10;EBdW11wqOB33kwUIH5A1NpZJwZ08rFfDwRIzbTv+pNshlCJC2GeooArBZVL6oiKDfmodcfQutjUY&#10;omxLqVvsItw0Mk2SuTRYc1yo0NG2ouLncDUKvnbs8n0ni8vv1n1854vm/Xo6KzUe9Zs3EIH68Az/&#10;t3OtIJ2lry/wdydeAbl6AAAA//8DAFBLAQItABQABgAIAAAAIQDb4fbL7gAAAIUBAAATAAAAAAAA&#10;AAAAAAAAAAAAAABbQ29udGVudF9UeXBlc10ueG1sUEsBAi0AFAAGAAgAAAAhAFr0LFu/AAAAFQEA&#10;AAsAAAAAAAAAAAAAAAAAHwEAAF9yZWxzLy5yZWxzUEsBAi0AFAAGAAgAAAAhADWZ0tPHAAAA3gAA&#10;AA8AAAAAAAAAAAAAAAAABwIAAGRycy9kb3ducmV2LnhtbFBLBQYAAAAAAwADALcAAAD7AgAAAAA=&#10;" filled="f" stroked="f">
                  <v:textbox inset="0,0,0,0">
                    <w:txbxContent>
                      <w:p w14:paraId="332FDC3B" w14:textId="77777777" w:rsidR="00B32EF2" w:rsidRDefault="00000000">
                        <w:r>
                          <w:rPr>
                            <w:rFonts w:ascii="Arial" w:eastAsia="Arial" w:hAnsi="Arial" w:cs="Arial"/>
                            <w:sz w:val="18"/>
                          </w:rPr>
                          <w:t>-</w:t>
                        </w:r>
                      </w:p>
                    </w:txbxContent>
                  </v:textbox>
                </v:rect>
                <v:rect id="Rectangle 21275" o:spid="_x0000_s5706" style="position:absolute;left:-13170;top:4859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XdIxwAAAN4AAAAPAAAAZHJzL2Rvd25yZXYueG1sRI9Pa8JA&#10;FMTvgt9heYI33RioldRVRJHm0Ev9Az0+ss8kbfbtkl1N7Kd3CwWPw8z8hlmue9OIG7W+tqxgNk1A&#10;EBdW11wqOB33kwUIH5A1NpZJwZ08rFfDwRIzbTv+pNshlCJC2GeooArBZVL6oiKDfmodcfQutjUY&#10;omxLqVvsItw0Mk2SuTRYc1yo0NG2ouLncDUKvnbs8n0ni8vv1n1854vm/Xo6KzUe9Zs3EIH68Az/&#10;t3OtIJ2lry/wdydeAbl6AAAA//8DAFBLAQItABQABgAIAAAAIQDb4fbL7gAAAIUBAAATAAAAAAAA&#10;AAAAAAAAAAAAAABbQ29udGVudF9UeXBlc10ueG1sUEsBAi0AFAAGAAgAAAAhAFr0LFu/AAAAFQEA&#10;AAsAAAAAAAAAAAAAAAAAHwEAAF9yZWxzLy5yZWxzUEsBAi0AFAAGAAgAAAAhAFrVd0jHAAAA3gAA&#10;AA8AAAAAAAAAAAAAAAAABwIAAGRycy9kb3ducmV2LnhtbFBLBQYAAAAAAwADALcAAAD7AgAAAAA=&#10;" filled="f" stroked="f">
                  <v:textbox inset="0,0,0,0">
                    <w:txbxContent>
                      <w:p w14:paraId="517E17C9" w14:textId="77777777" w:rsidR="00B32EF2" w:rsidRDefault="00000000">
                        <w:r>
                          <w:rPr>
                            <w:rFonts w:ascii="Arial" w:eastAsia="Arial" w:hAnsi="Arial" w:cs="Arial"/>
                            <w:sz w:val="18"/>
                          </w:rPr>
                          <w:t xml:space="preserve">nenti dell’ufficio è corrisposto un trattamento economico, sostitutivo di quello </w:t>
                        </w:r>
                      </w:p>
                    </w:txbxContent>
                  </v:textbox>
                </v:rect>
                <v:rect id="Rectangle 21276" o:spid="_x0000_s5707" style="position:absolute;left:-13169;top:47357;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k/xgAAAN4AAAAPAAAAZHJzL2Rvd25yZXYueG1sRI9Ba8JA&#10;FITvgv9heYXedGMOKtFViiLNwYtWweMj+0zSZt8u2dXE/vquIPQ4zMw3zHLdm0bcqfW1ZQWTcQKC&#10;uLC65lLB6Ws3moPwAVljY5kUPMjDejUcLDHTtuMD3Y+hFBHCPkMFVQguk9IXFRn0Y+uIo3e1rcEQ&#10;ZVtK3WIX4aaRaZJMpcGa40KFjjYVFT/Hm1Fw2bLLd50srr8bt//O583n7XRW6v2t/1iACNSH//Cr&#10;nWsF6SSdTeF5J14BufoDAAD//wMAUEsBAi0AFAAGAAgAAAAhANvh9svuAAAAhQEAABMAAAAAAAAA&#10;AAAAAAAAAAAAAFtDb250ZW50X1R5cGVzXS54bWxQSwECLQAUAAYACAAAACEAWvQsW78AAAAVAQAA&#10;CwAAAAAAAAAAAAAAAAAfAQAAX3JlbHMvLnJlbHNQSwECLQAUAAYACAAAACEAqgfpP8YAAADeAAAA&#10;DwAAAAAAAAAAAAAAAAAHAgAAZHJzL2Rvd25yZXYueG1sUEsFBgAAAAADAAMAtwAAAPoCAAAAAA==&#10;" filled="f" stroked="f">
                  <v:textbox inset="0,0,0,0">
                    <w:txbxContent>
                      <w:p w14:paraId="18583C4B" w14:textId="77777777" w:rsidR="00B32EF2" w:rsidRDefault="00000000">
                        <w:r>
                          <w:rPr>
                            <w:rFonts w:ascii="Arial" w:eastAsia="Arial" w:hAnsi="Arial" w:cs="Arial"/>
                            <w:sz w:val="18"/>
                          </w:rPr>
                          <w:t xml:space="preserve">previsto dall’articolo 19, pari alla metà dell’ammontare più elevato corrisposto </w:t>
                        </w:r>
                      </w:p>
                    </w:txbxContent>
                  </v:textbox>
                </v:rect>
                <v:rect id="Rectangle 21277" o:spid="_x0000_s5708" style="position:absolute;left:-13170;top:4612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0ykxwAAAN4AAAAPAAAAZHJzL2Rvd25yZXYueG1sRI/NasMw&#10;EITvhbyD2EJvjRwfkuBEDiUhxIdemjqQ42Ktf1prJSwldvv0VaHQ4zAz3zDb3WR6cafBd5YVLOYJ&#10;COLK6o4bBeX78XkNwgdkjb1lUvBFHnb57GGLmbYjv9H9HBoRIewzVNCG4DIpfdWSQT+3jjh6tR0M&#10;hiiHRuoBxwg3vUyTZCkNdhwXWnS0b6n6PN+MguuBXXEcZVV/793rR7HuT7fyotTT4/SyARFoCv/h&#10;v3ahFaSLdLWC3zvxCsj8BwAA//8DAFBLAQItABQABgAIAAAAIQDb4fbL7gAAAIUBAAATAAAAAAAA&#10;AAAAAAAAAAAAAABbQ29udGVudF9UeXBlc10ueG1sUEsBAi0AFAAGAAgAAAAhAFr0LFu/AAAAFQEA&#10;AAsAAAAAAAAAAAAAAAAAHwEAAF9yZWxzLy5yZWxzUEsBAi0AFAAGAAgAAAAhAMVLTKTHAAAA3gAA&#10;AA8AAAAAAAAAAAAAAAAABwIAAGRycy9kb3ducmV2LnhtbFBLBQYAAAAAAwADALcAAAD7AgAAAAA=&#10;" filled="f" stroked="f">
                  <v:textbox inset="0,0,0,0">
                    <w:txbxContent>
                      <w:p w14:paraId="06C5CE9B" w14:textId="77777777" w:rsidR="00B32EF2" w:rsidRDefault="00000000">
                        <w:r>
                          <w:rPr>
                            <w:rFonts w:ascii="Arial" w:eastAsia="Arial" w:hAnsi="Arial" w:cs="Arial"/>
                            <w:sz w:val="18"/>
                          </w:rPr>
                          <w:t xml:space="preserve">nello stesso periodo ai giudici tributari per l’incarico di presidente di corte di </w:t>
                        </w:r>
                      </w:p>
                    </w:txbxContent>
                  </v:textbox>
                </v:rect>
                <v:rect id="Rectangle 21278" o:spid="_x0000_s5709" style="position:absolute;left:27456;top:44891;width:1246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NjWwwAAAN4AAAAPAAAAZHJzL2Rvd25yZXYueG1sRE/LisIw&#10;FN0P+A/hCu7G1C5mpBpFFJkuZuMLXF6aa1ttbkITbZ2vN4sBl4fzni9704gHtb62rGAyTkAQF1bX&#10;XCo4HrafUxA+IGtsLJOCJ3lYLgYfc8y07XhHj30oRQxhn6GCKgSXSemLigz6sXXEkbvY1mCIsC2l&#10;brGL4aaRaZJ8SYM1x4YKHa0rKm77u1Fw3rDLt50sLn9r93vNp83P/XhSajTsVzMQgfrwFv+7c60g&#10;naTfcW+8E6+AXLwAAAD//wMAUEsBAi0AFAAGAAgAAAAhANvh9svuAAAAhQEAABMAAAAAAAAAAAAA&#10;AAAAAAAAAFtDb250ZW50X1R5cGVzXS54bWxQSwECLQAUAAYACAAAACEAWvQsW78AAAAVAQAACwAA&#10;AAAAAAAAAAAAAAAfAQAAX3JlbHMvLnJlbHNQSwECLQAUAAYACAAAACEAtNTY1sMAAADeAAAADwAA&#10;AAAAAAAAAAAAAAAHAgAAZHJzL2Rvd25yZXYueG1sUEsFBgAAAAADAAMAtwAAAPcCAAAAAA==&#10;" filled="f" stroked="f">
                  <v:textbox inset="0,0,0,0">
                    <w:txbxContent>
                      <w:p w14:paraId="59718030" w14:textId="77777777" w:rsidR="00B32EF2" w:rsidRDefault="00000000">
                        <w:r>
                          <w:rPr>
                            <w:rFonts w:ascii="Arial" w:eastAsia="Arial" w:hAnsi="Arial" w:cs="Arial"/>
                            <w:sz w:val="18"/>
                          </w:rPr>
                          <w:t>giustizia tributaria.</w:t>
                        </w:r>
                      </w:p>
                    </w:txbxContent>
                  </v:textbox>
                </v:rect>
                <v:rect id="Rectangle 21279" o:spid="_x0000_s5710" style="position:absolute;left:15102;top:42424;width:80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1NxwAAAN4AAAAPAAAAZHJzL2Rvd25yZXYueG1sRI9Pa8JA&#10;FMTvhX6H5Qm96cYcqqauIhZpDl7qH+jxkX0m0ezbJbua1E/vFoQeh5n5DTNf9qYRN2p9bVnBeJSA&#10;IC6srrlUcNhvhlMQPiBrbCyTgl/ysFy8vswx07bjb7rtQikihH2GCqoQXCalLyoy6EfWEUfvZFuD&#10;Icq2lLrFLsJNI9MkeZcGa44LFTpaV1Rcdlej4OeTXb7pZHG6r932nE+br+vhqNTboF99gAjUh//w&#10;s51rBek4nczg7068AnLxAAAA//8DAFBLAQItABQABgAIAAAAIQDb4fbL7gAAAIUBAAATAAAAAAAA&#10;AAAAAAAAAAAAAABbQ29udGVudF9UeXBlc10ueG1sUEsBAi0AFAAGAAgAAAAhAFr0LFu/AAAAFQEA&#10;AAsAAAAAAAAAAAAAAAAAHwEAAF9yZWxzLy5yZWxzUEsBAi0AFAAGAAgAAAAhANuYfU3HAAAA3gAA&#10;AA8AAAAAAAAAAAAAAAAABwIAAGRycy9kb3ducmV2LnhtbFBLBQYAAAAAAwADALcAAAD7AgAAAAA=&#10;" filled="f" stroked="f">
                  <v:textbox inset="0,0,0,0">
                    <w:txbxContent>
                      <w:p w14:paraId="74FA4249" w14:textId="77777777" w:rsidR="00B32EF2" w:rsidRDefault="00000000">
                        <w:r>
                          <w:rPr>
                            <w:rFonts w:ascii="Arial" w:eastAsia="Arial" w:hAnsi="Arial" w:cs="Arial"/>
                            <w:b/>
                            <w:sz w:val="18"/>
                          </w:rPr>
                          <w:t>Articolo 31</w:t>
                        </w:r>
                      </w:p>
                    </w:txbxContent>
                  </v:textbox>
                </v:rect>
                <v:rect id="Rectangle 202060" o:spid="_x0000_s5711" style="position:absolute;left:10040;top:41191;width:219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KJ/xgAAAN8AAAAPAAAAZHJzL2Rvd25yZXYueG1sRI/LisIw&#10;FIb3A75DOMLsxsQuRKpRBkXswo2XgVkemmNbpzkJTbQdn36yGHD589/4luvBtuJBXWgca5hOFAji&#10;0pmGKw2X8+5jDiJEZIOtY9LwSwHWq9HbEnPjej7S4xQrkUY45KihjtHnUoayJoth4jxx8q6usxiT&#10;7CppOuzTuG1lptRMWmw4PdToaVNT+XO6Ww3fW/bFrpfl9bnxh1sxb/f3y5fW7+PhcwEi0hBf4f92&#10;YTRkKlOzRJB4EgvI1R8AAAD//wMAUEsBAi0AFAAGAAgAAAAhANvh9svuAAAAhQEAABMAAAAAAAAA&#10;AAAAAAAAAAAAAFtDb250ZW50X1R5cGVzXS54bWxQSwECLQAUAAYACAAAACEAWvQsW78AAAAVAQAA&#10;CwAAAAAAAAAAAAAAAAAfAQAAX3JlbHMvLnJlbHNQSwECLQAUAAYACAAAACEAEwCif8YAAADfAAAA&#10;DwAAAAAAAAAAAAAAAAAHAgAAZHJzL2Rvd25yZXYueG1sUEsFBgAAAAADAAMAtwAAAPoCAAAAAA==&#10;" filled="f" stroked="f">
                  <v:textbox inset="0,0,0,0">
                    <w:txbxContent>
                      <w:p w14:paraId="55BEBA7A" w14:textId="77777777" w:rsidR="00B32EF2" w:rsidRDefault="00000000">
                        <w:r>
                          <w:rPr>
                            <w:rFonts w:ascii="Arial" w:eastAsia="Arial" w:hAnsi="Arial" w:cs="Arial"/>
                            <w:i/>
                            <w:sz w:val="18"/>
                          </w:rPr>
                          <w:t xml:space="preserve">articolo 24-bis D.lgs. n. </w:t>
                        </w:r>
                      </w:p>
                    </w:txbxContent>
                  </v:textbox>
                </v:rect>
                <v:rect id="Rectangle 202051" o:spid="_x0000_s5712" style="position:absolute;left:-6134;top:41191;width:219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M1ZxwAAAN8AAAAPAAAAZHJzL2Rvd25yZXYueG1sRI9BawIx&#10;FITvQv9DeIXeNHGhIqtRxCLdQy9aCz0+Ns/d1c1L2ER321/fCEKPw8x8wyzXg23FjbrQONYwnSgQ&#10;xKUzDVcajp+78RxEiMgGW8ek4YcCrFdPoyXmxvW8p9shViJBOOSooY7R51KGsiaLYeI8cfJOrrMY&#10;k+wqaTrsE9y2MlNqJi02nBZq9LStqbwcrlbD9xv7YtfL8vS79R/nYt6+X49fWr88D5sFiEhD/A8/&#10;2oXRkKlMvU7h/id9Abn6AwAA//8DAFBLAQItABQABgAIAAAAIQDb4fbL7gAAAIUBAAATAAAAAAAA&#10;AAAAAAAAAAAAAABbQ29udGVudF9UeXBlc10ueG1sUEsBAi0AFAAGAAgAAAAhAFr0LFu/AAAAFQEA&#10;AAsAAAAAAAAAAAAAAAAAHwEAAF9yZWxzLy5yZWxzUEsBAi0AFAAGAAgAAAAhALIgzVnHAAAA3wAA&#10;AA8AAAAAAAAAAAAAAAAABwIAAGRycy9kb3ducmV2LnhtbFBLBQYAAAAAAwADALcAAAD7AgAAAAA=&#10;" filled="f" stroked="f">
                  <v:textbox inset="0,0,0,0">
                    <w:txbxContent>
                      <w:p w14:paraId="7C667BBA" w14:textId="77777777" w:rsidR="00B32EF2" w:rsidRDefault="00000000">
                        <w:r>
                          <w:rPr>
                            <w:rFonts w:ascii="Arial" w:eastAsia="Arial" w:hAnsi="Arial" w:cs="Arial"/>
                            <w:i/>
                            <w:sz w:val="18"/>
                          </w:rPr>
                          <w:t>545/92)</w:t>
                        </w:r>
                      </w:p>
                    </w:txbxContent>
                  </v:textbox>
                </v:rect>
                <v:rect id="Rectangle 202046" o:spid="_x0000_s5713" style="position:absolute;left:22548;top:41191;width:219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MPwyAAAAN8AAAAPAAAAZHJzL2Rvd25yZXYueG1sRI9Ba8JA&#10;FITvhf6H5RV6q7sNIpK6iljEHHrRptDjI/tMUrNvl+xq0v56VxB6HGbmG2axGm0nLtSH1rGG14kC&#10;QVw503KtofzcvsxBhIhssHNMGn4pwGr5+LDA3LiB93Q5xFokCIccNTQx+lzKUDVkMUycJ07e0fUW&#10;Y5J9LU2PQ4LbTmZKzaTFltNCg542DVWnw9lq+H5nX2wHWR3/Nv7jp5h3u3P5pfXz07h+AxFpjP/h&#10;e7swGjKVqekMbn/SF5DLKwAAAP//AwBQSwECLQAUAAYACAAAACEA2+H2y+4AAACFAQAAEwAAAAAA&#10;AAAAAAAAAAAAAAAAW0NvbnRlbnRfVHlwZXNdLnhtbFBLAQItABQABgAIAAAAIQBa9CxbvwAAABUB&#10;AAALAAAAAAAAAAAAAAAAAB8BAABfcmVscy8ucmVsc1BLAQItABQABgAIAAAAIQC4EMPwyAAAAN8A&#10;AAAPAAAAAAAAAAAAAAAAAAcCAABkcnMvZG93bnJldi54bWxQSwUGAAAAAAMAAwC3AAAA/AIAAAAA&#10;" filled="f" stroked="f">
                  <v:textbox inset="0,0,0,0">
                    <w:txbxContent>
                      <w:p w14:paraId="2420F694" w14:textId="77777777" w:rsidR="00B32EF2" w:rsidRDefault="00000000">
                        <w:r>
                          <w:rPr>
                            <w:rFonts w:ascii="Arial" w:eastAsia="Arial" w:hAnsi="Arial" w:cs="Arial"/>
                            <w:i/>
                            <w:sz w:val="18"/>
                          </w:rPr>
                          <w:t>(</w:t>
                        </w:r>
                      </w:p>
                    </w:txbxContent>
                  </v:textbox>
                </v:rect>
                <v:rect id="Rectangle 21281" o:spid="_x0000_s5714" style="position:absolute;left:4640;top:39957;width:245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FsxgAAAN4AAAAPAAAAZHJzL2Rvd25yZXYueG1sRI9Ba8JA&#10;FITvQv/D8gredJMcJKSuUizSHHrRKvT4yD6TaPbtkl1N2l/vCkKPw8x8wyzXo+nEjXrfWlaQzhMQ&#10;xJXVLdcKDt/bWQ7CB2SNnWVS8Ese1quXyRILbQfe0W0fahEh7AtU0ITgCil91ZBBP7eOOHon2xsM&#10;Ufa11D0OEW46mSXJQhpsOS406GjTUHXZX42Cnw925XaQ1elv477OZd59Xg9Hpaav4/sbiEBj+A8/&#10;26VWkKVZnsLjTrwCcnUHAAD//wMAUEsBAi0AFAAGAAgAAAAhANvh9svuAAAAhQEAABMAAAAAAAAA&#10;AAAAAAAAAAAAAFtDb250ZW50X1R5cGVzXS54bWxQSwECLQAUAAYACAAAACEAWvQsW78AAAAVAQAA&#10;CwAAAAAAAAAAAAAAAAAfAQAAX3JlbHMvLnJlbHNQSwECLQAUAAYACAAAACEAEDsBbMYAAADeAAAA&#10;DwAAAAAAAAAAAAAAAAAHAgAAZHJzL2Rvd25yZXYueG1sUEsFBgAAAAADAAMAtwAAAPoCAAAAAA==&#10;" filled="f" stroked="f">
                  <v:textbox inset="0,0,0,0">
                    <w:txbxContent>
                      <w:p w14:paraId="644A97CE" w14:textId="77777777" w:rsidR="00B32EF2" w:rsidRDefault="00000000">
                        <w:r>
                          <w:rPr>
                            <w:rFonts w:ascii="Arial" w:eastAsia="Arial" w:hAnsi="Arial" w:cs="Arial"/>
                            <w:b/>
                            <w:sz w:val="18"/>
                          </w:rPr>
                          <w:t xml:space="preserve">Ufficio del massimario nazionale </w:t>
                        </w:r>
                      </w:p>
                    </w:txbxContent>
                  </v:textbox>
                </v:rect>
                <v:rect id="Rectangle 202032" o:spid="_x0000_s5715" style="position:absolute;left:-8591;top:38650;width:479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aOxwAAAN8AAAAPAAAAZHJzL2Rvd25yZXYueG1sRI9Ba8JA&#10;FITvQv/D8gq96W5TEEldpVikOXjRRujxkX0mabNvl+xqor/eLRR6HGbmG2a5Hm0nLtSH1rGG55kC&#10;QVw503KtofzcThcgQkQ22DkmDVcKsF49TJaYGzfwni6HWIsE4ZCjhiZGn0sZqoYshpnzxMk7ud5i&#10;TLKvpelxSHDbyUypubTYclpo0NOmoerncLYavt7ZF9tBVqfbxu++i0X3cS6PWj89jm+vICKN8T/8&#10;1y6Mhkxl6iWD3z/pC8jVHQAA//8DAFBLAQItABQABgAIAAAAIQDb4fbL7gAAAIUBAAATAAAAAAAA&#10;AAAAAAAAAAAAAABbQ29udGVudF9UeXBlc10ueG1sUEsBAi0AFAAGAAgAAAAhAFr0LFu/AAAAFQEA&#10;AAsAAAAAAAAAAAAAAAAAHwEAAF9yZWxzLy5yZWxzUEsBAi0AFAAGAAgAAAAhAJ8tto7HAAAA3wAA&#10;AA8AAAAAAAAAAAAAAAAABwIAAGRycy9kb3ducmV2LnhtbFBLBQYAAAAAAwADALcAAAD7AgAAAAA=&#10;" filled="f" stroked="f">
                  <v:textbox inset="0,0,0,0">
                    <w:txbxContent>
                      <w:p w14:paraId="734F83E4" w14:textId="77777777" w:rsidR="00B32EF2" w:rsidRDefault="00000000">
                        <w:r>
                          <w:rPr>
                            <w:rFonts w:ascii="Arial" w:eastAsia="Arial" w:hAnsi="Arial" w:cs="Arial"/>
                            <w:sz w:val="18"/>
                          </w:rPr>
                          <w:t>. È istituito presso il Consiglio di presidenza della giustizia tributaria l</w:t>
                        </w:r>
                      </w:p>
                    </w:txbxContent>
                  </v:textbox>
                </v:rect>
                <v:rect id="Rectangle 202031" o:spid="_x0000_s5716" style="position:absolute;left:27392;top:38650;width:479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j5xwAAAN8AAAAPAAAAZHJzL2Rvd25yZXYueG1sRI9BawIx&#10;FITvQv9DeIXeNHELIqtRxCLdQy9aCz0+Ns/d1c1L2ER321/fCEKPw8x8wyzXg23FjbrQONYwnSgQ&#10;xKUzDVcajp+78RxEiMgGW8ek4YcCrFdPoyXmxvW8p9shViJBOOSooY7R51KGsiaLYeI8cfJOrrMY&#10;k+wqaTrsE9y2MlNqJi02nBZq9LStqbwcrlbD9xv7YtfL8vS79R/nYt6+X49fWr88D5sFiEhD/A8/&#10;2oXRkKlMvU7h/id9Abn6AwAA//8DAFBLAQItABQABgAIAAAAIQDb4fbL7gAAAIUBAAATAAAAAAAA&#10;AAAAAAAAAAAAAABbQ29udGVudF9UeXBlc10ueG1sUEsBAi0AFAAGAAgAAAAhAFr0LFu/AAAAFQEA&#10;AAsAAAAAAAAAAAAAAAAAHwEAAF9yZWxzLy5yZWxzUEsBAi0AFAAGAAgAAAAhAG//KPnHAAAA3wAA&#10;AA8AAAAAAAAAAAAAAAAABwIAAGRycy9kb3ducmV2LnhtbFBLBQYAAAAAAwADALcAAAD7AgAAAAA=&#10;" filled="f" stroked="f">
                  <v:textbox inset="0,0,0,0">
                    <w:txbxContent>
                      <w:p w14:paraId="760DBAC5" w14:textId="77777777" w:rsidR="00B32EF2" w:rsidRDefault="00000000">
                        <w:r>
                          <w:rPr>
                            <w:rFonts w:ascii="Arial" w:eastAsia="Arial" w:hAnsi="Arial" w:cs="Arial"/>
                            <w:sz w:val="18"/>
                          </w:rPr>
                          <w:t>1</w:t>
                        </w:r>
                      </w:p>
                    </w:txbxContent>
                  </v:textbox>
                </v:rect>
                <v:rect id="Rectangle 21283" o:spid="_x0000_s5717" style="position:absolute;left:-1277;top:38650;width:51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TqAxgAAAN4AAAAPAAAAZHJzL2Rvd25yZXYueG1sRI9Ba8JA&#10;FITvBf/D8gRvdWMECamrFEXMwYtWweMj+0zSZt8u2dXE/vpuodDjMDPfMMv1YFrxoM43lhXMpgkI&#10;4tLqhisF54/dawbCB2SNrWVS8CQP69XoZYm5tj0f6XEKlYgQ9jkqqENwuZS+rMmgn1pHHL2b7QyG&#10;KLtK6g77CDetTJNkIQ02HBdqdLSpqfw63Y2C65ZdsetlefveuMNnkbX7+/mi1GQ8vL+BCDSE//Bf&#10;u9AK0lmazeH3TrwCcvUDAAD//wMAUEsBAi0AFAAGAAgAAAAhANvh9svuAAAAhQEAABMAAAAAAAAA&#10;AAAAAAAAAAAAAFtDb250ZW50X1R5cGVzXS54bWxQSwECLQAUAAYACAAAACEAWvQsW78AAAAVAQAA&#10;CwAAAAAAAAAAAAAAAAAfAQAAX3JlbHMvLnJlbHNQSwECLQAUAAYACAAAACEAj6U6gMYAAADeAAAA&#10;DwAAAAAAAAAAAAAAAAAHAgAAZHJzL2Rvd25yZXYueG1sUEsFBgAAAAADAAMAtwAAAPoCAAAAAA==&#10;" filled="f" stroked="f">
                  <v:textbox inset="0,0,0,0">
                    <w:txbxContent>
                      <w:p w14:paraId="622615BA" w14:textId="77777777" w:rsidR="00B32EF2" w:rsidRDefault="00000000">
                        <w:r>
                          <w:rPr>
                            <w:rFonts w:ascii="Arial" w:eastAsia="Arial" w:hAnsi="Arial" w:cs="Arial"/>
                            <w:sz w:val="18"/>
                          </w:rPr>
                          <w:t xml:space="preserve">’Ufficio </w:t>
                        </w:r>
                      </w:p>
                    </w:txbxContent>
                  </v:textbox>
                </v:rect>
                <v:rect id="Rectangle 21284" o:spid="_x0000_s5718" style="position:absolute;left:-13169;top:37417;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KL0xgAAAN4AAAAPAAAAZHJzL2Rvd25yZXYueG1sRI9Ba8JA&#10;FITvBf/D8gRvdWMQCamrFEXMwYtWweMj+0zSZt8u2dXE/vpuodDjMDPfMMv1YFrxoM43lhXMpgkI&#10;4tLqhisF54/dawbCB2SNrWVS8CQP69XoZYm5tj0f6XEKlYgQ9jkqqENwuZS+rMmgn1pHHL2b7QyG&#10;KLtK6g77CDetTJNkIQ02HBdqdLSpqfw63Y2C65ZdsetlefveuMNnkbX7+/mi1GQ8vL+BCDSE//Bf&#10;u9AK0lmazeH3TrwCcvUDAAD//wMAUEsBAi0AFAAGAAgAAAAhANvh9svuAAAAhQEAABMAAAAAAAAA&#10;AAAAAAAAAAAAAFtDb250ZW50X1R5cGVzXS54bWxQSwECLQAUAAYACAAAACEAWvQsW78AAAAVAQAA&#10;CwAAAAAAAAAAAAAAAAAfAQAAX3JlbHMvLnJlbHNQSwECLQAUAAYACAAAACEAAEyi9MYAAADeAAAA&#10;DwAAAAAAAAAAAAAAAAAHAgAAZHJzL2Rvd25yZXYueG1sUEsFBgAAAAADAAMAtwAAAPoCAAAAAA==&#10;" filled="f" stroked="f">
                  <v:textbox inset="0,0,0,0">
                    <w:txbxContent>
                      <w:p w14:paraId="61E124F9" w14:textId="77777777" w:rsidR="00B32EF2" w:rsidRDefault="00000000">
                        <w:r>
                          <w:rPr>
                            <w:rFonts w:ascii="Arial" w:eastAsia="Arial" w:hAnsi="Arial" w:cs="Arial"/>
                            <w:sz w:val="18"/>
                          </w:rPr>
                          <w:t xml:space="preserve">del massimario nazionale, al quale sono assegnati un direttore, che ne è il </w:t>
                        </w:r>
                      </w:p>
                    </w:txbxContent>
                  </v:textbox>
                </v:rect>
                <v:rect id="Rectangle 21285" o:spid="_x0000_s5719" style="position:absolute;left:4633;top:36183;width:352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AdvxgAAAN4AAAAPAAAAZHJzL2Rvd25yZXYueG1sRI9Ba8JA&#10;FITvBf/D8gRvdWNACamrFEXMwYtWweMj+0zSZt8u2dXE/vpuodDjMDPfMMv1YFrxoM43lhXMpgkI&#10;4tLqhisF54/dawbCB2SNrWVS8CQP69XoZYm5tj0f6XEKlYgQ9jkqqENwuZS+rMmgn1pHHL2b7QyG&#10;KLtK6g77CDetTJNkIQ02HBdqdLSpqfw63Y2C65ZdsetlefveuMNnkbX7+/mi1GQ8vL+BCDSE//Bf&#10;u9AK0lmazeH3TrwCcvUDAAD//wMAUEsBAi0AFAAGAAgAAAAhANvh9svuAAAAhQEAABMAAAAAAAAA&#10;AAAAAAAAAAAAAFtDb250ZW50X1R5cGVzXS54bWxQSwECLQAUAAYACAAAACEAWvQsW78AAAAVAQAA&#10;CwAAAAAAAAAAAAAAAAAfAQAAX3JlbHMvLnJlbHNQSwECLQAUAAYACAAAACEAbwAHb8YAAADeAAAA&#10;DwAAAAAAAAAAAAAAAAAHAgAAZHJzL2Rvd25yZXYueG1sUEsFBgAAAAADAAMAtwAAAPoCAAAAAA==&#10;" filled="f" stroked="f">
                  <v:textbox inset="0,0,0,0">
                    <w:txbxContent>
                      <w:p w14:paraId="5C8A93E9" w14:textId="77777777" w:rsidR="00B32EF2" w:rsidRDefault="00000000">
                        <w:r>
                          <w:rPr>
                            <w:rFonts w:ascii="Arial" w:eastAsia="Arial" w:hAnsi="Arial" w:cs="Arial"/>
                            <w:sz w:val="18"/>
                          </w:rPr>
                          <w:t>responsabile, e quindici magistrati o giudici tributari.</w:t>
                        </w:r>
                      </w:p>
                    </w:txbxContent>
                  </v:textbox>
                </v:rect>
                <v:rect id="Rectangle 202026" o:spid="_x0000_s5720" style="position:absolute;left:26112;top:3495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ZQxQAAAN8AAAAPAAAAZHJzL2Rvd25yZXYueG1sRE/LasJA&#10;FN0X+g/DFbqrE10EiRmlWKRZdFOr4PKSuXm0mTtDZkyiX98RhHJWh/Pi5NvJdGKg3reWFSzmCQji&#10;0uqWawXH7/3rCoQPyBo7y6TgSh62m+enHDNtR/6i4RBqEUvYZ6igCcFlUvqyIYN+bh1x1CrbGwyR&#10;9rXUPY6x3HRymSSpNNhyXGjQ0a6h8vdwMQrO7+yK/SjL6rZznz/Fqvu4HE9KvcymtzWIQFP4Nz/S&#10;hVawTCJSuP+JX0Bu/gAAAP//AwBQSwECLQAUAAYACAAAACEA2+H2y+4AAACFAQAAEwAAAAAAAAAA&#10;AAAAAAAAAAAAW0NvbnRlbnRfVHlwZXNdLnhtbFBLAQItABQABgAIAAAAIQBa9CxbvwAAABUBAAAL&#10;AAAAAAAAAAAAAAAAAB8BAABfcmVscy8ucmVsc1BLAQItABQABgAIAAAAIQBlzyZQxQAAAN8AAAAP&#10;AAAAAAAAAAAAAAAAAAcCAABkcnMvZG93bnJldi54bWxQSwUGAAAAAAMAAwC3AAAA+QIAAAAA&#10;" filled="f" stroked="f">
                  <v:textbox inset="0,0,0,0">
                    <w:txbxContent>
                      <w:p w14:paraId="361FAEA5" w14:textId="77777777" w:rsidR="00B32EF2" w:rsidRDefault="00000000">
                        <w:r>
                          <w:rPr>
                            <w:rFonts w:ascii="Arial" w:eastAsia="Arial" w:hAnsi="Arial" w:cs="Arial"/>
                            <w:sz w:val="18"/>
                          </w:rPr>
                          <w:t>2</w:t>
                        </w:r>
                      </w:p>
                    </w:txbxContent>
                  </v:textbox>
                </v:rect>
                <v:rect id="Rectangle 202028" o:spid="_x0000_s5721" style="position:absolute;left:-13815;top:3495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Be5xwAAAN8AAAAPAAAAZHJzL2Rvd25yZXYueG1sRI9Ba8JA&#10;EIXvhf6HZQRvdaOHItFVikWaQy9aBY9Ddkyi2dklu5ror+8cCmVOw7x5733L9eBadacuNp4NTCcZ&#10;KOLS24YrA4ef7dscVEzIFlvPZOBBEdar15cl5tb3vKP7PlVKTDjmaKBOKeRax7Imh3HiA7Hczr5z&#10;mGTtKm077MXctXqWZe/aYcOSUGOgTU3ldX9zBk6fHIptr8vzcxO+L8W8/bodjsaMR8PHAlSiIf2L&#10;/74La2CWyUhh4REW0KtfAAAA//8DAFBLAQItABQABgAIAAAAIQDb4fbL7gAAAIUBAAATAAAAAAAA&#10;AAAAAAAAAAAAAABbQ29udGVudF9UeXBlc10ueG1sUEsBAi0AFAAGAAgAAAAhAFr0LFu/AAAAFQEA&#10;AAsAAAAAAAAAAAAAAAAAHwEAAF9yZWxzLy5yZWxzUEsBAi0AFAAGAAgAAAAhAHscF7nHAAAA3wAA&#10;AA8AAAAAAAAAAAAAAAAABwIAAGRycy9kb3ducmV2LnhtbFBLBQYAAAAAAwADALcAAAD7AgAAAAA=&#10;" filled="f" stroked="f">
                  <v:textbox inset="0,0,0,0">
                    <w:txbxContent>
                      <w:p w14:paraId="3C865708" w14:textId="77777777" w:rsidR="00B32EF2" w:rsidRDefault="00000000">
                        <w:r>
                          <w:rPr>
                            <w:rFonts w:ascii="Arial" w:eastAsia="Arial" w:hAnsi="Arial" w:cs="Arial"/>
                            <w:sz w:val="18"/>
                          </w:rPr>
                          <w:t xml:space="preserve">. Il direttore, i magistrati e i giudici tributari assegnati all’Ufficio sono nominati </w:t>
                        </w:r>
                      </w:p>
                    </w:txbxContent>
                  </v:textbox>
                </v:rect>
                <v:rect id="Rectangle 21287" o:spid="_x0000_s5722" style="position:absolute;left:-13169;top:3364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jyDxgAAAN4AAAAPAAAAZHJzL2Rvd25yZXYueG1sRI9Ba8JA&#10;FITvBf/D8gRvdWMOGlJXKYqYgxetgsdH9pmkzb5dsquJ/fXdQqHHYWa+YZbrwbTiQZ1vLCuYTRMQ&#10;xKXVDVcKzh+71wyED8gaW8uk4Eke1qvRyxJzbXs+0uMUKhEh7HNUUIfgcil9WZNBP7WOOHo32xkM&#10;UXaV1B32EW5amSbJXBpsOC7U6GhTU/l1uhsF1y27YtfL8va9cYfPImv39/NFqcl4eH8DEWgI/+G/&#10;dqEVpLM0W8DvnXgF5OoHAAD//wMAUEsBAi0AFAAGAAgAAAAhANvh9svuAAAAhQEAABMAAAAAAAAA&#10;AAAAAAAAAAAAAFtDb250ZW50X1R5cGVzXS54bWxQSwECLQAUAAYACAAAACEAWvQsW78AAAAVAQAA&#10;CwAAAAAAAAAAAAAAAAAfAQAAX3JlbHMvLnJlbHNQSwECLQAUAAYACAAAACEA8J48g8YAAADeAAAA&#10;DwAAAAAAAAAAAAAAAAAHAgAAZHJzL2Rvd25yZXYueG1sUEsFBgAAAAADAAMAtwAAAPoCAAAAAA==&#10;" filled="f" stroked="f">
                  <v:textbox inset="0,0,0,0">
                    <w:txbxContent>
                      <w:p w14:paraId="21931E21" w14:textId="77777777" w:rsidR="00B32EF2" w:rsidRDefault="00000000">
                        <w:r>
                          <w:rPr>
                            <w:rFonts w:ascii="Arial" w:eastAsia="Arial" w:hAnsi="Arial" w:cs="Arial"/>
                            <w:sz w:val="18"/>
                          </w:rPr>
                          <w:t xml:space="preserve">con delibera del Consiglio di presidenza tra i componenti delle corti di giustizia </w:t>
                        </w:r>
                      </w:p>
                    </w:txbxContent>
                  </v:textbox>
                </v:rect>
                <v:rect id="Rectangle 21288" o:spid="_x0000_s5723" style="position:absolute;left:-13170;top:32335;width:53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ajxwwAAAN4AAAAPAAAAZHJzL2Rvd25yZXYueG1sRE9Ni8Iw&#10;EL0v+B/CCN7W1B6kVKOIIvbgZV0X9jg0Y1ttJqGJtu6vNwdhj4/3vVwPphUP6nxjWcFsmoAgLq1u&#10;uFJw/t5/ZiB8QNbYWiYFT/KwXo0+lphr2/MXPU6hEjGEfY4K6hBcLqUvazLop9YRR+5iO4Mhwq6S&#10;usM+hptWpkkylwYbjg01OtrWVN5Od6Pgd8eu2PeyvPxt3fFaZO3hfv5RajIeNgsQgYbwL367C60g&#10;naVZ3BvvxCsgVy8AAAD//wMAUEsBAi0AFAAGAAgAAAAhANvh9svuAAAAhQEAABMAAAAAAAAAAAAA&#10;AAAAAAAAAFtDb250ZW50X1R5cGVzXS54bWxQSwECLQAUAAYACAAAACEAWvQsW78AAAAVAQAACwAA&#10;AAAAAAAAAAAAAAAfAQAAX3JlbHMvLnJlbHNQSwECLQAUAAYACAAAACEAgQGo8cMAAADeAAAADwAA&#10;AAAAAAAAAAAAAAAHAgAAZHJzL2Rvd25yZXYueG1sUEsFBgAAAAADAAMAtwAAAPcCAAAAAA==&#10;" filled="f" stroked="f">
                  <v:textbox inset="0,0,0,0">
                    <w:txbxContent>
                      <w:p w14:paraId="6EBEB715" w14:textId="77777777" w:rsidR="00B32EF2" w:rsidRDefault="00000000">
                        <w:r>
                          <w:rPr>
                            <w:rFonts w:ascii="Arial" w:eastAsia="Arial" w:hAnsi="Arial" w:cs="Arial"/>
                            <w:sz w:val="18"/>
                          </w:rPr>
                          <w:t xml:space="preserve">tributaria di primo e secondo grado. La nomina del direttore e dei componenti </w:t>
                        </w:r>
                      </w:p>
                    </w:txbxContent>
                  </v:textbox>
                </v:rect>
                <v:rect id="Rectangle 21289" o:spid="_x0000_s5724" style="position:absolute;left:-13169;top:3102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Q1qxgAAAN4AAAAPAAAAZHJzL2Rvd25yZXYueG1sRI9Ba8JA&#10;FITvBf/D8gRvdWMOkqauUhQxBy9aBY+P7DNJm327ZFcT++u7QqHHYWa+YRarwbTiTp1vLCuYTRMQ&#10;xKXVDVcKTp/b1wyED8gaW8uk4EEeVsvRywJzbXs+0P0YKhEh7HNUUIfgcil9WZNBP7WOOHpX2xkM&#10;UXaV1B32EW5amSbJXBpsOC7U6GhdU/l9vBkFlw27YtvL8vqzdvuvImt3t9NZqcl4+HgHEWgI/+G/&#10;dqEVpLM0e4PnnXgF5PIXAAD//wMAUEsBAi0AFAAGAAgAAAAhANvh9svuAAAAhQEAABMAAAAAAAAA&#10;AAAAAAAAAAAAAFtDb250ZW50X1R5cGVzXS54bWxQSwECLQAUAAYACAAAACEAWvQsW78AAAAVAQAA&#10;CwAAAAAAAAAAAAAAAAAfAQAAX3JlbHMvLnJlbHNQSwECLQAUAAYACAAAACEA7k0NasYAAADeAAAA&#10;DwAAAAAAAAAAAAAAAAAHAgAAZHJzL2Rvd25yZXYueG1sUEsFBgAAAAADAAMAtwAAAPoCAAAAAA==&#10;" filled="f" stroked="f">
                  <v:textbox inset="0,0,0,0">
                    <w:txbxContent>
                      <w:p w14:paraId="1FF65667" w14:textId="77777777" w:rsidR="00B32EF2" w:rsidRDefault="00000000">
                        <w:r>
                          <w:rPr>
                            <w:rFonts w:ascii="Arial" w:eastAsia="Arial" w:hAnsi="Arial" w:cs="Arial"/>
                            <w:sz w:val="18"/>
                          </w:rPr>
                          <w:t xml:space="preserve">dell’Ufficio è effettuata tra i candidati che hanno maturato non meno di sette </w:t>
                        </w:r>
                      </w:p>
                    </w:txbxContent>
                  </v:textbox>
                </v:rect>
                <v:rect id="Rectangle 21290" o:spid="_x0000_s5725" style="position:absolute;left:3505;top:29720;width:3641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jIqxQAAAN4AAAAPAAAAZHJzL2Rvd25yZXYueG1sRI/NisIw&#10;FIX3A75DuIK7MbULcapRRBG7mI2OgstLc22rzU1ooq3z9GYxMMvD+eNbrHrTiCe1vrasYDJOQBAX&#10;VtdcKjj97D5nIHxA1thYJgUv8rBaDj4WmGnb8YGex1CKOMI+QwVVCC6T0hcVGfRj64ijd7WtwRBl&#10;W0rdYhfHTSPTJJlKgzXHhwodbSoq7seHUXDZsst3nSyuvxv3fctnzf5xOis1GvbrOYhAffgP/7Vz&#10;rSCdpF8RIOJEFJDLNwAAAP//AwBQSwECLQAUAAYACAAAACEA2+H2y+4AAACFAQAAEwAAAAAAAAAA&#10;AAAAAAAAAAAAW0NvbnRlbnRfVHlwZXNdLnhtbFBLAQItABQABgAIAAAAIQBa9CxbvwAAABUBAAAL&#10;AAAAAAAAAAAAAAAAAB8BAABfcmVscy8ucmVsc1BLAQItABQABgAIAAAAIQD6rjIqxQAAAN4AAAAP&#10;AAAAAAAAAAAAAAAAAAcCAABkcnMvZG93bnJldi54bWxQSwUGAAAAAAMAAwC3AAAA+QIAAAAA&#10;" filled="f" stroked="f">
                  <v:textbox inset="0,0,0,0">
                    <w:txbxContent>
                      <w:p w14:paraId="44B67C32" w14:textId="77777777" w:rsidR="00B32EF2" w:rsidRDefault="00000000">
                        <w:r>
                          <w:rPr>
                            <w:rFonts w:ascii="Arial" w:eastAsia="Arial" w:hAnsi="Arial" w:cs="Arial"/>
                            <w:sz w:val="18"/>
                          </w:rPr>
                          <w:t>anni di effettivo esercizio nelle funzioni giurisdizionali.</w:t>
                        </w:r>
                      </w:p>
                    </w:txbxContent>
                  </v:textbox>
                </v:rect>
                <v:rect id="Rectangle 21291" o:spid="_x0000_s5726" style="position:absolute;left:-13169;top:2841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pexxwAAAN4AAAAPAAAAZHJzL2Rvd25yZXYueG1sRI9Ba8JA&#10;FITvBf/D8oTe6iY5FBvdBFHEHHqptdDjI/tMotm3S3Y1aX99t1DocZiZb5h1OZle3GnwnWUF6SIB&#10;QVxb3XGj4PS+f1qC8AFZY2+ZFHyRh7KYPawx13bkN7ofQyMihH2OCtoQXC6lr1sy6BfWEUfvbAeD&#10;IcqhkXrAMcJNL7MkeZYGO44LLTratlRfjzej4HPHrtqPsj5/b93rpVr2h9vpQ6nH+bRZgQg0hf/w&#10;X7vSCrI0e0nh9068ArL4AQAA//8DAFBLAQItABQABgAIAAAAIQDb4fbL7gAAAIUBAAATAAAAAAAA&#10;AAAAAAAAAAAAAABbQ29udGVudF9UeXBlc10ueG1sUEsBAi0AFAAGAAgAAAAhAFr0LFu/AAAAFQEA&#10;AAsAAAAAAAAAAAAAAAAAHwEAAF9yZWxzLy5yZWxzUEsBAi0AFAAGAAgAAAAhAJXil7HHAAAA3gAA&#10;AA8AAAAAAAAAAAAAAAAABwIAAGRycy9kb3ducmV2LnhtbFBLBQYAAAAAAwADALcAAAD7AgAAAAA=&#10;" filled="f" stroked="f">
                  <v:textbox inset="0,0,0,0">
                    <w:txbxContent>
                      <w:p w14:paraId="2693B4B4" w14:textId="77777777" w:rsidR="00B32EF2" w:rsidRDefault="00000000">
                        <w:r>
                          <w:rPr>
                            <w:rFonts w:ascii="Arial" w:eastAsia="Arial" w:hAnsi="Arial" w:cs="Arial"/>
                            <w:sz w:val="18"/>
                          </w:rPr>
                          <w:t xml:space="preserve">L’incarico del direttore e dei componenti dell’Ufficio ha durata quinquennale e </w:t>
                        </w:r>
                      </w:p>
                    </w:txbxContent>
                  </v:textbox>
                </v:rect>
                <v:rect id="Rectangle 21292" o:spid="_x0000_s5727" style="position:absolute;left:27826;top:27104;width:120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AnGxgAAAN4AAAAPAAAAZHJzL2Rvd25yZXYueG1sRI9Ba8JA&#10;FITvBf/D8gRvdWMOotFVRBFz6KVqocdH9plEs2+X7GrS/vpuQfA4zMw3zHLdm0Y8qPW1ZQWTcQKC&#10;uLC65lLB+bR/n4HwAVljY5kU/JCH9WrwtsRM244/6XEMpYgQ9hkqqEJwmZS+qMigH1tHHL2LbQ2G&#10;KNtS6ha7CDeNTJNkKg3WHBcqdLStqLgd70bB945dvu9kcfnduo9rPmsO9/OXUqNhv1mACNSHV/jZ&#10;zrWCdJLOU/i/E6+AXP0BAAD//wMAUEsBAi0AFAAGAAgAAAAhANvh9svuAAAAhQEAABMAAAAAAAAA&#10;AAAAAAAAAAAAAFtDb250ZW50X1R5cGVzXS54bWxQSwECLQAUAAYACAAAACEAWvQsW78AAAAVAQAA&#10;CwAAAAAAAAAAAAAAAAAfAQAAX3JlbHMvLnJlbHNQSwECLQAUAAYACAAAACEAZTAJxsYAAADeAAAA&#10;DwAAAAAAAAAAAAAAAAAHAgAAZHJzL2Rvd25yZXYueG1sUEsFBgAAAAADAAMAtwAAAPoCAAAAAA==&#10;" filled="f" stroked="f">
                  <v:textbox inset="0,0,0,0">
                    <w:txbxContent>
                      <w:p w14:paraId="7F0CFA08" w14:textId="77777777" w:rsidR="00B32EF2" w:rsidRDefault="00000000">
                        <w:r>
                          <w:rPr>
                            <w:rFonts w:ascii="Arial" w:eastAsia="Arial" w:hAnsi="Arial" w:cs="Arial"/>
                            <w:sz w:val="18"/>
                          </w:rPr>
                          <w:t>non è rinnovabile.</w:t>
                        </w:r>
                      </w:p>
                    </w:txbxContent>
                  </v:textbox>
                </v:rect>
                <v:rect id="Rectangle 202020" o:spid="_x0000_s5728" style="position:absolute;left:26349;top:25797;width:521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hu/wwAAAN8AAAAPAAAAZHJzL2Rvd25yZXYueG1sRE/LisIw&#10;FN0L8w/hCrOzqS5EOkYZHGS6cOMLZnlprm21uQlNtB2/3giCnNXhvDjzZW8acaPW15YVjJMUBHFh&#10;dc2lgsN+PZqB8AFZY2OZFPyTh+XiYzDHTNuOt3TbhVLEEvYZKqhCcJmUvqjIoE+sI47aybYGQ6Rt&#10;KXWLXSw3jZyk6VQarDkuVOhoVVFx2V2Ngr8fdvm6k8XpvnKbcz5rfq+Ho1Kfw/77C0SgPrzNr3Su&#10;FUzSJ+D5J34BuXgAAAD//wMAUEsBAi0AFAAGAAgAAAAhANvh9svuAAAAhQEAABMAAAAAAAAAAAAA&#10;AAAAAAAAAFtDb250ZW50X1R5cGVzXS54bWxQSwECLQAUAAYACAAAACEAWvQsW78AAAAVAQAACwAA&#10;AAAAAAAAAAAAAAAfAQAAX3JlbHMvLnJlbHNQSwECLQAUAAYACAAAACEAhWobv8MAAADfAAAADwAA&#10;AAAAAAAAAAAAAAAHAgAAZHJzL2Rvd25yZXYueG1sUEsFBgAAAAADAAMAtwAAAPcCAAAAAA==&#10;" filled="f" stroked="f">
                  <v:textbox inset="0,0,0,0">
                    <w:txbxContent>
                      <w:p w14:paraId="654EC332" w14:textId="77777777" w:rsidR="00B32EF2" w:rsidRDefault="00000000">
                        <w:r>
                          <w:rPr>
                            <w:rFonts w:ascii="Arial" w:eastAsia="Arial" w:hAnsi="Arial" w:cs="Arial"/>
                            <w:sz w:val="18"/>
                          </w:rPr>
                          <w:t>3</w:t>
                        </w:r>
                      </w:p>
                    </w:txbxContent>
                  </v:textbox>
                </v:rect>
                <v:rect id="Rectangle 202022" o:spid="_x0000_s5729" style="position:absolute;left:-12851;top:25797;width:521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CBTxAAAAN8AAAAPAAAAZHJzL2Rvd25yZXYueG1sRE9Ni8Iw&#10;FLwv+B/CE7ytqT2IVKOIIvbgZdWFPT6aZ1ttXkITbfXXbxYWZE7DfDGLVW8a8aDW15YVTMYJCOLC&#10;6ppLBefT7nMGwgdkjY1lUvAkD6vl4GOBmbYdf9HjGEoRS9hnqKAKwWVS+qIig35sHXHULrY1GCJt&#10;S6lb7GK5aWSaJFNpsOa4UKGjTUXF7Xg3Cn627PJdJ4vLa+MO13zW7O/nb6VGw349BxGoD2/zfzrX&#10;CtIkIoW/P/ELyOUvAAAA//8DAFBLAQItABQABgAIAAAAIQDb4fbL7gAAAIUBAAATAAAAAAAAAAAA&#10;AAAAAAAAAABbQ29udGVudF9UeXBlc10ueG1sUEsBAi0AFAAGAAgAAAAhAFr0LFu/AAAAFQEAAAsA&#10;AAAAAAAAAAAAAAAAHwEAAF9yZWxzLy5yZWxzUEsBAi0AFAAGAAgAAAAhABr0IFPEAAAA3wAAAA8A&#10;AAAAAAAAAAAAAAAABwIAAGRycy9kb3ducmV2LnhtbFBLBQYAAAAAAwADALcAAAD4AgAAAAA=&#10;" filled="f" stroked="f">
                  <v:textbox inset="0,0,0,0">
                    <w:txbxContent>
                      <w:p w14:paraId="298D6EA4" w14:textId="77777777" w:rsidR="00B32EF2" w:rsidRDefault="00000000">
                        <w:r>
                          <w:rPr>
                            <w:rFonts w:ascii="Arial" w:eastAsia="Arial" w:hAnsi="Arial" w:cs="Arial"/>
                            <w:sz w:val="18"/>
                          </w:rPr>
                          <w:t>. L’Ufficio del massimario nazionale provvede a rilevare, classificare e ordi</w:t>
                        </w:r>
                      </w:p>
                    </w:txbxContent>
                  </v:textbox>
                </v:rect>
                <v:rect id="Rectangle 21294" o:spid="_x0000_s5730" style="position:absolute;left:194;top:2579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TQpxwAAAN4AAAAPAAAAZHJzL2Rvd25yZXYueG1sRI9Pa8JA&#10;FMTvhX6H5Qm96cZQRFNXEYs0By/1D/T4yD6TaPbtkl1N6qd3C0KPw8z8hpkve9OIG7W+tqxgPEpA&#10;EBdW11wqOOw3wykIH5A1NpZJwS95WC5eX+aYadvxN912oRQRwj5DBVUILpPSFxUZ9CPriKN3sq3B&#10;EGVbSt1iF+GmkWmSTKTBmuNChY7WFRWX3dUo+Plkl286WZzua7c959Pm63o4KvU26FcfIAL14T/8&#10;bOdaQTpOZ+/wdydeAbl4AAAA//8DAFBLAQItABQABgAIAAAAIQDb4fbL7gAAAIUBAAATAAAAAAAA&#10;AAAAAAAAAAAAAABbQ29udGVudF9UeXBlc10ueG1sUEsBAi0AFAAGAAgAAAAhAFr0LFu/AAAAFQEA&#10;AAsAAAAAAAAAAAAAAAAAHwEAAF9yZWxzLy5yZWxzUEsBAi0AFAAGAAgAAAAhAIWVNCnHAAAA3gAA&#10;AA8AAAAAAAAAAAAAAAAABwIAAGRycy9kb3ducmV2LnhtbFBLBQYAAAAAAwADALcAAAD7AgAAAAA=&#10;" filled="f" stroked="f">
                  <v:textbox inset="0,0,0,0">
                    <w:txbxContent>
                      <w:p w14:paraId="211F3D50" w14:textId="77777777" w:rsidR="00B32EF2" w:rsidRDefault="00000000">
                        <w:r>
                          <w:rPr>
                            <w:rFonts w:ascii="Arial" w:eastAsia="Arial" w:hAnsi="Arial" w:cs="Arial"/>
                            <w:sz w:val="18"/>
                          </w:rPr>
                          <w:t>-</w:t>
                        </w:r>
                      </w:p>
                    </w:txbxContent>
                  </v:textbox>
                </v:rect>
                <v:rect id="Rectangle 21295" o:spid="_x0000_s5731" style="position:absolute;left:-13169;top:2448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ZGyxwAAAN4AAAAPAAAAZHJzL2Rvd25yZXYueG1sRI9Pa8JA&#10;FMTvhX6H5Qm96cZARVNXEYs0By/1D/T4yD6TaPbtkl1N6qd3C0KPw8z8hpkve9OIG7W+tqxgPEpA&#10;EBdW11wqOOw3wykIH5A1NpZJwS95WC5eX+aYadvxN912oRQRwj5DBVUILpPSFxUZ9CPriKN3sq3B&#10;EGVbSt1iF+GmkWmSTKTBmuNChY7WFRWX3dUo+Plkl286WZzua7c959Pm63o4KvU26FcfIAL14T/8&#10;bOdaQTpOZ+/wdydeAbl4AAAA//8DAFBLAQItABQABgAIAAAAIQDb4fbL7gAAAIUBAAATAAAAAAAA&#10;AAAAAAAAAAAAAABbQ29udGVudF9UeXBlc10ueG1sUEsBAi0AFAAGAAgAAAAhAFr0LFu/AAAAFQEA&#10;AAsAAAAAAAAAAAAAAAAAHwEAAF9yZWxzLy5yZWxzUEsBAi0AFAAGAAgAAAAhAOrZkbLHAAAA3gAA&#10;AA8AAAAAAAAAAAAAAAAABwIAAGRycy9kb3ducmV2LnhtbFBLBQYAAAAAAwADALcAAAD7AgAAAAA=&#10;" filled="f" stroked="f">
                  <v:textbox inset="0,0,0,0">
                    <w:txbxContent>
                      <w:p w14:paraId="362D423D" w14:textId="77777777" w:rsidR="00B32EF2" w:rsidRDefault="00000000">
                        <w:r>
                          <w:rPr>
                            <w:rFonts w:ascii="Arial" w:eastAsia="Arial" w:hAnsi="Arial" w:cs="Arial"/>
                            <w:sz w:val="18"/>
                          </w:rPr>
                          <w:t xml:space="preserve">nare in massime le decisioni delle corti di giustizia tributaria di secondo grado </w:t>
                        </w:r>
                      </w:p>
                    </w:txbxContent>
                  </v:textbox>
                </v:rect>
                <v:rect id="Rectangle 21296" o:spid="_x0000_s5732" style="position:absolute;left:-13169;top:23182;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w/FxwAAAN4AAAAPAAAAZHJzL2Rvd25yZXYueG1sRI/NasMw&#10;EITvhbyD2EJvjRwfQupEDiUh1IdemjqQ42Ktf1prJSwldvP0UaHQ4zAz3zCb7WR6caXBd5YVLOYJ&#10;COLK6o4bBeXn4XkFwgdkjb1lUvBDHrb57GGDmbYjf9D1GBoRIewzVNCG4DIpfdWSQT+3jjh6tR0M&#10;hiiHRuoBxwg3vUyTZCkNdhwXWnS0a6n6Pl6MgvOeXXEYZVXfdu79q1j1b5fypNTT4/S6BhFoCv/h&#10;v3ahFaSL9GUJv3fiFZD5HQAA//8DAFBLAQItABQABgAIAAAAIQDb4fbL7gAAAIUBAAATAAAAAAAA&#10;AAAAAAAAAAAAAABbQ29udGVudF9UeXBlc10ueG1sUEsBAi0AFAAGAAgAAAAhAFr0LFu/AAAAFQEA&#10;AAsAAAAAAAAAAAAAAAAAHwEAAF9yZWxzLy5yZWxzUEsBAi0AFAAGAAgAAAAhABoLD8XHAAAA3gAA&#10;AA8AAAAAAAAAAAAAAAAABwIAAGRycy9kb3ducmV2LnhtbFBLBQYAAAAAAwADALcAAAD7AgAAAAA=&#10;" filled="f" stroked="f">
                  <v:textbox inset="0,0,0,0">
                    <w:txbxContent>
                      <w:p w14:paraId="66ECCA93" w14:textId="77777777" w:rsidR="00B32EF2" w:rsidRDefault="00000000">
                        <w:r>
                          <w:rPr>
                            <w:rFonts w:ascii="Arial" w:eastAsia="Arial" w:hAnsi="Arial" w:cs="Arial"/>
                            <w:sz w:val="18"/>
                          </w:rPr>
                          <w:t xml:space="preserve">e le più significative tra quelle emesse dalle corti di giustizia tributaria di primo </w:t>
                        </w:r>
                      </w:p>
                    </w:txbxContent>
                  </v:textbox>
                </v:rect>
                <v:rect id="Rectangle 21297" o:spid="_x0000_s5733" style="position:absolute;left:35585;top:21874;width:43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6pexwAAAN4AAAAPAAAAZHJzL2Rvd25yZXYueG1sRI9Pa8JA&#10;FMTvhX6H5Qm96cYcqqauIhZpDl7qH+jxkX0m0ezbJbua1E/vFoQeh5n5DTNf9qYRN2p9bVnBeJSA&#10;IC6srrlUcNhvhlMQPiBrbCyTgl/ysFy8vswx07bjb7rtQikihH2GCqoQXCalLyoy6EfWEUfvZFuD&#10;Icq2lLrFLsJNI9MkeZcGa44LFTpaV1Rcdlej4OeTXb7pZHG6r932nE+br+vhqNTboF99gAjUh//w&#10;s51rBek4nU3g7068AnLxAAAA//8DAFBLAQItABQABgAIAAAAIQDb4fbL7gAAAIUBAAATAAAAAAAA&#10;AAAAAAAAAAAAAABbQ29udGVudF9UeXBlc10ueG1sUEsBAi0AFAAGAAgAAAAhAFr0LFu/AAAAFQEA&#10;AAsAAAAAAAAAAAAAAAAAHwEAAF9yZWxzLy5yZWxzUEsBAi0AFAAGAAgAAAAhAHVHql7HAAAA3gAA&#10;AA8AAAAAAAAAAAAAAAAABwIAAGRycy9kb3ducmV2LnhtbFBLBQYAAAAAAwADALcAAAD7AgAAAAA=&#10;" filled="f" stroked="f">
                  <v:textbox inset="0,0,0,0">
                    <w:txbxContent>
                      <w:p w14:paraId="7F75EDA4" w14:textId="77777777" w:rsidR="00B32EF2" w:rsidRDefault="00000000">
                        <w:r>
                          <w:rPr>
                            <w:rFonts w:ascii="Arial" w:eastAsia="Arial" w:hAnsi="Arial" w:cs="Arial"/>
                            <w:sz w:val="18"/>
                          </w:rPr>
                          <w:t>grado.</w:t>
                        </w:r>
                      </w:p>
                    </w:txbxContent>
                  </v:textbox>
                </v:rect>
                <v:rect id="Rectangle 202018" o:spid="_x0000_s5734" style="position:absolute;left:-13799;top:20566;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N0ExAAAAN8AAAAPAAAAZHJzL2Rvd25yZXYueG1sRE/Pa8Iw&#10;FL4P/B/CE7zNxB6GVKOIIvawi87Bjo/m2Vabl9BEW/3rl8Ngx4/v93I92FY8qAuNYw2zqQJBXDrT&#10;cKXh/LV/n4MIEdlg65g0PCnAejV6W2JuXM9HepxiJVIIhxw11DH6XMpQ1mQxTJ0nTtzFdRZjgl0l&#10;TYd9CretzJT6kBYbTg01etrWVN5Od6vhZ8e+2PeyvLy2/vNazNvD/fyt9WQ8bBYgIg3xX/znLoyG&#10;TGVqlganP+kLyNUvAAAA//8DAFBLAQItABQABgAIAAAAIQDb4fbL7gAAAIUBAAATAAAAAAAAAAAA&#10;AAAAAAAAAABbQ29udGVudF9UeXBlc10ueG1sUEsBAi0AFAAGAAgAAAAhAFr0LFu/AAAAFQEAAAsA&#10;AAAAAAAAAAAAAAAAHwEAAF9yZWxzLy5yZWxzUEsBAi0AFAAGAAgAAAAhALVw3QTEAAAA3wAAAA8A&#10;AAAAAAAAAAAAAAAABwIAAGRycy9kb3ducmV2LnhtbFBLBQYAAAAAAwADALcAAAD4AgAAAAA=&#10;" filled="f" stroked="f">
                  <v:textbox inset="0,0,0,0">
                    <w:txbxContent>
                      <w:p w14:paraId="02950203" w14:textId="77777777" w:rsidR="00B32EF2" w:rsidRDefault="00000000">
                        <w:r>
                          <w:rPr>
                            <w:rFonts w:ascii="Arial" w:eastAsia="Arial" w:hAnsi="Arial" w:cs="Arial"/>
                            <w:sz w:val="18"/>
                          </w:rPr>
                          <w:t xml:space="preserve">. Le massime delle decisioni di cui al comma 3 alimentano la banca dati della </w:t>
                        </w:r>
                      </w:p>
                    </w:txbxContent>
                  </v:textbox>
                </v:rect>
                <v:rect id="Rectangle 202017" o:spid="_x0000_s5735" style="position:absolute;left:26112;top:205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0l2xwAAAN8AAAAPAAAAZHJzL2Rvd25yZXYueG1sRI9BawIx&#10;FITvQv9DeIXeNHEPVVajiEW6h160Fnp8bJ67q5uXsInutr++EYQeh5n5hlmuB9uKG3WhcaxhOlEg&#10;iEtnGq40HD934zmIEJENto5Jww8FWK+eRkvMjet5T7dDrESCcMhRQx2jz6UMZU0Ww8R54uSdXGcx&#10;JtlV0nTYJ7htZabUq7TYcFqo0dO2pvJyuFoN32/si10vy9Pv1n+ci3n7fj1+af3yPGwWICIN8T/8&#10;aBdGQ6YyNZ3B/U/6AnL1BwAA//8DAFBLAQItABQABgAIAAAAIQDb4fbL7gAAAIUBAAATAAAAAAAA&#10;AAAAAAAAAAAAAABbQ29udGVudF9UeXBlc10ueG1sUEsBAi0AFAAGAAgAAAAhAFr0LFu/AAAAFQEA&#10;AAsAAAAAAAAAAAAAAAAAHwEAAF9yZWxzLy5yZWxzUEsBAi0AFAAGAAgAAAAhAMTvSXbHAAAA3wAA&#10;AA8AAAAAAAAAAAAAAAAABwIAAGRycy9kb3ducmV2LnhtbFBLBQYAAAAAAwADALcAAAD7AgAAAAA=&#10;" filled="f" stroked="f">
                  <v:textbox inset="0,0,0,0">
                    <w:txbxContent>
                      <w:p w14:paraId="673FEC4B" w14:textId="77777777" w:rsidR="00B32EF2" w:rsidRDefault="00000000">
                        <w:r>
                          <w:rPr>
                            <w:rFonts w:ascii="Arial" w:eastAsia="Arial" w:hAnsi="Arial" w:cs="Arial"/>
                            <w:sz w:val="18"/>
                          </w:rPr>
                          <w:t>4</w:t>
                        </w:r>
                      </w:p>
                    </w:txbxContent>
                  </v:textbox>
                </v:rect>
                <v:rect id="Rectangle 21299" o:spid="_x0000_s5736" style="position:absolute;left:-13169;top:1925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Ju3xwAAAN4AAAAPAAAAZHJzL2Rvd25yZXYueG1sRI/NasMw&#10;EITvhbyD2EJvjRwfQuJEDiUhxIdemjqQ42Ktf1prJSwldvv0VaHQ4zAz3zDb3WR6cafBd5YVLOYJ&#10;COLK6o4bBeX78XkFwgdkjb1lUvBFHnb57GGLmbYjv9H9HBoRIewzVNCG4DIpfdWSQT+3jjh6tR0M&#10;hiiHRuoBxwg3vUyTZCkNdhwXWnS0b6n6PN+MguuBXXEcZVV/793rR7HqT7fyotTT4/SyARFoCv/h&#10;v3ahFaSLdL2G3zvxCsj8BwAA//8DAFBLAQItABQABgAIAAAAIQDb4fbL7gAAAIUBAAATAAAAAAAA&#10;AAAAAAAAAAAAAABbQ29udGVudF9UeXBlc10ueG1sUEsBAi0AFAAGAAgAAAAhAFr0LFu/AAAAFQEA&#10;AAsAAAAAAAAAAAAAAAAAHwEAAF9yZWxzLy5yZWxzUEsBAi0AFAAGAAgAAAAhAGuUm7fHAAAA3gAA&#10;AA8AAAAAAAAAAAAAAAAABwIAAGRycy9kb3ducmV2LnhtbFBLBQYAAAAAAwADALcAAAD7AgAAAAA=&#10;" filled="f" stroked="f">
                  <v:textbox inset="0,0,0,0">
                    <w:txbxContent>
                      <w:p w14:paraId="5D58FCA5" w14:textId="77777777" w:rsidR="00B32EF2" w:rsidRDefault="00000000">
                        <w:r>
                          <w:rPr>
                            <w:rFonts w:ascii="Arial" w:eastAsia="Arial" w:hAnsi="Arial" w:cs="Arial"/>
                            <w:sz w:val="18"/>
                          </w:rPr>
                          <w:t xml:space="preserve">giurisprudenza tributaria di merito, gestita dal Ministero dell’economia e delle </w:t>
                        </w:r>
                      </w:p>
                    </w:txbxContent>
                  </v:textbox>
                </v:rect>
                <v:rect id="Rectangle 21300" o:spid="_x0000_s5737" style="position:absolute;left:34567;top:17951;width:53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agwxAAAAN4AAAAPAAAAZHJzL2Rvd25yZXYueG1sRI/NisIw&#10;FIX3wrxDuMLsNFVBpGMUcRC7mI1aYZaX5tpWm5vQRNuZpzcLweXh/PEt171pxINaX1tWMBknIIgL&#10;q2suFeSn3WgBwgdkjY1lUvBHHtarj8ESU207PtDjGEoRR9inqKAKwaVS+qIig35sHXH0LrY1GKJs&#10;S6lb7OK4aeQ0SebSYM3xoUJH24qK2/FuFPx+s8t2nSwu/1v3c80Wzf6en5X6HPabLxCB+vAOv9qZ&#10;VjCdzJIIEHEiCsjVEwAA//8DAFBLAQItABQABgAIAAAAIQDb4fbL7gAAAIUBAAATAAAAAAAAAAAA&#10;AAAAAAAAAABbQ29udGVudF9UeXBlc10ueG1sUEsBAi0AFAAGAAgAAAAhAFr0LFu/AAAAFQEAAAsA&#10;AAAAAAAAAAAAAAAAHwEAAF9yZWxzLy5yZWxzUEsBAi0AFAAGAAgAAAAhAGRFqDDEAAAA3gAAAA8A&#10;AAAAAAAAAAAAAAAABwIAAGRycy9kb3ducmV2LnhtbFBLBQYAAAAAAwADALcAAAD4AgAAAAA=&#10;" filled="f" stroked="f">
                  <v:textbox inset="0,0,0,0">
                    <w:txbxContent>
                      <w:p w14:paraId="0E6FF79B" w14:textId="77777777" w:rsidR="00B32EF2" w:rsidRDefault="00000000">
                        <w:r>
                          <w:rPr>
                            <w:rFonts w:ascii="Arial" w:eastAsia="Arial" w:hAnsi="Arial" w:cs="Arial"/>
                            <w:sz w:val="18"/>
                          </w:rPr>
                          <w:t>finanze.</w:t>
                        </w:r>
                      </w:p>
                    </w:txbxContent>
                  </v:textbox>
                </v:rect>
                <v:rect id="Rectangle 202015" o:spid="_x0000_s5738" style="position:absolute;left:26352;top:16644;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XKaxwAAAN8AAAAPAAAAZHJzL2Rvd25yZXYueG1sRI9BawIx&#10;FITvQv9DeIXeNHGhIqtRxCLdQy9aCz0+Ns/d1c1L2ER321/fCEKPw8x8wyzXg23FjbrQONYwnSgQ&#10;xKUzDVcajp+78RxEiMgGW8ek4YcCrFdPoyXmxvW8p9shViJBOOSooY7R51KGsiaLYeI8cfJOrrMY&#10;k+wqaTrsE9y2MlNqJi02nBZq9LStqbwcrlbD9xv7YtfL8vS79R/nYt6+X49fWr88D5sFiEhD/A8/&#10;2oXRkKlMTV/h/id9Abn6AwAA//8DAFBLAQItABQABgAIAAAAIQDb4fbL7gAAAIUBAAATAAAAAAAA&#10;AAAAAAAAAAAAAABbQ29udGVudF9UeXBlc10ueG1sUEsBAi0AFAAGAAgAAAAhAFr0LFu/AAAAFQEA&#10;AAsAAAAAAAAAAAAAAAAAHwEAAF9yZWxzLy5yZWxzUEsBAi0AFAAGAAgAAAAhAFtxcprHAAAA3wAA&#10;AA8AAAAAAAAAAAAAAAAABwIAAGRycy9kb3ducmV2LnhtbFBLBQYAAAAAAwADALcAAAD7AgAAAAA=&#10;" filled="f" stroked="f">
                  <v:textbox inset="0,0,0,0">
                    <w:txbxContent>
                      <w:p w14:paraId="1453BC93" w14:textId="77777777" w:rsidR="00B32EF2" w:rsidRDefault="00000000">
                        <w:r>
                          <w:rPr>
                            <w:rFonts w:ascii="Arial" w:eastAsia="Arial" w:hAnsi="Arial" w:cs="Arial"/>
                            <w:sz w:val="18"/>
                          </w:rPr>
                          <w:t>5</w:t>
                        </w:r>
                      </w:p>
                    </w:txbxContent>
                  </v:textbox>
                </v:rect>
                <v:rect id="Rectangle 202016" o:spid="_x0000_s5739" style="position:absolute;left:-12847;top:16644;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ztyAAAAN8AAAAPAAAAZHJzL2Rvd25yZXYueG1sRI/BasMw&#10;EETvgf6D2EJviRQfQnCjmOAS6kMvSVPocbE2thtrJSwldvv1UaHQ4zAzb5hNMdle3GgInWMNy4UC&#10;QVw703Gj4fS+n69BhIhssHdMGr4pQLF9mG0wN27kA92OsREJwiFHDW2MPpcy1C1ZDAvniZN3doPF&#10;mOTQSDPgmOC2l5lSK2mx47TQoqeypfpyvFoNny/sq/0o6/NP6d++qnX/ej19aP30OO2eQUSa4n/4&#10;r10ZDZnK1HIFv3/SF5DbOwAAAP//AwBQSwECLQAUAAYACAAAACEA2+H2y+4AAACFAQAAEwAAAAAA&#10;AAAAAAAAAAAAAAAAW0NvbnRlbnRfVHlwZXNdLnhtbFBLAQItABQABgAIAAAAIQBa9CxbvwAAABUB&#10;AAALAAAAAAAAAAAAAAAAAB8BAABfcmVscy8ucmVsc1BLAQItABQABgAIAAAAIQCro+ztyAAAAN8A&#10;AAAPAAAAAAAAAAAAAAAAAAcCAABkcnMvZG93bnJldi54bWxQSwUGAAAAAAMAAwC3AAAA/AIAAAAA&#10;" filled="f" stroked="f">
                  <v:textbox inset="0,0,0,0">
                    <w:txbxContent>
                      <w:p w14:paraId="2B292972" w14:textId="77777777" w:rsidR="00B32EF2" w:rsidRDefault="00000000">
                        <w:r>
                          <w:rPr>
                            <w:rFonts w:ascii="Arial" w:eastAsia="Arial" w:hAnsi="Arial" w:cs="Arial"/>
                            <w:sz w:val="18"/>
                          </w:rPr>
                          <w:t>. Mediante convenzione tra il Ministero dell’economia e delle finanze, il Con</w:t>
                        </w:r>
                      </w:p>
                    </w:txbxContent>
                  </v:textbox>
                </v:rect>
                <v:rect id="Rectangle 21302" o:spid="_x0000_s5740" style="position:absolute;left:194;top:16644;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5PcxgAAAN4AAAAPAAAAZHJzL2Rvd25yZXYueG1sRI9Ba8JA&#10;FITvBf/D8oTe6sYURFJXEUXMoRdtBI+P7DNJzb5dsqtJ++u7gtDjMDPfMIvVYFpxp843lhVMJwkI&#10;4tLqhisFxdfubQ7CB2SNrWVS8EMeVsvRywIzbXs+0P0YKhEh7DNUUIfgMil9WZNBP7GOOHoX2xkM&#10;UXaV1B32EW5amSbJTBpsOC7U6GhTU3k93oyC85ZdvutlefnduM/vfN7ub8VJqdfxsP4AEWgI/+Fn&#10;O9cK0ul7ksLjTrwCcvkHAAD//wMAUEsBAi0AFAAGAAgAAAAhANvh9svuAAAAhQEAABMAAAAAAAAA&#10;AAAAAAAAAAAAAFtDb250ZW50X1R5cGVzXS54bWxQSwECLQAUAAYACAAAACEAWvQsW78AAAAVAQAA&#10;CwAAAAAAAAAAAAAAAAAfAQAAX3JlbHMvLnJlbHNQSwECLQAUAAYACAAAACEA+9uT3MYAAADeAAAA&#10;DwAAAAAAAAAAAAAAAAAHAgAAZHJzL2Rvd25yZXYueG1sUEsFBgAAAAADAAMAtwAAAPoCAAAAAA==&#10;" filled="f" stroked="f">
                  <v:textbox inset="0,0,0,0">
                    <w:txbxContent>
                      <w:p w14:paraId="4085BBA3" w14:textId="77777777" w:rsidR="00B32EF2" w:rsidRDefault="00000000">
                        <w:r>
                          <w:rPr>
                            <w:rFonts w:ascii="Arial" w:eastAsia="Arial" w:hAnsi="Arial" w:cs="Arial"/>
                            <w:sz w:val="18"/>
                          </w:rPr>
                          <w:t>-</w:t>
                        </w:r>
                      </w:p>
                    </w:txbxContent>
                  </v:textbox>
                </v:rect>
                <v:rect id="Rectangle 21303" o:spid="_x0000_s5741" style="position:absolute;left:-13169;top:1533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zZHxQAAAN4AAAAPAAAAZHJzL2Rvd25yZXYueG1sRI9Bi8Iw&#10;FITvgv8hPGFvmqogUo0iimwPXnQVPD6aZ1ttXkITbd1fv1lY2OMwM98wy3VnavGixleWFYxHCQji&#10;3OqKCwXnr/1wDsIHZI21ZVLwJg/rVb+3xFTblo/0OoVCRAj7FBWUIbhUSp+XZNCPrCOO3s02BkOU&#10;TSF1g22Em1pOkmQmDVYcF0p0tC0pf5yeRsF1xy7btzK/fW/d4Z7N68/n+aLUx6DbLEAE6sJ/+K+d&#10;aQWT8TSZwu+deAXk6gcAAP//AwBQSwECLQAUAAYACAAAACEA2+H2y+4AAACFAQAAEwAAAAAAAAAA&#10;AAAAAAAAAAAAW0NvbnRlbnRfVHlwZXNdLnhtbFBLAQItABQABgAIAAAAIQBa9CxbvwAAABUBAAAL&#10;AAAAAAAAAAAAAAAAAB8BAABfcmVscy8ucmVsc1BLAQItABQABgAIAAAAIQCUlzZHxQAAAN4AAAAP&#10;AAAAAAAAAAAAAAAAAAcCAABkcnMvZG93bnJldi54bWxQSwUGAAAAAAMAAwC3AAAA+QIAAAAA&#10;" filled="f" stroked="f">
                  <v:textbox inset="0,0,0,0">
                    <w:txbxContent>
                      <w:p w14:paraId="6658699B" w14:textId="77777777" w:rsidR="00B32EF2" w:rsidRDefault="00000000">
                        <w:r>
                          <w:rPr>
                            <w:rFonts w:ascii="Arial" w:eastAsia="Arial" w:hAnsi="Arial" w:cs="Arial"/>
                            <w:sz w:val="18"/>
                          </w:rPr>
                          <w:t xml:space="preserve">siglio di presidenza della giustizia tributaria e la Corte di cassazione sono </w:t>
                        </w:r>
                      </w:p>
                    </w:txbxContent>
                  </v:textbox>
                </v:rect>
                <v:rect id="Rectangle 21304" o:spid="_x0000_s5742" style="position:absolute;left:-13173;top:14028;width:530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q4zxgAAAN4AAAAPAAAAZHJzL2Rvd25yZXYueG1sRI9Ba8JA&#10;FITvBf/D8gre6kYrRaKrFEWagxetBY+P7DOJZt8u2dVEf70rFDwOM/MNM1t0phZXanxlWcFwkIAg&#10;zq2uuFCw/11/TED4gKyxtkwKbuRhMe+9zTDVtuUtXXehEBHCPkUFZQguldLnJRn0A+uIo3e0jcEQ&#10;ZVNI3WAb4aaWoyT5kgYrjgslOlqWlJ93F6PgsGKXrVuZH+9Ltzllk/rnsv9Tqv/efU9BBOrCK/zf&#10;zrSC0fAzGcPzTrwCcv4AAAD//wMAUEsBAi0AFAAGAAgAAAAhANvh9svuAAAAhQEAABMAAAAAAAAA&#10;AAAAAAAAAAAAAFtDb250ZW50X1R5cGVzXS54bWxQSwECLQAUAAYACAAAACEAWvQsW78AAAAVAQAA&#10;CwAAAAAAAAAAAAAAAAAfAQAAX3JlbHMvLnJlbHNQSwECLQAUAAYACAAAACEAG36uM8YAAADeAAAA&#10;DwAAAAAAAAAAAAAAAAAHAgAAZHJzL2Rvd25yZXYueG1sUEsFBgAAAAADAAMAtwAAAPoCAAAAAA==&#10;" filled="f" stroked="f">
                  <v:textbox inset="0,0,0,0">
                    <w:txbxContent>
                      <w:p w14:paraId="4BA7A65F" w14:textId="77777777" w:rsidR="00B32EF2" w:rsidRDefault="00000000">
                        <w:r>
                          <w:rPr>
                            <w:rFonts w:ascii="Arial" w:eastAsia="Arial" w:hAnsi="Arial" w:cs="Arial"/>
                            <w:sz w:val="18"/>
                          </w:rPr>
                          <w:t xml:space="preserve">stabilite le modalità per la consultazione della banca dati della giurisprudenza </w:t>
                        </w:r>
                      </w:p>
                    </w:txbxContent>
                  </v:textbox>
                </v:rect>
                <v:rect id="Rectangle 21305" o:spid="_x0000_s5743" style="position:absolute;left:12700;top:12721;width:272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guoxgAAAN4AAAAPAAAAZHJzL2Rvd25yZXYueG1sRI9Ba8JA&#10;FITvBf/D8gre6kaLRaKrFEWagxetBY+P7DOJZt8u2dVEf70rFDwOM/MNM1t0phZXanxlWcFwkIAg&#10;zq2uuFCw/11/TED4gKyxtkwKbuRhMe+9zTDVtuUtXXehEBHCPkUFZQguldLnJRn0A+uIo3e0jcEQ&#10;ZVNI3WAb4aaWoyT5kgYrjgslOlqWlJ93F6PgsGKXrVuZH+9Ltzllk/rnsv9Tqv/efU9BBOrCK/zf&#10;zrSC0fAzGcPzTrwCcv4AAAD//wMAUEsBAi0AFAAGAAgAAAAhANvh9svuAAAAhQEAABMAAAAAAAAA&#10;AAAAAAAAAAAAAFtDb250ZW50X1R5cGVzXS54bWxQSwECLQAUAAYACAAAACEAWvQsW78AAAAVAQAA&#10;CwAAAAAAAAAAAAAAAAAfAQAAX3JlbHMvLnJlbHNQSwECLQAUAAYACAAAACEAdDILqMYAAADeAAAA&#10;DwAAAAAAAAAAAAAAAAAHAgAAZHJzL2Rvd25yZXYueG1sUEsFBgAAAAADAAMAtwAAAPoCAAAAAA==&#10;" filled="f" stroked="f">
                  <v:textbox inset="0,0,0,0">
                    <w:txbxContent>
                      <w:p w14:paraId="7F19E5BA" w14:textId="77777777" w:rsidR="00B32EF2" w:rsidRDefault="00000000">
                        <w:r>
                          <w:rPr>
                            <w:rFonts w:ascii="Arial" w:eastAsia="Arial" w:hAnsi="Arial" w:cs="Arial"/>
                            <w:sz w:val="18"/>
                          </w:rPr>
                          <w:t xml:space="preserve">tributaria di merito da parte della Corte. </w:t>
                        </w:r>
                      </w:p>
                    </w:txbxContent>
                  </v:textbox>
                </v:rect>
                <v:rect id="Rectangle 202012" o:spid="_x0000_s5744" style="position:absolute;left:-12846;top:11413;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ruxwAAAN8AAAAPAAAAZHJzL2Rvd25yZXYueG1sRI9BawIx&#10;FITvgv8hPKE3TdxDka1RikW6h160Cj0+Ns/d1c1L2ER39debQqHHYWa+YZbrwbbiRl1oHGuYzxQI&#10;4tKZhisNh+/tdAEiRGSDrWPScKcA69V4tMTcuJ53dNvHSiQIhxw11DH6XMpQ1mQxzJwnTt7JdRZj&#10;kl0lTYd9gttWZkq9SosNp4UaPW1qKi/7q9Xw88G+2PayPD02/utcLNrP6+Go9ctkeH8DEWmI/+G/&#10;dmE0ZCpT8wx+/6QvIFdPAAAA//8DAFBLAQItABQABgAIAAAAIQDb4fbL7gAAAIUBAAATAAAAAAAA&#10;AAAAAAAAAAAAAABbQ29udGVudF9UeXBlc10ueG1sUEsBAi0AFAAGAAgAAAAhAFr0LFu/AAAAFQEA&#10;AAsAAAAAAAAAAAAAAAAAHwEAAF9yZWxzLy5yZWxzUEsBAi0AFAAGAAgAAAAhANSY6u7HAAAA3wAA&#10;AA8AAAAAAAAAAAAAAAAABwIAAGRycy9kb3ducmV2LnhtbFBLBQYAAAAAAwADALcAAAD7AgAAAAA=&#10;" filled="f" stroked="f">
                  <v:textbox inset="0,0,0,0">
                    <w:txbxContent>
                      <w:p w14:paraId="4D415C29" w14:textId="77777777" w:rsidR="00B32EF2" w:rsidRDefault="00000000">
                        <w:r>
                          <w:rPr>
                            <w:rFonts w:ascii="Arial" w:eastAsia="Arial" w:hAnsi="Arial" w:cs="Arial"/>
                            <w:sz w:val="18"/>
                          </w:rPr>
                          <w:t>. L’Ufficio del massimario nazionale si avvale delle risorse previste nel contin</w:t>
                        </w:r>
                      </w:p>
                    </w:txbxContent>
                  </v:textbox>
                </v:rect>
                <v:rect id="Rectangle 202010" o:spid="_x0000_s5745" style="position:absolute;left:26352;top:11413;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ECxQAAAN8AAAAPAAAAZHJzL2Rvd25yZXYueG1sRI/NisIw&#10;FIX3A75DuIK7MbGLQapRRBG7mI2OA7O8NNe22tyEJtrq008WA7M8nD++5XqwrXhQFxrHGmZTBYK4&#10;dKbhSsP5a/8+BxEissHWMWl4UoD1avS2xNy4no/0OMVKpBEOOWqoY/S5lKGsyWKYOk+cvIvrLMYk&#10;u0qaDvs0bluZKfUhLTacHmr0tK2pvJ3uVsPPjn2x72V5eW3957WYt4f7+VvryXjYLEBEGuJ/+K9d&#10;GA2ZytQsESSexAJy9QsAAP//AwBQSwECLQAUAAYACAAAACEA2+H2y+4AAACFAQAAEwAAAAAAAAAA&#10;AAAAAAAAAAAAW0NvbnRlbnRfVHlwZXNdLnhtbFBLAQItABQABgAIAAAAIQBa9CxbvwAAABUBAAAL&#10;AAAAAAAAAAAAAAAAAB8BAABfcmVscy8ucmVsc1BLAQItABQABgAIAAAAIQBLBtECxQAAAN8AAAAP&#10;AAAAAAAAAAAAAAAAAAcCAABkcnMvZG93bnJldi54bWxQSwUGAAAAAAMAAwC3AAAA+QIAAAAA&#10;" filled="f" stroked="f">
                  <v:textbox inset="0,0,0,0">
                    <w:txbxContent>
                      <w:p w14:paraId="512892A6" w14:textId="77777777" w:rsidR="00B32EF2" w:rsidRDefault="00000000">
                        <w:r>
                          <w:rPr>
                            <w:rFonts w:ascii="Arial" w:eastAsia="Arial" w:hAnsi="Arial" w:cs="Arial"/>
                            <w:sz w:val="18"/>
                          </w:rPr>
                          <w:t>6</w:t>
                        </w:r>
                      </w:p>
                    </w:txbxContent>
                  </v:textbox>
                </v:rect>
                <v:rect id="Rectangle 21307" o:spid="_x0000_s5746" style="position:absolute;left:194;top:11413;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DBExgAAAN4AAAAPAAAAZHJzL2Rvd25yZXYueG1sRI9Ba8JA&#10;FITvBf/D8gre6kYLVqKrFEWagxetBY+P7DOJZt8u2dVEf70rFDwOM/MNM1t0phZXanxlWcFwkIAg&#10;zq2uuFCw/11/TED4gKyxtkwKbuRhMe+9zTDVtuUtXXehEBHCPkUFZQguldLnJRn0A+uIo3e0jcEQ&#10;ZVNI3WAb4aaWoyQZS4MVx4USHS1Lys+7i1FwWLHL1q3Mj/el25yySf1z2f8p1X/vvqcgAnXhFf5v&#10;Z1rBaPiZfMHzTrwCcv4AAAD//wMAUEsBAi0AFAAGAAgAAAAhANvh9svuAAAAhQEAABMAAAAAAAAA&#10;AAAAAAAAAAAAAFtDb250ZW50X1R5cGVzXS54bWxQSwECLQAUAAYACAAAACEAWvQsW78AAAAVAQAA&#10;CwAAAAAAAAAAAAAAAAAfAQAAX3JlbHMvLnJlbHNQSwECLQAUAAYACAAAACEA66wwRMYAAADeAAAA&#10;DwAAAAAAAAAAAAAAAAAHAgAAZHJzL2Rvd25yZXYueG1sUEsFBgAAAAADAAMAtwAAAPoCAAAAAA==&#10;" filled="f" stroked="f">
                  <v:textbox inset="0,0,0,0">
                    <w:txbxContent>
                      <w:p w14:paraId="2B977629" w14:textId="77777777" w:rsidR="00B32EF2" w:rsidRDefault="00000000">
                        <w:r>
                          <w:rPr>
                            <w:rFonts w:ascii="Arial" w:eastAsia="Arial" w:hAnsi="Arial" w:cs="Arial"/>
                            <w:sz w:val="18"/>
                          </w:rPr>
                          <w:t>-</w:t>
                        </w:r>
                      </w:p>
                    </w:txbxContent>
                  </v:textbox>
                </v:rect>
                <v:rect id="Rectangle 21308" o:spid="_x0000_s5747" style="position:absolute;left:-13169;top:1010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6Q2wwAAAN4AAAAPAAAAZHJzL2Rvd25yZXYueG1sRE9Ni8Iw&#10;EL0L+x/CCHvTVAWRrlHERexhL2qFPQ7N2FabSWii7e6vNwfB4+N9L9e9acSDWl9bVjAZJyCIC6tr&#10;LhXkp91oAcIHZI2NZVLwRx7Wq4/BElNtOz7Q4xhKEUPYp6igCsGlUvqiIoN+bB1x5C62NRgibEup&#10;W+xiuGnkNEnm0mDNsaFCR9uKitvxbhT8frPLdp0sLv9b93PNFs3+np+V+hz2my8QgfrwFr/cmVYw&#10;ncySuDfeiVdArp4AAAD//wMAUEsBAi0AFAAGAAgAAAAhANvh9svuAAAAhQEAABMAAAAAAAAAAAAA&#10;AAAAAAAAAFtDb250ZW50X1R5cGVzXS54bWxQSwECLQAUAAYACAAAACEAWvQsW78AAAAVAQAACwAA&#10;AAAAAAAAAAAAAAAfAQAAX3JlbHMvLnJlbHNQSwECLQAUAAYACAAAACEAmjOkNsMAAADeAAAADwAA&#10;AAAAAAAAAAAAAAAHAgAAZHJzL2Rvd25yZXYueG1sUEsFBgAAAAADAAMAtwAAAPcCAAAAAA==&#10;" filled="f" stroked="f">
                  <v:textbox inset="0,0,0,0">
                    <w:txbxContent>
                      <w:p w14:paraId="5412C06A" w14:textId="77777777" w:rsidR="00B32EF2" w:rsidRDefault="00000000">
                        <w:r>
                          <w:rPr>
                            <w:rFonts w:ascii="Arial" w:eastAsia="Arial" w:hAnsi="Arial" w:cs="Arial"/>
                            <w:sz w:val="18"/>
                          </w:rPr>
                          <w:t xml:space="preserve">gente di cui all’articolo 40 e dei servizi informatici del sistema informativo della </w:t>
                        </w:r>
                      </w:p>
                    </w:txbxContent>
                  </v:textbox>
                </v:rect>
                <v:rect id="Rectangle 21309" o:spid="_x0000_s5748" style="position:absolute;left:-1767;top:8798;width:416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wGtxwAAAN4AAAAPAAAAZHJzL2Rvd25yZXYueG1sRI9Pi8Iw&#10;FMTvC36H8ARva6oLi1ajiCLbg5f1D3h8NM+22ryEJtrqp98sLOxxmJnfMPNlZ2rxoMZXlhWMhgkI&#10;4tzqigsFx8P2fQLCB2SNtWVS8CQPy0XvbY6pti1/02MfChEh7FNUUIbgUil9XpJBP7SOOHoX2xgM&#10;UTaF1A22EW5qOU6ST2mw4rhQoqN1SfltfzcKzht22baV+eW1drtrNqm/7seTUoN+t5qBCNSF//Bf&#10;O9MKxqOPZAq/d+IVkIsfAAAA//8DAFBLAQItABQABgAIAAAAIQDb4fbL7gAAAIUBAAATAAAAAAAA&#10;AAAAAAAAAAAAAABbQ29udGVudF9UeXBlc10ueG1sUEsBAi0AFAAGAAgAAAAhAFr0LFu/AAAAFQEA&#10;AAsAAAAAAAAAAAAAAAAAHwEAAF9yZWxzLy5yZWxzUEsBAi0AFAAGAAgAAAAhAPV/Aa3HAAAA3gAA&#10;AA8AAAAAAAAAAAAAAAAABwIAAGRycy9kb3ducmV2LnhtbFBLBQYAAAAAAwADALcAAAD7AgAAAAA=&#10;" filled="f" stroked="f">
                  <v:textbox inset="0,0,0,0">
                    <w:txbxContent>
                      <w:p w14:paraId="542765C7" w14:textId="77777777" w:rsidR="00B32EF2" w:rsidRDefault="00000000">
                        <w:r>
                          <w:rPr>
                            <w:rFonts w:ascii="Arial" w:eastAsia="Arial" w:hAnsi="Arial" w:cs="Arial"/>
                            <w:sz w:val="18"/>
                          </w:rPr>
                          <w:t>giustizia tributaria del Ministero dell’economia e delle finanze.</w:t>
                        </w:r>
                      </w:p>
                    </w:txbxContent>
                  </v:textbox>
                </v:rect>
                <v:rect id="Rectangle 202006" o:spid="_x0000_s5749" style="position:absolute;left:26352;top:7491;width:5212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owxQAAAN8AAAAPAAAAZHJzL2Rvd25yZXYueG1sRI9Pi8Iw&#10;FMTvwn6H8IS92VQPIl2jLC6yPXjxH+zx0TzbavMSmmi7fnojCB6HmfkNM1/2phE3an1tWcE4SUEQ&#10;F1bXXCo47NejGQgfkDU2lknBP3lYLj4Gc8y07XhLt10oRYSwz1BBFYLLpPRFRQZ9Yh1x9E62NRii&#10;bEupW+wi3DRykqZTabDmuFCho1VFxWV3NQr+ftjl604Wp/vKbc75rPm9Ho5KfQ777y8QgfrwDr/a&#10;uVYwSZ9MeP6JX0AuHgAAAP//AwBQSwECLQAUAAYACAAAACEA2+H2y+4AAACFAQAAEwAAAAAAAAAA&#10;AAAAAAAAAAAAW0NvbnRlbnRfVHlwZXNdLnhtbFBLAQItABQABgAIAAAAIQBa9CxbvwAAABUBAAAL&#10;AAAAAAAAAAAAAAAAAB8BAABfcmVscy8ucmVsc1BLAQItABQABgAIAAAAIQAuenowxQAAAN8AAAAP&#10;AAAAAAAAAAAAAAAAAAcCAABkcnMvZG93bnJldi54bWxQSwUGAAAAAAMAAwC3AAAA+QIAAAAA&#10;" filled="f" stroked="f">
                  <v:textbox inset="0,0,0,0">
                    <w:txbxContent>
                      <w:p w14:paraId="5396A7A4" w14:textId="77777777" w:rsidR="00B32EF2" w:rsidRDefault="00000000">
                        <w:r>
                          <w:rPr>
                            <w:rFonts w:ascii="Arial" w:eastAsia="Arial" w:hAnsi="Arial" w:cs="Arial"/>
                            <w:sz w:val="18"/>
                          </w:rPr>
                          <w:t>7</w:t>
                        </w:r>
                      </w:p>
                    </w:txbxContent>
                  </v:textbox>
                </v:rect>
                <v:rect id="Rectangle 202008" o:spid="_x0000_s5750" style="position:absolute;left:-12717;top:7491;width:5212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UvZxgAAAN8AAAAPAAAAZHJzL2Rvd25yZXYueG1sRI/BbsIw&#10;DIbvk/YOkZG4jRQOEyoENDGh9bALDCSOVmPaQuNETaCFp58Pk3a0fv+f/S3Xg2vVnbrYeDYwnWSg&#10;iEtvG64MHH62b3NQMSFbbD2TgQdFWK9eX5aYW9/zju77VCmBcMzRQJ1SyLWOZU0O48QHYsnOvnOY&#10;ZOwqbTvsBe5aPcuyd+2wYblQY6BNTeV1f3MGTp8cim2vy/NzE74vxbz9uh2OxoxHw8cCVKIh/S//&#10;tQtrYJYJUx4WH3EBvfoFAAD//wMAUEsBAi0AFAAGAAgAAAAhANvh9svuAAAAhQEAABMAAAAAAAAA&#10;AAAAAAAAAAAAAFtDb250ZW50X1R5cGVzXS54bWxQSwECLQAUAAYACAAAACEAWvQsW78AAAAVAQAA&#10;CwAAAAAAAAAAAAAAAAAfAQAAX3JlbHMvLnJlbHNQSwECLQAUAAYACAAAACEAMKlL2cYAAADfAAAA&#10;DwAAAAAAAAAAAAAAAAAHAgAAZHJzL2Rvd25yZXYueG1sUEsFBgAAAAADAAMAtwAAAPoCAAAAAA==&#10;" filled="f" stroked="f">
                  <v:textbox inset="0,0,0,0">
                    <w:txbxContent>
                      <w:p w14:paraId="7C8B2F1B" w14:textId="77777777" w:rsidR="00B32EF2" w:rsidRDefault="00000000">
                        <w:r>
                          <w:rPr>
                            <w:rFonts w:ascii="Arial" w:eastAsia="Arial" w:hAnsi="Arial" w:cs="Arial"/>
                            <w:sz w:val="18"/>
                          </w:rPr>
                          <w:t>. I componenti dell’Ufficio del massimario nazionale possono essere esone</w:t>
                        </w:r>
                      </w:p>
                    </w:txbxContent>
                  </v:textbox>
                </v:rect>
                <v:rect id="Rectangle 21311" o:spid="_x0000_s5751" style="position:absolute;left:194;top:7491;width:5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Jt2xgAAAN4AAAAPAAAAZHJzL2Rvd25yZXYueG1sRI9Ba8JA&#10;FITvgv9heYI33UShSHQVUcQcvNRa6PGRfSbR7Nslu5rYX98tFHocZuYbZrXpTSOe1PrasoJ0moAg&#10;LqyuuVRw+ThMFiB8QNbYWCYFL/KwWQ8HK8y07fidnudQighhn6GCKgSXSemLigz6qXXE0bva1mCI&#10;si2lbrGLcNPIWZK8SYM1x4UKHe0qKu7nh1HwtWeXHzpZXL937nTLF83xcflUajzqt0sQgfrwH/5r&#10;51rBLJ2nKfzeiVdArn8AAAD//wMAUEsBAi0AFAAGAAgAAAAhANvh9svuAAAAhQEAABMAAAAAAAAA&#10;AAAAAAAAAAAAAFtDb250ZW50X1R5cGVzXS54bWxQSwECLQAUAAYACAAAACEAWvQsW78AAAAVAQAA&#10;CwAAAAAAAAAAAAAAAAAfAQAAX3JlbHMvLnJlbHNQSwECLQAUAAYACAAAACEAjtCbdsYAAADeAAAA&#10;DwAAAAAAAAAAAAAAAAAHAgAAZHJzL2Rvd25yZXYueG1sUEsFBgAAAAADAAMAtwAAAPoCAAAAAA==&#10;" filled="f" stroked="f">
                  <v:textbox inset="0,0,0,0">
                    <w:txbxContent>
                      <w:p w14:paraId="11722553" w14:textId="77777777" w:rsidR="00B32EF2" w:rsidRDefault="00000000">
                        <w:r>
                          <w:rPr>
                            <w:rFonts w:ascii="Arial" w:eastAsia="Arial" w:hAnsi="Arial" w:cs="Arial"/>
                            <w:sz w:val="18"/>
                          </w:rPr>
                          <w:t>-</w:t>
                        </w:r>
                      </w:p>
                    </w:txbxContent>
                  </v:textbox>
                </v:rect>
                <v:rect id="Rectangle 21312" o:spid="_x0000_s5752" style="position:absolute;left:-12205;top:6183;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UBxwAAAN4AAAAPAAAAZHJzL2Rvd25yZXYueG1sRI9Pa8JA&#10;FMTvhX6H5RW81U0iFEldpShiDr3UP+DxkX0mabNvl+xqUj+9Kwgeh5n5DTNbDKYVF+p8Y1lBOk5A&#10;EJdWN1wp2O/W71MQPiBrbC2Tgn/ysJi/vsww17bnH7psQyUihH2OCuoQXC6lL2sy6MfWEUfvZDuD&#10;IcqukrrDPsJNK7Mk+ZAGG44LNTpa1lT+bc9GwXHFrlj3sjxdl+77t5i2m/P+oNTobfj6BBFoCM/w&#10;o11oBVk6STO434lXQM5vAAAA//8DAFBLAQItABQABgAIAAAAIQDb4fbL7gAAAIUBAAATAAAAAAAA&#10;AAAAAAAAAAAAAABbQ29udGVudF9UeXBlc10ueG1sUEsBAi0AFAAGAAgAAAAhAFr0LFu/AAAAFQEA&#10;AAsAAAAAAAAAAAAAAAAAHwEAAF9yZWxzLy5yZWxzUEsBAi0AFAAGAAgAAAAhAH4CBQHHAAAA3gAA&#10;AA8AAAAAAAAAAAAAAAAABwIAAGRycy9kb3ducmV2LnhtbFBLBQYAAAAAAwADALcAAAD7AgAAAAA=&#10;" filled="f" stroked="f">
                  <v:textbox inset="0,0,0,0">
                    <w:txbxContent>
                      <w:p w14:paraId="45374152" w14:textId="77777777" w:rsidR="00B32EF2" w:rsidRDefault="00000000">
                        <w:r>
                          <w:rPr>
                            <w:rFonts w:ascii="Arial" w:eastAsia="Arial" w:hAnsi="Arial" w:cs="Arial"/>
                            <w:sz w:val="18"/>
                          </w:rPr>
                          <w:t>rati dall’esercizio delle funzioni giurisdizionali presso le corti di giustizia tribu</w:t>
                        </w:r>
                      </w:p>
                    </w:txbxContent>
                  </v:textbox>
                </v:rect>
                <v:rect id="Rectangle 21313" o:spid="_x0000_s5753" style="position:absolute;left:194;top:6183;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qCaxgAAAN4AAAAPAAAAZHJzL2Rvd25yZXYueG1sRI9Ba8JA&#10;FITvgv9heUJvuomCSOoqokhz8KJV6PGRfSZps2+X7Gpif31XEHocZuYbZrnuTSPu1PrasoJ0koAg&#10;LqyuuVRw/tyPFyB8QNbYWCYFD/KwXg0HS8y07fhI91MoRYSwz1BBFYLLpPRFRQb9xDri6F1tazBE&#10;2ZZSt9hFuGnkNEnm0mDNcaFCR9uKip/TzSj42rHL950srr9bd/jOF83H7XxR6m3Ub95BBOrDf/jV&#10;zrWCaTpLZ/C8E6+AXP0BAAD//wMAUEsBAi0AFAAGAAgAAAAhANvh9svuAAAAhQEAABMAAAAAAAAA&#10;AAAAAAAAAAAAAFtDb250ZW50X1R5cGVzXS54bWxQSwECLQAUAAYACAAAACEAWvQsW78AAAAVAQAA&#10;CwAAAAAAAAAAAAAAAAAfAQAAX3JlbHMvLnJlbHNQSwECLQAUAAYACAAAACEAEU6gmsYAAADeAAAA&#10;DwAAAAAAAAAAAAAAAAAHAgAAZHJzL2Rvd25yZXYueG1sUEsFBgAAAAADAAMAtwAAAPoCAAAAAA==&#10;" filled="f" stroked="f">
                  <v:textbox inset="0,0,0,0">
                    <w:txbxContent>
                      <w:p w14:paraId="52C61BEA" w14:textId="77777777" w:rsidR="00B32EF2" w:rsidRDefault="00000000">
                        <w:r>
                          <w:rPr>
                            <w:rFonts w:ascii="Arial" w:eastAsia="Arial" w:hAnsi="Arial" w:cs="Arial"/>
                            <w:sz w:val="18"/>
                          </w:rPr>
                          <w:t>-</w:t>
                        </w:r>
                      </w:p>
                    </w:txbxContent>
                  </v:textbox>
                </v:rect>
                <v:rect id="Rectangle 21314" o:spid="_x0000_s5754" style="position:absolute;left:-12188;top:4875;width:521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zjuxwAAAN4AAAAPAAAAZHJzL2Rvd25yZXYueG1sRI9Pa8JA&#10;FMTvgt9heYI33cRKkdRVRJHm0Ev9Az0+ss8kbfbtkl1N7Kd3CwWPw8z8hlmue9OIG7W+tqwgnSYg&#10;iAuray4VnI77yQKED8gaG8uk4E4e1qvhYImZth1/0u0QShEh7DNUUIXgMil9UZFBP7WOOHoX2xoM&#10;Ubal1C12EW4aOUuSV2mw5rhQoaNtRcXP4WoUfO3Y5ftOFpffrfv4zhfN+/V0Vmo86jdvIAL14Rn+&#10;b+dawSx9SefwdydeAbl6AAAA//8DAFBLAQItABQABgAIAAAAIQDb4fbL7gAAAIUBAAATAAAAAAAA&#10;AAAAAAAAAAAAAABbQ29udGVudF9UeXBlc10ueG1sUEsBAi0AFAAGAAgAAAAhAFr0LFu/AAAAFQEA&#10;AAsAAAAAAAAAAAAAAAAAHwEAAF9yZWxzLy5yZWxzUEsBAi0AFAAGAAgAAAAhAJ6nOO7HAAAA3gAA&#10;AA8AAAAAAAAAAAAAAAAABwIAAGRycy9kb3ducmV2LnhtbFBLBQYAAAAAAwADALcAAAD7AgAAAAA=&#10;" filled="f" stroked="f">
                  <v:textbox inset="0,0,0,0">
                    <w:txbxContent>
                      <w:p w14:paraId="7FC2695C" w14:textId="77777777" w:rsidR="00B32EF2" w:rsidRDefault="00000000">
                        <w:r>
                          <w:rPr>
                            <w:rFonts w:ascii="Arial" w:eastAsia="Arial" w:hAnsi="Arial" w:cs="Arial"/>
                            <w:sz w:val="18"/>
                          </w:rPr>
                          <w:t>taria di primo e secondo grado. In caso di esonero, ai giudici tributari compo</w:t>
                        </w:r>
                      </w:p>
                    </w:txbxContent>
                  </v:textbox>
                </v:rect>
                <v:rect id="Rectangle 21315" o:spid="_x0000_s5755" style="position:absolute;left:194;top:4875;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511xwAAAN4AAAAPAAAAZHJzL2Rvd25yZXYueG1sRI9Pa8JA&#10;FMTvgt9heYI33cRikdRVRJHm0Ev9Az0+ss8kbfbtkl1N7Kd3CwWPw8z8hlmue9OIG7W+tqwgnSYg&#10;iAuray4VnI77yQKED8gaG8uk4E4e1qvhYImZth1/0u0QShEh7DNUUIXgMil9UZFBP7WOOHoX2xoM&#10;Ubal1C12EW4aOUuSV2mw5rhQoaNtRcXP4WoUfO3Y5ftOFpffrfv4zhfN+/V0Vmo86jdvIAL14Rn+&#10;b+dawSx9SefwdydeAbl6AAAA//8DAFBLAQItABQABgAIAAAAIQDb4fbL7gAAAIUBAAATAAAAAAAA&#10;AAAAAAAAAAAAAABbQ29udGVudF9UeXBlc10ueG1sUEsBAi0AFAAGAAgAAAAhAFr0LFu/AAAAFQEA&#10;AAsAAAAAAAAAAAAAAAAAHwEAAF9yZWxzLy5yZWxzUEsBAi0AFAAGAAgAAAAhAPHrnXXHAAAA3gAA&#10;AA8AAAAAAAAAAAAAAAAABwIAAGRycy9kb3ducmV2LnhtbFBLBQYAAAAAAwADALcAAAD7AgAAAAA=&#10;" filled="f" stroked="f">
                  <v:textbox inset="0,0,0,0">
                    <w:txbxContent>
                      <w:p w14:paraId="19BD1A72" w14:textId="77777777" w:rsidR="00B32EF2" w:rsidRDefault="00000000">
                        <w:r>
                          <w:rPr>
                            <w:rFonts w:ascii="Arial" w:eastAsia="Arial" w:hAnsi="Arial" w:cs="Arial"/>
                            <w:sz w:val="18"/>
                          </w:rPr>
                          <w:t>-</w:t>
                        </w:r>
                      </w:p>
                    </w:txbxContent>
                  </v:textbox>
                </v:rect>
                <v:rect id="Rectangle 21316" o:spid="_x0000_s5756" style="position:absolute;left:-13169;top:356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QMCxgAAAN4AAAAPAAAAZHJzL2Rvd25yZXYueG1sRI9Ba8JA&#10;FITvBf/D8gRvdRMLItFVRJHm4KVWweMj+0yi2bdLdjXRX98tFHocZuYbZrHqTSMe1PrasoJ0nIAg&#10;LqyuuVRw/N69z0D4gKyxsUwKnuRhtRy8LTDTtuMvehxCKSKEfYYKqhBcJqUvKjLox9YRR+9iW4Mh&#10;yraUusUuwk0jJ0kylQZrjgsVOtpUVNwOd6PgvGWX7zpZXF4bt7/ms+bzfjwpNRr26zmIQH34D/+1&#10;c61gkn6kU/i9E6+AXP4AAAD//wMAUEsBAi0AFAAGAAgAAAAhANvh9svuAAAAhQEAABMAAAAAAAAA&#10;AAAAAAAAAAAAAFtDb250ZW50X1R5cGVzXS54bWxQSwECLQAUAAYACAAAACEAWvQsW78AAAAVAQAA&#10;CwAAAAAAAAAAAAAAAAAfAQAAX3JlbHMvLnJlbHNQSwECLQAUAAYACAAAACEAATkDAsYAAADeAAAA&#10;DwAAAAAAAAAAAAAAAAAHAgAAZHJzL2Rvd25yZXYueG1sUEsFBgAAAAADAAMAtwAAAPoCAAAAAA==&#10;" filled="f" stroked="f">
                  <v:textbox inset="0,0,0,0">
                    <w:txbxContent>
                      <w:p w14:paraId="1BB1C818" w14:textId="77777777" w:rsidR="00B32EF2" w:rsidRDefault="00000000">
                        <w:r>
                          <w:rPr>
                            <w:rFonts w:ascii="Arial" w:eastAsia="Arial" w:hAnsi="Arial" w:cs="Arial"/>
                            <w:sz w:val="18"/>
                          </w:rPr>
                          <w:t xml:space="preserve">nenti dell’Ufficio è corrisposto un trattamento economico, sostitutivo di quello </w:t>
                        </w:r>
                      </w:p>
                    </w:txbxContent>
                  </v:textbox>
                </v:rect>
                <v:rect id="Rectangle 21317" o:spid="_x0000_s5757" style="position:absolute;left:-13169;top:226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aaZxwAAAN4AAAAPAAAAZHJzL2Rvd25yZXYueG1sRI9Pa8JA&#10;FMTvgt9heYI33cSCldRVRJHm0Ev9Az0+ss8kbfbtkl1N7Kd3CwWPw8z8hlmue9OIG7W+tqwgnSYg&#10;iAuray4VnI77yQKED8gaG8uk4E4e1qvhYImZth1/0u0QShEh7DNUUIXgMil9UZFBP7WOOHoX2xoM&#10;Ubal1C12EW4aOUuSuTRYc1yo0NG2ouLncDUKvnbs8n0ni8vv1n1854vm/Xo6KzUe9Zs3EIH68Az/&#10;t3OtYJa+pK/wdydeAbl6AAAA//8DAFBLAQItABQABgAIAAAAIQDb4fbL7gAAAIUBAAATAAAAAAAA&#10;AAAAAAAAAAAAAABbQ29udGVudF9UeXBlc10ueG1sUEsBAi0AFAAGAAgAAAAhAFr0LFu/AAAAFQEA&#10;AAsAAAAAAAAAAAAAAAAAHwEAAF9yZWxzLy5yZWxzUEsBAi0AFAAGAAgAAAAhAG51ppnHAAAA3gAA&#10;AA8AAAAAAAAAAAAAAAAABwIAAGRycy9kb3ducmV2LnhtbFBLBQYAAAAAAwADALcAAAD7AgAAAAA=&#10;" filled="f" stroked="f">
                  <v:textbox inset="0,0,0,0">
                    <w:txbxContent>
                      <w:p w14:paraId="13018E47" w14:textId="77777777" w:rsidR="00B32EF2" w:rsidRDefault="00000000">
                        <w:r>
                          <w:rPr>
                            <w:rFonts w:ascii="Arial" w:eastAsia="Arial" w:hAnsi="Arial" w:cs="Arial"/>
                            <w:sz w:val="18"/>
                          </w:rPr>
                          <w:t xml:space="preserve">previsto dall’articolo 19, pari alla metà dell’ammontare più elevato corrisposto </w:t>
                        </w:r>
                      </w:p>
                    </w:txbxContent>
                  </v:textbox>
                </v:rect>
                <v:rect id="Rectangle 21318" o:spid="_x0000_s5758" style="position:absolute;left:-13169;top:953;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jLrwwAAAN4AAAAPAAAAZHJzL2Rvd25yZXYueG1sRE/LisIw&#10;FN0P+A/hCu7GtA4MUo0iikwXs/EFLi/Nta02N6GJts7Xm8WAy8N5z5e9acSDWl9bVpCOExDEhdU1&#10;lwqOh+3nFIQPyBoby6TgSR6Wi8HHHDNtO97RYx9KEUPYZ6igCsFlUvqiIoN+bB1x5C62NRgibEup&#10;W+xiuGnkJEm+pcGaY0OFjtYVFbf93Sg4b9jl204Wl7+1+73m0+bnfjwpNRr2qxmIQH14i//duVYw&#10;Sb/SuDfeiVdALl4AAAD//wMAUEsBAi0AFAAGAAgAAAAhANvh9svuAAAAhQEAABMAAAAAAAAAAAAA&#10;AAAAAAAAAFtDb250ZW50X1R5cGVzXS54bWxQSwECLQAUAAYACAAAACEAWvQsW78AAAAVAQAACwAA&#10;AAAAAAAAAAAAAAAfAQAAX3JlbHMvLnJlbHNQSwECLQAUAAYACAAAACEAH+oy68MAAADeAAAADwAA&#10;AAAAAAAAAAAAAAAHAgAAZHJzL2Rvd25yZXYueG1sUEsFBgAAAAADAAMAtwAAAPcCAAAAAA==&#10;" filled="f" stroked="f">
                  <v:textbox inset="0,0,0,0">
                    <w:txbxContent>
                      <w:p w14:paraId="6FA9894B" w14:textId="77777777" w:rsidR="00B32EF2" w:rsidRDefault="00000000">
                        <w:r>
                          <w:rPr>
                            <w:rFonts w:ascii="Arial" w:eastAsia="Arial" w:hAnsi="Arial" w:cs="Arial"/>
                            <w:sz w:val="18"/>
                          </w:rPr>
                          <w:t xml:space="preserve">nello stesso periodo ai giudici tributari per l’incarico di presidente di corte di </w:t>
                        </w:r>
                      </w:p>
                    </w:txbxContent>
                  </v:textbox>
                </v:rect>
                <v:rect id="Rectangle 21319" o:spid="_x0000_s5759" style="position:absolute;left:27457;top:-354;width:1246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pdwxwAAAN4AAAAPAAAAZHJzL2Rvd25yZXYueG1sRI9Pa8JA&#10;FMTvBb/D8gRvuokFsamriCLNoRf/FHp8ZJ9J2uzbJbua2E/vCkKPw8z8hlmsetOIK7W+tqwgnSQg&#10;iAuray4VnI678RyED8gaG8uk4EYeVsvBywIzbTve0/UQShEh7DNUUIXgMil9UZFBP7GOOHpn2xoM&#10;Ubal1C12EW4aOU2SmTRYc1yo0NGmouL3cDEKvrfs8l0ni/Pfxn3+5PPm43L6Umo07NfvIAL14T/8&#10;bOdawTR9Td/gcSdeAbm8AwAA//8DAFBLAQItABQABgAIAAAAIQDb4fbL7gAAAIUBAAATAAAAAAAA&#10;AAAAAAAAAAAAAABbQ29udGVudF9UeXBlc10ueG1sUEsBAi0AFAAGAAgAAAAhAFr0LFu/AAAAFQEA&#10;AAsAAAAAAAAAAAAAAAAAHwEAAF9yZWxzLy5yZWxzUEsBAi0AFAAGAAgAAAAhAHCml3DHAAAA3gAA&#10;AA8AAAAAAAAAAAAAAAAABwIAAGRycy9kb3ducmV2LnhtbFBLBQYAAAAAAwADALcAAAD7AgAAAAA=&#10;" filled="f" stroked="f">
                  <v:textbox inset="0,0,0,0">
                    <w:txbxContent>
                      <w:p w14:paraId="176CFC6C" w14:textId="77777777" w:rsidR="00B32EF2" w:rsidRDefault="00000000">
                        <w:r>
                          <w:rPr>
                            <w:rFonts w:ascii="Arial" w:eastAsia="Arial" w:hAnsi="Arial" w:cs="Arial"/>
                            <w:sz w:val="18"/>
                          </w:rPr>
                          <w:t>giustizia tributaria.</w:t>
                        </w:r>
                      </w:p>
                    </w:txbxContent>
                  </v:textbox>
                </v:rect>
                <w10:anchorlock/>
              </v:group>
            </w:pict>
          </mc:Fallback>
        </mc:AlternateContent>
      </w:r>
    </w:p>
    <w:p w14:paraId="7AE9C80C" w14:textId="77777777" w:rsidR="00B32EF2" w:rsidRDefault="00000000">
      <w:pPr>
        <w:spacing w:after="0"/>
        <w:ind w:left="-357" w:right="-306"/>
      </w:pPr>
      <w:r>
        <w:rPr>
          <w:noProof/>
        </w:rPr>
        <w:lastRenderedPageBreak/>
        <mc:AlternateContent>
          <mc:Choice Requires="wpg">
            <w:drawing>
              <wp:inline distT="0" distB="0" distL="0" distR="0" wp14:anchorId="20C87687" wp14:editId="4577E65E">
                <wp:extent cx="3992282" cy="6262854"/>
                <wp:effectExtent l="0" t="0" r="0" b="0"/>
                <wp:docPr id="202176" name="Group 202176"/>
                <wp:cNvGraphicFramePr/>
                <a:graphic xmlns:a="http://schemas.openxmlformats.org/drawingml/2006/main">
                  <a:graphicData uri="http://schemas.microsoft.com/office/word/2010/wordprocessingGroup">
                    <wpg:wgp>
                      <wpg:cNvGrpSpPr/>
                      <wpg:grpSpPr>
                        <a:xfrm>
                          <a:off x="0" y="0"/>
                          <a:ext cx="3992282" cy="6262854"/>
                          <a:chOff x="0" y="0"/>
                          <a:chExt cx="3992282" cy="6262854"/>
                        </a:xfrm>
                      </wpg:grpSpPr>
                      <wps:wsp>
                        <wps:cNvPr id="21393" name="Rectangle 21393"/>
                        <wps:cNvSpPr/>
                        <wps:spPr>
                          <a:xfrm rot="-10799999">
                            <a:off x="1900968" y="-62190"/>
                            <a:ext cx="178369" cy="250646"/>
                          </a:xfrm>
                          <a:prstGeom prst="rect">
                            <a:avLst/>
                          </a:prstGeom>
                          <a:ln>
                            <a:noFill/>
                          </a:ln>
                        </wps:spPr>
                        <wps:txbx>
                          <w:txbxContent>
                            <w:p w14:paraId="208782FC" w14:textId="77777777" w:rsidR="00B32EF2" w:rsidRDefault="00000000">
                              <w:r>
                                <w:rPr>
                                  <w:rFonts w:ascii="Times New Roman" w:eastAsia="Times New Roman" w:hAnsi="Times New Roman" w:cs="Times New Roman"/>
                                </w:rPr>
                                <w:t>34</w:t>
                              </w:r>
                            </w:p>
                          </w:txbxContent>
                        </wps:txbx>
                        <wps:bodyPr horzOverflow="overflow" vert="horz" lIns="0" tIns="0" rIns="0" bIns="0" rtlCol="0">
                          <a:noAutofit/>
                        </wps:bodyPr>
                      </wps:wsp>
                      <wps:wsp>
                        <wps:cNvPr id="202173" name="Rectangle 202173"/>
                        <wps:cNvSpPr/>
                        <wps:spPr>
                          <a:xfrm rot="-10799999">
                            <a:off x="-1381103" y="6119964"/>
                            <a:ext cx="5308989" cy="142890"/>
                          </a:xfrm>
                          <a:prstGeom prst="rect">
                            <a:avLst/>
                          </a:prstGeom>
                          <a:ln>
                            <a:noFill/>
                          </a:ln>
                        </wps:spPr>
                        <wps:txbx>
                          <w:txbxContent>
                            <w:p w14:paraId="0FE74846" w14:textId="77777777" w:rsidR="00B32EF2" w:rsidRDefault="00000000">
                              <w:r>
                                <w:rPr>
                                  <w:rFonts w:ascii="Arial" w:eastAsia="Arial" w:hAnsi="Arial" w:cs="Arial"/>
                                  <w:sz w:val="18"/>
                                </w:rPr>
                                <w:t xml:space="preserve">. Il Consiglio di presidenza scade al termine del quadriennio e continua ad </w:t>
                              </w:r>
                            </w:p>
                          </w:txbxContent>
                        </wps:txbx>
                        <wps:bodyPr horzOverflow="overflow" vert="horz" lIns="0" tIns="0" rIns="0" bIns="0" rtlCol="0">
                          <a:noAutofit/>
                        </wps:bodyPr>
                      </wps:wsp>
                      <wps:wsp>
                        <wps:cNvPr id="202172" name="Rectangle 202172"/>
                        <wps:cNvSpPr/>
                        <wps:spPr>
                          <a:xfrm rot="-10799999">
                            <a:off x="2611464" y="6119964"/>
                            <a:ext cx="5308989" cy="142890"/>
                          </a:xfrm>
                          <a:prstGeom prst="rect">
                            <a:avLst/>
                          </a:prstGeom>
                          <a:ln>
                            <a:noFill/>
                          </a:ln>
                        </wps:spPr>
                        <wps:txbx>
                          <w:txbxContent>
                            <w:p w14:paraId="59E89D87"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1395" name="Rectangle 21395"/>
                        <wps:cNvSpPr/>
                        <wps:spPr>
                          <a:xfrm rot="-10799999">
                            <a:off x="-802154" y="5996634"/>
                            <a:ext cx="4794437" cy="142891"/>
                          </a:xfrm>
                          <a:prstGeom prst="rect">
                            <a:avLst/>
                          </a:prstGeom>
                          <a:ln>
                            <a:noFill/>
                          </a:ln>
                        </wps:spPr>
                        <wps:txbx>
                          <w:txbxContent>
                            <w:p w14:paraId="57B401E2" w14:textId="77777777" w:rsidR="00B32EF2" w:rsidRDefault="00000000">
                              <w:r>
                                <w:rPr>
                                  <w:rFonts w:ascii="Arial" w:eastAsia="Arial" w:hAnsi="Arial" w:cs="Arial"/>
                                  <w:sz w:val="18"/>
                                </w:rPr>
                                <w:t>esercitare le proprie funzioni fino all’insediamento del nuovo Consiglio.</w:t>
                              </w:r>
                            </w:p>
                          </w:txbxContent>
                        </wps:txbx>
                        <wps:bodyPr horzOverflow="overflow" vert="horz" lIns="0" tIns="0" rIns="0" bIns="0" rtlCol="0">
                          <a:noAutofit/>
                        </wps:bodyPr>
                      </wps:wsp>
                      <wps:wsp>
                        <wps:cNvPr id="21396" name="Rectangle 21396"/>
                        <wps:cNvSpPr/>
                        <wps:spPr>
                          <a:xfrm rot="-10799999">
                            <a:off x="1507176" y="5749976"/>
                            <a:ext cx="810611" cy="142889"/>
                          </a:xfrm>
                          <a:prstGeom prst="rect">
                            <a:avLst/>
                          </a:prstGeom>
                          <a:ln>
                            <a:noFill/>
                          </a:ln>
                        </wps:spPr>
                        <wps:txbx>
                          <w:txbxContent>
                            <w:p w14:paraId="6A3FD4E7" w14:textId="77777777" w:rsidR="00B32EF2" w:rsidRDefault="00000000">
                              <w:r>
                                <w:rPr>
                                  <w:rFonts w:ascii="Arial" w:eastAsia="Arial" w:hAnsi="Arial" w:cs="Arial"/>
                                  <w:b/>
                                  <w:sz w:val="18"/>
                                </w:rPr>
                                <w:t>Articolo 30</w:t>
                              </w:r>
                            </w:p>
                          </w:txbxContent>
                        </wps:txbx>
                        <wps:bodyPr horzOverflow="overflow" vert="horz" lIns="0" tIns="0" rIns="0" bIns="0" rtlCol="0">
                          <a:noAutofit/>
                        </wps:bodyPr>
                      </wps:wsp>
                      <wps:wsp>
                        <wps:cNvPr id="202169" name="Rectangle 202169"/>
                        <wps:cNvSpPr/>
                        <wps:spPr>
                          <a:xfrm rot="-10799999">
                            <a:off x="2222120" y="5626646"/>
                            <a:ext cx="1939383" cy="142889"/>
                          </a:xfrm>
                          <a:prstGeom prst="rect">
                            <a:avLst/>
                          </a:prstGeom>
                          <a:ln>
                            <a:noFill/>
                          </a:ln>
                        </wps:spPr>
                        <wps:txbx>
                          <w:txbxContent>
                            <w:p w14:paraId="40E9D9A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170" name="Rectangle 202170"/>
                        <wps:cNvSpPr/>
                        <wps:spPr>
                          <a:xfrm rot="-10799999">
                            <a:off x="-257286" y="5626645"/>
                            <a:ext cx="1939383" cy="142889"/>
                          </a:xfrm>
                          <a:prstGeom prst="rect">
                            <a:avLst/>
                          </a:prstGeom>
                          <a:ln>
                            <a:noFill/>
                          </a:ln>
                        </wps:spPr>
                        <wps:txbx>
                          <w:txbxContent>
                            <w:p w14:paraId="36B1EE56"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171" name="Rectangle 202171"/>
                        <wps:cNvSpPr/>
                        <wps:spPr>
                          <a:xfrm rot="-10799999">
                            <a:off x="1165736" y="5626646"/>
                            <a:ext cx="1939383" cy="142889"/>
                          </a:xfrm>
                          <a:prstGeom prst="rect">
                            <a:avLst/>
                          </a:prstGeom>
                          <a:ln>
                            <a:noFill/>
                          </a:ln>
                        </wps:spPr>
                        <wps:txbx>
                          <w:txbxContent>
                            <w:p w14:paraId="23497C2D" w14:textId="77777777" w:rsidR="00B32EF2" w:rsidRDefault="00000000">
                              <w:r>
                                <w:rPr>
                                  <w:rFonts w:ascii="Arial" w:eastAsia="Arial" w:hAnsi="Arial" w:cs="Arial"/>
                                  <w:i/>
                                  <w:sz w:val="18"/>
                                </w:rPr>
                                <w:t xml:space="preserve">articolo 24 D.lgs. n. </w:t>
                              </w:r>
                            </w:p>
                          </w:txbxContent>
                        </wps:txbx>
                        <wps:bodyPr horzOverflow="overflow" vert="horz" lIns="0" tIns="0" rIns="0" bIns="0" rtlCol="0">
                          <a:noAutofit/>
                        </wps:bodyPr>
                      </wps:wsp>
                      <wps:wsp>
                        <wps:cNvPr id="21398" name="Rectangle 21398"/>
                        <wps:cNvSpPr/>
                        <wps:spPr>
                          <a:xfrm rot="-10799999">
                            <a:off x="1426766" y="5503316"/>
                            <a:ext cx="912737" cy="142889"/>
                          </a:xfrm>
                          <a:prstGeom prst="rect">
                            <a:avLst/>
                          </a:prstGeom>
                          <a:ln>
                            <a:noFill/>
                          </a:ln>
                        </wps:spPr>
                        <wps:txbx>
                          <w:txbxContent>
                            <w:p w14:paraId="51DE442C" w14:textId="77777777" w:rsidR="00B32EF2" w:rsidRDefault="00000000">
                              <w:r>
                                <w:rPr>
                                  <w:rFonts w:ascii="Arial" w:eastAsia="Arial" w:hAnsi="Arial" w:cs="Arial"/>
                                  <w:b/>
                                  <w:sz w:val="18"/>
                                </w:rPr>
                                <w:t xml:space="preserve">Attribuzioni </w:t>
                              </w:r>
                            </w:p>
                          </w:txbxContent>
                        </wps:txbx>
                        <wps:bodyPr horzOverflow="overflow" vert="horz" lIns="0" tIns="0" rIns="0" bIns="0" rtlCol="0">
                          <a:noAutofit/>
                        </wps:bodyPr>
                      </wps:wsp>
                      <wps:wsp>
                        <wps:cNvPr id="202167" name="Rectangle 202167"/>
                        <wps:cNvSpPr/>
                        <wps:spPr>
                          <a:xfrm rot="-10799999">
                            <a:off x="666760" y="5379987"/>
                            <a:ext cx="1916398" cy="142889"/>
                          </a:xfrm>
                          <a:prstGeom prst="rect">
                            <a:avLst/>
                          </a:prstGeom>
                          <a:ln>
                            <a:noFill/>
                          </a:ln>
                        </wps:spPr>
                        <wps:txbx>
                          <w:txbxContent>
                            <w:p w14:paraId="6ECB4C0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2168" name="Rectangle 202168"/>
                        <wps:cNvSpPr/>
                        <wps:spPr>
                          <a:xfrm rot="-10799999">
                            <a:off x="2047195" y="5379987"/>
                            <a:ext cx="1916397" cy="142889"/>
                          </a:xfrm>
                          <a:prstGeom prst="rect">
                            <a:avLst/>
                          </a:prstGeom>
                          <a:ln>
                            <a:noFill/>
                          </a:ln>
                        </wps:spPr>
                        <wps:txbx>
                          <w:txbxContent>
                            <w:p w14:paraId="7577D00A" w14:textId="77777777" w:rsidR="00B32EF2" w:rsidRDefault="00000000">
                              <w:r>
                                <w:rPr>
                                  <w:rFonts w:ascii="Arial" w:eastAsia="Arial" w:hAnsi="Arial" w:cs="Arial"/>
                                  <w:sz w:val="18"/>
                                </w:rPr>
                                <w:t>. Il Consiglio di presidenza</w:t>
                              </w:r>
                            </w:p>
                          </w:txbxContent>
                        </wps:txbx>
                        <wps:bodyPr horzOverflow="overflow" vert="horz" lIns="0" tIns="0" rIns="0" bIns="0" rtlCol="0">
                          <a:noAutofit/>
                        </wps:bodyPr>
                      </wps:wsp>
                      <wps:wsp>
                        <wps:cNvPr id="202166" name="Rectangle 202166"/>
                        <wps:cNvSpPr/>
                        <wps:spPr>
                          <a:xfrm rot="-10799999">
                            <a:off x="3453235" y="5379987"/>
                            <a:ext cx="1916398" cy="142889"/>
                          </a:xfrm>
                          <a:prstGeom prst="rect">
                            <a:avLst/>
                          </a:prstGeom>
                          <a:ln>
                            <a:noFill/>
                          </a:ln>
                        </wps:spPr>
                        <wps:txbx>
                          <w:txbxContent>
                            <w:p w14:paraId="73B7100A"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1400" name="Rectangle 21400"/>
                        <wps:cNvSpPr/>
                        <wps:spPr>
                          <a:xfrm rot="-10799999">
                            <a:off x="-1316723" y="5256657"/>
                            <a:ext cx="5309006" cy="142889"/>
                          </a:xfrm>
                          <a:prstGeom prst="rect">
                            <a:avLst/>
                          </a:prstGeom>
                          <a:ln>
                            <a:noFill/>
                          </a:ln>
                        </wps:spPr>
                        <wps:txbx>
                          <w:txbxContent>
                            <w:p w14:paraId="050AD6C5" w14:textId="77777777" w:rsidR="00B32EF2" w:rsidRDefault="00000000">
                              <w:r>
                                <w:rPr>
                                  <w:rFonts w:ascii="Arial" w:eastAsia="Arial" w:hAnsi="Arial" w:cs="Arial"/>
                                  <w:sz w:val="18"/>
                                </w:rPr>
                                <w:t xml:space="preserve">a) verifica i titoli di ammissione dei propri componenti e decide sui reclami </w:t>
                              </w:r>
                            </w:p>
                          </w:txbxContent>
                        </wps:txbx>
                        <wps:bodyPr horzOverflow="overflow" vert="horz" lIns="0" tIns="0" rIns="0" bIns="0" rtlCol="0">
                          <a:noAutofit/>
                        </wps:bodyPr>
                      </wps:wsp>
                      <wps:wsp>
                        <wps:cNvPr id="21401" name="Rectangle 21401"/>
                        <wps:cNvSpPr/>
                        <wps:spPr>
                          <a:xfrm rot="-10799999">
                            <a:off x="2563425" y="5133327"/>
                            <a:ext cx="1428857" cy="142889"/>
                          </a:xfrm>
                          <a:prstGeom prst="rect">
                            <a:avLst/>
                          </a:prstGeom>
                          <a:ln>
                            <a:noFill/>
                          </a:ln>
                        </wps:spPr>
                        <wps:txbx>
                          <w:txbxContent>
                            <w:p w14:paraId="5DEDCC12" w14:textId="77777777" w:rsidR="00B32EF2" w:rsidRDefault="00000000">
                              <w:r>
                                <w:rPr>
                                  <w:rFonts w:ascii="Arial" w:eastAsia="Arial" w:hAnsi="Arial" w:cs="Arial"/>
                                  <w:sz w:val="18"/>
                                </w:rPr>
                                <w:t>attinenti alle elezioni;</w:t>
                              </w:r>
                            </w:p>
                          </w:txbxContent>
                        </wps:txbx>
                        <wps:bodyPr horzOverflow="overflow" vert="horz" lIns="0" tIns="0" rIns="0" bIns="0" rtlCol="0">
                          <a:noAutofit/>
                        </wps:bodyPr>
                      </wps:wsp>
                      <wps:wsp>
                        <wps:cNvPr id="21402" name="Rectangle 21402"/>
                        <wps:cNvSpPr/>
                        <wps:spPr>
                          <a:xfrm rot="-10799999">
                            <a:off x="-239257" y="5009998"/>
                            <a:ext cx="4231540" cy="142889"/>
                          </a:xfrm>
                          <a:prstGeom prst="rect">
                            <a:avLst/>
                          </a:prstGeom>
                          <a:ln>
                            <a:noFill/>
                          </a:ln>
                        </wps:spPr>
                        <wps:txbx>
                          <w:txbxContent>
                            <w:p w14:paraId="44C8A128" w14:textId="77777777" w:rsidR="00B32EF2" w:rsidRDefault="00000000">
                              <w:r>
                                <w:rPr>
                                  <w:rFonts w:ascii="Arial" w:eastAsia="Arial" w:hAnsi="Arial" w:cs="Arial"/>
                                  <w:sz w:val="18"/>
                                </w:rPr>
                                <w:t>b) disciplina con regolamento interno il proprio funzionamento;</w:t>
                              </w:r>
                            </w:p>
                          </w:txbxContent>
                        </wps:txbx>
                        <wps:bodyPr horzOverflow="overflow" vert="horz" lIns="0" tIns="0" rIns="0" bIns="0" rtlCol="0">
                          <a:noAutofit/>
                        </wps:bodyPr>
                      </wps:wsp>
                      <wps:wsp>
                        <wps:cNvPr id="21403" name="Rectangle 21403"/>
                        <wps:cNvSpPr/>
                        <wps:spPr>
                          <a:xfrm rot="-10799999">
                            <a:off x="-1218214" y="4886668"/>
                            <a:ext cx="5210497" cy="142889"/>
                          </a:xfrm>
                          <a:prstGeom prst="rect">
                            <a:avLst/>
                          </a:prstGeom>
                          <a:ln>
                            <a:noFill/>
                          </a:ln>
                        </wps:spPr>
                        <wps:txbx>
                          <w:txbxContent>
                            <w:p w14:paraId="7C1F126A" w14:textId="77777777" w:rsidR="00B32EF2" w:rsidRDefault="00000000">
                              <w:r>
                                <w:rPr>
                                  <w:rFonts w:ascii="Arial" w:eastAsia="Arial" w:hAnsi="Arial" w:cs="Arial"/>
                                  <w:sz w:val="18"/>
                                </w:rPr>
                                <w:t>c) delibera sulle nomine e su ogni altro provvedimento riguardante i compo</w:t>
                              </w:r>
                            </w:p>
                          </w:txbxContent>
                        </wps:txbx>
                        <wps:bodyPr horzOverflow="overflow" vert="horz" lIns="0" tIns="0" rIns="0" bIns="0" rtlCol="0">
                          <a:noAutofit/>
                        </wps:bodyPr>
                      </wps:wsp>
                      <wps:wsp>
                        <wps:cNvPr id="21404" name="Rectangle 21404"/>
                        <wps:cNvSpPr/>
                        <wps:spPr>
                          <a:xfrm rot="-10799999">
                            <a:off x="19684" y="4886667"/>
                            <a:ext cx="50622" cy="142889"/>
                          </a:xfrm>
                          <a:prstGeom prst="rect">
                            <a:avLst/>
                          </a:prstGeom>
                          <a:ln>
                            <a:noFill/>
                          </a:ln>
                        </wps:spPr>
                        <wps:txbx>
                          <w:txbxContent>
                            <w:p w14:paraId="0F01496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405" name="Rectangle 21405"/>
                        <wps:cNvSpPr/>
                        <wps:spPr>
                          <a:xfrm rot="-10799999">
                            <a:off x="-317806" y="4763338"/>
                            <a:ext cx="4310089" cy="142889"/>
                          </a:xfrm>
                          <a:prstGeom prst="rect">
                            <a:avLst/>
                          </a:prstGeom>
                          <a:ln>
                            <a:noFill/>
                          </a:ln>
                        </wps:spPr>
                        <wps:txbx>
                          <w:txbxContent>
                            <w:p w14:paraId="41B1394B" w14:textId="77777777" w:rsidR="00B32EF2" w:rsidRDefault="00000000">
                              <w:r>
                                <w:rPr>
                                  <w:rFonts w:ascii="Arial" w:eastAsia="Arial" w:hAnsi="Arial" w:cs="Arial"/>
                                  <w:sz w:val="18"/>
                                </w:rPr>
                                <w:t xml:space="preserve">nenti delle corti di giustizia tributaria di primo e secondo grado; </w:t>
                              </w:r>
                            </w:p>
                          </w:txbxContent>
                        </wps:txbx>
                        <wps:bodyPr horzOverflow="overflow" vert="horz" lIns="0" tIns="0" rIns="0" bIns="0" rtlCol="0">
                          <a:noAutofit/>
                        </wps:bodyPr>
                      </wps:wsp>
                      <wps:wsp>
                        <wps:cNvPr id="21406" name="Rectangle 21406"/>
                        <wps:cNvSpPr/>
                        <wps:spPr>
                          <a:xfrm rot="-10799999">
                            <a:off x="-1220144" y="4640009"/>
                            <a:ext cx="5212427" cy="142889"/>
                          </a:xfrm>
                          <a:prstGeom prst="rect">
                            <a:avLst/>
                          </a:prstGeom>
                          <a:ln>
                            <a:noFill/>
                          </a:ln>
                        </wps:spPr>
                        <wps:txbx>
                          <w:txbxContent>
                            <w:p w14:paraId="783E9C1E" w14:textId="77777777" w:rsidR="00B32EF2" w:rsidRDefault="00000000">
                              <w:r>
                                <w:rPr>
                                  <w:rFonts w:ascii="Arial" w:eastAsia="Arial" w:hAnsi="Arial" w:cs="Arial"/>
                                  <w:sz w:val="18"/>
                                </w:rPr>
                                <w:t>d) formula al Ministro dell’economia e delle finanze proposte per l’adeguamen</w:t>
                              </w:r>
                            </w:p>
                          </w:txbxContent>
                        </wps:txbx>
                        <wps:bodyPr horzOverflow="overflow" vert="horz" lIns="0" tIns="0" rIns="0" bIns="0" rtlCol="0">
                          <a:noAutofit/>
                        </wps:bodyPr>
                      </wps:wsp>
                      <wps:wsp>
                        <wps:cNvPr id="21407" name="Rectangle 21407"/>
                        <wps:cNvSpPr/>
                        <wps:spPr>
                          <a:xfrm rot="-10799999">
                            <a:off x="19684" y="4640008"/>
                            <a:ext cx="50622" cy="142889"/>
                          </a:xfrm>
                          <a:prstGeom prst="rect">
                            <a:avLst/>
                          </a:prstGeom>
                          <a:ln>
                            <a:noFill/>
                          </a:ln>
                        </wps:spPr>
                        <wps:txbx>
                          <w:txbxContent>
                            <w:p w14:paraId="0FC5745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408" name="Rectangle 21408"/>
                        <wps:cNvSpPr/>
                        <wps:spPr>
                          <a:xfrm rot="-10799999">
                            <a:off x="-1316813" y="4516679"/>
                            <a:ext cx="5309097" cy="142889"/>
                          </a:xfrm>
                          <a:prstGeom prst="rect">
                            <a:avLst/>
                          </a:prstGeom>
                          <a:ln>
                            <a:noFill/>
                          </a:ln>
                        </wps:spPr>
                        <wps:txbx>
                          <w:txbxContent>
                            <w:p w14:paraId="6D25E9EE" w14:textId="77777777" w:rsidR="00B32EF2" w:rsidRDefault="00000000">
                              <w:r>
                                <w:rPr>
                                  <w:rFonts w:ascii="Arial" w:eastAsia="Arial" w:hAnsi="Arial" w:cs="Arial"/>
                                  <w:sz w:val="18"/>
                                </w:rPr>
                                <w:t xml:space="preserve">to e l’ammodernamento delle strutture e dei servizi, sentiti i presidenti delle </w:t>
                              </w:r>
                            </w:p>
                          </w:txbxContent>
                        </wps:txbx>
                        <wps:bodyPr horzOverflow="overflow" vert="horz" lIns="0" tIns="0" rIns="0" bIns="0" rtlCol="0">
                          <a:noAutofit/>
                        </wps:bodyPr>
                      </wps:wsp>
                      <wps:wsp>
                        <wps:cNvPr id="21409" name="Rectangle 21409"/>
                        <wps:cNvSpPr/>
                        <wps:spPr>
                          <a:xfrm rot="-10799999">
                            <a:off x="424989" y="4393349"/>
                            <a:ext cx="3567293" cy="142889"/>
                          </a:xfrm>
                          <a:prstGeom prst="rect">
                            <a:avLst/>
                          </a:prstGeom>
                          <a:ln>
                            <a:noFill/>
                          </a:ln>
                        </wps:spPr>
                        <wps:txbx>
                          <w:txbxContent>
                            <w:p w14:paraId="37AE8E69" w14:textId="77777777" w:rsidR="00B32EF2" w:rsidRDefault="00000000">
                              <w:r>
                                <w:rPr>
                                  <w:rFonts w:ascii="Arial" w:eastAsia="Arial" w:hAnsi="Arial" w:cs="Arial"/>
                                  <w:sz w:val="18"/>
                                </w:rPr>
                                <w:t xml:space="preserve">corti di giustizia tributaria di primo e secondo grado; </w:t>
                              </w:r>
                            </w:p>
                          </w:txbxContent>
                        </wps:txbx>
                        <wps:bodyPr horzOverflow="overflow" vert="horz" lIns="0" tIns="0" rIns="0" bIns="0" rtlCol="0">
                          <a:noAutofit/>
                        </wps:bodyPr>
                      </wps:wsp>
                      <wps:wsp>
                        <wps:cNvPr id="21410" name="Rectangle 21410"/>
                        <wps:cNvSpPr/>
                        <wps:spPr>
                          <a:xfrm rot="-10799999">
                            <a:off x="-1218812" y="4270019"/>
                            <a:ext cx="5212124" cy="142889"/>
                          </a:xfrm>
                          <a:prstGeom prst="rect">
                            <a:avLst/>
                          </a:prstGeom>
                          <a:ln>
                            <a:noFill/>
                          </a:ln>
                        </wps:spPr>
                        <wps:txbx>
                          <w:txbxContent>
                            <w:p w14:paraId="3AAD5EB2" w14:textId="77777777" w:rsidR="00B32EF2" w:rsidRDefault="00000000">
                              <w:r>
                                <w:rPr>
                                  <w:rFonts w:ascii="Arial" w:eastAsia="Arial" w:hAnsi="Arial" w:cs="Arial"/>
                                  <w:sz w:val="18"/>
                                </w:rPr>
                                <w:t>e) predispone elementi per la redazione della relazione del Ministro dell’e</w:t>
                              </w:r>
                            </w:p>
                          </w:txbxContent>
                        </wps:txbx>
                        <wps:bodyPr horzOverflow="overflow" vert="horz" lIns="0" tIns="0" rIns="0" bIns="0" rtlCol="0">
                          <a:noAutofit/>
                        </wps:bodyPr>
                      </wps:wsp>
                      <wps:wsp>
                        <wps:cNvPr id="21411" name="Rectangle 21411"/>
                        <wps:cNvSpPr/>
                        <wps:spPr>
                          <a:xfrm rot="-10799999">
                            <a:off x="19684" y="4270019"/>
                            <a:ext cx="50622" cy="142889"/>
                          </a:xfrm>
                          <a:prstGeom prst="rect">
                            <a:avLst/>
                          </a:prstGeom>
                          <a:ln>
                            <a:noFill/>
                          </a:ln>
                        </wps:spPr>
                        <wps:txbx>
                          <w:txbxContent>
                            <w:p w14:paraId="071B971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412" name="Rectangle 21412"/>
                        <wps:cNvSpPr/>
                        <wps:spPr>
                          <a:xfrm rot="-10799999">
                            <a:off x="-1316692" y="4146690"/>
                            <a:ext cx="5308975" cy="142889"/>
                          </a:xfrm>
                          <a:prstGeom prst="rect">
                            <a:avLst/>
                          </a:prstGeom>
                          <a:ln>
                            <a:noFill/>
                          </a:ln>
                        </wps:spPr>
                        <wps:txbx>
                          <w:txbxContent>
                            <w:p w14:paraId="035091E2" w14:textId="77777777" w:rsidR="00B32EF2" w:rsidRDefault="00000000">
                              <w:r>
                                <w:rPr>
                                  <w:rFonts w:ascii="Arial" w:eastAsia="Arial" w:hAnsi="Arial" w:cs="Arial"/>
                                  <w:sz w:val="18"/>
                                </w:rPr>
                                <w:t xml:space="preserve">conomia e delle finanze di cui all’articolo 36, comma 2, anche in ordine alla </w:t>
                              </w:r>
                            </w:p>
                          </w:txbxContent>
                        </wps:txbx>
                        <wps:bodyPr horzOverflow="overflow" vert="horz" lIns="0" tIns="0" rIns="0" bIns="0" rtlCol="0">
                          <a:noAutofit/>
                        </wps:bodyPr>
                      </wps:wsp>
                      <wps:wsp>
                        <wps:cNvPr id="21413" name="Rectangle 21413"/>
                        <wps:cNvSpPr/>
                        <wps:spPr>
                          <a:xfrm rot="-10799999">
                            <a:off x="302204" y="4023360"/>
                            <a:ext cx="3690079" cy="142889"/>
                          </a:xfrm>
                          <a:prstGeom prst="rect">
                            <a:avLst/>
                          </a:prstGeom>
                          <a:ln>
                            <a:noFill/>
                          </a:ln>
                        </wps:spPr>
                        <wps:txbx>
                          <w:txbxContent>
                            <w:p w14:paraId="2A32D64F" w14:textId="77777777" w:rsidR="00B32EF2" w:rsidRDefault="00000000">
                              <w:r>
                                <w:rPr>
                                  <w:rFonts w:ascii="Arial" w:eastAsia="Arial" w:hAnsi="Arial" w:cs="Arial"/>
                                  <w:sz w:val="18"/>
                                </w:rPr>
                                <w:t>produttività comparata delle corti di giustizia tributaria;</w:t>
                              </w:r>
                            </w:p>
                          </w:txbxContent>
                        </wps:txbx>
                        <wps:bodyPr horzOverflow="overflow" vert="horz" lIns="0" tIns="0" rIns="0" bIns="0" rtlCol="0">
                          <a:noAutofit/>
                        </wps:bodyPr>
                      </wps:wsp>
                      <wps:wsp>
                        <wps:cNvPr id="21414" name="Rectangle 21414"/>
                        <wps:cNvSpPr/>
                        <wps:spPr>
                          <a:xfrm rot="-10799999">
                            <a:off x="-1316723" y="3900030"/>
                            <a:ext cx="5309006" cy="142889"/>
                          </a:xfrm>
                          <a:prstGeom prst="rect">
                            <a:avLst/>
                          </a:prstGeom>
                          <a:ln>
                            <a:noFill/>
                          </a:ln>
                        </wps:spPr>
                        <wps:txbx>
                          <w:txbxContent>
                            <w:p w14:paraId="713E3482" w14:textId="77777777" w:rsidR="00B32EF2" w:rsidRDefault="00000000">
                              <w:r>
                                <w:rPr>
                                  <w:rFonts w:ascii="Arial" w:eastAsia="Arial" w:hAnsi="Arial" w:cs="Arial"/>
                                  <w:sz w:val="18"/>
                                </w:rPr>
                                <w:t xml:space="preserve">f) stabilisce i criteri di massima per la formazione delle sezioni e dei collegi </w:t>
                              </w:r>
                            </w:p>
                          </w:txbxContent>
                        </wps:txbx>
                        <wps:bodyPr horzOverflow="overflow" vert="horz" lIns="0" tIns="0" rIns="0" bIns="0" rtlCol="0">
                          <a:noAutofit/>
                        </wps:bodyPr>
                      </wps:wsp>
                      <wps:wsp>
                        <wps:cNvPr id="21415" name="Rectangle 21415"/>
                        <wps:cNvSpPr/>
                        <wps:spPr>
                          <a:xfrm rot="-10799999">
                            <a:off x="3299935" y="3776701"/>
                            <a:ext cx="692918" cy="142889"/>
                          </a:xfrm>
                          <a:prstGeom prst="rect">
                            <a:avLst/>
                          </a:prstGeom>
                          <a:ln>
                            <a:noFill/>
                          </a:ln>
                        </wps:spPr>
                        <wps:txbx>
                          <w:txbxContent>
                            <w:p w14:paraId="69E85665" w14:textId="77777777" w:rsidR="00B32EF2" w:rsidRDefault="00000000">
                              <w:r>
                                <w:rPr>
                                  <w:rFonts w:ascii="Arial" w:eastAsia="Arial" w:hAnsi="Arial" w:cs="Arial"/>
                                  <w:sz w:val="18"/>
                                </w:rPr>
                                <w:t>giudicanti;</w:t>
                              </w:r>
                            </w:p>
                          </w:txbxContent>
                        </wps:txbx>
                        <wps:bodyPr horzOverflow="overflow" vert="horz" lIns="0" tIns="0" rIns="0" bIns="0" rtlCol="0">
                          <a:noAutofit/>
                        </wps:bodyPr>
                      </wps:wsp>
                      <wps:wsp>
                        <wps:cNvPr id="21416" name="Rectangle 21416"/>
                        <wps:cNvSpPr/>
                        <wps:spPr>
                          <a:xfrm rot="-10799999">
                            <a:off x="-1316738" y="3653371"/>
                            <a:ext cx="5309021" cy="142889"/>
                          </a:xfrm>
                          <a:prstGeom prst="rect">
                            <a:avLst/>
                          </a:prstGeom>
                          <a:ln>
                            <a:noFill/>
                          </a:ln>
                        </wps:spPr>
                        <wps:txbx>
                          <w:txbxContent>
                            <w:p w14:paraId="79C78996" w14:textId="77777777" w:rsidR="00B32EF2" w:rsidRDefault="00000000">
                              <w:r>
                                <w:rPr>
                                  <w:rFonts w:ascii="Arial" w:eastAsia="Arial" w:hAnsi="Arial" w:cs="Arial"/>
                                  <w:sz w:val="18"/>
                                </w:rPr>
                                <w:t xml:space="preserve">g) stabilisce i criteri di massima per la ripartizione dei ricorsi nell’ambito delle </w:t>
                              </w:r>
                            </w:p>
                          </w:txbxContent>
                        </wps:txbx>
                        <wps:bodyPr horzOverflow="overflow" vert="horz" lIns="0" tIns="0" rIns="0" bIns="0" rtlCol="0">
                          <a:noAutofit/>
                        </wps:bodyPr>
                      </wps:wsp>
                      <wps:wsp>
                        <wps:cNvPr id="21417" name="Rectangle 21417"/>
                        <wps:cNvSpPr/>
                        <wps:spPr>
                          <a:xfrm rot="-10799999">
                            <a:off x="-651837" y="3530041"/>
                            <a:ext cx="4644120" cy="142889"/>
                          </a:xfrm>
                          <a:prstGeom prst="rect">
                            <a:avLst/>
                          </a:prstGeom>
                          <a:ln>
                            <a:noFill/>
                          </a:ln>
                        </wps:spPr>
                        <wps:txbx>
                          <w:txbxContent>
                            <w:p w14:paraId="5D83BD9A" w14:textId="77777777" w:rsidR="00B32EF2" w:rsidRDefault="00000000">
                              <w:r>
                                <w:rPr>
                                  <w:rFonts w:ascii="Arial" w:eastAsia="Arial" w:hAnsi="Arial" w:cs="Arial"/>
                                  <w:sz w:val="18"/>
                                </w:rPr>
                                <w:t>corti di giustizia tributaria di primo e secondo grado divise in sezioni;</w:t>
                              </w:r>
                            </w:p>
                          </w:txbxContent>
                        </wps:txbx>
                        <wps:bodyPr horzOverflow="overflow" vert="horz" lIns="0" tIns="0" rIns="0" bIns="0" rtlCol="0">
                          <a:noAutofit/>
                        </wps:bodyPr>
                      </wps:wsp>
                      <wps:wsp>
                        <wps:cNvPr id="21418" name="Rectangle 21418"/>
                        <wps:cNvSpPr/>
                        <wps:spPr>
                          <a:xfrm rot="-10799999">
                            <a:off x="-1316829" y="3406712"/>
                            <a:ext cx="5309113" cy="142889"/>
                          </a:xfrm>
                          <a:prstGeom prst="rect">
                            <a:avLst/>
                          </a:prstGeom>
                          <a:ln>
                            <a:noFill/>
                          </a:ln>
                        </wps:spPr>
                        <wps:txbx>
                          <w:txbxContent>
                            <w:p w14:paraId="01C287A4" w14:textId="77777777" w:rsidR="00B32EF2" w:rsidRDefault="00000000">
                              <w:r>
                                <w:rPr>
                                  <w:rFonts w:ascii="Arial" w:eastAsia="Arial" w:hAnsi="Arial" w:cs="Arial"/>
                                  <w:sz w:val="18"/>
                                </w:rPr>
                                <w:t xml:space="preserve">h) stabilisce annualmente i carichi esigibili, distintamente, per i magistrati e per </w:t>
                              </w:r>
                            </w:p>
                          </w:txbxContent>
                        </wps:txbx>
                        <wps:bodyPr horzOverflow="overflow" vert="horz" lIns="0" tIns="0" rIns="0" bIns="0" rtlCol="0">
                          <a:noAutofit/>
                        </wps:bodyPr>
                      </wps:wsp>
                      <wps:wsp>
                        <wps:cNvPr id="21419" name="Rectangle 21419"/>
                        <wps:cNvSpPr/>
                        <wps:spPr>
                          <a:xfrm rot="-10799999">
                            <a:off x="2875931" y="3283382"/>
                            <a:ext cx="1116351" cy="142889"/>
                          </a:xfrm>
                          <a:prstGeom prst="rect">
                            <a:avLst/>
                          </a:prstGeom>
                          <a:ln>
                            <a:noFill/>
                          </a:ln>
                        </wps:spPr>
                        <wps:txbx>
                          <w:txbxContent>
                            <w:p w14:paraId="35EFD2C4" w14:textId="77777777" w:rsidR="00B32EF2" w:rsidRDefault="00000000">
                              <w:r>
                                <w:rPr>
                                  <w:rFonts w:ascii="Arial" w:eastAsia="Arial" w:hAnsi="Arial" w:cs="Arial"/>
                                  <w:sz w:val="18"/>
                                </w:rPr>
                                <w:t>i giudici tributari;</w:t>
                              </w:r>
                            </w:p>
                          </w:txbxContent>
                        </wps:txbx>
                        <wps:bodyPr horzOverflow="overflow" vert="horz" lIns="0" tIns="0" rIns="0" bIns="0" rtlCol="0">
                          <a:noAutofit/>
                        </wps:bodyPr>
                      </wps:wsp>
                      <wps:wsp>
                        <wps:cNvPr id="21420" name="Rectangle 21420"/>
                        <wps:cNvSpPr/>
                        <wps:spPr>
                          <a:xfrm rot="-10799999">
                            <a:off x="-1316677" y="3160052"/>
                            <a:ext cx="5308960" cy="142889"/>
                          </a:xfrm>
                          <a:prstGeom prst="rect">
                            <a:avLst/>
                          </a:prstGeom>
                          <a:ln>
                            <a:noFill/>
                          </a:ln>
                        </wps:spPr>
                        <wps:txbx>
                          <w:txbxContent>
                            <w:p w14:paraId="505F8F21" w14:textId="77777777" w:rsidR="00B32EF2" w:rsidRDefault="00000000">
                              <w:r>
                                <w:rPr>
                                  <w:rFonts w:ascii="Arial" w:eastAsia="Arial" w:hAnsi="Arial" w:cs="Arial"/>
                                  <w:sz w:val="18"/>
                                </w:rPr>
                                <w:t xml:space="preserve">i) assicura l’aggiornamento professionale dei giudici e dei magistrati tributari </w:t>
                              </w:r>
                            </w:p>
                          </w:txbxContent>
                        </wps:txbx>
                        <wps:bodyPr horzOverflow="overflow" vert="horz" lIns="0" tIns="0" rIns="0" bIns="0" rtlCol="0">
                          <a:noAutofit/>
                        </wps:bodyPr>
                      </wps:wsp>
                      <wps:wsp>
                        <wps:cNvPr id="21421" name="Rectangle 21421"/>
                        <wps:cNvSpPr/>
                        <wps:spPr>
                          <a:xfrm rot="-10799999">
                            <a:off x="-1220525" y="3036723"/>
                            <a:ext cx="5212808" cy="142889"/>
                          </a:xfrm>
                          <a:prstGeom prst="rect">
                            <a:avLst/>
                          </a:prstGeom>
                          <a:ln>
                            <a:noFill/>
                          </a:ln>
                        </wps:spPr>
                        <wps:txbx>
                          <w:txbxContent>
                            <w:p w14:paraId="6D17BFEB" w14:textId="77777777" w:rsidR="00B32EF2" w:rsidRDefault="00000000">
                              <w:r>
                                <w:rPr>
                                  <w:rFonts w:ascii="Arial" w:eastAsia="Arial" w:hAnsi="Arial" w:cs="Arial"/>
                                  <w:sz w:val="18"/>
                                </w:rPr>
                                <w:t>attraverso l’organizzazione di corsi di formazione permanente, in sede centra</w:t>
                              </w:r>
                            </w:p>
                          </w:txbxContent>
                        </wps:txbx>
                        <wps:bodyPr horzOverflow="overflow" vert="horz" lIns="0" tIns="0" rIns="0" bIns="0" rtlCol="0">
                          <a:noAutofit/>
                        </wps:bodyPr>
                      </wps:wsp>
                      <wps:wsp>
                        <wps:cNvPr id="21422" name="Rectangle 21422"/>
                        <wps:cNvSpPr/>
                        <wps:spPr>
                          <a:xfrm rot="-10799999">
                            <a:off x="19684" y="3036722"/>
                            <a:ext cx="50622" cy="142889"/>
                          </a:xfrm>
                          <a:prstGeom prst="rect">
                            <a:avLst/>
                          </a:prstGeom>
                          <a:ln>
                            <a:noFill/>
                          </a:ln>
                        </wps:spPr>
                        <wps:txbx>
                          <w:txbxContent>
                            <w:p w14:paraId="529BA09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423" name="Rectangle 21423"/>
                        <wps:cNvSpPr/>
                        <wps:spPr>
                          <a:xfrm rot="-10799999">
                            <a:off x="2932740" y="2913393"/>
                            <a:ext cx="1059542" cy="142889"/>
                          </a:xfrm>
                          <a:prstGeom prst="rect">
                            <a:avLst/>
                          </a:prstGeom>
                          <a:ln>
                            <a:noFill/>
                          </a:ln>
                        </wps:spPr>
                        <wps:txbx>
                          <w:txbxContent>
                            <w:p w14:paraId="04B880B5" w14:textId="77777777" w:rsidR="00B32EF2" w:rsidRDefault="00000000">
                              <w:r>
                                <w:rPr>
                                  <w:rFonts w:ascii="Arial" w:eastAsia="Arial" w:hAnsi="Arial" w:cs="Arial"/>
                                  <w:sz w:val="18"/>
                                </w:rPr>
                                <w:t>le e decentrata;</w:t>
                              </w:r>
                            </w:p>
                          </w:txbxContent>
                        </wps:txbx>
                        <wps:bodyPr horzOverflow="overflow" vert="horz" lIns="0" tIns="0" rIns="0" bIns="0" rtlCol="0">
                          <a:noAutofit/>
                        </wps:bodyPr>
                      </wps:wsp>
                      <wps:wsp>
                        <wps:cNvPr id="21424" name="Rectangle 21424"/>
                        <wps:cNvSpPr/>
                        <wps:spPr>
                          <a:xfrm rot="-10799999">
                            <a:off x="-1316706" y="2790063"/>
                            <a:ext cx="5308990" cy="142889"/>
                          </a:xfrm>
                          <a:prstGeom prst="rect">
                            <a:avLst/>
                          </a:prstGeom>
                          <a:ln>
                            <a:noFill/>
                          </a:ln>
                        </wps:spPr>
                        <wps:txbx>
                          <w:txbxContent>
                            <w:p w14:paraId="4C8C77FE" w14:textId="77777777" w:rsidR="00B32EF2" w:rsidRDefault="00000000">
                              <w:r>
                                <w:rPr>
                                  <w:rFonts w:ascii="Arial" w:eastAsia="Arial" w:hAnsi="Arial" w:cs="Arial"/>
                                  <w:sz w:val="18"/>
                                </w:rPr>
                                <w:t xml:space="preserve">l) esprime parere sugli schemi di regolamento e di convenzioni previsti dal </w:t>
                              </w:r>
                            </w:p>
                          </w:txbxContent>
                        </wps:txbx>
                        <wps:bodyPr horzOverflow="overflow" vert="horz" lIns="0" tIns="0" rIns="0" bIns="0" rtlCol="0">
                          <a:noAutofit/>
                        </wps:bodyPr>
                      </wps:wsp>
                      <wps:wsp>
                        <wps:cNvPr id="21425" name="Rectangle 21425"/>
                        <wps:cNvSpPr/>
                        <wps:spPr>
                          <a:xfrm rot="-10799999">
                            <a:off x="-1316706" y="2666733"/>
                            <a:ext cx="5308990" cy="142889"/>
                          </a:xfrm>
                          <a:prstGeom prst="rect">
                            <a:avLst/>
                          </a:prstGeom>
                          <a:ln>
                            <a:noFill/>
                          </a:ln>
                        </wps:spPr>
                        <wps:txbx>
                          <w:txbxContent>
                            <w:p w14:paraId="258CD763" w14:textId="77777777" w:rsidR="00B32EF2" w:rsidRDefault="00000000">
                              <w:r>
                                <w:rPr>
                                  <w:rFonts w:ascii="Arial" w:eastAsia="Arial" w:hAnsi="Arial" w:cs="Arial"/>
                                  <w:sz w:val="18"/>
                                </w:rPr>
                                <w:t xml:space="preserve">presente testo unico o che comunque riguardano il funzionamento delle corti </w:t>
                              </w:r>
                            </w:p>
                          </w:txbxContent>
                        </wps:txbx>
                        <wps:bodyPr horzOverflow="overflow" vert="horz" lIns="0" tIns="0" rIns="0" bIns="0" rtlCol="0">
                          <a:noAutofit/>
                        </wps:bodyPr>
                      </wps:wsp>
                      <wps:wsp>
                        <wps:cNvPr id="21426" name="Rectangle 21426"/>
                        <wps:cNvSpPr/>
                        <wps:spPr>
                          <a:xfrm rot="-10799999">
                            <a:off x="809856" y="2543403"/>
                            <a:ext cx="3182427" cy="142889"/>
                          </a:xfrm>
                          <a:prstGeom prst="rect">
                            <a:avLst/>
                          </a:prstGeom>
                          <a:ln>
                            <a:noFill/>
                          </a:ln>
                        </wps:spPr>
                        <wps:txbx>
                          <w:txbxContent>
                            <w:p w14:paraId="6B1A6555" w14:textId="77777777" w:rsidR="00B32EF2" w:rsidRDefault="00000000">
                              <w:r>
                                <w:rPr>
                                  <w:rFonts w:ascii="Arial" w:eastAsia="Arial" w:hAnsi="Arial" w:cs="Arial"/>
                                  <w:sz w:val="18"/>
                                </w:rPr>
                                <w:t>di giustizia tributaria di primo e secondo grado;</w:t>
                              </w:r>
                            </w:p>
                          </w:txbxContent>
                        </wps:txbx>
                        <wps:bodyPr horzOverflow="overflow" vert="horz" lIns="0" tIns="0" rIns="0" bIns="0" rtlCol="0">
                          <a:noAutofit/>
                        </wps:bodyPr>
                      </wps:wsp>
                      <wps:wsp>
                        <wps:cNvPr id="21427" name="Rectangle 21427"/>
                        <wps:cNvSpPr/>
                        <wps:spPr>
                          <a:xfrm rot="-10799999">
                            <a:off x="-1316737" y="2420073"/>
                            <a:ext cx="5309021" cy="142889"/>
                          </a:xfrm>
                          <a:prstGeom prst="rect">
                            <a:avLst/>
                          </a:prstGeom>
                          <a:ln>
                            <a:noFill/>
                          </a:ln>
                        </wps:spPr>
                        <wps:txbx>
                          <w:txbxContent>
                            <w:p w14:paraId="303001F0" w14:textId="77777777" w:rsidR="00B32EF2" w:rsidRDefault="00000000">
                              <w:r>
                                <w:rPr>
                                  <w:rFonts w:ascii="Arial" w:eastAsia="Arial" w:hAnsi="Arial" w:cs="Arial"/>
                                  <w:sz w:val="18"/>
                                </w:rPr>
                                <w:t xml:space="preserve">m) esprime parere sulla ripartizione fra le corti di giustizia tributaria di primo </w:t>
                              </w:r>
                            </w:p>
                          </w:txbxContent>
                        </wps:txbx>
                        <wps:bodyPr horzOverflow="overflow" vert="horz" lIns="0" tIns="0" rIns="0" bIns="0" rtlCol="0">
                          <a:noAutofit/>
                        </wps:bodyPr>
                      </wps:wsp>
                      <wps:wsp>
                        <wps:cNvPr id="21428" name="Rectangle 21428"/>
                        <wps:cNvSpPr/>
                        <wps:spPr>
                          <a:xfrm rot="-10799999">
                            <a:off x="-1316723" y="2296744"/>
                            <a:ext cx="5309006" cy="142889"/>
                          </a:xfrm>
                          <a:prstGeom prst="rect">
                            <a:avLst/>
                          </a:prstGeom>
                          <a:ln>
                            <a:noFill/>
                          </a:ln>
                        </wps:spPr>
                        <wps:txbx>
                          <w:txbxContent>
                            <w:p w14:paraId="3E94275B" w14:textId="77777777" w:rsidR="00B32EF2" w:rsidRDefault="00000000">
                              <w:r>
                                <w:rPr>
                                  <w:rFonts w:ascii="Arial" w:eastAsia="Arial" w:hAnsi="Arial" w:cs="Arial"/>
                                  <w:sz w:val="18"/>
                                </w:rPr>
                                <w:t xml:space="preserve">e secondo grado dei fondi stanziati nel bilancio del Ministero dell’economia e </w:t>
                              </w:r>
                            </w:p>
                          </w:txbxContent>
                        </wps:txbx>
                        <wps:bodyPr horzOverflow="overflow" vert="horz" lIns="0" tIns="0" rIns="0" bIns="0" rtlCol="0">
                          <a:noAutofit/>
                        </wps:bodyPr>
                      </wps:wsp>
                      <wps:wsp>
                        <wps:cNvPr id="21429" name="Rectangle 21429"/>
                        <wps:cNvSpPr/>
                        <wps:spPr>
                          <a:xfrm rot="-10799999">
                            <a:off x="701755" y="2173414"/>
                            <a:ext cx="3290528" cy="142889"/>
                          </a:xfrm>
                          <a:prstGeom prst="rect">
                            <a:avLst/>
                          </a:prstGeom>
                          <a:ln>
                            <a:noFill/>
                          </a:ln>
                        </wps:spPr>
                        <wps:txbx>
                          <w:txbxContent>
                            <w:p w14:paraId="7DAD3BB9" w14:textId="77777777" w:rsidR="00B32EF2" w:rsidRDefault="00000000">
                              <w:r>
                                <w:rPr>
                                  <w:rFonts w:ascii="Arial" w:eastAsia="Arial" w:hAnsi="Arial" w:cs="Arial"/>
                                  <w:sz w:val="18"/>
                                </w:rPr>
                                <w:t>delle finanze per le spese di loro funzionamento;</w:t>
                              </w:r>
                            </w:p>
                          </w:txbxContent>
                        </wps:txbx>
                        <wps:bodyPr horzOverflow="overflow" vert="horz" lIns="0" tIns="0" rIns="0" bIns="0" rtlCol="0">
                          <a:noAutofit/>
                        </wps:bodyPr>
                      </wps:wsp>
                      <wps:wsp>
                        <wps:cNvPr id="21430" name="Rectangle 21430"/>
                        <wps:cNvSpPr/>
                        <wps:spPr>
                          <a:xfrm rot="-10799999">
                            <a:off x="-94550" y="2050084"/>
                            <a:ext cx="4086833" cy="142889"/>
                          </a:xfrm>
                          <a:prstGeom prst="rect">
                            <a:avLst/>
                          </a:prstGeom>
                          <a:ln>
                            <a:noFill/>
                          </a:ln>
                        </wps:spPr>
                        <wps:txbx>
                          <w:txbxContent>
                            <w:p w14:paraId="1C320769" w14:textId="77777777" w:rsidR="00B32EF2" w:rsidRDefault="00000000">
                              <w:r>
                                <w:rPr>
                                  <w:rFonts w:ascii="Arial" w:eastAsia="Arial" w:hAnsi="Arial" w:cs="Arial"/>
                                  <w:sz w:val="18"/>
                                </w:rPr>
                                <w:t>n) esprime parere sul decreto di cui all’articolo 19, comma 1;</w:t>
                              </w:r>
                            </w:p>
                          </w:txbxContent>
                        </wps:txbx>
                        <wps:bodyPr horzOverflow="overflow" vert="horz" lIns="0" tIns="0" rIns="0" bIns="0" rtlCol="0">
                          <a:noAutofit/>
                        </wps:bodyPr>
                      </wps:wsp>
                      <wps:wsp>
                        <wps:cNvPr id="21431" name="Rectangle 21431"/>
                        <wps:cNvSpPr/>
                        <wps:spPr>
                          <a:xfrm rot="-10799999">
                            <a:off x="-1316783" y="1926755"/>
                            <a:ext cx="5309066" cy="142889"/>
                          </a:xfrm>
                          <a:prstGeom prst="rect">
                            <a:avLst/>
                          </a:prstGeom>
                          <a:ln>
                            <a:noFill/>
                          </a:ln>
                        </wps:spPr>
                        <wps:txbx>
                          <w:txbxContent>
                            <w:p w14:paraId="79346E1E" w14:textId="77777777" w:rsidR="00B32EF2" w:rsidRDefault="00000000">
                              <w:r>
                                <w:rPr>
                                  <w:rFonts w:ascii="Arial" w:eastAsia="Arial" w:hAnsi="Arial" w:cs="Arial"/>
                                  <w:sz w:val="18"/>
                                </w:rPr>
                                <w:t xml:space="preserve">o) dispone, in caso di necessità, l’applicazione di magistrati e di giudici tributari </w:t>
                              </w:r>
                            </w:p>
                          </w:txbxContent>
                        </wps:txbx>
                        <wps:bodyPr horzOverflow="overflow" vert="horz" lIns="0" tIns="0" rIns="0" bIns="0" rtlCol="0">
                          <a:noAutofit/>
                        </wps:bodyPr>
                      </wps:wsp>
                      <wps:wsp>
                        <wps:cNvPr id="21432" name="Rectangle 21432"/>
                        <wps:cNvSpPr/>
                        <wps:spPr>
                          <a:xfrm rot="-10799999">
                            <a:off x="-1316737" y="1803425"/>
                            <a:ext cx="5309021" cy="142889"/>
                          </a:xfrm>
                          <a:prstGeom prst="rect">
                            <a:avLst/>
                          </a:prstGeom>
                          <a:ln>
                            <a:noFill/>
                          </a:ln>
                        </wps:spPr>
                        <wps:txbx>
                          <w:txbxContent>
                            <w:p w14:paraId="7C1BE760" w14:textId="77777777" w:rsidR="00B32EF2" w:rsidRDefault="00000000">
                              <w:r>
                                <w:rPr>
                                  <w:rFonts w:ascii="Arial" w:eastAsia="Arial" w:hAnsi="Arial" w:cs="Arial"/>
                                  <w:sz w:val="18"/>
                                </w:rPr>
                                <w:t xml:space="preserve">presso altra corte di giustizia tributaria di primo e secondo grado o sezione </w:t>
                              </w:r>
                            </w:p>
                          </w:txbxContent>
                        </wps:txbx>
                        <wps:bodyPr horzOverflow="overflow" vert="horz" lIns="0" tIns="0" rIns="0" bIns="0" rtlCol="0">
                          <a:noAutofit/>
                        </wps:bodyPr>
                      </wps:wsp>
                      <wps:wsp>
                        <wps:cNvPr id="21433" name="Rectangle 21433"/>
                        <wps:cNvSpPr/>
                        <wps:spPr>
                          <a:xfrm rot="-10799999">
                            <a:off x="-1316737" y="1680095"/>
                            <a:ext cx="5309021" cy="142889"/>
                          </a:xfrm>
                          <a:prstGeom prst="rect">
                            <a:avLst/>
                          </a:prstGeom>
                          <a:ln>
                            <a:noFill/>
                          </a:ln>
                        </wps:spPr>
                        <wps:txbx>
                          <w:txbxContent>
                            <w:p w14:paraId="6A58D94D" w14:textId="77777777" w:rsidR="00B32EF2" w:rsidRDefault="00000000">
                              <w:r>
                                <w:rPr>
                                  <w:rFonts w:ascii="Arial" w:eastAsia="Arial" w:hAnsi="Arial" w:cs="Arial"/>
                                  <w:sz w:val="18"/>
                                </w:rPr>
                                <w:t xml:space="preserve">staccata, rientrante nello stesso ambito regionale, per la durata massima di </w:t>
                              </w:r>
                            </w:p>
                          </w:txbxContent>
                        </wps:txbx>
                        <wps:bodyPr horzOverflow="overflow" vert="horz" lIns="0" tIns="0" rIns="0" bIns="0" rtlCol="0">
                          <a:noAutofit/>
                        </wps:bodyPr>
                      </wps:wsp>
                      <wps:wsp>
                        <wps:cNvPr id="21434" name="Rectangle 21434"/>
                        <wps:cNvSpPr/>
                        <wps:spPr>
                          <a:xfrm rot="-10799999">
                            <a:off x="3400396" y="1556766"/>
                            <a:ext cx="591886" cy="142889"/>
                          </a:xfrm>
                          <a:prstGeom prst="rect">
                            <a:avLst/>
                          </a:prstGeom>
                          <a:ln>
                            <a:noFill/>
                          </a:ln>
                        </wps:spPr>
                        <wps:txbx>
                          <w:txbxContent>
                            <w:p w14:paraId="15320161" w14:textId="77777777" w:rsidR="00B32EF2" w:rsidRDefault="00000000">
                              <w:r>
                                <w:rPr>
                                  <w:rFonts w:ascii="Arial" w:eastAsia="Arial" w:hAnsi="Arial" w:cs="Arial"/>
                                  <w:sz w:val="18"/>
                                </w:rPr>
                                <w:t>un anno;</w:t>
                              </w:r>
                            </w:p>
                          </w:txbxContent>
                        </wps:txbx>
                        <wps:bodyPr horzOverflow="overflow" vert="horz" lIns="0" tIns="0" rIns="0" bIns="0" rtlCol="0">
                          <a:noAutofit/>
                        </wps:bodyPr>
                      </wps:wsp>
                      <wps:wsp>
                        <wps:cNvPr id="21435" name="Rectangle 21435"/>
                        <wps:cNvSpPr/>
                        <wps:spPr>
                          <a:xfrm rot="-10799999">
                            <a:off x="-207470" y="1433436"/>
                            <a:ext cx="4199754" cy="142889"/>
                          </a:xfrm>
                          <a:prstGeom prst="rect">
                            <a:avLst/>
                          </a:prstGeom>
                          <a:ln>
                            <a:noFill/>
                          </a:ln>
                        </wps:spPr>
                        <wps:txbx>
                          <w:txbxContent>
                            <w:p w14:paraId="4C7658D8" w14:textId="77777777" w:rsidR="00B32EF2" w:rsidRDefault="00000000">
                              <w:r>
                                <w:rPr>
                                  <w:rFonts w:ascii="Arial" w:eastAsia="Arial" w:hAnsi="Arial" w:cs="Arial"/>
                                  <w:sz w:val="18"/>
                                </w:rPr>
                                <w:t>p) delibera su ogni altra materia ad esso attribuita dalla legge.</w:t>
                              </w:r>
                            </w:p>
                          </w:txbxContent>
                        </wps:txbx>
                        <wps:bodyPr horzOverflow="overflow" vert="horz" lIns="0" tIns="0" rIns="0" bIns="0" rtlCol="0">
                          <a:noAutofit/>
                        </wps:bodyPr>
                      </wps:wsp>
                      <wps:wsp>
                        <wps:cNvPr id="202165" name="Rectangle 202165"/>
                        <wps:cNvSpPr/>
                        <wps:spPr>
                          <a:xfrm rot="-10799999">
                            <a:off x="-1282785" y="1310106"/>
                            <a:ext cx="5210512" cy="142889"/>
                          </a:xfrm>
                          <a:prstGeom prst="rect">
                            <a:avLst/>
                          </a:prstGeom>
                          <a:ln>
                            <a:noFill/>
                          </a:ln>
                        </wps:spPr>
                        <wps:txbx>
                          <w:txbxContent>
                            <w:p w14:paraId="3F156B41" w14:textId="77777777" w:rsidR="00B32EF2" w:rsidRDefault="00000000">
                              <w:r>
                                <w:rPr>
                                  <w:rFonts w:ascii="Arial" w:eastAsia="Arial" w:hAnsi="Arial" w:cs="Arial"/>
                                  <w:sz w:val="18"/>
                                </w:rPr>
                                <w:t>. Il Consiglio di presidenza vigila sul funzionamento dell’attività giurisdizio</w:t>
                              </w:r>
                            </w:p>
                          </w:txbxContent>
                        </wps:txbx>
                        <wps:bodyPr horzOverflow="overflow" vert="horz" lIns="0" tIns="0" rIns="0" bIns="0" rtlCol="0">
                          <a:noAutofit/>
                        </wps:bodyPr>
                      </wps:wsp>
                      <wps:wsp>
                        <wps:cNvPr id="202164" name="Rectangle 202164"/>
                        <wps:cNvSpPr/>
                        <wps:spPr>
                          <a:xfrm rot="-10799999">
                            <a:off x="2635898" y="1310107"/>
                            <a:ext cx="5210512" cy="142889"/>
                          </a:xfrm>
                          <a:prstGeom prst="rect">
                            <a:avLst/>
                          </a:prstGeom>
                          <a:ln>
                            <a:noFill/>
                          </a:ln>
                        </wps:spPr>
                        <wps:txbx>
                          <w:txbxContent>
                            <w:p w14:paraId="77AA2789"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1437" name="Rectangle 21437"/>
                        <wps:cNvSpPr/>
                        <wps:spPr>
                          <a:xfrm rot="-10799999">
                            <a:off x="19684" y="1310107"/>
                            <a:ext cx="50622" cy="142889"/>
                          </a:xfrm>
                          <a:prstGeom prst="rect">
                            <a:avLst/>
                          </a:prstGeom>
                          <a:ln>
                            <a:noFill/>
                          </a:ln>
                        </wps:spPr>
                        <wps:txbx>
                          <w:txbxContent>
                            <w:p w14:paraId="1D0189E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438" name="Rectangle 21438"/>
                        <wps:cNvSpPr/>
                        <wps:spPr>
                          <a:xfrm rot="-10799999">
                            <a:off x="-1316707" y="1186776"/>
                            <a:ext cx="5308990" cy="142890"/>
                          </a:xfrm>
                          <a:prstGeom prst="rect">
                            <a:avLst/>
                          </a:prstGeom>
                          <a:ln>
                            <a:noFill/>
                          </a:ln>
                        </wps:spPr>
                        <wps:txbx>
                          <w:txbxContent>
                            <w:p w14:paraId="7F895000" w14:textId="77777777" w:rsidR="00B32EF2" w:rsidRDefault="00000000">
                              <w:r>
                                <w:rPr>
                                  <w:rFonts w:ascii="Arial" w:eastAsia="Arial" w:hAnsi="Arial" w:cs="Arial"/>
                                  <w:sz w:val="18"/>
                                </w:rPr>
                                <w:t xml:space="preserve">nale delle corti di giustizia tributaria di primo e secondo grado e può disporre </w:t>
                              </w:r>
                            </w:p>
                          </w:txbxContent>
                        </wps:txbx>
                        <wps:bodyPr horzOverflow="overflow" vert="horz" lIns="0" tIns="0" rIns="0" bIns="0" rtlCol="0">
                          <a:noAutofit/>
                        </wps:bodyPr>
                      </wps:wsp>
                      <wps:wsp>
                        <wps:cNvPr id="21439" name="Rectangle 21439"/>
                        <wps:cNvSpPr/>
                        <wps:spPr>
                          <a:xfrm rot="-10799999">
                            <a:off x="756238" y="1063447"/>
                            <a:ext cx="3236044" cy="142889"/>
                          </a:xfrm>
                          <a:prstGeom prst="rect">
                            <a:avLst/>
                          </a:prstGeom>
                          <a:ln>
                            <a:noFill/>
                          </a:ln>
                        </wps:spPr>
                        <wps:txbx>
                          <w:txbxContent>
                            <w:p w14:paraId="0F9F0D5D" w14:textId="77777777" w:rsidR="00B32EF2" w:rsidRDefault="00000000">
                              <w:r>
                                <w:rPr>
                                  <w:rFonts w:ascii="Arial" w:eastAsia="Arial" w:hAnsi="Arial" w:cs="Arial"/>
                                  <w:sz w:val="18"/>
                                </w:rPr>
                                <w:t>ispezioni nei confronti del personale giudicante.</w:t>
                              </w:r>
                            </w:p>
                          </w:txbxContent>
                        </wps:txbx>
                        <wps:bodyPr horzOverflow="overflow" vert="horz" lIns="0" tIns="0" rIns="0" bIns="0" rtlCol="0">
                          <a:noAutofit/>
                        </wps:bodyPr>
                      </wps:wsp>
                      <wps:wsp>
                        <wps:cNvPr id="202162" name="Rectangle 202162"/>
                        <wps:cNvSpPr/>
                        <wps:spPr>
                          <a:xfrm rot="-10799999">
                            <a:off x="2611467" y="940117"/>
                            <a:ext cx="5308975" cy="142889"/>
                          </a:xfrm>
                          <a:prstGeom prst="rect">
                            <a:avLst/>
                          </a:prstGeom>
                          <a:ln>
                            <a:noFill/>
                          </a:ln>
                        </wps:spPr>
                        <wps:txbx>
                          <w:txbxContent>
                            <w:p w14:paraId="4ACC6F62"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2163" name="Rectangle 202163"/>
                        <wps:cNvSpPr/>
                        <wps:spPr>
                          <a:xfrm rot="-10799999">
                            <a:off x="-1381215" y="940117"/>
                            <a:ext cx="5308975" cy="142889"/>
                          </a:xfrm>
                          <a:prstGeom prst="rect">
                            <a:avLst/>
                          </a:prstGeom>
                          <a:ln>
                            <a:noFill/>
                          </a:ln>
                        </wps:spPr>
                        <wps:txbx>
                          <w:txbxContent>
                            <w:p w14:paraId="048E855B" w14:textId="77777777" w:rsidR="00B32EF2" w:rsidRDefault="00000000">
                              <w:r>
                                <w:rPr>
                                  <w:rFonts w:ascii="Arial" w:eastAsia="Arial" w:hAnsi="Arial" w:cs="Arial"/>
                                  <w:sz w:val="18"/>
                                </w:rPr>
                                <w:t xml:space="preserve">. Al fine di garantire l’esercizio efficiente delle attribuzioni di cui al comma </w:t>
                              </w:r>
                            </w:p>
                          </w:txbxContent>
                        </wps:txbx>
                        <wps:bodyPr horzOverflow="overflow" vert="horz" lIns="0" tIns="0" rIns="0" bIns="0" rtlCol="0">
                          <a:noAutofit/>
                        </wps:bodyPr>
                      </wps:wsp>
                      <wps:wsp>
                        <wps:cNvPr id="202160" name="Rectangle 202160"/>
                        <wps:cNvSpPr/>
                        <wps:spPr>
                          <a:xfrm rot="-10799999">
                            <a:off x="2611452" y="816788"/>
                            <a:ext cx="5309036" cy="142889"/>
                          </a:xfrm>
                          <a:prstGeom prst="rect">
                            <a:avLst/>
                          </a:prstGeom>
                          <a:ln>
                            <a:noFill/>
                          </a:ln>
                        </wps:spPr>
                        <wps:txbx>
                          <w:txbxContent>
                            <w:p w14:paraId="62C7AD5D"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2161" name="Rectangle 202161"/>
                        <wps:cNvSpPr/>
                        <wps:spPr>
                          <a:xfrm rot="-10799999">
                            <a:off x="-1380635" y="816788"/>
                            <a:ext cx="5309036" cy="142889"/>
                          </a:xfrm>
                          <a:prstGeom prst="rect">
                            <a:avLst/>
                          </a:prstGeom>
                          <a:ln>
                            <a:noFill/>
                          </a:ln>
                        </wps:spPr>
                        <wps:txbx>
                          <w:txbxContent>
                            <w:p w14:paraId="7C82EB48" w14:textId="77777777" w:rsidR="00B32EF2" w:rsidRDefault="00000000">
                              <w:r>
                                <w:rPr>
                                  <w:rFonts w:ascii="Arial" w:eastAsia="Arial" w:hAnsi="Arial" w:cs="Arial"/>
                                  <w:sz w:val="18"/>
                                </w:rPr>
                                <w:t xml:space="preserve">, presso il Consiglio di presidenza è istituito, con carattere di autonomia e </w:t>
                              </w:r>
                            </w:p>
                          </w:txbxContent>
                        </wps:txbx>
                        <wps:bodyPr horzOverflow="overflow" vert="horz" lIns="0" tIns="0" rIns="0" bIns="0" rtlCol="0">
                          <a:noAutofit/>
                        </wps:bodyPr>
                      </wps:wsp>
                      <wps:wsp>
                        <wps:cNvPr id="21442" name="Rectangle 21442"/>
                        <wps:cNvSpPr/>
                        <wps:spPr>
                          <a:xfrm rot="-10799999">
                            <a:off x="-1316753" y="693458"/>
                            <a:ext cx="5309036" cy="142889"/>
                          </a:xfrm>
                          <a:prstGeom prst="rect">
                            <a:avLst/>
                          </a:prstGeom>
                          <a:ln>
                            <a:noFill/>
                          </a:ln>
                        </wps:spPr>
                        <wps:txbx>
                          <w:txbxContent>
                            <w:p w14:paraId="39D3A271" w14:textId="77777777" w:rsidR="00B32EF2" w:rsidRDefault="00000000">
                              <w:r>
                                <w:rPr>
                                  <w:rFonts w:ascii="Arial" w:eastAsia="Arial" w:hAnsi="Arial" w:cs="Arial"/>
                                  <w:sz w:val="18"/>
                                </w:rPr>
                                <w:t xml:space="preserve">indipendenza, l’ufficio ispettivo, a cui sono assegnati sei magistrati o giudici </w:t>
                              </w:r>
                            </w:p>
                          </w:txbxContent>
                        </wps:txbx>
                        <wps:bodyPr horzOverflow="overflow" vert="horz" lIns="0" tIns="0" rIns="0" bIns="0" rtlCol="0">
                          <a:noAutofit/>
                        </wps:bodyPr>
                      </wps:wsp>
                      <wps:wsp>
                        <wps:cNvPr id="21443" name="Rectangle 21443"/>
                        <wps:cNvSpPr/>
                        <wps:spPr>
                          <a:xfrm rot="-10799999">
                            <a:off x="-1317829" y="570128"/>
                            <a:ext cx="5311255" cy="142889"/>
                          </a:xfrm>
                          <a:prstGeom prst="rect">
                            <a:avLst/>
                          </a:prstGeom>
                          <a:ln>
                            <a:noFill/>
                          </a:ln>
                        </wps:spPr>
                        <wps:txbx>
                          <w:txbxContent>
                            <w:p w14:paraId="657A6ABB" w14:textId="77777777" w:rsidR="00B32EF2" w:rsidRDefault="00000000">
                              <w:r>
                                <w:rPr>
                                  <w:rFonts w:ascii="Arial" w:eastAsia="Arial" w:hAnsi="Arial" w:cs="Arial"/>
                                  <w:sz w:val="18"/>
                                </w:rPr>
                                <w:t xml:space="preserve">tributari, tra i quali è nominato un direttore. L’ufficio ispettivo può svolgere, col </w:t>
                              </w:r>
                            </w:p>
                          </w:txbxContent>
                        </wps:txbx>
                        <wps:bodyPr horzOverflow="overflow" vert="horz" lIns="0" tIns="0" rIns="0" bIns="0" rtlCol="0">
                          <a:noAutofit/>
                        </wps:bodyPr>
                      </wps:wsp>
                      <wps:wsp>
                        <wps:cNvPr id="21444" name="Rectangle 21444"/>
                        <wps:cNvSpPr/>
                        <wps:spPr>
                          <a:xfrm rot="-10799999">
                            <a:off x="-1316812" y="446798"/>
                            <a:ext cx="5309781" cy="142889"/>
                          </a:xfrm>
                          <a:prstGeom prst="rect">
                            <a:avLst/>
                          </a:prstGeom>
                          <a:ln>
                            <a:noFill/>
                          </a:ln>
                        </wps:spPr>
                        <wps:txbx>
                          <w:txbxContent>
                            <w:p w14:paraId="2EB60C82" w14:textId="77777777" w:rsidR="00B32EF2" w:rsidRDefault="00000000">
                              <w:r>
                                <w:rPr>
                                  <w:rFonts w:ascii="Arial" w:eastAsia="Arial" w:hAnsi="Arial" w:cs="Arial"/>
                                  <w:sz w:val="18"/>
                                </w:rPr>
                                <w:t xml:space="preserve">supporto del Dipartimento della giustizia tributaria del Ministero dell’economia </w:t>
                              </w:r>
                            </w:p>
                          </w:txbxContent>
                        </wps:txbx>
                        <wps:bodyPr horzOverflow="overflow" vert="horz" lIns="0" tIns="0" rIns="0" bIns="0" rtlCol="0">
                          <a:noAutofit/>
                        </wps:bodyPr>
                      </wps:wsp>
                    </wpg:wgp>
                  </a:graphicData>
                </a:graphic>
              </wp:inline>
            </w:drawing>
          </mc:Choice>
          <mc:Fallback>
            <w:pict>
              <v:group w14:anchorId="20C87687" id="Group 202176" o:spid="_x0000_s5760" style="width:314.35pt;height:493.15pt;mso-position-horizontal-relative:char;mso-position-vertical-relative:line" coordsize="39922,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CC5gkAAIR1AAAOAAAAZHJzL2Uyb0RvYy54bWzkXdlu4zYUfS/QfzD8njFXkTImUxRdBgWK&#10;tujyARrHTgzYliF5Jpl+fc8lZcpWWBSV2jAA58Hj0Iks8ejce+5C6u1XT/vd7NO6abf14XbO37D5&#10;bH1Y1Xfbw/3t/I/fv7+x81l7qg531a4+rG/nn9ft/Kt3X37x9vG4XIv6od7drZsZDnJol4/H2/nD&#10;6XRcLhbt6mG9r9o39XF9wIebutlXJ/zY3C/umuoRR9/vFoKxYvFYN3fHpl6t2xaj3/oP5+/c8Teb&#10;9er082bTrk+z3e0c53Zyr417/UCvi3dvq+V9Ux0ftqvuNKoRZ7Gvtgd8aTjUt9Wpmn1sts8Otd+u&#10;mrqtN6c3q3q/qDeb7WrtrgFXw9ngat439ceju5b75eP9MUwTpnYwT6MPu/rp0/vm+NvxlwYz8Xi8&#10;x1y4n+hanjbNnv7HWc6e3JR9DlO2fjrNVhiUZSmEFfPZCp8VohBWKz+pqwfM/LO/Wz189w9/uTh/&#10;8eLqdB6PuEHafg7aaXPw20N1XLupbZeYg1+a2fbudi64LOV8dqj2uFV/xc1THe5365kfdhPkfjtM&#10;V7tsMXPnuZo1Ne6vG85MSf/c/dDNHS8ZKwtwAbN0Uwj86CfpPI3cWFmUfhaFZoUq6PMwFdXy2LSn&#10;9+t6P6M3t/MG5+aOX336sT35Xz3/Cp3O7kCvh/r77W7nP6URzOj5jOnd6enDk7tspYWk76PBD/Xd&#10;Z8zGQ938+TN4vdnVj7fzuns3J6rj6+nT+Wz3wwEoEKvOb5rzmw/nN81p903tuOdP6OuPp3qzdWfc&#10;f1t3ZoDXn8P/jzMT3MSA9uPdVOC++PdI33BpOWc4OBGC87IsOkKcsdaS2dJ2YHMlrL8ZXhBsd0L9&#10;9OcANizUM1YT2OJ8348CWwBgBXxfMdb6fIF5EBsGXEegdsOTaG1xt8C1EdIanC7kgNXKlEpJ4024&#10;YzV/YRPuXEY+rAakRRzpMBGjOM01M9zg0IS0UWWJ97hzquXZflvOQPseaJhyfP6C5tvkRWkQj6RR&#10;zHxjfAqpBf5xAQFDUEO8drKrh5qX0IMWvpzULZH6xbG25wvMw3yTSwYeMawxPgXrG6GNsB2tHdbO&#10;M74mrMPNnA/WMKNRrJ3vJF82zoTzQht5ifXAhCfntQw3cx5Yw1kj+H0GtRuewmrY5MIUHdKaSckH&#10;SJdcmEtV9tIGXIY7OQ+gyVlDBD9D2o9PgboogHTnqyUyLNbJoEv7zQt3l6Xy1TLEkvlAHSM1QR1k&#10;yyj7LZgynOI40mV/j/VFsPXitM4vX0ZWNkrraeGWVFoK+Y9Y40ZLxuvM0mVcsZgEd8NTDDgyo/AN&#10;yDQ7WgtdQKSRpO9NODKjyJPjPksGdW7ZMsViChxQB9kyzoBr5MdER2oupRQDpF0sDfjTIR2sVh7O&#10;GpDGUuBueBKphSwRWXtOo8YFXXbNaSUk8qYwKMk4nVm6DJDGKltueBLSXHAruE+BK2uhxwdQa8GZ&#10;KlOSOsjObEgNOJ6JMkAdJMso881Rqr7EeWC8UZ8WXcU/RU5UZpYnA5zRkhYNTyK0RNcBqS1EWcoU&#10;8NIDPivJGUrV6Uw33EZ3gdnwORZk4QYIamUUn2+4QHeR6ihdQN8zx6EL5Y06iIJIS+alVRCc2UCN&#10;2Y6Z7iBXRkF9YbodzgNKJzbdKrMUGZgby5C54Ummm0Jpy30orTRHanRIaAqlU2oxlVmGDJjGitRu&#10;eArUSijXLEZOGsVoqQZAS42cCjUtpoqv4FYyc9I8nh7D8BSg4aS5tRzCmqAWhjE+gBrxFbnphFAH&#10;wZmLk6Y+n4iTxvAUqC+cdBTntPGV7z3OqJFMEeliKAe1MkqKuXx3UXaERp9oMez6dp3ABsFdMtsd&#10;xGY2hI7nxiClphBaMgRYXXjFhJSoU+NwfXiF3n6GVQEJgc4uM0aJyhing1oZz+lzDUsCVOY7eXqo&#10;k9ewvEDMynzH02M8qJVRUEuBYkZXmJbGFMbXxHqkYdpLnrAurYPezMZ4x7NjvudrdLegr0sj+UnC&#10;WxZaSuPkXY+047RI2PKtg97MBup4dowHwTKK0zeF5pbaAQlpoMp82rFHGot5oAYTVit10JzZIB3P&#10;kMGyTlFkjtRWQHIR1EigG4j8K01GpOaUQkslvnXQnNlAHc+Q+TzHaPstrNEl+mwd0sKijDVAmnN0&#10;hsKEpkM6iM5ckCYTGlHfGJ5M6sJ09psXjHlz2dtvkNqW1CWcjNRBdGYDdTxFBrk0DWpE1LprIZNM&#10;usbBa/uNXKil8koyqENRNhuo43kyNINMgbrPhnqcB9Y7ccnS96jmFE5Th27Mdge5Mkp6o0YlDPUB&#10;Qo8hbpa00cYVnznTpUaBOB2fg+LMhs/xHBlKTFP47OPprrFIGOroHkDtvDSS4emgdpW1rEgdz5HB&#10;wf53UNMKLfnaoPap+KygjmfJRJAro+y3ZaXVvllQaIWIegC0RHNw0g6yIgjObMx3PEfm11qMDqe7&#10;dKgPsgApClcDqClzgkV+6cx3EQRnNlDHk2QiSJZRnPZQdyuyhCgL45t5ruLptCuyvHTIynzHk2RI&#10;ZU7x1KheGQ0NQOobW58plEev1DeqXQi3E0bTfpe0nIBG5TgWZ/VbQ4zjdKk0KoMOaKbRvz8AGh2p&#10;BXKkCY13kJy5GG/KTUcC6n5riHFAu+W0tDkROM1L7IMBfl9x2vlpWradKkOG7+5sVjZQxzNk/dYQ&#10;E6Du6pbcMre29jnUSSVZKMxmA3U8TeYD4P9GfaPHHyt1YqxOCnUQndlAHc+T+S0gR0ONGJq5PQzJ&#10;fmu08XtzeSG+0V5EO5YlM99BcmYDdDxLhi6wzo+NM9+CGUXb2hHQCks4sDXZlfVW2CXY0OaiqZDu&#10;99bLA2naoigGtR+fhDWKksJYH2lBoWFT9wHYtEpeU8d5MrAzS5QRqDED7sengC3QVoKtvD2xHdZO&#10;BV1Y8ORYZ5cpI5UcC7aCPh1lwvsatef0EOe0K3Z8gjar3Ek8H+p3MBityLrKpU99c27RajQ03tRf&#10;dFm5fOm9+02ozebhqaGX4vnQfheQUYQ22O+5a/mGh5ZKDRiNPekKRjsmJPPSQXPmATR541jyxI9P&#10;89L0kAZP6hI7m/ke8gsnTZxOuQrPG5l8zDdBGkue+PEpUMOAYwU1Fv5QqPU6sQ46JB9ax+ochPW0&#10;ZmD37BX0/xLUFhtLWpeWuqJ1ib7RhBY8szwZQRqrdPjxqbSGk/a0fp1YZ5cqo07NSJzV7/AzSpZ5&#10;BY6VMcTqosTmwK+N1TZYrTwMOLYNi/lqNzyR09h+rlugpdGe4HtZLu0354JaFlIpcJtZngyQxtJk&#10;bngq0tisyntqBSU+3CKW6tQGs50O6VeTJXPPvMSjPt3zpLrHktKzRC9/dk9L7B+e+u4vAAAA//8D&#10;AFBLAwQUAAYACAAAACEABfCzbd0AAAAFAQAADwAAAGRycy9kb3ducmV2LnhtbEyPQUvDQBCF74L/&#10;YRnBm92kxZim2ZRS1FMRbAXxNs1Ok9DsbMhuk/Tfu3rRy8DjPd77Jl9PphUD9a6xrCCeRSCIS6sb&#10;rhR8HF4eUhDOI2tsLZOCKzlYF7c3OWbajvxOw95XIpSwy1BB7X2XSenKmgy6me2Ig3eyvUEfZF9J&#10;3eMYyk0r51GUSIMNh4UaO9rWVJ73F6PgdcRxs4ifh935tL1+HR7fPncxKXV/N21WIDxN/i8MP/gB&#10;HYrAdLQX1k60CsIj/vcGL5mnTyCOCpZpsgBZ5PI/ffENAAD//wMAUEsBAi0AFAAGAAgAAAAhALaD&#10;OJL+AAAA4QEAABMAAAAAAAAAAAAAAAAAAAAAAFtDb250ZW50X1R5cGVzXS54bWxQSwECLQAUAAYA&#10;CAAAACEAOP0h/9YAAACUAQAACwAAAAAAAAAAAAAAAAAvAQAAX3JlbHMvLnJlbHNQSwECLQAUAAYA&#10;CAAAACEADwggguYJAACEdQAADgAAAAAAAAAAAAAAAAAuAgAAZHJzL2Uyb0RvYy54bWxQSwECLQAU&#10;AAYACAAAACEABfCzbd0AAAAFAQAADwAAAAAAAAAAAAAAAABADAAAZHJzL2Rvd25yZXYueG1sUEsF&#10;BgAAAAAEAAQA8wAAAEoNAAAAAA==&#10;">
                <v:rect id="Rectangle 21393" o:spid="_x0000_s5761" style="position:absolute;left:19009;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aPAxgAAAN4AAAAPAAAAZHJzL2Rvd25yZXYueG1sRI9Ba8JA&#10;FITvgv9heUJvdaNCsdFVRBFz8KK10OMj+0yi2bdLdjWpv74rFDwOM/MNM192phZ3anxlWcFomIAg&#10;zq2uuFBw+tq+T0H4gKyxtkwKfsnDctHvzTHVtuUD3Y+hEBHCPkUFZQguldLnJRn0Q+uIo3e2jcEQ&#10;ZVNI3WAb4aaW4yT5kAYrjgslOlqXlF+PN6PgZ8Mu27YyPz/Wbn/JpvXudvpW6m3QrWYgAnXhFf5v&#10;Z1rBeDT5nMDzTrwCcvEHAAD//wMAUEsBAi0AFAAGAAgAAAAhANvh9svuAAAAhQEAABMAAAAAAAAA&#10;AAAAAAAAAAAAAFtDb250ZW50X1R5cGVzXS54bWxQSwECLQAUAAYACAAAACEAWvQsW78AAAAVAQAA&#10;CwAAAAAAAAAAAAAAAAAfAQAAX3JlbHMvLnJlbHNQSwECLQAUAAYACAAAACEAfJ2jwMYAAADeAAAA&#10;DwAAAAAAAAAAAAAAAAAHAgAAZHJzL2Rvd25yZXYueG1sUEsFBgAAAAADAAMAtwAAAPoCAAAAAA==&#10;" filled="f" stroked="f">
                  <v:textbox inset="0,0,0,0">
                    <w:txbxContent>
                      <w:p w14:paraId="208782FC" w14:textId="77777777" w:rsidR="00B32EF2" w:rsidRDefault="00000000">
                        <w:r>
                          <w:rPr>
                            <w:rFonts w:ascii="Times New Roman" w:eastAsia="Times New Roman" w:hAnsi="Times New Roman" w:cs="Times New Roman"/>
                          </w:rPr>
                          <w:t>34</w:t>
                        </w:r>
                      </w:p>
                    </w:txbxContent>
                  </v:textbox>
                </v:rect>
                <v:rect id="Rectangle 202173" o:spid="_x0000_s5762" style="position:absolute;left:-13811;top:61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qVIyAAAAN8AAAAPAAAAZHJzL2Rvd25yZXYueG1sRI9Pa8JA&#10;FMTvgt9heYI33ZiCldRVRJHm0Ev9Az0+ss8kbfbtkl1N7Kd3CwWPw8z8hlmue9OIG7W+tqxgNk1A&#10;EBdW11wqOB33kwUIH5A1NpZJwZ08rFfDwRIzbTv+pNshlCJC2GeooArBZVL6oiKDfmodcfQutjUY&#10;omxLqVvsItw0Mk2SuTRYc1yo0NG2ouLncDUKvnbs8n0ni8vv1n1854vm/Xo6KzUe9Zs3EIH68Az/&#10;t3OtIE3S2esL/P2JX0CuHgAAAP//AwBQSwECLQAUAAYACAAAACEA2+H2y+4AAACFAQAAEwAAAAAA&#10;AAAAAAAAAAAAAAAAW0NvbnRlbnRfVHlwZXNdLnhtbFBLAQItABQABgAIAAAAIQBa9CxbvwAAABUB&#10;AAALAAAAAAAAAAAAAAAAAB8BAABfcmVscy8ucmVsc1BLAQItABQABgAIAAAAIQAQ6qVIyAAAAN8A&#10;AAAPAAAAAAAAAAAAAAAAAAcCAABkcnMvZG93bnJldi54bWxQSwUGAAAAAAMAAwC3AAAA/AIAAAAA&#10;" filled="f" stroked="f">
                  <v:textbox inset="0,0,0,0">
                    <w:txbxContent>
                      <w:p w14:paraId="0FE74846" w14:textId="77777777" w:rsidR="00B32EF2" w:rsidRDefault="00000000">
                        <w:r>
                          <w:rPr>
                            <w:rFonts w:ascii="Arial" w:eastAsia="Arial" w:hAnsi="Arial" w:cs="Arial"/>
                            <w:sz w:val="18"/>
                          </w:rPr>
                          <w:t xml:space="preserve">. Il Consiglio di presidenza scade al termine del quadriennio e continua ad </w:t>
                        </w:r>
                      </w:p>
                    </w:txbxContent>
                  </v:textbox>
                </v:rect>
                <v:rect id="Rectangle 202172" o:spid="_x0000_s5763" style="position:absolute;left:26114;top:611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DTxwAAAN8AAAAPAAAAZHJzL2Rvd25yZXYueG1sRI9Ba8JA&#10;FITvgv9heYI33ZiDlegqoog5eKm10OMj+0yi2bdLdjWxv75bKPQ4zMw3zGrTm0Y8qfW1ZQWzaQKC&#10;uLC65lLB5eMwWYDwAVljY5kUvMjDZj0crDDTtuN3ep5DKSKEfYYKqhBcJqUvKjLop9YRR+9qW4Mh&#10;yraUusUuwk0j0ySZS4M1x4UKHe0qKu7nh1HwtWeXHzpZXL937nTLF83xcflUajzqt0sQgfrwH/5r&#10;51pBmqSztxR+/8QvINc/AAAA//8DAFBLAQItABQABgAIAAAAIQDb4fbL7gAAAIUBAAATAAAAAAAA&#10;AAAAAAAAAAAAAABbQ29udGVudF9UeXBlc10ueG1sUEsBAi0AFAAGAAgAAAAhAFr0LFu/AAAAFQEA&#10;AAsAAAAAAAAAAAAAAAAAHwEAAF9yZWxzLy5yZWxzUEsBAi0AFAAGAAgAAAAhAH+mANPHAAAA3wAA&#10;AA8AAAAAAAAAAAAAAAAABwIAAGRycy9kb3ducmV2LnhtbFBLBQYAAAAAAwADALcAAAD7AgAAAAA=&#10;" filled="f" stroked="f">
                  <v:textbox inset="0,0,0,0">
                    <w:txbxContent>
                      <w:p w14:paraId="59E89D87" w14:textId="77777777" w:rsidR="00B32EF2" w:rsidRDefault="00000000">
                        <w:r>
                          <w:rPr>
                            <w:rFonts w:ascii="Arial" w:eastAsia="Arial" w:hAnsi="Arial" w:cs="Arial"/>
                            <w:sz w:val="18"/>
                          </w:rPr>
                          <w:t>5</w:t>
                        </w:r>
                      </w:p>
                    </w:txbxContent>
                  </v:textbox>
                </v:rect>
                <v:rect id="Rectangle 21395" o:spid="_x0000_s5764" style="position:absolute;left:-8021;top:59966;width:479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J4vxwAAAN4AAAAPAAAAZHJzL2Rvd25yZXYueG1sRI9Pa8JA&#10;FMTvgt9heUJvutGi2NRVikXMoRf/FHp8ZJ9J2uzbJbua6KfvCoLHYWZ+wyxWnanFhRpfWVYwHiUg&#10;iHOrKy4UHA+b4RyED8gaa8uk4EoeVst+b4Gpti3v6LIPhYgQ9ikqKENwqZQ+L8mgH1lHHL2TbQyG&#10;KJtC6gbbCDe1nCTJTBqsOC6U6GhdUv63PxsFP5/ssk0r89Nt7b5+s3m9PR+/lXoZdB/vIAJ14Rl+&#10;tDOtYDJ+fZvC/U68AnL5DwAA//8DAFBLAQItABQABgAIAAAAIQDb4fbL7gAAAIUBAAATAAAAAAAA&#10;AAAAAAAAAAAAAABbQ29udGVudF9UeXBlc10ueG1sUEsBAi0AFAAGAAgAAAAhAFr0LFu/AAAAFQEA&#10;AAsAAAAAAAAAAAAAAAAAHwEAAF9yZWxzLy5yZWxzUEsBAi0AFAAGAAgAAAAhAJw4ni/HAAAA3gAA&#10;AA8AAAAAAAAAAAAAAAAABwIAAGRycy9kb3ducmV2LnhtbFBLBQYAAAAAAwADALcAAAD7AgAAAAA=&#10;" filled="f" stroked="f">
                  <v:textbox inset="0,0,0,0">
                    <w:txbxContent>
                      <w:p w14:paraId="57B401E2" w14:textId="77777777" w:rsidR="00B32EF2" w:rsidRDefault="00000000">
                        <w:r>
                          <w:rPr>
                            <w:rFonts w:ascii="Arial" w:eastAsia="Arial" w:hAnsi="Arial" w:cs="Arial"/>
                            <w:sz w:val="18"/>
                          </w:rPr>
                          <w:t>esercitare le proprie funzioni fino all’insediamento del nuovo Consiglio.</w:t>
                        </w:r>
                      </w:p>
                    </w:txbxContent>
                  </v:textbox>
                </v:rect>
                <v:rect id="Rectangle 21396" o:spid="_x0000_s5765" style="position:absolute;left:15071;top:57499;width:81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gBYxwAAAN4AAAAPAAAAZHJzL2Rvd25yZXYueG1sRI9Ba8JA&#10;FITvgv9heYI33aggNrpKsUhz8FKbQo+P7DOJzb5dsqtJ++vdguBxmJlvmM2uN424Uetrywpm0wQE&#10;cWF1zaWC/PMwWYHwAVljY5kU/JKH3XY42GCqbccfdDuFUkQI+xQVVCG4VEpfVGTQT60jjt7ZtgZD&#10;lG0pdYtdhJtGzpNkKQ3WHBcqdLSvqPg5XY2C7zd22aGTxflv746XbNW8X/Mvpcaj/nUNIlAfnuFH&#10;O9MK5rPFyxL+78QrILd3AAAA//8DAFBLAQItABQABgAIAAAAIQDb4fbL7gAAAIUBAAATAAAAAAAA&#10;AAAAAAAAAAAAAABbQ29udGVudF9UeXBlc10ueG1sUEsBAi0AFAAGAAgAAAAhAFr0LFu/AAAAFQEA&#10;AAsAAAAAAAAAAAAAAAAAHwEAAF9yZWxzLy5yZWxzUEsBAi0AFAAGAAgAAAAhAGzqAFjHAAAA3gAA&#10;AA8AAAAAAAAAAAAAAAAABwIAAGRycy9kb3ducmV2LnhtbFBLBQYAAAAAAwADALcAAAD7AgAAAAA=&#10;" filled="f" stroked="f">
                  <v:textbox inset="0,0,0,0">
                    <w:txbxContent>
                      <w:p w14:paraId="6A3FD4E7" w14:textId="77777777" w:rsidR="00B32EF2" w:rsidRDefault="00000000">
                        <w:r>
                          <w:rPr>
                            <w:rFonts w:ascii="Arial" w:eastAsia="Arial" w:hAnsi="Arial" w:cs="Arial"/>
                            <w:b/>
                            <w:sz w:val="18"/>
                          </w:rPr>
                          <w:t>Articolo 30</w:t>
                        </w:r>
                      </w:p>
                    </w:txbxContent>
                  </v:textbox>
                </v:rect>
                <v:rect id="Rectangle 202169" o:spid="_x0000_s5766" style="position:absolute;left:22221;top:56266;width:193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wR/xwAAAN8AAAAPAAAAZHJzL2Rvd25yZXYueG1sRI9Pi8Iw&#10;FMTvgt8hPGFvmtqDaDWKKLI97GX9Ax4fzbOtNi+hiba7n36zsLDHYWZ+w6w2vWnEi1pfW1YwnSQg&#10;iAuray4VnE+H8RyED8gaG8uk4Is8bNbDwQozbTv+pNcxlCJC2GeooArBZVL6oiKDfmIdcfRutjUY&#10;omxLqVvsItw0Mk2SmTRYc1yo0NGuouJxfBoF1z27/NDJ4va9cx/3fN68P88Xpd5G/XYJIlAf/sN/&#10;7VwrSJN0OlvA75/4BeT6BwAA//8DAFBLAQItABQABgAIAAAAIQDb4fbL7gAAAIUBAAATAAAAAAAA&#10;AAAAAAAAAAAAAABbQ29udGVudF9UeXBlc10ueG1sUEsBAi0AFAAGAAgAAAAhAFr0LFu/AAAAFQEA&#10;AAsAAAAAAAAAAAAAAAAAHwEAAF9yZWxzLy5yZWxzUEsBAi0AFAAGAAgAAAAhAPTbBH/HAAAA3wAA&#10;AA8AAAAAAAAAAAAAAAAABwIAAGRycy9kb3ducmV2LnhtbFBLBQYAAAAAAwADALcAAAD7AgAAAAA=&#10;" filled="f" stroked="f">
                  <v:textbox inset="0,0,0,0">
                    <w:txbxContent>
                      <w:p w14:paraId="40E9D9AC" w14:textId="77777777" w:rsidR="00B32EF2" w:rsidRDefault="00000000">
                        <w:r>
                          <w:rPr>
                            <w:rFonts w:ascii="Arial" w:eastAsia="Arial" w:hAnsi="Arial" w:cs="Arial"/>
                            <w:i/>
                            <w:sz w:val="18"/>
                          </w:rPr>
                          <w:t>(</w:t>
                        </w:r>
                      </w:p>
                    </w:txbxContent>
                  </v:textbox>
                </v:rect>
                <v:rect id="Rectangle 202170" o:spid="_x0000_s5767" style="position:absolute;left:-2572;top:56266;width:193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Ds/xQAAAN8AAAAPAAAAZHJzL2Rvd25yZXYueG1sRI/LisIw&#10;FIb3A75DOIK7MbWLGalGEUWmi9l4A5eH5thWm5PQRFvn6c1iwOXPf+ObL3vTiAe1vrasYDJOQBAX&#10;VtdcKjgetp9TED4ga2wsk4IneVguBh9zzLTteEePfShFHGGfoYIqBJdJ6YuKDPqxdcTRu9jWYIiy&#10;LaVusYvjppFpknxJgzXHhwodrSsqbvu7UXDesMu3nSwuf2v3e82nzc/9eFJqNOxXMxCB+vAO/7dz&#10;rSBN0sl3JIg8kQXk4gUAAP//AwBQSwECLQAUAAYACAAAACEA2+H2y+4AAACFAQAAEwAAAAAAAAAA&#10;AAAAAAAAAAAAW0NvbnRlbnRfVHlwZXNdLnhtbFBLAQItABQABgAIAAAAIQBa9CxbvwAAABUBAAAL&#10;AAAAAAAAAAAAAAAAAB8BAABfcmVscy8ucmVsc1BLAQItABQABgAIAAAAIQDgODs/xQAAAN8AAAAP&#10;AAAAAAAAAAAAAAAAAAcCAABkcnMvZG93bnJldi54bWxQSwUGAAAAAAMAAwC3AAAA+QIAAAAA&#10;" filled="f" stroked="f">
                  <v:textbox inset="0,0,0,0">
                    <w:txbxContent>
                      <w:p w14:paraId="36B1EE56" w14:textId="77777777" w:rsidR="00B32EF2" w:rsidRDefault="00000000">
                        <w:r>
                          <w:rPr>
                            <w:rFonts w:ascii="Arial" w:eastAsia="Arial" w:hAnsi="Arial" w:cs="Arial"/>
                            <w:i/>
                            <w:sz w:val="18"/>
                          </w:rPr>
                          <w:t>545/92)</w:t>
                        </w:r>
                      </w:p>
                    </w:txbxContent>
                  </v:textbox>
                </v:rect>
                <v:rect id="Rectangle 202171" o:spid="_x0000_s5768" style="position:absolute;left:11657;top:56266;width:193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6kxwAAAN8AAAAPAAAAZHJzL2Rvd25yZXYueG1sRI9Ba8JA&#10;FITvQv/D8gredJMcVFJXEUXMwYvWQo+P7DNJzb5dsquJ/fXdQqHHYWa+YZbrwbTiQZ1vLCtIpwkI&#10;4tLqhisFl/f9ZAHCB2SNrWVS8CQP69XLaIm5tj2f6HEOlYgQ9jkqqENwuZS+rMmgn1pHHL2r7QyG&#10;KLtK6g77CDetzJJkJg02HBdqdLStqbyd70bB545dse9lef3euuNXsWgP98uHUuPXYfMGItAQ/sN/&#10;7UIryJIsnafw+yd+Abn6AQAA//8DAFBLAQItABQABgAIAAAAIQDb4fbL7gAAAIUBAAATAAAAAAAA&#10;AAAAAAAAAAAAAABbQ29udGVudF9UeXBlc10ueG1sUEsBAi0AFAAGAAgAAAAhAFr0LFu/AAAAFQEA&#10;AAsAAAAAAAAAAAAAAAAAHwEAAF9yZWxzLy5yZWxzUEsBAi0AFAAGAAgAAAAhAI90nqTHAAAA3wAA&#10;AA8AAAAAAAAAAAAAAAAABwIAAGRycy9kb3ducmV2LnhtbFBLBQYAAAAAAwADALcAAAD7AgAAAAA=&#10;" filled="f" stroked="f">
                  <v:textbox inset="0,0,0,0">
                    <w:txbxContent>
                      <w:p w14:paraId="23497C2D" w14:textId="77777777" w:rsidR="00B32EF2" w:rsidRDefault="00000000">
                        <w:r>
                          <w:rPr>
                            <w:rFonts w:ascii="Arial" w:eastAsia="Arial" w:hAnsi="Arial" w:cs="Arial"/>
                            <w:i/>
                            <w:sz w:val="18"/>
                          </w:rPr>
                          <w:t xml:space="preserve">articolo 24 D.lgs. n. </w:t>
                        </w:r>
                      </w:p>
                    </w:txbxContent>
                  </v:textbox>
                </v:rect>
                <v:rect id="Rectangle 21398" o:spid="_x0000_s5769" style="position:absolute;left:14267;top:55033;width:9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TGxxQAAAN4AAAAPAAAAZHJzL2Rvd25yZXYueG1sRE/LasJA&#10;FN0X/IfhCt3ViRZKmjqKKGIW3TRVcHnJXJPUzJ0hM3m0X99ZFLo8nPd6O5lWDNT5xrKC5SIBQVxa&#10;3XCl4Px5fEpB+ICssbVMCr7Jw3Yze1hjpu3IHzQUoRIxhH2GCuoQXCalL2sy6BfWEUfuZjuDIcKu&#10;krrDMYabVq6S5EUabDg21OhoX1N5L3qj4Hpglx9HWd5+9u79K0/bU3++KPU4n3ZvIAJN4V/85861&#10;gtXy+TXujXfiFZCbXwAAAP//AwBQSwECLQAUAAYACAAAACEA2+H2y+4AAACFAQAAEwAAAAAAAAAA&#10;AAAAAAAAAAAAW0NvbnRlbnRfVHlwZXNdLnhtbFBLAQItABQABgAIAAAAIQBa9CxbvwAAABUBAAAL&#10;AAAAAAAAAAAAAAAAAB8BAABfcmVscy8ucmVsc1BLAQItABQABgAIAAAAIQByOTGxxQAAAN4AAAAP&#10;AAAAAAAAAAAAAAAAAAcCAABkcnMvZG93bnJldi54bWxQSwUGAAAAAAMAAwC3AAAA+QIAAAAA&#10;" filled="f" stroked="f">
                  <v:textbox inset="0,0,0,0">
                    <w:txbxContent>
                      <w:p w14:paraId="51DE442C" w14:textId="77777777" w:rsidR="00B32EF2" w:rsidRDefault="00000000">
                        <w:r>
                          <w:rPr>
                            <w:rFonts w:ascii="Arial" w:eastAsia="Arial" w:hAnsi="Arial" w:cs="Arial"/>
                            <w:b/>
                            <w:sz w:val="18"/>
                          </w:rPr>
                          <w:t xml:space="preserve">Attribuzioni </w:t>
                        </w:r>
                      </w:p>
                    </w:txbxContent>
                  </v:textbox>
                </v:rect>
                <v:rect id="Rectangle 202167" o:spid="_x0000_s5770" style="position:absolute;left:6667;top:53799;width:191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DWWyAAAAN8AAAAPAAAAZHJzL2Rvd25yZXYueG1sRI9La8Mw&#10;EITvhfwHsYXeGjk+pMGJHEpCqA+9NA/IcbHWj9ZaCUuJ3fz6qFDIcZiZb5jVejSduFLvW8sKZtME&#10;BHFpdcu1guNh97oA4QOyxs4yKfglD+t88rTCTNuBv+i6D7WIEPYZKmhCcJmUvmzIoJ9aRxy9yvYG&#10;Q5R9LXWPQ4SbTqZJMpcGW44LDTraNFT+7C9GwXnLrtgNsqxuG/f5XSy6j8vxpNTL8/i+BBFoDI/w&#10;f7vQCtIknc3f4O9P/AIyvwMAAP//AwBQSwECLQAUAAYACAAAACEA2+H2y+4AAACFAQAAEwAAAAAA&#10;AAAAAAAAAAAAAAAAW0NvbnRlbnRfVHlwZXNdLnhtbFBLAQItABQABgAIAAAAIQBa9CxbvwAAABUB&#10;AAALAAAAAAAAAAAAAAAAAB8BAABfcmVscy8ucmVsc1BLAQItABQABgAIAAAAIQDqCDWWyAAAAN8A&#10;AAAPAAAAAAAAAAAAAAAAAAcCAABkcnMvZG93bnJldi54bWxQSwUGAAAAAAMAAwC3AAAA/AIAAAAA&#10;" filled="f" stroked="f">
                  <v:textbox inset="0,0,0,0">
                    <w:txbxContent>
                      <w:p w14:paraId="6ECB4C0E" w14:textId="77777777" w:rsidR="00B32EF2" w:rsidRDefault="00000000">
                        <w:r>
                          <w:rPr>
                            <w:rFonts w:ascii="Arial" w:eastAsia="Arial" w:hAnsi="Arial" w:cs="Arial"/>
                            <w:sz w:val="18"/>
                          </w:rPr>
                          <w:t>:</w:t>
                        </w:r>
                      </w:p>
                    </w:txbxContent>
                  </v:textbox>
                </v:rect>
                <v:rect id="Rectangle 202168" o:spid="_x0000_s5771" style="position:absolute;left:20471;top:53799;width:191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6HkwwAAAN8AAAAPAAAAZHJzL2Rvd25yZXYueG1sRE9Ni8Iw&#10;EL0v+B/CCN7W1B5EqlFEEXvwoqvgcWjGttpMQhNt9ddvDgt7fLzvxao3jXhR62vLCibjBARxYXXN&#10;pYLzz+57BsIHZI2NZVLwJg+r5eBrgZm2HR/pdQqliCHsM1RQheAyKX1RkUE/to44cjfbGgwRtqXU&#10;LXYx3DQyTZKpNFhzbKjQ0aai4nF6GgXXLbt818ni9tm4wz2fNfvn+aLUaNiv5yAC9eFf/OfOtYI0&#10;SSfTODj+iV9ALn8BAAD//wMAUEsBAi0AFAAGAAgAAAAhANvh9svuAAAAhQEAABMAAAAAAAAAAAAA&#10;AAAAAAAAAFtDb250ZW50X1R5cGVzXS54bWxQSwECLQAUAAYACAAAACEAWvQsW78AAAAVAQAACwAA&#10;AAAAAAAAAAAAAAAfAQAAX3JlbHMvLnJlbHNQSwECLQAUAAYACAAAACEAm5eh5MMAAADfAAAADwAA&#10;AAAAAAAAAAAAAAAHAgAAZHJzL2Rvd25yZXYueG1sUEsFBgAAAAADAAMAtwAAAPcCAAAAAA==&#10;" filled="f" stroked="f">
                  <v:textbox inset="0,0,0,0">
                    <w:txbxContent>
                      <w:p w14:paraId="7577D00A" w14:textId="77777777" w:rsidR="00B32EF2" w:rsidRDefault="00000000">
                        <w:r>
                          <w:rPr>
                            <w:rFonts w:ascii="Arial" w:eastAsia="Arial" w:hAnsi="Arial" w:cs="Arial"/>
                            <w:sz w:val="18"/>
                          </w:rPr>
                          <w:t>. Il Consiglio di presidenza</w:t>
                        </w:r>
                      </w:p>
                    </w:txbxContent>
                  </v:textbox>
                </v:rect>
                <v:rect id="Rectangle 202166" o:spid="_x0000_s5772" style="position:absolute;left:34532;top:53799;width:191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JANxwAAAN8AAAAPAAAAZHJzL2Rvd25yZXYueG1sRI9Ba8JA&#10;FITvBf/D8oTe6sYcgkRXEUXMoZeqhR4f2WcSzb5dsquJ/vpuoeBxmJlvmMVqMK24U+cbywqmkwQE&#10;cWl1w5WC03H3MQPhA7LG1jIpeJCH1XL0tsBc256/6H4IlYgQ9jkqqENwuZS+rMmgn1hHHL2z7QyG&#10;KLtK6g77CDetTJMkkwYbjgs1OtrUVF4PN6PgZ8uu2PWyPD837vNSzNr97fSt1Pt4WM9BBBrCK/zf&#10;LrSCNEmnWQZ/f+IXkMtfAAAA//8DAFBLAQItABQABgAIAAAAIQDb4fbL7gAAAIUBAAATAAAAAAAA&#10;AAAAAAAAAAAAAABbQ29udGVudF9UeXBlc10ueG1sUEsBAi0AFAAGAAgAAAAhAFr0LFu/AAAAFQEA&#10;AAsAAAAAAAAAAAAAAAAAHwEAAF9yZWxzLy5yZWxzUEsBAi0AFAAGAAgAAAAhAIVEkA3HAAAA3wAA&#10;AA8AAAAAAAAAAAAAAAAABwIAAGRycy9kb3ducmV2LnhtbFBLBQYAAAAAAwADALcAAAD7AgAAAAA=&#10;" filled="f" stroked="f">
                  <v:textbox inset="0,0,0,0">
                    <w:txbxContent>
                      <w:p w14:paraId="73B7100A" w14:textId="77777777" w:rsidR="00B32EF2" w:rsidRDefault="00000000">
                        <w:r>
                          <w:rPr>
                            <w:rFonts w:ascii="Arial" w:eastAsia="Arial" w:hAnsi="Arial" w:cs="Arial"/>
                            <w:sz w:val="18"/>
                          </w:rPr>
                          <w:t>1</w:t>
                        </w:r>
                      </w:p>
                    </w:txbxContent>
                  </v:textbox>
                </v:rect>
                <v:rect id="Rectangle 21400" o:spid="_x0000_s5773" style="position:absolute;left:-13167;top:525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2VVxAAAAN4AAAAPAAAAZHJzL2Rvd25yZXYueG1sRI/NisIw&#10;FIX3wrxDuMLsNFVEpGMUcRC7mI1aYZaX5tpWm5vQRNuZpzcLweXh/PEt171pxINaX1tWMBknIIgL&#10;q2suFeSn3WgBwgdkjY1lUvBHHtarj8ESU207PtDjGEoRR9inqKAKwaVS+qIig35sHXH0LrY1GKJs&#10;S6lb7OK4aeQ0SebSYM3xoUJH24qK2/FuFPx+s8t2nSwu/1v3c80Wzf6en5X6HPabLxCB+vAOv9qZ&#10;VjCdzJIIEHEiCsjVEwAA//8DAFBLAQItABQABgAIAAAAIQDb4fbL7gAAAIUBAAATAAAAAAAAAAAA&#10;AAAAAAAAAABbQ29udGVudF9UeXBlc10ueG1sUEsBAi0AFAAGAAgAAAAhAFr0LFu/AAAAFQEAAAsA&#10;AAAAAAAAAAAAAAAAHwEAAF9yZWxzLy5yZWxzUEsBAi0AFAAGAAgAAAAhAKTvZVXEAAAA3gAAAA8A&#10;AAAAAAAAAAAAAAAABwIAAGRycy9kb3ducmV2LnhtbFBLBQYAAAAAAwADALcAAAD4AgAAAAA=&#10;" filled="f" stroked="f">
                  <v:textbox inset="0,0,0,0">
                    <w:txbxContent>
                      <w:p w14:paraId="050AD6C5" w14:textId="77777777" w:rsidR="00B32EF2" w:rsidRDefault="00000000">
                        <w:r>
                          <w:rPr>
                            <w:rFonts w:ascii="Arial" w:eastAsia="Arial" w:hAnsi="Arial" w:cs="Arial"/>
                            <w:sz w:val="18"/>
                          </w:rPr>
                          <w:t xml:space="preserve">a) verifica i titoli di ammissione dei propri componenti e decide sui reclami </w:t>
                        </w:r>
                      </w:p>
                    </w:txbxContent>
                  </v:textbox>
                </v:rect>
                <v:rect id="Rectangle 21401" o:spid="_x0000_s5774" style="position:absolute;left:25634;top:51333;width:142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8DOxgAAAN4AAAAPAAAAZHJzL2Rvd25yZXYueG1sRI9Ba8JA&#10;FITvBf/D8oTe6iZSRFJXEUXMoRdtBI+P7DNJzb5dsqtJ++u7gtDjMDPfMIvVYFpxp843lhWkkwQE&#10;cWl1w5WC4mv3NgfhA7LG1jIp+CEPq+XoZYGZtj0f6H4MlYgQ9hkqqENwmZS+rMmgn1hHHL2L7QyG&#10;KLtK6g77CDetnCbJTBpsOC7U6GhTU3k93oyC85ZdvutlefnduM/vfN7ub8VJqdfxsP4AEWgI/+Fn&#10;O9cKpul7ksLjTrwCcvkHAAD//wMAUEsBAi0AFAAGAAgAAAAhANvh9svuAAAAhQEAABMAAAAAAAAA&#10;AAAAAAAAAAAAAFtDb250ZW50X1R5cGVzXS54bWxQSwECLQAUAAYACAAAACEAWvQsW78AAAAVAQAA&#10;CwAAAAAAAAAAAAAAAAAfAQAAX3JlbHMvLnJlbHNQSwECLQAUAAYACAAAACEAy6PAzsYAAADeAAAA&#10;DwAAAAAAAAAAAAAAAAAHAgAAZHJzL2Rvd25yZXYueG1sUEsFBgAAAAADAAMAtwAAAPoCAAAAAA==&#10;" filled="f" stroked="f">
                  <v:textbox inset="0,0,0,0">
                    <w:txbxContent>
                      <w:p w14:paraId="5DEDCC12" w14:textId="77777777" w:rsidR="00B32EF2" w:rsidRDefault="00000000">
                        <w:r>
                          <w:rPr>
                            <w:rFonts w:ascii="Arial" w:eastAsia="Arial" w:hAnsi="Arial" w:cs="Arial"/>
                            <w:sz w:val="18"/>
                          </w:rPr>
                          <w:t>attinenti alle elezioni;</w:t>
                        </w:r>
                      </w:p>
                    </w:txbxContent>
                  </v:textbox>
                </v:rect>
                <v:rect id="Rectangle 21402" o:spid="_x0000_s5775" style="position:absolute;left:-2392;top:50099;width:423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V65xgAAAN4AAAAPAAAAZHJzL2Rvd25yZXYueG1sRI9Ba8JA&#10;FITvBf/D8oTe6sZQRFJXEUXMoRdtBI+P7DNJzb5dsqtJ++u7gtDjMDPfMIvVYFpxp843lhVMJwkI&#10;4tLqhisFxdfubQ7CB2SNrWVS8EMeVsvRywIzbXs+0P0YKhEh7DNUUIfgMil9WZNBP7GOOHoX2xkM&#10;UXaV1B32EW5amSbJTBpsOC7U6GhTU3k93oyC85ZdvutlefnduM/vfN7ub8VJqdfxsP4AEWgI/+Fn&#10;O9cK0ul7ksLjTrwCcvkHAAD//wMAUEsBAi0AFAAGAAgAAAAhANvh9svuAAAAhQEAABMAAAAAAAAA&#10;AAAAAAAAAAAAAFtDb250ZW50X1R5cGVzXS54bWxQSwECLQAUAAYACAAAACEAWvQsW78AAAAVAQAA&#10;CwAAAAAAAAAAAAAAAAAfAQAAX3JlbHMvLnJlbHNQSwECLQAUAAYACAAAACEAO3FeucYAAADeAAAA&#10;DwAAAAAAAAAAAAAAAAAHAgAAZHJzL2Rvd25yZXYueG1sUEsFBgAAAAADAAMAtwAAAPoCAAAAAA==&#10;" filled="f" stroked="f">
                  <v:textbox inset="0,0,0,0">
                    <w:txbxContent>
                      <w:p w14:paraId="44C8A128" w14:textId="77777777" w:rsidR="00B32EF2" w:rsidRDefault="00000000">
                        <w:r>
                          <w:rPr>
                            <w:rFonts w:ascii="Arial" w:eastAsia="Arial" w:hAnsi="Arial" w:cs="Arial"/>
                            <w:sz w:val="18"/>
                          </w:rPr>
                          <w:t>b) disciplina con regolamento interno il proprio funzionamento;</w:t>
                        </w:r>
                      </w:p>
                    </w:txbxContent>
                  </v:textbox>
                </v:rect>
                <v:rect id="Rectangle 21403" o:spid="_x0000_s5776" style="position:absolute;left:-12182;top:48866;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fsixgAAAN4AAAAPAAAAZHJzL2Rvd25yZXYueG1sRI9Ba8JA&#10;FITvBf/D8gre6kYrRaKrFEWagxetBY+P7DOJZt8u2dVEf70rFDwOM/MNM1t0phZXanxlWcFwkIAg&#10;zq2uuFCw/11/TED4gKyxtkwKbuRhMe+9zTDVtuUtXXehEBHCPkUFZQguldLnJRn0A+uIo3e0jcEQ&#10;ZVNI3WAb4aaWoyT5kgYrjgslOlqWlJ93F6PgsGKXrVuZH+9Ltzllk/rnsv9Tqv/efU9BBOrCK/zf&#10;zrSC0XCcfMLzTrwCcv4AAAD//wMAUEsBAi0AFAAGAAgAAAAhANvh9svuAAAAhQEAABMAAAAAAAAA&#10;AAAAAAAAAAAAAFtDb250ZW50X1R5cGVzXS54bWxQSwECLQAUAAYACAAAACEAWvQsW78AAAAVAQAA&#10;CwAAAAAAAAAAAAAAAAAfAQAAX3JlbHMvLnJlbHNQSwECLQAUAAYACAAAACEAVD37IsYAAADeAAAA&#10;DwAAAAAAAAAAAAAAAAAHAgAAZHJzL2Rvd25yZXYueG1sUEsFBgAAAAADAAMAtwAAAPoCAAAAAA==&#10;" filled="f" stroked="f">
                  <v:textbox inset="0,0,0,0">
                    <w:txbxContent>
                      <w:p w14:paraId="7C1F126A" w14:textId="77777777" w:rsidR="00B32EF2" w:rsidRDefault="00000000">
                        <w:r>
                          <w:rPr>
                            <w:rFonts w:ascii="Arial" w:eastAsia="Arial" w:hAnsi="Arial" w:cs="Arial"/>
                            <w:sz w:val="18"/>
                          </w:rPr>
                          <w:t>c) delibera sulle nomine e su ogni altro provvedimento riguardante i compo</w:t>
                        </w:r>
                      </w:p>
                    </w:txbxContent>
                  </v:textbox>
                </v:rect>
                <v:rect id="Rectangle 21404" o:spid="_x0000_s5777" style="position:absolute;left:196;top:48866;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GNWxQAAAN4AAAAPAAAAZHJzL2Rvd25yZXYueG1sRI9Bi8Iw&#10;FITvgv8hPGFvmioiUo0iimwPXnQVPD6aZ1ttXkITbd1fv1lY2OMwM98wy3VnavGixleWFYxHCQji&#10;3OqKCwXnr/1wDsIHZI21ZVLwJg/rVb+3xFTblo/0OoVCRAj7FBWUIbhUSp+XZNCPrCOO3s02BkOU&#10;TSF1g22Em1pOkmQmDVYcF0p0tC0pf5yeRsF1xy7btzK/fW/d4Z7N68/n+aLUx6DbLEAE6sJ/+K+d&#10;aQWT8TSZwu+deAXk6gcAAP//AwBQSwECLQAUAAYACAAAACEA2+H2y+4AAACFAQAAEwAAAAAAAAAA&#10;AAAAAAAAAAAAW0NvbnRlbnRfVHlwZXNdLnhtbFBLAQItABQABgAIAAAAIQBa9CxbvwAAABUBAAAL&#10;AAAAAAAAAAAAAAAAAB8BAABfcmVscy8ucmVsc1BLAQItABQABgAIAAAAIQDb1GNWxQAAAN4AAAAP&#10;AAAAAAAAAAAAAAAAAAcCAABkcnMvZG93bnJldi54bWxQSwUGAAAAAAMAAwC3AAAA+QIAAAAA&#10;" filled="f" stroked="f">
                  <v:textbox inset="0,0,0,0">
                    <w:txbxContent>
                      <w:p w14:paraId="0F014964" w14:textId="77777777" w:rsidR="00B32EF2" w:rsidRDefault="00000000">
                        <w:r>
                          <w:rPr>
                            <w:rFonts w:ascii="Arial" w:eastAsia="Arial" w:hAnsi="Arial" w:cs="Arial"/>
                            <w:sz w:val="18"/>
                          </w:rPr>
                          <w:t>-</w:t>
                        </w:r>
                      </w:p>
                    </w:txbxContent>
                  </v:textbox>
                </v:rect>
                <v:rect id="Rectangle 21405" o:spid="_x0000_s5778" style="position:absolute;left:-3178;top:47633;width:431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MbNxgAAAN4AAAAPAAAAZHJzL2Rvd25yZXYueG1sRI9Ba8JA&#10;FITvBf/D8gre6kapRaKrFEWagxetBY+P7DOJZt8u2dVEf70rFDwOM/MNM1t0phZXanxlWcFwkIAg&#10;zq2uuFCw/11/TED4gKyxtkwKbuRhMe+9zTDVtuUtXXehEBHCPkUFZQguldLnJRn0A+uIo3e0jcEQ&#10;ZVNI3WAb4aaWoyT5kgYrjgslOlqWlJ93F6PgsGKXrVuZH+9Ltzllk/rnsv9Tqv/efU9BBOrCK/zf&#10;zrSC0fAzGcPzTrwCcv4AAAD//wMAUEsBAi0AFAAGAAgAAAAhANvh9svuAAAAhQEAABMAAAAAAAAA&#10;AAAAAAAAAAAAAFtDb250ZW50X1R5cGVzXS54bWxQSwECLQAUAAYACAAAACEAWvQsW78AAAAVAQAA&#10;CwAAAAAAAAAAAAAAAAAfAQAAX3JlbHMvLnJlbHNQSwECLQAUAAYACAAAACEAtJjGzcYAAADeAAAA&#10;DwAAAAAAAAAAAAAAAAAHAgAAZHJzL2Rvd25yZXYueG1sUEsFBgAAAAADAAMAtwAAAPoCAAAAAA==&#10;" filled="f" stroked="f">
                  <v:textbox inset="0,0,0,0">
                    <w:txbxContent>
                      <w:p w14:paraId="41B1394B" w14:textId="77777777" w:rsidR="00B32EF2" w:rsidRDefault="00000000">
                        <w:r>
                          <w:rPr>
                            <w:rFonts w:ascii="Arial" w:eastAsia="Arial" w:hAnsi="Arial" w:cs="Arial"/>
                            <w:sz w:val="18"/>
                          </w:rPr>
                          <w:t xml:space="preserve">nenti delle corti di giustizia tributaria di primo e secondo grado; </w:t>
                        </w:r>
                      </w:p>
                    </w:txbxContent>
                  </v:textbox>
                </v:rect>
                <v:rect id="Rectangle 21406" o:spid="_x0000_s5779" style="position:absolute;left:-12201;top:46400;width:5212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li6xQAAAN4AAAAPAAAAZHJzL2Rvd25yZXYueG1sRI9Bi8Iw&#10;FITvC/6H8ARva6osItUoosj2sBddBY+P5tlWm5fQRFv31xtB2OMwM98w82VnanGnxleWFYyGCQji&#10;3OqKCwWH3+3nFIQPyBpry6TgQR6Wi97HHFNtW97RfR8KESHsU1RQhuBSKX1ekkE/tI44emfbGAxR&#10;NoXUDbYRbmo5TpKJNFhxXCjR0bqk/Lq/GQWnDbts28r8/Ld2P5dsWn/fDkelBv1uNQMRqAv/4Xc7&#10;0wrGo69kAq878QrIxRMAAP//AwBQSwECLQAUAAYACAAAACEA2+H2y+4AAACFAQAAEwAAAAAAAAAA&#10;AAAAAAAAAAAAW0NvbnRlbnRfVHlwZXNdLnhtbFBLAQItABQABgAIAAAAIQBa9CxbvwAAABUBAAAL&#10;AAAAAAAAAAAAAAAAAB8BAABfcmVscy8ucmVsc1BLAQItABQABgAIAAAAIQBESli6xQAAAN4AAAAP&#10;AAAAAAAAAAAAAAAAAAcCAABkcnMvZG93bnJldi54bWxQSwUGAAAAAAMAAwC3AAAA+QIAAAAA&#10;" filled="f" stroked="f">
                  <v:textbox inset="0,0,0,0">
                    <w:txbxContent>
                      <w:p w14:paraId="783E9C1E" w14:textId="77777777" w:rsidR="00B32EF2" w:rsidRDefault="00000000">
                        <w:r>
                          <w:rPr>
                            <w:rFonts w:ascii="Arial" w:eastAsia="Arial" w:hAnsi="Arial" w:cs="Arial"/>
                            <w:sz w:val="18"/>
                          </w:rPr>
                          <w:t>d) formula al Ministro dell’economia e delle finanze proposte per l’adeguamen</w:t>
                        </w:r>
                      </w:p>
                    </w:txbxContent>
                  </v:textbox>
                </v:rect>
                <v:rect id="Rectangle 21407" o:spid="_x0000_s5780" style="position:absolute;left:196;top:46400;width:5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v0hxgAAAN4AAAAPAAAAZHJzL2Rvd25yZXYueG1sRI9Ba8JA&#10;FITvBf/D8gre6kYpVqKrFEWagxetBY+P7DOJZt8u2dVEf70rFDwOM/MNM1t0phZXanxlWcFwkIAg&#10;zq2uuFCw/11/TED4gKyxtkwKbuRhMe+9zTDVtuUtXXehEBHCPkUFZQguldLnJRn0A+uIo3e0jcEQ&#10;ZVNI3WAb4aaWoyQZS4MVx4USHS1Lys+7i1FwWLHL1q3Mj/el25yySf1z2f8p1X/vvqcgAnXhFf5v&#10;Z1rBaPiZfMHzTrwCcv4AAAD//wMAUEsBAi0AFAAGAAgAAAAhANvh9svuAAAAhQEAABMAAAAAAAAA&#10;AAAAAAAAAAAAAFtDb250ZW50X1R5cGVzXS54bWxQSwECLQAUAAYACAAAACEAWvQsW78AAAAVAQAA&#10;CwAAAAAAAAAAAAAAAAAfAQAAX3JlbHMvLnJlbHNQSwECLQAUAAYACAAAACEAKwb9IcYAAADeAAAA&#10;DwAAAAAAAAAAAAAAAAAHAgAAZHJzL2Rvd25yZXYueG1sUEsFBgAAAAADAAMAtwAAAPoCAAAAAA==&#10;" filled="f" stroked="f">
                  <v:textbox inset="0,0,0,0">
                    <w:txbxContent>
                      <w:p w14:paraId="0FC57455" w14:textId="77777777" w:rsidR="00B32EF2" w:rsidRDefault="00000000">
                        <w:r>
                          <w:rPr>
                            <w:rFonts w:ascii="Arial" w:eastAsia="Arial" w:hAnsi="Arial" w:cs="Arial"/>
                            <w:sz w:val="18"/>
                          </w:rPr>
                          <w:t>-</w:t>
                        </w:r>
                      </w:p>
                    </w:txbxContent>
                  </v:textbox>
                </v:rect>
                <v:rect id="Rectangle 21408" o:spid="_x0000_s5781" style="position:absolute;left:-13168;top:451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WlTwwAAAN4AAAAPAAAAZHJzL2Rvd25yZXYueG1sRE9Ni8Iw&#10;EL0L+x/CCHvTVBGRrlHERexhL2qFPQ7N2FabSWii7e6vNwfB4+N9L9e9acSDWl9bVjAZJyCIC6tr&#10;LhXkp91oAcIHZI2NZVLwRx7Wq4/BElNtOz7Q4xhKEUPYp6igCsGlUvqiIoN+bB1x5C62NRgibEup&#10;W+xiuGnkNEnm0mDNsaFCR9uKitvxbhT8frPLdp0sLv9b93PNFs3+np+V+hz2my8QgfrwFr/cmVYw&#10;ncySuDfeiVdArp4AAAD//wMAUEsBAi0AFAAGAAgAAAAhANvh9svuAAAAhQEAABMAAAAAAAAAAAAA&#10;AAAAAAAAAFtDb250ZW50X1R5cGVzXS54bWxQSwECLQAUAAYACAAAACEAWvQsW78AAAAVAQAACwAA&#10;AAAAAAAAAAAAAAAfAQAAX3JlbHMvLnJlbHNQSwECLQAUAAYACAAAACEAWplpU8MAAADeAAAADwAA&#10;AAAAAAAAAAAAAAAHAgAAZHJzL2Rvd25yZXYueG1sUEsFBgAAAAADAAMAtwAAAPcCAAAAAA==&#10;" filled="f" stroked="f">
                  <v:textbox inset="0,0,0,0">
                    <w:txbxContent>
                      <w:p w14:paraId="6D25E9EE" w14:textId="77777777" w:rsidR="00B32EF2" w:rsidRDefault="00000000">
                        <w:r>
                          <w:rPr>
                            <w:rFonts w:ascii="Arial" w:eastAsia="Arial" w:hAnsi="Arial" w:cs="Arial"/>
                            <w:sz w:val="18"/>
                          </w:rPr>
                          <w:t xml:space="preserve">to e l’ammodernamento delle strutture e dei servizi, sentiti i presidenti delle </w:t>
                        </w:r>
                      </w:p>
                    </w:txbxContent>
                  </v:textbox>
                </v:rect>
                <v:rect id="Rectangle 21409" o:spid="_x0000_s5782" style="position:absolute;left:4249;top:43933;width:356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czIxwAAAN4AAAAPAAAAZHJzL2Rvd25yZXYueG1sRI9Pi8Iw&#10;FMTvC36H8ARva6osi1ajiCLbg5f1D3h8NM+22ryEJtrqp98sLOxxmJnfMPNlZ2rxoMZXlhWMhgkI&#10;4tzqigsFx8P2fQLCB2SNtWVS8CQPy0XvbY6pti1/02MfChEh7FNUUIbgUil9XpJBP7SOOHoX2xgM&#10;UTaF1A22EW5qOU6ST2mw4rhQoqN1SfltfzcKzht22baV+eW1drtrNqm/7seTUoN+t5qBCNSF//Bf&#10;O9MKxqOPZAq/d+IVkIsfAAAA//8DAFBLAQItABQABgAIAAAAIQDb4fbL7gAAAIUBAAATAAAAAAAA&#10;AAAAAAAAAAAAAABbQ29udGVudF9UeXBlc10ueG1sUEsBAi0AFAAGAAgAAAAhAFr0LFu/AAAAFQEA&#10;AAsAAAAAAAAAAAAAAAAAHwEAAF9yZWxzLy5yZWxzUEsBAi0AFAAGAAgAAAAhADXVzMjHAAAA3gAA&#10;AA8AAAAAAAAAAAAAAAAABwIAAGRycy9kb3ducmV2LnhtbFBLBQYAAAAAAwADALcAAAD7AgAAAAA=&#10;" filled="f" stroked="f">
                  <v:textbox inset="0,0,0,0">
                    <w:txbxContent>
                      <w:p w14:paraId="37AE8E69" w14:textId="77777777" w:rsidR="00B32EF2" w:rsidRDefault="00000000">
                        <w:r>
                          <w:rPr>
                            <w:rFonts w:ascii="Arial" w:eastAsia="Arial" w:hAnsi="Arial" w:cs="Arial"/>
                            <w:sz w:val="18"/>
                          </w:rPr>
                          <w:t xml:space="preserve">corti di giustizia tributaria di primo e secondo grado; </w:t>
                        </w:r>
                      </w:p>
                    </w:txbxContent>
                  </v:textbox>
                </v:rect>
                <v:rect id="Rectangle 21410" o:spid="_x0000_s5783" style="position:absolute;left:-12188;top:42700;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OIxAAAAN4AAAAPAAAAZHJzL2Rvd25yZXYueG1sRI/LisIw&#10;FIb3A75DOIK7Ma0Mg1SjiCLTxWy8gctDc2yrzUlooq3z9GYx4PLnv/HNl71pxINaX1tWkI4TEMSF&#10;1TWXCo6H7ecUhA/IGhvLpOBJHpaLwcccM2073tFjH0oRR9hnqKAKwWVS+qIig35sHXH0LrY1GKJs&#10;S6lb7OK4aeQkSb6lwZrjQ4WO1hUVt/3dKDhv2OXbThaXv7X7vebT5ud+PCk1GvarGYhAfXiH/9u5&#10;VjBJv9IIEHEiCsjFCwAA//8DAFBLAQItABQABgAIAAAAIQDb4fbL7gAAAIUBAAATAAAAAAAAAAAA&#10;AAAAAAAAAABbQ29udGVudF9UeXBlc10ueG1sUEsBAi0AFAAGAAgAAAAhAFr0LFu/AAAAFQEAAAsA&#10;AAAAAAAAAAAAAAAAHwEAAF9yZWxzLy5yZWxzUEsBAi0AFAAGAAgAAAAhACE284jEAAAA3gAAAA8A&#10;AAAAAAAAAAAAAAAABwIAAGRycy9kb3ducmV2LnhtbFBLBQYAAAAAAwADALcAAAD4AgAAAAA=&#10;" filled="f" stroked="f">
                  <v:textbox inset="0,0,0,0">
                    <w:txbxContent>
                      <w:p w14:paraId="3AAD5EB2" w14:textId="77777777" w:rsidR="00B32EF2" w:rsidRDefault="00000000">
                        <w:r>
                          <w:rPr>
                            <w:rFonts w:ascii="Arial" w:eastAsia="Arial" w:hAnsi="Arial" w:cs="Arial"/>
                            <w:sz w:val="18"/>
                          </w:rPr>
                          <w:t>e) predispone elementi per la redazione della relazione del Ministro dell’e</w:t>
                        </w:r>
                      </w:p>
                    </w:txbxContent>
                  </v:textbox>
                </v:rect>
                <v:rect id="Rectangle 21411" o:spid="_x0000_s5784" style="position:absolute;left:196;top:4270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lYTxgAAAN4AAAAPAAAAZHJzL2Rvd25yZXYueG1sRI9Ba8JA&#10;FITvgv9heYI33USkSHQVUcQcvNRa6PGRfSbR7Nslu5rYX98tFHocZuYbZrXpTSOe1PrasoJ0moAg&#10;LqyuuVRw+ThMFiB8QNbYWCYFL/KwWQ8HK8y07fidnudQighhn6GCKgSXSemLigz6qXXE0bva1mCI&#10;si2lbrGLcNPIWZK8SYM1x4UKHe0qKu7nh1HwtWeXHzpZXL937nTLF83xcflUajzqt0sQgfrwH/5r&#10;51rBLJ2nKfzeiVdArn8AAAD//wMAUEsBAi0AFAAGAAgAAAAhANvh9svuAAAAhQEAABMAAAAAAAAA&#10;AAAAAAAAAAAAAFtDb250ZW50X1R5cGVzXS54bWxQSwECLQAUAAYACAAAACEAWvQsW78AAAAVAQAA&#10;CwAAAAAAAAAAAAAAAAAfAQAAX3JlbHMvLnJlbHNQSwECLQAUAAYACAAAACEATnpWE8YAAADeAAAA&#10;DwAAAAAAAAAAAAAAAAAHAgAAZHJzL2Rvd25yZXYueG1sUEsFBgAAAAADAAMAtwAAAPoCAAAAAA==&#10;" filled="f" stroked="f">
                  <v:textbox inset="0,0,0,0">
                    <w:txbxContent>
                      <w:p w14:paraId="071B971A" w14:textId="77777777" w:rsidR="00B32EF2" w:rsidRDefault="00000000">
                        <w:r>
                          <w:rPr>
                            <w:rFonts w:ascii="Arial" w:eastAsia="Arial" w:hAnsi="Arial" w:cs="Arial"/>
                            <w:sz w:val="18"/>
                          </w:rPr>
                          <w:t>-</w:t>
                        </w:r>
                      </w:p>
                    </w:txbxContent>
                  </v:textbox>
                </v:rect>
                <v:rect id="Rectangle 21412" o:spid="_x0000_s5785" style="position:absolute;left:-13166;top:41466;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hkxwAAAN4AAAAPAAAAZHJzL2Rvd25yZXYueG1sRI9Pa8JA&#10;FMTvhX6H5RW81U2CFEldpShiDr3UP+DxkX0mabNvl+xqUj+9Kwgeh5n5DTNbDKYVF+p8Y1lBOk5A&#10;EJdWN1wp2O/W71MQPiBrbC2Tgn/ysJi/vsww17bnH7psQyUihH2OCuoQXC6lL2sy6MfWEUfvZDuD&#10;IcqukrrDPsJNK7Mk+ZAGG44LNTpa1lT+bc9GwXHFrlj3sjxdl+77t5i2m/P+oNTobfj6BBFoCM/w&#10;o11oBVk6STO434lXQM5vAAAA//8DAFBLAQItABQABgAIAAAAIQDb4fbL7gAAAIUBAAATAAAAAAAA&#10;AAAAAAAAAAAAAABbQ29udGVudF9UeXBlc10ueG1sUEsBAi0AFAAGAAgAAAAhAFr0LFu/AAAAFQEA&#10;AAsAAAAAAAAAAAAAAAAAHwEAAF9yZWxzLy5yZWxzUEsBAi0AFAAGAAgAAAAhAL6oyGTHAAAA3gAA&#10;AA8AAAAAAAAAAAAAAAAABwIAAGRycy9kb3ducmV2LnhtbFBLBQYAAAAAAwADALcAAAD7AgAAAAA=&#10;" filled="f" stroked="f">
                  <v:textbox inset="0,0,0,0">
                    <w:txbxContent>
                      <w:p w14:paraId="035091E2" w14:textId="77777777" w:rsidR="00B32EF2" w:rsidRDefault="00000000">
                        <w:r>
                          <w:rPr>
                            <w:rFonts w:ascii="Arial" w:eastAsia="Arial" w:hAnsi="Arial" w:cs="Arial"/>
                            <w:sz w:val="18"/>
                          </w:rPr>
                          <w:t xml:space="preserve">conomia e delle finanze di cui all’articolo 36, comma 2, anche in ordine alla </w:t>
                        </w:r>
                      </w:p>
                    </w:txbxContent>
                  </v:textbox>
                </v:rect>
                <v:rect id="Rectangle 21413" o:spid="_x0000_s5786" style="position:absolute;left:3022;top:40233;width:369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G3/xwAAAN4AAAAPAAAAZHJzL2Rvd25yZXYueG1sRI9Pa8JA&#10;FMTvgt9heYI33cRKkdRVRJHm0Ev9Az0+ss8kbfbtkl1N7Kd3CwWPw8z8hlmue9OIG7W+tqwgnSYg&#10;iAuray4VnI77yQKED8gaG8uk4E4e1qvhYImZth1/0u0QShEh7DNUUIXgMil9UZFBP7WOOHoX2xoM&#10;Ubal1C12EW4aOUuSV2mw5rhQoaNtRcXP4WoUfO3Y5ftOFpffrfv4zhfN+/V0Vmo86jdvIAL14Rn+&#10;b+dawSydpy/wdydeAbl6AAAA//8DAFBLAQItABQABgAIAAAAIQDb4fbL7gAAAIUBAAATAAAAAAAA&#10;AAAAAAAAAAAAAABbQ29udGVudF9UeXBlc10ueG1sUEsBAi0AFAAGAAgAAAAhAFr0LFu/AAAAFQEA&#10;AAsAAAAAAAAAAAAAAAAAHwEAAF9yZWxzLy5yZWxzUEsBAi0AFAAGAAgAAAAhANHkbf/HAAAA3gAA&#10;AA8AAAAAAAAAAAAAAAAABwIAAGRycy9kb3ducmV2LnhtbFBLBQYAAAAAAwADALcAAAD7AgAAAAA=&#10;" filled="f" stroked="f">
                  <v:textbox inset="0,0,0,0">
                    <w:txbxContent>
                      <w:p w14:paraId="2A32D64F" w14:textId="77777777" w:rsidR="00B32EF2" w:rsidRDefault="00000000">
                        <w:r>
                          <w:rPr>
                            <w:rFonts w:ascii="Arial" w:eastAsia="Arial" w:hAnsi="Arial" w:cs="Arial"/>
                            <w:sz w:val="18"/>
                          </w:rPr>
                          <w:t>produttività comparata delle corti di giustizia tributaria;</w:t>
                        </w:r>
                      </w:p>
                    </w:txbxContent>
                  </v:textbox>
                </v:rect>
                <v:rect id="Rectangle 21414" o:spid="_x0000_s5787" style="position:absolute;left:-13167;top:390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fWLxgAAAN4AAAAPAAAAZHJzL2Rvd25yZXYueG1sRI9Ba8JA&#10;FITvgv9heUJvuomISOoqokhz8KJV6PGRfSZps2+X7Gpif31XEHocZuYbZrnuTSPu1PrasoJ0koAg&#10;LqyuuVRw/tyPFyB8QNbYWCYFD/KwXg0HS8y07fhI91MoRYSwz1BBFYLLpPRFRQb9xDri6F1tazBE&#10;2ZZSt9hFuGnkNEnm0mDNcaFCR9uKip/TzSj42rHL950srr9bd/jOF83H7XxR6m3Ub95BBOrDf/jV&#10;zrWCaTpLZ/C8E6+AXP0BAAD//wMAUEsBAi0AFAAGAAgAAAAhANvh9svuAAAAhQEAABMAAAAAAAAA&#10;AAAAAAAAAAAAAFtDb250ZW50X1R5cGVzXS54bWxQSwECLQAUAAYACAAAACEAWvQsW78AAAAVAQAA&#10;CwAAAAAAAAAAAAAAAAAfAQAAX3JlbHMvLnJlbHNQSwECLQAUAAYACAAAACEAXg31i8YAAADeAAAA&#10;DwAAAAAAAAAAAAAAAAAHAgAAZHJzL2Rvd25yZXYueG1sUEsFBgAAAAADAAMAtwAAAPoCAAAAAA==&#10;" filled="f" stroked="f">
                  <v:textbox inset="0,0,0,0">
                    <w:txbxContent>
                      <w:p w14:paraId="713E3482" w14:textId="77777777" w:rsidR="00B32EF2" w:rsidRDefault="00000000">
                        <w:r>
                          <w:rPr>
                            <w:rFonts w:ascii="Arial" w:eastAsia="Arial" w:hAnsi="Arial" w:cs="Arial"/>
                            <w:sz w:val="18"/>
                          </w:rPr>
                          <w:t xml:space="preserve">f) stabilisce i criteri di massima per la formazione delle sezioni e dei collegi </w:t>
                        </w:r>
                      </w:p>
                    </w:txbxContent>
                  </v:textbox>
                </v:rect>
                <v:rect id="Rectangle 21415" o:spid="_x0000_s5788" style="position:absolute;left:32999;top:37767;width:692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VAQxwAAAN4AAAAPAAAAZHJzL2Rvd25yZXYueG1sRI9Pa8JA&#10;FMTvgt9heYI33URqkdRVRJHm0Ev9Az0+ss8kbfbtkl1N7Kd3CwWPw8z8hlmue9OIG7W+tqwgnSYg&#10;iAuray4VnI77yQKED8gaG8uk4E4e1qvhYImZth1/0u0QShEh7DNUUIXgMil9UZFBP7WOOHoX2xoM&#10;Ubal1C12EW4aOUuSV2mw5rhQoaNtRcXP4WoUfO3Y5ftOFpffrfv4zhfN+/V0Vmo86jdvIAL14Rn+&#10;b+dawSx9SefwdydeAbl6AAAA//8DAFBLAQItABQABgAIAAAAIQDb4fbL7gAAAIUBAAATAAAAAAAA&#10;AAAAAAAAAAAAAABbQ29udGVudF9UeXBlc10ueG1sUEsBAi0AFAAGAAgAAAAhAFr0LFu/AAAAFQEA&#10;AAsAAAAAAAAAAAAAAAAAHwEAAF9yZWxzLy5yZWxzUEsBAi0AFAAGAAgAAAAhADFBUBDHAAAA3gAA&#10;AA8AAAAAAAAAAAAAAAAABwIAAGRycy9kb3ducmV2LnhtbFBLBQYAAAAAAwADALcAAAD7AgAAAAA=&#10;" filled="f" stroked="f">
                  <v:textbox inset="0,0,0,0">
                    <w:txbxContent>
                      <w:p w14:paraId="69E85665" w14:textId="77777777" w:rsidR="00B32EF2" w:rsidRDefault="00000000">
                        <w:r>
                          <w:rPr>
                            <w:rFonts w:ascii="Arial" w:eastAsia="Arial" w:hAnsi="Arial" w:cs="Arial"/>
                            <w:sz w:val="18"/>
                          </w:rPr>
                          <w:t>giudicanti;</w:t>
                        </w:r>
                      </w:p>
                    </w:txbxContent>
                  </v:textbox>
                </v:rect>
                <v:rect id="Rectangle 21416" o:spid="_x0000_s5789" style="position:absolute;left:-13167;top:365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85nxgAAAN4AAAAPAAAAZHJzL2Rvd25yZXYueG1sRI9Ba8JA&#10;FITvBf/D8gRvdRMpItFVRJHm4KVWweMj+0yi2bdLdjXRX98tFHocZuYbZrHqTSMe1PrasoJ0nIAg&#10;LqyuuVRw/N69z0D4gKyxsUwKnuRhtRy8LTDTtuMvehxCKSKEfYYKqhBcJqUvKjLox9YRR+9iW4Mh&#10;yraUusUuwk0jJ0kylQZrjgsVOtpUVNwOd6PgvGWX7zpZXF4bt7/ms+bzfjwpNRr26zmIQH34D/+1&#10;c61gkn6kU/i9E6+AXP4AAAD//wMAUEsBAi0AFAAGAAgAAAAhANvh9svuAAAAhQEAABMAAAAAAAAA&#10;AAAAAAAAAAAAAFtDb250ZW50X1R5cGVzXS54bWxQSwECLQAUAAYACAAAACEAWvQsW78AAAAVAQAA&#10;CwAAAAAAAAAAAAAAAAAfAQAAX3JlbHMvLnJlbHNQSwECLQAUAAYACAAAACEAwZPOZ8YAAADeAAAA&#10;DwAAAAAAAAAAAAAAAAAHAgAAZHJzL2Rvd25yZXYueG1sUEsFBgAAAAADAAMAtwAAAPoCAAAAAA==&#10;" filled="f" stroked="f">
                  <v:textbox inset="0,0,0,0">
                    <w:txbxContent>
                      <w:p w14:paraId="79C78996" w14:textId="77777777" w:rsidR="00B32EF2" w:rsidRDefault="00000000">
                        <w:r>
                          <w:rPr>
                            <w:rFonts w:ascii="Arial" w:eastAsia="Arial" w:hAnsi="Arial" w:cs="Arial"/>
                            <w:sz w:val="18"/>
                          </w:rPr>
                          <w:t xml:space="preserve">g) stabilisce i criteri di massima per la ripartizione dei ricorsi nell’ambito delle </w:t>
                        </w:r>
                      </w:p>
                    </w:txbxContent>
                  </v:textbox>
                </v:rect>
                <v:rect id="Rectangle 21417" o:spid="_x0000_s5790" style="position:absolute;left:-6518;top:35300;width:464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2v8xwAAAN4AAAAPAAAAZHJzL2Rvd25yZXYueG1sRI9Pa8JA&#10;FMTvgt9heYI33USKldRVRJHm0Ev9Az0+ss8kbfbtkl1N7Kd3CwWPw8z8hlmue9OIG7W+tqwgnSYg&#10;iAuray4VnI77yQKED8gaG8uk4E4e1qvhYImZth1/0u0QShEh7DNUUIXgMil9UZFBP7WOOHoX2xoM&#10;Ubal1C12EW4aOUuSuTRYc1yo0NG2ouLncDUKvnbs8n0ni8vv1n1854vm/Xo6KzUe9Zs3EIH68Az/&#10;t3OtYJa+pK/wdydeAbl6AAAA//8DAFBLAQItABQABgAIAAAAIQDb4fbL7gAAAIUBAAATAAAAAAAA&#10;AAAAAAAAAAAAAABbQ29udGVudF9UeXBlc10ueG1sUEsBAi0AFAAGAAgAAAAhAFr0LFu/AAAAFQEA&#10;AAsAAAAAAAAAAAAAAAAAHwEAAF9yZWxzLy5yZWxzUEsBAi0AFAAGAAgAAAAhAK7fa/zHAAAA3gAA&#10;AA8AAAAAAAAAAAAAAAAABwIAAGRycy9kb3ducmV2LnhtbFBLBQYAAAAAAwADALcAAAD7AgAAAAA=&#10;" filled="f" stroked="f">
                  <v:textbox inset="0,0,0,0">
                    <w:txbxContent>
                      <w:p w14:paraId="5D83BD9A" w14:textId="77777777" w:rsidR="00B32EF2" w:rsidRDefault="00000000">
                        <w:r>
                          <w:rPr>
                            <w:rFonts w:ascii="Arial" w:eastAsia="Arial" w:hAnsi="Arial" w:cs="Arial"/>
                            <w:sz w:val="18"/>
                          </w:rPr>
                          <w:t>corti di giustizia tributaria di primo e secondo grado divise in sezioni;</w:t>
                        </w:r>
                      </w:p>
                    </w:txbxContent>
                  </v:textbox>
                </v:rect>
                <v:rect id="Rectangle 21418" o:spid="_x0000_s5791" style="position:absolute;left:-13168;top:340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OwwAAAN4AAAAPAAAAZHJzL2Rvd25yZXYueG1sRE/LisIw&#10;FN0P+A/hCu7GtDIMUo0iikwXs/EFLi/Nta02N6GJts7Xm8WAy8N5z5e9acSDWl9bVpCOExDEhdU1&#10;lwqOh+3nFIQPyBoby6TgSR6Wi8HHHDNtO97RYx9KEUPYZ6igCsFlUvqiIoN+bB1x5C62NRgibEup&#10;W+xiuGnkJEm+pcGaY0OFjtYVFbf93Sg4b9jl204Wl7+1+73m0+bnfjwpNRr2qxmIQH14i//duVYw&#10;Sb/SuDfeiVdALl4AAAD//wMAUEsBAi0AFAAGAAgAAAAhANvh9svuAAAAhQEAABMAAAAAAAAAAAAA&#10;AAAAAAAAAFtDb250ZW50X1R5cGVzXS54bWxQSwECLQAUAAYACAAAACEAWvQsW78AAAAVAQAACwAA&#10;AAAAAAAAAAAAAAAfAQAAX3JlbHMvLnJlbHNQSwECLQAUAAYACAAAACEA30D/jsMAAADeAAAADwAA&#10;AAAAAAAAAAAAAAAHAgAAZHJzL2Rvd25yZXYueG1sUEsFBgAAAAADAAMAtwAAAPcCAAAAAA==&#10;" filled="f" stroked="f">
                  <v:textbox inset="0,0,0,0">
                    <w:txbxContent>
                      <w:p w14:paraId="01C287A4" w14:textId="77777777" w:rsidR="00B32EF2" w:rsidRDefault="00000000">
                        <w:r>
                          <w:rPr>
                            <w:rFonts w:ascii="Arial" w:eastAsia="Arial" w:hAnsi="Arial" w:cs="Arial"/>
                            <w:sz w:val="18"/>
                          </w:rPr>
                          <w:t xml:space="preserve">h) stabilisce annualmente i carichi esigibili, distintamente, per i magistrati e per </w:t>
                        </w:r>
                      </w:p>
                    </w:txbxContent>
                  </v:textbox>
                </v:rect>
                <v:rect id="Rectangle 21419" o:spid="_x0000_s5792" style="position:absolute;left:28759;top:32833;width:111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FoVxwAAAN4AAAAPAAAAZHJzL2Rvd25yZXYueG1sRI9Pa8JA&#10;FMTvBb/D8gRvuokUsamriCLNoRf/FHp8ZJ9J2uzbJbua2E/vCkKPw8z8hlmsetOIK7W+tqwgnSQg&#10;iAuray4VnI678RyED8gaG8uk4EYeVsvBywIzbTve0/UQShEh7DNUUIXgMil9UZFBP7GOOHpn2xoM&#10;Ubal1C12EW4aOU2SmTRYc1yo0NGmouL3cDEKvrfs8l0ni/Pfxn3+5PPm43L6Umo07NfvIAL14T/8&#10;bOdawTR9Td/gcSdeAbm8AwAA//8DAFBLAQItABQABgAIAAAAIQDb4fbL7gAAAIUBAAATAAAAAAAA&#10;AAAAAAAAAAAAAABbQ29udGVudF9UeXBlc10ueG1sUEsBAi0AFAAGAAgAAAAhAFr0LFu/AAAAFQEA&#10;AAsAAAAAAAAAAAAAAAAAHwEAAF9yZWxzLy5yZWxzUEsBAi0AFAAGAAgAAAAhALAMWhXHAAAA3gAA&#10;AA8AAAAAAAAAAAAAAAAABwIAAGRycy9kb3ducmV2LnhtbFBLBQYAAAAAAwADALcAAAD7AgAAAAA=&#10;" filled="f" stroked="f">
                  <v:textbox inset="0,0,0,0">
                    <w:txbxContent>
                      <w:p w14:paraId="35EFD2C4" w14:textId="77777777" w:rsidR="00B32EF2" w:rsidRDefault="00000000">
                        <w:r>
                          <w:rPr>
                            <w:rFonts w:ascii="Arial" w:eastAsia="Arial" w:hAnsi="Arial" w:cs="Arial"/>
                            <w:sz w:val="18"/>
                          </w:rPr>
                          <w:t>i giudici tributari;</w:t>
                        </w:r>
                      </w:p>
                    </w:txbxContent>
                  </v:textbox>
                </v:rect>
                <v:rect id="Rectangle 21420" o:spid="_x0000_s5793" style="position:absolute;left:-13166;top:31600;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jk1xAAAAN4AAAAPAAAAZHJzL2Rvd25yZXYueG1sRI/LisIw&#10;FIb3A75DOIK7MbUMg1SjiCLTxWy8gctDc2yrzUlooq3z9GYx4PLnv/HNl71pxINaX1tWMBknIIgL&#10;q2suFRwP288pCB+QNTaWScGTPCwXg485Ztp2vKPHPpQijrDPUEEVgsuk9EVFBv3YOuLoXWxrMETZ&#10;llK32MVx08g0Sb6lwZrjQ4WO1hUVt/3dKDhv2OXbThaXv7X7vebT5ud+PCk1GvarGYhAfXiH/9u5&#10;VpBOvtIIEHEiCsjFCwAA//8DAFBLAQItABQABgAIAAAAIQDb4fbL7gAAAIUBAAATAAAAAAAAAAAA&#10;AAAAAAAAAABbQ29udGVudF9UeXBlc10ueG1sUEsBAi0AFAAGAAgAAAAhAFr0LFu/AAAAFQEAAAsA&#10;AAAAAAAAAAAAAAAAHwEAAF9yZWxzLy5yZWxzUEsBAi0AFAAGAAgAAAAhAO9aOTXEAAAA3gAAAA8A&#10;AAAAAAAAAAAAAAAABwIAAGRycy9kb3ducmV2LnhtbFBLBQYAAAAAAwADALcAAAD4AgAAAAA=&#10;" filled="f" stroked="f">
                  <v:textbox inset="0,0,0,0">
                    <w:txbxContent>
                      <w:p w14:paraId="505F8F21" w14:textId="77777777" w:rsidR="00B32EF2" w:rsidRDefault="00000000">
                        <w:r>
                          <w:rPr>
                            <w:rFonts w:ascii="Arial" w:eastAsia="Arial" w:hAnsi="Arial" w:cs="Arial"/>
                            <w:sz w:val="18"/>
                          </w:rPr>
                          <w:t xml:space="preserve">i) assicura l’aggiornamento professionale dei giudici e dei magistrati tributari </w:t>
                        </w:r>
                      </w:p>
                    </w:txbxContent>
                  </v:textbox>
                </v:rect>
                <v:rect id="Rectangle 21421" o:spid="_x0000_s5794" style="position:absolute;left:-12205;top:30367;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yuxwAAAN4AAAAPAAAAZHJzL2Rvd25yZXYueG1sRI9Pa8JA&#10;FMTvhX6H5RW81U2CFEldpShiDr3UP+DxkX0mabNvl+xqUj+9Kwgeh5n5DTNbDKYVF+p8Y1lBOk5A&#10;EJdWN1wp2O/W71MQPiBrbC2Tgn/ysJi/vsww17bnH7psQyUihH2OCuoQXC6lL2sy6MfWEUfvZDuD&#10;IcqukrrDPsJNK7Mk+ZAGG44LNTpa1lT+bc9GwXHFrlj3sjxdl+77t5i2m/P+oNTobfj6BBFoCM/w&#10;o11oBVk6yVK434lXQM5vAAAA//8DAFBLAQItABQABgAIAAAAIQDb4fbL7gAAAIUBAAATAAAAAAAA&#10;AAAAAAAAAAAAAABbQ29udGVudF9UeXBlc10ueG1sUEsBAi0AFAAGAAgAAAAhAFr0LFu/AAAAFQEA&#10;AAsAAAAAAAAAAAAAAAAAHwEAAF9yZWxzLy5yZWxzUEsBAi0AFAAGAAgAAAAhAIAWnK7HAAAA3gAA&#10;AA8AAAAAAAAAAAAAAAAABwIAAGRycy9kb3ducmV2LnhtbFBLBQYAAAAAAwADALcAAAD7AgAAAAA=&#10;" filled="f" stroked="f">
                  <v:textbox inset="0,0,0,0">
                    <w:txbxContent>
                      <w:p w14:paraId="6D17BFEB" w14:textId="77777777" w:rsidR="00B32EF2" w:rsidRDefault="00000000">
                        <w:r>
                          <w:rPr>
                            <w:rFonts w:ascii="Arial" w:eastAsia="Arial" w:hAnsi="Arial" w:cs="Arial"/>
                            <w:sz w:val="18"/>
                          </w:rPr>
                          <w:t>attraverso l’organizzazione di corsi di formazione permanente, in sede centra</w:t>
                        </w:r>
                      </w:p>
                    </w:txbxContent>
                  </v:textbox>
                </v:rect>
                <v:rect id="Rectangle 21422" o:spid="_x0000_s5795" style="position:absolute;left:196;top:3036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LZxgAAAN4AAAAPAAAAZHJzL2Rvd25yZXYueG1sRI9Ba8JA&#10;FITvgv9heYI33RikSHQVUcQcvNRa6PGRfSbR7Nslu5rYX98tFHocZuYbZrXpTSOe1PrasoLZNAFB&#10;XFhdc6ng8nGYLED4gKyxsUwKXuRhsx4OVphp2/E7Pc+hFBHCPkMFVQguk9IXFRn0U+uIo3e1rcEQ&#10;ZVtK3WIX4aaRaZK8SYM1x4UKHe0qKu7nh1HwtWeXHzpZXL937nTLF83xcflUajzqt0sQgfrwH/5r&#10;51pBOpunKfzeiVdArn8AAAD//wMAUEsBAi0AFAAGAAgAAAAhANvh9svuAAAAhQEAABMAAAAAAAAA&#10;AAAAAAAAAAAAAFtDb250ZW50X1R5cGVzXS54bWxQSwECLQAUAAYACAAAACEAWvQsW78AAAAVAQAA&#10;CwAAAAAAAAAAAAAAAAAfAQAAX3JlbHMvLnJlbHNQSwECLQAUAAYACAAAACEAcMQC2cYAAADeAAAA&#10;DwAAAAAAAAAAAAAAAAAHAgAAZHJzL2Rvd25yZXYueG1sUEsFBgAAAAADAAMAtwAAAPoCAAAAAA==&#10;" filled="f" stroked="f">
                  <v:textbox inset="0,0,0,0">
                    <w:txbxContent>
                      <w:p w14:paraId="529BA09E" w14:textId="77777777" w:rsidR="00B32EF2" w:rsidRDefault="00000000">
                        <w:r>
                          <w:rPr>
                            <w:rFonts w:ascii="Arial" w:eastAsia="Arial" w:hAnsi="Arial" w:cs="Arial"/>
                            <w:sz w:val="18"/>
                          </w:rPr>
                          <w:t>-</w:t>
                        </w:r>
                      </w:p>
                    </w:txbxContent>
                  </v:textbox>
                </v:rect>
                <v:rect id="Rectangle 21423" o:spid="_x0000_s5796" style="position:absolute;left:29327;top:29133;width:105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KdCxwAAAN4AAAAPAAAAZHJzL2Rvd25yZXYueG1sRI9Pa8JA&#10;FMTvgt9heYI33ZhKkdRVRJHm0Ev9Az0+ss8kbfbtkl1N7Kd3CwWPw8z8hlmue9OIG7W+tqxgNk1A&#10;EBdW11wqOB33kwUIH5A1NpZJwZ08rFfDwRIzbTv+pNshlCJC2GeooArBZVL6oiKDfmodcfQutjUY&#10;omxLqVvsItw0Mk2SV2mw5rhQoaNtRcXP4WoUfO3Y5ftOFpffrfv4zhfN+/V0Vmo86jdvIAL14Rn+&#10;b+daQTqbpy/wdydeAbl6AAAA//8DAFBLAQItABQABgAIAAAAIQDb4fbL7gAAAIUBAAATAAAAAAAA&#10;AAAAAAAAAAAAAABbQ29udGVudF9UeXBlc10ueG1sUEsBAi0AFAAGAAgAAAAhAFr0LFu/AAAAFQEA&#10;AAsAAAAAAAAAAAAAAAAAHwEAAF9yZWxzLy5yZWxzUEsBAi0AFAAGAAgAAAAhAB+Ip0LHAAAA3gAA&#10;AA8AAAAAAAAAAAAAAAAABwIAAGRycy9kb3ducmV2LnhtbFBLBQYAAAAAAwADALcAAAD7AgAAAAA=&#10;" filled="f" stroked="f">
                  <v:textbox inset="0,0,0,0">
                    <w:txbxContent>
                      <w:p w14:paraId="04B880B5" w14:textId="77777777" w:rsidR="00B32EF2" w:rsidRDefault="00000000">
                        <w:r>
                          <w:rPr>
                            <w:rFonts w:ascii="Arial" w:eastAsia="Arial" w:hAnsi="Arial" w:cs="Arial"/>
                            <w:sz w:val="18"/>
                          </w:rPr>
                          <w:t>le e decentrata;</w:t>
                        </w:r>
                      </w:p>
                    </w:txbxContent>
                  </v:textbox>
                </v:rect>
                <v:rect id="Rectangle 21424" o:spid="_x0000_s5797" style="position:absolute;left:-13167;top:279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T82xgAAAN4AAAAPAAAAZHJzL2Rvd25yZXYueG1sRI9Ba8JA&#10;FITvgv9heYXedGMQkegqRZHm4EWr4PGRfSZps2+X7Gpif31XEHocZuYbZrnuTSPu1PrasoLJOAFB&#10;XFhdc6ng9LUbzUH4gKyxsUwKHuRhvRoOlphp2/GB7sdQighhn6GCKgSXSemLigz6sXXE0bva1mCI&#10;si2lbrGLcNPINElm0mDNcaFCR5uKip/jzSi4bNnlu04W19+N23/n8+bzdjor9f7WfyxABOrDf/jV&#10;zrWCdDJNp/C8E6+AXP0BAAD//wMAUEsBAi0AFAAGAAgAAAAhANvh9svuAAAAhQEAABMAAAAAAAAA&#10;AAAAAAAAAAAAAFtDb250ZW50X1R5cGVzXS54bWxQSwECLQAUAAYACAAAACEAWvQsW78AAAAVAQAA&#10;CwAAAAAAAAAAAAAAAAAfAQAAX3JlbHMvLnJlbHNQSwECLQAUAAYACAAAACEAkGE/NsYAAADeAAAA&#10;DwAAAAAAAAAAAAAAAAAHAgAAZHJzL2Rvd25yZXYueG1sUEsFBgAAAAADAAMAtwAAAPoCAAAAAA==&#10;" filled="f" stroked="f">
                  <v:textbox inset="0,0,0,0">
                    <w:txbxContent>
                      <w:p w14:paraId="4C8C77FE" w14:textId="77777777" w:rsidR="00B32EF2" w:rsidRDefault="00000000">
                        <w:r>
                          <w:rPr>
                            <w:rFonts w:ascii="Arial" w:eastAsia="Arial" w:hAnsi="Arial" w:cs="Arial"/>
                            <w:sz w:val="18"/>
                          </w:rPr>
                          <w:t xml:space="preserve">l) esprime parere sugli schemi di regolamento e di convenzioni previsti dal </w:t>
                        </w:r>
                      </w:p>
                    </w:txbxContent>
                  </v:textbox>
                </v:rect>
                <v:rect id="Rectangle 21425" o:spid="_x0000_s5798" style="position:absolute;left:-13167;top:266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qtxwAAAN4AAAAPAAAAZHJzL2Rvd25yZXYueG1sRI9Pa8JA&#10;FMTvgt9heYI33RhqkdRVRJHm0Ev9Az0+ss8kbfbtkl1N7Kd3CwWPw8z8hlmue9OIG7W+tqxgNk1A&#10;EBdW11wqOB33kwUIH5A1NpZJwZ08rFfDwRIzbTv+pNshlCJC2GeooArBZVL6oiKDfmodcfQutjUY&#10;omxLqVvsItw0Mk2SV2mw5rhQoaNtRcXP4WoUfO3Y5ftOFpffrfv4zhfN+/V0Vmo86jdvIAL14Rn+&#10;b+daQTp7SefwdydeAbl6AAAA//8DAFBLAQItABQABgAIAAAAIQDb4fbL7gAAAIUBAAATAAAAAAAA&#10;AAAAAAAAAAAAAABbQ29udGVudF9UeXBlc10ueG1sUEsBAi0AFAAGAAgAAAAhAFr0LFu/AAAAFQEA&#10;AAsAAAAAAAAAAAAAAAAAHwEAAF9yZWxzLy5yZWxzUEsBAi0AFAAGAAgAAAAhAP8tmq3HAAAA3gAA&#10;AA8AAAAAAAAAAAAAAAAABwIAAGRycy9kb3ducmV2LnhtbFBLBQYAAAAAAwADALcAAAD7AgAAAAA=&#10;" filled="f" stroked="f">
                  <v:textbox inset="0,0,0,0">
                    <w:txbxContent>
                      <w:p w14:paraId="258CD763" w14:textId="77777777" w:rsidR="00B32EF2" w:rsidRDefault="00000000">
                        <w:r>
                          <w:rPr>
                            <w:rFonts w:ascii="Arial" w:eastAsia="Arial" w:hAnsi="Arial" w:cs="Arial"/>
                            <w:sz w:val="18"/>
                          </w:rPr>
                          <w:t xml:space="preserve">presente testo unico o che comunque riguardano il funzionamento delle corti </w:t>
                        </w:r>
                      </w:p>
                    </w:txbxContent>
                  </v:textbox>
                </v:rect>
                <v:rect id="Rectangle 21426" o:spid="_x0000_s5799" style="position:absolute;left:8098;top:25434;width:3182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TaxwAAAN4AAAAPAAAAZHJzL2Rvd25yZXYueG1sRI/NasMw&#10;EITvhbyD2EJvjRwTQnAih5IQ4kMvTR3IcbHWP621EpYSu336qlDocZiZb5jtbjK9uNPgO8sKFvME&#10;BHFldceNgvL9+LwG4QOyxt4yKfgiD7t89rDFTNuR3+h+Do2IEPYZKmhDcJmUvmrJoJ9bRxy92g4G&#10;Q5RDI/WAY4SbXqZJspIGO44LLTrat1R9nm9GwfXArjiOsqq/9+71o1j3p1t5UerpcXrZgAg0hf/w&#10;X7vQCtLFMl3B7514BWT+AwAA//8DAFBLAQItABQABgAIAAAAIQDb4fbL7gAAAIUBAAATAAAAAAAA&#10;AAAAAAAAAAAAAABbQ29udGVudF9UeXBlc10ueG1sUEsBAi0AFAAGAAgAAAAhAFr0LFu/AAAAFQEA&#10;AAsAAAAAAAAAAAAAAAAAHwEAAF9yZWxzLy5yZWxzUEsBAi0AFAAGAAgAAAAhAA//BNrHAAAA3gAA&#10;AA8AAAAAAAAAAAAAAAAABwIAAGRycy9kb3ducmV2LnhtbFBLBQYAAAAAAwADALcAAAD7AgAAAAA=&#10;" filled="f" stroked="f">
                  <v:textbox inset="0,0,0,0">
                    <w:txbxContent>
                      <w:p w14:paraId="6B1A6555" w14:textId="77777777" w:rsidR="00B32EF2" w:rsidRDefault="00000000">
                        <w:r>
                          <w:rPr>
                            <w:rFonts w:ascii="Arial" w:eastAsia="Arial" w:hAnsi="Arial" w:cs="Arial"/>
                            <w:sz w:val="18"/>
                          </w:rPr>
                          <w:t>di giustizia tributaria di primo e secondo grado;</w:t>
                        </w:r>
                      </w:p>
                    </w:txbxContent>
                  </v:textbox>
                </v:rect>
                <v:rect id="Rectangle 21427" o:spid="_x0000_s5800" style="position:absolute;left:-13167;top:242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6FBxwAAAN4AAAAPAAAAZHJzL2Rvd25yZXYueG1sRI9Pa8JA&#10;FMTvgt9heYI33RiKldRVRJHm0Ev9Az0+ss8kbfbtkl1N7Kd3CwWPw8z8hlmue9OIG7W+tqxgNk1A&#10;EBdW11wqOB33kwUIH5A1NpZJwZ08rFfDwRIzbTv+pNshlCJC2GeooArBZVL6oiKDfmodcfQutjUY&#10;omxLqVvsItw0Mk2SuTRYc1yo0NG2ouLncDUKvnbs8n0ni8vv1n1854vm/Xo6KzUe9Zs3EIH68Az/&#10;t3OtIJ29pK/wdydeAbl6AAAA//8DAFBLAQItABQABgAIAAAAIQDb4fbL7gAAAIUBAAATAAAAAAAA&#10;AAAAAAAAAAAAAABbQ29udGVudF9UeXBlc10ueG1sUEsBAi0AFAAGAAgAAAAhAFr0LFu/AAAAFQEA&#10;AAsAAAAAAAAAAAAAAAAAHwEAAF9yZWxzLy5yZWxzUEsBAi0AFAAGAAgAAAAhAGCzoUHHAAAA3gAA&#10;AA8AAAAAAAAAAAAAAAAABwIAAGRycy9kb3ducmV2LnhtbFBLBQYAAAAAAwADALcAAAD7AgAAAAA=&#10;" filled="f" stroked="f">
                  <v:textbox inset="0,0,0,0">
                    <w:txbxContent>
                      <w:p w14:paraId="303001F0" w14:textId="77777777" w:rsidR="00B32EF2" w:rsidRDefault="00000000">
                        <w:r>
                          <w:rPr>
                            <w:rFonts w:ascii="Arial" w:eastAsia="Arial" w:hAnsi="Arial" w:cs="Arial"/>
                            <w:sz w:val="18"/>
                          </w:rPr>
                          <w:t xml:space="preserve">m) esprime parere sulla ripartizione fra le corti di giustizia tributaria di primo </w:t>
                        </w:r>
                      </w:p>
                    </w:txbxContent>
                  </v:textbox>
                </v:rect>
                <v:rect id="Rectangle 21428" o:spid="_x0000_s5801" style="position:absolute;left:-13167;top:229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DUzwwAAAN4AAAAPAAAAZHJzL2Rvd25yZXYueG1sRE/LisIw&#10;FN0P+A/hCu7G1DIMUo0iikwXs/EFLi/Nta02N6GJts7Xm8WAy8N5z5e9acSDWl9bVjAZJyCIC6tr&#10;LhUcD9vPKQgfkDU2lknBkzwsF4OPOWbadryjxz6UIoawz1BBFYLLpPRFRQb92DriyF1sazBE2JZS&#10;t9jFcNPINEm+pcGaY0OFjtYVFbf93Sg4b9jl204Wl7+1+73m0+bnfjwpNRr2qxmIQH14i//duVaQ&#10;Tr7SuDfeiVdALl4AAAD//wMAUEsBAi0AFAAGAAgAAAAhANvh9svuAAAAhQEAABMAAAAAAAAAAAAA&#10;AAAAAAAAAFtDb250ZW50X1R5cGVzXS54bWxQSwECLQAUAAYACAAAACEAWvQsW78AAAAVAQAACwAA&#10;AAAAAAAAAAAAAAAfAQAAX3JlbHMvLnJlbHNQSwECLQAUAAYACAAAACEAESw1M8MAAADeAAAADwAA&#10;AAAAAAAAAAAAAAAHAgAAZHJzL2Rvd25yZXYueG1sUEsFBgAAAAADAAMAtwAAAPcCAAAAAA==&#10;" filled="f" stroked="f">
                  <v:textbox inset="0,0,0,0">
                    <w:txbxContent>
                      <w:p w14:paraId="3E94275B" w14:textId="77777777" w:rsidR="00B32EF2" w:rsidRDefault="00000000">
                        <w:r>
                          <w:rPr>
                            <w:rFonts w:ascii="Arial" w:eastAsia="Arial" w:hAnsi="Arial" w:cs="Arial"/>
                            <w:sz w:val="18"/>
                          </w:rPr>
                          <w:t xml:space="preserve">e secondo grado dei fondi stanziati nel bilancio del Ministero dell’economia e </w:t>
                        </w:r>
                      </w:p>
                    </w:txbxContent>
                  </v:textbox>
                </v:rect>
                <v:rect id="Rectangle 21429" o:spid="_x0000_s5802" style="position:absolute;left:7017;top:21734;width:329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CoxwAAAN4AAAAPAAAAZHJzL2Rvd25yZXYueG1sRI9Pa8JA&#10;FMTvhX6H5Qm96cZQRFNXEYs0By/1D/T4yD6TaPbtkl1N6qd3C0KPw8z8hpkve9OIG7W+tqxgPEpA&#10;EBdW11wqOOw3wykIH5A1NpZJwS95WC5eX+aYadvxN912oRQRwj5DBVUILpPSFxUZ9CPriKN3sq3B&#10;EGVbSt1iF+GmkWmSTKTBmuNChY7WFRWX3dUo+Plkl286WZzua7c959Pm63o4KvU26FcfIAL14T/8&#10;bOdaQTp+T2fwdydeAbl4AAAA//8DAFBLAQItABQABgAIAAAAIQDb4fbL7gAAAIUBAAATAAAAAAAA&#10;AAAAAAAAAAAAAABbQ29udGVudF9UeXBlc10ueG1sUEsBAi0AFAAGAAgAAAAhAFr0LFu/AAAAFQEA&#10;AAsAAAAAAAAAAAAAAAAAHwEAAF9yZWxzLy5yZWxzUEsBAi0AFAAGAAgAAAAhAH5gkKjHAAAA3gAA&#10;AA8AAAAAAAAAAAAAAAAABwIAAGRycy9kb3ducmV2LnhtbFBLBQYAAAAAAwADALcAAAD7AgAAAAA=&#10;" filled="f" stroked="f">
                  <v:textbox inset="0,0,0,0">
                    <w:txbxContent>
                      <w:p w14:paraId="7DAD3BB9" w14:textId="77777777" w:rsidR="00B32EF2" w:rsidRDefault="00000000">
                        <w:r>
                          <w:rPr>
                            <w:rFonts w:ascii="Arial" w:eastAsia="Arial" w:hAnsi="Arial" w:cs="Arial"/>
                            <w:sz w:val="18"/>
                          </w:rPr>
                          <w:t>delle finanze per le spese di loro funzionamento;</w:t>
                        </w:r>
                      </w:p>
                    </w:txbxContent>
                  </v:textbox>
                </v:rect>
                <v:rect id="Rectangle 21430" o:spid="_x0000_s5803" style="position:absolute;left:-945;top:20500;width:408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oxgAAAN4AAAAPAAAAZHJzL2Rvd25yZXYueG1sRI/LasMw&#10;EEX3hfyDmEB2tZy0lOBaDiEh1Itumgd0OVjjR2uNhKXETr++WhS6vNwXJ99Mphc3GnxnWcEySUEQ&#10;V1Z33Cg4nw6PaxA+IGvsLZOCO3nYFLOHHDNtR/6g2zE0Io6wz1BBG4LLpPRVSwZ9Yh1x9Go7GAxR&#10;Do3UA45x3PRylaYv0mDH8aFFR7uWqu/j1Sj43LMrD6Os6p+de/8q1/3b9XxRajGftq8gAk3hP/zX&#10;LrWC1fL5KQJEnIgCsvgFAAD//wMAUEsBAi0AFAAGAAgAAAAhANvh9svuAAAAhQEAABMAAAAAAAAA&#10;AAAAAAAAAAAAAFtDb250ZW50X1R5cGVzXS54bWxQSwECLQAUAAYACAAAACEAWvQsW78AAAAVAQAA&#10;CwAAAAAAAAAAAAAAAAAfAQAAX3JlbHMvLnJlbHNQSwECLQAUAAYACAAAACEAaoOv6MYAAADeAAAA&#10;DwAAAAAAAAAAAAAAAAAHAgAAZHJzL2Rvd25yZXYueG1sUEsFBgAAAAADAAMAtwAAAPoCAAAAAA==&#10;" filled="f" stroked="f">
                  <v:textbox inset="0,0,0,0">
                    <w:txbxContent>
                      <w:p w14:paraId="1C320769" w14:textId="77777777" w:rsidR="00B32EF2" w:rsidRDefault="00000000">
                        <w:r>
                          <w:rPr>
                            <w:rFonts w:ascii="Arial" w:eastAsia="Arial" w:hAnsi="Arial" w:cs="Arial"/>
                            <w:sz w:val="18"/>
                          </w:rPr>
                          <w:t>n) esprime parere sul decreto di cui all’articolo 19, comma 1;</w:t>
                        </w:r>
                      </w:p>
                    </w:txbxContent>
                  </v:textbox>
                </v:rect>
                <v:rect id="Rectangle 21431" o:spid="_x0000_s5804" style="position:absolute;left:-13167;top:192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wpzxwAAAN4AAAAPAAAAZHJzL2Rvd25yZXYueG1sRI9Pa8JA&#10;FMTvgt9heYI33cRKkdRVRJHm0Ev9Az0+ss8kbfbtkl1N7Kd3CwWPw8z8hlmue9OIG7W+tqwgnSYg&#10;iAuray4VnI77yQKED8gaG8uk4E4e1qvhYImZth1/0u0QShEh7DNUUIXgMil9UZFBP7WOOHoX2xoM&#10;Ubal1C12EW4aOUuSV2mw5rhQoaNtRcXP4WoUfO3Y5ftOFpffrfv4zhfN+/V0Vmo86jdvIAL14Rn+&#10;b+dawSydv6TwdydeAbl6AAAA//8DAFBLAQItABQABgAIAAAAIQDb4fbL7gAAAIUBAAATAAAAAAAA&#10;AAAAAAAAAAAAAABbQ29udGVudF9UeXBlc10ueG1sUEsBAi0AFAAGAAgAAAAhAFr0LFu/AAAAFQEA&#10;AAsAAAAAAAAAAAAAAAAAHwEAAF9yZWxzLy5yZWxzUEsBAi0AFAAGAAgAAAAhAAXPCnPHAAAA3gAA&#10;AA8AAAAAAAAAAAAAAAAABwIAAGRycy9kb3ducmV2LnhtbFBLBQYAAAAAAwADALcAAAD7AgAAAAA=&#10;" filled="f" stroked="f">
                  <v:textbox inset="0,0,0,0">
                    <w:txbxContent>
                      <w:p w14:paraId="79346E1E" w14:textId="77777777" w:rsidR="00B32EF2" w:rsidRDefault="00000000">
                        <w:r>
                          <w:rPr>
                            <w:rFonts w:ascii="Arial" w:eastAsia="Arial" w:hAnsi="Arial" w:cs="Arial"/>
                            <w:sz w:val="18"/>
                          </w:rPr>
                          <w:t xml:space="preserve">o) dispone, in caso di necessità, l’applicazione di magistrati e di giudici tributari </w:t>
                        </w:r>
                      </w:p>
                    </w:txbxContent>
                  </v:textbox>
                </v:rect>
                <v:rect id="Rectangle 21432" o:spid="_x0000_s5805" style="position:absolute;left:-13167;top:180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ZQExwAAAN4AAAAPAAAAZHJzL2Rvd25yZXYueG1sRI9Pa8JA&#10;FMTvgt9heYI33ZhKkdRVRJHm0Ev9Az0+ss8kbfbtkl1N7Kd3CwWPw8z8hlmue9OIG7W+tqxgNk1A&#10;EBdW11wqOB33kwUIH5A1NpZJwZ08rFfDwRIzbTv+pNshlCJC2GeooArBZVL6oiKDfmodcfQutjUY&#10;omxLqVvsItw0Mk2SV2mw5rhQoaNtRcXP4WoUfO3Y5ftOFpffrfv4zhfN+/V0Vmo86jdvIAL14Rn+&#10;b+daQTqbv6TwdydeAbl6AAAA//8DAFBLAQItABQABgAIAAAAIQDb4fbL7gAAAIUBAAATAAAAAAAA&#10;AAAAAAAAAAAAAABbQ29udGVudF9UeXBlc10ueG1sUEsBAi0AFAAGAAgAAAAhAFr0LFu/AAAAFQEA&#10;AAsAAAAAAAAAAAAAAAAAHwEAAF9yZWxzLy5yZWxzUEsBAi0AFAAGAAgAAAAhAPUdlATHAAAA3gAA&#10;AA8AAAAAAAAAAAAAAAAABwIAAGRycy9kb3ducmV2LnhtbFBLBQYAAAAAAwADALcAAAD7AgAAAAA=&#10;" filled="f" stroked="f">
                  <v:textbox inset="0,0,0,0">
                    <w:txbxContent>
                      <w:p w14:paraId="7C1BE760" w14:textId="77777777" w:rsidR="00B32EF2" w:rsidRDefault="00000000">
                        <w:r>
                          <w:rPr>
                            <w:rFonts w:ascii="Arial" w:eastAsia="Arial" w:hAnsi="Arial" w:cs="Arial"/>
                            <w:sz w:val="18"/>
                          </w:rPr>
                          <w:t xml:space="preserve">presso altra corte di giustizia tributaria di primo e secondo grado o sezione </w:t>
                        </w:r>
                      </w:p>
                    </w:txbxContent>
                  </v:textbox>
                </v:rect>
                <v:rect id="Rectangle 21433" o:spid="_x0000_s5806" style="position:absolute;left:-13167;top:168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TGfxgAAAN4AAAAPAAAAZHJzL2Rvd25yZXYueG1sRI9Ba8JA&#10;FITvgv9heUJvulGLSHQVUcQcvNRa6PGRfSbR7Nslu5rUX98tCD0OM/MNs1x3phYPanxlWcF4lIAg&#10;zq2uuFBw/twP5yB8QNZYWyYFP+Rhver3lphq2/IHPU6hEBHCPkUFZQguldLnJRn0I+uIo3exjcEQ&#10;ZVNI3WAb4aaWkySZSYMVx4USHW1Lym+nu1HwvWOX7VuZX55bd7xm8/pwP38p9TboNgsQgbrwH361&#10;M61gMn6fTuHvTrwCcvULAAD//wMAUEsBAi0AFAAGAAgAAAAhANvh9svuAAAAhQEAABMAAAAAAAAA&#10;AAAAAAAAAAAAAFtDb250ZW50X1R5cGVzXS54bWxQSwECLQAUAAYACAAAACEAWvQsW78AAAAVAQAA&#10;CwAAAAAAAAAAAAAAAAAfAQAAX3JlbHMvLnJlbHNQSwECLQAUAAYACAAAACEAmlExn8YAAADeAAAA&#10;DwAAAAAAAAAAAAAAAAAHAgAAZHJzL2Rvd25yZXYueG1sUEsFBgAAAAADAAMAtwAAAPoCAAAAAA==&#10;" filled="f" stroked="f">
                  <v:textbox inset="0,0,0,0">
                    <w:txbxContent>
                      <w:p w14:paraId="6A58D94D" w14:textId="77777777" w:rsidR="00B32EF2" w:rsidRDefault="00000000">
                        <w:r>
                          <w:rPr>
                            <w:rFonts w:ascii="Arial" w:eastAsia="Arial" w:hAnsi="Arial" w:cs="Arial"/>
                            <w:sz w:val="18"/>
                          </w:rPr>
                          <w:t xml:space="preserve">staccata, rientrante nello stesso ambito regionale, per la durata massima di </w:t>
                        </w:r>
                      </w:p>
                    </w:txbxContent>
                  </v:textbox>
                </v:rect>
                <v:rect id="Rectangle 21434" o:spid="_x0000_s5807" style="position:absolute;left:34003;top:15567;width:59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KnrxgAAAN4AAAAPAAAAZHJzL2Rvd25yZXYueG1sRI9Ba8JA&#10;FITvgv9heUJvutFKkegqoog5eKla6PGRfSbR7Nslu5q0v94tFDwOM/MNs1h1phYPanxlWcF4lIAg&#10;zq2uuFBwPu2GMxA+IGusLZOCH/KwWvZ7C0y1bfmTHsdQiAhhn6KCMgSXSunzkgz6kXXE0bvYxmCI&#10;simkbrCNcFPLSZJ8SIMVx4USHW1Kym/Hu1HwvWWX7VqZX3437nDNZvX+fv5S6m3QrecgAnXhFf5v&#10;Z1rBZDx9n8LfnXgF5PIJAAD//wMAUEsBAi0AFAAGAAgAAAAhANvh9svuAAAAhQEAABMAAAAAAAAA&#10;AAAAAAAAAAAAAFtDb250ZW50X1R5cGVzXS54bWxQSwECLQAUAAYACAAAACEAWvQsW78AAAAVAQAA&#10;CwAAAAAAAAAAAAAAAAAfAQAAX3JlbHMvLnJlbHNQSwECLQAUAAYACAAAACEAFbip68YAAADeAAAA&#10;DwAAAAAAAAAAAAAAAAAHAgAAZHJzL2Rvd25yZXYueG1sUEsFBgAAAAADAAMAtwAAAPoCAAAAAA==&#10;" filled="f" stroked="f">
                  <v:textbox inset="0,0,0,0">
                    <w:txbxContent>
                      <w:p w14:paraId="15320161" w14:textId="77777777" w:rsidR="00B32EF2" w:rsidRDefault="00000000">
                        <w:r>
                          <w:rPr>
                            <w:rFonts w:ascii="Arial" w:eastAsia="Arial" w:hAnsi="Arial" w:cs="Arial"/>
                            <w:sz w:val="18"/>
                          </w:rPr>
                          <w:t>un anno;</w:t>
                        </w:r>
                      </w:p>
                    </w:txbxContent>
                  </v:textbox>
                </v:rect>
                <v:rect id="Rectangle 21435" o:spid="_x0000_s5808" style="position:absolute;left:-2074;top:14334;width:419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AxwxwAAAN4AAAAPAAAAZHJzL2Rvd25yZXYueG1sRI9Pa8JA&#10;FMTvgt9heUJvutFqkdRVikXMoRf/FHp8ZJ9J2uzbJbua6KfvCoLHYWZ+wyxWnanFhRpfWVYwHiUg&#10;iHOrKy4UHA+b4RyED8gaa8uk4EoeVst+b4Gpti3v6LIPhYgQ9ikqKENwqZQ+L8mgH1lHHL2TbQyG&#10;KJtC6gbbCDe1nCTJmzRYcVwo0dG6pPxvfzYKfj7ZZZtW5qfb2n39ZvN6ez5+K/Uy6D7eQQTqwjP8&#10;aGdawWQ8fZ3B/U68AnL5DwAA//8DAFBLAQItABQABgAIAAAAIQDb4fbL7gAAAIUBAAATAAAAAAAA&#10;AAAAAAAAAAAAAABbQ29udGVudF9UeXBlc10ueG1sUEsBAi0AFAAGAAgAAAAhAFr0LFu/AAAAFQEA&#10;AAsAAAAAAAAAAAAAAAAAHwEAAF9yZWxzLy5yZWxzUEsBAi0AFAAGAAgAAAAhAHr0DHDHAAAA3gAA&#10;AA8AAAAAAAAAAAAAAAAABwIAAGRycy9kb3ducmV2LnhtbFBLBQYAAAAAAwADALcAAAD7AgAAAAA=&#10;" filled="f" stroked="f">
                  <v:textbox inset="0,0,0,0">
                    <w:txbxContent>
                      <w:p w14:paraId="4C7658D8" w14:textId="77777777" w:rsidR="00B32EF2" w:rsidRDefault="00000000">
                        <w:r>
                          <w:rPr>
                            <w:rFonts w:ascii="Arial" w:eastAsia="Arial" w:hAnsi="Arial" w:cs="Arial"/>
                            <w:sz w:val="18"/>
                          </w:rPr>
                          <w:t>p) delibera su ogni altra materia ad esso attribuita dalla legge.</w:t>
                        </w:r>
                      </w:p>
                    </w:txbxContent>
                  </v:textbox>
                </v:rect>
                <v:rect id="Rectangle 202165" o:spid="_x0000_s5809" style="position:absolute;left:-12827;top:13101;width:5210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g56yAAAAN8AAAAPAAAAZHJzL2Rvd25yZXYueG1sRI9Pa8JA&#10;FMTvBb/D8oTe6sZARaIbEUWaQy+1Ch4f2Zc/mn27ZFeT9tN3C4Ueh5n5DbPejKYTD+p9a1nBfJaA&#10;IC6tbrlWcPo8vCxB+ICssbNMCr7IwyafPK0x03bgD3ocQy0ihH2GCpoQXCalLxsy6GfWEUevsr3B&#10;EGVfS93jEOGmk2mSLKTBluNCg452DZW3490ouOzZFYdBltX3zr1fi2X3dj+dlXqejtsViEBj+A//&#10;tQutIE3S+eIVfv/ELyDzHwAAAP//AwBQSwECLQAUAAYACAAAACEA2+H2y+4AAACFAQAAEwAAAAAA&#10;AAAAAAAAAAAAAAAAW0NvbnRlbnRfVHlwZXNdLnhtbFBLAQItABQABgAIAAAAIQBa9CxbvwAAABUB&#10;AAALAAAAAAAAAAAAAAAAAB8BAABfcmVscy8ucmVsc1BLAQItABQABgAIAAAAIQB1lg56yAAAAN8A&#10;AAAPAAAAAAAAAAAAAAAAAAcCAABkcnMvZG93bnJldi54bWxQSwUGAAAAAAMAAwC3AAAA/AIAAAAA&#10;" filled="f" stroked="f">
                  <v:textbox inset="0,0,0,0">
                    <w:txbxContent>
                      <w:p w14:paraId="3F156B41" w14:textId="77777777" w:rsidR="00B32EF2" w:rsidRDefault="00000000">
                        <w:r>
                          <w:rPr>
                            <w:rFonts w:ascii="Arial" w:eastAsia="Arial" w:hAnsi="Arial" w:cs="Arial"/>
                            <w:sz w:val="18"/>
                          </w:rPr>
                          <w:t>. Il Consiglio di presidenza vigila sul funzionamento dell’attività giurisdizio</w:t>
                        </w:r>
                      </w:p>
                    </w:txbxContent>
                  </v:textbox>
                </v:rect>
                <v:rect id="Rectangle 202164" o:spid="_x0000_s5810" style="position:absolute;left:26358;top:13101;width:521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qvhyAAAAN8AAAAPAAAAZHJzL2Rvd25yZXYueG1sRI9Pa8JA&#10;FMTvBb/D8oTe6sZQRKIbEUWaQy+1Ch4f2Zc/mn27ZFeT9tN3C4Ueh5n5DbPejKYTD+p9a1nBfJaA&#10;IC6tbrlWcPo8vCxB+ICssbNMCr7IwyafPK0x03bgD3ocQy0ihH2GCpoQXCalLxsy6GfWEUevsr3B&#10;EGVfS93jEOGmk2mSLKTBluNCg452DZW3490ouOzZFYdBltX3zr1fi2X3dj+dlXqejtsViEBj+A//&#10;tQutIE3S+eIVfv/ELyDzHwAAAP//AwBQSwECLQAUAAYACAAAACEA2+H2y+4AAACFAQAAEwAAAAAA&#10;AAAAAAAAAAAAAAAAW0NvbnRlbnRfVHlwZXNdLnhtbFBLAQItABQABgAIAAAAIQBa9CxbvwAAABUB&#10;AAALAAAAAAAAAAAAAAAAAB8BAABfcmVscy8ucmVsc1BLAQItABQABgAIAAAAIQAa2qvhyAAAAN8A&#10;AAAPAAAAAAAAAAAAAAAAAAcCAABkcnMvZG93bnJldi54bWxQSwUGAAAAAAMAAwC3AAAA/AIAAAAA&#10;" filled="f" stroked="f">
                  <v:textbox inset="0,0,0,0">
                    <w:txbxContent>
                      <w:p w14:paraId="77AA2789" w14:textId="77777777" w:rsidR="00B32EF2" w:rsidRDefault="00000000">
                        <w:r>
                          <w:rPr>
                            <w:rFonts w:ascii="Arial" w:eastAsia="Arial" w:hAnsi="Arial" w:cs="Arial"/>
                            <w:sz w:val="18"/>
                          </w:rPr>
                          <w:t>2</w:t>
                        </w:r>
                      </w:p>
                    </w:txbxContent>
                  </v:textbox>
                </v:rect>
                <v:rect id="Rectangle 21437" o:spid="_x0000_s5811" style="position:absolute;left:196;top:13101;width:5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jecxwAAAN4AAAAPAAAAZHJzL2Rvd25yZXYueG1sRI9Pa8JA&#10;FMTvgt9heUJvutGKldRVikXMoRf/FHp8ZJ9J2uzbJbua6KfvCoLHYWZ+wyxWnanFhRpfWVYwHiUg&#10;iHOrKy4UHA+b4RyED8gaa8uk4EoeVst+b4Gpti3v6LIPhYgQ9ikqKENwqZQ+L8mgH1lHHL2TbQyG&#10;KJtC6gbbCDe1nCTJTBqsOC6U6GhdUv63PxsFP5/ssk0r89Nt7b5+s3m9PR+/lXoZdB/vIAJ14Rl+&#10;tDOtYDKevr7B/U68AnL5DwAA//8DAFBLAQItABQABgAIAAAAIQDb4fbL7gAAAIUBAAATAAAAAAAA&#10;AAAAAAAAAAAAAABbQ29udGVudF9UeXBlc10ueG1sUEsBAi0AFAAGAAgAAAAhAFr0LFu/AAAAFQEA&#10;AAsAAAAAAAAAAAAAAAAAHwEAAF9yZWxzLy5yZWxzUEsBAi0AFAAGAAgAAAAhAOVqN5zHAAAA3gAA&#10;AA8AAAAAAAAAAAAAAAAABwIAAGRycy9kb3ducmV2LnhtbFBLBQYAAAAAAwADALcAAAD7AgAAAAA=&#10;" filled="f" stroked="f">
                  <v:textbox inset="0,0,0,0">
                    <w:txbxContent>
                      <w:p w14:paraId="1D0189E1" w14:textId="77777777" w:rsidR="00B32EF2" w:rsidRDefault="00000000">
                        <w:r>
                          <w:rPr>
                            <w:rFonts w:ascii="Arial" w:eastAsia="Arial" w:hAnsi="Arial" w:cs="Arial"/>
                            <w:sz w:val="18"/>
                          </w:rPr>
                          <w:t>-</w:t>
                        </w:r>
                      </w:p>
                    </w:txbxContent>
                  </v:textbox>
                </v:rect>
                <v:rect id="Rectangle 21438" o:spid="_x0000_s5812" style="position:absolute;left:-13167;top:118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aPuxQAAAN4AAAAPAAAAZHJzL2Rvd25yZXYueG1sRE/JasMw&#10;EL0X8g9iArnVctJSgms5hIRQH3ppFuhxsMZLa42EpcROv746FHp8vD3fTKYXNxp8Z1nBMklBEFdW&#10;d9woOJ8Oj2sQPiBr7C2Tgjt52BSzhxwzbUf+oNsxNCKGsM9QQRuCy6T0VUsGfWIdceRqOxgMEQ6N&#10;1AOOMdz0cpWmL9Jgx7GhRUe7lqrv49Uo+NyzKw+jrOqfnXv/Ktf92/V8UWoxn7avIAJN4V/85y61&#10;gtXy+SnujXfiFZDFLwAAAP//AwBQSwECLQAUAAYACAAAACEA2+H2y+4AAACFAQAAEwAAAAAAAAAA&#10;AAAAAAAAAAAAW0NvbnRlbnRfVHlwZXNdLnhtbFBLAQItABQABgAIAAAAIQBa9CxbvwAAABUBAAAL&#10;AAAAAAAAAAAAAAAAAB8BAABfcmVscy8ucmVsc1BLAQItABQABgAIAAAAIQCU9aPuxQAAAN4AAAAP&#10;AAAAAAAAAAAAAAAAAAcCAABkcnMvZG93bnJldi54bWxQSwUGAAAAAAMAAwC3AAAA+QIAAAAA&#10;" filled="f" stroked="f">
                  <v:textbox inset="0,0,0,0">
                    <w:txbxContent>
                      <w:p w14:paraId="7F895000" w14:textId="77777777" w:rsidR="00B32EF2" w:rsidRDefault="00000000">
                        <w:r>
                          <w:rPr>
                            <w:rFonts w:ascii="Arial" w:eastAsia="Arial" w:hAnsi="Arial" w:cs="Arial"/>
                            <w:sz w:val="18"/>
                          </w:rPr>
                          <w:t xml:space="preserve">nale delle corti di giustizia tributaria di primo e secondo grado e può disporre </w:t>
                        </w:r>
                      </w:p>
                    </w:txbxContent>
                  </v:textbox>
                </v:rect>
                <v:rect id="Rectangle 21439" o:spid="_x0000_s5813" style="position:absolute;left:7562;top:10634;width:323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QZ1xwAAAN4AAAAPAAAAZHJzL2Rvd25yZXYueG1sRI9Pa8JA&#10;FMTvgt9heUJvutGK2NRVikXMoRf/FHp8ZJ9J2uzbJbua6KfvCoLHYWZ+wyxWnanFhRpfWVYwHiUg&#10;iHOrKy4UHA+b4RyED8gaa8uk4EoeVst+b4Gpti3v6LIPhYgQ9ikqKENwqZQ+L8mgH1lHHL2TbQyG&#10;KJtC6gbbCDe1nCTJTBqsOC6U6GhdUv63PxsFP5/ssk0r89Nt7b5+s3m9PR+/lXoZdB/vIAJ14Rl+&#10;tDOtYDKevr7B/U68AnL5DwAA//8DAFBLAQItABQABgAIAAAAIQDb4fbL7gAAAIUBAAATAAAAAAAA&#10;AAAAAAAAAAAAAABbQ29udGVudF9UeXBlc10ueG1sUEsBAi0AFAAGAAgAAAAhAFr0LFu/AAAAFQEA&#10;AAsAAAAAAAAAAAAAAAAAHwEAAF9yZWxzLy5yZWxzUEsBAi0AFAAGAAgAAAAhAPu5BnXHAAAA3gAA&#10;AA8AAAAAAAAAAAAAAAAABwIAAGRycy9kb3ducmV2LnhtbFBLBQYAAAAAAwADALcAAAD7AgAAAAA=&#10;" filled="f" stroked="f">
                  <v:textbox inset="0,0,0,0">
                    <w:txbxContent>
                      <w:p w14:paraId="0F9F0D5D" w14:textId="77777777" w:rsidR="00B32EF2" w:rsidRDefault="00000000">
                        <w:r>
                          <w:rPr>
                            <w:rFonts w:ascii="Arial" w:eastAsia="Arial" w:hAnsi="Arial" w:cs="Arial"/>
                            <w:sz w:val="18"/>
                          </w:rPr>
                          <w:t>ispezioni nei confronti del personale giudicante.</w:t>
                        </w:r>
                      </w:p>
                    </w:txbxContent>
                  </v:textbox>
                </v:rect>
                <v:rect id="Rectangle 202162" o:spid="_x0000_s5814" style="position:absolute;left:26114;top:940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5YOxgAAAN8AAAAPAAAAZHJzL2Rvd25yZXYueG1sRI9Pi8Iw&#10;FMTvgt8hvAVvmtqDSNco4iL24MV/4PHRPNuuzUtoou3upzcLCx6HmfkNs1j1phFPan1tWcF0koAg&#10;LqyuuVRwPm3HcxA+IGtsLJOCH/KwWg4HC8y07fhAz2MoRYSwz1BBFYLLpPRFRQb9xDri6N1sazBE&#10;2ZZSt9hFuGlkmiQzabDmuFCho01Fxf34MAquX+zybSeL2+/G7b/zebN7nC9KjT769SeIQH14h//b&#10;uVaQJul0lsLfn/gF5PIFAAD//wMAUEsBAi0AFAAGAAgAAAAhANvh9svuAAAAhQEAABMAAAAAAAAA&#10;AAAAAAAAAAAAAFtDb250ZW50X1R5cGVzXS54bWxQSwECLQAUAAYACAAAACEAWvQsW78AAAAVAQAA&#10;CwAAAAAAAAAAAAAAAAAfAQAAX3JlbHMvLnJlbHNQSwECLQAUAAYACAAAACEA+n+WDsYAAADfAAAA&#10;DwAAAAAAAAAAAAAAAAAHAgAAZHJzL2Rvd25yZXYueG1sUEsFBgAAAAADAAMAtwAAAPoCAAAAAA==&#10;" filled="f" stroked="f">
                  <v:textbox inset="0,0,0,0">
                    <w:txbxContent>
                      <w:p w14:paraId="4ACC6F62" w14:textId="77777777" w:rsidR="00B32EF2" w:rsidRDefault="00000000">
                        <w:r>
                          <w:rPr>
                            <w:rFonts w:ascii="Arial" w:eastAsia="Arial" w:hAnsi="Arial" w:cs="Arial"/>
                            <w:sz w:val="18"/>
                          </w:rPr>
                          <w:t>3</w:t>
                        </w:r>
                      </w:p>
                    </w:txbxContent>
                  </v:textbox>
                </v:rect>
                <v:rect id="Rectangle 202163" o:spid="_x0000_s5815" style="position:absolute;left:-13812;top:940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zOVyAAAAN8AAAAPAAAAZHJzL2Rvd25yZXYueG1sRI9Pa8JA&#10;FMTvBb/D8oTe6sYURKIbEUWaQy+1Ch4f2Zc/mn27ZFeT9tN3C4Ueh5n5DbPejKYTD+p9a1nBfJaA&#10;IC6tbrlWcPo8vCxB+ICssbNMCr7IwyafPK0x03bgD3ocQy0ihH2GCpoQXCalLxsy6GfWEUevsr3B&#10;EGVfS93jEOGmk2mSLKTBluNCg452DZW3490ouOzZFYdBltX3zr1fi2X3dj+dlXqejtsViEBj+A//&#10;tQutIE3S+eIVfv/ELyDzHwAAAP//AwBQSwECLQAUAAYACAAAACEA2+H2y+4AAACFAQAAEwAAAAAA&#10;AAAAAAAAAAAAAAAAW0NvbnRlbnRfVHlwZXNdLnhtbFBLAQItABQABgAIAAAAIQBa9CxbvwAAABUB&#10;AAALAAAAAAAAAAAAAAAAAB8BAABfcmVscy8ucmVsc1BLAQItABQABgAIAAAAIQCVMzOVyAAAAN8A&#10;AAAPAAAAAAAAAAAAAAAAAAcCAABkcnMvZG93bnJldi54bWxQSwUGAAAAAAMAAwC3AAAA/AIAAAAA&#10;" filled="f" stroked="f">
                  <v:textbox inset="0,0,0,0">
                    <w:txbxContent>
                      <w:p w14:paraId="048E855B" w14:textId="77777777" w:rsidR="00B32EF2" w:rsidRDefault="00000000">
                        <w:r>
                          <w:rPr>
                            <w:rFonts w:ascii="Arial" w:eastAsia="Arial" w:hAnsi="Arial" w:cs="Arial"/>
                            <w:sz w:val="18"/>
                          </w:rPr>
                          <w:t xml:space="preserve">. Al fine di garantire l’esercizio efficiente delle attribuzioni di cui al comma </w:t>
                        </w:r>
                      </w:p>
                    </w:txbxContent>
                  </v:textbox>
                </v:rect>
                <v:rect id="Rectangle 202160" o:spid="_x0000_s5816" style="position:absolute;left:26114;top:81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3ixQAAAN8AAAAPAAAAZHJzL2Rvd25yZXYueG1sRI/NisIw&#10;FIX3A75DuIK7MbULkWoUUcQu3OgouLw017ba3IQm2urTTxYDszycP77FqjeNeFHra8sKJuMEBHFh&#10;dc2lgvPP7nsGwgdkjY1lUvAmD6vl4GuBmbYdH+l1CqWII+wzVFCF4DIpfVGRQT+2jjh6N9saDFG2&#10;pdQtdnHcNDJNkqk0WHN8qNDRpqLicXoaBdctu3zXyeL22bjDPZ81++f5otRo2K/nIAL14T/81861&#10;gjRJJ9NIEHkiC8jlLwAAAP//AwBQSwECLQAUAAYACAAAACEA2+H2y+4AAACFAQAAEwAAAAAAAAAA&#10;AAAAAAAAAAAAW0NvbnRlbnRfVHlwZXNdLnhtbFBLAQItABQABgAIAAAAIQBa9CxbvwAAABUBAAAL&#10;AAAAAAAAAAAAAAAAAB8BAABfcmVscy8ucmVsc1BLAQItABQABgAIAAAAIQBl4a3ixQAAAN8AAAAP&#10;AAAAAAAAAAAAAAAAAAcCAABkcnMvZG93bnJldi54bWxQSwUGAAAAAAMAAwC3AAAA+QIAAAAA&#10;" filled="f" stroked="f">
                  <v:textbox inset="0,0,0,0">
                    <w:txbxContent>
                      <w:p w14:paraId="62C7AD5D" w14:textId="77777777" w:rsidR="00B32EF2" w:rsidRDefault="00000000">
                        <w:r>
                          <w:rPr>
                            <w:rFonts w:ascii="Arial" w:eastAsia="Arial" w:hAnsi="Arial" w:cs="Arial"/>
                            <w:sz w:val="18"/>
                          </w:rPr>
                          <w:t>2</w:t>
                        </w:r>
                      </w:p>
                    </w:txbxContent>
                  </v:textbox>
                </v:rect>
                <v:rect id="Rectangle 202161" o:spid="_x0000_s5817" style="position:absolute;left:-13806;top:81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h5xwAAAN8AAAAPAAAAZHJzL2Rvd25yZXYueG1sRI9Ba8JA&#10;FITvBf/D8gRvdZMcRFJXKYqYg5eqhR4f2WeSNvt2ya4m+uu7guBxmJlvmMVqMK24UucbywrSaQKC&#10;uLS64UrB6bh9n4PwAVlja5kU3MjDajl6W2Cubc9fdD2ESkQI+xwV1CG4XEpf1mTQT60jjt7ZdgZD&#10;lF0ldYd9hJtWZkkykwYbjgs1OlrXVP4dLkbBz4Zdse1leb6v3f63mLe7y+lbqcl4+PwAEWgIr/Cz&#10;XWgFWZKlsxQef+IXkMt/AAAA//8DAFBLAQItABQABgAIAAAAIQDb4fbL7gAAAIUBAAATAAAAAAAA&#10;AAAAAAAAAAAAAABbQ29udGVudF9UeXBlc10ueG1sUEsBAi0AFAAGAAgAAAAhAFr0LFu/AAAAFQEA&#10;AAsAAAAAAAAAAAAAAAAAHwEAAF9yZWxzLy5yZWxzUEsBAi0AFAAGAAgAAAAhAAqtCHnHAAAA3wAA&#10;AA8AAAAAAAAAAAAAAAAABwIAAGRycy9kb3ducmV2LnhtbFBLBQYAAAAAAwADALcAAAD7AgAAAAA=&#10;" filled="f" stroked="f">
                  <v:textbox inset="0,0,0,0">
                    <w:txbxContent>
                      <w:p w14:paraId="7C82EB48" w14:textId="77777777" w:rsidR="00B32EF2" w:rsidRDefault="00000000">
                        <w:r>
                          <w:rPr>
                            <w:rFonts w:ascii="Arial" w:eastAsia="Arial" w:hAnsi="Arial" w:cs="Arial"/>
                            <w:sz w:val="18"/>
                          </w:rPr>
                          <w:t xml:space="preserve">, presso il Consiglio di presidenza è istituito, con carattere di autonomia e </w:t>
                        </w:r>
                      </w:p>
                    </w:txbxContent>
                  </v:textbox>
                </v:rect>
                <v:rect id="Rectangle 21442" o:spid="_x0000_s5818" style="position:absolute;left:-13167;top:69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d5xgAAAN4AAAAPAAAAZHJzL2Rvd25yZXYueG1sRI9Ba8JA&#10;FITvgv9heYXedGMQkegqRZHm4EWr4PGRfSZps2+X7Gpif31XEHocZuYbZrnuTSPu1PrasoLJOAFB&#10;XFhdc6ng9LUbzUH4gKyxsUwKHuRhvRoOlphp2/GB7sdQighhn6GCKgSXSemLigz6sXXE0bva1mCI&#10;si2lbrGLcNPINElm0mDNcaFCR5uKip/jzSi4bNnlu04W19+N23/n8+bzdjor9f7WfyxABOrDf/jV&#10;zrWCdDKdpvC8E6+AXP0BAAD//wMAUEsBAi0AFAAGAAgAAAAhANvh9svuAAAAhQEAABMAAAAAAAAA&#10;AAAAAAAAAAAAAFtDb250ZW50X1R5cGVzXS54bWxQSwECLQAUAAYACAAAACEAWvQsW78AAAAVAQAA&#10;CwAAAAAAAAAAAAAAAAAfAQAAX3JlbHMvLnJlbHNQSwECLQAUAAYACAAAACEArRvnecYAAADeAAAA&#10;DwAAAAAAAAAAAAAAAAAHAgAAZHJzL2Rvd25yZXYueG1sUEsFBgAAAAADAAMAtwAAAPoCAAAAAA==&#10;" filled="f" stroked="f">
                  <v:textbox inset="0,0,0,0">
                    <w:txbxContent>
                      <w:p w14:paraId="39D3A271" w14:textId="77777777" w:rsidR="00B32EF2" w:rsidRDefault="00000000">
                        <w:r>
                          <w:rPr>
                            <w:rFonts w:ascii="Arial" w:eastAsia="Arial" w:hAnsi="Arial" w:cs="Arial"/>
                            <w:sz w:val="18"/>
                          </w:rPr>
                          <w:t xml:space="preserve">indipendenza, l’ufficio ispettivo, a cui sono assegnati sei magistrati o giudici </w:t>
                        </w:r>
                      </w:p>
                    </w:txbxContent>
                  </v:textbox>
                </v:rect>
                <v:rect id="Rectangle 21443" o:spid="_x0000_s5819" style="position:absolute;left:-13178;top:5701;width:531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0LixgAAAN4AAAAPAAAAZHJzL2Rvd25yZXYueG1sRI9Ba8JA&#10;FITvgv9heUJvutFKkegqoog5eKla6PGRfSbR7Nslu5q0v94tFDwOM/MNs1h1phYPanxlWcF4lIAg&#10;zq2uuFBwPu2GMxA+IGusLZOCH/KwWvZ7C0y1bfmTHsdQiAhhn6KCMgSXSunzkgz6kXXE0bvYxmCI&#10;simkbrCNcFPLSZJ8SIMVx4USHW1Kym/Hu1HwvWWX7VqZX3437nDNZvX+fv5S6m3QrecgAnXhFf5v&#10;Z1rBZDydvsPfnXgF5PIJAAD//wMAUEsBAi0AFAAGAAgAAAAhANvh9svuAAAAhQEAABMAAAAAAAAA&#10;AAAAAAAAAAAAAFtDb250ZW50X1R5cGVzXS54bWxQSwECLQAUAAYACAAAACEAWvQsW78AAAAVAQAA&#10;CwAAAAAAAAAAAAAAAAAfAQAAX3JlbHMvLnJlbHNQSwECLQAUAAYACAAAACEAwldC4sYAAADeAAAA&#10;DwAAAAAAAAAAAAAAAAAHAgAAZHJzL2Rvd25yZXYueG1sUEsFBgAAAAADAAMAtwAAAPoCAAAAAA==&#10;" filled="f" stroked="f">
                  <v:textbox inset="0,0,0,0">
                    <w:txbxContent>
                      <w:p w14:paraId="657A6ABB" w14:textId="77777777" w:rsidR="00B32EF2" w:rsidRDefault="00000000">
                        <w:r>
                          <w:rPr>
                            <w:rFonts w:ascii="Arial" w:eastAsia="Arial" w:hAnsi="Arial" w:cs="Arial"/>
                            <w:sz w:val="18"/>
                          </w:rPr>
                          <w:t xml:space="preserve">tributari, tra i quali è nominato un direttore. L’ufficio ispettivo può svolgere, col </w:t>
                        </w:r>
                      </w:p>
                    </w:txbxContent>
                  </v:textbox>
                </v:rect>
                <v:rect id="Rectangle 21444" o:spid="_x0000_s5820" style="position:absolute;left:-13168;top:4467;width:530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tqWxgAAAN4AAAAPAAAAZHJzL2Rvd25yZXYueG1sRI9Ba8JA&#10;FITvgv9heUJvulFCkegqokhz8FKr4PGRfSbR7Nslu5rYX98tFHocZuYbZrnuTSOe1PrasoLpJAFB&#10;XFhdc6ng9LUfz0H4gKyxsUwKXuRhvRoOlphp2/EnPY+hFBHCPkMFVQguk9IXFRn0E+uIo3e1rcEQ&#10;ZVtK3WIX4aaRsyR5lwZrjgsVOtpWVNyPD6PgsmOX7ztZXL+37nDL583H43RW6m3UbxYgAvXhP/zX&#10;zrWC2TRNU/i9E6+AXP0AAAD//wMAUEsBAi0AFAAGAAgAAAAhANvh9svuAAAAhQEAABMAAAAAAAAA&#10;AAAAAAAAAAAAAFtDb250ZW50X1R5cGVzXS54bWxQSwECLQAUAAYACAAAACEAWvQsW78AAAAVAQAA&#10;CwAAAAAAAAAAAAAAAAAfAQAAX3JlbHMvLnJlbHNQSwECLQAUAAYACAAAACEATb7alsYAAADeAAAA&#10;DwAAAAAAAAAAAAAAAAAHAgAAZHJzL2Rvd25yZXYueG1sUEsFBgAAAAADAAMAtwAAAPoCAAAAAA==&#10;" filled="f" stroked="f">
                  <v:textbox inset="0,0,0,0">
                    <w:txbxContent>
                      <w:p w14:paraId="2EB60C82" w14:textId="77777777" w:rsidR="00B32EF2" w:rsidRDefault="00000000">
                        <w:r>
                          <w:rPr>
                            <w:rFonts w:ascii="Arial" w:eastAsia="Arial" w:hAnsi="Arial" w:cs="Arial"/>
                            <w:sz w:val="18"/>
                          </w:rPr>
                          <w:t xml:space="preserve">supporto del Dipartimento della giustizia tributaria del Ministero dell’economia </w:t>
                        </w:r>
                      </w:p>
                    </w:txbxContent>
                  </v:textbox>
                </v:rect>
                <w10:anchorlock/>
              </v:group>
            </w:pict>
          </mc:Fallback>
        </mc:AlternateContent>
      </w:r>
    </w:p>
    <w:p w14:paraId="75AC668C" w14:textId="77777777" w:rsidR="00B32EF2" w:rsidRDefault="00000000">
      <w:pPr>
        <w:spacing w:after="0"/>
        <w:ind w:left="-356" w:right="-306"/>
      </w:pPr>
      <w:r>
        <w:rPr>
          <w:noProof/>
        </w:rPr>
        <w:lastRenderedPageBreak/>
        <mc:AlternateContent>
          <mc:Choice Requires="wpg">
            <w:drawing>
              <wp:inline distT="0" distB="0" distL="0" distR="0" wp14:anchorId="23CD8F5F" wp14:editId="20020695">
                <wp:extent cx="3991905" cy="6262854"/>
                <wp:effectExtent l="0" t="0" r="0" b="0"/>
                <wp:docPr id="202123" name="Group 202123"/>
                <wp:cNvGraphicFramePr/>
                <a:graphic xmlns:a="http://schemas.openxmlformats.org/drawingml/2006/main">
                  <a:graphicData uri="http://schemas.microsoft.com/office/word/2010/wordprocessingGroup">
                    <wpg:wgp>
                      <wpg:cNvGrpSpPr/>
                      <wpg:grpSpPr>
                        <a:xfrm>
                          <a:off x="0" y="0"/>
                          <a:ext cx="3991905" cy="6262854"/>
                          <a:chOff x="0" y="0"/>
                          <a:chExt cx="3991905" cy="6262854"/>
                        </a:xfrm>
                      </wpg:grpSpPr>
                      <wps:wsp>
                        <wps:cNvPr id="21461" name="Rectangle 21461"/>
                        <wps:cNvSpPr/>
                        <wps:spPr>
                          <a:xfrm rot="-10799999">
                            <a:off x="1900591" y="-62190"/>
                            <a:ext cx="178369" cy="250646"/>
                          </a:xfrm>
                          <a:prstGeom prst="rect">
                            <a:avLst/>
                          </a:prstGeom>
                          <a:ln>
                            <a:noFill/>
                          </a:ln>
                        </wps:spPr>
                        <wps:txbx>
                          <w:txbxContent>
                            <w:p w14:paraId="4612FA92" w14:textId="77777777" w:rsidR="00B32EF2" w:rsidRDefault="00000000">
                              <w:r>
                                <w:rPr>
                                  <w:rFonts w:ascii="Times New Roman" w:eastAsia="Times New Roman" w:hAnsi="Times New Roman" w:cs="Times New Roman"/>
                                </w:rPr>
                                <w:t>33</w:t>
                              </w:r>
                            </w:p>
                          </w:txbxContent>
                        </wps:txbx>
                        <wps:bodyPr horzOverflow="overflow" vert="horz" lIns="0" tIns="0" rIns="0" bIns="0" rtlCol="0">
                          <a:noAutofit/>
                        </wps:bodyPr>
                      </wps:wsp>
                      <wps:wsp>
                        <wps:cNvPr id="202067" name="Rectangle 202067"/>
                        <wps:cNvSpPr/>
                        <wps:spPr>
                          <a:xfrm rot="-10799999">
                            <a:off x="2635789" y="6119964"/>
                            <a:ext cx="5209433" cy="142890"/>
                          </a:xfrm>
                          <a:prstGeom prst="rect">
                            <a:avLst/>
                          </a:prstGeom>
                          <a:ln>
                            <a:noFill/>
                          </a:ln>
                        </wps:spPr>
                        <wps:txbx>
                          <w:txbxContent>
                            <w:p w14:paraId="29BB5E1D"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202068" name="Rectangle 202068"/>
                        <wps:cNvSpPr/>
                        <wps:spPr>
                          <a:xfrm rot="-10799999">
                            <a:off x="-1274791" y="6119964"/>
                            <a:ext cx="5209433" cy="142890"/>
                          </a:xfrm>
                          <a:prstGeom prst="rect">
                            <a:avLst/>
                          </a:prstGeom>
                          <a:ln>
                            <a:noFill/>
                          </a:ln>
                        </wps:spPr>
                        <wps:txbx>
                          <w:txbxContent>
                            <w:p w14:paraId="3571ED44" w14:textId="77777777" w:rsidR="00B32EF2" w:rsidRDefault="00000000">
                              <w:r>
                                <w:rPr>
                                  <w:rFonts w:ascii="Arial" w:eastAsia="Arial" w:hAnsi="Arial" w:cs="Arial"/>
                                  <w:sz w:val="18"/>
                                </w:rPr>
                                <w:t>. Gli uffici elettorali locali presiedono alle operazioni di voto che si svolgono pres</w:t>
                              </w:r>
                            </w:p>
                          </w:txbxContent>
                        </wps:txbx>
                        <wps:bodyPr horzOverflow="overflow" vert="horz" lIns="0" tIns="0" rIns="0" bIns="0" rtlCol="0">
                          <a:noAutofit/>
                        </wps:bodyPr>
                      </wps:wsp>
                      <wps:wsp>
                        <wps:cNvPr id="21463" name="Rectangle 21463"/>
                        <wps:cNvSpPr/>
                        <wps:spPr>
                          <a:xfrm rot="-10799999">
                            <a:off x="19307" y="6119965"/>
                            <a:ext cx="50622" cy="142889"/>
                          </a:xfrm>
                          <a:prstGeom prst="rect">
                            <a:avLst/>
                          </a:prstGeom>
                          <a:ln>
                            <a:noFill/>
                          </a:ln>
                        </wps:spPr>
                        <wps:txbx>
                          <w:txbxContent>
                            <w:p w14:paraId="445CB22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464" name="Rectangle 21464"/>
                        <wps:cNvSpPr/>
                        <wps:spPr>
                          <a:xfrm rot="-10799999">
                            <a:off x="-1316528" y="5996634"/>
                            <a:ext cx="5306148" cy="142891"/>
                          </a:xfrm>
                          <a:prstGeom prst="rect">
                            <a:avLst/>
                          </a:prstGeom>
                          <a:ln>
                            <a:noFill/>
                          </a:ln>
                        </wps:spPr>
                        <wps:txbx>
                          <w:txbxContent>
                            <w:p w14:paraId="4325066C" w14:textId="77777777" w:rsidR="00B32EF2" w:rsidRDefault="00000000">
                              <w:r>
                                <w:rPr>
                                  <w:rFonts w:ascii="Arial" w:eastAsia="Arial" w:hAnsi="Arial" w:cs="Arial"/>
                                  <w:sz w:val="18"/>
                                </w:rPr>
                                <w:t xml:space="preserve">so di esse e provvedono allo scrutinio di tutte le schede elettorali, previa apertura </w:t>
                              </w:r>
                            </w:p>
                          </w:txbxContent>
                        </wps:txbx>
                        <wps:bodyPr horzOverflow="overflow" vert="horz" lIns="0" tIns="0" rIns="0" bIns="0" rtlCol="0">
                          <a:noAutofit/>
                        </wps:bodyPr>
                      </wps:wsp>
                      <wps:wsp>
                        <wps:cNvPr id="21465" name="Rectangle 21465"/>
                        <wps:cNvSpPr/>
                        <wps:spPr>
                          <a:xfrm rot="-10799999">
                            <a:off x="-1316133" y="5873305"/>
                            <a:ext cx="5305753" cy="142889"/>
                          </a:xfrm>
                          <a:prstGeom prst="rect">
                            <a:avLst/>
                          </a:prstGeom>
                          <a:ln>
                            <a:noFill/>
                          </a:ln>
                        </wps:spPr>
                        <wps:txbx>
                          <w:txbxContent>
                            <w:p w14:paraId="49D977F0" w14:textId="77777777" w:rsidR="00B32EF2" w:rsidRDefault="00000000">
                              <w:r>
                                <w:rPr>
                                  <w:rFonts w:ascii="Arial" w:eastAsia="Arial" w:hAnsi="Arial" w:cs="Arial"/>
                                  <w:sz w:val="18"/>
                                </w:rPr>
                                <w:t xml:space="preserve">delle urne e conteggio delle schede, determinando il totale dei voti validi e il totale </w:t>
                              </w:r>
                            </w:p>
                          </w:txbxContent>
                        </wps:txbx>
                        <wps:bodyPr horzOverflow="overflow" vert="horz" lIns="0" tIns="0" rIns="0" bIns="0" rtlCol="0">
                          <a:noAutofit/>
                        </wps:bodyPr>
                      </wps:wsp>
                      <wps:wsp>
                        <wps:cNvPr id="21466" name="Rectangle 21466"/>
                        <wps:cNvSpPr/>
                        <wps:spPr>
                          <a:xfrm rot="-10799999">
                            <a:off x="-1316300" y="5749976"/>
                            <a:ext cx="5305920" cy="142889"/>
                          </a:xfrm>
                          <a:prstGeom prst="rect">
                            <a:avLst/>
                          </a:prstGeom>
                          <a:ln>
                            <a:noFill/>
                          </a:ln>
                        </wps:spPr>
                        <wps:txbx>
                          <w:txbxContent>
                            <w:p w14:paraId="0DCDAA2F" w14:textId="77777777" w:rsidR="00B32EF2" w:rsidRDefault="00000000">
                              <w:r>
                                <w:rPr>
                                  <w:rFonts w:ascii="Arial" w:eastAsia="Arial" w:hAnsi="Arial" w:cs="Arial"/>
                                  <w:sz w:val="18"/>
                                </w:rPr>
                                <w:t xml:space="preserve">delle preferenze per ciascun candidato. Le operazioni di scrutinio hanno inizio il </w:t>
                              </w:r>
                            </w:p>
                          </w:txbxContent>
                        </wps:txbx>
                        <wps:bodyPr horzOverflow="overflow" vert="horz" lIns="0" tIns="0" rIns="0" bIns="0" rtlCol="0">
                          <a:noAutofit/>
                        </wps:bodyPr>
                      </wps:wsp>
                      <wps:wsp>
                        <wps:cNvPr id="21467" name="Rectangle 21467"/>
                        <wps:cNvSpPr/>
                        <wps:spPr>
                          <a:xfrm rot="-10799999">
                            <a:off x="-1316148" y="5626646"/>
                            <a:ext cx="5305767" cy="142889"/>
                          </a:xfrm>
                          <a:prstGeom prst="rect">
                            <a:avLst/>
                          </a:prstGeom>
                          <a:ln>
                            <a:noFill/>
                          </a:ln>
                        </wps:spPr>
                        <wps:txbx>
                          <w:txbxContent>
                            <w:p w14:paraId="6095C8E1" w14:textId="77777777" w:rsidR="00B32EF2" w:rsidRDefault="00000000">
                              <w:r>
                                <w:rPr>
                                  <w:rFonts w:ascii="Arial" w:eastAsia="Arial" w:hAnsi="Arial" w:cs="Arial"/>
                                  <w:sz w:val="18"/>
                                </w:rPr>
                                <w:t xml:space="preserve">giorno successivo a quello di voto e di esse, come pure delle contestazioni decise </w:t>
                              </w:r>
                            </w:p>
                          </w:txbxContent>
                        </wps:txbx>
                        <wps:bodyPr horzOverflow="overflow" vert="horz" lIns="0" tIns="0" rIns="0" bIns="0" rtlCol="0">
                          <a:noAutofit/>
                        </wps:bodyPr>
                      </wps:wsp>
                      <wps:wsp>
                        <wps:cNvPr id="21468" name="Rectangle 21468"/>
                        <wps:cNvSpPr/>
                        <wps:spPr>
                          <a:xfrm rot="-10799999">
                            <a:off x="-284227" y="5503316"/>
                            <a:ext cx="4273847" cy="142889"/>
                          </a:xfrm>
                          <a:prstGeom prst="rect">
                            <a:avLst/>
                          </a:prstGeom>
                          <a:ln>
                            <a:noFill/>
                          </a:ln>
                        </wps:spPr>
                        <wps:txbx>
                          <w:txbxContent>
                            <w:p w14:paraId="0845A3E3" w14:textId="77777777" w:rsidR="00B32EF2" w:rsidRDefault="00000000">
                              <w:r>
                                <w:rPr>
                                  <w:rFonts w:ascii="Arial" w:eastAsia="Arial" w:hAnsi="Arial" w:cs="Arial"/>
                                  <w:sz w:val="18"/>
                                </w:rPr>
                                <w:t>ai sensi dell’articolo 28, comma 4, si dà atto nel processo verbale.</w:t>
                              </w:r>
                            </w:p>
                          </w:txbxContent>
                        </wps:txbx>
                        <wps:bodyPr horzOverflow="overflow" vert="horz" lIns="0" tIns="0" rIns="0" bIns="0" rtlCol="0">
                          <a:noAutofit/>
                        </wps:bodyPr>
                      </wps:wsp>
                      <wps:wsp>
                        <wps:cNvPr id="202065" name="Rectangle 202065"/>
                        <wps:cNvSpPr/>
                        <wps:spPr>
                          <a:xfrm rot="-10799999">
                            <a:off x="2611083" y="5379987"/>
                            <a:ext cx="5309006" cy="142889"/>
                          </a:xfrm>
                          <a:prstGeom prst="rect">
                            <a:avLst/>
                          </a:prstGeom>
                          <a:ln>
                            <a:noFill/>
                          </a:ln>
                        </wps:spPr>
                        <wps:txbx>
                          <w:txbxContent>
                            <w:p w14:paraId="70BBD52F" w14:textId="77777777" w:rsidR="00B32EF2" w:rsidRDefault="00000000">
                              <w:r>
                                <w:rPr>
                                  <w:rFonts w:ascii="Arial" w:eastAsia="Arial" w:hAnsi="Arial" w:cs="Arial"/>
                                  <w:sz w:val="18"/>
                                </w:rPr>
                                <w:t>8</w:t>
                              </w:r>
                            </w:p>
                          </w:txbxContent>
                        </wps:txbx>
                        <wps:bodyPr horzOverflow="overflow" vert="horz" lIns="0" tIns="0" rIns="0" bIns="0" rtlCol="0">
                          <a:noAutofit/>
                        </wps:bodyPr>
                      </wps:wsp>
                      <wps:wsp>
                        <wps:cNvPr id="202066" name="Rectangle 202066"/>
                        <wps:cNvSpPr/>
                        <wps:spPr>
                          <a:xfrm rot="-10799999">
                            <a:off x="-1381954" y="5379987"/>
                            <a:ext cx="5309006" cy="142889"/>
                          </a:xfrm>
                          <a:prstGeom prst="rect">
                            <a:avLst/>
                          </a:prstGeom>
                          <a:ln>
                            <a:noFill/>
                          </a:ln>
                        </wps:spPr>
                        <wps:txbx>
                          <w:txbxContent>
                            <w:p w14:paraId="03D9C745" w14:textId="77777777" w:rsidR="00B32EF2" w:rsidRDefault="00000000">
                              <w:r>
                                <w:rPr>
                                  <w:rFonts w:ascii="Arial" w:eastAsia="Arial" w:hAnsi="Arial" w:cs="Arial"/>
                                  <w:sz w:val="18"/>
                                </w:rPr>
                                <w:t xml:space="preserve">. Con regolamento del Consiglio di presidenza sono stabilite le disposizioni di </w:t>
                              </w:r>
                            </w:p>
                          </w:txbxContent>
                        </wps:txbx>
                        <wps:bodyPr horzOverflow="overflow" vert="horz" lIns="0" tIns="0" rIns="0" bIns="0" rtlCol="0">
                          <a:noAutofit/>
                        </wps:bodyPr>
                      </wps:wsp>
                      <wps:wsp>
                        <wps:cNvPr id="21470" name="Rectangle 21470"/>
                        <wps:cNvSpPr/>
                        <wps:spPr>
                          <a:xfrm rot="-10799999">
                            <a:off x="1801006" y="5256657"/>
                            <a:ext cx="2190898" cy="142889"/>
                          </a:xfrm>
                          <a:prstGeom prst="rect">
                            <a:avLst/>
                          </a:prstGeom>
                          <a:ln>
                            <a:noFill/>
                          </a:ln>
                        </wps:spPr>
                        <wps:txbx>
                          <w:txbxContent>
                            <w:p w14:paraId="262678AF" w14:textId="77777777" w:rsidR="00B32EF2" w:rsidRDefault="00000000">
                              <w:r>
                                <w:rPr>
                                  <w:rFonts w:ascii="Arial" w:eastAsia="Arial" w:hAnsi="Arial" w:cs="Arial"/>
                                  <w:sz w:val="18"/>
                                </w:rPr>
                                <w:t>attuazione del presente articolo.</w:t>
                              </w:r>
                            </w:p>
                          </w:txbxContent>
                        </wps:txbx>
                        <wps:bodyPr horzOverflow="overflow" vert="horz" lIns="0" tIns="0" rIns="0" bIns="0" rtlCol="0">
                          <a:noAutofit/>
                        </wps:bodyPr>
                      </wps:wsp>
                      <wps:wsp>
                        <wps:cNvPr id="21471" name="Rectangle 21471"/>
                        <wps:cNvSpPr/>
                        <wps:spPr>
                          <a:xfrm rot="-10799999">
                            <a:off x="1507201" y="5009998"/>
                            <a:ext cx="809866" cy="142889"/>
                          </a:xfrm>
                          <a:prstGeom prst="rect">
                            <a:avLst/>
                          </a:prstGeom>
                          <a:ln>
                            <a:noFill/>
                          </a:ln>
                        </wps:spPr>
                        <wps:txbx>
                          <w:txbxContent>
                            <w:p w14:paraId="27AD9607" w14:textId="77777777" w:rsidR="00B32EF2" w:rsidRDefault="00000000">
                              <w:r>
                                <w:rPr>
                                  <w:rFonts w:ascii="Arial" w:eastAsia="Arial" w:hAnsi="Arial" w:cs="Arial"/>
                                  <w:b/>
                                  <w:sz w:val="18"/>
                                </w:rPr>
                                <w:t>Articolo 28</w:t>
                              </w:r>
                            </w:p>
                          </w:txbxContent>
                        </wps:txbx>
                        <wps:bodyPr horzOverflow="overflow" vert="horz" lIns="0" tIns="0" rIns="0" bIns="0" rtlCol="0">
                          <a:noAutofit/>
                        </wps:bodyPr>
                      </wps:wsp>
                      <wps:wsp>
                        <wps:cNvPr id="202062" name="Rectangle 202062"/>
                        <wps:cNvSpPr/>
                        <wps:spPr>
                          <a:xfrm rot="-10799999">
                            <a:off x="2222133" y="4886668"/>
                            <a:ext cx="1942423" cy="142889"/>
                          </a:xfrm>
                          <a:prstGeom prst="rect">
                            <a:avLst/>
                          </a:prstGeom>
                          <a:ln>
                            <a:noFill/>
                          </a:ln>
                        </wps:spPr>
                        <wps:txbx>
                          <w:txbxContent>
                            <w:p w14:paraId="349A803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063" name="Rectangle 202063"/>
                        <wps:cNvSpPr/>
                        <wps:spPr>
                          <a:xfrm rot="-10799999">
                            <a:off x="-261846" y="4886667"/>
                            <a:ext cx="1942423" cy="142889"/>
                          </a:xfrm>
                          <a:prstGeom prst="rect">
                            <a:avLst/>
                          </a:prstGeom>
                          <a:ln>
                            <a:noFill/>
                          </a:ln>
                        </wps:spPr>
                        <wps:txbx>
                          <w:txbxContent>
                            <w:p w14:paraId="694EBE32"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064" name="Rectangle 202064"/>
                        <wps:cNvSpPr/>
                        <wps:spPr>
                          <a:xfrm rot="-10799999">
                            <a:off x="1163463" y="4886668"/>
                            <a:ext cx="1942423" cy="142889"/>
                          </a:xfrm>
                          <a:prstGeom prst="rect">
                            <a:avLst/>
                          </a:prstGeom>
                          <a:ln>
                            <a:noFill/>
                          </a:ln>
                        </wps:spPr>
                        <wps:txbx>
                          <w:txbxContent>
                            <w:p w14:paraId="0A3B16CC" w14:textId="77777777" w:rsidR="00B32EF2" w:rsidRDefault="00000000">
                              <w:r>
                                <w:rPr>
                                  <w:rFonts w:ascii="Arial" w:eastAsia="Arial" w:hAnsi="Arial" w:cs="Arial"/>
                                  <w:i/>
                                  <w:sz w:val="18"/>
                                </w:rPr>
                                <w:t xml:space="preserve">articolo 22 D.lgs. n. </w:t>
                              </w:r>
                            </w:p>
                          </w:txbxContent>
                        </wps:txbx>
                        <wps:bodyPr horzOverflow="overflow" vert="horz" lIns="0" tIns="0" rIns="0" bIns="0" rtlCol="0">
                          <a:noAutofit/>
                        </wps:bodyPr>
                      </wps:wsp>
                      <wps:wsp>
                        <wps:cNvPr id="21473" name="Rectangle 21473"/>
                        <wps:cNvSpPr/>
                        <wps:spPr>
                          <a:xfrm rot="-10799999">
                            <a:off x="1540361" y="4763338"/>
                            <a:ext cx="730071" cy="142889"/>
                          </a:xfrm>
                          <a:prstGeom prst="rect">
                            <a:avLst/>
                          </a:prstGeom>
                          <a:ln>
                            <a:noFill/>
                          </a:ln>
                        </wps:spPr>
                        <wps:txbx>
                          <w:txbxContent>
                            <w:p w14:paraId="779364F9" w14:textId="77777777" w:rsidR="00B32EF2" w:rsidRDefault="00000000">
                              <w:r>
                                <w:rPr>
                                  <w:rFonts w:ascii="Arial" w:eastAsia="Arial" w:hAnsi="Arial" w:cs="Arial"/>
                                  <w:b/>
                                  <w:sz w:val="18"/>
                                </w:rPr>
                                <w:t xml:space="preserve">Votazioni </w:t>
                              </w:r>
                            </w:p>
                          </w:txbxContent>
                        </wps:txbx>
                        <wps:bodyPr horzOverflow="overflow" vert="horz" lIns="0" tIns="0" rIns="0" bIns="0" rtlCol="0">
                          <a:noAutofit/>
                        </wps:bodyPr>
                      </wps:wsp>
                      <wps:wsp>
                        <wps:cNvPr id="202058" name="Rectangle 202058"/>
                        <wps:cNvSpPr/>
                        <wps:spPr>
                          <a:xfrm rot="-10799999">
                            <a:off x="-1278171" y="4640009"/>
                            <a:ext cx="5210893" cy="142889"/>
                          </a:xfrm>
                          <a:prstGeom prst="rect">
                            <a:avLst/>
                          </a:prstGeom>
                          <a:ln>
                            <a:noFill/>
                          </a:ln>
                        </wps:spPr>
                        <wps:txbx>
                          <w:txbxContent>
                            <w:p w14:paraId="40EF5AC4" w14:textId="77777777" w:rsidR="00B32EF2" w:rsidRDefault="00000000">
                              <w:r>
                                <w:rPr>
                                  <w:rFonts w:ascii="Arial" w:eastAsia="Arial" w:hAnsi="Arial" w:cs="Arial"/>
                                  <w:sz w:val="18"/>
                                </w:rPr>
                                <w:t>. Ciascun elettore può esprimere il voto per non più di sei candidati. Le sche</w:t>
                              </w:r>
                            </w:p>
                          </w:txbxContent>
                        </wps:txbx>
                        <wps:bodyPr horzOverflow="overflow" vert="horz" lIns="0" tIns="0" rIns="0" bIns="0" rtlCol="0">
                          <a:noAutofit/>
                        </wps:bodyPr>
                      </wps:wsp>
                      <wps:wsp>
                        <wps:cNvPr id="202056" name="Rectangle 202056"/>
                        <wps:cNvSpPr/>
                        <wps:spPr>
                          <a:xfrm rot="-10799999">
                            <a:off x="2635425" y="4640009"/>
                            <a:ext cx="5210893" cy="142889"/>
                          </a:xfrm>
                          <a:prstGeom prst="rect">
                            <a:avLst/>
                          </a:prstGeom>
                          <a:ln>
                            <a:noFill/>
                          </a:ln>
                        </wps:spPr>
                        <wps:txbx>
                          <w:txbxContent>
                            <w:p w14:paraId="15D04FF2"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1475" name="Rectangle 21475"/>
                        <wps:cNvSpPr/>
                        <wps:spPr>
                          <a:xfrm rot="-10799999">
                            <a:off x="19306" y="4640008"/>
                            <a:ext cx="50622" cy="142889"/>
                          </a:xfrm>
                          <a:prstGeom prst="rect">
                            <a:avLst/>
                          </a:prstGeom>
                          <a:ln>
                            <a:noFill/>
                          </a:ln>
                        </wps:spPr>
                        <wps:txbx>
                          <w:txbxContent>
                            <w:p w14:paraId="1EC0B55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476" name="Rectangle 21476"/>
                        <wps:cNvSpPr/>
                        <wps:spPr>
                          <a:xfrm rot="-10799999">
                            <a:off x="-1317100" y="4516679"/>
                            <a:ext cx="5309005" cy="142889"/>
                          </a:xfrm>
                          <a:prstGeom prst="rect">
                            <a:avLst/>
                          </a:prstGeom>
                          <a:ln>
                            <a:noFill/>
                          </a:ln>
                        </wps:spPr>
                        <wps:txbx>
                          <w:txbxContent>
                            <w:p w14:paraId="5D163952" w14:textId="77777777" w:rsidR="00B32EF2" w:rsidRDefault="00000000">
                              <w:r>
                                <w:rPr>
                                  <w:rFonts w:ascii="Arial" w:eastAsia="Arial" w:hAnsi="Arial" w:cs="Arial"/>
                                  <w:sz w:val="18"/>
                                </w:rPr>
                                <w:t xml:space="preserve">de devono essere preventivamente controfirmate dai componenti dell’ufficio </w:t>
                              </w:r>
                            </w:p>
                          </w:txbxContent>
                        </wps:txbx>
                        <wps:bodyPr horzOverflow="overflow" vert="horz" lIns="0" tIns="0" rIns="0" bIns="0" rtlCol="0">
                          <a:noAutofit/>
                        </wps:bodyPr>
                      </wps:wsp>
                      <wps:wsp>
                        <wps:cNvPr id="21477" name="Rectangle 21477"/>
                        <wps:cNvSpPr/>
                        <wps:spPr>
                          <a:xfrm rot="-10799999">
                            <a:off x="356400" y="4393349"/>
                            <a:ext cx="3635504" cy="142889"/>
                          </a:xfrm>
                          <a:prstGeom prst="rect">
                            <a:avLst/>
                          </a:prstGeom>
                          <a:ln>
                            <a:noFill/>
                          </a:ln>
                        </wps:spPr>
                        <wps:txbx>
                          <w:txbxContent>
                            <w:p w14:paraId="3827FA4F" w14:textId="77777777" w:rsidR="00B32EF2" w:rsidRDefault="00000000">
                              <w:r>
                                <w:rPr>
                                  <w:rFonts w:ascii="Arial" w:eastAsia="Arial" w:hAnsi="Arial" w:cs="Arial"/>
                                  <w:sz w:val="18"/>
                                </w:rPr>
                                <w:t>elettorale ed essere riconsegnate chiuse dall’elettore.</w:t>
                              </w:r>
                            </w:p>
                          </w:txbxContent>
                        </wps:txbx>
                        <wps:bodyPr horzOverflow="overflow" vert="horz" lIns="0" tIns="0" rIns="0" bIns="0" rtlCol="0">
                          <a:noAutofit/>
                        </wps:bodyPr>
                      </wps:wsp>
                      <wps:wsp>
                        <wps:cNvPr id="202052" name="Rectangle 202052"/>
                        <wps:cNvSpPr/>
                        <wps:spPr>
                          <a:xfrm rot="-10799999">
                            <a:off x="2632970" y="4270019"/>
                            <a:ext cx="5220787" cy="142889"/>
                          </a:xfrm>
                          <a:prstGeom prst="rect">
                            <a:avLst/>
                          </a:prstGeom>
                          <a:ln>
                            <a:noFill/>
                          </a:ln>
                        </wps:spPr>
                        <wps:txbx>
                          <w:txbxContent>
                            <w:p w14:paraId="3F9329C5"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2053" name="Rectangle 202053"/>
                        <wps:cNvSpPr/>
                        <wps:spPr>
                          <a:xfrm rot="-10799999">
                            <a:off x="-1293439" y="4270019"/>
                            <a:ext cx="5220789" cy="142889"/>
                          </a:xfrm>
                          <a:prstGeom prst="rect">
                            <a:avLst/>
                          </a:prstGeom>
                          <a:ln>
                            <a:noFill/>
                          </a:ln>
                        </wps:spPr>
                        <wps:txbx>
                          <w:txbxContent>
                            <w:p w14:paraId="6888312D" w14:textId="77777777" w:rsidR="00B32EF2" w:rsidRDefault="00000000">
                              <w:r>
                                <w:rPr>
                                  <w:rFonts w:ascii="Arial" w:eastAsia="Arial" w:hAnsi="Arial" w:cs="Arial"/>
                                  <w:sz w:val="18"/>
                                </w:rPr>
                                <w:t>. Il voto, personale, diretto e segreto, viene espresso presso la sede della cor</w:t>
                              </w:r>
                            </w:p>
                          </w:txbxContent>
                        </wps:txbx>
                        <wps:bodyPr horzOverflow="overflow" vert="horz" lIns="0" tIns="0" rIns="0" bIns="0" rtlCol="0">
                          <a:noAutofit/>
                        </wps:bodyPr>
                      </wps:wsp>
                      <wps:wsp>
                        <wps:cNvPr id="21479" name="Rectangle 21479"/>
                        <wps:cNvSpPr/>
                        <wps:spPr>
                          <a:xfrm rot="-10799999">
                            <a:off x="19306" y="4270019"/>
                            <a:ext cx="50622" cy="142889"/>
                          </a:xfrm>
                          <a:prstGeom prst="rect">
                            <a:avLst/>
                          </a:prstGeom>
                          <a:ln>
                            <a:noFill/>
                          </a:ln>
                        </wps:spPr>
                        <wps:txbx>
                          <w:txbxContent>
                            <w:p w14:paraId="0DD12F9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480" name="Rectangle 21480"/>
                        <wps:cNvSpPr/>
                        <wps:spPr>
                          <a:xfrm rot="-10799999">
                            <a:off x="-1269746" y="4146690"/>
                            <a:ext cx="5261652" cy="142889"/>
                          </a:xfrm>
                          <a:prstGeom prst="rect">
                            <a:avLst/>
                          </a:prstGeom>
                          <a:ln>
                            <a:noFill/>
                          </a:ln>
                        </wps:spPr>
                        <wps:txbx>
                          <w:txbxContent>
                            <w:p w14:paraId="72E9C100" w14:textId="77777777" w:rsidR="00B32EF2" w:rsidRDefault="00000000">
                              <w:r>
                                <w:rPr>
                                  <w:rFonts w:ascii="Arial" w:eastAsia="Arial" w:hAnsi="Arial" w:cs="Arial"/>
                                  <w:sz w:val="18"/>
                                </w:rPr>
                                <w:t>te di giustizia tributaria presso la quale è espletata la funzione giurisdizionale.</w:t>
                              </w:r>
                            </w:p>
                          </w:txbxContent>
                        </wps:txbx>
                        <wps:bodyPr horzOverflow="overflow" vert="horz" lIns="0" tIns="0" rIns="0" bIns="0" rtlCol="0">
                          <a:noAutofit/>
                        </wps:bodyPr>
                      </wps:wsp>
                      <wps:wsp>
                        <wps:cNvPr id="202043" name="Rectangle 202043"/>
                        <wps:cNvSpPr/>
                        <wps:spPr>
                          <a:xfrm rot="-10799999">
                            <a:off x="2611082" y="4023360"/>
                            <a:ext cx="5309005" cy="142889"/>
                          </a:xfrm>
                          <a:prstGeom prst="rect">
                            <a:avLst/>
                          </a:prstGeom>
                          <a:ln>
                            <a:noFill/>
                          </a:ln>
                        </wps:spPr>
                        <wps:txbx>
                          <w:txbxContent>
                            <w:p w14:paraId="28B666EF"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2050" name="Rectangle 202050"/>
                        <wps:cNvSpPr/>
                        <wps:spPr>
                          <a:xfrm rot="-10799999">
                            <a:off x="-1381623" y="4023360"/>
                            <a:ext cx="5309005" cy="142889"/>
                          </a:xfrm>
                          <a:prstGeom prst="rect">
                            <a:avLst/>
                          </a:prstGeom>
                          <a:ln>
                            <a:noFill/>
                          </a:ln>
                        </wps:spPr>
                        <wps:txbx>
                          <w:txbxContent>
                            <w:p w14:paraId="6B3BB57A" w14:textId="77777777" w:rsidR="00B32EF2" w:rsidRDefault="00000000">
                              <w:r>
                                <w:rPr>
                                  <w:rFonts w:ascii="Arial" w:eastAsia="Arial" w:hAnsi="Arial" w:cs="Arial"/>
                                  <w:sz w:val="18"/>
                                </w:rPr>
                                <w:t xml:space="preserve">. Gli uffici elettorali locali presiedono alle operazioni di voto che si svolgono </w:t>
                              </w:r>
                            </w:p>
                          </w:txbxContent>
                        </wps:txbx>
                        <wps:bodyPr horzOverflow="overflow" vert="horz" lIns="0" tIns="0" rIns="0" bIns="0" rtlCol="0">
                          <a:noAutofit/>
                        </wps:bodyPr>
                      </wps:wsp>
                      <wps:wsp>
                        <wps:cNvPr id="21482" name="Rectangle 21482"/>
                        <wps:cNvSpPr/>
                        <wps:spPr>
                          <a:xfrm rot="-10799999">
                            <a:off x="-1317161" y="3900030"/>
                            <a:ext cx="5309066" cy="142889"/>
                          </a:xfrm>
                          <a:prstGeom prst="rect">
                            <a:avLst/>
                          </a:prstGeom>
                          <a:ln>
                            <a:noFill/>
                          </a:ln>
                        </wps:spPr>
                        <wps:txbx>
                          <w:txbxContent>
                            <w:p w14:paraId="692C4865" w14:textId="77777777" w:rsidR="00B32EF2" w:rsidRDefault="00000000">
                              <w:r>
                                <w:rPr>
                                  <w:rFonts w:ascii="Arial" w:eastAsia="Arial" w:hAnsi="Arial" w:cs="Arial"/>
                                  <w:sz w:val="18"/>
                                </w:rPr>
                                <w:t xml:space="preserve">presso di esse e provvedono allo scrutinio di tutte le schede elettorali, previa </w:t>
                              </w:r>
                            </w:p>
                          </w:txbxContent>
                        </wps:txbx>
                        <wps:bodyPr horzOverflow="overflow" vert="horz" lIns="0" tIns="0" rIns="0" bIns="0" rtlCol="0">
                          <a:noAutofit/>
                        </wps:bodyPr>
                      </wps:wsp>
                      <wps:wsp>
                        <wps:cNvPr id="21483" name="Rectangle 21483"/>
                        <wps:cNvSpPr/>
                        <wps:spPr>
                          <a:xfrm rot="-10799999">
                            <a:off x="-1317023" y="3776701"/>
                            <a:ext cx="5308929" cy="142889"/>
                          </a:xfrm>
                          <a:prstGeom prst="rect">
                            <a:avLst/>
                          </a:prstGeom>
                          <a:ln>
                            <a:noFill/>
                          </a:ln>
                        </wps:spPr>
                        <wps:txbx>
                          <w:txbxContent>
                            <w:p w14:paraId="19F93790" w14:textId="77777777" w:rsidR="00B32EF2" w:rsidRDefault="00000000">
                              <w:r>
                                <w:rPr>
                                  <w:rFonts w:ascii="Arial" w:eastAsia="Arial" w:hAnsi="Arial" w:cs="Arial"/>
                                  <w:sz w:val="18"/>
                                </w:rPr>
                                <w:t xml:space="preserve">apertura delle urne e conteggio delle schede, determinando il totale dei voti </w:t>
                              </w:r>
                            </w:p>
                          </w:txbxContent>
                        </wps:txbx>
                        <wps:bodyPr horzOverflow="overflow" vert="horz" lIns="0" tIns="0" rIns="0" bIns="0" rtlCol="0">
                          <a:noAutofit/>
                        </wps:bodyPr>
                      </wps:wsp>
                      <wps:wsp>
                        <wps:cNvPr id="21484" name="Rectangle 21484"/>
                        <wps:cNvSpPr/>
                        <wps:spPr>
                          <a:xfrm rot="-10799999">
                            <a:off x="-1220704" y="3653371"/>
                            <a:ext cx="5212610" cy="142889"/>
                          </a:xfrm>
                          <a:prstGeom prst="rect">
                            <a:avLst/>
                          </a:prstGeom>
                          <a:ln>
                            <a:noFill/>
                          </a:ln>
                        </wps:spPr>
                        <wps:txbx>
                          <w:txbxContent>
                            <w:p w14:paraId="78FFCA96" w14:textId="77777777" w:rsidR="00B32EF2" w:rsidRDefault="00000000">
                              <w:r>
                                <w:rPr>
                                  <w:rFonts w:ascii="Arial" w:eastAsia="Arial" w:hAnsi="Arial" w:cs="Arial"/>
                                  <w:sz w:val="18"/>
                                </w:rPr>
                                <w:t>validi e il totale delle preferenze per ciascun candidato. Le operazioni di scru</w:t>
                              </w:r>
                            </w:p>
                          </w:txbxContent>
                        </wps:txbx>
                        <wps:bodyPr horzOverflow="overflow" vert="horz" lIns="0" tIns="0" rIns="0" bIns="0" rtlCol="0">
                          <a:noAutofit/>
                        </wps:bodyPr>
                      </wps:wsp>
                      <wps:wsp>
                        <wps:cNvPr id="21485" name="Rectangle 21485"/>
                        <wps:cNvSpPr/>
                        <wps:spPr>
                          <a:xfrm rot="-10799999">
                            <a:off x="19306" y="3653371"/>
                            <a:ext cx="50622" cy="142889"/>
                          </a:xfrm>
                          <a:prstGeom prst="rect">
                            <a:avLst/>
                          </a:prstGeom>
                          <a:ln>
                            <a:noFill/>
                          </a:ln>
                        </wps:spPr>
                        <wps:txbx>
                          <w:txbxContent>
                            <w:p w14:paraId="47EB03C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486" name="Rectangle 21486"/>
                        <wps:cNvSpPr/>
                        <wps:spPr>
                          <a:xfrm rot="-10799999">
                            <a:off x="-1317054" y="3530041"/>
                            <a:ext cx="5308960" cy="142889"/>
                          </a:xfrm>
                          <a:prstGeom prst="rect">
                            <a:avLst/>
                          </a:prstGeom>
                          <a:ln>
                            <a:noFill/>
                          </a:ln>
                        </wps:spPr>
                        <wps:txbx>
                          <w:txbxContent>
                            <w:p w14:paraId="69629D39" w14:textId="77777777" w:rsidR="00B32EF2" w:rsidRDefault="00000000">
                              <w:r>
                                <w:rPr>
                                  <w:rFonts w:ascii="Arial" w:eastAsia="Arial" w:hAnsi="Arial" w:cs="Arial"/>
                                  <w:sz w:val="18"/>
                                </w:rPr>
                                <w:t xml:space="preserve">tinio hanno inizio il giorno successivo a quello di voto e di esse, come pure </w:t>
                              </w:r>
                            </w:p>
                          </w:txbxContent>
                        </wps:txbx>
                        <wps:bodyPr horzOverflow="overflow" vert="horz" lIns="0" tIns="0" rIns="0" bIns="0" rtlCol="0">
                          <a:noAutofit/>
                        </wps:bodyPr>
                      </wps:wsp>
                      <wps:wsp>
                        <wps:cNvPr id="21487" name="Rectangle 21487"/>
                        <wps:cNvSpPr/>
                        <wps:spPr>
                          <a:xfrm rot="-10799999">
                            <a:off x="-1317130" y="3406712"/>
                            <a:ext cx="5309036" cy="142889"/>
                          </a:xfrm>
                          <a:prstGeom prst="rect">
                            <a:avLst/>
                          </a:prstGeom>
                          <a:ln>
                            <a:noFill/>
                          </a:ln>
                        </wps:spPr>
                        <wps:txbx>
                          <w:txbxContent>
                            <w:p w14:paraId="51BB9B80" w14:textId="77777777" w:rsidR="00B32EF2" w:rsidRDefault="00000000">
                              <w:r>
                                <w:rPr>
                                  <w:rFonts w:ascii="Arial" w:eastAsia="Arial" w:hAnsi="Arial" w:cs="Arial"/>
                                  <w:sz w:val="18"/>
                                </w:rPr>
                                <w:t xml:space="preserve">delle contestazioni decise ai sensi del comma 4, si deve dare atto nel processo </w:t>
                              </w:r>
                            </w:p>
                          </w:txbxContent>
                        </wps:txbx>
                        <wps:bodyPr horzOverflow="overflow" vert="horz" lIns="0" tIns="0" rIns="0" bIns="0" rtlCol="0">
                          <a:noAutofit/>
                        </wps:bodyPr>
                      </wps:wsp>
                      <wps:wsp>
                        <wps:cNvPr id="21488" name="Rectangle 21488"/>
                        <wps:cNvSpPr/>
                        <wps:spPr>
                          <a:xfrm rot="-10799999">
                            <a:off x="2321986" y="3283382"/>
                            <a:ext cx="1670947" cy="142889"/>
                          </a:xfrm>
                          <a:prstGeom prst="rect">
                            <a:avLst/>
                          </a:prstGeom>
                          <a:ln>
                            <a:noFill/>
                          </a:ln>
                        </wps:spPr>
                        <wps:txbx>
                          <w:txbxContent>
                            <w:p w14:paraId="0A18913D" w14:textId="77777777" w:rsidR="00B32EF2" w:rsidRDefault="00000000">
                              <w:r>
                                <w:rPr>
                                  <w:rFonts w:ascii="Arial" w:eastAsia="Arial" w:hAnsi="Arial" w:cs="Arial"/>
                                  <w:sz w:val="18"/>
                                </w:rPr>
                                <w:t>verbale delle operazioni.</w:t>
                              </w:r>
                            </w:p>
                          </w:txbxContent>
                        </wps:txbx>
                        <wps:bodyPr horzOverflow="overflow" vert="horz" lIns="0" tIns="0" rIns="0" bIns="0" rtlCol="0">
                          <a:noAutofit/>
                        </wps:bodyPr>
                      </wps:wsp>
                      <wps:wsp>
                        <wps:cNvPr id="202041" name="Rectangle 202041"/>
                        <wps:cNvSpPr/>
                        <wps:spPr>
                          <a:xfrm rot="-10799999">
                            <a:off x="-1380269" y="3160052"/>
                            <a:ext cx="5309035" cy="142889"/>
                          </a:xfrm>
                          <a:prstGeom prst="rect">
                            <a:avLst/>
                          </a:prstGeom>
                          <a:ln>
                            <a:noFill/>
                          </a:ln>
                        </wps:spPr>
                        <wps:txbx>
                          <w:txbxContent>
                            <w:p w14:paraId="6E2D2034" w14:textId="77777777" w:rsidR="00B32EF2" w:rsidRDefault="00000000">
                              <w:r>
                                <w:rPr>
                                  <w:rFonts w:ascii="Arial" w:eastAsia="Arial" w:hAnsi="Arial" w:cs="Arial"/>
                                  <w:sz w:val="18"/>
                                </w:rPr>
                                <w:t xml:space="preserve">. L’ufficio elettorale regionale decide a maggioranza sulle contestazioni sorte </w:t>
                              </w:r>
                            </w:p>
                          </w:txbxContent>
                        </wps:txbx>
                        <wps:bodyPr horzOverflow="overflow" vert="horz" lIns="0" tIns="0" rIns="0" bIns="0" rtlCol="0">
                          <a:noAutofit/>
                        </wps:bodyPr>
                      </wps:wsp>
                      <wps:wsp>
                        <wps:cNvPr id="202040" name="Rectangle 202040"/>
                        <wps:cNvSpPr/>
                        <wps:spPr>
                          <a:xfrm rot="-10799999">
                            <a:off x="2611074" y="3160052"/>
                            <a:ext cx="5309036" cy="142889"/>
                          </a:xfrm>
                          <a:prstGeom prst="rect">
                            <a:avLst/>
                          </a:prstGeom>
                          <a:ln>
                            <a:noFill/>
                          </a:ln>
                        </wps:spPr>
                        <wps:txbx>
                          <w:txbxContent>
                            <w:p w14:paraId="3A1EC5D8"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1490" name="Rectangle 21490"/>
                        <wps:cNvSpPr/>
                        <wps:spPr>
                          <a:xfrm rot="-10799999">
                            <a:off x="-1219883" y="3036723"/>
                            <a:ext cx="5212246" cy="142889"/>
                          </a:xfrm>
                          <a:prstGeom prst="rect">
                            <a:avLst/>
                          </a:prstGeom>
                          <a:ln>
                            <a:noFill/>
                          </a:ln>
                        </wps:spPr>
                        <wps:txbx>
                          <w:txbxContent>
                            <w:p w14:paraId="065E42A4" w14:textId="77777777" w:rsidR="00B32EF2" w:rsidRDefault="00000000">
                              <w:r>
                                <w:rPr>
                                  <w:rFonts w:ascii="Arial" w:eastAsia="Arial" w:hAnsi="Arial" w:cs="Arial"/>
                                  <w:sz w:val="18"/>
                                </w:rPr>
                                <w:t>durante le operazioni di voto nonché su quelle relative alla validità delle sche</w:t>
                              </w:r>
                            </w:p>
                          </w:txbxContent>
                        </wps:txbx>
                        <wps:bodyPr horzOverflow="overflow" vert="horz" lIns="0" tIns="0" rIns="0" bIns="0" rtlCol="0">
                          <a:noAutofit/>
                        </wps:bodyPr>
                      </wps:wsp>
                      <wps:wsp>
                        <wps:cNvPr id="21491" name="Rectangle 21491"/>
                        <wps:cNvSpPr/>
                        <wps:spPr>
                          <a:xfrm rot="-10799999">
                            <a:off x="19306" y="3036722"/>
                            <a:ext cx="50622" cy="142889"/>
                          </a:xfrm>
                          <a:prstGeom prst="rect">
                            <a:avLst/>
                          </a:prstGeom>
                          <a:ln>
                            <a:noFill/>
                          </a:ln>
                        </wps:spPr>
                        <wps:txbx>
                          <w:txbxContent>
                            <w:p w14:paraId="5549E2F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492" name="Rectangle 21492"/>
                        <wps:cNvSpPr/>
                        <wps:spPr>
                          <a:xfrm rot="-10799999">
                            <a:off x="209352" y="2913393"/>
                            <a:ext cx="3782552" cy="142889"/>
                          </a:xfrm>
                          <a:prstGeom prst="rect">
                            <a:avLst/>
                          </a:prstGeom>
                          <a:ln>
                            <a:noFill/>
                          </a:ln>
                        </wps:spPr>
                        <wps:txbx>
                          <w:txbxContent>
                            <w:p w14:paraId="0F7E0861" w14:textId="77777777" w:rsidR="00B32EF2" w:rsidRDefault="00000000">
                              <w:r>
                                <w:rPr>
                                  <w:rFonts w:ascii="Arial" w:eastAsia="Arial" w:hAnsi="Arial" w:cs="Arial"/>
                                  <w:sz w:val="18"/>
                                </w:rPr>
                                <w:t>de, dandone atto nel processo verbale delle operazioni.</w:t>
                              </w:r>
                            </w:p>
                          </w:txbxContent>
                        </wps:txbx>
                        <wps:bodyPr horzOverflow="overflow" vert="horz" lIns="0" tIns="0" rIns="0" bIns="0" rtlCol="0">
                          <a:noAutofit/>
                        </wps:bodyPr>
                      </wps:wsp>
                      <wps:wsp>
                        <wps:cNvPr id="202038" name="Rectangle 202038"/>
                        <wps:cNvSpPr/>
                        <wps:spPr>
                          <a:xfrm rot="-10799999">
                            <a:off x="-1287609" y="2790063"/>
                            <a:ext cx="5215118" cy="142889"/>
                          </a:xfrm>
                          <a:prstGeom prst="rect">
                            <a:avLst/>
                          </a:prstGeom>
                          <a:ln>
                            <a:noFill/>
                          </a:ln>
                        </wps:spPr>
                        <wps:txbx>
                          <w:txbxContent>
                            <w:p w14:paraId="2E2D2281" w14:textId="77777777" w:rsidR="00B32EF2" w:rsidRDefault="00000000">
                              <w:r>
                                <w:rPr>
                                  <w:rFonts w:ascii="Arial" w:eastAsia="Arial" w:hAnsi="Arial" w:cs="Arial"/>
                                  <w:sz w:val="18"/>
                                </w:rPr>
                                <w:t>. Al termine delle operazioni elettorali il verbale di scrutinio è trasmesso all’uf</w:t>
                              </w:r>
                            </w:p>
                          </w:txbxContent>
                        </wps:txbx>
                        <wps:bodyPr horzOverflow="overflow" vert="horz" lIns="0" tIns="0" rIns="0" bIns="0" rtlCol="0">
                          <a:noAutofit/>
                        </wps:bodyPr>
                      </wps:wsp>
                      <wps:wsp>
                        <wps:cNvPr id="202037" name="Rectangle 202037"/>
                        <wps:cNvSpPr/>
                        <wps:spPr>
                          <a:xfrm rot="-10799999">
                            <a:off x="2634377" y="2790063"/>
                            <a:ext cx="5215117" cy="142889"/>
                          </a:xfrm>
                          <a:prstGeom prst="rect">
                            <a:avLst/>
                          </a:prstGeom>
                          <a:ln>
                            <a:noFill/>
                          </a:ln>
                        </wps:spPr>
                        <wps:txbx>
                          <w:txbxContent>
                            <w:p w14:paraId="2E2AB395"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1494" name="Rectangle 21494"/>
                        <wps:cNvSpPr/>
                        <wps:spPr>
                          <a:xfrm rot="-10799999">
                            <a:off x="19306" y="2790063"/>
                            <a:ext cx="50622" cy="142889"/>
                          </a:xfrm>
                          <a:prstGeom prst="rect">
                            <a:avLst/>
                          </a:prstGeom>
                          <a:ln>
                            <a:noFill/>
                          </a:ln>
                        </wps:spPr>
                        <wps:txbx>
                          <w:txbxContent>
                            <w:p w14:paraId="7EFC464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495" name="Rectangle 21495"/>
                        <wps:cNvSpPr/>
                        <wps:spPr>
                          <a:xfrm rot="-10799999">
                            <a:off x="-631616" y="2666733"/>
                            <a:ext cx="4623521" cy="142889"/>
                          </a:xfrm>
                          <a:prstGeom prst="rect">
                            <a:avLst/>
                          </a:prstGeom>
                          <a:ln>
                            <a:noFill/>
                          </a:ln>
                        </wps:spPr>
                        <wps:txbx>
                          <w:txbxContent>
                            <w:p w14:paraId="453AA818" w14:textId="77777777" w:rsidR="00B32EF2" w:rsidRDefault="00000000">
                              <w:r>
                                <w:rPr>
                                  <w:rFonts w:ascii="Arial" w:eastAsia="Arial" w:hAnsi="Arial" w:cs="Arial"/>
                                  <w:sz w:val="18"/>
                                </w:rPr>
                                <w:t>ficio elettorale centrale che provvede alla proclamazione degli eletti.</w:t>
                              </w:r>
                            </w:p>
                          </w:txbxContent>
                        </wps:txbx>
                        <wps:bodyPr horzOverflow="overflow" vert="horz" lIns="0" tIns="0" rIns="0" bIns="0" rtlCol="0">
                          <a:noAutofit/>
                        </wps:bodyPr>
                      </wps:wsp>
                      <wps:wsp>
                        <wps:cNvPr id="21496" name="Rectangle 21496"/>
                        <wps:cNvSpPr/>
                        <wps:spPr>
                          <a:xfrm rot="-10799999">
                            <a:off x="1506411" y="2420074"/>
                            <a:ext cx="811113" cy="142889"/>
                          </a:xfrm>
                          <a:prstGeom prst="rect">
                            <a:avLst/>
                          </a:prstGeom>
                          <a:ln>
                            <a:noFill/>
                          </a:ln>
                        </wps:spPr>
                        <wps:txbx>
                          <w:txbxContent>
                            <w:p w14:paraId="6317A65E" w14:textId="77777777" w:rsidR="00B32EF2" w:rsidRDefault="00000000">
                              <w:r>
                                <w:rPr>
                                  <w:rFonts w:ascii="Arial" w:eastAsia="Arial" w:hAnsi="Arial" w:cs="Arial"/>
                                  <w:b/>
                                  <w:sz w:val="18"/>
                                </w:rPr>
                                <w:t>Articolo 29</w:t>
                              </w:r>
                            </w:p>
                          </w:txbxContent>
                        </wps:txbx>
                        <wps:bodyPr horzOverflow="overflow" vert="horz" lIns="0" tIns="0" rIns="0" bIns="0" rtlCol="0">
                          <a:noAutofit/>
                        </wps:bodyPr>
                      </wps:wsp>
                      <wps:wsp>
                        <wps:cNvPr id="202035" name="Rectangle 202035"/>
                        <wps:cNvSpPr/>
                        <wps:spPr>
                          <a:xfrm rot="-10799999">
                            <a:off x="-261062" y="2296744"/>
                            <a:ext cx="1941845" cy="142889"/>
                          </a:xfrm>
                          <a:prstGeom prst="rect">
                            <a:avLst/>
                          </a:prstGeom>
                          <a:ln>
                            <a:noFill/>
                          </a:ln>
                        </wps:spPr>
                        <wps:txbx>
                          <w:txbxContent>
                            <w:p w14:paraId="144979E8"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034" name="Rectangle 202034"/>
                        <wps:cNvSpPr/>
                        <wps:spPr>
                          <a:xfrm rot="-10799999">
                            <a:off x="2222047" y="2296744"/>
                            <a:ext cx="1941845" cy="142889"/>
                          </a:xfrm>
                          <a:prstGeom prst="rect">
                            <a:avLst/>
                          </a:prstGeom>
                          <a:ln>
                            <a:noFill/>
                          </a:ln>
                        </wps:spPr>
                        <wps:txbx>
                          <w:txbxContent>
                            <w:p w14:paraId="7D307C7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036" name="Rectangle 202036"/>
                        <wps:cNvSpPr/>
                        <wps:spPr>
                          <a:xfrm rot="-10799999">
                            <a:off x="1163812" y="2296744"/>
                            <a:ext cx="1941845" cy="142889"/>
                          </a:xfrm>
                          <a:prstGeom prst="rect">
                            <a:avLst/>
                          </a:prstGeom>
                          <a:ln>
                            <a:noFill/>
                          </a:ln>
                        </wps:spPr>
                        <wps:txbx>
                          <w:txbxContent>
                            <w:p w14:paraId="0E81636E" w14:textId="77777777" w:rsidR="00B32EF2" w:rsidRDefault="00000000">
                              <w:r>
                                <w:rPr>
                                  <w:rFonts w:ascii="Arial" w:eastAsia="Arial" w:hAnsi="Arial" w:cs="Arial"/>
                                  <w:i/>
                                  <w:sz w:val="18"/>
                                </w:rPr>
                                <w:t xml:space="preserve">articolo 23 D.lgs. n. </w:t>
                              </w:r>
                            </w:p>
                          </w:txbxContent>
                        </wps:txbx>
                        <wps:bodyPr horzOverflow="overflow" vert="horz" lIns="0" tIns="0" rIns="0" bIns="0" rtlCol="0">
                          <a:noAutofit/>
                        </wps:bodyPr>
                      </wps:wsp>
                      <wps:wsp>
                        <wps:cNvPr id="21498" name="Rectangle 21498"/>
                        <wps:cNvSpPr/>
                        <wps:spPr>
                          <a:xfrm rot="-10799999">
                            <a:off x="365858" y="2173414"/>
                            <a:ext cx="2638609" cy="142889"/>
                          </a:xfrm>
                          <a:prstGeom prst="rect">
                            <a:avLst/>
                          </a:prstGeom>
                          <a:ln>
                            <a:noFill/>
                          </a:ln>
                        </wps:spPr>
                        <wps:txbx>
                          <w:txbxContent>
                            <w:p w14:paraId="131FA8AD" w14:textId="77777777" w:rsidR="00B32EF2" w:rsidRDefault="00000000">
                              <w:r>
                                <w:rPr>
                                  <w:rFonts w:ascii="Arial" w:eastAsia="Arial" w:hAnsi="Arial" w:cs="Arial"/>
                                  <w:b/>
                                  <w:sz w:val="18"/>
                                </w:rPr>
                                <w:t>Proclamazione degli eletti. Reclami.</w:t>
                              </w:r>
                            </w:p>
                          </w:txbxContent>
                        </wps:txbx>
                        <wps:bodyPr horzOverflow="overflow" vert="horz" lIns="0" tIns="0" rIns="0" bIns="0" rtlCol="0">
                          <a:noAutofit/>
                        </wps:bodyPr>
                      </wps:wsp>
                      <wps:wsp>
                        <wps:cNvPr id="202030" name="Rectangle 202030"/>
                        <wps:cNvSpPr/>
                        <wps:spPr>
                          <a:xfrm rot="-10799999">
                            <a:off x="2634429" y="2050085"/>
                            <a:ext cx="5214449" cy="142889"/>
                          </a:xfrm>
                          <a:prstGeom prst="rect">
                            <a:avLst/>
                          </a:prstGeom>
                          <a:ln>
                            <a:noFill/>
                          </a:ln>
                        </wps:spPr>
                        <wps:txbx>
                          <w:txbxContent>
                            <w:p w14:paraId="729E3D76"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2033" name="Rectangle 202033"/>
                        <wps:cNvSpPr/>
                        <wps:spPr>
                          <a:xfrm rot="-10799999">
                            <a:off x="-1280825" y="2050084"/>
                            <a:ext cx="5214449" cy="142889"/>
                          </a:xfrm>
                          <a:prstGeom prst="rect">
                            <a:avLst/>
                          </a:prstGeom>
                          <a:ln>
                            <a:noFill/>
                          </a:ln>
                        </wps:spPr>
                        <wps:txbx>
                          <w:txbxContent>
                            <w:p w14:paraId="5847D2C5" w14:textId="77777777" w:rsidR="00B32EF2" w:rsidRDefault="00000000">
                              <w:r>
                                <w:rPr>
                                  <w:rFonts w:ascii="Arial" w:eastAsia="Arial" w:hAnsi="Arial" w:cs="Arial"/>
                                  <w:sz w:val="18"/>
                                </w:rPr>
                                <w:t>. L’ufficio elettorale centrale proclama eletti coloro che, nell’ambito di ciascu</w:t>
                              </w:r>
                            </w:p>
                          </w:txbxContent>
                        </wps:txbx>
                        <wps:bodyPr horzOverflow="overflow" vert="horz" lIns="0" tIns="0" rIns="0" bIns="0" rtlCol="0">
                          <a:noAutofit/>
                        </wps:bodyPr>
                      </wps:wsp>
                      <wps:wsp>
                        <wps:cNvPr id="21500" name="Rectangle 21500"/>
                        <wps:cNvSpPr/>
                        <wps:spPr>
                          <a:xfrm rot="-10799999">
                            <a:off x="19192" y="2050085"/>
                            <a:ext cx="50622" cy="142889"/>
                          </a:xfrm>
                          <a:prstGeom prst="rect">
                            <a:avLst/>
                          </a:prstGeom>
                          <a:ln>
                            <a:noFill/>
                          </a:ln>
                        </wps:spPr>
                        <wps:txbx>
                          <w:txbxContent>
                            <w:p w14:paraId="48E062C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501" name="Rectangle 21501"/>
                        <wps:cNvSpPr/>
                        <wps:spPr>
                          <a:xfrm rot="-10799999">
                            <a:off x="-1317168" y="1926755"/>
                            <a:ext cx="5308960" cy="142889"/>
                          </a:xfrm>
                          <a:prstGeom prst="rect">
                            <a:avLst/>
                          </a:prstGeom>
                          <a:ln>
                            <a:noFill/>
                          </a:ln>
                        </wps:spPr>
                        <wps:txbx>
                          <w:txbxContent>
                            <w:p w14:paraId="2ABE49D7" w14:textId="77777777" w:rsidR="00B32EF2" w:rsidRDefault="00000000">
                              <w:r>
                                <w:rPr>
                                  <w:rFonts w:ascii="Arial" w:eastAsia="Arial" w:hAnsi="Arial" w:cs="Arial"/>
                                  <w:sz w:val="18"/>
                                </w:rPr>
                                <w:t xml:space="preserve">na categoria di eleggibili, hanno riportato il maggior numero di voti. A parità </w:t>
                              </w:r>
                            </w:p>
                          </w:txbxContent>
                        </wps:txbx>
                        <wps:bodyPr horzOverflow="overflow" vert="horz" lIns="0" tIns="0" rIns="0" bIns="0" rtlCol="0">
                          <a:noAutofit/>
                        </wps:bodyPr>
                      </wps:wsp>
                      <wps:wsp>
                        <wps:cNvPr id="21502" name="Rectangle 21502"/>
                        <wps:cNvSpPr/>
                        <wps:spPr>
                          <a:xfrm rot="-10799999">
                            <a:off x="-1317198" y="1803425"/>
                            <a:ext cx="5308989" cy="142889"/>
                          </a:xfrm>
                          <a:prstGeom prst="rect">
                            <a:avLst/>
                          </a:prstGeom>
                          <a:ln>
                            <a:noFill/>
                          </a:ln>
                        </wps:spPr>
                        <wps:txbx>
                          <w:txbxContent>
                            <w:p w14:paraId="2BEFC445" w14:textId="77777777" w:rsidR="00B32EF2" w:rsidRDefault="00000000">
                              <w:r>
                                <w:rPr>
                                  <w:rFonts w:ascii="Arial" w:eastAsia="Arial" w:hAnsi="Arial" w:cs="Arial"/>
                                  <w:sz w:val="18"/>
                                </w:rPr>
                                <w:t xml:space="preserve">di voti è eletto il più anziano di età. I nominativi degli eletti sono comunicati al </w:t>
                              </w:r>
                            </w:p>
                          </w:txbxContent>
                        </wps:txbx>
                        <wps:bodyPr horzOverflow="overflow" vert="horz" lIns="0" tIns="0" rIns="0" bIns="0" rtlCol="0">
                          <a:noAutofit/>
                        </wps:bodyPr>
                      </wps:wsp>
                      <wps:wsp>
                        <wps:cNvPr id="21503" name="Rectangle 21503"/>
                        <wps:cNvSpPr/>
                        <wps:spPr>
                          <a:xfrm rot="-10799999">
                            <a:off x="-1220429" y="1680095"/>
                            <a:ext cx="5212793" cy="142889"/>
                          </a:xfrm>
                          <a:prstGeom prst="rect">
                            <a:avLst/>
                          </a:prstGeom>
                          <a:ln>
                            <a:noFill/>
                          </a:ln>
                        </wps:spPr>
                        <wps:txbx>
                          <w:txbxContent>
                            <w:p w14:paraId="21CDD42C" w14:textId="77777777" w:rsidR="00B32EF2" w:rsidRDefault="00000000">
                              <w:r>
                                <w:rPr>
                                  <w:rFonts w:ascii="Arial" w:eastAsia="Arial" w:hAnsi="Arial" w:cs="Arial"/>
                                  <w:sz w:val="18"/>
                                </w:rPr>
                                <w:t>Consiglio di presidenza della giustizia tributaria e al Dipartimento della giusti</w:t>
                              </w:r>
                            </w:p>
                          </w:txbxContent>
                        </wps:txbx>
                        <wps:bodyPr horzOverflow="overflow" vert="horz" lIns="0" tIns="0" rIns="0" bIns="0" rtlCol="0">
                          <a:noAutofit/>
                        </wps:bodyPr>
                      </wps:wsp>
                      <wps:wsp>
                        <wps:cNvPr id="21504" name="Rectangle 21504"/>
                        <wps:cNvSpPr/>
                        <wps:spPr>
                          <a:xfrm rot="-10799999">
                            <a:off x="19192" y="1680096"/>
                            <a:ext cx="50622" cy="142889"/>
                          </a:xfrm>
                          <a:prstGeom prst="rect">
                            <a:avLst/>
                          </a:prstGeom>
                          <a:ln>
                            <a:noFill/>
                          </a:ln>
                        </wps:spPr>
                        <wps:txbx>
                          <w:txbxContent>
                            <w:p w14:paraId="7D1CB41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505" name="Rectangle 21505"/>
                        <wps:cNvSpPr/>
                        <wps:spPr>
                          <a:xfrm rot="-10799999">
                            <a:off x="182756" y="1556766"/>
                            <a:ext cx="3809034" cy="142889"/>
                          </a:xfrm>
                          <a:prstGeom prst="rect">
                            <a:avLst/>
                          </a:prstGeom>
                          <a:ln>
                            <a:noFill/>
                          </a:ln>
                        </wps:spPr>
                        <wps:txbx>
                          <w:txbxContent>
                            <w:p w14:paraId="358CFA20" w14:textId="77777777" w:rsidR="00B32EF2" w:rsidRDefault="00000000">
                              <w:r>
                                <w:rPr>
                                  <w:rFonts w:ascii="Arial" w:eastAsia="Arial" w:hAnsi="Arial" w:cs="Arial"/>
                                  <w:sz w:val="18"/>
                                </w:rPr>
                                <w:t>zia tributaria del Ministero dell’economia e delle finanze.</w:t>
                              </w:r>
                            </w:p>
                          </w:txbxContent>
                        </wps:txbx>
                        <wps:bodyPr horzOverflow="overflow" vert="horz" lIns="0" tIns="0" rIns="0" bIns="0" rtlCol="0">
                          <a:noAutofit/>
                        </wps:bodyPr>
                      </wps:wsp>
                      <wps:wsp>
                        <wps:cNvPr id="202024" name="Rectangle 202024"/>
                        <wps:cNvSpPr/>
                        <wps:spPr>
                          <a:xfrm rot="-10799999">
                            <a:off x="2610964" y="1433436"/>
                            <a:ext cx="5309022" cy="142889"/>
                          </a:xfrm>
                          <a:prstGeom prst="rect">
                            <a:avLst/>
                          </a:prstGeom>
                          <a:ln>
                            <a:noFill/>
                          </a:ln>
                        </wps:spPr>
                        <wps:txbx>
                          <w:txbxContent>
                            <w:p w14:paraId="31D5699B"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2027" name="Rectangle 202027"/>
                        <wps:cNvSpPr/>
                        <wps:spPr>
                          <a:xfrm rot="-10799999">
                            <a:off x="-1381797" y="1433436"/>
                            <a:ext cx="5309021" cy="142889"/>
                          </a:xfrm>
                          <a:prstGeom prst="rect">
                            <a:avLst/>
                          </a:prstGeom>
                          <a:ln>
                            <a:noFill/>
                          </a:ln>
                        </wps:spPr>
                        <wps:txbx>
                          <w:txbxContent>
                            <w:p w14:paraId="580C3A8B" w14:textId="77777777" w:rsidR="00B32EF2" w:rsidRDefault="00000000">
                              <w:r>
                                <w:rPr>
                                  <w:rFonts w:ascii="Arial" w:eastAsia="Arial" w:hAnsi="Arial" w:cs="Arial"/>
                                  <w:sz w:val="18"/>
                                </w:rPr>
                                <w:t xml:space="preserve">. I reclami relativi alla eleggibilità e alle operazioni elettorali sono indirizzati al </w:t>
                              </w:r>
                            </w:p>
                          </w:txbxContent>
                        </wps:txbx>
                        <wps:bodyPr horzOverflow="overflow" vert="horz" lIns="0" tIns="0" rIns="0" bIns="0" rtlCol="0">
                          <a:noAutofit/>
                        </wps:bodyPr>
                      </wps:wsp>
                      <wps:wsp>
                        <wps:cNvPr id="21507" name="Rectangle 21507"/>
                        <wps:cNvSpPr/>
                        <wps:spPr>
                          <a:xfrm rot="-10799999">
                            <a:off x="-1317244" y="1310106"/>
                            <a:ext cx="5309035" cy="142889"/>
                          </a:xfrm>
                          <a:prstGeom prst="rect">
                            <a:avLst/>
                          </a:prstGeom>
                          <a:ln>
                            <a:noFill/>
                          </a:ln>
                        </wps:spPr>
                        <wps:txbx>
                          <w:txbxContent>
                            <w:p w14:paraId="68A60619" w14:textId="77777777" w:rsidR="00B32EF2" w:rsidRDefault="00000000">
                              <w:r>
                                <w:rPr>
                                  <w:rFonts w:ascii="Arial" w:eastAsia="Arial" w:hAnsi="Arial" w:cs="Arial"/>
                                  <w:sz w:val="18"/>
                                </w:rPr>
                                <w:t xml:space="preserve">Consiglio di presidenza e debbono pervenire alla segreteria dello stesso entro </w:t>
                              </w:r>
                            </w:p>
                          </w:txbxContent>
                        </wps:txbx>
                        <wps:bodyPr horzOverflow="overflow" vert="horz" lIns="0" tIns="0" rIns="0" bIns="0" rtlCol="0">
                          <a:noAutofit/>
                        </wps:bodyPr>
                      </wps:wsp>
                      <wps:wsp>
                        <wps:cNvPr id="21508" name="Rectangle 21508"/>
                        <wps:cNvSpPr/>
                        <wps:spPr>
                          <a:xfrm rot="-10799999">
                            <a:off x="-1317229" y="1186776"/>
                            <a:ext cx="5309021" cy="142890"/>
                          </a:xfrm>
                          <a:prstGeom prst="rect">
                            <a:avLst/>
                          </a:prstGeom>
                          <a:ln>
                            <a:noFill/>
                          </a:ln>
                        </wps:spPr>
                        <wps:txbx>
                          <w:txbxContent>
                            <w:p w14:paraId="1E2596AF" w14:textId="77777777" w:rsidR="00B32EF2" w:rsidRDefault="00000000">
                              <w:r>
                                <w:rPr>
                                  <w:rFonts w:ascii="Arial" w:eastAsia="Arial" w:hAnsi="Arial" w:cs="Arial"/>
                                  <w:sz w:val="18"/>
                                </w:rPr>
                                <w:t xml:space="preserve">il quindicesimo giorno successivo alla proclamazione dei risultati. Essi non </w:t>
                              </w:r>
                            </w:p>
                          </w:txbxContent>
                        </wps:txbx>
                        <wps:bodyPr horzOverflow="overflow" vert="horz" lIns="0" tIns="0" rIns="0" bIns="0" rtlCol="0">
                          <a:noAutofit/>
                        </wps:bodyPr>
                      </wps:wsp>
                      <wps:wsp>
                        <wps:cNvPr id="21509" name="Rectangle 21509"/>
                        <wps:cNvSpPr/>
                        <wps:spPr>
                          <a:xfrm rot="-10799999">
                            <a:off x="2239072" y="1063447"/>
                            <a:ext cx="1752719" cy="142889"/>
                          </a:xfrm>
                          <a:prstGeom prst="rect">
                            <a:avLst/>
                          </a:prstGeom>
                          <a:ln>
                            <a:noFill/>
                          </a:ln>
                        </wps:spPr>
                        <wps:txbx>
                          <w:txbxContent>
                            <w:p w14:paraId="16F1C8C2" w14:textId="77777777" w:rsidR="00B32EF2" w:rsidRDefault="00000000">
                              <w:r>
                                <w:rPr>
                                  <w:rFonts w:ascii="Arial" w:eastAsia="Arial" w:hAnsi="Arial" w:cs="Arial"/>
                                  <w:sz w:val="18"/>
                                </w:rPr>
                                <w:t>hanno effetto sospensivo.</w:t>
                              </w:r>
                            </w:p>
                          </w:txbxContent>
                        </wps:txbx>
                        <wps:bodyPr horzOverflow="overflow" vert="horz" lIns="0" tIns="0" rIns="0" bIns="0" rtlCol="0">
                          <a:noAutofit/>
                        </wps:bodyPr>
                      </wps:wsp>
                      <wps:wsp>
                        <wps:cNvPr id="202013" name="Rectangle 202013"/>
                        <wps:cNvSpPr/>
                        <wps:spPr>
                          <a:xfrm rot="-10799999">
                            <a:off x="-1073180" y="940117"/>
                            <a:ext cx="5000437" cy="142889"/>
                          </a:xfrm>
                          <a:prstGeom prst="rect">
                            <a:avLst/>
                          </a:prstGeom>
                          <a:ln>
                            <a:noFill/>
                          </a:ln>
                        </wps:spPr>
                        <wps:txbx>
                          <w:txbxContent>
                            <w:p w14:paraId="684B049F" w14:textId="77777777" w:rsidR="00B32EF2" w:rsidRDefault="00000000">
                              <w:r>
                                <w:rPr>
                                  <w:rFonts w:ascii="Arial" w:eastAsia="Arial" w:hAnsi="Arial" w:cs="Arial"/>
                                  <w:sz w:val="18"/>
                                </w:rPr>
                                <w:t>. Il Consiglio di presidenza decide sui reclami nella sua prima adunanza.</w:t>
                              </w:r>
                            </w:p>
                          </w:txbxContent>
                        </wps:txbx>
                        <wps:bodyPr horzOverflow="overflow" vert="horz" lIns="0" tIns="0" rIns="0" bIns="0" rtlCol="0">
                          <a:noAutofit/>
                        </wps:bodyPr>
                      </wps:wsp>
                      <wps:wsp>
                        <wps:cNvPr id="202011" name="Rectangle 202011"/>
                        <wps:cNvSpPr/>
                        <wps:spPr>
                          <a:xfrm rot="-10799999">
                            <a:off x="2687529" y="940117"/>
                            <a:ext cx="5000437" cy="142889"/>
                          </a:xfrm>
                          <a:prstGeom prst="rect">
                            <a:avLst/>
                          </a:prstGeom>
                          <a:ln>
                            <a:noFill/>
                          </a:ln>
                        </wps:spPr>
                        <wps:txbx>
                          <w:txbxContent>
                            <w:p w14:paraId="2E2672C5"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2007" name="Rectangle 202007"/>
                        <wps:cNvSpPr/>
                        <wps:spPr>
                          <a:xfrm rot="-10799999">
                            <a:off x="2610979" y="816788"/>
                            <a:ext cx="5308960" cy="142889"/>
                          </a:xfrm>
                          <a:prstGeom prst="rect">
                            <a:avLst/>
                          </a:prstGeom>
                          <a:ln>
                            <a:noFill/>
                          </a:ln>
                        </wps:spPr>
                        <wps:txbx>
                          <w:txbxContent>
                            <w:p w14:paraId="6B991EA1"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2009" name="Rectangle 202009"/>
                        <wps:cNvSpPr/>
                        <wps:spPr>
                          <a:xfrm rot="-10799999">
                            <a:off x="-1380319" y="816788"/>
                            <a:ext cx="5308960" cy="142889"/>
                          </a:xfrm>
                          <a:prstGeom prst="rect">
                            <a:avLst/>
                          </a:prstGeom>
                          <a:ln>
                            <a:noFill/>
                          </a:ln>
                        </wps:spPr>
                        <wps:txbx>
                          <w:txbxContent>
                            <w:p w14:paraId="60D9DC08" w14:textId="77777777" w:rsidR="00B32EF2" w:rsidRDefault="00000000">
                              <w:r>
                                <w:rPr>
                                  <w:rFonts w:ascii="Arial" w:eastAsia="Arial" w:hAnsi="Arial" w:cs="Arial"/>
                                  <w:sz w:val="18"/>
                                </w:rPr>
                                <w:t xml:space="preserve">. Nei quindici giorni successivi all’emanazione del decreto del Presidente </w:t>
                              </w:r>
                            </w:p>
                          </w:txbxContent>
                        </wps:txbx>
                        <wps:bodyPr horzOverflow="overflow" vert="horz" lIns="0" tIns="0" rIns="0" bIns="0" rtlCol="0">
                          <a:noAutofit/>
                        </wps:bodyPr>
                      </wps:wsp>
                      <wps:wsp>
                        <wps:cNvPr id="21512" name="Rectangle 21512"/>
                        <wps:cNvSpPr/>
                        <wps:spPr>
                          <a:xfrm rot="-10799999">
                            <a:off x="-1317123" y="693458"/>
                            <a:ext cx="5308914" cy="142889"/>
                          </a:xfrm>
                          <a:prstGeom prst="rect">
                            <a:avLst/>
                          </a:prstGeom>
                          <a:ln>
                            <a:noFill/>
                          </a:ln>
                        </wps:spPr>
                        <wps:txbx>
                          <w:txbxContent>
                            <w:p w14:paraId="0E03AC5A" w14:textId="77777777" w:rsidR="00B32EF2" w:rsidRDefault="00000000">
                              <w:r>
                                <w:rPr>
                                  <w:rFonts w:ascii="Arial" w:eastAsia="Arial" w:hAnsi="Arial" w:cs="Arial"/>
                                  <w:sz w:val="18"/>
                                </w:rPr>
                                <w:t xml:space="preserve">della Repubblica, di cui all’articolo 24, comma 1, il Presidente in carica del </w:t>
                              </w:r>
                            </w:p>
                          </w:txbxContent>
                        </wps:txbx>
                        <wps:bodyPr horzOverflow="overflow" vert="horz" lIns="0" tIns="0" rIns="0" bIns="0" rtlCol="0">
                          <a:noAutofit/>
                        </wps:bodyPr>
                      </wps:wsp>
                      <wps:wsp>
                        <wps:cNvPr id="21513" name="Rectangle 21513"/>
                        <wps:cNvSpPr/>
                        <wps:spPr>
                          <a:xfrm rot="-10799999">
                            <a:off x="-1317516" y="570128"/>
                            <a:ext cx="5309994" cy="142889"/>
                          </a:xfrm>
                          <a:prstGeom prst="rect">
                            <a:avLst/>
                          </a:prstGeom>
                          <a:ln>
                            <a:noFill/>
                          </a:ln>
                        </wps:spPr>
                        <wps:txbx>
                          <w:txbxContent>
                            <w:p w14:paraId="6263DC58" w14:textId="77777777" w:rsidR="00B32EF2" w:rsidRDefault="00000000">
                              <w:r>
                                <w:rPr>
                                  <w:rFonts w:ascii="Arial" w:eastAsia="Arial" w:hAnsi="Arial" w:cs="Arial"/>
                                  <w:sz w:val="18"/>
                                </w:rPr>
                                <w:t xml:space="preserve">Consiglio di presidenza della giustizia tributaria convoca per l’insediamento il </w:t>
                              </w:r>
                            </w:p>
                          </w:txbxContent>
                        </wps:txbx>
                        <wps:bodyPr horzOverflow="overflow" vert="horz" lIns="0" tIns="0" rIns="0" bIns="0" rtlCol="0">
                          <a:noAutofit/>
                        </wps:bodyPr>
                      </wps:wsp>
                      <wps:wsp>
                        <wps:cNvPr id="21514" name="Rectangle 21514"/>
                        <wps:cNvSpPr/>
                        <wps:spPr>
                          <a:xfrm rot="-10799999">
                            <a:off x="1216349" y="446798"/>
                            <a:ext cx="2775442" cy="142889"/>
                          </a:xfrm>
                          <a:prstGeom prst="rect">
                            <a:avLst/>
                          </a:prstGeom>
                          <a:ln>
                            <a:noFill/>
                          </a:ln>
                        </wps:spPr>
                        <wps:txbx>
                          <w:txbxContent>
                            <w:p w14:paraId="7040870E" w14:textId="77777777" w:rsidR="00B32EF2" w:rsidRDefault="00000000">
                              <w:r>
                                <w:rPr>
                                  <w:rFonts w:ascii="Arial" w:eastAsia="Arial" w:hAnsi="Arial" w:cs="Arial"/>
                                  <w:sz w:val="18"/>
                                </w:rPr>
                                <w:t>Consiglio nella sua nuova composizione.</w:t>
                              </w:r>
                            </w:p>
                          </w:txbxContent>
                        </wps:txbx>
                        <wps:bodyPr horzOverflow="overflow" vert="horz" lIns="0" tIns="0" rIns="0" bIns="0" rtlCol="0">
                          <a:noAutofit/>
                        </wps:bodyPr>
                      </wps:wsp>
                    </wpg:wgp>
                  </a:graphicData>
                </a:graphic>
              </wp:inline>
            </w:drawing>
          </mc:Choice>
          <mc:Fallback>
            <w:pict>
              <v:group w14:anchorId="23CD8F5F" id="Group 202123" o:spid="_x0000_s5821" style="width:314.3pt;height:493.15pt;mso-position-horizontal-relative:char;mso-position-vertical-relative:line" coordsize="39919,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B0/CQsAANaGAAAOAAAAZHJzL2Uyb0RvYy54bWzkXV1v4zYWfV9g/4Ph94zFD5GSMUmx2NkO&#10;Flhsi3b3B2gcfwG2ZciecWZ//Z5LSpQtMy0qomEAzkPqMKkj8eice+/hJf3xh5f9bvJt2Zy29eFx&#10;yj5k08nysKift4f14/S///nxoZhOTufq8Fzt6sPycfp9eZr+8PTXv3y8HOdLXm/q3fOymeBNDqf5&#10;5fg43ZzPx/lsdlpslvvq9KE+Lg/44apu9tUZ3zbr2XNTXfDu+92MZ5maXerm+djUi+XphNFP9ofT&#10;J/P+q9Vycf5ptTotz5Pd4xTXdjZfG/P1C32dPX2s5uumOm62i/YyqhFXsa+2B/xR91afqnM1+dps&#10;795qv1009alenT8s6v2sXq22i6W5B9wNywZ387mpvx7Nvaznl/XRTROmdjBPo9928e9vn5vjr8ef&#10;G8zE5bjGXJjv6F5eVs2e/ournLyYKfvupmz5cp4sMCjKkpVZPp0s8DPFFS9yaSd1scHM3/1/i80/&#10;fuf/nHV/eHZzOZcjHpBTPwensDn4dVMdl2ZqT3PMwc/NZPv8OOVMKjadHKo9HtVf8PBUh/VuObHD&#10;ZoLMb7vpOs1PmLluriZNjefrgWW6pH/meWjnDnOU5SXeGrP0oDi+tZPUTSPThVClnUWeZ0oq+rmb&#10;imp+bE7nz8t6P6EXj9MG12bev/r2r9PZ/mr3K3Q5uwN9PdQ/bnc7+1MawYx2V0yvzi9fXsxty7wQ&#10;9Pdo8Ev9/B2zsamb//0EXq929eVxWrevpkR1/Hn66XSy++cBKBCruhdN9+JL96I57/5eG+7ZC/rb&#10;13O92por7v9ae2WA117Dn49zxjOlPUDb8XYq8Fz8caS5ErkuACXxgbGyVC0fOqhznpVSCIs1k7yw&#10;z8IbYm0uqJ/9FLBGFLojNWFddI/9KKwfGNdSt7R+p2Dn3R2mQWwIOKh1h7UZDqE1K0UGwXCkNtNa&#10;zR2pM8V5T2nw36puF0I7bf6z5NuEi3QoDTilH2WnbSMJLZjKOdQCQOfQbiWG6i0yxSR+gfIdo97s&#10;jaHWyREa2aWP0E7ZxkPNKA4T1IUWAlksSHvFaYzo/CpQvzmrXXRKRruVH2onb+OhFhkSVYJay7LU&#10;5g1voS45fqFj9ZtDbQJGUgLuS7+h607exkNt9JmgRj3aVlK3UGvK/WNBbdP9pKD2Zd+A2snbOKh5&#10;ITm3OVmeZwKR+1a/JdeikDGRNqlBOkhTQeWL1XY8JPvmKK4yeBRGwAXslcLIxA2r4bAgekRjNU8r&#10;LSNMfcHajodg/cBEwUq4iO8Y7MTcMiY1ciNPDo7hEKhZAc+bWEvBmudK5QNak1FalFfV1lvnZaWr&#10;J1NJwbXf/8ZwENJ5prHAYZHOMrjjJvj3Al5kZUGCEk2/XTWZBtCk0zCs7jhtx0Og5vjX1dWyAKg2&#10;z+uhZqXkkkesq0tXTqaDNabbi7WLZCNzcMUKrFWRgFusBwIeH2tXT6aDtc8aJV67WDYKa8ZghpK5&#10;7rAeSHh8rF1BmQbWSMt8tDbDIQrOcpkJWgcnpLUSQgyQ1jDTKE+IFqwTc8tA3tznodjxEKhpBbNg&#10;hCVhrWSG3OzWRck5Ku8yXrRW8G3bO0yD1QTqK5U1xkPAptYEyeHQvF+sXZWRBtaQap9hZoZDkKbV&#10;6jYrM5we6DcajCKuVqssMa8McPoIbYZDUIZTBulu17VkzpTSQ/EWGTWeRYvUKnP1RTKE9q9raVeH&#10;jEq+RU48tsotSiHkAGgBac8zJP6RUjKFv51clH7FP8mdvI2CGlGal+S3UpTmOsvYAOuc80xjASQe&#10;1ul5ZdQG4vNPMB6m4LwUUthu0d8Au+0Mpn6jN3bAFfKIpIiNqIzZvsPaDIdAfZWSeUkdOSVz4SmV&#10;OF34V7QwHIIy6mlV6s4RRY+DGnb651jLRothRPVOzCVDPS1fUW+Mh4BtuxIAJUXqjAuhBrs68ujp&#10;t0kdkupAyX28Jk8llNjoSlC0avVuwWbuDpPRcF8Gju6/sATcltWt/y1QP2fCx+uIq9XohuqEKxmo&#10;fRIOqMMU3EAN5TasFhp9oehRQEjoF6sh4UXJI+bfzD3MyUDtW78E1M5hGFVWIzND2UwWCQRcqFwI&#10;29JyBTVH8gYRjVZXM/cwJwO13/0unMEwCuq+1PLjHLfUYu45TgZlv/tdOGdhFMpWu9s+UQGdzqRP&#10;u5GTxyO0e46Tgdrvftt2bapDxkPNkIUZ7ZbYum2j4pV2U6Ul8JzF8r/t5oN0Ki3EY19HghkOqqkF&#10;en6hDAZpXqD1xOQ/PdIMOVoZcVeHYolZZeSfoD/kzhG14yFYQ8GLDH6ZBZuh08MunfRgGwNFRFy/&#10;ZAmaZa8YKNLZC6M03Jhluk2/X8c6poQnZpYxCW/6ntdmOIzWJOHtbi2BqKxRYN8W1ai0OJnksaI1&#10;tvq2d5hKYkaHlNxJOKB2RtIoUl9VWgbnQayO3GfE3c0lg7LfEC2dhzQKZRxYJGjFCsYJL7G1A92g&#10;N3QWuuB5zCUtNLMlRWekXmjJvuezHW+nYhTUcMkKrdADbMDWtKd2ADb6gXOGtCiedifmkhGovqra&#10;joeAjU4jCdP797CO2GnEk/PKsOH0nteI024iRtG6j9Pcy+m4jiha0pOSb8Dp970xHMLnB4UzMGBE&#10;Ge3GvkucaXQbqCUWsKHfEbXbWb7JZGSAw5d3u4kYx2c6IhSLwAZpiXNwUVjjyemNk4LhH5Y1oxVY&#10;6ZlkZFPdIU1BOpDUtCZJW7Up++al0nIANbZdYg9uRI8Mx+UlJd+EqS9K2/EQAaet8xl52+8X68Q8&#10;MsLUp+B2PARr2k5dYBnr/WJtu55SWtKik2buJBzZmhO4UcEaTQgFbd8lUjMtpG0A6GM1yrDClNyx&#10;grVIzCcj8vqcbzseQmqqqCV1ixHWaDnNbCdLjzWybymxeStaYiYStMp8rYOEtTOSRtGarLIMxucV&#10;2IPMLD7Y7g4TKbfAOJ+C03AIrRk+46KN1F5Sx7VP7BHVCcXpnA4Su4/TNByCctv3bSM1AFc6N6Xb&#10;lXpTM3DMhrK+lkyG0OCdD2oXxkZqN+2cp3QPgRqnEAo6FgPPzgBq7LWMF6idQ5QM1L44zXCybyCr&#10;qaZuczKmChxwM4Qa3Qg65gk3WN5pdSsZqH3+CaAOXeXowrTF2TDoitKRw7SrIpNB2eeIAuUwQ5QV&#10;XNMBSaTcea409mHdKDd6CtEKjAcsWjmdnkeGddr7KI0Sq1+/HRWmyfqmz88yWOMzsyS8uBusTX9o&#10;zKOM+qbINEhNmL7SjIDxNoqNwpqagZkurfnNXgc74uql3V+SVKHlwxoKHgw10xzrWIbXguEQcB+v&#10;Y/Z9S1dfpMFrYOr1vmk4kNWAusu+WaGwx9Yn4VesfuOPQ1T9IRDJQI2y1ldTu7xllIBzjr3y2tpk&#10;IDSMcKMSff7NdM5RdMdLzOzKeTr6jWBNPSB3UNvxMFpnWsA3MQpeyozZTVE91nBcceoKokesJBwN&#10;Ee0NpsFqwtTnitrxEKy5KkBc0BYF1/uE2kSUpGhNH0Xqo3VgYmbqLTr+DFDjtBuNLZ54cq5YHdv/&#10;tiElLah9wRqstud001SMitZm76WgaPxusXaZZxoKjm0V/rWO/gSYsUhjraM940bhuEn0otyzGk0p&#10;8WK1SzyTQdqXluEBCF3qwKoWjoE2nM5xlJHtzLzRb3zyUkSk+0PYkkEas30XqYF04EoHpw9jseIt&#10;8Zmpw0/T4lrnaESKR+ncLcXHBnp2Oa7nl/Xx6eOsmq+b6rjZLj5V5+r6e7y+HOdLXm/q3fOyefo/&#10;AAAA//8DAFBLAwQUAAYACAAAACEAGA0GbN0AAAAFAQAADwAAAGRycy9kb3ducmV2LnhtbEyPQUvD&#10;QBCF74L/YRnBm92kxRDTbEop6qkItoL0Ns1Ok9DsbMhuk/Tfu3qpl4HHe7z3Tb6aTCsG6l1jWUE8&#10;i0AQl1Y3XCn42r89pSCcR9bYWiYFV3KwKu7vcsy0HfmThp2vRChhl6GC2vsuk9KVNRl0M9sRB+9k&#10;e4M+yL6SuscxlJtWzqMokQYbDgs1drSpqTzvLkbB+4jjehG/DtvzaXM97J8/vrcxKfX4MK2XIDxN&#10;/haGX/yADkVgOtoLaydaBeER/3eDl8zTBMRRwUuaLEAWufxPX/wAAAD//wMAUEsBAi0AFAAGAAgA&#10;AAAhALaDOJL+AAAA4QEAABMAAAAAAAAAAAAAAAAAAAAAAFtDb250ZW50X1R5cGVzXS54bWxQSwEC&#10;LQAUAAYACAAAACEAOP0h/9YAAACUAQAACwAAAAAAAAAAAAAAAAAvAQAAX3JlbHMvLnJlbHNQSwEC&#10;LQAUAAYACAAAACEAnygdPwkLAADWhgAADgAAAAAAAAAAAAAAAAAuAgAAZHJzL2Uyb0RvYy54bWxQ&#10;SwECLQAUAAYACAAAACEAGA0GbN0AAAAFAQAADwAAAAAAAAAAAAAAAABjDQAAZHJzL2Rvd25yZXYu&#10;eG1sUEsFBgAAAAAEAAQA8wAAAG0OAAAAAA==&#10;">
                <v:rect id="Rectangle 21461" o:spid="_x0000_s5822" style="position:absolute;left:19005;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CVuxgAAAN4AAAAPAAAAZHJzL2Rvd25yZXYueG1sRI9Ba8JA&#10;FITvBf/D8gRvdRMpItFVRJHm4KVWweMj+0yi2bdLdjXRX98tFHocZuYbZrHqTSMe1PrasoJ0nIAg&#10;LqyuuVRw/N69z0D4gKyxsUwKnuRhtRy8LTDTtuMvehxCKSKEfYYKqhBcJqUvKjLox9YRR+9iW4Mh&#10;yraUusUuwk0jJ0kylQZrjgsVOtpUVNwOd6PgvGWX7zpZXF4bt7/ms+bzfjwpNRr26zmIQH34D/+1&#10;c61gkn5MU/i9E6+AXP4AAAD//wMAUEsBAi0AFAAGAAgAAAAhANvh9svuAAAAhQEAABMAAAAAAAAA&#10;AAAAAAAAAAAAAFtDb250ZW50X1R5cGVzXS54bWxQSwECLQAUAAYACAAAACEAWvQsW78AAAAVAQAA&#10;CwAAAAAAAAAAAAAAAAAfAQAAX3JlbHMvLnJlbHNQSwECLQAUAAYACAAAACEAFnwlbsYAAADeAAAA&#10;DwAAAAAAAAAAAAAAAAAHAgAAZHJzL2Rvd25yZXYueG1sUEsFBgAAAAADAAMAtwAAAPoCAAAAAA==&#10;" filled="f" stroked="f">
                  <v:textbox inset="0,0,0,0">
                    <w:txbxContent>
                      <w:p w14:paraId="4612FA92" w14:textId="77777777" w:rsidR="00B32EF2" w:rsidRDefault="00000000">
                        <w:r>
                          <w:rPr>
                            <w:rFonts w:ascii="Times New Roman" w:eastAsia="Times New Roman" w:hAnsi="Times New Roman" w:cs="Times New Roman"/>
                          </w:rPr>
                          <w:t>33</w:t>
                        </w:r>
                      </w:p>
                    </w:txbxContent>
                  </v:textbox>
                </v:rect>
                <v:rect id="Rectangle 202067" o:spid="_x0000_s5823" style="position:absolute;left:26357;top:61199;width:520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ToLxwAAAN8AAAAPAAAAZHJzL2Rvd25yZXYueG1sRI9BawIx&#10;FITvhf6H8AreatI9WNkaRSziHnqpWujxsXnubt28hE10t/56Iwgeh5n5hpktBtuKM3WhcazhbaxA&#10;EJfONFxp2O/Wr1MQISIbbB2Thn8KsJg/P80wN67nbzpvYyUShEOOGuoYfS5lKGuyGMbOEyfv4DqL&#10;McmukqbDPsFtKzOlJtJiw2mhRk+rmsrj9mQ1/H6yL9a9LA+Xlf/6K6bt5rT/0Xr0Miw/QEQa4iN8&#10;bxdGQ6YyNXmH25/0BeT8CgAA//8DAFBLAQItABQABgAIAAAAIQDb4fbL7gAAAIUBAAATAAAAAAAA&#10;AAAAAAAAAAAAAABbQ29udGVudF9UeXBlc10ueG1sUEsBAi0AFAAGAAgAAAAhAFr0LFu/AAAAFQEA&#10;AAsAAAAAAAAAAAAAAAAAHwEAAF9yZWxzLy5yZWxzUEsBAi0AFAAGAAgAAAAhAJzpOgvHAAAA3wAA&#10;AA8AAAAAAAAAAAAAAAAABwIAAGRycy9kb3ducmV2LnhtbFBLBQYAAAAAAwADALcAAAD7AgAAAAA=&#10;" filled="f" stroked="f">
                  <v:textbox inset="0,0,0,0">
                    <w:txbxContent>
                      <w:p w14:paraId="29BB5E1D" w14:textId="77777777" w:rsidR="00B32EF2" w:rsidRDefault="00000000">
                        <w:r>
                          <w:rPr>
                            <w:rFonts w:ascii="Arial" w:eastAsia="Arial" w:hAnsi="Arial" w:cs="Arial"/>
                            <w:sz w:val="18"/>
                          </w:rPr>
                          <w:t>7</w:t>
                        </w:r>
                      </w:p>
                    </w:txbxContent>
                  </v:textbox>
                </v:rect>
                <v:rect id="Rectangle 202068" o:spid="_x0000_s5824" style="position:absolute;left:-12747;top:61199;width:520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q55xAAAAN8AAAAPAAAAZHJzL2Rvd25yZXYueG1sRE+7bsIw&#10;FN0r8Q/WRepWbDIgFDCoAiEysPCo1PEqviSh8bUVG5Ly9fVQifHovJfrwbbiQV1oHGuYThQI4tKZ&#10;hisNl/PuYw4iRGSDrWPS8EsB1qvR2xJz43o+0uMUK5FCOOSooY7R51KGsiaLYeI8ceKurrMYE+wq&#10;aTrsU7htZabUTFpsODXU6GlTU/lzulsN31v2xa6X5fW58YdbMW/398uX1u/j4XMBItIQX+J/d2E0&#10;ZCpTszQ4/UlfQK7+AAAA//8DAFBLAQItABQABgAIAAAAIQDb4fbL7gAAAIUBAAATAAAAAAAAAAAA&#10;AAAAAAAAAABbQ29udGVudF9UeXBlc10ueG1sUEsBAi0AFAAGAAgAAAAhAFr0LFu/AAAAFQEAAAsA&#10;AAAAAAAAAAAAAAAAHwEAAF9yZWxzLy5yZWxzUEsBAi0AFAAGAAgAAAAhAO12rnnEAAAA3wAAAA8A&#10;AAAAAAAAAAAAAAAABwIAAGRycy9kb3ducmV2LnhtbFBLBQYAAAAAAwADALcAAAD4AgAAAAA=&#10;" filled="f" stroked="f">
                  <v:textbox inset="0,0,0,0">
                    <w:txbxContent>
                      <w:p w14:paraId="3571ED44" w14:textId="77777777" w:rsidR="00B32EF2" w:rsidRDefault="00000000">
                        <w:r>
                          <w:rPr>
                            <w:rFonts w:ascii="Arial" w:eastAsia="Arial" w:hAnsi="Arial" w:cs="Arial"/>
                            <w:sz w:val="18"/>
                          </w:rPr>
                          <w:t>. Gli uffici elettorali locali presiedono alle operazioni di voto che si svolgono pres</w:t>
                        </w:r>
                      </w:p>
                    </w:txbxContent>
                  </v:textbox>
                </v:rect>
                <v:rect id="Rectangle 21463" o:spid="_x0000_s5825" style="position:absolute;left:193;top:611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h6CxgAAAN4AAAAPAAAAZHJzL2Rvd25yZXYueG1sRI9Ba8JA&#10;FITvgv9heUJvutGKSHQVUcQcvGgt9PjIPpNo9u2SXU3aX+8WCj0OM/MNs1x3phZPanxlWcF4lIAg&#10;zq2uuFBw+dgP5yB8QNZYWyYF3+Rhver3lphq2/KJnudQiAhhn6KCMgSXSunzkgz6kXXE0bvaxmCI&#10;simkbrCNcFPLSZLMpMGK40KJjrYl5ffzwyj42rHL9q3Mrz9bd7xl8/rwuHwq9TboNgsQgbrwH/5r&#10;Z1rBZDydvcPvnXgF5OoFAAD//wMAUEsBAi0AFAAGAAgAAAAhANvh9svuAAAAhQEAABMAAAAAAAAA&#10;AAAAAAAAAAAAAFtDb250ZW50X1R5cGVzXS54bWxQSwECLQAUAAYACAAAACEAWvQsW78AAAAVAQAA&#10;CwAAAAAAAAAAAAAAAAAfAQAAX3JlbHMvLnJlbHNQSwECLQAUAAYACAAAACEAieIegsYAAADeAAAA&#10;DwAAAAAAAAAAAAAAAAAHAgAAZHJzL2Rvd25yZXYueG1sUEsFBgAAAAADAAMAtwAAAPoCAAAAAA==&#10;" filled="f" stroked="f">
                  <v:textbox inset="0,0,0,0">
                    <w:txbxContent>
                      <w:p w14:paraId="445CB22D" w14:textId="77777777" w:rsidR="00B32EF2" w:rsidRDefault="00000000">
                        <w:r>
                          <w:rPr>
                            <w:rFonts w:ascii="Arial" w:eastAsia="Arial" w:hAnsi="Arial" w:cs="Arial"/>
                            <w:sz w:val="18"/>
                          </w:rPr>
                          <w:t>-</w:t>
                        </w:r>
                      </w:p>
                    </w:txbxContent>
                  </v:textbox>
                </v:rect>
                <v:rect id="Rectangle 21464" o:spid="_x0000_s5826" style="position:absolute;left:-13165;top:59966;width:530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4b2xgAAAN4AAAAPAAAAZHJzL2Rvd25yZXYueG1sRI9Bi8Iw&#10;FITvC/6H8ARva6qISDWKKGIPXlZd2OOjebbV5iU00VZ//WZhweMwM98wi1VnavGgxleWFYyGCQji&#10;3OqKCwXn0+5zBsIHZI21ZVLwJA+rZe9jgam2LX/R4xgKESHsU1RQhuBSKX1ekkE/tI44ehfbGAxR&#10;NoXUDbYRbmo5TpKpNFhxXCjR0aak/Ha8GwU/W3bZrpX55bVxh2s2q/f387dSg363noMI1IV3+L+d&#10;aQXj0WQ6gb878QrI5S8AAAD//wMAUEsBAi0AFAAGAAgAAAAhANvh9svuAAAAhQEAABMAAAAAAAAA&#10;AAAAAAAAAAAAAFtDb250ZW50X1R5cGVzXS54bWxQSwECLQAUAAYACAAAACEAWvQsW78AAAAVAQAA&#10;CwAAAAAAAAAAAAAAAAAfAQAAX3JlbHMvLnJlbHNQSwECLQAUAAYACAAAACEABguG9sYAAADeAAAA&#10;DwAAAAAAAAAAAAAAAAAHAgAAZHJzL2Rvd25yZXYueG1sUEsFBgAAAAADAAMAtwAAAPoCAAAAAA==&#10;" filled="f" stroked="f">
                  <v:textbox inset="0,0,0,0">
                    <w:txbxContent>
                      <w:p w14:paraId="4325066C" w14:textId="77777777" w:rsidR="00B32EF2" w:rsidRDefault="00000000">
                        <w:r>
                          <w:rPr>
                            <w:rFonts w:ascii="Arial" w:eastAsia="Arial" w:hAnsi="Arial" w:cs="Arial"/>
                            <w:sz w:val="18"/>
                          </w:rPr>
                          <w:t xml:space="preserve">so di esse e provvedono allo scrutinio di tutte le schede elettorali, previa apertura </w:t>
                        </w:r>
                      </w:p>
                    </w:txbxContent>
                  </v:textbox>
                </v:rect>
                <v:rect id="Rectangle 21465" o:spid="_x0000_s5827" style="position:absolute;left:-13161;top:58733;width:5305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yNtxgAAAN4AAAAPAAAAZHJzL2Rvd25yZXYueG1sRI9Ba8JA&#10;FITvgv9heUJvulGqSHQVUcQcvGgt9PjIPpNo9u2SXU3aX+8WCj0OM/MNs1x3phZPanxlWcF4lIAg&#10;zq2uuFBw+dgP5yB8QNZYWyYF3+Rhver3lphq2/KJnudQiAhhn6KCMgSXSunzkgz6kXXE0bvaxmCI&#10;simkbrCNcFPLSZLMpMGK40KJjrYl5ffzwyj42rHL9q3Mrz9bd7xl8/rwuHwq9TboNgsQgbrwH/5r&#10;Z1rBZPw+m8LvnXgF5OoFAAD//wMAUEsBAi0AFAAGAAgAAAAhANvh9svuAAAAhQEAABMAAAAAAAAA&#10;AAAAAAAAAAAAAFtDb250ZW50X1R5cGVzXS54bWxQSwECLQAUAAYACAAAACEAWvQsW78AAAAVAQAA&#10;CwAAAAAAAAAAAAAAAAAfAQAAX3JlbHMvLnJlbHNQSwECLQAUAAYACAAAACEAaUcjbcYAAADeAAAA&#10;DwAAAAAAAAAAAAAAAAAHAgAAZHJzL2Rvd25yZXYueG1sUEsFBgAAAAADAAMAtwAAAPoCAAAAAA==&#10;" filled="f" stroked="f">
                  <v:textbox inset="0,0,0,0">
                    <w:txbxContent>
                      <w:p w14:paraId="49D977F0" w14:textId="77777777" w:rsidR="00B32EF2" w:rsidRDefault="00000000">
                        <w:r>
                          <w:rPr>
                            <w:rFonts w:ascii="Arial" w:eastAsia="Arial" w:hAnsi="Arial" w:cs="Arial"/>
                            <w:sz w:val="18"/>
                          </w:rPr>
                          <w:t xml:space="preserve">delle urne e conteggio delle schede, determinando il totale dei voti validi e il totale </w:t>
                        </w:r>
                      </w:p>
                    </w:txbxContent>
                  </v:textbox>
                </v:rect>
                <v:rect id="Rectangle 21466" o:spid="_x0000_s5828" style="position:absolute;left:-13163;top:57499;width:530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b0axwAAAN4AAAAPAAAAZHJzL2Rvd25yZXYueG1sRI9Pi8Iw&#10;FMTvC36H8Ba8ramyFKlGWRTZHrysf8Djo3m23W1eQhNt9dNvBMHjMDO/YebL3jTiSq2vLSsYjxIQ&#10;xIXVNZcKDvvNxxSED8gaG8uk4EYelovB2xwzbTv+oesulCJC2GeooArBZVL6oiKDfmQdcfTOtjUY&#10;omxLqVvsItw0cpIkqTRYc1yo0NGqouJvdzEKTmt2+aaTxfm+ctvffNp8Xw5HpYbv/dcMRKA+vMLP&#10;dq4VTMafaQqPO/EKyMU/AAAA//8DAFBLAQItABQABgAIAAAAIQDb4fbL7gAAAIUBAAATAAAAAAAA&#10;AAAAAAAAAAAAAABbQ29udGVudF9UeXBlc10ueG1sUEsBAi0AFAAGAAgAAAAhAFr0LFu/AAAAFQEA&#10;AAsAAAAAAAAAAAAAAAAAHwEAAF9yZWxzLy5yZWxzUEsBAi0AFAAGAAgAAAAhAJmVvRrHAAAA3gAA&#10;AA8AAAAAAAAAAAAAAAAABwIAAGRycy9kb3ducmV2LnhtbFBLBQYAAAAAAwADALcAAAD7AgAAAAA=&#10;" filled="f" stroked="f">
                  <v:textbox inset="0,0,0,0">
                    <w:txbxContent>
                      <w:p w14:paraId="0DCDAA2F" w14:textId="77777777" w:rsidR="00B32EF2" w:rsidRDefault="00000000">
                        <w:r>
                          <w:rPr>
                            <w:rFonts w:ascii="Arial" w:eastAsia="Arial" w:hAnsi="Arial" w:cs="Arial"/>
                            <w:sz w:val="18"/>
                          </w:rPr>
                          <w:t xml:space="preserve">delle preferenze per ciascun candidato. Le operazioni di scrutinio hanno inizio il </w:t>
                        </w:r>
                      </w:p>
                    </w:txbxContent>
                  </v:textbox>
                </v:rect>
                <v:rect id="Rectangle 21467" o:spid="_x0000_s5829" style="position:absolute;left:-13161;top:56266;width:530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RiBxgAAAN4AAAAPAAAAZHJzL2Rvd25yZXYueG1sRI9Ba8JA&#10;FITvgv9heUJvulGKlegqoog5eKla6PGRfSbR7Nslu5q0v94tFDwOM/MNs1h1phYPanxlWcF4lIAg&#10;zq2uuFBwPu2GMxA+IGusLZOCH/KwWvZ7C0y1bfmTHsdQiAhhn6KCMgSXSunzkgz6kXXE0bvYxmCI&#10;simkbrCNcFPLSZJMpcGK40KJjjYl5bfj3Sj43rLLdq3ML78bd7hms3p/P38p9Tbo1nMQgbrwCv+3&#10;M61gMn6ffsDfnXgF5PIJAAD//wMAUEsBAi0AFAAGAAgAAAAhANvh9svuAAAAhQEAABMAAAAAAAAA&#10;AAAAAAAAAAAAAFtDb250ZW50X1R5cGVzXS54bWxQSwECLQAUAAYACAAAACEAWvQsW78AAAAVAQAA&#10;CwAAAAAAAAAAAAAAAAAfAQAAX3JlbHMvLnJlbHNQSwECLQAUAAYACAAAACEA9tkYgcYAAADeAAAA&#10;DwAAAAAAAAAAAAAAAAAHAgAAZHJzL2Rvd25yZXYueG1sUEsFBgAAAAADAAMAtwAAAPoCAAAAAA==&#10;" filled="f" stroked="f">
                  <v:textbox inset="0,0,0,0">
                    <w:txbxContent>
                      <w:p w14:paraId="6095C8E1" w14:textId="77777777" w:rsidR="00B32EF2" w:rsidRDefault="00000000">
                        <w:r>
                          <w:rPr>
                            <w:rFonts w:ascii="Arial" w:eastAsia="Arial" w:hAnsi="Arial" w:cs="Arial"/>
                            <w:sz w:val="18"/>
                          </w:rPr>
                          <w:t xml:space="preserve">giorno successivo a quello di voto e di esse, come pure delle contestazioni decise </w:t>
                        </w:r>
                      </w:p>
                    </w:txbxContent>
                  </v:textbox>
                </v:rect>
                <v:rect id="Rectangle 21468" o:spid="_x0000_s5830" style="position:absolute;left:-2842;top:55033;width:427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ozzwwAAAN4AAAAPAAAAZHJzL2Rvd25yZXYueG1sRE9Ni8Iw&#10;EL0L+x/CLOxNU2URqUYRF9ke9qJW8Dg0Y1ttJqGJtuuvNwfB4+N9L1a9acSdWl9bVjAeJSCIC6tr&#10;LhXkh+1wBsIHZI2NZVLwTx5Wy4/BAlNtO97RfR9KEUPYp6igCsGlUvqiIoN+ZB1x5M62NRgibEup&#10;W+xiuGnkJEmm0mDNsaFCR5uKiuv+ZhScfthl204W58fG/V2yWfN7y49KfX326zmIQH14i1/uTCuY&#10;jL+ncW+8E6+AXD4BAAD//wMAUEsBAi0AFAAGAAgAAAAhANvh9svuAAAAhQEAABMAAAAAAAAAAAAA&#10;AAAAAAAAAFtDb250ZW50X1R5cGVzXS54bWxQSwECLQAUAAYACAAAACEAWvQsW78AAAAVAQAACwAA&#10;AAAAAAAAAAAAAAAfAQAAX3JlbHMvLnJlbHNQSwECLQAUAAYACAAAACEAh0aM88MAAADeAAAADwAA&#10;AAAAAAAAAAAAAAAHAgAAZHJzL2Rvd25yZXYueG1sUEsFBgAAAAADAAMAtwAAAPcCAAAAAA==&#10;" filled="f" stroked="f">
                  <v:textbox inset="0,0,0,0">
                    <w:txbxContent>
                      <w:p w14:paraId="0845A3E3" w14:textId="77777777" w:rsidR="00B32EF2" w:rsidRDefault="00000000">
                        <w:r>
                          <w:rPr>
                            <w:rFonts w:ascii="Arial" w:eastAsia="Arial" w:hAnsi="Arial" w:cs="Arial"/>
                            <w:sz w:val="18"/>
                          </w:rPr>
                          <w:t>ai sensi dell’articolo 28, comma 4, si dà atto nel processo verbale.</w:t>
                        </w:r>
                      </w:p>
                    </w:txbxContent>
                  </v:textbox>
                </v:rect>
                <v:rect id="Rectangle 202065" o:spid="_x0000_s5831" style="position:absolute;left:26110;top:537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wHnyAAAAN8AAAAPAAAAZHJzL2Rvd25yZXYueG1sRI9Ba8JA&#10;FITvhf6H5RV6q7sNKJK6iljEHHrRptDjI/tMUrNvl+xq0v56VxB6HGbmG2axGm0nLtSH1rGG14kC&#10;QVw503KtofzcvsxBhIhssHNMGn4pwGr5+LDA3LiB93Q5xFokCIccNTQx+lzKUDVkMUycJ07e0fUW&#10;Y5J9LU2PQ4LbTmZKzaTFltNCg542DVWnw9lq+H5nX2wHWR3/Nv7jp5h3u3P5pfXz07h+AxFpjP/h&#10;e7swGjKVqdkUbn/SF5DLKwAAAP//AwBQSwECLQAUAAYACAAAACEA2+H2y+4AAACFAQAAEwAAAAAA&#10;AAAAAAAAAAAAAAAAW0NvbnRlbnRfVHlwZXNdLnhtbFBLAQItABQABgAIAAAAIQBa9CxbvwAAABUB&#10;AAALAAAAAAAAAAAAAAAAAB8BAABfcmVscy8ucmVsc1BLAQItABQABgAIAAAAIQADdwHnyAAAAN8A&#10;AAAPAAAAAAAAAAAAAAAAAAcCAABkcnMvZG93bnJldi54bWxQSwUGAAAAAAMAAwC3AAAA/AIAAAAA&#10;" filled="f" stroked="f">
                  <v:textbox inset="0,0,0,0">
                    <w:txbxContent>
                      <w:p w14:paraId="70BBD52F" w14:textId="77777777" w:rsidR="00B32EF2" w:rsidRDefault="00000000">
                        <w:r>
                          <w:rPr>
                            <w:rFonts w:ascii="Arial" w:eastAsia="Arial" w:hAnsi="Arial" w:cs="Arial"/>
                            <w:sz w:val="18"/>
                          </w:rPr>
                          <w:t>8</w:t>
                        </w:r>
                      </w:p>
                    </w:txbxContent>
                  </v:textbox>
                </v:rect>
                <v:rect id="Rectangle 202066" o:spid="_x0000_s5832" style="position:absolute;left:-13819;top:537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Z+QxwAAAN8AAAAPAAAAZHJzL2Rvd25yZXYueG1sRI/NasMw&#10;EITvgb6D2EJuiVQfTHCjhJIS6kMuzQ/0uFgb2621EpYSu336KhDIcZiZb5jlerSduFIfWscaXuYK&#10;BHHlTMu1huNhO1uACBHZYOeYNPxSgPXqabLEwriBP+m6j7VIEA4Famhi9IWUoWrIYpg7T5y8s+st&#10;xiT7WpoehwS3ncyUyqXFltNCg542DVU/+4vV8PXOvtwOsjr/bfzuu1x0H5fjSevp8/j2CiLSGB/h&#10;e7s0GjKVqTyH25/0BeTqHwAA//8DAFBLAQItABQABgAIAAAAIQDb4fbL7gAAAIUBAAATAAAAAAAA&#10;AAAAAAAAAAAAAABbQ29udGVudF9UeXBlc10ueG1sUEsBAi0AFAAGAAgAAAAhAFr0LFu/AAAAFQEA&#10;AAsAAAAAAAAAAAAAAAAAHwEAAF9yZWxzLy5yZWxzUEsBAi0AFAAGAAgAAAAhAPOln5DHAAAA3wAA&#10;AA8AAAAAAAAAAAAAAAAABwIAAGRycy9kb3ducmV2LnhtbFBLBQYAAAAAAwADALcAAAD7AgAAAAA=&#10;" filled="f" stroked="f">
                  <v:textbox inset="0,0,0,0">
                    <w:txbxContent>
                      <w:p w14:paraId="03D9C745" w14:textId="77777777" w:rsidR="00B32EF2" w:rsidRDefault="00000000">
                        <w:r>
                          <w:rPr>
                            <w:rFonts w:ascii="Arial" w:eastAsia="Arial" w:hAnsi="Arial" w:cs="Arial"/>
                            <w:sz w:val="18"/>
                          </w:rPr>
                          <w:t xml:space="preserve">. Con regolamento del Consiglio di presidenza sono stabilite le disposizioni di </w:t>
                        </w:r>
                      </w:p>
                    </w:txbxContent>
                  </v:textbox>
                </v:rect>
                <v:rect id="Rectangle 21470" o:spid="_x0000_s5833" style="position:absolute;left:18010;top:52566;width:219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RYoxgAAAN4AAAAPAAAAZHJzL2Rvd25yZXYueG1sRI/LasMw&#10;EEX3hfyDmEB2tZxQ2uBaDiEh1Itumgd0OVjjR2uNhKXETr++WhS6vNwXJ99Mphc3GnxnWcEySUEQ&#10;V1Z33Cg4nw6PaxA+IGvsLZOCO3nYFLOHHDNtR/6g2zE0Io6wz1BBG4LLpPRVSwZ9Yh1x9Go7GAxR&#10;Do3UA45x3PRylabP0mDH8aFFR7uWqu/j1Sj43LMrD6Os6p+de/8q1/3b9XxRajGftq8gAk3hP/zX&#10;LrWC1fLpJQJEnIgCsvgFAAD//wMAUEsBAi0AFAAGAAgAAAAhANvh9svuAAAAhQEAABMAAAAAAAAA&#10;AAAAAAAAAAAAAFtDb250ZW50X1R5cGVzXS54bWxQSwECLQAUAAYACAAAACEAWvQsW78AAAAVAQAA&#10;CwAAAAAAAAAAAAAAAAAfAQAAX3JlbHMvLnJlbHNQSwECLQAUAAYACAAAACEA/OkWKMYAAADeAAAA&#10;DwAAAAAAAAAAAAAAAAAHAgAAZHJzL2Rvd25yZXYueG1sUEsFBgAAAAADAAMAtwAAAPoCAAAAAA==&#10;" filled="f" stroked="f">
                  <v:textbox inset="0,0,0,0">
                    <w:txbxContent>
                      <w:p w14:paraId="262678AF" w14:textId="77777777" w:rsidR="00B32EF2" w:rsidRDefault="00000000">
                        <w:r>
                          <w:rPr>
                            <w:rFonts w:ascii="Arial" w:eastAsia="Arial" w:hAnsi="Arial" w:cs="Arial"/>
                            <w:sz w:val="18"/>
                          </w:rPr>
                          <w:t>attuazione del presente articolo.</w:t>
                        </w:r>
                      </w:p>
                    </w:txbxContent>
                  </v:textbox>
                </v:rect>
                <v:rect id="Rectangle 21471" o:spid="_x0000_s5834" style="position:absolute;left:15072;top:50099;width:8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bOzxwAAAN4AAAAPAAAAZHJzL2Rvd25yZXYueG1sRI9Pa8JA&#10;FMTvgt9heYI33USKldRVRJHm0Ev9Az0+ss8kbfbtkl1N7Kd3CwWPw8z8hlmue9OIG7W+tqwgnSYg&#10;iAuray4VnI77yQKED8gaG8uk4E4e1qvhYImZth1/0u0QShEh7DNUUIXgMil9UZFBP7WOOHoX2xoM&#10;Ubal1C12EW4aOUuSuTRYc1yo0NG2ouLncDUKvnbs8n0ni8vv1n1854vm/Xo6KzUe9Zs3EIH68Az/&#10;t3OtYJa+vKbwdydeAbl6AAAA//8DAFBLAQItABQABgAIAAAAIQDb4fbL7gAAAIUBAAATAAAAAAAA&#10;AAAAAAAAAAAAAABbQ29udGVudF9UeXBlc10ueG1sUEsBAi0AFAAGAAgAAAAhAFr0LFu/AAAAFQEA&#10;AAsAAAAAAAAAAAAAAAAAHwEAAF9yZWxzLy5yZWxzUEsBAi0AFAAGAAgAAAAhAJOls7PHAAAA3gAA&#10;AA8AAAAAAAAAAAAAAAAABwIAAGRycy9kb3ducmV2LnhtbFBLBQYAAAAAAwADALcAAAD7AgAAAAA=&#10;" filled="f" stroked="f">
                  <v:textbox inset="0,0,0,0">
                    <w:txbxContent>
                      <w:p w14:paraId="27AD9607" w14:textId="77777777" w:rsidR="00B32EF2" w:rsidRDefault="00000000">
                        <w:r>
                          <w:rPr>
                            <w:rFonts w:ascii="Arial" w:eastAsia="Arial" w:hAnsi="Arial" w:cs="Arial"/>
                            <w:b/>
                            <w:sz w:val="18"/>
                          </w:rPr>
                          <w:t>Articolo 28</w:t>
                        </w:r>
                      </w:p>
                    </w:txbxContent>
                  </v:textbox>
                </v:rect>
                <v:rect id="Rectangle 202062" o:spid="_x0000_s5835" style="position:absolute;left:22221;top:48866;width:194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pmTxwAAAN8AAAAPAAAAZHJzL2Rvd25yZXYueG1sRI9BawIx&#10;FITvhf6H8AreatI9iGyNIop0D15qFXp8bJ67q5uXsInu6q9vBKHHYWa+YWaLwbbiSl1oHGv4GCsQ&#10;xKUzDVca9j+b9ymIEJENto5Jw40CLOavLzPMjev5m667WIkE4ZCjhjpGn0sZyposhrHzxMk7us5i&#10;TLKrpOmwT3DbykypibTYcFqo0dOqpvK8u1gNv2v2xaaX5fG+8ttTMW2/LvuD1qO3YfkJItIQ/8PP&#10;dmE0ZCpTkwwef9IXkPM/AAAA//8DAFBLAQItABQABgAIAAAAIQDb4fbL7gAAAIUBAAATAAAAAAAA&#10;AAAAAAAAAAAAAABbQ29udGVudF9UeXBlc10ueG1sUEsBAi0AFAAGAAgAAAAhAFr0LFu/AAAAFQEA&#10;AAsAAAAAAAAAAAAAAAAAHwEAAF9yZWxzLy5yZWxzUEsBAi0AFAAGAAgAAAAhAIyemZPHAAAA3wAA&#10;AA8AAAAAAAAAAAAAAAAABwIAAGRycy9kb3ducmV2LnhtbFBLBQYAAAAAAwADALcAAAD7AgAAAAA=&#10;" filled="f" stroked="f">
                  <v:textbox inset="0,0,0,0">
                    <w:txbxContent>
                      <w:p w14:paraId="349A8036" w14:textId="77777777" w:rsidR="00B32EF2" w:rsidRDefault="00000000">
                        <w:r>
                          <w:rPr>
                            <w:rFonts w:ascii="Arial" w:eastAsia="Arial" w:hAnsi="Arial" w:cs="Arial"/>
                            <w:i/>
                            <w:sz w:val="18"/>
                          </w:rPr>
                          <w:t>(</w:t>
                        </w:r>
                      </w:p>
                    </w:txbxContent>
                  </v:textbox>
                </v:rect>
                <v:rect id="Rectangle 202063" o:spid="_x0000_s5836" style="position:absolute;left:-2618;top:48866;width:194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jwIyAAAAN8AAAAPAAAAZHJzL2Rvd25yZXYueG1sRI9Ba8JA&#10;FITvhf6H5RV6q7uNIJK6iljEHHrRptDjI/tMUrNvl+xq0v56VxB6HGbmG2axGm0nLtSH1rGG14kC&#10;QVw503KtofzcvsxBhIhssHNMGn4pwGr5+LDA3LiB93Q5xFokCIccNTQx+lzKUDVkMUycJ07e0fUW&#10;Y5J9LU2PQ4LbTmZKzaTFltNCg542DVWnw9lq+H5nX2wHWR3/Nv7jp5h3u3P5pfXz07h+AxFpjP/h&#10;e7swGjKVqdkUbn/SF5DLKwAAAP//AwBQSwECLQAUAAYACAAAACEA2+H2y+4AAACFAQAAEwAAAAAA&#10;AAAAAAAAAAAAAAAAW0NvbnRlbnRfVHlwZXNdLnhtbFBLAQItABQABgAIAAAAIQBa9CxbvwAAABUB&#10;AAALAAAAAAAAAAAAAAAAAB8BAABfcmVscy8ucmVsc1BLAQItABQABgAIAAAAIQDj0jwIyAAAAN8A&#10;AAAPAAAAAAAAAAAAAAAAAAcCAABkcnMvZG93bnJldi54bWxQSwUGAAAAAAMAAwC3AAAA/AIAAAAA&#10;" filled="f" stroked="f">
                  <v:textbox inset="0,0,0,0">
                    <w:txbxContent>
                      <w:p w14:paraId="694EBE32" w14:textId="77777777" w:rsidR="00B32EF2" w:rsidRDefault="00000000">
                        <w:r>
                          <w:rPr>
                            <w:rFonts w:ascii="Arial" w:eastAsia="Arial" w:hAnsi="Arial" w:cs="Arial"/>
                            <w:i/>
                            <w:sz w:val="18"/>
                          </w:rPr>
                          <w:t>545/92)</w:t>
                        </w:r>
                      </w:p>
                    </w:txbxContent>
                  </v:textbox>
                </v:rect>
                <v:rect id="Rectangle 202064" o:spid="_x0000_s5837" style="position:absolute;left:11634;top:48866;width:194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6R8yAAAAN8AAAAPAAAAZHJzL2Rvd25yZXYueG1sRI9Ba8JA&#10;FITvhf6H5RV6q7sNIpK6iljEHHrRptDjI/tMUrNvl+xq0v56VxB6HGbmG2axGm0nLtSH1rGG14kC&#10;QVw503KtofzcvsxBhIhssHNMGn4pwGr5+LDA3LiB93Q5xFokCIccNTQx+lzKUDVkMUycJ07e0fUW&#10;Y5J9LU2PQ4LbTmZKzaTFltNCg542DVWnw9lq+H5nX2wHWR3/Nv7jp5h3u3P5pfXz07h+AxFpjP/h&#10;e7swGjKVqdkUbn/SF5DLKwAAAP//AwBQSwECLQAUAAYACAAAACEA2+H2y+4AAACFAQAAEwAAAAAA&#10;AAAAAAAAAAAAAAAAW0NvbnRlbnRfVHlwZXNdLnhtbFBLAQItABQABgAIAAAAIQBa9CxbvwAAABUB&#10;AAALAAAAAAAAAAAAAAAAAB8BAABfcmVscy8ucmVsc1BLAQItABQABgAIAAAAIQBsO6R8yAAAAN8A&#10;AAAPAAAAAAAAAAAAAAAAAAcCAABkcnMvZG93bnJldi54bWxQSwUGAAAAAAMAAwC3AAAA/AIAAAAA&#10;" filled="f" stroked="f">
                  <v:textbox inset="0,0,0,0">
                    <w:txbxContent>
                      <w:p w14:paraId="0A3B16CC" w14:textId="77777777" w:rsidR="00B32EF2" w:rsidRDefault="00000000">
                        <w:r>
                          <w:rPr>
                            <w:rFonts w:ascii="Arial" w:eastAsia="Arial" w:hAnsi="Arial" w:cs="Arial"/>
                            <w:i/>
                            <w:sz w:val="18"/>
                          </w:rPr>
                          <w:t xml:space="preserve">articolo 22 D.lgs. n. </w:t>
                        </w:r>
                      </w:p>
                    </w:txbxContent>
                  </v:textbox>
                </v:rect>
                <v:rect id="Rectangle 21473" o:spid="_x0000_s5838" style="position:absolute;left:15403;top:47633;width:73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4hfxwAAAN4AAAAPAAAAZHJzL2Rvd25yZXYueG1sRI9Pa8JA&#10;FMTvgt9heUJvutGKldRVikXMoRf/FHp8ZJ9J2uzbJbua6KfvCoLHYWZ+wyxWnanFhRpfWVYwHiUg&#10;iHOrKy4UHA+b4RyED8gaa8uk4EoeVst+b4Gpti3v6LIPhYgQ9ikqKENwqZQ+L8mgH1lHHL2TbQyG&#10;KJtC6gbbCDe1nCTJTBqsOC6U6GhdUv63PxsFP5/ssk0r89Nt7b5+s3m9PR+/lXoZdB/vIAJ14Rl+&#10;tDOtYDKevr3C/U68AnL5DwAA//8DAFBLAQItABQABgAIAAAAIQDb4fbL7gAAAIUBAAATAAAAAAAA&#10;AAAAAAAAAAAAAABbQ29udGVudF9UeXBlc10ueG1sUEsBAi0AFAAGAAgAAAAhAFr0LFu/AAAAFQEA&#10;AAsAAAAAAAAAAAAAAAAAHwEAAF9yZWxzLy5yZWxzUEsBAi0AFAAGAAgAAAAhAAw7iF/HAAAA3gAA&#10;AA8AAAAAAAAAAAAAAAAABwIAAGRycy9kb3ducmV2LnhtbFBLBQYAAAAAAwADALcAAAD7AgAAAAA=&#10;" filled="f" stroked="f">
                  <v:textbox inset="0,0,0,0">
                    <w:txbxContent>
                      <w:p w14:paraId="779364F9" w14:textId="77777777" w:rsidR="00B32EF2" w:rsidRDefault="00000000">
                        <w:r>
                          <w:rPr>
                            <w:rFonts w:ascii="Arial" w:eastAsia="Arial" w:hAnsi="Arial" w:cs="Arial"/>
                            <w:b/>
                            <w:sz w:val="18"/>
                          </w:rPr>
                          <w:t xml:space="preserve">Votazioni </w:t>
                        </w:r>
                      </w:p>
                    </w:txbxContent>
                  </v:textbox>
                </v:rect>
                <v:rect id="Rectangle 202058" o:spid="_x0000_s5839" style="position:absolute;left:-12781;top:46400;width:5210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mTExAAAAN8AAAAPAAAAZHJzL2Rvd25yZXYueG1sRE/Pa8Iw&#10;FL4P/B/CE7zNxMJEOqMMRdaDl6mDHR/Ns+3WvIQm2upfvxwEjx/f7+V6sK24UhcaxxpmUwWCuHSm&#10;4UrD6bh7XYAIEdlg65g03CjAejV6WWJuXM9fdD3ESqQQDjlqqGP0uZShrMlimDpPnLiz6yzGBLtK&#10;mg77FG5bmSk1lxYbTg01etrUVP4dLlbDz5Z9setleb5v/P63WLSfl9O31pPx8PEOItIQn+KHuzAa&#10;MpWptzQ4/UlfQK7+AQAA//8DAFBLAQItABQABgAIAAAAIQDb4fbL7gAAAIUBAAATAAAAAAAAAAAA&#10;AAAAAAAAAABbQ29udGVudF9UeXBlc10ueG1sUEsBAi0AFAAGAAgAAAAhAFr0LFu/AAAAFQEAAAsA&#10;AAAAAAAAAAAAAAAAHwEAAF9yZWxzLy5yZWxzUEsBAi0AFAAGAAgAAAAhACMaZMTEAAAA3wAAAA8A&#10;AAAAAAAAAAAAAAAABwIAAGRycy9kb3ducmV2LnhtbFBLBQYAAAAAAwADALcAAAD4AgAAAAA=&#10;" filled="f" stroked="f">
                  <v:textbox inset="0,0,0,0">
                    <w:txbxContent>
                      <w:p w14:paraId="40EF5AC4" w14:textId="77777777" w:rsidR="00B32EF2" w:rsidRDefault="00000000">
                        <w:r>
                          <w:rPr>
                            <w:rFonts w:ascii="Arial" w:eastAsia="Arial" w:hAnsi="Arial" w:cs="Arial"/>
                            <w:sz w:val="18"/>
                          </w:rPr>
                          <w:t>. Ciascun elettore può esprimere il voto per non più di sei candidati. Le sche</w:t>
                        </w:r>
                      </w:p>
                    </w:txbxContent>
                  </v:textbox>
                </v:rect>
                <v:rect id="Rectangle 202056" o:spid="_x0000_s5840" style="position:absolute;left:26354;top:46400;width:5210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VUtyAAAAN8AAAAPAAAAZHJzL2Rvd25yZXYueG1sRI9Ba8JA&#10;FITvhf6H5RV6q7sNKJK6iljEHHrRptDjI/tMUrNvl+xq0v56VxB6HGbmG2axGm0nLtSH1rGG14kC&#10;QVw503KtofzcvsxBhIhssHNMGn4pwGr5+LDA3LiB93Q5xFokCIccNTQx+lzKUDVkMUycJ07e0fUW&#10;Y5J9LU2PQ4LbTmZKzaTFltNCg542DVWnw9lq+H5nX2wHWR3/Nv7jp5h3u3P5pfXz07h+AxFpjP/h&#10;e7swGjKVqekMbn/SF5DLKwAAAP//AwBQSwECLQAUAAYACAAAACEA2+H2y+4AAACFAQAAEwAAAAAA&#10;AAAAAAAAAAAAAAAAW0NvbnRlbnRfVHlwZXNdLnhtbFBLAQItABQABgAIAAAAIQBa9CxbvwAAABUB&#10;AAALAAAAAAAAAAAAAAAAAB8BAABfcmVscy8ucmVsc1BLAQItABQABgAIAAAAIQA9yVUtyAAAAN8A&#10;AAAPAAAAAAAAAAAAAAAAAAcCAABkcnMvZG93bnJldi54bWxQSwUGAAAAAAMAAwC3AAAA/AIAAAAA&#10;" filled="f" stroked="f">
                  <v:textbox inset="0,0,0,0">
                    <w:txbxContent>
                      <w:p w14:paraId="15D04FF2" w14:textId="77777777" w:rsidR="00B32EF2" w:rsidRDefault="00000000">
                        <w:r>
                          <w:rPr>
                            <w:rFonts w:ascii="Arial" w:eastAsia="Arial" w:hAnsi="Arial" w:cs="Arial"/>
                            <w:sz w:val="18"/>
                          </w:rPr>
                          <w:t>1</w:t>
                        </w:r>
                      </w:p>
                    </w:txbxContent>
                  </v:textbox>
                </v:rect>
                <v:rect id="Rectangle 21475" o:spid="_x0000_s5841" style="position:absolute;left:193;top:4640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rWwxwAAAN4AAAAPAAAAZHJzL2Rvd25yZXYueG1sRI9Pa8JA&#10;FMTvgt9heUJvulGqldRVikXMoRf/FHp8ZJ9J2uzbJbua6KfvCoLHYWZ+wyxWnanFhRpfWVYwHiUg&#10;iHOrKy4UHA+b4RyED8gaa8uk4EoeVst+b4Gpti3v6LIPhYgQ9ikqKENwqZQ+L8mgH1lHHL2TbQyG&#10;KJtC6gbbCDe1nCTJTBqsOC6U6GhdUv63PxsFP5/ssk0r89Nt7b5+s3m9PR+/lXoZdB/vIAJ14Rl+&#10;tDOtYDJ+fZvC/U68AnL5DwAA//8DAFBLAQItABQABgAIAAAAIQDb4fbL7gAAAIUBAAATAAAAAAAA&#10;AAAAAAAAAAAAAABbQ29udGVudF9UeXBlc10ueG1sUEsBAi0AFAAGAAgAAAAhAFr0LFu/AAAAFQEA&#10;AAsAAAAAAAAAAAAAAAAAHwEAAF9yZWxzLy5yZWxzUEsBAi0AFAAGAAgAAAAhAOyetbDHAAAA3gAA&#10;AA8AAAAAAAAAAAAAAAAABwIAAGRycy9kb3ducmV2LnhtbFBLBQYAAAAAAwADALcAAAD7AgAAAAA=&#10;" filled="f" stroked="f">
                  <v:textbox inset="0,0,0,0">
                    <w:txbxContent>
                      <w:p w14:paraId="1EC0B55C" w14:textId="77777777" w:rsidR="00B32EF2" w:rsidRDefault="00000000">
                        <w:r>
                          <w:rPr>
                            <w:rFonts w:ascii="Arial" w:eastAsia="Arial" w:hAnsi="Arial" w:cs="Arial"/>
                            <w:sz w:val="18"/>
                          </w:rPr>
                          <w:t>-</w:t>
                        </w:r>
                      </w:p>
                    </w:txbxContent>
                  </v:textbox>
                </v:rect>
                <v:rect id="Rectangle 21476" o:spid="_x0000_s5842" style="position:absolute;left:-13171;top:451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CvHxgAAAN4AAAAPAAAAZHJzL2Rvd25yZXYueG1sRI9Ba8JA&#10;FITvgv9heUJvulGKlegqoog5eKla6PGRfSbR7Nslu5q0v94tFDwOM/MNs1h1phYPanxlWcF4lIAg&#10;zq2uuFBwPu2GMxA+IGusLZOCH/KwWvZ7C0y1bfmTHsdQiAhhn6KCMgSXSunzkgz6kXXE0bvYxmCI&#10;simkbrCNcFPLSZJMpcGK40KJjjYl5bfj3Sj43rLLdq3ML78bd7hms3p/P38p9Tbo1nMQgbrwCv+3&#10;M61gMn7/mMLfnXgF5PIJAAD//wMAUEsBAi0AFAAGAAgAAAAhANvh9svuAAAAhQEAABMAAAAAAAAA&#10;AAAAAAAAAAAAAFtDb250ZW50X1R5cGVzXS54bWxQSwECLQAUAAYACAAAACEAWvQsW78AAAAVAQAA&#10;CwAAAAAAAAAAAAAAAAAfAQAAX3JlbHMvLnJlbHNQSwECLQAUAAYACAAAACEAHEwrx8YAAADeAAAA&#10;DwAAAAAAAAAAAAAAAAAHAgAAZHJzL2Rvd25yZXYueG1sUEsFBgAAAAADAAMAtwAAAPoCAAAAAA==&#10;" filled="f" stroked="f">
                  <v:textbox inset="0,0,0,0">
                    <w:txbxContent>
                      <w:p w14:paraId="5D163952" w14:textId="77777777" w:rsidR="00B32EF2" w:rsidRDefault="00000000">
                        <w:r>
                          <w:rPr>
                            <w:rFonts w:ascii="Arial" w:eastAsia="Arial" w:hAnsi="Arial" w:cs="Arial"/>
                            <w:sz w:val="18"/>
                          </w:rPr>
                          <w:t xml:space="preserve">de devono essere preventivamente controfirmate dai componenti dell’ufficio </w:t>
                        </w:r>
                      </w:p>
                    </w:txbxContent>
                  </v:textbox>
                </v:rect>
                <v:rect id="Rectangle 21477" o:spid="_x0000_s5843" style="position:absolute;left:3564;top:43933;width:363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I5cxgAAAN4AAAAPAAAAZHJzL2Rvd25yZXYueG1sRI9Ba8JA&#10;FITvgv9heUJvulGKSnQVUcQcvGgt9PjIPpNo9u2SXU3aX+8WCj0OM/MNs1x3phZPanxlWcF4lIAg&#10;zq2uuFBw+dgP5yB8QNZYWyYF3+Rhver3lphq2/KJnudQiAhhn6KCMgSXSunzkgz6kXXE0bvaxmCI&#10;simkbrCNcFPLSZJMpcGK40KJjrYl5ffzwyj42rHL9q3Mrz9bd7xl8/rwuHwq9TboNgsQgbrwH/5r&#10;Z1rBZPw+m8HvnXgF5OoFAAD//wMAUEsBAi0AFAAGAAgAAAAhANvh9svuAAAAhQEAABMAAAAAAAAA&#10;AAAAAAAAAAAAAFtDb250ZW50X1R5cGVzXS54bWxQSwECLQAUAAYACAAAACEAWvQsW78AAAAVAQAA&#10;CwAAAAAAAAAAAAAAAAAfAQAAX3JlbHMvLnJlbHNQSwECLQAUAAYACAAAACEAcwCOXMYAAADeAAAA&#10;DwAAAAAAAAAAAAAAAAAHAgAAZHJzL2Rvd25yZXYueG1sUEsFBgAAAAADAAMAtwAAAPoCAAAAAA==&#10;" filled="f" stroked="f">
                  <v:textbox inset="0,0,0,0">
                    <w:txbxContent>
                      <w:p w14:paraId="3827FA4F" w14:textId="77777777" w:rsidR="00B32EF2" w:rsidRDefault="00000000">
                        <w:r>
                          <w:rPr>
                            <w:rFonts w:ascii="Arial" w:eastAsia="Arial" w:hAnsi="Arial" w:cs="Arial"/>
                            <w:sz w:val="18"/>
                          </w:rPr>
                          <w:t>elettorale ed essere riconsegnate chiuse dall’elettore.</w:t>
                        </w:r>
                      </w:p>
                    </w:txbxContent>
                  </v:textbox>
                </v:rect>
                <v:rect id="Rectangle 202052" o:spid="_x0000_s5844" style="position:absolute;left:26329;top:42700;width:522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lMuxwAAAN8AAAAPAAAAZHJzL2Rvd25yZXYueG1sRI9Ba8JA&#10;FITvQv/D8gq96W4DFUldpVikOXjRRujxkX0mabNvl+xqor/eLRR6HGbmG2a5Hm0nLtSH1rGG55kC&#10;QVw503KtofzcThcgQkQ22DkmDVcKsF49TJaYGzfwni6HWIsE4ZCjhiZGn0sZqoYshpnzxMk7ud5i&#10;TLKvpelxSHDbyUypubTYclpo0NOmoerncLYavt7ZF9tBVqfbxu++i0X3cS6PWj89jm+vICKN8T/8&#10;1y6Mhkxl6iWD3z/pC8jVHQAA//8DAFBLAQItABQABgAIAAAAIQDb4fbL7gAAAIUBAAATAAAAAAAA&#10;AAAAAAAAAAAAAABbQ29udGVudF9UeXBlc10ueG1sUEsBAi0AFAAGAAgAAAAhAFr0LFu/AAAAFQEA&#10;AAsAAAAAAAAAAAAAAAAAHwEAAF9yZWxzLy5yZWxzUEsBAi0AFAAGAAgAAAAhAELyUy7HAAAA3wAA&#10;AA8AAAAAAAAAAAAAAAAABwIAAGRycy9kb3ducmV2LnhtbFBLBQYAAAAAAwADALcAAAD7AgAAAAA=&#10;" filled="f" stroked="f">
                  <v:textbox inset="0,0,0,0">
                    <w:txbxContent>
                      <w:p w14:paraId="3F9329C5" w14:textId="77777777" w:rsidR="00B32EF2" w:rsidRDefault="00000000">
                        <w:r>
                          <w:rPr>
                            <w:rFonts w:ascii="Arial" w:eastAsia="Arial" w:hAnsi="Arial" w:cs="Arial"/>
                            <w:sz w:val="18"/>
                          </w:rPr>
                          <w:t>2</w:t>
                        </w:r>
                      </w:p>
                    </w:txbxContent>
                  </v:textbox>
                </v:rect>
                <v:rect id="Rectangle 202053" o:spid="_x0000_s5845" style="position:absolute;left:-12934;top:42700;width:522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va1yAAAAN8AAAAPAAAAZHJzL2Rvd25yZXYueG1sRI9BawIx&#10;FITvhf6H8Aq91aRbLLIaRSzSPfSiVfD42Dx3VzcvYRPdbX+9EQo9DjPzDTNbDLYVV+pC41jD60iB&#10;IC6dabjSsPtev0xAhIhssHVMGn4owGL++DDD3LieN3TdxkokCIccNdQx+lzKUNZkMYycJ07e0XUW&#10;Y5JdJU2HfYLbVmZKvUuLDaeFGj2tairP24vVcPhgX6x7WR5/V/7rVEzaz8tur/Xz07Ccgog0xP/w&#10;X7swGjKVqfEb3P+kLyDnNwAAAP//AwBQSwECLQAUAAYACAAAACEA2+H2y+4AAACFAQAAEwAAAAAA&#10;AAAAAAAAAAAAAAAAW0NvbnRlbnRfVHlwZXNdLnhtbFBLAQItABQABgAIAAAAIQBa9CxbvwAAABUB&#10;AAALAAAAAAAAAAAAAAAAAB8BAABfcmVscy8ucmVsc1BLAQItABQABgAIAAAAIQAtvva1yAAAAN8A&#10;AAAPAAAAAAAAAAAAAAAAAAcCAABkcnMvZG93bnJldi54bWxQSwUGAAAAAAMAAwC3AAAA/AIAAAAA&#10;" filled="f" stroked="f">
                  <v:textbox inset="0,0,0,0">
                    <w:txbxContent>
                      <w:p w14:paraId="6888312D" w14:textId="77777777" w:rsidR="00B32EF2" w:rsidRDefault="00000000">
                        <w:r>
                          <w:rPr>
                            <w:rFonts w:ascii="Arial" w:eastAsia="Arial" w:hAnsi="Arial" w:cs="Arial"/>
                            <w:sz w:val="18"/>
                          </w:rPr>
                          <w:t>. Il voto, personale, diretto e segreto, viene espresso presso la sede della cor</w:t>
                        </w:r>
                      </w:p>
                    </w:txbxContent>
                  </v:textbox>
                </v:rect>
                <v:rect id="Rectangle 21479" o:spid="_x0000_s5846" style="position:absolute;left:193;top:427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7+1xwAAAN4AAAAPAAAAZHJzL2Rvd25yZXYueG1sRI9Pa8JA&#10;FMTvgt9heUJvulGK2tRVikXMoRf/FHp8ZJ9J2uzbJbua6KfvCoLHYWZ+wyxWnanFhRpfWVYwHiUg&#10;iHOrKy4UHA+b4RyED8gaa8uk4EoeVst+b4Gpti3v6LIPhYgQ9ikqKENwqZQ+L8mgH1lHHL2TbQyG&#10;KJtC6gbbCDe1nCTJVBqsOC6U6GhdUv63PxsFP5/ssk0r89Nt7b5+s3m9PR+/lXoZdB/vIAJ14Rl+&#10;tDOtYDJ+nb3B/U68AnL5DwAA//8DAFBLAQItABQABgAIAAAAIQDb4fbL7gAAAIUBAAATAAAAAAAA&#10;AAAAAAAAAAAAAABbQ29udGVudF9UeXBlc10ueG1sUEsBAi0AFAAGAAgAAAAhAFr0LFu/AAAAFQEA&#10;AAsAAAAAAAAAAAAAAAAAHwEAAF9yZWxzLy5yZWxzUEsBAi0AFAAGAAgAAAAhAG3Tv7XHAAAA3gAA&#10;AA8AAAAAAAAAAAAAAAAABwIAAGRycy9kb3ducmV2LnhtbFBLBQYAAAAAAwADALcAAAD7AgAAAAA=&#10;" filled="f" stroked="f">
                  <v:textbox inset="0,0,0,0">
                    <w:txbxContent>
                      <w:p w14:paraId="0DD12F92" w14:textId="77777777" w:rsidR="00B32EF2" w:rsidRDefault="00000000">
                        <w:r>
                          <w:rPr>
                            <w:rFonts w:ascii="Arial" w:eastAsia="Arial" w:hAnsi="Arial" w:cs="Arial"/>
                            <w:sz w:val="18"/>
                          </w:rPr>
                          <w:t>-</w:t>
                        </w:r>
                      </w:p>
                    </w:txbxContent>
                  </v:textbox>
                </v:rect>
                <v:rect id="Rectangle 21480" o:spid="_x0000_s5847" style="position:absolute;left:-12697;top:41466;width:526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GYPxAAAAN4AAAAPAAAAZHJzL2Rvd25yZXYueG1sRI/LisIw&#10;FIb3A75DOIK7MVWGoVSjiCLTxWy8gctDc2yrzUlooq3z9GYx4PLnv/HNl71pxINaX1tWMBknIIgL&#10;q2suFRwP288UhA/IGhvLpOBJHpaLwcccM2073tFjH0oRR9hnqKAKwWVS+qIig35sHXH0LrY1GKJs&#10;S6lb7OK4aeQ0Sb6lwZrjQ4WO1hUVt/3dKDhv2OXbThaXv7X7veZp83M/npQaDfvVDESgPrzD/+1c&#10;K5hOvtIIEHEiCsjFCwAA//8DAFBLAQItABQABgAIAAAAIQDb4fbL7gAAAIUBAAATAAAAAAAAAAAA&#10;AAAAAAAAAABbQ29udGVudF9UeXBlc10ueG1sUEsBAi0AFAAGAAgAAAAhAFr0LFu/AAAAFQEAAAsA&#10;AAAAAAAAAAAAAAAAHwEAAF9yZWxzLy5yZWxzUEsBAi0AFAAGAAgAAAAhAMk8Zg/EAAAA3gAAAA8A&#10;AAAAAAAAAAAAAAAABwIAAGRycy9kb3ducmV2LnhtbFBLBQYAAAAAAwADALcAAAD4AgAAAAA=&#10;" filled="f" stroked="f">
                  <v:textbox inset="0,0,0,0">
                    <w:txbxContent>
                      <w:p w14:paraId="72E9C100" w14:textId="77777777" w:rsidR="00B32EF2" w:rsidRDefault="00000000">
                        <w:r>
                          <w:rPr>
                            <w:rFonts w:ascii="Arial" w:eastAsia="Arial" w:hAnsi="Arial" w:cs="Arial"/>
                            <w:sz w:val="18"/>
                          </w:rPr>
                          <w:t>te di giustizia tributaria presso la quale è espletata la funzione giurisdizionale.</w:t>
                        </w:r>
                      </w:p>
                    </w:txbxContent>
                  </v:textbox>
                </v:rect>
                <v:rect id="Rectangle 202043" o:spid="_x0000_s5848" style="position:absolute;left:26110;top:402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BoyAAAAN8AAAAPAAAAZHJzL2Rvd25yZXYueG1sRI9BawIx&#10;FITvhf6H8Aq91aRbKbIaRSzSPfSiVfD42Dx3VzcvYRPdbX+9EQo9DjPzDTNbDLYVV+pC41jD60iB&#10;IC6dabjSsPtev0xAhIhssHVMGn4owGL++DDD3LieN3TdxkokCIccNdQx+lzKUNZkMYycJ07e0XUW&#10;Y5JdJU2HfYLbVmZKvUuLDaeFGj2tairP24vVcPhgX6x7WR5/V/7rVEzaz8tur/Xz07Ccgog0xP/w&#10;X7swGjKVqfEb3P+kLyDnNwAAAP//AwBQSwECLQAUAAYACAAAACEA2+H2y+4AAACFAQAAEwAAAAAA&#10;AAAAAAAAAAAAAAAAW0NvbnRlbnRfVHlwZXNdLnhtbFBLAQItABQABgAIAAAAIQBa9CxbvwAAABUB&#10;AAALAAAAAAAAAAAAAAAAAB8BAABfcmVscy8ucmVsc1BLAQItABQABgAIAAAAIQCoZ2BoyAAAAN8A&#10;AAAPAAAAAAAAAAAAAAAAAAcCAABkcnMvZG93bnJldi54bWxQSwUGAAAAAAMAAwC3AAAA/AIAAAAA&#10;" filled="f" stroked="f">
                  <v:textbox inset="0,0,0,0">
                    <w:txbxContent>
                      <w:p w14:paraId="28B666EF" w14:textId="77777777" w:rsidR="00B32EF2" w:rsidRDefault="00000000">
                        <w:r>
                          <w:rPr>
                            <w:rFonts w:ascii="Arial" w:eastAsia="Arial" w:hAnsi="Arial" w:cs="Arial"/>
                            <w:sz w:val="18"/>
                          </w:rPr>
                          <w:t>3</w:t>
                        </w:r>
                      </w:p>
                    </w:txbxContent>
                  </v:textbox>
                </v:rect>
                <v:rect id="Rectangle 202050" o:spid="_x0000_s5849" style="position:absolute;left:-13816;top:402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GjCxgAAAN8AAAAPAAAAZHJzL2Rvd25yZXYueG1sRI9Pa8Iw&#10;GMbvA79DeAVvM7Ewkc4oQ5H14GXqYMeX5rXt1rwJTbTVT78cBI8Pzz9+y/VgW3GlLjSONcymCgRx&#10;6UzDlYbTcfe6ABEissHWMWm4UYD1avSyxNy4nr/oeoiVSCMcctRQx+hzKUNZk8UwdZ44eWfXWYxJ&#10;dpU0HfZp3LYyU2ouLTacHmr0tKmp/DtcrIafLfti18vyfN/4/W+xaD8vp2+tJ+Ph4x1EpCE+w492&#10;YTRkKlNviSDxJBaQq38AAAD//wMAUEsBAi0AFAAGAAgAAAAhANvh9svuAAAAhQEAABMAAAAAAAAA&#10;AAAAAAAAAAAAAFtDb250ZW50X1R5cGVzXS54bWxQSwECLQAUAAYACAAAACEAWvQsW78AAAAVAQAA&#10;CwAAAAAAAAAAAAAAAAAfAQAAX3JlbHMvLnJlbHNQSwECLQAUAAYACAAAACEA3WxowsYAAADfAAAA&#10;DwAAAAAAAAAAAAAAAAAHAgAAZHJzL2Rvd25yZXYueG1sUEsFBgAAAAADAAMAtwAAAPoCAAAAAA==&#10;" filled="f" stroked="f">
                  <v:textbox inset="0,0,0,0">
                    <w:txbxContent>
                      <w:p w14:paraId="6B3BB57A" w14:textId="77777777" w:rsidR="00B32EF2" w:rsidRDefault="00000000">
                        <w:r>
                          <w:rPr>
                            <w:rFonts w:ascii="Arial" w:eastAsia="Arial" w:hAnsi="Arial" w:cs="Arial"/>
                            <w:sz w:val="18"/>
                          </w:rPr>
                          <w:t xml:space="preserve">. Gli uffici elettorali locali presiedono alle operazioni di voto che si svolgono </w:t>
                        </w:r>
                      </w:p>
                    </w:txbxContent>
                  </v:textbox>
                </v:rect>
                <v:rect id="Rectangle 21482" o:spid="_x0000_s5850" style="position:absolute;left:-13171;top:390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l3jxgAAAN4AAAAPAAAAZHJzL2Rvd25yZXYueG1sRI9Ba8JA&#10;FITvBf/D8gRvdWMQCamrFEXMwYtWweMj+0zSZt8u2dXE/vpuodDjMDPfMMv1YFrxoM43lhXMpgkI&#10;4tLqhisF54/dawbCB2SNrWVS8CQP69XoZYm5tj0f6XEKlYgQ9jkqqENwuZS+rMmgn1pHHL2b7QyG&#10;KLtK6g77CDetTJNkIQ02HBdqdLSpqfw63Y2C65ZdsetlefveuMNnkbX7+/mi1GQ8vL+BCDSE//Bf&#10;u9AK0tk8S+H3TrwCcvUDAAD//wMAUEsBAi0AFAAGAAgAAAAhANvh9svuAAAAhQEAABMAAAAAAAAA&#10;AAAAAAAAAAAAAFtDb250ZW50X1R5cGVzXS54bWxQSwECLQAUAAYACAAAACEAWvQsW78AAAAVAQAA&#10;CwAAAAAAAAAAAAAAAAAfAQAAX3JlbHMvLnJlbHNQSwECLQAUAAYACAAAACEAVqJd48YAAADeAAAA&#10;DwAAAAAAAAAAAAAAAAAHAgAAZHJzL2Rvd25yZXYueG1sUEsFBgAAAAADAAMAtwAAAPoCAAAAAA==&#10;" filled="f" stroked="f">
                  <v:textbox inset="0,0,0,0">
                    <w:txbxContent>
                      <w:p w14:paraId="692C4865" w14:textId="77777777" w:rsidR="00B32EF2" w:rsidRDefault="00000000">
                        <w:r>
                          <w:rPr>
                            <w:rFonts w:ascii="Arial" w:eastAsia="Arial" w:hAnsi="Arial" w:cs="Arial"/>
                            <w:sz w:val="18"/>
                          </w:rPr>
                          <w:t xml:space="preserve">presso di esse e provvedono allo scrutinio di tutte le schede elettorali, previa </w:t>
                        </w:r>
                      </w:p>
                    </w:txbxContent>
                  </v:textbox>
                </v:rect>
                <v:rect id="Rectangle 21483" o:spid="_x0000_s5851" style="position:absolute;left:-13170;top:37767;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vh4xwAAAN4AAAAPAAAAZHJzL2Rvd25yZXYueG1sRI9Pa8JA&#10;FMTvgt9heYI33WilhNRVRJHm0Ev9Az0+ss8kbfbtkl1N7Kd3CwWPw8z8hlmue9OIG7W+tqxgNk1A&#10;EBdW11wqOB33kxSED8gaG8uk4E4e1qvhYImZth1/0u0QShEh7DNUUIXgMil9UZFBP7WOOHoX2xoM&#10;Ubal1C12EW4aOU+SV2mw5rhQoaNtRcXP4WoUfO3Y5ftOFpffrfv4ztPm/Xo6KzUe9Zs3EIH68Az/&#10;t3OtYD5bpC/wdydeAbl6AAAA//8DAFBLAQItABQABgAIAAAAIQDb4fbL7gAAAIUBAAATAAAAAAAA&#10;AAAAAAAAAAAAAABbQ29udGVudF9UeXBlc10ueG1sUEsBAi0AFAAGAAgAAAAhAFr0LFu/AAAAFQEA&#10;AAsAAAAAAAAAAAAAAAAAHwEAAF9yZWxzLy5yZWxzUEsBAi0AFAAGAAgAAAAhADnu+HjHAAAA3gAA&#10;AA8AAAAAAAAAAAAAAAAABwIAAGRycy9kb3ducmV2LnhtbFBLBQYAAAAAAwADALcAAAD7AgAAAAA=&#10;" filled="f" stroked="f">
                  <v:textbox inset="0,0,0,0">
                    <w:txbxContent>
                      <w:p w14:paraId="19F93790" w14:textId="77777777" w:rsidR="00B32EF2" w:rsidRDefault="00000000">
                        <w:r>
                          <w:rPr>
                            <w:rFonts w:ascii="Arial" w:eastAsia="Arial" w:hAnsi="Arial" w:cs="Arial"/>
                            <w:sz w:val="18"/>
                          </w:rPr>
                          <w:t xml:space="preserve">apertura delle urne e conteggio delle schede, determinando il totale dei voti </w:t>
                        </w:r>
                      </w:p>
                    </w:txbxContent>
                  </v:textbox>
                </v:rect>
                <v:rect id="Rectangle 21484" o:spid="_x0000_s5852" style="position:absolute;left:-12207;top:36533;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2AMxgAAAN4AAAAPAAAAZHJzL2Rvd25yZXYueG1sRI9Pi8Iw&#10;FMTvC36H8Bb2tqaKSKlGWRTZHrz4Dzw+mmfb3eYlNNHW/fQbQfA4zMxvmPmyN424UetrywpGwwQE&#10;cWF1zaWC42HzmYLwAVljY5kU3MnDcjF4m2Ombcc7uu1DKSKEfYYKqhBcJqUvKjLoh9YRR+9iW4Mh&#10;yraUusUuwk0jx0kylQZrjgsVOlpVVPzur0bBec0u33SyuPyt3PYnT5vv6/Gk1Md7/zUDEagPr/Cz&#10;nWsF49EkncDjTrwCcvEPAAD//wMAUEsBAi0AFAAGAAgAAAAhANvh9svuAAAAhQEAABMAAAAAAAAA&#10;AAAAAAAAAAAAAFtDb250ZW50X1R5cGVzXS54bWxQSwECLQAUAAYACAAAACEAWvQsW78AAAAVAQAA&#10;CwAAAAAAAAAAAAAAAAAfAQAAX3JlbHMvLnJlbHNQSwECLQAUAAYACAAAACEAtgdgDMYAAADeAAAA&#10;DwAAAAAAAAAAAAAAAAAHAgAAZHJzL2Rvd25yZXYueG1sUEsFBgAAAAADAAMAtwAAAPoCAAAAAA==&#10;" filled="f" stroked="f">
                  <v:textbox inset="0,0,0,0">
                    <w:txbxContent>
                      <w:p w14:paraId="78FFCA96" w14:textId="77777777" w:rsidR="00B32EF2" w:rsidRDefault="00000000">
                        <w:r>
                          <w:rPr>
                            <w:rFonts w:ascii="Arial" w:eastAsia="Arial" w:hAnsi="Arial" w:cs="Arial"/>
                            <w:sz w:val="18"/>
                          </w:rPr>
                          <w:t>validi e il totale delle preferenze per ciascun candidato. Le operazioni di scru</w:t>
                        </w:r>
                      </w:p>
                    </w:txbxContent>
                  </v:textbox>
                </v:rect>
                <v:rect id="Rectangle 21485" o:spid="_x0000_s5853" style="position:absolute;left:193;top:365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8WXxwAAAN4AAAAPAAAAZHJzL2Rvd25yZXYueG1sRI9Pa8JA&#10;FMTvgt9heYI33Si1hNRVRJHm0Ev9Az0+ss8kbfbtkl1N7Kd3CwWPw8z8hlmue9OIG7W+tqxgNk1A&#10;EBdW11wqOB33kxSED8gaG8uk4E4e1qvhYImZth1/0u0QShEh7DNUUIXgMil9UZFBP7WOOHoX2xoM&#10;Ubal1C12EW4aOU+SV2mw5rhQoaNtRcXP4WoUfO3Y5ftOFpffrfv4ztPm/Xo6KzUe9Zs3EIH68Az/&#10;t3OtYD57SRfwdydeAbl6AAAA//8DAFBLAQItABQABgAIAAAAIQDb4fbL7gAAAIUBAAATAAAAAAAA&#10;AAAAAAAAAAAAAABbQ29udGVudF9UeXBlc10ueG1sUEsBAi0AFAAGAAgAAAAhAFr0LFu/AAAAFQEA&#10;AAsAAAAAAAAAAAAAAAAAHwEAAF9yZWxzLy5yZWxzUEsBAi0AFAAGAAgAAAAhANlLxZfHAAAA3gAA&#10;AA8AAAAAAAAAAAAAAAAABwIAAGRycy9kb3ducmV2LnhtbFBLBQYAAAAAAwADALcAAAD7AgAAAAA=&#10;" filled="f" stroked="f">
                  <v:textbox inset="0,0,0,0">
                    <w:txbxContent>
                      <w:p w14:paraId="47EB03C2" w14:textId="77777777" w:rsidR="00B32EF2" w:rsidRDefault="00000000">
                        <w:r>
                          <w:rPr>
                            <w:rFonts w:ascii="Arial" w:eastAsia="Arial" w:hAnsi="Arial" w:cs="Arial"/>
                            <w:sz w:val="18"/>
                          </w:rPr>
                          <w:t>-</w:t>
                        </w:r>
                      </w:p>
                    </w:txbxContent>
                  </v:textbox>
                </v:rect>
                <v:rect id="Rectangle 21486" o:spid="_x0000_s5854" style="position:absolute;left:-13170;top:353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VvgxwAAAN4AAAAPAAAAZHJzL2Rvd25yZXYueG1sRI9Pi8Iw&#10;FMTvC36H8Ba8ramySKlGWRTZHrysf8Djo3m23W1eQhNt9dNvBMHjMDO/YebL3jTiSq2vLSsYjxIQ&#10;xIXVNZcKDvvNRwrCB2SNjWVScCMPy8XgbY6Zth3/0HUXShEh7DNUUIXgMil9UZFBP7KOOHpn2xoM&#10;Ubal1C12EW4aOUmSqTRYc1yo0NGqouJvdzEKTmt2+aaTxfm+ctvfPG2+L4ejUsP3/msGIlAfXuFn&#10;O9cKJuPPdAqPO/EKyMU/AAAA//8DAFBLAQItABQABgAIAAAAIQDb4fbL7gAAAIUBAAATAAAAAAAA&#10;AAAAAAAAAAAAAABbQ29udGVudF9UeXBlc10ueG1sUEsBAi0AFAAGAAgAAAAhAFr0LFu/AAAAFQEA&#10;AAsAAAAAAAAAAAAAAAAAHwEAAF9yZWxzLy5yZWxzUEsBAi0AFAAGAAgAAAAhACmZW+DHAAAA3gAA&#10;AA8AAAAAAAAAAAAAAAAABwIAAGRycy9kb3ducmV2LnhtbFBLBQYAAAAAAwADALcAAAD7AgAAAAA=&#10;" filled="f" stroked="f">
                  <v:textbox inset="0,0,0,0">
                    <w:txbxContent>
                      <w:p w14:paraId="69629D39" w14:textId="77777777" w:rsidR="00B32EF2" w:rsidRDefault="00000000">
                        <w:r>
                          <w:rPr>
                            <w:rFonts w:ascii="Arial" w:eastAsia="Arial" w:hAnsi="Arial" w:cs="Arial"/>
                            <w:sz w:val="18"/>
                          </w:rPr>
                          <w:t xml:space="preserve">tinio hanno inizio il giorno successivo a quello di voto e di esse, come pure </w:t>
                        </w:r>
                      </w:p>
                    </w:txbxContent>
                  </v:textbox>
                </v:rect>
                <v:rect id="Rectangle 21487" o:spid="_x0000_s5855" style="position:absolute;left:-13171;top:340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f57xwAAAN4AAAAPAAAAZHJzL2Rvd25yZXYueG1sRI9Pa8JA&#10;FMTvgt9heYI33SjFhtRVRJHm0Ev9Az0+ss8kbfbtkl1N7Kd3CwWPw8z8hlmue9OIG7W+tqxgNk1A&#10;EBdW11wqOB33kxSED8gaG8uk4E4e1qvhYImZth1/0u0QShEh7DNUUIXgMil9UZFBP7WOOHoX2xoM&#10;Ubal1C12EW4aOU+ShTRYc1yo0NG2ouLncDUKvnbs8n0ni8vv1n1852nzfj2dlRqP+s0biEB9eIb/&#10;27lWMJ+9pK/wdydeAbl6AAAA//8DAFBLAQItABQABgAIAAAAIQDb4fbL7gAAAIUBAAATAAAAAAAA&#10;AAAAAAAAAAAAAABbQ29udGVudF9UeXBlc10ueG1sUEsBAi0AFAAGAAgAAAAhAFr0LFu/AAAAFQEA&#10;AAsAAAAAAAAAAAAAAAAAHwEAAF9yZWxzLy5yZWxzUEsBAi0AFAAGAAgAAAAhAEbV/nvHAAAA3gAA&#10;AA8AAAAAAAAAAAAAAAAABwIAAGRycy9kb3ducmV2LnhtbFBLBQYAAAAAAwADALcAAAD7AgAAAAA=&#10;" filled="f" stroked="f">
                  <v:textbox inset="0,0,0,0">
                    <w:txbxContent>
                      <w:p w14:paraId="51BB9B80" w14:textId="77777777" w:rsidR="00B32EF2" w:rsidRDefault="00000000">
                        <w:r>
                          <w:rPr>
                            <w:rFonts w:ascii="Arial" w:eastAsia="Arial" w:hAnsi="Arial" w:cs="Arial"/>
                            <w:sz w:val="18"/>
                          </w:rPr>
                          <w:t xml:space="preserve">delle contestazioni decise ai sensi del comma 4, si deve dare atto nel processo </w:t>
                        </w:r>
                      </w:p>
                    </w:txbxContent>
                  </v:textbox>
                </v:rect>
                <v:rect id="Rectangle 21488" o:spid="_x0000_s5856" style="position:absolute;left:23219;top:32833;width:167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moJwwAAAN4AAAAPAAAAZHJzL2Rvd25yZXYueG1sRE/LisIw&#10;FN0P+A/hCu7GVBmGUo0iikwXs/EFLi/Nta02N6GJts7Xm8WAy8N5z5e9acSDWl9bVjAZJyCIC6tr&#10;LhUcD9vPFIQPyBoby6TgSR6Wi8HHHDNtO97RYx9KEUPYZ6igCsFlUvqiIoN+bB1x5C62NRgibEup&#10;W+xiuGnkNEm+pcGaY0OFjtYVFbf93Sg4b9jl204Wl7+1+73mafNzP56UGg371QxEoD68xf/uXCuY&#10;Tr7SuDfeiVdALl4AAAD//wMAUEsBAi0AFAAGAAgAAAAhANvh9svuAAAAhQEAABMAAAAAAAAAAAAA&#10;AAAAAAAAAFtDb250ZW50X1R5cGVzXS54bWxQSwECLQAUAAYACAAAACEAWvQsW78AAAAVAQAACwAA&#10;AAAAAAAAAAAAAAAfAQAAX3JlbHMvLnJlbHNQSwECLQAUAAYACAAAACEAN0pqCcMAAADeAAAADwAA&#10;AAAAAAAAAAAAAAAHAgAAZHJzL2Rvd25yZXYueG1sUEsFBgAAAAADAAMAtwAAAPcCAAAAAA==&#10;" filled="f" stroked="f">
                  <v:textbox inset="0,0,0,0">
                    <w:txbxContent>
                      <w:p w14:paraId="0A18913D" w14:textId="77777777" w:rsidR="00B32EF2" w:rsidRDefault="00000000">
                        <w:r>
                          <w:rPr>
                            <w:rFonts w:ascii="Arial" w:eastAsia="Arial" w:hAnsi="Arial" w:cs="Arial"/>
                            <w:sz w:val="18"/>
                          </w:rPr>
                          <w:t>verbale delle operazioni.</w:t>
                        </w:r>
                      </w:p>
                    </w:txbxContent>
                  </v:textbox>
                </v:rect>
                <v:rect id="Rectangle 202041" o:spid="_x0000_s5857" style="position:absolute;left:-13802;top:316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uExwAAAN8AAAAPAAAAZHJzL2Rvd25yZXYueG1sRI9BawIx&#10;FITvQv9DeIXeNHEpIqtRxCLdQy9aCz0+Ns/d1c1L2ER321/fCEKPw8x8wyzXg23FjbrQONYwnSgQ&#10;xKUzDVcajp+78RxEiMgGW8ek4YcCrFdPoyXmxvW8p9shViJBOOSooY7R51KGsiaLYeI8cfJOrrMY&#10;k+wqaTrsE9y2MlNqJi02nBZq9LStqbwcrlbD9xv7YtfL8vS79R/nYt6+X49fWr88D5sFiEhD/A8/&#10;2oXRkKlMvU7h/id9Abn6AwAA//8DAFBLAQItABQABgAIAAAAIQDb4fbL7gAAAIUBAAATAAAAAAAA&#10;AAAAAAAAAAAAAABbQ29udGVudF9UeXBlc10ueG1sUEsBAi0AFAAGAAgAAAAhAFr0LFu/AAAAFQEA&#10;AAsAAAAAAAAAAAAAAAAAHwEAAF9yZWxzLy5yZWxzUEsBAi0AFAAGAAgAAAAhADf5W4THAAAA3wAA&#10;AA8AAAAAAAAAAAAAAAAABwIAAGRycy9kb3ducmV2LnhtbFBLBQYAAAAAAwADALcAAAD7AgAAAAA=&#10;" filled="f" stroked="f">
                  <v:textbox inset="0,0,0,0">
                    <w:txbxContent>
                      <w:p w14:paraId="6E2D2034" w14:textId="77777777" w:rsidR="00B32EF2" w:rsidRDefault="00000000">
                        <w:r>
                          <w:rPr>
                            <w:rFonts w:ascii="Arial" w:eastAsia="Arial" w:hAnsi="Arial" w:cs="Arial"/>
                            <w:sz w:val="18"/>
                          </w:rPr>
                          <w:t xml:space="preserve">. L’ufficio elettorale regionale decide a maggioranza sulle contestazioni sorte </w:t>
                        </w:r>
                      </w:p>
                    </w:txbxContent>
                  </v:textbox>
                </v:rect>
                <v:rect id="Rectangle 202040" o:spid="_x0000_s5858" style="position:absolute;left:26110;top:31600;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f4fxgAAAN8AAAAPAAAAZHJzL2Rvd25yZXYueG1sRI9Pa8Iw&#10;GMbvA79DeAVvM7EMkc4oQ5H14GXqYMeX5rXt1rwJTbTVT78cBI8Pzz9+y/VgW3GlLjSONcymCgRx&#10;6UzDlYbTcfe6ABEissHWMWm4UYD1avSyxNy4nr/oeoiVSCMcctRQx+hzKUNZk8UwdZ44eWfXWYxJ&#10;dpU0HfZp3LYyU2ouLTacHmr0tKmp/DtcrIafLfti18vyfN/4/W+xaD8vp2+tJ+Ph4x1EpCE+w492&#10;YTRkKlNviSDxJBaQq38AAAD//wMAUEsBAi0AFAAGAAgAAAAhANvh9svuAAAAhQEAABMAAAAAAAAA&#10;AAAAAAAAAAAAAFtDb250ZW50X1R5cGVzXS54bWxQSwECLQAUAAYACAAAACEAWvQsW78AAAAVAQAA&#10;CwAAAAAAAAAAAAAAAAAfAQAAX3JlbHMvLnJlbHNQSwECLQAUAAYACAAAACEAWLX+H8YAAADfAAAA&#10;DwAAAAAAAAAAAAAAAAAHAgAAZHJzL2Rvd25yZXYueG1sUEsFBgAAAAADAAMAtwAAAPoCAAAAAA==&#10;" filled="f" stroked="f">
                  <v:textbox inset="0,0,0,0">
                    <w:txbxContent>
                      <w:p w14:paraId="3A1EC5D8" w14:textId="77777777" w:rsidR="00B32EF2" w:rsidRDefault="00000000">
                        <w:r>
                          <w:rPr>
                            <w:rFonts w:ascii="Arial" w:eastAsia="Arial" w:hAnsi="Arial" w:cs="Arial"/>
                            <w:sz w:val="18"/>
                          </w:rPr>
                          <w:t>4</w:t>
                        </w:r>
                      </w:p>
                    </w:txbxContent>
                  </v:textbox>
                </v:rect>
                <v:rect id="Rectangle 21490" o:spid="_x0000_s5859" style="position:absolute;left:-12198;top:30367;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fDSxgAAAN4AAAAPAAAAZHJzL2Rvd25yZXYueG1sRI/LasJA&#10;FIb3Bd9hOEJ3daKUkqaOIoqYRTdNFVweMsckNXNmyEwu7dN3FoUuf/4b33o7mVYM1PnGsoLlIgFB&#10;XFrdcKXg/Hl8SkH4gKyxtUwKvsnDdjN7WGOm7cgfNBShEnGEfYYK6hBcJqUvazLoF9YRR+9mO4Mh&#10;yq6SusMxjptWrpLkRRpsOD7U6GhfU3kveqPgemCXH0dZ3n727v0rT9tTf74o9Tifdm8gAk3hP/zX&#10;zrWC1fL5NQJEnIgCcvMLAAD//wMAUEsBAi0AFAAGAAgAAAAhANvh9svuAAAAhQEAABMAAAAAAAAA&#10;AAAAAAAAAAAAAFtDb250ZW50X1R5cGVzXS54bWxQSwECLQAUAAYACAAAACEAWvQsW78AAAAVAQAA&#10;CwAAAAAAAAAAAAAAAAAfAQAAX3JlbHMvLnJlbHNQSwECLQAUAAYACAAAACEATOXw0sYAAADeAAAA&#10;DwAAAAAAAAAAAAAAAAAHAgAAZHJzL2Rvd25yZXYueG1sUEsFBgAAAAADAAMAtwAAAPoCAAAAAA==&#10;" filled="f" stroked="f">
                  <v:textbox inset="0,0,0,0">
                    <w:txbxContent>
                      <w:p w14:paraId="065E42A4" w14:textId="77777777" w:rsidR="00B32EF2" w:rsidRDefault="00000000">
                        <w:r>
                          <w:rPr>
                            <w:rFonts w:ascii="Arial" w:eastAsia="Arial" w:hAnsi="Arial" w:cs="Arial"/>
                            <w:sz w:val="18"/>
                          </w:rPr>
                          <w:t>durante le operazioni di voto nonché su quelle relative alla validità delle sche</w:t>
                        </w:r>
                      </w:p>
                    </w:txbxContent>
                  </v:textbox>
                </v:rect>
                <v:rect id="Rectangle 21491" o:spid="_x0000_s5860" style="position:absolute;left:193;top:303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VJxwAAAN4AAAAPAAAAZHJzL2Rvd25yZXYueG1sRI9Pa8JA&#10;FMTvBb/D8gRvuokUsamriCLNoRf/FHp8ZJ9J2uzbJbua2E/vCkKPw8z8hlmsetOIK7W+tqwgnSQg&#10;iAuray4VnI678RyED8gaG8uk4EYeVsvBywIzbTve0/UQShEh7DNUUIXgMil9UZFBP7GOOHpn2xoM&#10;Ubal1C12EW4aOU2SmTRYc1yo0NGmouL3cDEKvrfs8l0ni/Pfxn3+5PPm43L6Umo07NfvIAL14T/8&#10;bOdawTR9fUvhcSdeAbm8AwAA//8DAFBLAQItABQABgAIAAAAIQDb4fbL7gAAAIUBAAATAAAAAAAA&#10;AAAAAAAAAAAAAABbQ29udGVudF9UeXBlc10ueG1sUEsBAi0AFAAGAAgAAAAhAFr0LFu/AAAAFQEA&#10;AAsAAAAAAAAAAAAAAAAAHwEAAF9yZWxzLy5yZWxzUEsBAi0AFAAGAAgAAAAhACOpVUnHAAAA3gAA&#10;AA8AAAAAAAAAAAAAAAAABwIAAGRycy9kb3ducmV2LnhtbFBLBQYAAAAAAwADALcAAAD7AgAAAAA=&#10;" filled="f" stroked="f">
                  <v:textbox inset="0,0,0,0">
                    <w:txbxContent>
                      <w:p w14:paraId="5549E2F9" w14:textId="77777777" w:rsidR="00B32EF2" w:rsidRDefault="00000000">
                        <w:r>
                          <w:rPr>
                            <w:rFonts w:ascii="Arial" w:eastAsia="Arial" w:hAnsi="Arial" w:cs="Arial"/>
                            <w:sz w:val="18"/>
                          </w:rPr>
                          <w:t>-</w:t>
                        </w:r>
                      </w:p>
                    </w:txbxContent>
                  </v:textbox>
                </v:rect>
                <v:rect id="Rectangle 21492" o:spid="_x0000_s5861" style="position:absolute;left:2093;top:29133;width:378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8s+xwAAAN4AAAAPAAAAZHJzL2Rvd25yZXYueG1sRI9Pa8JA&#10;FMTvhX6H5Qm96cZQRFNXEYs0By/1D/T4yD6TaPbtkl1N6qd3C0KPw8z8hpkve9OIG7W+tqxgPEpA&#10;EBdW11wqOOw3wykIH5A1NpZJwS95WC5eX+aYadvxN912oRQRwj5DBVUILpPSFxUZ9CPriKN3sq3B&#10;EGVbSt1iF+GmkWmSTKTBmuNChY7WFRWX3dUo+Plkl286WZzua7c959Pm63o4KvU26FcfIAL14T/8&#10;bOdaQTp+n6XwdydeAbl4AAAA//8DAFBLAQItABQABgAIAAAAIQDb4fbL7gAAAIUBAAATAAAAAAAA&#10;AAAAAAAAAAAAAABbQ29udGVudF9UeXBlc10ueG1sUEsBAi0AFAAGAAgAAAAhAFr0LFu/AAAAFQEA&#10;AAsAAAAAAAAAAAAAAAAAHwEAAF9yZWxzLy5yZWxzUEsBAi0AFAAGAAgAAAAhANN7yz7HAAAA3gAA&#10;AA8AAAAAAAAAAAAAAAAABwIAAGRycy9kb3ducmV2LnhtbFBLBQYAAAAAAwADALcAAAD7AgAAAAA=&#10;" filled="f" stroked="f">
                  <v:textbox inset="0,0,0,0">
                    <w:txbxContent>
                      <w:p w14:paraId="0F7E0861" w14:textId="77777777" w:rsidR="00B32EF2" w:rsidRDefault="00000000">
                        <w:r>
                          <w:rPr>
                            <w:rFonts w:ascii="Arial" w:eastAsia="Arial" w:hAnsi="Arial" w:cs="Arial"/>
                            <w:sz w:val="18"/>
                          </w:rPr>
                          <w:t>de, dandone atto nel processo verbale delle operazioni.</w:t>
                        </w:r>
                      </w:p>
                    </w:txbxContent>
                  </v:textbox>
                </v:rect>
                <v:rect id="Rectangle 202038" o:spid="_x0000_s5862" style="position:absolute;left:-12876;top:27900;width:521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FkxAAAAN8AAAAPAAAAZHJzL2Rvd25yZXYueG1sRE/Pa8Iw&#10;FL4P/B/CE7zNxA5EOqMMRdaDl6mDHR/Ns+3WvIQm2upfvxwEjx/f7+V6sK24UhcaxxpmUwWCuHSm&#10;4UrD6bh7XYAIEdlg65g03CjAejV6WWJuXM9fdD3ESqQQDjlqqGP0uZShrMlimDpPnLiz6yzGBLtK&#10;mg77FG5bmSk1lxYbTg01etrUVP4dLlbDz5Z9setleb5v/P63WLSfl9O31pPx8PEOItIQn+KHuzAa&#10;MpWptzQ4/UlfQK7+AQAA//8DAFBLAQItABQABgAIAAAAIQDb4fbL7gAAAIUBAAATAAAAAAAAAAAA&#10;AAAAAAAAAABbQ29udGVudF9UeXBlc10ueG1sUEsBAi0AFAAGAAgAAAAhAFr0LFu/AAAAFQEAAAsA&#10;AAAAAAAAAAAAAAAAHwEAAF9yZWxzLy5yZWxzUEsBAi0AFAAGAAgAAAAhAP7FgWTEAAAA3wAAAA8A&#10;AAAAAAAAAAAAAAAABwIAAGRycy9kb3ducmV2LnhtbFBLBQYAAAAAAwADALcAAAD4AgAAAAA=&#10;" filled="f" stroked="f">
                  <v:textbox inset="0,0,0,0">
                    <w:txbxContent>
                      <w:p w14:paraId="2E2D2281" w14:textId="77777777" w:rsidR="00B32EF2" w:rsidRDefault="00000000">
                        <w:r>
                          <w:rPr>
                            <w:rFonts w:ascii="Arial" w:eastAsia="Arial" w:hAnsi="Arial" w:cs="Arial"/>
                            <w:sz w:val="18"/>
                          </w:rPr>
                          <w:t>. Al termine delle operazioni elettorali il verbale di scrutinio è trasmesso all’uf</w:t>
                        </w:r>
                      </w:p>
                    </w:txbxContent>
                  </v:textbox>
                </v:rect>
                <v:rect id="Rectangle 202037" o:spid="_x0000_s5863" style="position:absolute;left:26343;top:27900;width:521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hUWyAAAAN8AAAAPAAAAZHJzL2Rvd25yZXYueG1sRI9BawIx&#10;FITvhf6H8Aq91aRbsLIaRSzSPfSiVfD42Dx3VzcvYRPdbX+9EQo9DjPzDTNbDLYVV+pC41jD60iB&#10;IC6dabjSsPtev0xAhIhssHVMGn4owGL++DDD3LieN3TdxkokCIccNdQx+lzKUNZkMYycJ07e0XUW&#10;Y5JdJU2HfYLbVmZKjaXFhtNCjZ5WNZXn7cVqOHywL9a9LI+/K/91Kibt52W31/r5aVhOQUQa4n/4&#10;r10YDZnK1Ns73P+kLyDnNwAAAP//AwBQSwECLQAUAAYACAAAACEA2+H2y+4AAACFAQAAEwAAAAAA&#10;AAAAAAAAAAAAAAAAW0NvbnRlbnRfVHlwZXNdLnhtbFBLAQItABQABgAIAAAAIQBa9CxbvwAAABUB&#10;AAALAAAAAAAAAAAAAAAAAB8BAABfcmVscy8ucmVsc1BLAQItABQABgAIAAAAIQCPWhUWyAAAAN8A&#10;AAAPAAAAAAAAAAAAAAAAAAcCAABkcnMvZG93bnJldi54bWxQSwUGAAAAAAMAAwC3AAAA/AIAAAAA&#10;" filled="f" stroked="f">
                  <v:textbox inset="0,0,0,0">
                    <w:txbxContent>
                      <w:p w14:paraId="2E2AB395" w14:textId="77777777" w:rsidR="00B32EF2" w:rsidRDefault="00000000">
                        <w:r>
                          <w:rPr>
                            <w:rFonts w:ascii="Arial" w:eastAsia="Arial" w:hAnsi="Arial" w:cs="Arial"/>
                            <w:sz w:val="18"/>
                          </w:rPr>
                          <w:t>5</w:t>
                        </w:r>
                      </w:p>
                    </w:txbxContent>
                  </v:textbox>
                </v:rect>
                <v:rect id="Rectangle 21494" o:spid="_x0000_s5864" style="position:absolute;left:193;top:279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vbRxgAAAN4AAAAPAAAAZHJzL2Rvd25yZXYueG1sRI9Ba8JA&#10;FITvgv9heUJvdaNIsdFVRBFz8KK10OMj+0yi2bdLdjWpv74rFDwOM/MNM192phZ3anxlWcFomIAg&#10;zq2uuFBw+tq+T0H4gKyxtkwKfsnDctHvzTHVtuUD3Y+hEBHCPkUFZQguldLnJRn0Q+uIo3e2jcEQ&#10;ZVNI3WAb4aaW4yT5kAYrjgslOlqXlF+PN6PgZ8Mu27YyPz/Wbn/JpvXudvpW6m3QrWYgAnXhFf5v&#10;Z1rBeDT5nMDzTrwCcvEHAAD//wMAUEsBAi0AFAAGAAgAAAAhANvh9svuAAAAhQEAABMAAAAAAAAA&#10;AAAAAAAAAAAAAFtDb250ZW50X1R5cGVzXS54bWxQSwECLQAUAAYACAAAACEAWvQsW78AAAAVAQAA&#10;CwAAAAAAAAAAAAAAAAAfAQAAX3JlbHMvLnJlbHNQSwECLQAUAAYACAAAACEAM9720cYAAADeAAAA&#10;DwAAAAAAAAAAAAAAAAAHAgAAZHJzL2Rvd25yZXYueG1sUEsFBgAAAAADAAMAtwAAAPoCAAAAAA==&#10;" filled="f" stroked="f">
                  <v:textbox inset="0,0,0,0">
                    <w:txbxContent>
                      <w:p w14:paraId="7EFC464D" w14:textId="77777777" w:rsidR="00B32EF2" w:rsidRDefault="00000000">
                        <w:r>
                          <w:rPr>
                            <w:rFonts w:ascii="Arial" w:eastAsia="Arial" w:hAnsi="Arial" w:cs="Arial"/>
                            <w:sz w:val="18"/>
                          </w:rPr>
                          <w:t>-</w:t>
                        </w:r>
                      </w:p>
                    </w:txbxContent>
                  </v:textbox>
                </v:rect>
                <v:rect id="Rectangle 21495" o:spid="_x0000_s5865" style="position:absolute;left:-6316;top:26667;width:462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lNKxwAAAN4AAAAPAAAAZHJzL2Rvd25yZXYueG1sRI9Pa8JA&#10;FMTvgt9heUJvulGq2NRVikXMoRf/FHp8ZJ9J2uzbJbua6KfvCoLHYWZ+wyxWnanFhRpfWVYwHiUg&#10;iHOrKy4UHA+b4RyED8gaa8uk4EoeVst+b4Gpti3v6LIPhYgQ9ikqKENwqZQ+L8mgH1lHHL2TbQyG&#10;KJtC6gbbCDe1nCTJTBqsOC6U6GhdUv63PxsFP5/ssk0r89Nt7b5+s3m9PR+/lXoZdB/vIAJ14Rl+&#10;tDOtYDJ+fZvC/U68AnL5DwAA//8DAFBLAQItABQABgAIAAAAIQDb4fbL7gAAAIUBAAATAAAAAAAA&#10;AAAAAAAAAAAAAABbQ29udGVudF9UeXBlc10ueG1sUEsBAi0AFAAGAAgAAAAhAFr0LFu/AAAAFQEA&#10;AAsAAAAAAAAAAAAAAAAAHwEAAF9yZWxzLy5yZWxzUEsBAi0AFAAGAAgAAAAhAFySU0rHAAAA3gAA&#10;AA8AAAAAAAAAAAAAAAAABwIAAGRycy9kb3ducmV2LnhtbFBLBQYAAAAAAwADALcAAAD7AgAAAAA=&#10;" filled="f" stroked="f">
                  <v:textbox inset="0,0,0,0">
                    <w:txbxContent>
                      <w:p w14:paraId="453AA818" w14:textId="77777777" w:rsidR="00B32EF2" w:rsidRDefault="00000000">
                        <w:r>
                          <w:rPr>
                            <w:rFonts w:ascii="Arial" w:eastAsia="Arial" w:hAnsi="Arial" w:cs="Arial"/>
                            <w:sz w:val="18"/>
                          </w:rPr>
                          <w:t>ficio elettorale centrale che provvede alla proclamazione degli eletti.</w:t>
                        </w:r>
                      </w:p>
                    </w:txbxContent>
                  </v:textbox>
                </v:rect>
                <v:rect id="Rectangle 21496" o:spid="_x0000_s5866" style="position:absolute;left:15064;top:24200;width:81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M09xwAAAN4AAAAPAAAAZHJzL2Rvd25yZXYueG1sRI9Ba8JA&#10;FITvgv9heYI33SgiNrpKsUhz8FKbQo+P7DOJzb5dsqtJ++vdguBxmJlvmM2uN424Uetrywpm0wQE&#10;cWF1zaWC/PMwWYHwAVljY5kU/JKH3XY42GCqbccfdDuFUkQI+xQVVCG4VEpfVGTQT60jjt7ZtgZD&#10;lG0pdYtdhJtGzpNkKQ3WHBcqdLSvqPg5XY2C7zd22aGTxflv746XbNW8X/Mvpcaj/nUNIlAfnuFH&#10;O9MK5rPFyxL+78QrILd3AAAA//8DAFBLAQItABQABgAIAAAAIQDb4fbL7gAAAIUBAAATAAAAAAAA&#10;AAAAAAAAAAAAAABbQ29udGVudF9UeXBlc10ueG1sUEsBAi0AFAAGAAgAAAAhAFr0LFu/AAAAFQEA&#10;AAsAAAAAAAAAAAAAAAAAHwEAAF9yZWxzLy5yZWxzUEsBAi0AFAAGAAgAAAAhAKxAzT3HAAAA3gAA&#10;AA8AAAAAAAAAAAAAAAAABwIAAGRycy9kb3ducmV2LnhtbFBLBQYAAAAAAwADALcAAAD7AgAAAAA=&#10;" filled="f" stroked="f">
                  <v:textbox inset="0,0,0,0">
                    <w:txbxContent>
                      <w:p w14:paraId="6317A65E" w14:textId="77777777" w:rsidR="00B32EF2" w:rsidRDefault="00000000">
                        <w:r>
                          <w:rPr>
                            <w:rFonts w:ascii="Arial" w:eastAsia="Arial" w:hAnsi="Arial" w:cs="Arial"/>
                            <w:b/>
                            <w:sz w:val="18"/>
                          </w:rPr>
                          <w:t>Articolo 29</w:t>
                        </w:r>
                      </w:p>
                    </w:txbxContent>
                  </v:textbox>
                </v:rect>
                <v:rect id="Rectangle 202035" o:spid="_x0000_s5867" style="position:absolute;left:-2610;top:22967;width:194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C76yAAAAN8AAAAPAAAAZHJzL2Rvd25yZXYueG1sRI9BawIx&#10;FITvhf6H8Aq91aRbLLIaRSzSPfSiVfD42Dx3VzcvYRPdbX+9EQo9DjPzDTNbDLYVV+pC41jD60iB&#10;IC6dabjSsPtev0xAhIhssHVMGn4owGL++DDD3LieN3TdxkokCIccNdQx+lzKUNZkMYycJ07e0XUW&#10;Y5JdJU2HfYLbVmZKvUuLDaeFGj2tairP24vVcPhgX6x7WR5/V/7rVEzaz8tur/Xz07Ccgog0xP/w&#10;X7swGjKVqbcx3P+kLyDnNwAAAP//AwBQSwECLQAUAAYACAAAACEA2+H2y+4AAACFAQAAEwAAAAAA&#10;AAAAAAAAAAAAAAAAW0NvbnRlbnRfVHlwZXNdLnhtbFBLAQItABQABgAIAAAAIQBa9CxbvwAAABUB&#10;AAALAAAAAAAAAAAAAAAAAB8BAABfcmVscy8ucmVsc1BLAQItABQABgAIAAAAIQAQxC76yAAAAN8A&#10;AAAPAAAAAAAAAAAAAAAAAAcCAABkcnMvZG93bnJldi54bWxQSwUGAAAAAAMAAwC3AAAA/AIAAAAA&#10;" filled="f" stroked="f">
                  <v:textbox inset="0,0,0,0">
                    <w:txbxContent>
                      <w:p w14:paraId="144979E8" w14:textId="77777777" w:rsidR="00B32EF2" w:rsidRDefault="00000000">
                        <w:r>
                          <w:rPr>
                            <w:rFonts w:ascii="Arial" w:eastAsia="Arial" w:hAnsi="Arial" w:cs="Arial"/>
                            <w:i/>
                            <w:sz w:val="18"/>
                          </w:rPr>
                          <w:t>545/92)</w:t>
                        </w:r>
                      </w:p>
                    </w:txbxContent>
                  </v:textbox>
                </v:rect>
                <v:rect id="Rectangle 202034" o:spid="_x0000_s5868" style="position:absolute;left:22220;top:22967;width:194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thyAAAAN8AAAAPAAAAZHJzL2Rvd25yZXYueG1sRI9BawIx&#10;FITvhf6H8Aq91aRbKbIaRSzSPfSiVfD42Dx3VzcvYRPdbX+9EQo9DjPzDTNbDLYVV+pC41jD60iB&#10;IC6dabjSsPtev0xAhIhssHVMGn4owGL++DDD3LieN3TdxkokCIccNdQx+lzKUNZkMYycJ07e0XUW&#10;Y5JdJU2HfYLbVmZKvUuLDaeFGj2tairP24vVcPhgX6x7WR5/V/7rVEzaz8tur/Xz07Ccgog0xP/w&#10;X7swGjKVqbcx3P+kLyDnNwAAAP//AwBQSwECLQAUAAYACAAAACEA2+H2y+4AAACFAQAAEwAAAAAA&#10;AAAAAAAAAAAAAAAAW0NvbnRlbnRfVHlwZXNdLnhtbFBLAQItABQABgAIAAAAIQBa9CxbvwAAABUB&#10;AAALAAAAAAAAAAAAAAAAAB8BAABfcmVscy8ucmVsc1BLAQItABQABgAIAAAAIQB/iIthyAAAAN8A&#10;AAAPAAAAAAAAAAAAAAAAAAcCAABkcnMvZG93bnJldi54bWxQSwUGAAAAAAMAAwC3AAAA/AIAAAAA&#10;" filled="f" stroked="f">
                  <v:textbox inset="0,0,0,0">
                    <w:txbxContent>
                      <w:p w14:paraId="7D307C73" w14:textId="77777777" w:rsidR="00B32EF2" w:rsidRDefault="00000000">
                        <w:r>
                          <w:rPr>
                            <w:rFonts w:ascii="Arial" w:eastAsia="Arial" w:hAnsi="Arial" w:cs="Arial"/>
                            <w:i/>
                            <w:sz w:val="18"/>
                          </w:rPr>
                          <w:t>(</w:t>
                        </w:r>
                      </w:p>
                    </w:txbxContent>
                  </v:textbox>
                </v:rect>
                <v:rect id="Rectangle 202036" o:spid="_x0000_s5869" style="position:absolute;left:11638;top:22967;width:194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CNyAAAAN8AAAAPAAAAZHJzL2Rvd25yZXYueG1sRI9Ba8JA&#10;FITvhf6H5RV6q7uNIJK6iljEHHrRptDjI/tMUrNvl+xq0v56VxB6HGbmG2axGm0nLtSH1rGG14kC&#10;QVw503KtofzcvsxBhIhssHNMGn4pwGr5+LDA3LiB93Q5xFokCIccNTQx+lzKUDVkMUycJ07e0fUW&#10;Y5J9LU2PQ4LbTmZKzaTFltNCg542DVWnw9lq+H5nX2wHWR3/Nv7jp5h3u3P5pfXz07h+AxFpjP/h&#10;e7swGjKVqekMbn/SF5DLKwAAAP//AwBQSwECLQAUAAYACAAAACEA2+H2y+4AAACFAQAAEwAAAAAA&#10;AAAAAAAAAAAAAAAAW0NvbnRlbnRfVHlwZXNdLnhtbFBLAQItABQABgAIAAAAIQBa9CxbvwAAABUB&#10;AAALAAAAAAAAAAAAAAAAAB8BAABfcmVscy8ucmVsc1BLAQItABQABgAIAAAAIQDgFrCNyAAAAN8A&#10;AAAPAAAAAAAAAAAAAAAAAAcCAABkcnMvZG93bnJldi54bWxQSwUGAAAAAAMAAwC3AAAA/AIAAAAA&#10;" filled="f" stroked="f">
                  <v:textbox inset="0,0,0,0">
                    <w:txbxContent>
                      <w:p w14:paraId="0E81636E" w14:textId="77777777" w:rsidR="00B32EF2" w:rsidRDefault="00000000">
                        <w:r>
                          <w:rPr>
                            <w:rFonts w:ascii="Arial" w:eastAsia="Arial" w:hAnsi="Arial" w:cs="Arial"/>
                            <w:i/>
                            <w:sz w:val="18"/>
                          </w:rPr>
                          <w:t xml:space="preserve">articolo 23 D.lgs. n. </w:t>
                        </w:r>
                      </w:p>
                    </w:txbxContent>
                  </v:textbox>
                </v:rect>
                <v:rect id="Rectangle 21498" o:spid="_x0000_s5870" style="position:absolute;left:3658;top:21734;width:263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zUxQAAAN4AAAAPAAAAZHJzL2Rvd25yZXYueG1sRE/LasJA&#10;FN0X/IfhCt3ViVJKmjqKKGIW3TRVcHnJXJPUzJ0hM3m0X99ZFLo8nPd6O5lWDNT5xrKC5SIBQVxa&#10;3XCl4Px5fEpB+ICssbVMCr7Jw3Yze1hjpu3IHzQUoRIxhH2GCuoQXCalL2sy6BfWEUfuZjuDIcKu&#10;krrDMYabVq6S5EUabDg21OhoX1N5L3qj4Hpglx9HWd5+9u79K0/bU3++KPU4n3ZvIAJN4V/85861&#10;gtXy+TXujXfiFZCbXwAAAP//AwBQSwECLQAUAAYACAAAACEA2+H2y+4AAACFAQAAEwAAAAAAAAAA&#10;AAAAAAAAAAAAW0NvbnRlbnRfVHlwZXNdLnhtbFBLAQItABQABgAIAAAAIQBa9CxbvwAAABUBAAAL&#10;AAAAAAAAAAAAAAAAAB8BAABfcmVscy8ucmVsc1BLAQItABQABgAIAAAAIQCyk/zUxQAAAN4AAAAP&#10;AAAAAAAAAAAAAAAAAAcCAABkcnMvZG93bnJldi54bWxQSwUGAAAAAAMAAwC3AAAA+QIAAAAA&#10;" filled="f" stroked="f">
                  <v:textbox inset="0,0,0,0">
                    <w:txbxContent>
                      <w:p w14:paraId="131FA8AD" w14:textId="77777777" w:rsidR="00B32EF2" w:rsidRDefault="00000000">
                        <w:r>
                          <w:rPr>
                            <w:rFonts w:ascii="Arial" w:eastAsia="Arial" w:hAnsi="Arial" w:cs="Arial"/>
                            <w:b/>
                            <w:sz w:val="18"/>
                          </w:rPr>
                          <w:t>Proclamazione degli eletti. Reclami.</w:t>
                        </w:r>
                      </w:p>
                    </w:txbxContent>
                  </v:textbox>
                </v:rect>
                <v:rect id="Rectangle 202030" o:spid="_x0000_s5871" style="position:absolute;left:26344;top:20500;width:521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41ixgAAAN8AAAAPAAAAZHJzL2Rvd25yZXYueG1sRI9Pa8Iw&#10;GMbvA79DeAVvM7EDkc4oQ5H14GXqYMeX5rXt1rwJTbTVT78cBI8Pzz9+y/VgW3GlLjSONcymCgRx&#10;6UzDlYbTcfe6ABEissHWMWm4UYD1avSyxNy4nr/oeoiVSCMcctRQx+hzKUNZk8UwdZ44eWfXWYxJ&#10;dpU0HfZp3LYyU2ouLTacHmr0tKmp/DtcrIafLfti18vyfN/4/W+xaD8vp2+tJ+Ph4x1EpCE+w492&#10;YTRkKlNviSDxJBaQq38AAAD//wMAUEsBAi0AFAAGAAgAAAAhANvh9svuAAAAhQEAABMAAAAAAAAA&#10;AAAAAAAAAAAAAFtDb250ZW50X1R5cGVzXS54bWxQSwECLQAUAAYACAAAACEAWvQsW78AAAAVAQAA&#10;CwAAAAAAAAAAAAAAAAAfAQAAX3JlbHMvLnJlbHNQSwECLQAUAAYACAAAACEAALONYsYAAADfAAAA&#10;DwAAAAAAAAAAAAAAAAAHAgAAZHJzL2Rvd25yZXYueG1sUEsFBgAAAAADAAMAtwAAAPoCAAAAAA==&#10;" filled="f" stroked="f">
                  <v:textbox inset="0,0,0,0">
                    <w:txbxContent>
                      <w:p w14:paraId="729E3D76" w14:textId="77777777" w:rsidR="00B32EF2" w:rsidRDefault="00000000">
                        <w:r>
                          <w:rPr>
                            <w:rFonts w:ascii="Arial" w:eastAsia="Arial" w:hAnsi="Arial" w:cs="Arial"/>
                            <w:sz w:val="18"/>
                          </w:rPr>
                          <w:t>1</w:t>
                        </w:r>
                      </w:p>
                    </w:txbxContent>
                  </v:textbox>
                </v:rect>
                <v:rect id="Rectangle 202033" o:spid="_x0000_s5872" style="position:absolute;left:-12808;top:20500;width:521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RMVxwAAAN8AAAAPAAAAZHJzL2Rvd25yZXYueG1sRI9BawIx&#10;FITvhf6H8AreatIVimyNIhZxD71ULfT42Dx3t25ewia6W3+9EQSPw8x8w8wWg23FmbrQONbwNlYg&#10;iEtnGq407Hfr1ymIEJENto5Jwz8FWMyfn2aYG9fzN523sRIJwiFHDXWMPpcylDVZDGPniZN3cJ3F&#10;mGRXSdNhn+C2lZlS79Jiw2mhRk+rmsrj9mQ1/H6yL9a9LA+Xlf/6K6bt5rT/0Xr0Miw/QEQa4iN8&#10;bxdGQ6YyNZnA7U/6AnJ+BQAA//8DAFBLAQItABQABgAIAAAAIQDb4fbL7gAAAIUBAAATAAAAAAAA&#10;AAAAAAAAAAAAAABbQ29udGVudF9UeXBlc10ueG1sUEsBAi0AFAAGAAgAAAAhAFr0LFu/AAAAFQEA&#10;AAsAAAAAAAAAAAAAAAAAHwEAAF9yZWxzLy5yZWxzUEsBAi0AFAAGAAgAAAAhAPBhExXHAAAA3wAA&#10;AA8AAAAAAAAAAAAAAAAABwIAAGRycy9kb3ducmV2LnhtbFBLBQYAAAAAAwADALcAAAD7AgAAAAA=&#10;" filled="f" stroked="f">
                  <v:textbox inset="0,0,0,0">
                    <w:txbxContent>
                      <w:p w14:paraId="5847D2C5" w14:textId="77777777" w:rsidR="00B32EF2" w:rsidRDefault="00000000">
                        <w:r>
                          <w:rPr>
                            <w:rFonts w:ascii="Arial" w:eastAsia="Arial" w:hAnsi="Arial" w:cs="Arial"/>
                            <w:sz w:val="18"/>
                          </w:rPr>
                          <w:t>. L’ufficio elettorale centrale proclama eletti coloro che, nell’ambito di ciascu</w:t>
                        </w:r>
                      </w:p>
                    </w:txbxContent>
                  </v:textbox>
                </v:rect>
                <v:rect id="Rectangle 21500" o:spid="_x0000_s5873" style="position:absolute;left:191;top:2050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rIxAAAAN4AAAAPAAAAZHJzL2Rvd25yZXYueG1sRI/NisIw&#10;FIX3wrxDuMLsNFVQpGMUcRC7mI1aYZaX5tpWm5vQRNuZpzcLweXh/PEt171pxINaX1tWMBknIIgL&#10;q2suFeSn3WgBwgdkjY1lUvBHHtarj8ESU207PtDjGEoRR9inqKAKwaVS+qIig35sHXH0LrY1GKJs&#10;S6lb7OK4aeQ0SebSYM3xoUJH24qK2/FuFPx+s8t2nSwu/1v3c80Wzf6en5X6HPabLxCB+vAOv9qZ&#10;VjCdzJIIEHEiCsjVEwAA//8DAFBLAQItABQABgAIAAAAIQDb4fbL7gAAAIUBAAATAAAAAAAAAAAA&#10;AAAAAAAAAABbQ29udGVudF9UeXBlc10ueG1sUEsBAi0AFAAGAAgAAAAhAFr0LFu/AAAAFQEAAAsA&#10;AAAAAAAAAAAAAAAAHwEAAF9yZWxzLy5yZWxzUEsBAi0AFAAGAAgAAAAhANIOasjEAAAA3gAAAA8A&#10;AAAAAAAAAAAAAAAABwIAAGRycy9kb3ducmV2LnhtbFBLBQYAAAAAAwADALcAAAD4AgAAAAA=&#10;" filled="f" stroked="f">
                  <v:textbox inset="0,0,0,0">
                    <w:txbxContent>
                      <w:p w14:paraId="48E062C1" w14:textId="77777777" w:rsidR="00B32EF2" w:rsidRDefault="00000000">
                        <w:r>
                          <w:rPr>
                            <w:rFonts w:ascii="Arial" w:eastAsia="Arial" w:hAnsi="Arial" w:cs="Arial"/>
                            <w:sz w:val="18"/>
                          </w:rPr>
                          <w:t>-</w:t>
                        </w:r>
                      </w:p>
                    </w:txbxContent>
                  </v:textbox>
                </v:rect>
                <v:rect id="Rectangle 21501" o:spid="_x0000_s5874" style="position:absolute;left:-13171;top:19267;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s9TxgAAAN4AAAAPAAAAZHJzL2Rvd25yZXYueG1sRI9Ba8JA&#10;FITvBf/D8oTe6iZCRVJXEUXMoRdtBI+P7DNJzb5dsqtJ++u7gtDjMDPfMIvVYFpxp843lhWkkwQE&#10;cWl1w5WC4mv3NgfhA7LG1jIp+CEPq+XoZYGZtj0f6H4MlYgQ9hkqqENwmZS+rMmgn1hHHL2L7QyG&#10;KLtK6g77CDetnCbJTBpsOC7U6GhTU3k93oyC85ZdvutlefnduM/vfN7ub8VJqdfxsP4AEWgI/+Fn&#10;O9cKpul7ksLjTrwCcvkHAAD//wMAUEsBAi0AFAAGAAgAAAAhANvh9svuAAAAhQEAABMAAAAAAAAA&#10;AAAAAAAAAAAAAFtDb250ZW50X1R5cGVzXS54bWxQSwECLQAUAAYACAAAACEAWvQsW78AAAAVAQAA&#10;CwAAAAAAAAAAAAAAAAAfAQAAX3JlbHMvLnJlbHNQSwECLQAUAAYACAAAACEAvULPU8YAAADeAAAA&#10;DwAAAAAAAAAAAAAAAAAHAgAAZHJzL2Rvd25yZXYueG1sUEsFBgAAAAADAAMAtwAAAPoCAAAAAA==&#10;" filled="f" stroked="f">
                  <v:textbox inset="0,0,0,0">
                    <w:txbxContent>
                      <w:p w14:paraId="2ABE49D7" w14:textId="77777777" w:rsidR="00B32EF2" w:rsidRDefault="00000000">
                        <w:r>
                          <w:rPr>
                            <w:rFonts w:ascii="Arial" w:eastAsia="Arial" w:hAnsi="Arial" w:cs="Arial"/>
                            <w:sz w:val="18"/>
                          </w:rPr>
                          <w:t xml:space="preserve">na categoria di eleggibili, hanno riportato il maggior numero di voti. A parità </w:t>
                        </w:r>
                      </w:p>
                    </w:txbxContent>
                  </v:textbox>
                </v:rect>
                <v:rect id="Rectangle 21502" o:spid="_x0000_s5875" style="position:absolute;left:-13171;top:18034;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FEkxgAAAN4AAAAPAAAAZHJzL2Rvd25yZXYueG1sRI9Ba8JA&#10;FITvBf/D8oTe6sZARVJXEUXMoRdtBI+P7DNJzb5dsqtJ++u7gtDjMDPfMIvVYFpxp843lhVMJwkI&#10;4tLqhisFxdfubQ7CB2SNrWVS8EMeVsvRywIzbXs+0P0YKhEh7DNUUIfgMil9WZNBP7GOOHoX2xkM&#10;UXaV1B32EW5amSbJTBpsOC7U6GhTU3k93oyC85ZdvutlefnduM/vfN7ub8VJqdfxsP4AEWgI/+Fn&#10;O9cK0ul7ksLjTrwCcvkHAAD//wMAUEsBAi0AFAAGAAgAAAAhANvh9svuAAAAhQEAABMAAAAAAAAA&#10;AAAAAAAAAAAAAFtDb250ZW50X1R5cGVzXS54bWxQSwECLQAUAAYACAAAACEAWvQsW78AAAAVAQAA&#10;CwAAAAAAAAAAAAAAAAAfAQAAX3JlbHMvLnJlbHNQSwECLQAUAAYACAAAACEATZBRJMYAAADeAAAA&#10;DwAAAAAAAAAAAAAAAAAHAgAAZHJzL2Rvd25yZXYueG1sUEsFBgAAAAADAAMAtwAAAPoCAAAAAA==&#10;" filled="f" stroked="f">
                  <v:textbox inset="0,0,0,0">
                    <w:txbxContent>
                      <w:p w14:paraId="2BEFC445" w14:textId="77777777" w:rsidR="00B32EF2" w:rsidRDefault="00000000">
                        <w:r>
                          <w:rPr>
                            <w:rFonts w:ascii="Arial" w:eastAsia="Arial" w:hAnsi="Arial" w:cs="Arial"/>
                            <w:sz w:val="18"/>
                          </w:rPr>
                          <w:t xml:space="preserve">di voti è eletto il più anziano di età. I nominativi degli eletti sono comunicati al </w:t>
                        </w:r>
                      </w:p>
                    </w:txbxContent>
                  </v:textbox>
                </v:rect>
                <v:rect id="Rectangle 21503" o:spid="_x0000_s5876" style="position:absolute;left:-12204;top:16800;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PS/xgAAAN4AAAAPAAAAZHJzL2Rvd25yZXYueG1sRI9Ba8JA&#10;FITvBf/D8gre6kaLRaKrFEWagxetBY+P7DOJZt8u2dVEf70rFDwOM/MNM1t0phZXanxlWcFwkIAg&#10;zq2uuFCw/11/TED4gKyxtkwKbuRhMe+9zTDVtuUtXXehEBHCPkUFZQguldLnJRn0A+uIo3e0jcEQ&#10;ZVNI3WAb4aaWoyT5kgYrjgslOlqWlJ93F6PgsGKXrVuZH+9Ltzllk/rnsv9Tqv/efU9BBOrCK/zf&#10;zrSC0XCcfMLzTrwCcv4AAAD//wMAUEsBAi0AFAAGAAgAAAAhANvh9svuAAAAhQEAABMAAAAAAAAA&#10;AAAAAAAAAAAAAFtDb250ZW50X1R5cGVzXS54bWxQSwECLQAUAAYACAAAACEAWvQsW78AAAAVAQAA&#10;CwAAAAAAAAAAAAAAAAAfAQAAX3JlbHMvLnJlbHNQSwECLQAUAAYACAAAACEAItz0v8YAAADeAAAA&#10;DwAAAAAAAAAAAAAAAAAHAgAAZHJzL2Rvd25yZXYueG1sUEsFBgAAAAADAAMAtwAAAPoCAAAAAA==&#10;" filled="f" stroked="f">
                  <v:textbox inset="0,0,0,0">
                    <w:txbxContent>
                      <w:p w14:paraId="21CDD42C" w14:textId="77777777" w:rsidR="00B32EF2" w:rsidRDefault="00000000">
                        <w:r>
                          <w:rPr>
                            <w:rFonts w:ascii="Arial" w:eastAsia="Arial" w:hAnsi="Arial" w:cs="Arial"/>
                            <w:sz w:val="18"/>
                          </w:rPr>
                          <w:t>Consiglio di presidenza della giustizia tributaria e al Dipartimento della giusti</w:t>
                        </w:r>
                      </w:p>
                    </w:txbxContent>
                  </v:textbox>
                </v:rect>
                <v:rect id="Rectangle 21504" o:spid="_x0000_s5877" style="position:absolute;left:191;top:1680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WzLxgAAAN4AAAAPAAAAZHJzL2Rvd25yZXYueG1sRI9Ba8JA&#10;FITvBf/D8gre6kapRaKrFEWagxetBY+P7DOJZt8u2dVEf70rFDwOM/MNM1t0phZXanxlWcFwkIAg&#10;zq2uuFCw/11/TED4gKyxtkwKbuRhMe+9zTDVtuUtXXehEBHCPkUFZQguldLnJRn0A+uIo3e0jcEQ&#10;ZVNI3WAb4aaWoyT5kgYrjgslOlqWlJ93F6PgsGKXrVuZH+9Ltzllk/rnsv9Tqv/efU9BBOrCK/zf&#10;zrSC0XCcfMLzTrwCcv4AAAD//wMAUEsBAi0AFAAGAAgAAAAhANvh9svuAAAAhQEAABMAAAAAAAAA&#10;AAAAAAAAAAAAAFtDb250ZW50X1R5cGVzXS54bWxQSwECLQAUAAYACAAAACEAWvQsW78AAAAVAQAA&#10;CwAAAAAAAAAAAAAAAAAfAQAAX3JlbHMvLnJlbHNQSwECLQAUAAYACAAAACEArTVsy8YAAADeAAAA&#10;DwAAAAAAAAAAAAAAAAAHAgAAZHJzL2Rvd25yZXYueG1sUEsFBgAAAAADAAMAtwAAAPoCAAAAAA==&#10;" filled="f" stroked="f">
                  <v:textbox inset="0,0,0,0">
                    <w:txbxContent>
                      <w:p w14:paraId="7D1CB41C" w14:textId="77777777" w:rsidR="00B32EF2" w:rsidRDefault="00000000">
                        <w:r>
                          <w:rPr>
                            <w:rFonts w:ascii="Arial" w:eastAsia="Arial" w:hAnsi="Arial" w:cs="Arial"/>
                            <w:sz w:val="18"/>
                          </w:rPr>
                          <w:t>-</w:t>
                        </w:r>
                      </w:p>
                    </w:txbxContent>
                  </v:textbox>
                </v:rect>
                <v:rect id="Rectangle 21505" o:spid="_x0000_s5878" style="position:absolute;left:1827;top:15567;width:38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clQxQAAAN4AAAAPAAAAZHJzL2Rvd25yZXYueG1sRI9Bi8Iw&#10;FITvgv8hPGFvmiooUo0iimwPXnQVPD6aZ1ttXkITbd1fv1lY2OMwM98wy3VnavGixleWFYxHCQji&#10;3OqKCwXnr/1wDsIHZI21ZVLwJg/rVb+3xFTblo/0OoVCRAj7FBWUIbhUSp+XZNCPrCOO3s02BkOU&#10;TSF1g22Em1pOkmQmDVYcF0p0tC0pf5yeRsF1xy7btzK/fW/d4Z7N68/n+aLUx6DbLEAE6sJ/+K+d&#10;aQWT8TSZwu+deAXk6gcAAP//AwBQSwECLQAUAAYACAAAACEA2+H2y+4AAACFAQAAEwAAAAAAAAAA&#10;AAAAAAAAAAAAW0NvbnRlbnRfVHlwZXNdLnhtbFBLAQItABQABgAIAAAAIQBa9CxbvwAAABUBAAAL&#10;AAAAAAAAAAAAAAAAAB8BAABfcmVscy8ucmVsc1BLAQItABQABgAIAAAAIQDCeclQxQAAAN4AAAAP&#10;AAAAAAAAAAAAAAAAAAcCAABkcnMvZG93bnJldi54bWxQSwUGAAAAAAMAAwC3AAAA+QIAAAAA&#10;" filled="f" stroked="f">
                  <v:textbox inset="0,0,0,0">
                    <w:txbxContent>
                      <w:p w14:paraId="358CFA20" w14:textId="77777777" w:rsidR="00B32EF2" w:rsidRDefault="00000000">
                        <w:r>
                          <w:rPr>
                            <w:rFonts w:ascii="Arial" w:eastAsia="Arial" w:hAnsi="Arial" w:cs="Arial"/>
                            <w:sz w:val="18"/>
                          </w:rPr>
                          <w:t>zia tributaria del Ministero dell’economia e delle finanze.</w:t>
                        </w:r>
                      </w:p>
                    </w:txbxContent>
                  </v:textbox>
                </v:rect>
                <v:rect id="Rectangle 202024" o:spid="_x0000_s5879" style="position:absolute;left:26109;top:143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R28xAAAAN8AAAAPAAAAZHJzL2Rvd25yZXYueG1sRE/LisIw&#10;FN0L/kO4wuw0VQaRjlHEQaaL2fiCWV6aa1ttbkITbcevN4IgZ3U4L8582Zla3KjxlWUF41ECgji3&#10;uuJCwWG/Gc5A+ICssbZMCv7Jw3LR780x1bblLd12oRCxhH2KCsoQXCqlz0sy6EfWEUftZBuDIdKm&#10;kLrBNpabWk6SZCoNVhwXSnS0Lim/7K5Gwd83u2zTyvx0X7vfczarf66Ho1Ifg271BSJQF97mVzrT&#10;CiZJxCc8/8QvIBcPAAAA//8DAFBLAQItABQABgAIAAAAIQDb4fbL7gAAAIUBAAATAAAAAAAAAAAA&#10;AAAAAAAAAABbQ29udGVudF9UeXBlc10ueG1sUEsBAi0AFAAGAAgAAAAhAFr0LFu/AAAAFQEAAAsA&#10;AAAAAAAAAAAAAAAAHwEAAF9yZWxzLy5yZWxzUEsBAi0AFAAGAAgAAAAhAPpRHbzEAAAA3wAAAA8A&#10;AAAAAAAAAAAAAAAABwIAAGRycy9kb3ducmV2LnhtbFBLBQYAAAAAAwADALcAAAD4AgAAAAA=&#10;" filled="f" stroked="f">
                  <v:textbox inset="0,0,0,0">
                    <w:txbxContent>
                      <w:p w14:paraId="31D5699B" w14:textId="77777777" w:rsidR="00B32EF2" w:rsidRDefault="00000000">
                        <w:r>
                          <w:rPr>
                            <w:rFonts w:ascii="Arial" w:eastAsia="Arial" w:hAnsi="Arial" w:cs="Arial"/>
                            <w:sz w:val="18"/>
                          </w:rPr>
                          <w:t>2</w:t>
                        </w:r>
                      </w:p>
                    </w:txbxContent>
                  </v:textbox>
                </v:rect>
                <v:rect id="Rectangle 202027" o:spid="_x0000_s5880" style="position:absolute;left:-13817;top:143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PLxAAAAN8AAAAPAAAAZHJzL2Rvd25yZXYueG1sRE/LisIw&#10;FN0L/kO4wuw01cUoHaOIg0wXs/EFs7w017ba3IQm2o5fbwRBzupwXpz5sjO1uFHjK8sKxqMEBHFu&#10;dcWFgsN+M5yB8AFZY22ZFPyTh+Wi35tjqm3LW7rtQiFiCfsUFZQhuFRKn5dk0I+sI47ayTYGQ6RN&#10;IXWDbSw3tZwkyac0WHFcKNHRuqT8srsaBX/f7LJNK/PTfe1+z9ms/rkejkp9DLrVF4hAXXibX+lM&#10;K5gkEVN4/olfQC4eAAAA//8DAFBLAQItABQABgAIAAAAIQDb4fbL7gAAAIUBAAATAAAAAAAAAAAA&#10;AAAAAAAAAABbQ29udGVudF9UeXBlc10ueG1sUEsBAi0AFAAGAAgAAAAhAFr0LFu/AAAAFQEAAAsA&#10;AAAAAAAAAAAAAAAAHwEAAF9yZWxzLy5yZWxzUEsBAi0AFAAGAAgAAAAhAAqDg8vEAAAA3wAAAA8A&#10;AAAAAAAAAAAAAAAABwIAAGRycy9kb3ducmV2LnhtbFBLBQYAAAAAAwADALcAAAD4AgAAAAA=&#10;" filled="f" stroked="f">
                  <v:textbox inset="0,0,0,0">
                    <w:txbxContent>
                      <w:p w14:paraId="580C3A8B" w14:textId="77777777" w:rsidR="00B32EF2" w:rsidRDefault="00000000">
                        <w:r>
                          <w:rPr>
                            <w:rFonts w:ascii="Arial" w:eastAsia="Arial" w:hAnsi="Arial" w:cs="Arial"/>
                            <w:sz w:val="18"/>
                          </w:rPr>
                          <w:t xml:space="preserve">. I reclami relativi alla eleggibilità e alle operazioni elettorali sono indirizzati al </w:t>
                        </w:r>
                      </w:p>
                    </w:txbxContent>
                  </v:textbox>
                </v:rect>
                <v:rect id="Rectangle 21507" o:spid="_x0000_s5881" style="position:absolute;left:-13172;top:13101;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K8xgAAAN4AAAAPAAAAZHJzL2Rvd25yZXYueG1sRI9Ba8JA&#10;FITvBf/D8gre6kahVqKrFEWagxetBY+P7DOJZt8u2dVEf70rFDwOM/MNM1t0phZXanxlWcFwkIAg&#10;zq2uuFCw/11/TED4gKyxtkwKbuRhMe+9zTDVtuUtXXehEBHCPkUFZQguldLnJRn0A+uIo3e0jcEQ&#10;ZVNI3WAb4aaWoyQZS4MVx4USHS1Lys+7i1FwWLHL1q3Mj/el25yySf1z2f8p1X/vvqcgAnXhFf5v&#10;Z1rBaPiZfMHzTrwCcv4AAAD//wMAUEsBAi0AFAAGAAgAAAAhANvh9svuAAAAhQEAABMAAAAAAAAA&#10;AAAAAAAAAAAAAFtDb250ZW50X1R5cGVzXS54bWxQSwECLQAUAAYACAAAACEAWvQsW78AAAAVAQAA&#10;CwAAAAAAAAAAAAAAAAAfAQAAX3JlbHMvLnJlbHNQSwECLQAUAAYACAAAACEAXefyvMYAAADeAAAA&#10;DwAAAAAAAAAAAAAAAAAHAgAAZHJzL2Rvd25yZXYueG1sUEsFBgAAAAADAAMAtwAAAPoCAAAAAA==&#10;" filled="f" stroked="f">
                  <v:textbox inset="0,0,0,0">
                    <w:txbxContent>
                      <w:p w14:paraId="68A60619" w14:textId="77777777" w:rsidR="00B32EF2" w:rsidRDefault="00000000">
                        <w:r>
                          <w:rPr>
                            <w:rFonts w:ascii="Arial" w:eastAsia="Arial" w:hAnsi="Arial" w:cs="Arial"/>
                            <w:sz w:val="18"/>
                          </w:rPr>
                          <w:t xml:space="preserve">Consiglio di presidenza e debbono pervenire alla segreteria dello stesso entro </w:t>
                        </w:r>
                      </w:p>
                    </w:txbxContent>
                  </v:textbox>
                </v:rect>
                <v:rect id="Rectangle 21508" o:spid="_x0000_s5882" style="position:absolute;left:-13172;top:118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GbOwwAAAN4AAAAPAAAAZHJzL2Rvd25yZXYueG1sRE9Ni8Iw&#10;EL0L+x/CCHvTVEGRrlHERexhL2qFPQ7N2FabSWii7e6vNwfB4+N9L9e9acSDWl9bVjAZJyCIC6tr&#10;LhXkp91oAcIHZI2NZVLwRx7Wq4/BElNtOz7Q4xhKEUPYp6igCsGlUvqiIoN+bB1x5C62NRgibEup&#10;W+xiuGnkNEnm0mDNsaFCR9uKitvxbhT8frPLdp0sLv9b93PNFs3+np+V+hz2my8QgfrwFr/cmVYw&#10;ncySuDfeiVdArp4AAAD//wMAUEsBAi0AFAAGAAgAAAAhANvh9svuAAAAhQEAABMAAAAAAAAAAAAA&#10;AAAAAAAAAFtDb250ZW50X1R5cGVzXS54bWxQSwECLQAUAAYACAAAACEAWvQsW78AAAAVAQAACwAA&#10;AAAAAAAAAAAAAAAfAQAAX3JlbHMvLnJlbHNQSwECLQAUAAYACAAAACEALHhmzsMAAADeAAAADwAA&#10;AAAAAAAAAAAAAAAHAgAAZHJzL2Rvd25yZXYueG1sUEsFBgAAAAADAAMAtwAAAPcCAAAAAA==&#10;" filled="f" stroked="f">
                  <v:textbox inset="0,0,0,0">
                    <w:txbxContent>
                      <w:p w14:paraId="1E2596AF" w14:textId="77777777" w:rsidR="00B32EF2" w:rsidRDefault="00000000">
                        <w:r>
                          <w:rPr>
                            <w:rFonts w:ascii="Arial" w:eastAsia="Arial" w:hAnsi="Arial" w:cs="Arial"/>
                            <w:sz w:val="18"/>
                          </w:rPr>
                          <w:t xml:space="preserve">il quindicesimo giorno successivo alla proclamazione dei risultati. Essi non </w:t>
                        </w:r>
                      </w:p>
                    </w:txbxContent>
                  </v:textbox>
                </v:rect>
                <v:rect id="Rectangle 21509" o:spid="_x0000_s5883" style="position:absolute;left:22390;top:10634;width:175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MNVxwAAAN4AAAAPAAAAZHJzL2Rvd25yZXYueG1sRI9Pi8Iw&#10;FMTvC36H8ARva6qwi1ajiCLbg5f1D3h8NM+22ryEJtrqp98sLOxxmJnfMPNlZ2rxoMZXlhWMhgkI&#10;4tzqigsFx8P2fQLCB2SNtWVS8CQPy0XvbY6pti1/02MfChEh7FNUUIbgUil9XpJBP7SOOHoX2xgM&#10;UTaF1A22EW5qOU6ST2mw4rhQoqN1SfltfzcKzht22baV+eW1drtrNqm/7seTUoN+t5qBCNSF//Bf&#10;O9MKxqOPZAq/d+IVkIsfAAAA//8DAFBLAQItABQABgAIAAAAIQDb4fbL7gAAAIUBAAATAAAAAAAA&#10;AAAAAAAAAAAAAABbQ29udGVudF9UeXBlc10ueG1sUEsBAi0AFAAGAAgAAAAhAFr0LFu/AAAAFQEA&#10;AAsAAAAAAAAAAAAAAAAAHwEAAF9yZWxzLy5yZWxzUEsBAi0AFAAGAAgAAAAhAEM0w1XHAAAA3gAA&#10;AA8AAAAAAAAAAAAAAAAABwIAAGRycy9kb3ducmV2LnhtbFBLBQYAAAAAAwADALcAAAD7AgAAAAA=&#10;" filled="f" stroked="f">
                  <v:textbox inset="0,0,0,0">
                    <w:txbxContent>
                      <w:p w14:paraId="16F1C8C2" w14:textId="77777777" w:rsidR="00B32EF2" w:rsidRDefault="00000000">
                        <w:r>
                          <w:rPr>
                            <w:rFonts w:ascii="Arial" w:eastAsia="Arial" w:hAnsi="Arial" w:cs="Arial"/>
                            <w:sz w:val="18"/>
                          </w:rPr>
                          <w:t>hanno effetto sospensivo.</w:t>
                        </w:r>
                      </w:p>
                    </w:txbxContent>
                  </v:textbox>
                </v:rect>
                <v:rect id="Rectangle 202013" o:spid="_x0000_s5884" style="position:absolute;left:-10731;top:9401;width:500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E91xwAAAN8AAAAPAAAAZHJzL2Rvd25yZXYueG1sRI9BawIx&#10;FITvQv9DeIXeNHELIqtRxCLdQy9aCz0+Ns/d1c1L2ER321/fCEKPw8x8wyzXg23FjbrQONYwnSgQ&#10;xKUzDVcajp+78RxEiMgGW8ek4YcCrFdPoyXmxvW8p9shViJBOOSooY7R51KGsiaLYeI8cfJOrrMY&#10;k+wqaTrsE9y2MlNqJi02nBZq9LStqbwcrlbD9xv7YtfL8vS79R/nYt6+X49fWr88D5sFiEhD/A8/&#10;2oXRkKlMTV/h/id9Abn6AwAA//8DAFBLAQItABQABgAIAAAAIQDb4fbL7gAAAIUBAAATAAAAAAAA&#10;AAAAAAAAAAAAAABbQ29udGVudF9UeXBlc10ueG1sUEsBAi0AFAAGAAgAAAAhAFr0LFu/AAAAFQEA&#10;AAsAAAAAAAAAAAAAAAAAHwEAAF9yZWxzLy5yZWxzUEsBAi0AFAAGAAgAAAAhALvUT3XHAAAA3wAA&#10;AA8AAAAAAAAAAAAAAAAABwIAAGRycy9kb3ducmV2LnhtbFBLBQYAAAAAAwADALcAAAD7AgAAAAA=&#10;" filled="f" stroked="f">
                  <v:textbox inset="0,0,0,0">
                    <w:txbxContent>
                      <w:p w14:paraId="684B049F" w14:textId="77777777" w:rsidR="00B32EF2" w:rsidRDefault="00000000">
                        <w:r>
                          <w:rPr>
                            <w:rFonts w:ascii="Arial" w:eastAsia="Arial" w:hAnsi="Arial" w:cs="Arial"/>
                            <w:sz w:val="18"/>
                          </w:rPr>
                          <w:t>. Il Consiglio di presidenza decide sui reclami nella sua prima adunanza.</w:t>
                        </w:r>
                      </w:p>
                    </w:txbxContent>
                  </v:textbox>
                </v:rect>
                <v:rect id="Rectangle 202011" o:spid="_x0000_s5885" style="position:absolute;left:26875;top:9401;width:500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nSZxwAAAN8AAAAPAAAAZHJzL2Rvd25yZXYueG1sRI9Ba8JA&#10;FITvhf6H5RV6q7vJoUjqKqKIOXipVejxkX0m0ezbJbua6K/vFgo9DjPzDTNbjLYTN+pD61hDNlEg&#10;iCtnWq41HL42b1MQISIb7ByThjsFWMyfn2ZYGDfwJ932sRYJwqFADU2MvpAyVA1ZDBPniZN3cr3F&#10;mGRfS9PjkOC2k7lS79Jiy2mhQU+rhqrL/mo1fK/Zl5tBVqfHyu/O5bTbXg9HrV9fxuUHiEhj/A//&#10;tUujIVe5yjL4/ZO+gJz/AAAA//8DAFBLAQItABQABgAIAAAAIQDb4fbL7gAAAIUBAAATAAAAAAAA&#10;AAAAAAAAAAAAAABbQ29udGVudF9UeXBlc10ueG1sUEsBAi0AFAAGAAgAAAAhAFr0LFu/AAAAFQEA&#10;AAsAAAAAAAAAAAAAAAAAHwEAAF9yZWxzLy5yZWxzUEsBAi0AFAAGAAgAAAAhACRKdJnHAAAA3wAA&#10;AA8AAAAAAAAAAAAAAAAABwIAAGRycy9kb3ducmV2LnhtbFBLBQYAAAAAAwADALcAAAD7AgAAAAA=&#10;" filled="f" stroked="f">
                  <v:textbox inset="0,0,0,0">
                    <w:txbxContent>
                      <w:p w14:paraId="2E2672C5" w14:textId="77777777" w:rsidR="00B32EF2" w:rsidRDefault="00000000">
                        <w:r>
                          <w:rPr>
                            <w:rFonts w:ascii="Arial" w:eastAsia="Arial" w:hAnsi="Arial" w:cs="Arial"/>
                            <w:sz w:val="18"/>
                          </w:rPr>
                          <w:t>3</w:t>
                        </w:r>
                      </w:p>
                    </w:txbxContent>
                  </v:textbox>
                </v:rect>
                <v:rect id="Rectangle 202007" o:spid="_x0000_s5886" style="position:absolute;left:26109;top:81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t+rxgAAAN8AAAAPAAAAZHJzL2Rvd25yZXYueG1sRI9Pi8Iw&#10;FMTvgt8hPGFvmuphla5RxEW2h734D/b4aJ5ttXkJTbRdP70RBI/DzPyGmS87U4sbNb6yrGA8SkAQ&#10;51ZXXCg47DfDGQgfkDXWlknBP3lYLvq9Oabatryl2y4UIkLYp6igDMGlUvq8JIN+ZB1x9E62MRii&#10;bAqpG2wj3NRykiSf0mDFcaFER+uS8svuahT8fbPLNq3MT/e1+z1ns/rnejgq9THoVl8gAnXhHX61&#10;M61gkkTmFJ5/4heQiwcAAAD//wMAUEsBAi0AFAAGAAgAAAAhANvh9svuAAAAhQEAABMAAAAAAAAA&#10;AAAAAAAAAAAAAFtDb250ZW50X1R5cGVzXS54bWxQSwECLQAUAAYACAAAACEAWvQsW78AAAAVAQAA&#10;CwAAAAAAAAAAAAAAAAAfAQAAX3JlbHMvLnJlbHNQSwECLQAUAAYACAAAACEAQTbfq8YAAADfAAAA&#10;DwAAAAAAAAAAAAAAAAAHAgAAZHJzL2Rvd25yZXYueG1sUEsFBgAAAAADAAMAtwAAAPoCAAAAAA==&#10;" filled="f" stroked="f">
                  <v:textbox inset="0,0,0,0">
                    <w:txbxContent>
                      <w:p w14:paraId="6B991EA1" w14:textId="77777777" w:rsidR="00B32EF2" w:rsidRDefault="00000000">
                        <w:r>
                          <w:rPr>
                            <w:rFonts w:ascii="Arial" w:eastAsia="Arial" w:hAnsi="Arial" w:cs="Arial"/>
                            <w:sz w:val="18"/>
                          </w:rPr>
                          <w:t>4</w:t>
                        </w:r>
                      </w:p>
                    </w:txbxContent>
                  </v:textbox>
                </v:rect>
                <v:rect id="Rectangle 202009" o:spid="_x0000_s5887" style="position:absolute;left:-13803;top:81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e5CxgAAAN8AAAAPAAAAZHJzL2Rvd25yZXYueG1sRI9Pi8Iw&#10;FMTvC36H8ARva6oH0WoUUcQe9rL+AY+P5tlWm5fQRNvdT79ZEDwOM/MbZrHqTC2e1PjKsoLRMAFB&#10;nFtdcaHgdNx9TkH4gKyxtkwKfsjDatn7WGCqbcvf9DyEQkQI+xQVlCG4VEqfl2TQD60jjt7VNgZD&#10;lE0hdYNthJtajpNkIg1WHBdKdLQpKb8fHkbBZcsu27Uyv/5u3Nctm9b7x+ms1KDfrecgAnXhHX61&#10;M61gnETmDP7/xC8gl38AAAD//wMAUEsBAi0AFAAGAAgAAAAhANvh9svuAAAAhQEAABMAAAAAAAAA&#10;AAAAAAAAAAAAAFtDb250ZW50X1R5cGVzXS54bWxQSwECLQAUAAYACAAAACEAWvQsW78AAAAVAQAA&#10;CwAAAAAAAAAAAAAAAAAfAQAAX3JlbHMvLnJlbHNQSwECLQAUAAYACAAAACEAX+XuQsYAAADfAAAA&#10;DwAAAAAAAAAAAAAAAAAHAgAAZHJzL2Rvd25yZXYueG1sUEsFBgAAAAADAAMAtwAAAPoCAAAAAA==&#10;" filled="f" stroked="f">
                  <v:textbox inset="0,0,0,0">
                    <w:txbxContent>
                      <w:p w14:paraId="60D9DC08" w14:textId="77777777" w:rsidR="00B32EF2" w:rsidRDefault="00000000">
                        <w:r>
                          <w:rPr>
                            <w:rFonts w:ascii="Arial" w:eastAsia="Arial" w:hAnsi="Arial" w:cs="Arial"/>
                            <w:sz w:val="18"/>
                          </w:rPr>
                          <w:t xml:space="preserve">. Nei quindici giorni successivi all’emanazione del decreto del Presidente </w:t>
                        </w:r>
                      </w:p>
                    </w:txbxContent>
                  </v:textbox>
                </v:rect>
                <v:rect id="Rectangle 21512" o:spid="_x0000_s5888" style="position:absolute;left:-13171;top:6934;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cf5xwAAAN4AAAAPAAAAZHJzL2Rvd25yZXYueG1sRI9Pa8JA&#10;FMTvhX6H5RW81U0CFkldpShiDr3UP+DxkX0mabNvl+xqUj+9Kwgeh5n5DTNbDKYVF+p8Y1lBOk5A&#10;EJdWN1wp2O/W71MQPiBrbC2Tgn/ysJi/vsww17bnH7psQyUihH2OCuoQXC6lL2sy6MfWEUfvZDuD&#10;IcqukrrDPsJNK7Mk+ZAGG44LNTpa1lT+bc9GwXHFrlj3sjxdl+77t5i2m/P+oNTobfj6BBFoCM/w&#10;o11oBVk6STO434lXQM5vAAAA//8DAFBLAQItABQABgAIAAAAIQDb4fbL7gAAAIUBAAATAAAAAAAA&#10;AAAAAAAAAAAAAABbQ29udGVudF9UeXBlc10ueG1sUEsBAi0AFAAGAAgAAAAhAFr0LFu/AAAAFQEA&#10;AAsAAAAAAAAAAAAAAAAAHwEAAF9yZWxzLy5yZWxzUEsBAi0AFAAGAAgAAAAhAMhJx/nHAAAA3gAA&#10;AA8AAAAAAAAAAAAAAAAABwIAAGRycy9kb3ducmV2LnhtbFBLBQYAAAAAAwADALcAAAD7AgAAAAA=&#10;" filled="f" stroked="f">
                  <v:textbox inset="0,0,0,0">
                    <w:txbxContent>
                      <w:p w14:paraId="0E03AC5A" w14:textId="77777777" w:rsidR="00B32EF2" w:rsidRDefault="00000000">
                        <w:r>
                          <w:rPr>
                            <w:rFonts w:ascii="Arial" w:eastAsia="Arial" w:hAnsi="Arial" w:cs="Arial"/>
                            <w:sz w:val="18"/>
                          </w:rPr>
                          <w:t xml:space="preserve">della Repubblica, di cui all’articolo 24, comma 1, il Presidente in carica del </w:t>
                        </w:r>
                      </w:p>
                    </w:txbxContent>
                  </v:textbox>
                </v:rect>
                <v:rect id="Rectangle 21513" o:spid="_x0000_s5889" style="position:absolute;left:-13175;top:5701;width:530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WJixwAAAN4AAAAPAAAAZHJzL2Rvd25yZXYueG1sRI9Pa8JA&#10;FMTvgt9heYI33cRikdRVRJHm0Ev9Az0+ss8kbfbtkl1N7Kd3CwWPw8z8hlmue9OIG7W+tqwgnSYg&#10;iAuray4VnI77yQKED8gaG8uk4E4e1qvhYImZth1/0u0QShEh7DNUUIXgMil9UZFBP7WOOHoX2xoM&#10;Ubal1C12EW4aOUuSV2mw5rhQoaNtRcXP4WoUfO3Y5ftOFpffrfv4zhfN+/V0Vmo86jdvIAL14Rn+&#10;b+dawSydpy/wdydeAbl6AAAA//8DAFBLAQItABQABgAIAAAAIQDb4fbL7gAAAIUBAAATAAAAAAAA&#10;AAAAAAAAAAAAAABbQ29udGVudF9UeXBlc10ueG1sUEsBAi0AFAAGAAgAAAAhAFr0LFu/AAAAFQEA&#10;AAsAAAAAAAAAAAAAAAAAHwEAAF9yZWxzLy5yZWxzUEsBAi0AFAAGAAgAAAAhAKcFYmLHAAAA3gAA&#10;AA8AAAAAAAAAAAAAAAAABwIAAGRycy9kb3ducmV2LnhtbFBLBQYAAAAAAwADALcAAAD7AgAAAAA=&#10;" filled="f" stroked="f">
                  <v:textbox inset="0,0,0,0">
                    <w:txbxContent>
                      <w:p w14:paraId="6263DC58" w14:textId="77777777" w:rsidR="00B32EF2" w:rsidRDefault="00000000">
                        <w:r>
                          <w:rPr>
                            <w:rFonts w:ascii="Arial" w:eastAsia="Arial" w:hAnsi="Arial" w:cs="Arial"/>
                            <w:sz w:val="18"/>
                          </w:rPr>
                          <w:t xml:space="preserve">Consiglio di presidenza della giustizia tributaria convoca per l’insediamento il </w:t>
                        </w:r>
                      </w:p>
                    </w:txbxContent>
                  </v:textbox>
                </v:rect>
                <v:rect id="Rectangle 21514" o:spid="_x0000_s5890" style="position:absolute;left:12163;top:4467;width:277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PoWxwAAAN4AAAAPAAAAZHJzL2Rvd25yZXYueG1sRI9Pa8JA&#10;FMTvgt9heYI33URqkdRVRJHm0Ev9Az0+ss8kbfbtkl1N7Kd3CwWPw8z8hlmue9OIG7W+tqwgnSYg&#10;iAuray4VnI77yQKED8gaG8uk4E4e1qvhYImZth1/0u0QShEh7DNUUIXgMil9UZFBP7WOOHoX2xoM&#10;Ubal1C12EW4aOUuSV2mw5rhQoaNtRcXP4WoUfO3Y5ftOFpffrfv4zhfN+/V0Vmo86jdvIAL14Rn+&#10;b+dawSydpy/wdydeAbl6AAAA//8DAFBLAQItABQABgAIAAAAIQDb4fbL7gAAAIUBAAATAAAAAAAA&#10;AAAAAAAAAAAAAABbQ29udGVudF9UeXBlc10ueG1sUEsBAi0AFAAGAAgAAAAhAFr0LFu/AAAAFQEA&#10;AAsAAAAAAAAAAAAAAAAAHwEAAF9yZWxzLy5yZWxzUEsBAi0AFAAGAAgAAAAhACjs+hbHAAAA3gAA&#10;AA8AAAAAAAAAAAAAAAAABwIAAGRycy9kb3ducmV2LnhtbFBLBQYAAAAAAwADALcAAAD7AgAAAAA=&#10;" filled="f" stroked="f">
                  <v:textbox inset="0,0,0,0">
                    <w:txbxContent>
                      <w:p w14:paraId="7040870E" w14:textId="77777777" w:rsidR="00B32EF2" w:rsidRDefault="00000000">
                        <w:r>
                          <w:rPr>
                            <w:rFonts w:ascii="Arial" w:eastAsia="Arial" w:hAnsi="Arial" w:cs="Arial"/>
                            <w:sz w:val="18"/>
                          </w:rPr>
                          <w:t>Consiglio nella sua nuova composizione.</w:t>
                        </w:r>
                      </w:p>
                    </w:txbxContent>
                  </v:textbox>
                </v:rect>
                <w10:anchorlock/>
              </v:group>
            </w:pict>
          </mc:Fallback>
        </mc:AlternateContent>
      </w:r>
    </w:p>
    <w:p w14:paraId="71E7022A" w14:textId="77777777" w:rsidR="00B32EF2" w:rsidRDefault="00000000">
      <w:pPr>
        <w:spacing w:after="259"/>
        <w:ind w:left="-1440" w:right="7064"/>
      </w:pPr>
      <w:r>
        <w:rPr>
          <w:noProof/>
        </w:rPr>
        <w:lastRenderedPageBreak/>
        <mc:AlternateContent>
          <mc:Choice Requires="wpg">
            <w:drawing>
              <wp:anchor distT="0" distB="0" distL="114300" distR="114300" simplePos="0" relativeHeight="251671552" behindDoc="0" locked="0" layoutInCell="1" allowOverlap="1" wp14:anchorId="08C33828" wp14:editId="444E0895">
                <wp:simplePos x="0" y="0"/>
                <wp:positionH relativeFrom="page">
                  <wp:posOffset>2632944</wp:posOffset>
                </wp:positionH>
                <wp:positionV relativeFrom="page">
                  <wp:posOffset>397149</wp:posOffset>
                </wp:positionV>
                <wp:extent cx="134112" cy="188456"/>
                <wp:effectExtent l="0" t="0" r="0" b="0"/>
                <wp:wrapTopAndBottom/>
                <wp:docPr id="202127" name="Group 202127"/>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21603" name="Rectangle 21603"/>
                        <wps:cNvSpPr/>
                        <wps:spPr>
                          <a:xfrm rot="-10799999">
                            <a:off x="-44256" y="-62190"/>
                            <a:ext cx="178369" cy="250646"/>
                          </a:xfrm>
                          <a:prstGeom prst="rect">
                            <a:avLst/>
                          </a:prstGeom>
                          <a:ln>
                            <a:noFill/>
                          </a:ln>
                        </wps:spPr>
                        <wps:txbx>
                          <w:txbxContent>
                            <w:p w14:paraId="2CC17B14" w14:textId="77777777" w:rsidR="00B32EF2" w:rsidRDefault="00000000">
                              <w:r>
                                <w:rPr>
                                  <w:rFonts w:ascii="Times New Roman" w:eastAsia="Times New Roman" w:hAnsi="Times New Roman" w:cs="Times New Roman"/>
                                </w:rPr>
                                <w:t>32</w:t>
                              </w:r>
                            </w:p>
                          </w:txbxContent>
                        </wps:txbx>
                        <wps:bodyPr horzOverflow="overflow" vert="horz" lIns="0" tIns="0" rIns="0" bIns="0" rtlCol="0">
                          <a:noAutofit/>
                        </wps:bodyPr>
                      </wps:wsp>
                    </wpg:wgp>
                  </a:graphicData>
                </a:graphic>
              </wp:anchor>
            </w:drawing>
          </mc:Choice>
          <mc:Fallback>
            <w:pict>
              <v:group w14:anchorId="08C33828" id="Group 202127" o:spid="_x0000_s5891" style="position:absolute;left:0;text-align:left;margin-left:207.3pt;margin-top:31.25pt;width:10.55pt;height:14.85pt;z-index:251671552;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hmGwIAAIEEAAAOAAAAZHJzL2Uyb0RvYy54bWyklFtv2yAUx98n7Tsg3hNf4riJFaea1jWa&#10;NK1Vu34AgvFFwoCAxM4+/Q74kq2V9tD6AR8O+PA/P87x7rZvOTozbRopchwtQ4yYoLJoRJXjl1/3&#10;iw1GxhJREC4Fy/GFGXy7//xp16mMxbKWvGAaQRBhsk7luLZWZUFgaM1aYpZSMQGLpdQtsTDVVVBo&#10;0kH0lgdxGKZBJ3WhtKTMGPDeDYt47+OXJaP2oSwNs4jnGLRZP2o/Ht0Y7HckqzRRdUNHGeQdKlrS&#10;CDh0DnVHLEEn3bwJ1TZUSyNLu6SyDWRZNpT5HCCbKHyVzUHLk/K5VFlXqRkToH3F6d1h6c/zQatn&#10;9aiBRKcqYOFnLpe+1K17g0rUe2SXGRnrLaLgjFZJFMUYUViKNptknQ5IaQ3c33xF62///S6YDg3+&#10;kdIpKA5zzd98LP/nmijmsZoM8n/UqClyHEdpuMJIkBbK9AkKh4iKMzS4PRy/e0ZlMgPUJk5IS6it&#10;RRTebN3ja2HktkiSGLAgILRI42g7Ft1M8GazSrcDwXgdpoknOJMgmdLGHphskTNyrEGaD0/OP4wF&#10;YbB12uLUcOFGIe8bzodV5wGgk2Bn2f7Y+6yTdB27G3POoywuAKOW+vcDtHTJZZdjOVrYdTkc71Yx&#10;4t8FXIJrqMnQk3GcDG35V+nbbhD05WRl2XjF19NGZXC73vJ17lMae9I10t9zv+v659j/AQAA//8D&#10;AFBLAwQUAAYACAAAACEA9+BjMOAAAAAJAQAADwAAAGRycy9kb3ducmV2LnhtbEyPQU+DQBCF7yb+&#10;h82YeLMLFFCRoWka9dQ0sTUx3qYwBVJ2l7BboP/e9aTHyfvy3jf5aladGHmwrdEI4SIAwbo0Vatr&#10;hM/D28MTCOtIV9QZzQhXtrAqbm9yyioz6Q8e964WvkTbjBAa5/pMSls2rMguTM/aZyczKHL+HGpZ&#10;DTT5ctXJKAhSqajVfqGhnjcNl+f9RSG8TzStl+HruD2fNtfvQ7L72oaMeH83r19AOJ7dHwy/+l4d&#10;Cu90NBddWdEhxGGcehQhjRIQHoiXySOII8JzFIEscvn/g+IHAAD//wMAUEsBAi0AFAAGAAgAAAAh&#10;ALaDOJL+AAAA4QEAABMAAAAAAAAAAAAAAAAAAAAAAFtDb250ZW50X1R5cGVzXS54bWxQSwECLQAU&#10;AAYACAAAACEAOP0h/9YAAACUAQAACwAAAAAAAAAAAAAAAAAvAQAAX3JlbHMvLnJlbHNQSwECLQAU&#10;AAYACAAAACEA1FUYZhsCAACBBAAADgAAAAAAAAAAAAAAAAAuAgAAZHJzL2Uyb0RvYy54bWxQSwEC&#10;LQAUAAYACAAAACEA9+BjMOAAAAAJAQAADwAAAAAAAAAAAAAAAAB1BAAAZHJzL2Rvd25yZXYueG1s&#10;UEsFBgAAAAAEAAQA8wAAAIIFAAAAAA==&#10;">
                <v:rect id="Rectangle 21603" o:spid="_x0000_s5892"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DxQAAAN4AAAAPAAAAZHJzL2Rvd25yZXYueG1sRI9Bi8Iw&#10;FITvC/6H8ARva6oLItUoosj2sBddBY+P5tlWm5fQRFv31xtB2OMwM98w82VnanGnxleWFYyGCQji&#10;3OqKCwWH3+3nFIQPyBpry6TgQR6Wi97HHFNtW97RfR8KESHsU1RQhuBSKX1ekkE/tI44emfbGAxR&#10;NoXUDbYRbmo5TpKJNFhxXCjR0bqk/Lq/GQWnDbts28r8/Ld2P5dsWn/fDkelBv1uNQMRqAv/4Xc7&#10;0wrGo0nyBa878QrIxRMAAP//AwBQSwECLQAUAAYACAAAACEA2+H2y+4AAACFAQAAEwAAAAAAAAAA&#10;AAAAAAAAAAAAW0NvbnRlbnRfVHlwZXNdLnhtbFBLAQItABQABgAIAAAAIQBa9CxbvwAAABUBAAAL&#10;AAAAAAAAAAAAAAAAAB8BAABfcmVscy8ucmVsc1BLAQItABQABgAIAAAAIQD5+ZXDxQAAAN4AAAAP&#10;AAAAAAAAAAAAAAAAAAcCAABkcnMvZG93bnJldi54bWxQSwUGAAAAAAMAAwC3AAAA+QIAAAAA&#10;" filled="f" stroked="f">
                  <v:textbox inset="0,0,0,0">
                    <w:txbxContent>
                      <w:p w14:paraId="2CC17B14" w14:textId="77777777" w:rsidR="00B32EF2" w:rsidRDefault="00000000">
                        <w:r>
                          <w:rPr>
                            <w:rFonts w:ascii="Times New Roman" w:eastAsia="Times New Roman" w:hAnsi="Times New Roman" w:cs="Times New Roman"/>
                          </w:rPr>
                          <w:t>32</w:t>
                        </w:r>
                      </w:p>
                    </w:txbxContent>
                  </v:textbox>
                </v:rect>
                <w10:wrap type="topAndBottom" anchorx="page" anchory="page"/>
              </v:group>
            </w:pict>
          </mc:Fallback>
        </mc:AlternateContent>
      </w:r>
    </w:p>
    <w:p w14:paraId="464B0875" w14:textId="77777777" w:rsidR="00B32EF2" w:rsidRDefault="00000000">
      <w:pPr>
        <w:spacing w:after="0"/>
        <w:ind w:left="-356" w:right="-306"/>
      </w:pPr>
      <w:r>
        <w:rPr>
          <w:noProof/>
        </w:rPr>
        <w:lastRenderedPageBreak/>
        <mc:AlternateContent>
          <mc:Choice Requires="wpg">
            <w:drawing>
              <wp:inline distT="0" distB="0" distL="0" distR="0" wp14:anchorId="00AC22DC" wp14:editId="66C20685">
                <wp:extent cx="3991813" cy="5780602"/>
                <wp:effectExtent l="0" t="0" r="0" b="0"/>
                <wp:docPr id="202128" name="Group 202128"/>
                <wp:cNvGraphicFramePr/>
                <a:graphic xmlns:a="http://schemas.openxmlformats.org/drawingml/2006/main">
                  <a:graphicData uri="http://schemas.microsoft.com/office/word/2010/wordprocessingGroup">
                    <wpg:wgp>
                      <wpg:cNvGrpSpPr/>
                      <wpg:grpSpPr>
                        <a:xfrm>
                          <a:off x="0" y="0"/>
                          <a:ext cx="3991813" cy="5780602"/>
                          <a:chOff x="0" y="0"/>
                          <a:chExt cx="3991813" cy="5780602"/>
                        </a:xfrm>
                      </wpg:grpSpPr>
                      <wps:wsp>
                        <wps:cNvPr id="21604" name="Rectangle 21604"/>
                        <wps:cNvSpPr/>
                        <wps:spPr>
                          <a:xfrm rot="-10799999">
                            <a:off x="1507987" y="5637713"/>
                            <a:ext cx="807388" cy="142889"/>
                          </a:xfrm>
                          <a:prstGeom prst="rect">
                            <a:avLst/>
                          </a:prstGeom>
                          <a:ln>
                            <a:noFill/>
                          </a:ln>
                        </wps:spPr>
                        <wps:txbx>
                          <w:txbxContent>
                            <w:p w14:paraId="0A14CD3E" w14:textId="77777777" w:rsidR="00B32EF2" w:rsidRDefault="00000000">
                              <w:r>
                                <w:rPr>
                                  <w:rFonts w:ascii="Arial" w:eastAsia="Arial" w:hAnsi="Arial" w:cs="Arial"/>
                                  <w:b/>
                                  <w:sz w:val="18"/>
                                </w:rPr>
                                <w:t>Articolo 27</w:t>
                              </w:r>
                            </w:p>
                          </w:txbxContent>
                        </wps:txbx>
                        <wps:bodyPr horzOverflow="overflow" vert="horz" lIns="0" tIns="0" rIns="0" bIns="0" rtlCol="0">
                          <a:noAutofit/>
                        </wps:bodyPr>
                      </wps:wsp>
                      <wps:wsp>
                        <wps:cNvPr id="202076" name="Rectangle 202076"/>
                        <wps:cNvSpPr/>
                        <wps:spPr>
                          <a:xfrm rot="-10799999">
                            <a:off x="-258797" y="5514383"/>
                            <a:ext cx="1940173" cy="142890"/>
                          </a:xfrm>
                          <a:prstGeom prst="rect">
                            <a:avLst/>
                          </a:prstGeom>
                          <a:ln>
                            <a:noFill/>
                          </a:ln>
                        </wps:spPr>
                        <wps:txbx>
                          <w:txbxContent>
                            <w:p w14:paraId="70EA2FF5"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077" name="Rectangle 202077"/>
                        <wps:cNvSpPr/>
                        <wps:spPr>
                          <a:xfrm rot="-10799999">
                            <a:off x="1164821" y="5514383"/>
                            <a:ext cx="1940173" cy="142890"/>
                          </a:xfrm>
                          <a:prstGeom prst="rect">
                            <a:avLst/>
                          </a:prstGeom>
                          <a:ln>
                            <a:noFill/>
                          </a:ln>
                        </wps:spPr>
                        <wps:txbx>
                          <w:txbxContent>
                            <w:p w14:paraId="7BAF1BB0" w14:textId="77777777" w:rsidR="00B32EF2" w:rsidRDefault="00000000">
                              <w:r>
                                <w:rPr>
                                  <w:rFonts w:ascii="Arial" w:eastAsia="Arial" w:hAnsi="Arial" w:cs="Arial"/>
                                  <w:i/>
                                  <w:sz w:val="18"/>
                                </w:rPr>
                                <w:t xml:space="preserve">articolo 21 D.lgs. n. </w:t>
                              </w:r>
                            </w:p>
                          </w:txbxContent>
                        </wps:txbx>
                        <wps:bodyPr horzOverflow="overflow" vert="horz" lIns="0" tIns="0" rIns="0" bIns="0" rtlCol="0">
                          <a:noAutofit/>
                        </wps:bodyPr>
                      </wps:wsp>
                      <wps:wsp>
                        <wps:cNvPr id="202075" name="Rectangle 202075"/>
                        <wps:cNvSpPr/>
                        <wps:spPr>
                          <a:xfrm rot="-10799999">
                            <a:off x="2221798" y="5514383"/>
                            <a:ext cx="1940173" cy="142890"/>
                          </a:xfrm>
                          <a:prstGeom prst="rect">
                            <a:avLst/>
                          </a:prstGeom>
                          <a:ln>
                            <a:noFill/>
                          </a:ln>
                        </wps:spPr>
                        <wps:txbx>
                          <w:txbxContent>
                            <w:p w14:paraId="55CC8F4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1606" name="Rectangle 21606"/>
                        <wps:cNvSpPr/>
                        <wps:spPr>
                          <a:xfrm rot="-10799999">
                            <a:off x="295565" y="5391053"/>
                            <a:ext cx="2724698" cy="142889"/>
                          </a:xfrm>
                          <a:prstGeom prst="rect">
                            <a:avLst/>
                          </a:prstGeom>
                          <a:ln>
                            <a:noFill/>
                          </a:ln>
                        </wps:spPr>
                        <wps:txbx>
                          <w:txbxContent>
                            <w:p w14:paraId="7FF2907B" w14:textId="77777777" w:rsidR="00B32EF2" w:rsidRDefault="00000000">
                              <w:r>
                                <w:rPr>
                                  <w:rFonts w:ascii="Arial" w:eastAsia="Arial" w:hAnsi="Arial" w:cs="Arial"/>
                                  <w:b/>
                                  <w:sz w:val="18"/>
                                </w:rPr>
                                <w:t xml:space="preserve">Elezione del Consiglio di presidenza </w:t>
                              </w:r>
                            </w:p>
                          </w:txbxContent>
                        </wps:txbx>
                        <wps:bodyPr horzOverflow="overflow" vert="horz" lIns="0" tIns="0" rIns="0" bIns="0" rtlCol="0">
                          <a:noAutofit/>
                        </wps:bodyPr>
                      </wps:wsp>
                      <wps:wsp>
                        <wps:cNvPr id="202073" name="Rectangle 202073"/>
                        <wps:cNvSpPr/>
                        <wps:spPr>
                          <a:xfrm rot="-10799999">
                            <a:off x="-1376360" y="5267724"/>
                            <a:ext cx="5308990" cy="142889"/>
                          </a:xfrm>
                          <a:prstGeom prst="rect">
                            <a:avLst/>
                          </a:prstGeom>
                          <a:ln>
                            <a:noFill/>
                          </a:ln>
                        </wps:spPr>
                        <wps:txbx>
                          <w:txbxContent>
                            <w:p w14:paraId="1ABC301D" w14:textId="77777777" w:rsidR="00B32EF2" w:rsidRDefault="00000000">
                              <w:r>
                                <w:rPr>
                                  <w:rFonts w:ascii="Arial" w:eastAsia="Arial" w:hAnsi="Arial" w:cs="Arial"/>
                                  <w:sz w:val="18"/>
                                </w:rPr>
                                <w:t xml:space="preserve">. Le elezioni del Consiglio di presidenza della giustizia tributaria hanno luogo </w:t>
                              </w:r>
                            </w:p>
                          </w:txbxContent>
                        </wps:txbx>
                        <wps:bodyPr horzOverflow="overflow" vert="horz" lIns="0" tIns="0" rIns="0" bIns="0" rtlCol="0">
                          <a:noAutofit/>
                        </wps:bodyPr>
                      </wps:wsp>
                      <wps:wsp>
                        <wps:cNvPr id="202072" name="Rectangle 202072"/>
                        <wps:cNvSpPr/>
                        <wps:spPr>
                          <a:xfrm rot="-10799999">
                            <a:off x="2610995" y="5267724"/>
                            <a:ext cx="5308990" cy="142889"/>
                          </a:xfrm>
                          <a:prstGeom prst="rect">
                            <a:avLst/>
                          </a:prstGeom>
                          <a:ln>
                            <a:noFill/>
                          </a:ln>
                        </wps:spPr>
                        <wps:txbx>
                          <w:txbxContent>
                            <w:p w14:paraId="353570E4"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1608" name="Rectangle 21608"/>
                        <wps:cNvSpPr/>
                        <wps:spPr>
                          <a:xfrm rot="-10799999">
                            <a:off x="-1317160" y="5144394"/>
                            <a:ext cx="5308975" cy="142889"/>
                          </a:xfrm>
                          <a:prstGeom prst="rect">
                            <a:avLst/>
                          </a:prstGeom>
                          <a:ln>
                            <a:noFill/>
                          </a:ln>
                        </wps:spPr>
                        <wps:txbx>
                          <w:txbxContent>
                            <w:p w14:paraId="4104AF75" w14:textId="77777777" w:rsidR="00B32EF2" w:rsidRDefault="00000000">
                              <w:r>
                                <w:rPr>
                                  <w:rFonts w:ascii="Arial" w:eastAsia="Arial" w:hAnsi="Arial" w:cs="Arial"/>
                                  <w:sz w:val="18"/>
                                </w:rPr>
                                <w:t xml:space="preserve">entro quattro mesi dallo scadere del precedente Consiglio. Esse sono indette </w:t>
                              </w:r>
                            </w:p>
                          </w:txbxContent>
                        </wps:txbx>
                        <wps:bodyPr horzOverflow="overflow" vert="horz" lIns="0" tIns="0" rIns="0" bIns="0" rtlCol="0">
                          <a:noAutofit/>
                        </wps:bodyPr>
                      </wps:wsp>
                      <wps:wsp>
                        <wps:cNvPr id="21609" name="Rectangle 21609"/>
                        <wps:cNvSpPr/>
                        <wps:spPr>
                          <a:xfrm rot="-10799999">
                            <a:off x="-1317433" y="5021064"/>
                            <a:ext cx="5309933" cy="142889"/>
                          </a:xfrm>
                          <a:prstGeom prst="rect">
                            <a:avLst/>
                          </a:prstGeom>
                          <a:ln>
                            <a:noFill/>
                          </a:ln>
                        </wps:spPr>
                        <wps:txbx>
                          <w:txbxContent>
                            <w:p w14:paraId="08FAB4E1" w14:textId="77777777" w:rsidR="00B32EF2" w:rsidRDefault="00000000">
                              <w:r>
                                <w:rPr>
                                  <w:rFonts w:ascii="Arial" w:eastAsia="Arial" w:hAnsi="Arial" w:cs="Arial"/>
                                  <w:sz w:val="18"/>
                                </w:rPr>
                                <w:t xml:space="preserve">con provvedimento del Presidente del Consiglio di presidenza, da pubblicare </w:t>
                              </w:r>
                            </w:p>
                          </w:txbxContent>
                        </wps:txbx>
                        <wps:bodyPr horzOverflow="overflow" vert="horz" lIns="0" tIns="0" rIns="0" bIns="0" rtlCol="0">
                          <a:noAutofit/>
                        </wps:bodyPr>
                      </wps:wsp>
                      <wps:wsp>
                        <wps:cNvPr id="21610" name="Rectangle 21610"/>
                        <wps:cNvSpPr/>
                        <wps:spPr>
                          <a:xfrm rot="-10799999">
                            <a:off x="-1220498" y="4897735"/>
                            <a:ext cx="5212884" cy="142889"/>
                          </a:xfrm>
                          <a:prstGeom prst="rect">
                            <a:avLst/>
                          </a:prstGeom>
                          <a:ln>
                            <a:noFill/>
                          </a:ln>
                        </wps:spPr>
                        <wps:txbx>
                          <w:txbxContent>
                            <w:p w14:paraId="4F587999" w14:textId="77777777" w:rsidR="00B32EF2" w:rsidRDefault="00000000">
                              <w:r>
                                <w:rPr>
                                  <w:rFonts w:ascii="Arial" w:eastAsia="Arial" w:hAnsi="Arial" w:cs="Arial"/>
                                  <w:sz w:val="18"/>
                                </w:rPr>
                                <w:t>nella Gazzetta Ufficiale almeno quarantacinque giorni prima della data stabili</w:t>
                              </w:r>
                            </w:p>
                          </w:txbxContent>
                        </wps:txbx>
                        <wps:bodyPr horzOverflow="overflow" vert="horz" lIns="0" tIns="0" rIns="0" bIns="0" rtlCol="0">
                          <a:noAutofit/>
                        </wps:bodyPr>
                      </wps:wsp>
                      <wps:wsp>
                        <wps:cNvPr id="21611" name="Rectangle 21611"/>
                        <wps:cNvSpPr/>
                        <wps:spPr>
                          <a:xfrm rot="-10799999">
                            <a:off x="19215" y="4897734"/>
                            <a:ext cx="50622" cy="142889"/>
                          </a:xfrm>
                          <a:prstGeom prst="rect">
                            <a:avLst/>
                          </a:prstGeom>
                          <a:ln>
                            <a:noFill/>
                          </a:ln>
                        </wps:spPr>
                        <wps:txbx>
                          <w:txbxContent>
                            <w:p w14:paraId="2E242DD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612" name="Rectangle 21612"/>
                        <wps:cNvSpPr/>
                        <wps:spPr>
                          <a:xfrm rot="-10799999">
                            <a:off x="-1244283" y="4774405"/>
                            <a:ext cx="5236097" cy="142889"/>
                          </a:xfrm>
                          <a:prstGeom prst="rect">
                            <a:avLst/>
                          </a:prstGeom>
                          <a:ln>
                            <a:noFill/>
                          </a:ln>
                        </wps:spPr>
                        <wps:txbx>
                          <w:txbxContent>
                            <w:p w14:paraId="57257A5F" w14:textId="77777777" w:rsidR="00B32EF2" w:rsidRDefault="00000000">
                              <w:r>
                                <w:rPr>
                                  <w:rFonts w:ascii="Arial" w:eastAsia="Arial" w:hAnsi="Arial" w:cs="Arial"/>
                                  <w:sz w:val="18"/>
                                </w:rPr>
                                <w:t>ta per le elezioni. Esse si svolgono in un giorno festivo dalle ore 9 alle ore 21.</w:t>
                              </w:r>
                            </w:p>
                          </w:txbxContent>
                        </wps:txbx>
                        <wps:bodyPr horzOverflow="overflow" vert="horz" lIns="0" tIns="0" rIns="0" bIns="0" rtlCol="0">
                          <a:noAutofit/>
                        </wps:bodyPr>
                      </wps:wsp>
                      <wps:wsp>
                        <wps:cNvPr id="202070" name="Rectangle 202070"/>
                        <wps:cNvSpPr/>
                        <wps:spPr>
                          <a:xfrm rot="-10799999">
                            <a:off x="-1284106" y="4651075"/>
                            <a:ext cx="5211364" cy="142889"/>
                          </a:xfrm>
                          <a:prstGeom prst="rect">
                            <a:avLst/>
                          </a:prstGeom>
                          <a:ln>
                            <a:noFill/>
                          </a:ln>
                        </wps:spPr>
                        <wps:txbx>
                          <w:txbxContent>
                            <w:p w14:paraId="1A296E8A" w14:textId="77777777" w:rsidR="00B32EF2" w:rsidRDefault="00000000">
                              <w:r>
                                <w:rPr>
                                  <w:rFonts w:ascii="Arial" w:eastAsia="Arial" w:hAnsi="Arial" w:cs="Arial"/>
                                  <w:sz w:val="18"/>
                                </w:rPr>
                                <w:t>. Il Presidente del Consiglio di presidenza nomina, con propria delibera, l’uffi</w:t>
                              </w:r>
                            </w:p>
                          </w:txbxContent>
                        </wps:txbx>
                        <wps:bodyPr horzOverflow="overflow" vert="horz" lIns="0" tIns="0" rIns="0" bIns="0" rtlCol="0">
                          <a:noAutofit/>
                        </wps:bodyPr>
                      </wps:wsp>
                      <wps:wsp>
                        <wps:cNvPr id="202069" name="Rectangle 202069"/>
                        <wps:cNvSpPr/>
                        <wps:spPr>
                          <a:xfrm rot="-10799999">
                            <a:off x="2635218" y="4651075"/>
                            <a:ext cx="5211364" cy="142889"/>
                          </a:xfrm>
                          <a:prstGeom prst="rect">
                            <a:avLst/>
                          </a:prstGeom>
                          <a:ln>
                            <a:noFill/>
                          </a:ln>
                        </wps:spPr>
                        <wps:txbx>
                          <w:txbxContent>
                            <w:p w14:paraId="1CD813D0"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1614" name="Rectangle 21614"/>
                        <wps:cNvSpPr/>
                        <wps:spPr>
                          <a:xfrm rot="-10799999">
                            <a:off x="19215" y="4651075"/>
                            <a:ext cx="50622" cy="142889"/>
                          </a:xfrm>
                          <a:prstGeom prst="rect">
                            <a:avLst/>
                          </a:prstGeom>
                          <a:ln>
                            <a:noFill/>
                          </a:ln>
                        </wps:spPr>
                        <wps:txbx>
                          <w:txbxContent>
                            <w:p w14:paraId="57D7278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615" name="Rectangle 21615"/>
                        <wps:cNvSpPr/>
                        <wps:spPr>
                          <a:xfrm rot="-10799999">
                            <a:off x="-1317267" y="4527746"/>
                            <a:ext cx="5309082" cy="142889"/>
                          </a:xfrm>
                          <a:prstGeom prst="rect">
                            <a:avLst/>
                          </a:prstGeom>
                          <a:ln>
                            <a:noFill/>
                          </a:ln>
                        </wps:spPr>
                        <wps:txbx>
                          <w:txbxContent>
                            <w:p w14:paraId="2C6C8F1B" w14:textId="77777777" w:rsidR="00B32EF2" w:rsidRDefault="00000000">
                              <w:r>
                                <w:rPr>
                                  <w:rFonts w:ascii="Arial" w:eastAsia="Arial" w:hAnsi="Arial" w:cs="Arial"/>
                                  <w:sz w:val="18"/>
                                </w:rPr>
                                <w:t xml:space="preserve">cio centrale elettorale, che si insedia presso lo stesso Consiglio di presidenza, </w:t>
                              </w:r>
                            </w:p>
                          </w:txbxContent>
                        </wps:txbx>
                        <wps:bodyPr horzOverflow="overflow" vert="horz" lIns="0" tIns="0" rIns="0" bIns="0" rtlCol="0">
                          <a:noAutofit/>
                        </wps:bodyPr>
                      </wps:wsp>
                      <wps:wsp>
                        <wps:cNvPr id="21616" name="Rectangle 21616"/>
                        <wps:cNvSpPr/>
                        <wps:spPr>
                          <a:xfrm rot="-10799999">
                            <a:off x="-1220568" y="4404416"/>
                            <a:ext cx="5212382" cy="142889"/>
                          </a:xfrm>
                          <a:prstGeom prst="rect">
                            <a:avLst/>
                          </a:prstGeom>
                          <a:ln>
                            <a:noFill/>
                          </a:ln>
                        </wps:spPr>
                        <wps:txbx>
                          <w:txbxContent>
                            <w:p w14:paraId="289ABB0D" w14:textId="77777777" w:rsidR="00B32EF2" w:rsidRDefault="00000000">
                              <w:r>
                                <w:rPr>
                                  <w:rFonts w:ascii="Arial" w:eastAsia="Arial" w:hAnsi="Arial" w:cs="Arial"/>
                                  <w:sz w:val="18"/>
                                </w:rPr>
                                <w:t>ed è costituito da un presidente di corte di giustizia tributaria di primo e secon</w:t>
                              </w:r>
                            </w:p>
                          </w:txbxContent>
                        </wps:txbx>
                        <wps:bodyPr horzOverflow="overflow" vert="horz" lIns="0" tIns="0" rIns="0" bIns="0" rtlCol="0">
                          <a:noAutofit/>
                        </wps:bodyPr>
                      </wps:wsp>
                      <wps:wsp>
                        <wps:cNvPr id="21617" name="Rectangle 21617"/>
                        <wps:cNvSpPr/>
                        <wps:spPr>
                          <a:xfrm rot="-10799999">
                            <a:off x="19215" y="4404416"/>
                            <a:ext cx="50622" cy="142889"/>
                          </a:xfrm>
                          <a:prstGeom prst="rect">
                            <a:avLst/>
                          </a:prstGeom>
                          <a:ln>
                            <a:noFill/>
                          </a:ln>
                        </wps:spPr>
                        <wps:txbx>
                          <w:txbxContent>
                            <w:p w14:paraId="3F8DCC1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618" name="Rectangle 21618"/>
                        <wps:cNvSpPr/>
                        <wps:spPr>
                          <a:xfrm rot="-10799999">
                            <a:off x="-1317160" y="4281086"/>
                            <a:ext cx="5308975" cy="142889"/>
                          </a:xfrm>
                          <a:prstGeom prst="rect">
                            <a:avLst/>
                          </a:prstGeom>
                          <a:ln>
                            <a:noFill/>
                          </a:ln>
                        </wps:spPr>
                        <wps:txbx>
                          <w:txbxContent>
                            <w:p w14:paraId="1289EF0A" w14:textId="77777777" w:rsidR="00B32EF2" w:rsidRDefault="00000000">
                              <w:r>
                                <w:rPr>
                                  <w:rFonts w:ascii="Arial" w:eastAsia="Arial" w:hAnsi="Arial" w:cs="Arial"/>
                                  <w:sz w:val="18"/>
                                </w:rPr>
                                <w:t xml:space="preserve">do grado, che lo presiede, e da due giudici tributari. Con la stessa delibera </w:t>
                              </w:r>
                            </w:p>
                          </w:txbxContent>
                        </wps:txbx>
                        <wps:bodyPr horzOverflow="overflow" vert="horz" lIns="0" tIns="0" rIns="0" bIns="0" rtlCol="0">
                          <a:noAutofit/>
                        </wps:bodyPr>
                      </wps:wsp>
                      <wps:wsp>
                        <wps:cNvPr id="21619" name="Rectangle 21619"/>
                        <wps:cNvSpPr/>
                        <wps:spPr>
                          <a:xfrm rot="-10799999">
                            <a:off x="-1317236" y="4157756"/>
                            <a:ext cx="5309051" cy="142889"/>
                          </a:xfrm>
                          <a:prstGeom prst="rect">
                            <a:avLst/>
                          </a:prstGeom>
                          <a:ln>
                            <a:noFill/>
                          </a:ln>
                        </wps:spPr>
                        <wps:txbx>
                          <w:txbxContent>
                            <w:p w14:paraId="3E0A032C" w14:textId="77777777" w:rsidR="00B32EF2" w:rsidRDefault="00000000">
                              <w:r>
                                <w:rPr>
                                  <w:rFonts w:ascii="Arial" w:eastAsia="Arial" w:hAnsi="Arial" w:cs="Arial"/>
                                  <w:sz w:val="18"/>
                                </w:rPr>
                                <w:t xml:space="preserve">sono nominati, altresì, i tre giudici supplenti, che sostituiscono i componenti </w:t>
                              </w:r>
                            </w:p>
                          </w:txbxContent>
                        </wps:txbx>
                        <wps:bodyPr horzOverflow="overflow" vert="horz" lIns="0" tIns="0" rIns="0" bIns="0" rtlCol="0">
                          <a:noAutofit/>
                        </wps:bodyPr>
                      </wps:wsp>
                      <wps:wsp>
                        <wps:cNvPr id="21620" name="Rectangle 21620"/>
                        <wps:cNvSpPr/>
                        <wps:spPr>
                          <a:xfrm rot="-10799999">
                            <a:off x="801025" y="4034427"/>
                            <a:ext cx="3190788" cy="142889"/>
                          </a:xfrm>
                          <a:prstGeom prst="rect">
                            <a:avLst/>
                          </a:prstGeom>
                          <a:ln>
                            <a:noFill/>
                          </a:ln>
                        </wps:spPr>
                        <wps:txbx>
                          <w:txbxContent>
                            <w:p w14:paraId="2D493EFA" w14:textId="77777777" w:rsidR="00B32EF2" w:rsidRDefault="00000000">
                              <w:r>
                                <w:rPr>
                                  <w:rFonts w:ascii="Arial" w:eastAsia="Arial" w:hAnsi="Arial" w:cs="Arial"/>
                                  <w:sz w:val="18"/>
                                </w:rPr>
                                <w:t>effettivi in caso di loro assenza o impedimento.</w:t>
                              </w:r>
                            </w:p>
                          </w:txbxContent>
                        </wps:txbx>
                        <wps:bodyPr horzOverflow="overflow" vert="horz" lIns="0" tIns="0" rIns="0" bIns="0" rtlCol="0">
                          <a:noAutofit/>
                        </wps:bodyPr>
                      </wps:wsp>
                      <wps:wsp>
                        <wps:cNvPr id="202004" name="Rectangle 202004"/>
                        <wps:cNvSpPr/>
                        <wps:spPr>
                          <a:xfrm rot="-10799999">
                            <a:off x="2610991" y="3911097"/>
                            <a:ext cx="5309005" cy="142889"/>
                          </a:xfrm>
                          <a:prstGeom prst="rect">
                            <a:avLst/>
                          </a:prstGeom>
                          <a:ln>
                            <a:noFill/>
                          </a:ln>
                        </wps:spPr>
                        <wps:txbx>
                          <w:txbxContent>
                            <w:p w14:paraId="57332776"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2005" name="Rectangle 202005"/>
                        <wps:cNvSpPr/>
                        <wps:spPr>
                          <a:xfrm rot="-10799999">
                            <a:off x="-1381714" y="3911097"/>
                            <a:ext cx="5309005" cy="142889"/>
                          </a:xfrm>
                          <a:prstGeom prst="rect">
                            <a:avLst/>
                          </a:prstGeom>
                          <a:ln>
                            <a:noFill/>
                          </a:ln>
                        </wps:spPr>
                        <wps:txbx>
                          <w:txbxContent>
                            <w:p w14:paraId="5512CE02" w14:textId="77777777" w:rsidR="00B32EF2" w:rsidRDefault="00000000">
                              <w:r>
                                <w:rPr>
                                  <w:rFonts w:ascii="Arial" w:eastAsia="Arial" w:hAnsi="Arial" w:cs="Arial"/>
                                  <w:sz w:val="18"/>
                                </w:rPr>
                                <w:t xml:space="preserve">. Le candidature devono essere presentate all’ufficio centrale elettorale, a </w:t>
                              </w:r>
                            </w:p>
                          </w:txbxContent>
                        </wps:txbx>
                        <wps:bodyPr horzOverflow="overflow" vert="horz" lIns="0" tIns="0" rIns="0" bIns="0" rtlCol="0">
                          <a:noAutofit/>
                        </wps:bodyPr>
                      </wps:wsp>
                      <wps:wsp>
                        <wps:cNvPr id="21622" name="Rectangle 21622"/>
                        <wps:cNvSpPr/>
                        <wps:spPr>
                          <a:xfrm rot="-10799999">
                            <a:off x="-1219169" y="3787767"/>
                            <a:ext cx="5210984" cy="142889"/>
                          </a:xfrm>
                          <a:prstGeom prst="rect">
                            <a:avLst/>
                          </a:prstGeom>
                          <a:ln>
                            <a:noFill/>
                          </a:ln>
                        </wps:spPr>
                        <wps:txbx>
                          <w:txbxContent>
                            <w:p w14:paraId="40FCE8A5" w14:textId="77777777" w:rsidR="00B32EF2" w:rsidRDefault="00000000">
                              <w:r>
                                <w:rPr>
                                  <w:rFonts w:ascii="Arial" w:eastAsia="Arial" w:hAnsi="Arial" w:cs="Arial"/>
                                  <w:sz w:val="18"/>
                                </w:rPr>
                                <w:t>mezzo plico raccomandato, almeno venticinque giorni prima delle elezioni me</w:t>
                              </w:r>
                            </w:p>
                          </w:txbxContent>
                        </wps:txbx>
                        <wps:bodyPr horzOverflow="overflow" vert="horz" lIns="0" tIns="0" rIns="0" bIns="0" rtlCol="0">
                          <a:noAutofit/>
                        </wps:bodyPr>
                      </wps:wsp>
                      <wps:wsp>
                        <wps:cNvPr id="21623" name="Rectangle 21623"/>
                        <wps:cNvSpPr/>
                        <wps:spPr>
                          <a:xfrm rot="-10799999">
                            <a:off x="19215" y="3787767"/>
                            <a:ext cx="50622" cy="142889"/>
                          </a:xfrm>
                          <a:prstGeom prst="rect">
                            <a:avLst/>
                          </a:prstGeom>
                          <a:ln>
                            <a:noFill/>
                          </a:ln>
                        </wps:spPr>
                        <wps:txbx>
                          <w:txbxContent>
                            <w:p w14:paraId="5EBFF8E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624" name="Rectangle 21624"/>
                        <wps:cNvSpPr/>
                        <wps:spPr>
                          <a:xfrm rot="-10799999">
                            <a:off x="-1220611" y="3664438"/>
                            <a:ext cx="5213112" cy="142889"/>
                          </a:xfrm>
                          <a:prstGeom prst="rect">
                            <a:avLst/>
                          </a:prstGeom>
                          <a:ln>
                            <a:noFill/>
                          </a:ln>
                        </wps:spPr>
                        <wps:txbx>
                          <w:txbxContent>
                            <w:p w14:paraId="124A5509" w14:textId="77777777" w:rsidR="00B32EF2" w:rsidRDefault="00000000">
                              <w:r>
                                <w:rPr>
                                  <w:rFonts w:ascii="Arial" w:eastAsia="Arial" w:hAnsi="Arial" w:cs="Arial"/>
                                  <w:sz w:val="18"/>
                                </w:rPr>
                                <w:t>diante compilazione della apposita scheda di presentazione. Ciascun candi</w:t>
                              </w:r>
                            </w:p>
                          </w:txbxContent>
                        </wps:txbx>
                        <wps:bodyPr horzOverflow="overflow" vert="horz" lIns="0" tIns="0" rIns="0" bIns="0" rtlCol="0">
                          <a:noAutofit/>
                        </wps:bodyPr>
                      </wps:wsp>
                      <wps:wsp>
                        <wps:cNvPr id="21625" name="Rectangle 21625"/>
                        <wps:cNvSpPr/>
                        <wps:spPr>
                          <a:xfrm rot="-10799999">
                            <a:off x="19215" y="3664437"/>
                            <a:ext cx="50622" cy="142889"/>
                          </a:xfrm>
                          <a:prstGeom prst="rect">
                            <a:avLst/>
                          </a:prstGeom>
                          <a:ln>
                            <a:noFill/>
                          </a:ln>
                        </wps:spPr>
                        <wps:txbx>
                          <w:txbxContent>
                            <w:p w14:paraId="2D5787F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626" name="Rectangle 21626"/>
                        <wps:cNvSpPr/>
                        <wps:spPr>
                          <a:xfrm rot="-10799999">
                            <a:off x="-1317145" y="3541108"/>
                            <a:ext cx="5308960" cy="142889"/>
                          </a:xfrm>
                          <a:prstGeom prst="rect">
                            <a:avLst/>
                          </a:prstGeom>
                          <a:ln>
                            <a:noFill/>
                          </a:ln>
                        </wps:spPr>
                        <wps:txbx>
                          <w:txbxContent>
                            <w:p w14:paraId="787D1B92" w14:textId="77777777" w:rsidR="00B32EF2" w:rsidRDefault="00000000">
                              <w:r>
                                <w:rPr>
                                  <w:rFonts w:ascii="Arial" w:eastAsia="Arial" w:hAnsi="Arial" w:cs="Arial"/>
                                  <w:sz w:val="18"/>
                                </w:rPr>
                                <w:t xml:space="preserve">dato è presentato da non meno di venti e da non oltre trenta giudici tributari. </w:t>
                              </w:r>
                            </w:p>
                          </w:txbxContent>
                        </wps:txbx>
                        <wps:bodyPr horzOverflow="overflow" vert="horz" lIns="0" tIns="0" rIns="0" bIns="0" rtlCol="0">
                          <a:noAutofit/>
                        </wps:bodyPr>
                      </wps:wsp>
                      <wps:wsp>
                        <wps:cNvPr id="21627" name="Rectangle 21627"/>
                        <wps:cNvSpPr/>
                        <wps:spPr>
                          <a:xfrm rot="-10799999">
                            <a:off x="-1317115" y="3417778"/>
                            <a:ext cx="5308929" cy="142889"/>
                          </a:xfrm>
                          <a:prstGeom prst="rect">
                            <a:avLst/>
                          </a:prstGeom>
                          <a:ln>
                            <a:noFill/>
                          </a:ln>
                        </wps:spPr>
                        <wps:txbx>
                          <w:txbxContent>
                            <w:p w14:paraId="41428168" w14:textId="77777777" w:rsidR="00B32EF2" w:rsidRDefault="00000000">
                              <w:r>
                                <w:rPr>
                                  <w:rFonts w:ascii="Arial" w:eastAsia="Arial" w:hAnsi="Arial" w:cs="Arial"/>
                                  <w:sz w:val="18"/>
                                </w:rPr>
                                <w:t xml:space="preserve">Le firme di presentazione possono essere apposte e depositate anche su più </w:t>
                              </w:r>
                            </w:p>
                          </w:txbxContent>
                        </wps:txbx>
                        <wps:bodyPr horzOverflow="overflow" vert="horz" lIns="0" tIns="0" rIns="0" bIns="0" rtlCol="0">
                          <a:noAutofit/>
                        </wps:bodyPr>
                      </wps:wsp>
                      <wps:wsp>
                        <wps:cNvPr id="21628" name="Rectangle 21628"/>
                        <wps:cNvSpPr/>
                        <wps:spPr>
                          <a:xfrm rot="-10799999">
                            <a:off x="-1317221" y="3294449"/>
                            <a:ext cx="5309036" cy="142889"/>
                          </a:xfrm>
                          <a:prstGeom prst="rect">
                            <a:avLst/>
                          </a:prstGeom>
                          <a:ln>
                            <a:noFill/>
                          </a:ln>
                        </wps:spPr>
                        <wps:txbx>
                          <w:txbxContent>
                            <w:p w14:paraId="4341B79B" w14:textId="77777777" w:rsidR="00B32EF2" w:rsidRDefault="00000000">
                              <w:r>
                                <w:rPr>
                                  <w:rFonts w:ascii="Arial" w:eastAsia="Arial" w:hAnsi="Arial" w:cs="Arial"/>
                                  <w:sz w:val="18"/>
                                </w:rPr>
                                <w:t xml:space="preserve">schede di presentazione, se i candidati raccolgono firme di presentazione in </w:t>
                              </w:r>
                            </w:p>
                          </w:txbxContent>
                        </wps:txbx>
                        <wps:bodyPr horzOverflow="overflow" vert="horz" lIns="0" tIns="0" rIns="0" bIns="0" rtlCol="0">
                          <a:noAutofit/>
                        </wps:bodyPr>
                      </wps:wsp>
                      <wps:wsp>
                        <wps:cNvPr id="21629" name="Rectangle 21629"/>
                        <wps:cNvSpPr/>
                        <wps:spPr>
                          <a:xfrm rot="-10799999">
                            <a:off x="-108610" y="3171119"/>
                            <a:ext cx="4100424" cy="142889"/>
                          </a:xfrm>
                          <a:prstGeom prst="rect">
                            <a:avLst/>
                          </a:prstGeom>
                          <a:ln>
                            <a:noFill/>
                          </a:ln>
                        </wps:spPr>
                        <wps:txbx>
                          <w:txbxContent>
                            <w:p w14:paraId="2CD6C21E" w14:textId="77777777" w:rsidR="00B32EF2" w:rsidRDefault="00000000">
                              <w:r>
                                <w:rPr>
                                  <w:rFonts w:ascii="Arial" w:eastAsia="Arial" w:hAnsi="Arial" w:cs="Arial"/>
                                  <w:sz w:val="18"/>
                                </w:rPr>
                                <w:t>corti di giustizia tributaria diverse da quella di appartenenza.</w:t>
                              </w:r>
                            </w:p>
                          </w:txbxContent>
                        </wps:txbx>
                        <wps:bodyPr horzOverflow="overflow" vert="horz" lIns="0" tIns="0" rIns="0" bIns="0" rtlCol="0">
                          <a:noAutofit/>
                        </wps:bodyPr>
                      </wps:wsp>
                      <wps:wsp>
                        <wps:cNvPr id="202002" name="Rectangle 202002"/>
                        <wps:cNvSpPr/>
                        <wps:spPr>
                          <a:xfrm rot="-10799999">
                            <a:off x="2634867" y="3047789"/>
                            <a:ext cx="5212777" cy="142889"/>
                          </a:xfrm>
                          <a:prstGeom prst="rect">
                            <a:avLst/>
                          </a:prstGeom>
                          <a:ln>
                            <a:noFill/>
                          </a:ln>
                        </wps:spPr>
                        <wps:txbx>
                          <w:txbxContent>
                            <w:p w14:paraId="01648519"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2003" name="Rectangle 202003"/>
                        <wps:cNvSpPr/>
                        <wps:spPr>
                          <a:xfrm rot="-10799999">
                            <a:off x="-1284102" y="3047789"/>
                            <a:ext cx="5212777" cy="142889"/>
                          </a:xfrm>
                          <a:prstGeom prst="rect">
                            <a:avLst/>
                          </a:prstGeom>
                          <a:ln>
                            <a:noFill/>
                          </a:ln>
                        </wps:spPr>
                        <wps:txbx>
                          <w:txbxContent>
                            <w:p w14:paraId="6989DD9B" w14:textId="77777777" w:rsidR="00B32EF2" w:rsidRDefault="00000000">
                              <w:r>
                                <w:rPr>
                                  <w:rFonts w:ascii="Arial" w:eastAsia="Arial" w:hAnsi="Arial" w:cs="Arial"/>
                                  <w:sz w:val="18"/>
                                </w:rPr>
                                <w:t>. Nessuno può presentare più di un candidato né essere, contemporanea</w:t>
                              </w:r>
                            </w:p>
                          </w:txbxContent>
                        </wps:txbx>
                        <wps:bodyPr horzOverflow="overflow" vert="horz" lIns="0" tIns="0" rIns="0" bIns="0" rtlCol="0">
                          <a:noAutofit/>
                        </wps:bodyPr>
                      </wps:wsp>
                      <wps:wsp>
                        <wps:cNvPr id="21631" name="Rectangle 21631"/>
                        <wps:cNvSpPr/>
                        <wps:spPr>
                          <a:xfrm rot="-10799999">
                            <a:off x="19215" y="3047789"/>
                            <a:ext cx="50622" cy="142889"/>
                          </a:xfrm>
                          <a:prstGeom prst="rect">
                            <a:avLst/>
                          </a:prstGeom>
                          <a:ln>
                            <a:noFill/>
                          </a:ln>
                        </wps:spPr>
                        <wps:txbx>
                          <w:txbxContent>
                            <w:p w14:paraId="5B1016A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632" name="Rectangle 21632"/>
                        <wps:cNvSpPr/>
                        <wps:spPr>
                          <a:xfrm rot="-10799999">
                            <a:off x="-1220537" y="2924460"/>
                            <a:ext cx="5212352" cy="142889"/>
                          </a:xfrm>
                          <a:prstGeom prst="rect">
                            <a:avLst/>
                          </a:prstGeom>
                          <a:ln>
                            <a:noFill/>
                          </a:ln>
                        </wps:spPr>
                        <wps:txbx>
                          <w:txbxContent>
                            <w:p w14:paraId="3F9D3384" w14:textId="77777777" w:rsidR="00B32EF2" w:rsidRDefault="00000000">
                              <w:r>
                                <w:rPr>
                                  <w:rFonts w:ascii="Arial" w:eastAsia="Arial" w:hAnsi="Arial" w:cs="Arial"/>
                                  <w:sz w:val="18"/>
                                </w:rPr>
                                <w:t>mente, candidato e presentatore di se stesso. L’inosservanza delle disposi</w:t>
                              </w:r>
                            </w:p>
                          </w:txbxContent>
                        </wps:txbx>
                        <wps:bodyPr horzOverflow="overflow" vert="horz" lIns="0" tIns="0" rIns="0" bIns="0" rtlCol="0">
                          <a:noAutofit/>
                        </wps:bodyPr>
                      </wps:wsp>
                      <wps:wsp>
                        <wps:cNvPr id="21633" name="Rectangle 21633"/>
                        <wps:cNvSpPr/>
                        <wps:spPr>
                          <a:xfrm rot="-10799999">
                            <a:off x="19215" y="2924459"/>
                            <a:ext cx="50622" cy="142889"/>
                          </a:xfrm>
                          <a:prstGeom prst="rect">
                            <a:avLst/>
                          </a:prstGeom>
                          <a:ln>
                            <a:noFill/>
                          </a:ln>
                        </wps:spPr>
                        <wps:txbx>
                          <w:txbxContent>
                            <w:p w14:paraId="58E6691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634" name="Rectangle 21634"/>
                        <wps:cNvSpPr/>
                        <wps:spPr>
                          <a:xfrm rot="-10799999">
                            <a:off x="-1317206" y="2801130"/>
                            <a:ext cx="5309021" cy="142889"/>
                          </a:xfrm>
                          <a:prstGeom prst="rect">
                            <a:avLst/>
                          </a:prstGeom>
                          <a:ln>
                            <a:noFill/>
                          </a:ln>
                        </wps:spPr>
                        <wps:txbx>
                          <w:txbxContent>
                            <w:p w14:paraId="3B1D279A" w14:textId="77777777" w:rsidR="00B32EF2" w:rsidRDefault="00000000">
                              <w:r>
                                <w:rPr>
                                  <w:rFonts w:ascii="Arial" w:eastAsia="Arial" w:hAnsi="Arial" w:cs="Arial"/>
                                  <w:sz w:val="18"/>
                                </w:rPr>
                                <w:t xml:space="preserve">zioni del presente comma determina la nullità di ogni firma di presentazione </w:t>
                              </w:r>
                            </w:p>
                          </w:txbxContent>
                        </wps:txbx>
                        <wps:bodyPr horzOverflow="overflow" vert="horz" lIns="0" tIns="0" rIns="0" bIns="0" rtlCol="0">
                          <a:noAutofit/>
                        </wps:bodyPr>
                      </wps:wsp>
                      <wps:wsp>
                        <wps:cNvPr id="21635" name="Rectangle 21635"/>
                        <wps:cNvSpPr/>
                        <wps:spPr>
                          <a:xfrm rot="-10799999">
                            <a:off x="1715233" y="2677800"/>
                            <a:ext cx="2277610" cy="142889"/>
                          </a:xfrm>
                          <a:prstGeom prst="rect">
                            <a:avLst/>
                          </a:prstGeom>
                          <a:ln>
                            <a:noFill/>
                          </a:ln>
                        </wps:spPr>
                        <wps:txbx>
                          <w:txbxContent>
                            <w:p w14:paraId="54E6AAC2" w14:textId="77777777" w:rsidR="00B32EF2" w:rsidRDefault="00000000">
                              <w:r>
                                <w:rPr>
                                  <w:rFonts w:ascii="Arial" w:eastAsia="Arial" w:hAnsi="Arial" w:cs="Arial"/>
                                  <w:sz w:val="18"/>
                                </w:rPr>
                                <w:t>proposta dal medesimo soggetto.</w:t>
                              </w:r>
                            </w:p>
                          </w:txbxContent>
                        </wps:txbx>
                        <wps:bodyPr horzOverflow="overflow" vert="horz" lIns="0" tIns="0" rIns="0" bIns="0" rtlCol="0">
                          <a:noAutofit/>
                        </wps:bodyPr>
                      </wps:wsp>
                      <wps:wsp>
                        <wps:cNvPr id="202000" name="Rectangle 202000"/>
                        <wps:cNvSpPr/>
                        <wps:spPr>
                          <a:xfrm rot="-10799999">
                            <a:off x="2634290" y="2554471"/>
                            <a:ext cx="5215103" cy="142889"/>
                          </a:xfrm>
                          <a:prstGeom prst="rect">
                            <a:avLst/>
                          </a:prstGeom>
                          <a:ln>
                            <a:noFill/>
                          </a:ln>
                        </wps:spPr>
                        <wps:txbx>
                          <w:txbxContent>
                            <w:p w14:paraId="0109BC49"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02001" name="Rectangle 202001"/>
                        <wps:cNvSpPr/>
                        <wps:spPr>
                          <a:xfrm rot="-10799999">
                            <a:off x="-1287685" y="2554471"/>
                            <a:ext cx="5215103" cy="142889"/>
                          </a:xfrm>
                          <a:prstGeom prst="rect">
                            <a:avLst/>
                          </a:prstGeom>
                          <a:ln>
                            <a:noFill/>
                          </a:ln>
                        </wps:spPr>
                        <wps:txbx>
                          <w:txbxContent>
                            <w:p w14:paraId="3A015496" w14:textId="77777777" w:rsidR="00B32EF2" w:rsidRDefault="00000000">
                              <w:r>
                                <w:rPr>
                                  <w:rFonts w:ascii="Arial" w:eastAsia="Arial" w:hAnsi="Arial" w:cs="Arial"/>
                                  <w:sz w:val="18"/>
                                </w:rPr>
                                <w:t>. Nei dieci giorni successivi alla scadenza del termine di cui al comma 3, l’uf</w:t>
                              </w:r>
                            </w:p>
                          </w:txbxContent>
                        </wps:txbx>
                        <wps:bodyPr horzOverflow="overflow" vert="horz" lIns="0" tIns="0" rIns="0" bIns="0" rtlCol="0">
                          <a:noAutofit/>
                        </wps:bodyPr>
                      </wps:wsp>
                      <wps:wsp>
                        <wps:cNvPr id="21637" name="Rectangle 21637"/>
                        <wps:cNvSpPr/>
                        <wps:spPr>
                          <a:xfrm rot="-10799999">
                            <a:off x="19215" y="2554470"/>
                            <a:ext cx="50622" cy="142889"/>
                          </a:xfrm>
                          <a:prstGeom prst="rect">
                            <a:avLst/>
                          </a:prstGeom>
                          <a:ln>
                            <a:noFill/>
                          </a:ln>
                        </wps:spPr>
                        <wps:txbx>
                          <w:txbxContent>
                            <w:p w14:paraId="65C11A3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638" name="Rectangle 21638"/>
                        <wps:cNvSpPr/>
                        <wps:spPr>
                          <a:xfrm rot="-10799999">
                            <a:off x="-1317206" y="2431141"/>
                            <a:ext cx="5309021" cy="142889"/>
                          </a:xfrm>
                          <a:prstGeom prst="rect">
                            <a:avLst/>
                          </a:prstGeom>
                          <a:ln>
                            <a:noFill/>
                          </a:ln>
                        </wps:spPr>
                        <wps:txbx>
                          <w:txbxContent>
                            <w:p w14:paraId="64613E70" w14:textId="77777777" w:rsidR="00B32EF2" w:rsidRDefault="00000000">
                              <w:r>
                                <w:rPr>
                                  <w:rFonts w:ascii="Arial" w:eastAsia="Arial" w:hAnsi="Arial" w:cs="Arial"/>
                                  <w:sz w:val="18"/>
                                </w:rPr>
                                <w:t xml:space="preserve">ficio elettorale centrale accerta che nei confronti del candidato non sussistono </w:t>
                              </w:r>
                            </w:p>
                          </w:txbxContent>
                        </wps:txbx>
                        <wps:bodyPr horzOverflow="overflow" vert="horz" lIns="0" tIns="0" rIns="0" bIns="0" rtlCol="0">
                          <a:noAutofit/>
                        </wps:bodyPr>
                      </wps:wsp>
                      <wps:wsp>
                        <wps:cNvPr id="21639" name="Rectangle 21639"/>
                        <wps:cNvSpPr/>
                        <wps:spPr>
                          <a:xfrm rot="-10799999">
                            <a:off x="-1317251" y="2307811"/>
                            <a:ext cx="5309066" cy="142889"/>
                          </a:xfrm>
                          <a:prstGeom prst="rect">
                            <a:avLst/>
                          </a:prstGeom>
                          <a:ln>
                            <a:noFill/>
                          </a:ln>
                        </wps:spPr>
                        <wps:txbx>
                          <w:txbxContent>
                            <w:p w14:paraId="3B6EEDEB" w14:textId="77777777" w:rsidR="00B32EF2" w:rsidRDefault="00000000">
                              <w:r>
                                <w:rPr>
                                  <w:rFonts w:ascii="Arial" w:eastAsia="Arial" w:hAnsi="Arial" w:cs="Arial"/>
                                  <w:sz w:val="18"/>
                                </w:rPr>
                                <w:t xml:space="preserve">le cause di ineleggibilità di cui all’articolo 26. Lo stesso Ufficio verifica, altresì, </w:t>
                              </w:r>
                            </w:p>
                          </w:txbxContent>
                        </wps:txbx>
                        <wps:bodyPr horzOverflow="overflow" vert="horz" lIns="0" tIns="0" rIns="0" bIns="0" rtlCol="0">
                          <a:noAutofit/>
                        </wps:bodyPr>
                      </wps:wsp>
                      <wps:wsp>
                        <wps:cNvPr id="21640" name="Rectangle 21640"/>
                        <wps:cNvSpPr/>
                        <wps:spPr>
                          <a:xfrm rot="-10799999">
                            <a:off x="-1317160" y="2184481"/>
                            <a:ext cx="5309203" cy="142889"/>
                          </a:xfrm>
                          <a:prstGeom prst="rect">
                            <a:avLst/>
                          </a:prstGeom>
                          <a:ln>
                            <a:noFill/>
                          </a:ln>
                        </wps:spPr>
                        <wps:txbx>
                          <w:txbxContent>
                            <w:p w14:paraId="7EC38687" w14:textId="77777777" w:rsidR="00B32EF2" w:rsidRDefault="00000000">
                              <w:r>
                                <w:rPr>
                                  <w:rFonts w:ascii="Arial" w:eastAsia="Arial" w:hAnsi="Arial" w:cs="Arial"/>
                                  <w:sz w:val="18"/>
                                </w:rPr>
                                <w:t xml:space="preserve">il rispetto delle disposizioni di cui ai commi 3 e 4, esclude, con provvedimento </w:t>
                              </w:r>
                            </w:p>
                          </w:txbxContent>
                        </wps:txbx>
                        <wps:bodyPr horzOverflow="overflow" vert="horz" lIns="0" tIns="0" rIns="0" bIns="0" rtlCol="0">
                          <a:noAutofit/>
                        </wps:bodyPr>
                      </wps:wsp>
                      <wps:wsp>
                        <wps:cNvPr id="21641" name="Rectangle 21641"/>
                        <wps:cNvSpPr/>
                        <wps:spPr>
                          <a:xfrm rot="-10799999">
                            <a:off x="-1317145" y="2061151"/>
                            <a:ext cx="5308960" cy="142889"/>
                          </a:xfrm>
                          <a:prstGeom prst="rect">
                            <a:avLst/>
                          </a:prstGeom>
                          <a:ln>
                            <a:noFill/>
                          </a:ln>
                        </wps:spPr>
                        <wps:txbx>
                          <w:txbxContent>
                            <w:p w14:paraId="3FB34F30" w14:textId="77777777" w:rsidR="00B32EF2" w:rsidRDefault="00000000">
                              <w:r>
                                <w:rPr>
                                  <w:rFonts w:ascii="Arial" w:eastAsia="Arial" w:hAnsi="Arial" w:cs="Arial"/>
                                  <w:sz w:val="18"/>
                                </w:rPr>
                                <w:t xml:space="preserve">motivato, le candidature non presentate dal prescritto numero di presentatori </w:t>
                              </w:r>
                            </w:p>
                          </w:txbxContent>
                        </wps:txbx>
                        <wps:bodyPr horzOverflow="overflow" vert="horz" lIns="0" tIns="0" rIns="0" bIns="0" rtlCol="0">
                          <a:noAutofit/>
                        </wps:bodyPr>
                      </wps:wsp>
                      <wps:wsp>
                        <wps:cNvPr id="21642" name="Rectangle 21642"/>
                        <wps:cNvSpPr/>
                        <wps:spPr>
                          <a:xfrm rot="-10799999">
                            <a:off x="-1220598" y="1937821"/>
                            <a:ext cx="5212412" cy="142889"/>
                          </a:xfrm>
                          <a:prstGeom prst="rect">
                            <a:avLst/>
                          </a:prstGeom>
                          <a:ln>
                            <a:noFill/>
                          </a:ln>
                        </wps:spPr>
                        <wps:txbx>
                          <w:txbxContent>
                            <w:p w14:paraId="42FD85DE" w14:textId="77777777" w:rsidR="00B32EF2" w:rsidRDefault="00000000">
                              <w:r>
                                <w:rPr>
                                  <w:rFonts w:ascii="Arial" w:eastAsia="Arial" w:hAnsi="Arial" w:cs="Arial"/>
                                  <w:sz w:val="18"/>
                                </w:rPr>
                                <w:t>ovvero quelle dei candidati ineleggibili, e trasmette immediatamente le candi</w:t>
                              </w:r>
                            </w:p>
                          </w:txbxContent>
                        </wps:txbx>
                        <wps:bodyPr horzOverflow="overflow" vert="horz" lIns="0" tIns="0" rIns="0" bIns="0" rtlCol="0">
                          <a:noAutofit/>
                        </wps:bodyPr>
                      </wps:wsp>
                      <wps:wsp>
                        <wps:cNvPr id="21643" name="Rectangle 21643"/>
                        <wps:cNvSpPr/>
                        <wps:spPr>
                          <a:xfrm rot="-10799999">
                            <a:off x="19215" y="1937822"/>
                            <a:ext cx="50622" cy="142889"/>
                          </a:xfrm>
                          <a:prstGeom prst="rect">
                            <a:avLst/>
                          </a:prstGeom>
                          <a:ln>
                            <a:noFill/>
                          </a:ln>
                        </wps:spPr>
                        <wps:txbx>
                          <w:txbxContent>
                            <w:p w14:paraId="52DABCD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644" name="Rectangle 21644"/>
                        <wps:cNvSpPr/>
                        <wps:spPr>
                          <a:xfrm rot="-10799999">
                            <a:off x="-1317524" y="1814492"/>
                            <a:ext cx="5310024" cy="142889"/>
                          </a:xfrm>
                          <a:prstGeom prst="rect">
                            <a:avLst/>
                          </a:prstGeom>
                          <a:ln>
                            <a:noFill/>
                          </a:ln>
                        </wps:spPr>
                        <wps:txbx>
                          <w:txbxContent>
                            <w:p w14:paraId="06DCE61D" w14:textId="77777777" w:rsidR="00B32EF2" w:rsidRDefault="00000000">
                              <w:r>
                                <w:rPr>
                                  <w:rFonts w:ascii="Arial" w:eastAsia="Arial" w:hAnsi="Arial" w:cs="Arial"/>
                                  <w:sz w:val="18"/>
                                </w:rPr>
                                <w:t xml:space="preserve">dature ammesse al Consiglio di presidenza della giustizia tributaria. L’elenco </w:t>
                              </w:r>
                            </w:p>
                          </w:txbxContent>
                        </wps:txbx>
                        <wps:bodyPr horzOverflow="overflow" vert="horz" lIns="0" tIns="0" rIns="0" bIns="0" rtlCol="0">
                          <a:noAutofit/>
                        </wps:bodyPr>
                      </wps:wsp>
                      <wps:wsp>
                        <wps:cNvPr id="21645" name="Rectangle 21645"/>
                        <wps:cNvSpPr/>
                        <wps:spPr>
                          <a:xfrm rot="-10799999">
                            <a:off x="-1317191" y="1691162"/>
                            <a:ext cx="5309005" cy="142889"/>
                          </a:xfrm>
                          <a:prstGeom prst="rect">
                            <a:avLst/>
                          </a:prstGeom>
                          <a:ln>
                            <a:noFill/>
                          </a:ln>
                        </wps:spPr>
                        <wps:txbx>
                          <w:txbxContent>
                            <w:p w14:paraId="0D368064" w14:textId="77777777" w:rsidR="00B32EF2" w:rsidRDefault="00000000">
                              <w:r>
                                <w:rPr>
                                  <w:rFonts w:ascii="Arial" w:eastAsia="Arial" w:hAnsi="Arial" w:cs="Arial"/>
                                  <w:sz w:val="18"/>
                                </w:rPr>
                                <w:t xml:space="preserve">dei candidati è pubblicato sul sito istituzionale del Consiglio ed inviato dallo </w:t>
                              </w:r>
                            </w:p>
                          </w:txbxContent>
                        </wps:txbx>
                        <wps:bodyPr horzOverflow="overflow" vert="horz" lIns="0" tIns="0" rIns="0" bIns="0" rtlCol="0">
                          <a:noAutofit/>
                        </wps:bodyPr>
                      </wps:wsp>
                      <wps:wsp>
                        <wps:cNvPr id="21646" name="Rectangle 21646"/>
                        <wps:cNvSpPr/>
                        <wps:spPr>
                          <a:xfrm rot="-10799999">
                            <a:off x="-1317175" y="1567832"/>
                            <a:ext cx="5308989" cy="142889"/>
                          </a:xfrm>
                          <a:prstGeom prst="rect">
                            <a:avLst/>
                          </a:prstGeom>
                          <a:ln>
                            <a:noFill/>
                          </a:ln>
                        </wps:spPr>
                        <wps:txbx>
                          <w:txbxContent>
                            <w:p w14:paraId="2ED1C8BD" w14:textId="77777777" w:rsidR="00B32EF2" w:rsidRDefault="00000000">
                              <w:r>
                                <w:rPr>
                                  <w:rFonts w:ascii="Arial" w:eastAsia="Arial" w:hAnsi="Arial" w:cs="Arial"/>
                                  <w:sz w:val="18"/>
                                </w:rPr>
                                <w:t xml:space="preserve">stesso per posta elettronica a tutti i componenti delle corti di giustizia tributaria </w:t>
                              </w:r>
                            </w:p>
                          </w:txbxContent>
                        </wps:txbx>
                        <wps:bodyPr horzOverflow="overflow" vert="horz" lIns="0" tIns="0" rIns="0" bIns="0" rtlCol="0">
                          <a:noAutofit/>
                        </wps:bodyPr>
                      </wps:wsp>
                      <wps:wsp>
                        <wps:cNvPr id="21647" name="Rectangle 21647"/>
                        <wps:cNvSpPr/>
                        <wps:spPr>
                          <a:xfrm rot="-10799999">
                            <a:off x="-1317145" y="1444503"/>
                            <a:ext cx="5308960" cy="142889"/>
                          </a:xfrm>
                          <a:prstGeom prst="rect">
                            <a:avLst/>
                          </a:prstGeom>
                          <a:ln>
                            <a:noFill/>
                          </a:ln>
                        </wps:spPr>
                        <wps:txbx>
                          <w:txbxContent>
                            <w:p w14:paraId="6F90D477" w14:textId="77777777" w:rsidR="00B32EF2" w:rsidRDefault="00000000">
                              <w:r>
                                <w:rPr>
                                  <w:rFonts w:ascii="Arial" w:eastAsia="Arial" w:hAnsi="Arial" w:cs="Arial"/>
                                  <w:sz w:val="18"/>
                                </w:rPr>
                                <w:t xml:space="preserve">di primo e secondo grado. Detto elenco è altresì affisso, a cura dei presidenti </w:t>
                              </w:r>
                            </w:p>
                          </w:txbxContent>
                        </wps:txbx>
                        <wps:bodyPr horzOverflow="overflow" vert="horz" lIns="0" tIns="0" rIns="0" bIns="0" rtlCol="0">
                          <a:noAutofit/>
                        </wps:bodyPr>
                      </wps:wsp>
                      <wps:wsp>
                        <wps:cNvPr id="21648" name="Rectangle 21648"/>
                        <wps:cNvSpPr/>
                        <wps:spPr>
                          <a:xfrm rot="-10799999">
                            <a:off x="-1317221" y="1321173"/>
                            <a:ext cx="5309036" cy="142889"/>
                          </a:xfrm>
                          <a:prstGeom prst="rect">
                            <a:avLst/>
                          </a:prstGeom>
                          <a:ln>
                            <a:noFill/>
                          </a:ln>
                        </wps:spPr>
                        <wps:txbx>
                          <w:txbxContent>
                            <w:p w14:paraId="376BE8A1" w14:textId="77777777" w:rsidR="00B32EF2" w:rsidRDefault="00000000">
                              <w:r>
                                <w:rPr>
                                  <w:rFonts w:ascii="Arial" w:eastAsia="Arial" w:hAnsi="Arial" w:cs="Arial"/>
                                  <w:sz w:val="18"/>
                                </w:rPr>
                                <w:t xml:space="preserve">di corte di giustizia tributaria, presso ciascuna corte di giustizia tributaria di </w:t>
                              </w:r>
                            </w:p>
                          </w:txbxContent>
                        </wps:txbx>
                        <wps:bodyPr horzOverflow="overflow" vert="horz" lIns="0" tIns="0" rIns="0" bIns="0" rtlCol="0">
                          <a:noAutofit/>
                        </wps:bodyPr>
                      </wps:wsp>
                      <wps:wsp>
                        <wps:cNvPr id="21649" name="Rectangle 21649"/>
                        <wps:cNvSpPr/>
                        <wps:spPr>
                          <a:xfrm rot="-10799999">
                            <a:off x="2375593" y="1197844"/>
                            <a:ext cx="1616220" cy="142889"/>
                          </a:xfrm>
                          <a:prstGeom prst="rect">
                            <a:avLst/>
                          </a:prstGeom>
                          <a:ln>
                            <a:noFill/>
                          </a:ln>
                        </wps:spPr>
                        <wps:txbx>
                          <w:txbxContent>
                            <w:p w14:paraId="37162B2F" w14:textId="77777777" w:rsidR="00B32EF2" w:rsidRDefault="00000000">
                              <w:r>
                                <w:rPr>
                                  <w:rFonts w:ascii="Arial" w:eastAsia="Arial" w:hAnsi="Arial" w:cs="Arial"/>
                                  <w:sz w:val="18"/>
                                </w:rPr>
                                <w:t>primo e secondo grado.</w:t>
                              </w:r>
                            </w:p>
                          </w:txbxContent>
                        </wps:txbx>
                        <wps:bodyPr horzOverflow="overflow" vert="horz" lIns="0" tIns="0" rIns="0" bIns="0" rtlCol="0">
                          <a:noAutofit/>
                        </wps:bodyPr>
                      </wps:wsp>
                      <wps:wsp>
                        <wps:cNvPr id="201999" name="Rectangle 201999"/>
                        <wps:cNvSpPr/>
                        <wps:spPr>
                          <a:xfrm rot="-10799999">
                            <a:off x="-1381497" y="1074514"/>
                            <a:ext cx="5309006" cy="142889"/>
                          </a:xfrm>
                          <a:prstGeom prst="rect">
                            <a:avLst/>
                          </a:prstGeom>
                          <a:ln>
                            <a:noFill/>
                          </a:ln>
                        </wps:spPr>
                        <wps:txbx>
                          <w:txbxContent>
                            <w:p w14:paraId="18A4D6F7" w14:textId="77777777" w:rsidR="00B32EF2" w:rsidRDefault="00000000">
                              <w:r>
                                <w:rPr>
                                  <w:rFonts w:ascii="Arial" w:eastAsia="Arial" w:hAnsi="Arial" w:cs="Arial"/>
                                  <w:sz w:val="18"/>
                                </w:rPr>
                                <w:t xml:space="preserve">. Le operazioni elettorali si svolgono presso le sedi delle corti di giustizia </w:t>
                              </w:r>
                            </w:p>
                          </w:txbxContent>
                        </wps:txbx>
                        <wps:bodyPr horzOverflow="overflow" vert="horz" lIns="0" tIns="0" rIns="0" bIns="0" rtlCol="0">
                          <a:noAutofit/>
                        </wps:bodyPr>
                      </wps:wsp>
                      <wps:wsp>
                        <wps:cNvPr id="201998" name="Rectangle 201998"/>
                        <wps:cNvSpPr/>
                        <wps:spPr>
                          <a:xfrm rot="-10799999">
                            <a:off x="2610990" y="1074514"/>
                            <a:ext cx="5309006" cy="142889"/>
                          </a:xfrm>
                          <a:prstGeom prst="rect">
                            <a:avLst/>
                          </a:prstGeom>
                          <a:ln>
                            <a:noFill/>
                          </a:ln>
                        </wps:spPr>
                        <wps:txbx>
                          <w:txbxContent>
                            <w:p w14:paraId="16EE336E"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1651" name="Rectangle 21651"/>
                        <wps:cNvSpPr/>
                        <wps:spPr>
                          <a:xfrm rot="-10799999">
                            <a:off x="-1317175" y="951184"/>
                            <a:ext cx="5308990" cy="142889"/>
                          </a:xfrm>
                          <a:prstGeom prst="rect">
                            <a:avLst/>
                          </a:prstGeom>
                          <a:ln>
                            <a:noFill/>
                          </a:ln>
                        </wps:spPr>
                        <wps:txbx>
                          <w:txbxContent>
                            <w:p w14:paraId="376C69AC" w14:textId="77777777" w:rsidR="00B32EF2" w:rsidRDefault="00000000">
                              <w:r>
                                <w:rPr>
                                  <w:rFonts w:ascii="Arial" w:eastAsia="Arial" w:hAnsi="Arial" w:cs="Arial"/>
                                  <w:sz w:val="18"/>
                                </w:rPr>
                                <w:t xml:space="preserve">tributaria di primo e secondo grado e presso ciascuna di queste sedi è istituito </w:t>
                              </w:r>
                            </w:p>
                          </w:txbxContent>
                        </wps:txbx>
                        <wps:bodyPr horzOverflow="overflow" vert="horz" lIns="0" tIns="0" rIns="0" bIns="0" rtlCol="0">
                          <a:noAutofit/>
                        </wps:bodyPr>
                      </wps:wsp>
                      <wps:wsp>
                        <wps:cNvPr id="21652" name="Rectangle 21652"/>
                        <wps:cNvSpPr/>
                        <wps:spPr>
                          <a:xfrm rot="-10799999">
                            <a:off x="-1317206" y="827854"/>
                            <a:ext cx="5309021" cy="142889"/>
                          </a:xfrm>
                          <a:prstGeom prst="rect">
                            <a:avLst/>
                          </a:prstGeom>
                          <a:ln>
                            <a:noFill/>
                          </a:ln>
                        </wps:spPr>
                        <wps:txbx>
                          <w:txbxContent>
                            <w:p w14:paraId="19B864FD" w14:textId="77777777" w:rsidR="00B32EF2" w:rsidRDefault="00000000">
                              <w:r>
                                <w:rPr>
                                  <w:rFonts w:ascii="Arial" w:eastAsia="Arial" w:hAnsi="Arial" w:cs="Arial"/>
                                  <w:sz w:val="18"/>
                                </w:rPr>
                                <w:t xml:space="preserve">l’ufficio elettorale locale, che assicura l’espletamento delle operazioni di voto, </w:t>
                              </w:r>
                            </w:p>
                          </w:txbxContent>
                        </wps:txbx>
                        <wps:bodyPr horzOverflow="overflow" vert="horz" lIns="0" tIns="0" rIns="0" bIns="0" rtlCol="0">
                          <a:noAutofit/>
                        </wps:bodyPr>
                      </wps:wsp>
                      <wps:wsp>
                        <wps:cNvPr id="21653" name="Rectangle 21653"/>
                        <wps:cNvSpPr/>
                        <wps:spPr>
                          <a:xfrm rot="-10799999">
                            <a:off x="-1317267" y="704524"/>
                            <a:ext cx="5309082" cy="142890"/>
                          </a:xfrm>
                          <a:prstGeom prst="rect">
                            <a:avLst/>
                          </a:prstGeom>
                          <a:ln>
                            <a:noFill/>
                          </a:ln>
                        </wps:spPr>
                        <wps:txbx>
                          <w:txbxContent>
                            <w:p w14:paraId="723E73EA" w14:textId="77777777" w:rsidR="00B32EF2" w:rsidRDefault="00000000">
                              <w:r>
                                <w:rPr>
                                  <w:rFonts w:ascii="Arial" w:eastAsia="Arial" w:hAnsi="Arial" w:cs="Arial"/>
                                  <w:sz w:val="18"/>
                                </w:rPr>
                                <w:t xml:space="preserve">composto dal presidente della corte di giustizia tributaria o da un suo delegato, </w:t>
                              </w:r>
                            </w:p>
                          </w:txbxContent>
                        </wps:txbx>
                        <wps:bodyPr horzOverflow="overflow" vert="horz" lIns="0" tIns="0" rIns="0" bIns="0" rtlCol="0">
                          <a:noAutofit/>
                        </wps:bodyPr>
                      </wps:wsp>
                      <wps:wsp>
                        <wps:cNvPr id="21654" name="Rectangle 21654"/>
                        <wps:cNvSpPr/>
                        <wps:spPr>
                          <a:xfrm rot="-10799999">
                            <a:off x="-1220538" y="581195"/>
                            <a:ext cx="5212351" cy="142889"/>
                          </a:xfrm>
                          <a:prstGeom prst="rect">
                            <a:avLst/>
                          </a:prstGeom>
                          <a:ln>
                            <a:noFill/>
                          </a:ln>
                        </wps:spPr>
                        <wps:txbx>
                          <w:txbxContent>
                            <w:p w14:paraId="37E98DFC" w14:textId="77777777" w:rsidR="00B32EF2" w:rsidRDefault="00000000">
                              <w:r>
                                <w:rPr>
                                  <w:rFonts w:ascii="Arial" w:eastAsia="Arial" w:hAnsi="Arial" w:cs="Arial"/>
                                  <w:sz w:val="18"/>
                                </w:rPr>
                                <w:t>che lo presiede, e da due giudici tributari, nominati dal presidente delle rispetti</w:t>
                              </w:r>
                            </w:p>
                          </w:txbxContent>
                        </wps:txbx>
                        <wps:bodyPr horzOverflow="overflow" vert="horz" lIns="0" tIns="0" rIns="0" bIns="0" rtlCol="0">
                          <a:noAutofit/>
                        </wps:bodyPr>
                      </wps:wsp>
                      <wps:wsp>
                        <wps:cNvPr id="21655" name="Rectangle 21655"/>
                        <wps:cNvSpPr/>
                        <wps:spPr>
                          <a:xfrm rot="-10799999">
                            <a:off x="19215" y="581195"/>
                            <a:ext cx="50622" cy="142889"/>
                          </a:xfrm>
                          <a:prstGeom prst="rect">
                            <a:avLst/>
                          </a:prstGeom>
                          <a:ln>
                            <a:noFill/>
                          </a:ln>
                        </wps:spPr>
                        <wps:txbx>
                          <w:txbxContent>
                            <w:p w14:paraId="04F514C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656" name="Rectangle 21656"/>
                        <wps:cNvSpPr/>
                        <wps:spPr>
                          <a:xfrm rot="-10799999">
                            <a:off x="-1317222" y="457865"/>
                            <a:ext cx="5309035" cy="142889"/>
                          </a:xfrm>
                          <a:prstGeom prst="rect">
                            <a:avLst/>
                          </a:prstGeom>
                          <a:ln>
                            <a:noFill/>
                          </a:ln>
                        </wps:spPr>
                        <wps:txbx>
                          <w:txbxContent>
                            <w:p w14:paraId="013F1BD0" w14:textId="77777777" w:rsidR="00B32EF2" w:rsidRDefault="00000000">
                              <w:r>
                                <w:rPr>
                                  <w:rFonts w:ascii="Arial" w:eastAsia="Arial" w:hAnsi="Arial" w:cs="Arial"/>
                                  <w:sz w:val="18"/>
                                </w:rPr>
                                <w:t xml:space="preserve">ve corti di giustizia tributaria almeno venti giorni prima della data fissata per le </w:t>
                              </w:r>
                            </w:p>
                          </w:txbxContent>
                        </wps:txbx>
                        <wps:bodyPr horzOverflow="overflow" vert="horz" lIns="0" tIns="0" rIns="0" bIns="0" rtlCol="0">
                          <a:noAutofit/>
                        </wps:bodyPr>
                      </wps:wsp>
                      <wps:wsp>
                        <wps:cNvPr id="21657" name="Rectangle 21657"/>
                        <wps:cNvSpPr/>
                        <wps:spPr>
                          <a:xfrm rot="-10799999">
                            <a:off x="-1317192" y="334536"/>
                            <a:ext cx="5309006" cy="142889"/>
                          </a:xfrm>
                          <a:prstGeom prst="rect">
                            <a:avLst/>
                          </a:prstGeom>
                          <a:ln>
                            <a:noFill/>
                          </a:ln>
                        </wps:spPr>
                        <wps:txbx>
                          <w:txbxContent>
                            <w:p w14:paraId="35B88E9B" w14:textId="77777777" w:rsidR="00B32EF2" w:rsidRDefault="00000000">
                              <w:r>
                                <w:rPr>
                                  <w:rFonts w:ascii="Arial" w:eastAsia="Arial" w:hAnsi="Arial" w:cs="Arial"/>
                                  <w:sz w:val="18"/>
                                </w:rPr>
                                <w:t xml:space="preserve">elezioni. Sono nominati altresì tre supplenti, i quali sostituiscono i componenti </w:t>
                              </w:r>
                            </w:p>
                          </w:txbxContent>
                        </wps:txbx>
                        <wps:bodyPr horzOverflow="overflow" vert="horz" lIns="0" tIns="0" rIns="0" bIns="0" rtlCol="0">
                          <a:noAutofit/>
                        </wps:bodyPr>
                      </wps:wsp>
                      <wps:wsp>
                        <wps:cNvPr id="21658" name="Rectangle 21658"/>
                        <wps:cNvSpPr/>
                        <wps:spPr>
                          <a:xfrm rot="-10799999">
                            <a:off x="-1317192" y="211206"/>
                            <a:ext cx="5309006" cy="142889"/>
                          </a:xfrm>
                          <a:prstGeom prst="rect">
                            <a:avLst/>
                          </a:prstGeom>
                          <a:ln>
                            <a:noFill/>
                          </a:ln>
                        </wps:spPr>
                        <wps:txbx>
                          <w:txbxContent>
                            <w:p w14:paraId="3195D47B" w14:textId="77777777" w:rsidR="00B32EF2" w:rsidRDefault="00000000">
                              <w:r>
                                <w:rPr>
                                  <w:rFonts w:ascii="Arial" w:eastAsia="Arial" w:hAnsi="Arial" w:cs="Arial"/>
                                  <w:sz w:val="18"/>
                                </w:rPr>
                                <w:t xml:space="preserve">effettivi in caso di loro assenza o impedimento. Non possono far parte degli </w:t>
                              </w:r>
                            </w:p>
                          </w:txbxContent>
                        </wps:txbx>
                        <wps:bodyPr horzOverflow="overflow" vert="horz" lIns="0" tIns="0" rIns="0" bIns="0" rtlCol="0">
                          <a:noAutofit/>
                        </wps:bodyPr>
                      </wps:wsp>
                      <wps:wsp>
                        <wps:cNvPr id="21659" name="Rectangle 21659"/>
                        <wps:cNvSpPr/>
                        <wps:spPr>
                          <a:xfrm rot="-10799999">
                            <a:off x="-1317221" y="87876"/>
                            <a:ext cx="5309036" cy="142889"/>
                          </a:xfrm>
                          <a:prstGeom prst="rect">
                            <a:avLst/>
                          </a:prstGeom>
                          <a:ln>
                            <a:noFill/>
                          </a:ln>
                        </wps:spPr>
                        <wps:txbx>
                          <w:txbxContent>
                            <w:p w14:paraId="4F2AE6D2" w14:textId="77777777" w:rsidR="00B32EF2" w:rsidRDefault="00000000">
                              <w:r>
                                <w:rPr>
                                  <w:rFonts w:ascii="Arial" w:eastAsia="Arial" w:hAnsi="Arial" w:cs="Arial"/>
                                  <w:sz w:val="18"/>
                                </w:rPr>
                                <w:t xml:space="preserve">uffici elettorali giudici tributari che abbiano riportato sanzioni disciplinari più </w:t>
                              </w:r>
                            </w:p>
                          </w:txbxContent>
                        </wps:txbx>
                        <wps:bodyPr horzOverflow="overflow" vert="horz" lIns="0" tIns="0" rIns="0" bIns="0" rtlCol="0">
                          <a:noAutofit/>
                        </wps:bodyPr>
                      </wps:wsp>
                      <wps:wsp>
                        <wps:cNvPr id="21660" name="Rectangle 21660"/>
                        <wps:cNvSpPr/>
                        <wps:spPr>
                          <a:xfrm rot="-10799999">
                            <a:off x="2337036" y="-35453"/>
                            <a:ext cx="1655806" cy="142889"/>
                          </a:xfrm>
                          <a:prstGeom prst="rect">
                            <a:avLst/>
                          </a:prstGeom>
                          <a:ln>
                            <a:noFill/>
                          </a:ln>
                        </wps:spPr>
                        <wps:txbx>
                          <w:txbxContent>
                            <w:p w14:paraId="7E721109" w14:textId="77777777" w:rsidR="00B32EF2" w:rsidRDefault="00000000">
                              <w:r>
                                <w:rPr>
                                  <w:rFonts w:ascii="Arial" w:eastAsia="Arial" w:hAnsi="Arial" w:cs="Arial"/>
                                  <w:sz w:val="18"/>
                                </w:rPr>
                                <w:t>gravi dell’ammonimento.</w:t>
                              </w:r>
                            </w:p>
                          </w:txbxContent>
                        </wps:txbx>
                        <wps:bodyPr horzOverflow="overflow" vert="horz" lIns="0" tIns="0" rIns="0" bIns="0" rtlCol="0">
                          <a:noAutofit/>
                        </wps:bodyPr>
                      </wps:wsp>
                    </wpg:wgp>
                  </a:graphicData>
                </a:graphic>
              </wp:inline>
            </w:drawing>
          </mc:Choice>
          <mc:Fallback>
            <w:pict>
              <v:group w14:anchorId="00AC22DC" id="Group 202128" o:spid="_x0000_s5893" style="width:314.3pt;height:455.15pt;mso-position-horizontal-relative:char;mso-position-vertical-relative:line" coordsize="39918,57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c0tFQoAABd/AAAOAAAAZHJzL2Uyb0RvYy54bWzkXduO2zgSfV9g/8HQe8e8ipKRzmAxl2CB&#10;xc5gLh/guO1uA7ZlSE66s1+/p0iZsi0OFisOQgOchx433ZFlHlbVqVNF6v13b/vd7Mu67bbN4bHg&#10;71gxWx9WzdP28PxY/PH7Tw9VMetOy8PTctcc1o/F13VXfPfh7397/3pcrEXz0uye1u0MFzl0i9fj&#10;Y/FyOh0X83m3elnvl9275rg+4M1N0+6XJ/zaPs+f2uUrrr7fzQVj5fy1aZ+ObbNadx1Gf3BvFh/s&#10;9Teb9er082bTrU+z3WOBezvZn639+Yl+zj+8Xy6e2+XxZbvqb2M54S72y+0BH+ov9cPytJx9brej&#10;S+23q7bpms3p3arZz5vNZrta2++Ab8PZzbf52Dafj/a7PC9en49+mjC1N/M0+bKrf3/52B5/O/7S&#10;YiZej8+YC/sbfZe3Tbun/+MuZ292yr76KVu/nWYrDMq65hWXxWyF97SpWMmEm9TVC2Z+9O9WLz/+&#10;j385P3/w/Op2Xo9YIN0wB13cHPz2sjyu7dR2C8zBL+1s+/RYCF4yVcwOyz2W6q9YPMvD8249c8N2&#10;guxf++nqFh1m7jxXs7bB+nrgzNT0n10P/dxxjcHKFDOapVIagymzS+88jxUzsoKt0DRyJaqqpvf9&#10;XCwXx7Y7fVw3+xm9eCxa3Jz9gOWXf3Un96fnP6H72R3o56H5abvbuXdpBFN6vmV6dXr79Ga/tyq1&#10;vR8a/NQ8fcV0vDTtf36GYW92zetj0fSvCrJ1fDy9W8x2/zwABjKr84v2/OLT+UV72n3fWONzN/SP&#10;z6dms7V3PHxaf2fAlxbhtwCaCWbKANJuHDNGt4GF8f9D/SB0Zeoeas2VrG6g5rVi3PQmQ1jX1g19&#10;Q6wVra1h9nPAGniMrJqwNuepmIQ156WqBHdmfZ9Y6/MXzMeu9Z9g7adiEtZCCA4ffs9Yl3lhjWAd&#10;cuF2OMaDi1rrEouIYrWsOXOxcbk4x2phhCppJSQL1t5r5WPUiJdBB+55yySjfuDSlLIEhSGwRWkA&#10;LRnRALaWrKoRodOBXeVl1RSVxZ+AbVOLycxMlJzVdW/Y94m1Zf35MDO4arjRkV3b4RgPDrPmBldx&#10;Zs2VknXIrA3WQiofjpvLioQDjToMtV/zUz04N0oiPJAHZ4Kzcgx1XdMfJIOa5wY1h+UFrBrDcVYt&#10;BFM9BVdVbYy0lP4iWAsO6QQKTjKofYTKg5nxkiP7DUHt1/wkq+a14C5QO5xvTZqVAhwhGcqedGaD&#10;coiRAXy/3Ceh/MCFgv7lfLcyRik2MmiQcxLTkkFtV14+jIzYd8h5u/FI710pRGcbqCE4QyYfgc25&#10;RPROB7ZXiPKwa4BahkiZG48BW5RSC+7EsjvFOjuxjIcrWxiOQfoiUgdtOnGkzkwpQ0gGbQrxMe/a&#10;JkZqJNSQTJzz1gKx2trPBfWWrGZVSlKWmU4GqMPqN4ZjDBqkTDBd9r5bMaXcBS+gRpYlk0LtJYM8&#10;4jSgDtUv7XAM1Be+O4hzWt8NHtp/uWxQDouh4FExKF+JoUi3OKvGvhtqSkIx1Hi1IBuoQ7wbBu09&#10;W0SYln2OxbUxegx1zTQ0m1QJNWo7mVm1COXTvMRwjFVXaBcUvUTGJGQUy3SHIC15zUzKjjJ0OGUF&#10;NJLmYO+gG4+B2tUtXZcR+hFQxLzBGjXqmkE6S2fUPofMw38TpqE8y43HYI1gXaF0iVQd5aw7Bdun&#10;knmADVcdVr8xHAe14DUnAY6gNpUxyK9xwcGHQ0JjdcpyFlpk+2+YDdShPiOsAB/MJvGyIdEK45w4&#10;0cpOJEOTV0gkc71fk/uLrHJiC6Jk0GWJthObuV0ZtOQomqUL1D6VzMagQ3EaBu2DWKxBW5xvHXdi&#10;g/ZZZDYoh6VQ4ePXJJSdcqJcliW1AvW+NWjqDqU+s1TpdOWzyGygDkuhLv+N8N3UMdj3nEjFjTEh&#10;qAXYWjKosxPJRFgPxXAc76ZaVr9rR4paKWX95UWYpnyaVLRkUPvMIhurDuuhsLc4qKF1UzMiETKy&#10;b6evDkijIYUpYoPJkPaJRR5Ik0ISyqbdeAzWaDlRVV+hlgzdZG4L7YA1smnUrRP2kiGTzyqbJkxD&#10;6bQbj8EamRb1kmEhkWHfJ9g+wcjDsHkpw53AGI6B+kI6CeKcNtNyldR82kOBcsh72+EYlF3TiXT9&#10;RaJGW7DbH3PtvdFTmDBSZ6eS0Z6ZQCsZhmOgHgza4qxvuXdig/a5RTZuO6yFSk9WpksnaC+2EVqg&#10;WM2lVSouDJqSLMrCklFvn1tkA3VYC3W7qCZLJ8irtOg34NGu2ordIC1Au20Wlgppd8BKPlGaCHao&#10;6cSNxzhvSrIE7YYH7xZaK+U6ty6sGvu2OLH+ZFh7upmHVROmIeLtxmOwpiTLlJVTv+8U7Ox0MqLI&#10;IU7myemkaH3ByaxR3zhwnZaT1Z5w5mHSyKbCwrcrJ08O1Lac5TmZQiVaWWd54b1TczJ3TEM+kRpQ&#10;h4VvDMf5bqpxUJ8vBWqJTlDs08YFb6AuE9Y4cBBL/w1zsWoV4mQ4Qc6XcCf57qv2fuy5VKoKQC2S&#10;cjJfhs8G6hAlA9SenEZA3fcjwJGjXj2GOm0/gmtNzsmBq7AgiuE4B0678PqzTniNtkFIJdcOHOUs&#10;lbKXDDeXmwMPC6LK89NJVj2Qb4ezXTgXgTox+fZEJBvfHRZE1V8giGpqNQAjw5HZaDq5BVqiGSFh&#10;L4Jxul1WvjssiCLCxvlu6jWpHflGgz9OCR5BnXbDjoFklJvvDneIumMM4lJqTltnyap1aSrUR6/D&#10;NHWIohUllSBq3Hn8WVl1WCNTcRrZVTMw3LfSSKnGUCdsBjbuhrKCOiyUKU9NJzEyJ5T1HaJcCk7H&#10;9d9CnbRD1GCraW4OPCyUud7dyQ5cSKM1BGbrv3ltIJ9cI03HrCAVS+i/PRnJg4AzTs9OGRc53Hi/&#10;6KeaNXh3/2gOHD+n8MSGa7DdRup0oqhBw0RWZk2ghly4G48B222ad5XqO8Xa85E8DJvjfLiAXdvh&#10;GKQdMes5eK05JPCRVSc9wt+4XWM58TJq1AyUqTEcjfS5gFkJU+kx0kl7ygzOOM/Kf8N4w5ro8Dyx&#10;qaF6OG8QZJeEM0zshSpKlerLM+i+8UO0zHCWeTbeO6yLOhucTMD7zm+QACgoGmVqVxe+QJpOG0x4&#10;YhV2jWVn02FZVPtMZJJND3WOIMxJyxxmOMk8G3MOC6LuwLgIc7abaxH+Yc4KDwTFg7TGjhsdx8n0&#10;UPfkzazIWFgP1T7/mGTOjnajiEVIS6k0NkyPkaYdAIlagekUrdzIWCiXBkf7C+RQeG+LNMRQYuB3&#10;hrSPTNl475BEBqR9/jHdps9HI1Q4kiwEdMKDEfBMr9xMmupJgUzabY+cHKaxXwfVIvhm+O4HnGxz&#10;+4hLrCSNZ3kn9N0+OKW2aPsYcjx93T6Nu39SPD3e/fJ3+/zq4Xn2H/4LAAD//wMAUEsDBBQABgAI&#10;AAAAIQAlGg1S3QAAAAUBAAAPAAAAZHJzL2Rvd25yZXYueG1sTI9Ba8JAEIXvhf6HZQq91U2UBptm&#10;IyLakxSqQultzI5JMDsbsmsS/323vehl4PEe732TLUbTiJ46V1tWEE8iEMSF1TWXCg77zcschPPI&#10;GhvLpOBKDhb540OGqbYDf1G/86UIJexSVFB536ZSuqIig25iW+LgnWxn0AfZlVJ3OIRy08hpFCXS&#10;YM1hocKWVhUV593FKPgYcFjO4nW/PZ9W15/96+f3Nialnp/G5TsIT6O/heEPP6BDHpiO9sLaiUZB&#10;eMT/3+Al03kC4qjgLY5mIPNM3tPnvwAAAP//AwBQSwECLQAUAAYACAAAACEAtoM4kv4AAADhAQAA&#10;EwAAAAAAAAAAAAAAAAAAAAAAW0NvbnRlbnRfVHlwZXNdLnhtbFBLAQItABQABgAIAAAAIQA4/SH/&#10;1gAAAJQBAAALAAAAAAAAAAAAAAAAAC8BAABfcmVscy8ucmVsc1BLAQItABQABgAIAAAAIQBbJc0t&#10;FQoAABd/AAAOAAAAAAAAAAAAAAAAAC4CAABkcnMvZTJvRG9jLnhtbFBLAQItABQABgAIAAAAIQAl&#10;Gg1S3QAAAAUBAAAPAAAAAAAAAAAAAAAAAG8MAABkcnMvZG93bnJldi54bWxQSwUGAAAAAAQABADz&#10;AAAAeQ0AAAAA&#10;">
                <v:rect id="Rectangle 21604" o:spid="_x0000_s5894" style="position:absolute;left:15079;top:56377;width:80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A23xQAAAN4AAAAPAAAAZHJzL2Rvd25yZXYueG1sRI9Bi8Iw&#10;FITvC/6H8ARva6osItUoosj2sBddBY+P5tlWm5fQRFv31xtB2OMwM98w82VnanGnxleWFYyGCQji&#10;3OqKCwWH3+3nFIQPyBpry6TgQR6Wi97HHFNtW97RfR8KESHsU1RQhuBSKX1ekkE/tI44emfbGAxR&#10;NoXUDbYRbmo5TpKJNFhxXCjR0bqk/Lq/GQWnDbts28r8/Ld2P5dsWn/fDkelBv1uNQMRqAv/4Xc7&#10;0wrGo0nyBa878QrIxRMAAP//AwBQSwECLQAUAAYACAAAACEA2+H2y+4AAACFAQAAEwAAAAAAAAAA&#10;AAAAAAAAAAAAW0NvbnRlbnRfVHlwZXNdLnhtbFBLAQItABQABgAIAAAAIQBa9CxbvwAAABUBAAAL&#10;AAAAAAAAAAAAAAAAAB8BAABfcmVscy8ucmVsc1BLAQItABQABgAIAAAAIQB2EA23xQAAAN4AAAAP&#10;AAAAAAAAAAAAAAAAAAcCAABkcnMvZG93bnJldi54bWxQSwUGAAAAAAMAAwC3AAAA+QIAAAAA&#10;" filled="f" stroked="f">
                  <v:textbox inset="0,0,0,0">
                    <w:txbxContent>
                      <w:p w14:paraId="0A14CD3E" w14:textId="77777777" w:rsidR="00B32EF2" w:rsidRDefault="00000000">
                        <w:r>
                          <w:rPr>
                            <w:rFonts w:ascii="Arial" w:eastAsia="Arial" w:hAnsi="Arial" w:cs="Arial"/>
                            <w:b/>
                            <w:sz w:val="18"/>
                          </w:rPr>
                          <w:t>Articolo 27</w:t>
                        </w:r>
                      </w:p>
                    </w:txbxContent>
                  </v:textbox>
                </v:rect>
                <v:rect id="Rectangle 202076" o:spid="_x0000_s5895" style="position:absolute;left:-2587;top:55143;width:194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AlNxwAAAN8AAAAPAAAAZHJzL2Rvd25yZXYueG1sRI9BawIx&#10;FITvhf6H8AreatI9WNkaRSziHnqpWujxsXnubt28hE10t/56Iwgeh5n5hpktBtuKM3WhcazhbaxA&#10;EJfONFxp2O/Wr1MQISIbbB2Thn8KsJg/P80wN67nbzpvYyUShEOOGuoYfS5lKGuyGMbOEyfv4DqL&#10;McmukqbDPsFtKzOlJtJiw2mhRk+rmsrj9mQ1/H6yL9a9LA+Xlf/6K6bt5rT/0Xr0Miw/QEQa4iN8&#10;bxdGQ6Yy9T6B25/0BeT8CgAA//8DAFBLAQItABQABgAIAAAAIQDb4fbL7gAAAIUBAAATAAAAAAAA&#10;AAAAAAAAAAAAAABbQ29udGVudF9UeXBlc10ueG1sUEsBAi0AFAAGAAgAAAAhAFr0LFu/AAAAFQEA&#10;AAsAAAAAAAAAAAAAAAAAHwEAAF9yZWxzLy5yZWxzUEsBAi0AFAAGAAgAAAAhAHZ8CU3HAAAA3wAA&#10;AA8AAAAAAAAAAAAAAAAABwIAAGRycy9kb3ducmV2LnhtbFBLBQYAAAAAAwADALcAAAD7AgAAAAA=&#10;" filled="f" stroked="f">
                  <v:textbox inset="0,0,0,0">
                    <w:txbxContent>
                      <w:p w14:paraId="70EA2FF5" w14:textId="77777777" w:rsidR="00B32EF2" w:rsidRDefault="00000000">
                        <w:r>
                          <w:rPr>
                            <w:rFonts w:ascii="Arial" w:eastAsia="Arial" w:hAnsi="Arial" w:cs="Arial"/>
                            <w:i/>
                            <w:sz w:val="18"/>
                          </w:rPr>
                          <w:t>545/92)</w:t>
                        </w:r>
                      </w:p>
                    </w:txbxContent>
                  </v:textbox>
                </v:rect>
                <v:rect id="Rectangle 202077" o:spid="_x0000_s5896" style="position:absolute;left:11648;top:55143;width:194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KzWyAAAAN8AAAAPAAAAZHJzL2Rvd25yZXYueG1sRI9Ba8JA&#10;FITvhf6H5RV6q7vNQSV1FbGIOfSiTaHHR/aZpGbfLtnVpP31riD0OMzMN8xiNdpOXKgPrWMNrxMF&#10;grhypuVaQ/m5fZmDCBHZYOeYNPxSgNXy8WGBuXED7+lyiLVIEA45amhi9LmUoWrIYpg4T5y8o+st&#10;xiT7WpoehwS3ncyUmkqLLaeFBj1tGqpOh7PV8P3OvtgOsjr+bfzHTzHvdufyS+vnp3H9BiLSGP/D&#10;93ZhNGQqU7MZ3P6kLyCXVwAAAP//AwBQSwECLQAUAAYACAAAACEA2+H2y+4AAACFAQAAEwAAAAAA&#10;AAAAAAAAAAAAAAAAW0NvbnRlbnRfVHlwZXNdLnhtbFBLAQItABQABgAIAAAAIQBa9CxbvwAAABUB&#10;AAALAAAAAAAAAAAAAAAAAB8BAABfcmVscy8ucmVsc1BLAQItABQABgAIAAAAIQAZMKzWyAAAAN8A&#10;AAAPAAAAAAAAAAAAAAAAAAcCAABkcnMvZG93bnJldi54bWxQSwUGAAAAAAMAAwC3AAAA/AIAAAAA&#10;" filled="f" stroked="f">
                  <v:textbox inset="0,0,0,0">
                    <w:txbxContent>
                      <w:p w14:paraId="7BAF1BB0" w14:textId="77777777" w:rsidR="00B32EF2" w:rsidRDefault="00000000">
                        <w:r>
                          <w:rPr>
                            <w:rFonts w:ascii="Arial" w:eastAsia="Arial" w:hAnsi="Arial" w:cs="Arial"/>
                            <w:i/>
                            <w:sz w:val="18"/>
                          </w:rPr>
                          <w:t xml:space="preserve">articolo 21 D.lgs. n. </w:t>
                        </w:r>
                      </w:p>
                    </w:txbxContent>
                  </v:textbox>
                </v:rect>
                <v:rect id="Rectangle 202075" o:spid="_x0000_s5897" style="position:absolute;left:22217;top:55143;width:194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pc6yAAAAN8AAAAPAAAAZHJzL2Rvd25yZXYueG1sRI9BawIx&#10;FITvhf6H8Aq91aQLtbIaRSzSPfSiVfD42Dx3VzcvYRPdbX+9EQo9DjPzDTNbDLYVV+pC41jD60iB&#10;IC6dabjSsPtev0xAhIhssHVMGn4owGL++DDD3LieN3TdxkokCIccNdQx+lzKUNZkMYycJ07e0XUW&#10;Y5JdJU2HfYLbVmZKjaXFhtNCjZ5WNZXn7cVqOHywL9a9LI+/K/91Kibt52W31/r5aVhOQUQa4n/4&#10;r10YDZnK1Psb3P+kLyDnNwAAAP//AwBQSwECLQAUAAYACAAAACEA2+H2y+4AAACFAQAAEwAAAAAA&#10;AAAAAAAAAAAAAAAAW0NvbnRlbnRfVHlwZXNdLnhtbFBLAQItABQABgAIAAAAIQBa9CxbvwAAABUB&#10;AAALAAAAAAAAAAAAAAAAAB8BAABfcmVscy8ucmVsc1BLAQItABQABgAIAAAAIQCGrpc6yAAAAN8A&#10;AAAPAAAAAAAAAAAAAAAAAAcCAABkcnMvZG93bnJldi54bWxQSwUGAAAAAAMAAwC3AAAA/AIAAAAA&#10;" filled="f" stroked="f">
                  <v:textbox inset="0,0,0,0">
                    <w:txbxContent>
                      <w:p w14:paraId="55CC8F46" w14:textId="77777777" w:rsidR="00B32EF2" w:rsidRDefault="00000000">
                        <w:r>
                          <w:rPr>
                            <w:rFonts w:ascii="Arial" w:eastAsia="Arial" w:hAnsi="Arial" w:cs="Arial"/>
                            <w:i/>
                            <w:sz w:val="18"/>
                          </w:rPr>
                          <w:t>(</w:t>
                        </w:r>
                      </w:p>
                    </w:txbxContent>
                  </v:textbox>
                </v:rect>
                <v:rect id="Rectangle 21606" o:spid="_x0000_s5898" style="position:absolute;left:2955;top:53910;width:272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jZbxQAAAN4AAAAPAAAAZHJzL2Rvd25yZXYueG1sRI9Bi8Iw&#10;FITvC/6H8ARva6qHItUooog9eFlXweOjebbV5iU00VZ//WZhYY/DzHzDLFa9acSTWl9bVjAZJyCI&#10;C6trLhWcvnefMxA+IGtsLJOCF3lYLQcfC8y07fiLnsdQighhn6GCKgSXSemLigz6sXXE0bva1mCI&#10;si2lbrGLcNPIaZKk0mDNcaFCR5uKivvxYRRctuzyXSeL63vjDrd81uwfp7NSo2G/noMI1If/8F87&#10;1wqmkzRJ4fdOvAJy+QMAAP//AwBQSwECLQAUAAYACAAAACEA2+H2y+4AAACFAQAAEwAAAAAAAAAA&#10;AAAAAAAAAAAAW0NvbnRlbnRfVHlwZXNdLnhtbFBLAQItABQABgAIAAAAIQBa9CxbvwAAABUBAAAL&#10;AAAAAAAAAAAAAAAAAB8BAABfcmVscy8ucmVsc1BLAQItABQABgAIAAAAIQDpjjZbxQAAAN4AAAAP&#10;AAAAAAAAAAAAAAAAAAcCAABkcnMvZG93bnJldi54bWxQSwUGAAAAAAMAAwC3AAAA+QIAAAAA&#10;" filled="f" stroked="f">
                  <v:textbox inset="0,0,0,0">
                    <w:txbxContent>
                      <w:p w14:paraId="7FF2907B" w14:textId="77777777" w:rsidR="00B32EF2" w:rsidRDefault="00000000">
                        <w:r>
                          <w:rPr>
                            <w:rFonts w:ascii="Arial" w:eastAsia="Arial" w:hAnsi="Arial" w:cs="Arial"/>
                            <w:b/>
                            <w:sz w:val="18"/>
                          </w:rPr>
                          <w:t xml:space="preserve">Elezione del Consiglio di presidenza </w:t>
                        </w:r>
                      </w:p>
                    </w:txbxContent>
                  </v:textbox>
                </v:rect>
                <v:rect id="Rectangle 202073" o:spid="_x0000_s5899" style="position:absolute;left:-13763;top:5267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6rVyAAAAN8AAAAPAAAAZHJzL2Rvd25yZXYueG1sRI9BawIx&#10;FITvhf6H8Aq91aRbsLIaRSzSPfSiVfD42Dx3VzcvYRPdbX+9EQo9DjPzDTNbDLYVV+pC41jD60iB&#10;IC6dabjSsPtev0xAhIhssHVMGn4owGL++DDD3LieN3TdxkokCIccNdQx+lzKUNZkMYycJ07e0XUW&#10;Y5JdJU2HfYLbVmZKjaXFhtNCjZ5WNZXn7cVqOHywL9a9LI+/K/91Kibt52W31/r5aVhOQUQa4n/4&#10;r10YDZnK1Psb3P+kLyDnNwAAAP//AwBQSwECLQAUAAYACAAAACEA2+H2y+4AAACFAQAAEwAAAAAA&#10;AAAAAAAAAAAAAAAAW0NvbnRlbnRfVHlwZXNdLnhtbFBLAQItABQABgAIAAAAIQBa9CxbvwAAABUB&#10;AAALAAAAAAAAAAAAAAAAAB8BAABfcmVscy8ucmVsc1BLAQItABQABgAIAAAAIQBmC6rVyAAAAN8A&#10;AAAPAAAAAAAAAAAAAAAAAAcCAABkcnMvZG93bnJldi54bWxQSwUGAAAAAAMAAwC3AAAA/AIAAAAA&#10;" filled="f" stroked="f">
                  <v:textbox inset="0,0,0,0">
                    <w:txbxContent>
                      <w:p w14:paraId="1ABC301D" w14:textId="77777777" w:rsidR="00B32EF2" w:rsidRDefault="00000000">
                        <w:r>
                          <w:rPr>
                            <w:rFonts w:ascii="Arial" w:eastAsia="Arial" w:hAnsi="Arial" w:cs="Arial"/>
                            <w:sz w:val="18"/>
                          </w:rPr>
                          <w:t xml:space="preserve">. Le elezioni del Consiglio di presidenza della giustizia tributaria hanno luogo </w:t>
                        </w:r>
                      </w:p>
                    </w:txbxContent>
                  </v:textbox>
                </v:rect>
                <v:rect id="Rectangle 202072" o:spid="_x0000_s5900" style="position:absolute;left:26109;top:5267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w9OyAAAAN8AAAAPAAAAZHJzL2Rvd25yZXYueG1sRI9Ba8JA&#10;FITvQv/D8gq96W5zqJK6SrFIc/CijdDjI/tM0mbfLtnVRH+9Wyj0OMzMN8xyPdpOXKgPrWMNzzMF&#10;grhypuVaQ/m5nS5AhIhssHNMGq4UYL16mCwxN27gPV0OsRYJwiFHDU2MPpcyVA1ZDDPniZN3cr3F&#10;mGRfS9PjkOC2k5lSL9Jiy2mhQU+bhqqfw9lq+HpnX2wHWZ1uG7/7Lhbdx7k8av30OL69gog0xv/w&#10;X7swGjKVqXkGv3/SF5CrOwAAAP//AwBQSwECLQAUAAYACAAAACEA2+H2y+4AAACFAQAAEwAAAAAA&#10;AAAAAAAAAAAAAAAAW0NvbnRlbnRfVHlwZXNdLnhtbFBLAQItABQABgAIAAAAIQBa9CxbvwAAABUB&#10;AAALAAAAAAAAAAAAAAAAAB8BAABfcmVscy8ucmVsc1BLAQItABQABgAIAAAAIQAJRw9OyAAAAN8A&#10;AAAPAAAAAAAAAAAAAAAAAAcCAABkcnMvZG93bnJldi54bWxQSwUGAAAAAAMAAwC3AAAA/AIAAAAA&#10;" filled="f" stroked="f">
                  <v:textbox inset="0,0,0,0">
                    <w:txbxContent>
                      <w:p w14:paraId="353570E4" w14:textId="77777777" w:rsidR="00B32EF2" w:rsidRDefault="00000000">
                        <w:r>
                          <w:rPr>
                            <w:rFonts w:ascii="Arial" w:eastAsia="Arial" w:hAnsi="Arial" w:cs="Arial"/>
                            <w:sz w:val="18"/>
                          </w:rPr>
                          <w:t>1</w:t>
                        </w:r>
                      </w:p>
                    </w:txbxContent>
                  </v:textbox>
                </v:rect>
                <v:rect id="Rectangle 21608" o:spid="_x0000_s5901" style="position:absolute;left:-13171;top:5144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QeywwAAAN4AAAAPAAAAZHJzL2Rvd25yZXYueG1sRE/LisIw&#10;FN0L8w/hDrjTVBciHWMZOsh0MRtfMMtLc22rzU1ooq1+vVkILg/nvcoG04obdb6xrGA2TUAQl1Y3&#10;XCk47DeTJQgfkDW2lknBnTxk64/RClNte97SbRcqEUPYp6igDsGlUvqyJoN+ah1x5E62Mxgi7Cqp&#10;O+xjuGnlPEkW0mDDsaFGR3lN5WV3NQr+f9gVm16Wp0fu/s7Fsv29Ho5KjT+H7y8QgYbwFr/chVYw&#10;ny2SuDfeiVdArp8AAAD//wMAUEsBAi0AFAAGAAgAAAAhANvh9svuAAAAhQEAABMAAAAAAAAAAAAA&#10;AAAAAAAAAFtDb250ZW50X1R5cGVzXS54bWxQSwECLQAUAAYACAAAACEAWvQsW78AAAAVAQAACwAA&#10;AAAAAAAAAAAAAAAfAQAAX3JlbHMvLnJlbHNQSwECLQAUAAYACAAAACEA910HssMAAADeAAAADwAA&#10;AAAAAAAAAAAAAAAHAgAAZHJzL2Rvd25yZXYueG1sUEsFBgAAAAADAAMAtwAAAPcCAAAAAA==&#10;" filled="f" stroked="f">
                  <v:textbox inset="0,0,0,0">
                    <w:txbxContent>
                      <w:p w14:paraId="4104AF75" w14:textId="77777777" w:rsidR="00B32EF2" w:rsidRDefault="00000000">
                        <w:r>
                          <w:rPr>
                            <w:rFonts w:ascii="Arial" w:eastAsia="Arial" w:hAnsi="Arial" w:cs="Arial"/>
                            <w:sz w:val="18"/>
                          </w:rPr>
                          <w:t xml:space="preserve">entro quattro mesi dallo scadere del precedente Consiglio. Esse sono indette </w:t>
                        </w:r>
                      </w:p>
                    </w:txbxContent>
                  </v:textbox>
                </v:rect>
                <v:rect id="Rectangle 21609" o:spid="_x0000_s5902" style="position:absolute;left:-13174;top:50210;width:530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IpxgAAAN4AAAAPAAAAZHJzL2Rvd25yZXYueG1sRI9Bi8Iw&#10;FITvC/6H8IS9rakexK1GEUW2By+6Ch4fzbOtNi+hibbur98IgsdhZr5hZovO1OJOja8sKxgOEhDE&#10;udUVFwoOv5uvCQgfkDXWlknBgzws5r2PGabatryj+z4UIkLYp6igDMGlUvq8JIN+YB1x9M62MRii&#10;bAqpG2wj3NRylCRjabDiuFCio1VJ+XV/MwpOa3bZppX5+W/ltpdsUv/cDkelPvvdcgoiUBfe4Vc7&#10;0wpGw3HyDc878QrI+T8AAAD//wMAUEsBAi0AFAAGAAgAAAAhANvh9svuAAAAhQEAABMAAAAAAAAA&#10;AAAAAAAAAAAAAFtDb250ZW50X1R5cGVzXS54bWxQSwECLQAUAAYACAAAACEAWvQsW78AAAAVAQAA&#10;CwAAAAAAAAAAAAAAAAAfAQAAX3JlbHMvLnJlbHNQSwECLQAUAAYACAAAACEAmBGiKcYAAADeAAAA&#10;DwAAAAAAAAAAAAAAAAAHAgAAZHJzL2Rvd25yZXYueG1sUEsFBgAAAAADAAMAtwAAAPoCAAAAAA==&#10;" filled="f" stroked="f">
                  <v:textbox inset="0,0,0,0">
                    <w:txbxContent>
                      <w:p w14:paraId="08FAB4E1" w14:textId="77777777" w:rsidR="00B32EF2" w:rsidRDefault="00000000">
                        <w:r>
                          <w:rPr>
                            <w:rFonts w:ascii="Arial" w:eastAsia="Arial" w:hAnsi="Arial" w:cs="Arial"/>
                            <w:sz w:val="18"/>
                          </w:rPr>
                          <w:t xml:space="preserve">con provvedimento del Presidente del Consiglio di presidenza, da pubblicare </w:t>
                        </w:r>
                      </w:p>
                    </w:txbxContent>
                  </v:textbox>
                </v:rect>
                <v:rect id="Rectangle 21610" o:spid="_x0000_s5903" style="position:absolute;left:-12204;top:48977;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p1pxAAAAN4AAAAPAAAAZHJzL2Rvd25yZXYueG1sRI/NisIw&#10;FIX3A75DuIK7Ma0LkWoUUcQu3OgouLw017ba3IQm2urTTxYDszycP77FqjeNeFHra8sK0nECgriw&#10;uuZSwfln9z0D4QOyxsYyKXiTh9Vy8LXATNuOj/Q6hVLEEfYZKqhCcJmUvqjIoB9bRxy9m20Nhijb&#10;UuoWuzhuGjlJkqk0WHN8qNDRpqLicXoaBdctu3zXyeL22bjDPZ81++f5otRo2K/nIAL14T/81861&#10;gkk6TSNAxIkoIJe/AAAA//8DAFBLAQItABQABgAIAAAAIQDb4fbL7gAAAIUBAAATAAAAAAAAAAAA&#10;AAAAAAAAAABbQ29udGVudF9UeXBlc10ueG1sUEsBAi0AFAAGAAgAAAAhAFr0LFu/AAAAFQEAAAsA&#10;AAAAAAAAAAAAAAAAHwEAAF9yZWxzLy5yZWxzUEsBAi0AFAAGAAgAAAAhAIzynWnEAAAA3gAAAA8A&#10;AAAAAAAAAAAAAAAABwIAAGRycy9kb3ducmV2LnhtbFBLBQYAAAAAAwADALcAAAD4AgAAAAA=&#10;" filled="f" stroked="f">
                  <v:textbox inset="0,0,0,0">
                    <w:txbxContent>
                      <w:p w14:paraId="4F587999" w14:textId="77777777" w:rsidR="00B32EF2" w:rsidRDefault="00000000">
                        <w:r>
                          <w:rPr>
                            <w:rFonts w:ascii="Arial" w:eastAsia="Arial" w:hAnsi="Arial" w:cs="Arial"/>
                            <w:sz w:val="18"/>
                          </w:rPr>
                          <w:t>nella Gazzetta Ufficiale almeno quarantacinque giorni prima della data stabili</w:t>
                        </w:r>
                      </w:p>
                    </w:txbxContent>
                  </v:textbox>
                </v:rect>
                <v:rect id="Rectangle 21611" o:spid="_x0000_s5904" style="position:absolute;left:192;top:4897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jjyxQAAAN4AAAAPAAAAZHJzL2Rvd25yZXYueG1sRI9Bi8Iw&#10;FITvC/6H8IS9rWk9iFSjiCL2sJdVF/b4aJ5ttXkJTbTVX78RBI/DzHzDzJe9acSNWl9bVpCOEhDE&#10;hdU1lwqOh+3XFIQPyBoby6TgTh6Wi8HHHDNtO/6h2z6UIkLYZ6igCsFlUvqiIoN+ZB1x9E62NRii&#10;bEupW+wi3DRynCQTabDmuFCho3VFxWV/NQr+NuzybSeL02Ptvs/5tNldj79KfQ771QxEoD68w692&#10;rhWM00mawvNOvAJy8Q8AAP//AwBQSwECLQAUAAYACAAAACEA2+H2y+4AAACFAQAAEwAAAAAAAAAA&#10;AAAAAAAAAAAAW0NvbnRlbnRfVHlwZXNdLnhtbFBLAQItABQABgAIAAAAIQBa9CxbvwAAABUBAAAL&#10;AAAAAAAAAAAAAAAAAB8BAABfcmVscy8ucmVsc1BLAQItABQABgAIAAAAIQDjvjjyxQAAAN4AAAAP&#10;AAAAAAAAAAAAAAAAAAcCAABkcnMvZG93bnJldi54bWxQSwUGAAAAAAMAAwC3AAAA+QIAAAAA&#10;" filled="f" stroked="f">
                  <v:textbox inset="0,0,0,0">
                    <w:txbxContent>
                      <w:p w14:paraId="2E242DDF" w14:textId="77777777" w:rsidR="00B32EF2" w:rsidRDefault="00000000">
                        <w:r>
                          <w:rPr>
                            <w:rFonts w:ascii="Arial" w:eastAsia="Arial" w:hAnsi="Arial" w:cs="Arial"/>
                            <w:sz w:val="18"/>
                          </w:rPr>
                          <w:t>-</w:t>
                        </w:r>
                      </w:p>
                    </w:txbxContent>
                  </v:textbox>
                </v:rect>
                <v:rect id="Rectangle 21612" o:spid="_x0000_s5905" style="position:absolute;left:-12442;top:47744;width:5236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KaFxgAAAN4AAAAPAAAAZHJzL2Rvd25yZXYueG1sRI9Ba8JA&#10;FITvBf/D8gRvdZMcRFJXKYqYg5eqhR4f2WeSNvt2ya4m+uu7guBxmJlvmMVqMK24UucbywrSaQKC&#10;uLS64UrB6bh9n4PwAVlja5kU3MjDajl6W2Cubc9fdD2ESkQI+xwV1CG4XEpf1mTQT60jjt7ZdgZD&#10;lF0ldYd9hJtWZkkykwYbjgs1OlrXVP4dLkbBz4Zdse1leb6v3f63mLe7y+lbqcl4+PwAEWgIr/Cz&#10;XWgFWTpLM3jciVdALv8BAAD//wMAUEsBAi0AFAAGAAgAAAAhANvh9svuAAAAhQEAABMAAAAAAAAA&#10;AAAAAAAAAAAAAFtDb250ZW50X1R5cGVzXS54bWxQSwECLQAUAAYACAAAACEAWvQsW78AAAAVAQAA&#10;CwAAAAAAAAAAAAAAAAAfAQAAX3JlbHMvLnJlbHNQSwECLQAUAAYACAAAACEAE2ymhcYAAADeAAAA&#10;DwAAAAAAAAAAAAAAAAAHAgAAZHJzL2Rvd25yZXYueG1sUEsFBgAAAAADAAMAtwAAAPoCAAAAAA==&#10;" filled="f" stroked="f">
                  <v:textbox inset="0,0,0,0">
                    <w:txbxContent>
                      <w:p w14:paraId="57257A5F" w14:textId="77777777" w:rsidR="00B32EF2" w:rsidRDefault="00000000">
                        <w:r>
                          <w:rPr>
                            <w:rFonts w:ascii="Arial" w:eastAsia="Arial" w:hAnsi="Arial" w:cs="Arial"/>
                            <w:sz w:val="18"/>
                          </w:rPr>
                          <w:t>ta per le elezioni. Esse si svolgono in un giorno festivo dalle ore 9 alle ore 21.</w:t>
                        </w:r>
                      </w:p>
                    </w:txbxContent>
                  </v:textbox>
                </v:rect>
                <v:rect id="Rectangle 202070" o:spid="_x0000_s5906" style="position:absolute;left:-12841;top:46510;width:521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TSixgAAAN8AAAAPAAAAZHJzL2Rvd25yZXYueG1sRI+9bsIw&#10;FIX3SryDdZHYik2GglIMqkCoGVgKVOp4FV+StPG1FRsSePp6QGI8On/6luvBtuJKXWgca5hNFQji&#10;0pmGKw2n4+51ASJEZIOtY9JwowDr1ehliblxPX/R9RArkUY45KihjtHnUoayJoth6jxx8s6usxiT&#10;7CppOuzTuG1lptSbtNhweqjR06am8u9wsRp+tuyLXS/L833j97/Fov28nL61noyHj3cQkYb4DD/a&#10;hdGQqUzNE0HiSSwgV/8AAAD//wMAUEsBAi0AFAAGAAgAAAAhANvh9svuAAAAhQEAABMAAAAAAAAA&#10;AAAAAAAAAAAAAFtDb250ZW50X1R5cGVzXS54bWxQSwECLQAUAAYACAAAACEAWvQsW78AAAAVAQAA&#10;CwAAAAAAAAAAAAAAAAAfAQAAX3JlbHMvLnJlbHNQSwECLQAUAAYACAAAACEAltk0osYAAADfAAAA&#10;DwAAAAAAAAAAAAAAAAAHAgAAZHJzL2Rvd25yZXYueG1sUEsFBgAAAAADAAMAtwAAAPoCAAAAAA==&#10;" filled="f" stroked="f">
                  <v:textbox inset="0,0,0,0">
                    <w:txbxContent>
                      <w:p w14:paraId="1A296E8A" w14:textId="77777777" w:rsidR="00B32EF2" w:rsidRDefault="00000000">
                        <w:r>
                          <w:rPr>
                            <w:rFonts w:ascii="Arial" w:eastAsia="Arial" w:hAnsi="Arial" w:cs="Arial"/>
                            <w:sz w:val="18"/>
                          </w:rPr>
                          <w:t>. Il Presidente del Consiglio di presidenza nomina, con propria delibera, l’uffi</w:t>
                        </w:r>
                      </w:p>
                    </w:txbxContent>
                  </v:textbox>
                </v:rect>
                <v:rect id="Rectangle 202069" o:spid="_x0000_s5907" style="position:absolute;left:26352;top:46510;width:521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gvixwAAAN8AAAAPAAAAZHJzL2Rvd25yZXYueG1sRI9BawIx&#10;FITvQv9DeIXeNOkexG6NIhbpHnrRWujxsXnubt28hE10t/56Iwgeh5n5hpkvB9uKM3WhcazhdaJA&#10;EJfONFxp2H9vxjMQISIbbB2Thn8KsFw8jeaYG9fzls67WIkE4ZCjhjpGn0sZyposhonzxMk7uM5i&#10;TLKrpOmwT3DbykypqbTYcFqo0dO6pvK4O1kNvx/si00vy8Nl7b/+iln7edr/aP3yPKzeQUQa4iN8&#10;bxdGQ6YyNX2D25/0BeTiCgAA//8DAFBLAQItABQABgAIAAAAIQDb4fbL7gAAAIUBAAATAAAAAAAA&#10;AAAAAAAAAAAAAABbQ29udGVudF9UeXBlc10ueG1sUEsBAi0AFAAGAAgAAAAhAFr0LFu/AAAAFQEA&#10;AAsAAAAAAAAAAAAAAAAAHwEAAF9yZWxzLy5yZWxzUEsBAi0AFAAGAAgAAAAhAII6C+LHAAAA3wAA&#10;AA8AAAAAAAAAAAAAAAAABwIAAGRycy9kb3ducmV2LnhtbFBLBQYAAAAAAwADALcAAAD7AgAAAAA=&#10;" filled="f" stroked="f">
                  <v:textbox inset="0,0,0,0">
                    <w:txbxContent>
                      <w:p w14:paraId="1CD813D0" w14:textId="77777777" w:rsidR="00B32EF2" w:rsidRDefault="00000000">
                        <w:r>
                          <w:rPr>
                            <w:rFonts w:ascii="Arial" w:eastAsia="Arial" w:hAnsi="Arial" w:cs="Arial"/>
                            <w:sz w:val="18"/>
                          </w:rPr>
                          <w:t>2</w:t>
                        </w:r>
                      </w:p>
                    </w:txbxContent>
                  </v:textbox>
                </v:rect>
                <v:rect id="Rectangle 21614" o:spid="_x0000_s5908" style="position:absolute;left:192;top:4651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ZtqxgAAAN4AAAAPAAAAZHJzL2Rvd25yZXYueG1sRI9Ba8JA&#10;FITvBf/D8gRvdRMpItFVRJHm4KVWweMj+0yi2bdLdjXRX98tFHocZuYbZrHqTSMe1PrasoJ0nIAg&#10;LqyuuVRw/N69z0D4gKyxsUwKnuRhtRy8LTDTtuMvehxCKSKEfYYKqhBcJqUvKjLox9YRR+9iW4Mh&#10;yraUusUuwk0jJ0kylQZrjgsVOtpUVNwOd6PgvGWX7zpZXF4bt7/ms+bzfjwpNRr26zmIQH34D/+1&#10;c61gkk7TD/i9E6+AXP4AAAD//wMAUEsBAi0AFAAGAAgAAAAhANvh9svuAAAAhQEAABMAAAAAAAAA&#10;AAAAAAAAAAAAAFtDb250ZW50X1R5cGVzXS54bWxQSwECLQAUAAYACAAAACEAWvQsW78AAAAVAQAA&#10;CwAAAAAAAAAAAAAAAAAfAQAAX3JlbHMvLnJlbHNQSwECLQAUAAYACAAAACEA88mbasYAAADeAAAA&#10;DwAAAAAAAAAAAAAAAAAHAgAAZHJzL2Rvd25yZXYueG1sUEsFBgAAAAADAAMAtwAAAPoCAAAAAA==&#10;" filled="f" stroked="f">
                  <v:textbox inset="0,0,0,0">
                    <w:txbxContent>
                      <w:p w14:paraId="57D72782" w14:textId="77777777" w:rsidR="00B32EF2" w:rsidRDefault="00000000">
                        <w:r>
                          <w:rPr>
                            <w:rFonts w:ascii="Arial" w:eastAsia="Arial" w:hAnsi="Arial" w:cs="Arial"/>
                            <w:sz w:val="18"/>
                          </w:rPr>
                          <w:t>-</w:t>
                        </w:r>
                      </w:p>
                    </w:txbxContent>
                  </v:textbox>
                </v:rect>
                <v:rect id="Rectangle 21615" o:spid="_x0000_s5909" style="position:absolute;left:-13172;top:4527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T7xxgAAAN4AAAAPAAAAZHJzL2Rvd25yZXYueG1sRI9Ba8JA&#10;FITvBf/D8gRvdROhItFVRJHm4KVWweMj+0yi2bdLdjXRX98tFHocZuYbZrHqTSMe1PrasoJ0nIAg&#10;LqyuuVRw/N69z0D4gKyxsUwKnuRhtRy8LTDTtuMvehxCKSKEfYYKqhBcJqUvKjLox9YRR+9iW4Mh&#10;yraUusUuwk0jJ0kylQZrjgsVOtpUVNwOd6PgvGWX7zpZXF4bt7/ms+bzfjwpNRr26zmIQH34D/+1&#10;c61gkk7TD/i9E6+AXP4AAAD//wMAUEsBAi0AFAAGAAgAAAAhANvh9svuAAAAhQEAABMAAAAAAAAA&#10;AAAAAAAAAAAAAFtDb250ZW50X1R5cGVzXS54bWxQSwECLQAUAAYACAAAACEAWvQsW78AAAAVAQAA&#10;CwAAAAAAAAAAAAAAAAAfAQAAX3JlbHMvLnJlbHNQSwECLQAUAAYACAAAACEAnIU+8cYAAADeAAAA&#10;DwAAAAAAAAAAAAAAAAAHAgAAZHJzL2Rvd25yZXYueG1sUEsFBgAAAAADAAMAtwAAAPoCAAAAAA==&#10;" filled="f" stroked="f">
                  <v:textbox inset="0,0,0,0">
                    <w:txbxContent>
                      <w:p w14:paraId="2C6C8F1B" w14:textId="77777777" w:rsidR="00B32EF2" w:rsidRDefault="00000000">
                        <w:r>
                          <w:rPr>
                            <w:rFonts w:ascii="Arial" w:eastAsia="Arial" w:hAnsi="Arial" w:cs="Arial"/>
                            <w:sz w:val="18"/>
                          </w:rPr>
                          <w:t xml:space="preserve">cio centrale elettorale, che si insedia presso lo stesso Consiglio di presidenza, </w:t>
                        </w:r>
                      </w:p>
                    </w:txbxContent>
                  </v:textbox>
                </v:rect>
                <v:rect id="Rectangle 21616" o:spid="_x0000_s5910" style="position:absolute;left:-12205;top:44044;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6CGxgAAAN4AAAAPAAAAZHJzL2Rvd25yZXYueG1sRI9Ba8JA&#10;FITvBf/D8gRvdRMPQVJXKYqYg5eqhR4f2WeSNvt2ya4m+uu7guBxmJlvmMVqMK24UucbywrSaQKC&#10;uLS64UrB6bh9n4PwAVlja5kU3MjDajl6W2Cubc9fdD2ESkQI+xwV1CG4XEpf1mTQT60jjt7ZdgZD&#10;lF0ldYd9hJtWzpIkkwYbjgs1OlrXVP4dLkbBz4Zdse1leb6v3f63mLe7y+lbqcl4+PwAEWgIr/Cz&#10;XWgFszRLM3jciVdALv8BAAD//wMAUEsBAi0AFAAGAAgAAAAhANvh9svuAAAAhQEAABMAAAAAAAAA&#10;AAAAAAAAAAAAAFtDb250ZW50X1R5cGVzXS54bWxQSwECLQAUAAYACAAAACEAWvQsW78AAAAVAQAA&#10;CwAAAAAAAAAAAAAAAAAfAQAAX3JlbHMvLnJlbHNQSwECLQAUAAYACAAAACEAbFeghsYAAADeAAAA&#10;DwAAAAAAAAAAAAAAAAAHAgAAZHJzL2Rvd25yZXYueG1sUEsFBgAAAAADAAMAtwAAAPoCAAAAAA==&#10;" filled="f" stroked="f">
                  <v:textbox inset="0,0,0,0">
                    <w:txbxContent>
                      <w:p w14:paraId="289ABB0D" w14:textId="77777777" w:rsidR="00B32EF2" w:rsidRDefault="00000000">
                        <w:r>
                          <w:rPr>
                            <w:rFonts w:ascii="Arial" w:eastAsia="Arial" w:hAnsi="Arial" w:cs="Arial"/>
                            <w:sz w:val="18"/>
                          </w:rPr>
                          <w:t>ed è costituito da un presidente di corte di giustizia tributaria di primo e secon</w:t>
                        </w:r>
                      </w:p>
                    </w:txbxContent>
                  </v:textbox>
                </v:rect>
                <v:rect id="Rectangle 21617" o:spid="_x0000_s5911" style="position:absolute;left:192;top:4404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wUdxgAAAN4AAAAPAAAAZHJzL2Rvd25yZXYueG1sRI9Ba8JA&#10;FITvgv9heUJvuokHldRVRJHm4EWr0OMj+0zSZt8u2dXE/vquIPQ4zMw3zHLdm0bcqfW1ZQXpJAFB&#10;XFhdc6ng/LkfL0D4gKyxsUwKHuRhvRoOlphp2/GR7qdQighhn6GCKgSXSemLigz6iXXE0bva1mCI&#10;si2lbrGLcNPIaZLMpMGa40KFjrYVFT+nm1HwtWOX7ztZXH+37vCdL5qP2/mi1Nuo37yDCNSH//Cr&#10;nWsF03SWzuF5J14BufoDAAD//wMAUEsBAi0AFAAGAAgAAAAhANvh9svuAAAAhQEAABMAAAAAAAAA&#10;AAAAAAAAAAAAAFtDb250ZW50X1R5cGVzXS54bWxQSwECLQAUAAYACAAAACEAWvQsW78AAAAVAQAA&#10;CwAAAAAAAAAAAAAAAAAfAQAAX3JlbHMvLnJlbHNQSwECLQAUAAYACAAAACEAAxsFHcYAAADeAAAA&#10;DwAAAAAAAAAAAAAAAAAHAgAAZHJzL2Rvd25yZXYueG1sUEsFBgAAAAADAAMAtwAAAPoCAAAAAA==&#10;" filled="f" stroked="f">
                  <v:textbox inset="0,0,0,0">
                    <w:txbxContent>
                      <w:p w14:paraId="3F8DCC14" w14:textId="77777777" w:rsidR="00B32EF2" w:rsidRDefault="00000000">
                        <w:r>
                          <w:rPr>
                            <w:rFonts w:ascii="Arial" w:eastAsia="Arial" w:hAnsi="Arial" w:cs="Arial"/>
                            <w:sz w:val="18"/>
                          </w:rPr>
                          <w:t>-</w:t>
                        </w:r>
                      </w:p>
                    </w:txbxContent>
                  </v:textbox>
                </v:rect>
                <v:rect id="Rectangle 21618" o:spid="_x0000_s5912" style="position:absolute;left:-13171;top:4281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JFvwgAAAN4AAAAPAAAAZHJzL2Rvd25yZXYueG1sRE9Ni8Iw&#10;EL0v+B/CCN7WtB5EqlFEEXvwoqvgcWjGttpMQhNt9ddvDgt7fLzvxao3jXhR62vLCtJxAoK4sLrm&#10;UsH5Z/c9A+EDssbGMil4k4fVcvC1wEzbjo/0OoVSxBD2GSqoQnCZlL6oyKAfW0ccuZttDYYI21Lq&#10;FrsYbho5SZKpNFhzbKjQ0aai4nF6GgXXLbt818ni9tm4wz2fNfvn+aLUaNiv5yAC9eFf/OfOtYJJ&#10;Ok3j3ngnXgG5/AUAAP//AwBQSwECLQAUAAYACAAAACEA2+H2y+4AAACFAQAAEwAAAAAAAAAAAAAA&#10;AAAAAAAAW0NvbnRlbnRfVHlwZXNdLnhtbFBLAQItABQABgAIAAAAIQBa9CxbvwAAABUBAAALAAAA&#10;AAAAAAAAAAAAAB8BAABfcmVscy8ucmVsc1BLAQItABQABgAIAAAAIQByhJFvwgAAAN4AAAAPAAAA&#10;AAAAAAAAAAAAAAcCAABkcnMvZG93bnJldi54bWxQSwUGAAAAAAMAAwC3AAAA9gIAAAAA&#10;" filled="f" stroked="f">
                  <v:textbox inset="0,0,0,0">
                    <w:txbxContent>
                      <w:p w14:paraId="1289EF0A" w14:textId="77777777" w:rsidR="00B32EF2" w:rsidRDefault="00000000">
                        <w:r>
                          <w:rPr>
                            <w:rFonts w:ascii="Arial" w:eastAsia="Arial" w:hAnsi="Arial" w:cs="Arial"/>
                            <w:sz w:val="18"/>
                          </w:rPr>
                          <w:t xml:space="preserve">do grado, che lo presiede, e da due giudici tributari. Con la stessa delibera </w:t>
                        </w:r>
                      </w:p>
                    </w:txbxContent>
                  </v:textbox>
                </v:rect>
                <v:rect id="Rectangle 21619" o:spid="_x0000_s5913" style="position:absolute;left:-13172;top:4157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DT0xgAAAN4AAAAPAAAAZHJzL2Rvd25yZXYueG1sRI9Ba8JA&#10;FITvBf/D8gRvdRMPYlNXEUXMwYtWocdH9pmkzb5dsquJ/fVdQfA4zMw3zHzZm0bcqPW1ZQXpOAFB&#10;XFhdc6ng9LV9n4HwAVljY5kU3MnDcjF4m2OmbccHuh1DKSKEfYYKqhBcJqUvKjLox9YRR+9iW4Mh&#10;yraUusUuwk0jJ0kylQZrjgsVOlpXVPwer0bB94Zdvu1kcflbu/1PPmt219NZqdGwX32CCNSHV/jZ&#10;zrWCSTpNP+BxJ14BufgHAAD//wMAUEsBAi0AFAAGAAgAAAAhANvh9svuAAAAhQEAABMAAAAAAAAA&#10;AAAAAAAAAAAAAFtDb250ZW50X1R5cGVzXS54bWxQSwECLQAUAAYACAAAACEAWvQsW78AAAAVAQAA&#10;CwAAAAAAAAAAAAAAAAAfAQAAX3JlbHMvLnJlbHNQSwECLQAUAAYACAAAACEAHcg09MYAAADeAAAA&#10;DwAAAAAAAAAAAAAAAAAHAgAAZHJzL2Rvd25yZXYueG1sUEsFBgAAAAADAAMAtwAAAPoCAAAAAA==&#10;" filled="f" stroked="f">
                  <v:textbox inset="0,0,0,0">
                    <w:txbxContent>
                      <w:p w14:paraId="3E0A032C" w14:textId="77777777" w:rsidR="00B32EF2" w:rsidRDefault="00000000">
                        <w:r>
                          <w:rPr>
                            <w:rFonts w:ascii="Arial" w:eastAsia="Arial" w:hAnsi="Arial" w:cs="Arial"/>
                            <w:sz w:val="18"/>
                          </w:rPr>
                          <w:t xml:space="preserve">sono nominati, altresì, i tre giudici supplenti, che sostituiscono i componenti </w:t>
                        </w:r>
                      </w:p>
                    </w:txbxContent>
                  </v:textbox>
                </v:rect>
                <v:rect id="Rectangle 21620" o:spid="_x0000_s5914" style="position:absolute;left:8010;top:40344;width:319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fUxAAAAN4AAAAPAAAAZHJzL2Rvd25yZXYueG1sRI/NisIw&#10;FIX3A75DuIK7MbULkWoUUcQu3OgouLw017ba3IQm2urTTxYDszycP77FqjeNeFHra8sKJuMEBHFh&#10;dc2lgvPP7nsGwgdkjY1lUvAmD6vl4GuBmbYdH+l1CqWII+wzVFCF4DIpfVGRQT+2jjh6N9saDFG2&#10;pdQtdnHcNDJNkqk0WHN8qNDRpqLicXoaBdctu3zXyeL22bjDPZ81++f5otRo2K/nIAL14T/81861&#10;gnQyTSNAxIkoIJe/AAAA//8DAFBLAQItABQABgAIAAAAIQDb4fbL7gAAAIUBAAATAAAAAAAAAAAA&#10;AAAAAAAAAABbQ29udGVudF9UeXBlc10ueG1sUEsBAi0AFAAGAAgAAAAhAFr0LFu/AAAAFQEAAAsA&#10;AAAAAAAAAAAAAAAAHwEAAF9yZWxzLy5yZWxzUEsBAi0AFAAGAAgAAAAhAEKeV9TEAAAA3gAAAA8A&#10;AAAAAAAAAAAAAAAABwIAAGRycy9kb3ducmV2LnhtbFBLBQYAAAAAAwADALcAAAD4AgAAAAA=&#10;" filled="f" stroked="f">
                  <v:textbox inset="0,0,0,0">
                    <w:txbxContent>
                      <w:p w14:paraId="2D493EFA" w14:textId="77777777" w:rsidR="00B32EF2" w:rsidRDefault="00000000">
                        <w:r>
                          <w:rPr>
                            <w:rFonts w:ascii="Arial" w:eastAsia="Arial" w:hAnsi="Arial" w:cs="Arial"/>
                            <w:sz w:val="18"/>
                          </w:rPr>
                          <w:t>effettivi in caso di loro assenza o impedimento.</w:t>
                        </w:r>
                      </w:p>
                    </w:txbxContent>
                  </v:textbox>
                </v:rect>
                <v:rect id="Rectangle 202004" o:spid="_x0000_s5915" style="position:absolute;left:26109;top:3911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EHcxQAAAN8AAAAPAAAAZHJzL2Rvd25yZXYueG1sRI9Pi8Iw&#10;FMTvgt8hPGFvmiqLSNco4iLbw178B3t8NM+22ryEJtqun94IgsdhZn7DzJedqcWNGl9ZVjAeJSCI&#10;c6srLhQc9pvhDIQPyBpry6TgnzwsF/3eHFNtW97SbRcKESHsU1RQhuBSKX1ekkE/so44eifbGAxR&#10;NoXUDbYRbmo5SZKpNFhxXCjR0bqk/LK7GgV/3+yyTSvz033tfs/ZrP65Ho5KfQy61ReIQF14h1/t&#10;TCuYJJH5Cc8/8QvIxQMAAP//AwBQSwECLQAUAAYACAAAACEA2+H2y+4AAACFAQAAEwAAAAAAAAAA&#10;AAAAAAAAAAAAW0NvbnRlbnRfVHlwZXNdLnhtbFBLAQItABQABgAIAAAAIQBa9CxbvwAAABUBAAAL&#10;AAAAAAAAAAAAAAAAAB8BAABfcmVscy8ucmVsc1BLAQItABQABgAIAAAAIQCx5EHcxQAAAN8AAAAP&#10;AAAAAAAAAAAAAAAAAAcCAABkcnMvZG93bnJldi54bWxQSwUGAAAAAAMAAwC3AAAA+QIAAAAA&#10;" filled="f" stroked="f">
                  <v:textbox inset="0,0,0,0">
                    <w:txbxContent>
                      <w:p w14:paraId="57332776" w14:textId="77777777" w:rsidR="00B32EF2" w:rsidRDefault="00000000">
                        <w:r>
                          <w:rPr>
                            <w:rFonts w:ascii="Arial" w:eastAsia="Arial" w:hAnsi="Arial" w:cs="Arial"/>
                            <w:sz w:val="18"/>
                          </w:rPr>
                          <w:t>3</w:t>
                        </w:r>
                      </w:p>
                    </w:txbxContent>
                  </v:textbox>
                </v:rect>
                <v:rect id="Rectangle 202005" o:spid="_x0000_s5916" style="position:absolute;left:-13817;top:3911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ORHxQAAAN8AAAAPAAAAZHJzL2Rvd25yZXYueG1sRI9Pi8Iw&#10;FMTvgt8hPGFvmiqsSNco4iLbw178B3t8NM+22ryEJtqun94IgsdhZn7DzJedqcWNGl9ZVjAeJSCI&#10;c6srLhQc9pvhDIQPyBpry6TgnzwsF/3eHFNtW97SbRcKESHsU1RQhuBSKX1ekkE/so44eifbGAxR&#10;NoXUDbYRbmo5SZKpNFhxXCjR0bqk/LK7GgV/3+yyTSvz033tfs/ZrP65Ho5KfQy61ReIQF14h1/t&#10;TCuYJJH5Cc8/8QvIxQMAAP//AwBQSwECLQAUAAYACAAAACEA2+H2y+4AAACFAQAAEwAAAAAAAAAA&#10;AAAAAAAAAAAAW0NvbnRlbnRfVHlwZXNdLnhtbFBLAQItABQABgAIAAAAIQBa9CxbvwAAABUBAAAL&#10;AAAAAAAAAAAAAAAAAB8BAABfcmVscy8ucmVsc1BLAQItABQABgAIAAAAIQDeqORHxQAAAN8AAAAP&#10;AAAAAAAAAAAAAAAAAAcCAABkcnMvZG93bnJldi54bWxQSwUGAAAAAAMAAwC3AAAA+QIAAAAA&#10;" filled="f" stroked="f">
                  <v:textbox inset="0,0,0,0">
                    <w:txbxContent>
                      <w:p w14:paraId="5512CE02" w14:textId="77777777" w:rsidR="00B32EF2" w:rsidRDefault="00000000">
                        <w:r>
                          <w:rPr>
                            <w:rFonts w:ascii="Arial" w:eastAsia="Arial" w:hAnsi="Arial" w:cs="Arial"/>
                            <w:sz w:val="18"/>
                          </w:rPr>
                          <w:t xml:space="preserve">. Le candidature devono essere presentate all’ufficio centrale elettorale, a </w:t>
                        </w:r>
                      </w:p>
                    </w:txbxContent>
                  </v:textbox>
                </v:rect>
                <v:rect id="Rectangle 21622" o:spid="_x0000_s5917" style="position:absolute;left:-12191;top:37877;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Gw4xQAAAN4AAAAPAAAAZHJzL2Rvd25yZXYueG1sRI9Bi8Iw&#10;FITvC/6H8IS9rak9iFSjiCL2sJdVF/b4aJ5ttXkJTbTVX78RBI/DzHzDzJe9acSNWl9bVjAeJSCI&#10;C6trLhUcD9uvKQgfkDU2lknBnTwsF4OPOWbadvxDt30oRYSwz1BBFYLLpPRFRQb9yDri6J1sazBE&#10;2ZZSt9hFuGlkmiQTabDmuFCho3VFxWV/NQr+NuzybSeL02Ptvs/5tNldj79KfQ771QxEoD68w692&#10;rhWk40mawvNOvAJy8Q8AAP//AwBQSwECLQAUAAYACAAAACEA2+H2y+4AAACFAQAAEwAAAAAAAAAA&#10;AAAAAAAAAAAAW0NvbnRlbnRfVHlwZXNdLnhtbFBLAQItABQABgAIAAAAIQBa9CxbvwAAABUBAAAL&#10;AAAAAAAAAAAAAAAAAB8BAABfcmVscy8ucmVsc1BLAQItABQABgAIAAAAIQDdAGw4xQAAAN4AAAAP&#10;AAAAAAAAAAAAAAAAAAcCAABkcnMvZG93bnJldi54bWxQSwUGAAAAAAMAAwC3AAAA+QIAAAAA&#10;" filled="f" stroked="f">
                  <v:textbox inset="0,0,0,0">
                    <w:txbxContent>
                      <w:p w14:paraId="40FCE8A5" w14:textId="77777777" w:rsidR="00B32EF2" w:rsidRDefault="00000000">
                        <w:r>
                          <w:rPr>
                            <w:rFonts w:ascii="Arial" w:eastAsia="Arial" w:hAnsi="Arial" w:cs="Arial"/>
                            <w:sz w:val="18"/>
                          </w:rPr>
                          <w:t>mezzo plico raccomandato, almeno venticinque giorni prima delle elezioni me</w:t>
                        </w:r>
                      </w:p>
                    </w:txbxContent>
                  </v:textbox>
                </v:rect>
                <v:rect id="Rectangle 21623" o:spid="_x0000_s5918" style="position:absolute;left:192;top:3787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MmjxwAAAN4AAAAPAAAAZHJzL2Rvd25yZXYueG1sRI/NasMw&#10;EITvhbyD2EJvjRwHQnAih5IQ4kMvTR3IcbHWP621EpYSu336qlDocZiZb5jtbjK9uNPgO8sKFvME&#10;BHFldceNgvL9+LwG4QOyxt4yKfgiD7t89rDFTNuR3+h+Do2IEPYZKmhDcJmUvmrJoJ9bRxy92g4G&#10;Q5RDI/WAY4SbXqZJspIGO44LLTrat1R9nm9GwfXArjiOsqq/9+71o1j3p1t5UerpcXrZgAg0hf/w&#10;X7vQCtLFKl3C7514BWT+AwAA//8DAFBLAQItABQABgAIAAAAIQDb4fbL7gAAAIUBAAATAAAAAAAA&#10;AAAAAAAAAAAAAABbQ29udGVudF9UeXBlc10ueG1sUEsBAi0AFAAGAAgAAAAhAFr0LFu/AAAAFQEA&#10;AAsAAAAAAAAAAAAAAAAAHwEAAF9yZWxzLy5yZWxzUEsBAi0AFAAGAAgAAAAhALJMyaPHAAAA3gAA&#10;AA8AAAAAAAAAAAAAAAAABwIAAGRycy9kb3ducmV2LnhtbFBLBQYAAAAAAwADALcAAAD7AgAAAAA=&#10;" filled="f" stroked="f">
                  <v:textbox inset="0,0,0,0">
                    <w:txbxContent>
                      <w:p w14:paraId="5EBFF8E2" w14:textId="77777777" w:rsidR="00B32EF2" w:rsidRDefault="00000000">
                        <w:r>
                          <w:rPr>
                            <w:rFonts w:ascii="Arial" w:eastAsia="Arial" w:hAnsi="Arial" w:cs="Arial"/>
                            <w:sz w:val="18"/>
                          </w:rPr>
                          <w:t>-</w:t>
                        </w:r>
                      </w:p>
                    </w:txbxContent>
                  </v:textbox>
                </v:rect>
                <v:rect id="Rectangle 21624" o:spid="_x0000_s5919" style="position:absolute;left:-12206;top:36644;width:521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VHXxwAAAN4AAAAPAAAAZHJzL2Rvd25yZXYueG1sRI/NasMw&#10;EITvhbyD2EJvjRwTQnAih5IQ4kMvTR3IcbHWP621EpYSu336qlDocZiZb5jtbjK9uNPgO8sKFvME&#10;BHFldceNgvL9+LwG4QOyxt4yKfgiD7t89rDFTNuR3+h+Do2IEPYZKmhDcJmUvmrJoJ9bRxy92g4G&#10;Q5RDI/WAY4SbXqZJspIGO44LLTrat1R9nm9GwfXArjiOsqq/9+71o1j3p1t5UerpcXrZgAg0hf/w&#10;X7vQCtLFKl3C7514BWT+AwAA//8DAFBLAQItABQABgAIAAAAIQDb4fbL7gAAAIUBAAATAAAAAAAA&#10;AAAAAAAAAAAAAABbQ29udGVudF9UeXBlc10ueG1sUEsBAi0AFAAGAAgAAAAhAFr0LFu/AAAAFQEA&#10;AAsAAAAAAAAAAAAAAAAAHwEAAF9yZWxzLy5yZWxzUEsBAi0AFAAGAAgAAAAhAD2lUdfHAAAA3gAA&#10;AA8AAAAAAAAAAAAAAAAABwIAAGRycy9kb3ducmV2LnhtbFBLBQYAAAAAAwADALcAAAD7AgAAAAA=&#10;" filled="f" stroked="f">
                  <v:textbox inset="0,0,0,0">
                    <w:txbxContent>
                      <w:p w14:paraId="124A5509" w14:textId="77777777" w:rsidR="00B32EF2" w:rsidRDefault="00000000">
                        <w:r>
                          <w:rPr>
                            <w:rFonts w:ascii="Arial" w:eastAsia="Arial" w:hAnsi="Arial" w:cs="Arial"/>
                            <w:sz w:val="18"/>
                          </w:rPr>
                          <w:t>diante compilazione della apposita scheda di presentazione. Ciascun candi</w:t>
                        </w:r>
                      </w:p>
                    </w:txbxContent>
                  </v:textbox>
                </v:rect>
                <v:rect id="Rectangle 21625" o:spid="_x0000_s5920" style="position:absolute;left:192;top:3664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fRMxwAAAN4AAAAPAAAAZHJzL2Rvd25yZXYueG1sRI/NasMw&#10;EITvhbyD2EJvjRxDQnAih5IQ4kMvTR3IcbHWP621EpYSu336qlDocZiZb5jtbjK9uNPgO8sKFvME&#10;BHFldceNgvL9+LwG4QOyxt4yKfgiD7t89rDFTNuR3+h+Do2IEPYZKmhDcJmUvmrJoJ9bRxy92g4G&#10;Q5RDI/WAY4SbXqZJspIGO44LLTrat1R9nm9GwfXArjiOsqq/9+71o1j3p1t5UerpcXrZgAg0hf/w&#10;X7vQCtLFKl3C7514BWT+AwAA//8DAFBLAQItABQABgAIAAAAIQDb4fbL7gAAAIUBAAATAAAAAAAA&#10;AAAAAAAAAAAAAABbQ29udGVudF9UeXBlc10ueG1sUEsBAi0AFAAGAAgAAAAhAFr0LFu/AAAAFQEA&#10;AAsAAAAAAAAAAAAAAAAAHwEAAF9yZWxzLy5yZWxzUEsBAi0AFAAGAAgAAAAhAFLp9EzHAAAA3gAA&#10;AA8AAAAAAAAAAAAAAAAABwIAAGRycy9kb3ducmV2LnhtbFBLBQYAAAAAAwADALcAAAD7AgAAAAA=&#10;" filled="f" stroked="f">
                  <v:textbox inset="0,0,0,0">
                    <w:txbxContent>
                      <w:p w14:paraId="2D5787FE" w14:textId="77777777" w:rsidR="00B32EF2" w:rsidRDefault="00000000">
                        <w:r>
                          <w:rPr>
                            <w:rFonts w:ascii="Arial" w:eastAsia="Arial" w:hAnsi="Arial" w:cs="Arial"/>
                            <w:sz w:val="18"/>
                          </w:rPr>
                          <w:t>-</w:t>
                        </w:r>
                      </w:p>
                    </w:txbxContent>
                  </v:textbox>
                </v:rect>
                <v:rect id="Rectangle 21626" o:spid="_x0000_s5921" style="position:absolute;left:-13171;top:35411;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2o7xgAAAN4AAAAPAAAAZHJzL2Rvd25yZXYueG1sRI9Ba8JA&#10;FITvBf/D8oTe6sYcgkRXEUXMoZeqhR4f2WcSzb5dsquJ/vpuoeBxmJlvmMVqMK24U+cbywqmkwQE&#10;cWl1w5WC03H3MQPhA7LG1jIpeJCH1XL0tsBc256/6H4IlYgQ9jkqqENwuZS+rMmgn1hHHL2z7QyG&#10;KLtK6g77CDetTJMkkwYbjgs1OtrUVF4PN6PgZ8uu2PWyPD837vNSzNr97fSt1Pt4WM9BBBrCK/zf&#10;LrSCdJqlGfzdiVdALn8BAAD//wMAUEsBAi0AFAAGAAgAAAAhANvh9svuAAAAhQEAABMAAAAAAAAA&#10;AAAAAAAAAAAAAFtDb250ZW50X1R5cGVzXS54bWxQSwECLQAUAAYACAAAACEAWvQsW78AAAAVAQAA&#10;CwAAAAAAAAAAAAAAAAAfAQAAX3JlbHMvLnJlbHNQSwECLQAUAAYACAAAACEAojtqO8YAAADeAAAA&#10;DwAAAAAAAAAAAAAAAAAHAgAAZHJzL2Rvd25yZXYueG1sUEsFBgAAAAADAAMAtwAAAPoCAAAAAA==&#10;" filled="f" stroked="f">
                  <v:textbox inset="0,0,0,0">
                    <w:txbxContent>
                      <w:p w14:paraId="787D1B92" w14:textId="77777777" w:rsidR="00B32EF2" w:rsidRDefault="00000000">
                        <w:r>
                          <w:rPr>
                            <w:rFonts w:ascii="Arial" w:eastAsia="Arial" w:hAnsi="Arial" w:cs="Arial"/>
                            <w:sz w:val="18"/>
                          </w:rPr>
                          <w:t xml:space="preserve">dato è presentato da non meno di venti e da non oltre trenta giudici tributari. </w:t>
                        </w:r>
                      </w:p>
                    </w:txbxContent>
                  </v:textbox>
                </v:rect>
                <v:rect id="Rectangle 21627" o:spid="_x0000_s5922" style="position:absolute;left:-13171;top:3417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8+gxgAAAN4AAAAPAAAAZHJzL2Rvd25yZXYueG1sRI9Ba8JA&#10;FITvgv9heYXedGMOKtFViiLNwYtWweMj+0zSZt8u2dXE/vquIPQ4zMw3zHLdm0bcqfW1ZQWTcQKC&#10;uLC65lLB6Ws3moPwAVljY5kUPMjDejUcLDHTtuMD3Y+hFBHCPkMFVQguk9IXFRn0Y+uIo3e1rcEQ&#10;ZVtK3WIX4aaRaZJMpcGa40KFjjYVFT/Hm1Fw2bLLd50srr8bt//O583n7XRW6v2t/1iACNSH//Cr&#10;nWsF6WSazuB5J14BufoDAAD//wMAUEsBAi0AFAAGAAgAAAAhANvh9svuAAAAhQEAABMAAAAAAAAA&#10;AAAAAAAAAAAAAFtDb250ZW50X1R5cGVzXS54bWxQSwECLQAUAAYACAAAACEAWvQsW78AAAAVAQAA&#10;CwAAAAAAAAAAAAAAAAAfAQAAX3JlbHMvLnJlbHNQSwECLQAUAAYACAAAACEAzXfPoMYAAADeAAAA&#10;DwAAAAAAAAAAAAAAAAAHAgAAZHJzL2Rvd25yZXYueG1sUEsFBgAAAAADAAMAtwAAAPoCAAAAAA==&#10;" filled="f" stroked="f">
                  <v:textbox inset="0,0,0,0">
                    <w:txbxContent>
                      <w:p w14:paraId="41428168" w14:textId="77777777" w:rsidR="00B32EF2" w:rsidRDefault="00000000">
                        <w:r>
                          <w:rPr>
                            <w:rFonts w:ascii="Arial" w:eastAsia="Arial" w:hAnsi="Arial" w:cs="Arial"/>
                            <w:sz w:val="18"/>
                          </w:rPr>
                          <w:t xml:space="preserve">Le firme di presentazione possono essere apposte e depositate anche su più </w:t>
                        </w:r>
                      </w:p>
                    </w:txbxContent>
                  </v:textbox>
                </v:rect>
                <v:rect id="Rectangle 21628" o:spid="_x0000_s5923" style="position:absolute;left:-13172;top:3294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FvSwgAAAN4AAAAPAAAAZHJzL2Rvd25yZXYueG1sRE9Ni8Iw&#10;EL0v+B/CCN7W1B5EqlFEEXvwoqvgcWjGttpMQhNt9ddvDgt7fLzvxao3jXhR62vLCibjBARxYXXN&#10;pYLzz+57BsIHZI2NZVLwJg+r5eBrgZm2HR/pdQqliCHsM1RQheAyKX1RkUE/to44cjfbGgwRtqXU&#10;LXYx3DQyTZKpNFhzbKjQ0aai4nF6GgXXLbt818ni9tm4wz2fNfvn+aLUaNiv5yAC9eFf/OfOtYJ0&#10;Mk3j3ngnXgG5/AUAAP//AwBQSwECLQAUAAYACAAAACEA2+H2y+4AAACFAQAAEwAAAAAAAAAAAAAA&#10;AAAAAAAAW0NvbnRlbnRfVHlwZXNdLnhtbFBLAQItABQABgAIAAAAIQBa9CxbvwAAABUBAAALAAAA&#10;AAAAAAAAAAAAAB8BAABfcmVscy8ucmVsc1BLAQItABQABgAIAAAAIQC86FvSwgAAAN4AAAAPAAAA&#10;AAAAAAAAAAAAAAcCAABkcnMvZG93bnJldi54bWxQSwUGAAAAAAMAAwC3AAAA9gIAAAAA&#10;" filled="f" stroked="f">
                  <v:textbox inset="0,0,0,0">
                    <w:txbxContent>
                      <w:p w14:paraId="4341B79B" w14:textId="77777777" w:rsidR="00B32EF2" w:rsidRDefault="00000000">
                        <w:r>
                          <w:rPr>
                            <w:rFonts w:ascii="Arial" w:eastAsia="Arial" w:hAnsi="Arial" w:cs="Arial"/>
                            <w:sz w:val="18"/>
                          </w:rPr>
                          <w:t xml:space="preserve">schede di presentazione, se i candidati raccolgono firme di presentazione in </w:t>
                        </w:r>
                      </w:p>
                    </w:txbxContent>
                  </v:textbox>
                </v:rect>
                <v:rect id="Rectangle 21629" o:spid="_x0000_s5924" style="position:absolute;left:-1086;top:31711;width:410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P5JxwAAAN4AAAAPAAAAZHJzL2Rvd25yZXYueG1sRI/NasMw&#10;EITvhbyD2EJvjRwfQupEDiUh1IdemjqQ42Ktf1prJSwldvP0UaHQ4zAz3zCb7WR6caXBd5YVLOYJ&#10;COLK6o4bBeXn4XkFwgdkjb1lUvBDHrb57GGDmbYjf9D1GBoRIewzVNCG4DIpfdWSQT+3jjh6tR0M&#10;hiiHRuoBxwg3vUyTZCkNdhwXWnS0a6n6Pl6MgvOeXXEYZVXfdu79q1j1b5fypNTT4/S6BhFoCv/h&#10;v3ahFaSLZfoCv3fiFZD5HQAA//8DAFBLAQItABQABgAIAAAAIQDb4fbL7gAAAIUBAAATAAAAAAAA&#10;AAAAAAAAAAAAAABbQ29udGVudF9UeXBlc10ueG1sUEsBAi0AFAAGAAgAAAAhAFr0LFu/AAAAFQEA&#10;AAsAAAAAAAAAAAAAAAAAHwEAAF9yZWxzLy5yZWxzUEsBAi0AFAAGAAgAAAAhANOk/knHAAAA3gAA&#10;AA8AAAAAAAAAAAAAAAAABwIAAGRycy9kb3ducmV2LnhtbFBLBQYAAAAAAwADALcAAAD7AgAAAAA=&#10;" filled="f" stroked="f">
                  <v:textbox inset="0,0,0,0">
                    <w:txbxContent>
                      <w:p w14:paraId="2CD6C21E" w14:textId="77777777" w:rsidR="00B32EF2" w:rsidRDefault="00000000">
                        <w:r>
                          <w:rPr>
                            <w:rFonts w:ascii="Arial" w:eastAsia="Arial" w:hAnsi="Arial" w:cs="Arial"/>
                            <w:sz w:val="18"/>
                          </w:rPr>
                          <w:t>corti di giustizia tributaria diverse da quella di appartenenza.</w:t>
                        </w:r>
                      </w:p>
                    </w:txbxContent>
                  </v:textbox>
                </v:rect>
                <v:rect id="Rectangle 202002" o:spid="_x0000_s5925" style="position:absolute;left:26348;top:30477;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XwzxQAAAN8AAAAPAAAAZHJzL2Rvd25yZXYueG1sRI9Bi8Iw&#10;FITvC/6H8ARva2oPItUooog9eFl1YY+P5tlWm5fQRFv99ZuFBY/DzHzDLFa9acSDWl9bVjAZJyCI&#10;C6trLhWcT7vPGQgfkDU2lknBkzysloOPBWbadvxFj2MoRYSwz1BBFYLLpPRFRQb92Dri6F1sazBE&#10;2ZZSt9hFuGlkmiRTabDmuFCho01Fxe14Nwp+tuzyXSeLy2vjDtd81uzv52+lRsN+PQcRqA/v8H87&#10;1wrSJDJT+PsTv4Bc/gIAAP//AwBQSwECLQAUAAYACAAAACEA2+H2y+4AAACFAQAAEwAAAAAAAAAA&#10;AAAAAAAAAAAAW0NvbnRlbnRfVHlwZXNdLnhtbFBLAQItABQABgAIAAAAIQBa9CxbvwAAABUBAAAL&#10;AAAAAAAAAAAAAAAAAB8BAABfcmVscy8ucmVsc1BLAQItABQABgAIAAAAIQBRQXwzxQAAAN8AAAAP&#10;AAAAAAAAAAAAAAAAAAcCAABkcnMvZG93bnJldi54bWxQSwUGAAAAAAMAAwC3AAAA+QIAAAAA&#10;" filled="f" stroked="f">
                  <v:textbox inset="0,0,0,0">
                    <w:txbxContent>
                      <w:p w14:paraId="01648519" w14:textId="77777777" w:rsidR="00B32EF2" w:rsidRDefault="00000000">
                        <w:r>
                          <w:rPr>
                            <w:rFonts w:ascii="Arial" w:eastAsia="Arial" w:hAnsi="Arial" w:cs="Arial"/>
                            <w:sz w:val="18"/>
                          </w:rPr>
                          <w:t>4</w:t>
                        </w:r>
                      </w:p>
                    </w:txbxContent>
                  </v:textbox>
                </v:rect>
                <v:rect id="Rectangle 202003" o:spid="_x0000_s5926" style="position:absolute;left:-12841;top:30477;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moxQAAAN8AAAAPAAAAZHJzL2Rvd25yZXYueG1sRI9Pi8Iw&#10;FMTvgt8hPGFvmuqCSNco4iLbw178B3t8NM+22ryEJtqun94IgsdhZn7DzJedqcWNGl9ZVjAeJSCI&#10;c6srLhQc9pvhDIQPyBpry6TgnzwsF/3eHFNtW97SbRcKESHsU1RQhuBSKX1ekkE/so44eifbGAxR&#10;NoXUDbYRbmo5SZKpNFhxXCjR0bqk/LK7GgV/3+yyTSvz033tfs/ZrP65Ho5KfQy61ReIQF14h1/t&#10;TCuYJJH5Cc8/8QvIxQMAAP//AwBQSwECLQAUAAYACAAAACEA2+H2y+4AAACFAQAAEwAAAAAAAAAA&#10;AAAAAAAAAAAAW0NvbnRlbnRfVHlwZXNdLnhtbFBLAQItABQABgAIAAAAIQBa9CxbvwAAABUBAAAL&#10;AAAAAAAAAAAAAAAAAB8BAABfcmVscy8ucmVsc1BLAQItABQABgAIAAAAIQA+DdmoxQAAAN8AAAAP&#10;AAAAAAAAAAAAAAAAAAcCAABkcnMvZG93bnJldi54bWxQSwUGAAAAAAMAAwC3AAAA+QIAAAAA&#10;" filled="f" stroked="f">
                  <v:textbox inset="0,0,0,0">
                    <w:txbxContent>
                      <w:p w14:paraId="6989DD9B" w14:textId="77777777" w:rsidR="00B32EF2" w:rsidRDefault="00000000">
                        <w:r>
                          <w:rPr>
                            <w:rFonts w:ascii="Arial" w:eastAsia="Arial" w:hAnsi="Arial" w:cs="Arial"/>
                            <w:sz w:val="18"/>
                          </w:rPr>
                          <w:t>. Nessuno può presentare più di un candidato né essere, contemporanea</w:t>
                        </w:r>
                      </w:p>
                    </w:txbxContent>
                  </v:textbox>
                </v:rect>
                <v:rect id="Rectangle 21631" o:spid="_x0000_s5927" style="position:absolute;left:192;top:3047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2SSxgAAAN4AAAAPAAAAZHJzL2Rvd25yZXYueG1sRI9Ba8JA&#10;FITvBf/D8gRvdRMLItFVRJHm4KVWweMj+0yi2bdLdjXRX98tFHocZuYbZrHqTSMe1PrasoJ0nIAg&#10;LqyuuVRw/N69z0D4gKyxsUwKnuRhtRy8LTDTtuMvehxCKSKEfYYKqhBcJqUvKjLox9YRR+9iW4Mh&#10;yraUusUuwk0jJ0kylQZrjgsVOtpUVNwOd6PgvGWX7zpZXF4bt7/ms+bzfjwpNRr26zmIQH34D/+1&#10;c61gkk4/Uvi9E6+AXP4AAAD//wMAUEsBAi0AFAAGAAgAAAAhANvh9svuAAAAhQEAABMAAAAAAAAA&#10;AAAAAAAAAAAAAFtDb250ZW50X1R5cGVzXS54bWxQSwECLQAUAAYACAAAACEAWvQsW78AAAAVAQAA&#10;CwAAAAAAAAAAAAAAAAAfAQAAX3JlbHMvLnJlbHNQSwECLQAUAAYACAAAACEAqAtkksYAAADeAAAA&#10;DwAAAAAAAAAAAAAAAAAHAgAAZHJzL2Rvd25yZXYueG1sUEsFBgAAAAADAAMAtwAAAPoCAAAAAA==&#10;" filled="f" stroked="f">
                  <v:textbox inset="0,0,0,0">
                    <w:txbxContent>
                      <w:p w14:paraId="5B1016A1" w14:textId="77777777" w:rsidR="00B32EF2" w:rsidRDefault="00000000">
                        <w:r>
                          <w:rPr>
                            <w:rFonts w:ascii="Arial" w:eastAsia="Arial" w:hAnsi="Arial" w:cs="Arial"/>
                            <w:sz w:val="18"/>
                          </w:rPr>
                          <w:t>-</w:t>
                        </w:r>
                      </w:p>
                    </w:txbxContent>
                  </v:textbox>
                </v:rect>
                <v:rect id="Rectangle 21632" o:spid="_x0000_s5928" style="position:absolute;left:-12205;top:29244;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frlxwAAAN4AAAAPAAAAZHJzL2Rvd25yZXYueG1sRI/NasMw&#10;EITvhbyD2EJvjRwHQnAih5IQ4kMvTR3IcbHWP621EpYSu336qlDocZiZb5jtbjK9uNPgO8sKFvME&#10;BHFldceNgvL9+LwG4QOyxt4yKfgiD7t89rDFTNuR3+h+Do2IEPYZKmhDcJmUvmrJoJ9bRxy92g4G&#10;Q5RDI/WAY4SbXqZJspIGO44LLTrat1R9nm9GwfXArjiOsqq/9+71o1j3p1t5UerpcXrZgAg0hf/w&#10;X7vQCtLFapnC7514BWT+AwAA//8DAFBLAQItABQABgAIAAAAIQDb4fbL7gAAAIUBAAATAAAAAAAA&#10;AAAAAAAAAAAAAABbQ29udGVudF9UeXBlc10ueG1sUEsBAi0AFAAGAAgAAAAhAFr0LFu/AAAAFQEA&#10;AAsAAAAAAAAAAAAAAAAAHwEAAF9yZWxzLy5yZWxzUEsBAi0AFAAGAAgAAAAhAFjZ+uXHAAAA3gAA&#10;AA8AAAAAAAAAAAAAAAAABwIAAGRycy9kb3ducmV2LnhtbFBLBQYAAAAAAwADALcAAAD7AgAAAAA=&#10;" filled="f" stroked="f">
                  <v:textbox inset="0,0,0,0">
                    <w:txbxContent>
                      <w:p w14:paraId="3F9D3384" w14:textId="77777777" w:rsidR="00B32EF2" w:rsidRDefault="00000000">
                        <w:r>
                          <w:rPr>
                            <w:rFonts w:ascii="Arial" w:eastAsia="Arial" w:hAnsi="Arial" w:cs="Arial"/>
                            <w:sz w:val="18"/>
                          </w:rPr>
                          <w:t>mente, candidato e presentatore di se stesso. L’inosservanza delle disposi</w:t>
                        </w:r>
                      </w:p>
                    </w:txbxContent>
                  </v:textbox>
                </v:rect>
                <v:rect id="Rectangle 21633" o:spid="_x0000_s5929" style="position:absolute;left:192;top:2924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V9+xgAAAN4AAAAPAAAAZHJzL2Rvd25yZXYueG1sRI9Bi8Iw&#10;FITvC/6H8ARva6qCSDWKKGIPXlZd2OOjebbV5iU00VZ//WZhweMwM98wi1VnavGgxleWFYyGCQji&#10;3OqKCwXn0+5zBsIHZI21ZVLwJA+rZe9jgam2LX/R4xgKESHsU1RQhuBSKX1ekkE/tI44ehfbGAxR&#10;NoXUDbYRbmo5TpKpNFhxXCjR0aak/Ha8GwU/W3bZrpX55bVxh2s2q/f387dSg363noMI1IV3+L+d&#10;aQXj0XQygb878QrI5S8AAAD//wMAUEsBAi0AFAAGAAgAAAAhANvh9svuAAAAhQEAABMAAAAAAAAA&#10;AAAAAAAAAAAAAFtDb250ZW50X1R5cGVzXS54bWxQSwECLQAUAAYACAAAACEAWvQsW78AAAAVAQAA&#10;CwAAAAAAAAAAAAAAAAAfAQAAX3JlbHMvLnJlbHNQSwECLQAUAAYACAAAACEAN5VffsYAAADeAAAA&#10;DwAAAAAAAAAAAAAAAAAHAgAAZHJzL2Rvd25yZXYueG1sUEsFBgAAAAADAAMAtwAAAPoCAAAAAA==&#10;" filled="f" stroked="f">
                  <v:textbox inset="0,0,0,0">
                    <w:txbxContent>
                      <w:p w14:paraId="58E6691C" w14:textId="77777777" w:rsidR="00B32EF2" w:rsidRDefault="00000000">
                        <w:r>
                          <w:rPr>
                            <w:rFonts w:ascii="Arial" w:eastAsia="Arial" w:hAnsi="Arial" w:cs="Arial"/>
                            <w:sz w:val="18"/>
                          </w:rPr>
                          <w:t>-</w:t>
                        </w:r>
                      </w:p>
                    </w:txbxContent>
                  </v:textbox>
                </v:rect>
                <v:rect id="Rectangle 21634" o:spid="_x0000_s5930" style="position:absolute;left:-13172;top:2801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McKxgAAAN4AAAAPAAAAZHJzL2Rvd25yZXYueG1sRI9Ba8JA&#10;FITvgv9heUJvutGKSHQVUcQcvGgt9PjIPpNo9u2SXU3aX+8WCj0OM/MNs1x3phZPanxlWcF4lIAg&#10;zq2uuFBw+dgP5yB8QNZYWyYF3+Rhver3lphq2/KJnudQiAhhn6KCMgSXSunzkgz6kXXE0bvaxmCI&#10;simkbrCNcFPLSZLMpMGK40KJjrYl5ffzwyj42rHL9q3Mrz9bd7xl8/rwuHwq9TboNgsQgbrwH/5r&#10;Z1rBZDx7n8LvnXgF5OoFAAD//wMAUEsBAi0AFAAGAAgAAAAhANvh9svuAAAAhQEAABMAAAAAAAAA&#10;AAAAAAAAAAAAAFtDb250ZW50X1R5cGVzXS54bWxQSwECLQAUAAYACAAAACEAWvQsW78AAAAVAQAA&#10;CwAAAAAAAAAAAAAAAAAfAQAAX3JlbHMvLnJlbHNQSwECLQAUAAYACAAAACEAuHzHCsYAAADeAAAA&#10;DwAAAAAAAAAAAAAAAAAHAgAAZHJzL2Rvd25yZXYueG1sUEsFBgAAAAADAAMAtwAAAPoCAAAAAA==&#10;" filled="f" stroked="f">
                  <v:textbox inset="0,0,0,0">
                    <w:txbxContent>
                      <w:p w14:paraId="3B1D279A" w14:textId="77777777" w:rsidR="00B32EF2" w:rsidRDefault="00000000">
                        <w:r>
                          <w:rPr>
                            <w:rFonts w:ascii="Arial" w:eastAsia="Arial" w:hAnsi="Arial" w:cs="Arial"/>
                            <w:sz w:val="18"/>
                          </w:rPr>
                          <w:t xml:space="preserve">zioni del presente comma determina la nullità di ogni firma di presentazione </w:t>
                        </w:r>
                      </w:p>
                    </w:txbxContent>
                  </v:textbox>
                </v:rect>
                <v:rect id="Rectangle 21635" o:spid="_x0000_s5931" style="position:absolute;left:17152;top:26778;width:2277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KRxgAAAN4AAAAPAAAAZHJzL2Rvd25yZXYueG1sRI9Ba8JA&#10;FITvgv9heUJvutGiSHQVUcQcvGgt9PjIPpNo9u2SXU3aX+8WCj0OM/MNs1x3phZPanxlWcF4lIAg&#10;zq2uuFBw+dgP5yB8QNZYWyYF3+Rhver3lphq2/KJnudQiAhhn6KCMgSXSunzkgz6kXXE0bvaxmCI&#10;simkbrCNcFPLSZLMpMGK40KJjrYl5ffzwyj42rHL9q3Mrz9bd7xl8/rwuHwq9TboNgsQgbrwH/5r&#10;Z1rBZDx7n8LvnXgF5OoFAAD//wMAUEsBAi0AFAAGAAgAAAAhANvh9svuAAAAhQEAABMAAAAAAAAA&#10;AAAAAAAAAAAAAFtDb250ZW50X1R5cGVzXS54bWxQSwECLQAUAAYACAAAACEAWvQsW78AAAAVAQAA&#10;CwAAAAAAAAAAAAAAAAAfAQAAX3JlbHMvLnJlbHNQSwECLQAUAAYACAAAACEA1zBikcYAAADeAAAA&#10;DwAAAAAAAAAAAAAAAAAHAgAAZHJzL2Rvd25yZXYueG1sUEsFBgAAAAADAAMAtwAAAPoCAAAAAA==&#10;" filled="f" stroked="f">
                  <v:textbox inset="0,0,0,0">
                    <w:txbxContent>
                      <w:p w14:paraId="54E6AAC2" w14:textId="77777777" w:rsidR="00B32EF2" w:rsidRDefault="00000000">
                        <w:r>
                          <w:rPr>
                            <w:rFonts w:ascii="Arial" w:eastAsia="Arial" w:hAnsi="Arial" w:cs="Arial"/>
                            <w:sz w:val="18"/>
                          </w:rPr>
                          <w:t>proposta dal medesimo soggetto.</w:t>
                        </w:r>
                      </w:p>
                    </w:txbxContent>
                  </v:textbox>
                </v:rect>
                <v:rect id="Rectangle 202000" o:spid="_x0000_s5932" style="position:absolute;left:26342;top:25544;width:521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0ffxgAAAN8AAAAPAAAAZHJzL2Rvd25yZXYueG1sRI9Ba8JA&#10;EIXvhf6HZQRvdaOHItFVikWaQy9aBY9Ddkyi2dklu5ror+8cCj0Ob973+JbrwbXqTl1sPBuYTjJQ&#10;xKW3DVcGDj/btzmomJAttp7JwIMirFevL0vMre95R/d9qpRAOOZooE4p5FrHsiaHceIDsWRn3zlM&#10;cnaVth32AnetnmXZu3bYsCzUGGhTU3nd35yB0yeHYtvr8vzchO9LMW+/boejMePR8LEAlWhI/89/&#10;7cIamGXCFAPxERfQq18AAAD//wMAUEsBAi0AFAAGAAgAAAAhANvh9svuAAAAhQEAABMAAAAAAAAA&#10;AAAAAAAAAAAAAFtDb250ZW50X1R5cGVzXS54bWxQSwECLQAUAAYACAAAACEAWvQsW78AAAAVAQAA&#10;CwAAAAAAAAAAAAAAAAAfAQAAX3JlbHMvLnJlbHNQSwECLQAUAAYACAAAACEAzt9H38YAAADfAAAA&#10;DwAAAAAAAAAAAAAAAAAHAgAAZHJzL2Rvd25yZXYueG1sUEsFBgAAAAADAAMAtwAAAPoCAAAAAA==&#10;" filled="f" stroked="f">
                  <v:textbox inset="0,0,0,0">
                    <w:txbxContent>
                      <w:p w14:paraId="0109BC49" w14:textId="77777777" w:rsidR="00B32EF2" w:rsidRDefault="00000000">
                        <w:r>
                          <w:rPr>
                            <w:rFonts w:ascii="Arial" w:eastAsia="Arial" w:hAnsi="Arial" w:cs="Arial"/>
                            <w:sz w:val="18"/>
                          </w:rPr>
                          <w:t>5</w:t>
                        </w:r>
                      </w:p>
                    </w:txbxContent>
                  </v:textbox>
                </v:rect>
                <v:rect id="Rectangle 202001" o:spid="_x0000_s5933" style="position:absolute;left:-12876;top:25544;width:521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JExQAAAN8AAAAPAAAAZHJzL2Rvd25yZXYueG1sRI9Pi8Iw&#10;FMTvC36H8ARva6oHkWoUUcQevKx/wOOjebbV5iU00VY//WZhweMwM79h5svO1OJJja8sKxgNExDE&#10;udUVFwpOx+33FIQPyBpry6TgRR6Wi97XHFNtW/6h5yEUIkLYp6igDMGlUvq8JIN+aB1x9K62MRii&#10;bAqpG2wj3NRynCQTabDiuFCio3VJ+f3wMAouG3bZtpX59b12+1s2rXeP01mpQb9bzUAE6sIn/N/O&#10;tIJxEpkj+PsTv4Bc/AIAAP//AwBQSwECLQAUAAYACAAAACEA2+H2y+4AAACFAQAAEwAAAAAAAAAA&#10;AAAAAAAAAAAAW0NvbnRlbnRfVHlwZXNdLnhtbFBLAQItABQABgAIAAAAIQBa9CxbvwAAABUBAAAL&#10;AAAAAAAAAAAAAAAAAB8BAABfcmVscy8ucmVsc1BLAQItABQABgAIAAAAIQChk+JExQAAAN8AAAAP&#10;AAAAAAAAAAAAAAAAAAcCAABkcnMvZG93bnJldi54bWxQSwUGAAAAAAMAAwC3AAAA+QIAAAAA&#10;" filled="f" stroked="f">
                  <v:textbox inset="0,0,0,0">
                    <w:txbxContent>
                      <w:p w14:paraId="3A015496" w14:textId="77777777" w:rsidR="00B32EF2" w:rsidRDefault="00000000">
                        <w:r>
                          <w:rPr>
                            <w:rFonts w:ascii="Arial" w:eastAsia="Arial" w:hAnsi="Arial" w:cs="Arial"/>
                            <w:sz w:val="18"/>
                          </w:rPr>
                          <w:t>. Nei dieci giorni successivi alla scadenza del termine di cui al comma 3, l’uf</w:t>
                        </w:r>
                      </w:p>
                    </w:txbxContent>
                  </v:textbox>
                </v:rect>
                <v:rect id="Rectangle 21637" o:spid="_x0000_s5934" style="position:absolute;left:192;top:2554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ll9xgAAAN4AAAAPAAAAZHJzL2Rvd25yZXYueG1sRI9Ba8JA&#10;FITvgv9heUJvutGClegqoog5eKla6PGRfSbR7Nslu5q0v94tFDwOM/MNs1h1phYPanxlWcF4lIAg&#10;zq2uuFBwPu2GMxA+IGusLZOCH/KwWvZ7C0y1bfmTHsdQiAhhn6KCMgSXSunzkgz6kXXE0bvYxmCI&#10;simkbrCNcFPLSZJMpcGK40KJjjYl5bfj3Sj43rLLdq3ML78bd7hms3p/P38p9Tbo1nMQgbrwCv+3&#10;M61gMp6+f8DfnXgF5PIJAAD//wMAUEsBAi0AFAAGAAgAAAAhANvh9svuAAAAhQEAABMAAAAAAAAA&#10;AAAAAAAAAAAAAFtDb250ZW50X1R5cGVzXS54bWxQSwECLQAUAAYACAAAACEAWvQsW78AAAAVAQAA&#10;CwAAAAAAAAAAAAAAAAAfAQAAX3JlbHMvLnJlbHNQSwECLQAUAAYACAAAACEASK5ZfcYAAADeAAAA&#10;DwAAAAAAAAAAAAAAAAAHAgAAZHJzL2Rvd25yZXYueG1sUEsFBgAAAAADAAMAtwAAAPoCAAAAAA==&#10;" filled="f" stroked="f">
                  <v:textbox inset="0,0,0,0">
                    <w:txbxContent>
                      <w:p w14:paraId="65C11A35" w14:textId="77777777" w:rsidR="00B32EF2" w:rsidRDefault="00000000">
                        <w:r>
                          <w:rPr>
                            <w:rFonts w:ascii="Arial" w:eastAsia="Arial" w:hAnsi="Arial" w:cs="Arial"/>
                            <w:sz w:val="18"/>
                          </w:rPr>
                          <w:t>-</w:t>
                        </w:r>
                      </w:p>
                    </w:txbxContent>
                  </v:textbox>
                </v:rect>
                <v:rect id="Rectangle 21638" o:spid="_x0000_s5935" style="position:absolute;left:-13172;top:2431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c0PwwAAAN4AAAAPAAAAZHJzL2Rvd25yZXYueG1sRE9Ni8Iw&#10;EL0L+x/CLOxNU10QqUYRF9ke9qJW8Dg0Y1ttJqGJtuuvNwfB4+N9L1a9acSdWl9bVjAeJSCIC6tr&#10;LhXkh+1wBsIHZI2NZVLwTx5Wy4/BAlNtO97RfR9KEUPYp6igCsGlUvqiIoN+ZB1x5M62NRgibEup&#10;W+xiuGnkJEmm0mDNsaFCR5uKiuv+ZhScfthl204W58fG/V2yWfN7y49KfX326zmIQH14i1/uTCuY&#10;jKffcW+8E6+AXD4BAAD//wMAUEsBAi0AFAAGAAgAAAAhANvh9svuAAAAhQEAABMAAAAAAAAAAAAA&#10;AAAAAAAAAFtDb250ZW50X1R5cGVzXS54bWxQSwECLQAUAAYACAAAACEAWvQsW78AAAAVAQAACwAA&#10;AAAAAAAAAAAAAAAfAQAAX3JlbHMvLnJlbHNQSwECLQAUAAYACAAAACEAOTHND8MAAADeAAAADwAA&#10;AAAAAAAAAAAAAAAHAgAAZHJzL2Rvd25yZXYueG1sUEsFBgAAAAADAAMAtwAAAPcCAAAAAA==&#10;" filled="f" stroked="f">
                  <v:textbox inset="0,0,0,0">
                    <w:txbxContent>
                      <w:p w14:paraId="64613E70" w14:textId="77777777" w:rsidR="00B32EF2" w:rsidRDefault="00000000">
                        <w:r>
                          <w:rPr>
                            <w:rFonts w:ascii="Arial" w:eastAsia="Arial" w:hAnsi="Arial" w:cs="Arial"/>
                            <w:sz w:val="18"/>
                          </w:rPr>
                          <w:t xml:space="preserve">ficio elettorale centrale accerta che nei confronti del candidato non sussistono </w:t>
                        </w:r>
                      </w:p>
                    </w:txbxContent>
                  </v:textbox>
                </v:rect>
                <v:rect id="Rectangle 21639" o:spid="_x0000_s5936" style="position:absolute;left:-13172;top:2307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WiUxwAAAN4AAAAPAAAAZHJzL2Rvd25yZXYueG1sRI9Ba8JA&#10;FITvgv9heYI33aggNrpKsUhz8FKbQo+P7DOJzb5dsqtJ++vdguBxmJlvmM2uN424Uetrywpm0wQE&#10;cWF1zaWC/PMwWYHwAVljY5kU/JKH3XY42GCqbccfdDuFUkQI+xQVVCG4VEpfVGTQT60jjt7ZtgZD&#10;lG0pdYtdhJtGzpNkKQ3WHBcqdLSvqPg5XY2C7zd22aGTxflv746XbNW8X/Mvpcaj/nUNIlAfnuFH&#10;O9MK5rPl4gX+78QrILd3AAAA//8DAFBLAQItABQABgAIAAAAIQDb4fbL7gAAAIUBAAATAAAAAAAA&#10;AAAAAAAAAAAAAABbQ29udGVudF9UeXBlc10ueG1sUEsBAi0AFAAGAAgAAAAhAFr0LFu/AAAAFQEA&#10;AAsAAAAAAAAAAAAAAAAAHwEAAF9yZWxzLy5yZWxzUEsBAi0AFAAGAAgAAAAhAFZ9aJTHAAAA3gAA&#10;AA8AAAAAAAAAAAAAAAAABwIAAGRycy9kb3ducmV2LnhtbFBLBQYAAAAAAwADALcAAAD7AgAAAAA=&#10;" filled="f" stroked="f">
                  <v:textbox inset="0,0,0,0">
                    <w:txbxContent>
                      <w:p w14:paraId="3B6EEDEB" w14:textId="77777777" w:rsidR="00B32EF2" w:rsidRDefault="00000000">
                        <w:r>
                          <w:rPr>
                            <w:rFonts w:ascii="Arial" w:eastAsia="Arial" w:hAnsi="Arial" w:cs="Arial"/>
                            <w:sz w:val="18"/>
                          </w:rPr>
                          <w:t xml:space="preserve">le cause di ineleggibilità di cui all’articolo 26. Lo stesso Ufficio verifica, altresì, </w:t>
                        </w:r>
                      </w:p>
                    </w:txbxContent>
                  </v:textbox>
                </v:rect>
                <v:rect id="Rectangle 21640" o:spid="_x0000_s5937" style="position:absolute;left:-13171;top:21844;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bJ0xQAAAN4AAAAPAAAAZHJzL2Rvd25yZXYueG1sRI/NisIw&#10;FIX3wrxDuAOz01QZRKpRxEGmi9moFVxemmtbbW5CE23HpzcLweXh/PEtVr1pxJ1aX1tWMB4lIIgL&#10;q2suFeSH7XAGwgdkjY1lUvBPHlbLj8ECU2073tF9H0oRR9inqKAKwaVS+qIig35kHXH0zrY1GKJs&#10;S6lb7OK4aeQkSabSYM3xoUJHm4qK6/5mFJx+2GXbThbnx8b9XbJZ83vLj0p9ffbrOYhAfXiHX+1M&#10;K5iMp98RIOJEFJDLJwAAAP//AwBQSwECLQAUAAYACAAAACEA2+H2y+4AAACFAQAAEwAAAAAAAAAA&#10;AAAAAAAAAAAAW0NvbnRlbnRfVHlwZXNdLnhtbFBLAQItABQABgAIAAAAIQBa9CxbvwAAABUBAAAL&#10;AAAAAAAAAAAAAAAAAB8BAABfcmVscy8ucmVsc1BLAQItABQABgAIAAAAIQCfQbJ0xQAAAN4AAAAP&#10;AAAAAAAAAAAAAAAAAAcCAABkcnMvZG93bnJldi54bWxQSwUGAAAAAAMAAwC3AAAA+QIAAAAA&#10;" filled="f" stroked="f">
                  <v:textbox inset="0,0,0,0">
                    <w:txbxContent>
                      <w:p w14:paraId="7EC38687" w14:textId="77777777" w:rsidR="00B32EF2" w:rsidRDefault="00000000">
                        <w:r>
                          <w:rPr>
                            <w:rFonts w:ascii="Arial" w:eastAsia="Arial" w:hAnsi="Arial" w:cs="Arial"/>
                            <w:sz w:val="18"/>
                          </w:rPr>
                          <w:t xml:space="preserve">il rispetto delle disposizioni di cui ai commi 3 e 4, esclude, con provvedimento </w:t>
                        </w:r>
                      </w:p>
                    </w:txbxContent>
                  </v:textbox>
                </v:rect>
                <v:rect id="Rectangle 21641" o:spid="_x0000_s5938" style="position:absolute;left:-13171;top:206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RfvxgAAAN4AAAAPAAAAZHJzL2Rvd25yZXYueG1sRI9Ba8JA&#10;FITvBf/D8gRvdRMpItFVRJHm4KVWweMj+0yi2bdLdjXRX98tFHocZuYbZrHqTSMe1PrasoJ0nIAg&#10;LqyuuVRw/N69z0D4gKyxsUwKnuRhtRy8LTDTtuMvehxCKSKEfYYKqhBcJqUvKjLox9YRR+9iW4Mh&#10;yraUusUuwk0jJ0kylQZrjgsVOtpUVNwOd6PgvGWX7zpZXF4bt7/ms+bzfjwpNRr26zmIQH34D/+1&#10;c61gkk4/Uvi9E6+AXP4AAAD//wMAUEsBAi0AFAAGAAgAAAAhANvh9svuAAAAhQEAABMAAAAAAAAA&#10;AAAAAAAAAAAAAFtDb250ZW50X1R5cGVzXS54bWxQSwECLQAUAAYACAAAACEAWvQsW78AAAAVAQAA&#10;CwAAAAAAAAAAAAAAAAAfAQAAX3JlbHMvLnJlbHNQSwECLQAUAAYACAAAACEA8A0X78YAAADeAAAA&#10;DwAAAAAAAAAAAAAAAAAHAgAAZHJzL2Rvd25yZXYueG1sUEsFBgAAAAADAAMAtwAAAPoCAAAAAA==&#10;" filled="f" stroked="f">
                  <v:textbox inset="0,0,0,0">
                    <w:txbxContent>
                      <w:p w14:paraId="3FB34F30" w14:textId="77777777" w:rsidR="00B32EF2" w:rsidRDefault="00000000">
                        <w:r>
                          <w:rPr>
                            <w:rFonts w:ascii="Arial" w:eastAsia="Arial" w:hAnsi="Arial" w:cs="Arial"/>
                            <w:sz w:val="18"/>
                          </w:rPr>
                          <w:t xml:space="preserve">motivato, le candidature non presentate dal prescritto numero di presentatori </w:t>
                        </w:r>
                      </w:p>
                    </w:txbxContent>
                  </v:textbox>
                </v:rect>
                <v:rect id="Rectangle 21642" o:spid="_x0000_s5939" style="position:absolute;left:-12205;top:19378;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4mYxwAAAN4AAAAPAAAAZHJzL2Rvd25yZXYueG1sRI/NasMw&#10;EITvhbyD2EJvjRwTQnAih5IQ4kMvTR3IcbHWP621EpYSu336qlDocZiZb5jtbjK9uNPgO8sKFvME&#10;BHFldceNgvL9+LwG4QOyxt4yKfgiD7t89rDFTNuR3+h+Do2IEPYZKmhDcJmUvmrJoJ9bRxy92g4G&#10;Q5RDI/WAY4SbXqZJspIGO44LLTrat1R9nm9GwfXArjiOsqq/9+71o1j3p1t5UerpcXrZgAg0hf/w&#10;X7vQCtLFapnC7514BWT+AwAA//8DAFBLAQItABQABgAIAAAAIQDb4fbL7gAAAIUBAAATAAAAAAAA&#10;AAAAAAAAAAAAAABbQ29udGVudF9UeXBlc10ueG1sUEsBAi0AFAAGAAgAAAAhAFr0LFu/AAAAFQEA&#10;AAsAAAAAAAAAAAAAAAAAHwEAAF9yZWxzLy5yZWxzUEsBAi0AFAAGAAgAAAAhAADfiZjHAAAA3gAA&#10;AA8AAAAAAAAAAAAAAAAABwIAAGRycy9kb3ducmV2LnhtbFBLBQYAAAAAAwADALcAAAD7AgAAAAA=&#10;" filled="f" stroked="f">
                  <v:textbox inset="0,0,0,0">
                    <w:txbxContent>
                      <w:p w14:paraId="42FD85DE" w14:textId="77777777" w:rsidR="00B32EF2" w:rsidRDefault="00000000">
                        <w:r>
                          <w:rPr>
                            <w:rFonts w:ascii="Arial" w:eastAsia="Arial" w:hAnsi="Arial" w:cs="Arial"/>
                            <w:sz w:val="18"/>
                          </w:rPr>
                          <w:t>ovvero quelle dei candidati ineleggibili, e trasmette immediatamente le candi</w:t>
                        </w:r>
                      </w:p>
                    </w:txbxContent>
                  </v:textbox>
                </v:rect>
                <v:rect id="Rectangle 21643" o:spid="_x0000_s5940" style="position:absolute;left:192;top:1937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ywDxgAAAN4AAAAPAAAAZHJzL2Rvd25yZXYueG1sRI9Ba8JA&#10;FITvgv9heUJvutGKSHQVUcQcvGgt9PjIPpNo9u2SXU3aX+8WCj0OM/MNs1x3phZPanxlWcF4lIAg&#10;zq2uuFBw+dgP5yB8QNZYWyYF3+Rhver3lphq2/KJnudQiAhhn6KCMgSXSunzkgz6kXXE0bvaxmCI&#10;simkbrCNcFPLSZLMpMGK40KJjrYl5ffzwyj42rHL9q3Mrz9bd7xl8/rwuHwq9TboNgsQgbrwH/5r&#10;Z1rBZDybvsPvnXgF5OoFAAD//wMAUEsBAi0AFAAGAAgAAAAhANvh9svuAAAAhQEAABMAAAAAAAAA&#10;AAAAAAAAAAAAAFtDb250ZW50X1R5cGVzXS54bWxQSwECLQAUAAYACAAAACEAWvQsW78AAAAVAQAA&#10;CwAAAAAAAAAAAAAAAAAfAQAAX3JlbHMvLnJlbHNQSwECLQAUAAYACAAAACEAb5MsA8YAAADeAAAA&#10;DwAAAAAAAAAAAAAAAAAHAgAAZHJzL2Rvd25yZXYueG1sUEsFBgAAAAADAAMAtwAAAPoCAAAAAA==&#10;" filled="f" stroked="f">
                  <v:textbox inset="0,0,0,0">
                    <w:txbxContent>
                      <w:p w14:paraId="52DABCD9" w14:textId="77777777" w:rsidR="00B32EF2" w:rsidRDefault="00000000">
                        <w:r>
                          <w:rPr>
                            <w:rFonts w:ascii="Arial" w:eastAsia="Arial" w:hAnsi="Arial" w:cs="Arial"/>
                            <w:sz w:val="18"/>
                          </w:rPr>
                          <w:t>-</w:t>
                        </w:r>
                      </w:p>
                    </w:txbxContent>
                  </v:textbox>
                </v:rect>
                <v:rect id="Rectangle 21644" o:spid="_x0000_s5941" style="position:absolute;left:-13175;top:18144;width:531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rR3xgAAAN4AAAAPAAAAZHJzL2Rvd25yZXYueG1sRI9Bi8Iw&#10;FITvC/6H8ARva6qISDWKKGIPXlZd2OOjebbV5iU00VZ//WZhweMwM98wi1VnavGgxleWFYyGCQji&#10;3OqKCwXn0+5zBsIHZI21ZVLwJA+rZe9jgam2LX/R4xgKESHsU1RQhuBSKX1ekkE/tI44ehfbGAxR&#10;NoXUDbYRbmo5TpKpNFhxXCjR0aak/Ha8GwU/W3bZrpX55bVxh2s2q/f387dSg363noMI1IV3+L+d&#10;aQXj0XQygb878QrI5S8AAAD//wMAUEsBAi0AFAAGAAgAAAAhANvh9svuAAAAhQEAABMAAAAAAAAA&#10;AAAAAAAAAAAAAFtDb250ZW50X1R5cGVzXS54bWxQSwECLQAUAAYACAAAACEAWvQsW78AAAAVAQAA&#10;CwAAAAAAAAAAAAAAAAAfAQAAX3JlbHMvLnJlbHNQSwECLQAUAAYACAAAACEA4Hq0d8YAAADeAAAA&#10;DwAAAAAAAAAAAAAAAAAHAgAAZHJzL2Rvd25yZXYueG1sUEsFBgAAAAADAAMAtwAAAPoCAAAAAA==&#10;" filled="f" stroked="f">
                  <v:textbox inset="0,0,0,0">
                    <w:txbxContent>
                      <w:p w14:paraId="06DCE61D" w14:textId="77777777" w:rsidR="00B32EF2" w:rsidRDefault="00000000">
                        <w:r>
                          <w:rPr>
                            <w:rFonts w:ascii="Arial" w:eastAsia="Arial" w:hAnsi="Arial" w:cs="Arial"/>
                            <w:sz w:val="18"/>
                          </w:rPr>
                          <w:t xml:space="preserve">dature ammesse al Consiglio di presidenza della giustizia tributaria. L’elenco </w:t>
                        </w:r>
                      </w:p>
                    </w:txbxContent>
                  </v:textbox>
                </v:rect>
                <v:rect id="Rectangle 21645" o:spid="_x0000_s5942" style="position:absolute;left:-13171;top:169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hHsxgAAAN4AAAAPAAAAZHJzL2Rvd25yZXYueG1sRI9Ba8JA&#10;FITvgv9heUJvulGqSHQVUcQcvGgt9PjIPpNo9u2SXU3aX+8WCj0OM/MNs1x3phZPanxlWcF4lIAg&#10;zq2uuFBw+dgP5yB8QNZYWyYF3+Rhver3lphq2/KJnudQiAhhn6KCMgSXSunzkgz6kXXE0bvaxmCI&#10;simkbrCNcFPLSZLMpMGK40KJjrYl5ffzwyj42rHL9q3Mrz9bd7xl8/rwuHwq9TboNgsQgbrwH/5r&#10;Z1rBZDx7n8LvnXgF5OoFAAD//wMAUEsBAi0AFAAGAAgAAAAhANvh9svuAAAAhQEAABMAAAAAAAAA&#10;AAAAAAAAAAAAAFtDb250ZW50X1R5cGVzXS54bWxQSwECLQAUAAYACAAAACEAWvQsW78AAAAVAQAA&#10;CwAAAAAAAAAAAAAAAAAfAQAAX3JlbHMvLnJlbHNQSwECLQAUAAYACAAAACEAjzYR7MYAAADeAAAA&#10;DwAAAAAAAAAAAAAAAAAHAgAAZHJzL2Rvd25yZXYueG1sUEsFBgAAAAADAAMAtwAAAPoCAAAAAA==&#10;" filled="f" stroked="f">
                  <v:textbox inset="0,0,0,0">
                    <w:txbxContent>
                      <w:p w14:paraId="0D368064" w14:textId="77777777" w:rsidR="00B32EF2" w:rsidRDefault="00000000">
                        <w:r>
                          <w:rPr>
                            <w:rFonts w:ascii="Arial" w:eastAsia="Arial" w:hAnsi="Arial" w:cs="Arial"/>
                            <w:sz w:val="18"/>
                          </w:rPr>
                          <w:t xml:space="preserve">dei candidati è pubblicato sul sito istituzionale del Consiglio ed inviato dallo </w:t>
                        </w:r>
                      </w:p>
                    </w:txbxContent>
                  </v:textbox>
                </v:rect>
                <v:rect id="Rectangle 21646" o:spid="_x0000_s5943" style="position:absolute;left:-13171;top:156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bxwAAAN4AAAAPAAAAZHJzL2Rvd25yZXYueG1sRI9Pi8Iw&#10;FMTvC36H8Ba8ramyFKlGWRTZHrysf8Djo3m23W1eQhNt9dNvBMHjMDO/YebL3jTiSq2vLSsYjxIQ&#10;xIXVNZcKDvvNxxSED8gaG8uk4EYelovB2xwzbTv+oesulCJC2GeooArBZVL6oiKDfmQdcfTOtjUY&#10;omxLqVvsItw0cpIkqTRYc1yo0NGqouJvdzEKTmt2+aaTxfm+ctvffNp8Xw5HpYbv/dcMRKA+vMLP&#10;dq4VTMbpZwqPO/EKyMU/AAAA//8DAFBLAQItABQABgAIAAAAIQDb4fbL7gAAAIUBAAATAAAAAAAA&#10;AAAAAAAAAAAAAABbQ29udGVudF9UeXBlc10ueG1sUEsBAi0AFAAGAAgAAAAhAFr0LFu/AAAAFQEA&#10;AAsAAAAAAAAAAAAAAAAAHwEAAF9yZWxzLy5yZWxzUEsBAi0AFAAGAAgAAAAhAH/kj5vHAAAA3gAA&#10;AA8AAAAAAAAAAAAAAAAABwIAAGRycy9kb3ducmV2LnhtbFBLBQYAAAAAAwADALcAAAD7AgAAAAA=&#10;" filled="f" stroked="f">
                  <v:textbox inset="0,0,0,0">
                    <w:txbxContent>
                      <w:p w14:paraId="2ED1C8BD" w14:textId="77777777" w:rsidR="00B32EF2" w:rsidRDefault="00000000">
                        <w:r>
                          <w:rPr>
                            <w:rFonts w:ascii="Arial" w:eastAsia="Arial" w:hAnsi="Arial" w:cs="Arial"/>
                            <w:sz w:val="18"/>
                          </w:rPr>
                          <w:t xml:space="preserve">stesso per posta elettronica a tutti i componenti delle corti di giustizia tributaria </w:t>
                        </w:r>
                      </w:p>
                    </w:txbxContent>
                  </v:textbox>
                </v:rect>
                <v:rect id="Rectangle 21647" o:spid="_x0000_s5944" style="position:absolute;left:-13171;top:14445;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CoAxgAAAN4AAAAPAAAAZHJzL2Rvd25yZXYueG1sRI9Ba8JA&#10;FITvgv9heUJvulGKlegqoog5eKla6PGRfSbR7Nslu5q0v94tFDwOM/MNs1h1phYPanxlWcF4lIAg&#10;zq2uuFBwPu2GMxA+IGusLZOCH/KwWvZ7C0y1bfmTHsdQiAhhn6KCMgSXSunzkgz6kXXE0bvYxmCI&#10;simkbrCNcFPLSZJMpcGK40KJjjYl5bfj3Sj43rLLdq3ML78bd7hms3p/P38p9Tbo1nMQgbrwCv+3&#10;M61gMp6+f8DfnXgF5PIJAAD//wMAUEsBAi0AFAAGAAgAAAAhANvh9svuAAAAhQEAABMAAAAAAAAA&#10;AAAAAAAAAAAAAFtDb250ZW50X1R5cGVzXS54bWxQSwECLQAUAAYACAAAACEAWvQsW78AAAAVAQAA&#10;CwAAAAAAAAAAAAAAAAAfAQAAX3JlbHMvLnJlbHNQSwECLQAUAAYACAAAACEAEKgqAMYAAADeAAAA&#10;DwAAAAAAAAAAAAAAAAAHAgAAZHJzL2Rvd25yZXYueG1sUEsFBgAAAAADAAMAtwAAAPoCAAAAAA==&#10;" filled="f" stroked="f">
                  <v:textbox inset="0,0,0,0">
                    <w:txbxContent>
                      <w:p w14:paraId="6F90D477" w14:textId="77777777" w:rsidR="00B32EF2" w:rsidRDefault="00000000">
                        <w:r>
                          <w:rPr>
                            <w:rFonts w:ascii="Arial" w:eastAsia="Arial" w:hAnsi="Arial" w:cs="Arial"/>
                            <w:sz w:val="18"/>
                          </w:rPr>
                          <w:t xml:space="preserve">di primo e secondo grado. Detto elenco è altresì affisso, a cura dei presidenti </w:t>
                        </w:r>
                      </w:p>
                    </w:txbxContent>
                  </v:textbox>
                </v:rect>
                <v:rect id="Rectangle 21648" o:spid="_x0000_s5945" style="position:absolute;left:-13172;top:1321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75ywwAAAN4AAAAPAAAAZHJzL2Rvd25yZXYueG1sRE9Ni8Iw&#10;EL0L+x/CLOxNU2URqUYRF9ke9qJW8Dg0Y1ttJqGJtuuvNwfB4+N9L1a9acSdWl9bVjAeJSCIC6tr&#10;LhXkh+1wBsIHZI2NZVLwTx5Wy4/BAlNtO97RfR9KEUPYp6igCsGlUvqiIoN+ZB1x5M62NRgibEup&#10;W+xiuGnkJEmm0mDNsaFCR5uKiuv+ZhScfthl204W58fG/V2yWfN7y49KfX326zmIQH14i1/uTCuY&#10;jKffcW+8E6+AXD4BAAD//wMAUEsBAi0AFAAGAAgAAAAhANvh9svuAAAAhQEAABMAAAAAAAAAAAAA&#10;AAAAAAAAAFtDb250ZW50X1R5cGVzXS54bWxQSwECLQAUAAYACAAAACEAWvQsW78AAAAVAQAACwAA&#10;AAAAAAAAAAAAAAAfAQAAX3JlbHMvLnJlbHNQSwECLQAUAAYACAAAACEAYTe+csMAAADeAAAADwAA&#10;AAAAAAAAAAAAAAAHAgAAZHJzL2Rvd25yZXYueG1sUEsFBgAAAAADAAMAtwAAAPcCAAAAAA==&#10;" filled="f" stroked="f">
                  <v:textbox inset="0,0,0,0">
                    <w:txbxContent>
                      <w:p w14:paraId="376BE8A1" w14:textId="77777777" w:rsidR="00B32EF2" w:rsidRDefault="00000000">
                        <w:r>
                          <w:rPr>
                            <w:rFonts w:ascii="Arial" w:eastAsia="Arial" w:hAnsi="Arial" w:cs="Arial"/>
                            <w:sz w:val="18"/>
                          </w:rPr>
                          <w:t xml:space="preserve">di corte di giustizia tributaria, presso ciascuna corte di giustizia tributaria di </w:t>
                        </w:r>
                      </w:p>
                    </w:txbxContent>
                  </v:textbox>
                </v:rect>
                <v:rect id="Rectangle 21649" o:spid="_x0000_s5946" style="position:absolute;left:23755;top:11978;width:161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xvpxwAAAN4AAAAPAAAAZHJzL2Rvd25yZXYueG1sRI9Ba8JA&#10;FITvgv9heYI33SgiNrpKsUhz8FKbQo+P7DOJzb5dsqtJ++vdguBxmJlvmM2uN424Uetrywpm0wQE&#10;cWF1zaWC/PMwWYHwAVljY5kU/JKH3XY42GCqbccfdDuFUkQI+xQVVCG4VEpfVGTQT60jjt7ZtgZD&#10;lG0pdYtdhJtGzpNkKQ3WHBcqdLSvqPg5XY2C7zd22aGTxflv746XbNW8X/Mvpcaj/nUNIlAfnuFH&#10;O9MK5rPl4gX+78QrILd3AAAA//8DAFBLAQItABQABgAIAAAAIQDb4fbL7gAAAIUBAAATAAAAAAAA&#10;AAAAAAAAAAAAAABbQ29udGVudF9UeXBlc10ueG1sUEsBAi0AFAAGAAgAAAAhAFr0LFu/AAAAFQEA&#10;AAsAAAAAAAAAAAAAAAAAHwEAAF9yZWxzLy5yZWxzUEsBAi0AFAAGAAgAAAAhAA57G+nHAAAA3gAA&#10;AA8AAAAAAAAAAAAAAAAABwIAAGRycy9kb3ducmV2LnhtbFBLBQYAAAAAAwADALcAAAD7AgAAAAA=&#10;" filled="f" stroked="f">
                  <v:textbox inset="0,0,0,0">
                    <w:txbxContent>
                      <w:p w14:paraId="37162B2F" w14:textId="77777777" w:rsidR="00B32EF2" w:rsidRDefault="00000000">
                        <w:r>
                          <w:rPr>
                            <w:rFonts w:ascii="Arial" w:eastAsia="Arial" w:hAnsi="Arial" w:cs="Arial"/>
                            <w:sz w:val="18"/>
                          </w:rPr>
                          <w:t>primo e secondo grado.</w:t>
                        </w:r>
                      </w:p>
                    </w:txbxContent>
                  </v:textbox>
                </v:rect>
                <v:rect id="Rectangle 201999" o:spid="_x0000_s5947" style="position:absolute;left:-13814;top:1074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B6xwAAAN8AAAAPAAAAZHJzL2Rvd25yZXYueG1sRI9Ba8JA&#10;FITvBf/D8gRvdaOHYqKriCLNwUutgsdH9plEs2+X7Gqiv75bKPQ4zMw3zGLVm0Y8qPW1ZQWTcQKC&#10;uLC65lLB8Xv3PgPhA7LGxjIpeJKH1XLwtsBM246/6HEIpYgQ9hkqqEJwmZS+qMigH1tHHL2LbQ2G&#10;KNtS6ha7CDeNnCbJhzRYc1yo0NGmouJ2uBsF5y27fNfJ4vLauP01nzWf9+NJqdGwX89BBOrDf/iv&#10;nWsF02SSpin8/olfQC5/AAAA//8DAFBLAQItABQABgAIAAAAIQDb4fbL7gAAAIUBAAATAAAAAAAA&#10;AAAAAAAAAAAAAABbQ29udGVudF9UeXBlc10ueG1sUEsBAi0AFAAGAAgAAAAhAFr0LFu/AAAAFQEA&#10;AAsAAAAAAAAAAAAAAAAAHwEAAF9yZWxzLy5yZWxzUEsBAi0AFAAGAAgAAAAhAI56UHrHAAAA3wAA&#10;AA8AAAAAAAAAAAAAAAAABwIAAGRycy9kb3ducmV2LnhtbFBLBQYAAAAAAwADALcAAAD7AgAAAAA=&#10;" filled="f" stroked="f">
                  <v:textbox inset="0,0,0,0">
                    <w:txbxContent>
                      <w:p w14:paraId="18A4D6F7" w14:textId="77777777" w:rsidR="00B32EF2" w:rsidRDefault="00000000">
                        <w:r>
                          <w:rPr>
                            <w:rFonts w:ascii="Arial" w:eastAsia="Arial" w:hAnsi="Arial" w:cs="Arial"/>
                            <w:sz w:val="18"/>
                          </w:rPr>
                          <w:t xml:space="preserve">. Le operazioni elettorali si svolgono presso le sedi delle corti di giustizia </w:t>
                        </w:r>
                      </w:p>
                    </w:txbxContent>
                  </v:textbox>
                </v:rect>
                <v:rect id="Rectangle 201998" o:spid="_x0000_s5948" style="position:absolute;left:26109;top:1074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vXhxQAAAN8AAAAPAAAAZHJzL2Rvd25yZXYueG1sRE89b8Iw&#10;EN0r8R+sQ2IrDgwoSTGoAiEysDSlUsdTfCRp47MVmyT019dDpY5P73u7n0wnBup9a1nBapmAIK6s&#10;brlWcH0/PacgfEDW2FkmBQ/ysN/NnraYazvyGw1lqEUMYZ+jgiYEl0vpq4YM+qV1xJG72d5giLCv&#10;pe5xjOGmk+sk2UiDLceGBh0dGqq+y7tR8HlkV5xGWd1+Du7yVaTd+X79UGoxn15fQASawr/4z11o&#10;BetklWVxcPwTv4Dc/QIAAP//AwBQSwECLQAUAAYACAAAACEA2+H2y+4AAACFAQAAEwAAAAAAAAAA&#10;AAAAAAAAAAAAW0NvbnRlbnRfVHlwZXNdLnhtbFBLAQItABQABgAIAAAAIQBa9CxbvwAAABUBAAAL&#10;AAAAAAAAAAAAAAAAAB8BAABfcmVscy8ucmVsc1BLAQItABQABgAIAAAAIQDhNvXhxQAAAN8AAAAP&#10;AAAAAAAAAAAAAAAAAAcCAABkcnMvZG93bnJldi54bWxQSwUGAAAAAAMAAwC3AAAA+QIAAAAA&#10;" filled="f" stroked="f">
                  <v:textbox inset="0,0,0,0">
                    <w:txbxContent>
                      <w:p w14:paraId="16EE336E" w14:textId="77777777" w:rsidR="00B32EF2" w:rsidRDefault="00000000">
                        <w:r>
                          <w:rPr>
                            <w:rFonts w:ascii="Arial" w:eastAsia="Arial" w:hAnsi="Arial" w:cs="Arial"/>
                            <w:sz w:val="18"/>
                          </w:rPr>
                          <w:t>6</w:t>
                        </w:r>
                      </w:p>
                    </w:txbxContent>
                  </v:textbox>
                </v:rect>
                <v:rect id="Rectangle 21651" o:spid="_x0000_s5949" style="position:absolute;left:-13171;top:95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IEyxgAAAN4AAAAPAAAAZHJzL2Rvd25yZXYueG1sRI9Ba8JA&#10;FITvBf/D8gRvdROhItFVRJHm4KVWweMj+0yi2bdLdjXRX98tFHocZuYbZrHqTSMe1PrasoJ0nIAg&#10;LqyuuVRw/N69z0D4gKyxsUwKnuRhtRy8LTDTtuMvehxCKSKEfYYKqhBcJqUvKjLox9YRR+9iW4Mh&#10;yraUusUuwk0jJ0kylQZrjgsVOtpUVNwOd6PgvGWX7zpZXF4bt7/ms+bzfjwpNRr26zmIQH34D/+1&#10;c61gkk4/Uvi9E6+AXP4AAAD//wMAUEsBAi0AFAAGAAgAAAAhANvh9svuAAAAhQEAABMAAAAAAAAA&#10;AAAAAAAAAAAAAFtDb250ZW50X1R5cGVzXS54bWxQSwECLQAUAAYACAAAACEAWvQsW78AAAAVAQAA&#10;CwAAAAAAAAAAAAAAAAAfAQAAX3JlbHMvLnJlbHNQSwECLQAUAAYACAAAACEAddSBMsYAAADeAAAA&#10;DwAAAAAAAAAAAAAAAAAHAgAAZHJzL2Rvd25yZXYueG1sUEsFBgAAAAADAAMAtwAAAPoCAAAAAA==&#10;" filled="f" stroked="f">
                  <v:textbox inset="0,0,0,0">
                    <w:txbxContent>
                      <w:p w14:paraId="376C69AC" w14:textId="77777777" w:rsidR="00B32EF2" w:rsidRDefault="00000000">
                        <w:r>
                          <w:rPr>
                            <w:rFonts w:ascii="Arial" w:eastAsia="Arial" w:hAnsi="Arial" w:cs="Arial"/>
                            <w:sz w:val="18"/>
                          </w:rPr>
                          <w:t xml:space="preserve">tributaria di primo e secondo grado e presso ciascuna di queste sedi è istituito </w:t>
                        </w:r>
                      </w:p>
                    </w:txbxContent>
                  </v:textbox>
                </v:rect>
                <v:rect id="Rectangle 21652" o:spid="_x0000_s5950" style="position:absolute;left:-13172;top:827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h9FxwAAAN4AAAAPAAAAZHJzL2Rvd25yZXYueG1sRI/NasMw&#10;EITvhbyD2EJvjRxDQnAih5IQ4kMvTR3IcbHWP621EpYSu336qlDocZiZb5jtbjK9uNPgO8sKFvME&#10;BHFldceNgvL9+LwG4QOyxt4yKfgiD7t89rDFTNuR3+h+Do2IEPYZKmhDcJmUvmrJoJ9bRxy92g4G&#10;Q5RDI/WAY4SbXqZJspIGO44LLTrat1R9nm9GwfXArjiOsqq/9+71o1j3p1t5UerpcXrZgAg0hf/w&#10;X7vQCtLFapnC7514BWT+AwAA//8DAFBLAQItABQABgAIAAAAIQDb4fbL7gAAAIUBAAATAAAAAAAA&#10;AAAAAAAAAAAAAABbQ29udGVudF9UeXBlc10ueG1sUEsBAi0AFAAGAAgAAAAhAFr0LFu/AAAAFQEA&#10;AAsAAAAAAAAAAAAAAAAAHwEAAF9yZWxzLy5yZWxzUEsBAi0AFAAGAAgAAAAhAIUGH0XHAAAA3gAA&#10;AA8AAAAAAAAAAAAAAAAABwIAAGRycy9kb3ducmV2LnhtbFBLBQYAAAAAAwADALcAAAD7AgAAAAA=&#10;" filled="f" stroked="f">
                  <v:textbox inset="0,0,0,0">
                    <w:txbxContent>
                      <w:p w14:paraId="19B864FD" w14:textId="77777777" w:rsidR="00B32EF2" w:rsidRDefault="00000000">
                        <w:r>
                          <w:rPr>
                            <w:rFonts w:ascii="Arial" w:eastAsia="Arial" w:hAnsi="Arial" w:cs="Arial"/>
                            <w:sz w:val="18"/>
                          </w:rPr>
                          <w:t xml:space="preserve">l’ufficio elettorale locale, che assicura l’espletamento delle operazioni di voto, </w:t>
                        </w:r>
                      </w:p>
                    </w:txbxContent>
                  </v:textbox>
                </v:rect>
                <v:rect id="Rectangle 21653" o:spid="_x0000_s5951" style="position:absolute;left:-13172;top:704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rrexgAAAN4AAAAPAAAAZHJzL2Rvd25yZXYueG1sRI9Ba8JA&#10;FITvgv9heUJvutGiSHQVUcQcvGgt9PjIPpNo9u2SXU3aX+8WCj0OM/MNs1x3phZPanxlWcF4lIAg&#10;zq2uuFBw+dgP5yB8QNZYWyYF3+Rhver3lphq2/KJnudQiAhhn6KCMgSXSunzkgz6kXXE0bvaxmCI&#10;simkbrCNcFPLSZLMpMGK40KJjrYl5ffzwyj42rHL9q3Mrz9bd7xl8/rwuHwq9TboNgsQgbrwH/5r&#10;Z1rBZDybvsPvnXgF5OoFAAD//wMAUEsBAi0AFAAGAAgAAAAhANvh9svuAAAAhQEAABMAAAAAAAAA&#10;AAAAAAAAAAAAAFtDb250ZW50X1R5cGVzXS54bWxQSwECLQAUAAYACAAAACEAWvQsW78AAAAVAQAA&#10;CwAAAAAAAAAAAAAAAAAfAQAAX3JlbHMvLnJlbHNQSwECLQAUAAYACAAAACEA6kq63sYAAADeAAAA&#10;DwAAAAAAAAAAAAAAAAAHAgAAZHJzL2Rvd25yZXYueG1sUEsFBgAAAAADAAMAtwAAAPoCAAAAAA==&#10;" filled="f" stroked="f">
                  <v:textbox inset="0,0,0,0">
                    <w:txbxContent>
                      <w:p w14:paraId="723E73EA" w14:textId="77777777" w:rsidR="00B32EF2" w:rsidRDefault="00000000">
                        <w:r>
                          <w:rPr>
                            <w:rFonts w:ascii="Arial" w:eastAsia="Arial" w:hAnsi="Arial" w:cs="Arial"/>
                            <w:sz w:val="18"/>
                          </w:rPr>
                          <w:t xml:space="preserve">composto dal presidente della corte di giustizia tributaria o da un suo delegato, </w:t>
                        </w:r>
                      </w:p>
                    </w:txbxContent>
                  </v:textbox>
                </v:rect>
                <v:rect id="Rectangle 21654" o:spid="_x0000_s5952" style="position:absolute;left:-12205;top:5811;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yKqxgAAAN4AAAAPAAAAZHJzL2Rvd25yZXYueG1sRI9Ba8JA&#10;FITvgv9heUJvulGqSHQVUcQcvGgt9PjIPpNo9u2SXU3aX+8WCj0OM/MNs1x3phZPanxlWcF4lIAg&#10;zq2uuFBw+dgP5yB8QNZYWyYF3+Rhver3lphq2/KJnudQiAhhn6KCMgSXSunzkgz6kXXE0bvaxmCI&#10;simkbrCNcFPLSZLMpMGK40KJjrYl5ffzwyj42rHL9q3Mrz9bd7xl8/rwuHwq9TboNgsQgbrwH/5r&#10;Z1rBZDybvsPvnXgF5OoFAAD//wMAUEsBAi0AFAAGAAgAAAAhANvh9svuAAAAhQEAABMAAAAAAAAA&#10;AAAAAAAAAAAAAFtDb250ZW50X1R5cGVzXS54bWxQSwECLQAUAAYACAAAACEAWvQsW78AAAAVAQAA&#10;CwAAAAAAAAAAAAAAAAAfAQAAX3JlbHMvLnJlbHNQSwECLQAUAAYACAAAACEAZaMiqsYAAADeAAAA&#10;DwAAAAAAAAAAAAAAAAAHAgAAZHJzL2Rvd25yZXYueG1sUEsFBgAAAAADAAMAtwAAAPoCAAAAAA==&#10;" filled="f" stroked="f">
                  <v:textbox inset="0,0,0,0">
                    <w:txbxContent>
                      <w:p w14:paraId="37E98DFC" w14:textId="77777777" w:rsidR="00B32EF2" w:rsidRDefault="00000000">
                        <w:r>
                          <w:rPr>
                            <w:rFonts w:ascii="Arial" w:eastAsia="Arial" w:hAnsi="Arial" w:cs="Arial"/>
                            <w:sz w:val="18"/>
                          </w:rPr>
                          <w:t>che lo presiede, e da due giudici tributari, nominati dal presidente delle rispetti</w:t>
                        </w:r>
                      </w:p>
                    </w:txbxContent>
                  </v:textbox>
                </v:rect>
                <v:rect id="Rectangle 21655" o:spid="_x0000_s5953" style="position:absolute;left:192;top:581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4cxxgAAAN4AAAAPAAAAZHJzL2Rvd25yZXYueG1sRI9Bi8Iw&#10;FITvC/6H8ARva6qgSDWKKGIPXlZd2OOjebbV5iU00VZ//WZhweMwM98wi1VnavGgxleWFYyGCQji&#10;3OqKCwXn0+5zBsIHZI21ZVLwJA+rZe9jgam2LX/R4xgKESHsU1RQhuBSKX1ekkE/tI44ehfbGAxR&#10;NoXUDbYRbmo5TpKpNFhxXCjR0aak/Ha8GwU/W3bZrpX55bVxh2s2q/f387dSg363noMI1IV3+L+d&#10;aQXj0XQygb878QrI5S8AAAD//wMAUEsBAi0AFAAGAAgAAAAhANvh9svuAAAAhQEAABMAAAAAAAAA&#10;AAAAAAAAAAAAAFtDb250ZW50X1R5cGVzXS54bWxQSwECLQAUAAYACAAAACEAWvQsW78AAAAVAQAA&#10;CwAAAAAAAAAAAAAAAAAfAQAAX3JlbHMvLnJlbHNQSwECLQAUAAYACAAAACEACu+HMcYAAADeAAAA&#10;DwAAAAAAAAAAAAAAAAAHAgAAZHJzL2Rvd25yZXYueG1sUEsFBgAAAAADAAMAtwAAAPoCAAAAAA==&#10;" filled="f" stroked="f">
                  <v:textbox inset="0,0,0,0">
                    <w:txbxContent>
                      <w:p w14:paraId="04F514C6" w14:textId="77777777" w:rsidR="00B32EF2" w:rsidRDefault="00000000">
                        <w:r>
                          <w:rPr>
                            <w:rFonts w:ascii="Arial" w:eastAsia="Arial" w:hAnsi="Arial" w:cs="Arial"/>
                            <w:sz w:val="18"/>
                          </w:rPr>
                          <w:t>-</w:t>
                        </w:r>
                      </w:p>
                    </w:txbxContent>
                  </v:textbox>
                </v:rect>
                <v:rect id="Rectangle 21656" o:spid="_x0000_s5954" style="position:absolute;left:-13172;top:457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RlGxwAAAN4AAAAPAAAAZHJzL2Rvd25yZXYueG1sRI9Pi8Iw&#10;FMTvC36H8Ba8ranCFqlGWRTZHrysf8Djo3m23W1eQhNt9dNvBMHjMDO/YebL3jTiSq2vLSsYjxIQ&#10;xIXVNZcKDvvNxxSED8gaG8uk4EYelovB2xwzbTv+oesulCJC2GeooArBZVL6oiKDfmQdcfTOtjUY&#10;omxLqVvsItw0cpIkqTRYc1yo0NGqouJvdzEKTmt2+aaTxfm+ctvffNp8Xw5HpYbv/dcMRKA+vMLP&#10;dq4VTMbpZwqPO/EKyMU/AAAA//8DAFBLAQItABQABgAIAAAAIQDb4fbL7gAAAIUBAAATAAAAAAAA&#10;AAAAAAAAAAAAAABbQ29udGVudF9UeXBlc10ueG1sUEsBAi0AFAAGAAgAAAAhAFr0LFu/AAAAFQEA&#10;AAsAAAAAAAAAAAAAAAAAHwEAAF9yZWxzLy5yZWxzUEsBAi0AFAAGAAgAAAAhAPo9GUbHAAAA3gAA&#10;AA8AAAAAAAAAAAAAAAAABwIAAGRycy9kb3ducmV2LnhtbFBLBQYAAAAAAwADALcAAAD7AgAAAAA=&#10;" filled="f" stroked="f">
                  <v:textbox inset="0,0,0,0">
                    <w:txbxContent>
                      <w:p w14:paraId="013F1BD0" w14:textId="77777777" w:rsidR="00B32EF2" w:rsidRDefault="00000000">
                        <w:r>
                          <w:rPr>
                            <w:rFonts w:ascii="Arial" w:eastAsia="Arial" w:hAnsi="Arial" w:cs="Arial"/>
                            <w:sz w:val="18"/>
                          </w:rPr>
                          <w:t xml:space="preserve">ve corti di giustizia tributaria almeno venti giorni prima della data fissata per le </w:t>
                        </w:r>
                      </w:p>
                    </w:txbxContent>
                  </v:textbox>
                </v:rect>
                <v:rect id="Rectangle 21657" o:spid="_x0000_s5955" style="position:absolute;left:-13171;top:334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bzdxgAAAN4AAAAPAAAAZHJzL2Rvd25yZXYueG1sRI9Ba8JA&#10;FITvgv9heUJvulGolegqoog5eKla6PGRfSbR7Nslu5q0v94tFDwOM/MNs1h1phYPanxlWcF4lIAg&#10;zq2uuFBwPu2GMxA+IGusLZOCH/KwWvZ7C0y1bfmTHsdQiAhhn6KCMgSXSunzkgz6kXXE0bvYxmCI&#10;simkbrCNcFPLSZJMpcGK40KJjjYl5bfj3Sj43rLLdq3ML78bd7hms3p/P38p9Tbo1nMQgbrwCv+3&#10;M61gMp6+f8DfnXgF5PIJAAD//wMAUEsBAi0AFAAGAAgAAAAhANvh9svuAAAAhQEAABMAAAAAAAAA&#10;AAAAAAAAAAAAAFtDb250ZW50X1R5cGVzXS54bWxQSwECLQAUAAYACAAAACEAWvQsW78AAAAVAQAA&#10;CwAAAAAAAAAAAAAAAAAfAQAAX3JlbHMvLnJlbHNQSwECLQAUAAYACAAAACEAlXG83cYAAADeAAAA&#10;DwAAAAAAAAAAAAAAAAAHAgAAZHJzL2Rvd25yZXYueG1sUEsFBgAAAAADAAMAtwAAAPoCAAAAAA==&#10;" filled="f" stroked="f">
                  <v:textbox inset="0,0,0,0">
                    <w:txbxContent>
                      <w:p w14:paraId="35B88E9B" w14:textId="77777777" w:rsidR="00B32EF2" w:rsidRDefault="00000000">
                        <w:r>
                          <w:rPr>
                            <w:rFonts w:ascii="Arial" w:eastAsia="Arial" w:hAnsi="Arial" w:cs="Arial"/>
                            <w:sz w:val="18"/>
                          </w:rPr>
                          <w:t xml:space="preserve">elezioni. Sono nominati altresì tre supplenti, i quali sostituiscono i componenti </w:t>
                        </w:r>
                      </w:p>
                    </w:txbxContent>
                  </v:textbox>
                </v:rect>
                <v:rect id="Rectangle 21658" o:spid="_x0000_s5956" style="position:absolute;left:-13171;top:2112;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iivwwAAAN4AAAAPAAAAZHJzL2Rvd25yZXYueG1sRE9Ni8Iw&#10;EL0L+x/CLOxNU4UVqUYRF9ke9qJW8Dg0Y1ttJqGJtuuvNwfB4+N9L1a9acSdWl9bVjAeJSCIC6tr&#10;LhXkh+1wBsIHZI2NZVLwTx5Wy4/BAlNtO97RfR9KEUPYp6igCsGlUvqiIoN+ZB1x5M62NRgibEup&#10;W+xiuGnkJEmm0mDNsaFCR5uKiuv+ZhScfthl204W58fG/V2yWfN7y49KfX326zmIQH14i1/uTCuY&#10;jKffcW+8E6+AXD4BAAD//wMAUEsBAi0AFAAGAAgAAAAhANvh9svuAAAAhQEAABMAAAAAAAAAAAAA&#10;AAAAAAAAAFtDb250ZW50X1R5cGVzXS54bWxQSwECLQAUAAYACAAAACEAWvQsW78AAAAVAQAACwAA&#10;AAAAAAAAAAAAAAAfAQAAX3JlbHMvLnJlbHNQSwECLQAUAAYACAAAACEA5O4or8MAAADeAAAADwAA&#10;AAAAAAAAAAAAAAAHAgAAZHJzL2Rvd25yZXYueG1sUEsFBgAAAAADAAMAtwAAAPcCAAAAAA==&#10;" filled="f" stroked="f">
                  <v:textbox inset="0,0,0,0">
                    <w:txbxContent>
                      <w:p w14:paraId="3195D47B" w14:textId="77777777" w:rsidR="00B32EF2" w:rsidRDefault="00000000">
                        <w:r>
                          <w:rPr>
                            <w:rFonts w:ascii="Arial" w:eastAsia="Arial" w:hAnsi="Arial" w:cs="Arial"/>
                            <w:sz w:val="18"/>
                          </w:rPr>
                          <w:t xml:space="preserve">effettivi in caso di loro assenza o impedimento. Non possono far parte degli </w:t>
                        </w:r>
                      </w:p>
                    </w:txbxContent>
                  </v:textbox>
                </v:rect>
                <v:rect id="Rectangle 21659" o:spid="_x0000_s5957" style="position:absolute;left:-13172;top:87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o00xwAAAN4AAAAPAAAAZHJzL2Rvd25yZXYueG1sRI9Ba8JA&#10;FITvgv9heYI33SgoNrpKsUhz8FKbQo+P7DOJzb5dsqtJ++vdguBxmJlvmM2uN424Uetrywpm0wQE&#10;cWF1zaWC/PMwWYHwAVljY5kU/JKH3XY42GCqbccfdDuFUkQI+xQVVCG4VEpfVGTQT60jjt7ZtgZD&#10;lG0pdYtdhJtGzpNkKQ3WHBcqdLSvqPg5XY2C7zd22aGTxflv746XbNW8X/Mvpcaj/nUNIlAfnuFH&#10;O9MK5rPl4gX+78QrILd3AAAA//8DAFBLAQItABQABgAIAAAAIQDb4fbL7gAAAIUBAAATAAAAAAAA&#10;AAAAAAAAAAAAAABbQ29udGVudF9UeXBlc10ueG1sUEsBAi0AFAAGAAgAAAAhAFr0LFu/AAAAFQEA&#10;AAsAAAAAAAAAAAAAAAAAHwEAAF9yZWxzLy5yZWxzUEsBAi0AFAAGAAgAAAAhAIuijTTHAAAA3gAA&#10;AA8AAAAAAAAAAAAAAAAABwIAAGRycy9kb3ducmV2LnhtbFBLBQYAAAAAAwADALcAAAD7AgAAAAA=&#10;" filled="f" stroked="f">
                  <v:textbox inset="0,0,0,0">
                    <w:txbxContent>
                      <w:p w14:paraId="4F2AE6D2" w14:textId="77777777" w:rsidR="00B32EF2" w:rsidRDefault="00000000">
                        <w:r>
                          <w:rPr>
                            <w:rFonts w:ascii="Arial" w:eastAsia="Arial" w:hAnsi="Arial" w:cs="Arial"/>
                            <w:sz w:val="18"/>
                          </w:rPr>
                          <w:t xml:space="preserve">uffici elettorali giudici tributari che abbiano riportato sanzioni disciplinari più </w:t>
                        </w:r>
                      </w:p>
                    </w:txbxContent>
                  </v:textbox>
                </v:rect>
                <v:rect id="Rectangle 21660" o:spid="_x0000_s5958" style="position:absolute;left:23370;top:-354;width:1655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O4UxAAAAN4AAAAPAAAAZHJzL2Rvd25yZXYueG1sRI/NisIw&#10;FIX3A75DuIK7MdVFkWoUUcQu3OgouLw017ba3IQm2urTTxYDszycP77FqjeNeFHra8sKJuMEBHFh&#10;dc2lgvPP7nsGwgdkjY1lUvAmD6vl4GuBmbYdH+l1CqWII+wzVFCF4DIpfVGRQT+2jjh6N9saDFG2&#10;pdQtdnHcNHKaJKk0WHN8qNDRpqLicXoaBdctu3zXyeL22bjDPZ81++f5otRo2K/nIAL14T/81861&#10;gukkTSNAxIkoIJe/AAAA//8DAFBLAQItABQABgAIAAAAIQDb4fbL7gAAAIUBAAATAAAAAAAAAAAA&#10;AAAAAAAAAABbQ29udGVudF9UeXBlc10ueG1sUEsBAi0AFAAGAAgAAAAhAFr0LFu/AAAAFQEAAAsA&#10;AAAAAAAAAAAAAAAAHwEAAF9yZWxzLy5yZWxzUEsBAi0AFAAGAAgAAAAhANT07hTEAAAA3gAAAA8A&#10;AAAAAAAAAAAAAAAABwIAAGRycy9kb3ducmV2LnhtbFBLBQYAAAAAAwADALcAAAD4AgAAAAA=&#10;" filled="f" stroked="f">
                  <v:textbox inset="0,0,0,0">
                    <w:txbxContent>
                      <w:p w14:paraId="7E721109" w14:textId="77777777" w:rsidR="00B32EF2" w:rsidRDefault="00000000">
                        <w:r>
                          <w:rPr>
                            <w:rFonts w:ascii="Arial" w:eastAsia="Arial" w:hAnsi="Arial" w:cs="Arial"/>
                            <w:sz w:val="18"/>
                          </w:rPr>
                          <w:t>gravi dell’ammonimento.</w:t>
                        </w:r>
                      </w:p>
                    </w:txbxContent>
                  </v:textbox>
                </v:rect>
                <w10:anchorlock/>
              </v:group>
            </w:pict>
          </mc:Fallback>
        </mc:AlternateContent>
      </w:r>
    </w:p>
    <w:p w14:paraId="47904C71" w14:textId="77777777" w:rsidR="00B32EF2" w:rsidRDefault="00000000">
      <w:pPr>
        <w:spacing w:after="453"/>
        <w:ind w:left="-1440" w:right="7064"/>
      </w:pPr>
      <w:r>
        <w:rPr>
          <w:noProof/>
        </w:rPr>
        <w:lastRenderedPageBreak/>
        <mc:AlternateContent>
          <mc:Choice Requires="wpg">
            <w:drawing>
              <wp:anchor distT="0" distB="0" distL="114300" distR="114300" simplePos="0" relativeHeight="251672576" behindDoc="0" locked="0" layoutInCell="1" allowOverlap="1" wp14:anchorId="3C8109CA" wp14:editId="3D6157C9">
                <wp:simplePos x="0" y="0"/>
                <wp:positionH relativeFrom="page">
                  <wp:posOffset>2632944</wp:posOffset>
                </wp:positionH>
                <wp:positionV relativeFrom="page">
                  <wp:posOffset>397149</wp:posOffset>
                </wp:positionV>
                <wp:extent cx="134112" cy="188456"/>
                <wp:effectExtent l="0" t="0" r="0" b="0"/>
                <wp:wrapTopAndBottom/>
                <wp:docPr id="202174" name="Group 202174"/>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21678" name="Rectangle 21678"/>
                        <wps:cNvSpPr/>
                        <wps:spPr>
                          <a:xfrm rot="-10799999">
                            <a:off x="-44256" y="-62190"/>
                            <a:ext cx="178369" cy="250646"/>
                          </a:xfrm>
                          <a:prstGeom prst="rect">
                            <a:avLst/>
                          </a:prstGeom>
                          <a:ln>
                            <a:noFill/>
                          </a:ln>
                        </wps:spPr>
                        <wps:txbx>
                          <w:txbxContent>
                            <w:p w14:paraId="3AE48185" w14:textId="77777777" w:rsidR="00B32EF2" w:rsidRDefault="00000000">
                              <w:r>
                                <w:rPr>
                                  <w:rFonts w:ascii="Times New Roman" w:eastAsia="Times New Roman" w:hAnsi="Times New Roman" w:cs="Times New Roman"/>
                                </w:rPr>
                                <w:t>31</w:t>
                              </w:r>
                            </w:p>
                          </w:txbxContent>
                        </wps:txbx>
                        <wps:bodyPr horzOverflow="overflow" vert="horz" lIns="0" tIns="0" rIns="0" bIns="0" rtlCol="0">
                          <a:noAutofit/>
                        </wps:bodyPr>
                      </wps:wsp>
                    </wpg:wgp>
                  </a:graphicData>
                </a:graphic>
              </wp:anchor>
            </w:drawing>
          </mc:Choice>
          <mc:Fallback>
            <w:pict>
              <v:group w14:anchorId="3C8109CA" id="Group 202174" o:spid="_x0000_s5959" style="position:absolute;left:0;text-align:left;margin-left:207.3pt;margin-top:31.25pt;width:10.55pt;height:14.85pt;z-index:251672576;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FaGwIAAIEEAAAOAAAAZHJzL2Uyb0RvYy54bWyklNtu3CAQhu8r9R0Q97s+xPF6rfVGVdOs&#10;KlVNlLQPwGJ8kDAgYNfePn0HfNg2kXqR+gIPAx7++Zjx7m7oODozbVopChytQ4yYoLJsRV3gnz8e&#10;VhlGxhJREi4FK/CFGXy3//hh16ucxbKRvGQaQRBh8l4VuLFW5UFgaMM6YtZSMQGLldQdsTDVdVBq&#10;0kP0jgdxGKZBL3WptKTMGPDej4t47+NXFaP2saoMs4gXGLRZP2o/Ht0Y7HckrzVRTUsnGeQdKjrS&#10;Cjh0CXVPLEEn3b4J1bVUSyMru6ayC2RVtZT5HCCbKHyVzUHLk/K51HlfqwUToH3F6d1h6ffzQasX&#10;9aSBRK9qYOFnLpeh0p17g0o0eGSXBRkbLKLgjG6SKIoxorAUZVlym45IaQPc33xFmy///C6YDw3+&#10;ktIrKA5zzd/8X/4vDVHMYzU55P+kUVsWOI7SDRSrIB2U6TMUDhE1Z2h0ezh+94LK5AaozZyQllBb&#10;qyjcbN3ja2HitkqSGLAgILRK42g7Fd1CcJPdpNuRYHwbpoknuJAgudLGHpjskDMKrEGaD0/O34wF&#10;YbB13uLUcOFGIR9azsdV5wGgs2Bn2eE4+KyTTZS5G3POoywvAKOR+tcjtHTFZV9gOVnYdTkc71Yx&#10;4l8FXIJrqNnQs3GcDW35Z+nbbhT06WRl1XrF19MmZXC73vJ17lOaetI10p9zv+v659j/BgAA//8D&#10;AFBLAwQUAAYACAAAACEA9+BjMOAAAAAJAQAADwAAAGRycy9kb3ducmV2LnhtbEyPQU+DQBCF7yb+&#10;h82YeLMLFFCRoWka9dQ0sTUx3qYwBVJ2l7BboP/e9aTHyfvy3jf5aladGHmwrdEI4SIAwbo0Vatr&#10;hM/D28MTCOtIV9QZzQhXtrAqbm9yyioz6Q8e964WvkTbjBAa5/pMSls2rMguTM/aZyczKHL+HGpZ&#10;DTT5ctXJKAhSqajVfqGhnjcNl+f9RSG8TzStl+HruD2fNtfvQ7L72oaMeH83r19AOJ7dHwy/+l4d&#10;Cu90NBddWdEhxGGcehQhjRIQHoiXySOII8JzFIEscvn/g+IHAAD//wMAUEsBAi0AFAAGAAgAAAAh&#10;ALaDOJL+AAAA4QEAABMAAAAAAAAAAAAAAAAAAAAAAFtDb250ZW50X1R5cGVzXS54bWxQSwECLQAU&#10;AAYACAAAACEAOP0h/9YAAACUAQAACwAAAAAAAAAAAAAAAAAvAQAAX3JlbHMvLnJlbHNQSwECLQAU&#10;AAYACAAAACEADRhBWhsCAACBBAAADgAAAAAAAAAAAAAAAAAuAgAAZHJzL2Uyb0RvYy54bWxQSwEC&#10;LQAUAAYACAAAACEA9+BjMOAAAAAJAQAADwAAAAAAAAAAAAAAAAB1BAAAZHJzL2Rvd25yZXYueG1s&#10;UEsFBgAAAAAEAAQA8wAAAIIFAAAAAA==&#10;">
                <v:rect id="Rectangle 21678" o:spid="_x0000_s5960"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3TPwwAAAN4AAAAPAAAAZHJzL2Rvd25yZXYueG1sRE9Ni8Iw&#10;EL0v+B/CCN7WVA+uVKOIIvbgZd0KHodmbKvNJDTRVn/95rCwx8f7Xq5704gntb62rGAyTkAQF1bX&#10;XCrIf/afcxA+IGtsLJOCF3lYrwYfS0y17fibnqdQihjCPkUFVQguldIXFRn0Y+uII3e1rcEQYVtK&#10;3WIXw00jp0kykwZrjg0VOtpWVNxPD6PgsmOX7TtZXN9bd7xl8+bwyM9KjYb9ZgEiUB/+xX/uTCuY&#10;TmZfcW+8E6+AXP0CAAD//wMAUEsBAi0AFAAGAAgAAAAhANvh9svuAAAAhQEAABMAAAAAAAAAAAAA&#10;AAAAAAAAAFtDb250ZW50X1R5cGVzXS54bWxQSwECLQAUAAYACAAAACEAWvQsW78AAAAVAQAACwAA&#10;AAAAAAAAAAAAAAAfAQAAX3JlbHMvLnJlbHNQSwECLQAUAAYACAAAACEAr1t0z8MAAADeAAAADwAA&#10;AAAAAAAAAAAAAAAHAgAAZHJzL2Rvd25yZXYueG1sUEsFBgAAAAADAAMAtwAAAPcCAAAAAA==&#10;" filled="f" stroked="f">
                  <v:textbox inset="0,0,0,0">
                    <w:txbxContent>
                      <w:p w14:paraId="3AE48185" w14:textId="77777777" w:rsidR="00B32EF2" w:rsidRDefault="00000000">
                        <w:r>
                          <w:rPr>
                            <w:rFonts w:ascii="Times New Roman" w:eastAsia="Times New Roman" w:hAnsi="Times New Roman" w:cs="Times New Roman"/>
                          </w:rPr>
                          <w:t>31</w:t>
                        </w:r>
                      </w:p>
                    </w:txbxContent>
                  </v:textbox>
                </v:rect>
                <w10:wrap type="topAndBottom" anchorx="page" anchory="page"/>
              </v:group>
            </w:pict>
          </mc:Fallback>
        </mc:AlternateContent>
      </w:r>
    </w:p>
    <w:p w14:paraId="05D16006" w14:textId="77777777" w:rsidR="00B32EF2" w:rsidRDefault="00000000">
      <w:pPr>
        <w:spacing w:after="0"/>
        <w:ind w:left="-356" w:right="-307"/>
      </w:pPr>
      <w:r>
        <w:rPr>
          <w:noProof/>
        </w:rPr>
        <w:lastRenderedPageBreak/>
        <mc:AlternateContent>
          <mc:Choice Requires="wpg">
            <w:drawing>
              <wp:inline distT="0" distB="0" distL="0" distR="0" wp14:anchorId="5A7185D8" wp14:editId="5028A8C7">
                <wp:extent cx="3991939" cy="5657272"/>
                <wp:effectExtent l="0" t="0" r="0" b="0"/>
                <wp:docPr id="202175" name="Group 202175"/>
                <wp:cNvGraphicFramePr/>
                <a:graphic xmlns:a="http://schemas.openxmlformats.org/drawingml/2006/main">
                  <a:graphicData uri="http://schemas.microsoft.com/office/word/2010/wordprocessingGroup">
                    <wpg:wgp>
                      <wpg:cNvGrpSpPr/>
                      <wpg:grpSpPr>
                        <a:xfrm>
                          <a:off x="0" y="0"/>
                          <a:ext cx="3991939" cy="5657272"/>
                          <a:chOff x="0" y="0"/>
                          <a:chExt cx="3991939" cy="5657272"/>
                        </a:xfrm>
                      </wpg:grpSpPr>
                      <wps:wsp>
                        <wps:cNvPr id="21679" name="Rectangle 21679"/>
                        <wps:cNvSpPr/>
                        <wps:spPr>
                          <a:xfrm rot="-10799999">
                            <a:off x="1625708" y="5514383"/>
                            <a:ext cx="620298" cy="142889"/>
                          </a:xfrm>
                          <a:prstGeom prst="rect">
                            <a:avLst/>
                          </a:prstGeom>
                          <a:ln>
                            <a:noFill/>
                          </a:ln>
                        </wps:spPr>
                        <wps:txbx>
                          <w:txbxContent>
                            <w:p w14:paraId="01019BD9" w14:textId="77777777" w:rsidR="00B32EF2" w:rsidRDefault="00000000">
                              <w:r>
                                <w:rPr>
                                  <w:rFonts w:ascii="Arial" w:eastAsia="Arial" w:hAnsi="Arial" w:cs="Arial"/>
                                  <w:b/>
                                  <w:sz w:val="18"/>
                                </w:rPr>
                                <w:t>CAPO III</w:t>
                              </w:r>
                            </w:p>
                          </w:txbxContent>
                        </wps:txbx>
                        <wps:bodyPr horzOverflow="overflow" vert="horz" lIns="0" tIns="0" rIns="0" bIns="0" rtlCol="0">
                          <a:noAutofit/>
                        </wps:bodyPr>
                      </wps:wsp>
                      <wps:wsp>
                        <wps:cNvPr id="21680" name="Rectangle 21680"/>
                        <wps:cNvSpPr/>
                        <wps:spPr>
                          <a:xfrm rot="-10799999">
                            <a:off x="-906448" y="5267724"/>
                            <a:ext cx="4676075" cy="142889"/>
                          </a:xfrm>
                          <a:prstGeom prst="rect">
                            <a:avLst/>
                          </a:prstGeom>
                          <a:ln>
                            <a:noFill/>
                          </a:ln>
                        </wps:spPr>
                        <wps:txbx>
                          <w:txbxContent>
                            <w:p w14:paraId="50342B9D" w14:textId="77777777" w:rsidR="00B32EF2" w:rsidRDefault="00000000">
                              <w:r>
                                <w:rPr>
                                  <w:rFonts w:ascii="Arial" w:eastAsia="Arial" w:hAnsi="Arial" w:cs="Arial"/>
                                  <w:b/>
                                  <w:sz w:val="18"/>
                                </w:rPr>
                                <w:t xml:space="preserve"> IL CONSIGLIO DI PRESIDENZA DELLA GIUSTIZIA TRIBUTARIA</w:t>
                              </w:r>
                            </w:p>
                          </w:txbxContent>
                        </wps:txbx>
                        <wps:bodyPr horzOverflow="overflow" vert="horz" lIns="0" tIns="0" rIns="0" bIns="0" rtlCol="0">
                          <a:noAutofit/>
                        </wps:bodyPr>
                      </wps:wsp>
                      <wps:wsp>
                        <wps:cNvPr id="21681" name="Rectangle 21681"/>
                        <wps:cNvSpPr/>
                        <wps:spPr>
                          <a:xfrm rot="-10799999">
                            <a:off x="1506544" y="5021064"/>
                            <a:ext cx="810672" cy="142889"/>
                          </a:xfrm>
                          <a:prstGeom prst="rect">
                            <a:avLst/>
                          </a:prstGeom>
                          <a:ln>
                            <a:noFill/>
                          </a:ln>
                        </wps:spPr>
                        <wps:txbx>
                          <w:txbxContent>
                            <w:p w14:paraId="6E713085" w14:textId="77777777" w:rsidR="00B32EF2" w:rsidRDefault="00000000">
                              <w:r>
                                <w:rPr>
                                  <w:rFonts w:ascii="Arial" w:eastAsia="Arial" w:hAnsi="Arial" w:cs="Arial"/>
                                  <w:b/>
                                  <w:sz w:val="18"/>
                                </w:rPr>
                                <w:t>Articolo 24</w:t>
                              </w:r>
                            </w:p>
                          </w:txbxContent>
                        </wps:txbx>
                        <wps:bodyPr horzOverflow="overflow" vert="horz" lIns="0" tIns="0" rIns="0" bIns="0" rtlCol="0">
                          <a:noAutofit/>
                        </wps:bodyPr>
                      </wps:wsp>
                      <wps:wsp>
                        <wps:cNvPr id="202156" name="Rectangle 202156"/>
                        <wps:cNvSpPr/>
                        <wps:spPr>
                          <a:xfrm rot="-10799999">
                            <a:off x="-252677" y="4897734"/>
                            <a:ext cx="1935643" cy="142889"/>
                          </a:xfrm>
                          <a:prstGeom prst="rect">
                            <a:avLst/>
                          </a:prstGeom>
                          <a:ln>
                            <a:noFill/>
                          </a:ln>
                        </wps:spPr>
                        <wps:txbx>
                          <w:txbxContent>
                            <w:p w14:paraId="6EF3BA7E"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155" name="Rectangle 202155"/>
                        <wps:cNvSpPr/>
                        <wps:spPr>
                          <a:xfrm rot="-10799999">
                            <a:off x="2221105" y="4897735"/>
                            <a:ext cx="1935644" cy="142889"/>
                          </a:xfrm>
                          <a:prstGeom prst="rect">
                            <a:avLst/>
                          </a:prstGeom>
                          <a:ln>
                            <a:noFill/>
                          </a:ln>
                        </wps:spPr>
                        <wps:txbx>
                          <w:txbxContent>
                            <w:p w14:paraId="05ADE60E"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157" name="Rectangle 202157"/>
                        <wps:cNvSpPr/>
                        <wps:spPr>
                          <a:xfrm rot="-10799999">
                            <a:off x="1167533" y="4897735"/>
                            <a:ext cx="1935644" cy="142889"/>
                          </a:xfrm>
                          <a:prstGeom prst="rect">
                            <a:avLst/>
                          </a:prstGeom>
                          <a:ln>
                            <a:noFill/>
                          </a:ln>
                        </wps:spPr>
                        <wps:txbx>
                          <w:txbxContent>
                            <w:p w14:paraId="14F9AE4A" w14:textId="77777777" w:rsidR="00B32EF2" w:rsidRDefault="00000000">
                              <w:r>
                                <w:rPr>
                                  <w:rFonts w:ascii="Arial" w:eastAsia="Arial" w:hAnsi="Arial" w:cs="Arial"/>
                                  <w:i/>
                                  <w:sz w:val="18"/>
                                </w:rPr>
                                <w:t xml:space="preserve">articolo 17 D.lgs. n. </w:t>
                              </w:r>
                            </w:p>
                          </w:txbxContent>
                        </wps:txbx>
                        <wps:bodyPr horzOverflow="overflow" vert="horz" lIns="0" tIns="0" rIns="0" bIns="0" rtlCol="0">
                          <a:noAutofit/>
                        </wps:bodyPr>
                      </wps:wsp>
                      <wps:wsp>
                        <wps:cNvPr id="21683" name="Rectangle 21683"/>
                        <wps:cNvSpPr/>
                        <wps:spPr>
                          <a:xfrm rot="-10799999">
                            <a:off x="1306979" y="4774405"/>
                            <a:ext cx="1103962" cy="142889"/>
                          </a:xfrm>
                          <a:prstGeom prst="rect">
                            <a:avLst/>
                          </a:prstGeom>
                          <a:ln>
                            <a:noFill/>
                          </a:ln>
                        </wps:spPr>
                        <wps:txbx>
                          <w:txbxContent>
                            <w:p w14:paraId="19D8DF7E" w14:textId="77777777" w:rsidR="00B32EF2" w:rsidRDefault="00000000">
                              <w:r>
                                <w:rPr>
                                  <w:rFonts w:ascii="Arial" w:eastAsia="Arial" w:hAnsi="Arial" w:cs="Arial"/>
                                  <w:b/>
                                  <w:sz w:val="18"/>
                                </w:rPr>
                                <w:t xml:space="preserve">Composizione </w:t>
                              </w:r>
                            </w:p>
                          </w:txbxContent>
                        </wps:txbx>
                        <wps:bodyPr horzOverflow="overflow" vert="horz" lIns="0" tIns="0" rIns="0" bIns="0" rtlCol="0">
                          <a:noAutofit/>
                        </wps:bodyPr>
                      </wps:wsp>
                      <wps:wsp>
                        <wps:cNvPr id="202154" name="Rectangle 202154"/>
                        <wps:cNvSpPr/>
                        <wps:spPr>
                          <a:xfrm rot="-10799999">
                            <a:off x="-1376365" y="4651075"/>
                            <a:ext cx="5309005" cy="142889"/>
                          </a:xfrm>
                          <a:prstGeom prst="rect">
                            <a:avLst/>
                          </a:prstGeom>
                          <a:ln>
                            <a:noFill/>
                          </a:ln>
                        </wps:spPr>
                        <wps:txbx>
                          <w:txbxContent>
                            <w:p w14:paraId="72467680" w14:textId="77777777" w:rsidR="00B32EF2" w:rsidRDefault="00000000">
                              <w:r>
                                <w:rPr>
                                  <w:rFonts w:ascii="Arial" w:eastAsia="Arial" w:hAnsi="Arial" w:cs="Arial"/>
                                  <w:sz w:val="18"/>
                                </w:rPr>
                                <w:t xml:space="preserve">. Il Consiglio di presidenza della giustizia tributaria è costituito con decreto del </w:t>
                              </w:r>
                            </w:p>
                          </w:txbxContent>
                        </wps:txbx>
                        <wps:bodyPr horzOverflow="overflow" vert="horz" lIns="0" tIns="0" rIns="0" bIns="0" rtlCol="0">
                          <a:noAutofit/>
                        </wps:bodyPr>
                      </wps:wsp>
                      <wps:wsp>
                        <wps:cNvPr id="202153" name="Rectangle 202153"/>
                        <wps:cNvSpPr/>
                        <wps:spPr>
                          <a:xfrm rot="-10799999">
                            <a:off x="2611002" y="4651075"/>
                            <a:ext cx="5309005" cy="142889"/>
                          </a:xfrm>
                          <a:prstGeom prst="rect">
                            <a:avLst/>
                          </a:prstGeom>
                          <a:ln>
                            <a:noFill/>
                          </a:ln>
                        </wps:spPr>
                        <wps:txbx>
                          <w:txbxContent>
                            <w:p w14:paraId="03B2F770"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1685" name="Rectangle 21685"/>
                        <wps:cNvSpPr/>
                        <wps:spPr>
                          <a:xfrm rot="-10799999">
                            <a:off x="-1317104" y="4527746"/>
                            <a:ext cx="5308929" cy="142889"/>
                          </a:xfrm>
                          <a:prstGeom prst="rect">
                            <a:avLst/>
                          </a:prstGeom>
                          <a:ln>
                            <a:noFill/>
                          </a:ln>
                        </wps:spPr>
                        <wps:txbx>
                          <w:txbxContent>
                            <w:p w14:paraId="245E0B76" w14:textId="77777777" w:rsidR="00B32EF2" w:rsidRDefault="00000000">
                              <w:r>
                                <w:rPr>
                                  <w:rFonts w:ascii="Arial" w:eastAsia="Arial" w:hAnsi="Arial" w:cs="Arial"/>
                                  <w:sz w:val="18"/>
                                </w:rPr>
                                <w:t xml:space="preserve">Presidente della Repubblica, su proposta del Ministro dell’economia e delle </w:t>
                              </w:r>
                            </w:p>
                          </w:txbxContent>
                        </wps:txbx>
                        <wps:bodyPr horzOverflow="overflow" vert="horz" lIns="0" tIns="0" rIns="0" bIns="0" rtlCol="0">
                          <a:noAutofit/>
                        </wps:bodyPr>
                      </wps:wsp>
                      <wps:wsp>
                        <wps:cNvPr id="21686" name="Rectangle 21686"/>
                        <wps:cNvSpPr/>
                        <wps:spPr>
                          <a:xfrm rot="-10799999">
                            <a:off x="2002291" y="4404416"/>
                            <a:ext cx="1989533" cy="142889"/>
                          </a:xfrm>
                          <a:prstGeom prst="rect">
                            <a:avLst/>
                          </a:prstGeom>
                          <a:ln>
                            <a:noFill/>
                          </a:ln>
                        </wps:spPr>
                        <wps:txbx>
                          <w:txbxContent>
                            <w:p w14:paraId="29D8D0CE" w14:textId="77777777" w:rsidR="00B32EF2" w:rsidRDefault="00000000">
                              <w:r>
                                <w:rPr>
                                  <w:rFonts w:ascii="Arial" w:eastAsia="Arial" w:hAnsi="Arial" w:cs="Arial"/>
                                  <w:sz w:val="18"/>
                                </w:rPr>
                                <w:t>finanze, ed ha sede in Roma.</w:t>
                              </w:r>
                            </w:p>
                          </w:txbxContent>
                        </wps:txbx>
                        <wps:bodyPr horzOverflow="overflow" vert="horz" lIns="0" tIns="0" rIns="0" bIns="0" rtlCol="0">
                          <a:noAutofit/>
                        </wps:bodyPr>
                      </wps:wsp>
                      <wps:wsp>
                        <wps:cNvPr id="202152" name="Rectangle 202152"/>
                        <wps:cNvSpPr/>
                        <wps:spPr>
                          <a:xfrm rot="-10799999">
                            <a:off x="-1381766" y="4281086"/>
                            <a:ext cx="5309036" cy="142889"/>
                          </a:xfrm>
                          <a:prstGeom prst="rect">
                            <a:avLst/>
                          </a:prstGeom>
                          <a:ln>
                            <a:noFill/>
                          </a:ln>
                        </wps:spPr>
                        <wps:txbx>
                          <w:txbxContent>
                            <w:p w14:paraId="113B6805" w14:textId="77777777" w:rsidR="00B32EF2" w:rsidRDefault="00000000">
                              <w:r>
                                <w:rPr>
                                  <w:rFonts w:ascii="Arial" w:eastAsia="Arial" w:hAnsi="Arial" w:cs="Arial"/>
                                  <w:sz w:val="18"/>
                                </w:rPr>
                                <w:t xml:space="preserve">. Il Consiglio di presidenza è composto da undici componenti eletti dai giudici </w:t>
                              </w:r>
                            </w:p>
                          </w:txbxContent>
                        </wps:txbx>
                        <wps:bodyPr horzOverflow="overflow" vert="horz" lIns="0" tIns="0" rIns="0" bIns="0" rtlCol="0">
                          <a:noAutofit/>
                        </wps:bodyPr>
                      </wps:wsp>
                      <wps:wsp>
                        <wps:cNvPr id="202151" name="Rectangle 202151"/>
                        <wps:cNvSpPr/>
                        <wps:spPr>
                          <a:xfrm rot="-10799999">
                            <a:off x="2610994" y="4281086"/>
                            <a:ext cx="5309036" cy="142889"/>
                          </a:xfrm>
                          <a:prstGeom prst="rect">
                            <a:avLst/>
                          </a:prstGeom>
                          <a:ln>
                            <a:noFill/>
                          </a:ln>
                        </wps:spPr>
                        <wps:txbx>
                          <w:txbxContent>
                            <w:p w14:paraId="68658A55"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1688" name="Rectangle 21688"/>
                        <wps:cNvSpPr/>
                        <wps:spPr>
                          <a:xfrm rot="-10799999">
                            <a:off x="-1317195" y="4157756"/>
                            <a:ext cx="5309021" cy="142889"/>
                          </a:xfrm>
                          <a:prstGeom prst="rect">
                            <a:avLst/>
                          </a:prstGeom>
                          <a:ln>
                            <a:noFill/>
                          </a:ln>
                        </wps:spPr>
                        <wps:txbx>
                          <w:txbxContent>
                            <w:p w14:paraId="260DE89A" w14:textId="77777777" w:rsidR="00B32EF2" w:rsidRDefault="00000000">
                              <w:r>
                                <w:rPr>
                                  <w:rFonts w:ascii="Arial" w:eastAsia="Arial" w:hAnsi="Arial" w:cs="Arial"/>
                                  <w:sz w:val="18"/>
                                </w:rPr>
                                <w:t xml:space="preserve">e dai magistrati tributari e da quattro componenti eletti dal Parlamento, due </w:t>
                              </w:r>
                            </w:p>
                          </w:txbxContent>
                        </wps:txbx>
                        <wps:bodyPr horzOverflow="overflow" vert="horz" lIns="0" tIns="0" rIns="0" bIns="0" rtlCol="0">
                          <a:noAutofit/>
                        </wps:bodyPr>
                      </wps:wsp>
                      <wps:wsp>
                        <wps:cNvPr id="21689" name="Rectangle 21689"/>
                        <wps:cNvSpPr/>
                        <wps:spPr>
                          <a:xfrm rot="-10799999">
                            <a:off x="-1317149" y="4034427"/>
                            <a:ext cx="5308975" cy="142889"/>
                          </a:xfrm>
                          <a:prstGeom prst="rect">
                            <a:avLst/>
                          </a:prstGeom>
                          <a:ln>
                            <a:noFill/>
                          </a:ln>
                        </wps:spPr>
                        <wps:txbx>
                          <w:txbxContent>
                            <w:p w14:paraId="0668D66C" w14:textId="77777777" w:rsidR="00B32EF2" w:rsidRDefault="00000000">
                              <w:r>
                                <w:rPr>
                                  <w:rFonts w:ascii="Arial" w:eastAsia="Arial" w:hAnsi="Arial" w:cs="Arial"/>
                                  <w:sz w:val="18"/>
                                </w:rPr>
                                <w:t xml:space="preserve">dalla Camera dei deputati e due dal Senato della Repubblica a maggioranza </w:t>
                              </w:r>
                            </w:p>
                          </w:txbxContent>
                        </wps:txbx>
                        <wps:bodyPr horzOverflow="overflow" vert="horz" lIns="0" tIns="0" rIns="0" bIns="0" rtlCol="0">
                          <a:noAutofit/>
                        </wps:bodyPr>
                      </wps:wsp>
                      <wps:wsp>
                        <wps:cNvPr id="21690" name="Rectangle 21690"/>
                        <wps:cNvSpPr/>
                        <wps:spPr>
                          <a:xfrm rot="-10799999">
                            <a:off x="-1220769" y="3911097"/>
                            <a:ext cx="5212595" cy="142889"/>
                          </a:xfrm>
                          <a:prstGeom prst="rect">
                            <a:avLst/>
                          </a:prstGeom>
                          <a:ln>
                            <a:noFill/>
                          </a:ln>
                        </wps:spPr>
                        <wps:txbx>
                          <w:txbxContent>
                            <w:p w14:paraId="596016AE" w14:textId="77777777" w:rsidR="00B32EF2" w:rsidRDefault="00000000">
                              <w:r>
                                <w:rPr>
                                  <w:rFonts w:ascii="Arial" w:eastAsia="Arial" w:hAnsi="Arial" w:cs="Arial"/>
                                  <w:sz w:val="18"/>
                                </w:rPr>
                                <w:t>assoluta dei rispettivi componenti, tra i professori di università in materie giu</w:t>
                              </w:r>
                            </w:p>
                          </w:txbxContent>
                        </wps:txbx>
                        <wps:bodyPr horzOverflow="overflow" vert="horz" lIns="0" tIns="0" rIns="0" bIns="0" rtlCol="0">
                          <a:noAutofit/>
                        </wps:bodyPr>
                      </wps:wsp>
                      <wps:wsp>
                        <wps:cNvPr id="21691" name="Rectangle 21691"/>
                        <wps:cNvSpPr/>
                        <wps:spPr>
                          <a:xfrm rot="-10799999">
                            <a:off x="19226" y="3911097"/>
                            <a:ext cx="50622" cy="142889"/>
                          </a:xfrm>
                          <a:prstGeom prst="rect">
                            <a:avLst/>
                          </a:prstGeom>
                          <a:ln>
                            <a:noFill/>
                          </a:ln>
                        </wps:spPr>
                        <wps:txbx>
                          <w:txbxContent>
                            <w:p w14:paraId="48E482C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692" name="Rectangle 21692"/>
                        <wps:cNvSpPr/>
                        <wps:spPr>
                          <a:xfrm rot="-10799999">
                            <a:off x="-1317210" y="3787767"/>
                            <a:ext cx="5309036" cy="142889"/>
                          </a:xfrm>
                          <a:prstGeom prst="rect">
                            <a:avLst/>
                          </a:prstGeom>
                          <a:ln>
                            <a:noFill/>
                          </a:ln>
                        </wps:spPr>
                        <wps:txbx>
                          <w:txbxContent>
                            <w:p w14:paraId="6443EDF3" w14:textId="77777777" w:rsidR="00B32EF2" w:rsidRDefault="00000000">
                              <w:r>
                                <w:rPr>
                                  <w:rFonts w:ascii="Arial" w:eastAsia="Arial" w:hAnsi="Arial" w:cs="Arial"/>
                                  <w:sz w:val="18"/>
                                </w:rPr>
                                <w:t xml:space="preserve">ridiche o i soggetti abilitati alla difesa dinanzi alle corti di giustizia tributaria di </w:t>
                              </w:r>
                            </w:p>
                          </w:txbxContent>
                        </wps:txbx>
                        <wps:bodyPr horzOverflow="overflow" vert="horz" lIns="0" tIns="0" rIns="0" bIns="0" rtlCol="0">
                          <a:noAutofit/>
                        </wps:bodyPr>
                      </wps:wsp>
                      <wps:wsp>
                        <wps:cNvPr id="21693" name="Rectangle 21693"/>
                        <wps:cNvSpPr/>
                        <wps:spPr>
                          <a:xfrm rot="-10799999">
                            <a:off x="-1317210" y="3664438"/>
                            <a:ext cx="5309036" cy="142889"/>
                          </a:xfrm>
                          <a:prstGeom prst="rect">
                            <a:avLst/>
                          </a:prstGeom>
                          <a:ln>
                            <a:noFill/>
                          </a:ln>
                        </wps:spPr>
                        <wps:txbx>
                          <w:txbxContent>
                            <w:p w14:paraId="013D03EE" w14:textId="77777777" w:rsidR="00B32EF2" w:rsidRDefault="00000000">
                              <w:r>
                                <w:rPr>
                                  <w:rFonts w:ascii="Arial" w:eastAsia="Arial" w:hAnsi="Arial" w:cs="Arial"/>
                                  <w:sz w:val="18"/>
                                </w:rPr>
                                <w:t xml:space="preserve">primo e secondo grado che risultino iscritti ai rispettivi albi professionali da </w:t>
                              </w:r>
                            </w:p>
                          </w:txbxContent>
                        </wps:txbx>
                        <wps:bodyPr horzOverflow="overflow" vert="horz" lIns="0" tIns="0" rIns="0" bIns="0" rtlCol="0">
                          <a:noAutofit/>
                        </wps:bodyPr>
                      </wps:wsp>
                      <wps:wsp>
                        <wps:cNvPr id="21694" name="Rectangle 21694"/>
                        <wps:cNvSpPr/>
                        <wps:spPr>
                          <a:xfrm rot="-10799999">
                            <a:off x="2668211" y="3541108"/>
                            <a:ext cx="1323614" cy="142889"/>
                          </a:xfrm>
                          <a:prstGeom prst="rect">
                            <a:avLst/>
                          </a:prstGeom>
                          <a:ln>
                            <a:noFill/>
                          </a:ln>
                        </wps:spPr>
                        <wps:txbx>
                          <w:txbxContent>
                            <w:p w14:paraId="6C49FA5D" w14:textId="77777777" w:rsidR="00B32EF2" w:rsidRDefault="00000000">
                              <w:r>
                                <w:rPr>
                                  <w:rFonts w:ascii="Arial" w:eastAsia="Arial" w:hAnsi="Arial" w:cs="Arial"/>
                                  <w:sz w:val="18"/>
                                </w:rPr>
                                <w:t>almeno dodici anni.</w:t>
                              </w:r>
                            </w:p>
                          </w:txbxContent>
                        </wps:txbx>
                        <wps:bodyPr horzOverflow="overflow" vert="horz" lIns="0" tIns="0" rIns="0" bIns="0" rtlCol="0">
                          <a:noAutofit/>
                        </wps:bodyPr>
                      </wps:wsp>
                      <wps:wsp>
                        <wps:cNvPr id="202150" name="Rectangle 202150"/>
                        <wps:cNvSpPr/>
                        <wps:spPr>
                          <a:xfrm rot="-10799999">
                            <a:off x="-1283179" y="3417778"/>
                            <a:ext cx="5210482" cy="142889"/>
                          </a:xfrm>
                          <a:prstGeom prst="rect">
                            <a:avLst/>
                          </a:prstGeom>
                          <a:ln>
                            <a:noFill/>
                          </a:ln>
                        </wps:spPr>
                        <wps:txbx>
                          <w:txbxContent>
                            <w:p w14:paraId="1CB10D79" w14:textId="77777777" w:rsidR="00B32EF2" w:rsidRDefault="00000000">
                              <w:r>
                                <w:rPr>
                                  <w:rFonts w:ascii="Arial" w:eastAsia="Arial" w:hAnsi="Arial" w:cs="Arial"/>
                                  <w:sz w:val="18"/>
                                </w:rPr>
                                <w:t>. Il Consiglio di presidenza elegge nel suo seno un presidente tra i compo</w:t>
                              </w:r>
                            </w:p>
                          </w:txbxContent>
                        </wps:txbx>
                        <wps:bodyPr horzOverflow="overflow" vert="horz" lIns="0" tIns="0" rIns="0" bIns="0" rtlCol="0">
                          <a:noAutofit/>
                        </wps:bodyPr>
                      </wps:wsp>
                      <wps:wsp>
                        <wps:cNvPr id="202149" name="Rectangle 202149"/>
                        <wps:cNvSpPr/>
                        <wps:spPr>
                          <a:xfrm rot="-10799999">
                            <a:off x="2635447" y="3417778"/>
                            <a:ext cx="5210483" cy="142889"/>
                          </a:xfrm>
                          <a:prstGeom prst="rect">
                            <a:avLst/>
                          </a:prstGeom>
                          <a:ln>
                            <a:noFill/>
                          </a:ln>
                        </wps:spPr>
                        <wps:txbx>
                          <w:txbxContent>
                            <w:p w14:paraId="7A2C02C0"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1696" name="Rectangle 21696"/>
                        <wps:cNvSpPr/>
                        <wps:spPr>
                          <a:xfrm rot="-10799999">
                            <a:off x="19226" y="3417778"/>
                            <a:ext cx="50622" cy="142889"/>
                          </a:xfrm>
                          <a:prstGeom prst="rect">
                            <a:avLst/>
                          </a:prstGeom>
                          <a:ln>
                            <a:noFill/>
                          </a:ln>
                        </wps:spPr>
                        <wps:txbx>
                          <w:txbxContent>
                            <w:p w14:paraId="147B473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697" name="Rectangle 21697"/>
                        <wps:cNvSpPr/>
                        <wps:spPr>
                          <a:xfrm rot="-10799999">
                            <a:off x="2173236" y="3294449"/>
                            <a:ext cx="1818588" cy="142889"/>
                          </a:xfrm>
                          <a:prstGeom prst="rect">
                            <a:avLst/>
                          </a:prstGeom>
                          <a:ln>
                            <a:noFill/>
                          </a:ln>
                        </wps:spPr>
                        <wps:txbx>
                          <w:txbxContent>
                            <w:p w14:paraId="0B96626C" w14:textId="77777777" w:rsidR="00B32EF2" w:rsidRDefault="00000000">
                              <w:r>
                                <w:rPr>
                                  <w:rFonts w:ascii="Arial" w:eastAsia="Arial" w:hAnsi="Arial" w:cs="Arial"/>
                                  <w:sz w:val="18"/>
                                </w:rPr>
                                <w:t>nenti eletti dal Parlamento.</w:t>
                              </w:r>
                            </w:p>
                          </w:txbxContent>
                        </wps:txbx>
                        <wps:bodyPr horzOverflow="overflow" vert="horz" lIns="0" tIns="0" rIns="0" bIns="0" rtlCol="0">
                          <a:noAutofit/>
                        </wps:bodyPr>
                      </wps:wsp>
                      <wps:wsp>
                        <wps:cNvPr id="202148" name="Rectangle 202148"/>
                        <wps:cNvSpPr/>
                        <wps:spPr>
                          <a:xfrm rot="-10799999">
                            <a:off x="-1380667" y="3171119"/>
                            <a:ext cx="5310039" cy="142889"/>
                          </a:xfrm>
                          <a:prstGeom prst="rect">
                            <a:avLst/>
                          </a:prstGeom>
                          <a:ln>
                            <a:noFill/>
                          </a:ln>
                        </wps:spPr>
                        <wps:txbx>
                          <w:txbxContent>
                            <w:p w14:paraId="7B34C892" w14:textId="77777777" w:rsidR="00B32EF2" w:rsidRDefault="00000000">
                              <w:r>
                                <w:rPr>
                                  <w:rFonts w:ascii="Arial" w:eastAsia="Arial" w:hAnsi="Arial" w:cs="Arial"/>
                                  <w:sz w:val="18"/>
                                </w:rPr>
                                <w:t xml:space="preserve">. I componenti del Consiglio di presidenza della giustizia tributaria eletti dal </w:t>
                              </w:r>
                            </w:p>
                          </w:txbxContent>
                        </wps:txbx>
                        <wps:bodyPr horzOverflow="overflow" vert="horz" lIns="0" tIns="0" rIns="0" bIns="0" rtlCol="0">
                          <a:noAutofit/>
                        </wps:bodyPr>
                      </wps:wsp>
                      <wps:wsp>
                        <wps:cNvPr id="202147" name="Rectangle 202147"/>
                        <wps:cNvSpPr/>
                        <wps:spPr>
                          <a:xfrm rot="-10799999">
                            <a:off x="2610745" y="3171119"/>
                            <a:ext cx="5310039" cy="142889"/>
                          </a:xfrm>
                          <a:prstGeom prst="rect">
                            <a:avLst/>
                          </a:prstGeom>
                          <a:ln>
                            <a:noFill/>
                          </a:ln>
                        </wps:spPr>
                        <wps:txbx>
                          <w:txbxContent>
                            <w:p w14:paraId="100A43A8"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1699" name="Rectangle 21699"/>
                        <wps:cNvSpPr/>
                        <wps:spPr>
                          <a:xfrm rot="-10799999">
                            <a:off x="-1218686" y="3047789"/>
                            <a:ext cx="5210512" cy="142889"/>
                          </a:xfrm>
                          <a:prstGeom prst="rect">
                            <a:avLst/>
                          </a:prstGeom>
                          <a:ln>
                            <a:noFill/>
                          </a:ln>
                        </wps:spPr>
                        <wps:txbx>
                          <w:txbxContent>
                            <w:p w14:paraId="3FD365F5" w14:textId="77777777" w:rsidR="00B32EF2" w:rsidRDefault="00000000">
                              <w:r>
                                <w:rPr>
                                  <w:rFonts w:ascii="Arial" w:eastAsia="Arial" w:hAnsi="Arial" w:cs="Arial"/>
                                  <w:sz w:val="18"/>
                                </w:rPr>
                                <w:t>Parlamento, finché sono in carica, non possono esercitare attività professio</w:t>
                              </w:r>
                            </w:p>
                          </w:txbxContent>
                        </wps:txbx>
                        <wps:bodyPr horzOverflow="overflow" vert="horz" lIns="0" tIns="0" rIns="0" bIns="0" rtlCol="0">
                          <a:noAutofit/>
                        </wps:bodyPr>
                      </wps:wsp>
                      <wps:wsp>
                        <wps:cNvPr id="21700" name="Rectangle 21700"/>
                        <wps:cNvSpPr/>
                        <wps:spPr>
                          <a:xfrm rot="-10799999">
                            <a:off x="19227" y="3047789"/>
                            <a:ext cx="50622" cy="142889"/>
                          </a:xfrm>
                          <a:prstGeom prst="rect">
                            <a:avLst/>
                          </a:prstGeom>
                          <a:ln>
                            <a:noFill/>
                          </a:ln>
                        </wps:spPr>
                        <wps:txbx>
                          <w:txbxContent>
                            <w:p w14:paraId="6347740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701" name="Rectangle 21701"/>
                        <wps:cNvSpPr/>
                        <wps:spPr>
                          <a:xfrm rot="-10799999">
                            <a:off x="-1317180" y="2924460"/>
                            <a:ext cx="5309005" cy="142889"/>
                          </a:xfrm>
                          <a:prstGeom prst="rect">
                            <a:avLst/>
                          </a:prstGeom>
                          <a:ln>
                            <a:noFill/>
                          </a:ln>
                        </wps:spPr>
                        <wps:txbx>
                          <w:txbxContent>
                            <w:p w14:paraId="62630C27" w14:textId="77777777" w:rsidR="00B32EF2" w:rsidRDefault="00000000">
                              <w:r>
                                <w:rPr>
                                  <w:rFonts w:ascii="Arial" w:eastAsia="Arial" w:hAnsi="Arial" w:cs="Arial"/>
                                  <w:sz w:val="18"/>
                                </w:rPr>
                                <w:t xml:space="preserve">nale in ambito tributario, né alcuna altra attività suscettibile di interferire con le </w:t>
                              </w:r>
                            </w:p>
                          </w:txbxContent>
                        </wps:txbx>
                        <wps:bodyPr horzOverflow="overflow" vert="horz" lIns="0" tIns="0" rIns="0" bIns="0" rtlCol="0">
                          <a:noAutofit/>
                        </wps:bodyPr>
                      </wps:wsp>
                      <wps:wsp>
                        <wps:cNvPr id="21702" name="Rectangle 21702"/>
                        <wps:cNvSpPr/>
                        <wps:spPr>
                          <a:xfrm rot="-10799999">
                            <a:off x="1173438" y="2801130"/>
                            <a:ext cx="2818387" cy="142889"/>
                          </a:xfrm>
                          <a:prstGeom prst="rect">
                            <a:avLst/>
                          </a:prstGeom>
                          <a:ln>
                            <a:noFill/>
                          </a:ln>
                        </wps:spPr>
                        <wps:txbx>
                          <w:txbxContent>
                            <w:p w14:paraId="0FA13DD3" w14:textId="77777777" w:rsidR="00B32EF2" w:rsidRDefault="00000000">
                              <w:r>
                                <w:rPr>
                                  <w:rFonts w:ascii="Arial" w:eastAsia="Arial" w:hAnsi="Arial" w:cs="Arial"/>
                                  <w:sz w:val="18"/>
                                </w:rPr>
                                <w:t>funzioni degli organi di giustizia tributaria.</w:t>
                              </w:r>
                            </w:p>
                          </w:txbxContent>
                        </wps:txbx>
                        <wps:bodyPr horzOverflow="overflow" vert="horz" lIns="0" tIns="0" rIns="0" bIns="0" rtlCol="0">
                          <a:noAutofit/>
                        </wps:bodyPr>
                      </wps:wsp>
                      <wps:wsp>
                        <wps:cNvPr id="202146" name="Rectangle 202146"/>
                        <wps:cNvSpPr/>
                        <wps:spPr>
                          <a:xfrm rot="-10799999">
                            <a:off x="-1381606" y="2677800"/>
                            <a:ext cx="5309035" cy="142889"/>
                          </a:xfrm>
                          <a:prstGeom prst="rect">
                            <a:avLst/>
                          </a:prstGeom>
                          <a:ln>
                            <a:noFill/>
                          </a:ln>
                        </wps:spPr>
                        <wps:txbx>
                          <w:txbxContent>
                            <w:p w14:paraId="64BF4734" w14:textId="77777777" w:rsidR="00B32EF2" w:rsidRDefault="00000000">
                              <w:r>
                                <w:rPr>
                                  <w:rFonts w:ascii="Arial" w:eastAsia="Arial" w:hAnsi="Arial" w:cs="Arial"/>
                                  <w:sz w:val="18"/>
                                </w:rPr>
                                <w:t xml:space="preserve">. I componenti del Consiglio di presidenza sono eletti da tutti i componenti </w:t>
                              </w:r>
                            </w:p>
                          </w:txbxContent>
                        </wps:txbx>
                        <wps:bodyPr horzOverflow="overflow" vert="horz" lIns="0" tIns="0" rIns="0" bIns="0" rtlCol="0">
                          <a:noAutofit/>
                        </wps:bodyPr>
                      </wps:wsp>
                      <wps:wsp>
                        <wps:cNvPr id="202145" name="Rectangle 202145"/>
                        <wps:cNvSpPr/>
                        <wps:spPr>
                          <a:xfrm rot="-10799999">
                            <a:off x="2610994" y="2677800"/>
                            <a:ext cx="5309036" cy="142889"/>
                          </a:xfrm>
                          <a:prstGeom prst="rect">
                            <a:avLst/>
                          </a:prstGeom>
                          <a:ln>
                            <a:noFill/>
                          </a:ln>
                        </wps:spPr>
                        <wps:txbx>
                          <w:txbxContent>
                            <w:p w14:paraId="51BEAF60"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1704" name="Rectangle 21704"/>
                        <wps:cNvSpPr/>
                        <wps:spPr>
                          <a:xfrm rot="-10799999">
                            <a:off x="-1317180" y="2554471"/>
                            <a:ext cx="5309005" cy="142889"/>
                          </a:xfrm>
                          <a:prstGeom prst="rect">
                            <a:avLst/>
                          </a:prstGeom>
                          <a:ln>
                            <a:noFill/>
                          </a:ln>
                        </wps:spPr>
                        <wps:txbx>
                          <w:txbxContent>
                            <w:p w14:paraId="04A8FF20" w14:textId="77777777" w:rsidR="00B32EF2" w:rsidRDefault="00000000">
                              <w:r>
                                <w:rPr>
                                  <w:rFonts w:ascii="Arial" w:eastAsia="Arial" w:hAnsi="Arial" w:cs="Arial"/>
                                  <w:sz w:val="18"/>
                                </w:rPr>
                                <w:t xml:space="preserve">delle corti di giustizia tributaria di primo e secondo grado con voto personale, </w:t>
                              </w:r>
                            </w:p>
                          </w:txbxContent>
                        </wps:txbx>
                        <wps:bodyPr horzOverflow="overflow" vert="horz" lIns="0" tIns="0" rIns="0" bIns="0" rtlCol="0">
                          <a:noAutofit/>
                        </wps:bodyPr>
                      </wps:wsp>
                      <wps:wsp>
                        <wps:cNvPr id="21705" name="Rectangle 21705"/>
                        <wps:cNvSpPr/>
                        <wps:spPr>
                          <a:xfrm rot="-10799999">
                            <a:off x="1266640" y="2431141"/>
                            <a:ext cx="2725184" cy="142889"/>
                          </a:xfrm>
                          <a:prstGeom prst="rect">
                            <a:avLst/>
                          </a:prstGeom>
                          <a:ln>
                            <a:noFill/>
                          </a:ln>
                        </wps:spPr>
                        <wps:txbx>
                          <w:txbxContent>
                            <w:p w14:paraId="34DD6C47" w14:textId="77777777" w:rsidR="00B32EF2" w:rsidRDefault="00000000">
                              <w:r>
                                <w:rPr>
                                  <w:rFonts w:ascii="Arial" w:eastAsia="Arial" w:hAnsi="Arial" w:cs="Arial"/>
                                  <w:sz w:val="18"/>
                                </w:rPr>
                                <w:t>diretto e segreto, e non sono rieleggibili.</w:t>
                              </w:r>
                            </w:p>
                          </w:txbxContent>
                        </wps:txbx>
                        <wps:bodyPr horzOverflow="overflow" vert="horz" lIns="0" tIns="0" rIns="0" bIns="0" rtlCol="0">
                          <a:noAutofit/>
                        </wps:bodyPr>
                      </wps:wsp>
                      <wps:wsp>
                        <wps:cNvPr id="21706" name="Rectangle 21706"/>
                        <wps:cNvSpPr/>
                        <wps:spPr>
                          <a:xfrm rot="-10799999">
                            <a:off x="1507698" y="2184482"/>
                            <a:ext cx="809060" cy="142889"/>
                          </a:xfrm>
                          <a:prstGeom prst="rect">
                            <a:avLst/>
                          </a:prstGeom>
                          <a:ln>
                            <a:noFill/>
                          </a:ln>
                        </wps:spPr>
                        <wps:txbx>
                          <w:txbxContent>
                            <w:p w14:paraId="7B366B86" w14:textId="77777777" w:rsidR="00B32EF2" w:rsidRDefault="00000000">
                              <w:r>
                                <w:rPr>
                                  <w:rFonts w:ascii="Arial" w:eastAsia="Arial" w:hAnsi="Arial" w:cs="Arial"/>
                                  <w:b/>
                                  <w:sz w:val="18"/>
                                </w:rPr>
                                <w:t>Articolo 25</w:t>
                              </w:r>
                            </w:p>
                          </w:txbxContent>
                        </wps:txbx>
                        <wps:bodyPr horzOverflow="overflow" vert="horz" lIns="0" tIns="0" rIns="0" bIns="0" rtlCol="0">
                          <a:noAutofit/>
                        </wps:bodyPr>
                      </wps:wsp>
                      <wps:wsp>
                        <wps:cNvPr id="202144" name="Rectangle 202144"/>
                        <wps:cNvSpPr/>
                        <wps:spPr>
                          <a:xfrm rot="-10799999">
                            <a:off x="-515452" y="2061151"/>
                            <a:ext cx="4827501" cy="142889"/>
                          </a:xfrm>
                          <a:prstGeom prst="rect">
                            <a:avLst/>
                          </a:prstGeom>
                          <a:ln>
                            <a:noFill/>
                          </a:ln>
                        </wps:spPr>
                        <wps:txbx>
                          <w:txbxContent>
                            <w:p w14:paraId="1E5FBCCD" w14:textId="77777777" w:rsidR="00B32EF2" w:rsidRDefault="00000000">
                              <w:r>
                                <w:rPr>
                                  <w:rFonts w:ascii="Arial" w:eastAsia="Arial" w:hAnsi="Arial" w:cs="Arial"/>
                                  <w:i/>
                                  <w:sz w:val="18"/>
                                </w:rPr>
                                <w:t xml:space="preserve">articoli 18 D.lgs. n. 545/92 e 8, comma 5 terzo periodo L. n. </w:t>
                              </w:r>
                            </w:p>
                          </w:txbxContent>
                        </wps:txbx>
                        <wps:bodyPr horzOverflow="overflow" vert="horz" lIns="0" tIns="0" rIns="0" bIns="0" rtlCol="0">
                          <a:noAutofit/>
                        </wps:bodyPr>
                      </wps:wsp>
                      <wps:wsp>
                        <wps:cNvPr id="202142" name="Rectangle 202142"/>
                        <wps:cNvSpPr/>
                        <wps:spPr>
                          <a:xfrm rot="-10799999">
                            <a:off x="2590798" y="2061151"/>
                            <a:ext cx="4827501" cy="142889"/>
                          </a:xfrm>
                          <a:prstGeom prst="rect">
                            <a:avLst/>
                          </a:prstGeom>
                          <a:ln>
                            <a:noFill/>
                          </a:ln>
                        </wps:spPr>
                        <wps:txbx>
                          <w:txbxContent>
                            <w:p w14:paraId="37766F73"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143" name="Rectangle 202143"/>
                        <wps:cNvSpPr/>
                        <wps:spPr>
                          <a:xfrm rot="-10799999">
                            <a:off x="-4109993" y="2061151"/>
                            <a:ext cx="4827501" cy="142889"/>
                          </a:xfrm>
                          <a:prstGeom prst="rect">
                            <a:avLst/>
                          </a:prstGeom>
                          <a:ln>
                            <a:noFill/>
                          </a:ln>
                        </wps:spPr>
                        <wps:txbx>
                          <w:txbxContent>
                            <w:p w14:paraId="37BBD71C" w14:textId="77777777" w:rsidR="00B32EF2" w:rsidRDefault="00000000">
                              <w:r>
                                <w:rPr>
                                  <w:rFonts w:ascii="Arial" w:eastAsia="Arial" w:hAnsi="Arial" w:cs="Arial"/>
                                  <w:i/>
                                  <w:sz w:val="18"/>
                                </w:rPr>
                                <w:t>130/2022)</w:t>
                              </w:r>
                            </w:p>
                          </w:txbxContent>
                        </wps:txbx>
                        <wps:bodyPr horzOverflow="overflow" vert="horz" lIns="0" tIns="0" rIns="0" bIns="0" rtlCol="0">
                          <a:noAutofit/>
                        </wps:bodyPr>
                      </wps:wsp>
                      <wps:wsp>
                        <wps:cNvPr id="21708" name="Rectangle 21708"/>
                        <wps:cNvSpPr/>
                        <wps:spPr>
                          <a:xfrm rot="-10799999">
                            <a:off x="1662245" y="1937822"/>
                            <a:ext cx="534727" cy="142889"/>
                          </a:xfrm>
                          <a:prstGeom prst="rect">
                            <a:avLst/>
                          </a:prstGeom>
                          <a:ln>
                            <a:noFill/>
                          </a:ln>
                        </wps:spPr>
                        <wps:txbx>
                          <w:txbxContent>
                            <w:p w14:paraId="4D43DD8B" w14:textId="77777777" w:rsidR="00B32EF2" w:rsidRDefault="00000000">
                              <w:r>
                                <w:rPr>
                                  <w:rFonts w:ascii="Arial" w:eastAsia="Arial" w:hAnsi="Arial" w:cs="Arial"/>
                                  <w:b/>
                                  <w:sz w:val="18"/>
                                </w:rPr>
                                <w:t xml:space="preserve">Durata </w:t>
                              </w:r>
                            </w:p>
                          </w:txbxContent>
                        </wps:txbx>
                        <wps:bodyPr horzOverflow="overflow" vert="horz" lIns="0" tIns="0" rIns="0" bIns="0" rtlCol="0">
                          <a:noAutofit/>
                        </wps:bodyPr>
                      </wps:wsp>
                      <wps:wsp>
                        <wps:cNvPr id="202140" name="Rectangle 202140"/>
                        <wps:cNvSpPr/>
                        <wps:spPr>
                          <a:xfrm rot="-10799999">
                            <a:off x="2933722" y="1814492"/>
                            <a:ext cx="4008345" cy="142889"/>
                          </a:xfrm>
                          <a:prstGeom prst="rect">
                            <a:avLst/>
                          </a:prstGeom>
                          <a:ln>
                            <a:noFill/>
                          </a:ln>
                        </wps:spPr>
                        <wps:txbx>
                          <w:txbxContent>
                            <w:p w14:paraId="1DB26EE2"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2141" name="Rectangle 202141"/>
                        <wps:cNvSpPr/>
                        <wps:spPr>
                          <a:xfrm rot="-10799999">
                            <a:off x="-75704" y="1814492"/>
                            <a:ext cx="4008345" cy="142889"/>
                          </a:xfrm>
                          <a:prstGeom prst="rect">
                            <a:avLst/>
                          </a:prstGeom>
                          <a:ln>
                            <a:noFill/>
                          </a:ln>
                        </wps:spPr>
                        <wps:txbx>
                          <w:txbxContent>
                            <w:p w14:paraId="039FC1E8" w14:textId="77777777" w:rsidR="00B32EF2" w:rsidRDefault="00000000">
                              <w:r>
                                <w:rPr>
                                  <w:rFonts w:ascii="Arial" w:eastAsia="Arial" w:hAnsi="Arial" w:cs="Arial"/>
                                  <w:sz w:val="18"/>
                                </w:rPr>
                                <w:t>. Il Consiglio di presidenza dura in carica per quattro anni.</w:t>
                              </w:r>
                            </w:p>
                          </w:txbxContent>
                        </wps:txbx>
                        <wps:bodyPr horzOverflow="overflow" vert="horz" lIns="0" tIns="0" rIns="0" bIns="0" rtlCol="0">
                          <a:noAutofit/>
                        </wps:bodyPr>
                      </wps:wsp>
                      <wps:wsp>
                        <wps:cNvPr id="202139" name="Rectangle 202139"/>
                        <wps:cNvSpPr/>
                        <wps:spPr>
                          <a:xfrm rot="-10799999">
                            <a:off x="-1381751" y="1691162"/>
                            <a:ext cx="5309021" cy="142889"/>
                          </a:xfrm>
                          <a:prstGeom prst="rect">
                            <a:avLst/>
                          </a:prstGeom>
                          <a:ln>
                            <a:noFill/>
                          </a:ln>
                        </wps:spPr>
                        <wps:txbx>
                          <w:txbxContent>
                            <w:p w14:paraId="4F682EDF" w14:textId="77777777" w:rsidR="00B32EF2" w:rsidRDefault="00000000">
                              <w:r>
                                <w:rPr>
                                  <w:rFonts w:ascii="Arial" w:eastAsia="Arial" w:hAnsi="Arial" w:cs="Arial"/>
                                  <w:sz w:val="18"/>
                                </w:rPr>
                                <w:t xml:space="preserve">. I componenti del Consiglio di presidenza, che nel corso del quadriennio </w:t>
                              </w:r>
                            </w:p>
                          </w:txbxContent>
                        </wps:txbx>
                        <wps:bodyPr horzOverflow="overflow" vert="horz" lIns="0" tIns="0" rIns="0" bIns="0" rtlCol="0">
                          <a:noAutofit/>
                        </wps:bodyPr>
                      </wps:wsp>
                      <wps:wsp>
                        <wps:cNvPr id="202138" name="Rectangle 202138"/>
                        <wps:cNvSpPr/>
                        <wps:spPr>
                          <a:xfrm rot="-10799999">
                            <a:off x="2610998" y="1691162"/>
                            <a:ext cx="5309021" cy="142889"/>
                          </a:xfrm>
                          <a:prstGeom prst="rect">
                            <a:avLst/>
                          </a:prstGeom>
                          <a:ln>
                            <a:noFill/>
                          </a:ln>
                        </wps:spPr>
                        <wps:txbx>
                          <w:txbxContent>
                            <w:p w14:paraId="712368D8"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1711" name="Rectangle 21711"/>
                        <wps:cNvSpPr/>
                        <wps:spPr>
                          <a:xfrm rot="-10799999">
                            <a:off x="-1317210" y="1567832"/>
                            <a:ext cx="5309036" cy="142889"/>
                          </a:xfrm>
                          <a:prstGeom prst="rect">
                            <a:avLst/>
                          </a:prstGeom>
                          <a:ln>
                            <a:noFill/>
                          </a:ln>
                        </wps:spPr>
                        <wps:txbx>
                          <w:txbxContent>
                            <w:p w14:paraId="43C08D8C" w14:textId="77777777" w:rsidR="00B32EF2" w:rsidRDefault="00000000">
                              <w:r>
                                <w:rPr>
                                  <w:rFonts w:ascii="Arial" w:eastAsia="Arial" w:hAnsi="Arial" w:cs="Arial"/>
                                  <w:sz w:val="18"/>
                                </w:rPr>
                                <w:t xml:space="preserve">cessano per qualsiasi causa di farne parte o, se eletti in qualità di giudice o </w:t>
                              </w:r>
                            </w:p>
                          </w:txbxContent>
                        </wps:txbx>
                        <wps:bodyPr horzOverflow="overflow" vert="horz" lIns="0" tIns="0" rIns="0" bIns="0" rtlCol="0">
                          <a:noAutofit/>
                        </wps:bodyPr>
                      </wps:wsp>
                      <wps:wsp>
                        <wps:cNvPr id="21712" name="Rectangle 21712"/>
                        <wps:cNvSpPr/>
                        <wps:spPr>
                          <a:xfrm rot="-10799999">
                            <a:off x="-1317195" y="1444503"/>
                            <a:ext cx="5309020" cy="142889"/>
                          </a:xfrm>
                          <a:prstGeom prst="rect">
                            <a:avLst/>
                          </a:prstGeom>
                          <a:ln>
                            <a:noFill/>
                          </a:ln>
                        </wps:spPr>
                        <wps:txbx>
                          <w:txbxContent>
                            <w:p w14:paraId="08346915" w14:textId="77777777" w:rsidR="00B32EF2" w:rsidRDefault="00000000">
                              <w:r>
                                <w:rPr>
                                  <w:rFonts w:ascii="Arial" w:eastAsia="Arial" w:hAnsi="Arial" w:cs="Arial"/>
                                  <w:sz w:val="18"/>
                                </w:rPr>
                                <w:t xml:space="preserve">magistrato, conseguono la nomina a presidente, sono sostituiti per il restante </w:t>
                              </w:r>
                            </w:p>
                          </w:txbxContent>
                        </wps:txbx>
                        <wps:bodyPr horzOverflow="overflow" vert="horz" lIns="0" tIns="0" rIns="0" bIns="0" rtlCol="0">
                          <a:noAutofit/>
                        </wps:bodyPr>
                      </wps:wsp>
                      <wps:wsp>
                        <wps:cNvPr id="21713" name="Rectangle 21713"/>
                        <wps:cNvSpPr/>
                        <wps:spPr>
                          <a:xfrm rot="-10799999">
                            <a:off x="1144" y="1321173"/>
                            <a:ext cx="3990681" cy="142889"/>
                          </a:xfrm>
                          <a:prstGeom prst="rect">
                            <a:avLst/>
                          </a:prstGeom>
                          <a:ln>
                            <a:noFill/>
                          </a:ln>
                        </wps:spPr>
                        <wps:txbx>
                          <w:txbxContent>
                            <w:p w14:paraId="463DC641" w14:textId="77777777" w:rsidR="00B32EF2" w:rsidRDefault="00000000">
                              <w:r>
                                <w:rPr>
                                  <w:rFonts w:ascii="Arial" w:eastAsia="Arial" w:hAnsi="Arial" w:cs="Arial"/>
                                  <w:sz w:val="18"/>
                                </w:rPr>
                                <w:t>periodo dal primo dei non eletti di corrispondente qualifica.</w:t>
                              </w:r>
                            </w:p>
                          </w:txbxContent>
                        </wps:txbx>
                        <wps:bodyPr horzOverflow="overflow" vert="horz" lIns="0" tIns="0" rIns="0" bIns="0" rtlCol="0">
                          <a:noAutofit/>
                        </wps:bodyPr>
                      </wps:wsp>
                      <wps:wsp>
                        <wps:cNvPr id="21714" name="Rectangle 21714"/>
                        <wps:cNvSpPr/>
                        <wps:spPr>
                          <a:xfrm rot="-10799999">
                            <a:off x="1507650" y="1074514"/>
                            <a:ext cx="807966" cy="142889"/>
                          </a:xfrm>
                          <a:prstGeom prst="rect">
                            <a:avLst/>
                          </a:prstGeom>
                          <a:ln>
                            <a:noFill/>
                          </a:ln>
                        </wps:spPr>
                        <wps:txbx>
                          <w:txbxContent>
                            <w:p w14:paraId="46C217F4" w14:textId="77777777" w:rsidR="00B32EF2" w:rsidRDefault="00000000">
                              <w:r>
                                <w:rPr>
                                  <w:rFonts w:ascii="Arial" w:eastAsia="Arial" w:hAnsi="Arial" w:cs="Arial"/>
                                  <w:b/>
                                  <w:sz w:val="18"/>
                                </w:rPr>
                                <w:t>Articolo 26</w:t>
                              </w:r>
                            </w:p>
                          </w:txbxContent>
                        </wps:txbx>
                        <wps:bodyPr horzOverflow="overflow" vert="horz" lIns="0" tIns="0" rIns="0" bIns="0" rtlCol="0">
                          <a:noAutofit/>
                        </wps:bodyPr>
                      </wps:wsp>
                      <wps:wsp>
                        <wps:cNvPr id="202137" name="Rectangle 202137"/>
                        <wps:cNvSpPr/>
                        <wps:spPr>
                          <a:xfrm rot="-10799999">
                            <a:off x="1162381" y="951184"/>
                            <a:ext cx="1944110" cy="142889"/>
                          </a:xfrm>
                          <a:prstGeom prst="rect">
                            <a:avLst/>
                          </a:prstGeom>
                          <a:ln>
                            <a:noFill/>
                          </a:ln>
                        </wps:spPr>
                        <wps:txbx>
                          <w:txbxContent>
                            <w:p w14:paraId="538718DB" w14:textId="77777777" w:rsidR="00B32EF2" w:rsidRDefault="00000000">
                              <w:r>
                                <w:rPr>
                                  <w:rFonts w:ascii="Arial" w:eastAsia="Arial" w:hAnsi="Arial" w:cs="Arial"/>
                                  <w:i/>
                                  <w:sz w:val="18"/>
                                </w:rPr>
                                <w:t xml:space="preserve">articolo 20 D.lgs. n. </w:t>
                              </w:r>
                            </w:p>
                          </w:txbxContent>
                        </wps:txbx>
                        <wps:bodyPr horzOverflow="overflow" vert="horz" lIns="0" tIns="0" rIns="0" bIns="0" rtlCol="0">
                          <a:noAutofit/>
                        </wps:bodyPr>
                      </wps:wsp>
                      <wps:wsp>
                        <wps:cNvPr id="202135" name="Rectangle 202135"/>
                        <wps:cNvSpPr/>
                        <wps:spPr>
                          <a:xfrm rot="-10799999">
                            <a:off x="2222319" y="951184"/>
                            <a:ext cx="1944110" cy="142889"/>
                          </a:xfrm>
                          <a:prstGeom prst="rect">
                            <a:avLst/>
                          </a:prstGeom>
                          <a:ln>
                            <a:noFill/>
                          </a:ln>
                        </wps:spPr>
                        <wps:txbx>
                          <w:txbxContent>
                            <w:p w14:paraId="7D21033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136" name="Rectangle 202136"/>
                        <wps:cNvSpPr/>
                        <wps:spPr>
                          <a:xfrm rot="-10799999">
                            <a:off x="-264196" y="951184"/>
                            <a:ext cx="1944110" cy="142889"/>
                          </a:xfrm>
                          <a:prstGeom prst="rect">
                            <a:avLst/>
                          </a:prstGeom>
                          <a:ln>
                            <a:noFill/>
                          </a:ln>
                        </wps:spPr>
                        <wps:txbx>
                          <w:txbxContent>
                            <w:p w14:paraId="1660FEEB"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1716" name="Rectangle 21716"/>
                        <wps:cNvSpPr/>
                        <wps:spPr>
                          <a:xfrm rot="-10799999">
                            <a:off x="1372667" y="827854"/>
                            <a:ext cx="998841" cy="142889"/>
                          </a:xfrm>
                          <a:prstGeom prst="rect">
                            <a:avLst/>
                          </a:prstGeom>
                          <a:ln>
                            <a:noFill/>
                          </a:ln>
                        </wps:spPr>
                        <wps:txbx>
                          <w:txbxContent>
                            <w:p w14:paraId="4AEA24E1" w14:textId="77777777" w:rsidR="00B32EF2" w:rsidRDefault="00000000">
                              <w:r>
                                <w:rPr>
                                  <w:rFonts w:ascii="Arial" w:eastAsia="Arial" w:hAnsi="Arial" w:cs="Arial"/>
                                  <w:b/>
                                  <w:sz w:val="18"/>
                                </w:rPr>
                                <w:t xml:space="preserve">Ineleggibilità </w:t>
                              </w:r>
                            </w:p>
                          </w:txbxContent>
                        </wps:txbx>
                        <wps:bodyPr horzOverflow="overflow" vert="horz" lIns="0" tIns="0" rIns="0" bIns="0" rtlCol="0">
                          <a:noAutofit/>
                        </wps:bodyPr>
                      </wps:wsp>
                      <wps:wsp>
                        <wps:cNvPr id="202134" name="Rectangle 202134"/>
                        <wps:cNvSpPr/>
                        <wps:spPr>
                          <a:xfrm rot="-10799999">
                            <a:off x="-1279870" y="704524"/>
                            <a:ext cx="5212625" cy="142889"/>
                          </a:xfrm>
                          <a:prstGeom prst="rect">
                            <a:avLst/>
                          </a:prstGeom>
                          <a:ln>
                            <a:noFill/>
                          </a:ln>
                        </wps:spPr>
                        <wps:txbx>
                          <w:txbxContent>
                            <w:p w14:paraId="6F542C8E" w14:textId="77777777" w:rsidR="00B32EF2" w:rsidRDefault="00000000">
                              <w:r>
                                <w:rPr>
                                  <w:rFonts w:ascii="Arial" w:eastAsia="Arial" w:hAnsi="Arial" w:cs="Arial"/>
                                  <w:sz w:val="18"/>
                                </w:rPr>
                                <w:t>. Non possono essere eletti al Consiglio di presidenza, e sono altresì esclu</w:t>
                              </w:r>
                            </w:p>
                          </w:txbxContent>
                        </wps:txbx>
                        <wps:bodyPr horzOverflow="overflow" vert="horz" lIns="0" tIns="0" rIns="0" bIns="0" rtlCol="0">
                          <a:noAutofit/>
                        </wps:bodyPr>
                      </wps:wsp>
                      <wps:wsp>
                        <wps:cNvPr id="202133" name="Rectangle 202133"/>
                        <wps:cNvSpPr/>
                        <wps:spPr>
                          <a:xfrm rot="-10799999">
                            <a:off x="2635030" y="704525"/>
                            <a:ext cx="5212625" cy="142889"/>
                          </a:xfrm>
                          <a:prstGeom prst="rect">
                            <a:avLst/>
                          </a:prstGeom>
                          <a:ln>
                            <a:noFill/>
                          </a:ln>
                        </wps:spPr>
                        <wps:txbx>
                          <w:txbxContent>
                            <w:p w14:paraId="6D627DA5"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1718" name="Rectangle 21718"/>
                        <wps:cNvSpPr/>
                        <wps:spPr>
                          <a:xfrm rot="-10799999">
                            <a:off x="19341" y="704525"/>
                            <a:ext cx="50622" cy="142889"/>
                          </a:xfrm>
                          <a:prstGeom prst="rect">
                            <a:avLst/>
                          </a:prstGeom>
                          <a:ln>
                            <a:noFill/>
                          </a:ln>
                        </wps:spPr>
                        <wps:txbx>
                          <w:txbxContent>
                            <w:p w14:paraId="6D59304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719" name="Rectangle 21719"/>
                        <wps:cNvSpPr/>
                        <wps:spPr>
                          <a:xfrm rot="-10799999">
                            <a:off x="-1317066" y="581195"/>
                            <a:ext cx="5309006" cy="142890"/>
                          </a:xfrm>
                          <a:prstGeom prst="rect">
                            <a:avLst/>
                          </a:prstGeom>
                          <a:ln>
                            <a:noFill/>
                          </a:ln>
                        </wps:spPr>
                        <wps:txbx>
                          <w:txbxContent>
                            <w:p w14:paraId="50563D56" w14:textId="77777777" w:rsidR="00B32EF2" w:rsidRDefault="00000000">
                              <w:r>
                                <w:rPr>
                                  <w:rFonts w:ascii="Arial" w:eastAsia="Arial" w:hAnsi="Arial" w:cs="Arial"/>
                                  <w:sz w:val="18"/>
                                </w:rPr>
                                <w:t xml:space="preserve">si dal voto, i componenti delle corti di giustizia tributaria di primo e secondo </w:t>
                              </w:r>
                            </w:p>
                          </w:txbxContent>
                        </wps:txbx>
                        <wps:bodyPr horzOverflow="overflow" vert="horz" lIns="0" tIns="0" rIns="0" bIns="0" rtlCol="0">
                          <a:noAutofit/>
                        </wps:bodyPr>
                      </wps:wsp>
                      <wps:wsp>
                        <wps:cNvPr id="21720" name="Rectangle 21720"/>
                        <wps:cNvSpPr/>
                        <wps:spPr>
                          <a:xfrm rot="-10799999">
                            <a:off x="-1317096" y="457865"/>
                            <a:ext cx="5309035" cy="142889"/>
                          </a:xfrm>
                          <a:prstGeom prst="rect">
                            <a:avLst/>
                          </a:prstGeom>
                          <a:ln>
                            <a:noFill/>
                          </a:ln>
                        </wps:spPr>
                        <wps:txbx>
                          <w:txbxContent>
                            <w:p w14:paraId="06872D32" w14:textId="77777777" w:rsidR="00B32EF2" w:rsidRDefault="00000000">
                              <w:r>
                                <w:rPr>
                                  <w:rFonts w:ascii="Arial" w:eastAsia="Arial" w:hAnsi="Arial" w:cs="Arial"/>
                                  <w:sz w:val="18"/>
                                </w:rPr>
                                <w:t xml:space="preserve">grado sottoposti, a seguito di giudizio disciplinare, ad una sanzione più grave </w:t>
                              </w:r>
                            </w:p>
                          </w:txbxContent>
                        </wps:txbx>
                        <wps:bodyPr horzOverflow="overflow" vert="horz" lIns="0" tIns="0" rIns="0" bIns="0" rtlCol="0">
                          <a:noAutofit/>
                        </wps:bodyPr>
                      </wps:wsp>
                      <wps:wsp>
                        <wps:cNvPr id="21721" name="Rectangle 21721"/>
                        <wps:cNvSpPr/>
                        <wps:spPr>
                          <a:xfrm rot="-10799999">
                            <a:off x="2711234" y="334536"/>
                            <a:ext cx="1281277" cy="142889"/>
                          </a:xfrm>
                          <a:prstGeom prst="rect">
                            <a:avLst/>
                          </a:prstGeom>
                          <a:ln>
                            <a:noFill/>
                          </a:ln>
                        </wps:spPr>
                        <wps:txbx>
                          <w:txbxContent>
                            <w:p w14:paraId="6D7905A4" w14:textId="77777777" w:rsidR="00B32EF2" w:rsidRDefault="00000000">
                              <w:r>
                                <w:rPr>
                                  <w:rFonts w:ascii="Arial" w:eastAsia="Arial" w:hAnsi="Arial" w:cs="Arial"/>
                                  <w:sz w:val="18"/>
                                </w:rPr>
                                <w:t>dell’ammonimento.</w:t>
                              </w:r>
                            </w:p>
                          </w:txbxContent>
                        </wps:txbx>
                        <wps:bodyPr horzOverflow="overflow" vert="horz" lIns="0" tIns="0" rIns="0" bIns="0" rtlCol="0">
                          <a:noAutofit/>
                        </wps:bodyPr>
                      </wps:wsp>
                      <wps:wsp>
                        <wps:cNvPr id="202132" name="Rectangle 202132"/>
                        <wps:cNvSpPr/>
                        <wps:spPr>
                          <a:xfrm rot="-10799999">
                            <a:off x="-1288145" y="211206"/>
                            <a:ext cx="5215529" cy="142889"/>
                          </a:xfrm>
                          <a:prstGeom prst="rect">
                            <a:avLst/>
                          </a:prstGeom>
                          <a:ln>
                            <a:noFill/>
                          </a:ln>
                        </wps:spPr>
                        <wps:txbx>
                          <w:txbxContent>
                            <w:p w14:paraId="0EEF714E" w14:textId="77777777" w:rsidR="00B32EF2" w:rsidRDefault="00000000">
                              <w:r>
                                <w:rPr>
                                  <w:rFonts w:ascii="Arial" w:eastAsia="Arial" w:hAnsi="Arial" w:cs="Arial"/>
                                  <w:sz w:val="18"/>
                                </w:rPr>
                                <w:t>. Il componente di corte di giustizia tributaria di primo e secondo grado sot</w:t>
                              </w:r>
                            </w:p>
                          </w:txbxContent>
                        </wps:txbx>
                        <wps:bodyPr horzOverflow="overflow" vert="horz" lIns="0" tIns="0" rIns="0" bIns="0" rtlCol="0">
                          <a:noAutofit/>
                        </wps:bodyPr>
                      </wps:wsp>
                      <wps:wsp>
                        <wps:cNvPr id="202131" name="Rectangle 202131"/>
                        <wps:cNvSpPr/>
                        <wps:spPr>
                          <a:xfrm rot="-10799999">
                            <a:off x="2634309" y="211206"/>
                            <a:ext cx="5215530" cy="142889"/>
                          </a:xfrm>
                          <a:prstGeom prst="rect">
                            <a:avLst/>
                          </a:prstGeom>
                          <a:ln>
                            <a:noFill/>
                          </a:ln>
                        </wps:spPr>
                        <wps:txbx>
                          <w:txbxContent>
                            <w:p w14:paraId="646B2799"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1723" name="Rectangle 21723"/>
                        <wps:cNvSpPr/>
                        <wps:spPr>
                          <a:xfrm rot="-10799999">
                            <a:off x="19341" y="211206"/>
                            <a:ext cx="50622" cy="142889"/>
                          </a:xfrm>
                          <a:prstGeom prst="rect">
                            <a:avLst/>
                          </a:prstGeom>
                          <a:ln>
                            <a:noFill/>
                          </a:ln>
                        </wps:spPr>
                        <wps:txbx>
                          <w:txbxContent>
                            <w:p w14:paraId="57C31AA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724" name="Rectangle 21724"/>
                        <wps:cNvSpPr/>
                        <wps:spPr>
                          <a:xfrm rot="-10799999">
                            <a:off x="-1317096" y="87876"/>
                            <a:ext cx="5309035" cy="142889"/>
                          </a:xfrm>
                          <a:prstGeom prst="rect">
                            <a:avLst/>
                          </a:prstGeom>
                          <a:ln>
                            <a:noFill/>
                          </a:ln>
                        </wps:spPr>
                        <wps:txbx>
                          <w:txbxContent>
                            <w:p w14:paraId="06101337" w14:textId="77777777" w:rsidR="00B32EF2" w:rsidRDefault="00000000">
                              <w:r>
                                <w:rPr>
                                  <w:rFonts w:ascii="Arial" w:eastAsia="Arial" w:hAnsi="Arial" w:cs="Arial"/>
                                  <w:sz w:val="18"/>
                                </w:rPr>
                                <w:t xml:space="preserve">toposto alla sanzione della censura è eleggibile dopo tre anni dalla data del </w:t>
                              </w:r>
                            </w:p>
                          </w:txbxContent>
                        </wps:txbx>
                        <wps:bodyPr horzOverflow="overflow" vert="horz" lIns="0" tIns="0" rIns="0" bIns="0" rtlCol="0">
                          <a:noAutofit/>
                        </wps:bodyPr>
                      </wps:wsp>
                      <wps:wsp>
                        <wps:cNvPr id="21725" name="Rectangle 21725"/>
                        <wps:cNvSpPr/>
                        <wps:spPr>
                          <a:xfrm rot="-10799999">
                            <a:off x="-1274880" y="-35453"/>
                            <a:ext cx="5266821" cy="142889"/>
                          </a:xfrm>
                          <a:prstGeom prst="rect">
                            <a:avLst/>
                          </a:prstGeom>
                          <a:ln>
                            <a:noFill/>
                          </a:ln>
                        </wps:spPr>
                        <wps:txbx>
                          <w:txbxContent>
                            <w:p w14:paraId="5CCF3F09" w14:textId="77777777" w:rsidR="00B32EF2" w:rsidRDefault="00000000">
                              <w:r>
                                <w:rPr>
                                  <w:rFonts w:ascii="Arial" w:eastAsia="Arial" w:hAnsi="Arial" w:cs="Arial"/>
                                  <w:sz w:val="18"/>
                                </w:rPr>
                                <w:t>relativo provvedimento, se non gli è stata applicata altra sanzione disciplinare.</w:t>
                              </w:r>
                            </w:p>
                          </w:txbxContent>
                        </wps:txbx>
                        <wps:bodyPr horzOverflow="overflow" vert="horz" lIns="0" tIns="0" rIns="0" bIns="0" rtlCol="0">
                          <a:noAutofit/>
                        </wps:bodyPr>
                      </wps:wsp>
                    </wpg:wgp>
                  </a:graphicData>
                </a:graphic>
              </wp:inline>
            </w:drawing>
          </mc:Choice>
          <mc:Fallback>
            <w:pict>
              <v:group w14:anchorId="5A7185D8" id="Group 202175" o:spid="_x0000_s5961" style="width:314.35pt;height:445.45pt;mso-position-horizontal-relative:char;mso-position-vertical-relative:line" coordsize="39919,5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lN86AkAAGp5AAAOAAAAZHJzL2Uyb0RvYy54bWzkXV2P27gVfS/Q/2D4fWKS4peMTBZFtxsU&#10;KLqL3fYHKB57xoBtGZKTmfTX91xSpsYeZouKRWiUeZh4rj2yxKNz77mXl9T7H172u9mXdddv28P9&#10;nL9j89n6sGoftofH+/k///HTnZ3P+lNzeGh27WF9P/+67uc/fPjjH94/H5dr0T61u4d1N8NBDv3y&#10;+Xg/fzqdjsvFol89rfdN/649rg94c9N2++aEX7vHxUPXPOPo+91CMKYXz233cOza1brvYf3Rvzn/&#10;4I6/2axXp583m359mu3u5zi3k/vZuZ+f6Ofiw/tm+dg1x6ftajiNZsJZ7JvtAV8aDvVjc2pmn7vt&#10;m0Ptt6uu7dvN6d2q3S/azWa7WrtrwNVwdnU1H7v289Fdy+Py+fEYhglDezVOkw+7+vuXj93xt+Mv&#10;HUbi+fiIsXC/0bW8bLo9/Y+znL24Ifsahmz9cpqtYKzqmtdVPZ+t8J7Syggj/KCunjDyb/5u9fSX&#10;//CXi/MXLy5O5/mIG6Qfx6BPG4Pfnprj2g1tv8QY/NLNtg/3c8G1wbUcmj1u1V9x8zSHx9165s1u&#10;gNynw3D1yx4jdx6rWdfi/rrjzNT0z90Pw9hxLZRh4AKNkuKyspUfpfM4asFEjfdpGLkU1tb0fhiL&#10;Znns+tPHdbuf0Yv7eYeTc1/QfPlbf/IfPX+Ezmd3oJ+H9qftbuffJQuG9HzK9Or08unFXbc03H0f&#10;GT+1D18xHE9t96+fQezNrn2+n7fDqzlxHV9P785nu78eAAPR6vyiO7/4dH7RnXZ/bh35/An96fOp&#10;3WzdGY/fNpwZ8KWb8PsAbXHeEaBhTgH6rmZaygFooY0R8hJoqY1mRuVDWoQLLAZpHkeaJyHNFdNK&#10;Sk9pJjhwv0TawgRnmI3SIlxfGUADA6UjSHt7EqmFIio7qKWtjamuoEYIVFpWGbF2QXd0qP/v7psw&#10;hQ9947+9PQVrIQTnDMdGIPZYq0tae6zB+1yhWjjpUBbW4F4Ua5PmwiH3VAXa3i7WztGUgzXXEMZv&#10;oXbmFFbziumapD0hbYyUYDiO1yzP+hucr2qdM1q7EyoHafLUcKJRVoebHpnZf59r3fHK6EoPLlwr&#10;5GNXYKuK1Yx8fDYXrs9+qxxpFuM13QQhmk0CW2gwl4G3ROzbxDrEqDKwhq+OKTNnTnHhoDU3nPmE&#10;SyoBL+5YNPpw0NrWYqhF5SiiCFsWrYFpLOFy5hSoUdgVokbWTqSWTEp+hTSvbe2EWzYHXli5jBw1&#10;nGw0WofUc5IDB60tNxr3EYEtUDTBPXUhzVy0rvCBXGBXhVXMCOxYyczbk4itOavrwYXfJtaFFc3g&#10;q1GsfsNrZ05B2kfrehDhXBmD2txbWqNGmY/WwXEVI8zic1t+rolSz6keHMJMDsk1q6QUTvJeCbOc&#10;cx6o8Qw3cylQ1/HZLZjTWC0EM9pDXdVIveprqAUXimifLViH4kExUMdiNdfQzylQ81oIL8riODMt&#10;MlbLqsKqZYAzJr+dOQVlF6Yxd+nUd2WsMfqa0FQry6q+nW4opzAKTGOlMmf+30Gt0aVQuXLFRZjO&#10;DHVxpTLKhSLiG+YUqIXWFrOYntRKIkxfIc0rUWmO784WpQurlFHqHFNk3p6C9R0XFoXRQZJJboy5&#10;AlvBv0ubM1iXVyyjbOgNrwE27ClgC12h5cg3olTfxhrxIxexZUgwipHf8RJ4HWTLpKT6lfyO4pxX&#10;fsuQWxSDcqwDBZosKJZJKAtuKBL7QC1qKb1/GCUZt9wqqtBl43NhRTLy0bGCqLen+G6a6GAa6RVN&#10;dNBUJvc91yPYqsJU9rmXPsf8JToYhyssg9YEaozX3p4CNtoSmJG++n2jWIcUowys4atjmsyZU5CG&#10;/ubWzYMTrRmay3w5/RWtob8Vz6i/cR8WRWtuWCzXcuYUqEmTDe47inNmTRYEZyGENixa+CZzCsp+&#10;5pJWB4HQohZSapfTvCJ07vZBBK3SCB2tfhs0/qVAzSG/qQrqkLaMo0uYjjcijRYFW1lwPpv8Lq9O&#10;hq6+eOkk+LdJqRbJb66Zz7VoNY9FkLgA2/cZZZy6HItDZXhwktkY7midLEiWSWCT/D73Gf0O1rgZ&#10;chEb1eDSXHh0qsOgoTfFhV9Ga0XVURf+Rx+evdkfvXSlQR1jNeR3Gqk5prU06ssuWsuKc1+FHJHG&#10;1gOK24yzWmiRLQ3pWLAG0mmxGnNlaDIadBkQpdkrDOyItEVPAlR5Pu9dYKEs5r4pgif6b4VlYNRa&#10;TskWw2Ie7y1HqIG9UZTpZYvU4QLLUWWxbIuwDv5tmipTNbZGGWh9m1iHCFUO1rFmI8I6uLhJWN9J&#10;UuDUyXS7xA5BqgywEZZjM1vOnCLBuUYr6DDXgc0RjEVj6EW0VpXEtlAZPXhh5TJib6wA7u0pUIu6&#10;qgz1/YLUmJrGdPUV1JIxW9G9kC1aF1gwi5XBCeuQd07z4AY7lkH03S7UoZeqDP8NSKk5IFYugz2F&#10;1q42amjNH4GNlQPYru7ahSPjyrlYy8/BlNMFTmDHorW3p4Dta6Nehd8o1sFxlUFs6gWK8NqZU5B2&#10;tdHz4g7sjWZsFaN1zsUd3s+UQ2tgGsutnTkZaj4st4Uuk4q5/G2so7gyOPZ+zKbMdEgoi2F1LLUG&#10;1GEgJuky1L0HVVZhjYe5ghn78TJtM5bL/C6YRTE6VhkFzKFuOA1mqoHTmhGSZNRL6I83Etqilkbb&#10;ZuTKtLDB1uCxyuAzKa9vNIvCnuK8SW6jOcFBXStOU1g43Ig0R2M41nBlhLqwShlBHZvC9PYUqLG7&#10;qKjQ902svk2ow61cDqtjc5gEdbjrJznwO6Elxyqg24W6sFIZQnIMaWdO4TTCAjoTfGMwJisttrW8&#10;cN91bS1qcfkCdSgOlUPpmCQjSqdpMvT6Y/7SeFGG4qi63twfS20FnvSQD2uc23Arl4N1LMsirNPS&#10;LFpqy9APTO7bQe3k7ijK8kNdXpUsVhCF+w5xbFKcxpQleedvwZx3UYd/mE5R2XRsigMghyA2CWRX&#10;CsXqS4ezslh6eU1nt6YD75/Tab9T1vd7AI8v5JSENBUj30xmcTM+nyYB6UF3S2Wsr1O8ctxuQ6Oc&#10;MTqIkDJiNCCFf40hHSLYJKQFpk0EFB257gpNBz5fG4HGxijQaxn7Tvy28+VQmkRXbHbD21NSLNrk&#10;Bu0mIC2wRtUbnaKXORbUmFI5t/42oVhQBqkJ0xirvT0FawhvCRf9+1CTMD9H6u/9qDy4lKJyLPjv&#10;WIrlzClAj8I7yujMwjskFWXwGWjGaibOnAKyF96DHLPYYPLacWdXYyGxKAbo2NQGgA7zeZPUGNXG&#10;pB2Wzd9hmzL/YJdRjuERerQrYT6/PT7ZMzfS7sm2eKCve8Dr8PBhemLw69/dI1HHRyR/+DcAAAD/&#10;/wMAUEsDBBQABgAIAAAAIQD6kXcc3QAAAAUBAAAPAAAAZHJzL2Rvd25yZXYueG1sTI9Ba8JAEIXv&#10;Bf/DMoXe6iaW2phmIyLqSQrVQultzI5JMDsbsmsS/323vbSXgcd7vPdNthxNI3rqXG1ZQTyNQBAX&#10;VtdcKvg4bh8TEM4ja2wsk4IbOVjmk7sMU20Hfqf+4EsRStilqKDyvk2ldEVFBt3UtsTBO9vOoA+y&#10;K6XucAjlppGzKJpLgzWHhQpbWldUXA5Xo2A34LB6ijf9/nJe376Oz2+f+5iUergfV68gPI3+Lww/&#10;+AEd8sB0slfWTjQKwiP+9wZvPkteQJwUJItoATLP5H/6/BsAAP//AwBQSwECLQAUAAYACAAAACEA&#10;toM4kv4AAADhAQAAEwAAAAAAAAAAAAAAAAAAAAAAW0NvbnRlbnRfVHlwZXNdLnhtbFBLAQItABQA&#10;BgAIAAAAIQA4/SH/1gAAAJQBAAALAAAAAAAAAAAAAAAAAC8BAABfcmVscy8ucmVsc1BLAQItABQA&#10;BgAIAAAAIQDyelN86AkAAGp5AAAOAAAAAAAAAAAAAAAAAC4CAABkcnMvZTJvRG9jLnhtbFBLAQIt&#10;ABQABgAIAAAAIQD6kXcc3QAAAAUBAAAPAAAAAAAAAAAAAAAAAEIMAABkcnMvZG93bnJldi54bWxQ&#10;SwUGAAAAAAQABADzAAAATA0AAAAA&#10;">
                <v:rect id="Rectangle 21679" o:spid="_x0000_s5962" style="position:absolute;left:16257;top:55143;width:62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9FUxgAAAN4AAAAPAAAAZHJzL2Rvd25yZXYueG1sRI9Ba8JA&#10;FITvgv9heUJvdaMHa6OriCLm4EVrocdH9plEs2+X7GpSf31XKHgcZuYbZr7sTC3u1PjKsoLRMAFB&#10;nFtdcaHg9LV9n4LwAVljbZkU/JKH5aLfm2OqbcsHuh9DISKEfYoKyhBcKqXPSzLoh9YRR+9sG4Mh&#10;yqaQusE2wk0tx0kykQYrjgslOlqXlF+PN6PgZ8Mu27YyPz/Wbn/JpvXudvpW6m3QrWYgAnXhFf5v&#10;Z1rBeDT5+ITnnXgF5OIPAAD//wMAUEsBAi0AFAAGAAgAAAAhANvh9svuAAAAhQEAABMAAAAAAAAA&#10;AAAAAAAAAAAAAFtDb250ZW50X1R5cGVzXS54bWxQSwECLQAUAAYACAAAACEAWvQsW78AAAAVAQAA&#10;CwAAAAAAAAAAAAAAAAAfAQAAX3JlbHMvLnJlbHNQSwECLQAUAAYACAAAACEAwBfRVMYAAADeAAAA&#10;DwAAAAAAAAAAAAAAAAAHAgAAZHJzL2Rvd25yZXYueG1sUEsFBgAAAAADAAMAtwAAAPoCAAAAAA==&#10;" filled="f" stroked="f">
                  <v:textbox inset="0,0,0,0">
                    <w:txbxContent>
                      <w:p w14:paraId="01019BD9" w14:textId="77777777" w:rsidR="00B32EF2" w:rsidRDefault="00000000">
                        <w:r>
                          <w:rPr>
                            <w:rFonts w:ascii="Arial" w:eastAsia="Arial" w:hAnsi="Arial" w:cs="Arial"/>
                            <w:b/>
                            <w:sz w:val="18"/>
                          </w:rPr>
                          <w:t>CAPO III</w:t>
                        </w:r>
                      </w:p>
                    </w:txbxContent>
                  </v:textbox>
                </v:rect>
                <v:rect id="Rectangle 21680" o:spid="_x0000_s5963" style="position:absolute;left:-9064;top:52677;width:467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juxAAAAN4AAAAPAAAAZHJzL2Rvd25yZXYueG1sRI/NisIw&#10;FIX3A75DuIK7MdWFlGoUUcQu3OgouLw017ba3IQm2urTTxYDszycP77FqjeNeFHra8sKJuMEBHFh&#10;dc2lgvPP7jsF4QOyxsYyKXiTh9Vy8LXATNuOj/Q6hVLEEfYZKqhCcJmUvqjIoB9bRxy9m20Nhijb&#10;UuoWuzhuGjlNkpk0WHN8qNDRpqLicXoaBdctu3zXyeL22bjDPU+b/fN8UWo07NdzEIH68B/+a+da&#10;wXQySyNAxIkoIJe/AAAA//8DAFBLAQItABQABgAIAAAAIQDb4fbL7gAAAIUBAAATAAAAAAAAAAAA&#10;AAAAAAAAAABbQ29udGVudF9UeXBlc10ueG1sUEsBAi0AFAAGAAgAAAAhAFr0LFu/AAAAFQEAAAsA&#10;AAAAAAAAAAAAAAAAHwEAAF9yZWxzLy5yZWxzUEsBAi0AFAAGAAgAAAAhAGT4CO7EAAAA3gAAAA8A&#10;AAAAAAAAAAAAAAAABwIAAGRycy9kb3ducmV2LnhtbFBLBQYAAAAAAwADALcAAAD4AgAAAAA=&#10;" filled="f" stroked="f">
                  <v:textbox inset="0,0,0,0">
                    <w:txbxContent>
                      <w:p w14:paraId="50342B9D" w14:textId="77777777" w:rsidR="00B32EF2" w:rsidRDefault="00000000">
                        <w:r>
                          <w:rPr>
                            <w:rFonts w:ascii="Arial" w:eastAsia="Arial" w:hAnsi="Arial" w:cs="Arial"/>
                            <w:b/>
                            <w:sz w:val="18"/>
                          </w:rPr>
                          <w:t xml:space="preserve"> IL CONSIGLIO DI PRESIDENZA DELLA GIUSTIZIA TRIBUTARIA</w:t>
                        </w:r>
                      </w:p>
                    </w:txbxContent>
                  </v:textbox>
                </v:rect>
                <v:rect id="Rectangle 21681" o:spid="_x0000_s5964" style="position:absolute;left:15065;top:50210;width:81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K11xgAAAN4AAAAPAAAAZHJzL2Rvd25yZXYueG1sRI9Ba8JA&#10;FITvBf/D8oTe6iYeJERXEUXMoZeqhR4f2WcSzb5dsquJ/vpuoeBxmJlvmMVqMK24U+cbywrSSQKC&#10;uLS64UrB6bj7yED4gKyxtUwKHuRhtRy9LTDXtucvuh9CJSKEfY4K6hBcLqUvazLoJ9YRR+9sO4Mh&#10;yq6SusM+wk0rp0kykwYbjgs1OtrUVF4PN6PgZ8uu2PWyPD837vNSZO3+dvpW6n08rOcgAg3hFf5v&#10;F1rBNJ1lKfzdiVdALn8BAAD//wMAUEsBAi0AFAAGAAgAAAAhANvh9svuAAAAhQEAABMAAAAAAAAA&#10;AAAAAAAAAAAAAFtDb250ZW50X1R5cGVzXS54bWxQSwECLQAUAAYACAAAACEAWvQsW78AAAAVAQAA&#10;CwAAAAAAAAAAAAAAAAAfAQAAX3JlbHMvLnJlbHNQSwECLQAUAAYACAAAACEAC7StdcYAAADeAAAA&#10;DwAAAAAAAAAAAAAAAAAHAgAAZHJzL2Rvd25yZXYueG1sUEsFBgAAAAADAAMAtwAAAPoCAAAAAA==&#10;" filled="f" stroked="f">
                  <v:textbox inset="0,0,0,0">
                    <w:txbxContent>
                      <w:p w14:paraId="6E713085" w14:textId="77777777" w:rsidR="00B32EF2" w:rsidRDefault="00000000">
                        <w:r>
                          <w:rPr>
                            <w:rFonts w:ascii="Arial" w:eastAsia="Arial" w:hAnsi="Arial" w:cs="Arial"/>
                            <w:b/>
                            <w:sz w:val="18"/>
                          </w:rPr>
                          <w:t>Articolo 24</w:t>
                        </w:r>
                      </w:p>
                    </w:txbxContent>
                  </v:textbox>
                </v:rect>
                <v:rect id="Rectangle 202156" o:spid="_x0000_s5965" style="position:absolute;left:-2526;top:48977;width:193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qwyAAAAN8AAAAPAAAAZHJzL2Rvd25yZXYueG1sRI9Pa8JA&#10;FMTvBb/D8oTe6sZARaIbEUWaQy+1Ch4f2Zc/mn27ZFeT9tN3C4Ueh5n5DbPejKYTD+p9a1nBfJaA&#10;IC6tbrlWcPo8vCxB+ICssbNMCr7IwyafPK0x03bgD3ocQy0ihH2GCpoQXCalLxsy6GfWEUevsr3B&#10;EGVfS93jEOGmk2mSLKTBluNCg452DZW3490ouOzZFYdBltX3zr1fi2X3dj+dlXqejtsViEBj+A//&#10;tQutIE3S+esCfv/ELyDzHwAAAP//AwBQSwECLQAUAAYACAAAACEA2+H2y+4AAACFAQAAEwAAAAAA&#10;AAAAAAAAAAAAAAAAW0NvbnRlbnRfVHlwZXNdLnhtbFBLAQItABQABgAIAAAAIQBa9CxbvwAAABUB&#10;AAALAAAAAAAAAAAAAAAAAB8BAABfcmVscy8ucmVsc1BLAQItABQABgAIAAAAIQBLKFqwyAAAAN8A&#10;AAAPAAAAAAAAAAAAAAAAAAcCAABkcnMvZG93bnJldi54bWxQSwUGAAAAAAMAAwC3AAAA/AIAAAAA&#10;" filled="f" stroked="f">
                  <v:textbox inset="0,0,0,0">
                    <w:txbxContent>
                      <w:p w14:paraId="6EF3BA7E" w14:textId="77777777" w:rsidR="00B32EF2" w:rsidRDefault="00000000">
                        <w:r>
                          <w:rPr>
                            <w:rFonts w:ascii="Arial" w:eastAsia="Arial" w:hAnsi="Arial" w:cs="Arial"/>
                            <w:i/>
                            <w:sz w:val="18"/>
                          </w:rPr>
                          <w:t>545/92)</w:t>
                        </w:r>
                      </w:p>
                    </w:txbxContent>
                  </v:textbox>
                </v:rect>
                <v:rect id="Rectangle 202155" o:spid="_x0000_s5966" style="position:absolute;left:22211;top:48977;width:193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THyAAAAN8AAAAPAAAAZHJzL2Rvd25yZXYueG1sRI9La8Mw&#10;EITvhfwHsYXeGjmGlOBEDiUh1IdemgfkuFjrR2uthKXEbn59VCjkOMzMN8xqPZpOXKn3rWUFs2kC&#10;gri0uuVawfGwe12A8AFZY2eZFPySh3U+eVphpu3AX3Tdh1pECPsMFTQhuExKXzZk0E+tI45eZXuD&#10;Icq+lrrHIcJNJ9MkeZMGW44LDTraNFT+7C9GwXnLrtgNsqxuG/f5XSy6j8vxpNTL8/i+BBFoDI/w&#10;f7vQCtIknc3n8PcnfgGZ3wEAAP//AwBQSwECLQAUAAYACAAAACEA2+H2y+4AAACFAQAAEwAAAAAA&#10;AAAAAAAAAAAAAAAAW0NvbnRlbnRfVHlwZXNdLnhtbFBLAQItABQABgAIAAAAIQBa9CxbvwAAABUB&#10;AAALAAAAAAAAAAAAAAAAAB8BAABfcmVscy8ucmVsc1BLAQItABQABgAIAAAAIQC7+sTHyAAAAN8A&#10;AAAPAAAAAAAAAAAAAAAAAAcCAABkcnMvZG93bnJldi54bWxQSwUGAAAAAAMAAwC3AAAA/AIAAAAA&#10;" filled="f" stroked="f">
                  <v:textbox inset="0,0,0,0">
                    <w:txbxContent>
                      <w:p w14:paraId="05ADE60E" w14:textId="77777777" w:rsidR="00B32EF2" w:rsidRDefault="00000000">
                        <w:r>
                          <w:rPr>
                            <w:rFonts w:ascii="Arial" w:eastAsia="Arial" w:hAnsi="Arial" w:cs="Arial"/>
                            <w:i/>
                            <w:sz w:val="18"/>
                          </w:rPr>
                          <w:t>(</w:t>
                        </w:r>
                      </w:p>
                    </w:txbxContent>
                  </v:textbox>
                </v:rect>
                <v:rect id="Rectangle 202157" o:spid="_x0000_s5967" style="position:absolute;left:11675;top:48977;width:193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8ryAAAAN8AAAAPAAAAZHJzL2Rvd25yZXYueG1sRI9Pa8JA&#10;FMTvgt9heYI33RioldRVRJHm0Ev9Az0+ss8kbfbtkl1N7Kd3CwWPw8z8hlmue9OIG7W+tqxgNk1A&#10;EBdW11wqOB33kwUIH5A1NpZJwZ08rFfDwRIzbTv+pNshlCJC2GeooArBZVL6oiKDfmodcfQutjUY&#10;omxLqVvsItw0Mk2SuTRYc1yo0NG2ouLncDUKvnbs8n0ni8vv1n1854vm/Xo6KzUe9Zs3EIH68Az/&#10;t3OtIE3S2csr/P2JX0CuHgAAAP//AwBQSwECLQAUAAYACAAAACEA2+H2y+4AAACFAQAAEwAAAAAA&#10;AAAAAAAAAAAAAAAAW0NvbnRlbnRfVHlwZXNdLnhtbFBLAQItABQABgAIAAAAIQBa9CxbvwAAABUB&#10;AAALAAAAAAAAAAAAAAAAAB8BAABfcmVscy8ucmVsc1BLAQItABQABgAIAAAAIQAkZP8ryAAAAN8A&#10;AAAPAAAAAAAAAAAAAAAAAAcCAABkcnMvZG93bnJldi54bWxQSwUGAAAAAAMAAwC3AAAA/AIAAAAA&#10;" filled="f" stroked="f">
                  <v:textbox inset="0,0,0,0">
                    <w:txbxContent>
                      <w:p w14:paraId="14F9AE4A" w14:textId="77777777" w:rsidR="00B32EF2" w:rsidRDefault="00000000">
                        <w:r>
                          <w:rPr>
                            <w:rFonts w:ascii="Arial" w:eastAsia="Arial" w:hAnsi="Arial" w:cs="Arial"/>
                            <w:i/>
                            <w:sz w:val="18"/>
                          </w:rPr>
                          <w:t xml:space="preserve">articolo 17 D.lgs. n. </w:t>
                        </w:r>
                      </w:p>
                    </w:txbxContent>
                  </v:textbox>
                </v:rect>
                <v:rect id="Rectangle 21683" o:spid="_x0000_s5968" style="position:absolute;left:13069;top:47744;width:1104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paZxwAAAN4AAAAPAAAAZHJzL2Rvd25yZXYueG1sRI9Pi8Iw&#10;FMTvC36H8Ba8rakuSKlGWRTZHrysf8Djo3m23W1eQhNt9dNvBMHjMDO/YebL3jTiSq2vLSsYjxIQ&#10;xIXVNZcKDvvNRwrCB2SNjWVScCMPy8XgbY6Zth3/0HUXShEh7DNUUIXgMil9UZFBP7KOOHpn2xoM&#10;Ubal1C12EW4aOUmSqTRYc1yo0NGqouJvdzEKTmt2+aaTxfm+ctvfPG2+L4ejUsP3/msGIlAfXuFn&#10;O9cKJuNp+gmPO/EKyMU/AAAA//8DAFBLAQItABQABgAIAAAAIQDb4fbL7gAAAIUBAAATAAAAAAAA&#10;AAAAAAAAAAAAAABbQ29udGVudF9UeXBlc10ueG1sUEsBAi0AFAAGAAgAAAAhAFr0LFu/AAAAFQEA&#10;AAsAAAAAAAAAAAAAAAAAHwEAAF9yZWxzLy5yZWxzUEsBAi0AFAAGAAgAAAAhAJQqlpnHAAAA3gAA&#10;AA8AAAAAAAAAAAAAAAAABwIAAGRycy9kb3ducmV2LnhtbFBLBQYAAAAAAwADALcAAAD7AgAAAAA=&#10;" filled="f" stroked="f">
                  <v:textbox inset="0,0,0,0">
                    <w:txbxContent>
                      <w:p w14:paraId="19D8DF7E" w14:textId="77777777" w:rsidR="00B32EF2" w:rsidRDefault="00000000">
                        <w:r>
                          <w:rPr>
                            <w:rFonts w:ascii="Arial" w:eastAsia="Arial" w:hAnsi="Arial" w:cs="Arial"/>
                            <w:b/>
                            <w:sz w:val="18"/>
                          </w:rPr>
                          <w:t xml:space="preserve">Composizione </w:t>
                        </w:r>
                      </w:p>
                    </w:txbxContent>
                  </v:textbox>
                </v:rect>
                <v:rect id="Rectangle 202154" o:spid="_x0000_s5969" style="position:absolute;left:-13763;top:4651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mFcyAAAAN8AAAAPAAAAZHJzL2Rvd25yZXYueG1sRI9Pa8JA&#10;FMTvgt9heYI33RhqkdRVRJHm0Ev9Az0+ss8kbfbtkl1N7Kd3CwWPw8z8hlmue9OIG7W+tqxgNk1A&#10;EBdW11wqOB33kwUIH5A1NpZJwZ08rFfDwRIzbTv+pNshlCJC2GeooArBZVL6oiKDfmodcfQutjUY&#10;omxLqVvsItw0Mk2SV2mw5rhQoaNtRcXP4WoUfO3Y5ftOFpffrfv4zhfN+/V0Vmo86jdvIAL14Rn+&#10;b+daQZqks/kL/P2JX0CuHgAAAP//AwBQSwECLQAUAAYACAAAACEA2+H2y+4AAACFAQAAEwAAAAAA&#10;AAAAAAAAAAAAAAAAW0NvbnRlbnRfVHlwZXNdLnhtbFBLAQItABQABgAIAAAAIQBa9CxbvwAAABUB&#10;AAALAAAAAAAAAAAAAAAAAB8BAABfcmVscy8ucmVsc1BLAQItABQABgAIAAAAIQDUtmFcyAAAAN8A&#10;AAAPAAAAAAAAAAAAAAAAAAcCAABkcnMvZG93bnJldi54bWxQSwUGAAAAAAMAAwC3AAAA/AIAAAAA&#10;" filled="f" stroked="f">
                  <v:textbox inset="0,0,0,0">
                    <w:txbxContent>
                      <w:p w14:paraId="72467680" w14:textId="77777777" w:rsidR="00B32EF2" w:rsidRDefault="00000000">
                        <w:r>
                          <w:rPr>
                            <w:rFonts w:ascii="Arial" w:eastAsia="Arial" w:hAnsi="Arial" w:cs="Arial"/>
                            <w:sz w:val="18"/>
                          </w:rPr>
                          <w:t xml:space="preserve">. Il Consiglio di presidenza della giustizia tributaria è costituito con decreto del </w:t>
                        </w:r>
                      </w:p>
                    </w:txbxContent>
                  </v:textbox>
                </v:rect>
                <v:rect id="Rectangle 202153" o:spid="_x0000_s5970" style="position:absolute;left:26110;top:4651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koyAAAAN8AAAAPAAAAZHJzL2Rvd25yZXYueG1sRI9Pa8JA&#10;FMTvgt9heYI33ZhikdRVRJHm0Ev9Az0+ss8kbfbtkl1N7Kd3CwWPw8z8hlmue9OIG7W+tqxgNk1A&#10;EBdW11wqOB33kwUIH5A1NpZJwZ08rFfDwRIzbTv+pNshlCJC2GeooArBZVL6oiKDfmodcfQutjUY&#10;omxLqVvsItw0Mk2SV2mw5rhQoaNtRcXP4WoUfO3Y5ftOFpffrfv4zhfN+/V0Vmo86jdvIAL14Rn+&#10;b+daQZqks/kL/P2JX0CuHgAAAP//AwBQSwECLQAUAAYACAAAACEA2+H2y+4AAACFAQAAEwAAAAAA&#10;AAAAAAAAAAAAAAAAW0NvbnRlbnRfVHlwZXNdLnhtbFBLAQItABQABgAIAAAAIQBa9CxbvwAAABUB&#10;AAALAAAAAAAAAAAAAAAAAB8BAABfcmVscy8ucmVsc1BLAQItABQABgAIAAAAIQBbX/koyAAAAN8A&#10;AAAPAAAAAAAAAAAAAAAAAAcCAABkcnMvZG93bnJldi54bWxQSwUGAAAAAAMAAwC3AAAA/AIAAAAA&#10;" filled="f" stroked="f">
                  <v:textbox inset="0,0,0,0">
                    <w:txbxContent>
                      <w:p w14:paraId="03B2F770" w14:textId="77777777" w:rsidR="00B32EF2" w:rsidRDefault="00000000">
                        <w:r>
                          <w:rPr>
                            <w:rFonts w:ascii="Arial" w:eastAsia="Arial" w:hAnsi="Arial" w:cs="Arial"/>
                            <w:sz w:val="18"/>
                          </w:rPr>
                          <w:t>1</w:t>
                        </w:r>
                      </w:p>
                    </w:txbxContent>
                  </v:textbox>
                </v:rect>
                <v:rect id="Rectangle 21685" o:spid="_x0000_s5971" style="position:absolute;left:-13171;top:4527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6t2xwAAAN4AAAAPAAAAZHJzL2Rvd25yZXYueG1sRI9Pi8Iw&#10;FMTvC36H8Ba8ranCSqlGWRTZHrysf8Djo3m23W1eQhNt9dNvBMHjMDO/YebL3jTiSq2vLSsYjxIQ&#10;xIXVNZcKDvvNRwrCB2SNjWVScCMPy8XgbY6Zth3/0HUXShEh7DNUUIXgMil9UZFBP7KOOHpn2xoM&#10;Ubal1C12EW4aOUmSqTRYc1yo0NGqouJvdzEKTmt2+aaTxfm+ctvfPG2+L4ejUsP3/msGIlAfXuFn&#10;O9cKJuNp+gmPO/EKyMU/AAAA//8DAFBLAQItABQABgAIAAAAIQDb4fbL7gAAAIUBAAATAAAAAAAA&#10;AAAAAAAAAAAAAABbQ29udGVudF9UeXBlc10ueG1sUEsBAi0AFAAGAAgAAAAhAFr0LFu/AAAAFQEA&#10;AAsAAAAAAAAAAAAAAAAAHwEAAF9yZWxzLy5yZWxzUEsBAi0AFAAGAAgAAAAhAHSPq3bHAAAA3gAA&#10;AA8AAAAAAAAAAAAAAAAABwIAAGRycy9kb3ducmV2LnhtbFBLBQYAAAAAAwADALcAAAD7AgAAAAA=&#10;" filled="f" stroked="f">
                  <v:textbox inset="0,0,0,0">
                    <w:txbxContent>
                      <w:p w14:paraId="245E0B76" w14:textId="77777777" w:rsidR="00B32EF2" w:rsidRDefault="00000000">
                        <w:r>
                          <w:rPr>
                            <w:rFonts w:ascii="Arial" w:eastAsia="Arial" w:hAnsi="Arial" w:cs="Arial"/>
                            <w:sz w:val="18"/>
                          </w:rPr>
                          <w:t xml:space="preserve">Presidente della Repubblica, su proposta del Ministro dell’economia e delle </w:t>
                        </w:r>
                      </w:p>
                    </w:txbxContent>
                  </v:textbox>
                </v:rect>
                <v:rect id="Rectangle 21686" o:spid="_x0000_s5972" style="position:absolute;left:20022;top:44044;width:198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TUBxgAAAN4AAAAPAAAAZHJzL2Rvd25yZXYueG1sRI9Ba8JA&#10;FITvBf/D8oTe6kYPIURXEUXMoZeqhR4f2WcSzb5dsquJ/vpuoeBxmJlvmMVqMK24U+cbywqmkwQE&#10;cWl1w5WC03H3kYHwAVlja5kUPMjDajl6W2Cubc9fdD+ESkQI+xwV1CG4XEpf1mTQT6wjjt7ZdgZD&#10;lF0ldYd9hJtWzpIklQYbjgs1OtrUVF4PN6PgZ8uu2PWyPD837vNSZO3+dvpW6n08rOcgAg3hFf5v&#10;F1rBbJpmKfzdiVdALn8BAAD//wMAUEsBAi0AFAAGAAgAAAAhANvh9svuAAAAhQEAABMAAAAAAAAA&#10;AAAAAAAAAAAAAFtDb250ZW50X1R5cGVzXS54bWxQSwECLQAUAAYACAAAACEAWvQsW78AAAAVAQAA&#10;CwAAAAAAAAAAAAAAAAAfAQAAX3JlbHMvLnJlbHNQSwECLQAUAAYACAAAACEAhF01AcYAAADeAAAA&#10;DwAAAAAAAAAAAAAAAAAHAgAAZHJzL2Rvd25yZXYueG1sUEsFBgAAAAADAAMAtwAAAPoCAAAAAA==&#10;" filled="f" stroked="f">
                  <v:textbox inset="0,0,0,0">
                    <w:txbxContent>
                      <w:p w14:paraId="29D8D0CE" w14:textId="77777777" w:rsidR="00B32EF2" w:rsidRDefault="00000000">
                        <w:r>
                          <w:rPr>
                            <w:rFonts w:ascii="Arial" w:eastAsia="Arial" w:hAnsi="Arial" w:cs="Arial"/>
                            <w:sz w:val="18"/>
                          </w:rPr>
                          <w:t>finanze, ed ha sede in Roma.</w:t>
                        </w:r>
                      </w:p>
                    </w:txbxContent>
                  </v:textbox>
                </v:rect>
                <v:rect id="Rectangle 202152" o:spid="_x0000_s5973" style="position:absolute;left:-13817;top:4281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1yzxwAAAN8AAAAPAAAAZHJzL2Rvd25yZXYueG1sRI9Ba8JA&#10;FITvgv9heYI33RiwSHQVUcQcvNRa6PGRfSbR7Nslu5rYX98tFHocZuYbZrXpTSOe1PrasoLZNAFB&#10;XFhdc6ng8nGYLED4gKyxsUwKXuRhsx4OVphp2/E7Pc+hFBHCPkMFVQguk9IXFRn0U+uIo3e1rcEQ&#10;ZVtK3WIX4aaRaZK8SYM1x4UKHe0qKu7nh1HwtWeXHzpZXL937nTLF83xcflUajzqt0sQgfrwH/5r&#10;51pBmqSzeQq/f+IXkOsfAAAA//8DAFBLAQItABQABgAIAAAAIQDb4fbL7gAAAIUBAAATAAAAAAAA&#10;AAAAAAAAAAAAAABbQ29udGVudF9UeXBlc10ueG1sUEsBAi0AFAAGAAgAAAAhAFr0LFu/AAAAFQEA&#10;AAsAAAAAAAAAAAAAAAAAHwEAAF9yZWxzLy5yZWxzUEsBAi0AFAAGAAgAAAAhADQTXLPHAAAA3wAA&#10;AA8AAAAAAAAAAAAAAAAABwIAAGRycy9kb3ducmV2LnhtbFBLBQYAAAAAAwADALcAAAD7AgAAAAA=&#10;" filled="f" stroked="f">
                  <v:textbox inset="0,0,0,0">
                    <w:txbxContent>
                      <w:p w14:paraId="113B6805" w14:textId="77777777" w:rsidR="00B32EF2" w:rsidRDefault="00000000">
                        <w:r>
                          <w:rPr>
                            <w:rFonts w:ascii="Arial" w:eastAsia="Arial" w:hAnsi="Arial" w:cs="Arial"/>
                            <w:sz w:val="18"/>
                          </w:rPr>
                          <w:t xml:space="preserve">. Il Consiglio di presidenza è composto da undici componenti eletti dai giudici </w:t>
                        </w:r>
                      </w:p>
                    </w:txbxContent>
                  </v:textbox>
                </v:rect>
                <v:rect id="Rectangle 202151" o:spid="_x0000_s5974" style="position:absolute;left:26109;top:42810;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cLExwAAAN8AAAAPAAAAZHJzL2Rvd25yZXYueG1sRI9Ba8JA&#10;FITvQv/D8gredJOAIqmriCLm4EVrocdH9pmkZt8u2dXE/vpuodDjMDPfMMv1YFrxoM43lhWk0wQE&#10;cWl1w5WCy/t+sgDhA7LG1jIpeJKH9epltMRc255P9DiHSkQI+xwV1CG4XEpf1mTQT60jjt7VdgZD&#10;lF0ldYd9hJtWZkkylwYbjgs1OtrWVN7Od6Pgc8eu2PeyvH5v3fGrWLSH++VDqfHrsHkDEWgI/+G/&#10;dqEVZEmWzlL4/RO/gFz9AAAA//8DAFBLAQItABQABgAIAAAAIQDb4fbL7gAAAIUBAAATAAAAAAAA&#10;AAAAAAAAAAAAAABbQ29udGVudF9UeXBlc10ueG1sUEsBAi0AFAAGAAgAAAAhAFr0LFu/AAAAFQEA&#10;AAsAAAAAAAAAAAAAAAAAHwEAAF9yZWxzLy5yZWxzUEsBAi0AFAAGAAgAAAAhAMTBwsTHAAAA3wAA&#10;AA8AAAAAAAAAAAAAAAAABwIAAGRycy9kb3ducmV2LnhtbFBLBQYAAAAAAwADALcAAAD7AgAAAAA=&#10;" filled="f" stroked="f">
                  <v:textbox inset="0,0,0,0">
                    <w:txbxContent>
                      <w:p w14:paraId="68658A55" w14:textId="77777777" w:rsidR="00B32EF2" w:rsidRDefault="00000000">
                        <w:r>
                          <w:rPr>
                            <w:rFonts w:ascii="Arial" w:eastAsia="Arial" w:hAnsi="Arial" w:cs="Arial"/>
                            <w:sz w:val="18"/>
                          </w:rPr>
                          <w:t>2</w:t>
                        </w:r>
                      </w:p>
                    </w:txbxContent>
                  </v:textbox>
                </v:rect>
                <v:rect id="Rectangle 21688" o:spid="_x0000_s5975" style="position:absolute;left:-13171;top:4157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gTowgAAAN4AAAAPAAAAZHJzL2Rvd25yZXYueG1sRE9Ni8Iw&#10;EL0v+B/CCN7WVA9SqlFEEXvwoqvgcWjGttpMQhNt9ddvDgt7fLzvxao3jXhR62vLCibjBARxYXXN&#10;pYLzz+47BeEDssbGMil4k4fVcvC1wEzbjo/0OoVSxBD2GSqoQnCZlL6oyKAfW0ccuZttDYYI21Lq&#10;FrsYbho5TZKZNFhzbKjQ0aai4nF6GgXXLbt818ni9tm4wz1Pm/3zfFFqNOzXcxCB+vAv/nPnWsF0&#10;Mkvj3ngnXgG5/AUAAP//AwBQSwECLQAUAAYACAAAACEA2+H2y+4AAACFAQAAEwAAAAAAAAAAAAAA&#10;AAAAAAAAW0NvbnRlbnRfVHlwZXNdLnhtbFBLAQItABQABgAIAAAAIQBa9CxbvwAAABUBAAALAAAA&#10;AAAAAAAAAAAAAB8BAABfcmVscy8ucmVsc1BLAQItABQABgAIAAAAIQCajgTowgAAAN4AAAAPAAAA&#10;AAAAAAAAAAAAAAcCAABkcnMvZG93bnJldi54bWxQSwUGAAAAAAMAAwC3AAAA9gIAAAAA&#10;" filled="f" stroked="f">
                  <v:textbox inset="0,0,0,0">
                    <w:txbxContent>
                      <w:p w14:paraId="260DE89A" w14:textId="77777777" w:rsidR="00B32EF2" w:rsidRDefault="00000000">
                        <w:r>
                          <w:rPr>
                            <w:rFonts w:ascii="Arial" w:eastAsia="Arial" w:hAnsi="Arial" w:cs="Arial"/>
                            <w:sz w:val="18"/>
                          </w:rPr>
                          <w:t xml:space="preserve">e dai magistrati tributari e da quattro componenti eletti dal Parlamento, due </w:t>
                        </w:r>
                      </w:p>
                    </w:txbxContent>
                  </v:textbox>
                </v:rect>
                <v:rect id="Rectangle 21689" o:spid="_x0000_s5976" style="position:absolute;left:-13171;top:4034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qFzxgAAAN4AAAAPAAAAZHJzL2Rvd25yZXYueG1sRI9Pi8Iw&#10;FMTvC36H8Bb2tqZ6kFqNsiiyPXjxH3h8NM+2u81LaKKt++k3guBxmJnfMPNlbxpxo9bXlhWMhgkI&#10;4sLqmksFx8PmMwXhA7LGxjIpuJOH5WLwNsdM2453dNuHUkQI+wwVVCG4TEpfVGTQD60jjt7FtgZD&#10;lG0pdYtdhJtGjpNkIg3WHBcqdLSqqPjdX42C85pdvulkcflbue1Pnjbf1+NJqY/3/msGIlAfXuFn&#10;O9cKxqNJOoXHnXgF5OIfAAD//wMAUEsBAi0AFAAGAAgAAAAhANvh9svuAAAAhQEAABMAAAAAAAAA&#10;AAAAAAAAAAAAAFtDb250ZW50X1R5cGVzXS54bWxQSwECLQAUAAYACAAAACEAWvQsW78AAAAVAQAA&#10;CwAAAAAAAAAAAAAAAAAfAQAAX3JlbHMvLnJlbHNQSwECLQAUAAYACAAAACEA9cKhc8YAAADeAAAA&#10;DwAAAAAAAAAAAAAAAAAHAgAAZHJzL2Rvd25yZXYueG1sUEsFBgAAAAADAAMAtwAAAPoCAAAAAA==&#10;" filled="f" stroked="f">
                  <v:textbox inset="0,0,0,0">
                    <w:txbxContent>
                      <w:p w14:paraId="0668D66C" w14:textId="77777777" w:rsidR="00B32EF2" w:rsidRDefault="00000000">
                        <w:r>
                          <w:rPr>
                            <w:rFonts w:ascii="Arial" w:eastAsia="Arial" w:hAnsi="Arial" w:cs="Arial"/>
                            <w:sz w:val="18"/>
                          </w:rPr>
                          <w:t xml:space="preserve">dalla Camera dei deputati e due dal Senato della Repubblica a maggioranza </w:t>
                        </w:r>
                      </w:p>
                    </w:txbxContent>
                  </v:textbox>
                </v:rect>
                <v:rect id="Rectangle 21690" o:spid="_x0000_s5977" style="position:absolute;left:-12207;top:39110;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Z4zxQAAAN4AAAAPAAAAZHJzL2Rvd25yZXYueG1sRI/NisIw&#10;FIX3wrxDuAPuNNWFaMco4iDTxWzUCi4vzbXt2NyEJto6T28WgsvD+eNbrnvTiDu1vrasYDJOQBAX&#10;VtdcKsiPu9EchA/IGhvLpOBBHtarj8ESU2073tP9EEoRR9inqKAKwaVS+qIig35sHXH0LrY1GKJs&#10;S6lb7OK4aeQ0SWbSYM3xoUJH24qK6+FmFJy/2WW7ThaX/637/cvmzc8tPyk1/Ow3XyAC9eEdfrUz&#10;rWA6mS0iQMSJKCBXTwAAAP//AwBQSwECLQAUAAYACAAAACEA2+H2y+4AAACFAQAAEwAAAAAAAAAA&#10;AAAAAAAAAAAAW0NvbnRlbnRfVHlwZXNdLnhtbFBLAQItABQABgAIAAAAIQBa9CxbvwAAABUBAAAL&#10;AAAAAAAAAAAAAAAAAB8BAABfcmVscy8ucmVsc1BLAQItABQABgAIAAAAIQDhIZ4zxQAAAN4AAAAP&#10;AAAAAAAAAAAAAAAAAAcCAABkcnMvZG93bnJldi54bWxQSwUGAAAAAAMAAwC3AAAA+QIAAAAA&#10;" filled="f" stroked="f">
                  <v:textbox inset="0,0,0,0">
                    <w:txbxContent>
                      <w:p w14:paraId="596016AE" w14:textId="77777777" w:rsidR="00B32EF2" w:rsidRDefault="00000000">
                        <w:r>
                          <w:rPr>
                            <w:rFonts w:ascii="Arial" w:eastAsia="Arial" w:hAnsi="Arial" w:cs="Arial"/>
                            <w:sz w:val="18"/>
                          </w:rPr>
                          <w:t>assoluta dei rispettivi componenti, tra i professori di università in materie giu</w:t>
                        </w:r>
                      </w:p>
                    </w:txbxContent>
                  </v:textbox>
                </v:rect>
                <v:rect id="Rectangle 21691" o:spid="_x0000_s5978" style="position:absolute;left:192;top:3911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uoxgAAAN4AAAAPAAAAZHJzL2Rvd25yZXYueG1sRI9Ba8JA&#10;FITvBf/D8gRvdRMPYlNXEUXMwYtWocdH9pmkzb5dsquJ/fVdQfA4zMw3zHzZm0bcqPW1ZQXpOAFB&#10;XFhdc6ng9LV9n4HwAVljY5kU3MnDcjF4m2OmbccHuh1DKSKEfYYKqhBcJqUvKjLox9YRR+9iW4Mh&#10;yraUusUuwk0jJ0kylQZrjgsVOlpXVPwer0bB94Zdvu1kcflbu/1PPmt219NZqdGwX32CCNSHV/jZ&#10;zrWCSTr9SOFxJ14BufgHAAD//wMAUEsBAi0AFAAGAAgAAAAhANvh9svuAAAAhQEAABMAAAAAAAAA&#10;AAAAAAAAAAAAAFtDb250ZW50X1R5cGVzXS54bWxQSwECLQAUAAYACAAAACEAWvQsW78AAAAVAQAA&#10;CwAAAAAAAAAAAAAAAAAfAQAAX3JlbHMvLnJlbHNQSwECLQAUAAYACAAAACEAjm07qMYAAADeAAAA&#10;DwAAAAAAAAAAAAAAAAAHAgAAZHJzL2Rvd25yZXYueG1sUEsFBgAAAAADAAMAtwAAAPoCAAAAAA==&#10;" filled="f" stroked="f">
                  <v:textbox inset="0,0,0,0">
                    <w:txbxContent>
                      <w:p w14:paraId="48E482CE" w14:textId="77777777" w:rsidR="00B32EF2" w:rsidRDefault="00000000">
                        <w:r>
                          <w:rPr>
                            <w:rFonts w:ascii="Arial" w:eastAsia="Arial" w:hAnsi="Arial" w:cs="Arial"/>
                            <w:sz w:val="18"/>
                          </w:rPr>
                          <w:t>-</w:t>
                        </w:r>
                      </w:p>
                    </w:txbxContent>
                  </v:textbox>
                </v:rect>
                <v:rect id="Rectangle 21692" o:spid="_x0000_s5979" style="position:absolute;left:-13172;top:3787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XfxwAAAN4AAAAPAAAAZHJzL2Rvd25yZXYueG1sRI/NasMw&#10;EITvhbyD2EJvjRwfQupEDiUh1IdemjqQ42Ktf1prJSwldvP0UaHQ4zAz3zCb7WR6caXBd5YVLOYJ&#10;COLK6o4bBeXn4XkFwgdkjb1lUvBDHrb57GGDmbYjf9D1GBoRIewzVNCG4DIpfdWSQT+3jjh6tR0M&#10;hiiHRuoBxwg3vUyTZCkNdhwXWnS0a6n6Pl6MgvOeXXEYZVXfdu79q1j1b5fypNTT4/S6BhFoCv/h&#10;v3ahFaSL5UsKv3fiFZD5HQAA//8DAFBLAQItABQABgAIAAAAIQDb4fbL7gAAAIUBAAATAAAAAAAA&#10;AAAAAAAAAAAAAABbQ29udGVudF9UeXBlc10ueG1sUEsBAi0AFAAGAAgAAAAhAFr0LFu/AAAAFQEA&#10;AAsAAAAAAAAAAAAAAAAAHwEAAF9yZWxzLy5yZWxzUEsBAi0AFAAGAAgAAAAhAH6/pd/HAAAA3gAA&#10;AA8AAAAAAAAAAAAAAAAABwIAAGRycy9kb3ducmV2LnhtbFBLBQYAAAAAAwADALcAAAD7AgAAAAA=&#10;" filled="f" stroked="f">
                  <v:textbox inset="0,0,0,0">
                    <w:txbxContent>
                      <w:p w14:paraId="6443EDF3" w14:textId="77777777" w:rsidR="00B32EF2" w:rsidRDefault="00000000">
                        <w:r>
                          <w:rPr>
                            <w:rFonts w:ascii="Arial" w:eastAsia="Arial" w:hAnsi="Arial" w:cs="Arial"/>
                            <w:sz w:val="18"/>
                          </w:rPr>
                          <w:t xml:space="preserve">ridiche o i soggetti abilitati alla difesa dinanzi alle corti di giustizia tributaria di </w:t>
                        </w:r>
                      </w:p>
                    </w:txbxContent>
                  </v:textbox>
                </v:rect>
                <v:rect id="Rectangle 21693" o:spid="_x0000_s5980" style="position:absolute;left:-13172;top:3664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wBExwAAAN4AAAAPAAAAZHJzL2Rvd25yZXYueG1sRI9Ba8JA&#10;FITvgv9heYI33aggNrpKsUhz8FKbQo+P7DOJzb5dsqtJ++vdguBxmJlvmM2uN424Uetrywpm0wQE&#10;cWF1zaWC/PMwWYHwAVljY5kU/JKH3XY42GCqbccfdDuFUkQI+xQVVCG4VEpfVGTQT60jjt7ZtgZD&#10;lG0pdYtdhJtGzpNkKQ3WHBcqdLSvqPg5XY2C7zd22aGTxflv746XbNW8X/Mvpcaj/nUNIlAfnuFH&#10;O9MK5rPlywL+78QrILd3AAAA//8DAFBLAQItABQABgAIAAAAIQDb4fbL7gAAAIUBAAATAAAAAAAA&#10;AAAAAAAAAAAAAABbQ29udGVudF9UeXBlc10ueG1sUEsBAi0AFAAGAAgAAAAhAFr0LFu/AAAAFQEA&#10;AAsAAAAAAAAAAAAAAAAAHwEAAF9yZWxzLy5yZWxzUEsBAi0AFAAGAAgAAAAhABHzAETHAAAA3gAA&#10;AA8AAAAAAAAAAAAAAAAABwIAAGRycy9kb3ducmV2LnhtbFBLBQYAAAAAAwADALcAAAD7AgAAAAA=&#10;" filled="f" stroked="f">
                  <v:textbox inset="0,0,0,0">
                    <w:txbxContent>
                      <w:p w14:paraId="013D03EE" w14:textId="77777777" w:rsidR="00B32EF2" w:rsidRDefault="00000000">
                        <w:r>
                          <w:rPr>
                            <w:rFonts w:ascii="Arial" w:eastAsia="Arial" w:hAnsi="Arial" w:cs="Arial"/>
                            <w:sz w:val="18"/>
                          </w:rPr>
                          <w:t xml:space="preserve">primo e secondo grado che risultino iscritti ai rispettivi albi professionali da </w:t>
                        </w:r>
                      </w:p>
                    </w:txbxContent>
                  </v:textbox>
                </v:rect>
                <v:rect id="Rectangle 21694" o:spid="_x0000_s5981" style="position:absolute;left:26682;top:35411;width:1323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gwxwAAAN4AAAAPAAAAZHJzL2Rvd25yZXYueG1sRI9Ba8JA&#10;FITvgv9heYI33SgiNrpKsUhz8FKbQo+P7DOJzb5dsqtJ++vdguBxmJlvmM2uN424Uetrywpm0wQE&#10;cWF1zaWC/PMwWYHwAVljY5kU/JKH3XY42GCqbccfdDuFUkQI+xQVVCG4VEpfVGTQT60jjt7ZtgZD&#10;lG0pdYtdhJtGzpNkKQ3WHBcqdLSvqPg5XY2C7zd22aGTxflv746XbNW8X/Mvpcaj/nUNIlAfnuFH&#10;O9MK5rPlywL+78QrILd3AAAA//8DAFBLAQItABQABgAIAAAAIQDb4fbL7gAAAIUBAAATAAAAAAAA&#10;AAAAAAAAAAAAAABbQ29udGVudF9UeXBlc10ueG1sUEsBAi0AFAAGAAgAAAAhAFr0LFu/AAAAFQEA&#10;AAsAAAAAAAAAAAAAAAAAHwEAAF9yZWxzLy5yZWxzUEsBAi0AFAAGAAgAAAAhAJ4amDDHAAAA3gAA&#10;AA8AAAAAAAAAAAAAAAAABwIAAGRycy9kb3ducmV2LnhtbFBLBQYAAAAAAwADALcAAAD7AgAAAAA=&#10;" filled="f" stroked="f">
                  <v:textbox inset="0,0,0,0">
                    <w:txbxContent>
                      <w:p w14:paraId="6C49FA5D" w14:textId="77777777" w:rsidR="00B32EF2" w:rsidRDefault="00000000">
                        <w:r>
                          <w:rPr>
                            <w:rFonts w:ascii="Arial" w:eastAsia="Arial" w:hAnsi="Arial" w:cs="Arial"/>
                            <w:sz w:val="18"/>
                          </w:rPr>
                          <w:t>almeno dodici anni.</w:t>
                        </w:r>
                      </w:p>
                    </w:txbxContent>
                  </v:textbox>
                </v:rect>
                <v:rect id="Rectangle 202150" o:spid="_x0000_s5982" style="position:absolute;left:-12831;top:34177;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dfxQAAAN8AAAAPAAAAZHJzL2Rvd25yZXYueG1sRI/LisIw&#10;FIb3A75DOIK7MbUwg1SjiCLTxWy8gctDc2yrzUlooq3z9GYx4PLnv/HNl71pxINaX1tWMBknIIgL&#10;q2suFRwP288pCB+QNTaWScGTPCwXg485Ztp2vKPHPpQijrDPUEEVgsuk9EVFBv3YOuLoXWxrMETZ&#10;llK32MVx08g0Sb6lwZrjQ4WO1hUVt/3dKDhv2OXbThaXv7X7vebT5ud+PCk1GvarGYhAfXiH/9u5&#10;VpAm6eQrEkSeyAJy8QIAAP//AwBQSwECLQAUAAYACAAAACEA2+H2y+4AAACFAQAAEwAAAAAAAAAA&#10;AAAAAAAAAAAAW0NvbnRlbnRfVHlwZXNdLnhtbFBLAQItABQABgAIAAAAIQBa9CxbvwAAABUBAAAL&#10;AAAAAAAAAAAAAAAAAB8BAABfcmVscy8ucmVsc1BLAQItABQABgAIAAAAIQCrjWdfxQAAAN8AAAAP&#10;AAAAAAAAAAAAAAAAAAcCAABkcnMvZG93bnJldi54bWxQSwUGAAAAAAMAAwC3AAAA+QIAAAAA&#10;" filled="f" stroked="f">
                  <v:textbox inset="0,0,0,0">
                    <w:txbxContent>
                      <w:p w14:paraId="1CB10D79" w14:textId="77777777" w:rsidR="00B32EF2" w:rsidRDefault="00000000">
                        <w:r>
                          <w:rPr>
                            <w:rFonts w:ascii="Arial" w:eastAsia="Arial" w:hAnsi="Arial" w:cs="Arial"/>
                            <w:sz w:val="18"/>
                          </w:rPr>
                          <w:t>. Il Consiglio di presidenza elegge nel suo seno un presidente tra i compo</w:t>
                        </w:r>
                      </w:p>
                    </w:txbxContent>
                  </v:textbox>
                </v:rect>
                <v:rect id="Rectangle 202149" o:spid="_x0000_s5983" style="position:absolute;left:26354;top:34177;width:52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gfyAAAAN8AAAAPAAAAZHJzL2Rvd25yZXYueG1sRI9Pa8JA&#10;FMTvhX6H5Qm96cZQRFNXEYs0By/1D/T4yD6TaPbtkl1N6qd3C0KPw8z8hpkve9OIG7W+tqxgPEpA&#10;EBdW11wqOOw3wykIH5A1NpZJwS95WC5eX+aYadvxN912oRQRwj5DBVUILpPSFxUZ9CPriKN3sq3B&#10;EGVbSt1iF+GmkWmSTKTBmuNChY7WFRWX3dUo+Plkl286WZzua7c959Pm63o4KvU26FcfIAL14T/8&#10;bOdaQZqk4/cZ/P2JX0AuHgAAAP//AwBQSwECLQAUAAYACAAAACEA2+H2y+4AAACFAQAAEwAAAAAA&#10;AAAAAAAAAAAAAAAAW0NvbnRlbnRfVHlwZXNdLnhtbFBLAQItABQABgAIAAAAIQBa9CxbvwAAABUB&#10;AAALAAAAAAAAAAAAAAAAAB8BAABfcmVscy8ucmVsc1BLAQItABQABgAIAAAAIQC/blgfyAAAAN8A&#10;AAAPAAAAAAAAAAAAAAAAAAcCAABkcnMvZG93bnJldi54bWxQSwUGAAAAAAMAAwC3AAAA/AIAAAAA&#10;" filled="f" stroked="f">
                  <v:textbox inset="0,0,0,0">
                    <w:txbxContent>
                      <w:p w14:paraId="7A2C02C0" w14:textId="77777777" w:rsidR="00B32EF2" w:rsidRDefault="00000000">
                        <w:r>
                          <w:rPr>
                            <w:rFonts w:ascii="Arial" w:eastAsia="Arial" w:hAnsi="Arial" w:cs="Arial"/>
                            <w:sz w:val="18"/>
                          </w:rPr>
                          <w:t>3</w:t>
                        </w:r>
                      </w:p>
                    </w:txbxContent>
                  </v:textbox>
                </v:rect>
                <v:rect id="Rectangle 21696" o:spid="_x0000_s5984" style="position:absolute;left:192;top:3417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KPcxgAAAN4AAAAPAAAAZHJzL2Rvd25yZXYueG1sRI9Ba8JA&#10;FITvBf/D8gre6kYPwUZXKYqYgxetgsdH9pmkzb5dsquJ/fVdQfA4zMw3zHzZm0bcqPW1ZQXjUQKC&#10;uLC65lLB8XvzMQXhA7LGxjIpuJOH5WLwNsdM2473dDuEUkQI+wwVVCG4TEpfVGTQj6wjjt7FtgZD&#10;lG0pdYtdhJtGTpIklQZrjgsVOlpVVPwerkbBec0u33SyuPyt3O4nnzbb6/Gk1PC9/5qBCNSHV/jZ&#10;zrWCyTj9TOFxJ14BufgHAAD//wMAUEsBAi0AFAAGAAgAAAAhANvh9svuAAAAhQEAABMAAAAAAAAA&#10;AAAAAAAAAAAAAFtDb250ZW50X1R5cGVzXS54bWxQSwECLQAUAAYACAAAACEAWvQsW78AAAAVAQAA&#10;CwAAAAAAAAAAAAAAAAAfAQAAX3JlbHMvLnJlbHNQSwECLQAUAAYACAAAACEAAYSj3MYAAADeAAAA&#10;DwAAAAAAAAAAAAAAAAAHAgAAZHJzL2Rvd25yZXYueG1sUEsFBgAAAAADAAMAtwAAAPoCAAAAAA==&#10;" filled="f" stroked="f">
                  <v:textbox inset="0,0,0,0">
                    <w:txbxContent>
                      <w:p w14:paraId="147B4733" w14:textId="77777777" w:rsidR="00B32EF2" w:rsidRDefault="00000000">
                        <w:r>
                          <w:rPr>
                            <w:rFonts w:ascii="Arial" w:eastAsia="Arial" w:hAnsi="Arial" w:cs="Arial"/>
                            <w:sz w:val="18"/>
                          </w:rPr>
                          <w:t>-</w:t>
                        </w:r>
                      </w:p>
                    </w:txbxContent>
                  </v:textbox>
                </v:rect>
                <v:rect id="Rectangle 21697" o:spid="_x0000_s5985" style="position:absolute;left:21732;top:32944;width:181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AZHxgAAAN4AAAAPAAAAZHJzL2Rvd25yZXYueG1sRI9Ba8JA&#10;FITvgv9heUJvdaMHa6OriCLm4EVrocdH9plEs2+X7GpSf31XKHgcZuYbZr7sTC3u1PjKsoLRMAFB&#10;nFtdcaHg9LV9n4LwAVljbZkU/JKH5aLfm2OqbcsHuh9DISKEfYoKyhBcKqXPSzLoh9YRR+9sG4Mh&#10;yqaQusE2wk0tx0kykQYrjgslOlqXlF+PN6PgZ8Mu27YyPz/Wbn/JpvXudvpW6m3QrWYgAnXhFf5v&#10;Z1rBeDT5/IDnnXgF5OIPAAD//wMAUEsBAi0AFAAGAAgAAAAhANvh9svuAAAAhQEAABMAAAAAAAAA&#10;AAAAAAAAAAAAAFtDb250ZW50X1R5cGVzXS54bWxQSwECLQAUAAYACAAAACEAWvQsW78AAAAVAQAA&#10;CwAAAAAAAAAAAAAAAAAfAQAAX3JlbHMvLnJlbHNQSwECLQAUAAYACAAAACEAbsgGR8YAAADeAAAA&#10;DwAAAAAAAAAAAAAAAAAHAgAAZHJzL2Rvd25yZXYueG1sUEsFBgAAAAADAAMAtwAAAPoCAAAAAA==&#10;" filled="f" stroked="f">
                  <v:textbox inset="0,0,0,0">
                    <w:txbxContent>
                      <w:p w14:paraId="0B96626C" w14:textId="77777777" w:rsidR="00B32EF2" w:rsidRDefault="00000000">
                        <w:r>
                          <w:rPr>
                            <w:rFonts w:ascii="Arial" w:eastAsia="Arial" w:hAnsi="Arial" w:cs="Arial"/>
                            <w:sz w:val="18"/>
                          </w:rPr>
                          <w:t>nenti eletti dal Parlamento.</w:t>
                        </w:r>
                      </w:p>
                    </w:txbxContent>
                  </v:textbox>
                </v:rect>
                <v:rect id="Rectangle 202148" o:spid="_x0000_s5986" style="position:absolute;left:-13806;top:31711;width:530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v2ExAAAAN8AAAAPAAAAZHJzL2Rvd25yZXYueG1sRE/LisIw&#10;FN0P+A/hCu7G1DIMUo0iikwXs/EFLi/Nta02N6GJts7Xm8WAy8N5z5e9acSDWl9bVjAZJyCIC6tr&#10;LhUcD9vPKQgfkDU2lknBkzwsF4OPOWbadryjxz6UIoawz1BBFYLLpPRFRQb92DriyF1sazBE2JZS&#10;t9jFcNPINEm+pcGaY0OFjtYVFbf93Sg4b9jl204Wl7+1+73m0+bnfjwpNRr2qxmIQH14i//duVaQ&#10;JunkKw6Of+IXkIsXAAAA//8DAFBLAQItABQABgAIAAAAIQDb4fbL7gAAAIUBAAATAAAAAAAAAAAA&#10;AAAAAAAAAABbQ29udGVudF9UeXBlc10ueG1sUEsBAi0AFAAGAAgAAAAhAFr0LFu/AAAAFQEAAAsA&#10;AAAAAAAAAAAAAAAAHwEAAF9yZWxzLy5yZWxzUEsBAi0AFAAGAAgAAAAhANAi/YTEAAAA3wAAAA8A&#10;AAAAAAAAAAAAAAAABwIAAGRycy9kb3ducmV2LnhtbFBLBQYAAAAAAwADALcAAAD4AgAAAAA=&#10;" filled="f" stroked="f">
                  <v:textbox inset="0,0,0,0">
                    <w:txbxContent>
                      <w:p w14:paraId="7B34C892" w14:textId="77777777" w:rsidR="00B32EF2" w:rsidRDefault="00000000">
                        <w:r>
                          <w:rPr>
                            <w:rFonts w:ascii="Arial" w:eastAsia="Arial" w:hAnsi="Arial" w:cs="Arial"/>
                            <w:sz w:val="18"/>
                          </w:rPr>
                          <w:t xml:space="preserve">. I componenti del Consiglio di presidenza della giustizia tributaria eletti dal </w:t>
                        </w:r>
                      </w:p>
                    </w:txbxContent>
                  </v:textbox>
                </v:rect>
                <v:rect id="Rectangle 202147" o:spid="_x0000_s5987" style="position:absolute;left:26107;top:31711;width:531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Wn2yAAAAN8AAAAPAAAAZHJzL2Rvd25yZXYueG1sRI9Pa8JA&#10;FMTvgt9heYI33RiKldRVRJHm0Ev9Az0+ss8kbfbtkl1N7Kd3CwWPw8z8hlmue9OIG7W+tqxgNk1A&#10;EBdW11wqOB33kwUIH5A1NpZJwZ08rFfDwRIzbTv+pNshlCJC2GeooArBZVL6oiKDfmodcfQutjUY&#10;omxLqVvsItw0Mk2SuTRYc1yo0NG2ouLncDUKvnbs8n0ni8vv1n1854vm/Xo6KzUe9Zs3EIH68Az/&#10;t3OtIE3S2csr/P2JX0CuHgAAAP//AwBQSwECLQAUAAYACAAAACEA2+H2y+4AAACFAQAAEwAAAAAA&#10;AAAAAAAAAAAAAAAAW0NvbnRlbnRfVHlwZXNdLnhtbFBLAQItABQABgAIAAAAIQBa9CxbvwAAABUB&#10;AAALAAAAAAAAAAAAAAAAAB8BAABfcmVscy8ucmVsc1BLAQItABQABgAIAAAAIQChvWn2yAAAAN8A&#10;AAAPAAAAAAAAAAAAAAAAAAcCAABkcnMvZG93bnJldi54bWxQSwUGAAAAAAMAAwC3AAAA/AIAAAAA&#10;" filled="f" stroked="f">
                  <v:textbox inset="0,0,0,0">
                    <w:txbxContent>
                      <w:p w14:paraId="100A43A8" w14:textId="77777777" w:rsidR="00B32EF2" w:rsidRDefault="00000000">
                        <w:r>
                          <w:rPr>
                            <w:rFonts w:ascii="Arial" w:eastAsia="Arial" w:hAnsi="Arial" w:cs="Arial"/>
                            <w:sz w:val="18"/>
                          </w:rPr>
                          <w:t>4</w:t>
                        </w:r>
                      </w:p>
                    </w:txbxContent>
                  </v:textbox>
                </v:rect>
                <v:rect id="Rectangle 21699" o:spid="_x0000_s5988" style="position:absolute;left:-12186;top:30477;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zeuxgAAAN4AAAAPAAAAZHJzL2Rvd25yZXYueG1sRI9Bi8Iw&#10;FITvC/6H8ARva6oH0WoUUcQevKy6sMdH82yrzUtooq3++s3CgsdhZr5hFqvO1OJBja8sKxgNExDE&#10;udUVFwrOp93nFIQPyBpry6TgSR5Wy97HAlNtW/6ixzEUIkLYp6igDMGlUvq8JIN+aB1x9C62MRii&#10;bAqpG2wj3NRynCQTabDiuFCio01J+e14Nwp+tuyyXSvzy2vjDtdsWu/v52+lBv1uPQcRqAvv8H87&#10;0wrGo8lsBn934hWQy18AAAD//wMAUEsBAi0AFAAGAAgAAAAhANvh9svuAAAAhQEAABMAAAAAAAAA&#10;AAAAAAAAAAAAAFtDb250ZW50X1R5cGVzXS54bWxQSwECLQAUAAYACAAAACEAWvQsW78AAAAVAQAA&#10;CwAAAAAAAAAAAAAAAAAfAQAAX3JlbHMvLnJlbHNQSwECLQAUAAYACAAAACEAcBs3rsYAAADeAAAA&#10;DwAAAAAAAAAAAAAAAAAHAgAAZHJzL2Rvd25yZXYueG1sUEsFBgAAAAADAAMAtwAAAPoCAAAAAA==&#10;" filled="f" stroked="f">
                  <v:textbox inset="0,0,0,0">
                    <w:txbxContent>
                      <w:p w14:paraId="3FD365F5" w14:textId="77777777" w:rsidR="00B32EF2" w:rsidRDefault="00000000">
                        <w:r>
                          <w:rPr>
                            <w:rFonts w:ascii="Arial" w:eastAsia="Arial" w:hAnsi="Arial" w:cs="Arial"/>
                            <w:sz w:val="18"/>
                          </w:rPr>
                          <w:t>Parlamento, finché sono in carica, non possono esercitare attività professio</w:t>
                        </w:r>
                      </w:p>
                    </w:txbxContent>
                  </v:textbox>
                </v:rect>
                <v:rect id="Rectangle 21700" o:spid="_x0000_s5989" style="position:absolute;left:192;top:3047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QpxQAAAN4AAAAPAAAAZHJzL2Rvd25yZXYueG1sRI/NisIw&#10;FIX3wrxDuMLsNNWFSsco4iB2MRu1wiwvzbWtNjehibYzT28WgsvD+eNbrnvTiAe1vrasYDJOQBAX&#10;VtdcKshPu9EChA/IGhvLpOCPPKxXH4Mlptp2fKDHMZQijrBPUUEVgkul9EVFBv3YOuLoXWxrMETZ&#10;llK32MVx08hpksykwZrjQ4WOthUVt+PdKPj9ZpftOllc/rfu55otmv09Pyv1Oew3XyAC9eEdfrUz&#10;rWA6mScRIOJEFJCrJwAAAP//AwBQSwECLQAUAAYACAAAACEA2+H2y+4AAACFAQAAEwAAAAAAAAAA&#10;AAAAAAAAAAAAW0NvbnRlbnRfVHlwZXNdLnhtbFBLAQItABQABgAIAAAAIQBa9CxbvwAAABUBAAAL&#10;AAAAAAAAAAAAAAAAAB8BAABfcmVscy8ucmVsc1BLAQItABQABgAIAAAAIQB/ygQpxQAAAN4AAAAP&#10;AAAAAAAAAAAAAAAAAAcCAABkcnMvZG93bnJldi54bWxQSwUGAAAAAAMAAwC3AAAA+QIAAAAA&#10;" filled="f" stroked="f">
                  <v:textbox inset="0,0,0,0">
                    <w:txbxContent>
                      <w:p w14:paraId="6347740D" w14:textId="77777777" w:rsidR="00B32EF2" w:rsidRDefault="00000000">
                        <w:r>
                          <w:rPr>
                            <w:rFonts w:ascii="Arial" w:eastAsia="Arial" w:hAnsi="Arial" w:cs="Arial"/>
                            <w:sz w:val="18"/>
                          </w:rPr>
                          <w:t>-</w:t>
                        </w:r>
                      </w:p>
                    </w:txbxContent>
                  </v:textbox>
                </v:rect>
                <v:rect id="Rectangle 21701" o:spid="_x0000_s5990" style="position:absolute;left:-13171;top:2924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qGyxgAAAN4AAAAPAAAAZHJzL2Rvd25yZXYueG1sRI9Ba8JA&#10;FITvBf/D8oTe6iYeqqSuIoqYQy/aCB4f2WeSmn27ZFeT9td3BaHHYWa+YRarwbTiTp1vLCtIJwkI&#10;4tLqhisFxdfubQ7CB2SNrWVS8EMeVsvRywIzbXs+0P0YKhEh7DNUUIfgMil9WZNBP7GOOHoX2xkM&#10;UXaV1B32EW5aOU2Sd2mw4bhQo6NNTeX1eDMKzlt2+a6X5eV34z6/83m7vxUnpV7Hw/oDRKAh/Ief&#10;7VwrmKazJIXHnXgF5PIPAAD//wMAUEsBAi0AFAAGAAgAAAAhANvh9svuAAAAhQEAABMAAAAAAAAA&#10;AAAAAAAAAAAAAFtDb250ZW50X1R5cGVzXS54bWxQSwECLQAUAAYACAAAACEAWvQsW78AAAAVAQAA&#10;CwAAAAAAAAAAAAAAAAAfAQAAX3JlbHMvLnJlbHNQSwECLQAUAAYACAAAACEAEIahssYAAADeAAAA&#10;DwAAAAAAAAAAAAAAAAAHAgAAZHJzL2Rvd25yZXYueG1sUEsFBgAAAAADAAMAtwAAAPoCAAAAAA==&#10;" filled="f" stroked="f">
                  <v:textbox inset="0,0,0,0">
                    <w:txbxContent>
                      <w:p w14:paraId="62630C27" w14:textId="77777777" w:rsidR="00B32EF2" w:rsidRDefault="00000000">
                        <w:r>
                          <w:rPr>
                            <w:rFonts w:ascii="Arial" w:eastAsia="Arial" w:hAnsi="Arial" w:cs="Arial"/>
                            <w:sz w:val="18"/>
                          </w:rPr>
                          <w:t xml:space="preserve">nale in ambito tributario, né alcuna altra attività suscettibile di interferire con le </w:t>
                        </w:r>
                      </w:p>
                    </w:txbxContent>
                  </v:textbox>
                </v:rect>
                <v:rect id="Rectangle 21702" o:spid="_x0000_s5991" style="position:absolute;left:11734;top:28011;width:281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D/FxgAAAN4AAAAPAAAAZHJzL2Rvd25yZXYueG1sRI9Ba8JA&#10;FITvBf/D8oTe6sYcqqSuIoqYQy/aCB4f2WeSmn27ZFeT9td3BaHHYWa+YRarwbTiTp1vLCuYThIQ&#10;xKXVDVcKiq/d2xyED8gaW8uk4Ic8rJajlwVm2vZ8oPsxVCJC2GeooA7BZVL6siaDfmIdcfQutjMY&#10;ouwqqTvsI9y0Mk2Sd2mw4bhQo6NNTeX1eDMKzlt2+a6X5eV34z6/83m7vxUnpV7Hw/oDRKAh/Ief&#10;7VwrSKezJIXHnXgF5PIPAAD//wMAUEsBAi0AFAAGAAgAAAAhANvh9svuAAAAhQEAABMAAAAAAAAA&#10;AAAAAAAAAAAAAFtDb250ZW50X1R5cGVzXS54bWxQSwECLQAUAAYACAAAACEAWvQsW78AAAAVAQAA&#10;CwAAAAAAAAAAAAAAAAAfAQAAX3JlbHMvLnJlbHNQSwECLQAUAAYACAAAACEA4FQ/xcYAAADeAAAA&#10;DwAAAAAAAAAAAAAAAAAHAgAAZHJzL2Rvd25yZXYueG1sUEsFBgAAAAADAAMAtwAAAPoCAAAAAA==&#10;" filled="f" stroked="f">
                  <v:textbox inset="0,0,0,0">
                    <w:txbxContent>
                      <w:p w14:paraId="0FA13DD3" w14:textId="77777777" w:rsidR="00B32EF2" w:rsidRDefault="00000000">
                        <w:r>
                          <w:rPr>
                            <w:rFonts w:ascii="Arial" w:eastAsia="Arial" w:hAnsi="Arial" w:cs="Arial"/>
                            <w:sz w:val="18"/>
                          </w:rPr>
                          <w:t>funzioni degli organi di giustizia tributaria.</w:t>
                        </w:r>
                      </w:p>
                    </w:txbxContent>
                  </v:textbox>
                </v:rect>
                <v:rect id="Rectangle 202146" o:spid="_x0000_s5992" style="position:absolute;left:-13816;top:26778;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cxtyAAAAN8AAAAPAAAAZHJzL2Rvd25yZXYueG1sRI9Pa8JA&#10;FMTvBb/D8oTe6sZQRKIbEUWaQy+1Ch4f2Zc/mn27ZFeT9tN3C4Ueh5n5DbPejKYTD+p9a1nBfJaA&#10;IC6tbrlWcPo8vCxB+ICssbNMCr7IwyafPK0x03bgD3ocQy0ihH2GCpoQXCalLxsy6GfWEUevsr3B&#10;EGVfS93jEOGmk2mSLKTBluNCg452DZW3490ouOzZFYdBltX3zr1fi2X3dj+dlXqejtsViEBj+A//&#10;tQutIE3S+esCfv/ELyDzHwAAAP//AwBQSwECLQAUAAYACAAAACEA2+H2y+4AAACFAQAAEwAAAAAA&#10;AAAAAAAAAAAAAAAAW0NvbnRlbnRfVHlwZXNdLnhtbFBLAQItABQABgAIAAAAIQBa9CxbvwAAABUB&#10;AAALAAAAAAAAAAAAAAAAAB8BAABfcmVscy8ucmVsc1BLAQItABQABgAIAAAAIQDO8cxtyAAAAN8A&#10;AAAPAAAAAAAAAAAAAAAAAAcCAABkcnMvZG93bnJldi54bWxQSwUGAAAAAAMAAwC3AAAA/AIAAAAA&#10;" filled="f" stroked="f">
                  <v:textbox inset="0,0,0,0">
                    <w:txbxContent>
                      <w:p w14:paraId="64BF4734" w14:textId="77777777" w:rsidR="00B32EF2" w:rsidRDefault="00000000">
                        <w:r>
                          <w:rPr>
                            <w:rFonts w:ascii="Arial" w:eastAsia="Arial" w:hAnsi="Arial" w:cs="Arial"/>
                            <w:sz w:val="18"/>
                          </w:rPr>
                          <w:t xml:space="preserve">. I componenti del Consiglio di presidenza sono eletti da tutti i componenti </w:t>
                        </w:r>
                      </w:p>
                    </w:txbxContent>
                  </v:textbox>
                </v:rect>
                <v:rect id="Rectangle 202145" o:spid="_x0000_s5993" style="position:absolute;left:26109;top:26778;width:5309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IayAAAAN8AAAAPAAAAZHJzL2Rvd25yZXYueG1sRI9Pa8JA&#10;FMTvgt9heYI33RhqkdRVRJHm0Ev9Az0+ss8kbfbtkl1N7Kd3CwWPw8z8hlmue9OIG7W+tqxgNk1A&#10;EBdW11wqOB33kwUIH5A1NpZJwZ08rFfDwRIzbTv+pNshlCJC2GeooArBZVL6oiKDfmodcfQutjUY&#10;omxLqVvsItw0Mk2SV2mw5rhQoaNtRcXP4WoUfO3Y5ftOFpffrfv4zhfN+/V0Vmo86jdvIAL14Rn+&#10;b+daQZqks5c5/P2JX0CuHgAAAP//AwBQSwECLQAUAAYACAAAACEA2+H2y+4AAACFAQAAEwAAAAAA&#10;AAAAAAAAAAAAAAAAW0NvbnRlbnRfVHlwZXNdLnhtbFBLAQItABQABgAIAAAAIQBa9CxbvwAAABUB&#10;AAALAAAAAAAAAAAAAAAAAB8BAABfcmVscy8ucmVsc1BLAQItABQABgAIAAAAIQA+I1IayAAAAN8A&#10;AAAPAAAAAAAAAAAAAAAAAAcCAABkcnMvZG93bnJldi54bWxQSwUGAAAAAAMAAwC3AAAA/AIAAAAA&#10;" filled="f" stroked="f">
                  <v:textbox inset="0,0,0,0">
                    <w:txbxContent>
                      <w:p w14:paraId="51BEAF60" w14:textId="77777777" w:rsidR="00B32EF2" w:rsidRDefault="00000000">
                        <w:r>
                          <w:rPr>
                            <w:rFonts w:ascii="Arial" w:eastAsia="Arial" w:hAnsi="Arial" w:cs="Arial"/>
                            <w:sz w:val="18"/>
                          </w:rPr>
                          <w:t>5</w:t>
                        </w:r>
                      </w:p>
                    </w:txbxContent>
                  </v:textbox>
                </v:rect>
                <v:rect id="Rectangle 21704" o:spid="_x0000_s5994" style="position:absolute;left:-13171;top:2554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QIqxgAAAN4AAAAPAAAAZHJzL2Rvd25yZXYueG1sRI9Ba8JA&#10;FITvBf/D8gre6kYpVqKrFEWagxetBY+P7DOJZt8u2dVEf70rFDwOM/MNM1t0phZXanxlWcFwkIAg&#10;zq2uuFCw/11/TED4gKyxtkwKbuRhMe+9zTDVtuUtXXehEBHCPkUFZQguldLnJRn0A+uIo3e0jcEQ&#10;ZVNI3WAb4aaWoyQZS4MVx4USHS1Lys+7i1FwWLHL1q3Mj/el25yySf1z2f8p1X/vvqcgAnXhFf5v&#10;Z1rBaPiVfMLzTrwCcv4AAAD//wMAUEsBAi0AFAAGAAgAAAAhANvh9svuAAAAhQEAABMAAAAAAAAA&#10;AAAAAAAAAAAAAFtDb250ZW50X1R5cGVzXS54bWxQSwECLQAUAAYACAAAACEAWvQsW78AAAAVAQAA&#10;CwAAAAAAAAAAAAAAAAAfAQAAX3JlbHMvLnJlbHNQSwECLQAUAAYACAAAACEAAPECKsYAAADeAAAA&#10;DwAAAAAAAAAAAAAAAAAHAgAAZHJzL2Rvd25yZXYueG1sUEsFBgAAAAADAAMAtwAAAPoCAAAAAA==&#10;" filled="f" stroked="f">
                  <v:textbox inset="0,0,0,0">
                    <w:txbxContent>
                      <w:p w14:paraId="04A8FF20" w14:textId="77777777" w:rsidR="00B32EF2" w:rsidRDefault="00000000">
                        <w:r>
                          <w:rPr>
                            <w:rFonts w:ascii="Arial" w:eastAsia="Arial" w:hAnsi="Arial" w:cs="Arial"/>
                            <w:sz w:val="18"/>
                          </w:rPr>
                          <w:t xml:space="preserve">delle corti di giustizia tributaria di primo e secondo grado con voto personale, </w:t>
                        </w:r>
                      </w:p>
                    </w:txbxContent>
                  </v:textbox>
                </v:rect>
                <v:rect id="Rectangle 21705" o:spid="_x0000_s5995" style="position:absolute;left:12666;top:24311;width:272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aexxgAAAN4AAAAPAAAAZHJzL2Rvd25yZXYueG1sRI9Ba8JA&#10;FITvBf/D8gre6kahVqKrFEWagxetBY+P7DOJZt8u2dVEf70rFDwOM/MNM1t0phZXanxlWcFwkIAg&#10;zq2uuFCw/11/TED4gKyxtkwKbuRhMe+9zTDVtuUtXXehEBHCPkUFZQguldLnJRn0A+uIo3e0jcEQ&#10;ZVNI3WAb4aaWoyQZS4MVx4USHS1Lys+7i1FwWLHL1q3Mj/el25yySf1z2f8p1X/vvqcgAnXhFf5v&#10;Z1rBaPiVfMLzTrwCcv4AAAD//wMAUEsBAi0AFAAGAAgAAAAhANvh9svuAAAAhQEAABMAAAAAAAAA&#10;AAAAAAAAAAAAAFtDb250ZW50X1R5cGVzXS54bWxQSwECLQAUAAYACAAAACEAWvQsW78AAAAVAQAA&#10;CwAAAAAAAAAAAAAAAAAfAQAAX3JlbHMvLnJlbHNQSwECLQAUAAYACAAAACEAb72nscYAAADeAAAA&#10;DwAAAAAAAAAAAAAAAAAHAgAAZHJzL2Rvd25yZXYueG1sUEsFBgAAAAADAAMAtwAAAPoCAAAAAA==&#10;" filled="f" stroked="f">
                  <v:textbox inset="0,0,0,0">
                    <w:txbxContent>
                      <w:p w14:paraId="34DD6C47" w14:textId="77777777" w:rsidR="00B32EF2" w:rsidRDefault="00000000">
                        <w:r>
                          <w:rPr>
                            <w:rFonts w:ascii="Arial" w:eastAsia="Arial" w:hAnsi="Arial" w:cs="Arial"/>
                            <w:sz w:val="18"/>
                          </w:rPr>
                          <w:t>diretto e segreto, e non sono rieleggibili.</w:t>
                        </w:r>
                      </w:p>
                    </w:txbxContent>
                  </v:textbox>
                </v:rect>
                <v:rect id="Rectangle 21706" o:spid="_x0000_s5996" style="position:absolute;left:15076;top:21844;width:8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znGxgAAAN4AAAAPAAAAZHJzL2Rvd25yZXYueG1sRI9Bi8Iw&#10;FITvgv8hPGFvmupBpRpFFNkevOgqeHw0z7bavIQm2rq/frOwsMdhZr5hluvO1OJFja8sKxiPEhDE&#10;udUVFwrOX/vhHIQPyBpry6TgTR7Wq35viam2LR/pdQqFiBD2KSooQ3CplD4vyaAfWUccvZttDIYo&#10;m0LqBtsIN7WcJMlUGqw4LpToaFtS/jg9jYLrjl22b2V++966wz2b15/P80Wpj0G3WYAI1IX/8F87&#10;0wom41kyhd878QrI1Q8AAAD//wMAUEsBAi0AFAAGAAgAAAAhANvh9svuAAAAhQEAABMAAAAAAAAA&#10;AAAAAAAAAAAAAFtDb250ZW50X1R5cGVzXS54bWxQSwECLQAUAAYACAAAACEAWvQsW78AAAAVAQAA&#10;CwAAAAAAAAAAAAAAAAAfAQAAX3JlbHMvLnJlbHNQSwECLQAUAAYACAAAACEAn285xsYAAADeAAAA&#10;DwAAAAAAAAAAAAAAAAAHAgAAZHJzL2Rvd25yZXYueG1sUEsFBgAAAAADAAMAtwAAAPoCAAAAAA==&#10;" filled="f" stroked="f">
                  <v:textbox inset="0,0,0,0">
                    <w:txbxContent>
                      <w:p w14:paraId="7B366B86" w14:textId="77777777" w:rsidR="00B32EF2" w:rsidRDefault="00000000">
                        <w:r>
                          <w:rPr>
                            <w:rFonts w:ascii="Arial" w:eastAsia="Arial" w:hAnsi="Arial" w:cs="Arial"/>
                            <w:b/>
                            <w:sz w:val="18"/>
                          </w:rPr>
                          <w:t>Articolo 25</w:t>
                        </w:r>
                      </w:p>
                    </w:txbxContent>
                  </v:textbox>
                </v:rect>
                <v:rect id="Rectangle 202144" o:spid="_x0000_s5997" style="position:absolute;left:-5154;top:20611;width:482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ByAAAAN8AAAAPAAAAZHJzL2Rvd25yZXYueG1sRI9La8Mw&#10;EITvhfwHsYXeGjkmlOBEDiUh1IdemgfkuFjrR2uthKXEbn59VCjkOMzMN8xqPZpOXKn3rWUFs2kC&#10;gri0uuVawfGwe12A8AFZY2eZFPySh3U+eVphpu3AX3Tdh1pECPsMFTQhuExKXzZk0E+tI45eZXuD&#10;Icq+lrrHIcJNJ9MkeZMGW44LDTraNFT+7C9GwXnLrtgNsqxuG/f5XSy6j8vxpNTL8/i+BBFoDI/w&#10;f7vQCtIknc3n8PcnfgGZ3wEAAP//AwBQSwECLQAUAAYACAAAACEA2+H2y+4AAACFAQAAEwAAAAAA&#10;AAAAAAAAAAAAAAAAW0NvbnRlbnRfVHlwZXNdLnhtbFBLAQItABQABgAIAAAAIQBa9CxbvwAAABUB&#10;AAALAAAAAAAAAAAAAAAAAB8BAABfcmVscy8ucmVsc1BLAQItABQABgAIAAAAIQBRb/eByAAAAN8A&#10;AAAPAAAAAAAAAAAAAAAAAAcCAABkcnMvZG93bnJldi54bWxQSwUGAAAAAAMAAwC3AAAA/AIAAAAA&#10;" filled="f" stroked="f">
                  <v:textbox inset="0,0,0,0">
                    <w:txbxContent>
                      <w:p w14:paraId="1E5FBCCD" w14:textId="77777777" w:rsidR="00B32EF2" w:rsidRDefault="00000000">
                        <w:r>
                          <w:rPr>
                            <w:rFonts w:ascii="Arial" w:eastAsia="Arial" w:hAnsi="Arial" w:cs="Arial"/>
                            <w:i/>
                            <w:sz w:val="18"/>
                          </w:rPr>
                          <w:t xml:space="preserve">articoli 18 D.lgs. n. 545/92 e 8, comma 5 terzo periodo L. n. </w:t>
                        </w:r>
                      </w:p>
                    </w:txbxContent>
                  </v:textbox>
                </v:rect>
                <v:rect id="Rectangle 202142" o:spid="_x0000_s5998" style="position:absolute;left:25907;top:20611;width:482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spuxwAAAN8AAAAPAAAAZHJzL2Rvd25yZXYueG1sRI9Ba8JA&#10;FITvgv9heYI33RikSHQVUcQcvNRa6PGRfSbR7Nslu5rYX98tFHocZuYbZrXpTSOe1PrasoLZNAFB&#10;XFhdc6ng8nGYLED4gKyxsUwKXuRhsx4OVphp2/E7Pc+hFBHCPkMFVQguk9IXFRn0U+uIo3e1rcEQ&#10;ZVtK3WIX4aaRaZK8SYM1x4UKHe0qKu7nh1HwtWeXHzpZXL937nTLF83xcflUajzqt0sQgfrwH/5r&#10;51pBmqSzeQq/f+IXkOsfAAAA//8DAFBLAQItABQABgAIAAAAIQDb4fbL7gAAAIUBAAATAAAAAAAA&#10;AAAAAAAAAAAAAABbQ29udGVudF9UeXBlc10ueG1sUEsBAi0AFAAGAAgAAAAhAFr0LFu/AAAAFQEA&#10;AAsAAAAAAAAAAAAAAAAAHwEAAF9yZWxzLy5yZWxzUEsBAi0AFAAGAAgAAAAhALHKym7HAAAA3wAA&#10;AA8AAAAAAAAAAAAAAAAABwIAAGRycy9kb3ducmV2LnhtbFBLBQYAAAAAAwADALcAAAD7AgAAAAA=&#10;" filled="f" stroked="f">
                  <v:textbox inset="0,0,0,0">
                    <w:txbxContent>
                      <w:p w14:paraId="37766F73" w14:textId="77777777" w:rsidR="00B32EF2" w:rsidRDefault="00000000">
                        <w:r>
                          <w:rPr>
                            <w:rFonts w:ascii="Arial" w:eastAsia="Arial" w:hAnsi="Arial" w:cs="Arial"/>
                            <w:i/>
                            <w:sz w:val="18"/>
                          </w:rPr>
                          <w:t>(</w:t>
                        </w:r>
                      </w:p>
                    </w:txbxContent>
                  </v:textbox>
                </v:rect>
                <v:rect id="Rectangle 202143" o:spid="_x0000_s5999" style="position:absolute;left:-41099;top:20611;width:482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m/1yAAAAN8AAAAPAAAAZHJzL2Rvd25yZXYueG1sRI9Pa8JA&#10;FMTvgt9heYI33ZhKkdRVRJHm0Ev9Az0+ss8kbfbtkl1N7Kd3CwWPw8z8hlmue9OIG7W+tqxgNk1A&#10;EBdW11wqOB33kwUIH5A1NpZJwZ08rFfDwRIzbTv+pNshlCJC2GeooArBZVL6oiKDfmodcfQutjUY&#10;omxLqVvsItw0Mk2SV2mw5rhQoaNtRcXP4WoUfO3Y5ftOFpffrfv4zhfN+/V0Vmo86jdvIAL14Rn+&#10;b+daQZqks/kL/P2JX0CuHgAAAP//AwBQSwECLQAUAAYACAAAACEA2+H2y+4AAACFAQAAEwAAAAAA&#10;AAAAAAAAAAAAAAAAW0NvbnRlbnRfVHlwZXNdLnhtbFBLAQItABQABgAIAAAAIQBa9CxbvwAAABUB&#10;AAALAAAAAAAAAAAAAAAAAB8BAABfcmVscy8ucmVsc1BLAQItABQABgAIAAAAIQDehm/1yAAAAN8A&#10;AAAPAAAAAAAAAAAAAAAAAAcCAABkcnMvZG93bnJldi54bWxQSwUGAAAAAAMAAwC3AAAA/AIAAAAA&#10;" filled="f" stroked="f">
                  <v:textbox inset="0,0,0,0">
                    <w:txbxContent>
                      <w:p w14:paraId="37BBD71C" w14:textId="77777777" w:rsidR="00B32EF2" w:rsidRDefault="00000000">
                        <w:r>
                          <w:rPr>
                            <w:rFonts w:ascii="Arial" w:eastAsia="Arial" w:hAnsi="Arial" w:cs="Arial"/>
                            <w:i/>
                            <w:sz w:val="18"/>
                          </w:rPr>
                          <w:t>130/2022)</w:t>
                        </w:r>
                      </w:p>
                    </w:txbxContent>
                  </v:textbox>
                </v:rect>
                <v:rect id="Rectangle 21708" o:spid="_x0000_s6000" style="position:absolute;left:16622;top:19378;width:53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AgvwwAAAN4AAAAPAAAAZHJzL2Rvd25yZXYueG1sRE9Ni8Iw&#10;EL0L+x/CCHvTVA8qXaOIi9jDXtQKexyasa02k9BE291fbw6Cx8f7Xq5704gHtb62rGAyTkAQF1bX&#10;XCrIT7vRAoQPyBoby6TgjzysVx+DJabadnygxzGUIoawT1FBFYJLpfRFRQb92DriyF1sazBE2JZS&#10;t9jFcNPIaZLMpMGaY0OFjrYVFbfj3Sj4/WaX7TpZXP637ueaLZr9PT8r9TnsN18gAvXhLX65M61g&#10;OpkncW+8E6+AXD0BAAD//wMAUEsBAi0AFAAGAAgAAAAhANvh9svuAAAAhQEAABMAAAAAAAAAAAAA&#10;AAAAAAAAAFtDb250ZW50X1R5cGVzXS54bWxQSwECLQAUAAYACAAAACEAWvQsW78AAAAVAQAACwAA&#10;AAAAAAAAAAAAAAAfAQAAX3JlbHMvLnJlbHNQSwECLQAUAAYACAAAACEAgbwIL8MAAADeAAAADwAA&#10;AAAAAAAAAAAAAAAHAgAAZHJzL2Rvd25yZXYueG1sUEsFBgAAAAADAAMAtwAAAPcCAAAAAA==&#10;" filled="f" stroked="f">
                  <v:textbox inset="0,0,0,0">
                    <w:txbxContent>
                      <w:p w14:paraId="4D43DD8B" w14:textId="77777777" w:rsidR="00B32EF2" w:rsidRDefault="00000000">
                        <w:r>
                          <w:rPr>
                            <w:rFonts w:ascii="Arial" w:eastAsia="Arial" w:hAnsi="Arial" w:cs="Arial"/>
                            <w:b/>
                            <w:sz w:val="18"/>
                          </w:rPr>
                          <w:t xml:space="preserve">Durata </w:t>
                        </w:r>
                      </w:p>
                    </w:txbxContent>
                  </v:textbox>
                </v:rect>
                <v:rect id="Rectangle 202140" o:spid="_x0000_s6001" style="position:absolute;left:29337;top:18144;width:400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PGCxQAAAN8AAAAPAAAAZHJzL2Rvd25yZXYueG1sRI/LisIw&#10;FIb3A75DOIK7MbUMg1SjiCLTxWy8gctDc2yrzUlooq3z9GYx4PLnv/HNl71pxINaX1tWMBknIIgL&#10;q2suFRwP288pCB+QNTaWScGTPCwXg485Ztp2vKPHPpQijrDPUEEVgsuk9EVFBv3YOuLoXWxrMETZ&#10;llK32MVx08g0Sb6lwZrjQ4WO1hUVt/3dKDhv2OXbThaXv7X7vebT5ud+PCk1GvarGYhAfXiH/9u5&#10;VpAm6eQrEkSeyAJy8QIAAP//AwBQSwECLQAUAAYACAAAACEA2+H2y+4AAACFAQAAEwAAAAAAAAAA&#10;AAAAAAAAAAAAW0NvbnRlbnRfVHlwZXNdLnhtbFBLAQItABQABgAIAAAAIQBa9CxbvwAAABUBAAAL&#10;AAAAAAAAAAAAAAAAAB8BAABfcmVscy8ucmVsc1BLAQItABQABgAIAAAAIQAuVPGCxQAAAN8AAAAP&#10;AAAAAAAAAAAAAAAAAAcCAABkcnMvZG93bnJldi54bWxQSwUGAAAAAAMAAwC3AAAA+QIAAAAA&#10;" filled="f" stroked="f">
                  <v:textbox inset="0,0,0,0">
                    <w:txbxContent>
                      <w:p w14:paraId="1DB26EE2" w14:textId="77777777" w:rsidR="00B32EF2" w:rsidRDefault="00000000">
                        <w:r>
                          <w:rPr>
                            <w:rFonts w:ascii="Arial" w:eastAsia="Arial" w:hAnsi="Arial" w:cs="Arial"/>
                            <w:sz w:val="18"/>
                          </w:rPr>
                          <w:t>1</w:t>
                        </w:r>
                      </w:p>
                    </w:txbxContent>
                  </v:textbox>
                </v:rect>
                <v:rect id="Rectangle 202141" o:spid="_x0000_s6002" style="position:absolute;left:-757;top:18144;width:400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FQZxwAAAN8AAAAPAAAAZHJzL2Rvd25yZXYueG1sRI9Ba8JA&#10;FITvQv/D8gredJMgIqmriCLm4EVrocdH9pmkZt8u2dXE/vpuodDjMDPfMMv1YFrxoM43lhWk0wQE&#10;cWl1w5WCy/t+sgDhA7LG1jIpeJKH9epltMRc255P9DiHSkQI+xwV1CG4XEpf1mTQT60jjt7VdgZD&#10;lF0ldYd9hJtWZkkylwYbjgs1OtrWVN7Od6Pgc8eu2PeyvH5v3fGrWLSH++VDqfHrsHkDEWgI/+G/&#10;dqEVZEmWzlL4/RO/gFz9AAAA//8DAFBLAQItABQABgAIAAAAIQDb4fbL7gAAAIUBAAATAAAAAAAA&#10;AAAAAAAAAAAAAABbQ29udGVudF9UeXBlc10ueG1sUEsBAi0AFAAGAAgAAAAhAFr0LFu/AAAAFQEA&#10;AAsAAAAAAAAAAAAAAAAAHwEAAF9yZWxzLy5yZWxzUEsBAi0AFAAGAAgAAAAhAEEYVBnHAAAA3wAA&#10;AA8AAAAAAAAAAAAAAAAABwIAAGRycy9kb3ducmV2LnhtbFBLBQYAAAAAAwADALcAAAD7AgAAAAA=&#10;" filled="f" stroked="f">
                  <v:textbox inset="0,0,0,0">
                    <w:txbxContent>
                      <w:p w14:paraId="039FC1E8" w14:textId="77777777" w:rsidR="00B32EF2" w:rsidRDefault="00000000">
                        <w:r>
                          <w:rPr>
                            <w:rFonts w:ascii="Arial" w:eastAsia="Arial" w:hAnsi="Arial" w:cs="Arial"/>
                            <w:sz w:val="18"/>
                          </w:rPr>
                          <w:t>. Il Consiglio di presidenza dura in carica per quattro anni.</w:t>
                        </w:r>
                      </w:p>
                    </w:txbxContent>
                  </v:textbox>
                </v:rect>
                <v:rect id="Rectangle 202139" o:spid="_x0000_s6003" style="position:absolute;left:-13817;top:169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CtiyAAAAN8AAAAPAAAAZHJzL2Rvd25yZXYueG1sRI9Pa8JA&#10;FMTvhX6H5Qm96cYURFNXEYs0By/1D/T4yD6TaPbtkl1N6qd3C0KPw8z8hpkve9OIG7W+tqxgPEpA&#10;EBdW11wqOOw3wykIH5A1NpZJwS95WC5eX+aYadvxN912oRQRwj5DBVUILpPSFxUZ9CPriKN3sq3B&#10;EGVbSt1iF+GmkWmSTKTBmuNChY7WFRWX3dUo+Plkl286WZzua7c959Pm63o4KvU26FcfIAL14T/8&#10;bOdaQZqk4/cZ/P2JX0AuHgAAAP//AwBQSwECLQAUAAYACAAAACEA2+H2y+4AAACFAQAAEwAAAAAA&#10;AAAAAAAAAAAAAAAAW0NvbnRlbnRfVHlwZXNdLnhtbFBLAQItABQABgAIAAAAIQBa9CxbvwAAABUB&#10;AAALAAAAAAAAAAAAAAAAAB8BAABfcmVscy8ucmVsc1BLAQItABQABgAIAAAAIQDnaCtiyAAAAN8A&#10;AAAPAAAAAAAAAAAAAAAAAAcCAABkcnMvZG93bnJldi54bWxQSwUGAAAAAAMAAwC3AAAA/AIAAAAA&#10;" filled="f" stroked="f">
                  <v:textbox inset="0,0,0,0">
                    <w:txbxContent>
                      <w:p w14:paraId="4F682EDF" w14:textId="77777777" w:rsidR="00B32EF2" w:rsidRDefault="00000000">
                        <w:r>
                          <w:rPr>
                            <w:rFonts w:ascii="Arial" w:eastAsia="Arial" w:hAnsi="Arial" w:cs="Arial"/>
                            <w:sz w:val="18"/>
                          </w:rPr>
                          <w:t xml:space="preserve">. I componenti del Consiglio di presidenza, che nel corso del quadriennio </w:t>
                        </w:r>
                      </w:p>
                    </w:txbxContent>
                  </v:textbox>
                </v:rect>
                <v:rect id="Rectangle 202138" o:spid="_x0000_s6004" style="position:absolute;left:26109;top:16911;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75xAAAAN8AAAAPAAAAZHJzL2Rvd25yZXYueG1sRE/LisIw&#10;FN0P+A/hCu7G1A4MUo0iikwXs/EFLi/Nta02N6GJts7Xm8WAy8N5z5e9acSDWl9bVjAZJyCIC6tr&#10;LhUcD9vPKQgfkDU2lknBkzwsF4OPOWbadryjxz6UIoawz1BBFYLLpPRFRQb92DriyF1sazBE2JZS&#10;t9jFcNPINEm+pcGaY0OFjtYVFbf93Sg4b9jl204Wl7+1+73m0+bnfjwpNRr2qxmIQH14i//duVaQ&#10;JunkKw6Of+IXkIsXAAAA//8DAFBLAQItABQABgAIAAAAIQDb4fbL7gAAAIUBAAATAAAAAAAAAAAA&#10;AAAAAAAAAABbQ29udGVudF9UeXBlc10ueG1sUEsBAi0AFAAGAAgAAAAhAFr0LFu/AAAAFQEAAAsA&#10;AAAAAAAAAAAAAAAAHwEAAF9yZWxzLy5yZWxzUEsBAi0AFAAGAAgAAAAhAIgkjvnEAAAA3wAAAA8A&#10;AAAAAAAAAAAAAAAABwIAAGRycy9kb3ducmV2LnhtbFBLBQYAAAAAAwADALcAAAD4AgAAAAA=&#10;" filled="f" stroked="f">
                  <v:textbox inset="0,0,0,0">
                    <w:txbxContent>
                      <w:p w14:paraId="712368D8" w14:textId="77777777" w:rsidR="00B32EF2" w:rsidRDefault="00000000">
                        <w:r>
                          <w:rPr>
                            <w:rFonts w:ascii="Arial" w:eastAsia="Arial" w:hAnsi="Arial" w:cs="Arial"/>
                            <w:sz w:val="18"/>
                          </w:rPr>
                          <w:t>2</w:t>
                        </w:r>
                      </w:p>
                    </w:txbxContent>
                  </v:textbox>
                </v:rect>
                <v:rect id="Rectangle 21711" o:spid="_x0000_s6005" style="position:absolute;left:-13172;top:1567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zdvxgAAAN4AAAAPAAAAZHJzL2Rvd25yZXYueG1sRI9Ba8JA&#10;FITvgv9heYI33cSDlegqoog5eKm10OMj+0yi2bdLdjWxv75bKPQ4zMw3zGrTm0Y8qfW1ZQXpNAFB&#10;XFhdc6ng8nGYLED4gKyxsUwKXuRhsx4OVphp2/E7Pc+hFBHCPkMFVQguk9IXFRn0U+uIo3e1rcEQ&#10;ZVtK3WIX4aaRsySZS4M1x4UKHe0qKu7nh1HwtWeXHzpZXL937nTLF83xcflUajzqt0sQgfrwH/5r&#10;51rBLH1LU/i9E6+AXP8AAAD//wMAUEsBAi0AFAAGAAgAAAAhANvh9svuAAAAhQEAABMAAAAAAAAA&#10;AAAAAAAAAAAAAFtDb250ZW50X1R5cGVzXS54bWxQSwECLQAUAAYACAAAACEAWvQsW78AAAAVAQAA&#10;CwAAAAAAAAAAAAAAAAAfAQAAX3JlbHMvLnJlbHNQSwECLQAUAAYACAAAACEAlV83b8YAAADeAAAA&#10;DwAAAAAAAAAAAAAAAAAHAgAAZHJzL2Rvd25yZXYueG1sUEsFBgAAAAADAAMAtwAAAPoCAAAAAA==&#10;" filled="f" stroked="f">
                  <v:textbox inset="0,0,0,0">
                    <w:txbxContent>
                      <w:p w14:paraId="43C08D8C" w14:textId="77777777" w:rsidR="00B32EF2" w:rsidRDefault="00000000">
                        <w:r>
                          <w:rPr>
                            <w:rFonts w:ascii="Arial" w:eastAsia="Arial" w:hAnsi="Arial" w:cs="Arial"/>
                            <w:sz w:val="18"/>
                          </w:rPr>
                          <w:t xml:space="preserve">cessano per qualsiasi causa di farne parte o, se eletti in qualità di giudice o </w:t>
                        </w:r>
                      </w:p>
                    </w:txbxContent>
                  </v:textbox>
                </v:rect>
                <v:rect id="Rectangle 21712" o:spid="_x0000_s6006" style="position:absolute;left:-13171;top:14445;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akYxwAAAN4AAAAPAAAAZHJzL2Rvd25yZXYueG1sRI9Pa8JA&#10;FMTvhX6H5RW81U1ysJK6SlHEHHqpf8DjI/tM0mbfLtnVpH56VxA8DjPzG2a2GEwrLtT5xrKCdJyA&#10;IC6tbrhSsN+t36cgfEDW2FomBf/kYTF/fZlhrm3PP3TZhkpECPscFdQhuFxKX9Zk0I+tI47eyXYG&#10;Q5RdJXWHfYSbVmZJMpEGG44LNTpa1lT+bc9GwXHFrlj3sjxdl+77t5i2m/P+oNTobfj6BBFoCM/w&#10;o11oBVn6kWZwvxOvgJzfAAAA//8DAFBLAQItABQABgAIAAAAIQDb4fbL7gAAAIUBAAATAAAAAAAA&#10;AAAAAAAAAAAAAABbQ29udGVudF9UeXBlc10ueG1sUEsBAi0AFAAGAAgAAAAhAFr0LFu/AAAAFQEA&#10;AAsAAAAAAAAAAAAAAAAAHwEAAF9yZWxzLy5yZWxzUEsBAi0AFAAGAAgAAAAhAGWNqRjHAAAA3gAA&#10;AA8AAAAAAAAAAAAAAAAABwIAAGRycy9kb3ducmV2LnhtbFBLBQYAAAAAAwADALcAAAD7AgAAAAA=&#10;" filled="f" stroked="f">
                  <v:textbox inset="0,0,0,0">
                    <w:txbxContent>
                      <w:p w14:paraId="08346915" w14:textId="77777777" w:rsidR="00B32EF2" w:rsidRDefault="00000000">
                        <w:r>
                          <w:rPr>
                            <w:rFonts w:ascii="Arial" w:eastAsia="Arial" w:hAnsi="Arial" w:cs="Arial"/>
                            <w:sz w:val="18"/>
                          </w:rPr>
                          <w:t xml:space="preserve">magistrato, conseguono la nomina a presidente, sono sostituiti per il restante </w:t>
                        </w:r>
                      </w:p>
                    </w:txbxContent>
                  </v:textbox>
                </v:rect>
                <v:rect id="Rectangle 21713" o:spid="_x0000_s6007" style="position:absolute;left:11;top:13211;width:399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QyDxwAAAN4AAAAPAAAAZHJzL2Rvd25yZXYueG1sRI9Pa8JA&#10;FMTvgt9heYI33cSCldRVRJHm0Ev9Az0+ss8kbfbtkl1N7Kd3CwWPw8z8hlmue9OIG7W+tqwgnSYg&#10;iAuray4VnI77yQKED8gaG8uk4E4e1qvhYImZth1/0u0QShEh7DNUUIXgMil9UZFBP7WOOHoX2xoM&#10;Ubal1C12EW4aOUuSuTRYc1yo0NG2ouLncDUKvnbs8n0ni8vv1n1854vm/Xo6KzUe9Zs3EIH68Az/&#10;t3OtYJa+pi/wdydeAbl6AAAA//8DAFBLAQItABQABgAIAAAAIQDb4fbL7gAAAIUBAAATAAAAAAAA&#10;AAAAAAAAAAAAAABbQ29udGVudF9UeXBlc10ueG1sUEsBAi0AFAAGAAgAAAAhAFr0LFu/AAAAFQEA&#10;AAsAAAAAAAAAAAAAAAAAHwEAAF9yZWxzLy5yZWxzUEsBAi0AFAAGAAgAAAAhAArBDIPHAAAA3gAA&#10;AA8AAAAAAAAAAAAAAAAABwIAAGRycy9kb3ducmV2LnhtbFBLBQYAAAAAAwADALcAAAD7AgAAAAA=&#10;" filled="f" stroked="f">
                  <v:textbox inset="0,0,0,0">
                    <w:txbxContent>
                      <w:p w14:paraId="463DC641" w14:textId="77777777" w:rsidR="00B32EF2" w:rsidRDefault="00000000">
                        <w:r>
                          <w:rPr>
                            <w:rFonts w:ascii="Arial" w:eastAsia="Arial" w:hAnsi="Arial" w:cs="Arial"/>
                            <w:sz w:val="18"/>
                          </w:rPr>
                          <w:t>periodo dal primo dei non eletti di corrispondente qualifica.</w:t>
                        </w:r>
                      </w:p>
                    </w:txbxContent>
                  </v:textbox>
                </v:rect>
                <v:rect id="Rectangle 21714" o:spid="_x0000_s6008" style="position:absolute;left:15076;top:10745;width:80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JT3xwAAAN4AAAAPAAAAZHJzL2Rvd25yZXYueG1sRI9Pa8JA&#10;FMTvgt9heYI33USKldRVRJHm0Ev9Az0+ss8kbfbtkl1N7Kd3CwWPw8z8hlmue9OIG7W+tqwgnSYg&#10;iAuray4VnI77yQKED8gaG8uk4E4e1qvhYImZth1/0u0QShEh7DNUUIXgMil9UZFBP7WOOHoX2xoM&#10;Ubal1C12EW4aOUuSuTRYc1yo0NG2ouLncDUKvnbs8n0ni8vv1n1854vm/Xo6KzUe9Zs3EIH68Az/&#10;t3OtYJa+pi/wdydeAbl6AAAA//8DAFBLAQItABQABgAIAAAAIQDb4fbL7gAAAIUBAAATAAAAAAAA&#10;AAAAAAAAAAAAAABbQ29udGVudF9UeXBlc10ueG1sUEsBAi0AFAAGAAgAAAAhAFr0LFu/AAAAFQEA&#10;AAsAAAAAAAAAAAAAAAAAHwEAAF9yZWxzLy5yZWxzUEsBAi0AFAAGAAgAAAAhAIUolPfHAAAA3gAA&#10;AA8AAAAAAAAAAAAAAAAABwIAAGRycy9kb3ducmV2LnhtbFBLBQYAAAAAAwADALcAAAD7AgAAAAA=&#10;" filled="f" stroked="f">
                  <v:textbox inset="0,0,0,0">
                    <w:txbxContent>
                      <w:p w14:paraId="46C217F4" w14:textId="77777777" w:rsidR="00B32EF2" w:rsidRDefault="00000000">
                        <w:r>
                          <w:rPr>
                            <w:rFonts w:ascii="Arial" w:eastAsia="Arial" w:hAnsi="Arial" w:cs="Arial"/>
                            <w:b/>
                            <w:sz w:val="18"/>
                          </w:rPr>
                          <w:t>Articolo 26</w:t>
                        </w:r>
                      </w:p>
                    </w:txbxContent>
                  </v:textbox>
                </v:rect>
                <v:rect id="Rectangle 202137" o:spid="_x0000_s6009" style="position:absolute;left:11623;top:9511;width:194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xqLyAAAAN8AAAAPAAAAZHJzL2Rvd25yZXYueG1sRI9Pa8JA&#10;FMTvgt9heYI33ZiCldRVRJHm0Ev9Az0+ss8kbfbtkl1N7Kd3CwWPw8z8hlmue9OIG7W+tqxgNk1A&#10;EBdW11wqOB33kwUIH5A1NpZJwZ08rFfDwRIzbTv+pNshlCJC2GeooArBZVL6oiKDfmodcfQutjUY&#10;omxLqVvsItw0Mk2SuTRYc1yo0NG2ouLncDUKvnbs8n0ni8vv1n1854vm/Xo6KzUe9Zs3EIH68Az/&#10;t3OtIE3S2csr/P2JX0CuHgAAAP//AwBQSwECLQAUAAYACAAAACEA2+H2y+4AAACFAQAAEwAAAAAA&#10;AAAAAAAAAAAAAAAAW0NvbnRlbnRfVHlwZXNdLnhtbFBLAQItABQABgAIAAAAIQBa9CxbvwAAABUB&#10;AAALAAAAAAAAAAAAAAAAAB8BAABfcmVscy8ucmVsc1BLAQItABQABgAIAAAAIQD5uxqLyAAAAN8A&#10;AAAPAAAAAAAAAAAAAAAAAAcCAABkcnMvZG93bnJldi54bWxQSwUGAAAAAAMAAwC3AAAA/AIAAAAA&#10;" filled="f" stroked="f">
                  <v:textbox inset="0,0,0,0">
                    <w:txbxContent>
                      <w:p w14:paraId="538718DB" w14:textId="77777777" w:rsidR="00B32EF2" w:rsidRDefault="00000000">
                        <w:r>
                          <w:rPr>
                            <w:rFonts w:ascii="Arial" w:eastAsia="Arial" w:hAnsi="Arial" w:cs="Arial"/>
                            <w:i/>
                            <w:sz w:val="18"/>
                          </w:rPr>
                          <w:t xml:space="preserve">articolo 20 D.lgs. n. </w:t>
                        </w:r>
                      </w:p>
                    </w:txbxContent>
                  </v:textbox>
                </v:rect>
                <v:rect id="Rectangle 202135" o:spid="_x0000_s6010" style="position:absolute;left:22223;top:9511;width:194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SFnyAAAAN8AAAAPAAAAZHJzL2Rvd25yZXYueG1sRI9Pa8JA&#10;FMTvgt9heYI33ZhikdRVRJHm0Ev9Az0+ss8kbfbtkl1N7Kd3CwWPw8z8hlmue9OIG7W+tqxgNk1A&#10;EBdW11wqOB33kwUIH5A1NpZJwZ08rFfDwRIzbTv+pNshlCJC2GeooArBZVL6oiKDfmodcfQutjUY&#10;omxLqVvsItw0Mk2SV2mw5rhQoaNtRcXP4WoUfO3Y5ftOFpffrfv4zhfN+/V0Vmo86jdvIAL14Rn+&#10;b+daQZqks5c5/P2JX0CuHgAAAP//AwBQSwECLQAUAAYACAAAACEA2+H2y+4AAACFAQAAEwAAAAAA&#10;AAAAAAAAAAAAAAAAW0NvbnRlbnRfVHlwZXNdLnhtbFBLAQItABQABgAIAAAAIQBa9CxbvwAAABUB&#10;AAALAAAAAAAAAAAAAAAAAB8BAABfcmVscy8ucmVsc1BLAQItABQABgAIAAAAIQBmJSFnyAAAAN8A&#10;AAAPAAAAAAAAAAAAAAAAAAcCAABkcnMvZG93bnJldi54bWxQSwUGAAAAAAMAAwC3AAAA/AIAAAAA&#10;" filled="f" stroked="f">
                  <v:textbox inset="0,0,0,0">
                    <w:txbxContent>
                      <w:p w14:paraId="7D21033D" w14:textId="77777777" w:rsidR="00B32EF2" w:rsidRDefault="00000000">
                        <w:r>
                          <w:rPr>
                            <w:rFonts w:ascii="Arial" w:eastAsia="Arial" w:hAnsi="Arial" w:cs="Arial"/>
                            <w:i/>
                            <w:sz w:val="18"/>
                          </w:rPr>
                          <w:t>(</w:t>
                        </w:r>
                      </w:p>
                    </w:txbxContent>
                  </v:textbox>
                </v:rect>
                <v:rect id="Rectangle 202136" o:spid="_x0000_s6011" style="position:absolute;left:-2641;top:9511;width:194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78QyAAAAN8AAAAPAAAAZHJzL2Rvd25yZXYueG1sRI9Pa8JA&#10;FMTvBb/D8oTe6sYURKIbEUWaQy+1Ch4f2Zc/mn27ZFeT9tN3C4Ueh5n5DbPejKYTD+p9a1nBfJaA&#10;IC6tbrlWcPo8vCxB+ICssbNMCr7IwyafPK0x03bgD3ocQy0ihH2GCpoQXCalLxsy6GfWEUevsr3B&#10;EGVfS93jEOGmk2mSLKTBluNCg452DZW3490ouOzZFYdBltX3zr1fi2X3dj+dlXqejtsViEBj+A//&#10;tQutIE3S+esCfv/ELyDzHwAAAP//AwBQSwECLQAUAAYACAAAACEA2+H2y+4AAACFAQAAEwAAAAAA&#10;AAAAAAAAAAAAAAAAW0NvbnRlbnRfVHlwZXNdLnhtbFBLAQItABQABgAIAAAAIQBa9CxbvwAAABUB&#10;AAALAAAAAAAAAAAAAAAAAB8BAABfcmVscy8ucmVsc1BLAQItABQABgAIAAAAIQCW978QyAAAAN8A&#10;AAAPAAAAAAAAAAAAAAAAAAcCAABkcnMvZG93bnJldi54bWxQSwUGAAAAAAMAAwC3AAAA/AIAAAAA&#10;" filled="f" stroked="f">
                  <v:textbox inset="0,0,0,0">
                    <w:txbxContent>
                      <w:p w14:paraId="1660FEEB" w14:textId="77777777" w:rsidR="00B32EF2" w:rsidRDefault="00000000">
                        <w:r>
                          <w:rPr>
                            <w:rFonts w:ascii="Arial" w:eastAsia="Arial" w:hAnsi="Arial" w:cs="Arial"/>
                            <w:i/>
                            <w:sz w:val="18"/>
                          </w:rPr>
                          <w:t>545/92)</w:t>
                        </w:r>
                      </w:p>
                    </w:txbxContent>
                  </v:textbox>
                </v:rect>
                <v:rect id="Rectangle 21716" o:spid="_x0000_s6012" style="position:absolute;left:13726;top:8278;width:99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q8bxgAAAN4AAAAPAAAAZHJzL2Rvd25yZXYueG1sRI9Ba8JA&#10;FITvgv9heUJvuokHldRVRJHm4EWr0OMj+0zSZt8u2dXE/vquIPQ4zMw3zHLdm0bcqfW1ZQXpJAFB&#10;XFhdc6ng/LkfL0D4gKyxsUwKHuRhvRoOlphp2/GR7qdQighhn6GCKgSXSemLigz6iXXE0bva1mCI&#10;si2lbrGLcNPIaZLMpMGa40KFjrYVFT+nm1HwtWOX7ztZXH+37vCdL5qP2/mi1Nuo37yDCNSH//Cr&#10;nWsF03SezuB5J14BufoDAAD//wMAUEsBAi0AFAAGAAgAAAAhANvh9svuAAAAhQEAABMAAAAAAAAA&#10;AAAAAAAAAAAAAFtDb250ZW50X1R5cGVzXS54bWxQSwECLQAUAAYACAAAACEAWvQsW78AAAAVAQAA&#10;CwAAAAAAAAAAAAAAAAAfAQAAX3JlbHMvLnJlbHNQSwECLQAUAAYACAAAACEAGravG8YAAADeAAAA&#10;DwAAAAAAAAAAAAAAAAAHAgAAZHJzL2Rvd25yZXYueG1sUEsFBgAAAAADAAMAtwAAAPoCAAAAAA==&#10;" filled="f" stroked="f">
                  <v:textbox inset="0,0,0,0">
                    <w:txbxContent>
                      <w:p w14:paraId="4AEA24E1" w14:textId="77777777" w:rsidR="00B32EF2" w:rsidRDefault="00000000">
                        <w:r>
                          <w:rPr>
                            <w:rFonts w:ascii="Arial" w:eastAsia="Arial" w:hAnsi="Arial" w:cs="Arial"/>
                            <w:b/>
                            <w:sz w:val="18"/>
                          </w:rPr>
                          <w:t xml:space="preserve">Ineleggibilità </w:t>
                        </w:r>
                      </w:p>
                    </w:txbxContent>
                  </v:textbox>
                </v:rect>
                <v:rect id="Rectangle 202134" o:spid="_x0000_s6013" style="position:absolute;left:-12798;top:7045;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YT8yAAAAN8AAAAPAAAAZHJzL2Rvd25yZXYueG1sRI9Pa8JA&#10;FMTvgt9heYI33ZhKkdRVRJHm0Ev9Az0+ss8kbfbtkl1N7Kd3CwWPw8z8hlmue9OIG7W+tqxgNk1A&#10;EBdW11wqOB33kwUIH5A1NpZJwZ08rFfDwRIzbTv+pNshlCJC2GeooArBZVL6oiKDfmodcfQutjUY&#10;omxLqVvsItw0Mk2SV2mw5rhQoaNtRcXP4WoUfO3Y5ftOFpffrfv4zhfN+/V0Vmo86jdvIAL14Rn+&#10;b+daQZqks5c5/P2JX0CuHgAAAP//AwBQSwECLQAUAAYACAAAACEA2+H2y+4AAACFAQAAEwAAAAAA&#10;AAAAAAAAAAAAAAAAW0NvbnRlbnRfVHlwZXNdLnhtbFBLAQItABQABgAIAAAAIQBa9CxbvwAAABUB&#10;AAALAAAAAAAAAAAAAAAAAB8BAABfcmVscy8ucmVsc1BLAQItABQABgAIAAAAIQAJaYT8yAAAAN8A&#10;AAAPAAAAAAAAAAAAAAAAAAcCAABkcnMvZG93bnJldi54bWxQSwUGAAAAAAMAAwC3AAAA/AIAAAAA&#10;" filled="f" stroked="f">
                  <v:textbox inset="0,0,0,0">
                    <w:txbxContent>
                      <w:p w14:paraId="6F542C8E" w14:textId="77777777" w:rsidR="00B32EF2" w:rsidRDefault="00000000">
                        <w:r>
                          <w:rPr>
                            <w:rFonts w:ascii="Arial" w:eastAsia="Arial" w:hAnsi="Arial" w:cs="Arial"/>
                            <w:sz w:val="18"/>
                          </w:rPr>
                          <w:t>. Non possono essere eletti al Consiglio di presidenza, e sono altresì esclu</w:t>
                        </w:r>
                      </w:p>
                    </w:txbxContent>
                  </v:textbox>
                </v:rect>
                <v:rect id="Rectangle 202133" o:spid="_x0000_s6014" style="position:absolute;left:26350;top:7045;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ByIyAAAAN8AAAAPAAAAZHJzL2Rvd25yZXYueG1sRI9La8Mw&#10;EITvhfwHsYXeGjkOlOBEDiUh1IdemgfkuFjrR2uthKXEbn59VCjkOMzMN8xqPZpOXKn3rWUFs2kC&#10;gri0uuVawfGwe12A8AFZY2eZFPySh3U+eVphpu3AX3Tdh1pECPsMFTQhuExKXzZk0E+tI45eZXuD&#10;Icq+lrrHIcJNJ9MkeZMGW44LDTraNFT+7C9GwXnLrtgNsqxuG/f5XSy6j8vxpNTL8/i+BBFoDI/w&#10;f7vQCtIknc3n8PcnfgGZ3wEAAP//AwBQSwECLQAUAAYACAAAACEA2+H2y+4AAACFAQAAEwAAAAAA&#10;AAAAAAAAAAAAAAAAW0NvbnRlbnRfVHlwZXNdLnhtbFBLAQItABQABgAIAAAAIQBa9CxbvwAAABUB&#10;AAALAAAAAAAAAAAAAAAAAB8BAABfcmVscy8ucmVsc1BLAQItABQABgAIAAAAIQCGgByIyAAAAN8A&#10;AAAPAAAAAAAAAAAAAAAAAAcCAABkcnMvZG93bnJldi54bWxQSwUGAAAAAAMAAwC3AAAA/AIAAAAA&#10;" filled="f" stroked="f">
                  <v:textbox inset="0,0,0,0">
                    <w:txbxContent>
                      <w:p w14:paraId="6D627DA5" w14:textId="77777777" w:rsidR="00B32EF2" w:rsidRDefault="00000000">
                        <w:r>
                          <w:rPr>
                            <w:rFonts w:ascii="Arial" w:eastAsia="Arial" w:hAnsi="Arial" w:cs="Arial"/>
                            <w:sz w:val="18"/>
                          </w:rPr>
                          <w:t>1</w:t>
                        </w:r>
                      </w:p>
                    </w:txbxContent>
                  </v:textbox>
                </v:rect>
                <v:rect id="Rectangle 21718" o:spid="_x0000_s6015" style="position:absolute;left:193;top:704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Z7ywwAAAN4AAAAPAAAAZHJzL2Rvd25yZXYueG1sRE/LisIw&#10;FN0P+A/hCu7GtC5mpBpFFJkuZuMLXF6aa1ttbkITbZ2vN4sBl4fzni9704gHtb62rCAdJyCIC6tr&#10;LhUcD9vPKQgfkDU2lknBkzwsF4OPOWbadryjxz6UIoawz1BBFYLLpPRFRQb92DriyF1sazBE2JZS&#10;t9jFcNPISZJ8SYM1x4YKHa0rKm77u1Fw3rDLt50sLn9r93vNp83P/XhSajTsVzMQgfrwFv+7c61g&#10;kn6ncW+8E6+AXLwAAAD//wMAUEsBAi0AFAAGAAgAAAAhANvh9svuAAAAhQEAABMAAAAAAAAAAAAA&#10;AAAAAAAAAFtDb250ZW50X1R5cGVzXS54bWxQSwECLQAUAAYACAAAACEAWvQsW78AAAAVAQAACwAA&#10;AAAAAAAAAAAAAAAfAQAAX3JlbHMvLnJlbHNQSwECLQAUAAYACAAAACEABGWe8sMAAADeAAAADwAA&#10;AAAAAAAAAAAAAAAHAgAAZHJzL2Rvd25yZXYueG1sUEsFBgAAAAADAAMAtwAAAPcCAAAAAA==&#10;" filled="f" stroked="f">
                  <v:textbox inset="0,0,0,0">
                    <w:txbxContent>
                      <w:p w14:paraId="6D593040" w14:textId="77777777" w:rsidR="00B32EF2" w:rsidRDefault="00000000">
                        <w:r>
                          <w:rPr>
                            <w:rFonts w:ascii="Arial" w:eastAsia="Arial" w:hAnsi="Arial" w:cs="Arial"/>
                            <w:sz w:val="18"/>
                          </w:rPr>
                          <w:t>-</w:t>
                        </w:r>
                      </w:p>
                    </w:txbxContent>
                  </v:textbox>
                </v:rect>
                <v:rect id="Rectangle 21719" o:spid="_x0000_s6016" style="position:absolute;left:-13170;top:58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TtpxwAAAN4AAAAPAAAAZHJzL2Rvd25yZXYueG1sRI9Pa8JA&#10;FMTvBb/D8gRvuomHalNXEUWaQy/+KfT4yD6TtNm3S3Y1sZ/eFYQeh5n5DbNY9aYRV2p9bVlBOklA&#10;EBdW11wqOB134zkIH5A1NpZJwY08rJaDlwVm2na8p+shlCJC2GeooArBZVL6oiKDfmIdcfTOtjUY&#10;omxLqVvsItw0cpokr9JgzXGhQkebiorfw8Uo+N6yy3edLM5/G/f5k8+bj8vpS6nRsF+/gwjUh//w&#10;s51rBdN0lr7B4068AnJ5BwAA//8DAFBLAQItABQABgAIAAAAIQDb4fbL7gAAAIUBAAATAAAAAAAA&#10;AAAAAAAAAAAAAABbQ29udGVudF9UeXBlc10ueG1sUEsBAi0AFAAGAAgAAAAhAFr0LFu/AAAAFQEA&#10;AAsAAAAAAAAAAAAAAAAAHwEAAF9yZWxzLy5yZWxzUEsBAi0AFAAGAAgAAAAhAGspO2nHAAAA3gAA&#10;AA8AAAAAAAAAAAAAAAAABwIAAGRycy9kb3ducmV2LnhtbFBLBQYAAAAAAwADALcAAAD7AgAAAAA=&#10;" filled="f" stroked="f">
                  <v:textbox inset="0,0,0,0">
                    <w:txbxContent>
                      <w:p w14:paraId="50563D56" w14:textId="77777777" w:rsidR="00B32EF2" w:rsidRDefault="00000000">
                        <w:r>
                          <w:rPr>
                            <w:rFonts w:ascii="Arial" w:eastAsia="Arial" w:hAnsi="Arial" w:cs="Arial"/>
                            <w:sz w:val="18"/>
                          </w:rPr>
                          <w:t xml:space="preserve">si dal voto, i componenti delle corti di giustizia tributaria di primo e secondo </w:t>
                        </w:r>
                      </w:p>
                    </w:txbxContent>
                  </v:textbox>
                </v:rect>
                <v:rect id="Rectangle 21720" o:spid="_x0000_s6017" style="position:absolute;left:-13170;top:45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1hJxQAAAN4AAAAPAAAAZHJzL2Rvd25yZXYueG1sRI/LisIw&#10;FIb3A75DOIK7MbWLGalGEUWmi9l4A5eH5thWm5PQRFvn6c1iwOXPf+ObL3vTiAe1vrasYDJOQBAX&#10;VtdcKjgetp9TED4ga2wsk4IneVguBh9zzLTteEePfShFHGGfoYIqBJdJ6YuKDPqxdcTRu9jWYIiy&#10;LaVusYvjppFpknxJgzXHhwodrSsqbvu7UXDesMu3nSwuf2v3e82nzc/9eFJqNOxXMxCB+vAO/7dz&#10;rSCdfKcRIOJEFJCLFwAAAP//AwBQSwECLQAUAAYACAAAACEA2+H2y+4AAACFAQAAEwAAAAAAAAAA&#10;AAAAAAAAAAAAW0NvbnRlbnRfVHlwZXNdLnhtbFBLAQItABQABgAIAAAAIQBa9CxbvwAAABUBAAAL&#10;AAAAAAAAAAAAAAAAAB8BAABfcmVscy8ucmVsc1BLAQItABQABgAIAAAAIQA0f1hJxQAAAN4AAAAP&#10;AAAAAAAAAAAAAAAAAAcCAABkcnMvZG93bnJldi54bWxQSwUGAAAAAAMAAwC3AAAA+QIAAAAA&#10;" filled="f" stroked="f">
                  <v:textbox inset="0,0,0,0">
                    <w:txbxContent>
                      <w:p w14:paraId="06872D32" w14:textId="77777777" w:rsidR="00B32EF2" w:rsidRDefault="00000000">
                        <w:r>
                          <w:rPr>
                            <w:rFonts w:ascii="Arial" w:eastAsia="Arial" w:hAnsi="Arial" w:cs="Arial"/>
                            <w:sz w:val="18"/>
                          </w:rPr>
                          <w:t xml:space="preserve">grado sottoposti, a seguito di giudizio disciplinare, ad una sanzione più grave </w:t>
                        </w:r>
                      </w:p>
                    </w:txbxContent>
                  </v:textbox>
                </v:rect>
                <v:rect id="Rectangle 21721" o:spid="_x0000_s6018" style="position:absolute;left:27112;top:3345;width:128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3SxwAAAN4AAAAPAAAAZHJzL2Rvd25yZXYueG1sRI9Pa8JA&#10;FMTvhX6H5RW81U1ysJK6SlHEHHqpf8DjI/tM0mbfLtnVpH56VxA8DjPzG2a2GEwrLtT5xrKCdJyA&#10;IC6tbrhSsN+t36cgfEDW2FomBf/kYTF/fZlhrm3PP3TZhkpECPscFdQhuFxKX9Zk0I+tI47eyXYG&#10;Q5RdJXWHfYSbVmZJMpEGG44LNTpa1lT+bc9GwXHFrlj3sjxdl+77t5i2m/P+oNTobfj6BBFoCM/w&#10;o11oBVn6kaVwvxOvgJzfAAAA//8DAFBLAQItABQABgAIAAAAIQDb4fbL7gAAAIUBAAATAAAAAAAA&#10;AAAAAAAAAAAAAABbQ29udGVudF9UeXBlc10ueG1sUEsBAi0AFAAGAAgAAAAhAFr0LFu/AAAAFQEA&#10;AAsAAAAAAAAAAAAAAAAAHwEAAF9yZWxzLy5yZWxzUEsBAi0AFAAGAAgAAAAhAFsz/dLHAAAA3gAA&#10;AA8AAAAAAAAAAAAAAAAABwIAAGRycy9kb3ducmV2LnhtbFBLBQYAAAAAAwADALcAAAD7AgAAAAA=&#10;" filled="f" stroked="f">
                  <v:textbox inset="0,0,0,0">
                    <w:txbxContent>
                      <w:p w14:paraId="6D7905A4" w14:textId="77777777" w:rsidR="00B32EF2" w:rsidRDefault="00000000">
                        <w:r>
                          <w:rPr>
                            <w:rFonts w:ascii="Arial" w:eastAsia="Arial" w:hAnsi="Arial" w:cs="Arial"/>
                            <w:sz w:val="18"/>
                          </w:rPr>
                          <w:t>dell’ammonimento.</w:t>
                        </w:r>
                      </w:p>
                    </w:txbxContent>
                  </v:textbox>
                </v:rect>
                <v:rect id="Rectangle 202132" o:spid="_x0000_s6019" style="position:absolute;left:-12881;top:2112;width:5215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LkTxwAAAN8AAAAPAAAAZHJzL2Rvd25yZXYueG1sRI9Ba8JA&#10;FITvgv9heYI33RihSHQVUcQcvNRa6PGRfSbR7Nslu5rYX98tFHocZuYbZrXpTSOe1PrasoLZNAFB&#10;XFhdc6ng8nGYLED4gKyxsUwKXuRhsx4OVphp2/E7Pc+hFBHCPkMFVQguk9IXFRn0U+uIo3e1rcEQ&#10;ZVtK3WIX4aaRaZK8SYM1x4UKHe0qKu7nh1HwtWeXHzpZXL937nTLF83xcflUajzqt0sQgfrwH/5r&#10;51pBmqSzeQq/f+IXkOsfAAAA//8DAFBLAQItABQABgAIAAAAIQDb4fbL7gAAAIUBAAATAAAAAAAA&#10;AAAAAAAAAAAAAABbQ29udGVudF9UeXBlc10ueG1sUEsBAi0AFAAGAAgAAAAhAFr0LFu/AAAAFQEA&#10;AAsAAAAAAAAAAAAAAAAAHwEAAF9yZWxzLy5yZWxzUEsBAi0AFAAGAAgAAAAhAOnMuRPHAAAA3wAA&#10;AA8AAAAAAAAAAAAAAAAABwIAAGRycy9kb3ducmV2LnhtbFBLBQYAAAAAAwADALcAAAD7AgAAAAA=&#10;" filled="f" stroked="f">
                  <v:textbox inset="0,0,0,0">
                    <w:txbxContent>
                      <w:p w14:paraId="0EEF714E" w14:textId="77777777" w:rsidR="00B32EF2" w:rsidRDefault="00000000">
                        <w:r>
                          <w:rPr>
                            <w:rFonts w:ascii="Arial" w:eastAsia="Arial" w:hAnsi="Arial" w:cs="Arial"/>
                            <w:sz w:val="18"/>
                          </w:rPr>
                          <w:t>. Il componente di corte di giustizia tributaria di primo e secondo grado sot</w:t>
                        </w:r>
                      </w:p>
                    </w:txbxContent>
                  </v:textbox>
                </v:rect>
                <v:rect id="Rectangle 202131" o:spid="_x0000_s6020" style="position:absolute;left:26343;top:2112;width:5215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idkxwAAAN8AAAAPAAAAZHJzL2Rvd25yZXYueG1sRI9Ba8JA&#10;FITvQv/D8gredJMIIqmriCLm4EVrocdH9pmkZt8u2dXE/vpuodDjMDPfMMv1YFrxoM43lhWk0wQE&#10;cWl1w5WCy/t+sgDhA7LG1jIpeJKH9epltMRc255P9DiHSkQI+xwV1CG4XEpf1mTQT60jjt7VdgZD&#10;lF0ldYd9hJtWZkkylwYbjgs1OtrWVN7Od6Pgc8eu2PeyvH5v3fGrWLSH++VDqfHrsHkDEWgI/+G/&#10;dqEVZEmWzlL4/RO/gFz9AAAA//8DAFBLAQItABQABgAIAAAAIQDb4fbL7gAAAIUBAAATAAAAAAAA&#10;AAAAAAAAAAAAAABbQ29udGVudF9UeXBlc10ueG1sUEsBAi0AFAAGAAgAAAAhAFr0LFu/AAAAFQEA&#10;AAsAAAAAAAAAAAAAAAAAHwEAAF9yZWxzLy5yZWxzUEsBAi0AFAAGAAgAAAAhABkeJ2THAAAA3wAA&#10;AA8AAAAAAAAAAAAAAAAABwIAAGRycy9kb3ducmV2LnhtbFBLBQYAAAAAAwADALcAAAD7AgAAAAA=&#10;" filled="f" stroked="f">
                  <v:textbox inset="0,0,0,0">
                    <w:txbxContent>
                      <w:p w14:paraId="646B2799" w14:textId="77777777" w:rsidR="00B32EF2" w:rsidRDefault="00000000">
                        <w:r>
                          <w:rPr>
                            <w:rFonts w:ascii="Arial" w:eastAsia="Arial" w:hAnsi="Arial" w:cs="Arial"/>
                            <w:sz w:val="18"/>
                          </w:rPr>
                          <w:t>2</w:t>
                        </w:r>
                      </w:p>
                    </w:txbxContent>
                  </v:textbox>
                </v:rect>
                <v:rect id="Rectangle 21723" o:spid="_x0000_s6021" style="position:absolute;left:193;top:2112;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Y+xwAAAN4AAAAPAAAAZHJzL2Rvd25yZXYueG1sRI9Pa8JA&#10;FMTvgt9heYI33ZiCldRVRJHm0Ev9Az0+ss8kbfbtkl1N7Kd3CwWPw8z8hlmue9OIG7W+tqxgNk1A&#10;EBdW11wqOB33kwUIH5A1NpZJwZ08rFfDwRIzbTv+pNshlCJC2GeooArBZVL6oiKDfmodcfQutjUY&#10;omxLqVvsItw0Mk2SuTRYc1yo0NG2ouLncDUKvnbs8n0ni8vv1n1854vm/Xo6KzUe9Zs3EIH68Az/&#10;t3OtIJ29pi/wdydeAbl6AAAA//8DAFBLAQItABQABgAIAAAAIQDb4fbL7gAAAIUBAAATAAAAAAAA&#10;AAAAAAAAAAAAAABbQ29udGVudF9UeXBlc10ueG1sUEsBAi0AFAAGAAgAAAAhAFr0LFu/AAAAFQEA&#10;AAsAAAAAAAAAAAAAAAAAHwEAAF9yZWxzLy5yZWxzUEsBAi0AFAAGAAgAAAAhAMStxj7HAAAA3gAA&#10;AA8AAAAAAAAAAAAAAAAABwIAAGRycy9kb3ducmV2LnhtbFBLBQYAAAAAAwADALcAAAD7AgAAAAA=&#10;" filled="f" stroked="f">
                  <v:textbox inset="0,0,0,0">
                    <w:txbxContent>
                      <w:p w14:paraId="57C31AAB" w14:textId="77777777" w:rsidR="00B32EF2" w:rsidRDefault="00000000">
                        <w:r>
                          <w:rPr>
                            <w:rFonts w:ascii="Arial" w:eastAsia="Arial" w:hAnsi="Arial" w:cs="Arial"/>
                            <w:sz w:val="18"/>
                          </w:rPr>
                          <w:t>-</w:t>
                        </w:r>
                      </w:p>
                    </w:txbxContent>
                  </v:textbox>
                </v:rect>
                <v:rect id="Rectangle 21724" o:spid="_x0000_s6022" style="position:absolute;left:-13170;top:8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F5KxwAAAN4AAAAPAAAAZHJzL2Rvd25yZXYueG1sRI9Pa8JA&#10;FMTvgt9heYI33RiKldRVRJHm0Ev9Az0+ss8kbfbtkl1N7Kd3CwWPw8z8hlmue9OIG7W+tqxgNk1A&#10;EBdW11wqOB33kwUIH5A1NpZJwZ08rFfDwRIzbTv+pNshlCJC2GeooArBZVL6oiKDfmodcfQutjUY&#10;omxLqVvsItw0Mk2SuTRYc1yo0NG2ouLncDUKvnbs8n0ni8vv1n1854vm/Xo6KzUe9Zs3EIH68Az/&#10;t3OtIJ29pi/wdydeAbl6AAAA//8DAFBLAQItABQABgAIAAAAIQDb4fbL7gAAAIUBAAATAAAAAAAA&#10;AAAAAAAAAAAAAABbQ29udGVudF9UeXBlc10ueG1sUEsBAi0AFAAGAAgAAAAhAFr0LFu/AAAAFQEA&#10;AAsAAAAAAAAAAAAAAAAAHwEAAF9yZWxzLy5yZWxzUEsBAi0AFAAGAAgAAAAhAEtEXkrHAAAA3gAA&#10;AA8AAAAAAAAAAAAAAAAABwIAAGRycy9kb3ducmV2LnhtbFBLBQYAAAAAAwADALcAAAD7AgAAAAA=&#10;" filled="f" stroked="f">
                  <v:textbox inset="0,0,0,0">
                    <w:txbxContent>
                      <w:p w14:paraId="06101337" w14:textId="77777777" w:rsidR="00B32EF2" w:rsidRDefault="00000000">
                        <w:r>
                          <w:rPr>
                            <w:rFonts w:ascii="Arial" w:eastAsia="Arial" w:hAnsi="Arial" w:cs="Arial"/>
                            <w:sz w:val="18"/>
                          </w:rPr>
                          <w:t xml:space="preserve">toposto alla sanzione della censura è eleggibile dopo tre anni dalla data del </w:t>
                        </w:r>
                      </w:p>
                    </w:txbxContent>
                  </v:textbox>
                </v:rect>
                <v:rect id="Rectangle 21725" o:spid="_x0000_s6023" style="position:absolute;left:-12748;top:-354;width:5266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PvRxwAAAN4AAAAPAAAAZHJzL2Rvd25yZXYueG1sRI9Pa8JA&#10;FMTvgt9heYI33RioldRVRJHm0Ev9Az0+ss8kbfbtkl1N7Kd3CwWPw8z8hlmue9OIG7W+tqxgNk1A&#10;EBdW11wqOB33kwUIH5A1NpZJwZ08rFfDwRIzbTv+pNshlCJC2GeooArBZVL6oiKDfmodcfQutjUY&#10;omxLqVvsItw0Mk2SuTRYc1yo0NG2ouLncDUKvnbs8n0ni8vv1n1854vm/Xo6KzUe9Zs3EIH68Az/&#10;t3OtIJ29pi/wdydeAbl6AAAA//8DAFBLAQItABQABgAIAAAAIQDb4fbL7gAAAIUBAAATAAAAAAAA&#10;AAAAAAAAAAAAAABbQ29udGVudF9UeXBlc10ueG1sUEsBAi0AFAAGAAgAAAAhAFr0LFu/AAAAFQEA&#10;AAsAAAAAAAAAAAAAAAAAHwEAAF9yZWxzLy5yZWxzUEsBAi0AFAAGAAgAAAAhACQI+9HHAAAA3gAA&#10;AA8AAAAAAAAAAAAAAAAABwIAAGRycy9kb3ducmV2LnhtbFBLBQYAAAAAAwADALcAAAD7AgAAAAA=&#10;" filled="f" stroked="f">
                  <v:textbox inset="0,0,0,0">
                    <w:txbxContent>
                      <w:p w14:paraId="5CCF3F09" w14:textId="77777777" w:rsidR="00B32EF2" w:rsidRDefault="00000000">
                        <w:r>
                          <w:rPr>
                            <w:rFonts w:ascii="Arial" w:eastAsia="Arial" w:hAnsi="Arial" w:cs="Arial"/>
                            <w:sz w:val="18"/>
                          </w:rPr>
                          <w:t>relativo provvedimento, se non gli è stata applicata altra sanzione disciplinare.</w:t>
                        </w:r>
                      </w:p>
                    </w:txbxContent>
                  </v:textbox>
                </v:rect>
                <w10:anchorlock/>
              </v:group>
            </w:pict>
          </mc:Fallback>
        </mc:AlternateContent>
      </w:r>
    </w:p>
    <w:p w14:paraId="4C5D78E8" w14:textId="77777777" w:rsidR="00B32EF2" w:rsidRDefault="00000000">
      <w:pPr>
        <w:spacing w:after="367"/>
        <w:ind w:left="-1440" w:right="7064"/>
      </w:pPr>
      <w:r>
        <w:rPr>
          <w:noProof/>
        </w:rPr>
        <mc:AlternateContent>
          <mc:Choice Requires="wpg">
            <w:drawing>
              <wp:anchor distT="0" distB="0" distL="114300" distR="114300" simplePos="0" relativeHeight="251673600" behindDoc="0" locked="0" layoutInCell="1" allowOverlap="1" wp14:anchorId="42DFB70E" wp14:editId="1B7E68FB">
                <wp:simplePos x="0" y="0"/>
                <wp:positionH relativeFrom="page">
                  <wp:posOffset>2632944</wp:posOffset>
                </wp:positionH>
                <wp:positionV relativeFrom="page">
                  <wp:posOffset>397149</wp:posOffset>
                </wp:positionV>
                <wp:extent cx="134112" cy="188456"/>
                <wp:effectExtent l="0" t="0" r="0" b="0"/>
                <wp:wrapTopAndBottom/>
                <wp:docPr id="202129" name="Group 202129"/>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21807" name="Rectangle 21807"/>
                        <wps:cNvSpPr/>
                        <wps:spPr>
                          <a:xfrm rot="-10799999">
                            <a:off x="-44256" y="-62190"/>
                            <a:ext cx="178369" cy="250646"/>
                          </a:xfrm>
                          <a:prstGeom prst="rect">
                            <a:avLst/>
                          </a:prstGeom>
                          <a:ln>
                            <a:noFill/>
                          </a:ln>
                        </wps:spPr>
                        <wps:txbx>
                          <w:txbxContent>
                            <w:p w14:paraId="6C8B3BE4" w14:textId="77777777" w:rsidR="00B32EF2" w:rsidRDefault="00000000">
                              <w:r>
                                <w:rPr>
                                  <w:rFonts w:ascii="Times New Roman" w:eastAsia="Times New Roman" w:hAnsi="Times New Roman" w:cs="Times New Roman"/>
                                </w:rPr>
                                <w:t>30</w:t>
                              </w:r>
                            </w:p>
                          </w:txbxContent>
                        </wps:txbx>
                        <wps:bodyPr horzOverflow="overflow" vert="horz" lIns="0" tIns="0" rIns="0" bIns="0" rtlCol="0">
                          <a:noAutofit/>
                        </wps:bodyPr>
                      </wps:wsp>
                    </wpg:wgp>
                  </a:graphicData>
                </a:graphic>
              </wp:anchor>
            </w:drawing>
          </mc:Choice>
          <mc:Fallback>
            <w:pict>
              <v:group w14:anchorId="42DFB70E" id="Group 202129" o:spid="_x0000_s6024" style="position:absolute;left:0;text-align:left;margin-left:207.3pt;margin-top:31.25pt;width:10.55pt;height:14.85pt;z-index:251673600;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etGwIAAIEEAAAOAAAAZHJzL2Uyb0RvYy54bWyklNtu3CAQhu8r9R0Q97s+xPF6rfVGVdOs&#10;KlVNlLQPwGJ8kDAgYNfePn0HfNg2kXqR+gIPAx7++Zjx7m7oODozbVopChytQ4yYoLJsRV3gnz8e&#10;VhlGxhJREi4FK/CFGXy3//hh16ucxbKRvGQaQRBh8l4VuLFW5UFgaMM6YtZSMQGLldQdsTDVdVBq&#10;0kP0jgdxGKZBL3WptKTMGPDej4t47+NXFaP2saoMs4gXGLRZP2o/Ht0Y7HckrzVRTUsnGeQdKjrS&#10;Cjh0CXVPLEEn3b4J1bVUSyMru6ayC2RVtZT5HCCbKHyVzUHLk/K51HlfqwUToH3F6d1h6ffzQasX&#10;9aSBRK9qYOFnLpeh0p17g0o0eGSXBRkbLKLgjG6SKIoxorAUZVlym45IaQPc33xFmy///C6YDw3+&#10;ktIrKA5zzd/8X/4vDVHMYzU55P+kUVsWOI6ycIORIB2U6TMUDhE1Z2h0ezh+94LK5AaozZyQllBb&#10;qyjcbN3ja2HitkqSGLAgILRK42g7Fd1CcJPdpNuRYHwbpoknuJAgudLGHpjskDMKrEGaD0/O34wF&#10;YbB13uLUcOFGIR9azsdV5wGgs2Bn2eE4+KyTTRa5G3POoywvAKOR+tcjtHTFZV9gOVnYdTkc71Yx&#10;4l8FXIJrqNnQs3GcDW35Z+nbbhT06WRl1XrF19MmZXC73vJ17lOaetI10p9zv+v659j/BgAA//8D&#10;AFBLAwQUAAYACAAAACEA9+BjMOAAAAAJAQAADwAAAGRycy9kb3ducmV2LnhtbEyPQU+DQBCF7yb+&#10;h82YeLMLFFCRoWka9dQ0sTUx3qYwBVJ2l7BboP/e9aTHyfvy3jf5aladGHmwrdEI4SIAwbo0Vatr&#10;hM/D28MTCOtIV9QZzQhXtrAqbm9yyioz6Q8e964WvkTbjBAa5/pMSls2rMguTM/aZyczKHL+HGpZ&#10;DTT5ctXJKAhSqajVfqGhnjcNl+f9RSG8TzStl+HruD2fNtfvQ7L72oaMeH83r19AOJ7dHwy/+l4d&#10;Cu90NBddWdEhxGGcehQhjRIQHoiXySOII8JzFIEscvn/g+IHAAD//wMAUEsBAi0AFAAGAAgAAAAh&#10;ALaDOJL+AAAA4QEAABMAAAAAAAAAAAAAAAAAAAAAAFtDb250ZW50X1R5cGVzXS54bWxQSwECLQAU&#10;AAYACAAAACEAOP0h/9YAAACUAQAACwAAAAAAAAAAAAAAAAAvAQAAX3JlbHMvLnJlbHNQSwECLQAU&#10;AAYACAAAACEAFU2HrRsCAACBBAAADgAAAAAAAAAAAAAAAAAuAgAAZHJzL2Uyb0RvYy54bWxQSwEC&#10;LQAUAAYACAAAACEA9+BjMOAAAAAJAQAADwAAAAAAAAAAAAAAAAB1BAAAZHJzL2Rvd25yZXYueG1s&#10;UEsFBgAAAAAEAAQA8wAAAIIFAAAAAA==&#10;">
                <v:rect id="Rectangle 21807" o:spid="_x0000_s6025"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wgLxgAAAN4AAAAPAAAAZHJzL2Rvd25yZXYueG1sRI9Ba8JA&#10;FITvQv/D8gredKMHG1JXEUXMoZdqCj0+ss8kNft2ya4m9de7hYLHYWa+YZbrwbTiRp1vLCuYTRMQ&#10;xKXVDVcKitN+koLwAVlja5kU/JKH9epltMRM254/6XYMlYgQ9hkqqENwmZS+rMmgn1pHHL2z7QyG&#10;KLtK6g77CDetnCfJQhpsOC7U6GhbU3k5Xo2C7x27fN/L8nzfuo+fPG0P1+JLqfHrsHkHEWgIz/B/&#10;O9cK5rM0eYO/O/EKyNUDAAD//wMAUEsBAi0AFAAGAAgAAAAhANvh9svuAAAAhQEAABMAAAAAAAAA&#10;AAAAAAAAAAAAAFtDb250ZW50X1R5cGVzXS54bWxQSwECLQAUAAYACAAAACEAWvQsW78AAAAVAQAA&#10;CwAAAAAAAAAAAAAAAAAfAQAAX3JlbHMvLnJlbHNQSwECLQAUAAYACAAAACEABpcIC8YAAADeAAAA&#10;DwAAAAAAAAAAAAAAAAAHAgAAZHJzL2Rvd25yZXYueG1sUEsFBgAAAAADAAMAtwAAAPoCAAAAAA==&#10;" filled="f" stroked="f">
                  <v:textbox inset="0,0,0,0">
                    <w:txbxContent>
                      <w:p w14:paraId="6C8B3BE4" w14:textId="77777777" w:rsidR="00B32EF2" w:rsidRDefault="00000000">
                        <w:r>
                          <w:rPr>
                            <w:rFonts w:ascii="Times New Roman" w:eastAsia="Times New Roman" w:hAnsi="Times New Roman" w:cs="Times New Roman"/>
                          </w:rPr>
                          <w:t>30</w:t>
                        </w:r>
                      </w:p>
                    </w:txbxContent>
                  </v:textbox>
                </v:rect>
                <w10:wrap type="topAndBottom" anchorx="page" anchory="page"/>
              </v:group>
            </w:pict>
          </mc:Fallback>
        </mc:AlternateContent>
      </w:r>
    </w:p>
    <w:p w14:paraId="38F434FF" w14:textId="77777777" w:rsidR="00B32EF2" w:rsidRDefault="00000000">
      <w:pPr>
        <w:spacing w:after="0"/>
        <w:ind w:left="-357" w:right="-306"/>
      </w:pPr>
      <w:r>
        <w:rPr>
          <w:noProof/>
        </w:rPr>
        <w:lastRenderedPageBreak/>
        <mc:AlternateContent>
          <mc:Choice Requires="wpg">
            <w:drawing>
              <wp:inline distT="0" distB="0" distL="0" distR="0" wp14:anchorId="5B8E374E" wp14:editId="79EC882B">
                <wp:extent cx="3991996" cy="5712135"/>
                <wp:effectExtent l="0" t="0" r="0" b="0"/>
                <wp:docPr id="202130" name="Group 202130"/>
                <wp:cNvGraphicFramePr/>
                <a:graphic xmlns:a="http://schemas.openxmlformats.org/drawingml/2006/main">
                  <a:graphicData uri="http://schemas.microsoft.com/office/word/2010/wordprocessingGroup">
                    <wpg:wgp>
                      <wpg:cNvGrpSpPr/>
                      <wpg:grpSpPr>
                        <a:xfrm>
                          <a:off x="0" y="0"/>
                          <a:ext cx="3991996" cy="5712135"/>
                          <a:chOff x="0" y="0"/>
                          <a:chExt cx="3991996" cy="5712135"/>
                        </a:xfrm>
                      </wpg:grpSpPr>
                      <wps:wsp>
                        <wps:cNvPr id="21808" name="Rectangle 21808"/>
                        <wps:cNvSpPr/>
                        <wps:spPr>
                          <a:xfrm rot="-10799999">
                            <a:off x="-1317038" y="5569246"/>
                            <a:ext cx="5309036" cy="142890"/>
                          </a:xfrm>
                          <a:prstGeom prst="rect">
                            <a:avLst/>
                          </a:prstGeom>
                          <a:ln>
                            <a:noFill/>
                          </a:ln>
                        </wps:spPr>
                        <wps:txbx>
                          <w:txbxContent>
                            <w:p w14:paraId="04B7F38E" w14:textId="77777777" w:rsidR="00B32EF2" w:rsidRDefault="00000000">
                              <w:r>
                                <w:rPr>
                                  <w:rFonts w:ascii="Arial" w:eastAsia="Arial" w:hAnsi="Arial" w:cs="Arial"/>
                                  <w:sz w:val="18"/>
                                </w:rPr>
                                <w:t xml:space="preserve">a) il reiterato o grave ritardo nel compimento degli atti relativi all’esercizio delle </w:t>
                              </w:r>
                            </w:p>
                          </w:txbxContent>
                        </wps:txbx>
                        <wps:bodyPr horzOverflow="overflow" vert="horz" lIns="0" tIns="0" rIns="0" bIns="0" rtlCol="0">
                          <a:noAutofit/>
                        </wps:bodyPr>
                      </wps:wsp>
                      <wps:wsp>
                        <wps:cNvPr id="21809" name="Rectangle 21809"/>
                        <wps:cNvSpPr/>
                        <wps:spPr>
                          <a:xfrm rot="-10799999">
                            <a:off x="3420239" y="5442258"/>
                            <a:ext cx="572215" cy="142890"/>
                          </a:xfrm>
                          <a:prstGeom prst="rect">
                            <a:avLst/>
                          </a:prstGeom>
                          <a:ln>
                            <a:noFill/>
                          </a:ln>
                        </wps:spPr>
                        <wps:txbx>
                          <w:txbxContent>
                            <w:p w14:paraId="4F256C83" w14:textId="77777777" w:rsidR="00B32EF2" w:rsidRDefault="00000000">
                              <w:r>
                                <w:rPr>
                                  <w:rFonts w:ascii="Arial" w:eastAsia="Arial" w:hAnsi="Arial" w:cs="Arial"/>
                                  <w:sz w:val="18"/>
                                </w:rPr>
                                <w:t>funzioni;</w:t>
                              </w:r>
                            </w:p>
                          </w:txbxContent>
                        </wps:txbx>
                        <wps:bodyPr horzOverflow="overflow" vert="horz" lIns="0" tIns="0" rIns="0" bIns="0" rtlCol="0">
                          <a:noAutofit/>
                        </wps:bodyPr>
                      </wps:wsp>
                      <wps:wsp>
                        <wps:cNvPr id="21810" name="Rectangle 21810"/>
                        <wps:cNvSpPr/>
                        <wps:spPr>
                          <a:xfrm rot="-10799999">
                            <a:off x="-1316963" y="5315272"/>
                            <a:ext cx="5308960" cy="142889"/>
                          </a:xfrm>
                          <a:prstGeom prst="rect">
                            <a:avLst/>
                          </a:prstGeom>
                          <a:ln>
                            <a:noFill/>
                          </a:ln>
                        </wps:spPr>
                        <wps:txbx>
                          <w:txbxContent>
                            <w:p w14:paraId="23D08B89" w14:textId="77777777" w:rsidR="00B32EF2" w:rsidRDefault="00000000">
                              <w:r>
                                <w:rPr>
                                  <w:rFonts w:ascii="Arial" w:eastAsia="Arial" w:hAnsi="Arial" w:cs="Arial"/>
                                  <w:sz w:val="18"/>
                                </w:rPr>
                                <w:t xml:space="preserve">b) i comportamenti che, violando i doveri di cui al comma 2, arrecano grave e </w:t>
                              </w:r>
                            </w:p>
                          </w:txbxContent>
                        </wps:txbx>
                        <wps:bodyPr horzOverflow="overflow" vert="horz" lIns="0" tIns="0" rIns="0" bIns="0" rtlCol="0">
                          <a:noAutofit/>
                        </wps:bodyPr>
                      </wps:wsp>
                      <wps:wsp>
                        <wps:cNvPr id="21811" name="Rectangle 21811"/>
                        <wps:cNvSpPr/>
                        <wps:spPr>
                          <a:xfrm rot="-10799999">
                            <a:off x="400182" y="5188284"/>
                            <a:ext cx="3591814" cy="142889"/>
                          </a:xfrm>
                          <a:prstGeom prst="rect">
                            <a:avLst/>
                          </a:prstGeom>
                          <a:ln>
                            <a:noFill/>
                          </a:ln>
                        </wps:spPr>
                        <wps:txbx>
                          <w:txbxContent>
                            <w:p w14:paraId="33FB3E5F" w14:textId="77777777" w:rsidR="00B32EF2" w:rsidRDefault="00000000">
                              <w:r>
                                <w:rPr>
                                  <w:rFonts w:ascii="Arial" w:eastAsia="Arial" w:hAnsi="Arial" w:cs="Arial"/>
                                  <w:sz w:val="18"/>
                                </w:rPr>
                                <w:t>ingiusto danno o indebito vantaggio a una delle parti;</w:t>
                              </w:r>
                            </w:p>
                          </w:txbxContent>
                        </wps:txbx>
                        <wps:bodyPr horzOverflow="overflow" vert="horz" lIns="0" tIns="0" rIns="0" bIns="0" rtlCol="0">
                          <a:noAutofit/>
                        </wps:bodyPr>
                      </wps:wsp>
                      <wps:wsp>
                        <wps:cNvPr id="21812" name="Rectangle 21812"/>
                        <wps:cNvSpPr/>
                        <wps:spPr>
                          <a:xfrm rot="-10799999">
                            <a:off x="-1317054" y="5061296"/>
                            <a:ext cx="5309051" cy="142889"/>
                          </a:xfrm>
                          <a:prstGeom prst="rect">
                            <a:avLst/>
                          </a:prstGeom>
                          <a:ln>
                            <a:noFill/>
                          </a:ln>
                        </wps:spPr>
                        <wps:txbx>
                          <w:txbxContent>
                            <w:p w14:paraId="081F5BCB" w14:textId="77777777" w:rsidR="00B32EF2" w:rsidRDefault="00000000">
                              <w:r>
                                <w:rPr>
                                  <w:rFonts w:ascii="Arial" w:eastAsia="Arial" w:hAnsi="Arial" w:cs="Arial"/>
                                  <w:sz w:val="18"/>
                                </w:rPr>
                                <w:t xml:space="preserve">c) l’uso della qualità di giudice tributario al fine di conseguire vantaggi ingiusti, </w:t>
                              </w:r>
                            </w:p>
                          </w:txbxContent>
                        </wps:txbx>
                        <wps:bodyPr horzOverflow="overflow" vert="horz" lIns="0" tIns="0" rIns="0" bIns="0" rtlCol="0">
                          <a:noAutofit/>
                        </wps:bodyPr>
                      </wps:wsp>
                      <wps:wsp>
                        <wps:cNvPr id="21813" name="Rectangle 21813"/>
                        <wps:cNvSpPr/>
                        <wps:spPr>
                          <a:xfrm rot="-10799999">
                            <a:off x="2660782" y="4934310"/>
                            <a:ext cx="1331215" cy="142889"/>
                          </a:xfrm>
                          <a:prstGeom prst="rect">
                            <a:avLst/>
                          </a:prstGeom>
                          <a:ln>
                            <a:noFill/>
                          </a:ln>
                        </wps:spPr>
                        <wps:txbx>
                          <w:txbxContent>
                            <w:p w14:paraId="4D212721" w14:textId="77777777" w:rsidR="00B32EF2" w:rsidRDefault="00000000">
                              <w:r>
                                <w:rPr>
                                  <w:rFonts w:ascii="Arial" w:eastAsia="Arial" w:hAnsi="Arial" w:cs="Arial"/>
                                  <w:sz w:val="18"/>
                                </w:rPr>
                                <w:t>se abituale e grave;</w:t>
                              </w:r>
                            </w:p>
                          </w:txbxContent>
                        </wps:txbx>
                        <wps:bodyPr horzOverflow="overflow" vert="horz" lIns="0" tIns="0" rIns="0" bIns="0" rtlCol="0">
                          <a:noAutofit/>
                        </wps:bodyPr>
                      </wps:wsp>
                      <wps:wsp>
                        <wps:cNvPr id="21814" name="Rectangle 21814"/>
                        <wps:cNvSpPr/>
                        <wps:spPr>
                          <a:xfrm rot="-10799999">
                            <a:off x="-1220325" y="4807322"/>
                            <a:ext cx="5212321" cy="142889"/>
                          </a:xfrm>
                          <a:prstGeom prst="rect">
                            <a:avLst/>
                          </a:prstGeom>
                          <a:ln>
                            <a:noFill/>
                          </a:ln>
                        </wps:spPr>
                        <wps:txbx>
                          <w:txbxContent>
                            <w:p w14:paraId="3489EC5B" w14:textId="77777777" w:rsidR="00B32EF2" w:rsidRDefault="00000000">
                              <w:r>
                                <w:rPr>
                                  <w:rFonts w:ascii="Arial" w:eastAsia="Arial" w:hAnsi="Arial" w:cs="Arial"/>
                                  <w:sz w:val="18"/>
                                </w:rPr>
                                <w:t>d) il frequentare persona che consti essere stata dichiarata delinquente abi</w:t>
                              </w:r>
                            </w:p>
                          </w:txbxContent>
                        </wps:txbx>
                        <wps:bodyPr horzOverflow="overflow" vert="horz" lIns="0" tIns="0" rIns="0" bIns="0" rtlCol="0">
                          <a:noAutofit/>
                        </wps:bodyPr>
                      </wps:wsp>
                      <wps:wsp>
                        <wps:cNvPr id="21815" name="Rectangle 21815"/>
                        <wps:cNvSpPr/>
                        <wps:spPr>
                          <a:xfrm rot="-10799999">
                            <a:off x="19398" y="4807322"/>
                            <a:ext cx="50622" cy="142889"/>
                          </a:xfrm>
                          <a:prstGeom prst="rect">
                            <a:avLst/>
                          </a:prstGeom>
                          <a:ln>
                            <a:noFill/>
                          </a:ln>
                        </wps:spPr>
                        <wps:txbx>
                          <w:txbxContent>
                            <w:p w14:paraId="07B458A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816" name="Rectangle 21816"/>
                        <wps:cNvSpPr/>
                        <wps:spPr>
                          <a:xfrm rot="-10799999">
                            <a:off x="-1317039" y="4680335"/>
                            <a:ext cx="5309035" cy="142889"/>
                          </a:xfrm>
                          <a:prstGeom prst="rect">
                            <a:avLst/>
                          </a:prstGeom>
                          <a:ln>
                            <a:noFill/>
                          </a:ln>
                        </wps:spPr>
                        <wps:txbx>
                          <w:txbxContent>
                            <w:p w14:paraId="56705364" w14:textId="77777777" w:rsidR="00B32EF2" w:rsidRDefault="00000000">
                              <w:r>
                                <w:rPr>
                                  <w:rFonts w:ascii="Arial" w:eastAsia="Arial" w:hAnsi="Arial" w:cs="Arial"/>
                                  <w:sz w:val="18"/>
                                </w:rPr>
                                <w:t xml:space="preserve">tuale, professionale o per tendenza o aver subito condanna per delitti non </w:t>
                              </w:r>
                            </w:p>
                          </w:txbxContent>
                        </wps:txbx>
                        <wps:bodyPr horzOverflow="overflow" vert="horz" lIns="0" tIns="0" rIns="0" bIns="0" rtlCol="0">
                          <a:noAutofit/>
                        </wps:bodyPr>
                      </wps:wsp>
                      <wps:wsp>
                        <wps:cNvPr id="21817" name="Rectangle 21817"/>
                        <wps:cNvSpPr/>
                        <wps:spPr>
                          <a:xfrm rot="-10799999">
                            <a:off x="-1316963" y="4553348"/>
                            <a:ext cx="5308960" cy="142889"/>
                          </a:xfrm>
                          <a:prstGeom prst="rect">
                            <a:avLst/>
                          </a:prstGeom>
                          <a:ln>
                            <a:noFill/>
                          </a:ln>
                        </wps:spPr>
                        <wps:txbx>
                          <w:txbxContent>
                            <w:p w14:paraId="4FD93BDE" w14:textId="77777777" w:rsidR="00B32EF2" w:rsidRDefault="00000000">
                              <w:r>
                                <w:rPr>
                                  <w:rFonts w:ascii="Arial" w:eastAsia="Arial" w:hAnsi="Arial" w:cs="Arial"/>
                                  <w:sz w:val="18"/>
                                </w:rPr>
                                <w:t xml:space="preserve">colposi alla pena della reclusione superiore a tre anni o essere sottoposta ad </w:t>
                              </w:r>
                            </w:p>
                          </w:txbxContent>
                        </wps:txbx>
                        <wps:bodyPr horzOverflow="overflow" vert="horz" lIns="0" tIns="0" rIns="0" bIns="0" rtlCol="0">
                          <a:noAutofit/>
                        </wps:bodyPr>
                      </wps:wsp>
                      <wps:wsp>
                        <wps:cNvPr id="21818" name="Rectangle 21818"/>
                        <wps:cNvSpPr/>
                        <wps:spPr>
                          <a:xfrm rot="-10799999">
                            <a:off x="-1317009" y="4426361"/>
                            <a:ext cx="5309006" cy="142889"/>
                          </a:xfrm>
                          <a:prstGeom prst="rect">
                            <a:avLst/>
                          </a:prstGeom>
                          <a:ln>
                            <a:noFill/>
                          </a:ln>
                        </wps:spPr>
                        <wps:txbx>
                          <w:txbxContent>
                            <w:p w14:paraId="6C6F8F30" w14:textId="77777777" w:rsidR="00B32EF2" w:rsidRDefault="00000000">
                              <w:r>
                                <w:rPr>
                                  <w:rFonts w:ascii="Arial" w:eastAsia="Arial" w:hAnsi="Arial" w:cs="Arial"/>
                                  <w:sz w:val="18"/>
                                </w:rPr>
                                <w:t xml:space="preserve">una misura di prevenzione, salvo che sia intervenuta la riabilitazione, ovvero </w:t>
                              </w:r>
                            </w:p>
                          </w:txbxContent>
                        </wps:txbx>
                        <wps:bodyPr horzOverflow="overflow" vert="horz" lIns="0" tIns="0" rIns="0" bIns="0" rtlCol="0">
                          <a:noAutofit/>
                        </wps:bodyPr>
                      </wps:wsp>
                      <wps:wsp>
                        <wps:cNvPr id="21819" name="Rectangle 21819"/>
                        <wps:cNvSpPr/>
                        <wps:spPr>
                          <a:xfrm rot="-10799999">
                            <a:off x="-467648" y="4299373"/>
                            <a:ext cx="4459645" cy="142889"/>
                          </a:xfrm>
                          <a:prstGeom prst="rect">
                            <a:avLst/>
                          </a:prstGeom>
                          <a:ln>
                            <a:noFill/>
                          </a:ln>
                        </wps:spPr>
                        <wps:txbx>
                          <w:txbxContent>
                            <w:p w14:paraId="21C61B15" w14:textId="77777777" w:rsidR="00B32EF2" w:rsidRDefault="00000000">
                              <w:r>
                                <w:rPr>
                                  <w:rFonts w:ascii="Arial" w:eastAsia="Arial" w:hAnsi="Arial" w:cs="Arial"/>
                                  <w:sz w:val="18"/>
                                </w:rPr>
                                <w:t>l’intrattenere rapporti consapevoli di affari con una di tali persone.</w:t>
                              </w:r>
                            </w:p>
                          </w:txbxContent>
                        </wps:txbx>
                        <wps:bodyPr horzOverflow="overflow" vert="horz" lIns="0" tIns="0" rIns="0" bIns="0" rtlCol="0">
                          <a:noAutofit/>
                        </wps:bodyPr>
                      </wps:wsp>
                      <wps:wsp>
                        <wps:cNvPr id="202104" name="Rectangle 202104"/>
                        <wps:cNvSpPr/>
                        <wps:spPr>
                          <a:xfrm rot="-10799999">
                            <a:off x="2611057" y="4172387"/>
                            <a:ext cx="5309477" cy="142889"/>
                          </a:xfrm>
                          <a:prstGeom prst="rect">
                            <a:avLst/>
                          </a:prstGeom>
                          <a:ln>
                            <a:noFill/>
                          </a:ln>
                        </wps:spPr>
                        <wps:txbx>
                          <w:txbxContent>
                            <w:p w14:paraId="39CFD3F3"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02111" name="Rectangle 202111"/>
                        <wps:cNvSpPr/>
                        <wps:spPr>
                          <a:xfrm rot="-10799999">
                            <a:off x="-1381213" y="4172387"/>
                            <a:ext cx="5309477" cy="142889"/>
                          </a:xfrm>
                          <a:prstGeom prst="rect">
                            <a:avLst/>
                          </a:prstGeom>
                          <a:ln>
                            <a:noFill/>
                          </a:ln>
                        </wps:spPr>
                        <wps:txbx>
                          <w:txbxContent>
                            <w:p w14:paraId="0B1F99CA" w14:textId="77777777" w:rsidR="00B32EF2" w:rsidRDefault="00000000">
                              <w:r>
                                <w:rPr>
                                  <w:rFonts w:ascii="Arial" w:eastAsia="Arial" w:hAnsi="Arial" w:cs="Arial"/>
                                  <w:sz w:val="18"/>
                                </w:rPr>
                                <w:t xml:space="preserve">. Si applica la sanzione dell’incapacità a esercitare un incarico direttivo per </w:t>
                              </w:r>
                            </w:p>
                          </w:txbxContent>
                        </wps:txbx>
                        <wps:bodyPr horzOverflow="overflow" vert="horz" lIns="0" tIns="0" rIns="0" bIns="0" rtlCol="0">
                          <a:noAutofit/>
                        </wps:bodyPr>
                      </wps:wsp>
                      <wps:wsp>
                        <wps:cNvPr id="21821" name="Rectangle 21821"/>
                        <wps:cNvSpPr/>
                        <wps:spPr>
                          <a:xfrm rot="-10799999">
                            <a:off x="-1220567" y="4045399"/>
                            <a:ext cx="5212565" cy="142889"/>
                          </a:xfrm>
                          <a:prstGeom prst="rect">
                            <a:avLst/>
                          </a:prstGeom>
                          <a:ln>
                            <a:noFill/>
                          </a:ln>
                        </wps:spPr>
                        <wps:txbx>
                          <w:txbxContent>
                            <w:p w14:paraId="141B630B" w14:textId="77777777" w:rsidR="00B32EF2" w:rsidRDefault="00000000">
                              <w:r>
                                <w:rPr>
                                  <w:rFonts w:ascii="Arial" w:eastAsia="Arial" w:hAnsi="Arial" w:cs="Arial"/>
                                  <w:sz w:val="18"/>
                                </w:rPr>
                                <w:t>l’interferenza, nell’attività di altro giudice tributario, da parte del presidente del</w:t>
                              </w:r>
                            </w:p>
                          </w:txbxContent>
                        </wps:txbx>
                        <wps:bodyPr horzOverflow="overflow" vert="horz" lIns="0" tIns="0" rIns="0" bIns="0" rtlCol="0">
                          <a:noAutofit/>
                        </wps:bodyPr>
                      </wps:wsp>
                      <wps:wsp>
                        <wps:cNvPr id="21822" name="Rectangle 21822"/>
                        <wps:cNvSpPr/>
                        <wps:spPr>
                          <a:xfrm rot="-10799999">
                            <a:off x="19398" y="4045399"/>
                            <a:ext cx="50622" cy="142889"/>
                          </a:xfrm>
                          <a:prstGeom prst="rect">
                            <a:avLst/>
                          </a:prstGeom>
                          <a:ln>
                            <a:noFill/>
                          </a:ln>
                        </wps:spPr>
                        <wps:txbx>
                          <w:txbxContent>
                            <w:p w14:paraId="6DDB525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823" name="Rectangle 21823"/>
                        <wps:cNvSpPr/>
                        <wps:spPr>
                          <a:xfrm rot="-10799999">
                            <a:off x="1021287" y="3918412"/>
                            <a:ext cx="2970710" cy="142889"/>
                          </a:xfrm>
                          <a:prstGeom prst="rect">
                            <a:avLst/>
                          </a:prstGeom>
                          <a:ln>
                            <a:noFill/>
                          </a:ln>
                        </wps:spPr>
                        <wps:txbx>
                          <w:txbxContent>
                            <w:p w14:paraId="554B9EEC" w14:textId="77777777" w:rsidR="00B32EF2" w:rsidRDefault="00000000">
                              <w:r>
                                <w:rPr>
                                  <w:rFonts w:ascii="Arial" w:eastAsia="Arial" w:hAnsi="Arial" w:cs="Arial"/>
                                  <w:sz w:val="18"/>
                                </w:rPr>
                                <w:t>la corte o della sezione, se ripetuta o grave.</w:t>
                              </w:r>
                            </w:p>
                          </w:txbxContent>
                        </wps:txbx>
                        <wps:bodyPr horzOverflow="overflow" vert="horz" lIns="0" tIns="0" rIns="0" bIns="0" rtlCol="0">
                          <a:noAutofit/>
                        </wps:bodyPr>
                      </wps:wsp>
                      <wps:wsp>
                        <wps:cNvPr id="202101" name="Rectangle 202101"/>
                        <wps:cNvSpPr/>
                        <wps:spPr>
                          <a:xfrm rot="-10799999">
                            <a:off x="-1369590" y="3791424"/>
                            <a:ext cx="5309021" cy="142889"/>
                          </a:xfrm>
                          <a:prstGeom prst="rect">
                            <a:avLst/>
                          </a:prstGeom>
                          <a:ln>
                            <a:noFill/>
                          </a:ln>
                        </wps:spPr>
                        <wps:txbx>
                          <w:txbxContent>
                            <w:p w14:paraId="5370EF94" w14:textId="77777777" w:rsidR="00B32EF2" w:rsidRDefault="00000000">
                              <w:r>
                                <w:rPr>
                                  <w:rFonts w:ascii="Arial" w:eastAsia="Arial" w:hAnsi="Arial" w:cs="Arial"/>
                                  <w:sz w:val="18"/>
                                </w:rPr>
                                <w:t xml:space="preserve">. Si applica la rimozione dall’incarico nei casi di recidiva in trasgressioni di cui </w:t>
                              </w:r>
                            </w:p>
                          </w:txbxContent>
                        </wps:txbx>
                        <wps:bodyPr horzOverflow="overflow" vert="horz" lIns="0" tIns="0" rIns="0" bIns="0" rtlCol="0">
                          <a:noAutofit/>
                        </wps:bodyPr>
                      </wps:wsp>
                      <wps:wsp>
                        <wps:cNvPr id="202099" name="Rectangle 202099"/>
                        <wps:cNvSpPr/>
                        <wps:spPr>
                          <a:xfrm rot="-10799999">
                            <a:off x="2611170" y="3791424"/>
                            <a:ext cx="5309020" cy="142889"/>
                          </a:xfrm>
                          <a:prstGeom prst="rect">
                            <a:avLst/>
                          </a:prstGeom>
                          <a:ln>
                            <a:noFill/>
                          </a:ln>
                        </wps:spPr>
                        <wps:txbx>
                          <w:txbxContent>
                            <w:p w14:paraId="62A0F477"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21825" name="Rectangle 21825"/>
                        <wps:cNvSpPr/>
                        <wps:spPr>
                          <a:xfrm rot="-10799999">
                            <a:off x="2952900" y="3664438"/>
                            <a:ext cx="1039096" cy="142889"/>
                          </a:xfrm>
                          <a:prstGeom prst="rect">
                            <a:avLst/>
                          </a:prstGeom>
                          <a:ln>
                            <a:noFill/>
                          </a:ln>
                        </wps:spPr>
                        <wps:txbx>
                          <w:txbxContent>
                            <w:p w14:paraId="569B29B7" w14:textId="77777777" w:rsidR="00B32EF2" w:rsidRDefault="00000000">
                              <w:r>
                                <w:rPr>
                                  <w:rFonts w:ascii="Arial" w:eastAsia="Arial" w:hAnsi="Arial" w:cs="Arial"/>
                                  <w:sz w:val="18"/>
                                </w:rPr>
                                <w:t>ai commi 5 e 6.</w:t>
                              </w:r>
                            </w:p>
                          </w:txbxContent>
                        </wps:txbx>
                        <wps:bodyPr horzOverflow="overflow" vert="horz" lIns="0" tIns="0" rIns="0" bIns="0" rtlCol="0">
                          <a:noAutofit/>
                        </wps:bodyPr>
                      </wps:wsp>
                      <wps:wsp>
                        <wps:cNvPr id="21826" name="Rectangle 21826"/>
                        <wps:cNvSpPr/>
                        <wps:spPr>
                          <a:xfrm rot="-10799999">
                            <a:off x="1507687" y="3417778"/>
                            <a:ext cx="809243" cy="142889"/>
                          </a:xfrm>
                          <a:prstGeom prst="rect">
                            <a:avLst/>
                          </a:prstGeom>
                          <a:ln>
                            <a:noFill/>
                          </a:ln>
                        </wps:spPr>
                        <wps:txbx>
                          <w:txbxContent>
                            <w:p w14:paraId="182B0F79" w14:textId="77777777" w:rsidR="00B32EF2" w:rsidRDefault="00000000">
                              <w:r>
                                <w:rPr>
                                  <w:rFonts w:ascii="Arial" w:eastAsia="Arial" w:hAnsi="Arial" w:cs="Arial"/>
                                  <w:b/>
                                  <w:sz w:val="18"/>
                                </w:rPr>
                                <w:t>Articolo 23</w:t>
                              </w:r>
                            </w:p>
                          </w:txbxContent>
                        </wps:txbx>
                        <wps:bodyPr horzOverflow="overflow" vert="horz" lIns="0" tIns="0" rIns="0" bIns="0" rtlCol="0">
                          <a:noAutofit/>
                        </wps:bodyPr>
                      </wps:wsp>
                      <wps:wsp>
                        <wps:cNvPr id="202097" name="Rectangle 202097"/>
                        <wps:cNvSpPr/>
                        <wps:spPr>
                          <a:xfrm rot="-10799999">
                            <a:off x="1166741" y="3294449"/>
                            <a:ext cx="1937178" cy="142889"/>
                          </a:xfrm>
                          <a:prstGeom prst="rect">
                            <a:avLst/>
                          </a:prstGeom>
                          <a:ln>
                            <a:noFill/>
                          </a:ln>
                        </wps:spPr>
                        <wps:txbx>
                          <w:txbxContent>
                            <w:p w14:paraId="7CFEC56F" w14:textId="77777777" w:rsidR="00B32EF2" w:rsidRDefault="00000000">
                              <w:r>
                                <w:rPr>
                                  <w:rFonts w:ascii="Arial" w:eastAsia="Arial" w:hAnsi="Arial" w:cs="Arial"/>
                                  <w:i/>
                                  <w:sz w:val="18"/>
                                </w:rPr>
                                <w:t xml:space="preserve">articolo 16 D.lgs. n. </w:t>
                              </w:r>
                            </w:p>
                          </w:txbxContent>
                        </wps:txbx>
                        <wps:bodyPr horzOverflow="overflow" vert="horz" lIns="0" tIns="0" rIns="0" bIns="0" rtlCol="0">
                          <a:noAutofit/>
                        </wps:bodyPr>
                      </wps:wsp>
                      <wps:wsp>
                        <wps:cNvPr id="202096" name="Rectangle 202096"/>
                        <wps:cNvSpPr/>
                        <wps:spPr>
                          <a:xfrm rot="-10799999">
                            <a:off x="-254625" y="3294448"/>
                            <a:ext cx="1937178" cy="142889"/>
                          </a:xfrm>
                          <a:prstGeom prst="rect">
                            <a:avLst/>
                          </a:prstGeom>
                          <a:ln>
                            <a:noFill/>
                          </a:ln>
                        </wps:spPr>
                        <wps:txbx>
                          <w:txbxContent>
                            <w:p w14:paraId="10707EF8"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094" name="Rectangle 202094"/>
                        <wps:cNvSpPr/>
                        <wps:spPr>
                          <a:xfrm rot="-10799999">
                            <a:off x="2221466" y="3294449"/>
                            <a:ext cx="1937178" cy="142889"/>
                          </a:xfrm>
                          <a:prstGeom prst="rect">
                            <a:avLst/>
                          </a:prstGeom>
                          <a:ln>
                            <a:noFill/>
                          </a:ln>
                        </wps:spPr>
                        <wps:txbx>
                          <w:txbxContent>
                            <w:p w14:paraId="5C52739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1828" name="Rectangle 21828"/>
                        <wps:cNvSpPr/>
                        <wps:spPr>
                          <a:xfrm rot="-10799999">
                            <a:off x="759809" y="3171119"/>
                            <a:ext cx="1980945" cy="142889"/>
                          </a:xfrm>
                          <a:prstGeom prst="rect">
                            <a:avLst/>
                          </a:prstGeom>
                          <a:ln>
                            <a:noFill/>
                          </a:ln>
                        </wps:spPr>
                        <wps:txbx>
                          <w:txbxContent>
                            <w:p w14:paraId="6D19101F" w14:textId="77777777" w:rsidR="00B32EF2" w:rsidRDefault="00000000">
                              <w:r>
                                <w:rPr>
                                  <w:rFonts w:ascii="Arial" w:eastAsia="Arial" w:hAnsi="Arial" w:cs="Arial"/>
                                  <w:b/>
                                  <w:sz w:val="18"/>
                                </w:rPr>
                                <w:t xml:space="preserve">Procedimento disciplinare </w:t>
                              </w:r>
                            </w:p>
                          </w:txbxContent>
                        </wps:txbx>
                        <wps:bodyPr horzOverflow="overflow" vert="horz" lIns="0" tIns="0" rIns="0" bIns="0" rtlCol="0">
                          <a:noAutofit/>
                        </wps:bodyPr>
                      </wps:wsp>
                      <wps:wsp>
                        <wps:cNvPr id="202093" name="Rectangle 202093"/>
                        <wps:cNvSpPr/>
                        <wps:spPr>
                          <a:xfrm rot="-10799999">
                            <a:off x="-1279577" y="3047789"/>
                            <a:ext cx="5212276" cy="142889"/>
                          </a:xfrm>
                          <a:prstGeom prst="rect">
                            <a:avLst/>
                          </a:prstGeom>
                          <a:ln>
                            <a:noFill/>
                          </a:ln>
                        </wps:spPr>
                        <wps:txbx>
                          <w:txbxContent>
                            <w:p w14:paraId="28244C52" w14:textId="77777777" w:rsidR="00B32EF2" w:rsidRDefault="00000000">
                              <w:r>
                                <w:rPr>
                                  <w:rFonts w:ascii="Arial" w:eastAsia="Arial" w:hAnsi="Arial" w:cs="Arial"/>
                                  <w:sz w:val="18"/>
                                </w:rPr>
                                <w:t>. Il procedimento disciplinare è promosso dal Presidente del Consiglio dei mi</w:t>
                              </w:r>
                            </w:p>
                          </w:txbxContent>
                        </wps:txbx>
                        <wps:bodyPr horzOverflow="overflow" vert="horz" lIns="0" tIns="0" rIns="0" bIns="0" rtlCol="0">
                          <a:noAutofit/>
                        </wps:bodyPr>
                      </wps:wsp>
                      <wps:wsp>
                        <wps:cNvPr id="202091" name="Rectangle 202091"/>
                        <wps:cNvSpPr/>
                        <wps:spPr>
                          <a:xfrm rot="-10799999">
                            <a:off x="2635059" y="3047789"/>
                            <a:ext cx="5212276" cy="142889"/>
                          </a:xfrm>
                          <a:prstGeom prst="rect">
                            <a:avLst/>
                          </a:prstGeom>
                          <a:ln>
                            <a:noFill/>
                          </a:ln>
                        </wps:spPr>
                        <wps:txbx>
                          <w:txbxContent>
                            <w:p w14:paraId="327EDBE3"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1830" name="Rectangle 21830"/>
                        <wps:cNvSpPr/>
                        <wps:spPr>
                          <a:xfrm rot="-10799999">
                            <a:off x="19284" y="3047789"/>
                            <a:ext cx="50622" cy="142889"/>
                          </a:xfrm>
                          <a:prstGeom prst="rect">
                            <a:avLst/>
                          </a:prstGeom>
                          <a:ln>
                            <a:noFill/>
                          </a:ln>
                        </wps:spPr>
                        <wps:txbx>
                          <w:txbxContent>
                            <w:p w14:paraId="1FE9773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831" name="Rectangle 21831"/>
                        <wps:cNvSpPr/>
                        <wps:spPr>
                          <a:xfrm rot="-10799999">
                            <a:off x="-1317123" y="2924460"/>
                            <a:ext cx="5309005" cy="142889"/>
                          </a:xfrm>
                          <a:prstGeom prst="rect">
                            <a:avLst/>
                          </a:prstGeom>
                          <a:ln>
                            <a:noFill/>
                          </a:ln>
                        </wps:spPr>
                        <wps:txbx>
                          <w:txbxContent>
                            <w:p w14:paraId="32C001EC" w14:textId="77777777" w:rsidR="00B32EF2" w:rsidRDefault="00000000">
                              <w:r>
                                <w:rPr>
                                  <w:rFonts w:ascii="Arial" w:eastAsia="Arial" w:hAnsi="Arial" w:cs="Arial"/>
                                  <w:sz w:val="18"/>
                                </w:rPr>
                                <w:t xml:space="preserve">nistri o dal presidente della corte di giustizia tributaria di secondo grado nella </w:t>
                              </w:r>
                            </w:p>
                          </w:txbxContent>
                        </wps:txbx>
                        <wps:bodyPr horzOverflow="overflow" vert="horz" lIns="0" tIns="0" rIns="0" bIns="0" rtlCol="0">
                          <a:noAutofit/>
                        </wps:bodyPr>
                      </wps:wsp>
                      <wps:wsp>
                        <wps:cNvPr id="21832" name="Rectangle 21832"/>
                        <wps:cNvSpPr/>
                        <wps:spPr>
                          <a:xfrm rot="-10799999">
                            <a:off x="1002078" y="2801130"/>
                            <a:ext cx="2989803" cy="142889"/>
                          </a:xfrm>
                          <a:prstGeom prst="rect">
                            <a:avLst/>
                          </a:prstGeom>
                          <a:ln>
                            <a:noFill/>
                          </a:ln>
                        </wps:spPr>
                        <wps:txbx>
                          <w:txbxContent>
                            <w:p w14:paraId="7A43749C" w14:textId="77777777" w:rsidR="00B32EF2" w:rsidRDefault="00000000">
                              <w:r>
                                <w:rPr>
                                  <w:rFonts w:ascii="Arial" w:eastAsia="Arial" w:hAnsi="Arial" w:cs="Arial"/>
                                  <w:sz w:val="18"/>
                                </w:rPr>
                                <w:t>cui circoscrizione presta servizio l’incolpato.</w:t>
                              </w:r>
                            </w:p>
                          </w:txbxContent>
                        </wps:txbx>
                        <wps:bodyPr horzOverflow="overflow" vert="horz" lIns="0" tIns="0" rIns="0" bIns="0" rtlCol="0">
                          <a:noAutofit/>
                        </wps:bodyPr>
                      </wps:wsp>
                      <wps:wsp>
                        <wps:cNvPr id="202088" name="Rectangle 202088"/>
                        <wps:cNvSpPr/>
                        <wps:spPr>
                          <a:xfrm rot="-10799999">
                            <a:off x="2632943" y="2677800"/>
                            <a:ext cx="5220804" cy="142889"/>
                          </a:xfrm>
                          <a:prstGeom prst="rect">
                            <a:avLst/>
                          </a:prstGeom>
                          <a:ln>
                            <a:noFill/>
                          </a:ln>
                        </wps:spPr>
                        <wps:txbx>
                          <w:txbxContent>
                            <w:p w14:paraId="3298F5A5"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2089" name="Rectangle 202089"/>
                        <wps:cNvSpPr/>
                        <wps:spPr>
                          <a:xfrm rot="-10799999">
                            <a:off x="-1293478" y="2677800"/>
                            <a:ext cx="5220804" cy="142889"/>
                          </a:xfrm>
                          <a:prstGeom prst="rect">
                            <a:avLst/>
                          </a:prstGeom>
                          <a:ln>
                            <a:noFill/>
                          </a:ln>
                        </wps:spPr>
                        <wps:txbx>
                          <w:txbxContent>
                            <w:p w14:paraId="7ADC4E02" w14:textId="77777777" w:rsidR="00B32EF2" w:rsidRDefault="00000000">
                              <w:r>
                                <w:rPr>
                                  <w:rFonts w:ascii="Arial" w:eastAsia="Arial" w:hAnsi="Arial" w:cs="Arial"/>
                                  <w:sz w:val="18"/>
                                </w:rPr>
                                <w:t>. Il Consiglio di presidenza, nel termine di dieci giorni dalla richiesta di aper</w:t>
                              </w:r>
                            </w:p>
                          </w:txbxContent>
                        </wps:txbx>
                        <wps:bodyPr horzOverflow="overflow" vert="horz" lIns="0" tIns="0" rIns="0" bIns="0" rtlCol="0">
                          <a:noAutofit/>
                        </wps:bodyPr>
                      </wps:wsp>
                      <wps:wsp>
                        <wps:cNvPr id="21834" name="Rectangle 21834"/>
                        <wps:cNvSpPr/>
                        <wps:spPr>
                          <a:xfrm rot="-10799999">
                            <a:off x="19284" y="2677800"/>
                            <a:ext cx="50622" cy="142889"/>
                          </a:xfrm>
                          <a:prstGeom prst="rect">
                            <a:avLst/>
                          </a:prstGeom>
                          <a:ln>
                            <a:noFill/>
                          </a:ln>
                        </wps:spPr>
                        <wps:txbx>
                          <w:txbxContent>
                            <w:p w14:paraId="389FA1D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835" name="Rectangle 21835"/>
                        <wps:cNvSpPr/>
                        <wps:spPr>
                          <a:xfrm rot="-10799999">
                            <a:off x="-1317153" y="2554471"/>
                            <a:ext cx="5309036" cy="142889"/>
                          </a:xfrm>
                          <a:prstGeom prst="rect">
                            <a:avLst/>
                          </a:prstGeom>
                          <a:ln>
                            <a:noFill/>
                          </a:ln>
                        </wps:spPr>
                        <wps:txbx>
                          <w:txbxContent>
                            <w:p w14:paraId="08C169F5" w14:textId="77777777" w:rsidR="00B32EF2" w:rsidRDefault="00000000">
                              <w:r>
                                <w:rPr>
                                  <w:rFonts w:ascii="Arial" w:eastAsia="Arial" w:hAnsi="Arial" w:cs="Arial"/>
                                  <w:sz w:val="18"/>
                                </w:rPr>
                                <w:t xml:space="preserve">tura del procedimento disciplinare, affida ad un suo componente l’incarico di </w:t>
                              </w:r>
                            </w:p>
                          </w:txbxContent>
                        </wps:txbx>
                        <wps:bodyPr horzOverflow="overflow" vert="horz" lIns="0" tIns="0" rIns="0" bIns="0" rtlCol="0">
                          <a:noAutofit/>
                        </wps:bodyPr>
                      </wps:wsp>
                      <wps:wsp>
                        <wps:cNvPr id="21836" name="Rectangle 21836"/>
                        <wps:cNvSpPr/>
                        <wps:spPr>
                          <a:xfrm rot="-10799999">
                            <a:off x="-828442" y="2431141"/>
                            <a:ext cx="4820325" cy="142889"/>
                          </a:xfrm>
                          <a:prstGeom prst="rect">
                            <a:avLst/>
                          </a:prstGeom>
                          <a:ln>
                            <a:noFill/>
                          </a:ln>
                        </wps:spPr>
                        <wps:txbx>
                          <w:txbxContent>
                            <w:p w14:paraId="53D5EBDB" w14:textId="77777777" w:rsidR="00B32EF2" w:rsidRDefault="00000000">
                              <w:r>
                                <w:rPr>
                                  <w:rFonts w:ascii="Arial" w:eastAsia="Arial" w:hAnsi="Arial" w:cs="Arial"/>
                                  <w:sz w:val="18"/>
                                </w:rPr>
                                <w:t>procedere agli accertamenti preliminari da svolgersi entro trenta giorni.</w:t>
                              </w:r>
                            </w:p>
                          </w:txbxContent>
                        </wps:txbx>
                        <wps:bodyPr horzOverflow="overflow" vert="horz" lIns="0" tIns="0" rIns="0" bIns="0" rtlCol="0">
                          <a:noAutofit/>
                        </wps:bodyPr>
                      </wps:wsp>
                      <wps:wsp>
                        <wps:cNvPr id="202086" name="Rectangle 202086"/>
                        <wps:cNvSpPr/>
                        <wps:spPr>
                          <a:xfrm rot="-10799999">
                            <a:off x="2611051" y="2307811"/>
                            <a:ext cx="5309036" cy="142889"/>
                          </a:xfrm>
                          <a:prstGeom prst="rect">
                            <a:avLst/>
                          </a:prstGeom>
                          <a:ln>
                            <a:noFill/>
                          </a:ln>
                        </wps:spPr>
                        <wps:txbx>
                          <w:txbxContent>
                            <w:p w14:paraId="57254CC3"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2087" name="Rectangle 202087"/>
                        <wps:cNvSpPr/>
                        <wps:spPr>
                          <a:xfrm rot="-10799999">
                            <a:off x="-1381675" y="2307811"/>
                            <a:ext cx="5309036" cy="142889"/>
                          </a:xfrm>
                          <a:prstGeom prst="rect">
                            <a:avLst/>
                          </a:prstGeom>
                          <a:ln>
                            <a:noFill/>
                          </a:ln>
                        </wps:spPr>
                        <wps:txbx>
                          <w:txbxContent>
                            <w:p w14:paraId="63464673" w14:textId="77777777" w:rsidR="00B32EF2" w:rsidRDefault="00000000">
                              <w:r>
                                <w:rPr>
                                  <w:rFonts w:ascii="Arial" w:eastAsia="Arial" w:hAnsi="Arial" w:cs="Arial"/>
                                  <w:sz w:val="18"/>
                                </w:rPr>
                                <w:t xml:space="preserve">. Il Consiglio di presidenza, sulla base delle risultanze emerse provvede a </w:t>
                              </w:r>
                            </w:p>
                          </w:txbxContent>
                        </wps:txbx>
                        <wps:bodyPr horzOverflow="overflow" vert="horz" lIns="0" tIns="0" rIns="0" bIns="0" rtlCol="0">
                          <a:noAutofit/>
                        </wps:bodyPr>
                      </wps:wsp>
                      <wps:wsp>
                        <wps:cNvPr id="21838" name="Rectangle 21838"/>
                        <wps:cNvSpPr/>
                        <wps:spPr>
                          <a:xfrm rot="-10799999">
                            <a:off x="-1317138" y="2184481"/>
                            <a:ext cx="5309021" cy="142889"/>
                          </a:xfrm>
                          <a:prstGeom prst="rect">
                            <a:avLst/>
                          </a:prstGeom>
                          <a:ln>
                            <a:noFill/>
                          </a:ln>
                        </wps:spPr>
                        <wps:txbx>
                          <w:txbxContent>
                            <w:p w14:paraId="7A221508" w14:textId="77777777" w:rsidR="00B32EF2" w:rsidRDefault="00000000">
                              <w:r>
                                <w:rPr>
                                  <w:rFonts w:ascii="Arial" w:eastAsia="Arial" w:hAnsi="Arial" w:cs="Arial"/>
                                  <w:sz w:val="18"/>
                                </w:rPr>
                                <w:t xml:space="preserve">contestare i fatti all’incolpato con invito a presentare entro trenta giorni le sue </w:t>
                              </w:r>
                            </w:p>
                          </w:txbxContent>
                        </wps:txbx>
                        <wps:bodyPr horzOverflow="overflow" vert="horz" lIns="0" tIns="0" rIns="0" bIns="0" rtlCol="0">
                          <a:noAutofit/>
                        </wps:bodyPr>
                      </wps:wsp>
                      <wps:wsp>
                        <wps:cNvPr id="21839" name="Rectangle 21839"/>
                        <wps:cNvSpPr/>
                        <wps:spPr>
                          <a:xfrm rot="-10799999">
                            <a:off x="-1317320" y="2061151"/>
                            <a:ext cx="5309203" cy="142889"/>
                          </a:xfrm>
                          <a:prstGeom prst="rect">
                            <a:avLst/>
                          </a:prstGeom>
                          <a:ln>
                            <a:noFill/>
                          </a:ln>
                        </wps:spPr>
                        <wps:txbx>
                          <w:txbxContent>
                            <w:p w14:paraId="44CCBF62" w14:textId="77777777" w:rsidR="00B32EF2" w:rsidRDefault="00000000">
                              <w:r>
                                <w:rPr>
                                  <w:rFonts w:ascii="Arial" w:eastAsia="Arial" w:hAnsi="Arial" w:cs="Arial"/>
                                  <w:sz w:val="18"/>
                                </w:rPr>
                                <w:t xml:space="preserve">giustificazioni, a seguito delle quali, se non ritiene di archiviare gli atti, incarica </w:t>
                              </w:r>
                            </w:p>
                          </w:txbxContent>
                        </wps:txbx>
                        <wps:bodyPr horzOverflow="overflow" vert="horz" lIns="0" tIns="0" rIns="0" bIns="0" rtlCol="0">
                          <a:noAutofit/>
                        </wps:bodyPr>
                      </wps:wsp>
                      <wps:wsp>
                        <wps:cNvPr id="21840" name="Rectangle 21840"/>
                        <wps:cNvSpPr/>
                        <wps:spPr>
                          <a:xfrm rot="-10799999">
                            <a:off x="-1317123" y="1937821"/>
                            <a:ext cx="5309005" cy="142889"/>
                          </a:xfrm>
                          <a:prstGeom prst="rect">
                            <a:avLst/>
                          </a:prstGeom>
                          <a:ln>
                            <a:noFill/>
                          </a:ln>
                        </wps:spPr>
                        <wps:txbx>
                          <w:txbxContent>
                            <w:p w14:paraId="39AF576C" w14:textId="77777777" w:rsidR="00B32EF2" w:rsidRDefault="00000000">
                              <w:r>
                                <w:rPr>
                                  <w:rFonts w:ascii="Arial" w:eastAsia="Arial" w:hAnsi="Arial" w:cs="Arial"/>
                                  <w:sz w:val="18"/>
                                </w:rPr>
                                <w:t xml:space="preserve">un proprio componente di procedere alla istruttoria, che deve essere conclusa </w:t>
                              </w:r>
                            </w:p>
                          </w:txbxContent>
                        </wps:txbx>
                        <wps:bodyPr horzOverflow="overflow" vert="horz" lIns="0" tIns="0" rIns="0" bIns="0" rtlCol="0">
                          <a:noAutofit/>
                        </wps:bodyPr>
                      </wps:wsp>
                      <wps:wsp>
                        <wps:cNvPr id="21841" name="Rectangle 21841"/>
                        <wps:cNvSpPr/>
                        <wps:spPr>
                          <a:xfrm rot="-10799999">
                            <a:off x="-1317138" y="1814492"/>
                            <a:ext cx="5309021" cy="142889"/>
                          </a:xfrm>
                          <a:prstGeom prst="rect">
                            <a:avLst/>
                          </a:prstGeom>
                          <a:ln>
                            <a:noFill/>
                          </a:ln>
                        </wps:spPr>
                        <wps:txbx>
                          <w:txbxContent>
                            <w:p w14:paraId="6876D9FD" w14:textId="77777777" w:rsidR="00B32EF2" w:rsidRDefault="00000000">
                              <w:r>
                                <w:rPr>
                                  <w:rFonts w:ascii="Arial" w:eastAsia="Arial" w:hAnsi="Arial" w:cs="Arial"/>
                                  <w:sz w:val="18"/>
                                </w:rPr>
                                <w:t xml:space="preserve">entro novanta giorni col deposito degli atti relativi presso la segreteria. Di tali </w:t>
                              </w:r>
                            </w:p>
                          </w:txbxContent>
                        </wps:txbx>
                        <wps:bodyPr horzOverflow="overflow" vert="horz" lIns="0" tIns="0" rIns="0" bIns="0" rtlCol="0">
                          <a:noAutofit/>
                        </wps:bodyPr>
                      </wps:wsp>
                      <wps:wsp>
                        <wps:cNvPr id="21842" name="Rectangle 21842"/>
                        <wps:cNvSpPr/>
                        <wps:spPr>
                          <a:xfrm rot="-10799999">
                            <a:off x="-805441" y="1691162"/>
                            <a:ext cx="4797324" cy="142889"/>
                          </a:xfrm>
                          <a:prstGeom prst="rect">
                            <a:avLst/>
                          </a:prstGeom>
                          <a:ln>
                            <a:noFill/>
                          </a:ln>
                        </wps:spPr>
                        <wps:txbx>
                          <w:txbxContent>
                            <w:p w14:paraId="3472DCFC" w14:textId="77777777" w:rsidR="00B32EF2" w:rsidRDefault="00000000">
                              <w:r>
                                <w:rPr>
                                  <w:rFonts w:ascii="Arial" w:eastAsia="Arial" w:hAnsi="Arial" w:cs="Arial"/>
                                  <w:sz w:val="18"/>
                                </w:rPr>
                                <w:t>deliberazioni deve essere data immediata comunicazione all’incolpato.</w:t>
                              </w:r>
                            </w:p>
                          </w:txbxContent>
                        </wps:txbx>
                        <wps:bodyPr horzOverflow="overflow" vert="horz" lIns="0" tIns="0" rIns="0" bIns="0" rtlCol="0">
                          <a:noAutofit/>
                        </wps:bodyPr>
                      </wps:wsp>
                      <wps:wsp>
                        <wps:cNvPr id="202084" name="Rectangle 202084"/>
                        <wps:cNvSpPr/>
                        <wps:spPr>
                          <a:xfrm rot="-10799999">
                            <a:off x="2611051" y="1567833"/>
                            <a:ext cx="5309036" cy="142889"/>
                          </a:xfrm>
                          <a:prstGeom prst="rect">
                            <a:avLst/>
                          </a:prstGeom>
                          <a:ln>
                            <a:noFill/>
                          </a:ln>
                        </wps:spPr>
                        <wps:txbx>
                          <w:txbxContent>
                            <w:p w14:paraId="1EF1666E"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2085" name="Rectangle 202085"/>
                        <wps:cNvSpPr/>
                        <wps:spPr>
                          <a:xfrm rot="-10799999">
                            <a:off x="-1380292" y="1567832"/>
                            <a:ext cx="5309036" cy="142889"/>
                          </a:xfrm>
                          <a:prstGeom prst="rect">
                            <a:avLst/>
                          </a:prstGeom>
                          <a:ln>
                            <a:noFill/>
                          </a:ln>
                        </wps:spPr>
                        <wps:txbx>
                          <w:txbxContent>
                            <w:p w14:paraId="6C514C44" w14:textId="77777777" w:rsidR="00B32EF2" w:rsidRDefault="00000000">
                              <w:r>
                                <w:rPr>
                                  <w:rFonts w:ascii="Arial" w:eastAsia="Arial" w:hAnsi="Arial" w:cs="Arial"/>
                                  <w:sz w:val="18"/>
                                </w:rPr>
                                <w:t xml:space="preserve">. Il presidente del Consiglio di presidenza, trascorso comunque il termine di </w:t>
                              </w:r>
                            </w:p>
                          </w:txbxContent>
                        </wps:txbx>
                        <wps:bodyPr horzOverflow="overflow" vert="horz" lIns="0" tIns="0" rIns="0" bIns="0" rtlCol="0">
                          <a:noAutofit/>
                        </wps:bodyPr>
                      </wps:wsp>
                      <wps:wsp>
                        <wps:cNvPr id="21844" name="Rectangle 21844"/>
                        <wps:cNvSpPr/>
                        <wps:spPr>
                          <a:xfrm rot="-10799999">
                            <a:off x="-1317153" y="1444503"/>
                            <a:ext cx="5309036" cy="142889"/>
                          </a:xfrm>
                          <a:prstGeom prst="rect">
                            <a:avLst/>
                          </a:prstGeom>
                          <a:ln>
                            <a:noFill/>
                          </a:ln>
                        </wps:spPr>
                        <wps:txbx>
                          <w:txbxContent>
                            <w:p w14:paraId="243A653E" w14:textId="77777777" w:rsidR="00B32EF2" w:rsidRDefault="00000000">
                              <w:r>
                                <w:rPr>
                                  <w:rFonts w:ascii="Arial" w:eastAsia="Arial" w:hAnsi="Arial" w:cs="Arial"/>
                                  <w:sz w:val="18"/>
                                </w:rPr>
                                <w:t xml:space="preserve">cui al comma 3, fissa la data della discussione davanti allo stesso con decreto </w:t>
                              </w:r>
                            </w:p>
                          </w:txbxContent>
                        </wps:txbx>
                        <wps:bodyPr horzOverflow="overflow" vert="horz" lIns="0" tIns="0" rIns="0" bIns="0" rtlCol="0">
                          <a:noAutofit/>
                        </wps:bodyPr>
                      </wps:wsp>
                      <wps:wsp>
                        <wps:cNvPr id="21845" name="Rectangle 21845"/>
                        <wps:cNvSpPr/>
                        <wps:spPr>
                          <a:xfrm rot="-10799999">
                            <a:off x="-1317235" y="1321173"/>
                            <a:ext cx="5309917" cy="142889"/>
                          </a:xfrm>
                          <a:prstGeom prst="rect">
                            <a:avLst/>
                          </a:prstGeom>
                          <a:ln>
                            <a:noFill/>
                          </a:ln>
                        </wps:spPr>
                        <wps:txbx>
                          <w:txbxContent>
                            <w:p w14:paraId="233BD5BB" w14:textId="77777777" w:rsidR="00B32EF2" w:rsidRDefault="00000000">
                              <w:r>
                                <w:rPr>
                                  <w:rFonts w:ascii="Arial" w:eastAsia="Arial" w:hAnsi="Arial" w:cs="Arial"/>
                                  <w:sz w:val="18"/>
                                </w:rPr>
                                <w:t xml:space="preserve">da notificare almeno quaranta giorni prima all’incolpato, il quale può prendere </w:t>
                              </w:r>
                            </w:p>
                          </w:txbxContent>
                        </wps:txbx>
                        <wps:bodyPr horzOverflow="overflow" vert="horz" lIns="0" tIns="0" rIns="0" bIns="0" rtlCol="0">
                          <a:noAutofit/>
                        </wps:bodyPr>
                      </wps:wsp>
                      <wps:wsp>
                        <wps:cNvPr id="21846" name="Rectangle 21846"/>
                        <wps:cNvSpPr/>
                        <wps:spPr>
                          <a:xfrm rot="-10799999">
                            <a:off x="-1317107" y="1197843"/>
                            <a:ext cx="5308989" cy="142889"/>
                          </a:xfrm>
                          <a:prstGeom prst="rect">
                            <a:avLst/>
                          </a:prstGeom>
                          <a:ln>
                            <a:noFill/>
                          </a:ln>
                        </wps:spPr>
                        <wps:txbx>
                          <w:txbxContent>
                            <w:p w14:paraId="45934013" w14:textId="77777777" w:rsidR="00B32EF2" w:rsidRDefault="00000000">
                              <w:r>
                                <w:rPr>
                                  <w:rFonts w:ascii="Arial" w:eastAsia="Arial" w:hAnsi="Arial" w:cs="Arial"/>
                                  <w:sz w:val="18"/>
                                </w:rPr>
                                <w:t xml:space="preserve">visione ed estrarre copia degli atti e depositare le sue difese non oltre dieci </w:t>
                              </w:r>
                            </w:p>
                          </w:txbxContent>
                        </wps:txbx>
                        <wps:bodyPr horzOverflow="overflow" vert="horz" lIns="0" tIns="0" rIns="0" bIns="0" rtlCol="0">
                          <a:noAutofit/>
                        </wps:bodyPr>
                      </wps:wsp>
                      <wps:wsp>
                        <wps:cNvPr id="21847" name="Rectangle 21847"/>
                        <wps:cNvSpPr/>
                        <wps:spPr>
                          <a:xfrm rot="-10799999">
                            <a:off x="1926430" y="1074514"/>
                            <a:ext cx="2065452" cy="142889"/>
                          </a:xfrm>
                          <a:prstGeom prst="rect">
                            <a:avLst/>
                          </a:prstGeom>
                          <a:ln>
                            <a:noFill/>
                          </a:ln>
                        </wps:spPr>
                        <wps:txbx>
                          <w:txbxContent>
                            <w:p w14:paraId="5C51273E" w14:textId="77777777" w:rsidR="00B32EF2" w:rsidRDefault="00000000">
                              <w:r>
                                <w:rPr>
                                  <w:rFonts w:ascii="Arial" w:eastAsia="Arial" w:hAnsi="Arial" w:cs="Arial"/>
                                  <w:sz w:val="18"/>
                                </w:rPr>
                                <w:t>giorni prima della discussione.</w:t>
                              </w:r>
                            </w:p>
                          </w:txbxContent>
                        </wps:txbx>
                        <wps:bodyPr horzOverflow="overflow" vert="horz" lIns="0" tIns="0" rIns="0" bIns="0" rtlCol="0">
                          <a:noAutofit/>
                        </wps:bodyPr>
                      </wps:wsp>
                      <wps:wsp>
                        <wps:cNvPr id="202082" name="Rectangle 202082"/>
                        <wps:cNvSpPr/>
                        <wps:spPr>
                          <a:xfrm rot="-10799999">
                            <a:off x="2635044" y="951184"/>
                            <a:ext cx="5212338" cy="142889"/>
                          </a:xfrm>
                          <a:prstGeom prst="rect">
                            <a:avLst/>
                          </a:prstGeom>
                          <a:ln>
                            <a:noFill/>
                          </a:ln>
                        </wps:spPr>
                        <wps:txbx>
                          <w:txbxContent>
                            <w:p w14:paraId="3EB1FE66"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02083" name="Rectangle 202083"/>
                        <wps:cNvSpPr/>
                        <wps:spPr>
                          <a:xfrm rot="-10799999">
                            <a:off x="-1284851" y="951184"/>
                            <a:ext cx="5212337" cy="142889"/>
                          </a:xfrm>
                          <a:prstGeom prst="rect">
                            <a:avLst/>
                          </a:prstGeom>
                          <a:ln>
                            <a:noFill/>
                          </a:ln>
                        </wps:spPr>
                        <wps:txbx>
                          <w:txbxContent>
                            <w:p w14:paraId="4638652C" w14:textId="77777777" w:rsidR="00B32EF2" w:rsidRDefault="00000000">
                              <w:r>
                                <w:rPr>
                                  <w:rFonts w:ascii="Arial" w:eastAsia="Arial" w:hAnsi="Arial" w:cs="Arial"/>
                                  <w:sz w:val="18"/>
                                </w:rPr>
                                <w:t>. Nella seduta fissata per la discussione, il componente del Consiglio di presi</w:t>
                              </w:r>
                            </w:p>
                          </w:txbxContent>
                        </wps:txbx>
                        <wps:bodyPr horzOverflow="overflow" vert="horz" lIns="0" tIns="0" rIns="0" bIns="0" rtlCol="0">
                          <a:noAutofit/>
                        </wps:bodyPr>
                      </wps:wsp>
                      <wps:wsp>
                        <wps:cNvPr id="21849" name="Rectangle 21849"/>
                        <wps:cNvSpPr/>
                        <wps:spPr>
                          <a:xfrm rot="-10799999">
                            <a:off x="19283" y="951184"/>
                            <a:ext cx="50622" cy="142889"/>
                          </a:xfrm>
                          <a:prstGeom prst="rect">
                            <a:avLst/>
                          </a:prstGeom>
                          <a:ln>
                            <a:noFill/>
                          </a:ln>
                        </wps:spPr>
                        <wps:txbx>
                          <w:txbxContent>
                            <w:p w14:paraId="755BF8F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850" name="Rectangle 21850"/>
                        <wps:cNvSpPr/>
                        <wps:spPr>
                          <a:xfrm rot="-10799999">
                            <a:off x="-1317153" y="827854"/>
                            <a:ext cx="5309035" cy="142889"/>
                          </a:xfrm>
                          <a:prstGeom prst="rect">
                            <a:avLst/>
                          </a:prstGeom>
                          <a:ln>
                            <a:noFill/>
                          </a:ln>
                        </wps:spPr>
                        <wps:txbx>
                          <w:txbxContent>
                            <w:p w14:paraId="2203BCF8" w14:textId="77777777" w:rsidR="00B32EF2" w:rsidRDefault="00000000">
                              <w:r>
                                <w:rPr>
                                  <w:rFonts w:ascii="Arial" w:eastAsia="Arial" w:hAnsi="Arial" w:cs="Arial"/>
                                  <w:sz w:val="18"/>
                                </w:rPr>
                                <w:t xml:space="preserve">denza di cui al comma 3 svolge la relazione. L’incolpato ha per ultimo la parola </w:t>
                              </w:r>
                            </w:p>
                          </w:txbxContent>
                        </wps:txbx>
                        <wps:bodyPr horzOverflow="overflow" vert="horz" lIns="0" tIns="0" rIns="0" bIns="0" rtlCol="0">
                          <a:noAutofit/>
                        </wps:bodyPr>
                      </wps:wsp>
                      <wps:wsp>
                        <wps:cNvPr id="21851" name="Rectangle 21851"/>
                        <wps:cNvSpPr/>
                        <wps:spPr>
                          <a:xfrm rot="-10799999">
                            <a:off x="-1317107" y="704524"/>
                            <a:ext cx="5308990" cy="142889"/>
                          </a:xfrm>
                          <a:prstGeom prst="rect">
                            <a:avLst/>
                          </a:prstGeom>
                          <a:ln>
                            <a:noFill/>
                          </a:ln>
                        </wps:spPr>
                        <wps:txbx>
                          <w:txbxContent>
                            <w:p w14:paraId="20BC95B3" w14:textId="77777777" w:rsidR="00B32EF2" w:rsidRDefault="00000000">
                              <w:r>
                                <w:rPr>
                                  <w:rFonts w:ascii="Arial" w:eastAsia="Arial" w:hAnsi="Arial" w:cs="Arial"/>
                                  <w:sz w:val="18"/>
                                </w:rPr>
                                <w:t xml:space="preserve">e può farsi assistere da altro componente di corte di giustizia tributaria di primo </w:t>
                              </w:r>
                            </w:p>
                          </w:txbxContent>
                        </wps:txbx>
                        <wps:bodyPr horzOverflow="overflow" vert="horz" lIns="0" tIns="0" rIns="0" bIns="0" rtlCol="0">
                          <a:noAutofit/>
                        </wps:bodyPr>
                      </wps:wsp>
                      <wps:wsp>
                        <wps:cNvPr id="21852" name="Rectangle 21852"/>
                        <wps:cNvSpPr/>
                        <wps:spPr>
                          <a:xfrm rot="-10799999">
                            <a:off x="2804629" y="581195"/>
                            <a:ext cx="1187253" cy="142889"/>
                          </a:xfrm>
                          <a:prstGeom prst="rect">
                            <a:avLst/>
                          </a:prstGeom>
                          <a:ln>
                            <a:noFill/>
                          </a:ln>
                        </wps:spPr>
                        <wps:txbx>
                          <w:txbxContent>
                            <w:p w14:paraId="73AD80C7" w14:textId="77777777" w:rsidR="00B32EF2" w:rsidRDefault="00000000">
                              <w:r>
                                <w:rPr>
                                  <w:rFonts w:ascii="Arial" w:eastAsia="Arial" w:hAnsi="Arial" w:cs="Arial"/>
                                  <w:sz w:val="18"/>
                                </w:rPr>
                                <w:t>e secondo grado.</w:t>
                              </w:r>
                            </w:p>
                          </w:txbxContent>
                        </wps:txbx>
                        <wps:bodyPr horzOverflow="overflow" vert="horz" lIns="0" tIns="0" rIns="0" bIns="0" rtlCol="0">
                          <a:noAutofit/>
                        </wps:bodyPr>
                      </wps:wsp>
                      <wps:wsp>
                        <wps:cNvPr id="202081" name="Rectangle 202081"/>
                        <wps:cNvSpPr/>
                        <wps:spPr>
                          <a:xfrm rot="-10799999">
                            <a:off x="-1381459" y="457865"/>
                            <a:ext cx="5309035" cy="142889"/>
                          </a:xfrm>
                          <a:prstGeom prst="rect">
                            <a:avLst/>
                          </a:prstGeom>
                          <a:ln>
                            <a:noFill/>
                          </a:ln>
                        </wps:spPr>
                        <wps:txbx>
                          <w:txbxContent>
                            <w:p w14:paraId="3CA84582" w14:textId="77777777" w:rsidR="00B32EF2" w:rsidRDefault="00000000">
                              <w:r>
                                <w:rPr>
                                  <w:rFonts w:ascii="Arial" w:eastAsia="Arial" w:hAnsi="Arial" w:cs="Arial"/>
                                  <w:sz w:val="18"/>
                                </w:rPr>
                                <w:t xml:space="preserve">. La sanzione disciplinare deliberata dal Consiglio di presidenza è applicata </w:t>
                              </w:r>
                            </w:p>
                          </w:txbxContent>
                        </wps:txbx>
                        <wps:bodyPr horzOverflow="overflow" vert="horz" lIns="0" tIns="0" rIns="0" bIns="0" rtlCol="0">
                          <a:noAutofit/>
                        </wps:bodyPr>
                      </wps:wsp>
                      <wps:wsp>
                        <wps:cNvPr id="202080" name="Rectangle 202080"/>
                        <wps:cNvSpPr/>
                        <wps:spPr>
                          <a:xfrm rot="-10799999">
                            <a:off x="2611051" y="457865"/>
                            <a:ext cx="5309037" cy="142889"/>
                          </a:xfrm>
                          <a:prstGeom prst="rect">
                            <a:avLst/>
                          </a:prstGeom>
                          <a:ln>
                            <a:noFill/>
                          </a:ln>
                        </wps:spPr>
                        <wps:txbx>
                          <w:txbxContent>
                            <w:p w14:paraId="190E0541"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1854" name="Rectangle 21854"/>
                        <wps:cNvSpPr/>
                        <wps:spPr>
                          <a:xfrm rot="-10799999">
                            <a:off x="305892" y="334536"/>
                            <a:ext cx="3685990" cy="142889"/>
                          </a:xfrm>
                          <a:prstGeom prst="rect">
                            <a:avLst/>
                          </a:prstGeom>
                          <a:ln>
                            <a:noFill/>
                          </a:ln>
                        </wps:spPr>
                        <wps:txbx>
                          <w:txbxContent>
                            <w:p w14:paraId="0A9E7C47" w14:textId="77777777" w:rsidR="00B32EF2" w:rsidRDefault="00000000">
                              <w:r>
                                <w:rPr>
                                  <w:rFonts w:ascii="Arial" w:eastAsia="Arial" w:hAnsi="Arial" w:cs="Arial"/>
                                  <w:sz w:val="18"/>
                                </w:rPr>
                                <w:t>con decreto del Ministro dell’economia e delle finanze.</w:t>
                              </w:r>
                            </w:p>
                          </w:txbxContent>
                        </wps:txbx>
                        <wps:bodyPr horzOverflow="overflow" vert="horz" lIns="0" tIns="0" rIns="0" bIns="0" rtlCol="0">
                          <a:noAutofit/>
                        </wps:bodyPr>
                      </wps:wsp>
                      <wps:wsp>
                        <wps:cNvPr id="202078" name="Rectangle 202078"/>
                        <wps:cNvSpPr/>
                        <wps:spPr>
                          <a:xfrm rot="-10799999">
                            <a:off x="2635497" y="211206"/>
                            <a:ext cx="5210512" cy="142889"/>
                          </a:xfrm>
                          <a:prstGeom prst="rect">
                            <a:avLst/>
                          </a:prstGeom>
                          <a:ln>
                            <a:noFill/>
                          </a:ln>
                        </wps:spPr>
                        <wps:txbx>
                          <w:txbxContent>
                            <w:p w14:paraId="452F42F9"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202079" name="Rectangle 202079"/>
                        <wps:cNvSpPr/>
                        <wps:spPr>
                          <a:xfrm rot="-10799999">
                            <a:off x="-1271196" y="211206"/>
                            <a:ext cx="5210512" cy="142889"/>
                          </a:xfrm>
                          <a:prstGeom prst="rect">
                            <a:avLst/>
                          </a:prstGeom>
                          <a:ln>
                            <a:noFill/>
                          </a:ln>
                        </wps:spPr>
                        <wps:txbx>
                          <w:txbxContent>
                            <w:p w14:paraId="60851EBF" w14:textId="77777777" w:rsidR="00B32EF2" w:rsidRDefault="00000000">
                              <w:r>
                                <w:rPr>
                                  <w:rFonts w:ascii="Arial" w:eastAsia="Arial" w:hAnsi="Arial" w:cs="Arial"/>
                                  <w:sz w:val="18"/>
                                </w:rPr>
                                <w:t>. Per quanto non contemplato dal presente testo unico si applicano le dispo</w:t>
                              </w:r>
                            </w:p>
                          </w:txbxContent>
                        </wps:txbx>
                        <wps:bodyPr horzOverflow="overflow" vert="horz" lIns="0" tIns="0" rIns="0" bIns="0" rtlCol="0">
                          <a:noAutofit/>
                        </wps:bodyPr>
                      </wps:wsp>
                      <wps:wsp>
                        <wps:cNvPr id="21856" name="Rectangle 21856"/>
                        <wps:cNvSpPr/>
                        <wps:spPr>
                          <a:xfrm rot="-10799999">
                            <a:off x="19283" y="211206"/>
                            <a:ext cx="50622" cy="142889"/>
                          </a:xfrm>
                          <a:prstGeom prst="rect">
                            <a:avLst/>
                          </a:prstGeom>
                          <a:ln>
                            <a:noFill/>
                          </a:ln>
                        </wps:spPr>
                        <wps:txbx>
                          <w:txbxContent>
                            <w:p w14:paraId="177E4F6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857" name="Rectangle 21857"/>
                        <wps:cNvSpPr/>
                        <wps:spPr>
                          <a:xfrm rot="-10799999">
                            <a:off x="-1317138" y="87876"/>
                            <a:ext cx="5309021" cy="142889"/>
                          </a:xfrm>
                          <a:prstGeom prst="rect">
                            <a:avLst/>
                          </a:prstGeom>
                          <a:ln>
                            <a:noFill/>
                          </a:ln>
                        </wps:spPr>
                        <wps:txbx>
                          <w:txbxContent>
                            <w:p w14:paraId="6C78BCA2" w14:textId="77777777" w:rsidR="00B32EF2" w:rsidRDefault="00000000">
                              <w:r>
                                <w:rPr>
                                  <w:rFonts w:ascii="Arial" w:eastAsia="Arial" w:hAnsi="Arial" w:cs="Arial"/>
                                  <w:sz w:val="18"/>
                                </w:rPr>
                                <w:t xml:space="preserve">sizioni sul procedimento disciplinare vigenti per i magistrati ordinari in quanto </w:t>
                              </w:r>
                            </w:p>
                          </w:txbxContent>
                        </wps:txbx>
                        <wps:bodyPr horzOverflow="overflow" vert="horz" lIns="0" tIns="0" rIns="0" bIns="0" rtlCol="0">
                          <a:noAutofit/>
                        </wps:bodyPr>
                      </wps:wsp>
                      <wps:wsp>
                        <wps:cNvPr id="21858" name="Rectangle 21858"/>
                        <wps:cNvSpPr/>
                        <wps:spPr>
                          <a:xfrm rot="-10799999">
                            <a:off x="3220167" y="-35453"/>
                            <a:ext cx="772287" cy="142889"/>
                          </a:xfrm>
                          <a:prstGeom prst="rect">
                            <a:avLst/>
                          </a:prstGeom>
                          <a:ln>
                            <a:noFill/>
                          </a:ln>
                        </wps:spPr>
                        <wps:txbx>
                          <w:txbxContent>
                            <w:p w14:paraId="10F21AE4" w14:textId="77777777" w:rsidR="00B32EF2" w:rsidRDefault="00000000">
                              <w:r>
                                <w:rPr>
                                  <w:rFonts w:ascii="Arial" w:eastAsia="Arial" w:hAnsi="Arial" w:cs="Arial"/>
                                  <w:sz w:val="18"/>
                                </w:rPr>
                                <w:t>compatibili.</w:t>
                              </w:r>
                            </w:p>
                          </w:txbxContent>
                        </wps:txbx>
                        <wps:bodyPr horzOverflow="overflow" vert="horz" lIns="0" tIns="0" rIns="0" bIns="0" rtlCol="0">
                          <a:noAutofit/>
                        </wps:bodyPr>
                      </wps:wsp>
                    </wpg:wgp>
                  </a:graphicData>
                </a:graphic>
              </wp:inline>
            </w:drawing>
          </mc:Choice>
          <mc:Fallback>
            <w:pict>
              <v:group w14:anchorId="5B8E374E" id="Group 202130" o:spid="_x0000_s6026" style="width:314.35pt;height:449.75pt;mso-position-horizontal-relative:char;mso-position-vertical-relative:line" coordsize="39919,5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TF9gkAAGR5AAAOAAAAZHJzL2Uyb0RvYy54bWzkXWtv4zYW/b5A/4Ph7xnzKZLGZIqij0GB&#10;xbbY7v4Aj2MnBmzLkD2TTH/9nkvKlCNztlgJCI1lP6QOnbElHp77OPeSev/9y247+bJqjpt6fz/l&#10;79h0stov64fN/vF++u9//XJnp5PjabF/WGzr/ep++nV1nH7/4bu/vX8+zFeifqq3D6tmgg/ZH+fP&#10;h/vp0+l0mM9mx+XTarc4vqsPqz3eXNfNbnHCr83j7KFZPOPTd9uZYKyaPdfNw6Gpl6vjEaM/hTen&#10;H/znr9er5em39fq4Ok2291Nc28n/bPzPT/Rz9uH9Yv7YLA5Pm2V7GYsBV7FbbPb40vhRPy1Oi8nn&#10;ZnP1UbvNsqmP9fr0blnvZvV6vVmu/D3gbjjr3c3Hpv588PfyOH9+PMRpwtT25mnwxy7/8eVjc/jj&#10;8HuDmXg+PGIu/G90Ly/rZkf/x1VOXvyUfY1Ttno5TZYYlM5x56rpZIn3tOGCSx0mdfmEmb/6d8un&#10;n//iX87OXzx7dTnPByyQYzcHx3Fz8MfT4rDyU3ucYw5+byabh/up4JZhwe4XOyzVf2LxLPaP29Uk&#10;DPsJ8n8dp+s4P2LmznM1aWqsrzvOjKP//Hpo5+6OS26YxGfTNOnKCVWFaTpPpJbMMdlOJFfCOr84&#10;42ws5ofmePq4qncTenE/bXB5/isWX/5+POHi8KfnP6Er2u7p577+ZbPdhndpBJN6vmh6dXr59OLv&#10;XBkr6IJo8FP98BUT8lQ3f/4Gaq+39fP9tG5fTYnt+Hp6dzrZ/roHEESs84vm/OLT+UVz2v5Ye/qF&#10;C/rh86leb/wVd9/WXhkQDtfwJlC7NNTuPBFYGP871FIJJiQ+mpBWSghte0gbIbgOjMkCtDzfXylA&#10;cyzQBKcxPJbTlatkQFpyLYyn0GJ+wWnrKnw5GUeC2vql9YacVuc7LAZqnoaanydiEKcVYxz20VOa&#10;Wyusn9cOaKkdt1xlBNo73c6c/v8bbw44UpyOXmwQ0MFPayBJ1ptVXCC2gZHooPZ+WmOVZeO0v6Ci&#10;oIaJTUEd/dggqEVVMQp6CGnlpJLBHXRIcykRzl446je33uZstIqx3iBeCunoxgYhfceFYFIASYLa&#10;MiNF31ELLqTISWofIxZFasCRgjo6skFQcyddSLLSOLMK0Ocz3TGzKIbQSGhTKEcfNgjlNpsOOZaq&#10;LJNn0eEi8kY2ndF2h+y9KEKbNNTRiQ2GOiZZSmspVT+dlixvkuViblEMq9MaGY9ObDDUhrGW1UpU&#10;svIz20VkPvZmFxrZW0dkLmYXxUCd1sh49GTDoFaVqUBkH5AJ56TxsXyHtFLaVSqn/Y7JRRlIM8FZ&#10;KvgO42NkMlFxzjScAwXf3AhpvUfosCZWK4M/yJVRu5heFIM1T8lkwBrjY7BGYGapBHTLYMcEowyw&#10;oVumsPbD46BGUq2rltdMaVQCe0oZkmpd5bThMcsoBuq0KBrkDkpGBnnri6Q6iXPepNrFBKMYlNN6&#10;qIghyzCUYf4FfDP5aYlyhoLC/kr5Fs4wQ6W0bH465hdlIE2xV8p2h/FxxltWTkOj8GAbh9pkr6Ll&#10;U62cimjwJuUIKEww3PK1WBbGx4BNATiaT/4K63zEtiwW4ssgNoKvtPqN4VFIOy0cJtOzuqqUQsPR&#10;KxPOmXTs3K2VoSHBwp61N1gM0mkFXMTYdJiz1sxUZ2eNrNqYHtKWocUMcUImX21ZYUoZmWnETle1&#10;jjA+htScV5VRiAMoLhNOKdXLsxCeGw7882EdA88ySE2YplgdxsdgfSe0qtpCdcC6R+v8WBenlUGc&#10;/Aav41QMMuECXaCqwjq6XV7HaKQMXiMsSxe2MDyG1UY7uOMANDcIxq8MON7OWOywKKkVFZWRoU5p&#10;KGF8DNRoNTJOUzGDWM1Q1gglyotqB1QWYfLVMNH+VB7YaRWFdZX7YRa8kprplti3iXU0XKVYcIns&#10;9yoI5xbDY2jNHbV8f5vTWRVw8i1FmW/AmSK0Hx6Dsm8rQyOoB1ogf1bYu4EPvDDetEmL5Stp2W7L&#10;SjGETpe0ZNQXBpluzuDrKWeGmxZQpXgwEB3SwlkEbRkFlK4SXwbSwMOmou8wPobWaCSDbNKyukJE&#10;FuTmDmuNSral7pdcYlmotBVV60BYfO2nCevoywbxGvE3tnKciX2bYBemlsEtpwQUPzyG1l1MJpI4&#10;543JsBmwvbkyzDfgTJe0Qmf+4N6TEJPp1nprbKg2qabgy43zb9wUbLFFrDSoU+o3VkCUkYbZbtpX&#10;q8KGPNSuOEfRAxPb+Wll221c2fx0vMEySE3+OAV1GB9jvENTcChqCYlIPIS7Hda+/yQrq8uTyaie&#10;fKWdENZxKobxmpqCKwP3QMnWbYJdnk6WyrVgwuNEDIUaBY72mBucmqOU7dnw3H1lttu5UoYNB6ap&#10;VMsPj7HgPjCTIjQbCZyUwHEowit3TVDDYedLq3Fx7R2WArVKq98YHg31WRelDgTaUnAFdVZdNFxQ&#10;OQoKtWcnnLUfHg91a8DpSBsVtjz2ArOMjcG228xQDKvTEjhSpVFQW4ZsOoTgvHJoM+v1+yvjcFJG&#10;Rlm029BQBtIUaqeksjA+BuvLdItj05aVXoTssTpnuhX2H5RjwAnTlGAWxsdgTXswGaqXPt0KYPeI&#10;nT237trcyyA2JUJpbx1V4hHpViuOwlcrjXAba+eWeF2YZAaoU7T2wyNZTXvng4jCcVYV7x+ZQKx2&#10;HBJOLnVURJmoGFanxFFAHdf8CFajTY/0MjSLGovidZ/V6E5AWp8N6igTFQN1ShsF1HHND4IaNcxK&#10;UcsaIc2M0qFs2NlvCCtaafjybEjHenwZSFP8lUq3wvgYC442FM0oDgDWTnOsnR6p6QxCyrxzQd31&#10;SJYDNdTJZMUj9mgMojW6UKyydEjsf8U6o69GA2W7lsvAGmxLq+BhM93g9gRqQgm9CUlK5+1B6Xok&#10;SwFZp/VvDI+x3K96UKwwFudD9+OxrKdNtnJOOeoJ98b1ynL74fFIt6G3wWE3iWMxrKNzM7I56agY&#10;FMPpVDgGpMep32j6xk5b+AR4aI3uE+ebuLrAG/GZEaSsZAO6sK4yCrBTJa0wPpLUKGS1+7SUNhZn&#10;kt2Y+Y6CQRmkJkxTnjqMj8H6stDxbahzBt5RMCgDahjqtPQdYqjBgbdk2rY1DhwJrUPraWe+ZWV1&#10;Xj9dmEIG6tKui6uQLIyPo7TUis5WgaeG7A1FrGe9cUqapqfBZPPU5UlkJpVME9RxKobqJjgegc5W&#10;uVWsu06qYsx3usahY8gyCOlON0lSOq9uEvYdFJVNp6sbOLV7jOUOuknbTGaNxakX13F3zlayroOq&#10;GDanfDRitBitDGIznqfE0OHvzfYdvDXy5ldAGzzxkjYX5PLQoX56C4T2z7TFo3z901rbxw7Ts4Iv&#10;f/ePQu0ejvzhPwAAAP//AwBQSwMEFAAGAAgAAAAhAGlsAgTeAAAABQEAAA8AAABkcnMvZG93bnJl&#10;di54bWxMj0FrwkAQhe+F/odlCr3VTSzaGLMRkbYnKaiF4m3MjkkwOxuyaxL/fbe9tJeBx3u89022&#10;Gk0jeupcbVlBPIlAEBdW11wq+Dy8PSUgnEfW2FgmBTdysMrv7zJMtR14R/3elyKUsEtRQeV9m0rp&#10;iooMuoltiYN3tp1BH2RXSt3hEMpNI6dRNJcGaw4LFba0qai47K9GwfuAw/o5fu23l/PmdjzMPr62&#10;MSn1+DCulyA8jf4vDD/4AR3ywHSyV9ZONArCI/73Bm8+TV5AnBQki8UMZJ7J//T5NwAAAP//AwBQ&#10;SwECLQAUAAYACAAAACEAtoM4kv4AAADhAQAAEwAAAAAAAAAAAAAAAAAAAAAAW0NvbnRlbnRfVHlw&#10;ZXNdLnhtbFBLAQItABQABgAIAAAAIQA4/SH/1gAAAJQBAAALAAAAAAAAAAAAAAAAAC8BAABfcmVs&#10;cy8ucmVsc1BLAQItABQABgAIAAAAIQAaRoTF9gkAAGR5AAAOAAAAAAAAAAAAAAAAAC4CAABkcnMv&#10;ZTJvRG9jLnhtbFBLAQItABQABgAIAAAAIQBpbAIE3gAAAAUBAAAPAAAAAAAAAAAAAAAAAFAMAABk&#10;cnMvZG93bnJldi54bWxQSwUGAAAAAAQABADzAAAAWw0AAAAA&#10;">
                <v:rect id="Rectangle 21808" o:spid="_x0000_s6027" style="position:absolute;left:-13170;top:5569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x5xAAAAN4AAAAPAAAAZHJzL2Rvd25yZXYueG1sRE+7asMw&#10;FN0L+QdxA9kaORmKca2EkhDioUvSFDperOtHa10JS34kX18NhY6H8873s+nESL1vLSvYrBMQxKXV&#10;LdcKbh+n5xSED8gaO8uk4E4e9rvFU46ZthNfaLyGWsQQ9hkqaEJwmZS+bMigX1tHHLnK9gZDhH0t&#10;dY9TDDed3CbJizTYcmxo0NGhofLnOhgFX0d2xWmSZfU4uPfvIu3Ow+1TqdVyfnsFEWgO/+I/d6EV&#10;bDdpEvfGO/EKyN0vAAAA//8DAFBLAQItABQABgAIAAAAIQDb4fbL7gAAAIUBAAATAAAAAAAAAAAA&#10;AAAAAAAAAABbQ29udGVudF9UeXBlc10ueG1sUEsBAi0AFAAGAAgAAAAhAFr0LFu/AAAAFQEAAAsA&#10;AAAAAAAAAAAAAAAAHwEAAF9yZWxzLy5yZWxzUEsBAi0AFAAGAAgAAAAhAHcInHnEAAAA3gAAAA8A&#10;AAAAAAAAAAAAAAAABwIAAGRycy9kb3ducmV2LnhtbFBLBQYAAAAAAwADALcAAAD4AgAAAAA=&#10;" filled="f" stroked="f">
                  <v:textbox inset="0,0,0,0">
                    <w:txbxContent>
                      <w:p w14:paraId="04B7F38E" w14:textId="77777777" w:rsidR="00B32EF2" w:rsidRDefault="00000000">
                        <w:r>
                          <w:rPr>
                            <w:rFonts w:ascii="Arial" w:eastAsia="Arial" w:hAnsi="Arial" w:cs="Arial"/>
                            <w:sz w:val="18"/>
                          </w:rPr>
                          <w:t xml:space="preserve">a) il reiterato o grave ritardo nel compimento degli atti relativi all’esercizio delle </w:t>
                        </w:r>
                      </w:p>
                    </w:txbxContent>
                  </v:textbox>
                </v:rect>
                <v:rect id="Rectangle 21809" o:spid="_x0000_s6028" style="position:absolute;left:34202;top:54422;width:57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nixgAAAN4AAAAPAAAAZHJzL2Rvd25yZXYueG1sRI9Ba8JA&#10;FITvhf6H5RW81Y0eJE1dRRQxBy+1ETw+ss8kNft2ya4m+uvdQqHHYWa+YebLwbTiRp1vLCuYjBMQ&#10;xKXVDVcKiu/tewrCB2SNrWVScCcPy8XryxwzbXv+otshVCJC2GeooA7BZVL6siaDfmwdcfTOtjMY&#10;ouwqqTvsI9y0cpokM2mw4bhQo6N1TeXlcDUKTht2+baX5fmxdvufPG131+Ko1OhtWH2CCDSE//Bf&#10;O9cKppM0+YDfO/EKyMUTAAD//wMAUEsBAi0AFAAGAAgAAAAhANvh9svuAAAAhQEAABMAAAAAAAAA&#10;AAAAAAAAAAAAAFtDb250ZW50X1R5cGVzXS54bWxQSwECLQAUAAYACAAAACEAWvQsW78AAAAVAQAA&#10;CwAAAAAAAAAAAAAAAAAfAQAAX3JlbHMvLnJlbHNQSwECLQAUAAYACAAAACEAGEQ54sYAAADeAAAA&#10;DwAAAAAAAAAAAAAAAAAHAgAAZHJzL2Rvd25yZXYueG1sUEsFBgAAAAADAAMAtwAAAPoCAAAAAA==&#10;" filled="f" stroked="f">
                  <v:textbox inset="0,0,0,0">
                    <w:txbxContent>
                      <w:p w14:paraId="4F256C83" w14:textId="77777777" w:rsidR="00B32EF2" w:rsidRDefault="00000000">
                        <w:r>
                          <w:rPr>
                            <w:rFonts w:ascii="Arial" w:eastAsia="Arial" w:hAnsi="Arial" w:cs="Arial"/>
                            <w:sz w:val="18"/>
                          </w:rPr>
                          <w:t>funzioni;</w:t>
                        </w:r>
                      </w:p>
                    </w:txbxContent>
                  </v:textbox>
                </v:rect>
                <v:rect id="Rectangle 21810" o:spid="_x0000_s6029" style="position:absolute;left:-13169;top:53152;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waixAAAAN4AAAAPAAAAZHJzL2Rvd25yZXYueG1sRI/NisIw&#10;FIX3A75DuIK7Ma0LKdUooohduBnHgVlemmtbbW5CE22dpzcLYZaH88e3XA+mFQ/qfGNZQTpNQBCX&#10;VjdcKTh/7z8zED4ga2wtk4IneVivRh9LzLXt+Ysep1CJOMI+RwV1CC6X0pc1GfRT64ijd7GdwRBl&#10;V0ndYR/HTStnSTKXBhuODzU62tZU3k53o+B3x67Y97K8/G3d8Vpk7eF+/lFqMh42CxCBhvAffrcL&#10;rWCWZmkEiDgRBeTqBQAA//8DAFBLAQItABQABgAIAAAAIQDb4fbL7gAAAIUBAAATAAAAAAAAAAAA&#10;AAAAAAAAAABbQ29udGVudF9UeXBlc10ueG1sUEsBAi0AFAAGAAgAAAAhAFr0LFu/AAAAFQEAAAsA&#10;AAAAAAAAAAAAAAAAHwEAAF9yZWxzLy5yZWxzUEsBAi0AFAAGAAgAAAAhAAynBqLEAAAA3gAAAA8A&#10;AAAAAAAAAAAAAAAABwIAAGRycy9kb3ducmV2LnhtbFBLBQYAAAAAAwADALcAAAD4AgAAAAA=&#10;" filled="f" stroked="f">
                  <v:textbox inset="0,0,0,0">
                    <w:txbxContent>
                      <w:p w14:paraId="23D08B89" w14:textId="77777777" w:rsidR="00B32EF2" w:rsidRDefault="00000000">
                        <w:r>
                          <w:rPr>
                            <w:rFonts w:ascii="Arial" w:eastAsia="Arial" w:hAnsi="Arial" w:cs="Arial"/>
                            <w:sz w:val="18"/>
                          </w:rPr>
                          <w:t xml:space="preserve">b) i comportamenti che, violando i doveri di cui al comma 2, arrecano grave e </w:t>
                        </w:r>
                      </w:p>
                    </w:txbxContent>
                  </v:textbox>
                </v:rect>
                <v:rect id="Rectangle 21811" o:spid="_x0000_s6030" style="position:absolute;left:4001;top:51882;width:359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6M5xgAAAN4AAAAPAAAAZHJzL2Rvd25yZXYueG1sRI9Pi8Iw&#10;FMTvC36H8ARva1oPUqpRRBF78LL+AY+P5tl2t3kJTbTd/fSbhQWPw8z8hlmuB9OKJ3W+sawgnSYg&#10;iEurG64UXM779wyED8gaW8uk4Js8rFejtyXm2vb8Qc9TqESEsM9RQR2Cy6X0ZU0G/dQ64ujdbWcw&#10;RNlVUnfYR7hp5SxJ5tJgw3GhRkfbmsqv08MouO3YFftelvefrTt+Fll7eFyuSk3Gw2YBItAQXuH/&#10;dqEVzNIsTeHvTrwCcvULAAD//wMAUEsBAi0AFAAGAAgAAAAhANvh9svuAAAAhQEAABMAAAAAAAAA&#10;AAAAAAAAAAAAAFtDb250ZW50X1R5cGVzXS54bWxQSwECLQAUAAYACAAAACEAWvQsW78AAAAVAQAA&#10;CwAAAAAAAAAAAAAAAAAfAQAAX3JlbHMvLnJlbHNQSwECLQAUAAYACAAAACEAY+ujOcYAAADeAAAA&#10;DwAAAAAAAAAAAAAAAAAHAgAAZHJzL2Rvd25yZXYueG1sUEsFBgAAAAADAAMAtwAAAPoCAAAAAA==&#10;" filled="f" stroked="f">
                  <v:textbox inset="0,0,0,0">
                    <w:txbxContent>
                      <w:p w14:paraId="33FB3E5F" w14:textId="77777777" w:rsidR="00B32EF2" w:rsidRDefault="00000000">
                        <w:r>
                          <w:rPr>
                            <w:rFonts w:ascii="Arial" w:eastAsia="Arial" w:hAnsi="Arial" w:cs="Arial"/>
                            <w:sz w:val="18"/>
                          </w:rPr>
                          <w:t>ingiusto danno o indebito vantaggio a una delle parti;</w:t>
                        </w:r>
                      </w:p>
                    </w:txbxContent>
                  </v:textbox>
                </v:rect>
                <v:rect id="Rectangle 21812" o:spid="_x0000_s6031" style="position:absolute;left:-13170;top:5061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T1OxgAAAN4AAAAPAAAAZHJzL2Rvd25yZXYueG1sRI9Ba8JA&#10;FITvQv/D8gredJMcJKSuUizSHHrRKvT4yD6TaPbtkl1N2l/vCkKPw8x8wyzXo+nEjXrfWlaQzhMQ&#10;xJXVLdcKDt/bWQ7CB2SNnWVS8Ese1quXyRILbQfe0W0fahEh7AtU0ITgCil91ZBBP7eOOHon2xsM&#10;Ufa11D0OEW46mSXJQhpsOS406GjTUHXZX42Cnw925XaQ1elv477OZd59Xg9Hpaav4/sbiEBj+A8/&#10;26VWkKV5msHjTrwCcnUHAAD//wMAUEsBAi0AFAAGAAgAAAAhANvh9svuAAAAhQEAABMAAAAAAAAA&#10;AAAAAAAAAAAAAFtDb250ZW50X1R5cGVzXS54bWxQSwECLQAUAAYACAAAACEAWvQsW78AAAAVAQAA&#10;CwAAAAAAAAAAAAAAAAAfAQAAX3JlbHMvLnJlbHNQSwECLQAUAAYACAAAACEAkzk9TsYAAADeAAAA&#10;DwAAAAAAAAAAAAAAAAAHAgAAZHJzL2Rvd25yZXYueG1sUEsFBgAAAAADAAMAtwAAAPoCAAAAAA==&#10;" filled="f" stroked="f">
                  <v:textbox inset="0,0,0,0">
                    <w:txbxContent>
                      <w:p w14:paraId="081F5BCB" w14:textId="77777777" w:rsidR="00B32EF2" w:rsidRDefault="00000000">
                        <w:r>
                          <w:rPr>
                            <w:rFonts w:ascii="Arial" w:eastAsia="Arial" w:hAnsi="Arial" w:cs="Arial"/>
                            <w:sz w:val="18"/>
                          </w:rPr>
                          <w:t xml:space="preserve">c) l’uso della qualità di giudice tributario al fine di conseguire vantaggi ingiusti, </w:t>
                        </w:r>
                      </w:p>
                    </w:txbxContent>
                  </v:textbox>
                </v:rect>
                <v:rect id="Rectangle 21813" o:spid="_x0000_s6032" style="position:absolute;left:26607;top:49343;width:1331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ZjVxgAAAN4AAAAPAAAAZHJzL2Rvd25yZXYueG1sRI9Ba8JA&#10;FITvgv9heUJvuomFElJXKYqYQy9VCz0+ss8kbfbtkl1N6q93BcHjMDPfMIvVYFpxoc43lhWkswQE&#10;cWl1w5WC42E7zUD4gKyxtUwK/snDajkeLTDXtucvuuxDJSKEfY4K6hBcLqUvazLoZ9YRR+9kO4Mh&#10;yq6SusM+wk0r50nyJg02HBdqdLSuqfzbn42Cnw27YtvL8nRdu8/fImt35+O3Ui+T4eMdRKAhPMOP&#10;dqEVzNMsfYX7nXgF5PIGAAD//wMAUEsBAi0AFAAGAAgAAAAhANvh9svuAAAAhQEAABMAAAAAAAAA&#10;AAAAAAAAAAAAAFtDb250ZW50X1R5cGVzXS54bWxQSwECLQAUAAYACAAAACEAWvQsW78AAAAVAQAA&#10;CwAAAAAAAAAAAAAAAAAfAQAAX3JlbHMvLnJlbHNQSwECLQAUAAYACAAAACEA/HWY1cYAAADeAAAA&#10;DwAAAAAAAAAAAAAAAAAHAgAAZHJzL2Rvd25yZXYueG1sUEsFBgAAAAADAAMAtwAAAPoCAAAAAA==&#10;" filled="f" stroked="f">
                  <v:textbox inset="0,0,0,0">
                    <w:txbxContent>
                      <w:p w14:paraId="4D212721" w14:textId="77777777" w:rsidR="00B32EF2" w:rsidRDefault="00000000">
                        <w:r>
                          <w:rPr>
                            <w:rFonts w:ascii="Arial" w:eastAsia="Arial" w:hAnsi="Arial" w:cs="Arial"/>
                            <w:sz w:val="18"/>
                          </w:rPr>
                          <w:t>se abituale e grave;</w:t>
                        </w:r>
                      </w:p>
                    </w:txbxContent>
                  </v:textbox>
                </v:rect>
                <v:rect id="Rectangle 21814" o:spid="_x0000_s6033" style="position:absolute;left:-12203;top:48073;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AChxgAAAN4AAAAPAAAAZHJzL2Rvd25yZXYueG1sRI9Ba8JA&#10;FITvgv9heUJvuomUElJXKYqYQy9VCz0+ss8kbfbtkl1N6q93BcHjMDPfMIvVYFpxoc43lhWkswQE&#10;cWl1w5WC42E7zUD4gKyxtUwK/snDajkeLTDXtucvuuxDJSKEfY4K6hBcLqUvazLoZ9YRR+9kO4Mh&#10;yq6SusM+wk0r50nyJg02HBdqdLSuqfzbn42Cnw27YtvL8nRdu8/fImt35+O3Ui+T4eMdRKAhPMOP&#10;dqEVzNMsfYX7nXgF5PIGAAD//wMAUEsBAi0AFAAGAAgAAAAhANvh9svuAAAAhQEAABMAAAAAAAAA&#10;AAAAAAAAAAAAAFtDb250ZW50X1R5cGVzXS54bWxQSwECLQAUAAYACAAAACEAWvQsW78AAAAVAQAA&#10;CwAAAAAAAAAAAAAAAAAfAQAAX3JlbHMvLnJlbHNQSwECLQAUAAYACAAAACEAc5wAocYAAADeAAAA&#10;DwAAAAAAAAAAAAAAAAAHAgAAZHJzL2Rvd25yZXYueG1sUEsFBgAAAAADAAMAtwAAAPoCAAAAAA==&#10;" filled="f" stroked="f">
                  <v:textbox inset="0,0,0,0">
                    <w:txbxContent>
                      <w:p w14:paraId="3489EC5B" w14:textId="77777777" w:rsidR="00B32EF2" w:rsidRDefault="00000000">
                        <w:r>
                          <w:rPr>
                            <w:rFonts w:ascii="Arial" w:eastAsia="Arial" w:hAnsi="Arial" w:cs="Arial"/>
                            <w:sz w:val="18"/>
                          </w:rPr>
                          <w:t>d) il frequentare persona che consti essere stata dichiarata delinquente abi</w:t>
                        </w:r>
                      </w:p>
                    </w:txbxContent>
                  </v:textbox>
                </v:rect>
                <v:rect id="Rectangle 21815" o:spid="_x0000_s6034" style="position:absolute;left:193;top:48073;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KU6xgAAAN4AAAAPAAAAZHJzL2Rvd25yZXYueG1sRI9Ba8JA&#10;FITvgv9heUJvuonQElJXKYqYQy9VCz0+ss8kbfbtkl1N6q93BcHjMDPfMIvVYFpxoc43lhWkswQE&#10;cWl1w5WC42E7zUD4gKyxtUwK/snDajkeLTDXtucvuuxDJSKEfY4K6hBcLqUvazLoZ9YRR+9kO4Mh&#10;yq6SusM+wk0r50nyJg02HBdqdLSuqfzbn42Cnw27YtvL8nRdu8/fImt35+O3Ui+T4eMdRKAhPMOP&#10;dqEVzNMsfYX7nXgF5PIGAAD//wMAUEsBAi0AFAAGAAgAAAAhANvh9svuAAAAhQEAABMAAAAAAAAA&#10;AAAAAAAAAAAAAFtDb250ZW50X1R5cGVzXS54bWxQSwECLQAUAAYACAAAACEAWvQsW78AAAAVAQAA&#10;CwAAAAAAAAAAAAAAAAAfAQAAX3JlbHMvLnJlbHNQSwECLQAUAAYACAAAACEAHNClOsYAAADeAAAA&#10;DwAAAAAAAAAAAAAAAAAHAgAAZHJzL2Rvd25yZXYueG1sUEsFBgAAAAADAAMAtwAAAPoCAAAAAA==&#10;" filled="f" stroked="f">
                  <v:textbox inset="0,0,0,0">
                    <w:txbxContent>
                      <w:p w14:paraId="07B458A3" w14:textId="77777777" w:rsidR="00B32EF2" w:rsidRDefault="00000000">
                        <w:r>
                          <w:rPr>
                            <w:rFonts w:ascii="Arial" w:eastAsia="Arial" w:hAnsi="Arial" w:cs="Arial"/>
                            <w:sz w:val="18"/>
                          </w:rPr>
                          <w:t>-</w:t>
                        </w:r>
                      </w:p>
                    </w:txbxContent>
                  </v:textbox>
                </v:rect>
                <v:rect id="Rectangle 21816" o:spid="_x0000_s6035" style="position:absolute;left:-13170;top:4680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jtNxgAAAN4AAAAPAAAAZHJzL2Rvd25yZXYueG1sRI9Ba8JA&#10;FITvBf/D8oTe6iYeJERXEUXMoZeqhR4f2WcSzb5dsquJ/vpuoeBxmJlvmMVqMK24U+cbywrSSQKC&#10;uLS64UrB6bj7yED4gKyxtUwKHuRhtRy9LTDXtucvuh9CJSKEfY4K6hBcLqUvazLoJ9YRR+9sO4Mh&#10;yq6SusM+wk0rp0kykwYbjgs1OtrUVF4PN6PgZ8uu2PWyPD837vNSZO3+dvpW6n08rOcgAg3hFf5v&#10;F1rBNM3SGfzdiVdALn8BAAD//wMAUEsBAi0AFAAGAAgAAAAhANvh9svuAAAAhQEAABMAAAAAAAAA&#10;AAAAAAAAAAAAAFtDb250ZW50X1R5cGVzXS54bWxQSwECLQAUAAYACAAAACEAWvQsW78AAAAVAQAA&#10;CwAAAAAAAAAAAAAAAAAfAQAAX3JlbHMvLnJlbHNQSwECLQAUAAYACAAAACEA7AI7TcYAAADeAAAA&#10;DwAAAAAAAAAAAAAAAAAHAgAAZHJzL2Rvd25yZXYueG1sUEsFBgAAAAADAAMAtwAAAPoCAAAAAA==&#10;" filled="f" stroked="f">
                  <v:textbox inset="0,0,0,0">
                    <w:txbxContent>
                      <w:p w14:paraId="56705364" w14:textId="77777777" w:rsidR="00B32EF2" w:rsidRDefault="00000000">
                        <w:r>
                          <w:rPr>
                            <w:rFonts w:ascii="Arial" w:eastAsia="Arial" w:hAnsi="Arial" w:cs="Arial"/>
                            <w:sz w:val="18"/>
                          </w:rPr>
                          <w:t xml:space="preserve">tuale, professionale o per tendenza o aver subito condanna per delitti non </w:t>
                        </w:r>
                      </w:p>
                    </w:txbxContent>
                  </v:textbox>
                </v:rect>
                <v:rect id="Rectangle 21817" o:spid="_x0000_s6036" style="position:absolute;left:-13169;top:45533;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p7WxgAAAN4AAAAPAAAAZHJzL2Rvd25yZXYueG1sRI9Ba8JA&#10;FITvgv9heUJvuomHNqSuUhQxh16qFnp8ZJ9J2uzbJbua1F/vCoLHYWa+YRarwbTiQp1vLCtIZwkI&#10;4tLqhisFx8N2moHwAVlja5kU/JOH1XI8WmCubc9fdNmHSkQI+xwV1CG4XEpf1mTQz6wjjt7JdgZD&#10;lF0ldYd9hJtWzpPkVRpsOC7U6GhdU/m3PxsFPxt2xbaX5em6dp+/RdbuzsdvpV4mw8c7iEBDeIYf&#10;7UIrmKdZ+gb3O/EKyOUNAAD//wMAUEsBAi0AFAAGAAgAAAAhANvh9svuAAAAhQEAABMAAAAAAAAA&#10;AAAAAAAAAAAAAFtDb250ZW50X1R5cGVzXS54bWxQSwECLQAUAAYACAAAACEAWvQsW78AAAAVAQAA&#10;CwAAAAAAAAAAAAAAAAAfAQAAX3JlbHMvLnJlbHNQSwECLQAUAAYACAAAACEAg06e1sYAAADeAAAA&#10;DwAAAAAAAAAAAAAAAAAHAgAAZHJzL2Rvd25yZXYueG1sUEsFBgAAAAADAAMAtwAAAPoCAAAAAA==&#10;" filled="f" stroked="f">
                  <v:textbox inset="0,0,0,0">
                    <w:txbxContent>
                      <w:p w14:paraId="4FD93BDE" w14:textId="77777777" w:rsidR="00B32EF2" w:rsidRDefault="00000000">
                        <w:r>
                          <w:rPr>
                            <w:rFonts w:ascii="Arial" w:eastAsia="Arial" w:hAnsi="Arial" w:cs="Arial"/>
                            <w:sz w:val="18"/>
                          </w:rPr>
                          <w:t xml:space="preserve">colposi alla pena della reclusione superiore a tre anni o essere sottoposta ad </w:t>
                        </w:r>
                      </w:p>
                    </w:txbxContent>
                  </v:textbox>
                </v:rect>
                <v:rect id="Rectangle 21818" o:spid="_x0000_s6037" style="position:absolute;left:-13170;top:4426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QqkwwAAAN4AAAAPAAAAZHJzL2Rvd25yZXYueG1sRE9Ni8Iw&#10;EL0v+B/CCN7WtB6kVKOIIvbgZV0X9jg0Y1ttJqGJtu6vNwdhj4/3vVwPphUP6nxjWUE6TUAQl1Y3&#10;XCk4f+8/MxA+IGtsLZOCJ3lYr0YfS8y17fmLHqdQiRjCPkcFdQgul9KXNRn0U+uII3exncEQYVdJ&#10;3WEfw00rZ0kylwYbjg01OtrWVN5Od6Pgd8eu2PeyvPxt3fFaZO3hfv5RajIeNgsQgYbwL367C61g&#10;lmZp3BvvxCsgVy8AAAD//wMAUEsBAi0AFAAGAAgAAAAhANvh9svuAAAAhQEAABMAAAAAAAAAAAAA&#10;AAAAAAAAAFtDb250ZW50X1R5cGVzXS54bWxQSwECLQAUAAYACAAAACEAWvQsW78AAAAVAQAACwAA&#10;AAAAAAAAAAAAAAAfAQAAX3JlbHMvLnJlbHNQSwECLQAUAAYACAAAACEA8tEKpMMAAADeAAAADwAA&#10;AAAAAAAAAAAAAAAHAgAAZHJzL2Rvd25yZXYueG1sUEsFBgAAAAADAAMAtwAAAPcCAAAAAA==&#10;" filled="f" stroked="f">
                  <v:textbox inset="0,0,0,0">
                    <w:txbxContent>
                      <w:p w14:paraId="6C6F8F30" w14:textId="77777777" w:rsidR="00B32EF2" w:rsidRDefault="00000000">
                        <w:r>
                          <w:rPr>
                            <w:rFonts w:ascii="Arial" w:eastAsia="Arial" w:hAnsi="Arial" w:cs="Arial"/>
                            <w:sz w:val="18"/>
                          </w:rPr>
                          <w:t xml:space="preserve">una misura di prevenzione, salvo che sia intervenuta la riabilitazione, ovvero </w:t>
                        </w:r>
                      </w:p>
                    </w:txbxContent>
                  </v:textbox>
                </v:rect>
                <v:rect id="Rectangle 21819" o:spid="_x0000_s6038" style="position:absolute;left:-4676;top:42993;width:445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a8/xgAAAN4AAAAPAAAAZHJzL2Rvd25yZXYueG1sRI9Ba8JA&#10;FITvBf/D8oTe6iYeSoyuIoqYQy9VCz0+ss8kmn27ZFeT9td3C4LHYWa+YRarwbTiTp1vLCtIJwkI&#10;4tLqhisFp+PuLQPhA7LG1jIp+CEPq+XoZYG5tj1/0v0QKhEh7HNUUIfgcil9WZNBP7GOOHpn2xkM&#10;UXaV1B32EW5aOU2Sd2mw4bhQo6NNTeX1cDMKvrfsil0vy/Pvxn1ciqzd305fSr2Oh/UcRKAhPMOP&#10;dqEVTNMsncH/nXgF5PIPAAD//wMAUEsBAi0AFAAGAAgAAAAhANvh9svuAAAAhQEAABMAAAAAAAAA&#10;AAAAAAAAAAAAAFtDb250ZW50X1R5cGVzXS54bWxQSwECLQAUAAYACAAAACEAWvQsW78AAAAVAQAA&#10;CwAAAAAAAAAAAAAAAAAfAQAAX3JlbHMvLnJlbHNQSwECLQAUAAYACAAAACEAnZ2vP8YAAADeAAAA&#10;DwAAAAAAAAAAAAAAAAAHAgAAZHJzL2Rvd25yZXYueG1sUEsFBgAAAAADAAMAtwAAAPoCAAAAAA==&#10;" filled="f" stroked="f">
                  <v:textbox inset="0,0,0,0">
                    <w:txbxContent>
                      <w:p w14:paraId="21C61B15" w14:textId="77777777" w:rsidR="00B32EF2" w:rsidRDefault="00000000">
                        <w:r>
                          <w:rPr>
                            <w:rFonts w:ascii="Arial" w:eastAsia="Arial" w:hAnsi="Arial" w:cs="Arial"/>
                            <w:sz w:val="18"/>
                          </w:rPr>
                          <w:t>l’intrattenere rapporti consapevoli di affari con una di tali persone.</w:t>
                        </w:r>
                      </w:p>
                    </w:txbxContent>
                  </v:textbox>
                </v:rect>
                <v:rect id="Rectangle 202104" o:spid="_x0000_s6039" style="position:absolute;left:26110;top:41723;width:530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U5BxwAAAN8AAAAPAAAAZHJzL2Rvd25yZXYueG1sRI9BawIx&#10;FITvQv9DeIXeNHEpIqtRxCLdQy9aCz0+Ns/d1c1L2ER321/fCEKPw8x8wyzXg23FjbrQONYwnSgQ&#10;xKUzDVcajp+78RxEiMgGW8ek4YcCrFdPoyXmxvW8p9shViJBOOSooY7R51KGsiaLYeI8cfJOrrMY&#10;k+wqaTrsE9y2MlNqJi02nBZq9LStqbwcrlbD9xv7YtfL8vS79R/nYt6+X49fWr88D5sFiEhD/A8/&#10;2oXRkKlsql7h/id9Abn6AwAA//8DAFBLAQItABQABgAIAAAAIQDb4fbL7gAAAIUBAAATAAAAAAAA&#10;AAAAAAAAAAAAAABbQ29udGVudF9UeXBlc10ueG1sUEsBAi0AFAAGAAgAAAAhAFr0LFu/AAAAFQEA&#10;AAsAAAAAAAAAAAAAAAAAHwEAAF9yZWxzLy5yZWxzUEsBAi0AFAAGAAgAAAAhAMcFTkHHAAAA3wAA&#10;AA8AAAAAAAAAAAAAAAAABwIAAGRycy9kb3ducmV2LnhtbFBLBQYAAAAAAwADALcAAAD7AgAAAAA=&#10;" filled="f" stroked="f">
                  <v:textbox inset="0,0,0,0">
                    <w:txbxContent>
                      <w:p w14:paraId="39CFD3F3" w14:textId="77777777" w:rsidR="00B32EF2" w:rsidRDefault="00000000">
                        <w:r>
                          <w:rPr>
                            <w:rFonts w:ascii="Arial" w:eastAsia="Arial" w:hAnsi="Arial" w:cs="Arial"/>
                            <w:sz w:val="18"/>
                          </w:rPr>
                          <w:t>6</w:t>
                        </w:r>
                      </w:p>
                    </w:txbxContent>
                  </v:textbox>
                </v:rect>
                <v:rect id="Rectangle 202111" o:spid="_x0000_s6040" style="position:absolute;left:-13812;top:41723;width:530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3sExwAAAN8AAAAPAAAAZHJzL2Rvd25yZXYueG1sRI9Pi8Iw&#10;FMTvC36H8ARva9oeRKpRRBF78LL+AY+P5tl2t3kJTbTd/fSbhQWPw8z8hlmuB9OKJ3W+sawgnSYg&#10;iEurG64UXM779zkIH5A1tpZJwTd5WK9Gb0vMte35g56nUIkIYZ+jgjoEl0vpy5oM+ql1xNG7285g&#10;iLKrpO6wj3DTyixJZtJgw3GhRkfbmsqv08MouO3YFftelvefrTt+FvP28LhclZqMh80CRKAhvML/&#10;7UIryJIsTVP4+xO/gFz9AgAA//8DAFBLAQItABQABgAIAAAAIQDb4fbL7gAAAIUBAAATAAAAAAAA&#10;AAAAAAAAAAAAAABbQ29udGVudF9UeXBlc10ueG1sUEsBAi0AFAAGAAgAAAAhAFr0LFu/AAAAFQEA&#10;AAsAAAAAAAAAAAAAAAAAHwEAAF9yZWxzLy5yZWxzUEsBAi0AFAAGAAgAAAAhAFKrewTHAAAA3wAA&#10;AA8AAAAAAAAAAAAAAAAABwIAAGRycy9kb3ducmV2LnhtbFBLBQYAAAAAAwADALcAAAD7AgAAAAA=&#10;" filled="f" stroked="f">
                  <v:textbox inset="0,0,0,0">
                    <w:txbxContent>
                      <w:p w14:paraId="0B1F99CA" w14:textId="77777777" w:rsidR="00B32EF2" w:rsidRDefault="00000000">
                        <w:r>
                          <w:rPr>
                            <w:rFonts w:ascii="Arial" w:eastAsia="Arial" w:hAnsi="Arial" w:cs="Arial"/>
                            <w:sz w:val="18"/>
                          </w:rPr>
                          <w:t xml:space="preserve">. Si applica la sanzione dell’incapacità a esercitare un incarico direttivo per </w:t>
                        </w:r>
                      </w:p>
                    </w:txbxContent>
                  </v:textbox>
                </v:rect>
                <v:rect id="Rectangle 21821" o:spid="_x0000_s6041" style="position:absolute;left:-12205;top:40453;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2mExgAAAN4AAAAPAAAAZHJzL2Rvd25yZXYueG1sRI9Ba8JA&#10;FITvQv/D8gredJMcJKSuUizSHHrRKvT4yD6TaPbtkl1N2l/vCkKPw8x8wyzXo+nEjXrfWlaQzhMQ&#10;xJXVLdcKDt/bWQ7CB2SNnWVS8Ese1quXyRILbQfe0W0fahEh7AtU0ITgCil91ZBBP7eOOHon2xsM&#10;Ufa11D0OEW46mSXJQhpsOS406GjTUHXZX42Cnw925XaQ1elv477OZd59Xg9Hpaav4/sbiEBj+A8/&#10;26VWkKV5lsLjTrwCcnUHAAD//wMAUEsBAi0AFAAGAAgAAAAhANvh9svuAAAAhQEAABMAAAAAAAAA&#10;AAAAAAAAAAAAAFtDb250ZW50X1R5cGVzXS54bWxQSwECLQAUAAYACAAAACEAWvQsW78AAAAVAQAA&#10;CwAAAAAAAAAAAAAAAAAfAQAAX3JlbHMvLnJlbHNQSwECLQAUAAYACAAAACEArYdphMYAAADeAAAA&#10;DwAAAAAAAAAAAAAAAAAHAgAAZHJzL2Rvd25yZXYueG1sUEsFBgAAAAADAAMAtwAAAPoCAAAAAA==&#10;" filled="f" stroked="f">
                  <v:textbox inset="0,0,0,0">
                    <w:txbxContent>
                      <w:p w14:paraId="141B630B" w14:textId="77777777" w:rsidR="00B32EF2" w:rsidRDefault="00000000">
                        <w:r>
                          <w:rPr>
                            <w:rFonts w:ascii="Arial" w:eastAsia="Arial" w:hAnsi="Arial" w:cs="Arial"/>
                            <w:sz w:val="18"/>
                          </w:rPr>
                          <w:t>l’interferenza, nell’attività di altro giudice tributario, da parte del presidente del</w:t>
                        </w:r>
                      </w:p>
                    </w:txbxContent>
                  </v:textbox>
                </v:rect>
                <v:rect id="Rectangle 21822" o:spid="_x0000_s6042" style="position:absolute;left:193;top:40453;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ffzxgAAAN4AAAAPAAAAZHJzL2Rvd25yZXYueG1sRI9Ba8JA&#10;FITvQv/D8gq9mY05lBBdpVjEHLxoFTw+ss8kbfbtkl1N2l/vCkKPw8x8wyxWo+nEjXrfWlYwS1IQ&#10;xJXVLdcKjl+baQ7CB2SNnWVS8EseVsuXyQILbQfe0+0QahEh7AtU0ITgCil91ZBBn1hHHL2L7Q2G&#10;KPta6h6HCDedzNL0XRpsOS406GjdUPVzuBoF50925WaQ1eVv7XbfZd5tr8eTUm+v48ccRKAx/Ief&#10;7VIryGZ5lsHjTrwCcnkHAAD//wMAUEsBAi0AFAAGAAgAAAAhANvh9svuAAAAhQEAABMAAAAAAAAA&#10;AAAAAAAAAAAAAFtDb250ZW50X1R5cGVzXS54bWxQSwECLQAUAAYACAAAACEAWvQsW78AAAAVAQAA&#10;CwAAAAAAAAAAAAAAAAAfAQAAX3JlbHMvLnJlbHNQSwECLQAUAAYACAAAACEAXVX388YAAADeAAAA&#10;DwAAAAAAAAAAAAAAAAAHAgAAZHJzL2Rvd25yZXYueG1sUEsFBgAAAAADAAMAtwAAAPoCAAAAAA==&#10;" filled="f" stroked="f">
                  <v:textbox inset="0,0,0,0">
                    <w:txbxContent>
                      <w:p w14:paraId="6DDB525F" w14:textId="77777777" w:rsidR="00B32EF2" w:rsidRDefault="00000000">
                        <w:r>
                          <w:rPr>
                            <w:rFonts w:ascii="Arial" w:eastAsia="Arial" w:hAnsi="Arial" w:cs="Arial"/>
                            <w:sz w:val="18"/>
                          </w:rPr>
                          <w:t>-</w:t>
                        </w:r>
                      </w:p>
                    </w:txbxContent>
                  </v:textbox>
                </v:rect>
                <v:rect id="Rectangle 21823" o:spid="_x0000_s6043" style="position:absolute;left:10212;top:39184;width:297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VJoxgAAAN4AAAAPAAAAZHJzL2Rvd25yZXYueG1sRI9Ba8JA&#10;FITvBf/D8gRvdWMECamrFEXMwYtWweMj+0zSZt8u2dXE/vpuodDjMDPfMMv1YFrxoM43lhXMpgkI&#10;4tLqhisF54/dawbCB2SNrWVS8CQP69XoZYm5tj0f6XEKlYgQ9jkqqENwuZS+rMmgn1pHHL2b7QyG&#10;KLtK6g77CDetTJNkIQ02HBdqdLSpqfw63Y2C65ZdsetlefveuMNnkbX7+/mi1GQ8vL+BCDSE//Bf&#10;u9AK0lmWzuH3TrwCcvUDAAD//wMAUEsBAi0AFAAGAAgAAAAhANvh9svuAAAAhQEAABMAAAAAAAAA&#10;AAAAAAAAAAAAAFtDb250ZW50X1R5cGVzXS54bWxQSwECLQAUAAYACAAAACEAWvQsW78AAAAVAQAA&#10;CwAAAAAAAAAAAAAAAAAfAQAAX3JlbHMvLnJlbHNQSwECLQAUAAYACAAAACEAMhlSaMYAAADeAAAA&#10;DwAAAAAAAAAAAAAAAAAHAgAAZHJzL2Rvd25yZXYueG1sUEsFBgAAAAADAAMAtwAAAPoCAAAAAA==&#10;" filled="f" stroked="f">
                  <v:textbox inset="0,0,0,0">
                    <w:txbxContent>
                      <w:p w14:paraId="554B9EEC" w14:textId="77777777" w:rsidR="00B32EF2" w:rsidRDefault="00000000">
                        <w:r>
                          <w:rPr>
                            <w:rFonts w:ascii="Arial" w:eastAsia="Arial" w:hAnsi="Arial" w:cs="Arial"/>
                            <w:sz w:val="18"/>
                          </w:rPr>
                          <w:t>la corte o della sezione, se ripetuta o grave.</w:t>
                        </w:r>
                      </w:p>
                    </w:txbxContent>
                  </v:textbox>
                </v:rect>
                <v:rect id="Rectangle 202101" o:spid="_x0000_s6044" style="position:absolute;left:-13695;top:3791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u3ZxwAAAN8AAAAPAAAAZHJzL2Rvd25yZXYueG1sRI9Ba8JA&#10;FITvhf6H5RV6q7vJoUjqKqKIOXipVejxkX0m0ezbJbua6K/vFgo9DjPzDTNbjLYTN+pD61hDNlEg&#10;iCtnWq41HL42b1MQISIb7ByThjsFWMyfn2ZYGDfwJ932sRYJwqFADU2MvpAyVA1ZDBPniZN3cr3F&#10;mGRfS9PjkOC2k7lS79Jiy2mhQU+rhqrL/mo1fK/Zl5tBVqfHyu/O5bTbXg9HrV9fxuUHiEhj/A//&#10;tUujIVd5pjL4/ZO+gJz/AAAA//8DAFBLAQItABQABgAIAAAAIQDb4fbL7gAAAIUBAAATAAAAAAAA&#10;AAAAAAAAAAAAAABbQ29udGVudF9UeXBlc10ueG1sUEsBAi0AFAAGAAgAAAAhAFr0LFu/AAAAFQEA&#10;AAsAAAAAAAAAAAAAAAAAHwEAAF9yZWxzLy5yZWxzUEsBAi0AFAAGAAgAAAAhANdy7dnHAAAA3wAA&#10;AA8AAAAAAAAAAAAAAAAABwIAAGRycy9kb3ducmV2LnhtbFBLBQYAAAAAAwADALcAAAD7AgAAAAA=&#10;" filled="f" stroked="f">
                  <v:textbox inset="0,0,0,0">
                    <w:txbxContent>
                      <w:p w14:paraId="5370EF94" w14:textId="77777777" w:rsidR="00B32EF2" w:rsidRDefault="00000000">
                        <w:r>
                          <w:rPr>
                            <w:rFonts w:ascii="Arial" w:eastAsia="Arial" w:hAnsi="Arial" w:cs="Arial"/>
                            <w:sz w:val="18"/>
                          </w:rPr>
                          <w:t xml:space="preserve">. Si applica la rimozione dall’incarico nei casi di recidiva in trasgressioni di cui </w:t>
                        </w:r>
                      </w:p>
                    </w:txbxContent>
                  </v:textbox>
                </v:rect>
                <v:rect id="Rectangle 202099" o:spid="_x0000_s6045" style="position:absolute;left:26111;top:3791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3vFyAAAAN8AAAAPAAAAZHJzL2Rvd25yZXYueG1sRI9Ba8JA&#10;FITvhf6H5RV6q7vNQTR1FbGIOfSiTaHHR/aZpGbfLtnVpP31riD0OMzMN8xiNdpOXKgPrWMNrxMF&#10;grhypuVaQ/m5fZmBCBHZYOeYNPxSgNXy8WGBuXED7+lyiLVIEA45amhi9LmUoWrIYpg4T5y8o+st&#10;xiT7WpoehwS3ncyUmkqLLaeFBj1tGqpOh7PV8P3OvtgOsjr+bfzHTzHrdufyS+vnp3H9BiLSGP/D&#10;93ZhNGQqU/M53P6kLyCXVwAAAP//AwBQSwECLQAUAAYACAAAACEA2+H2y+4AAACFAQAAEwAAAAAA&#10;AAAAAAAAAAAAAAAAW0NvbnRlbnRfVHlwZXNdLnhtbFBLAQItABQABgAIAAAAIQBa9CxbvwAAABUB&#10;AAALAAAAAAAAAAAAAAAAAB8BAABfcmVscy8ucmVsc1BLAQItABQABgAIAAAAIQC373vFyAAAAN8A&#10;AAAPAAAAAAAAAAAAAAAAAAcCAABkcnMvZG93bnJldi54bWxQSwUGAAAAAAMAAwC3AAAA/AIAAAAA&#10;" filled="f" stroked="f">
                  <v:textbox inset="0,0,0,0">
                    <w:txbxContent>
                      <w:p w14:paraId="62A0F477" w14:textId="77777777" w:rsidR="00B32EF2" w:rsidRDefault="00000000">
                        <w:r>
                          <w:rPr>
                            <w:rFonts w:ascii="Arial" w:eastAsia="Arial" w:hAnsi="Arial" w:cs="Arial"/>
                            <w:sz w:val="18"/>
                          </w:rPr>
                          <w:t>7</w:t>
                        </w:r>
                      </w:p>
                    </w:txbxContent>
                  </v:textbox>
                </v:rect>
                <v:rect id="Rectangle 21825" o:spid="_x0000_s6046" style="position:absolute;left:29529;top:36644;width:103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G+HxgAAAN4AAAAPAAAAZHJzL2Rvd25yZXYueG1sRI9Ba8JA&#10;FITvBf/D8gRvdWNACamrFEXMwYtWweMj+0zSZt8u2dXE/vpuodDjMDPfMMv1YFrxoM43lhXMpgkI&#10;4tLqhisF54/dawbCB2SNrWVS8CQP69XoZYm5tj0f6XEKlYgQ9jkqqENwuZS+rMmgn1pHHL2b7QyG&#10;KLtK6g77CDetTJNkIQ02HBdqdLSpqfw63Y2C65ZdsetlefveuMNnkbX7+/mi1GQ8vL+BCDSE//Bf&#10;u9AK0lmWzuH3TrwCcvUDAAD//wMAUEsBAi0AFAAGAAgAAAAhANvh9svuAAAAhQEAABMAAAAAAAAA&#10;AAAAAAAAAAAAAFtDb250ZW50X1R5cGVzXS54bWxQSwECLQAUAAYACAAAACEAWvQsW78AAAAVAQAA&#10;CwAAAAAAAAAAAAAAAAAfAQAAX3JlbHMvLnJlbHNQSwECLQAUAAYACAAAACEA0rxvh8YAAADeAAAA&#10;DwAAAAAAAAAAAAAAAAAHAgAAZHJzL2Rvd25yZXYueG1sUEsFBgAAAAADAAMAtwAAAPoCAAAAAA==&#10;" filled="f" stroked="f">
                  <v:textbox inset="0,0,0,0">
                    <w:txbxContent>
                      <w:p w14:paraId="569B29B7" w14:textId="77777777" w:rsidR="00B32EF2" w:rsidRDefault="00000000">
                        <w:r>
                          <w:rPr>
                            <w:rFonts w:ascii="Arial" w:eastAsia="Arial" w:hAnsi="Arial" w:cs="Arial"/>
                            <w:sz w:val="18"/>
                          </w:rPr>
                          <w:t>ai commi 5 e 6.</w:t>
                        </w:r>
                      </w:p>
                    </w:txbxContent>
                  </v:textbox>
                </v:rect>
                <v:rect id="Rectangle 21826" o:spid="_x0000_s6047" style="position:absolute;left:15076;top:34177;width:80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vHwxgAAAN4AAAAPAAAAZHJzL2Rvd25yZXYueG1sRI9Ba8JA&#10;FITvBf/D8oTe6sYcJERXEUXMoZeqhR4f2WcSzb5dsquJ/vpuoeBxmJlvmMVqMK24U+cbywqmkwQE&#10;cWl1w5WC03H3kYHwAVlja5kUPMjDajl6W2Cubc9fdD+ESkQI+xwV1CG4XEpf1mTQT6wjjt7ZdgZD&#10;lF0ldYd9hJtWpkkykwYbjgs1OtrUVF4PN6PgZ8uu2PWyPD837vNSZO3+dvpW6n08rOcgAg3hFf5v&#10;F1pBOs3SGfzdiVdALn8BAAD//wMAUEsBAi0AFAAGAAgAAAAhANvh9svuAAAAhQEAABMAAAAAAAAA&#10;AAAAAAAAAAAAAFtDb250ZW50X1R5cGVzXS54bWxQSwECLQAUAAYACAAAACEAWvQsW78AAAAVAQAA&#10;CwAAAAAAAAAAAAAAAAAfAQAAX3JlbHMvLnJlbHNQSwECLQAUAAYACAAAACEAIm7x8MYAAADeAAAA&#10;DwAAAAAAAAAAAAAAAAAHAgAAZHJzL2Rvd25yZXYueG1sUEsFBgAAAAADAAMAtwAAAPoCAAAAAA==&#10;" filled="f" stroked="f">
                  <v:textbox inset="0,0,0,0">
                    <w:txbxContent>
                      <w:p w14:paraId="182B0F79" w14:textId="77777777" w:rsidR="00B32EF2" w:rsidRDefault="00000000">
                        <w:r>
                          <w:rPr>
                            <w:rFonts w:ascii="Arial" w:eastAsia="Arial" w:hAnsi="Arial" w:cs="Arial"/>
                            <w:b/>
                            <w:sz w:val="18"/>
                          </w:rPr>
                          <w:t>Articolo 23</w:t>
                        </w:r>
                      </w:p>
                    </w:txbxContent>
                  </v:textbox>
                </v:rect>
                <v:rect id="Rectangle 202097" o:spid="_x0000_s6048" style="position:absolute;left:11667;top:32944;width:193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EosyAAAAN8AAAAPAAAAZHJzL2Rvd25yZXYueG1sRI9BawIx&#10;FITvQv9DeIXeatI9VLsaRSzSPfRSq+DxsXnurm5ewia62/56Uyh4HGbmG2a+HGwrrtSFxrGGl7EC&#10;QVw603ClYfe9eZ6CCBHZYOuYNPxQgOXiYTTH3Liev+i6jZVIEA45aqhj9LmUoazJYhg7T5y8o+ss&#10;xiS7SpoO+wS3rcyUepUWG04LNXpa11Setxer4fDOvtj0sjz+rv3nqZi2H5fdXuunx2E1AxFpiPfw&#10;f7swGjKVqbcJ/P1JX0AubgAAAP//AwBQSwECLQAUAAYACAAAACEA2+H2y+4AAACFAQAAEwAAAAAA&#10;AAAAAAAAAAAAAAAAW0NvbnRlbnRfVHlwZXNdLnhtbFBLAQItABQABgAIAAAAIQBa9CxbvwAAABUB&#10;AAALAAAAAAAAAAAAAAAAAB8BAABfcmVscy8ucmVsc1BLAQItABQABgAIAAAAIQCpPEosyAAAAN8A&#10;AAAPAAAAAAAAAAAAAAAAAAcCAABkcnMvZG93bnJldi54bWxQSwUGAAAAAAMAAwC3AAAA/AIAAAAA&#10;" filled="f" stroked="f">
                  <v:textbox inset="0,0,0,0">
                    <w:txbxContent>
                      <w:p w14:paraId="7CFEC56F" w14:textId="77777777" w:rsidR="00B32EF2" w:rsidRDefault="00000000">
                        <w:r>
                          <w:rPr>
                            <w:rFonts w:ascii="Arial" w:eastAsia="Arial" w:hAnsi="Arial" w:cs="Arial"/>
                            <w:i/>
                            <w:sz w:val="18"/>
                          </w:rPr>
                          <w:t xml:space="preserve">articolo 16 D.lgs. n. </w:t>
                        </w:r>
                      </w:p>
                    </w:txbxContent>
                  </v:textbox>
                </v:rect>
                <v:rect id="Rectangle 202096" o:spid="_x0000_s6049" style="position:absolute;left:-2546;top:32944;width:193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3xwAAAN8AAAAPAAAAZHJzL2Rvd25yZXYueG1sRI9BawIx&#10;FITvQv9DeIXeNOkexG6NIhbpHnrRWujxsXnubt28hE10t/56Iwgeh5n5hpkvB9uKM3WhcazhdaJA&#10;EJfONFxp2H9vxjMQISIbbB2Thn8KsFw8jeaYG9fzls67WIkE4ZCjhjpGn0sZyposhonzxMk7uM5i&#10;TLKrpOmwT3DbykypqbTYcFqo0dO6pvK4O1kNvx/si00vy8Nl7b/+iln7edr/aP3yPKzeQUQa4iN8&#10;bxdGQ6Yy9TaF25/0BeTiCgAA//8DAFBLAQItABQABgAIAAAAIQDb4fbL7gAAAIUBAAATAAAAAAAA&#10;AAAAAAAAAAAAAABbQ29udGVudF9UeXBlc10ueG1sUEsBAi0AFAAGAAgAAAAhAFr0LFu/AAAAFQEA&#10;AAsAAAAAAAAAAAAAAAAAHwEAAF9yZWxzLy5yZWxzUEsBAi0AFAAGAAgAAAAhAMZw77fHAAAA3wAA&#10;AA8AAAAAAAAAAAAAAAAABwIAAGRycy9kb3ducmV2LnhtbFBLBQYAAAAAAwADALcAAAD7AgAAAAA=&#10;" filled="f" stroked="f">
                  <v:textbox inset="0,0,0,0">
                    <w:txbxContent>
                      <w:p w14:paraId="10707EF8" w14:textId="77777777" w:rsidR="00B32EF2" w:rsidRDefault="00000000">
                        <w:r>
                          <w:rPr>
                            <w:rFonts w:ascii="Arial" w:eastAsia="Arial" w:hAnsi="Arial" w:cs="Arial"/>
                            <w:i/>
                            <w:sz w:val="18"/>
                          </w:rPr>
                          <w:t>545/92)</w:t>
                        </w:r>
                      </w:p>
                    </w:txbxContent>
                  </v:textbox>
                </v:rect>
                <v:rect id="Rectangle 202094" o:spid="_x0000_s6050" style="position:absolute;left:22214;top:32944;width:193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tRbyAAAAN8AAAAPAAAAZHJzL2Rvd25yZXYueG1sRI9BawIx&#10;FITvQv9DeIXeatKliF2NIhbpHnqpVfD42Dx3VzcvYRPdbX+9KRQ8DjPzDTNfDrYVV+pC41jDy1iB&#10;IC6dabjSsPvePE9BhIhssHVMGn4owHLxMJpjblzPX3TdxkokCIccNdQx+lzKUNZkMYydJ07e0XUW&#10;Y5JdJU2HfYLbVmZKTaTFhtNCjZ7WNZXn7cVqOLyzLza9LI+/a/95Kqbtx2W31/rpcVjNQEQa4j38&#10;3y6Mhkxl6u0V/v6kLyAXNwAAAP//AwBQSwECLQAUAAYACAAAACEA2+H2y+4AAACFAQAAEwAAAAAA&#10;AAAAAAAAAAAAAAAAW0NvbnRlbnRfVHlwZXNdLnhtbFBLAQItABQABgAIAAAAIQBa9CxbvwAAABUB&#10;AAALAAAAAAAAAAAAAAAAAB8BAABfcmVscy8ucmVsc1BLAQItABQABgAIAAAAIQBZ7tRbyAAAAN8A&#10;AAAPAAAAAAAAAAAAAAAAAAcCAABkcnMvZG93bnJldi54bWxQSwUGAAAAAAMAAwC3AAAA/AIAAAAA&#10;" filled="f" stroked="f">
                  <v:textbox inset="0,0,0,0">
                    <w:txbxContent>
                      <w:p w14:paraId="5C527398" w14:textId="77777777" w:rsidR="00B32EF2" w:rsidRDefault="00000000">
                        <w:r>
                          <w:rPr>
                            <w:rFonts w:ascii="Arial" w:eastAsia="Arial" w:hAnsi="Arial" w:cs="Arial"/>
                            <w:i/>
                            <w:sz w:val="18"/>
                          </w:rPr>
                          <w:t>(</w:t>
                        </w:r>
                      </w:p>
                    </w:txbxContent>
                  </v:textbox>
                </v:rect>
                <v:rect id="Rectangle 21828" o:spid="_x0000_s6051" style="position:absolute;left:7598;top:31711;width:198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cAZwwAAAN4AAAAPAAAAZHJzL2Rvd25yZXYueG1sRE9Ni8Iw&#10;EL0v+B/CCN7W1B6kVKOIIvbgZV0X9jg0Y1ttJqGJtu6vNwdhj4/3vVwPphUP6nxjWcFsmoAgLq1u&#10;uFJw/t5/ZiB8QNbYWiYFT/KwXo0+lphr2/MXPU6hEjGEfY4K6hBcLqUvazLop9YRR+5iO4Mhwq6S&#10;usM+hptWpkkylwYbjg01OtrWVN5Od6Pgd8eu2PeyvPxt3fFaZO3hfv5RajIeNgsQgYbwL367C60g&#10;nWVp3BvvxCsgVy8AAAD//wMAUEsBAi0AFAAGAAgAAAAhANvh9svuAAAAhQEAABMAAAAAAAAAAAAA&#10;AAAAAAAAAFtDb250ZW50X1R5cGVzXS54bWxQSwECLQAUAAYACAAAACEAWvQsW78AAAAVAQAACwAA&#10;AAAAAAAAAAAAAAAfAQAAX3JlbHMvLnJlbHNQSwECLQAUAAYACAAAACEAPL3AGcMAAADeAAAADwAA&#10;AAAAAAAAAAAAAAAHAgAAZHJzL2Rvd25yZXYueG1sUEsFBgAAAAADAAMAtwAAAPcCAAAAAA==&#10;" filled="f" stroked="f">
                  <v:textbox inset="0,0,0,0">
                    <w:txbxContent>
                      <w:p w14:paraId="6D19101F" w14:textId="77777777" w:rsidR="00B32EF2" w:rsidRDefault="00000000">
                        <w:r>
                          <w:rPr>
                            <w:rFonts w:ascii="Arial" w:eastAsia="Arial" w:hAnsi="Arial" w:cs="Arial"/>
                            <w:b/>
                            <w:sz w:val="18"/>
                          </w:rPr>
                          <w:t xml:space="preserve">Procedimento disciplinare </w:t>
                        </w:r>
                      </w:p>
                    </w:txbxContent>
                  </v:textbox>
                </v:rect>
                <v:rect id="Rectangle 202093" o:spid="_x0000_s6052" style="position:absolute;left:-12795;top:30477;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wvyAAAAN8AAAAPAAAAZHJzL2Rvd25yZXYueG1sRI9BawIx&#10;FITvQv9DeIXeatItiF2NIhbpHnqpVfD42Dx3VzcvYRPdbX+9KRQ8DjPzDTNfDrYVV+pC41jDy1iB&#10;IC6dabjSsPvePE9BhIhssHVMGn4owHLxMJpjblzPX3TdxkokCIccNdQx+lzKUNZkMYydJ07e0XUW&#10;Y5JdJU2HfYLbVmZKTaTFhtNCjZ7WNZXn7cVqOLyzLza9LI+/a/95Kqbtx2W31/rpcVjNQEQa4j38&#10;3y6Mhkxl6u0V/v6kLyAXNwAAAP//AwBQSwECLQAUAAYACAAAACEA2+H2y+4AAACFAQAAEwAAAAAA&#10;AAAAAAAAAAAAAAAAW0NvbnRlbnRfVHlwZXNdLnhtbFBLAQItABQABgAIAAAAIQBa9CxbvwAAABUB&#10;AAALAAAAAAAAAAAAAAAAAB8BAABfcmVscy8ucmVsc1BLAQItABQABgAIAAAAIQDWB0wvyAAAAN8A&#10;AAAPAAAAAAAAAAAAAAAAAAcCAABkcnMvZG93bnJldi54bWxQSwUGAAAAAAMAAwC3AAAA/AIAAAAA&#10;" filled="f" stroked="f">
                  <v:textbox inset="0,0,0,0">
                    <w:txbxContent>
                      <w:p w14:paraId="28244C52" w14:textId="77777777" w:rsidR="00B32EF2" w:rsidRDefault="00000000">
                        <w:r>
                          <w:rPr>
                            <w:rFonts w:ascii="Arial" w:eastAsia="Arial" w:hAnsi="Arial" w:cs="Arial"/>
                            <w:sz w:val="18"/>
                          </w:rPr>
                          <w:t>. Il procedimento disciplinare è promosso dal Presidente del Consiglio dei mi</w:t>
                        </w:r>
                      </w:p>
                    </w:txbxContent>
                  </v:textbox>
                </v:rect>
                <v:rect id="Rectangle 202091" o:spid="_x0000_s6053" style="position:absolute;left:26350;top:30477;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fDxwAAAN8AAAAPAAAAZHJzL2Rvd25yZXYueG1sRI9BawIx&#10;FITvQv9DeIXeNHEPRbdGEYt0D71ULfT42Dx3t25ewia6W3+9KQgeh5n5hlmsBtuKC3WhcaxhOlEg&#10;iEtnGq40HPbb8QxEiMgGW8ek4Y8CrJZPowXmxvX8RZddrESCcMhRQx2jz6UMZU0Ww8R54uQdXWcx&#10;JtlV0nTYJ7htZabUq7TYcFqo0dOmpvK0O1sNP+/si20vy+N14z9/i1n7cT58a/3yPKzfQEQa4iN8&#10;bxdGQ6YyNZ/C/5/0BeTyBgAA//8DAFBLAQItABQABgAIAAAAIQDb4fbL7gAAAIUBAAATAAAAAAAA&#10;AAAAAAAAAAAAAABbQ29udGVudF9UeXBlc10ueG1sUEsBAi0AFAAGAAgAAAAhAFr0LFu/AAAAFQEA&#10;AAsAAAAAAAAAAAAAAAAAHwEAAF9yZWxzLy5yZWxzUEsBAi0AFAAGAAgAAAAhAEmZd8PHAAAA3wAA&#10;AA8AAAAAAAAAAAAAAAAABwIAAGRycy9kb3ducmV2LnhtbFBLBQYAAAAAAwADALcAAAD7AgAAAAA=&#10;" filled="f" stroked="f">
                  <v:textbox inset="0,0,0,0">
                    <w:txbxContent>
                      <w:p w14:paraId="327EDBE3" w14:textId="77777777" w:rsidR="00B32EF2" w:rsidRDefault="00000000">
                        <w:r>
                          <w:rPr>
                            <w:rFonts w:ascii="Arial" w:eastAsia="Arial" w:hAnsi="Arial" w:cs="Arial"/>
                            <w:sz w:val="18"/>
                          </w:rPr>
                          <w:t>1</w:t>
                        </w:r>
                      </w:p>
                    </w:txbxContent>
                  </v:textbox>
                </v:rect>
                <v:rect id="Rectangle 21830" o:spid="_x0000_s6054" style="position:absolute;left:192;top:3047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lrCxAAAAN4AAAAPAAAAZHJzL2Rvd25yZXYueG1sRI/LisIw&#10;FIb3A75DOIK7MdWBoVSjiCLTxWy8gctDc2yrzUlooq3z9GYx4PLnv/HNl71pxINaX1tWMBknIIgL&#10;q2suFRwP288UhA/IGhvLpOBJHpaLwcccM2073tFjH0oRR9hnqKAKwWVS+qIig35sHXH0LrY1GKJs&#10;S6lb7OK4aeQ0Sb6lwZrjQ4WO1hUVt/3dKDhv2OXbThaXv7X7veZp83M/npQaDfvVDESgPrzD/+1c&#10;K5hO0q8IEHEiCsjFCwAA//8DAFBLAQItABQABgAIAAAAIQDb4fbL7gAAAIUBAAATAAAAAAAAAAAA&#10;AAAAAAAAAABbQ29udGVudF9UeXBlc10ueG1sUEsBAi0AFAAGAAgAAAAhAFr0LFu/AAAAFQEAAAsA&#10;AAAAAAAAAAAAAAAAHwEAAF9yZWxzLy5yZWxzUEsBAi0AFAAGAAgAAAAhAEcSWsLEAAAA3gAAAA8A&#10;AAAAAAAAAAAAAAAABwIAAGRycy9kb3ducmV2LnhtbFBLBQYAAAAAAwADALcAAAD4AgAAAAA=&#10;" filled="f" stroked="f">
                  <v:textbox inset="0,0,0,0">
                    <w:txbxContent>
                      <w:p w14:paraId="1FE97734" w14:textId="77777777" w:rsidR="00B32EF2" w:rsidRDefault="00000000">
                        <w:r>
                          <w:rPr>
                            <w:rFonts w:ascii="Arial" w:eastAsia="Arial" w:hAnsi="Arial" w:cs="Arial"/>
                            <w:sz w:val="18"/>
                          </w:rPr>
                          <w:t>-</w:t>
                        </w:r>
                      </w:p>
                    </w:txbxContent>
                  </v:textbox>
                </v:rect>
                <v:rect id="Rectangle 21831" o:spid="_x0000_s6055" style="position:absolute;left:-13171;top:2924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9ZxgAAAN4AAAAPAAAAZHJzL2Rvd25yZXYueG1sRI9Ba8JA&#10;FITvgv9heUJvuomFElJXKYqYQy9VCz0+ss8kbfbtkl1N6q93BcHjMDPfMIvVYFpxoc43lhWkswQE&#10;cWl1w5WC42E7zUD4gKyxtUwK/snDajkeLTDXtucvuuxDJSKEfY4K6hBcLqUvazLoZ9YRR+9kO4Mh&#10;yq6SusM+wk0r50nyJg02HBdqdLSuqfzbn42Cnw27YtvL8nRdu8/fImt35+O3Ui+T4eMdRKAhPMOP&#10;dqEVzNPsNYX7nXgF5PIGAAD//wMAUEsBAi0AFAAGAAgAAAAhANvh9svuAAAAhQEAABMAAAAAAAAA&#10;AAAAAAAAAAAAAFtDb250ZW50X1R5cGVzXS54bWxQSwECLQAUAAYACAAAACEAWvQsW78AAAAVAQAA&#10;CwAAAAAAAAAAAAAAAAAfAQAAX3JlbHMvLnJlbHNQSwECLQAUAAYACAAAACEAKF7/WcYAAADeAAAA&#10;DwAAAAAAAAAAAAAAAAAHAgAAZHJzL2Rvd25yZXYueG1sUEsFBgAAAAADAAMAtwAAAPoCAAAAAA==&#10;" filled="f" stroked="f">
                  <v:textbox inset="0,0,0,0">
                    <w:txbxContent>
                      <w:p w14:paraId="32C001EC" w14:textId="77777777" w:rsidR="00B32EF2" w:rsidRDefault="00000000">
                        <w:r>
                          <w:rPr>
                            <w:rFonts w:ascii="Arial" w:eastAsia="Arial" w:hAnsi="Arial" w:cs="Arial"/>
                            <w:sz w:val="18"/>
                          </w:rPr>
                          <w:t xml:space="preserve">nistri o dal presidente della corte di giustizia tributaria di secondo grado nella </w:t>
                        </w:r>
                      </w:p>
                    </w:txbxContent>
                  </v:textbox>
                </v:rect>
                <v:rect id="Rectangle 21832" o:spid="_x0000_s6056" style="position:absolute;left:10020;top:28011;width:298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GEuxgAAAN4AAAAPAAAAZHJzL2Rvd25yZXYueG1sRI9Ba8JA&#10;FITvBf/D8gRvdWMECamrFEXMwYtWweMj+0zSZt8u2dXE/vpuodDjMDPfMMv1YFrxoM43lhXMpgkI&#10;4tLqhisF54/dawbCB2SNrWVS8CQP69XoZYm5tj0f6XEKlYgQ9jkqqENwuZS+rMmgn1pHHL2b7QyG&#10;KLtK6g77CDetTJNkIQ02HBdqdLSpqfw63Y2C65ZdsetlefveuMNnkbX7+/mi1GQ8vL+BCDSE//Bf&#10;u9AK0lk2T+H3TrwCcvUDAAD//wMAUEsBAi0AFAAGAAgAAAAhANvh9svuAAAAhQEAABMAAAAAAAAA&#10;AAAAAAAAAAAAAFtDb250ZW50X1R5cGVzXS54bWxQSwECLQAUAAYACAAAACEAWvQsW78AAAAVAQAA&#10;CwAAAAAAAAAAAAAAAAAfAQAAX3JlbHMvLnJlbHNQSwECLQAUAAYACAAAACEA2IxhLsYAAADeAAAA&#10;DwAAAAAAAAAAAAAAAAAHAgAAZHJzL2Rvd25yZXYueG1sUEsFBgAAAAADAAMAtwAAAPoCAAAAAA==&#10;" filled="f" stroked="f">
                  <v:textbox inset="0,0,0,0">
                    <w:txbxContent>
                      <w:p w14:paraId="7A43749C" w14:textId="77777777" w:rsidR="00B32EF2" w:rsidRDefault="00000000">
                        <w:r>
                          <w:rPr>
                            <w:rFonts w:ascii="Arial" w:eastAsia="Arial" w:hAnsi="Arial" w:cs="Arial"/>
                            <w:sz w:val="18"/>
                          </w:rPr>
                          <w:t>cui circoscrizione presta servizio l’incolpato.</w:t>
                        </w:r>
                      </w:p>
                    </w:txbxContent>
                  </v:textbox>
                </v:rect>
                <v:rect id="Rectangle 202088" o:spid="_x0000_s6057" style="position:absolute;left:26329;top:26778;width:5220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iDxAAAAN8AAAAPAAAAZHJzL2Rvd25yZXYueG1sRE89a8Mw&#10;EN0D/Q/iCt0SqR6CcaOY4hLqIUvTBDoe1sV2Yp2EpcRuf301FDo+3vemnO0g7jSG3rGG55UCQdw4&#10;03Or4fi5W+YgQkQ2ODgmDd8UoNw+LDZYGDfxB90PsRUphEOBGroYfSFlaDqyGFbOEyfu7EaLMcGx&#10;lWbEKYXbQWZKraXFnlNDh56qjprr4WY1fL2xr3eTbM4/ld9f6nx4vx1PWj89zq8vICLN8V/8566N&#10;hkxlKk+D05/0BeT2FwAA//8DAFBLAQItABQABgAIAAAAIQDb4fbL7gAAAIUBAAATAAAAAAAAAAAA&#10;AAAAAAAAAABbQ29udGVudF9UeXBlc10ueG1sUEsBAi0AFAAGAAgAAAAhAFr0LFu/AAAAFQEAAAsA&#10;AAAAAAAAAAAAAAAAHwEAAF9yZWxzLy5yZWxzUEsBAi0AFAAGAAgAAAAhAF16SIPEAAAA3wAAAA8A&#10;AAAAAAAAAAAAAAAABwIAAGRycy9kb3ducmV2LnhtbFBLBQYAAAAAAwADALcAAAD4AgAAAAA=&#10;" filled="f" stroked="f">
                  <v:textbox inset="0,0,0,0">
                    <w:txbxContent>
                      <w:p w14:paraId="3298F5A5" w14:textId="77777777" w:rsidR="00B32EF2" w:rsidRDefault="00000000">
                        <w:r>
                          <w:rPr>
                            <w:rFonts w:ascii="Arial" w:eastAsia="Arial" w:hAnsi="Arial" w:cs="Arial"/>
                            <w:sz w:val="18"/>
                          </w:rPr>
                          <w:t>2</w:t>
                        </w:r>
                      </w:p>
                    </w:txbxContent>
                  </v:textbox>
                </v:rect>
                <v:rect id="Rectangle 202089" o:spid="_x0000_s6058" style="position:absolute;left:-12934;top:26778;width:522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u0YxwAAAN8AAAAPAAAAZHJzL2Rvd25yZXYueG1sRI/NasMw&#10;EITvhb6D2EJvjVQfiuNGCSUl1Idc8gc9LtbGdmuthKXETp++CgRyHGbmG2a2GG0nztSH1rGG14kC&#10;QVw503KtYb9bveQgQkQ22DkmDRcKsJg/PsywMG7gDZ23sRYJwqFADU2MvpAyVA1ZDBPniZN3dL3F&#10;mGRfS9PjkOC2k5lSb9Jiy2mhQU/Lhqrf7clq+P5kX64GWR3/ln79U+bd12l/0Pr5afx4BxFpjPfw&#10;rV0aDZnKVD6F65/0BeT8HwAA//8DAFBLAQItABQABgAIAAAAIQDb4fbL7gAAAIUBAAATAAAAAAAA&#10;AAAAAAAAAAAAAABbQ29udGVudF9UeXBlc10ueG1sUEsBAi0AFAAGAAgAAAAhAFr0LFu/AAAAFQEA&#10;AAsAAAAAAAAAAAAAAAAAHwEAAF9yZWxzLy5yZWxzUEsBAi0AFAAGAAgAAAAhADI27RjHAAAA3wAA&#10;AA8AAAAAAAAAAAAAAAAABwIAAGRycy9kb3ducmV2LnhtbFBLBQYAAAAAAwADALcAAAD7AgAAAAA=&#10;" filled="f" stroked="f">
                  <v:textbox inset="0,0,0,0">
                    <w:txbxContent>
                      <w:p w14:paraId="7ADC4E02" w14:textId="77777777" w:rsidR="00B32EF2" w:rsidRDefault="00000000">
                        <w:r>
                          <w:rPr>
                            <w:rFonts w:ascii="Arial" w:eastAsia="Arial" w:hAnsi="Arial" w:cs="Arial"/>
                            <w:sz w:val="18"/>
                          </w:rPr>
                          <w:t>. Il Consiglio di presidenza, nel termine di dieci giorni dalla richiesta di aper</w:t>
                        </w:r>
                      </w:p>
                    </w:txbxContent>
                  </v:textbox>
                </v:rect>
                <v:rect id="Rectangle 21834" o:spid="_x0000_s6059" style="position:absolute;left:192;top:26778;width:5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VzBxwAAAN4AAAAPAAAAZHJzL2Rvd25yZXYueG1sRI9Pa8JA&#10;FMTvgt9heYI33WilhNRVRJHm0Ev9Az0+ss8kbfbtkl1N7Kd3CwWPw8z8hlmue9OIG7W+tqxgNk1A&#10;EBdW11wqOB33kxSED8gaG8uk4E4e1qvhYImZth1/0u0QShEh7DNUUIXgMil9UZFBP7WOOHoX2xoM&#10;Ubal1C12EW4aOU+SV2mw5rhQoaNtRcXP4WoUfO3Y5ftOFpffrfv4ztPm/Xo6KzUe9Zs3EIH68Az/&#10;t3OtYD5LXxbwdydeAbl6AAAA//8DAFBLAQItABQABgAIAAAAIQDb4fbL7gAAAIUBAAATAAAAAAAA&#10;AAAAAAAAAAAAAABbQ29udGVudF9UeXBlc10ueG1sUEsBAi0AFAAGAAgAAAAhAFr0LFu/AAAAFQEA&#10;AAsAAAAAAAAAAAAAAAAAHwEAAF9yZWxzLy5yZWxzUEsBAi0AFAAGAAgAAAAhADgpXMHHAAAA3gAA&#10;AA8AAAAAAAAAAAAAAAAABwIAAGRycy9kb3ducmV2LnhtbFBLBQYAAAAAAwADALcAAAD7AgAAAAA=&#10;" filled="f" stroked="f">
                  <v:textbox inset="0,0,0,0">
                    <w:txbxContent>
                      <w:p w14:paraId="389FA1D4" w14:textId="77777777" w:rsidR="00B32EF2" w:rsidRDefault="00000000">
                        <w:r>
                          <w:rPr>
                            <w:rFonts w:ascii="Arial" w:eastAsia="Arial" w:hAnsi="Arial" w:cs="Arial"/>
                            <w:sz w:val="18"/>
                          </w:rPr>
                          <w:t>-</w:t>
                        </w:r>
                      </w:p>
                    </w:txbxContent>
                  </v:textbox>
                </v:rect>
                <v:rect id="Rectangle 21835" o:spid="_x0000_s6060" style="position:absolute;left:-13171;top:2554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flaxwAAAN4AAAAPAAAAZHJzL2Rvd25yZXYueG1sRI9Pa8JA&#10;FMTvgt9heYI33WixhNRVRJHm0Ev9Az0+ss8kbfbtkl1N7Kd3CwWPw8z8hlmue9OIG7W+tqxgNk1A&#10;EBdW11wqOB33kxSED8gaG8uk4E4e1qvhYImZth1/0u0QShEh7DNUUIXgMil9UZFBP7WOOHoX2xoM&#10;Ubal1C12EW4aOU+SV2mw5rhQoaNtRcXP4WoUfO3Y5ftOFpffrfv4ztPm/Xo6KzUe9Zs3EIH68Az/&#10;t3OtYD5LXxbwdydeAbl6AAAA//8DAFBLAQItABQABgAIAAAAIQDb4fbL7gAAAIUBAAATAAAAAAAA&#10;AAAAAAAAAAAAAABbQ29udGVudF9UeXBlc10ueG1sUEsBAi0AFAAGAAgAAAAhAFr0LFu/AAAAFQEA&#10;AAsAAAAAAAAAAAAAAAAAHwEAAF9yZWxzLy5yZWxzUEsBAi0AFAAGAAgAAAAhAFdl+VrHAAAA3gAA&#10;AA8AAAAAAAAAAAAAAAAABwIAAGRycy9kb3ducmV2LnhtbFBLBQYAAAAAAwADALcAAAD7AgAAAAA=&#10;" filled="f" stroked="f">
                  <v:textbox inset="0,0,0,0">
                    <w:txbxContent>
                      <w:p w14:paraId="08C169F5" w14:textId="77777777" w:rsidR="00B32EF2" w:rsidRDefault="00000000">
                        <w:r>
                          <w:rPr>
                            <w:rFonts w:ascii="Arial" w:eastAsia="Arial" w:hAnsi="Arial" w:cs="Arial"/>
                            <w:sz w:val="18"/>
                          </w:rPr>
                          <w:t xml:space="preserve">tura del procedimento disciplinare, affida ad un suo componente l’incarico di </w:t>
                        </w:r>
                      </w:p>
                    </w:txbxContent>
                  </v:textbox>
                </v:rect>
                <v:rect id="Rectangle 21836" o:spid="_x0000_s6061" style="position:absolute;left:-8284;top:24311;width:482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2ctxwAAAN4AAAAPAAAAZHJzL2Rvd25yZXYueG1sRI9Pi8Iw&#10;FMTvC36H8Ba8rakuSKlGWRTZHrysf8Djo3m23W1eQhNt9dNvBMHjMDO/YebL3jTiSq2vLSsYjxIQ&#10;xIXVNZcKDvvNRwrCB2SNjWVScCMPy8XgbY6Zth3/0HUXShEh7DNUUIXgMil9UZFBP7KOOHpn2xoM&#10;Ubal1C12EW4aOUmSqTRYc1yo0NGqouJvdzEKTmt2+aaTxfm+ctvfPG2+L4ejUsP3/msGIlAfXuFn&#10;O9cKJuP0cwqPO/EKyMU/AAAA//8DAFBLAQItABQABgAIAAAAIQDb4fbL7gAAAIUBAAATAAAAAAAA&#10;AAAAAAAAAAAAAABbQ29udGVudF9UeXBlc10ueG1sUEsBAi0AFAAGAAgAAAAhAFr0LFu/AAAAFQEA&#10;AAsAAAAAAAAAAAAAAAAAHwEAAF9yZWxzLy5yZWxzUEsBAi0AFAAGAAgAAAAhAKe3Zy3HAAAA3gAA&#10;AA8AAAAAAAAAAAAAAAAABwIAAGRycy9kb3ducmV2LnhtbFBLBQYAAAAAAwADALcAAAD7AgAAAAA=&#10;" filled="f" stroked="f">
                  <v:textbox inset="0,0,0,0">
                    <w:txbxContent>
                      <w:p w14:paraId="53D5EBDB" w14:textId="77777777" w:rsidR="00B32EF2" w:rsidRDefault="00000000">
                        <w:r>
                          <w:rPr>
                            <w:rFonts w:ascii="Arial" w:eastAsia="Arial" w:hAnsi="Arial" w:cs="Arial"/>
                            <w:sz w:val="18"/>
                          </w:rPr>
                          <w:t>procedere agli accertamenti preliminari da svolgersi entro trenta giorni.</w:t>
                        </w:r>
                      </w:p>
                    </w:txbxContent>
                  </v:textbox>
                </v:rect>
                <v:rect id="Rectangle 202086" o:spid="_x0000_s6062" style="position:absolute;left:26110;top:2307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XlqxwAAAN8AAAAPAAAAZHJzL2Rvd25yZXYueG1sRI/NasMw&#10;EITvhbyD2EJvjVQfgnGjhJAQ4kMvzQ/0uFgb24m1EpYSu336qlDIcZiZb5j5crSduFMfWsca3qYK&#10;BHHlTMu1huNh+5qDCBHZYOeYNHxTgOVi8jTHwriBP+m+j7VIEA4Famhi9IWUoWrIYpg6T5y8s+st&#10;xiT7WpoehwS3ncyUmkmLLaeFBj2tG6qu+5vV8LVhX24HWZ1/1v7jUubd7nY8af3yPK7eQUQa4yP8&#10;3y6NhkxlKp/B35/0BeTiFwAA//8DAFBLAQItABQABgAIAAAAIQDb4fbL7gAAAIUBAAATAAAAAAAA&#10;AAAAAAAAAAAAAABbQ29udGVudF9UeXBlc10ueG1sUEsBAi0AFAAGAAgAAAAhAFr0LFu/AAAAFQEA&#10;AAsAAAAAAAAAAAAAAAAAHwEAAF9yZWxzLy5yZWxzUEsBAi0AFAAGAAgAAAAhAEOpeWrHAAAA3wAA&#10;AA8AAAAAAAAAAAAAAAAABwIAAGRycy9kb3ducmV2LnhtbFBLBQYAAAAAAwADALcAAAD7AgAAAAA=&#10;" filled="f" stroked="f">
                  <v:textbox inset="0,0,0,0">
                    <w:txbxContent>
                      <w:p w14:paraId="57254CC3" w14:textId="77777777" w:rsidR="00B32EF2" w:rsidRDefault="00000000">
                        <w:r>
                          <w:rPr>
                            <w:rFonts w:ascii="Arial" w:eastAsia="Arial" w:hAnsi="Arial" w:cs="Arial"/>
                            <w:sz w:val="18"/>
                          </w:rPr>
                          <w:t>3</w:t>
                        </w:r>
                      </w:p>
                    </w:txbxContent>
                  </v:textbox>
                </v:rect>
                <v:rect id="Rectangle 202087" o:spid="_x0000_s6063" style="position:absolute;left:-13816;top:230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dzxyAAAAN8AAAAPAAAAZHJzL2Rvd25yZXYueG1sRI/NasMw&#10;EITvgb6D2EJviVQfWuNGCSUl1Idemh/ocbE2tltrJSwldvP0USCQ4zAz3zDz5Wg7caI+tI41PM8U&#10;COLKmZZrDbvtepqDCBHZYOeYNPxTgOXiYTLHwriBv+m0ibVIEA4Famhi9IWUoWrIYpg5T5y8g+st&#10;xiT7WpoehwS3ncyUepEWW04LDXpaNVT9bY5Ww88H+3I9yOpwXvmv3zLvPo+7vdZPj+P7G4hIY7yH&#10;b+3SaMhUpvJXuP5JX0AuLgAAAP//AwBQSwECLQAUAAYACAAAACEA2+H2y+4AAACFAQAAEwAAAAAA&#10;AAAAAAAAAAAAAAAAW0NvbnRlbnRfVHlwZXNdLnhtbFBLAQItABQABgAIAAAAIQBa9CxbvwAAABUB&#10;AAALAAAAAAAAAAAAAAAAAB8BAABfcmVscy8ucmVsc1BLAQItABQABgAIAAAAIQAs5dzxyAAAAN8A&#10;AAAPAAAAAAAAAAAAAAAAAAcCAABkcnMvZG93bnJldi54bWxQSwUGAAAAAAMAAwC3AAAA/AIAAAAA&#10;" filled="f" stroked="f">
                  <v:textbox inset="0,0,0,0">
                    <w:txbxContent>
                      <w:p w14:paraId="63464673" w14:textId="77777777" w:rsidR="00B32EF2" w:rsidRDefault="00000000">
                        <w:r>
                          <w:rPr>
                            <w:rFonts w:ascii="Arial" w:eastAsia="Arial" w:hAnsi="Arial" w:cs="Arial"/>
                            <w:sz w:val="18"/>
                          </w:rPr>
                          <w:t xml:space="preserve">. Il Consiglio di presidenza, sulla base delle risultanze emerse provvede a </w:t>
                        </w:r>
                      </w:p>
                    </w:txbxContent>
                  </v:textbox>
                </v:rect>
                <v:rect id="Rectangle 21838" o:spid="_x0000_s6064" style="position:absolute;left:-13171;top:2184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FbEwwAAAN4AAAAPAAAAZHJzL2Rvd25yZXYueG1sRE/LisIw&#10;FN0P+A/hCu7GVAeGUo0iikwXs/EFLi/Nta02N6GJts7Xm8WAy8N5z5e9acSDWl9bVjAZJyCIC6tr&#10;LhUcD9vPFIQPyBoby6TgSR6Wi8HHHDNtO97RYx9KEUPYZ6igCsFlUvqiIoN+bB1x5C62NRgibEup&#10;W+xiuGnkNEm+pcGaY0OFjtYVFbf93Sg4b9jl204Wl7+1+73mafNzP56UGg371QxEoD68xf/uXCuY&#10;TtKvuDfeiVdALl4AAAD//wMAUEsBAi0AFAAGAAgAAAAhANvh9svuAAAAhQEAABMAAAAAAAAAAAAA&#10;AAAAAAAAAFtDb250ZW50X1R5cGVzXS54bWxQSwECLQAUAAYACAAAACEAWvQsW78AAAAVAQAACwAA&#10;AAAAAAAAAAAAAAAfAQAAX3JlbHMvLnJlbHNQSwECLQAUAAYACAAAACEAuWRWxMMAAADeAAAADwAA&#10;AAAAAAAAAAAAAAAHAgAAZHJzL2Rvd25yZXYueG1sUEsFBgAAAAADAAMAtwAAAPcCAAAAAA==&#10;" filled="f" stroked="f">
                  <v:textbox inset="0,0,0,0">
                    <w:txbxContent>
                      <w:p w14:paraId="7A221508" w14:textId="77777777" w:rsidR="00B32EF2" w:rsidRDefault="00000000">
                        <w:r>
                          <w:rPr>
                            <w:rFonts w:ascii="Arial" w:eastAsia="Arial" w:hAnsi="Arial" w:cs="Arial"/>
                            <w:sz w:val="18"/>
                          </w:rPr>
                          <w:t xml:space="preserve">contestare i fatti all’incolpato con invito a presentare entro trenta giorni le sue </w:t>
                        </w:r>
                      </w:p>
                    </w:txbxContent>
                  </v:textbox>
                </v:rect>
                <v:rect id="Rectangle 21839" o:spid="_x0000_s6065" style="position:absolute;left:-13173;top:20611;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PNfxwAAAN4AAAAPAAAAZHJzL2Rvd25yZXYueG1sRI9Pa8JA&#10;FMTvgt9heYK3utGCxNRVRJHm0Ev9Az0+ss8kbfbtkl1N7Kd3CwWPw8z8hlmue9OIG7W+tqxgOklA&#10;EBdW11wqOB33LykIH5A1NpZJwZ08rFfDwRIzbTv+pNshlCJC2GeooArBZVL6oiKDfmIdcfQutjUY&#10;omxLqVvsItw0cpYkc2mw5rhQoaNtRcXP4WoUfO3Y5ftOFpffrfv4ztPm/Xo6KzUe9Zs3EIH68Az/&#10;t3OtYDZNXxfwdydeAbl6AAAA//8DAFBLAQItABQABgAIAAAAIQDb4fbL7gAAAIUBAAATAAAAAAAA&#10;AAAAAAAAAAAAAABbQ29udGVudF9UeXBlc10ueG1sUEsBAi0AFAAGAAgAAAAhAFr0LFu/AAAAFQEA&#10;AAsAAAAAAAAAAAAAAAAAHwEAAF9yZWxzLy5yZWxzUEsBAi0AFAAGAAgAAAAhANYo81/HAAAA3gAA&#10;AA8AAAAAAAAAAAAAAAAABwIAAGRycy9kb3ducmV2LnhtbFBLBQYAAAAAAwADALcAAAD7AgAAAAA=&#10;" filled="f" stroked="f">
                  <v:textbox inset="0,0,0,0">
                    <w:txbxContent>
                      <w:p w14:paraId="44CCBF62" w14:textId="77777777" w:rsidR="00B32EF2" w:rsidRDefault="00000000">
                        <w:r>
                          <w:rPr>
                            <w:rFonts w:ascii="Arial" w:eastAsia="Arial" w:hAnsi="Arial" w:cs="Arial"/>
                            <w:sz w:val="18"/>
                          </w:rPr>
                          <w:t xml:space="preserve">giustificazioni, a seguito delle quali, se non ritiene di archiviare gli atti, incarica </w:t>
                        </w:r>
                      </w:p>
                    </w:txbxContent>
                  </v:textbox>
                </v:rect>
                <v:rect id="Rectangle 21840" o:spid="_x0000_s6066" style="position:absolute;left:-13171;top:193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Cm/xAAAAN4AAAAPAAAAZHJzL2Rvd25yZXYueG1sRI/LisIw&#10;FIb3A75DOIK7MVWGoVSjiCLTxWy8gctDc2yrzUlooq3z9GYx4PLnv/HNl71pxINaX1tWMBknIIgL&#10;q2suFRwP288UhA/IGhvLpOBJHpaLwcccM2073tFjH0oRR9hnqKAKwWVS+qIig35sHXH0LrY1GKJs&#10;S6lb7OK4aeQ0Sb6lwZrjQ4WO1hUVt/3dKDhv2OXbThaXv7X7veZp83M/npQaDfvVDESgPrzD/+1c&#10;K5hO0q8IEHEiCsjFCwAA//8DAFBLAQItABQABgAIAAAAIQDb4fbL7gAAAIUBAAATAAAAAAAAAAAA&#10;AAAAAAAAAABbQ29udGVudF9UeXBlc10ueG1sUEsBAi0AFAAGAAgAAAAhAFr0LFu/AAAAFQEAAAsA&#10;AAAAAAAAAAAAAAAAHwEAAF9yZWxzLy5yZWxzUEsBAi0AFAAGAAgAAAAhAB8UKb/EAAAA3gAAAA8A&#10;AAAAAAAAAAAAAAAABwIAAGRycy9kb3ducmV2LnhtbFBLBQYAAAAAAwADALcAAAD4AgAAAAA=&#10;" filled="f" stroked="f">
                  <v:textbox inset="0,0,0,0">
                    <w:txbxContent>
                      <w:p w14:paraId="39AF576C" w14:textId="77777777" w:rsidR="00B32EF2" w:rsidRDefault="00000000">
                        <w:r>
                          <w:rPr>
                            <w:rFonts w:ascii="Arial" w:eastAsia="Arial" w:hAnsi="Arial" w:cs="Arial"/>
                            <w:sz w:val="18"/>
                          </w:rPr>
                          <w:t xml:space="preserve">un proprio componente di procedere alla istruttoria, che deve essere conclusa </w:t>
                        </w:r>
                      </w:p>
                    </w:txbxContent>
                  </v:textbox>
                </v:rect>
                <v:rect id="Rectangle 21841" o:spid="_x0000_s6067" style="position:absolute;left:-13171;top:1814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IwkxgAAAN4AAAAPAAAAZHJzL2Rvd25yZXYueG1sRI9Ba8JA&#10;FITvgv9heUJvuomUElJXKYqYQy9VCz0+ss8kbfbtkl1N6q93BcHjMDPfMIvVYFpxoc43lhWkswQE&#10;cWl1w5WC42E7zUD4gKyxtUwK/snDajkeLTDXtucvuuxDJSKEfY4K6hBcLqUvazLoZ9YRR+9kO4Mh&#10;yq6SusM+wk0r50nyJg02HBdqdLSuqfzbn42Cnw27YtvL8nRdu8/fImt35+O3Ui+T4eMdRKAhPMOP&#10;dqEVzNPsNYX7nXgF5PIGAAD//wMAUEsBAi0AFAAGAAgAAAAhANvh9svuAAAAhQEAABMAAAAAAAAA&#10;AAAAAAAAAAAAAFtDb250ZW50X1R5cGVzXS54bWxQSwECLQAUAAYACAAAACEAWvQsW78AAAAVAQAA&#10;CwAAAAAAAAAAAAAAAAAfAQAAX3JlbHMvLnJlbHNQSwECLQAUAAYACAAAACEAcFiMJMYAAADeAAAA&#10;DwAAAAAAAAAAAAAAAAAHAgAAZHJzL2Rvd25yZXYueG1sUEsFBgAAAAADAAMAtwAAAPoCAAAAAA==&#10;" filled="f" stroked="f">
                  <v:textbox inset="0,0,0,0">
                    <w:txbxContent>
                      <w:p w14:paraId="6876D9FD" w14:textId="77777777" w:rsidR="00B32EF2" w:rsidRDefault="00000000">
                        <w:r>
                          <w:rPr>
                            <w:rFonts w:ascii="Arial" w:eastAsia="Arial" w:hAnsi="Arial" w:cs="Arial"/>
                            <w:sz w:val="18"/>
                          </w:rPr>
                          <w:t xml:space="preserve">entro novanta giorni col deposito degli atti relativi presso la segreteria. Di tali </w:t>
                        </w:r>
                      </w:p>
                    </w:txbxContent>
                  </v:textbox>
                </v:rect>
                <v:rect id="Rectangle 21842" o:spid="_x0000_s6068" style="position:absolute;left:-8054;top:16911;width:479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hJTxgAAAN4AAAAPAAAAZHJzL2Rvd25yZXYueG1sRI9Ba8JA&#10;FITvBf/D8gRvdWMQCamrFEXMwYtWweMj+0zSZt8u2dXE/vpuodDjMDPfMMv1YFrxoM43lhXMpgkI&#10;4tLqhisF54/dawbCB2SNrWVS8CQP69XoZYm5tj0f6XEKlYgQ9jkqqENwuZS+rMmgn1pHHL2b7QyG&#10;KLtK6g77CDetTJNkIQ02HBdqdLSpqfw63Y2C65ZdsetlefveuMNnkbX7+/mi1GQ8vL+BCDSE//Bf&#10;u9AK0lk2T+H3TrwCcvUDAAD//wMAUEsBAi0AFAAGAAgAAAAhANvh9svuAAAAhQEAABMAAAAAAAAA&#10;AAAAAAAAAAAAAFtDb250ZW50X1R5cGVzXS54bWxQSwECLQAUAAYACAAAACEAWvQsW78AAAAVAQAA&#10;CwAAAAAAAAAAAAAAAAAfAQAAX3JlbHMvLnJlbHNQSwECLQAUAAYACAAAACEAgIoSU8YAAADeAAAA&#10;DwAAAAAAAAAAAAAAAAAHAgAAZHJzL2Rvd25yZXYueG1sUEsFBgAAAAADAAMAtwAAAPoCAAAAAA==&#10;" filled="f" stroked="f">
                  <v:textbox inset="0,0,0,0">
                    <w:txbxContent>
                      <w:p w14:paraId="3472DCFC" w14:textId="77777777" w:rsidR="00B32EF2" w:rsidRDefault="00000000">
                        <w:r>
                          <w:rPr>
                            <w:rFonts w:ascii="Arial" w:eastAsia="Arial" w:hAnsi="Arial" w:cs="Arial"/>
                            <w:sz w:val="18"/>
                          </w:rPr>
                          <w:t>deliberazioni deve essere data immediata comunicazione all’incolpato.</w:t>
                        </w:r>
                      </w:p>
                    </w:txbxContent>
                  </v:textbox>
                </v:rect>
                <v:rect id="Rectangle 202084" o:spid="_x0000_s6069" style="position:absolute;left:26110;top:1567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0KGyAAAAN8AAAAPAAAAZHJzL2Rvd25yZXYueG1sRI/NasMw&#10;EITvgb6D2EJviVRTinGjhJIS6kMvzQ/0uFgb2621EpYSu3n6KBDIcZiZb5j5crSdOFEfWscanmcK&#10;BHHlTMu1ht12Pc1BhIhssHNMGv4pwHLxMJljYdzA33TaxFokCIcCNTQx+kLKUDVkMcycJ07ewfUW&#10;Y5J9LU2PQ4LbTmZKvUqLLaeFBj2tGqr+Nker4eeDfbkeZHU4r/zXb5l3n8fdXuunx/H9DUSkMd7D&#10;t3ZpNGQqU/kLXP+kLyAXFwAAAP//AwBQSwECLQAUAAYACAAAACEA2+H2y+4AAACFAQAAEwAAAAAA&#10;AAAAAAAAAAAAAAAAW0NvbnRlbnRfVHlwZXNdLnhtbFBLAQItABQABgAIAAAAIQBa9CxbvwAAABUB&#10;AAALAAAAAAAAAAAAAAAAAB8BAABfcmVscy8ucmVsc1BLAQItABQABgAIAAAAIQDcN0KGyAAAAN8A&#10;AAAPAAAAAAAAAAAAAAAAAAcCAABkcnMvZG93bnJldi54bWxQSwUGAAAAAAMAAwC3AAAA/AIAAAAA&#10;" filled="f" stroked="f">
                  <v:textbox inset="0,0,0,0">
                    <w:txbxContent>
                      <w:p w14:paraId="1EF1666E" w14:textId="77777777" w:rsidR="00B32EF2" w:rsidRDefault="00000000">
                        <w:r>
                          <w:rPr>
                            <w:rFonts w:ascii="Arial" w:eastAsia="Arial" w:hAnsi="Arial" w:cs="Arial"/>
                            <w:sz w:val="18"/>
                          </w:rPr>
                          <w:t>4</w:t>
                        </w:r>
                      </w:p>
                    </w:txbxContent>
                  </v:textbox>
                </v:rect>
                <v:rect id="Rectangle 202085" o:spid="_x0000_s6070" style="position:absolute;left:-13802;top:156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cdyAAAAN8AAAAPAAAAZHJzL2Rvd25yZXYueG1sRI/NasMw&#10;EITvgb6D2EJviVRDi3GjhJIS6kMvzQ/0uFgb2621EpYSu3n6KBDIcZiZb5j5crSdOFEfWscanmcK&#10;BHHlTMu1ht12Pc1BhIhssHNMGv4pwHLxMJljYdzA33TaxFokCIcCNTQx+kLKUDVkMcycJ07ewfUW&#10;Y5J9LU2PQ4LbTmZKvUqLLaeFBj2tGqr+Nker4eeDfbkeZHU4r/zXb5l3n8fdXuunx/H9DUSkMd7D&#10;t3ZpNGQqU/kLXP+kLyAXFwAAAP//AwBQSwECLQAUAAYACAAAACEA2+H2y+4AAACFAQAAEwAAAAAA&#10;AAAAAAAAAAAAAAAAW0NvbnRlbnRfVHlwZXNdLnhtbFBLAQItABQABgAIAAAAIQBa9CxbvwAAABUB&#10;AAALAAAAAAAAAAAAAAAAAB8BAABfcmVscy8ucmVsc1BLAQItABQABgAIAAAAIQCze+cdyAAAAN8A&#10;AAAPAAAAAAAAAAAAAAAAAAcCAABkcnMvZG93bnJldi54bWxQSwUGAAAAAAMAAwC3AAAA/AIAAAAA&#10;" filled="f" stroked="f">
                  <v:textbox inset="0,0,0,0">
                    <w:txbxContent>
                      <w:p w14:paraId="6C514C44" w14:textId="77777777" w:rsidR="00B32EF2" w:rsidRDefault="00000000">
                        <w:r>
                          <w:rPr>
                            <w:rFonts w:ascii="Arial" w:eastAsia="Arial" w:hAnsi="Arial" w:cs="Arial"/>
                            <w:sz w:val="18"/>
                          </w:rPr>
                          <w:t xml:space="preserve">. Il presidente del Consiglio di presidenza, trascorso comunque il termine di </w:t>
                        </w:r>
                      </w:p>
                    </w:txbxContent>
                  </v:textbox>
                </v:rect>
                <v:rect id="Rectangle 21844" o:spid="_x0000_s6071" style="position:absolute;left:-13171;top:14445;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8xgAAAN4AAAAPAAAAZHJzL2Rvd25yZXYueG1sRI9Pi8Iw&#10;FMTvC36H8Bb2tqaKSKlGWRTZHrz4Dzw+mmfb3eYlNNHW/fQbQfA4zMxvmPmyN424UetrywpGwwQE&#10;cWF1zaWC42HzmYLwAVljY5kU3MnDcjF4m2Ombcc7uu1DKSKEfYYKqhBcJqUvKjLoh9YRR+9iW4Mh&#10;yraUusUuwk0jx0kylQZrjgsVOlpVVPzur0bBec0u33SyuPyt3PYnT5vv6/Gk1Md7/zUDEagPr/Cz&#10;nWsF41E6mcDjTrwCcvEPAAD//wMAUEsBAi0AFAAGAAgAAAAhANvh9svuAAAAhQEAABMAAAAAAAAA&#10;AAAAAAAAAAAAAFtDb250ZW50X1R5cGVzXS54bWxQSwECLQAUAAYACAAAACEAWvQsW78AAAAVAQAA&#10;CwAAAAAAAAAAAAAAAAAfAQAAX3JlbHMvLnJlbHNQSwECLQAUAAYACAAAACEAYC8vvMYAAADeAAAA&#10;DwAAAAAAAAAAAAAAAAAHAgAAZHJzL2Rvd25yZXYueG1sUEsFBgAAAAADAAMAtwAAAPoCAAAAAA==&#10;" filled="f" stroked="f">
                  <v:textbox inset="0,0,0,0">
                    <w:txbxContent>
                      <w:p w14:paraId="243A653E" w14:textId="77777777" w:rsidR="00B32EF2" w:rsidRDefault="00000000">
                        <w:r>
                          <w:rPr>
                            <w:rFonts w:ascii="Arial" w:eastAsia="Arial" w:hAnsi="Arial" w:cs="Arial"/>
                            <w:sz w:val="18"/>
                          </w:rPr>
                          <w:t xml:space="preserve">cui al comma 3, fissa la data della discussione davanti allo stesso con decreto </w:t>
                        </w:r>
                      </w:p>
                    </w:txbxContent>
                  </v:textbox>
                </v:rect>
                <v:rect id="Rectangle 21845" o:spid="_x0000_s6072" style="position:absolute;left:-13172;top:13211;width:53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4onxwAAAN4AAAAPAAAAZHJzL2Rvd25yZXYueG1sRI9Pa8JA&#10;FMTvgt9heYI33Si1hNRVRJHm0Ev9Az0+ss8kbfbtkl1N7Kd3CwWPw8z8hlmue9OIG7W+tqxgNk1A&#10;EBdW11wqOB33kxSED8gaG8uk4E4e1qvhYImZth1/0u0QShEh7DNUUIXgMil9UZFBP7WOOHoX2xoM&#10;Ubal1C12EW4aOU+SV2mw5rhQoaNtRcXP4WoUfO3Y5ftOFpffrfv4ztPm/Xo6KzUe9Zs3EIH68Az/&#10;t3OtYD5LXxbwdydeAbl6AAAA//8DAFBLAQItABQABgAIAAAAIQDb4fbL7gAAAIUBAAATAAAAAAAA&#10;AAAAAAAAAAAAAABbQ29udGVudF9UeXBlc10ueG1sUEsBAi0AFAAGAAgAAAAhAFr0LFu/AAAAFQEA&#10;AAsAAAAAAAAAAAAAAAAAHwEAAF9yZWxzLy5yZWxzUEsBAi0AFAAGAAgAAAAhAA9jiifHAAAA3gAA&#10;AA8AAAAAAAAAAAAAAAAABwIAAGRycy9kb3ducmV2LnhtbFBLBQYAAAAAAwADALcAAAD7AgAAAAA=&#10;" filled="f" stroked="f">
                  <v:textbox inset="0,0,0,0">
                    <w:txbxContent>
                      <w:p w14:paraId="233BD5BB" w14:textId="77777777" w:rsidR="00B32EF2" w:rsidRDefault="00000000">
                        <w:r>
                          <w:rPr>
                            <w:rFonts w:ascii="Arial" w:eastAsia="Arial" w:hAnsi="Arial" w:cs="Arial"/>
                            <w:sz w:val="18"/>
                          </w:rPr>
                          <w:t xml:space="preserve">da notificare almeno quaranta giorni prima all’incolpato, il quale può prendere </w:t>
                        </w:r>
                      </w:p>
                    </w:txbxContent>
                  </v:textbox>
                </v:rect>
                <v:rect id="Rectangle 21846" o:spid="_x0000_s6073" style="position:absolute;left:-13171;top:119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RQxwAAAN4AAAAPAAAAZHJzL2Rvd25yZXYueG1sRI9Pi8Iw&#10;FMTvC36H8Ba8ramySKlGWRTZHrysf8Djo3m23W1eQhNt9dNvBMHjMDO/YebL3jTiSq2vLSsYjxIQ&#10;xIXVNZcKDvvNRwrCB2SNjWVScCMPy8XgbY6Zth3/0HUXShEh7DNUUIXgMil9UZFBP7KOOHpn2xoM&#10;Ubal1C12EW4aOUmSqTRYc1yo0NGqouJvdzEKTmt2+aaTxfm+ctvfPG2+L4ejUsP3/msGIlAfXuFn&#10;O9cKJuP0cwqPO/EKyMU/AAAA//8DAFBLAQItABQABgAIAAAAIQDb4fbL7gAAAIUBAAATAAAAAAAA&#10;AAAAAAAAAAAAAABbQ29udGVudF9UeXBlc10ueG1sUEsBAi0AFAAGAAgAAAAhAFr0LFu/AAAAFQEA&#10;AAsAAAAAAAAAAAAAAAAAHwEAAF9yZWxzLy5yZWxzUEsBAi0AFAAGAAgAAAAhAP+xFFDHAAAA3gAA&#10;AA8AAAAAAAAAAAAAAAAABwIAAGRycy9kb3ducmV2LnhtbFBLBQYAAAAAAwADALcAAAD7AgAAAAA=&#10;" filled="f" stroked="f">
                  <v:textbox inset="0,0,0,0">
                    <w:txbxContent>
                      <w:p w14:paraId="45934013" w14:textId="77777777" w:rsidR="00B32EF2" w:rsidRDefault="00000000">
                        <w:r>
                          <w:rPr>
                            <w:rFonts w:ascii="Arial" w:eastAsia="Arial" w:hAnsi="Arial" w:cs="Arial"/>
                            <w:sz w:val="18"/>
                          </w:rPr>
                          <w:t xml:space="preserve">visione ed estrarre copia degli atti e depositare le sue difese non oltre dieci </w:t>
                        </w:r>
                      </w:p>
                    </w:txbxContent>
                  </v:textbox>
                </v:rect>
                <v:rect id="Rectangle 21847" o:spid="_x0000_s6074" style="position:absolute;left:19264;top:10745;width:206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HLxwAAAN4AAAAPAAAAZHJzL2Rvd25yZXYueG1sRI9Pa8JA&#10;FMTvgt9heYI33SjFhtRVRJHm0Ev9Az0+ss8kbfbtkl1N7Kd3CwWPw8z8hlmue9OIG7W+tqxgNk1A&#10;EBdW11wqOB33kxSED8gaG8uk4E4e1qvhYImZth1/0u0QShEh7DNUUIXgMil9UZFBP7WOOHoX2xoM&#10;Ubal1C12EW4aOU+ShTRYc1yo0NG2ouLncDUKvnbs8n0ni8vv1n1852nzfj2dlRqP+s0biEB9eIb/&#10;27lWMJ+lL6/wdydeAbl6AAAA//8DAFBLAQItABQABgAIAAAAIQDb4fbL7gAAAIUBAAATAAAAAAAA&#10;AAAAAAAAAAAAAABbQ29udGVudF9UeXBlc10ueG1sUEsBAi0AFAAGAAgAAAAhAFr0LFu/AAAAFQEA&#10;AAsAAAAAAAAAAAAAAAAAHwEAAF9yZWxzLy5yZWxzUEsBAi0AFAAGAAgAAAAhAJD9scvHAAAA3gAA&#10;AA8AAAAAAAAAAAAAAAAABwIAAGRycy9kb3ducmV2LnhtbFBLBQYAAAAAAwADALcAAAD7AgAAAAA=&#10;" filled="f" stroked="f">
                  <v:textbox inset="0,0,0,0">
                    <w:txbxContent>
                      <w:p w14:paraId="5C51273E" w14:textId="77777777" w:rsidR="00B32EF2" w:rsidRDefault="00000000">
                        <w:r>
                          <w:rPr>
                            <w:rFonts w:ascii="Arial" w:eastAsia="Arial" w:hAnsi="Arial" w:cs="Arial"/>
                            <w:sz w:val="18"/>
                          </w:rPr>
                          <w:t>giorni prima della discussione.</w:t>
                        </w:r>
                      </w:p>
                    </w:txbxContent>
                  </v:textbox>
                </v:rect>
                <v:rect id="Rectangle 202082" o:spid="_x0000_s6075" style="position:absolute;left:26350;top:9511;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n9pxwAAAN8AAAAPAAAAZHJzL2Rvd25yZXYueG1sRI9Ba8JA&#10;FITvBf/D8gRvddccJKSuIoo0h15qLfT4yD6T1OzbJbuatL++Kwg9DjPzDbPajLYTN+pD61jDYq5A&#10;EFfOtFxrOH0cnnMQISIb7ByThh8KsFlPnlZYGDfwO92OsRYJwqFADU2MvpAyVA1ZDHPniZN3dr3F&#10;mGRfS9PjkOC2k5lSS2mx5bTQoKddQ9XleLUavvbsy8Mgq/Pvzr99l3n3ej19aj2bjtsXEJHG+B9+&#10;tEujIVOZyjO4/0lfQK7/AAAA//8DAFBLAQItABQABgAIAAAAIQDb4fbL7gAAAIUBAAATAAAAAAAA&#10;AAAAAAAAAAAAAABbQ29udGVudF9UeXBlc10ueG1sUEsBAi0AFAAGAAgAAAAhAFr0LFu/AAAAFQEA&#10;AAsAAAAAAAAAAAAAAAAAHwEAAF9yZWxzLy5yZWxzUEsBAi0AFAAGAAgAAAAhADySf2nHAAAA3wAA&#10;AA8AAAAAAAAAAAAAAAAABwIAAGRycy9kb3ducmV2LnhtbFBLBQYAAAAAAwADALcAAAD7AgAAAAA=&#10;" filled="f" stroked="f">
                  <v:textbox inset="0,0,0,0">
                    <w:txbxContent>
                      <w:p w14:paraId="3EB1FE66" w14:textId="77777777" w:rsidR="00B32EF2" w:rsidRDefault="00000000">
                        <w:r>
                          <w:rPr>
                            <w:rFonts w:ascii="Arial" w:eastAsia="Arial" w:hAnsi="Arial" w:cs="Arial"/>
                            <w:sz w:val="18"/>
                          </w:rPr>
                          <w:t>5</w:t>
                        </w:r>
                      </w:p>
                    </w:txbxContent>
                  </v:textbox>
                </v:rect>
                <v:rect id="Rectangle 202083" o:spid="_x0000_s6076" style="position:absolute;left:-12848;top:9511;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tryyAAAAN8AAAAPAAAAZHJzL2Rvd25yZXYueG1sRI/NasMw&#10;EITvgb6D2EJviVQXinGjhJIS6kMvzQ/0uFgb2621EpYSu3n6KBDIcZiZb5j5crSdOFEfWscanmcK&#10;BHHlTMu1ht12Pc1BhIhssHNMGv4pwHLxMJljYdzA33TaxFokCIcCNTQx+kLKUDVkMcycJ07ewfUW&#10;Y5J9LU2PQ4LbTmZKvUqLLaeFBj2tGqr+Nker4eeDfbkeZHU4r/zXb5l3n8fdXuunx/H9DUSkMd7D&#10;t3ZpNGQqU/kLXP+kLyAXFwAAAP//AwBQSwECLQAUAAYACAAAACEA2+H2y+4AAACFAQAAEwAAAAAA&#10;AAAAAAAAAAAAAAAAW0NvbnRlbnRfVHlwZXNdLnhtbFBLAQItABQABgAIAAAAIQBa9CxbvwAAABUB&#10;AAALAAAAAAAAAAAAAAAAAB8BAABfcmVscy8ucmVsc1BLAQItABQABgAIAAAAIQBT3tryyAAAAN8A&#10;AAAPAAAAAAAAAAAAAAAAAAcCAABkcnMvZG93bnJldi54bWxQSwUGAAAAAAMAAwC3AAAA/AIAAAAA&#10;" filled="f" stroked="f">
                  <v:textbox inset="0,0,0,0">
                    <w:txbxContent>
                      <w:p w14:paraId="4638652C" w14:textId="77777777" w:rsidR="00B32EF2" w:rsidRDefault="00000000">
                        <w:r>
                          <w:rPr>
                            <w:rFonts w:ascii="Arial" w:eastAsia="Arial" w:hAnsi="Arial" w:cs="Arial"/>
                            <w:sz w:val="18"/>
                          </w:rPr>
                          <w:t>. Nella seduta fissata per la discussione, il componente del Consiglio di presi</w:t>
                        </w:r>
                      </w:p>
                    </w:txbxContent>
                  </v:textbox>
                </v:rect>
                <v:rect id="Rectangle 21849" o:spid="_x0000_s6077" style="position:absolute;left:192;top:9511;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oAixwAAAN4AAAAPAAAAZHJzL2Rvd25yZXYueG1sRI9Pa8JA&#10;FMTvgt9heYK3ulGKxNRVRJHm0Ev9Az0+ss8kbfbtkl1N7Kd3CwWPw8z8hlmue9OIG7W+tqxgOklA&#10;EBdW11wqOB33LykIH5A1NpZJwZ08rFfDwRIzbTv+pNshlCJC2GeooArBZVL6oiKDfmIdcfQutjUY&#10;omxLqVvsItw0cpYkc2mw5rhQoaNtRcXP4WoUfO3Y5ftOFpffrfv4ztPm/Xo6KzUe9Zs3EIH68Az/&#10;t3OtYDZNXxfwdydeAbl6AAAA//8DAFBLAQItABQABgAIAAAAIQDb4fbL7gAAAIUBAAATAAAAAAAA&#10;AAAAAAAAAAAAAABbQ29udGVudF9UeXBlc10ueG1sUEsBAi0AFAAGAAgAAAAhAFr0LFu/AAAAFQEA&#10;AAsAAAAAAAAAAAAAAAAAHwEAAF9yZWxzLy5yZWxzUEsBAi0AFAAGAAgAAAAhAI4ugCLHAAAA3gAA&#10;AA8AAAAAAAAAAAAAAAAABwIAAGRycy9kb3ducmV2LnhtbFBLBQYAAAAAAwADALcAAAD7AgAAAAA=&#10;" filled="f" stroked="f">
                  <v:textbox inset="0,0,0,0">
                    <w:txbxContent>
                      <w:p w14:paraId="755BF8FE" w14:textId="77777777" w:rsidR="00B32EF2" w:rsidRDefault="00000000">
                        <w:r>
                          <w:rPr>
                            <w:rFonts w:ascii="Arial" w:eastAsia="Arial" w:hAnsi="Arial" w:cs="Arial"/>
                            <w:sz w:val="18"/>
                          </w:rPr>
                          <w:t>-</w:t>
                        </w:r>
                      </w:p>
                    </w:txbxContent>
                  </v:textbox>
                </v:rect>
                <v:rect id="Rectangle 21850" o:spid="_x0000_s6078" style="position:absolute;left:-13171;top:82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b9ixAAAAN4AAAAPAAAAZHJzL2Rvd25yZXYueG1sRI/LisIw&#10;FIb3A75DOIK7MVWYoVSjiCLTxWy8gctDc2yrzUlooq3z9GYx4PLnv/HNl71pxINaX1tWMBknIIgL&#10;q2suFRwP288UhA/IGhvLpOBJHpaLwcccM2073tFjH0oRR9hnqKAKwWVS+qIig35sHXH0LrY1GKJs&#10;S6lb7OK4aeQ0Sb6lwZrjQ4WO1hUVt/3dKDhv2OXbThaXv7X7veZp83M/npQaDfvVDESgPrzD/+1c&#10;K5hO0q8IEHEiCsjFCwAA//8DAFBLAQItABQABgAIAAAAIQDb4fbL7gAAAIUBAAATAAAAAAAAAAAA&#10;AAAAAAAAAABbQ29udGVudF9UeXBlc10ueG1sUEsBAi0AFAAGAAgAAAAhAFr0LFu/AAAAFQEAAAsA&#10;AAAAAAAAAAAAAAAAHwEAAF9yZWxzLy5yZWxzUEsBAi0AFAAGAAgAAAAhAJrNv2LEAAAA3gAAAA8A&#10;AAAAAAAAAAAAAAAABwIAAGRycy9kb3ducmV2LnhtbFBLBQYAAAAAAwADALcAAAD4AgAAAAA=&#10;" filled="f" stroked="f">
                  <v:textbox inset="0,0,0,0">
                    <w:txbxContent>
                      <w:p w14:paraId="2203BCF8" w14:textId="77777777" w:rsidR="00B32EF2" w:rsidRDefault="00000000">
                        <w:r>
                          <w:rPr>
                            <w:rFonts w:ascii="Arial" w:eastAsia="Arial" w:hAnsi="Arial" w:cs="Arial"/>
                            <w:sz w:val="18"/>
                          </w:rPr>
                          <w:t xml:space="preserve">denza di cui al comma 3 svolge la relazione. L’incolpato ha per ultimo la parola </w:t>
                        </w:r>
                      </w:p>
                    </w:txbxContent>
                  </v:textbox>
                </v:rect>
                <v:rect id="Rectangle 21851" o:spid="_x0000_s6079" style="position:absolute;left:-13171;top:704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Rr5xgAAAN4AAAAPAAAAZHJzL2Rvd25yZXYueG1sRI9Ba8JA&#10;FITvgv9heUJvuonQElJXKYqYQy9VCz0+ss8kbfbtkl1N6q93BcHjMDPfMIvVYFpxoc43lhWkswQE&#10;cWl1w5WC42E7zUD4gKyxtUwK/snDajkeLTDXtucvuuxDJSKEfY4K6hBcLqUvazLoZ9YRR+9kO4Mh&#10;yq6SusM+wk0r50nyJg02HBdqdLSuqfzbn42Cnw27YtvL8nRdu8/fImt35+O3Ui+T4eMdRKAhPMOP&#10;dqEVzNPsNYX7nXgF5PIGAAD//wMAUEsBAi0AFAAGAAgAAAAhANvh9svuAAAAhQEAABMAAAAAAAAA&#10;AAAAAAAAAAAAAFtDb250ZW50X1R5cGVzXS54bWxQSwECLQAUAAYACAAAACEAWvQsW78AAAAVAQAA&#10;CwAAAAAAAAAAAAAAAAAfAQAAX3JlbHMvLnJlbHNQSwECLQAUAAYACAAAACEA9YEa+cYAAADeAAAA&#10;DwAAAAAAAAAAAAAAAAAHAgAAZHJzL2Rvd25yZXYueG1sUEsFBgAAAAADAAMAtwAAAPoCAAAAAA==&#10;" filled="f" stroked="f">
                  <v:textbox inset="0,0,0,0">
                    <w:txbxContent>
                      <w:p w14:paraId="20BC95B3" w14:textId="77777777" w:rsidR="00B32EF2" w:rsidRDefault="00000000">
                        <w:r>
                          <w:rPr>
                            <w:rFonts w:ascii="Arial" w:eastAsia="Arial" w:hAnsi="Arial" w:cs="Arial"/>
                            <w:sz w:val="18"/>
                          </w:rPr>
                          <w:t xml:space="preserve">e può farsi assistere da altro componente di corte di giustizia tributaria di primo </w:t>
                        </w:r>
                      </w:p>
                    </w:txbxContent>
                  </v:textbox>
                </v:rect>
                <v:rect id="Rectangle 21852" o:spid="_x0000_s6080" style="position:absolute;left:28046;top:5811;width:118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4SOxgAAAN4AAAAPAAAAZHJzL2Rvd25yZXYueG1sRI9Ba8JA&#10;FITvBf/D8gRvdWNACamrFEXMwYtWweMj+0zSZt8u2dXE/vpuodDjMDPfMMv1YFrxoM43lhXMpgkI&#10;4tLqhisF54/dawbCB2SNrWVS8CQP69XoZYm5tj0f6XEKlYgQ9jkqqENwuZS+rMmgn1pHHL2b7QyG&#10;KLtK6g77CDetTJNkIQ02HBdqdLSpqfw63Y2C65ZdsetlefveuMNnkbX7+/mi1GQ8vL+BCDSE//Bf&#10;u9AK0lk2T+H3TrwCcvUDAAD//wMAUEsBAi0AFAAGAAgAAAAhANvh9svuAAAAhQEAABMAAAAAAAAA&#10;AAAAAAAAAAAAAFtDb250ZW50X1R5cGVzXS54bWxQSwECLQAUAAYACAAAACEAWvQsW78AAAAVAQAA&#10;CwAAAAAAAAAAAAAAAAAfAQAAX3JlbHMvLnJlbHNQSwECLQAUAAYACAAAACEABVOEjsYAAADeAAAA&#10;DwAAAAAAAAAAAAAAAAAHAgAAZHJzL2Rvd25yZXYueG1sUEsFBgAAAAADAAMAtwAAAPoCAAAAAA==&#10;" filled="f" stroked="f">
                  <v:textbox inset="0,0,0,0">
                    <w:txbxContent>
                      <w:p w14:paraId="73AD80C7" w14:textId="77777777" w:rsidR="00B32EF2" w:rsidRDefault="00000000">
                        <w:r>
                          <w:rPr>
                            <w:rFonts w:ascii="Arial" w:eastAsia="Arial" w:hAnsi="Arial" w:cs="Arial"/>
                            <w:sz w:val="18"/>
                          </w:rPr>
                          <w:t>e secondo grado.</w:t>
                        </w:r>
                      </w:p>
                    </w:txbxContent>
                  </v:textbox>
                </v:rect>
                <v:rect id="Rectangle 202081" o:spid="_x0000_s6081" style="position:absolute;left:-13814;top:45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OEexwAAAN8AAAAPAAAAZHJzL2Rvd25yZXYueG1sRI/NasMw&#10;EITvgb6D2EJuiRQfgnGjhJIS6kMvzQ/0uFgb2621EpYSu336KhDIcZiZb5jVZrSduFIfWscaFnMF&#10;grhypuVaw/Gwm+UgQkQ22DkmDb8UYLN+mqywMG7gT7ruYy0ShEOBGpoYfSFlqBqyGObOEyfv7HqL&#10;Mcm+lqbHIcFtJzOlltJiy2mhQU/bhqqf/cVq+HpjX+4GWZ3/tv7ju8y798vxpPX0eXx9ARFpjI/w&#10;vV0aDZnKVL6A25/0BeT6HwAA//8DAFBLAQItABQABgAIAAAAIQDb4fbL7gAAAIUBAAATAAAAAAAA&#10;AAAAAAAAAAAAAABbQ29udGVudF9UeXBlc10ueG1sUEsBAi0AFAAGAAgAAAAhAFr0LFu/AAAAFQEA&#10;AAsAAAAAAAAAAAAAAAAAHwEAAF9yZWxzLy5yZWxzUEsBAi0AFAAGAAgAAAAhAMxA4R7HAAAA3wAA&#10;AA8AAAAAAAAAAAAAAAAABwIAAGRycy9kb3ducmV2LnhtbFBLBQYAAAAAAwADALcAAAD7AgAAAAA=&#10;" filled="f" stroked="f">
                  <v:textbox inset="0,0,0,0">
                    <w:txbxContent>
                      <w:p w14:paraId="3CA84582" w14:textId="77777777" w:rsidR="00B32EF2" w:rsidRDefault="00000000">
                        <w:r>
                          <w:rPr>
                            <w:rFonts w:ascii="Arial" w:eastAsia="Arial" w:hAnsi="Arial" w:cs="Arial"/>
                            <w:sz w:val="18"/>
                          </w:rPr>
                          <w:t xml:space="preserve">. La sanzione disciplinare deliberata dal Consiglio di presidenza è applicata </w:t>
                        </w:r>
                      </w:p>
                    </w:txbxContent>
                  </v:textbox>
                </v:rect>
                <v:rect id="Rectangle 202080" o:spid="_x0000_s6082" style="position:absolute;left:26110;top:457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ESFxgAAAN8AAAAPAAAAZHJzL2Rvd25yZXYueG1sRI+9asMw&#10;FIX3QN9B3EK3RKqHYNwopriEesjSNIGOF+vGdmJdCUuJ3T59NRQ6Hs4f36ac7SDuNIbesYbnlQJB&#10;3DjTc6vh+Llb5iBCRDY4OCYN3xSg3D4sNlgYN/EH3Q+xFWmEQ4Eauhh9IWVoOrIYVs4TJ+/sRosx&#10;ybGVZsQpjdtBZkqtpcWe00OHnqqOmuvhZjV8vbGvd5Nszj+V31/qfHi/HU9aPz3Ory8gIs3xP/zX&#10;ro2GTGUqTwSJJ7GA3P4CAAD//wMAUEsBAi0AFAAGAAgAAAAhANvh9svuAAAAhQEAABMAAAAAAAAA&#10;AAAAAAAAAAAAAFtDb250ZW50X1R5cGVzXS54bWxQSwECLQAUAAYACAAAACEAWvQsW78AAAAVAQAA&#10;CwAAAAAAAAAAAAAAAAAfAQAAX3JlbHMvLnJlbHNQSwECLQAUAAYACAAAACEAowxEhcYAAADfAAAA&#10;DwAAAAAAAAAAAAAAAAAHAgAAZHJzL2Rvd25yZXYueG1sUEsFBgAAAAADAAMAtwAAAPoCAAAAAA==&#10;" filled="f" stroked="f">
                  <v:textbox inset="0,0,0,0">
                    <w:txbxContent>
                      <w:p w14:paraId="190E0541" w14:textId="77777777" w:rsidR="00B32EF2" w:rsidRDefault="00000000">
                        <w:r>
                          <w:rPr>
                            <w:rFonts w:ascii="Arial" w:eastAsia="Arial" w:hAnsi="Arial" w:cs="Arial"/>
                            <w:sz w:val="18"/>
                          </w:rPr>
                          <w:t>6</w:t>
                        </w:r>
                      </w:p>
                    </w:txbxContent>
                  </v:textbox>
                </v:rect>
                <v:rect id="Rectangle 21854" o:spid="_x0000_s6083" style="position:absolute;left:3058;top:3345;width:368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rlhxwAAAN4AAAAPAAAAZHJzL2Rvd25yZXYueG1sRI9Pa8JA&#10;FMTvgt9heYI33Si1hNRVRJHm0Ev9Az0+ss8kbfbtkl1N7Kd3CwWPw8z8hlmue9OIG7W+tqxgNk1A&#10;EBdW11wqOB33kxSED8gaG8uk4E4e1qvhYImZth1/0u0QShEh7DNUUIXgMil9UZFBP7WOOHoX2xoM&#10;Ubal1C12EW4aOU+SV2mw5rhQoaNtRcXP4WoUfO3Y5ftOFpffrfv4ztPm/Xo6KzUe9Zs3EIH68Az/&#10;t3OtYD5LFy/wdydeAbl6AAAA//8DAFBLAQItABQABgAIAAAAIQDb4fbL7gAAAIUBAAATAAAAAAAA&#10;AAAAAAAAAAAAAABbQ29udGVudF9UeXBlc10ueG1sUEsBAi0AFAAGAAgAAAAhAFr0LFu/AAAAFQEA&#10;AAsAAAAAAAAAAAAAAAAAHwEAAF9yZWxzLy5yZWxzUEsBAi0AFAAGAAgAAAAhAOX2uWHHAAAA3gAA&#10;AA8AAAAAAAAAAAAAAAAABwIAAGRycy9kb3ducmV2LnhtbFBLBQYAAAAAAwADALcAAAD7AgAAAAA=&#10;" filled="f" stroked="f">
                  <v:textbox inset="0,0,0,0">
                    <w:txbxContent>
                      <w:p w14:paraId="0A9E7C47" w14:textId="77777777" w:rsidR="00B32EF2" w:rsidRDefault="00000000">
                        <w:r>
                          <w:rPr>
                            <w:rFonts w:ascii="Arial" w:eastAsia="Arial" w:hAnsi="Arial" w:cs="Arial"/>
                            <w:sz w:val="18"/>
                          </w:rPr>
                          <w:t>con decreto del Ministro dell’economia e delle finanze.</w:t>
                        </w:r>
                      </w:p>
                    </w:txbxContent>
                  </v:textbox>
                </v:rect>
                <v:rect id="Rectangle 202078" o:spid="_x0000_s6084" style="position:absolute;left:26354;top:2112;width:521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zikxAAAAN8AAAAPAAAAZHJzL2Rvd25yZXYueG1sRE89b8Iw&#10;EN0r8R+sQ2IrNhkKSjGoAqFmYClQqeMpPpK08dmKDQn8+npAYnx638v1YFtxpS40jjXMpgoEcelM&#10;w5WG03H3ugARIrLB1jFpuFGA9Wr0ssTcuJ6/6HqIlUghHHLUUMfocylDWZPFMHWeOHFn11mMCXaV&#10;NB32Kdy2MlPqTVpsODXU6GlTU/l3uFgNP1v2xa6X5fm+8fvfYtF+Xk7fWk/Gw8c7iEhDfIof7sJo&#10;yFSm5mlw+pO+gFz9AwAA//8DAFBLAQItABQABgAIAAAAIQDb4fbL7gAAAIUBAAATAAAAAAAAAAAA&#10;AAAAAAAAAABbQ29udGVudF9UeXBlc10ueG1sUEsBAi0AFAAGAAgAAAAhAFr0LFu/AAAAFQEAAAsA&#10;AAAAAAAAAAAAAAAAHwEAAF9yZWxzLy5yZWxzUEsBAi0AFAAGAAgAAAAhAGivOKTEAAAA3wAAAA8A&#10;AAAAAAAAAAAAAAAABwIAAGRycy9kb3ducmV2LnhtbFBLBQYAAAAAAwADALcAAAD4AgAAAAA=&#10;" filled="f" stroked="f">
                  <v:textbox inset="0,0,0,0">
                    <w:txbxContent>
                      <w:p w14:paraId="452F42F9" w14:textId="77777777" w:rsidR="00B32EF2" w:rsidRDefault="00000000">
                        <w:r>
                          <w:rPr>
                            <w:rFonts w:ascii="Arial" w:eastAsia="Arial" w:hAnsi="Arial" w:cs="Arial"/>
                            <w:sz w:val="18"/>
                          </w:rPr>
                          <w:t>7</w:t>
                        </w:r>
                      </w:p>
                    </w:txbxContent>
                  </v:textbox>
                </v:rect>
                <v:rect id="Rectangle 202079" o:spid="_x0000_s6085" style="position:absolute;left:-12711;top:2112;width:5210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50/yAAAAN8AAAAPAAAAZHJzL2Rvd25yZXYueG1sRI9BawIx&#10;FITvQv9DeIXeatI9VLsaRSzSPfRSq+DxsXnurm5ewia62/56Uyh4HGbmG2a+HGwrrtSFxrGGl7EC&#10;QVw603ClYfe9eZ6CCBHZYOuYNPxQgOXiYTTH3Liev+i6jZVIEA45aqhj9LmUoazJYhg7T5y8o+ss&#10;xiS7SpoO+wS3rcyUepUWG04LNXpa11Setxer4fDOvtj0sjz+rv3nqZi2H5fdXuunx2E1AxFpiPfw&#10;f7swGjKVqckb/P1JX0AubgAAAP//AwBQSwECLQAUAAYACAAAACEA2+H2y+4AAACFAQAAEwAAAAAA&#10;AAAAAAAAAAAAAAAAW0NvbnRlbnRfVHlwZXNdLnhtbFBLAQItABQABgAIAAAAIQBa9CxbvwAAABUB&#10;AAALAAAAAAAAAAAAAAAAAB8BAABfcmVscy8ucmVsc1BLAQItABQABgAIAAAAIQAH450/yAAAAN8A&#10;AAAPAAAAAAAAAAAAAAAAAAcCAABkcnMvZG93bnJldi54bWxQSwUGAAAAAAMAAwC3AAAA/AIAAAAA&#10;" filled="f" stroked="f">
                  <v:textbox inset="0,0,0,0">
                    <w:txbxContent>
                      <w:p w14:paraId="60851EBF" w14:textId="77777777" w:rsidR="00B32EF2" w:rsidRDefault="00000000">
                        <w:r>
                          <w:rPr>
                            <w:rFonts w:ascii="Arial" w:eastAsia="Arial" w:hAnsi="Arial" w:cs="Arial"/>
                            <w:sz w:val="18"/>
                          </w:rPr>
                          <w:t>. Per quanto non contemplato dal presente testo unico si applicano le dispo</w:t>
                        </w:r>
                      </w:p>
                    </w:txbxContent>
                  </v:textbox>
                </v:rect>
                <v:rect id="Rectangle 21856" o:spid="_x0000_s6086" style="position:absolute;left:192;top:2112;width:5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IKNxwAAAN4AAAAPAAAAZHJzL2Rvd25yZXYueG1sRI9Pi8Iw&#10;FMTvC36H8Ba8ranCSqlGWRTZHrysf8Djo3m23W1eQhNt9dNvBMHjMDO/YebL3jTiSq2vLSsYjxIQ&#10;xIXVNZcKDvvNRwrCB2SNjWVScCMPy8XgbY6Zth3/0HUXShEh7DNUUIXgMil9UZFBP7KOOHpn2xoM&#10;Ubal1C12EW4aOUmSqTRYc1yo0NGqouJvdzEKTmt2+aaTxfm+ctvfPG2+L4ejUsP3/msGIlAfXuFn&#10;O9cKJuP0cwqPO/EKyMU/AAAA//8DAFBLAQItABQABgAIAAAAIQDb4fbL7gAAAIUBAAATAAAAAAAA&#10;AAAAAAAAAAAAAABbQ29udGVudF9UeXBlc10ueG1sUEsBAi0AFAAGAAgAAAAhAFr0LFu/AAAAFQEA&#10;AAsAAAAAAAAAAAAAAAAAHwEAAF9yZWxzLy5yZWxzUEsBAi0AFAAGAAgAAAAhAHpogo3HAAAA3gAA&#10;AA8AAAAAAAAAAAAAAAAABwIAAGRycy9kb3ducmV2LnhtbFBLBQYAAAAAAwADALcAAAD7AgAAAAA=&#10;" filled="f" stroked="f">
                  <v:textbox inset="0,0,0,0">
                    <w:txbxContent>
                      <w:p w14:paraId="177E4F6E" w14:textId="77777777" w:rsidR="00B32EF2" w:rsidRDefault="00000000">
                        <w:r>
                          <w:rPr>
                            <w:rFonts w:ascii="Arial" w:eastAsia="Arial" w:hAnsi="Arial" w:cs="Arial"/>
                            <w:sz w:val="18"/>
                          </w:rPr>
                          <w:t>-</w:t>
                        </w:r>
                      </w:p>
                    </w:txbxContent>
                  </v:textbox>
                </v:rect>
                <v:rect id="Rectangle 21857" o:spid="_x0000_s6087" style="position:absolute;left:-13171;top:8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CcWxwAAAN4AAAAPAAAAZHJzL2Rvd25yZXYueG1sRI9Pa8JA&#10;FMTvgt9heYI33SjUhtRVRJHm0Ev9Az0+ss8kbfbtkl1N7Kd3CwWPw8z8hlmue9OIG7W+tqxgNk1A&#10;EBdW11wqOB33kxSED8gaG8uk4E4e1qvhYImZth1/0u0QShEh7DNUUIXgMil9UZFBP7WOOHoX2xoM&#10;Ubal1C12EW4aOU+ShTRYc1yo0NG2ouLncDUKvnbs8n0ni8vv1n1852nzfj2dlRqP+s0biEB9eIb/&#10;27lWMJ+lL6/wdydeAbl6AAAA//8DAFBLAQItABQABgAIAAAAIQDb4fbL7gAAAIUBAAATAAAAAAAA&#10;AAAAAAAAAAAAAABbQ29udGVudF9UeXBlc10ueG1sUEsBAi0AFAAGAAgAAAAhAFr0LFu/AAAAFQEA&#10;AAsAAAAAAAAAAAAAAAAAHwEAAF9yZWxzLy5yZWxzUEsBAi0AFAAGAAgAAAAhABUkJxbHAAAA3gAA&#10;AA8AAAAAAAAAAAAAAAAABwIAAGRycy9kb3ducmV2LnhtbFBLBQYAAAAAAwADALcAAAD7AgAAAAA=&#10;" filled="f" stroked="f">
                  <v:textbox inset="0,0,0,0">
                    <w:txbxContent>
                      <w:p w14:paraId="6C78BCA2" w14:textId="77777777" w:rsidR="00B32EF2" w:rsidRDefault="00000000">
                        <w:r>
                          <w:rPr>
                            <w:rFonts w:ascii="Arial" w:eastAsia="Arial" w:hAnsi="Arial" w:cs="Arial"/>
                            <w:sz w:val="18"/>
                          </w:rPr>
                          <w:t xml:space="preserve">sizioni sul procedimento disciplinare vigenti per i magistrati ordinari in quanto </w:t>
                        </w:r>
                      </w:p>
                    </w:txbxContent>
                  </v:textbox>
                </v:rect>
                <v:rect id="Rectangle 21858" o:spid="_x0000_s6088" style="position:absolute;left:32201;top:-354;width:772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7NkwwAAAN4AAAAPAAAAZHJzL2Rvd25yZXYueG1sRE/LisIw&#10;FN0P+A/hCu7GVGGGUo0iikwXs/EFLi/Nta02N6GJts7Xm8WAy8N5z5e9acSDWl9bVjAZJyCIC6tr&#10;LhUcD9vPFIQPyBoby6TgSR6Wi8HHHDNtO97RYx9KEUPYZ6igCsFlUvqiIoN+bB1x5C62NRgibEup&#10;W+xiuGnkNEm+pcGaY0OFjtYVFbf93Sg4b9jl204Wl7+1+73mafNzP56UGg371QxEoD68xf/uXCuY&#10;TtKvuDfeiVdALl4AAAD//wMAUEsBAi0AFAAGAAgAAAAhANvh9svuAAAAhQEAABMAAAAAAAAAAAAA&#10;AAAAAAAAAFtDb250ZW50X1R5cGVzXS54bWxQSwECLQAUAAYACAAAACEAWvQsW78AAAAVAQAACwAA&#10;AAAAAAAAAAAAAAAfAQAAX3JlbHMvLnJlbHNQSwECLQAUAAYACAAAACEAZLuzZMMAAADeAAAADwAA&#10;AAAAAAAAAAAAAAAHAgAAZHJzL2Rvd25yZXYueG1sUEsFBgAAAAADAAMAtwAAAPcCAAAAAA==&#10;" filled="f" stroked="f">
                  <v:textbox inset="0,0,0,0">
                    <w:txbxContent>
                      <w:p w14:paraId="10F21AE4" w14:textId="77777777" w:rsidR="00B32EF2" w:rsidRDefault="00000000">
                        <w:r>
                          <w:rPr>
                            <w:rFonts w:ascii="Arial" w:eastAsia="Arial" w:hAnsi="Arial" w:cs="Arial"/>
                            <w:sz w:val="18"/>
                          </w:rPr>
                          <w:t>compatibili.</w:t>
                        </w:r>
                      </w:p>
                    </w:txbxContent>
                  </v:textbox>
                </v:rect>
                <w10:anchorlock/>
              </v:group>
            </w:pict>
          </mc:Fallback>
        </mc:AlternateContent>
      </w:r>
    </w:p>
    <w:p w14:paraId="0BA1F6E1" w14:textId="77777777" w:rsidR="00B32EF2" w:rsidRDefault="00000000">
      <w:pPr>
        <w:spacing w:after="0"/>
        <w:ind w:left="-357" w:right="-306"/>
      </w:pPr>
      <w:r>
        <w:rPr>
          <w:noProof/>
        </w:rPr>
        <w:lastRenderedPageBreak/>
        <mc:AlternateContent>
          <mc:Choice Requires="wpg">
            <w:drawing>
              <wp:inline distT="0" distB="0" distL="0" distR="0" wp14:anchorId="0230DBDA" wp14:editId="276EE1FC">
                <wp:extent cx="3992236" cy="6262854"/>
                <wp:effectExtent l="0" t="0" r="0" b="0"/>
                <wp:docPr id="202124" name="Group 202124"/>
                <wp:cNvGraphicFramePr/>
                <a:graphic xmlns:a="http://schemas.openxmlformats.org/drawingml/2006/main">
                  <a:graphicData uri="http://schemas.microsoft.com/office/word/2010/wordprocessingGroup">
                    <wpg:wgp>
                      <wpg:cNvGrpSpPr/>
                      <wpg:grpSpPr>
                        <a:xfrm>
                          <a:off x="0" y="0"/>
                          <a:ext cx="3992236" cy="6262854"/>
                          <a:chOff x="0" y="0"/>
                          <a:chExt cx="3992236" cy="6262854"/>
                        </a:xfrm>
                      </wpg:grpSpPr>
                      <wps:wsp>
                        <wps:cNvPr id="21882" name="Rectangle 21882"/>
                        <wps:cNvSpPr/>
                        <wps:spPr>
                          <a:xfrm rot="-10799999">
                            <a:off x="1900837" y="-62190"/>
                            <a:ext cx="178369" cy="250646"/>
                          </a:xfrm>
                          <a:prstGeom prst="rect">
                            <a:avLst/>
                          </a:prstGeom>
                          <a:ln>
                            <a:noFill/>
                          </a:ln>
                        </wps:spPr>
                        <wps:txbx>
                          <w:txbxContent>
                            <w:p w14:paraId="5F956671" w14:textId="77777777" w:rsidR="00B32EF2" w:rsidRDefault="00000000">
                              <w:r>
                                <w:rPr>
                                  <w:rFonts w:ascii="Times New Roman" w:eastAsia="Times New Roman" w:hAnsi="Times New Roman" w:cs="Times New Roman"/>
                                </w:rPr>
                                <w:t>29</w:t>
                              </w:r>
                            </w:p>
                          </w:txbxContent>
                        </wps:txbx>
                        <wps:bodyPr horzOverflow="overflow" vert="horz" lIns="0" tIns="0" rIns="0" bIns="0" rtlCol="0">
                          <a:noAutofit/>
                        </wps:bodyPr>
                      </wps:wsp>
                      <wps:wsp>
                        <wps:cNvPr id="21883" name="Rectangle 21883"/>
                        <wps:cNvSpPr/>
                        <wps:spPr>
                          <a:xfrm rot="-10799999">
                            <a:off x="1509323" y="6119965"/>
                            <a:ext cx="806932" cy="142889"/>
                          </a:xfrm>
                          <a:prstGeom prst="rect">
                            <a:avLst/>
                          </a:prstGeom>
                          <a:ln>
                            <a:noFill/>
                          </a:ln>
                        </wps:spPr>
                        <wps:txbx>
                          <w:txbxContent>
                            <w:p w14:paraId="53123D16" w14:textId="77777777" w:rsidR="00B32EF2" w:rsidRDefault="00000000">
                              <w:r>
                                <w:rPr>
                                  <w:rFonts w:ascii="Arial" w:eastAsia="Arial" w:hAnsi="Arial" w:cs="Arial"/>
                                  <w:b/>
                                  <w:sz w:val="18"/>
                                </w:rPr>
                                <w:t>Articolo 21</w:t>
                              </w:r>
                            </w:p>
                          </w:txbxContent>
                        </wps:txbx>
                        <wps:bodyPr horzOverflow="overflow" vert="horz" lIns="0" tIns="0" rIns="0" bIns="0" rtlCol="0">
                          <a:noAutofit/>
                        </wps:bodyPr>
                      </wps:wsp>
                      <wps:wsp>
                        <wps:cNvPr id="202061" name="Rectangle 202061"/>
                        <wps:cNvSpPr/>
                        <wps:spPr>
                          <a:xfrm rot="-10799999">
                            <a:off x="1168644" y="5996635"/>
                            <a:ext cx="1934487" cy="142890"/>
                          </a:xfrm>
                          <a:prstGeom prst="rect">
                            <a:avLst/>
                          </a:prstGeom>
                          <a:ln>
                            <a:noFill/>
                          </a:ln>
                        </wps:spPr>
                        <wps:txbx>
                          <w:txbxContent>
                            <w:p w14:paraId="09AC5577" w14:textId="77777777" w:rsidR="00B32EF2" w:rsidRDefault="00000000">
                              <w:r>
                                <w:rPr>
                                  <w:rFonts w:ascii="Arial" w:eastAsia="Arial" w:hAnsi="Arial" w:cs="Arial"/>
                                  <w:i/>
                                  <w:sz w:val="18"/>
                                </w:rPr>
                                <w:t xml:space="preserve">articolo 14 D.lgs. n. </w:t>
                              </w:r>
                            </w:p>
                          </w:txbxContent>
                        </wps:txbx>
                        <wps:bodyPr horzOverflow="overflow" vert="horz" lIns="0" tIns="0" rIns="0" bIns="0" rtlCol="0">
                          <a:noAutofit/>
                        </wps:bodyPr>
                      </wps:wsp>
                      <wps:wsp>
                        <wps:cNvPr id="202057" name="Rectangle 202057"/>
                        <wps:cNvSpPr/>
                        <wps:spPr>
                          <a:xfrm rot="-10799999">
                            <a:off x="2221346" y="5996635"/>
                            <a:ext cx="1934487" cy="142890"/>
                          </a:xfrm>
                          <a:prstGeom prst="rect">
                            <a:avLst/>
                          </a:prstGeom>
                          <a:ln>
                            <a:noFill/>
                          </a:ln>
                        </wps:spPr>
                        <wps:txbx>
                          <w:txbxContent>
                            <w:p w14:paraId="3D00451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059" name="Rectangle 202059"/>
                        <wps:cNvSpPr/>
                        <wps:spPr>
                          <a:xfrm rot="-10799999">
                            <a:off x="-250699" y="5996635"/>
                            <a:ext cx="1934488" cy="142890"/>
                          </a:xfrm>
                          <a:prstGeom prst="rect">
                            <a:avLst/>
                          </a:prstGeom>
                          <a:ln>
                            <a:noFill/>
                          </a:ln>
                        </wps:spPr>
                        <wps:txbx>
                          <w:txbxContent>
                            <w:p w14:paraId="7798AF4E"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1885" name="Rectangle 21885"/>
                        <wps:cNvSpPr/>
                        <wps:spPr>
                          <a:xfrm rot="-10799999">
                            <a:off x="1279651" y="5873305"/>
                            <a:ext cx="1148276" cy="142889"/>
                          </a:xfrm>
                          <a:prstGeom prst="rect">
                            <a:avLst/>
                          </a:prstGeom>
                          <a:ln>
                            <a:noFill/>
                          </a:ln>
                        </wps:spPr>
                        <wps:txbx>
                          <w:txbxContent>
                            <w:p w14:paraId="4A76C31C" w14:textId="77777777" w:rsidR="00B32EF2" w:rsidRDefault="00000000">
                              <w:r>
                                <w:rPr>
                                  <w:rFonts w:ascii="Arial" w:eastAsia="Arial" w:hAnsi="Arial" w:cs="Arial"/>
                                  <w:b/>
                                  <w:sz w:val="18"/>
                                </w:rPr>
                                <w:t xml:space="preserve">Responsabilità </w:t>
                              </w:r>
                            </w:p>
                          </w:txbxContent>
                        </wps:txbx>
                        <wps:bodyPr horzOverflow="overflow" vert="horz" lIns="0" tIns="0" rIns="0" bIns="0" rtlCol="0">
                          <a:noAutofit/>
                        </wps:bodyPr>
                      </wps:wsp>
                      <wps:wsp>
                        <wps:cNvPr id="202054" name="Rectangle 202054"/>
                        <wps:cNvSpPr/>
                        <wps:spPr>
                          <a:xfrm rot="-10799999">
                            <a:off x="2611410" y="5749976"/>
                            <a:ext cx="5309021" cy="142889"/>
                          </a:xfrm>
                          <a:prstGeom prst="rect">
                            <a:avLst/>
                          </a:prstGeom>
                          <a:ln>
                            <a:noFill/>
                          </a:ln>
                        </wps:spPr>
                        <wps:txbx>
                          <w:txbxContent>
                            <w:p w14:paraId="19B5A1D8"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2055" name="Rectangle 202055"/>
                        <wps:cNvSpPr/>
                        <wps:spPr>
                          <a:xfrm rot="-10799999">
                            <a:off x="-1375968" y="5749976"/>
                            <a:ext cx="5309021" cy="142889"/>
                          </a:xfrm>
                          <a:prstGeom prst="rect">
                            <a:avLst/>
                          </a:prstGeom>
                          <a:ln>
                            <a:noFill/>
                          </a:ln>
                        </wps:spPr>
                        <wps:txbx>
                          <w:txbxContent>
                            <w:p w14:paraId="11C54922" w14:textId="77777777" w:rsidR="00B32EF2" w:rsidRDefault="00000000">
                              <w:r>
                                <w:rPr>
                                  <w:rFonts w:ascii="Arial" w:eastAsia="Arial" w:hAnsi="Arial" w:cs="Arial"/>
                                  <w:sz w:val="18"/>
                                </w:rPr>
                                <w:t xml:space="preserve">. Ai componenti delle corti di giustizia tributaria di primo e secondo grado </w:t>
                              </w:r>
                            </w:p>
                          </w:txbxContent>
                        </wps:txbx>
                        <wps:bodyPr horzOverflow="overflow" vert="horz" lIns="0" tIns="0" rIns="0" bIns="0" rtlCol="0">
                          <a:noAutofit/>
                        </wps:bodyPr>
                      </wps:wsp>
                      <wps:wsp>
                        <wps:cNvPr id="21887" name="Rectangle 21887"/>
                        <wps:cNvSpPr/>
                        <wps:spPr>
                          <a:xfrm rot="-10799999">
                            <a:off x="-1316798" y="5626646"/>
                            <a:ext cx="5309036" cy="142889"/>
                          </a:xfrm>
                          <a:prstGeom prst="rect">
                            <a:avLst/>
                          </a:prstGeom>
                          <a:ln>
                            <a:noFill/>
                          </a:ln>
                        </wps:spPr>
                        <wps:txbx>
                          <w:txbxContent>
                            <w:p w14:paraId="26430A2E" w14:textId="77777777" w:rsidR="00B32EF2" w:rsidRDefault="00000000">
                              <w:r>
                                <w:rPr>
                                  <w:rFonts w:ascii="Arial" w:eastAsia="Arial" w:hAnsi="Arial" w:cs="Arial"/>
                                  <w:sz w:val="18"/>
                                </w:rPr>
                                <w:t xml:space="preserve">si applicano le disposizioni della legge 13 aprile 1988, n. 117, concernente </w:t>
                              </w:r>
                            </w:p>
                          </w:txbxContent>
                        </wps:txbx>
                        <wps:bodyPr horzOverflow="overflow" vert="horz" lIns="0" tIns="0" rIns="0" bIns="0" rtlCol="0">
                          <a:noAutofit/>
                        </wps:bodyPr>
                      </wps:wsp>
                      <wps:wsp>
                        <wps:cNvPr id="21888" name="Rectangle 21888"/>
                        <wps:cNvSpPr/>
                        <wps:spPr>
                          <a:xfrm rot="-10799999">
                            <a:off x="-1157133" y="5503316"/>
                            <a:ext cx="5149371" cy="142889"/>
                          </a:xfrm>
                          <a:prstGeom prst="rect">
                            <a:avLst/>
                          </a:prstGeom>
                          <a:ln>
                            <a:noFill/>
                          </a:ln>
                        </wps:spPr>
                        <wps:txbx>
                          <w:txbxContent>
                            <w:p w14:paraId="5DE2FA44" w14:textId="77777777" w:rsidR="00B32EF2" w:rsidRDefault="00000000">
                              <w:r>
                                <w:rPr>
                                  <w:rFonts w:ascii="Arial" w:eastAsia="Arial" w:hAnsi="Arial" w:cs="Arial"/>
                                  <w:sz w:val="18"/>
                                </w:rPr>
                                <w:t>il risarcimento dei danni cagionati nell’esercizio delle funzioni giurisdizionali.</w:t>
                              </w:r>
                            </w:p>
                          </w:txbxContent>
                        </wps:txbx>
                        <wps:bodyPr horzOverflow="overflow" vert="horz" lIns="0" tIns="0" rIns="0" bIns="0" rtlCol="0">
                          <a:noAutofit/>
                        </wps:bodyPr>
                      </wps:wsp>
                      <wps:wsp>
                        <wps:cNvPr id="21889" name="Rectangle 21889"/>
                        <wps:cNvSpPr/>
                        <wps:spPr>
                          <a:xfrm rot="-10799999">
                            <a:off x="1506956" y="5256657"/>
                            <a:ext cx="810900" cy="142889"/>
                          </a:xfrm>
                          <a:prstGeom prst="rect">
                            <a:avLst/>
                          </a:prstGeom>
                          <a:ln>
                            <a:noFill/>
                          </a:ln>
                        </wps:spPr>
                        <wps:txbx>
                          <w:txbxContent>
                            <w:p w14:paraId="2E6B4AAB" w14:textId="77777777" w:rsidR="00B32EF2" w:rsidRDefault="00000000">
                              <w:r>
                                <w:rPr>
                                  <w:rFonts w:ascii="Arial" w:eastAsia="Arial" w:hAnsi="Arial" w:cs="Arial"/>
                                  <w:b/>
                                  <w:sz w:val="18"/>
                                </w:rPr>
                                <w:t>Articolo 22</w:t>
                              </w:r>
                            </w:p>
                          </w:txbxContent>
                        </wps:txbx>
                        <wps:bodyPr horzOverflow="overflow" vert="horz" lIns="0" tIns="0" rIns="0" bIns="0" rtlCol="0">
                          <a:noAutofit/>
                        </wps:bodyPr>
                      </wps:wsp>
                      <wps:wsp>
                        <wps:cNvPr id="202047" name="Rectangle 202047"/>
                        <wps:cNvSpPr/>
                        <wps:spPr>
                          <a:xfrm rot="-10799999">
                            <a:off x="2221722" y="5133327"/>
                            <a:ext cx="1936662" cy="142889"/>
                          </a:xfrm>
                          <a:prstGeom prst="rect">
                            <a:avLst/>
                          </a:prstGeom>
                          <a:ln>
                            <a:noFill/>
                          </a:ln>
                        </wps:spPr>
                        <wps:txbx>
                          <w:txbxContent>
                            <w:p w14:paraId="0A9C4E1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048" name="Rectangle 202048"/>
                        <wps:cNvSpPr/>
                        <wps:spPr>
                          <a:xfrm rot="-10799999">
                            <a:off x="-253593" y="5133326"/>
                            <a:ext cx="1936662" cy="142889"/>
                          </a:xfrm>
                          <a:prstGeom prst="rect">
                            <a:avLst/>
                          </a:prstGeom>
                          <a:ln>
                            <a:noFill/>
                          </a:ln>
                        </wps:spPr>
                        <wps:txbx>
                          <w:txbxContent>
                            <w:p w14:paraId="325E5E43"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049" name="Rectangle 202049"/>
                        <wps:cNvSpPr/>
                        <wps:spPr>
                          <a:xfrm rot="-10799999">
                            <a:off x="1167384" y="5133327"/>
                            <a:ext cx="1936662" cy="142889"/>
                          </a:xfrm>
                          <a:prstGeom prst="rect">
                            <a:avLst/>
                          </a:prstGeom>
                          <a:ln>
                            <a:noFill/>
                          </a:ln>
                        </wps:spPr>
                        <wps:txbx>
                          <w:txbxContent>
                            <w:p w14:paraId="31D15759" w14:textId="77777777" w:rsidR="00B32EF2" w:rsidRDefault="00000000">
                              <w:r>
                                <w:rPr>
                                  <w:rFonts w:ascii="Arial" w:eastAsia="Arial" w:hAnsi="Arial" w:cs="Arial"/>
                                  <w:i/>
                                  <w:sz w:val="18"/>
                                </w:rPr>
                                <w:t xml:space="preserve">articolo 15 D.lgs. n. </w:t>
                              </w:r>
                            </w:p>
                          </w:txbxContent>
                        </wps:txbx>
                        <wps:bodyPr horzOverflow="overflow" vert="horz" lIns="0" tIns="0" rIns="0" bIns="0" rtlCol="0">
                          <a:noAutofit/>
                        </wps:bodyPr>
                      </wps:wsp>
                      <wps:wsp>
                        <wps:cNvPr id="21891" name="Rectangle 21891"/>
                        <wps:cNvSpPr/>
                        <wps:spPr>
                          <a:xfrm rot="-10799999">
                            <a:off x="513975" y="5009998"/>
                            <a:ext cx="2375267" cy="142889"/>
                          </a:xfrm>
                          <a:prstGeom prst="rect">
                            <a:avLst/>
                          </a:prstGeom>
                          <a:ln>
                            <a:noFill/>
                          </a:ln>
                        </wps:spPr>
                        <wps:txbx>
                          <w:txbxContent>
                            <w:p w14:paraId="6B0CE01E" w14:textId="77777777" w:rsidR="00B32EF2" w:rsidRDefault="00000000">
                              <w:r>
                                <w:rPr>
                                  <w:rFonts w:ascii="Arial" w:eastAsia="Arial" w:hAnsi="Arial" w:cs="Arial"/>
                                  <w:b/>
                                  <w:sz w:val="18"/>
                                </w:rPr>
                                <w:t xml:space="preserve">Vigilanza e sanzioni disciplinari </w:t>
                              </w:r>
                            </w:p>
                          </w:txbxContent>
                        </wps:txbx>
                        <wps:bodyPr horzOverflow="overflow" vert="horz" lIns="0" tIns="0" rIns="0" bIns="0" rtlCol="0">
                          <a:noAutofit/>
                        </wps:bodyPr>
                      </wps:wsp>
                      <wps:wsp>
                        <wps:cNvPr id="202044" name="Rectangle 202044"/>
                        <wps:cNvSpPr/>
                        <wps:spPr>
                          <a:xfrm rot="-10799999">
                            <a:off x="2635278" y="4886668"/>
                            <a:ext cx="5212823" cy="142889"/>
                          </a:xfrm>
                          <a:prstGeom prst="rect">
                            <a:avLst/>
                          </a:prstGeom>
                          <a:ln>
                            <a:noFill/>
                          </a:ln>
                        </wps:spPr>
                        <wps:txbx>
                          <w:txbxContent>
                            <w:p w14:paraId="372C40EB"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2045" name="Rectangle 202045"/>
                        <wps:cNvSpPr/>
                        <wps:spPr>
                          <a:xfrm rot="-10799999">
                            <a:off x="-1279770" y="4886668"/>
                            <a:ext cx="5212823" cy="142889"/>
                          </a:xfrm>
                          <a:prstGeom prst="rect">
                            <a:avLst/>
                          </a:prstGeom>
                          <a:ln>
                            <a:noFill/>
                          </a:ln>
                        </wps:spPr>
                        <wps:txbx>
                          <w:txbxContent>
                            <w:p w14:paraId="59A80674" w14:textId="77777777" w:rsidR="00B32EF2" w:rsidRDefault="00000000">
                              <w:r>
                                <w:rPr>
                                  <w:rFonts w:ascii="Arial" w:eastAsia="Arial" w:hAnsi="Arial" w:cs="Arial"/>
                                  <w:sz w:val="18"/>
                                </w:rPr>
                                <w:t>. Il presidente di ciascuna corte di giustizia tributaria di primo e secondo gra</w:t>
                              </w:r>
                            </w:p>
                          </w:txbxContent>
                        </wps:txbx>
                        <wps:bodyPr horzOverflow="overflow" vert="horz" lIns="0" tIns="0" rIns="0" bIns="0" rtlCol="0">
                          <a:noAutofit/>
                        </wps:bodyPr>
                      </wps:wsp>
                      <wps:wsp>
                        <wps:cNvPr id="21893" name="Rectangle 21893"/>
                        <wps:cNvSpPr/>
                        <wps:spPr>
                          <a:xfrm rot="-10799999">
                            <a:off x="19638" y="4886667"/>
                            <a:ext cx="50622" cy="142889"/>
                          </a:xfrm>
                          <a:prstGeom prst="rect">
                            <a:avLst/>
                          </a:prstGeom>
                          <a:ln>
                            <a:noFill/>
                          </a:ln>
                        </wps:spPr>
                        <wps:txbx>
                          <w:txbxContent>
                            <w:p w14:paraId="5FAED84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894" name="Rectangle 21894"/>
                        <wps:cNvSpPr/>
                        <wps:spPr>
                          <a:xfrm rot="-10799999">
                            <a:off x="-1316783" y="4763338"/>
                            <a:ext cx="5309021" cy="142889"/>
                          </a:xfrm>
                          <a:prstGeom prst="rect">
                            <a:avLst/>
                          </a:prstGeom>
                          <a:ln>
                            <a:noFill/>
                          </a:ln>
                        </wps:spPr>
                        <wps:txbx>
                          <w:txbxContent>
                            <w:p w14:paraId="7B9720B0" w14:textId="77777777" w:rsidR="00B32EF2" w:rsidRDefault="00000000">
                              <w:r>
                                <w:rPr>
                                  <w:rFonts w:ascii="Arial" w:eastAsia="Arial" w:hAnsi="Arial" w:cs="Arial"/>
                                  <w:sz w:val="18"/>
                                </w:rPr>
                                <w:t xml:space="preserve">do esercita la vigilanza sugli altri componenti e sulla qualità e l’efficienza dei </w:t>
                              </w:r>
                            </w:p>
                          </w:txbxContent>
                        </wps:txbx>
                        <wps:bodyPr horzOverflow="overflow" vert="horz" lIns="0" tIns="0" rIns="0" bIns="0" rtlCol="0">
                          <a:noAutofit/>
                        </wps:bodyPr>
                      </wps:wsp>
                      <wps:wsp>
                        <wps:cNvPr id="21895" name="Rectangle 21895"/>
                        <wps:cNvSpPr/>
                        <wps:spPr>
                          <a:xfrm rot="-10799999">
                            <a:off x="-1220084" y="4640009"/>
                            <a:ext cx="5212321" cy="142889"/>
                          </a:xfrm>
                          <a:prstGeom prst="rect">
                            <a:avLst/>
                          </a:prstGeom>
                          <a:ln>
                            <a:noFill/>
                          </a:ln>
                        </wps:spPr>
                        <wps:txbx>
                          <w:txbxContent>
                            <w:p w14:paraId="4D5E1172" w14:textId="77777777" w:rsidR="00B32EF2" w:rsidRDefault="00000000">
                              <w:r>
                                <w:rPr>
                                  <w:rFonts w:ascii="Arial" w:eastAsia="Arial" w:hAnsi="Arial" w:cs="Arial"/>
                                  <w:sz w:val="18"/>
                                </w:rPr>
                                <w:t>servizi di segreteria della propria corte, al fine di segnalarne le risultanze al Di</w:t>
                              </w:r>
                            </w:p>
                          </w:txbxContent>
                        </wps:txbx>
                        <wps:bodyPr horzOverflow="overflow" vert="horz" lIns="0" tIns="0" rIns="0" bIns="0" rtlCol="0">
                          <a:noAutofit/>
                        </wps:bodyPr>
                      </wps:wsp>
                      <wps:wsp>
                        <wps:cNvPr id="21896" name="Rectangle 21896"/>
                        <wps:cNvSpPr/>
                        <wps:spPr>
                          <a:xfrm rot="-10799999">
                            <a:off x="19638" y="4640008"/>
                            <a:ext cx="50622" cy="142889"/>
                          </a:xfrm>
                          <a:prstGeom prst="rect">
                            <a:avLst/>
                          </a:prstGeom>
                          <a:ln>
                            <a:noFill/>
                          </a:ln>
                        </wps:spPr>
                        <wps:txbx>
                          <w:txbxContent>
                            <w:p w14:paraId="4A37147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897" name="Rectangle 21897"/>
                        <wps:cNvSpPr/>
                        <wps:spPr>
                          <a:xfrm rot="-10799999">
                            <a:off x="-1316790" y="4516679"/>
                            <a:ext cx="5309598" cy="142889"/>
                          </a:xfrm>
                          <a:prstGeom prst="rect">
                            <a:avLst/>
                          </a:prstGeom>
                          <a:ln>
                            <a:noFill/>
                          </a:ln>
                        </wps:spPr>
                        <wps:txbx>
                          <w:txbxContent>
                            <w:p w14:paraId="7F518DB2" w14:textId="77777777" w:rsidR="00B32EF2" w:rsidRDefault="00000000">
                              <w:r>
                                <w:rPr>
                                  <w:rFonts w:ascii="Arial" w:eastAsia="Arial" w:hAnsi="Arial" w:cs="Arial"/>
                                  <w:sz w:val="18"/>
                                </w:rPr>
                                <w:t xml:space="preserve">partimento della giustizia tributaria del Ministero dell’economia e delle finanze </w:t>
                              </w:r>
                            </w:p>
                          </w:txbxContent>
                        </wps:txbx>
                        <wps:bodyPr horzOverflow="overflow" vert="horz" lIns="0" tIns="0" rIns="0" bIns="0" rtlCol="0">
                          <a:noAutofit/>
                        </wps:bodyPr>
                      </wps:wsp>
                      <wps:wsp>
                        <wps:cNvPr id="21898" name="Rectangle 21898"/>
                        <wps:cNvSpPr/>
                        <wps:spPr>
                          <a:xfrm rot="-10799999">
                            <a:off x="-1316798" y="4393349"/>
                            <a:ext cx="5309036" cy="142889"/>
                          </a:xfrm>
                          <a:prstGeom prst="rect">
                            <a:avLst/>
                          </a:prstGeom>
                          <a:ln>
                            <a:noFill/>
                          </a:ln>
                        </wps:spPr>
                        <wps:txbx>
                          <w:txbxContent>
                            <w:p w14:paraId="3BCA4130" w14:textId="77777777" w:rsidR="00B32EF2" w:rsidRDefault="00000000">
                              <w:r>
                                <w:rPr>
                                  <w:rFonts w:ascii="Arial" w:eastAsia="Arial" w:hAnsi="Arial" w:cs="Arial"/>
                                  <w:sz w:val="18"/>
                                </w:rPr>
                                <w:t xml:space="preserve">per i provvedimenti di competenza. Il presidente di ciascuna corte di giustizia </w:t>
                              </w:r>
                            </w:p>
                          </w:txbxContent>
                        </wps:txbx>
                        <wps:bodyPr horzOverflow="overflow" vert="horz" lIns="0" tIns="0" rIns="0" bIns="0" rtlCol="0">
                          <a:noAutofit/>
                        </wps:bodyPr>
                      </wps:wsp>
                      <wps:wsp>
                        <wps:cNvPr id="21899" name="Rectangle 21899"/>
                        <wps:cNvSpPr/>
                        <wps:spPr>
                          <a:xfrm rot="-10799999">
                            <a:off x="-1316592" y="4270019"/>
                            <a:ext cx="5309401" cy="142889"/>
                          </a:xfrm>
                          <a:prstGeom prst="rect">
                            <a:avLst/>
                          </a:prstGeom>
                          <a:ln>
                            <a:noFill/>
                          </a:ln>
                        </wps:spPr>
                        <wps:txbx>
                          <w:txbxContent>
                            <w:p w14:paraId="2DE27C6E" w14:textId="77777777" w:rsidR="00B32EF2" w:rsidRDefault="00000000">
                              <w:r>
                                <w:rPr>
                                  <w:rFonts w:ascii="Arial" w:eastAsia="Arial" w:hAnsi="Arial" w:cs="Arial"/>
                                  <w:sz w:val="18"/>
                                </w:rPr>
                                <w:t xml:space="preserve">tributaria di secondo grado esercita la vigilanza sulla attività giurisdizionale </w:t>
                              </w:r>
                            </w:p>
                          </w:txbxContent>
                        </wps:txbx>
                        <wps:bodyPr horzOverflow="overflow" vert="horz" lIns="0" tIns="0" rIns="0" bIns="0" rtlCol="0">
                          <a:noAutofit/>
                        </wps:bodyPr>
                      </wps:wsp>
                      <wps:wsp>
                        <wps:cNvPr id="21900" name="Rectangle 21900"/>
                        <wps:cNvSpPr/>
                        <wps:spPr>
                          <a:xfrm rot="-10799999">
                            <a:off x="-1316753" y="4146690"/>
                            <a:ext cx="5308990" cy="142889"/>
                          </a:xfrm>
                          <a:prstGeom prst="rect">
                            <a:avLst/>
                          </a:prstGeom>
                          <a:ln>
                            <a:noFill/>
                          </a:ln>
                        </wps:spPr>
                        <wps:txbx>
                          <w:txbxContent>
                            <w:p w14:paraId="108E7E9D" w14:textId="77777777" w:rsidR="00B32EF2" w:rsidRDefault="00000000">
                              <w:r>
                                <w:rPr>
                                  <w:rFonts w:ascii="Arial" w:eastAsia="Arial" w:hAnsi="Arial" w:cs="Arial"/>
                                  <w:sz w:val="18"/>
                                </w:rPr>
                                <w:t xml:space="preserve">delle corti di giustizia tributaria di primo grado aventi sede nella circoscrizione </w:t>
                              </w:r>
                            </w:p>
                          </w:txbxContent>
                        </wps:txbx>
                        <wps:bodyPr horzOverflow="overflow" vert="horz" lIns="0" tIns="0" rIns="0" bIns="0" rtlCol="0">
                          <a:noAutofit/>
                        </wps:bodyPr>
                      </wps:wsp>
                      <wps:wsp>
                        <wps:cNvPr id="21901" name="Rectangle 21901"/>
                        <wps:cNvSpPr/>
                        <wps:spPr>
                          <a:xfrm rot="-10799999">
                            <a:off x="1633905" y="4023360"/>
                            <a:ext cx="2358332" cy="142889"/>
                          </a:xfrm>
                          <a:prstGeom prst="rect">
                            <a:avLst/>
                          </a:prstGeom>
                          <a:ln>
                            <a:noFill/>
                          </a:ln>
                        </wps:spPr>
                        <wps:txbx>
                          <w:txbxContent>
                            <w:p w14:paraId="0C36F9FD" w14:textId="77777777" w:rsidR="00B32EF2" w:rsidRDefault="00000000">
                              <w:r>
                                <w:rPr>
                                  <w:rFonts w:ascii="Arial" w:eastAsia="Arial" w:hAnsi="Arial" w:cs="Arial"/>
                                  <w:sz w:val="18"/>
                                </w:rPr>
                                <w:t>della stessa e sui loro componenti.</w:t>
                              </w:r>
                            </w:p>
                          </w:txbxContent>
                        </wps:txbx>
                        <wps:bodyPr horzOverflow="overflow" vert="horz" lIns="0" tIns="0" rIns="0" bIns="0" rtlCol="0">
                          <a:noAutofit/>
                        </wps:bodyPr>
                      </wps:wsp>
                      <wps:wsp>
                        <wps:cNvPr id="202039" name="Rectangle 202039"/>
                        <wps:cNvSpPr/>
                        <wps:spPr>
                          <a:xfrm rot="-10799999">
                            <a:off x="2611123" y="3896372"/>
                            <a:ext cx="5310177" cy="142889"/>
                          </a:xfrm>
                          <a:prstGeom prst="rect">
                            <a:avLst/>
                          </a:prstGeom>
                          <a:ln>
                            <a:noFill/>
                          </a:ln>
                        </wps:spPr>
                        <wps:txbx>
                          <w:txbxContent>
                            <w:p w14:paraId="77184B9D"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2042" name="Rectangle 202042"/>
                        <wps:cNvSpPr/>
                        <wps:spPr>
                          <a:xfrm rot="-10799999">
                            <a:off x="-1381707" y="3896372"/>
                            <a:ext cx="5310177" cy="142889"/>
                          </a:xfrm>
                          <a:prstGeom prst="rect">
                            <a:avLst/>
                          </a:prstGeom>
                          <a:ln>
                            <a:noFill/>
                          </a:ln>
                        </wps:spPr>
                        <wps:txbx>
                          <w:txbxContent>
                            <w:p w14:paraId="466D0B39" w14:textId="77777777" w:rsidR="00B32EF2" w:rsidRDefault="00000000">
                              <w:r>
                                <w:rPr>
                                  <w:rFonts w:ascii="Arial" w:eastAsia="Arial" w:hAnsi="Arial" w:cs="Arial"/>
                                  <w:sz w:val="18"/>
                                </w:rPr>
                                <w:t xml:space="preserve">. I componenti delle corti di giustizia tributaria di primo e secondo grado, per </w:t>
                              </w:r>
                            </w:p>
                          </w:txbxContent>
                        </wps:txbx>
                        <wps:bodyPr horzOverflow="overflow" vert="horz" lIns="0" tIns="0" rIns="0" bIns="0" rtlCol="0">
                          <a:noAutofit/>
                        </wps:bodyPr>
                      </wps:wsp>
                      <wps:wsp>
                        <wps:cNvPr id="21903" name="Rectangle 21903"/>
                        <wps:cNvSpPr/>
                        <wps:spPr>
                          <a:xfrm rot="-10799999">
                            <a:off x="-1316783" y="3769386"/>
                            <a:ext cx="5309021" cy="142889"/>
                          </a:xfrm>
                          <a:prstGeom prst="rect">
                            <a:avLst/>
                          </a:prstGeom>
                          <a:ln>
                            <a:noFill/>
                          </a:ln>
                        </wps:spPr>
                        <wps:txbx>
                          <w:txbxContent>
                            <w:p w14:paraId="1F7ECEEA" w14:textId="77777777" w:rsidR="00B32EF2" w:rsidRDefault="00000000">
                              <w:r>
                                <w:rPr>
                                  <w:rFonts w:ascii="Arial" w:eastAsia="Arial" w:hAnsi="Arial" w:cs="Arial"/>
                                  <w:sz w:val="18"/>
                                </w:rPr>
                                <w:t xml:space="preserve">comportamenti non conformi a doveri o alla dignità del proprio ufficio, sono </w:t>
                              </w:r>
                            </w:p>
                          </w:txbxContent>
                        </wps:txbx>
                        <wps:bodyPr horzOverflow="overflow" vert="horz" lIns="0" tIns="0" rIns="0" bIns="0" rtlCol="0">
                          <a:noAutofit/>
                        </wps:bodyPr>
                      </wps:wsp>
                      <wps:wsp>
                        <wps:cNvPr id="21904" name="Rectangle 21904"/>
                        <wps:cNvSpPr/>
                        <wps:spPr>
                          <a:xfrm rot="-10799999">
                            <a:off x="419485" y="3642398"/>
                            <a:ext cx="3572751" cy="142889"/>
                          </a:xfrm>
                          <a:prstGeom prst="rect">
                            <a:avLst/>
                          </a:prstGeom>
                          <a:ln>
                            <a:noFill/>
                          </a:ln>
                        </wps:spPr>
                        <wps:txbx>
                          <w:txbxContent>
                            <w:p w14:paraId="1FC0FB7E" w14:textId="77777777" w:rsidR="00B32EF2" w:rsidRDefault="00000000">
                              <w:r>
                                <w:rPr>
                                  <w:rFonts w:ascii="Arial" w:eastAsia="Arial" w:hAnsi="Arial" w:cs="Arial"/>
                                  <w:sz w:val="18"/>
                                </w:rPr>
                                <w:t>soggetti alle sanzioni individuate nei commi da 3 a 7.</w:t>
                              </w:r>
                            </w:p>
                          </w:txbxContent>
                        </wps:txbx>
                        <wps:bodyPr horzOverflow="overflow" vert="horz" lIns="0" tIns="0" rIns="0" bIns="0" rtlCol="0">
                          <a:noAutofit/>
                        </wps:bodyPr>
                      </wps:wsp>
                      <wps:wsp>
                        <wps:cNvPr id="202029" name="Rectangle 202029"/>
                        <wps:cNvSpPr/>
                        <wps:spPr>
                          <a:xfrm rot="-10799999">
                            <a:off x="-544548" y="3515411"/>
                            <a:ext cx="4472263" cy="142889"/>
                          </a:xfrm>
                          <a:prstGeom prst="rect">
                            <a:avLst/>
                          </a:prstGeom>
                          <a:ln>
                            <a:noFill/>
                          </a:ln>
                        </wps:spPr>
                        <wps:txbx>
                          <w:txbxContent>
                            <w:p w14:paraId="5697EDD9" w14:textId="77777777" w:rsidR="00B32EF2" w:rsidRDefault="00000000">
                              <w:r>
                                <w:rPr>
                                  <w:rFonts w:ascii="Arial" w:eastAsia="Arial" w:hAnsi="Arial" w:cs="Arial"/>
                                  <w:sz w:val="18"/>
                                </w:rPr>
                                <w:t>. Si applica la sanzione dell’ammonimento per lievi trasgressioni.</w:t>
                              </w:r>
                            </w:p>
                          </w:txbxContent>
                        </wps:txbx>
                        <wps:bodyPr horzOverflow="overflow" vert="horz" lIns="0" tIns="0" rIns="0" bIns="0" rtlCol="0">
                          <a:noAutofit/>
                        </wps:bodyPr>
                      </wps:wsp>
                      <wps:wsp>
                        <wps:cNvPr id="202025" name="Rectangle 202025"/>
                        <wps:cNvSpPr/>
                        <wps:spPr>
                          <a:xfrm rot="-10799999">
                            <a:off x="2819027" y="3515411"/>
                            <a:ext cx="4472262" cy="142889"/>
                          </a:xfrm>
                          <a:prstGeom prst="rect">
                            <a:avLst/>
                          </a:prstGeom>
                          <a:ln>
                            <a:noFill/>
                          </a:ln>
                        </wps:spPr>
                        <wps:txbx>
                          <w:txbxContent>
                            <w:p w14:paraId="30311AA9"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2023" name="Rectangle 202023"/>
                        <wps:cNvSpPr/>
                        <wps:spPr>
                          <a:xfrm rot="-10799999">
                            <a:off x="182566" y="3388423"/>
                            <a:ext cx="3780044" cy="142889"/>
                          </a:xfrm>
                          <a:prstGeom prst="rect">
                            <a:avLst/>
                          </a:prstGeom>
                          <a:ln>
                            <a:noFill/>
                          </a:ln>
                        </wps:spPr>
                        <wps:txbx>
                          <w:txbxContent>
                            <w:p w14:paraId="1AE3C634" w14:textId="77777777" w:rsidR="00B32EF2" w:rsidRDefault="00000000">
                              <w:r>
                                <w:rPr>
                                  <w:rFonts w:ascii="Arial" w:eastAsia="Arial" w:hAnsi="Arial" w:cs="Arial"/>
                                  <w:sz w:val="18"/>
                                </w:rPr>
                                <w:t>. Si applica la sanzione non inferiore alla censura, per</w:t>
                              </w:r>
                            </w:p>
                          </w:txbxContent>
                        </wps:txbx>
                        <wps:bodyPr horzOverflow="overflow" vert="horz" lIns="0" tIns="0" rIns="0" bIns="0" rtlCol="0">
                          <a:noAutofit/>
                        </wps:bodyPr>
                      </wps:wsp>
                      <wps:wsp>
                        <wps:cNvPr id="202021" name="Rectangle 202021"/>
                        <wps:cNvSpPr/>
                        <wps:spPr>
                          <a:xfrm rot="-10799999">
                            <a:off x="-2598169" y="3388423"/>
                            <a:ext cx="3780044" cy="142889"/>
                          </a:xfrm>
                          <a:prstGeom prst="rect">
                            <a:avLst/>
                          </a:prstGeom>
                          <a:ln>
                            <a:noFill/>
                          </a:ln>
                        </wps:spPr>
                        <wps:txbx>
                          <w:txbxContent>
                            <w:p w14:paraId="7C05E6A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2019" name="Rectangle 202019"/>
                        <wps:cNvSpPr/>
                        <wps:spPr>
                          <a:xfrm rot="-10799999">
                            <a:off x="2990780" y="3388423"/>
                            <a:ext cx="3780045" cy="142889"/>
                          </a:xfrm>
                          <a:prstGeom prst="rect">
                            <a:avLst/>
                          </a:prstGeom>
                          <a:ln>
                            <a:noFill/>
                          </a:ln>
                        </wps:spPr>
                        <wps:txbx>
                          <w:txbxContent>
                            <w:p w14:paraId="7FD6E50C"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1907" name="Rectangle 21907"/>
                        <wps:cNvSpPr/>
                        <wps:spPr>
                          <a:xfrm rot="-10799999">
                            <a:off x="-1316585" y="3261437"/>
                            <a:ext cx="5309051" cy="142889"/>
                          </a:xfrm>
                          <a:prstGeom prst="rect">
                            <a:avLst/>
                          </a:prstGeom>
                          <a:ln>
                            <a:noFill/>
                          </a:ln>
                        </wps:spPr>
                        <wps:txbx>
                          <w:txbxContent>
                            <w:p w14:paraId="02A0FA22" w14:textId="77777777" w:rsidR="00B32EF2" w:rsidRDefault="00000000">
                              <w:r>
                                <w:rPr>
                                  <w:rFonts w:ascii="Arial" w:eastAsia="Arial" w:hAnsi="Arial" w:cs="Arial"/>
                                  <w:sz w:val="18"/>
                                </w:rPr>
                                <w:t xml:space="preserve">a) i comportamenti che, violando i doveri di cui al comma 2, arrecano ingiusto </w:t>
                              </w:r>
                            </w:p>
                          </w:txbxContent>
                        </wps:txbx>
                        <wps:bodyPr horzOverflow="overflow" vert="horz" lIns="0" tIns="0" rIns="0" bIns="0" rtlCol="0">
                          <a:noAutofit/>
                        </wps:bodyPr>
                      </wps:wsp>
                      <wps:wsp>
                        <wps:cNvPr id="21908" name="Rectangle 21908"/>
                        <wps:cNvSpPr/>
                        <wps:spPr>
                          <a:xfrm rot="-10799999">
                            <a:off x="971269" y="3134449"/>
                            <a:ext cx="3020967" cy="142889"/>
                          </a:xfrm>
                          <a:prstGeom prst="rect">
                            <a:avLst/>
                          </a:prstGeom>
                          <a:ln>
                            <a:noFill/>
                          </a:ln>
                        </wps:spPr>
                        <wps:txbx>
                          <w:txbxContent>
                            <w:p w14:paraId="00C4C1D6" w14:textId="77777777" w:rsidR="00B32EF2" w:rsidRDefault="00000000">
                              <w:r>
                                <w:rPr>
                                  <w:rFonts w:ascii="Arial" w:eastAsia="Arial" w:hAnsi="Arial" w:cs="Arial"/>
                                  <w:sz w:val="18"/>
                                </w:rPr>
                                <w:t>danno o indebito vantaggio a una delle parti;</w:t>
                              </w:r>
                            </w:p>
                          </w:txbxContent>
                        </wps:txbx>
                        <wps:bodyPr horzOverflow="overflow" vert="horz" lIns="0" tIns="0" rIns="0" bIns="0" rtlCol="0">
                          <a:noAutofit/>
                        </wps:bodyPr>
                      </wps:wsp>
                      <wps:wsp>
                        <wps:cNvPr id="21909" name="Rectangle 21909"/>
                        <wps:cNvSpPr/>
                        <wps:spPr>
                          <a:xfrm rot="-10799999">
                            <a:off x="-1220282" y="3007462"/>
                            <a:ext cx="5212519" cy="142889"/>
                          </a:xfrm>
                          <a:prstGeom prst="rect">
                            <a:avLst/>
                          </a:prstGeom>
                          <a:ln>
                            <a:noFill/>
                          </a:ln>
                        </wps:spPr>
                        <wps:txbx>
                          <w:txbxContent>
                            <w:p w14:paraId="7B449360" w14:textId="77777777" w:rsidR="00B32EF2" w:rsidRDefault="00000000">
                              <w:r>
                                <w:rPr>
                                  <w:rFonts w:ascii="Arial" w:eastAsia="Arial" w:hAnsi="Arial" w:cs="Arial"/>
                                  <w:sz w:val="18"/>
                                </w:rPr>
                                <w:t>b) la consapevole inosservanza dell’obbligo di astensione nei casi previsti dal</w:t>
                              </w:r>
                            </w:p>
                          </w:txbxContent>
                        </wps:txbx>
                        <wps:bodyPr horzOverflow="overflow" vert="horz" lIns="0" tIns="0" rIns="0" bIns="0" rtlCol="0">
                          <a:noAutofit/>
                        </wps:bodyPr>
                      </wps:wsp>
                      <wps:wsp>
                        <wps:cNvPr id="21910" name="Rectangle 21910"/>
                        <wps:cNvSpPr/>
                        <wps:spPr>
                          <a:xfrm rot="-10799999">
                            <a:off x="19638" y="3007462"/>
                            <a:ext cx="50622" cy="142889"/>
                          </a:xfrm>
                          <a:prstGeom prst="rect">
                            <a:avLst/>
                          </a:prstGeom>
                          <a:ln>
                            <a:noFill/>
                          </a:ln>
                        </wps:spPr>
                        <wps:txbx>
                          <w:txbxContent>
                            <w:p w14:paraId="1B8A7DA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911" name="Rectangle 21911"/>
                        <wps:cNvSpPr/>
                        <wps:spPr>
                          <a:xfrm rot="-10799999">
                            <a:off x="3413774" y="2880474"/>
                            <a:ext cx="578463" cy="142889"/>
                          </a:xfrm>
                          <a:prstGeom prst="rect">
                            <a:avLst/>
                          </a:prstGeom>
                          <a:ln>
                            <a:noFill/>
                          </a:ln>
                        </wps:spPr>
                        <wps:txbx>
                          <w:txbxContent>
                            <w:p w14:paraId="65036D3D" w14:textId="77777777" w:rsidR="00B32EF2" w:rsidRDefault="00000000">
                              <w:r>
                                <w:rPr>
                                  <w:rFonts w:ascii="Arial" w:eastAsia="Arial" w:hAnsi="Arial" w:cs="Arial"/>
                                  <w:sz w:val="18"/>
                                </w:rPr>
                                <w:t>la legge;</w:t>
                              </w:r>
                            </w:p>
                          </w:txbxContent>
                        </wps:txbx>
                        <wps:bodyPr horzOverflow="overflow" vert="horz" lIns="0" tIns="0" rIns="0" bIns="0" rtlCol="0">
                          <a:noAutofit/>
                        </wps:bodyPr>
                      </wps:wsp>
                      <wps:wsp>
                        <wps:cNvPr id="21912" name="Rectangle 21912"/>
                        <wps:cNvSpPr/>
                        <wps:spPr>
                          <a:xfrm rot="-10799999">
                            <a:off x="-1316798" y="2753487"/>
                            <a:ext cx="5309036" cy="142889"/>
                          </a:xfrm>
                          <a:prstGeom prst="rect">
                            <a:avLst/>
                          </a:prstGeom>
                          <a:ln>
                            <a:noFill/>
                          </a:ln>
                        </wps:spPr>
                        <wps:txbx>
                          <w:txbxContent>
                            <w:p w14:paraId="64B8D530" w14:textId="77777777" w:rsidR="00B32EF2" w:rsidRDefault="00000000">
                              <w:r>
                                <w:rPr>
                                  <w:rFonts w:ascii="Arial" w:eastAsia="Arial" w:hAnsi="Arial" w:cs="Arial"/>
                                  <w:sz w:val="18"/>
                                </w:rPr>
                                <w:t xml:space="preserve">c) i comportamenti che, a causa dei rapporti comunque esistenti con i soggetti </w:t>
                              </w:r>
                            </w:p>
                          </w:txbxContent>
                        </wps:txbx>
                        <wps:bodyPr horzOverflow="overflow" vert="horz" lIns="0" tIns="0" rIns="0" bIns="0" rtlCol="0">
                          <a:noAutofit/>
                        </wps:bodyPr>
                      </wps:wsp>
                      <wps:wsp>
                        <wps:cNvPr id="21913" name="Rectangle 21913"/>
                        <wps:cNvSpPr/>
                        <wps:spPr>
                          <a:xfrm rot="-10799999">
                            <a:off x="-1220084" y="2626500"/>
                            <a:ext cx="5212321" cy="142889"/>
                          </a:xfrm>
                          <a:prstGeom prst="rect">
                            <a:avLst/>
                          </a:prstGeom>
                          <a:ln>
                            <a:noFill/>
                          </a:ln>
                        </wps:spPr>
                        <wps:txbx>
                          <w:txbxContent>
                            <w:p w14:paraId="65949596" w14:textId="77777777" w:rsidR="00B32EF2" w:rsidRDefault="00000000">
                              <w:r>
                                <w:rPr>
                                  <w:rFonts w:ascii="Arial" w:eastAsia="Arial" w:hAnsi="Arial" w:cs="Arial"/>
                                  <w:sz w:val="18"/>
                                </w:rPr>
                                <w:t>coinvolti nel procedimento ovvero a causa di avvenute interferenze, costitui</w:t>
                              </w:r>
                            </w:p>
                          </w:txbxContent>
                        </wps:txbx>
                        <wps:bodyPr horzOverflow="overflow" vert="horz" lIns="0" tIns="0" rIns="0" bIns="0" rtlCol="0">
                          <a:noAutofit/>
                        </wps:bodyPr>
                      </wps:wsp>
                      <wps:wsp>
                        <wps:cNvPr id="21914" name="Rectangle 21914"/>
                        <wps:cNvSpPr/>
                        <wps:spPr>
                          <a:xfrm rot="-10799999">
                            <a:off x="19638" y="2626500"/>
                            <a:ext cx="50622" cy="142889"/>
                          </a:xfrm>
                          <a:prstGeom prst="rect">
                            <a:avLst/>
                          </a:prstGeom>
                          <a:ln>
                            <a:noFill/>
                          </a:ln>
                        </wps:spPr>
                        <wps:txbx>
                          <w:txbxContent>
                            <w:p w14:paraId="5583DED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915" name="Rectangle 21915"/>
                        <wps:cNvSpPr/>
                        <wps:spPr>
                          <a:xfrm rot="-10799999">
                            <a:off x="1067238" y="2499513"/>
                            <a:ext cx="2924998" cy="142889"/>
                          </a:xfrm>
                          <a:prstGeom prst="rect">
                            <a:avLst/>
                          </a:prstGeom>
                          <a:ln>
                            <a:noFill/>
                          </a:ln>
                        </wps:spPr>
                        <wps:txbx>
                          <w:txbxContent>
                            <w:p w14:paraId="7584586A" w14:textId="77777777" w:rsidR="00B32EF2" w:rsidRDefault="00000000">
                              <w:r>
                                <w:rPr>
                                  <w:rFonts w:ascii="Arial" w:eastAsia="Arial" w:hAnsi="Arial" w:cs="Arial"/>
                                  <w:sz w:val="18"/>
                                </w:rPr>
                                <w:t>scano violazione del dovere di imparzialità;</w:t>
                              </w:r>
                            </w:p>
                          </w:txbxContent>
                        </wps:txbx>
                        <wps:bodyPr horzOverflow="overflow" vert="horz" lIns="0" tIns="0" rIns="0" bIns="0" rtlCol="0">
                          <a:noAutofit/>
                        </wps:bodyPr>
                      </wps:wsp>
                      <wps:wsp>
                        <wps:cNvPr id="21916" name="Rectangle 21916"/>
                        <wps:cNvSpPr/>
                        <wps:spPr>
                          <a:xfrm rot="-10799999">
                            <a:off x="-1228582" y="2372525"/>
                            <a:ext cx="5220820" cy="142889"/>
                          </a:xfrm>
                          <a:prstGeom prst="rect">
                            <a:avLst/>
                          </a:prstGeom>
                          <a:ln>
                            <a:noFill/>
                          </a:ln>
                        </wps:spPr>
                        <wps:txbx>
                          <w:txbxContent>
                            <w:p w14:paraId="5EDFB7A0" w14:textId="77777777" w:rsidR="00B32EF2" w:rsidRDefault="00000000">
                              <w:r>
                                <w:rPr>
                                  <w:rFonts w:ascii="Arial" w:eastAsia="Arial" w:hAnsi="Arial" w:cs="Arial"/>
                                  <w:sz w:val="18"/>
                                </w:rPr>
                                <w:t>d) i comportamenti abitualmente o gravemente scorretti nei confronti delle par</w:t>
                              </w:r>
                            </w:p>
                          </w:txbxContent>
                        </wps:txbx>
                        <wps:bodyPr horzOverflow="overflow" vert="horz" lIns="0" tIns="0" rIns="0" bIns="0" rtlCol="0">
                          <a:noAutofit/>
                        </wps:bodyPr>
                      </wps:wsp>
                      <wps:wsp>
                        <wps:cNvPr id="21917" name="Rectangle 21917"/>
                        <wps:cNvSpPr/>
                        <wps:spPr>
                          <a:xfrm rot="-10799999">
                            <a:off x="19638" y="2372526"/>
                            <a:ext cx="50622" cy="142889"/>
                          </a:xfrm>
                          <a:prstGeom prst="rect">
                            <a:avLst/>
                          </a:prstGeom>
                          <a:ln>
                            <a:noFill/>
                          </a:ln>
                        </wps:spPr>
                        <wps:txbx>
                          <w:txbxContent>
                            <w:p w14:paraId="226F0B5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918" name="Rectangle 21918"/>
                        <wps:cNvSpPr/>
                        <wps:spPr>
                          <a:xfrm rot="-10799999">
                            <a:off x="-1315815" y="2245538"/>
                            <a:ext cx="5303138" cy="142889"/>
                          </a:xfrm>
                          <a:prstGeom prst="rect">
                            <a:avLst/>
                          </a:prstGeom>
                          <a:ln>
                            <a:noFill/>
                          </a:ln>
                        </wps:spPr>
                        <wps:txbx>
                          <w:txbxContent>
                            <w:p w14:paraId="754670B5" w14:textId="77777777" w:rsidR="00B32EF2" w:rsidRDefault="00000000">
                              <w:r>
                                <w:rPr>
                                  <w:rFonts w:ascii="Arial" w:eastAsia="Arial" w:hAnsi="Arial" w:cs="Arial"/>
                                  <w:sz w:val="18"/>
                                </w:rPr>
                                <w:t xml:space="preserve">ti, dei loro difensori, o di chiunque abbia rapporti con il giudice nell’ambito della </w:t>
                              </w:r>
                            </w:p>
                          </w:txbxContent>
                        </wps:txbx>
                        <wps:bodyPr horzOverflow="overflow" vert="horz" lIns="0" tIns="0" rIns="0" bIns="0" rtlCol="0">
                          <a:noAutofit/>
                        </wps:bodyPr>
                      </wps:wsp>
                      <wps:wsp>
                        <wps:cNvPr id="21919" name="Rectangle 21919"/>
                        <wps:cNvSpPr/>
                        <wps:spPr>
                          <a:xfrm rot="-10799999">
                            <a:off x="-1316752" y="2118551"/>
                            <a:ext cx="5308990" cy="142889"/>
                          </a:xfrm>
                          <a:prstGeom prst="rect">
                            <a:avLst/>
                          </a:prstGeom>
                          <a:ln>
                            <a:noFill/>
                          </a:ln>
                        </wps:spPr>
                        <wps:txbx>
                          <w:txbxContent>
                            <w:p w14:paraId="1199448C" w14:textId="77777777" w:rsidR="00B32EF2" w:rsidRDefault="00000000">
                              <w:r>
                                <w:rPr>
                                  <w:rFonts w:ascii="Arial" w:eastAsia="Arial" w:hAnsi="Arial" w:cs="Arial"/>
                                  <w:sz w:val="18"/>
                                </w:rPr>
                                <w:t xml:space="preserve">corte di giustizia tributaria di primo e secondo grado, ovvero nei confronti di </w:t>
                              </w:r>
                            </w:p>
                          </w:txbxContent>
                        </wps:txbx>
                        <wps:bodyPr horzOverflow="overflow" vert="horz" lIns="0" tIns="0" rIns="0" bIns="0" rtlCol="0">
                          <a:noAutofit/>
                        </wps:bodyPr>
                      </wps:wsp>
                      <wps:wsp>
                        <wps:cNvPr id="21920" name="Rectangle 21920"/>
                        <wps:cNvSpPr/>
                        <wps:spPr>
                          <a:xfrm rot="-10799999">
                            <a:off x="2046590" y="1991564"/>
                            <a:ext cx="1945645" cy="142889"/>
                          </a:xfrm>
                          <a:prstGeom prst="rect">
                            <a:avLst/>
                          </a:prstGeom>
                          <a:ln>
                            <a:noFill/>
                          </a:ln>
                        </wps:spPr>
                        <wps:txbx>
                          <w:txbxContent>
                            <w:p w14:paraId="2D6ECF7D" w14:textId="77777777" w:rsidR="00B32EF2" w:rsidRDefault="00000000">
                              <w:r>
                                <w:rPr>
                                  <w:rFonts w:ascii="Arial" w:eastAsia="Arial" w:hAnsi="Arial" w:cs="Arial"/>
                                  <w:sz w:val="18"/>
                                </w:rPr>
                                <w:t>altri giudici o di collaboratori;</w:t>
                              </w:r>
                            </w:p>
                          </w:txbxContent>
                        </wps:txbx>
                        <wps:bodyPr horzOverflow="overflow" vert="horz" lIns="0" tIns="0" rIns="0" bIns="0" rtlCol="0">
                          <a:noAutofit/>
                        </wps:bodyPr>
                      </wps:wsp>
                      <wps:wsp>
                        <wps:cNvPr id="21921" name="Rectangle 21921"/>
                        <wps:cNvSpPr/>
                        <wps:spPr>
                          <a:xfrm rot="-10799999">
                            <a:off x="-530677" y="1864577"/>
                            <a:ext cx="4522914" cy="142889"/>
                          </a:xfrm>
                          <a:prstGeom prst="rect">
                            <a:avLst/>
                          </a:prstGeom>
                          <a:ln>
                            <a:noFill/>
                          </a:ln>
                        </wps:spPr>
                        <wps:txbx>
                          <w:txbxContent>
                            <w:p w14:paraId="10D7788E" w14:textId="77777777" w:rsidR="00B32EF2" w:rsidRDefault="00000000">
                              <w:r>
                                <w:rPr>
                                  <w:rFonts w:ascii="Arial" w:eastAsia="Arial" w:hAnsi="Arial" w:cs="Arial"/>
                                  <w:sz w:val="18"/>
                                </w:rPr>
                                <w:t>e) l’ingiustificata interferenza nell’attività giudiziaria di altro giudice;</w:t>
                              </w:r>
                            </w:p>
                          </w:txbxContent>
                        </wps:txbx>
                        <wps:bodyPr horzOverflow="overflow" vert="horz" lIns="0" tIns="0" rIns="0" bIns="0" rtlCol="0">
                          <a:noAutofit/>
                        </wps:bodyPr>
                      </wps:wsp>
                      <wps:wsp>
                        <wps:cNvPr id="21922" name="Rectangle 21922"/>
                        <wps:cNvSpPr/>
                        <wps:spPr>
                          <a:xfrm rot="-10799999">
                            <a:off x="-1316798" y="1737589"/>
                            <a:ext cx="5309036" cy="142889"/>
                          </a:xfrm>
                          <a:prstGeom prst="rect">
                            <a:avLst/>
                          </a:prstGeom>
                          <a:ln>
                            <a:noFill/>
                          </a:ln>
                        </wps:spPr>
                        <wps:txbx>
                          <w:txbxContent>
                            <w:p w14:paraId="584EA8E3" w14:textId="77777777" w:rsidR="00B32EF2" w:rsidRDefault="00000000">
                              <w:r>
                                <w:rPr>
                                  <w:rFonts w:ascii="Arial" w:eastAsia="Arial" w:hAnsi="Arial" w:cs="Arial"/>
                                  <w:sz w:val="18"/>
                                </w:rPr>
                                <w:t xml:space="preserve">f) l’omessa comunicazione al presidente della corte di giustizia tributaria di </w:t>
                              </w:r>
                            </w:p>
                          </w:txbxContent>
                        </wps:txbx>
                        <wps:bodyPr horzOverflow="overflow" vert="horz" lIns="0" tIns="0" rIns="0" bIns="0" rtlCol="0">
                          <a:noAutofit/>
                        </wps:bodyPr>
                      </wps:wsp>
                      <wps:wsp>
                        <wps:cNvPr id="21923" name="Rectangle 21923"/>
                        <wps:cNvSpPr/>
                        <wps:spPr>
                          <a:xfrm rot="-10799999">
                            <a:off x="-1228551" y="1610602"/>
                            <a:ext cx="5220789" cy="142889"/>
                          </a:xfrm>
                          <a:prstGeom prst="rect">
                            <a:avLst/>
                          </a:prstGeom>
                          <a:ln>
                            <a:noFill/>
                          </a:ln>
                        </wps:spPr>
                        <wps:txbx>
                          <w:txbxContent>
                            <w:p w14:paraId="3024ECC7" w14:textId="77777777" w:rsidR="00B32EF2" w:rsidRDefault="00000000">
                              <w:r>
                                <w:rPr>
                                  <w:rFonts w:ascii="Arial" w:eastAsia="Arial" w:hAnsi="Arial" w:cs="Arial"/>
                                  <w:sz w:val="18"/>
                                </w:rPr>
                                <w:t>primo e secondo grado da parte del giudice destinatario delle avvenute inter</w:t>
                              </w:r>
                            </w:p>
                          </w:txbxContent>
                        </wps:txbx>
                        <wps:bodyPr horzOverflow="overflow" vert="horz" lIns="0" tIns="0" rIns="0" bIns="0" rtlCol="0">
                          <a:noAutofit/>
                        </wps:bodyPr>
                      </wps:wsp>
                      <wps:wsp>
                        <wps:cNvPr id="21924" name="Rectangle 21924"/>
                        <wps:cNvSpPr/>
                        <wps:spPr>
                          <a:xfrm rot="-10799999">
                            <a:off x="19638" y="1610603"/>
                            <a:ext cx="50622" cy="142889"/>
                          </a:xfrm>
                          <a:prstGeom prst="rect">
                            <a:avLst/>
                          </a:prstGeom>
                          <a:ln>
                            <a:noFill/>
                          </a:ln>
                        </wps:spPr>
                        <wps:txbx>
                          <w:txbxContent>
                            <w:p w14:paraId="6E51803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925" name="Rectangle 21925"/>
                        <wps:cNvSpPr/>
                        <wps:spPr>
                          <a:xfrm rot="-10799999">
                            <a:off x="3442402" y="1483615"/>
                            <a:ext cx="547892" cy="142889"/>
                          </a:xfrm>
                          <a:prstGeom prst="rect">
                            <a:avLst/>
                          </a:prstGeom>
                          <a:ln>
                            <a:noFill/>
                          </a:ln>
                        </wps:spPr>
                        <wps:txbx>
                          <w:txbxContent>
                            <w:p w14:paraId="3C2FFBE1" w14:textId="77777777" w:rsidR="00B32EF2" w:rsidRDefault="00000000">
                              <w:r>
                                <w:rPr>
                                  <w:rFonts w:ascii="Arial" w:eastAsia="Arial" w:hAnsi="Arial" w:cs="Arial"/>
                                  <w:sz w:val="18"/>
                                </w:rPr>
                                <w:t>ferenze;</w:t>
                              </w:r>
                            </w:p>
                          </w:txbxContent>
                        </wps:txbx>
                        <wps:bodyPr horzOverflow="overflow" vert="horz" lIns="0" tIns="0" rIns="0" bIns="0" rtlCol="0">
                          <a:noAutofit/>
                        </wps:bodyPr>
                      </wps:wsp>
                      <wps:wsp>
                        <wps:cNvPr id="21926" name="Rectangle 21926"/>
                        <wps:cNvSpPr/>
                        <wps:spPr>
                          <a:xfrm rot="-10799999">
                            <a:off x="394114" y="1356628"/>
                            <a:ext cx="3598123" cy="142889"/>
                          </a:xfrm>
                          <a:prstGeom prst="rect">
                            <a:avLst/>
                          </a:prstGeom>
                          <a:ln>
                            <a:noFill/>
                          </a:ln>
                        </wps:spPr>
                        <wps:txbx>
                          <w:txbxContent>
                            <w:p w14:paraId="542206E2" w14:textId="77777777" w:rsidR="00B32EF2" w:rsidRDefault="00000000">
                              <w:r>
                                <w:rPr>
                                  <w:rFonts w:ascii="Arial" w:eastAsia="Arial" w:hAnsi="Arial" w:cs="Arial"/>
                                  <w:sz w:val="18"/>
                                </w:rPr>
                                <w:t>g) il perseguimento di fini diversi da quelli di giustizia;</w:t>
                              </w:r>
                            </w:p>
                          </w:txbxContent>
                        </wps:txbx>
                        <wps:bodyPr horzOverflow="overflow" vert="horz" lIns="0" tIns="0" rIns="0" bIns="0" rtlCol="0">
                          <a:noAutofit/>
                        </wps:bodyPr>
                      </wps:wsp>
                      <wps:wsp>
                        <wps:cNvPr id="21927" name="Rectangle 21927"/>
                        <wps:cNvSpPr/>
                        <wps:spPr>
                          <a:xfrm rot="-10799999">
                            <a:off x="1586353" y="1229641"/>
                            <a:ext cx="2405883" cy="142889"/>
                          </a:xfrm>
                          <a:prstGeom prst="rect">
                            <a:avLst/>
                          </a:prstGeom>
                          <a:ln>
                            <a:noFill/>
                          </a:ln>
                        </wps:spPr>
                        <wps:txbx>
                          <w:txbxContent>
                            <w:p w14:paraId="100B10A6" w14:textId="77777777" w:rsidR="00B32EF2" w:rsidRDefault="00000000">
                              <w:r>
                                <w:rPr>
                                  <w:rFonts w:ascii="Arial" w:eastAsia="Arial" w:hAnsi="Arial" w:cs="Arial"/>
                                  <w:sz w:val="18"/>
                                </w:rPr>
                                <w:t>h) la scarsa laboriosità, se abituale;</w:t>
                              </w:r>
                            </w:p>
                          </w:txbxContent>
                        </wps:txbx>
                        <wps:bodyPr horzOverflow="overflow" vert="horz" lIns="0" tIns="0" rIns="0" bIns="0" rtlCol="0">
                          <a:noAutofit/>
                        </wps:bodyPr>
                      </wps:wsp>
                      <wps:wsp>
                        <wps:cNvPr id="21928" name="Rectangle 21928"/>
                        <wps:cNvSpPr/>
                        <wps:spPr>
                          <a:xfrm rot="-10799999">
                            <a:off x="50338" y="1102654"/>
                            <a:ext cx="3941899" cy="142889"/>
                          </a:xfrm>
                          <a:prstGeom prst="rect">
                            <a:avLst/>
                          </a:prstGeom>
                          <a:ln>
                            <a:noFill/>
                          </a:ln>
                        </wps:spPr>
                        <wps:txbx>
                          <w:txbxContent>
                            <w:p w14:paraId="42C3378E" w14:textId="77777777" w:rsidR="00B32EF2" w:rsidRDefault="00000000">
                              <w:r>
                                <w:rPr>
                                  <w:rFonts w:ascii="Arial" w:eastAsia="Arial" w:hAnsi="Arial" w:cs="Arial"/>
                                  <w:sz w:val="18"/>
                                </w:rPr>
                                <w:t>i) la grave o abituale violazione del dovere di riservatezza;</w:t>
                              </w:r>
                            </w:p>
                          </w:txbxContent>
                        </wps:txbx>
                        <wps:bodyPr horzOverflow="overflow" vert="horz" lIns="0" tIns="0" rIns="0" bIns="0" rtlCol="0">
                          <a:noAutofit/>
                        </wps:bodyPr>
                      </wps:wsp>
                      <wps:wsp>
                        <wps:cNvPr id="21929" name="Rectangle 21929"/>
                        <wps:cNvSpPr/>
                        <wps:spPr>
                          <a:xfrm rot="-10799999">
                            <a:off x="-1242750" y="975666"/>
                            <a:ext cx="5234988" cy="142889"/>
                          </a:xfrm>
                          <a:prstGeom prst="rect">
                            <a:avLst/>
                          </a:prstGeom>
                          <a:ln>
                            <a:noFill/>
                          </a:ln>
                        </wps:spPr>
                        <wps:txbx>
                          <w:txbxContent>
                            <w:p w14:paraId="1CF6A001" w14:textId="77777777" w:rsidR="00B32EF2" w:rsidRDefault="00000000">
                              <w:r>
                                <w:rPr>
                                  <w:rFonts w:ascii="Arial" w:eastAsia="Arial" w:hAnsi="Arial" w:cs="Arial"/>
                                  <w:sz w:val="18"/>
                                </w:rPr>
                                <w:t>l) l’uso della qualità di giudice tributario al fine di conseguire vantaggi ingiusti;</w:t>
                              </w:r>
                            </w:p>
                          </w:txbxContent>
                        </wps:txbx>
                        <wps:bodyPr horzOverflow="overflow" vert="horz" lIns="0" tIns="0" rIns="0" bIns="0" rtlCol="0">
                          <a:noAutofit/>
                        </wps:bodyPr>
                      </wps:wsp>
                      <wps:wsp>
                        <wps:cNvPr id="21930" name="Rectangle 21930"/>
                        <wps:cNvSpPr/>
                        <wps:spPr>
                          <a:xfrm rot="-10799999">
                            <a:off x="-1218215" y="848679"/>
                            <a:ext cx="5210452" cy="142889"/>
                          </a:xfrm>
                          <a:prstGeom prst="rect">
                            <a:avLst/>
                          </a:prstGeom>
                          <a:ln>
                            <a:noFill/>
                          </a:ln>
                        </wps:spPr>
                        <wps:txbx>
                          <w:txbxContent>
                            <w:p w14:paraId="08B79FF2" w14:textId="77777777" w:rsidR="00B32EF2" w:rsidRDefault="00000000">
                              <w:r>
                                <w:rPr>
                                  <w:rFonts w:ascii="Arial" w:eastAsia="Arial" w:hAnsi="Arial" w:cs="Arial"/>
                                  <w:sz w:val="18"/>
                                </w:rPr>
                                <w:t>m) la reiterata e grave inosservanza delle norme regolamentari o delle dispo</w:t>
                              </w:r>
                            </w:p>
                          </w:txbxContent>
                        </wps:txbx>
                        <wps:bodyPr horzOverflow="overflow" vert="horz" lIns="0" tIns="0" rIns="0" bIns="0" rtlCol="0">
                          <a:noAutofit/>
                        </wps:bodyPr>
                      </wps:wsp>
                      <wps:wsp>
                        <wps:cNvPr id="21931" name="Rectangle 21931"/>
                        <wps:cNvSpPr/>
                        <wps:spPr>
                          <a:xfrm rot="-10799999">
                            <a:off x="19638" y="848679"/>
                            <a:ext cx="50622" cy="142889"/>
                          </a:xfrm>
                          <a:prstGeom prst="rect">
                            <a:avLst/>
                          </a:prstGeom>
                          <a:ln>
                            <a:noFill/>
                          </a:ln>
                        </wps:spPr>
                        <wps:txbx>
                          <w:txbxContent>
                            <w:p w14:paraId="49DC42F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1932" name="Rectangle 21932"/>
                        <wps:cNvSpPr/>
                        <wps:spPr>
                          <a:xfrm rot="-10799999">
                            <a:off x="481920" y="721692"/>
                            <a:ext cx="3510317" cy="142889"/>
                          </a:xfrm>
                          <a:prstGeom prst="rect">
                            <a:avLst/>
                          </a:prstGeom>
                          <a:ln>
                            <a:noFill/>
                          </a:ln>
                        </wps:spPr>
                        <wps:txbx>
                          <w:txbxContent>
                            <w:p w14:paraId="49DACAE4" w14:textId="77777777" w:rsidR="00B32EF2" w:rsidRDefault="00000000">
                              <w:r>
                                <w:rPr>
                                  <w:rFonts w:ascii="Arial" w:eastAsia="Arial" w:hAnsi="Arial" w:cs="Arial"/>
                                  <w:sz w:val="18"/>
                                </w:rPr>
                                <w:t>sizioni sul servizio adottate dagli organi competenti.</w:t>
                              </w:r>
                            </w:p>
                          </w:txbxContent>
                        </wps:txbx>
                        <wps:bodyPr horzOverflow="overflow" vert="horz" lIns="0" tIns="0" rIns="0" bIns="0" rtlCol="0">
                          <a:noAutofit/>
                        </wps:bodyPr>
                      </wps:wsp>
                      <wps:wsp>
                        <wps:cNvPr id="202014" name="Rectangle 202014"/>
                        <wps:cNvSpPr/>
                        <wps:spPr>
                          <a:xfrm rot="-10799999">
                            <a:off x="-1381195" y="594705"/>
                            <a:ext cx="5309035" cy="142889"/>
                          </a:xfrm>
                          <a:prstGeom prst="rect">
                            <a:avLst/>
                          </a:prstGeom>
                          <a:ln>
                            <a:noFill/>
                          </a:ln>
                        </wps:spPr>
                        <wps:txbx>
                          <w:txbxContent>
                            <w:p w14:paraId="2E44F0BC" w14:textId="77777777" w:rsidR="00B32EF2" w:rsidRDefault="00000000">
                              <w:r>
                                <w:rPr>
                                  <w:rFonts w:ascii="Arial" w:eastAsia="Arial" w:hAnsi="Arial" w:cs="Arial"/>
                                  <w:sz w:val="18"/>
                                </w:rPr>
                                <w:t xml:space="preserve">. Si applica la sanzione non inferiore alla sospensione dalle funzioni per un </w:t>
                              </w:r>
                            </w:p>
                          </w:txbxContent>
                        </wps:txbx>
                        <wps:bodyPr horzOverflow="overflow" vert="horz" lIns="0" tIns="0" rIns="0" bIns="0" rtlCol="0">
                          <a:noAutofit/>
                        </wps:bodyPr>
                      </wps:wsp>
                      <wps:wsp>
                        <wps:cNvPr id="201997" name="Rectangle 201997"/>
                        <wps:cNvSpPr/>
                        <wps:spPr>
                          <a:xfrm rot="-10799999">
                            <a:off x="2611405" y="594705"/>
                            <a:ext cx="5309036" cy="142889"/>
                          </a:xfrm>
                          <a:prstGeom prst="rect">
                            <a:avLst/>
                          </a:prstGeom>
                          <a:ln>
                            <a:noFill/>
                          </a:ln>
                        </wps:spPr>
                        <wps:txbx>
                          <w:txbxContent>
                            <w:p w14:paraId="5986CA60"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1934" name="Rectangle 21934"/>
                        <wps:cNvSpPr/>
                        <wps:spPr>
                          <a:xfrm rot="-10799999">
                            <a:off x="1526108" y="467717"/>
                            <a:ext cx="2466129" cy="142889"/>
                          </a:xfrm>
                          <a:prstGeom prst="rect">
                            <a:avLst/>
                          </a:prstGeom>
                          <a:ln>
                            <a:noFill/>
                          </a:ln>
                        </wps:spPr>
                        <wps:txbx>
                          <w:txbxContent>
                            <w:p w14:paraId="06B45893" w14:textId="77777777" w:rsidR="00B32EF2" w:rsidRDefault="00000000">
                              <w:r>
                                <w:rPr>
                                  <w:rFonts w:ascii="Arial" w:eastAsia="Arial" w:hAnsi="Arial" w:cs="Arial"/>
                                  <w:sz w:val="18"/>
                                </w:rPr>
                                <w:t>periodo da un mese a due anni, per:</w:t>
                              </w:r>
                            </w:p>
                          </w:txbxContent>
                        </wps:txbx>
                        <wps:bodyPr horzOverflow="overflow" vert="horz" lIns="0" tIns="0" rIns="0" bIns="0" rtlCol="0">
                          <a:noAutofit/>
                        </wps:bodyPr>
                      </wps:wsp>
                    </wpg:wgp>
                  </a:graphicData>
                </a:graphic>
              </wp:inline>
            </w:drawing>
          </mc:Choice>
          <mc:Fallback>
            <w:pict>
              <v:group w14:anchorId="0230DBDA" id="Group 202124" o:spid="_x0000_s6089" style="width:314.35pt;height:493.15pt;mso-position-horizontal-relative:char;mso-position-vertical-relative:line" coordsize="39922,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DGqTwoAACx9AAAOAAAAZHJzL2Uyb0RvYy54bWzkXdtuGzkSfV9g/0HQu2PemzTiDBY7O8EA&#10;i53BXD5AkSVbgKQWWkrszNfvKbLFltsMAjQB0xjmwZEpu93iYZ2qOlVkv//habedfVl1x027v53z&#10;d2w+W+2X7d1mf387//OPn67sfHY8LfZ3i227X93Ov66O8x8+/PMf7x8PNyvRPrTbu1U3w0X2x5vH&#10;w+384XQ63FxfH5cPq93i+K49rPZ4c912u8UJ33b313fd4hFX322vBWPm+rHt7g5du1wdjxj9Mbw5&#10;/+Cvv16vlqdf1uvj6jTb3s5xbyf/tfNfP9HX6w/vFzf33eLwsFn2t7GYcBe7xWaPPxov9ePitJh9&#10;7jYvLrXbLLv22K5P75bt7rpdrzfLlf8M+DScjT7Nx679fPCf5f7m8f4QpwlTO5qnyZdd/u/Lx+7w&#10;++HXDjPxeLjHXPjv6LM8rbsd/Y+7nD35Kfsap2z1dJotMSidE0Ka+WyJ94wwwmoVJnX5gJl/8XvL&#10;h/985zevz3/4+tntPB6wQI7DHBzz5uD3h8Vh5af2eIM5+LWbbe5u54JbK+az/WKHpfobFs9if79d&#10;zcKwnyD/03G6jjdHzNx5rmZdi/V1xVnj6J9fD/3ccceYlc18hlm6MgLfhkk6TyNvrDQuzKLQzChD&#10;78epWNwcuuPp46rdzejF7bzDvfnrL77893gKP3r+Ebqd7Z6+7tufNttteJdGMKPnO6ZXp6dPT/5j&#10;K6s8aDT4qb37itl4aLu/foFdr7ft4+287V/NydTx5+nd+Wz78x4okFWdX3TnF5/OL7rT9t+tt71w&#10;Q//6fGrXG3/Hw1/r7wzw0hp8JZxlGmdJE083gVUxAWfNnBS4NFkD584Z/Rxoywx+IADNlbDWvTLQ&#10;/n6Gqf+7A80EMzyBdBjPgpoba2A3BLUG0EaOoOZOKmVh80SNhHUw+lc0ak8iVWGtMd0v2BtYYzwH&#10;ayEEl+DkN4x1/IB1EDhhCn+ZxNpT6mQKvyL/C+/9HawR1xaza3tezHVgjaBMJ6D2wzlWzUUD/wzv&#10;QAxuGynZmMG5sqLpg9si3jou5TqQJquGR01adYxQJwVmAtGY4ohVCetGOQdYsXYWN+cIXEvmmMBi&#10;OFv1a0dm2qcEdXnrlFnTGohB6iSsr7hstDNg6LcLNq+OwlORGSg8xi1ToeamcT3U0B/6zHlk12eB&#10;ogSHa1Ed1IDjBYUD6hi2TISa64bLkFtrzaTkYwrnysmmJIVH8aAOdw1MUzG4H84KzCgC1326JbQx&#10;IX0bjNpyOGs482K+OgYjdQANn6xS/B3Gc6CmzLoREMTIVcO6pfAOYYAaKooxpqBiNgQj9WCdInDC&#10;OpPBhZba9QTusR4ReHms61PMVIrBCeuYek7y1hxhmbS9Ovo27TpGnnXYNbcuJYT74RwGB2u7Bokc&#10;EThjqHt5khgIXCAZE+ZCBn/1xDqyVh1Ak/F+Q0QZynyTjFqgxiGakGwpa+GXR1hrwYWl8lexwCyy&#10;Vj1Yf0NEUbkiCtTRpgmK2dsE21SmmIGqYVqJzBrDOQzOnZGXRj2KwJGMUYBeyqRRvu0/XB0mDZRT&#10;7O2Hc1CGKoqYzIbwWzUGudaYvUtL4EjzaoM6Rd6AOpu70RvXR9/KKIa4jGZ2CMrIUcuS1Q4TKasa&#10;q4aeleLumHJOCskuuNvjPDbpwtxdmU4Gy03JZH44n7vRP0RZltLcoOYxMmhwt6Y6SDE3HSmrGoNO&#10;qWSAOqabkww6uOm+oqWkkzIoMRfcTW66ZEXLRMqqBuqUSAaoY7Y5HWrtgvitRMMYT1i1YgUrWtBt&#10;6orIfFnppZum4XwC133wzZUx4w5w9J9gPRWsaQUtp57+E/TgJ/VQGs6BmiOzcugk866aCSmDTDHw&#10;t5Daos5V0FVH2qqDvyGIyhSBh/EcrKmrDImUx1payCiNz2AHrLXkjDcFxW8IeFUROInfMK0XDB7G&#10;c7BGYGZ5w4AlYvA3CnZkrjoMGxSeFERpOBPqQSqTDXbs2FGluni3aCCaqrx1UhV1LEoMk2JwxZ2i&#10;7nKyaaOEHFcvpW5EQz3ipfLqJi7lOmwaRC2+4awxnmXVWimNFhaPteZacU+Xg7NWCp1IECbLYR3X&#10;cj1YpwRwWgNRTppk1sLCN6CV7DtYFwzC0TJRW2BGgXIqMMN4jl1zSy2iAWppLUicLjeYtWws8x0R&#10;xSi8Mr2MzDeVWofxHKixN89ZThvlyV+/TbArU8wAKlTLpF0HNXPyRkwBOQym+z2s4UCKGXaU+uvw&#10;1/CpyfIWDWeZNbUm6HMYDlFF4aiMZxzu862iYXiMPauBOlneciyu+UmBmWu4OPM3ttSrcXFLgk9c&#10;yW5REE6/lKsBOkXfMPW44icBfcUFwgA6TYdcNWONCt09Q1xGPSiafEcp+rbVyWW0AfpFBM4dhnPo&#10;e+hBSeNctgcFS7Ayg4aukUQ5LvdJBi0VtlU3YUcHzi3ChjCvVlzYc2NVSfUErY21AZ2qdMCc44qf&#10;BPSzDhSIn5IOMcLMXiBdugMFrY21QZ3STgB1XPMToYaTPjeK4vA+gx08I6hLN4oiK6gN6nShg8c1&#10;PwnqwUmncS7spCuTyGC5KeHbD/fLfRrKzDSi38whcMoNNuc9t2fhaLhgn+hw4Ect+RWOqUiGY3HJ&#10;T0Ka8iur+/wKeyyFDiWTCy8NbreiYEfZcOBHNVCn5TGeJ49dULfHedyLUJi6o05QDcppZYznKWMU&#10;dmtLbgGCiRBK68T+LIkmpHKCSehZranpJFnagJeOa34id9NWPBwM5aHm3GpI2+MMq2w3MM4KqCzs&#10;Jk+Z0MYwnBOQoR3R6H7jDo6D5tqMVBP0H2GsYBEL+w9qQzqtj6FmnYP0FWpUhlp9Qd8cJ0NrvMb1&#10;hnhMaSEcsrhievewTbwWT0371lM2HZd8Bn33W7R4g/NNwpEmA9S+XFlyixa2kNdm1GmBLLO3KGRZ&#10;/RnB3HBmmF87F1Ajy2roGLxSVaxhr3g1Vp0WyERc85OsesiyAs4j4aTwKRguqgXVoJwWyDIbQ9Fy&#10;IBRs2HtphYeuIOF65qW1gjXj/WLmHLWCaoBO62MirvhJ5iwd+rtDtZJL9IcKn50PvI2TCK3fulUM&#10;6CgXVAN0Wh0LJ35ObhOEaIJjyeD9Ke5GhG3UKJeGvWtL594UQzqqBdUgnVbIgg1ORprOfMaFCWfO&#10;UKscZdJk8bQlvxTOF3vEq8E53TqWu1GHC5yGgOchENQ4WxLnDI58tMChGKgulEM6SgW1IC3T6hiG&#10;szQTjkfriV7ztsq+PNZGcAbdpCDSUSqoBum0Oibjkp8Ujg3ZVRLmoiWsi+3C1YCcFsZwKkWOOSvs&#10;uiMZHbTdCGzTGUklUnMmUQstR9tRIagDZ9qbk9JKwngO0v4wBA7pibDWTjXjR2cFBbRcWYNOYOk/&#10;YCVYo7qUyq+wOwvjOVj7R2f1B9p8G2ok8YXyK8eiUlAH1PRg0WRdA8M5QHOc086xv4dsWqGUFdpW&#10;BslE4NgqTpvziwEdF3JpoP2zqfFIbv+M5v7x4fTM78vv/VONh4ecf/g/AAAA//8DAFBLAwQUAAYA&#10;CAAAACEABfCzbd0AAAAFAQAADwAAAGRycy9kb3ducmV2LnhtbEyPQUvDQBCF74L/YRnBm92kxZim&#10;2ZRS1FMRbAXxNs1Ok9DsbMhuk/Tfu3rRy8DjPd77Jl9PphUD9a6xrCCeRSCIS6sbrhR8HF4eUhDO&#10;I2tsLZOCKzlYF7c3OWbajvxOw95XIpSwy1BB7X2XSenKmgy6me2Ig3eyvUEfZF9J3eMYyk0r51GU&#10;SIMNh4UaO9rWVJ73F6PgdcRxs4ifh935tL1+HR7fPncxKXV/N21WIDxN/i8MP/gBHYrAdLQX1k60&#10;CsIj/vcGL5mnTyCOCpZpsgBZ5PI/ffENAAD//wMAUEsBAi0AFAAGAAgAAAAhALaDOJL+AAAA4QEA&#10;ABMAAAAAAAAAAAAAAAAAAAAAAFtDb250ZW50X1R5cGVzXS54bWxQSwECLQAUAAYACAAAACEAOP0h&#10;/9YAAACUAQAACwAAAAAAAAAAAAAAAAAvAQAAX3JlbHMvLnJlbHNQSwECLQAUAAYACAAAACEAunAx&#10;qk8KAAAsfQAADgAAAAAAAAAAAAAAAAAuAgAAZHJzL2Uyb0RvYy54bWxQSwECLQAUAAYACAAAACEA&#10;BfCzbd0AAAAFAQAADwAAAAAAAAAAAAAAAACpDAAAZHJzL2Rvd25yZXYueG1sUEsFBgAAAAAEAAQA&#10;8wAAALMNAAAAAA==&#10;">
                <v:rect id="Rectangle 21882" o:spid="_x0000_s6090" style="position:absolute;left:19008;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6jJxgAAAN4AAAAPAAAAZHJzL2Rvd25yZXYueG1sRI9Ba8JA&#10;FITvQv/D8gq96cYcSoiuUixiDl5qFTw+ss8kmn27ZFcT/fVdQehxmJlvmPlyMK24UecbywqmkwQE&#10;cWl1w5WC/e96nIHwAVlja5kU3MnDcvE2mmOubc8/dNuFSkQI+xwV1CG4XEpf1mTQT6wjjt7JdgZD&#10;lF0ldYd9hJtWpknyKQ02HBdqdLSqqbzsrkbB8Ztdse5leXqs3PZcZO3muj8o9fE+fM1ABBrCf/jV&#10;LrSCdJplKTzvxCsgF38AAAD//wMAUEsBAi0AFAAGAAgAAAAhANvh9svuAAAAhQEAABMAAAAAAAAA&#10;AAAAAAAAAAAAAFtDb250ZW50X1R5cGVzXS54bWxQSwECLQAUAAYACAAAACEAWvQsW78AAAAVAQAA&#10;CwAAAAAAAAAAAAAAAAAfAQAAX3JlbHMvLnJlbHNQSwECLQAUAAYACAAAACEAezOoycYAAADeAAAA&#10;DwAAAAAAAAAAAAAAAAAHAgAAZHJzL2Rvd25yZXYueG1sUEsFBgAAAAADAAMAtwAAAPoCAAAAAA==&#10;" filled="f" stroked="f">
                  <v:textbox inset="0,0,0,0">
                    <w:txbxContent>
                      <w:p w14:paraId="5F956671" w14:textId="77777777" w:rsidR="00B32EF2" w:rsidRDefault="00000000">
                        <w:r>
                          <w:rPr>
                            <w:rFonts w:ascii="Times New Roman" w:eastAsia="Times New Roman" w:hAnsi="Times New Roman" w:cs="Times New Roman"/>
                          </w:rPr>
                          <w:t>29</w:t>
                        </w:r>
                      </w:p>
                    </w:txbxContent>
                  </v:textbox>
                </v:rect>
                <v:rect id="Rectangle 21883" o:spid="_x0000_s6091" style="position:absolute;left:15093;top:61199;width:80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w1SxgAAAN4AAAAPAAAAZHJzL2Rvd25yZXYueG1sRI9Ba8JA&#10;FITvBf/D8gRvdaOChOgqoog59KK10OMj+0yi2bdLdjVpf31XEHocZuYbZrnuTSMe1PrasoLJOAFB&#10;XFhdc6ng/Ll/T0H4gKyxsUwKfsjDejV4W2KmbcdHepxCKSKEfYYKqhBcJqUvKjLox9YRR+9iW4Mh&#10;yraUusUuwk0jp0kylwZrjgsVOtpWVNxOd6Pge8cu33eyuPxu3cc1T5vD/fyl1GjYbxYgAvXhP/xq&#10;51rBdJKmM3jeiVdArv4AAAD//wMAUEsBAi0AFAAGAAgAAAAhANvh9svuAAAAhQEAABMAAAAAAAAA&#10;AAAAAAAAAAAAAFtDb250ZW50X1R5cGVzXS54bWxQSwECLQAUAAYACAAAACEAWvQsW78AAAAVAQAA&#10;CwAAAAAAAAAAAAAAAAAfAQAAX3JlbHMvLnJlbHNQSwECLQAUAAYACAAAACEAFH8NUsYAAADeAAAA&#10;DwAAAAAAAAAAAAAAAAAHAgAAZHJzL2Rvd25yZXYueG1sUEsFBgAAAAADAAMAtwAAAPoCAAAAAA==&#10;" filled="f" stroked="f">
                  <v:textbox inset="0,0,0,0">
                    <w:txbxContent>
                      <w:p w14:paraId="53123D16" w14:textId="77777777" w:rsidR="00B32EF2" w:rsidRDefault="00000000">
                        <w:r>
                          <w:rPr>
                            <w:rFonts w:ascii="Arial" w:eastAsia="Arial" w:hAnsi="Arial" w:cs="Arial"/>
                            <w:b/>
                            <w:sz w:val="18"/>
                          </w:rPr>
                          <w:t>Articolo 21</w:t>
                        </w:r>
                      </w:p>
                    </w:txbxContent>
                  </v:textbox>
                </v:rect>
                <v:rect id="Rectangle 202061" o:spid="_x0000_s6092" style="position:absolute;left:11686;top:59966;width:193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AfkyAAAAN8AAAAPAAAAZHJzL2Rvd25yZXYueG1sRI/BasMw&#10;EETvgf6D2EJviRQfQnCjmOAS6kMvSVPocbE2thtrJSwldvv1UaHQ4zAzb5hNMdle3GgInWMNy4UC&#10;QVw703Gj4fS+n69BhIhssHdMGr4pQLF9mG0wN27kA92OsREJwiFHDW2MPpcy1C1ZDAvniZN3doPF&#10;mOTQSDPgmOC2l5lSK2mx47TQoqeypfpyvFoNny/sq/0o6/NP6d++qnX/ej19aP30OO2eQUSa4n/4&#10;r10ZDZnK1GoJv3/SF5DbOwAAAP//AwBQSwECLQAUAAYACAAAACEA2+H2y+4AAACFAQAAEwAAAAAA&#10;AAAAAAAAAAAAAAAAW0NvbnRlbnRfVHlwZXNdLnhtbFBLAQItABQABgAIAAAAIQBa9CxbvwAAABUB&#10;AAALAAAAAAAAAAAAAAAAAB8BAABfcmVscy8ucmVsc1BLAQItABQABgAIAAAAIQB8TAfkyAAAAN8A&#10;AAAPAAAAAAAAAAAAAAAAAAcCAABkcnMvZG93bnJldi54bWxQSwUGAAAAAAMAAwC3AAAA/AIAAAAA&#10;" filled="f" stroked="f">
                  <v:textbox inset="0,0,0,0">
                    <w:txbxContent>
                      <w:p w14:paraId="09AC5577" w14:textId="77777777" w:rsidR="00B32EF2" w:rsidRDefault="00000000">
                        <w:r>
                          <w:rPr>
                            <w:rFonts w:ascii="Arial" w:eastAsia="Arial" w:hAnsi="Arial" w:cs="Arial"/>
                            <w:i/>
                            <w:sz w:val="18"/>
                          </w:rPr>
                          <w:t xml:space="preserve">articolo 14 D.lgs. n. </w:t>
                        </w:r>
                      </w:p>
                    </w:txbxContent>
                  </v:textbox>
                </v:rect>
                <v:rect id="Rectangle 202057" o:spid="_x0000_s6093" style="position:absolute;left:22213;top:59966;width:193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C2yAAAAN8AAAAPAAAAZHJzL2Rvd25yZXYueG1sRI9BawIx&#10;FITvhf6H8Aq91aQLtbIaRSzSPfSiVfD42Dx3VzcvYRPdbX+9EQo9DjPzDTNbDLYVV+pC41jD60iB&#10;IC6dabjSsPtev0xAhIhssHVMGn4owGL++DDD3LieN3TdxkokCIccNdQx+lzKUNZkMYycJ07e0XUW&#10;Y5JdJU2HfYLbVmZKjaXFhtNCjZ5WNZXn7cVqOHywL9a9LI+/K/91Kibt52W31/r5aVhOQUQa4n/4&#10;r10YDZnK1Ns73P+kLyDnNwAAAP//AwBQSwECLQAUAAYACAAAACEA2+H2y+4AAACFAQAAEwAAAAAA&#10;AAAAAAAAAAAAAAAAW0NvbnRlbnRfVHlwZXNdLnhtbFBLAQItABQABgAIAAAAIQBa9CxbvwAAABUB&#10;AAALAAAAAAAAAAAAAAAAAB8BAABfcmVscy8ucmVsc1BLAQItABQABgAIAAAAIQBShfC2yAAAAN8A&#10;AAAPAAAAAAAAAAAAAAAAAAcCAABkcnMvZG93bnJldi54bWxQSwUGAAAAAAMAAwC3AAAA/AIAAAAA&#10;" filled="f" stroked="f">
                  <v:textbox inset="0,0,0,0">
                    <w:txbxContent>
                      <w:p w14:paraId="3D004519" w14:textId="77777777" w:rsidR="00B32EF2" w:rsidRDefault="00000000">
                        <w:r>
                          <w:rPr>
                            <w:rFonts w:ascii="Arial" w:eastAsia="Arial" w:hAnsi="Arial" w:cs="Arial"/>
                            <w:i/>
                            <w:sz w:val="18"/>
                          </w:rPr>
                          <w:t>(</w:t>
                        </w:r>
                      </w:p>
                    </w:txbxContent>
                  </v:textbox>
                </v:rect>
                <v:rect id="Rectangle 202059" o:spid="_x0000_s6094" style="position:absolute;left:-2506;top:59966;width:193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sFfyAAAAN8AAAAPAAAAZHJzL2Rvd25yZXYueG1sRI9BawIx&#10;FITvQv9DeIXeatKFil2NIhbpHnqpVfD42Dx3VzcvYRPdbX+9KRQ8DjPzDTNfDrYVV+pC41jDy1iB&#10;IC6dabjSsPvePE9BhIhssHVMGn4owHLxMJpjblzPX3TdxkokCIccNdQx+lzKUNZkMYydJ07e0XUW&#10;Y5JdJU2HfYLbVmZKTaTFhtNCjZ7WNZXn7cVqOLyzLza9LI+/a/95Kqbtx2W31/rpcVjNQEQa4j38&#10;3y6Mhkxl6vUN/v6kLyAXNwAAAP//AwBQSwECLQAUAAYACAAAACEA2+H2y+4AAACFAQAAEwAAAAAA&#10;AAAAAAAAAAAAAAAAW0NvbnRlbnRfVHlwZXNdLnhtbFBLAQItABQABgAIAAAAIQBa9CxbvwAAABUB&#10;AAALAAAAAAAAAAAAAAAAAB8BAABfcmVscy8ucmVsc1BLAQItABQABgAIAAAAIQBMVsFfyAAAAN8A&#10;AAAPAAAAAAAAAAAAAAAAAAcCAABkcnMvZG93bnJldi54bWxQSwUGAAAAAAMAAwC3AAAA/AIAAAAA&#10;" filled="f" stroked="f">
                  <v:textbox inset="0,0,0,0">
                    <w:txbxContent>
                      <w:p w14:paraId="7798AF4E" w14:textId="77777777" w:rsidR="00B32EF2" w:rsidRDefault="00000000">
                        <w:r>
                          <w:rPr>
                            <w:rFonts w:ascii="Arial" w:eastAsia="Arial" w:hAnsi="Arial" w:cs="Arial"/>
                            <w:i/>
                            <w:sz w:val="18"/>
                          </w:rPr>
                          <w:t>545/92)</w:t>
                        </w:r>
                      </w:p>
                    </w:txbxContent>
                  </v:textbox>
                </v:rect>
                <v:rect id="Rectangle 21885" o:spid="_x0000_s6095" style="position:absolute;left:12796;top:58733;width:1148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jC9xgAAAN4AAAAPAAAAZHJzL2Rvd25yZXYueG1sRI9Ba8JA&#10;FITvBf/D8gRvdaOghOgqoog59KK10OMj+0yi2bdLdjVpf31XEHocZuYbZrnuTSMe1PrasoLJOAFB&#10;XFhdc6ng/Ll/T0H4gKyxsUwKfsjDejV4W2KmbcdHepxCKSKEfYYKqhBcJqUvKjLox9YRR+9iW4Mh&#10;yraUusUuwk0jp0kylwZrjgsVOtpWVNxOd6Pge8cu33eyuPxu3cc1T5vD/fyl1GjYbxYgAvXhP/xq&#10;51rBdJKmM3jeiVdArv4AAAD//wMAUEsBAi0AFAAGAAgAAAAhANvh9svuAAAAhQEAABMAAAAAAAAA&#10;AAAAAAAAAAAAAFtDb250ZW50X1R5cGVzXS54bWxQSwECLQAUAAYACAAAACEAWvQsW78AAAAVAQAA&#10;CwAAAAAAAAAAAAAAAAAfAQAAX3JlbHMvLnJlbHNQSwECLQAUAAYACAAAACEA9NowvcYAAADeAAAA&#10;DwAAAAAAAAAAAAAAAAAHAgAAZHJzL2Rvd25yZXYueG1sUEsFBgAAAAADAAMAtwAAAPoCAAAAAA==&#10;" filled="f" stroked="f">
                  <v:textbox inset="0,0,0,0">
                    <w:txbxContent>
                      <w:p w14:paraId="4A76C31C" w14:textId="77777777" w:rsidR="00B32EF2" w:rsidRDefault="00000000">
                        <w:r>
                          <w:rPr>
                            <w:rFonts w:ascii="Arial" w:eastAsia="Arial" w:hAnsi="Arial" w:cs="Arial"/>
                            <w:b/>
                            <w:sz w:val="18"/>
                          </w:rPr>
                          <w:t xml:space="preserve">Responsabilità </w:t>
                        </w:r>
                      </w:p>
                    </w:txbxContent>
                  </v:textbox>
                </v:rect>
                <v:rect id="Rectangle 202054" o:spid="_x0000_s6096" style="position:absolute;left:26114;top:574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27ByAAAAN8AAAAPAAAAZHJzL2Rvd25yZXYueG1sRI9BawIx&#10;FITvhf6H8Aq91aRLLbIaRSzSPfSiVfD42Dx3VzcvYRPdbX+9EQo9DjPzDTNbDLYVV+pC41jD60iB&#10;IC6dabjSsPtev0xAhIhssHVMGn4owGL++DDD3LieN3TdxkokCIccNdQx+lzKUNZkMYycJ07e0XUW&#10;Y5JdJU2HfYLbVmZKvUuLDaeFGj2tairP24vVcPhgX6x7WR5/V/7rVEzaz8tur/Xz07Ccgog0xP/w&#10;X7swGjKVqfEb3P+kLyDnNwAAAP//AwBQSwECLQAUAAYACAAAACEA2+H2y+4AAACFAQAAEwAAAAAA&#10;AAAAAAAAAAAAAAAAW0NvbnRlbnRfVHlwZXNdLnhtbFBLAQItABQABgAIAAAAIQBa9CxbvwAAABUB&#10;AAALAAAAAAAAAAAAAAAAAB8BAABfcmVscy8ucmVsc1BLAQItABQABgAIAAAAIQCiV27ByAAAAN8A&#10;AAAPAAAAAAAAAAAAAAAAAAcCAABkcnMvZG93bnJldi54bWxQSwUGAAAAAAMAAwC3AAAA/AIAAAAA&#10;" filled="f" stroked="f">
                  <v:textbox inset="0,0,0,0">
                    <w:txbxContent>
                      <w:p w14:paraId="19B5A1D8" w14:textId="77777777" w:rsidR="00B32EF2" w:rsidRDefault="00000000">
                        <w:r>
                          <w:rPr>
                            <w:rFonts w:ascii="Arial" w:eastAsia="Arial" w:hAnsi="Arial" w:cs="Arial"/>
                            <w:sz w:val="18"/>
                          </w:rPr>
                          <w:t>1</w:t>
                        </w:r>
                      </w:p>
                    </w:txbxContent>
                  </v:textbox>
                </v:rect>
                <v:rect id="Rectangle 202055" o:spid="_x0000_s6097" style="position:absolute;left:-13759;top:57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8taxwAAAN8AAAAPAAAAZHJzL2Rvd25yZXYueG1sRI9BawIx&#10;FITvhf6H8AreatIFi2yNIhZxD71ULfT42Dx3t25ewia6W3+9EQSPw8x8w8wWg23FmbrQONbwNlYg&#10;iEtnGq407Hfr1ymIEJENto5Jwz8FWMyfn2aYG9fzN523sRIJwiFHDXWMPpcylDVZDGPniZN3cJ3F&#10;mGRXSdNhn+C2lZlS79Jiw2mhRk+rmsrj9mQ1/H6yL9a9LA+Xlf/6K6bt5rT/0Xr0Miw/QEQa4iN8&#10;bxdGQ6YyNZnA7U/6AnJ+BQAA//8DAFBLAQItABQABgAIAAAAIQDb4fbL7gAAAIUBAAATAAAAAAAA&#10;AAAAAAAAAAAAAABbQ29udGVudF9UeXBlc10ueG1sUEsBAi0AFAAGAAgAAAAhAFr0LFu/AAAAFQEA&#10;AAsAAAAAAAAAAAAAAAAAHwEAAF9yZWxzLy5yZWxzUEsBAi0AFAAGAAgAAAAhAM0by1rHAAAA3wAA&#10;AA8AAAAAAAAAAAAAAAAABwIAAGRycy9kb3ducmV2LnhtbFBLBQYAAAAAAwADALcAAAD7AgAAAAA=&#10;" filled="f" stroked="f">
                  <v:textbox inset="0,0,0,0">
                    <w:txbxContent>
                      <w:p w14:paraId="11C54922" w14:textId="77777777" w:rsidR="00B32EF2" w:rsidRDefault="00000000">
                        <w:r>
                          <w:rPr>
                            <w:rFonts w:ascii="Arial" w:eastAsia="Arial" w:hAnsi="Arial" w:cs="Arial"/>
                            <w:sz w:val="18"/>
                          </w:rPr>
                          <w:t xml:space="preserve">. Ai componenti delle corti di giustizia tributaria di primo e secondo grado </w:t>
                        </w:r>
                      </w:p>
                    </w:txbxContent>
                  </v:textbox>
                </v:rect>
                <v:rect id="Rectangle 21887" o:spid="_x0000_s6098" style="position:absolute;left:-13167;top:562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AtRxgAAAN4AAAAPAAAAZHJzL2Rvd25yZXYueG1sRI9Ba8JA&#10;FITvBf/D8gRvdaMHDdFVRBFz6EVrocdH9plEs2+X7GrS/vquIPQ4zMw3zHLdm0Y8qPW1ZQWTcQKC&#10;uLC65lLB+XP/noLwAVljY5kU/JCH9WrwtsRM246P9DiFUkQI+wwVVCG4TEpfVGTQj60jjt7FtgZD&#10;lG0pdYtdhJtGTpNkJg3WHBcqdLStqLid7kbB945dvu9kcfnduo9rnjaH+/lLqdGw3yxABOrDf/jV&#10;zrWC6SRN5/C8E6+AXP0BAAD//wMAUEsBAi0AFAAGAAgAAAAhANvh9svuAAAAhQEAABMAAAAAAAAA&#10;AAAAAAAAAAAAAFtDb250ZW50X1R5cGVzXS54bWxQSwECLQAUAAYACAAAACEAWvQsW78AAAAVAQAA&#10;CwAAAAAAAAAAAAAAAAAfAQAAX3JlbHMvLnJlbHNQSwECLQAUAAYACAAAACEAa0QLUcYAAADeAAAA&#10;DwAAAAAAAAAAAAAAAAAHAgAAZHJzL2Rvd25yZXYueG1sUEsFBgAAAAADAAMAtwAAAPoCAAAAAA==&#10;" filled="f" stroked="f">
                  <v:textbox inset="0,0,0,0">
                    <w:txbxContent>
                      <w:p w14:paraId="26430A2E" w14:textId="77777777" w:rsidR="00B32EF2" w:rsidRDefault="00000000">
                        <w:r>
                          <w:rPr>
                            <w:rFonts w:ascii="Arial" w:eastAsia="Arial" w:hAnsi="Arial" w:cs="Arial"/>
                            <w:sz w:val="18"/>
                          </w:rPr>
                          <w:t xml:space="preserve">si applicano le disposizioni della legge 13 aprile 1988, n. 117, concernente </w:t>
                        </w:r>
                      </w:p>
                    </w:txbxContent>
                  </v:textbox>
                </v:rect>
                <v:rect id="Rectangle 21888" o:spid="_x0000_s6099" style="position:absolute;left:-11571;top:55033;width:514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58jxAAAAN4AAAAPAAAAZHJzL2Rvd25yZXYueG1sRE+7asMw&#10;FN0L+QdxA9kaOR6KcaOEkmDioUvSFDperBvbrXUlLPmRfH01FDoeznu7n00nRup9a1nBZp2AIK6s&#10;brlWcP0onjMQPiBr7CyTgjt52O8WT1vMtZ34TOMl1CKGsM9RQROCy6X0VUMG/do64sjdbG8wRNjX&#10;Uvc4xXDTyTRJXqTBlmNDg44ODVU/l8Eo+DqyK4tJVrfHwb1/l1l3Gq6fSq2W89sriEBz+Bf/uUut&#10;IN1kWdwb78QrIHe/AAAA//8DAFBLAQItABQABgAIAAAAIQDb4fbL7gAAAIUBAAATAAAAAAAAAAAA&#10;AAAAAAAAAABbQ29udGVudF9UeXBlc10ueG1sUEsBAi0AFAAGAAgAAAAhAFr0LFu/AAAAFQEAAAsA&#10;AAAAAAAAAAAAAAAAHwEAAF9yZWxzLy5yZWxzUEsBAi0AFAAGAAgAAAAhABrbnyPEAAAA3gAAAA8A&#10;AAAAAAAAAAAAAAAABwIAAGRycy9kb3ducmV2LnhtbFBLBQYAAAAAAwADALcAAAD4AgAAAAA=&#10;" filled="f" stroked="f">
                  <v:textbox inset="0,0,0,0">
                    <w:txbxContent>
                      <w:p w14:paraId="5DE2FA44" w14:textId="77777777" w:rsidR="00B32EF2" w:rsidRDefault="00000000">
                        <w:r>
                          <w:rPr>
                            <w:rFonts w:ascii="Arial" w:eastAsia="Arial" w:hAnsi="Arial" w:cs="Arial"/>
                            <w:sz w:val="18"/>
                          </w:rPr>
                          <w:t>il risarcimento dei danni cagionati nell’esercizio delle funzioni giurisdizionali.</w:t>
                        </w:r>
                      </w:p>
                    </w:txbxContent>
                  </v:textbox>
                </v:rect>
                <v:rect id="Rectangle 21889" o:spid="_x0000_s6100" style="position:absolute;left:15069;top:52566;width:8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zq4xgAAAN4AAAAPAAAAZHJzL2Rvd25yZXYueG1sRI9Ba8JA&#10;FITvBf/D8gRvdaMHSaOriCLm0IvWQo+P7DOJZt8u2dWk/fVdQfA4zMw3zGLVm0bcqfW1ZQWTcQKC&#10;uLC65lLB6Wv3noLwAVljY5kU/JKH1XLwtsBM244PdD+GUkQI+wwVVCG4TEpfVGTQj60jjt7ZtgZD&#10;lG0pdYtdhJtGTpNkJg3WHBcqdLSpqLgeb0bBz5Zdvutkcf7buM9Lnjb72+lbqdGwX89BBOrDK/xs&#10;51rBdJKmH/C4E6+AXP4DAAD//wMAUEsBAi0AFAAGAAgAAAAhANvh9svuAAAAhQEAABMAAAAAAAAA&#10;AAAAAAAAAAAAAFtDb250ZW50X1R5cGVzXS54bWxQSwECLQAUAAYACAAAACEAWvQsW78AAAAVAQAA&#10;CwAAAAAAAAAAAAAAAAAfAQAAX3JlbHMvLnJlbHNQSwECLQAUAAYACAAAACEAdZc6uMYAAADeAAAA&#10;DwAAAAAAAAAAAAAAAAAHAgAAZHJzL2Rvd25yZXYueG1sUEsFBgAAAAADAAMAtwAAAPoCAAAAAA==&#10;" filled="f" stroked="f">
                  <v:textbox inset="0,0,0,0">
                    <w:txbxContent>
                      <w:p w14:paraId="2E6B4AAB" w14:textId="77777777" w:rsidR="00B32EF2" w:rsidRDefault="00000000">
                        <w:r>
                          <w:rPr>
                            <w:rFonts w:ascii="Arial" w:eastAsia="Arial" w:hAnsi="Arial" w:cs="Arial"/>
                            <w:b/>
                            <w:sz w:val="18"/>
                          </w:rPr>
                          <w:t>Articolo 22</w:t>
                        </w:r>
                      </w:p>
                    </w:txbxContent>
                  </v:textbox>
                </v:rect>
                <v:rect id="Rectangle 202047" o:spid="_x0000_s6101" style="position:absolute;left:22217;top:51333;width:193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GZryAAAAN8AAAAPAAAAZHJzL2Rvd25yZXYueG1sRI9BawIx&#10;FITvhf6H8Aq91aRLsbIaRSzSPfSiVfD42Dx3VzcvYRPdbX+9EQo9DjPzDTNbDLYVV+pC41jD60iB&#10;IC6dabjSsPtev0xAhIhssHVMGn4owGL++DDD3LieN3TdxkokCIccNdQx+lzKUNZkMYycJ07e0XUW&#10;Y5JdJU2HfYLbVmZKjaXFhtNCjZ5WNZXn7cVqOHywL9a9LI+/K/91Kibt52W31/r5aVhOQUQa4n/4&#10;r10YDZnK1Ns73P+kLyDnNwAAAP//AwBQSwECLQAUAAYACAAAACEA2+H2y+4AAACFAQAAEwAAAAAA&#10;AAAAAAAAAAAAAAAAW0NvbnRlbnRfVHlwZXNdLnhtbFBLAQItABQABgAIAAAAIQBa9CxbvwAAABUB&#10;AAALAAAAAAAAAAAAAAAAAB8BAABfcmVscy8ucmVsc1BLAQItABQABgAIAAAAIQDXXGZryAAAAN8A&#10;AAAPAAAAAAAAAAAAAAAAAAcCAABkcnMvZG93bnJldi54bWxQSwUGAAAAAAMAAwC3AAAA/AIAAAAA&#10;" filled="f" stroked="f">
                  <v:textbox inset="0,0,0,0">
                    <w:txbxContent>
                      <w:p w14:paraId="0A9C4E14" w14:textId="77777777" w:rsidR="00B32EF2" w:rsidRDefault="00000000">
                        <w:r>
                          <w:rPr>
                            <w:rFonts w:ascii="Arial" w:eastAsia="Arial" w:hAnsi="Arial" w:cs="Arial"/>
                            <w:i/>
                            <w:sz w:val="18"/>
                          </w:rPr>
                          <w:t>(</w:t>
                        </w:r>
                      </w:p>
                    </w:txbxContent>
                  </v:textbox>
                </v:rect>
                <v:rect id="Rectangle 202048" o:spid="_x0000_s6102" style="position:absolute;left:-2535;top:51333;width:193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IZxAAAAN8AAAAPAAAAZHJzL2Rvd25yZXYueG1sRE/Pa8Iw&#10;FL4P/B/CE7zNxDJEOqMMRdaDl6mDHR/Ns+3WvIQm2upfvxwEjx/f7+V6sK24UhcaxxpmUwWCuHSm&#10;4UrD6bh7XYAIEdlg65g03CjAejV6WWJuXM9fdD3ESqQQDjlqqGP0uZShrMlimDpPnLiz6yzGBLtK&#10;mg77FG5bmSk1lxYbTg01etrUVP4dLlbDz5Z9setleb5v/P63WLSfl9O31pPx8PEOItIQn+KHuzAa&#10;MpWptzQ4/UlfQK7+AQAA//8DAFBLAQItABQABgAIAAAAIQDb4fbL7gAAAIUBAAATAAAAAAAAAAAA&#10;AAAAAAAAAABbQ29udGVudF9UeXBlc10ueG1sUEsBAi0AFAAGAAgAAAAhAFr0LFu/AAAAFQEAAAsA&#10;AAAAAAAAAAAAAAAAHwEAAF9yZWxzLy5yZWxzUEsBAi0AFAAGAAgAAAAhAKbD8hnEAAAA3wAAAA8A&#10;AAAAAAAAAAAAAAAABwIAAGRycy9kb3ducmV2LnhtbFBLBQYAAAAAAwADALcAAAD4AgAAAAA=&#10;" filled="f" stroked="f">
                  <v:textbox inset="0,0,0,0">
                    <w:txbxContent>
                      <w:p w14:paraId="325E5E43" w14:textId="77777777" w:rsidR="00B32EF2" w:rsidRDefault="00000000">
                        <w:r>
                          <w:rPr>
                            <w:rFonts w:ascii="Arial" w:eastAsia="Arial" w:hAnsi="Arial" w:cs="Arial"/>
                            <w:i/>
                            <w:sz w:val="18"/>
                          </w:rPr>
                          <w:t>545/92)</w:t>
                        </w:r>
                      </w:p>
                    </w:txbxContent>
                  </v:textbox>
                </v:rect>
                <v:rect id="Rectangle 202049" o:spid="_x0000_s6103" style="position:absolute;left:11673;top:51333;width:193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1eCyAAAAN8AAAAPAAAAZHJzL2Rvd25yZXYueG1sRI9BawIx&#10;FITvQv9DeIXeatKliF2NIhbpHnqpVfD42Dx3VzcvYRPdbX+9KRQ8DjPzDTNfDrYVV+pC41jDy1iB&#10;IC6dabjSsPvePE9BhIhssHVMGn4owHLxMJpjblzPX3TdxkokCIccNdQx+lzKUNZkMYydJ07e0XUW&#10;Y5JdJU2HfYLbVmZKTaTFhtNCjZ7WNZXn7cVqOLyzLza9LI+/a/95Kqbtx2W31/rpcVjNQEQa4j38&#10;3y6Mhkxl6vUN/v6kLyAXNwAAAP//AwBQSwECLQAUAAYACAAAACEA2+H2y+4AAACFAQAAEwAAAAAA&#10;AAAAAAAAAAAAAAAAW0NvbnRlbnRfVHlwZXNdLnhtbFBLAQItABQABgAIAAAAIQBa9CxbvwAAABUB&#10;AAALAAAAAAAAAAAAAAAAAB8BAABfcmVscy8ucmVsc1BLAQItABQABgAIAAAAIQDJj1eCyAAAAN8A&#10;AAAPAAAAAAAAAAAAAAAAAAcCAABkcnMvZG93bnJldi54bWxQSwUGAAAAAAMAAwC3AAAA/AIAAAAA&#10;" filled="f" stroked="f">
                  <v:textbox inset="0,0,0,0">
                    <w:txbxContent>
                      <w:p w14:paraId="31D15759" w14:textId="77777777" w:rsidR="00B32EF2" w:rsidRDefault="00000000">
                        <w:r>
                          <w:rPr>
                            <w:rFonts w:ascii="Arial" w:eastAsia="Arial" w:hAnsi="Arial" w:cs="Arial"/>
                            <w:i/>
                            <w:sz w:val="18"/>
                          </w:rPr>
                          <w:t xml:space="preserve">articolo 15 D.lgs. n. </w:t>
                        </w:r>
                      </w:p>
                    </w:txbxContent>
                  </v:textbox>
                </v:rect>
                <v:rect id="Rectangle 21891" o:spid="_x0000_s6104" style="position:absolute;left:5139;top:50099;width:237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KBjxgAAAN4AAAAPAAAAZHJzL2Rvd25yZXYueG1sRI9Ba8JA&#10;FITvBf/D8oTe6iYeSoyuIoqYQy9VCz0+ss8kmn27ZFeT9td3C4LHYWa+YRarwbTiTp1vLCtIJwkI&#10;4tLqhisFp+PuLQPhA7LG1jIp+CEPq+XoZYG5tj1/0v0QKhEh7HNUUIfgcil9WZNBP7GOOHpn2xkM&#10;UXaV1B32EW5aOU2Sd2mw4bhQo6NNTeX1cDMKvrfsil0vy/Pvxn1ciqzd305fSr2Oh/UcRKAhPMOP&#10;dqEVTNNslsL/nXgF5PIPAAD//wMAUEsBAi0AFAAGAAgAAAAhANvh9svuAAAAhQEAABMAAAAAAAAA&#10;AAAAAAAAAAAAAFtDb250ZW50X1R5cGVzXS54bWxQSwECLQAUAAYACAAAACEAWvQsW78AAAAVAQAA&#10;CwAAAAAAAAAAAAAAAAAfAQAAX3JlbHMvLnJlbHNQSwECLQAUAAYACAAAACEADjigY8YAAADeAAAA&#10;DwAAAAAAAAAAAAAAAAAHAgAAZHJzL2Rvd25yZXYueG1sUEsFBgAAAAADAAMAtwAAAPoCAAAAAA==&#10;" filled="f" stroked="f">
                  <v:textbox inset="0,0,0,0">
                    <w:txbxContent>
                      <w:p w14:paraId="6B0CE01E" w14:textId="77777777" w:rsidR="00B32EF2" w:rsidRDefault="00000000">
                        <w:r>
                          <w:rPr>
                            <w:rFonts w:ascii="Arial" w:eastAsia="Arial" w:hAnsi="Arial" w:cs="Arial"/>
                            <w:b/>
                            <w:sz w:val="18"/>
                          </w:rPr>
                          <w:t xml:space="preserve">Vigilanza e sanzioni disciplinari </w:t>
                        </w:r>
                      </w:p>
                    </w:txbxContent>
                  </v:textbox>
                </v:rect>
                <v:rect id="Rectangle 202044" o:spid="_x0000_s6105" style="position:absolute;left:26352;top:48866;width:521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vgcxwAAAN8AAAAPAAAAZHJzL2Rvd25yZXYueG1sRI9BawIx&#10;FITvhf6H8AreatJFimyNIhZxD71ULfT42Dx3t25ewia6W3+9EQSPw8x8w8wWg23FmbrQONbwNlYg&#10;iEtnGq407Hfr1ymIEJENto5Jwz8FWMyfn2aYG9fzN523sRIJwiFHDXWMPpcylDVZDGPniZN3cJ3F&#10;mGRXSdNhn+C2lZlS79Jiw2mhRk+rmsrj9mQ1/H6yL9a9LA+Xlf/6K6bt5rT/0Xr0Miw/QEQa4iN8&#10;bxdGQ6YyNZnA7U/6AnJ+BQAA//8DAFBLAQItABQABgAIAAAAIQDb4fbL7gAAAIUBAAATAAAAAAAA&#10;AAAAAAAAAAAAAABbQ29udGVudF9UeXBlc10ueG1sUEsBAi0AFAAGAAgAAAAhAFr0LFu/AAAAFQEA&#10;AAsAAAAAAAAAAAAAAAAAHwEAAF9yZWxzLy5yZWxzUEsBAi0AFAAGAAgAAAAhACeO+BzHAAAA3wAA&#10;AA8AAAAAAAAAAAAAAAAABwIAAGRycy9kb3ducmV2LnhtbFBLBQYAAAAAAwADALcAAAD7AgAAAAA=&#10;" filled="f" stroked="f">
                  <v:textbox inset="0,0,0,0">
                    <w:txbxContent>
                      <w:p w14:paraId="372C40EB" w14:textId="77777777" w:rsidR="00B32EF2" w:rsidRDefault="00000000">
                        <w:r>
                          <w:rPr>
                            <w:rFonts w:ascii="Arial" w:eastAsia="Arial" w:hAnsi="Arial" w:cs="Arial"/>
                            <w:sz w:val="18"/>
                          </w:rPr>
                          <w:t>1</w:t>
                        </w:r>
                      </w:p>
                    </w:txbxContent>
                  </v:textbox>
                </v:rect>
                <v:rect id="Rectangle 202045" o:spid="_x0000_s6106" style="position:absolute;left:-12797;top:48866;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l2HyAAAAN8AAAAPAAAAZHJzL2Rvd25yZXYueG1sRI9BawIx&#10;FITvhf6H8Aq91aRLLbIaRSzSPfSiVfD42Dx3VzcvYRPdbX+9EQo9DjPzDTNbDLYVV+pC41jD60iB&#10;IC6dabjSsPtev0xAhIhssHVMGn4owGL++DDD3LieN3TdxkokCIccNdQx+lzKUNZkMYycJ07e0XUW&#10;Y5JdJU2HfYLbVmZKvUuLDaeFGj2tairP24vVcPhgX6x7WR5/V/7rVEzaz8tur/Xz07Ccgog0xP/w&#10;X7swGjKVqbcx3P+kLyDnNwAAAP//AwBQSwECLQAUAAYACAAAACEA2+H2y+4AAACFAQAAEwAAAAAA&#10;AAAAAAAAAAAAAAAAW0NvbnRlbnRfVHlwZXNdLnhtbFBLAQItABQABgAIAAAAIQBa9CxbvwAAABUB&#10;AAALAAAAAAAAAAAAAAAAAB8BAABfcmVscy8ucmVsc1BLAQItABQABgAIAAAAIQBIwl2HyAAAAN8A&#10;AAAPAAAAAAAAAAAAAAAAAAcCAABkcnMvZG93bnJldi54bWxQSwUGAAAAAAMAAwC3AAAA/AIAAAAA&#10;" filled="f" stroked="f">
                  <v:textbox inset="0,0,0,0">
                    <w:txbxContent>
                      <w:p w14:paraId="59A80674" w14:textId="77777777" w:rsidR="00B32EF2" w:rsidRDefault="00000000">
                        <w:r>
                          <w:rPr>
                            <w:rFonts w:ascii="Arial" w:eastAsia="Arial" w:hAnsi="Arial" w:cs="Arial"/>
                            <w:sz w:val="18"/>
                          </w:rPr>
                          <w:t>. Il presidente di ciascuna corte di giustizia tributaria di primo e secondo gra</w:t>
                        </w:r>
                      </w:p>
                    </w:txbxContent>
                  </v:textbox>
                </v:rect>
                <v:rect id="Rectangle 21893" o:spid="_x0000_s6107" style="position:absolute;left:196;top:488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puPxwAAAN4AAAAPAAAAZHJzL2Rvd25yZXYueG1sRI9Pa8JA&#10;FMTvgt9heYK3utGCxNRVRJHm0Ev9Az0+ss8kbfbtkl1N7Kd3CwWPw8z8hlmue9OIG7W+tqxgOklA&#10;EBdW11wqOB33LykIH5A1NpZJwZ08rFfDwRIzbTv+pNshlCJC2GeooArBZVL6oiKDfmIdcfQutjUY&#10;omxLqVvsItw0cpYkc2mw5rhQoaNtRcXP4WoUfO3Y5ftOFpffrfv4ztPm/Xo6KzUe9Zs3EIH68Az/&#10;t3OtYDZNF6/wdydeAbl6AAAA//8DAFBLAQItABQABgAIAAAAIQDb4fbL7gAAAIUBAAATAAAAAAAA&#10;AAAAAAAAAAAAAABbQ29udGVudF9UeXBlc10ueG1sUEsBAi0AFAAGAAgAAAAhAFr0LFu/AAAAFQEA&#10;AAsAAAAAAAAAAAAAAAAAHwEAAF9yZWxzLy5yZWxzUEsBAi0AFAAGAAgAAAAhAJGmm4/HAAAA3gAA&#10;AA8AAAAAAAAAAAAAAAAABwIAAGRycy9kb3ducmV2LnhtbFBLBQYAAAAAAwADALcAAAD7AgAAAAA=&#10;" filled="f" stroked="f">
                  <v:textbox inset="0,0,0,0">
                    <w:txbxContent>
                      <w:p w14:paraId="5FAED84F" w14:textId="77777777" w:rsidR="00B32EF2" w:rsidRDefault="00000000">
                        <w:r>
                          <w:rPr>
                            <w:rFonts w:ascii="Arial" w:eastAsia="Arial" w:hAnsi="Arial" w:cs="Arial"/>
                            <w:sz w:val="18"/>
                          </w:rPr>
                          <w:t>-</w:t>
                        </w:r>
                      </w:p>
                    </w:txbxContent>
                  </v:textbox>
                </v:rect>
                <v:rect id="Rectangle 21894" o:spid="_x0000_s6108" style="position:absolute;left:-13167;top:476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wP7xwAAAN4AAAAPAAAAZHJzL2Rvd25yZXYueG1sRI9Pa8JA&#10;FMTvgt9heYK3ulGKxNRVRJHm0Ev9Az0+ss8kbfbtkl1N7Kd3CwWPw8z8hlmue9OIG7W+tqxgOklA&#10;EBdW11wqOB33LykIH5A1NpZJwZ08rFfDwRIzbTv+pNshlCJC2GeooArBZVL6oiKDfmIdcfQutjUY&#10;omxLqVvsItw0cpYkc2mw5rhQoaNtRcXP4WoUfO3Y5ftOFpffrfv4ztPm/Xo6KzUe9Zs3EIH68Az/&#10;t3OtYDZNF6/wdydeAbl6AAAA//8DAFBLAQItABQABgAIAAAAIQDb4fbL7gAAAIUBAAATAAAAAAAA&#10;AAAAAAAAAAAAAABbQ29udGVudF9UeXBlc10ueG1sUEsBAi0AFAAGAAgAAAAhAFr0LFu/AAAAFQEA&#10;AAsAAAAAAAAAAAAAAAAAHwEAAF9yZWxzLy5yZWxzUEsBAi0AFAAGAAgAAAAhAB5PA/vHAAAA3gAA&#10;AA8AAAAAAAAAAAAAAAAABwIAAGRycy9kb3ducmV2LnhtbFBLBQYAAAAAAwADALcAAAD7AgAAAAA=&#10;" filled="f" stroked="f">
                  <v:textbox inset="0,0,0,0">
                    <w:txbxContent>
                      <w:p w14:paraId="7B9720B0" w14:textId="77777777" w:rsidR="00B32EF2" w:rsidRDefault="00000000">
                        <w:r>
                          <w:rPr>
                            <w:rFonts w:ascii="Arial" w:eastAsia="Arial" w:hAnsi="Arial" w:cs="Arial"/>
                            <w:sz w:val="18"/>
                          </w:rPr>
                          <w:t xml:space="preserve">do esercita la vigilanza sugli altri componenti e sulla qualità e l’efficienza dei </w:t>
                        </w:r>
                      </w:p>
                    </w:txbxContent>
                  </v:textbox>
                </v:rect>
                <v:rect id="Rectangle 21895" o:spid="_x0000_s6109" style="position:absolute;left:-12200;top:46400;width:5212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6ZgxwAAAN4AAAAPAAAAZHJzL2Rvd25yZXYueG1sRI9Pa8JA&#10;FMTvgt9heYK3ulGoxNRVRJHm0Ev9Az0+ss8kbfbtkl1N7Kd3CwWPw8z8hlmue9OIG7W+tqxgOklA&#10;EBdW11wqOB33LykIH5A1NpZJwZ08rFfDwRIzbTv+pNshlCJC2GeooArBZVL6oiKDfmIdcfQutjUY&#10;omxLqVvsItw0cpYkc2mw5rhQoaNtRcXP4WoUfO3Y5ftOFpffrfv4ztPm/Xo6KzUe9Zs3EIH68Az/&#10;t3OtYDZNF6/wdydeAbl6AAAA//8DAFBLAQItABQABgAIAAAAIQDb4fbL7gAAAIUBAAATAAAAAAAA&#10;AAAAAAAAAAAAAABbQ29udGVudF9UeXBlc10ueG1sUEsBAi0AFAAGAAgAAAAhAFr0LFu/AAAAFQEA&#10;AAsAAAAAAAAAAAAAAAAAHwEAAF9yZWxzLy5yZWxzUEsBAi0AFAAGAAgAAAAhAHEDpmDHAAAA3gAA&#10;AA8AAAAAAAAAAAAAAAAABwIAAGRycy9kb3ducmV2LnhtbFBLBQYAAAAAAwADALcAAAD7AgAAAAA=&#10;" filled="f" stroked="f">
                  <v:textbox inset="0,0,0,0">
                    <w:txbxContent>
                      <w:p w14:paraId="4D5E1172" w14:textId="77777777" w:rsidR="00B32EF2" w:rsidRDefault="00000000">
                        <w:r>
                          <w:rPr>
                            <w:rFonts w:ascii="Arial" w:eastAsia="Arial" w:hAnsi="Arial" w:cs="Arial"/>
                            <w:sz w:val="18"/>
                          </w:rPr>
                          <w:t>servizi di segreteria della propria corte, al fine di segnalarne le risultanze al Di</w:t>
                        </w:r>
                      </w:p>
                    </w:txbxContent>
                  </v:textbox>
                </v:rect>
                <v:rect id="Rectangle 21896" o:spid="_x0000_s6110" style="position:absolute;left:196;top:4640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TgXxgAAAN4AAAAPAAAAZHJzL2Rvd25yZXYueG1sRI9Pi8Iw&#10;FMTvC36H8Bb2tqZ6kFqNsiiyPXjxH3h8NM+2u81LaKKt++k3guBxmJnfMPNlbxpxo9bXlhWMhgkI&#10;4sLqmksFx8PmMwXhA7LGxjIpuJOH5WLwNsdM2453dNuHUkQI+wwVVCG4TEpfVGTQD60jjt7FtgZD&#10;lG0pdYtdhJtGjpNkIg3WHBcqdLSqqPjdX42C85pdvulkcflbue1Pnjbf1+NJqY/3/msGIlAfXuFn&#10;O9cKxqN0OoHHnXgF5OIfAAD//wMAUEsBAi0AFAAGAAgAAAAhANvh9svuAAAAhQEAABMAAAAAAAAA&#10;AAAAAAAAAAAAAFtDb250ZW50X1R5cGVzXS54bWxQSwECLQAUAAYACAAAACEAWvQsW78AAAAVAQAA&#10;CwAAAAAAAAAAAAAAAAAfAQAAX3JlbHMvLnJlbHNQSwECLQAUAAYACAAAACEAgdE4F8YAAADeAAAA&#10;DwAAAAAAAAAAAAAAAAAHAgAAZHJzL2Rvd25yZXYueG1sUEsFBgAAAAADAAMAtwAAAPoCAAAAAA==&#10;" filled="f" stroked="f">
                  <v:textbox inset="0,0,0,0">
                    <w:txbxContent>
                      <w:p w14:paraId="4A37147D" w14:textId="77777777" w:rsidR="00B32EF2" w:rsidRDefault="00000000">
                        <w:r>
                          <w:rPr>
                            <w:rFonts w:ascii="Arial" w:eastAsia="Arial" w:hAnsi="Arial" w:cs="Arial"/>
                            <w:sz w:val="18"/>
                          </w:rPr>
                          <w:t>-</w:t>
                        </w:r>
                      </w:p>
                    </w:txbxContent>
                  </v:textbox>
                </v:rect>
                <v:rect id="Rectangle 21897" o:spid="_x0000_s6111" style="position:absolute;left:-13167;top:45166;width:530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2MxwAAAN4AAAAPAAAAZHJzL2Rvd25yZXYueG1sRI9Pa8JA&#10;FMTvgt9heYK3utFDjamriCLNoZf6B3p8ZJ9J2uzbJbua2E/vFgoeh5n5DbNc96YRN2p9bVnBdJKA&#10;IC6srrlUcDruX1IQPiBrbCyTgjt5WK+GgyVm2nb8SbdDKEWEsM9QQRWCy6T0RUUG/cQ64uhdbGsw&#10;RNmWUrfYRbhp5CxJXqXBmuNChY62FRU/h6tR8LVjl+87WVx+t+7jO0+b9+vprNR41G/eQATqwzP8&#10;3861gtk0Xczh7068AnL1AAAA//8DAFBLAQItABQABgAIAAAAIQDb4fbL7gAAAIUBAAATAAAAAAAA&#10;AAAAAAAAAAAAAABbQ29udGVudF9UeXBlc10ueG1sUEsBAi0AFAAGAAgAAAAhAFr0LFu/AAAAFQEA&#10;AAsAAAAAAAAAAAAAAAAAHwEAAF9yZWxzLy5yZWxzUEsBAi0AFAAGAAgAAAAhAO6dnYzHAAAA3gAA&#10;AA8AAAAAAAAAAAAAAAAABwIAAGRycy9kb3ducmV2LnhtbFBLBQYAAAAAAwADALcAAAD7AgAAAAA=&#10;" filled="f" stroked="f">
                  <v:textbox inset="0,0,0,0">
                    <w:txbxContent>
                      <w:p w14:paraId="7F518DB2" w14:textId="77777777" w:rsidR="00B32EF2" w:rsidRDefault="00000000">
                        <w:r>
                          <w:rPr>
                            <w:rFonts w:ascii="Arial" w:eastAsia="Arial" w:hAnsi="Arial" w:cs="Arial"/>
                            <w:sz w:val="18"/>
                          </w:rPr>
                          <w:t xml:space="preserve">partimento della giustizia tributaria del Ministero dell’economia e delle finanze </w:t>
                        </w:r>
                      </w:p>
                    </w:txbxContent>
                  </v:textbox>
                </v:rect>
                <v:rect id="Rectangle 21898" o:spid="_x0000_s6112" style="position:absolute;left:-13167;top:439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n+wwAAAN4AAAAPAAAAZHJzL2Rvd25yZXYueG1sRE/LisIw&#10;FN0P+A/hCu7GVBdDrUYRRaaL2fgCl5fm2labm9BEW+frzWJglofzXqx604gntb62rGAyTkAQF1bX&#10;XCo4HXefKQgfkDU2lknBizysloOPBWbadryn5yGUIoawz1BBFYLLpPRFRQb92DriyF1tazBE2JZS&#10;t9jFcNPIaZJ8SYM1x4YKHW0qKu6Hh1Fw2bLLd50srr8b93PL0+b7cTorNRr26zmIQH34F/+5c61g&#10;OklncW+8E6+AXL4BAAD//wMAUEsBAi0AFAAGAAgAAAAhANvh9svuAAAAhQEAABMAAAAAAAAAAAAA&#10;AAAAAAAAAFtDb250ZW50X1R5cGVzXS54bWxQSwECLQAUAAYACAAAACEAWvQsW78AAAAVAQAACwAA&#10;AAAAAAAAAAAAAAAfAQAAX3JlbHMvLnJlbHNQSwECLQAUAAYACAAAACEAnwIJ/sMAAADeAAAADwAA&#10;AAAAAAAAAAAAAAAHAgAAZHJzL2Rvd25yZXYueG1sUEsFBgAAAAADAAMAtwAAAPcCAAAAAA==&#10;" filled="f" stroked="f">
                  <v:textbox inset="0,0,0,0">
                    <w:txbxContent>
                      <w:p w14:paraId="3BCA4130" w14:textId="77777777" w:rsidR="00B32EF2" w:rsidRDefault="00000000">
                        <w:r>
                          <w:rPr>
                            <w:rFonts w:ascii="Arial" w:eastAsia="Arial" w:hAnsi="Arial" w:cs="Arial"/>
                            <w:sz w:val="18"/>
                          </w:rPr>
                          <w:t xml:space="preserve">per i provvedimenti di competenza. Il presidente di ciascuna corte di giustizia </w:t>
                        </w:r>
                      </w:p>
                    </w:txbxContent>
                  </v:textbox>
                </v:rect>
                <v:rect id="Rectangle 21899" o:spid="_x0000_s6113" style="position:absolute;left:-13165;top:42700;width:530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qxlxwAAAN4AAAAPAAAAZHJzL2Rvd25yZXYueG1sRI9Pi8Iw&#10;FMTvC36H8Ba8rakellqNsiiyPXhZ/4DHR/Nsu9u8hCba6qffCILHYWZ+w8yXvWnElVpfW1YwHiUg&#10;iAuray4VHPabjxSED8gaG8uk4EYelovB2xwzbTv+oesulCJC2GeooArBZVL6oiKDfmQdcfTOtjUY&#10;omxLqVvsItw0cpIkn9JgzXGhQkerioq/3cUoOK3Z5ZtOFuf7ym1/87T5vhyOSg3f+68ZiEB9eIWf&#10;7VwrmIzT6RQed+IVkIt/AAAA//8DAFBLAQItABQABgAIAAAAIQDb4fbL7gAAAIUBAAATAAAAAAAA&#10;AAAAAAAAAAAAAABbQ29udGVudF9UeXBlc10ueG1sUEsBAi0AFAAGAAgAAAAhAFr0LFu/AAAAFQEA&#10;AAsAAAAAAAAAAAAAAAAAHwEAAF9yZWxzLy5yZWxzUEsBAi0AFAAGAAgAAAAhAPBOrGXHAAAA3gAA&#10;AA8AAAAAAAAAAAAAAAAABwIAAGRycy9kb3ducmV2LnhtbFBLBQYAAAAAAwADALcAAAD7AgAAAAA=&#10;" filled="f" stroked="f">
                  <v:textbox inset="0,0,0,0">
                    <w:txbxContent>
                      <w:p w14:paraId="2DE27C6E" w14:textId="77777777" w:rsidR="00B32EF2" w:rsidRDefault="00000000">
                        <w:r>
                          <w:rPr>
                            <w:rFonts w:ascii="Arial" w:eastAsia="Arial" w:hAnsi="Arial" w:cs="Arial"/>
                            <w:sz w:val="18"/>
                          </w:rPr>
                          <w:t xml:space="preserve">tributaria di secondo grado esercita la vigilanza sulla attività giurisdizionale </w:t>
                        </w:r>
                      </w:p>
                    </w:txbxContent>
                  </v:textbox>
                </v:rect>
                <v:rect id="Rectangle 21900" o:spid="_x0000_s6114" style="position:absolute;left:-13167;top:414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ixQAAAN4AAAAPAAAAZHJzL2Rvd25yZXYueG1sRI/NisIw&#10;FIX3wrxDuMLsNNWFaMco4iB2MRu1wiwvzbWtNjehibYzT28WgsvD+eNbrnvTiAe1vrasYDJOQBAX&#10;VtdcKshPu9EchA/IGhvLpOCPPKxXH4Mlptp2fKDHMZQijrBPUUEVgkul9EVFBv3YOuLoXWxrMETZ&#10;llK32MVx08hpksykwZrjQ4WOthUVt+PdKPj9ZpftOllc/rfu55rNm/09Pyv1Oew3XyAC9eEdfrUz&#10;rWA6WSQRIOJEFJCrJwAAAP//AwBQSwECLQAUAAYACAAAACEA2+H2y+4AAACFAQAAEwAAAAAAAAAA&#10;AAAAAAAAAAAAW0NvbnRlbnRfVHlwZXNdLnhtbFBLAQItABQABgAIAAAAIQBa9CxbvwAAABUBAAAL&#10;AAAAAAAAAAAAAAAAAB8BAABfcmVscy8ucmVsc1BLAQItABQABgAIAAAAIQD/n5/ixQAAAN4AAAAP&#10;AAAAAAAAAAAAAAAAAAcCAABkcnMvZG93bnJldi54bWxQSwUGAAAAAAMAAwC3AAAA+QIAAAAA&#10;" filled="f" stroked="f">
                  <v:textbox inset="0,0,0,0">
                    <w:txbxContent>
                      <w:p w14:paraId="108E7E9D" w14:textId="77777777" w:rsidR="00B32EF2" w:rsidRDefault="00000000">
                        <w:r>
                          <w:rPr>
                            <w:rFonts w:ascii="Arial" w:eastAsia="Arial" w:hAnsi="Arial" w:cs="Arial"/>
                            <w:sz w:val="18"/>
                          </w:rPr>
                          <w:t xml:space="preserve">delle corti di giustizia tributaria di primo grado aventi sede nella circoscrizione </w:t>
                        </w:r>
                      </w:p>
                    </w:txbxContent>
                  </v:textbox>
                </v:rect>
                <v:rect id="Rectangle 21901" o:spid="_x0000_s6115" style="position:absolute;left:16339;top:40233;width:235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zp5xgAAAN4AAAAPAAAAZHJzL2Rvd25yZXYueG1sRI9Ba8JA&#10;FITvQv/D8gredBMPYlNXEUXMwYvWQo+P7DNJzb5dsquJ/npXKPQ4zMw3zHzZm0bcqPW1ZQXpOAFB&#10;XFhdc6ng9LUdzUD4gKyxsUwK7uRhuXgbzDHTtuMD3Y6hFBHCPkMFVQguk9IXFRn0Y+uIo3e2rcEQ&#10;ZVtK3WIX4aaRkySZSoM1x4UKHa0rKi7Hq1Hws2GXbztZnB9rt//NZ83uevpWavjerz5BBOrDf/iv&#10;nWsFk/QjSeF1J14BuXgCAAD//wMAUEsBAi0AFAAGAAgAAAAhANvh9svuAAAAhQEAABMAAAAAAAAA&#10;AAAAAAAAAAAAAFtDb250ZW50X1R5cGVzXS54bWxQSwECLQAUAAYACAAAACEAWvQsW78AAAAVAQAA&#10;CwAAAAAAAAAAAAAAAAAfAQAAX3JlbHMvLnJlbHNQSwECLQAUAAYACAAAACEAkNM6ecYAAADeAAAA&#10;DwAAAAAAAAAAAAAAAAAHAgAAZHJzL2Rvd25yZXYueG1sUEsFBgAAAAADAAMAtwAAAPoCAAAAAA==&#10;" filled="f" stroked="f">
                  <v:textbox inset="0,0,0,0">
                    <w:txbxContent>
                      <w:p w14:paraId="0C36F9FD" w14:textId="77777777" w:rsidR="00B32EF2" w:rsidRDefault="00000000">
                        <w:r>
                          <w:rPr>
                            <w:rFonts w:ascii="Arial" w:eastAsia="Arial" w:hAnsi="Arial" w:cs="Arial"/>
                            <w:sz w:val="18"/>
                          </w:rPr>
                          <w:t>della stessa e sui loro componenti.</w:t>
                        </w:r>
                      </w:p>
                    </w:txbxContent>
                  </v:textbox>
                </v:rect>
                <v:rect id="Rectangle 202039" o:spid="_x0000_s6116" style="position:absolute;left:26111;top:38963;width:531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ST/yAAAAN8AAAAPAAAAZHJzL2Rvd25yZXYueG1sRI9BawIx&#10;FITvQv9DeIXeatItiF2NIhbpHnqpVfD42Dx3VzcvYRPdbX+9KRQ8DjPzDTNfDrYVV+pC41jDy1iB&#10;IC6dabjSsPvePE9BhIhssHVMGn4owHLxMJpjblzPX3TdxkokCIccNdQx+lzKUNZkMYydJ07e0XUW&#10;Y5JdJU2HfYLbVmZKTaTFhtNCjZ7WNZXn7cVqOLyzLza9LI+/a/95Kqbtx2W31/rpcVjNQEQa4j38&#10;3y6Mhkxl6vUN/v6kLyAXNwAAAP//AwBQSwECLQAUAAYACAAAACEA2+H2y+4AAACFAQAAEwAAAAAA&#10;AAAAAAAAAAAAAAAAW0NvbnRlbnRfVHlwZXNdLnhtbFBLAQItABQABgAIAAAAIQBa9CxbvwAAABUB&#10;AAALAAAAAAAAAAAAAAAAAB8BAABfcmVscy8ucmVsc1BLAQItABQABgAIAAAAIQCRiST/yAAAAN8A&#10;AAAPAAAAAAAAAAAAAAAAAAcCAABkcnMvZG93bnJldi54bWxQSwUGAAAAAAMAAwC3AAAA/AIAAAAA&#10;" filled="f" stroked="f">
                  <v:textbox inset="0,0,0,0">
                    <w:txbxContent>
                      <w:p w14:paraId="77184B9D" w14:textId="77777777" w:rsidR="00B32EF2" w:rsidRDefault="00000000">
                        <w:r>
                          <w:rPr>
                            <w:rFonts w:ascii="Arial" w:eastAsia="Arial" w:hAnsi="Arial" w:cs="Arial"/>
                            <w:sz w:val="18"/>
                          </w:rPr>
                          <w:t>2</w:t>
                        </w:r>
                      </w:p>
                    </w:txbxContent>
                  </v:textbox>
                </v:rect>
                <v:rect id="Rectangle 202042" o:spid="_x0000_s6117" style="position:absolute;left:-13817;top:38963;width:531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8XzxwAAAN8AAAAPAAAAZHJzL2Rvd25yZXYueG1sRI9Ba8JA&#10;FITvQv/D8gq96W5DEUldpVikOXjRRujxkX0mabNvl+xqor/eLRR6HGbmG2a5Hm0nLtSH1rGG55kC&#10;QVw503KtofzcThcgQkQ22DkmDVcKsF49TJaYGzfwni6HWIsE4ZCjhiZGn0sZqoYshpnzxMk7ud5i&#10;TLKvpelxSHDbyUypubTYclpo0NOmoerncLYavt7ZF9tBVqfbxu++i0X3cS6PWj89jm+vICKN8T/8&#10;1y6Mhkxl6iWD3z/pC8jVHQAA//8DAFBLAQItABQABgAIAAAAIQDb4fbL7gAAAIUBAAATAAAAAAAA&#10;AAAAAAAAAAAAAABbQ29udGVudF9UeXBlc10ueG1sUEsBAi0AFAAGAAgAAAAhAFr0LFu/AAAAFQEA&#10;AAsAAAAAAAAAAAAAAAAAHwEAAF9yZWxzLy5yZWxzUEsBAi0AFAAGAAgAAAAhAMcrxfPHAAAA3wAA&#10;AA8AAAAAAAAAAAAAAAAABwIAAGRycy9kb3ducmV2LnhtbFBLBQYAAAAAAwADALcAAAD7AgAAAAA=&#10;" filled="f" stroked="f">
                  <v:textbox inset="0,0,0,0">
                    <w:txbxContent>
                      <w:p w14:paraId="466D0B39" w14:textId="77777777" w:rsidR="00B32EF2" w:rsidRDefault="00000000">
                        <w:r>
                          <w:rPr>
                            <w:rFonts w:ascii="Arial" w:eastAsia="Arial" w:hAnsi="Arial" w:cs="Arial"/>
                            <w:sz w:val="18"/>
                          </w:rPr>
                          <w:t xml:space="preserve">. I componenti delle corti di giustizia tributaria di primo e secondo grado, per </w:t>
                        </w:r>
                      </w:p>
                    </w:txbxContent>
                  </v:textbox>
                </v:rect>
                <v:rect id="Rectangle 21903" o:spid="_x0000_s6118" style="position:absolute;left:-13167;top:3769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QGVxwAAAN4AAAAPAAAAZHJzL2Rvd25yZXYueG1sRI9Pi8Iw&#10;FMTvC36H8ARva6oLi1ajiCLbg5f1D3h8NM+22ryEJtrqp98sLOxxmJnfMPNlZ2rxoMZXlhWMhgkI&#10;4tzqigsFx8P2fQLCB2SNtWVS8CQPy0XvbY6pti1/02MfChEh7FNUUIbgUil9XpJBP7SOOHoX2xgM&#10;UTaF1A22EW5qOU6ST2mw4rhQoqN1SfltfzcKzht22baV+eW1drtrNqm/7seTUoN+t5qBCNSF//Bf&#10;O9MKxqNp8gG/d+IVkIsfAAAA//8DAFBLAQItABQABgAIAAAAIQDb4fbL7gAAAIUBAAATAAAAAAAA&#10;AAAAAAAAAAAAAABbQ29udGVudF9UeXBlc10ueG1sUEsBAi0AFAAGAAgAAAAhAFr0LFu/AAAAFQEA&#10;AAsAAAAAAAAAAAAAAAAAHwEAAF9yZWxzLy5yZWxzUEsBAi0AFAAGAAgAAAAhAA9NAZXHAAAA3gAA&#10;AA8AAAAAAAAAAAAAAAAABwIAAGRycy9kb3ducmV2LnhtbFBLBQYAAAAAAwADALcAAAD7AgAAAAA=&#10;" filled="f" stroked="f">
                  <v:textbox inset="0,0,0,0">
                    <w:txbxContent>
                      <w:p w14:paraId="1F7ECEEA" w14:textId="77777777" w:rsidR="00B32EF2" w:rsidRDefault="00000000">
                        <w:r>
                          <w:rPr>
                            <w:rFonts w:ascii="Arial" w:eastAsia="Arial" w:hAnsi="Arial" w:cs="Arial"/>
                            <w:sz w:val="18"/>
                          </w:rPr>
                          <w:t xml:space="preserve">comportamenti non conformi a doveri o alla dignità del proprio ufficio, sono </w:t>
                        </w:r>
                      </w:p>
                    </w:txbxContent>
                  </v:textbox>
                </v:rect>
                <v:rect id="Rectangle 21904" o:spid="_x0000_s6119" style="position:absolute;left:4194;top:36423;width:357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JnhxwAAAN4AAAAPAAAAZHJzL2Rvd25yZXYueG1sRI9Pi8Iw&#10;FMTvC36H8ARva6osi1ajiCLbg5f1D3h8NM+22ryEJtrqp98sLOxxmJnfMPNlZ2rxoMZXlhWMhgkI&#10;4tzqigsFx8P2fQLCB2SNtWVS8CQPy0XvbY6pti1/02MfChEh7FNUUIbgUil9XpJBP7SOOHoX2xgM&#10;UTaF1A22EW5qOU6ST2mw4rhQoqN1SfltfzcKzht22baV+eW1drtrNqm/7seTUoN+t5qBCNSF//Bf&#10;O9MKxqNp8gG/d+IVkIsfAAAA//8DAFBLAQItABQABgAIAAAAIQDb4fbL7gAAAIUBAAATAAAAAAAA&#10;AAAAAAAAAAAAAABbQ29udGVudF9UeXBlc10ueG1sUEsBAi0AFAAGAAgAAAAhAFr0LFu/AAAAFQEA&#10;AAsAAAAAAAAAAAAAAAAAHwEAAF9yZWxzLy5yZWxzUEsBAi0AFAAGAAgAAAAhAICkmeHHAAAA3gAA&#10;AA8AAAAAAAAAAAAAAAAABwIAAGRycy9kb3ducmV2LnhtbFBLBQYAAAAAAwADALcAAAD7AgAAAAA=&#10;" filled="f" stroked="f">
                  <v:textbox inset="0,0,0,0">
                    <w:txbxContent>
                      <w:p w14:paraId="1FC0FB7E" w14:textId="77777777" w:rsidR="00B32EF2" w:rsidRDefault="00000000">
                        <w:r>
                          <w:rPr>
                            <w:rFonts w:ascii="Arial" w:eastAsia="Arial" w:hAnsi="Arial" w:cs="Arial"/>
                            <w:sz w:val="18"/>
                          </w:rPr>
                          <w:t>soggetti alle sanzioni individuate nei commi da 3 a 7.</w:t>
                        </w:r>
                      </w:p>
                    </w:txbxContent>
                  </v:textbox>
                </v:rect>
                <v:rect id="Rectangle 202029" o:spid="_x0000_s6120" style="position:absolute;left:-5445;top:35154;width:447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LIixAAAAN8AAAAPAAAAZHJzL2Rvd25yZXYueG1sRE/LisIw&#10;FN0P+A/hCu7GVBei1SiiiF3MZnyAy0tzbavNTWii7czXTwYEOavDeXEWq87U4kmNrywrGA0TEMS5&#10;1RUXCk7H3ecUhA/IGmvLpOCHPKyWvY8Fptq2/E3PQyhELGGfooIyBJdK6fOSDPqhdcRRu9rGYIi0&#10;KaRusI3lppbjJJlIgxXHhRIdbUrK74eHUXDZsst2rcyvvxv3dcum9f5xOis16HfrOYhAXXibX+lM&#10;KxgnETP4/xO/gFz+AQAA//8DAFBLAQItABQABgAIAAAAIQDb4fbL7gAAAIUBAAATAAAAAAAAAAAA&#10;AAAAAAAAAABbQ29udGVudF9UeXBlc10ueG1sUEsBAi0AFAAGAAgAAAAhAFr0LFu/AAAAFQEAAAsA&#10;AAAAAAAAAAAAAAAAHwEAAF9yZWxzLy5yZWxzUEsBAi0AFAAGAAgAAAAhABRQsiLEAAAA3wAAAA8A&#10;AAAAAAAAAAAAAAAABwIAAGRycy9kb3ducmV2LnhtbFBLBQYAAAAAAwADALcAAAD4AgAAAAA=&#10;" filled="f" stroked="f">
                  <v:textbox inset="0,0,0,0">
                    <w:txbxContent>
                      <w:p w14:paraId="5697EDD9" w14:textId="77777777" w:rsidR="00B32EF2" w:rsidRDefault="00000000">
                        <w:r>
                          <w:rPr>
                            <w:rFonts w:ascii="Arial" w:eastAsia="Arial" w:hAnsi="Arial" w:cs="Arial"/>
                            <w:sz w:val="18"/>
                          </w:rPr>
                          <w:t>. Si applica la sanzione dell’ammonimento per lievi trasgressioni.</w:t>
                        </w:r>
                      </w:p>
                    </w:txbxContent>
                  </v:textbox>
                </v:rect>
                <v:rect id="Rectangle 202025" o:spid="_x0000_s6121" style="position:absolute;left:28190;top:35154;width:447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bgnxAAAAN8AAAAPAAAAZHJzL2Rvd25yZXYueG1sRE/LisIw&#10;FN0L/kO4wuw0VRiRjlHEQaaL2fiCWV6aa1ttbkITbcevN4IgZ3U4L8582Zla3KjxlWUF41ECgji3&#10;uuJCwWG/Gc5A+ICssbZMCv7Jw3LR780x1bblLd12oRCxhH2KCsoQXCqlz0sy6EfWEUftZBuDIdKm&#10;kLrBNpabWk6SZCoNVhwXSnS0Lim/7K5Gwd83u2zTyvx0X7vfczarf66Ho1Ifg271BSJQF97mVzrT&#10;CiZJxCc8/8QvIBcPAAAA//8DAFBLAQItABQABgAIAAAAIQDb4fbL7gAAAIUBAAATAAAAAAAAAAAA&#10;AAAAAAAAAABbQ29udGVudF9UeXBlc10ueG1sUEsBAi0AFAAGAAgAAAAhAFr0LFu/AAAAFQEAAAsA&#10;AAAAAAAAAAAAAAAAHwEAAF9yZWxzLy5yZWxzUEsBAi0AFAAGAAgAAAAhAJUduCfEAAAA3wAAAA8A&#10;AAAAAAAAAAAAAAAABwIAAGRycy9kb3ducmV2LnhtbFBLBQYAAAAAAwADALcAAAD4AgAAAAA=&#10;" filled="f" stroked="f">
                  <v:textbox inset="0,0,0,0">
                    <w:txbxContent>
                      <w:p w14:paraId="30311AA9" w14:textId="77777777" w:rsidR="00B32EF2" w:rsidRDefault="00000000">
                        <w:r>
                          <w:rPr>
                            <w:rFonts w:ascii="Arial" w:eastAsia="Arial" w:hAnsi="Arial" w:cs="Arial"/>
                            <w:sz w:val="18"/>
                          </w:rPr>
                          <w:t>3</w:t>
                        </w:r>
                      </w:p>
                    </w:txbxContent>
                  </v:textbox>
                </v:rect>
                <v:rect id="Rectangle 202023" o:spid="_x0000_s6122" style="position:absolute;left:1825;top:33884;width:378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IXIxAAAAN8AAAAPAAAAZHJzL2Rvd25yZXYueG1sRE/LisIw&#10;FN0L/kO4wuw01QGRjlHEQaaL2fiCWV6aa1ttbkITbcevN4IgZ3U4L8582Zla3KjxlWUF41ECgji3&#10;uuJCwWG/Gc5A+ICssbZMCv7Jw3LR780x1bblLd12oRCxhH2KCsoQXCqlz0sy6EfWEUftZBuDIdKm&#10;kLrBNpabWk6SZCoNVhwXSnS0Lim/7K5Gwd83u2zTyvx0X7vfczarf66Ho1Ifg271BSJQF97mVzrT&#10;CiZJxCc8/8QvIBcPAAAA//8DAFBLAQItABQABgAIAAAAIQDb4fbL7gAAAIUBAAATAAAAAAAAAAAA&#10;AAAAAAAAAABbQ29udGVudF9UeXBlc10ueG1sUEsBAi0AFAAGAAgAAAAhAFr0LFu/AAAAFQEAAAsA&#10;AAAAAAAAAAAAAAAAHwEAAF9yZWxzLy5yZWxzUEsBAi0AFAAGAAgAAAAhAHW4hcjEAAAA3wAAAA8A&#10;AAAAAAAAAAAAAAAABwIAAGRycy9kb3ducmV2LnhtbFBLBQYAAAAAAwADALcAAAD4AgAAAAA=&#10;" filled="f" stroked="f">
                  <v:textbox inset="0,0,0,0">
                    <w:txbxContent>
                      <w:p w14:paraId="1AE3C634" w14:textId="77777777" w:rsidR="00B32EF2" w:rsidRDefault="00000000">
                        <w:r>
                          <w:rPr>
                            <w:rFonts w:ascii="Arial" w:eastAsia="Arial" w:hAnsi="Arial" w:cs="Arial"/>
                            <w:sz w:val="18"/>
                          </w:rPr>
                          <w:t>. Si applica la sanzione non inferiore alla censura, per</w:t>
                        </w:r>
                      </w:p>
                    </w:txbxContent>
                  </v:textbox>
                </v:rect>
                <v:rect id="Rectangle 202021" o:spid="_x0000_s6123" style="position:absolute;left:-25981;top:33884;width:377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r4kwwAAAN8AAAAPAAAAZHJzL2Rvd25yZXYueG1sRE/LisIw&#10;FN0P+A/hCu7GVBci1SiiiF24GR/g8tJc22pzE5poq18/GRiQszqcF2e+7EwtntT4yrKC0TABQZxb&#10;XXGh4HTcfk9B+ICssbZMCl7kYbnofc0x1bblH3oeQiFiCfsUFZQhuFRKn5dk0A+tI47a1TYGQ6RN&#10;IXWDbSw3tRwnyUQarDgulOhoXVJ+PzyMgsuGXbZtZX59r93+lk3r3eN0VmrQ71YzEIG68DH/pzOt&#10;YJxEjODvT/wCcvELAAD//wMAUEsBAi0AFAAGAAgAAAAhANvh9svuAAAAhQEAABMAAAAAAAAAAAAA&#10;AAAAAAAAAFtDb250ZW50X1R5cGVzXS54bWxQSwECLQAUAAYACAAAACEAWvQsW78AAAAVAQAACwAA&#10;AAAAAAAAAAAAAAAfAQAAX3JlbHMvLnJlbHNQSwECLQAUAAYACAAAACEA6ia+JMMAAADfAAAADwAA&#10;AAAAAAAAAAAAAAAHAgAAZHJzL2Rvd25yZXYueG1sUEsFBgAAAAADAAMAtwAAAPcCAAAAAA==&#10;" filled="f" stroked="f">
                  <v:textbox inset="0,0,0,0">
                    <w:txbxContent>
                      <w:p w14:paraId="7C05E6A9" w14:textId="77777777" w:rsidR="00B32EF2" w:rsidRDefault="00000000">
                        <w:r>
                          <w:rPr>
                            <w:rFonts w:ascii="Arial" w:eastAsia="Arial" w:hAnsi="Arial" w:cs="Arial"/>
                            <w:sz w:val="18"/>
                          </w:rPr>
                          <w:t>:</w:t>
                        </w:r>
                      </w:p>
                    </w:txbxContent>
                  </v:textbox>
                </v:rect>
                <v:rect id="Rectangle 202019" o:spid="_x0000_s6124" style="position:absolute;left:29907;top:33884;width:378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HifxwAAAN8AAAAPAAAAZHJzL2Rvd25yZXYueG1sRI9BawIx&#10;FITvQv9DeIXeNHEPRbdGEYt0D71ULfT42Dx3t25ewia6W3+9KQgeh5n5hlmsBtuKC3WhcaxhOlEg&#10;iEtnGq40HPbb8QxEiMgGW8ek4Y8CrJZPowXmxvX8RZddrESCcMhRQx2jz6UMZU0Ww8R54uQdXWcx&#10;JtlV0nTYJ7htZabUq7TYcFqo0dOmpvK0O1sNP+/si20vy+N14z9/i1n7cT58a/3yPKzfQEQa4iN8&#10;bxdGQ6YyNZ3D/5/0BeTyBgAA//8DAFBLAQItABQABgAIAAAAIQDb4fbL7gAAAIUBAAATAAAAAAAA&#10;AAAAAAAAAAAAAABbQ29udGVudF9UeXBlc10ueG1sUEsBAi0AFAAGAAgAAAAhAFr0LFu/AAAAFQEA&#10;AAsAAAAAAAAAAAAAAAAAHwEAAF9yZWxzLy5yZWxzUEsBAi0AFAAGAAgAAAAhANo8eJ/HAAAA3wAA&#10;AA8AAAAAAAAAAAAAAAAABwIAAGRycy9kb3ducmV2LnhtbFBLBQYAAAAAAwADALcAAAD7AgAAAAA=&#10;" filled="f" stroked="f">
                  <v:textbox inset="0,0,0,0">
                    <w:txbxContent>
                      <w:p w14:paraId="7FD6E50C" w14:textId="77777777" w:rsidR="00B32EF2" w:rsidRDefault="00000000">
                        <w:r>
                          <w:rPr>
                            <w:rFonts w:ascii="Arial" w:eastAsia="Arial" w:hAnsi="Arial" w:cs="Arial"/>
                            <w:sz w:val="18"/>
                          </w:rPr>
                          <w:t>4</w:t>
                        </w:r>
                      </w:p>
                    </w:txbxContent>
                  </v:textbox>
                </v:rect>
                <v:rect id="Rectangle 21907" o:spid="_x0000_s6125" style="position:absolute;left:-13165;top:3261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geWxwAAAN4AAAAPAAAAZHJzL2Rvd25yZXYueG1sRI9Pi8Iw&#10;FMTvC36H8ARva6qHXa1GEUW2By/rH/D4aJ5ttXkJTbTVT79ZWNjjMDO/YebLztTiQY2vLCsYDRMQ&#10;xLnVFRcKjoft+wSED8gaa8uk4Ekelove2xxTbVv+psc+FCJC2KeooAzBpVL6vCSDfmgdcfQutjEY&#10;omwKqRtsI9zUcpwkH9JgxXGhREfrkvLb/m4UnDfssm0r88tr7XbXbFJ/3Y8npQb9bjUDEagL/+G/&#10;dqYVjEfT5BN+78QrIBc/AAAA//8DAFBLAQItABQABgAIAAAAIQDb4fbL7gAAAIUBAAATAAAAAAAA&#10;AAAAAAAAAAAAAABbQ29udGVudF9UeXBlc10ueG1sUEsBAi0AFAAGAAgAAAAhAFr0LFu/AAAAFQEA&#10;AAsAAAAAAAAAAAAAAAAAHwEAAF9yZWxzLy5yZWxzUEsBAi0AFAAGAAgAAAAhAHB2B5bHAAAA3gAA&#10;AA8AAAAAAAAAAAAAAAAABwIAAGRycy9kb3ducmV2LnhtbFBLBQYAAAAAAwADALcAAAD7AgAAAAA=&#10;" filled="f" stroked="f">
                  <v:textbox inset="0,0,0,0">
                    <w:txbxContent>
                      <w:p w14:paraId="02A0FA22" w14:textId="77777777" w:rsidR="00B32EF2" w:rsidRDefault="00000000">
                        <w:r>
                          <w:rPr>
                            <w:rFonts w:ascii="Arial" w:eastAsia="Arial" w:hAnsi="Arial" w:cs="Arial"/>
                            <w:sz w:val="18"/>
                          </w:rPr>
                          <w:t xml:space="preserve">a) i comportamenti che, violando i doveri di cui al comma 2, arrecano ingiusto </w:t>
                        </w:r>
                      </w:p>
                    </w:txbxContent>
                  </v:textbox>
                </v:rect>
                <v:rect id="Rectangle 21908" o:spid="_x0000_s6126" style="position:absolute;left:9712;top:31344;width:302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ZPkwwAAAN4AAAAPAAAAZHJzL2Rvd25yZXYueG1sRE9Ni8Iw&#10;EL0L+x/CCHvTVA+iXaOIi9jDXtQKexyasa02k9BE291fbw6Cx8f7Xq5704gHtb62rGAyTkAQF1bX&#10;XCrIT7vRHIQPyBoby6TgjzysVx+DJabadnygxzGUIoawT1FBFYJLpfRFRQb92DriyF1sazBE2JZS&#10;t9jFcNPIaZLMpMGaY0OFjrYVFbfj3Sj4/WaX7TpZXP637ueazZv9PT8r9TnsN18gAvXhLX65M61g&#10;OlkkcW+8E6+AXD0BAAD//wMAUEsBAi0AFAAGAAgAAAAhANvh9svuAAAAhQEAABMAAAAAAAAAAAAA&#10;AAAAAAAAAFtDb250ZW50X1R5cGVzXS54bWxQSwECLQAUAAYACAAAACEAWvQsW78AAAAVAQAACwAA&#10;AAAAAAAAAAAAAAAfAQAAX3JlbHMvLnJlbHNQSwECLQAUAAYACAAAACEAAemT5MMAAADeAAAADwAA&#10;AAAAAAAAAAAAAAAHAgAAZHJzL2Rvd25yZXYueG1sUEsFBgAAAAADAAMAtwAAAPcCAAAAAA==&#10;" filled="f" stroked="f">
                  <v:textbox inset="0,0,0,0">
                    <w:txbxContent>
                      <w:p w14:paraId="00C4C1D6" w14:textId="77777777" w:rsidR="00B32EF2" w:rsidRDefault="00000000">
                        <w:r>
                          <w:rPr>
                            <w:rFonts w:ascii="Arial" w:eastAsia="Arial" w:hAnsi="Arial" w:cs="Arial"/>
                            <w:sz w:val="18"/>
                          </w:rPr>
                          <w:t>danno o indebito vantaggio a una delle parti;</w:t>
                        </w:r>
                      </w:p>
                    </w:txbxContent>
                  </v:textbox>
                </v:rect>
                <v:rect id="Rectangle 21909" o:spid="_x0000_s6127" style="position:absolute;left:-12202;top:30074;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TZ/xgAAAN4AAAAPAAAAZHJzL2Rvd25yZXYueG1sRI9Bi8Iw&#10;FITvC/6H8ARva6qHRatRRJHtYS+6Ch4fzbOtNi+hibburzeCsMdhZr5h5svO1OJOja8sKxgNExDE&#10;udUVFwoOv9vPCQgfkDXWlknBgzwsF72POabatryj+z4UIkLYp6igDMGlUvq8JIN+aB1x9M62MRii&#10;bAqpG2wj3NRynCRf0mDFcaFER+uS8uv+ZhScNuyybSvz89/a/VyySf19OxyVGvS71QxEoC78h9/t&#10;TCsYj6bJFF534hWQiycAAAD//wMAUEsBAi0AFAAGAAgAAAAhANvh9svuAAAAhQEAABMAAAAAAAAA&#10;AAAAAAAAAAAAAFtDb250ZW50X1R5cGVzXS54bWxQSwECLQAUAAYACAAAACEAWvQsW78AAAAVAQAA&#10;CwAAAAAAAAAAAAAAAAAfAQAAX3JlbHMvLnJlbHNQSwECLQAUAAYACAAAACEAbqU2f8YAAADeAAAA&#10;DwAAAAAAAAAAAAAAAAAHAgAAZHJzL2Rvd25yZXYueG1sUEsFBgAAAAADAAMAtwAAAPoCAAAAAA==&#10;" filled="f" stroked="f">
                  <v:textbox inset="0,0,0,0">
                    <w:txbxContent>
                      <w:p w14:paraId="7B449360" w14:textId="77777777" w:rsidR="00B32EF2" w:rsidRDefault="00000000">
                        <w:r>
                          <w:rPr>
                            <w:rFonts w:ascii="Arial" w:eastAsia="Arial" w:hAnsi="Arial" w:cs="Arial"/>
                            <w:sz w:val="18"/>
                          </w:rPr>
                          <w:t>b) la consapevole inosservanza dell’obbligo di astensione nei casi previsti dal</w:t>
                        </w:r>
                      </w:p>
                    </w:txbxContent>
                  </v:textbox>
                </v:rect>
                <v:rect id="Rectangle 21910" o:spid="_x0000_s6128" style="position:absolute;left:196;top:3007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gk/xQAAAN4AAAAPAAAAZHJzL2Rvd25yZXYueG1sRI/NisIw&#10;FIX3A75DuIK7Ma0LcapRRBG7mI2OgstLc22rzU1ooq3z9GYxMMvD+eNbrHrTiCe1vrasIB0nIIgL&#10;q2suFZx+dp8zED4ga2wsk4IXeVgtBx8LzLTt+EDPYyhFHGGfoYIqBJdJ6YuKDPqxdcTRu9rWYIiy&#10;LaVusYvjppGTJJlKgzXHhwodbSoq7seHUXDZsst3nSyuvxv3fctnzf5xOis1GvbrOYhAffgP/7Vz&#10;rWCSfqURIOJEFJDLNwAAAP//AwBQSwECLQAUAAYACAAAACEA2+H2y+4AAACFAQAAEwAAAAAAAAAA&#10;AAAAAAAAAAAAW0NvbnRlbnRfVHlwZXNdLnhtbFBLAQItABQABgAIAAAAIQBa9CxbvwAAABUBAAAL&#10;AAAAAAAAAAAAAAAAAB8BAABfcmVscy8ucmVsc1BLAQItABQABgAIAAAAIQB6Rgk/xQAAAN4AAAAP&#10;AAAAAAAAAAAAAAAAAAcCAABkcnMvZG93bnJldi54bWxQSwUGAAAAAAMAAwC3AAAA+QIAAAAA&#10;" filled="f" stroked="f">
                  <v:textbox inset="0,0,0,0">
                    <w:txbxContent>
                      <w:p w14:paraId="1B8A7DAF" w14:textId="77777777" w:rsidR="00B32EF2" w:rsidRDefault="00000000">
                        <w:r>
                          <w:rPr>
                            <w:rFonts w:ascii="Arial" w:eastAsia="Arial" w:hAnsi="Arial" w:cs="Arial"/>
                            <w:sz w:val="18"/>
                          </w:rPr>
                          <w:t>-</w:t>
                        </w:r>
                      </w:p>
                    </w:txbxContent>
                  </v:textbox>
                </v:rect>
                <v:rect id="Rectangle 21911" o:spid="_x0000_s6129" style="position:absolute;left:34137;top:28804;width:57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ykxgAAAN4AAAAPAAAAZHJzL2Rvd25yZXYueG1sRI9Ba8JA&#10;FITvQv/D8gredBMPYlNXEUXMoZfaCB4f2WeSmn27ZFeT+uvdQqHHYWa+YZbrwbTiTp1vLCtIpwkI&#10;4tLqhisFxdd+sgDhA7LG1jIp+CEP69XLaImZtj1/0v0YKhEh7DNUUIfgMil9WZNBP7WOOHoX2xkM&#10;UXaV1B32EW5aOUuSuTTYcFyo0dG2pvJ6vBkF5x27fN/L8vLYuo/vfNEebsVJqfHrsHkHEWgI/+G/&#10;dq4VzNK3NIXfO/EKyNUTAAD//wMAUEsBAi0AFAAGAAgAAAAhANvh9svuAAAAhQEAABMAAAAAAAAA&#10;AAAAAAAAAAAAAFtDb250ZW50X1R5cGVzXS54bWxQSwECLQAUAAYACAAAACEAWvQsW78AAAAVAQAA&#10;CwAAAAAAAAAAAAAAAAAfAQAAX3JlbHMvLnJlbHNQSwECLQAUAAYACAAAACEAFQqspMYAAADeAAAA&#10;DwAAAAAAAAAAAAAAAAAHAgAAZHJzL2Rvd25yZXYueG1sUEsFBgAAAAADAAMAtwAAAPoCAAAAAA==&#10;" filled="f" stroked="f">
                  <v:textbox inset="0,0,0,0">
                    <w:txbxContent>
                      <w:p w14:paraId="65036D3D" w14:textId="77777777" w:rsidR="00B32EF2" w:rsidRDefault="00000000">
                        <w:r>
                          <w:rPr>
                            <w:rFonts w:ascii="Arial" w:eastAsia="Arial" w:hAnsi="Arial" w:cs="Arial"/>
                            <w:sz w:val="18"/>
                          </w:rPr>
                          <w:t>la legge;</w:t>
                        </w:r>
                      </w:p>
                    </w:txbxContent>
                  </v:textbox>
                </v:rect>
                <v:rect id="Rectangle 21912" o:spid="_x0000_s6130" style="position:absolute;left:-13167;top:275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DLTxwAAAN4AAAAPAAAAZHJzL2Rvd25yZXYueG1sRI9Ba8JA&#10;FITvBf/D8oTe6iY5FBvdBFHEHHqptdDjI/tMotm3S3Y1aX99t1DocZiZb5h1OZle3GnwnWUF6SIB&#10;QVxb3XGj4PS+f1qC8AFZY2+ZFHyRh7KYPawx13bkN7ofQyMihH2OCtoQXC6lr1sy6BfWEUfvbAeD&#10;IcqhkXrAMcJNL7MkeZYGO44LLTratlRfjzej4HPHrtqPsj5/b93rpVr2h9vpQ6nH+bRZgQg0hf/w&#10;X7vSCrL0Jc3g9068ArL4AQAA//8DAFBLAQItABQABgAIAAAAIQDb4fbL7gAAAIUBAAATAAAAAAAA&#10;AAAAAAAAAAAAAABbQ29udGVudF9UeXBlc10ueG1sUEsBAi0AFAAGAAgAAAAhAFr0LFu/AAAAFQEA&#10;AAsAAAAAAAAAAAAAAAAAHwEAAF9yZWxzLy5yZWxzUEsBAi0AFAAGAAgAAAAhAOXYMtPHAAAA3gAA&#10;AA8AAAAAAAAAAAAAAAAABwIAAGRycy9kb3ducmV2LnhtbFBLBQYAAAAAAwADALcAAAD7AgAAAAA=&#10;" filled="f" stroked="f">
                  <v:textbox inset="0,0,0,0">
                    <w:txbxContent>
                      <w:p w14:paraId="64B8D530" w14:textId="77777777" w:rsidR="00B32EF2" w:rsidRDefault="00000000">
                        <w:r>
                          <w:rPr>
                            <w:rFonts w:ascii="Arial" w:eastAsia="Arial" w:hAnsi="Arial" w:cs="Arial"/>
                            <w:sz w:val="18"/>
                          </w:rPr>
                          <w:t xml:space="preserve">c) i comportamenti che, a causa dei rapporti comunque esistenti con i soggetti </w:t>
                        </w:r>
                      </w:p>
                    </w:txbxContent>
                  </v:textbox>
                </v:rect>
                <v:rect id="Rectangle 21913" o:spid="_x0000_s6131" style="position:absolute;left:-12200;top:26265;width:5212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JdIxwAAAN4AAAAPAAAAZHJzL2Rvd25yZXYueG1sRI9Pa8JA&#10;FMTvBb/D8gRvuokFsamriCLNoRf/FHp8ZJ9J2uzbJbua2E/vCkKPw8z8hlmsetOIK7W+tqwgnSQg&#10;iAuray4VnI678RyED8gaG8uk4EYeVsvBywIzbTve0/UQShEh7DNUUIXgMil9UZFBP7GOOHpn2xoM&#10;Ubal1C12EW4aOU2SmTRYc1yo0NGmouL3cDEKvrfs8l0ni/Pfxn3+5PPm43L6Umo07NfvIAL14T/8&#10;bOdawTR9S1/hcSdeAbm8AwAA//8DAFBLAQItABQABgAIAAAAIQDb4fbL7gAAAIUBAAATAAAAAAAA&#10;AAAAAAAAAAAAAABbQ29udGVudF9UeXBlc10ueG1sUEsBAi0AFAAGAAgAAAAhAFr0LFu/AAAAFQEA&#10;AAsAAAAAAAAAAAAAAAAAHwEAAF9yZWxzLy5yZWxzUEsBAi0AFAAGAAgAAAAhAIqUl0jHAAAA3gAA&#10;AA8AAAAAAAAAAAAAAAAABwIAAGRycy9kb3ducmV2LnhtbFBLBQYAAAAAAwADALcAAAD7AgAAAAA=&#10;" filled="f" stroked="f">
                  <v:textbox inset="0,0,0,0">
                    <w:txbxContent>
                      <w:p w14:paraId="65949596" w14:textId="77777777" w:rsidR="00B32EF2" w:rsidRDefault="00000000">
                        <w:r>
                          <w:rPr>
                            <w:rFonts w:ascii="Arial" w:eastAsia="Arial" w:hAnsi="Arial" w:cs="Arial"/>
                            <w:sz w:val="18"/>
                          </w:rPr>
                          <w:t>coinvolti nel procedimento ovvero a causa di avvenute interferenze, costitui</w:t>
                        </w:r>
                      </w:p>
                    </w:txbxContent>
                  </v:textbox>
                </v:rect>
                <v:rect id="Rectangle 21914" o:spid="_x0000_s6132" style="position:absolute;left:196;top:26265;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Q88xwAAAN4AAAAPAAAAZHJzL2Rvd25yZXYueG1sRI9Pa8JA&#10;FMTvBb/D8gRvuokUsamriCLNoRf/FHp8ZJ9J2uzbJbua2E/vCkKPw8z8hlmsetOIK7W+tqwgnSQg&#10;iAuray4VnI678RyED8gaG8uk4EYeVsvBywIzbTve0/UQShEh7DNUUIXgMil9UZFBP7GOOHpn2xoM&#10;Ubal1C12EW4aOU2SmTRYc1yo0NGmouL3cDEKvrfs8l0ni/Pfxn3+5PPm43L6Umo07NfvIAL14T/8&#10;bOdawTR9S1/hcSdeAbm8AwAA//8DAFBLAQItABQABgAIAAAAIQDb4fbL7gAAAIUBAAATAAAAAAAA&#10;AAAAAAAAAAAAAABbQ29udGVudF9UeXBlc10ueG1sUEsBAi0AFAAGAAgAAAAhAFr0LFu/AAAAFQEA&#10;AAsAAAAAAAAAAAAAAAAAHwEAAF9yZWxzLy5yZWxzUEsBAi0AFAAGAAgAAAAhAAV9DzzHAAAA3gAA&#10;AA8AAAAAAAAAAAAAAAAABwIAAGRycy9kb3ducmV2LnhtbFBLBQYAAAAAAwADALcAAAD7AgAAAAA=&#10;" filled="f" stroked="f">
                  <v:textbox inset="0,0,0,0">
                    <w:txbxContent>
                      <w:p w14:paraId="5583DEDE" w14:textId="77777777" w:rsidR="00B32EF2" w:rsidRDefault="00000000">
                        <w:r>
                          <w:rPr>
                            <w:rFonts w:ascii="Arial" w:eastAsia="Arial" w:hAnsi="Arial" w:cs="Arial"/>
                            <w:sz w:val="18"/>
                          </w:rPr>
                          <w:t>-</w:t>
                        </w:r>
                      </w:p>
                    </w:txbxContent>
                  </v:textbox>
                </v:rect>
                <v:rect id="Rectangle 21915" o:spid="_x0000_s6133" style="position:absolute;left:10672;top:24995;width:292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aqnxwAAAN4AAAAPAAAAZHJzL2Rvd25yZXYueG1sRI9Pa8JA&#10;FMTvBb/D8gRvuolQsamriCLNoRf/FHp8ZJ9J2uzbJbua2E/vCkKPw8z8hlmsetOIK7W+tqwgnSQg&#10;iAuray4VnI678RyED8gaG8uk4EYeVsvBywIzbTve0/UQShEh7DNUUIXgMil9UZFBP7GOOHpn2xoM&#10;Ubal1C12EW4aOU2SmTRYc1yo0NGmouL3cDEKvrfs8l0ni/Pfxn3+5PPm43L6Umo07NfvIAL14T/8&#10;bOdawTR9S1/hcSdeAbm8AwAA//8DAFBLAQItABQABgAIAAAAIQDb4fbL7gAAAIUBAAATAAAAAAAA&#10;AAAAAAAAAAAAAABbQ29udGVudF9UeXBlc10ueG1sUEsBAi0AFAAGAAgAAAAhAFr0LFu/AAAAFQEA&#10;AAsAAAAAAAAAAAAAAAAAHwEAAF9yZWxzLy5yZWxzUEsBAi0AFAAGAAgAAAAhAGoxqqfHAAAA3gAA&#10;AA8AAAAAAAAAAAAAAAAABwIAAGRycy9kb3ducmV2LnhtbFBLBQYAAAAAAwADALcAAAD7AgAAAAA=&#10;" filled="f" stroked="f">
                  <v:textbox inset="0,0,0,0">
                    <w:txbxContent>
                      <w:p w14:paraId="7584586A" w14:textId="77777777" w:rsidR="00B32EF2" w:rsidRDefault="00000000">
                        <w:r>
                          <w:rPr>
                            <w:rFonts w:ascii="Arial" w:eastAsia="Arial" w:hAnsi="Arial" w:cs="Arial"/>
                            <w:sz w:val="18"/>
                          </w:rPr>
                          <w:t>scano violazione del dovere di imparzialità;</w:t>
                        </w:r>
                      </w:p>
                    </w:txbxContent>
                  </v:textbox>
                </v:rect>
                <v:rect id="Rectangle 21916" o:spid="_x0000_s6134" style="position:absolute;left:-12285;top:23725;width:522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zTQxgAAAN4AAAAPAAAAZHJzL2Rvd25yZXYueG1sRI9Ba8JA&#10;FITvBf/D8gRvdRMPYlNXEUXMwYtWocdH9pmkzb5dsquJ/fVdQfA4zMw3zHzZm0bcqPW1ZQXpOAFB&#10;XFhdc6ng9LV9n4HwAVljY5kU3MnDcjF4m2OmbccHuh1DKSKEfYYKqhBcJqUvKjLox9YRR+9iW4Mh&#10;yraUusUuwk0jJ0kylQZrjgsVOlpXVPwer0bB94Zdvu1kcflbu/1PPmt219NZqdGwX32CCNSHV/jZ&#10;zrWCSfqRTuFxJ14BufgHAAD//wMAUEsBAi0AFAAGAAgAAAAhANvh9svuAAAAhQEAABMAAAAAAAAA&#10;AAAAAAAAAAAAAFtDb250ZW50X1R5cGVzXS54bWxQSwECLQAUAAYACAAAACEAWvQsW78AAAAVAQAA&#10;CwAAAAAAAAAAAAAAAAAfAQAAX3JlbHMvLnJlbHNQSwECLQAUAAYACAAAACEAmuM00MYAAADeAAAA&#10;DwAAAAAAAAAAAAAAAAAHAgAAZHJzL2Rvd25yZXYueG1sUEsFBgAAAAADAAMAtwAAAPoCAAAAAA==&#10;" filled="f" stroked="f">
                  <v:textbox inset="0,0,0,0">
                    <w:txbxContent>
                      <w:p w14:paraId="5EDFB7A0" w14:textId="77777777" w:rsidR="00B32EF2" w:rsidRDefault="00000000">
                        <w:r>
                          <w:rPr>
                            <w:rFonts w:ascii="Arial" w:eastAsia="Arial" w:hAnsi="Arial" w:cs="Arial"/>
                            <w:sz w:val="18"/>
                          </w:rPr>
                          <w:t>d) i comportamenti abitualmente o gravemente scorretti nei confronti delle par</w:t>
                        </w:r>
                      </w:p>
                    </w:txbxContent>
                  </v:textbox>
                </v:rect>
                <v:rect id="Rectangle 21917" o:spid="_x0000_s6135" style="position:absolute;left:196;top:2372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5FLxwAAAN4AAAAPAAAAZHJzL2Rvd25yZXYueG1sRI9Pa8JA&#10;FMTvBb/D8gRvuomHalNXEUWaQy/+KfT4yD6TtNm3S3Y1sZ/eFYQeh5n5DbNY9aYRV2p9bVlBOklA&#10;EBdW11wqOB134zkIH5A1NpZJwY08rJaDlwVm2na8p+shlCJC2GeooArBZVL6oiKDfmIdcfTOtjUY&#10;omxLqVvsItw0cpokr9JgzXGhQkebiorfw8Uo+N6yy3edLM5/G/f5k8+bj8vpS6nRsF+/gwjUh//w&#10;s51rBdP0LZ3B4068AnJ5BwAA//8DAFBLAQItABQABgAIAAAAIQDb4fbL7gAAAIUBAAATAAAAAAAA&#10;AAAAAAAAAAAAAABbQ29udGVudF9UeXBlc10ueG1sUEsBAi0AFAAGAAgAAAAhAFr0LFu/AAAAFQEA&#10;AAsAAAAAAAAAAAAAAAAAHwEAAF9yZWxzLy5yZWxzUEsBAi0AFAAGAAgAAAAhAPWvkUvHAAAA3gAA&#10;AA8AAAAAAAAAAAAAAAAABwIAAGRycy9kb3ducmV2LnhtbFBLBQYAAAAAAwADALcAAAD7AgAAAAA=&#10;" filled="f" stroked="f">
                  <v:textbox inset="0,0,0,0">
                    <w:txbxContent>
                      <w:p w14:paraId="226F0B55" w14:textId="77777777" w:rsidR="00B32EF2" w:rsidRDefault="00000000">
                        <w:r>
                          <w:rPr>
                            <w:rFonts w:ascii="Arial" w:eastAsia="Arial" w:hAnsi="Arial" w:cs="Arial"/>
                            <w:sz w:val="18"/>
                          </w:rPr>
                          <w:t>-</w:t>
                        </w:r>
                      </w:p>
                    </w:txbxContent>
                  </v:textbox>
                </v:rect>
                <v:rect id="Rectangle 21918" o:spid="_x0000_s6136" style="position:absolute;left:-13158;top:22455;width:530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AU5wwAAAN4AAAAPAAAAZHJzL2Rvd25yZXYueG1sRE9Ni8Iw&#10;EL0v+B/CCN7WtB7ErUYRRexhL7oKHodmbKvNJDTR1v315rCwx8f7Xqx604gntb62rCAdJyCIC6tr&#10;LhWcfnafMxA+IGtsLJOCF3lYLQcfC8y07fhAz2MoRQxhn6GCKgSXSemLigz6sXXEkbva1mCIsC2l&#10;brGL4aaRkySZSoM1x4YKHW0qKu7Hh1Fw2bLLd50srr8b933LZ83+cTorNRr26zmIQH34F/+5c61g&#10;kn6lcW+8E6+AXL4BAAD//wMAUEsBAi0AFAAGAAgAAAAhANvh9svuAAAAhQEAABMAAAAAAAAAAAAA&#10;AAAAAAAAAFtDb250ZW50X1R5cGVzXS54bWxQSwECLQAUAAYACAAAACEAWvQsW78AAAAVAQAACwAA&#10;AAAAAAAAAAAAAAAfAQAAX3JlbHMvLnJlbHNQSwECLQAUAAYACAAAACEAhDAFOcMAAADeAAAADwAA&#10;AAAAAAAAAAAAAAAHAgAAZHJzL2Rvd25yZXYueG1sUEsFBgAAAAADAAMAtwAAAPcCAAAAAA==&#10;" filled="f" stroked="f">
                  <v:textbox inset="0,0,0,0">
                    <w:txbxContent>
                      <w:p w14:paraId="754670B5" w14:textId="77777777" w:rsidR="00B32EF2" w:rsidRDefault="00000000">
                        <w:r>
                          <w:rPr>
                            <w:rFonts w:ascii="Arial" w:eastAsia="Arial" w:hAnsi="Arial" w:cs="Arial"/>
                            <w:sz w:val="18"/>
                          </w:rPr>
                          <w:t xml:space="preserve">ti, dei loro difensori, o di chiunque abbia rapporti con il giudice nell’ambito della </w:t>
                        </w:r>
                      </w:p>
                    </w:txbxContent>
                  </v:textbox>
                </v:rect>
                <v:rect id="Rectangle 21919" o:spid="_x0000_s6137" style="position:absolute;left:-13167;top:2118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KCixgAAAN4AAAAPAAAAZHJzL2Rvd25yZXYueG1sRI9Ba8JA&#10;FITvBf/D8gRvdRMPRaOriCLNwUutgsdH9plEs2+X7Gqiv75bKPQ4zMw3zGLVm0Y8qPW1ZQXpOAFB&#10;XFhdc6ng+L17n4LwAVljY5kUPMnDajl4W2Cmbcdf9DiEUkQI+wwVVCG4TEpfVGTQj60jjt7FtgZD&#10;lG0pdYtdhJtGTpLkQxqsOS5U6GhTUXE73I2C85ZdvutkcXlt3P6aT5vP+/Gk1GjYr+cgAvXhP/zX&#10;zrWCSTpLZ/B7J14BufwBAAD//wMAUEsBAi0AFAAGAAgAAAAhANvh9svuAAAAhQEAABMAAAAAAAAA&#10;AAAAAAAAAAAAAFtDb250ZW50X1R5cGVzXS54bWxQSwECLQAUAAYACAAAACEAWvQsW78AAAAVAQAA&#10;CwAAAAAAAAAAAAAAAAAfAQAAX3JlbHMvLnJlbHNQSwECLQAUAAYACAAAACEA63ygosYAAADeAAAA&#10;DwAAAAAAAAAAAAAAAAAHAgAAZHJzL2Rvd25yZXYueG1sUEsFBgAAAAADAAMAtwAAAPoCAAAAAA==&#10;" filled="f" stroked="f">
                  <v:textbox inset="0,0,0,0">
                    <w:txbxContent>
                      <w:p w14:paraId="1199448C" w14:textId="77777777" w:rsidR="00B32EF2" w:rsidRDefault="00000000">
                        <w:r>
                          <w:rPr>
                            <w:rFonts w:ascii="Arial" w:eastAsia="Arial" w:hAnsi="Arial" w:cs="Arial"/>
                            <w:sz w:val="18"/>
                          </w:rPr>
                          <w:t xml:space="preserve">corte di giustizia tributaria di primo e secondo grado, ovvero nei confronti di </w:t>
                        </w:r>
                      </w:p>
                    </w:txbxContent>
                  </v:textbox>
                </v:rect>
                <v:rect id="Rectangle 21920" o:spid="_x0000_s6138" style="position:absolute;left:20465;top:19915;width:194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sOCxQAAAN4AAAAPAAAAZHJzL2Rvd25yZXYueG1sRI/NisIw&#10;FIX3A75DuIK7MbULcapRRBG7mI2OgstLc22rzU1ooq3z9GYxMMvD+eNbrHrTiCe1vrasYDJOQBAX&#10;VtdcKjj97D5nIHxA1thYJgUv8rBaDj4WmGnb8YGex1CKOMI+QwVVCC6T0hcVGfRj64ijd7WtwRBl&#10;W0rdYhfHTSPTJJlKgzXHhwodbSoq7seHUXDZsst3nSyuvxv3fctnzf5xOis1GvbrOYhAffgP/7Vz&#10;rSCdfKURIOJEFJDLNwAAAP//AwBQSwECLQAUAAYACAAAACEA2+H2y+4AAACFAQAAEwAAAAAAAAAA&#10;AAAAAAAAAAAAW0NvbnRlbnRfVHlwZXNdLnhtbFBLAQItABQABgAIAAAAIQBa9CxbvwAAABUBAAAL&#10;AAAAAAAAAAAAAAAAAB8BAABfcmVscy8ucmVsc1BLAQItABQABgAIAAAAIQC0KsOCxQAAAN4AAAAP&#10;AAAAAAAAAAAAAAAAAAcCAABkcnMvZG93bnJldi54bWxQSwUGAAAAAAMAAwC3AAAA+QIAAAAA&#10;" filled="f" stroked="f">
                  <v:textbox inset="0,0,0,0">
                    <w:txbxContent>
                      <w:p w14:paraId="2D6ECF7D" w14:textId="77777777" w:rsidR="00B32EF2" w:rsidRDefault="00000000">
                        <w:r>
                          <w:rPr>
                            <w:rFonts w:ascii="Arial" w:eastAsia="Arial" w:hAnsi="Arial" w:cs="Arial"/>
                            <w:sz w:val="18"/>
                          </w:rPr>
                          <w:t>altri giudici o di collaboratori;</w:t>
                        </w:r>
                      </w:p>
                    </w:txbxContent>
                  </v:textbox>
                </v:rect>
                <v:rect id="Rectangle 21921" o:spid="_x0000_s6139" style="position:absolute;left:-5306;top:18645;width:452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mYZxwAAAN4AAAAPAAAAZHJzL2Rvd25yZXYueG1sRI9Ba8JA&#10;FITvBf/D8oTe6iY5FBvdBFHEHHqptdDjI/tMotm3S3Y1aX99t1DocZiZb5h1OZle3GnwnWUF6SIB&#10;QVxb3XGj4PS+f1qC8AFZY2+ZFHyRh7KYPawx13bkN7ofQyMihH2OCtoQXC6lr1sy6BfWEUfvbAeD&#10;IcqhkXrAMcJNL7MkeZYGO44LLTratlRfjzej4HPHrtqPsj5/b93rpVr2h9vpQ6nH+bRZgQg0hf/w&#10;X7vSCrL0JUvh9068ArL4AQAA//8DAFBLAQItABQABgAIAAAAIQDb4fbL7gAAAIUBAAATAAAAAAAA&#10;AAAAAAAAAAAAAABbQ29udGVudF9UeXBlc10ueG1sUEsBAi0AFAAGAAgAAAAhAFr0LFu/AAAAFQEA&#10;AAsAAAAAAAAAAAAAAAAAHwEAAF9yZWxzLy5yZWxzUEsBAi0AFAAGAAgAAAAhANtmZhnHAAAA3gAA&#10;AA8AAAAAAAAAAAAAAAAABwIAAGRycy9kb3ducmV2LnhtbFBLBQYAAAAAAwADALcAAAD7AgAAAAA=&#10;" filled="f" stroked="f">
                  <v:textbox inset="0,0,0,0">
                    <w:txbxContent>
                      <w:p w14:paraId="10D7788E" w14:textId="77777777" w:rsidR="00B32EF2" w:rsidRDefault="00000000">
                        <w:r>
                          <w:rPr>
                            <w:rFonts w:ascii="Arial" w:eastAsia="Arial" w:hAnsi="Arial" w:cs="Arial"/>
                            <w:sz w:val="18"/>
                          </w:rPr>
                          <w:t>e) l’ingiustificata interferenza nell’attività giudiziaria di altro giudice;</w:t>
                        </w:r>
                      </w:p>
                    </w:txbxContent>
                  </v:textbox>
                </v:rect>
                <v:rect id="Rectangle 21922" o:spid="_x0000_s6140" style="position:absolute;left:-13167;top:1737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PhuxgAAAN4AAAAPAAAAZHJzL2Rvd25yZXYueG1sRI9Ba8JA&#10;FITvBf/D8gRvdWMOotFVRBFz6KVqocdH9plEs2+X7GrS/vpuQfA4zMw3zHLdm0Y8qPW1ZQWTcQKC&#10;uLC65lLB+bR/n4HwAVljY5kU/JCH9WrwtsRM244/6XEMpYgQ9hkqqEJwmZS+qMigH1tHHL2LbQ2G&#10;KNtS6ha7CDeNTJNkKg3WHBcqdLStqLgd70bB945dvu9kcfnduo9rPmsO9/OXUqNhv1mACNSHV/jZ&#10;zrWCdDJPU/i/E6+AXP0BAAD//wMAUEsBAi0AFAAGAAgAAAAhANvh9svuAAAAhQEAABMAAAAAAAAA&#10;AAAAAAAAAAAAAFtDb250ZW50X1R5cGVzXS54bWxQSwECLQAUAAYACAAAACEAWvQsW78AAAAVAQAA&#10;CwAAAAAAAAAAAAAAAAAfAQAAX3JlbHMvLnJlbHNQSwECLQAUAAYACAAAACEAK7T4bsYAAADeAAAA&#10;DwAAAAAAAAAAAAAAAAAHAgAAZHJzL2Rvd25yZXYueG1sUEsFBgAAAAADAAMAtwAAAPoCAAAAAA==&#10;" filled="f" stroked="f">
                  <v:textbox inset="0,0,0,0">
                    <w:txbxContent>
                      <w:p w14:paraId="584EA8E3" w14:textId="77777777" w:rsidR="00B32EF2" w:rsidRDefault="00000000">
                        <w:r>
                          <w:rPr>
                            <w:rFonts w:ascii="Arial" w:eastAsia="Arial" w:hAnsi="Arial" w:cs="Arial"/>
                            <w:sz w:val="18"/>
                          </w:rPr>
                          <w:t xml:space="preserve">f) l’omessa comunicazione al presidente della corte di giustizia tributaria di </w:t>
                        </w:r>
                      </w:p>
                    </w:txbxContent>
                  </v:textbox>
                </v:rect>
                <v:rect id="Rectangle 21923" o:spid="_x0000_s6141" style="position:absolute;left:-12285;top:16106;width:522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31xwAAAN4AAAAPAAAAZHJzL2Rvd25yZXYueG1sRI9Pa8JA&#10;FMTvhX6H5Qm96cYURFNXEYs0By/1D/T4yD6TaPbtkl1N6qd3C0KPw8z8hpkve9OIG7W+tqxgPEpA&#10;EBdW11wqOOw3wykIH5A1NpZJwS95WC5eX+aYadvxN912oRQRwj5DBVUILpPSFxUZ9CPriKN3sq3B&#10;EGVbSt1iF+GmkWmSTKTBmuNChY7WFRWX3dUo+Plkl286WZzua7c959Pm63o4KvU26FcfIAL14T/8&#10;bOdaQTqepe/wdydeAbl4AAAA//8DAFBLAQItABQABgAIAAAAIQDb4fbL7gAAAIUBAAATAAAAAAAA&#10;AAAAAAAAAAAAAABbQ29udGVudF9UeXBlc10ueG1sUEsBAi0AFAAGAAgAAAAhAFr0LFu/AAAAFQEA&#10;AAsAAAAAAAAAAAAAAAAAHwEAAF9yZWxzLy5yZWxzUEsBAi0AFAAGAAgAAAAhAET4XfXHAAAA3gAA&#10;AA8AAAAAAAAAAAAAAAAABwIAAGRycy9kb3ducmV2LnhtbFBLBQYAAAAAAwADALcAAAD7AgAAAAA=&#10;" filled="f" stroked="f">
                  <v:textbox inset="0,0,0,0">
                    <w:txbxContent>
                      <w:p w14:paraId="3024ECC7" w14:textId="77777777" w:rsidR="00B32EF2" w:rsidRDefault="00000000">
                        <w:r>
                          <w:rPr>
                            <w:rFonts w:ascii="Arial" w:eastAsia="Arial" w:hAnsi="Arial" w:cs="Arial"/>
                            <w:sz w:val="18"/>
                          </w:rPr>
                          <w:t>primo e secondo grado da parte del giudice destinatario delle avvenute inter</w:t>
                        </w:r>
                      </w:p>
                    </w:txbxContent>
                  </v:textbox>
                </v:rect>
                <v:rect id="Rectangle 21924" o:spid="_x0000_s6142" style="position:absolute;left:196;top:16106;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cWBxwAAAN4AAAAPAAAAZHJzL2Rvd25yZXYueG1sRI9Pa8JA&#10;FMTvhX6H5Qm96cZQRFNXEYs0By/1D/T4yD6TaPbtkl1N6qd3C0KPw8z8hpkve9OIG7W+tqxgPEpA&#10;EBdW11wqOOw3wykIH5A1NpZJwS95WC5eX+aYadvxN912oRQRwj5DBVUILpPSFxUZ9CPriKN3sq3B&#10;EGVbSt1iF+GmkWmSTKTBmuNChY7WFRWX3dUo+Plkl286WZzua7c959Pm63o4KvU26FcfIAL14T/8&#10;bOdaQTqepe/wdydeAbl4AAAA//8DAFBLAQItABQABgAIAAAAIQDb4fbL7gAAAIUBAAATAAAAAAAA&#10;AAAAAAAAAAAAAABbQ29udGVudF9UeXBlc10ueG1sUEsBAi0AFAAGAAgAAAAhAFr0LFu/AAAAFQEA&#10;AAsAAAAAAAAAAAAAAAAAHwEAAF9yZWxzLy5yZWxzUEsBAi0AFAAGAAgAAAAhAMsRxYHHAAAA3gAA&#10;AA8AAAAAAAAAAAAAAAAABwIAAGRycy9kb3ducmV2LnhtbFBLBQYAAAAAAwADALcAAAD7AgAAAAA=&#10;" filled="f" stroked="f">
                  <v:textbox inset="0,0,0,0">
                    <w:txbxContent>
                      <w:p w14:paraId="6E518031" w14:textId="77777777" w:rsidR="00B32EF2" w:rsidRDefault="00000000">
                        <w:r>
                          <w:rPr>
                            <w:rFonts w:ascii="Arial" w:eastAsia="Arial" w:hAnsi="Arial" w:cs="Arial"/>
                            <w:sz w:val="18"/>
                          </w:rPr>
                          <w:t>-</w:t>
                        </w:r>
                      </w:p>
                    </w:txbxContent>
                  </v:textbox>
                </v:rect>
                <v:rect id="Rectangle 21925" o:spid="_x0000_s6143" style="position:absolute;left:34424;top:14836;width:54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WAaxwAAAN4AAAAPAAAAZHJzL2Rvd25yZXYueG1sRI9Pa8JA&#10;FMTvhX6H5Qm96cZARVNXEYs0By/1D/T4yD6TaPbtkl1N6qd3C0KPw8z8hpkve9OIG7W+tqxgPEpA&#10;EBdW11wqOOw3wykIH5A1NpZJwS95WC5eX+aYadvxN912oRQRwj5DBVUILpPSFxUZ9CPriKN3sq3B&#10;EGVbSt1iF+GmkWmSTKTBmuNChY7WFRWX3dUo+Plkl286WZzua7c959Pm63o4KvU26FcfIAL14T/8&#10;bOdaQTqepe/wdydeAbl4AAAA//8DAFBLAQItABQABgAIAAAAIQDb4fbL7gAAAIUBAAATAAAAAAAA&#10;AAAAAAAAAAAAAABbQ29udGVudF9UeXBlc10ueG1sUEsBAi0AFAAGAAgAAAAhAFr0LFu/AAAAFQEA&#10;AAsAAAAAAAAAAAAAAAAAHwEAAF9yZWxzLy5yZWxzUEsBAi0AFAAGAAgAAAAhAKRdYBrHAAAA3gAA&#10;AA8AAAAAAAAAAAAAAAAABwIAAGRycy9kb3ducmV2LnhtbFBLBQYAAAAAAwADALcAAAD7AgAAAAA=&#10;" filled="f" stroked="f">
                  <v:textbox inset="0,0,0,0">
                    <w:txbxContent>
                      <w:p w14:paraId="3C2FFBE1" w14:textId="77777777" w:rsidR="00B32EF2" w:rsidRDefault="00000000">
                        <w:r>
                          <w:rPr>
                            <w:rFonts w:ascii="Arial" w:eastAsia="Arial" w:hAnsi="Arial" w:cs="Arial"/>
                            <w:sz w:val="18"/>
                          </w:rPr>
                          <w:t>ferenze;</w:t>
                        </w:r>
                      </w:p>
                    </w:txbxContent>
                  </v:textbox>
                </v:rect>
                <v:rect id="Rectangle 21926" o:spid="_x0000_s6144" style="position:absolute;left:3941;top:13566;width:359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5txwAAAN4AAAAPAAAAZHJzL2Rvd25yZXYueG1sRI/NasMw&#10;EITvhbyD2EJvjRwfQupEDiUh1IdemjqQ42Ktf1prJSwldvP0UaHQ4zAz3zCb7WR6caXBd5YVLOYJ&#10;COLK6o4bBeXn4XkFwgdkjb1lUvBDHrb57GGDmbYjf9D1GBoRIewzVNCG4DIpfdWSQT+3jjh6tR0M&#10;hiiHRuoBxwg3vUyTZCkNdhwXWnS0a6n6Pl6MgvOeXXEYZVXfdu79q1j1b5fypNTT4/S6BhFoCv/h&#10;v3ahFaSLl3QJv3fiFZD5HQAA//8DAFBLAQItABQABgAIAAAAIQDb4fbL7gAAAIUBAAATAAAAAAAA&#10;AAAAAAAAAAAAAABbQ29udGVudF9UeXBlc10ueG1sUEsBAi0AFAAGAAgAAAAhAFr0LFu/AAAAFQEA&#10;AAsAAAAAAAAAAAAAAAAAHwEAAF9yZWxzLy5yZWxzUEsBAi0AFAAGAAgAAAAhAFSP/m3HAAAA3gAA&#10;AA8AAAAAAAAAAAAAAAAABwIAAGRycy9kb3ducmV2LnhtbFBLBQYAAAAAAwADALcAAAD7AgAAAAA=&#10;" filled="f" stroked="f">
                  <v:textbox inset="0,0,0,0">
                    <w:txbxContent>
                      <w:p w14:paraId="542206E2" w14:textId="77777777" w:rsidR="00B32EF2" w:rsidRDefault="00000000">
                        <w:r>
                          <w:rPr>
                            <w:rFonts w:ascii="Arial" w:eastAsia="Arial" w:hAnsi="Arial" w:cs="Arial"/>
                            <w:sz w:val="18"/>
                          </w:rPr>
                          <w:t>g) il perseguimento di fini diversi da quelli di giustizia;</w:t>
                        </w:r>
                      </w:p>
                    </w:txbxContent>
                  </v:textbox>
                </v:rect>
                <v:rect id="Rectangle 21927" o:spid="_x0000_s6145" style="position:absolute;left:15863;top:12296;width:240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1v2xwAAAN4AAAAPAAAAZHJzL2Rvd25yZXYueG1sRI9Pa8JA&#10;FMTvhX6H5Qm96cYcqqauIhZpDl7qH+jxkX0m0ezbJbua1E/vFoQeh5n5DTNf9qYRN2p9bVnBeJSA&#10;IC6srrlUcNhvhlMQPiBrbCyTgl/ysFy8vswx07bjb7rtQikihH2GCqoQXCalLyoy6EfWEUfvZFuD&#10;Icq2lLrFLsJNI9MkeZcGa44LFTpaV1Rcdlej4OeTXb7pZHG6r932nE+br+vhqNTboF99gAjUh//w&#10;s51rBel4lk7g7068AnLxAAAA//8DAFBLAQItABQABgAIAAAAIQDb4fbL7gAAAIUBAAATAAAAAAAA&#10;AAAAAAAAAAAAAABbQ29udGVudF9UeXBlc10ueG1sUEsBAi0AFAAGAAgAAAAhAFr0LFu/AAAAFQEA&#10;AAsAAAAAAAAAAAAAAAAAHwEAAF9yZWxzLy5yZWxzUEsBAi0AFAAGAAgAAAAhADvDW/bHAAAA3gAA&#10;AA8AAAAAAAAAAAAAAAAABwIAAGRycy9kb3ducmV2LnhtbFBLBQYAAAAAAwADALcAAAD7AgAAAAA=&#10;" filled="f" stroked="f">
                  <v:textbox inset="0,0,0,0">
                    <w:txbxContent>
                      <w:p w14:paraId="100B10A6" w14:textId="77777777" w:rsidR="00B32EF2" w:rsidRDefault="00000000">
                        <w:r>
                          <w:rPr>
                            <w:rFonts w:ascii="Arial" w:eastAsia="Arial" w:hAnsi="Arial" w:cs="Arial"/>
                            <w:sz w:val="18"/>
                          </w:rPr>
                          <w:t>h) la scarsa laboriosità, se abituale;</w:t>
                        </w:r>
                      </w:p>
                    </w:txbxContent>
                  </v:textbox>
                </v:rect>
                <v:rect id="Rectangle 21928" o:spid="_x0000_s6146" style="position:absolute;left:503;top:11026;width:394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M+EwwAAAN4AAAAPAAAAZHJzL2Rvd25yZXYueG1sRE9Ni8Iw&#10;EL0v+B/CCN7W1B7ErUYRRexhL7oKHodmbKvNJDTR1v315rCwx8f7Xqx604gntb62rGAyTkAQF1bX&#10;XCo4/ew+ZyB8QNbYWCYFL/KwWg4+Fphp2/GBnsdQihjCPkMFVQguk9IXFRn0Y+uII3e1rcEQYVtK&#10;3WIXw00j0ySZSoM1x4YKHW0qKu7Hh1Fw2bLLd50srr8b933LZ83+cTorNRr26zmIQH34F/+5c60g&#10;nXylcW+8E6+AXL4BAAD//wMAUEsBAi0AFAAGAAgAAAAhANvh9svuAAAAhQEAABMAAAAAAAAAAAAA&#10;AAAAAAAAAFtDb250ZW50X1R5cGVzXS54bWxQSwECLQAUAAYACAAAACEAWvQsW78AAAAVAQAACwAA&#10;AAAAAAAAAAAAAAAfAQAAX3JlbHMvLnJlbHNQSwECLQAUAAYACAAAACEASlzPhMMAAADeAAAADwAA&#10;AAAAAAAAAAAAAAAHAgAAZHJzL2Rvd25yZXYueG1sUEsFBgAAAAADAAMAtwAAAPcCAAAAAA==&#10;" filled="f" stroked="f">
                  <v:textbox inset="0,0,0,0">
                    <w:txbxContent>
                      <w:p w14:paraId="42C3378E" w14:textId="77777777" w:rsidR="00B32EF2" w:rsidRDefault="00000000">
                        <w:r>
                          <w:rPr>
                            <w:rFonts w:ascii="Arial" w:eastAsia="Arial" w:hAnsi="Arial" w:cs="Arial"/>
                            <w:sz w:val="18"/>
                          </w:rPr>
                          <w:t>i) la grave o abituale violazione del dovere di riservatezza;</w:t>
                        </w:r>
                      </w:p>
                    </w:txbxContent>
                  </v:textbox>
                </v:rect>
                <v:rect id="Rectangle 21929" o:spid="_x0000_s6147" style="position:absolute;left:-12427;top:9756;width:523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GofxwAAAN4AAAAPAAAAZHJzL2Rvd25yZXYueG1sRI/NasMw&#10;EITvhbyD2EJvjRwfQuJEDiUhxIdemjqQ42Ktf1prJSwldvv0VaHQ4zAz3zDb3WR6cafBd5YVLOYJ&#10;COLK6o4bBeX78XkFwgdkjb1lUvBFHnb57GGLmbYjv9H9HBoRIewzVNCG4DIpfdWSQT+3jjh6tR0M&#10;hiiHRuoBxwg3vUyTZCkNdhwXWnS0b6n6PN+MguuBXXEcZVV/793rR7HqT7fyotTT4/SyARFoCv/h&#10;v3ahFaSLdbqG3zvxCsj8BwAA//8DAFBLAQItABQABgAIAAAAIQDb4fbL7gAAAIUBAAATAAAAAAAA&#10;AAAAAAAAAAAAAABbQ29udGVudF9UeXBlc10ueG1sUEsBAi0AFAAGAAgAAAAhAFr0LFu/AAAAFQEA&#10;AAsAAAAAAAAAAAAAAAAAHwEAAF9yZWxzLy5yZWxzUEsBAi0AFAAGAAgAAAAhACUQah/HAAAA3gAA&#10;AA8AAAAAAAAAAAAAAAAABwIAAGRycy9kb3ducmV2LnhtbFBLBQYAAAAAAwADALcAAAD7AgAAAAA=&#10;" filled="f" stroked="f">
                  <v:textbox inset="0,0,0,0">
                    <w:txbxContent>
                      <w:p w14:paraId="1CF6A001" w14:textId="77777777" w:rsidR="00B32EF2" w:rsidRDefault="00000000">
                        <w:r>
                          <w:rPr>
                            <w:rFonts w:ascii="Arial" w:eastAsia="Arial" w:hAnsi="Arial" w:cs="Arial"/>
                            <w:sz w:val="18"/>
                          </w:rPr>
                          <w:t>l) l’uso della qualità di giudice tributario al fine di conseguire vantaggi ingiusti;</w:t>
                        </w:r>
                      </w:p>
                    </w:txbxContent>
                  </v:textbox>
                </v:rect>
                <v:rect id="Rectangle 21930" o:spid="_x0000_s6148" style="position:absolute;left:-12182;top:8486;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1VfxgAAAN4AAAAPAAAAZHJzL2Rvd25yZXYueG1sRI/LasJA&#10;FIb3Bd9hOEJ3daKFkqaOIoqYRTdNFVweMsckNXNmyEwu7dN3FoUuf/4b33o7mVYM1PnGsoLlIgFB&#10;XFrdcKXg/Hl8SkH4gKyxtUwKvsnDdjN7WGOm7cgfNBShEnGEfYYK6hBcJqUvazLoF9YRR+9mO4Mh&#10;yq6SusMxjptWrpLkRRpsOD7U6GhfU3kveqPgemCXH0dZ3n727v0rT9tTf74o9Tifdm8gAk3hP/zX&#10;zrWC1fL1OQJEnIgCcvMLAAD//wMAUEsBAi0AFAAGAAgAAAAhANvh9svuAAAAhQEAABMAAAAAAAAA&#10;AAAAAAAAAAAAAFtDb250ZW50X1R5cGVzXS54bWxQSwECLQAUAAYACAAAACEAWvQsW78AAAAVAQAA&#10;CwAAAAAAAAAAAAAAAAAfAQAAX3JlbHMvLnJlbHNQSwECLQAUAAYACAAAACEAMfNVX8YAAADeAAAA&#10;DwAAAAAAAAAAAAAAAAAHAgAAZHJzL2Rvd25yZXYueG1sUEsFBgAAAAADAAMAtwAAAPoCAAAAAA==&#10;" filled="f" stroked="f">
                  <v:textbox inset="0,0,0,0">
                    <w:txbxContent>
                      <w:p w14:paraId="08B79FF2" w14:textId="77777777" w:rsidR="00B32EF2" w:rsidRDefault="00000000">
                        <w:r>
                          <w:rPr>
                            <w:rFonts w:ascii="Arial" w:eastAsia="Arial" w:hAnsi="Arial" w:cs="Arial"/>
                            <w:sz w:val="18"/>
                          </w:rPr>
                          <w:t>m) la reiterata e grave inosservanza delle norme regolamentari o delle dispo</w:t>
                        </w:r>
                      </w:p>
                    </w:txbxContent>
                  </v:textbox>
                </v:rect>
                <v:rect id="Rectangle 21931" o:spid="_x0000_s6149" style="position:absolute;left:196;top:848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DExwAAAN4AAAAPAAAAZHJzL2Rvd25yZXYueG1sRI9Pa8JA&#10;FMTvBb/D8gRvuokFsamriCLNoRf/FHp8ZJ9J2uzbJbua2E/vCkKPw8z8hlmsetOIK7W+tqwgnSQg&#10;iAuray4VnI678RyED8gaG8uk4EYeVsvBywIzbTve0/UQShEh7DNUUIXgMil9UZFBP7GOOHpn2xoM&#10;Ubal1C12EW4aOU2SmTRYc1yo0NGmouL3cDEKvrfs8l0ni/Pfxn3+5PPm43L6Umo07NfvIAL14T/8&#10;bOdawTR9e03hcSdeAbm8AwAA//8DAFBLAQItABQABgAIAAAAIQDb4fbL7gAAAIUBAAATAAAAAAAA&#10;AAAAAAAAAAAAAABbQ29udGVudF9UeXBlc10ueG1sUEsBAi0AFAAGAAgAAAAhAFr0LFu/AAAAFQEA&#10;AAsAAAAAAAAAAAAAAAAAHwEAAF9yZWxzLy5yZWxzUEsBAi0AFAAGAAgAAAAhAF6/8MTHAAAA3gAA&#10;AA8AAAAAAAAAAAAAAAAABwIAAGRycy9kb3ducmV2LnhtbFBLBQYAAAAAAwADALcAAAD7AgAAAAA=&#10;" filled="f" stroked="f">
                  <v:textbox inset="0,0,0,0">
                    <w:txbxContent>
                      <w:p w14:paraId="49DC42F9" w14:textId="77777777" w:rsidR="00B32EF2" w:rsidRDefault="00000000">
                        <w:r>
                          <w:rPr>
                            <w:rFonts w:ascii="Arial" w:eastAsia="Arial" w:hAnsi="Arial" w:cs="Arial"/>
                            <w:sz w:val="18"/>
                          </w:rPr>
                          <w:t>-</w:t>
                        </w:r>
                      </w:p>
                    </w:txbxContent>
                  </v:textbox>
                </v:rect>
                <v:rect id="Rectangle 21932" o:spid="_x0000_s6150" style="position:absolute;left:4819;top:7216;width:351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W6zxwAAAN4AAAAPAAAAZHJzL2Rvd25yZXYueG1sRI9Pa8JA&#10;FMTvhX6H5Qm96cYURFNXEYs0By/1D/T4yD6TaPbtkl1N6qd3C0KPw8z8hpkve9OIG7W+tqxgPEpA&#10;EBdW11wqOOw3wykIH5A1NpZJwS95WC5eX+aYadvxN912oRQRwj5DBVUILpPSFxUZ9CPriKN3sq3B&#10;EGVbSt1iF+GmkWmSTKTBmuNChY7WFRWX3dUo+Plkl286WZzua7c959Pm63o4KvU26FcfIAL14T/8&#10;bOdaQTqevafwdydeAbl4AAAA//8DAFBLAQItABQABgAIAAAAIQDb4fbL7gAAAIUBAAATAAAAAAAA&#10;AAAAAAAAAAAAAABbQ29udGVudF9UeXBlc10ueG1sUEsBAi0AFAAGAAgAAAAhAFr0LFu/AAAAFQEA&#10;AAsAAAAAAAAAAAAAAAAAHwEAAF9yZWxzLy5yZWxzUEsBAi0AFAAGAAgAAAAhAK5tbrPHAAAA3gAA&#10;AA8AAAAAAAAAAAAAAAAABwIAAGRycy9kb3ducmV2LnhtbFBLBQYAAAAAAwADALcAAAD7AgAAAAA=&#10;" filled="f" stroked="f">
                  <v:textbox inset="0,0,0,0">
                    <w:txbxContent>
                      <w:p w14:paraId="49DACAE4" w14:textId="77777777" w:rsidR="00B32EF2" w:rsidRDefault="00000000">
                        <w:r>
                          <w:rPr>
                            <w:rFonts w:ascii="Arial" w:eastAsia="Arial" w:hAnsi="Arial" w:cs="Arial"/>
                            <w:sz w:val="18"/>
                          </w:rPr>
                          <w:t>sizioni sul servizio adottate dagli organi competenti.</w:t>
                        </w:r>
                      </w:p>
                    </w:txbxContent>
                  </v:textbox>
                </v:rect>
                <v:rect id="Rectangle 202014" o:spid="_x0000_s6151" style="position:absolute;left:-13811;top:5947;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dcBxwAAAN8AAAAPAAAAZHJzL2Rvd25yZXYueG1sRI9BawIx&#10;FITvQv9DeIXeNHEpIqtRxCLdQy9aCz0+Ns/d1c1L2ER321/fCEKPw8x8wyzXg23FjbrQONYwnSgQ&#10;xKUzDVcajp+78RxEiMgGW8ek4YcCrFdPoyXmxvW8p9shViJBOOSooY7R51KGsiaLYeI8cfJOrrMY&#10;k+wqaTrsE9y2MlNqJi02nBZq9LStqbwcrlbD9xv7YtfL8vS79R/nYt6+X49fWr88D5sFiEhD/A8/&#10;2oXRkKlMTV/h/id9Abn6AwAA//8DAFBLAQItABQABgAIAAAAIQDb4fbL7gAAAIUBAAATAAAAAAAA&#10;AAAAAAAAAAAAAABbQ29udGVudF9UeXBlc10ueG1sUEsBAi0AFAAGAAgAAAAhAFr0LFu/AAAAFQEA&#10;AAsAAAAAAAAAAAAAAAAAHwEAAF9yZWxzLy5yZWxzUEsBAi0AFAAGAAgAAAAhADQ91wHHAAAA3wAA&#10;AA8AAAAAAAAAAAAAAAAABwIAAGRycy9kb3ducmV2LnhtbFBLBQYAAAAAAwADALcAAAD7AgAAAAA=&#10;" filled="f" stroked="f">
                  <v:textbox inset="0,0,0,0">
                    <w:txbxContent>
                      <w:p w14:paraId="2E44F0BC" w14:textId="77777777" w:rsidR="00B32EF2" w:rsidRDefault="00000000">
                        <w:r>
                          <w:rPr>
                            <w:rFonts w:ascii="Arial" w:eastAsia="Arial" w:hAnsi="Arial" w:cs="Arial"/>
                            <w:sz w:val="18"/>
                          </w:rPr>
                          <w:t xml:space="preserve">. Si applica la sanzione non inferiore alla sospensione dalle funzioni per un </w:t>
                        </w:r>
                      </w:p>
                    </w:txbxContent>
                  </v:textbox>
                </v:rect>
                <v:rect id="Rectangle 201997" o:spid="_x0000_s6152" style="position:absolute;left:26114;top:5947;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WGTxwAAAN8AAAAPAAAAZHJzL2Rvd25yZXYueG1sRI9Ba8JA&#10;FITvgv9heUJvutFD1egqoog5eNFa6PGRfSbR7Nslu5q0v94tFHocZuYbZrnuTC2e1PjKsoLxKAFB&#10;nFtdcaHg8rEfzkD4gKyxtkwKvsnDetXvLTHVtuUTPc+hEBHCPkUFZQguldLnJRn0I+uIo3e1jcEQ&#10;ZVNI3WAb4aaWkyR5lwYrjgslOtqWlN/PD6Pga8cu27cyv/5s3fGWzerD4/Kp1Nug2yxABOrCf/iv&#10;nWkFk2Q8n0/h90/8AnL1AgAA//8DAFBLAQItABQABgAIAAAAIQDb4fbL7gAAAIUBAAATAAAAAAAA&#10;AAAAAAAAAAAAAABbQ29udGVudF9UeXBlc10ueG1sUEsBAi0AFAAGAAgAAAAhAFr0LFu/AAAAFQEA&#10;AAsAAAAAAAAAAAAAAAAAHwEAAF9yZWxzLy5yZWxzUEsBAi0AFAAGAAgAAAAhAJCpYZPHAAAA3wAA&#10;AA8AAAAAAAAAAAAAAAAABwIAAGRycy9kb3ducmV2LnhtbFBLBQYAAAAAAwADALcAAAD7AgAAAAA=&#10;" filled="f" stroked="f">
                  <v:textbox inset="0,0,0,0">
                    <w:txbxContent>
                      <w:p w14:paraId="5986CA60" w14:textId="77777777" w:rsidR="00B32EF2" w:rsidRDefault="00000000">
                        <w:r>
                          <w:rPr>
                            <w:rFonts w:ascii="Arial" w:eastAsia="Arial" w:hAnsi="Arial" w:cs="Arial"/>
                            <w:sz w:val="18"/>
                          </w:rPr>
                          <w:t>5</w:t>
                        </w:r>
                      </w:p>
                    </w:txbxContent>
                  </v:textbox>
                </v:rect>
                <v:rect id="Rectangle 21934" o:spid="_x0000_s6153" style="position:absolute;left:15261;top:4677;width:246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FNcxwAAAN4AAAAPAAAAZHJzL2Rvd25yZXYueG1sRI9Pa8JA&#10;FMTvgt9heUJvutGK2NRVikXMoRf/FHp8ZJ9J2uzbJbua6KfvCoLHYWZ+wyxWnanFhRpfWVYwHiUg&#10;iHOrKy4UHA+b4RyED8gaa8uk4EoeVst+b4Gpti3v6LIPhYgQ9ikqKENwqZQ+L8mgH1lHHL2TbQyG&#10;KJtC6gbbCDe1nCTJTBqsOC6U6GhdUv63PxsFP5/ssk0r89Nt7b5+s3m9PR+/lXoZdB/vIAJ14Rl+&#10;tDOtYDJ+e53C/U68AnL5DwAA//8DAFBLAQItABQABgAIAAAAIQDb4fbL7gAAAIUBAAATAAAAAAAA&#10;AAAAAAAAAAAAAABbQ29udGVudF9UeXBlc10ueG1sUEsBAi0AFAAGAAgAAAAhAFr0LFu/AAAAFQEA&#10;AAsAAAAAAAAAAAAAAAAAHwEAAF9yZWxzLy5yZWxzUEsBAi0AFAAGAAgAAAAhAE7IU1zHAAAA3gAA&#10;AA8AAAAAAAAAAAAAAAAABwIAAGRycy9kb3ducmV2LnhtbFBLBQYAAAAAAwADALcAAAD7AgAAAAA=&#10;" filled="f" stroked="f">
                  <v:textbox inset="0,0,0,0">
                    <w:txbxContent>
                      <w:p w14:paraId="06B45893" w14:textId="77777777" w:rsidR="00B32EF2" w:rsidRDefault="00000000">
                        <w:r>
                          <w:rPr>
                            <w:rFonts w:ascii="Arial" w:eastAsia="Arial" w:hAnsi="Arial" w:cs="Arial"/>
                            <w:sz w:val="18"/>
                          </w:rPr>
                          <w:t>periodo da un mese a due anni, per:</w:t>
                        </w:r>
                      </w:p>
                    </w:txbxContent>
                  </v:textbox>
                </v:rect>
                <w10:anchorlock/>
              </v:group>
            </w:pict>
          </mc:Fallback>
        </mc:AlternateContent>
      </w:r>
    </w:p>
    <w:p w14:paraId="5F88B9DA" w14:textId="77777777" w:rsidR="00B32EF2" w:rsidRDefault="00000000">
      <w:pPr>
        <w:spacing w:after="842"/>
        <w:ind w:left="-1440" w:right="7064"/>
      </w:pPr>
      <w:r>
        <w:rPr>
          <w:noProof/>
        </w:rPr>
        <w:lastRenderedPageBreak/>
        <mc:AlternateContent>
          <mc:Choice Requires="wpg">
            <w:drawing>
              <wp:anchor distT="0" distB="0" distL="114300" distR="114300" simplePos="0" relativeHeight="251674624" behindDoc="0" locked="0" layoutInCell="1" allowOverlap="1" wp14:anchorId="63E04555" wp14:editId="2DD0B4FB">
                <wp:simplePos x="0" y="0"/>
                <wp:positionH relativeFrom="page">
                  <wp:posOffset>2632944</wp:posOffset>
                </wp:positionH>
                <wp:positionV relativeFrom="page">
                  <wp:posOffset>397149</wp:posOffset>
                </wp:positionV>
                <wp:extent cx="134112" cy="188456"/>
                <wp:effectExtent l="0" t="0" r="0" b="0"/>
                <wp:wrapTopAndBottom/>
                <wp:docPr id="202158" name="Group 202158"/>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22010" name="Rectangle 22010"/>
                        <wps:cNvSpPr/>
                        <wps:spPr>
                          <a:xfrm rot="-10799999">
                            <a:off x="-44256" y="-62190"/>
                            <a:ext cx="178369" cy="250646"/>
                          </a:xfrm>
                          <a:prstGeom prst="rect">
                            <a:avLst/>
                          </a:prstGeom>
                          <a:ln>
                            <a:noFill/>
                          </a:ln>
                        </wps:spPr>
                        <wps:txbx>
                          <w:txbxContent>
                            <w:p w14:paraId="2DBFE182" w14:textId="77777777" w:rsidR="00B32EF2" w:rsidRDefault="00000000">
                              <w:r>
                                <w:rPr>
                                  <w:rFonts w:ascii="Times New Roman" w:eastAsia="Times New Roman" w:hAnsi="Times New Roman" w:cs="Times New Roman"/>
                                </w:rPr>
                                <w:t>28</w:t>
                              </w:r>
                            </w:p>
                          </w:txbxContent>
                        </wps:txbx>
                        <wps:bodyPr horzOverflow="overflow" vert="horz" lIns="0" tIns="0" rIns="0" bIns="0" rtlCol="0">
                          <a:noAutofit/>
                        </wps:bodyPr>
                      </wps:wsp>
                    </wpg:wgp>
                  </a:graphicData>
                </a:graphic>
              </wp:anchor>
            </w:drawing>
          </mc:Choice>
          <mc:Fallback>
            <w:pict>
              <v:group w14:anchorId="63E04555" id="Group 202158" o:spid="_x0000_s6154" style="position:absolute;left:0;text-align:left;margin-left:207.3pt;margin-top:31.25pt;width:10.55pt;height:14.85pt;z-index:251674624;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SsGgIAAIEEAAAOAAAAZHJzL2Uyb0RvYy54bWyklNtu2zAMhu8H7B0E3Sc+1E0TI04xrGsw&#10;YFiLdnsARZYPgCwKkhK7e/pRcuxsLbCLzhcyRcnUz0+kt7dDJ8lJGNuCKmiyjCkRikPZqrqgP3/c&#10;L9aUWMdUySQoUdAXYent7uOHba9zkUIDshSGYBBl814XtHFO51FkeSM6ZpeghcLFCkzHHE5NHZWG&#10;9Ri9k1Eax6uoB1NqA1xYi967cZHuQvyqEtw9VJUVjsiCojYXRhPGgx+j3ZbltWG6aflZBnuHio61&#10;Cg+dQ90xx8jRtG9CdS03YKFySw5dBFXVchFywGyS+FU2ewNHHXKp877WMyZE+4rTu8Py76e90c/6&#10;0SCJXtfIIsx8LkNlOv9GlWQIyF5mZGJwhKMzucqSJKWE41KyXmfXqxEpb5D7m6948+Wf30XTodFf&#10;UnqNxWEv+dv/y/+5YVoErDbH/B8NacuCpv4CKFGswzJ9wsJhqpaCjO4AJ+yeUdncIrWJEzGAtbVI&#10;4puNf0ItnLktsixFLAQJLVZpsjkX3UzwZn212owE0+t4lQWCMwmWa2PdXkBHvFFQg9JCeHb6Zh0K&#10;w63TFq9GKj8quG+lHFe9B4FOgr3lhsMQss428drfmHceoHxBGA2YXw/Y0pWEvqBwtqjvcjzer1Ii&#10;vyq8BN9Qk2Em4zAZxsnPENpuFPTp6KBqg+LLaWdleLvBCnUeUjr3pG+kP+dh1+XPsfsNAAD//wMA&#10;UEsDBBQABgAIAAAAIQD34GMw4AAAAAkBAAAPAAAAZHJzL2Rvd25yZXYueG1sTI9BT4NAEIXvJv6H&#10;zZh4swsUUJGhaRr11DSxNTHepjAFUnaXsFug/971pMfJ+/LeN/lqVp0YebCt0QjhIgDBujRVq2uE&#10;z8PbwxMI60hX1BnNCFe2sCpub3LKKjPpDx73rha+RNuMEBrn+kxKWzasyC5Mz9pnJzMocv4calkN&#10;NPly1ckoCFKpqNV+oaGeNw2X5/1FIbxPNK2X4eu4PZ821+9Dsvvahox4fzevX0A4nt0fDL/6Xh0K&#10;73Q0F11Z0SHEYZx6FCGNEhAeiJfJI4gjwnMUgSxy+f+D4gcAAP//AwBQSwECLQAUAAYACAAAACEA&#10;toM4kv4AAADhAQAAEwAAAAAAAAAAAAAAAAAAAAAAW0NvbnRlbnRfVHlwZXNdLnhtbFBLAQItABQA&#10;BgAIAAAAIQA4/SH/1gAAAJQBAAALAAAAAAAAAAAAAAAAAC8BAABfcmVscy8ucmVsc1BLAQItABQA&#10;BgAIAAAAIQAirCSsGgIAAIEEAAAOAAAAAAAAAAAAAAAAAC4CAABkcnMvZTJvRG9jLnhtbFBLAQIt&#10;ABQABgAIAAAAIQD34GMw4AAAAAkBAAAPAAAAAAAAAAAAAAAAAHQEAABkcnMvZG93bnJldi54bWxQ&#10;SwUGAAAAAAQABADzAAAAgQUAAAAA&#10;">
                <v:rect id="Rectangle 22010" o:spid="_x0000_s6155"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yKAxQAAAN4AAAAPAAAAZHJzL2Rvd25yZXYueG1sRI+7asMw&#10;FIb3Qt5BnEC2Ro6HEtwooSSYeOgSN4WOB+vEdmsdCUu+JE9fDYWOP/+Nb3eYTSdG6n1rWcFmnYAg&#10;rqxuuVZw/ciftyB8QNbYWSYFd/Jw2C+edphpO/GFxjLUIo6wz1BBE4LLpPRVQwb92jri6N1sbzBE&#10;2ddS9zjFcdPJNElepMGW40ODjo4NVT/lYBR8ndgV+SSr2+Po3r+LbXcerp9KrZbz2yuIQHP4D/+1&#10;C60gTZNNBIg4EQXk/hcAAP//AwBQSwECLQAUAAYACAAAACEA2+H2y+4AAACFAQAAEwAAAAAAAAAA&#10;AAAAAAAAAAAAW0NvbnRlbnRfVHlwZXNdLnhtbFBLAQItABQABgAIAAAAIQBa9CxbvwAAABUBAAAL&#10;AAAAAAAAAAAAAAAAAB8BAABfcmVscy8ucmVsc1BLAQItABQABgAIAAAAIQBD0yKAxQAAAN4AAAAP&#10;AAAAAAAAAAAAAAAAAAcCAABkcnMvZG93bnJldi54bWxQSwUGAAAAAAMAAwC3AAAA+QIAAAAA&#10;" filled="f" stroked="f">
                  <v:textbox inset="0,0,0,0">
                    <w:txbxContent>
                      <w:p w14:paraId="2DBFE182" w14:textId="77777777" w:rsidR="00B32EF2" w:rsidRDefault="00000000">
                        <w:r>
                          <w:rPr>
                            <w:rFonts w:ascii="Times New Roman" w:eastAsia="Times New Roman" w:hAnsi="Times New Roman" w:cs="Times New Roman"/>
                          </w:rPr>
                          <w:t>28</w:t>
                        </w:r>
                      </w:p>
                    </w:txbxContent>
                  </v:textbox>
                </v:rect>
                <w10:wrap type="topAndBottom" anchorx="page" anchory="page"/>
              </v:group>
            </w:pict>
          </mc:Fallback>
        </mc:AlternateContent>
      </w:r>
    </w:p>
    <w:p w14:paraId="1B4ECF2B" w14:textId="77777777" w:rsidR="00B32EF2" w:rsidRDefault="00000000">
      <w:pPr>
        <w:spacing w:after="0"/>
        <w:ind w:left="-356" w:right="-306"/>
      </w:pPr>
      <w:r>
        <w:rPr>
          <w:noProof/>
        </w:rPr>
        <w:lastRenderedPageBreak/>
        <mc:AlternateContent>
          <mc:Choice Requires="wpg">
            <w:drawing>
              <wp:inline distT="0" distB="0" distL="0" distR="0" wp14:anchorId="3ABBD8A0" wp14:editId="53724AFD">
                <wp:extent cx="3991916" cy="5410612"/>
                <wp:effectExtent l="0" t="0" r="0" b="0"/>
                <wp:docPr id="202159" name="Group 202159"/>
                <wp:cNvGraphicFramePr/>
                <a:graphic xmlns:a="http://schemas.openxmlformats.org/drawingml/2006/main">
                  <a:graphicData uri="http://schemas.microsoft.com/office/word/2010/wordprocessingGroup">
                    <wpg:wgp>
                      <wpg:cNvGrpSpPr/>
                      <wpg:grpSpPr>
                        <a:xfrm>
                          <a:off x="0" y="0"/>
                          <a:ext cx="3991916" cy="5410612"/>
                          <a:chOff x="0" y="0"/>
                          <a:chExt cx="3991916" cy="5410612"/>
                        </a:xfrm>
                      </wpg:grpSpPr>
                      <wps:wsp>
                        <wps:cNvPr id="22011" name="Rectangle 22011"/>
                        <wps:cNvSpPr/>
                        <wps:spPr>
                          <a:xfrm rot="-10799999">
                            <a:off x="146603" y="5267723"/>
                            <a:ext cx="3845199" cy="142890"/>
                          </a:xfrm>
                          <a:prstGeom prst="rect">
                            <a:avLst/>
                          </a:prstGeom>
                          <a:ln>
                            <a:noFill/>
                          </a:ln>
                        </wps:spPr>
                        <wps:txbx>
                          <w:txbxContent>
                            <w:p w14:paraId="34735BE5" w14:textId="77777777" w:rsidR="00B32EF2" w:rsidRDefault="00000000">
                              <w:r>
                                <w:rPr>
                                  <w:rFonts w:ascii="Arial" w:eastAsia="Arial" w:hAnsi="Arial" w:cs="Arial"/>
                                  <w:sz w:val="18"/>
                                </w:rPr>
                                <w:t>da dimissioni volontarie, secondo i rispettivi ordinamenti;</w:t>
                              </w:r>
                            </w:p>
                          </w:txbxContent>
                        </wps:txbx>
                        <wps:bodyPr horzOverflow="overflow" vert="horz" lIns="0" tIns="0" rIns="0" bIns="0" rtlCol="0">
                          <a:noAutofit/>
                        </wps:bodyPr>
                      </wps:wsp>
                      <wps:wsp>
                        <wps:cNvPr id="22012" name="Rectangle 22012"/>
                        <wps:cNvSpPr/>
                        <wps:spPr>
                          <a:xfrm rot="-10799999">
                            <a:off x="-1229001" y="5144392"/>
                            <a:ext cx="5220805" cy="142891"/>
                          </a:xfrm>
                          <a:prstGeom prst="rect">
                            <a:avLst/>
                          </a:prstGeom>
                          <a:ln>
                            <a:noFill/>
                          </a:ln>
                        </wps:spPr>
                        <wps:txbx>
                          <w:txbxContent>
                            <w:p w14:paraId="37404E81" w14:textId="77777777" w:rsidR="00B32EF2" w:rsidRDefault="00000000">
                              <w:r>
                                <w:rPr>
                                  <w:rFonts w:ascii="Arial" w:eastAsia="Arial" w:hAnsi="Arial" w:cs="Arial"/>
                                  <w:sz w:val="18"/>
                                </w:rPr>
                                <w:t>d) omettono, senza giustificato motivo, di assumere l’incarico entro trenta gior</w:t>
                              </w:r>
                            </w:p>
                          </w:txbxContent>
                        </wps:txbx>
                        <wps:bodyPr horzOverflow="overflow" vert="horz" lIns="0" tIns="0" rIns="0" bIns="0" rtlCol="0">
                          <a:noAutofit/>
                        </wps:bodyPr>
                      </wps:wsp>
                      <wps:wsp>
                        <wps:cNvPr id="22013" name="Rectangle 22013"/>
                        <wps:cNvSpPr/>
                        <wps:spPr>
                          <a:xfrm rot="-10799999">
                            <a:off x="19204" y="5144393"/>
                            <a:ext cx="50622" cy="142890"/>
                          </a:xfrm>
                          <a:prstGeom prst="rect">
                            <a:avLst/>
                          </a:prstGeom>
                          <a:ln>
                            <a:noFill/>
                          </a:ln>
                        </wps:spPr>
                        <wps:txbx>
                          <w:txbxContent>
                            <w:p w14:paraId="48F3A83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014" name="Rectangle 22014"/>
                        <wps:cNvSpPr/>
                        <wps:spPr>
                          <a:xfrm rot="-10799999">
                            <a:off x="882223" y="5021064"/>
                            <a:ext cx="3109579" cy="142889"/>
                          </a:xfrm>
                          <a:prstGeom prst="rect">
                            <a:avLst/>
                          </a:prstGeom>
                          <a:ln>
                            <a:noFill/>
                          </a:ln>
                        </wps:spPr>
                        <wps:txbx>
                          <w:txbxContent>
                            <w:p w14:paraId="415E34B8" w14:textId="77777777" w:rsidR="00B32EF2" w:rsidRDefault="00000000">
                              <w:r>
                                <w:rPr>
                                  <w:rFonts w:ascii="Arial" w:eastAsia="Arial" w:hAnsi="Arial" w:cs="Arial"/>
                                  <w:sz w:val="18"/>
                                </w:rPr>
                                <w:t>ni dalla comunicazione del decreto di nomina;</w:t>
                              </w:r>
                            </w:p>
                          </w:txbxContent>
                        </wps:txbx>
                        <wps:bodyPr horzOverflow="overflow" vert="horz" lIns="0" tIns="0" rIns="0" bIns="0" rtlCol="0">
                          <a:noAutofit/>
                        </wps:bodyPr>
                      </wps:wsp>
                      <wps:wsp>
                        <wps:cNvPr id="22015" name="Rectangle 22015"/>
                        <wps:cNvSpPr/>
                        <wps:spPr>
                          <a:xfrm rot="-10799999">
                            <a:off x="-836701" y="4897734"/>
                            <a:ext cx="4828504" cy="142889"/>
                          </a:xfrm>
                          <a:prstGeom prst="rect">
                            <a:avLst/>
                          </a:prstGeom>
                          <a:ln>
                            <a:noFill/>
                          </a:ln>
                        </wps:spPr>
                        <wps:txbx>
                          <w:txbxContent>
                            <w:p w14:paraId="2516714A" w14:textId="77777777" w:rsidR="00B32EF2" w:rsidRDefault="00000000">
                              <w:r>
                                <w:rPr>
                                  <w:rFonts w:ascii="Arial" w:eastAsia="Arial" w:hAnsi="Arial" w:cs="Arial"/>
                                  <w:sz w:val="18"/>
                                </w:rPr>
                                <w:t>e) non partecipano, senza giustificato motivo, a tre sedute consecutive.</w:t>
                              </w:r>
                            </w:p>
                          </w:txbxContent>
                        </wps:txbx>
                        <wps:bodyPr horzOverflow="overflow" vert="horz" lIns="0" tIns="0" rIns="0" bIns="0" rtlCol="0">
                          <a:noAutofit/>
                        </wps:bodyPr>
                      </wps:wsp>
                      <wps:wsp>
                        <wps:cNvPr id="202122" name="Rectangle 202122"/>
                        <wps:cNvSpPr/>
                        <wps:spPr>
                          <a:xfrm rot="-10799999">
                            <a:off x="-1381804" y="4774405"/>
                            <a:ext cx="5309051" cy="142889"/>
                          </a:xfrm>
                          <a:prstGeom prst="rect">
                            <a:avLst/>
                          </a:prstGeom>
                          <a:ln>
                            <a:noFill/>
                          </a:ln>
                        </wps:spPr>
                        <wps:txbx>
                          <w:txbxContent>
                            <w:p w14:paraId="7DE5A6A1" w14:textId="77777777" w:rsidR="00B32EF2" w:rsidRDefault="00000000">
                              <w:r>
                                <w:rPr>
                                  <w:rFonts w:ascii="Arial" w:eastAsia="Arial" w:hAnsi="Arial" w:cs="Arial"/>
                                  <w:sz w:val="18"/>
                                </w:rPr>
                                <w:t xml:space="preserve">. La decadenza è dichiarata con decreto del Ministro dell’economia e delle </w:t>
                              </w:r>
                            </w:p>
                          </w:txbxContent>
                        </wps:txbx>
                        <wps:bodyPr horzOverflow="overflow" vert="horz" lIns="0" tIns="0" rIns="0" bIns="0" rtlCol="0">
                          <a:noAutofit/>
                        </wps:bodyPr>
                      </wps:wsp>
                      <wps:wsp>
                        <wps:cNvPr id="202121" name="Rectangle 202121"/>
                        <wps:cNvSpPr/>
                        <wps:spPr>
                          <a:xfrm rot="-10799999">
                            <a:off x="2610969" y="4774405"/>
                            <a:ext cx="5309051" cy="142889"/>
                          </a:xfrm>
                          <a:prstGeom prst="rect">
                            <a:avLst/>
                          </a:prstGeom>
                          <a:ln>
                            <a:noFill/>
                          </a:ln>
                        </wps:spPr>
                        <wps:txbx>
                          <w:txbxContent>
                            <w:p w14:paraId="36C04AD0"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2017" name="Rectangle 22017"/>
                        <wps:cNvSpPr/>
                        <wps:spPr>
                          <a:xfrm rot="-10799999">
                            <a:off x="152288" y="4651075"/>
                            <a:ext cx="3839514" cy="142889"/>
                          </a:xfrm>
                          <a:prstGeom prst="rect">
                            <a:avLst/>
                          </a:prstGeom>
                          <a:ln>
                            <a:noFill/>
                          </a:ln>
                        </wps:spPr>
                        <wps:txbx>
                          <w:txbxContent>
                            <w:p w14:paraId="2C23AFB6" w14:textId="77777777" w:rsidR="00B32EF2" w:rsidRDefault="00000000">
                              <w:r>
                                <w:rPr>
                                  <w:rFonts w:ascii="Arial" w:eastAsia="Arial" w:hAnsi="Arial" w:cs="Arial"/>
                                  <w:sz w:val="18"/>
                                </w:rPr>
                                <w:t>finanze previa deliberazione del Consiglio di presidenza.</w:t>
                              </w:r>
                            </w:p>
                          </w:txbxContent>
                        </wps:txbx>
                        <wps:bodyPr horzOverflow="overflow" vert="horz" lIns="0" tIns="0" rIns="0" bIns="0" rtlCol="0">
                          <a:noAutofit/>
                        </wps:bodyPr>
                      </wps:wsp>
                      <wps:wsp>
                        <wps:cNvPr id="22018" name="Rectangle 22018"/>
                        <wps:cNvSpPr/>
                        <wps:spPr>
                          <a:xfrm rot="-10799999">
                            <a:off x="1510142" y="4404416"/>
                            <a:ext cx="805108" cy="142889"/>
                          </a:xfrm>
                          <a:prstGeom prst="rect">
                            <a:avLst/>
                          </a:prstGeom>
                          <a:ln>
                            <a:noFill/>
                          </a:ln>
                        </wps:spPr>
                        <wps:txbx>
                          <w:txbxContent>
                            <w:p w14:paraId="7E9072EE" w14:textId="77777777" w:rsidR="00B32EF2" w:rsidRDefault="00000000">
                              <w:r>
                                <w:rPr>
                                  <w:rFonts w:ascii="Arial" w:eastAsia="Arial" w:hAnsi="Arial" w:cs="Arial"/>
                                  <w:b/>
                                  <w:sz w:val="18"/>
                                </w:rPr>
                                <w:t>Articolo 19</w:t>
                              </w:r>
                            </w:p>
                          </w:txbxContent>
                        </wps:txbx>
                        <wps:bodyPr horzOverflow="overflow" vert="horz" lIns="0" tIns="0" rIns="0" bIns="0" rtlCol="0">
                          <a:noAutofit/>
                        </wps:bodyPr>
                      </wps:wsp>
                      <wps:wsp>
                        <wps:cNvPr id="202120" name="Rectangle 202120"/>
                        <wps:cNvSpPr/>
                        <wps:spPr>
                          <a:xfrm rot="-10799999">
                            <a:off x="1167663" y="4281086"/>
                            <a:ext cx="1935491" cy="142889"/>
                          </a:xfrm>
                          <a:prstGeom prst="rect">
                            <a:avLst/>
                          </a:prstGeom>
                          <a:ln>
                            <a:noFill/>
                          </a:ln>
                        </wps:spPr>
                        <wps:txbx>
                          <w:txbxContent>
                            <w:p w14:paraId="47CE820E" w14:textId="77777777" w:rsidR="00B32EF2" w:rsidRDefault="00000000">
                              <w:r>
                                <w:rPr>
                                  <w:rFonts w:ascii="Arial" w:eastAsia="Arial" w:hAnsi="Arial" w:cs="Arial"/>
                                  <w:i/>
                                  <w:sz w:val="18"/>
                                </w:rPr>
                                <w:t xml:space="preserve">articolo 13 D.lgs. n. </w:t>
                              </w:r>
                            </w:p>
                          </w:txbxContent>
                        </wps:txbx>
                        <wps:bodyPr horzOverflow="overflow" vert="horz" lIns="0" tIns="0" rIns="0" bIns="0" rtlCol="0">
                          <a:noAutofit/>
                        </wps:bodyPr>
                      </wps:wsp>
                      <wps:wsp>
                        <wps:cNvPr id="202119" name="Rectangle 202119"/>
                        <wps:cNvSpPr/>
                        <wps:spPr>
                          <a:xfrm rot="-10799999">
                            <a:off x="-252434" y="4281085"/>
                            <a:ext cx="1935491" cy="142889"/>
                          </a:xfrm>
                          <a:prstGeom prst="rect">
                            <a:avLst/>
                          </a:prstGeom>
                          <a:ln>
                            <a:noFill/>
                          </a:ln>
                        </wps:spPr>
                        <wps:txbx>
                          <w:txbxContent>
                            <w:p w14:paraId="7CA571E5"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118" name="Rectangle 202118"/>
                        <wps:cNvSpPr/>
                        <wps:spPr>
                          <a:xfrm rot="-10799999">
                            <a:off x="2221120" y="4281086"/>
                            <a:ext cx="1935491" cy="142889"/>
                          </a:xfrm>
                          <a:prstGeom prst="rect">
                            <a:avLst/>
                          </a:prstGeom>
                          <a:ln>
                            <a:noFill/>
                          </a:ln>
                        </wps:spPr>
                        <wps:txbx>
                          <w:txbxContent>
                            <w:p w14:paraId="5331F40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2020" name="Rectangle 22020"/>
                        <wps:cNvSpPr/>
                        <wps:spPr>
                          <a:xfrm rot="-10799999">
                            <a:off x="-26810" y="4157756"/>
                            <a:ext cx="3241030" cy="142889"/>
                          </a:xfrm>
                          <a:prstGeom prst="rect">
                            <a:avLst/>
                          </a:prstGeom>
                          <a:ln>
                            <a:noFill/>
                          </a:ln>
                        </wps:spPr>
                        <wps:txbx>
                          <w:txbxContent>
                            <w:p w14:paraId="3D163561" w14:textId="77777777" w:rsidR="00B32EF2" w:rsidRDefault="00000000">
                              <w:r>
                                <w:rPr>
                                  <w:rFonts w:ascii="Arial" w:eastAsia="Arial" w:hAnsi="Arial" w:cs="Arial"/>
                                  <w:b/>
                                  <w:sz w:val="18"/>
                                </w:rPr>
                                <w:t xml:space="preserve">Trattamento economico dei giudici tributari </w:t>
                              </w:r>
                            </w:p>
                          </w:txbxContent>
                        </wps:txbx>
                        <wps:bodyPr horzOverflow="overflow" vert="horz" lIns="0" tIns="0" rIns="0" bIns="0" rtlCol="0">
                          <a:noAutofit/>
                        </wps:bodyPr>
                      </wps:wsp>
                      <wps:wsp>
                        <wps:cNvPr id="202117" name="Rectangle 202117"/>
                        <wps:cNvSpPr/>
                        <wps:spPr>
                          <a:xfrm rot="-10799999">
                            <a:off x="-1376402" y="4034426"/>
                            <a:ext cx="5309021" cy="142889"/>
                          </a:xfrm>
                          <a:prstGeom prst="rect">
                            <a:avLst/>
                          </a:prstGeom>
                          <a:ln>
                            <a:noFill/>
                          </a:ln>
                        </wps:spPr>
                        <wps:txbx>
                          <w:txbxContent>
                            <w:p w14:paraId="6B6DA320" w14:textId="77777777" w:rsidR="00B32EF2" w:rsidRDefault="00000000">
                              <w:r>
                                <w:rPr>
                                  <w:rFonts w:ascii="Arial" w:eastAsia="Arial" w:hAnsi="Arial" w:cs="Arial"/>
                                  <w:sz w:val="18"/>
                                </w:rPr>
                                <w:t xml:space="preserve">. Il Ministro dell’economia e delle finanze con proprio decreto determina il </w:t>
                              </w:r>
                            </w:p>
                          </w:txbxContent>
                        </wps:txbx>
                        <wps:bodyPr horzOverflow="overflow" vert="horz" lIns="0" tIns="0" rIns="0" bIns="0" rtlCol="0">
                          <a:noAutofit/>
                        </wps:bodyPr>
                      </wps:wsp>
                      <wps:wsp>
                        <wps:cNvPr id="202116" name="Rectangle 202116"/>
                        <wps:cNvSpPr/>
                        <wps:spPr>
                          <a:xfrm rot="-10799999">
                            <a:off x="2610975" y="4034426"/>
                            <a:ext cx="5309021" cy="142889"/>
                          </a:xfrm>
                          <a:prstGeom prst="rect">
                            <a:avLst/>
                          </a:prstGeom>
                          <a:ln>
                            <a:noFill/>
                          </a:ln>
                        </wps:spPr>
                        <wps:txbx>
                          <w:txbxContent>
                            <w:p w14:paraId="793A72E7"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2022" name="Rectangle 22022"/>
                        <wps:cNvSpPr/>
                        <wps:spPr>
                          <a:xfrm rot="-10799999">
                            <a:off x="-1220534" y="3911097"/>
                            <a:ext cx="5212337" cy="142889"/>
                          </a:xfrm>
                          <a:prstGeom prst="rect">
                            <a:avLst/>
                          </a:prstGeom>
                          <a:ln>
                            <a:noFill/>
                          </a:ln>
                        </wps:spPr>
                        <wps:txbx>
                          <w:txbxContent>
                            <w:p w14:paraId="6D2A9E40" w14:textId="77777777" w:rsidR="00B32EF2" w:rsidRDefault="00000000">
                              <w:r>
                                <w:rPr>
                                  <w:rFonts w:ascii="Arial" w:eastAsia="Arial" w:hAnsi="Arial" w:cs="Arial"/>
                                  <w:sz w:val="18"/>
                                </w:rPr>
                                <w:t>compenso fisso mensile spettante ai componenti delle corti di giustizia tri</w:t>
                              </w:r>
                            </w:p>
                          </w:txbxContent>
                        </wps:txbx>
                        <wps:bodyPr horzOverflow="overflow" vert="horz" lIns="0" tIns="0" rIns="0" bIns="0" rtlCol="0">
                          <a:noAutofit/>
                        </wps:bodyPr>
                      </wps:wsp>
                      <wps:wsp>
                        <wps:cNvPr id="22023" name="Rectangle 22023"/>
                        <wps:cNvSpPr/>
                        <wps:spPr>
                          <a:xfrm rot="-10799999">
                            <a:off x="19204" y="3911096"/>
                            <a:ext cx="50622" cy="142889"/>
                          </a:xfrm>
                          <a:prstGeom prst="rect">
                            <a:avLst/>
                          </a:prstGeom>
                          <a:ln>
                            <a:noFill/>
                          </a:ln>
                        </wps:spPr>
                        <wps:txbx>
                          <w:txbxContent>
                            <w:p w14:paraId="577AEF4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024" name="Rectangle 22024"/>
                        <wps:cNvSpPr/>
                        <wps:spPr>
                          <a:xfrm rot="-10799999">
                            <a:off x="-1317248" y="3787767"/>
                            <a:ext cx="5309051" cy="142889"/>
                          </a:xfrm>
                          <a:prstGeom prst="rect">
                            <a:avLst/>
                          </a:prstGeom>
                          <a:ln>
                            <a:noFill/>
                          </a:ln>
                        </wps:spPr>
                        <wps:txbx>
                          <w:txbxContent>
                            <w:p w14:paraId="2780C3C6" w14:textId="77777777" w:rsidR="00B32EF2" w:rsidRDefault="00000000">
                              <w:r>
                                <w:rPr>
                                  <w:rFonts w:ascii="Arial" w:eastAsia="Arial" w:hAnsi="Arial" w:cs="Arial"/>
                                  <w:sz w:val="18"/>
                                </w:rPr>
                                <w:t xml:space="preserve">butaria di primo e secondo grado presenti nel ruolo unico di cui all’articolo 2, </w:t>
                              </w:r>
                            </w:p>
                          </w:txbxContent>
                        </wps:txbx>
                        <wps:bodyPr horzOverflow="overflow" vert="horz" lIns="0" tIns="0" rIns="0" bIns="0" rtlCol="0">
                          <a:noAutofit/>
                        </wps:bodyPr>
                      </wps:wsp>
                      <wps:wsp>
                        <wps:cNvPr id="22025" name="Rectangle 22025"/>
                        <wps:cNvSpPr/>
                        <wps:spPr>
                          <a:xfrm rot="-10799999">
                            <a:off x="3316169" y="3664437"/>
                            <a:ext cx="675633" cy="142889"/>
                          </a:xfrm>
                          <a:prstGeom prst="rect">
                            <a:avLst/>
                          </a:prstGeom>
                          <a:ln>
                            <a:noFill/>
                          </a:ln>
                        </wps:spPr>
                        <wps:txbx>
                          <w:txbxContent>
                            <w:p w14:paraId="56BECD87" w14:textId="77777777" w:rsidR="00B32EF2" w:rsidRDefault="00000000">
                              <w:r>
                                <w:rPr>
                                  <w:rFonts w:ascii="Arial" w:eastAsia="Arial" w:hAnsi="Arial" w:cs="Arial"/>
                                  <w:sz w:val="18"/>
                                </w:rPr>
                                <w:t>comma 2.</w:t>
                              </w:r>
                            </w:p>
                          </w:txbxContent>
                        </wps:txbx>
                        <wps:bodyPr horzOverflow="overflow" vert="horz" lIns="0" tIns="0" rIns="0" bIns="0" rtlCol="0">
                          <a:noAutofit/>
                        </wps:bodyPr>
                      </wps:wsp>
                      <wps:wsp>
                        <wps:cNvPr id="202115" name="Rectangle 202115"/>
                        <wps:cNvSpPr/>
                        <wps:spPr>
                          <a:xfrm rot="-10799999">
                            <a:off x="-1293573" y="3541108"/>
                            <a:ext cx="5220820" cy="142889"/>
                          </a:xfrm>
                          <a:prstGeom prst="rect">
                            <a:avLst/>
                          </a:prstGeom>
                          <a:ln>
                            <a:noFill/>
                          </a:ln>
                        </wps:spPr>
                        <wps:txbx>
                          <w:txbxContent>
                            <w:p w14:paraId="4BFC8125" w14:textId="77777777" w:rsidR="00B32EF2" w:rsidRDefault="00000000">
                              <w:r>
                                <w:rPr>
                                  <w:rFonts w:ascii="Arial" w:eastAsia="Arial" w:hAnsi="Arial" w:cs="Arial"/>
                                  <w:sz w:val="18"/>
                                </w:rPr>
                                <w:t>. Con il decreto di cui al comma 1, oltre al compenso mensile viene deter</w:t>
                              </w:r>
                            </w:p>
                          </w:txbxContent>
                        </wps:txbx>
                        <wps:bodyPr horzOverflow="overflow" vert="horz" lIns="0" tIns="0" rIns="0" bIns="0" rtlCol="0">
                          <a:noAutofit/>
                        </wps:bodyPr>
                      </wps:wsp>
                      <wps:wsp>
                        <wps:cNvPr id="202114" name="Rectangle 202114"/>
                        <wps:cNvSpPr/>
                        <wps:spPr>
                          <a:xfrm rot="-10799999">
                            <a:off x="2632860" y="3541108"/>
                            <a:ext cx="5220820" cy="142889"/>
                          </a:xfrm>
                          <a:prstGeom prst="rect">
                            <a:avLst/>
                          </a:prstGeom>
                          <a:ln>
                            <a:noFill/>
                          </a:ln>
                        </wps:spPr>
                        <wps:txbx>
                          <w:txbxContent>
                            <w:p w14:paraId="7D42ECD8"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2027" name="Rectangle 22027"/>
                        <wps:cNvSpPr/>
                        <wps:spPr>
                          <a:xfrm rot="-10799999">
                            <a:off x="19204" y="3541107"/>
                            <a:ext cx="50622" cy="142889"/>
                          </a:xfrm>
                          <a:prstGeom prst="rect">
                            <a:avLst/>
                          </a:prstGeom>
                          <a:ln>
                            <a:noFill/>
                          </a:ln>
                        </wps:spPr>
                        <wps:txbx>
                          <w:txbxContent>
                            <w:p w14:paraId="0CFE02F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028" name="Rectangle 22028"/>
                        <wps:cNvSpPr/>
                        <wps:spPr>
                          <a:xfrm rot="-10799999">
                            <a:off x="-1317218" y="3417778"/>
                            <a:ext cx="5309021" cy="142889"/>
                          </a:xfrm>
                          <a:prstGeom prst="rect">
                            <a:avLst/>
                          </a:prstGeom>
                          <a:ln>
                            <a:noFill/>
                          </a:ln>
                        </wps:spPr>
                        <wps:txbx>
                          <w:txbxContent>
                            <w:p w14:paraId="3F591635" w14:textId="77777777" w:rsidR="00B32EF2" w:rsidRDefault="00000000">
                              <w:r>
                                <w:rPr>
                                  <w:rFonts w:ascii="Arial" w:eastAsia="Arial" w:hAnsi="Arial" w:cs="Arial"/>
                                  <w:sz w:val="18"/>
                                </w:rPr>
                                <w:t xml:space="preserve">minato un compenso aggiuntivo per ogni ricorso definito, anche se riunito ad </w:t>
                              </w:r>
                            </w:p>
                          </w:txbxContent>
                        </wps:txbx>
                        <wps:bodyPr horzOverflow="overflow" vert="horz" lIns="0" tIns="0" rIns="0" bIns="0" rtlCol="0">
                          <a:noAutofit/>
                        </wps:bodyPr>
                      </wps:wsp>
                      <wps:wsp>
                        <wps:cNvPr id="22029" name="Rectangle 22029"/>
                        <wps:cNvSpPr/>
                        <wps:spPr>
                          <a:xfrm rot="-10799999">
                            <a:off x="-1317294" y="3294448"/>
                            <a:ext cx="5309096" cy="142889"/>
                          </a:xfrm>
                          <a:prstGeom prst="rect">
                            <a:avLst/>
                          </a:prstGeom>
                          <a:ln>
                            <a:noFill/>
                          </a:ln>
                        </wps:spPr>
                        <wps:txbx>
                          <w:txbxContent>
                            <w:p w14:paraId="7113705E" w14:textId="77777777" w:rsidR="00B32EF2" w:rsidRDefault="00000000">
                              <w:r>
                                <w:rPr>
                                  <w:rFonts w:ascii="Arial" w:eastAsia="Arial" w:hAnsi="Arial" w:cs="Arial"/>
                                  <w:sz w:val="18"/>
                                </w:rPr>
                                <w:t xml:space="preserve">altri ricorsi, secondo criteri uniformi, che debbono tener conto delle funzioni e </w:t>
                              </w:r>
                            </w:p>
                          </w:txbxContent>
                        </wps:txbx>
                        <wps:bodyPr horzOverflow="overflow" vert="horz" lIns="0" tIns="0" rIns="0" bIns="0" rtlCol="0">
                          <a:noAutofit/>
                        </wps:bodyPr>
                      </wps:wsp>
                      <wps:wsp>
                        <wps:cNvPr id="22030" name="Rectangle 22030"/>
                        <wps:cNvSpPr/>
                        <wps:spPr>
                          <a:xfrm rot="-10799999">
                            <a:off x="-1317218" y="3171119"/>
                            <a:ext cx="5309021" cy="142889"/>
                          </a:xfrm>
                          <a:prstGeom prst="rect">
                            <a:avLst/>
                          </a:prstGeom>
                          <a:ln>
                            <a:noFill/>
                          </a:ln>
                        </wps:spPr>
                        <wps:txbx>
                          <w:txbxContent>
                            <w:p w14:paraId="27990584" w14:textId="77777777" w:rsidR="00B32EF2" w:rsidRDefault="00000000">
                              <w:r>
                                <w:rPr>
                                  <w:rFonts w:ascii="Arial" w:eastAsia="Arial" w:hAnsi="Arial" w:cs="Arial"/>
                                  <w:sz w:val="18"/>
                                </w:rPr>
                                <w:t xml:space="preserve">dell’apporto di attività di ciascuno alla trattazione della controversia, compresa </w:t>
                              </w:r>
                            </w:p>
                          </w:txbxContent>
                        </wps:txbx>
                        <wps:bodyPr horzOverflow="overflow" vert="horz" lIns="0" tIns="0" rIns="0" bIns="0" rtlCol="0">
                          <a:noAutofit/>
                        </wps:bodyPr>
                      </wps:wsp>
                      <wps:wsp>
                        <wps:cNvPr id="22031" name="Rectangle 22031"/>
                        <wps:cNvSpPr/>
                        <wps:spPr>
                          <a:xfrm rot="-10799999">
                            <a:off x="-1218679" y="3047789"/>
                            <a:ext cx="5210482" cy="142889"/>
                          </a:xfrm>
                          <a:prstGeom prst="rect">
                            <a:avLst/>
                          </a:prstGeom>
                          <a:ln>
                            <a:noFill/>
                          </a:ln>
                        </wps:spPr>
                        <wps:txbx>
                          <w:txbxContent>
                            <w:p w14:paraId="1554EEDE" w14:textId="77777777" w:rsidR="00B32EF2" w:rsidRDefault="00000000">
                              <w:r>
                                <w:rPr>
                                  <w:rFonts w:ascii="Arial" w:eastAsia="Arial" w:hAnsi="Arial" w:cs="Arial"/>
                                  <w:sz w:val="18"/>
                                </w:rPr>
                                <w:t>la deliberazione e la redazione della sentenza, nonché, per i residenti in co</w:t>
                              </w:r>
                            </w:p>
                          </w:txbxContent>
                        </wps:txbx>
                        <wps:bodyPr horzOverflow="overflow" vert="horz" lIns="0" tIns="0" rIns="0" bIns="0" rtlCol="0">
                          <a:noAutofit/>
                        </wps:bodyPr>
                      </wps:wsp>
                      <wps:wsp>
                        <wps:cNvPr id="22032" name="Rectangle 22032"/>
                        <wps:cNvSpPr/>
                        <wps:spPr>
                          <a:xfrm rot="-10799999">
                            <a:off x="19204" y="3047789"/>
                            <a:ext cx="50622" cy="142889"/>
                          </a:xfrm>
                          <a:prstGeom prst="rect">
                            <a:avLst/>
                          </a:prstGeom>
                          <a:ln>
                            <a:noFill/>
                          </a:ln>
                        </wps:spPr>
                        <wps:txbx>
                          <w:txbxContent>
                            <w:p w14:paraId="518C83B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033" name="Rectangle 22033"/>
                        <wps:cNvSpPr/>
                        <wps:spPr>
                          <a:xfrm rot="-10799999">
                            <a:off x="-1317233" y="2924459"/>
                            <a:ext cx="5309036" cy="142889"/>
                          </a:xfrm>
                          <a:prstGeom prst="rect">
                            <a:avLst/>
                          </a:prstGeom>
                          <a:ln>
                            <a:noFill/>
                          </a:ln>
                        </wps:spPr>
                        <wps:txbx>
                          <w:txbxContent>
                            <w:p w14:paraId="7D8B7857" w14:textId="77777777" w:rsidR="00B32EF2" w:rsidRDefault="00000000">
                              <w:r>
                                <w:rPr>
                                  <w:rFonts w:ascii="Arial" w:eastAsia="Arial" w:hAnsi="Arial" w:cs="Arial"/>
                                  <w:sz w:val="18"/>
                                </w:rPr>
                                <w:t xml:space="preserve">muni diversi della stessa regione da quello in cui ha sede la corte di giustizia </w:t>
                              </w:r>
                            </w:p>
                          </w:txbxContent>
                        </wps:txbx>
                        <wps:bodyPr horzOverflow="overflow" vert="horz" lIns="0" tIns="0" rIns="0" bIns="0" rtlCol="0">
                          <a:noAutofit/>
                        </wps:bodyPr>
                      </wps:wsp>
                      <wps:wsp>
                        <wps:cNvPr id="22034" name="Rectangle 22034"/>
                        <wps:cNvSpPr/>
                        <wps:spPr>
                          <a:xfrm rot="-10799999">
                            <a:off x="-1220336" y="2801130"/>
                            <a:ext cx="5212139" cy="142889"/>
                          </a:xfrm>
                          <a:prstGeom prst="rect">
                            <a:avLst/>
                          </a:prstGeom>
                          <a:ln>
                            <a:noFill/>
                          </a:ln>
                        </wps:spPr>
                        <wps:txbx>
                          <w:txbxContent>
                            <w:p w14:paraId="641E87CA" w14:textId="77777777" w:rsidR="00B32EF2" w:rsidRDefault="00000000">
                              <w:r>
                                <w:rPr>
                                  <w:rFonts w:ascii="Arial" w:eastAsia="Arial" w:hAnsi="Arial" w:cs="Arial"/>
                                  <w:sz w:val="18"/>
                                </w:rPr>
                                <w:t>tributaria, delle spese sostenute per l’intervento alle sedute della corte. Il com</w:t>
                              </w:r>
                            </w:p>
                          </w:txbxContent>
                        </wps:txbx>
                        <wps:bodyPr horzOverflow="overflow" vert="horz" lIns="0" tIns="0" rIns="0" bIns="0" rtlCol="0">
                          <a:noAutofit/>
                        </wps:bodyPr>
                      </wps:wsp>
                      <wps:wsp>
                        <wps:cNvPr id="22035" name="Rectangle 22035"/>
                        <wps:cNvSpPr/>
                        <wps:spPr>
                          <a:xfrm rot="-10799999">
                            <a:off x="19204" y="2801129"/>
                            <a:ext cx="50622" cy="142889"/>
                          </a:xfrm>
                          <a:prstGeom prst="rect">
                            <a:avLst/>
                          </a:prstGeom>
                          <a:ln>
                            <a:noFill/>
                          </a:ln>
                        </wps:spPr>
                        <wps:txbx>
                          <w:txbxContent>
                            <w:p w14:paraId="3F66F99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036" name="Rectangle 22036"/>
                        <wps:cNvSpPr/>
                        <wps:spPr>
                          <a:xfrm rot="-10799999">
                            <a:off x="-215019" y="2677800"/>
                            <a:ext cx="4206822" cy="142889"/>
                          </a:xfrm>
                          <a:prstGeom prst="rect">
                            <a:avLst/>
                          </a:prstGeom>
                          <a:ln>
                            <a:noFill/>
                          </a:ln>
                        </wps:spPr>
                        <wps:txbx>
                          <w:txbxContent>
                            <w:p w14:paraId="55A94538" w14:textId="77777777" w:rsidR="00B32EF2" w:rsidRDefault="00000000">
                              <w:r>
                                <w:rPr>
                                  <w:rFonts w:ascii="Arial" w:eastAsia="Arial" w:hAnsi="Arial" w:cs="Arial"/>
                                  <w:sz w:val="18"/>
                                </w:rPr>
                                <w:t>penso è liquidato in relazione ad ogni provvedimento emesso.</w:t>
                              </w:r>
                            </w:p>
                          </w:txbxContent>
                        </wps:txbx>
                        <wps:bodyPr horzOverflow="overflow" vert="horz" lIns="0" tIns="0" rIns="0" bIns="0" rtlCol="0">
                          <a:noAutofit/>
                        </wps:bodyPr>
                      </wps:wsp>
                      <wps:wsp>
                        <wps:cNvPr id="202113" name="Rectangle 202113"/>
                        <wps:cNvSpPr/>
                        <wps:spPr>
                          <a:xfrm rot="-10799999">
                            <a:off x="-1284858" y="2554470"/>
                            <a:ext cx="5212139" cy="142889"/>
                          </a:xfrm>
                          <a:prstGeom prst="rect">
                            <a:avLst/>
                          </a:prstGeom>
                          <a:ln>
                            <a:noFill/>
                          </a:ln>
                        </wps:spPr>
                        <wps:txbx>
                          <w:txbxContent>
                            <w:p w14:paraId="4DD78FBF" w14:textId="77777777" w:rsidR="00B32EF2" w:rsidRDefault="00000000">
                              <w:r>
                                <w:rPr>
                                  <w:rFonts w:ascii="Arial" w:eastAsia="Arial" w:hAnsi="Arial" w:cs="Arial"/>
                                  <w:sz w:val="18"/>
                                </w:rPr>
                                <w:t>. La  liquidazione dei compensi e i relativi pagamenti sono disposti dal com</w:t>
                              </w:r>
                            </w:p>
                          </w:txbxContent>
                        </wps:txbx>
                        <wps:bodyPr horzOverflow="overflow" vert="horz" lIns="0" tIns="0" rIns="0" bIns="0" rtlCol="0">
                          <a:noAutofit/>
                        </wps:bodyPr>
                      </wps:wsp>
                      <wps:wsp>
                        <wps:cNvPr id="202112" name="Rectangle 202112"/>
                        <wps:cNvSpPr/>
                        <wps:spPr>
                          <a:xfrm rot="-10799999">
                            <a:off x="2635014" y="2554470"/>
                            <a:ext cx="5212138" cy="142889"/>
                          </a:xfrm>
                          <a:prstGeom prst="rect">
                            <a:avLst/>
                          </a:prstGeom>
                          <a:ln>
                            <a:noFill/>
                          </a:ln>
                        </wps:spPr>
                        <wps:txbx>
                          <w:txbxContent>
                            <w:p w14:paraId="14DD7F85"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2038" name="Rectangle 22038"/>
                        <wps:cNvSpPr/>
                        <wps:spPr>
                          <a:xfrm rot="-10799999">
                            <a:off x="19204" y="2554470"/>
                            <a:ext cx="50622" cy="142889"/>
                          </a:xfrm>
                          <a:prstGeom prst="rect">
                            <a:avLst/>
                          </a:prstGeom>
                          <a:ln>
                            <a:noFill/>
                          </a:ln>
                        </wps:spPr>
                        <wps:txbx>
                          <w:txbxContent>
                            <w:p w14:paraId="7B3AC78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039" name="Rectangle 22039"/>
                        <wps:cNvSpPr/>
                        <wps:spPr>
                          <a:xfrm rot="-10799999">
                            <a:off x="-1220518" y="2431140"/>
                            <a:ext cx="5212321" cy="142889"/>
                          </a:xfrm>
                          <a:prstGeom prst="rect">
                            <a:avLst/>
                          </a:prstGeom>
                          <a:ln>
                            <a:noFill/>
                          </a:ln>
                        </wps:spPr>
                        <wps:txbx>
                          <w:txbxContent>
                            <w:p w14:paraId="6E0B2D55" w14:textId="77777777" w:rsidR="00B32EF2" w:rsidRDefault="00000000">
                              <w:r>
                                <w:rPr>
                                  <w:rFonts w:ascii="Arial" w:eastAsia="Arial" w:hAnsi="Arial" w:cs="Arial"/>
                                  <w:sz w:val="18"/>
                                </w:rPr>
                                <w:t>petente dirigente dell’ufficio di segreteria della Corte di giustizia tributaria indi</w:t>
                              </w:r>
                            </w:p>
                          </w:txbxContent>
                        </wps:txbx>
                        <wps:bodyPr horzOverflow="overflow" vert="horz" lIns="0" tIns="0" rIns="0" bIns="0" rtlCol="0">
                          <a:noAutofit/>
                        </wps:bodyPr>
                      </wps:wsp>
                      <wps:wsp>
                        <wps:cNvPr id="22040" name="Rectangle 22040"/>
                        <wps:cNvSpPr/>
                        <wps:spPr>
                          <a:xfrm rot="-10799999">
                            <a:off x="19204" y="2431140"/>
                            <a:ext cx="50622" cy="142889"/>
                          </a:xfrm>
                          <a:prstGeom prst="rect">
                            <a:avLst/>
                          </a:prstGeom>
                          <a:ln>
                            <a:noFill/>
                          </a:ln>
                        </wps:spPr>
                        <wps:txbx>
                          <w:txbxContent>
                            <w:p w14:paraId="7FE1508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041" name="Rectangle 22041"/>
                        <wps:cNvSpPr/>
                        <wps:spPr>
                          <a:xfrm rot="-10799999">
                            <a:off x="440775" y="2307811"/>
                            <a:ext cx="3551027" cy="142889"/>
                          </a:xfrm>
                          <a:prstGeom prst="rect">
                            <a:avLst/>
                          </a:prstGeom>
                          <a:ln>
                            <a:noFill/>
                          </a:ln>
                        </wps:spPr>
                        <wps:txbx>
                          <w:txbxContent>
                            <w:p w14:paraId="3DF7A9AA" w14:textId="77777777" w:rsidR="00B32EF2" w:rsidRDefault="00000000">
                              <w:r>
                                <w:rPr>
                                  <w:rFonts w:ascii="Arial" w:eastAsia="Arial" w:hAnsi="Arial" w:cs="Arial"/>
                                  <w:sz w:val="18"/>
                                </w:rPr>
                                <w:t>viduato con il decreto di cui all’articolo 43, comma 1.</w:t>
                              </w:r>
                            </w:p>
                          </w:txbxContent>
                        </wps:txbx>
                        <wps:bodyPr horzOverflow="overflow" vert="horz" lIns="0" tIns="0" rIns="0" bIns="0" rtlCol="0">
                          <a:noAutofit/>
                        </wps:bodyPr>
                      </wps:wsp>
                      <wps:wsp>
                        <wps:cNvPr id="202110" name="Rectangle 202110"/>
                        <wps:cNvSpPr/>
                        <wps:spPr>
                          <a:xfrm rot="-10799999">
                            <a:off x="-1281803" y="2184481"/>
                            <a:ext cx="5210467" cy="142889"/>
                          </a:xfrm>
                          <a:prstGeom prst="rect">
                            <a:avLst/>
                          </a:prstGeom>
                          <a:ln>
                            <a:noFill/>
                          </a:ln>
                        </wps:spPr>
                        <wps:txbx>
                          <w:txbxContent>
                            <w:p w14:paraId="3C4D68C5" w14:textId="77777777" w:rsidR="00B32EF2" w:rsidRDefault="00000000">
                              <w:r>
                                <w:rPr>
                                  <w:rFonts w:ascii="Arial" w:eastAsia="Arial" w:hAnsi="Arial" w:cs="Arial"/>
                                  <w:sz w:val="18"/>
                                </w:rPr>
                                <w:t>. I compensi di cui ai commi 1, 2 e 3 sono cumulabili con i trattamenti pensio</w:t>
                              </w:r>
                            </w:p>
                          </w:txbxContent>
                        </wps:txbx>
                        <wps:bodyPr horzOverflow="overflow" vert="horz" lIns="0" tIns="0" rIns="0" bIns="0" rtlCol="0">
                          <a:noAutofit/>
                        </wps:bodyPr>
                      </wps:wsp>
                      <wps:wsp>
                        <wps:cNvPr id="202109" name="Rectangle 202109"/>
                        <wps:cNvSpPr/>
                        <wps:spPr>
                          <a:xfrm rot="-10799999">
                            <a:off x="2635429" y="2184481"/>
                            <a:ext cx="5210466" cy="142889"/>
                          </a:xfrm>
                          <a:prstGeom prst="rect">
                            <a:avLst/>
                          </a:prstGeom>
                          <a:ln>
                            <a:noFill/>
                          </a:ln>
                        </wps:spPr>
                        <wps:txbx>
                          <w:txbxContent>
                            <w:p w14:paraId="58DC2174"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2043" name="Rectangle 22043"/>
                        <wps:cNvSpPr/>
                        <wps:spPr>
                          <a:xfrm rot="-10799999">
                            <a:off x="19204" y="2184481"/>
                            <a:ext cx="50622" cy="142889"/>
                          </a:xfrm>
                          <a:prstGeom prst="rect">
                            <a:avLst/>
                          </a:prstGeom>
                          <a:ln>
                            <a:noFill/>
                          </a:ln>
                        </wps:spPr>
                        <wps:txbx>
                          <w:txbxContent>
                            <w:p w14:paraId="5CB7F49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044" name="Rectangle 22044"/>
                        <wps:cNvSpPr/>
                        <wps:spPr>
                          <a:xfrm rot="-10799999">
                            <a:off x="895829" y="2061151"/>
                            <a:ext cx="3095973" cy="142889"/>
                          </a:xfrm>
                          <a:prstGeom prst="rect">
                            <a:avLst/>
                          </a:prstGeom>
                          <a:ln>
                            <a:noFill/>
                          </a:ln>
                        </wps:spPr>
                        <wps:txbx>
                          <w:txbxContent>
                            <w:p w14:paraId="4C24C869" w14:textId="77777777" w:rsidR="00B32EF2" w:rsidRDefault="00000000">
                              <w:r>
                                <w:rPr>
                                  <w:rFonts w:ascii="Arial" w:eastAsia="Arial" w:hAnsi="Arial" w:cs="Arial"/>
                                  <w:sz w:val="18"/>
                                </w:rPr>
                                <w:t>nistici e di quiescenza comunque denominati.</w:t>
                              </w:r>
                            </w:p>
                          </w:txbxContent>
                        </wps:txbx>
                        <wps:bodyPr horzOverflow="overflow" vert="horz" lIns="0" tIns="0" rIns="0" bIns="0" rtlCol="0">
                          <a:noAutofit/>
                        </wps:bodyPr>
                      </wps:wsp>
                      <wps:wsp>
                        <wps:cNvPr id="202108" name="Rectangle 202108"/>
                        <wps:cNvSpPr/>
                        <wps:spPr>
                          <a:xfrm rot="-10799999">
                            <a:off x="-1284566" y="1937822"/>
                            <a:ext cx="5211516" cy="142889"/>
                          </a:xfrm>
                          <a:prstGeom prst="rect">
                            <a:avLst/>
                          </a:prstGeom>
                          <a:ln>
                            <a:noFill/>
                          </a:ln>
                        </wps:spPr>
                        <wps:txbx>
                          <w:txbxContent>
                            <w:p w14:paraId="5B4FDD50" w14:textId="77777777" w:rsidR="00B32EF2" w:rsidRDefault="00000000">
                              <w:r>
                                <w:rPr>
                                  <w:rFonts w:ascii="Arial" w:eastAsia="Arial" w:hAnsi="Arial" w:cs="Arial"/>
                                  <w:sz w:val="18"/>
                                </w:rPr>
                                <w:t>. I compensi di cui ai commi 1, 2 e 3 non possono superare in ogni caso l’im</w:t>
                              </w:r>
                            </w:p>
                          </w:txbxContent>
                        </wps:txbx>
                        <wps:bodyPr horzOverflow="overflow" vert="horz" lIns="0" tIns="0" rIns="0" bIns="0" rtlCol="0">
                          <a:noAutofit/>
                        </wps:bodyPr>
                      </wps:wsp>
                      <wps:wsp>
                        <wps:cNvPr id="202107" name="Rectangle 202107"/>
                        <wps:cNvSpPr/>
                        <wps:spPr>
                          <a:xfrm rot="-10799999">
                            <a:off x="2635168" y="1937822"/>
                            <a:ext cx="5211515" cy="142889"/>
                          </a:xfrm>
                          <a:prstGeom prst="rect">
                            <a:avLst/>
                          </a:prstGeom>
                          <a:ln>
                            <a:noFill/>
                          </a:ln>
                        </wps:spPr>
                        <wps:txbx>
                          <w:txbxContent>
                            <w:p w14:paraId="2F3282F1"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2046" name="Rectangle 22046"/>
                        <wps:cNvSpPr/>
                        <wps:spPr>
                          <a:xfrm rot="-10799999">
                            <a:off x="19204" y="1937821"/>
                            <a:ext cx="50622" cy="142889"/>
                          </a:xfrm>
                          <a:prstGeom prst="rect">
                            <a:avLst/>
                          </a:prstGeom>
                          <a:ln>
                            <a:noFill/>
                          </a:ln>
                        </wps:spPr>
                        <wps:txbx>
                          <w:txbxContent>
                            <w:p w14:paraId="17233BA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047" name="Rectangle 22047"/>
                        <wps:cNvSpPr/>
                        <wps:spPr>
                          <a:xfrm rot="-10799999">
                            <a:off x="1814799" y="1814492"/>
                            <a:ext cx="2177003" cy="142889"/>
                          </a:xfrm>
                          <a:prstGeom prst="rect">
                            <a:avLst/>
                          </a:prstGeom>
                          <a:ln>
                            <a:noFill/>
                          </a:ln>
                        </wps:spPr>
                        <wps:txbx>
                          <w:txbxContent>
                            <w:p w14:paraId="40E0C18A" w14:textId="77777777" w:rsidR="00B32EF2" w:rsidRDefault="00000000">
                              <w:r>
                                <w:rPr>
                                  <w:rFonts w:ascii="Arial" w:eastAsia="Arial" w:hAnsi="Arial" w:cs="Arial"/>
                                  <w:sz w:val="18"/>
                                </w:rPr>
                                <w:t>porto di euro 72.000 lordi annui.</w:t>
                              </w:r>
                            </w:p>
                          </w:txbxContent>
                        </wps:txbx>
                        <wps:bodyPr horzOverflow="overflow" vert="horz" lIns="0" tIns="0" rIns="0" bIns="0" rtlCol="0">
                          <a:noAutofit/>
                        </wps:bodyPr>
                      </wps:wsp>
                      <wps:wsp>
                        <wps:cNvPr id="202106" name="Rectangle 202106"/>
                        <wps:cNvSpPr/>
                        <wps:spPr>
                          <a:xfrm rot="-10799999">
                            <a:off x="-1381507" y="1691162"/>
                            <a:ext cx="5309005" cy="142889"/>
                          </a:xfrm>
                          <a:prstGeom prst="rect">
                            <a:avLst/>
                          </a:prstGeom>
                          <a:ln>
                            <a:noFill/>
                          </a:ln>
                        </wps:spPr>
                        <wps:txbx>
                          <w:txbxContent>
                            <w:p w14:paraId="4EE5D00D" w14:textId="77777777" w:rsidR="00B32EF2" w:rsidRDefault="00000000">
                              <w:r>
                                <w:rPr>
                                  <w:rFonts w:ascii="Arial" w:eastAsia="Arial" w:hAnsi="Arial" w:cs="Arial"/>
                                  <w:sz w:val="18"/>
                                </w:rPr>
                                <w:t xml:space="preserve">. Ai giudici che partecipano da remoto alla trattazione delle cause non spetta </w:t>
                              </w:r>
                            </w:p>
                          </w:txbxContent>
                        </wps:txbx>
                        <wps:bodyPr horzOverflow="overflow" vert="horz" lIns="0" tIns="0" rIns="0" bIns="0" rtlCol="0">
                          <a:noAutofit/>
                        </wps:bodyPr>
                      </wps:wsp>
                      <wps:wsp>
                        <wps:cNvPr id="202105" name="Rectangle 202105"/>
                        <wps:cNvSpPr/>
                        <wps:spPr>
                          <a:xfrm rot="-10799999">
                            <a:off x="2610979" y="1691162"/>
                            <a:ext cx="5309005" cy="142889"/>
                          </a:xfrm>
                          <a:prstGeom prst="rect">
                            <a:avLst/>
                          </a:prstGeom>
                          <a:ln>
                            <a:noFill/>
                          </a:ln>
                        </wps:spPr>
                        <wps:txbx>
                          <w:txbxContent>
                            <w:p w14:paraId="6E71B5FE"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2049" name="Rectangle 22049"/>
                        <wps:cNvSpPr/>
                        <wps:spPr>
                          <a:xfrm rot="-10799999">
                            <a:off x="225790" y="1567832"/>
                            <a:ext cx="3766012" cy="142889"/>
                          </a:xfrm>
                          <a:prstGeom prst="rect">
                            <a:avLst/>
                          </a:prstGeom>
                          <a:ln>
                            <a:noFill/>
                          </a:ln>
                        </wps:spPr>
                        <wps:txbx>
                          <w:txbxContent>
                            <w:p w14:paraId="4208D447" w14:textId="77777777" w:rsidR="00B32EF2" w:rsidRDefault="00000000">
                              <w:r>
                                <w:rPr>
                                  <w:rFonts w:ascii="Arial" w:eastAsia="Arial" w:hAnsi="Arial" w:cs="Arial"/>
                                  <w:sz w:val="18"/>
                                </w:rPr>
                                <w:t>alcun trattamento di missione né alcun rimborso spese.</w:t>
                              </w:r>
                            </w:p>
                          </w:txbxContent>
                        </wps:txbx>
                        <wps:bodyPr horzOverflow="overflow" vert="horz" lIns="0" tIns="0" rIns="0" bIns="0" rtlCol="0">
                          <a:noAutofit/>
                        </wps:bodyPr>
                      </wps:wsp>
                      <wps:wsp>
                        <wps:cNvPr id="22050" name="Rectangle 22050"/>
                        <wps:cNvSpPr/>
                        <wps:spPr>
                          <a:xfrm rot="-10799999">
                            <a:off x="1506810" y="1321173"/>
                            <a:ext cx="810383" cy="142889"/>
                          </a:xfrm>
                          <a:prstGeom prst="rect">
                            <a:avLst/>
                          </a:prstGeom>
                          <a:ln>
                            <a:noFill/>
                          </a:ln>
                        </wps:spPr>
                        <wps:txbx>
                          <w:txbxContent>
                            <w:p w14:paraId="77C51FFF" w14:textId="77777777" w:rsidR="00B32EF2" w:rsidRDefault="00000000">
                              <w:r>
                                <w:rPr>
                                  <w:rFonts w:ascii="Arial" w:eastAsia="Arial" w:hAnsi="Arial" w:cs="Arial"/>
                                  <w:b/>
                                  <w:sz w:val="18"/>
                                </w:rPr>
                                <w:t>Articolo 20</w:t>
                              </w:r>
                            </w:p>
                          </w:txbxContent>
                        </wps:txbx>
                        <wps:bodyPr horzOverflow="overflow" vert="horz" lIns="0" tIns="0" rIns="0" bIns="0" rtlCol="0">
                          <a:noAutofit/>
                        </wps:bodyPr>
                      </wps:wsp>
                      <wps:wsp>
                        <wps:cNvPr id="202103" name="Rectangle 202103"/>
                        <wps:cNvSpPr/>
                        <wps:spPr>
                          <a:xfrm rot="-10799999">
                            <a:off x="1006557" y="1197843"/>
                            <a:ext cx="2193741" cy="142889"/>
                          </a:xfrm>
                          <a:prstGeom prst="rect">
                            <a:avLst/>
                          </a:prstGeom>
                          <a:ln>
                            <a:noFill/>
                          </a:ln>
                        </wps:spPr>
                        <wps:txbx>
                          <w:txbxContent>
                            <w:p w14:paraId="47AAF357" w14:textId="77777777" w:rsidR="00B32EF2" w:rsidRDefault="00000000">
                              <w:r>
                                <w:rPr>
                                  <w:rFonts w:ascii="Arial" w:eastAsia="Arial" w:hAnsi="Arial" w:cs="Arial"/>
                                  <w:i/>
                                  <w:sz w:val="18"/>
                                </w:rPr>
                                <w:t xml:space="preserve">articolo 13-bis D.lgs. n. </w:t>
                              </w:r>
                            </w:p>
                          </w:txbxContent>
                        </wps:txbx>
                        <wps:bodyPr horzOverflow="overflow" vert="horz" lIns="0" tIns="0" rIns="0" bIns="0" rtlCol="0">
                          <a:noAutofit/>
                        </wps:bodyPr>
                      </wps:wsp>
                      <wps:wsp>
                        <wps:cNvPr id="202100" name="Rectangle 202100"/>
                        <wps:cNvSpPr/>
                        <wps:spPr>
                          <a:xfrm rot="-10799999">
                            <a:off x="2254198" y="1197843"/>
                            <a:ext cx="2193741" cy="142889"/>
                          </a:xfrm>
                          <a:prstGeom prst="rect">
                            <a:avLst/>
                          </a:prstGeom>
                          <a:ln>
                            <a:noFill/>
                          </a:ln>
                        </wps:spPr>
                        <wps:txbx>
                          <w:txbxContent>
                            <w:p w14:paraId="133BC490"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102" name="Rectangle 202102"/>
                        <wps:cNvSpPr/>
                        <wps:spPr>
                          <a:xfrm rot="-10799999">
                            <a:off x="-607713" y="1197843"/>
                            <a:ext cx="2193740" cy="142889"/>
                          </a:xfrm>
                          <a:prstGeom prst="rect">
                            <a:avLst/>
                          </a:prstGeom>
                          <a:ln>
                            <a:noFill/>
                          </a:ln>
                        </wps:spPr>
                        <wps:txbx>
                          <w:txbxContent>
                            <w:p w14:paraId="041A16ED"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2052" name="Rectangle 22052"/>
                        <wps:cNvSpPr/>
                        <wps:spPr>
                          <a:xfrm rot="-10799999">
                            <a:off x="-179958" y="1074513"/>
                            <a:ext cx="3486647" cy="142889"/>
                          </a:xfrm>
                          <a:prstGeom prst="rect">
                            <a:avLst/>
                          </a:prstGeom>
                          <a:ln>
                            <a:noFill/>
                          </a:ln>
                        </wps:spPr>
                        <wps:txbx>
                          <w:txbxContent>
                            <w:p w14:paraId="0AF6FE25" w14:textId="77777777" w:rsidR="00B32EF2" w:rsidRDefault="00000000">
                              <w:r>
                                <w:rPr>
                                  <w:rFonts w:ascii="Arial" w:eastAsia="Arial" w:hAnsi="Arial" w:cs="Arial"/>
                                  <w:b/>
                                  <w:sz w:val="18"/>
                                </w:rPr>
                                <w:t xml:space="preserve">Trattamento economico dei magistrati tributari </w:t>
                              </w:r>
                            </w:p>
                          </w:txbxContent>
                        </wps:txbx>
                        <wps:bodyPr horzOverflow="overflow" vert="horz" lIns="0" tIns="0" rIns="0" bIns="0" rtlCol="0">
                          <a:noAutofit/>
                        </wps:bodyPr>
                      </wps:wsp>
                      <wps:wsp>
                        <wps:cNvPr id="202098" name="Rectangle 202098"/>
                        <wps:cNvSpPr/>
                        <wps:spPr>
                          <a:xfrm rot="-10799999">
                            <a:off x="-1376303" y="951183"/>
                            <a:ext cx="5309036" cy="142889"/>
                          </a:xfrm>
                          <a:prstGeom prst="rect">
                            <a:avLst/>
                          </a:prstGeom>
                          <a:ln>
                            <a:noFill/>
                          </a:ln>
                        </wps:spPr>
                        <wps:txbx>
                          <w:txbxContent>
                            <w:p w14:paraId="1C418B03" w14:textId="77777777" w:rsidR="00B32EF2" w:rsidRDefault="00000000">
                              <w:r>
                                <w:rPr>
                                  <w:rFonts w:ascii="Arial" w:eastAsia="Arial" w:hAnsi="Arial" w:cs="Arial"/>
                                  <w:sz w:val="18"/>
                                </w:rPr>
                                <w:t xml:space="preserve">. Ai magistrati tributari reclutati per concorso, secondo le modalità di cui </w:t>
                              </w:r>
                            </w:p>
                          </w:txbxContent>
                        </wps:txbx>
                        <wps:bodyPr horzOverflow="overflow" vert="horz" lIns="0" tIns="0" rIns="0" bIns="0" rtlCol="0">
                          <a:noAutofit/>
                        </wps:bodyPr>
                      </wps:wsp>
                      <wps:wsp>
                        <wps:cNvPr id="202095" name="Rectangle 202095"/>
                        <wps:cNvSpPr/>
                        <wps:spPr>
                          <a:xfrm rot="-10799999">
                            <a:off x="2611085" y="951184"/>
                            <a:ext cx="5309036" cy="142889"/>
                          </a:xfrm>
                          <a:prstGeom prst="rect">
                            <a:avLst/>
                          </a:prstGeom>
                          <a:ln>
                            <a:noFill/>
                          </a:ln>
                        </wps:spPr>
                        <wps:txbx>
                          <w:txbxContent>
                            <w:p w14:paraId="2E06964B"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2054" name="Rectangle 22054"/>
                        <wps:cNvSpPr/>
                        <wps:spPr>
                          <a:xfrm rot="-10799999">
                            <a:off x="-1317119" y="827854"/>
                            <a:ext cx="5309036" cy="142889"/>
                          </a:xfrm>
                          <a:prstGeom prst="rect">
                            <a:avLst/>
                          </a:prstGeom>
                          <a:ln>
                            <a:noFill/>
                          </a:ln>
                        </wps:spPr>
                        <wps:txbx>
                          <w:txbxContent>
                            <w:p w14:paraId="6D895CAA" w14:textId="77777777" w:rsidR="00B32EF2" w:rsidRDefault="00000000">
                              <w:r>
                                <w:rPr>
                                  <w:rFonts w:ascii="Arial" w:eastAsia="Arial" w:hAnsi="Arial" w:cs="Arial"/>
                                  <w:sz w:val="18"/>
                                </w:rPr>
                                <w:t xml:space="preserve">all’articolo 5, si applicano le disposizioni in materia di trattamento economico </w:t>
                              </w:r>
                            </w:p>
                          </w:txbxContent>
                        </wps:txbx>
                        <wps:bodyPr horzOverflow="overflow" vert="horz" lIns="0" tIns="0" rIns="0" bIns="0" rtlCol="0">
                          <a:noAutofit/>
                        </wps:bodyPr>
                      </wps:wsp>
                      <wps:wsp>
                        <wps:cNvPr id="22055" name="Rectangle 22055"/>
                        <wps:cNvSpPr/>
                        <wps:spPr>
                          <a:xfrm rot="-10799999">
                            <a:off x="321007" y="704524"/>
                            <a:ext cx="3670910" cy="142889"/>
                          </a:xfrm>
                          <a:prstGeom prst="rect">
                            <a:avLst/>
                          </a:prstGeom>
                          <a:ln>
                            <a:noFill/>
                          </a:ln>
                        </wps:spPr>
                        <wps:txbx>
                          <w:txbxContent>
                            <w:p w14:paraId="3B62A610" w14:textId="77777777" w:rsidR="00B32EF2" w:rsidRDefault="00000000">
                              <w:r>
                                <w:rPr>
                                  <w:rFonts w:ascii="Arial" w:eastAsia="Arial" w:hAnsi="Arial" w:cs="Arial"/>
                                  <w:sz w:val="18"/>
                                </w:rPr>
                                <w:t>previsto per i magistrati ordinari, in quanto compatibili.</w:t>
                              </w:r>
                            </w:p>
                          </w:txbxContent>
                        </wps:txbx>
                        <wps:bodyPr horzOverflow="overflow" vert="horz" lIns="0" tIns="0" rIns="0" bIns="0" rtlCol="0">
                          <a:noAutofit/>
                        </wps:bodyPr>
                      </wps:wsp>
                      <wps:wsp>
                        <wps:cNvPr id="202092" name="Rectangle 202092"/>
                        <wps:cNvSpPr/>
                        <wps:spPr>
                          <a:xfrm rot="-10799999">
                            <a:off x="-1285053" y="581194"/>
                            <a:ext cx="5212413" cy="142889"/>
                          </a:xfrm>
                          <a:prstGeom prst="rect">
                            <a:avLst/>
                          </a:prstGeom>
                          <a:ln>
                            <a:noFill/>
                          </a:ln>
                        </wps:spPr>
                        <wps:txbx>
                          <w:txbxContent>
                            <w:p w14:paraId="02AFE9F9" w14:textId="77777777" w:rsidR="00B32EF2" w:rsidRDefault="00000000">
                              <w:r>
                                <w:rPr>
                                  <w:rFonts w:ascii="Arial" w:eastAsia="Arial" w:hAnsi="Arial" w:cs="Arial"/>
                                  <w:sz w:val="18"/>
                                </w:rPr>
                                <w:t>. Gli stipendi del personale indicato nel comma 1 sono determinati, esclusi</w:t>
                              </w:r>
                            </w:p>
                          </w:txbxContent>
                        </wps:txbx>
                        <wps:bodyPr horzOverflow="overflow" vert="horz" lIns="0" tIns="0" rIns="0" bIns="0" rtlCol="0">
                          <a:noAutofit/>
                        </wps:bodyPr>
                      </wps:wsp>
                      <wps:wsp>
                        <wps:cNvPr id="202090" name="Rectangle 202090"/>
                        <wps:cNvSpPr/>
                        <wps:spPr>
                          <a:xfrm rot="-10799999">
                            <a:off x="2635059" y="581195"/>
                            <a:ext cx="5212413" cy="142889"/>
                          </a:xfrm>
                          <a:prstGeom prst="rect">
                            <a:avLst/>
                          </a:prstGeom>
                          <a:ln>
                            <a:noFill/>
                          </a:ln>
                        </wps:spPr>
                        <wps:txbx>
                          <w:txbxContent>
                            <w:p w14:paraId="3A2A536C"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2057" name="Rectangle 22057"/>
                        <wps:cNvSpPr/>
                        <wps:spPr>
                          <a:xfrm rot="-10799999">
                            <a:off x="19318" y="581195"/>
                            <a:ext cx="50622" cy="142889"/>
                          </a:xfrm>
                          <a:prstGeom prst="rect">
                            <a:avLst/>
                          </a:prstGeom>
                          <a:ln>
                            <a:noFill/>
                          </a:ln>
                        </wps:spPr>
                        <wps:txbx>
                          <w:txbxContent>
                            <w:p w14:paraId="1B741A9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058" name="Rectangle 22058"/>
                        <wps:cNvSpPr/>
                        <wps:spPr>
                          <a:xfrm rot="-10799999">
                            <a:off x="-1317171" y="457865"/>
                            <a:ext cx="5309659" cy="142889"/>
                          </a:xfrm>
                          <a:prstGeom prst="rect">
                            <a:avLst/>
                          </a:prstGeom>
                          <a:ln>
                            <a:noFill/>
                          </a:ln>
                        </wps:spPr>
                        <wps:txbx>
                          <w:txbxContent>
                            <w:p w14:paraId="4F7103F8" w14:textId="77777777" w:rsidR="00B32EF2" w:rsidRDefault="00000000">
                              <w:r>
                                <w:rPr>
                                  <w:rFonts w:ascii="Arial" w:eastAsia="Arial" w:hAnsi="Arial" w:cs="Arial"/>
                                  <w:sz w:val="18"/>
                                </w:rPr>
                                <w:t xml:space="preserve">vamente in base all’anzianità di servizio, nella misura prevista nella tabella D </w:t>
                              </w:r>
                            </w:p>
                          </w:txbxContent>
                        </wps:txbx>
                        <wps:bodyPr horzOverflow="overflow" vert="horz" lIns="0" tIns="0" rIns="0" bIns="0" rtlCol="0">
                          <a:noAutofit/>
                        </wps:bodyPr>
                      </wps:wsp>
                      <wps:wsp>
                        <wps:cNvPr id="22059" name="Rectangle 22059"/>
                        <wps:cNvSpPr/>
                        <wps:spPr>
                          <a:xfrm rot="-10799999">
                            <a:off x="-1317104" y="334535"/>
                            <a:ext cx="5309021" cy="142890"/>
                          </a:xfrm>
                          <a:prstGeom prst="rect">
                            <a:avLst/>
                          </a:prstGeom>
                          <a:ln>
                            <a:noFill/>
                          </a:ln>
                        </wps:spPr>
                        <wps:txbx>
                          <w:txbxContent>
                            <w:p w14:paraId="78636A97" w14:textId="77777777" w:rsidR="00B32EF2" w:rsidRDefault="00000000">
                              <w:r>
                                <w:rPr>
                                  <w:rFonts w:ascii="Arial" w:eastAsia="Arial" w:hAnsi="Arial" w:cs="Arial"/>
                                  <w:sz w:val="18"/>
                                </w:rPr>
                                <w:t xml:space="preserve">allegata al presente testo unico, con decorrenza dal 1° gennaio 2024, ai sensi </w:t>
                              </w:r>
                            </w:p>
                          </w:txbxContent>
                        </wps:txbx>
                        <wps:bodyPr horzOverflow="overflow" vert="horz" lIns="0" tIns="0" rIns="0" bIns="0" rtlCol="0">
                          <a:noAutofit/>
                        </wps:bodyPr>
                      </wps:wsp>
                      <wps:wsp>
                        <wps:cNvPr id="22060" name="Rectangle 22060"/>
                        <wps:cNvSpPr/>
                        <wps:spPr>
                          <a:xfrm rot="-10799999">
                            <a:off x="-1317029" y="211206"/>
                            <a:ext cx="5308945" cy="142889"/>
                          </a:xfrm>
                          <a:prstGeom prst="rect">
                            <a:avLst/>
                          </a:prstGeom>
                          <a:ln>
                            <a:noFill/>
                          </a:ln>
                        </wps:spPr>
                        <wps:txbx>
                          <w:txbxContent>
                            <w:p w14:paraId="4344FC0A" w14:textId="77777777" w:rsidR="00B32EF2" w:rsidRDefault="00000000">
                              <w:r>
                                <w:rPr>
                                  <w:rFonts w:ascii="Arial" w:eastAsia="Arial" w:hAnsi="Arial" w:cs="Arial"/>
                                  <w:sz w:val="18"/>
                                </w:rPr>
                                <w:t xml:space="preserve">del decreto del Presidente del Consiglio dei ministri 3 giugno 2024, pubblicato </w:t>
                              </w:r>
                            </w:p>
                          </w:txbxContent>
                        </wps:txbx>
                        <wps:bodyPr horzOverflow="overflow" vert="horz" lIns="0" tIns="0" rIns="0" bIns="0" rtlCol="0">
                          <a:noAutofit/>
                        </wps:bodyPr>
                      </wps:wsp>
                      <wps:wsp>
                        <wps:cNvPr id="22061" name="Rectangle 22061"/>
                        <wps:cNvSpPr/>
                        <wps:spPr>
                          <a:xfrm rot="-10799999">
                            <a:off x="-1220526" y="87876"/>
                            <a:ext cx="5212443" cy="142889"/>
                          </a:xfrm>
                          <a:prstGeom prst="rect">
                            <a:avLst/>
                          </a:prstGeom>
                          <a:ln>
                            <a:noFill/>
                          </a:ln>
                        </wps:spPr>
                        <wps:txbx>
                          <w:txbxContent>
                            <w:p w14:paraId="542B7FD8" w14:textId="77777777" w:rsidR="00B32EF2" w:rsidRDefault="00000000">
                              <w:r>
                                <w:rPr>
                                  <w:rFonts w:ascii="Arial" w:eastAsia="Arial" w:hAnsi="Arial" w:cs="Arial"/>
                                  <w:sz w:val="18"/>
                                </w:rPr>
                                <w:t>nella Gazzetta Ufficiale n. 141 del 18 giugno 2024, salva l’attribuzione dell’in</w:t>
                              </w:r>
                            </w:p>
                          </w:txbxContent>
                        </wps:txbx>
                        <wps:bodyPr horzOverflow="overflow" vert="horz" lIns="0" tIns="0" rIns="0" bIns="0" rtlCol="0">
                          <a:noAutofit/>
                        </wps:bodyPr>
                      </wps:wsp>
                      <wps:wsp>
                        <wps:cNvPr id="22062" name="Rectangle 22062"/>
                        <wps:cNvSpPr/>
                        <wps:spPr>
                          <a:xfrm rot="-10799999">
                            <a:off x="19318" y="87876"/>
                            <a:ext cx="50622" cy="142889"/>
                          </a:xfrm>
                          <a:prstGeom prst="rect">
                            <a:avLst/>
                          </a:prstGeom>
                          <a:ln>
                            <a:noFill/>
                          </a:ln>
                        </wps:spPr>
                        <wps:txbx>
                          <w:txbxContent>
                            <w:p w14:paraId="24D3D67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063" name="Rectangle 22063"/>
                        <wps:cNvSpPr/>
                        <wps:spPr>
                          <a:xfrm rot="-10799999">
                            <a:off x="2086297" y="-35453"/>
                            <a:ext cx="1905619" cy="142889"/>
                          </a:xfrm>
                          <a:prstGeom prst="rect">
                            <a:avLst/>
                          </a:prstGeom>
                          <a:ln>
                            <a:noFill/>
                          </a:ln>
                        </wps:spPr>
                        <wps:txbx>
                          <w:txbxContent>
                            <w:p w14:paraId="7DDBED8F" w14:textId="77777777" w:rsidR="00B32EF2" w:rsidRDefault="00000000">
                              <w:r>
                                <w:rPr>
                                  <w:rFonts w:ascii="Arial" w:eastAsia="Arial" w:hAnsi="Arial" w:cs="Arial"/>
                                  <w:sz w:val="18"/>
                                </w:rPr>
                                <w:t>dennità integrativa speciale.</w:t>
                              </w:r>
                            </w:p>
                          </w:txbxContent>
                        </wps:txbx>
                        <wps:bodyPr horzOverflow="overflow" vert="horz" lIns="0" tIns="0" rIns="0" bIns="0" rtlCol="0">
                          <a:noAutofit/>
                        </wps:bodyPr>
                      </wps:wsp>
                    </wpg:wgp>
                  </a:graphicData>
                </a:graphic>
              </wp:inline>
            </w:drawing>
          </mc:Choice>
          <mc:Fallback>
            <w:pict>
              <v:group w14:anchorId="3ABBD8A0" id="Group 202159" o:spid="_x0000_s6156" style="width:314.3pt;height:426.05pt;mso-position-horizontal-relative:char;mso-position-vertical-relative:line" coordsize="39919,54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9h4dAoAAPSAAAAOAAAAZHJzL2Uyb0RvYy54bWzkXduO27YWfS9w/sHwu2PxpouRSXHQtEGB&#10;oi16+QDFI18A2zJkJ57067s2KVMamWlxxAPTAPMw8XBmZImLa+29Fy9+++3Lfjf5XDWnbX14mrI3&#10;yXRSHZb18/awfpr++ccPs3w6OZ3Lw3O5qw/V0/RLdZp+++4/37y9HBcVrzf17rlqJrjI4bS4HJ+m&#10;m/P5uJjPT8tNtS9Pb+pjdcAPV3WzL8/4tlnPn5vygqvvd3OeJOn8UjfPx6ZeVqcTWt+bH07f6euv&#10;VtXy/MtqdarOk93TFPd21l8b/fUjfZ2/e1su1k153GyX7W2UI+5iX24PeFN7qffluZx8arY3l9pv&#10;l019qlfnN8t6P69Xq+2y0s+Ap2HJ4Gk+NPWno36W9eKyPtpuQtcO+mn0ZZc/f/7QHH8//tqgJy7H&#10;NfpCf0fP8rJq9vQ/7nLyorvsi+2y6uU8WaJRFAUrWDqdLPEzJVmSMm46dblBz9/83XLz/b/85fz6&#10;xvNXt3M5YoCcuj44+fXB75vyWOmuPS3QB782k+3z05QDBDadHMo9hupvGDzlYb2rJqZZd5D+bdtd&#10;p8UJPXftq0lTY3zNWJIV9E+Ph7bvmEzTREwn1Ek8zTIuTCfZbsylYvgT3Y1M8rzQQ9P2Rbk4Nqfz&#10;h6reT+jF07TBzek3KD//dDrj1vCr11+h+9kd6Ouh/mG725mfUgu69HrL9Or88vFFP7cskoJuiBo/&#10;1s9f0B2buvnrFxB7tasvT9O6fTUlruPt6afTye7HA2AgWl1fNNcXH68vmvPuu1qTz9zQfz+d69VW&#10;33H3bu2dAV9zD3cBmruB1sOXbg3D4n8HesY4L5IEg4igZlKKouXDFWqF0ZQnqgc1o66/H9RMD62u&#10;8yOAGsxzcVqTcDTUrOCJ7OE8oLRKUo4hRroYgtDQsdgIDTBcKMtrR4widJ5zDrXWdE444pu+XLm4&#10;0lmwpFBZT7lzraR3pLMVrGiUG+LpAlp5AT3LRZq1wi3zIsvEAGmZ81wR46+UvjvSVq/iQBp0IwW9&#10;gdq0t+o2itQzJnKWt+ots0xKBGRcsKO1EkmRKITxYGBb2YoHbFfqTWDbUDYKbJ5ColMoNCLxg2Jt&#10;lSsOrFFlZQ5e62YfWjPk1jkMBwI6VajDBqQWuSiQkwckdXoNUdEADThuBBxA59eOGEVpBnCRVBuk&#10;ZSIlHIhX8o0CiyV462DqnV2fLw6gSaXhA9wgbdq9OM3SLE1NAg5fBKgOoGaFULIIGantWI4Ga4Zo&#10;6sIa7T5Yz7jiEmm3FnCN9UDAw2NtHzAerF0KDl57SjiqaqY1g4L1Q/IagtYO5jiw5olTwnWzH6tT&#10;yLYhNVNZpgYCLjimDQR+IVSw7uqLOIAm8rryb9PuBTUTWSqTNjFLhJR8ALauq9Hh4cCOzC4jUDE9&#10;54zWGpvR/reuq1Fi6Wj9mFhHZphBql1+mW72ozXmrFSbmImCwU/R9U3PLkP+LwREJZiGR2aXAVP3&#10;pJaZWR5N6m5Sy+A8lO/Xk1r3dsB5dEYZd09qodmP0IJlXBqrTGR5lqVDQof2v03iENMsNQb3bZgG&#10;z+2YH2WVCcFS1rrfIk2xIGGAdIqEXEBLgil3fFYZcyFNiZof1Fh7Ai8sM14ZTDHEaW1N9cM01p5Q&#10;lRcM7Ai9MpeCE9h+Es5TwfPUlNUPinVkXhmk2lVV62afYN1LyTSnB/o9WGd075QMxk37cHGYJ4DT&#10;ZYjqZh+UsSQBKRlMVSqnhWRZlg3Fm1KykNaJsPPw0UDtmucA1FbZRqVkBurCzHMIXkiJTBxjpxen&#10;CeqiXVVNqwfvzurIXDKuDegbk0w3//9YzTLGzBTZAOqgrI7OJIOOuQqtTt5GshrqndJKUBLwBCuN&#10;DGl7UGP5KBYRhsu+zYrGmGpq4fZD0ezD6l5G5sQ5rEkmbBUZS5gm+8Kl3VbZRhKaMjK6NgjNCy6l&#10;0nG/R2gK0yJkmLYzONFA7aqmEab9imnatZMIQpKgzrEJzJQ1PahpGaqAuIdyToxtF5V2u1wywGTl&#10;bRSrO+3WOJtUvodzYO2OzB8DnK7Jad3sE6FnnKmEVqkRn7HfMk+0TdHhLHmSYmdPQD7bGjIO6SbH&#10;0xWmTbsX1oznMlfGOeFKSZkNwFahxVtGZpIRqK7M27T7gA3bG8Q21sk/YI3BECpQy+hcMuE2RNHs&#10;g3QvUDs5HTZQY/NB+3BxyDcistsLRbMPyjrzVq3tjcXfmBZziLcIaZBJW0bGAjUgcNXTXRTzzbyd&#10;OAcmtK0go0HZbYN28WsUythKiyXeJvEWSZabcwi6xFso7MyiidJg8dnWj3EATTmXi8+m3VO7aRd1&#10;a5CxHNNYOvfpwEbinUgsLQsHdmQGGUDFST634m3afcCmxFvCLdEV9dexDmiGysgWkuH0GVdBrZt9&#10;kO4l3k6cA8dpW1XEId+A0215o9kH5bxQ+ZXOOLQNO6rpcp10Y2pDFbSWMFictoVFHECTRLsKadPu&#10;AzVqLBwvl5rZDWyhzcj4fAU24jQGQEDtVvEZZIlrsSCBbcPYqPyb4jRLjRn6D1gjQw9FbKM0Mc1k&#10;SfccB5p9aN3FaYPzQMADrwtV0RlkyD9vE2+Ebz8+s5xJnCeq8256LYfnSXIsFU2oCAvG58j8MdJo&#10;F6FNuw+j9bFkigIDpi2xaQc7d4eBmlac9A8PvffCUGWzzniyMtc6BALbGkkjAzVto22J/ZhY2weM&#10;A2totcs70c0+tOYcB4SanTpMpVluVh/2Si0ccJTQfGkwBbeJSCxAo95wxequDBlFaaw5sUedMMxZ&#10;MdTPr+osnIOCM+gCAm1zkTiAJpV2eWSm3YfTDJ89oFQbqVmR5WaWsCM1p6QccynhSB2ZUUaYulht&#10;2n2whn5LVrQl9WNiHaFX9pX1RTh8yAfrWYrpS1qoRhn417HGQAsVrLHnt33AODQcJ8+4oNbNXkgz&#10;lNXtqkGYbvj8jUGwFjLHeQmQ+GBIR7aSDOfPkcre7OQw7X5Y41wy0c5U4whghiQM1+uitT6WLORO&#10;DlPox2OKEqbuuprafbDGsWSYSDErUDTU2rF4JKgj88ug1O4ZzM5LGlVt6W3UtJ+WYnXOs9xc75GQ&#10;jswsA9IuTutmH0qjlE5aVzRLJM4Ifi3e9LkdBa1xChaorWLFkZKReLtyMtPugzRNVSscNag5rbB4&#10;EKckvA7U2MohKT8PhnVkXhlh6i6rqd0Ha72VA1tqSb411JpFPfkODnVkbhl02j2FiWYfoOGEtQv8&#10;nTCHXU+GpRLts8Wh3QDZVWPpZh+QTTaWwfAEnaXK8nRIZ0xdpkT3YModmUkGSN3TWeYYA6o1PfLu&#10;9sOzhJDK7MjuCTdNUvd37Nz7w0zN/s94imnsZXaFaN3szWk67Yo4jeksXHCQjYkkLyRy/lCcht5E&#10;pt6pe9cOmv2QphO+ceaurqVxIPAQaMrFaLl5MKCtrR9LmIYjeGuFgoG2I0aJd5eL5Q6Uw6ZiZrY8&#10;KtkGo27sbmBsHcJRGOOM35TjhH7i8gy7dlBOQxu6+MzwyZYp+WbByPwwvpj+jPnLGh87jg/sXTfl&#10;cbNdvi/PZf97/eHki4rXm3r3XDXv/gYAAP//AwBQSwMEFAAGAAgAAAAhACMKpundAAAABQEAAA8A&#10;AABkcnMvZG93bnJldi54bWxMj0FLw0AQhe+C/2GZgje7SaQhpNmUUtRTEWwF8TbNTpPQ7GzIbpP0&#10;37t60cvA4z3e+6bYzKYTIw2utawgXkYgiCurW64VfBxfHjMQziNr7CyTghs52JT3dwXm2k78TuPB&#10;1yKUsMtRQeN9n0vpqoYMuqXtiYN3toNBH+RQSz3gFMpNJ5MoSqXBlsNCgz3tGqouh6tR8DrhtH2K&#10;n8f95by7fR1Xb5/7mJR6WMzbNQhPs/8Lww9+QIcyMJ3slbUTnYLwiP+9wUuTLAVxUpCtkhhkWcj/&#10;9OU3AAAA//8DAFBLAQItABQABgAIAAAAIQC2gziS/gAAAOEBAAATAAAAAAAAAAAAAAAAAAAAAABb&#10;Q29udGVudF9UeXBlc10ueG1sUEsBAi0AFAAGAAgAAAAhADj9If/WAAAAlAEAAAsAAAAAAAAAAAAA&#10;AAAALwEAAF9yZWxzLy5yZWxzUEsBAi0AFAAGAAgAAAAhAHkj2Hh0CgAA9IAAAA4AAAAAAAAAAAAA&#10;AAAALgIAAGRycy9lMm9Eb2MueG1sUEsBAi0AFAAGAAgAAAAhACMKpundAAAABQEAAA8AAAAAAAAA&#10;AAAAAAAAzgwAAGRycy9kb3ducmV2LnhtbFBLBQYAAAAABAAEAPMAAADYDQAAAAA=&#10;">
                <v:rect id="Rectangle 22011" o:spid="_x0000_s6157" style="position:absolute;left:1466;top:52677;width:384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4cbxgAAAN4AAAAPAAAAZHJzL2Rvd25yZXYueG1sRI9Pi8Iw&#10;FMTvC36H8ARva9oeRKpRRBF78LL+AY+P5tl2t3kJTbTd/fSbhQWPw8z8hlmuB9OKJ3W+sawgnSYg&#10;iEurG64UXM779zkIH5A1tpZJwTd5WK9Gb0vMte35g56nUIkIYZ+jgjoEl0vpy5oM+ql1xNG7285g&#10;iLKrpO6wj3DTyixJZtJgw3GhRkfbmsqv08MouO3YFftelvefrTt+FvP28LhclZqMh80CRKAhvML/&#10;7UIryLIkTeHvTrwCcvULAAD//wMAUEsBAi0AFAAGAAgAAAAhANvh9svuAAAAhQEAABMAAAAAAAAA&#10;AAAAAAAAAAAAAFtDb250ZW50X1R5cGVzXS54bWxQSwECLQAUAAYACAAAACEAWvQsW78AAAAVAQAA&#10;CwAAAAAAAAAAAAAAAAAfAQAAX3JlbHMvLnJlbHNQSwECLQAUAAYACAAAACEALJ+HG8YAAADeAAAA&#10;DwAAAAAAAAAAAAAAAAAHAgAAZHJzL2Rvd25yZXYueG1sUEsFBgAAAAADAAMAtwAAAPoCAAAAAA==&#10;" filled="f" stroked="f">
                  <v:textbox inset="0,0,0,0">
                    <w:txbxContent>
                      <w:p w14:paraId="34735BE5" w14:textId="77777777" w:rsidR="00B32EF2" w:rsidRDefault="00000000">
                        <w:r>
                          <w:rPr>
                            <w:rFonts w:ascii="Arial" w:eastAsia="Arial" w:hAnsi="Arial" w:cs="Arial"/>
                            <w:sz w:val="18"/>
                          </w:rPr>
                          <w:t>da dimissioni volontarie, secondo i rispettivi ordinamenti;</w:t>
                        </w:r>
                      </w:p>
                    </w:txbxContent>
                  </v:textbox>
                </v:rect>
                <v:rect id="Rectangle 22012" o:spid="_x0000_s6158" style="position:absolute;left:-12290;top:51443;width:522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RlsxgAAAN4AAAAPAAAAZHJzL2Rvd25yZXYueG1sRI9Pi8Iw&#10;FMTvC36H8IS9rak9LFKNIorYg5f1D3h8NM+22ryEJtrqp98sLHgcZuY3zGzRm0Y8qPW1ZQXjUQKC&#10;uLC65lLB8bD5moDwAVljY5kUPMnDYj74mGGmbcc/9NiHUkQI+wwVVCG4TEpfVGTQj6wjjt7FtgZD&#10;lG0pdYtdhJtGpknyLQ3WHBcqdLSqqLjt70bBec0u33SyuLxWbnfNJ832fjwp9Tnsl1MQgfrwDv+3&#10;c60gTZNxCn934hWQ818AAAD//wMAUEsBAi0AFAAGAAgAAAAhANvh9svuAAAAhQEAABMAAAAAAAAA&#10;AAAAAAAAAAAAAFtDb250ZW50X1R5cGVzXS54bWxQSwECLQAUAAYACAAAACEAWvQsW78AAAAVAQAA&#10;CwAAAAAAAAAAAAAAAAAfAQAAX3JlbHMvLnJlbHNQSwECLQAUAAYACAAAACEA3E0ZbMYAAADeAAAA&#10;DwAAAAAAAAAAAAAAAAAHAgAAZHJzL2Rvd25yZXYueG1sUEsFBgAAAAADAAMAtwAAAPoCAAAAAA==&#10;" filled="f" stroked="f">
                  <v:textbox inset="0,0,0,0">
                    <w:txbxContent>
                      <w:p w14:paraId="37404E81" w14:textId="77777777" w:rsidR="00B32EF2" w:rsidRDefault="00000000">
                        <w:r>
                          <w:rPr>
                            <w:rFonts w:ascii="Arial" w:eastAsia="Arial" w:hAnsi="Arial" w:cs="Arial"/>
                            <w:sz w:val="18"/>
                          </w:rPr>
                          <w:t>d) omettono, senza giustificato motivo, di assumere l’incarico entro trenta gior</w:t>
                        </w:r>
                      </w:p>
                    </w:txbxContent>
                  </v:textbox>
                </v:rect>
                <v:rect id="Rectangle 22013" o:spid="_x0000_s6159" style="position:absolute;left:192;top:5144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bz3xgAAAN4AAAAPAAAAZHJzL2Rvd25yZXYueG1sRI9Ba8JA&#10;FITvBf/D8oTe6sYURFJXEUXMoRdtBI+P7DNJzb5dsqtJ++u7gtDjMDPfMIvVYFpxp843lhVMJwkI&#10;4tLqhisFxdfubQ7CB2SNrWVS8EMeVsvRywIzbXs+0P0YKhEh7DNUUIfgMil9WZNBP7GOOHoX2xkM&#10;UXaV1B32EW5amSbJTBpsOC7U6GhTU3k93oyC85ZdvutlefnduM/vfN7ub8VJqdfxsP4AEWgI/+Fn&#10;O9cK0jSZvsPjTrwCcvkHAAD//wMAUEsBAi0AFAAGAAgAAAAhANvh9svuAAAAhQEAABMAAAAAAAAA&#10;AAAAAAAAAAAAAFtDb250ZW50X1R5cGVzXS54bWxQSwECLQAUAAYACAAAACEAWvQsW78AAAAVAQAA&#10;CwAAAAAAAAAAAAAAAAAfAQAAX3JlbHMvLnJlbHNQSwECLQAUAAYACAAAACEAswG898YAAADeAAAA&#10;DwAAAAAAAAAAAAAAAAAHAgAAZHJzL2Rvd25yZXYueG1sUEsFBgAAAAADAAMAtwAAAPoCAAAAAA==&#10;" filled="f" stroked="f">
                  <v:textbox inset="0,0,0,0">
                    <w:txbxContent>
                      <w:p w14:paraId="48F3A83F" w14:textId="77777777" w:rsidR="00B32EF2" w:rsidRDefault="00000000">
                        <w:r>
                          <w:rPr>
                            <w:rFonts w:ascii="Arial" w:eastAsia="Arial" w:hAnsi="Arial" w:cs="Arial"/>
                            <w:sz w:val="18"/>
                          </w:rPr>
                          <w:t>-</w:t>
                        </w:r>
                      </w:p>
                    </w:txbxContent>
                  </v:textbox>
                </v:rect>
                <v:rect id="Rectangle 22014" o:spid="_x0000_s6160" style="position:absolute;left:8822;top:50210;width:310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CSDxgAAAN4AAAAPAAAAZHJzL2Rvd25yZXYueG1sRI9Ba8JA&#10;FITvBf/D8oTe6sZQRFJXEUXMoRdtBI+P7DNJzb5dsqtJ++u7gtDjMDPfMIvVYFpxp843lhVMJwkI&#10;4tLqhisFxdfubQ7CB2SNrWVS8EMeVsvRywIzbXs+0P0YKhEh7DNUUIfgMil9WZNBP7GOOHoX2xkM&#10;UXaV1B32EW5amSbJTBpsOC7U6GhTU3k93oyC85ZdvutlefnduM/vfN7ub8VJqdfxsP4AEWgI/+Fn&#10;O9cK0jSZvsPjTrwCcvkHAAD//wMAUEsBAi0AFAAGAAgAAAAhANvh9svuAAAAhQEAABMAAAAAAAAA&#10;AAAAAAAAAAAAAFtDb250ZW50X1R5cGVzXS54bWxQSwECLQAUAAYACAAAACEAWvQsW78AAAAVAQAA&#10;CwAAAAAAAAAAAAAAAAAfAQAAX3JlbHMvLnJlbHNQSwECLQAUAAYACAAAACEAPOgkg8YAAADeAAAA&#10;DwAAAAAAAAAAAAAAAAAHAgAAZHJzL2Rvd25yZXYueG1sUEsFBgAAAAADAAMAtwAAAPoCAAAAAA==&#10;" filled="f" stroked="f">
                  <v:textbox inset="0,0,0,0">
                    <w:txbxContent>
                      <w:p w14:paraId="415E34B8" w14:textId="77777777" w:rsidR="00B32EF2" w:rsidRDefault="00000000">
                        <w:r>
                          <w:rPr>
                            <w:rFonts w:ascii="Arial" w:eastAsia="Arial" w:hAnsi="Arial" w:cs="Arial"/>
                            <w:sz w:val="18"/>
                          </w:rPr>
                          <w:t>ni dalla comunicazione del decreto di nomina;</w:t>
                        </w:r>
                      </w:p>
                    </w:txbxContent>
                  </v:textbox>
                </v:rect>
                <v:rect id="Rectangle 22015" o:spid="_x0000_s6161" style="position:absolute;left:-8367;top:48977;width:482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EYxgAAAN4AAAAPAAAAZHJzL2Rvd25yZXYueG1sRI9Ba8JA&#10;FITvBf/D8oTe6sZARVJXEUXMoRdtBI+P7DNJzb5dsqtJ++u7gtDjMDPfMIvVYFpxp843lhVMJwkI&#10;4tLqhisFxdfubQ7CB2SNrWVS8EMeVsvRywIzbXs+0P0YKhEh7DNUUIfgMil9WZNBP7GOOHoX2xkM&#10;UXaV1B32EW5amSbJTBpsOC7U6GhTU3k93oyC85ZdvutlefnduM/vfN7ub8VJqdfxsP4AEWgI/+Fn&#10;O9cK0jSZvsPjTrwCcvkHAAD//wMAUEsBAi0AFAAGAAgAAAAhANvh9svuAAAAhQEAABMAAAAAAAAA&#10;AAAAAAAAAAAAAFtDb250ZW50X1R5cGVzXS54bWxQSwECLQAUAAYACAAAACEAWvQsW78AAAAVAQAA&#10;CwAAAAAAAAAAAAAAAAAfAQAAX3JlbHMvLnJlbHNQSwECLQAUAAYACAAAACEAU6SBGMYAAADeAAAA&#10;DwAAAAAAAAAAAAAAAAAHAgAAZHJzL2Rvd25yZXYueG1sUEsFBgAAAAADAAMAtwAAAPoCAAAAAA==&#10;" filled="f" stroked="f">
                  <v:textbox inset="0,0,0,0">
                    <w:txbxContent>
                      <w:p w14:paraId="2516714A" w14:textId="77777777" w:rsidR="00B32EF2" w:rsidRDefault="00000000">
                        <w:r>
                          <w:rPr>
                            <w:rFonts w:ascii="Arial" w:eastAsia="Arial" w:hAnsi="Arial" w:cs="Arial"/>
                            <w:sz w:val="18"/>
                          </w:rPr>
                          <w:t>e) non partecipano, senza giustificato motivo, a tre sedute consecutive.</w:t>
                        </w:r>
                      </w:p>
                    </w:txbxContent>
                  </v:textbox>
                </v:rect>
                <v:rect id="Rectangle 202122" o:spid="_x0000_s6162" style="position:absolute;left:-13818;top:47744;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S/OxwAAAN8AAAAPAAAAZHJzL2Rvd25yZXYueG1sRI9BawIx&#10;FITvgv8hPKE3zZpDka1RikW6h160Cj0+Ns/d1c1L2ER39debQqHHYWa+YZbrwbbiRl1oHGuYzzIQ&#10;xKUzDVcaDt/b6QJEiMgGW8ek4U4B1qvxaIm5cT3v6LaPlUgQDjlqqGP0uZShrMlimDlPnLyT6yzG&#10;JLtKmg77BLetVFn2Ki02nBZq9LSpqbzsr1bDzwf7YtvL8vTY+K9zsWg/r4ej1i+T4f0NRKQh/of/&#10;2oXRoDI1Vwp+/6QvIFdPAAAA//8DAFBLAQItABQABgAIAAAAIQDb4fbL7gAAAIUBAAATAAAAAAAA&#10;AAAAAAAAAAAAAABbQ29udGVudF9UeXBlc10ueG1sUEsBAi0AFAAGAAgAAAAhAFr0LFu/AAAAFQEA&#10;AAsAAAAAAAAAAAAAAAAAHwEAAF9yZWxzLy5yZWxzUEsBAi0AFAAGAAgAAAAhAGwVL87HAAAA3wAA&#10;AA8AAAAAAAAAAAAAAAAABwIAAGRycy9kb3ducmV2LnhtbFBLBQYAAAAAAwADALcAAAD7AgAAAAA=&#10;" filled="f" stroked="f">
                  <v:textbox inset="0,0,0,0">
                    <w:txbxContent>
                      <w:p w14:paraId="7DE5A6A1" w14:textId="77777777" w:rsidR="00B32EF2" w:rsidRDefault="00000000">
                        <w:r>
                          <w:rPr>
                            <w:rFonts w:ascii="Arial" w:eastAsia="Arial" w:hAnsi="Arial" w:cs="Arial"/>
                            <w:sz w:val="18"/>
                          </w:rPr>
                          <w:t xml:space="preserve">. La decadenza è dichiarata con decreto del Ministro dell’economia e delle </w:t>
                        </w:r>
                      </w:p>
                    </w:txbxContent>
                  </v:textbox>
                </v:rect>
                <v:rect id="Rectangle 202121" o:spid="_x0000_s6163" style="position:absolute;left:26109;top:47744;width:5309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7G5xwAAAN8AAAAPAAAAZHJzL2Rvd25yZXYueG1sRI9Pi8Iw&#10;FMTvC36H8ARva9oeRKpRRBF78LL+AY+P5tl2t3kJTbTd/fSbhQWPw8z8hlmuB9OKJ3W+sawgnSYg&#10;iEurG64UXM779zkIH5A1tpZJwTd5WK9Gb0vMte35g56nUIkIYZ+jgjoEl0vpy5oM+ql1xNG7285g&#10;iLKrpO6wj3DTyixJZtJgw3GhRkfbmsqv08MouO3YFftelvefrTt+FvP28LhclZqMh80CRKAhvML/&#10;7UIryJIszVL4+xO/gFz9AgAA//8DAFBLAQItABQABgAIAAAAIQDb4fbL7gAAAIUBAAATAAAAAAAA&#10;AAAAAAAAAAAAAABbQ29udGVudF9UeXBlc10ueG1sUEsBAi0AFAAGAAgAAAAhAFr0LFu/AAAAFQEA&#10;AAsAAAAAAAAAAAAAAAAAHwEAAF9yZWxzLy5yZWxzUEsBAi0AFAAGAAgAAAAhAJzHsbnHAAAA3wAA&#10;AA8AAAAAAAAAAAAAAAAABwIAAGRycy9kb3ducmV2LnhtbFBLBQYAAAAAAwADALcAAAD7AgAAAAA=&#10;" filled="f" stroked="f">
                  <v:textbox inset="0,0,0,0">
                    <w:txbxContent>
                      <w:p w14:paraId="36C04AD0" w14:textId="77777777" w:rsidR="00B32EF2" w:rsidRDefault="00000000">
                        <w:r>
                          <w:rPr>
                            <w:rFonts w:ascii="Arial" w:eastAsia="Arial" w:hAnsi="Arial" w:cs="Arial"/>
                            <w:sz w:val="18"/>
                          </w:rPr>
                          <w:t>2</w:t>
                        </w:r>
                      </w:p>
                    </w:txbxContent>
                  </v:textbox>
                </v:rect>
                <v:rect id="Rectangle 22017" o:spid="_x0000_s6164" style="position:absolute;left:1522;top:46510;width:383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rr0xgAAAN4AAAAPAAAAZHJzL2Rvd25yZXYueG1sRI9Ba8JA&#10;FITvBf/D8oTe6sYcqqSuIoqYQy/aCB4f2WeSmn27ZFeT9td3BaHHYWa+YRarwbTiTp1vLCuYThIQ&#10;xKXVDVcKiq/d2xyED8gaW8uk4Ic8rJajlwVm2vZ8oPsxVCJC2GeooA7BZVL6siaDfmIdcfQutjMY&#10;ouwqqTvsI9y0Mk2Sd2mw4bhQo6NNTeX1eDMKzlt2+a6X5eV34z6/83m7vxUnpV7Hw/oDRKAh/Ief&#10;7VwrSNNkOoPHnXgF5PIPAAD//wMAUEsBAi0AFAAGAAgAAAAhANvh9svuAAAAhQEAABMAAAAAAAAA&#10;AAAAAAAAAAAAAFtDb250ZW50X1R5cGVzXS54bWxQSwECLQAUAAYACAAAACEAWvQsW78AAAAVAQAA&#10;CwAAAAAAAAAAAAAAAAAfAQAAX3JlbHMvLnJlbHNQSwECLQAUAAYACAAAACEAzDq69MYAAADeAAAA&#10;DwAAAAAAAAAAAAAAAAAHAgAAZHJzL2Rvd25yZXYueG1sUEsFBgAAAAADAAMAtwAAAPoCAAAAAA==&#10;" filled="f" stroked="f">
                  <v:textbox inset="0,0,0,0">
                    <w:txbxContent>
                      <w:p w14:paraId="2C23AFB6" w14:textId="77777777" w:rsidR="00B32EF2" w:rsidRDefault="00000000">
                        <w:r>
                          <w:rPr>
                            <w:rFonts w:ascii="Arial" w:eastAsia="Arial" w:hAnsi="Arial" w:cs="Arial"/>
                            <w:sz w:val="18"/>
                          </w:rPr>
                          <w:t>finanze previa deliberazione del Consiglio di presidenza.</w:t>
                        </w:r>
                      </w:p>
                    </w:txbxContent>
                  </v:textbox>
                </v:rect>
                <v:rect id="Rectangle 22018" o:spid="_x0000_s6165" style="position:absolute;left:15101;top:44044;width:80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S6GxAAAAN4AAAAPAAAAZHJzL2Rvd25yZXYueG1sRE+7asMw&#10;FN0L+QdxA9kaOR5KcKOEkmDioUvcFDperBvbrXUlLPmRfH01FDoeznt3mE0nRup9a1nBZp2AIK6s&#10;brlWcP3In7cgfEDW2FkmBXfycNgvnnaYaTvxhcYy1CKGsM9QQROCy6T0VUMG/do64sjdbG8wRNjX&#10;Uvc4xXDTyTRJXqTBlmNDg46ODVU/5WAUfJ3YFfkkq9vj6N6/i213Hq6fSq2W89sriEBz+Bf/uQut&#10;IE2TTdwb78QrIPe/AAAA//8DAFBLAQItABQABgAIAAAAIQDb4fbL7gAAAIUBAAATAAAAAAAAAAAA&#10;AAAAAAAAAABbQ29udGVudF9UeXBlc10ueG1sUEsBAi0AFAAGAAgAAAAhAFr0LFu/AAAAFQEAAAsA&#10;AAAAAAAAAAAAAAAAHwEAAF9yZWxzLy5yZWxzUEsBAi0AFAAGAAgAAAAhAL2lLobEAAAA3gAAAA8A&#10;AAAAAAAAAAAAAAAABwIAAGRycy9kb3ducmV2LnhtbFBLBQYAAAAAAwADALcAAAD4AgAAAAA=&#10;" filled="f" stroked="f">
                  <v:textbox inset="0,0,0,0">
                    <w:txbxContent>
                      <w:p w14:paraId="7E9072EE" w14:textId="77777777" w:rsidR="00B32EF2" w:rsidRDefault="00000000">
                        <w:r>
                          <w:rPr>
                            <w:rFonts w:ascii="Arial" w:eastAsia="Arial" w:hAnsi="Arial" w:cs="Arial"/>
                            <w:b/>
                            <w:sz w:val="18"/>
                          </w:rPr>
                          <w:t>Articolo 19</w:t>
                        </w:r>
                      </w:p>
                    </w:txbxContent>
                  </v:textbox>
                </v:rect>
                <v:rect id="Rectangle 202120" o:spid="_x0000_s6166" style="position:absolute;left:11676;top:42810;width:193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xQixgAAAN8AAAAPAAAAZHJzL2Rvd25yZXYueG1sRI+7asMw&#10;FIb3Qt5BnEC2Ro6HEtwooSSYeOgSN4WOB+vEdmsdCUu+JE9fDYWOP/+Nb3eYTSdG6n1rWcFmnYAg&#10;rqxuuVZw/ciftyB8QNbYWSYFd/Jw2C+edphpO/GFxjLUIo6wz1BBE4LLpPRVQwb92jri6N1sbzBE&#10;2ddS9zjFcdPJNElepMGW40ODjo4NVT/lYBR8ndgV+SSr2+Po3r+LbXcerp9KrZbz2yuIQHP4D/+1&#10;C60gTdJNGgkiT2QBuf8FAAD//wMAUEsBAi0AFAAGAAgAAAAhANvh9svuAAAAhQEAABMAAAAAAAAA&#10;AAAAAAAAAAAAAFtDb250ZW50X1R5cGVzXS54bWxQSwECLQAUAAYACAAAACEAWvQsW78AAAAVAQAA&#10;CwAAAAAAAAAAAAAAAAAfAQAAX3JlbHMvLnJlbHNQSwECLQAUAAYACAAAACEA84sUIsYAAADfAAAA&#10;DwAAAAAAAAAAAAAAAAAHAgAAZHJzL2Rvd25yZXYueG1sUEsFBgAAAAADAAMAtwAAAPoCAAAAAA==&#10;" filled="f" stroked="f">
                  <v:textbox inset="0,0,0,0">
                    <w:txbxContent>
                      <w:p w14:paraId="47CE820E" w14:textId="77777777" w:rsidR="00B32EF2" w:rsidRDefault="00000000">
                        <w:r>
                          <w:rPr>
                            <w:rFonts w:ascii="Arial" w:eastAsia="Arial" w:hAnsi="Arial" w:cs="Arial"/>
                            <w:i/>
                            <w:sz w:val="18"/>
                          </w:rPr>
                          <w:t xml:space="preserve">articolo 13 D.lgs. n. </w:t>
                        </w:r>
                      </w:p>
                    </w:txbxContent>
                  </v:textbox>
                </v:rect>
                <v:rect id="Rectangle 202119" o:spid="_x0000_s6167" style="position:absolute;left:-2524;top:42810;width:193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XcCyAAAAN8AAAAPAAAAZHJzL2Rvd25yZXYueG1sRI9Ba8JA&#10;FITvBf/D8oTe6iY5FBvdBFHEHHqptdDjI/tMotm3S3Y1aX99t1DocZiZb5h1OZle3GnwnWUF6SIB&#10;QVxb3XGj4PS+f1qC8AFZY2+ZFHyRh7KYPawx13bkN7ofQyMihH2OCtoQXC6lr1sy6BfWEUfvbAeD&#10;IcqhkXrAMcJNL7MkeZYGO44LLTratlRfjzej4HPHrtqPsj5/b93rpVr2h9vpQ6nH+bRZgQg0hf/w&#10;X7vSCrIkS9MX+P0Tv4AsfgAAAP//AwBQSwECLQAUAAYACAAAACEA2+H2y+4AAACFAQAAEwAAAAAA&#10;AAAAAAAAAAAAAAAAW0NvbnRlbnRfVHlwZXNdLnhtbFBLAQItABQABgAIAAAAIQBa9CxbvwAAABUB&#10;AAALAAAAAAAAAAAAAAAAAB8BAABfcmVscy8ucmVsc1BLAQItABQABgAIAAAAIQCs3XcCyAAAAN8A&#10;AAAPAAAAAAAAAAAAAAAAAAcCAABkcnMvZG93bnJldi54bWxQSwUGAAAAAAMAAwC3AAAA/AIAAAAA&#10;" filled="f" stroked="f">
                  <v:textbox inset="0,0,0,0">
                    <w:txbxContent>
                      <w:p w14:paraId="7CA571E5" w14:textId="77777777" w:rsidR="00B32EF2" w:rsidRDefault="00000000">
                        <w:r>
                          <w:rPr>
                            <w:rFonts w:ascii="Arial" w:eastAsia="Arial" w:hAnsi="Arial" w:cs="Arial"/>
                            <w:i/>
                            <w:sz w:val="18"/>
                          </w:rPr>
                          <w:t>545/92)</w:t>
                        </w:r>
                      </w:p>
                    </w:txbxContent>
                  </v:textbox>
                </v:rect>
                <v:rect id="Rectangle 202118" o:spid="_x0000_s6168" style="position:absolute;left:22211;top:42810;width:193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dKZwwAAAN8AAAAPAAAAZHJzL2Rvd25yZXYueG1sRE9Ni8Iw&#10;EL0v+B/CCN7WtD2IVKOIIvbgZV0Fj0MzttVmEppo6/76zWFhj4/3vVwPphUv6nxjWUE6TUAQl1Y3&#10;XCk4f+8/5yB8QNbYWiYFb/KwXo0+lphr2/MXvU6hEjGEfY4K6hBcLqUvazLop9YRR+5mO4Mhwq6S&#10;usM+hptWZkkykwYbjg01OtrWVD5OT6PgumNX7HtZ3n627ngv5u3heb4oNRkPmwWIQEP4F/+5C60g&#10;S7I0jYPjn/gF5OoXAAD//wMAUEsBAi0AFAAGAAgAAAAhANvh9svuAAAAhQEAABMAAAAAAAAAAAAA&#10;AAAAAAAAAFtDb250ZW50X1R5cGVzXS54bWxQSwECLQAUAAYACAAAACEAWvQsW78AAAAVAQAACwAA&#10;AAAAAAAAAAAAAAAfAQAAX3JlbHMvLnJlbHNQSwECLQAUAAYACAAAACEAw5HSmcMAAADfAAAADwAA&#10;AAAAAAAAAAAAAAAHAgAAZHJzL2Rvd25yZXYueG1sUEsFBgAAAAADAAMAtwAAAPcCAAAAAA==&#10;" filled="f" stroked="f">
                  <v:textbox inset="0,0,0,0">
                    <w:txbxContent>
                      <w:p w14:paraId="5331F407" w14:textId="77777777" w:rsidR="00B32EF2" w:rsidRDefault="00000000">
                        <w:r>
                          <w:rPr>
                            <w:rFonts w:ascii="Arial" w:eastAsia="Arial" w:hAnsi="Arial" w:cs="Arial"/>
                            <w:i/>
                            <w:sz w:val="18"/>
                          </w:rPr>
                          <w:t>(</w:t>
                        </w:r>
                      </w:p>
                    </w:txbxContent>
                  </v:textbox>
                </v:rect>
                <v:rect id="Rectangle 22020" o:spid="_x0000_s6169" style="position:absolute;left:-268;top:41577;width:324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g9xQAAAN4AAAAPAAAAZHJzL2Rvd25yZXYueG1sRI+7asMw&#10;FIb3Qt5BnEK2Rq6HYhwrISSEeOhSN4GMB+v40lpHwlJip09fDYWOP/+Nr9jOZhB3Gn1vWcHrKgFB&#10;XFvdc6vg/Hl8yUD4gKxxsEwKHuRhu1k8FZhrO/EH3avQijjCPkcFXQgul9LXHRn0K+uIo9fY0WCI&#10;cmylHnGK42aQaZK8SYM9x4cOHe07qr+rm1FwPbArj5Osm5+9e/8qs+F0O1+UWj7PuzWIQHP4D/+1&#10;S60gTZM0AkSciAJy8wsAAP//AwBQSwECLQAUAAYACAAAACEA2+H2y+4AAACFAQAAEwAAAAAAAAAA&#10;AAAAAAAAAAAAW0NvbnRlbnRfVHlwZXNdLnhtbFBLAQItABQABgAIAAAAIQBa9CxbvwAAABUBAAAL&#10;AAAAAAAAAAAAAAAAAB8BAABfcmVscy8ucmVsc1BLAQItABQABgAIAAAAIQCNv+g9xQAAAN4AAAAP&#10;AAAAAAAAAAAAAAAAAAcCAABkcnMvZG93bnJldi54bWxQSwUGAAAAAAMAAwC3AAAA+QIAAAAA&#10;" filled="f" stroked="f">
                  <v:textbox inset="0,0,0,0">
                    <w:txbxContent>
                      <w:p w14:paraId="3D163561" w14:textId="77777777" w:rsidR="00B32EF2" w:rsidRDefault="00000000">
                        <w:r>
                          <w:rPr>
                            <w:rFonts w:ascii="Arial" w:eastAsia="Arial" w:hAnsi="Arial" w:cs="Arial"/>
                            <w:b/>
                            <w:sz w:val="18"/>
                          </w:rPr>
                          <w:t xml:space="preserve">Trattamento economico dei giudici tributari </w:t>
                        </w:r>
                      </w:p>
                    </w:txbxContent>
                  </v:textbox>
                </v:rect>
                <v:rect id="Rectangle 202117" o:spid="_x0000_s6170" style="position:absolute;left:-13764;top:4034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kbrxwAAAN8AAAAPAAAAZHJzL2Rvd25yZXYueG1sRI9Ba8JA&#10;FITvQv/D8gredJMcVFJXEUXMwYvWQo+P7DNJzb5dsquJ/fXdQqHHYWa+YZbrwbTiQZ1vLCtIpwkI&#10;4tLqhisFl/f9ZAHCB2SNrWVS8CQP69XLaIm5tj2f6HEOlYgQ9jkqqENwuZS+rMmgn1pHHL2r7QyG&#10;KLtK6g77CDetzJJkJg02HBdqdLStqbyd70bB545dse9lef3euuNXsWgP98uHUuPXYfMGItAQ/sN/&#10;7UIryJIsTefw+yd+Abn6AQAA//8DAFBLAQItABQABgAIAAAAIQDb4fbL7gAAAIUBAAATAAAAAAAA&#10;AAAAAAAAAAAAAABbQ29udGVudF9UeXBlc10ueG1sUEsBAi0AFAAGAAgAAAAhAFr0LFu/AAAAFQEA&#10;AAsAAAAAAAAAAAAAAAAAHwEAAF9yZWxzLy5yZWxzUEsBAi0AFAAGAAgAAAAhALIORuvHAAAA3wAA&#10;AA8AAAAAAAAAAAAAAAAABwIAAGRycy9kb3ducmV2LnhtbFBLBQYAAAAAAwADALcAAAD7AgAAAAA=&#10;" filled="f" stroked="f">
                  <v:textbox inset="0,0,0,0">
                    <w:txbxContent>
                      <w:p w14:paraId="6B6DA320" w14:textId="77777777" w:rsidR="00B32EF2" w:rsidRDefault="00000000">
                        <w:r>
                          <w:rPr>
                            <w:rFonts w:ascii="Arial" w:eastAsia="Arial" w:hAnsi="Arial" w:cs="Arial"/>
                            <w:sz w:val="18"/>
                          </w:rPr>
                          <w:t xml:space="preserve">. Il Ministro dell’economia e delle finanze con proprio decreto determina il </w:t>
                        </w:r>
                      </w:p>
                    </w:txbxContent>
                  </v:textbox>
                </v:rect>
                <v:rect id="Rectangle 202116" o:spid="_x0000_s6171" style="position:absolute;left:26109;top:4034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uNwxwAAAN8AAAAPAAAAZHJzL2Rvd25yZXYueG1sRI9Ba8JA&#10;FITvBf/D8gRvdZMcRFJXKYqYg5eqhR4f2WeSNvt2ya4m+uu7guBxmJlvmMVqMK24UucbywrSaQKC&#10;uLS64UrB6bh9n4PwAVlja5kU3MjDajl6W2Cubc9fdD2ESkQI+xwV1CG4XEpf1mTQT60jjt7ZdgZD&#10;lF0ldYd9hJtWZkkykwYbjgs1OlrXVP4dLkbBz4Zdse1leb6v3f63mLe7y+lbqcl4+PwAEWgIr/Cz&#10;XWgFWZKl6Qwef+IXkMt/AAAA//8DAFBLAQItABQABgAIAAAAIQDb4fbL7gAAAIUBAAATAAAAAAAA&#10;AAAAAAAAAAAAAABbQ29udGVudF9UeXBlc10ueG1sUEsBAi0AFAAGAAgAAAAhAFr0LFu/AAAAFQEA&#10;AAsAAAAAAAAAAAAAAAAAHwEAAF9yZWxzLy5yZWxzUEsBAi0AFAAGAAgAAAAhAN1C43DHAAAA3wAA&#10;AA8AAAAAAAAAAAAAAAAABwIAAGRycy9kb3ducmV2LnhtbFBLBQYAAAAAAwADALcAAAD7AgAAAAA=&#10;" filled="f" stroked="f">
                  <v:textbox inset="0,0,0,0">
                    <w:txbxContent>
                      <w:p w14:paraId="793A72E7" w14:textId="77777777" w:rsidR="00B32EF2" w:rsidRDefault="00000000">
                        <w:r>
                          <w:rPr>
                            <w:rFonts w:ascii="Arial" w:eastAsia="Arial" w:hAnsi="Arial" w:cs="Arial"/>
                            <w:sz w:val="18"/>
                          </w:rPr>
                          <w:t>1</w:t>
                        </w:r>
                      </w:p>
                    </w:txbxContent>
                  </v:textbox>
                </v:rect>
                <v:rect id="Rectangle 22022" o:spid="_x0000_s6172" style="position:absolute;left:-12205;top:39110;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dPRxgAAAN4AAAAPAAAAZHJzL2Rvd25yZXYueG1sRI9BawIx&#10;FITvBf9DeIK3mjUHkdUoRRH34KVqocfH5rm7dvMSNtHd9tc3hYLHYWa+YVabwbbiQV1oHGuYTTMQ&#10;xKUzDVcaLuf96wJEiMgGW8ek4ZsCbNajlxXmxvX8To9TrESCcMhRQx2jz6UMZU0Ww9R54uRdXWcx&#10;JtlV0nTYJ7htpcqyubTYcFqo0dO2pvLrdLcaPnfsi30vy+vP1h9vxaI93C8fWk/Gw9sSRKQhPsP/&#10;7cJoUCpTCv7upCsg178AAAD//wMAUEsBAi0AFAAGAAgAAAAhANvh9svuAAAAhQEAABMAAAAAAAAA&#10;AAAAAAAAAAAAAFtDb250ZW50X1R5cGVzXS54bWxQSwECLQAUAAYACAAAACEAWvQsW78AAAAVAQAA&#10;CwAAAAAAAAAAAAAAAAAfAQAAX3JlbHMvLnJlbHNQSwECLQAUAAYACAAAACEAEiHT0cYAAADeAAAA&#10;DwAAAAAAAAAAAAAAAAAHAgAAZHJzL2Rvd25yZXYueG1sUEsFBgAAAAADAAMAtwAAAPoCAAAAAA==&#10;" filled="f" stroked="f">
                  <v:textbox inset="0,0,0,0">
                    <w:txbxContent>
                      <w:p w14:paraId="6D2A9E40" w14:textId="77777777" w:rsidR="00B32EF2" w:rsidRDefault="00000000">
                        <w:r>
                          <w:rPr>
                            <w:rFonts w:ascii="Arial" w:eastAsia="Arial" w:hAnsi="Arial" w:cs="Arial"/>
                            <w:sz w:val="18"/>
                          </w:rPr>
                          <w:t>compenso fisso mensile spettante ai componenti delle corti di giustizia tri</w:t>
                        </w:r>
                      </w:p>
                    </w:txbxContent>
                  </v:textbox>
                </v:rect>
                <v:rect id="Rectangle 22023" o:spid="_x0000_s6173" style="position:absolute;left:192;top:3911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XZKxgAAAN4AAAAPAAAAZHJzL2Rvd25yZXYueG1sRI9Ba8JA&#10;FITvgv9heYI33RihSHQVUcQceqlV8PjIPpNo9u2SXU3aX98tFHocZuYbZrXpTSNe1PrasoLZNAFB&#10;XFhdc6ng/HmYLED4gKyxsUwKvsjDZj0crDDTtuMPep1CKSKEfYYKqhBcJqUvKjLop9YRR+9mW4Mh&#10;yraUusUuwk0j0yR5kwZrjgsVOtpVVDxOT6PgumeXHzpZ3L537v2eL5rj83xRajzqt0sQgfrwH/5r&#10;51pBmibpHH7vxCsg1z8AAAD//wMAUEsBAi0AFAAGAAgAAAAhANvh9svuAAAAhQEAABMAAAAAAAAA&#10;AAAAAAAAAAAAAFtDb250ZW50X1R5cGVzXS54bWxQSwECLQAUAAYACAAAACEAWvQsW78AAAAVAQAA&#10;CwAAAAAAAAAAAAAAAAAfAQAAX3JlbHMvLnJlbHNQSwECLQAUAAYACAAAACEAfW12SsYAAADeAAAA&#10;DwAAAAAAAAAAAAAAAAAHAgAAZHJzL2Rvd25yZXYueG1sUEsFBgAAAAADAAMAtwAAAPoCAAAAAA==&#10;" filled="f" stroked="f">
                  <v:textbox inset="0,0,0,0">
                    <w:txbxContent>
                      <w:p w14:paraId="577AEF45" w14:textId="77777777" w:rsidR="00B32EF2" w:rsidRDefault="00000000">
                        <w:r>
                          <w:rPr>
                            <w:rFonts w:ascii="Arial" w:eastAsia="Arial" w:hAnsi="Arial" w:cs="Arial"/>
                            <w:sz w:val="18"/>
                          </w:rPr>
                          <w:t>-</w:t>
                        </w:r>
                      </w:p>
                    </w:txbxContent>
                  </v:textbox>
                </v:rect>
                <v:rect id="Rectangle 22024" o:spid="_x0000_s6174" style="position:absolute;left:-13172;top:3787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O4+xgAAAN4AAAAPAAAAZHJzL2Rvd25yZXYueG1sRI9Ba8JA&#10;FITvgv9heYI33RikSHQVUcQceqlV8PjIPpNo9u2SXU3aX98tFHocZuYbZrXpTSNe1PrasoLZNAFB&#10;XFhdc6ng/HmYLED4gKyxsUwKvsjDZj0crDDTtuMPep1CKSKEfYYKqhBcJqUvKjLop9YRR+9mW4Mh&#10;yraUusUuwk0j0yR5kwZrjgsVOtpVVDxOT6PgumeXHzpZ3L537v2eL5rj83xRajzqt0sQgfrwH/5r&#10;51pBmibpHH7vxCsg1z8AAAD//wMAUEsBAi0AFAAGAAgAAAAhANvh9svuAAAAhQEAABMAAAAAAAAA&#10;AAAAAAAAAAAAAFtDb250ZW50X1R5cGVzXS54bWxQSwECLQAUAAYACAAAACEAWvQsW78AAAAVAQAA&#10;CwAAAAAAAAAAAAAAAAAfAQAAX3JlbHMvLnJlbHNQSwECLQAUAAYACAAAACEA8oTuPsYAAADeAAAA&#10;DwAAAAAAAAAAAAAAAAAHAgAAZHJzL2Rvd25yZXYueG1sUEsFBgAAAAADAAMAtwAAAPoCAAAAAA==&#10;" filled="f" stroked="f">
                  <v:textbox inset="0,0,0,0">
                    <w:txbxContent>
                      <w:p w14:paraId="2780C3C6" w14:textId="77777777" w:rsidR="00B32EF2" w:rsidRDefault="00000000">
                        <w:r>
                          <w:rPr>
                            <w:rFonts w:ascii="Arial" w:eastAsia="Arial" w:hAnsi="Arial" w:cs="Arial"/>
                            <w:sz w:val="18"/>
                          </w:rPr>
                          <w:t xml:space="preserve">butaria di primo e secondo grado presenti nel ruolo unico di cui all’articolo 2, </w:t>
                        </w:r>
                      </w:p>
                    </w:txbxContent>
                  </v:textbox>
                </v:rect>
                <v:rect id="Rectangle 22025" o:spid="_x0000_s6175" style="position:absolute;left:33161;top:36644;width:67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ulxgAAAN4AAAAPAAAAZHJzL2Rvd25yZXYueG1sRI9Ba8JA&#10;FITvgv9heYI33RiwSHQVUcQceqlV8PjIPpNo9u2SXU3aX98tFHocZuYbZrXpTSNe1PrasoLZNAFB&#10;XFhdc6ng/HmYLED4gKyxsUwKvsjDZj0crDDTtuMPep1CKSKEfYYKqhBcJqUvKjLop9YRR+9mW4Mh&#10;yraUusUuwk0j0yR5kwZrjgsVOtpVVDxOT6PgumeXHzpZ3L537v2eL5rj83xRajzqt0sQgfrwH/5r&#10;51pBmibpHH7vxCsg1z8AAAD//wMAUEsBAi0AFAAGAAgAAAAhANvh9svuAAAAhQEAABMAAAAAAAAA&#10;AAAAAAAAAAAAAFtDb250ZW50X1R5cGVzXS54bWxQSwECLQAUAAYACAAAACEAWvQsW78AAAAVAQAA&#10;CwAAAAAAAAAAAAAAAAAfAQAAX3JlbHMvLnJlbHNQSwECLQAUAAYACAAAACEAnchLpcYAAADeAAAA&#10;DwAAAAAAAAAAAAAAAAAHAgAAZHJzL2Rvd25yZXYueG1sUEsFBgAAAAADAAMAtwAAAPoCAAAAAA==&#10;" filled="f" stroked="f">
                  <v:textbox inset="0,0,0,0">
                    <w:txbxContent>
                      <w:p w14:paraId="56BECD87" w14:textId="77777777" w:rsidR="00B32EF2" w:rsidRDefault="00000000">
                        <w:r>
                          <w:rPr>
                            <w:rFonts w:ascii="Arial" w:eastAsia="Arial" w:hAnsi="Arial" w:cs="Arial"/>
                            <w:sz w:val="18"/>
                          </w:rPr>
                          <w:t>comma 2.</w:t>
                        </w:r>
                      </w:p>
                    </w:txbxContent>
                  </v:textbox>
                </v:rect>
                <v:rect id="Rectangle 202115" o:spid="_x0000_s6176" style="position:absolute;left:-12935;top:35411;width:522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0HxwAAAN8AAAAPAAAAZHJzL2Rvd25yZXYueG1sRI9Ba8JA&#10;FITvQv/D8gredJOAIqmriCLm4EVrocdH9pmkZt8u2dXE/vpuodDjMDPfMMv1YFrxoM43lhWk0wQE&#10;cWl1w5WCy/t+sgDhA7LG1jIpeJKH9epltMRc255P9DiHSkQI+xwV1CG4XEpf1mTQT60jjt7VdgZD&#10;lF0ldYd9hJtWZkkylwYbjgs1OtrWVN7Od6Pgc8eu2PeyvH5v3fGrWLSH++VDqfHrsHkDEWgI/+G/&#10;dqEVZEmWpjP4/RO/gFz9AAAA//8DAFBLAQItABQABgAIAAAAIQDb4fbL7gAAAIUBAAATAAAAAAAA&#10;AAAAAAAAAAAAAABbQ29udGVudF9UeXBlc10ueG1sUEsBAi0AFAAGAAgAAAAhAFr0LFu/AAAAFQEA&#10;AAsAAAAAAAAAAAAAAAAAHwEAAF9yZWxzLy5yZWxzUEsBAi0AFAAGAAgAAAAhAC2QfQfHAAAA3wAA&#10;AA8AAAAAAAAAAAAAAAAABwIAAGRycy9kb3ducmV2LnhtbFBLBQYAAAAAAwADALcAAAD7AgAAAAA=&#10;" filled="f" stroked="f">
                  <v:textbox inset="0,0,0,0">
                    <w:txbxContent>
                      <w:p w14:paraId="4BFC8125" w14:textId="77777777" w:rsidR="00B32EF2" w:rsidRDefault="00000000">
                        <w:r>
                          <w:rPr>
                            <w:rFonts w:ascii="Arial" w:eastAsia="Arial" w:hAnsi="Arial" w:cs="Arial"/>
                            <w:sz w:val="18"/>
                          </w:rPr>
                          <w:t>. Con il decreto di cui al comma 1, oltre al compenso mensile viene deter</w:t>
                        </w:r>
                      </w:p>
                    </w:txbxContent>
                  </v:textbox>
                </v:rect>
                <v:rect id="Rectangle 202114" o:spid="_x0000_s6177" style="position:absolute;left:26328;top:35411;width:5220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NicxwAAAN8AAAAPAAAAZHJzL2Rvd25yZXYueG1sRI9Ba8JA&#10;FITvQv/D8gredJMgIqmriCLm4EVrocdH9pmkZt8u2dXE/vpuodDjMDPfMMv1YFrxoM43lhWk0wQE&#10;cWl1w5WCy/t+sgDhA7LG1jIpeJKH9epltMRc255P9DiHSkQI+xwV1CG4XEpf1mTQT60jjt7VdgZD&#10;lF0ldYd9hJtWZkkylwYbjgs1OtrWVN7Od6Pgc8eu2PeyvH5v3fGrWLSH++VDqfHrsHkDEWgI/+G/&#10;dqEVZEmWpjP4/RO/gFz9AAAA//8DAFBLAQItABQABgAIAAAAIQDb4fbL7gAAAIUBAAATAAAAAAAA&#10;AAAAAAAAAAAAAABbQ29udGVudF9UeXBlc10ueG1sUEsBAi0AFAAGAAgAAAAhAFr0LFu/AAAAFQEA&#10;AAsAAAAAAAAAAAAAAAAAHwEAAF9yZWxzLy5yZWxzUEsBAi0AFAAGAAgAAAAhAELc2JzHAAAA3wAA&#10;AA8AAAAAAAAAAAAAAAAABwIAAGRycy9kb3ducmV2LnhtbFBLBQYAAAAAAwADALcAAAD7AgAAAAA=&#10;" filled="f" stroked="f">
                  <v:textbox inset="0,0,0,0">
                    <w:txbxContent>
                      <w:p w14:paraId="7D42ECD8" w14:textId="77777777" w:rsidR="00B32EF2" w:rsidRDefault="00000000">
                        <w:r>
                          <w:rPr>
                            <w:rFonts w:ascii="Arial" w:eastAsia="Arial" w:hAnsi="Arial" w:cs="Arial"/>
                            <w:sz w:val="18"/>
                          </w:rPr>
                          <w:t>2</w:t>
                        </w:r>
                      </w:p>
                    </w:txbxContent>
                  </v:textbox>
                </v:rect>
                <v:rect id="Rectangle 22027" o:spid="_x0000_s6178" style="position:absolute;left:192;top:35411;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nBJxgAAAN4AAAAPAAAAZHJzL2Rvd25yZXYueG1sRI9Ba8JA&#10;FITvgv9heYI33ZiDlegqoog59FKr4PGRfSbR7Nslu5q0v75bKPQ4zMw3zGrTm0a8qPW1ZQWzaQKC&#10;uLC65lLB+fMwWYDwAVljY5kUfJGHzXo4WGGmbccf9DqFUkQI+wwVVCG4TEpfVGTQT60jjt7NtgZD&#10;lG0pdYtdhJtGpkkylwZrjgsVOtpVVDxOT6PgumeXHzpZ3L537v2eL5rj83xRajzqt0sQgfrwH/5r&#10;51pBmibpG/zeiVdArn8AAAD//wMAUEsBAi0AFAAGAAgAAAAhANvh9svuAAAAhQEAABMAAAAAAAAA&#10;AAAAAAAAAAAAAFtDb250ZW50X1R5cGVzXS54bWxQSwECLQAUAAYACAAAACEAWvQsW78AAAAVAQAA&#10;CwAAAAAAAAAAAAAAAAAfAQAAX3JlbHMvLnJlbHNQSwECLQAUAAYACAAAACEAAlZwScYAAADeAAAA&#10;DwAAAAAAAAAAAAAAAAAHAgAAZHJzL2Rvd25yZXYueG1sUEsFBgAAAAADAAMAtwAAAPoCAAAAAA==&#10;" filled="f" stroked="f">
                  <v:textbox inset="0,0,0,0">
                    <w:txbxContent>
                      <w:p w14:paraId="0CFE02FE" w14:textId="77777777" w:rsidR="00B32EF2" w:rsidRDefault="00000000">
                        <w:r>
                          <w:rPr>
                            <w:rFonts w:ascii="Arial" w:eastAsia="Arial" w:hAnsi="Arial" w:cs="Arial"/>
                            <w:sz w:val="18"/>
                          </w:rPr>
                          <w:t>-</w:t>
                        </w:r>
                      </w:p>
                    </w:txbxContent>
                  </v:textbox>
                </v:rect>
                <v:rect id="Rectangle 22028" o:spid="_x0000_s6179" style="position:absolute;left:-13172;top:3417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eQ7xAAAAN4AAAAPAAAAZHJzL2Rvd25yZXYueG1sRE+7asMw&#10;FN0L+QdxC9kauR6KcayEkBDioUvdBDJerOtHa10JS4mdfn01FDoezrvYzmYQdxp9b1nB6yoBQVxb&#10;3XOr4Px5fMlA+ICscbBMCh7kYbtZPBWYazvxB92r0IoYwj5HBV0ILpfS1x0Z9CvriCPX2NFgiHBs&#10;pR5xiuFmkGmSvEmDPceGDh3tO6q/q5tRcD2wK4+TrJufvXv/KrPhdDtflFo+z7s1iEBz+Bf/uUut&#10;IE2TNO6Nd+IVkJtfAAAA//8DAFBLAQItABQABgAIAAAAIQDb4fbL7gAAAIUBAAATAAAAAAAAAAAA&#10;AAAAAAAAAABbQ29udGVudF9UeXBlc10ueG1sUEsBAi0AFAAGAAgAAAAhAFr0LFu/AAAAFQEAAAsA&#10;AAAAAAAAAAAAAAAAHwEAAF9yZWxzLy5yZWxzUEsBAi0AFAAGAAgAAAAhAHPJ5DvEAAAA3gAAAA8A&#10;AAAAAAAAAAAAAAAABwIAAGRycy9kb3ducmV2LnhtbFBLBQYAAAAAAwADALcAAAD4AgAAAAA=&#10;" filled="f" stroked="f">
                  <v:textbox inset="0,0,0,0">
                    <w:txbxContent>
                      <w:p w14:paraId="3F591635" w14:textId="77777777" w:rsidR="00B32EF2" w:rsidRDefault="00000000">
                        <w:r>
                          <w:rPr>
                            <w:rFonts w:ascii="Arial" w:eastAsia="Arial" w:hAnsi="Arial" w:cs="Arial"/>
                            <w:sz w:val="18"/>
                          </w:rPr>
                          <w:t xml:space="preserve">minato un compenso aggiuntivo per ogni ricorso definito, anche se riunito ad </w:t>
                        </w:r>
                      </w:p>
                    </w:txbxContent>
                  </v:textbox>
                </v:rect>
                <v:rect id="Rectangle 22029" o:spid="_x0000_s6180" style="position:absolute;left:-13172;top:3294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UGgxgAAAN4AAAAPAAAAZHJzL2Rvd25yZXYueG1sRI9Ba8JA&#10;FITvBf/D8gRvdWMOYqOriCLm4KVWweMj+0yi2bdLdjWxv75bKPQ4zMw3zGLVm0Y8qfW1ZQWTcQKC&#10;uLC65lLB6Wv3PgPhA7LGxjIpeJGH1XLwtsBM244/6XkMpYgQ9hkqqEJwmZS+qMigH1tHHL2rbQ2G&#10;KNtS6ha7CDeNTJNkKg3WHBcqdLSpqLgfH0bBZcsu33WyuH5v3OGWz5r943RWajTs13MQgfrwH/5r&#10;51pBmibpB/zeiVdALn8AAAD//wMAUEsBAi0AFAAGAAgAAAAhANvh9svuAAAAhQEAABMAAAAAAAAA&#10;AAAAAAAAAAAAAFtDb250ZW50X1R5cGVzXS54bWxQSwECLQAUAAYACAAAACEAWvQsW78AAAAVAQAA&#10;CwAAAAAAAAAAAAAAAAAfAQAAX3JlbHMvLnJlbHNQSwECLQAUAAYACAAAACEAHIVBoMYAAADeAAAA&#10;DwAAAAAAAAAAAAAAAAAHAgAAZHJzL2Rvd25yZXYueG1sUEsFBgAAAAADAAMAtwAAAPoCAAAAAA==&#10;" filled="f" stroked="f">
                  <v:textbox inset="0,0,0,0">
                    <w:txbxContent>
                      <w:p w14:paraId="7113705E" w14:textId="77777777" w:rsidR="00B32EF2" w:rsidRDefault="00000000">
                        <w:r>
                          <w:rPr>
                            <w:rFonts w:ascii="Arial" w:eastAsia="Arial" w:hAnsi="Arial" w:cs="Arial"/>
                            <w:sz w:val="18"/>
                          </w:rPr>
                          <w:t xml:space="preserve">altri ricorsi, secondo criteri uniformi, che debbono tener conto delle funzioni e </w:t>
                        </w:r>
                      </w:p>
                    </w:txbxContent>
                  </v:textbox>
                </v:rect>
                <v:rect id="Rectangle 22030" o:spid="_x0000_s6181" style="position:absolute;left:-13172;top:3171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n7gxAAAAN4AAAAPAAAAZHJzL2Rvd25yZXYueG1sRI/LisIw&#10;FIb3wrxDOAOz03QqiFSjiIPYxWy8gctDc2yrzUloou3M05uF4PLnv/HNl71pxINaX1tW8D1KQBAX&#10;VtdcKjgeNsMpCB+QNTaWScEfeVguPgZzzLTteEePfShFHGGfoYIqBJdJ6YuKDPqRdcTRu9jWYIiy&#10;LaVusYvjppFpkkykwZrjQ4WO1hUVt/3dKDj/sMs3nSwu/2v3e82nzfZ+PCn19dmvZiAC9eEdfrVz&#10;rSBNk3EEiDgRBeTiCQAA//8DAFBLAQItABQABgAIAAAAIQDb4fbL7gAAAIUBAAATAAAAAAAAAAAA&#10;AAAAAAAAAABbQ29udGVudF9UeXBlc10ueG1sUEsBAi0AFAAGAAgAAAAhAFr0LFu/AAAAFQEAAAsA&#10;AAAAAAAAAAAAAAAAHwEAAF9yZWxzLy5yZWxzUEsBAi0AFAAGAAgAAAAhAAhmfuDEAAAA3gAAAA8A&#10;AAAAAAAAAAAAAAAABwIAAGRycy9kb3ducmV2LnhtbFBLBQYAAAAAAwADALcAAAD4AgAAAAA=&#10;" filled="f" stroked="f">
                  <v:textbox inset="0,0,0,0">
                    <w:txbxContent>
                      <w:p w14:paraId="27990584" w14:textId="77777777" w:rsidR="00B32EF2" w:rsidRDefault="00000000">
                        <w:r>
                          <w:rPr>
                            <w:rFonts w:ascii="Arial" w:eastAsia="Arial" w:hAnsi="Arial" w:cs="Arial"/>
                            <w:sz w:val="18"/>
                          </w:rPr>
                          <w:t xml:space="preserve">dell’apporto di attività di ciascuno alla trattazione della controversia, compresa </w:t>
                        </w:r>
                      </w:p>
                    </w:txbxContent>
                  </v:textbox>
                </v:rect>
                <v:rect id="Rectangle 22031" o:spid="_x0000_s6182" style="position:absolute;left:-12186;top:30477;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t7xgAAAN4AAAAPAAAAZHJzL2Rvd25yZXYueG1sRI9Ba8JA&#10;FITvBf/D8oTe6sYURFJXEUXMoRdtBI+P7DNJzb5dsqtJ++u7gtDjMDPfMIvVYFpxp843lhVMJwkI&#10;4tLqhisFxdfubQ7CB2SNrWVS8EMeVsvRywIzbXs+0P0YKhEh7DNUUIfgMil9WZNBP7GOOHoX2xkM&#10;UXaV1B32EW5amSbJTBpsOC7U6GhTU3k93oyC85ZdvutlefnduM/vfN7ub8VJqdfxsP4AEWgI/+Fn&#10;O9cK0jR5n8LjTrwCcvkHAAD//wMAUEsBAi0AFAAGAAgAAAAhANvh9svuAAAAhQEAABMAAAAAAAAA&#10;AAAAAAAAAAAAAFtDb250ZW50X1R5cGVzXS54bWxQSwECLQAUAAYACAAAACEAWvQsW78AAAAVAQAA&#10;CwAAAAAAAAAAAAAAAAAfAQAAX3JlbHMvLnJlbHNQSwECLQAUAAYACAAAACEAZyrbe8YAAADeAAAA&#10;DwAAAAAAAAAAAAAAAAAHAgAAZHJzL2Rvd25yZXYueG1sUEsFBgAAAAADAAMAtwAAAPoCAAAAAA==&#10;" filled="f" stroked="f">
                  <v:textbox inset="0,0,0,0">
                    <w:txbxContent>
                      <w:p w14:paraId="1554EEDE" w14:textId="77777777" w:rsidR="00B32EF2" w:rsidRDefault="00000000">
                        <w:r>
                          <w:rPr>
                            <w:rFonts w:ascii="Arial" w:eastAsia="Arial" w:hAnsi="Arial" w:cs="Arial"/>
                            <w:sz w:val="18"/>
                          </w:rPr>
                          <w:t>la deliberazione e la redazione della sentenza, nonché, per i residenti in co</w:t>
                        </w:r>
                      </w:p>
                    </w:txbxContent>
                  </v:textbox>
                </v:rect>
                <v:rect id="Rectangle 22032" o:spid="_x0000_s6183" style="position:absolute;left:192;top:3047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MxgAAAN4AAAAPAAAAZHJzL2Rvd25yZXYueG1sRI9Ba8JA&#10;FITvgv9heYI33RihSHQVUcQceqlV8PjIPpNo9u2SXU3aX98tFHocZuYbZrXpTSNe1PrasoLZNAFB&#10;XFhdc6ng/HmYLED4gKyxsUwKvsjDZj0crDDTtuMPep1CKSKEfYYKqhBcJqUvKjLop9YRR+9mW4Mh&#10;yraUusUuwk0j0yR5kwZrjgsVOtpVVDxOT6PgumeXHzpZ3L537v2eL5rj83xRajzqt0sQgfrwH/5r&#10;51pBmibzFH7vxCsg1z8AAAD//wMAUEsBAi0AFAAGAAgAAAAhANvh9svuAAAAhQEAABMAAAAAAAAA&#10;AAAAAAAAAAAAAFtDb250ZW50X1R5cGVzXS54bWxQSwECLQAUAAYACAAAACEAWvQsW78AAAAVAQAA&#10;CwAAAAAAAAAAAAAAAAAfAQAAX3JlbHMvLnJlbHNQSwECLQAUAAYACAAAACEAl/hFDMYAAADeAAAA&#10;DwAAAAAAAAAAAAAAAAAHAgAAZHJzL2Rvd25yZXYueG1sUEsFBgAAAAADAAMAtwAAAPoCAAAAAA==&#10;" filled="f" stroked="f">
                  <v:textbox inset="0,0,0,0">
                    <w:txbxContent>
                      <w:p w14:paraId="518C83B8" w14:textId="77777777" w:rsidR="00B32EF2" w:rsidRDefault="00000000">
                        <w:r>
                          <w:rPr>
                            <w:rFonts w:ascii="Arial" w:eastAsia="Arial" w:hAnsi="Arial" w:cs="Arial"/>
                            <w:sz w:val="18"/>
                          </w:rPr>
                          <w:t>-</w:t>
                        </w:r>
                      </w:p>
                    </w:txbxContent>
                  </v:textbox>
                </v:rect>
                <v:rect id="Rectangle 22033" o:spid="_x0000_s6184" style="position:absolute;left:-13172;top:2924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OCXxgAAAN4AAAAPAAAAZHJzL2Rvd25yZXYueG1sRI9Ba8JA&#10;FITvBf/D8gre6qYRiqSuIoqYg5faCB4f2WeSmn27ZFcT/fVuodDjMDPfMPPlYFpxo843lhW8TxIQ&#10;xKXVDVcKiu/t2wyED8gaW8uk4E4elovRyxwzbXv+otshVCJC2GeooA7BZVL6siaDfmIdcfTOtjMY&#10;ouwqqTvsI9y0Mk2SD2mw4bhQo6N1TeXlcDUKTht2+baX5fmxdvuffNbursVRqfHrsPoEEWgI/+G/&#10;dq4VpGkyncLvnXgF5OIJAAD//wMAUEsBAi0AFAAGAAgAAAAhANvh9svuAAAAhQEAABMAAAAAAAAA&#10;AAAAAAAAAAAAAFtDb250ZW50X1R5cGVzXS54bWxQSwECLQAUAAYACAAAACEAWvQsW78AAAAVAQAA&#10;CwAAAAAAAAAAAAAAAAAfAQAAX3JlbHMvLnJlbHNQSwECLQAUAAYACAAAACEA+LTgl8YAAADeAAAA&#10;DwAAAAAAAAAAAAAAAAAHAgAAZHJzL2Rvd25yZXYueG1sUEsFBgAAAAADAAMAtwAAAPoCAAAAAA==&#10;" filled="f" stroked="f">
                  <v:textbox inset="0,0,0,0">
                    <w:txbxContent>
                      <w:p w14:paraId="7D8B7857" w14:textId="77777777" w:rsidR="00B32EF2" w:rsidRDefault="00000000">
                        <w:r>
                          <w:rPr>
                            <w:rFonts w:ascii="Arial" w:eastAsia="Arial" w:hAnsi="Arial" w:cs="Arial"/>
                            <w:sz w:val="18"/>
                          </w:rPr>
                          <w:t xml:space="preserve">muni diversi della stessa regione da quello in cui ha sede la corte di giustizia </w:t>
                        </w:r>
                      </w:p>
                    </w:txbxContent>
                  </v:textbox>
                </v:rect>
                <v:rect id="Rectangle 22034" o:spid="_x0000_s6185" style="position:absolute;left:-12203;top:28011;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XjjxgAAAN4AAAAPAAAAZHJzL2Rvd25yZXYueG1sRI9Ba8JA&#10;FITvBf/D8gRvdWNaikRXEUWag5daBY+P7DOJZt8u2dVEf323UOhxmJlvmPmyN424U+trywom4wQE&#10;cWF1zaWCw/f2dQrCB2SNjWVS8CAPy8XgZY6Zth1/0X0fShEh7DNUUIXgMil9UZFBP7aOOHpn2xoM&#10;Ubal1C12EW4amSbJhzRYc1yo0NG6ouK6vxkFpw27fNvJ4vxcu90lnzaft8NRqdGwX81ABOrDf/iv&#10;nWsFaZq8vcPvnXgF5OIHAAD//wMAUEsBAi0AFAAGAAgAAAAhANvh9svuAAAAhQEAABMAAAAAAAAA&#10;AAAAAAAAAAAAAFtDb250ZW50X1R5cGVzXS54bWxQSwECLQAUAAYACAAAACEAWvQsW78AAAAVAQAA&#10;CwAAAAAAAAAAAAAAAAAfAQAAX3JlbHMvLnJlbHNQSwECLQAUAAYACAAAACEAd11448YAAADeAAAA&#10;DwAAAAAAAAAAAAAAAAAHAgAAZHJzL2Rvd25yZXYueG1sUEsFBgAAAAADAAMAtwAAAPoCAAAAAA==&#10;" filled="f" stroked="f">
                  <v:textbox inset="0,0,0,0">
                    <w:txbxContent>
                      <w:p w14:paraId="641E87CA" w14:textId="77777777" w:rsidR="00B32EF2" w:rsidRDefault="00000000">
                        <w:r>
                          <w:rPr>
                            <w:rFonts w:ascii="Arial" w:eastAsia="Arial" w:hAnsi="Arial" w:cs="Arial"/>
                            <w:sz w:val="18"/>
                          </w:rPr>
                          <w:t>tributaria, delle spese sostenute per l’intervento alle sedute della corte. Il com</w:t>
                        </w:r>
                      </w:p>
                    </w:txbxContent>
                  </v:textbox>
                </v:rect>
                <v:rect id="Rectangle 22035" o:spid="_x0000_s6186" style="position:absolute;left:192;top:2801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d14xgAAAN4AAAAPAAAAZHJzL2Rvd25yZXYueG1sRI9Ba8JA&#10;FITvBf/D8gRvdWNKi0RXEUWag5daBY+P7DOJZt8u2dVEf323UOhxmJlvmPmyN424U+trywom4wQE&#10;cWF1zaWCw/f2dQrCB2SNjWVS8CAPy8XgZY6Zth1/0X0fShEh7DNUUIXgMil9UZFBP7aOOHpn2xoM&#10;Ubal1C12EW4amSbJhzRYc1yo0NG6ouK6vxkFpw27fNvJ4vxcu90lnzaft8NRqdGwX81ABOrDf/iv&#10;nWsFaZq8vcPvnXgF5OIHAAD//wMAUEsBAi0AFAAGAAgAAAAhANvh9svuAAAAhQEAABMAAAAAAAAA&#10;AAAAAAAAAAAAAFtDb250ZW50X1R5cGVzXS54bWxQSwECLQAUAAYACAAAACEAWvQsW78AAAAVAQAA&#10;CwAAAAAAAAAAAAAAAAAfAQAAX3JlbHMvLnJlbHNQSwECLQAUAAYACAAAACEAGBHdeMYAAADeAAAA&#10;DwAAAAAAAAAAAAAAAAAHAgAAZHJzL2Rvd25yZXYueG1sUEsFBgAAAAADAAMAtwAAAPoCAAAAAA==&#10;" filled="f" stroked="f">
                  <v:textbox inset="0,0,0,0">
                    <w:txbxContent>
                      <w:p w14:paraId="3F66F998" w14:textId="77777777" w:rsidR="00B32EF2" w:rsidRDefault="00000000">
                        <w:r>
                          <w:rPr>
                            <w:rFonts w:ascii="Arial" w:eastAsia="Arial" w:hAnsi="Arial" w:cs="Arial"/>
                            <w:sz w:val="18"/>
                          </w:rPr>
                          <w:t>-</w:t>
                        </w:r>
                      </w:p>
                    </w:txbxContent>
                  </v:textbox>
                </v:rect>
                <v:rect id="Rectangle 22036" o:spid="_x0000_s6187" style="position:absolute;left:-2150;top:26778;width:4206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0MPxgAAAN4AAAAPAAAAZHJzL2Rvd25yZXYueG1sRI9Ba8JA&#10;FITvgv9heQVvumkEkdRVRBFz6KU2gsdH9pmkZt8u2dXE/vpuodDjMDPfMKvNYFrxoM43lhW8zhIQ&#10;xKXVDVcKis/DdAnCB2SNrWVS8CQPm/V4tMJM254/6HEKlYgQ9hkqqENwmZS+rMmgn1lHHL2r7QyG&#10;KLtK6g77CDetTJNkIQ02HBdqdLSrqbyd7kbBZc8uP/SyvH7v3PtXvmyP9+Ks1ORl2L6BCDSE//Bf&#10;O9cK0jSZL+D3TrwCcv0DAAD//wMAUEsBAi0AFAAGAAgAAAAhANvh9svuAAAAhQEAABMAAAAAAAAA&#10;AAAAAAAAAAAAAFtDb250ZW50X1R5cGVzXS54bWxQSwECLQAUAAYACAAAACEAWvQsW78AAAAVAQAA&#10;CwAAAAAAAAAAAAAAAAAfAQAAX3JlbHMvLnJlbHNQSwECLQAUAAYACAAAACEA6MNDD8YAAADeAAAA&#10;DwAAAAAAAAAAAAAAAAAHAgAAZHJzL2Rvd25yZXYueG1sUEsFBgAAAAADAAMAtwAAAPoCAAAAAA==&#10;" filled="f" stroked="f">
                  <v:textbox inset="0,0,0,0">
                    <w:txbxContent>
                      <w:p w14:paraId="55A94538" w14:textId="77777777" w:rsidR="00B32EF2" w:rsidRDefault="00000000">
                        <w:r>
                          <w:rPr>
                            <w:rFonts w:ascii="Arial" w:eastAsia="Arial" w:hAnsi="Arial" w:cs="Arial"/>
                            <w:sz w:val="18"/>
                          </w:rPr>
                          <w:t>penso è liquidato in relazione ad ogni provvedimento emesso.</w:t>
                        </w:r>
                      </w:p>
                    </w:txbxContent>
                  </v:textbox>
                </v:rect>
                <v:rect id="Rectangle 202113" o:spid="_x0000_s6188" style="position:absolute;left:-12848;top:25544;width:521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UDoxwAAAN8AAAAPAAAAZHJzL2Rvd25yZXYueG1sRI9Ba8JA&#10;FITvQv/D8gredJMIIqmriCLm4EVrocdH9pmkZt8u2dXE/vpuodDjMDPfMMv1YFrxoM43lhWk0wQE&#10;cWl1w5WCy/t+sgDhA7LG1jIpeJKH9epltMRc255P9DiHSkQI+xwV1CG4XEpf1mTQT60jjt7VdgZD&#10;lF0ldYd9hJtWZkkylwYbjgs1OtrWVN7Od6Pgc8eu2PeyvH5v3fGrWLSH++VDqfHrsHkDEWgI/+G/&#10;dqEVZEmWpjP4/RO/gFz9AAAA//8DAFBLAQItABQABgAIAAAAIQDb4fbL7gAAAIUBAAATAAAAAAAA&#10;AAAAAAAAAAAAAABbQ29udGVudF9UeXBlc10ueG1sUEsBAi0AFAAGAAgAAAAhAFr0LFu/AAAAFQEA&#10;AAsAAAAAAAAAAAAAAAAAHwEAAF9yZWxzLy5yZWxzUEsBAi0AFAAGAAgAAAAhAM01QOjHAAAA3wAA&#10;AA8AAAAAAAAAAAAAAAAABwIAAGRycy9kb3ducmV2LnhtbFBLBQYAAAAAAwADALcAAAD7AgAAAAA=&#10;" filled="f" stroked="f">
                  <v:textbox inset="0,0,0,0">
                    <w:txbxContent>
                      <w:p w14:paraId="4DD78FBF" w14:textId="77777777" w:rsidR="00B32EF2" w:rsidRDefault="00000000">
                        <w:r>
                          <w:rPr>
                            <w:rFonts w:ascii="Arial" w:eastAsia="Arial" w:hAnsi="Arial" w:cs="Arial"/>
                            <w:sz w:val="18"/>
                          </w:rPr>
                          <w:t>. La  liquidazione dei compensi e i relativi pagamenti sono disposti dal com</w:t>
                        </w:r>
                      </w:p>
                    </w:txbxContent>
                  </v:textbox>
                </v:rect>
                <v:rect id="Rectangle 202112" o:spid="_x0000_s6189" style="position:absolute;left:26350;top:25544;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VzxwAAAN8AAAAPAAAAZHJzL2Rvd25yZXYueG1sRI9Pi8Iw&#10;FMTvC36H8ARva9oeRKpRRBF78LL+AY+P5tl2t3kJTbTd/fSbhQWPw8z8hlmuB9OKJ3W+sawgnSYg&#10;iEurG64UXM779zkIH5A1tpZJwTd5WK9Gb0vMte35g56nUIkIYZ+jgjoEl0vpy5oM+ql1xNG7285g&#10;iLKrpO6wj3DTyixJZtJgw3GhRkfbmsqv08MouO3YFftelvefrTt+FvP28LhclZqMh80CRKAhvML/&#10;7UIryJIsTTP4+xO/gFz9AgAA//8DAFBLAQItABQABgAIAAAAIQDb4fbL7gAAAIUBAAATAAAAAAAA&#10;AAAAAAAAAAAAAABbQ29udGVudF9UeXBlc10ueG1sUEsBAi0AFAAGAAgAAAAhAFr0LFu/AAAAFQEA&#10;AAsAAAAAAAAAAAAAAAAAHwEAAF9yZWxzLy5yZWxzUEsBAi0AFAAGAAgAAAAhAKJ55XPHAAAA3wAA&#10;AA8AAAAAAAAAAAAAAAAABwIAAGRycy9kb3ducmV2LnhtbFBLBQYAAAAAAwADALcAAAD7AgAAAAA=&#10;" filled="f" stroked="f">
                  <v:textbox inset="0,0,0,0">
                    <w:txbxContent>
                      <w:p w14:paraId="14DD7F85" w14:textId="77777777" w:rsidR="00B32EF2" w:rsidRDefault="00000000">
                        <w:r>
                          <w:rPr>
                            <w:rFonts w:ascii="Arial" w:eastAsia="Arial" w:hAnsi="Arial" w:cs="Arial"/>
                            <w:sz w:val="18"/>
                          </w:rPr>
                          <w:t>3</w:t>
                        </w:r>
                      </w:p>
                    </w:txbxContent>
                  </v:textbox>
                </v:rect>
                <v:rect id="Rectangle 22038" o:spid="_x0000_s6190" style="position:absolute;left:192;top:2554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HLmwwAAAN4AAAAPAAAAZHJzL2Rvd25yZXYueG1sRE/LisIw&#10;FN0L8w/hDsxO06kgUo0iDmIXs/EFLi/Nta02N6GJtjNfbxaCy8N5z5e9acSDWl9bVvA9SkAQF1bX&#10;XCo4HjbDKQgfkDU2lknBH3lYLj4Gc8y07XhHj30oRQxhn6GCKgSXSemLigz6kXXEkbvY1mCIsC2l&#10;brGL4aaRaZJMpMGaY0OFjtYVFbf93Sg4/7DLN50sLv9r93vNp832fjwp9fXZr2YgAvXhLX65c60g&#10;TZNx3BvvxCsgF08AAAD//wMAUEsBAi0AFAAGAAgAAAAhANvh9svuAAAAhQEAABMAAAAAAAAAAAAA&#10;AAAAAAAAAFtDb250ZW50X1R5cGVzXS54bWxQSwECLQAUAAYACAAAACEAWvQsW78AAAAVAQAACwAA&#10;AAAAAAAAAAAAAAAfAQAAX3JlbHMvLnJlbHNQSwECLQAUAAYACAAAACEA9hBy5sMAAADeAAAADwAA&#10;AAAAAAAAAAAAAAAHAgAAZHJzL2Rvd25yZXYueG1sUEsFBgAAAAADAAMAtwAAAPcCAAAAAA==&#10;" filled="f" stroked="f">
                  <v:textbox inset="0,0,0,0">
                    <w:txbxContent>
                      <w:p w14:paraId="7B3AC783" w14:textId="77777777" w:rsidR="00B32EF2" w:rsidRDefault="00000000">
                        <w:r>
                          <w:rPr>
                            <w:rFonts w:ascii="Arial" w:eastAsia="Arial" w:hAnsi="Arial" w:cs="Arial"/>
                            <w:sz w:val="18"/>
                          </w:rPr>
                          <w:t>-</w:t>
                        </w:r>
                      </w:p>
                    </w:txbxContent>
                  </v:textbox>
                </v:rect>
                <v:rect id="Rectangle 22039" o:spid="_x0000_s6191" style="position:absolute;left:-12205;top:24311;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Nd9xgAAAN4AAAAPAAAAZHJzL2Rvd25yZXYueG1sRI9Ba8JA&#10;FITvBf/D8gRvdWMKxUZXEUWag5daBY+P7DOJZt8u2dVEf323UOhxmJlvmPmyN424U+trywom4wQE&#10;cWF1zaWCw/f2dQrCB2SNjWVS8CAPy8XgZY6Zth1/0X0fShEh7DNUUIXgMil9UZFBP7aOOHpn2xoM&#10;Ubal1C12EW4amSbJuzRYc1yo0NG6ouK6vxkFpw27fNvJ4vxcu90lnzaft8NRqdGwX81ABOrDf/iv&#10;nWsFaZq8fcDvnXgF5OIHAAD//wMAUEsBAi0AFAAGAAgAAAAhANvh9svuAAAAhQEAABMAAAAAAAAA&#10;AAAAAAAAAAAAAFtDb250ZW50X1R5cGVzXS54bWxQSwECLQAUAAYACAAAACEAWvQsW78AAAAVAQAA&#10;CwAAAAAAAAAAAAAAAAAfAQAAX3JlbHMvLnJlbHNQSwECLQAUAAYACAAAACEAmVzXfcYAAADeAAAA&#10;DwAAAAAAAAAAAAAAAAAHAgAAZHJzL2Rvd25yZXYueG1sUEsFBgAAAAADAAMAtwAAAPoCAAAAAA==&#10;" filled="f" stroked="f">
                  <v:textbox inset="0,0,0,0">
                    <w:txbxContent>
                      <w:p w14:paraId="6E0B2D55" w14:textId="77777777" w:rsidR="00B32EF2" w:rsidRDefault="00000000">
                        <w:r>
                          <w:rPr>
                            <w:rFonts w:ascii="Arial" w:eastAsia="Arial" w:hAnsi="Arial" w:cs="Arial"/>
                            <w:sz w:val="18"/>
                          </w:rPr>
                          <w:t>petente dirigente dell’ufficio di segreteria della Corte di giustizia tributaria indi</w:t>
                        </w:r>
                      </w:p>
                    </w:txbxContent>
                  </v:textbox>
                </v:rect>
                <v:rect id="Rectangle 22040" o:spid="_x0000_s6192" style="position:absolute;left:192;top:2431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A2dxAAAAN4AAAAPAAAAZHJzL2Rvd25yZXYueG1sRI/LisIw&#10;FIb3wrxDOAOz03SKiFSjiIPYxWy8gctDc2yrzUloou3M05uF4PLnv/HNl71pxINaX1tW8D1KQBAX&#10;VtdcKjgeNsMpCB+QNTaWScEfeVguPgZzzLTteEePfShFHGGfoYIqBJdJ6YuKDPqRdcTRu9jWYIiy&#10;LaVusYvjppFpkkykwZrjQ4WO1hUVt/3dKDj/sMs3nSwu/2v3e82nzfZ+PCn19dmvZiAC9eEdfrVz&#10;rSBNk3EEiDgRBeTiCQAA//8DAFBLAQItABQABgAIAAAAIQDb4fbL7gAAAIUBAAATAAAAAAAAAAAA&#10;AAAAAAAAAABbQ29udGVudF9UeXBlc10ueG1sUEsBAi0AFAAGAAgAAAAhAFr0LFu/AAAAFQEAAAsA&#10;AAAAAAAAAAAAAAAAHwEAAF9yZWxzLy5yZWxzUEsBAi0AFAAGAAgAAAAhAFBgDZ3EAAAA3gAAAA8A&#10;AAAAAAAAAAAAAAAABwIAAGRycy9kb3ducmV2LnhtbFBLBQYAAAAAAwADALcAAAD4AgAAAAA=&#10;" filled="f" stroked="f">
                  <v:textbox inset="0,0,0,0">
                    <w:txbxContent>
                      <w:p w14:paraId="7FE15083" w14:textId="77777777" w:rsidR="00B32EF2" w:rsidRDefault="00000000">
                        <w:r>
                          <w:rPr>
                            <w:rFonts w:ascii="Arial" w:eastAsia="Arial" w:hAnsi="Arial" w:cs="Arial"/>
                            <w:sz w:val="18"/>
                          </w:rPr>
                          <w:t>-</w:t>
                        </w:r>
                      </w:p>
                    </w:txbxContent>
                  </v:textbox>
                </v:rect>
                <v:rect id="Rectangle 22041" o:spid="_x0000_s6193" style="position:absolute;left:4407;top:23078;width:355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gGxgAAAN4AAAAPAAAAZHJzL2Rvd25yZXYueG1sRI9Ba8JA&#10;FITvBf/D8oTe6sZQRFJXEUXMoRdtBI+P7DNJzb5dsqtJ++u7gtDjMDPfMIvVYFpxp843lhVMJwkI&#10;4tLqhisFxdfubQ7CB2SNrWVS8EMeVsvRywIzbXs+0P0YKhEh7DNUUIfgMil9WZNBP7GOOHoX2xkM&#10;UXaV1B32EW5amSbJTBpsOC7U6GhTU3k93oyC85ZdvutlefnduM/vfN7ub8VJqdfxsP4AEWgI/+Fn&#10;O9cK0jR5n8LjTrwCcvkHAAD//wMAUEsBAi0AFAAGAAgAAAAhANvh9svuAAAAhQEAABMAAAAAAAAA&#10;AAAAAAAAAAAAAFtDb250ZW50X1R5cGVzXS54bWxQSwECLQAUAAYACAAAACEAWvQsW78AAAAVAQAA&#10;CwAAAAAAAAAAAAAAAAAfAQAAX3JlbHMvLnJlbHNQSwECLQAUAAYACAAAACEAPyyoBsYAAADeAAAA&#10;DwAAAAAAAAAAAAAAAAAHAgAAZHJzL2Rvd25yZXYueG1sUEsFBgAAAAADAAMAtwAAAPoCAAAAAA==&#10;" filled="f" stroked="f">
                  <v:textbox inset="0,0,0,0">
                    <w:txbxContent>
                      <w:p w14:paraId="3DF7A9AA" w14:textId="77777777" w:rsidR="00B32EF2" w:rsidRDefault="00000000">
                        <w:r>
                          <w:rPr>
                            <w:rFonts w:ascii="Arial" w:eastAsia="Arial" w:hAnsi="Arial" w:cs="Arial"/>
                            <w:sz w:val="18"/>
                          </w:rPr>
                          <w:t>viduato con il decreto di cui all’articolo 43, comma 1.</w:t>
                        </w:r>
                      </w:p>
                    </w:txbxContent>
                  </v:textbox>
                </v:rect>
                <v:rect id="Rectangle 202110" o:spid="_x0000_s6194" style="position:absolute;left:-12818;top:21844;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96fxQAAAN8AAAAPAAAAZHJzL2Rvd25yZXYueG1sRI/NisIw&#10;FIX3A75DuIK7MW0XItUooohduBlHweWlubbV5iY00dZ5+sliYJaH88e3XA+mFS/qfGNZQTpNQBCX&#10;VjdcKTh/7z/nIHxA1thaJgVv8rBejT6WmGvb8xe9TqEScYR9jgrqEFwupS9rMuin1hFH72Y7gyHK&#10;rpK6wz6Om1ZmSTKTBhuODzU62tZUPk5Po+C6Y1fse1nefrbueC/m7eF5vig1GQ+bBYhAQ/gP/7UL&#10;rSBLsjSNBJEnsoBc/QIAAP//AwBQSwECLQAUAAYACAAAACEA2+H2y+4AAACFAQAAEwAAAAAAAAAA&#10;AAAAAAAAAAAAW0NvbnRlbnRfVHlwZXNdLnhtbFBLAQItABQABgAIAAAAIQBa9CxbvwAAABUBAAAL&#10;AAAAAAAAAAAAAAAAAB8BAABfcmVscy8ucmVsc1BLAQItABQABgAIAAAAIQA9596fxQAAAN8AAAAP&#10;AAAAAAAAAAAAAAAAAAcCAABkcnMvZG93bnJldi54bWxQSwUGAAAAAAMAAwC3AAAA+QIAAAAA&#10;" filled="f" stroked="f">
                  <v:textbox inset="0,0,0,0">
                    <w:txbxContent>
                      <w:p w14:paraId="3C4D68C5" w14:textId="77777777" w:rsidR="00B32EF2" w:rsidRDefault="00000000">
                        <w:r>
                          <w:rPr>
                            <w:rFonts w:ascii="Arial" w:eastAsia="Arial" w:hAnsi="Arial" w:cs="Arial"/>
                            <w:sz w:val="18"/>
                          </w:rPr>
                          <w:t>. I compensi di cui ai commi 1, 2 e 3 sono cumulabili con i trattamenti pensio</w:t>
                        </w:r>
                      </w:p>
                    </w:txbxContent>
                  </v:textbox>
                </v:rect>
                <v:rect id="Rectangle 202109" o:spid="_x0000_s6195" style="position:absolute;left:26354;top:21844;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OHfxwAAAN8AAAAPAAAAZHJzL2Rvd25yZXYueG1sRI9BawIx&#10;FITvQv9DeIXeNHEPRbdGEYt0D71ULfT42Dx3t25ewia6W3+9KQgeh5n5hlmsBtuKC3WhcaxhOlEg&#10;iEtnGq40HPbb8QxEiMgGW8ek4Y8CrJZPowXmxvX8RZddrESCcMhRQx2jz6UMZU0Ww8R54uQdXWcx&#10;JtlV0nTYJ7htZabUq7TYcFqo0dOmpvK0O1sNP+/si20vy+N14z9/i1n7cT58a/3yPKzfQEQa4iN8&#10;bxdGQ6ayqZrD/5/0BeTyBgAA//8DAFBLAQItABQABgAIAAAAIQDb4fbL7gAAAIUBAAATAAAAAAAA&#10;AAAAAAAAAAAAAABbQ29udGVudF9UeXBlc10ueG1sUEsBAi0AFAAGAAgAAAAhAFr0LFu/AAAAFQEA&#10;AAsAAAAAAAAAAAAAAAAAHwEAAF9yZWxzLy5yZWxzUEsBAi0AFAAGAAgAAAAhACkE4d/HAAAA3wAA&#10;AA8AAAAAAAAAAAAAAAAABwIAAGRycy9kb3ducmV2LnhtbFBLBQYAAAAAAwADALcAAAD7AgAAAAA=&#10;" filled="f" stroked="f">
                  <v:textbox inset="0,0,0,0">
                    <w:txbxContent>
                      <w:p w14:paraId="58DC2174" w14:textId="77777777" w:rsidR="00B32EF2" w:rsidRDefault="00000000">
                        <w:r>
                          <w:rPr>
                            <w:rFonts w:ascii="Arial" w:eastAsia="Arial" w:hAnsi="Arial" w:cs="Arial"/>
                            <w:sz w:val="18"/>
                          </w:rPr>
                          <w:t>4</w:t>
                        </w:r>
                      </w:p>
                    </w:txbxContent>
                  </v:textbox>
                </v:rect>
                <v:rect id="Rectangle 22043" o:spid="_x0000_s6196" style="position:absolute;left:192;top:2184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pPqxgAAAN4AAAAPAAAAZHJzL2Rvd25yZXYueG1sRI9Ba8JA&#10;FITvBf/D8gRvdWNaikRXEUWag5daBY+P7DOJZt8u2dVEf323UOhxmJlvmPmyN424U+trywom4wQE&#10;cWF1zaWCw/f2dQrCB2SNjWVS8CAPy8XgZY6Zth1/0X0fShEh7DNUUIXgMil9UZFBP7aOOHpn2xoM&#10;Ubal1C12EW4amSbJhzRYc1yo0NG6ouK6vxkFpw27fNvJ4vxcu90lnzaft8NRqdGwX81ABOrDf/iv&#10;nWsFaZq8v8HvnXgF5OIHAAD//wMAUEsBAi0AFAAGAAgAAAAhANvh9svuAAAAhQEAABMAAAAAAAAA&#10;AAAAAAAAAAAAAFtDb250ZW50X1R5cGVzXS54bWxQSwECLQAUAAYACAAAACEAWvQsW78AAAAVAQAA&#10;CwAAAAAAAAAAAAAAAAAfAQAAX3JlbHMvLnJlbHNQSwECLQAUAAYACAAAACEAoLKT6sYAAADeAAAA&#10;DwAAAAAAAAAAAAAAAAAHAgAAZHJzL2Rvd25yZXYueG1sUEsFBgAAAAADAAMAtwAAAPoCAAAAAA==&#10;" filled="f" stroked="f">
                  <v:textbox inset="0,0,0,0">
                    <w:txbxContent>
                      <w:p w14:paraId="5CB7F493" w14:textId="77777777" w:rsidR="00B32EF2" w:rsidRDefault="00000000">
                        <w:r>
                          <w:rPr>
                            <w:rFonts w:ascii="Arial" w:eastAsia="Arial" w:hAnsi="Arial" w:cs="Arial"/>
                            <w:sz w:val="18"/>
                          </w:rPr>
                          <w:t>-</w:t>
                        </w:r>
                      </w:p>
                    </w:txbxContent>
                  </v:textbox>
                </v:rect>
                <v:rect id="Rectangle 22044" o:spid="_x0000_s6197" style="position:absolute;left:8958;top:20611;width:309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wuexgAAAN4AAAAPAAAAZHJzL2Rvd25yZXYueG1sRI9Ba8JA&#10;FITvBf/D8gre6qZBiqSuIoqYg5faCB4f2WeSmn27ZFcT/fVuodDjMDPfMPPlYFpxo843lhW8TxIQ&#10;xKXVDVcKiu/t2wyED8gaW8uk4E4elovRyxwzbXv+otshVCJC2GeooA7BZVL6siaDfmIdcfTOtjMY&#10;ouwqqTvsI9y0Mk2SD2mw4bhQo6N1TeXlcDUKTht2+baX5fmxdvuffNbursVRqfHrsPoEEWgI/+G/&#10;dq4VpGkyncLvnXgF5OIJAAD//wMAUEsBAi0AFAAGAAgAAAAhANvh9svuAAAAhQEAABMAAAAAAAAA&#10;AAAAAAAAAAAAAFtDb250ZW50X1R5cGVzXS54bWxQSwECLQAUAAYACAAAACEAWvQsW78AAAAVAQAA&#10;CwAAAAAAAAAAAAAAAAAfAQAAX3JlbHMvLnJlbHNQSwECLQAUAAYACAAAACEAL1sLnsYAAADeAAAA&#10;DwAAAAAAAAAAAAAAAAAHAgAAZHJzL2Rvd25yZXYueG1sUEsFBgAAAAADAAMAtwAAAPoCAAAAAA==&#10;" filled="f" stroked="f">
                  <v:textbox inset="0,0,0,0">
                    <w:txbxContent>
                      <w:p w14:paraId="4C24C869" w14:textId="77777777" w:rsidR="00B32EF2" w:rsidRDefault="00000000">
                        <w:r>
                          <w:rPr>
                            <w:rFonts w:ascii="Arial" w:eastAsia="Arial" w:hAnsi="Arial" w:cs="Arial"/>
                            <w:sz w:val="18"/>
                          </w:rPr>
                          <w:t>nistici e di quiescenza comunque denominati.</w:t>
                        </w:r>
                      </w:p>
                    </w:txbxContent>
                  </v:textbox>
                </v:rect>
                <v:rect id="Rectangle 202108" o:spid="_x0000_s6198" style="position:absolute;left:-12845;top:19378;width:521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RExAAAAN8AAAAPAAAAZHJzL2Rvd25yZXYueG1sRE/Pa8Iw&#10;FL4P/B/CE7zNxB6GVKOIIvawi87Bjo/m2Vabl9BEW/3rl8Ngx4/v93I92FY8qAuNYw2zqQJBXDrT&#10;cKXh/LV/n4MIEdlg65g0PCnAejV6W2JuXM9HepxiJVIIhxw11DH6XMpQ1mQxTJ0nTtzFdRZjgl0l&#10;TYd9CretzJT6kBYbTg01etrWVN5Od6vhZ8e+2PeyvLy2/vNazNvD/fyt9WQ8bBYgIg3xX/znLoyG&#10;TGUzlQanP+kLyNUvAAAA//8DAFBLAQItABQABgAIAAAAIQDb4fbL7gAAAIUBAAATAAAAAAAAAAAA&#10;AAAAAAAAAABbQ29udGVudF9UeXBlc10ueG1sUEsBAi0AFAAGAAgAAAAhAFr0LFu/AAAAFQEAAAsA&#10;AAAAAAAAAAAAAAAAHwEAAF9yZWxzLy5yZWxzUEsBAi0AFAAGAAgAAAAhAEZIRETEAAAA3wAAAA8A&#10;AAAAAAAAAAAAAAAABwIAAGRycy9kb3ducmV2LnhtbFBLBQYAAAAAAwADALcAAAD4AgAAAAA=&#10;" filled="f" stroked="f">
                  <v:textbox inset="0,0,0,0">
                    <w:txbxContent>
                      <w:p w14:paraId="5B4FDD50" w14:textId="77777777" w:rsidR="00B32EF2" w:rsidRDefault="00000000">
                        <w:r>
                          <w:rPr>
                            <w:rFonts w:ascii="Arial" w:eastAsia="Arial" w:hAnsi="Arial" w:cs="Arial"/>
                            <w:sz w:val="18"/>
                          </w:rPr>
                          <w:t>. I compensi di cui ai commi 1, 2 e 3 non possono superare in ogni caso l’im</w:t>
                        </w:r>
                      </w:p>
                    </w:txbxContent>
                  </v:textbox>
                </v:rect>
                <v:rect id="Rectangle 202107" o:spid="_x0000_s6199" style="position:absolute;left:26351;top:19378;width:521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9A2xwAAAN8AAAAPAAAAZHJzL2Rvd25yZXYueG1sRI9BawIx&#10;FITvQv9DeIXeNHEPVVajiEW6h160Fnp8bJ67q5uXsInutr++EYQeh5n5hlmuB9uKG3WhcaxhOlEg&#10;iEtnGq40HD934zmIEJENto5Jww8FWK+eRkvMjet5T7dDrESCcMhRQx2jz6UMZU0Ww8R54uSdXGcx&#10;JtlV0nTYJ7htZabUq7TYcFqo0dO2pvJyuFoN32/si10vy9Pv1n+ci3n7fj1+af3yPGwWICIN8T/8&#10;aBdGQ6ayqZrB/U/6AnL1BwAA//8DAFBLAQItABQABgAIAAAAIQDb4fbL7gAAAIUBAAATAAAAAAAA&#10;AAAAAAAAAAAAAABbQ29udGVudF9UeXBlc10ueG1sUEsBAi0AFAAGAAgAAAAhAFr0LFu/AAAAFQEA&#10;AAsAAAAAAAAAAAAAAAAAHwEAAF9yZWxzLy5yZWxzUEsBAi0AFAAGAAgAAAAhADfX0DbHAAAA3wAA&#10;AA8AAAAAAAAAAAAAAAAABwIAAGRycy9kb3ducmV2LnhtbFBLBQYAAAAAAwADALcAAAD7AgAAAAA=&#10;" filled="f" stroked="f">
                  <v:textbox inset="0,0,0,0">
                    <w:txbxContent>
                      <w:p w14:paraId="2F3282F1" w14:textId="77777777" w:rsidR="00B32EF2" w:rsidRDefault="00000000">
                        <w:r>
                          <w:rPr>
                            <w:rFonts w:ascii="Arial" w:eastAsia="Arial" w:hAnsi="Arial" w:cs="Arial"/>
                            <w:sz w:val="18"/>
                          </w:rPr>
                          <w:t>5</w:t>
                        </w:r>
                      </w:p>
                    </w:txbxContent>
                  </v:textbox>
                </v:rect>
                <v:rect id="Rectangle 22046" o:spid="_x0000_s6200" style="position:absolute;left:192;top:1937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TByxgAAAN4AAAAPAAAAZHJzL2Rvd25yZXYueG1sRI9Ba8JA&#10;FITvgv9heQVvumkQkdRVRBFz6KU2gsdH9pmkZt8u2dXE/vpuodDjMDPfMKvNYFrxoM43lhW8zhIQ&#10;xKXVDVcKis/DdAnCB2SNrWVS8CQPm/V4tMJM254/6HEKlYgQ9hkqqENwmZS+rMmgn1lHHL2r7QyG&#10;KLtK6g77CDetTJNkIQ02HBdqdLSrqbyd7kbBZc8uP/SyvH7v3PtXvmyP9+Ks1ORl2L6BCDSE//Bf&#10;O9cK0jSZL+D3TrwCcv0DAAD//wMAUEsBAi0AFAAGAAgAAAAhANvh9svuAAAAhQEAABMAAAAAAAAA&#10;AAAAAAAAAAAAAFtDb250ZW50X1R5cGVzXS54bWxQSwECLQAUAAYACAAAACEAWvQsW78AAAAVAQAA&#10;CwAAAAAAAAAAAAAAAAAfAQAAX3JlbHMvLnJlbHNQSwECLQAUAAYACAAAACEAsMUwcsYAAADeAAAA&#10;DwAAAAAAAAAAAAAAAAAHAgAAZHJzL2Rvd25yZXYueG1sUEsFBgAAAAADAAMAtwAAAPoCAAAAAA==&#10;" filled="f" stroked="f">
                  <v:textbox inset="0,0,0,0">
                    <w:txbxContent>
                      <w:p w14:paraId="17233BA6" w14:textId="77777777" w:rsidR="00B32EF2" w:rsidRDefault="00000000">
                        <w:r>
                          <w:rPr>
                            <w:rFonts w:ascii="Arial" w:eastAsia="Arial" w:hAnsi="Arial" w:cs="Arial"/>
                            <w:sz w:val="18"/>
                          </w:rPr>
                          <w:t>-</w:t>
                        </w:r>
                      </w:p>
                    </w:txbxContent>
                  </v:textbox>
                </v:rect>
                <v:rect id="Rectangle 22047" o:spid="_x0000_s6201" style="position:absolute;left:18147;top:18144;width:217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ZXpxgAAAN4AAAAPAAAAZHJzL2Rvd25yZXYueG1sRI9Ba8JA&#10;FITvBf/D8gRvdWMorURXEUWag5daBY+P7DOJZt8u2dVEf323UOhxmJlvmPmyN424U+trywom4wQE&#10;cWF1zaWCw/f2dQrCB2SNjWVS8CAPy8XgZY6Zth1/0X0fShEh7DNUUIXgMil9UZFBP7aOOHpn2xoM&#10;Ubal1C12EW4amSbJuzRYc1yo0NG6ouK6vxkFpw27fNvJ4vxcu90lnzaft8NRqdGwX81ABOrDf/iv&#10;nWsFaZq8fcDvnXgF5OIHAAD//wMAUEsBAi0AFAAGAAgAAAAhANvh9svuAAAAhQEAABMAAAAAAAAA&#10;AAAAAAAAAAAAAFtDb250ZW50X1R5cGVzXS54bWxQSwECLQAUAAYACAAAACEAWvQsW78AAAAVAQAA&#10;CwAAAAAAAAAAAAAAAAAfAQAAX3JlbHMvLnJlbHNQSwECLQAUAAYACAAAACEA34mV6cYAAADeAAAA&#10;DwAAAAAAAAAAAAAAAAAHAgAAZHJzL2Rvd25yZXYueG1sUEsFBgAAAAADAAMAtwAAAPoCAAAAAA==&#10;" filled="f" stroked="f">
                  <v:textbox inset="0,0,0,0">
                    <w:txbxContent>
                      <w:p w14:paraId="40E0C18A" w14:textId="77777777" w:rsidR="00B32EF2" w:rsidRDefault="00000000">
                        <w:r>
                          <w:rPr>
                            <w:rFonts w:ascii="Arial" w:eastAsia="Arial" w:hAnsi="Arial" w:cs="Arial"/>
                            <w:sz w:val="18"/>
                          </w:rPr>
                          <w:t>porto di euro 72.000 lordi annui.</w:t>
                        </w:r>
                      </w:p>
                    </w:txbxContent>
                  </v:textbox>
                </v:rect>
                <v:rect id="Rectangle 202106" o:spid="_x0000_s6202" style="position:absolute;left:-13815;top:169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3WtyAAAAN8AAAAPAAAAZHJzL2Rvd25yZXYueG1sRI/BasMw&#10;EETvgf6D2EJviRQfQnCjmOAS6kMvSVPocbE2thtrJSwldvv1UaHQ4zAzb5hNMdle3GgInWMNy4UC&#10;QVw703Gj4fS+n69BhIhssHdMGr4pQLF9mG0wN27kA92OsREJwiFHDW2MPpcy1C1ZDAvniZN3doPF&#10;mOTQSDPgmOC2l5lSK2mx47TQoqeypfpyvFoNny/sq/0o6/NP6d++qnX/ej19aP30OO2eQUSa4n/4&#10;r10ZDZnKlmoFv3/SF5DbOwAAAP//AwBQSwECLQAUAAYACAAAACEA2+H2y+4AAACFAQAAEwAAAAAA&#10;AAAAAAAAAAAAAAAAW0NvbnRlbnRfVHlwZXNdLnhtbFBLAQItABQABgAIAAAAIQBa9CxbvwAAABUB&#10;AAALAAAAAAAAAAAAAAAAAB8BAABfcmVscy8ucmVsc1BLAQItABQABgAIAAAAIQBYm3WtyAAAAN8A&#10;AAAPAAAAAAAAAAAAAAAAAAcCAABkcnMvZG93bnJldi54bWxQSwUGAAAAAAMAAwC3AAAA/AIAAAAA&#10;" filled="f" stroked="f">
                  <v:textbox inset="0,0,0,0">
                    <w:txbxContent>
                      <w:p w14:paraId="4EE5D00D" w14:textId="77777777" w:rsidR="00B32EF2" w:rsidRDefault="00000000">
                        <w:r>
                          <w:rPr>
                            <w:rFonts w:ascii="Arial" w:eastAsia="Arial" w:hAnsi="Arial" w:cs="Arial"/>
                            <w:sz w:val="18"/>
                          </w:rPr>
                          <w:t xml:space="preserve">. Ai giudici che partecipano da remoto alla trattazione delle cause non spetta </w:t>
                        </w:r>
                      </w:p>
                    </w:txbxContent>
                  </v:textbox>
                </v:rect>
                <v:rect id="Rectangle 202105" o:spid="_x0000_s6203" style="position:absolute;left:26109;top:1691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evaxwAAAN8AAAAPAAAAZHJzL2Rvd25yZXYueG1sRI9BawIx&#10;FITvQv9DeIXeNHGhIqtRxCLdQy9aCz0+Ns/d1c1L2ER321/fCEKPw8x8wyzXg23FjbrQONYwnSgQ&#10;xKUzDVcajp+78RxEiMgGW8ek4YcCrFdPoyXmxvW8p9shViJBOOSooY7R51KGsiaLYeI8cfJOrrMY&#10;k+wqaTrsE9y2MlNqJi02nBZq9LStqbwcrlbD9xv7YtfL8vS79R/nYt6+X49fWr88D5sFiEhD/A8/&#10;2oXRkKlsql7h/id9Abn6AwAA//8DAFBLAQItABQABgAIAAAAIQDb4fbL7gAAAIUBAAATAAAAAAAA&#10;AAAAAAAAAAAAAABbQ29udGVudF9UeXBlc10ueG1sUEsBAi0AFAAGAAgAAAAhAFr0LFu/AAAAFQEA&#10;AAsAAAAAAAAAAAAAAAAAHwEAAF9yZWxzLy5yZWxzUEsBAi0AFAAGAAgAAAAhAKhJ69rHAAAA3wAA&#10;AA8AAAAAAAAAAAAAAAAABwIAAGRycy9kb3ducmV2LnhtbFBLBQYAAAAAAwADALcAAAD7AgAAAAA=&#10;" filled="f" stroked="f">
                  <v:textbox inset="0,0,0,0">
                    <w:txbxContent>
                      <w:p w14:paraId="6E71B5FE" w14:textId="77777777" w:rsidR="00B32EF2" w:rsidRDefault="00000000">
                        <w:r>
                          <w:rPr>
                            <w:rFonts w:ascii="Arial" w:eastAsia="Arial" w:hAnsi="Arial" w:cs="Arial"/>
                            <w:sz w:val="18"/>
                          </w:rPr>
                          <w:t>6</w:t>
                        </w:r>
                      </w:p>
                    </w:txbxContent>
                  </v:textbox>
                </v:rect>
                <v:rect id="Rectangle 22049" o:spid="_x0000_s6204" style="position:absolute;left:2257;top:15678;width:376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qQAxgAAAN4AAAAPAAAAZHJzL2Rvd25yZXYueG1sRI9Ba8JA&#10;FITvBf/D8gRvdWMoxUZXEUWag5daBY+P7DOJZt8u2dVEf323UOhxmJlvmPmyN424U+trywom4wQE&#10;cWF1zaWCw/f2dQrCB2SNjWVS8CAPy8XgZY6Zth1/0X0fShEh7DNUUIXgMil9UZFBP7aOOHpn2xoM&#10;Ubal1C12EW4amSbJuzRYc1yo0NG6ouK6vxkFpw27fNvJ4vxcu90lnzaft8NRqdGwX81ABOrDf/iv&#10;nWsFaZq8fcDvnXgF5OIHAAD//wMAUEsBAi0AFAAGAAgAAAAhANvh9svuAAAAhQEAABMAAAAAAAAA&#10;AAAAAAAAAAAAAFtDb250ZW50X1R5cGVzXS54bWxQSwECLQAUAAYACAAAACEAWvQsW78AAAAVAQAA&#10;CwAAAAAAAAAAAAAAAAAfAQAAX3JlbHMvLnJlbHNQSwECLQAUAAYACAAAACEAwVqkAMYAAADeAAAA&#10;DwAAAAAAAAAAAAAAAAAHAgAAZHJzL2Rvd25yZXYueG1sUEsFBgAAAAADAAMAtwAAAPoCAAAAAA==&#10;" filled="f" stroked="f">
                  <v:textbox inset="0,0,0,0">
                    <w:txbxContent>
                      <w:p w14:paraId="4208D447" w14:textId="77777777" w:rsidR="00B32EF2" w:rsidRDefault="00000000">
                        <w:r>
                          <w:rPr>
                            <w:rFonts w:ascii="Arial" w:eastAsia="Arial" w:hAnsi="Arial" w:cs="Arial"/>
                            <w:sz w:val="18"/>
                          </w:rPr>
                          <w:t>alcun trattamento di missione né alcun rimborso spese.</w:t>
                        </w:r>
                      </w:p>
                    </w:txbxContent>
                  </v:textbox>
                </v:rect>
                <v:rect id="Rectangle 22050" o:spid="_x0000_s6205" style="position:absolute;left:15068;top:13211;width:81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tAxAAAAN4AAAAPAAAAZHJzL2Rvd25yZXYueG1sRI/LisIw&#10;FIb3wrxDOAOz03QKilSjiIPYxWy8gctDc2yrzUloou3M05uF4PLnv/HNl71pxINaX1tW8D1KQBAX&#10;VtdcKjgeNsMpCB+QNTaWScEfeVguPgZzzLTteEePfShFHGGfoYIqBJdJ6YuKDPqRdcTRu9jWYIiy&#10;LaVusYvjppFpkkykwZrjQ4WO1hUVt/3dKDj/sMs3nSwu/2v3e82nzfZ+PCn19dmvZiAC9eEdfrVz&#10;rSBNk3EEiDgRBeTiCQAA//8DAFBLAQItABQABgAIAAAAIQDb4fbL7gAAAIUBAAATAAAAAAAAAAAA&#10;AAAAAAAAAABbQ29udGVudF9UeXBlc10ueG1sUEsBAi0AFAAGAAgAAAAhAFr0LFu/AAAAFQEAAAsA&#10;AAAAAAAAAAAAAAAAHwEAAF9yZWxzLy5yZWxzUEsBAi0AFAAGAAgAAAAhANW5m0DEAAAA3gAAAA8A&#10;AAAAAAAAAAAAAAAABwIAAGRycy9kb3ducmV2LnhtbFBLBQYAAAAAAwADALcAAAD4AgAAAAA=&#10;" filled="f" stroked="f">
                  <v:textbox inset="0,0,0,0">
                    <w:txbxContent>
                      <w:p w14:paraId="77C51FFF" w14:textId="77777777" w:rsidR="00B32EF2" w:rsidRDefault="00000000">
                        <w:r>
                          <w:rPr>
                            <w:rFonts w:ascii="Arial" w:eastAsia="Arial" w:hAnsi="Arial" w:cs="Arial"/>
                            <w:b/>
                            <w:sz w:val="18"/>
                          </w:rPr>
                          <w:t>Articolo 20</w:t>
                        </w:r>
                      </w:p>
                    </w:txbxContent>
                  </v:textbox>
                </v:rect>
                <v:rect id="Rectangle 202103" o:spid="_x0000_s6206" style="position:absolute;left:10065;top:11978;width:219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NY1xwAAAN8AAAAPAAAAZHJzL2Rvd25yZXYueG1sRI9BawIx&#10;FITvQv9DeIXeNHELIqtRxCLdQy9aCz0+Ns/d1c1L2ER321/fCEKPw8x8wyzXg23FjbrQONYwnSgQ&#10;xKUzDVcajp+78RxEiMgGW8ek4YcCrFdPoyXmxvW8p9shViJBOOSooY7R51KGsiaLYeI8cfJOrrMY&#10;k+wqaTrsE9y2MlNqJi02nBZq9LStqbwcrlbD9xv7YtfL8vS79R/nYt6+X49fWr88D5sFiEhD/A8/&#10;2oXRkKlsql7h/id9Abn6AwAA//8DAFBLAQItABQABgAIAAAAIQDb4fbL7gAAAIUBAAATAAAAAAAA&#10;AAAAAAAAAAAAAABbQ29udGVudF9UeXBlc10ueG1sUEsBAi0AFAAGAAgAAAAhAFr0LFu/AAAAFQEA&#10;AAsAAAAAAAAAAAAAAAAAHwEAAF9yZWxzLy5yZWxzUEsBAi0AFAAGAAgAAAAhAEjs1jXHAAAA3wAA&#10;AA8AAAAAAAAAAAAAAAAABwIAAGRycy9kb3ducmV2LnhtbFBLBQYAAAAAAwADALcAAAD7AgAAAAA=&#10;" filled="f" stroked="f">
                  <v:textbox inset="0,0,0,0">
                    <w:txbxContent>
                      <w:p w14:paraId="47AAF357" w14:textId="77777777" w:rsidR="00B32EF2" w:rsidRDefault="00000000">
                        <w:r>
                          <w:rPr>
                            <w:rFonts w:ascii="Arial" w:eastAsia="Arial" w:hAnsi="Arial" w:cs="Arial"/>
                            <w:i/>
                            <w:sz w:val="18"/>
                          </w:rPr>
                          <w:t xml:space="preserve">articolo 13-bis D.lgs. n. </w:t>
                        </w:r>
                      </w:p>
                    </w:txbxContent>
                  </v:textbox>
                </v:rect>
                <v:rect id="Rectangle 202100" o:spid="_x0000_s6207" style="position:absolute;left:22541;top:11978;width:219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khCxQAAAN8AAAAPAAAAZHJzL2Rvd25yZXYueG1sRI/NisIw&#10;FIX3A75DuIK7MbGLQapRRBG7mI2OA7O8NNe22tyEJtrq008WA7M8nD++5XqwrXhQFxrHGmZTBYK4&#10;dKbhSsP5a/8+BxEissHWMWl4UoD1avS2xNy4no/0OMVKpBEOOWqoY/S5lKGsyWKYOk+cvIvrLMYk&#10;u0qaDvs0bluZKfUhLTacHmr0tK2pvJ3uVsPPjn2x72V5eW3957WYt4f7+VvryXjYLEBEGuJ/+K9d&#10;GA2ZymYqESSexAJy9QsAAP//AwBQSwECLQAUAAYACAAAACEA2+H2y+4AAACFAQAAEwAAAAAAAAAA&#10;AAAAAAAAAAAAW0NvbnRlbnRfVHlwZXNdLnhtbFBLAQItABQABgAIAAAAIQBa9CxbvwAAABUBAAAL&#10;AAAAAAAAAAAAAAAAAB8BAABfcmVscy8ucmVsc1BLAQItABQABgAIAAAAIQC4PkhCxQAAAN8AAAAP&#10;AAAAAAAAAAAAAAAAAAcCAABkcnMvZG93bnJldi54bWxQSwUGAAAAAAMAAwC3AAAA+QIAAAAA&#10;" filled="f" stroked="f">
                  <v:textbox inset="0,0,0,0">
                    <w:txbxContent>
                      <w:p w14:paraId="133BC490" w14:textId="77777777" w:rsidR="00B32EF2" w:rsidRDefault="00000000">
                        <w:r>
                          <w:rPr>
                            <w:rFonts w:ascii="Arial" w:eastAsia="Arial" w:hAnsi="Arial" w:cs="Arial"/>
                            <w:i/>
                            <w:sz w:val="18"/>
                          </w:rPr>
                          <w:t>(</w:t>
                        </w:r>
                      </w:p>
                    </w:txbxContent>
                  </v:textbox>
                </v:rect>
                <v:rect id="Rectangle 202102" o:spid="_x0000_s6208" style="position:absolute;left:-6077;top:11978;width:219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HOuxwAAAN8AAAAPAAAAZHJzL2Rvd25yZXYueG1sRI9BawIx&#10;FITvgv8hPKE3TdxDka1RikW6h160Cj0+Ns/d1c1L2ER39debQqHHYWa+YZbrwbbiRl1oHGuYzxQI&#10;4tKZhisNh+/tdAEiRGSDrWPScKcA69V4tMTcuJ53dNvHSiQIhxw11DH6XMpQ1mQxzJwnTt7JdRZj&#10;kl0lTYd9gttWZkq9SosNp4UaPW1qKi/7q9Xw88G+2PayPD02/utcLNrP6+Go9ctkeH8DEWmI/+G/&#10;dmE0ZCqbqwx+/6QvIFdPAAAA//8DAFBLAQItABQABgAIAAAAIQDb4fbL7gAAAIUBAAATAAAAAAAA&#10;AAAAAAAAAAAAAABbQ29udGVudF9UeXBlc10ueG1sUEsBAi0AFAAGAAgAAAAhAFr0LFu/AAAAFQEA&#10;AAsAAAAAAAAAAAAAAAAAHwEAAF9yZWxzLy5yZWxzUEsBAi0AFAAGAAgAAAAhACegc67HAAAA3wAA&#10;AA8AAAAAAAAAAAAAAAAABwIAAGRycy9kb3ducmV2LnhtbFBLBQYAAAAAAwADALcAAAD7AgAAAAA=&#10;" filled="f" stroked="f">
                  <v:textbox inset="0,0,0,0">
                    <w:txbxContent>
                      <w:p w14:paraId="041A16ED" w14:textId="77777777" w:rsidR="00B32EF2" w:rsidRDefault="00000000">
                        <w:r>
                          <w:rPr>
                            <w:rFonts w:ascii="Arial" w:eastAsia="Arial" w:hAnsi="Arial" w:cs="Arial"/>
                            <w:i/>
                            <w:sz w:val="18"/>
                          </w:rPr>
                          <w:t>545/92)</w:t>
                        </w:r>
                      </w:p>
                    </w:txbxContent>
                  </v:textbox>
                </v:rect>
                <v:rect id="Rectangle 22052" o:spid="_x0000_s6209" style="position:absolute;left:-1799;top:10745;width:348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6CsxgAAAN4AAAAPAAAAZHJzL2Rvd25yZXYueG1sRI9Ba8JA&#10;FITvgv9heYI33RiwSHQVUcQceqlV8PjIPpNo9u2SXU3aX98tFHocZuYbZrXpTSNe1PrasoLZNAFB&#10;XFhdc6ng/HmYLED4gKyxsUwKvsjDZj0crDDTtuMPep1CKSKEfYYKqhBcJqUvKjLop9YRR+9mW4Mh&#10;yraUusUuwk0j0yR5kwZrjgsVOtpVVDxOT6PgumeXHzpZ3L537v2eL5rj83xRajzqt0sQgfrwH/5r&#10;51pBmibzFH7vxCsg1z8AAAD//wMAUEsBAi0AFAAGAAgAAAAhANvh9svuAAAAhQEAABMAAAAAAAAA&#10;AAAAAAAAAAAAAFtDb250ZW50X1R5cGVzXS54bWxQSwECLQAUAAYACAAAACEAWvQsW78AAAAVAQAA&#10;CwAAAAAAAAAAAAAAAAAfAQAAX3JlbHMvLnJlbHNQSwECLQAUAAYACAAAACEASiegrMYAAADeAAAA&#10;DwAAAAAAAAAAAAAAAAAHAgAAZHJzL2Rvd25yZXYueG1sUEsFBgAAAAADAAMAtwAAAPoCAAAAAA==&#10;" filled="f" stroked="f">
                  <v:textbox inset="0,0,0,0">
                    <w:txbxContent>
                      <w:p w14:paraId="0AF6FE25" w14:textId="77777777" w:rsidR="00B32EF2" w:rsidRDefault="00000000">
                        <w:r>
                          <w:rPr>
                            <w:rFonts w:ascii="Arial" w:eastAsia="Arial" w:hAnsi="Arial" w:cs="Arial"/>
                            <w:b/>
                            <w:sz w:val="18"/>
                          </w:rPr>
                          <w:t xml:space="preserve">Trattamento economico dei magistrati tributari </w:t>
                        </w:r>
                      </w:p>
                    </w:txbxContent>
                  </v:textbox>
                </v:rect>
                <v:rect id="Rectangle 202098" o:spid="_x0000_s6210" style="position:absolute;left:-13763;top:951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95exAAAAN8AAAAPAAAAZHJzL2Rvd25yZXYueG1sRE+7bsIw&#10;FN0r8Q/WRepWbDJUEDAIgVAzdCkPifEqviSB+NqKDUn79fVQqePReS/Xg23Fk7rQONYwnSgQxKUz&#10;DVcaTsf92wxEiMgGW8ek4ZsCrFejlyXmxvX8Rc9DrEQK4ZCjhjpGn0sZyposhonzxIm7us5iTLCr&#10;pOmwT+G2lZlS79Jiw6mhRk/bmsr74WE1XHbsi30vy+vP1n/eiln78TidtX4dD5sFiEhD/Bf/uQuj&#10;IVOZmqfB6U/6AnL1CwAA//8DAFBLAQItABQABgAIAAAAIQDb4fbL7gAAAIUBAAATAAAAAAAAAAAA&#10;AAAAAAAAAABbQ29udGVudF9UeXBlc10ueG1sUEsBAi0AFAAGAAgAAAAhAFr0LFu/AAAAFQEAAAsA&#10;AAAAAAAAAAAAAAAAHwEAAF9yZWxzLy5yZWxzUEsBAi0AFAAGAAgAAAAhANij3l7EAAAA3wAAAA8A&#10;AAAAAAAAAAAAAAAABwIAAGRycy9kb3ducmV2LnhtbFBLBQYAAAAAAwADALcAAAD4AgAAAAA=&#10;" filled="f" stroked="f">
                  <v:textbox inset="0,0,0,0">
                    <w:txbxContent>
                      <w:p w14:paraId="1C418B03" w14:textId="77777777" w:rsidR="00B32EF2" w:rsidRDefault="00000000">
                        <w:r>
                          <w:rPr>
                            <w:rFonts w:ascii="Arial" w:eastAsia="Arial" w:hAnsi="Arial" w:cs="Arial"/>
                            <w:sz w:val="18"/>
                          </w:rPr>
                          <w:t xml:space="preserve">. Ai magistrati tributari reclutati per concorso, secondo le modalità di cui </w:t>
                        </w:r>
                      </w:p>
                    </w:txbxContent>
                  </v:textbox>
                </v:rect>
                <v:rect id="Rectangle 202095" o:spid="_x0000_s6211" style="position:absolute;left:26110;top:9511;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nHAyAAAAN8AAAAPAAAAZHJzL2Rvd25yZXYueG1sRI9BawIx&#10;FITvQv9DeIXeatKFil2NIhbpHnqpVfD42Dx3VzcvYRPdbX+9KRQ8DjPzDTNfDrYVV+pC41jDy1iB&#10;IC6dabjSsPvePE9BhIhssHVMGn4owHLxMJpjblzPX3TdxkokCIccNdQx+lzKUNZkMYydJ07e0XUW&#10;Y5JdJU2HfYLbVmZKTaTFhtNCjZ7WNZXn7cVqOLyzLza9LI+/a/95Kqbtx2W31/rpcVjNQEQa4j38&#10;3y6Mhkxl6u0V/v6kLyAXNwAAAP//AwBQSwECLQAUAAYACAAAACEA2+H2y+4AAACFAQAAEwAAAAAA&#10;AAAAAAAAAAAAAAAAW0NvbnRlbnRfVHlwZXNdLnhtbFBLAQItABQABgAIAAAAIQBa9CxbvwAAABUB&#10;AAALAAAAAAAAAAAAAAAAAB8BAABfcmVscy8ucmVsc1BLAQItABQABgAIAAAAIQA2onHAyAAAAN8A&#10;AAAPAAAAAAAAAAAAAAAAAAcCAABkcnMvZG93bnJldi54bWxQSwUGAAAAAAMAAwC3AAAA/AIAAAAA&#10;" filled="f" stroked="f">
                  <v:textbox inset="0,0,0,0">
                    <w:txbxContent>
                      <w:p w14:paraId="2E06964B" w14:textId="77777777" w:rsidR="00B32EF2" w:rsidRDefault="00000000">
                        <w:r>
                          <w:rPr>
                            <w:rFonts w:ascii="Arial" w:eastAsia="Arial" w:hAnsi="Arial" w:cs="Arial"/>
                            <w:sz w:val="18"/>
                          </w:rPr>
                          <w:t>1</w:t>
                        </w:r>
                      </w:p>
                    </w:txbxContent>
                  </v:textbox>
                </v:rect>
                <v:rect id="Rectangle 22054" o:spid="_x0000_s6212" style="position:absolute;left:-13171;top:827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p1DxgAAAN4AAAAPAAAAZHJzL2Rvd25yZXYueG1sRI9Ba8JA&#10;FITvBf/D8gRvdWNoi0RXEUWag5daBY+P7DOJZt8u2dVEf323UOhxmJlvmPmyN424U+trywom4wQE&#10;cWF1zaWCw/f2dQrCB2SNjWVS8CAPy8XgZY6Zth1/0X0fShEh7DNUUIXgMil9UZFBP7aOOHpn2xoM&#10;Ubal1C12EW4amSbJhzRYc1yo0NG6ouK6vxkFpw27fNvJ4vxcu90lnzaft8NRqdGwX81ABOrDf/iv&#10;nWsFaZq8v8HvnXgF5OIHAAD//wMAUEsBAi0AFAAGAAgAAAAhANvh9svuAAAAhQEAABMAAAAAAAAA&#10;AAAAAAAAAAAAAFtDb250ZW50X1R5cGVzXS54bWxQSwECLQAUAAYACAAAACEAWvQsW78AAAAVAQAA&#10;CwAAAAAAAAAAAAAAAAAfAQAAX3JlbHMvLnJlbHNQSwECLQAUAAYACAAAACEAqoKdQ8YAAADeAAAA&#10;DwAAAAAAAAAAAAAAAAAHAgAAZHJzL2Rvd25yZXYueG1sUEsFBgAAAAADAAMAtwAAAPoCAAAAAA==&#10;" filled="f" stroked="f">
                  <v:textbox inset="0,0,0,0">
                    <w:txbxContent>
                      <w:p w14:paraId="6D895CAA" w14:textId="77777777" w:rsidR="00B32EF2" w:rsidRDefault="00000000">
                        <w:r>
                          <w:rPr>
                            <w:rFonts w:ascii="Arial" w:eastAsia="Arial" w:hAnsi="Arial" w:cs="Arial"/>
                            <w:sz w:val="18"/>
                          </w:rPr>
                          <w:t xml:space="preserve">all’articolo 5, si applicano le disposizioni in materia di trattamento economico </w:t>
                        </w:r>
                      </w:p>
                    </w:txbxContent>
                  </v:textbox>
                </v:rect>
                <v:rect id="Rectangle 22055" o:spid="_x0000_s6213" style="position:absolute;left:3210;top:7045;width:367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jjYxgAAAN4AAAAPAAAAZHJzL2Rvd25yZXYueG1sRI9Ba8JA&#10;FITvBf/D8gre6qYBi6SuIoqYg5faCB4f2WeSmn27ZFcT/fVuodDjMDPfMPPlYFpxo843lhW8TxIQ&#10;xKXVDVcKiu/t2wyED8gaW8uk4E4elovRyxwzbXv+otshVCJC2GeooA7BZVL6siaDfmIdcfTOtjMY&#10;ouwqqTvsI9y0Mk2SD2mw4bhQo6N1TeXlcDUKTht2+baX5fmxdvuffNbursVRqfHrsPoEEWgI/+G/&#10;dq4VpGkyncLvnXgF5OIJAAD//wMAUEsBAi0AFAAGAAgAAAAhANvh9svuAAAAhQEAABMAAAAAAAAA&#10;AAAAAAAAAAAAAFtDb250ZW50X1R5cGVzXS54bWxQSwECLQAUAAYACAAAACEAWvQsW78AAAAVAQAA&#10;CwAAAAAAAAAAAAAAAAAfAQAAX3JlbHMvLnJlbHNQSwECLQAUAAYACAAAACEAxc442MYAAADeAAAA&#10;DwAAAAAAAAAAAAAAAAAHAgAAZHJzL2Rvd25yZXYueG1sUEsFBgAAAAADAAMAtwAAAPoCAAAAAA==&#10;" filled="f" stroked="f">
                  <v:textbox inset="0,0,0,0">
                    <w:txbxContent>
                      <w:p w14:paraId="3B62A610" w14:textId="77777777" w:rsidR="00B32EF2" w:rsidRDefault="00000000">
                        <w:r>
                          <w:rPr>
                            <w:rFonts w:ascii="Arial" w:eastAsia="Arial" w:hAnsi="Arial" w:cs="Arial"/>
                            <w:sz w:val="18"/>
                          </w:rPr>
                          <w:t>previsto per i magistrati ordinari, in quanto compatibili.</w:t>
                        </w:r>
                      </w:p>
                    </w:txbxContent>
                  </v:textbox>
                </v:rect>
                <v:rect id="Rectangle 202092" o:spid="_x0000_s6214" style="position:absolute;left:-12850;top:5811;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m0yAAAAN8AAAAPAAAAZHJzL2Rvd25yZXYueG1sRI9Ba8JA&#10;FITvQv/D8gq96W5zKJq6SrFIc+ilGqHHR/aZRLNvl+xqUn+9Wyj0OMzMN8xyPdpOXKkPrWMNzzMF&#10;grhypuVaQ7nfTucgQkQ22DkmDT8UYL16mCwxN27gL7ruYi0ShEOOGpoYfS5lqBqyGGbOEyfv6HqL&#10;Mcm+lqbHIcFtJzOlXqTFltNCg542DVXn3cVq+H5nX2wHWR1vG/95Kubdx6U8aP30OL69gog0xv/w&#10;X7swGjKVqUUGv3/SF5CrOwAAAP//AwBQSwECLQAUAAYACAAAACEA2+H2y+4AAACFAQAAEwAAAAAA&#10;AAAAAAAAAAAAAAAAW0NvbnRlbnRfVHlwZXNdLnhtbFBLAQItABQABgAIAAAAIQBa9CxbvwAAABUB&#10;AAALAAAAAAAAAAAAAAAAAB8BAABfcmVscy8ucmVsc1BLAQItABQABgAIAAAAIQC5S+m0yAAAAN8A&#10;AAAPAAAAAAAAAAAAAAAAAAcCAABkcnMvZG93bnJldi54bWxQSwUGAAAAAAMAAwC3AAAA/AIAAAAA&#10;" filled="f" stroked="f">
                  <v:textbox inset="0,0,0,0">
                    <w:txbxContent>
                      <w:p w14:paraId="02AFE9F9" w14:textId="77777777" w:rsidR="00B32EF2" w:rsidRDefault="00000000">
                        <w:r>
                          <w:rPr>
                            <w:rFonts w:ascii="Arial" w:eastAsia="Arial" w:hAnsi="Arial" w:cs="Arial"/>
                            <w:sz w:val="18"/>
                          </w:rPr>
                          <w:t>. Gli stipendi del personale indicato nel comma 1 sono determinati, esclusi</w:t>
                        </w:r>
                      </w:p>
                    </w:txbxContent>
                  </v:textbox>
                </v:rect>
                <v:rect id="Rectangle 202090" o:spid="_x0000_s6215" style="position:absolute;left:26350;top:5811;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dJYxgAAAN8AAAAPAAAAZHJzL2Rvd25yZXYueG1sRI+7bsIw&#10;FIb3SryDdZC6FZsMFQQMQiDUDF3KRWI8ig9JID62YkPSPn09VOr467/pW64H24ondaFxrGE6USCI&#10;S2carjScjvu3GYgQkQ22jknDNwVYr0YvS8yN6/mLnodYiTTCIUcNdYw+lzKUNVkME+eJk3d1ncWY&#10;ZFdJ02Gfxm0rM6XepcWG00ONnrY1lffDw2q47NgX+16W15+t/7wVs/bjcTpr/ToeNgsQkYb4H/5r&#10;F0ZDpjI1TwSJJ7GAXP0CAAD//wMAUEsBAi0AFAAGAAgAAAAhANvh9svuAAAAhQEAABMAAAAAAAAA&#10;AAAAAAAAAAAAAFtDb250ZW50X1R5cGVzXS54bWxQSwECLQAUAAYACAAAACEAWvQsW78AAAAVAQAA&#10;CwAAAAAAAAAAAAAAAAAfAQAAX3JlbHMvLnJlbHNQSwECLQAUAAYACAAAACEAJtXSWMYAAADfAAAA&#10;DwAAAAAAAAAAAAAAAAAHAgAAZHJzL2Rvd25yZXYueG1sUEsFBgAAAAADAAMAtwAAAPoCAAAAAA==&#10;" filled="f" stroked="f">
                  <v:textbox inset="0,0,0,0">
                    <w:txbxContent>
                      <w:p w14:paraId="3A2A536C" w14:textId="77777777" w:rsidR="00B32EF2" w:rsidRDefault="00000000">
                        <w:r>
                          <w:rPr>
                            <w:rFonts w:ascii="Arial" w:eastAsia="Arial" w:hAnsi="Arial" w:cs="Arial"/>
                            <w:sz w:val="18"/>
                          </w:rPr>
                          <w:t>2</w:t>
                        </w:r>
                      </w:p>
                    </w:txbxContent>
                  </v:textbox>
                </v:rect>
                <v:rect id="Rectangle 22057" o:spid="_x0000_s6216" style="position:absolute;left:193;top:581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AM0xgAAAN4AAAAPAAAAZHJzL2Rvd25yZXYueG1sRI9Ba8JA&#10;FITvBf/D8gRvdWOgrURXEUWag5daBY+P7DOJZt8u2dVEf323UOhxmJlvmPmyN424U+trywom4wQE&#10;cWF1zaWCw/f2dQrCB2SNjWVS8CAPy8XgZY6Zth1/0X0fShEh7DNUUIXgMil9UZFBP7aOOHpn2xoM&#10;Ubal1C12EW4amSbJuzRYc1yo0NG6ouK6vxkFpw27fNvJ4vxcu90lnzaft8NRqdGwX81ABOrDf/iv&#10;nWsFaZq8fcDvnXgF5OIHAAD//wMAUEsBAi0AFAAGAAgAAAAhANvh9svuAAAAhQEAABMAAAAAAAAA&#10;AAAAAAAAAAAAAFtDb250ZW50X1R5cGVzXS54bWxQSwECLQAUAAYACAAAACEAWvQsW78AAAAVAQAA&#10;CwAAAAAAAAAAAAAAAAAfAQAAX3JlbHMvLnJlbHNQSwECLQAUAAYACAAAACEAWlADNMYAAADeAAAA&#10;DwAAAAAAAAAAAAAAAAAHAgAAZHJzL2Rvd25yZXYueG1sUEsFBgAAAAADAAMAtwAAAPoCAAAAAA==&#10;" filled="f" stroked="f">
                  <v:textbox inset="0,0,0,0">
                    <w:txbxContent>
                      <w:p w14:paraId="1B741A94" w14:textId="77777777" w:rsidR="00B32EF2" w:rsidRDefault="00000000">
                        <w:r>
                          <w:rPr>
                            <w:rFonts w:ascii="Arial" w:eastAsia="Arial" w:hAnsi="Arial" w:cs="Arial"/>
                            <w:sz w:val="18"/>
                          </w:rPr>
                          <w:t>-</w:t>
                        </w:r>
                      </w:p>
                    </w:txbxContent>
                  </v:textbox>
                </v:rect>
                <v:rect id="Rectangle 22058" o:spid="_x0000_s6217" style="position:absolute;left:-13171;top:4578;width:530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5dGwwAAAN4AAAAPAAAAZHJzL2Rvd25yZXYueG1sRE/LisIw&#10;FN0L8w/hDsxO0ykoUo0iDmIXs/EFLi/Nta02N6GJtjNfbxaCy8N5z5e9acSDWl9bVvA9SkAQF1bX&#10;XCo4HjbDKQgfkDU2lknBH3lYLj4Gc8y07XhHj30oRQxhn6GCKgSXSemLigz6kXXEkbvY1mCIsC2l&#10;brGL4aaRaZJMpMGaY0OFjtYVFbf93Sg4/7DLN50sLv9r93vNp832fjwp9fXZr2YgAvXhLX65c60g&#10;TZNx3BvvxCsgF08AAAD//wMAUEsBAi0AFAAGAAgAAAAhANvh9svuAAAAhQEAABMAAAAAAAAAAAAA&#10;AAAAAAAAAFtDb250ZW50X1R5cGVzXS54bWxQSwECLQAUAAYACAAAACEAWvQsW78AAAAVAQAACwAA&#10;AAAAAAAAAAAAAAAfAQAAX3JlbHMvLnJlbHNQSwECLQAUAAYACAAAACEAK8+XRsMAAADeAAAADwAA&#10;AAAAAAAAAAAAAAAHAgAAZHJzL2Rvd25yZXYueG1sUEsFBgAAAAADAAMAtwAAAPcCAAAAAA==&#10;" filled="f" stroked="f">
                  <v:textbox inset="0,0,0,0">
                    <w:txbxContent>
                      <w:p w14:paraId="4F7103F8" w14:textId="77777777" w:rsidR="00B32EF2" w:rsidRDefault="00000000">
                        <w:r>
                          <w:rPr>
                            <w:rFonts w:ascii="Arial" w:eastAsia="Arial" w:hAnsi="Arial" w:cs="Arial"/>
                            <w:sz w:val="18"/>
                          </w:rPr>
                          <w:t xml:space="preserve">vamente in base all’anzianità di servizio, nella misura prevista nella tabella D </w:t>
                        </w:r>
                      </w:p>
                    </w:txbxContent>
                  </v:textbox>
                </v:rect>
                <v:rect id="Rectangle 22059" o:spid="_x0000_s6218" style="position:absolute;left:-13171;top:3345;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LdxgAAAN4AAAAPAAAAZHJzL2Rvd25yZXYueG1sRI9Ba8JA&#10;FITvBf/D8gRvdWOgxUZXEUWag5daBY+P7DOJZt8u2dVEf323UOhxmJlvmPmyN424U+trywom4wQE&#10;cWF1zaWCw/f2dQrCB2SNjWVS8CAPy8XgZY6Zth1/0X0fShEh7DNUUIXgMil9UZFBP7aOOHpn2xoM&#10;Ubal1C12EW4amSbJuzRYc1yo0NG6ouK6vxkFpw27fNvJ4vxcu90lnzaft8NRqdGwX81ABOrDf/iv&#10;nWsFaZq8fcDvnXgF5OIHAAD//wMAUEsBAi0AFAAGAAgAAAAhANvh9svuAAAAhQEAABMAAAAAAAAA&#10;AAAAAAAAAAAAAFtDb250ZW50X1R5cGVzXS54bWxQSwECLQAUAAYACAAAACEAWvQsW78AAAAVAQAA&#10;CwAAAAAAAAAAAAAAAAAfAQAAX3JlbHMvLnJlbHNQSwECLQAUAAYACAAAACEARIMy3cYAAADeAAAA&#10;DwAAAAAAAAAAAAAAAAAHAgAAZHJzL2Rvd25yZXYueG1sUEsFBgAAAAADAAMAtwAAAPoCAAAAAA==&#10;" filled="f" stroked="f">
                  <v:textbox inset="0,0,0,0">
                    <w:txbxContent>
                      <w:p w14:paraId="78636A97" w14:textId="77777777" w:rsidR="00B32EF2" w:rsidRDefault="00000000">
                        <w:r>
                          <w:rPr>
                            <w:rFonts w:ascii="Arial" w:eastAsia="Arial" w:hAnsi="Arial" w:cs="Arial"/>
                            <w:sz w:val="18"/>
                          </w:rPr>
                          <w:t xml:space="preserve">allegata al presente testo unico, con decorrenza dal 1° gennaio 2024, ai sensi </w:t>
                        </w:r>
                      </w:p>
                    </w:txbxContent>
                  </v:textbox>
                </v:rect>
                <v:rect id="Rectangle 22060" o:spid="_x0000_s6219" style="position:absolute;left:-13170;top:2112;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VH9xQAAAN4AAAAPAAAAZHJzL2Rvd25yZXYueG1sRI+7asMw&#10;FIb3Qt5BnEC3Ro4HExwroSSEeMhSN4WOB+v4klpHwlJit09fDYWOP/+Nr9jPZhAPGn1vWcF6lYAg&#10;rq3uuVVwfT+9bED4gKxxsEwKvsnDfrd4KjDXduI3elShFXGEfY4KuhBcLqWvOzLoV9YRR6+xo8EQ&#10;5dhKPeIUx80g0yTJpMGe40OHjg4d1V/V3Sj4PLIrT5Osm5+Du9zKzXC+Xz+Uel7Or1sQgebwH/5r&#10;l1pBmiZZBIg4EQXk7hcAAP//AwBQSwECLQAUAAYACAAAACEA2+H2y+4AAACFAQAAEwAAAAAAAAAA&#10;AAAAAAAAAAAAW0NvbnRlbnRfVHlwZXNdLnhtbFBLAQItABQABgAIAAAAIQBa9CxbvwAAABUBAAAL&#10;AAAAAAAAAAAAAAAAAB8BAABfcmVscy8ucmVsc1BLAQItABQABgAIAAAAIQAb1VH9xQAAAN4AAAAP&#10;AAAAAAAAAAAAAAAAAAcCAABkcnMvZG93bnJldi54bWxQSwUGAAAAAAMAAwC3AAAA+QIAAAAA&#10;" filled="f" stroked="f">
                  <v:textbox inset="0,0,0,0">
                    <w:txbxContent>
                      <w:p w14:paraId="4344FC0A" w14:textId="77777777" w:rsidR="00B32EF2" w:rsidRDefault="00000000">
                        <w:r>
                          <w:rPr>
                            <w:rFonts w:ascii="Arial" w:eastAsia="Arial" w:hAnsi="Arial" w:cs="Arial"/>
                            <w:sz w:val="18"/>
                          </w:rPr>
                          <w:t xml:space="preserve">del decreto del Presidente del Consiglio dei ministri 3 giugno 2024, pubblicato </w:t>
                        </w:r>
                      </w:p>
                    </w:txbxContent>
                  </v:textbox>
                </v:rect>
                <v:rect id="Rectangle 22061" o:spid="_x0000_s6220" style="position:absolute;left:-12205;top:878;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fRmxgAAAN4AAAAPAAAAZHJzL2Rvd25yZXYueG1sRI9Pi8Iw&#10;FMTvgt8hvAVvmtqDSNco4iL24MV/4PHRPNuuzUtoou3upzcLCx6HmfkNs1j1phFPan1tWcF0koAg&#10;LqyuuVRwPm3HcxA+IGtsLJOCH/KwWg4HC8y07fhAz2MoRYSwz1BBFYLLpPRFRQb9xDri6N1sazBE&#10;2ZZSt9hFuGlkmiQzabDmuFCho01Fxf34MAquX+zybSeL2+/G7b/zebN7nC9KjT769SeIQH14h//b&#10;uVaQpslsCn934hWQyxcAAAD//wMAUEsBAi0AFAAGAAgAAAAhANvh9svuAAAAhQEAABMAAAAAAAAA&#10;AAAAAAAAAAAAAFtDb250ZW50X1R5cGVzXS54bWxQSwECLQAUAAYACAAAACEAWvQsW78AAAAVAQAA&#10;CwAAAAAAAAAAAAAAAAAfAQAAX3JlbHMvLnJlbHNQSwECLQAUAAYACAAAACEAdJn0ZsYAAADeAAAA&#10;DwAAAAAAAAAAAAAAAAAHAgAAZHJzL2Rvd25yZXYueG1sUEsFBgAAAAADAAMAtwAAAPoCAAAAAA==&#10;" filled="f" stroked="f">
                  <v:textbox inset="0,0,0,0">
                    <w:txbxContent>
                      <w:p w14:paraId="542B7FD8" w14:textId="77777777" w:rsidR="00B32EF2" w:rsidRDefault="00000000">
                        <w:r>
                          <w:rPr>
                            <w:rFonts w:ascii="Arial" w:eastAsia="Arial" w:hAnsi="Arial" w:cs="Arial"/>
                            <w:sz w:val="18"/>
                          </w:rPr>
                          <w:t>nella Gazzetta Ufficiale n. 141 del 18 giugno 2024, salva l’attribuzione dell’in</w:t>
                        </w:r>
                      </w:p>
                    </w:txbxContent>
                  </v:textbox>
                </v:rect>
                <v:rect id="Rectangle 22062" o:spid="_x0000_s6221" style="position:absolute;left:193;top:87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2oRxgAAAN4AAAAPAAAAZHJzL2Rvd25yZXYueG1sRI9Pi8Iw&#10;FMTvC36H8IS9rak9iFSjiCL2sJf1D3h8NM+22ryEJtrqp98sLHgcZuY3zHzZm0Y8qPW1ZQXjUQKC&#10;uLC65lLB8bD9moLwAVljY5kUPMnDcjH4mGOmbcc/9NiHUkQI+wwVVCG4TEpfVGTQj6wjjt7FtgZD&#10;lG0pdYtdhJtGpkkykQZrjgsVOlpXVNz2d6PgvGGXbztZXF5r933Np83ufjwp9TnsVzMQgfrwDv+3&#10;c60gTZNJCn934hWQi18AAAD//wMAUEsBAi0AFAAGAAgAAAAhANvh9svuAAAAhQEAABMAAAAAAAAA&#10;AAAAAAAAAAAAAFtDb250ZW50X1R5cGVzXS54bWxQSwECLQAUAAYACAAAACEAWvQsW78AAAAVAQAA&#10;CwAAAAAAAAAAAAAAAAAfAQAAX3JlbHMvLnJlbHNQSwECLQAUAAYACAAAACEAhEtqEcYAAADeAAAA&#10;DwAAAAAAAAAAAAAAAAAHAgAAZHJzL2Rvd25yZXYueG1sUEsFBgAAAAADAAMAtwAAAPoCAAAAAA==&#10;" filled="f" stroked="f">
                  <v:textbox inset="0,0,0,0">
                    <w:txbxContent>
                      <w:p w14:paraId="24D3D678" w14:textId="77777777" w:rsidR="00B32EF2" w:rsidRDefault="00000000">
                        <w:r>
                          <w:rPr>
                            <w:rFonts w:ascii="Arial" w:eastAsia="Arial" w:hAnsi="Arial" w:cs="Arial"/>
                            <w:sz w:val="18"/>
                          </w:rPr>
                          <w:t>-</w:t>
                        </w:r>
                      </w:p>
                    </w:txbxContent>
                  </v:textbox>
                </v:rect>
                <v:rect id="Rectangle 22063" o:spid="_x0000_s6222" style="position:absolute;left:20862;top:-354;width:1905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8+KxgAAAN4AAAAPAAAAZHJzL2Rvd25yZXYueG1sRI9Ba8JA&#10;FITvgv9heQVvumkEkdRVRBFz6KU2gsdH9pmkZt8u2dXE/vpuodDjMDPfMKvNYFrxoM43lhW8zhIQ&#10;xKXVDVcKis/DdAnCB2SNrWVS8CQPm/V4tMJM254/6HEKlYgQ9hkqqENwmZS+rMmgn1lHHL2r7QyG&#10;KLtK6g77CDetTJNkIQ02HBdqdLSrqbyd7kbBZc8uP/SyvH7v3PtXvmyP9+Ks1ORl2L6BCDSE//Bf&#10;O9cK0jRZzOH3TrwCcv0DAAD//wMAUEsBAi0AFAAGAAgAAAAhANvh9svuAAAAhQEAABMAAAAAAAAA&#10;AAAAAAAAAAAAAFtDb250ZW50X1R5cGVzXS54bWxQSwECLQAUAAYACAAAACEAWvQsW78AAAAVAQAA&#10;CwAAAAAAAAAAAAAAAAAfAQAAX3JlbHMvLnJlbHNQSwECLQAUAAYACAAAACEA6wfPisYAAADeAAAA&#10;DwAAAAAAAAAAAAAAAAAHAgAAZHJzL2Rvd25yZXYueG1sUEsFBgAAAAADAAMAtwAAAPoCAAAAAA==&#10;" filled="f" stroked="f">
                  <v:textbox inset="0,0,0,0">
                    <w:txbxContent>
                      <w:p w14:paraId="7DDBED8F" w14:textId="77777777" w:rsidR="00B32EF2" w:rsidRDefault="00000000">
                        <w:r>
                          <w:rPr>
                            <w:rFonts w:ascii="Arial" w:eastAsia="Arial" w:hAnsi="Arial" w:cs="Arial"/>
                            <w:sz w:val="18"/>
                          </w:rPr>
                          <w:t>dennità integrativa speciale.</w:t>
                        </w:r>
                      </w:p>
                    </w:txbxContent>
                  </v:textbox>
                </v:rect>
                <w10:anchorlock/>
              </v:group>
            </w:pict>
          </mc:Fallback>
        </mc:AlternateContent>
      </w:r>
    </w:p>
    <w:p w14:paraId="396E5879" w14:textId="77777777" w:rsidR="00B32EF2" w:rsidRDefault="00000000">
      <w:pPr>
        <w:spacing w:after="0"/>
        <w:ind w:left="-357" w:right="-306"/>
      </w:pPr>
      <w:r>
        <w:rPr>
          <w:noProof/>
        </w:rPr>
        <w:lastRenderedPageBreak/>
        <mc:AlternateContent>
          <mc:Choice Requires="wpg">
            <w:drawing>
              <wp:inline distT="0" distB="0" distL="0" distR="0" wp14:anchorId="62B3B615" wp14:editId="235D2C3B">
                <wp:extent cx="3992110" cy="6262854"/>
                <wp:effectExtent l="0" t="0" r="0" b="0"/>
                <wp:docPr id="202216" name="Group 202216"/>
                <wp:cNvGraphicFramePr/>
                <a:graphic xmlns:a="http://schemas.openxmlformats.org/drawingml/2006/main">
                  <a:graphicData uri="http://schemas.microsoft.com/office/word/2010/wordprocessingGroup">
                    <wpg:wgp>
                      <wpg:cNvGrpSpPr/>
                      <wpg:grpSpPr>
                        <a:xfrm>
                          <a:off x="0" y="0"/>
                          <a:ext cx="3992110" cy="6262854"/>
                          <a:chOff x="0" y="0"/>
                          <a:chExt cx="3992110" cy="6262854"/>
                        </a:xfrm>
                      </wpg:grpSpPr>
                      <wps:wsp>
                        <wps:cNvPr id="22090" name="Rectangle 22090"/>
                        <wps:cNvSpPr/>
                        <wps:spPr>
                          <a:xfrm rot="-10799999">
                            <a:off x="1900682" y="-62190"/>
                            <a:ext cx="178369" cy="250646"/>
                          </a:xfrm>
                          <a:prstGeom prst="rect">
                            <a:avLst/>
                          </a:prstGeom>
                          <a:ln>
                            <a:noFill/>
                          </a:ln>
                        </wps:spPr>
                        <wps:txbx>
                          <w:txbxContent>
                            <w:p w14:paraId="1583356F" w14:textId="77777777" w:rsidR="00B32EF2" w:rsidRDefault="00000000">
                              <w:r>
                                <w:rPr>
                                  <w:rFonts w:ascii="Times New Roman" w:eastAsia="Times New Roman" w:hAnsi="Times New Roman" w:cs="Times New Roman"/>
                                </w:rPr>
                                <w:t>27</w:t>
                              </w:r>
                            </w:p>
                          </w:txbxContent>
                        </wps:txbx>
                        <wps:bodyPr horzOverflow="overflow" vert="horz" lIns="0" tIns="0" rIns="0" bIns="0" rtlCol="0">
                          <a:noAutofit/>
                        </wps:bodyPr>
                      </wps:wsp>
                      <wps:wsp>
                        <wps:cNvPr id="22091" name="Rectangle 22091"/>
                        <wps:cNvSpPr/>
                        <wps:spPr>
                          <a:xfrm rot="-10799999">
                            <a:off x="-1317008" y="6119964"/>
                            <a:ext cx="5309005" cy="142890"/>
                          </a:xfrm>
                          <a:prstGeom prst="rect">
                            <a:avLst/>
                          </a:prstGeom>
                          <a:ln>
                            <a:noFill/>
                          </a:ln>
                        </wps:spPr>
                        <wps:txbx>
                          <w:txbxContent>
                            <w:p w14:paraId="200C6050" w14:textId="77777777" w:rsidR="00B32EF2" w:rsidRDefault="00000000">
                              <w:r>
                                <w:rPr>
                                  <w:rFonts w:ascii="Arial" w:eastAsia="Arial" w:hAnsi="Arial" w:cs="Arial"/>
                                  <w:sz w:val="18"/>
                                </w:rPr>
                                <w:t xml:space="preserve">all’incarico deve essere allegata la documentazione circa l’appartenenza ad </w:t>
                              </w:r>
                            </w:p>
                          </w:txbxContent>
                        </wps:txbx>
                        <wps:bodyPr horzOverflow="overflow" vert="horz" lIns="0" tIns="0" rIns="0" bIns="0" rtlCol="0">
                          <a:noAutofit/>
                        </wps:bodyPr>
                      </wps:wsp>
                      <wps:wsp>
                        <wps:cNvPr id="22092" name="Rectangle 22092"/>
                        <wps:cNvSpPr/>
                        <wps:spPr>
                          <a:xfrm rot="-10799999">
                            <a:off x="-1317039" y="5992976"/>
                            <a:ext cx="5309036" cy="142890"/>
                          </a:xfrm>
                          <a:prstGeom prst="rect">
                            <a:avLst/>
                          </a:prstGeom>
                          <a:ln>
                            <a:noFill/>
                          </a:ln>
                        </wps:spPr>
                        <wps:txbx>
                          <w:txbxContent>
                            <w:p w14:paraId="0F00D40F" w14:textId="77777777" w:rsidR="00B32EF2" w:rsidRDefault="00000000">
                              <w:r>
                                <w:rPr>
                                  <w:rFonts w:ascii="Arial" w:eastAsia="Arial" w:hAnsi="Arial" w:cs="Arial"/>
                                  <w:sz w:val="18"/>
                                </w:rPr>
                                <w:t xml:space="preserve">una delle categorie indicate negli articoli 4, 5 e 10 ed il possesso dei requisiti </w:t>
                              </w:r>
                            </w:p>
                          </w:txbxContent>
                        </wps:txbx>
                        <wps:bodyPr horzOverflow="overflow" vert="horz" lIns="0" tIns="0" rIns="0" bIns="0" rtlCol="0">
                          <a:noAutofit/>
                        </wps:bodyPr>
                      </wps:wsp>
                      <wps:wsp>
                        <wps:cNvPr id="22093" name="Rectangle 22093"/>
                        <wps:cNvSpPr/>
                        <wps:spPr>
                          <a:xfrm rot="-10799999">
                            <a:off x="-1317069" y="5865990"/>
                            <a:ext cx="5309066" cy="142889"/>
                          </a:xfrm>
                          <a:prstGeom prst="rect">
                            <a:avLst/>
                          </a:prstGeom>
                          <a:ln>
                            <a:noFill/>
                          </a:ln>
                        </wps:spPr>
                        <wps:txbx>
                          <w:txbxContent>
                            <w:p w14:paraId="39C59BF9" w14:textId="77777777" w:rsidR="00B32EF2" w:rsidRDefault="00000000">
                              <w:r>
                                <w:rPr>
                                  <w:rFonts w:ascii="Arial" w:eastAsia="Arial" w:hAnsi="Arial" w:cs="Arial"/>
                                  <w:sz w:val="18"/>
                                </w:rPr>
                                <w:t xml:space="preserve">prescritti, nonché la dichiarazione di non essere in alcuna delle situazioni di </w:t>
                              </w:r>
                            </w:p>
                          </w:txbxContent>
                        </wps:txbx>
                        <wps:bodyPr horzOverflow="overflow" vert="horz" lIns="0" tIns="0" rIns="0" bIns="0" rtlCol="0">
                          <a:noAutofit/>
                        </wps:bodyPr>
                      </wps:wsp>
                      <wps:wsp>
                        <wps:cNvPr id="22094" name="Rectangle 22094"/>
                        <wps:cNvSpPr/>
                        <wps:spPr>
                          <a:xfrm rot="-10799999">
                            <a:off x="-1316978" y="5739002"/>
                            <a:ext cx="5308975" cy="142889"/>
                          </a:xfrm>
                          <a:prstGeom prst="rect">
                            <a:avLst/>
                          </a:prstGeom>
                          <a:ln>
                            <a:noFill/>
                          </a:ln>
                        </wps:spPr>
                        <wps:txbx>
                          <w:txbxContent>
                            <w:p w14:paraId="546ADB8A" w14:textId="77777777" w:rsidR="00B32EF2" w:rsidRDefault="00000000">
                              <w:r>
                                <w:rPr>
                                  <w:rFonts w:ascii="Arial" w:eastAsia="Arial" w:hAnsi="Arial" w:cs="Arial"/>
                                  <w:sz w:val="18"/>
                                </w:rPr>
                                <w:t xml:space="preserve">incompatibilità indicate all’articolo 14. Le esclusioni dagli elenchi di coloro che </w:t>
                              </w:r>
                            </w:p>
                          </w:txbxContent>
                        </wps:txbx>
                        <wps:bodyPr horzOverflow="overflow" vert="horz" lIns="0" tIns="0" rIns="0" bIns="0" rtlCol="0">
                          <a:noAutofit/>
                        </wps:bodyPr>
                      </wps:wsp>
                      <wps:wsp>
                        <wps:cNvPr id="22095" name="Rectangle 22095"/>
                        <wps:cNvSpPr/>
                        <wps:spPr>
                          <a:xfrm rot="-10799999">
                            <a:off x="-1220811" y="5612015"/>
                            <a:ext cx="5212808" cy="142889"/>
                          </a:xfrm>
                          <a:prstGeom prst="rect">
                            <a:avLst/>
                          </a:prstGeom>
                          <a:ln>
                            <a:noFill/>
                          </a:ln>
                        </wps:spPr>
                        <wps:txbx>
                          <w:txbxContent>
                            <w:p w14:paraId="7F83B132" w14:textId="77777777" w:rsidR="00B32EF2" w:rsidRDefault="00000000">
                              <w:r>
                                <w:rPr>
                                  <w:rFonts w:ascii="Arial" w:eastAsia="Arial" w:hAnsi="Arial" w:cs="Arial"/>
                                  <w:sz w:val="18"/>
                                </w:rPr>
                                <w:t>hanno comunicato la propria disponibilità all’incarico, senza essere in posses</w:t>
                              </w:r>
                            </w:p>
                          </w:txbxContent>
                        </wps:txbx>
                        <wps:bodyPr horzOverflow="overflow" vert="horz" lIns="0" tIns="0" rIns="0" bIns="0" rtlCol="0">
                          <a:noAutofit/>
                        </wps:bodyPr>
                      </wps:wsp>
                      <wps:wsp>
                        <wps:cNvPr id="22096" name="Rectangle 22096"/>
                        <wps:cNvSpPr/>
                        <wps:spPr>
                          <a:xfrm rot="-10799999">
                            <a:off x="19398" y="5612015"/>
                            <a:ext cx="50622" cy="142889"/>
                          </a:xfrm>
                          <a:prstGeom prst="rect">
                            <a:avLst/>
                          </a:prstGeom>
                          <a:ln>
                            <a:noFill/>
                          </a:ln>
                        </wps:spPr>
                        <wps:txbx>
                          <w:txbxContent>
                            <w:p w14:paraId="644ADBC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097" name="Rectangle 22097"/>
                        <wps:cNvSpPr/>
                        <wps:spPr>
                          <a:xfrm rot="-10799999">
                            <a:off x="-682299" y="5485028"/>
                            <a:ext cx="4674296" cy="142889"/>
                          </a:xfrm>
                          <a:prstGeom prst="rect">
                            <a:avLst/>
                          </a:prstGeom>
                          <a:ln>
                            <a:noFill/>
                          </a:ln>
                        </wps:spPr>
                        <wps:txbx>
                          <w:txbxContent>
                            <w:p w14:paraId="306DDFA3" w14:textId="77777777" w:rsidR="00B32EF2" w:rsidRDefault="00000000">
                              <w:r>
                                <w:rPr>
                                  <w:rFonts w:ascii="Arial" w:eastAsia="Arial" w:hAnsi="Arial" w:cs="Arial"/>
                                  <w:sz w:val="18"/>
                                </w:rPr>
                                <w:t>so dei requisiti prescritti, sono deliberate dal Consiglio di presidenza;</w:t>
                              </w:r>
                            </w:p>
                          </w:txbxContent>
                        </wps:txbx>
                        <wps:bodyPr horzOverflow="overflow" vert="horz" lIns="0" tIns="0" rIns="0" bIns="0" rtlCol="0">
                          <a:noAutofit/>
                        </wps:bodyPr>
                      </wps:wsp>
                      <wps:wsp>
                        <wps:cNvPr id="22098" name="Rectangle 22098"/>
                        <wps:cNvSpPr/>
                        <wps:spPr>
                          <a:xfrm rot="-10799999">
                            <a:off x="-1220583" y="5358040"/>
                            <a:ext cx="5212580" cy="142889"/>
                          </a:xfrm>
                          <a:prstGeom prst="rect">
                            <a:avLst/>
                          </a:prstGeom>
                          <a:ln>
                            <a:noFill/>
                          </a:ln>
                        </wps:spPr>
                        <wps:txbx>
                          <w:txbxContent>
                            <w:p w14:paraId="02F9E48F" w14:textId="77777777" w:rsidR="00B32EF2" w:rsidRDefault="00000000">
                              <w:r>
                                <w:rPr>
                                  <w:rFonts w:ascii="Arial" w:eastAsia="Arial" w:hAnsi="Arial" w:cs="Arial"/>
                                  <w:sz w:val="18"/>
                                </w:rPr>
                                <w:t>c) la scelta tra gli aspiranti è adottata dal Consiglio di presidenza, salvo giu</w:t>
                              </w:r>
                            </w:p>
                          </w:txbxContent>
                        </wps:txbx>
                        <wps:bodyPr horzOverflow="overflow" vert="horz" lIns="0" tIns="0" rIns="0" bIns="0" rtlCol="0">
                          <a:noAutofit/>
                        </wps:bodyPr>
                      </wps:wsp>
                      <wps:wsp>
                        <wps:cNvPr id="22099" name="Rectangle 22099"/>
                        <wps:cNvSpPr/>
                        <wps:spPr>
                          <a:xfrm rot="-10799999">
                            <a:off x="19398" y="5358041"/>
                            <a:ext cx="50622" cy="142889"/>
                          </a:xfrm>
                          <a:prstGeom prst="rect">
                            <a:avLst/>
                          </a:prstGeom>
                          <a:ln>
                            <a:noFill/>
                          </a:ln>
                        </wps:spPr>
                        <wps:txbx>
                          <w:txbxContent>
                            <w:p w14:paraId="75870F8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100" name="Rectangle 22100"/>
                        <wps:cNvSpPr/>
                        <wps:spPr>
                          <a:xfrm rot="-10799999">
                            <a:off x="-1317024" y="5231054"/>
                            <a:ext cx="5309021" cy="142889"/>
                          </a:xfrm>
                          <a:prstGeom prst="rect">
                            <a:avLst/>
                          </a:prstGeom>
                          <a:ln>
                            <a:noFill/>
                          </a:ln>
                        </wps:spPr>
                        <wps:txbx>
                          <w:txbxContent>
                            <w:p w14:paraId="4187C105" w14:textId="77777777" w:rsidR="00B32EF2" w:rsidRDefault="00000000">
                              <w:r>
                                <w:rPr>
                                  <w:rFonts w:ascii="Arial" w:eastAsia="Arial" w:hAnsi="Arial" w:cs="Arial"/>
                                  <w:sz w:val="18"/>
                                </w:rPr>
                                <w:t xml:space="preserve">dizio di demerito del candidato, secondo i criteri di valutazione ed i punteggi </w:t>
                              </w:r>
                            </w:p>
                          </w:txbxContent>
                        </wps:txbx>
                        <wps:bodyPr horzOverflow="overflow" vert="horz" lIns="0" tIns="0" rIns="0" bIns="0" rtlCol="0">
                          <a:noAutofit/>
                        </wps:bodyPr>
                      </wps:wsp>
                      <wps:wsp>
                        <wps:cNvPr id="22101" name="Rectangle 22101"/>
                        <wps:cNvSpPr/>
                        <wps:spPr>
                          <a:xfrm rot="-10799999">
                            <a:off x="-1220696" y="5104066"/>
                            <a:ext cx="5213264" cy="142889"/>
                          </a:xfrm>
                          <a:prstGeom prst="rect">
                            <a:avLst/>
                          </a:prstGeom>
                          <a:ln>
                            <a:noFill/>
                          </a:ln>
                        </wps:spPr>
                        <wps:txbx>
                          <w:txbxContent>
                            <w:p w14:paraId="20C3327D" w14:textId="77777777" w:rsidR="00B32EF2" w:rsidRDefault="00000000">
                              <w:r>
                                <w:rPr>
                                  <w:rFonts w:ascii="Arial" w:eastAsia="Arial" w:hAnsi="Arial" w:cs="Arial"/>
                                  <w:sz w:val="18"/>
                                </w:rPr>
                                <w:t>stabiliti dalla tabella C e, nel caso di parità di punteggio, della maggiore anzia</w:t>
                              </w:r>
                            </w:p>
                          </w:txbxContent>
                        </wps:txbx>
                        <wps:bodyPr horzOverflow="overflow" vert="horz" lIns="0" tIns="0" rIns="0" bIns="0" rtlCol="0">
                          <a:noAutofit/>
                        </wps:bodyPr>
                      </wps:wsp>
                      <wps:wsp>
                        <wps:cNvPr id="22102" name="Rectangle 22102"/>
                        <wps:cNvSpPr/>
                        <wps:spPr>
                          <a:xfrm rot="-10799999">
                            <a:off x="19398" y="5104066"/>
                            <a:ext cx="50622" cy="142889"/>
                          </a:xfrm>
                          <a:prstGeom prst="rect">
                            <a:avLst/>
                          </a:prstGeom>
                          <a:ln>
                            <a:noFill/>
                          </a:ln>
                        </wps:spPr>
                        <wps:txbx>
                          <w:txbxContent>
                            <w:p w14:paraId="45FCCCE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103" name="Rectangle 22103"/>
                        <wps:cNvSpPr/>
                        <wps:spPr>
                          <a:xfrm rot="-10799999">
                            <a:off x="2936810" y="4977079"/>
                            <a:ext cx="1055757" cy="142889"/>
                          </a:xfrm>
                          <a:prstGeom prst="rect">
                            <a:avLst/>
                          </a:prstGeom>
                          <a:ln>
                            <a:noFill/>
                          </a:ln>
                        </wps:spPr>
                        <wps:txbx>
                          <w:txbxContent>
                            <w:p w14:paraId="4D9DF404" w14:textId="77777777" w:rsidR="00B32EF2" w:rsidRDefault="00000000">
                              <w:r>
                                <w:rPr>
                                  <w:rFonts w:ascii="Arial" w:eastAsia="Arial" w:hAnsi="Arial" w:cs="Arial"/>
                                  <w:sz w:val="18"/>
                                </w:rPr>
                                <w:t>nità anagrafica.</w:t>
                              </w:r>
                            </w:p>
                          </w:txbxContent>
                        </wps:txbx>
                        <wps:bodyPr horzOverflow="overflow" vert="horz" lIns="0" tIns="0" rIns="0" bIns="0" rtlCol="0">
                          <a:noAutofit/>
                        </wps:bodyPr>
                      </wps:wsp>
                      <wps:wsp>
                        <wps:cNvPr id="202210" name="Rectangle 202210"/>
                        <wps:cNvSpPr/>
                        <wps:spPr>
                          <a:xfrm rot="-10799999">
                            <a:off x="-1272038" y="4850091"/>
                            <a:ext cx="5212154" cy="142889"/>
                          </a:xfrm>
                          <a:prstGeom prst="rect">
                            <a:avLst/>
                          </a:prstGeom>
                          <a:ln>
                            <a:noFill/>
                          </a:ln>
                        </wps:spPr>
                        <wps:txbx>
                          <w:txbxContent>
                            <w:p w14:paraId="07D3AE52" w14:textId="77777777" w:rsidR="00B32EF2" w:rsidRDefault="00000000">
                              <w:r>
                                <w:rPr>
                                  <w:rFonts w:ascii="Arial" w:eastAsia="Arial" w:hAnsi="Arial" w:cs="Arial"/>
                                  <w:sz w:val="18"/>
                                </w:rPr>
                                <w:t>. Il Consiglio di presidenza della giustizia tributaria esprime giudizio di deme</w:t>
                              </w:r>
                            </w:p>
                          </w:txbxContent>
                        </wps:txbx>
                        <wps:bodyPr horzOverflow="overflow" vert="horz" lIns="0" tIns="0" rIns="0" bIns="0" rtlCol="0">
                          <a:noAutofit/>
                        </wps:bodyPr>
                      </wps:wsp>
                      <wps:wsp>
                        <wps:cNvPr id="202208" name="Rectangle 202208"/>
                        <wps:cNvSpPr/>
                        <wps:spPr>
                          <a:xfrm rot="-10799999">
                            <a:off x="2635205" y="4850091"/>
                            <a:ext cx="5212154" cy="142889"/>
                          </a:xfrm>
                          <a:prstGeom prst="rect">
                            <a:avLst/>
                          </a:prstGeom>
                          <a:ln>
                            <a:noFill/>
                          </a:ln>
                        </wps:spPr>
                        <wps:txbx>
                          <w:txbxContent>
                            <w:p w14:paraId="6551A12B"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22105" name="Rectangle 22105"/>
                        <wps:cNvSpPr/>
                        <wps:spPr>
                          <a:xfrm rot="-10799999">
                            <a:off x="19398" y="4850092"/>
                            <a:ext cx="50622" cy="142889"/>
                          </a:xfrm>
                          <a:prstGeom prst="rect">
                            <a:avLst/>
                          </a:prstGeom>
                          <a:ln>
                            <a:noFill/>
                          </a:ln>
                        </wps:spPr>
                        <wps:txbx>
                          <w:txbxContent>
                            <w:p w14:paraId="428CB69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106" name="Rectangle 22106"/>
                        <wps:cNvSpPr/>
                        <wps:spPr>
                          <a:xfrm rot="-10799999">
                            <a:off x="946386" y="4723105"/>
                            <a:ext cx="3045609" cy="142889"/>
                          </a:xfrm>
                          <a:prstGeom prst="rect">
                            <a:avLst/>
                          </a:prstGeom>
                          <a:ln>
                            <a:noFill/>
                          </a:ln>
                        </wps:spPr>
                        <wps:txbx>
                          <w:txbxContent>
                            <w:p w14:paraId="5340442C" w14:textId="77777777" w:rsidR="00B32EF2" w:rsidRDefault="00000000">
                              <w:r>
                                <w:rPr>
                                  <w:rFonts w:ascii="Arial" w:eastAsia="Arial" w:hAnsi="Arial" w:cs="Arial"/>
                                  <w:sz w:val="18"/>
                                </w:rPr>
                                <w:t>rito ove ricorra una delle seguenti condizioni:</w:t>
                              </w:r>
                            </w:p>
                          </w:txbxContent>
                        </wps:txbx>
                        <wps:bodyPr horzOverflow="overflow" vert="horz" lIns="0" tIns="0" rIns="0" bIns="0" rtlCol="0">
                          <a:noAutofit/>
                        </wps:bodyPr>
                      </wps:wsp>
                      <wps:wsp>
                        <wps:cNvPr id="22107" name="Rectangle 22107"/>
                        <wps:cNvSpPr/>
                        <wps:spPr>
                          <a:xfrm rot="-10799999">
                            <a:off x="-1317024" y="4596117"/>
                            <a:ext cx="5309021" cy="142889"/>
                          </a:xfrm>
                          <a:prstGeom prst="rect">
                            <a:avLst/>
                          </a:prstGeom>
                          <a:ln>
                            <a:noFill/>
                          </a:ln>
                        </wps:spPr>
                        <wps:txbx>
                          <w:txbxContent>
                            <w:p w14:paraId="60D11422" w14:textId="77777777" w:rsidR="00B32EF2" w:rsidRDefault="00000000">
                              <w:r>
                                <w:rPr>
                                  <w:rFonts w:ascii="Arial" w:eastAsia="Arial" w:hAnsi="Arial" w:cs="Arial"/>
                                  <w:sz w:val="18"/>
                                </w:rPr>
                                <w:t xml:space="preserve">a) sanzione disciplinare irrogata al candidato nel quinquennio antecedente la </w:t>
                              </w:r>
                            </w:p>
                          </w:txbxContent>
                        </wps:txbx>
                        <wps:bodyPr horzOverflow="overflow" vert="horz" lIns="0" tIns="0" rIns="0" bIns="0" rtlCol="0">
                          <a:noAutofit/>
                        </wps:bodyPr>
                      </wps:wsp>
                      <wps:wsp>
                        <wps:cNvPr id="22108" name="Rectangle 22108"/>
                        <wps:cNvSpPr/>
                        <wps:spPr>
                          <a:xfrm rot="-10799999">
                            <a:off x="-612674" y="4469131"/>
                            <a:ext cx="4604671" cy="142889"/>
                          </a:xfrm>
                          <a:prstGeom prst="rect">
                            <a:avLst/>
                          </a:prstGeom>
                          <a:ln>
                            <a:noFill/>
                          </a:ln>
                        </wps:spPr>
                        <wps:txbx>
                          <w:txbxContent>
                            <w:p w14:paraId="669FC567" w14:textId="77777777" w:rsidR="00B32EF2" w:rsidRDefault="00000000">
                              <w:r>
                                <w:rPr>
                                  <w:rFonts w:ascii="Arial" w:eastAsia="Arial" w:hAnsi="Arial" w:cs="Arial"/>
                                  <w:sz w:val="18"/>
                                </w:rPr>
                                <w:t>data di scadenza della domanda per l’incarico per il quale concorre;</w:t>
                              </w:r>
                            </w:p>
                          </w:txbxContent>
                        </wps:txbx>
                        <wps:bodyPr horzOverflow="overflow" vert="horz" lIns="0" tIns="0" rIns="0" bIns="0" rtlCol="0">
                          <a:noAutofit/>
                        </wps:bodyPr>
                      </wps:wsp>
                      <wps:wsp>
                        <wps:cNvPr id="22109" name="Rectangle 22109"/>
                        <wps:cNvSpPr/>
                        <wps:spPr>
                          <a:xfrm rot="-10799999">
                            <a:off x="-1220340" y="4342143"/>
                            <a:ext cx="5212337" cy="142889"/>
                          </a:xfrm>
                          <a:prstGeom prst="rect">
                            <a:avLst/>
                          </a:prstGeom>
                          <a:ln>
                            <a:noFill/>
                          </a:ln>
                        </wps:spPr>
                        <wps:txbx>
                          <w:txbxContent>
                            <w:p w14:paraId="2BA295CE" w14:textId="77777777" w:rsidR="00B32EF2" w:rsidRDefault="00000000">
                              <w:r>
                                <w:rPr>
                                  <w:rFonts w:ascii="Arial" w:eastAsia="Arial" w:hAnsi="Arial" w:cs="Arial"/>
                                  <w:sz w:val="18"/>
                                </w:rPr>
                                <w:t>b) rapporto annuo pari o superiore al 60 per cento tra il numero dei provvedi</w:t>
                              </w:r>
                            </w:p>
                          </w:txbxContent>
                        </wps:txbx>
                        <wps:bodyPr horzOverflow="overflow" vert="horz" lIns="0" tIns="0" rIns="0" bIns="0" rtlCol="0">
                          <a:noAutofit/>
                        </wps:bodyPr>
                      </wps:wsp>
                      <wps:wsp>
                        <wps:cNvPr id="22110" name="Rectangle 22110"/>
                        <wps:cNvSpPr/>
                        <wps:spPr>
                          <a:xfrm rot="-10799999">
                            <a:off x="19398" y="4342143"/>
                            <a:ext cx="50622" cy="142889"/>
                          </a:xfrm>
                          <a:prstGeom prst="rect">
                            <a:avLst/>
                          </a:prstGeom>
                          <a:ln>
                            <a:noFill/>
                          </a:ln>
                        </wps:spPr>
                        <wps:txbx>
                          <w:txbxContent>
                            <w:p w14:paraId="68324AD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111" name="Rectangle 22111"/>
                        <wps:cNvSpPr/>
                        <wps:spPr>
                          <a:xfrm rot="-10799999">
                            <a:off x="-1219047" y="4215156"/>
                            <a:ext cx="5211045" cy="142889"/>
                          </a:xfrm>
                          <a:prstGeom prst="rect">
                            <a:avLst/>
                          </a:prstGeom>
                          <a:ln>
                            <a:noFill/>
                          </a:ln>
                        </wps:spPr>
                        <wps:txbx>
                          <w:txbxContent>
                            <w:p w14:paraId="7EFE8D31" w14:textId="77777777" w:rsidR="00B32EF2" w:rsidRDefault="00000000">
                              <w:r>
                                <w:rPr>
                                  <w:rFonts w:ascii="Arial" w:eastAsia="Arial" w:hAnsi="Arial" w:cs="Arial"/>
                                  <w:sz w:val="18"/>
                                </w:rPr>
                                <w:t>menti depositati oltre il termine di trenta giorni a decorrere dalla data di delibe</w:t>
                              </w:r>
                            </w:p>
                          </w:txbxContent>
                        </wps:txbx>
                        <wps:bodyPr horzOverflow="overflow" vert="horz" lIns="0" tIns="0" rIns="0" bIns="0" rtlCol="0">
                          <a:noAutofit/>
                        </wps:bodyPr>
                      </wps:wsp>
                      <wps:wsp>
                        <wps:cNvPr id="22112" name="Rectangle 22112"/>
                        <wps:cNvSpPr/>
                        <wps:spPr>
                          <a:xfrm rot="-10799999">
                            <a:off x="19398" y="4215156"/>
                            <a:ext cx="50622" cy="142889"/>
                          </a:xfrm>
                          <a:prstGeom prst="rect">
                            <a:avLst/>
                          </a:prstGeom>
                          <a:ln>
                            <a:noFill/>
                          </a:ln>
                        </wps:spPr>
                        <wps:txbx>
                          <w:txbxContent>
                            <w:p w14:paraId="4D03AA4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113" name="Rectangle 22113"/>
                        <wps:cNvSpPr/>
                        <wps:spPr>
                          <a:xfrm rot="-10799999">
                            <a:off x="-650800" y="4088168"/>
                            <a:ext cx="4642797" cy="142889"/>
                          </a:xfrm>
                          <a:prstGeom prst="rect">
                            <a:avLst/>
                          </a:prstGeom>
                          <a:ln>
                            <a:noFill/>
                          </a:ln>
                        </wps:spPr>
                        <wps:txbx>
                          <w:txbxContent>
                            <w:p w14:paraId="7A0CBA65" w14:textId="77777777" w:rsidR="00B32EF2" w:rsidRDefault="00000000">
                              <w:r>
                                <w:rPr>
                                  <w:rFonts w:ascii="Arial" w:eastAsia="Arial" w:hAnsi="Arial" w:cs="Arial"/>
                                  <w:sz w:val="18"/>
                                </w:rPr>
                                <w:t>razione e il totale dei provvedimenti depositati dal singolo candidato.</w:t>
                              </w:r>
                            </w:p>
                          </w:txbxContent>
                        </wps:txbx>
                        <wps:bodyPr horzOverflow="overflow" vert="horz" lIns="0" tIns="0" rIns="0" bIns="0" rtlCol="0">
                          <a:noAutofit/>
                        </wps:bodyPr>
                      </wps:wsp>
                      <wps:wsp>
                        <wps:cNvPr id="202204" name="Rectangle 202204"/>
                        <wps:cNvSpPr/>
                        <wps:spPr>
                          <a:xfrm rot="-10799999">
                            <a:off x="2611174" y="3961182"/>
                            <a:ext cx="5309006" cy="142889"/>
                          </a:xfrm>
                          <a:prstGeom prst="rect">
                            <a:avLst/>
                          </a:prstGeom>
                          <a:ln>
                            <a:noFill/>
                          </a:ln>
                        </wps:spPr>
                        <wps:txbx>
                          <w:txbxContent>
                            <w:p w14:paraId="2292520B" w14:textId="77777777" w:rsidR="00B32EF2" w:rsidRDefault="00000000">
                              <w:r>
                                <w:rPr>
                                  <w:rFonts w:ascii="Arial" w:eastAsia="Arial" w:hAnsi="Arial" w:cs="Arial"/>
                                  <w:sz w:val="18"/>
                                </w:rPr>
                                <w:t>8</w:t>
                              </w:r>
                            </w:p>
                          </w:txbxContent>
                        </wps:txbx>
                        <wps:bodyPr horzOverflow="overflow" vert="horz" lIns="0" tIns="0" rIns="0" bIns="0" rtlCol="0">
                          <a:noAutofit/>
                        </wps:bodyPr>
                      </wps:wsp>
                      <wps:wsp>
                        <wps:cNvPr id="202205" name="Rectangle 202205"/>
                        <wps:cNvSpPr/>
                        <wps:spPr>
                          <a:xfrm rot="-10799999">
                            <a:off x="-1381863" y="3961182"/>
                            <a:ext cx="5309005" cy="142889"/>
                          </a:xfrm>
                          <a:prstGeom prst="rect">
                            <a:avLst/>
                          </a:prstGeom>
                          <a:ln>
                            <a:noFill/>
                          </a:ln>
                        </wps:spPr>
                        <wps:txbx>
                          <w:txbxContent>
                            <w:p w14:paraId="6DF41CB7" w14:textId="77777777" w:rsidR="00B32EF2" w:rsidRDefault="00000000">
                              <w:r>
                                <w:rPr>
                                  <w:rFonts w:ascii="Arial" w:eastAsia="Arial" w:hAnsi="Arial" w:cs="Arial"/>
                                  <w:sz w:val="18"/>
                                </w:rPr>
                                <w:t xml:space="preserve">. Nei casi di necessità di servizio, il Ministro dell’economia e delle finanze </w:t>
                              </w:r>
                            </w:p>
                          </w:txbxContent>
                        </wps:txbx>
                        <wps:bodyPr horzOverflow="overflow" vert="horz" lIns="0" tIns="0" rIns="0" bIns="0" rtlCol="0">
                          <a:noAutofit/>
                        </wps:bodyPr>
                      </wps:wsp>
                      <wps:wsp>
                        <wps:cNvPr id="22115" name="Rectangle 22115"/>
                        <wps:cNvSpPr/>
                        <wps:spPr>
                          <a:xfrm rot="-10799999">
                            <a:off x="-1316559" y="3834194"/>
                            <a:ext cx="5308899" cy="142889"/>
                          </a:xfrm>
                          <a:prstGeom prst="rect">
                            <a:avLst/>
                          </a:prstGeom>
                          <a:ln>
                            <a:noFill/>
                          </a:ln>
                        </wps:spPr>
                        <wps:txbx>
                          <w:txbxContent>
                            <w:p w14:paraId="695CACF1" w14:textId="77777777" w:rsidR="00B32EF2" w:rsidRDefault="00000000">
                              <w:r>
                                <w:rPr>
                                  <w:rFonts w:ascii="Arial" w:eastAsia="Arial" w:hAnsi="Arial" w:cs="Arial"/>
                                  <w:sz w:val="18"/>
                                </w:rPr>
                                <w:t xml:space="preserve">può disporre, su richiesta del Consiglio di presidenza della giustizia tributaria, </w:t>
                              </w:r>
                            </w:p>
                          </w:txbxContent>
                        </wps:txbx>
                        <wps:bodyPr horzOverflow="overflow" vert="horz" lIns="0" tIns="0" rIns="0" bIns="0" rtlCol="0">
                          <a:noAutofit/>
                        </wps:bodyPr>
                      </wps:wsp>
                      <wps:wsp>
                        <wps:cNvPr id="22116" name="Rectangle 22116"/>
                        <wps:cNvSpPr/>
                        <wps:spPr>
                          <a:xfrm rot="-10799999">
                            <a:off x="955660" y="3707207"/>
                            <a:ext cx="3036793" cy="142889"/>
                          </a:xfrm>
                          <a:prstGeom prst="rect">
                            <a:avLst/>
                          </a:prstGeom>
                          <a:ln>
                            <a:noFill/>
                          </a:ln>
                        </wps:spPr>
                        <wps:txbx>
                          <w:txbxContent>
                            <w:p w14:paraId="3F506FD0" w14:textId="77777777" w:rsidR="00B32EF2" w:rsidRDefault="00000000">
                              <w:r>
                                <w:rPr>
                                  <w:rFonts w:ascii="Arial" w:eastAsia="Arial" w:hAnsi="Arial" w:cs="Arial"/>
                                  <w:sz w:val="18"/>
                                </w:rPr>
                                <w:t>l’anticipazione nell’assunzione delle funzioni.</w:t>
                              </w:r>
                            </w:p>
                          </w:txbxContent>
                        </wps:txbx>
                        <wps:bodyPr horzOverflow="overflow" vert="horz" lIns="0" tIns="0" rIns="0" bIns="0" rtlCol="0">
                          <a:noAutofit/>
                        </wps:bodyPr>
                      </wps:wsp>
                      <wps:wsp>
                        <wps:cNvPr id="202201" name="Rectangle 202201"/>
                        <wps:cNvSpPr/>
                        <wps:spPr>
                          <a:xfrm rot="-10799999">
                            <a:off x="-1380163" y="3580219"/>
                            <a:ext cx="5309021" cy="142889"/>
                          </a:xfrm>
                          <a:prstGeom prst="rect">
                            <a:avLst/>
                          </a:prstGeom>
                          <a:ln>
                            <a:noFill/>
                          </a:ln>
                        </wps:spPr>
                        <wps:txbx>
                          <w:txbxContent>
                            <w:p w14:paraId="692C3908" w14:textId="77777777" w:rsidR="00B32EF2" w:rsidRDefault="00000000">
                              <w:r>
                                <w:rPr>
                                  <w:rFonts w:ascii="Arial" w:eastAsia="Arial" w:hAnsi="Arial" w:cs="Arial"/>
                                  <w:sz w:val="18"/>
                                </w:rPr>
                                <w:t xml:space="preserve">. La disposizione di cui al comma 2 si applica a decorrere dal 1° gennaio </w:t>
                              </w:r>
                            </w:p>
                          </w:txbxContent>
                        </wps:txbx>
                        <wps:bodyPr horzOverflow="overflow" vert="horz" lIns="0" tIns="0" rIns="0" bIns="0" rtlCol="0">
                          <a:noAutofit/>
                        </wps:bodyPr>
                      </wps:wsp>
                      <wps:wsp>
                        <wps:cNvPr id="202200" name="Rectangle 202200"/>
                        <wps:cNvSpPr/>
                        <wps:spPr>
                          <a:xfrm rot="-10799999">
                            <a:off x="2611170" y="3580219"/>
                            <a:ext cx="5309020" cy="142889"/>
                          </a:xfrm>
                          <a:prstGeom prst="rect">
                            <a:avLst/>
                          </a:prstGeom>
                          <a:ln>
                            <a:noFill/>
                          </a:ln>
                        </wps:spPr>
                        <wps:txbx>
                          <w:txbxContent>
                            <w:p w14:paraId="48D90B87" w14:textId="77777777" w:rsidR="00B32EF2" w:rsidRDefault="00000000">
                              <w:r>
                                <w:rPr>
                                  <w:rFonts w:ascii="Arial" w:eastAsia="Arial" w:hAnsi="Arial" w:cs="Arial"/>
                                  <w:sz w:val="18"/>
                                </w:rPr>
                                <w:t>9</w:t>
                              </w:r>
                            </w:p>
                          </w:txbxContent>
                        </wps:txbx>
                        <wps:bodyPr horzOverflow="overflow" vert="horz" lIns="0" tIns="0" rIns="0" bIns="0" rtlCol="0">
                          <a:noAutofit/>
                        </wps:bodyPr>
                      </wps:wsp>
                      <wps:wsp>
                        <wps:cNvPr id="202196" name="Rectangle 202196"/>
                        <wps:cNvSpPr/>
                        <wps:spPr>
                          <a:xfrm rot="-10799999">
                            <a:off x="2416225" y="3453233"/>
                            <a:ext cx="5312547" cy="142889"/>
                          </a:xfrm>
                          <a:prstGeom prst="rect">
                            <a:avLst/>
                          </a:prstGeom>
                          <a:ln>
                            <a:noFill/>
                          </a:ln>
                        </wps:spPr>
                        <wps:txbx>
                          <w:txbxContent>
                            <w:p w14:paraId="0576E279" w14:textId="77777777" w:rsidR="00B32EF2" w:rsidRDefault="00000000">
                              <w:r>
                                <w:rPr>
                                  <w:rFonts w:ascii="Arial" w:eastAsia="Arial" w:hAnsi="Arial" w:cs="Arial"/>
                                  <w:sz w:val="18"/>
                                </w:rPr>
                                <w:t>2029</w:t>
                              </w:r>
                            </w:p>
                          </w:txbxContent>
                        </wps:txbx>
                        <wps:bodyPr horzOverflow="overflow" vert="horz" lIns="0" tIns="0" rIns="0" bIns="0" rtlCol="0">
                          <a:noAutofit/>
                        </wps:bodyPr>
                      </wps:wsp>
                      <wps:wsp>
                        <wps:cNvPr id="202197" name="Rectangle 202197"/>
                        <wps:cNvSpPr/>
                        <wps:spPr>
                          <a:xfrm rot="-10799999">
                            <a:off x="-1575359" y="3453233"/>
                            <a:ext cx="5312547" cy="142889"/>
                          </a:xfrm>
                          <a:prstGeom prst="rect">
                            <a:avLst/>
                          </a:prstGeom>
                          <a:ln>
                            <a:noFill/>
                          </a:ln>
                        </wps:spPr>
                        <wps:txbx>
                          <w:txbxContent>
                            <w:p w14:paraId="36D55ED9" w14:textId="77777777" w:rsidR="00B32EF2" w:rsidRDefault="00000000">
                              <w:r>
                                <w:rPr>
                                  <w:rFonts w:ascii="Arial" w:eastAsia="Arial" w:hAnsi="Arial" w:cs="Arial"/>
                                  <w:sz w:val="18"/>
                                </w:rPr>
                                <w:t xml:space="preserve">. Fino al 31 dicembre 2028, i componenti delle corti di giustizia tributaria </w:t>
                              </w:r>
                            </w:p>
                          </w:txbxContent>
                        </wps:txbx>
                        <wps:bodyPr horzOverflow="overflow" vert="horz" lIns="0" tIns="0" rIns="0" bIns="0" rtlCol="0">
                          <a:noAutofit/>
                        </wps:bodyPr>
                      </wps:wsp>
                      <wps:wsp>
                        <wps:cNvPr id="22119" name="Rectangle 22119"/>
                        <wps:cNvSpPr/>
                        <wps:spPr>
                          <a:xfrm rot="-10799999">
                            <a:off x="-1317039" y="3326245"/>
                            <a:ext cx="5309035" cy="142889"/>
                          </a:xfrm>
                          <a:prstGeom prst="rect">
                            <a:avLst/>
                          </a:prstGeom>
                          <a:ln>
                            <a:noFill/>
                          </a:ln>
                        </wps:spPr>
                        <wps:txbx>
                          <w:txbxContent>
                            <w:p w14:paraId="6DC75D8A" w14:textId="77777777" w:rsidR="00B32EF2" w:rsidRDefault="00000000">
                              <w:r>
                                <w:rPr>
                                  <w:rFonts w:ascii="Arial" w:eastAsia="Arial" w:hAnsi="Arial" w:cs="Arial"/>
                                  <w:sz w:val="18"/>
                                </w:rPr>
                                <w:t xml:space="preserve">di primo e secondo grado, indipendentemente dalle funzioni svolte, cessano </w:t>
                              </w:r>
                            </w:p>
                          </w:txbxContent>
                        </wps:txbx>
                        <wps:bodyPr horzOverflow="overflow" vert="horz" lIns="0" tIns="0" rIns="0" bIns="0" rtlCol="0">
                          <a:noAutofit/>
                        </wps:bodyPr>
                      </wps:wsp>
                      <wps:wsp>
                        <wps:cNvPr id="22120" name="Rectangle 22120"/>
                        <wps:cNvSpPr/>
                        <wps:spPr>
                          <a:xfrm rot="-10799999">
                            <a:off x="2239096" y="3199258"/>
                            <a:ext cx="1752900" cy="142889"/>
                          </a:xfrm>
                          <a:prstGeom prst="rect">
                            <a:avLst/>
                          </a:prstGeom>
                          <a:ln>
                            <a:noFill/>
                          </a:ln>
                        </wps:spPr>
                        <wps:txbx>
                          <w:txbxContent>
                            <w:p w14:paraId="397D9A06" w14:textId="77777777" w:rsidR="00B32EF2" w:rsidRDefault="00000000">
                              <w:r>
                                <w:rPr>
                                  <w:rFonts w:ascii="Arial" w:eastAsia="Arial" w:hAnsi="Arial" w:cs="Arial"/>
                                  <w:sz w:val="18"/>
                                </w:rPr>
                                <w:t>dall’incarico, in ogni caso:</w:t>
                              </w:r>
                            </w:p>
                          </w:txbxContent>
                        </wps:txbx>
                        <wps:bodyPr horzOverflow="overflow" vert="horz" lIns="0" tIns="0" rIns="0" bIns="0" rtlCol="0">
                          <a:noAutofit/>
                        </wps:bodyPr>
                      </wps:wsp>
                      <wps:wsp>
                        <wps:cNvPr id="22121" name="Rectangle 22121"/>
                        <wps:cNvSpPr/>
                        <wps:spPr>
                          <a:xfrm rot="-10799999">
                            <a:off x="-1317039" y="3072270"/>
                            <a:ext cx="5309035" cy="142889"/>
                          </a:xfrm>
                          <a:prstGeom prst="rect">
                            <a:avLst/>
                          </a:prstGeom>
                          <a:ln>
                            <a:noFill/>
                          </a:ln>
                        </wps:spPr>
                        <wps:txbx>
                          <w:txbxContent>
                            <w:p w14:paraId="3BB17473" w14:textId="77777777" w:rsidR="00B32EF2" w:rsidRDefault="00000000">
                              <w:r>
                                <w:rPr>
                                  <w:rFonts w:ascii="Arial" w:eastAsia="Arial" w:hAnsi="Arial" w:cs="Arial"/>
                                  <w:sz w:val="18"/>
                                </w:rPr>
                                <w:t xml:space="preserve">a) il 1° gennaio 2025 qualora abbiano compiuto settantaquattro anni di età </w:t>
                              </w:r>
                            </w:p>
                          </w:txbxContent>
                        </wps:txbx>
                        <wps:bodyPr horzOverflow="overflow" vert="horz" lIns="0" tIns="0" rIns="0" bIns="0" rtlCol="0">
                          <a:noAutofit/>
                        </wps:bodyPr>
                      </wps:wsp>
                      <wps:wsp>
                        <wps:cNvPr id="22122" name="Rectangle 22122"/>
                        <wps:cNvSpPr/>
                        <wps:spPr>
                          <a:xfrm rot="-10799999">
                            <a:off x="-1316993" y="2945284"/>
                            <a:ext cx="5308990" cy="142889"/>
                          </a:xfrm>
                          <a:prstGeom prst="rect">
                            <a:avLst/>
                          </a:prstGeom>
                          <a:ln>
                            <a:noFill/>
                          </a:ln>
                        </wps:spPr>
                        <wps:txbx>
                          <w:txbxContent>
                            <w:p w14:paraId="578D2690" w14:textId="77777777" w:rsidR="00B32EF2" w:rsidRDefault="00000000">
                              <w:r>
                                <w:rPr>
                                  <w:rFonts w:ascii="Arial" w:eastAsia="Arial" w:hAnsi="Arial" w:cs="Arial"/>
                                  <w:sz w:val="18"/>
                                </w:rPr>
                                <w:t xml:space="preserve">entro il 31 dicembre 2024, ovvero al compimento del settantaquattresimo anno </w:t>
                              </w:r>
                            </w:p>
                          </w:txbxContent>
                        </wps:txbx>
                        <wps:bodyPr horzOverflow="overflow" vert="horz" lIns="0" tIns="0" rIns="0" bIns="0" rtlCol="0">
                          <a:noAutofit/>
                        </wps:bodyPr>
                      </wps:wsp>
                      <wps:wsp>
                        <wps:cNvPr id="22123" name="Rectangle 22123"/>
                        <wps:cNvSpPr/>
                        <wps:spPr>
                          <a:xfrm rot="-10799999">
                            <a:off x="1872395" y="2818296"/>
                            <a:ext cx="2119601" cy="142890"/>
                          </a:xfrm>
                          <a:prstGeom prst="rect">
                            <a:avLst/>
                          </a:prstGeom>
                          <a:ln>
                            <a:noFill/>
                          </a:ln>
                        </wps:spPr>
                        <wps:txbx>
                          <w:txbxContent>
                            <w:p w14:paraId="61CBFEB0" w14:textId="77777777" w:rsidR="00B32EF2" w:rsidRDefault="00000000">
                              <w:r>
                                <w:rPr>
                                  <w:rFonts w:ascii="Arial" w:eastAsia="Arial" w:hAnsi="Arial" w:cs="Arial"/>
                                  <w:sz w:val="18"/>
                                </w:rPr>
                                <w:t>di età nel corso dell’anno 2025;</w:t>
                              </w:r>
                            </w:p>
                          </w:txbxContent>
                        </wps:txbx>
                        <wps:bodyPr horzOverflow="overflow" vert="horz" lIns="0" tIns="0" rIns="0" bIns="0" rtlCol="0">
                          <a:noAutofit/>
                        </wps:bodyPr>
                      </wps:wsp>
                      <wps:wsp>
                        <wps:cNvPr id="22124" name="Rectangle 22124"/>
                        <wps:cNvSpPr/>
                        <wps:spPr>
                          <a:xfrm rot="-10799999">
                            <a:off x="-1316992" y="2691309"/>
                            <a:ext cx="5308990" cy="142889"/>
                          </a:xfrm>
                          <a:prstGeom prst="rect">
                            <a:avLst/>
                          </a:prstGeom>
                          <a:ln>
                            <a:noFill/>
                          </a:ln>
                        </wps:spPr>
                        <wps:txbx>
                          <w:txbxContent>
                            <w:p w14:paraId="34EEF4A8" w14:textId="77777777" w:rsidR="00B32EF2" w:rsidRDefault="00000000">
                              <w:r>
                                <w:rPr>
                                  <w:rFonts w:ascii="Arial" w:eastAsia="Arial" w:hAnsi="Arial" w:cs="Arial"/>
                                  <w:sz w:val="18"/>
                                </w:rPr>
                                <w:t xml:space="preserve">b) il 1° gennaio 2026 qualora abbiano compiuto settantatrè anni di età entro il </w:t>
                              </w:r>
                            </w:p>
                          </w:txbxContent>
                        </wps:txbx>
                        <wps:bodyPr horzOverflow="overflow" vert="horz" lIns="0" tIns="0" rIns="0" bIns="0" rtlCol="0">
                          <a:noAutofit/>
                        </wps:bodyPr>
                      </wps:wsp>
                      <wps:wsp>
                        <wps:cNvPr id="202194" name="Rectangle 202194"/>
                        <wps:cNvSpPr/>
                        <wps:spPr>
                          <a:xfrm rot="-10799999">
                            <a:off x="-1440471" y="2564322"/>
                            <a:ext cx="5308990" cy="142889"/>
                          </a:xfrm>
                          <a:prstGeom prst="rect">
                            <a:avLst/>
                          </a:prstGeom>
                          <a:ln>
                            <a:noFill/>
                          </a:ln>
                        </wps:spPr>
                        <wps:txbx>
                          <w:txbxContent>
                            <w:p w14:paraId="23CC115D" w14:textId="77777777" w:rsidR="00B32EF2" w:rsidRDefault="00000000">
                              <w:r>
                                <w:rPr>
                                  <w:rFonts w:ascii="Arial" w:eastAsia="Arial" w:hAnsi="Arial" w:cs="Arial"/>
                                  <w:sz w:val="18"/>
                                </w:rPr>
                                <w:t xml:space="preserve"> dicembre 2025, ovvero al compimento del settantatreesimo anno di età nel </w:t>
                              </w:r>
                            </w:p>
                          </w:txbxContent>
                        </wps:txbx>
                        <wps:bodyPr horzOverflow="overflow" vert="horz" lIns="0" tIns="0" rIns="0" bIns="0" rtlCol="0">
                          <a:noAutofit/>
                        </wps:bodyPr>
                      </wps:wsp>
                      <wps:wsp>
                        <wps:cNvPr id="202193" name="Rectangle 202193"/>
                        <wps:cNvSpPr/>
                        <wps:spPr>
                          <a:xfrm rot="-10799999">
                            <a:off x="2551250" y="2564322"/>
                            <a:ext cx="5308989" cy="142889"/>
                          </a:xfrm>
                          <a:prstGeom prst="rect">
                            <a:avLst/>
                          </a:prstGeom>
                          <a:ln>
                            <a:noFill/>
                          </a:ln>
                        </wps:spPr>
                        <wps:txbx>
                          <w:txbxContent>
                            <w:p w14:paraId="600C0ED7" w14:textId="77777777" w:rsidR="00B32EF2" w:rsidRDefault="00000000">
                              <w:r>
                                <w:rPr>
                                  <w:rFonts w:ascii="Arial" w:eastAsia="Arial" w:hAnsi="Arial" w:cs="Arial"/>
                                  <w:sz w:val="18"/>
                                </w:rPr>
                                <w:t>31</w:t>
                              </w:r>
                            </w:p>
                          </w:txbxContent>
                        </wps:txbx>
                        <wps:bodyPr horzOverflow="overflow" vert="horz" lIns="0" tIns="0" rIns="0" bIns="0" rtlCol="0">
                          <a:noAutofit/>
                        </wps:bodyPr>
                      </wps:wsp>
                      <wps:wsp>
                        <wps:cNvPr id="22126" name="Rectangle 22126"/>
                        <wps:cNvSpPr/>
                        <wps:spPr>
                          <a:xfrm rot="-10799999">
                            <a:off x="2534864" y="2437335"/>
                            <a:ext cx="1457133" cy="142889"/>
                          </a:xfrm>
                          <a:prstGeom prst="rect">
                            <a:avLst/>
                          </a:prstGeom>
                          <a:ln>
                            <a:noFill/>
                          </a:ln>
                        </wps:spPr>
                        <wps:txbx>
                          <w:txbxContent>
                            <w:p w14:paraId="6DE8D4D1" w14:textId="77777777" w:rsidR="00B32EF2" w:rsidRDefault="00000000">
                              <w:r>
                                <w:rPr>
                                  <w:rFonts w:ascii="Arial" w:eastAsia="Arial" w:hAnsi="Arial" w:cs="Arial"/>
                                  <w:sz w:val="18"/>
                                </w:rPr>
                                <w:t>corso dell’anno 2026;</w:t>
                              </w:r>
                            </w:p>
                          </w:txbxContent>
                        </wps:txbx>
                        <wps:bodyPr horzOverflow="overflow" vert="horz" lIns="0" tIns="0" rIns="0" bIns="0" rtlCol="0">
                          <a:noAutofit/>
                        </wps:bodyPr>
                      </wps:wsp>
                      <wps:wsp>
                        <wps:cNvPr id="22127" name="Rectangle 22127"/>
                        <wps:cNvSpPr/>
                        <wps:spPr>
                          <a:xfrm rot="-10799999">
                            <a:off x="-1317008" y="2310347"/>
                            <a:ext cx="5309005" cy="142889"/>
                          </a:xfrm>
                          <a:prstGeom prst="rect">
                            <a:avLst/>
                          </a:prstGeom>
                          <a:ln>
                            <a:noFill/>
                          </a:ln>
                        </wps:spPr>
                        <wps:txbx>
                          <w:txbxContent>
                            <w:p w14:paraId="662395C7" w14:textId="77777777" w:rsidR="00B32EF2" w:rsidRDefault="00000000">
                              <w:r>
                                <w:rPr>
                                  <w:rFonts w:ascii="Arial" w:eastAsia="Arial" w:hAnsi="Arial" w:cs="Arial"/>
                                  <w:sz w:val="18"/>
                                </w:rPr>
                                <w:t xml:space="preserve">c) il 1° gennaio 2027 qualora abbiano compiuto settantadue anni di età entro il </w:t>
                              </w:r>
                            </w:p>
                          </w:txbxContent>
                        </wps:txbx>
                        <wps:bodyPr horzOverflow="overflow" vert="horz" lIns="0" tIns="0" rIns="0" bIns="0" rtlCol="0">
                          <a:noAutofit/>
                        </wps:bodyPr>
                      </wps:wsp>
                      <wps:wsp>
                        <wps:cNvPr id="202192" name="Rectangle 202192"/>
                        <wps:cNvSpPr/>
                        <wps:spPr>
                          <a:xfrm rot="-10799999">
                            <a:off x="-1440471" y="2183360"/>
                            <a:ext cx="5308990" cy="142889"/>
                          </a:xfrm>
                          <a:prstGeom prst="rect">
                            <a:avLst/>
                          </a:prstGeom>
                          <a:ln>
                            <a:noFill/>
                          </a:ln>
                        </wps:spPr>
                        <wps:txbx>
                          <w:txbxContent>
                            <w:p w14:paraId="72A67087" w14:textId="77777777" w:rsidR="00B32EF2" w:rsidRDefault="00000000">
                              <w:r>
                                <w:rPr>
                                  <w:rFonts w:ascii="Arial" w:eastAsia="Arial" w:hAnsi="Arial" w:cs="Arial"/>
                                  <w:sz w:val="18"/>
                                </w:rPr>
                                <w:t xml:space="preserve"> dicembre 2026, ovvero al compimento del settantaduesimo anno di età nel </w:t>
                              </w:r>
                            </w:p>
                          </w:txbxContent>
                        </wps:txbx>
                        <wps:bodyPr horzOverflow="overflow" vert="horz" lIns="0" tIns="0" rIns="0" bIns="0" rtlCol="0">
                          <a:noAutofit/>
                        </wps:bodyPr>
                      </wps:wsp>
                      <wps:wsp>
                        <wps:cNvPr id="202191" name="Rectangle 202191"/>
                        <wps:cNvSpPr/>
                        <wps:spPr>
                          <a:xfrm rot="-10799999">
                            <a:off x="2551250" y="2183360"/>
                            <a:ext cx="5308989" cy="142889"/>
                          </a:xfrm>
                          <a:prstGeom prst="rect">
                            <a:avLst/>
                          </a:prstGeom>
                          <a:ln>
                            <a:noFill/>
                          </a:ln>
                        </wps:spPr>
                        <wps:txbx>
                          <w:txbxContent>
                            <w:p w14:paraId="58267A34" w14:textId="77777777" w:rsidR="00B32EF2" w:rsidRDefault="00000000">
                              <w:r>
                                <w:rPr>
                                  <w:rFonts w:ascii="Arial" w:eastAsia="Arial" w:hAnsi="Arial" w:cs="Arial"/>
                                  <w:sz w:val="18"/>
                                </w:rPr>
                                <w:t>31</w:t>
                              </w:r>
                            </w:p>
                          </w:txbxContent>
                        </wps:txbx>
                        <wps:bodyPr horzOverflow="overflow" vert="horz" lIns="0" tIns="0" rIns="0" bIns="0" rtlCol="0">
                          <a:noAutofit/>
                        </wps:bodyPr>
                      </wps:wsp>
                      <wps:wsp>
                        <wps:cNvPr id="22129" name="Rectangle 22129"/>
                        <wps:cNvSpPr/>
                        <wps:spPr>
                          <a:xfrm rot="-10799999">
                            <a:off x="2542267" y="2056373"/>
                            <a:ext cx="1449729" cy="142889"/>
                          </a:xfrm>
                          <a:prstGeom prst="rect">
                            <a:avLst/>
                          </a:prstGeom>
                          <a:ln>
                            <a:noFill/>
                          </a:ln>
                        </wps:spPr>
                        <wps:txbx>
                          <w:txbxContent>
                            <w:p w14:paraId="29A0CF11" w14:textId="77777777" w:rsidR="00B32EF2" w:rsidRDefault="00000000">
                              <w:r>
                                <w:rPr>
                                  <w:rFonts w:ascii="Arial" w:eastAsia="Arial" w:hAnsi="Arial" w:cs="Arial"/>
                                  <w:sz w:val="18"/>
                                </w:rPr>
                                <w:t>corso dell’anno 2027;</w:t>
                              </w:r>
                            </w:p>
                          </w:txbxContent>
                        </wps:txbx>
                        <wps:bodyPr horzOverflow="overflow" vert="horz" lIns="0" tIns="0" rIns="0" bIns="0" rtlCol="0">
                          <a:noAutofit/>
                        </wps:bodyPr>
                      </wps:wsp>
                      <wps:wsp>
                        <wps:cNvPr id="22130" name="Rectangle 22130"/>
                        <wps:cNvSpPr/>
                        <wps:spPr>
                          <a:xfrm rot="-10799999">
                            <a:off x="-1317023" y="1929385"/>
                            <a:ext cx="5309021" cy="142889"/>
                          </a:xfrm>
                          <a:prstGeom prst="rect">
                            <a:avLst/>
                          </a:prstGeom>
                          <a:ln>
                            <a:noFill/>
                          </a:ln>
                        </wps:spPr>
                        <wps:txbx>
                          <w:txbxContent>
                            <w:p w14:paraId="11BC81AE" w14:textId="77777777" w:rsidR="00B32EF2" w:rsidRDefault="00000000">
                              <w:r>
                                <w:rPr>
                                  <w:rFonts w:ascii="Arial" w:eastAsia="Arial" w:hAnsi="Arial" w:cs="Arial"/>
                                  <w:sz w:val="18"/>
                                </w:rPr>
                                <w:t xml:space="preserve">d) il 1° gennaio 2028 qualora abbiano compiuto settantuno anni di età entro il </w:t>
                              </w:r>
                            </w:p>
                          </w:txbxContent>
                        </wps:txbx>
                        <wps:bodyPr horzOverflow="overflow" vert="horz" lIns="0" tIns="0" rIns="0" bIns="0" rtlCol="0">
                          <a:noAutofit/>
                        </wps:bodyPr>
                      </wps:wsp>
                      <wps:wsp>
                        <wps:cNvPr id="202189" name="Rectangle 202189"/>
                        <wps:cNvSpPr/>
                        <wps:spPr>
                          <a:xfrm rot="-10799999">
                            <a:off x="2551246" y="1802399"/>
                            <a:ext cx="5309005" cy="142889"/>
                          </a:xfrm>
                          <a:prstGeom prst="rect">
                            <a:avLst/>
                          </a:prstGeom>
                          <a:ln>
                            <a:noFill/>
                          </a:ln>
                        </wps:spPr>
                        <wps:txbx>
                          <w:txbxContent>
                            <w:p w14:paraId="12779640" w14:textId="77777777" w:rsidR="00B32EF2" w:rsidRDefault="00000000">
                              <w:r>
                                <w:rPr>
                                  <w:rFonts w:ascii="Arial" w:eastAsia="Arial" w:hAnsi="Arial" w:cs="Arial"/>
                                  <w:sz w:val="18"/>
                                </w:rPr>
                                <w:t>31</w:t>
                              </w:r>
                            </w:p>
                          </w:txbxContent>
                        </wps:txbx>
                        <wps:bodyPr horzOverflow="overflow" vert="horz" lIns="0" tIns="0" rIns="0" bIns="0" rtlCol="0">
                          <a:noAutofit/>
                        </wps:bodyPr>
                      </wps:wsp>
                      <wps:wsp>
                        <wps:cNvPr id="202190" name="Rectangle 202190"/>
                        <wps:cNvSpPr/>
                        <wps:spPr>
                          <a:xfrm rot="-10799999">
                            <a:off x="-1440486" y="1802398"/>
                            <a:ext cx="5309005" cy="142889"/>
                          </a:xfrm>
                          <a:prstGeom prst="rect">
                            <a:avLst/>
                          </a:prstGeom>
                          <a:ln>
                            <a:noFill/>
                          </a:ln>
                        </wps:spPr>
                        <wps:txbx>
                          <w:txbxContent>
                            <w:p w14:paraId="73596AD4" w14:textId="77777777" w:rsidR="00B32EF2" w:rsidRDefault="00000000">
                              <w:r>
                                <w:rPr>
                                  <w:rFonts w:ascii="Arial" w:eastAsia="Arial" w:hAnsi="Arial" w:cs="Arial"/>
                                  <w:sz w:val="18"/>
                                </w:rPr>
                                <w:t xml:space="preserve"> dicembre 2027, ovvero al compimento del settantunesimo anno di età nel </w:t>
                              </w:r>
                            </w:p>
                          </w:txbxContent>
                        </wps:txbx>
                        <wps:bodyPr horzOverflow="overflow" vert="horz" lIns="0" tIns="0" rIns="0" bIns="0" rtlCol="0">
                          <a:noAutofit/>
                        </wps:bodyPr>
                      </wps:wsp>
                      <wps:wsp>
                        <wps:cNvPr id="22132" name="Rectangle 22132"/>
                        <wps:cNvSpPr/>
                        <wps:spPr>
                          <a:xfrm rot="-10799999">
                            <a:off x="2532781" y="1675411"/>
                            <a:ext cx="1459215" cy="142889"/>
                          </a:xfrm>
                          <a:prstGeom prst="rect">
                            <a:avLst/>
                          </a:prstGeom>
                          <a:ln>
                            <a:noFill/>
                          </a:ln>
                        </wps:spPr>
                        <wps:txbx>
                          <w:txbxContent>
                            <w:p w14:paraId="47BCDBBB" w14:textId="77777777" w:rsidR="00B32EF2" w:rsidRDefault="00000000">
                              <w:r>
                                <w:rPr>
                                  <w:rFonts w:ascii="Arial" w:eastAsia="Arial" w:hAnsi="Arial" w:cs="Arial"/>
                                  <w:sz w:val="18"/>
                                </w:rPr>
                                <w:t>corso dell’anno 2028.</w:t>
                              </w:r>
                            </w:p>
                          </w:txbxContent>
                        </wps:txbx>
                        <wps:bodyPr horzOverflow="overflow" vert="horz" lIns="0" tIns="0" rIns="0" bIns="0" rtlCol="0">
                          <a:noAutofit/>
                        </wps:bodyPr>
                      </wps:wsp>
                      <wps:wsp>
                        <wps:cNvPr id="22133" name="Rectangle 22133"/>
                        <wps:cNvSpPr/>
                        <wps:spPr>
                          <a:xfrm rot="-10799999">
                            <a:off x="1510761" y="1428752"/>
                            <a:ext cx="804454" cy="142889"/>
                          </a:xfrm>
                          <a:prstGeom prst="rect">
                            <a:avLst/>
                          </a:prstGeom>
                          <a:ln>
                            <a:noFill/>
                          </a:ln>
                        </wps:spPr>
                        <wps:txbx>
                          <w:txbxContent>
                            <w:p w14:paraId="31CC3FD1" w14:textId="77777777" w:rsidR="00B32EF2" w:rsidRDefault="00000000">
                              <w:r>
                                <w:rPr>
                                  <w:rFonts w:ascii="Arial" w:eastAsia="Arial" w:hAnsi="Arial" w:cs="Arial"/>
                                  <w:b/>
                                  <w:sz w:val="18"/>
                                </w:rPr>
                                <w:t>Articolo 18</w:t>
                              </w:r>
                            </w:p>
                          </w:txbxContent>
                        </wps:txbx>
                        <wps:bodyPr horzOverflow="overflow" vert="horz" lIns="0" tIns="0" rIns="0" bIns="0" rtlCol="0">
                          <a:noAutofit/>
                        </wps:bodyPr>
                      </wps:wsp>
                      <wps:wsp>
                        <wps:cNvPr id="202187" name="Rectangle 202187"/>
                        <wps:cNvSpPr/>
                        <wps:spPr>
                          <a:xfrm rot="-10799999">
                            <a:off x="1168525" y="1305422"/>
                            <a:ext cx="1934594" cy="142889"/>
                          </a:xfrm>
                          <a:prstGeom prst="rect">
                            <a:avLst/>
                          </a:prstGeom>
                          <a:ln>
                            <a:noFill/>
                          </a:ln>
                        </wps:spPr>
                        <wps:txbx>
                          <w:txbxContent>
                            <w:p w14:paraId="6AE6047D" w14:textId="77777777" w:rsidR="00B32EF2" w:rsidRDefault="00000000">
                              <w:r>
                                <w:rPr>
                                  <w:rFonts w:ascii="Arial" w:eastAsia="Arial" w:hAnsi="Arial" w:cs="Arial"/>
                                  <w:i/>
                                  <w:sz w:val="18"/>
                                </w:rPr>
                                <w:t xml:space="preserve">articolo 12 D.lgs. n. </w:t>
                              </w:r>
                            </w:p>
                          </w:txbxContent>
                        </wps:txbx>
                        <wps:bodyPr horzOverflow="overflow" vert="horz" lIns="0" tIns="0" rIns="0" bIns="0" rtlCol="0">
                          <a:noAutofit/>
                        </wps:bodyPr>
                      </wps:wsp>
                      <wps:wsp>
                        <wps:cNvPr id="202186" name="Rectangle 202186"/>
                        <wps:cNvSpPr/>
                        <wps:spPr>
                          <a:xfrm rot="-10799999">
                            <a:off x="-250898" y="1305422"/>
                            <a:ext cx="1934594" cy="142889"/>
                          </a:xfrm>
                          <a:prstGeom prst="rect">
                            <a:avLst/>
                          </a:prstGeom>
                          <a:ln>
                            <a:noFill/>
                          </a:ln>
                        </wps:spPr>
                        <wps:txbx>
                          <w:txbxContent>
                            <w:p w14:paraId="649BE6FE"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183" name="Rectangle 202183"/>
                        <wps:cNvSpPr/>
                        <wps:spPr>
                          <a:xfrm rot="-10799999">
                            <a:off x="2221308" y="1305422"/>
                            <a:ext cx="1934594" cy="142889"/>
                          </a:xfrm>
                          <a:prstGeom prst="rect">
                            <a:avLst/>
                          </a:prstGeom>
                          <a:ln>
                            <a:noFill/>
                          </a:ln>
                        </wps:spPr>
                        <wps:txbx>
                          <w:txbxContent>
                            <w:p w14:paraId="4044B6E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2135" name="Rectangle 22135"/>
                        <wps:cNvSpPr/>
                        <wps:spPr>
                          <a:xfrm rot="-10799999">
                            <a:off x="868514" y="1182092"/>
                            <a:ext cx="1806974" cy="142889"/>
                          </a:xfrm>
                          <a:prstGeom prst="rect">
                            <a:avLst/>
                          </a:prstGeom>
                          <a:ln>
                            <a:noFill/>
                          </a:ln>
                        </wps:spPr>
                        <wps:txbx>
                          <w:txbxContent>
                            <w:p w14:paraId="64A73017" w14:textId="77777777" w:rsidR="00B32EF2" w:rsidRDefault="00000000">
                              <w:r>
                                <w:rPr>
                                  <w:rFonts w:ascii="Arial" w:eastAsia="Arial" w:hAnsi="Arial" w:cs="Arial"/>
                                  <w:b/>
                                  <w:sz w:val="18"/>
                                </w:rPr>
                                <w:t xml:space="preserve">Decadenza dall’incarico </w:t>
                              </w:r>
                            </w:p>
                          </w:txbxContent>
                        </wps:txbx>
                        <wps:bodyPr horzOverflow="overflow" vert="horz" lIns="0" tIns="0" rIns="0" bIns="0" rtlCol="0">
                          <a:noAutofit/>
                        </wps:bodyPr>
                      </wps:wsp>
                      <wps:wsp>
                        <wps:cNvPr id="202180" name="Rectangle 202180"/>
                        <wps:cNvSpPr/>
                        <wps:spPr>
                          <a:xfrm rot="-10799999">
                            <a:off x="-1376109" y="1058763"/>
                            <a:ext cx="5309036" cy="142889"/>
                          </a:xfrm>
                          <a:prstGeom prst="rect">
                            <a:avLst/>
                          </a:prstGeom>
                          <a:ln>
                            <a:noFill/>
                          </a:ln>
                        </wps:spPr>
                        <wps:txbx>
                          <w:txbxContent>
                            <w:p w14:paraId="260D0183" w14:textId="77777777" w:rsidR="00B32EF2" w:rsidRDefault="00000000">
                              <w:r>
                                <w:rPr>
                                  <w:rFonts w:ascii="Arial" w:eastAsia="Arial" w:hAnsi="Arial" w:cs="Arial"/>
                                  <w:sz w:val="18"/>
                                </w:rPr>
                                <w:t xml:space="preserve">. Decadono dall’incarico i componenti delle corti di giustizia tributaria di primo </w:t>
                              </w:r>
                            </w:p>
                          </w:txbxContent>
                        </wps:txbx>
                        <wps:bodyPr horzOverflow="overflow" vert="horz" lIns="0" tIns="0" rIns="0" bIns="0" rtlCol="0">
                          <a:noAutofit/>
                        </wps:bodyPr>
                      </wps:wsp>
                      <wps:wsp>
                        <wps:cNvPr id="202179" name="Rectangle 202179"/>
                        <wps:cNvSpPr/>
                        <wps:spPr>
                          <a:xfrm rot="-10799999">
                            <a:off x="2611280" y="1058763"/>
                            <a:ext cx="5309036" cy="142889"/>
                          </a:xfrm>
                          <a:prstGeom prst="rect">
                            <a:avLst/>
                          </a:prstGeom>
                          <a:ln>
                            <a:noFill/>
                          </a:ln>
                        </wps:spPr>
                        <wps:txbx>
                          <w:txbxContent>
                            <w:p w14:paraId="7E7E23E4"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2137" name="Rectangle 22137"/>
                        <wps:cNvSpPr/>
                        <wps:spPr>
                          <a:xfrm rot="-10799999">
                            <a:off x="2515458" y="935433"/>
                            <a:ext cx="1476652" cy="142889"/>
                          </a:xfrm>
                          <a:prstGeom prst="rect">
                            <a:avLst/>
                          </a:prstGeom>
                          <a:ln>
                            <a:noFill/>
                          </a:ln>
                        </wps:spPr>
                        <wps:txbx>
                          <w:txbxContent>
                            <w:p w14:paraId="0A2B1661" w14:textId="77777777" w:rsidR="00B32EF2" w:rsidRDefault="00000000">
                              <w:r>
                                <w:rPr>
                                  <w:rFonts w:ascii="Arial" w:eastAsia="Arial" w:hAnsi="Arial" w:cs="Arial"/>
                                  <w:sz w:val="18"/>
                                </w:rPr>
                                <w:t>e secondo grado che:</w:t>
                              </w:r>
                            </w:p>
                          </w:txbxContent>
                        </wps:txbx>
                        <wps:bodyPr horzOverflow="overflow" vert="horz" lIns="0" tIns="0" rIns="0" bIns="0" rtlCol="0">
                          <a:noAutofit/>
                        </wps:bodyPr>
                      </wps:wsp>
                      <wps:wsp>
                        <wps:cNvPr id="22138" name="Rectangle 22138"/>
                        <wps:cNvSpPr/>
                        <wps:spPr>
                          <a:xfrm rot="-10799999">
                            <a:off x="759669" y="812104"/>
                            <a:ext cx="3232441" cy="142889"/>
                          </a:xfrm>
                          <a:prstGeom prst="rect">
                            <a:avLst/>
                          </a:prstGeom>
                          <a:ln>
                            <a:noFill/>
                          </a:ln>
                        </wps:spPr>
                        <wps:txbx>
                          <w:txbxContent>
                            <w:p w14:paraId="35B95CA0" w14:textId="77777777" w:rsidR="00B32EF2" w:rsidRDefault="00000000">
                              <w:r>
                                <w:rPr>
                                  <w:rFonts w:ascii="Arial" w:eastAsia="Arial" w:hAnsi="Arial" w:cs="Arial"/>
                                  <w:sz w:val="18"/>
                                </w:rPr>
                                <w:t>a) perdono uno dei requisiti di cui all’articolo 13;</w:t>
                              </w:r>
                            </w:p>
                          </w:txbxContent>
                        </wps:txbx>
                        <wps:bodyPr horzOverflow="overflow" vert="horz" lIns="0" tIns="0" rIns="0" bIns="0" rtlCol="0">
                          <a:noAutofit/>
                        </wps:bodyPr>
                      </wps:wsp>
                      <wps:wsp>
                        <wps:cNvPr id="22139" name="Rectangle 22139"/>
                        <wps:cNvSpPr/>
                        <wps:spPr>
                          <a:xfrm rot="-10799999">
                            <a:off x="-748830" y="688774"/>
                            <a:ext cx="4740941" cy="142889"/>
                          </a:xfrm>
                          <a:prstGeom prst="rect">
                            <a:avLst/>
                          </a:prstGeom>
                          <a:ln>
                            <a:noFill/>
                          </a:ln>
                        </wps:spPr>
                        <wps:txbx>
                          <w:txbxContent>
                            <w:p w14:paraId="1903A7CB" w14:textId="77777777" w:rsidR="00B32EF2" w:rsidRDefault="00000000">
                              <w:r>
                                <w:rPr>
                                  <w:rFonts w:ascii="Arial" w:eastAsia="Arial" w:hAnsi="Arial" w:cs="Arial"/>
                                  <w:sz w:val="18"/>
                                </w:rPr>
                                <w:t>b) incorrono in uno dei motivi di incompatibilità previsti dall’articolo 14;</w:t>
                              </w:r>
                            </w:p>
                          </w:txbxContent>
                        </wps:txbx>
                        <wps:bodyPr horzOverflow="overflow" vert="horz" lIns="0" tIns="0" rIns="0" bIns="0" rtlCol="0">
                          <a:noAutofit/>
                        </wps:bodyPr>
                      </wps:wsp>
                      <wps:wsp>
                        <wps:cNvPr id="22140" name="Rectangle 22140"/>
                        <wps:cNvSpPr/>
                        <wps:spPr>
                          <a:xfrm rot="-10799999">
                            <a:off x="-1316895" y="565444"/>
                            <a:ext cx="5309006" cy="142889"/>
                          </a:xfrm>
                          <a:prstGeom prst="rect">
                            <a:avLst/>
                          </a:prstGeom>
                          <a:ln>
                            <a:noFill/>
                          </a:ln>
                        </wps:spPr>
                        <wps:txbx>
                          <w:txbxContent>
                            <w:p w14:paraId="53F22B4B" w14:textId="77777777" w:rsidR="00B32EF2" w:rsidRDefault="00000000">
                              <w:r>
                                <w:rPr>
                                  <w:rFonts w:ascii="Arial" w:eastAsia="Arial" w:hAnsi="Arial" w:cs="Arial"/>
                                  <w:sz w:val="18"/>
                                </w:rPr>
                                <w:t xml:space="preserve">c) cessano, se magistrati o altri dipendenti dell’amministrazione pubblica in </w:t>
                              </w:r>
                            </w:p>
                          </w:txbxContent>
                        </wps:txbx>
                        <wps:bodyPr horzOverflow="overflow" vert="horz" lIns="0" tIns="0" rIns="0" bIns="0" rtlCol="0">
                          <a:noAutofit/>
                        </wps:bodyPr>
                      </wps:wsp>
                      <wps:wsp>
                        <wps:cNvPr id="22141" name="Rectangle 22141"/>
                        <wps:cNvSpPr/>
                        <wps:spPr>
                          <a:xfrm rot="-10799999">
                            <a:off x="-1317218" y="442114"/>
                            <a:ext cx="5310358" cy="142889"/>
                          </a:xfrm>
                          <a:prstGeom prst="rect">
                            <a:avLst/>
                          </a:prstGeom>
                          <a:ln>
                            <a:noFill/>
                          </a:ln>
                        </wps:spPr>
                        <wps:txbx>
                          <w:txbxContent>
                            <w:p w14:paraId="515076CE" w14:textId="77777777" w:rsidR="00B32EF2" w:rsidRDefault="00000000">
                              <w:r>
                                <w:rPr>
                                  <w:rFonts w:ascii="Arial" w:eastAsia="Arial" w:hAnsi="Arial" w:cs="Arial"/>
                                  <w:sz w:val="18"/>
                                </w:rPr>
                                <w:t xml:space="preserve">attività di servizio, dall’impiego per causa diversa dal collocamento a riposo o </w:t>
                              </w:r>
                            </w:p>
                          </w:txbxContent>
                        </wps:txbx>
                        <wps:bodyPr horzOverflow="overflow" vert="horz" lIns="0" tIns="0" rIns="0" bIns="0" rtlCol="0">
                          <a:noAutofit/>
                        </wps:bodyPr>
                      </wps:wsp>
                    </wpg:wgp>
                  </a:graphicData>
                </a:graphic>
              </wp:inline>
            </w:drawing>
          </mc:Choice>
          <mc:Fallback>
            <w:pict>
              <v:group w14:anchorId="62B3B615" id="Group 202216" o:spid="_x0000_s6223" style="width:314.35pt;height:493.15pt;mso-position-horizontal-relative:char;mso-position-vertical-relative:line" coordsize="39921,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IkvLgoAAGh5AAAOAAAAZHJzL2Uyb0RvYy54bWzkXV1v4zYWfV+g/8Hwu8f8FmVMpij6MSiw&#10;2Bbb3R+gcezEgG0ZsmeS6a/fc0mJshxOFystwgDsQ+rQGdvi0bn33MNL+v33z4f97MumOe/q492c&#10;v2Pz2ea4ru93x4e7+b//9cvCzmfnS3W8r/b1cXM3/7o5z7//8N3f3j+dVhtRP9b7+00zw4scz6un&#10;09388XI5rZbL8/pxc6jO7+rT5ognt3VzqC74tXlY3jfVE179sF8KxszyqW7uT0293pzPGP3JPzn/&#10;4F5/u92sL79tt+fNZba/m+OzXdzPxv38RD+XH95Xq4emOj3u1u3HqEZ8ikO1O+JNw0v9VF2q2edm&#10;9+KlDrt1U5/r7eXduj4s6+12t964a8DVcHZzNR+b+vPJXcvD6unhFKYJU3szT6Nfdv2PLx+b0x+n&#10;3xvMxNPpAXPhfqNred42B/o/PuXs2U3Z1zBlm+fLbI1BWZaCc8zsGs8ZYYTVyk/q+hEz/+LfrR9/&#10;/i//ctm98XLwcZ5OuEHO/Rycp83BH4/VaeOm9rzCHPzezHb3d3MhWIlrOVYH3Kr/xM1THR/2m5kf&#10;dhPk/jpM13l1xsx1czVratxfC86Kkv5z90M7d7zEvWrFfIZZWhiBX/0kddPICytN6WdRaGaUoefD&#10;VFSrU3O+fNzUhxk9uJs3+Gzu9asvfz9f/J92f0IfZ3+kn8f6l91+75+lEcxo94np0eX507O7bFUW&#10;mt6PBj/V918xG4918+dv4PV2Xz/dzev20ZyojrenZ+ez/a9HoECs6h403YNP3YPmsv+xdtzzH+iH&#10;z5d6u3OfuH+39pMBXv8ZXgVnHseZdxOBu+J/x3nBJS8YQ9AjOnBelqalQ4e0lrjFmPZQcyWsvxVe&#10;EWp3a/WTnwHU4F2M0uL/ALUEaQG1RhgsCzez1WoAtTQJoS66K8yG1TIOtewmYgKrKT4T1NYA7Zv4&#10;7VhtrqC2Jb3jK7LadleYDdQqDrWLtxTeRkNtysIHcF1IxGoXJgastpQvneKhAP7qULtbK6sAjtmO&#10;BfAgWkZCDV1nOXQAsdpwCHD3gldQCy4sJXMStymgti7MZAU1YmgM6iBaRkHNS1m2lI7izIyARkiG&#10;ctCc2cTuIo5y0CujUF6gwhKouxyfldVMuKTY81mZQokyYZZGBZhbmQXaxfgc5Mo4pDlCt7YQexS6&#10;pbZM3QoyhG4MJyR1kJzZkBrMi0Ed5MooqK9Ct8PZxcqe0vBKkobuoDYzQZmzqD9Gw21kG4Wy900E&#10;JD0RWkjOOhtxUEwLiLVkWTqozWygjlpknAW5MhJqxG5DWZig5ojcqJtx71xxWnAp4JulgzqozWyg&#10;jlpk3Ne+o4vpq9gdxTlx7A5qMxuUo+4YZ0GqjCK0KKWxtAQEPmMlocDyx5DPCOa60JD8yUJ3UJt5&#10;IM2EIDxeiDE/Pi1Pi0Iw6WtpKrFYeSvIILw5knc6sIPezAZssqhiYGN8CtjCSI0yyxP7TWLtbfiM&#10;/DGE0gjUYHsQp6NCeJ+oPadvLe+0idqHmKxQjrqgnAVdOgrlUhlpve5WhauxhnlaMqUNQxWfKk+X&#10;udljaBWJ0zlI01FAD6pppUs0IrgXvCqxqAshZTVdBs2ZR5ZGiI4laTc8JUcvsJ4BV9vnaGVK9J8M&#10;Sa0Mg+2d0Dcp87PIokYoR2SdhDR53hI+t6uzpBJcOQ5dkRrSW8qEdVYZVEgupI6WWa4hcgrUV3Is&#10;inNiORZUSDYox41QtA5MQXmBQrlkCnwl4wRFM9cvjVD4ZglbTcqgQ7KBOm6E8qBMRwmyK0JHcU5M&#10;6GATZINy3AjlQZSOQnlhNLO0PkZ8ZtZy4ya2T9DKKFGAU+kKrCBB8kAahieDNo56Y0GWjsJaoKbi&#10;re6WVGD51o4ea9/nnazXBM5sWJHNB+uYOUb3QNClo7BGOW25Nb7b5C/ATpaoAXaQInmADYkdw9oN&#10;T9NkkhutfQ+ZtFJxX74OeI2O32QmGaAOUiQbqONuKA91yChWl1ob45O1xJqlgBWHO6cHWjJpCthU&#10;iZI1gA5qJA+gKVDHCi0/PpHVlvEugKMtEIXXEGyXrdP5oQA7yJF8wP7GEnUvXEbx2iuzltjfxhp/&#10;kGaZA1gHOZIL1pzavSIqnManEFsojvZPKAFUXFJpCfvzltdoAyaLJRnW4QLzwRrTHcU6mEmjeL3g&#10;aCKSnTR7m2CHK8wDbMjt+FKHT6+j+wb9+mW7tVaiF1TABB2IM5evZcqCKzvPTMTSNVacgs0witVC&#10;YItl2wwssV0emzaGSPNCC2zCTBjBM/PMqH8vEsDd8JRcPSQ1Ci5R3O7ZoaaElKTGal57hbnEb9o7&#10;8yJXA+rgMYwiNUFtSqqdoctEqbSwrrzpi2vEb5goCVndr91lA3V8zUMEl2EU1Nyikwzr/g5puKS0&#10;vXKQqUkjGKrrOwX+uuedaNYv3WWDdGzJA6QOFsMopFtSI2AQqanTyDe0vCVSh3s5D6jJx4ph7cen&#10;JWul0JoA2hLY2ijpU8JbAjvczvmAHQvhBHa470cxW2gNlwTJ+C+xxjEnIYa/7pEniOGZOWYI1jHD&#10;zA1PobXQUlnaWUlIK1lIqO1BtuZKFxwmWjqkM/PLAGnMLnPDU5D21Rb1HBPU2E8t4YIOoPYNCgkt&#10;FN+Tns+2DgrUsXLLj08D+zpbcyslFjZvwU5cb2XmlxGoMRvFj08Be5Ctv4l10mydn2MWt8FFmIiR&#10;ukwJbO7wIZxpg3w9ZDVX2G+NN0mWrXvzNw8NjoMp4i44hqdw2mdrWDGUrZElSmlvhFnyBgWYwu0V&#10;5gE1AjXF0BfmqB+fArYL4Djg2WGNXhQcoT2kdXJl1tu/2WBNXnQM636H+agQvkCIZii5rsC+Wd9K&#10;D3YwD/IAmw4XimDthqfRWorCeseMm0Irv8TQO2aorXFWfsKCqzeAs0E6ZpgB6XDLjyI1dmqxwrRI&#10;4wBgrFAPAziOI1TpjkDBuZeZ2WWUk2Muih+fQmqOPTy6bTCD9tMQ5EOo4b2C1nDUuuWt17ZGYRRm&#10;p8ti3ihhHaZiFK0X8MBte0zwG8U6s/4ywjQWwf34FF4LnJCFFgQvy94mrzMzzIAHpNELCe6GpyBt&#10;EcC5X/GgTXrMnzFzpcosDqOkjXzJAngwifJQZUTebxRb/XH34wI4l5BldIARuSg4H7rAlg/cOz3Y&#10;rti6/kaW187WvU+UDdg4DfIlrXET+FMiR/cI0zYPfDnDW8Y6M8cMoTomwt3wlAgucDCGQlswsbqU&#10;Wt3u8eCqMAYlWLIIDj+hvb48SA1E42dZYXgK0AVOKmu/ZMmiCdlvieuDN3b3CKVQdqfK1L1tkA3O&#10;sdgN+INkGZenC2UtLaSA0MbaAuprkKVVoViZFOjMWstwlFhMkbnhKYR2LaO27Q7WRit1g7Q3v1HO&#10;J6N0Zk4ZII11JbjhqUgXEPaO0wqHWaHkGnBaUwsSJfFkSAdzKHXwdt9ri6/zdV8P2H71MH1f8PXv&#10;7htR+y9I/vAfAAAA//8DAFBLAwQUAAYACAAAACEABfCzbd0AAAAFAQAADwAAAGRycy9kb3ducmV2&#10;LnhtbEyPQUvDQBCF74L/YRnBm92kxZim2ZRS1FMRbAXxNs1Ok9DsbMhuk/Tfu3rRy8DjPd77Jl9P&#10;phUD9a6xrCCeRSCIS6sbrhR8HF4eUhDOI2tsLZOCKzlYF7c3OWbajvxOw95XIpSwy1BB7X2XSenK&#10;mgy6me2Ig3eyvUEfZF9J3eMYyk0r51GUSIMNh4UaO9rWVJ73F6PgdcRxs4ifh935tL1+HR7fPncx&#10;KXV/N21WIDxN/i8MP/gBHYrAdLQX1k60CsIj/vcGL5mnTyCOCpZpsgBZ5PI/ffENAAD//wMAUEsB&#10;Ai0AFAAGAAgAAAAhALaDOJL+AAAA4QEAABMAAAAAAAAAAAAAAAAAAAAAAFtDb250ZW50X1R5cGVz&#10;XS54bWxQSwECLQAUAAYACAAAACEAOP0h/9YAAACUAQAACwAAAAAAAAAAAAAAAAAvAQAAX3JlbHMv&#10;LnJlbHNQSwECLQAUAAYACAAAACEAMgCJLy4KAABoeQAADgAAAAAAAAAAAAAAAAAuAgAAZHJzL2Uy&#10;b0RvYy54bWxQSwECLQAUAAYACAAAACEABfCzbd0AAAAFAQAADwAAAAAAAAAAAAAAAACIDAAAZHJz&#10;L2Rvd25yZXYueG1sUEsFBgAAAAAEAAQA8wAAAJINAAAAAA==&#10;">
                <v:rect id="Rectangle 22090" o:spid="_x0000_s6224" style="position:absolute;left:19006;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CHaxAAAAN4AAAAPAAAAZHJzL2Rvd25yZXYueG1sRI/LisIw&#10;FIb3wrxDOAOz03S6EK1GEQexi9l4A5eH5thWm5PQRNuZpzcLweXPf+ObL3vTiAe1vras4HuUgCAu&#10;rK65VHA8bIYTED4ga2wsk4I/8rBcfAzmmGnb8Y4e+1CKOMI+QwVVCC6T0hcVGfQj64ijd7GtwRBl&#10;W0rdYhfHTSPTJBlLgzXHhwodrSsqbvu7UXD+YZdvOllc/tfu95pPmu39eFLq67NfzUAE6sM7/Grn&#10;WkGaJtMIEHEiCsjFEwAA//8DAFBLAQItABQABgAIAAAAIQDb4fbL7gAAAIUBAAATAAAAAAAAAAAA&#10;AAAAAAAAAABbQ29udGVudF9UeXBlc10ueG1sUEsBAi0AFAAGAAgAAAAhAFr0LFu/AAAAFQEAAAsA&#10;AAAAAAAAAAAAAAAAHwEAAF9yZWxzLy5yZWxzUEsBAi0AFAAGAAgAAAAhAC4AIdrEAAAA3gAAAA8A&#10;AAAAAAAAAAAAAAAABwIAAGRycy9kb3ducmV2LnhtbFBLBQYAAAAAAwADALcAAAD4AgAAAAA=&#10;" filled="f" stroked="f">
                  <v:textbox inset="0,0,0,0">
                    <w:txbxContent>
                      <w:p w14:paraId="1583356F" w14:textId="77777777" w:rsidR="00B32EF2" w:rsidRDefault="00000000">
                        <w:r>
                          <w:rPr>
                            <w:rFonts w:ascii="Times New Roman" w:eastAsia="Times New Roman" w:hAnsi="Times New Roman" w:cs="Times New Roman"/>
                          </w:rPr>
                          <w:t>27</w:t>
                        </w:r>
                      </w:p>
                    </w:txbxContent>
                  </v:textbox>
                </v:rect>
                <v:rect id="Rectangle 22091" o:spid="_x0000_s6225" style="position:absolute;left:-13170;top:61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IRBxgAAAN4AAAAPAAAAZHJzL2Rvd25yZXYueG1sRI9Ba8JA&#10;FITvQv/D8gredGMOYlNXEUXMoZfaCB4f2WeSmn27ZFeT+uvdQqHHYWa+YZbrwbTiTp1vLCuYTRMQ&#10;xKXVDVcKiq/9ZAHCB2SNrWVS8EMe1quX0RIzbXv+pPsxVCJC2GeooA7BZVL6siaDfmodcfQutjMY&#10;ouwqqTvsI9y0Mk2SuTTYcFyo0dG2pvJ6vBkF5x27fN/L8vLYuo/vfNEebsVJqfHrsHkHEWgI/+G/&#10;dq4VpGnyNoPfO/EKyNUTAAD//wMAUEsBAi0AFAAGAAgAAAAhANvh9svuAAAAhQEAABMAAAAAAAAA&#10;AAAAAAAAAAAAAFtDb250ZW50X1R5cGVzXS54bWxQSwECLQAUAAYACAAAACEAWvQsW78AAAAVAQAA&#10;CwAAAAAAAAAAAAAAAAAfAQAAX3JlbHMvLnJlbHNQSwECLQAUAAYACAAAACEAQUyEQcYAAADeAAAA&#10;DwAAAAAAAAAAAAAAAAAHAgAAZHJzL2Rvd25yZXYueG1sUEsFBgAAAAADAAMAtwAAAPoCAAAAAA==&#10;" filled="f" stroked="f">
                  <v:textbox inset="0,0,0,0">
                    <w:txbxContent>
                      <w:p w14:paraId="200C6050" w14:textId="77777777" w:rsidR="00B32EF2" w:rsidRDefault="00000000">
                        <w:r>
                          <w:rPr>
                            <w:rFonts w:ascii="Arial" w:eastAsia="Arial" w:hAnsi="Arial" w:cs="Arial"/>
                            <w:sz w:val="18"/>
                          </w:rPr>
                          <w:t xml:space="preserve">all’incarico deve essere allegata la documentazione circa l’appartenenza ad </w:t>
                        </w:r>
                      </w:p>
                    </w:txbxContent>
                  </v:textbox>
                </v:rect>
                <v:rect id="Rectangle 22092" o:spid="_x0000_s6226" style="position:absolute;left:-13170;top:5992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ho2xgAAAN4AAAAPAAAAZHJzL2Rvd25yZXYueG1sRI9Ba8JA&#10;FITvBf/D8gRvdWMOYqOriCLm4KVWweMj+0yi2bdLdjWxv75bKPQ4zMw3zGLVm0Y8qfW1ZQWTcQKC&#10;uLC65lLB6Wv3PgPhA7LGxjIpeJGH1XLwtsBM244/6XkMpYgQ9hkqqEJwmZS+qMigH1tHHL2rbQ2G&#10;KNtS6ha7CDeNTJNkKg3WHBcqdLSpqLgfH0bBZcsu33WyuH5v3OGWz5r943RWajTs13MQgfrwH/5r&#10;51pBmiYfKfzeiVdALn8AAAD//wMAUEsBAi0AFAAGAAgAAAAhANvh9svuAAAAhQEAABMAAAAAAAAA&#10;AAAAAAAAAAAAAFtDb250ZW50X1R5cGVzXS54bWxQSwECLQAUAAYACAAAACEAWvQsW78AAAAVAQAA&#10;CwAAAAAAAAAAAAAAAAAfAQAAX3JlbHMvLnJlbHNQSwECLQAUAAYACAAAACEAsZ4aNsYAAADeAAAA&#10;DwAAAAAAAAAAAAAAAAAHAgAAZHJzL2Rvd25yZXYueG1sUEsFBgAAAAADAAMAtwAAAPoCAAAAAA==&#10;" filled="f" stroked="f">
                  <v:textbox inset="0,0,0,0">
                    <w:txbxContent>
                      <w:p w14:paraId="0F00D40F" w14:textId="77777777" w:rsidR="00B32EF2" w:rsidRDefault="00000000">
                        <w:r>
                          <w:rPr>
                            <w:rFonts w:ascii="Arial" w:eastAsia="Arial" w:hAnsi="Arial" w:cs="Arial"/>
                            <w:sz w:val="18"/>
                          </w:rPr>
                          <w:t xml:space="preserve">una delle categorie indicate negli articoli 4, 5 e 10 ed il possesso dei requisiti </w:t>
                        </w:r>
                      </w:p>
                    </w:txbxContent>
                  </v:textbox>
                </v:rect>
                <v:rect id="Rectangle 22093" o:spid="_x0000_s6227" style="position:absolute;left:-13170;top:5865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r+txgAAAN4AAAAPAAAAZHJzL2Rvd25yZXYueG1sRI9Ba8JA&#10;FITvBf/D8gRvdWMKxUZXEUWag5daBY+P7DOJZt8u2dVEf323UOhxmJlvmPmyN424U+trywom4wQE&#10;cWF1zaWCw/f2dQrCB2SNjWVS8CAPy8XgZY6Zth1/0X0fShEh7DNUUIXgMil9UZFBP7aOOHpn2xoM&#10;Ubal1C12EW4amSbJuzRYc1yo0NG6ouK6vxkFpw27fNvJ4vxcu90lnzaft8NRqdGwX81ABOrDf/iv&#10;nWsFaZp8vMHvnXgF5OIHAAD//wMAUEsBAi0AFAAGAAgAAAAhANvh9svuAAAAhQEAABMAAAAAAAAA&#10;AAAAAAAAAAAAAFtDb250ZW50X1R5cGVzXS54bWxQSwECLQAUAAYACAAAACEAWvQsW78AAAAVAQAA&#10;CwAAAAAAAAAAAAAAAAAfAQAAX3JlbHMvLnJlbHNQSwECLQAUAAYACAAAACEA3tK/rcYAAADeAAAA&#10;DwAAAAAAAAAAAAAAAAAHAgAAZHJzL2Rvd25yZXYueG1sUEsFBgAAAAADAAMAtwAAAPoCAAAAAA==&#10;" filled="f" stroked="f">
                  <v:textbox inset="0,0,0,0">
                    <w:txbxContent>
                      <w:p w14:paraId="39C59BF9" w14:textId="77777777" w:rsidR="00B32EF2" w:rsidRDefault="00000000">
                        <w:r>
                          <w:rPr>
                            <w:rFonts w:ascii="Arial" w:eastAsia="Arial" w:hAnsi="Arial" w:cs="Arial"/>
                            <w:sz w:val="18"/>
                          </w:rPr>
                          <w:t xml:space="preserve">prescritti, nonché la dichiarazione di non essere in alcuna delle situazioni di </w:t>
                        </w:r>
                      </w:p>
                    </w:txbxContent>
                  </v:textbox>
                </v:rect>
                <v:rect id="Rectangle 22094" o:spid="_x0000_s6228" style="position:absolute;left:-13169;top:57390;width:5308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yfZxgAAAN4AAAAPAAAAZHJzL2Rvd25yZXYueG1sRI9Ba8JA&#10;FITvBf/D8gRvdWMoxUZXEUWag5daBY+P7DOJZt8u2dVEf323UOhxmJlvmPmyN424U+trywom4wQE&#10;cWF1zaWCw/f2dQrCB2SNjWVS8CAPy8XgZY6Zth1/0X0fShEh7DNUUIXgMil9UZFBP7aOOHpn2xoM&#10;Ubal1C12EW4amSbJuzRYc1yo0NG6ouK6vxkFpw27fNvJ4vxcu90lnzaft8NRqdGwX81ABOrDf/iv&#10;nWsFaZp8vMHvnXgF5OIHAAD//wMAUEsBAi0AFAAGAAgAAAAhANvh9svuAAAAhQEAABMAAAAAAAAA&#10;AAAAAAAAAAAAAFtDb250ZW50X1R5cGVzXS54bWxQSwECLQAUAAYACAAAACEAWvQsW78AAAAVAQAA&#10;CwAAAAAAAAAAAAAAAAAfAQAAX3JlbHMvLnJlbHNQSwECLQAUAAYACAAAACEAUTsn2cYAAADeAAAA&#10;DwAAAAAAAAAAAAAAAAAHAgAAZHJzL2Rvd25yZXYueG1sUEsFBgAAAAADAAMAtwAAAPoCAAAAAA==&#10;" filled="f" stroked="f">
                  <v:textbox inset="0,0,0,0">
                    <w:txbxContent>
                      <w:p w14:paraId="546ADB8A" w14:textId="77777777" w:rsidR="00B32EF2" w:rsidRDefault="00000000">
                        <w:r>
                          <w:rPr>
                            <w:rFonts w:ascii="Arial" w:eastAsia="Arial" w:hAnsi="Arial" w:cs="Arial"/>
                            <w:sz w:val="18"/>
                          </w:rPr>
                          <w:t xml:space="preserve">incompatibilità indicate all’articolo 14. Le esclusioni dagli elenchi di coloro che </w:t>
                        </w:r>
                      </w:p>
                    </w:txbxContent>
                  </v:textbox>
                </v:rect>
                <v:rect id="Rectangle 22095" o:spid="_x0000_s6229" style="position:absolute;left:-12208;top:56120;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JCxgAAAN4AAAAPAAAAZHJzL2Rvd25yZXYueG1sRI9Ba8JA&#10;FITvBf/D8gRvdWOgxUZXEUWag5daBY+P7DOJZt8u2dVEf323UOhxmJlvmPmyN424U+trywom4wQE&#10;cWF1zaWCw/f2dQrCB2SNjWVS8CAPy8XgZY6Zth1/0X0fShEh7DNUUIXgMil9UZFBP7aOOHpn2xoM&#10;Ubal1C12EW4amSbJuzRYc1yo0NG6ouK6vxkFpw27fNvJ4vxcu90lnzaft8NRqdGwX81ABOrDf/iv&#10;nWsFaZp8vMHvnXgF5OIHAAD//wMAUEsBAi0AFAAGAAgAAAAhANvh9svuAAAAhQEAABMAAAAAAAAA&#10;AAAAAAAAAAAAAFtDb250ZW50X1R5cGVzXS54bWxQSwECLQAUAAYACAAAACEAWvQsW78AAAAVAQAA&#10;CwAAAAAAAAAAAAAAAAAfAQAAX3JlbHMvLnJlbHNQSwECLQAUAAYACAAAACEAPneCQsYAAADeAAAA&#10;DwAAAAAAAAAAAAAAAAAHAgAAZHJzL2Rvd25yZXYueG1sUEsFBgAAAAADAAMAtwAAAPoCAAAAAA==&#10;" filled="f" stroked="f">
                  <v:textbox inset="0,0,0,0">
                    <w:txbxContent>
                      <w:p w14:paraId="7F83B132" w14:textId="77777777" w:rsidR="00B32EF2" w:rsidRDefault="00000000">
                        <w:r>
                          <w:rPr>
                            <w:rFonts w:ascii="Arial" w:eastAsia="Arial" w:hAnsi="Arial" w:cs="Arial"/>
                            <w:sz w:val="18"/>
                          </w:rPr>
                          <w:t>hanno comunicato la propria disponibilità all’incarico, senza essere in posses</w:t>
                        </w:r>
                      </w:p>
                    </w:txbxContent>
                  </v:textbox>
                </v:rect>
                <v:rect id="Rectangle 22096" o:spid="_x0000_s6230" style="position:absolute;left:193;top:5612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w1xgAAAN4AAAAPAAAAZHJzL2Rvd25yZXYueG1sRI9Ba8JA&#10;FITvBf/D8oTe6sYcxEZXEUWagxethR4f2WcSzb5dsquJ/fVdQfA4zMw3zHzZm0bcqPW1ZQXjUQKC&#10;uLC65lLB8Xv7MQXhA7LGxjIpuJOH5WLwNsdM2473dDuEUkQI+wwVVCG4TEpfVGTQj6wjjt7JtgZD&#10;lG0pdYtdhJtGpkkykQZrjgsVOlpXVFwOV6Pgd8Mu33ayOP2t3e6cT5uv6/FHqfdhv5qBCNSHV/jZ&#10;zrWCNE0+J/C4E6+AXPwDAAD//wMAUEsBAi0AFAAGAAgAAAAhANvh9svuAAAAhQEAABMAAAAAAAAA&#10;AAAAAAAAAAAAAFtDb250ZW50X1R5cGVzXS54bWxQSwECLQAUAAYACAAAACEAWvQsW78AAAAVAQAA&#10;CwAAAAAAAAAAAAAAAAAfAQAAX3JlbHMvLnJlbHNQSwECLQAUAAYACAAAACEAzqUcNcYAAADeAAAA&#10;DwAAAAAAAAAAAAAAAAAHAgAAZHJzL2Rvd25yZXYueG1sUEsFBgAAAAADAAMAtwAAAPoCAAAAAA==&#10;" filled="f" stroked="f">
                  <v:textbox inset="0,0,0,0">
                    <w:txbxContent>
                      <w:p w14:paraId="644ADBC5" w14:textId="77777777" w:rsidR="00B32EF2" w:rsidRDefault="00000000">
                        <w:r>
                          <w:rPr>
                            <w:rFonts w:ascii="Arial" w:eastAsia="Arial" w:hAnsi="Arial" w:cs="Arial"/>
                            <w:sz w:val="18"/>
                          </w:rPr>
                          <w:t>-</w:t>
                        </w:r>
                      </w:p>
                    </w:txbxContent>
                  </v:textbox>
                </v:rect>
                <v:rect id="Rectangle 22097" o:spid="_x0000_s6231" style="position:absolute;left:-6822;top:54850;width:467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bmuxwAAAN4AAAAPAAAAZHJzL2Rvd25yZXYueG1sRI9Ba8JA&#10;FITvBf/D8gRvdWMOrY2uIoo0By+1Ch4f2WcSzb5dsquJ/vpuodDjMDPfMPNlbxpxp9bXlhVMxgkI&#10;4sLqmksFh+/t6xSED8gaG8uk4EEelovByxwzbTv+ovs+lCJC2GeooArBZVL6oiKDfmwdcfTOtjUY&#10;omxLqVvsItw0Mk2SN2mw5rhQoaN1RcV1fzMKTht2+baTxfm5drtLPm0+b4ejUqNhv5qBCNSH//Bf&#10;O9cK0jT5eIffO/EKyMUPAAAA//8DAFBLAQItABQABgAIAAAAIQDb4fbL7gAAAIUBAAATAAAAAAAA&#10;AAAAAAAAAAAAAABbQ29udGVudF9UeXBlc10ueG1sUEsBAi0AFAAGAAgAAAAhAFr0LFu/AAAAFQEA&#10;AAsAAAAAAAAAAAAAAAAAHwEAAF9yZWxzLy5yZWxzUEsBAi0AFAAGAAgAAAAhAKHpua7HAAAA3gAA&#10;AA8AAAAAAAAAAAAAAAAABwIAAGRycy9kb3ducmV2LnhtbFBLBQYAAAAAAwADALcAAAD7AgAAAAA=&#10;" filled="f" stroked="f">
                  <v:textbox inset="0,0,0,0">
                    <w:txbxContent>
                      <w:p w14:paraId="306DDFA3" w14:textId="77777777" w:rsidR="00B32EF2" w:rsidRDefault="00000000">
                        <w:r>
                          <w:rPr>
                            <w:rFonts w:ascii="Arial" w:eastAsia="Arial" w:hAnsi="Arial" w:cs="Arial"/>
                            <w:sz w:val="18"/>
                          </w:rPr>
                          <w:t>so dei requisiti prescritti, sono deliberate dal Consiglio di presidenza;</w:t>
                        </w:r>
                      </w:p>
                    </w:txbxContent>
                  </v:textbox>
                </v:rect>
                <v:rect id="Rectangle 22098" o:spid="_x0000_s6232" style="position:absolute;left:-12205;top:53580;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i3cwwAAAN4AAAAPAAAAZHJzL2Rvd25yZXYueG1sRE/LisIw&#10;FN0L8w/hDsxO0+lCtBpFHMQuZuMLXF6aa1ttbkITbWe+3iwEl4fzni9704gHtb62rOB7lIAgLqyu&#10;uVRwPGyGExA+IGtsLJOCP/KwXHwM5php2/GOHvtQihjCPkMFVQguk9IXFRn0I+uII3exrcEQYVtK&#10;3WIXw00j0yQZS4M1x4YKHa0rKm77u1Fw/mGXbzpZXP7X7veaT5rt/XhS6uuzX81ABOrDW/xy51pB&#10;mibTuDfeiVdALp4AAAD//wMAUEsBAi0AFAAGAAgAAAAhANvh9svuAAAAhQEAABMAAAAAAAAAAAAA&#10;AAAAAAAAAFtDb250ZW50X1R5cGVzXS54bWxQSwECLQAUAAYACAAAACEAWvQsW78AAAAVAQAACwAA&#10;AAAAAAAAAAAAAAAfAQAAX3JlbHMvLnJlbHNQSwECLQAUAAYACAAAACEA0HYt3MMAAADeAAAADwAA&#10;AAAAAAAAAAAAAAAHAgAAZHJzL2Rvd25yZXYueG1sUEsFBgAAAAADAAMAtwAAAPcCAAAAAA==&#10;" filled="f" stroked="f">
                  <v:textbox inset="0,0,0,0">
                    <w:txbxContent>
                      <w:p w14:paraId="02F9E48F" w14:textId="77777777" w:rsidR="00B32EF2" w:rsidRDefault="00000000">
                        <w:r>
                          <w:rPr>
                            <w:rFonts w:ascii="Arial" w:eastAsia="Arial" w:hAnsi="Arial" w:cs="Arial"/>
                            <w:sz w:val="18"/>
                          </w:rPr>
                          <w:t>c) la scelta tra gli aspiranti è adottata dal Consiglio di presidenza, salvo giu</w:t>
                        </w:r>
                      </w:p>
                    </w:txbxContent>
                  </v:textbox>
                </v:rect>
                <v:rect id="Rectangle 22099" o:spid="_x0000_s6233" style="position:absolute;left:193;top:5358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hHxgAAAN4AAAAPAAAAZHJzL2Rvd25yZXYueG1sRI9Ba8JA&#10;FITvgv9heQVvumkOoqmriCLm0EttBI+P7DNJzb5dsquJ/fXdQqHHYWa+YVabwbTiQZ1vLCt4nSUg&#10;iEurG64UFJ+H6QKED8gaW8uk4EkeNuvxaIWZtj1/0OMUKhEh7DNUUIfgMil9WZNBP7OOOHpX2xkM&#10;UXaV1B32EW5amSbJXBpsOC7U6GhXU3k73Y2Cy55dfuhlef3eufevfNEe78VZqcnLsH0DEWgI/+G/&#10;dq4VpGmyXMLvnXgF5PoHAAD//wMAUEsBAi0AFAAGAAgAAAAhANvh9svuAAAAhQEAABMAAAAAAAAA&#10;AAAAAAAAAAAAAFtDb250ZW50X1R5cGVzXS54bWxQSwECLQAUAAYACAAAACEAWvQsW78AAAAVAQAA&#10;CwAAAAAAAAAAAAAAAAAfAQAAX3JlbHMvLnJlbHNQSwECLQAUAAYACAAAACEAvzqIR8YAAADeAAAA&#10;DwAAAAAAAAAAAAAAAAAHAgAAZHJzL2Rvd25yZXYueG1sUEsFBgAAAAADAAMAtwAAAPoCAAAAAA==&#10;" filled="f" stroked="f">
                  <v:textbox inset="0,0,0,0">
                    <w:txbxContent>
                      <w:p w14:paraId="75870F8F" w14:textId="77777777" w:rsidR="00B32EF2" w:rsidRDefault="00000000">
                        <w:r>
                          <w:rPr>
                            <w:rFonts w:ascii="Arial" w:eastAsia="Arial" w:hAnsi="Arial" w:cs="Arial"/>
                            <w:sz w:val="18"/>
                          </w:rPr>
                          <w:t>-</w:t>
                        </w:r>
                      </w:p>
                    </w:txbxContent>
                  </v:textbox>
                </v:rect>
                <v:rect id="Rectangle 22100" o:spid="_x0000_s6234" style="position:absolute;left:-13170;top:5231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7vAxQAAAN4AAAAPAAAAZHJzL2Rvd25yZXYueG1sRI+7asMw&#10;FIb3Qt5BnEC2Ro6HEtwooSSYeOgSN4WOB+vEdmsdCUu+JE9fDYWOP/+Nb3eYTSdG6n1rWcFmnYAg&#10;rqxuuVZw/ciftyB8QNbYWSYFd/Jw2C+edphpO/GFxjLUIo6wz1BBE4LLpPRVQwb92jri6N1sbzBE&#10;2ddS9zjFcdPJNElepMGW40ODjo4NVT/lYBR8ndgV+SSr2+Po3r+LbXcerp9KrZbz2yuIQHP4D/+1&#10;C60gTTdJBIg4EQXk/hcAAP//AwBQSwECLQAUAAYACAAAACEA2+H2y+4AAACFAQAAEwAAAAAAAAAA&#10;AAAAAAAAAAAAW0NvbnRlbnRfVHlwZXNdLnhtbFBLAQItABQABgAIAAAAIQBa9CxbvwAAABUBAAAL&#10;AAAAAAAAAAAAAAAAAB8BAABfcmVscy8ucmVsc1BLAQItABQABgAIAAAAIQCw67vAxQAAAN4AAAAP&#10;AAAAAAAAAAAAAAAAAAcCAABkcnMvZG93bnJldi54bWxQSwUGAAAAAAMAAwC3AAAA+QIAAAAA&#10;" filled="f" stroked="f">
                  <v:textbox inset="0,0,0,0">
                    <w:txbxContent>
                      <w:p w14:paraId="4187C105" w14:textId="77777777" w:rsidR="00B32EF2" w:rsidRDefault="00000000">
                        <w:r>
                          <w:rPr>
                            <w:rFonts w:ascii="Arial" w:eastAsia="Arial" w:hAnsi="Arial" w:cs="Arial"/>
                            <w:sz w:val="18"/>
                          </w:rPr>
                          <w:t xml:space="preserve">dizio di demerito del candidato, secondo i criteri di valutazione ed i punteggi </w:t>
                        </w:r>
                      </w:p>
                    </w:txbxContent>
                  </v:textbox>
                </v:rect>
                <v:rect id="Rectangle 22101" o:spid="_x0000_s6235" style="position:absolute;left:-12206;top:51040;width:521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x5bxgAAAN4AAAAPAAAAZHJzL2Rvd25yZXYueG1sRI9Pi8Iw&#10;FMTvC36H8ARva9oeRKpRRBF78LL+AY+P5tl2t3kJTbTd/fSbhQWPw8z8hlmuB9OKJ3W+sawgnSYg&#10;iEurG64UXM779zkIH5A1tpZJwTd5WK9Gb0vMte35g56nUIkIYZ+jgjoEl0vpy5oM+ql1xNG7285g&#10;iLKrpO6wj3DTyixJZtJgw3GhRkfbmsqv08MouO3YFftelvefrTt+FvP28LhclZqMh80CRKAhvML/&#10;7UIryLI0SeHvTrwCcvULAAD//wMAUEsBAi0AFAAGAAgAAAAhANvh9svuAAAAhQEAABMAAAAAAAAA&#10;AAAAAAAAAAAAAFtDb250ZW50X1R5cGVzXS54bWxQSwECLQAUAAYACAAAACEAWvQsW78AAAAVAQAA&#10;CwAAAAAAAAAAAAAAAAAfAQAAX3JlbHMvLnJlbHNQSwECLQAUAAYACAAAACEA36ceW8YAAADeAAAA&#10;DwAAAAAAAAAAAAAAAAAHAgAAZHJzL2Rvd25yZXYueG1sUEsFBgAAAAADAAMAtwAAAPoCAAAAAA==&#10;" filled="f" stroked="f">
                  <v:textbox inset="0,0,0,0">
                    <w:txbxContent>
                      <w:p w14:paraId="20C3327D" w14:textId="77777777" w:rsidR="00B32EF2" w:rsidRDefault="00000000">
                        <w:r>
                          <w:rPr>
                            <w:rFonts w:ascii="Arial" w:eastAsia="Arial" w:hAnsi="Arial" w:cs="Arial"/>
                            <w:sz w:val="18"/>
                          </w:rPr>
                          <w:t>stabiliti dalla tabella C e, nel caso di parità di punteggio, della maggiore anzia</w:t>
                        </w:r>
                      </w:p>
                    </w:txbxContent>
                  </v:textbox>
                </v:rect>
                <v:rect id="Rectangle 22102" o:spid="_x0000_s6236" style="position:absolute;left:193;top:5104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YAsxgAAAN4AAAAPAAAAZHJzL2Rvd25yZXYueG1sRI9Pi8Iw&#10;FMTvC36H8IS9rak9LFKNIorYg5f1D3h8NM+22ryEJtrqp98sLHgcZuY3zGzRm0Y8qPW1ZQXjUQKC&#10;uLC65lLB8bD5moDwAVljY5kUPMnDYj74mGGmbcc/9NiHUkQI+wwVVCG4TEpfVGTQj6wjjt7FtgZD&#10;lG0pdYtdhJtGpknyLQ3WHBcqdLSqqLjt70bBec0u33SyuLxWbnfNJ832fjwp9Tnsl1MQgfrwDv+3&#10;c60gTcdJCn934hWQ818AAAD//wMAUEsBAi0AFAAGAAgAAAAhANvh9svuAAAAhQEAABMAAAAAAAAA&#10;AAAAAAAAAAAAAFtDb250ZW50X1R5cGVzXS54bWxQSwECLQAUAAYACAAAACEAWvQsW78AAAAVAQAA&#10;CwAAAAAAAAAAAAAAAAAfAQAAX3JlbHMvLnJlbHNQSwECLQAUAAYACAAAACEAL3WALMYAAADeAAAA&#10;DwAAAAAAAAAAAAAAAAAHAgAAZHJzL2Rvd25yZXYueG1sUEsFBgAAAAADAAMAtwAAAPoCAAAAAA==&#10;" filled="f" stroked="f">
                  <v:textbox inset="0,0,0,0">
                    <w:txbxContent>
                      <w:p w14:paraId="45FCCCE6" w14:textId="77777777" w:rsidR="00B32EF2" w:rsidRDefault="00000000">
                        <w:r>
                          <w:rPr>
                            <w:rFonts w:ascii="Arial" w:eastAsia="Arial" w:hAnsi="Arial" w:cs="Arial"/>
                            <w:sz w:val="18"/>
                          </w:rPr>
                          <w:t>-</w:t>
                        </w:r>
                      </w:p>
                    </w:txbxContent>
                  </v:textbox>
                </v:rect>
                <v:rect id="Rectangle 22103" o:spid="_x0000_s6237" style="position:absolute;left:29368;top:49770;width:105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SW3xgAAAN4AAAAPAAAAZHJzL2Rvd25yZXYueG1sRI9Ba8JA&#10;FITvBf/D8oTe6sYURFJXEUXMoRdtBI+P7DNJzb5dsqtJ++u7gtDjMDPfMIvVYFpxp843lhVMJwkI&#10;4tLqhisFxdfubQ7CB2SNrWVS8EMeVsvRywIzbXs+0P0YKhEh7DNUUIfgMil9WZNBP7GOOHoX2xkM&#10;UXaV1B32EW5amSbJTBpsOC7U6GhTU3k93oyC85ZdvutlefnduM/vfN7ub8VJqdfxsP4AEWgI/+Fn&#10;O9cK0nSavMPjTrwCcvkHAAD//wMAUEsBAi0AFAAGAAgAAAAhANvh9svuAAAAhQEAABMAAAAAAAAA&#10;AAAAAAAAAAAAAFtDb250ZW50X1R5cGVzXS54bWxQSwECLQAUAAYACAAAACEAWvQsW78AAAAVAQAA&#10;CwAAAAAAAAAAAAAAAAAfAQAAX3JlbHMvLnJlbHNQSwECLQAUAAYACAAAACEAQDklt8YAAADeAAAA&#10;DwAAAAAAAAAAAAAAAAAHAgAAZHJzL2Rvd25yZXYueG1sUEsFBgAAAAADAAMAtwAAAPoCAAAAAA==&#10;" filled="f" stroked="f">
                  <v:textbox inset="0,0,0,0">
                    <w:txbxContent>
                      <w:p w14:paraId="4D9DF404" w14:textId="77777777" w:rsidR="00B32EF2" w:rsidRDefault="00000000">
                        <w:r>
                          <w:rPr>
                            <w:rFonts w:ascii="Arial" w:eastAsia="Arial" w:hAnsi="Arial" w:cs="Arial"/>
                            <w:sz w:val="18"/>
                          </w:rPr>
                          <w:t>nità anagrafica.</w:t>
                        </w:r>
                      </w:p>
                    </w:txbxContent>
                  </v:textbox>
                </v:rect>
                <v:rect id="Rectangle 202210" o:spid="_x0000_s6238" style="position:absolute;left:-12720;top:48500;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r/jxgAAAN8AAAAPAAAAZHJzL2Rvd25yZXYueG1sRI+7asMw&#10;FIb3Qt5BnEC2Ro6HEtwooSSYeOgSN4WOB+vEdmsdCUu+JE9fDYWOP/+Nb3eYTSdG6n1rWcFmnYAg&#10;rqxuuVZw/ciftyB8QNbYWSYFd/Jw2C+edphpO/GFxjLUIo6wz1BBE4LLpPRVQwb92jri6N1sbzBE&#10;2ddS9zjFcdPJNElepMGW40ODjo4NVT/lYBR8ndgV+SSr2+Po3r+LbXcerp9KrZbz2yuIQHP4D/+1&#10;C60gTdJ0EwkiT2QBuf8FAAD//wMAUEsBAi0AFAAGAAgAAAAhANvh9svuAAAAhQEAABMAAAAAAAAA&#10;AAAAAAAAAAAAAFtDb250ZW50X1R5cGVzXS54bWxQSwECLQAUAAYACAAAACEAWvQsW78AAAAVAQAA&#10;CwAAAAAAAAAAAAAAAAAfAQAAX3JlbHMvLnJlbHNQSwECLQAUAAYACAAAACEA5sK/48YAAADfAAAA&#10;DwAAAAAAAAAAAAAAAAAHAgAAZHJzL2Rvd25yZXYueG1sUEsFBgAAAAADAAMAtwAAAPoCAAAAAA==&#10;" filled="f" stroked="f">
                  <v:textbox inset="0,0,0,0">
                    <w:txbxContent>
                      <w:p w14:paraId="07D3AE52" w14:textId="77777777" w:rsidR="00B32EF2" w:rsidRDefault="00000000">
                        <w:r>
                          <w:rPr>
                            <w:rFonts w:ascii="Arial" w:eastAsia="Arial" w:hAnsi="Arial" w:cs="Arial"/>
                            <w:sz w:val="18"/>
                          </w:rPr>
                          <w:t>. Il Consiglio di presidenza della giustizia tributaria esprime giudizio di deme</w:t>
                        </w:r>
                      </w:p>
                    </w:txbxContent>
                  </v:textbox>
                </v:rect>
                <v:rect id="Rectangle 202208" o:spid="_x0000_s6239" style="position:absolute;left:26352;top:48500;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SU4wwAAAN8AAAAPAAAAZHJzL2Rvd25yZXYueG1sRE/Pa8Iw&#10;FL4L/g/hDbxpsh5EqlFEEXvwMqfg8dE8227NS2iirfvrl8Ngx4/v92oz2FY8qQuNYw3vMwWCuHSm&#10;4UrD5fMwXYAIEdlg65g0vCjAZj0erTA3rucPep5jJVIIhxw11DH6XMpQ1mQxzJwnTtzddRZjgl0l&#10;TYd9CretzJSaS4sNp4YaPe1qKr/PD6vhtmdfHHpZ3n92/vRVLNrj43LVevI2bJcgIg3xX/znLoyG&#10;TGWZSoPTn/QF5PoXAAD//wMAUEsBAi0AFAAGAAgAAAAhANvh9svuAAAAhQEAABMAAAAAAAAAAAAA&#10;AAAAAAAAAFtDb250ZW50X1R5cGVzXS54bWxQSwECLQAUAAYACAAAACEAWvQsW78AAAAVAQAACwAA&#10;AAAAAAAAAAAAAAAfAQAAX3JlbHMvLnJlbHNQSwECLQAUAAYACAAAACEAnW0lOMMAAADfAAAADwAA&#10;AAAAAAAAAAAAAAAHAgAAZHJzL2Rvd25yZXYueG1sUEsFBgAAAAADAAMAtwAAAPcCAAAAAA==&#10;" filled="f" stroked="f">
                  <v:textbox inset="0,0,0,0">
                    <w:txbxContent>
                      <w:p w14:paraId="6551A12B" w14:textId="77777777" w:rsidR="00B32EF2" w:rsidRDefault="00000000">
                        <w:r>
                          <w:rPr>
                            <w:rFonts w:ascii="Arial" w:eastAsia="Arial" w:hAnsi="Arial" w:cs="Arial"/>
                            <w:sz w:val="18"/>
                          </w:rPr>
                          <w:t>7</w:t>
                        </w:r>
                      </w:p>
                    </w:txbxContent>
                  </v:textbox>
                </v:rect>
                <v:rect id="Rectangle 22105" o:spid="_x0000_s6240" style="position:absolute;left:193;top:4850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BhYxgAAAN4AAAAPAAAAZHJzL2Rvd25yZXYueG1sRI9Ba8JA&#10;FITvBf/D8oTe6sZARVJXEUXMoRdtBI+P7DNJzb5dsqtJ++u7gtDjMDPfMIvVYFpxp843lhVMJwkI&#10;4tLqhisFxdfubQ7CB2SNrWVS8EMeVsvRywIzbXs+0P0YKhEh7DNUUIfgMil9WZNBP7GOOHoX2xkM&#10;UXaV1B32EW5amSbJTBpsOC7U6GhTU3k93oyC85ZdvutlefnduM/vfN7ub8VJqdfxsP4AEWgI/+Fn&#10;O9cK0nSavMPjTrwCcvkHAAD//wMAUEsBAi0AFAAGAAgAAAAhANvh9svuAAAAhQEAABMAAAAAAAAA&#10;AAAAAAAAAAAAAFtDb250ZW50X1R5cGVzXS54bWxQSwECLQAUAAYACAAAACEAWvQsW78AAAAVAQAA&#10;CwAAAAAAAAAAAAAAAAAfAQAAX3JlbHMvLnJlbHNQSwECLQAUAAYACAAAACEAoJwYWMYAAADeAAAA&#10;DwAAAAAAAAAAAAAAAAAHAgAAZHJzL2Rvd25yZXYueG1sUEsFBgAAAAADAAMAtwAAAPoCAAAAAA==&#10;" filled="f" stroked="f">
                  <v:textbox inset="0,0,0,0">
                    <w:txbxContent>
                      <w:p w14:paraId="428CB69F" w14:textId="77777777" w:rsidR="00B32EF2" w:rsidRDefault="00000000">
                        <w:r>
                          <w:rPr>
                            <w:rFonts w:ascii="Arial" w:eastAsia="Arial" w:hAnsi="Arial" w:cs="Arial"/>
                            <w:sz w:val="18"/>
                          </w:rPr>
                          <w:t>-</w:t>
                        </w:r>
                      </w:p>
                    </w:txbxContent>
                  </v:textbox>
                </v:rect>
                <v:rect id="Rectangle 22106" o:spid="_x0000_s6241" style="position:absolute;left:9463;top:47231;width:3045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oYvxgAAAN4AAAAPAAAAZHJzL2Rvd25yZXYueG1sRI9Pi8Iw&#10;FMTvgt8hvAVvmtqDSNco4iL24MV/4PHRPNuuzUtoou3upzcLCx6HmfkNs1j1phFPan1tWcF0koAg&#10;LqyuuVRwPm3HcxA+IGtsLJOCH/KwWg4HC8y07fhAz2MoRYSwz1BBFYLLpPRFRQb9xDri6N1sazBE&#10;2ZZSt9hFuGlkmiQzabDmuFCho01Fxf34MAquX+zybSeL2+/G7b/zebN7nC9KjT769SeIQH14h//b&#10;uVaQptNkBn934hWQyxcAAAD//wMAUEsBAi0AFAAGAAgAAAAhANvh9svuAAAAhQEAABMAAAAAAAAA&#10;AAAAAAAAAAAAAFtDb250ZW50X1R5cGVzXS54bWxQSwECLQAUAAYACAAAACEAWvQsW78AAAAVAQAA&#10;CwAAAAAAAAAAAAAAAAAfAQAAX3JlbHMvLnJlbHNQSwECLQAUAAYACAAAACEAUE6GL8YAAADeAAAA&#10;DwAAAAAAAAAAAAAAAAAHAgAAZHJzL2Rvd25yZXYueG1sUEsFBgAAAAADAAMAtwAAAPoCAAAAAA==&#10;" filled="f" stroked="f">
                  <v:textbox inset="0,0,0,0">
                    <w:txbxContent>
                      <w:p w14:paraId="5340442C" w14:textId="77777777" w:rsidR="00B32EF2" w:rsidRDefault="00000000">
                        <w:r>
                          <w:rPr>
                            <w:rFonts w:ascii="Arial" w:eastAsia="Arial" w:hAnsi="Arial" w:cs="Arial"/>
                            <w:sz w:val="18"/>
                          </w:rPr>
                          <w:t>rito ove ricorra una delle seguenti condizioni:</w:t>
                        </w:r>
                      </w:p>
                    </w:txbxContent>
                  </v:textbox>
                </v:rect>
                <v:rect id="Rectangle 22107" o:spid="_x0000_s6242" style="position:absolute;left:-13170;top:4596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O0xgAAAN4AAAAPAAAAZHJzL2Rvd25yZXYueG1sRI9Ba8JA&#10;FITvBf/D8oTe6sYcqqSuIoqYQy/aCB4f2WeSmn27ZFeT9td3BaHHYWa+YRarwbTiTp1vLCuYThIQ&#10;xKXVDVcKiq/d2xyED8gaW8uk4Ic8rJajlwVm2vZ8oPsxVCJC2GeooA7BZVL6siaDfmIdcfQutjMY&#10;ouwqqTvsI9y0Mk2Sd2mw4bhQo6NNTeX1eDMKzlt2+a6X5eV34z6/83m7vxUnpV7Hw/oDRKAh/Ief&#10;7VwrSNNpMoPHnXgF5PIPAAD//wMAUEsBAi0AFAAGAAgAAAAhANvh9svuAAAAhQEAABMAAAAAAAAA&#10;AAAAAAAAAAAAAFtDb250ZW50X1R5cGVzXS54bWxQSwECLQAUAAYACAAAACEAWvQsW78AAAAVAQAA&#10;CwAAAAAAAAAAAAAAAAAfAQAAX3JlbHMvLnJlbHNQSwECLQAUAAYACAAAACEAPwIjtMYAAADeAAAA&#10;DwAAAAAAAAAAAAAAAAAHAgAAZHJzL2Rvd25yZXYueG1sUEsFBgAAAAADAAMAtwAAAPoCAAAAAA==&#10;" filled="f" stroked="f">
                  <v:textbox inset="0,0,0,0">
                    <w:txbxContent>
                      <w:p w14:paraId="60D11422" w14:textId="77777777" w:rsidR="00B32EF2" w:rsidRDefault="00000000">
                        <w:r>
                          <w:rPr>
                            <w:rFonts w:ascii="Arial" w:eastAsia="Arial" w:hAnsi="Arial" w:cs="Arial"/>
                            <w:sz w:val="18"/>
                          </w:rPr>
                          <w:t xml:space="preserve">a) sanzione disciplinare irrogata al candidato nel quinquennio antecedente la </w:t>
                        </w:r>
                      </w:p>
                    </w:txbxContent>
                  </v:textbox>
                </v:rect>
                <v:rect id="Rectangle 22108" o:spid="_x0000_s6243" style="position:absolute;left:-6126;top:44691;width:46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bfGxAAAAN4AAAAPAAAAZHJzL2Rvd25yZXYueG1sRE+7asMw&#10;FN0L+QdxA9kaOR5KcKOEkmDioUvcFDperBvbrXUlLPmRfH01FDoeznt3mE0nRup9a1nBZp2AIK6s&#10;brlWcP3In7cgfEDW2FkmBXfycNgvnnaYaTvxhcYy1CKGsM9QQROCy6T0VUMG/do64sjdbG8wRNjX&#10;Uvc4xXDTyTRJXqTBlmNDg46ODVU/5WAUfJ3YFfkkq9vj6N6/i213Hq6fSq2W89sriEBz+Bf/uQut&#10;IE03Sdwb78QrIPe/AAAA//8DAFBLAQItABQABgAIAAAAIQDb4fbL7gAAAIUBAAATAAAAAAAAAAAA&#10;AAAAAAAAAABbQ29udGVudF9UeXBlc10ueG1sUEsBAi0AFAAGAAgAAAAhAFr0LFu/AAAAFQEAAAsA&#10;AAAAAAAAAAAAAAAAHwEAAF9yZWxzLy5yZWxzUEsBAi0AFAAGAAgAAAAhAE6dt8bEAAAA3gAAAA8A&#10;AAAAAAAAAAAAAAAABwIAAGRycy9kb3ducmV2LnhtbFBLBQYAAAAAAwADALcAAAD4AgAAAAA=&#10;" filled="f" stroked="f">
                  <v:textbox inset="0,0,0,0">
                    <w:txbxContent>
                      <w:p w14:paraId="669FC567" w14:textId="77777777" w:rsidR="00B32EF2" w:rsidRDefault="00000000">
                        <w:r>
                          <w:rPr>
                            <w:rFonts w:ascii="Arial" w:eastAsia="Arial" w:hAnsi="Arial" w:cs="Arial"/>
                            <w:sz w:val="18"/>
                          </w:rPr>
                          <w:t>data di scadenza della domanda per l’incarico per il quale concorre;</w:t>
                        </w:r>
                      </w:p>
                    </w:txbxContent>
                  </v:textbox>
                </v:rect>
                <v:rect id="Rectangle 22109" o:spid="_x0000_s6244" style="position:absolute;left:-12203;top:43421;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RJdxgAAAN4AAAAPAAAAZHJzL2Rvd25yZXYueG1sRI9Ba8JA&#10;FITvQv/D8gredGMOYlNXEUXMoZfaCB4f2WeSmn27ZFeT+uvdQqHHYWa+YZbrwbTiTp1vLCuYTRMQ&#10;xKXVDVcKiq/9ZAHCB2SNrWVS8EMe1quX0RIzbXv+pPsxVCJC2GeooA7BZVL6siaDfmodcfQutjMY&#10;ouwqqTvsI9y0Mk2SuTTYcFyo0dG2pvJ6vBkF5x27fN/L8vLYuo/vfNEebsVJqfHrsHkHEWgI/+G/&#10;dq4VpOkseYPfO/EKyNUTAAD//wMAUEsBAi0AFAAGAAgAAAAhANvh9svuAAAAhQEAABMAAAAAAAAA&#10;AAAAAAAAAAAAAFtDb250ZW50X1R5cGVzXS54bWxQSwECLQAUAAYACAAAACEAWvQsW78AAAAVAQAA&#10;CwAAAAAAAAAAAAAAAAAfAQAAX3JlbHMvLnJlbHNQSwECLQAUAAYACAAAACEAIdESXcYAAADeAAAA&#10;DwAAAAAAAAAAAAAAAAAHAgAAZHJzL2Rvd25yZXYueG1sUEsFBgAAAAADAAMAtwAAAPoCAAAAAA==&#10;" filled="f" stroked="f">
                  <v:textbox inset="0,0,0,0">
                    <w:txbxContent>
                      <w:p w14:paraId="2BA295CE" w14:textId="77777777" w:rsidR="00B32EF2" w:rsidRDefault="00000000">
                        <w:r>
                          <w:rPr>
                            <w:rFonts w:ascii="Arial" w:eastAsia="Arial" w:hAnsi="Arial" w:cs="Arial"/>
                            <w:sz w:val="18"/>
                          </w:rPr>
                          <w:t>b) rapporto annuo pari o superiore al 60 per cento tra il numero dei provvedi</w:t>
                        </w:r>
                      </w:p>
                    </w:txbxContent>
                  </v:textbox>
                </v:rect>
                <v:rect id="Rectangle 22110" o:spid="_x0000_s6245" style="position:absolute;left:193;top:43421;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i0dxAAAAN4AAAAPAAAAZHJzL2Rvd25yZXYueG1sRI/NisIw&#10;FIX3A75DuIK7MW0XItUooohduBlHweWlubbV5iY00dZ5+sliYJaH88e3XA+mFS/qfGNZQTpNQBCX&#10;VjdcKTh/7z/nIHxA1thaJgVv8rBejT6WmGvb8xe9TqEScYR9jgrqEFwupS9rMuin1hFH72Y7gyHK&#10;rpK6wz6Om1ZmSTKTBhuODzU62tZUPk5Po+C6Y1fse1nefrbueC/m7eF5vig1GQ+bBYhAQ/gP/7UL&#10;rSDL0jQCRJyIAnL1CwAA//8DAFBLAQItABQABgAIAAAAIQDb4fbL7gAAAIUBAAATAAAAAAAAAAAA&#10;AAAAAAAAAABbQ29udGVudF9UeXBlc10ueG1sUEsBAi0AFAAGAAgAAAAhAFr0LFu/AAAAFQEAAAsA&#10;AAAAAAAAAAAAAAAAHwEAAF9yZWxzLy5yZWxzUEsBAi0AFAAGAAgAAAAhADUyLR3EAAAA3gAAAA8A&#10;AAAAAAAAAAAAAAAABwIAAGRycy9kb3ducmV2LnhtbFBLBQYAAAAAAwADALcAAAD4AgAAAAA=&#10;" filled="f" stroked="f">
                  <v:textbox inset="0,0,0,0">
                    <w:txbxContent>
                      <w:p w14:paraId="68324ADE" w14:textId="77777777" w:rsidR="00B32EF2" w:rsidRDefault="00000000">
                        <w:r>
                          <w:rPr>
                            <w:rFonts w:ascii="Arial" w:eastAsia="Arial" w:hAnsi="Arial" w:cs="Arial"/>
                            <w:sz w:val="18"/>
                          </w:rPr>
                          <w:t>-</w:t>
                        </w:r>
                      </w:p>
                    </w:txbxContent>
                  </v:textbox>
                </v:rect>
                <v:rect id="Rectangle 22111" o:spid="_x0000_s6246" style="position:absolute;left:-12190;top:42151;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oiGxgAAAN4AAAAPAAAAZHJzL2Rvd25yZXYueG1sRI9Pi8Iw&#10;FMTvC36H8ARva9oeRKpRRBF78LL+AY+P5tl2t3kJTbTd/fSbhQWPw8z8hlmuB9OKJ3W+sawgnSYg&#10;iEurG64UXM779zkIH5A1tpZJwTd5WK9Gb0vMte35g56nUIkIYZ+jgjoEl0vpy5oM+ql1xNG7285g&#10;iLKrpO6wj3DTyixJZtJgw3GhRkfbmsqv08MouO3YFftelvefrTt+FvP28LhclZqMh80CRKAhvML/&#10;7UIryLI0TeHvTrwCcvULAAD//wMAUEsBAi0AFAAGAAgAAAAhANvh9svuAAAAhQEAABMAAAAAAAAA&#10;AAAAAAAAAAAAAFtDb250ZW50X1R5cGVzXS54bWxQSwECLQAUAAYACAAAACEAWvQsW78AAAAVAQAA&#10;CwAAAAAAAAAAAAAAAAAfAQAAX3JlbHMvLnJlbHNQSwECLQAUAAYACAAAACEAWn6IhsYAAADeAAAA&#10;DwAAAAAAAAAAAAAAAAAHAgAAZHJzL2Rvd25yZXYueG1sUEsFBgAAAAADAAMAtwAAAPoCAAAAAA==&#10;" filled="f" stroked="f">
                  <v:textbox inset="0,0,0,0">
                    <w:txbxContent>
                      <w:p w14:paraId="7EFE8D31" w14:textId="77777777" w:rsidR="00B32EF2" w:rsidRDefault="00000000">
                        <w:r>
                          <w:rPr>
                            <w:rFonts w:ascii="Arial" w:eastAsia="Arial" w:hAnsi="Arial" w:cs="Arial"/>
                            <w:sz w:val="18"/>
                          </w:rPr>
                          <w:t>menti depositati oltre il termine di trenta giorni a decorrere dalla data di delibe</w:t>
                        </w:r>
                      </w:p>
                    </w:txbxContent>
                  </v:textbox>
                </v:rect>
                <v:rect id="Rectangle 22112" o:spid="_x0000_s6247" style="position:absolute;left:193;top:42151;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BbxxgAAAN4AAAAPAAAAZHJzL2Rvd25yZXYueG1sRI9Pi8Iw&#10;FMTvC36H8ARva9oeRKpRRBF78LL+AY+P5tl2t3kJTbTd/fSbhQWPw8z8hlmuB9OKJ3W+sawgnSYg&#10;iEurG64UXM779zkIH5A1tpZJwTd5WK9Gb0vMte35g56nUIkIYZ+jgjoEl0vpy5oM+ql1xNG7285g&#10;iLKrpO6wj3DTyixJZtJgw3GhRkfbmsqv08MouO3YFftelvefrTt+FvP28LhclZqMh80CRKAhvML/&#10;7UIryLI0zeDvTrwCcvULAAD//wMAUEsBAi0AFAAGAAgAAAAhANvh9svuAAAAhQEAABMAAAAAAAAA&#10;AAAAAAAAAAAAAFtDb250ZW50X1R5cGVzXS54bWxQSwECLQAUAAYACAAAACEAWvQsW78AAAAVAQAA&#10;CwAAAAAAAAAAAAAAAAAfAQAAX3JlbHMvLnJlbHNQSwECLQAUAAYACAAAACEAqqwW8cYAAADeAAAA&#10;DwAAAAAAAAAAAAAAAAAHAgAAZHJzL2Rvd25yZXYueG1sUEsFBgAAAAADAAMAtwAAAPoCAAAAAA==&#10;" filled="f" stroked="f">
                  <v:textbox inset="0,0,0,0">
                    <w:txbxContent>
                      <w:p w14:paraId="4D03AA48" w14:textId="77777777" w:rsidR="00B32EF2" w:rsidRDefault="00000000">
                        <w:r>
                          <w:rPr>
                            <w:rFonts w:ascii="Arial" w:eastAsia="Arial" w:hAnsi="Arial" w:cs="Arial"/>
                            <w:sz w:val="18"/>
                          </w:rPr>
                          <w:t>-</w:t>
                        </w:r>
                      </w:p>
                    </w:txbxContent>
                  </v:textbox>
                </v:rect>
                <v:rect id="Rectangle 22113" o:spid="_x0000_s6248" style="position:absolute;left:-6508;top:40881;width:464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LNqxwAAAN4AAAAPAAAAZHJzL2Rvd25yZXYueG1sRI9Pa8JA&#10;FMTvhX6H5RW81U0iFEldpShiDr3UP+DxkX0mabNvl+xqUj+9Kwgeh5n5DTNbDKYVF+p8Y1lBOk5A&#10;EJdWN1wp2O/W71MQPiBrbC2Tgn/ysJi/vsww17bnH7psQyUihH2OCuoQXC6lL2sy6MfWEUfvZDuD&#10;IcqukrrDPsJNK7Mk+ZAGG44LNTpa1lT+bc9GwXHFrlj3sjxdl+77t5i2m/P+oNTobfj6BBFoCM/w&#10;o11oBVmWphO434lXQM5vAAAA//8DAFBLAQItABQABgAIAAAAIQDb4fbL7gAAAIUBAAATAAAAAAAA&#10;AAAAAAAAAAAAAABbQ29udGVudF9UeXBlc10ueG1sUEsBAi0AFAAGAAgAAAAhAFr0LFu/AAAAFQEA&#10;AAsAAAAAAAAAAAAAAAAAHwEAAF9yZWxzLy5yZWxzUEsBAi0AFAAGAAgAAAAhAMXgs2rHAAAA3gAA&#10;AA8AAAAAAAAAAAAAAAAABwIAAGRycy9kb3ducmV2LnhtbFBLBQYAAAAAAwADALcAAAD7AgAAAAA=&#10;" filled="f" stroked="f">
                  <v:textbox inset="0,0,0,0">
                    <w:txbxContent>
                      <w:p w14:paraId="7A0CBA65" w14:textId="77777777" w:rsidR="00B32EF2" w:rsidRDefault="00000000">
                        <w:r>
                          <w:rPr>
                            <w:rFonts w:ascii="Arial" w:eastAsia="Arial" w:hAnsi="Arial" w:cs="Arial"/>
                            <w:sz w:val="18"/>
                          </w:rPr>
                          <w:t>razione e il totale dei provvedimenti depositati dal singolo candidato.</w:t>
                        </w:r>
                      </w:p>
                    </w:txbxContent>
                  </v:textbox>
                </v:rect>
                <v:rect id="Rectangle 202204" o:spid="_x0000_s6249" style="position:absolute;left:26111;top:3961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C89xwAAAN8AAAAPAAAAZHJzL2Rvd25yZXYueG1sRI9Ba8JA&#10;FITvQv/D8gq96W5DEUldpVikOXjRRujxkX0mabNvl+xqor/eLRR6HGbmG2a5Hm0nLtSH1rGG55kC&#10;QVw503KtofzcThcgQkQ22DkmDVcKsF49TJaYGzfwni6HWIsE4ZCjhiZGn0sZqoYshpnzxMk7ud5i&#10;TLKvpelxSHDbyUypubTYclpo0NOmoerncLYavt7ZF9tBVqfbxu++i0X3cS6PWj89jm+vICKN8T/8&#10;1y6MhkxlmXqB3z/pC8jVHQAA//8DAFBLAQItABQABgAIAAAAIQDb4fbL7gAAAIUBAAATAAAAAAAA&#10;AAAAAAAAAAAAAABbQ29udGVudF9UeXBlc10ueG1sUEsBAi0AFAAGAAgAAAAhAFr0LFu/AAAAFQEA&#10;AAsAAAAAAAAAAAAAAAAAHwEAAF9yZWxzLy5yZWxzUEsBAi0AFAAGAAgAAAAhABwgLz3HAAAA3wAA&#10;AA8AAAAAAAAAAAAAAAAABwIAAGRycy9kb3ducmV2LnhtbFBLBQYAAAAAAwADALcAAAD7AgAAAAA=&#10;" filled="f" stroked="f">
                  <v:textbox inset="0,0,0,0">
                    <w:txbxContent>
                      <w:p w14:paraId="2292520B" w14:textId="77777777" w:rsidR="00B32EF2" w:rsidRDefault="00000000">
                        <w:r>
                          <w:rPr>
                            <w:rFonts w:ascii="Arial" w:eastAsia="Arial" w:hAnsi="Arial" w:cs="Arial"/>
                            <w:sz w:val="18"/>
                          </w:rPr>
                          <w:t>8</w:t>
                        </w:r>
                      </w:p>
                    </w:txbxContent>
                  </v:textbox>
                </v:rect>
                <v:rect id="Rectangle 202205" o:spid="_x0000_s6250" style="position:absolute;left:-13818;top:396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IqmxwAAAN8AAAAPAAAAZHJzL2Rvd25yZXYueG1sRI9Ba8JA&#10;FITvQv/D8gq96W4DFUldpVikOXjRRujxkX0mabNvl+xqor/eLRR6HGbmG2a5Hm0nLtSH1rGG55kC&#10;QVw503KtofzcThcgQkQ22DkmDVcKsF49TJaYGzfwni6HWIsE4ZCjhiZGn0sZqoYshpnzxMk7ud5i&#10;TLKvpelxSHDbyUypubTYclpo0NOmoerncLYavt7ZF9tBVqfbxu++i0X3cS6PWj89jm+vICKN8T/8&#10;1y6MhkxlmXqB3z/pC8jVHQAA//8DAFBLAQItABQABgAIAAAAIQDb4fbL7gAAAIUBAAATAAAAAAAA&#10;AAAAAAAAAAAAAABbQ29udGVudF9UeXBlc10ueG1sUEsBAi0AFAAGAAgAAAAhAFr0LFu/AAAAFQEA&#10;AAsAAAAAAAAAAAAAAAAAHwEAAF9yZWxzLy5yZWxzUEsBAi0AFAAGAAgAAAAhAHNsiqbHAAAA3wAA&#10;AA8AAAAAAAAAAAAAAAAABwIAAGRycy9kb3ducmV2LnhtbFBLBQYAAAAAAwADALcAAAD7AgAAAAA=&#10;" filled="f" stroked="f">
                  <v:textbox inset="0,0,0,0">
                    <w:txbxContent>
                      <w:p w14:paraId="6DF41CB7" w14:textId="77777777" w:rsidR="00B32EF2" w:rsidRDefault="00000000">
                        <w:r>
                          <w:rPr>
                            <w:rFonts w:ascii="Arial" w:eastAsia="Arial" w:hAnsi="Arial" w:cs="Arial"/>
                            <w:sz w:val="18"/>
                          </w:rPr>
                          <w:t xml:space="preserve">. Nei casi di necessità di servizio, il Ministro dell’economia e delle finanze </w:t>
                        </w:r>
                      </w:p>
                    </w:txbxContent>
                  </v:textbox>
                </v:rect>
                <v:rect id="Rectangle 22115" o:spid="_x0000_s6251" style="position:absolute;left:-13165;top:38341;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6FxwAAAN4AAAAPAAAAZHJzL2Rvd25yZXYueG1sRI9Pa8JA&#10;FMTvhX6H5RW81U0CFkldpShiDr3UP+DxkX0mabNvl+xqUj+9Kwgeh5n5DTNbDKYVF+p8Y1lBOk5A&#10;EJdWN1wp2O/W71MQPiBrbC2Tgn/ysJi/vsww17bnH7psQyUihH2OCuoQXC6lL2sy6MfWEUfvZDuD&#10;IcqukrrDPsJNK7Mk+ZAGG44LNTpa1lT+bc9GwXHFrlj3sjxdl+77t5i2m/P+oNTobfj6BBFoCM/w&#10;o11oBVmWphO434lXQM5vAAAA//8DAFBLAQItABQABgAIAAAAIQDb4fbL7gAAAIUBAAATAAAAAAAA&#10;AAAAAAAAAAAAAABbQ29udGVudF9UeXBlc10ueG1sUEsBAi0AFAAGAAgAAAAhAFr0LFu/AAAAFQEA&#10;AAsAAAAAAAAAAAAAAAAAHwEAAF9yZWxzLy5yZWxzUEsBAi0AFAAGAAgAAAAhACVFjoXHAAAA3gAA&#10;AA8AAAAAAAAAAAAAAAAABwIAAGRycy9kb3ducmV2LnhtbFBLBQYAAAAAAwADALcAAAD7AgAAAAA=&#10;" filled="f" stroked="f">
                  <v:textbox inset="0,0,0,0">
                    <w:txbxContent>
                      <w:p w14:paraId="695CACF1" w14:textId="77777777" w:rsidR="00B32EF2" w:rsidRDefault="00000000">
                        <w:r>
                          <w:rPr>
                            <w:rFonts w:ascii="Arial" w:eastAsia="Arial" w:hAnsi="Arial" w:cs="Arial"/>
                            <w:sz w:val="18"/>
                          </w:rPr>
                          <w:t xml:space="preserve">può disporre, su richiesta del Consiglio di presidenza della giustizia tributaria, </w:t>
                        </w:r>
                      </w:p>
                    </w:txbxContent>
                  </v:textbox>
                </v:rect>
                <v:rect id="Rectangle 22116" o:spid="_x0000_s6252" style="position:absolute;left:9556;top:37072;width:3036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xDyxgAAAN4AAAAPAAAAZHJzL2Rvd25yZXYueG1sRI9Ba8JA&#10;FITvBf/D8gRvdZMcRFJXKYqYg5eqhR4f2WeSNvt2ya4m+uu7guBxmJlvmMVqMK24UucbywrSaQKC&#10;uLS64UrB6bh9n4PwAVlja5kU3MjDajl6W2Cubc9fdD2ESkQI+xwV1CG4XEpf1mTQT60jjt7ZdgZD&#10;lF0ldYd9hJtWZkkykwYbjgs1OlrXVP4dLkbBz4Zdse1leb6v3f63mLe7y+lbqcl4+PwAEWgIr/Cz&#10;XWgFWZamM3jciVdALv8BAAD//wMAUEsBAi0AFAAGAAgAAAAhANvh9svuAAAAhQEAABMAAAAAAAAA&#10;AAAAAAAAAAAAAFtDb250ZW50X1R5cGVzXS54bWxQSwECLQAUAAYACAAAACEAWvQsW78AAAAVAQAA&#10;CwAAAAAAAAAAAAAAAAAfAQAAX3JlbHMvLnJlbHNQSwECLQAUAAYACAAAACEA1ZcQ8sYAAADeAAAA&#10;DwAAAAAAAAAAAAAAAAAHAgAAZHJzL2Rvd25yZXYueG1sUEsFBgAAAAADAAMAtwAAAPoCAAAAAA==&#10;" filled="f" stroked="f">
                  <v:textbox inset="0,0,0,0">
                    <w:txbxContent>
                      <w:p w14:paraId="3F506FD0" w14:textId="77777777" w:rsidR="00B32EF2" w:rsidRDefault="00000000">
                        <w:r>
                          <w:rPr>
                            <w:rFonts w:ascii="Arial" w:eastAsia="Arial" w:hAnsi="Arial" w:cs="Arial"/>
                            <w:sz w:val="18"/>
                          </w:rPr>
                          <w:t>l’anticipazione nell’assunzione delle funzioni.</w:t>
                        </w:r>
                      </w:p>
                    </w:txbxContent>
                  </v:textbox>
                </v:rect>
                <v:rect id="Rectangle 202201" o:spid="_x0000_s6253" style="position:absolute;left:-13801;top:3580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4ylxwAAAN8AAAAPAAAAZHJzL2Rvd25yZXYueG1sRI9BawIx&#10;FITvgv8hPKE3TdxDka1RikW6h160Cj0+Ns/d1c1L2ER39debQqHHYWa+YZbrwbbiRl1oHGuYzxQI&#10;4tKZhisNh+/tdAEiRGSDrWPScKcA69V4tMTcuJ53dNvHSiQIhxw11DH6XMpQ1mQxzJwnTt7JdRZj&#10;kl0lTYd9gttWZkq9SosNp4UaPW1qKi/7q9Xw88G+2PayPD02/utcLNrP6+Go9ctkeH8DEWmI/+G/&#10;dmE0ZCrL1Bx+/6QvIFdPAAAA//8DAFBLAQItABQABgAIAAAAIQDb4fbL7gAAAIUBAAATAAAAAAAA&#10;AAAAAAAAAAAAAABbQ29udGVudF9UeXBlc10ueG1sUEsBAi0AFAAGAAgAAAAhAFr0LFu/AAAAFQEA&#10;AAsAAAAAAAAAAAAAAAAAHwEAAF9yZWxzLy5yZWxzUEsBAi0AFAAGAAgAAAAhAAxXjKXHAAAA3wAA&#10;AA8AAAAAAAAAAAAAAAAABwIAAGRycy9kb3ducmV2LnhtbFBLBQYAAAAAAwADALcAAAD7AgAAAAA=&#10;" filled="f" stroked="f">
                  <v:textbox inset="0,0,0,0">
                    <w:txbxContent>
                      <w:p w14:paraId="692C3908" w14:textId="77777777" w:rsidR="00B32EF2" w:rsidRDefault="00000000">
                        <w:r>
                          <w:rPr>
                            <w:rFonts w:ascii="Arial" w:eastAsia="Arial" w:hAnsi="Arial" w:cs="Arial"/>
                            <w:sz w:val="18"/>
                          </w:rPr>
                          <w:t xml:space="preserve">. La disposizione di cui al comma 2 si applica a decorrere dal 1° gennaio </w:t>
                        </w:r>
                      </w:p>
                    </w:txbxContent>
                  </v:textbox>
                </v:rect>
                <v:rect id="Rectangle 202200" o:spid="_x0000_s6254" style="position:absolute;left:26111;top:3580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yk+xQAAAN8AAAAPAAAAZHJzL2Rvd25yZXYueG1sRI9Bi8Iw&#10;FITvC/6H8ARva2oPItUooog9eFl1YY+P5tlWm5fQRFv99ZuFBY/DzHzDLFa9acSDWl9bVjAZJyCI&#10;C6trLhWcT7vPGQgfkDU2lknBkzysloOPBWbadvxFj2MoRYSwz1BBFYLLpPRFRQb92Dri6F1sazBE&#10;2ZZSt9hFuGlkmiRTabDmuFCho01Fxe14Nwp+tuzyXSeLy2vjDtd81uzv52+lRsN+PQcRqA/v8H87&#10;1wrSJI1Q+PsTv4Bc/gIAAP//AwBQSwECLQAUAAYACAAAACEA2+H2y+4AAACFAQAAEwAAAAAAAAAA&#10;AAAAAAAAAAAAW0NvbnRlbnRfVHlwZXNdLnhtbFBLAQItABQABgAIAAAAIQBa9CxbvwAAABUBAAAL&#10;AAAAAAAAAAAAAAAAAB8BAABfcmVscy8ucmVsc1BLAQItABQABgAIAAAAIQBjGyk+xQAAAN8AAAAP&#10;AAAAAAAAAAAAAAAAAAcCAABkcnMvZG93bnJldi54bWxQSwUGAAAAAAMAAwC3AAAA+QIAAAAA&#10;" filled="f" stroked="f">
                  <v:textbox inset="0,0,0,0">
                    <w:txbxContent>
                      <w:p w14:paraId="48D90B87" w14:textId="77777777" w:rsidR="00B32EF2" w:rsidRDefault="00000000">
                        <w:r>
                          <w:rPr>
                            <w:rFonts w:ascii="Arial" w:eastAsia="Arial" w:hAnsi="Arial" w:cs="Arial"/>
                            <w:sz w:val="18"/>
                          </w:rPr>
                          <w:t>9</w:t>
                        </w:r>
                      </w:p>
                    </w:txbxContent>
                  </v:textbox>
                </v:rect>
                <v:rect id="Rectangle 202196" o:spid="_x0000_s6255" style="position:absolute;left:24162;top:34532;width:53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eAqxwAAAN8AAAAPAAAAZHJzL2Rvd25yZXYueG1sRI9Pi8Iw&#10;FMTvgt8hPGFvmtqDaDWKKLI97GX9Ax4fzbOtNi+hiba7n36zsLDHYWZ+w6w2vWnEi1pfW1YwnSQg&#10;iAuray4VnE+H8RyED8gaG8uk4Is8bNbDwQozbTv+pNcxlCJC2GeooArBZVL6oiKDfmIdcfRutjUY&#10;omxLqVvsItw0Mk2SmTRYc1yo0NGuouJxfBoF1z27/NDJ4va9cx/3fN68P88Xpd5G/XYJIlAf/sN/&#10;7VwrSJN0upjB75/4BeT6BwAA//8DAFBLAQItABQABgAIAAAAIQDb4fbL7gAAAIUBAAATAAAAAAAA&#10;AAAAAAAAAAAAAABbQ29udGVudF9UeXBlc10ueG1sUEsBAi0AFAAGAAgAAAAhAFr0LFu/AAAAFQEA&#10;AAsAAAAAAAAAAAAAAAAAHwEAAF9yZWxzLy5yZWxzUEsBAi0AFAAGAAgAAAAhALCR4CrHAAAA3wAA&#10;AA8AAAAAAAAAAAAAAAAABwIAAGRycy9kb3ducmV2LnhtbFBLBQYAAAAAAwADALcAAAD7AgAAAAA=&#10;" filled="f" stroked="f">
                  <v:textbox inset="0,0,0,0">
                    <w:txbxContent>
                      <w:p w14:paraId="0576E279" w14:textId="77777777" w:rsidR="00B32EF2" w:rsidRDefault="00000000">
                        <w:r>
                          <w:rPr>
                            <w:rFonts w:ascii="Arial" w:eastAsia="Arial" w:hAnsi="Arial" w:cs="Arial"/>
                            <w:sz w:val="18"/>
                          </w:rPr>
                          <w:t>2029</w:t>
                        </w:r>
                      </w:p>
                    </w:txbxContent>
                  </v:textbox>
                </v:rect>
                <v:rect id="Rectangle 202197" o:spid="_x0000_s6256" style="position:absolute;left:-15753;top:34532;width:53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UWxyAAAAN8AAAAPAAAAZHJzL2Rvd25yZXYueG1sRI9Pa8JA&#10;FMTvhX6H5Qm96cYcqqauIhZpDl7qH+jxkX0m0ezbJbua1E/vFoQeh5n5DTNf9qYRN2p9bVnBeJSA&#10;IC6srrlUcNhvhlMQPiBrbCyTgl/ysFy8vswx07bjb7rtQikihH2GCqoQXCalLyoy6EfWEUfvZFuD&#10;Icq2lLrFLsJNI9MkeZcGa44LFTpaV1Rcdlej4OeTXb7pZHG6r932nE+br+vhqNTboF99gAjUh//w&#10;s51rBWmSjmcT+PsTv4BcPAAAAP//AwBQSwECLQAUAAYACAAAACEA2+H2y+4AAACFAQAAEwAAAAAA&#10;AAAAAAAAAAAAAAAAW0NvbnRlbnRfVHlwZXNdLnhtbFBLAQItABQABgAIAAAAIQBa9CxbvwAAABUB&#10;AAALAAAAAAAAAAAAAAAAAB8BAABfcmVscy8ucmVsc1BLAQItABQABgAIAAAAIQDf3UWxyAAAAN8A&#10;AAAPAAAAAAAAAAAAAAAAAAcCAABkcnMvZG93bnJldi54bWxQSwUGAAAAAAMAAwC3AAAA/AIAAAAA&#10;" filled="f" stroked="f">
                  <v:textbox inset="0,0,0,0">
                    <w:txbxContent>
                      <w:p w14:paraId="36D55ED9" w14:textId="77777777" w:rsidR="00B32EF2" w:rsidRDefault="00000000">
                        <w:r>
                          <w:rPr>
                            <w:rFonts w:ascii="Arial" w:eastAsia="Arial" w:hAnsi="Arial" w:cs="Arial"/>
                            <w:sz w:val="18"/>
                          </w:rPr>
                          <w:t xml:space="preserve">. Fino al 31 dicembre 2028, i componenti delle corti di giustizia tributaria </w:t>
                        </w:r>
                      </w:p>
                    </w:txbxContent>
                  </v:textbox>
                </v:rect>
                <v:rect id="Rectangle 22119" o:spid="_x0000_s6257" style="position:absolute;left:-13170;top:3326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ISAxwAAAN4AAAAPAAAAZHJzL2Rvd25yZXYueG1sRI9Ba8JA&#10;FITvBf/D8oTe6iY5FBvdBFHEHHqptdDjI/tMotm3S3Y1aX99t1DocZiZb5h1OZle3GnwnWUF6SIB&#10;QVxb3XGj4PS+f1qC8AFZY2+ZFHyRh7KYPawx13bkN7ofQyMihH2OCtoQXC6lr1sy6BfWEUfvbAeD&#10;IcqhkXrAMcJNL7MkeZYGO44LLTratlRfjzej4HPHrtqPsj5/b93rpVr2h9vpQ6nH+bRZgQg0hf/w&#10;X7vSCrIsTV/g9068ArL4AQAA//8DAFBLAQItABQABgAIAAAAIQDb4fbL7gAAAIUBAAATAAAAAAAA&#10;AAAAAAAAAAAAAABbQ29udGVudF9UeXBlc10ueG1sUEsBAi0AFAAGAAgAAAAhAFr0LFu/AAAAFQEA&#10;AAsAAAAAAAAAAAAAAAAAHwEAAF9yZWxzLy5yZWxzUEsBAi0AFAAGAAgAAAAhAKQIhIDHAAAA3gAA&#10;AA8AAAAAAAAAAAAAAAAABwIAAGRycy9kb3ducmV2LnhtbFBLBQYAAAAAAwADALcAAAD7AgAAAAA=&#10;" filled="f" stroked="f">
                  <v:textbox inset="0,0,0,0">
                    <w:txbxContent>
                      <w:p w14:paraId="6DC75D8A" w14:textId="77777777" w:rsidR="00B32EF2" w:rsidRDefault="00000000">
                        <w:r>
                          <w:rPr>
                            <w:rFonts w:ascii="Arial" w:eastAsia="Arial" w:hAnsi="Arial" w:cs="Arial"/>
                            <w:sz w:val="18"/>
                          </w:rPr>
                          <w:t xml:space="preserve">di primo e secondo grado, indipendentemente dalle funzioni svolte, cessano </w:t>
                        </w:r>
                      </w:p>
                    </w:txbxContent>
                  </v:textbox>
                </v:rect>
                <v:rect id="Rectangle 22120" o:spid="_x0000_s6258" style="position:absolute;left:22390;top:31992;width:175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uegxAAAAN4AAAAPAAAAZHJzL2Rvd25yZXYueG1sRI/LisIw&#10;FIb3A75DOIK7MbULkWoUUcQu3HgZmOWhObbV5iQ00VaffrIYcPnz3/gWq9404kmtry0rmIwTEMSF&#10;1TWXCi7n3fcMhA/IGhvLpOBFHlbLwdcCM207PtLzFEoRR9hnqKAKwWVS+qIig35sHXH0rrY1GKJs&#10;S6lb7OK4aWSaJFNpsOb4UKGjTUXF/fQwCn637PJdJ4vre+MOt3zW7B+XH6VGw349BxGoD5/wfzvX&#10;CtJ0kkaAiBNRQC7/AAAA//8DAFBLAQItABQABgAIAAAAIQDb4fbL7gAAAIUBAAATAAAAAAAAAAAA&#10;AAAAAAAAAABbQ29udGVudF9UeXBlc10ueG1sUEsBAi0AFAAGAAgAAAAhAFr0LFu/AAAAFQEAAAsA&#10;AAAAAAAAAAAAAAAAHwEAAF9yZWxzLy5yZWxzUEsBAi0AFAAGAAgAAAAhAPte56DEAAAA3gAAAA8A&#10;AAAAAAAAAAAAAAAABwIAAGRycy9kb3ducmV2LnhtbFBLBQYAAAAAAwADALcAAAD4AgAAAAA=&#10;" filled="f" stroked="f">
                  <v:textbox inset="0,0,0,0">
                    <w:txbxContent>
                      <w:p w14:paraId="397D9A06" w14:textId="77777777" w:rsidR="00B32EF2" w:rsidRDefault="00000000">
                        <w:r>
                          <w:rPr>
                            <w:rFonts w:ascii="Arial" w:eastAsia="Arial" w:hAnsi="Arial" w:cs="Arial"/>
                            <w:sz w:val="18"/>
                          </w:rPr>
                          <w:t>dall’incarico, in ogni caso:</w:t>
                        </w:r>
                      </w:p>
                    </w:txbxContent>
                  </v:textbox>
                </v:rect>
                <v:rect id="Rectangle 22121" o:spid="_x0000_s6259" style="position:absolute;left:-13170;top:30722;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kI7xgAAAN4AAAAPAAAAZHJzL2Rvd25yZXYueG1sRI9Pi8Iw&#10;FMTvC36H8ARva9oeRKpRRBF78LL+AY+P5tl2t3kJTbTd/fSbhQWPw8z8hlmuB9OKJ3W+sawgnSYg&#10;iEurG64UXM779zkIH5A1tpZJwTd5WK9Gb0vMte35g56nUIkIYZ+jgjoEl0vpy5oM+ql1xNG7285g&#10;iLKrpO6wj3DTyixJZtJgw3GhRkfbmsqv08MouO3YFftelvefrTt+FvP28LhclZqMh80CRKAhvML/&#10;7UIryLI0S+HvTrwCcvULAAD//wMAUEsBAi0AFAAGAAgAAAAhANvh9svuAAAAhQEAABMAAAAAAAAA&#10;AAAAAAAAAAAAAFtDb250ZW50X1R5cGVzXS54bWxQSwECLQAUAAYACAAAACEAWvQsW78AAAAVAQAA&#10;CwAAAAAAAAAAAAAAAAAfAQAAX3JlbHMvLnJlbHNQSwECLQAUAAYACAAAACEAlBJCO8YAAADeAAAA&#10;DwAAAAAAAAAAAAAAAAAHAgAAZHJzL2Rvd25yZXYueG1sUEsFBgAAAAADAAMAtwAAAPoCAAAAAA==&#10;" filled="f" stroked="f">
                  <v:textbox inset="0,0,0,0">
                    <w:txbxContent>
                      <w:p w14:paraId="3BB17473" w14:textId="77777777" w:rsidR="00B32EF2" w:rsidRDefault="00000000">
                        <w:r>
                          <w:rPr>
                            <w:rFonts w:ascii="Arial" w:eastAsia="Arial" w:hAnsi="Arial" w:cs="Arial"/>
                            <w:sz w:val="18"/>
                          </w:rPr>
                          <w:t xml:space="preserve">a) il 1° gennaio 2025 qualora abbiano compiuto settantaquattro anni di età </w:t>
                        </w:r>
                      </w:p>
                    </w:txbxContent>
                  </v:textbox>
                </v:rect>
                <v:rect id="Rectangle 22122" o:spid="_x0000_s6260" style="position:absolute;left:-13169;top:29452;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NxMxgAAAN4AAAAPAAAAZHJzL2Rvd25yZXYueG1sRI9PawIx&#10;FMTvQr9DeIXeNGsORVajFIt0D734Dzw+Ns/d1c1L2ER3209vCgWPw8z8hlmsBtuKO3WhcaxhOslA&#10;EJfONFxpOOw34xmIEJENto5Jww8FWC1fRgvMjet5S/ddrESCcMhRQx2jz6UMZU0Ww8R54uSdXWcx&#10;JtlV0nTYJ7htpcqyd2mx4bRQo6d1TeV1d7MaTp/si00vy/Pv2n9filn7dTsctX57HT7mICIN8Rn+&#10;bxdGg1JTpeDvTroCcvkAAAD//wMAUEsBAi0AFAAGAAgAAAAhANvh9svuAAAAhQEAABMAAAAAAAAA&#10;AAAAAAAAAAAAAFtDb250ZW50X1R5cGVzXS54bWxQSwECLQAUAAYACAAAACEAWvQsW78AAAAVAQAA&#10;CwAAAAAAAAAAAAAAAAAfAQAAX3JlbHMvLnJlbHNQSwECLQAUAAYACAAAACEAZMDcTMYAAADeAAAA&#10;DwAAAAAAAAAAAAAAAAAHAgAAZHJzL2Rvd25yZXYueG1sUEsFBgAAAAADAAMAtwAAAPoCAAAAAA==&#10;" filled="f" stroked="f">
                  <v:textbox inset="0,0,0,0">
                    <w:txbxContent>
                      <w:p w14:paraId="578D2690" w14:textId="77777777" w:rsidR="00B32EF2" w:rsidRDefault="00000000">
                        <w:r>
                          <w:rPr>
                            <w:rFonts w:ascii="Arial" w:eastAsia="Arial" w:hAnsi="Arial" w:cs="Arial"/>
                            <w:sz w:val="18"/>
                          </w:rPr>
                          <w:t xml:space="preserve">entro il 31 dicembre 2024, ovvero al compimento del settantaquattresimo anno </w:t>
                        </w:r>
                      </w:p>
                    </w:txbxContent>
                  </v:textbox>
                </v:rect>
                <v:rect id="Rectangle 22123" o:spid="_x0000_s6261" style="position:absolute;left:18723;top:28182;width:211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HnXxgAAAN4AAAAPAAAAZHJzL2Rvd25yZXYueG1sRI9Ba8JA&#10;FITvgv9heYI33RihSHQVUcQcvNRa6PGRfSbR7Nslu5rYX98tFHocZuYbZrXpTSOe1PrasoLZNAFB&#10;XFhdc6ng8nGYLED4gKyxsUwKXuRhsx4OVphp2/E7Pc+hFBHCPkMFVQguk9IXFRn0U+uIo3e1rcEQ&#10;ZVtK3WIX4aaRaZK8SYM1x4UKHe0qKu7nh1HwtWeXHzpZXL937nTLF83xcflUajzqt0sQgfrwH/5r&#10;51pBms7SOfzeiVdArn8AAAD//wMAUEsBAi0AFAAGAAgAAAAhANvh9svuAAAAhQEAABMAAAAAAAAA&#10;AAAAAAAAAAAAAFtDb250ZW50X1R5cGVzXS54bWxQSwECLQAUAAYACAAAACEAWvQsW78AAAAVAQAA&#10;CwAAAAAAAAAAAAAAAAAfAQAAX3JlbHMvLnJlbHNQSwECLQAUAAYACAAAACEAC4x518YAAADeAAAA&#10;DwAAAAAAAAAAAAAAAAAHAgAAZHJzL2Rvd25yZXYueG1sUEsFBgAAAAADAAMAtwAAAPoCAAAAAA==&#10;" filled="f" stroked="f">
                  <v:textbox inset="0,0,0,0">
                    <w:txbxContent>
                      <w:p w14:paraId="61CBFEB0" w14:textId="77777777" w:rsidR="00B32EF2" w:rsidRDefault="00000000">
                        <w:r>
                          <w:rPr>
                            <w:rFonts w:ascii="Arial" w:eastAsia="Arial" w:hAnsi="Arial" w:cs="Arial"/>
                            <w:sz w:val="18"/>
                          </w:rPr>
                          <w:t>di età nel corso dell’anno 2025;</w:t>
                        </w:r>
                      </w:p>
                    </w:txbxContent>
                  </v:textbox>
                </v:rect>
                <v:rect id="Rectangle 22124" o:spid="_x0000_s6262" style="position:absolute;left:-13169;top:26913;width:5308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eGjxgAAAN4AAAAPAAAAZHJzL2Rvd25yZXYueG1sRI9Ba8JA&#10;FITvgv9heYI33RikSHQVUcQcvNRa6PGRfSbR7Nslu5rYX98tFHocZuYbZrXpTSOe1PrasoLZNAFB&#10;XFhdc6ng8nGYLED4gKyxsUwKXuRhsx4OVphp2/E7Pc+hFBHCPkMFVQguk9IXFRn0U+uIo3e1rcEQ&#10;ZVtK3WIX4aaRaZK8SYM1x4UKHe0qKu7nh1HwtWeXHzpZXL937nTLF83xcflUajzqt0sQgfrwH/5r&#10;51pBms7SOfzeiVdArn8AAAD//wMAUEsBAi0AFAAGAAgAAAAhANvh9svuAAAAhQEAABMAAAAAAAAA&#10;AAAAAAAAAAAAAFtDb250ZW50X1R5cGVzXS54bWxQSwECLQAUAAYACAAAACEAWvQsW78AAAAVAQAA&#10;CwAAAAAAAAAAAAAAAAAfAQAAX3JlbHMvLnJlbHNQSwECLQAUAAYACAAAACEAhGXho8YAAADeAAAA&#10;DwAAAAAAAAAAAAAAAAAHAgAAZHJzL2Rvd25yZXYueG1sUEsFBgAAAAADAAMAtwAAAPoCAAAAAA==&#10;" filled="f" stroked="f">
                  <v:textbox inset="0,0,0,0">
                    <w:txbxContent>
                      <w:p w14:paraId="34EEF4A8" w14:textId="77777777" w:rsidR="00B32EF2" w:rsidRDefault="00000000">
                        <w:r>
                          <w:rPr>
                            <w:rFonts w:ascii="Arial" w:eastAsia="Arial" w:hAnsi="Arial" w:cs="Arial"/>
                            <w:sz w:val="18"/>
                          </w:rPr>
                          <w:t xml:space="preserve">b) il 1° gennaio 2026 qualora abbiano compiuto settantatrè anni di età entro il </w:t>
                        </w:r>
                      </w:p>
                    </w:txbxContent>
                  </v:textbox>
                </v:rect>
                <v:rect id="Rectangle 202194" o:spid="_x0000_s6263" style="position:absolute;left:-14404;top:2564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9vGyAAAAN8AAAAPAAAAZHJzL2Rvd25yZXYueG1sRI9Pa8JA&#10;FMTvhX6H5Qm96cZQRFNXEYs0By/1D/T4yD6TaPbtkl1N6qd3C0KPw8z8hpkve9OIG7W+tqxgPEpA&#10;EBdW11wqOOw3wykIH5A1NpZJwS95WC5eX+aYadvxN912oRQRwj5DBVUILpPSFxUZ9CPriKN3sq3B&#10;EGVbSt1iF+GmkWmSTKTBmuNChY7WFRWX3dUo+Plkl286WZzua7c959Pm63o4KvU26FcfIAL14T/8&#10;bOdaQZqk49k7/P2JX0AuHgAAAP//AwBQSwECLQAUAAYACAAAACEA2+H2y+4AAACFAQAAEwAAAAAA&#10;AAAAAAAAAAAAAAAAW0NvbnRlbnRfVHlwZXNdLnhtbFBLAQItABQABgAIAAAAIQBa9CxbvwAAABUB&#10;AAALAAAAAAAAAAAAAAAAAB8BAABfcmVscy8ucmVsc1BLAQItABQABgAIAAAAIQAvD9vGyAAAAN8A&#10;AAAPAAAAAAAAAAAAAAAAAAcCAABkcnMvZG93bnJldi54bWxQSwUGAAAAAAMAAwC3AAAA/AIAAAAA&#10;" filled="f" stroked="f">
                  <v:textbox inset="0,0,0,0">
                    <w:txbxContent>
                      <w:p w14:paraId="23CC115D" w14:textId="77777777" w:rsidR="00B32EF2" w:rsidRDefault="00000000">
                        <w:r>
                          <w:rPr>
                            <w:rFonts w:ascii="Arial" w:eastAsia="Arial" w:hAnsi="Arial" w:cs="Arial"/>
                            <w:sz w:val="18"/>
                          </w:rPr>
                          <w:t xml:space="preserve"> dicembre 2025, ovvero al compimento del settantatreesimo anno di età nel </w:t>
                        </w:r>
                      </w:p>
                    </w:txbxContent>
                  </v:textbox>
                </v:rect>
                <v:rect id="Rectangle 202193" o:spid="_x0000_s6264" style="position:absolute;left:25512;top:2564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kOyyAAAAN8AAAAPAAAAZHJzL2Rvd25yZXYueG1sRI9Pa8JA&#10;FMTvhX6H5Qm96cYURFNXEYs0By/1D/T4yD6TaPbtkl1N6qd3C0KPw8z8hpkve9OIG7W+tqxgPEpA&#10;EBdW11wqOOw3wykIH5A1NpZJwS95WC5eX+aYadvxN912oRQRwj5DBVUILpPSFxUZ9CPriKN3sq3B&#10;EGVbSt1iF+GmkWmSTKTBmuNChY7WFRWX3dUo+Plkl286WZzua7c959Pm63o4KvU26FcfIAL14T/8&#10;bOdaQZqk49k7/P2JX0AuHgAAAP//AwBQSwECLQAUAAYACAAAACEA2+H2y+4AAACFAQAAEwAAAAAA&#10;AAAAAAAAAAAAAAAAW0NvbnRlbnRfVHlwZXNdLnhtbFBLAQItABQABgAIAAAAIQBa9CxbvwAAABUB&#10;AAALAAAAAAAAAAAAAAAAAB8BAABfcmVscy8ucmVsc1BLAQItABQABgAIAAAAIQCg5kOyyAAAAN8A&#10;AAAPAAAAAAAAAAAAAAAAAAcCAABkcnMvZG93bnJldi54bWxQSwUGAAAAAAMAAwC3AAAA/AIAAAAA&#10;" filled="f" stroked="f">
                  <v:textbox inset="0,0,0,0">
                    <w:txbxContent>
                      <w:p w14:paraId="600C0ED7" w14:textId="77777777" w:rsidR="00B32EF2" w:rsidRDefault="00000000">
                        <w:r>
                          <w:rPr>
                            <w:rFonts w:ascii="Arial" w:eastAsia="Arial" w:hAnsi="Arial" w:cs="Arial"/>
                            <w:sz w:val="18"/>
                          </w:rPr>
                          <w:t>31</w:t>
                        </w:r>
                      </w:p>
                    </w:txbxContent>
                  </v:textbox>
                </v:rect>
                <v:rect id="Rectangle 22126" o:spid="_x0000_s6265" style="position:absolute;left:25348;top:24373;width:145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pPxQAAAN4AAAAPAAAAZHJzL2Rvd25yZXYueG1sRI9Bi8Iw&#10;FITvC/6H8IS9rak9iFSjiCL2sJdVF/b4aJ5ttXkJTbTVX78RBI/DzHzDzJe9acSNWl9bVjAeJSCI&#10;C6trLhUcD9uvKQgfkDU2lknBnTwsF4OPOWbadvxDt30oRYSwz1BBFYLLpPRFRQb9yDri6J1sazBE&#10;2ZZSt9hFuGlkmiQTabDmuFCho3VFxWV/NQr+NuzybSeL02Ptvs/5tNldj79KfQ771QxEoD68w692&#10;rhWk6TidwPNOvAJy8Q8AAP//AwBQSwECLQAUAAYACAAAACEA2+H2y+4AAACFAQAAEwAAAAAAAAAA&#10;AAAAAAAAAAAAW0NvbnRlbnRfVHlwZXNdLnhtbFBLAQItABQABgAIAAAAIQBa9CxbvwAAABUBAAAL&#10;AAAAAAAAAAAAAAAAAB8BAABfcmVscy8ucmVsc1BLAQItABQABgAIAAAAIQAb+9pPxQAAAN4AAAAP&#10;AAAAAAAAAAAAAAAAAAcCAABkcnMvZG93bnJldi54bWxQSwUGAAAAAAMAAwC3AAAA+QIAAAAA&#10;" filled="f" stroked="f">
                  <v:textbox inset="0,0,0,0">
                    <w:txbxContent>
                      <w:p w14:paraId="6DE8D4D1" w14:textId="77777777" w:rsidR="00B32EF2" w:rsidRDefault="00000000">
                        <w:r>
                          <w:rPr>
                            <w:rFonts w:ascii="Arial" w:eastAsia="Arial" w:hAnsi="Arial" w:cs="Arial"/>
                            <w:sz w:val="18"/>
                          </w:rPr>
                          <w:t>corso dell’anno 2026;</w:t>
                        </w:r>
                      </w:p>
                    </w:txbxContent>
                  </v:textbox>
                </v:rect>
                <v:rect id="Rectangle 22127" o:spid="_x0000_s6266" style="position:absolute;left:-13170;top:2310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3/UxgAAAN4AAAAPAAAAZHJzL2Rvd25yZXYueG1sRI9Ba8JA&#10;FITvgv9heYI33ZiDlegqoog5eKm10OMj+0yi2bdLdjWxv75bKPQ4zMw3zGrTm0Y8qfW1ZQWzaQKC&#10;uLC65lLB5eMwWYDwAVljY5kUvMjDZj0crDDTtuN3ep5DKSKEfYYKqhBcJqUvKjLop9YRR+9qW4Mh&#10;yraUusUuwk0j0ySZS4M1x4UKHe0qKu7nh1HwtWeXHzpZXL937nTLF83xcflUajzqt0sQgfrwH/5r&#10;51pBms7SN/i9E6+AXP8AAAD//wMAUEsBAi0AFAAGAAgAAAAhANvh9svuAAAAhQEAABMAAAAAAAAA&#10;AAAAAAAAAAAAAFtDb250ZW50X1R5cGVzXS54bWxQSwECLQAUAAYACAAAACEAWvQsW78AAAAVAQAA&#10;CwAAAAAAAAAAAAAAAAAfAQAAX3JlbHMvLnJlbHNQSwECLQAUAAYACAAAACEAdLd/1MYAAADeAAAA&#10;DwAAAAAAAAAAAAAAAAAHAgAAZHJzL2Rvd25yZXYueG1sUEsFBgAAAAADAAMAtwAAAPoCAAAAAA==&#10;" filled="f" stroked="f">
                  <v:textbox inset="0,0,0,0">
                    <w:txbxContent>
                      <w:p w14:paraId="662395C7" w14:textId="77777777" w:rsidR="00B32EF2" w:rsidRDefault="00000000">
                        <w:r>
                          <w:rPr>
                            <w:rFonts w:ascii="Arial" w:eastAsia="Arial" w:hAnsi="Arial" w:cs="Arial"/>
                            <w:sz w:val="18"/>
                          </w:rPr>
                          <w:t xml:space="preserve">c) il 1° gennaio 2027 qualora abbiano compiuto settantadue anni di età entro il </w:t>
                        </w:r>
                      </w:p>
                    </w:txbxContent>
                  </v:textbox>
                </v:rect>
                <v:rect id="Rectangle 202192" o:spid="_x0000_s6267" style="position:absolute;left:-14404;top:218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YpxwAAAN8AAAAPAAAAZHJzL2Rvd25yZXYueG1sRI9Ba8JA&#10;FITvBf/D8gRvdWMOotFVRBFz6KVqocdH9plEs2+X7GrS/vpuQfA4zMw3zHLdm0Y8qPW1ZQWTcQKC&#10;uLC65lLB+bR/n4HwAVljY5kU/JCH9WrwtsRM244/6XEMpYgQ9hkqqEJwmZS+qMigH1tHHL2LbQ2G&#10;KNtS6ha7CDeNTJNkKg3WHBcqdLStqLgd70bB945dvu9kcfnduo9rPmsO9/OXUqNhv1mACNSHV/jZ&#10;zrWCNEkn8xT+/8QvIFd/AAAA//8DAFBLAQItABQABgAIAAAAIQDb4fbL7gAAAIUBAAATAAAAAAAA&#10;AAAAAAAAAAAAAABbQ29udGVudF9UeXBlc10ueG1sUEsBAi0AFAAGAAgAAAAhAFr0LFu/AAAAFQEA&#10;AAsAAAAAAAAAAAAAAAAAHwEAAF9yZWxzLy5yZWxzUEsBAi0AFAAGAAgAAAAhAM+q5inHAAAA3wAA&#10;AA8AAAAAAAAAAAAAAAAABwIAAGRycy9kb3ducmV2LnhtbFBLBQYAAAAAAwADALcAAAD7AgAAAAA=&#10;" filled="f" stroked="f">
                  <v:textbox inset="0,0,0,0">
                    <w:txbxContent>
                      <w:p w14:paraId="72A67087" w14:textId="77777777" w:rsidR="00B32EF2" w:rsidRDefault="00000000">
                        <w:r>
                          <w:rPr>
                            <w:rFonts w:ascii="Arial" w:eastAsia="Arial" w:hAnsi="Arial" w:cs="Arial"/>
                            <w:sz w:val="18"/>
                          </w:rPr>
                          <w:t xml:space="preserve"> dicembre 2026, ovvero al compimento del settantaduesimo anno di età nel </w:t>
                        </w:r>
                      </w:p>
                    </w:txbxContent>
                  </v:textbox>
                </v:rect>
                <v:rect id="Rectangle 202191" o:spid="_x0000_s6268" style="position:absolute;left:25512;top:218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heyAAAAN8AAAAPAAAAZHJzL2Rvd25yZXYueG1sRI9Ba8JA&#10;FITvBf/D8oTe6iY5FBvdBFHEHHqptdDjI/tMotm3S3Y1aX99t1DocZiZb5h1OZle3GnwnWUF6SIB&#10;QVxb3XGj4PS+f1qC8AFZY2+ZFHyRh7KYPawx13bkN7ofQyMihH2OCtoQXC6lr1sy6BfWEUfvbAeD&#10;IcqhkXrAMcJNL7MkeZYGO44LLTratlRfjzej4HPHrtqPsj5/b93rpVr2h9vpQ6nH+bRZgQg0hf/w&#10;X7vSCrIkS19S+P0Tv4AsfgAAAP//AwBQSwECLQAUAAYACAAAACEA2+H2y+4AAACFAQAAEwAAAAAA&#10;AAAAAAAAAAAAAAAAW0NvbnRlbnRfVHlwZXNdLnhtbFBLAQItABQABgAIAAAAIQBa9CxbvwAAABUB&#10;AAALAAAAAAAAAAAAAAAAAB8BAABfcmVscy8ucmVsc1BLAQItABQABgAIAAAAIQA/eHheyAAAAN8A&#10;AAAPAAAAAAAAAAAAAAAAAAcCAABkcnMvZG93bnJldi54bWxQSwUGAAAAAAMAAwC3AAAA/AIAAAAA&#10;" filled="f" stroked="f">
                  <v:textbox inset="0,0,0,0">
                    <w:txbxContent>
                      <w:p w14:paraId="58267A34" w14:textId="77777777" w:rsidR="00B32EF2" w:rsidRDefault="00000000">
                        <w:r>
                          <w:rPr>
                            <w:rFonts w:ascii="Arial" w:eastAsia="Arial" w:hAnsi="Arial" w:cs="Arial"/>
                            <w:sz w:val="18"/>
                          </w:rPr>
                          <w:t>31</w:t>
                        </w:r>
                      </w:p>
                    </w:txbxContent>
                  </v:textbox>
                </v:rect>
                <v:rect id="Rectangle 22129" o:spid="_x0000_s6269" style="position:absolute;left:25422;top:20563;width:144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49xgAAAN4AAAAPAAAAZHJzL2Rvd25yZXYueG1sRI9Ba8JA&#10;FITvBf/D8gRvdWMOotFVRBFz6KVqocdH9plEs2+X7GrS/vpuQfA4zMw3zHLdm0Y8qPW1ZQWTcQKC&#10;uLC65lLB+bR/n4HwAVljY5kU/JCH9WrwtsRM244/6XEMpYgQ9hkqqEJwmZS+qMigH1tHHL2LbQ2G&#10;KNtS6ha7CDeNTJNkKg3WHBcqdLStqLgd70bB945dvu9kcfnduo9rPmsO9/OXUqNhv1mACNSHV/jZ&#10;zrWCNJ2kc/i/E6+AXP0BAAD//wMAUEsBAi0AFAAGAAgAAAAhANvh9svuAAAAhQEAABMAAAAAAAAA&#10;AAAAAAAAAAAAAFtDb250ZW50X1R5cGVzXS54bWxQSwECLQAUAAYACAAAACEAWvQsW78AAAAVAQAA&#10;CwAAAAAAAAAAAAAAAAAfAQAAX3JlbHMvLnJlbHNQSwECLQAUAAYACAAAACEAamROPcYAAADeAAAA&#10;DwAAAAAAAAAAAAAAAAAHAgAAZHJzL2Rvd25yZXYueG1sUEsFBgAAAAADAAMAtwAAAPoCAAAAAA==&#10;" filled="f" stroked="f">
                  <v:textbox inset="0,0,0,0">
                    <w:txbxContent>
                      <w:p w14:paraId="29A0CF11" w14:textId="77777777" w:rsidR="00B32EF2" w:rsidRDefault="00000000">
                        <w:r>
                          <w:rPr>
                            <w:rFonts w:ascii="Arial" w:eastAsia="Arial" w:hAnsi="Arial" w:cs="Arial"/>
                            <w:sz w:val="18"/>
                          </w:rPr>
                          <w:t>corso dell’anno 2027;</w:t>
                        </w:r>
                      </w:p>
                    </w:txbxContent>
                  </v:textbox>
                </v:rect>
                <v:rect id="Rectangle 22130" o:spid="_x0000_s6270" style="position:absolute;left:-13170;top:1929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F9xAAAAN4AAAAPAAAAZHJzL2Rvd25yZXYueG1sRI/LisIw&#10;FIb3A75DOIK7MbUDg1SjiCLTxWy8gctDc2yrzUlooq3z9GYx4PLnv/HNl71pxINaX1tWMBknIIgL&#10;q2suFRwP288pCB+QNTaWScGTPCwXg485Ztp2vKPHPpQijrDPUEEVgsuk9EVFBv3YOuLoXWxrMETZ&#10;llK32MVx08g0Sb6lwZrjQ4WO1hUVt/3dKDhv2OXbThaXv7X7vebT5ud+PCk1GvarGYhAfXiH/9u5&#10;VpCmk68IEHEiCsjFCwAA//8DAFBLAQItABQABgAIAAAAIQDb4fbL7gAAAIUBAAATAAAAAAAAAAAA&#10;AAAAAAAAAABbQ29udGVudF9UeXBlc10ueG1sUEsBAi0AFAAGAAgAAAAhAFr0LFu/AAAAFQEAAAsA&#10;AAAAAAAAAAAAAAAAHwEAAF9yZWxzLy5yZWxzUEsBAi0AFAAGAAgAAAAhAH6HcX3EAAAA3gAAAA8A&#10;AAAAAAAAAAAAAAAABwIAAGRycy9kb3ducmV2LnhtbFBLBQYAAAAAAwADALcAAAD4AgAAAAA=&#10;" filled="f" stroked="f">
                  <v:textbox inset="0,0,0,0">
                    <w:txbxContent>
                      <w:p w14:paraId="11BC81AE" w14:textId="77777777" w:rsidR="00B32EF2" w:rsidRDefault="00000000">
                        <w:r>
                          <w:rPr>
                            <w:rFonts w:ascii="Arial" w:eastAsia="Arial" w:hAnsi="Arial" w:cs="Arial"/>
                            <w:sz w:val="18"/>
                          </w:rPr>
                          <w:t xml:space="preserve">d) il 1° gennaio 2028 qualora abbiano compiuto settantuno anni di età entro il </w:t>
                        </w:r>
                      </w:p>
                    </w:txbxContent>
                  </v:textbox>
                </v:rect>
                <v:rect id="Rectangle 202189" o:spid="_x0000_s6271" style="position:absolute;left:25512;top:1802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KFxwAAAN8AAAAPAAAAZHJzL2Rvd25yZXYueG1sRI9Ba8JA&#10;FITvgv9heUJvujGHElNXKYqYQy9VCz0+ss8kbfbtkl1N6q93C4LHYWa+YZbrwbTiSp1vLCuYzxIQ&#10;xKXVDVcKTsfdNAPhA7LG1jIp+CMP69V4tMRc254/6XoIlYgQ9jkqqENwuZS+rMmgn1lHHL2z7QyG&#10;KLtK6g77CDetTJPkVRpsOC7U6GhTU/l7uBgF31t2xa6X5fm2cR8/RdbuL6cvpV4mw/sbiEBDeIYf&#10;7UIrSJN0ni3g/0/8AnJ1BwAA//8DAFBLAQItABQABgAIAAAAIQDb4fbL7gAAAIUBAAATAAAAAAAA&#10;AAAAAAAAAAAAAABbQ29udGVudF9UeXBlc10ueG1sUEsBAi0AFAAGAAgAAAAhAFr0LFu/AAAAFQEA&#10;AAsAAAAAAAAAAAAAAAAAHwEAAF9yZWxzLy5yZWxzUEsBAi0AFAAGAAgAAAAhAETX4oXHAAAA3wAA&#10;AA8AAAAAAAAAAAAAAAAABwIAAGRycy9kb3ducmV2LnhtbFBLBQYAAAAAAwADALcAAAD7AgAAAAA=&#10;" filled="f" stroked="f">
                  <v:textbox inset="0,0,0,0">
                    <w:txbxContent>
                      <w:p w14:paraId="12779640" w14:textId="77777777" w:rsidR="00B32EF2" w:rsidRDefault="00000000">
                        <w:r>
                          <w:rPr>
                            <w:rFonts w:ascii="Arial" w:eastAsia="Arial" w:hAnsi="Arial" w:cs="Arial"/>
                            <w:sz w:val="18"/>
                          </w:rPr>
                          <w:t>31</w:t>
                        </w:r>
                      </w:p>
                    </w:txbxContent>
                  </v:textbox>
                </v:rect>
                <v:rect id="Rectangle 202190" o:spid="_x0000_s6272" style="position:absolute;left:-14404;top:1802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N3FxQAAAN8AAAAPAAAAZHJzL2Rvd25yZXYueG1sRI/NisIw&#10;FIX3A75DuIK7MbULcapRRBG7mI2OgstLc22rzU1ooq3z9GYxMMvD+eNbrHrTiCe1vrasYDJOQBAX&#10;VtdcKjj97D5nIHxA1thYJgUv8rBaDj4WmGnb8YGex1CKOMI+QwVVCC6T0hcVGfRj64ijd7WtwRBl&#10;W0rdYhfHTSPTJJlKgzXHhwodbSoq7seHUXDZsst3nSyuvxv3fctnzf5xOis1GvbrOYhAffgP/7Vz&#10;rSBN0slXJIg8kQXk8g0AAP//AwBQSwECLQAUAAYACAAAACEA2+H2y+4AAACFAQAAEwAAAAAAAAAA&#10;AAAAAAAAAAAAW0NvbnRlbnRfVHlwZXNdLnhtbFBLAQItABQABgAIAAAAIQBa9CxbvwAAABUBAAAL&#10;AAAAAAAAAAAAAAAAAB8BAABfcmVscy8ucmVsc1BLAQItABQABgAIAAAAIQBQNN3FxQAAAN8AAAAP&#10;AAAAAAAAAAAAAAAAAAcCAABkcnMvZG93bnJldi54bWxQSwUGAAAAAAMAAwC3AAAA+QIAAAAA&#10;" filled="f" stroked="f">
                  <v:textbox inset="0,0,0,0">
                    <w:txbxContent>
                      <w:p w14:paraId="73596AD4" w14:textId="77777777" w:rsidR="00B32EF2" w:rsidRDefault="00000000">
                        <w:r>
                          <w:rPr>
                            <w:rFonts w:ascii="Arial" w:eastAsia="Arial" w:hAnsi="Arial" w:cs="Arial"/>
                            <w:sz w:val="18"/>
                          </w:rPr>
                          <w:t xml:space="preserve"> dicembre 2027, ovvero al compimento del settantunesimo anno di età nel </w:t>
                        </w:r>
                      </w:p>
                    </w:txbxContent>
                  </v:textbox>
                </v:rect>
                <v:rect id="Rectangle 22132" o:spid="_x0000_s6273" style="position:absolute;left:25327;top:16754;width:145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qRxgAAAN4AAAAPAAAAZHJzL2Rvd25yZXYueG1sRI9Ba8JA&#10;FITvgv9heYI33RihSHQVUcQcvNRa6PGRfSbR7Nslu5rYX98tFHocZuYbZrXpTSOe1PrasoLZNAFB&#10;XFhdc6ng8nGYLED4gKyxsUwKXuRhsx4OVphp2/E7Pc+hFBHCPkMFVQguk9IXFRn0U+uIo3e1rcEQ&#10;ZVtK3WIX4aaRaZK8SYM1x4UKHe0qKu7nh1HwtWeXHzpZXL937nTLF83xcflUajzqt0sQgfrwH/5r&#10;51pBms7mKfzeiVdArn8AAAD//wMAUEsBAi0AFAAGAAgAAAAhANvh9svuAAAAhQEAABMAAAAAAAAA&#10;AAAAAAAAAAAAAFtDb250ZW50X1R5cGVzXS54bWxQSwECLQAUAAYACAAAACEAWvQsW78AAAAVAQAA&#10;CwAAAAAAAAAAAAAAAAAfAQAAX3JlbHMvLnJlbHNQSwECLQAUAAYACAAAACEA4RlKkcYAAADeAAAA&#10;DwAAAAAAAAAAAAAAAAAHAgAAZHJzL2Rvd25yZXYueG1sUEsFBgAAAAADAAMAtwAAAPoCAAAAAA==&#10;" filled="f" stroked="f">
                  <v:textbox inset="0,0,0,0">
                    <w:txbxContent>
                      <w:p w14:paraId="47BCDBBB" w14:textId="77777777" w:rsidR="00B32EF2" w:rsidRDefault="00000000">
                        <w:r>
                          <w:rPr>
                            <w:rFonts w:ascii="Arial" w:eastAsia="Arial" w:hAnsi="Arial" w:cs="Arial"/>
                            <w:sz w:val="18"/>
                          </w:rPr>
                          <w:t>corso dell’anno 2028.</w:t>
                        </w:r>
                      </w:p>
                    </w:txbxContent>
                  </v:textbox>
                </v:rect>
                <v:rect id="Rectangle 22133" o:spid="_x0000_s6274" style="position:absolute;left:15107;top:14287;width:8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e8KxgAAAN4AAAAPAAAAZHJzL2Rvd25yZXYueG1sRI9Ba8JA&#10;FITvgv9heYXedGMEkegqRZHm4EWr4PGRfSZps2+X7Gpif31XEHocZuYbZrnuTSPu1PrasoLJOAFB&#10;XFhdc6ng9LUbzUH4gKyxsUwKHuRhvRoOlphp2/GB7sdQighhn6GCKgSXSemLigz6sXXE0bva1mCI&#10;si2lbrGLcNPINElm0mDNcaFCR5uKip/jzSi4bNnlu04W19+N23/n8+bzdjor9f7WfyxABOrDf/jV&#10;zrWCNJ1Mp/C8E6+AXP0BAAD//wMAUEsBAi0AFAAGAAgAAAAhANvh9svuAAAAhQEAABMAAAAAAAAA&#10;AAAAAAAAAAAAAFtDb250ZW50X1R5cGVzXS54bWxQSwECLQAUAAYACAAAACEAWvQsW78AAAAVAQAA&#10;CwAAAAAAAAAAAAAAAAAfAQAAX3JlbHMvLnJlbHNQSwECLQAUAAYACAAAACEAjlXvCsYAAADeAAAA&#10;DwAAAAAAAAAAAAAAAAAHAgAAZHJzL2Rvd25yZXYueG1sUEsFBgAAAAADAAMAtwAAAPoCAAAAAA==&#10;" filled="f" stroked="f">
                  <v:textbox inset="0,0,0,0">
                    <w:txbxContent>
                      <w:p w14:paraId="31CC3FD1" w14:textId="77777777" w:rsidR="00B32EF2" w:rsidRDefault="00000000">
                        <w:r>
                          <w:rPr>
                            <w:rFonts w:ascii="Arial" w:eastAsia="Arial" w:hAnsi="Arial" w:cs="Arial"/>
                            <w:b/>
                            <w:sz w:val="18"/>
                          </w:rPr>
                          <w:t>Articolo 18</w:t>
                        </w:r>
                      </w:p>
                    </w:txbxContent>
                  </v:textbox>
                </v:rect>
                <v:rect id="Rectangle 202187" o:spid="_x0000_s6275" style="position:absolute;left:11685;top:13054;width:193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NNsxwAAAN8AAAAPAAAAZHJzL2Rvd25yZXYueG1sRI9Ba8JA&#10;FITvgv9heUJvujGHNqSuUhQxh16qFnp8ZJ9J2uzbJbua1F/vCoLHYWa+YRarwbTiQp1vLCuYzxIQ&#10;xKXVDVcKjoftNAPhA7LG1jIp+CcPq+V4tMBc256/6LIPlYgQ9jkqqENwuZS+rMmgn1lHHL2T7QyG&#10;KLtK6g77CDetTJPkVRpsOC7U6GhdU/m3PxsFPxt2xbaX5em6dp+/RdbuzsdvpV4mw8c7iEBDeIYf&#10;7UIrSJN0nr3B/U/8AnJ5AwAA//8DAFBLAQItABQABgAIAAAAIQDb4fbL7gAAAIUBAAATAAAAAAAA&#10;AAAAAAAAAAAAAABbQ29udGVudF9UeXBlc10ueG1sUEsBAi0AFAAGAAgAAAAhAFr0LFu/AAAAFQEA&#10;AAsAAAAAAAAAAAAAAAAAHwEAAF9yZWxzLy5yZWxzUEsBAi0AFAAGAAgAAAAhAFoE02zHAAAA3wAA&#10;AA8AAAAAAAAAAAAAAAAABwIAAGRycy9kb3ducmV2LnhtbFBLBQYAAAAAAwADALcAAAD7AgAAAAA=&#10;" filled="f" stroked="f">
                  <v:textbox inset="0,0,0,0">
                    <w:txbxContent>
                      <w:p w14:paraId="6AE6047D" w14:textId="77777777" w:rsidR="00B32EF2" w:rsidRDefault="00000000">
                        <w:r>
                          <w:rPr>
                            <w:rFonts w:ascii="Arial" w:eastAsia="Arial" w:hAnsi="Arial" w:cs="Arial"/>
                            <w:i/>
                            <w:sz w:val="18"/>
                          </w:rPr>
                          <w:t xml:space="preserve">articolo 12 D.lgs. n. </w:t>
                        </w:r>
                      </w:p>
                    </w:txbxContent>
                  </v:textbox>
                </v:rect>
                <v:rect id="Rectangle 202186" o:spid="_x0000_s6276" style="position:absolute;left:-2508;top:13054;width:193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Hb3xwAAAN8AAAAPAAAAZHJzL2Rvd25yZXYueG1sRI9Ba8JA&#10;FITvBf/D8oTe6sYcJERXEUXMoZeqhR4f2WcSzb5dsquJ/vpuoeBxmJlvmMVqMK24U+cbywqmkwQE&#10;cWl1w5WC03H3kYHwAVlja5kUPMjDajl6W2Cubc9fdD+ESkQI+xwV1CG4XEpf1mTQT6wjjt7ZdgZD&#10;lF0ldYd9hJtWpkkykwYbjgs1OtrUVF4PN6PgZ8uu2PWyPD837vNSZO3+dvpW6n08rOcgAg3hFf5v&#10;F1pBmqTTbAZ/f+IXkMtfAAAA//8DAFBLAQItABQABgAIAAAAIQDb4fbL7gAAAIUBAAATAAAAAAAA&#10;AAAAAAAAAAAAAABbQ29udGVudF9UeXBlc10ueG1sUEsBAi0AFAAGAAgAAAAhAFr0LFu/AAAAFQEA&#10;AAsAAAAAAAAAAAAAAAAAHwEAAF9yZWxzLy5yZWxzUEsBAi0AFAAGAAgAAAAhADVIdvfHAAAA3wAA&#10;AA8AAAAAAAAAAAAAAAAABwIAAGRycy9kb3ducmV2LnhtbFBLBQYAAAAAAwADALcAAAD7AgAAAAA=&#10;" filled="f" stroked="f">
                  <v:textbox inset="0,0,0,0">
                    <w:txbxContent>
                      <w:p w14:paraId="649BE6FE" w14:textId="77777777" w:rsidR="00B32EF2" w:rsidRDefault="00000000">
                        <w:r>
                          <w:rPr>
                            <w:rFonts w:ascii="Arial" w:eastAsia="Arial" w:hAnsi="Arial" w:cs="Arial"/>
                            <w:i/>
                            <w:sz w:val="18"/>
                          </w:rPr>
                          <w:t>545/92)</w:t>
                        </w:r>
                      </w:p>
                    </w:txbxContent>
                  </v:textbox>
                </v:rect>
                <v:rect id="Rectangle 202183" o:spid="_x0000_s6277" style="position:absolute;left:22213;top:13054;width:193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9VvxwAAAN8AAAAPAAAAZHJzL2Rvd25yZXYueG1sRI9Ba8JA&#10;FITvgv9heUJvujGFElJXKYqYQy9VCz0+ss8kbfbtkl1N6q93BcHjMDPfMIvVYFpxoc43lhXMZwkI&#10;4tLqhisFx8N2moHwAVlja5kU/JOH1XI8WmCubc9fdNmHSkQI+xwV1CG4XEpf1mTQz6wjjt7JdgZD&#10;lF0ldYd9hJtWpknyJg02HBdqdLSuqfzbn42Cnw27YtvL8nRdu8/fImt35+O3Ui+T4eMdRKAhPMOP&#10;dqEVpEk6z17h/id+Abm8AQAA//8DAFBLAQItABQABgAIAAAAIQDb4fbL7gAAAIUBAAATAAAAAAAA&#10;AAAAAAAAAAAAAABbQ29udGVudF9UeXBlc10ueG1sUEsBAi0AFAAGAAgAAAAhAFr0LFu/AAAAFQEA&#10;AAsAAAAAAAAAAAAAAAAAHwEAAF9yZWxzLy5yZWxzUEsBAi0AFAAGAAgAAAAhACU/1W/HAAAA3wAA&#10;AA8AAAAAAAAAAAAAAAAABwIAAGRycy9kb3ducmV2LnhtbFBLBQYAAAAAAwADALcAAAD7AgAAAAA=&#10;" filled="f" stroked="f">
                  <v:textbox inset="0,0,0,0">
                    <w:txbxContent>
                      <w:p w14:paraId="4044B6E2" w14:textId="77777777" w:rsidR="00B32EF2" w:rsidRDefault="00000000">
                        <w:r>
                          <w:rPr>
                            <w:rFonts w:ascii="Arial" w:eastAsia="Arial" w:hAnsi="Arial" w:cs="Arial"/>
                            <w:i/>
                            <w:sz w:val="18"/>
                          </w:rPr>
                          <w:t>(</w:t>
                        </w:r>
                      </w:p>
                    </w:txbxContent>
                  </v:textbox>
                </v:rect>
                <v:rect id="Rectangle 22135" o:spid="_x0000_s6278" style="position:absolute;left:8685;top:11820;width:180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NLlxwAAAN4AAAAPAAAAZHJzL2Rvd25yZXYueG1sRI9Pa8JA&#10;FMTvgt9heYI33ZhikdRVRJHm0Ev9Az0+ss8kbfbtkl1N7Kd3CwWPw8z8hlmue9OIG7W+tqxgNk1A&#10;EBdW11wqOB33kwUIH5A1NpZJwZ08rFfDwRIzbTv+pNshlCJC2GeooArBZVL6oiKDfmodcfQutjUY&#10;omxLqVvsItw0Mk2SV2mw5rhQoaNtRcXP4WoUfO3Y5ftOFpffrfv4zhfN+/V0Vmo86jdvIAL14Rn+&#10;b+daQZrOXubwdydeAbl6AAAA//8DAFBLAQItABQABgAIAAAAIQDb4fbL7gAAAIUBAAATAAAAAAAA&#10;AAAAAAAAAAAAAABbQ29udGVudF9UeXBlc10ueG1sUEsBAi0AFAAGAAgAAAAhAFr0LFu/AAAAFQEA&#10;AAsAAAAAAAAAAAAAAAAAHwEAAF9yZWxzLy5yZWxzUEsBAi0AFAAGAAgAAAAhAG7w0uXHAAAA3gAA&#10;AA8AAAAAAAAAAAAAAAAABwIAAGRycy9kb3ducmV2LnhtbFBLBQYAAAAAAwADALcAAAD7AgAAAAA=&#10;" filled="f" stroked="f">
                  <v:textbox inset="0,0,0,0">
                    <w:txbxContent>
                      <w:p w14:paraId="64A73017" w14:textId="77777777" w:rsidR="00B32EF2" w:rsidRDefault="00000000">
                        <w:r>
                          <w:rPr>
                            <w:rFonts w:ascii="Arial" w:eastAsia="Arial" w:hAnsi="Arial" w:cs="Arial"/>
                            <w:b/>
                            <w:sz w:val="18"/>
                          </w:rPr>
                          <w:t xml:space="preserve">Decadenza dall’incarico </w:t>
                        </w:r>
                      </w:p>
                    </w:txbxContent>
                  </v:textbox>
                </v:rect>
                <v:rect id="Rectangle 202180" o:spid="_x0000_s6279" style="position:absolute;left:-13761;top:1058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UsYxQAAAN8AAAAPAAAAZHJzL2Rvd25yZXYueG1sRI/NisIw&#10;FIX3A75DuIK7MbULKdUooohduBnHgVlemmtbbW5CE22dpzcLYZaH88e3XA+mFQ/qfGNZwWyagCAu&#10;rW64UnD+3n9mIHxA1thaJgVP8rBejT6WmGvb8xc9TqEScYR9jgrqEFwupS9rMuin1hFH72I7gyHK&#10;rpK6wz6Om1amSTKXBhuODzU62tZU3k53o+B3x67Y97K8/G3d8Vpk7eF+/lFqMh42CxCBhvAffrcL&#10;rSBN0lkWCSJPZAG5egEAAP//AwBQSwECLQAUAAYACAAAACEA2+H2y+4AAACFAQAAEwAAAAAAAAAA&#10;AAAAAAAAAAAAW0NvbnRlbnRfVHlwZXNdLnhtbFBLAQItABQABgAIAAAAIQBa9CxbvwAAABUBAAAL&#10;AAAAAAAAAAAAAAAAAB8BAABfcmVscy8ucmVsc1BLAQItABQABgAIAAAAIQDV7UsYxQAAAN8AAAAP&#10;AAAAAAAAAAAAAAAAAAcCAABkcnMvZG93bnJldi54bWxQSwUGAAAAAAMAAwC3AAAA+QIAAAAA&#10;" filled="f" stroked="f">
                  <v:textbox inset="0,0,0,0">
                    <w:txbxContent>
                      <w:p w14:paraId="260D0183" w14:textId="77777777" w:rsidR="00B32EF2" w:rsidRDefault="00000000">
                        <w:r>
                          <w:rPr>
                            <w:rFonts w:ascii="Arial" w:eastAsia="Arial" w:hAnsi="Arial" w:cs="Arial"/>
                            <w:sz w:val="18"/>
                          </w:rPr>
                          <w:t xml:space="preserve">. Decadono dall’incarico i componenti delle corti di giustizia tributaria di primo </w:t>
                        </w:r>
                      </w:p>
                    </w:txbxContent>
                  </v:textbox>
                </v:rect>
                <v:rect id="Rectangle 202179" o:spid="_x0000_s6280" style="position:absolute;left:26112;top:10587;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pKiyAAAAN8AAAAPAAAAZHJzL2Rvd25yZXYueG1sRI9Pa8JA&#10;FMTvhX6H5Qm96cYcqqauIhZpDl7qH+jxkX0m0ezbJbua1E/vFoQeh5n5DTNf9qYRN2p9bVnBeJSA&#10;IC6srrlUcNhvhlMQPiBrbCyTgl/ysFy8vswx07bjb7rtQikihH2GCqoQXCalLyoy6EfWEUfvZFuD&#10;Icq2lLrFLsJNI9MkeZcGa44LFTpaV1Rcdlej4OeTXb7pZHG6r932nE+br+vhqNTboF99gAjUh//w&#10;s51rBWmSjicz+PsTv4BcPAAAAP//AwBQSwECLQAUAAYACAAAACEA2+H2y+4AAACFAQAAEwAAAAAA&#10;AAAAAAAAAAAAAAAAW0NvbnRlbnRfVHlwZXNdLnhtbFBLAQItABQABgAIAAAAIQBa9CxbvwAAABUB&#10;AAALAAAAAAAAAAAAAAAAAB8BAABfcmVscy8ucmVsc1BLAQItABQABgAIAAAAIQBxApKiyAAAAN8A&#10;AAAPAAAAAAAAAAAAAAAAAAcCAABkcnMvZG93bnJldi54bWxQSwUGAAAAAAMAAwC3AAAA/AIAAAAA&#10;" filled="f" stroked="f">
                  <v:textbox inset="0,0,0,0">
                    <w:txbxContent>
                      <w:p w14:paraId="7E7E23E4" w14:textId="77777777" w:rsidR="00B32EF2" w:rsidRDefault="00000000">
                        <w:r>
                          <w:rPr>
                            <w:rFonts w:ascii="Arial" w:eastAsia="Arial" w:hAnsi="Arial" w:cs="Arial"/>
                            <w:sz w:val="18"/>
                          </w:rPr>
                          <w:t>1</w:t>
                        </w:r>
                      </w:p>
                    </w:txbxContent>
                  </v:textbox>
                </v:rect>
                <v:rect id="Rectangle 22137" o:spid="_x0000_s6281" style="position:absolute;left:25154;top:9354;width:147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ukJxwAAAN4AAAAPAAAAZHJzL2Rvd25yZXYueG1sRI9Pa8JA&#10;FMTvgt9heYI33ZiCldRVRJHm0Ev9Az0+ss8kbfbtkl1N7Kd3CwWPw8z8hlmue9OIG7W+tqxgNk1A&#10;EBdW11wqOB33kwUIH5A1NpZJwZ08rFfDwRIzbTv+pNshlCJC2GeooArBZVL6oiKDfmodcfQutjUY&#10;omxLqVvsItw0Mk2SuTRYc1yo0NG2ouLncDUKvnbs8n0ni8vv1n1854vm/Xo6KzUe9Zs3EIH68Az/&#10;t3OtIE1nL6/wdydeAbl6AAAA//8DAFBLAQItABQABgAIAAAAIQDb4fbL7gAAAIUBAAATAAAAAAAA&#10;AAAAAAAAAAAAAABbQ29udGVudF9UeXBlc10ueG1sUEsBAi0AFAAGAAgAAAAhAFr0LFu/AAAAFQEA&#10;AAsAAAAAAAAAAAAAAAAAHwEAAF9yZWxzLy5yZWxzUEsBAi0AFAAGAAgAAAAhAPFu6QnHAAAA3gAA&#10;AA8AAAAAAAAAAAAAAAAABwIAAGRycy9kb3ducmV2LnhtbFBLBQYAAAAAAwADALcAAAD7AgAAAAA=&#10;" filled="f" stroked="f">
                  <v:textbox inset="0,0,0,0">
                    <w:txbxContent>
                      <w:p w14:paraId="0A2B1661" w14:textId="77777777" w:rsidR="00B32EF2" w:rsidRDefault="00000000">
                        <w:r>
                          <w:rPr>
                            <w:rFonts w:ascii="Arial" w:eastAsia="Arial" w:hAnsi="Arial" w:cs="Arial"/>
                            <w:sz w:val="18"/>
                          </w:rPr>
                          <w:t>e secondo grado che:</w:t>
                        </w:r>
                      </w:p>
                    </w:txbxContent>
                  </v:textbox>
                </v:rect>
                <v:rect id="Rectangle 22138" o:spid="_x0000_s6282" style="position:absolute;left:7596;top:8121;width:3232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X17wwAAAN4AAAAPAAAAZHJzL2Rvd25yZXYueG1sRE/LisIw&#10;FN0P+A/hCu7G1A4MUo0iikwXs/EFLi/Nta02N6GJts7Xm8WAy8N5z5e9acSDWl9bVjAZJyCIC6tr&#10;LhUcD9vPKQgfkDU2lknBkzwsF4OPOWbadryjxz6UIoawz1BBFYLLpPRFRQb92DriyF1sazBE2JZS&#10;t9jFcNPINEm+pcGaY0OFjtYVFbf93Sg4b9jl204Wl7+1+73m0+bnfjwpNRr2qxmIQH14i//duVaQ&#10;ppOvuDfeiVdALl4AAAD//wMAUEsBAi0AFAAGAAgAAAAhANvh9svuAAAAhQEAABMAAAAAAAAAAAAA&#10;AAAAAAAAAFtDb250ZW50X1R5cGVzXS54bWxQSwECLQAUAAYACAAAACEAWvQsW78AAAAVAQAACwAA&#10;AAAAAAAAAAAAAAAfAQAAX3JlbHMvLnJlbHNQSwECLQAUAAYACAAAACEAgPF9e8MAAADeAAAADwAA&#10;AAAAAAAAAAAAAAAHAgAAZHJzL2Rvd25yZXYueG1sUEsFBgAAAAADAAMAtwAAAPcCAAAAAA==&#10;" filled="f" stroked="f">
                  <v:textbox inset="0,0,0,0">
                    <w:txbxContent>
                      <w:p w14:paraId="35B95CA0" w14:textId="77777777" w:rsidR="00B32EF2" w:rsidRDefault="00000000">
                        <w:r>
                          <w:rPr>
                            <w:rFonts w:ascii="Arial" w:eastAsia="Arial" w:hAnsi="Arial" w:cs="Arial"/>
                            <w:sz w:val="18"/>
                          </w:rPr>
                          <w:t>a) perdono uno dei requisiti di cui all’articolo 13;</w:t>
                        </w:r>
                      </w:p>
                    </w:txbxContent>
                  </v:textbox>
                </v:rect>
                <v:rect id="Rectangle 22139" o:spid="_x0000_s6283" style="position:absolute;left:-7488;top:6887;width:474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djgxwAAAN4AAAAPAAAAZHJzL2Rvd25yZXYueG1sRI9Pa8JA&#10;FMTvhX6H5Qm96cYURFNXEYs0By/1D/T4yD6TaPbtkl1N6qd3C0KPw8z8hpkve9OIG7W+tqxgPEpA&#10;EBdW11wqOOw3wykIH5A1NpZJwS95WC5eX+aYadvxN912oRQRwj5DBVUILpPSFxUZ9CPriKN3sq3B&#10;EGVbSt1iF+GmkWmSTKTBmuNChY7WFRWX3dUo+Plkl286WZzua7c959Pm63o4KvU26FcfIAL14T/8&#10;bOdaQZqO32fwdydeAbl4AAAA//8DAFBLAQItABQABgAIAAAAIQDb4fbL7gAAAIUBAAATAAAAAAAA&#10;AAAAAAAAAAAAAABbQ29udGVudF9UeXBlc10ueG1sUEsBAi0AFAAGAAgAAAAhAFr0LFu/AAAAFQEA&#10;AAsAAAAAAAAAAAAAAAAAHwEAAF9yZWxzLy5yZWxzUEsBAi0AFAAGAAgAAAAhAO+92ODHAAAA3gAA&#10;AA8AAAAAAAAAAAAAAAAABwIAAGRycy9kb3ducmV2LnhtbFBLBQYAAAAAAwADALcAAAD7AgAAAAA=&#10;" filled="f" stroked="f">
                  <v:textbox inset="0,0,0,0">
                    <w:txbxContent>
                      <w:p w14:paraId="1903A7CB" w14:textId="77777777" w:rsidR="00B32EF2" w:rsidRDefault="00000000">
                        <w:r>
                          <w:rPr>
                            <w:rFonts w:ascii="Arial" w:eastAsia="Arial" w:hAnsi="Arial" w:cs="Arial"/>
                            <w:sz w:val="18"/>
                          </w:rPr>
                          <w:t>b) incorrono in uno dei motivi di incompatibilità previsti dall’articolo 14;</w:t>
                        </w:r>
                      </w:p>
                    </w:txbxContent>
                  </v:textbox>
                </v:rect>
                <v:rect id="Rectangle 22140" o:spid="_x0000_s6284" style="position:absolute;left:-13168;top:565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QIAxAAAAN4AAAAPAAAAZHJzL2Rvd25yZXYueG1sRI/LisIw&#10;FIb3A75DOIK7MbUMg1SjiCLTxWy8gctDc2yrzUlooq3z9GYx4PLnv/HNl71pxINaX1tWMBknIIgL&#10;q2suFRwP288pCB+QNTaWScGTPCwXg485Ztp2vKPHPpQijrDPUEEVgsuk9EVFBv3YOuLoXWxrMETZ&#10;llK32MVx08g0Sb6lwZrjQ4WO1hUVt/3dKDhv2OXbThaXv7X7vebT5ud+PCk1GvarGYhAfXiH/9u5&#10;VpCmk68IEHEiCsjFCwAA//8DAFBLAQItABQABgAIAAAAIQDb4fbL7gAAAIUBAAATAAAAAAAAAAAA&#10;AAAAAAAAAABbQ29udGVudF9UeXBlc10ueG1sUEsBAi0AFAAGAAgAAAAhAFr0LFu/AAAAFQEAAAsA&#10;AAAAAAAAAAAAAAAAHwEAAF9yZWxzLy5yZWxzUEsBAi0AFAAGAAgAAAAhACaBAgDEAAAA3gAAAA8A&#10;AAAAAAAAAAAAAAAABwIAAGRycy9kb3ducmV2LnhtbFBLBQYAAAAAAwADALcAAAD4AgAAAAA=&#10;" filled="f" stroked="f">
                  <v:textbox inset="0,0,0,0">
                    <w:txbxContent>
                      <w:p w14:paraId="53F22B4B" w14:textId="77777777" w:rsidR="00B32EF2" w:rsidRDefault="00000000">
                        <w:r>
                          <w:rPr>
                            <w:rFonts w:ascii="Arial" w:eastAsia="Arial" w:hAnsi="Arial" w:cs="Arial"/>
                            <w:sz w:val="18"/>
                          </w:rPr>
                          <w:t xml:space="preserve">c) cessano, se magistrati o altri dipendenti dell’amministrazione pubblica in </w:t>
                        </w:r>
                      </w:p>
                    </w:txbxContent>
                  </v:textbox>
                </v:rect>
                <v:rect id="Rectangle 22141" o:spid="_x0000_s6285" style="position:absolute;left:-13172;top:4421;width:531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aebxwAAAN4AAAAPAAAAZHJzL2Rvd25yZXYueG1sRI9Pa8JA&#10;FMTvhX6H5RW81U2CFEldpShiDr3UP+DxkX0mabNvl+xqUj+9Kwgeh5n5DTNbDKYVF+p8Y1lBOk5A&#10;EJdWN1wp2O/W71MQPiBrbC2Tgn/ysJi/vsww17bnH7psQyUihH2OCuoQXC6lL2sy6MfWEUfvZDuD&#10;IcqukrrDPsJNK7Mk+ZAGG44LNTpa1lT+bc9GwXHFrlj3sjxdl+77t5i2m/P+oNTobfj6BBFoCM/w&#10;o11oBVmWTlK434lXQM5vAAAA//8DAFBLAQItABQABgAIAAAAIQDb4fbL7gAAAIUBAAATAAAAAAAA&#10;AAAAAAAAAAAAAABbQ29udGVudF9UeXBlc10ueG1sUEsBAi0AFAAGAAgAAAAhAFr0LFu/AAAAFQEA&#10;AAsAAAAAAAAAAAAAAAAAHwEAAF9yZWxzLy5yZWxzUEsBAi0AFAAGAAgAAAAhAEnNp5vHAAAA3gAA&#10;AA8AAAAAAAAAAAAAAAAABwIAAGRycy9kb3ducmV2LnhtbFBLBQYAAAAAAwADALcAAAD7AgAAAAA=&#10;" filled="f" stroked="f">
                  <v:textbox inset="0,0,0,0">
                    <w:txbxContent>
                      <w:p w14:paraId="515076CE" w14:textId="77777777" w:rsidR="00B32EF2" w:rsidRDefault="00000000">
                        <w:r>
                          <w:rPr>
                            <w:rFonts w:ascii="Arial" w:eastAsia="Arial" w:hAnsi="Arial" w:cs="Arial"/>
                            <w:sz w:val="18"/>
                          </w:rPr>
                          <w:t xml:space="preserve">attività di servizio, dall’impiego per causa diversa dal collocamento a riposo o </w:t>
                        </w:r>
                      </w:p>
                    </w:txbxContent>
                  </v:textbox>
                </v:rect>
                <w10:anchorlock/>
              </v:group>
            </w:pict>
          </mc:Fallback>
        </mc:AlternateContent>
      </w:r>
    </w:p>
    <w:p w14:paraId="5944E81B" w14:textId="77777777" w:rsidR="00B32EF2" w:rsidRDefault="00000000">
      <w:pPr>
        <w:spacing w:after="0"/>
        <w:ind w:left="-356" w:right="-306"/>
      </w:pPr>
      <w:r>
        <w:rPr>
          <w:noProof/>
        </w:rPr>
        <w:lastRenderedPageBreak/>
        <mc:AlternateContent>
          <mc:Choice Requires="wpg">
            <w:drawing>
              <wp:inline distT="0" distB="0" distL="0" distR="0" wp14:anchorId="48769CCA" wp14:editId="0969C48F">
                <wp:extent cx="3991905" cy="6262854"/>
                <wp:effectExtent l="0" t="0" r="0" b="0"/>
                <wp:docPr id="202215" name="Group 202215"/>
                <wp:cNvGraphicFramePr/>
                <a:graphic xmlns:a="http://schemas.openxmlformats.org/drawingml/2006/main">
                  <a:graphicData uri="http://schemas.microsoft.com/office/word/2010/wordprocessingGroup">
                    <wpg:wgp>
                      <wpg:cNvGrpSpPr/>
                      <wpg:grpSpPr>
                        <a:xfrm>
                          <a:off x="0" y="0"/>
                          <a:ext cx="3991905" cy="6262854"/>
                          <a:chOff x="0" y="0"/>
                          <a:chExt cx="3991905" cy="6262854"/>
                        </a:xfrm>
                      </wpg:grpSpPr>
                      <wps:wsp>
                        <wps:cNvPr id="22219" name="Rectangle 22219"/>
                        <wps:cNvSpPr/>
                        <wps:spPr>
                          <a:xfrm rot="-10799999">
                            <a:off x="1900591" y="-62190"/>
                            <a:ext cx="178369" cy="250646"/>
                          </a:xfrm>
                          <a:prstGeom prst="rect">
                            <a:avLst/>
                          </a:prstGeom>
                          <a:ln>
                            <a:noFill/>
                          </a:ln>
                        </wps:spPr>
                        <wps:txbx>
                          <w:txbxContent>
                            <w:p w14:paraId="42C843D2" w14:textId="77777777" w:rsidR="00B32EF2" w:rsidRDefault="00000000">
                              <w:r>
                                <w:rPr>
                                  <w:rFonts w:ascii="Times New Roman" w:eastAsia="Times New Roman" w:hAnsi="Times New Roman" w:cs="Times New Roman"/>
                                </w:rPr>
                                <w:t>26</w:t>
                              </w:r>
                            </w:p>
                          </w:txbxContent>
                        </wps:txbx>
                        <wps:bodyPr horzOverflow="overflow" vert="horz" lIns="0" tIns="0" rIns="0" bIns="0" rtlCol="0">
                          <a:noAutofit/>
                        </wps:bodyPr>
                      </wps:wsp>
                      <wps:wsp>
                        <wps:cNvPr id="202214" name="Rectangle 202214"/>
                        <wps:cNvSpPr/>
                        <wps:spPr>
                          <a:xfrm rot="-10799999">
                            <a:off x="-1380761" y="6119964"/>
                            <a:ext cx="5311803" cy="142890"/>
                          </a:xfrm>
                          <a:prstGeom prst="rect">
                            <a:avLst/>
                          </a:prstGeom>
                          <a:ln>
                            <a:noFill/>
                          </a:ln>
                        </wps:spPr>
                        <wps:txbx>
                          <w:txbxContent>
                            <w:p w14:paraId="51002BB5" w14:textId="77777777" w:rsidR="00B32EF2" w:rsidRDefault="00000000">
                              <w:r>
                                <w:rPr>
                                  <w:rFonts w:ascii="Arial" w:eastAsia="Arial" w:hAnsi="Arial" w:cs="Arial"/>
                                  <w:sz w:val="18"/>
                                </w:rPr>
                                <w:t xml:space="preserve">. I presidenti di sezione e gli altri componenti delle corti di giustizia tributaria </w:t>
                              </w:r>
                            </w:p>
                          </w:txbxContent>
                        </wps:txbx>
                        <wps:bodyPr horzOverflow="overflow" vert="horz" lIns="0" tIns="0" rIns="0" bIns="0" rtlCol="0">
                          <a:noAutofit/>
                        </wps:bodyPr>
                      </wps:wsp>
                      <wps:wsp>
                        <wps:cNvPr id="202213" name="Rectangle 202213"/>
                        <wps:cNvSpPr/>
                        <wps:spPr>
                          <a:xfrm rot="-10799999">
                            <a:off x="2610389" y="6119964"/>
                            <a:ext cx="5311803" cy="142890"/>
                          </a:xfrm>
                          <a:prstGeom prst="rect">
                            <a:avLst/>
                          </a:prstGeom>
                          <a:ln>
                            <a:noFill/>
                          </a:ln>
                        </wps:spPr>
                        <wps:txbx>
                          <w:txbxContent>
                            <w:p w14:paraId="36126A4C"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2221" name="Rectangle 22221"/>
                        <wps:cNvSpPr/>
                        <wps:spPr>
                          <a:xfrm rot="-10799999">
                            <a:off x="-1228883" y="5996634"/>
                            <a:ext cx="5220789" cy="142891"/>
                          </a:xfrm>
                          <a:prstGeom prst="rect">
                            <a:avLst/>
                          </a:prstGeom>
                          <a:ln>
                            <a:noFill/>
                          </a:ln>
                        </wps:spPr>
                        <wps:txbx>
                          <w:txbxContent>
                            <w:p w14:paraId="2BDFF0E9" w14:textId="77777777" w:rsidR="00B32EF2" w:rsidRDefault="00000000">
                              <w:r>
                                <w:rPr>
                                  <w:rFonts w:ascii="Arial" w:eastAsia="Arial" w:hAnsi="Arial" w:cs="Arial"/>
                                  <w:sz w:val="18"/>
                                </w:rPr>
                                <w:t>di primo e secondo grado prestano giuramento dinanzi al presidente della cor</w:t>
                              </w:r>
                            </w:p>
                          </w:txbxContent>
                        </wps:txbx>
                        <wps:bodyPr horzOverflow="overflow" vert="horz" lIns="0" tIns="0" rIns="0" bIns="0" rtlCol="0">
                          <a:noAutofit/>
                        </wps:bodyPr>
                      </wps:wsp>
                      <wps:wsp>
                        <wps:cNvPr id="22222" name="Rectangle 22222"/>
                        <wps:cNvSpPr/>
                        <wps:spPr>
                          <a:xfrm rot="-10799999">
                            <a:off x="19307" y="5996635"/>
                            <a:ext cx="50622" cy="142890"/>
                          </a:xfrm>
                          <a:prstGeom prst="rect">
                            <a:avLst/>
                          </a:prstGeom>
                          <a:ln>
                            <a:noFill/>
                          </a:ln>
                        </wps:spPr>
                        <wps:txbx>
                          <w:txbxContent>
                            <w:p w14:paraId="69500DD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223" name="Rectangle 22223"/>
                        <wps:cNvSpPr/>
                        <wps:spPr>
                          <a:xfrm rot="-10799999">
                            <a:off x="1185285" y="5873305"/>
                            <a:ext cx="2806621" cy="142889"/>
                          </a:xfrm>
                          <a:prstGeom prst="rect">
                            <a:avLst/>
                          </a:prstGeom>
                          <a:ln>
                            <a:noFill/>
                          </a:ln>
                        </wps:spPr>
                        <wps:txbx>
                          <w:txbxContent>
                            <w:p w14:paraId="0E0C5D29" w14:textId="77777777" w:rsidR="00B32EF2" w:rsidRDefault="00000000">
                              <w:r>
                                <w:rPr>
                                  <w:rFonts w:ascii="Arial" w:eastAsia="Arial" w:hAnsi="Arial" w:cs="Arial"/>
                                  <w:sz w:val="18"/>
                                </w:rPr>
                                <w:t>te di giustizia tributaria cui sono destinati.</w:t>
                              </w:r>
                            </w:p>
                          </w:txbxContent>
                        </wps:txbx>
                        <wps:bodyPr horzOverflow="overflow" vert="horz" lIns="0" tIns="0" rIns="0" bIns="0" rtlCol="0">
                          <a:noAutofit/>
                        </wps:bodyPr>
                      </wps:wsp>
                      <wps:wsp>
                        <wps:cNvPr id="202211" name="Rectangle 202211"/>
                        <wps:cNvSpPr/>
                        <wps:spPr>
                          <a:xfrm rot="-10799999">
                            <a:off x="2634952" y="5749976"/>
                            <a:ext cx="5212808" cy="142889"/>
                          </a:xfrm>
                          <a:prstGeom prst="rect">
                            <a:avLst/>
                          </a:prstGeom>
                          <a:ln>
                            <a:noFill/>
                          </a:ln>
                        </wps:spPr>
                        <wps:txbx>
                          <w:txbxContent>
                            <w:p w14:paraId="4770160C"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02212" name="Rectangle 202212"/>
                        <wps:cNvSpPr/>
                        <wps:spPr>
                          <a:xfrm rot="-10799999">
                            <a:off x="-1285298" y="5749976"/>
                            <a:ext cx="5212808" cy="142889"/>
                          </a:xfrm>
                          <a:prstGeom prst="rect">
                            <a:avLst/>
                          </a:prstGeom>
                          <a:ln>
                            <a:noFill/>
                          </a:ln>
                        </wps:spPr>
                        <wps:txbx>
                          <w:txbxContent>
                            <w:p w14:paraId="5D5B496C" w14:textId="77777777" w:rsidR="00B32EF2" w:rsidRDefault="00000000">
                              <w:r>
                                <w:rPr>
                                  <w:rFonts w:ascii="Arial" w:eastAsia="Arial" w:hAnsi="Arial" w:cs="Arial"/>
                                  <w:sz w:val="18"/>
                                </w:rPr>
                                <w:t>. I verbali di giuramento sono conservati presso l’ufficio cui appartiene l’orga</w:t>
                              </w:r>
                            </w:p>
                          </w:txbxContent>
                        </wps:txbx>
                        <wps:bodyPr horzOverflow="overflow" vert="horz" lIns="0" tIns="0" rIns="0" bIns="0" rtlCol="0">
                          <a:noAutofit/>
                        </wps:bodyPr>
                      </wps:wsp>
                      <wps:wsp>
                        <wps:cNvPr id="22225" name="Rectangle 22225"/>
                        <wps:cNvSpPr/>
                        <wps:spPr>
                          <a:xfrm rot="-10799999">
                            <a:off x="19307" y="5749975"/>
                            <a:ext cx="50622" cy="142889"/>
                          </a:xfrm>
                          <a:prstGeom prst="rect">
                            <a:avLst/>
                          </a:prstGeom>
                          <a:ln>
                            <a:noFill/>
                          </a:ln>
                        </wps:spPr>
                        <wps:txbx>
                          <w:txbxContent>
                            <w:p w14:paraId="6E7D29C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226" name="Rectangle 22226"/>
                        <wps:cNvSpPr/>
                        <wps:spPr>
                          <a:xfrm rot="-10799999">
                            <a:off x="1206066" y="5626646"/>
                            <a:ext cx="2785840" cy="142889"/>
                          </a:xfrm>
                          <a:prstGeom prst="rect">
                            <a:avLst/>
                          </a:prstGeom>
                          <a:ln>
                            <a:noFill/>
                          </a:ln>
                        </wps:spPr>
                        <wps:txbx>
                          <w:txbxContent>
                            <w:p w14:paraId="41DAFDBC" w14:textId="77777777" w:rsidR="00B32EF2" w:rsidRDefault="00000000">
                              <w:r>
                                <w:rPr>
                                  <w:rFonts w:ascii="Arial" w:eastAsia="Arial" w:hAnsi="Arial" w:cs="Arial"/>
                                  <w:sz w:val="18"/>
                                </w:rPr>
                                <w:t>no dinanzi al quale esso è stato prestato.</w:t>
                              </w:r>
                            </w:p>
                          </w:txbxContent>
                        </wps:txbx>
                        <wps:bodyPr horzOverflow="overflow" vert="horz" lIns="0" tIns="0" rIns="0" bIns="0" rtlCol="0">
                          <a:noAutofit/>
                        </wps:bodyPr>
                      </wps:wsp>
                      <wps:wsp>
                        <wps:cNvPr id="22227" name="Rectangle 22227"/>
                        <wps:cNvSpPr/>
                        <wps:spPr>
                          <a:xfrm rot="-10799999">
                            <a:off x="1512982" y="5379987"/>
                            <a:ext cx="799513" cy="142889"/>
                          </a:xfrm>
                          <a:prstGeom prst="rect">
                            <a:avLst/>
                          </a:prstGeom>
                          <a:ln>
                            <a:noFill/>
                          </a:ln>
                        </wps:spPr>
                        <wps:txbx>
                          <w:txbxContent>
                            <w:p w14:paraId="329FDA05" w14:textId="77777777" w:rsidR="00B32EF2" w:rsidRDefault="00000000">
                              <w:r>
                                <w:rPr>
                                  <w:rFonts w:ascii="Arial" w:eastAsia="Arial" w:hAnsi="Arial" w:cs="Arial"/>
                                  <w:b/>
                                  <w:sz w:val="18"/>
                                </w:rPr>
                                <w:t>Articolo 17</w:t>
                              </w:r>
                            </w:p>
                          </w:txbxContent>
                        </wps:txbx>
                        <wps:bodyPr horzOverflow="overflow" vert="horz" lIns="0" tIns="0" rIns="0" bIns="0" rtlCol="0">
                          <a:noAutofit/>
                        </wps:bodyPr>
                      </wps:wsp>
                      <wps:wsp>
                        <wps:cNvPr id="202206" name="Rectangle 202206"/>
                        <wps:cNvSpPr/>
                        <wps:spPr>
                          <a:xfrm rot="-10799999">
                            <a:off x="2506101" y="5256657"/>
                            <a:ext cx="4164470" cy="142889"/>
                          </a:xfrm>
                          <a:prstGeom prst="rect">
                            <a:avLst/>
                          </a:prstGeom>
                          <a:ln>
                            <a:noFill/>
                          </a:ln>
                        </wps:spPr>
                        <wps:txbx>
                          <w:txbxContent>
                            <w:p w14:paraId="5C076BCC"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207" name="Rectangle 202207"/>
                        <wps:cNvSpPr/>
                        <wps:spPr>
                          <a:xfrm rot="-10799999">
                            <a:off x="-3197639" y="5256656"/>
                            <a:ext cx="4164470" cy="142889"/>
                          </a:xfrm>
                          <a:prstGeom prst="rect">
                            <a:avLst/>
                          </a:prstGeom>
                          <a:ln>
                            <a:noFill/>
                          </a:ln>
                        </wps:spPr>
                        <wps:txbx>
                          <w:txbxContent>
                            <w:p w14:paraId="00AD4FC9" w14:textId="77777777" w:rsidR="00B32EF2" w:rsidRDefault="00000000">
                              <w:r>
                                <w:rPr>
                                  <w:rFonts w:ascii="Arial" w:eastAsia="Arial" w:hAnsi="Arial" w:cs="Arial"/>
                                  <w:i/>
                                  <w:sz w:val="18"/>
                                </w:rPr>
                                <w:t>130/2022)</w:t>
                              </w:r>
                            </w:p>
                          </w:txbxContent>
                        </wps:txbx>
                        <wps:bodyPr horzOverflow="overflow" vert="horz" lIns="0" tIns="0" rIns="0" bIns="0" rtlCol="0">
                          <a:noAutofit/>
                        </wps:bodyPr>
                      </wps:wsp>
                      <wps:wsp>
                        <wps:cNvPr id="202209" name="Rectangle 202209"/>
                        <wps:cNvSpPr/>
                        <wps:spPr>
                          <a:xfrm rot="-10799999">
                            <a:off x="-101618" y="5256657"/>
                            <a:ext cx="4164470" cy="142889"/>
                          </a:xfrm>
                          <a:prstGeom prst="rect">
                            <a:avLst/>
                          </a:prstGeom>
                          <a:ln>
                            <a:noFill/>
                          </a:ln>
                        </wps:spPr>
                        <wps:txbx>
                          <w:txbxContent>
                            <w:p w14:paraId="3F2C62BC" w14:textId="77777777" w:rsidR="00B32EF2" w:rsidRDefault="00000000">
                              <w:r>
                                <w:rPr>
                                  <w:rFonts w:ascii="Arial" w:eastAsia="Arial" w:hAnsi="Arial" w:cs="Arial"/>
                                  <w:i/>
                                  <w:sz w:val="18"/>
                                </w:rPr>
                                <w:t xml:space="preserve">articoli 11 del D.lgs. n. 545/92 e 8, comma 1, L. n. </w:t>
                              </w:r>
                            </w:p>
                          </w:txbxContent>
                        </wps:txbx>
                        <wps:bodyPr horzOverflow="overflow" vert="horz" lIns="0" tIns="0" rIns="0" bIns="0" rtlCol="0">
                          <a:noAutofit/>
                        </wps:bodyPr>
                      </wps:wsp>
                      <wps:wsp>
                        <wps:cNvPr id="22229" name="Rectangle 22229"/>
                        <wps:cNvSpPr/>
                        <wps:spPr>
                          <a:xfrm rot="-10799999">
                            <a:off x="-1180436" y="5133327"/>
                            <a:ext cx="5089931" cy="142889"/>
                          </a:xfrm>
                          <a:prstGeom prst="rect">
                            <a:avLst/>
                          </a:prstGeom>
                          <a:ln>
                            <a:noFill/>
                          </a:ln>
                        </wps:spPr>
                        <wps:txbx>
                          <w:txbxContent>
                            <w:p w14:paraId="0CFD55AF" w14:textId="77777777" w:rsidR="00B32EF2" w:rsidRDefault="00000000">
                              <w:r>
                                <w:rPr>
                                  <w:rFonts w:ascii="Arial" w:eastAsia="Arial" w:hAnsi="Arial" w:cs="Arial"/>
                                  <w:b/>
                                  <w:sz w:val="18"/>
                                </w:rPr>
                                <w:t xml:space="preserve">Durata dell’incarico e assegnazione degli incarichi per trasferimento </w:t>
                              </w:r>
                            </w:p>
                          </w:txbxContent>
                        </wps:txbx>
                        <wps:bodyPr horzOverflow="overflow" vert="horz" lIns="0" tIns="0" rIns="0" bIns="0" rtlCol="0">
                          <a:noAutofit/>
                        </wps:bodyPr>
                      </wps:wsp>
                      <wps:wsp>
                        <wps:cNvPr id="202203" name="Rectangle 202203"/>
                        <wps:cNvSpPr/>
                        <wps:spPr>
                          <a:xfrm rot="-10799999">
                            <a:off x="-1376314" y="5009998"/>
                            <a:ext cx="5309036" cy="142889"/>
                          </a:xfrm>
                          <a:prstGeom prst="rect">
                            <a:avLst/>
                          </a:prstGeom>
                          <a:ln>
                            <a:noFill/>
                          </a:ln>
                        </wps:spPr>
                        <wps:txbx>
                          <w:txbxContent>
                            <w:p w14:paraId="653D5811" w14:textId="77777777" w:rsidR="00B32EF2" w:rsidRDefault="00000000">
                              <w:r>
                                <w:rPr>
                                  <w:rFonts w:ascii="Arial" w:eastAsia="Arial" w:hAnsi="Arial" w:cs="Arial"/>
                                  <w:sz w:val="18"/>
                                </w:rPr>
                                <w:t xml:space="preserve">. La nomina dei giudici tributari presenti nel ruolo unico di cui all’articolo 2, </w:t>
                              </w:r>
                            </w:p>
                          </w:txbxContent>
                        </wps:txbx>
                        <wps:bodyPr horzOverflow="overflow" vert="horz" lIns="0" tIns="0" rIns="0" bIns="0" rtlCol="0">
                          <a:noAutofit/>
                        </wps:bodyPr>
                      </wps:wsp>
                      <wps:wsp>
                        <wps:cNvPr id="202202" name="Rectangle 202202"/>
                        <wps:cNvSpPr/>
                        <wps:spPr>
                          <a:xfrm rot="-10799999">
                            <a:off x="2611075" y="5009998"/>
                            <a:ext cx="5309036" cy="142889"/>
                          </a:xfrm>
                          <a:prstGeom prst="rect">
                            <a:avLst/>
                          </a:prstGeom>
                          <a:ln>
                            <a:noFill/>
                          </a:ln>
                        </wps:spPr>
                        <wps:txbx>
                          <w:txbxContent>
                            <w:p w14:paraId="283C0D81"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2231" name="Rectangle 22231"/>
                        <wps:cNvSpPr/>
                        <wps:spPr>
                          <a:xfrm rot="-10799999">
                            <a:off x="-1317100" y="4886668"/>
                            <a:ext cx="5309006" cy="142889"/>
                          </a:xfrm>
                          <a:prstGeom prst="rect">
                            <a:avLst/>
                          </a:prstGeom>
                          <a:ln>
                            <a:noFill/>
                          </a:ln>
                        </wps:spPr>
                        <wps:txbx>
                          <w:txbxContent>
                            <w:p w14:paraId="5C54B718" w14:textId="77777777" w:rsidR="00B32EF2" w:rsidRDefault="00000000">
                              <w:r>
                                <w:rPr>
                                  <w:rFonts w:ascii="Arial" w:eastAsia="Arial" w:hAnsi="Arial" w:cs="Arial"/>
                                  <w:sz w:val="18"/>
                                </w:rPr>
                                <w:t xml:space="preserve">comma 2, a una delle funzioni dei componenti delle corti di giustizia tributarie </w:t>
                              </w:r>
                            </w:p>
                          </w:txbxContent>
                        </wps:txbx>
                        <wps:bodyPr horzOverflow="overflow" vert="horz" lIns="0" tIns="0" rIns="0" bIns="0" rtlCol="0">
                          <a:noAutofit/>
                        </wps:bodyPr>
                      </wps:wsp>
                      <wps:wsp>
                        <wps:cNvPr id="22232" name="Rectangle 22232"/>
                        <wps:cNvSpPr/>
                        <wps:spPr>
                          <a:xfrm rot="-10799999">
                            <a:off x="-1317130" y="4763338"/>
                            <a:ext cx="5309035" cy="142889"/>
                          </a:xfrm>
                          <a:prstGeom prst="rect">
                            <a:avLst/>
                          </a:prstGeom>
                          <a:ln>
                            <a:noFill/>
                          </a:ln>
                        </wps:spPr>
                        <wps:txbx>
                          <w:txbxContent>
                            <w:p w14:paraId="7885E07E" w14:textId="77777777" w:rsidR="00B32EF2" w:rsidRDefault="00000000">
                              <w:r>
                                <w:rPr>
                                  <w:rFonts w:ascii="Arial" w:eastAsia="Arial" w:hAnsi="Arial" w:cs="Arial"/>
                                  <w:sz w:val="18"/>
                                </w:rPr>
                                <w:t xml:space="preserve">di primo e secondo grado non costituisce in nessun caso rapporto di pubblico </w:t>
                              </w:r>
                            </w:p>
                          </w:txbxContent>
                        </wps:txbx>
                        <wps:bodyPr horzOverflow="overflow" vert="horz" lIns="0" tIns="0" rIns="0" bIns="0" rtlCol="0">
                          <a:noAutofit/>
                        </wps:bodyPr>
                      </wps:wsp>
                      <wps:wsp>
                        <wps:cNvPr id="22233" name="Rectangle 22233"/>
                        <wps:cNvSpPr/>
                        <wps:spPr>
                          <a:xfrm rot="-10799999">
                            <a:off x="3411700" y="4640009"/>
                            <a:ext cx="579177" cy="142889"/>
                          </a:xfrm>
                          <a:prstGeom prst="rect">
                            <a:avLst/>
                          </a:prstGeom>
                          <a:ln>
                            <a:noFill/>
                          </a:ln>
                        </wps:spPr>
                        <wps:txbx>
                          <w:txbxContent>
                            <w:p w14:paraId="45068F78" w14:textId="77777777" w:rsidR="00B32EF2" w:rsidRDefault="00000000">
                              <w:r>
                                <w:rPr>
                                  <w:rFonts w:ascii="Arial" w:eastAsia="Arial" w:hAnsi="Arial" w:cs="Arial"/>
                                  <w:sz w:val="18"/>
                                </w:rPr>
                                <w:t>impiego.</w:t>
                              </w:r>
                            </w:p>
                          </w:txbxContent>
                        </wps:txbx>
                        <wps:bodyPr horzOverflow="overflow" vert="horz" lIns="0" tIns="0" rIns="0" bIns="0" rtlCol="0">
                          <a:noAutofit/>
                        </wps:bodyPr>
                      </wps:wsp>
                      <wps:wsp>
                        <wps:cNvPr id="202198" name="Rectangle 202198"/>
                        <wps:cNvSpPr/>
                        <wps:spPr>
                          <a:xfrm rot="-10799999">
                            <a:off x="2611072" y="4516679"/>
                            <a:ext cx="5309051" cy="142889"/>
                          </a:xfrm>
                          <a:prstGeom prst="rect">
                            <a:avLst/>
                          </a:prstGeom>
                          <a:ln>
                            <a:noFill/>
                          </a:ln>
                        </wps:spPr>
                        <wps:txbx>
                          <w:txbxContent>
                            <w:p w14:paraId="4382BDAD"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2199" name="Rectangle 202199"/>
                        <wps:cNvSpPr/>
                        <wps:spPr>
                          <a:xfrm rot="-10799999">
                            <a:off x="-1381701" y="4516679"/>
                            <a:ext cx="5309051" cy="142889"/>
                          </a:xfrm>
                          <a:prstGeom prst="rect">
                            <a:avLst/>
                          </a:prstGeom>
                          <a:ln>
                            <a:noFill/>
                          </a:ln>
                        </wps:spPr>
                        <wps:txbx>
                          <w:txbxContent>
                            <w:p w14:paraId="4606CB22" w14:textId="77777777" w:rsidR="00B32EF2" w:rsidRDefault="00000000">
                              <w:r>
                                <w:rPr>
                                  <w:rFonts w:ascii="Arial" w:eastAsia="Arial" w:hAnsi="Arial" w:cs="Arial"/>
                                  <w:sz w:val="18"/>
                                </w:rPr>
                                <w:t xml:space="preserve">. I magistrati tributari di cui all’articolo 2, comma 3, e i giudici tributari del ruolo </w:t>
                              </w:r>
                            </w:p>
                          </w:txbxContent>
                        </wps:txbx>
                        <wps:bodyPr horzOverflow="overflow" vert="horz" lIns="0" tIns="0" rIns="0" bIns="0" rtlCol="0">
                          <a:noAutofit/>
                        </wps:bodyPr>
                      </wps:wsp>
                      <wps:wsp>
                        <wps:cNvPr id="22235" name="Rectangle 22235"/>
                        <wps:cNvSpPr/>
                        <wps:spPr>
                          <a:xfrm rot="-10799999">
                            <a:off x="-1317160" y="4393349"/>
                            <a:ext cx="5309066" cy="142889"/>
                          </a:xfrm>
                          <a:prstGeom prst="rect">
                            <a:avLst/>
                          </a:prstGeom>
                          <a:ln>
                            <a:noFill/>
                          </a:ln>
                        </wps:spPr>
                        <wps:txbx>
                          <w:txbxContent>
                            <w:p w14:paraId="0DB9A1FC" w14:textId="77777777" w:rsidR="00B32EF2" w:rsidRDefault="00000000">
                              <w:r>
                                <w:rPr>
                                  <w:rFonts w:ascii="Arial" w:eastAsia="Arial" w:hAnsi="Arial" w:cs="Arial"/>
                                  <w:sz w:val="18"/>
                                </w:rPr>
                                <w:t xml:space="preserve">unico di cui all’articolo 2, comma 2, indipendentemente dalle funzioni svolte, </w:t>
                              </w:r>
                            </w:p>
                          </w:txbxContent>
                        </wps:txbx>
                        <wps:bodyPr horzOverflow="overflow" vert="horz" lIns="0" tIns="0" rIns="0" bIns="0" rtlCol="0">
                          <a:noAutofit/>
                        </wps:bodyPr>
                      </wps:wsp>
                      <wps:wsp>
                        <wps:cNvPr id="22236" name="Rectangle 22236"/>
                        <wps:cNvSpPr/>
                        <wps:spPr>
                          <a:xfrm rot="-10799999">
                            <a:off x="-1317115" y="4270019"/>
                            <a:ext cx="5309021" cy="142889"/>
                          </a:xfrm>
                          <a:prstGeom prst="rect">
                            <a:avLst/>
                          </a:prstGeom>
                          <a:ln>
                            <a:noFill/>
                          </a:ln>
                        </wps:spPr>
                        <wps:txbx>
                          <w:txbxContent>
                            <w:p w14:paraId="6ED11782" w14:textId="77777777" w:rsidR="00B32EF2" w:rsidRDefault="00000000">
                              <w:r>
                                <w:rPr>
                                  <w:rFonts w:ascii="Arial" w:eastAsia="Arial" w:hAnsi="Arial" w:cs="Arial"/>
                                  <w:sz w:val="18"/>
                                </w:rPr>
                                <w:t xml:space="preserve">cessano dall’incarico, in ogni caso, al compimento del settantesimo anno di </w:t>
                              </w:r>
                            </w:p>
                          </w:txbxContent>
                        </wps:txbx>
                        <wps:bodyPr horzOverflow="overflow" vert="horz" lIns="0" tIns="0" rIns="0" bIns="0" rtlCol="0">
                          <a:noAutofit/>
                        </wps:bodyPr>
                      </wps:wsp>
                      <wps:wsp>
                        <wps:cNvPr id="22237" name="Rectangle 22237"/>
                        <wps:cNvSpPr/>
                        <wps:spPr>
                          <a:xfrm rot="-10799999">
                            <a:off x="3735920" y="4146690"/>
                            <a:ext cx="255757" cy="142889"/>
                          </a:xfrm>
                          <a:prstGeom prst="rect">
                            <a:avLst/>
                          </a:prstGeom>
                          <a:ln>
                            <a:noFill/>
                          </a:ln>
                        </wps:spPr>
                        <wps:txbx>
                          <w:txbxContent>
                            <w:p w14:paraId="502FB8D8" w14:textId="77777777" w:rsidR="00B32EF2" w:rsidRDefault="00000000">
                              <w:r>
                                <w:rPr>
                                  <w:rFonts w:ascii="Arial" w:eastAsia="Arial" w:hAnsi="Arial" w:cs="Arial"/>
                                  <w:sz w:val="18"/>
                                </w:rPr>
                                <w:t>età.</w:t>
                              </w:r>
                            </w:p>
                          </w:txbxContent>
                        </wps:txbx>
                        <wps:bodyPr horzOverflow="overflow" vert="horz" lIns="0" tIns="0" rIns="0" bIns="0" rtlCol="0">
                          <a:noAutofit/>
                        </wps:bodyPr>
                      </wps:wsp>
                      <wps:wsp>
                        <wps:cNvPr id="202188" name="Rectangle 202188"/>
                        <wps:cNvSpPr/>
                        <wps:spPr>
                          <a:xfrm rot="-10799999">
                            <a:off x="2611072" y="4023360"/>
                            <a:ext cx="5309051" cy="142889"/>
                          </a:xfrm>
                          <a:prstGeom prst="rect">
                            <a:avLst/>
                          </a:prstGeom>
                          <a:ln>
                            <a:noFill/>
                          </a:ln>
                        </wps:spPr>
                        <wps:txbx>
                          <w:txbxContent>
                            <w:p w14:paraId="2A4D8B0D"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2195" name="Rectangle 202195"/>
                        <wps:cNvSpPr/>
                        <wps:spPr>
                          <a:xfrm rot="-10799999">
                            <a:off x="-1381667" y="4023360"/>
                            <a:ext cx="5309051" cy="142889"/>
                          </a:xfrm>
                          <a:prstGeom prst="rect">
                            <a:avLst/>
                          </a:prstGeom>
                          <a:ln>
                            <a:noFill/>
                          </a:ln>
                        </wps:spPr>
                        <wps:txbx>
                          <w:txbxContent>
                            <w:p w14:paraId="4CDB8A07" w14:textId="77777777" w:rsidR="00B32EF2" w:rsidRDefault="00000000">
                              <w:r>
                                <w:rPr>
                                  <w:rFonts w:ascii="Arial" w:eastAsia="Arial" w:hAnsi="Arial" w:cs="Arial"/>
                                  <w:sz w:val="18"/>
                                </w:rPr>
                                <w:t xml:space="preserve">. I presidenti di sezione, i vicepresidenti e i componenti delle corti di giustizia </w:t>
                              </w:r>
                            </w:p>
                          </w:txbxContent>
                        </wps:txbx>
                        <wps:bodyPr horzOverflow="overflow" vert="horz" lIns="0" tIns="0" rIns="0" bIns="0" rtlCol="0">
                          <a:noAutofit/>
                        </wps:bodyPr>
                      </wps:wsp>
                      <wps:wsp>
                        <wps:cNvPr id="22239" name="Rectangle 22239"/>
                        <wps:cNvSpPr/>
                        <wps:spPr>
                          <a:xfrm rot="-10799999">
                            <a:off x="-1317115" y="3900030"/>
                            <a:ext cx="5309021" cy="142889"/>
                          </a:xfrm>
                          <a:prstGeom prst="rect">
                            <a:avLst/>
                          </a:prstGeom>
                          <a:ln>
                            <a:noFill/>
                          </a:ln>
                        </wps:spPr>
                        <wps:txbx>
                          <w:txbxContent>
                            <w:p w14:paraId="6395DD60" w14:textId="77777777" w:rsidR="00B32EF2" w:rsidRDefault="00000000">
                              <w:r>
                                <w:rPr>
                                  <w:rFonts w:ascii="Arial" w:eastAsia="Arial" w:hAnsi="Arial" w:cs="Arial"/>
                                  <w:sz w:val="18"/>
                                </w:rPr>
                                <w:t xml:space="preserve">tributarie di primo e secondo grado non possono essere assegnati alla stessa </w:t>
                              </w:r>
                            </w:p>
                          </w:txbxContent>
                        </wps:txbx>
                        <wps:bodyPr horzOverflow="overflow" vert="horz" lIns="0" tIns="0" rIns="0" bIns="0" rtlCol="0">
                          <a:noAutofit/>
                        </wps:bodyPr>
                      </wps:wsp>
                      <wps:wsp>
                        <wps:cNvPr id="22240" name="Rectangle 22240"/>
                        <wps:cNvSpPr/>
                        <wps:spPr>
                          <a:xfrm rot="-10799999">
                            <a:off x="-399482" y="3776701"/>
                            <a:ext cx="4391388" cy="142889"/>
                          </a:xfrm>
                          <a:prstGeom prst="rect">
                            <a:avLst/>
                          </a:prstGeom>
                          <a:ln>
                            <a:noFill/>
                          </a:ln>
                        </wps:spPr>
                        <wps:txbx>
                          <w:txbxContent>
                            <w:p w14:paraId="3763C82B" w14:textId="77777777" w:rsidR="00B32EF2" w:rsidRDefault="00000000">
                              <w:r>
                                <w:rPr>
                                  <w:rFonts w:ascii="Arial" w:eastAsia="Arial" w:hAnsi="Arial" w:cs="Arial"/>
                                  <w:sz w:val="18"/>
                                </w:rPr>
                                <w:t>sezione della medesima corte per più di cinque anni consecutivi.</w:t>
                              </w:r>
                            </w:p>
                          </w:txbxContent>
                        </wps:txbx>
                        <wps:bodyPr horzOverflow="overflow" vert="horz" lIns="0" tIns="0" rIns="0" bIns="0" rtlCol="0">
                          <a:noAutofit/>
                        </wps:bodyPr>
                      </wps:wsp>
                      <wps:wsp>
                        <wps:cNvPr id="202184" name="Rectangle 202184"/>
                        <wps:cNvSpPr/>
                        <wps:spPr>
                          <a:xfrm rot="-10799999">
                            <a:off x="2635046" y="3653371"/>
                            <a:ext cx="5212428" cy="142889"/>
                          </a:xfrm>
                          <a:prstGeom prst="rect">
                            <a:avLst/>
                          </a:prstGeom>
                          <a:ln>
                            <a:noFill/>
                          </a:ln>
                        </wps:spPr>
                        <wps:txbx>
                          <w:txbxContent>
                            <w:p w14:paraId="2F56BB20"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2185" name="Rectangle 202185"/>
                        <wps:cNvSpPr/>
                        <wps:spPr>
                          <a:xfrm rot="-10799999">
                            <a:off x="-1283661" y="3653371"/>
                            <a:ext cx="5212427" cy="142889"/>
                          </a:xfrm>
                          <a:prstGeom prst="rect">
                            <a:avLst/>
                          </a:prstGeom>
                          <a:ln>
                            <a:noFill/>
                          </a:ln>
                        </wps:spPr>
                        <wps:txbx>
                          <w:txbxContent>
                            <w:p w14:paraId="4550405F" w14:textId="77777777" w:rsidR="00B32EF2" w:rsidRDefault="00000000">
                              <w:r>
                                <w:rPr>
                                  <w:rFonts w:ascii="Arial" w:eastAsia="Arial" w:hAnsi="Arial" w:cs="Arial"/>
                                  <w:sz w:val="18"/>
                                </w:rPr>
                                <w:t>. I componenti delle corti di giustizia tributaria di primo e secondo grado, in</w:t>
                              </w:r>
                            </w:p>
                          </w:txbxContent>
                        </wps:txbx>
                        <wps:bodyPr horzOverflow="overflow" vert="horz" lIns="0" tIns="0" rIns="0" bIns="0" rtlCol="0">
                          <a:noAutofit/>
                        </wps:bodyPr>
                      </wps:wsp>
                      <wps:wsp>
                        <wps:cNvPr id="22242" name="Rectangle 22242"/>
                        <wps:cNvSpPr/>
                        <wps:spPr>
                          <a:xfrm rot="-10799999">
                            <a:off x="19307" y="3653371"/>
                            <a:ext cx="50622" cy="142889"/>
                          </a:xfrm>
                          <a:prstGeom prst="rect">
                            <a:avLst/>
                          </a:prstGeom>
                          <a:ln>
                            <a:noFill/>
                          </a:ln>
                        </wps:spPr>
                        <wps:txbx>
                          <w:txbxContent>
                            <w:p w14:paraId="636F184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243" name="Rectangle 22243"/>
                        <wps:cNvSpPr/>
                        <wps:spPr>
                          <a:xfrm rot="-10799999">
                            <a:off x="-1317191" y="3530041"/>
                            <a:ext cx="5309097" cy="142889"/>
                          </a:xfrm>
                          <a:prstGeom prst="rect">
                            <a:avLst/>
                          </a:prstGeom>
                          <a:ln>
                            <a:noFill/>
                          </a:ln>
                        </wps:spPr>
                        <wps:txbx>
                          <w:txbxContent>
                            <w:p w14:paraId="5C3068B4" w14:textId="77777777" w:rsidR="00B32EF2" w:rsidRDefault="00000000">
                              <w:r>
                                <w:rPr>
                                  <w:rFonts w:ascii="Arial" w:eastAsia="Arial" w:hAnsi="Arial" w:cs="Arial"/>
                                  <w:sz w:val="18"/>
                                </w:rPr>
                                <w:t xml:space="preserve">dipendentemente dalla funzione o dall’incarico svolti, non possono concorrere </w:t>
                              </w:r>
                            </w:p>
                          </w:txbxContent>
                        </wps:txbx>
                        <wps:bodyPr horzOverflow="overflow" vert="horz" lIns="0" tIns="0" rIns="0" bIns="0" rtlCol="0">
                          <a:noAutofit/>
                        </wps:bodyPr>
                      </wps:wsp>
                      <wps:wsp>
                        <wps:cNvPr id="22244" name="Rectangle 22244"/>
                        <wps:cNvSpPr/>
                        <wps:spPr>
                          <a:xfrm rot="-10799999">
                            <a:off x="-1317130" y="3406712"/>
                            <a:ext cx="5309035" cy="142889"/>
                          </a:xfrm>
                          <a:prstGeom prst="rect">
                            <a:avLst/>
                          </a:prstGeom>
                          <a:ln>
                            <a:noFill/>
                          </a:ln>
                        </wps:spPr>
                        <wps:txbx>
                          <w:txbxContent>
                            <w:p w14:paraId="191BF2EF" w14:textId="77777777" w:rsidR="00B32EF2" w:rsidRDefault="00000000">
                              <w:r>
                                <w:rPr>
                                  <w:rFonts w:ascii="Arial" w:eastAsia="Arial" w:hAnsi="Arial" w:cs="Arial"/>
                                  <w:sz w:val="18"/>
                                </w:rPr>
                                <w:t xml:space="preserve">all’assegnazione di altri incarichi prima di due anni dal giorno in cui sono stati </w:t>
                              </w:r>
                            </w:p>
                          </w:txbxContent>
                        </wps:txbx>
                        <wps:bodyPr horzOverflow="overflow" vert="horz" lIns="0" tIns="0" rIns="0" bIns="0" rtlCol="0">
                          <a:noAutofit/>
                        </wps:bodyPr>
                      </wps:wsp>
                      <wps:wsp>
                        <wps:cNvPr id="22245" name="Rectangle 22245"/>
                        <wps:cNvSpPr/>
                        <wps:spPr>
                          <a:xfrm rot="-10799999">
                            <a:off x="939910" y="3283382"/>
                            <a:ext cx="3051995" cy="142889"/>
                          </a:xfrm>
                          <a:prstGeom prst="rect">
                            <a:avLst/>
                          </a:prstGeom>
                          <a:ln>
                            <a:noFill/>
                          </a:ln>
                        </wps:spPr>
                        <wps:txbx>
                          <w:txbxContent>
                            <w:p w14:paraId="19E4E3DE" w14:textId="77777777" w:rsidR="00B32EF2" w:rsidRDefault="00000000">
                              <w:r>
                                <w:rPr>
                                  <w:rFonts w:ascii="Arial" w:eastAsia="Arial" w:hAnsi="Arial" w:cs="Arial"/>
                                  <w:sz w:val="18"/>
                                </w:rPr>
                                <w:t>immessi nelle funzioni dell’incarico ricoperto.</w:t>
                              </w:r>
                            </w:p>
                          </w:txbxContent>
                        </wps:txbx>
                        <wps:bodyPr horzOverflow="overflow" vert="horz" lIns="0" tIns="0" rIns="0" bIns="0" rtlCol="0">
                          <a:noAutofit/>
                        </wps:bodyPr>
                      </wps:wsp>
                      <wps:wsp>
                        <wps:cNvPr id="202182" name="Rectangle 202182"/>
                        <wps:cNvSpPr/>
                        <wps:spPr>
                          <a:xfrm rot="-10799999">
                            <a:off x="-1283474" y="3160052"/>
                            <a:ext cx="5210984" cy="142889"/>
                          </a:xfrm>
                          <a:prstGeom prst="rect">
                            <a:avLst/>
                          </a:prstGeom>
                          <a:ln>
                            <a:noFill/>
                          </a:ln>
                        </wps:spPr>
                        <wps:txbx>
                          <w:txbxContent>
                            <w:p w14:paraId="7AA872E1" w14:textId="77777777" w:rsidR="00B32EF2" w:rsidRDefault="00000000">
                              <w:r>
                                <w:rPr>
                                  <w:rFonts w:ascii="Arial" w:eastAsia="Arial" w:hAnsi="Arial" w:cs="Arial"/>
                                  <w:sz w:val="18"/>
                                </w:rPr>
                                <w:t>. Ferme restando le modalità indicate nel comma 6, l’assegnazione del me</w:t>
                              </w:r>
                            </w:p>
                          </w:txbxContent>
                        </wps:txbx>
                        <wps:bodyPr horzOverflow="overflow" vert="horz" lIns="0" tIns="0" rIns="0" bIns="0" rtlCol="0">
                          <a:noAutofit/>
                        </wps:bodyPr>
                      </wps:wsp>
                      <wps:wsp>
                        <wps:cNvPr id="202181" name="Rectangle 202181"/>
                        <wps:cNvSpPr/>
                        <wps:spPr>
                          <a:xfrm rot="-10799999">
                            <a:off x="2635404" y="3160052"/>
                            <a:ext cx="5210983" cy="142889"/>
                          </a:xfrm>
                          <a:prstGeom prst="rect">
                            <a:avLst/>
                          </a:prstGeom>
                          <a:ln>
                            <a:noFill/>
                          </a:ln>
                        </wps:spPr>
                        <wps:txbx>
                          <w:txbxContent>
                            <w:p w14:paraId="238DE2FD"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2247" name="Rectangle 22247"/>
                        <wps:cNvSpPr/>
                        <wps:spPr>
                          <a:xfrm rot="-10799999">
                            <a:off x="19307" y="3160052"/>
                            <a:ext cx="50622" cy="142889"/>
                          </a:xfrm>
                          <a:prstGeom prst="rect">
                            <a:avLst/>
                          </a:prstGeom>
                          <a:ln>
                            <a:noFill/>
                          </a:ln>
                        </wps:spPr>
                        <wps:txbx>
                          <w:txbxContent>
                            <w:p w14:paraId="4A8E25C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248" name="Rectangle 22248"/>
                        <wps:cNvSpPr/>
                        <wps:spPr>
                          <a:xfrm rot="-10799999">
                            <a:off x="-1317130" y="3036723"/>
                            <a:ext cx="5309035" cy="142889"/>
                          </a:xfrm>
                          <a:prstGeom prst="rect">
                            <a:avLst/>
                          </a:prstGeom>
                          <a:ln>
                            <a:noFill/>
                          </a:ln>
                        </wps:spPr>
                        <wps:txbx>
                          <w:txbxContent>
                            <w:p w14:paraId="01F605C1" w14:textId="77777777" w:rsidR="00B32EF2" w:rsidRDefault="00000000">
                              <w:r>
                                <w:rPr>
                                  <w:rFonts w:ascii="Arial" w:eastAsia="Arial" w:hAnsi="Arial" w:cs="Arial"/>
                                  <w:sz w:val="18"/>
                                </w:rPr>
                                <w:t xml:space="preserve">desimo incarico o di diverso incarico per trasferimento dei componenti delle </w:t>
                              </w:r>
                            </w:p>
                          </w:txbxContent>
                        </wps:txbx>
                        <wps:bodyPr horzOverflow="overflow" vert="horz" lIns="0" tIns="0" rIns="0" bIns="0" rtlCol="0">
                          <a:noAutofit/>
                        </wps:bodyPr>
                      </wps:wsp>
                      <wps:wsp>
                        <wps:cNvPr id="22249" name="Rectangle 22249"/>
                        <wps:cNvSpPr/>
                        <wps:spPr>
                          <a:xfrm rot="-10799999">
                            <a:off x="-1317160" y="2913393"/>
                            <a:ext cx="5309066" cy="142889"/>
                          </a:xfrm>
                          <a:prstGeom prst="rect">
                            <a:avLst/>
                          </a:prstGeom>
                          <a:ln>
                            <a:noFill/>
                          </a:ln>
                        </wps:spPr>
                        <wps:txbx>
                          <w:txbxContent>
                            <w:p w14:paraId="0EA5B7CD" w14:textId="77777777" w:rsidR="00B32EF2" w:rsidRDefault="00000000">
                              <w:r>
                                <w:rPr>
                                  <w:rFonts w:ascii="Arial" w:eastAsia="Arial" w:hAnsi="Arial" w:cs="Arial"/>
                                  <w:sz w:val="18"/>
                                </w:rPr>
                                <w:t xml:space="preserve">corti di giustizia tributaria di primo e secondo grado in servizio è disposta, </w:t>
                              </w:r>
                            </w:p>
                          </w:txbxContent>
                        </wps:txbx>
                        <wps:bodyPr horzOverflow="overflow" vert="horz" lIns="0" tIns="0" rIns="0" bIns="0" rtlCol="0">
                          <a:noAutofit/>
                        </wps:bodyPr>
                      </wps:wsp>
                      <wps:wsp>
                        <wps:cNvPr id="22250" name="Rectangle 22250"/>
                        <wps:cNvSpPr/>
                        <wps:spPr>
                          <a:xfrm rot="-10799999">
                            <a:off x="-1219099" y="2790063"/>
                            <a:ext cx="5211576" cy="142889"/>
                          </a:xfrm>
                          <a:prstGeom prst="rect">
                            <a:avLst/>
                          </a:prstGeom>
                          <a:ln>
                            <a:noFill/>
                          </a:ln>
                        </wps:spPr>
                        <wps:txbx>
                          <w:txbxContent>
                            <w:p w14:paraId="4B2DDFAD" w14:textId="77777777" w:rsidR="00B32EF2" w:rsidRDefault="00000000">
                              <w:r>
                                <w:rPr>
                                  <w:rFonts w:ascii="Arial" w:eastAsia="Arial" w:hAnsi="Arial" w:cs="Arial"/>
                                  <w:sz w:val="18"/>
                                </w:rPr>
                                <w:t>salvo giudizio di demerito, sulla base dei punteggi stabiliti dalla tabella C alle</w:t>
                              </w:r>
                            </w:p>
                          </w:txbxContent>
                        </wps:txbx>
                        <wps:bodyPr horzOverflow="overflow" vert="horz" lIns="0" tIns="0" rIns="0" bIns="0" rtlCol="0">
                          <a:noAutofit/>
                        </wps:bodyPr>
                      </wps:wsp>
                      <wps:wsp>
                        <wps:cNvPr id="22251" name="Rectangle 22251"/>
                        <wps:cNvSpPr/>
                        <wps:spPr>
                          <a:xfrm rot="-10799999">
                            <a:off x="19307" y="2790063"/>
                            <a:ext cx="50622" cy="142889"/>
                          </a:xfrm>
                          <a:prstGeom prst="rect">
                            <a:avLst/>
                          </a:prstGeom>
                          <a:ln>
                            <a:noFill/>
                          </a:ln>
                        </wps:spPr>
                        <wps:txbx>
                          <w:txbxContent>
                            <w:p w14:paraId="7F7BF44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252" name="Rectangle 22252"/>
                        <wps:cNvSpPr/>
                        <wps:spPr>
                          <a:xfrm rot="-10799999">
                            <a:off x="-1317083" y="2666733"/>
                            <a:ext cx="5308990" cy="142889"/>
                          </a:xfrm>
                          <a:prstGeom prst="rect">
                            <a:avLst/>
                          </a:prstGeom>
                          <a:ln>
                            <a:noFill/>
                          </a:ln>
                        </wps:spPr>
                        <wps:txbx>
                          <w:txbxContent>
                            <w:p w14:paraId="1CC24FC4" w14:textId="77777777" w:rsidR="00B32EF2" w:rsidRDefault="00000000">
                              <w:r>
                                <w:rPr>
                                  <w:rFonts w:ascii="Arial" w:eastAsia="Arial" w:hAnsi="Arial" w:cs="Arial"/>
                                  <w:sz w:val="18"/>
                                </w:rPr>
                                <w:t xml:space="preserve">gata al presente testo unico. Il Consiglio di presidenza, in caso di vacanza nei </w:t>
                              </w:r>
                            </w:p>
                          </w:txbxContent>
                        </wps:txbx>
                        <wps:bodyPr horzOverflow="overflow" vert="horz" lIns="0" tIns="0" rIns="0" bIns="0" rtlCol="0">
                          <a:noAutofit/>
                        </wps:bodyPr>
                      </wps:wsp>
                      <wps:wsp>
                        <wps:cNvPr id="22253" name="Rectangle 22253"/>
                        <wps:cNvSpPr/>
                        <wps:spPr>
                          <a:xfrm rot="-10799999">
                            <a:off x="-1317114" y="2543403"/>
                            <a:ext cx="5309021" cy="142889"/>
                          </a:xfrm>
                          <a:prstGeom prst="rect">
                            <a:avLst/>
                          </a:prstGeom>
                          <a:ln>
                            <a:noFill/>
                          </a:ln>
                        </wps:spPr>
                        <wps:txbx>
                          <w:txbxContent>
                            <w:p w14:paraId="32ED0B26" w14:textId="77777777" w:rsidR="00B32EF2" w:rsidRDefault="00000000">
                              <w:r>
                                <w:rPr>
                                  <w:rFonts w:ascii="Arial" w:eastAsia="Arial" w:hAnsi="Arial" w:cs="Arial"/>
                                  <w:sz w:val="18"/>
                                </w:rPr>
                                <w:t xml:space="preserve">posti di presidente, di presidente di sezione, di vicepresidente e di componente </w:t>
                              </w:r>
                            </w:p>
                          </w:txbxContent>
                        </wps:txbx>
                        <wps:bodyPr horzOverflow="overflow" vert="horz" lIns="0" tIns="0" rIns="0" bIns="0" rtlCol="0">
                          <a:noAutofit/>
                        </wps:bodyPr>
                      </wps:wsp>
                      <wps:wsp>
                        <wps:cNvPr id="22254" name="Rectangle 22254"/>
                        <wps:cNvSpPr/>
                        <wps:spPr>
                          <a:xfrm rot="-10799999">
                            <a:off x="-1317554" y="2420073"/>
                            <a:ext cx="5310146" cy="142889"/>
                          </a:xfrm>
                          <a:prstGeom prst="rect">
                            <a:avLst/>
                          </a:prstGeom>
                          <a:ln>
                            <a:noFill/>
                          </a:ln>
                        </wps:spPr>
                        <wps:txbx>
                          <w:txbxContent>
                            <w:p w14:paraId="642B08D4" w14:textId="77777777" w:rsidR="00B32EF2" w:rsidRDefault="00000000">
                              <w:r>
                                <w:rPr>
                                  <w:rFonts w:ascii="Arial" w:eastAsia="Arial" w:hAnsi="Arial" w:cs="Arial"/>
                                  <w:sz w:val="18"/>
                                </w:rPr>
                                <w:t xml:space="preserve">presso una sede giudiziaria di corte di giustizia tributaria, provvede a bandire, </w:t>
                              </w:r>
                            </w:p>
                          </w:txbxContent>
                        </wps:txbx>
                        <wps:bodyPr horzOverflow="overflow" vert="horz" lIns="0" tIns="0" rIns="0" bIns="0" rtlCol="0">
                          <a:noAutofit/>
                        </wps:bodyPr>
                      </wps:wsp>
                      <wps:wsp>
                        <wps:cNvPr id="22255" name="Rectangle 22255"/>
                        <wps:cNvSpPr/>
                        <wps:spPr>
                          <a:xfrm rot="-10799999">
                            <a:off x="-1317100" y="2296744"/>
                            <a:ext cx="5309006" cy="142889"/>
                          </a:xfrm>
                          <a:prstGeom prst="rect">
                            <a:avLst/>
                          </a:prstGeom>
                          <a:ln>
                            <a:noFill/>
                          </a:ln>
                        </wps:spPr>
                        <wps:txbx>
                          <w:txbxContent>
                            <w:p w14:paraId="7C9C7052" w14:textId="77777777" w:rsidR="00B32EF2" w:rsidRDefault="00000000">
                              <w:r>
                                <w:rPr>
                                  <w:rFonts w:ascii="Arial" w:eastAsia="Arial" w:hAnsi="Arial" w:cs="Arial"/>
                                  <w:sz w:val="18"/>
                                </w:rPr>
                                <w:t xml:space="preserve">almeno una volta l’anno e con priorità rispetto alle procedure concorsuali di </w:t>
                              </w:r>
                            </w:p>
                          </w:txbxContent>
                        </wps:txbx>
                        <wps:bodyPr horzOverflow="overflow" vert="horz" lIns="0" tIns="0" rIns="0" bIns="0" rtlCol="0">
                          <a:noAutofit/>
                        </wps:bodyPr>
                      </wps:wsp>
                      <wps:wsp>
                        <wps:cNvPr id="22256" name="Rectangle 22256"/>
                        <wps:cNvSpPr/>
                        <wps:spPr>
                          <a:xfrm rot="-10799999">
                            <a:off x="-1317130" y="2173414"/>
                            <a:ext cx="5309035" cy="142889"/>
                          </a:xfrm>
                          <a:prstGeom prst="rect">
                            <a:avLst/>
                          </a:prstGeom>
                          <a:ln>
                            <a:noFill/>
                          </a:ln>
                        </wps:spPr>
                        <wps:txbx>
                          <w:txbxContent>
                            <w:p w14:paraId="1B18274D" w14:textId="77777777" w:rsidR="00B32EF2" w:rsidRDefault="00000000">
                              <w:r>
                                <w:rPr>
                                  <w:rFonts w:ascii="Arial" w:eastAsia="Arial" w:hAnsi="Arial" w:cs="Arial"/>
                                  <w:sz w:val="18"/>
                                </w:rPr>
                                <w:t xml:space="preserve">cui all’articolo 5 e a quelle per diverso incarico, interpelli per il trasferimento di </w:t>
                              </w:r>
                            </w:p>
                          </w:txbxContent>
                        </wps:txbx>
                        <wps:bodyPr horzOverflow="overflow" vert="horz" lIns="0" tIns="0" rIns="0" bIns="0" rtlCol="0">
                          <a:noAutofit/>
                        </wps:bodyPr>
                      </wps:wsp>
                      <wps:wsp>
                        <wps:cNvPr id="22257" name="Rectangle 22257"/>
                        <wps:cNvSpPr/>
                        <wps:spPr>
                          <a:xfrm rot="-10799999">
                            <a:off x="-741403" y="2050084"/>
                            <a:ext cx="4733309" cy="142889"/>
                          </a:xfrm>
                          <a:prstGeom prst="rect">
                            <a:avLst/>
                          </a:prstGeom>
                          <a:ln>
                            <a:noFill/>
                          </a:ln>
                        </wps:spPr>
                        <wps:txbx>
                          <w:txbxContent>
                            <w:p w14:paraId="3FAD7619" w14:textId="77777777" w:rsidR="00B32EF2" w:rsidRDefault="00000000">
                              <w:r>
                                <w:rPr>
                                  <w:rFonts w:ascii="Arial" w:eastAsia="Arial" w:hAnsi="Arial" w:cs="Arial"/>
                                  <w:sz w:val="18"/>
                                </w:rPr>
                                <w:t>giudici che ricoprono la medesima funzione o una funzione superiore.</w:t>
                              </w:r>
                            </w:p>
                          </w:txbxContent>
                        </wps:txbx>
                        <wps:bodyPr horzOverflow="overflow" vert="horz" lIns="0" tIns="0" rIns="0" bIns="0" rtlCol="0">
                          <a:noAutofit/>
                        </wps:bodyPr>
                      </wps:wsp>
                      <wps:wsp>
                        <wps:cNvPr id="202177" name="Rectangle 202177"/>
                        <wps:cNvSpPr/>
                        <wps:spPr>
                          <a:xfrm rot="-10799999">
                            <a:off x="2634959" y="1926755"/>
                            <a:ext cx="5212777" cy="142889"/>
                          </a:xfrm>
                          <a:prstGeom prst="rect">
                            <a:avLst/>
                          </a:prstGeom>
                          <a:ln>
                            <a:noFill/>
                          </a:ln>
                        </wps:spPr>
                        <wps:txbx>
                          <w:txbxContent>
                            <w:p w14:paraId="7D5C8CD4"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02178" name="Rectangle 202178"/>
                        <wps:cNvSpPr/>
                        <wps:spPr>
                          <a:xfrm rot="-10799999">
                            <a:off x="-1285176" y="1926755"/>
                            <a:ext cx="5212777" cy="142889"/>
                          </a:xfrm>
                          <a:prstGeom prst="rect">
                            <a:avLst/>
                          </a:prstGeom>
                          <a:ln>
                            <a:noFill/>
                          </a:ln>
                        </wps:spPr>
                        <wps:txbx>
                          <w:txbxContent>
                            <w:p w14:paraId="5526ACE2" w14:textId="77777777" w:rsidR="00B32EF2" w:rsidRDefault="00000000">
                              <w:r>
                                <w:rPr>
                                  <w:rFonts w:ascii="Arial" w:eastAsia="Arial" w:hAnsi="Arial" w:cs="Arial"/>
                                  <w:sz w:val="18"/>
                                </w:rPr>
                                <w:t>. L’assegnazione degli incarichi è disposta nel rispetto delle seguenti moda</w:t>
                              </w:r>
                            </w:p>
                          </w:txbxContent>
                        </wps:txbx>
                        <wps:bodyPr horzOverflow="overflow" vert="horz" lIns="0" tIns="0" rIns="0" bIns="0" rtlCol="0">
                          <a:noAutofit/>
                        </wps:bodyPr>
                      </wps:wsp>
                      <wps:wsp>
                        <wps:cNvPr id="22259" name="Rectangle 22259"/>
                        <wps:cNvSpPr/>
                        <wps:spPr>
                          <a:xfrm rot="-10799999">
                            <a:off x="19307" y="1926755"/>
                            <a:ext cx="50622" cy="142889"/>
                          </a:xfrm>
                          <a:prstGeom prst="rect">
                            <a:avLst/>
                          </a:prstGeom>
                          <a:ln>
                            <a:noFill/>
                          </a:ln>
                        </wps:spPr>
                        <wps:txbx>
                          <w:txbxContent>
                            <w:p w14:paraId="26C0955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260" name="Rectangle 22260"/>
                        <wps:cNvSpPr/>
                        <wps:spPr>
                          <a:xfrm rot="-10799999">
                            <a:off x="3753620" y="1803425"/>
                            <a:ext cx="237028" cy="142889"/>
                          </a:xfrm>
                          <a:prstGeom prst="rect">
                            <a:avLst/>
                          </a:prstGeom>
                          <a:ln>
                            <a:noFill/>
                          </a:ln>
                        </wps:spPr>
                        <wps:txbx>
                          <w:txbxContent>
                            <w:p w14:paraId="704AB8B9" w14:textId="77777777" w:rsidR="00B32EF2" w:rsidRDefault="00000000">
                              <w:r>
                                <w:rPr>
                                  <w:rFonts w:ascii="Arial" w:eastAsia="Arial" w:hAnsi="Arial" w:cs="Arial"/>
                                  <w:sz w:val="18"/>
                                </w:rPr>
                                <w:t>lità:</w:t>
                              </w:r>
                            </w:p>
                          </w:txbxContent>
                        </wps:txbx>
                        <wps:bodyPr horzOverflow="overflow" vert="horz" lIns="0" tIns="0" rIns="0" bIns="0" rtlCol="0">
                          <a:noAutofit/>
                        </wps:bodyPr>
                      </wps:wsp>
                      <wps:wsp>
                        <wps:cNvPr id="22261" name="Rectangle 22261"/>
                        <wps:cNvSpPr/>
                        <wps:spPr>
                          <a:xfrm rot="-10799999">
                            <a:off x="-1220415" y="1680095"/>
                            <a:ext cx="5212321" cy="142889"/>
                          </a:xfrm>
                          <a:prstGeom prst="rect">
                            <a:avLst/>
                          </a:prstGeom>
                          <a:ln>
                            <a:noFill/>
                          </a:ln>
                        </wps:spPr>
                        <wps:txbx>
                          <w:txbxContent>
                            <w:p w14:paraId="20D1DB9D" w14:textId="77777777" w:rsidR="00B32EF2" w:rsidRDefault="00000000">
                              <w:r>
                                <w:rPr>
                                  <w:rFonts w:ascii="Arial" w:eastAsia="Arial" w:hAnsi="Arial" w:cs="Arial"/>
                                  <w:sz w:val="18"/>
                                </w:rPr>
                                <w:t>a) la vacanza nei posti di presidente, di presidente di sezione, di vicepresi</w:t>
                              </w:r>
                            </w:p>
                          </w:txbxContent>
                        </wps:txbx>
                        <wps:bodyPr horzOverflow="overflow" vert="horz" lIns="0" tIns="0" rIns="0" bIns="0" rtlCol="0">
                          <a:noAutofit/>
                        </wps:bodyPr>
                      </wps:wsp>
                      <wps:wsp>
                        <wps:cNvPr id="22262" name="Rectangle 22262"/>
                        <wps:cNvSpPr/>
                        <wps:spPr>
                          <a:xfrm rot="-10799999">
                            <a:off x="19307" y="1680096"/>
                            <a:ext cx="50622" cy="142889"/>
                          </a:xfrm>
                          <a:prstGeom prst="rect">
                            <a:avLst/>
                          </a:prstGeom>
                          <a:ln>
                            <a:noFill/>
                          </a:ln>
                        </wps:spPr>
                        <wps:txbx>
                          <w:txbxContent>
                            <w:p w14:paraId="75783D4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263" name="Rectangle 22263"/>
                        <wps:cNvSpPr/>
                        <wps:spPr>
                          <a:xfrm rot="-10799999">
                            <a:off x="-1218561" y="1556766"/>
                            <a:ext cx="5210467" cy="142889"/>
                          </a:xfrm>
                          <a:prstGeom prst="rect">
                            <a:avLst/>
                          </a:prstGeom>
                          <a:ln>
                            <a:noFill/>
                          </a:ln>
                        </wps:spPr>
                        <wps:txbx>
                          <w:txbxContent>
                            <w:p w14:paraId="03F15FB3" w14:textId="77777777" w:rsidR="00B32EF2" w:rsidRDefault="00000000">
                              <w:r>
                                <w:rPr>
                                  <w:rFonts w:ascii="Arial" w:eastAsia="Arial" w:hAnsi="Arial" w:cs="Arial"/>
                                  <w:sz w:val="18"/>
                                </w:rPr>
                                <w:t>dente delle corti di giustizia tributaria di primo e secondo grado e di compo</w:t>
                              </w:r>
                            </w:p>
                          </w:txbxContent>
                        </wps:txbx>
                        <wps:bodyPr horzOverflow="overflow" vert="horz" lIns="0" tIns="0" rIns="0" bIns="0" rtlCol="0">
                          <a:noAutofit/>
                        </wps:bodyPr>
                      </wps:wsp>
                      <wps:wsp>
                        <wps:cNvPr id="22264" name="Rectangle 22264"/>
                        <wps:cNvSpPr/>
                        <wps:spPr>
                          <a:xfrm rot="-10799999">
                            <a:off x="19307" y="1556766"/>
                            <a:ext cx="50622" cy="142889"/>
                          </a:xfrm>
                          <a:prstGeom prst="rect">
                            <a:avLst/>
                          </a:prstGeom>
                          <a:ln>
                            <a:noFill/>
                          </a:ln>
                        </wps:spPr>
                        <wps:txbx>
                          <w:txbxContent>
                            <w:p w14:paraId="02C44E8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265" name="Rectangle 22265"/>
                        <wps:cNvSpPr/>
                        <wps:spPr>
                          <a:xfrm rot="-10799999">
                            <a:off x="-1317115" y="1433436"/>
                            <a:ext cx="5309021" cy="142889"/>
                          </a:xfrm>
                          <a:prstGeom prst="rect">
                            <a:avLst/>
                          </a:prstGeom>
                          <a:ln>
                            <a:noFill/>
                          </a:ln>
                        </wps:spPr>
                        <wps:txbx>
                          <w:txbxContent>
                            <w:p w14:paraId="10C6FE76" w14:textId="77777777" w:rsidR="00B32EF2" w:rsidRDefault="00000000">
                              <w:r>
                                <w:rPr>
                                  <w:rFonts w:ascii="Arial" w:eastAsia="Arial" w:hAnsi="Arial" w:cs="Arial"/>
                                  <w:sz w:val="18"/>
                                </w:rPr>
                                <w:t xml:space="preserve">nente delle corti di giustizia tributaria è portata dal Consiglio di presidenza a </w:t>
                              </w:r>
                            </w:p>
                          </w:txbxContent>
                        </wps:txbx>
                        <wps:bodyPr horzOverflow="overflow" vert="horz" lIns="0" tIns="0" rIns="0" bIns="0" rtlCol="0">
                          <a:noAutofit/>
                        </wps:bodyPr>
                      </wps:wsp>
                      <wps:wsp>
                        <wps:cNvPr id="22266" name="Rectangle 22266"/>
                        <wps:cNvSpPr/>
                        <wps:spPr>
                          <a:xfrm rot="-10799999">
                            <a:off x="-1317130" y="1310106"/>
                            <a:ext cx="5309036" cy="142889"/>
                          </a:xfrm>
                          <a:prstGeom prst="rect">
                            <a:avLst/>
                          </a:prstGeom>
                          <a:ln>
                            <a:noFill/>
                          </a:ln>
                        </wps:spPr>
                        <wps:txbx>
                          <w:txbxContent>
                            <w:p w14:paraId="116CF2E2" w14:textId="77777777" w:rsidR="00B32EF2" w:rsidRDefault="00000000">
                              <w:r>
                                <w:rPr>
                                  <w:rFonts w:ascii="Arial" w:eastAsia="Arial" w:hAnsi="Arial" w:cs="Arial"/>
                                  <w:sz w:val="18"/>
                                </w:rPr>
                                <w:t xml:space="preserve">conoscenza di tutti i componenti delle corti di giustizia tributaria in servizio, a </w:t>
                              </w:r>
                            </w:p>
                          </w:txbxContent>
                        </wps:txbx>
                        <wps:bodyPr horzOverflow="overflow" vert="horz" lIns="0" tIns="0" rIns="0" bIns="0" rtlCol="0">
                          <a:noAutofit/>
                        </wps:bodyPr>
                      </wps:wsp>
                      <wps:wsp>
                        <wps:cNvPr id="22267" name="Rectangle 22267"/>
                        <wps:cNvSpPr/>
                        <wps:spPr>
                          <a:xfrm rot="-10799999">
                            <a:off x="-1317130" y="1186776"/>
                            <a:ext cx="5309036" cy="142890"/>
                          </a:xfrm>
                          <a:prstGeom prst="rect">
                            <a:avLst/>
                          </a:prstGeom>
                          <a:ln>
                            <a:noFill/>
                          </a:ln>
                        </wps:spPr>
                        <wps:txbx>
                          <w:txbxContent>
                            <w:p w14:paraId="10406902" w14:textId="77777777" w:rsidR="00B32EF2" w:rsidRDefault="00000000">
                              <w:r>
                                <w:rPr>
                                  <w:rFonts w:ascii="Arial" w:eastAsia="Arial" w:hAnsi="Arial" w:cs="Arial"/>
                                  <w:sz w:val="18"/>
                                </w:rPr>
                                <w:t xml:space="preserve">prescindere dalle funzioni svolte, con indicazione del termine entro il quale chi </w:t>
                              </w:r>
                            </w:p>
                          </w:txbxContent>
                        </wps:txbx>
                        <wps:bodyPr horzOverflow="overflow" vert="horz" lIns="0" tIns="0" rIns="0" bIns="0" rtlCol="0">
                          <a:noAutofit/>
                        </wps:bodyPr>
                      </wps:wsp>
                      <wps:wsp>
                        <wps:cNvPr id="22268" name="Rectangle 22268"/>
                        <wps:cNvSpPr/>
                        <wps:spPr>
                          <a:xfrm rot="-10799999">
                            <a:off x="934362" y="1063447"/>
                            <a:ext cx="3057543" cy="142889"/>
                          </a:xfrm>
                          <a:prstGeom prst="rect">
                            <a:avLst/>
                          </a:prstGeom>
                          <a:ln>
                            <a:noFill/>
                          </a:ln>
                        </wps:spPr>
                        <wps:txbx>
                          <w:txbxContent>
                            <w:p w14:paraId="06A26E03" w14:textId="77777777" w:rsidR="00B32EF2" w:rsidRDefault="00000000">
                              <w:r>
                                <w:rPr>
                                  <w:rFonts w:ascii="Arial" w:eastAsia="Arial" w:hAnsi="Arial" w:cs="Arial"/>
                                  <w:sz w:val="18"/>
                                </w:rPr>
                                <w:t>aspira all’incarico deve presentare domanda;</w:t>
                              </w:r>
                            </w:p>
                          </w:txbxContent>
                        </wps:txbx>
                        <wps:bodyPr horzOverflow="overflow" vert="horz" lIns="0" tIns="0" rIns="0" bIns="0" rtlCol="0">
                          <a:noAutofit/>
                        </wps:bodyPr>
                      </wps:wsp>
                      <wps:wsp>
                        <wps:cNvPr id="22269" name="Rectangle 22269"/>
                        <wps:cNvSpPr/>
                        <wps:spPr>
                          <a:xfrm rot="-10799999">
                            <a:off x="-1317130" y="940117"/>
                            <a:ext cx="5309036" cy="142889"/>
                          </a:xfrm>
                          <a:prstGeom prst="rect">
                            <a:avLst/>
                          </a:prstGeom>
                          <a:ln>
                            <a:noFill/>
                          </a:ln>
                        </wps:spPr>
                        <wps:txbx>
                          <w:txbxContent>
                            <w:p w14:paraId="14040718" w14:textId="77777777" w:rsidR="00B32EF2" w:rsidRDefault="00000000">
                              <w:r>
                                <w:rPr>
                                  <w:rFonts w:ascii="Arial" w:eastAsia="Arial" w:hAnsi="Arial" w:cs="Arial"/>
                                  <w:sz w:val="18"/>
                                </w:rPr>
                                <w:t xml:space="preserve">b) alla nomina per ciascuno degli incarichi di cui alla lettera a) si procede sulla </w:t>
                              </w:r>
                            </w:p>
                          </w:txbxContent>
                        </wps:txbx>
                        <wps:bodyPr horzOverflow="overflow" vert="horz" lIns="0" tIns="0" rIns="0" bIns="0" rtlCol="0">
                          <a:noAutofit/>
                        </wps:bodyPr>
                      </wps:wsp>
                      <wps:wsp>
                        <wps:cNvPr id="22270" name="Rectangle 22270"/>
                        <wps:cNvSpPr/>
                        <wps:spPr>
                          <a:xfrm rot="-10799999">
                            <a:off x="-1220233" y="816788"/>
                            <a:ext cx="5212139" cy="142889"/>
                          </a:xfrm>
                          <a:prstGeom prst="rect">
                            <a:avLst/>
                          </a:prstGeom>
                          <a:ln>
                            <a:noFill/>
                          </a:ln>
                        </wps:spPr>
                        <wps:txbx>
                          <w:txbxContent>
                            <w:p w14:paraId="45F55B51" w14:textId="77777777" w:rsidR="00B32EF2" w:rsidRDefault="00000000">
                              <w:r>
                                <w:rPr>
                                  <w:rFonts w:ascii="Arial" w:eastAsia="Arial" w:hAnsi="Arial" w:cs="Arial"/>
                                  <w:sz w:val="18"/>
                                </w:rPr>
                                <w:t>base di elenchi formati relativamente ad ogni corte di giustizia tributaria e com</w:t>
                              </w:r>
                            </w:p>
                          </w:txbxContent>
                        </wps:txbx>
                        <wps:bodyPr horzOverflow="overflow" vert="horz" lIns="0" tIns="0" rIns="0" bIns="0" rtlCol="0">
                          <a:noAutofit/>
                        </wps:bodyPr>
                      </wps:wsp>
                      <wps:wsp>
                        <wps:cNvPr id="22271" name="Rectangle 22271"/>
                        <wps:cNvSpPr/>
                        <wps:spPr>
                          <a:xfrm rot="-10799999">
                            <a:off x="19307" y="816788"/>
                            <a:ext cx="50622" cy="142889"/>
                          </a:xfrm>
                          <a:prstGeom prst="rect">
                            <a:avLst/>
                          </a:prstGeom>
                          <a:ln>
                            <a:noFill/>
                          </a:ln>
                        </wps:spPr>
                        <wps:txbx>
                          <w:txbxContent>
                            <w:p w14:paraId="2021D7A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272" name="Rectangle 22272"/>
                        <wps:cNvSpPr/>
                        <wps:spPr>
                          <a:xfrm rot="-10799999">
                            <a:off x="-1317115" y="693458"/>
                            <a:ext cx="5309021" cy="142889"/>
                          </a:xfrm>
                          <a:prstGeom prst="rect">
                            <a:avLst/>
                          </a:prstGeom>
                          <a:ln>
                            <a:noFill/>
                          </a:ln>
                        </wps:spPr>
                        <wps:txbx>
                          <w:txbxContent>
                            <w:p w14:paraId="3305A337" w14:textId="77777777" w:rsidR="00B32EF2" w:rsidRDefault="00000000">
                              <w:r>
                                <w:rPr>
                                  <w:rFonts w:ascii="Arial" w:eastAsia="Arial" w:hAnsi="Arial" w:cs="Arial"/>
                                  <w:sz w:val="18"/>
                                </w:rPr>
                                <w:t xml:space="preserve">prendenti tutti gli appartenenti alle categorie indicate negli articoli 4, 5 e 10 per </w:t>
                              </w:r>
                            </w:p>
                          </w:txbxContent>
                        </wps:txbx>
                        <wps:bodyPr horzOverflow="overflow" vert="horz" lIns="0" tIns="0" rIns="0" bIns="0" rtlCol="0">
                          <a:noAutofit/>
                        </wps:bodyPr>
                      </wps:wsp>
                      <wps:wsp>
                        <wps:cNvPr id="22273" name="Rectangle 22273"/>
                        <wps:cNvSpPr/>
                        <wps:spPr>
                          <a:xfrm rot="-10799999">
                            <a:off x="-1317130" y="570128"/>
                            <a:ext cx="5309035" cy="142889"/>
                          </a:xfrm>
                          <a:prstGeom prst="rect">
                            <a:avLst/>
                          </a:prstGeom>
                          <a:ln>
                            <a:noFill/>
                          </a:ln>
                        </wps:spPr>
                        <wps:txbx>
                          <w:txbxContent>
                            <w:p w14:paraId="66F8777F" w14:textId="77777777" w:rsidR="00B32EF2" w:rsidRDefault="00000000">
                              <w:r>
                                <w:rPr>
                                  <w:rFonts w:ascii="Arial" w:eastAsia="Arial" w:hAnsi="Arial" w:cs="Arial"/>
                                  <w:sz w:val="18"/>
                                </w:rPr>
                                <w:t xml:space="preserve">il posto da conferire, che hanno comunicato la propria disponibilità all’incarico </w:t>
                              </w:r>
                            </w:p>
                          </w:txbxContent>
                        </wps:txbx>
                        <wps:bodyPr horzOverflow="overflow" vert="horz" lIns="0" tIns="0" rIns="0" bIns="0" rtlCol="0">
                          <a:noAutofit/>
                        </wps:bodyPr>
                      </wps:wsp>
                      <wps:wsp>
                        <wps:cNvPr id="22274" name="Rectangle 22274"/>
                        <wps:cNvSpPr/>
                        <wps:spPr>
                          <a:xfrm rot="-10799999">
                            <a:off x="-1317100" y="446798"/>
                            <a:ext cx="5309006" cy="142889"/>
                          </a:xfrm>
                          <a:prstGeom prst="rect">
                            <a:avLst/>
                          </a:prstGeom>
                          <a:ln>
                            <a:noFill/>
                          </a:ln>
                        </wps:spPr>
                        <wps:txbx>
                          <w:txbxContent>
                            <w:p w14:paraId="4636D0CC" w14:textId="77777777" w:rsidR="00B32EF2" w:rsidRDefault="00000000">
                              <w:r>
                                <w:rPr>
                                  <w:rFonts w:ascii="Arial" w:eastAsia="Arial" w:hAnsi="Arial" w:cs="Arial"/>
                                  <w:sz w:val="18"/>
                                </w:rPr>
                                <w:t xml:space="preserve">e sono in possesso dei requisiti prescritti. Alla comunicazione di disponibilità </w:t>
                              </w:r>
                            </w:p>
                          </w:txbxContent>
                        </wps:txbx>
                        <wps:bodyPr horzOverflow="overflow" vert="horz" lIns="0" tIns="0" rIns="0" bIns="0" rtlCol="0">
                          <a:noAutofit/>
                        </wps:bodyPr>
                      </wps:wsp>
                    </wpg:wgp>
                  </a:graphicData>
                </a:graphic>
              </wp:inline>
            </w:drawing>
          </mc:Choice>
          <mc:Fallback>
            <w:pict>
              <v:group w14:anchorId="48769CCA" id="Group 202215" o:spid="_x0000_s6286" style="width:314.3pt;height:493.15pt;mso-position-horizontal-relative:char;mso-position-vertical-relative:line" coordsize="39919,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ZM0bQoAAAqBAAAOAAAAZHJzL2Uyb0RvYy54bWzkXWuP2zYW/V5g/4Ph7xPzIZKSkUmx2GyD&#10;AkVTtLs/QPHID8C2DNmJJ/31PZeUKVtmWlTCDgfLfph66Iks8fDcx+G99Nvvn3fbyZeqOW7q/eOU&#10;v2HTSbVf1E+b/epx+t///PCQTyfHU7l/Krf1vnqcfq2O0+/f/eO7t+fDvBL1ut4+Vc0EF9kf5+fD&#10;43R9Oh3ms9lxsa525fFNfaj2eHNZN7vyhF+b1eypKc+4+m47E4zp2blung5NvaiOR4y+d29O39nr&#10;L5fV4vRxuTxWp8n2cYp7O9mfjf35iX7O3r0t56umPKw3i/Y2ygF3sSs3e3yov9T78lROPjebu0vt&#10;NoumPtbL05tFvZvVy+VmUdlnwNNw1nuaD039+WCfZTU/rw5+mjC1vXkafNnFz18+NIffDr80mInz&#10;YYW5sL/Rszwvmx39H3c5ebZT9tVPWfV8miwwKIuCF0xNJwu8p4UWucrcpC7WmPm7f7dY//sv/uXs&#10;8sGzm9s5H7BAjt0cHMfNwW/r8lDZqT3OMQe/NJPN0+NUCMGL6WRf7rBUf8XiKferbTVxw3aC7F/7&#10;6TrOj5i5y1xNmhrr64EzU9B/dj20c4c5Yqrg0wlm6UHjQ9qVd5lGbnKp8ck0i0IxnWmaRD8V5fzQ&#10;HE8fqno3oReP0wb3Zq9ffvnpeHJ/evkTup3tnn7u6x822617l0Ywo5c7plen50/P9rEVk4Y+jwY/&#10;1U9fMRvruvn9I3i93Nbnx2ndvpoS1fHx9O50sv1xDxSIVZcXzeXFp8uL5rT9V225527on59P9XJj&#10;77j7tPbOAK+7h/89zgxAZwGg3Xg7FVgXfx/pBy5zZrSDWnNeFLolxAVrJTnPmXRg80zkbjG8INh5&#10;emBjuu9YTWDLy1QMAltozmQO3pLxe51YF5cHTIPYZKoDUNvhcbQWIs9zLCNArUBqLfu0FoIZWgtk&#10;wy2tOU39y9E6sz6ls6r/7zYcmIow1OKy5geRmheSmSucFV2tnHvzzTR9rkfZzvoLomxXVVIoh2w3&#10;sB9nuuGDFYJVh3NupEQQe4OzyJlGpNYhDW6/LJ/9Mk7DdJM7DtluN46pp0U/iNECxrpQIC3ZbpMV&#10;hbHh9RWnBQfcSFUvrH5xrP1iTgfrkPEmrP2yH4T1A5BUogCWrxdsGzkkZcJhZ+/Cb5hwa3IH0/rK&#10;UVtS9ww40uhrR/3ilPYPlwalAacOo2yN7XCUBdPwxI7PUJhabaQz3sLkKkfwG894+wdMBmnExyE+&#10;exVpkOnmisNwt25aQkTL7fU6pDGkkLHHA9o/XxpAwxuzEKfd+KiIDMaZMyeSKaG0Vj2oM66zzMQk&#10;dXoiGWW9d6wmrP2yH0TrB8kRcEunkjmwe+F3fLATU8kIVOARBNtPxTCwwWrN2+j7VRJbpSeThaBG&#10;uDYWaexiZLINzLiUUvRsuGJ5UciICopKTCsjWofEMjc+xl9jVwsmnLbMKKtmDNub1j92sZmSrGC0&#10;GmJJKNB32idMJzj7hoTC/FQMsuHY1cIediuNvk6sE5PLIHaHlFE7PJLW3HCGMBu0zvJcax2iNSUB&#10;0WidnFgmQ6wG1ONIDQsOqGULNYy5lCGoZVvKQxuYL62YqeQUMxny1oDam7dB9ltmnJsLqXXGYMJv&#10;t7aUKbhBsheN04kJZgwFX0iJAukWjY8x4M5VO8ksU1xr04eawjLEwfGw9uJBKmEZSr6+gfXYhEvm&#10;4LUTzV4p2H41pwE2THV4ZwvDY2jtnLVunbUsJPaveyaceE27ItFsuF/MyUCN2b4z4VgB3pkNctYO&#10;au6yrUzAb6MCGWunl1nHLETBOmwXczJQh5RwQO192SCopZGqEC2peaZ1vwpcKGWwERKN06haTgpo&#10;xGX5N+IyjI8x4DdxGUNA7zjUI3XMuEz7dDINUlMMHvLVbnwM1rDgOUXeTkR5nWD7hDINsGGqQzG4&#10;HR4JNUSU1llL9PQwCCq4YI/XUZ11cnoZlf4E4rKuHH6Qs35AZ1vWFqNIYzQlXjdIZ7IA8eE+YkXg&#10;2ucYaZCavHW4Z4vGx9Aa9cGKoeWOVHCplZSmh7VCVSoE0YhY+yQjHay/4a1Rsz8Ga6oPlrrtz/sT&#10;sGOG4T7NSANsAW6FTbiPUQeZ8K4+OIxz3Ppgt9OWUhV4Ft7twPA4QtPGVttbLVGGwLK+9SatrIhJ&#10;6OS0sizkqMHzcX76Zg9TZkwb1yzSC79j7mGiZLVdzMnY7pCfBtTj3HRBB0s4qUzCYUtE4pjXDmi0&#10;62GfBR8dK/p2IWI65pui75CXduPjDDgAzoyrLZNc46SMHtgIv1lBsX80sH0gkgarCdRQwZEbHwM2&#10;pVoZ+0usIzZ5GB+OpIE1TDVCo5CA4tOQsdF3kNNxo2+Ym9T8dGinA+CP2+i4DclQAGxcX37nqV1h&#10;cExP7SORZAgdFr9dDcHgRkwHdVuUICB+oi7hNiizUMcsSnB9/ekEZeigDovfXZPLINsNkQxHlFEd&#10;ExRRYbDRoftQ46wGhemOF5J575QKq2m3OOCmuyaXQVB3IlkY58hu2nunZFAOJVnguc9ABqFsbTdr&#10;j69CD73GgTd3thvdWrAm0XKs5EQyFdZDMTwmw3Juum3VEiqDTnYPdYFMLh7UeXIiGQ5FDdpun4UM&#10;Z7Wia5ObznAerkter4Nv9OPSzmYsVkNGSCzPQhdLEGqfhQyH+tKphdZdbZyWfg01djlidmo5iTap&#10;4DtcEaz8Zv0IqNtOLcEN2nmsmehBHXOXA4FEaqwOa2Tu2JLhKbUBttSyTfaboa/aFbJ0SGeI07B7&#10;GdF+ew+VRgCOuIg64+7yLDc+Ji5zhxC6lJoXQhvX7thhTUVGJmZbXldZkw7WIVGUsPZ550ATjkMI&#10;OckjIPYrBds7qTTARgodVkUxPIbWnX4SxjmufuJOUEspJiN9+s5642hCn3IOIrQ0Suq2dYcO78/c&#10;0ZWd8UZvEItZINr1q6RCZyrhDAHtE85BQEP5FiggQw5Hllvn6J23iVuHNLlpGVU98QYrGajDmmjX&#10;wjQI6ivLbXG2DvEK57iW2/UGJmW5w3Ko23kanmJhKytXbb03V0obbFDC4V8BjeqijNq3YmlkqF1N&#10;LJvGV+IEbbdPNscSOohzZEL7HZxkzHZYCe36lgah3O5vtB46w9EIrgP/itBU7x3TQ7u6iKRsd1gJ&#10;daZ2hO2+OrMK51fhG/L6tpugjnnqYOFNVjKsDsljSLB8PcYIVreiN76bRaPlsuem+1C/9NemuUQg&#10;KVaH1DFAPU4cK8hiI6KnBAt1RTjm+xZolPYbbFtHjMfsyksK6LA0hm+kHCONOU/dcrrIGE6lu0U6&#10;+pmxaApLLPKmI/UDqknXtjTQekM1oWMLidQ4DMM4OeoqJINowulMhmg5lrdZqfhpNCgFkfbJ5iCk&#10;O9EkCHPkFMvbq2RADitjxueag0C+SbE0/LWy7Lmic+QMiwphUjPcYXWs61YagXTrohXOOMEeBia2&#10;h3TEUhP6kpjUkA6LY13H0gikL6cCQ+8MHuAfsX6Md6fWx7be9pvnzyt8Gzm+13XVlIf1ZvG+PJXX&#10;v9vvLJ9Xol7X26eqefcHAAAA//8DAFBLAwQUAAYACAAAACEAGA0GbN0AAAAFAQAADwAAAGRycy9k&#10;b3ducmV2LnhtbEyPQUvDQBCF74L/YRnBm92kxRDTbEop6qkItoL0Ns1Ok9DsbMhuk/Tfu3qpl4HH&#10;e7z3Tb6aTCsG6l1jWUE8i0AQl1Y3XCn42r89pSCcR9bYWiYFV3KwKu7vcsy0HfmThp2vRChhl6GC&#10;2vsuk9KVNRl0M9sRB+9ke4M+yL6SuscxlJtWzqMokQYbDgs1drSpqTzvLkbB+4jjehG/DtvzaXM9&#10;7J8/vrcxKfX4MK2XIDxN/haGX/yADkVgOtoLaydaBeER/3eDl8zTBMRRwUuaLEAWufxPX/wAAAD/&#10;/wMAUEsBAi0AFAAGAAgAAAAhALaDOJL+AAAA4QEAABMAAAAAAAAAAAAAAAAAAAAAAFtDb250ZW50&#10;X1R5cGVzXS54bWxQSwECLQAUAAYACAAAACEAOP0h/9YAAACUAQAACwAAAAAAAAAAAAAAAAAvAQAA&#10;X3JlbHMvLnJlbHNQSwECLQAUAAYACAAAACEA82GTNG0KAAAKgQAADgAAAAAAAAAAAAAAAAAuAgAA&#10;ZHJzL2Uyb0RvYy54bWxQSwECLQAUAAYACAAAACEAGA0GbN0AAAAFAQAADwAAAAAAAAAAAAAAAADH&#10;DAAAZHJzL2Rvd25yZXYueG1sUEsFBgAAAAAEAAQA8wAAANENAAAAAA==&#10;">
                <v:rect id="Rectangle 22219" o:spid="_x0000_s6287" style="position:absolute;left:19005;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X8xgAAAN4AAAAPAAAAZHJzL2Rvd25yZXYueG1sRI9Ba8JA&#10;FITvBf/D8gRvdWMOotFVRBFz6KVqocdH9plEs2+X7GrS/vpuQfA4zMw3zHLdm0Y8qPW1ZQWTcQKC&#10;uLC65lLB+bR/n4HwAVljY5kU/JCH9WrwtsRM244/6XEMpYgQ9hkqqEJwmZS+qMigH1tHHL2LbQ2G&#10;KNtS6ha7CDeNTJNkKg3WHBcqdLStqLgd70bB945dvu9kcfnduo9rPmsO9/OXUqNhv1mACNSHV/jZ&#10;zrWCNE0nc/i/E6+AXP0BAAD//wMAUEsBAi0AFAAGAAgAAAAhANvh9svuAAAAhQEAABMAAAAAAAAA&#10;AAAAAAAAAAAAAFtDb250ZW50X1R5cGVzXS54bWxQSwECLQAUAAYACAAAACEAWvQsW78AAAAVAQAA&#10;CwAAAAAAAAAAAAAAAAAfAQAAX3JlbHMvLnJlbHNQSwECLQAUAAYACAAAACEAfy3l/MYAAADeAAAA&#10;DwAAAAAAAAAAAAAAAAAHAgAAZHJzL2Rvd25yZXYueG1sUEsFBgAAAAADAAMAtwAAAPoCAAAAAA==&#10;" filled="f" stroked="f">
                  <v:textbox inset="0,0,0,0">
                    <w:txbxContent>
                      <w:p w14:paraId="42C843D2" w14:textId="77777777" w:rsidR="00B32EF2" w:rsidRDefault="00000000">
                        <w:r>
                          <w:rPr>
                            <w:rFonts w:ascii="Times New Roman" w:eastAsia="Times New Roman" w:hAnsi="Times New Roman" w:cs="Times New Roman"/>
                          </w:rPr>
                          <w:t>26</w:t>
                        </w:r>
                      </w:p>
                    </w:txbxContent>
                  </v:textbox>
                </v:rect>
                <v:rect id="Rectangle 202214" o:spid="_x0000_s6288" style="position:absolute;left:-13807;top:61199;width:531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ngxwAAAN8AAAAPAAAAZHJzL2Rvd25yZXYueG1sRI9Ba8JA&#10;FITvgv9heYI33RikSHQVUcQcvNRa6PGRfSbR7Nslu5rYX98tFHocZuYbZrXpTSOe1PrasoLZNAFB&#10;XFhdc6ng8nGYLED4gKyxsUwKXuRhsx4OVphp2/E7Pc+hFBHCPkMFVQguk9IXFRn0U+uIo3e1rcEQ&#10;ZVtK3WIX4aaRaZK8SYM1x4UKHe0qKu7nh1HwtWeXHzpZXL937nTLF83xcflUajzqt0sQgfrwH/5r&#10;51pBmqTpbA6/f+IXkOsfAAAA//8DAFBLAQItABQABgAIAAAAIQDb4fbL7gAAAIUBAAATAAAAAAAA&#10;AAAAAAAAAAAAAABbQ29udGVudF9UeXBlc10ueG1sUEsBAi0AFAAGAAgAAAAhAFr0LFu/AAAAFQEA&#10;AAsAAAAAAAAAAAAAAAAAHwEAAF9yZWxzLy5yZWxzUEsBAi0AFAAGAAgAAAAhAJn5ueDHAAAA3wAA&#10;AA8AAAAAAAAAAAAAAAAABwIAAGRycy9kb3ducmV2LnhtbFBLBQYAAAAAAwADALcAAAD7AgAAAAA=&#10;" filled="f" stroked="f">
                  <v:textbox inset="0,0,0,0">
                    <w:txbxContent>
                      <w:p w14:paraId="51002BB5" w14:textId="77777777" w:rsidR="00B32EF2" w:rsidRDefault="00000000">
                        <w:r>
                          <w:rPr>
                            <w:rFonts w:ascii="Arial" w:eastAsia="Arial" w:hAnsi="Arial" w:cs="Arial"/>
                            <w:sz w:val="18"/>
                          </w:rPr>
                          <w:t xml:space="preserve">. I presidenti di sezione e gli altri componenti delle corti di giustizia tributaria </w:t>
                        </w:r>
                      </w:p>
                    </w:txbxContent>
                  </v:textbox>
                </v:rect>
                <v:rect id="Rectangle 202213" o:spid="_x0000_s6289" style="position:absolute;left:26103;top:61199;width:531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CGUxwAAAN8AAAAPAAAAZHJzL2Rvd25yZXYueG1sRI9Ba8JA&#10;FITvgv9heYI33RihSHQVUcQcvNRa6PGRfSbR7Nslu5rYX98tFHocZuYbZrXpTSOe1PrasoLZNAFB&#10;XFhdc6ng8nGYLED4gKyxsUwKXuRhsx4OVphp2/E7Pc+hFBHCPkMFVQguk9IXFRn0U+uIo3e1rcEQ&#10;ZVtK3WIX4aaRaZK8SYM1x4UKHe0qKu7nh1HwtWeXHzpZXL937nTLF83xcflUajzqt0sQgfrwH/5r&#10;51pBmqTpbA6/f+IXkOsfAAAA//8DAFBLAQItABQABgAIAAAAIQDb4fbL7gAAAIUBAAATAAAAAAAA&#10;AAAAAAAAAAAAAABbQ29udGVudF9UeXBlc10ueG1sUEsBAi0AFAAGAAgAAAAhAFr0LFu/AAAAFQEA&#10;AAsAAAAAAAAAAAAAAAAAHwEAAF9yZWxzLy5yZWxzUEsBAi0AFAAGAAgAAAAhABYQIZTHAAAA3wAA&#10;AA8AAAAAAAAAAAAAAAAABwIAAGRycy9kb3ducmV2LnhtbFBLBQYAAAAAAwADALcAAAD7AgAAAAA=&#10;" filled="f" stroked="f">
                  <v:textbox inset="0,0,0,0">
                    <w:txbxContent>
                      <w:p w14:paraId="36126A4C" w14:textId="77777777" w:rsidR="00B32EF2" w:rsidRDefault="00000000">
                        <w:r>
                          <w:rPr>
                            <w:rFonts w:ascii="Arial" w:eastAsia="Arial" w:hAnsi="Arial" w:cs="Arial"/>
                            <w:sz w:val="18"/>
                          </w:rPr>
                          <w:t>4</w:t>
                        </w:r>
                      </w:p>
                    </w:txbxContent>
                  </v:textbox>
                </v:rect>
                <v:rect id="Rectangle 22221" o:spid="_x0000_s6290" style="position:absolute;left:-12288;top:59966;width:522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yNHwgAAAN4AAAAPAAAAZHJzL2Rvd25yZXYueG1sRE/LisIw&#10;FN0P+A/hCu7GVBci1SiiiF24GR/g8tJc22pzE5poq18/GRjw7A7nxZkvO1OLJzW+sqxgNExAEOdW&#10;V1woOB2331MQPiBrrC2Tghd5WC56X3NMtW35h56HUIhYwj5FBWUILpXS5yUZ9EPriKN2tY3BEGlT&#10;SN1gG8tNLcdJMpEGK44LJTpal5TfDw+j4LJhl21bmV/fa7e/ZdN69zidlRr0u9UMRKAufMz/6Uwr&#10;GEeM4O9OvAJy8QsAAP//AwBQSwECLQAUAAYACAAAACEA2+H2y+4AAACFAQAAEwAAAAAAAAAAAAAA&#10;AAAAAAAAW0NvbnRlbnRfVHlwZXNdLnhtbFBLAQItABQABgAIAAAAIQBa9CxbvwAAABUBAAALAAAA&#10;AAAAAAAAAAAAAB8BAABfcmVscy8ucmVsc1BLAQItABQABgAIAAAAIQBPNyNHwgAAAN4AAAAPAAAA&#10;AAAAAAAAAAAAAAcCAABkcnMvZG93bnJldi54bWxQSwUGAAAAAAMAAwC3AAAA9gIAAAAA&#10;" filled="f" stroked="f">
                  <v:textbox inset="0,0,0,0">
                    <w:txbxContent>
                      <w:p w14:paraId="2BDFF0E9" w14:textId="77777777" w:rsidR="00B32EF2" w:rsidRDefault="00000000">
                        <w:r>
                          <w:rPr>
                            <w:rFonts w:ascii="Arial" w:eastAsia="Arial" w:hAnsi="Arial" w:cs="Arial"/>
                            <w:sz w:val="18"/>
                          </w:rPr>
                          <w:t>di primo e secondo grado prestano giuramento dinanzi al presidente della cor</w:t>
                        </w:r>
                      </w:p>
                    </w:txbxContent>
                  </v:textbox>
                </v:rect>
                <v:rect id="Rectangle 22222" o:spid="_x0000_s6291" style="position:absolute;left:193;top:599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0wwgAAAN4AAAAPAAAAZHJzL2Rvd25yZXYueG1sRE/LisIw&#10;FN0L8w/hCrOzqS5EOkYZHGS6cOMLZnlprm21uQlNtB2/3giCZ3c4L8582ZtG3Kj1tWUF4yQFQVxY&#10;XXOp4LBfj2YgfEDW2FgmBf/kYbn4GMwx07bjLd12oRSxhH2GCqoQXCalLyoy6BPriKN2sq3BEGlb&#10;St1iF8tNIydpOpUGa44LFTpaVVRcdlej4O+HXb7uZHG6r9zmnM+a3+vhqNTnsP/+AhGoD2/zK51r&#10;BZMn4HknXgG5eAAAAP//AwBQSwECLQAUAAYACAAAACEA2+H2y+4AAACFAQAAEwAAAAAAAAAAAAAA&#10;AAAAAAAAW0NvbnRlbnRfVHlwZXNdLnhtbFBLAQItABQABgAIAAAAIQBa9CxbvwAAABUBAAALAAAA&#10;AAAAAAAAAAAAAB8BAABfcmVscy8ucmVsc1BLAQItABQABgAIAAAAIQC/5b0wwgAAAN4AAAAPAAAA&#10;AAAAAAAAAAAAAAcCAABkcnMvZG93bnJldi54bWxQSwUGAAAAAAMAAwC3AAAA9gIAAAAA&#10;" filled="f" stroked="f">
                  <v:textbox inset="0,0,0,0">
                    <w:txbxContent>
                      <w:p w14:paraId="69500DD2" w14:textId="77777777" w:rsidR="00B32EF2" w:rsidRDefault="00000000">
                        <w:r>
                          <w:rPr>
                            <w:rFonts w:ascii="Arial" w:eastAsia="Arial" w:hAnsi="Arial" w:cs="Arial"/>
                            <w:sz w:val="18"/>
                          </w:rPr>
                          <w:t>-</w:t>
                        </w:r>
                      </w:p>
                    </w:txbxContent>
                  </v:textbox>
                </v:rect>
                <v:rect id="Rectangle 22223" o:spid="_x0000_s6292" style="position:absolute;left:11852;top:58733;width:2806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RirwwAAAN4AAAAPAAAAZHJzL2Rvd25yZXYueG1sRE9Ni8Iw&#10;FLwv+B/CE7ytqQoi1SiiiD140VXw+GiebXebl9BEW/fXbwRh5zbMF7NYdaYWD2p8ZVnBaJiAIM6t&#10;rrhQcP7afc5A+ICssbZMCp7kYbXsfSww1bblIz1OoRCxhH2KCsoQXCqlz0sy6IfWEUftZhuDIdKm&#10;kLrBNpabWo6TZCoNVhwXSnS0KSn/Od2NguuWXbZrZX773bjDdzar9/fzRalBv1vPQQTqwr/5nc60&#10;gnHEBF534hWQyz8AAAD//wMAUEsBAi0AFAAGAAgAAAAhANvh9svuAAAAhQEAABMAAAAAAAAAAAAA&#10;AAAAAAAAAFtDb250ZW50X1R5cGVzXS54bWxQSwECLQAUAAYACAAAACEAWvQsW78AAAAVAQAACwAA&#10;AAAAAAAAAAAAAAAfAQAAX3JlbHMvLnJlbHNQSwECLQAUAAYACAAAACEA0KkYq8MAAADeAAAADwAA&#10;AAAAAAAAAAAAAAAHAgAAZHJzL2Rvd25yZXYueG1sUEsFBgAAAAADAAMAtwAAAPcCAAAAAA==&#10;" filled="f" stroked="f">
                  <v:textbox inset="0,0,0,0">
                    <w:txbxContent>
                      <w:p w14:paraId="0E0C5D29" w14:textId="77777777" w:rsidR="00B32EF2" w:rsidRDefault="00000000">
                        <w:r>
                          <w:rPr>
                            <w:rFonts w:ascii="Arial" w:eastAsia="Arial" w:hAnsi="Arial" w:cs="Arial"/>
                            <w:sz w:val="18"/>
                          </w:rPr>
                          <w:t>te di giustizia tributaria cui sono destinati.</w:t>
                        </w:r>
                      </w:p>
                    </w:txbxContent>
                  </v:textbox>
                </v:rect>
                <v:rect id="Rectangle 202211" o:spid="_x0000_s6293" style="position:absolute;left:26349;top:57499;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hp4xwAAAN8AAAAPAAAAZHJzL2Rvd25yZXYueG1sRI9Pi8Iw&#10;FMTvC36H8ARva9oeRKpRRBF78LL+AY+P5tl2t3kJTbTd/fSbhQWPw8z8hlmuB9OKJ3W+sawgnSYg&#10;iEurG64UXM779zkIH5A1tpZJwTd5WK9Gb0vMte35g56nUIkIYZ+jgjoEl0vpy5oM+ql1xNG7285g&#10;iLKrpO6wj3DTyixJZtJgw3GhRkfbmsqv08MouO3YFftelvefrTt+FvP28LhclZqMh80CRKAhvML/&#10;7UIryJIsS1P4+xO/gFz9AgAA//8DAFBLAQItABQABgAIAAAAIQDb4fbL7gAAAIUBAAATAAAAAAAA&#10;AAAAAAAAAAAAAABbQ29udGVudF9UeXBlc10ueG1sUEsBAi0AFAAGAAgAAAAhAFr0LFu/AAAAFQEA&#10;AAsAAAAAAAAAAAAAAAAAHwEAAF9yZWxzLy5yZWxzUEsBAi0AFAAGAAgAAAAhAImOGnjHAAAA3wAA&#10;AA8AAAAAAAAAAAAAAAAABwIAAGRycy9kb3ducmV2LnhtbFBLBQYAAAAAAwADALcAAAD7AgAAAAA=&#10;" filled="f" stroked="f">
                  <v:textbox inset="0,0,0,0">
                    <w:txbxContent>
                      <w:p w14:paraId="4770160C" w14:textId="77777777" w:rsidR="00B32EF2" w:rsidRDefault="00000000">
                        <w:r>
                          <w:rPr>
                            <w:rFonts w:ascii="Arial" w:eastAsia="Arial" w:hAnsi="Arial" w:cs="Arial"/>
                            <w:sz w:val="18"/>
                          </w:rPr>
                          <w:t>5</w:t>
                        </w:r>
                      </w:p>
                    </w:txbxContent>
                  </v:textbox>
                </v:rect>
                <v:rect id="Rectangle 202212" o:spid="_x0000_s6294" style="position:absolute;left:-12852;top:57499;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IQPxwAAAN8AAAAPAAAAZHJzL2Rvd25yZXYueG1sRI9BawIx&#10;FITvgv8hPKE3zZpDka1RikW6h160Cj0+Ns/d1c1L2ER39debQqHHYWa+YZbrwbbiRl1oHGuYzzIQ&#10;xKUzDVcaDt/b6QJEiMgGW8ek4U4B1qvxaIm5cT3v6LaPlUgQDjlqqGP0uZShrMlimDlPnLyT6yzG&#10;JLtKmg77BLetVFn2Ki02nBZq9LSpqbzsr1bDzwf7YtvL8vTY+K9zsWg/r4ej1i+T4f0NRKQh/of/&#10;2oXRoDKl5gp+/6QvIFdPAAAA//8DAFBLAQItABQABgAIAAAAIQDb4fbL7gAAAIUBAAATAAAAAAAA&#10;AAAAAAAAAAAAAABbQ29udGVudF9UeXBlc10ueG1sUEsBAi0AFAAGAAgAAAAhAFr0LFu/AAAAFQEA&#10;AAsAAAAAAAAAAAAAAAAAHwEAAF9yZWxzLy5yZWxzUEsBAi0AFAAGAAgAAAAhAHlchA/HAAAA3wAA&#10;AA8AAAAAAAAAAAAAAAAABwIAAGRycy9kb3ducmV2LnhtbFBLBQYAAAAAAwADALcAAAD7AgAAAAA=&#10;" filled="f" stroked="f">
                  <v:textbox inset="0,0,0,0">
                    <w:txbxContent>
                      <w:p w14:paraId="5D5B496C" w14:textId="77777777" w:rsidR="00B32EF2" w:rsidRDefault="00000000">
                        <w:r>
                          <w:rPr>
                            <w:rFonts w:ascii="Arial" w:eastAsia="Arial" w:hAnsi="Arial" w:cs="Arial"/>
                            <w:sz w:val="18"/>
                          </w:rPr>
                          <w:t>. I verbali di giuramento sono conservati presso l’ufficio cui appartiene l’orga</w:t>
                        </w:r>
                      </w:p>
                    </w:txbxContent>
                  </v:textbox>
                </v:rect>
                <v:rect id="Rectangle 22225" o:spid="_x0000_s6295" style="position:absolute;left:193;top:574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CVEwwAAAN4AAAAPAAAAZHJzL2Rvd25yZXYueG1sRE9Ni8Iw&#10;FLwv+B/CE7ytqYIi1SiiiD140VXw+GiebXebl9BEW/fXbwRh5zbMF7NYdaYWD2p8ZVnBaJiAIM6t&#10;rrhQcP7afc5A+ICssbZMCp7kYbXsfSww1bblIz1OoRCxhH2KCsoQXCqlz0sy6IfWEUftZhuDIdKm&#10;kLrBNpabWo6TZCoNVhwXSnS0KSn/Od2NguuWXbZrZX773bjDdzar9/fzRalBv1vPQQTqwr/5nc60&#10;gnHEBF534hWQyz8AAAD//wMAUEsBAi0AFAAGAAgAAAAhANvh9svuAAAAhQEAABMAAAAAAAAAAAAA&#10;AAAAAAAAAFtDb250ZW50X1R5cGVzXS54bWxQSwECLQAUAAYACAAAACEAWvQsW78AAAAVAQAACwAA&#10;AAAAAAAAAAAAAAAfAQAAX3JlbHMvLnJlbHNQSwECLQAUAAYACAAAACEAMAwlRMMAAADeAAAADwAA&#10;AAAAAAAAAAAAAAAHAgAAZHJzL2Rvd25yZXYueG1sUEsFBgAAAAADAAMAtwAAAPcCAAAAAA==&#10;" filled="f" stroked="f">
                  <v:textbox inset="0,0,0,0">
                    <w:txbxContent>
                      <w:p w14:paraId="6E7D29CF" w14:textId="77777777" w:rsidR="00B32EF2" w:rsidRDefault="00000000">
                        <w:r>
                          <w:rPr>
                            <w:rFonts w:ascii="Arial" w:eastAsia="Arial" w:hAnsi="Arial" w:cs="Arial"/>
                            <w:sz w:val="18"/>
                          </w:rPr>
                          <w:t>-</w:t>
                        </w:r>
                      </w:p>
                    </w:txbxContent>
                  </v:textbox>
                </v:rect>
                <v:rect id="Rectangle 22226" o:spid="_x0000_s6296" style="position:absolute;left:12060;top:56266;width:278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rszxAAAAN4AAAAPAAAAZHJzL2Rvd25yZXYueG1sRE9Na8JA&#10;FLwX+h+WJ/RWN+YgIbpKsUhz6KWpgsdH9pmkzb5dshsT/fVdQejchvli1tvJdOJCvW8tK1jMExDE&#10;ldUt1woO3/vXDIQPyBo7y6TgSh62m+enNebajvxFlzLUIpawz1FBE4LLpfRVQwb93DriqJ1tbzBE&#10;2tdS9zjGctPJNEmW0mDLcaFBR7uGqt9yMApO7+yK/Sir823nPn+KrPsYDkelXmbT2wpEoCn8mx/p&#10;QitII5ZwvxOvgNz8AQAA//8DAFBLAQItABQABgAIAAAAIQDb4fbL7gAAAIUBAAATAAAAAAAAAAAA&#10;AAAAAAAAAABbQ29udGVudF9UeXBlc10ueG1sUEsBAi0AFAAGAAgAAAAhAFr0LFu/AAAAFQEAAAsA&#10;AAAAAAAAAAAAAAAAHwEAAF9yZWxzLy5yZWxzUEsBAi0AFAAGAAgAAAAhAMDeuzPEAAAA3gAAAA8A&#10;AAAAAAAAAAAAAAAABwIAAGRycy9kb3ducmV2LnhtbFBLBQYAAAAAAwADALcAAAD4AgAAAAA=&#10;" filled="f" stroked="f">
                  <v:textbox inset="0,0,0,0">
                    <w:txbxContent>
                      <w:p w14:paraId="41DAFDBC" w14:textId="77777777" w:rsidR="00B32EF2" w:rsidRDefault="00000000">
                        <w:r>
                          <w:rPr>
                            <w:rFonts w:ascii="Arial" w:eastAsia="Arial" w:hAnsi="Arial" w:cs="Arial"/>
                            <w:sz w:val="18"/>
                          </w:rPr>
                          <w:t>no dinanzi al quale esso è stato prestato.</w:t>
                        </w:r>
                      </w:p>
                    </w:txbxContent>
                  </v:textbox>
                </v:rect>
                <v:rect id="Rectangle 22227" o:spid="_x0000_s6297" style="position:absolute;left:15129;top:53799;width:79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h6owwAAAN4AAAAPAAAAZHJzL2Rvd25yZXYueG1sRE9Ni8Iw&#10;FLwv+B/CE7ytqR5UqlFEEXvwoqvg8dE82+42L6GJtu6v3wjCzm2YL2ax6kwtHtT4yrKC0TABQZxb&#10;XXGh4Py1+5yB8AFZY22ZFDzJw2rZ+1hgqm3LR3qcQiFiCfsUFZQhuFRKn5dk0A+tI47azTYGQ6RN&#10;IXWDbSw3tRwnyUQarDgulOhoU1L+c7obBdctu2zXyvz2u3GH72xW7+/ni1KDfreegwjUhX/zO51p&#10;BeOIKbzuxCsgl38AAAD//wMAUEsBAi0AFAAGAAgAAAAhANvh9svuAAAAhQEAABMAAAAAAAAAAAAA&#10;AAAAAAAAAFtDb250ZW50X1R5cGVzXS54bWxQSwECLQAUAAYACAAAACEAWvQsW78AAAAVAQAACwAA&#10;AAAAAAAAAAAAAAAfAQAAX3JlbHMvLnJlbHNQSwECLQAUAAYACAAAACEAr5IeqMMAAADeAAAADwAA&#10;AAAAAAAAAAAAAAAHAgAAZHJzL2Rvd25yZXYueG1sUEsFBgAAAAADAAMAtwAAAPcCAAAAAA==&#10;" filled="f" stroked="f">
                  <v:textbox inset="0,0,0,0">
                    <w:txbxContent>
                      <w:p w14:paraId="329FDA05" w14:textId="77777777" w:rsidR="00B32EF2" w:rsidRDefault="00000000">
                        <w:r>
                          <w:rPr>
                            <w:rFonts w:ascii="Arial" w:eastAsia="Arial" w:hAnsi="Arial" w:cs="Arial"/>
                            <w:b/>
                            <w:sz w:val="18"/>
                          </w:rPr>
                          <w:t>Articolo 17</w:t>
                        </w:r>
                      </w:p>
                    </w:txbxContent>
                  </v:textbox>
                </v:rect>
                <v:rect id="Rectangle 202206" o:spid="_x0000_s6298" style="position:absolute;left:25061;top:52566;width:416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hTRxwAAAN8AAAAPAAAAZHJzL2Rvd25yZXYueG1sRI9BawIx&#10;FITvhf6H8AreatI9iGyNIop0D15qFXp8bJ67q5uXsInu6q9vBKHHYWa+YWaLwbbiSl1oHGv4GCsQ&#10;xKUzDVca9j+b9ymIEJENto5Jw40CLOavLzPMjev5m667WIkE4ZCjhjpGn0sZyposhrHzxMk7us5i&#10;TLKrpOmwT3DbykypibTYcFqo0dOqpvK8u1gNv2v2xaaX5fG+8ttTMW2/LvuD1qO3YfkJItIQ/8PP&#10;dmE0ZCrL1AQef9IXkPM/AAAA//8DAFBLAQItABQABgAIAAAAIQDb4fbL7gAAAIUBAAATAAAAAAAA&#10;AAAAAAAAAAAAAABbQ29udGVudF9UeXBlc10ueG1sUEsBAi0AFAAGAAgAAAAhAFr0LFu/AAAAFQEA&#10;AAsAAAAAAAAAAAAAAAAAHwEAAF9yZWxzLy5yZWxzUEsBAi0AFAAGAAgAAAAhAIO+FNHHAAAA3wAA&#10;AA8AAAAAAAAAAAAAAAAABwIAAGRycy9kb3ducmV2LnhtbFBLBQYAAAAAAwADALcAAAD7AgAAAAA=&#10;" filled="f" stroked="f">
                  <v:textbox inset="0,0,0,0">
                    <w:txbxContent>
                      <w:p w14:paraId="5C076BCC" w14:textId="77777777" w:rsidR="00B32EF2" w:rsidRDefault="00000000">
                        <w:r>
                          <w:rPr>
                            <w:rFonts w:ascii="Arial" w:eastAsia="Arial" w:hAnsi="Arial" w:cs="Arial"/>
                            <w:i/>
                            <w:sz w:val="18"/>
                          </w:rPr>
                          <w:t>(</w:t>
                        </w:r>
                      </w:p>
                    </w:txbxContent>
                  </v:textbox>
                </v:rect>
                <v:rect id="Rectangle 202207" o:spid="_x0000_s6299" style="position:absolute;left:-31976;top:52566;width:416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rFKyAAAAN8AAAAPAAAAZHJzL2Rvd25yZXYueG1sRI9Ba8JA&#10;FITvQv/D8gq96W5zqJK6SrFIc/CijdDjI/tM0mbfLtnVRH+9Wyj0OMzMN8xyPdpOXKgPrWMNzzMF&#10;grhypuVaQ/m5nS5AhIhssHNMGq4UYL16mCwxN27gPV0OsRYJwiFHDU2MPpcyVA1ZDDPniZN3cr3F&#10;mGRfS9PjkOC2k5lSL9Jiy2mhQU+bhqqfw9lq+HpnX2wHWZ1uG7/7Lhbdx7k8av30OL69gog0xv/w&#10;X7swGjKVZWoOv3/SF5CrOwAAAP//AwBQSwECLQAUAAYACAAAACEA2+H2y+4AAACFAQAAEwAAAAAA&#10;AAAAAAAAAAAAAAAAW0NvbnRlbnRfVHlwZXNdLnhtbFBLAQItABQABgAIAAAAIQBa9CxbvwAAABUB&#10;AAALAAAAAAAAAAAAAAAAAB8BAABfcmVscy8ucmVsc1BLAQItABQABgAIAAAAIQDs8rFKyAAAAN8A&#10;AAAPAAAAAAAAAAAAAAAAAAcCAABkcnMvZG93bnJldi54bWxQSwUGAAAAAAMAAwC3AAAA/AIAAAAA&#10;" filled="f" stroked="f">
                  <v:textbox inset="0,0,0,0">
                    <w:txbxContent>
                      <w:p w14:paraId="00AD4FC9" w14:textId="77777777" w:rsidR="00B32EF2" w:rsidRDefault="00000000">
                        <w:r>
                          <w:rPr>
                            <w:rFonts w:ascii="Arial" w:eastAsia="Arial" w:hAnsi="Arial" w:cs="Arial"/>
                            <w:i/>
                            <w:sz w:val="18"/>
                          </w:rPr>
                          <w:t>130/2022)</w:t>
                        </w:r>
                      </w:p>
                    </w:txbxContent>
                  </v:textbox>
                </v:rect>
                <v:rect id="Rectangle 202209" o:spid="_x0000_s6300" style="position:absolute;left:-1016;top:52566;width:416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YCjyAAAAN8AAAAPAAAAZHJzL2Rvd25yZXYueG1sRI9Ba8JA&#10;FITvQv/D8gq96W5zKJq6SrFIc+ilGqHHR/aZRLNvl+xqUn+9Wyj0OMzMN8xyPdpOXKkPrWMNzzMF&#10;grhypuVaQ7nfTucgQkQ22DkmDT8UYL16mCwxN27gL7ruYi0ShEOOGpoYfS5lqBqyGGbOEyfv6HqL&#10;Mcm+lqbHIcFtJzOlXqTFltNCg542DVXn3cVq+H5nX2wHWR1vG/95Kubdx6U8aP30OL69gog0xv/w&#10;X7swGjKVZWoBv3/SF5CrOwAAAP//AwBQSwECLQAUAAYACAAAACEA2+H2y+4AAACFAQAAEwAAAAAA&#10;AAAAAAAAAAAAAAAAW0NvbnRlbnRfVHlwZXNdLnhtbFBLAQItABQABgAIAAAAIQBa9CxbvwAAABUB&#10;AAALAAAAAAAAAAAAAAAAAB8BAABfcmVscy8ucmVsc1BLAQItABQABgAIAAAAIQDyIYCjyAAAAN8A&#10;AAAPAAAAAAAAAAAAAAAAAAcCAABkcnMvZG93bnJldi54bWxQSwUGAAAAAAMAAwC3AAAA/AIAAAAA&#10;" filled="f" stroked="f">
                  <v:textbox inset="0,0,0,0">
                    <w:txbxContent>
                      <w:p w14:paraId="3F2C62BC" w14:textId="77777777" w:rsidR="00B32EF2" w:rsidRDefault="00000000">
                        <w:r>
                          <w:rPr>
                            <w:rFonts w:ascii="Arial" w:eastAsia="Arial" w:hAnsi="Arial" w:cs="Arial"/>
                            <w:i/>
                            <w:sz w:val="18"/>
                          </w:rPr>
                          <w:t xml:space="preserve">articoli 11 del D.lgs. n. 545/92 e 8, comma 1, L. n. </w:t>
                        </w:r>
                      </w:p>
                    </w:txbxContent>
                  </v:textbox>
                </v:rect>
                <v:rect id="Rectangle 22229" o:spid="_x0000_s6301" style="position:absolute;left:-11804;top:51333;width:508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S9BwwAAAN4AAAAPAAAAZHJzL2Rvd25yZXYueG1sRE/LisIw&#10;FN0P+A/hCu7GVBeiHaOIInbhxhfM8tJc2840N6GJts7XTwTBszucF2e+7Ewt7tT4yrKC0TABQZxb&#10;XXGh4Hzafk5B+ICssbZMCh7kYbnofcwx1bblA92PoRCxhH2KCsoQXCqlz0sy6IfWEUftahuDIdKm&#10;kLrBNpabWo6TZCINVhwXSnS0Lin/Pd6Mgu8Nu2zbyvz6t3b7n2xa727ni1KDfrf6AhGoC2/zK51p&#10;BeOIGTzvxCsgF/8AAAD//wMAUEsBAi0AFAAGAAgAAAAhANvh9svuAAAAhQEAABMAAAAAAAAAAAAA&#10;AAAAAAAAAFtDb250ZW50X1R5cGVzXS54bWxQSwECLQAUAAYACAAAACEAWvQsW78AAAAVAQAACwAA&#10;AAAAAAAAAAAAAAAfAQAAX3JlbHMvLnJlbHNQSwECLQAUAAYACAAAACEAsUEvQcMAAADeAAAADwAA&#10;AAAAAAAAAAAAAAAHAgAAZHJzL2Rvd25yZXYueG1sUEsFBgAAAAADAAMAtwAAAPcCAAAAAA==&#10;" filled="f" stroked="f">
                  <v:textbox inset="0,0,0,0">
                    <w:txbxContent>
                      <w:p w14:paraId="0CFD55AF" w14:textId="77777777" w:rsidR="00B32EF2" w:rsidRDefault="00000000">
                        <w:r>
                          <w:rPr>
                            <w:rFonts w:ascii="Arial" w:eastAsia="Arial" w:hAnsi="Arial" w:cs="Arial"/>
                            <w:b/>
                            <w:sz w:val="18"/>
                          </w:rPr>
                          <w:t xml:space="preserve">Durata dell’incarico e assegnazione degli incarichi per trasferimento </w:t>
                        </w:r>
                      </w:p>
                    </w:txbxContent>
                  </v:textbox>
                </v:rect>
                <v:rect id="Rectangle 202203" o:spid="_x0000_s6302" style="position:absolute;left:-13763;top:500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bdJxwAAAN8AAAAPAAAAZHJzL2Rvd25yZXYueG1sRI9Ba8JA&#10;FITvQv/D8gq96W5TEEldpVikOXjRRujxkX0mabNvl+xqor/eLRR6HGbmG2a5Hm0nLtSH1rGG55kC&#10;QVw503KtofzcThcgQkQ22DkmDVcKsF49TJaYGzfwni6HWIsE4ZCjhiZGn0sZqoYshpnzxMk7ud5i&#10;TLKvpelxSHDbyUypubTYclpo0NOmoerncLYavt7ZF9tBVqfbxu++i0X3cS6PWj89jm+vICKN8T/8&#10;1y6MhkxlmXqB3z/pC8jVHQAA//8DAFBLAQItABQABgAIAAAAIQDb4fbL7gAAAIUBAAATAAAAAAAA&#10;AAAAAAAAAAAAAABbQ29udGVudF9UeXBlc10ueG1sUEsBAi0AFAAGAAgAAAAhAFr0LFu/AAAAFQEA&#10;AAsAAAAAAAAAAAAAAAAAHwEAAF9yZWxzLy5yZWxzUEsBAi0AFAAGAAgAAAAhAJPJt0nHAAAA3wAA&#10;AA8AAAAAAAAAAAAAAAAABwIAAGRycy9kb3ducmV2LnhtbFBLBQYAAAAAAwADALcAAAD7AgAAAAA=&#10;" filled="f" stroked="f">
                  <v:textbox inset="0,0,0,0">
                    <w:txbxContent>
                      <w:p w14:paraId="653D5811" w14:textId="77777777" w:rsidR="00B32EF2" w:rsidRDefault="00000000">
                        <w:r>
                          <w:rPr>
                            <w:rFonts w:ascii="Arial" w:eastAsia="Arial" w:hAnsi="Arial" w:cs="Arial"/>
                            <w:sz w:val="18"/>
                          </w:rPr>
                          <w:t xml:space="preserve">. La nomina dei giudici tributari presenti nel ruolo unico di cui all’articolo 2, </w:t>
                        </w:r>
                      </w:p>
                    </w:txbxContent>
                  </v:textbox>
                </v:rect>
                <v:rect id="Rectangle 202202" o:spid="_x0000_s6303" style="position:absolute;left:26110;top:50099;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RLSxAAAAN8AAAAPAAAAZHJzL2Rvd25yZXYueG1sRE9Ni8Iw&#10;FLwv+B/CE7ytqT2IVKOIIvbgZdWFPT6aZ1ttXkITbfXXbxYWhLkM88UsVr1pxINaX1tWMBknIIgL&#10;q2suFZxPu88ZCB+QNTaWScGTPKyWg48FZtp2/EWPYyhFLGGfoYIqBJdJ6YuKDPqxdcRRu9jWYIi0&#10;LaVusYvlppFpkkylwZrjQoWONhUVt+PdKPjZsst3nSwur407XPNZs7+fv5UaDfv1HESgPrzN/+lc&#10;K0iTNAL+/sQvIJe/AAAA//8DAFBLAQItABQABgAIAAAAIQDb4fbL7gAAAIUBAAATAAAAAAAAAAAA&#10;AAAAAAAAAABbQ29udGVudF9UeXBlc10ueG1sUEsBAi0AFAAGAAgAAAAhAFr0LFu/AAAAFQEAAAsA&#10;AAAAAAAAAAAAAAAAHwEAAF9yZWxzLy5yZWxzUEsBAi0AFAAGAAgAAAAhAPyFEtLEAAAA3wAAAA8A&#10;AAAAAAAAAAAAAAAABwIAAGRycy9kb3ducmV2LnhtbFBLBQYAAAAAAwADALcAAAD4AgAAAAA=&#10;" filled="f" stroked="f">
                  <v:textbox inset="0,0,0,0">
                    <w:txbxContent>
                      <w:p w14:paraId="283C0D81" w14:textId="77777777" w:rsidR="00B32EF2" w:rsidRDefault="00000000">
                        <w:r>
                          <w:rPr>
                            <w:rFonts w:ascii="Arial" w:eastAsia="Arial" w:hAnsi="Arial" w:cs="Arial"/>
                            <w:sz w:val="18"/>
                          </w:rPr>
                          <w:t>1</w:t>
                        </w:r>
                      </w:p>
                    </w:txbxContent>
                  </v:textbox>
                </v:rect>
                <v:rect id="Rectangle 22231" o:spid="_x0000_s6304" style="position:absolute;left:-13171;top:488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rWaxgAAAN4AAAAPAAAAZHJzL2Rvd25yZXYueG1sRI9Ba8JA&#10;FITvgv9heYI33RihSHQVUcQcvNRa6PGRfSbR7Nslu5rYX98tFHocZuYbZrXpTSOe1PrasoLZNAFB&#10;XFhdc6ng8nGYLED4gKyxsUwKXuRhsx4OVphp2/E7Pc+hFBHCPkMFVQguk9IXFRn0U+uIo3e1rcEQ&#10;ZVtK3WIX4aaRaZK8SYM1x4UKHe0qKu7nh1HwtWeXHzpZXL937nTLF83xcflUajzqt0sQgfrwH/5r&#10;51pBmqbzGfzeiVdArn8AAAD//wMAUEsBAi0AFAAGAAgAAAAhANvh9svuAAAAhQEAABMAAAAAAAAA&#10;AAAAAAAAAAAAAFtDb250ZW50X1R5cGVzXS54bWxQSwECLQAUAAYACAAAACEAWvQsW78AAAAVAQAA&#10;CwAAAAAAAAAAAAAAAAAfAQAAX3JlbHMvLnJlbHNQSwECLQAUAAYACAAAACEAyu61msYAAADeAAAA&#10;DwAAAAAAAAAAAAAAAAAHAgAAZHJzL2Rvd25yZXYueG1sUEsFBgAAAAADAAMAtwAAAPoCAAAAAA==&#10;" filled="f" stroked="f">
                  <v:textbox inset="0,0,0,0">
                    <w:txbxContent>
                      <w:p w14:paraId="5C54B718" w14:textId="77777777" w:rsidR="00B32EF2" w:rsidRDefault="00000000">
                        <w:r>
                          <w:rPr>
                            <w:rFonts w:ascii="Arial" w:eastAsia="Arial" w:hAnsi="Arial" w:cs="Arial"/>
                            <w:sz w:val="18"/>
                          </w:rPr>
                          <w:t xml:space="preserve">comma 2, a una delle funzioni dei componenti delle corti di giustizia tributarie </w:t>
                        </w:r>
                      </w:p>
                    </w:txbxContent>
                  </v:textbox>
                </v:rect>
                <v:rect id="Rectangle 22232" o:spid="_x0000_s6305" style="position:absolute;left:-13171;top:476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CvtxwAAAN4AAAAPAAAAZHJzL2Rvd25yZXYueG1sRI9PawIx&#10;FMTvQr9DeIXeNNsUiqxGKRbpHnqpf8DjY/PcXd28hE10t/30jSB4HGbmN8x8OdhWXKkLjWMNr5MM&#10;BHHpTMOVht12PZ6CCBHZYOuYNPxSgOXiaTTH3Lief+i6iZVIEA45aqhj9LmUoazJYpg4T5y8o+ss&#10;xiS7SpoO+wS3rVRZ9i4tNpwWavS0qqk8by5Ww+GTfbHuZXn8W/nvUzFtvy67vdYvz8PHDESkIT7C&#10;93ZhNCil3hTc7qQrIBf/AAAA//8DAFBLAQItABQABgAIAAAAIQDb4fbL7gAAAIUBAAATAAAAAAAA&#10;AAAAAAAAAAAAAABbQ29udGVudF9UeXBlc10ueG1sUEsBAi0AFAAGAAgAAAAhAFr0LFu/AAAAFQEA&#10;AAsAAAAAAAAAAAAAAAAAHwEAAF9yZWxzLy5yZWxzUEsBAi0AFAAGAAgAAAAhADo8K+3HAAAA3gAA&#10;AA8AAAAAAAAAAAAAAAAABwIAAGRycy9kb3ducmV2LnhtbFBLBQYAAAAAAwADALcAAAD7AgAAAAA=&#10;" filled="f" stroked="f">
                  <v:textbox inset="0,0,0,0">
                    <w:txbxContent>
                      <w:p w14:paraId="7885E07E" w14:textId="77777777" w:rsidR="00B32EF2" w:rsidRDefault="00000000">
                        <w:r>
                          <w:rPr>
                            <w:rFonts w:ascii="Arial" w:eastAsia="Arial" w:hAnsi="Arial" w:cs="Arial"/>
                            <w:sz w:val="18"/>
                          </w:rPr>
                          <w:t xml:space="preserve">di primo e secondo grado non costituisce in nessun caso rapporto di pubblico </w:t>
                        </w:r>
                      </w:p>
                    </w:txbxContent>
                  </v:textbox>
                </v:rect>
                <v:rect id="Rectangle 22233" o:spid="_x0000_s6306" style="position:absolute;left:34117;top:46400;width:579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I52xgAAAN4AAAAPAAAAZHJzL2Rvd25yZXYueG1sRI9Ba8JA&#10;FITvBf/D8gre6qYRiqSuIoqYg5faCB4f2WeSmn27ZFcT/fVuodDjMDPfMPPlYFpxo843lhW8TxIQ&#10;xKXVDVcKiu/t2wyED8gaW8uk4E4elovRyxwzbXv+otshVCJC2GeooA7BZVL6siaDfmIdcfTOtjMY&#10;ouwqqTvsI9y0Mk2SD2mw4bhQo6N1TeXlcDUKTht2+baX5fmxdvuffNbursVRqfHrsPoEEWgI/+G/&#10;dq4VpGk6ncLvnXgF5OIJAAD//wMAUEsBAi0AFAAGAAgAAAAhANvh9svuAAAAhQEAABMAAAAAAAAA&#10;AAAAAAAAAAAAAFtDb250ZW50X1R5cGVzXS54bWxQSwECLQAUAAYACAAAACEAWvQsW78AAAAVAQAA&#10;CwAAAAAAAAAAAAAAAAAfAQAAX3JlbHMvLnJlbHNQSwECLQAUAAYACAAAACEAVXCOdsYAAADeAAAA&#10;DwAAAAAAAAAAAAAAAAAHAgAAZHJzL2Rvd25yZXYueG1sUEsFBgAAAAADAAMAtwAAAPoCAAAAAA==&#10;" filled="f" stroked="f">
                  <v:textbox inset="0,0,0,0">
                    <w:txbxContent>
                      <w:p w14:paraId="45068F78" w14:textId="77777777" w:rsidR="00B32EF2" w:rsidRDefault="00000000">
                        <w:r>
                          <w:rPr>
                            <w:rFonts w:ascii="Arial" w:eastAsia="Arial" w:hAnsi="Arial" w:cs="Arial"/>
                            <w:sz w:val="18"/>
                          </w:rPr>
                          <w:t>impiego.</w:t>
                        </w:r>
                      </w:p>
                    </w:txbxContent>
                  </v:textbox>
                </v:rect>
                <v:rect id="Rectangle 202198" o:spid="_x0000_s6307" style="position:absolute;left:26110;top:45166;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tHDxAAAAN8AAAAPAAAAZHJzL2Rvd25yZXYueG1sRE9Ni8Iw&#10;EL0v+B/CCN7W1B7ErUYRRexhL7oKHodmbKvNJDTR1v315rCwx8f7Xqx604gntb62rGAyTkAQF1bX&#10;XCo4/ew+ZyB8QNbYWCYFL/KwWg4+Fphp2/GBnsdQihjCPkMFVQguk9IXFRn0Y+uII3e1rcEQYVtK&#10;3WIXw00j0ySZSoM1x4YKHW0qKu7Hh1Fw2bLLd50srr8b933LZ83+cTorNRr26zmIQH34F/+5c60g&#10;TdLJVxwc/8QvIJdvAAAA//8DAFBLAQItABQABgAIAAAAIQDb4fbL7gAAAIUBAAATAAAAAAAAAAAA&#10;AAAAAAAAAABbQ29udGVudF9UeXBlc10ueG1sUEsBAi0AFAAGAAgAAAAhAFr0LFu/AAAAFQEAAAsA&#10;AAAAAAAAAAAAAAAAHwEAAF9yZWxzLy5yZWxzUEsBAi0AFAAGAAgAAAAhAK5C0cPEAAAA3wAAAA8A&#10;AAAAAAAAAAAAAAAABwIAAGRycy9kb3ducmV2LnhtbFBLBQYAAAAAAwADALcAAAD4AgAAAAA=&#10;" filled="f" stroked="f">
                  <v:textbox inset="0,0,0,0">
                    <w:txbxContent>
                      <w:p w14:paraId="4382BDAD" w14:textId="77777777" w:rsidR="00B32EF2" w:rsidRDefault="00000000">
                        <w:r>
                          <w:rPr>
                            <w:rFonts w:ascii="Arial" w:eastAsia="Arial" w:hAnsi="Arial" w:cs="Arial"/>
                            <w:sz w:val="18"/>
                          </w:rPr>
                          <w:t>2</w:t>
                        </w:r>
                      </w:p>
                    </w:txbxContent>
                  </v:textbox>
                </v:rect>
                <v:rect id="Rectangle 202199" o:spid="_x0000_s6308" style="position:absolute;left:-13817;top:451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nRYyAAAAN8AAAAPAAAAZHJzL2Rvd25yZXYueG1sRI9Pa8JA&#10;FMTvBb/D8oTe6sYcikY3Ioo0h15qFTw+si9/NPt2ya4m7afvFgo9DjPzG2a9GU0nHtT71rKC+SwB&#10;QVxa3XKt4PR5eFmA8AFZY2eZFHyRh00+eVpjpu3AH/Q4hlpECPsMFTQhuExKXzZk0M+sI45eZXuD&#10;Icq+lrrHIcJNJ9MkeZUGW44LDTraNVTejnej4LJnVxwGWVbfO/d+LRbd2/10Vup5Om5XIAKN4T/8&#10;1y60gjRJ58sl/P6JX0DmPwAAAP//AwBQSwECLQAUAAYACAAAACEA2+H2y+4AAACFAQAAEwAAAAAA&#10;AAAAAAAAAAAAAAAAW0NvbnRlbnRfVHlwZXNdLnhtbFBLAQItABQABgAIAAAAIQBa9CxbvwAAABUB&#10;AAALAAAAAAAAAAAAAAAAAB8BAABfcmVscy8ucmVsc1BLAQItABQABgAIAAAAIQDBDnRYyAAAAN8A&#10;AAAPAAAAAAAAAAAAAAAAAAcCAABkcnMvZG93bnJldi54bWxQSwUGAAAAAAMAAwC3AAAA/AIAAAAA&#10;" filled="f" stroked="f">
                  <v:textbox inset="0,0,0,0">
                    <w:txbxContent>
                      <w:p w14:paraId="4606CB22" w14:textId="77777777" w:rsidR="00B32EF2" w:rsidRDefault="00000000">
                        <w:r>
                          <w:rPr>
                            <w:rFonts w:ascii="Arial" w:eastAsia="Arial" w:hAnsi="Arial" w:cs="Arial"/>
                            <w:sz w:val="18"/>
                          </w:rPr>
                          <w:t xml:space="preserve">. I magistrati tributari di cui all’articolo 2, comma 3, e i giudici tributari del ruolo </w:t>
                        </w:r>
                      </w:p>
                    </w:txbxContent>
                  </v:textbox>
                </v:rect>
                <v:rect id="Rectangle 22235" o:spid="_x0000_s6309" style="position:absolute;left:-13171;top:439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bOZxgAAAN4AAAAPAAAAZHJzL2Rvd25yZXYueG1sRI9Ba8JA&#10;FITvBf/D8gRvdWNKi0RXEUWag5daBY+P7DOJZt8u2dVEf323UOhxmJlvmPmyN424U+trywom4wQE&#10;cWF1zaWCw/f2dQrCB2SNjWVS8CAPy8XgZY6Zth1/0X0fShEh7DNUUIXgMil9UZFBP7aOOHpn2xoM&#10;Ubal1C12EW4amSbJhzRYc1yo0NG6ouK6vxkFpw27fNvJ4vxcu90lnzaft8NRqdGwX81ABOrDf/iv&#10;nWsFaZq+vcPvnXgF5OIHAAD//wMAUEsBAi0AFAAGAAgAAAAhANvh9svuAAAAhQEAABMAAAAAAAAA&#10;AAAAAAAAAAAAAFtDb250ZW50X1R5cGVzXS54bWxQSwECLQAUAAYACAAAACEAWvQsW78AAAAVAQAA&#10;CwAAAAAAAAAAAAAAAAAfAQAAX3JlbHMvLnJlbHNQSwECLQAUAAYACAAAACEAtdWzmcYAAADeAAAA&#10;DwAAAAAAAAAAAAAAAAAHAgAAZHJzL2Rvd25yZXYueG1sUEsFBgAAAAADAAMAtwAAAPoCAAAAAA==&#10;" filled="f" stroked="f">
                  <v:textbox inset="0,0,0,0">
                    <w:txbxContent>
                      <w:p w14:paraId="0DB9A1FC" w14:textId="77777777" w:rsidR="00B32EF2" w:rsidRDefault="00000000">
                        <w:r>
                          <w:rPr>
                            <w:rFonts w:ascii="Arial" w:eastAsia="Arial" w:hAnsi="Arial" w:cs="Arial"/>
                            <w:sz w:val="18"/>
                          </w:rPr>
                          <w:t xml:space="preserve">unico di cui all’articolo 2, comma 2, indipendentemente dalle funzioni svolte, </w:t>
                        </w:r>
                      </w:p>
                    </w:txbxContent>
                  </v:textbox>
                </v:rect>
                <v:rect id="Rectangle 22236" o:spid="_x0000_s6310" style="position:absolute;left:-13171;top:427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y3uxgAAAN4AAAAPAAAAZHJzL2Rvd25yZXYueG1sRI9Ba8JA&#10;FITvgv9heQVvumkEkdRVRBFz6KU2gsdH9pmkZt8u2dXE/vpuodDjMDPfMKvNYFrxoM43lhW8zhIQ&#10;xKXVDVcKis/DdAnCB2SNrWVS8CQPm/V4tMJM254/6HEKlYgQ9hkqqENwmZS+rMmgn1lHHL2r7QyG&#10;KLtK6g77CDetTJNkIQ02HBdqdLSrqbyd7kbBZc8uP/SyvH7v3PtXvmyP9+Ks1ORl2L6BCDSE//Bf&#10;O9cK0jSdL+D3TrwCcv0DAAD//wMAUEsBAi0AFAAGAAgAAAAhANvh9svuAAAAhQEAABMAAAAAAAAA&#10;AAAAAAAAAAAAAFtDb250ZW50X1R5cGVzXS54bWxQSwECLQAUAAYACAAAACEAWvQsW78AAAAVAQAA&#10;CwAAAAAAAAAAAAAAAAAfAQAAX3JlbHMvLnJlbHNQSwECLQAUAAYACAAAACEARQct7sYAAADeAAAA&#10;DwAAAAAAAAAAAAAAAAAHAgAAZHJzL2Rvd25yZXYueG1sUEsFBgAAAAADAAMAtwAAAPoCAAAAAA==&#10;" filled="f" stroked="f">
                  <v:textbox inset="0,0,0,0">
                    <w:txbxContent>
                      <w:p w14:paraId="6ED11782" w14:textId="77777777" w:rsidR="00B32EF2" w:rsidRDefault="00000000">
                        <w:r>
                          <w:rPr>
                            <w:rFonts w:ascii="Arial" w:eastAsia="Arial" w:hAnsi="Arial" w:cs="Arial"/>
                            <w:sz w:val="18"/>
                          </w:rPr>
                          <w:t xml:space="preserve">cessano dall’incarico, in ogni caso, al compimento del settantesimo anno di </w:t>
                        </w:r>
                      </w:p>
                    </w:txbxContent>
                  </v:textbox>
                </v:rect>
                <v:rect id="Rectangle 22237" o:spid="_x0000_s6311" style="position:absolute;left:37359;top:41466;width:25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4h1xgAAAN4AAAAPAAAAZHJzL2Rvd25yZXYueG1sRI9Ba8JA&#10;FITvBf/D8gRvdWMKrURXEUWag5daBY+P7DOJZt8u2dVEf323UOhxmJlvmPmyN424U+trywom4wQE&#10;cWF1zaWCw/f2dQrCB2SNjWVS8CAPy8XgZY6Zth1/0X0fShEh7DNUUIXgMil9UZFBP7aOOHpn2xoM&#10;Ubal1C12EW4amSbJuzRYc1yo0NG6ouK6vxkFpw27fNvJ4vxcu90lnzaft8NRqdGwX81ABOrDf/iv&#10;nWsFaZq+fcDvnXgF5OIHAAD//wMAUEsBAi0AFAAGAAgAAAAhANvh9svuAAAAhQEAABMAAAAAAAAA&#10;AAAAAAAAAAAAAFtDb250ZW50X1R5cGVzXS54bWxQSwECLQAUAAYACAAAACEAWvQsW78AAAAVAQAA&#10;CwAAAAAAAAAAAAAAAAAfAQAAX3JlbHMvLnJlbHNQSwECLQAUAAYACAAAACEAKkuIdcYAAADeAAAA&#10;DwAAAAAAAAAAAAAAAAAHAgAAZHJzL2Rvd25yZXYueG1sUEsFBgAAAAADAAMAtwAAAPoCAAAAAA==&#10;" filled="f" stroked="f">
                  <v:textbox inset="0,0,0,0">
                    <w:txbxContent>
                      <w:p w14:paraId="502FB8D8" w14:textId="77777777" w:rsidR="00B32EF2" w:rsidRDefault="00000000">
                        <w:r>
                          <w:rPr>
                            <w:rFonts w:ascii="Arial" w:eastAsia="Arial" w:hAnsi="Arial" w:cs="Arial"/>
                            <w:sz w:val="18"/>
                          </w:rPr>
                          <w:t>età.</w:t>
                        </w:r>
                      </w:p>
                    </w:txbxContent>
                  </v:textbox>
                </v:rect>
                <v:rect id="Rectangle 202188" o:spid="_x0000_s6312" style="position:absolute;left:26110;top:40233;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0cewwAAAN8AAAAPAAAAZHJzL2Rvd25yZXYueG1sRE9Ni8Iw&#10;EL0v+B/CCN7W1B6kVKOIIvbgZV0X9jg0Y1ttJqGJtu6vNwdhj4/3vVwPphUP6nxjWcFsmoAgLq1u&#10;uFJw/t5/ZiB8QNbYWiYFT/KwXo0+lphr2/MXPU6hEjGEfY4K6hBcLqUvazLop9YRR+5iO4Mhwq6S&#10;usM+hptWpkkylwYbjg01OtrWVN5Od6Pgd8eu2PeyvPxt3fFaZO3hfv5RajIeNgsQgYbwL367C60g&#10;TdJZFgfHP/ELyNULAAD//wMAUEsBAi0AFAAGAAgAAAAhANvh9svuAAAAhQEAABMAAAAAAAAAAAAA&#10;AAAAAAAAAFtDb250ZW50X1R5cGVzXS54bWxQSwECLQAUAAYACAAAACEAWvQsW78AAAAVAQAACwAA&#10;AAAAAAAAAAAAAAAfAQAAX3JlbHMvLnJlbHNQSwECLQAUAAYACAAAACEAK5tHHsMAAADfAAAADwAA&#10;AAAAAAAAAAAAAAAHAgAAZHJzL2Rvd25yZXYueG1sUEsFBgAAAAADAAMAtwAAAPcCAAAAAA==&#10;" filled="f" stroked="f">
                  <v:textbox inset="0,0,0,0">
                    <w:txbxContent>
                      <w:p w14:paraId="2A4D8B0D" w14:textId="77777777" w:rsidR="00B32EF2" w:rsidRDefault="00000000">
                        <w:r>
                          <w:rPr>
                            <w:rFonts w:ascii="Arial" w:eastAsia="Arial" w:hAnsi="Arial" w:cs="Arial"/>
                            <w:sz w:val="18"/>
                          </w:rPr>
                          <w:t>3</w:t>
                        </w:r>
                      </w:p>
                    </w:txbxContent>
                  </v:textbox>
                </v:rect>
                <v:rect id="Rectangle 202195" o:spid="_x0000_s6313" style="position:absolute;left:-13816;top:402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35dyAAAAN8AAAAPAAAAZHJzL2Rvd25yZXYueG1sRI9Pa8JA&#10;FMTvhX6H5Qm96cZARVNXEYs0By/1D/T4yD6TaPbtkl1N6qd3C0KPw8z8hpkve9OIG7W+tqxgPEpA&#10;EBdW11wqOOw3wykIH5A1NpZJwS95WC5eX+aYadvxN912oRQRwj5DBVUILpPSFxUZ9CPriKN3sq3B&#10;EGVbSt1iF+GmkWmSTKTBmuNChY7WFRWX3dUo+Plkl286WZzua7c959Pm63o4KvU26FcfIAL14T/8&#10;bOdaQZqk49k7/P2JX0AuHgAAAP//AwBQSwECLQAUAAYACAAAACEA2+H2y+4AAACFAQAAEwAAAAAA&#10;AAAAAAAAAAAAAAAAW0NvbnRlbnRfVHlwZXNdLnhtbFBLAQItABQABgAIAAAAIQBa9CxbvwAAABUB&#10;AAALAAAAAAAAAAAAAAAAAB8BAABfcmVscy8ucmVsc1BLAQItABQABgAIAAAAIQBAQ35dyAAAAN8A&#10;AAAPAAAAAAAAAAAAAAAAAAcCAABkcnMvZG93bnJldi54bWxQSwUGAAAAAAMAAwC3AAAA/AIAAAAA&#10;" filled="f" stroked="f">
                  <v:textbox inset="0,0,0,0">
                    <w:txbxContent>
                      <w:p w14:paraId="4CDB8A07" w14:textId="77777777" w:rsidR="00B32EF2" w:rsidRDefault="00000000">
                        <w:r>
                          <w:rPr>
                            <w:rFonts w:ascii="Arial" w:eastAsia="Arial" w:hAnsi="Arial" w:cs="Arial"/>
                            <w:sz w:val="18"/>
                          </w:rPr>
                          <w:t xml:space="preserve">. I presidenti di sezione, i vicepresidenti e i componenti delle corti di giustizia </w:t>
                        </w:r>
                      </w:p>
                    </w:txbxContent>
                  </v:textbox>
                </v:rect>
                <v:rect id="Rectangle 22239" o:spid="_x0000_s6314" style="position:absolute;left:-13171;top:390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LmcxgAAAN4AAAAPAAAAZHJzL2Rvd25yZXYueG1sRI9Ba8JA&#10;FITvBf/D8gRvdWMKxUZXEUWag5daBY+P7DOJZt8u2dVEf323UOhxmJlvmPmyN424U+trywom4wQE&#10;cWF1zaWCw/f2dQrCB2SNjWVS8CAPy8XgZY6Zth1/0X0fShEh7DNUUIXgMil9UZFBP7aOOHpn2xoM&#10;Ubal1C12EW4amSbJuzRYc1yo0NG6ouK6vxkFpw27fNvJ4vxcu90lnzaft8NRqdGwX81ABOrDf/iv&#10;nWsFaZq+fcDvnXgF5OIHAAD//wMAUEsBAi0AFAAGAAgAAAAhANvh9svuAAAAhQEAABMAAAAAAAAA&#10;AAAAAAAAAAAAAFtDb250ZW50X1R5cGVzXS54bWxQSwECLQAUAAYACAAAACEAWvQsW78AAAAVAQAA&#10;CwAAAAAAAAAAAAAAAAAfAQAAX3JlbHMvLnJlbHNQSwECLQAUAAYACAAAACEANJi5nMYAAADeAAAA&#10;DwAAAAAAAAAAAAAAAAAHAgAAZHJzL2Rvd25yZXYueG1sUEsFBgAAAAADAAMAtwAAAPoCAAAAAA==&#10;" filled="f" stroked="f">
                  <v:textbox inset="0,0,0,0">
                    <w:txbxContent>
                      <w:p w14:paraId="6395DD60" w14:textId="77777777" w:rsidR="00B32EF2" w:rsidRDefault="00000000">
                        <w:r>
                          <w:rPr>
                            <w:rFonts w:ascii="Arial" w:eastAsia="Arial" w:hAnsi="Arial" w:cs="Arial"/>
                            <w:sz w:val="18"/>
                          </w:rPr>
                          <w:t xml:space="preserve">tributarie di primo e secondo grado non possono essere assegnati alla stessa </w:t>
                        </w:r>
                      </w:p>
                    </w:txbxContent>
                  </v:textbox>
                </v:rect>
                <v:rect id="Rectangle 22240" o:spid="_x0000_s6315" style="position:absolute;left:-3994;top:37767;width:4391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GN8xAAAAN4AAAAPAAAAZHJzL2Rvd25yZXYueG1sRI/NisIw&#10;FIX3A75DuIK7MbUMItUoosh04WbUgVlemmtbbW5CE2316ScLweXh/PEtVr1pxJ1aX1tWMBknIIgL&#10;q2suFZyOu88ZCB+QNTaWScGDPKyWg48FZtp2/EP3QyhFHGGfoYIqBJdJ6YuKDPqxdcTRO9vWYIiy&#10;LaVusYvjppFpkkylwZrjQ4WONhUV18PNKPjbsst3nSzOz43bX/JZ8307/So1GvbrOYhAfXiHX+1c&#10;K0jT9CsCRJyIAnL5DwAA//8DAFBLAQItABQABgAIAAAAIQDb4fbL7gAAAIUBAAATAAAAAAAAAAAA&#10;AAAAAAAAAABbQ29udGVudF9UeXBlc10ueG1sUEsBAi0AFAAGAAgAAAAhAFr0LFu/AAAAFQEAAAsA&#10;AAAAAAAAAAAAAAAAHwEAAF9yZWxzLy5yZWxzUEsBAi0AFAAGAAgAAAAhAP2kY3zEAAAA3gAAAA8A&#10;AAAAAAAAAAAAAAAABwIAAGRycy9kb3ducmV2LnhtbFBLBQYAAAAAAwADALcAAAD4AgAAAAA=&#10;" filled="f" stroked="f">
                  <v:textbox inset="0,0,0,0">
                    <w:txbxContent>
                      <w:p w14:paraId="3763C82B" w14:textId="77777777" w:rsidR="00B32EF2" w:rsidRDefault="00000000">
                        <w:r>
                          <w:rPr>
                            <w:rFonts w:ascii="Arial" w:eastAsia="Arial" w:hAnsi="Arial" w:cs="Arial"/>
                            <w:sz w:val="18"/>
                          </w:rPr>
                          <w:t>sezione della medesima corte per più di cinque anni consecutivi.</w:t>
                        </w:r>
                      </w:p>
                    </w:txbxContent>
                  </v:textbox>
                </v:rect>
                <v:rect id="Rectangle 202184" o:spid="_x0000_s6316" style="position:absolute;left:26350;top:36533;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k0bxwAAAN8AAAAPAAAAZHJzL2Rvd25yZXYueG1sRI9Ba8JA&#10;FITvgv9heUJvujGUElJXKYqYQy9VCz0+ss8kbfbtkl1N6q93BcHjMDPfMIvVYFpxoc43lhXMZwkI&#10;4tLqhisFx8N2moHwAVlja5kU/JOH1XI8WmCubc9fdNmHSkQI+xwV1CG4XEpf1mTQz6wjjt7JdgZD&#10;lF0ldYd9hJtWpknyJg02HBdqdLSuqfzbn42Cnw27YtvL8nRdu8/fImt35+O3Ui+T4eMdRKAhPMOP&#10;dqEVpEk6z17h/id+Abm8AQAA//8DAFBLAQItABQABgAIAAAAIQDb4fbL7gAAAIUBAAATAAAAAAAA&#10;AAAAAAAAAAAAAABbQ29udGVudF9UeXBlc10ueG1sUEsBAi0AFAAGAAgAAAAhAFr0LFu/AAAAFQEA&#10;AAsAAAAAAAAAAAAAAAAAHwEAAF9yZWxzLy5yZWxzUEsBAi0AFAAGAAgAAAAhAKrWTRvHAAAA3wAA&#10;AA8AAAAAAAAAAAAAAAAABwIAAGRycy9kb3ducmV2LnhtbFBLBQYAAAAAAwADALcAAAD7AgAAAAA=&#10;" filled="f" stroked="f">
                  <v:textbox inset="0,0,0,0">
                    <w:txbxContent>
                      <w:p w14:paraId="2F56BB20" w14:textId="77777777" w:rsidR="00B32EF2" w:rsidRDefault="00000000">
                        <w:r>
                          <w:rPr>
                            <w:rFonts w:ascii="Arial" w:eastAsia="Arial" w:hAnsi="Arial" w:cs="Arial"/>
                            <w:sz w:val="18"/>
                          </w:rPr>
                          <w:t>4</w:t>
                        </w:r>
                      </w:p>
                    </w:txbxContent>
                  </v:textbox>
                </v:rect>
                <v:rect id="Rectangle 202185" o:spid="_x0000_s6317" style="position:absolute;left:-12836;top:36533;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uiAxwAAAN8AAAAPAAAAZHJzL2Rvd25yZXYueG1sRI9Ba8JA&#10;FITvgv9heUJvujHQElJXKYqYQy9VCz0+ss8kbfbtkl1N6q93BcHjMDPfMIvVYFpxoc43lhXMZwkI&#10;4tLqhisFx8N2moHwAVlja5kU/JOH1XI8WmCubc9fdNmHSkQI+xwV1CG4XEpf1mTQz6wjjt7JdgZD&#10;lF0ldYd9hJtWpknyJg02HBdqdLSuqfzbn42Cnw27YtvL8nRdu8/fImt35+O3Ui+T4eMdRKAhPMOP&#10;dqEVpEk6z17h/id+Abm8AQAA//8DAFBLAQItABQABgAIAAAAIQDb4fbL7gAAAIUBAAATAAAAAAAA&#10;AAAAAAAAAAAAAABbQ29udGVudF9UeXBlc10ueG1sUEsBAi0AFAAGAAgAAAAhAFr0LFu/AAAAFQEA&#10;AAsAAAAAAAAAAAAAAAAAHwEAAF9yZWxzLy5yZWxzUEsBAi0AFAAGAAgAAAAhAMWa6IDHAAAA3wAA&#10;AA8AAAAAAAAAAAAAAAAABwIAAGRycy9kb3ducmV2LnhtbFBLBQYAAAAAAwADALcAAAD7AgAAAAA=&#10;" filled="f" stroked="f">
                  <v:textbox inset="0,0,0,0">
                    <w:txbxContent>
                      <w:p w14:paraId="4550405F" w14:textId="77777777" w:rsidR="00B32EF2" w:rsidRDefault="00000000">
                        <w:r>
                          <w:rPr>
                            <w:rFonts w:ascii="Arial" w:eastAsia="Arial" w:hAnsi="Arial" w:cs="Arial"/>
                            <w:sz w:val="18"/>
                          </w:rPr>
                          <w:t>. I componenti delle corti di giustizia tributaria di primo e secondo grado, in</w:t>
                        </w:r>
                      </w:p>
                    </w:txbxContent>
                  </v:textbox>
                </v:rect>
                <v:rect id="Rectangle 22242" o:spid="_x0000_s6318" style="position:absolute;left:193;top:365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liQxwAAAN4AAAAPAAAAZHJzL2Rvd25yZXYueG1sRI9PawIx&#10;FMTvQr9DeIXeNNtQiqxGKRbpHnqpf8DjY/PcXd28hE10t/30jSB4HGbmN8x8OdhWXKkLjWMNr5MM&#10;BHHpTMOVht12PZ6CCBHZYOuYNPxSgOXiaTTH3Lief+i6iZVIEA45aqhj9LmUoazJYpg4T5y8o+ss&#10;xiS7SpoO+wS3rVRZ9i4tNpwWavS0qqk8by5Ww+GTfbHuZXn8W/nvUzFtvy67vdYvz8PHDESkIT7C&#10;93ZhNCil3hTc7qQrIBf/AAAA//8DAFBLAQItABQABgAIAAAAIQDb4fbL7gAAAIUBAAATAAAAAAAA&#10;AAAAAAAAAAAAAABbQ29udGVudF9UeXBlc10ueG1sUEsBAi0AFAAGAAgAAAAhAFr0LFu/AAAAFQEA&#10;AAsAAAAAAAAAAAAAAAAAHwEAAF9yZWxzLy5yZWxzUEsBAi0AFAAGAAgAAAAhAGI6WJDHAAAA3gAA&#10;AA8AAAAAAAAAAAAAAAAABwIAAGRycy9kb3ducmV2LnhtbFBLBQYAAAAAAwADALcAAAD7AgAAAAA=&#10;" filled="f" stroked="f">
                  <v:textbox inset="0,0,0,0">
                    <w:txbxContent>
                      <w:p w14:paraId="636F1843" w14:textId="77777777" w:rsidR="00B32EF2" w:rsidRDefault="00000000">
                        <w:r>
                          <w:rPr>
                            <w:rFonts w:ascii="Arial" w:eastAsia="Arial" w:hAnsi="Arial" w:cs="Arial"/>
                            <w:sz w:val="18"/>
                          </w:rPr>
                          <w:t>-</w:t>
                        </w:r>
                      </w:p>
                    </w:txbxContent>
                  </v:textbox>
                </v:rect>
                <v:rect id="Rectangle 22243" o:spid="_x0000_s6319" style="position:absolute;left:-13171;top:353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v0LxgAAAN4AAAAPAAAAZHJzL2Rvd25yZXYueG1sRI9Ba8JA&#10;FITvBf/D8gRvdWNaikRXEUWag5daBY+P7DOJZt8u2dVEf323UOhxmJlvmPmyN424U+trywom4wQE&#10;cWF1zaWCw/f2dQrCB2SNjWVS8CAPy8XgZY6Zth1/0X0fShEh7DNUUIXgMil9UZFBP7aOOHpn2xoM&#10;Ubal1C12EW4amSbJhzRYc1yo0NG6ouK6vxkFpw27fNvJ4vxcu90lnzaft8NRqdGwX81ABOrDf/iv&#10;nWsFaZq+v8HvnXgF5OIHAAD//wMAUEsBAi0AFAAGAAgAAAAhANvh9svuAAAAhQEAABMAAAAAAAAA&#10;AAAAAAAAAAAAAFtDb250ZW50X1R5cGVzXS54bWxQSwECLQAUAAYACAAAACEAWvQsW78AAAAVAQAA&#10;CwAAAAAAAAAAAAAAAAAfAQAAX3JlbHMvLnJlbHNQSwECLQAUAAYACAAAACEADXb9C8YAAADeAAAA&#10;DwAAAAAAAAAAAAAAAAAHAgAAZHJzL2Rvd25yZXYueG1sUEsFBgAAAAADAAMAtwAAAPoCAAAAAA==&#10;" filled="f" stroked="f">
                  <v:textbox inset="0,0,0,0">
                    <w:txbxContent>
                      <w:p w14:paraId="5C3068B4" w14:textId="77777777" w:rsidR="00B32EF2" w:rsidRDefault="00000000">
                        <w:r>
                          <w:rPr>
                            <w:rFonts w:ascii="Arial" w:eastAsia="Arial" w:hAnsi="Arial" w:cs="Arial"/>
                            <w:sz w:val="18"/>
                          </w:rPr>
                          <w:t xml:space="preserve">dipendentemente dalla funzione o dall’incarico svolti, non possono concorrere </w:t>
                        </w:r>
                      </w:p>
                    </w:txbxContent>
                  </v:textbox>
                </v:rect>
                <v:rect id="Rectangle 22244" o:spid="_x0000_s6320" style="position:absolute;left:-13171;top:340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2V/xgAAAN4AAAAPAAAAZHJzL2Rvd25yZXYueG1sRI9Ba8JA&#10;FITvBf/D8gre6qZBiqSuIoqYg5faCB4f2WeSmn27ZFcT/fVuodDjMDPfMPPlYFpxo843lhW8TxIQ&#10;xKXVDVcKiu/t2wyED8gaW8uk4E4elovRyxwzbXv+otshVCJC2GeooA7BZVL6siaDfmIdcfTOtjMY&#10;ouwqqTvsI9y0Mk2SD2mw4bhQo6N1TeXlcDUKTht2+baX5fmxdvuffNbursVRqfHrsPoEEWgI/+G/&#10;dq4VpGk6ncLvnXgF5OIJAAD//wMAUEsBAi0AFAAGAAgAAAAhANvh9svuAAAAhQEAABMAAAAAAAAA&#10;AAAAAAAAAAAAAFtDb250ZW50X1R5cGVzXS54bWxQSwECLQAUAAYACAAAACEAWvQsW78AAAAVAQAA&#10;CwAAAAAAAAAAAAAAAAAfAQAAX3JlbHMvLnJlbHNQSwECLQAUAAYACAAAACEAgp9lf8YAAADeAAAA&#10;DwAAAAAAAAAAAAAAAAAHAgAAZHJzL2Rvd25yZXYueG1sUEsFBgAAAAADAAMAtwAAAPoCAAAAAA==&#10;" filled="f" stroked="f">
                  <v:textbox inset="0,0,0,0">
                    <w:txbxContent>
                      <w:p w14:paraId="191BF2EF" w14:textId="77777777" w:rsidR="00B32EF2" w:rsidRDefault="00000000">
                        <w:r>
                          <w:rPr>
                            <w:rFonts w:ascii="Arial" w:eastAsia="Arial" w:hAnsi="Arial" w:cs="Arial"/>
                            <w:sz w:val="18"/>
                          </w:rPr>
                          <w:t xml:space="preserve">all’assegnazione di altri incarichi prima di due anni dal giorno in cui sono stati </w:t>
                        </w:r>
                      </w:p>
                    </w:txbxContent>
                  </v:textbox>
                </v:rect>
                <v:rect id="Rectangle 22245" o:spid="_x0000_s6321" style="position:absolute;left:9399;top:32833;width:305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8DkxgAAAN4AAAAPAAAAZHJzL2Rvd25yZXYueG1sRI9Ba8JA&#10;FITvBf/D8gRvdWNoi0RXEUWag5daBY+P7DOJZt8u2dVEf323UOhxmJlvmPmyN424U+trywom4wQE&#10;cWF1zaWCw/f2dQrCB2SNjWVS8CAPy8XgZY6Zth1/0X0fShEh7DNUUIXgMil9UZFBP7aOOHpn2xoM&#10;Ubal1C12EW4amSbJhzRYc1yo0NG6ouK6vxkFpw27fNvJ4vxcu90lnzaft8NRqdGwX81ABOrDf/iv&#10;nWsFaZq+vcPvnXgF5OIHAAD//wMAUEsBAi0AFAAGAAgAAAAhANvh9svuAAAAhQEAABMAAAAAAAAA&#10;AAAAAAAAAAAAAFtDb250ZW50X1R5cGVzXS54bWxQSwECLQAUAAYACAAAACEAWvQsW78AAAAVAQAA&#10;CwAAAAAAAAAAAAAAAAAfAQAAX3JlbHMvLnJlbHNQSwECLQAUAAYACAAAACEA7dPA5MYAAADeAAAA&#10;DwAAAAAAAAAAAAAAAAAHAgAAZHJzL2Rvd25yZXYueG1sUEsFBgAAAAADAAMAtwAAAPoCAAAAAA==&#10;" filled="f" stroked="f">
                  <v:textbox inset="0,0,0,0">
                    <w:txbxContent>
                      <w:p w14:paraId="19E4E3DE" w14:textId="77777777" w:rsidR="00B32EF2" w:rsidRDefault="00000000">
                        <w:r>
                          <w:rPr>
                            <w:rFonts w:ascii="Arial" w:eastAsia="Arial" w:hAnsi="Arial" w:cs="Arial"/>
                            <w:sz w:val="18"/>
                          </w:rPr>
                          <w:t>immessi nelle funzioni dell’incarico ricoperto.</w:t>
                        </w:r>
                      </w:p>
                    </w:txbxContent>
                  </v:textbox>
                </v:rect>
                <v:rect id="Rectangle 202182" o:spid="_x0000_s6322" style="position:absolute;left:-12834;top:31600;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3D0xwAAAN8AAAAPAAAAZHJzL2Rvd25yZXYueG1sRI9Ba8JA&#10;FITvBf/D8oTe6sYcSkjdBFGkOfRSq9DjI/tMotm3S3Y10V/fLRR6HGbmG2ZVTqYXNxp8Z1nBcpGA&#10;IK6t7rhRcPjavWQgfEDW2FsmBXfyUBazpxXm2o78Sbd9aESEsM9RQRuCy6X0dUsG/cI64uid7GAw&#10;RDk0Ug84RrjpZZokr9Jgx3GhRUeblurL/moUfG/ZVbtR1qfHxn2cq6x/vx6OSj3Pp/UbiEBT+A//&#10;tSutIE3SZZbC75/4BWTxAwAA//8DAFBLAQItABQABgAIAAAAIQDb4fbL7gAAAIUBAAATAAAAAAAA&#10;AAAAAAAAAAAAAABbQ29udGVudF9UeXBlc10ueG1sUEsBAi0AFAAGAAgAAAAhAFr0LFu/AAAAFQEA&#10;AAsAAAAAAAAAAAAAAAAAHwEAAF9yZWxzLy5yZWxzUEsBAi0AFAAGAAgAAAAhAEpzcPTHAAAA3wAA&#10;AA8AAAAAAAAAAAAAAAAABwIAAGRycy9kb3ducmV2LnhtbFBLBQYAAAAAAwADALcAAAD7AgAAAAA=&#10;" filled="f" stroked="f">
                  <v:textbox inset="0,0,0,0">
                    <w:txbxContent>
                      <w:p w14:paraId="7AA872E1" w14:textId="77777777" w:rsidR="00B32EF2" w:rsidRDefault="00000000">
                        <w:r>
                          <w:rPr>
                            <w:rFonts w:ascii="Arial" w:eastAsia="Arial" w:hAnsi="Arial" w:cs="Arial"/>
                            <w:sz w:val="18"/>
                          </w:rPr>
                          <w:t>. Ferme restando le modalità indicate nel comma 6, l’assegnazione del me</w:t>
                        </w:r>
                      </w:p>
                    </w:txbxContent>
                  </v:textbox>
                </v:rect>
                <v:rect id="Rectangle 202181" o:spid="_x0000_s6323" style="position:absolute;left:26354;top:31600;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e6DxwAAAN8AAAAPAAAAZHJzL2Rvd25yZXYueG1sRI9Ba8JA&#10;FITvQv/D8gredJMcJKSuUizSHHrRKvT4yD6TaPbtkl1N2l/vCkKPw8x8wyzXo+nEjXrfWlaQzhMQ&#10;xJXVLdcKDt/bWQ7CB2SNnWVS8Ese1quXyRILbQfe0W0fahEh7AtU0ITgCil91ZBBP7eOOHon2xsM&#10;Ufa11D0OEW46mSXJQhpsOS406GjTUHXZX42Cnw925XaQ1elv477OZd59Xg9Hpaav4/sbiEBj+A8/&#10;26VWkCVZmqfw+BO/gFzdAQAA//8DAFBLAQItABQABgAIAAAAIQDb4fbL7gAAAIUBAAATAAAAAAAA&#10;AAAAAAAAAAAAAABbQ29udGVudF9UeXBlc10ueG1sUEsBAi0AFAAGAAgAAAAhAFr0LFu/AAAAFQEA&#10;AAsAAAAAAAAAAAAAAAAAHwEAAF9yZWxzLy5yZWxzUEsBAi0AFAAGAAgAAAAhALqh7oPHAAAA3wAA&#10;AA8AAAAAAAAAAAAAAAAABwIAAGRycy9kb3ducmV2LnhtbFBLBQYAAAAAAwADALcAAAD7AgAAAAA=&#10;" filled="f" stroked="f">
                  <v:textbox inset="0,0,0,0">
                    <w:txbxContent>
                      <w:p w14:paraId="238DE2FD" w14:textId="77777777" w:rsidR="00B32EF2" w:rsidRDefault="00000000">
                        <w:r>
                          <w:rPr>
                            <w:rFonts w:ascii="Arial" w:eastAsia="Arial" w:hAnsi="Arial" w:cs="Arial"/>
                            <w:sz w:val="18"/>
                          </w:rPr>
                          <w:t>5</w:t>
                        </w:r>
                      </w:p>
                    </w:txbxContent>
                  </v:textbox>
                </v:rect>
                <v:rect id="Rectangle 22247" o:spid="_x0000_s6324" style="position:absolute;left:193;top:316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fsIxgAAAN4AAAAPAAAAZHJzL2Rvd25yZXYueG1sRI9Ba8JA&#10;FITvBf/D8gRvdWMorURXEUWag5daBY+P7DOJZt8u2dVEf323UOhxmJlvmPmyN424U+trywom4wQE&#10;cWF1zaWCw/f2dQrCB2SNjWVS8CAPy8XgZY6Zth1/0X0fShEh7DNUUIXgMil9UZFBP7aOOHpn2xoM&#10;Ubal1C12EW4amSbJuzRYc1yo0NG6ouK6vxkFpw27fNvJ4vxcu90lnzaft8NRqdGwX81ABOrDf/iv&#10;nWsFaZq+fcDvnXgF5OIHAAD//wMAUEsBAi0AFAAGAAgAAAAhANvh9svuAAAAhQEAABMAAAAAAAAA&#10;AAAAAAAAAAAAAFtDb250ZW50X1R5cGVzXS54bWxQSwECLQAUAAYACAAAACEAWvQsW78AAAAVAQAA&#10;CwAAAAAAAAAAAAAAAAAfAQAAX3JlbHMvLnJlbHNQSwECLQAUAAYACAAAACEAck37CMYAAADeAAAA&#10;DwAAAAAAAAAAAAAAAAAHAgAAZHJzL2Rvd25yZXYueG1sUEsFBgAAAAADAAMAtwAAAPoCAAAAAA==&#10;" filled="f" stroked="f">
                  <v:textbox inset="0,0,0,0">
                    <w:txbxContent>
                      <w:p w14:paraId="4A8E25CC" w14:textId="77777777" w:rsidR="00B32EF2" w:rsidRDefault="00000000">
                        <w:r>
                          <w:rPr>
                            <w:rFonts w:ascii="Arial" w:eastAsia="Arial" w:hAnsi="Arial" w:cs="Arial"/>
                            <w:sz w:val="18"/>
                          </w:rPr>
                          <w:t>-</w:t>
                        </w:r>
                      </w:p>
                    </w:txbxContent>
                  </v:textbox>
                </v:rect>
                <v:rect id="Rectangle 22248" o:spid="_x0000_s6325" style="position:absolute;left:-13171;top:303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m96wwAAAN4AAAAPAAAAZHJzL2Rvd25yZXYueG1sRE9Ni8Iw&#10;EL0v+B/CCN7W1LKIVKOIItuDl1UX9jg0Y1ttJqGJtvrrNwfB4+N9L1a9acSdWl9bVjAZJyCIC6tr&#10;LhWcjrvPGQgfkDU2lknBgzysloOPBWbadvxD90MoRQxhn6GCKgSXSemLigz6sXXEkTvb1mCIsC2l&#10;brGL4aaRaZJMpcGaY0OFjjYVFdfDzSj427LLd50szs+N21/yWfN9O/0qNRr26zmIQH14i1/uXCtI&#10;0/Qr7o134hWQy38AAAD//wMAUEsBAi0AFAAGAAgAAAAhANvh9svuAAAAhQEAABMAAAAAAAAAAAAA&#10;AAAAAAAAAFtDb250ZW50X1R5cGVzXS54bWxQSwECLQAUAAYACAAAACEAWvQsW78AAAAVAQAACwAA&#10;AAAAAAAAAAAAAAAfAQAAX3JlbHMvLnJlbHNQSwECLQAUAAYACAAAACEAA9JvesMAAADeAAAADwAA&#10;AAAAAAAAAAAAAAAHAgAAZHJzL2Rvd25yZXYueG1sUEsFBgAAAAADAAMAtwAAAPcCAAAAAA==&#10;" filled="f" stroked="f">
                  <v:textbox inset="0,0,0,0">
                    <w:txbxContent>
                      <w:p w14:paraId="01F605C1" w14:textId="77777777" w:rsidR="00B32EF2" w:rsidRDefault="00000000">
                        <w:r>
                          <w:rPr>
                            <w:rFonts w:ascii="Arial" w:eastAsia="Arial" w:hAnsi="Arial" w:cs="Arial"/>
                            <w:sz w:val="18"/>
                          </w:rPr>
                          <w:t xml:space="preserve">desimo incarico o di diverso incarico per trasferimento dei componenti delle </w:t>
                        </w:r>
                      </w:p>
                    </w:txbxContent>
                  </v:textbox>
                </v:rect>
                <v:rect id="Rectangle 22249" o:spid="_x0000_s6326" style="position:absolute;left:-13171;top:291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srhxgAAAN4AAAAPAAAAZHJzL2Rvd25yZXYueG1sRI9Ba8JA&#10;FITvBf/D8gRvdWMoxUZXEUWag5daBY+P7DOJZt8u2dVEf323UOhxmJlvmPmyN424U+trywom4wQE&#10;cWF1zaWCw/f2dQrCB2SNjWVS8CAPy8XgZY6Zth1/0X0fShEh7DNUUIXgMil9UZFBP7aOOHpn2xoM&#10;Ubal1C12EW4amSbJuzRYc1yo0NG6ouK6vxkFpw27fNvJ4vxcu90lnzaft8NRqdGwX81ABOrDf/iv&#10;nWsFaZq+fcDvnXgF5OIHAAD//wMAUEsBAi0AFAAGAAgAAAAhANvh9svuAAAAhQEAABMAAAAAAAAA&#10;AAAAAAAAAAAAAFtDb250ZW50X1R5cGVzXS54bWxQSwECLQAUAAYACAAAACEAWvQsW78AAAAVAQAA&#10;CwAAAAAAAAAAAAAAAAAfAQAAX3JlbHMvLnJlbHNQSwECLQAUAAYACAAAACEAbJ7K4cYAAADeAAAA&#10;DwAAAAAAAAAAAAAAAAAHAgAAZHJzL2Rvd25yZXYueG1sUEsFBgAAAAADAAMAtwAAAPoCAAAAAA==&#10;" filled="f" stroked="f">
                  <v:textbox inset="0,0,0,0">
                    <w:txbxContent>
                      <w:p w14:paraId="0EA5B7CD" w14:textId="77777777" w:rsidR="00B32EF2" w:rsidRDefault="00000000">
                        <w:r>
                          <w:rPr>
                            <w:rFonts w:ascii="Arial" w:eastAsia="Arial" w:hAnsi="Arial" w:cs="Arial"/>
                            <w:sz w:val="18"/>
                          </w:rPr>
                          <w:t xml:space="preserve">corti di giustizia tributaria di primo e secondo grado in servizio è disposta, </w:t>
                        </w:r>
                      </w:p>
                    </w:txbxContent>
                  </v:textbox>
                </v:rect>
                <v:rect id="Rectangle 22250" o:spid="_x0000_s6327" style="position:absolute;left:-12190;top:27900;width:521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fWhxAAAAN4AAAAPAAAAZHJzL2Rvd25yZXYueG1sRI/NisIw&#10;FIX3A75DuIK7MbUwItUoosh04WbUgVlemmtbbW5CE2316ScLweXh/PEtVr1pxJ1aX1tWMBknIIgL&#10;q2suFZyOu88ZCB+QNTaWScGDPKyWg48FZtp2/EP3QyhFHGGfoYIqBJdJ6YuKDPqxdcTRO9vWYIiy&#10;LaVusYvjppFpkkylwZrjQ4WONhUV18PNKPjbsst3nSzOz43bX/JZ8307/So1GvbrOYhAfXiHX+1c&#10;K0jT9CsCRJyIAnL5DwAA//8DAFBLAQItABQABgAIAAAAIQDb4fbL7gAAAIUBAAATAAAAAAAAAAAA&#10;AAAAAAAAAABbQ29udGVudF9UeXBlc10ueG1sUEsBAi0AFAAGAAgAAAAhAFr0LFu/AAAAFQEAAAsA&#10;AAAAAAAAAAAAAAAAHwEAAF9yZWxzLy5yZWxzUEsBAi0AFAAGAAgAAAAhAHh99aHEAAAA3gAAAA8A&#10;AAAAAAAAAAAAAAAABwIAAGRycy9kb3ducmV2LnhtbFBLBQYAAAAAAwADALcAAAD4AgAAAAA=&#10;" filled="f" stroked="f">
                  <v:textbox inset="0,0,0,0">
                    <w:txbxContent>
                      <w:p w14:paraId="4B2DDFAD" w14:textId="77777777" w:rsidR="00B32EF2" w:rsidRDefault="00000000">
                        <w:r>
                          <w:rPr>
                            <w:rFonts w:ascii="Arial" w:eastAsia="Arial" w:hAnsi="Arial" w:cs="Arial"/>
                            <w:sz w:val="18"/>
                          </w:rPr>
                          <w:t>salvo giudizio di demerito, sulla base dei punteggi stabiliti dalla tabella C alle</w:t>
                        </w:r>
                      </w:p>
                    </w:txbxContent>
                  </v:textbox>
                </v:rect>
                <v:rect id="Rectangle 22251" o:spid="_x0000_s6328" style="position:absolute;left:193;top:279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VA6xgAAAN4AAAAPAAAAZHJzL2Rvd25yZXYueG1sRI9Ba8JA&#10;FITvgv9heYI33RiwSHQVUcQcvNRa6PGRfSbR7Nslu5rYX98tFHocZuYbZrXpTSOe1PrasoLZNAFB&#10;XFhdc6ng8nGYLED4gKyxsUwKXuRhsx4OVphp2/E7Pc+hFBHCPkMFVQguk9IXFRn0U+uIo3e1rcEQ&#10;ZVtK3WIX4aaRaZK8SYM1x4UKHe0qKu7nh1HwtWeXHzpZXL937nTLF83xcflUajzqt0sQgfrwH/5r&#10;51pBmqbzGfzeiVdArn8AAAD//wMAUEsBAi0AFAAGAAgAAAAhANvh9svuAAAAhQEAABMAAAAAAAAA&#10;AAAAAAAAAAAAAFtDb250ZW50X1R5cGVzXS54bWxQSwECLQAUAAYACAAAACEAWvQsW78AAAAVAQAA&#10;CwAAAAAAAAAAAAAAAAAfAQAAX3JlbHMvLnJlbHNQSwECLQAUAAYACAAAACEAFzFQOsYAAADeAAAA&#10;DwAAAAAAAAAAAAAAAAAHAgAAZHJzL2Rvd25yZXYueG1sUEsFBgAAAAADAAMAtwAAAPoCAAAAAA==&#10;" filled="f" stroked="f">
                  <v:textbox inset="0,0,0,0">
                    <w:txbxContent>
                      <w:p w14:paraId="7F7BF447" w14:textId="77777777" w:rsidR="00B32EF2" w:rsidRDefault="00000000">
                        <w:r>
                          <w:rPr>
                            <w:rFonts w:ascii="Arial" w:eastAsia="Arial" w:hAnsi="Arial" w:cs="Arial"/>
                            <w:sz w:val="18"/>
                          </w:rPr>
                          <w:t>-</w:t>
                        </w:r>
                      </w:p>
                    </w:txbxContent>
                  </v:textbox>
                </v:rect>
                <v:rect id="Rectangle 22252" o:spid="_x0000_s6329" style="position:absolute;left:-13170;top:266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85NxwAAAN4AAAAPAAAAZHJzL2Rvd25yZXYueG1sRI9PawIx&#10;FMTvQr9DeIXeNNtAi6xGKRbpHnqpf8DjY/PcXd28hE10t/30jSB4HGbmN8x8OdhWXKkLjWMNr5MM&#10;BHHpTMOVht12PZ6CCBHZYOuYNPxSgOXiaTTH3Lief+i6iZVIEA45aqhj9LmUoazJYpg4T5y8o+ss&#10;xiS7SpoO+wS3rVRZ9i4tNpwWavS0qqk8by5Ww+GTfbHuZXn8W/nvUzFtvy67vdYvz8PHDESkIT7C&#10;93ZhNCil3hTc7qQrIBf/AAAA//8DAFBLAQItABQABgAIAAAAIQDb4fbL7gAAAIUBAAATAAAAAAAA&#10;AAAAAAAAAAAAAABbQ29udGVudF9UeXBlc10ueG1sUEsBAi0AFAAGAAgAAAAhAFr0LFu/AAAAFQEA&#10;AAsAAAAAAAAAAAAAAAAAHwEAAF9yZWxzLy5yZWxzUEsBAi0AFAAGAAgAAAAhAOfjzk3HAAAA3gAA&#10;AA8AAAAAAAAAAAAAAAAABwIAAGRycy9kb3ducmV2LnhtbFBLBQYAAAAAAwADALcAAAD7AgAAAAA=&#10;" filled="f" stroked="f">
                  <v:textbox inset="0,0,0,0">
                    <w:txbxContent>
                      <w:p w14:paraId="1CC24FC4" w14:textId="77777777" w:rsidR="00B32EF2" w:rsidRDefault="00000000">
                        <w:r>
                          <w:rPr>
                            <w:rFonts w:ascii="Arial" w:eastAsia="Arial" w:hAnsi="Arial" w:cs="Arial"/>
                            <w:sz w:val="18"/>
                          </w:rPr>
                          <w:t xml:space="preserve">gata al presente testo unico. Il Consiglio di presidenza, in caso di vacanza nei </w:t>
                        </w:r>
                      </w:p>
                    </w:txbxContent>
                  </v:textbox>
                </v:rect>
                <v:rect id="Rectangle 22253" o:spid="_x0000_s6330" style="position:absolute;left:-13171;top:25434;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2vWxgAAAN4AAAAPAAAAZHJzL2Rvd25yZXYueG1sRI9Ba8JA&#10;FITvBf/D8gRvdWNKi0RXEUWag5daBY+P7DOJZt8u2dVEf323UOhxmJlvmPmyN424U+trywom4wQE&#10;cWF1zaWCw/f2dQrCB2SNjWVS8CAPy8XgZY6Zth1/0X0fShEh7DNUUIXgMil9UZFBP7aOOHpn2xoM&#10;Ubal1C12EW4amSbJhzRYc1yo0NG6ouK6vxkFpw27fNvJ4vxcu90lnzaft8NRqdGwX81ABOrDf/iv&#10;nWsFaZq+v8HvnXgF5OIHAAD//wMAUEsBAi0AFAAGAAgAAAAhANvh9svuAAAAhQEAABMAAAAAAAAA&#10;AAAAAAAAAAAAAFtDb250ZW50X1R5cGVzXS54bWxQSwECLQAUAAYACAAAACEAWvQsW78AAAAVAQAA&#10;CwAAAAAAAAAAAAAAAAAfAQAAX3JlbHMvLnJlbHNQSwECLQAUAAYACAAAACEAiK9r1sYAAADeAAAA&#10;DwAAAAAAAAAAAAAAAAAHAgAAZHJzL2Rvd25yZXYueG1sUEsFBgAAAAADAAMAtwAAAPoCAAAAAA==&#10;" filled="f" stroked="f">
                  <v:textbox inset="0,0,0,0">
                    <w:txbxContent>
                      <w:p w14:paraId="32ED0B26" w14:textId="77777777" w:rsidR="00B32EF2" w:rsidRDefault="00000000">
                        <w:r>
                          <w:rPr>
                            <w:rFonts w:ascii="Arial" w:eastAsia="Arial" w:hAnsi="Arial" w:cs="Arial"/>
                            <w:sz w:val="18"/>
                          </w:rPr>
                          <w:t xml:space="preserve">posti di presidente, di presidente di sezione, di vicepresidente e di componente </w:t>
                        </w:r>
                      </w:p>
                    </w:txbxContent>
                  </v:textbox>
                </v:rect>
                <v:rect id="Rectangle 22254" o:spid="_x0000_s6331" style="position:absolute;left:-13175;top:24200;width:531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OixgAAAN4AAAAPAAAAZHJzL2Rvd25yZXYueG1sRI9Ba8JA&#10;FITvBf/D8gRvdWNoi0RXEUWag5daBY+P7DOJZt8u2dVEf323UOhxmJlvmPmyN424U+trywom4wQE&#10;cWF1zaWCw/f2dQrCB2SNjWVS8CAPy8XgZY6Zth1/0X0fShEh7DNUUIXgMil9UZFBP7aOOHpn2xoM&#10;Ubal1C12EW4amSbJhzRYc1yo0NG6ouK6vxkFpw27fNvJ4vxcu90lnzaft8NRqdGwX81ABOrDf/iv&#10;nWsFaZq+v8HvnXgF5OIHAAD//wMAUEsBAi0AFAAGAAgAAAAhANvh9svuAAAAhQEAABMAAAAAAAAA&#10;AAAAAAAAAAAAAFtDb250ZW50X1R5cGVzXS54bWxQSwECLQAUAAYACAAAACEAWvQsW78AAAAVAQAA&#10;CwAAAAAAAAAAAAAAAAAfAQAAX3JlbHMvLnJlbHNQSwECLQAUAAYACAAAACEAB0bzosYAAADeAAAA&#10;DwAAAAAAAAAAAAAAAAAHAgAAZHJzL2Rvd25yZXYueG1sUEsFBgAAAAADAAMAtwAAAPoCAAAAAA==&#10;" filled="f" stroked="f">
                  <v:textbox inset="0,0,0,0">
                    <w:txbxContent>
                      <w:p w14:paraId="642B08D4" w14:textId="77777777" w:rsidR="00B32EF2" w:rsidRDefault="00000000">
                        <w:r>
                          <w:rPr>
                            <w:rFonts w:ascii="Arial" w:eastAsia="Arial" w:hAnsi="Arial" w:cs="Arial"/>
                            <w:sz w:val="18"/>
                          </w:rPr>
                          <w:t xml:space="preserve">presso una sede giudiziaria di corte di giustizia tributaria, provvede a bandire, </w:t>
                        </w:r>
                      </w:p>
                    </w:txbxContent>
                  </v:textbox>
                </v:rect>
                <v:rect id="Rectangle 22255" o:spid="_x0000_s6332" style="position:absolute;left:-13171;top:229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Y5xgAAAN4AAAAPAAAAZHJzL2Rvd25yZXYueG1sRI9Ba8JA&#10;FITvBf/D8gre6qYBi6SuIoqYg5faCB4f2WeSmn27ZFcT/fVuodDjMDPfMPPlYFpxo843lhW8TxIQ&#10;xKXVDVcKiu/t2wyED8gaW8uk4E4elovRyxwzbXv+otshVCJC2GeooA7BZVL6siaDfmIdcfTOtjMY&#10;ouwqqTvsI9y0Mk2SD2mw4bhQo6N1TeXlcDUKTht2+baX5fmxdvuffNbursVRqfHrsPoEEWgI/+G/&#10;dq4VpGk6ncLvnXgF5OIJAAD//wMAUEsBAi0AFAAGAAgAAAAhANvh9svuAAAAhQEAABMAAAAAAAAA&#10;AAAAAAAAAAAAAFtDb250ZW50X1R5cGVzXS54bWxQSwECLQAUAAYACAAAACEAWvQsW78AAAAVAQAA&#10;CwAAAAAAAAAAAAAAAAAfAQAAX3JlbHMvLnJlbHNQSwECLQAUAAYACAAAACEAaApWOcYAAADeAAAA&#10;DwAAAAAAAAAAAAAAAAAHAgAAZHJzL2Rvd25yZXYueG1sUEsFBgAAAAADAAMAtwAAAPoCAAAAAA==&#10;" filled="f" stroked="f">
                  <v:textbox inset="0,0,0,0">
                    <w:txbxContent>
                      <w:p w14:paraId="7C9C7052" w14:textId="77777777" w:rsidR="00B32EF2" w:rsidRDefault="00000000">
                        <w:r>
                          <w:rPr>
                            <w:rFonts w:ascii="Arial" w:eastAsia="Arial" w:hAnsi="Arial" w:cs="Arial"/>
                            <w:sz w:val="18"/>
                          </w:rPr>
                          <w:t xml:space="preserve">almeno una volta l’anno e con priorità rispetto alle procedure concorsuali di </w:t>
                        </w:r>
                      </w:p>
                    </w:txbxContent>
                  </v:textbox>
                </v:rect>
                <v:rect id="Rectangle 22256" o:spid="_x0000_s6333" style="position:absolute;left:-13171;top:217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MhOxgAAAN4AAAAPAAAAZHJzL2Rvd25yZXYueG1sRI9Ba8JA&#10;FITvgv9heQVvumlAkdRVRBFz6KU2gsdH9pmkZt8u2dXE/vpuodDjMDPfMKvNYFrxoM43lhW8zhIQ&#10;xKXVDVcKis/DdAnCB2SNrWVS8CQPm/V4tMJM254/6HEKlYgQ9hkqqENwmZS+rMmgn1lHHL2r7QyG&#10;KLtK6g77CDetTJNkIQ02HBdqdLSrqbyd7kbBZc8uP/SyvH7v3PtXvmyP9+Ks1ORl2L6BCDSE//Bf&#10;O9cK0jSdL+D3TrwCcv0DAAD//wMAUEsBAi0AFAAGAAgAAAAhANvh9svuAAAAhQEAABMAAAAAAAAA&#10;AAAAAAAAAAAAAFtDb250ZW50X1R5cGVzXS54bWxQSwECLQAUAAYACAAAACEAWvQsW78AAAAVAQAA&#10;CwAAAAAAAAAAAAAAAAAfAQAAX3JlbHMvLnJlbHNQSwECLQAUAAYACAAAACEAmNjITsYAAADeAAAA&#10;DwAAAAAAAAAAAAAAAAAHAgAAZHJzL2Rvd25yZXYueG1sUEsFBgAAAAADAAMAtwAAAPoCAAAAAA==&#10;" filled="f" stroked="f">
                  <v:textbox inset="0,0,0,0">
                    <w:txbxContent>
                      <w:p w14:paraId="1B18274D" w14:textId="77777777" w:rsidR="00B32EF2" w:rsidRDefault="00000000">
                        <w:r>
                          <w:rPr>
                            <w:rFonts w:ascii="Arial" w:eastAsia="Arial" w:hAnsi="Arial" w:cs="Arial"/>
                            <w:sz w:val="18"/>
                          </w:rPr>
                          <w:t xml:space="preserve">cui all’articolo 5 e a quelle per diverso incarico, interpelli per il trasferimento di </w:t>
                        </w:r>
                      </w:p>
                    </w:txbxContent>
                  </v:textbox>
                </v:rect>
                <v:rect id="Rectangle 22257" o:spid="_x0000_s6334" style="position:absolute;left:-7414;top:20500;width:473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G3VxgAAAN4AAAAPAAAAZHJzL2Rvd25yZXYueG1sRI9Ba8JA&#10;FITvBf/D8gRvdWOgrURXEUWag5daBY+P7DOJZt8u2dVEf323UOhxmJlvmPmyN424U+trywom4wQE&#10;cWF1zaWCw/f2dQrCB2SNjWVS8CAPy8XgZY6Zth1/0X0fShEh7DNUUIXgMil9UZFBP7aOOHpn2xoM&#10;Ubal1C12EW4amSbJuzRYc1yo0NG6ouK6vxkFpw27fNvJ4vxcu90lnzaft8NRqdGwX81ABOrDf/iv&#10;nWsFaZq+fcDvnXgF5OIHAAD//wMAUEsBAi0AFAAGAAgAAAAhANvh9svuAAAAhQEAABMAAAAAAAAA&#10;AAAAAAAAAAAAAFtDb250ZW50X1R5cGVzXS54bWxQSwECLQAUAAYACAAAACEAWvQsW78AAAAVAQAA&#10;CwAAAAAAAAAAAAAAAAAfAQAAX3JlbHMvLnJlbHNQSwECLQAUAAYACAAAACEA95Rt1cYAAADeAAAA&#10;DwAAAAAAAAAAAAAAAAAHAgAAZHJzL2Rvd25yZXYueG1sUEsFBgAAAAADAAMAtwAAAPoCAAAAAA==&#10;" filled="f" stroked="f">
                  <v:textbox inset="0,0,0,0">
                    <w:txbxContent>
                      <w:p w14:paraId="3FAD7619" w14:textId="77777777" w:rsidR="00B32EF2" w:rsidRDefault="00000000">
                        <w:r>
                          <w:rPr>
                            <w:rFonts w:ascii="Arial" w:eastAsia="Arial" w:hAnsi="Arial" w:cs="Arial"/>
                            <w:sz w:val="18"/>
                          </w:rPr>
                          <w:t>giudici che ricoprono la medesima funzione o una funzione superiore.</w:t>
                        </w:r>
                      </w:p>
                    </w:txbxContent>
                  </v:textbox>
                </v:rect>
                <v:rect id="Rectangle 202177" o:spid="_x0000_s6335" style="position:absolute;left:26349;top:19267;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aNLyAAAAN8AAAAPAAAAZHJzL2Rvd25yZXYueG1sRI9Pa8JA&#10;FMTvBb/D8oTe6sYcqkQ3Ioo0h15qFTw+si9/NPt2ya4m7afvFgo9DjPzG2a9GU0nHtT71rKC+SwB&#10;QVxa3XKt4PR5eFmC8AFZY2eZFHyRh00+eVpjpu3AH/Q4hlpECPsMFTQhuExKXzZk0M+sI45eZXuD&#10;Icq+lrrHIcJNJ9MkeZUGW44LDTraNVTejnej4LJnVxwGWVbfO/d+LZbd2/10Vup5Om5XIAKN4T/8&#10;1y60gjRJ54sF/P6JX0DmPwAAAP//AwBQSwECLQAUAAYACAAAACEA2+H2y+4AAACFAQAAEwAAAAAA&#10;AAAAAAAAAAAAAAAAW0NvbnRlbnRfVHlwZXNdLnhtbFBLAQItABQABgAIAAAAIQBa9CxbvwAAABUB&#10;AAALAAAAAAAAAAAAAAAAAB8BAABfcmVscy8ucmVsc1BLAQItABQABgAIAAAAIQBv0aNLyAAAAN8A&#10;AAAPAAAAAAAAAAAAAAAAAAcCAABkcnMvZG93bnJldi54bWxQSwUGAAAAAAMAAwC3AAAA/AIAAAAA&#10;" filled="f" stroked="f">
                  <v:textbox inset="0,0,0,0">
                    <w:txbxContent>
                      <w:p w14:paraId="7D5C8CD4" w14:textId="77777777" w:rsidR="00B32EF2" w:rsidRDefault="00000000">
                        <w:r>
                          <w:rPr>
                            <w:rFonts w:ascii="Arial" w:eastAsia="Arial" w:hAnsi="Arial" w:cs="Arial"/>
                            <w:sz w:val="18"/>
                          </w:rPr>
                          <w:t>6</w:t>
                        </w:r>
                      </w:p>
                    </w:txbxContent>
                  </v:textbox>
                </v:rect>
                <v:rect id="Rectangle 202178" o:spid="_x0000_s6336" style="position:absolute;left:-12851;top:19267;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c5xAAAAN8AAAAPAAAAZHJzL2Rvd25yZXYueG1sRE/LisIw&#10;FN0P+A/hCu7G1C5mpBpFFJkuZuMLXF6aa1ttbkITbZ2vN4sBl4fzni9704gHtb62rGAyTkAQF1bX&#10;XCo4HrafUxA+IGtsLJOCJ3lYLgYfc8y07XhHj30oRQxhn6GCKgSXSemLigz6sXXEkbvY1mCIsC2l&#10;brGL4aaRaZJ8SYM1x4YKHa0rKm77u1Fw3rDLt50sLn9r93vNp83P/XhSajTsVzMQgfrwFv+7c60g&#10;TdLJdxwc/8QvIBcvAAAA//8DAFBLAQItABQABgAIAAAAIQDb4fbL7gAAAIUBAAATAAAAAAAAAAAA&#10;AAAAAAAAAABbQ29udGVudF9UeXBlc10ueG1sUEsBAi0AFAAGAAgAAAAhAFr0LFu/AAAAFQEAAAsA&#10;AAAAAAAAAAAAAAAAHwEAAF9yZWxzLy5yZWxzUEsBAi0AFAAGAAgAAAAhAB5ONznEAAAA3wAAAA8A&#10;AAAAAAAAAAAAAAAABwIAAGRycy9kb3ducmV2LnhtbFBLBQYAAAAAAwADALcAAAD4AgAAAAA=&#10;" filled="f" stroked="f">
                  <v:textbox inset="0,0,0,0">
                    <w:txbxContent>
                      <w:p w14:paraId="5526ACE2" w14:textId="77777777" w:rsidR="00B32EF2" w:rsidRDefault="00000000">
                        <w:r>
                          <w:rPr>
                            <w:rFonts w:ascii="Arial" w:eastAsia="Arial" w:hAnsi="Arial" w:cs="Arial"/>
                            <w:sz w:val="18"/>
                          </w:rPr>
                          <w:t>. L’assegnazione degli incarichi è disposta nel rispetto delle seguenti moda</w:t>
                        </w:r>
                      </w:p>
                    </w:txbxContent>
                  </v:textbox>
                </v:rect>
                <v:rect id="Rectangle 22259" o:spid="_x0000_s6337" style="position:absolute;left:193;top:192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1w8xgAAAN4AAAAPAAAAZHJzL2Rvd25yZXYueG1sRI9Ba8JA&#10;FITvBf/D8gRvdWOgxUZXEUWag5daBY+P7DOJZt8u2dVEf323UOhxmJlvmPmyN424U+trywom4wQE&#10;cWF1zaWCw/f2dQrCB2SNjWVS8CAPy8XgZY6Zth1/0X0fShEh7DNUUIXgMil9UZFBP7aOOHpn2xoM&#10;Ubal1C12EW4amSbJuzRYc1yo0NG6ouK6vxkFpw27fNvJ4vxcu90lnzaft8NRqdGwX81ABOrDf/iv&#10;nWsFaZq+fcDvnXgF5OIHAAD//wMAUEsBAi0AFAAGAAgAAAAhANvh9svuAAAAhQEAABMAAAAAAAAA&#10;AAAAAAAAAAAAAFtDb250ZW50X1R5cGVzXS54bWxQSwECLQAUAAYACAAAACEAWvQsW78AAAAVAQAA&#10;CwAAAAAAAAAAAAAAAAAfAQAAX3JlbHMvLnJlbHNQSwECLQAUAAYACAAAACEA6UdcPMYAAADeAAAA&#10;DwAAAAAAAAAAAAAAAAAHAgAAZHJzL2Rvd25yZXYueG1sUEsFBgAAAAADAAMAtwAAAPoCAAAAAA==&#10;" filled="f" stroked="f">
                  <v:textbox inset="0,0,0,0">
                    <w:txbxContent>
                      <w:p w14:paraId="26C09552" w14:textId="77777777" w:rsidR="00B32EF2" w:rsidRDefault="00000000">
                        <w:r>
                          <w:rPr>
                            <w:rFonts w:ascii="Arial" w:eastAsia="Arial" w:hAnsi="Arial" w:cs="Arial"/>
                            <w:sz w:val="18"/>
                          </w:rPr>
                          <w:t>-</w:t>
                        </w:r>
                      </w:p>
                    </w:txbxContent>
                  </v:textbox>
                </v:rect>
                <v:rect id="Rectangle 22260" o:spid="_x0000_s6338" style="position:absolute;left:37536;top:18034;width:23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T8cxQAAAN4AAAAPAAAAZHJzL2Rvd25yZXYueG1sRI+7asMw&#10;FIb3Qt5BnEC3Ro4HExwroSSEeMhSN4WOB+v4klpHwlJit09fDYWOP/+Nr9jPZhAPGn1vWcF6lYAg&#10;rq3uuVVwfT+9bED4gKxxsEwKvsnDfrd4KjDXduI3elShFXGEfY4KuhBcLqWvOzLoV9YRR6+xo8EQ&#10;5dhKPeIUx80g0yTJpMGe40OHjg4d1V/V3Sj4PLIrT5Osm5+Du9zKzXC+Xz+Uel7Or1sQgebwH/5r&#10;l1pBmqZZBIg4EQXk7hcAAP//AwBQSwECLQAUAAYACAAAACEA2+H2y+4AAACFAQAAEwAAAAAAAAAA&#10;AAAAAAAAAAAAW0NvbnRlbnRfVHlwZXNdLnhtbFBLAQItABQABgAIAAAAIQBa9CxbvwAAABUBAAAL&#10;AAAAAAAAAAAAAAAAAB8BAABfcmVscy8ucmVsc1BLAQItABQABgAIAAAAIQC2ET8cxQAAAN4AAAAP&#10;AAAAAAAAAAAAAAAAAAcCAABkcnMvZG93bnJldi54bWxQSwUGAAAAAAMAAwC3AAAA+QIAAAAA&#10;" filled="f" stroked="f">
                  <v:textbox inset="0,0,0,0">
                    <w:txbxContent>
                      <w:p w14:paraId="704AB8B9" w14:textId="77777777" w:rsidR="00B32EF2" w:rsidRDefault="00000000">
                        <w:r>
                          <w:rPr>
                            <w:rFonts w:ascii="Arial" w:eastAsia="Arial" w:hAnsi="Arial" w:cs="Arial"/>
                            <w:sz w:val="18"/>
                          </w:rPr>
                          <w:t>lità:</w:t>
                        </w:r>
                      </w:p>
                    </w:txbxContent>
                  </v:textbox>
                </v:rect>
                <v:rect id="Rectangle 22261" o:spid="_x0000_s6339" style="position:absolute;left:-12204;top:16800;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ZqHxQAAAN4AAAAPAAAAZHJzL2Rvd25yZXYueG1sRI9Bi8Iw&#10;FITvC/6H8IS9rak9iFSjiCL2sJdVF/b4aJ5ttXkJTbTVX78RBI/DzHzDzJe9acSNWl9bVjAeJSCI&#10;C6trLhUcD9uvKQgfkDU2lknBnTwsF4OPOWbadvxDt30oRYSwz1BBFYLLpPRFRQb9yDri6J1sazBE&#10;2ZZSt9hFuGlkmiQTabDmuFCho3VFxWV/NQr+NuzybSeL02Ptvs/5tNldj79KfQ771QxEoD68w692&#10;rhWkaToZw/NOvAJy8Q8AAP//AwBQSwECLQAUAAYACAAAACEA2+H2y+4AAACFAQAAEwAAAAAAAAAA&#10;AAAAAAAAAAAAW0NvbnRlbnRfVHlwZXNdLnhtbFBLAQItABQABgAIAAAAIQBa9CxbvwAAABUBAAAL&#10;AAAAAAAAAAAAAAAAAB8BAABfcmVscy8ucmVsc1BLAQItABQABgAIAAAAIQDZXZqHxQAAAN4AAAAP&#10;AAAAAAAAAAAAAAAAAAcCAABkcnMvZG93bnJldi54bWxQSwUGAAAAAAMAAwC3AAAA+QIAAAAA&#10;" filled="f" stroked="f">
                  <v:textbox inset="0,0,0,0">
                    <w:txbxContent>
                      <w:p w14:paraId="20D1DB9D" w14:textId="77777777" w:rsidR="00B32EF2" w:rsidRDefault="00000000">
                        <w:r>
                          <w:rPr>
                            <w:rFonts w:ascii="Arial" w:eastAsia="Arial" w:hAnsi="Arial" w:cs="Arial"/>
                            <w:sz w:val="18"/>
                          </w:rPr>
                          <w:t>a) la vacanza nei posti di presidente, di presidente di sezione, di vicepresi</w:t>
                        </w:r>
                      </w:p>
                    </w:txbxContent>
                  </v:textbox>
                </v:rect>
                <v:rect id="Rectangle 22262" o:spid="_x0000_s6340" style="position:absolute;left:193;top:168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wTwxgAAAN4AAAAPAAAAZHJzL2Rvd25yZXYueG1sRI9BawIx&#10;FITvhf6H8ArearY5iGyNIop0D15qFXp8bJ67q5uXsInu6q9vBKHHYWa+YWaLwbbiSl1oHGv4GGcg&#10;iEtnGq407H8271MQISIbbB2ThhsFWMxfX2aYG9fzN113sRIJwiFHDXWMPpcylDVZDGPniZN3dJ3F&#10;mGRXSdNhn+C2lSrLJtJiw2mhRk+rmsrz7mI1/K7ZF5telsf7ym9PxbT9uuwPWo/ehuUniEhD/A8/&#10;24XRoJSaKHjcSVdAzv8AAAD//wMAUEsBAi0AFAAGAAgAAAAhANvh9svuAAAAhQEAABMAAAAAAAAA&#10;AAAAAAAAAAAAAFtDb250ZW50X1R5cGVzXS54bWxQSwECLQAUAAYACAAAACEAWvQsW78AAAAVAQAA&#10;CwAAAAAAAAAAAAAAAAAfAQAAX3JlbHMvLnJlbHNQSwECLQAUAAYACAAAACEAKY8E8MYAAADeAAAA&#10;DwAAAAAAAAAAAAAAAAAHAgAAZHJzL2Rvd25yZXYueG1sUEsFBgAAAAADAAMAtwAAAPoCAAAAAA==&#10;" filled="f" stroked="f">
                  <v:textbox inset="0,0,0,0">
                    <w:txbxContent>
                      <w:p w14:paraId="75783D49" w14:textId="77777777" w:rsidR="00B32EF2" w:rsidRDefault="00000000">
                        <w:r>
                          <w:rPr>
                            <w:rFonts w:ascii="Arial" w:eastAsia="Arial" w:hAnsi="Arial" w:cs="Arial"/>
                            <w:sz w:val="18"/>
                          </w:rPr>
                          <w:t>-</w:t>
                        </w:r>
                      </w:p>
                    </w:txbxContent>
                  </v:textbox>
                </v:rect>
                <v:rect id="Rectangle 22263" o:spid="_x0000_s6341" style="position:absolute;left:-12185;top:15567;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6FrxgAAAN4AAAAPAAAAZHJzL2Rvd25yZXYueG1sRI9Ba8JA&#10;FITvgv9heQVvumkEkdRVRBFz6KU2gsdH9pmkZt8u2dXE/vpuodDjMDPfMKvNYFrxoM43lhW8zhIQ&#10;xKXVDVcKis/DdAnCB2SNrWVS8CQPm/V4tMJM254/6HEKlYgQ9hkqqENwmZS+rMmgn1lHHL2r7QyG&#10;KLtK6g77CDetTJNkIQ02HBdqdLSrqbyd7kbBZc8uP/SyvH7v3PtXvmyP9+Ks1ORl2L6BCDSE//Bf&#10;O9cK0jRdzOH3TrwCcv0DAAD//wMAUEsBAi0AFAAGAAgAAAAhANvh9svuAAAAhQEAABMAAAAAAAAA&#10;AAAAAAAAAAAAAFtDb250ZW50X1R5cGVzXS54bWxQSwECLQAUAAYACAAAACEAWvQsW78AAAAVAQAA&#10;CwAAAAAAAAAAAAAAAAAfAQAAX3JlbHMvLnJlbHNQSwECLQAUAAYACAAAACEARsOha8YAAADeAAAA&#10;DwAAAAAAAAAAAAAAAAAHAgAAZHJzL2Rvd25yZXYueG1sUEsFBgAAAAADAAMAtwAAAPoCAAAAAA==&#10;" filled="f" stroked="f">
                  <v:textbox inset="0,0,0,0">
                    <w:txbxContent>
                      <w:p w14:paraId="03F15FB3" w14:textId="77777777" w:rsidR="00B32EF2" w:rsidRDefault="00000000">
                        <w:r>
                          <w:rPr>
                            <w:rFonts w:ascii="Arial" w:eastAsia="Arial" w:hAnsi="Arial" w:cs="Arial"/>
                            <w:sz w:val="18"/>
                          </w:rPr>
                          <w:t>dente delle corti di giustizia tributaria di primo e secondo grado e di compo</w:t>
                        </w:r>
                      </w:p>
                    </w:txbxContent>
                  </v:textbox>
                </v:rect>
                <v:rect id="Rectangle 22264" o:spid="_x0000_s6342" style="position:absolute;left:193;top:155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kfxgAAAN4AAAAPAAAAZHJzL2Rvd25yZXYueG1sRI9Ba8JA&#10;FITvgv9heQVvumkQkdRVRBFz6KU2gsdH9pmkZt8u2dXE/vpuodDjMDPfMKvNYFrxoM43lhW8zhIQ&#10;xKXVDVcKis/DdAnCB2SNrWVS8CQPm/V4tMJM254/6HEKlYgQ9hkqqENwmZS+rMmgn1lHHL2r7QyG&#10;KLtK6g77CDetTJNkIQ02HBdqdLSrqbyd7kbBZc8uP/SyvH7v3PtXvmyP9+Ks1ORl2L6BCDSE//Bf&#10;O9cK0jRdzOH3TrwCcv0DAAD//wMAUEsBAi0AFAAGAAgAAAAhANvh9svuAAAAhQEAABMAAAAAAAAA&#10;AAAAAAAAAAAAAFtDb250ZW50X1R5cGVzXS54bWxQSwECLQAUAAYACAAAACEAWvQsW78AAAAVAQAA&#10;CwAAAAAAAAAAAAAAAAAfAQAAX3JlbHMvLnJlbHNQSwECLQAUAAYACAAAACEAySo5H8YAAADeAAAA&#10;DwAAAAAAAAAAAAAAAAAHAgAAZHJzL2Rvd25yZXYueG1sUEsFBgAAAAADAAMAtwAAAPoCAAAAAA==&#10;" filled="f" stroked="f">
                  <v:textbox inset="0,0,0,0">
                    <w:txbxContent>
                      <w:p w14:paraId="02C44E84" w14:textId="77777777" w:rsidR="00B32EF2" w:rsidRDefault="00000000">
                        <w:r>
                          <w:rPr>
                            <w:rFonts w:ascii="Arial" w:eastAsia="Arial" w:hAnsi="Arial" w:cs="Arial"/>
                            <w:sz w:val="18"/>
                          </w:rPr>
                          <w:t>-</w:t>
                        </w:r>
                      </w:p>
                    </w:txbxContent>
                  </v:textbox>
                </v:rect>
                <v:rect id="Rectangle 22265" o:spid="_x0000_s6343" style="position:absolute;left:-13171;top:143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pyExgAAAN4AAAAPAAAAZHJzL2Rvd25yZXYueG1sRI9Ba8JA&#10;FITvgv9heQVvumlAkdRVRBFz6KU2gsdH9pmkZt8u2dXE/vpuodDjMDPfMKvNYFrxoM43lhW8zhIQ&#10;xKXVDVcKis/DdAnCB2SNrWVS8CQPm/V4tMJM254/6HEKlYgQ9hkqqENwmZS+rMmgn1lHHL2r7QyG&#10;KLtK6g77CDetTJNkIQ02HBdqdLSrqbyd7kbBZc8uP/SyvH7v3PtXvmyP9+Ks1ORl2L6BCDSE//Bf&#10;O9cK0jRdzOH3TrwCcv0DAAD//wMAUEsBAi0AFAAGAAgAAAAhANvh9svuAAAAhQEAABMAAAAAAAAA&#10;AAAAAAAAAAAAAFtDb250ZW50X1R5cGVzXS54bWxQSwECLQAUAAYACAAAACEAWvQsW78AAAAVAQAA&#10;CwAAAAAAAAAAAAAAAAAfAQAAX3JlbHMvLnJlbHNQSwECLQAUAAYACAAAACEApmachMYAAADeAAAA&#10;DwAAAAAAAAAAAAAAAAAHAgAAZHJzL2Rvd25yZXYueG1sUEsFBgAAAAADAAMAtwAAAPoCAAAAAA==&#10;" filled="f" stroked="f">
                  <v:textbox inset="0,0,0,0">
                    <w:txbxContent>
                      <w:p w14:paraId="10C6FE76" w14:textId="77777777" w:rsidR="00B32EF2" w:rsidRDefault="00000000">
                        <w:r>
                          <w:rPr>
                            <w:rFonts w:ascii="Arial" w:eastAsia="Arial" w:hAnsi="Arial" w:cs="Arial"/>
                            <w:sz w:val="18"/>
                          </w:rPr>
                          <w:t xml:space="preserve">nente delle corti di giustizia tributaria è portata dal Consiglio di presidenza a </w:t>
                        </w:r>
                      </w:p>
                    </w:txbxContent>
                  </v:textbox>
                </v:rect>
                <v:rect id="Rectangle 22266" o:spid="_x0000_s6344" style="position:absolute;left:-13171;top:13101;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LzxgAAAN4AAAAPAAAAZHJzL2Rvd25yZXYueG1sRI9Ba8JA&#10;FITvBf/D8oTe6sYcgkRXEUXMoZdaBY+P7DOJZt8u2dVEf323UOhxmJlvmMVqMK14UOcbywqmkwQE&#10;cWl1w5WC4/fuYwbCB2SNrWVS8CQPq+XobYG5tj1/0eMQKhEh7HNUUIfgcil9WZNBP7GOOHoX2xkM&#10;UXaV1B32EW5amSZJJg02HBdqdLSpqbwd7kbBecuu2PWyvLw27vNazNr9/XhS6n08rOcgAg3hP/zX&#10;LrSCNE2zDH7vxCsglz8AAAD//wMAUEsBAi0AFAAGAAgAAAAhANvh9svuAAAAhQEAABMAAAAAAAAA&#10;AAAAAAAAAAAAAFtDb250ZW50X1R5cGVzXS54bWxQSwECLQAUAAYACAAAACEAWvQsW78AAAAVAQAA&#10;CwAAAAAAAAAAAAAAAAAfAQAAX3JlbHMvLnJlbHNQSwECLQAUAAYACAAAACEAVrQC88YAAADeAAAA&#10;DwAAAAAAAAAAAAAAAAAHAgAAZHJzL2Rvd25yZXYueG1sUEsFBgAAAAADAAMAtwAAAPoCAAAAAA==&#10;" filled="f" stroked="f">
                  <v:textbox inset="0,0,0,0">
                    <w:txbxContent>
                      <w:p w14:paraId="116CF2E2" w14:textId="77777777" w:rsidR="00B32EF2" w:rsidRDefault="00000000">
                        <w:r>
                          <w:rPr>
                            <w:rFonts w:ascii="Arial" w:eastAsia="Arial" w:hAnsi="Arial" w:cs="Arial"/>
                            <w:sz w:val="18"/>
                          </w:rPr>
                          <w:t xml:space="preserve">conoscenza di tutti i componenti delle corti di giustizia tributaria in servizio, a </w:t>
                        </w:r>
                      </w:p>
                    </w:txbxContent>
                  </v:textbox>
                </v:rect>
                <v:rect id="Rectangle 22267" o:spid="_x0000_s6345" style="position:absolute;left:-13171;top:118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doxgAAAN4AAAAPAAAAZHJzL2Rvd25yZXYueG1sRI9Ba8JA&#10;FITvBf/D8gre6qY5WEldRRQxBy+1ETw+ss8kNft2ya4m+uvdQqHHYWa+YebLwbTiRp1vLCt4nyQg&#10;iEurG64UFN/btxkIH5A1tpZJwZ08LBejlzlm2vb8RbdDqESEsM9QQR2Cy6T0ZU0G/cQ64uidbWcw&#10;RNlVUnfYR7hpZZokU2mw4bhQo6N1TeXlcDUKTht2+baX5fmxdvuffNbursVRqfHrsPoEEWgI/+G/&#10;dq4VpGk6/YDfO/EKyMUTAAD//wMAUEsBAi0AFAAGAAgAAAAhANvh9svuAAAAhQEAABMAAAAAAAAA&#10;AAAAAAAAAAAAAFtDb250ZW50X1R5cGVzXS54bWxQSwECLQAUAAYACAAAACEAWvQsW78AAAAVAQAA&#10;CwAAAAAAAAAAAAAAAAAfAQAAX3JlbHMvLnJlbHNQSwECLQAUAAYACAAAACEAOfinaMYAAADeAAAA&#10;DwAAAAAAAAAAAAAAAAAHAgAAZHJzL2Rvd25yZXYueG1sUEsFBgAAAAADAAMAtwAAAPoCAAAAAA==&#10;" filled="f" stroked="f">
                  <v:textbox inset="0,0,0,0">
                    <w:txbxContent>
                      <w:p w14:paraId="10406902" w14:textId="77777777" w:rsidR="00B32EF2" w:rsidRDefault="00000000">
                        <w:r>
                          <w:rPr>
                            <w:rFonts w:ascii="Arial" w:eastAsia="Arial" w:hAnsi="Arial" w:cs="Arial"/>
                            <w:sz w:val="18"/>
                          </w:rPr>
                          <w:t xml:space="preserve">prescindere dalle funzioni svolte, con indicazione del termine entro il quale chi </w:t>
                        </w:r>
                      </w:p>
                    </w:txbxContent>
                  </v:textbox>
                </v:rect>
                <v:rect id="Rectangle 22268" o:spid="_x0000_s6346" style="position:absolute;left:9343;top:10634;width:305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zMaxAAAAN4AAAAPAAAAZHJzL2Rvd25yZXYueG1sRE+7asMw&#10;FN0L+QdxA90aOR5McKyEkhDiIUvdFDperOtHal0JS4ndfn01FDoezrvYz2YQDxp9b1nBepWAIK6t&#10;7rlVcH0/vWxA+ICscbBMCr7Jw363eCow13biN3pUoRUxhH2OCroQXC6lrzsy6FfWEUeusaPBEOHY&#10;Sj3iFMPNINMkyaTBnmNDh44OHdVf1d0o+DyyK0+TrJufg7vcys1wvl8/lHpezq9bEIHm8C/+c5da&#10;QZqmWdwb78QrIHe/AAAA//8DAFBLAQItABQABgAIAAAAIQDb4fbL7gAAAIUBAAATAAAAAAAAAAAA&#10;AAAAAAAAAABbQ29udGVudF9UeXBlc10ueG1sUEsBAi0AFAAGAAgAAAAhAFr0LFu/AAAAFQEAAAsA&#10;AAAAAAAAAAAAAAAAHwEAAF9yZWxzLy5yZWxzUEsBAi0AFAAGAAgAAAAhAEhnMxrEAAAA3gAAAA8A&#10;AAAAAAAAAAAAAAAABwIAAGRycy9kb3ducmV2LnhtbFBLBQYAAAAAAwADALcAAAD4AgAAAAA=&#10;" filled="f" stroked="f">
                  <v:textbox inset="0,0,0,0">
                    <w:txbxContent>
                      <w:p w14:paraId="06A26E03" w14:textId="77777777" w:rsidR="00B32EF2" w:rsidRDefault="00000000">
                        <w:r>
                          <w:rPr>
                            <w:rFonts w:ascii="Arial" w:eastAsia="Arial" w:hAnsi="Arial" w:cs="Arial"/>
                            <w:sz w:val="18"/>
                          </w:rPr>
                          <w:t>aspira all’incarico deve presentare domanda;</w:t>
                        </w:r>
                      </w:p>
                    </w:txbxContent>
                  </v:textbox>
                </v:rect>
                <v:rect id="Rectangle 22269" o:spid="_x0000_s6347" style="position:absolute;left:-13171;top:940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5aBxgAAAN4AAAAPAAAAZHJzL2Rvd25yZXYueG1sRI9Ba8JA&#10;FITvgv9heYXedNMcxKauIoo0By+1ETw+ss8kNft2ya4m+uvdQqHHYWa+YRarwbTiRp1vLCt4myYg&#10;iEurG64UFN+7yRyED8gaW8uk4E4eVsvxaIGZtj1/0e0QKhEh7DNUUIfgMil9WZNBP7WOOHpn2xkM&#10;UXaV1B32EW5amSbJTBpsOC7U6GhTU3k5XI2C05ZdvutleX5s3P4nn7ef1+Ko1OvLsP4AEWgI/+G/&#10;dq4VpGk6e4ffO/EKyOUTAAD//wMAUEsBAi0AFAAGAAgAAAAhANvh9svuAAAAhQEAABMAAAAAAAAA&#10;AAAAAAAAAAAAAFtDb250ZW50X1R5cGVzXS54bWxQSwECLQAUAAYACAAAACEAWvQsW78AAAAVAQAA&#10;CwAAAAAAAAAAAAAAAAAfAQAAX3JlbHMvLnJlbHNQSwECLQAUAAYACAAAACEAJyuWgcYAAADeAAAA&#10;DwAAAAAAAAAAAAAAAAAHAgAAZHJzL2Rvd25yZXYueG1sUEsFBgAAAAADAAMAtwAAAPoCAAAAAA==&#10;" filled="f" stroked="f">
                  <v:textbox inset="0,0,0,0">
                    <w:txbxContent>
                      <w:p w14:paraId="14040718" w14:textId="77777777" w:rsidR="00B32EF2" w:rsidRDefault="00000000">
                        <w:r>
                          <w:rPr>
                            <w:rFonts w:ascii="Arial" w:eastAsia="Arial" w:hAnsi="Arial" w:cs="Arial"/>
                            <w:sz w:val="18"/>
                          </w:rPr>
                          <w:t xml:space="preserve">b) alla nomina per ciascuno degli incarichi di cui alla lettera a) si procede sulla </w:t>
                        </w:r>
                      </w:p>
                    </w:txbxContent>
                  </v:textbox>
                </v:rect>
                <v:rect id="Rectangle 22270" o:spid="_x0000_s6348" style="position:absolute;left:-12202;top:8167;width:52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KnBxAAAAN4AAAAPAAAAZHJzL2Rvd25yZXYueG1sRI/NisIw&#10;FIX3A75DuIK7MbWLUapRRJHpws2oA7O8NNe22tyEJtrq008WgsvD+eNbrHrTiDu1vrasYDJOQBAX&#10;VtdcKjgdd58zED4ga2wsk4IHeVgtBx8LzLTt+Ifuh1CKOMI+QwVVCC6T0hcVGfRj64ijd7atwRBl&#10;W0rdYhfHTSPTJPmSBmuODxU62lRUXA83o+Bvyy7fdbI4Pzduf8lnzfft9KvUaNiv5yAC9eEdfrVz&#10;rSBN02kEiDgRBeTyHwAA//8DAFBLAQItABQABgAIAAAAIQDb4fbL7gAAAIUBAAATAAAAAAAAAAAA&#10;AAAAAAAAAABbQ29udGVudF9UeXBlc10ueG1sUEsBAi0AFAAGAAgAAAAhAFr0LFu/AAAAFQEAAAsA&#10;AAAAAAAAAAAAAAAAHwEAAF9yZWxzLy5yZWxzUEsBAi0AFAAGAAgAAAAhADPIqcHEAAAA3gAAAA8A&#10;AAAAAAAAAAAAAAAABwIAAGRycy9kb3ducmV2LnhtbFBLBQYAAAAAAwADALcAAAD4AgAAAAA=&#10;" filled="f" stroked="f">
                  <v:textbox inset="0,0,0,0">
                    <w:txbxContent>
                      <w:p w14:paraId="45F55B51" w14:textId="77777777" w:rsidR="00B32EF2" w:rsidRDefault="00000000">
                        <w:r>
                          <w:rPr>
                            <w:rFonts w:ascii="Arial" w:eastAsia="Arial" w:hAnsi="Arial" w:cs="Arial"/>
                            <w:sz w:val="18"/>
                          </w:rPr>
                          <w:t>base di elenchi formati relativamente ad ogni corte di giustizia tributaria e com</w:t>
                        </w:r>
                      </w:p>
                    </w:txbxContent>
                  </v:textbox>
                </v:rect>
                <v:rect id="Rectangle 22271" o:spid="_x0000_s6349" style="position:absolute;left:193;top:81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AxaxgAAAN4AAAAPAAAAZHJzL2Rvd25yZXYueG1sRI9Ba8JA&#10;FITvgv9heYI33ZiDlegqoog5eKm10OMj+0yi2bdLdjWxv75bKPQ4zMw3zGrTm0Y8qfW1ZQWzaQKC&#10;uLC65lLB5eMwWYDwAVljY5kUvMjDZj0crDDTtuN3ep5DKSKEfYYKqhBcJqUvKjLop9YRR+9qW4Mh&#10;yraUusUuwk0j0ySZS4M1x4UKHe0qKu7nh1HwtWeXHzpZXL937nTLF83xcflUajzqt0sQgfrwH/5r&#10;51pBmqZvM/i9E6+AXP8AAAD//wMAUEsBAi0AFAAGAAgAAAAhANvh9svuAAAAhQEAABMAAAAAAAAA&#10;AAAAAAAAAAAAAFtDb250ZW50X1R5cGVzXS54bWxQSwECLQAUAAYACAAAACEAWvQsW78AAAAVAQAA&#10;CwAAAAAAAAAAAAAAAAAfAQAAX3JlbHMvLnJlbHNQSwECLQAUAAYACAAAACEAXIQMWsYAAADeAAAA&#10;DwAAAAAAAAAAAAAAAAAHAgAAZHJzL2Rvd25yZXYueG1sUEsFBgAAAAADAAMAtwAAAPoCAAAAAA==&#10;" filled="f" stroked="f">
                  <v:textbox inset="0,0,0,0">
                    <w:txbxContent>
                      <w:p w14:paraId="2021D7A7" w14:textId="77777777" w:rsidR="00B32EF2" w:rsidRDefault="00000000">
                        <w:r>
                          <w:rPr>
                            <w:rFonts w:ascii="Arial" w:eastAsia="Arial" w:hAnsi="Arial" w:cs="Arial"/>
                            <w:sz w:val="18"/>
                          </w:rPr>
                          <w:t>-</w:t>
                        </w:r>
                      </w:p>
                    </w:txbxContent>
                  </v:textbox>
                </v:rect>
                <v:rect id="Rectangle 22272" o:spid="_x0000_s6350" style="position:absolute;left:-13171;top:69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pItxwAAAN4AAAAPAAAAZHJzL2Rvd25yZXYueG1sRI9PawIx&#10;FMTvQr9DeIXeNNscWlmNUizSPfRS/4DHx+a5u7p5CZvobvvpG0HwOMzMb5j5crCtuFIXGscaXicZ&#10;COLSmYYrDbvtejwFESKywdYxafilAMvF02iOuXE9/9B1EyuRIBxy1FDH6HMpQ1mTxTBxnjh5R9dZ&#10;jEl2lTQd9gluW6my7E1abDgt1OhpVVN53lyshsMn+2Ldy/L4t/Lfp2Lafl12e61fnoePGYhIQ3yE&#10;7+3CaFBKvSu43UlXQC7+AQAA//8DAFBLAQItABQABgAIAAAAIQDb4fbL7gAAAIUBAAATAAAAAAAA&#10;AAAAAAAAAAAAAABbQ29udGVudF9UeXBlc10ueG1sUEsBAi0AFAAGAAgAAAAhAFr0LFu/AAAAFQEA&#10;AAsAAAAAAAAAAAAAAAAAHwEAAF9yZWxzLy5yZWxzUEsBAi0AFAAGAAgAAAAhAKxWki3HAAAA3gAA&#10;AA8AAAAAAAAAAAAAAAAABwIAAGRycy9kb3ducmV2LnhtbFBLBQYAAAAAAwADALcAAAD7AgAAAAA=&#10;" filled="f" stroked="f">
                  <v:textbox inset="0,0,0,0">
                    <w:txbxContent>
                      <w:p w14:paraId="3305A337" w14:textId="77777777" w:rsidR="00B32EF2" w:rsidRDefault="00000000">
                        <w:r>
                          <w:rPr>
                            <w:rFonts w:ascii="Arial" w:eastAsia="Arial" w:hAnsi="Arial" w:cs="Arial"/>
                            <w:sz w:val="18"/>
                          </w:rPr>
                          <w:t xml:space="preserve">prendenti tutti gli appartenenti alle categorie indicate negli articoli 4, 5 e 10 per </w:t>
                        </w:r>
                      </w:p>
                    </w:txbxContent>
                  </v:textbox>
                </v:rect>
                <v:rect id="Rectangle 22273" o:spid="_x0000_s6351" style="position:absolute;left:-13171;top:570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e2xgAAAN4AAAAPAAAAZHJzL2Rvd25yZXYueG1sRI9Ba8JA&#10;FITvBf/D8gRvdWMKrURXEUWag5daBY+P7DOJZt8u2dVEf323UOhxmJlvmPmyN424U+trywom4wQE&#10;cWF1zaWCw/f2dQrCB2SNjWVS8CAPy8XgZY6Zth1/0X0fShEh7DNUUIXgMil9UZFBP7aOOHpn2xoM&#10;Ubal1C12EW4amSbJuzRYc1yo0NG6ouK6vxkFpw27fNvJ4vxcu90lnzaft8NRqdGwX81ABOrDf/iv&#10;nWsFaZp+vMHvnXgF5OIHAAD//wMAUEsBAi0AFAAGAAgAAAAhANvh9svuAAAAhQEAABMAAAAAAAAA&#10;AAAAAAAAAAAAAFtDb250ZW50X1R5cGVzXS54bWxQSwECLQAUAAYACAAAACEAWvQsW78AAAAVAQAA&#10;CwAAAAAAAAAAAAAAAAAfAQAAX3JlbHMvLnJlbHNQSwECLQAUAAYACAAAACEAwxo3tsYAAADeAAAA&#10;DwAAAAAAAAAAAAAAAAAHAgAAZHJzL2Rvd25yZXYueG1sUEsFBgAAAAADAAMAtwAAAPoCAAAAAA==&#10;" filled="f" stroked="f">
                  <v:textbox inset="0,0,0,0">
                    <w:txbxContent>
                      <w:p w14:paraId="66F8777F" w14:textId="77777777" w:rsidR="00B32EF2" w:rsidRDefault="00000000">
                        <w:r>
                          <w:rPr>
                            <w:rFonts w:ascii="Arial" w:eastAsia="Arial" w:hAnsi="Arial" w:cs="Arial"/>
                            <w:sz w:val="18"/>
                          </w:rPr>
                          <w:t xml:space="preserve">il posto da conferire, che hanno comunicato la propria disponibilità all’incarico </w:t>
                        </w:r>
                      </w:p>
                    </w:txbxContent>
                  </v:textbox>
                </v:rect>
                <v:rect id="Rectangle 22274" o:spid="_x0000_s6352" style="position:absolute;left:-13171;top:44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6/CxgAAAN4AAAAPAAAAZHJzL2Rvd25yZXYueG1sRI9Ba8JA&#10;FITvBf/D8gRvdWMorURXEUWag5daBY+P7DOJZt8u2dVEf323UOhxmJlvmPmyN424U+trywom4wQE&#10;cWF1zaWCw/f2dQrCB2SNjWVS8CAPy8XgZY6Zth1/0X0fShEh7DNUUIXgMil9UZFBP7aOOHpn2xoM&#10;Ubal1C12EW4amSbJuzRYc1yo0NG6ouK6vxkFpw27fNvJ4vxcu90lnzaft8NRqdGwX81ABOrDf/iv&#10;nWsFaZp+vMHvnXgF5OIHAAD//wMAUEsBAi0AFAAGAAgAAAAhANvh9svuAAAAhQEAABMAAAAAAAAA&#10;AAAAAAAAAAAAAFtDb250ZW50X1R5cGVzXS54bWxQSwECLQAUAAYACAAAACEAWvQsW78AAAAVAQAA&#10;CwAAAAAAAAAAAAAAAAAfAQAAX3JlbHMvLnJlbHNQSwECLQAUAAYACAAAACEATPOvwsYAAADeAAAA&#10;DwAAAAAAAAAAAAAAAAAHAgAAZHJzL2Rvd25yZXYueG1sUEsFBgAAAAADAAMAtwAAAPoCAAAAAA==&#10;" filled="f" stroked="f">
                  <v:textbox inset="0,0,0,0">
                    <w:txbxContent>
                      <w:p w14:paraId="4636D0CC" w14:textId="77777777" w:rsidR="00B32EF2" w:rsidRDefault="00000000">
                        <w:r>
                          <w:rPr>
                            <w:rFonts w:ascii="Arial" w:eastAsia="Arial" w:hAnsi="Arial" w:cs="Arial"/>
                            <w:sz w:val="18"/>
                          </w:rPr>
                          <w:t xml:space="preserve">e sono in possesso dei requisiti prescritti. Alla comunicazione di disponibilità </w:t>
                        </w:r>
                      </w:p>
                    </w:txbxContent>
                  </v:textbox>
                </v:rect>
                <w10:anchorlock/>
              </v:group>
            </w:pict>
          </mc:Fallback>
        </mc:AlternateContent>
      </w:r>
    </w:p>
    <w:p w14:paraId="43893EF5" w14:textId="77777777" w:rsidR="00B32EF2" w:rsidRDefault="00000000">
      <w:pPr>
        <w:spacing w:after="0"/>
        <w:ind w:left="-357" w:right="-306"/>
      </w:pPr>
      <w:r>
        <w:rPr>
          <w:noProof/>
        </w:rPr>
        <w:lastRenderedPageBreak/>
        <mc:AlternateContent>
          <mc:Choice Requires="wpg">
            <w:drawing>
              <wp:inline distT="0" distB="0" distL="0" distR="0" wp14:anchorId="39A646E4" wp14:editId="3AFA615C">
                <wp:extent cx="3992579" cy="6262854"/>
                <wp:effectExtent l="0" t="0" r="0" b="0"/>
                <wp:docPr id="202267" name="Group 202267"/>
                <wp:cNvGraphicFramePr/>
                <a:graphic xmlns:a="http://schemas.openxmlformats.org/drawingml/2006/main">
                  <a:graphicData uri="http://schemas.microsoft.com/office/word/2010/wordprocessingGroup">
                    <wpg:wgp>
                      <wpg:cNvGrpSpPr/>
                      <wpg:grpSpPr>
                        <a:xfrm>
                          <a:off x="0" y="0"/>
                          <a:ext cx="3992579" cy="6262854"/>
                          <a:chOff x="0" y="0"/>
                          <a:chExt cx="3992579" cy="6262854"/>
                        </a:xfrm>
                      </wpg:grpSpPr>
                      <wps:wsp>
                        <wps:cNvPr id="22296" name="Rectangle 22296"/>
                        <wps:cNvSpPr/>
                        <wps:spPr>
                          <a:xfrm rot="-10799999">
                            <a:off x="1901151" y="-62190"/>
                            <a:ext cx="178369" cy="250646"/>
                          </a:xfrm>
                          <a:prstGeom prst="rect">
                            <a:avLst/>
                          </a:prstGeom>
                          <a:ln>
                            <a:noFill/>
                          </a:ln>
                        </wps:spPr>
                        <wps:txbx>
                          <w:txbxContent>
                            <w:p w14:paraId="36669473" w14:textId="77777777" w:rsidR="00B32EF2" w:rsidRDefault="00000000">
                              <w:r>
                                <w:rPr>
                                  <w:rFonts w:ascii="Times New Roman" w:eastAsia="Times New Roman" w:hAnsi="Times New Roman" w:cs="Times New Roman"/>
                                </w:rPr>
                                <w:t>25</w:t>
                              </w:r>
                            </w:p>
                          </w:txbxContent>
                        </wps:txbx>
                        <wps:bodyPr horzOverflow="overflow" vert="horz" lIns="0" tIns="0" rIns="0" bIns="0" rtlCol="0">
                          <a:noAutofit/>
                        </wps:bodyPr>
                      </wps:wsp>
                      <wps:wsp>
                        <wps:cNvPr id="22297" name="Rectangle 22297"/>
                        <wps:cNvSpPr/>
                        <wps:spPr>
                          <a:xfrm rot="-10799999">
                            <a:off x="-1316569" y="6119964"/>
                            <a:ext cx="5309036" cy="142890"/>
                          </a:xfrm>
                          <a:prstGeom prst="rect">
                            <a:avLst/>
                          </a:prstGeom>
                          <a:ln>
                            <a:noFill/>
                          </a:ln>
                        </wps:spPr>
                        <wps:txbx>
                          <w:txbxContent>
                            <w:p w14:paraId="45F382A1" w14:textId="77777777" w:rsidR="00B32EF2" w:rsidRDefault="00000000">
                              <w:r>
                                <w:rPr>
                                  <w:rFonts w:ascii="Arial" w:eastAsia="Arial" w:hAnsi="Arial" w:cs="Arial"/>
                                  <w:sz w:val="18"/>
                                </w:rPr>
                                <w:t xml:space="preserve">condo grado ovvero nelle regioni con essa confinanti. All’accertamento della </w:t>
                              </w:r>
                            </w:p>
                          </w:txbxContent>
                        </wps:txbx>
                        <wps:bodyPr horzOverflow="overflow" vert="horz" lIns="0" tIns="0" rIns="0" bIns="0" rtlCol="0">
                          <a:noAutofit/>
                        </wps:bodyPr>
                      </wps:wsp>
                      <wps:wsp>
                        <wps:cNvPr id="22298" name="Rectangle 22298"/>
                        <wps:cNvSpPr/>
                        <wps:spPr>
                          <a:xfrm rot="-10799999">
                            <a:off x="-1316570" y="5988975"/>
                            <a:ext cx="5309036" cy="142890"/>
                          </a:xfrm>
                          <a:prstGeom prst="rect">
                            <a:avLst/>
                          </a:prstGeom>
                          <a:ln>
                            <a:noFill/>
                          </a:ln>
                        </wps:spPr>
                        <wps:txbx>
                          <w:txbxContent>
                            <w:p w14:paraId="23DB22B1" w14:textId="77777777" w:rsidR="00B32EF2" w:rsidRDefault="00000000">
                              <w:r>
                                <w:rPr>
                                  <w:rFonts w:ascii="Arial" w:eastAsia="Arial" w:hAnsi="Arial" w:cs="Arial"/>
                                  <w:sz w:val="18"/>
                                </w:rPr>
                                <w:t xml:space="preserve">sussistenza delle cause di incompatibilità previste nei periodi che precedono </w:t>
                              </w:r>
                            </w:p>
                          </w:txbxContent>
                        </wps:txbx>
                        <wps:bodyPr horzOverflow="overflow" vert="horz" lIns="0" tIns="0" rIns="0" bIns="0" rtlCol="0">
                          <a:noAutofit/>
                        </wps:bodyPr>
                      </wps:wsp>
                      <wps:wsp>
                        <wps:cNvPr id="22299" name="Rectangle 22299"/>
                        <wps:cNvSpPr/>
                        <wps:spPr>
                          <a:xfrm rot="-10799999">
                            <a:off x="-42544" y="5857989"/>
                            <a:ext cx="4035010" cy="142889"/>
                          </a:xfrm>
                          <a:prstGeom prst="rect">
                            <a:avLst/>
                          </a:prstGeom>
                          <a:ln>
                            <a:noFill/>
                          </a:ln>
                        </wps:spPr>
                        <wps:txbx>
                          <w:txbxContent>
                            <w:p w14:paraId="1BF05DF6" w14:textId="77777777" w:rsidR="00B32EF2" w:rsidRDefault="00000000">
                              <w:r>
                                <w:rPr>
                                  <w:rFonts w:ascii="Arial" w:eastAsia="Arial" w:hAnsi="Arial" w:cs="Arial"/>
                                  <w:sz w:val="18"/>
                                </w:rPr>
                                <w:t>provvede il Consiglio di presidenza della giustizia tributaria.</w:t>
                              </w:r>
                            </w:p>
                          </w:txbxContent>
                        </wps:txbx>
                        <wps:bodyPr horzOverflow="overflow" vert="horz" lIns="0" tIns="0" rIns="0" bIns="0" rtlCol="0">
                          <a:noAutofit/>
                        </wps:bodyPr>
                      </wps:wsp>
                      <wps:wsp>
                        <wps:cNvPr id="202239" name="Rectangle 202239"/>
                        <wps:cNvSpPr/>
                        <wps:spPr>
                          <a:xfrm rot="-10799999">
                            <a:off x="2611624" y="5727001"/>
                            <a:ext cx="5309082" cy="142889"/>
                          </a:xfrm>
                          <a:prstGeom prst="rect">
                            <a:avLst/>
                          </a:prstGeom>
                          <a:ln>
                            <a:noFill/>
                          </a:ln>
                        </wps:spPr>
                        <wps:txbx>
                          <w:txbxContent>
                            <w:p w14:paraId="226B9D0D"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2240" name="Rectangle 202240"/>
                        <wps:cNvSpPr/>
                        <wps:spPr>
                          <a:xfrm rot="-10799999">
                            <a:off x="-1379755" y="5727001"/>
                            <a:ext cx="5309082" cy="142889"/>
                          </a:xfrm>
                          <a:prstGeom prst="rect">
                            <a:avLst/>
                          </a:prstGeom>
                          <a:ln>
                            <a:noFill/>
                          </a:ln>
                        </wps:spPr>
                        <wps:txbx>
                          <w:txbxContent>
                            <w:p w14:paraId="3C65DBAD" w14:textId="77777777" w:rsidR="00B32EF2" w:rsidRDefault="00000000">
                              <w:r>
                                <w:rPr>
                                  <w:rFonts w:ascii="Arial" w:eastAsia="Arial" w:hAnsi="Arial" w:cs="Arial"/>
                                  <w:sz w:val="18"/>
                                </w:rPr>
                                <w:t xml:space="preserve">. Non possono essere componenti dello stesso collegio i coniugi, i conviventi, </w:t>
                              </w:r>
                            </w:p>
                          </w:txbxContent>
                        </wps:txbx>
                        <wps:bodyPr horzOverflow="overflow" vert="horz" lIns="0" tIns="0" rIns="0" bIns="0" rtlCol="0">
                          <a:noAutofit/>
                        </wps:bodyPr>
                      </wps:wsp>
                      <wps:wsp>
                        <wps:cNvPr id="22301" name="Rectangle 22301"/>
                        <wps:cNvSpPr/>
                        <wps:spPr>
                          <a:xfrm rot="-10799999">
                            <a:off x="851753" y="5596013"/>
                            <a:ext cx="3140713" cy="142889"/>
                          </a:xfrm>
                          <a:prstGeom prst="rect">
                            <a:avLst/>
                          </a:prstGeom>
                          <a:ln>
                            <a:noFill/>
                          </a:ln>
                        </wps:spPr>
                        <wps:txbx>
                          <w:txbxContent>
                            <w:p w14:paraId="3E4BC6F8" w14:textId="77777777" w:rsidR="00B32EF2" w:rsidRDefault="00000000">
                              <w:r>
                                <w:rPr>
                                  <w:rFonts w:ascii="Arial" w:eastAsia="Arial" w:hAnsi="Arial" w:cs="Arial"/>
                                  <w:sz w:val="18"/>
                                </w:rPr>
                                <w:t>nonché i parenti ed affini entro il quarto grado.</w:t>
                              </w:r>
                            </w:p>
                          </w:txbxContent>
                        </wps:txbx>
                        <wps:bodyPr horzOverflow="overflow" vert="horz" lIns="0" tIns="0" rIns="0" bIns="0" rtlCol="0">
                          <a:noAutofit/>
                        </wps:bodyPr>
                      </wps:wsp>
                      <wps:wsp>
                        <wps:cNvPr id="202237" name="Rectangle 202237"/>
                        <wps:cNvSpPr/>
                        <wps:spPr>
                          <a:xfrm rot="-10799999">
                            <a:off x="2611639" y="5465026"/>
                            <a:ext cx="5309020" cy="142889"/>
                          </a:xfrm>
                          <a:prstGeom prst="rect">
                            <a:avLst/>
                          </a:prstGeom>
                          <a:ln>
                            <a:noFill/>
                          </a:ln>
                        </wps:spPr>
                        <wps:txbx>
                          <w:txbxContent>
                            <w:p w14:paraId="7F519A48"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02238" name="Rectangle 202238"/>
                        <wps:cNvSpPr/>
                        <wps:spPr>
                          <a:xfrm rot="-10799999">
                            <a:off x="-1380951" y="5465026"/>
                            <a:ext cx="5309021" cy="142889"/>
                          </a:xfrm>
                          <a:prstGeom prst="rect">
                            <a:avLst/>
                          </a:prstGeom>
                          <a:ln>
                            <a:noFill/>
                          </a:ln>
                        </wps:spPr>
                        <wps:txbx>
                          <w:txbxContent>
                            <w:p w14:paraId="18A6CE57" w14:textId="77777777" w:rsidR="00B32EF2" w:rsidRDefault="00000000">
                              <w:r>
                                <w:rPr>
                                  <w:rFonts w:ascii="Arial" w:eastAsia="Arial" w:hAnsi="Arial" w:cs="Arial"/>
                                  <w:sz w:val="18"/>
                                </w:rPr>
                                <w:t xml:space="preserve">. Nessuno può essere componente di più corti di giustizia tributaria di primo </w:t>
                              </w:r>
                            </w:p>
                          </w:txbxContent>
                        </wps:txbx>
                        <wps:bodyPr horzOverflow="overflow" vert="horz" lIns="0" tIns="0" rIns="0" bIns="0" rtlCol="0">
                          <a:noAutofit/>
                        </wps:bodyPr>
                      </wps:wsp>
                      <wps:wsp>
                        <wps:cNvPr id="22303" name="Rectangle 22303"/>
                        <wps:cNvSpPr/>
                        <wps:spPr>
                          <a:xfrm rot="-10799999">
                            <a:off x="2805212" y="5334037"/>
                            <a:ext cx="1187253" cy="142889"/>
                          </a:xfrm>
                          <a:prstGeom prst="rect">
                            <a:avLst/>
                          </a:prstGeom>
                          <a:ln>
                            <a:noFill/>
                          </a:ln>
                        </wps:spPr>
                        <wps:txbx>
                          <w:txbxContent>
                            <w:p w14:paraId="7BAA3A16" w14:textId="77777777" w:rsidR="00B32EF2" w:rsidRDefault="00000000">
                              <w:r>
                                <w:rPr>
                                  <w:rFonts w:ascii="Arial" w:eastAsia="Arial" w:hAnsi="Arial" w:cs="Arial"/>
                                  <w:sz w:val="18"/>
                                </w:rPr>
                                <w:t>e secondo grado.</w:t>
                              </w:r>
                            </w:p>
                          </w:txbxContent>
                        </wps:txbx>
                        <wps:bodyPr horzOverflow="overflow" vert="horz" lIns="0" tIns="0" rIns="0" bIns="0" rtlCol="0">
                          <a:noAutofit/>
                        </wps:bodyPr>
                      </wps:wsp>
                      <wps:wsp>
                        <wps:cNvPr id="202235" name="Rectangle 202235"/>
                        <wps:cNvSpPr/>
                        <wps:spPr>
                          <a:xfrm rot="-10799999">
                            <a:off x="2611643" y="5203050"/>
                            <a:ext cx="5309006" cy="142889"/>
                          </a:xfrm>
                          <a:prstGeom prst="rect">
                            <a:avLst/>
                          </a:prstGeom>
                          <a:ln>
                            <a:noFill/>
                          </a:ln>
                        </wps:spPr>
                        <wps:txbx>
                          <w:txbxContent>
                            <w:p w14:paraId="663D3BDC"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02236" name="Rectangle 202236"/>
                        <wps:cNvSpPr/>
                        <wps:spPr>
                          <a:xfrm rot="-10799999">
                            <a:off x="-1380845" y="5203050"/>
                            <a:ext cx="5309006" cy="142889"/>
                          </a:xfrm>
                          <a:prstGeom prst="rect">
                            <a:avLst/>
                          </a:prstGeom>
                          <a:ln>
                            <a:noFill/>
                          </a:ln>
                        </wps:spPr>
                        <wps:txbx>
                          <w:txbxContent>
                            <w:p w14:paraId="481B2324" w14:textId="77777777" w:rsidR="00B32EF2" w:rsidRDefault="00000000">
                              <w:r>
                                <w:rPr>
                                  <w:rFonts w:ascii="Arial" w:eastAsia="Arial" w:hAnsi="Arial" w:cs="Arial"/>
                                  <w:sz w:val="18"/>
                                </w:rPr>
                                <w:t xml:space="preserve">. I componenti delle corti di giustizia tributaria di primo e secondo grado, che </w:t>
                              </w:r>
                            </w:p>
                          </w:txbxContent>
                        </wps:txbx>
                        <wps:bodyPr horzOverflow="overflow" vert="horz" lIns="0" tIns="0" rIns="0" bIns="0" rtlCol="0">
                          <a:noAutofit/>
                        </wps:bodyPr>
                      </wps:wsp>
                      <wps:wsp>
                        <wps:cNvPr id="22305" name="Rectangle 22305"/>
                        <wps:cNvSpPr/>
                        <wps:spPr>
                          <a:xfrm rot="-10799999">
                            <a:off x="-1316585" y="5072062"/>
                            <a:ext cx="5309051" cy="142889"/>
                          </a:xfrm>
                          <a:prstGeom prst="rect">
                            <a:avLst/>
                          </a:prstGeom>
                          <a:ln>
                            <a:noFill/>
                          </a:ln>
                        </wps:spPr>
                        <wps:txbx>
                          <w:txbxContent>
                            <w:p w14:paraId="6863B2F7" w14:textId="77777777" w:rsidR="00B32EF2" w:rsidRDefault="00000000">
                              <w:r>
                                <w:rPr>
                                  <w:rFonts w:ascii="Arial" w:eastAsia="Arial" w:hAnsi="Arial" w:cs="Arial"/>
                                  <w:sz w:val="18"/>
                                </w:rPr>
                                <w:t xml:space="preserve">vengano a trovarsi in una delle condizioni di cui al comma 2, lettere a) e b) o </w:t>
                              </w:r>
                            </w:p>
                          </w:txbxContent>
                        </wps:txbx>
                        <wps:bodyPr horzOverflow="overflow" vert="horz" lIns="0" tIns="0" rIns="0" bIns="0" rtlCol="0">
                          <a:noAutofit/>
                        </wps:bodyPr>
                      </wps:wsp>
                      <wps:wsp>
                        <wps:cNvPr id="22306" name="Rectangle 22306"/>
                        <wps:cNvSpPr/>
                        <wps:spPr>
                          <a:xfrm rot="-10799999">
                            <a:off x="-1316424" y="4941075"/>
                            <a:ext cx="5309461" cy="142889"/>
                          </a:xfrm>
                          <a:prstGeom prst="rect">
                            <a:avLst/>
                          </a:prstGeom>
                          <a:ln>
                            <a:noFill/>
                          </a:ln>
                        </wps:spPr>
                        <wps:txbx>
                          <w:txbxContent>
                            <w:p w14:paraId="440C0333" w14:textId="77777777" w:rsidR="00B32EF2" w:rsidRDefault="00000000">
                              <w:r>
                                <w:rPr>
                                  <w:rFonts w:ascii="Arial" w:eastAsia="Arial" w:hAnsi="Arial" w:cs="Arial"/>
                                  <w:sz w:val="18"/>
                                </w:rPr>
                                <w:t xml:space="preserve">che siano nominati giudici costituzionali, sono sospesi dall’incarico fino alla </w:t>
                              </w:r>
                            </w:p>
                          </w:txbxContent>
                        </wps:txbx>
                        <wps:bodyPr horzOverflow="overflow" vert="horz" lIns="0" tIns="0" rIns="0" bIns="0" rtlCol="0">
                          <a:noAutofit/>
                        </wps:bodyPr>
                      </wps:wsp>
                      <wps:wsp>
                        <wps:cNvPr id="22307" name="Rectangle 22307"/>
                        <wps:cNvSpPr/>
                        <wps:spPr>
                          <a:xfrm rot="-10799999">
                            <a:off x="-1316524" y="4810086"/>
                            <a:ext cx="5308990" cy="142889"/>
                          </a:xfrm>
                          <a:prstGeom prst="rect">
                            <a:avLst/>
                          </a:prstGeom>
                          <a:ln>
                            <a:noFill/>
                          </a:ln>
                        </wps:spPr>
                        <wps:txbx>
                          <w:txbxContent>
                            <w:p w14:paraId="04B52B06" w14:textId="77777777" w:rsidR="00B32EF2" w:rsidRDefault="00000000">
                              <w:r>
                                <w:rPr>
                                  <w:rFonts w:ascii="Arial" w:eastAsia="Arial" w:hAnsi="Arial" w:cs="Arial"/>
                                  <w:sz w:val="18"/>
                                </w:rPr>
                                <w:t xml:space="preserve">data di cessazione dell’incompatibilità; successivamente alla suddetta data, </w:t>
                              </w:r>
                            </w:p>
                          </w:txbxContent>
                        </wps:txbx>
                        <wps:bodyPr horzOverflow="overflow" vert="horz" lIns="0" tIns="0" rIns="0" bIns="0" rtlCol="0">
                          <a:noAutofit/>
                        </wps:bodyPr>
                      </wps:wsp>
                      <wps:wsp>
                        <wps:cNvPr id="22308" name="Rectangle 22308"/>
                        <wps:cNvSpPr/>
                        <wps:spPr>
                          <a:xfrm rot="-10799999">
                            <a:off x="-1316555" y="4679099"/>
                            <a:ext cx="5309021" cy="142889"/>
                          </a:xfrm>
                          <a:prstGeom prst="rect">
                            <a:avLst/>
                          </a:prstGeom>
                          <a:ln>
                            <a:noFill/>
                          </a:ln>
                        </wps:spPr>
                        <wps:txbx>
                          <w:txbxContent>
                            <w:p w14:paraId="7AB942FC" w14:textId="77777777" w:rsidR="00B32EF2" w:rsidRDefault="00000000">
                              <w:r>
                                <w:rPr>
                                  <w:rFonts w:ascii="Arial" w:eastAsia="Arial" w:hAnsi="Arial" w:cs="Arial"/>
                                  <w:sz w:val="18"/>
                                </w:rPr>
                                <w:t xml:space="preserve">essi riassumono le rispettive funzioni anche in soprannumero presso la corte </w:t>
                              </w:r>
                            </w:p>
                          </w:txbxContent>
                        </wps:txbx>
                        <wps:bodyPr horzOverflow="overflow" vert="horz" lIns="0" tIns="0" rIns="0" bIns="0" rtlCol="0">
                          <a:noAutofit/>
                        </wps:bodyPr>
                      </wps:wsp>
                      <wps:wsp>
                        <wps:cNvPr id="22309" name="Rectangle 22309"/>
                        <wps:cNvSpPr/>
                        <wps:spPr>
                          <a:xfrm rot="-10799999">
                            <a:off x="-342204" y="4548111"/>
                            <a:ext cx="4334670" cy="142889"/>
                          </a:xfrm>
                          <a:prstGeom prst="rect">
                            <a:avLst/>
                          </a:prstGeom>
                          <a:ln>
                            <a:noFill/>
                          </a:ln>
                        </wps:spPr>
                        <wps:txbx>
                          <w:txbxContent>
                            <w:p w14:paraId="65D7D3C4" w14:textId="77777777" w:rsidR="00B32EF2" w:rsidRDefault="00000000">
                              <w:r>
                                <w:rPr>
                                  <w:rFonts w:ascii="Arial" w:eastAsia="Arial" w:hAnsi="Arial" w:cs="Arial"/>
                                  <w:sz w:val="18"/>
                                </w:rPr>
                                <w:t>di giustizia tributaria di primo e secondo grado di appartenenza.</w:t>
                              </w:r>
                            </w:p>
                          </w:txbxContent>
                        </wps:txbx>
                        <wps:bodyPr horzOverflow="overflow" vert="horz" lIns="0" tIns="0" rIns="0" bIns="0" rtlCol="0">
                          <a:noAutofit/>
                        </wps:bodyPr>
                      </wps:wsp>
                      <wps:wsp>
                        <wps:cNvPr id="22310" name="Rectangle 22310"/>
                        <wps:cNvSpPr/>
                        <wps:spPr>
                          <a:xfrm rot="-10799999">
                            <a:off x="1511867" y="4424781"/>
                            <a:ext cx="803360" cy="142889"/>
                          </a:xfrm>
                          <a:prstGeom prst="rect">
                            <a:avLst/>
                          </a:prstGeom>
                          <a:ln>
                            <a:noFill/>
                          </a:ln>
                        </wps:spPr>
                        <wps:txbx>
                          <w:txbxContent>
                            <w:p w14:paraId="7C35C834" w14:textId="77777777" w:rsidR="00B32EF2" w:rsidRDefault="00000000">
                              <w:r>
                                <w:rPr>
                                  <w:rFonts w:ascii="Arial" w:eastAsia="Arial" w:hAnsi="Arial" w:cs="Arial"/>
                                  <w:b/>
                                  <w:sz w:val="18"/>
                                </w:rPr>
                                <w:t>Articolo 15</w:t>
                              </w:r>
                            </w:p>
                          </w:txbxContent>
                        </wps:txbx>
                        <wps:bodyPr horzOverflow="overflow" vert="horz" lIns="0" tIns="0" rIns="0" bIns="0" rtlCol="0">
                          <a:noAutofit/>
                        </wps:bodyPr>
                      </wps:wsp>
                      <wps:wsp>
                        <wps:cNvPr id="202232" name="Rectangle 202232"/>
                        <wps:cNvSpPr/>
                        <wps:spPr>
                          <a:xfrm rot="-10799999">
                            <a:off x="2211780" y="4301451"/>
                            <a:ext cx="1857413" cy="142889"/>
                          </a:xfrm>
                          <a:prstGeom prst="rect">
                            <a:avLst/>
                          </a:prstGeom>
                          <a:ln>
                            <a:noFill/>
                          </a:ln>
                        </wps:spPr>
                        <wps:txbx>
                          <w:txbxContent>
                            <w:p w14:paraId="78212E3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234" name="Rectangle 202234"/>
                        <wps:cNvSpPr/>
                        <wps:spPr>
                          <a:xfrm rot="-10799999">
                            <a:off x="1217028" y="4301451"/>
                            <a:ext cx="1857413" cy="142889"/>
                          </a:xfrm>
                          <a:prstGeom prst="rect">
                            <a:avLst/>
                          </a:prstGeom>
                          <a:ln>
                            <a:noFill/>
                          </a:ln>
                        </wps:spPr>
                        <wps:txbx>
                          <w:txbxContent>
                            <w:p w14:paraId="4CEE5E00" w14:textId="77777777" w:rsidR="00B32EF2" w:rsidRDefault="00000000">
                              <w:r>
                                <w:rPr>
                                  <w:rFonts w:ascii="Arial" w:eastAsia="Arial" w:hAnsi="Arial" w:cs="Arial"/>
                                  <w:i/>
                                  <w:sz w:val="18"/>
                                </w:rPr>
                                <w:t xml:space="preserve">articolo 9 D.lgs. n. </w:t>
                              </w:r>
                            </w:p>
                          </w:txbxContent>
                        </wps:txbx>
                        <wps:bodyPr horzOverflow="overflow" vert="horz" lIns="0" tIns="0" rIns="0" bIns="0" rtlCol="0">
                          <a:noAutofit/>
                        </wps:bodyPr>
                      </wps:wsp>
                      <wps:wsp>
                        <wps:cNvPr id="202233" name="Rectangle 202233"/>
                        <wps:cNvSpPr/>
                        <wps:spPr>
                          <a:xfrm rot="-10799999">
                            <a:off x="-144364" y="4301451"/>
                            <a:ext cx="1857414" cy="142889"/>
                          </a:xfrm>
                          <a:prstGeom prst="rect">
                            <a:avLst/>
                          </a:prstGeom>
                          <a:ln>
                            <a:noFill/>
                          </a:ln>
                        </wps:spPr>
                        <wps:txbx>
                          <w:txbxContent>
                            <w:p w14:paraId="5E4AADDE"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2312" name="Rectangle 22312"/>
                        <wps:cNvSpPr/>
                        <wps:spPr>
                          <a:xfrm rot="-10799999">
                            <a:off x="-1154144" y="4178121"/>
                            <a:ext cx="5107520" cy="142889"/>
                          </a:xfrm>
                          <a:prstGeom prst="rect">
                            <a:avLst/>
                          </a:prstGeom>
                          <a:ln>
                            <a:noFill/>
                          </a:ln>
                        </wps:spPr>
                        <wps:txbx>
                          <w:txbxContent>
                            <w:p w14:paraId="1280F322" w14:textId="77777777" w:rsidR="00B32EF2" w:rsidRDefault="00000000">
                              <w:r>
                                <w:rPr>
                                  <w:rFonts w:ascii="Arial" w:eastAsia="Arial" w:hAnsi="Arial" w:cs="Arial"/>
                                  <w:b/>
                                  <w:sz w:val="18"/>
                                </w:rPr>
                                <w:t>Procedimenti di nomina dei componenti delle corti di giustizia tributa</w:t>
                              </w:r>
                            </w:p>
                          </w:txbxContent>
                        </wps:txbx>
                        <wps:bodyPr horzOverflow="overflow" vert="horz" lIns="0" tIns="0" rIns="0" bIns="0" rtlCol="0">
                          <a:noAutofit/>
                        </wps:bodyPr>
                      </wps:wsp>
                      <wps:wsp>
                        <wps:cNvPr id="22313" name="Rectangle 22313"/>
                        <wps:cNvSpPr/>
                        <wps:spPr>
                          <a:xfrm rot="-10799999">
                            <a:off x="60100" y="4178122"/>
                            <a:ext cx="50622" cy="142889"/>
                          </a:xfrm>
                          <a:prstGeom prst="rect">
                            <a:avLst/>
                          </a:prstGeom>
                          <a:ln>
                            <a:noFill/>
                          </a:ln>
                        </wps:spPr>
                        <wps:txbx>
                          <w:txbxContent>
                            <w:p w14:paraId="1FC979E4" w14:textId="77777777" w:rsidR="00B32EF2" w:rsidRDefault="00000000">
                              <w:r>
                                <w:rPr>
                                  <w:rFonts w:ascii="Arial" w:eastAsia="Arial" w:hAnsi="Arial" w:cs="Arial"/>
                                  <w:b/>
                                  <w:sz w:val="18"/>
                                </w:rPr>
                                <w:t>-</w:t>
                              </w:r>
                            </w:p>
                          </w:txbxContent>
                        </wps:txbx>
                        <wps:bodyPr horzOverflow="overflow" vert="horz" lIns="0" tIns="0" rIns="0" bIns="0" rtlCol="0">
                          <a:noAutofit/>
                        </wps:bodyPr>
                      </wps:wsp>
                      <wps:wsp>
                        <wps:cNvPr id="22314" name="Rectangle 22314"/>
                        <wps:cNvSpPr/>
                        <wps:spPr>
                          <a:xfrm rot="-10799999">
                            <a:off x="645577" y="4054792"/>
                            <a:ext cx="2164797" cy="142889"/>
                          </a:xfrm>
                          <a:prstGeom prst="rect">
                            <a:avLst/>
                          </a:prstGeom>
                          <a:ln>
                            <a:noFill/>
                          </a:ln>
                        </wps:spPr>
                        <wps:txbx>
                          <w:txbxContent>
                            <w:p w14:paraId="6EFEF64F" w14:textId="77777777" w:rsidR="00B32EF2" w:rsidRDefault="00000000">
                              <w:r>
                                <w:rPr>
                                  <w:rFonts w:ascii="Arial" w:eastAsia="Arial" w:hAnsi="Arial" w:cs="Arial"/>
                                  <w:b/>
                                  <w:sz w:val="18"/>
                                </w:rPr>
                                <w:t xml:space="preserve">ria di primo e secondo grado </w:t>
                              </w:r>
                            </w:p>
                          </w:txbxContent>
                        </wps:txbx>
                        <wps:bodyPr horzOverflow="overflow" vert="horz" lIns="0" tIns="0" rIns="0" bIns="0" rtlCol="0">
                          <a:noAutofit/>
                        </wps:bodyPr>
                      </wps:wsp>
                      <wps:wsp>
                        <wps:cNvPr id="202230" name="Rectangle 202230"/>
                        <wps:cNvSpPr/>
                        <wps:spPr>
                          <a:xfrm rot="-10799999">
                            <a:off x="2636080" y="3931462"/>
                            <a:ext cx="5210512" cy="142889"/>
                          </a:xfrm>
                          <a:prstGeom prst="rect">
                            <a:avLst/>
                          </a:prstGeom>
                          <a:ln>
                            <a:noFill/>
                          </a:ln>
                        </wps:spPr>
                        <wps:txbx>
                          <w:txbxContent>
                            <w:p w14:paraId="0E141BB0"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2231" name="Rectangle 202231"/>
                        <wps:cNvSpPr/>
                        <wps:spPr>
                          <a:xfrm rot="-10799999">
                            <a:off x="-1277231" y="3931462"/>
                            <a:ext cx="5210512" cy="142889"/>
                          </a:xfrm>
                          <a:prstGeom prst="rect">
                            <a:avLst/>
                          </a:prstGeom>
                          <a:ln>
                            <a:noFill/>
                          </a:ln>
                        </wps:spPr>
                        <wps:txbx>
                          <w:txbxContent>
                            <w:p w14:paraId="4EDEB96E" w14:textId="77777777" w:rsidR="00B32EF2" w:rsidRDefault="00000000">
                              <w:r>
                                <w:rPr>
                                  <w:rFonts w:ascii="Arial" w:eastAsia="Arial" w:hAnsi="Arial" w:cs="Arial"/>
                                  <w:sz w:val="18"/>
                                </w:rPr>
                                <w:t>. Alla prima e alle successive nomine dei magistrati tributari nonché alle no</w:t>
                              </w:r>
                            </w:p>
                          </w:txbxContent>
                        </wps:txbx>
                        <wps:bodyPr horzOverflow="overflow" vert="horz" lIns="0" tIns="0" rIns="0" bIns="0" rtlCol="0">
                          <a:noAutofit/>
                        </wps:bodyPr>
                      </wps:wsp>
                      <wps:wsp>
                        <wps:cNvPr id="22316" name="Rectangle 22316"/>
                        <wps:cNvSpPr/>
                        <wps:spPr>
                          <a:xfrm rot="-10799999">
                            <a:off x="19866" y="3931462"/>
                            <a:ext cx="50622" cy="142889"/>
                          </a:xfrm>
                          <a:prstGeom prst="rect">
                            <a:avLst/>
                          </a:prstGeom>
                          <a:ln>
                            <a:noFill/>
                          </a:ln>
                        </wps:spPr>
                        <wps:txbx>
                          <w:txbxContent>
                            <w:p w14:paraId="33D1360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317" name="Rectangle 22317"/>
                        <wps:cNvSpPr/>
                        <wps:spPr>
                          <a:xfrm rot="-10799999">
                            <a:off x="-1316540" y="3808132"/>
                            <a:ext cx="5309005" cy="142889"/>
                          </a:xfrm>
                          <a:prstGeom prst="rect">
                            <a:avLst/>
                          </a:prstGeom>
                          <a:ln>
                            <a:noFill/>
                          </a:ln>
                        </wps:spPr>
                        <wps:txbx>
                          <w:txbxContent>
                            <w:p w14:paraId="70FCAC46" w14:textId="77777777" w:rsidR="00B32EF2" w:rsidRDefault="00000000">
                              <w:r>
                                <w:rPr>
                                  <w:rFonts w:ascii="Arial" w:eastAsia="Arial" w:hAnsi="Arial" w:cs="Arial"/>
                                  <w:sz w:val="18"/>
                                </w:rPr>
                                <w:t xml:space="preserve">mine dei giudici tributari di cui all’articolo 2, comma 1, si provvede con decreto </w:t>
                              </w:r>
                            </w:p>
                          </w:txbxContent>
                        </wps:txbx>
                        <wps:bodyPr horzOverflow="overflow" vert="horz" lIns="0" tIns="0" rIns="0" bIns="0" rtlCol="0">
                          <a:noAutofit/>
                        </wps:bodyPr>
                      </wps:wsp>
                      <wps:wsp>
                        <wps:cNvPr id="22318" name="Rectangle 22318"/>
                        <wps:cNvSpPr/>
                        <wps:spPr>
                          <a:xfrm rot="-10799999">
                            <a:off x="-1316575" y="3684803"/>
                            <a:ext cx="5310070" cy="142889"/>
                          </a:xfrm>
                          <a:prstGeom prst="rect">
                            <a:avLst/>
                          </a:prstGeom>
                          <a:ln>
                            <a:noFill/>
                          </a:ln>
                        </wps:spPr>
                        <wps:txbx>
                          <w:txbxContent>
                            <w:p w14:paraId="043E91BE" w14:textId="77777777" w:rsidR="00B32EF2" w:rsidRDefault="00000000">
                              <w:r>
                                <w:rPr>
                                  <w:rFonts w:ascii="Arial" w:eastAsia="Arial" w:hAnsi="Arial" w:cs="Arial"/>
                                  <w:sz w:val="18"/>
                                </w:rPr>
                                <w:t xml:space="preserve">del Ministro dell’economia e delle finanze, previa deliberazione conforme del </w:t>
                              </w:r>
                            </w:p>
                          </w:txbxContent>
                        </wps:txbx>
                        <wps:bodyPr horzOverflow="overflow" vert="horz" lIns="0" tIns="0" rIns="0" bIns="0" rtlCol="0">
                          <a:noAutofit/>
                        </wps:bodyPr>
                      </wps:wsp>
                      <wps:wsp>
                        <wps:cNvPr id="22319" name="Rectangle 22319"/>
                        <wps:cNvSpPr/>
                        <wps:spPr>
                          <a:xfrm rot="-10799999">
                            <a:off x="743469" y="3561473"/>
                            <a:ext cx="3248995" cy="142889"/>
                          </a:xfrm>
                          <a:prstGeom prst="rect">
                            <a:avLst/>
                          </a:prstGeom>
                          <a:ln>
                            <a:noFill/>
                          </a:ln>
                        </wps:spPr>
                        <wps:txbx>
                          <w:txbxContent>
                            <w:p w14:paraId="48880F2B" w14:textId="77777777" w:rsidR="00B32EF2" w:rsidRDefault="00000000">
                              <w:r>
                                <w:rPr>
                                  <w:rFonts w:ascii="Arial" w:eastAsia="Arial" w:hAnsi="Arial" w:cs="Arial"/>
                                  <w:sz w:val="18"/>
                                </w:rPr>
                                <w:t>Consiglio di presidenza della giustizia tributaria.</w:t>
                              </w:r>
                            </w:p>
                          </w:txbxContent>
                        </wps:txbx>
                        <wps:bodyPr horzOverflow="overflow" vert="horz" lIns="0" tIns="0" rIns="0" bIns="0" rtlCol="0">
                          <a:noAutofit/>
                        </wps:bodyPr>
                      </wps:wsp>
                      <wps:wsp>
                        <wps:cNvPr id="202229" name="Rectangle 202229"/>
                        <wps:cNvSpPr/>
                        <wps:spPr>
                          <a:xfrm rot="-10799999">
                            <a:off x="-1283060" y="3438143"/>
                            <a:ext cx="5210969" cy="142889"/>
                          </a:xfrm>
                          <a:prstGeom prst="rect">
                            <a:avLst/>
                          </a:prstGeom>
                          <a:ln>
                            <a:noFill/>
                          </a:ln>
                        </wps:spPr>
                        <wps:txbx>
                          <w:txbxContent>
                            <w:p w14:paraId="62C26237" w14:textId="77777777" w:rsidR="00B32EF2" w:rsidRDefault="00000000">
                              <w:r>
                                <w:rPr>
                                  <w:rFonts w:ascii="Arial" w:eastAsia="Arial" w:hAnsi="Arial" w:cs="Arial"/>
                                  <w:sz w:val="18"/>
                                </w:rPr>
                                <w:t>. Il Consiglio di presidenza procede alle deliberazioni di cui al comma 1, re</w:t>
                              </w:r>
                            </w:p>
                          </w:txbxContent>
                        </wps:txbx>
                        <wps:bodyPr horzOverflow="overflow" vert="horz" lIns="0" tIns="0" rIns="0" bIns="0" rtlCol="0">
                          <a:noAutofit/>
                        </wps:bodyPr>
                      </wps:wsp>
                      <wps:wsp>
                        <wps:cNvPr id="202228" name="Rectangle 202228"/>
                        <wps:cNvSpPr/>
                        <wps:spPr>
                          <a:xfrm rot="-10799999">
                            <a:off x="2635967" y="3438143"/>
                            <a:ext cx="5210969" cy="142889"/>
                          </a:xfrm>
                          <a:prstGeom prst="rect">
                            <a:avLst/>
                          </a:prstGeom>
                          <a:ln>
                            <a:noFill/>
                          </a:ln>
                        </wps:spPr>
                        <wps:txbx>
                          <w:txbxContent>
                            <w:p w14:paraId="3E161883"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2321" name="Rectangle 22321"/>
                        <wps:cNvSpPr/>
                        <wps:spPr>
                          <a:xfrm rot="-10799999">
                            <a:off x="19866" y="3438144"/>
                            <a:ext cx="50622" cy="142889"/>
                          </a:xfrm>
                          <a:prstGeom prst="rect">
                            <a:avLst/>
                          </a:prstGeom>
                          <a:ln>
                            <a:noFill/>
                          </a:ln>
                        </wps:spPr>
                        <wps:txbx>
                          <w:txbxContent>
                            <w:p w14:paraId="40D5024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322" name="Rectangle 22322"/>
                        <wps:cNvSpPr/>
                        <wps:spPr>
                          <a:xfrm rot="-10799999">
                            <a:off x="-1220373" y="3314814"/>
                            <a:ext cx="5212838" cy="142889"/>
                          </a:xfrm>
                          <a:prstGeom prst="rect">
                            <a:avLst/>
                          </a:prstGeom>
                          <a:ln>
                            <a:noFill/>
                          </a:ln>
                        </wps:spPr>
                        <wps:txbx>
                          <w:txbxContent>
                            <w:p w14:paraId="09EDA98C" w14:textId="77777777" w:rsidR="00B32EF2" w:rsidRDefault="00000000">
                              <w:r>
                                <w:rPr>
                                  <w:rFonts w:ascii="Arial" w:eastAsia="Arial" w:hAnsi="Arial" w:cs="Arial"/>
                                  <w:sz w:val="18"/>
                                </w:rPr>
                                <w:t>lative alle nomine successive alla prima, sulla base di elenchi formati relativa</w:t>
                              </w:r>
                            </w:p>
                          </w:txbxContent>
                        </wps:txbx>
                        <wps:bodyPr horzOverflow="overflow" vert="horz" lIns="0" tIns="0" rIns="0" bIns="0" rtlCol="0">
                          <a:noAutofit/>
                        </wps:bodyPr>
                      </wps:wsp>
                      <wps:wsp>
                        <wps:cNvPr id="22323" name="Rectangle 22323"/>
                        <wps:cNvSpPr/>
                        <wps:spPr>
                          <a:xfrm rot="-10799999">
                            <a:off x="19866" y="3314814"/>
                            <a:ext cx="50622" cy="142889"/>
                          </a:xfrm>
                          <a:prstGeom prst="rect">
                            <a:avLst/>
                          </a:prstGeom>
                          <a:ln>
                            <a:noFill/>
                          </a:ln>
                        </wps:spPr>
                        <wps:txbx>
                          <w:txbxContent>
                            <w:p w14:paraId="4C38768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324" name="Rectangle 22324"/>
                        <wps:cNvSpPr/>
                        <wps:spPr>
                          <a:xfrm rot="-10799999">
                            <a:off x="-1219962" y="3191484"/>
                            <a:ext cx="5212427" cy="142889"/>
                          </a:xfrm>
                          <a:prstGeom prst="rect">
                            <a:avLst/>
                          </a:prstGeom>
                          <a:ln>
                            <a:noFill/>
                          </a:ln>
                        </wps:spPr>
                        <wps:txbx>
                          <w:txbxContent>
                            <w:p w14:paraId="19884283" w14:textId="77777777" w:rsidR="00B32EF2" w:rsidRDefault="00000000">
                              <w:r>
                                <w:rPr>
                                  <w:rFonts w:ascii="Arial" w:eastAsia="Arial" w:hAnsi="Arial" w:cs="Arial"/>
                                  <w:sz w:val="18"/>
                                </w:rPr>
                                <w:t>mente ad ogni corte di giustizia tributaria di primo e secondo grado e compren</w:t>
                              </w:r>
                            </w:p>
                          </w:txbxContent>
                        </wps:txbx>
                        <wps:bodyPr horzOverflow="overflow" vert="horz" lIns="0" tIns="0" rIns="0" bIns="0" rtlCol="0">
                          <a:noAutofit/>
                        </wps:bodyPr>
                      </wps:wsp>
                      <wps:wsp>
                        <wps:cNvPr id="22325" name="Rectangle 22325"/>
                        <wps:cNvSpPr/>
                        <wps:spPr>
                          <a:xfrm rot="-10799999">
                            <a:off x="19866" y="3191484"/>
                            <a:ext cx="50622" cy="142889"/>
                          </a:xfrm>
                          <a:prstGeom prst="rect">
                            <a:avLst/>
                          </a:prstGeom>
                          <a:ln>
                            <a:noFill/>
                          </a:ln>
                        </wps:spPr>
                        <wps:txbx>
                          <w:txbxContent>
                            <w:p w14:paraId="28412CE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326" name="Rectangle 22326"/>
                        <wps:cNvSpPr/>
                        <wps:spPr>
                          <a:xfrm rot="-10799999">
                            <a:off x="-1316570" y="3068154"/>
                            <a:ext cx="5309036" cy="142889"/>
                          </a:xfrm>
                          <a:prstGeom prst="rect">
                            <a:avLst/>
                          </a:prstGeom>
                          <a:ln>
                            <a:noFill/>
                          </a:ln>
                        </wps:spPr>
                        <wps:txbx>
                          <w:txbxContent>
                            <w:p w14:paraId="08F2274E" w14:textId="77777777" w:rsidR="00B32EF2" w:rsidRDefault="00000000">
                              <w:r>
                                <w:rPr>
                                  <w:rFonts w:ascii="Arial" w:eastAsia="Arial" w:hAnsi="Arial" w:cs="Arial"/>
                                  <w:sz w:val="18"/>
                                </w:rPr>
                                <w:t xml:space="preserve">denti tutti gli appartenenti alle categorie indicate negli articoli 4, 5 e 10 per il </w:t>
                              </w:r>
                            </w:p>
                          </w:txbxContent>
                        </wps:txbx>
                        <wps:bodyPr horzOverflow="overflow" vert="horz" lIns="0" tIns="0" rIns="0" bIns="0" rtlCol="0">
                          <a:noAutofit/>
                        </wps:bodyPr>
                      </wps:wsp>
                      <wps:wsp>
                        <wps:cNvPr id="22327" name="Rectangle 22327"/>
                        <wps:cNvSpPr/>
                        <wps:spPr>
                          <a:xfrm rot="-10799999">
                            <a:off x="-1316509" y="2944825"/>
                            <a:ext cx="5308975" cy="142889"/>
                          </a:xfrm>
                          <a:prstGeom prst="rect">
                            <a:avLst/>
                          </a:prstGeom>
                          <a:ln>
                            <a:noFill/>
                          </a:ln>
                        </wps:spPr>
                        <wps:txbx>
                          <w:txbxContent>
                            <w:p w14:paraId="784C4BBB" w14:textId="77777777" w:rsidR="00B32EF2" w:rsidRDefault="00000000">
                              <w:r>
                                <w:rPr>
                                  <w:rFonts w:ascii="Arial" w:eastAsia="Arial" w:hAnsi="Arial" w:cs="Arial"/>
                                  <w:sz w:val="18"/>
                                </w:rPr>
                                <w:t xml:space="preserve">posto da conferire, che hanno comunicato la propria disponibilità all’incarico e </w:t>
                              </w:r>
                            </w:p>
                          </w:txbxContent>
                        </wps:txbx>
                        <wps:bodyPr horzOverflow="overflow" vert="horz" lIns="0" tIns="0" rIns="0" bIns="0" rtlCol="0">
                          <a:noAutofit/>
                        </wps:bodyPr>
                      </wps:wsp>
                      <wps:wsp>
                        <wps:cNvPr id="22328" name="Rectangle 22328"/>
                        <wps:cNvSpPr/>
                        <wps:spPr>
                          <a:xfrm rot="-10799999">
                            <a:off x="1305893" y="2821495"/>
                            <a:ext cx="2686571" cy="142889"/>
                          </a:xfrm>
                          <a:prstGeom prst="rect">
                            <a:avLst/>
                          </a:prstGeom>
                          <a:ln>
                            <a:noFill/>
                          </a:ln>
                        </wps:spPr>
                        <wps:txbx>
                          <w:txbxContent>
                            <w:p w14:paraId="4ABEB17F" w14:textId="77777777" w:rsidR="00B32EF2" w:rsidRDefault="00000000">
                              <w:r>
                                <w:rPr>
                                  <w:rFonts w:ascii="Arial" w:eastAsia="Arial" w:hAnsi="Arial" w:cs="Arial"/>
                                  <w:sz w:val="18"/>
                                </w:rPr>
                                <w:t>sono in possesso dei requisiti prescritti.</w:t>
                              </w:r>
                            </w:p>
                          </w:txbxContent>
                        </wps:txbx>
                        <wps:bodyPr horzOverflow="overflow" vert="horz" lIns="0" tIns="0" rIns="0" bIns="0" rtlCol="0">
                          <a:noAutofit/>
                        </wps:bodyPr>
                      </wps:wsp>
                      <wps:wsp>
                        <wps:cNvPr id="202227" name="Rectangle 202227"/>
                        <wps:cNvSpPr/>
                        <wps:spPr>
                          <a:xfrm rot="-10799999">
                            <a:off x="-1382913" y="2698165"/>
                            <a:ext cx="5313476" cy="142889"/>
                          </a:xfrm>
                          <a:prstGeom prst="rect">
                            <a:avLst/>
                          </a:prstGeom>
                          <a:ln>
                            <a:noFill/>
                          </a:ln>
                        </wps:spPr>
                        <wps:txbx>
                          <w:txbxContent>
                            <w:p w14:paraId="3B647E08" w14:textId="77777777" w:rsidR="00B32EF2" w:rsidRDefault="00000000">
                              <w:r>
                                <w:rPr>
                                  <w:rFonts w:ascii="Arial" w:eastAsia="Arial" w:hAnsi="Arial" w:cs="Arial"/>
                                  <w:sz w:val="18"/>
                                </w:rPr>
                                <w:t xml:space="preserve">. Per le corti di giustizia tributaria di secondo grado i posti da conferire sono </w:t>
                              </w:r>
                            </w:p>
                          </w:txbxContent>
                        </wps:txbx>
                        <wps:bodyPr horzOverflow="overflow" vert="horz" lIns="0" tIns="0" rIns="0" bIns="0" rtlCol="0">
                          <a:noAutofit/>
                        </wps:bodyPr>
                      </wps:wsp>
                      <wps:wsp>
                        <wps:cNvPr id="202226" name="Rectangle 202226"/>
                        <wps:cNvSpPr/>
                        <wps:spPr>
                          <a:xfrm rot="-10799999">
                            <a:off x="2610533" y="2698166"/>
                            <a:ext cx="5313476" cy="142889"/>
                          </a:xfrm>
                          <a:prstGeom prst="rect">
                            <a:avLst/>
                          </a:prstGeom>
                          <a:ln>
                            <a:noFill/>
                          </a:ln>
                        </wps:spPr>
                        <wps:txbx>
                          <w:txbxContent>
                            <w:p w14:paraId="5A1E1960"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2330" name="Rectangle 22330"/>
                        <wps:cNvSpPr/>
                        <wps:spPr>
                          <a:xfrm rot="-10799999">
                            <a:off x="-1316555" y="2574836"/>
                            <a:ext cx="5309021" cy="142889"/>
                          </a:xfrm>
                          <a:prstGeom prst="rect">
                            <a:avLst/>
                          </a:prstGeom>
                          <a:ln>
                            <a:noFill/>
                          </a:ln>
                        </wps:spPr>
                        <wps:txbx>
                          <w:txbxContent>
                            <w:p w14:paraId="2372A3F8" w14:textId="77777777" w:rsidR="00B32EF2" w:rsidRDefault="00000000">
                              <w:r>
                                <w:rPr>
                                  <w:rFonts w:ascii="Arial" w:eastAsia="Arial" w:hAnsi="Arial" w:cs="Arial"/>
                                  <w:sz w:val="18"/>
                                </w:rPr>
                                <w:t xml:space="preserve">attribuiti in modo da assicurare progressivamente la presenza in tali corti di </w:t>
                              </w:r>
                            </w:p>
                          </w:txbxContent>
                        </wps:txbx>
                        <wps:bodyPr horzOverflow="overflow" vert="horz" lIns="0" tIns="0" rIns="0" bIns="0" rtlCol="0">
                          <a:noAutofit/>
                        </wps:bodyPr>
                      </wps:wsp>
                      <wps:wsp>
                        <wps:cNvPr id="22331" name="Rectangle 22331"/>
                        <wps:cNvSpPr/>
                        <wps:spPr>
                          <a:xfrm rot="-10799999">
                            <a:off x="-1316600" y="2451506"/>
                            <a:ext cx="5309066" cy="142889"/>
                          </a:xfrm>
                          <a:prstGeom prst="rect">
                            <a:avLst/>
                          </a:prstGeom>
                          <a:ln>
                            <a:noFill/>
                          </a:ln>
                        </wps:spPr>
                        <wps:txbx>
                          <w:txbxContent>
                            <w:p w14:paraId="79EDB99C" w14:textId="77777777" w:rsidR="00B32EF2" w:rsidRDefault="00000000">
                              <w:r>
                                <w:rPr>
                                  <w:rFonts w:ascii="Arial" w:eastAsia="Arial" w:hAnsi="Arial" w:cs="Arial"/>
                                  <w:sz w:val="18"/>
                                </w:rPr>
                                <w:t xml:space="preserve">giustizia tributaria di due terzi dei giudici selezionati tra i magistrati ordinari, </w:t>
                              </w:r>
                            </w:p>
                          </w:txbxContent>
                        </wps:txbx>
                        <wps:bodyPr horzOverflow="overflow" vert="horz" lIns="0" tIns="0" rIns="0" bIns="0" rtlCol="0">
                          <a:noAutofit/>
                        </wps:bodyPr>
                      </wps:wsp>
                      <wps:wsp>
                        <wps:cNvPr id="22332" name="Rectangle 22332"/>
                        <wps:cNvSpPr/>
                        <wps:spPr>
                          <a:xfrm rot="-10799999">
                            <a:off x="-1316631" y="2328176"/>
                            <a:ext cx="5309096" cy="142889"/>
                          </a:xfrm>
                          <a:prstGeom prst="rect">
                            <a:avLst/>
                          </a:prstGeom>
                          <a:ln>
                            <a:noFill/>
                          </a:ln>
                        </wps:spPr>
                        <wps:txbx>
                          <w:txbxContent>
                            <w:p w14:paraId="20D53DDD" w14:textId="77777777" w:rsidR="00B32EF2" w:rsidRDefault="00000000">
                              <w:r>
                                <w:rPr>
                                  <w:rFonts w:ascii="Arial" w:eastAsia="Arial" w:hAnsi="Arial" w:cs="Arial"/>
                                  <w:sz w:val="18"/>
                                </w:rPr>
                                <w:t xml:space="preserve">amministrativi, militari e contabili, in servizio o a riposo, ovvero gli avvocati </w:t>
                              </w:r>
                            </w:p>
                          </w:txbxContent>
                        </wps:txbx>
                        <wps:bodyPr horzOverflow="overflow" vert="horz" lIns="0" tIns="0" rIns="0" bIns="0" rtlCol="0">
                          <a:noAutofit/>
                        </wps:bodyPr>
                      </wps:wsp>
                      <wps:wsp>
                        <wps:cNvPr id="22333" name="Rectangle 22333"/>
                        <wps:cNvSpPr/>
                        <wps:spPr>
                          <a:xfrm rot="-10799999">
                            <a:off x="2592811" y="2204847"/>
                            <a:ext cx="1399654" cy="142889"/>
                          </a:xfrm>
                          <a:prstGeom prst="rect">
                            <a:avLst/>
                          </a:prstGeom>
                          <a:ln>
                            <a:noFill/>
                          </a:ln>
                        </wps:spPr>
                        <wps:txbx>
                          <w:txbxContent>
                            <w:p w14:paraId="02982201" w14:textId="77777777" w:rsidR="00B32EF2" w:rsidRDefault="00000000">
                              <w:r>
                                <w:rPr>
                                  <w:rFonts w:ascii="Arial" w:eastAsia="Arial" w:hAnsi="Arial" w:cs="Arial"/>
                                  <w:sz w:val="18"/>
                                </w:rPr>
                                <w:t>dello Stato, a riposo.</w:t>
                              </w:r>
                            </w:p>
                          </w:txbxContent>
                        </wps:txbx>
                        <wps:bodyPr horzOverflow="overflow" vert="horz" lIns="0" tIns="0" rIns="0" bIns="0" rtlCol="0">
                          <a:noAutofit/>
                        </wps:bodyPr>
                      </wps:wsp>
                      <wps:wsp>
                        <wps:cNvPr id="22334" name="Rectangle 22334"/>
                        <wps:cNvSpPr/>
                        <wps:spPr>
                          <a:xfrm rot="-10799999">
                            <a:off x="1511545" y="1958187"/>
                            <a:ext cx="802767" cy="142889"/>
                          </a:xfrm>
                          <a:prstGeom prst="rect">
                            <a:avLst/>
                          </a:prstGeom>
                          <a:ln>
                            <a:noFill/>
                          </a:ln>
                        </wps:spPr>
                        <wps:txbx>
                          <w:txbxContent>
                            <w:p w14:paraId="0F69B2FB" w14:textId="77777777" w:rsidR="00B32EF2" w:rsidRDefault="00000000">
                              <w:r>
                                <w:rPr>
                                  <w:rFonts w:ascii="Arial" w:eastAsia="Arial" w:hAnsi="Arial" w:cs="Arial"/>
                                  <w:b/>
                                  <w:sz w:val="18"/>
                                </w:rPr>
                                <w:t>Articolo 16</w:t>
                              </w:r>
                            </w:p>
                          </w:txbxContent>
                        </wps:txbx>
                        <wps:bodyPr horzOverflow="overflow" vert="horz" lIns="0" tIns="0" rIns="0" bIns="0" rtlCol="0">
                          <a:noAutofit/>
                        </wps:bodyPr>
                      </wps:wsp>
                      <wps:wsp>
                        <wps:cNvPr id="202224" name="Rectangle 202224"/>
                        <wps:cNvSpPr/>
                        <wps:spPr>
                          <a:xfrm rot="-10799999">
                            <a:off x="-254585" y="1834857"/>
                            <a:ext cx="1937619" cy="142889"/>
                          </a:xfrm>
                          <a:prstGeom prst="rect">
                            <a:avLst/>
                          </a:prstGeom>
                          <a:ln>
                            <a:noFill/>
                          </a:ln>
                        </wps:spPr>
                        <wps:txbx>
                          <w:txbxContent>
                            <w:p w14:paraId="67155BA6"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225" name="Rectangle 202225"/>
                        <wps:cNvSpPr/>
                        <wps:spPr>
                          <a:xfrm rot="-10799999">
                            <a:off x="1167112" y="1834857"/>
                            <a:ext cx="1937619" cy="142889"/>
                          </a:xfrm>
                          <a:prstGeom prst="rect">
                            <a:avLst/>
                          </a:prstGeom>
                          <a:ln>
                            <a:noFill/>
                          </a:ln>
                        </wps:spPr>
                        <wps:txbx>
                          <w:txbxContent>
                            <w:p w14:paraId="2B9293E4" w14:textId="77777777" w:rsidR="00B32EF2" w:rsidRDefault="00000000">
                              <w:r>
                                <w:rPr>
                                  <w:rFonts w:ascii="Arial" w:eastAsia="Arial" w:hAnsi="Arial" w:cs="Arial"/>
                                  <w:i/>
                                  <w:sz w:val="18"/>
                                </w:rPr>
                                <w:t xml:space="preserve">articolo 10 D.lgs. n. </w:t>
                              </w:r>
                            </w:p>
                          </w:txbxContent>
                        </wps:txbx>
                        <wps:bodyPr horzOverflow="overflow" vert="horz" lIns="0" tIns="0" rIns="0" bIns="0" rtlCol="0">
                          <a:noAutofit/>
                        </wps:bodyPr>
                      </wps:wsp>
                      <wps:wsp>
                        <wps:cNvPr id="202223" name="Rectangle 202223"/>
                        <wps:cNvSpPr/>
                        <wps:spPr>
                          <a:xfrm rot="-10799999">
                            <a:off x="2222169" y="1834858"/>
                            <a:ext cx="1937619" cy="142889"/>
                          </a:xfrm>
                          <a:prstGeom prst="rect">
                            <a:avLst/>
                          </a:prstGeom>
                          <a:ln>
                            <a:noFill/>
                          </a:ln>
                        </wps:spPr>
                        <wps:txbx>
                          <w:txbxContent>
                            <w:p w14:paraId="0AAC87A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2336" name="Rectangle 22336"/>
                        <wps:cNvSpPr/>
                        <wps:spPr>
                          <a:xfrm rot="-10799999">
                            <a:off x="1468636" y="1711528"/>
                            <a:ext cx="872650" cy="142889"/>
                          </a:xfrm>
                          <a:prstGeom prst="rect">
                            <a:avLst/>
                          </a:prstGeom>
                          <a:ln>
                            <a:noFill/>
                          </a:ln>
                        </wps:spPr>
                        <wps:txbx>
                          <w:txbxContent>
                            <w:p w14:paraId="6C1917F7" w14:textId="77777777" w:rsidR="00B32EF2" w:rsidRDefault="00000000">
                              <w:r>
                                <w:rPr>
                                  <w:rFonts w:ascii="Arial" w:eastAsia="Arial" w:hAnsi="Arial" w:cs="Arial"/>
                                  <w:b/>
                                  <w:sz w:val="18"/>
                                </w:rPr>
                                <w:t>Giuramento</w:t>
                              </w:r>
                            </w:p>
                          </w:txbxContent>
                        </wps:txbx>
                        <wps:bodyPr horzOverflow="overflow" vert="horz" lIns="0" tIns="0" rIns="0" bIns="0" rtlCol="0">
                          <a:noAutofit/>
                        </wps:bodyPr>
                      </wps:wsp>
                      <wps:wsp>
                        <wps:cNvPr id="202222" name="Rectangle 202222"/>
                        <wps:cNvSpPr/>
                        <wps:spPr>
                          <a:xfrm rot="-10799999">
                            <a:off x="-1375656" y="1588198"/>
                            <a:ext cx="5309052" cy="142889"/>
                          </a:xfrm>
                          <a:prstGeom prst="rect">
                            <a:avLst/>
                          </a:prstGeom>
                          <a:ln>
                            <a:noFill/>
                          </a:ln>
                        </wps:spPr>
                        <wps:txbx>
                          <w:txbxContent>
                            <w:p w14:paraId="74EC660E" w14:textId="77777777" w:rsidR="00B32EF2" w:rsidRDefault="00000000">
                              <w:r>
                                <w:rPr>
                                  <w:rFonts w:ascii="Arial" w:eastAsia="Arial" w:hAnsi="Arial" w:cs="Arial"/>
                                  <w:sz w:val="18"/>
                                </w:rPr>
                                <w:t xml:space="preserve">. I componenti delle corti di giustizia tributaria di primo e secondo grado, </w:t>
                              </w:r>
                            </w:p>
                          </w:txbxContent>
                        </wps:txbx>
                        <wps:bodyPr horzOverflow="overflow" vert="horz" lIns="0" tIns="0" rIns="0" bIns="0" rtlCol="0">
                          <a:noAutofit/>
                        </wps:bodyPr>
                      </wps:wsp>
                      <wps:wsp>
                        <wps:cNvPr id="202221" name="Rectangle 202221"/>
                        <wps:cNvSpPr/>
                        <wps:spPr>
                          <a:xfrm rot="-10799999">
                            <a:off x="2611745" y="1588198"/>
                            <a:ext cx="5309052" cy="142889"/>
                          </a:xfrm>
                          <a:prstGeom prst="rect">
                            <a:avLst/>
                          </a:prstGeom>
                          <a:ln>
                            <a:noFill/>
                          </a:ln>
                        </wps:spPr>
                        <wps:txbx>
                          <w:txbxContent>
                            <w:p w14:paraId="1A42CA15"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2338" name="Rectangle 22338"/>
                        <wps:cNvSpPr/>
                        <wps:spPr>
                          <a:xfrm rot="-10799999">
                            <a:off x="-1316659" y="1464868"/>
                            <a:ext cx="5310267" cy="142889"/>
                          </a:xfrm>
                          <a:prstGeom prst="rect">
                            <a:avLst/>
                          </a:prstGeom>
                          <a:ln>
                            <a:noFill/>
                          </a:ln>
                        </wps:spPr>
                        <wps:txbx>
                          <w:txbxContent>
                            <w:p w14:paraId="6D3C70BF" w14:textId="77777777" w:rsidR="00B32EF2" w:rsidRDefault="00000000">
                              <w:r>
                                <w:rPr>
                                  <w:rFonts w:ascii="Arial" w:eastAsia="Arial" w:hAnsi="Arial" w:cs="Arial"/>
                                  <w:sz w:val="18"/>
                                </w:rPr>
                                <w:t xml:space="preserve">prima dell’immissione nelle loro funzioni, prestano giuramento, pronunziando </w:t>
                              </w:r>
                            </w:p>
                          </w:txbxContent>
                        </wps:txbx>
                        <wps:bodyPr horzOverflow="overflow" vert="horz" lIns="0" tIns="0" rIns="0" bIns="0" rtlCol="0">
                          <a:noAutofit/>
                        </wps:bodyPr>
                      </wps:wsp>
                      <wps:wsp>
                        <wps:cNvPr id="22339" name="Rectangle 22339"/>
                        <wps:cNvSpPr/>
                        <wps:spPr>
                          <a:xfrm rot="-10799999">
                            <a:off x="-1316456" y="1341539"/>
                            <a:ext cx="5309036" cy="142889"/>
                          </a:xfrm>
                          <a:prstGeom prst="rect">
                            <a:avLst/>
                          </a:prstGeom>
                          <a:ln>
                            <a:noFill/>
                          </a:ln>
                        </wps:spPr>
                        <wps:txbx>
                          <w:txbxContent>
                            <w:p w14:paraId="17512470" w14:textId="77777777" w:rsidR="00B32EF2" w:rsidRDefault="00000000">
                              <w:r>
                                <w:rPr>
                                  <w:rFonts w:ascii="Arial" w:eastAsia="Arial" w:hAnsi="Arial" w:cs="Arial"/>
                                  <w:sz w:val="18"/>
                                </w:rPr>
                                <w:t xml:space="preserve">e sottoscrivendo la formula: «Giuro di essere fedele alla Repubblica italiana, </w:t>
                              </w:r>
                            </w:p>
                          </w:txbxContent>
                        </wps:txbx>
                        <wps:bodyPr horzOverflow="overflow" vert="horz" lIns="0" tIns="0" rIns="0" bIns="0" rtlCol="0">
                          <a:noAutofit/>
                        </wps:bodyPr>
                      </wps:wsp>
                      <wps:wsp>
                        <wps:cNvPr id="22340" name="Rectangle 22340"/>
                        <wps:cNvSpPr/>
                        <wps:spPr>
                          <a:xfrm rot="-10799999">
                            <a:off x="-1316456" y="1218209"/>
                            <a:ext cx="5309036" cy="142890"/>
                          </a:xfrm>
                          <a:prstGeom prst="rect">
                            <a:avLst/>
                          </a:prstGeom>
                          <a:ln>
                            <a:noFill/>
                          </a:ln>
                        </wps:spPr>
                        <wps:txbx>
                          <w:txbxContent>
                            <w:p w14:paraId="6B48E116" w14:textId="77777777" w:rsidR="00B32EF2" w:rsidRDefault="00000000">
                              <w:r>
                                <w:rPr>
                                  <w:rFonts w:ascii="Arial" w:eastAsia="Arial" w:hAnsi="Arial" w:cs="Arial"/>
                                  <w:sz w:val="18"/>
                                </w:rPr>
                                <w:t xml:space="preserve">di osservare lealmente le leggi dello Stato e di adempiere con coscienza ai </w:t>
                              </w:r>
                            </w:p>
                          </w:txbxContent>
                        </wps:txbx>
                        <wps:bodyPr horzOverflow="overflow" vert="horz" lIns="0" tIns="0" rIns="0" bIns="0" rtlCol="0">
                          <a:noAutofit/>
                        </wps:bodyPr>
                      </wps:wsp>
                      <wps:wsp>
                        <wps:cNvPr id="22341" name="Rectangle 22341"/>
                        <wps:cNvSpPr/>
                        <wps:spPr>
                          <a:xfrm rot="-10799999">
                            <a:off x="2005508" y="1094880"/>
                            <a:ext cx="1987072" cy="142889"/>
                          </a:xfrm>
                          <a:prstGeom prst="rect">
                            <a:avLst/>
                          </a:prstGeom>
                          <a:ln>
                            <a:noFill/>
                          </a:ln>
                        </wps:spPr>
                        <wps:txbx>
                          <w:txbxContent>
                            <w:p w14:paraId="42281129" w14:textId="77777777" w:rsidR="00B32EF2" w:rsidRDefault="00000000">
                              <w:r>
                                <w:rPr>
                                  <w:rFonts w:ascii="Arial" w:eastAsia="Arial" w:hAnsi="Arial" w:cs="Arial"/>
                                  <w:sz w:val="18"/>
                                </w:rPr>
                                <w:t>doveri inerenti al mio ufficio».</w:t>
                              </w:r>
                            </w:p>
                          </w:txbxContent>
                        </wps:txbx>
                        <wps:bodyPr horzOverflow="overflow" vert="horz" lIns="0" tIns="0" rIns="0" bIns="0" rtlCol="0">
                          <a:noAutofit/>
                        </wps:bodyPr>
                      </wps:wsp>
                      <wps:wsp>
                        <wps:cNvPr id="202220" name="Rectangle 202220"/>
                        <wps:cNvSpPr/>
                        <wps:spPr>
                          <a:xfrm rot="-10799999">
                            <a:off x="-1284602" y="971550"/>
                            <a:ext cx="5212625" cy="142889"/>
                          </a:xfrm>
                          <a:prstGeom prst="rect">
                            <a:avLst/>
                          </a:prstGeom>
                          <a:ln>
                            <a:noFill/>
                          </a:ln>
                        </wps:spPr>
                        <wps:txbx>
                          <w:txbxContent>
                            <w:p w14:paraId="74F9DD2B" w14:textId="77777777" w:rsidR="00B32EF2" w:rsidRDefault="00000000">
                              <w:r>
                                <w:rPr>
                                  <w:rFonts w:ascii="Arial" w:eastAsia="Arial" w:hAnsi="Arial" w:cs="Arial"/>
                                  <w:sz w:val="18"/>
                                </w:rPr>
                                <w:t>. I presidenti delle corti di giustizia tributaria di secondo grado prestano giu</w:t>
                              </w:r>
                            </w:p>
                          </w:txbxContent>
                        </wps:txbx>
                        <wps:bodyPr horzOverflow="overflow" vert="horz" lIns="0" tIns="0" rIns="0" bIns="0" rtlCol="0">
                          <a:noAutofit/>
                        </wps:bodyPr>
                      </wps:wsp>
                      <wps:wsp>
                        <wps:cNvPr id="202219" name="Rectangle 202219"/>
                        <wps:cNvSpPr/>
                        <wps:spPr>
                          <a:xfrm rot="-10799999">
                            <a:off x="2635670" y="971550"/>
                            <a:ext cx="5212626" cy="142889"/>
                          </a:xfrm>
                          <a:prstGeom prst="rect">
                            <a:avLst/>
                          </a:prstGeom>
                          <a:ln>
                            <a:noFill/>
                          </a:ln>
                        </wps:spPr>
                        <wps:txbx>
                          <w:txbxContent>
                            <w:p w14:paraId="05D5F3C9"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2343" name="Rectangle 22343"/>
                        <wps:cNvSpPr/>
                        <wps:spPr>
                          <a:xfrm rot="-10799999">
                            <a:off x="19981" y="971550"/>
                            <a:ext cx="50622" cy="142889"/>
                          </a:xfrm>
                          <a:prstGeom prst="rect">
                            <a:avLst/>
                          </a:prstGeom>
                          <a:ln>
                            <a:noFill/>
                          </a:ln>
                        </wps:spPr>
                        <wps:txbx>
                          <w:txbxContent>
                            <w:p w14:paraId="2E0E6E5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344" name="Rectangle 22344"/>
                        <wps:cNvSpPr/>
                        <wps:spPr>
                          <a:xfrm rot="-10799999">
                            <a:off x="56016" y="848220"/>
                            <a:ext cx="3936563" cy="142889"/>
                          </a:xfrm>
                          <a:prstGeom prst="rect">
                            <a:avLst/>
                          </a:prstGeom>
                          <a:ln>
                            <a:noFill/>
                          </a:ln>
                        </wps:spPr>
                        <wps:txbx>
                          <w:txbxContent>
                            <w:p w14:paraId="396975D9" w14:textId="77777777" w:rsidR="00B32EF2" w:rsidRDefault="00000000">
                              <w:r>
                                <w:rPr>
                                  <w:rFonts w:ascii="Arial" w:eastAsia="Arial" w:hAnsi="Arial" w:cs="Arial"/>
                                  <w:sz w:val="18"/>
                                </w:rPr>
                                <w:t>ramento dinanzi al presidente del Consiglio di presidenza.</w:t>
                              </w:r>
                            </w:p>
                          </w:txbxContent>
                        </wps:txbx>
                        <wps:bodyPr horzOverflow="overflow" vert="horz" lIns="0" tIns="0" rIns="0" bIns="0" rtlCol="0">
                          <a:noAutofit/>
                        </wps:bodyPr>
                      </wps:wsp>
                      <wps:wsp>
                        <wps:cNvPr id="202217" name="Rectangle 202217"/>
                        <wps:cNvSpPr/>
                        <wps:spPr>
                          <a:xfrm rot="-10799999">
                            <a:off x="2635621" y="724891"/>
                            <a:ext cx="5212823" cy="142889"/>
                          </a:xfrm>
                          <a:prstGeom prst="rect">
                            <a:avLst/>
                          </a:prstGeom>
                          <a:ln>
                            <a:noFill/>
                          </a:ln>
                        </wps:spPr>
                        <wps:txbx>
                          <w:txbxContent>
                            <w:p w14:paraId="6DCCBD4C"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2218" name="Rectangle 202218"/>
                        <wps:cNvSpPr/>
                        <wps:spPr>
                          <a:xfrm rot="-10799999">
                            <a:off x="-1284766" y="724890"/>
                            <a:ext cx="5212823" cy="142889"/>
                          </a:xfrm>
                          <a:prstGeom prst="rect">
                            <a:avLst/>
                          </a:prstGeom>
                          <a:ln>
                            <a:noFill/>
                          </a:ln>
                        </wps:spPr>
                        <wps:txbx>
                          <w:txbxContent>
                            <w:p w14:paraId="6E434480" w14:textId="77777777" w:rsidR="00B32EF2" w:rsidRDefault="00000000">
                              <w:r>
                                <w:rPr>
                                  <w:rFonts w:ascii="Arial" w:eastAsia="Arial" w:hAnsi="Arial" w:cs="Arial"/>
                                  <w:sz w:val="18"/>
                                </w:rPr>
                                <w:t>. I presidenti delle corti di giustizia tributaria di primo grado prestano giura</w:t>
                              </w:r>
                            </w:p>
                          </w:txbxContent>
                        </wps:txbx>
                        <wps:bodyPr horzOverflow="overflow" vert="horz" lIns="0" tIns="0" rIns="0" bIns="0" rtlCol="0">
                          <a:noAutofit/>
                        </wps:bodyPr>
                      </wps:wsp>
                      <wps:wsp>
                        <wps:cNvPr id="22346" name="Rectangle 22346"/>
                        <wps:cNvSpPr/>
                        <wps:spPr>
                          <a:xfrm rot="-10799999">
                            <a:off x="19981" y="724891"/>
                            <a:ext cx="50622" cy="142889"/>
                          </a:xfrm>
                          <a:prstGeom prst="rect">
                            <a:avLst/>
                          </a:prstGeom>
                          <a:ln>
                            <a:noFill/>
                          </a:ln>
                        </wps:spPr>
                        <wps:txbx>
                          <w:txbxContent>
                            <w:p w14:paraId="34F8C1D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347" name="Rectangle 22347"/>
                        <wps:cNvSpPr/>
                        <wps:spPr>
                          <a:xfrm rot="-10799999">
                            <a:off x="-1316441" y="601561"/>
                            <a:ext cx="5309021" cy="142889"/>
                          </a:xfrm>
                          <a:prstGeom prst="rect">
                            <a:avLst/>
                          </a:prstGeom>
                          <a:ln>
                            <a:noFill/>
                          </a:ln>
                        </wps:spPr>
                        <wps:txbx>
                          <w:txbxContent>
                            <w:p w14:paraId="58611E2F" w14:textId="77777777" w:rsidR="00B32EF2" w:rsidRDefault="00000000">
                              <w:r>
                                <w:rPr>
                                  <w:rFonts w:ascii="Arial" w:eastAsia="Arial" w:hAnsi="Arial" w:cs="Arial"/>
                                  <w:sz w:val="18"/>
                                </w:rPr>
                                <w:t xml:space="preserve">mento dinanzi al presidente della corte di giustizia tributaria di secondo grado </w:t>
                              </w:r>
                            </w:p>
                          </w:txbxContent>
                        </wps:txbx>
                        <wps:bodyPr horzOverflow="overflow" vert="horz" lIns="0" tIns="0" rIns="0" bIns="0" rtlCol="0">
                          <a:noAutofit/>
                        </wps:bodyPr>
                      </wps:wsp>
                      <wps:wsp>
                        <wps:cNvPr id="22348" name="Rectangle 22348"/>
                        <wps:cNvSpPr/>
                        <wps:spPr>
                          <a:xfrm rot="-10799999">
                            <a:off x="-1274210" y="478231"/>
                            <a:ext cx="5266790" cy="142889"/>
                          </a:xfrm>
                          <a:prstGeom prst="rect">
                            <a:avLst/>
                          </a:prstGeom>
                          <a:ln>
                            <a:noFill/>
                          </a:ln>
                        </wps:spPr>
                        <wps:txbx>
                          <w:txbxContent>
                            <w:p w14:paraId="60998E4E" w14:textId="77777777" w:rsidR="00B32EF2" w:rsidRDefault="00000000">
                              <w:r>
                                <w:rPr>
                                  <w:rFonts w:ascii="Arial" w:eastAsia="Arial" w:hAnsi="Arial" w:cs="Arial"/>
                                  <w:sz w:val="18"/>
                                </w:rPr>
                                <w:t>nella cui circoscrizione ha sede la corte di giustizia tributaria cui sono destinati.</w:t>
                              </w:r>
                            </w:p>
                          </w:txbxContent>
                        </wps:txbx>
                        <wps:bodyPr horzOverflow="overflow" vert="horz" lIns="0" tIns="0" rIns="0" bIns="0" rtlCol="0">
                          <a:noAutofit/>
                        </wps:bodyPr>
                      </wps:wsp>
                    </wpg:wgp>
                  </a:graphicData>
                </a:graphic>
              </wp:inline>
            </w:drawing>
          </mc:Choice>
          <mc:Fallback>
            <w:pict>
              <v:group w14:anchorId="39A646E4" id="Group 202267" o:spid="_x0000_s6353" style="width:314.4pt;height:493.15pt;mso-position-horizontal-relative:char;mso-position-vertical-relative:line" coordsize="39925,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3gXhQoAABCBAAAOAAAAZHJzL2Uyb0RvYy54bWzkXdmO4zYWfR9g/sHwe7VJiqQoo6uDQTpp&#10;DDCYBFk+QO3yBtiWIbvb1fP1cy4pU16YBCMOzAKYh4qLdqskHp67HF5ev//udbsZfZ23h3Wzex7z&#10;d2w8mu9mzct6t3we//7bj09mPDoc691LvWl28+fxt/lh/N2Hv//t/Wk/nYtm1Wxe5u0IF9kdpqf9&#10;83h1PO6nk8lhtppv68O7Zj/f4c1F027rI35tl5OXtj7h6tvNRDCmJ6emfdm3zWx+OGD0o3tz/MFe&#10;f7GYz44/LRaH+XG0eR7j3o72Z2t/fqafkw/v6+myrfer9ay7jXrAXWzr9Q5/1F/qY32sR1/a9d2l&#10;tutZ2xyaxfHdrNlOmsViPZvbZ8DTcHbzNJ/a5svePstyelru/TRham/mafBlZ//++qnd/7r/ucVM&#10;nPZLzIX9jZ7lddFu6f+4y9GrnbJvfsrmr8fRDINFVQlVVuPRDO9poYVR0k3qbIWZv/t3s9UPf/Ev&#10;J+c/PLm6ndMeC+TQz8Ehbg5+XdX7uZ3awxRz8HM7Wr88j4UQlR6PdvUWS/UXLJ56t9zMR27YTpD9&#10;tJ+uw/SAmTvP1ahtsL6eOCsr+s+uh27ueMU4V3w8wiw9aYFf3SSdp5GXptDdLArFtNT0vp+Kerpv&#10;D8dP82Y7ohfP4xb3Zq9ff/3X4eg+ev4I3c5mRz93zY/rzca9SyOY0fMd06vj6+dX+9iKs4L+Hg1+&#10;bl6+YTZWTfufn8DrxaY5PY+b7tWYqI4/T++OR5t/7oACser8oj2/+Hx+0R433zeWe+6G/vHl2CzW&#10;9o77v9bdGeB19/AQnMswzuV5IrAq/necn3jBtSIkiQ6cV5Xu6HBGWhWsYgUWGRGGS2HcUngg1PaG&#10;+snPAGr4oBClzf8B6hLLH0CqypiqVHTBevp2oLY3lBXUYF4I6ioOaimUlA5oA29n7OV6oCUrFLx3&#10;z2n3gQdy2rqLfIBmQhQhpN1458kGGXABo61Fh3UpSsZ4gNRGJMTae6g8XDUwlaDWHavdeAzWcNYl&#10;jLZyxH6bYHsflQfYogDf7rG2wzFQG8VLVTigVaUZt/Fub8ELLlmJQR+VPdyCew+VB9BkqUMRuBuP&#10;gdpacPIOFJZJrZiwzrHH2kbgIqG3RqTQPWA+WIdCcMLa27dB3hoW3LCqy6v/BGzYlHO69Whicxs/&#10;5BOawVTDjN55azscRWvDlOCIu4jWRYGQ28ZBPa05N6UgG58MaZEfrRE73UFNtPaJ5yBaWxMuO3ct&#10;WMHUjVxmTTi7EFEezurM9DLCNCSMuvEYXlsTbmQXhL9NsHNTzEC4AK9hwuNo7cRR00HNSsG0NZm9&#10;Dbe8JneezIb7J8wjNAOmIVrb4UhWcy07HUVWEnsidmavoZY6JdSZaWbANJRw2eFoqNUZasMZM/cJ&#10;l6mwzZGO1ZlJZsA0lG/Z4XioO8FM6rJi2OXEBa9ZzURKVvuEMhsDHhLCAbUXlAaF4E+FFII5HVwq&#10;abjLY3ukJXIwTbtfyVy1f8BckKYdprtsSxS9nDQIaZQlcKPhGpBYS7js0tzseBhWFDoh0JDqOqOV&#10;B9CUU0HnuEPajcfYbyE4Ck0AJUENpV0i1L4y3xy7mzKlDA7XkR3WMLJBrH3WOYzWgpdMIAx4u1hn&#10;qJeFpFHitZeTBmH9xKUsUGj0F1jjA6mctfAPmIcNh1cOmXA7HGPBn1BFKIG2gxrGnDuL2cdlqOUr&#10;VcrdLWSCWZlwYBpitR2OgRqb1Kxz1RbnW6kM4lnCKhSRnVDGQ34aKPvlPsh0a6lU2QXfTMmyuoFZ&#10;QEZDkUpCy52ZTEbeOJRnufEYQguNNKqLvosKC+dO/RacKfIbybx0ZjoZYQqtKhh9+0RkEK2fuChL&#10;e3GE328U7OyUMh7e6sBwDK15ZTQu/Ic4J/bT+alk4V0O7m3bQELTwQ4qRCWgDTMcGg2WzUXgTQc7&#10;aOM0lfWG2+rWcTY5VniXg3vLFgE19ist1NpICKC3UCM0T6l9w2vlBnV4l4N78zYI6lJiE8OVihZK&#10;c1neAF0IiZ3LlJzOTyMTIaQRqWE8xk0jIjModugMuCwMR4HZtQFH+F2dD2HSybxHF5X1KmAeBpxA&#10;DVlwNx4DNlItVPm7tLp4m1h72SAPrLGlFcq07HAM0hfRt8XZTutFUJY2+u7rYLNBOSx7Q6qMQRnG&#10;G5Wh8M42JIN0Aut9Z7xh32FNkkXfPovMBuqw7N1v9QwKyS4IHcQ5MaF9FpkNymHZu9/lGYQyCE29&#10;EWAsKJ3mFRgdILQUCYXv/mhSNlAj0bnTQuGh/VbPIKgvCB3EOTGhfVaRDcphFdSdkqRzaoNQdrX9&#10;XTcM5FkG+9Q3Hvq28cmj0yuId10Mkg3UYSkUVjUuGCMpFPWlZLtFJaVxFuIi6kb9MXVDSRaMyez0&#10;sWAiDdsdJ4VyHPkxlQu7hRFcQgvD0umRFtpoVSas95Y+sciD1KSNhFjtxiNpbURFtSxEa10ZkPwa&#10;bIVKF1nCfaTKsZxil89ZagI15K3deAzYOGHLcIr6Auu7MzupsbbhQz5YowY0VHZih2OQdoFZd2YH&#10;rRolGg3e0hoblynP7ODwb/eEedhwYBrWQvttveExuO6KBgWK+9FIMgA1VSsks+DZqWTBoxxYAT5u&#10;iYCalhE5a4R5HH4ZJOojM3uUmpqZJoPaZxnZsDosiPbbeoOgFqoCvB3SOJJnpJ3YHmmOHrwoTUmI&#10;tE8yskE6LIoWPmYZhDSdxFNdJwxeKYOGNtecNkyUtKuZjNKZiWUUZ4eQduNRURkaiqquEwY3hcS5&#10;u2uoeVWUGtUtybB2LXfyib8J05D+7cZjsEZD0ZJ3naveKNaZyWWEachXu/EYrHFhnNhw0qjD2vrG&#10;C2ednNc+8MzGWYckFETgPhUZ5qwlpE/qiYUAnIPfykmtPdLoRgeVPKEBz+zIJZE3VHzixmNIDQml&#10;VOjq77BWxmBL89pbu75VCU/uuM22vLx1SEMhsL0zG8Rr6j1YnoPwt4l1fnJZqEoUFtznnYOQtsqo&#10;Vp2zlloafUdrju7BCRMu2JzOcGXjrAFHoAYF/ZwjLTjO0Z4teCG5chfsvbW14OTOU+XWLgHMx4IL&#10;tPANQt2XaQxntYdacCNcJ6w/gfrR38CjvN3KhdWoxwixui/TGAQ1vv9NKep0RyE4q6TB4WpYiR5p&#10;xGkl2owmJLU3W3kgTeFXiNVuPM6CCyM1cwWjVckB/DXW1Bxck4KTyoDjaFFWvhqYkj5556zdeAzW&#10;dHrHthYEr/8Y6oS+Gm1rs4Iavjokl9nhGKBRAo5mg2S+gzCnrQx23TmyCshCex0AOW5XS6GRkZNO&#10;cJKa3ANWTO+i0RsDygpWVzKznZ9MhlYIYbPtd+yHhWNktqmOCHwu6eC0tZI91OShDenuyaD2Czmb&#10;aAytEMJQ+xRkENR0mBqVoI7WFusbWqfHOjuRDF8ZfA81rLeXkAYh3bvoIKUTu2j/bHkQGmiGTLcd&#10;jonDrBIqKUmH6Ya7RiuMay9t1bGUJaIQYXOLuEOWG0hHG+5Sos+FRRqtvqlF2VU8poSmvv4JnbR/&#10;wNSctt8/f1riO8nxRb7Ltt6v1rOP9bG+/N1+c/l0LppVs3mZtx/+CwAA//8DAFBLAwQUAAYACAAA&#10;ACEAvusVZN0AAAAFAQAADwAAAGRycy9kb3ducmV2LnhtbEyPQUvDQBCF74L/YRnBm92kxRDTbEop&#10;6qkItoL0Ns1Ok9Dsbshuk/TfO3qplwfDG977Xr6aTCsG6n3jrIJ4FoEgWzrd2ErB1/7tKQXhA1qN&#10;rbOk4EoeVsX9XY6ZdqP9pGEXKsEh1meooA6hy6T0ZU0G/cx1ZNk7ud5g4LOvpO5x5HDTynkUJdJg&#10;Y7mhxo42NZXn3cUoeB9xXC/i12F7Pm2uh/3zx/c2JqUeH6b1EkSgKdye4Ref0aFgpqO7WO1Fq4CH&#10;hD9lL5mnPOOo4CVNFiCLXP6nL34AAAD//wMAUEsBAi0AFAAGAAgAAAAhALaDOJL+AAAA4QEAABMA&#10;AAAAAAAAAAAAAAAAAAAAAFtDb250ZW50X1R5cGVzXS54bWxQSwECLQAUAAYACAAAACEAOP0h/9YA&#10;AACUAQAACwAAAAAAAAAAAAAAAAAvAQAAX3JlbHMvLnJlbHNQSwECLQAUAAYACAAAACEARut4F4UK&#10;AAAQgQAADgAAAAAAAAAAAAAAAAAuAgAAZHJzL2Uyb0RvYy54bWxQSwECLQAUAAYACAAAACEAvusV&#10;ZN0AAAAFAQAADwAAAAAAAAAAAAAAAADfDAAAZHJzL2Rvd25yZXYueG1sUEsFBgAAAAAEAAQA8wAA&#10;AOkNAAAAAA==&#10;">
                <v:rect id="Rectangle 22296" o:spid="_x0000_s6354" style="position:absolute;left:19011;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XLUxgAAAN4AAAAPAAAAZHJzL2Rvd25yZXYueG1sRI9Ba8JA&#10;FITvgv9heYXedNMcxKauIoo0By+1ETw+ss8kNft2ya4m+uvdQqHHYWa+YRarwbTiRp1vLCt4myYg&#10;iEurG64UFN+7yRyED8gaW8uk4E4eVsvxaIGZtj1/0e0QKhEh7DNUUIfgMil9WZNBP7WOOHpn2xkM&#10;UXaV1B32EW5amSbJTBpsOC7U6GhTU3k5XI2C05ZdvutleX5s3P4nn7ef1+Ko1OvLsP4AEWgI/+G/&#10;dq4VpGn6PoPfO/EKyOUTAAD//wMAUEsBAi0AFAAGAAgAAAAhANvh9svuAAAAhQEAABMAAAAAAAAA&#10;AAAAAAAAAAAAAFtDb250ZW50X1R5cGVzXS54bWxQSwECLQAUAAYACAAAACEAWvQsW78AAAAVAQAA&#10;CwAAAAAAAAAAAAAAAAAfAQAAX3JlbHMvLnJlbHNQSwECLQAUAAYACAAAACEAY2Fy1MYAAADeAAAA&#10;DwAAAAAAAAAAAAAAAAAHAgAAZHJzL2Rvd25yZXYueG1sUEsFBgAAAAADAAMAtwAAAPoCAAAAAA==&#10;" filled="f" stroked="f">
                  <v:textbox inset="0,0,0,0">
                    <w:txbxContent>
                      <w:p w14:paraId="36669473" w14:textId="77777777" w:rsidR="00B32EF2" w:rsidRDefault="00000000">
                        <w:r>
                          <w:rPr>
                            <w:rFonts w:ascii="Times New Roman" w:eastAsia="Times New Roman" w:hAnsi="Times New Roman" w:cs="Times New Roman"/>
                          </w:rPr>
                          <w:t>25</w:t>
                        </w:r>
                      </w:p>
                    </w:txbxContent>
                  </v:textbox>
                </v:rect>
                <v:rect id="Rectangle 22297" o:spid="_x0000_s6355" style="position:absolute;left:-13165;top:611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ddPxwAAAN4AAAAPAAAAZHJzL2Rvd25yZXYueG1sRI9Ba8JA&#10;FITvBf/D8gRvdWMOrY2uIoo0By+1Ch4f2WcSzb5dsquJ/vpuodDjMDPfMPNlbxpxp9bXlhVMxgkI&#10;4sLqmksFh+/t6xSED8gaG8uk4EEelovByxwzbTv+ovs+lCJC2GeooArBZVL6oiKDfmwdcfTOtjUY&#10;omxLqVvsItw0Mk2SN2mw5rhQoaN1RcV1fzMKTht2+baTxfm5drtLPm0+b4ejUqNhv5qBCNSH//Bf&#10;O9cK0jT9eIffO/EKyMUPAAAA//8DAFBLAQItABQABgAIAAAAIQDb4fbL7gAAAIUBAAATAAAAAAAA&#10;AAAAAAAAAAAAAABbQ29udGVudF9UeXBlc10ueG1sUEsBAi0AFAAGAAgAAAAhAFr0LFu/AAAAFQEA&#10;AAsAAAAAAAAAAAAAAAAAHwEAAF9yZWxzLy5yZWxzUEsBAi0AFAAGAAgAAAAhAAwt10/HAAAA3gAA&#10;AA8AAAAAAAAAAAAAAAAABwIAAGRycy9kb3ducmV2LnhtbFBLBQYAAAAAAwADALcAAAD7AgAAAAA=&#10;" filled="f" stroked="f">
                  <v:textbox inset="0,0,0,0">
                    <w:txbxContent>
                      <w:p w14:paraId="45F382A1" w14:textId="77777777" w:rsidR="00B32EF2" w:rsidRDefault="00000000">
                        <w:r>
                          <w:rPr>
                            <w:rFonts w:ascii="Arial" w:eastAsia="Arial" w:hAnsi="Arial" w:cs="Arial"/>
                            <w:sz w:val="18"/>
                          </w:rPr>
                          <w:t xml:space="preserve">condo grado ovvero nelle regioni con essa confinanti. All’accertamento della </w:t>
                        </w:r>
                      </w:p>
                    </w:txbxContent>
                  </v:textbox>
                </v:rect>
                <v:rect id="Rectangle 22298" o:spid="_x0000_s6356" style="position:absolute;left:-13165;top:5988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kM9wwAAAN4AAAAPAAAAZHJzL2Rvd25yZXYueG1sRE9Ni8Iw&#10;EL0v+B/CCN7W1B4WtxpFFNkevOi6sMehGdtqMwlNtNVfbw6Cx8f7ni9704gbtb62rGAyTkAQF1bX&#10;XCo4/m4/pyB8QNbYWCYFd/KwXAw+5php2/GebodQihjCPkMFVQguk9IXFRn0Y+uII3eyrcEQYVtK&#10;3WIXw00j0yT5kgZrjg0VOlpXVFwOV6Pgf8Mu33ayOD3WbnfOp83P9fin1GjYr2YgAvXhLX65c60g&#10;TdPvuDfeiVdALp4AAAD//wMAUEsBAi0AFAAGAAgAAAAhANvh9svuAAAAhQEAABMAAAAAAAAAAAAA&#10;AAAAAAAAAFtDb250ZW50X1R5cGVzXS54bWxQSwECLQAUAAYACAAAACEAWvQsW78AAAAVAQAACwAA&#10;AAAAAAAAAAAAAAAfAQAAX3JlbHMvLnJlbHNQSwECLQAUAAYACAAAACEAfbJDPcMAAADeAAAADwAA&#10;AAAAAAAAAAAAAAAHAgAAZHJzL2Rvd25yZXYueG1sUEsFBgAAAAADAAMAtwAAAPcCAAAAAA==&#10;" filled="f" stroked="f">
                  <v:textbox inset="0,0,0,0">
                    <w:txbxContent>
                      <w:p w14:paraId="23DB22B1" w14:textId="77777777" w:rsidR="00B32EF2" w:rsidRDefault="00000000">
                        <w:r>
                          <w:rPr>
                            <w:rFonts w:ascii="Arial" w:eastAsia="Arial" w:hAnsi="Arial" w:cs="Arial"/>
                            <w:sz w:val="18"/>
                          </w:rPr>
                          <w:t xml:space="preserve">sussistenza delle cause di incompatibilità previste nei periodi che precedono </w:t>
                        </w:r>
                      </w:p>
                    </w:txbxContent>
                  </v:textbox>
                </v:rect>
                <v:rect id="Rectangle 22299" o:spid="_x0000_s6357" style="position:absolute;left:-425;top:58579;width:403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amxgAAAN4AAAAPAAAAZHJzL2Rvd25yZXYueG1sRI9Ba8JA&#10;FITvgv9heQVvumkOoqmriCLm0EttBI+P7DNJzb5dsquJ/fXdQqHHYWa+YVabwbTiQZ1vLCt4nSUg&#10;iEurG64UFJ+H6QKED8gaW8uk4EkeNuvxaIWZtj1/0OMUKhEh7DNUUIfgMil9WZNBP7OOOHpX2xkM&#10;UXaV1B32EW5amSbJXBpsOC7U6GhXU3k73Y2Cy55dfuhlef3eufevfNEe78VZqcnLsH0DEWgI/+G/&#10;dq4VpGm6XMLvnXgF5PoHAAD//wMAUEsBAi0AFAAGAAgAAAAhANvh9svuAAAAhQEAABMAAAAAAAAA&#10;AAAAAAAAAAAAAFtDb250ZW50X1R5cGVzXS54bWxQSwECLQAUAAYACAAAACEAWvQsW78AAAAVAQAA&#10;CwAAAAAAAAAAAAAAAAAfAQAAX3JlbHMvLnJlbHNQSwECLQAUAAYACAAAACEAEv7mpsYAAADeAAAA&#10;DwAAAAAAAAAAAAAAAAAHAgAAZHJzL2Rvd25yZXYueG1sUEsFBgAAAAADAAMAtwAAAPoCAAAAAA==&#10;" filled="f" stroked="f">
                  <v:textbox inset="0,0,0,0">
                    <w:txbxContent>
                      <w:p w14:paraId="1BF05DF6" w14:textId="77777777" w:rsidR="00B32EF2" w:rsidRDefault="00000000">
                        <w:r>
                          <w:rPr>
                            <w:rFonts w:ascii="Arial" w:eastAsia="Arial" w:hAnsi="Arial" w:cs="Arial"/>
                            <w:sz w:val="18"/>
                          </w:rPr>
                          <w:t>provvede il Consiglio di presidenza della giustizia tributaria.</w:t>
                        </w:r>
                      </w:p>
                    </w:txbxContent>
                  </v:textbox>
                </v:rect>
                <v:rect id="Rectangle 202239" o:spid="_x0000_s6358" style="position:absolute;left:26116;top:57270;width:5309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UoexwAAAN8AAAAPAAAAZHJzL2Rvd25yZXYueG1sRI9Ba8JA&#10;FITvBf/D8gRvdWMKxUZXEUWag5daBY+P7DOJZt8u2dVEf323UOhxmJlvmPmyN424U+trywom4wQE&#10;cWF1zaWCw/f2dQrCB2SNjWVS8CAPy8XgZY6Zth1/0X0fShEh7DNUUIXgMil9UZFBP7aOOHpn2xoM&#10;Ubal1C12EW4amSbJuzRYc1yo0NG6ouK6vxkFpw27fNvJ4vxcu90lnzaft8NRqdGwX81ABOrDf/iv&#10;nWsFaZKmbx/w+yd+Abn4AQAA//8DAFBLAQItABQABgAIAAAAIQDb4fbL7gAAAIUBAAATAAAAAAAA&#10;AAAAAAAAAAAAAABbQ29udGVudF9UeXBlc10ueG1sUEsBAi0AFAAGAAgAAAAhAFr0LFu/AAAAFQEA&#10;AAsAAAAAAAAAAAAAAAAAHwEAAF9yZWxzLy5yZWxzUEsBAi0AFAAGAAgAAAAhADxNSh7HAAAA3wAA&#10;AA8AAAAAAAAAAAAAAAAABwIAAGRycy9kb3ducmV2LnhtbFBLBQYAAAAAAwADALcAAAD7AgAAAAA=&#10;" filled="f" stroked="f">
                  <v:textbox inset="0,0,0,0">
                    <w:txbxContent>
                      <w:p w14:paraId="226B9D0D" w14:textId="77777777" w:rsidR="00B32EF2" w:rsidRDefault="00000000">
                        <w:r>
                          <w:rPr>
                            <w:rFonts w:ascii="Arial" w:eastAsia="Arial" w:hAnsi="Arial" w:cs="Arial"/>
                            <w:sz w:val="18"/>
                          </w:rPr>
                          <w:t>4</w:t>
                        </w:r>
                      </w:p>
                    </w:txbxContent>
                  </v:textbox>
                </v:rect>
                <v:rect id="Rectangle 202240" o:spid="_x0000_s6359" style="position:absolute;left:-13797;top:57270;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ZD+xwAAAN8AAAAPAAAAZHJzL2Rvd25yZXYueG1sRI+9asMw&#10;FIX3Qt5B3EC2Ro4pxbhRQnEw9ZClbgodL9aN7da6EpYSO3n6aih0PJw/vu1+NoO40uh7ywo26wQE&#10;cWN1z62C00f5mIHwAVnjYJkU3MjDfrd42GKu7cTvdK1DK+II+xwVdCG4XErfdGTQr60jjt7ZjgZD&#10;lGMr9YhTHDeDTJPkWRrsOT506KjoqPmpL0bB14FdVU6yOd8Ld/yusuHtcvpUarWcX19ABJrDf/iv&#10;XWkFaZKmT5Eg8kQWkLtfAAAA//8DAFBLAQItABQABgAIAAAAIQDb4fbL7gAAAIUBAAATAAAAAAAA&#10;AAAAAAAAAAAAAABbQ29udGVudF9UeXBlc10ueG1sUEsBAi0AFAAGAAgAAAAhAFr0LFu/AAAAFQEA&#10;AAsAAAAAAAAAAAAAAAAAHwEAAF9yZWxzLy5yZWxzUEsBAi0AFAAGAAgAAAAhAPVxkP7HAAAA3wAA&#10;AA8AAAAAAAAAAAAAAAAABwIAAGRycy9kb3ducmV2LnhtbFBLBQYAAAAAAwADALcAAAD7AgAAAAA=&#10;" filled="f" stroked="f">
                  <v:textbox inset="0,0,0,0">
                    <w:txbxContent>
                      <w:p w14:paraId="3C65DBAD" w14:textId="77777777" w:rsidR="00B32EF2" w:rsidRDefault="00000000">
                        <w:r>
                          <w:rPr>
                            <w:rFonts w:ascii="Arial" w:eastAsia="Arial" w:hAnsi="Arial" w:cs="Arial"/>
                            <w:sz w:val="18"/>
                          </w:rPr>
                          <w:t xml:space="preserve">. Non possono essere componenti dello stesso collegio i coniugi, i conviventi, </w:t>
                        </w:r>
                      </w:p>
                    </w:txbxContent>
                  </v:textbox>
                </v:rect>
                <v:rect id="Rectangle 22301" o:spid="_x0000_s6360" style="position:absolute;left:8517;top:55960;width:314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3C6xgAAAN4AAAAPAAAAZHJzL2Rvd25yZXYueG1sRI9Ba8JA&#10;FITvBf/D8oTe6sYURFJXEUXMoRdtBI+P7DNJzb5dsqtJ++u7gtDjMDPfMIvVYFpxp843lhVMJwkI&#10;4tLqhisFxdfubQ7CB2SNrWVS8EMeVsvRywIzbXs+0P0YKhEh7DNUUIfgMil9WZNBP7GOOHoX2xkM&#10;UXaV1B32EW5amSbJTBpsOC7U6GhTU3k93oyC85ZdvutlefnduM/vfN7ub8VJqdfxsP4AEWgI/+Fn&#10;O9cK0vQ9mcLjTrwCcvkHAAD//wMAUEsBAi0AFAAGAAgAAAAhANvh9svuAAAAhQEAABMAAAAAAAAA&#10;AAAAAAAAAAAAAFtDb250ZW50X1R5cGVzXS54bWxQSwECLQAUAAYACAAAACEAWvQsW78AAAAVAQAA&#10;CwAAAAAAAAAAAAAAAAAfAQAAX3JlbHMvLnJlbHNQSwECLQAUAAYACAAAACEAcmNwusYAAADeAAAA&#10;DwAAAAAAAAAAAAAAAAAHAgAAZHJzL2Rvd25yZXYueG1sUEsFBgAAAAADAAMAtwAAAPoCAAAAAA==&#10;" filled="f" stroked="f">
                  <v:textbox inset="0,0,0,0">
                    <w:txbxContent>
                      <w:p w14:paraId="3E4BC6F8" w14:textId="77777777" w:rsidR="00B32EF2" w:rsidRDefault="00000000">
                        <w:r>
                          <w:rPr>
                            <w:rFonts w:ascii="Arial" w:eastAsia="Arial" w:hAnsi="Arial" w:cs="Arial"/>
                            <w:sz w:val="18"/>
                          </w:rPr>
                          <w:t>nonché i parenti ed affini entro il quarto grado.</w:t>
                        </w:r>
                      </w:p>
                    </w:txbxContent>
                  </v:textbox>
                </v:rect>
                <v:rect id="Rectangle 202237" o:spid="_x0000_s6361" style="position:absolute;left:26116;top:5465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nv3xwAAAN8AAAAPAAAAZHJzL2Rvd25yZXYueG1sRI9Ba8JA&#10;FITvBf/D8gRvdWMKrURXEUWag5daBY+P7DOJZt8u2dVEf323UOhxmJlvmPmyN424U+trywom4wQE&#10;cWF1zaWCw/f2dQrCB2SNjWVS8CAPy8XgZY6Zth1/0X0fShEh7DNUUIXgMil9UZFBP7aOOHpn2xoM&#10;Ubal1C12EW4amSbJuzRYc1yo0NG6ouK6vxkFpw27fNvJ4vxcu90lnzaft8NRqdGwX81ABOrDf/iv&#10;nWsFaZKmbx/w+yd+Abn4AQAA//8DAFBLAQItABQABgAIAAAAIQDb4fbL7gAAAIUBAAATAAAAAAAA&#10;AAAAAAAAAAAAAABbQ29udGVudF9UeXBlc10ueG1sUEsBAi0AFAAGAAgAAAAhAFr0LFu/AAAAFQEA&#10;AAsAAAAAAAAAAAAAAAAAHwEAAF9yZWxzLy5yZWxzUEsBAi0AFAAGAAgAAAAhACKee/fHAAAA3wAA&#10;AA8AAAAAAAAAAAAAAAAABwIAAGRycy9kb3ducmV2LnhtbFBLBQYAAAAAAwADALcAAAD7AgAAAAA=&#10;" filled="f" stroked="f">
                  <v:textbox inset="0,0,0,0">
                    <w:txbxContent>
                      <w:p w14:paraId="7F519A48" w14:textId="77777777" w:rsidR="00B32EF2" w:rsidRDefault="00000000">
                        <w:r>
                          <w:rPr>
                            <w:rFonts w:ascii="Arial" w:eastAsia="Arial" w:hAnsi="Arial" w:cs="Arial"/>
                            <w:sz w:val="18"/>
                          </w:rPr>
                          <w:t>5</w:t>
                        </w:r>
                      </w:p>
                    </w:txbxContent>
                  </v:textbox>
                </v:rect>
                <v:rect id="Rectangle 202238" o:spid="_x0000_s6362" style="position:absolute;left:-13809;top:5465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e+FxQAAAN8AAAAPAAAAZHJzL2Rvd25yZXYueG1sRE89a8Mw&#10;EN0L+Q/iAtkaOS4U40YJxcHUQ5a6KXQ8rIvt1joJS4md/PpqKHR8vO/tfjaDuNLoe8sKNusEBHFj&#10;dc+tgtNH+ZiB8AFZ42CZFNzIw363eNhiru3E73StQytiCPscFXQhuFxK33Rk0K+tI47c2Y4GQ4Rj&#10;K/WIUww3g0yT5Fka7Dk2dOio6Kj5qS9GwdeBXVVOsjnfC3f8rrLh7XL6VGq1nF9fQASaw7/4z11p&#10;BWmSpk9xcPwTv4Dc/QIAAP//AwBQSwECLQAUAAYACAAAACEA2+H2y+4AAACFAQAAEwAAAAAAAAAA&#10;AAAAAAAAAAAAW0NvbnRlbnRfVHlwZXNdLnhtbFBLAQItABQABgAIAAAAIQBa9CxbvwAAABUBAAAL&#10;AAAAAAAAAAAAAAAAAB8BAABfcmVscy8ucmVsc1BLAQItABQABgAIAAAAIQBTAe+FxQAAAN8AAAAP&#10;AAAAAAAAAAAAAAAAAAcCAABkcnMvZG93bnJldi54bWxQSwUGAAAAAAMAAwC3AAAA+QIAAAAA&#10;" filled="f" stroked="f">
                  <v:textbox inset="0,0,0,0">
                    <w:txbxContent>
                      <w:p w14:paraId="18A6CE57" w14:textId="77777777" w:rsidR="00B32EF2" w:rsidRDefault="00000000">
                        <w:r>
                          <w:rPr>
                            <w:rFonts w:ascii="Arial" w:eastAsia="Arial" w:hAnsi="Arial" w:cs="Arial"/>
                            <w:sz w:val="18"/>
                          </w:rPr>
                          <w:t xml:space="preserve">. Nessuno può essere componente di più corti di giustizia tributaria di primo </w:t>
                        </w:r>
                      </w:p>
                    </w:txbxContent>
                  </v:textbox>
                </v:rect>
                <v:rect id="Rectangle 22303" o:spid="_x0000_s6363" style="position:absolute;left:28052;top:53340;width:118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WxgAAAN4AAAAPAAAAZHJzL2Rvd25yZXYueG1sRI9Ba8JA&#10;FITvBf/D8gre6qYRiqSuIoqYg5faCB4f2WeSmn27ZFcT/fVuodDjMDPfMPPlYFpxo843lhW8TxIQ&#10;xKXVDVcKiu/t2wyED8gaW8uk4E4elovRyxwzbXv+otshVCJC2GeooA7BZVL6siaDfmIdcfTOtjMY&#10;ouwqqTvsI9y0Mk2SD2mw4bhQo6N1TeXlcDUKTht2+baX5fmxdvuffNbursVRqfHrsPoEEWgI/+G/&#10;dq4VpOk0mcLvnXgF5OIJAAD//wMAUEsBAi0AFAAGAAgAAAAhANvh9svuAAAAhQEAABMAAAAAAAAA&#10;AAAAAAAAAAAAAFtDb250ZW50X1R5cGVzXS54bWxQSwECLQAUAAYACAAAACEAWvQsW78AAAAVAQAA&#10;CwAAAAAAAAAAAAAAAAAfAQAAX3JlbHMvLnJlbHNQSwECLQAUAAYACAAAACEA7f1LVsYAAADeAAAA&#10;DwAAAAAAAAAAAAAAAAAHAgAAZHJzL2Rvd25yZXYueG1sUEsFBgAAAAADAAMAtwAAAPoCAAAAAA==&#10;" filled="f" stroked="f">
                  <v:textbox inset="0,0,0,0">
                    <w:txbxContent>
                      <w:p w14:paraId="7BAA3A16" w14:textId="77777777" w:rsidR="00B32EF2" w:rsidRDefault="00000000">
                        <w:r>
                          <w:rPr>
                            <w:rFonts w:ascii="Arial" w:eastAsia="Arial" w:hAnsi="Arial" w:cs="Arial"/>
                            <w:sz w:val="18"/>
                          </w:rPr>
                          <w:t>e secondo grado.</w:t>
                        </w:r>
                      </w:p>
                    </w:txbxContent>
                  </v:textbox>
                </v:rect>
                <v:rect id="Rectangle 202235" o:spid="_x0000_s6364" style="position:absolute;left:26116;top:5203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EAbxwAAAN8AAAAPAAAAZHJzL2Rvd25yZXYueG1sRI9Ba8JA&#10;FITvBf/D8gRvdWNKi0RXEUWag5daBY+P7DOJZt8u2dVEf323UOhxmJlvmPmyN424U+trywom4wQE&#10;cWF1zaWCw/f2dQrCB2SNjWVS8CAPy8XgZY6Zth1/0X0fShEh7DNUUIXgMil9UZFBP7aOOHpn2xoM&#10;Ubal1C12EW4amSbJhzRYc1yo0NG6ouK6vxkFpw27fNvJ4vxcu90lnzaft8NRqdGwX81ABOrDf/iv&#10;nWsFaZKmb+/w+yd+Abn4AQAA//8DAFBLAQItABQABgAIAAAAIQDb4fbL7gAAAIUBAAATAAAAAAAA&#10;AAAAAAAAAAAAAABbQ29udGVudF9UeXBlc10ueG1sUEsBAi0AFAAGAAgAAAAhAFr0LFu/AAAAFQEA&#10;AAsAAAAAAAAAAAAAAAAAHwEAAF9yZWxzLy5yZWxzUEsBAi0AFAAGAAgAAAAhAL0AQBvHAAAA3wAA&#10;AA8AAAAAAAAAAAAAAAAABwIAAGRycy9kb3ducmV2LnhtbFBLBQYAAAAAAwADALcAAAD7AgAAAAA=&#10;" filled="f" stroked="f">
                  <v:textbox inset="0,0,0,0">
                    <w:txbxContent>
                      <w:p w14:paraId="663D3BDC" w14:textId="77777777" w:rsidR="00B32EF2" w:rsidRDefault="00000000">
                        <w:r>
                          <w:rPr>
                            <w:rFonts w:ascii="Arial" w:eastAsia="Arial" w:hAnsi="Arial" w:cs="Arial"/>
                            <w:sz w:val="18"/>
                          </w:rPr>
                          <w:t>6</w:t>
                        </w:r>
                      </w:p>
                    </w:txbxContent>
                  </v:textbox>
                </v:rect>
                <v:rect id="Rectangle 202236" o:spid="_x0000_s6365" style="position:absolute;left:-13808;top:5203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t5sxwAAAN8AAAAPAAAAZHJzL2Rvd25yZXYueG1sRI9Ba8JA&#10;FITvBf/D8gRvdWMKItFVRJHm0IvWQo+P7DOJZt8u2dXE/npXEHocZuYbZrHqTSNu1PrasoLJOAFB&#10;XFhdc6ng+L17n4HwAVljY5kU3MnDajl4W2Cmbcd7uh1CKSKEfYYKqhBcJqUvKjLox9YRR+9kW4Mh&#10;yraUusUuwk0j0ySZSoM1x4UKHW0qKi6Hq1Hwu2WX7zpZnP427uucz5rP6/FHqdGwX89BBOrDf/jV&#10;zrWCNEnTjyk8/8QvIJcPAAAA//8DAFBLAQItABQABgAIAAAAIQDb4fbL7gAAAIUBAAATAAAAAAAA&#10;AAAAAAAAAAAAAABbQ29udGVudF9UeXBlc10ueG1sUEsBAi0AFAAGAAgAAAAhAFr0LFu/AAAAFQEA&#10;AAsAAAAAAAAAAAAAAAAAHwEAAF9yZWxzLy5yZWxzUEsBAi0AFAAGAAgAAAAhAE3S3mzHAAAA3wAA&#10;AA8AAAAAAAAAAAAAAAAABwIAAGRycy9kb3ducmV2LnhtbFBLBQYAAAAAAwADALcAAAD7AgAAAAA=&#10;" filled="f" stroked="f">
                  <v:textbox inset="0,0,0,0">
                    <w:txbxContent>
                      <w:p w14:paraId="481B2324" w14:textId="77777777" w:rsidR="00B32EF2" w:rsidRDefault="00000000">
                        <w:r>
                          <w:rPr>
                            <w:rFonts w:ascii="Arial" w:eastAsia="Arial" w:hAnsi="Arial" w:cs="Arial"/>
                            <w:sz w:val="18"/>
                          </w:rPr>
                          <w:t xml:space="preserve">. I componenti delle corti di giustizia tributaria di primo e secondo grado, che </w:t>
                        </w:r>
                      </w:p>
                    </w:txbxContent>
                  </v:textbox>
                </v:rect>
                <v:rect id="Rectangle 22305" o:spid="_x0000_s6366" style="position:absolute;left:-13165;top:5072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Ha5xgAAAN4AAAAPAAAAZHJzL2Rvd25yZXYueG1sRI9Ba8JA&#10;FITvBf/D8gRvdWNKi0RXEUWag5daBY+P7DOJZt8u2dVEf323UOhxmJlvmPmyN424U+trywom4wQE&#10;cWF1zaWCw/f2dQrCB2SNjWVS8CAPy8XgZY6Zth1/0X0fShEh7DNUUIXgMil9UZFBP7aOOHpn2xoM&#10;Ubal1C12EW4amSbJhzRYc1yo0NG6ouK6vxkFpw27fNvJ4vxcu90lnzaft8NRqdGwX81ABOrDf/iv&#10;nWsFafqWvMPvnXgF5OIHAAD//wMAUEsBAi0AFAAGAAgAAAAhANvh9svuAAAAhQEAABMAAAAAAAAA&#10;AAAAAAAAAAAAAFtDb250ZW50X1R5cGVzXS54bWxQSwECLQAUAAYACAAAACEAWvQsW78AAAAVAQAA&#10;CwAAAAAAAAAAAAAAAAAfAQAAX3JlbHMvLnJlbHNQSwECLQAUAAYACAAAACEADVh2ucYAAADeAAAA&#10;DwAAAAAAAAAAAAAAAAAHAgAAZHJzL2Rvd25yZXYueG1sUEsFBgAAAAADAAMAtwAAAPoCAAAAAA==&#10;" filled="f" stroked="f">
                  <v:textbox inset="0,0,0,0">
                    <w:txbxContent>
                      <w:p w14:paraId="6863B2F7" w14:textId="77777777" w:rsidR="00B32EF2" w:rsidRDefault="00000000">
                        <w:r>
                          <w:rPr>
                            <w:rFonts w:ascii="Arial" w:eastAsia="Arial" w:hAnsi="Arial" w:cs="Arial"/>
                            <w:sz w:val="18"/>
                          </w:rPr>
                          <w:t xml:space="preserve">vengano a trovarsi in una delle condizioni di cui al comma 2, lettere a) e b) o </w:t>
                        </w:r>
                      </w:p>
                    </w:txbxContent>
                  </v:textbox>
                </v:rect>
                <v:rect id="Rectangle 22306" o:spid="_x0000_s6367" style="position:absolute;left:-13164;top:49410;width:530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ujOxgAAAN4AAAAPAAAAZHJzL2Rvd25yZXYueG1sRI9Ba8JA&#10;FITvgv9heQVvumkEkdRVRBFz6KU2gsdH9pmkZt8u2dXE/vpuodDjMDPfMKvNYFrxoM43lhW8zhIQ&#10;xKXVDVcKis/DdAnCB2SNrWVS8CQPm/V4tMJM254/6HEKlYgQ9hkqqENwmZS+rMmgn1lHHL2r7QyG&#10;KLtK6g77CDetTJNkIQ02HBdqdLSrqbyd7kbBZc8uP/SyvH7v3PtXvmyP9+Ks1ORl2L6BCDSE//Bf&#10;O9cK0nSeLOD3TrwCcv0DAAD//wMAUEsBAi0AFAAGAAgAAAAhANvh9svuAAAAhQEAABMAAAAAAAAA&#10;AAAAAAAAAAAAAFtDb250ZW50X1R5cGVzXS54bWxQSwECLQAUAAYACAAAACEAWvQsW78AAAAVAQAA&#10;CwAAAAAAAAAAAAAAAAAfAQAAX3JlbHMvLnJlbHNQSwECLQAUAAYACAAAACEA/YrozsYAAADeAAAA&#10;DwAAAAAAAAAAAAAAAAAHAgAAZHJzL2Rvd25yZXYueG1sUEsFBgAAAAADAAMAtwAAAPoCAAAAAA==&#10;" filled="f" stroked="f">
                  <v:textbox inset="0,0,0,0">
                    <w:txbxContent>
                      <w:p w14:paraId="440C0333" w14:textId="77777777" w:rsidR="00B32EF2" w:rsidRDefault="00000000">
                        <w:r>
                          <w:rPr>
                            <w:rFonts w:ascii="Arial" w:eastAsia="Arial" w:hAnsi="Arial" w:cs="Arial"/>
                            <w:sz w:val="18"/>
                          </w:rPr>
                          <w:t xml:space="preserve">che siano nominati giudici costituzionali, sono sospesi dall’incarico fino alla </w:t>
                        </w:r>
                      </w:p>
                    </w:txbxContent>
                  </v:textbox>
                </v:rect>
                <v:rect id="Rectangle 22307" o:spid="_x0000_s6368" style="position:absolute;left:-13165;top:481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k1VxgAAAN4AAAAPAAAAZHJzL2Rvd25yZXYueG1sRI9Ba8JA&#10;FITvBf/D8gRvdWMKrURXEUWag5daBY+P7DOJZt8u2dVEf323UOhxmJlvmPmyN424U+trywom4wQE&#10;cWF1zaWCw/f2dQrCB2SNjWVS8CAPy8XgZY6Zth1/0X0fShEh7DNUUIXgMil9UZFBP7aOOHpn2xoM&#10;Ubal1C12EW4amSbJuzRYc1yo0NG6ouK6vxkFpw27fNvJ4vxcu90lnzaft8NRqdGwX81ABOrDf/iv&#10;nWsFafqWfMDvnXgF5OIHAAD//wMAUEsBAi0AFAAGAAgAAAAhANvh9svuAAAAhQEAABMAAAAAAAAA&#10;AAAAAAAAAAAAAFtDb250ZW50X1R5cGVzXS54bWxQSwECLQAUAAYACAAAACEAWvQsW78AAAAVAQAA&#10;CwAAAAAAAAAAAAAAAAAfAQAAX3JlbHMvLnJlbHNQSwECLQAUAAYACAAAACEAksZNVcYAAADeAAAA&#10;DwAAAAAAAAAAAAAAAAAHAgAAZHJzL2Rvd25yZXYueG1sUEsFBgAAAAADAAMAtwAAAPoCAAAAAA==&#10;" filled="f" stroked="f">
                  <v:textbox inset="0,0,0,0">
                    <w:txbxContent>
                      <w:p w14:paraId="04B52B06" w14:textId="77777777" w:rsidR="00B32EF2" w:rsidRDefault="00000000">
                        <w:r>
                          <w:rPr>
                            <w:rFonts w:ascii="Arial" w:eastAsia="Arial" w:hAnsi="Arial" w:cs="Arial"/>
                            <w:sz w:val="18"/>
                          </w:rPr>
                          <w:t xml:space="preserve">data di cessazione dell’incompatibilità; successivamente alla suddetta data, </w:t>
                        </w:r>
                      </w:p>
                    </w:txbxContent>
                  </v:textbox>
                </v:rect>
                <v:rect id="Rectangle 22308" o:spid="_x0000_s6369" style="position:absolute;left:-13165;top:4679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dknwwAAAN4AAAAPAAAAZHJzL2Rvd25yZXYueG1sRE/LisIw&#10;FN0L8w/hDsxO06kgUo0iDmIXs/EFLi/Nta02N6GJtjNfbxaCy8N5z5e9acSDWl9bVvA9SkAQF1bX&#10;XCo4HjbDKQgfkDU2lknBH3lYLj4Gc8y07XhHj30oRQxhn6GCKgSXSemLigz6kXXEkbvY1mCIsC2l&#10;brGL4aaRaZJMpMGaY0OFjtYVFbf93Sg4/7DLN50sLv9r93vNp832fjwp9fXZr2YgAvXhLX65c60g&#10;TcdJ3BvvxCsgF08AAAD//wMAUEsBAi0AFAAGAAgAAAAhANvh9svuAAAAhQEAABMAAAAAAAAAAAAA&#10;AAAAAAAAAFtDb250ZW50X1R5cGVzXS54bWxQSwECLQAUAAYACAAAACEAWvQsW78AAAAVAQAACwAA&#10;AAAAAAAAAAAAAAAfAQAAX3JlbHMvLnJlbHNQSwECLQAUAAYACAAAACEA41nZJ8MAAADeAAAADwAA&#10;AAAAAAAAAAAAAAAHAgAAZHJzL2Rvd25yZXYueG1sUEsFBgAAAAADAAMAtwAAAPcCAAAAAA==&#10;" filled="f" stroked="f">
                  <v:textbox inset="0,0,0,0">
                    <w:txbxContent>
                      <w:p w14:paraId="7AB942FC" w14:textId="77777777" w:rsidR="00B32EF2" w:rsidRDefault="00000000">
                        <w:r>
                          <w:rPr>
                            <w:rFonts w:ascii="Arial" w:eastAsia="Arial" w:hAnsi="Arial" w:cs="Arial"/>
                            <w:sz w:val="18"/>
                          </w:rPr>
                          <w:t xml:space="preserve">essi riassumono le rispettive funzioni anche in soprannumero presso la corte </w:t>
                        </w:r>
                      </w:p>
                    </w:txbxContent>
                  </v:textbox>
                </v:rect>
                <v:rect id="Rectangle 22309" o:spid="_x0000_s6370" style="position:absolute;left:-3422;top:45481;width:433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Xy8xgAAAN4AAAAPAAAAZHJzL2Rvd25yZXYueG1sRI9Ba8JA&#10;FITvBf/D8gRvdWMKxUZXEUWag5daBY+P7DOJZt8u2dVEf323UOhxmJlvmPmyN424U+trywom4wQE&#10;cWF1zaWCw/f2dQrCB2SNjWVS8CAPy8XgZY6Zth1/0X0fShEh7DNUUIXgMil9UZFBP7aOOHpn2xoM&#10;Ubal1C12EW4amSbJuzRYc1yo0NG6ouK6vxkFpw27fNvJ4vxcu90lnzaft8NRqdGwX81ABOrDf/iv&#10;nWsFafqWfMDvnXgF5OIHAAD//wMAUEsBAi0AFAAGAAgAAAAhANvh9svuAAAAhQEAABMAAAAAAAAA&#10;AAAAAAAAAAAAAFtDb250ZW50X1R5cGVzXS54bWxQSwECLQAUAAYACAAAACEAWvQsW78AAAAVAQAA&#10;CwAAAAAAAAAAAAAAAAAfAQAAX3JlbHMvLnJlbHNQSwECLQAUAAYACAAAACEAjBV8vMYAAADeAAAA&#10;DwAAAAAAAAAAAAAAAAAHAgAAZHJzL2Rvd25yZXYueG1sUEsFBgAAAAADAAMAtwAAAPoCAAAAAA==&#10;" filled="f" stroked="f">
                  <v:textbox inset="0,0,0,0">
                    <w:txbxContent>
                      <w:p w14:paraId="65D7D3C4" w14:textId="77777777" w:rsidR="00B32EF2" w:rsidRDefault="00000000">
                        <w:r>
                          <w:rPr>
                            <w:rFonts w:ascii="Arial" w:eastAsia="Arial" w:hAnsi="Arial" w:cs="Arial"/>
                            <w:sz w:val="18"/>
                          </w:rPr>
                          <w:t>di giustizia tributaria di primo e secondo grado di appartenenza.</w:t>
                        </w:r>
                      </w:p>
                    </w:txbxContent>
                  </v:textbox>
                </v:rect>
                <v:rect id="Rectangle 22310" o:spid="_x0000_s6371" style="position:absolute;left:15118;top:44247;width:80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kP8xAAAAN4AAAAPAAAAZHJzL2Rvd25yZXYueG1sRI/LisIw&#10;FIb3A75DOIK7MbUDg1SjiCLTxWy8gctDc2yrzUlooq3z9GYx4PLnv/HNl71pxINaX1tWMBknIIgL&#10;q2suFRwP288pCB+QNTaWScGTPCwXg485Ztp2vKPHPpQijrDPUEEVgsuk9EVFBv3YOuLoXWxrMETZ&#10;llK32MVx08g0Sb6lwZrjQ4WO1hUVt/3dKDhv2OXbThaXv7X7vebT5ud+PCk1GvarGYhAfXiH/9u5&#10;VpCmX5MIEHEiCsjFCwAA//8DAFBLAQItABQABgAIAAAAIQDb4fbL7gAAAIUBAAATAAAAAAAAAAAA&#10;AAAAAAAAAABbQ29udGVudF9UeXBlc10ueG1sUEsBAi0AFAAGAAgAAAAhAFr0LFu/AAAAFQEAAAsA&#10;AAAAAAAAAAAAAAAAHwEAAF9yZWxzLy5yZWxzUEsBAi0AFAAGAAgAAAAhAJj2Q/zEAAAA3gAAAA8A&#10;AAAAAAAAAAAAAAAABwIAAGRycy9kb3ducmV2LnhtbFBLBQYAAAAAAwADALcAAAD4AgAAAAA=&#10;" filled="f" stroked="f">
                  <v:textbox inset="0,0,0,0">
                    <w:txbxContent>
                      <w:p w14:paraId="7C35C834" w14:textId="77777777" w:rsidR="00B32EF2" w:rsidRDefault="00000000">
                        <w:r>
                          <w:rPr>
                            <w:rFonts w:ascii="Arial" w:eastAsia="Arial" w:hAnsi="Arial" w:cs="Arial"/>
                            <w:b/>
                            <w:sz w:val="18"/>
                          </w:rPr>
                          <w:t>Articolo 15</w:t>
                        </w:r>
                      </w:p>
                    </w:txbxContent>
                  </v:textbox>
                </v:rect>
                <v:rect id="Rectangle 202232" o:spid="_x0000_s6372" style="position:absolute;left:22117;top:43014;width:185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dhvxwAAAN8AAAAPAAAAZHJzL2Rvd25yZXYueG1sRI9Ba8JA&#10;FITvQv/D8gq96aZbEEldpVikOXjRRujxkX0mabNvl+xqor/eLRR6HGbmG2a5Hm0nLtSH1rGG51kG&#10;grhypuVaQ/m5nS5AhIhssHNMGq4UYL16mCwxN27gPV0OsRYJwiFHDU2MPpcyVA1ZDDPniZN3cr3F&#10;mGRfS9PjkOC2kyrL5tJiy2mhQU+bhqqfw9lq+HpnX2wHWZ1uG7/7Lhbdx7k8av30OL69gog0xv/w&#10;X7swGlSm1IuC3z/pC8jVHQAA//8DAFBLAQItABQABgAIAAAAIQDb4fbL7gAAAIUBAAATAAAAAAAA&#10;AAAAAAAAAAAAAABbQ29udGVudF9UeXBlc10ueG1sUEsBAi0AFAAGAAgAAAAhAFr0LFu/AAAAFQEA&#10;AAsAAAAAAAAAAAAAAAAAHwEAAF9yZWxzLy5yZWxzUEsBAi0AFAAGAAgAAAAhADLp2G/HAAAA3wAA&#10;AA8AAAAAAAAAAAAAAAAABwIAAGRycy9kb3ducmV2LnhtbFBLBQYAAAAAAwADALcAAAD7AgAAAAA=&#10;" filled="f" stroked="f">
                  <v:textbox inset="0,0,0,0">
                    <w:txbxContent>
                      <w:p w14:paraId="78212E3A" w14:textId="77777777" w:rsidR="00B32EF2" w:rsidRDefault="00000000">
                        <w:r>
                          <w:rPr>
                            <w:rFonts w:ascii="Arial" w:eastAsia="Arial" w:hAnsi="Arial" w:cs="Arial"/>
                            <w:i/>
                            <w:sz w:val="18"/>
                          </w:rPr>
                          <w:t>(</w:t>
                        </w:r>
                      </w:p>
                    </w:txbxContent>
                  </v:textbox>
                </v:rect>
                <v:rect id="Rectangle 202234" o:spid="_x0000_s6373" style="position:absolute;left:12170;top:43014;width:185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OWAxwAAAN8AAAAPAAAAZHJzL2Rvd25yZXYueG1sRI9Ba8JA&#10;FITvBf/D8gRvdWNaikRXEUWag5daBY+P7DOJZt8u2dVEf323UOhxmJlvmPmyN424U+trywom4wQE&#10;cWF1zaWCw/f2dQrCB2SNjWVS8CAPy8XgZY6Zth1/0X0fShEh7DNUUIXgMil9UZFBP7aOOHpn2xoM&#10;Ubal1C12EW4amSbJhzRYc1yo0NG6ouK6vxkFpw27fNvJ4vxcu90lnzaft8NRqdGwX81ABOrDf/iv&#10;nWsFaZKmb+/w+yd+Abn4AQAA//8DAFBLAQItABQABgAIAAAAIQDb4fbL7gAAAIUBAAATAAAAAAAA&#10;AAAAAAAAAAAAAABbQ29udGVudF9UeXBlc10ueG1sUEsBAi0AFAAGAAgAAAAhAFr0LFu/AAAAFQEA&#10;AAsAAAAAAAAAAAAAAAAAHwEAAF9yZWxzLy5yZWxzUEsBAi0AFAAGAAgAAAAhANJM5YDHAAAA3wAA&#10;AA8AAAAAAAAAAAAAAAAABwIAAGRycy9kb3ducmV2LnhtbFBLBQYAAAAAAwADALcAAAD7AgAAAAA=&#10;" filled="f" stroked="f">
                  <v:textbox inset="0,0,0,0">
                    <w:txbxContent>
                      <w:p w14:paraId="4CEE5E00" w14:textId="77777777" w:rsidR="00B32EF2" w:rsidRDefault="00000000">
                        <w:r>
                          <w:rPr>
                            <w:rFonts w:ascii="Arial" w:eastAsia="Arial" w:hAnsi="Arial" w:cs="Arial"/>
                            <w:i/>
                            <w:sz w:val="18"/>
                          </w:rPr>
                          <w:t xml:space="preserve">articolo 9 D.lgs. n. </w:t>
                        </w:r>
                      </w:p>
                    </w:txbxContent>
                  </v:textbox>
                </v:rect>
                <v:rect id="Rectangle 202233" o:spid="_x0000_s6374" style="position:absolute;left:-1443;top:43014;width:185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X30xwAAAN8AAAAPAAAAZHJzL2Rvd25yZXYueG1sRI9Ba8JA&#10;FITvBf/D8oTe6sYIRaKriCLNwUvVQo+P7DOJZt8u2dXE/vquIHgcZuYbZr7sTSNu1PrasoLxKAFB&#10;XFhdc6ngeNh+TEH4gKyxsUwK7uRhuRi8zTHTtuNvuu1DKSKEfYYKqhBcJqUvKjLoR9YRR+9kW4Mh&#10;yraUusUuwk0j0yT5lAZrjgsVOlpXVFz2V6Pgd8Mu33ayOP2t3e6cT5uv6/FHqfdhv5qBCNSHV/jZ&#10;zrWCNEnTyQQef+IXkIt/AAAA//8DAFBLAQItABQABgAIAAAAIQDb4fbL7gAAAIUBAAATAAAAAAAA&#10;AAAAAAAAAAAAAABbQ29udGVudF9UeXBlc10ueG1sUEsBAi0AFAAGAAgAAAAhAFr0LFu/AAAAFQEA&#10;AAsAAAAAAAAAAAAAAAAAHwEAAF9yZWxzLy5yZWxzUEsBAi0AFAAGAAgAAAAhAF2lffTHAAAA3wAA&#10;AA8AAAAAAAAAAAAAAAAABwIAAGRycy9kb3ducmV2LnhtbFBLBQYAAAAAAwADALcAAAD7AgAAAAA=&#10;" filled="f" stroked="f">
                  <v:textbox inset="0,0,0,0">
                    <w:txbxContent>
                      <w:p w14:paraId="5E4AADDE" w14:textId="77777777" w:rsidR="00B32EF2" w:rsidRDefault="00000000">
                        <w:r>
                          <w:rPr>
                            <w:rFonts w:ascii="Arial" w:eastAsia="Arial" w:hAnsi="Arial" w:cs="Arial"/>
                            <w:i/>
                            <w:sz w:val="18"/>
                          </w:rPr>
                          <w:t>545/92)</w:t>
                        </w:r>
                      </w:p>
                    </w:txbxContent>
                  </v:textbox>
                </v:rect>
                <v:rect id="Rectangle 22312" o:spid="_x0000_s6375" style="position:absolute;left:-11541;top:41781;width:510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HgQxgAAAN4AAAAPAAAAZHJzL2Rvd25yZXYueG1sRI9Ba8JA&#10;FITvgv9heYI33RihSHQVUcQcvNRa6PGRfSbR7Nslu5rYX98tFHocZuYbZrXpTSOe1PrasoLZNAFB&#10;XFhdc6ng8nGYLED4gKyxsUwKXuRhsx4OVphp2/E7Pc+hFBHCPkMFVQguk9IXFRn0U+uIo3e1rcEQ&#10;ZVtK3WIX4aaRaZK8SYM1x4UKHe0qKu7nh1HwtWeXHzpZXL937nTLF83xcflUajzqt0sQgfrwH/5r&#10;51pBms5nKfzeiVdArn8AAAD//wMAUEsBAi0AFAAGAAgAAAAhANvh9svuAAAAhQEAABMAAAAAAAAA&#10;AAAAAAAAAAAAAFtDb250ZW50X1R5cGVzXS54bWxQSwECLQAUAAYACAAAACEAWvQsW78AAAAVAQAA&#10;CwAAAAAAAAAAAAAAAAAfAQAAX3JlbHMvLnJlbHNQSwECLQAUAAYACAAAACEAB2h4EMYAAADeAAAA&#10;DwAAAAAAAAAAAAAAAAAHAgAAZHJzL2Rvd25yZXYueG1sUEsFBgAAAAADAAMAtwAAAPoCAAAAAA==&#10;" filled="f" stroked="f">
                  <v:textbox inset="0,0,0,0">
                    <w:txbxContent>
                      <w:p w14:paraId="1280F322" w14:textId="77777777" w:rsidR="00B32EF2" w:rsidRDefault="00000000">
                        <w:r>
                          <w:rPr>
                            <w:rFonts w:ascii="Arial" w:eastAsia="Arial" w:hAnsi="Arial" w:cs="Arial"/>
                            <w:b/>
                            <w:sz w:val="18"/>
                          </w:rPr>
                          <w:t>Procedimenti di nomina dei componenti delle corti di giustizia tributa</w:t>
                        </w:r>
                      </w:p>
                    </w:txbxContent>
                  </v:textbox>
                </v:rect>
                <v:rect id="Rectangle 22313" o:spid="_x0000_s6376" style="position:absolute;left:601;top:4178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N2LxgAAAN4AAAAPAAAAZHJzL2Rvd25yZXYueG1sRI9Ba8JA&#10;FITvgv9heYXedGMEkegqRZHm4EWr4PGRfSZps2+X7Gpif31XEHocZuYbZrnuTSPu1PrasoLJOAFB&#10;XFhdc6ng9LUbzUH4gKyxsUwKHuRhvRoOlphp2/GB7sdQighhn6GCKgSXSemLigz6sXXE0bva1mCI&#10;si2lbrGLcNPINElm0mDNcaFCR5uKip/jzSi4bNnlu04W19+N23/n8+bzdjor9f7WfyxABOrDf/jV&#10;zrWCNJ1OpvC8E6+AXP0BAAD//wMAUEsBAi0AFAAGAAgAAAAhANvh9svuAAAAhQEAABMAAAAAAAAA&#10;AAAAAAAAAAAAAFtDb250ZW50X1R5cGVzXS54bWxQSwECLQAUAAYACAAAACEAWvQsW78AAAAVAQAA&#10;CwAAAAAAAAAAAAAAAAAfAQAAX3JlbHMvLnJlbHNQSwECLQAUAAYACAAAACEAaCTdi8YAAADeAAAA&#10;DwAAAAAAAAAAAAAAAAAHAgAAZHJzL2Rvd25yZXYueG1sUEsFBgAAAAADAAMAtwAAAPoCAAAAAA==&#10;" filled="f" stroked="f">
                  <v:textbox inset="0,0,0,0">
                    <w:txbxContent>
                      <w:p w14:paraId="1FC979E4" w14:textId="77777777" w:rsidR="00B32EF2" w:rsidRDefault="00000000">
                        <w:r>
                          <w:rPr>
                            <w:rFonts w:ascii="Arial" w:eastAsia="Arial" w:hAnsi="Arial" w:cs="Arial"/>
                            <w:b/>
                            <w:sz w:val="18"/>
                          </w:rPr>
                          <w:t>-</w:t>
                        </w:r>
                      </w:p>
                    </w:txbxContent>
                  </v:textbox>
                </v:rect>
                <v:rect id="Rectangle 22314" o:spid="_x0000_s6377" style="position:absolute;left:6455;top:40547;width:216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UX/xwAAAN4AAAAPAAAAZHJzL2Rvd25yZXYueG1sRI9Pa8JA&#10;FMTvgt9heYI33ZhKkdRVRJHm0Ev9Az0+ss8kbfbtkl1N7Kd3CwWPw8z8hlmue9OIG7W+tqxgNk1A&#10;EBdW11wqOB33kwUIH5A1NpZJwZ08rFfDwRIzbTv+pNshlCJC2GeooArBZVL6oiKDfmodcfQutjUY&#10;omxLqVvsItw0Mk2SV2mw5rhQoaNtRcXP4WoUfO3Y5ftOFpffrfv4zhfN+/V0Vmo86jdvIAL14Rn+&#10;b+daQZq+zObwdydeAbl6AAAA//8DAFBLAQItABQABgAIAAAAIQDb4fbL7gAAAIUBAAATAAAAAAAA&#10;AAAAAAAAAAAAAABbQ29udGVudF9UeXBlc10ueG1sUEsBAi0AFAAGAAgAAAAhAFr0LFu/AAAAFQEA&#10;AAsAAAAAAAAAAAAAAAAAHwEAAF9yZWxzLy5yZWxzUEsBAi0AFAAGAAgAAAAhAOfNRf/HAAAA3gAA&#10;AA8AAAAAAAAAAAAAAAAABwIAAGRycy9kb3ducmV2LnhtbFBLBQYAAAAAAwADALcAAAD7AgAAAAA=&#10;" filled="f" stroked="f">
                  <v:textbox inset="0,0,0,0">
                    <w:txbxContent>
                      <w:p w14:paraId="6EFEF64F" w14:textId="77777777" w:rsidR="00B32EF2" w:rsidRDefault="00000000">
                        <w:r>
                          <w:rPr>
                            <w:rFonts w:ascii="Arial" w:eastAsia="Arial" w:hAnsi="Arial" w:cs="Arial"/>
                            <w:b/>
                            <w:sz w:val="18"/>
                          </w:rPr>
                          <w:t xml:space="preserve">ria di primo e secondo grado </w:t>
                        </w:r>
                      </w:p>
                    </w:txbxContent>
                  </v:textbox>
                </v:rect>
                <v:rect id="Rectangle 202230" o:spid="_x0000_s6378" style="position:absolute;left:26360;top:39314;width:52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DxwAAAN8AAAAPAAAAZHJzL2Rvd25yZXYueG1sRI+9asMw&#10;FIX3Qt5B3EC2Ro4LxbhRQnEw9ZClbgodL9aN7da6EpYSO3n6aih0PJw/vu1+NoO40uh7ywo26wQE&#10;cWN1z62C00f5mIHwAVnjYJkU3MjDfrd42GKu7cTvdK1DK+II+xwVdCG4XErfdGTQr60jjt7ZjgZD&#10;lGMr9YhTHDeDTJPkWRrsOT506KjoqPmpL0bB14FdVU6yOd8Ld/yusuHtcvpUarWcX19ABJrDf/iv&#10;XWkFaZKmT5Eg8kQWkLtfAAAA//8DAFBLAQItABQABgAIAAAAIQDb4fbL7gAAAIUBAAATAAAAAAAA&#10;AAAAAAAAAAAAAABbQ29udGVudF9UeXBlc10ueG1sUEsBAi0AFAAGAAgAAAAhAFr0LFu/AAAAFQEA&#10;AAsAAAAAAAAAAAAAAAAAHwEAAF9yZWxzLy5yZWxzUEsBAi0AFAAGAAgAAAAhAK1344PHAAAA3wAA&#10;AA8AAAAAAAAAAAAAAAAABwIAAGRycy9kb3ducmV2LnhtbFBLBQYAAAAAAwADALcAAAD7AgAAAAA=&#10;" filled="f" stroked="f">
                  <v:textbox inset="0,0,0,0">
                    <w:txbxContent>
                      <w:p w14:paraId="0E141BB0" w14:textId="77777777" w:rsidR="00B32EF2" w:rsidRDefault="00000000">
                        <w:r>
                          <w:rPr>
                            <w:rFonts w:ascii="Arial" w:eastAsia="Arial" w:hAnsi="Arial" w:cs="Arial"/>
                            <w:sz w:val="18"/>
                          </w:rPr>
                          <w:t>1</w:t>
                        </w:r>
                      </w:p>
                    </w:txbxContent>
                  </v:textbox>
                </v:rect>
                <v:rect id="Rectangle 202231" o:spid="_x0000_s6379" style="position:absolute;left:-12772;top:39314;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0YYxwAAAN8AAAAPAAAAZHJzL2Rvd25yZXYueG1sRI9Ba8JA&#10;FITvgv9heYI33RihSHQVUcQcvNRa6PGRfSbR7Nslu5rYX98tFHocZuYbZrXpTSOe1PrasoLZNAFB&#10;XFhdc6ng8nGYLED4gKyxsUwKXuRhsx4OVphp2/E7Pc+hFBHCPkMFVQguk9IXFRn0U+uIo3e1rcEQ&#10;ZVtK3WIX4aaRaZK8SYM1x4UKHe0qKu7nh1HwtWeXHzpZXL937nTLF83xcflUajzqt0sQgfrwH/5r&#10;51pBmqTpfAa/f+IXkOsfAAAA//8DAFBLAQItABQABgAIAAAAIQDb4fbL7gAAAIUBAAATAAAAAAAA&#10;AAAAAAAAAAAAAABbQ29udGVudF9UeXBlc10ueG1sUEsBAi0AFAAGAAgAAAAhAFr0LFu/AAAAFQEA&#10;AAsAAAAAAAAAAAAAAAAAHwEAAF9yZWxzLy5yZWxzUEsBAi0AFAAGAAgAAAAhAMI7RhjHAAAA3wAA&#10;AA8AAAAAAAAAAAAAAAAABwIAAGRycy9kb3ducmV2LnhtbFBLBQYAAAAAAwADALcAAAD7AgAAAAA=&#10;" filled="f" stroked="f">
                  <v:textbox inset="0,0,0,0">
                    <w:txbxContent>
                      <w:p w14:paraId="4EDEB96E" w14:textId="77777777" w:rsidR="00B32EF2" w:rsidRDefault="00000000">
                        <w:r>
                          <w:rPr>
                            <w:rFonts w:ascii="Arial" w:eastAsia="Arial" w:hAnsi="Arial" w:cs="Arial"/>
                            <w:sz w:val="18"/>
                          </w:rPr>
                          <w:t>. Alla prima e alle successive nomine dei magistrati tributari nonché alle no</w:t>
                        </w:r>
                      </w:p>
                    </w:txbxContent>
                  </v:textbox>
                </v:rect>
                <v:rect id="Rectangle 22316" o:spid="_x0000_s6380" style="position:absolute;left:198;top:3931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34TxwAAAN4AAAAPAAAAZHJzL2Rvd25yZXYueG1sRI/NasMw&#10;EITvhbyD2EJvjRwHQnAih5IQ4kMvTR3IcbHWP621EpYSu336qlDocZiZb5jtbjK9uNPgO8sKFvME&#10;BHFldceNgvL9+LwG4QOyxt4yKfgiD7t89rDFTNuR3+h+Do2IEPYZKmhDcJmUvmrJoJ9bRxy92g4G&#10;Q5RDI/WAY4SbXqZJspIGO44LLTrat1R9nm9GwfXArjiOsqq/9+71o1j3p1t5UerpcXrZgAg0hf/w&#10;X7vQCtJ0uVjB7514BWT+AwAA//8DAFBLAQItABQABgAIAAAAIQDb4fbL7gAAAIUBAAATAAAAAAAA&#10;AAAAAAAAAAAAAABbQ29udGVudF9UeXBlc10ueG1sUEsBAi0AFAAGAAgAAAAhAFr0LFu/AAAAFQEA&#10;AAsAAAAAAAAAAAAAAAAAHwEAAF9yZWxzLy5yZWxzUEsBAi0AFAAGAAgAAAAhAHhTfhPHAAAA3gAA&#10;AA8AAAAAAAAAAAAAAAAABwIAAGRycy9kb3ducmV2LnhtbFBLBQYAAAAAAwADALcAAAD7AgAAAAA=&#10;" filled="f" stroked="f">
                  <v:textbox inset="0,0,0,0">
                    <w:txbxContent>
                      <w:p w14:paraId="33D13608" w14:textId="77777777" w:rsidR="00B32EF2" w:rsidRDefault="00000000">
                        <w:r>
                          <w:rPr>
                            <w:rFonts w:ascii="Arial" w:eastAsia="Arial" w:hAnsi="Arial" w:cs="Arial"/>
                            <w:sz w:val="18"/>
                          </w:rPr>
                          <w:t>-</w:t>
                        </w:r>
                      </w:p>
                    </w:txbxContent>
                  </v:textbox>
                </v:rect>
                <v:rect id="Rectangle 22317" o:spid="_x0000_s6381" style="position:absolute;left:-13165;top:3808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9uIxwAAAN4AAAAPAAAAZHJzL2Rvd25yZXYueG1sRI9Pa8JA&#10;FMTvgt9heYI33ZiCldRVRJHm0Ev9Az0+ss8kbfbtkl1N7Kd3CwWPw8z8hlmue9OIG7W+tqxgNk1A&#10;EBdW11wqOB33kwUIH5A1NpZJwZ08rFfDwRIzbTv+pNshlCJC2GeooArBZVL6oiKDfmodcfQutjUY&#10;omxLqVvsItw0Mk2SuTRYc1yo0NG2ouLncDUKvnbs8n0ni8vv1n1854vm/Xo6KzUe9Zs3EIH68Az/&#10;t3OtIE1fZq/wdydeAbl6AAAA//8DAFBLAQItABQABgAIAAAAIQDb4fbL7gAAAIUBAAATAAAAAAAA&#10;AAAAAAAAAAAAAABbQ29udGVudF9UeXBlc10ueG1sUEsBAi0AFAAGAAgAAAAhAFr0LFu/AAAAFQEA&#10;AAsAAAAAAAAAAAAAAAAAHwEAAF9yZWxzLy5yZWxzUEsBAi0AFAAGAAgAAAAhABcf24jHAAAA3gAA&#10;AA8AAAAAAAAAAAAAAAAABwIAAGRycy9kb3ducmV2LnhtbFBLBQYAAAAAAwADALcAAAD7AgAAAAA=&#10;" filled="f" stroked="f">
                  <v:textbox inset="0,0,0,0">
                    <w:txbxContent>
                      <w:p w14:paraId="70FCAC46" w14:textId="77777777" w:rsidR="00B32EF2" w:rsidRDefault="00000000">
                        <w:r>
                          <w:rPr>
                            <w:rFonts w:ascii="Arial" w:eastAsia="Arial" w:hAnsi="Arial" w:cs="Arial"/>
                            <w:sz w:val="18"/>
                          </w:rPr>
                          <w:t xml:space="preserve">mine dei giudici tributari di cui all’articolo 2, comma 1, si provvede con decreto </w:t>
                        </w:r>
                      </w:p>
                    </w:txbxContent>
                  </v:textbox>
                </v:rect>
                <v:rect id="Rectangle 22318" o:spid="_x0000_s6382" style="position:absolute;left:-13165;top:36848;width:5309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E/6wwAAAN4AAAAPAAAAZHJzL2Rvd25yZXYueG1sRE/LisIw&#10;FN0P+A/hCu7G1A4MUo0iikwXs/EFLi/Nta02N6GJts7Xm8WAy8N5z5e9acSDWl9bVjAZJyCIC6tr&#10;LhUcD9vPKQgfkDU2lknBkzwsF4OPOWbadryjxz6UIoawz1BBFYLLpPRFRQb92DriyF1sazBE2JZS&#10;t9jFcNPINEm+pcGaY0OFjtYVFbf93Sg4b9jl204Wl7+1+73m0+bnfjwpNRr2qxmIQH14i//duVaQ&#10;pl+TuDfeiVdALl4AAAD//wMAUEsBAi0AFAAGAAgAAAAhANvh9svuAAAAhQEAABMAAAAAAAAAAAAA&#10;AAAAAAAAAFtDb250ZW50X1R5cGVzXS54bWxQSwECLQAUAAYACAAAACEAWvQsW78AAAAVAQAACwAA&#10;AAAAAAAAAAAAAAAfAQAAX3JlbHMvLnJlbHNQSwECLQAUAAYACAAAACEAZoBP+sMAAADeAAAADwAA&#10;AAAAAAAAAAAAAAAHAgAAZHJzL2Rvd25yZXYueG1sUEsFBgAAAAADAAMAtwAAAPcCAAAAAA==&#10;" filled="f" stroked="f">
                  <v:textbox inset="0,0,0,0">
                    <w:txbxContent>
                      <w:p w14:paraId="043E91BE" w14:textId="77777777" w:rsidR="00B32EF2" w:rsidRDefault="00000000">
                        <w:r>
                          <w:rPr>
                            <w:rFonts w:ascii="Arial" w:eastAsia="Arial" w:hAnsi="Arial" w:cs="Arial"/>
                            <w:sz w:val="18"/>
                          </w:rPr>
                          <w:t xml:space="preserve">del Ministro dell’economia e delle finanze, previa deliberazione conforme del </w:t>
                        </w:r>
                      </w:p>
                    </w:txbxContent>
                  </v:textbox>
                </v:rect>
                <v:rect id="Rectangle 22319" o:spid="_x0000_s6383" style="position:absolute;left:7434;top:35614;width:324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OphxwAAAN4AAAAPAAAAZHJzL2Rvd25yZXYueG1sRI9Pa8JA&#10;FMTvhX6H5Qm96cYURFNXEYs0By/1D/T4yD6TaPbtkl1N6qd3C0KPw8z8hpkve9OIG7W+tqxgPEpA&#10;EBdW11wqOOw3wykIH5A1NpZJwS95WC5eX+aYadvxN912oRQRwj5DBVUILpPSFxUZ9CPriKN3sq3B&#10;EGVbSt1iF+GmkWmSTKTBmuNChY7WFRWX3dUo+Plkl286WZzua7c959Pm63o4KvU26FcfIAL14T/8&#10;bOdaQZq+j2fwdydeAbl4AAAA//8DAFBLAQItABQABgAIAAAAIQDb4fbL7gAAAIUBAAATAAAAAAAA&#10;AAAAAAAAAAAAAABbQ29udGVudF9UeXBlc10ueG1sUEsBAi0AFAAGAAgAAAAhAFr0LFu/AAAAFQEA&#10;AAsAAAAAAAAAAAAAAAAAHwEAAF9yZWxzLy5yZWxzUEsBAi0AFAAGAAgAAAAhAAnM6mHHAAAA3gAA&#10;AA8AAAAAAAAAAAAAAAAABwIAAGRycy9kb3ducmV2LnhtbFBLBQYAAAAAAwADALcAAAD7AgAAAAA=&#10;" filled="f" stroked="f">
                  <v:textbox inset="0,0,0,0">
                    <w:txbxContent>
                      <w:p w14:paraId="48880F2B" w14:textId="77777777" w:rsidR="00B32EF2" w:rsidRDefault="00000000">
                        <w:r>
                          <w:rPr>
                            <w:rFonts w:ascii="Arial" w:eastAsia="Arial" w:hAnsi="Arial" w:cs="Arial"/>
                            <w:sz w:val="18"/>
                          </w:rPr>
                          <w:t>Consiglio di presidenza della giustizia tributaria.</w:t>
                        </w:r>
                      </w:p>
                    </w:txbxContent>
                  </v:textbox>
                </v:rect>
                <v:rect id="Rectangle 202229" o:spid="_x0000_s6384" style="position:absolute;left:-12830;top:34381;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NzDyAAAAN8AAAAPAAAAZHJzL2Rvd25yZXYueG1sRI9Ba8JA&#10;FITvQv/D8gq96aZ7KJq6SrFIc+ilGqHHR/aZRLNvl+xqUn+9Wyj0OMzMN8xyPdpOXKkPrWMNz7MM&#10;BHHlTMu1hnK/nc5BhIhssHNMGn4owHr1MFlibtzAX3TdxVokCIccNTQx+lzKUDVkMcycJ07e0fUW&#10;Y5J9LU2PQ4LbTqose5EWW04LDXraNFSddxer4fudfbEdZHW8bfznqZh3H5fyoPXT4/j2CiLSGP/D&#10;f+3CaFCZUmoBv3/SF5CrOwAAAP//AwBQSwECLQAUAAYACAAAACEA2+H2y+4AAACFAQAAEwAAAAAA&#10;AAAAAAAAAAAAAAAAW0NvbnRlbnRfVHlwZXNdLnhtbFBLAQItABQABgAIAAAAIQBa9CxbvwAAABUB&#10;AAALAAAAAAAAAAAAAAAAAB8BAABfcmVscy8ucmVsc1BLAQItABQABgAIAAAAIQC5lNzDyAAAAN8A&#10;AAAPAAAAAAAAAAAAAAAAAAcCAABkcnMvZG93bnJldi54bWxQSwUGAAAAAAMAAwC3AAAA/AIAAAAA&#10;" filled="f" stroked="f">
                  <v:textbox inset="0,0,0,0">
                    <w:txbxContent>
                      <w:p w14:paraId="62C26237" w14:textId="77777777" w:rsidR="00B32EF2" w:rsidRDefault="00000000">
                        <w:r>
                          <w:rPr>
                            <w:rFonts w:ascii="Arial" w:eastAsia="Arial" w:hAnsi="Arial" w:cs="Arial"/>
                            <w:sz w:val="18"/>
                          </w:rPr>
                          <w:t>. Il Consiglio di presidenza procede alle deliberazioni di cui al comma 1, re</w:t>
                        </w:r>
                      </w:p>
                    </w:txbxContent>
                  </v:textbox>
                </v:rect>
                <v:rect id="Rectangle 202228" o:spid="_x0000_s6385" style="position:absolute;left:26359;top:34381;width:52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HlYwwAAAN8AAAAPAAAAZHJzL2Rvd25yZXYueG1sRE/Pa8Iw&#10;FL4L/g/hDbxpuhxEqlFEEXvwMqfg8dE8227NS2iirfvrl8Ngx4/v92oz2FY8qQuNYw3vswwEcelM&#10;w5WGy+dhugARIrLB1jFpeFGAzXo8WmFuXM8f9DzHSqQQDjlqqGP0uZShrMlimDlPnLi76yzGBLtK&#10;mg77FG5bqbJsLi02nBpq9LSrqfw+P6yG2559cehlef/Z+dNXsWiPj8tV68nbsF2CiDTEf/GfuzAa&#10;VKaUSoPTn/QF5PoXAAD//wMAUEsBAi0AFAAGAAgAAAAhANvh9svuAAAAhQEAABMAAAAAAAAAAAAA&#10;AAAAAAAAAFtDb250ZW50X1R5cGVzXS54bWxQSwECLQAUAAYACAAAACEAWvQsW78AAAAVAQAACwAA&#10;AAAAAAAAAAAAAAAfAQAAX3JlbHMvLnJlbHNQSwECLQAUAAYACAAAACEA1th5WMMAAADfAAAADwAA&#10;AAAAAAAAAAAAAAAHAgAAZHJzL2Rvd25yZXYueG1sUEsFBgAAAAADAAMAtwAAAPcCAAAAAA==&#10;" filled="f" stroked="f">
                  <v:textbox inset="0,0,0,0">
                    <w:txbxContent>
                      <w:p w14:paraId="3E161883" w14:textId="77777777" w:rsidR="00B32EF2" w:rsidRDefault="00000000">
                        <w:r>
                          <w:rPr>
                            <w:rFonts w:ascii="Arial" w:eastAsia="Arial" w:hAnsi="Arial" w:cs="Arial"/>
                            <w:sz w:val="18"/>
                          </w:rPr>
                          <w:t>2</w:t>
                        </w:r>
                      </w:p>
                    </w:txbxContent>
                  </v:textbox>
                </v:rect>
                <v:rect id="Rectangle 22321" o:spid="_x0000_s6386" style="position:absolute;left:198;top:3438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izaxgAAAN4AAAAPAAAAZHJzL2Rvd25yZXYueG1sRI9Ba8JA&#10;FITvgv9heYI33RihSHQVUcQcvNRa6PGRfSbR7Nslu5rYX98tFHocZuYbZrXpTSOe1PrasoLZNAFB&#10;XFhdc6ng8nGYLED4gKyxsUwKXuRhsx4OVphp2/E7Pc+hFBHCPkMFVQguk9IXFRn0U+uIo3e1rcEQ&#10;ZVtK3WIX4aaRaZK8SYM1x4UKHe0qKu7nh1HwtWeXHzpZXL937nTLF83xcflUajzqt0sQgfrwH/5r&#10;51pBms7TGfzeiVdArn8AAAD//wMAUEsBAi0AFAAGAAgAAAAhANvh9svuAAAAhQEAABMAAAAAAAAA&#10;AAAAAAAAAAAAAFtDb250ZW50X1R5cGVzXS54bWxQSwECLQAUAAYACAAAACEAWvQsW78AAAAVAQAA&#10;CwAAAAAAAAAAAAAAAAAfAQAAX3JlbHMvLnJlbHNQSwECLQAUAAYACAAAACEAOdYs2sYAAADeAAAA&#10;DwAAAAAAAAAAAAAAAAAHAgAAZHJzL2Rvd25yZXYueG1sUEsFBgAAAAADAAMAtwAAAPoCAAAAAA==&#10;" filled="f" stroked="f">
                  <v:textbox inset="0,0,0,0">
                    <w:txbxContent>
                      <w:p w14:paraId="40D50245" w14:textId="77777777" w:rsidR="00B32EF2" w:rsidRDefault="00000000">
                        <w:r>
                          <w:rPr>
                            <w:rFonts w:ascii="Arial" w:eastAsia="Arial" w:hAnsi="Arial" w:cs="Arial"/>
                            <w:sz w:val="18"/>
                          </w:rPr>
                          <w:t>-</w:t>
                        </w:r>
                      </w:p>
                    </w:txbxContent>
                  </v:textbox>
                </v:rect>
                <v:rect id="Rectangle 22322" o:spid="_x0000_s6387" style="position:absolute;left:-12203;top:33148;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LKtxwAAAN4AAAAPAAAAZHJzL2Rvd25yZXYueG1sRI9PawIx&#10;FMTvQr9DeIXeNNsUiqxGKRbpHnqpf8DjY/PcXd28hE10t/30jSB4HGbmN8x8OdhWXKkLjWMNr5MM&#10;BHHpTMOVht12PZ6CCBHZYOuYNPxSgOXiaTTH3Lief+i6iZVIEA45aqhj9LmUoazJYpg4T5y8o+ss&#10;xiS7SpoO+wS3rVRZ9i4tNpwWavS0qqk8by5Ww+GTfbHuZXn8W/nvUzFtvy67vdYvz8PHDESkIT7C&#10;93ZhNCj1phTc7qQrIBf/AAAA//8DAFBLAQItABQABgAIAAAAIQDb4fbL7gAAAIUBAAATAAAAAAAA&#10;AAAAAAAAAAAAAABbQ29udGVudF9UeXBlc10ueG1sUEsBAi0AFAAGAAgAAAAhAFr0LFu/AAAAFQEA&#10;AAsAAAAAAAAAAAAAAAAAHwEAAF9yZWxzLy5yZWxzUEsBAi0AFAAGAAgAAAAhAMkEsq3HAAAA3gAA&#10;AA8AAAAAAAAAAAAAAAAABwIAAGRycy9kb3ducmV2LnhtbFBLBQYAAAAAAwADALcAAAD7AgAAAAA=&#10;" filled="f" stroked="f">
                  <v:textbox inset="0,0,0,0">
                    <w:txbxContent>
                      <w:p w14:paraId="09EDA98C" w14:textId="77777777" w:rsidR="00B32EF2" w:rsidRDefault="00000000">
                        <w:r>
                          <w:rPr>
                            <w:rFonts w:ascii="Arial" w:eastAsia="Arial" w:hAnsi="Arial" w:cs="Arial"/>
                            <w:sz w:val="18"/>
                          </w:rPr>
                          <w:t>lative alle nomine successive alla prima, sulla base di elenchi formati relativa</w:t>
                        </w:r>
                      </w:p>
                    </w:txbxContent>
                  </v:textbox>
                </v:rect>
                <v:rect id="Rectangle 22323" o:spid="_x0000_s6388" style="position:absolute;left:198;top:3314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Bc2xgAAAN4AAAAPAAAAZHJzL2Rvd25yZXYueG1sRI9Ba8JA&#10;FITvBf/D8gre6qYRiqSuIoqYg5faCB4f2WeSmn27ZFcT/fVuodDjMDPfMPPlYFpxo843lhW8TxIQ&#10;xKXVDVcKiu/t2wyED8gaW8uk4E4elovRyxwzbXv+otshVCJC2GeooA7BZVL6siaDfmIdcfTOtjMY&#10;ouwqqTvsI9y0Mk2SD2mw4bhQo6N1TeXlcDUKTht2+baX5fmxdvuffNbursVRqfHrsPoEEWgI/+G/&#10;dq4VpOk0ncLvnXgF5OIJAAD//wMAUEsBAi0AFAAGAAgAAAAhANvh9svuAAAAhQEAABMAAAAAAAAA&#10;AAAAAAAAAAAAAFtDb250ZW50X1R5cGVzXS54bWxQSwECLQAUAAYACAAAACEAWvQsW78AAAAVAQAA&#10;CwAAAAAAAAAAAAAAAAAfAQAAX3JlbHMvLnJlbHNQSwECLQAUAAYACAAAACEApkgXNsYAAADeAAAA&#10;DwAAAAAAAAAAAAAAAAAHAgAAZHJzL2Rvd25yZXYueG1sUEsFBgAAAAADAAMAtwAAAPoCAAAAAA==&#10;" filled="f" stroked="f">
                  <v:textbox inset="0,0,0,0">
                    <w:txbxContent>
                      <w:p w14:paraId="4C38768E" w14:textId="77777777" w:rsidR="00B32EF2" w:rsidRDefault="00000000">
                        <w:r>
                          <w:rPr>
                            <w:rFonts w:ascii="Arial" w:eastAsia="Arial" w:hAnsi="Arial" w:cs="Arial"/>
                            <w:sz w:val="18"/>
                          </w:rPr>
                          <w:t>-</w:t>
                        </w:r>
                      </w:p>
                    </w:txbxContent>
                  </v:textbox>
                </v:rect>
                <v:rect id="Rectangle 22324" o:spid="_x0000_s6389" style="position:absolute;left:-12199;top:31914;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Y9CxgAAAN4AAAAPAAAAZHJzL2Rvd25yZXYueG1sRI9Ba8JA&#10;FITvBf/D8gRvdWNaikRXEUWag5daBY+P7DOJZt8u2dVEf323UOhxmJlvmPmyN424U+trywom4wQE&#10;cWF1zaWCw/f2dQrCB2SNjWVS8CAPy8XgZY6Zth1/0X0fShEh7DNUUIXgMil9UZFBP7aOOHpn2xoM&#10;Ubal1C12EW4amSbJhzRYc1yo0NG6ouK6vxkFpw27fNvJ4vxcu90lnzaft8NRqdGwX81ABOrDf/iv&#10;nWsFafqWvsPvnXgF5OIHAAD//wMAUEsBAi0AFAAGAAgAAAAhANvh9svuAAAAhQEAABMAAAAAAAAA&#10;AAAAAAAAAAAAAFtDb250ZW50X1R5cGVzXS54bWxQSwECLQAUAAYACAAAACEAWvQsW78AAAAVAQAA&#10;CwAAAAAAAAAAAAAAAAAfAQAAX3JlbHMvLnJlbHNQSwECLQAUAAYACAAAACEAKaGPQsYAAADeAAAA&#10;DwAAAAAAAAAAAAAAAAAHAgAAZHJzL2Rvd25yZXYueG1sUEsFBgAAAAADAAMAtwAAAPoCAAAAAA==&#10;" filled="f" stroked="f">
                  <v:textbox inset="0,0,0,0">
                    <w:txbxContent>
                      <w:p w14:paraId="19884283" w14:textId="77777777" w:rsidR="00B32EF2" w:rsidRDefault="00000000">
                        <w:r>
                          <w:rPr>
                            <w:rFonts w:ascii="Arial" w:eastAsia="Arial" w:hAnsi="Arial" w:cs="Arial"/>
                            <w:sz w:val="18"/>
                          </w:rPr>
                          <w:t>mente ad ogni corte di giustizia tributaria di primo e secondo grado e compren</w:t>
                        </w:r>
                      </w:p>
                    </w:txbxContent>
                  </v:textbox>
                </v:rect>
                <v:rect id="Rectangle 22325" o:spid="_x0000_s6390" style="position:absolute;left:198;top:3191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SrZxgAAAN4AAAAPAAAAZHJzL2Rvd25yZXYueG1sRI9Ba8JA&#10;FITvBf/D8gRvdWNKi0RXEUWag5daBY+P7DOJZt8u2dVEf323UOhxmJlvmPmyN424U+trywom4wQE&#10;cWF1zaWCw/f2dQrCB2SNjWVS8CAPy8XgZY6Zth1/0X0fShEh7DNUUIXgMil9UZFBP7aOOHpn2xoM&#10;Ubal1C12EW4amSbJhzRYc1yo0NG6ouK6vxkFpw27fNvJ4vxcu90lnzaft8NRqdGwX81ABOrDf/iv&#10;nWsFafqWvsPvnXgF5OIHAAD//wMAUEsBAi0AFAAGAAgAAAAhANvh9svuAAAAhQEAABMAAAAAAAAA&#10;AAAAAAAAAAAAAFtDb250ZW50X1R5cGVzXS54bWxQSwECLQAUAAYACAAAACEAWvQsW78AAAAVAQAA&#10;CwAAAAAAAAAAAAAAAAAfAQAAX3JlbHMvLnJlbHNQSwECLQAUAAYACAAAACEARu0q2cYAAADeAAAA&#10;DwAAAAAAAAAAAAAAAAAHAgAAZHJzL2Rvd25yZXYueG1sUEsFBgAAAAADAAMAtwAAAPoCAAAAAA==&#10;" filled="f" stroked="f">
                  <v:textbox inset="0,0,0,0">
                    <w:txbxContent>
                      <w:p w14:paraId="28412CE6" w14:textId="77777777" w:rsidR="00B32EF2" w:rsidRDefault="00000000">
                        <w:r>
                          <w:rPr>
                            <w:rFonts w:ascii="Arial" w:eastAsia="Arial" w:hAnsi="Arial" w:cs="Arial"/>
                            <w:sz w:val="18"/>
                          </w:rPr>
                          <w:t>-</w:t>
                        </w:r>
                      </w:p>
                    </w:txbxContent>
                  </v:textbox>
                </v:rect>
                <v:rect id="Rectangle 22326" o:spid="_x0000_s6391" style="position:absolute;left:-13165;top:3068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7SuxgAAAN4AAAAPAAAAZHJzL2Rvd25yZXYueG1sRI9Ba8JA&#10;FITvgv9heQVvumkEkdRVRBFz6KU2gsdH9pmkZt8u2dXE/vpuodDjMDPfMKvNYFrxoM43lhW8zhIQ&#10;xKXVDVcKis/DdAnCB2SNrWVS8CQPm/V4tMJM254/6HEKlYgQ9hkqqENwmZS+rMmgn1lHHL2r7QyG&#10;KLtK6g77CDetTJNkIQ02HBdqdLSrqbyd7kbBZc8uP/SyvH7v3PtXvmyP9+Ks1ORl2L6BCDSE//Bf&#10;O9cK0nSeLuD3TrwCcv0DAAD//wMAUEsBAi0AFAAGAAgAAAAhANvh9svuAAAAhQEAABMAAAAAAAAA&#10;AAAAAAAAAAAAAFtDb250ZW50X1R5cGVzXS54bWxQSwECLQAUAAYACAAAACEAWvQsW78AAAAVAQAA&#10;CwAAAAAAAAAAAAAAAAAfAQAAX3JlbHMvLnJlbHNQSwECLQAUAAYACAAAACEAtj+0rsYAAADeAAAA&#10;DwAAAAAAAAAAAAAAAAAHAgAAZHJzL2Rvd25yZXYueG1sUEsFBgAAAAADAAMAtwAAAPoCAAAAAA==&#10;" filled="f" stroked="f">
                  <v:textbox inset="0,0,0,0">
                    <w:txbxContent>
                      <w:p w14:paraId="08F2274E" w14:textId="77777777" w:rsidR="00B32EF2" w:rsidRDefault="00000000">
                        <w:r>
                          <w:rPr>
                            <w:rFonts w:ascii="Arial" w:eastAsia="Arial" w:hAnsi="Arial" w:cs="Arial"/>
                            <w:sz w:val="18"/>
                          </w:rPr>
                          <w:t xml:space="preserve">denti tutti gli appartenenti alle categorie indicate negli articoli 4, 5 e 10 per il </w:t>
                        </w:r>
                      </w:p>
                    </w:txbxContent>
                  </v:textbox>
                </v:rect>
                <v:rect id="Rectangle 22327" o:spid="_x0000_s6392" style="position:absolute;left:-13165;top:2944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xE1xgAAAN4AAAAPAAAAZHJzL2Rvd25yZXYueG1sRI9Ba8JA&#10;FITvBf/D8gRvdWMKrURXEUWag5daBY+P7DOJZt8u2dVEf323UOhxmJlvmPmyN424U+trywom4wQE&#10;cWF1zaWCw/f2dQrCB2SNjWVS8CAPy8XgZY6Zth1/0X0fShEh7DNUUIXgMil9UZFBP7aOOHpn2xoM&#10;Ubal1C12EW4amSbJuzRYc1yo0NG6ouK6vxkFpw27fNvJ4vxcu90lnzaft8NRqdGwX81ABOrDf/iv&#10;nWsFafqWfsDvnXgF5OIHAAD//wMAUEsBAi0AFAAGAAgAAAAhANvh9svuAAAAhQEAABMAAAAAAAAA&#10;AAAAAAAAAAAAAFtDb250ZW50X1R5cGVzXS54bWxQSwECLQAUAAYACAAAACEAWvQsW78AAAAVAQAA&#10;CwAAAAAAAAAAAAAAAAAfAQAAX3JlbHMvLnJlbHNQSwECLQAUAAYACAAAACEA2XMRNcYAAADeAAAA&#10;DwAAAAAAAAAAAAAAAAAHAgAAZHJzL2Rvd25yZXYueG1sUEsFBgAAAAADAAMAtwAAAPoCAAAAAA==&#10;" filled="f" stroked="f">
                  <v:textbox inset="0,0,0,0">
                    <w:txbxContent>
                      <w:p w14:paraId="784C4BBB" w14:textId="77777777" w:rsidR="00B32EF2" w:rsidRDefault="00000000">
                        <w:r>
                          <w:rPr>
                            <w:rFonts w:ascii="Arial" w:eastAsia="Arial" w:hAnsi="Arial" w:cs="Arial"/>
                            <w:sz w:val="18"/>
                          </w:rPr>
                          <w:t xml:space="preserve">posto da conferire, che hanno comunicato la propria disponibilità all’incarico e </w:t>
                        </w:r>
                      </w:p>
                    </w:txbxContent>
                  </v:textbox>
                </v:rect>
                <v:rect id="Rectangle 22328" o:spid="_x0000_s6393" style="position:absolute;left:13058;top:28214;width:268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IVHwwAAAN4AAAAPAAAAZHJzL2Rvd25yZXYueG1sRE9Ni8Iw&#10;EL0v+B/CCN7W1C6IVKOIItuDl1UX9jg0Y1ttJqGJtvrrNwfB4+N9L1a9acSdWl9bVjAZJyCIC6tr&#10;LhWcjrvPGQgfkDU2lknBgzysloOPBWbadvxD90MoRQxhn6GCKgSXSemLigz6sXXEkTvb1mCIsC2l&#10;brGL4aaRaZJMpcGaY0OFjjYVFdfDzSj427LLd50szs+N21/yWfN9O/0qNRr26zmIQH14i1/uXCtI&#10;06807o134hWQy38AAAD//wMAUEsBAi0AFAAGAAgAAAAhANvh9svuAAAAhQEAABMAAAAAAAAAAAAA&#10;AAAAAAAAAFtDb250ZW50X1R5cGVzXS54bWxQSwECLQAUAAYACAAAACEAWvQsW78AAAAVAQAACwAA&#10;AAAAAAAAAAAAAAAfAQAAX3JlbHMvLnJlbHNQSwECLQAUAAYACAAAACEAqOyFR8MAAADeAAAADwAA&#10;AAAAAAAAAAAAAAAHAgAAZHJzL2Rvd25yZXYueG1sUEsFBgAAAAADAAMAtwAAAPcCAAAAAA==&#10;" filled="f" stroked="f">
                  <v:textbox inset="0,0,0,0">
                    <w:txbxContent>
                      <w:p w14:paraId="4ABEB17F" w14:textId="77777777" w:rsidR="00B32EF2" w:rsidRDefault="00000000">
                        <w:r>
                          <w:rPr>
                            <w:rFonts w:ascii="Arial" w:eastAsia="Arial" w:hAnsi="Arial" w:cs="Arial"/>
                            <w:sz w:val="18"/>
                          </w:rPr>
                          <w:t>sono in possesso dei requisiti prescritti.</w:t>
                        </w:r>
                      </w:p>
                    </w:txbxContent>
                  </v:textbox>
                </v:rect>
                <v:rect id="Rectangle 202227" o:spid="_x0000_s6394" style="position:absolute;left:-13829;top:26981;width:531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0qyAAAAN8AAAAPAAAAZHJzL2Rvd25yZXYueG1sRI9Ba8JA&#10;FITvQv/D8gq96aZ7qJK6SrFIc/CijdDjI/tM0mbfLtnVRH+9Wyj0OMzMN8xyPdpOXKgPrWMNz7MM&#10;BHHlTMu1hvJzO12ACBHZYOeYNFwpwHr1MFlibtzAe7ocYi0ShEOOGpoYfS5lqBqyGGbOEyfv5HqL&#10;Mcm+lqbHIcFtJ1WWvUiLLaeFBj1tGqp+Dmer4eudfbEdZHW6bfzuu1h0H+fyqPXT4/j2CiLSGP/D&#10;f+3CaFCZUmoOv3/SF5CrOwAAAP//AwBQSwECLQAUAAYACAAAACEA2+H2y+4AAACFAQAAEwAAAAAA&#10;AAAAAAAAAAAAAAAAW0NvbnRlbnRfVHlwZXNdLnhtbFBLAQItABQABgAIAAAAIQBa9CxbvwAAABUB&#10;AAALAAAAAAAAAAAAAAAAAB8BAABfcmVscy8ucmVsc1BLAQItABQABgAIAAAAIQCnR+0qyAAAAN8A&#10;AAAPAAAAAAAAAAAAAAAAAAcCAABkcnMvZG93bnJldi54bWxQSwUGAAAAAAMAAwC3AAAA/AIAAAAA&#10;" filled="f" stroked="f">
                  <v:textbox inset="0,0,0,0">
                    <w:txbxContent>
                      <w:p w14:paraId="3B647E08" w14:textId="77777777" w:rsidR="00B32EF2" w:rsidRDefault="00000000">
                        <w:r>
                          <w:rPr>
                            <w:rFonts w:ascii="Arial" w:eastAsia="Arial" w:hAnsi="Arial" w:cs="Arial"/>
                            <w:sz w:val="18"/>
                          </w:rPr>
                          <w:t xml:space="preserve">. Per le corti di giustizia tributaria di secondo grado i posti da conferire sono </w:t>
                        </w:r>
                      </w:p>
                    </w:txbxContent>
                  </v:textbox>
                </v:rect>
                <v:rect id="Rectangle 202226" o:spid="_x0000_s6395" style="position:absolute;left:26105;top:26981;width:531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0ixxwAAAN8AAAAPAAAAZHJzL2Rvd25yZXYueG1sRI9BawIx&#10;FITvhf6H8ArearY5iGyNIop0D15qFXp8bJ67q5uXsInu6q9vBKHHYWa+YWaLwbbiSl1oHGv4GGcg&#10;iEtnGq407H8271MQISIbbB2ThhsFWMxfX2aYG9fzN113sRIJwiFHDXWMPpcylDVZDGPniZN3dJ3F&#10;mGRXSdNhn+C2lSrLJtJiw2mhRk+rmsrz7mI1/K7ZF5telsf7ym9PxbT9uuwPWo/ehuUniEhD/A8/&#10;24XRoDKl1AQef9IXkPM/AAAA//8DAFBLAQItABQABgAIAAAAIQDb4fbL7gAAAIUBAAATAAAAAAAA&#10;AAAAAAAAAAAAAABbQ29udGVudF9UeXBlc10ueG1sUEsBAi0AFAAGAAgAAAAhAFr0LFu/AAAAFQEA&#10;AAsAAAAAAAAAAAAAAAAAHwEAAF9yZWxzLy5yZWxzUEsBAi0AFAAGAAgAAAAhAMgLSLHHAAAA3wAA&#10;AA8AAAAAAAAAAAAAAAAABwIAAGRycy9kb3ducmV2LnhtbFBLBQYAAAAAAwADALcAAAD7AgAAAAA=&#10;" filled="f" stroked="f">
                  <v:textbox inset="0,0,0,0">
                    <w:txbxContent>
                      <w:p w14:paraId="5A1E1960" w14:textId="77777777" w:rsidR="00B32EF2" w:rsidRDefault="00000000">
                        <w:r>
                          <w:rPr>
                            <w:rFonts w:ascii="Arial" w:eastAsia="Arial" w:hAnsi="Arial" w:cs="Arial"/>
                            <w:sz w:val="18"/>
                          </w:rPr>
                          <w:t>3</w:t>
                        </w:r>
                      </w:p>
                    </w:txbxContent>
                  </v:textbox>
                </v:rect>
                <v:rect id="Rectangle 22330" o:spid="_x0000_s6396" style="position:absolute;left:-13165;top:2574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cxAAAAN4AAAAPAAAAZHJzL2Rvd25yZXYueG1sRI/NisIw&#10;FIX3A75DuIK7MbXCINUooohduBlHweWlubbV5iY00VaffrIYmOXh/PEtVr1pxJNaX1tWMBknIIgL&#10;q2suFZx+dp8zED4ga2wsk4IXeVgtBx8LzLTt+Juex1CKOMI+QwVVCC6T0hcVGfRj64ijd7WtwRBl&#10;W0rdYhfHTSPTJPmSBmuODxU62lRU3I8Po+CyZZfvOllc3xt3uOWzZv84nZUaDfv1HESgPvyH/9q5&#10;VpCm02kEiDgRBeTyFwAA//8DAFBLAQItABQABgAIAAAAIQDb4fbL7gAAAIUBAAATAAAAAAAAAAAA&#10;AAAAAAAAAABbQ29udGVudF9UeXBlc10ueG1sUEsBAi0AFAAGAAgAAAAhAFr0LFu/AAAAFQEAAAsA&#10;AAAAAAAAAAAAAAAAHwEAAF9yZWxzLy5yZWxzUEsBAi0AFAAGAAgAAAAhANNDH5zEAAAA3gAAAA8A&#10;AAAAAAAAAAAAAAAABwIAAGRycy9kb3ducmV2LnhtbFBLBQYAAAAAAwADALcAAAD4AgAAAAA=&#10;" filled="f" stroked="f">
                  <v:textbox inset="0,0,0,0">
                    <w:txbxContent>
                      <w:p w14:paraId="2372A3F8" w14:textId="77777777" w:rsidR="00B32EF2" w:rsidRDefault="00000000">
                        <w:r>
                          <w:rPr>
                            <w:rFonts w:ascii="Arial" w:eastAsia="Arial" w:hAnsi="Arial" w:cs="Arial"/>
                            <w:sz w:val="18"/>
                          </w:rPr>
                          <w:t xml:space="preserve">attribuiti in modo da assicurare progressivamente la presenza in tali corti di </w:t>
                        </w:r>
                      </w:p>
                    </w:txbxContent>
                  </v:textbox>
                </v:rect>
                <v:rect id="Rectangle 22331" o:spid="_x0000_s6397" style="position:absolute;left:-13166;top:24515;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7oHxgAAAN4AAAAPAAAAZHJzL2Rvd25yZXYueG1sRI9Ba8JA&#10;FITvgv9heYXedGMEkegqRZHm4EWr4PGRfSZps2+X7Gpif31XEHocZuYbZrnuTSPu1PrasoLJOAFB&#10;XFhdc6ng9LUbzUH4gKyxsUwKHuRhvRoOlphp2/GB7sdQighhn6GCKgSXSemLigz6sXXE0bva1mCI&#10;si2lbrGLcNPINElm0mDNcaFCR5uKip/jzSi4bNnlu04W19+N23/n8+bzdjor9f7WfyxABOrDf/jV&#10;zrWCNJ1OJ/C8E6+AXP0BAAD//wMAUEsBAi0AFAAGAAgAAAAhANvh9svuAAAAhQEAABMAAAAAAAAA&#10;AAAAAAAAAAAAAFtDb250ZW50X1R5cGVzXS54bWxQSwECLQAUAAYACAAAACEAWvQsW78AAAAVAQAA&#10;CwAAAAAAAAAAAAAAAAAfAQAAX3JlbHMvLnJlbHNQSwECLQAUAAYACAAAACEAvA+6B8YAAADeAAAA&#10;DwAAAAAAAAAAAAAAAAAHAgAAZHJzL2Rvd25yZXYueG1sUEsFBgAAAAADAAMAtwAAAPoCAAAAAA==&#10;" filled="f" stroked="f">
                  <v:textbox inset="0,0,0,0">
                    <w:txbxContent>
                      <w:p w14:paraId="79EDB99C" w14:textId="77777777" w:rsidR="00B32EF2" w:rsidRDefault="00000000">
                        <w:r>
                          <w:rPr>
                            <w:rFonts w:ascii="Arial" w:eastAsia="Arial" w:hAnsi="Arial" w:cs="Arial"/>
                            <w:sz w:val="18"/>
                          </w:rPr>
                          <w:t xml:space="preserve">giustizia tributaria di due terzi dei giudici selezionati tra i magistrati ordinari, </w:t>
                        </w:r>
                      </w:p>
                    </w:txbxContent>
                  </v:textbox>
                </v:rect>
                <v:rect id="Rectangle 22332" o:spid="_x0000_s6398" style="position:absolute;left:-13166;top:2328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SRwxgAAAN4AAAAPAAAAZHJzL2Rvd25yZXYueG1sRI9Ba8JA&#10;FITvBf/D8gre6qYRiqSuIoqYg5faCB4f2WeSmn27ZFcT/fVuodDjMDPfMPPlYFpxo843lhW8TxIQ&#10;xKXVDVcKiu/t2wyED8gaW8uk4E4elovRyxwzbXv+otshVCJC2GeooA7BZVL6siaDfmIdcfTOtjMY&#10;ouwqqTvsI9y0Mk2SD2mw4bhQo6N1TeXlcDUKTht2+baX5fmxdvuffNbursVRqfHrsPoEEWgI/+G/&#10;dq4VpOl0msLvnXgF5OIJAAD//wMAUEsBAi0AFAAGAAgAAAAhANvh9svuAAAAhQEAABMAAAAAAAAA&#10;AAAAAAAAAAAAAFtDb250ZW50X1R5cGVzXS54bWxQSwECLQAUAAYACAAAACEAWvQsW78AAAAVAQAA&#10;CwAAAAAAAAAAAAAAAAAfAQAAX3JlbHMvLnJlbHNQSwECLQAUAAYACAAAACEATN0kcMYAAADeAAAA&#10;DwAAAAAAAAAAAAAAAAAHAgAAZHJzL2Rvd25yZXYueG1sUEsFBgAAAAADAAMAtwAAAPoCAAAAAA==&#10;" filled="f" stroked="f">
                  <v:textbox inset="0,0,0,0">
                    <w:txbxContent>
                      <w:p w14:paraId="20D53DDD" w14:textId="77777777" w:rsidR="00B32EF2" w:rsidRDefault="00000000">
                        <w:r>
                          <w:rPr>
                            <w:rFonts w:ascii="Arial" w:eastAsia="Arial" w:hAnsi="Arial" w:cs="Arial"/>
                            <w:sz w:val="18"/>
                          </w:rPr>
                          <w:t xml:space="preserve">amministrativi, militari e contabili, in servizio o a riposo, ovvero gli avvocati </w:t>
                        </w:r>
                      </w:p>
                    </w:txbxContent>
                  </v:textbox>
                </v:rect>
                <v:rect id="Rectangle 22333" o:spid="_x0000_s6399" style="position:absolute;left:25928;top:22048;width:139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YHrxwAAAN4AAAAPAAAAZHJzL2Rvd25yZXYueG1sRI9Ba8JA&#10;FITvBf/D8oTe6sYEiqRuQlGkOfRStdDjI/tM0mbfLtnVpP56t1DwOMzMN8y6nEwvLjT4zrKC5SIB&#10;QVxb3XGj4HjYPa1A+ICssbdMCn7JQ1nMHtaYazvyB132oRERwj5HBW0ILpfS1y0Z9AvriKN3soPB&#10;EOXQSD3gGOGml2mSPEuDHceFFh1tWqp/9mej4GvLrtqNsj5dN+79u1r1b+fjp1KP8+n1BUSgKdzD&#10;/+1KK0jTLMvg7068ArK4AQAA//8DAFBLAQItABQABgAIAAAAIQDb4fbL7gAAAIUBAAATAAAAAAAA&#10;AAAAAAAAAAAAAABbQ29udGVudF9UeXBlc10ueG1sUEsBAi0AFAAGAAgAAAAhAFr0LFu/AAAAFQEA&#10;AAsAAAAAAAAAAAAAAAAAHwEAAF9yZWxzLy5yZWxzUEsBAi0AFAAGAAgAAAAhACORgevHAAAA3gAA&#10;AA8AAAAAAAAAAAAAAAAABwIAAGRycy9kb3ducmV2LnhtbFBLBQYAAAAAAwADALcAAAD7AgAAAAA=&#10;" filled="f" stroked="f">
                  <v:textbox inset="0,0,0,0">
                    <w:txbxContent>
                      <w:p w14:paraId="02982201" w14:textId="77777777" w:rsidR="00B32EF2" w:rsidRDefault="00000000">
                        <w:r>
                          <w:rPr>
                            <w:rFonts w:ascii="Arial" w:eastAsia="Arial" w:hAnsi="Arial" w:cs="Arial"/>
                            <w:sz w:val="18"/>
                          </w:rPr>
                          <w:t>dello Stato, a riposo.</w:t>
                        </w:r>
                      </w:p>
                    </w:txbxContent>
                  </v:textbox>
                </v:rect>
                <v:rect id="Rectangle 22334" o:spid="_x0000_s6400" style="position:absolute;left:15115;top:19581;width:80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BmfxwAAAN4AAAAPAAAAZHJzL2Rvd25yZXYueG1sRI9Pa8JA&#10;FMTvBb/D8oTe6qZRikRXKRZpDl78Bx4f2WeSNvt2ya4m9dO7QsHjMDO/YebL3jTiSq2vLSt4HyUg&#10;iAuray4VHPbrtykIH5A1NpZJwR95WC4GL3PMtO14S9ddKEWEsM9QQRWCy6T0RUUG/cg64uidbWsw&#10;RNmWUrfYRbhpZJokH9JgzXGhQkeriorf3cUoOH2xy9edLM63ldv85NPm+3I4KvU67D9nIAL14Rn+&#10;b+daQZqOxxN43IlXQC7uAAAA//8DAFBLAQItABQABgAIAAAAIQDb4fbL7gAAAIUBAAATAAAAAAAA&#10;AAAAAAAAAAAAAABbQ29udGVudF9UeXBlc10ueG1sUEsBAi0AFAAGAAgAAAAhAFr0LFu/AAAAFQEA&#10;AAsAAAAAAAAAAAAAAAAAHwEAAF9yZWxzLy5yZWxzUEsBAi0AFAAGAAgAAAAhAKx4GZ/HAAAA3gAA&#10;AA8AAAAAAAAAAAAAAAAABwIAAGRycy9kb3ducmV2LnhtbFBLBQYAAAAAAwADALcAAAD7AgAAAAA=&#10;" filled="f" stroked="f">
                  <v:textbox inset="0,0,0,0">
                    <w:txbxContent>
                      <w:p w14:paraId="0F69B2FB" w14:textId="77777777" w:rsidR="00B32EF2" w:rsidRDefault="00000000">
                        <w:r>
                          <w:rPr>
                            <w:rFonts w:ascii="Arial" w:eastAsia="Arial" w:hAnsi="Arial" w:cs="Arial"/>
                            <w:b/>
                            <w:sz w:val="18"/>
                          </w:rPr>
                          <w:t>Articolo 16</w:t>
                        </w:r>
                      </w:p>
                    </w:txbxContent>
                  </v:textbox>
                </v:rect>
                <v:rect id="Rectangle 202224" o:spid="_x0000_s6401" style="position:absolute;left:-2545;top:18348;width:193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XNdxwAAAN8AAAAPAAAAZHJzL2Rvd25yZXYueG1sRI9Ba8JA&#10;FITvQv/D8gq96aZLEUldpVikOXjRRujxkX0mabNvl+xqor/eLRR6HGbmG2a5Hm0nLtSH1rGG51kG&#10;grhypuVaQ/m5nS5AhIhssHNMGq4UYL16mCwxN27gPV0OsRYJwiFHDU2MPpcyVA1ZDDPniZN3cr3F&#10;mGRfS9PjkOC2kyrL5tJiy2mhQU+bhqqfw9lq+HpnX2wHWZ1uG7/7Lhbdx7k8av30OL69gog0xv/w&#10;X7swGlSmlHqB3z/pC8jVHQAA//8DAFBLAQItABQABgAIAAAAIQDb4fbL7gAAAIUBAAATAAAAAAAA&#10;AAAAAAAAAAAAAABbQ29udGVudF9UeXBlc10ueG1sUEsBAi0AFAAGAAgAAAAhAFr0LFu/AAAAFQEA&#10;AAsAAAAAAAAAAAAAAAAAHwEAAF9yZWxzLy5yZWxzUEsBAi0AFAAGAAgAAAAhAFeVc13HAAAA3wAA&#10;AA8AAAAAAAAAAAAAAAAABwIAAGRycy9kb3ducmV2LnhtbFBLBQYAAAAAAwADALcAAAD7AgAAAAA=&#10;" filled="f" stroked="f">
                  <v:textbox inset="0,0,0,0">
                    <w:txbxContent>
                      <w:p w14:paraId="67155BA6" w14:textId="77777777" w:rsidR="00B32EF2" w:rsidRDefault="00000000">
                        <w:r>
                          <w:rPr>
                            <w:rFonts w:ascii="Arial" w:eastAsia="Arial" w:hAnsi="Arial" w:cs="Arial"/>
                            <w:i/>
                            <w:sz w:val="18"/>
                          </w:rPr>
                          <w:t>545/92)</w:t>
                        </w:r>
                      </w:p>
                    </w:txbxContent>
                  </v:textbox>
                </v:rect>
                <v:rect id="Rectangle 202225" o:spid="_x0000_s6402" style="position:absolute;left:11671;top:18348;width:193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dbGxwAAAN8AAAAPAAAAZHJzL2Rvd25yZXYueG1sRI9Ba8JA&#10;FITvQv/D8gq96aYLFUldpVikOXjRRujxkX0mabNvl+xqor/eLRR6HGbmG2a5Hm0nLtSH1rGG51kG&#10;grhypuVaQ/m5nS5AhIhssHNMGq4UYL16mCwxN27gPV0OsRYJwiFHDU2MPpcyVA1ZDDPniZN3cr3F&#10;mGRfS9PjkOC2kyrL5tJiy2mhQU+bhqqfw9lq+HpnX2wHWZ1uG7/7Lhbdx7k8av30OL69gog0xv/w&#10;X7swGlSmlHqB3z/pC8jVHQAA//8DAFBLAQItABQABgAIAAAAIQDb4fbL7gAAAIUBAAATAAAAAAAA&#10;AAAAAAAAAAAAAABbQ29udGVudF9UeXBlc10ueG1sUEsBAi0AFAAGAAgAAAAhAFr0LFu/AAAAFQEA&#10;AAsAAAAAAAAAAAAAAAAAHwEAAF9yZWxzLy5yZWxzUEsBAi0AFAAGAAgAAAAhADjZ1sbHAAAA3wAA&#10;AA8AAAAAAAAAAAAAAAAABwIAAGRycy9kb3ducmV2LnhtbFBLBQYAAAAAAwADALcAAAD7AgAAAAA=&#10;" filled="f" stroked="f">
                  <v:textbox inset="0,0,0,0">
                    <w:txbxContent>
                      <w:p w14:paraId="2B9293E4" w14:textId="77777777" w:rsidR="00B32EF2" w:rsidRDefault="00000000">
                        <w:r>
                          <w:rPr>
                            <w:rFonts w:ascii="Arial" w:eastAsia="Arial" w:hAnsi="Arial" w:cs="Arial"/>
                            <w:i/>
                            <w:sz w:val="18"/>
                          </w:rPr>
                          <w:t xml:space="preserve">articolo 10 D.lgs. n. </w:t>
                        </w:r>
                      </w:p>
                    </w:txbxContent>
                  </v:textbox>
                </v:rect>
                <v:rect id="Rectangle 202223" o:spid="_x0000_s6403" style="position:absolute;left:22221;top:18348;width:193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OspxwAAAN8AAAAPAAAAZHJzL2Rvd25yZXYueG1sRI9Ba8JA&#10;FITvQv/D8gq96aZbEEldpVikOXjRRujxkX0mabNvl+xqor/eLRR6HGbmG2a5Hm0nLtSH1rGG51kG&#10;grhypuVaQ/m5nS5AhIhssHNMGq4UYL16mCwxN27gPV0OsRYJwiFHDU2MPpcyVA1ZDDPniZN3cr3F&#10;mGRfS9PjkOC2kyrL5tJiy2mhQU+bhqqfw9lq+HpnX2wHWZ1uG7/7Lhbdx7k8av30OL69gog0xv/w&#10;X7swGlSmlHqB3z/pC8jVHQAA//8DAFBLAQItABQABgAIAAAAIQDb4fbL7gAAAIUBAAATAAAAAAAA&#10;AAAAAAAAAAAAAABbQ29udGVudF9UeXBlc10ueG1sUEsBAi0AFAAGAAgAAAAhAFr0LFu/AAAAFQEA&#10;AAsAAAAAAAAAAAAAAAAAHwEAAF9yZWxzLy5yZWxzUEsBAi0AFAAGAAgAAAAhANh86ynHAAAA3wAA&#10;AA8AAAAAAAAAAAAAAAAABwIAAGRycy9kb3ducmV2LnhtbFBLBQYAAAAAAwADALcAAAD7AgAAAAA=&#10;" filled="f" stroked="f">
                  <v:textbox inset="0,0,0,0">
                    <w:txbxContent>
                      <w:p w14:paraId="0AAC87A1" w14:textId="77777777" w:rsidR="00B32EF2" w:rsidRDefault="00000000">
                        <w:r>
                          <w:rPr>
                            <w:rFonts w:ascii="Arial" w:eastAsia="Arial" w:hAnsi="Arial" w:cs="Arial"/>
                            <w:i/>
                            <w:sz w:val="18"/>
                          </w:rPr>
                          <w:t>(</w:t>
                        </w:r>
                      </w:p>
                    </w:txbxContent>
                  </v:textbox>
                </v:rect>
                <v:rect id="Rectangle 22336" o:spid="_x0000_s6404" style="position:absolute;left:14686;top:17115;width:87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iJzxgAAAN4AAAAPAAAAZHJzL2Rvd25yZXYueG1sRI9Ba8JA&#10;FITvhf6H5RW81U0jiERXKYqYQy9aBY+P7DOJZt8u2dXE/npXEHocZuYbZrboTSNu1PrasoKvYQKC&#10;uLC65lLB/nf9OQHhA7LGxjIpuJOHxfz9bYaZth1v6bYLpYgQ9hkqqEJwmZS+qMigH1pHHL2TbQ2G&#10;KNtS6ha7CDeNTJNkLA3WHBcqdLSsqLjsrkbBccUuX3eyOP0t3c85nzSb6/6g1OCj/56CCNSH//Cr&#10;nWsFaToajeF5J14BOX8AAAD//wMAUEsBAi0AFAAGAAgAAAAhANvh9svuAAAAhQEAABMAAAAAAAAA&#10;AAAAAAAAAAAAAFtDb250ZW50X1R5cGVzXS54bWxQSwECLQAUAAYACAAAACEAWvQsW78AAAAVAQAA&#10;CwAAAAAAAAAAAAAAAAAfAQAAX3JlbHMvLnJlbHNQSwECLQAUAAYACAAAACEAM+Yic8YAAADeAAAA&#10;DwAAAAAAAAAAAAAAAAAHAgAAZHJzL2Rvd25yZXYueG1sUEsFBgAAAAADAAMAtwAAAPoCAAAAAA==&#10;" filled="f" stroked="f">
                  <v:textbox inset="0,0,0,0">
                    <w:txbxContent>
                      <w:p w14:paraId="6C1917F7" w14:textId="77777777" w:rsidR="00B32EF2" w:rsidRDefault="00000000">
                        <w:r>
                          <w:rPr>
                            <w:rFonts w:ascii="Arial" w:eastAsia="Arial" w:hAnsi="Arial" w:cs="Arial"/>
                            <w:b/>
                            <w:sz w:val="18"/>
                          </w:rPr>
                          <w:t>Giuramento</w:t>
                        </w:r>
                      </w:p>
                    </w:txbxContent>
                  </v:textbox>
                </v:rect>
                <v:rect id="Rectangle 202222" o:spid="_x0000_s6405" style="position:absolute;left:-13756;top:1588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E6ywwAAAN8AAAAPAAAAZHJzL2Rvd25yZXYueG1sRE9Ni8Iw&#10;FLwv+B/CE7ytqT2IVKOIIvbgZdWFPT6aZ1ttXkITbfXXbxYWnNswX8xi1ZtGPKj1tWUFk3ECgriw&#10;uuZSwfm0+5yB8AFZY2OZFDzJw2o5+Fhgpm3HX/Q4hlLEEvYZKqhCcJmUvqjIoB9bRxy1i20Nhkjb&#10;UuoWu1huGpkmyVQarDkuVOhoU1FxO96Ngp8tu3zXyeLy2rjDNZ81+/v5W6nRsF/PQQTqw9v8n861&#10;gjRJI+DvT/wCcvkLAAD//wMAUEsBAi0AFAAGAAgAAAAhANvh9svuAAAAhQEAABMAAAAAAAAAAAAA&#10;AAAAAAAAAFtDb250ZW50X1R5cGVzXS54bWxQSwECLQAUAAYACAAAACEAWvQsW78AAAAVAQAACwAA&#10;AAAAAAAAAAAAAAAfAQAAX3JlbHMvLnJlbHNQSwECLQAUAAYACAAAACEAtzBOssMAAADfAAAADwAA&#10;AAAAAAAAAAAAAAAHAgAAZHJzL2Rvd25yZXYueG1sUEsFBgAAAAADAAMAtwAAAPcCAAAAAA==&#10;" filled="f" stroked="f">
                  <v:textbox inset="0,0,0,0">
                    <w:txbxContent>
                      <w:p w14:paraId="74EC660E" w14:textId="77777777" w:rsidR="00B32EF2" w:rsidRDefault="00000000">
                        <w:r>
                          <w:rPr>
                            <w:rFonts w:ascii="Arial" w:eastAsia="Arial" w:hAnsi="Arial" w:cs="Arial"/>
                            <w:sz w:val="18"/>
                          </w:rPr>
                          <w:t xml:space="preserve">. I componenti delle corti di giustizia tributaria di primo e secondo grado, </w:t>
                        </w:r>
                      </w:p>
                    </w:txbxContent>
                  </v:textbox>
                </v:rect>
                <v:rect id="Rectangle 202221" o:spid="_x0000_s6406" style="position:absolute;left:26117;top:1588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tDFxwAAAN8AAAAPAAAAZHJzL2Rvd25yZXYueG1sRI9BawIx&#10;FITvgv8hPKE3zZpDka1RikW6h160Cj0+Ns/d1c1L2ER39debQqHHYWa+YZbrwbbiRl1oHGuYzzIQ&#10;xKUzDVcaDt/b6QJEiMgGW8ek4U4B1qvxaIm5cT3v6LaPlUgQDjlqqGP0uZShrMlimDlPnLyT6yzG&#10;JLtKmg77BLetVFn2Ki02nBZq9LSpqbzsr1bDzwf7YtvL8vTY+K9zsWg/r4ej1i+T4f0NRKQh/of/&#10;2oXRoDKl1Bx+/6QvIFdPAAAA//8DAFBLAQItABQABgAIAAAAIQDb4fbL7gAAAIUBAAATAAAAAAAA&#10;AAAAAAAAAAAAAABbQ29udGVudF9UeXBlc10ueG1sUEsBAi0AFAAGAAgAAAAhAFr0LFu/AAAAFQEA&#10;AAsAAAAAAAAAAAAAAAAAHwEAAF9yZWxzLy5yZWxzUEsBAi0AFAAGAAgAAAAhAEfi0MXHAAAA3wAA&#10;AA8AAAAAAAAAAAAAAAAABwIAAGRycy9kb3ducmV2LnhtbFBLBQYAAAAAAwADALcAAAD7AgAAAAA=&#10;" filled="f" stroked="f">
                  <v:textbox inset="0,0,0,0">
                    <w:txbxContent>
                      <w:p w14:paraId="1A42CA15" w14:textId="77777777" w:rsidR="00B32EF2" w:rsidRDefault="00000000">
                        <w:r>
                          <w:rPr>
                            <w:rFonts w:ascii="Arial" w:eastAsia="Arial" w:hAnsi="Arial" w:cs="Arial"/>
                            <w:sz w:val="18"/>
                          </w:rPr>
                          <w:t>1</w:t>
                        </w:r>
                      </w:p>
                    </w:txbxContent>
                  </v:textbox>
                </v:rect>
                <v:rect id="Rectangle 22338" o:spid="_x0000_s6407" style="position:absolute;left:-13166;top:14648;width:531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ROawwAAAN4AAAAPAAAAZHJzL2Rvd25yZXYueG1sRE9Ni8Iw&#10;EL0v+B/CCN7W1AqLVKOIIvbgZV0Fj0MzttVmEppoq79+c1jY4+N9L1a9acSTWl9bVjAZJyCIC6tr&#10;LhWcfnafMxA+IGtsLJOCF3lYLQcfC8y07fibnsdQihjCPkMFVQguk9IXFRn0Y+uII3e1rcEQYVtK&#10;3WIXw00j0yT5kgZrjg0VOtpUVNyPD6PgsmWX7zpZXN8bd7jls2b/OJ2VGg379RxEoD78i//cuVaQ&#10;ptNp3BvvxCsgl78AAAD//wMAUEsBAi0AFAAGAAgAAAAhANvh9svuAAAAhQEAABMAAAAAAAAAAAAA&#10;AAAAAAAAAFtDb250ZW50X1R5cGVzXS54bWxQSwECLQAUAAYACAAAACEAWvQsW78AAAAVAQAACwAA&#10;AAAAAAAAAAAAAAAfAQAAX3JlbHMvLnJlbHNQSwECLQAUAAYACAAAACEALTUTmsMAAADeAAAADwAA&#10;AAAAAAAAAAAAAAAHAgAAZHJzL2Rvd25yZXYueG1sUEsFBgAAAAADAAMAtwAAAPcCAAAAAA==&#10;" filled="f" stroked="f">
                  <v:textbox inset="0,0,0,0">
                    <w:txbxContent>
                      <w:p w14:paraId="6D3C70BF" w14:textId="77777777" w:rsidR="00B32EF2" w:rsidRDefault="00000000">
                        <w:r>
                          <w:rPr>
                            <w:rFonts w:ascii="Arial" w:eastAsia="Arial" w:hAnsi="Arial" w:cs="Arial"/>
                            <w:sz w:val="18"/>
                          </w:rPr>
                          <w:t xml:space="preserve">prima dell’immissione nelle loro funzioni, prestano giuramento, pronunziando </w:t>
                        </w:r>
                      </w:p>
                    </w:txbxContent>
                  </v:textbox>
                </v:rect>
                <v:rect id="Rectangle 22339" o:spid="_x0000_s6408" style="position:absolute;left:-13164;top:1341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bYBxwAAAN4AAAAPAAAAZHJzL2Rvd25yZXYueG1sRI9Pa8JA&#10;FMTvBb/D8oTedNMIotFVikWag5f6Bzw+ss8kbfbtkl1N6qd3C0KPw8z8hlmue9OIG7W+tqzgbZyA&#10;IC6srrlUcDxsRzMQPiBrbCyTgl/ysF4NXpaYadvxF932oRQRwj5DBVUILpPSFxUZ9GPriKN3sa3B&#10;EGVbSt1iF+GmkWmSTKXBmuNChY42FRU/+6tRcP5gl287WVzuG7f7zmfN5/V4Uup12L8vQATqw3/4&#10;2c61gjSdTObwdydeAbl6AAAA//8DAFBLAQItABQABgAIAAAAIQDb4fbL7gAAAIUBAAATAAAAAAAA&#10;AAAAAAAAAAAAAABbQ29udGVudF9UeXBlc10ueG1sUEsBAi0AFAAGAAgAAAAhAFr0LFu/AAAAFQEA&#10;AAsAAAAAAAAAAAAAAAAAHwEAAF9yZWxzLy5yZWxzUEsBAi0AFAAGAAgAAAAhAEJ5tgHHAAAA3gAA&#10;AA8AAAAAAAAAAAAAAAAABwIAAGRycy9kb3ducmV2LnhtbFBLBQYAAAAAAwADALcAAAD7AgAAAAA=&#10;" filled="f" stroked="f">
                  <v:textbox inset="0,0,0,0">
                    <w:txbxContent>
                      <w:p w14:paraId="17512470" w14:textId="77777777" w:rsidR="00B32EF2" w:rsidRDefault="00000000">
                        <w:r>
                          <w:rPr>
                            <w:rFonts w:ascii="Arial" w:eastAsia="Arial" w:hAnsi="Arial" w:cs="Arial"/>
                            <w:sz w:val="18"/>
                          </w:rPr>
                          <w:t xml:space="preserve">e sottoscrivendo la formula: «Giuro di essere fedele alla Repubblica italiana, </w:t>
                        </w:r>
                      </w:p>
                    </w:txbxContent>
                  </v:textbox>
                </v:rect>
                <v:rect id="Rectangle 22340" o:spid="_x0000_s6409" style="position:absolute;left:-13164;top:12182;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WzhxQAAAN4AAAAPAAAAZHJzL2Rvd25yZXYueG1sRI/LasJA&#10;FIb3Bd9hOIK7OjEtRaKjiCLNwk29gMtD5phEM2eGzGiiT99ZFLr8+W9882VvGvGg1teWFUzGCQji&#10;wuqaSwXHw/Z9CsIHZI2NZVLwJA/LxeBtjpm2Hf/QYx9KEUfYZ6igCsFlUvqiIoN+bB1x9C62NRii&#10;bEupW+ziuGlkmiRf0mDN8aFCR+uKitv+bhScN+zybSeLy2vtdtd82nzfjyelRsN+NQMRqA//4b92&#10;rhWk6cdnBIg4EQXk4hcAAP//AwBQSwECLQAUAAYACAAAACEA2+H2y+4AAACFAQAAEwAAAAAAAAAA&#10;AAAAAAAAAAAAW0NvbnRlbnRfVHlwZXNdLnhtbFBLAQItABQABgAIAAAAIQBa9CxbvwAAABUBAAAL&#10;AAAAAAAAAAAAAAAAAB8BAABfcmVscy8ucmVsc1BLAQItABQABgAIAAAAIQCLRWzhxQAAAN4AAAAP&#10;AAAAAAAAAAAAAAAAAAcCAABkcnMvZG93bnJldi54bWxQSwUGAAAAAAMAAwC3AAAA+QIAAAAA&#10;" filled="f" stroked="f">
                  <v:textbox inset="0,0,0,0">
                    <w:txbxContent>
                      <w:p w14:paraId="6B48E116" w14:textId="77777777" w:rsidR="00B32EF2" w:rsidRDefault="00000000">
                        <w:r>
                          <w:rPr>
                            <w:rFonts w:ascii="Arial" w:eastAsia="Arial" w:hAnsi="Arial" w:cs="Arial"/>
                            <w:sz w:val="18"/>
                          </w:rPr>
                          <w:t xml:space="preserve">di osservare lealmente le leggi dello Stato e di adempiere con coscienza ai </w:t>
                        </w:r>
                      </w:p>
                    </w:txbxContent>
                  </v:textbox>
                </v:rect>
                <v:rect id="Rectangle 22341" o:spid="_x0000_s6410" style="position:absolute;left:20055;top:10948;width:198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cl6xwAAAN4AAAAPAAAAZHJzL2Rvd25yZXYueG1sRI9Pa8JA&#10;FMTvgt9heYI33ZhKkdRVRJHm0Ev9Az0+ss8kbfbtkl1N7Kd3CwWPw8z8hlmue9OIG7W+tqxgNk1A&#10;EBdW11wqOB33kwUIH5A1NpZJwZ08rFfDwRIzbTv+pNshlCJC2GeooArBZVL6oiKDfmodcfQutjUY&#10;omxLqVvsItw0Mk2SV2mw5rhQoaNtRcXP4WoUfO3Y5ftOFpffrfv4zhfN+/V0Vmo86jdvIAL14Rn+&#10;b+daQZq+zGfwdydeAbl6AAAA//8DAFBLAQItABQABgAIAAAAIQDb4fbL7gAAAIUBAAATAAAAAAAA&#10;AAAAAAAAAAAAAABbQ29udGVudF9UeXBlc10ueG1sUEsBAi0AFAAGAAgAAAAhAFr0LFu/AAAAFQEA&#10;AAsAAAAAAAAAAAAAAAAAHwEAAF9yZWxzLy5yZWxzUEsBAi0AFAAGAAgAAAAhAOQJyXrHAAAA3gAA&#10;AA8AAAAAAAAAAAAAAAAABwIAAGRycy9kb3ducmV2LnhtbFBLBQYAAAAAAwADALcAAAD7AgAAAAA=&#10;" filled="f" stroked="f">
                  <v:textbox inset="0,0,0,0">
                    <w:txbxContent>
                      <w:p w14:paraId="42281129" w14:textId="77777777" w:rsidR="00B32EF2" w:rsidRDefault="00000000">
                        <w:r>
                          <w:rPr>
                            <w:rFonts w:ascii="Arial" w:eastAsia="Arial" w:hAnsi="Arial" w:cs="Arial"/>
                            <w:sz w:val="18"/>
                          </w:rPr>
                          <w:t>doveri inerenti al mio ufficio».</w:t>
                        </w:r>
                      </w:p>
                    </w:txbxContent>
                  </v:textbox>
                </v:rect>
                <v:rect id="Rectangle 202220" o:spid="_x0000_s6411" style="position:absolute;left:-12846;top:9715;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nVexQAAAN8AAAAPAAAAZHJzL2Rvd25yZXYueG1sRI/NisIw&#10;FIX3gu8Q7oA7TScLkWoUUcQu3Iyj4PLSXNvONDehibbO008WA7M8nD++1WawrXhSFxrHGt5nGQji&#10;0pmGKw2Xz8N0ASJEZIOtY9LwogCb9Xi0wty4nj/oeY6VSCMcctRQx+hzKUNZk8Uwc544eXfXWYxJ&#10;dpU0HfZp3LZSZdlcWmw4PdToaVdT+X1+WA23Pfvi0Mvy/rPzp69i0R4fl6vWk7dhuwQRaYj/4b92&#10;YTSoTCmVCBJPYgG5/gUAAP//AwBQSwECLQAUAAYACAAAACEA2+H2y+4AAACFAQAAEwAAAAAAAAAA&#10;AAAAAAAAAAAAW0NvbnRlbnRfVHlwZXNdLnhtbFBLAQItABQABgAIAAAAIQBa9CxbvwAAABUBAAAL&#10;AAAAAAAAAAAAAAAAAB8BAABfcmVscy8ucmVsc1BLAQItABQABgAIAAAAIQAornVexQAAAN8AAAAP&#10;AAAAAAAAAAAAAAAAAAcCAABkcnMvZG93bnJldi54bWxQSwUGAAAAAAMAAwC3AAAA+QIAAAAA&#10;" filled="f" stroked="f">
                  <v:textbox inset="0,0,0,0">
                    <w:txbxContent>
                      <w:p w14:paraId="74F9DD2B" w14:textId="77777777" w:rsidR="00B32EF2" w:rsidRDefault="00000000">
                        <w:r>
                          <w:rPr>
                            <w:rFonts w:ascii="Arial" w:eastAsia="Arial" w:hAnsi="Arial" w:cs="Arial"/>
                            <w:sz w:val="18"/>
                          </w:rPr>
                          <w:t>. I presidenti delle corti di giustizia tributaria di secondo grado prestano giu</w:t>
                        </w:r>
                      </w:p>
                    </w:txbxContent>
                  </v:textbox>
                </v:rect>
                <v:rect id="Rectangle 202219" o:spid="_x0000_s6412" style="position:absolute;left:26356;top:9715;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Z+xwAAAN8AAAAPAAAAZHJzL2Rvd25yZXYueG1sRI9Ba8JA&#10;FITvBf/D8gRvdWMOotFVRBFz6KVqocdH9plEs2+X7GrS/vpuQfA4zMw3zHLdm0Y8qPW1ZQWTcQKC&#10;uLC65lLB+bR/n4HwAVljY5kU/JCH9WrwtsRM244/6XEMpYgQ9hkqqEJwmZS+qMigH1tHHL2LbQ2G&#10;KNtS6ha7CDeNTJNkKg3WHBcqdLStqLgd70bB945dvu9kcfnduo9rPmsO9/OXUqNhv1mACNSHV/jZ&#10;zrWCNEnTyRz+/8QvIFd/AAAA//8DAFBLAQItABQABgAIAAAAIQDb4fbL7gAAAIUBAAATAAAAAAAA&#10;AAAAAAAAAAAAAABbQ29udGVudF9UeXBlc10ueG1sUEsBAi0AFAAGAAgAAAAhAFr0LFu/AAAAFQEA&#10;AAsAAAAAAAAAAAAAAAAAHwEAAF9yZWxzLy5yZWxzUEsBAi0AFAAGAAgAAAAhAHf4Fn7HAAAA3wAA&#10;AA8AAAAAAAAAAAAAAAAABwIAAGRycy9kb3ducmV2LnhtbFBLBQYAAAAAAwADALcAAAD7AgAAAAA=&#10;" filled="f" stroked="f">
                  <v:textbox inset="0,0,0,0">
                    <w:txbxContent>
                      <w:p w14:paraId="05D5F3C9" w14:textId="77777777" w:rsidR="00B32EF2" w:rsidRDefault="00000000">
                        <w:r>
                          <w:rPr>
                            <w:rFonts w:ascii="Arial" w:eastAsia="Arial" w:hAnsi="Arial" w:cs="Arial"/>
                            <w:sz w:val="18"/>
                          </w:rPr>
                          <w:t>2</w:t>
                        </w:r>
                      </w:p>
                    </w:txbxContent>
                  </v:textbox>
                </v:rect>
                <v:rect id="Rectangle 22343" o:spid="_x0000_s6413" style="position:absolute;left:199;top:9715;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KWxwAAAN4AAAAPAAAAZHJzL2Rvd25yZXYueG1sRI9Pa8JA&#10;FMTvBb/D8oTe6qZRikRXKRZpDl78Bx4f2WeSNvt2ya4m9dO7QsHjMDO/YebL3jTiSq2vLSt4HyUg&#10;iAuray4VHPbrtykIH5A1NpZJwR95WC4GL3PMtO14S9ddKEWEsM9QQRWCy6T0RUUG/cg64uidbWsw&#10;RNmWUrfYRbhpZJokH9JgzXGhQkeriorf3cUoOH2xy9edLM63ldv85NPm+3I4KvU67D9nIAL14Rn+&#10;b+daQZqOJ2N43IlXQC7uAAAA//8DAFBLAQItABQABgAIAAAAIQDb4fbL7gAAAIUBAAATAAAAAAAA&#10;AAAAAAAAAAAAAABbQ29udGVudF9UeXBlc10ueG1sUEsBAi0AFAAGAAgAAAAhAFr0LFu/AAAAFQEA&#10;AAsAAAAAAAAAAAAAAAAAHwEAAF9yZWxzLy5yZWxzUEsBAi0AFAAGAAgAAAAhAHuX8pbHAAAA3gAA&#10;AA8AAAAAAAAAAAAAAAAABwIAAGRycy9kb3ducmV2LnhtbFBLBQYAAAAAAwADALcAAAD7AgAAAAA=&#10;" filled="f" stroked="f">
                  <v:textbox inset="0,0,0,0">
                    <w:txbxContent>
                      <w:p w14:paraId="2E0E6E59" w14:textId="77777777" w:rsidR="00B32EF2" w:rsidRDefault="00000000">
                        <w:r>
                          <w:rPr>
                            <w:rFonts w:ascii="Arial" w:eastAsia="Arial" w:hAnsi="Arial" w:cs="Arial"/>
                            <w:sz w:val="18"/>
                          </w:rPr>
                          <w:t>-</w:t>
                        </w:r>
                      </w:p>
                    </w:txbxContent>
                  </v:textbox>
                </v:rect>
                <v:rect id="Rectangle 22344" o:spid="_x0000_s6414" style="position:absolute;left:560;top:8482;width:393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mrixwAAAN4AAAAPAAAAZHJzL2Rvd25yZXYueG1sRI9Pa8JA&#10;FMTvgt9heYI33TRKkegqxSLNoRf/gcdH9pmkzb5dsqtJ++m7QsHjMDO/YVab3jTiTq2vLSt4mSYg&#10;iAuray4VnI67yQKED8gaG8uk4Ic8bNbDwQozbTve0/0QShEh7DNUUIXgMil9UZFBP7WOOHpX2xoM&#10;Ubal1C12EW4amSbJqzRYc1yo0NG2ouL7cDMKLu/s8l0ni+vv1n1+5Yvm43Y6KzUe9W9LEIH68Az/&#10;t3OtIE1n8zk87sQrINd/AAAA//8DAFBLAQItABQABgAIAAAAIQDb4fbL7gAAAIUBAAATAAAAAAAA&#10;AAAAAAAAAAAAAABbQ29udGVudF9UeXBlc10ueG1sUEsBAi0AFAAGAAgAAAAhAFr0LFu/AAAAFQEA&#10;AAsAAAAAAAAAAAAAAAAAHwEAAF9yZWxzLy5yZWxzUEsBAi0AFAAGAAgAAAAhAPR+auLHAAAA3gAA&#10;AA8AAAAAAAAAAAAAAAAABwIAAGRycy9kb3ducmV2LnhtbFBLBQYAAAAAAwADALcAAAD7AgAAAAA=&#10;" filled="f" stroked="f">
                  <v:textbox inset="0,0,0,0">
                    <w:txbxContent>
                      <w:p w14:paraId="396975D9" w14:textId="77777777" w:rsidR="00B32EF2" w:rsidRDefault="00000000">
                        <w:r>
                          <w:rPr>
                            <w:rFonts w:ascii="Arial" w:eastAsia="Arial" w:hAnsi="Arial" w:cs="Arial"/>
                            <w:sz w:val="18"/>
                          </w:rPr>
                          <w:t>ramento dinanzi al presidente del Consiglio di presidenza.</w:t>
                        </w:r>
                      </w:p>
                    </w:txbxContent>
                  </v:textbox>
                </v:rect>
                <v:rect id="Rectangle 202217" o:spid="_x0000_s6415" style="position:absolute;left:26356;top:7248;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yeXxwAAAN8AAAAPAAAAZHJzL2Rvd25yZXYueG1sRI9Ba8JA&#10;FITvgv9heYI33ZiDlegqoog5eKm10OMj+0yi2bdLdjWxv75bKPQ4zMw3zGrTm0Y8qfW1ZQWzaQKC&#10;uLC65lLB5eMwWYDwAVljY5kUvMjDZj0crDDTtuN3ep5DKSKEfYYKqhBcJqUvKjLop9YRR+9qW4Mh&#10;yraUusUuwk0j0ySZS4M1x4UKHe0qKu7nh1HwtWeXHzpZXL937nTLF83xcflUajzqt0sQgfrwH/5r&#10;51pBmqTp7A1+/8QvINc/AAAA//8DAFBLAQItABQABgAIAAAAIQDb4fbL7gAAAIUBAAATAAAAAAAA&#10;AAAAAAAAAAAAAABbQ29udGVudF9UeXBlc10ueG1sUEsBAi0AFAAGAAgAAAAhAFr0LFu/AAAAFQEA&#10;AAsAAAAAAAAAAAAAAAAAHwEAAF9yZWxzLy5yZWxzUEsBAi0AFAAGAAgAAAAhAGkrJ5fHAAAA3wAA&#10;AA8AAAAAAAAAAAAAAAAABwIAAGRycy9kb3ducmV2LnhtbFBLBQYAAAAAAwADALcAAAD7AgAAAAA=&#10;" filled="f" stroked="f">
                  <v:textbox inset="0,0,0,0">
                    <w:txbxContent>
                      <w:p w14:paraId="6DCCBD4C" w14:textId="77777777" w:rsidR="00B32EF2" w:rsidRDefault="00000000">
                        <w:r>
                          <w:rPr>
                            <w:rFonts w:ascii="Arial" w:eastAsia="Arial" w:hAnsi="Arial" w:cs="Arial"/>
                            <w:sz w:val="18"/>
                          </w:rPr>
                          <w:t>3</w:t>
                        </w:r>
                      </w:p>
                    </w:txbxContent>
                  </v:textbox>
                </v:rect>
                <v:rect id="Rectangle 202218" o:spid="_x0000_s6416" style="position:absolute;left:-12847;top:7248;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PlxQAAAN8AAAAPAAAAZHJzL2Rvd25yZXYueG1sRE+7asMw&#10;FN0L+QdxA9kaOR5KcKOEkmDioUvcFDperBvbrXUlLPmRfH01FDoeznt3mE0nRup9a1nBZp2AIK6s&#10;brlWcP3In7cgfEDW2FkmBXfycNgvnnaYaTvxhcYy1CKGsM9QQROCy6T0VUMG/do64sjdbG8wRNjX&#10;Uvc4xXDTyTRJXqTBlmNDg46ODVU/5WAUfJ3YFfkkq9vj6N6/i213Hq6fSq2W89sriEBz+Bf/uQut&#10;IE3SdBMHxz/xC8j9LwAAAP//AwBQSwECLQAUAAYACAAAACEA2+H2y+4AAACFAQAAEwAAAAAAAAAA&#10;AAAAAAAAAAAAW0NvbnRlbnRfVHlwZXNdLnhtbFBLAQItABQABgAIAAAAIQBa9CxbvwAAABUBAAAL&#10;AAAAAAAAAAAAAAAAAB8BAABfcmVscy8ucmVsc1BLAQItABQABgAIAAAAIQAYtLPlxQAAAN8AAAAP&#10;AAAAAAAAAAAAAAAAAAcCAABkcnMvZG93bnJldi54bWxQSwUGAAAAAAMAAwC3AAAA+QIAAAAA&#10;" filled="f" stroked="f">
                  <v:textbox inset="0,0,0,0">
                    <w:txbxContent>
                      <w:p w14:paraId="6E434480" w14:textId="77777777" w:rsidR="00B32EF2" w:rsidRDefault="00000000">
                        <w:r>
                          <w:rPr>
                            <w:rFonts w:ascii="Arial" w:eastAsia="Arial" w:hAnsi="Arial" w:cs="Arial"/>
                            <w:sz w:val="18"/>
                          </w:rPr>
                          <w:t>. I presidenti delle corti di giustizia tributaria di primo grado prestano giura</w:t>
                        </w:r>
                      </w:p>
                    </w:txbxContent>
                  </v:textbox>
                </v:rect>
                <v:rect id="Rectangle 22346" o:spid="_x0000_s6417" style="position:absolute;left:199;top:7248;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FEOxwAAAN4AAAAPAAAAZHJzL2Rvd25yZXYueG1sRI9Pa8JA&#10;FMTvgt9heYI33TQWkegqxSLNoZf6Bzw+ss8kbfbtkl1N2k/fFQSPw8z8hlltetOIG7W+tqzgZZqA&#10;IC6srrlUcDzsJgsQPiBrbCyTgl/ysFkPByvMtO34i277UIoIYZ+hgioEl0npi4oM+ql1xNG72NZg&#10;iLItpW6xi3DTyDRJ5tJgzXGhQkfbioqf/dUoOL+zy3edLC5/W/f5nS+aj+vxpNR41L8tQQTqwzP8&#10;aOdaQZrOXudwvxOvgFz/AwAA//8DAFBLAQItABQABgAIAAAAIQDb4fbL7gAAAIUBAAATAAAAAAAA&#10;AAAAAAAAAAAAAABbQ29udGVudF9UeXBlc10ueG1sUEsBAi0AFAAGAAgAAAAhAFr0LFu/AAAAFQEA&#10;AAsAAAAAAAAAAAAAAAAAHwEAAF9yZWxzLy5yZWxzUEsBAi0AFAAGAAgAAAAhAGvgUQ7HAAAA3gAA&#10;AA8AAAAAAAAAAAAAAAAABwIAAGRycy9kb3ducmV2LnhtbFBLBQYAAAAAAwADALcAAAD7AgAAAAA=&#10;" filled="f" stroked="f">
                  <v:textbox inset="0,0,0,0">
                    <w:txbxContent>
                      <w:p w14:paraId="34F8C1D5" w14:textId="77777777" w:rsidR="00B32EF2" w:rsidRDefault="00000000">
                        <w:r>
                          <w:rPr>
                            <w:rFonts w:ascii="Arial" w:eastAsia="Arial" w:hAnsi="Arial" w:cs="Arial"/>
                            <w:sz w:val="18"/>
                          </w:rPr>
                          <w:t>-</w:t>
                        </w:r>
                      </w:p>
                    </w:txbxContent>
                  </v:textbox>
                </v:rect>
                <v:rect id="Rectangle 22347" o:spid="_x0000_s6418" style="position:absolute;left:-13164;top:601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PSVxwAAAN4AAAAPAAAAZHJzL2Rvd25yZXYueG1sRI9Ba8JA&#10;FITvgv9heUJvumkqraSuIoo0h160KfT4yD6TtNm3S3Y1qb++KxQ8DjPzDbNcD6YVF+p8Y1nB4ywB&#10;QVxa3XCloPjYTxcgfEDW2FomBb/kYb0aj5aYadvzgS7HUIkIYZ+hgjoEl0npy5oM+pl1xNE72c5g&#10;iLKrpO6wj3DTyjRJnqXBhuNCjY62NZU/x7NR8LVjl+97WZ6uW/f+nS/at3PxqdTDZNi8ggg0hHv4&#10;v51rBWn6NH+B2514BeTqDwAA//8DAFBLAQItABQABgAIAAAAIQDb4fbL7gAAAIUBAAATAAAAAAAA&#10;AAAAAAAAAAAAAABbQ29udGVudF9UeXBlc10ueG1sUEsBAi0AFAAGAAgAAAAhAFr0LFu/AAAAFQEA&#10;AAsAAAAAAAAAAAAAAAAAHwEAAF9yZWxzLy5yZWxzUEsBAi0AFAAGAAgAAAAhAASs9JXHAAAA3gAA&#10;AA8AAAAAAAAAAAAAAAAABwIAAGRycy9kb3ducmV2LnhtbFBLBQYAAAAAAwADALcAAAD7AgAAAAA=&#10;" filled="f" stroked="f">
                  <v:textbox inset="0,0,0,0">
                    <w:txbxContent>
                      <w:p w14:paraId="58611E2F" w14:textId="77777777" w:rsidR="00B32EF2" w:rsidRDefault="00000000">
                        <w:r>
                          <w:rPr>
                            <w:rFonts w:ascii="Arial" w:eastAsia="Arial" w:hAnsi="Arial" w:cs="Arial"/>
                            <w:sz w:val="18"/>
                          </w:rPr>
                          <w:t xml:space="preserve">mento dinanzi al presidente della corte di giustizia tributaria di secondo grado </w:t>
                        </w:r>
                      </w:p>
                    </w:txbxContent>
                  </v:textbox>
                </v:rect>
                <v:rect id="Rectangle 22348" o:spid="_x0000_s6419" style="position:absolute;left:-12742;top:4782;width:526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2DnxAAAAN4AAAAPAAAAZHJzL2Rvd25yZXYueG1sRE/LisIw&#10;FN0P+A/hCu7G1M4wSDWKKDJduBkf4PLSXNtqcxOaaKtfP1kMzPJw3vNlbxrxoNbXlhVMxgkI4sLq&#10;mksFx8P2fQrCB2SNjWVS8CQPy8XgbY6Zth3/0GMfShFD2GeooArBZVL6oiKDfmwdceQutjUYImxL&#10;qVvsYrhpZJokX9JgzbGhQkfriorb/m4UnDfs8m0ni8tr7XbXfNp8348npUbDfjUDEagP/+I/d64V&#10;pOnHZ9wb78QrIBe/AAAA//8DAFBLAQItABQABgAIAAAAIQDb4fbL7gAAAIUBAAATAAAAAAAAAAAA&#10;AAAAAAAAAABbQ29udGVudF9UeXBlc10ueG1sUEsBAi0AFAAGAAgAAAAhAFr0LFu/AAAAFQEAAAsA&#10;AAAAAAAAAAAAAAAAHwEAAF9yZWxzLy5yZWxzUEsBAi0AFAAGAAgAAAAhAHUzYOfEAAAA3gAAAA8A&#10;AAAAAAAAAAAAAAAABwIAAGRycy9kb3ducmV2LnhtbFBLBQYAAAAAAwADALcAAAD4AgAAAAA=&#10;" filled="f" stroked="f">
                  <v:textbox inset="0,0,0,0">
                    <w:txbxContent>
                      <w:p w14:paraId="60998E4E" w14:textId="77777777" w:rsidR="00B32EF2" w:rsidRDefault="00000000">
                        <w:r>
                          <w:rPr>
                            <w:rFonts w:ascii="Arial" w:eastAsia="Arial" w:hAnsi="Arial" w:cs="Arial"/>
                            <w:sz w:val="18"/>
                          </w:rPr>
                          <w:t>nella cui circoscrizione ha sede la corte di giustizia tributaria cui sono destinati.</w:t>
                        </w:r>
                      </w:p>
                    </w:txbxContent>
                  </v:textbox>
                </v:rect>
                <w10:anchorlock/>
              </v:group>
            </w:pict>
          </mc:Fallback>
        </mc:AlternateContent>
      </w:r>
    </w:p>
    <w:p w14:paraId="03410D1B" w14:textId="77777777" w:rsidR="00B32EF2" w:rsidRDefault="00000000">
      <w:pPr>
        <w:spacing w:after="0"/>
        <w:ind w:left="-357" w:right="-306"/>
      </w:pPr>
      <w:r>
        <w:rPr>
          <w:noProof/>
        </w:rPr>
        <w:lastRenderedPageBreak/>
        <mc:AlternateContent>
          <mc:Choice Requires="wpg">
            <w:drawing>
              <wp:inline distT="0" distB="0" distL="0" distR="0" wp14:anchorId="3275D9AB" wp14:editId="6E2C4764">
                <wp:extent cx="3992030" cy="6262854"/>
                <wp:effectExtent l="0" t="0" r="0" b="0"/>
                <wp:docPr id="202291" name="Group 202291"/>
                <wp:cNvGraphicFramePr/>
                <a:graphic xmlns:a="http://schemas.openxmlformats.org/drawingml/2006/main">
                  <a:graphicData uri="http://schemas.microsoft.com/office/word/2010/wordprocessingGroup">
                    <wpg:wgp>
                      <wpg:cNvGrpSpPr/>
                      <wpg:grpSpPr>
                        <a:xfrm>
                          <a:off x="0" y="0"/>
                          <a:ext cx="3992030" cy="6262854"/>
                          <a:chOff x="0" y="0"/>
                          <a:chExt cx="3992030" cy="6262854"/>
                        </a:xfrm>
                      </wpg:grpSpPr>
                      <wps:wsp>
                        <wps:cNvPr id="22434" name="Rectangle 22434"/>
                        <wps:cNvSpPr/>
                        <wps:spPr>
                          <a:xfrm rot="-10799999">
                            <a:off x="1900762" y="-62190"/>
                            <a:ext cx="178369" cy="250646"/>
                          </a:xfrm>
                          <a:prstGeom prst="rect">
                            <a:avLst/>
                          </a:prstGeom>
                          <a:ln>
                            <a:noFill/>
                          </a:ln>
                        </wps:spPr>
                        <wps:txbx>
                          <w:txbxContent>
                            <w:p w14:paraId="42333540" w14:textId="77777777" w:rsidR="00B32EF2" w:rsidRDefault="00000000">
                              <w:r>
                                <w:rPr>
                                  <w:rFonts w:ascii="Times New Roman" w:eastAsia="Times New Roman" w:hAnsi="Times New Roman" w:cs="Times New Roman"/>
                                </w:rPr>
                                <w:t>24</w:t>
                              </w:r>
                            </w:p>
                          </w:txbxContent>
                        </wps:txbx>
                        <wps:bodyPr horzOverflow="overflow" vert="horz" lIns="0" tIns="0" rIns="0" bIns="0" rtlCol="0">
                          <a:noAutofit/>
                        </wps:bodyPr>
                      </wps:wsp>
                      <wps:wsp>
                        <wps:cNvPr id="22435" name="Rectangle 22435"/>
                        <wps:cNvSpPr/>
                        <wps:spPr>
                          <a:xfrm rot="-10799999">
                            <a:off x="1511554" y="6119965"/>
                            <a:ext cx="803238" cy="142889"/>
                          </a:xfrm>
                          <a:prstGeom prst="rect">
                            <a:avLst/>
                          </a:prstGeom>
                          <a:ln>
                            <a:noFill/>
                          </a:ln>
                        </wps:spPr>
                        <wps:txbx>
                          <w:txbxContent>
                            <w:p w14:paraId="18E8BE53" w14:textId="77777777" w:rsidR="00B32EF2" w:rsidRDefault="00000000">
                              <w:r>
                                <w:rPr>
                                  <w:rFonts w:ascii="Arial" w:eastAsia="Arial" w:hAnsi="Arial" w:cs="Arial"/>
                                  <w:b/>
                                  <w:sz w:val="18"/>
                                </w:rPr>
                                <w:t>Articolo 14</w:t>
                              </w:r>
                            </w:p>
                          </w:txbxContent>
                        </wps:txbx>
                        <wps:bodyPr horzOverflow="overflow" vert="horz" lIns="0" tIns="0" rIns="0" bIns="0" rtlCol="0">
                          <a:noAutofit/>
                        </wps:bodyPr>
                      </wps:wsp>
                      <wps:wsp>
                        <wps:cNvPr id="202249" name="Rectangle 202249"/>
                        <wps:cNvSpPr/>
                        <wps:spPr>
                          <a:xfrm rot="-10799999">
                            <a:off x="1216692" y="5996635"/>
                            <a:ext cx="1857430" cy="142890"/>
                          </a:xfrm>
                          <a:prstGeom prst="rect">
                            <a:avLst/>
                          </a:prstGeom>
                          <a:ln>
                            <a:noFill/>
                          </a:ln>
                        </wps:spPr>
                        <wps:txbx>
                          <w:txbxContent>
                            <w:p w14:paraId="567E3480" w14:textId="77777777" w:rsidR="00B32EF2" w:rsidRDefault="00000000">
                              <w:r>
                                <w:rPr>
                                  <w:rFonts w:ascii="Arial" w:eastAsia="Arial" w:hAnsi="Arial" w:cs="Arial"/>
                                  <w:i/>
                                  <w:sz w:val="18"/>
                                </w:rPr>
                                <w:t xml:space="preserve">articolo 8 D.lgs. n. </w:t>
                              </w:r>
                            </w:p>
                          </w:txbxContent>
                        </wps:txbx>
                        <wps:bodyPr horzOverflow="overflow" vert="horz" lIns="0" tIns="0" rIns="0" bIns="0" rtlCol="0">
                          <a:noAutofit/>
                        </wps:bodyPr>
                      </wps:wsp>
                      <wps:wsp>
                        <wps:cNvPr id="202247" name="Rectangle 202247"/>
                        <wps:cNvSpPr/>
                        <wps:spPr>
                          <a:xfrm rot="-10799999">
                            <a:off x="2211457" y="5996635"/>
                            <a:ext cx="1857430" cy="142890"/>
                          </a:xfrm>
                          <a:prstGeom prst="rect">
                            <a:avLst/>
                          </a:prstGeom>
                          <a:ln>
                            <a:noFill/>
                          </a:ln>
                        </wps:spPr>
                        <wps:txbx>
                          <w:txbxContent>
                            <w:p w14:paraId="198CCA1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248" name="Rectangle 202248"/>
                        <wps:cNvSpPr/>
                        <wps:spPr>
                          <a:xfrm rot="-10799999">
                            <a:off x="-144711" y="5996635"/>
                            <a:ext cx="1857430" cy="142890"/>
                          </a:xfrm>
                          <a:prstGeom prst="rect">
                            <a:avLst/>
                          </a:prstGeom>
                          <a:ln>
                            <a:noFill/>
                          </a:ln>
                        </wps:spPr>
                        <wps:txbx>
                          <w:txbxContent>
                            <w:p w14:paraId="0C62C5FC"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2437" name="Rectangle 22437"/>
                        <wps:cNvSpPr/>
                        <wps:spPr>
                          <a:xfrm rot="-10799999">
                            <a:off x="1281624" y="5873305"/>
                            <a:ext cx="1145068" cy="142889"/>
                          </a:xfrm>
                          <a:prstGeom prst="rect">
                            <a:avLst/>
                          </a:prstGeom>
                          <a:ln>
                            <a:noFill/>
                          </a:ln>
                        </wps:spPr>
                        <wps:txbx>
                          <w:txbxContent>
                            <w:p w14:paraId="1B974E02" w14:textId="77777777" w:rsidR="00B32EF2" w:rsidRDefault="00000000">
                              <w:r>
                                <w:rPr>
                                  <w:rFonts w:ascii="Arial" w:eastAsia="Arial" w:hAnsi="Arial" w:cs="Arial"/>
                                  <w:b/>
                                  <w:sz w:val="18"/>
                                </w:rPr>
                                <w:t xml:space="preserve">Incompatibilità </w:t>
                              </w:r>
                            </w:p>
                          </w:txbxContent>
                        </wps:txbx>
                        <wps:bodyPr horzOverflow="overflow" vert="horz" lIns="0" tIns="0" rIns="0" bIns="0" rtlCol="0">
                          <a:noAutofit/>
                        </wps:bodyPr>
                      </wps:wsp>
                      <wps:wsp>
                        <wps:cNvPr id="202245" name="Rectangle 202245"/>
                        <wps:cNvSpPr/>
                        <wps:spPr>
                          <a:xfrm rot="-10799999">
                            <a:off x="2611208" y="5749976"/>
                            <a:ext cx="5309006" cy="142889"/>
                          </a:xfrm>
                          <a:prstGeom prst="rect">
                            <a:avLst/>
                          </a:prstGeom>
                          <a:ln>
                            <a:noFill/>
                          </a:ln>
                        </wps:spPr>
                        <wps:txbx>
                          <w:txbxContent>
                            <w:p w14:paraId="6E214FB2"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2246" name="Rectangle 202246"/>
                        <wps:cNvSpPr/>
                        <wps:spPr>
                          <a:xfrm rot="-10799999">
                            <a:off x="-1376159" y="5749976"/>
                            <a:ext cx="5309006" cy="142889"/>
                          </a:xfrm>
                          <a:prstGeom prst="rect">
                            <a:avLst/>
                          </a:prstGeom>
                          <a:ln>
                            <a:noFill/>
                          </a:ln>
                        </wps:spPr>
                        <wps:txbx>
                          <w:txbxContent>
                            <w:p w14:paraId="5C65DBB9" w14:textId="77777777" w:rsidR="00B32EF2" w:rsidRDefault="00000000">
                              <w:r>
                                <w:rPr>
                                  <w:rFonts w:ascii="Arial" w:eastAsia="Arial" w:hAnsi="Arial" w:cs="Arial"/>
                                  <w:sz w:val="18"/>
                                </w:rPr>
                                <w:t xml:space="preserve">. Ai magistrati tributari reclutati ai sensi dell’articolo 5 si applicano, in quanto </w:t>
                              </w:r>
                            </w:p>
                          </w:txbxContent>
                        </wps:txbx>
                        <wps:bodyPr horzOverflow="overflow" vert="horz" lIns="0" tIns="0" rIns="0" bIns="0" rtlCol="0">
                          <a:noAutofit/>
                        </wps:bodyPr>
                      </wps:wsp>
                      <wps:wsp>
                        <wps:cNvPr id="22439" name="Rectangle 22439"/>
                        <wps:cNvSpPr/>
                        <wps:spPr>
                          <a:xfrm rot="-10799999">
                            <a:off x="-1220685" y="5626646"/>
                            <a:ext cx="5212716" cy="142889"/>
                          </a:xfrm>
                          <a:prstGeom prst="rect">
                            <a:avLst/>
                          </a:prstGeom>
                          <a:ln>
                            <a:noFill/>
                          </a:ln>
                        </wps:spPr>
                        <wps:txbx>
                          <w:txbxContent>
                            <w:p w14:paraId="22DE512E" w14:textId="77777777" w:rsidR="00B32EF2" w:rsidRDefault="00000000">
                              <w:r>
                                <w:rPr>
                                  <w:rFonts w:ascii="Arial" w:eastAsia="Arial" w:hAnsi="Arial" w:cs="Arial"/>
                                  <w:sz w:val="18"/>
                                </w:rPr>
                                <w:t>compatibili, le disposizioni contenute, nel titolo I, capo II, dell’ordinamento giu</w:t>
                              </w:r>
                            </w:p>
                          </w:txbxContent>
                        </wps:txbx>
                        <wps:bodyPr horzOverflow="overflow" vert="horz" lIns="0" tIns="0" rIns="0" bIns="0" rtlCol="0">
                          <a:noAutofit/>
                        </wps:bodyPr>
                      </wps:wsp>
                      <wps:wsp>
                        <wps:cNvPr id="22440" name="Rectangle 22440"/>
                        <wps:cNvSpPr/>
                        <wps:spPr>
                          <a:xfrm rot="-10799999">
                            <a:off x="19432" y="5626646"/>
                            <a:ext cx="50622" cy="142889"/>
                          </a:xfrm>
                          <a:prstGeom prst="rect">
                            <a:avLst/>
                          </a:prstGeom>
                          <a:ln>
                            <a:noFill/>
                          </a:ln>
                        </wps:spPr>
                        <wps:txbx>
                          <w:txbxContent>
                            <w:p w14:paraId="4CCEE09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441" name="Rectangle 22441"/>
                        <wps:cNvSpPr/>
                        <wps:spPr>
                          <a:xfrm rot="-10799999">
                            <a:off x="288453" y="5503316"/>
                            <a:ext cx="3703579" cy="142889"/>
                          </a:xfrm>
                          <a:prstGeom prst="rect">
                            <a:avLst/>
                          </a:prstGeom>
                          <a:ln>
                            <a:noFill/>
                          </a:ln>
                        </wps:spPr>
                        <wps:txbx>
                          <w:txbxContent>
                            <w:p w14:paraId="581F2427" w14:textId="77777777" w:rsidR="00B32EF2" w:rsidRDefault="00000000">
                              <w:r>
                                <w:rPr>
                                  <w:rFonts w:ascii="Arial" w:eastAsia="Arial" w:hAnsi="Arial" w:cs="Arial"/>
                                  <w:sz w:val="18"/>
                                </w:rPr>
                                <w:t xml:space="preserve">diziario, di cui al regio decreto 30 gennaio 1941, n. 12. </w:t>
                              </w:r>
                            </w:p>
                          </w:txbxContent>
                        </wps:txbx>
                        <wps:bodyPr horzOverflow="overflow" vert="horz" lIns="0" tIns="0" rIns="0" bIns="0" rtlCol="0">
                          <a:noAutofit/>
                        </wps:bodyPr>
                      </wps:wsp>
                      <wps:wsp>
                        <wps:cNvPr id="202243" name="Rectangle 202243"/>
                        <wps:cNvSpPr/>
                        <wps:spPr>
                          <a:xfrm rot="-10799999">
                            <a:off x="2610922" y="5379987"/>
                            <a:ext cx="5310161" cy="142889"/>
                          </a:xfrm>
                          <a:prstGeom prst="rect">
                            <a:avLst/>
                          </a:prstGeom>
                          <a:ln>
                            <a:noFill/>
                          </a:ln>
                        </wps:spPr>
                        <wps:txbx>
                          <w:txbxContent>
                            <w:p w14:paraId="45BA7951"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2244" name="Rectangle 202244"/>
                        <wps:cNvSpPr/>
                        <wps:spPr>
                          <a:xfrm rot="-10799999">
                            <a:off x="-1382114" y="5379987"/>
                            <a:ext cx="5310161" cy="142889"/>
                          </a:xfrm>
                          <a:prstGeom prst="rect">
                            <a:avLst/>
                          </a:prstGeom>
                          <a:ln>
                            <a:noFill/>
                          </a:ln>
                        </wps:spPr>
                        <wps:txbx>
                          <w:txbxContent>
                            <w:p w14:paraId="57EA69BB" w14:textId="77777777" w:rsidR="00B32EF2" w:rsidRDefault="00000000">
                              <w:r>
                                <w:rPr>
                                  <w:rFonts w:ascii="Arial" w:eastAsia="Arial" w:hAnsi="Arial" w:cs="Arial"/>
                                  <w:sz w:val="18"/>
                                </w:rPr>
                                <w:t xml:space="preserve">. Non possono essere componenti delle corti di giustizia tributaria di primo e </w:t>
                              </w:r>
                            </w:p>
                          </w:txbxContent>
                        </wps:txbx>
                        <wps:bodyPr horzOverflow="overflow" vert="horz" lIns="0" tIns="0" rIns="0" bIns="0" rtlCol="0">
                          <a:noAutofit/>
                        </wps:bodyPr>
                      </wps:wsp>
                      <wps:wsp>
                        <wps:cNvPr id="22443" name="Rectangle 22443"/>
                        <wps:cNvSpPr/>
                        <wps:spPr>
                          <a:xfrm rot="-10799999">
                            <a:off x="-1316974" y="5256657"/>
                            <a:ext cx="5309006" cy="142889"/>
                          </a:xfrm>
                          <a:prstGeom prst="rect">
                            <a:avLst/>
                          </a:prstGeom>
                          <a:ln>
                            <a:noFill/>
                          </a:ln>
                        </wps:spPr>
                        <wps:txbx>
                          <w:txbxContent>
                            <w:p w14:paraId="79D3F8E6" w14:textId="77777777" w:rsidR="00B32EF2" w:rsidRDefault="00000000">
                              <w:r>
                                <w:rPr>
                                  <w:rFonts w:ascii="Arial" w:eastAsia="Arial" w:hAnsi="Arial" w:cs="Arial"/>
                                  <w:sz w:val="18"/>
                                </w:rPr>
                                <w:t xml:space="preserve">secondo grado, finché permangono in attività di servizio o nell’esercizio delle </w:t>
                              </w:r>
                            </w:p>
                          </w:txbxContent>
                        </wps:txbx>
                        <wps:bodyPr horzOverflow="overflow" vert="horz" lIns="0" tIns="0" rIns="0" bIns="0" rtlCol="0">
                          <a:noAutofit/>
                        </wps:bodyPr>
                      </wps:wsp>
                      <wps:wsp>
                        <wps:cNvPr id="22444" name="Rectangle 22444"/>
                        <wps:cNvSpPr/>
                        <wps:spPr>
                          <a:xfrm rot="-10799999">
                            <a:off x="1229481" y="5133327"/>
                            <a:ext cx="2762551" cy="142889"/>
                          </a:xfrm>
                          <a:prstGeom prst="rect">
                            <a:avLst/>
                          </a:prstGeom>
                          <a:ln>
                            <a:noFill/>
                          </a:ln>
                        </wps:spPr>
                        <wps:txbx>
                          <w:txbxContent>
                            <w:p w14:paraId="318CDA32" w14:textId="77777777" w:rsidR="00B32EF2" w:rsidRDefault="00000000">
                              <w:r>
                                <w:rPr>
                                  <w:rFonts w:ascii="Arial" w:eastAsia="Arial" w:hAnsi="Arial" w:cs="Arial"/>
                                  <w:sz w:val="18"/>
                                </w:rPr>
                                <w:t>rispettive funzioni o attività professionali:</w:t>
                              </w:r>
                            </w:p>
                          </w:txbxContent>
                        </wps:txbx>
                        <wps:bodyPr horzOverflow="overflow" vert="horz" lIns="0" tIns="0" rIns="0" bIns="0" rtlCol="0">
                          <a:noAutofit/>
                        </wps:bodyPr>
                      </wps:wsp>
                      <wps:wsp>
                        <wps:cNvPr id="22445" name="Rectangle 22445"/>
                        <wps:cNvSpPr/>
                        <wps:spPr>
                          <a:xfrm rot="-10799999">
                            <a:off x="-393519" y="5009998"/>
                            <a:ext cx="4385551" cy="142889"/>
                          </a:xfrm>
                          <a:prstGeom prst="rect">
                            <a:avLst/>
                          </a:prstGeom>
                          <a:ln>
                            <a:noFill/>
                          </a:ln>
                        </wps:spPr>
                        <wps:txbx>
                          <w:txbxContent>
                            <w:p w14:paraId="019CB372" w14:textId="77777777" w:rsidR="00B32EF2" w:rsidRDefault="00000000">
                              <w:r>
                                <w:rPr>
                                  <w:rFonts w:ascii="Arial" w:eastAsia="Arial" w:hAnsi="Arial" w:cs="Arial"/>
                                  <w:sz w:val="18"/>
                                </w:rPr>
                                <w:t>a) i membri del Parlamento nazionale e del Parlamento europeo;</w:t>
                              </w:r>
                            </w:p>
                          </w:txbxContent>
                        </wps:txbx>
                        <wps:bodyPr horzOverflow="overflow" vert="horz" lIns="0" tIns="0" rIns="0" bIns="0" rtlCol="0">
                          <a:noAutofit/>
                        </wps:bodyPr>
                      </wps:wsp>
                      <wps:wsp>
                        <wps:cNvPr id="22446" name="Rectangle 22446"/>
                        <wps:cNvSpPr/>
                        <wps:spPr>
                          <a:xfrm rot="-10799999">
                            <a:off x="-1222282" y="4886668"/>
                            <a:ext cx="5213857" cy="142889"/>
                          </a:xfrm>
                          <a:prstGeom prst="rect">
                            <a:avLst/>
                          </a:prstGeom>
                          <a:ln>
                            <a:noFill/>
                          </a:ln>
                        </wps:spPr>
                        <wps:txbx>
                          <w:txbxContent>
                            <w:p w14:paraId="5F0EAFF6" w14:textId="77777777" w:rsidR="00B32EF2" w:rsidRDefault="00000000">
                              <w:r>
                                <w:rPr>
                                  <w:rFonts w:ascii="Arial" w:eastAsia="Arial" w:hAnsi="Arial" w:cs="Arial"/>
                                  <w:sz w:val="18"/>
                                </w:rPr>
                                <w:t>b) i consiglieri regionali, provinciali, comunali e circoscrizionali e gli amministra</w:t>
                              </w:r>
                            </w:p>
                          </w:txbxContent>
                        </wps:txbx>
                        <wps:bodyPr horzOverflow="overflow" vert="horz" lIns="0" tIns="0" rIns="0" bIns="0" rtlCol="0">
                          <a:noAutofit/>
                        </wps:bodyPr>
                      </wps:wsp>
                      <wps:wsp>
                        <wps:cNvPr id="22447" name="Rectangle 22447"/>
                        <wps:cNvSpPr/>
                        <wps:spPr>
                          <a:xfrm rot="-10799999">
                            <a:off x="19432" y="4886667"/>
                            <a:ext cx="50622" cy="142889"/>
                          </a:xfrm>
                          <a:prstGeom prst="rect">
                            <a:avLst/>
                          </a:prstGeom>
                          <a:ln>
                            <a:noFill/>
                          </a:ln>
                        </wps:spPr>
                        <wps:txbx>
                          <w:txbxContent>
                            <w:p w14:paraId="697E541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448" name="Rectangle 22448"/>
                        <wps:cNvSpPr/>
                        <wps:spPr>
                          <a:xfrm rot="-10799999">
                            <a:off x="-1316262" y="4763338"/>
                            <a:ext cx="5307151" cy="142889"/>
                          </a:xfrm>
                          <a:prstGeom prst="rect">
                            <a:avLst/>
                          </a:prstGeom>
                          <a:ln>
                            <a:noFill/>
                          </a:ln>
                        </wps:spPr>
                        <wps:txbx>
                          <w:txbxContent>
                            <w:p w14:paraId="421CD0FF" w14:textId="77777777" w:rsidR="00B32EF2" w:rsidRDefault="00000000">
                              <w:r>
                                <w:rPr>
                                  <w:rFonts w:ascii="Arial" w:eastAsia="Arial" w:hAnsi="Arial" w:cs="Arial"/>
                                  <w:sz w:val="18"/>
                                </w:rPr>
                                <w:t xml:space="preserve">tori di altri enti che applicano tributi o hanno partecipazione al gettito dei tributi </w:t>
                              </w:r>
                            </w:p>
                          </w:txbxContent>
                        </wps:txbx>
                        <wps:bodyPr horzOverflow="overflow" vert="horz" lIns="0" tIns="0" rIns="0" bIns="0" rtlCol="0">
                          <a:noAutofit/>
                        </wps:bodyPr>
                      </wps:wsp>
                      <wps:wsp>
                        <wps:cNvPr id="22449" name="Rectangle 22449"/>
                        <wps:cNvSpPr/>
                        <wps:spPr>
                          <a:xfrm rot="-10799999">
                            <a:off x="-1316247" y="4640009"/>
                            <a:ext cx="5307136" cy="142889"/>
                          </a:xfrm>
                          <a:prstGeom prst="rect">
                            <a:avLst/>
                          </a:prstGeom>
                          <a:ln>
                            <a:noFill/>
                          </a:ln>
                        </wps:spPr>
                        <wps:txbx>
                          <w:txbxContent>
                            <w:p w14:paraId="6D808DE8" w14:textId="77777777" w:rsidR="00B32EF2" w:rsidRDefault="00000000">
                              <w:r>
                                <w:rPr>
                                  <w:rFonts w:ascii="Arial" w:eastAsia="Arial" w:hAnsi="Arial" w:cs="Arial"/>
                                  <w:sz w:val="18"/>
                                </w:rPr>
                                <w:t xml:space="preserve">indicati nell’articolo 46, nonché coloro che, come dipendenti di detti enti o come </w:t>
                              </w:r>
                            </w:p>
                          </w:txbxContent>
                        </wps:txbx>
                        <wps:bodyPr horzOverflow="overflow" vert="horz" lIns="0" tIns="0" rIns="0" bIns="0" rtlCol="0">
                          <a:noAutofit/>
                        </wps:bodyPr>
                      </wps:wsp>
                      <wps:wsp>
                        <wps:cNvPr id="22450" name="Rectangle 22450"/>
                        <wps:cNvSpPr/>
                        <wps:spPr>
                          <a:xfrm rot="-10799999">
                            <a:off x="-1126680" y="4516679"/>
                            <a:ext cx="5117568" cy="142889"/>
                          </a:xfrm>
                          <a:prstGeom prst="rect">
                            <a:avLst/>
                          </a:prstGeom>
                          <a:ln>
                            <a:noFill/>
                          </a:ln>
                        </wps:spPr>
                        <wps:txbx>
                          <w:txbxContent>
                            <w:p w14:paraId="24E76ED5" w14:textId="77777777" w:rsidR="00B32EF2" w:rsidRDefault="00000000">
                              <w:r>
                                <w:rPr>
                                  <w:rFonts w:ascii="Arial" w:eastAsia="Arial" w:hAnsi="Arial" w:cs="Arial"/>
                                  <w:sz w:val="18"/>
                                </w:rPr>
                                <w:t>componenti di organi collegiali, concorrono all’accertamento dei tributi stessi;</w:t>
                              </w:r>
                            </w:p>
                          </w:txbxContent>
                        </wps:txbx>
                        <wps:bodyPr horzOverflow="overflow" vert="horz" lIns="0" tIns="0" rIns="0" bIns="0" rtlCol="0">
                          <a:noAutofit/>
                        </wps:bodyPr>
                      </wps:wsp>
                      <wps:wsp>
                        <wps:cNvPr id="22451" name="Rectangle 22451"/>
                        <wps:cNvSpPr/>
                        <wps:spPr>
                          <a:xfrm rot="-10799999">
                            <a:off x="-1317155" y="4385690"/>
                            <a:ext cx="5309873" cy="142889"/>
                          </a:xfrm>
                          <a:prstGeom prst="rect">
                            <a:avLst/>
                          </a:prstGeom>
                          <a:ln>
                            <a:noFill/>
                          </a:ln>
                        </wps:spPr>
                        <wps:txbx>
                          <w:txbxContent>
                            <w:p w14:paraId="073D2820" w14:textId="77777777" w:rsidR="00B32EF2" w:rsidRDefault="00000000">
                              <w:r>
                                <w:rPr>
                                  <w:rFonts w:ascii="Arial" w:eastAsia="Arial" w:hAnsi="Arial" w:cs="Arial"/>
                                  <w:sz w:val="18"/>
                                </w:rPr>
                                <w:t xml:space="preserve">c) i dipendenti dell’Amministrazione finanziaria che prestano servizio presso </w:t>
                              </w:r>
                            </w:p>
                          </w:txbxContent>
                        </wps:txbx>
                        <wps:bodyPr horzOverflow="overflow" vert="horz" lIns="0" tIns="0" rIns="0" bIns="0" rtlCol="0">
                          <a:noAutofit/>
                        </wps:bodyPr>
                      </wps:wsp>
                      <wps:wsp>
                        <wps:cNvPr id="22452" name="Rectangle 22452"/>
                        <wps:cNvSpPr/>
                        <wps:spPr>
                          <a:xfrm rot="-10799999">
                            <a:off x="-1218420" y="4254703"/>
                            <a:ext cx="5210452" cy="142889"/>
                          </a:xfrm>
                          <a:prstGeom prst="rect">
                            <a:avLst/>
                          </a:prstGeom>
                          <a:ln>
                            <a:noFill/>
                          </a:ln>
                        </wps:spPr>
                        <wps:txbx>
                          <w:txbxContent>
                            <w:p w14:paraId="34541ED4" w14:textId="77777777" w:rsidR="00B32EF2" w:rsidRDefault="00000000">
                              <w:r>
                                <w:rPr>
                                  <w:rFonts w:ascii="Arial" w:eastAsia="Arial" w:hAnsi="Arial" w:cs="Arial"/>
                                  <w:sz w:val="18"/>
                                </w:rPr>
                                <w:t>gli uffici delle Agenzie delle entrate e dell’Agenzia delle dogane e dei monopo</w:t>
                              </w:r>
                            </w:p>
                          </w:txbxContent>
                        </wps:txbx>
                        <wps:bodyPr horzOverflow="overflow" vert="horz" lIns="0" tIns="0" rIns="0" bIns="0" rtlCol="0">
                          <a:noAutofit/>
                        </wps:bodyPr>
                      </wps:wsp>
                      <wps:wsp>
                        <wps:cNvPr id="22453" name="Rectangle 22453"/>
                        <wps:cNvSpPr/>
                        <wps:spPr>
                          <a:xfrm rot="-10799999">
                            <a:off x="19432" y="4254703"/>
                            <a:ext cx="50622" cy="142889"/>
                          </a:xfrm>
                          <a:prstGeom prst="rect">
                            <a:avLst/>
                          </a:prstGeom>
                          <a:ln>
                            <a:noFill/>
                          </a:ln>
                        </wps:spPr>
                        <wps:txbx>
                          <w:txbxContent>
                            <w:p w14:paraId="2B17221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454" name="Rectangle 22454"/>
                        <wps:cNvSpPr/>
                        <wps:spPr>
                          <a:xfrm rot="-10799999">
                            <a:off x="491139" y="4123715"/>
                            <a:ext cx="3500891" cy="142889"/>
                          </a:xfrm>
                          <a:prstGeom prst="rect">
                            <a:avLst/>
                          </a:prstGeom>
                          <a:ln>
                            <a:noFill/>
                          </a:ln>
                        </wps:spPr>
                        <wps:txbx>
                          <w:txbxContent>
                            <w:p w14:paraId="285C9AD9" w14:textId="77777777" w:rsidR="00B32EF2" w:rsidRDefault="00000000">
                              <w:r>
                                <w:rPr>
                                  <w:rFonts w:ascii="Arial" w:eastAsia="Arial" w:hAnsi="Arial" w:cs="Arial"/>
                                  <w:sz w:val="18"/>
                                </w:rPr>
                                <w:t>li, di cui al decreto legislativo 30 luglio 1999, n. 300;</w:t>
                              </w:r>
                            </w:p>
                          </w:txbxContent>
                        </wps:txbx>
                        <wps:bodyPr horzOverflow="overflow" vert="horz" lIns="0" tIns="0" rIns="0" bIns="0" rtlCol="0">
                          <a:noAutofit/>
                        </wps:bodyPr>
                      </wps:wsp>
                      <wps:wsp>
                        <wps:cNvPr id="22455" name="Rectangle 22455"/>
                        <wps:cNvSpPr/>
                        <wps:spPr>
                          <a:xfrm rot="-10799999">
                            <a:off x="437811" y="3992728"/>
                            <a:ext cx="3554220" cy="142889"/>
                          </a:xfrm>
                          <a:prstGeom prst="rect">
                            <a:avLst/>
                          </a:prstGeom>
                          <a:ln>
                            <a:noFill/>
                          </a:ln>
                        </wps:spPr>
                        <wps:txbx>
                          <w:txbxContent>
                            <w:p w14:paraId="2736D39D" w14:textId="77777777" w:rsidR="00B32EF2" w:rsidRDefault="00000000">
                              <w:r>
                                <w:rPr>
                                  <w:rFonts w:ascii="Arial" w:eastAsia="Arial" w:hAnsi="Arial" w:cs="Arial"/>
                                  <w:sz w:val="18"/>
                                </w:rPr>
                                <w:t>d) gli appartenenti al Corpo della Guardia di finanza;</w:t>
                              </w:r>
                            </w:p>
                          </w:txbxContent>
                        </wps:txbx>
                        <wps:bodyPr horzOverflow="overflow" vert="horz" lIns="0" tIns="0" rIns="0" bIns="0" rtlCol="0">
                          <a:noAutofit/>
                        </wps:bodyPr>
                      </wps:wsp>
                      <wps:wsp>
                        <wps:cNvPr id="22456" name="Rectangle 22456"/>
                        <wps:cNvSpPr/>
                        <wps:spPr>
                          <a:xfrm rot="-10799999">
                            <a:off x="-1229363" y="3861739"/>
                            <a:ext cx="5222309" cy="142889"/>
                          </a:xfrm>
                          <a:prstGeom prst="rect">
                            <a:avLst/>
                          </a:prstGeom>
                          <a:ln>
                            <a:noFill/>
                          </a:ln>
                        </wps:spPr>
                        <wps:txbx>
                          <w:txbxContent>
                            <w:p w14:paraId="0930EAD5" w14:textId="77777777" w:rsidR="00B32EF2" w:rsidRDefault="00000000">
                              <w:r>
                                <w:rPr>
                                  <w:rFonts w:ascii="Arial" w:eastAsia="Arial" w:hAnsi="Arial" w:cs="Arial"/>
                                  <w:sz w:val="18"/>
                                </w:rPr>
                                <w:t>e) i soci, gli amministratori e i dipendenti delle società concessionarie del ser</w:t>
                              </w:r>
                            </w:p>
                          </w:txbxContent>
                        </wps:txbx>
                        <wps:bodyPr horzOverflow="overflow" vert="horz" lIns="0" tIns="0" rIns="0" bIns="0" rtlCol="0">
                          <a:noAutofit/>
                        </wps:bodyPr>
                      </wps:wsp>
                      <wps:wsp>
                        <wps:cNvPr id="22457" name="Rectangle 22457"/>
                        <wps:cNvSpPr/>
                        <wps:spPr>
                          <a:xfrm rot="-10799999">
                            <a:off x="19432" y="3861740"/>
                            <a:ext cx="50622" cy="142889"/>
                          </a:xfrm>
                          <a:prstGeom prst="rect">
                            <a:avLst/>
                          </a:prstGeom>
                          <a:ln>
                            <a:noFill/>
                          </a:ln>
                        </wps:spPr>
                        <wps:txbx>
                          <w:txbxContent>
                            <w:p w14:paraId="06BE23A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458" name="Rectangle 22458"/>
                        <wps:cNvSpPr/>
                        <wps:spPr>
                          <a:xfrm rot="-10799999">
                            <a:off x="-1220594" y="3730752"/>
                            <a:ext cx="5212625" cy="142889"/>
                          </a:xfrm>
                          <a:prstGeom prst="rect">
                            <a:avLst/>
                          </a:prstGeom>
                          <a:ln>
                            <a:noFill/>
                          </a:ln>
                        </wps:spPr>
                        <wps:txbx>
                          <w:txbxContent>
                            <w:p w14:paraId="0079E95B" w14:textId="77777777" w:rsidR="00B32EF2" w:rsidRDefault="00000000">
                              <w:r>
                                <w:rPr>
                                  <w:rFonts w:ascii="Arial" w:eastAsia="Arial" w:hAnsi="Arial" w:cs="Arial"/>
                                  <w:sz w:val="18"/>
                                </w:rPr>
                                <w:t>vizio di riscossione delle imposte o preposte alla gestione dell’anagrafe tribu</w:t>
                              </w:r>
                            </w:p>
                          </w:txbxContent>
                        </wps:txbx>
                        <wps:bodyPr horzOverflow="overflow" vert="horz" lIns="0" tIns="0" rIns="0" bIns="0" rtlCol="0">
                          <a:noAutofit/>
                        </wps:bodyPr>
                      </wps:wsp>
                      <wps:wsp>
                        <wps:cNvPr id="22459" name="Rectangle 22459"/>
                        <wps:cNvSpPr/>
                        <wps:spPr>
                          <a:xfrm rot="-10799999">
                            <a:off x="19432" y="3730752"/>
                            <a:ext cx="50622" cy="142889"/>
                          </a:xfrm>
                          <a:prstGeom prst="rect">
                            <a:avLst/>
                          </a:prstGeom>
                          <a:ln>
                            <a:noFill/>
                          </a:ln>
                        </wps:spPr>
                        <wps:txbx>
                          <w:txbxContent>
                            <w:p w14:paraId="158C78E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460" name="Rectangle 22460"/>
                        <wps:cNvSpPr/>
                        <wps:spPr>
                          <a:xfrm rot="-10799999">
                            <a:off x="-1274743" y="3599764"/>
                            <a:ext cx="5266775" cy="142889"/>
                          </a:xfrm>
                          <a:prstGeom prst="rect">
                            <a:avLst/>
                          </a:prstGeom>
                          <a:ln>
                            <a:noFill/>
                          </a:ln>
                        </wps:spPr>
                        <wps:txbx>
                          <w:txbxContent>
                            <w:p w14:paraId="4DFA91D2" w14:textId="77777777" w:rsidR="00B32EF2" w:rsidRDefault="00000000">
                              <w:r>
                                <w:rPr>
                                  <w:rFonts w:ascii="Arial" w:eastAsia="Arial" w:hAnsi="Arial" w:cs="Arial"/>
                                  <w:sz w:val="18"/>
                                </w:rPr>
                                <w:t>taria e di ogni altro servizio tecnico del Ministero dell’economia e delle finanze;</w:t>
                              </w:r>
                            </w:p>
                          </w:txbxContent>
                        </wps:txbx>
                        <wps:bodyPr horzOverflow="overflow" vert="horz" lIns="0" tIns="0" rIns="0" bIns="0" rtlCol="0">
                          <a:noAutofit/>
                        </wps:bodyPr>
                      </wps:wsp>
                      <wps:wsp>
                        <wps:cNvPr id="22461" name="Rectangle 22461"/>
                        <wps:cNvSpPr/>
                        <wps:spPr>
                          <a:xfrm rot="-10799999">
                            <a:off x="3262643" y="3468777"/>
                            <a:ext cx="729387" cy="142889"/>
                          </a:xfrm>
                          <a:prstGeom prst="rect">
                            <a:avLst/>
                          </a:prstGeom>
                          <a:ln>
                            <a:noFill/>
                          </a:ln>
                        </wps:spPr>
                        <wps:txbx>
                          <w:txbxContent>
                            <w:p w14:paraId="752BBAA1" w14:textId="77777777" w:rsidR="00B32EF2" w:rsidRDefault="00000000">
                              <w:r>
                                <w:rPr>
                                  <w:rFonts w:ascii="Arial" w:eastAsia="Arial" w:hAnsi="Arial" w:cs="Arial"/>
                                  <w:sz w:val="18"/>
                                </w:rPr>
                                <w:t>f) i prefetti;</w:t>
                              </w:r>
                            </w:p>
                          </w:txbxContent>
                        </wps:txbx>
                        <wps:bodyPr horzOverflow="overflow" vert="horz" lIns="0" tIns="0" rIns="0" bIns="0" rtlCol="0">
                          <a:noAutofit/>
                        </wps:bodyPr>
                      </wps:wsp>
                      <wps:wsp>
                        <wps:cNvPr id="22462" name="Rectangle 22462"/>
                        <wps:cNvSpPr/>
                        <wps:spPr>
                          <a:xfrm rot="-10799999">
                            <a:off x="-1316928" y="3337788"/>
                            <a:ext cx="5308960" cy="142889"/>
                          </a:xfrm>
                          <a:prstGeom prst="rect">
                            <a:avLst/>
                          </a:prstGeom>
                          <a:ln>
                            <a:noFill/>
                          </a:ln>
                        </wps:spPr>
                        <wps:txbx>
                          <w:txbxContent>
                            <w:p w14:paraId="08082241" w14:textId="77777777" w:rsidR="00B32EF2" w:rsidRDefault="00000000">
                              <w:r>
                                <w:rPr>
                                  <w:rFonts w:ascii="Arial" w:eastAsia="Arial" w:hAnsi="Arial" w:cs="Arial"/>
                                  <w:sz w:val="18"/>
                                </w:rPr>
                                <w:t xml:space="preserve">g) coloro che ricoprono incarichi direttivi o esecutivi nei partiti o movimenti </w:t>
                              </w:r>
                            </w:p>
                          </w:txbxContent>
                        </wps:txbx>
                        <wps:bodyPr horzOverflow="overflow" vert="horz" lIns="0" tIns="0" rIns="0" bIns="0" rtlCol="0">
                          <a:noAutofit/>
                        </wps:bodyPr>
                      </wps:wsp>
                      <wps:wsp>
                        <wps:cNvPr id="22463" name="Rectangle 22463"/>
                        <wps:cNvSpPr/>
                        <wps:spPr>
                          <a:xfrm rot="-10799999">
                            <a:off x="3519430" y="3206801"/>
                            <a:ext cx="473858" cy="142889"/>
                          </a:xfrm>
                          <a:prstGeom prst="rect">
                            <a:avLst/>
                          </a:prstGeom>
                          <a:ln>
                            <a:noFill/>
                          </a:ln>
                        </wps:spPr>
                        <wps:txbx>
                          <w:txbxContent>
                            <w:p w14:paraId="771D84A2" w14:textId="77777777" w:rsidR="00B32EF2" w:rsidRDefault="00000000">
                              <w:r>
                                <w:rPr>
                                  <w:rFonts w:ascii="Arial" w:eastAsia="Arial" w:hAnsi="Arial" w:cs="Arial"/>
                                  <w:sz w:val="18"/>
                                </w:rPr>
                                <w:t>politici;</w:t>
                              </w:r>
                            </w:p>
                          </w:txbxContent>
                        </wps:txbx>
                        <wps:bodyPr horzOverflow="overflow" vert="horz" lIns="0" tIns="0" rIns="0" bIns="0" rtlCol="0">
                          <a:noAutofit/>
                        </wps:bodyPr>
                      </wps:wsp>
                      <wps:wsp>
                        <wps:cNvPr id="22464" name="Rectangle 22464"/>
                        <wps:cNvSpPr/>
                        <wps:spPr>
                          <a:xfrm rot="-10799999">
                            <a:off x="-1316974" y="3075813"/>
                            <a:ext cx="5309006" cy="142889"/>
                          </a:xfrm>
                          <a:prstGeom prst="rect">
                            <a:avLst/>
                          </a:prstGeom>
                          <a:ln>
                            <a:noFill/>
                          </a:ln>
                        </wps:spPr>
                        <wps:txbx>
                          <w:txbxContent>
                            <w:p w14:paraId="4B4BCAB3" w14:textId="77777777" w:rsidR="00B32EF2" w:rsidRDefault="00000000">
                              <w:r>
                                <w:rPr>
                                  <w:rFonts w:ascii="Arial" w:eastAsia="Arial" w:hAnsi="Arial" w:cs="Arial"/>
                                  <w:sz w:val="18"/>
                                </w:rPr>
                                <w:t xml:space="preserve">h) coloro che in qualsiasi forma, anche se in modo saltuario o accessorio ad </w:t>
                              </w:r>
                            </w:p>
                          </w:txbxContent>
                        </wps:txbx>
                        <wps:bodyPr horzOverflow="overflow" vert="horz" lIns="0" tIns="0" rIns="0" bIns="0" rtlCol="0">
                          <a:noAutofit/>
                        </wps:bodyPr>
                      </wps:wsp>
                      <wps:wsp>
                        <wps:cNvPr id="22465" name="Rectangle 22465"/>
                        <wps:cNvSpPr/>
                        <wps:spPr>
                          <a:xfrm rot="-10799999">
                            <a:off x="-1223724" y="2944826"/>
                            <a:ext cx="5216441" cy="142889"/>
                          </a:xfrm>
                          <a:prstGeom prst="rect">
                            <a:avLst/>
                          </a:prstGeom>
                          <a:ln>
                            <a:noFill/>
                          </a:ln>
                        </wps:spPr>
                        <wps:txbx>
                          <w:txbxContent>
                            <w:p w14:paraId="251C4850" w14:textId="77777777" w:rsidR="00B32EF2" w:rsidRDefault="00000000">
                              <w:r>
                                <w:rPr>
                                  <w:rFonts w:ascii="Arial" w:eastAsia="Arial" w:hAnsi="Arial" w:cs="Arial"/>
                                  <w:sz w:val="18"/>
                                </w:rPr>
                                <w:t>altra prestazione, direttamente o attraverso forme associative, esercitano l’at</w:t>
                              </w:r>
                            </w:p>
                          </w:txbxContent>
                        </wps:txbx>
                        <wps:bodyPr horzOverflow="overflow" vert="horz" lIns="0" tIns="0" rIns="0" bIns="0" rtlCol="0">
                          <a:noAutofit/>
                        </wps:bodyPr>
                      </wps:wsp>
                      <wps:wsp>
                        <wps:cNvPr id="22466" name="Rectangle 22466"/>
                        <wps:cNvSpPr/>
                        <wps:spPr>
                          <a:xfrm rot="-10799999">
                            <a:off x="19432" y="2944825"/>
                            <a:ext cx="50622" cy="142889"/>
                          </a:xfrm>
                          <a:prstGeom prst="rect">
                            <a:avLst/>
                          </a:prstGeom>
                          <a:ln>
                            <a:noFill/>
                          </a:ln>
                        </wps:spPr>
                        <wps:txbx>
                          <w:txbxContent>
                            <w:p w14:paraId="5D5EAC3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467" name="Rectangle 22467"/>
                        <wps:cNvSpPr/>
                        <wps:spPr>
                          <a:xfrm rot="-10799999">
                            <a:off x="-1220320" y="2813837"/>
                            <a:ext cx="5212351" cy="142889"/>
                          </a:xfrm>
                          <a:prstGeom prst="rect">
                            <a:avLst/>
                          </a:prstGeom>
                          <a:ln>
                            <a:noFill/>
                          </a:ln>
                        </wps:spPr>
                        <wps:txbx>
                          <w:txbxContent>
                            <w:p w14:paraId="25D6DAA1" w14:textId="77777777" w:rsidR="00B32EF2" w:rsidRDefault="00000000">
                              <w:r>
                                <w:rPr>
                                  <w:rFonts w:ascii="Arial" w:eastAsia="Arial" w:hAnsi="Arial" w:cs="Arial"/>
                                  <w:sz w:val="18"/>
                                </w:rPr>
                                <w:t>tività di consulenza tributaria, detengono le scritture contabili e redigono i bi</w:t>
                              </w:r>
                            </w:p>
                          </w:txbxContent>
                        </wps:txbx>
                        <wps:bodyPr horzOverflow="overflow" vert="horz" lIns="0" tIns="0" rIns="0" bIns="0" rtlCol="0">
                          <a:noAutofit/>
                        </wps:bodyPr>
                      </wps:wsp>
                      <wps:wsp>
                        <wps:cNvPr id="22468" name="Rectangle 22468"/>
                        <wps:cNvSpPr/>
                        <wps:spPr>
                          <a:xfrm rot="-10799999">
                            <a:off x="19432" y="2813838"/>
                            <a:ext cx="50622" cy="142889"/>
                          </a:xfrm>
                          <a:prstGeom prst="rect">
                            <a:avLst/>
                          </a:prstGeom>
                          <a:ln>
                            <a:noFill/>
                          </a:ln>
                        </wps:spPr>
                        <wps:txbx>
                          <w:txbxContent>
                            <w:p w14:paraId="6D89D83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469" name="Rectangle 22469"/>
                        <wps:cNvSpPr/>
                        <wps:spPr>
                          <a:xfrm rot="-10799999">
                            <a:off x="-1317019" y="2682850"/>
                            <a:ext cx="5309051" cy="142889"/>
                          </a:xfrm>
                          <a:prstGeom prst="rect">
                            <a:avLst/>
                          </a:prstGeom>
                          <a:ln>
                            <a:noFill/>
                          </a:ln>
                        </wps:spPr>
                        <wps:txbx>
                          <w:txbxContent>
                            <w:p w14:paraId="1B9D29F7" w14:textId="77777777" w:rsidR="00B32EF2" w:rsidRDefault="00000000">
                              <w:r>
                                <w:rPr>
                                  <w:rFonts w:ascii="Arial" w:eastAsia="Arial" w:hAnsi="Arial" w:cs="Arial"/>
                                  <w:sz w:val="18"/>
                                </w:rPr>
                                <w:t xml:space="preserve">lanci, ovvero svolgono attività di consulenza, assistenza o di rappresentanza, </w:t>
                              </w:r>
                            </w:p>
                          </w:txbxContent>
                        </wps:txbx>
                        <wps:bodyPr horzOverflow="overflow" vert="horz" lIns="0" tIns="0" rIns="0" bIns="0" rtlCol="0">
                          <a:noAutofit/>
                        </wps:bodyPr>
                      </wps:wsp>
                      <wps:wsp>
                        <wps:cNvPr id="22470" name="Rectangle 22470"/>
                        <wps:cNvSpPr/>
                        <wps:spPr>
                          <a:xfrm rot="-10799999">
                            <a:off x="-1220289" y="2551862"/>
                            <a:ext cx="5212321" cy="142889"/>
                          </a:xfrm>
                          <a:prstGeom prst="rect">
                            <a:avLst/>
                          </a:prstGeom>
                          <a:ln>
                            <a:noFill/>
                          </a:ln>
                        </wps:spPr>
                        <wps:txbx>
                          <w:txbxContent>
                            <w:p w14:paraId="2B43000E" w14:textId="77777777" w:rsidR="00B32EF2" w:rsidRDefault="00000000">
                              <w:r>
                                <w:rPr>
                                  <w:rFonts w:ascii="Arial" w:eastAsia="Arial" w:hAnsi="Arial" w:cs="Arial"/>
                                  <w:sz w:val="18"/>
                                </w:rPr>
                                <w:t>a qualsiasi titolo e anche nelle controversie di carattere tributario, di contri</w:t>
                              </w:r>
                            </w:p>
                          </w:txbxContent>
                        </wps:txbx>
                        <wps:bodyPr horzOverflow="overflow" vert="horz" lIns="0" tIns="0" rIns="0" bIns="0" rtlCol="0">
                          <a:noAutofit/>
                        </wps:bodyPr>
                      </wps:wsp>
                      <wps:wsp>
                        <wps:cNvPr id="22471" name="Rectangle 22471"/>
                        <wps:cNvSpPr/>
                        <wps:spPr>
                          <a:xfrm rot="-10799999">
                            <a:off x="19432" y="2551862"/>
                            <a:ext cx="50622" cy="142889"/>
                          </a:xfrm>
                          <a:prstGeom prst="rect">
                            <a:avLst/>
                          </a:prstGeom>
                          <a:ln>
                            <a:noFill/>
                          </a:ln>
                        </wps:spPr>
                        <wps:txbx>
                          <w:txbxContent>
                            <w:p w14:paraId="140E97D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472" name="Rectangle 22472"/>
                        <wps:cNvSpPr/>
                        <wps:spPr>
                          <a:xfrm rot="-10799999">
                            <a:off x="-1316974" y="2420874"/>
                            <a:ext cx="5309006" cy="142889"/>
                          </a:xfrm>
                          <a:prstGeom prst="rect">
                            <a:avLst/>
                          </a:prstGeom>
                          <a:ln>
                            <a:noFill/>
                          </a:ln>
                        </wps:spPr>
                        <wps:txbx>
                          <w:txbxContent>
                            <w:p w14:paraId="41D8DC84" w14:textId="77777777" w:rsidR="00B32EF2" w:rsidRDefault="00000000">
                              <w:r>
                                <w:rPr>
                                  <w:rFonts w:ascii="Arial" w:eastAsia="Arial" w:hAnsi="Arial" w:cs="Arial"/>
                                  <w:sz w:val="18"/>
                                </w:rPr>
                                <w:t xml:space="preserve">buenti singoli o associazioni di contribuenti, di società di riscossione dei tributi </w:t>
                              </w:r>
                            </w:p>
                          </w:txbxContent>
                        </wps:txbx>
                        <wps:bodyPr horzOverflow="overflow" vert="horz" lIns="0" tIns="0" rIns="0" bIns="0" rtlCol="0">
                          <a:noAutofit/>
                        </wps:bodyPr>
                      </wps:wsp>
                      <wps:wsp>
                        <wps:cNvPr id="22473" name="Rectangle 22473"/>
                        <wps:cNvSpPr/>
                        <wps:spPr>
                          <a:xfrm rot="-10799999">
                            <a:off x="2419501" y="2289887"/>
                            <a:ext cx="1572530" cy="142889"/>
                          </a:xfrm>
                          <a:prstGeom prst="rect">
                            <a:avLst/>
                          </a:prstGeom>
                          <a:ln>
                            <a:noFill/>
                          </a:ln>
                        </wps:spPr>
                        <wps:txbx>
                          <w:txbxContent>
                            <w:p w14:paraId="3DED49D1" w14:textId="77777777" w:rsidR="00B32EF2" w:rsidRDefault="00000000">
                              <w:r>
                                <w:rPr>
                                  <w:rFonts w:ascii="Arial" w:eastAsia="Arial" w:hAnsi="Arial" w:cs="Arial"/>
                                  <w:sz w:val="18"/>
                                </w:rPr>
                                <w:t>o di altri enti impositori;</w:t>
                              </w:r>
                            </w:p>
                          </w:txbxContent>
                        </wps:txbx>
                        <wps:bodyPr horzOverflow="overflow" vert="horz" lIns="0" tIns="0" rIns="0" bIns="0" rtlCol="0">
                          <a:noAutofit/>
                        </wps:bodyPr>
                      </wps:wsp>
                      <wps:wsp>
                        <wps:cNvPr id="22474" name="Rectangle 22474"/>
                        <wps:cNvSpPr/>
                        <wps:spPr>
                          <a:xfrm rot="-10799999">
                            <a:off x="-1104558" y="2158899"/>
                            <a:ext cx="5096590" cy="142889"/>
                          </a:xfrm>
                          <a:prstGeom prst="rect">
                            <a:avLst/>
                          </a:prstGeom>
                          <a:ln>
                            <a:noFill/>
                          </a:ln>
                        </wps:spPr>
                        <wps:txbx>
                          <w:txbxContent>
                            <w:p w14:paraId="4E609A26" w14:textId="77777777" w:rsidR="00B32EF2" w:rsidRDefault="00000000">
                              <w:r>
                                <w:rPr>
                                  <w:rFonts w:ascii="Arial" w:eastAsia="Arial" w:hAnsi="Arial" w:cs="Arial"/>
                                  <w:sz w:val="18"/>
                                </w:rPr>
                                <w:t>i) gli appartenenti alle Forze armate ed i funzionari civili dei Corpi di polizia;</w:t>
                              </w:r>
                            </w:p>
                          </w:txbxContent>
                        </wps:txbx>
                        <wps:bodyPr horzOverflow="overflow" vert="horz" lIns="0" tIns="0" rIns="0" bIns="0" rtlCol="0">
                          <a:noAutofit/>
                        </wps:bodyPr>
                      </wps:wsp>
                      <wps:wsp>
                        <wps:cNvPr id="22475" name="Rectangle 22475"/>
                        <wps:cNvSpPr/>
                        <wps:spPr>
                          <a:xfrm rot="-10799999">
                            <a:off x="-1220350" y="2027911"/>
                            <a:ext cx="5212382" cy="142889"/>
                          </a:xfrm>
                          <a:prstGeom prst="rect">
                            <a:avLst/>
                          </a:prstGeom>
                          <a:ln>
                            <a:noFill/>
                          </a:ln>
                        </wps:spPr>
                        <wps:txbx>
                          <w:txbxContent>
                            <w:p w14:paraId="755F19F8" w14:textId="77777777" w:rsidR="00B32EF2" w:rsidRDefault="00000000">
                              <w:r>
                                <w:rPr>
                                  <w:rFonts w:ascii="Arial" w:eastAsia="Arial" w:hAnsi="Arial" w:cs="Arial"/>
                                  <w:sz w:val="18"/>
                                </w:rPr>
                                <w:t>l) coloro che sono iscritti in albi professionali, elenchi, ruoli e il personale di</w:t>
                              </w:r>
                            </w:p>
                          </w:txbxContent>
                        </wps:txbx>
                        <wps:bodyPr horzOverflow="overflow" vert="horz" lIns="0" tIns="0" rIns="0" bIns="0" rtlCol="0">
                          <a:noAutofit/>
                        </wps:bodyPr>
                      </wps:wsp>
                      <wps:wsp>
                        <wps:cNvPr id="22476" name="Rectangle 22476"/>
                        <wps:cNvSpPr/>
                        <wps:spPr>
                          <a:xfrm rot="-10799999">
                            <a:off x="19432" y="2027911"/>
                            <a:ext cx="50622" cy="142889"/>
                          </a:xfrm>
                          <a:prstGeom prst="rect">
                            <a:avLst/>
                          </a:prstGeom>
                          <a:ln>
                            <a:noFill/>
                          </a:ln>
                        </wps:spPr>
                        <wps:txbx>
                          <w:txbxContent>
                            <w:p w14:paraId="71DE21A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477" name="Rectangle 22477"/>
                        <wps:cNvSpPr/>
                        <wps:spPr>
                          <a:xfrm rot="-10799999">
                            <a:off x="-1220289" y="1896923"/>
                            <a:ext cx="5212321" cy="142889"/>
                          </a:xfrm>
                          <a:prstGeom prst="rect">
                            <a:avLst/>
                          </a:prstGeom>
                          <a:ln>
                            <a:noFill/>
                          </a:ln>
                        </wps:spPr>
                        <wps:txbx>
                          <w:txbxContent>
                            <w:p w14:paraId="3259B387" w14:textId="77777777" w:rsidR="00B32EF2" w:rsidRDefault="00000000">
                              <w:r>
                                <w:rPr>
                                  <w:rFonts w:ascii="Arial" w:eastAsia="Arial" w:hAnsi="Arial" w:cs="Arial"/>
                                  <w:sz w:val="18"/>
                                </w:rPr>
                                <w:t>pendente individuati nell’articolo 57 ed esercitano, anche in forma non indivi</w:t>
                              </w:r>
                            </w:p>
                          </w:txbxContent>
                        </wps:txbx>
                        <wps:bodyPr horzOverflow="overflow" vert="horz" lIns="0" tIns="0" rIns="0" bIns="0" rtlCol="0">
                          <a:noAutofit/>
                        </wps:bodyPr>
                      </wps:wsp>
                      <wps:wsp>
                        <wps:cNvPr id="22478" name="Rectangle 22478"/>
                        <wps:cNvSpPr/>
                        <wps:spPr>
                          <a:xfrm rot="-10799999">
                            <a:off x="19432" y="1896923"/>
                            <a:ext cx="50622" cy="142889"/>
                          </a:xfrm>
                          <a:prstGeom prst="rect">
                            <a:avLst/>
                          </a:prstGeom>
                          <a:ln>
                            <a:noFill/>
                          </a:ln>
                        </wps:spPr>
                        <wps:txbx>
                          <w:txbxContent>
                            <w:p w14:paraId="2B8C181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479" name="Rectangle 22479"/>
                        <wps:cNvSpPr/>
                        <wps:spPr>
                          <a:xfrm rot="-10799999">
                            <a:off x="1092982" y="1765936"/>
                            <a:ext cx="2899048" cy="142889"/>
                          </a:xfrm>
                          <a:prstGeom prst="rect">
                            <a:avLst/>
                          </a:prstGeom>
                          <a:ln>
                            <a:noFill/>
                          </a:ln>
                        </wps:spPr>
                        <wps:txbx>
                          <w:txbxContent>
                            <w:p w14:paraId="103BEF46" w14:textId="77777777" w:rsidR="00B32EF2" w:rsidRDefault="00000000">
                              <w:r>
                                <w:rPr>
                                  <w:rFonts w:ascii="Arial" w:eastAsia="Arial" w:hAnsi="Arial" w:cs="Arial"/>
                                  <w:sz w:val="18"/>
                                </w:rPr>
                                <w:t>duale, le attività individuate nella lettera h).</w:t>
                              </w:r>
                            </w:p>
                          </w:txbxContent>
                        </wps:txbx>
                        <wps:bodyPr horzOverflow="overflow" vert="horz" lIns="0" tIns="0" rIns="0" bIns="0" rtlCol="0">
                          <a:noAutofit/>
                        </wps:bodyPr>
                      </wps:wsp>
                      <wps:wsp>
                        <wps:cNvPr id="202242" name="Rectangle 202242"/>
                        <wps:cNvSpPr/>
                        <wps:spPr>
                          <a:xfrm rot="-10799999">
                            <a:off x="-1285314" y="1634948"/>
                            <a:ext cx="5212823" cy="142889"/>
                          </a:xfrm>
                          <a:prstGeom prst="rect">
                            <a:avLst/>
                          </a:prstGeom>
                          <a:ln>
                            <a:noFill/>
                          </a:ln>
                        </wps:spPr>
                        <wps:txbx>
                          <w:txbxContent>
                            <w:p w14:paraId="36D58392" w14:textId="77777777" w:rsidR="00B32EF2" w:rsidRDefault="00000000">
                              <w:r>
                                <w:rPr>
                                  <w:rFonts w:ascii="Arial" w:eastAsia="Arial" w:hAnsi="Arial" w:cs="Arial"/>
                                  <w:sz w:val="18"/>
                                </w:rPr>
                                <w:t>. Non possono essere componenti di corte di giustizia tributaria di primo gra</w:t>
                              </w:r>
                            </w:p>
                          </w:txbxContent>
                        </wps:txbx>
                        <wps:bodyPr horzOverflow="overflow" vert="horz" lIns="0" tIns="0" rIns="0" bIns="0" rtlCol="0">
                          <a:noAutofit/>
                        </wps:bodyPr>
                      </wps:wsp>
                      <wps:wsp>
                        <wps:cNvPr id="202241" name="Rectangle 202241"/>
                        <wps:cNvSpPr/>
                        <wps:spPr>
                          <a:xfrm rot="-10799999">
                            <a:off x="2635073" y="1634948"/>
                            <a:ext cx="5212823" cy="142889"/>
                          </a:xfrm>
                          <a:prstGeom prst="rect">
                            <a:avLst/>
                          </a:prstGeom>
                          <a:ln>
                            <a:noFill/>
                          </a:ln>
                        </wps:spPr>
                        <wps:txbx>
                          <w:txbxContent>
                            <w:p w14:paraId="0889D005"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2481" name="Rectangle 22481"/>
                        <wps:cNvSpPr/>
                        <wps:spPr>
                          <a:xfrm rot="-10799999">
                            <a:off x="19432" y="1634948"/>
                            <a:ext cx="50622" cy="142889"/>
                          </a:xfrm>
                          <a:prstGeom prst="rect">
                            <a:avLst/>
                          </a:prstGeom>
                          <a:ln>
                            <a:noFill/>
                          </a:ln>
                        </wps:spPr>
                        <wps:txbx>
                          <w:txbxContent>
                            <w:p w14:paraId="124C94D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482" name="Rectangle 22482"/>
                        <wps:cNvSpPr/>
                        <wps:spPr>
                          <a:xfrm rot="-10799999">
                            <a:off x="-1317050" y="1503960"/>
                            <a:ext cx="5309082" cy="142889"/>
                          </a:xfrm>
                          <a:prstGeom prst="rect">
                            <a:avLst/>
                          </a:prstGeom>
                          <a:ln>
                            <a:noFill/>
                          </a:ln>
                        </wps:spPr>
                        <wps:txbx>
                          <w:txbxContent>
                            <w:p w14:paraId="08E03ED5" w14:textId="77777777" w:rsidR="00B32EF2" w:rsidRDefault="00000000">
                              <w:r>
                                <w:rPr>
                                  <w:rFonts w:ascii="Arial" w:eastAsia="Arial" w:hAnsi="Arial" w:cs="Arial"/>
                                  <w:sz w:val="18"/>
                                </w:rPr>
                                <w:t xml:space="preserve">do i coniugi, i conviventi o i parenti fino al secondo grado o gli affini in primo </w:t>
                              </w:r>
                            </w:p>
                          </w:txbxContent>
                        </wps:txbx>
                        <wps:bodyPr horzOverflow="overflow" vert="horz" lIns="0" tIns="0" rIns="0" bIns="0" rtlCol="0">
                          <a:noAutofit/>
                        </wps:bodyPr>
                      </wps:wsp>
                      <wps:wsp>
                        <wps:cNvPr id="22483" name="Rectangle 22483"/>
                        <wps:cNvSpPr/>
                        <wps:spPr>
                          <a:xfrm rot="-10799999">
                            <a:off x="-1317035" y="1372972"/>
                            <a:ext cx="5309066" cy="142889"/>
                          </a:xfrm>
                          <a:prstGeom prst="rect">
                            <a:avLst/>
                          </a:prstGeom>
                          <a:ln>
                            <a:noFill/>
                          </a:ln>
                        </wps:spPr>
                        <wps:txbx>
                          <w:txbxContent>
                            <w:p w14:paraId="64A49516" w14:textId="77777777" w:rsidR="00B32EF2" w:rsidRDefault="00000000">
                              <w:r>
                                <w:rPr>
                                  <w:rFonts w:ascii="Arial" w:eastAsia="Arial" w:hAnsi="Arial" w:cs="Arial"/>
                                  <w:sz w:val="18"/>
                                </w:rPr>
                                <w:t xml:space="preserve">grado di coloro che, iscritti in albi professionali, esercitano, anche in forma non </w:t>
                              </w:r>
                            </w:p>
                          </w:txbxContent>
                        </wps:txbx>
                        <wps:bodyPr horzOverflow="overflow" vert="horz" lIns="0" tIns="0" rIns="0" bIns="0" rtlCol="0">
                          <a:noAutofit/>
                        </wps:bodyPr>
                      </wps:wsp>
                      <wps:wsp>
                        <wps:cNvPr id="22484" name="Rectangle 22484"/>
                        <wps:cNvSpPr/>
                        <wps:spPr>
                          <a:xfrm rot="-10799999">
                            <a:off x="-1317124" y="1241984"/>
                            <a:ext cx="5310070" cy="142889"/>
                          </a:xfrm>
                          <a:prstGeom prst="rect">
                            <a:avLst/>
                          </a:prstGeom>
                          <a:ln>
                            <a:noFill/>
                          </a:ln>
                        </wps:spPr>
                        <wps:txbx>
                          <w:txbxContent>
                            <w:p w14:paraId="0B5FC169" w14:textId="77777777" w:rsidR="00B32EF2" w:rsidRDefault="00000000">
                              <w:r>
                                <w:rPr>
                                  <w:rFonts w:ascii="Arial" w:eastAsia="Arial" w:hAnsi="Arial" w:cs="Arial"/>
                                  <w:sz w:val="18"/>
                                </w:rPr>
                                <w:t xml:space="preserve">individuale, le attività individuate nella lettera h) nella regione e nelle province </w:t>
                              </w:r>
                            </w:p>
                          </w:txbxContent>
                        </wps:txbx>
                        <wps:bodyPr horzOverflow="overflow" vert="horz" lIns="0" tIns="0" rIns="0" bIns="0" rtlCol="0">
                          <a:noAutofit/>
                        </wps:bodyPr>
                      </wps:wsp>
                      <wps:wsp>
                        <wps:cNvPr id="22485" name="Rectangle 22485"/>
                        <wps:cNvSpPr/>
                        <wps:spPr>
                          <a:xfrm rot="-10799999">
                            <a:off x="-1317005" y="1110997"/>
                            <a:ext cx="5309036" cy="142889"/>
                          </a:xfrm>
                          <a:prstGeom prst="rect">
                            <a:avLst/>
                          </a:prstGeom>
                          <a:ln>
                            <a:noFill/>
                          </a:ln>
                        </wps:spPr>
                        <wps:txbx>
                          <w:txbxContent>
                            <w:p w14:paraId="4DE8E70D" w14:textId="77777777" w:rsidR="00B32EF2" w:rsidRDefault="00000000">
                              <w:r>
                                <w:rPr>
                                  <w:rFonts w:ascii="Arial" w:eastAsia="Arial" w:hAnsi="Arial" w:cs="Arial"/>
                                  <w:sz w:val="18"/>
                                </w:rPr>
                                <w:t xml:space="preserve">confinanti con la predetta regione dove ha sede la corte di giustizia tributaria </w:t>
                              </w:r>
                            </w:p>
                          </w:txbxContent>
                        </wps:txbx>
                        <wps:bodyPr horzOverflow="overflow" vert="horz" lIns="0" tIns="0" rIns="0" bIns="0" rtlCol="0">
                          <a:noAutofit/>
                        </wps:bodyPr>
                      </wps:wsp>
                      <wps:wsp>
                        <wps:cNvPr id="22486" name="Rectangle 22486"/>
                        <wps:cNvSpPr/>
                        <wps:spPr>
                          <a:xfrm rot="-10799999">
                            <a:off x="-1316975" y="980009"/>
                            <a:ext cx="5309005" cy="142889"/>
                          </a:xfrm>
                          <a:prstGeom prst="rect">
                            <a:avLst/>
                          </a:prstGeom>
                          <a:ln>
                            <a:noFill/>
                          </a:ln>
                        </wps:spPr>
                        <wps:txbx>
                          <w:txbxContent>
                            <w:p w14:paraId="19A5DBD0" w14:textId="77777777" w:rsidR="00B32EF2" w:rsidRDefault="00000000">
                              <w:r>
                                <w:rPr>
                                  <w:rFonts w:ascii="Arial" w:eastAsia="Arial" w:hAnsi="Arial" w:cs="Arial"/>
                                  <w:sz w:val="18"/>
                                </w:rPr>
                                <w:t xml:space="preserve">di primo grado. Non possono, altresì, essere componenti delle corti di giustizia </w:t>
                              </w:r>
                            </w:p>
                          </w:txbxContent>
                        </wps:txbx>
                        <wps:bodyPr horzOverflow="overflow" vert="horz" lIns="0" tIns="0" rIns="0" bIns="0" rtlCol="0">
                          <a:noAutofit/>
                        </wps:bodyPr>
                      </wps:wsp>
                      <wps:wsp>
                        <wps:cNvPr id="22487" name="Rectangle 22487"/>
                        <wps:cNvSpPr/>
                        <wps:spPr>
                          <a:xfrm rot="-10799999">
                            <a:off x="-1220411" y="849021"/>
                            <a:ext cx="5212443" cy="142889"/>
                          </a:xfrm>
                          <a:prstGeom prst="rect">
                            <a:avLst/>
                          </a:prstGeom>
                          <a:ln>
                            <a:noFill/>
                          </a:ln>
                        </wps:spPr>
                        <wps:txbx>
                          <w:txbxContent>
                            <w:p w14:paraId="7BFF9943" w14:textId="77777777" w:rsidR="00B32EF2" w:rsidRDefault="00000000">
                              <w:r>
                                <w:rPr>
                                  <w:rFonts w:ascii="Arial" w:eastAsia="Arial" w:hAnsi="Arial" w:cs="Arial"/>
                                  <w:sz w:val="18"/>
                                </w:rPr>
                                <w:t>tributaria di secondo grado i coniugi, i conviventi o i parenti fino al secon</w:t>
                              </w:r>
                            </w:p>
                          </w:txbxContent>
                        </wps:txbx>
                        <wps:bodyPr horzOverflow="overflow" vert="horz" lIns="0" tIns="0" rIns="0" bIns="0" rtlCol="0">
                          <a:noAutofit/>
                        </wps:bodyPr>
                      </wps:wsp>
                      <wps:wsp>
                        <wps:cNvPr id="22488" name="Rectangle 22488"/>
                        <wps:cNvSpPr/>
                        <wps:spPr>
                          <a:xfrm rot="-10799999">
                            <a:off x="19432" y="849021"/>
                            <a:ext cx="50622" cy="142889"/>
                          </a:xfrm>
                          <a:prstGeom prst="rect">
                            <a:avLst/>
                          </a:prstGeom>
                          <a:ln>
                            <a:noFill/>
                          </a:ln>
                        </wps:spPr>
                        <wps:txbx>
                          <w:txbxContent>
                            <w:p w14:paraId="132ABA0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489" name="Rectangle 22489"/>
                        <wps:cNvSpPr/>
                        <wps:spPr>
                          <a:xfrm rot="-10799999">
                            <a:off x="-1317050" y="718034"/>
                            <a:ext cx="5309082" cy="142889"/>
                          </a:xfrm>
                          <a:prstGeom prst="rect">
                            <a:avLst/>
                          </a:prstGeom>
                          <a:ln>
                            <a:noFill/>
                          </a:ln>
                        </wps:spPr>
                        <wps:txbx>
                          <w:txbxContent>
                            <w:p w14:paraId="062EA0DA" w14:textId="77777777" w:rsidR="00B32EF2" w:rsidRDefault="00000000">
                              <w:r>
                                <w:rPr>
                                  <w:rFonts w:ascii="Arial" w:eastAsia="Arial" w:hAnsi="Arial" w:cs="Arial"/>
                                  <w:sz w:val="18"/>
                                </w:rPr>
                                <w:t xml:space="preserve">do grado o gli affini in primo grado di coloro che, iscritti in albi professionali, </w:t>
                              </w:r>
                            </w:p>
                          </w:txbxContent>
                        </wps:txbx>
                        <wps:bodyPr horzOverflow="overflow" vert="horz" lIns="0" tIns="0" rIns="0" bIns="0" rtlCol="0">
                          <a:noAutofit/>
                        </wps:bodyPr>
                      </wps:wsp>
                      <wps:wsp>
                        <wps:cNvPr id="22490" name="Rectangle 22490"/>
                        <wps:cNvSpPr/>
                        <wps:spPr>
                          <a:xfrm rot="-10799999">
                            <a:off x="-1317004" y="587045"/>
                            <a:ext cx="5309035" cy="142889"/>
                          </a:xfrm>
                          <a:prstGeom prst="rect">
                            <a:avLst/>
                          </a:prstGeom>
                          <a:ln>
                            <a:noFill/>
                          </a:ln>
                        </wps:spPr>
                        <wps:txbx>
                          <w:txbxContent>
                            <w:p w14:paraId="5AE19A38" w14:textId="77777777" w:rsidR="00B32EF2" w:rsidRDefault="00000000">
                              <w:r>
                                <w:rPr>
                                  <w:rFonts w:ascii="Arial" w:eastAsia="Arial" w:hAnsi="Arial" w:cs="Arial"/>
                                  <w:sz w:val="18"/>
                                </w:rPr>
                                <w:t xml:space="preserve">esercitano, anche in forma non individuale, le attività individuate nella lettera </w:t>
                              </w:r>
                            </w:p>
                          </w:txbxContent>
                        </wps:txbx>
                        <wps:bodyPr horzOverflow="overflow" vert="horz" lIns="0" tIns="0" rIns="0" bIns="0" rtlCol="0">
                          <a:noAutofit/>
                        </wps:bodyPr>
                      </wps:wsp>
                      <wps:wsp>
                        <wps:cNvPr id="22491" name="Rectangle 22491"/>
                        <wps:cNvSpPr/>
                        <wps:spPr>
                          <a:xfrm rot="-10799999">
                            <a:off x="-1218967" y="456057"/>
                            <a:ext cx="5210999" cy="142889"/>
                          </a:xfrm>
                          <a:prstGeom prst="rect">
                            <a:avLst/>
                          </a:prstGeom>
                          <a:ln>
                            <a:noFill/>
                          </a:ln>
                        </wps:spPr>
                        <wps:txbx>
                          <w:txbxContent>
                            <w:p w14:paraId="6A8B18F5" w14:textId="77777777" w:rsidR="00B32EF2" w:rsidRDefault="00000000">
                              <w:r>
                                <w:rPr>
                                  <w:rFonts w:ascii="Arial" w:eastAsia="Arial" w:hAnsi="Arial" w:cs="Arial"/>
                                  <w:sz w:val="18"/>
                                </w:rPr>
                                <w:t>h) del comma 2 nella regione dove ha sede la corte di giustizia tributaria di se</w:t>
                              </w:r>
                            </w:p>
                          </w:txbxContent>
                        </wps:txbx>
                        <wps:bodyPr horzOverflow="overflow" vert="horz" lIns="0" tIns="0" rIns="0" bIns="0" rtlCol="0">
                          <a:noAutofit/>
                        </wps:bodyPr>
                      </wps:wsp>
                      <wps:wsp>
                        <wps:cNvPr id="22492" name="Rectangle 22492"/>
                        <wps:cNvSpPr/>
                        <wps:spPr>
                          <a:xfrm rot="-10799999">
                            <a:off x="19432" y="456057"/>
                            <a:ext cx="50622" cy="142889"/>
                          </a:xfrm>
                          <a:prstGeom prst="rect">
                            <a:avLst/>
                          </a:prstGeom>
                          <a:ln>
                            <a:noFill/>
                          </a:ln>
                        </wps:spPr>
                        <wps:txbx>
                          <w:txbxContent>
                            <w:p w14:paraId="1AA9D38B" w14:textId="77777777" w:rsidR="00B32EF2" w:rsidRDefault="00000000">
                              <w:r>
                                <w:rPr>
                                  <w:rFonts w:ascii="Arial" w:eastAsia="Arial" w:hAnsi="Arial" w:cs="Arial"/>
                                  <w:sz w:val="18"/>
                                </w:rPr>
                                <w:t>-</w:t>
                              </w:r>
                            </w:p>
                          </w:txbxContent>
                        </wps:txbx>
                        <wps:bodyPr horzOverflow="overflow" vert="horz" lIns="0" tIns="0" rIns="0" bIns="0" rtlCol="0">
                          <a:noAutofit/>
                        </wps:bodyPr>
                      </wps:wsp>
                    </wpg:wgp>
                  </a:graphicData>
                </a:graphic>
              </wp:inline>
            </w:drawing>
          </mc:Choice>
          <mc:Fallback>
            <w:pict>
              <v:group w14:anchorId="3275D9AB" id="Group 202291" o:spid="_x0000_s6420" style="width:314.35pt;height:493.15pt;mso-position-horizontal-relative:char;mso-position-vertical-relative:line" coordsize="39920,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1/kEgoAAA59AAAOAAAAZHJzL2Uyb0RvYy54bWzkXdlu4zgWfR9g/sHwe8pcxEVGpRqDXgoD&#10;DKYbvXyAyrETA7ZlSK5Kar5+ziUlylbYaEAaFINhPbgcOpFFHp67HF5S7797OR4WX7ZNu69P90v+&#10;ji0X29OmftifHu+Xf/z+051dLtpLdXqoDvVpe7/8um2X3334+9/eP5/XW1E/1YeHbbPARU7t+vl8&#10;v3y6XM7r1ardPG2PVfuuPm9P+HBXN8fqgh+bx9VDUz3j6sfDSjCmV89183Bu6s22bdH6g/9w+cFd&#10;f7fbbi4/73bt9rI43C9xbxf32rjXT/S6+vC+Wj821flpv+luo5pwF8dqf8KXhkv9UF2qxedm/+pS&#10;x/2mqdt6d3m3qY+rerfbb7auD+gNZ6PefGzqz2fXl8f18+M5DBOGdjROky+7+feXj835t/MvDUbi&#10;+fyIsXA/UV9eds2R/sddLl7ckH0NQ7Z9uSw2aJRlKZjEyG7wmRZaWFX4Qd08YeRf/d3m6ce/+MtV&#10;/8Wrm9t5PmOCtMMYtPPG4Len6rx1Q9uuMQa/NIv9w/1SiEIWy8WpOmKq/orJU50eD9uFb3YD5H47&#10;DFe7bjFy/Vgtmhrz644zU9I/Nx+6seMlY0aL5QKjdKcFfvSD1A8jN1bq0o+iUEwXmj4PQ1Gtz017&#10;+bitjwt6c79scG/u+tWXf7UX/6v9r9DtHE70eqp/2h8O/lNqwYj2d0zvLi+fXly3Fcd3d937VD98&#10;xWg81c1/fgavd4f6+X5Zd++WRHV8PX26XBz+eQIKxKr+TdO/+dS/aS6H72vHPX9D//h8qXd7d8d0&#10;C/7bujsDvDQHvxHOKo6z6gcCs2ICzopzBQYQzprzstTuetW6B9oyKSRsItGFF8JaN/DfDmjjJt4w&#10;9P/vQDNwF7x6xWjf3s35aVALrnXpKa0AtJYjqLlVpuhNI2HtSf8Nseb9XM6D1ISp+ROsTT8Uk7AW&#10;gvNC4dpg7RvFWvQdzAdrmNEor20/FJOwvuNFYTh/y1jLvoN5YI2gLEZr1zzPgluuhXfWyhop2diC&#10;g/RMp/TWLpbOy1vH4jKy7PMCM4FoTDBASRbcFGVpXIQ9BGZKMsToOmFkFjqYB6sJUwx31II7bGja&#10;T7Tg0miuEPa9XbBDD/MAG7Y6FoW75jkm/I4LAQsNm0FQQ3/oMucrXgsuDE/J6xB65gJ1AUngFa1F&#10;geY5UPOykF22FcWZaYGPk+XVIejMBmWEyDGUQ9I5yXZDESmU9HRWTEowF5NmoLM0TCrTKWVJBJTM&#10;lDJy08DjFdK+fQ6hEZKxkjhLpltCM7XOUg5YK8kZ15hmqUhtg8XKg9SEaUz+9u1zsL7j0pKG8pbB&#10;DoYrD7ABdYzXrnkm1FhOMB3UQmkN4ezGhidPtWxmYhkwjdHaNc+BGsF3WdhOKuNSSjFCWmDNS6mU&#10;Fjw7qQw6yWtnDaSDujApLLuTpVS8y6gZw+qmi3cHX11Iq9IinZlUBkhj6olrnsNpyqiFgIWksKyw&#10;VmsIoLfmW8CZ02JIsrAszOVsPHVc/8Zq1xyoh4za4zwy3pC+U2bUNjuJrIgtaIHQQVqYZro5kmgU&#10;5nhCGw03PSa0ZIYn9dJhHmdD6LgailKFOYRGlkULWn6dutAFg6ce2W6CWiZUQ22YzLlAreJqKJrn&#10;Qc0hdkOgcG4aBVwaotitm+bcqJSLl760KZ/FSyxRxiVRNM+DWnLYZ7/GQXG2HlcPUkKN9et0EZm/&#10;oayghj99pYliBgRlYaKvFtwWomO1UAXU7hGrBWf0LcmC7zJM5mwMeFwmwyrFHFZfBd9RnNMG36hr&#10;7DqXDcpxhcxXs08uRShKzmnlm3JpLiTM+C2dpWLMglLp6BxmcTZAxwUy+Nc5dEaJmu2KBmlLhBGj&#10;HEuiKhylCgmBzk4fU3F9DM1zgCZ9rJQaPgGcllZzA37jgoMUqqCfISBLCHWYytlwOq6P+YWnycZ7&#10;cNEOZ1+/coVzYhcd5nE2KMf1MRUkhakxt2Cq9OuV0kAg8UH8FdAoIcM6VkJCZ6ePUfFmLL2ap49d&#10;ETqKc2JCh3mcC6F1XBpD80wPbQrsvPIeGtt1jO62pPab8BSkM2NSEjrM42ygjktjqO6aA7WEXdY9&#10;0oW2xozWsAxiNZSVpUqvsEO97182QMeFMaw/zQHarWyUSKpc1C2lMX4h4cpJSyTSZFASrUpj+37f&#10;w2ygjgtjyI3mQE11Jm7bLOVXVNzvB3ZAujDQwDETkgEdpnI2QMe1Me9WJ6dXntNdoSCF3ZaPxe7E&#10;e7JwskU/lbOBOq6O+WMMZkANScR0Wy1RM1hYMarrV9hNXxTphFDBstPHdFwfQ/Mc8z3kWB7nkeCd&#10;tqgIiX7fuWwIHZfGdJAUposm8M4uHhMw3BZbtDFtBi8NQgu48oRuOszjbKCO62O+fnOy7b4itMN5&#10;tLCRmtBhHmeDclwaG05wmkhoFJmwrsJbaItzvFzqekVoCsaSEjo7fQyHNcVU0OEMp4lQYyESpxF5&#10;242ifeuT8yuoyXaLlLY7O33MxPUxNP+PgrEozkkFb1Qy9Z3LxXabuDiG5jko3yTSAuVjFkn1bTCW&#10;OpFGaUTXw2ygjotjqNKcA7UoeKkgiJEMil06pR3vmebKCJSDpgu7eZjL2SAdV8c8ByeH3XecCj1J&#10;5ySoucJJkeM6E4bTJVF5m0wI9XId9TAbqOPqGJYS55DaHWKDSkAPNRMGRYMj+00BGe3JS6V5Y+d+&#10;bvY7ro75Y8Mms/oqmY7inDggC/M4G0LH1TG/jDwZZUfoPsPiWJYsxXhlI3WG5c/Vycp2x9UxE1SF&#10;Scn0QOg4zokJnZ06RkdDRQrH/Oa4yYSmg4rKbk88N4i6sIUS/nBQTED2ktH+3WQOOkzjPEw3HUkU&#10;S6Z9+8xozOLkKV8PyrUscMTJLdi0tGFh0dOBnZk8RqDG9DHfPgdsgVPbGe2cRJL1NrHGGltmkTcd&#10;KBQx4Wieg/SVo45yOq2jhtieG8ox6y1QGNIPxKRwjKRQw7pUmuMASSoJxMgOntodPpYylcaZKrlB&#10;HZdC7Twp1EONh244243qotLL6COoqcolVVDms76ckiwb10LRPMd2O6h5Vz6G/3npL3gNNccDlhJq&#10;obi53Fgd10JxFvdsqBnKtByroYFj+wZd8Bpq1CEkPMJGYCdYblDHtdDhhK7JvhoHhXqoSxs9rAiP&#10;ZMDnyex3diVktFcmFnsHHWki0qg4Kbrt8bYomQ93rziNjNodR5sM6dDBPOQTBNpxOXQ4n2sS0kOW&#10;FYU5cZKVmUYGkONq6HAy1ySQb5Isw/FIw1i5SdIcKzOBDM84ROwbMdzDwVwzkMbWCIrG8IgsVCTE&#10;grGELhqlLpkFY3RaUAzpoCBNRBonj5XYFUBIF0qzV4e2o1yPHmqbLBiToYO5uGh6uGgM6SAgTUJ6&#10;cNFRmNO6aDzh543Q2T19Gg/ddk9h7h4QTk/1vv7ZPbd4eIz5h/8CAAD//wMAUEsDBBQABgAIAAAA&#10;IQAF8LNt3QAAAAUBAAAPAAAAZHJzL2Rvd25yZXYueG1sTI9BS8NAEIXvgv9hGcGb3aTFmKbZlFLU&#10;UxFsBfE2zU6T0OxsyG6T9N+7etHLwOM93vsmX0+mFQP1rrGsIJ5FIIhLqxuuFHwcXh5SEM4ja2wt&#10;k4IrOVgXtzc5ZtqO/E7D3lcilLDLUEHtfZdJ6cqaDLqZ7YiDd7K9QR9kX0nd4xjKTSvnUZRIgw2H&#10;hRo72tZUnvcXo+B1xHGziJ+H3fm0vX4dHt8+dzEpdX83bVYgPE3+Lww/+AEdisB0tBfWTrQKwiP+&#10;9wYvmadPII4KlmmyAFnk8j998Q0AAP//AwBQSwECLQAUAAYACAAAACEAtoM4kv4AAADhAQAAEwAA&#10;AAAAAAAAAAAAAAAAAAAAW0NvbnRlbnRfVHlwZXNdLnhtbFBLAQItABQABgAIAAAAIQA4/SH/1gAA&#10;AJQBAAALAAAAAAAAAAAAAAAAAC8BAABfcmVscy8ucmVsc1BLAQItABQABgAIAAAAIQBlx1/kEgoA&#10;AA59AAAOAAAAAAAAAAAAAAAAAC4CAABkcnMvZTJvRG9jLnhtbFBLAQItABQABgAIAAAAIQAF8LNt&#10;3QAAAAUBAAAPAAAAAAAAAAAAAAAAAGwMAABkcnMvZG93bnJldi54bWxQSwUGAAAAAAQABADzAAAA&#10;dg0AAAAA&#10;">
                <v:rect id="Rectangle 22434" o:spid="_x0000_s6421" style="position:absolute;left:19007;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tT6xwAAAN4AAAAPAAAAZHJzL2Rvd25yZXYueG1sRI9Pa8JA&#10;FMTvgt9heYI33TRKkegqxSLNoRf/gcdH9pmkzb5dsqtJ++m7QsHjMDO/YVab3jTiTq2vLSt4mSYg&#10;iAuray4VnI67yQKED8gaG8uk4Ic8bNbDwQozbTve0/0QShEh7DNUUIXgMil9UZFBP7WOOHpX2xoM&#10;Ubal1C12EW4amSbJqzRYc1yo0NG2ouL7cDMKLu/s8l0ni+vv1n1+5Yvm43Y6KzUe9W9LEIH68Az/&#10;t3OtIE3nszk87sQrINd/AAAA//8DAFBLAQItABQABgAIAAAAIQDb4fbL7gAAAIUBAAATAAAAAAAA&#10;AAAAAAAAAAAAAABbQ29udGVudF9UeXBlc10ueG1sUEsBAi0AFAAGAAgAAAAhAFr0LFu/AAAAFQEA&#10;AAsAAAAAAAAAAAAAAAAAHwEAAF9yZWxzLy5yZWxzUEsBAi0AFAAGAAgAAAAhAGzS1PrHAAAA3gAA&#10;AA8AAAAAAAAAAAAAAAAABwIAAGRycy9kb3ducmV2LnhtbFBLBQYAAAAAAwADALcAAAD7AgAAAAA=&#10;" filled="f" stroked="f">
                  <v:textbox inset="0,0,0,0">
                    <w:txbxContent>
                      <w:p w14:paraId="42333540" w14:textId="77777777" w:rsidR="00B32EF2" w:rsidRDefault="00000000">
                        <w:r>
                          <w:rPr>
                            <w:rFonts w:ascii="Times New Roman" w:eastAsia="Times New Roman" w:hAnsi="Times New Roman" w:cs="Times New Roman"/>
                          </w:rPr>
                          <w:t>24</w:t>
                        </w:r>
                      </w:p>
                    </w:txbxContent>
                  </v:textbox>
                </v:rect>
                <v:rect id="Rectangle 22435" o:spid="_x0000_s6422" style="position:absolute;left:15115;top:61199;width:80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nFhxwAAAN4AAAAPAAAAZHJzL2Rvd25yZXYueG1sRI9Ba8JA&#10;FITvgv9heUJvumlqi6SuIoo0h160KfT4yD6TtNm3S3Y1qb++KxQ8DjPzDbNcD6YVF+p8Y1nB4ywB&#10;QVxa3XCloPjYTxcgfEDW2FomBb/kYb0aj5aYadvzgS7HUIkIYZ+hgjoEl0npy5oM+pl1xNE72c5g&#10;iLKrpO6wj3DTyjRJXqTBhuNCjY62NZU/x7NR8LVjl+97WZ6uW/f+nS/at3PxqdTDZNi8ggg0hHv4&#10;v51rBWk6f3qG2514BeTqDwAA//8DAFBLAQItABQABgAIAAAAIQDb4fbL7gAAAIUBAAATAAAAAAAA&#10;AAAAAAAAAAAAAABbQ29udGVudF9UeXBlc10ueG1sUEsBAi0AFAAGAAgAAAAhAFr0LFu/AAAAFQEA&#10;AAsAAAAAAAAAAAAAAAAAHwEAAF9yZWxzLy5yZWxzUEsBAi0AFAAGAAgAAAAhAAOecWHHAAAA3gAA&#10;AA8AAAAAAAAAAAAAAAAABwIAAGRycy9kb3ducmV2LnhtbFBLBQYAAAAAAwADALcAAAD7AgAAAAA=&#10;" filled="f" stroked="f">
                  <v:textbox inset="0,0,0,0">
                    <w:txbxContent>
                      <w:p w14:paraId="18E8BE53" w14:textId="77777777" w:rsidR="00B32EF2" w:rsidRDefault="00000000">
                        <w:r>
                          <w:rPr>
                            <w:rFonts w:ascii="Arial" w:eastAsia="Arial" w:hAnsi="Arial" w:cs="Arial"/>
                            <w:b/>
                            <w:sz w:val="18"/>
                          </w:rPr>
                          <w:t>Articolo 14</w:t>
                        </w:r>
                      </w:p>
                    </w:txbxContent>
                  </v:textbox>
                </v:rect>
                <v:rect id="Rectangle 202249" o:spid="_x0000_s6423" style="position:absolute;left:12166;top:59966;width:185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zljxwAAAN8AAAAPAAAAZHJzL2Rvd25yZXYueG1sRI9Ba8JA&#10;FITvBf/D8gRvdWMoxUZXEUWag5daBY+P7DOJZt8u2dVEf323UOhxmJlvmPmyN424U+trywom4wQE&#10;cWF1zaWCw/f2dQrCB2SNjWVS8CAPy8XgZY6Zth1/0X0fShEh7DNUUIXgMil9UZFBP7aOOHpn2xoM&#10;Ubal1C12EW4amSbJuzRYc1yo0NG6ouK6vxkFpw27fNvJ4vxcu90lnzaft8NRqdGwX81ABOrDf/iv&#10;nWsFaZKmbx/w+yd+Abn4AQAA//8DAFBLAQItABQABgAIAAAAIQDb4fbL7gAAAIUBAAATAAAAAAAA&#10;AAAAAAAAAAAAAABbQ29udGVudF9UeXBlc10ueG1sUEsBAi0AFAAGAAgAAAAhAFr0LFu/AAAAFQEA&#10;AAsAAAAAAAAAAAAAAAAAHwEAAF9yZWxzLy5yZWxzUEsBAi0AFAAGAAgAAAAhAGRLOWPHAAAA3wAA&#10;AA8AAAAAAAAAAAAAAAAABwIAAGRycy9kb3ducmV2LnhtbFBLBQYAAAAAAwADALcAAAD7AgAAAAA=&#10;" filled="f" stroked="f">
                  <v:textbox inset="0,0,0,0">
                    <w:txbxContent>
                      <w:p w14:paraId="567E3480" w14:textId="77777777" w:rsidR="00B32EF2" w:rsidRDefault="00000000">
                        <w:r>
                          <w:rPr>
                            <w:rFonts w:ascii="Arial" w:eastAsia="Arial" w:hAnsi="Arial" w:cs="Arial"/>
                            <w:i/>
                            <w:sz w:val="18"/>
                          </w:rPr>
                          <w:t xml:space="preserve">articolo 8 D.lgs. n. </w:t>
                        </w:r>
                      </w:p>
                    </w:txbxContent>
                  </v:textbox>
                </v:rect>
                <v:rect id="Rectangle 202247" o:spid="_x0000_s6424" style="position:absolute;left:22114;top:59966;width:185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AiKxwAAAN8AAAAPAAAAZHJzL2Rvd25yZXYueG1sRI9Ba8JA&#10;FITvBf/D8gRvdWMorURXEUWag5daBY+P7DOJZt8u2dVEf323UOhxmJlvmPmyN424U+trywom4wQE&#10;cWF1zaWCw/f2dQrCB2SNjWVS8CAPy8XgZY6Zth1/0X0fShEh7DNUUIXgMil9UZFBP7aOOHpn2xoM&#10;Ubal1C12EW4amSbJuzRYc1yo0NG6ouK6vxkFpw27fNvJ4vxcu90lnzaft8NRqdGwX81ABOrDf/iv&#10;nWsFaZKmbx/w+yd+Abn4AQAA//8DAFBLAQItABQABgAIAAAAIQDb4fbL7gAAAIUBAAATAAAAAAAA&#10;AAAAAAAAAAAAAABbQ29udGVudF9UeXBlc10ueG1sUEsBAi0AFAAGAAgAAAAhAFr0LFu/AAAAFQEA&#10;AAsAAAAAAAAAAAAAAAAAHwEAAF9yZWxzLy5yZWxzUEsBAi0AFAAGAAgAAAAhAHqYCIrHAAAA3wAA&#10;AA8AAAAAAAAAAAAAAAAABwIAAGRycy9kb3ducmV2LnhtbFBLBQYAAAAAAwADALcAAAD7AgAAAAA=&#10;" filled="f" stroked="f">
                  <v:textbox inset="0,0,0,0">
                    <w:txbxContent>
                      <w:p w14:paraId="198CCA17" w14:textId="77777777" w:rsidR="00B32EF2" w:rsidRDefault="00000000">
                        <w:r>
                          <w:rPr>
                            <w:rFonts w:ascii="Arial" w:eastAsia="Arial" w:hAnsi="Arial" w:cs="Arial"/>
                            <w:i/>
                            <w:sz w:val="18"/>
                          </w:rPr>
                          <w:t>(</w:t>
                        </w:r>
                      </w:p>
                    </w:txbxContent>
                  </v:textbox>
                </v:rect>
                <v:rect id="Rectangle 202248" o:spid="_x0000_s6425" style="position:absolute;left:-1447;top:59966;width:185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z4xQAAAN8AAAAPAAAAZHJzL2Rvd25yZXYueG1sRE89a8Mw&#10;EN0L+Q/iAtkaOaYU40YJxcHUQ5a6KXQ8rIvt1joJS4md/PpqKHR8vO/tfjaDuNLoe8sKNusEBHFj&#10;dc+tgtNH+ZiB8AFZ42CZFNzIw363eNhiru3E73StQytiCPscFXQhuFxK33Rk0K+tI47c2Y4GQ4Rj&#10;K/WIUww3g0yT5Fka7Dk2dOio6Kj5qS9GwdeBXVVOsjnfC3f8rrLh7XL6VGq1nF9fQASaw7/4z11p&#10;BWmSpk9xcPwTv4Dc/QIAAP//AwBQSwECLQAUAAYACAAAACEA2+H2y+4AAACFAQAAEwAAAAAAAAAA&#10;AAAAAAAAAAAAW0NvbnRlbnRfVHlwZXNdLnhtbFBLAQItABQABgAIAAAAIQBa9CxbvwAAABUBAAAL&#10;AAAAAAAAAAAAAAAAAB8BAABfcmVscy8ucmVsc1BLAQItABQABgAIAAAAIQALB5z4xQAAAN8AAAAP&#10;AAAAAAAAAAAAAAAAAAcCAABkcnMvZG93bnJldi54bWxQSwUGAAAAAAMAAwC3AAAA+QIAAAAA&#10;" filled="f" stroked="f">
                  <v:textbox inset="0,0,0,0">
                    <w:txbxContent>
                      <w:p w14:paraId="0C62C5FC" w14:textId="77777777" w:rsidR="00B32EF2" w:rsidRDefault="00000000">
                        <w:r>
                          <w:rPr>
                            <w:rFonts w:ascii="Arial" w:eastAsia="Arial" w:hAnsi="Arial" w:cs="Arial"/>
                            <w:i/>
                            <w:sz w:val="18"/>
                          </w:rPr>
                          <w:t>545/92)</w:t>
                        </w:r>
                      </w:p>
                    </w:txbxContent>
                  </v:textbox>
                </v:rect>
                <v:rect id="Rectangle 22437" o:spid="_x0000_s6426" style="position:absolute;left:12816;top:58733;width:1145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EqNxwAAAN4AAAAPAAAAZHJzL2Rvd25yZXYueG1sRI9Ba8JA&#10;FITvgv9heUJvumkqraSuIoo0h160KfT4yD6TtNm3S3Y1qb++KxQ8DjPzDbNcD6YVF+p8Y1nB4ywB&#10;QVxa3XCloPjYTxcgfEDW2FomBb/kYb0aj5aYadvzgS7HUIkIYZ+hgjoEl0npy5oM+pl1xNE72c5g&#10;iLKrpO6wj3DTyjRJnqXBhuNCjY62NZU/x7NR8LVjl+97WZ6uW/f+nS/at3PxqdTDZNi8ggg0hHv4&#10;v51rBWk6f3qB2514BeTqDwAA//8DAFBLAQItABQABgAIAAAAIQDb4fbL7gAAAIUBAAATAAAAAAAA&#10;AAAAAAAAAAAAAABbQ29udGVudF9UeXBlc10ueG1sUEsBAi0AFAAGAAgAAAAhAFr0LFu/AAAAFQEA&#10;AAsAAAAAAAAAAAAAAAAAHwEAAF9yZWxzLy5yZWxzUEsBAi0AFAAGAAgAAAAhAJwASo3HAAAA3gAA&#10;AA8AAAAAAAAAAAAAAAAABwIAAGRycy9kb3ducmV2LnhtbFBLBQYAAAAAAwADALcAAAD7AgAAAAA=&#10;" filled="f" stroked="f">
                  <v:textbox inset="0,0,0,0">
                    <w:txbxContent>
                      <w:p w14:paraId="1B974E02" w14:textId="77777777" w:rsidR="00B32EF2" w:rsidRDefault="00000000">
                        <w:r>
                          <w:rPr>
                            <w:rFonts w:ascii="Arial" w:eastAsia="Arial" w:hAnsi="Arial" w:cs="Arial"/>
                            <w:b/>
                            <w:sz w:val="18"/>
                          </w:rPr>
                          <w:t xml:space="preserve">Incompatibilità </w:t>
                        </w:r>
                      </w:p>
                    </w:txbxContent>
                  </v:textbox>
                </v:rect>
                <v:rect id="Rectangle 202245" o:spid="_x0000_s6427" style="position:absolute;left:26112;top:574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NmxwAAAN8AAAAPAAAAZHJzL2Rvd25yZXYueG1sRI9Ba8JA&#10;FITvBf/D8gRvdWNoi0RXEUWag5daBY+P7DOJZt8u2dVEf323UOhxmJlvmPmyN424U+trywom4wQE&#10;cWF1zaWCw/f2dQrCB2SNjWVS8CAPy8XgZY6Zth1/0X0fShEh7DNUUIXgMil9UZFBP7aOOHpn2xoM&#10;Ubal1C12EW4amSbJhzRYc1yo0NG6ouK6vxkFpw27fNvJ4vxcu90lnzaft8NRqdGwX81ABOrDf/iv&#10;nWsFaZKmb+/w+yd+Abn4AQAA//8DAFBLAQItABQABgAIAAAAIQDb4fbL7gAAAIUBAAATAAAAAAAA&#10;AAAAAAAAAAAAAABbQ29udGVudF9UeXBlc10ueG1sUEsBAi0AFAAGAAgAAAAhAFr0LFu/AAAAFQEA&#10;AAsAAAAAAAAAAAAAAAAAHwEAAF9yZWxzLy5yZWxzUEsBAi0AFAAGAAgAAAAhAOUGM2bHAAAA3wAA&#10;AA8AAAAAAAAAAAAAAAAABwIAAGRycy9kb3ducmV2LnhtbFBLBQYAAAAAAwADALcAAAD7AgAAAAA=&#10;" filled="f" stroked="f">
                  <v:textbox inset="0,0,0,0">
                    <w:txbxContent>
                      <w:p w14:paraId="6E214FB2" w14:textId="77777777" w:rsidR="00B32EF2" w:rsidRDefault="00000000">
                        <w:r>
                          <w:rPr>
                            <w:rFonts w:ascii="Arial" w:eastAsia="Arial" w:hAnsi="Arial" w:cs="Arial"/>
                            <w:sz w:val="18"/>
                          </w:rPr>
                          <w:t>1</w:t>
                        </w:r>
                      </w:p>
                    </w:txbxContent>
                  </v:textbox>
                </v:rect>
                <v:rect id="Rectangle 202246" o:spid="_x0000_s6428" style="position:absolute;left:-13761;top:57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K0RxwAAAN8AAAAPAAAAZHJzL2Rvd25yZXYueG1sRI9Ba8JA&#10;FITvBf/D8gRvdWMoItFVRJHm0IvWQo+P7DOJZt8u2dXE/npXEHocZuYbZrHqTSNu1PrasoLJOAFB&#10;XFhdc6ng+L17n4HwAVljY5kU3MnDajl4W2Cmbcd7uh1CKSKEfYYKqhBcJqUvKjLox9YRR+9kW4Mh&#10;yraUusUuwk0j0ySZSoM1x4UKHW0qKi6Hq1Hwu2WX7zpZnP427uucz5rP6/FHqdGwX89BBOrDf/jV&#10;zrWCNEnTjyk8/8QvIJcPAAAA//8DAFBLAQItABQABgAIAAAAIQDb4fbL7gAAAIUBAAATAAAAAAAA&#10;AAAAAAAAAAAAAABbQ29udGVudF9UeXBlc10ueG1sUEsBAi0AFAAGAAgAAAAhAFr0LFu/AAAAFQEA&#10;AAsAAAAAAAAAAAAAAAAAHwEAAF9yZWxzLy5yZWxzUEsBAi0AFAAGAAgAAAAhABXUrRHHAAAA3wAA&#10;AA8AAAAAAAAAAAAAAAAABwIAAGRycy9kb3ducmV2LnhtbFBLBQYAAAAAAwADALcAAAD7AgAAAAA=&#10;" filled="f" stroked="f">
                  <v:textbox inset="0,0,0,0">
                    <w:txbxContent>
                      <w:p w14:paraId="5C65DBB9" w14:textId="77777777" w:rsidR="00B32EF2" w:rsidRDefault="00000000">
                        <w:r>
                          <w:rPr>
                            <w:rFonts w:ascii="Arial" w:eastAsia="Arial" w:hAnsi="Arial" w:cs="Arial"/>
                            <w:sz w:val="18"/>
                          </w:rPr>
                          <w:t xml:space="preserve">. Ai magistrati tributari reclutati ai sensi dell’articolo 5 si applicano, in quanto </w:t>
                        </w:r>
                      </w:p>
                    </w:txbxContent>
                  </v:textbox>
                </v:rect>
                <v:rect id="Rectangle 22439" o:spid="_x0000_s6429" style="position:absolute;left:-12206;top:56266;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3tkxwAAAN4AAAAPAAAAZHJzL2Rvd25yZXYueG1sRI9Ba8JA&#10;FITvgv9heUJvumkqJU1dRRRpDr1oLfT4yD6TtNm3S3Y1qb++KxQ8DjPzDbNYDaYVF+p8Y1nB4ywB&#10;QVxa3XCl4Pixm2YgfEDW2FomBb/kYbUcjxaYa9vzni6HUIkIYZ+jgjoEl0vpy5oM+pl1xNE72c5g&#10;iLKrpO6wj3DTyjRJnqXBhuNCjY42NZU/h7NR8LVlV+x6WZ6uG/f+XWTt2/n4qdTDZFi/ggg0hHv4&#10;v11oBWk6f3qB2514BeTyDwAA//8DAFBLAQItABQABgAIAAAAIQDb4fbL7gAAAIUBAAATAAAAAAAA&#10;AAAAAAAAAAAAAABbQ29udGVudF9UeXBlc10ueG1sUEsBAi0AFAAGAAgAAAAhAFr0LFu/AAAAFQEA&#10;AAsAAAAAAAAAAAAAAAAAHwEAAF9yZWxzLy5yZWxzUEsBAi0AFAAGAAgAAAAhAILTe2THAAAA3gAA&#10;AA8AAAAAAAAAAAAAAAAABwIAAGRycy9kb3ducmV2LnhtbFBLBQYAAAAAAwADALcAAAD7AgAAAAA=&#10;" filled="f" stroked="f">
                  <v:textbox inset="0,0,0,0">
                    <w:txbxContent>
                      <w:p w14:paraId="22DE512E" w14:textId="77777777" w:rsidR="00B32EF2" w:rsidRDefault="00000000">
                        <w:r>
                          <w:rPr>
                            <w:rFonts w:ascii="Arial" w:eastAsia="Arial" w:hAnsi="Arial" w:cs="Arial"/>
                            <w:sz w:val="18"/>
                          </w:rPr>
                          <w:t>compatibili, le disposizioni contenute, nel titolo I, capo II, dell’ordinamento giu</w:t>
                        </w:r>
                      </w:p>
                    </w:txbxContent>
                  </v:textbox>
                </v:rect>
                <v:rect id="Rectangle 22440" o:spid="_x0000_s6430" style="position:absolute;left:194;top:562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6GExAAAAN4AAAAPAAAAZHJzL2Rvd25yZXYueG1sRI/NisIw&#10;FIX3A75DuIK7MbXIINUooohduBlHweWlubbV5iY00VaffrIYmOXh/PEtVr1pxJNaX1tWMBknIIgL&#10;q2suFZx+dp8zED4ga2wsk4IXeVgtBx8LzLTt+Juex1CKOMI+QwVVCC6T0hcVGfRj64ijd7WtwRBl&#10;W0rdYhfHTSPTJPmSBmuODxU62lRU3I8Po+CyZZfvOllc3xt3uOWzZv84nZUaDfv1HESgPvyH/9q5&#10;VpCm02kEiDgRBeTyFwAA//8DAFBLAQItABQABgAIAAAAIQDb4fbL7gAAAIUBAAATAAAAAAAAAAAA&#10;AAAAAAAAAABbQ29udGVudF9UeXBlc10ueG1sUEsBAi0AFAAGAAgAAAAhAFr0LFu/AAAAFQEAAAsA&#10;AAAAAAAAAAAAAAAAHwEAAF9yZWxzLy5yZWxzUEsBAi0AFAAGAAgAAAAhAEvvoYTEAAAA3gAAAA8A&#10;AAAAAAAAAAAAAAAABwIAAGRycy9kb3ducmV2LnhtbFBLBQYAAAAAAwADALcAAAD4AgAAAAA=&#10;" filled="f" stroked="f">
                  <v:textbox inset="0,0,0,0">
                    <w:txbxContent>
                      <w:p w14:paraId="4CCEE095" w14:textId="77777777" w:rsidR="00B32EF2" w:rsidRDefault="00000000">
                        <w:r>
                          <w:rPr>
                            <w:rFonts w:ascii="Arial" w:eastAsia="Arial" w:hAnsi="Arial" w:cs="Arial"/>
                            <w:sz w:val="18"/>
                          </w:rPr>
                          <w:t>-</w:t>
                        </w:r>
                      </w:p>
                    </w:txbxContent>
                  </v:textbox>
                </v:rect>
                <v:rect id="Rectangle 22441" o:spid="_x0000_s6431" style="position:absolute;left:2884;top:55033;width:370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wQfxgAAAN4AAAAPAAAAZHJzL2Rvd25yZXYueG1sRI9Ba8JA&#10;FITvgv9heYXedGMQkegqRZHm4EWr4PGRfSZps2+X7Gpif31XEHocZuYbZrnuTSPu1PrasoLJOAFB&#10;XFhdc6ng9LUbzUH4gKyxsUwKHuRhvRoOlphp2/GB7sdQighhn6GCKgSXSemLigz6sXXE0bva1mCI&#10;si2lbrGLcNPINElm0mDNcaFCR5uKip/jzSi4bNnlu04W19+N23/n8+bzdjor9f7WfyxABOrDf/jV&#10;zrWCNJ1OJ/C8E6+AXP0BAAD//wMAUEsBAi0AFAAGAAgAAAAhANvh9svuAAAAhQEAABMAAAAAAAAA&#10;AAAAAAAAAAAAAFtDb250ZW50X1R5cGVzXS54bWxQSwECLQAUAAYACAAAACEAWvQsW78AAAAVAQAA&#10;CwAAAAAAAAAAAAAAAAAfAQAAX3JlbHMvLnJlbHNQSwECLQAUAAYACAAAACEAJKMEH8YAAADeAAAA&#10;DwAAAAAAAAAAAAAAAAAHAgAAZHJzL2Rvd25yZXYueG1sUEsFBgAAAAADAAMAtwAAAPoCAAAAAA==&#10;" filled="f" stroked="f">
                  <v:textbox inset="0,0,0,0">
                    <w:txbxContent>
                      <w:p w14:paraId="581F2427" w14:textId="77777777" w:rsidR="00B32EF2" w:rsidRDefault="00000000">
                        <w:r>
                          <w:rPr>
                            <w:rFonts w:ascii="Arial" w:eastAsia="Arial" w:hAnsi="Arial" w:cs="Arial"/>
                            <w:sz w:val="18"/>
                          </w:rPr>
                          <w:t xml:space="preserve">diziario, di cui al regio decreto 30 gennaio 1941, n. 12. </w:t>
                        </w:r>
                      </w:p>
                    </w:txbxContent>
                  </v:textbox>
                </v:rect>
                <v:rect id="Rectangle 202243" o:spid="_x0000_s6432" style="position:absolute;left:26109;top:53799;width:531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w6JxwAAAN8AAAAPAAAAZHJzL2Rvd25yZXYueG1sRI9Ba8JA&#10;FITvBf/D8gRvdWNaikRXEUWag5daBY+P7DOJZt8u2dVEf323UOhxmJlvmPmyN424U+trywom4wQE&#10;cWF1zaWCw/f2dQrCB2SNjWVS8CAPy8XgZY6Zth1/0X0fShEh7DNUUIXgMil9UZFBP7aOOHpn2xoM&#10;Ubal1C12EW4amSbJhzRYc1yo0NG6ouK6vxkFpw27fNvJ4vxcu90lnzaft8NRqdGwX81ABOrDf/iv&#10;nWsFaZKm72/w+yd+Abn4AQAA//8DAFBLAQItABQABgAIAAAAIQDb4fbL7gAAAIUBAAATAAAAAAAA&#10;AAAAAAAAAAAAAABbQ29udGVudF9UeXBlc10ueG1sUEsBAi0AFAAGAAgAAAAhAFr0LFu/AAAAFQEA&#10;AAsAAAAAAAAAAAAAAAAAHwEAAF9yZWxzLy5yZWxzUEsBAi0AFAAGAAgAAAAhAAWjDonHAAAA3wAA&#10;AA8AAAAAAAAAAAAAAAAABwIAAGRycy9kb3ducmV2LnhtbFBLBQYAAAAAAwADALcAAAD7AgAAAAA=&#10;" filled="f" stroked="f">
                  <v:textbox inset="0,0,0,0">
                    <w:txbxContent>
                      <w:p w14:paraId="45BA7951" w14:textId="77777777" w:rsidR="00B32EF2" w:rsidRDefault="00000000">
                        <w:r>
                          <w:rPr>
                            <w:rFonts w:ascii="Arial" w:eastAsia="Arial" w:hAnsi="Arial" w:cs="Arial"/>
                            <w:sz w:val="18"/>
                          </w:rPr>
                          <w:t>2</w:t>
                        </w:r>
                      </w:p>
                    </w:txbxContent>
                  </v:textbox>
                </v:rect>
                <v:rect id="Rectangle 202244" o:spid="_x0000_s6433" style="position:absolute;left:-13821;top:53799;width:531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b9xwAAAN8AAAAPAAAAZHJzL2Rvd25yZXYueG1sRI9Ba8JA&#10;FITvBf/D8oTe6sYgRaKriCLNwUvVQo+P7DOJZt8u2dXE/vquIHgcZuYbZr7sTSNu1PrasoLxKAFB&#10;XFhdc6ngeNh+TEH4gKyxsUwK7uRhuRi8zTHTtuNvuu1DKSKEfYYKqhBcJqUvKjLoR9YRR+9kW4Mh&#10;yraUusUuwk0j0yT5lAZrjgsVOlpXVFz2V6Pgd8Mu33ayOP2t3e6cT5uv6/FHqfdhv5qBCNSHV/jZ&#10;zrWCNEnTyQQef+IXkIt/AAAA//8DAFBLAQItABQABgAIAAAAIQDb4fbL7gAAAIUBAAATAAAAAAAA&#10;AAAAAAAAAAAAAABbQ29udGVudF9UeXBlc10ueG1sUEsBAi0AFAAGAAgAAAAhAFr0LFu/AAAAFQEA&#10;AAsAAAAAAAAAAAAAAAAAHwEAAF9yZWxzLy5yZWxzUEsBAi0AFAAGAAgAAAAhAIpKlv3HAAAA3wAA&#10;AA8AAAAAAAAAAAAAAAAABwIAAGRycy9kb3ducmV2LnhtbFBLBQYAAAAAAwADALcAAAD7AgAAAAA=&#10;" filled="f" stroked="f">
                  <v:textbox inset="0,0,0,0">
                    <w:txbxContent>
                      <w:p w14:paraId="57EA69BB" w14:textId="77777777" w:rsidR="00B32EF2" w:rsidRDefault="00000000">
                        <w:r>
                          <w:rPr>
                            <w:rFonts w:ascii="Arial" w:eastAsia="Arial" w:hAnsi="Arial" w:cs="Arial"/>
                            <w:sz w:val="18"/>
                          </w:rPr>
                          <w:t xml:space="preserve">. Non possono essere componenti delle corti di giustizia tributaria di primo e </w:t>
                        </w:r>
                      </w:p>
                    </w:txbxContent>
                  </v:textbox>
                </v:rect>
                <v:rect id="Rectangle 22443" o:spid="_x0000_s6434" style="position:absolute;left:-13169;top:525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T/zxwAAAN4AAAAPAAAAZHJzL2Rvd25yZXYueG1sRI9Pa8JA&#10;FMTvgt9heYI33TRKkegqxSLNoRf/gcdH9pmkzb5dsqtJ++m7QsHjMDO/YVab3jTiTq2vLSt4mSYg&#10;iAuray4VnI67yQKED8gaG8uk4Ic8bNbDwQozbTve0/0QShEh7DNUUIXgMil9UZFBP7WOOHpX2xoM&#10;Ubal1C12EW4amSbJqzRYc1yo0NG2ouL7cDMKLu/s8l0ni+vv1n1+5Yvm43Y6KzUe9W9LEIH68Az/&#10;t3OtIE3n8xk87sQrINd/AAAA//8DAFBLAQItABQABgAIAAAAIQDb4fbL7gAAAIUBAAATAAAAAAAA&#10;AAAAAAAAAAAAAABbQ29udGVudF9UeXBlc10ueG1sUEsBAi0AFAAGAAgAAAAhAFr0LFu/AAAAFQEA&#10;AAsAAAAAAAAAAAAAAAAAHwEAAF9yZWxzLy5yZWxzUEsBAi0AFAAGAAgAAAAhALs9P/PHAAAA3gAA&#10;AA8AAAAAAAAAAAAAAAAABwIAAGRycy9kb3ducmV2LnhtbFBLBQYAAAAAAwADALcAAAD7AgAAAAA=&#10;" filled="f" stroked="f">
                  <v:textbox inset="0,0,0,0">
                    <w:txbxContent>
                      <w:p w14:paraId="79D3F8E6" w14:textId="77777777" w:rsidR="00B32EF2" w:rsidRDefault="00000000">
                        <w:r>
                          <w:rPr>
                            <w:rFonts w:ascii="Arial" w:eastAsia="Arial" w:hAnsi="Arial" w:cs="Arial"/>
                            <w:sz w:val="18"/>
                          </w:rPr>
                          <w:t xml:space="preserve">secondo grado, finché permangono in attività di servizio o nell’esercizio delle </w:t>
                        </w:r>
                      </w:p>
                    </w:txbxContent>
                  </v:textbox>
                </v:rect>
                <v:rect id="Rectangle 22444" o:spid="_x0000_s6435" style="position:absolute;left:12294;top:51333;width:276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KeHxwAAAN4AAAAPAAAAZHJzL2Rvd25yZXYueG1sRI9Ba8JA&#10;FITvBf/D8oTe6sYQiqRuQlGkOfRStdDjI/tM0mbfLtnVpP56t1DwOMzMN8y6nEwvLjT4zrKC5SIB&#10;QVxb3XGj4HjYPa1A+ICssbdMCn7JQ1nMHtaYazvyB132oRERwj5HBW0ILpfS1y0Z9AvriKN3soPB&#10;EOXQSD3gGOGml2mSPEuDHceFFh1tWqp/9mej4GvLrtqNsj5dN+79u1r1b+fjp1KP8+n1BUSgKdzD&#10;/+1KK0jTLMvg7068ArK4AQAA//8DAFBLAQItABQABgAIAAAAIQDb4fbL7gAAAIUBAAATAAAAAAAA&#10;AAAAAAAAAAAAAABbQ29udGVudF9UeXBlc10ueG1sUEsBAi0AFAAGAAgAAAAhAFr0LFu/AAAAFQEA&#10;AAsAAAAAAAAAAAAAAAAAHwEAAF9yZWxzLy5yZWxzUEsBAi0AFAAGAAgAAAAhADTUp4fHAAAA3gAA&#10;AA8AAAAAAAAAAAAAAAAABwIAAGRycy9kb3ducmV2LnhtbFBLBQYAAAAAAwADALcAAAD7AgAAAAA=&#10;" filled="f" stroked="f">
                  <v:textbox inset="0,0,0,0">
                    <w:txbxContent>
                      <w:p w14:paraId="318CDA32" w14:textId="77777777" w:rsidR="00B32EF2" w:rsidRDefault="00000000">
                        <w:r>
                          <w:rPr>
                            <w:rFonts w:ascii="Arial" w:eastAsia="Arial" w:hAnsi="Arial" w:cs="Arial"/>
                            <w:sz w:val="18"/>
                          </w:rPr>
                          <w:t>rispettive funzioni o attività professionali:</w:t>
                        </w:r>
                      </w:p>
                    </w:txbxContent>
                  </v:textbox>
                </v:rect>
                <v:rect id="Rectangle 22445" o:spid="_x0000_s6436" style="position:absolute;left:-3935;top:50099;width:438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AIcxwAAAN4AAAAPAAAAZHJzL2Rvd25yZXYueG1sRI9Pa8JA&#10;FMTvBb/D8oTe6qZBi0RXKRZpDl78Bx4f2WeSNvt2ya4m9dO7QsHjMDO/YebL3jTiSq2vLSt4HyUg&#10;iAuray4VHPbrtykIH5A1NpZJwR95WC4GL3PMtO14S9ddKEWEsM9QQRWCy6T0RUUG/cg64uidbWsw&#10;RNmWUrfYRbhpZJokH9JgzXGhQkeriorf3cUoOH2xy9edLM63ldv85NPm+3I4KvU67D9nIAL14Rn+&#10;b+daQZqOxxN43IlXQC7uAAAA//8DAFBLAQItABQABgAIAAAAIQDb4fbL7gAAAIUBAAATAAAAAAAA&#10;AAAAAAAAAAAAAABbQ29udGVudF9UeXBlc10ueG1sUEsBAi0AFAAGAAgAAAAhAFr0LFu/AAAAFQEA&#10;AAsAAAAAAAAAAAAAAAAAHwEAAF9yZWxzLy5yZWxzUEsBAi0AFAAGAAgAAAAhAFuYAhzHAAAA3gAA&#10;AA8AAAAAAAAAAAAAAAAABwIAAGRycy9kb3ducmV2LnhtbFBLBQYAAAAAAwADALcAAAD7AgAAAAA=&#10;" filled="f" stroked="f">
                  <v:textbox inset="0,0,0,0">
                    <w:txbxContent>
                      <w:p w14:paraId="019CB372" w14:textId="77777777" w:rsidR="00B32EF2" w:rsidRDefault="00000000">
                        <w:r>
                          <w:rPr>
                            <w:rFonts w:ascii="Arial" w:eastAsia="Arial" w:hAnsi="Arial" w:cs="Arial"/>
                            <w:sz w:val="18"/>
                          </w:rPr>
                          <w:t>a) i membri del Parlamento nazionale e del Parlamento europeo;</w:t>
                        </w:r>
                      </w:p>
                    </w:txbxContent>
                  </v:textbox>
                </v:rect>
                <v:rect id="Rectangle 22446" o:spid="_x0000_s6437" style="position:absolute;left:-12222;top:48866;width:521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pxrxgAAAN4AAAAPAAAAZHJzL2Rvd25yZXYueG1sRI9Ba8JA&#10;FITvhf6H5RW81U2DiERXKYqYQy9aBY+P7DOJZt8u2dXE/npXEHocZuYbZrboTSNu1PrasoKvYQKC&#10;uLC65lLB/nf9OQHhA7LGxjIpuJOHxfz9bYaZth1v6bYLpYgQ9hkqqEJwmZS+qMigH1pHHL2TbQ2G&#10;KNtS6ha7CDeNTJNkLA3WHBcqdLSsqLjsrkbBccUuX3eyOP0t3c85nzSb6/6g1OCj/56CCNSH//Cr&#10;nWsFaToajeF5J14BOX8AAAD//wMAUEsBAi0AFAAGAAgAAAAhANvh9svuAAAAhQEAABMAAAAAAAAA&#10;AAAAAAAAAAAAAFtDb250ZW50X1R5cGVzXS54bWxQSwECLQAUAAYACAAAACEAWvQsW78AAAAVAQAA&#10;CwAAAAAAAAAAAAAAAAAfAQAAX3JlbHMvLnJlbHNQSwECLQAUAAYACAAAACEAq0qca8YAAADeAAAA&#10;DwAAAAAAAAAAAAAAAAAHAgAAZHJzL2Rvd25yZXYueG1sUEsFBgAAAAADAAMAtwAAAPoCAAAAAA==&#10;" filled="f" stroked="f">
                  <v:textbox inset="0,0,0,0">
                    <w:txbxContent>
                      <w:p w14:paraId="5F0EAFF6" w14:textId="77777777" w:rsidR="00B32EF2" w:rsidRDefault="00000000">
                        <w:r>
                          <w:rPr>
                            <w:rFonts w:ascii="Arial" w:eastAsia="Arial" w:hAnsi="Arial" w:cs="Arial"/>
                            <w:sz w:val="18"/>
                          </w:rPr>
                          <w:t>b) i consiglieri regionali, provinciali, comunali e circoscrizionali e gli amministra</w:t>
                        </w:r>
                      </w:p>
                    </w:txbxContent>
                  </v:textbox>
                </v:rect>
                <v:rect id="Rectangle 22447" o:spid="_x0000_s6438" style="position:absolute;left:194;top:488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jnwxwAAAN4AAAAPAAAAZHJzL2Rvd25yZXYueG1sRI9Pa8JA&#10;FMTvBb/D8oTe6qZBrERXKRZpDl78Bx4f2WeSNvt2ya4m9dO7QsHjMDO/YebL3jTiSq2vLSt4HyUg&#10;iAuray4VHPbrtykIH5A1NpZJwR95WC4GL3PMtO14S9ddKEWEsM9QQRWCy6T0RUUG/cg64uidbWsw&#10;RNmWUrfYRbhpZJokE2mw5rhQoaNVRcXv7mIUnL7Y5etOFufbym1+8mnzfTkclXod9p8zEIH68Az/&#10;t3OtIE3H4w943IlXQC7uAAAA//8DAFBLAQItABQABgAIAAAAIQDb4fbL7gAAAIUBAAATAAAAAAAA&#10;AAAAAAAAAAAAAABbQ29udGVudF9UeXBlc10ueG1sUEsBAi0AFAAGAAgAAAAhAFr0LFu/AAAAFQEA&#10;AAsAAAAAAAAAAAAAAAAAHwEAAF9yZWxzLy5yZWxzUEsBAi0AFAAGAAgAAAAhAMQGOfDHAAAA3gAA&#10;AA8AAAAAAAAAAAAAAAAABwIAAGRycy9kb3ducmV2LnhtbFBLBQYAAAAAAwADALcAAAD7AgAAAAA=&#10;" filled="f" stroked="f">
                  <v:textbox inset="0,0,0,0">
                    <w:txbxContent>
                      <w:p w14:paraId="697E541C" w14:textId="77777777" w:rsidR="00B32EF2" w:rsidRDefault="00000000">
                        <w:r>
                          <w:rPr>
                            <w:rFonts w:ascii="Arial" w:eastAsia="Arial" w:hAnsi="Arial" w:cs="Arial"/>
                            <w:sz w:val="18"/>
                          </w:rPr>
                          <w:t>-</w:t>
                        </w:r>
                      </w:p>
                    </w:txbxContent>
                  </v:textbox>
                </v:rect>
                <v:rect id="Rectangle 22448" o:spid="_x0000_s6439" style="position:absolute;left:-13162;top:47633;width:53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a2CwwAAAN4AAAAPAAAAZHJzL2Rvd25yZXYueG1sRE9Ni8Iw&#10;EL0v+B/CCN7W1CKLVKOIIvbgZV0Fj0MzttVmEppoq79+c1jY4+N9L1a9acSTWl9bVjAZJyCIC6tr&#10;LhWcfnafMxA+IGtsLJOCF3lYLQcfC8y07fibnsdQihjCPkMFVQguk9IXFRn0Y+uII3e1rcEQYVtK&#10;3WIXw00j0yT5kgZrjg0VOtpUVNyPD6PgsmWX7zpZXN8bd7jls2b/OJ2VGg379RxEoD78i//cuVaQ&#10;ptNp3BvvxCsgl78AAAD//wMAUEsBAi0AFAAGAAgAAAAhANvh9svuAAAAhQEAABMAAAAAAAAAAAAA&#10;AAAAAAAAAFtDb250ZW50X1R5cGVzXS54bWxQSwECLQAUAAYACAAAACEAWvQsW78AAAAVAQAACwAA&#10;AAAAAAAAAAAAAAAfAQAAX3JlbHMvLnJlbHNQSwECLQAUAAYACAAAACEAtZmtgsMAAADeAAAADwAA&#10;AAAAAAAAAAAAAAAHAgAAZHJzL2Rvd25yZXYueG1sUEsFBgAAAAADAAMAtwAAAPcCAAAAAA==&#10;" filled="f" stroked="f">
                  <v:textbox inset="0,0,0,0">
                    <w:txbxContent>
                      <w:p w14:paraId="421CD0FF" w14:textId="77777777" w:rsidR="00B32EF2" w:rsidRDefault="00000000">
                        <w:r>
                          <w:rPr>
                            <w:rFonts w:ascii="Arial" w:eastAsia="Arial" w:hAnsi="Arial" w:cs="Arial"/>
                            <w:sz w:val="18"/>
                          </w:rPr>
                          <w:t xml:space="preserve">tori di altri enti che applicano tributi o hanno partecipazione al gettito dei tributi </w:t>
                        </w:r>
                      </w:p>
                    </w:txbxContent>
                  </v:textbox>
                </v:rect>
                <v:rect id="Rectangle 22449" o:spid="_x0000_s6440" style="position:absolute;left:-13162;top:46400;width:5307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QgZxwAAAN4AAAAPAAAAZHJzL2Rvd25yZXYueG1sRI9Pa8JA&#10;FMTvBb/D8oTedNMgotFVikWag5f6Bzw+ss8kbfbtkl1N6qd3C0KPw8z8hlmue9OIG7W+tqzgbZyA&#10;IC6srrlUcDxsRzMQPiBrbCyTgl/ysF4NXpaYadvxF932oRQRwj5DBVUILpPSFxUZ9GPriKN3sa3B&#10;EGVbSt1iF+GmkWmSTKXBmuNChY42FRU/+6tRcP5gl287WVzuG7f7zmfN5/V4Uup12L8vQATqw3/4&#10;2c61gjSdTObwdydeAbl6AAAA//8DAFBLAQItABQABgAIAAAAIQDb4fbL7gAAAIUBAAATAAAAAAAA&#10;AAAAAAAAAAAAAABbQ29udGVudF9UeXBlc10ueG1sUEsBAi0AFAAGAAgAAAAhAFr0LFu/AAAAFQEA&#10;AAsAAAAAAAAAAAAAAAAAHwEAAF9yZWxzLy5yZWxzUEsBAi0AFAAGAAgAAAAhANrVCBnHAAAA3gAA&#10;AA8AAAAAAAAAAAAAAAAABwIAAGRycy9kb3ducmV2LnhtbFBLBQYAAAAAAwADALcAAAD7AgAAAAA=&#10;" filled="f" stroked="f">
                  <v:textbox inset="0,0,0,0">
                    <w:txbxContent>
                      <w:p w14:paraId="6D808DE8" w14:textId="77777777" w:rsidR="00B32EF2" w:rsidRDefault="00000000">
                        <w:r>
                          <w:rPr>
                            <w:rFonts w:ascii="Arial" w:eastAsia="Arial" w:hAnsi="Arial" w:cs="Arial"/>
                            <w:sz w:val="18"/>
                          </w:rPr>
                          <w:t xml:space="preserve">indicati nell’articolo 46, nonché coloro che, come dipendenti di detti enti o come </w:t>
                        </w:r>
                      </w:p>
                    </w:txbxContent>
                  </v:textbox>
                </v:rect>
                <v:rect id="Rectangle 22450" o:spid="_x0000_s6441" style="position:absolute;left:-11266;top:45166;width:511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jdZxQAAAN4AAAAPAAAAZHJzL2Rvd25yZXYueG1sRI/LasJA&#10;FIb3Bd9hOIK7OjG0RaKjiCLNwk29gMtD5phEM2eGzGiiT99ZFLr8+W9882VvGvGg1teWFUzGCQji&#10;wuqaSwXHw/Z9CsIHZI2NZVLwJA/LxeBtjpm2Hf/QYx9KEUfYZ6igCsFlUvqiIoN+bB1x9C62NRii&#10;bEupW+ziuGlkmiRf0mDN8aFCR+uKitv+bhScN+zybSeLy2vtdtd82nzfjyelRsN+NQMRqA//4b92&#10;rhWk6cdnBIg4EQXk4hcAAP//AwBQSwECLQAUAAYACAAAACEA2+H2y+4AAACFAQAAEwAAAAAAAAAA&#10;AAAAAAAAAAAAW0NvbnRlbnRfVHlwZXNdLnhtbFBLAQItABQABgAIAAAAIQBa9CxbvwAAABUBAAAL&#10;AAAAAAAAAAAAAAAAAB8BAABfcmVscy8ucmVsc1BLAQItABQABgAIAAAAIQDONjdZxQAAAN4AAAAP&#10;AAAAAAAAAAAAAAAAAAcCAABkcnMvZG93bnJldi54bWxQSwUGAAAAAAMAAwC3AAAA+QIAAAAA&#10;" filled="f" stroked="f">
                  <v:textbox inset="0,0,0,0">
                    <w:txbxContent>
                      <w:p w14:paraId="24E76ED5" w14:textId="77777777" w:rsidR="00B32EF2" w:rsidRDefault="00000000">
                        <w:r>
                          <w:rPr>
                            <w:rFonts w:ascii="Arial" w:eastAsia="Arial" w:hAnsi="Arial" w:cs="Arial"/>
                            <w:sz w:val="18"/>
                          </w:rPr>
                          <w:t>componenti di organi collegiali, concorrono all’accertamento dei tributi stessi;</w:t>
                        </w:r>
                      </w:p>
                    </w:txbxContent>
                  </v:textbox>
                </v:rect>
                <v:rect id="Rectangle 22451" o:spid="_x0000_s6442" style="position:absolute;left:-13171;top:43856;width:53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LCxwAAAN4AAAAPAAAAZHJzL2Rvd25yZXYueG1sRI9Pa8JA&#10;FMTvgt9heYI33RhqkdRVRJHm0Ev9Az0+ss8kbfbtkl1N7Kd3CwWPw8z8hlmue9OIG7W+tqxgNk1A&#10;EBdW11wqOB33kwUIH5A1NpZJwZ08rFfDwRIzbTv+pNshlCJC2GeooArBZVL6oiKDfmodcfQutjUY&#10;omxLqVvsItw0Mk2SV2mw5rhQoaNtRcXP4WoUfO3Y5ftOFpffrfv4zhfN+/V0Vmo86jdvIAL14Rn+&#10;b+daQZq+zGfwdydeAbl6AAAA//8DAFBLAQItABQABgAIAAAAIQDb4fbL7gAAAIUBAAATAAAAAAAA&#10;AAAAAAAAAAAAAABbQ29udGVudF9UeXBlc10ueG1sUEsBAi0AFAAGAAgAAAAhAFr0LFu/AAAAFQEA&#10;AAsAAAAAAAAAAAAAAAAAHwEAAF9yZWxzLy5yZWxzUEsBAi0AFAAGAAgAAAAhAKF6ksLHAAAA3gAA&#10;AA8AAAAAAAAAAAAAAAAABwIAAGRycy9kb3ducmV2LnhtbFBLBQYAAAAAAwADALcAAAD7AgAAAAA=&#10;" filled="f" stroked="f">
                  <v:textbox inset="0,0,0,0">
                    <w:txbxContent>
                      <w:p w14:paraId="073D2820" w14:textId="77777777" w:rsidR="00B32EF2" w:rsidRDefault="00000000">
                        <w:r>
                          <w:rPr>
                            <w:rFonts w:ascii="Arial" w:eastAsia="Arial" w:hAnsi="Arial" w:cs="Arial"/>
                            <w:sz w:val="18"/>
                          </w:rPr>
                          <w:t xml:space="preserve">c) i dipendenti dell’Amministrazione finanziaria che prestano servizio presso </w:t>
                        </w:r>
                      </w:p>
                    </w:txbxContent>
                  </v:textbox>
                </v:rect>
                <v:rect id="Rectangle 22452" o:spid="_x0000_s6443" style="position:absolute;left:-12184;top:42547;width:5210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Ay1xgAAAN4AAAAPAAAAZHJzL2Rvd25yZXYueG1sRI9Ba8JA&#10;FITvBf/D8gRvdWNoi0RXEUWag5daBY+P7DOJZt8u2dVEf323UOhxmJlvmPmyN424U+trywom4wQE&#10;cWF1zaWCw/f2dQrCB2SNjWVS8CAPy8XgZY6Zth1/0X0fShEh7DNUUIXgMil9UZFBP7aOOHpn2xoM&#10;Ubal1C12EW4amSbJhzRYc1yo0NG6ouK6vxkFpw27fNvJ4vxcu90lnzaft8NRqdGwX81ABOrDf/iv&#10;nWsFafr2nsLvnXgF5OIHAAD//wMAUEsBAi0AFAAGAAgAAAAhANvh9svuAAAAhQEAABMAAAAAAAAA&#10;AAAAAAAAAAAAAFtDb250ZW50X1R5cGVzXS54bWxQSwECLQAUAAYACAAAACEAWvQsW78AAAAVAQAA&#10;CwAAAAAAAAAAAAAAAAAfAQAAX3JlbHMvLnJlbHNQSwECLQAUAAYACAAAACEAUagMtcYAAADeAAAA&#10;DwAAAAAAAAAAAAAAAAAHAgAAZHJzL2Rvd25yZXYueG1sUEsFBgAAAAADAAMAtwAAAPoCAAAAAA==&#10;" filled="f" stroked="f">
                  <v:textbox inset="0,0,0,0">
                    <w:txbxContent>
                      <w:p w14:paraId="34541ED4" w14:textId="77777777" w:rsidR="00B32EF2" w:rsidRDefault="00000000">
                        <w:r>
                          <w:rPr>
                            <w:rFonts w:ascii="Arial" w:eastAsia="Arial" w:hAnsi="Arial" w:cs="Arial"/>
                            <w:sz w:val="18"/>
                          </w:rPr>
                          <w:t>gli uffici delle Agenzie delle entrate e dell’Agenzia delle dogane e dei monopo</w:t>
                        </w:r>
                      </w:p>
                    </w:txbxContent>
                  </v:textbox>
                </v:rect>
                <v:rect id="Rectangle 22453" o:spid="_x0000_s6444" style="position:absolute;left:194;top:42547;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kuxwAAAN4AAAAPAAAAZHJzL2Rvd25yZXYueG1sRI9Ba8JA&#10;FITvgv9heUJvumlqi6SuIoo0h160KfT4yD6TtNm3S3Y1qb++KxQ8DjPzDbNcD6YVF+p8Y1nB4ywB&#10;QVxa3XCloPjYTxcgfEDW2FomBb/kYb0aj5aYadvzgS7HUIkIYZ+hgjoEl0npy5oM+pl1xNE72c5g&#10;iLKrpO6wj3DTyjRJXqTBhuNCjY62NZU/x7NR8LVjl+97WZ6uW/f+nS/at3PxqdTDZNi8ggg0hHv4&#10;v51rBWk6f36C2514BeTqDwAA//8DAFBLAQItABQABgAIAAAAIQDb4fbL7gAAAIUBAAATAAAAAAAA&#10;AAAAAAAAAAAAAABbQ29udGVudF9UeXBlc10ueG1sUEsBAi0AFAAGAAgAAAAhAFr0LFu/AAAAFQEA&#10;AAsAAAAAAAAAAAAAAAAAHwEAAF9yZWxzLy5yZWxzUEsBAi0AFAAGAAgAAAAhAD7kqS7HAAAA3gAA&#10;AA8AAAAAAAAAAAAAAAAABwIAAGRycy9kb3ducmV2LnhtbFBLBQYAAAAAAwADALcAAAD7AgAAAAA=&#10;" filled="f" stroked="f">
                  <v:textbox inset="0,0,0,0">
                    <w:txbxContent>
                      <w:p w14:paraId="2B172218" w14:textId="77777777" w:rsidR="00B32EF2" w:rsidRDefault="00000000">
                        <w:r>
                          <w:rPr>
                            <w:rFonts w:ascii="Arial" w:eastAsia="Arial" w:hAnsi="Arial" w:cs="Arial"/>
                            <w:sz w:val="18"/>
                          </w:rPr>
                          <w:t>-</w:t>
                        </w:r>
                      </w:p>
                    </w:txbxContent>
                  </v:textbox>
                </v:rect>
                <v:rect id="Rectangle 22454" o:spid="_x0000_s6445" style="position:absolute;left:4911;top:41237;width:350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TFaxwAAAN4AAAAPAAAAZHJzL2Rvd25yZXYueG1sRI9Pa8JA&#10;FMTvBb/D8oTe6qZBi0RXKRZpDl78Bx4f2WeSNvt2ya4m9dO7QsHjMDO/YebL3jTiSq2vLSt4HyUg&#10;iAuray4VHPbrtykIH5A1NpZJwR95WC4GL3PMtO14S9ddKEWEsM9QQRWCy6T0RUUG/cg64uidbWsw&#10;RNmWUrfYRbhpZJokH9JgzXGhQkeriorf3cUoOH2xy9edLM63ldv85NPm+3I4KvU67D9nIAL14Rn+&#10;b+daQZqOJ2N43IlXQC7uAAAA//8DAFBLAQItABQABgAIAAAAIQDb4fbL7gAAAIUBAAATAAAAAAAA&#10;AAAAAAAAAAAAAABbQ29udGVudF9UeXBlc10ueG1sUEsBAi0AFAAGAAgAAAAhAFr0LFu/AAAAFQEA&#10;AAsAAAAAAAAAAAAAAAAAHwEAAF9yZWxzLy5yZWxzUEsBAi0AFAAGAAgAAAAhALENMVrHAAAA3gAA&#10;AA8AAAAAAAAAAAAAAAAABwIAAGRycy9kb3ducmV2LnhtbFBLBQYAAAAAAwADALcAAAD7AgAAAAA=&#10;" filled="f" stroked="f">
                  <v:textbox inset="0,0,0,0">
                    <w:txbxContent>
                      <w:p w14:paraId="285C9AD9" w14:textId="77777777" w:rsidR="00B32EF2" w:rsidRDefault="00000000">
                        <w:r>
                          <w:rPr>
                            <w:rFonts w:ascii="Arial" w:eastAsia="Arial" w:hAnsi="Arial" w:cs="Arial"/>
                            <w:sz w:val="18"/>
                          </w:rPr>
                          <w:t>li, di cui al decreto legislativo 30 luglio 1999, n. 300;</w:t>
                        </w:r>
                      </w:p>
                    </w:txbxContent>
                  </v:textbox>
                </v:rect>
                <v:rect id="Rectangle 22455" o:spid="_x0000_s6446" style="position:absolute;left:4378;top:39927;width:355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ZTBxwAAAN4AAAAPAAAAZHJzL2Rvd25yZXYueG1sRI9Pa8JA&#10;FMTvgt9heYI33TRokegqxSLNoRf/gcdH9pmkzb5dsqtJ++m7QsHjMDO/YVab3jTiTq2vLSt4mSYg&#10;iAuray4VnI67yQKED8gaG8uk4Ic8bNbDwQozbTve0/0QShEh7DNUUIXgMil9UZFBP7WOOHpX2xoM&#10;Ubal1C12EW4amSbJqzRYc1yo0NG2ouL7cDMKLu/s8l0ni+vv1n1+5Yvm43Y6KzUe9W9LEIH68Az/&#10;t3OtIE1n8zk87sQrINd/AAAA//8DAFBLAQItABQABgAIAAAAIQDb4fbL7gAAAIUBAAATAAAAAAAA&#10;AAAAAAAAAAAAAABbQ29udGVudF9UeXBlc10ueG1sUEsBAi0AFAAGAAgAAAAhAFr0LFu/AAAAFQEA&#10;AAsAAAAAAAAAAAAAAAAAHwEAAF9yZWxzLy5yZWxzUEsBAi0AFAAGAAgAAAAhAN5BlMHHAAAA3gAA&#10;AA8AAAAAAAAAAAAAAAAABwIAAGRycy9kb3ducmV2LnhtbFBLBQYAAAAAAwADALcAAAD7AgAAAAA=&#10;" filled="f" stroked="f">
                  <v:textbox inset="0,0,0,0">
                    <w:txbxContent>
                      <w:p w14:paraId="2736D39D" w14:textId="77777777" w:rsidR="00B32EF2" w:rsidRDefault="00000000">
                        <w:r>
                          <w:rPr>
                            <w:rFonts w:ascii="Arial" w:eastAsia="Arial" w:hAnsi="Arial" w:cs="Arial"/>
                            <w:sz w:val="18"/>
                          </w:rPr>
                          <w:t>d) gli appartenenti al Corpo della Guardia di finanza;</w:t>
                        </w:r>
                      </w:p>
                    </w:txbxContent>
                  </v:textbox>
                </v:rect>
                <v:rect id="Rectangle 22456" o:spid="_x0000_s6447" style="position:absolute;left:-12293;top:38617;width:522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wq2xwAAAN4AAAAPAAAAZHJzL2Rvd25yZXYueG1sRI9Pa8JA&#10;FMTvgt9heYI33TRYkegqxSLNoZf6Bzw+ss8kbfbtkl1N2k/fFQSPw8z8hlltetOIG7W+tqzgZZqA&#10;IC6srrlUcDzsJgsQPiBrbCyTgl/ysFkPByvMtO34i277UIoIYZ+hgioEl0npi4oM+ql1xNG72NZg&#10;iLItpW6xi3DTyDRJ5tJgzXGhQkfbioqf/dUoOL+zy3edLC5/W/f5nS+aj+vxpNR41L8tQQTqwzP8&#10;aOdaQZrOXudwvxOvgFz/AwAA//8DAFBLAQItABQABgAIAAAAIQDb4fbL7gAAAIUBAAATAAAAAAAA&#10;AAAAAAAAAAAAAABbQ29udGVudF9UeXBlc10ueG1sUEsBAi0AFAAGAAgAAAAhAFr0LFu/AAAAFQEA&#10;AAsAAAAAAAAAAAAAAAAAHwEAAF9yZWxzLy5yZWxzUEsBAi0AFAAGAAgAAAAhAC6TCrbHAAAA3gAA&#10;AA8AAAAAAAAAAAAAAAAABwIAAGRycy9kb3ducmV2LnhtbFBLBQYAAAAAAwADALcAAAD7AgAAAAA=&#10;" filled="f" stroked="f">
                  <v:textbox inset="0,0,0,0">
                    <w:txbxContent>
                      <w:p w14:paraId="0930EAD5" w14:textId="77777777" w:rsidR="00B32EF2" w:rsidRDefault="00000000">
                        <w:r>
                          <w:rPr>
                            <w:rFonts w:ascii="Arial" w:eastAsia="Arial" w:hAnsi="Arial" w:cs="Arial"/>
                            <w:sz w:val="18"/>
                          </w:rPr>
                          <w:t>e) i soci, gli amministratori e i dipendenti delle società concessionarie del ser</w:t>
                        </w:r>
                      </w:p>
                    </w:txbxContent>
                  </v:textbox>
                </v:rect>
                <v:rect id="Rectangle 22457" o:spid="_x0000_s6448" style="position:absolute;left:194;top:3861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68txwAAAN4AAAAPAAAAZHJzL2Rvd25yZXYueG1sRI9Ba8JA&#10;FITvgv9heUJvummoraSuIoo0h160KfT4yD6TtNm3S3Y1qb++KxQ8DjPzDbNcD6YVF+p8Y1nB4ywB&#10;QVxa3XCloPjYTxcgfEDW2FomBb/kYb0aj5aYadvzgS7HUIkIYZ+hgjoEl0npy5oM+pl1xNE72c5g&#10;iLKrpO6wj3DTyjRJnqXBhuNCjY62NZU/x7NR8LVjl+97WZ6uW/f+nS/at3PxqdTDZNi8ggg0hHv4&#10;v51rBWn6NH+B2514BeTqDwAA//8DAFBLAQItABQABgAIAAAAIQDb4fbL7gAAAIUBAAATAAAAAAAA&#10;AAAAAAAAAAAAAABbQ29udGVudF9UeXBlc10ueG1sUEsBAi0AFAAGAAgAAAAhAFr0LFu/AAAAFQEA&#10;AAsAAAAAAAAAAAAAAAAAHwEAAF9yZWxzLy5yZWxzUEsBAi0AFAAGAAgAAAAhAEHfry3HAAAA3gAA&#10;AA8AAAAAAAAAAAAAAAAABwIAAGRycy9kb3ducmV2LnhtbFBLBQYAAAAAAwADALcAAAD7AgAAAAA=&#10;" filled="f" stroked="f">
                  <v:textbox inset="0,0,0,0">
                    <w:txbxContent>
                      <w:p w14:paraId="06BE23AE" w14:textId="77777777" w:rsidR="00B32EF2" w:rsidRDefault="00000000">
                        <w:r>
                          <w:rPr>
                            <w:rFonts w:ascii="Arial" w:eastAsia="Arial" w:hAnsi="Arial" w:cs="Arial"/>
                            <w:sz w:val="18"/>
                          </w:rPr>
                          <w:t>-</w:t>
                        </w:r>
                      </w:p>
                    </w:txbxContent>
                  </v:textbox>
                </v:rect>
                <v:rect id="Rectangle 22458" o:spid="_x0000_s6449" style="position:absolute;left:-12205;top:37307;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DtfxAAAAN4AAAAPAAAAZHJzL2Rvd25yZXYueG1sRE/LisIw&#10;FN0P+A/hCu7G1DIzSDWKKDJduBkf4PLSXNtqcxOaaKtfP1kMzPJw3vNlbxrxoNbXlhVMxgkI4sLq&#10;mksFx8P2fQrCB2SNjWVS8CQPy8XgbY6Zth3/0GMfShFD2GeooArBZVL6oiKDfmwdceQutjUYImxL&#10;qVvsYrhpZJokX9JgzbGhQkfriorb/m4UnDfs8m0ni8tr7XbXfNp8348npUbDfjUDEagP/+I/d64V&#10;pOnHZ9wb78QrIBe/AAAA//8DAFBLAQItABQABgAIAAAAIQDb4fbL7gAAAIUBAAATAAAAAAAAAAAA&#10;AAAAAAAAAABbQ29udGVudF9UeXBlc10ueG1sUEsBAi0AFAAGAAgAAAAhAFr0LFu/AAAAFQEAAAsA&#10;AAAAAAAAAAAAAAAAHwEAAF9yZWxzLy5yZWxzUEsBAi0AFAAGAAgAAAAhADBAO1/EAAAA3gAAAA8A&#10;AAAAAAAAAAAAAAAABwIAAGRycy9kb3ducmV2LnhtbFBLBQYAAAAAAwADALcAAAD4AgAAAAA=&#10;" filled="f" stroked="f">
                  <v:textbox inset="0,0,0,0">
                    <w:txbxContent>
                      <w:p w14:paraId="0079E95B" w14:textId="77777777" w:rsidR="00B32EF2" w:rsidRDefault="00000000">
                        <w:r>
                          <w:rPr>
                            <w:rFonts w:ascii="Arial" w:eastAsia="Arial" w:hAnsi="Arial" w:cs="Arial"/>
                            <w:sz w:val="18"/>
                          </w:rPr>
                          <w:t>vizio di riscossione delle imposte o preposte alla gestione dell’anagrafe tribu</w:t>
                        </w:r>
                      </w:p>
                    </w:txbxContent>
                  </v:textbox>
                </v:rect>
                <v:rect id="Rectangle 22459" o:spid="_x0000_s6450" style="position:absolute;left:194;top:3730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J7ExwAAAN4AAAAPAAAAZHJzL2Rvd25yZXYueG1sRI9Ba8JA&#10;FITvgv9heUJvummoJU1dRRRpDr1oLfT4yD6TtNm3S3Y1qb++KxQ8DjPzDbNYDaYVF+p8Y1nB4ywB&#10;QVxa3XCl4Pixm2YgfEDW2FomBb/kYbUcjxaYa9vzni6HUIkIYZ+jgjoEl0vpy5oM+pl1xNE72c5g&#10;iLKrpO6wj3DTyjRJnqXBhuNCjY42NZU/h7NR8LVlV+x6WZ6uG/f+XWTt2/n4qdTDZFi/ggg0hHv4&#10;v11oBWn6NH+B2514BeTyDwAA//8DAFBLAQItABQABgAIAAAAIQDb4fbL7gAAAIUBAAATAAAAAAAA&#10;AAAAAAAAAAAAAABbQ29udGVudF9UeXBlc10ueG1sUEsBAi0AFAAGAAgAAAAhAFr0LFu/AAAAFQEA&#10;AAsAAAAAAAAAAAAAAAAAHwEAAF9yZWxzLy5yZWxzUEsBAi0AFAAGAAgAAAAhAF8MnsTHAAAA3gAA&#10;AA8AAAAAAAAAAAAAAAAABwIAAGRycy9kb3ducmV2LnhtbFBLBQYAAAAAAwADALcAAAD7AgAAAAA=&#10;" filled="f" stroked="f">
                  <v:textbox inset="0,0,0,0">
                    <w:txbxContent>
                      <w:p w14:paraId="158C78ED" w14:textId="77777777" w:rsidR="00B32EF2" w:rsidRDefault="00000000">
                        <w:r>
                          <w:rPr>
                            <w:rFonts w:ascii="Arial" w:eastAsia="Arial" w:hAnsi="Arial" w:cs="Arial"/>
                            <w:sz w:val="18"/>
                          </w:rPr>
                          <w:t>-</w:t>
                        </w:r>
                      </w:p>
                    </w:txbxContent>
                  </v:textbox>
                </v:rect>
                <v:rect id="Rectangle 22460" o:spid="_x0000_s6451" style="position:absolute;left:-12747;top:35997;width:526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v3kxAAAAN4AAAAPAAAAZHJzL2Rvd25yZXYueG1sRI/NisIw&#10;FIX3A75DuIK7MbWISDWKKGIXbsZRcHlprm21uQlNtHWefrIYmOXh/PEt171pxItaX1tWMBknIIgL&#10;q2suFZy/959zED4ga2wsk4I3eVivBh9LzLTt+Itep1CKOMI+QwVVCC6T0hcVGfRj64ijd7OtwRBl&#10;W0rdYhfHTSPTJJlJgzXHhwodbSsqHqenUXDdscv3nSxuP1t3vOfz5vA8X5QaDfvNAkSgPvyH/9q5&#10;VpCm01kEiDgRBeTqFwAA//8DAFBLAQItABQABgAIAAAAIQDb4fbL7gAAAIUBAAATAAAAAAAAAAAA&#10;AAAAAAAAAABbQ29udGVudF9UeXBlc10ueG1sUEsBAi0AFAAGAAgAAAAhAFr0LFu/AAAAFQEAAAsA&#10;AAAAAAAAAAAAAAAAHwEAAF9yZWxzLy5yZWxzUEsBAi0AFAAGAAgAAAAhAABa/eTEAAAA3gAAAA8A&#10;AAAAAAAAAAAAAAAABwIAAGRycy9kb3ducmV2LnhtbFBLBQYAAAAAAwADALcAAAD4AgAAAAA=&#10;" filled="f" stroked="f">
                  <v:textbox inset="0,0,0,0">
                    <w:txbxContent>
                      <w:p w14:paraId="4DFA91D2" w14:textId="77777777" w:rsidR="00B32EF2" w:rsidRDefault="00000000">
                        <w:r>
                          <w:rPr>
                            <w:rFonts w:ascii="Arial" w:eastAsia="Arial" w:hAnsi="Arial" w:cs="Arial"/>
                            <w:sz w:val="18"/>
                          </w:rPr>
                          <w:t>taria e di ogni altro servizio tecnico del Ministero dell’economia e delle finanze;</w:t>
                        </w:r>
                      </w:p>
                    </w:txbxContent>
                  </v:textbox>
                </v:rect>
                <v:rect id="Rectangle 22461" o:spid="_x0000_s6452" style="position:absolute;left:32626;top:34687;width:72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lh/xwAAAN4AAAAPAAAAZHJzL2Rvd25yZXYueG1sRI/NasMw&#10;EITvhbyD2EJvjRwTQnAih5IQ4kMvTR3IcbHWP621EpYSu336qlDocZiZb5jtbjK9uNPgO8sKFvME&#10;BHFldceNgvL9+LwG4QOyxt4yKfgiD7t89rDFTNuR3+h+Do2IEPYZKmhDcJmUvmrJoJ9bRxy92g4G&#10;Q5RDI/WAY4SbXqZJspIGO44LLTrat1R9nm9GwfXArjiOsqq/9+71o1j3p1t5UerpcXrZgAg0hf/w&#10;X7vQCtJ0uVrA7514BWT+AwAA//8DAFBLAQItABQABgAIAAAAIQDb4fbL7gAAAIUBAAATAAAAAAAA&#10;AAAAAAAAAAAAAABbQ29udGVudF9UeXBlc10ueG1sUEsBAi0AFAAGAAgAAAAhAFr0LFu/AAAAFQEA&#10;AAsAAAAAAAAAAAAAAAAAHwEAAF9yZWxzLy5yZWxzUEsBAi0AFAAGAAgAAAAhAG8WWH/HAAAA3gAA&#10;AA8AAAAAAAAAAAAAAAAABwIAAGRycy9kb3ducmV2LnhtbFBLBQYAAAAAAwADALcAAAD7AgAAAAA=&#10;" filled="f" stroked="f">
                  <v:textbox inset="0,0,0,0">
                    <w:txbxContent>
                      <w:p w14:paraId="752BBAA1" w14:textId="77777777" w:rsidR="00B32EF2" w:rsidRDefault="00000000">
                        <w:r>
                          <w:rPr>
                            <w:rFonts w:ascii="Arial" w:eastAsia="Arial" w:hAnsi="Arial" w:cs="Arial"/>
                            <w:sz w:val="18"/>
                          </w:rPr>
                          <w:t>f) i prefetti;</w:t>
                        </w:r>
                      </w:p>
                    </w:txbxContent>
                  </v:textbox>
                </v:rect>
                <v:rect id="Rectangle 22462" o:spid="_x0000_s6453" style="position:absolute;left:-13169;top:3337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MYIxgAAAN4AAAAPAAAAZHJzL2Rvd25yZXYueG1sRI9Ba8JA&#10;FITvgv9heQVvumkQkdRVRBFz6KU2gsdH9pmkZt8u2dXE/vpuodDjMDPfMKvNYFrxoM43lhW8zhIQ&#10;xKXVDVcKis/DdAnCB2SNrWVS8CQPm/V4tMJM254/6HEKlYgQ9hkqqENwmZS+rMmgn1lHHL2r7QyG&#10;KLtK6g77CDetTJNkIQ02HBdqdLSrqbyd7kbBZc8uP/SyvH7v3PtXvmyP9+Ks1ORl2L6BCDSE//Bf&#10;O9cK0nS+SOH3TrwCcv0DAAD//wMAUEsBAi0AFAAGAAgAAAAhANvh9svuAAAAhQEAABMAAAAAAAAA&#10;AAAAAAAAAAAAAFtDb250ZW50X1R5cGVzXS54bWxQSwECLQAUAAYACAAAACEAWvQsW78AAAAVAQAA&#10;CwAAAAAAAAAAAAAAAAAfAQAAX3JlbHMvLnJlbHNQSwECLQAUAAYACAAAACEAn8TGCMYAAADeAAAA&#10;DwAAAAAAAAAAAAAAAAAHAgAAZHJzL2Rvd25yZXYueG1sUEsFBgAAAAADAAMAtwAAAPoCAAAAAA==&#10;" filled="f" stroked="f">
                  <v:textbox inset="0,0,0,0">
                    <w:txbxContent>
                      <w:p w14:paraId="08082241" w14:textId="77777777" w:rsidR="00B32EF2" w:rsidRDefault="00000000">
                        <w:r>
                          <w:rPr>
                            <w:rFonts w:ascii="Arial" w:eastAsia="Arial" w:hAnsi="Arial" w:cs="Arial"/>
                            <w:sz w:val="18"/>
                          </w:rPr>
                          <w:t xml:space="preserve">g) coloro che ricoprono incarichi direttivi o esecutivi nei partiti o movimenti </w:t>
                        </w:r>
                      </w:p>
                    </w:txbxContent>
                  </v:textbox>
                </v:rect>
                <v:rect id="Rectangle 22463" o:spid="_x0000_s6454" style="position:absolute;left:35194;top:32068;width:473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OTxwAAAN4AAAAPAAAAZHJzL2Rvd25yZXYueG1sRI9Pa8JA&#10;FMTvgt9heYI33TQWkegqxSLNoZf6Bzw+ss8kbfbtkl1N2k/fFQSPw8z8hlltetOIG7W+tqzgZZqA&#10;IC6srrlUcDzsJgsQPiBrbCyTgl/ysFkPByvMtO34i277UIoIYZ+hgioEl0npi4oM+ql1xNG72NZg&#10;iLItpW6xi3DTyDRJ5tJgzXGhQkfbioqf/dUoOL+zy3edLC5/W/f5nS+aj+vxpNR41L8tQQTqwzP8&#10;aOdaQZq+zmdwvxOvgFz/AwAA//8DAFBLAQItABQABgAIAAAAIQDb4fbL7gAAAIUBAAATAAAAAAAA&#10;AAAAAAAAAAAAAABbQ29udGVudF9UeXBlc10ueG1sUEsBAi0AFAAGAAgAAAAhAFr0LFu/AAAAFQEA&#10;AAsAAAAAAAAAAAAAAAAAHwEAAF9yZWxzLy5yZWxzUEsBAi0AFAAGAAgAAAAhAPCIY5PHAAAA3gAA&#10;AA8AAAAAAAAAAAAAAAAABwIAAGRycy9kb3ducmV2LnhtbFBLBQYAAAAAAwADALcAAAD7AgAAAAA=&#10;" filled="f" stroked="f">
                  <v:textbox inset="0,0,0,0">
                    <w:txbxContent>
                      <w:p w14:paraId="771D84A2" w14:textId="77777777" w:rsidR="00B32EF2" w:rsidRDefault="00000000">
                        <w:r>
                          <w:rPr>
                            <w:rFonts w:ascii="Arial" w:eastAsia="Arial" w:hAnsi="Arial" w:cs="Arial"/>
                            <w:sz w:val="18"/>
                          </w:rPr>
                          <w:t>politici;</w:t>
                        </w:r>
                      </w:p>
                    </w:txbxContent>
                  </v:textbox>
                </v:rect>
                <v:rect id="Rectangle 22464" o:spid="_x0000_s6455" style="position:absolute;left:-13169;top:3075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vnxgAAAN4AAAAPAAAAZHJzL2Rvd25yZXYueG1sRI9Ba8JA&#10;FITvhf6H5RW81U2DiERXKYqYQy9aBY+P7DOJZt8u2dXE/npXEHocZuYbZrboTSNu1PrasoKvYQKC&#10;uLC65lLB/nf9OQHhA7LGxjIpuJOHxfz9bYaZth1v6bYLpYgQ9hkqqEJwmZS+qMigH1pHHL2TbQ2G&#10;KNtS6ha7CDeNTJNkLA3WHBcqdLSsqLjsrkbBccUuX3eyOP0t3c85nzSb6/6g1OCj/56CCNSH//Cr&#10;nWsFaToaj+B5J14BOX8AAAD//wMAUEsBAi0AFAAGAAgAAAAhANvh9svuAAAAhQEAABMAAAAAAAAA&#10;AAAAAAAAAAAAAFtDb250ZW50X1R5cGVzXS54bWxQSwECLQAUAAYACAAAACEAWvQsW78AAAAVAQAA&#10;CwAAAAAAAAAAAAAAAAAfAQAAX3JlbHMvLnJlbHNQSwECLQAUAAYACAAAACEAf2H758YAAADeAAAA&#10;DwAAAAAAAAAAAAAAAAAHAgAAZHJzL2Rvd25yZXYueG1sUEsFBgAAAAADAAMAtwAAAPoCAAAAAA==&#10;" filled="f" stroked="f">
                  <v:textbox inset="0,0,0,0">
                    <w:txbxContent>
                      <w:p w14:paraId="4B4BCAB3" w14:textId="77777777" w:rsidR="00B32EF2" w:rsidRDefault="00000000">
                        <w:r>
                          <w:rPr>
                            <w:rFonts w:ascii="Arial" w:eastAsia="Arial" w:hAnsi="Arial" w:cs="Arial"/>
                            <w:sz w:val="18"/>
                          </w:rPr>
                          <w:t xml:space="preserve">h) coloro che in qualsiasi forma, anche se in modo saltuario o accessorio ad </w:t>
                        </w:r>
                      </w:p>
                    </w:txbxContent>
                  </v:textbox>
                </v:rect>
                <v:rect id="Rectangle 22465" o:spid="_x0000_s6456" style="position:absolute;left:-12237;top:29448;width:521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V58xwAAAN4AAAAPAAAAZHJzL2Rvd25yZXYueG1sRI9Pa8JA&#10;FMTvgt9heYI33TRYkegqxSLNoZf6Bzw+ss8kbfbtkl1N2k/fFQSPw8z8hlltetOIG7W+tqzgZZqA&#10;IC6srrlUcDzsJgsQPiBrbCyTgl/ysFkPByvMtO34i277UIoIYZ+hgioEl0npi4oM+ql1xNG72NZg&#10;iLItpW6xi3DTyDRJ5tJgzXGhQkfbioqf/dUoOL+zy3edLC5/W/f5nS+aj+vxpNR41L8tQQTqwzP8&#10;aOdaQZrO5q9wvxOvgFz/AwAA//8DAFBLAQItABQABgAIAAAAIQDb4fbL7gAAAIUBAAATAAAAAAAA&#10;AAAAAAAAAAAAAABbQ29udGVudF9UeXBlc10ueG1sUEsBAi0AFAAGAAgAAAAhAFr0LFu/AAAAFQEA&#10;AAsAAAAAAAAAAAAAAAAAHwEAAF9yZWxzLy5yZWxzUEsBAi0AFAAGAAgAAAAhABAtXnzHAAAA3gAA&#10;AA8AAAAAAAAAAAAAAAAABwIAAGRycy9kb3ducmV2LnhtbFBLBQYAAAAAAwADALcAAAD7AgAAAAA=&#10;" filled="f" stroked="f">
                  <v:textbox inset="0,0,0,0">
                    <w:txbxContent>
                      <w:p w14:paraId="251C4850" w14:textId="77777777" w:rsidR="00B32EF2" w:rsidRDefault="00000000">
                        <w:r>
                          <w:rPr>
                            <w:rFonts w:ascii="Arial" w:eastAsia="Arial" w:hAnsi="Arial" w:cs="Arial"/>
                            <w:sz w:val="18"/>
                          </w:rPr>
                          <w:t>altra prestazione, direttamente o attraverso forme associative, esercitano l’at</w:t>
                        </w:r>
                      </w:p>
                    </w:txbxContent>
                  </v:textbox>
                </v:rect>
                <v:rect id="Rectangle 22466" o:spid="_x0000_s6457" style="position:absolute;left:194;top:2944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ALxwAAAN4AAAAPAAAAZHJzL2Rvd25yZXYueG1sRI9Ba8JA&#10;FITvBf/D8oTe6sZQgkQ3QRRpDr3UWujxkX0m0ezbJbuatL++Wyj0OMzMN8ymnEwv7jT4zrKC5SIB&#10;QVxb3XGj4PR+eFqB8AFZY2+ZFHyRh7KYPWww13bkN7ofQyMihH2OCtoQXC6lr1sy6BfWEUfvbAeD&#10;IcqhkXrAMcJNL9MkyaTBjuNCi452LdXX480o+Nyzqw6jrM/fO/d6qVb9y+30odTjfNquQQSawn/4&#10;r11pBWn6nGXweydeAVn8AAAA//8DAFBLAQItABQABgAIAAAAIQDb4fbL7gAAAIUBAAATAAAAAAAA&#10;AAAAAAAAAAAAAABbQ29udGVudF9UeXBlc10ueG1sUEsBAi0AFAAGAAgAAAAhAFr0LFu/AAAAFQEA&#10;AAsAAAAAAAAAAAAAAAAAHwEAAF9yZWxzLy5yZWxzUEsBAi0AFAAGAAgAAAAhAOD/wAvHAAAA3gAA&#10;AA8AAAAAAAAAAAAAAAAABwIAAGRycy9kb3ducmV2LnhtbFBLBQYAAAAAAwADALcAAAD7AgAAAAA=&#10;" filled="f" stroked="f">
                  <v:textbox inset="0,0,0,0">
                    <w:txbxContent>
                      <w:p w14:paraId="5D5EAC38" w14:textId="77777777" w:rsidR="00B32EF2" w:rsidRDefault="00000000">
                        <w:r>
                          <w:rPr>
                            <w:rFonts w:ascii="Arial" w:eastAsia="Arial" w:hAnsi="Arial" w:cs="Arial"/>
                            <w:sz w:val="18"/>
                          </w:rPr>
                          <w:t>-</w:t>
                        </w:r>
                      </w:p>
                    </w:txbxContent>
                  </v:textbox>
                </v:rect>
                <v:rect id="Rectangle 22467" o:spid="_x0000_s6458" style="position:absolute;left:-12203;top:28138;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2WQxwAAAN4AAAAPAAAAZHJzL2Rvd25yZXYueG1sRI9Pa8JA&#10;FMTvgt9heYI33TSIlegqxSLNoRf/gcdH9pmkzb5dsqtJ++m7QsHjMDO/YVab3jTiTq2vLSt4mSYg&#10;iAuray4VnI67yQKED8gaG8uk4Ic8bNbDwQozbTve0/0QShEh7DNUUIXgMil9UZFBP7WOOHpX2xoM&#10;Ubal1C12EW4amSbJXBqsOS5U6GhbUfF9uBkFl3d2+a6TxfV36z6/8kXzcTudlRqP+rcliEB9eIb/&#10;27lWkKaz+Ss87sQrINd/AAAA//8DAFBLAQItABQABgAIAAAAIQDb4fbL7gAAAIUBAAATAAAAAAAA&#10;AAAAAAAAAAAAAABbQ29udGVudF9UeXBlc10ueG1sUEsBAi0AFAAGAAgAAAAhAFr0LFu/AAAAFQEA&#10;AAsAAAAAAAAAAAAAAAAAHwEAAF9yZWxzLy5yZWxzUEsBAi0AFAAGAAgAAAAhAI+zZZDHAAAA3gAA&#10;AA8AAAAAAAAAAAAAAAAABwIAAGRycy9kb3ducmV2LnhtbFBLBQYAAAAAAwADALcAAAD7AgAAAAA=&#10;" filled="f" stroked="f">
                  <v:textbox inset="0,0,0,0">
                    <w:txbxContent>
                      <w:p w14:paraId="25D6DAA1" w14:textId="77777777" w:rsidR="00B32EF2" w:rsidRDefault="00000000">
                        <w:r>
                          <w:rPr>
                            <w:rFonts w:ascii="Arial" w:eastAsia="Arial" w:hAnsi="Arial" w:cs="Arial"/>
                            <w:sz w:val="18"/>
                          </w:rPr>
                          <w:t>tività di consulenza tributaria, detengono le scritture contabili e redigono i bi</w:t>
                        </w:r>
                      </w:p>
                    </w:txbxContent>
                  </v:textbox>
                </v:rect>
                <v:rect id="Rectangle 22468" o:spid="_x0000_s6459" style="position:absolute;left:194;top:2813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HiwwAAAN4AAAAPAAAAZHJzL2Rvd25yZXYueG1sRE9Ni8Iw&#10;EL0v+B/CCN7W1CIi1SiiiD14WVfB49CMbbWZhCbaur9+c1jY4+N9L9e9acSLWl9bVjAZJyCIC6tr&#10;LhWcv/efcxA+IGtsLJOCN3lYrwYfS8y07fiLXqdQihjCPkMFVQguk9IXFRn0Y+uII3ezrcEQYVtK&#10;3WIXw00j0ySZSYM1x4YKHW0rKh6np1Fw3bHL950sbj9bd7zn8+bwPF+UGg37zQJEoD78i//cuVaQ&#10;ptNZ3BvvxCsgV78AAAD//wMAUEsBAi0AFAAGAAgAAAAhANvh9svuAAAAhQEAABMAAAAAAAAAAAAA&#10;AAAAAAAAAFtDb250ZW50X1R5cGVzXS54bWxQSwECLQAUAAYACAAAACEAWvQsW78AAAAVAQAACwAA&#10;AAAAAAAAAAAAAAAfAQAAX3JlbHMvLnJlbHNQSwECLQAUAAYACAAAACEA/izx4sMAAADeAAAADwAA&#10;AAAAAAAAAAAAAAAHAgAAZHJzL2Rvd25yZXYueG1sUEsFBgAAAAADAAMAtwAAAPcCAAAAAA==&#10;" filled="f" stroked="f">
                  <v:textbox inset="0,0,0,0">
                    <w:txbxContent>
                      <w:p w14:paraId="6D89D83B" w14:textId="77777777" w:rsidR="00B32EF2" w:rsidRDefault="00000000">
                        <w:r>
                          <w:rPr>
                            <w:rFonts w:ascii="Arial" w:eastAsia="Arial" w:hAnsi="Arial" w:cs="Arial"/>
                            <w:sz w:val="18"/>
                          </w:rPr>
                          <w:t>-</w:t>
                        </w:r>
                      </w:p>
                    </w:txbxContent>
                  </v:textbox>
                </v:rect>
                <v:rect id="Rectangle 22469" o:spid="_x0000_s6460" style="position:absolute;left:-13170;top:2682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FR5xwAAAN4AAAAPAAAAZHJzL2Rvd25yZXYueG1sRI9Ba8JA&#10;FITvBf/D8oTedNNQxKauUhQxBy9VCz0+ss8kmn27ZFcT/fVuQehxmJlvmNmiN424UutrywrexgkI&#10;4sLqmksFh/16NAXhA7LGxjIpuJGHxXzwMsNM246/6boLpYgQ9hkqqEJwmZS+qMigH1tHHL2jbQ2G&#10;KNtS6ha7CDeNTJNkIg3WHBcqdLSsqDjvLkbB74pdvu5kcbwv3faUT5vN5fCj1Ouw//oEEagP/+Fn&#10;O9cK0vR98gF/d+IVkPMHAAAA//8DAFBLAQItABQABgAIAAAAIQDb4fbL7gAAAIUBAAATAAAAAAAA&#10;AAAAAAAAAAAAAABbQ29udGVudF9UeXBlc10ueG1sUEsBAi0AFAAGAAgAAAAhAFr0LFu/AAAAFQEA&#10;AAsAAAAAAAAAAAAAAAAAHwEAAF9yZWxzLy5yZWxzUEsBAi0AFAAGAAgAAAAhAJFgVHnHAAAA3gAA&#10;AA8AAAAAAAAAAAAAAAAABwIAAGRycy9kb3ducmV2LnhtbFBLBQYAAAAAAwADALcAAAD7AgAAAAA=&#10;" filled="f" stroked="f">
                  <v:textbox inset="0,0,0,0">
                    <w:txbxContent>
                      <w:p w14:paraId="1B9D29F7" w14:textId="77777777" w:rsidR="00B32EF2" w:rsidRDefault="00000000">
                        <w:r>
                          <w:rPr>
                            <w:rFonts w:ascii="Arial" w:eastAsia="Arial" w:hAnsi="Arial" w:cs="Arial"/>
                            <w:sz w:val="18"/>
                          </w:rPr>
                          <w:t xml:space="preserve">lanci, ovvero svolgono attività di consulenza, assistenza o di rappresentanza, </w:t>
                        </w:r>
                      </w:p>
                    </w:txbxContent>
                  </v:textbox>
                </v:rect>
                <v:rect id="Rectangle 22470" o:spid="_x0000_s6461" style="position:absolute;left:-12202;top:25518;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2s5xQAAAN4AAAAPAAAAZHJzL2Rvd25yZXYueG1sRI/LasJA&#10;FIb3Bd9hOIK7OjGUVqKjiCLNwk29gMtD5phEM2eGzGiiT99ZFLr8+W9882VvGvGg1teWFUzGCQji&#10;wuqaSwXHw/Z9CsIHZI2NZVLwJA/LxeBtjpm2Hf/QYx9KEUfYZ6igCsFlUvqiIoN+bB1x9C62NRii&#10;bEupW+ziuGlkmiSf0mDN8aFCR+uKitv+bhScN+zybSeLy2vtdtd82nzfjyelRsN+NQMRqA//4b92&#10;rhWk6cdXBIg4EQXk4hcAAP//AwBQSwECLQAUAAYACAAAACEA2+H2y+4AAACFAQAAEwAAAAAAAAAA&#10;AAAAAAAAAAAAW0NvbnRlbnRfVHlwZXNdLnhtbFBLAQItABQABgAIAAAAIQBa9CxbvwAAABUBAAAL&#10;AAAAAAAAAAAAAAAAAB8BAABfcmVscy8ucmVsc1BLAQItABQABgAIAAAAIQCFg2s5xQAAAN4AAAAP&#10;AAAAAAAAAAAAAAAAAAcCAABkcnMvZG93bnJldi54bWxQSwUGAAAAAAMAAwC3AAAA+QIAAAAA&#10;" filled="f" stroked="f">
                  <v:textbox inset="0,0,0,0">
                    <w:txbxContent>
                      <w:p w14:paraId="2B43000E" w14:textId="77777777" w:rsidR="00B32EF2" w:rsidRDefault="00000000">
                        <w:r>
                          <w:rPr>
                            <w:rFonts w:ascii="Arial" w:eastAsia="Arial" w:hAnsi="Arial" w:cs="Arial"/>
                            <w:sz w:val="18"/>
                          </w:rPr>
                          <w:t>a qualsiasi titolo e anche nelle controversie di carattere tributario, di contri</w:t>
                        </w:r>
                      </w:p>
                    </w:txbxContent>
                  </v:textbox>
                </v:rect>
                <v:rect id="Rectangle 22471" o:spid="_x0000_s6462" style="position:absolute;left:194;top:2551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86ixwAAAN4AAAAPAAAAZHJzL2Rvd25yZXYueG1sRI9Pa8JA&#10;FMTvgt9heYI33RiKldRVRJHm0Ev9Az0+ss8kbfbtkl1N7Kd3CwWPw8z8hlmue9OIG7W+tqxgNk1A&#10;EBdW11wqOB33kwUIH5A1NpZJwZ08rFfDwRIzbTv+pNshlCJC2GeooArBZVL6oiKDfmodcfQutjUY&#10;omxLqVvsItw0Mk2SuTRYc1yo0NG2ouLncDUKvnbs8n0ni8vv1n1854vm/Xo6KzUe9Zs3EIH68Az/&#10;t3OtIE1fXmfwdydeAbl6AAAA//8DAFBLAQItABQABgAIAAAAIQDb4fbL7gAAAIUBAAATAAAAAAAA&#10;AAAAAAAAAAAAAABbQ29udGVudF9UeXBlc10ueG1sUEsBAi0AFAAGAAgAAAAhAFr0LFu/AAAAFQEA&#10;AAsAAAAAAAAAAAAAAAAAHwEAAF9yZWxzLy5yZWxzUEsBAi0AFAAGAAgAAAAhAOrPzqLHAAAA3gAA&#10;AA8AAAAAAAAAAAAAAAAABwIAAGRycy9kb3ducmV2LnhtbFBLBQYAAAAAAwADALcAAAD7AgAAAAA=&#10;" filled="f" stroked="f">
                  <v:textbox inset="0,0,0,0">
                    <w:txbxContent>
                      <w:p w14:paraId="140E97D4" w14:textId="77777777" w:rsidR="00B32EF2" w:rsidRDefault="00000000">
                        <w:r>
                          <w:rPr>
                            <w:rFonts w:ascii="Arial" w:eastAsia="Arial" w:hAnsi="Arial" w:cs="Arial"/>
                            <w:sz w:val="18"/>
                          </w:rPr>
                          <w:t>-</w:t>
                        </w:r>
                      </w:p>
                    </w:txbxContent>
                  </v:textbox>
                </v:rect>
                <v:rect id="Rectangle 22472" o:spid="_x0000_s6463" style="position:absolute;left:-13169;top:2420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VDVxgAAAN4AAAAPAAAAZHJzL2Rvd25yZXYueG1sRI9Ba8JA&#10;FITvBf/D8gRvdWMorURXEUWag5daBY+P7DOJZt8u2dVEf323UOhxmJlvmPmyN424U+trywom4wQE&#10;cWF1zaWCw/f2dQrCB2SNjWVS8CAPy8XgZY6Zth1/0X0fShEh7DNUUIXgMil9UZFBP7aOOHpn2xoM&#10;Ubal1C12EW4amSbJuzRYc1yo0NG6ouK6vxkFpw27fNvJ4vxcu90lnzaft8NRqdGwX81ABOrDf/iv&#10;nWsFafr2kcLvnXgF5OIHAAD//wMAUEsBAi0AFAAGAAgAAAAhANvh9svuAAAAhQEAABMAAAAAAAAA&#10;AAAAAAAAAAAAAFtDb250ZW50X1R5cGVzXS54bWxQSwECLQAUAAYACAAAACEAWvQsW78AAAAVAQAA&#10;CwAAAAAAAAAAAAAAAAAfAQAAX3JlbHMvLnJlbHNQSwECLQAUAAYACAAAACEAGh1Q1cYAAADeAAAA&#10;DwAAAAAAAAAAAAAAAAAHAgAAZHJzL2Rvd25yZXYueG1sUEsFBgAAAAADAAMAtwAAAPoCAAAAAA==&#10;" filled="f" stroked="f">
                  <v:textbox inset="0,0,0,0">
                    <w:txbxContent>
                      <w:p w14:paraId="41D8DC84" w14:textId="77777777" w:rsidR="00B32EF2" w:rsidRDefault="00000000">
                        <w:r>
                          <w:rPr>
                            <w:rFonts w:ascii="Arial" w:eastAsia="Arial" w:hAnsi="Arial" w:cs="Arial"/>
                            <w:sz w:val="18"/>
                          </w:rPr>
                          <w:t xml:space="preserve">buenti singoli o associazioni di contribuenti, di società di riscossione dei tributi </w:t>
                        </w:r>
                      </w:p>
                    </w:txbxContent>
                  </v:textbox>
                </v:rect>
                <v:rect id="Rectangle 22473" o:spid="_x0000_s6464" style="position:absolute;left:24195;top:22898;width:157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fVOxwAAAN4AAAAPAAAAZHJzL2Rvd25yZXYueG1sRI9Ba8JA&#10;FITvgv9heUJvumkqraSuIoo0h160KfT4yD6TtNm3S3Y1qb++KxQ8DjPzDbNcD6YVF+p8Y1nB4ywB&#10;QVxa3XCloPjYTxcgfEDW2FomBb/kYb0aj5aYadvzgS7HUIkIYZ+hgjoEl0npy5oM+pl1xNE72c5g&#10;iLKrpO6wj3DTyjRJnqXBhuNCjY62NZU/x7NR8LVjl+97WZ6uW/f+nS/at3PxqdTDZNi8ggg0hHv4&#10;v51rBWk6f3mC2514BeTqDwAA//8DAFBLAQItABQABgAIAAAAIQDb4fbL7gAAAIUBAAATAAAAAAAA&#10;AAAAAAAAAAAAAABbQ29udGVudF9UeXBlc10ueG1sUEsBAi0AFAAGAAgAAAAhAFr0LFu/AAAAFQEA&#10;AAsAAAAAAAAAAAAAAAAAHwEAAF9yZWxzLy5yZWxzUEsBAi0AFAAGAAgAAAAhAHVR9U7HAAAA3gAA&#10;AA8AAAAAAAAAAAAAAAAABwIAAGRycy9kb3ducmV2LnhtbFBLBQYAAAAAAwADALcAAAD7AgAAAAA=&#10;" filled="f" stroked="f">
                  <v:textbox inset="0,0,0,0">
                    <w:txbxContent>
                      <w:p w14:paraId="3DED49D1" w14:textId="77777777" w:rsidR="00B32EF2" w:rsidRDefault="00000000">
                        <w:r>
                          <w:rPr>
                            <w:rFonts w:ascii="Arial" w:eastAsia="Arial" w:hAnsi="Arial" w:cs="Arial"/>
                            <w:sz w:val="18"/>
                          </w:rPr>
                          <w:t>o di altri enti impositori;</w:t>
                        </w:r>
                      </w:p>
                    </w:txbxContent>
                  </v:textbox>
                </v:rect>
                <v:rect id="Rectangle 22474" o:spid="_x0000_s6465" style="position:absolute;left:-11045;top:21588;width:509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G06xwAAAN4AAAAPAAAAZHJzL2Rvd25yZXYueG1sRI9Pa8JA&#10;FMTvBb/D8oTe6qZBrERXKRZpDl78Bx4f2WeSNvt2ya4m9dO7QsHjMDO/YebL3jTiSq2vLSt4HyUg&#10;iAuray4VHPbrtykIH5A1NpZJwR95WC4GL3PMtO14S9ddKEWEsM9QQRWCy6T0RUUG/cg64uidbWsw&#10;RNmWUrfYRbhpZJokE2mw5rhQoaNVRcXv7mIUnL7Y5etOFufbym1+8mnzfTkclXod9p8zEIH68Az/&#10;t3OtIE3HH2N43IlXQC7uAAAA//8DAFBLAQItABQABgAIAAAAIQDb4fbL7gAAAIUBAAATAAAAAAAA&#10;AAAAAAAAAAAAAABbQ29udGVudF9UeXBlc10ueG1sUEsBAi0AFAAGAAgAAAAhAFr0LFu/AAAAFQEA&#10;AAsAAAAAAAAAAAAAAAAAHwEAAF9yZWxzLy5yZWxzUEsBAi0AFAAGAAgAAAAhAPq4bTrHAAAA3gAA&#10;AA8AAAAAAAAAAAAAAAAABwIAAGRycy9kb3ducmV2LnhtbFBLBQYAAAAAAwADALcAAAD7AgAAAAA=&#10;" filled="f" stroked="f">
                  <v:textbox inset="0,0,0,0">
                    <w:txbxContent>
                      <w:p w14:paraId="4E609A26" w14:textId="77777777" w:rsidR="00B32EF2" w:rsidRDefault="00000000">
                        <w:r>
                          <w:rPr>
                            <w:rFonts w:ascii="Arial" w:eastAsia="Arial" w:hAnsi="Arial" w:cs="Arial"/>
                            <w:sz w:val="18"/>
                          </w:rPr>
                          <w:t>i) gli appartenenti alle Forze armate ed i funzionari civili dei Corpi di polizia;</w:t>
                        </w:r>
                      </w:p>
                    </w:txbxContent>
                  </v:textbox>
                </v:rect>
                <v:rect id="Rectangle 22475" o:spid="_x0000_s6466" style="position:absolute;left:-12203;top:20279;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MihxwAAAN4AAAAPAAAAZHJzL2Rvd25yZXYueG1sRI9Ba8JA&#10;FITvgv9heUJvummoraSuIoo0h160KfT4yD6TtNm3S3Y1qb++KxQ8DjPzDbNcD6YVF+p8Y1nB4ywB&#10;QVxa3XCloPjYTxcgfEDW2FomBb/kYb0aj5aYadvzgS7HUIkIYZ+hgjoEl0npy5oM+pl1xNE72c5g&#10;iLKrpO6wj3DTyjRJnqXBhuNCjY62NZU/x7NR8LVjl+97WZ6uW/f+nS/at3PxqdTDZNi8ggg0hHv4&#10;v51rBWn69DKH2514BeTqDwAA//8DAFBLAQItABQABgAIAAAAIQDb4fbL7gAAAIUBAAATAAAAAAAA&#10;AAAAAAAAAAAAAABbQ29udGVudF9UeXBlc10ueG1sUEsBAi0AFAAGAAgAAAAhAFr0LFu/AAAAFQEA&#10;AAsAAAAAAAAAAAAAAAAAHwEAAF9yZWxzLy5yZWxzUEsBAi0AFAAGAAgAAAAhAJX0yKHHAAAA3gAA&#10;AA8AAAAAAAAAAAAAAAAABwIAAGRycy9kb3ducmV2LnhtbFBLBQYAAAAAAwADALcAAAD7AgAAAAA=&#10;" filled="f" stroked="f">
                  <v:textbox inset="0,0,0,0">
                    <w:txbxContent>
                      <w:p w14:paraId="755F19F8" w14:textId="77777777" w:rsidR="00B32EF2" w:rsidRDefault="00000000">
                        <w:r>
                          <w:rPr>
                            <w:rFonts w:ascii="Arial" w:eastAsia="Arial" w:hAnsi="Arial" w:cs="Arial"/>
                            <w:sz w:val="18"/>
                          </w:rPr>
                          <w:t>l) coloro che sono iscritti in albi professionali, elenchi, ruoli e il personale di</w:t>
                        </w:r>
                      </w:p>
                    </w:txbxContent>
                  </v:textbox>
                </v:rect>
                <v:rect id="Rectangle 22476" o:spid="_x0000_s6467" style="position:absolute;left:194;top:2027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lbWxwAAAN4AAAAPAAAAZHJzL2Rvd25yZXYueG1sRI9Pa8JA&#10;FMTvgt9heYI33TSIlegqxSLNoRf/gcdH9pmkzb5dsqtJ++m7QsHjMDO/YVab3jTiTq2vLSt4mSYg&#10;iAuray4VnI67yQKED8gaG8uk4Ic8bNbDwQozbTve0/0QShEh7DNUUIXgMil9UZFBP7WOOHpX2xoM&#10;Ubal1C12EW4amSbJXBqsOS5U6GhbUfF9uBkFl3d2+a6TxfV36z6/8kXzcTudlRqP+rcliEB9eIb/&#10;27lWkKaz1zk87sQrINd/AAAA//8DAFBLAQItABQABgAIAAAAIQDb4fbL7gAAAIUBAAATAAAAAAAA&#10;AAAAAAAAAAAAAABbQ29udGVudF9UeXBlc10ueG1sUEsBAi0AFAAGAAgAAAAhAFr0LFu/AAAAFQEA&#10;AAsAAAAAAAAAAAAAAAAAHwEAAF9yZWxzLy5yZWxzUEsBAi0AFAAGAAgAAAAhAGUmVtbHAAAA3gAA&#10;AA8AAAAAAAAAAAAAAAAABwIAAGRycy9kb3ducmV2LnhtbFBLBQYAAAAAAwADALcAAAD7AgAAAAA=&#10;" filled="f" stroked="f">
                  <v:textbox inset="0,0,0,0">
                    <w:txbxContent>
                      <w:p w14:paraId="71DE21AA" w14:textId="77777777" w:rsidR="00B32EF2" w:rsidRDefault="00000000">
                        <w:r>
                          <w:rPr>
                            <w:rFonts w:ascii="Arial" w:eastAsia="Arial" w:hAnsi="Arial" w:cs="Arial"/>
                            <w:sz w:val="18"/>
                          </w:rPr>
                          <w:t>-</w:t>
                        </w:r>
                      </w:p>
                    </w:txbxContent>
                  </v:textbox>
                </v:rect>
                <v:rect id="Rectangle 22477" o:spid="_x0000_s6468" style="position:absolute;left:-12202;top:18969;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vNNxwAAAN4AAAAPAAAAZHJzL2Rvd25yZXYueG1sRI9Pa8JA&#10;FMTvgt9heYI33TRIlegqxSLNoZf6Bzw+ss8kbfbtkl1N2k/fFQSPw8z8hlltetOIG7W+tqzgZZqA&#10;IC6srrlUcDzsJgsQPiBrbCyTgl/ysFkPByvMtO34i277UIoIYZ+hgioEl0npi4oM+ql1xNG72NZg&#10;iLItpW6xi3DTyDRJXqXBmuNChY62FRU/+6tRcH5nl+86WVz+tu7zO180H9fjSanxqH9bggjUh2f4&#10;0c61gjSdzedwvxOvgFz/AwAA//8DAFBLAQItABQABgAIAAAAIQDb4fbL7gAAAIUBAAATAAAAAAAA&#10;AAAAAAAAAAAAAABbQ29udGVudF9UeXBlc10ueG1sUEsBAi0AFAAGAAgAAAAhAFr0LFu/AAAAFQEA&#10;AAsAAAAAAAAAAAAAAAAAHwEAAF9yZWxzLy5yZWxzUEsBAi0AFAAGAAgAAAAhAApq803HAAAA3gAA&#10;AA8AAAAAAAAAAAAAAAAABwIAAGRycy9kb3ducmV2LnhtbFBLBQYAAAAAAwADALcAAAD7AgAAAAA=&#10;" filled="f" stroked="f">
                  <v:textbox inset="0,0,0,0">
                    <w:txbxContent>
                      <w:p w14:paraId="3259B387" w14:textId="77777777" w:rsidR="00B32EF2" w:rsidRDefault="00000000">
                        <w:r>
                          <w:rPr>
                            <w:rFonts w:ascii="Arial" w:eastAsia="Arial" w:hAnsi="Arial" w:cs="Arial"/>
                            <w:sz w:val="18"/>
                          </w:rPr>
                          <w:t>pendente individuati nell’articolo 57 ed esercitano, anche in forma non indivi</w:t>
                        </w:r>
                      </w:p>
                    </w:txbxContent>
                  </v:textbox>
                </v:rect>
                <v:rect id="Rectangle 22478" o:spid="_x0000_s6469" style="position:absolute;left:194;top:1896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Wc/xAAAAN4AAAAPAAAAZHJzL2Rvd25yZXYueG1sRE/LisIw&#10;FN0P+A/hCu7G1DLMSDWKKDJduBkf4PLSXNtqcxOaaKtfP1kMzPJw3vNlbxrxoNbXlhVMxgkI4sLq&#10;mksFx8P2fQrCB2SNjWVS8CQPy8XgbY6Zth3/0GMfShFD2GeooArBZVL6oiKDfmwdceQutjUYImxL&#10;qVvsYrhpZJokn9JgzbGhQkfriorb/m4UnDfs8m0ni8tr7XbXfNp8348npUbDfjUDEagP/+I/d64V&#10;pOnHV9wb78QrIBe/AAAA//8DAFBLAQItABQABgAIAAAAIQDb4fbL7gAAAIUBAAATAAAAAAAAAAAA&#10;AAAAAAAAAABbQ29udGVudF9UeXBlc10ueG1sUEsBAi0AFAAGAAgAAAAhAFr0LFu/AAAAFQEAAAsA&#10;AAAAAAAAAAAAAAAAHwEAAF9yZWxzLy5yZWxzUEsBAi0AFAAGAAgAAAAhAHv1Zz/EAAAA3gAAAA8A&#10;AAAAAAAAAAAAAAAABwIAAGRycy9kb3ducmV2LnhtbFBLBQYAAAAAAwADALcAAAD4AgAAAAA=&#10;" filled="f" stroked="f">
                  <v:textbox inset="0,0,0,0">
                    <w:txbxContent>
                      <w:p w14:paraId="2B8C181F" w14:textId="77777777" w:rsidR="00B32EF2" w:rsidRDefault="00000000">
                        <w:r>
                          <w:rPr>
                            <w:rFonts w:ascii="Arial" w:eastAsia="Arial" w:hAnsi="Arial" w:cs="Arial"/>
                            <w:sz w:val="18"/>
                          </w:rPr>
                          <w:t>-</w:t>
                        </w:r>
                      </w:p>
                    </w:txbxContent>
                  </v:textbox>
                </v:rect>
                <v:rect id="Rectangle 22479" o:spid="_x0000_s6470" style="position:absolute;left:10929;top:17659;width:289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cKkxwAAAN4AAAAPAAAAZHJzL2Rvd25yZXYueG1sRI9Ba8JA&#10;FITvgv9heUJvumkoNk1dRRRpDr1oLfT4yD6TtNm3S3Y1qb++KxQ8DjPzDbNYDaYVF+p8Y1nB4ywB&#10;QVxa3XCl4Pixm2YgfEDW2FomBb/kYbUcjxaYa9vzni6HUIkIYZ+jgjoEl0vpy5oM+pl1xNE72c5g&#10;iLKrpO6wj3DTyjRJ5tJgw3GhRkebmsqfw9ko+NqyK3a9LE/XjXv/LrL27Xz8VOphMqxfQQQawj38&#10;3y60gjR9en6B2514BeTyDwAA//8DAFBLAQItABQABgAIAAAAIQDb4fbL7gAAAIUBAAATAAAAAAAA&#10;AAAAAAAAAAAAAABbQ29udGVudF9UeXBlc10ueG1sUEsBAi0AFAAGAAgAAAAhAFr0LFu/AAAAFQEA&#10;AAsAAAAAAAAAAAAAAAAAHwEAAF9yZWxzLy5yZWxzUEsBAi0AFAAGAAgAAAAhABS5wqTHAAAA3gAA&#10;AA8AAAAAAAAAAAAAAAAABwIAAGRycy9kb3ducmV2LnhtbFBLBQYAAAAAAwADALcAAAD7AgAAAAA=&#10;" filled="f" stroked="f">
                  <v:textbox inset="0,0,0,0">
                    <w:txbxContent>
                      <w:p w14:paraId="103BEF46" w14:textId="77777777" w:rsidR="00B32EF2" w:rsidRDefault="00000000">
                        <w:r>
                          <w:rPr>
                            <w:rFonts w:ascii="Arial" w:eastAsia="Arial" w:hAnsi="Arial" w:cs="Arial"/>
                            <w:sz w:val="18"/>
                          </w:rPr>
                          <w:t>duale, le attività individuate nella lettera h).</w:t>
                        </w:r>
                      </w:p>
                    </w:txbxContent>
                  </v:textbox>
                </v:rect>
                <v:rect id="Rectangle 202242" o:spid="_x0000_s6471" style="position:absolute;left:-12853;top:16349;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6sSxwAAAN8AAAAPAAAAZHJzL2Rvd25yZXYueG1sRI9Ba8JA&#10;FITvQv/D8gq96aZLEUldpVikOXjRRujxkX0mabNvl+xqor/eLRR6HGbmG2a5Hm0nLtSH1rGG51kG&#10;grhypuVaQ/m5nS5AhIhssHNMGq4UYL16mCwxN27gPV0OsRYJwiFHDU2MPpcyVA1ZDDPniZN3cr3F&#10;mGRfS9PjkOC2kyrL5tJiy2mhQU+bhqqfw9lq+HpnX2wHWZ1uG7/7Lhbdx7k8av30OL69gog0xv/w&#10;X7swGlSm1IuC3z/pC8jVHQAA//8DAFBLAQItABQABgAIAAAAIQDb4fbL7gAAAIUBAAATAAAAAAAA&#10;AAAAAAAAAAAAAABbQ29udGVudF9UeXBlc10ueG1sUEsBAi0AFAAGAAgAAAAhAFr0LFu/AAAAFQEA&#10;AAsAAAAAAAAAAAAAAAAAHwEAAF9yZWxzLy5yZWxzUEsBAi0AFAAGAAgAAAAhAGrvqxLHAAAA3wAA&#10;AA8AAAAAAAAAAAAAAAAABwIAAGRycy9kb3ducmV2LnhtbFBLBQYAAAAAAwADALcAAAD7AgAAAAA=&#10;" filled="f" stroked="f">
                  <v:textbox inset="0,0,0,0">
                    <w:txbxContent>
                      <w:p w14:paraId="36D58392" w14:textId="77777777" w:rsidR="00B32EF2" w:rsidRDefault="00000000">
                        <w:r>
                          <w:rPr>
                            <w:rFonts w:ascii="Arial" w:eastAsia="Arial" w:hAnsi="Arial" w:cs="Arial"/>
                            <w:sz w:val="18"/>
                          </w:rPr>
                          <w:t>. Non possono essere componenti di corte di giustizia tributaria di primo gra</w:t>
                        </w:r>
                      </w:p>
                    </w:txbxContent>
                  </v:textbox>
                </v:rect>
                <v:rect id="Rectangle 202241" o:spid="_x0000_s6472" style="position:absolute;left:26350;top:16349;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VlxwAAAN8AAAAPAAAAZHJzL2Rvd25yZXYueG1sRI9Ba8JA&#10;FITvgv9heYI33RikSHQVUcQcvNRa6PGRfSbR7Nslu5rYX98tFHocZuYbZrXpTSOe1PrasoLZNAFB&#10;XFhdc6ng8nGYLED4gKyxsUwKXuRhsx4OVphp2/E7Pc+hFBHCPkMFVQguk9IXFRn0U+uIo3e1rcEQ&#10;ZVtK3WIX4aaRaZK8SYM1x4UKHe0qKu7nh1HwtWeXHzpZXL937nTLF83xcflUajzqt0sQgfrwH/5r&#10;51pBmqTpfAa/f+IXkOsfAAAA//8DAFBLAQItABQABgAIAAAAIQDb4fbL7gAAAIUBAAATAAAAAAAA&#10;AAAAAAAAAAAAAABbQ29udGVudF9UeXBlc10ueG1sUEsBAi0AFAAGAAgAAAAhAFr0LFu/AAAAFQEA&#10;AAsAAAAAAAAAAAAAAAAAHwEAAF9yZWxzLy5yZWxzUEsBAi0AFAAGAAgAAAAhAJo9NWXHAAAA3wAA&#10;AA8AAAAAAAAAAAAAAAAABwIAAGRycy9kb3ducmV2LnhtbFBLBQYAAAAAAwADALcAAAD7AgAAAAA=&#10;" filled="f" stroked="f">
                  <v:textbox inset="0,0,0,0">
                    <w:txbxContent>
                      <w:p w14:paraId="0889D005" w14:textId="77777777" w:rsidR="00B32EF2" w:rsidRDefault="00000000">
                        <w:r>
                          <w:rPr>
                            <w:rFonts w:ascii="Arial" w:eastAsia="Arial" w:hAnsi="Arial" w:cs="Arial"/>
                            <w:sz w:val="18"/>
                          </w:rPr>
                          <w:t>3</w:t>
                        </w:r>
                      </w:p>
                    </w:txbxContent>
                  </v:textbox>
                </v:rect>
                <v:rect id="Rectangle 22481" o:spid="_x0000_s6473" style="position:absolute;left:194;top:1634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r6FxgAAAN4AAAAPAAAAZHJzL2Rvd25yZXYueG1sRI9Ba8JA&#10;FITvBf/D8gRvdWMQCamrFEXMwYtWweMj+0zSZt8u2dXE/vpuodDjMDPfMMv1YFrxoM43lhXMpgkI&#10;4tLqhisF54/dawbCB2SNrWVS8CQP69XoZYm5tj0f6XEKlYgQ9jkqqENwuZS+rMmgn1pHHL2b7QyG&#10;KLtK6g77CDetTJNkIQ02HBdqdLSpqfw63Y2C65ZdsetlefveuMNnkbX7+/mi1GQ8vL+BCDSE//Bf&#10;u9AK0nSezeD3TrwCcvUDAAD//wMAUEsBAi0AFAAGAAgAAAAhANvh9svuAAAAhQEAABMAAAAAAAAA&#10;AAAAAAAAAAAAAFtDb250ZW50X1R5cGVzXS54bWxQSwECLQAUAAYACAAAACEAWvQsW78AAAAVAQAA&#10;CwAAAAAAAAAAAAAAAAAfAQAAX3JlbHMvLnJlbHNQSwECLQAUAAYACAAAACEA3xq+hcYAAADeAAAA&#10;DwAAAAAAAAAAAAAAAAAHAgAAZHJzL2Rvd25yZXYueG1sUEsFBgAAAAADAAMAtwAAAPoCAAAAAA==&#10;" filled="f" stroked="f">
                  <v:textbox inset="0,0,0,0">
                    <w:txbxContent>
                      <w:p w14:paraId="124C94DA" w14:textId="77777777" w:rsidR="00B32EF2" w:rsidRDefault="00000000">
                        <w:r>
                          <w:rPr>
                            <w:rFonts w:ascii="Arial" w:eastAsia="Arial" w:hAnsi="Arial" w:cs="Arial"/>
                            <w:sz w:val="18"/>
                          </w:rPr>
                          <w:t>-</w:t>
                        </w:r>
                      </w:p>
                    </w:txbxContent>
                  </v:textbox>
                </v:rect>
                <v:rect id="Rectangle 22482" o:spid="_x0000_s6474" style="position:absolute;left:-13170;top:1503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CDyxwAAAN4AAAAPAAAAZHJzL2Rvd25yZXYueG1sRI9Ba8JA&#10;FITvBf/D8oTe6qahSEjdhKKIOXjRKvT4yD6TtNm3S3Y1sb++Wyj0OMzMN8yqnEwvbjT4zrKC50UC&#10;gri2uuNGwel9+5SB8AFZY2+ZFNzJQ1nMHlaYazvygW7H0IgIYZ+jgjYEl0vp65YM+oV1xNG72MFg&#10;iHJopB5wjHDTyzRJltJgx3GhRUfrluqv49Uo+Niwq7ajrC/fa7f/rLJ+dz2dlXqcT2+vIAJN4T/8&#10;1660gjR9yVL4vROvgCx+AAAA//8DAFBLAQItABQABgAIAAAAIQDb4fbL7gAAAIUBAAATAAAAAAAA&#10;AAAAAAAAAAAAAABbQ29udGVudF9UeXBlc10ueG1sUEsBAi0AFAAGAAgAAAAhAFr0LFu/AAAAFQEA&#10;AAsAAAAAAAAAAAAAAAAAHwEAAF9yZWxzLy5yZWxzUEsBAi0AFAAGAAgAAAAhAC/IIPLHAAAA3gAA&#10;AA8AAAAAAAAAAAAAAAAABwIAAGRycy9kb3ducmV2LnhtbFBLBQYAAAAAAwADALcAAAD7AgAAAAA=&#10;" filled="f" stroked="f">
                  <v:textbox inset="0,0,0,0">
                    <w:txbxContent>
                      <w:p w14:paraId="08E03ED5" w14:textId="77777777" w:rsidR="00B32EF2" w:rsidRDefault="00000000">
                        <w:r>
                          <w:rPr>
                            <w:rFonts w:ascii="Arial" w:eastAsia="Arial" w:hAnsi="Arial" w:cs="Arial"/>
                            <w:sz w:val="18"/>
                          </w:rPr>
                          <w:t xml:space="preserve">do i coniugi, i conviventi o i parenti fino al secondo grado o gli affini in primo </w:t>
                        </w:r>
                      </w:p>
                    </w:txbxContent>
                  </v:textbox>
                </v:rect>
                <v:rect id="Rectangle 22483" o:spid="_x0000_s6475" style="position:absolute;left:-13170;top:1372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IVpxwAAAN4AAAAPAAAAZHJzL2Rvd25yZXYueG1sRI9Ba8JA&#10;FITvBf/D8gRvdWMqJaSuUhRpDr1oFTw+ss8kbfbtkl1N7K93hUKPw8x8wyxWg2nFlTrfWFYwmyYg&#10;iEurG64UHL62zxkIH5A1tpZJwY08rJajpwXm2va8o+s+VCJC2OeooA7B5VL6siaDfmodcfTOtjMY&#10;ouwqqTvsI9y0Mk2SV2mw4bhQo6N1TeXP/mIUnDbsim0vy/Pv2n1+F1n7cTkclZqMh/c3EIGG8B/+&#10;axdaQZrOsxd43IlXQC7vAAAA//8DAFBLAQItABQABgAIAAAAIQDb4fbL7gAAAIUBAAATAAAAAAAA&#10;AAAAAAAAAAAAAABbQ29udGVudF9UeXBlc10ueG1sUEsBAi0AFAAGAAgAAAAhAFr0LFu/AAAAFQEA&#10;AAsAAAAAAAAAAAAAAAAAHwEAAF9yZWxzLy5yZWxzUEsBAi0AFAAGAAgAAAAhAECEhWnHAAAA3gAA&#10;AA8AAAAAAAAAAAAAAAAABwIAAGRycy9kb3ducmV2LnhtbFBLBQYAAAAAAwADALcAAAD7AgAAAAA=&#10;" filled="f" stroked="f">
                  <v:textbox inset="0,0,0,0">
                    <w:txbxContent>
                      <w:p w14:paraId="64A49516" w14:textId="77777777" w:rsidR="00B32EF2" w:rsidRDefault="00000000">
                        <w:r>
                          <w:rPr>
                            <w:rFonts w:ascii="Arial" w:eastAsia="Arial" w:hAnsi="Arial" w:cs="Arial"/>
                            <w:sz w:val="18"/>
                          </w:rPr>
                          <w:t xml:space="preserve">grado di coloro che, iscritti in albi professionali, esercitano, anche in forma non </w:t>
                        </w:r>
                      </w:p>
                    </w:txbxContent>
                  </v:textbox>
                </v:rect>
                <v:rect id="Rectangle 22484" o:spid="_x0000_s6476" style="position:absolute;left:-13171;top:12419;width:531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0dxgAAAN4AAAAPAAAAZHJzL2Rvd25yZXYueG1sRI9Ba8JA&#10;FITvBf/D8gRvdWMQCamrFEXMoRethR4f2WeSNvt2ya4m9de7gtDjMDPfMMv1YFpxpc43lhXMpgkI&#10;4tLqhisFp8/dawbCB2SNrWVS8Ece1qvRyxJzbXs+0PUYKhEh7HNUUIfgcil9WZNBP7WOOHpn2xkM&#10;UXaV1B32EW5amSbJQhpsOC7U6GhTU/l7vBgF31t2xa6X5fm2cR8/RdbuL6cvpSbj4f0NRKAh/Ief&#10;7UIrSNN5NofHnXgF5OoOAAD//wMAUEsBAi0AFAAGAAgAAAAhANvh9svuAAAAhQEAABMAAAAAAAAA&#10;AAAAAAAAAAAAAFtDb250ZW50X1R5cGVzXS54bWxQSwECLQAUAAYACAAAACEAWvQsW78AAAAVAQAA&#10;CwAAAAAAAAAAAAAAAAAfAQAAX3JlbHMvLnJlbHNQSwECLQAUAAYACAAAACEAz20dHcYAAADeAAAA&#10;DwAAAAAAAAAAAAAAAAAHAgAAZHJzL2Rvd25yZXYueG1sUEsFBgAAAAADAAMAtwAAAPoCAAAAAA==&#10;" filled="f" stroked="f">
                  <v:textbox inset="0,0,0,0">
                    <w:txbxContent>
                      <w:p w14:paraId="0B5FC169" w14:textId="77777777" w:rsidR="00B32EF2" w:rsidRDefault="00000000">
                        <w:r>
                          <w:rPr>
                            <w:rFonts w:ascii="Arial" w:eastAsia="Arial" w:hAnsi="Arial" w:cs="Arial"/>
                            <w:sz w:val="18"/>
                          </w:rPr>
                          <w:t xml:space="preserve">individuale, le attività individuate nella lettera h) nella regione e nelle province </w:t>
                        </w:r>
                      </w:p>
                    </w:txbxContent>
                  </v:textbox>
                </v:rect>
                <v:rect id="Rectangle 22485" o:spid="_x0000_s6477" style="position:absolute;left:-13170;top:1110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biGxwAAAN4AAAAPAAAAZHJzL2Rvd25yZXYueG1sRI9Ba8JA&#10;FITvBf/D8gRvdWOoJaSuUhRpDr1oFTw+ss8kbfbtkl1N7K93hUKPw8x8wyxWg2nFlTrfWFYwmyYg&#10;iEurG64UHL62zxkIH5A1tpZJwY08rJajpwXm2va8o+s+VCJC2OeooA7B5VL6siaDfmodcfTOtjMY&#10;ouwqqTvsI9y0Mk2SV2mw4bhQo6N1TeXP/mIUnDbsim0vy/Pv2n1+F1n7cTkclZqMh/c3EIGG8B/+&#10;axdaQZq+ZHN43IlXQC7vAAAA//8DAFBLAQItABQABgAIAAAAIQDb4fbL7gAAAIUBAAATAAAAAAAA&#10;AAAAAAAAAAAAAABbQ29udGVudF9UeXBlc10ueG1sUEsBAi0AFAAGAAgAAAAhAFr0LFu/AAAAFQEA&#10;AAsAAAAAAAAAAAAAAAAAHwEAAF9yZWxzLy5yZWxzUEsBAi0AFAAGAAgAAAAhAKAhuIbHAAAA3gAA&#10;AA8AAAAAAAAAAAAAAAAABwIAAGRycy9kb3ducmV2LnhtbFBLBQYAAAAAAwADALcAAAD7AgAAAAA=&#10;" filled="f" stroked="f">
                  <v:textbox inset="0,0,0,0">
                    <w:txbxContent>
                      <w:p w14:paraId="4DE8E70D" w14:textId="77777777" w:rsidR="00B32EF2" w:rsidRDefault="00000000">
                        <w:r>
                          <w:rPr>
                            <w:rFonts w:ascii="Arial" w:eastAsia="Arial" w:hAnsi="Arial" w:cs="Arial"/>
                            <w:sz w:val="18"/>
                          </w:rPr>
                          <w:t xml:space="preserve">confinanti con la predetta regione dove ha sede la corte di giustizia tributaria </w:t>
                        </w:r>
                      </w:p>
                    </w:txbxContent>
                  </v:textbox>
                </v:rect>
                <v:rect id="Rectangle 22486" o:spid="_x0000_s6478" style="position:absolute;left:-13169;top:9800;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ybxxwAAAN4AAAAPAAAAZHJzL2Rvd25yZXYueG1sRI9Ba8JA&#10;FITvBf/D8oTe6sZQJEQ3QRRpDr3UWujxkX0m0ezbJbuatL++Wyj0OMzMN8ymnEwv7jT4zrKC5SIB&#10;QVxb3XGj4PR+eMpA+ICssbdMCr7IQ1nMHjaYazvyG92PoRERwj5HBW0ILpfS1y0Z9AvriKN3toPB&#10;EOXQSD3gGOGml2mSrKTBjuNCi452LdXX480o+Nyzqw6jrM/fO/d6qbL+5Xb6UOpxPm3XIAJN4T/8&#10;1660gjR9zlbweydeAVn8AAAA//8DAFBLAQItABQABgAIAAAAIQDb4fbL7gAAAIUBAAATAAAAAAAA&#10;AAAAAAAAAAAAAABbQ29udGVudF9UeXBlc10ueG1sUEsBAi0AFAAGAAgAAAAhAFr0LFu/AAAAFQEA&#10;AAsAAAAAAAAAAAAAAAAAHwEAAF9yZWxzLy5yZWxzUEsBAi0AFAAGAAgAAAAhAFDzJvHHAAAA3gAA&#10;AA8AAAAAAAAAAAAAAAAABwIAAGRycy9kb3ducmV2LnhtbFBLBQYAAAAAAwADALcAAAD7AgAAAAA=&#10;" filled="f" stroked="f">
                  <v:textbox inset="0,0,0,0">
                    <w:txbxContent>
                      <w:p w14:paraId="19A5DBD0" w14:textId="77777777" w:rsidR="00B32EF2" w:rsidRDefault="00000000">
                        <w:r>
                          <w:rPr>
                            <w:rFonts w:ascii="Arial" w:eastAsia="Arial" w:hAnsi="Arial" w:cs="Arial"/>
                            <w:sz w:val="18"/>
                          </w:rPr>
                          <w:t xml:space="preserve">di primo grado. Non possono, altresì, essere componenti delle corti di giustizia </w:t>
                        </w:r>
                      </w:p>
                    </w:txbxContent>
                  </v:textbox>
                </v:rect>
                <v:rect id="Rectangle 22487" o:spid="_x0000_s6479" style="position:absolute;left:-12204;top:8490;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NqxwAAAN4AAAAPAAAAZHJzL2Rvd25yZXYueG1sRI9Ba8JA&#10;FITvBf/D8gRvdWMoNqSuUhRpDr1oFTw+ss8kbfbtkl1N7K93hUKPw8x8wyxWg2nFlTrfWFYwmyYg&#10;iEurG64UHL62zxkIH5A1tpZJwY08rJajpwXm2va8o+s+VCJC2OeooA7B5VL6siaDfmodcfTOtjMY&#10;ouwqqTvsI9y0Mk2SuTTYcFyo0dG6pvJnfzEKTht2xbaX5fl37T6/i6z9uByOSk3Gw/sbiEBD+A//&#10;tQutIE1fsld43IlXQC7vAAAA//8DAFBLAQItABQABgAIAAAAIQDb4fbL7gAAAIUBAAATAAAAAAAA&#10;AAAAAAAAAAAAAABbQ29udGVudF9UeXBlc10ueG1sUEsBAi0AFAAGAAgAAAAhAFr0LFu/AAAAFQEA&#10;AAsAAAAAAAAAAAAAAAAAHwEAAF9yZWxzLy5yZWxzUEsBAi0AFAAGAAgAAAAhAD+/g2rHAAAA3gAA&#10;AA8AAAAAAAAAAAAAAAAABwIAAGRycy9kb3ducmV2LnhtbFBLBQYAAAAAAwADALcAAAD7AgAAAAA=&#10;" filled="f" stroked="f">
                  <v:textbox inset="0,0,0,0">
                    <w:txbxContent>
                      <w:p w14:paraId="7BFF9943" w14:textId="77777777" w:rsidR="00B32EF2" w:rsidRDefault="00000000">
                        <w:r>
                          <w:rPr>
                            <w:rFonts w:ascii="Arial" w:eastAsia="Arial" w:hAnsi="Arial" w:cs="Arial"/>
                            <w:sz w:val="18"/>
                          </w:rPr>
                          <w:t>tributaria di secondo grado i coniugi, i conviventi o i parenti fino al secon</w:t>
                        </w:r>
                      </w:p>
                    </w:txbxContent>
                  </v:textbox>
                </v:rect>
                <v:rect id="Rectangle 22488" o:spid="_x0000_s6480" style="position:absolute;left:194;top:849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BcYxAAAAN4AAAAPAAAAZHJzL2Rvd25yZXYueG1sRE/Pa8Iw&#10;FL4P/B/CG3ib6YqM0hlFFLEHL3MVPD6aZ9vZvIQm2upfvxwGO358vxer0XTiTr1vLSt4nyUgiCur&#10;W64VlN+7twyED8gaO8uk4EEeVsvJywJzbQf+ovsx1CKGsM9RQROCy6X0VUMG/cw64shdbG8wRNjX&#10;Uvc4xHDTyTRJPqTBlmNDg442DVXX480oOG/ZFbtBVpfnxh1+iqzb38qTUtPXcf0JItAY/sV/7kIr&#10;SNN5FvfGO/EKyOUvAAAA//8DAFBLAQItABQABgAIAAAAIQDb4fbL7gAAAIUBAAATAAAAAAAAAAAA&#10;AAAAAAAAAABbQ29udGVudF9UeXBlc10ueG1sUEsBAi0AFAAGAAgAAAAhAFr0LFu/AAAAFQEAAAsA&#10;AAAAAAAAAAAAAAAAHwEAAF9yZWxzLy5yZWxzUEsBAi0AFAAGAAgAAAAhAE4gFxjEAAAA3gAAAA8A&#10;AAAAAAAAAAAAAAAABwIAAGRycy9kb3ducmV2LnhtbFBLBQYAAAAAAwADALcAAAD4AgAAAAA=&#10;" filled="f" stroked="f">
                  <v:textbox inset="0,0,0,0">
                    <w:txbxContent>
                      <w:p w14:paraId="132ABA0F" w14:textId="77777777" w:rsidR="00B32EF2" w:rsidRDefault="00000000">
                        <w:r>
                          <w:rPr>
                            <w:rFonts w:ascii="Arial" w:eastAsia="Arial" w:hAnsi="Arial" w:cs="Arial"/>
                            <w:sz w:val="18"/>
                          </w:rPr>
                          <w:t>-</w:t>
                        </w:r>
                      </w:p>
                    </w:txbxContent>
                  </v:textbox>
                </v:rect>
                <v:rect id="Rectangle 22489" o:spid="_x0000_s6481" style="position:absolute;left:-13170;top:718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LKDxwAAAN4AAAAPAAAAZHJzL2Rvd25yZXYueG1sRI9Ba8JA&#10;FITvBf/D8gRvdWMokqauUhRpDr1oFTw+ss8kbfbtkl1N7K93hUKPw8x8wyxWg2nFlTrfWFYwmyYg&#10;iEurG64UHL62zxkIH5A1tpZJwY08rJajpwXm2va8o+s+VCJC2OeooA7B5VL6siaDfmodcfTOtjMY&#10;ouwqqTvsI9y0Mk2SuTTYcFyo0dG6pvJnfzEKTht2xbaX5fl37T6/i6z9uByOSk3Gw/sbiEBD+A//&#10;tQutIE1fsld43IlXQC7vAAAA//8DAFBLAQItABQABgAIAAAAIQDb4fbL7gAAAIUBAAATAAAAAAAA&#10;AAAAAAAAAAAAAABbQ29udGVudF9UeXBlc10ueG1sUEsBAi0AFAAGAAgAAAAhAFr0LFu/AAAAFQEA&#10;AAsAAAAAAAAAAAAAAAAAHwEAAF9yZWxzLy5yZWxzUEsBAi0AFAAGAAgAAAAhACFssoPHAAAA3gAA&#10;AA8AAAAAAAAAAAAAAAAABwIAAGRycy9kb3ducmV2LnhtbFBLBQYAAAAAAwADALcAAAD7AgAAAAA=&#10;" filled="f" stroked="f">
                  <v:textbox inset="0,0,0,0">
                    <w:txbxContent>
                      <w:p w14:paraId="062EA0DA" w14:textId="77777777" w:rsidR="00B32EF2" w:rsidRDefault="00000000">
                        <w:r>
                          <w:rPr>
                            <w:rFonts w:ascii="Arial" w:eastAsia="Arial" w:hAnsi="Arial" w:cs="Arial"/>
                            <w:sz w:val="18"/>
                          </w:rPr>
                          <w:t xml:space="preserve">do grado o gli affini in primo grado di coloro che, iscritti in albi professionali, </w:t>
                        </w:r>
                      </w:p>
                    </w:txbxContent>
                  </v:textbox>
                </v:rect>
                <v:rect id="Rectangle 22490" o:spid="_x0000_s6482" style="position:absolute;left:-13170;top:587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43DxgAAAN4AAAAPAAAAZHJzL2Rvd25yZXYueG1sRI/LasJA&#10;FIb3Bd9hOEJ3ddJQikYnUizSLLqpF3B5yJxcNHNmyIwm+vSdRaHLn//Gt1qPphM36n1rWcHrLAFB&#10;XFrdcq3gsN++zEH4gKyxs0wK7uRhnU+eVphpO/AP3XahFnGEfYYKmhBcJqUvGzLoZ9YRR6+yvcEQ&#10;ZV9L3eMQx00n0yR5lwZbjg8NOto0VF52V6Pg9Mmu2A6yrB4b930u5t3X9XBU6nk6fixBBBrDf/iv&#10;XWgFafq2iAARJ6KAzH8BAAD//wMAUEsBAi0AFAAGAAgAAAAhANvh9svuAAAAhQEAABMAAAAAAAAA&#10;AAAAAAAAAAAAAFtDb250ZW50X1R5cGVzXS54bWxQSwECLQAUAAYACAAAACEAWvQsW78AAAAVAQAA&#10;CwAAAAAAAAAAAAAAAAAfAQAAX3JlbHMvLnJlbHNQSwECLQAUAAYACAAAACEANY+Nw8YAAADeAAAA&#10;DwAAAAAAAAAAAAAAAAAHAgAAZHJzL2Rvd25yZXYueG1sUEsFBgAAAAADAAMAtwAAAPoCAAAAAA==&#10;" filled="f" stroked="f">
                  <v:textbox inset="0,0,0,0">
                    <w:txbxContent>
                      <w:p w14:paraId="5AE19A38" w14:textId="77777777" w:rsidR="00B32EF2" w:rsidRDefault="00000000">
                        <w:r>
                          <w:rPr>
                            <w:rFonts w:ascii="Arial" w:eastAsia="Arial" w:hAnsi="Arial" w:cs="Arial"/>
                            <w:sz w:val="18"/>
                          </w:rPr>
                          <w:t xml:space="preserve">esercitano, anche in forma non individuale, le attività individuate nella lettera </w:t>
                        </w:r>
                      </w:p>
                    </w:txbxContent>
                  </v:textbox>
                </v:rect>
                <v:rect id="Rectangle 22491" o:spid="_x0000_s6483" style="position:absolute;left:-12189;top:4560;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yhYxwAAAN4AAAAPAAAAZHJzL2Rvd25yZXYueG1sRI9Pa8JA&#10;FMTvhX6H5Qm96cZQRFNXEYs0By/1D/T4yD6TaPbtkl1N6qd3C0KPw8z8hpkve9OIG7W+tqxgPEpA&#10;EBdW11wqOOw3wykIH5A1NpZJwS95WC5eX+aYadvxN912oRQRwj5DBVUILpPSFxUZ9CPriKN3sq3B&#10;EGVbSt1iF+GmkWmSTKTBmuNChY7WFRWX3dUo+Plkl286WZzua7c959Pm63o4KvU26FcfIAL14T/8&#10;bOdaQZq+z8bwdydeAbl4AAAA//8DAFBLAQItABQABgAIAAAAIQDb4fbL7gAAAIUBAAATAAAAAAAA&#10;AAAAAAAAAAAAAABbQ29udGVudF9UeXBlc10ueG1sUEsBAi0AFAAGAAgAAAAhAFr0LFu/AAAAFQEA&#10;AAsAAAAAAAAAAAAAAAAAHwEAAF9yZWxzLy5yZWxzUEsBAi0AFAAGAAgAAAAhAFrDKFjHAAAA3gAA&#10;AA8AAAAAAAAAAAAAAAAABwIAAGRycy9kb3ducmV2LnhtbFBLBQYAAAAAAwADALcAAAD7AgAAAAA=&#10;" filled="f" stroked="f">
                  <v:textbox inset="0,0,0,0">
                    <w:txbxContent>
                      <w:p w14:paraId="6A8B18F5" w14:textId="77777777" w:rsidR="00B32EF2" w:rsidRDefault="00000000">
                        <w:r>
                          <w:rPr>
                            <w:rFonts w:ascii="Arial" w:eastAsia="Arial" w:hAnsi="Arial" w:cs="Arial"/>
                            <w:sz w:val="18"/>
                          </w:rPr>
                          <w:t>h) del comma 2 nella regione dove ha sede la corte di giustizia tributaria di se</w:t>
                        </w:r>
                      </w:p>
                    </w:txbxContent>
                  </v:textbox>
                </v:rect>
                <v:rect id="Rectangle 22492" o:spid="_x0000_s6484" style="position:absolute;left:194;top:456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bYvxgAAAN4AAAAPAAAAZHJzL2Rvd25yZXYueG1sRI9Ba8JA&#10;FITvBf/D8gRvdWMoxUZXEUWag5daBY+P7DOJZt8u2dVEf323UOhxmJlvmPmyN424U+trywom4wQE&#10;cWF1zaWCw/f2dQrCB2SNjWVS8CAPy8XgZY6Zth1/0X0fShEh7DNUUIXgMil9UZFBP7aOOHpn2xoM&#10;Ubal1C12EW4amSbJuzRYc1yo0NG6ouK6vxkFpw27fNvJ4vxcu90lnzaft8NRqdGwX81ABOrDf/iv&#10;nWsFafr2kcLvnXgF5OIHAAD//wMAUEsBAi0AFAAGAAgAAAAhANvh9svuAAAAhQEAABMAAAAAAAAA&#10;AAAAAAAAAAAAAFtDb250ZW50X1R5cGVzXS54bWxQSwECLQAUAAYACAAAACEAWvQsW78AAAAVAQAA&#10;CwAAAAAAAAAAAAAAAAAfAQAAX3JlbHMvLnJlbHNQSwECLQAUAAYACAAAACEAqhG2L8YAAADeAAAA&#10;DwAAAAAAAAAAAAAAAAAHAgAAZHJzL2Rvd25yZXYueG1sUEsFBgAAAAADAAMAtwAAAPoCAAAAAA==&#10;" filled="f" stroked="f">
                  <v:textbox inset="0,0,0,0">
                    <w:txbxContent>
                      <w:p w14:paraId="1AA9D38B" w14:textId="77777777" w:rsidR="00B32EF2" w:rsidRDefault="00000000">
                        <w:r>
                          <w:rPr>
                            <w:rFonts w:ascii="Arial" w:eastAsia="Arial" w:hAnsi="Arial" w:cs="Arial"/>
                            <w:sz w:val="18"/>
                          </w:rPr>
                          <w:t>-</w:t>
                        </w:r>
                      </w:p>
                    </w:txbxContent>
                  </v:textbox>
                </v:rect>
                <w10:anchorlock/>
              </v:group>
            </w:pict>
          </mc:Fallback>
        </mc:AlternateContent>
      </w:r>
    </w:p>
    <w:p w14:paraId="71A07EF3" w14:textId="77777777" w:rsidR="00B32EF2" w:rsidRDefault="00000000">
      <w:pPr>
        <w:spacing w:after="453"/>
        <w:ind w:left="-1440" w:right="7064"/>
      </w:pPr>
      <w:r>
        <w:rPr>
          <w:noProof/>
        </w:rPr>
        <w:lastRenderedPageBreak/>
        <mc:AlternateContent>
          <mc:Choice Requires="wpg">
            <w:drawing>
              <wp:anchor distT="0" distB="0" distL="114300" distR="114300" simplePos="0" relativeHeight="251675648" behindDoc="0" locked="0" layoutInCell="1" allowOverlap="1" wp14:anchorId="33BBB21A" wp14:editId="42AC6324">
                <wp:simplePos x="0" y="0"/>
                <wp:positionH relativeFrom="page">
                  <wp:posOffset>2632944</wp:posOffset>
                </wp:positionH>
                <wp:positionV relativeFrom="page">
                  <wp:posOffset>397149</wp:posOffset>
                </wp:positionV>
                <wp:extent cx="134112" cy="188456"/>
                <wp:effectExtent l="0" t="0" r="0" b="0"/>
                <wp:wrapTopAndBottom/>
                <wp:docPr id="202409" name="Group 202409"/>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22504" name="Rectangle 22504"/>
                        <wps:cNvSpPr/>
                        <wps:spPr>
                          <a:xfrm rot="-10799999">
                            <a:off x="-44256" y="-62190"/>
                            <a:ext cx="178369" cy="250646"/>
                          </a:xfrm>
                          <a:prstGeom prst="rect">
                            <a:avLst/>
                          </a:prstGeom>
                          <a:ln>
                            <a:noFill/>
                          </a:ln>
                        </wps:spPr>
                        <wps:txbx>
                          <w:txbxContent>
                            <w:p w14:paraId="30EBF113" w14:textId="77777777" w:rsidR="00B32EF2" w:rsidRDefault="00000000">
                              <w:r>
                                <w:rPr>
                                  <w:rFonts w:ascii="Times New Roman" w:eastAsia="Times New Roman" w:hAnsi="Times New Roman" w:cs="Times New Roman"/>
                                </w:rPr>
                                <w:t>23</w:t>
                              </w:r>
                            </w:p>
                          </w:txbxContent>
                        </wps:txbx>
                        <wps:bodyPr horzOverflow="overflow" vert="horz" lIns="0" tIns="0" rIns="0" bIns="0" rtlCol="0">
                          <a:noAutofit/>
                        </wps:bodyPr>
                      </wps:wsp>
                    </wpg:wgp>
                  </a:graphicData>
                </a:graphic>
              </wp:anchor>
            </w:drawing>
          </mc:Choice>
          <mc:Fallback>
            <w:pict>
              <v:group w14:anchorId="33BBB21A" id="Group 202409" o:spid="_x0000_s6485" style="position:absolute;left:0;text-align:left;margin-left:207.3pt;margin-top:31.25pt;width:10.55pt;height:14.85pt;z-index:251675648;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ndiGwIAAIEEAAAOAAAAZHJzL2Uyb0RvYy54bWyklN1u2yAUx+8n7R0Q94k/4qSJFaea1jWa&#10;NK1Vuz0AwWBbwoCAxO6efgf8ka2VdtH5Ah8O+PA/P87x/rZvBbowYxslC5wsY4yYpKpsZFXgnz/u&#10;F1uMrCOyJEJJVuAXZvHt4eOHfadzlqpaiZIZBEGkzTtd4No5nUeRpTVriV0qzSQscmVa4mBqqqg0&#10;pIPorYjSON5EnTKlNooya8F7NyziQ4jPOaPugXPLHBIFBm0ujCaMJz9Ghz3JK0N03dBRBnmHipY0&#10;Eg6dQ90RR9DZNG9CtQ01yirullS1keK8oSzkANkk8atsjkaddcilyrtKz5gA7StO7w5Lv1+ORj/r&#10;RwMkOl0BizDzufTctP4NKlEfkL3MyFjvEAVnssqSJMWIwlKy3WbrzYCU1sD9zVe0/vLP76Lp0Ogv&#10;KZ2G4rDX/O3/5f9cE80CVptD/o8GNWWB03QdZxhJ0kKZPkHhEFkJhgZ3gBN2z6hsboHaxAkZBbW1&#10;SOKbnX9CLYzcFlmWAhYEhBabNNmNRTcTvNmuNruBIEjYZIHgTILk2lh3ZKpF3iiwAWkhPLl8sw6E&#10;wdZpi1cjpB+lum+EGFa9B4BOgr3l+lMfsl6nq5W/Me88qfIFYNTK/HqAluZCdQVWo4V9l8PxfhUj&#10;8VXCJfiGmgwzGafJME58VqHtBkGfzk7xJii+njYqg9sNVqjzkNLYk76R/pyHXdc/x+E3AAAA//8D&#10;AFBLAwQUAAYACAAAACEA9+BjMOAAAAAJAQAADwAAAGRycy9kb3ducmV2LnhtbEyPQU+DQBCF7yb+&#10;h82YeLMLFFCRoWka9dQ0sTUx3qYwBVJ2l7BboP/e9aTHyfvy3jf5aladGHmwrdEI4SIAwbo0Vatr&#10;hM/D28MTCOtIV9QZzQhXtrAqbm9yyioz6Q8e964WvkTbjBAa5/pMSls2rMguTM/aZyczKHL+HGpZ&#10;DTT5ctXJKAhSqajVfqGhnjcNl+f9RSG8TzStl+HruD2fNtfvQ7L72oaMeH83r19AOJ7dHwy/+l4d&#10;Cu90NBddWdEhxGGcehQhjRIQHoiXySOII8JzFIEscvn/g+IHAAD//wMAUEsBAi0AFAAGAAgAAAAh&#10;ALaDOJL+AAAA4QEAABMAAAAAAAAAAAAAAAAAAAAAAFtDb250ZW50X1R5cGVzXS54bWxQSwECLQAU&#10;AAYACAAAACEAOP0h/9YAAACUAQAACwAAAAAAAAAAAAAAAAAvAQAAX3JlbHMvLnJlbHNQSwECLQAU&#10;AAYACAAAACEAR3J3YhsCAACBBAAADgAAAAAAAAAAAAAAAAAuAgAAZHJzL2Uyb0RvYy54bWxQSwEC&#10;LQAUAAYACAAAACEA9+BjMOAAAAAJAQAADwAAAAAAAAAAAAAAAAB1BAAAZHJzL2Rvd25yZXYueG1s&#10;UEsFBgAAAAAEAAQA8wAAAIIFAAAAAA==&#10;">
                <v:rect id="Rectangle 22504" o:spid="_x0000_s6486"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HaxgAAAN4AAAAPAAAAZHJzL2Rvd25yZXYueG1sRI9Ba8JA&#10;FITvBf/D8gRvdWNoi0RXEUWag5daBY+P7DOJZt8u2dVEf323UOhxmJlvmPmyN424U+trywom4wQE&#10;cWF1zaWCw/f2dQrCB2SNjWVS8CAPy8XgZY6Zth1/0X0fShEh7DNUUIXgMil9UZFBP7aOOHpn2xoM&#10;Ubal1C12EW4amSbJhzRYc1yo0NG6ouK6vxkFpw27fNvJ4vxcu90lnzaft8NRqdGwX81ABOrDf/iv&#10;nWsFafqevMHvnXgF5OIHAAD//wMAUEsBAi0AFAAGAAgAAAAhANvh9svuAAAAhQEAABMAAAAAAAAA&#10;AAAAAAAAAAAAAFtDb250ZW50X1R5cGVzXS54bWxQSwECLQAUAAYACAAAACEAWvQsW78AAAAVAQAA&#10;CwAAAAAAAAAAAAAAAAAfAQAAX3JlbHMvLnJlbHNQSwECLQAUAAYACAAAACEA1F8R2sYAAADeAAAA&#10;DwAAAAAAAAAAAAAAAAAHAgAAZHJzL2Rvd25yZXYueG1sUEsFBgAAAAADAAMAtwAAAPoCAAAAAA==&#10;" filled="f" stroked="f">
                  <v:textbox inset="0,0,0,0">
                    <w:txbxContent>
                      <w:p w14:paraId="30EBF113" w14:textId="77777777" w:rsidR="00B32EF2" w:rsidRDefault="00000000">
                        <w:r>
                          <w:rPr>
                            <w:rFonts w:ascii="Times New Roman" w:eastAsia="Times New Roman" w:hAnsi="Times New Roman" w:cs="Times New Roman"/>
                          </w:rPr>
                          <w:t>23</w:t>
                        </w:r>
                      </w:p>
                    </w:txbxContent>
                  </v:textbox>
                </v:rect>
                <w10:wrap type="topAndBottom" anchorx="page" anchory="page"/>
              </v:group>
            </w:pict>
          </mc:Fallback>
        </mc:AlternateContent>
      </w:r>
    </w:p>
    <w:p w14:paraId="35332EAF" w14:textId="77777777" w:rsidR="00B32EF2" w:rsidRDefault="00000000">
      <w:pPr>
        <w:spacing w:after="0"/>
        <w:ind w:left="-356" w:right="-306"/>
      </w:pPr>
      <w:r>
        <w:rPr>
          <w:noProof/>
        </w:rPr>
        <w:lastRenderedPageBreak/>
        <mc:AlternateContent>
          <mc:Choice Requires="wpg">
            <w:drawing>
              <wp:inline distT="0" distB="0" distL="0" distR="0" wp14:anchorId="6A6431CB" wp14:editId="20D73128">
                <wp:extent cx="3991813" cy="5657272"/>
                <wp:effectExtent l="0" t="0" r="0" b="0"/>
                <wp:docPr id="202410" name="Group 202410"/>
                <wp:cNvGraphicFramePr/>
                <a:graphic xmlns:a="http://schemas.openxmlformats.org/drawingml/2006/main">
                  <a:graphicData uri="http://schemas.microsoft.com/office/word/2010/wordprocessingGroup">
                    <wpg:wgp>
                      <wpg:cNvGrpSpPr/>
                      <wpg:grpSpPr>
                        <a:xfrm>
                          <a:off x="0" y="0"/>
                          <a:ext cx="3991813" cy="5657272"/>
                          <a:chOff x="0" y="0"/>
                          <a:chExt cx="3991813" cy="5657272"/>
                        </a:xfrm>
                      </wpg:grpSpPr>
                      <wps:wsp>
                        <wps:cNvPr id="22505" name="Rectangle 22505"/>
                        <wps:cNvSpPr/>
                        <wps:spPr>
                          <a:xfrm rot="-10799999">
                            <a:off x="1511049" y="5514383"/>
                            <a:ext cx="803527" cy="142889"/>
                          </a:xfrm>
                          <a:prstGeom prst="rect">
                            <a:avLst/>
                          </a:prstGeom>
                          <a:ln>
                            <a:noFill/>
                          </a:ln>
                        </wps:spPr>
                        <wps:txbx>
                          <w:txbxContent>
                            <w:p w14:paraId="2ADB5A16" w14:textId="77777777" w:rsidR="00B32EF2" w:rsidRDefault="00000000">
                              <w:r>
                                <w:rPr>
                                  <w:rFonts w:ascii="Arial" w:eastAsia="Arial" w:hAnsi="Arial" w:cs="Arial"/>
                                  <w:b/>
                                  <w:sz w:val="18"/>
                                </w:rPr>
                                <w:t>Articolo 12</w:t>
                              </w:r>
                            </w:p>
                          </w:txbxContent>
                        </wps:txbx>
                        <wps:bodyPr horzOverflow="overflow" vert="horz" lIns="0" tIns="0" rIns="0" bIns="0" rtlCol="0">
                          <a:noAutofit/>
                        </wps:bodyPr>
                      </wps:wsp>
                      <wps:wsp>
                        <wps:cNvPr id="202406" name="Rectangle 202406"/>
                        <wps:cNvSpPr/>
                        <wps:spPr>
                          <a:xfrm rot="-10799999">
                            <a:off x="-145016" y="5391053"/>
                            <a:ext cx="1857414" cy="142890"/>
                          </a:xfrm>
                          <a:prstGeom prst="rect">
                            <a:avLst/>
                          </a:prstGeom>
                          <a:ln>
                            <a:noFill/>
                          </a:ln>
                        </wps:spPr>
                        <wps:txbx>
                          <w:txbxContent>
                            <w:p w14:paraId="11F7A648"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405" name="Rectangle 202405"/>
                        <wps:cNvSpPr/>
                        <wps:spPr>
                          <a:xfrm rot="-10799999">
                            <a:off x="2211129" y="5391053"/>
                            <a:ext cx="1857413" cy="142890"/>
                          </a:xfrm>
                          <a:prstGeom prst="rect">
                            <a:avLst/>
                          </a:prstGeom>
                          <a:ln>
                            <a:noFill/>
                          </a:ln>
                        </wps:spPr>
                        <wps:txbx>
                          <w:txbxContent>
                            <w:p w14:paraId="391B6475"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407" name="Rectangle 202407"/>
                        <wps:cNvSpPr/>
                        <wps:spPr>
                          <a:xfrm rot="-10799999">
                            <a:off x="1216376" y="5391053"/>
                            <a:ext cx="1857413" cy="142890"/>
                          </a:xfrm>
                          <a:prstGeom prst="rect">
                            <a:avLst/>
                          </a:prstGeom>
                          <a:ln>
                            <a:noFill/>
                          </a:ln>
                        </wps:spPr>
                        <wps:txbx>
                          <w:txbxContent>
                            <w:p w14:paraId="2178717D" w14:textId="77777777" w:rsidR="00B32EF2" w:rsidRDefault="00000000">
                              <w:r>
                                <w:rPr>
                                  <w:rFonts w:ascii="Arial" w:eastAsia="Arial" w:hAnsi="Arial" w:cs="Arial"/>
                                  <w:i/>
                                  <w:sz w:val="18"/>
                                </w:rPr>
                                <w:t xml:space="preserve">articolo 6 D.lgs. n. </w:t>
                              </w:r>
                            </w:p>
                          </w:txbxContent>
                        </wps:txbx>
                        <wps:bodyPr horzOverflow="overflow" vert="horz" lIns="0" tIns="0" rIns="0" bIns="0" rtlCol="0">
                          <a:noAutofit/>
                        </wps:bodyPr>
                      </wps:wsp>
                      <wps:wsp>
                        <wps:cNvPr id="22507" name="Rectangle 22507"/>
                        <wps:cNvSpPr/>
                        <wps:spPr>
                          <a:xfrm rot="-10799999">
                            <a:off x="-358331" y="5267724"/>
                            <a:ext cx="3772473" cy="142889"/>
                          </a:xfrm>
                          <a:prstGeom prst="rect">
                            <a:avLst/>
                          </a:prstGeom>
                          <a:ln>
                            <a:noFill/>
                          </a:ln>
                        </wps:spPr>
                        <wps:txbx>
                          <w:txbxContent>
                            <w:p w14:paraId="26974F57" w14:textId="77777777" w:rsidR="00B32EF2" w:rsidRDefault="00000000">
                              <w:r>
                                <w:rPr>
                                  <w:rFonts w:ascii="Arial" w:eastAsia="Arial" w:hAnsi="Arial" w:cs="Arial"/>
                                  <w:b/>
                                  <w:sz w:val="18"/>
                                </w:rPr>
                                <w:t xml:space="preserve">La formazione delle sezioni e dei collegi giudicanti </w:t>
                              </w:r>
                            </w:p>
                          </w:txbxContent>
                        </wps:txbx>
                        <wps:bodyPr horzOverflow="overflow" vert="horz" lIns="0" tIns="0" rIns="0" bIns="0" rtlCol="0">
                          <a:noAutofit/>
                        </wps:bodyPr>
                      </wps:wsp>
                      <wps:wsp>
                        <wps:cNvPr id="202404" name="Rectangle 202404"/>
                        <wps:cNvSpPr/>
                        <wps:spPr>
                          <a:xfrm rot="-10799999">
                            <a:off x="-1376391" y="5144394"/>
                            <a:ext cx="5309021" cy="142889"/>
                          </a:xfrm>
                          <a:prstGeom prst="rect">
                            <a:avLst/>
                          </a:prstGeom>
                          <a:ln>
                            <a:noFill/>
                          </a:ln>
                        </wps:spPr>
                        <wps:txbx>
                          <w:txbxContent>
                            <w:p w14:paraId="3A525363" w14:textId="77777777" w:rsidR="00B32EF2" w:rsidRDefault="00000000">
                              <w:r>
                                <w:rPr>
                                  <w:rFonts w:ascii="Arial" w:eastAsia="Arial" w:hAnsi="Arial" w:cs="Arial"/>
                                  <w:sz w:val="18"/>
                                </w:rPr>
                                <w:t xml:space="preserve">. Con provvedimento del Consiglio di presidenza della giustizia tributaria </w:t>
                              </w:r>
                            </w:p>
                          </w:txbxContent>
                        </wps:txbx>
                        <wps:bodyPr horzOverflow="overflow" vert="horz" lIns="0" tIns="0" rIns="0" bIns="0" rtlCol="0">
                          <a:noAutofit/>
                        </wps:bodyPr>
                      </wps:wsp>
                      <wps:wsp>
                        <wps:cNvPr id="202403" name="Rectangle 202403"/>
                        <wps:cNvSpPr/>
                        <wps:spPr>
                          <a:xfrm rot="-10799999">
                            <a:off x="2610988" y="5144394"/>
                            <a:ext cx="5309020" cy="142889"/>
                          </a:xfrm>
                          <a:prstGeom prst="rect">
                            <a:avLst/>
                          </a:prstGeom>
                          <a:ln>
                            <a:noFill/>
                          </a:ln>
                        </wps:spPr>
                        <wps:txbx>
                          <w:txbxContent>
                            <w:p w14:paraId="0BEE133D"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2509" name="Rectangle 22509"/>
                        <wps:cNvSpPr/>
                        <wps:spPr>
                          <a:xfrm rot="-10799999">
                            <a:off x="-1220477" y="5021064"/>
                            <a:ext cx="5212291" cy="142889"/>
                          </a:xfrm>
                          <a:prstGeom prst="rect">
                            <a:avLst/>
                          </a:prstGeom>
                          <a:ln>
                            <a:noFill/>
                          </a:ln>
                        </wps:spPr>
                        <wps:txbx>
                          <w:txbxContent>
                            <w:p w14:paraId="01CC640B" w14:textId="77777777" w:rsidR="00B32EF2" w:rsidRDefault="00000000">
                              <w:r>
                                <w:rPr>
                                  <w:rFonts w:ascii="Arial" w:eastAsia="Arial" w:hAnsi="Arial" w:cs="Arial"/>
                                  <w:sz w:val="18"/>
                                </w:rPr>
                                <w:t>sono istituite sezioni specializzate in relazione a questioni controverse indivi</w:t>
                              </w:r>
                            </w:p>
                          </w:txbxContent>
                        </wps:txbx>
                        <wps:bodyPr horzOverflow="overflow" vert="horz" lIns="0" tIns="0" rIns="0" bIns="0" rtlCol="0">
                          <a:noAutofit/>
                        </wps:bodyPr>
                      </wps:wsp>
                      <wps:wsp>
                        <wps:cNvPr id="22510" name="Rectangle 22510"/>
                        <wps:cNvSpPr/>
                        <wps:spPr>
                          <a:xfrm rot="-10799999">
                            <a:off x="19215" y="5021064"/>
                            <a:ext cx="50622" cy="142889"/>
                          </a:xfrm>
                          <a:prstGeom prst="rect">
                            <a:avLst/>
                          </a:prstGeom>
                          <a:ln>
                            <a:noFill/>
                          </a:ln>
                        </wps:spPr>
                        <wps:txbx>
                          <w:txbxContent>
                            <w:p w14:paraId="7A24E04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511" name="Rectangle 22511"/>
                        <wps:cNvSpPr/>
                        <wps:spPr>
                          <a:xfrm rot="-10799999">
                            <a:off x="1630366" y="4897735"/>
                            <a:ext cx="2361448" cy="142889"/>
                          </a:xfrm>
                          <a:prstGeom prst="rect">
                            <a:avLst/>
                          </a:prstGeom>
                          <a:ln>
                            <a:noFill/>
                          </a:ln>
                        </wps:spPr>
                        <wps:txbx>
                          <w:txbxContent>
                            <w:p w14:paraId="40530071" w14:textId="77777777" w:rsidR="00B32EF2" w:rsidRDefault="00000000">
                              <w:r>
                                <w:rPr>
                                  <w:rFonts w:ascii="Arial" w:eastAsia="Arial" w:hAnsi="Arial" w:cs="Arial"/>
                                  <w:sz w:val="18"/>
                                </w:rPr>
                                <w:t>duate con il provvedimento stesso.</w:t>
                              </w:r>
                            </w:p>
                          </w:txbxContent>
                        </wps:txbx>
                        <wps:bodyPr horzOverflow="overflow" vert="horz" lIns="0" tIns="0" rIns="0" bIns="0" rtlCol="0">
                          <a:noAutofit/>
                        </wps:bodyPr>
                      </wps:wsp>
                      <wps:wsp>
                        <wps:cNvPr id="202402" name="Rectangle 202402"/>
                        <wps:cNvSpPr/>
                        <wps:spPr>
                          <a:xfrm rot="-10799999">
                            <a:off x="-1284349" y="4774405"/>
                            <a:ext cx="5213082" cy="142889"/>
                          </a:xfrm>
                          <a:prstGeom prst="rect">
                            <a:avLst/>
                          </a:prstGeom>
                          <a:ln>
                            <a:noFill/>
                          </a:ln>
                        </wps:spPr>
                        <wps:txbx>
                          <w:txbxContent>
                            <w:p w14:paraId="269CBE5E" w14:textId="77777777" w:rsidR="00B32EF2" w:rsidRDefault="00000000">
                              <w:r>
                                <w:rPr>
                                  <w:rFonts w:ascii="Arial" w:eastAsia="Arial" w:hAnsi="Arial" w:cs="Arial"/>
                                  <w:sz w:val="18"/>
                                </w:rPr>
                                <w:t>. I presidenti delle corti di giustizia tributaria di primo e secondo grado asse</w:t>
                              </w:r>
                            </w:p>
                          </w:txbxContent>
                        </wps:txbx>
                        <wps:bodyPr horzOverflow="overflow" vert="horz" lIns="0" tIns="0" rIns="0" bIns="0" rtlCol="0">
                          <a:noAutofit/>
                        </wps:bodyPr>
                      </wps:wsp>
                      <wps:wsp>
                        <wps:cNvPr id="202401" name="Rectangle 202401"/>
                        <wps:cNvSpPr/>
                        <wps:spPr>
                          <a:xfrm rot="-10799999">
                            <a:off x="2634792" y="4774405"/>
                            <a:ext cx="5213082" cy="142889"/>
                          </a:xfrm>
                          <a:prstGeom prst="rect">
                            <a:avLst/>
                          </a:prstGeom>
                          <a:ln>
                            <a:noFill/>
                          </a:ln>
                        </wps:spPr>
                        <wps:txbx>
                          <w:txbxContent>
                            <w:p w14:paraId="3BC49F80"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2513" name="Rectangle 22513"/>
                        <wps:cNvSpPr/>
                        <wps:spPr>
                          <a:xfrm rot="-10799999">
                            <a:off x="19215" y="4774405"/>
                            <a:ext cx="50622" cy="142889"/>
                          </a:xfrm>
                          <a:prstGeom prst="rect">
                            <a:avLst/>
                          </a:prstGeom>
                          <a:ln>
                            <a:noFill/>
                          </a:ln>
                        </wps:spPr>
                        <wps:txbx>
                          <w:txbxContent>
                            <w:p w14:paraId="6EA51AC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514" name="Rectangle 22514"/>
                        <wps:cNvSpPr/>
                        <wps:spPr>
                          <a:xfrm rot="-10799999">
                            <a:off x="-1317267" y="4651075"/>
                            <a:ext cx="5309082" cy="142889"/>
                          </a:xfrm>
                          <a:prstGeom prst="rect">
                            <a:avLst/>
                          </a:prstGeom>
                          <a:ln>
                            <a:noFill/>
                          </a:ln>
                        </wps:spPr>
                        <wps:txbx>
                          <w:txbxContent>
                            <w:p w14:paraId="1253F71B" w14:textId="77777777" w:rsidR="00B32EF2" w:rsidRDefault="00000000">
                              <w:r>
                                <w:rPr>
                                  <w:rFonts w:ascii="Arial" w:eastAsia="Arial" w:hAnsi="Arial" w:cs="Arial"/>
                                  <w:sz w:val="18"/>
                                </w:rPr>
                                <w:t xml:space="preserve">gnano il ricorso ad una delle sezioni, tenendo conto, preliminarmente, della </w:t>
                              </w:r>
                            </w:p>
                          </w:txbxContent>
                        </wps:txbx>
                        <wps:bodyPr horzOverflow="overflow" vert="horz" lIns="0" tIns="0" rIns="0" bIns="0" rtlCol="0">
                          <a:noAutofit/>
                        </wps:bodyPr>
                      </wps:wsp>
                      <wps:wsp>
                        <wps:cNvPr id="22515" name="Rectangle 22515"/>
                        <wps:cNvSpPr/>
                        <wps:spPr>
                          <a:xfrm rot="-10799999">
                            <a:off x="-1218683" y="4527746"/>
                            <a:ext cx="5210497" cy="142889"/>
                          </a:xfrm>
                          <a:prstGeom prst="rect">
                            <a:avLst/>
                          </a:prstGeom>
                          <a:ln>
                            <a:noFill/>
                          </a:ln>
                        </wps:spPr>
                        <wps:txbx>
                          <w:txbxContent>
                            <w:p w14:paraId="17B229FA" w14:textId="77777777" w:rsidR="00B32EF2" w:rsidRDefault="00000000">
                              <w:r>
                                <w:rPr>
                                  <w:rFonts w:ascii="Arial" w:eastAsia="Arial" w:hAnsi="Arial" w:cs="Arial"/>
                                  <w:sz w:val="18"/>
                                </w:rPr>
                                <w:t>specializzazione di cui al comma 1 e applicando successivamente i criteri cro</w:t>
                              </w:r>
                            </w:p>
                          </w:txbxContent>
                        </wps:txbx>
                        <wps:bodyPr horzOverflow="overflow" vert="horz" lIns="0" tIns="0" rIns="0" bIns="0" rtlCol="0">
                          <a:noAutofit/>
                        </wps:bodyPr>
                      </wps:wsp>
                      <wps:wsp>
                        <wps:cNvPr id="22516" name="Rectangle 22516"/>
                        <wps:cNvSpPr/>
                        <wps:spPr>
                          <a:xfrm rot="-10799999">
                            <a:off x="19215" y="4527745"/>
                            <a:ext cx="50622" cy="142889"/>
                          </a:xfrm>
                          <a:prstGeom prst="rect">
                            <a:avLst/>
                          </a:prstGeom>
                          <a:ln>
                            <a:noFill/>
                          </a:ln>
                        </wps:spPr>
                        <wps:txbx>
                          <w:txbxContent>
                            <w:p w14:paraId="2B97670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517" name="Rectangle 22517"/>
                        <wps:cNvSpPr/>
                        <wps:spPr>
                          <a:xfrm rot="-10799999">
                            <a:off x="-1317221" y="4404416"/>
                            <a:ext cx="5309035" cy="142889"/>
                          </a:xfrm>
                          <a:prstGeom prst="rect">
                            <a:avLst/>
                          </a:prstGeom>
                          <a:ln>
                            <a:noFill/>
                          </a:ln>
                        </wps:spPr>
                        <wps:txbx>
                          <w:txbxContent>
                            <w:p w14:paraId="72666C31" w14:textId="77777777" w:rsidR="00B32EF2" w:rsidRDefault="00000000">
                              <w:r>
                                <w:rPr>
                                  <w:rFonts w:ascii="Arial" w:eastAsia="Arial" w:hAnsi="Arial" w:cs="Arial"/>
                                  <w:sz w:val="18"/>
                                </w:rPr>
                                <w:t xml:space="preserve">nologici e casuali. I presidenti delle corti di giustizia tributaria di primo grado </w:t>
                              </w:r>
                            </w:p>
                          </w:txbxContent>
                        </wps:txbx>
                        <wps:bodyPr horzOverflow="overflow" vert="horz" lIns="0" tIns="0" rIns="0" bIns="0" rtlCol="0">
                          <a:noAutofit/>
                        </wps:bodyPr>
                      </wps:wsp>
                      <wps:wsp>
                        <wps:cNvPr id="22518" name="Rectangle 22518"/>
                        <wps:cNvSpPr/>
                        <wps:spPr>
                          <a:xfrm rot="-10799999">
                            <a:off x="-1126787" y="4281086"/>
                            <a:ext cx="5118602" cy="142889"/>
                          </a:xfrm>
                          <a:prstGeom prst="rect">
                            <a:avLst/>
                          </a:prstGeom>
                          <a:ln>
                            <a:noFill/>
                          </a:ln>
                        </wps:spPr>
                        <wps:txbx>
                          <w:txbxContent>
                            <w:p w14:paraId="7AE41951" w14:textId="77777777" w:rsidR="00B32EF2" w:rsidRDefault="00000000">
                              <w:r>
                                <w:rPr>
                                  <w:rFonts w:ascii="Arial" w:eastAsia="Arial" w:hAnsi="Arial" w:cs="Arial"/>
                                  <w:sz w:val="18"/>
                                </w:rPr>
                                <w:t>assegnano il ricorso al giudice monocratico nei casi previsti dall’articolo 49.</w:t>
                              </w:r>
                            </w:p>
                          </w:txbxContent>
                        </wps:txbx>
                        <wps:bodyPr horzOverflow="overflow" vert="horz" lIns="0" tIns="0" rIns="0" bIns="0" rtlCol="0">
                          <a:noAutofit/>
                        </wps:bodyPr>
                      </wps:wsp>
                      <wps:wsp>
                        <wps:cNvPr id="202400" name="Rectangle 202400"/>
                        <wps:cNvSpPr/>
                        <wps:spPr>
                          <a:xfrm rot="-10799999">
                            <a:off x="-1381729" y="4157756"/>
                            <a:ext cx="5309021" cy="142889"/>
                          </a:xfrm>
                          <a:prstGeom prst="rect">
                            <a:avLst/>
                          </a:prstGeom>
                          <a:ln>
                            <a:noFill/>
                          </a:ln>
                        </wps:spPr>
                        <wps:txbx>
                          <w:txbxContent>
                            <w:p w14:paraId="377B7C07" w14:textId="77777777" w:rsidR="00B32EF2" w:rsidRDefault="00000000">
                              <w:r>
                                <w:rPr>
                                  <w:rFonts w:ascii="Arial" w:eastAsia="Arial" w:hAnsi="Arial" w:cs="Arial"/>
                                  <w:sz w:val="18"/>
                                </w:rPr>
                                <w:t xml:space="preserve">. Nel caso in cui il giudice, in composizione monocratica o collegiale, rilevi </w:t>
                              </w:r>
                            </w:p>
                          </w:txbxContent>
                        </wps:txbx>
                        <wps:bodyPr horzOverflow="overflow" vert="horz" lIns="0" tIns="0" rIns="0" bIns="0" rtlCol="0">
                          <a:noAutofit/>
                        </wps:bodyPr>
                      </wps:wsp>
                      <wps:wsp>
                        <wps:cNvPr id="202399" name="Rectangle 202399"/>
                        <wps:cNvSpPr/>
                        <wps:spPr>
                          <a:xfrm rot="-10799999">
                            <a:off x="2610988" y="4157756"/>
                            <a:ext cx="5309020" cy="142889"/>
                          </a:xfrm>
                          <a:prstGeom prst="rect">
                            <a:avLst/>
                          </a:prstGeom>
                          <a:ln>
                            <a:noFill/>
                          </a:ln>
                        </wps:spPr>
                        <wps:txbx>
                          <w:txbxContent>
                            <w:p w14:paraId="3E3106BF"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2520" name="Rectangle 22520"/>
                        <wps:cNvSpPr/>
                        <wps:spPr>
                          <a:xfrm rot="-10799999">
                            <a:off x="-1317206" y="4034427"/>
                            <a:ext cx="5309021" cy="142889"/>
                          </a:xfrm>
                          <a:prstGeom prst="rect">
                            <a:avLst/>
                          </a:prstGeom>
                          <a:ln>
                            <a:noFill/>
                          </a:ln>
                        </wps:spPr>
                        <wps:txbx>
                          <w:txbxContent>
                            <w:p w14:paraId="22587E9D" w14:textId="77777777" w:rsidR="00B32EF2" w:rsidRDefault="00000000">
                              <w:r>
                                <w:rPr>
                                  <w:rFonts w:ascii="Arial" w:eastAsia="Arial" w:hAnsi="Arial" w:cs="Arial"/>
                                  <w:sz w:val="18"/>
                                </w:rPr>
                                <w:t xml:space="preserve">che la controversia ad esso assegnata avrebbe dovuto essere trattata dalla </w:t>
                              </w:r>
                            </w:p>
                          </w:txbxContent>
                        </wps:txbx>
                        <wps:bodyPr horzOverflow="overflow" vert="horz" lIns="0" tIns="0" rIns="0" bIns="0" rtlCol="0">
                          <a:noAutofit/>
                        </wps:bodyPr>
                      </wps:wsp>
                      <wps:wsp>
                        <wps:cNvPr id="22521" name="Rectangle 22521"/>
                        <wps:cNvSpPr/>
                        <wps:spPr>
                          <a:xfrm rot="-10799999">
                            <a:off x="-1317191" y="3911097"/>
                            <a:ext cx="5309006" cy="142889"/>
                          </a:xfrm>
                          <a:prstGeom prst="rect">
                            <a:avLst/>
                          </a:prstGeom>
                          <a:ln>
                            <a:noFill/>
                          </a:ln>
                        </wps:spPr>
                        <wps:txbx>
                          <w:txbxContent>
                            <w:p w14:paraId="28D35754" w14:textId="77777777" w:rsidR="00B32EF2" w:rsidRDefault="00000000">
                              <w:r>
                                <w:rPr>
                                  <w:rFonts w:ascii="Arial" w:eastAsia="Arial" w:hAnsi="Arial" w:cs="Arial"/>
                                  <w:sz w:val="18"/>
                                </w:rPr>
                                <w:t xml:space="preserve">corte di giustizia tributaria in altra composizione, la rimette al presidente della </w:t>
                              </w:r>
                            </w:p>
                          </w:txbxContent>
                        </wps:txbx>
                        <wps:bodyPr horzOverflow="overflow" vert="horz" lIns="0" tIns="0" rIns="0" bIns="0" rtlCol="0">
                          <a:noAutofit/>
                        </wps:bodyPr>
                      </wps:wsp>
                      <wps:wsp>
                        <wps:cNvPr id="22522" name="Rectangle 22522"/>
                        <wps:cNvSpPr/>
                        <wps:spPr>
                          <a:xfrm rot="-10799999">
                            <a:off x="1238064" y="3787767"/>
                            <a:ext cx="2753749" cy="142889"/>
                          </a:xfrm>
                          <a:prstGeom prst="rect">
                            <a:avLst/>
                          </a:prstGeom>
                          <a:ln>
                            <a:noFill/>
                          </a:ln>
                        </wps:spPr>
                        <wps:txbx>
                          <w:txbxContent>
                            <w:p w14:paraId="36E641F5" w14:textId="77777777" w:rsidR="00B32EF2" w:rsidRDefault="00000000">
                              <w:r>
                                <w:rPr>
                                  <w:rFonts w:ascii="Arial" w:eastAsia="Arial" w:hAnsi="Arial" w:cs="Arial"/>
                                  <w:sz w:val="18"/>
                                </w:rPr>
                                <w:t>sezione per il rinnovo dell’assegnazione.</w:t>
                              </w:r>
                            </w:p>
                          </w:txbxContent>
                        </wps:txbx>
                        <wps:bodyPr horzOverflow="overflow" vert="horz" lIns="0" tIns="0" rIns="0" bIns="0" rtlCol="0">
                          <a:noAutofit/>
                        </wps:bodyPr>
                      </wps:wsp>
                      <wps:wsp>
                        <wps:cNvPr id="202398" name="Rectangle 202398"/>
                        <wps:cNvSpPr/>
                        <wps:spPr>
                          <a:xfrm rot="-10799999">
                            <a:off x="-1284147" y="3664438"/>
                            <a:ext cx="5212823" cy="142889"/>
                          </a:xfrm>
                          <a:prstGeom prst="rect">
                            <a:avLst/>
                          </a:prstGeom>
                          <a:ln>
                            <a:noFill/>
                          </a:ln>
                        </wps:spPr>
                        <wps:txbx>
                          <w:txbxContent>
                            <w:p w14:paraId="6E351612" w14:textId="77777777" w:rsidR="00B32EF2" w:rsidRDefault="00000000">
                              <w:r>
                                <w:rPr>
                                  <w:rFonts w:ascii="Arial" w:eastAsia="Arial" w:hAnsi="Arial" w:cs="Arial"/>
                                  <w:sz w:val="18"/>
                                </w:rPr>
                                <w:t>. Il presidente di ciascuna sezione, all’inizio di ogni anno, stabilisce il calenda</w:t>
                              </w:r>
                            </w:p>
                          </w:txbxContent>
                        </wps:txbx>
                        <wps:bodyPr horzOverflow="overflow" vert="horz" lIns="0" tIns="0" rIns="0" bIns="0" rtlCol="0">
                          <a:noAutofit/>
                        </wps:bodyPr>
                      </wps:wsp>
                      <wps:wsp>
                        <wps:cNvPr id="202397" name="Rectangle 202397"/>
                        <wps:cNvSpPr/>
                        <wps:spPr>
                          <a:xfrm rot="-10799999">
                            <a:off x="2634856" y="3664438"/>
                            <a:ext cx="5212824" cy="142889"/>
                          </a:xfrm>
                          <a:prstGeom prst="rect">
                            <a:avLst/>
                          </a:prstGeom>
                          <a:ln>
                            <a:noFill/>
                          </a:ln>
                        </wps:spPr>
                        <wps:txbx>
                          <w:txbxContent>
                            <w:p w14:paraId="65A88C9D"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2524" name="Rectangle 22524"/>
                        <wps:cNvSpPr/>
                        <wps:spPr>
                          <a:xfrm rot="-10799999">
                            <a:off x="19215" y="3664437"/>
                            <a:ext cx="50622" cy="142889"/>
                          </a:xfrm>
                          <a:prstGeom prst="rect">
                            <a:avLst/>
                          </a:prstGeom>
                          <a:ln>
                            <a:noFill/>
                          </a:ln>
                        </wps:spPr>
                        <wps:txbx>
                          <w:txbxContent>
                            <w:p w14:paraId="180E4D3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525" name="Rectangle 22525"/>
                        <wps:cNvSpPr/>
                        <wps:spPr>
                          <a:xfrm rot="-10799999">
                            <a:off x="-1219465" y="3541108"/>
                            <a:ext cx="5208308" cy="142889"/>
                          </a:xfrm>
                          <a:prstGeom prst="rect">
                            <a:avLst/>
                          </a:prstGeom>
                          <a:ln>
                            <a:noFill/>
                          </a:ln>
                        </wps:spPr>
                        <wps:txbx>
                          <w:txbxContent>
                            <w:p w14:paraId="7FDBE32E" w14:textId="77777777" w:rsidR="00B32EF2" w:rsidRDefault="00000000">
                              <w:r>
                                <w:rPr>
                                  <w:rFonts w:ascii="Arial" w:eastAsia="Arial" w:hAnsi="Arial" w:cs="Arial"/>
                                  <w:sz w:val="18"/>
                                </w:rPr>
                                <w:t>rio delle udienze ed, all’inizio di ogni trimestre, la composizione dei collegi giu</w:t>
                              </w:r>
                            </w:p>
                          </w:txbxContent>
                        </wps:txbx>
                        <wps:bodyPr horzOverflow="overflow" vert="horz" lIns="0" tIns="0" rIns="0" bIns="0" rtlCol="0">
                          <a:noAutofit/>
                        </wps:bodyPr>
                      </wps:wsp>
                      <wps:wsp>
                        <wps:cNvPr id="22526" name="Rectangle 22526"/>
                        <wps:cNvSpPr/>
                        <wps:spPr>
                          <a:xfrm rot="-10799999">
                            <a:off x="19215" y="3541108"/>
                            <a:ext cx="50622" cy="142889"/>
                          </a:xfrm>
                          <a:prstGeom prst="rect">
                            <a:avLst/>
                          </a:prstGeom>
                          <a:ln>
                            <a:noFill/>
                          </a:ln>
                        </wps:spPr>
                        <wps:txbx>
                          <w:txbxContent>
                            <w:p w14:paraId="7BF9B7B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527" name="Rectangle 22527"/>
                        <wps:cNvSpPr/>
                        <wps:spPr>
                          <a:xfrm rot="-10799999">
                            <a:off x="-1317175" y="3417778"/>
                            <a:ext cx="5308990" cy="142889"/>
                          </a:xfrm>
                          <a:prstGeom prst="rect">
                            <a:avLst/>
                          </a:prstGeom>
                          <a:ln>
                            <a:noFill/>
                          </a:ln>
                        </wps:spPr>
                        <wps:txbx>
                          <w:txbxContent>
                            <w:p w14:paraId="1EAED7BC" w14:textId="77777777" w:rsidR="00B32EF2" w:rsidRDefault="00000000">
                              <w:r>
                                <w:rPr>
                                  <w:rFonts w:ascii="Arial" w:eastAsia="Arial" w:hAnsi="Arial" w:cs="Arial"/>
                                  <w:sz w:val="18"/>
                                </w:rPr>
                                <w:t xml:space="preserve">dicanti in base ai criteri di massima stabiliti dal Consiglio di presidenza, avuto </w:t>
                              </w:r>
                            </w:p>
                          </w:txbxContent>
                        </wps:txbx>
                        <wps:bodyPr horzOverflow="overflow" vert="horz" lIns="0" tIns="0" rIns="0" bIns="0" rtlCol="0">
                          <a:noAutofit/>
                        </wps:bodyPr>
                      </wps:wsp>
                      <wps:wsp>
                        <wps:cNvPr id="22528" name="Rectangle 22528"/>
                        <wps:cNvSpPr/>
                        <wps:spPr>
                          <a:xfrm rot="-10799999">
                            <a:off x="-1108484" y="3294449"/>
                            <a:ext cx="5100299" cy="142889"/>
                          </a:xfrm>
                          <a:prstGeom prst="rect">
                            <a:avLst/>
                          </a:prstGeom>
                          <a:ln>
                            <a:noFill/>
                          </a:ln>
                        </wps:spPr>
                        <wps:txbx>
                          <w:txbxContent>
                            <w:p w14:paraId="2418B650" w14:textId="77777777" w:rsidR="00B32EF2" w:rsidRDefault="00000000">
                              <w:r>
                                <w:rPr>
                                  <w:rFonts w:ascii="Arial" w:eastAsia="Arial" w:hAnsi="Arial" w:cs="Arial"/>
                                  <w:sz w:val="18"/>
                                </w:rPr>
                                <w:t xml:space="preserve">riguardo anche ai carichi esigibili definiti per i magistrati e i giudici tributari. </w:t>
                              </w:r>
                            </w:p>
                          </w:txbxContent>
                        </wps:txbx>
                        <wps:bodyPr horzOverflow="overflow" vert="horz" lIns="0" tIns="0" rIns="0" bIns="0" rtlCol="0">
                          <a:noAutofit/>
                        </wps:bodyPr>
                      </wps:wsp>
                      <wps:wsp>
                        <wps:cNvPr id="202396" name="Rectangle 202396"/>
                        <wps:cNvSpPr/>
                        <wps:spPr>
                          <a:xfrm rot="-10799999">
                            <a:off x="-1381603" y="3171119"/>
                            <a:ext cx="5309021" cy="142889"/>
                          </a:xfrm>
                          <a:prstGeom prst="rect">
                            <a:avLst/>
                          </a:prstGeom>
                          <a:ln>
                            <a:noFill/>
                          </a:ln>
                        </wps:spPr>
                        <wps:txbx>
                          <w:txbxContent>
                            <w:p w14:paraId="7F4B9B4A" w14:textId="77777777" w:rsidR="00B32EF2" w:rsidRDefault="00000000">
                              <w:r>
                                <w:rPr>
                                  <w:rFonts w:ascii="Arial" w:eastAsia="Arial" w:hAnsi="Arial" w:cs="Arial"/>
                                  <w:sz w:val="18"/>
                                </w:rPr>
                                <w:t xml:space="preserve">. Il presidente della corte di giustizia tributaria di primo e secondo grado, col </w:t>
                              </w:r>
                            </w:p>
                          </w:txbxContent>
                        </wps:txbx>
                        <wps:bodyPr horzOverflow="overflow" vert="horz" lIns="0" tIns="0" rIns="0" bIns="0" rtlCol="0">
                          <a:noAutofit/>
                        </wps:bodyPr>
                      </wps:wsp>
                      <wps:wsp>
                        <wps:cNvPr id="202395" name="Rectangle 202395"/>
                        <wps:cNvSpPr/>
                        <wps:spPr>
                          <a:xfrm rot="-10799999">
                            <a:off x="2610988" y="3171119"/>
                            <a:ext cx="5309020" cy="142889"/>
                          </a:xfrm>
                          <a:prstGeom prst="rect">
                            <a:avLst/>
                          </a:prstGeom>
                          <a:ln>
                            <a:noFill/>
                          </a:ln>
                        </wps:spPr>
                        <wps:txbx>
                          <w:txbxContent>
                            <w:p w14:paraId="6ED54E03"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2530" name="Rectangle 22530"/>
                        <wps:cNvSpPr/>
                        <wps:spPr>
                          <a:xfrm rot="-10799999">
                            <a:off x="-1215863" y="3047789"/>
                            <a:ext cx="5201391" cy="142889"/>
                          </a:xfrm>
                          <a:prstGeom prst="rect">
                            <a:avLst/>
                          </a:prstGeom>
                          <a:ln>
                            <a:noFill/>
                          </a:ln>
                        </wps:spPr>
                        <wps:txbx>
                          <w:txbxContent>
                            <w:p w14:paraId="1B62EA84" w14:textId="77777777" w:rsidR="00B32EF2" w:rsidRDefault="00000000">
                              <w:r>
                                <w:rPr>
                                  <w:rFonts w:ascii="Arial" w:eastAsia="Arial" w:hAnsi="Arial" w:cs="Arial"/>
                                  <w:sz w:val="18"/>
                                </w:rPr>
                                <w:t>decreto di cui al comma 2, indica una o più delle sezioni, che, nel periodo di so</w:t>
                              </w:r>
                            </w:p>
                          </w:txbxContent>
                        </wps:txbx>
                        <wps:bodyPr horzOverflow="overflow" vert="horz" lIns="0" tIns="0" rIns="0" bIns="0" rtlCol="0">
                          <a:noAutofit/>
                        </wps:bodyPr>
                      </wps:wsp>
                      <wps:wsp>
                        <wps:cNvPr id="22531" name="Rectangle 22531"/>
                        <wps:cNvSpPr/>
                        <wps:spPr>
                          <a:xfrm rot="-10799999">
                            <a:off x="19215" y="3047789"/>
                            <a:ext cx="50622" cy="142889"/>
                          </a:xfrm>
                          <a:prstGeom prst="rect">
                            <a:avLst/>
                          </a:prstGeom>
                          <a:ln>
                            <a:noFill/>
                          </a:ln>
                        </wps:spPr>
                        <wps:txbx>
                          <w:txbxContent>
                            <w:p w14:paraId="68E7B07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532" name="Rectangle 22532"/>
                        <wps:cNvSpPr/>
                        <wps:spPr>
                          <a:xfrm rot="-10799999">
                            <a:off x="-1317298" y="2924460"/>
                            <a:ext cx="5309113" cy="142889"/>
                          </a:xfrm>
                          <a:prstGeom prst="rect">
                            <a:avLst/>
                          </a:prstGeom>
                          <a:ln>
                            <a:noFill/>
                          </a:ln>
                        </wps:spPr>
                        <wps:txbx>
                          <w:txbxContent>
                            <w:p w14:paraId="56BF0A90" w14:textId="77777777" w:rsidR="00B32EF2" w:rsidRDefault="00000000">
                              <w:r>
                                <w:rPr>
                                  <w:rFonts w:ascii="Arial" w:eastAsia="Arial" w:hAnsi="Arial" w:cs="Arial"/>
                                  <w:sz w:val="18"/>
                                </w:rPr>
                                <w:t xml:space="preserve">spensione feriale dei termini processuali, procedono all’esame delle domande </w:t>
                              </w:r>
                            </w:p>
                          </w:txbxContent>
                        </wps:txbx>
                        <wps:bodyPr horzOverflow="overflow" vert="horz" lIns="0" tIns="0" rIns="0" bIns="0" rtlCol="0">
                          <a:noAutofit/>
                        </wps:bodyPr>
                      </wps:wsp>
                      <wps:wsp>
                        <wps:cNvPr id="22533" name="Rectangle 22533"/>
                        <wps:cNvSpPr/>
                        <wps:spPr>
                          <a:xfrm rot="-10799999">
                            <a:off x="194744" y="2801130"/>
                            <a:ext cx="3797070" cy="142889"/>
                          </a:xfrm>
                          <a:prstGeom prst="rect">
                            <a:avLst/>
                          </a:prstGeom>
                          <a:ln>
                            <a:noFill/>
                          </a:ln>
                        </wps:spPr>
                        <wps:txbx>
                          <w:txbxContent>
                            <w:p w14:paraId="3276F53E" w14:textId="77777777" w:rsidR="00B32EF2" w:rsidRDefault="00000000">
                              <w:r>
                                <w:rPr>
                                  <w:rFonts w:ascii="Arial" w:eastAsia="Arial" w:hAnsi="Arial" w:cs="Arial"/>
                                  <w:sz w:val="18"/>
                                </w:rPr>
                                <w:t>di sospensione cautelare del provvedimento impugnato.</w:t>
                              </w:r>
                            </w:p>
                          </w:txbxContent>
                        </wps:txbx>
                        <wps:bodyPr horzOverflow="overflow" vert="horz" lIns="0" tIns="0" rIns="0" bIns="0" rtlCol="0">
                          <a:noAutofit/>
                        </wps:bodyPr>
                      </wps:wsp>
                      <wps:wsp>
                        <wps:cNvPr id="22534" name="Rectangle 22534"/>
                        <wps:cNvSpPr/>
                        <wps:spPr>
                          <a:xfrm rot="-10799999">
                            <a:off x="1655305" y="2431141"/>
                            <a:ext cx="570573" cy="142889"/>
                          </a:xfrm>
                          <a:prstGeom prst="rect">
                            <a:avLst/>
                          </a:prstGeom>
                          <a:ln>
                            <a:noFill/>
                          </a:ln>
                        </wps:spPr>
                        <wps:txbx>
                          <w:txbxContent>
                            <w:p w14:paraId="76698D9D" w14:textId="77777777" w:rsidR="00B32EF2" w:rsidRDefault="00000000">
                              <w:r>
                                <w:rPr>
                                  <w:rFonts w:ascii="Arial" w:eastAsia="Arial" w:hAnsi="Arial" w:cs="Arial"/>
                                  <w:b/>
                                  <w:sz w:val="18"/>
                                </w:rPr>
                                <w:t>CAPO II</w:t>
                              </w:r>
                            </w:p>
                          </w:txbxContent>
                        </wps:txbx>
                        <wps:bodyPr horzOverflow="overflow" vert="horz" lIns="0" tIns="0" rIns="0" bIns="0" rtlCol="0">
                          <a:noAutofit/>
                        </wps:bodyPr>
                      </wps:wsp>
                      <wps:wsp>
                        <wps:cNvPr id="22535" name="Rectangle 22535"/>
                        <wps:cNvSpPr/>
                        <wps:spPr>
                          <a:xfrm rot="-10799999">
                            <a:off x="-1247375" y="2184482"/>
                            <a:ext cx="5197013" cy="142889"/>
                          </a:xfrm>
                          <a:prstGeom prst="rect">
                            <a:avLst/>
                          </a:prstGeom>
                          <a:ln>
                            <a:noFill/>
                          </a:ln>
                        </wps:spPr>
                        <wps:txbx>
                          <w:txbxContent>
                            <w:p w14:paraId="79C2D3E8" w14:textId="77777777" w:rsidR="00B32EF2" w:rsidRDefault="00000000">
                              <w:r>
                                <w:rPr>
                                  <w:rFonts w:ascii="Arial" w:eastAsia="Arial" w:hAnsi="Arial" w:cs="Arial"/>
                                  <w:b/>
                                  <w:sz w:val="18"/>
                                </w:rPr>
                                <w:t xml:space="preserve">  I COMPONENTI DELLE CORTI DI GIUSTIZIA TRIBUTARIA DI PRIMO E </w:t>
                              </w:r>
                            </w:p>
                          </w:txbxContent>
                        </wps:txbx>
                        <wps:bodyPr horzOverflow="overflow" vert="horz" lIns="0" tIns="0" rIns="0" bIns="0" rtlCol="0">
                          <a:noAutofit/>
                        </wps:bodyPr>
                      </wps:wsp>
                      <wps:wsp>
                        <wps:cNvPr id="22536" name="Rectangle 22536"/>
                        <wps:cNvSpPr/>
                        <wps:spPr>
                          <a:xfrm rot="-10799999">
                            <a:off x="1138949" y="2061151"/>
                            <a:ext cx="1399654" cy="142889"/>
                          </a:xfrm>
                          <a:prstGeom prst="rect">
                            <a:avLst/>
                          </a:prstGeom>
                          <a:ln>
                            <a:noFill/>
                          </a:ln>
                        </wps:spPr>
                        <wps:txbx>
                          <w:txbxContent>
                            <w:p w14:paraId="6FD75FCA" w14:textId="77777777" w:rsidR="00B32EF2" w:rsidRDefault="00000000">
                              <w:r>
                                <w:rPr>
                                  <w:rFonts w:ascii="Arial" w:eastAsia="Arial" w:hAnsi="Arial" w:cs="Arial"/>
                                  <w:b/>
                                  <w:sz w:val="18"/>
                                </w:rPr>
                                <w:t>SECONDO GRADO</w:t>
                              </w:r>
                            </w:p>
                          </w:txbxContent>
                        </wps:txbx>
                        <wps:bodyPr horzOverflow="overflow" vert="horz" lIns="0" tIns="0" rIns="0" bIns="0" rtlCol="0">
                          <a:noAutofit/>
                        </wps:bodyPr>
                      </wps:wsp>
                      <wps:wsp>
                        <wps:cNvPr id="22537" name="Rectangle 22537"/>
                        <wps:cNvSpPr/>
                        <wps:spPr>
                          <a:xfrm rot="-10799999">
                            <a:off x="1511207" y="1814492"/>
                            <a:ext cx="803254" cy="142889"/>
                          </a:xfrm>
                          <a:prstGeom prst="rect">
                            <a:avLst/>
                          </a:prstGeom>
                          <a:ln>
                            <a:noFill/>
                          </a:ln>
                        </wps:spPr>
                        <wps:txbx>
                          <w:txbxContent>
                            <w:p w14:paraId="1453C27C" w14:textId="77777777" w:rsidR="00B32EF2" w:rsidRDefault="00000000">
                              <w:r>
                                <w:rPr>
                                  <w:rFonts w:ascii="Arial" w:eastAsia="Arial" w:hAnsi="Arial" w:cs="Arial"/>
                                  <w:b/>
                                  <w:sz w:val="18"/>
                                </w:rPr>
                                <w:t>Articolo 13</w:t>
                              </w:r>
                            </w:p>
                          </w:txbxContent>
                        </wps:txbx>
                        <wps:bodyPr horzOverflow="overflow" vert="horz" lIns="0" tIns="0" rIns="0" bIns="0" rtlCol="0">
                          <a:noAutofit/>
                        </wps:bodyPr>
                      </wps:wsp>
                      <wps:wsp>
                        <wps:cNvPr id="202394" name="Rectangle 202394"/>
                        <wps:cNvSpPr/>
                        <wps:spPr>
                          <a:xfrm rot="-10799999">
                            <a:off x="1216376" y="1691162"/>
                            <a:ext cx="1857413" cy="142889"/>
                          </a:xfrm>
                          <a:prstGeom prst="rect">
                            <a:avLst/>
                          </a:prstGeom>
                          <a:ln>
                            <a:noFill/>
                          </a:ln>
                        </wps:spPr>
                        <wps:txbx>
                          <w:txbxContent>
                            <w:p w14:paraId="283351ED" w14:textId="77777777" w:rsidR="00B32EF2" w:rsidRDefault="00000000">
                              <w:r>
                                <w:rPr>
                                  <w:rFonts w:ascii="Arial" w:eastAsia="Arial" w:hAnsi="Arial" w:cs="Arial"/>
                                  <w:i/>
                                  <w:sz w:val="18"/>
                                </w:rPr>
                                <w:t xml:space="preserve">articolo 7 D.lgs. n. </w:t>
                              </w:r>
                            </w:p>
                          </w:txbxContent>
                        </wps:txbx>
                        <wps:bodyPr horzOverflow="overflow" vert="horz" lIns="0" tIns="0" rIns="0" bIns="0" rtlCol="0">
                          <a:noAutofit/>
                        </wps:bodyPr>
                      </wps:wsp>
                      <wps:wsp>
                        <wps:cNvPr id="202393" name="Rectangle 202393"/>
                        <wps:cNvSpPr/>
                        <wps:spPr>
                          <a:xfrm rot="-10799999">
                            <a:off x="-145016" y="1691162"/>
                            <a:ext cx="1857413" cy="142889"/>
                          </a:xfrm>
                          <a:prstGeom prst="rect">
                            <a:avLst/>
                          </a:prstGeom>
                          <a:ln>
                            <a:noFill/>
                          </a:ln>
                        </wps:spPr>
                        <wps:txbx>
                          <w:txbxContent>
                            <w:p w14:paraId="085B10E3"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392" name="Rectangle 202392"/>
                        <wps:cNvSpPr/>
                        <wps:spPr>
                          <a:xfrm rot="-10799999">
                            <a:off x="2211130" y="1691162"/>
                            <a:ext cx="1857413" cy="142889"/>
                          </a:xfrm>
                          <a:prstGeom prst="rect">
                            <a:avLst/>
                          </a:prstGeom>
                          <a:ln>
                            <a:noFill/>
                          </a:ln>
                        </wps:spPr>
                        <wps:txbx>
                          <w:txbxContent>
                            <w:p w14:paraId="222A96A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2539" name="Rectangle 22539"/>
                        <wps:cNvSpPr/>
                        <wps:spPr>
                          <a:xfrm rot="-10799999">
                            <a:off x="1160558" y="1567832"/>
                            <a:ext cx="1338497" cy="142889"/>
                          </a:xfrm>
                          <a:prstGeom prst="rect">
                            <a:avLst/>
                          </a:prstGeom>
                          <a:ln>
                            <a:noFill/>
                          </a:ln>
                        </wps:spPr>
                        <wps:txbx>
                          <w:txbxContent>
                            <w:p w14:paraId="65A13EB2" w14:textId="77777777" w:rsidR="00B32EF2" w:rsidRDefault="00000000">
                              <w:r>
                                <w:rPr>
                                  <w:rFonts w:ascii="Arial" w:eastAsia="Arial" w:hAnsi="Arial" w:cs="Arial"/>
                                  <w:b/>
                                  <w:sz w:val="18"/>
                                </w:rPr>
                                <w:t xml:space="preserve">Requisiti generali </w:t>
                              </w:r>
                            </w:p>
                          </w:txbxContent>
                        </wps:txbx>
                        <wps:bodyPr horzOverflow="overflow" vert="horz" lIns="0" tIns="0" rIns="0" bIns="0" rtlCol="0">
                          <a:noAutofit/>
                        </wps:bodyPr>
                      </wps:wsp>
                      <wps:wsp>
                        <wps:cNvPr id="202391" name="Rectangle 202391"/>
                        <wps:cNvSpPr/>
                        <wps:spPr>
                          <a:xfrm rot="-10799999">
                            <a:off x="-1277837" y="1444503"/>
                            <a:ext cx="5208855" cy="142889"/>
                          </a:xfrm>
                          <a:prstGeom prst="rect">
                            <a:avLst/>
                          </a:prstGeom>
                          <a:ln>
                            <a:noFill/>
                          </a:ln>
                        </wps:spPr>
                        <wps:txbx>
                          <w:txbxContent>
                            <w:p w14:paraId="73824BB3" w14:textId="77777777" w:rsidR="00B32EF2" w:rsidRDefault="00000000">
                              <w:r>
                                <w:rPr>
                                  <w:rFonts w:ascii="Arial" w:eastAsia="Arial" w:hAnsi="Arial" w:cs="Arial"/>
                                  <w:sz w:val="18"/>
                                </w:rPr>
                                <w:t>. I componenti delle corti di giustizia tributaria di primo e secondo grado deb</w:t>
                              </w:r>
                            </w:p>
                          </w:txbxContent>
                        </wps:txbx>
                        <wps:bodyPr horzOverflow="overflow" vert="horz" lIns="0" tIns="0" rIns="0" bIns="0" rtlCol="0">
                          <a:noAutofit/>
                        </wps:bodyPr>
                      </wps:wsp>
                      <wps:wsp>
                        <wps:cNvPr id="202390" name="Rectangle 202390"/>
                        <wps:cNvSpPr/>
                        <wps:spPr>
                          <a:xfrm rot="-10799999">
                            <a:off x="2635840" y="1444503"/>
                            <a:ext cx="5208855" cy="142889"/>
                          </a:xfrm>
                          <a:prstGeom prst="rect">
                            <a:avLst/>
                          </a:prstGeom>
                          <a:ln>
                            <a:noFill/>
                          </a:ln>
                        </wps:spPr>
                        <wps:txbx>
                          <w:txbxContent>
                            <w:p w14:paraId="365AD7E9"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2541" name="Rectangle 22541"/>
                        <wps:cNvSpPr/>
                        <wps:spPr>
                          <a:xfrm rot="-10799999">
                            <a:off x="19215" y="1444503"/>
                            <a:ext cx="50622" cy="142889"/>
                          </a:xfrm>
                          <a:prstGeom prst="rect">
                            <a:avLst/>
                          </a:prstGeom>
                          <a:ln>
                            <a:noFill/>
                          </a:ln>
                        </wps:spPr>
                        <wps:txbx>
                          <w:txbxContent>
                            <w:p w14:paraId="37C51F0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542" name="Rectangle 22542"/>
                        <wps:cNvSpPr/>
                        <wps:spPr>
                          <a:xfrm rot="-10799999">
                            <a:off x="3610970" y="1321173"/>
                            <a:ext cx="378558" cy="142889"/>
                          </a:xfrm>
                          <a:prstGeom prst="rect">
                            <a:avLst/>
                          </a:prstGeom>
                          <a:ln>
                            <a:noFill/>
                          </a:ln>
                        </wps:spPr>
                        <wps:txbx>
                          <w:txbxContent>
                            <w:p w14:paraId="1E4BC791" w14:textId="77777777" w:rsidR="00B32EF2" w:rsidRDefault="00000000">
                              <w:r>
                                <w:rPr>
                                  <w:rFonts w:ascii="Arial" w:eastAsia="Arial" w:hAnsi="Arial" w:cs="Arial"/>
                                  <w:sz w:val="18"/>
                                </w:rPr>
                                <w:t>bono:</w:t>
                              </w:r>
                            </w:p>
                          </w:txbxContent>
                        </wps:txbx>
                        <wps:bodyPr horzOverflow="overflow" vert="horz" lIns="0" tIns="0" rIns="0" bIns="0" rtlCol="0">
                          <a:noAutofit/>
                        </wps:bodyPr>
                      </wps:wsp>
                      <wps:wsp>
                        <wps:cNvPr id="22543" name="Rectangle 22543"/>
                        <wps:cNvSpPr/>
                        <wps:spPr>
                          <a:xfrm rot="-10799999">
                            <a:off x="2225657" y="1197844"/>
                            <a:ext cx="1766157" cy="142889"/>
                          </a:xfrm>
                          <a:prstGeom prst="rect">
                            <a:avLst/>
                          </a:prstGeom>
                          <a:ln>
                            <a:noFill/>
                          </a:ln>
                        </wps:spPr>
                        <wps:txbx>
                          <w:txbxContent>
                            <w:p w14:paraId="4BCDCB3D" w14:textId="77777777" w:rsidR="00B32EF2" w:rsidRDefault="00000000">
                              <w:r>
                                <w:rPr>
                                  <w:rFonts w:ascii="Arial" w:eastAsia="Arial" w:hAnsi="Arial" w:cs="Arial"/>
                                  <w:sz w:val="18"/>
                                </w:rPr>
                                <w:t xml:space="preserve">a) essere cittadini italiani; </w:t>
                              </w:r>
                            </w:p>
                          </w:txbxContent>
                        </wps:txbx>
                        <wps:bodyPr horzOverflow="overflow" vert="horz" lIns="0" tIns="0" rIns="0" bIns="0" rtlCol="0">
                          <a:noAutofit/>
                        </wps:bodyPr>
                      </wps:wsp>
                      <wps:wsp>
                        <wps:cNvPr id="22544" name="Rectangle 22544"/>
                        <wps:cNvSpPr/>
                        <wps:spPr>
                          <a:xfrm rot="-10799999">
                            <a:off x="1130178" y="1074514"/>
                            <a:ext cx="2861636" cy="142889"/>
                          </a:xfrm>
                          <a:prstGeom prst="rect">
                            <a:avLst/>
                          </a:prstGeom>
                          <a:ln>
                            <a:noFill/>
                          </a:ln>
                        </wps:spPr>
                        <wps:txbx>
                          <w:txbxContent>
                            <w:p w14:paraId="1EEC5245" w14:textId="77777777" w:rsidR="00B32EF2" w:rsidRDefault="00000000">
                              <w:r>
                                <w:rPr>
                                  <w:rFonts w:ascii="Arial" w:eastAsia="Arial" w:hAnsi="Arial" w:cs="Arial"/>
                                  <w:sz w:val="18"/>
                                </w:rPr>
                                <w:t>b) avere l’esercizio dei diritti civili e politici;</w:t>
                              </w:r>
                            </w:p>
                          </w:txbxContent>
                        </wps:txbx>
                        <wps:bodyPr horzOverflow="overflow" vert="horz" lIns="0" tIns="0" rIns="0" bIns="0" rtlCol="0">
                          <a:noAutofit/>
                        </wps:bodyPr>
                      </wps:wsp>
                      <wps:wsp>
                        <wps:cNvPr id="22545" name="Rectangle 22545"/>
                        <wps:cNvSpPr/>
                        <wps:spPr>
                          <a:xfrm rot="-10799999">
                            <a:off x="-1220613" y="951184"/>
                            <a:ext cx="5212427" cy="142889"/>
                          </a:xfrm>
                          <a:prstGeom prst="rect">
                            <a:avLst/>
                          </a:prstGeom>
                          <a:ln>
                            <a:noFill/>
                          </a:ln>
                        </wps:spPr>
                        <wps:txbx>
                          <w:txbxContent>
                            <w:p w14:paraId="4C1B49C8" w14:textId="77777777" w:rsidR="00B32EF2" w:rsidRDefault="00000000">
                              <w:r>
                                <w:rPr>
                                  <w:rFonts w:ascii="Arial" w:eastAsia="Arial" w:hAnsi="Arial" w:cs="Arial"/>
                                  <w:sz w:val="18"/>
                                </w:rPr>
                                <w:t>c) non aver riportato condanne per delitti comuni non colposi o per contravven</w:t>
                              </w:r>
                            </w:p>
                          </w:txbxContent>
                        </wps:txbx>
                        <wps:bodyPr horzOverflow="overflow" vert="horz" lIns="0" tIns="0" rIns="0" bIns="0" rtlCol="0">
                          <a:noAutofit/>
                        </wps:bodyPr>
                      </wps:wsp>
                      <wps:wsp>
                        <wps:cNvPr id="22546" name="Rectangle 22546"/>
                        <wps:cNvSpPr/>
                        <wps:spPr>
                          <a:xfrm rot="-10799999">
                            <a:off x="19215" y="951184"/>
                            <a:ext cx="50622" cy="142889"/>
                          </a:xfrm>
                          <a:prstGeom prst="rect">
                            <a:avLst/>
                          </a:prstGeom>
                          <a:ln>
                            <a:noFill/>
                          </a:ln>
                        </wps:spPr>
                        <wps:txbx>
                          <w:txbxContent>
                            <w:p w14:paraId="3042CAC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547" name="Rectangle 22547"/>
                        <wps:cNvSpPr/>
                        <wps:spPr>
                          <a:xfrm rot="-10799999">
                            <a:off x="-1317146" y="827854"/>
                            <a:ext cx="5308960" cy="142889"/>
                          </a:xfrm>
                          <a:prstGeom prst="rect">
                            <a:avLst/>
                          </a:prstGeom>
                          <a:ln>
                            <a:noFill/>
                          </a:ln>
                        </wps:spPr>
                        <wps:txbx>
                          <w:txbxContent>
                            <w:p w14:paraId="511BE69C" w14:textId="77777777" w:rsidR="00B32EF2" w:rsidRDefault="00000000">
                              <w:r>
                                <w:rPr>
                                  <w:rFonts w:ascii="Arial" w:eastAsia="Arial" w:hAnsi="Arial" w:cs="Arial"/>
                                  <w:sz w:val="18"/>
                                </w:rPr>
                                <w:t xml:space="preserve">zioni a pena detentiva o per reati tributari e non essere stati sottoposti a misure </w:t>
                              </w:r>
                            </w:p>
                          </w:txbxContent>
                        </wps:txbx>
                        <wps:bodyPr horzOverflow="overflow" vert="horz" lIns="0" tIns="0" rIns="0" bIns="0" rtlCol="0">
                          <a:noAutofit/>
                        </wps:bodyPr>
                      </wps:wsp>
                      <wps:wsp>
                        <wps:cNvPr id="22548" name="Rectangle 22548"/>
                        <wps:cNvSpPr/>
                        <wps:spPr>
                          <a:xfrm rot="-10799999">
                            <a:off x="1971815" y="704525"/>
                            <a:ext cx="2019998" cy="142889"/>
                          </a:xfrm>
                          <a:prstGeom prst="rect">
                            <a:avLst/>
                          </a:prstGeom>
                          <a:ln>
                            <a:noFill/>
                          </a:ln>
                        </wps:spPr>
                        <wps:txbx>
                          <w:txbxContent>
                            <w:p w14:paraId="3AF9CB7C" w14:textId="77777777" w:rsidR="00B32EF2" w:rsidRDefault="00000000">
                              <w:r>
                                <w:rPr>
                                  <w:rFonts w:ascii="Arial" w:eastAsia="Arial" w:hAnsi="Arial" w:cs="Arial"/>
                                  <w:sz w:val="18"/>
                                </w:rPr>
                                <w:t>di prevenzione o di sicurezza;</w:t>
                              </w:r>
                            </w:p>
                          </w:txbxContent>
                        </wps:txbx>
                        <wps:bodyPr horzOverflow="overflow" vert="horz" lIns="0" tIns="0" rIns="0" bIns="0" rtlCol="0">
                          <a:noAutofit/>
                        </wps:bodyPr>
                      </wps:wsp>
                      <wps:wsp>
                        <wps:cNvPr id="22549" name="Rectangle 22549"/>
                        <wps:cNvSpPr/>
                        <wps:spPr>
                          <a:xfrm rot="-10799999">
                            <a:off x="-1317222" y="581195"/>
                            <a:ext cx="5309035" cy="142890"/>
                          </a:xfrm>
                          <a:prstGeom prst="rect">
                            <a:avLst/>
                          </a:prstGeom>
                          <a:ln>
                            <a:noFill/>
                          </a:ln>
                        </wps:spPr>
                        <wps:txbx>
                          <w:txbxContent>
                            <w:p w14:paraId="4D40B6E5" w14:textId="77777777" w:rsidR="00B32EF2" w:rsidRDefault="00000000">
                              <w:r>
                                <w:rPr>
                                  <w:rFonts w:ascii="Arial" w:eastAsia="Arial" w:hAnsi="Arial" w:cs="Arial"/>
                                  <w:sz w:val="18"/>
                                </w:rPr>
                                <w:t xml:space="preserve">d) non avere superato, alla data di scadenza del termine stabilito nel bando di </w:t>
                              </w:r>
                            </w:p>
                          </w:txbxContent>
                        </wps:txbx>
                        <wps:bodyPr horzOverflow="overflow" vert="horz" lIns="0" tIns="0" rIns="0" bIns="0" rtlCol="0">
                          <a:noAutofit/>
                        </wps:bodyPr>
                      </wps:wsp>
                      <wps:wsp>
                        <wps:cNvPr id="22550" name="Rectangle 22550"/>
                        <wps:cNvSpPr/>
                        <wps:spPr>
                          <a:xfrm rot="-10799999">
                            <a:off x="-1317207" y="457865"/>
                            <a:ext cx="5309021" cy="142889"/>
                          </a:xfrm>
                          <a:prstGeom prst="rect">
                            <a:avLst/>
                          </a:prstGeom>
                          <a:ln>
                            <a:noFill/>
                          </a:ln>
                        </wps:spPr>
                        <wps:txbx>
                          <w:txbxContent>
                            <w:p w14:paraId="363DACDE" w14:textId="77777777" w:rsidR="00B32EF2" w:rsidRDefault="00000000">
                              <w:r>
                                <w:rPr>
                                  <w:rFonts w:ascii="Arial" w:eastAsia="Arial" w:hAnsi="Arial" w:cs="Arial"/>
                                  <w:sz w:val="18"/>
                                </w:rPr>
                                <w:t xml:space="preserve">concorso per la presentazione della domanda di ammissione, sessantasette </w:t>
                              </w:r>
                            </w:p>
                          </w:txbxContent>
                        </wps:txbx>
                        <wps:bodyPr horzOverflow="overflow" vert="horz" lIns="0" tIns="0" rIns="0" bIns="0" rtlCol="0">
                          <a:noAutofit/>
                        </wps:bodyPr>
                      </wps:wsp>
                      <wps:wsp>
                        <wps:cNvPr id="22551" name="Rectangle 22551"/>
                        <wps:cNvSpPr/>
                        <wps:spPr>
                          <a:xfrm rot="-10799999">
                            <a:off x="3202895" y="334536"/>
                            <a:ext cx="788918" cy="142889"/>
                          </a:xfrm>
                          <a:prstGeom prst="rect">
                            <a:avLst/>
                          </a:prstGeom>
                          <a:ln>
                            <a:noFill/>
                          </a:ln>
                        </wps:spPr>
                        <wps:txbx>
                          <w:txbxContent>
                            <w:p w14:paraId="468B75C5" w14:textId="77777777" w:rsidR="00B32EF2" w:rsidRDefault="00000000">
                              <w:r>
                                <w:rPr>
                                  <w:rFonts w:ascii="Arial" w:eastAsia="Arial" w:hAnsi="Arial" w:cs="Arial"/>
                                  <w:sz w:val="18"/>
                                </w:rPr>
                                <w:t xml:space="preserve">anni di età; </w:t>
                              </w:r>
                            </w:p>
                          </w:txbxContent>
                        </wps:txbx>
                        <wps:bodyPr horzOverflow="overflow" vert="horz" lIns="0" tIns="0" rIns="0" bIns="0" rtlCol="0">
                          <a:noAutofit/>
                        </wps:bodyPr>
                      </wps:wsp>
                      <wps:wsp>
                        <wps:cNvPr id="22552" name="Rectangle 22552"/>
                        <wps:cNvSpPr/>
                        <wps:spPr>
                          <a:xfrm rot="-10799999">
                            <a:off x="1692084" y="211206"/>
                            <a:ext cx="2299729" cy="142889"/>
                          </a:xfrm>
                          <a:prstGeom prst="rect">
                            <a:avLst/>
                          </a:prstGeom>
                          <a:ln>
                            <a:noFill/>
                          </a:ln>
                        </wps:spPr>
                        <wps:txbx>
                          <w:txbxContent>
                            <w:p w14:paraId="68F63661" w14:textId="77777777" w:rsidR="00B32EF2" w:rsidRDefault="00000000">
                              <w:r>
                                <w:rPr>
                                  <w:rFonts w:ascii="Arial" w:eastAsia="Arial" w:hAnsi="Arial" w:cs="Arial"/>
                                  <w:sz w:val="18"/>
                                </w:rPr>
                                <w:t>e) avere idoneità fisica e psichica;</w:t>
                              </w:r>
                            </w:p>
                          </w:txbxContent>
                        </wps:txbx>
                        <wps:bodyPr horzOverflow="overflow" vert="horz" lIns="0" tIns="0" rIns="0" bIns="0" rtlCol="0">
                          <a:noAutofit/>
                        </wps:bodyPr>
                      </wps:wsp>
                      <wps:wsp>
                        <wps:cNvPr id="22553" name="Rectangle 22553"/>
                        <wps:cNvSpPr/>
                        <wps:spPr>
                          <a:xfrm rot="-10799999">
                            <a:off x="-1317131" y="87876"/>
                            <a:ext cx="5308945" cy="142889"/>
                          </a:xfrm>
                          <a:prstGeom prst="rect">
                            <a:avLst/>
                          </a:prstGeom>
                          <a:ln>
                            <a:noFill/>
                          </a:ln>
                        </wps:spPr>
                        <wps:txbx>
                          <w:txbxContent>
                            <w:p w14:paraId="028EF824" w14:textId="77777777" w:rsidR="00B32EF2" w:rsidRDefault="00000000">
                              <w:r>
                                <w:rPr>
                                  <w:rFonts w:ascii="Arial" w:eastAsia="Arial" w:hAnsi="Arial" w:cs="Arial"/>
                                  <w:sz w:val="18"/>
                                </w:rPr>
                                <w:t xml:space="preserve">f) essere muniti di laurea magistrale o quadriennale in materie giuridiche o </w:t>
                              </w:r>
                            </w:p>
                          </w:txbxContent>
                        </wps:txbx>
                        <wps:bodyPr horzOverflow="overflow" vert="horz" lIns="0" tIns="0" rIns="0" bIns="0" rtlCol="0">
                          <a:noAutofit/>
                        </wps:bodyPr>
                      </wps:wsp>
                      <wps:wsp>
                        <wps:cNvPr id="22554" name="Rectangle 22554"/>
                        <wps:cNvSpPr/>
                        <wps:spPr>
                          <a:xfrm rot="-10799999">
                            <a:off x="2127196" y="-35453"/>
                            <a:ext cx="1865532" cy="142889"/>
                          </a:xfrm>
                          <a:prstGeom prst="rect">
                            <a:avLst/>
                          </a:prstGeom>
                          <a:ln>
                            <a:noFill/>
                          </a:ln>
                        </wps:spPr>
                        <wps:txbx>
                          <w:txbxContent>
                            <w:p w14:paraId="39583558" w14:textId="77777777" w:rsidR="00B32EF2" w:rsidRDefault="00000000">
                              <w:r>
                                <w:rPr>
                                  <w:rFonts w:ascii="Arial" w:eastAsia="Arial" w:hAnsi="Arial" w:cs="Arial"/>
                                  <w:sz w:val="18"/>
                                </w:rPr>
                                <w:t>economico-aziendalistiche.</w:t>
                              </w:r>
                            </w:p>
                          </w:txbxContent>
                        </wps:txbx>
                        <wps:bodyPr horzOverflow="overflow" vert="horz" lIns="0" tIns="0" rIns="0" bIns="0" rtlCol="0">
                          <a:noAutofit/>
                        </wps:bodyPr>
                      </wps:wsp>
                    </wpg:wgp>
                  </a:graphicData>
                </a:graphic>
              </wp:inline>
            </w:drawing>
          </mc:Choice>
          <mc:Fallback>
            <w:pict>
              <v:group w14:anchorId="6A6431CB" id="Group 202410" o:spid="_x0000_s6487" style="width:314.3pt;height:445.45pt;mso-position-horizontal-relative:char;mso-position-vertical-relative:line" coordsize="39918,5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F/6xAkAAIF1AAAOAAAAZHJzL2Uyb0RvYy54bWzkXV2P47YVfS/Q/2Dofdb8FCljZ4OiaRYF&#10;iiZI2h+g9dgzBmzLkL07s/31PZeUKdnmJoiUDAdgHiYeelaWeXjux7mX1PvvXnbb2ZdVe9w0+/uC&#10;v2PFbLVfNg+b/eN98d///HBni9nxVO8f6m2zX90XX1fH4rsPf/3L++fDYiWap2b7sGpnuMj+uHg+&#10;3BdPp9NhMZ8fl0+rXX181xxWe7y5btpdfcKv7eP8oa2fcfXddi4YK+fPTftwaJvl6njE6Pf+zeKD&#10;u/56vVqeflyvj6vTbHtf4N5O7mfrfn6in/MP7+vFY1sfnjbL7jbqEXexqzd7fGi41Pf1qZ59bjc3&#10;l9ptlm1zbNand8tmN2/W681y5b4Dvg1nV9/mY9t8Prjv8rh4fjyEacLUXs3T6Msu//3lY3v45fBT&#10;i5l4PjxiLtxv9F1e1u2O/o+7nL24Kfsapmz1cpotMSirilsui9kS7+lSG2GEn9TlE2b+5t8tn/7x&#10;G/9yfv7g+cXtPB+wQI79HBynzcEvT/Vh5ab2uMAc/NTONg/3hRCa6WK2r3dYqj9j8dT7x+1q5ofd&#10;BLm/DtN1XBwxc+e5mrUN1tcdZ6ai/9x66OaOa86ZqooZzZLmSlrpZ+k8j5ZJLYyfRq6EtRW9H+ai&#10;Xhza4+njqtnN6MV90eLm3AfUX/51PPk/Pf8J3c92Tz/3zQ+b7da/SyOY0vMt06vTy6cX9721kIo+&#10;jwY/NQ9fMR1PTfu/H0Hs9bZ5vi+a7lVBXMfH07vFbPvPPWAgWp1ftOcXn84v2tP2740jn7+hv30+&#10;NeuNu+P+07o7A77+Hv58oJlQrIwg7ce7qcDC+P1Q33GlGce1CWpZcaavoOZWG8VVj3XlzNArYq3z&#10;wzrGasI6TMUorIXgnIuO1t/GujOPxOtXx7rMD2uY0RsLTlib81SMwpoLXkrzm7xOiXX4gnnYcDjr&#10;GNRueJIFl9pKyb0FF6UxwjnHenF21pKGzADpV/fW9ryU80Ca2AuHGWV1CFxGsfqOg9Ow3B5srpSs&#10;rsDWklVM4A8owk0SmrlQsA+WcgjNwK0o2C6UoqkYBbYoOassMlIKzb6NNQLaVFgrFwrmgzVsNaKn&#10;G6jd8CQTzoVgysA9ENSgLyuvaS3wJ8T7ZFDzvGy40BzEikCN4SlQ80pwRPffxJmVQiRE2akhORGa&#10;g1MxlMNyH2W6EXszWfroW9nKGOkytz4mE7KERYdtT8bn4JvyiclArBuoKVYLi34U1ndcWCU7tQxG&#10;XHVpeg+2Flwym5LWIerMB+wYrwnsacQWpVSmApQw4G8U66AR5YE1HHUs/HbDf4yjjuOc2FFnJpQB&#10;zlhG7YanoIyEmhuIJp7QJYI+c+WpXUKd1Hhnp5NRgHzjqAF1sGxj/TS3JSpZznajfGWUI9GFn0bV&#10;C2shWVCWmVAGTGNVLTc8hdV9kqUczteUTmy7M1PIAGdc+MbwFJS97Satk4IxSK4KqwkXHBCaxFCk&#10;XskIrYNYkE0whpw2ZruDZRtpuzmctO3ctLCc2WuoOYw7Mrl0UIfEIg+oKZeKKWR+fCKvLYIyX6dW&#10;XBujr8FOXeTQQTLIBWx0TkWIzQSNTwF7WOT4FawTFjl8Q0xOmqiI8VpoDE9B2rtramMid82kUugg&#10;u3XXKWuXOjOdDJjGZDI3PBlq3pWpUa5GHTMGNa2FVKmWDslkHhYcmMbkbzc8BWoupKVqJZFaIkIz&#10;0FIuSC2MlobU8WRIu+AhH/tNPjkWhPvxKVi7SgdXPgpHeQvtJy6sHyRcKFNbkbDVSIeUMg9aE6ix&#10;5NqPTwGbKh0Wgbcj9rexHjQGv3ZbmQ45ZR5Yw1bHNXDf8EcWblRy3atlntNXBlynVct0yC+yQTku&#10;f4sQsYxCGcabV6r0vSdSKwRlN8abWdSp03nqMiQY2UAdl79FCFlGQT0gdBTntIQuMxPKYLZjHtoN&#10;T3HQLp/mKFc6D624Meaa0GBzhS0cyULvMjOZDJjGIm83PA1qGGtluyxLVEohocIFB4E3Z0yQRJcq&#10;yyqz6yeTVcx4U+A9zXqD15aXzNep0Z2APVvXYKeWv313cl4pdSwoI7CnRWVD+ftXsE5pw8MXzCUo&#10;k3H5G8PTbDgavy3MpHPX1O3v8+WBDceeere3J5kND4YrG6jj8jd2002BehB/R3FOHH9nJpEJLePK&#10;N4anoOzrWSS1QvoWlVDK568DQsNP8/NpEyn24pXZKWQS9jXSfoLhKVBDOEFbvwfaMkDqXEEPtDSV&#10;YSalk85OJMMJIFGgQwV3nHJSavT7+pRaKMm5cp6gR1obplNupcYi6xZyNi46FnjDpoewdBTQUEOx&#10;Jb4TTwS32IvlvMEAaQ5OpzTeJgQh2UAdS6gBdQhLR0ENc22rbnuWYCXH4UbEoR5pBN1VidaPZNqJ&#10;P4Mqn3QakMYVUQxPctM4tkrQIRsIyHDMF0SyK07j2CqRFOgQhuRBadJHYn7aj0+CenC8DS8RZXup&#10;eUBqd2xVwk4EEyKRfLCOBd+EdVj2owz48IiyN4p1CEbywTqWUxPW05Jqd0QZCXBkwt8mr0M0kgfW&#10;cNaxzm83PMmCo8ah0cLjkNbY3OHlmIEFl9Im3Y2H81i6L5gH0sTemB7qx6dgjWwLcjcFfURrVC81&#10;ylu4YA82msutRU9uuhg8M6mMQI3VOfz4FLDROKgtToZ6w1hnp5ZBxoqpZV7d+gMaB+OcTlvnsNlJ&#10;ZSoWkyHhnRaS4aQibN/o+CxxhCz0zwvbjbZ/58hTlS1tdkKZiiVaAHpaniVwcDiORPeGG+onRNFL&#10;oLkpS2zHTOekvUabk1BGVadIPcsjM95wo4LF0S3oXDQzig5XuaC0sCWOMIMcm4zTYSnnEXuDvPE6&#10;B4anBGOIvEnzhr1A5F1BH0UT4QXS2AEoaCNmOqQz08mAdLzM4U+jGc/pcLBkFObEsVhYxdnQGZSK&#10;Ge6gKYyUQqlJkBYQ6GwFAq9rOlPLN/pQ0tE5O3mMTvGMIR0EhVFII/5CCct3IhiGY4wcg3rBBL2C&#10;eGgLPjqZhw4rORtKx3VQ34o/2m77NjLanA1Ka4tm7yuk3QF0w0OMXvuhHDiCvAtBckEaxzbFKN2f&#10;5jSK0h7prj6ttLHYjHcZi6Xu6/cdyTnlV+gFiSIdJIVRSEvB8Owcb7ylVF0HS2+8DR6YxRPabm9B&#10;ssI5Lo315ziNwhkVStQtkKLDdEMYQ6Z1SWgc2V+5g6xSOWnUc3Iz3XFprD/EaRTQznTjqFgfd+OY&#10;kyug4aPRY5awfNWX3bPx0XFlrD/CaRTQUEMMp419YPQddsnfPg2POoRhTJIx+s0IY+6Bl3jOp3vu&#10;Y/dMUnqQ6PB396TE/smpH/4PAAD//wMAUEsDBBQABgAIAAAAIQDnbMId3QAAAAUBAAAPAAAAZHJz&#10;L2Rvd25yZXYueG1sTI9BS8NAEIXvgv9hmYI3u0nFkKbZlFLUUxFsBfE2zU6T0OxsyG6T9N+7eqmX&#10;gcd7vPdNvp5MKwbqXWNZQTyPQBCXVjdcKfg8vD6mIJxH1thaJgVXcrAu7u9yzLQd+YOGva9EKGGX&#10;oYLa+y6T0pU1GXRz2xEH72R7gz7IvpK6xzGUm1YuoiiRBhsOCzV2tK2pPO8vRsHbiOPmKX4ZdufT&#10;9vp9eH7/2sWk1MNs2qxAeJr8LQy/+AEdisB0tBfWTrQKwiP+7wYvWaQJiKOCdBktQRa5/E9f/AAA&#10;AP//AwBQSwECLQAUAAYACAAAACEAtoM4kv4AAADhAQAAEwAAAAAAAAAAAAAAAAAAAAAAW0NvbnRl&#10;bnRfVHlwZXNdLnhtbFBLAQItABQABgAIAAAAIQA4/SH/1gAAAJQBAAALAAAAAAAAAAAAAAAAAC8B&#10;AABfcmVscy8ucmVsc1BLAQItABQABgAIAAAAIQApnF/6xAkAAIF1AAAOAAAAAAAAAAAAAAAAAC4C&#10;AABkcnMvZTJvRG9jLnhtbFBLAQItABQABgAIAAAAIQDnbMId3QAAAAUBAAAPAAAAAAAAAAAAAAAA&#10;AB4MAABkcnMvZG93bnJldi54bWxQSwUGAAAAAAQABADzAAAAKA0AAAAA&#10;">
                <v:rect id="Rectangle 22505" o:spid="_x0000_s6488" style="position:absolute;left:15110;top:55143;width:80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RBxgAAAN4AAAAPAAAAZHJzL2Rvd25yZXYueG1sRI9Ba8JA&#10;FITvBf/D8gre6qYBi6SuIoqYg5faCB4f2WeSmn27ZFcT/fVuodDjMDPfMPPlYFpxo843lhW8TxIQ&#10;xKXVDVcKiu/t2wyED8gaW8uk4E4elovRyxwzbXv+otshVCJC2GeooA7BZVL6siaDfmIdcfTOtjMY&#10;ouwqqTvsI9y0Mk2SD2mw4bhQo6N1TeXlcDUKTht2+baX5fmxdvuffNbursVRqfHrsPoEEWgI/+G/&#10;dq4VpOk0mcLvnXgF5OIJAAD//wMAUEsBAi0AFAAGAAgAAAAhANvh9svuAAAAhQEAABMAAAAAAAAA&#10;AAAAAAAAAAAAAFtDb250ZW50X1R5cGVzXS54bWxQSwECLQAUAAYACAAAACEAWvQsW78AAAAVAQAA&#10;CwAAAAAAAAAAAAAAAAAfAQAAX3JlbHMvLnJlbHNQSwECLQAUAAYACAAAACEAuxO0QcYAAADeAAAA&#10;DwAAAAAAAAAAAAAAAAAHAgAAZHJzL2Rvd25yZXYueG1sUEsFBgAAAAADAAMAtwAAAPoCAAAAAA==&#10;" filled="f" stroked="f">
                  <v:textbox inset="0,0,0,0">
                    <w:txbxContent>
                      <w:p w14:paraId="2ADB5A16" w14:textId="77777777" w:rsidR="00B32EF2" w:rsidRDefault="00000000">
                        <w:r>
                          <w:rPr>
                            <w:rFonts w:ascii="Arial" w:eastAsia="Arial" w:hAnsi="Arial" w:cs="Arial"/>
                            <w:b/>
                            <w:sz w:val="18"/>
                          </w:rPr>
                          <w:t>Articolo 12</w:t>
                        </w:r>
                      </w:p>
                    </w:txbxContent>
                  </v:textbox>
                </v:rect>
                <v:rect id="Rectangle 202406" o:spid="_x0000_s6489" style="position:absolute;left:-1450;top:53910;width:185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dYpyAAAAN8AAAAPAAAAZHJzL2Rvd25yZXYueG1sRI9Ba8JA&#10;FITvhf6H5RV6q7sNIpK6iljEHHrRptDjI/tMUrNvl+xq0v56VxB6HGbmG2axGm0nLtSH1rGG14kC&#10;QVw503KtofzcvsxBhIhssHNMGn4pwGr5+LDA3LiB93Q5xFokCIccNTQx+lzKUDVkMUycJ07e0fUW&#10;Y5J9LU2PQ4LbTmZKzaTFltNCg542DVWnw9lq+H5nX2wHWR3/Nv7jp5h3u3P5pfXz07h+AxFpjP/h&#10;e7swGjKVTdUMbn/SF5DLKwAAAP//AwBQSwECLQAUAAYACAAAACEA2+H2y+4AAACFAQAAEwAAAAAA&#10;AAAAAAAAAAAAAAAAW0NvbnRlbnRfVHlwZXNdLnhtbFBLAQItABQABgAIAAAAIQBa9CxbvwAAABUB&#10;AAALAAAAAAAAAAAAAAAAAB8BAABfcmVscy8ucmVsc1BLAQItABQABgAIAAAAIQA19dYpyAAAAN8A&#10;AAAPAAAAAAAAAAAAAAAAAAcCAABkcnMvZG93bnJldi54bWxQSwUGAAAAAAMAAwC3AAAA/AIAAAAA&#10;" filled="f" stroked="f">
                  <v:textbox inset="0,0,0,0">
                    <w:txbxContent>
                      <w:p w14:paraId="11F7A648" w14:textId="77777777" w:rsidR="00B32EF2" w:rsidRDefault="00000000">
                        <w:r>
                          <w:rPr>
                            <w:rFonts w:ascii="Arial" w:eastAsia="Arial" w:hAnsi="Arial" w:cs="Arial"/>
                            <w:i/>
                            <w:sz w:val="18"/>
                          </w:rPr>
                          <w:t>545/92)</w:t>
                        </w:r>
                      </w:p>
                    </w:txbxContent>
                  </v:textbox>
                </v:rect>
                <v:rect id="Rectangle 202405" o:spid="_x0000_s6490" style="position:absolute;left:22111;top:53910;width:185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0heyAAAAN8AAAAPAAAAZHJzL2Rvd25yZXYueG1sRI9BawIx&#10;FITvhf6H8Aq91aRLLbIaRSzSPfSiVfD42Dx3VzcvYRPdbX+9EQo9DjPzDTNbDLYVV+pC41jD60iB&#10;IC6dabjSsPtev0xAhIhssHVMGn4owGL++DDD3LieN3TdxkokCIccNdQx+lzKUNZkMYycJ07e0XUW&#10;Y5JdJU2HfYLbVmZKvUuLDaeFGj2tairP24vVcPhgX6x7WR5/V/7rVEzaz8tur/Xz07Ccgog0xP/w&#10;X7swGjKVvakx3P+kLyDnNwAAAP//AwBQSwECLQAUAAYACAAAACEA2+H2y+4AAACFAQAAEwAAAAAA&#10;AAAAAAAAAAAAAAAAW0NvbnRlbnRfVHlwZXNdLnhtbFBLAQItABQABgAIAAAAIQBa9CxbvwAAABUB&#10;AAALAAAAAAAAAAAAAAAAAB8BAABfcmVscy8ucmVsc1BLAQItABQABgAIAAAAIQDFJ0heyAAAAN8A&#10;AAAPAAAAAAAAAAAAAAAAAAcCAABkcnMvZG93bnJldi54bWxQSwUGAAAAAAMAAwC3AAAA/AIAAAAA&#10;" filled="f" stroked="f">
                  <v:textbox inset="0,0,0,0">
                    <w:txbxContent>
                      <w:p w14:paraId="391B6475" w14:textId="77777777" w:rsidR="00B32EF2" w:rsidRDefault="00000000">
                        <w:r>
                          <w:rPr>
                            <w:rFonts w:ascii="Arial" w:eastAsia="Arial" w:hAnsi="Arial" w:cs="Arial"/>
                            <w:i/>
                            <w:sz w:val="18"/>
                          </w:rPr>
                          <w:t>(</w:t>
                        </w:r>
                      </w:p>
                    </w:txbxContent>
                  </v:textbox>
                </v:rect>
                <v:rect id="Rectangle 202407" o:spid="_x0000_s6491" style="position:absolute;left:12163;top:53910;width:185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XOyyAAAAN8AAAAPAAAAZHJzL2Rvd25yZXYueG1sRI9BawIx&#10;FITvhf6H8Aq91aRLsbIaRSzSPfSiVfD42Dx3VzcvYRPdbX+9EQo9DjPzDTNbDLYVV+pC41jD60iB&#10;IC6dabjSsPtev0xAhIhssHVMGn4owGL++DDD3LieN3TdxkokCIccNdQx+lzKUNZkMYycJ07e0XUW&#10;Y5JdJU2HfYLbVmZKjaXFhtNCjZ5WNZXn7cVqOHywL9a9LI+/K/91Kibt52W31/r5aVhOQUQa4n/4&#10;r10YDZnK3tQ73P+kLyDnNwAAAP//AwBQSwECLQAUAAYACAAAACEA2+H2y+4AAACFAQAAEwAAAAAA&#10;AAAAAAAAAAAAAAAAW0NvbnRlbnRfVHlwZXNdLnhtbFBLAQItABQABgAIAAAAIQBa9CxbvwAAABUB&#10;AAALAAAAAAAAAAAAAAAAAB8BAABfcmVscy8ucmVsc1BLAQItABQABgAIAAAAIQBauXOyyAAAAN8A&#10;AAAPAAAAAAAAAAAAAAAAAAcCAABkcnMvZG93bnJldi54bWxQSwUGAAAAAAMAAwC3AAAA/AIAAAAA&#10;" filled="f" stroked="f">
                  <v:textbox inset="0,0,0,0">
                    <w:txbxContent>
                      <w:p w14:paraId="2178717D" w14:textId="77777777" w:rsidR="00B32EF2" w:rsidRDefault="00000000">
                        <w:r>
                          <w:rPr>
                            <w:rFonts w:ascii="Arial" w:eastAsia="Arial" w:hAnsi="Arial" w:cs="Arial"/>
                            <w:i/>
                            <w:sz w:val="18"/>
                          </w:rPr>
                          <w:t xml:space="preserve">articolo 6 D.lgs. n. </w:t>
                        </w:r>
                      </w:p>
                    </w:txbxContent>
                  </v:textbox>
                </v:rect>
                <v:rect id="Rectangle 22507" o:spid="_x0000_s6492" style="position:absolute;left:-3583;top:52677;width:377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Y+txgAAAN4AAAAPAAAAZHJzL2Rvd25yZXYueG1sRI9Ba8JA&#10;FITvBf/D8gRvdWOgrURXEUWag5daBY+P7DOJZt8u2dVEf323UOhxmJlvmPmyN424U+trywom4wQE&#10;cWF1zaWCw/f2dQrCB2SNjWVS8CAPy8XgZY6Zth1/0X0fShEh7DNUUIXgMil9UZFBP7aOOHpn2xoM&#10;Ubal1C12EW4amSbJuzRYc1yo0NG6ouK6vxkFpw27fNvJ4vxcu90lnzaft8NRqdGwX81ABOrDf/iv&#10;nWsFafqWfMDvnXgF5OIHAAD//wMAUEsBAi0AFAAGAAgAAAAhANvh9svuAAAAhQEAABMAAAAAAAAA&#10;AAAAAAAAAAAAAFtDb250ZW50X1R5cGVzXS54bWxQSwECLQAUAAYACAAAACEAWvQsW78AAAAVAQAA&#10;CwAAAAAAAAAAAAAAAAAfAQAAX3JlbHMvLnJlbHNQSwECLQAUAAYACAAAACEAJI2PrcYAAADeAAAA&#10;DwAAAAAAAAAAAAAAAAAHAgAAZHJzL2Rvd25yZXYueG1sUEsFBgAAAAADAAMAtwAAAPoCAAAAAA==&#10;" filled="f" stroked="f">
                  <v:textbox inset="0,0,0,0">
                    <w:txbxContent>
                      <w:p w14:paraId="26974F57" w14:textId="77777777" w:rsidR="00B32EF2" w:rsidRDefault="00000000">
                        <w:r>
                          <w:rPr>
                            <w:rFonts w:ascii="Arial" w:eastAsia="Arial" w:hAnsi="Arial" w:cs="Arial"/>
                            <w:b/>
                            <w:sz w:val="18"/>
                          </w:rPr>
                          <w:t xml:space="preserve">La formazione delle sezioni e dei collegi giudicanti </w:t>
                        </w:r>
                      </w:p>
                    </w:txbxContent>
                  </v:textbox>
                </v:rect>
                <v:rect id="Rectangle 202404" o:spid="_x0000_s6493" style="position:absolute;left:-13763;top:5144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3FxwAAAN8AAAAPAAAAZHJzL2Rvd25yZXYueG1sRI9BawIx&#10;FITvhf6H8AreatJFimyNIhZxD71ULfT42Dx3t25ewia6W3+9EQSPw8x8w8wWg23FmbrQONbwNlYg&#10;iEtnGq407Hfr1ymIEJENto5Jwz8FWMyfn2aYG9fzN523sRIJwiFHDXWMPpcylDVZDGPniZN3cJ3F&#10;mGRXSdNhn+C2lZlS79Jiw2mhRk+rmsrj9mQ1/H6yL9a9LA+Xlf/6K6bt5rT/0Xr0Miw/QEQa4iN8&#10;bxdGQ6ayiZrA7U/6AnJ+BQAA//8DAFBLAQItABQABgAIAAAAIQDb4fbL7gAAAIUBAAATAAAAAAAA&#10;AAAAAAAAAAAAAABbQ29udGVudF9UeXBlc10ueG1sUEsBAi0AFAAGAAgAAAAhAFr0LFu/AAAAFQEA&#10;AAsAAAAAAAAAAAAAAAAAHwEAAF9yZWxzLy5yZWxzUEsBAi0AFAAGAAgAAAAhAKpr7cXHAAAA3wAA&#10;AA8AAAAAAAAAAAAAAAAABwIAAGRycy9kb3ducmV2LnhtbFBLBQYAAAAAAwADALcAAAD7AgAAAAA=&#10;" filled="f" stroked="f">
                  <v:textbox inset="0,0,0,0">
                    <w:txbxContent>
                      <w:p w14:paraId="3A525363" w14:textId="77777777" w:rsidR="00B32EF2" w:rsidRDefault="00000000">
                        <w:r>
                          <w:rPr>
                            <w:rFonts w:ascii="Arial" w:eastAsia="Arial" w:hAnsi="Arial" w:cs="Arial"/>
                            <w:sz w:val="18"/>
                          </w:rPr>
                          <w:t xml:space="preserve">. Con provvedimento del Consiglio di presidenza della giustizia tributaria </w:t>
                        </w:r>
                      </w:p>
                    </w:txbxContent>
                  </v:textbox>
                </v:rect>
                <v:rect id="Rectangle 202403" o:spid="_x0000_s6494" style="position:absolute;left:26109;top:51443;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WxyAAAAN8AAAAPAAAAZHJzL2Rvd25yZXYueG1sRI9BawIx&#10;FITvhf6H8Aq91aRbKbIaRSzSPfSiVfD42Dx3VzcvYRPdbX+9EQo9DjPzDTNbDLYVV+pC41jD60iB&#10;IC6dabjSsPtev0xAhIhssHVMGn4owGL++DDD3LieN3TdxkokCIccNdQx+lzKUNZkMYycJ07e0XUW&#10;Y5JdJU2HfYLbVmZKvUuLDaeFGj2tairP24vVcPhgX6x7WR5/V/7rVEzaz8tur/Xz07Ccgog0xP/w&#10;X7swGjKVjdUb3P+kLyDnNwAAAP//AwBQSwECLQAUAAYACAAAACEA2+H2y+4AAACFAQAAEwAAAAAA&#10;AAAAAAAAAAAAAAAAW0NvbnRlbnRfVHlwZXNdLnhtbFBLAQItABQABgAIAAAAIQBa9CxbvwAAABUB&#10;AAALAAAAAAAAAAAAAAAAAB8BAABfcmVscy8ucmVsc1BLAQItABQABgAIAAAAIQAlgnWxyAAAAN8A&#10;AAAPAAAAAAAAAAAAAAAAAAcCAABkcnMvZG93bnJldi54bWxQSwUGAAAAAAMAAwC3AAAA/AIAAAAA&#10;" filled="f" stroked="f">
                  <v:textbox inset="0,0,0,0">
                    <w:txbxContent>
                      <w:p w14:paraId="0BEE133D" w14:textId="77777777" w:rsidR="00B32EF2" w:rsidRDefault="00000000">
                        <w:r>
                          <w:rPr>
                            <w:rFonts w:ascii="Arial" w:eastAsia="Arial" w:hAnsi="Arial" w:cs="Arial"/>
                            <w:sz w:val="18"/>
                          </w:rPr>
                          <w:t>1</w:t>
                        </w:r>
                      </w:p>
                    </w:txbxContent>
                  </v:textbox>
                </v:rect>
                <v:rect id="Rectangle 22509" o:spid="_x0000_s6495" style="position:absolute;left:-12204;top:50210;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r5ExgAAAN4AAAAPAAAAZHJzL2Rvd25yZXYueG1sRI9Ba8JA&#10;FITvBf/D8gRvdWOgxUZXEUWag5daBY+P7DOJZt8u2dVEf323UOhxmJlvmPmyN424U+trywom4wQE&#10;cWF1zaWCw/f2dQrCB2SNjWVS8CAPy8XgZY6Zth1/0X0fShEh7DNUUIXgMil9UZFBP7aOOHpn2xoM&#10;Ubal1C12EW4amSbJuzRYc1yo0NG6ouK6vxkFpw27fNvJ4vxcu90lnzaft8NRqdGwX81ABOrDf/iv&#10;nWsFafqWfMDvnXgF5OIHAAD//wMAUEsBAi0AFAAGAAgAAAAhANvh9svuAAAAhQEAABMAAAAAAAAA&#10;AAAAAAAAAAAAAFtDb250ZW50X1R5cGVzXS54bWxQSwECLQAUAAYACAAAACEAWvQsW78AAAAVAQAA&#10;CwAAAAAAAAAAAAAAAAAfAQAAX3JlbHMvLnJlbHNQSwECLQAUAAYACAAAACEAOl6+RMYAAADeAAAA&#10;DwAAAAAAAAAAAAAAAAAHAgAAZHJzL2Rvd25yZXYueG1sUEsFBgAAAAADAAMAtwAAAPoCAAAAAA==&#10;" filled="f" stroked="f">
                  <v:textbox inset="0,0,0,0">
                    <w:txbxContent>
                      <w:p w14:paraId="01CC640B" w14:textId="77777777" w:rsidR="00B32EF2" w:rsidRDefault="00000000">
                        <w:r>
                          <w:rPr>
                            <w:rFonts w:ascii="Arial" w:eastAsia="Arial" w:hAnsi="Arial" w:cs="Arial"/>
                            <w:sz w:val="18"/>
                          </w:rPr>
                          <w:t>sono istituite sezioni specializzate in relazione a questioni controverse indivi</w:t>
                        </w:r>
                      </w:p>
                    </w:txbxContent>
                  </v:textbox>
                </v:rect>
                <v:rect id="Rectangle 22510" o:spid="_x0000_s6496" style="position:absolute;left:192;top:5021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EExAAAAN4AAAAPAAAAZHJzL2Rvd25yZXYueG1sRI/LisIw&#10;FIb3A75DOIK7MbUwg1SjiCLTxWy8gctDc2yrzUlooq3z9GYx4PLnv/HNl71pxINaX1tWMBknIIgL&#10;q2suFRwP288pCB+QNTaWScGTPCwXg485Ztp2vKPHPpQijrDPUEEVgsuk9EVFBv3YOuLoXWxrMETZ&#10;llK32MVx08g0Sb6lwZrjQ4WO1hUVt/3dKDhv2OXbThaXv7X7vebT5ud+PCk1GvarGYhAfXiH/9u5&#10;VpCmX5MIEHEiCsjFCwAA//8DAFBLAQItABQABgAIAAAAIQDb4fbL7gAAAIUBAAATAAAAAAAAAAAA&#10;AAAAAAAAAABbQ29udGVudF9UeXBlc10ueG1sUEsBAi0AFAAGAAgAAAAhAFr0LFu/AAAAFQEAAAsA&#10;AAAAAAAAAAAAAAAAHwEAAF9yZWxzLy5yZWxzUEsBAi0AFAAGAAgAAAAhAC69gQTEAAAA3gAAAA8A&#10;AAAAAAAAAAAAAAAABwIAAGRycy9kb3ducmV2LnhtbFBLBQYAAAAAAwADALcAAAD4AgAAAAA=&#10;" filled="f" stroked="f">
                  <v:textbox inset="0,0,0,0">
                    <w:txbxContent>
                      <w:p w14:paraId="7A24E049" w14:textId="77777777" w:rsidR="00B32EF2" w:rsidRDefault="00000000">
                        <w:r>
                          <w:rPr>
                            <w:rFonts w:ascii="Arial" w:eastAsia="Arial" w:hAnsi="Arial" w:cs="Arial"/>
                            <w:sz w:val="18"/>
                          </w:rPr>
                          <w:t>-</w:t>
                        </w:r>
                      </w:p>
                    </w:txbxContent>
                  </v:textbox>
                </v:rect>
                <v:rect id="Rectangle 22511" o:spid="_x0000_s6497" style="position:absolute;left:16303;top:48977;width:236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SSfxwAAAN4AAAAPAAAAZHJzL2Rvd25yZXYueG1sRI9Pa8JA&#10;FMTvhX6H5RW81U0CFkldpShiDr3UP+DxkX0mabNvl+xqUj+9Kwgeh5n5DTNbDKYVF+p8Y1lBOk5A&#10;EJdWN1wp2O/W71MQPiBrbC2Tgn/ysJi/vsww17bnH7psQyUihH2OCuoQXC6lL2sy6MfWEUfvZDuD&#10;IcqukrrDPsJNK7Mk+ZAGG44LNTpa1lT+bc9GwXHFrlj3sjxdl+77t5i2m/P+oNTobfj6BBFoCM/w&#10;o11oBVk2SVO434lXQM5vAAAA//8DAFBLAQItABQABgAIAAAAIQDb4fbL7gAAAIUBAAATAAAAAAAA&#10;AAAAAAAAAAAAAABbQ29udGVudF9UeXBlc10ueG1sUEsBAi0AFAAGAAgAAAAhAFr0LFu/AAAAFQEA&#10;AAsAAAAAAAAAAAAAAAAAHwEAAF9yZWxzLy5yZWxzUEsBAi0AFAAGAAgAAAAhAEHxJJ/HAAAA3gAA&#10;AA8AAAAAAAAAAAAAAAAABwIAAGRycy9kb3ducmV2LnhtbFBLBQYAAAAAAwADALcAAAD7AgAAAAA=&#10;" filled="f" stroked="f">
                  <v:textbox inset="0,0,0,0">
                    <w:txbxContent>
                      <w:p w14:paraId="40530071" w14:textId="77777777" w:rsidR="00B32EF2" w:rsidRDefault="00000000">
                        <w:r>
                          <w:rPr>
                            <w:rFonts w:ascii="Arial" w:eastAsia="Arial" w:hAnsi="Arial" w:cs="Arial"/>
                            <w:sz w:val="18"/>
                          </w:rPr>
                          <w:t>duate con il provvedimento stesso.</w:t>
                        </w:r>
                      </w:p>
                    </w:txbxContent>
                  </v:textbox>
                </v:rect>
                <v:rect id="Rectangle 202402" o:spid="_x0000_s6498" style="position:absolute;left:-12843;top:47744;width:5213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AqxwAAAN8AAAAPAAAAZHJzL2Rvd25yZXYueG1sRI9Ba8JA&#10;FITvQv/D8gq96W5DEUldpVikOXjRRujxkX0mabNvl+xqor/eLRR6HGbmG2a5Hm0nLtSH1rGG55kC&#10;QVw503KtofzcThcgQkQ22DkmDVcKsF49TJaYGzfwni6HWIsE4ZCjhiZGn0sZqoYshpnzxMk7ud5i&#10;TLKvpelxSHDbyUypubTYclpo0NOmoerncLYavt7ZF9tBVqfbxu++i0X3cS6PWj89jm+vICKN8T/8&#10;1y6MhkxlLyqD3z/pC8jVHQAA//8DAFBLAQItABQABgAIAAAAIQDb4fbL7gAAAIUBAAATAAAAAAAA&#10;AAAAAAAAAAAAAABbQ29udGVudF9UeXBlc10ueG1sUEsBAi0AFAAGAAgAAAAhAFr0LFu/AAAAFQEA&#10;AAsAAAAAAAAAAAAAAAAAHwEAAF9yZWxzLy5yZWxzUEsBAi0AFAAGAAgAAAAhAErO0CrHAAAA3wAA&#10;AA8AAAAAAAAAAAAAAAAABwIAAGRycy9kb3ducmV2LnhtbFBLBQYAAAAAAwADALcAAAD7AgAAAAA=&#10;" filled="f" stroked="f">
                  <v:textbox inset="0,0,0,0">
                    <w:txbxContent>
                      <w:p w14:paraId="269CBE5E" w14:textId="77777777" w:rsidR="00B32EF2" w:rsidRDefault="00000000">
                        <w:r>
                          <w:rPr>
                            <w:rFonts w:ascii="Arial" w:eastAsia="Arial" w:hAnsi="Arial" w:cs="Arial"/>
                            <w:sz w:val="18"/>
                          </w:rPr>
                          <w:t>. I presidenti delle corti di giustizia tributaria di primo e secondo grado asse</w:t>
                        </w:r>
                      </w:p>
                    </w:txbxContent>
                  </v:textbox>
                </v:rect>
                <v:rect id="Rectangle 202401" o:spid="_x0000_s6499" style="position:absolute;left:26347;top:47744;width:5213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E5dxwAAAN8AAAAPAAAAZHJzL2Rvd25yZXYueG1sRI9BawIx&#10;FITvQv9DeIXeNHEpIqtRxCLdQy9aCz0+Ns/d1c1L2ER321/fCEKPw8x8wyzXg23FjbrQONYwnSgQ&#10;xKUzDVcajp+78RxEiMgGW8ek4YcCrFdPoyXmxvW8p9shViJBOOSooY7R51KGsiaLYeI8cfJOrrMY&#10;k+wqaTrsE9y2MlNqJi02nBZq9LStqbwcrlbD9xv7YtfL8vS79R/nYt6+X49fWr88D5sFiEhD/A8/&#10;2oXRkKnsVU3h/id9Abn6AwAA//8DAFBLAQItABQABgAIAAAAIQDb4fbL7gAAAIUBAAATAAAAAAAA&#10;AAAAAAAAAAAAAABbQ29udGVudF9UeXBlc10ueG1sUEsBAi0AFAAGAAgAAAAhAFr0LFu/AAAAFQEA&#10;AAsAAAAAAAAAAAAAAAAAHwEAAF9yZWxzLy5yZWxzUEsBAi0AFAAGAAgAAAAhALocTl3HAAAA3wAA&#10;AA8AAAAAAAAAAAAAAAAABwIAAGRycy9kb3ducmV2LnhtbFBLBQYAAAAAAwADALcAAAD7AgAAAAA=&#10;" filled="f" stroked="f">
                  <v:textbox inset="0,0,0,0">
                    <w:txbxContent>
                      <w:p w14:paraId="3BC49F80" w14:textId="77777777" w:rsidR="00B32EF2" w:rsidRDefault="00000000">
                        <w:r>
                          <w:rPr>
                            <w:rFonts w:ascii="Arial" w:eastAsia="Arial" w:hAnsi="Arial" w:cs="Arial"/>
                            <w:sz w:val="18"/>
                          </w:rPr>
                          <w:t>2</w:t>
                        </w:r>
                      </w:p>
                    </w:txbxContent>
                  </v:textbox>
                </v:rect>
                <v:rect id="Rectangle 22513" o:spid="_x0000_s6500" style="position:absolute;left:192;top:47744;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x9zxwAAAN4AAAAPAAAAZHJzL2Rvd25yZXYueG1sRI9Pa8JA&#10;FMTvgt9heYI33ZhikdRVRJHm0Ev9Az0+ss8kbfbtkl1N7Kd3CwWPw8z8hlmue9OIG7W+tqxgNk1A&#10;EBdW11wqOB33kwUIH5A1NpZJwZ08rFfDwRIzbTv+pNshlCJC2GeooArBZVL6oiKDfmodcfQutjUY&#10;omxLqVvsItw0Mk2SV2mw5rhQoaNtRcXP4WoUfO3Y5ftOFpffrfv4zhfN+/V0Vmo86jdvIAL14Rn+&#10;b+daQZrOZy/wdydeAbl6AAAA//8DAFBLAQItABQABgAIAAAAIQDb4fbL7gAAAIUBAAATAAAAAAAA&#10;AAAAAAAAAAAAAABbQ29udGVudF9UeXBlc10ueG1sUEsBAi0AFAAGAAgAAAAhAFr0LFu/AAAAFQEA&#10;AAsAAAAAAAAAAAAAAAAAHwEAAF9yZWxzLy5yZWxzUEsBAi0AFAAGAAgAAAAhAN5vH3PHAAAA3gAA&#10;AA8AAAAAAAAAAAAAAAAABwIAAGRycy9kb3ducmV2LnhtbFBLBQYAAAAAAwADALcAAAD7AgAAAAA=&#10;" filled="f" stroked="f">
                  <v:textbox inset="0,0,0,0">
                    <w:txbxContent>
                      <w:p w14:paraId="6EA51ACB" w14:textId="77777777" w:rsidR="00B32EF2" w:rsidRDefault="00000000">
                        <w:r>
                          <w:rPr>
                            <w:rFonts w:ascii="Arial" w:eastAsia="Arial" w:hAnsi="Arial" w:cs="Arial"/>
                            <w:sz w:val="18"/>
                          </w:rPr>
                          <w:t>-</w:t>
                        </w:r>
                      </w:p>
                    </w:txbxContent>
                  </v:textbox>
                </v:rect>
                <v:rect id="Rectangle 22514" o:spid="_x0000_s6501" style="position:absolute;left:-13172;top:4651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ocHxwAAAN4AAAAPAAAAZHJzL2Rvd25yZXYueG1sRI9Pa8JA&#10;FMTvgt9heYI33RhqkdRVRJHm0Ev9Az0+ss8kbfbtkl1N7Kd3CwWPw8z8hlmue9OIG7W+tqxgNk1A&#10;EBdW11wqOB33kwUIH5A1NpZJwZ08rFfDwRIzbTv+pNshlCJC2GeooArBZVL6oiKDfmodcfQutjUY&#10;omxLqVvsItw0Mk2SV2mw5rhQoaNtRcXP4WoUfO3Y5ftOFpffrfv4zhfN+/V0Vmo86jdvIAL14Rn+&#10;b+daQZrOZy/wdydeAbl6AAAA//8DAFBLAQItABQABgAIAAAAIQDb4fbL7gAAAIUBAAATAAAAAAAA&#10;AAAAAAAAAAAAAABbQ29udGVudF9UeXBlc10ueG1sUEsBAi0AFAAGAAgAAAAhAFr0LFu/AAAAFQEA&#10;AAsAAAAAAAAAAAAAAAAAHwEAAF9yZWxzLy5yZWxzUEsBAi0AFAAGAAgAAAAhAFGGhwfHAAAA3gAA&#10;AA8AAAAAAAAAAAAAAAAABwIAAGRycy9kb3ducmV2LnhtbFBLBQYAAAAAAwADALcAAAD7AgAAAAA=&#10;" filled="f" stroked="f">
                  <v:textbox inset="0,0,0,0">
                    <w:txbxContent>
                      <w:p w14:paraId="1253F71B" w14:textId="77777777" w:rsidR="00B32EF2" w:rsidRDefault="00000000">
                        <w:r>
                          <w:rPr>
                            <w:rFonts w:ascii="Arial" w:eastAsia="Arial" w:hAnsi="Arial" w:cs="Arial"/>
                            <w:sz w:val="18"/>
                          </w:rPr>
                          <w:t xml:space="preserve">gnano il ricorso ad una delle sezioni, tenendo conto, preliminarmente, della </w:t>
                        </w:r>
                      </w:p>
                    </w:txbxContent>
                  </v:textbox>
                </v:rect>
                <v:rect id="Rectangle 22515" o:spid="_x0000_s6502" style="position:absolute;left:-12186;top:45277;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KcxgAAAN4AAAAPAAAAZHJzL2Rvd25yZXYueG1sRI9Ba8JA&#10;FITvgv9heYXedGNAkegqRZHm4EWr4PGRfSZps2+X7Gpif31XEHocZuYbZrnuTSPu1PrasoLJOAFB&#10;XFhdc6ng9LUbzUH4gKyxsUwKHuRhvRoOlphp2/GB7sdQighhn6GCKgSXSemLigz6sXXE0bva1mCI&#10;si2lbrGLcNPINElm0mDNcaFCR5uKip/jzSi4bNnlu04W19+N23/n8+bzdjor9f7WfyxABOrDf/jV&#10;zrWCNJ1OpvC8E6+AXP0BAAD//wMAUEsBAi0AFAAGAAgAAAAhANvh9svuAAAAhQEAABMAAAAAAAAA&#10;AAAAAAAAAAAAAFtDb250ZW50X1R5cGVzXS54bWxQSwECLQAUAAYACAAAACEAWvQsW78AAAAVAQAA&#10;CwAAAAAAAAAAAAAAAAAfAQAAX3JlbHMvLnJlbHNQSwECLQAUAAYACAAAACEAPsoinMYAAADeAAAA&#10;DwAAAAAAAAAAAAAAAAAHAgAAZHJzL2Rvd25yZXYueG1sUEsFBgAAAAADAAMAtwAAAPoCAAAAAA==&#10;" filled="f" stroked="f">
                  <v:textbox inset="0,0,0,0">
                    <w:txbxContent>
                      <w:p w14:paraId="17B229FA" w14:textId="77777777" w:rsidR="00B32EF2" w:rsidRDefault="00000000">
                        <w:r>
                          <w:rPr>
                            <w:rFonts w:ascii="Arial" w:eastAsia="Arial" w:hAnsi="Arial" w:cs="Arial"/>
                            <w:sz w:val="18"/>
                          </w:rPr>
                          <w:t>specializzazione di cui al comma 1 e applicando successivamente i criteri cro</w:t>
                        </w:r>
                      </w:p>
                    </w:txbxContent>
                  </v:textbox>
                </v:rect>
                <v:rect id="Rectangle 22516" o:spid="_x0000_s6503" style="position:absolute;left:192;top:4527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zrxwAAAN4AAAAPAAAAZHJzL2Rvd25yZXYueG1sRI/NasMw&#10;EITvhbyD2EJvjRxDQnAih5IQ4kMvTR3IcbHWP621EpYSu336qlDocZiZb5jtbjK9uNPgO8sKFvME&#10;BHFldceNgvL9+LwG4QOyxt4yKfgiD7t89rDFTNuR3+h+Do2IEPYZKmhDcJmUvmrJoJ9bRxy92g4G&#10;Q5RDI/WAY4SbXqZJspIGO44LLTrat1R9nm9GwfXArjiOsqq/9+71o1j3p1t5UerpcXrZgAg0hf/w&#10;X7vQCtJ0uVjB7514BWT+AwAA//8DAFBLAQItABQABgAIAAAAIQDb4fbL7gAAAIUBAAATAAAAAAAA&#10;AAAAAAAAAAAAAABbQ29udGVudF9UeXBlc10ueG1sUEsBAi0AFAAGAAgAAAAhAFr0LFu/AAAAFQEA&#10;AAsAAAAAAAAAAAAAAAAAHwEAAF9yZWxzLy5yZWxzUEsBAi0AFAAGAAgAAAAhAM4YvOvHAAAA3gAA&#10;AA8AAAAAAAAAAAAAAAAABwIAAGRycy9kb3ducmV2LnhtbFBLBQYAAAAAAwADALcAAAD7AgAAAAA=&#10;" filled="f" stroked="f">
                  <v:textbox inset="0,0,0,0">
                    <w:txbxContent>
                      <w:p w14:paraId="2B97670C" w14:textId="77777777" w:rsidR="00B32EF2" w:rsidRDefault="00000000">
                        <w:r>
                          <w:rPr>
                            <w:rFonts w:ascii="Arial" w:eastAsia="Arial" w:hAnsi="Arial" w:cs="Arial"/>
                            <w:sz w:val="18"/>
                          </w:rPr>
                          <w:t>-</w:t>
                        </w:r>
                      </w:p>
                    </w:txbxContent>
                  </v:textbox>
                </v:rect>
                <v:rect id="Rectangle 22517" o:spid="_x0000_s6504" style="position:absolute;left:-13172;top:4404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BlwxwAAAN4AAAAPAAAAZHJzL2Rvd25yZXYueG1sRI9Pa8JA&#10;FMTvgt9heYI33RioldRVRJHm0Ev9Az0+ss8kbfbtkl1N7Kd3CwWPw8z8hlmue9OIG7W+tqxgNk1A&#10;EBdW11wqOB33kwUIH5A1NpZJwZ08rFfDwRIzbTv+pNshlCJC2GeooArBZVL6oiKDfmodcfQutjUY&#10;omxLqVvsItw0Mk2SuTRYc1yo0NG2ouLncDUKvnbs8n0ni8vv1n1854vm/Xo6KzUe9Zs3EIH68Az/&#10;t3OtIE1fZq/wdydeAbl6AAAA//8DAFBLAQItABQABgAIAAAAIQDb4fbL7gAAAIUBAAATAAAAAAAA&#10;AAAAAAAAAAAAAABbQ29udGVudF9UeXBlc10ueG1sUEsBAi0AFAAGAAgAAAAhAFr0LFu/AAAAFQEA&#10;AAsAAAAAAAAAAAAAAAAAHwEAAF9yZWxzLy5yZWxzUEsBAi0AFAAGAAgAAAAhAKFUGXDHAAAA3gAA&#10;AA8AAAAAAAAAAAAAAAAABwIAAGRycy9kb3ducmV2LnhtbFBLBQYAAAAAAwADALcAAAD7AgAAAAA=&#10;" filled="f" stroked="f">
                  <v:textbox inset="0,0,0,0">
                    <w:txbxContent>
                      <w:p w14:paraId="72666C31" w14:textId="77777777" w:rsidR="00B32EF2" w:rsidRDefault="00000000">
                        <w:r>
                          <w:rPr>
                            <w:rFonts w:ascii="Arial" w:eastAsia="Arial" w:hAnsi="Arial" w:cs="Arial"/>
                            <w:sz w:val="18"/>
                          </w:rPr>
                          <w:t xml:space="preserve">nologici e casuali. I presidenti delle corti di giustizia tributaria di primo grado </w:t>
                        </w:r>
                      </w:p>
                    </w:txbxContent>
                  </v:textbox>
                </v:rect>
                <v:rect id="Rectangle 22518" o:spid="_x0000_s6505" style="position:absolute;left:-11267;top:42810;width:511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40CwwAAAN4AAAAPAAAAZHJzL2Rvd25yZXYueG1sRE/LisIw&#10;FN0P+A/hCu7G1MIMUo0iikwXs/EFLi/Nta02N6GJts7Xm8WAy8N5z5e9acSDWl9bVjAZJyCIC6tr&#10;LhUcD9vPKQgfkDU2lknBkzwsF4OPOWbadryjxz6UIoawz1BBFYLLpPRFRQb92DriyF1sazBE2JZS&#10;t9jFcNPINEm+pcGaY0OFjtYVFbf93Sg4b9jl204Wl7+1+73m0+bnfjwpNRr2qxmIQH14i//duVaQ&#10;pl+TuDfeiVdALl4AAAD//wMAUEsBAi0AFAAGAAgAAAAhANvh9svuAAAAhQEAABMAAAAAAAAAAAAA&#10;AAAAAAAAAFtDb250ZW50X1R5cGVzXS54bWxQSwECLQAUAAYACAAAACEAWvQsW78AAAAVAQAACwAA&#10;AAAAAAAAAAAAAAAfAQAAX3JlbHMvLnJlbHNQSwECLQAUAAYACAAAACEA0MuNAsMAAADeAAAADwAA&#10;AAAAAAAAAAAAAAAHAgAAZHJzL2Rvd25yZXYueG1sUEsFBgAAAAADAAMAtwAAAPcCAAAAAA==&#10;" filled="f" stroked="f">
                  <v:textbox inset="0,0,0,0">
                    <w:txbxContent>
                      <w:p w14:paraId="7AE41951" w14:textId="77777777" w:rsidR="00B32EF2" w:rsidRDefault="00000000">
                        <w:r>
                          <w:rPr>
                            <w:rFonts w:ascii="Arial" w:eastAsia="Arial" w:hAnsi="Arial" w:cs="Arial"/>
                            <w:sz w:val="18"/>
                          </w:rPr>
                          <w:t>assegnano il ricorso al giudice monocratico nei casi previsti dall’articolo 49.</w:t>
                        </w:r>
                      </w:p>
                    </w:txbxContent>
                  </v:textbox>
                </v:rect>
                <v:rect id="Rectangle 202400" o:spid="_x0000_s6506" style="position:absolute;left:-13817;top:4157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OvGxgAAAN8AAAAPAAAAZHJzL2Rvd25yZXYueG1sRI9Pa8Iw&#10;GMbvA79DeAVvM7EMkc4oQ5H14GXqYMeX5rXt1rwJTbTVT78cBI8Pzz9+y/VgW3GlLjSONcymCgRx&#10;6UzDlYbTcfe6ABEissHWMWm4UYD1avSyxNy4nr/oeoiVSCMcctRQx+hzKUNZk8UwdZ44eWfXWYxJ&#10;dpU0HfZp3LYyU2ouLTacHmr0tKmp/DtcrIafLfti18vyfN/4/W+xaD8vp2+tJ+Ph4x1EpCE+w492&#10;YTRkKntTiSDxJBaQq38AAAD//wMAUEsBAi0AFAAGAAgAAAAhANvh9svuAAAAhQEAABMAAAAAAAAA&#10;AAAAAAAAAAAAAFtDb250ZW50X1R5cGVzXS54bWxQSwECLQAUAAYACAAAACEAWvQsW78AAAAVAQAA&#10;CwAAAAAAAAAAAAAAAAAfAQAAX3JlbHMvLnJlbHNQSwECLQAUAAYACAAAACEA1VDrxsYAAADfAAAA&#10;DwAAAAAAAAAAAAAAAAAHAgAAZHJzL2Rvd25yZXYueG1sUEsFBgAAAAADAAMAtwAAAPoCAAAAAA==&#10;" filled="f" stroked="f">
                  <v:textbox inset="0,0,0,0">
                    <w:txbxContent>
                      <w:p w14:paraId="377B7C07" w14:textId="77777777" w:rsidR="00B32EF2" w:rsidRDefault="00000000">
                        <w:r>
                          <w:rPr>
                            <w:rFonts w:ascii="Arial" w:eastAsia="Arial" w:hAnsi="Arial" w:cs="Arial"/>
                            <w:sz w:val="18"/>
                          </w:rPr>
                          <w:t xml:space="preserve">. Nel caso in cui il giudice, in composizione monocratica o collegiale, rilevi </w:t>
                        </w:r>
                      </w:p>
                    </w:txbxContent>
                  </v:textbox>
                </v:rect>
                <v:rect id="Rectangle 202399" o:spid="_x0000_s6507" style="position:absolute;left:26109;top:41577;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q5xwAAAN8AAAAPAAAAZHJzL2Rvd25yZXYueG1sRI9Ba8JA&#10;FITvQv/D8gredGOEotFVRBFz6KXWgsdH9pmkzb5dsqtJ++u7guBxmJlvmOW6N424Uetrywom4wQE&#10;cWF1zaWC0+d+NAPhA7LGxjIp+CUP69XLYImZth1/0O0YShEh7DNUUIXgMil9UZFBP7aOOHoX2xoM&#10;Ubal1C12EW4amSbJmzRYc1yo0NG2ouLneDUKzjt2+b6TxeVv696/81lzuJ6+lBq+9psFiEB9eIYf&#10;7VwrSJN0Op/D/U/8AnL1DwAA//8DAFBLAQItABQABgAIAAAAIQDb4fbL7gAAAIUBAAATAAAAAAAA&#10;AAAAAAAAAAAAAABbQ29udGVudF9UeXBlc10ueG1sUEsBAi0AFAAGAAgAAAAhAFr0LFu/AAAAFQEA&#10;AAsAAAAAAAAAAAAAAAAAHwEAAF9yZWxzLy5yZWxzUEsBAi0AFAAGAAgAAAAhAGzKGrnHAAAA3wAA&#10;AA8AAAAAAAAAAAAAAAAABwIAAGRycy9kb3ducmV2LnhtbFBLBQYAAAAAAwADALcAAAD7AgAAAAA=&#10;" filled="f" stroked="f">
                  <v:textbox inset="0,0,0,0">
                    <w:txbxContent>
                      <w:p w14:paraId="3E3106BF" w14:textId="77777777" w:rsidR="00B32EF2" w:rsidRDefault="00000000">
                        <w:r>
                          <w:rPr>
                            <w:rFonts w:ascii="Arial" w:eastAsia="Arial" w:hAnsi="Arial" w:cs="Arial"/>
                            <w:sz w:val="18"/>
                          </w:rPr>
                          <w:t>3</w:t>
                        </w:r>
                      </w:p>
                    </w:txbxContent>
                  </v:textbox>
                </v:rect>
                <v:rect id="Rectangle 22520" o:spid="_x0000_s6508" style="position:absolute;left:-13172;top:4034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Uu5xAAAAN4AAAAPAAAAZHJzL2Rvd25yZXYueG1sRI/NisIw&#10;FIX3A75DuIK7MbUwItUoosh04WbUgVlemmtbbW5CE2316ScLweXh/PEtVr1pxJ1aX1tWMBknIIgL&#10;q2suFZyOu88ZCB+QNTaWScGDPKyWg48FZtp2/EP3QyhFHGGfoYIqBJdJ6YuKDPqxdcTRO9vWYIiy&#10;LaVusYvjppFpkkylwZrjQ4WONhUV18PNKPjbsst3nSzOz43bX/JZ8307/So1GvbrOYhAfXiHX+1c&#10;K0jTrzQCRJyIAnL5DwAA//8DAFBLAQItABQABgAIAAAAIQDb4fbL7gAAAIUBAAATAAAAAAAAAAAA&#10;AAAAAAAAAABbQ29udGVudF9UeXBlc10ueG1sUEsBAi0AFAAGAAgAAAAhAFr0LFu/AAAAFQEAAAsA&#10;AAAAAAAAAAAAAAAAHwEAAF9yZWxzLy5yZWxzUEsBAi0AFAAGAAgAAAAhAODRS7nEAAAA3gAAAA8A&#10;AAAAAAAAAAAAAAAABwIAAGRycy9kb3ducmV2LnhtbFBLBQYAAAAAAwADALcAAAD4AgAAAAA=&#10;" filled="f" stroked="f">
                  <v:textbox inset="0,0,0,0">
                    <w:txbxContent>
                      <w:p w14:paraId="22587E9D" w14:textId="77777777" w:rsidR="00B32EF2" w:rsidRDefault="00000000">
                        <w:r>
                          <w:rPr>
                            <w:rFonts w:ascii="Arial" w:eastAsia="Arial" w:hAnsi="Arial" w:cs="Arial"/>
                            <w:sz w:val="18"/>
                          </w:rPr>
                          <w:t xml:space="preserve">che la controversia ad esso assegnata avrebbe dovuto essere trattata dalla </w:t>
                        </w:r>
                      </w:p>
                    </w:txbxContent>
                  </v:textbox>
                </v:rect>
                <v:rect id="Rectangle 22521" o:spid="_x0000_s6509" style="position:absolute;left:-13171;top:3911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e4ixgAAAN4AAAAPAAAAZHJzL2Rvd25yZXYueG1sRI9Ba8JA&#10;FITvgv9heYI33RiwSHQVUcQcvNRa6PGRfSbR7Nslu5rYX98tFHocZuYbZrXpTSOe1PrasoLZNAFB&#10;XFhdc6ng8nGYLED4gKyxsUwKXuRhsx4OVphp2/E7Pc+hFBHCPkMFVQguk9IXFRn0U+uIo3e1rcEQ&#10;ZVtK3WIX4aaRaZK8SYM1x4UKHe0qKu7nh1HwtWeXHzpZXL937nTLF83xcflUajzqt0sQgfrwH/5r&#10;51pBms7TGfzeiVdArn8AAAD//wMAUEsBAi0AFAAGAAgAAAAhANvh9svuAAAAhQEAABMAAAAAAAAA&#10;AAAAAAAAAAAAAFtDb250ZW50X1R5cGVzXS54bWxQSwECLQAUAAYACAAAACEAWvQsW78AAAAVAQAA&#10;CwAAAAAAAAAAAAAAAAAfAQAAX3JlbHMvLnJlbHNQSwECLQAUAAYACAAAACEAj53uIsYAAADeAAAA&#10;DwAAAAAAAAAAAAAAAAAHAgAAZHJzL2Rvd25yZXYueG1sUEsFBgAAAAADAAMAtwAAAPoCAAAAAA==&#10;" filled="f" stroked="f">
                  <v:textbox inset="0,0,0,0">
                    <w:txbxContent>
                      <w:p w14:paraId="28D35754" w14:textId="77777777" w:rsidR="00B32EF2" w:rsidRDefault="00000000">
                        <w:r>
                          <w:rPr>
                            <w:rFonts w:ascii="Arial" w:eastAsia="Arial" w:hAnsi="Arial" w:cs="Arial"/>
                            <w:sz w:val="18"/>
                          </w:rPr>
                          <w:t xml:space="preserve">corte di giustizia tributaria in altra composizione, la rimette al presidente della </w:t>
                        </w:r>
                      </w:p>
                    </w:txbxContent>
                  </v:textbox>
                </v:rect>
                <v:rect id="Rectangle 22522" o:spid="_x0000_s6510" style="position:absolute;left:12380;top:37877;width:275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BVxwAAAN4AAAAPAAAAZHJzL2Rvd25yZXYueG1sRI9PawIx&#10;FMTvQr9DeIXeNNtAi6xGKRbpHnqpf8DjY/PcXd28hE10t/30jSB4HGbmN8x8OdhWXKkLjWMNr5MM&#10;BHHpTMOVht12PZ6CCBHZYOuYNPxSgOXiaTTH3Lief+i6iZVIEA45aqhj9LmUoazJYpg4T5y8o+ss&#10;xiS7SpoO+wS3rVRZ9i4tNpwWavS0qqk8by5Ww+GTfbHuZXn8W/nvUzFtvy67vdYvz8PHDESkIT7C&#10;93ZhNCj1phTc7qQrIBf/AAAA//8DAFBLAQItABQABgAIAAAAIQDb4fbL7gAAAIUBAAATAAAAAAAA&#10;AAAAAAAAAAAAAABbQ29udGVudF9UeXBlc10ueG1sUEsBAi0AFAAGAAgAAAAhAFr0LFu/AAAAFQEA&#10;AAsAAAAAAAAAAAAAAAAAHwEAAF9yZWxzLy5yZWxzUEsBAi0AFAAGAAgAAAAhAH9PcFXHAAAA3gAA&#10;AA8AAAAAAAAAAAAAAAAABwIAAGRycy9kb3ducmV2LnhtbFBLBQYAAAAAAwADALcAAAD7AgAAAAA=&#10;" filled="f" stroked="f">
                  <v:textbox inset="0,0,0,0">
                    <w:txbxContent>
                      <w:p w14:paraId="36E641F5" w14:textId="77777777" w:rsidR="00B32EF2" w:rsidRDefault="00000000">
                        <w:r>
                          <w:rPr>
                            <w:rFonts w:ascii="Arial" w:eastAsia="Arial" w:hAnsi="Arial" w:cs="Arial"/>
                            <w:sz w:val="18"/>
                          </w:rPr>
                          <w:t>sezione per il rinnovo dell’assegnazione.</w:t>
                        </w:r>
                      </w:p>
                    </w:txbxContent>
                  </v:textbox>
                </v:rect>
                <v:rect id="Rectangle 202398" o:spid="_x0000_s6511" style="position:absolute;left:-12841;top:36644;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r8ixQAAAN8AAAAPAAAAZHJzL2Rvd25yZXYueG1sRE/LasJA&#10;FN0X/IfhCt3VSVMoGp1IsUiz6KY+wOUlc/PQzJ0hM5ro13cWhS4P571aj6YTN+p9a1nB6ywBQVxa&#10;3XKt4LDfvsxB+ICssbNMCu7kYZ1PnlaYaTvwD912oRYxhH2GCpoQXCalLxsy6GfWEUeusr3BEGFf&#10;S93jEMNNJ9MkeZcGW44NDTraNFRedlej4PTJrtgOsqweG/d9Lubd1/VwVOp5On4sQQQaw7/4z11o&#10;BWmSvi3i4PgnfgGZ/wIAAP//AwBQSwECLQAUAAYACAAAACEA2+H2y+4AAACFAQAAEwAAAAAAAAAA&#10;AAAAAAAAAAAAW0NvbnRlbnRfVHlwZXNdLnhtbFBLAQItABQABgAIAAAAIQBa9CxbvwAAABUBAAAL&#10;AAAAAAAAAAAAAAAAAB8BAABfcmVscy8ucmVsc1BLAQItABQABgAIAAAAIQADhr8ixQAAAN8AAAAP&#10;AAAAAAAAAAAAAAAAAAcCAABkcnMvZG93bnJldi54bWxQSwUGAAAAAAMAAwC3AAAA+QIAAAAA&#10;" filled="f" stroked="f">
                  <v:textbox inset="0,0,0,0">
                    <w:txbxContent>
                      <w:p w14:paraId="6E351612" w14:textId="77777777" w:rsidR="00B32EF2" w:rsidRDefault="00000000">
                        <w:r>
                          <w:rPr>
                            <w:rFonts w:ascii="Arial" w:eastAsia="Arial" w:hAnsi="Arial" w:cs="Arial"/>
                            <w:sz w:val="18"/>
                          </w:rPr>
                          <w:t>. Il presidente di ciascuna sezione, all’inizio di ogni anno, stabilisce il calenda</w:t>
                        </w:r>
                      </w:p>
                    </w:txbxContent>
                  </v:textbox>
                </v:rect>
                <v:rect id="Rectangle 202397" o:spid="_x0000_s6512" style="position:absolute;left:26348;top:36644;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StQyAAAAN8AAAAPAAAAZHJzL2Rvd25yZXYueG1sRI9Ba8JA&#10;FITvgv9heUJvumkKNk1dRRRpDr1oLfT4yD6TtNm3S3Y1qb++KxQ8DjPzDbNYDaYVF+p8Y1nB4ywB&#10;QVxa3XCl4Pixm2YgfEDW2FomBb/kYbUcjxaYa9vzni6HUIkIYZ+jgjoEl0vpy5oM+pl1xNE72c5g&#10;iLKrpO6wj3DTyjRJ5tJgw3GhRkebmsqfw9ko+NqyK3a9LE/XjXv/LrL27Xz8VOphMqxfQQQawj38&#10;3y60gjRJn16e4fYnfgG5/AMAAP//AwBQSwECLQAUAAYACAAAACEA2+H2y+4AAACFAQAAEwAAAAAA&#10;AAAAAAAAAAAAAAAAW0NvbnRlbnRfVHlwZXNdLnhtbFBLAQItABQABgAIAAAAIQBa9CxbvwAAABUB&#10;AAALAAAAAAAAAAAAAAAAAB8BAABfcmVscy8ucmVsc1BLAQItABQABgAIAAAAIQByGStQyAAAAN8A&#10;AAAPAAAAAAAAAAAAAAAAAAcCAABkcnMvZG93bnJldi54bWxQSwUGAAAAAAMAAwC3AAAA/AIAAAAA&#10;" filled="f" stroked="f">
                  <v:textbox inset="0,0,0,0">
                    <w:txbxContent>
                      <w:p w14:paraId="65A88C9D" w14:textId="77777777" w:rsidR="00B32EF2" w:rsidRDefault="00000000">
                        <w:r>
                          <w:rPr>
                            <w:rFonts w:ascii="Arial" w:eastAsia="Arial" w:hAnsi="Arial" w:cs="Arial"/>
                            <w:sz w:val="18"/>
                          </w:rPr>
                          <w:t>4</w:t>
                        </w:r>
                      </w:p>
                    </w:txbxContent>
                  </v:textbox>
                </v:rect>
                <v:rect id="Rectangle 22524" o:spid="_x0000_s6513" style="position:absolute;left:192;top:3664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k26xgAAAN4AAAAPAAAAZHJzL2Rvd25yZXYueG1sRI9Ba8JA&#10;FITvBf/D8gRvdWNoi0RXEUWag5daBY+P7DOJZt8u2dVEf323UOhxmJlvmPmyN424U+trywom4wQE&#10;cWF1zaWCw/f2dQrCB2SNjWVS8CAPy8XgZY6Zth1/0X0fShEh7DNUUIXgMil9UZFBP7aOOHpn2xoM&#10;Ubal1C12EW4amSbJhzRYc1yo0NG6ouK6vxkFpw27fNvJ4vxcu90lnzaft8NRqdGwX81ABOrDf/iv&#10;nWsFafqevsHvnXgF5OIHAAD//wMAUEsBAi0AFAAGAAgAAAAhANvh9svuAAAAhQEAABMAAAAAAAAA&#10;AAAAAAAAAAAAAFtDb250ZW50X1R5cGVzXS54bWxQSwECLQAUAAYACAAAACEAWvQsW78AAAAVAQAA&#10;CwAAAAAAAAAAAAAAAAAfAQAAX3JlbHMvLnJlbHNQSwECLQAUAAYACAAAACEAn+pNusYAAADeAAAA&#10;DwAAAAAAAAAAAAAAAAAHAgAAZHJzL2Rvd25yZXYueG1sUEsFBgAAAAADAAMAtwAAAPoCAAAAAA==&#10;" filled="f" stroked="f">
                  <v:textbox inset="0,0,0,0">
                    <w:txbxContent>
                      <w:p w14:paraId="180E4D39" w14:textId="77777777" w:rsidR="00B32EF2" w:rsidRDefault="00000000">
                        <w:r>
                          <w:rPr>
                            <w:rFonts w:ascii="Arial" w:eastAsia="Arial" w:hAnsi="Arial" w:cs="Arial"/>
                            <w:sz w:val="18"/>
                          </w:rPr>
                          <w:t>-</w:t>
                        </w:r>
                      </w:p>
                    </w:txbxContent>
                  </v:textbox>
                </v:rect>
                <v:rect id="Rectangle 22525" o:spid="_x0000_s6514" style="position:absolute;left:-12194;top:35411;width:5208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ughxgAAAN4AAAAPAAAAZHJzL2Rvd25yZXYueG1sRI9Ba8JA&#10;FITvBf/D8gre6qYBi6SuIoqYg5faCB4f2WeSmn27ZFcT/fVuodDjMDPfMPPlYFpxo843lhW8TxIQ&#10;xKXVDVcKiu/t2wyED8gaW8uk4E4elovRyxwzbXv+otshVCJC2GeooA7BZVL6siaDfmIdcfTOtjMY&#10;ouwqqTvsI9y0Mk2SD2mw4bhQo6N1TeXlcDUKTht2+baX5fmxdvuffNbursVRqfHrsPoEEWgI/+G/&#10;dq4VpOk0ncLvnXgF5OIJAAD//wMAUEsBAi0AFAAGAAgAAAAhANvh9svuAAAAhQEAABMAAAAAAAAA&#10;AAAAAAAAAAAAAFtDb250ZW50X1R5cGVzXS54bWxQSwECLQAUAAYACAAAACEAWvQsW78AAAAVAQAA&#10;CwAAAAAAAAAAAAAAAAAfAQAAX3JlbHMvLnJlbHNQSwECLQAUAAYACAAAACEA8KboIcYAAADeAAAA&#10;DwAAAAAAAAAAAAAAAAAHAgAAZHJzL2Rvd25yZXYueG1sUEsFBgAAAAADAAMAtwAAAPoCAAAAAA==&#10;" filled="f" stroked="f">
                  <v:textbox inset="0,0,0,0">
                    <w:txbxContent>
                      <w:p w14:paraId="7FDBE32E" w14:textId="77777777" w:rsidR="00B32EF2" w:rsidRDefault="00000000">
                        <w:r>
                          <w:rPr>
                            <w:rFonts w:ascii="Arial" w:eastAsia="Arial" w:hAnsi="Arial" w:cs="Arial"/>
                            <w:sz w:val="18"/>
                          </w:rPr>
                          <w:t>rio delle udienze ed, all’inizio di ogni trimestre, la composizione dei collegi giu</w:t>
                        </w:r>
                      </w:p>
                    </w:txbxContent>
                  </v:textbox>
                </v:rect>
                <v:rect id="Rectangle 22526" o:spid="_x0000_s6515" style="position:absolute;left:192;top:35411;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ZWxgAAAN4AAAAPAAAAZHJzL2Rvd25yZXYueG1sRI9Ba8JA&#10;FITvgv9heQVvumlAkdRVRBFz6KU2gsdH9pmkZt8u2dXE/vpuodDjMDPfMKvNYFrxoM43lhW8zhIQ&#10;xKXVDVcKis/DdAnCB2SNrWVS8CQPm/V4tMJM254/6HEKlYgQ9hkqqENwmZS+rMmgn1lHHL2r7QyG&#10;KLtK6g77CDetTJNkIQ02HBdqdLSrqbyd7kbBZc8uP/SyvH7v3PtXvmyP9+Ks1ORl2L6BCDSE//Bf&#10;O9cK0nSeLuD3TrwCcv0DAAD//wMAUEsBAi0AFAAGAAgAAAAhANvh9svuAAAAhQEAABMAAAAAAAAA&#10;AAAAAAAAAAAAAFtDb250ZW50X1R5cGVzXS54bWxQSwECLQAUAAYACAAAACEAWvQsW78AAAAVAQAA&#10;CwAAAAAAAAAAAAAAAAAfAQAAX3JlbHMvLnJlbHNQSwECLQAUAAYACAAAACEAAHR2VsYAAADeAAAA&#10;DwAAAAAAAAAAAAAAAAAHAgAAZHJzL2Rvd25yZXYueG1sUEsFBgAAAAADAAMAtwAAAPoCAAAAAA==&#10;" filled="f" stroked="f">
                  <v:textbox inset="0,0,0,0">
                    <w:txbxContent>
                      <w:p w14:paraId="7BF9B7B3" w14:textId="77777777" w:rsidR="00B32EF2" w:rsidRDefault="00000000">
                        <w:r>
                          <w:rPr>
                            <w:rFonts w:ascii="Arial" w:eastAsia="Arial" w:hAnsi="Arial" w:cs="Arial"/>
                            <w:sz w:val="18"/>
                          </w:rPr>
                          <w:t>-</w:t>
                        </w:r>
                      </w:p>
                    </w:txbxContent>
                  </v:textbox>
                </v:rect>
                <v:rect id="Rectangle 22527" o:spid="_x0000_s6516" style="position:absolute;left:-13171;top:3417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NPNxgAAAN4AAAAPAAAAZHJzL2Rvd25yZXYueG1sRI9Ba8JA&#10;FITvBf/D8gRvdWOgrURXEUWag5daBY+P7DOJZt8u2dVEf323UOhxmJlvmPmyN424U+trywom4wQE&#10;cWF1zaWCw/f2dQrCB2SNjWVS8CAPy8XgZY6Zth1/0X0fShEh7DNUUIXgMil9UZFBP7aOOHpn2xoM&#10;Ubal1C12EW4amSbJuzRYc1yo0NG6ouK6vxkFpw27fNvJ4vxcu90lnzaft8NRqdGwX81ABOrDf/iv&#10;nWsFafqWfsDvnXgF5OIHAAD//wMAUEsBAi0AFAAGAAgAAAAhANvh9svuAAAAhQEAABMAAAAAAAAA&#10;AAAAAAAAAAAAAFtDb250ZW50X1R5cGVzXS54bWxQSwECLQAUAAYACAAAACEAWvQsW78AAAAVAQAA&#10;CwAAAAAAAAAAAAAAAAAfAQAAX3JlbHMvLnJlbHNQSwECLQAUAAYACAAAACEAbzjTzcYAAADeAAAA&#10;DwAAAAAAAAAAAAAAAAAHAgAAZHJzL2Rvd25yZXYueG1sUEsFBgAAAAADAAMAtwAAAPoCAAAAAA==&#10;" filled="f" stroked="f">
                  <v:textbox inset="0,0,0,0">
                    <w:txbxContent>
                      <w:p w14:paraId="1EAED7BC" w14:textId="77777777" w:rsidR="00B32EF2" w:rsidRDefault="00000000">
                        <w:r>
                          <w:rPr>
                            <w:rFonts w:ascii="Arial" w:eastAsia="Arial" w:hAnsi="Arial" w:cs="Arial"/>
                            <w:sz w:val="18"/>
                          </w:rPr>
                          <w:t xml:space="preserve">dicanti in base ai criteri di massima stabiliti dal Consiglio di presidenza, avuto </w:t>
                        </w:r>
                      </w:p>
                    </w:txbxContent>
                  </v:textbox>
                </v:rect>
                <v:rect id="Rectangle 22528" o:spid="_x0000_s6517" style="position:absolute;left:-11084;top:32944;width:510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0e/wwAAAN4AAAAPAAAAZHJzL2Rvd25yZXYueG1sRE9Ni8Iw&#10;EL0v+B/CCN7W1MKKVKOIItuDl1UX9jg0Y1ttJqGJtvrrNwfB4+N9L1a9acSdWl9bVjAZJyCIC6tr&#10;LhWcjrvPGQgfkDU2lknBgzysloOPBWbadvxD90MoRQxhn6GCKgSXSemLigz6sXXEkTvb1mCIsC2l&#10;brGL4aaRaZJMpcGaY0OFjjYVFdfDzSj427LLd50szs+N21/yWfN9O/0qNRr26zmIQH14i1/uXCtI&#10;06807o134hWQy38AAAD//wMAUEsBAi0AFAAGAAgAAAAhANvh9svuAAAAhQEAABMAAAAAAAAAAAAA&#10;AAAAAAAAAFtDb250ZW50X1R5cGVzXS54bWxQSwECLQAUAAYACAAAACEAWvQsW78AAAAVAQAACwAA&#10;AAAAAAAAAAAAAAAfAQAAX3JlbHMvLnJlbHNQSwECLQAUAAYACAAAACEAHqdHv8MAAADeAAAADwAA&#10;AAAAAAAAAAAAAAAHAgAAZHJzL2Rvd25yZXYueG1sUEsFBgAAAAADAAMAtwAAAPcCAAAAAA==&#10;" filled="f" stroked="f">
                  <v:textbox inset="0,0,0,0">
                    <w:txbxContent>
                      <w:p w14:paraId="2418B650" w14:textId="77777777" w:rsidR="00B32EF2" w:rsidRDefault="00000000">
                        <w:r>
                          <w:rPr>
                            <w:rFonts w:ascii="Arial" w:eastAsia="Arial" w:hAnsi="Arial" w:cs="Arial"/>
                            <w:sz w:val="18"/>
                          </w:rPr>
                          <w:t xml:space="preserve">riguardo anche ai carichi esigibili definiti per i magistrati e i giudici tributari. </w:t>
                        </w:r>
                      </w:p>
                    </w:txbxContent>
                  </v:textbox>
                </v:rect>
                <v:rect id="Rectangle 202396" o:spid="_x0000_s6518" style="position:absolute;left:-13816;top:3171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Y7LxwAAAN8AAAAPAAAAZHJzL2Rvd25yZXYueG1sRI9Ba8JA&#10;FITvBf/D8oTedNMUxKauUhQxBy9VCz0+ss8kmn27ZFcT/fVuQehxmJlvmNmiN424UutrywrexgkI&#10;4sLqmksFh/16NAXhA7LGxjIpuJGHxXzwMsNM246/6boLpYgQ9hkqqEJwmZS+qMigH1tHHL2jbQ2G&#10;KNtS6ha7CDeNTJNkIg3WHBcqdLSsqDjvLkbB74pdvu5kcbwv3faUT5vN5fCj1Ouw//oEEagP/+Fn&#10;O9cK0iR9/5jA35/4BeT8AQAA//8DAFBLAQItABQABgAIAAAAIQDb4fbL7gAAAIUBAAATAAAAAAAA&#10;AAAAAAAAAAAAAABbQ29udGVudF9UeXBlc10ueG1sUEsBAi0AFAAGAAgAAAAhAFr0LFu/AAAAFQEA&#10;AAsAAAAAAAAAAAAAAAAAHwEAAF9yZWxzLy5yZWxzUEsBAi0AFAAGAAgAAAAhAB1VjsvHAAAA3wAA&#10;AA8AAAAAAAAAAAAAAAAABwIAAGRycy9kb3ducmV2LnhtbFBLBQYAAAAAAwADALcAAAD7AgAAAAA=&#10;" filled="f" stroked="f">
                  <v:textbox inset="0,0,0,0">
                    <w:txbxContent>
                      <w:p w14:paraId="7F4B9B4A" w14:textId="77777777" w:rsidR="00B32EF2" w:rsidRDefault="00000000">
                        <w:r>
                          <w:rPr>
                            <w:rFonts w:ascii="Arial" w:eastAsia="Arial" w:hAnsi="Arial" w:cs="Arial"/>
                            <w:sz w:val="18"/>
                          </w:rPr>
                          <w:t xml:space="preserve">. Il presidente della corte di giustizia tributaria di primo e secondo grado, col </w:t>
                        </w:r>
                      </w:p>
                    </w:txbxContent>
                  </v:textbox>
                </v:rect>
                <v:rect id="Rectangle 202395" o:spid="_x0000_s6519" style="position:absolute;left:26109;top:31711;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xC8yAAAAN8AAAAPAAAAZHJzL2Rvd25yZXYueG1sRI9Ba8JA&#10;FITvgv9heUJvummKJU1dRRRpDr1oLfT4yD6TtNm3S3Y1qb++KxQ8DjPzDbNYDaYVF+p8Y1nB4ywB&#10;QVxa3XCl4Pixm2YgfEDW2FomBb/kYbUcjxaYa9vzni6HUIkIYZ+jgjoEl0vpy5oM+pl1xNE72c5g&#10;iLKrpO6wj3DTyjRJnqXBhuNCjY42NZU/h7NR8LVlV+x6WZ6uG/f+XWTt2/n4qdTDZFi/ggg0hHv4&#10;v11oBWmSPr3M4fYnfgG5/AMAAP//AwBQSwECLQAUAAYACAAAACEA2+H2y+4AAACFAQAAEwAAAAAA&#10;AAAAAAAAAAAAAAAAW0NvbnRlbnRfVHlwZXNdLnhtbFBLAQItABQABgAIAAAAIQBa9CxbvwAAABUB&#10;AAALAAAAAAAAAAAAAAAAAB8BAABfcmVscy8ucmVsc1BLAQItABQABgAIAAAAIQDthxC8yAAAAN8A&#10;AAAPAAAAAAAAAAAAAAAAAAcCAABkcnMvZG93bnJldi54bWxQSwUGAAAAAAMAAwC3AAAA/AIAAAAA&#10;" filled="f" stroked="f">
                  <v:textbox inset="0,0,0,0">
                    <w:txbxContent>
                      <w:p w14:paraId="6ED54E03" w14:textId="77777777" w:rsidR="00B32EF2" w:rsidRDefault="00000000">
                        <w:r>
                          <w:rPr>
                            <w:rFonts w:ascii="Arial" w:eastAsia="Arial" w:hAnsi="Arial" w:cs="Arial"/>
                            <w:sz w:val="18"/>
                          </w:rPr>
                          <w:t>5</w:t>
                        </w:r>
                      </w:p>
                    </w:txbxContent>
                  </v:textbox>
                </v:rect>
                <v:rect id="Rectangle 22530" o:spid="_x0000_s6520" style="position:absolute;left:-12158;top:30477;width:520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N1kxQAAAN4AAAAPAAAAZHJzL2Rvd25yZXYueG1sRI/LasJA&#10;FIb3Bd9hOIK7OjGlRaKjiCLNwk29gMtD5phEM2eGzGiiT99ZFLr8+W9882VvGvGg1teWFUzGCQji&#10;wuqaSwXHw/Z9CsIHZI2NZVLwJA/LxeBtjpm2Hf/QYx9KEUfYZ6igCsFlUvqiIoN+bB1x9C62NRii&#10;bEupW+ziuGlkmiRf0mDN8aFCR+uKitv+bhScN+zybSeLy2vtdtd82nzfjyelRsN+NQMRqA//4b92&#10;rhWk6edHBIg4EQXk4hcAAP//AwBQSwECLQAUAAYACAAAACEA2+H2y+4AAACFAQAAEwAAAAAAAAAA&#10;AAAAAAAAAAAAW0NvbnRlbnRfVHlwZXNdLnhtbFBLAQItABQABgAIAAAAIQBa9CxbvwAAABUBAAAL&#10;AAAAAAAAAAAAAAAAAB8BAABfcmVscy8ucmVsc1BLAQItABQABgAIAAAAIQBlCN1kxQAAAN4AAAAP&#10;AAAAAAAAAAAAAAAAAAcCAABkcnMvZG93bnJldi54bWxQSwUGAAAAAAMAAwC3AAAA+QIAAAAA&#10;" filled="f" stroked="f">
                  <v:textbox inset="0,0,0,0">
                    <w:txbxContent>
                      <w:p w14:paraId="1B62EA84" w14:textId="77777777" w:rsidR="00B32EF2" w:rsidRDefault="00000000">
                        <w:r>
                          <w:rPr>
                            <w:rFonts w:ascii="Arial" w:eastAsia="Arial" w:hAnsi="Arial" w:cs="Arial"/>
                            <w:sz w:val="18"/>
                          </w:rPr>
                          <w:t>decreto di cui al comma 2, indica una o più delle sezioni, che, nel periodo di so</w:t>
                        </w:r>
                      </w:p>
                    </w:txbxContent>
                  </v:textbox>
                </v:rect>
                <v:rect id="Rectangle 22531" o:spid="_x0000_s6521" style="position:absolute;left:192;top:3047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j/xwAAAN4AAAAPAAAAZHJzL2Rvd25yZXYueG1sRI9Pa8JA&#10;FMTvgt9heYI33ZhikdRVRJHm0Ev9Az0+ss8kbfbtkl1N7Kd3CwWPw8z8hlmue9OIG7W+tqxgNk1A&#10;EBdW11wqOB33kwUIH5A1NpZJwZ08rFfDwRIzbTv+pNshlCJC2GeooArBZVL6oiKDfmodcfQutjUY&#10;omxLqVvsItw0Mk2SV2mw5rhQoaNtRcXP4WoUfO3Y5ftOFpffrfv4zhfN+/V0Vmo86jdvIAL14Rn+&#10;b+daQZrOX2bwdydeAbl6AAAA//8DAFBLAQItABQABgAIAAAAIQDb4fbL7gAAAIUBAAATAAAAAAAA&#10;AAAAAAAAAAAAAABbQ29udGVudF9UeXBlc10ueG1sUEsBAi0AFAAGAAgAAAAhAFr0LFu/AAAAFQEA&#10;AAsAAAAAAAAAAAAAAAAAHwEAAF9yZWxzLy5yZWxzUEsBAi0AFAAGAAgAAAAhAApEeP/HAAAA3gAA&#10;AA8AAAAAAAAAAAAAAAAABwIAAGRycy9kb3ducmV2LnhtbFBLBQYAAAAAAwADALcAAAD7AgAAAAA=&#10;" filled="f" stroked="f">
                  <v:textbox inset="0,0,0,0">
                    <w:txbxContent>
                      <w:p w14:paraId="68E7B07B" w14:textId="77777777" w:rsidR="00B32EF2" w:rsidRDefault="00000000">
                        <w:r>
                          <w:rPr>
                            <w:rFonts w:ascii="Arial" w:eastAsia="Arial" w:hAnsi="Arial" w:cs="Arial"/>
                            <w:sz w:val="18"/>
                          </w:rPr>
                          <w:t>-</w:t>
                        </w:r>
                      </w:p>
                    </w:txbxContent>
                  </v:textbox>
                </v:rect>
                <v:rect id="Rectangle 22532" o:spid="_x0000_s6522" style="position:absolute;left:-13172;top:2924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uaIxgAAAN4AAAAPAAAAZHJzL2Rvd25yZXYueG1sRI9Ba8JA&#10;FITvBf/D8gRvdWNKi0RXEUWag5daBY+P7DOJZt8u2dVEf323UOhxmJlvmPmyN424U+trywom4wQE&#10;cWF1zaWCw/f2dQrCB2SNjWVS8CAPy8XgZY6Zth1/0X0fShEh7DNUUIXgMil9UZFBP7aOOHpn2xoM&#10;Ubal1C12EW4amSbJhzRYc1yo0NG6ouK6vxkFpw27fNvJ4vxcu90lnzaft8NRqdGwX81ABOrDf/iv&#10;nWsFafr+lsLvnXgF5OIHAAD//wMAUEsBAi0AFAAGAAgAAAAhANvh9svuAAAAhQEAABMAAAAAAAAA&#10;AAAAAAAAAAAAAFtDb250ZW50X1R5cGVzXS54bWxQSwECLQAUAAYACAAAACEAWvQsW78AAAAVAQAA&#10;CwAAAAAAAAAAAAAAAAAfAQAAX3JlbHMvLnJlbHNQSwECLQAUAAYACAAAACEA+pbmiMYAAADeAAAA&#10;DwAAAAAAAAAAAAAAAAAHAgAAZHJzL2Rvd25yZXYueG1sUEsFBgAAAAADAAMAtwAAAPoCAAAAAA==&#10;" filled="f" stroked="f">
                  <v:textbox inset="0,0,0,0">
                    <w:txbxContent>
                      <w:p w14:paraId="56BF0A90" w14:textId="77777777" w:rsidR="00B32EF2" w:rsidRDefault="00000000">
                        <w:r>
                          <w:rPr>
                            <w:rFonts w:ascii="Arial" w:eastAsia="Arial" w:hAnsi="Arial" w:cs="Arial"/>
                            <w:sz w:val="18"/>
                          </w:rPr>
                          <w:t xml:space="preserve">spensione feriale dei termini processuali, procedono all’esame delle domande </w:t>
                        </w:r>
                      </w:p>
                    </w:txbxContent>
                  </v:textbox>
                </v:rect>
                <v:rect id="Rectangle 22533" o:spid="_x0000_s6523" style="position:absolute;left:1947;top:28011;width:379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kMTxwAAAN4AAAAPAAAAZHJzL2Rvd25yZXYueG1sRI9Pa8JA&#10;FMTvBb/D8oTe6qYRi0RXKRZpDl78Bx4f2WeSNvt2ya4m9dO7QsHjMDO/YebL3jTiSq2vLSt4HyUg&#10;iAuray4VHPbrtykIH5A1NpZJwR95WC4GL3PMtO14S9ddKEWEsM9QQRWCy6T0RUUG/cg64uidbWsw&#10;RNmWUrfYRbhpZJokH9JgzXGhQkeriorf3cUoOH2xy9edLM63ldv85NPm+3I4KvU67D9nIAL14Rn+&#10;b+daQZpOxmN43IlXQC7uAAAA//8DAFBLAQItABQABgAIAAAAIQDb4fbL7gAAAIUBAAATAAAAAAAA&#10;AAAAAAAAAAAAAABbQ29udGVudF9UeXBlc10ueG1sUEsBAi0AFAAGAAgAAAAhAFr0LFu/AAAAFQEA&#10;AAsAAAAAAAAAAAAAAAAAHwEAAF9yZWxzLy5yZWxzUEsBAi0AFAAGAAgAAAAhAJXaQxPHAAAA3gAA&#10;AA8AAAAAAAAAAAAAAAAABwIAAGRycy9kb3ducmV2LnhtbFBLBQYAAAAAAwADALcAAAD7AgAAAAA=&#10;" filled="f" stroked="f">
                  <v:textbox inset="0,0,0,0">
                    <w:txbxContent>
                      <w:p w14:paraId="3276F53E" w14:textId="77777777" w:rsidR="00B32EF2" w:rsidRDefault="00000000">
                        <w:r>
                          <w:rPr>
                            <w:rFonts w:ascii="Arial" w:eastAsia="Arial" w:hAnsi="Arial" w:cs="Arial"/>
                            <w:sz w:val="18"/>
                          </w:rPr>
                          <w:t>di sospensione cautelare del provvedimento impugnato.</w:t>
                        </w:r>
                      </w:p>
                    </w:txbxContent>
                  </v:textbox>
                </v:rect>
                <v:rect id="Rectangle 22534" o:spid="_x0000_s6524" style="position:absolute;left:16553;top:24311;width:57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9tnxwAAAN4AAAAPAAAAZHJzL2Rvd25yZXYueG1sRI9Ba8JA&#10;FITvgv9heUJvumlqi6SuIoo0h160KfT4yD6TtNm3S3Y1qb++KxQ8DjPzDbNcD6YVF+p8Y1nB4ywB&#10;QVxa3XCloPjYTxcgfEDW2FomBb/kYb0aj5aYadvzgS7HUIkIYZ+hgjoEl0npy5oM+pl1xNE72c5g&#10;iLKrpO6wj3DTyjRJXqTBhuNCjY62NZU/x7NR8LVjl+97WZ6uW/f+nS/at3PxqdTDZNi8ggg0hHv4&#10;v51rBWn6/DSH2514BeTqDwAA//8DAFBLAQItABQABgAIAAAAIQDb4fbL7gAAAIUBAAATAAAAAAAA&#10;AAAAAAAAAAAAAABbQ29udGVudF9UeXBlc10ueG1sUEsBAi0AFAAGAAgAAAAhAFr0LFu/AAAAFQEA&#10;AAsAAAAAAAAAAAAAAAAAHwEAAF9yZWxzLy5yZWxzUEsBAi0AFAAGAAgAAAAhABoz22fHAAAA3gAA&#10;AA8AAAAAAAAAAAAAAAAABwIAAGRycy9kb3ducmV2LnhtbFBLBQYAAAAAAwADALcAAAD7AgAAAAA=&#10;" filled="f" stroked="f">
                  <v:textbox inset="0,0,0,0">
                    <w:txbxContent>
                      <w:p w14:paraId="76698D9D" w14:textId="77777777" w:rsidR="00B32EF2" w:rsidRDefault="00000000">
                        <w:r>
                          <w:rPr>
                            <w:rFonts w:ascii="Arial" w:eastAsia="Arial" w:hAnsi="Arial" w:cs="Arial"/>
                            <w:b/>
                            <w:sz w:val="18"/>
                          </w:rPr>
                          <w:t>CAPO II</w:t>
                        </w:r>
                      </w:p>
                    </w:txbxContent>
                  </v:textbox>
                </v:rect>
                <v:rect id="Rectangle 22535" o:spid="_x0000_s6525" style="position:absolute;left:-12473;top:21844;width:519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378xwAAAN4AAAAPAAAAZHJzL2Rvd25yZXYueG1sRI9Pa8JA&#10;FMTvgt9heYI33TRikegqxSLNoRf/gcdH9pmkzb5dsqtJ++m7QsHjMDO/YVab3jTiTq2vLSt4mSYg&#10;iAuray4VnI67yQKED8gaG8uk4Ic8bNbDwQozbTve0/0QShEh7DNUUIXgMil9UZFBP7WOOHpX2xoM&#10;Ubal1C12EW4amSbJqzRYc1yo0NG2ouL7cDMKLu/s8l0ni+vv1n1+5Yvm43Y6KzUe9W9LEIH68Az/&#10;t3OtIE3nszk87sQrINd/AAAA//8DAFBLAQItABQABgAIAAAAIQDb4fbL7gAAAIUBAAATAAAAAAAA&#10;AAAAAAAAAAAAAABbQ29udGVudF9UeXBlc10ueG1sUEsBAi0AFAAGAAgAAAAhAFr0LFu/AAAAFQEA&#10;AAsAAAAAAAAAAAAAAAAAHwEAAF9yZWxzLy5yZWxzUEsBAi0AFAAGAAgAAAAhAHV/fvzHAAAA3gAA&#10;AA8AAAAAAAAAAAAAAAAABwIAAGRycy9kb3ducmV2LnhtbFBLBQYAAAAAAwADALcAAAD7AgAAAAA=&#10;" filled="f" stroked="f">
                  <v:textbox inset="0,0,0,0">
                    <w:txbxContent>
                      <w:p w14:paraId="79C2D3E8" w14:textId="77777777" w:rsidR="00B32EF2" w:rsidRDefault="00000000">
                        <w:r>
                          <w:rPr>
                            <w:rFonts w:ascii="Arial" w:eastAsia="Arial" w:hAnsi="Arial" w:cs="Arial"/>
                            <w:b/>
                            <w:sz w:val="18"/>
                          </w:rPr>
                          <w:t xml:space="preserve">  I COMPONENTI DELLE CORTI DI GIUSTIZIA TRIBUTARIA DI PRIMO E </w:t>
                        </w:r>
                      </w:p>
                    </w:txbxContent>
                  </v:textbox>
                </v:rect>
                <v:rect id="Rectangle 22536" o:spid="_x0000_s6526" style="position:absolute;left:11389;top:20611;width:139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eCLxwAAAN4AAAAPAAAAZHJzL2Rvd25yZXYueG1sRI9Pa8JA&#10;FMTvgt9heYI33TRSkegqxSLNoZf6Bzw+ss8kbfbtkl1N2k/fFQSPw8z8hlltetOIG7W+tqzgZZqA&#10;IC6srrlUcDzsJgsQPiBrbCyTgl/ysFkPByvMtO34i277UIoIYZ+hgioEl0npi4oM+ql1xNG72NZg&#10;iLItpW6xi3DTyDRJ5tJgzXGhQkfbioqf/dUoOL+zy3edLC5/W/f5nS+aj+vxpNR41L8tQQTqwzP8&#10;aOdaQZq+zuZwvxOvgFz/AwAA//8DAFBLAQItABQABgAIAAAAIQDb4fbL7gAAAIUBAAATAAAAAAAA&#10;AAAAAAAAAAAAAABbQ29udGVudF9UeXBlc10ueG1sUEsBAi0AFAAGAAgAAAAhAFr0LFu/AAAAFQEA&#10;AAsAAAAAAAAAAAAAAAAAHwEAAF9yZWxzLy5yZWxzUEsBAi0AFAAGAAgAAAAhAIWt4IvHAAAA3gAA&#10;AA8AAAAAAAAAAAAAAAAABwIAAGRycy9kb3ducmV2LnhtbFBLBQYAAAAAAwADALcAAAD7AgAAAAA=&#10;" filled="f" stroked="f">
                  <v:textbox inset="0,0,0,0">
                    <w:txbxContent>
                      <w:p w14:paraId="6FD75FCA" w14:textId="77777777" w:rsidR="00B32EF2" w:rsidRDefault="00000000">
                        <w:r>
                          <w:rPr>
                            <w:rFonts w:ascii="Arial" w:eastAsia="Arial" w:hAnsi="Arial" w:cs="Arial"/>
                            <w:b/>
                            <w:sz w:val="18"/>
                          </w:rPr>
                          <w:t>SECONDO GRADO</w:t>
                        </w:r>
                      </w:p>
                    </w:txbxContent>
                  </v:textbox>
                </v:rect>
                <v:rect id="Rectangle 22537" o:spid="_x0000_s6527" style="position:absolute;left:15112;top:18144;width:80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UUQxwAAAN4AAAAPAAAAZHJzL2Rvd25yZXYueG1sRI9Ba8JA&#10;FITvgv9heUJvummKraSuIoo0h160KfT4yD6TtNm3S3Y1qb++KxQ8DjPzDbNcD6YVF+p8Y1nB4ywB&#10;QVxa3XCloPjYTxcgfEDW2FomBb/kYb0aj5aYadvzgS7HUIkIYZ+hgjoEl0npy5oM+pl1xNE72c5g&#10;iLKrpO6wj3DTyjRJnqXBhuNCjY62NZU/x7NR8LVjl+97WZ6uW/f+nS/at3PxqdTDZNi8ggg0hHv4&#10;v51rBWk6f3qB2514BeTqDwAA//8DAFBLAQItABQABgAIAAAAIQDb4fbL7gAAAIUBAAATAAAAAAAA&#10;AAAAAAAAAAAAAABbQ29udGVudF9UeXBlc10ueG1sUEsBAi0AFAAGAAgAAAAhAFr0LFu/AAAAFQEA&#10;AAsAAAAAAAAAAAAAAAAAHwEAAF9yZWxzLy5yZWxzUEsBAi0AFAAGAAgAAAAhAOrhRRDHAAAA3gAA&#10;AA8AAAAAAAAAAAAAAAAABwIAAGRycy9kb3ducmV2LnhtbFBLBQYAAAAAAwADALcAAAD7AgAAAAA=&#10;" filled="f" stroked="f">
                  <v:textbox inset="0,0,0,0">
                    <w:txbxContent>
                      <w:p w14:paraId="1453C27C" w14:textId="77777777" w:rsidR="00B32EF2" w:rsidRDefault="00000000">
                        <w:r>
                          <w:rPr>
                            <w:rFonts w:ascii="Arial" w:eastAsia="Arial" w:hAnsi="Arial" w:cs="Arial"/>
                            <w:b/>
                            <w:sz w:val="18"/>
                          </w:rPr>
                          <w:t>Articolo 13</w:t>
                        </w:r>
                      </w:p>
                    </w:txbxContent>
                  </v:textbox>
                </v:rect>
                <v:rect id="Rectangle 202394" o:spid="_x0000_s6528" style="position:absolute;left:12163;top:16911;width:185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7UnyAAAAN8AAAAPAAAAZHJzL2Rvd25yZXYueG1sRI9Ba8JA&#10;FITvgv9heUJvumkqJU1dRRRpDr1oLfT4yD6TtNm3S3Y1qb++KxQ8DjPzDbNYDaYVF+p8Y1nB4ywB&#10;QVxa3XCl4Pixm2YgfEDW2FomBb/kYbUcjxaYa9vzni6HUIkIYZ+jgjoEl0vpy5oM+pl1xNE72c5g&#10;iLKrpO6wj3DTyjRJnqXBhuNCjY42NZU/h7NR8LVlV+x6WZ6uG/f+XWTt2/n4qdTDZFi/ggg0hHv4&#10;v11oBWmSPr3M4fYnfgG5/AMAAP//AwBQSwECLQAUAAYACAAAACEA2+H2y+4AAACFAQAAEwAAAAAA&#10;AAAAAAAAAAAAAAAAW0NvbnRlbnRfVHlwZXNdLnhtbFBLAQItABQABgAIAAAAIQBa9CxbvwAAABUB&#10;AAALAAAAAAAAAAAAAAAAAB8BAABfcmVscy8ucmVsc1BLAQItABQABgAIAAAAIQCCy7UnyAAAAN8A&#10;AAAPAAAAAAAAAAAAAAAAAAcCAABkcnMvZG93bnJldi54bWxQSwUGAAAAAAMAAwC3AAAA/AIAAAAA&#10;" filled="f" stroked="f">
                  <v:textbox inset="0,0,0,0">
                    <w:txbxContent>
                      <w:p w14:paraId="283351ED" w14:textId="77777777" w:rsidR="00B32EF2" w:rsidRDefault="00000000">
                        <w:r>
                          <w:rPr>
                            <w:rFonts w:ascii="Arial" w:eastAsia="Arial" w:hAnsi="Arial" w:cs="Arial"/>
                            <w:i/>
                            <w:sz w:val="18"/>
                          </w:rPr>
                          <w:t xml:space="preserve">articolo 7 D.lgs. n. </w:t>
                        </w:r>
                      </w:p>
                    </w:txbxContent>
                  </v:textbox>
                </v:rect>
                <v:rect id="Rectangle 202393" o:spid="_x0000_s6529" style="position:absolute;left:-1450;top:16911;width:185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1TxwAAAN8AAAAPAAAAZHJzL2Rvd25yZXYueG1sRI9Ba8JA&#10;FITvhf6H5RV6040RxEZXEUXMwUvVgsdH9pmkzb5dsqtJ/fVuQehxmJlvmPmyN424UetrywpGwwQE&#10;cWF1zaWC03E7mILwAVljY5kU/JKH5eL1ZY6Zth1/0u0QShEh7DNUUIXgMil9UZFBP7SOOHoX2xoM&#10;Ubal1C12EW4amSbJRBqsOS5U6GhdUfFzuBoF5w27fNvJ4nJfu/13Pm1219OXUu9v/WoGIlAf/sPP&#10;dq4VpEk6/hjD35/4BeTiAQAA//8DAFBLAQItABQABgAIAAAAIQDb4fbL7gAAAIUBAAATAAAAAAAA&#10;AAAAAAAAAAAAAABbQ29udGVudF9UeXBlc10ueG1sUEsBAi0AFAAGAAgAAAAhAFr0LFu/AAAAFQEA&#10;AAsAAAAAAAAAAAAAAAAAHwEAAF9yZWxzLy5yZWxzUEsBAi0AFAAGAAgAAAAhAA0iLVPHAAAA3wAA&#10;AA8AAAAAAAAAAAAAAAAABwIAAGRycy9kb3ducmV2LnhtbFBLBQYAAAAAAwADALcAAAD7AgAAAAA=&#10;" filled="f" stroked="f">
                  <v:textbox inset="0,0,0,0">
                    <w:txbxContent>
                      <w:p w14:paraId="085B10E3" w14:textId="77777777" w:rsidR="00B32EF2" w:rsidRDefault="00000000">
                        <w:r>
                          <w:rPr>
                            <w:rFonts w:ascii="Arial" w:eastAsia="Arial" w:hAnsi="Arial" w:cs="Arial"/>
                            <w:i/>
                            <w:sz w:val="18"/>
                          </w:rPr>
                          <w:t>545/92)</w:t>
                        </w:r>
                      </w:p>
                    </w:txbxContent>
                  </v:textbox>
                </v:rect>
                <v:rect id="Rectangle 202392" o:spid="_x0000_s6530" style="position:absolute;left:22111;top:16911;width:185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jIxwAAAN8AAAAPAAAAZHJzL2Rvd25yZXYueG1sRI9Ba8JA&#10;FITvBf/D8gRvdWMKxUZXEUWag5daBY+P7DOJZt8u2dVEf323UOhxmJlvmPmyN424U+trywom4wQE&#10;cWF1zaWCw/f2dQrCB2SNjWVS8CAPy8XgZY6Zth1/0X0fShEh7DNUUIXgMil9UZFBP7aOOHpn2xoM&#10;Ubal1C12EW4amSbJuzRYc1yo0NG6ouK6vxkFpw27fNvJ4vxcu90lnzaft8NRqdGwX81ABOrDf/iv&#10;nWsFaZK+faTw+yd+Abn4AQAA//8DAFBLAQItABQABgAIAAAAIQDb4fbL7gAAAIUBAAATAAAAAAAA&#10;AAAAAAAAAAAAAABbQ29udGVudF9UeXBlc10ueG1sUEsBAi0AFAAGAAgAAAAhAFr0LFu/AAAAFQEA&#10;AAsAAAAAAAAAAAAAAAAAHwEAAF9yZWxzLy5yZWxzUEsBAi0AFAAGAAgAAAAhAGJuiMjHAAAA3wAA&#10;AA8AAAAAAAAAAAAAAAAABwIAAGRycy9kb3ducmV2LnhtbFBLBQYAAAAAAwADALcAAAD7AgAAAAA=&#10;" filled="f" stroked="f">
                  <v:textbox inset="0,0,0,0">
                    <w:txbxContent>
                      <w:p w14:paraId="222A96AD" w14:textId="77777777" w:rsidR="00B32EF2" w:rsidRDefault="00000000">
                        <w:r>
                          <w:rPr>
                            <w:rFonts w:ascii="Arial" w:eastAsia="Arial" w:hAnsi="Arial" w:cs="Arial"/>
                            <w:i/>
                            <w:sz w:val="18"/>
                          </w:rPr>
                          <w:t>(</w:t>
                        </w:r>
                      </w:p>
                    </w:txbxContent>
                  </v:textbox>
                </v:rect>
                <v:rect id="Rectangle 22539" o:spid="_x0000_s6531" style="position:absolute;left:11605;top:15678;width:133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nT5xwAAAN4AAAAPAAAAZHJzL2Rvd25yZXYueG1sRI9Ba8JA&#10;FITvgv9heUJvummKJU1dRRRpDr1oLfT4yD6TtNm3S3Y1qb++KxQ8DjPzDbNYDaYVF+p8Y1nB4ywB&#10;QVxa3XCl4Pixm2YgfEDW2FomBb/kYbUcjxaYa9vzni6HUIkIYZ+jgjoEl0vpy5oM+pl1xNE72c5g&#10;iLKrpO6wj3DTyjRJnqXBhuNCjY42NZU/h7NR8LVlV+x6WZ6uG/f+XWTt2/n4qdTDZFi/ggg0hHv4&#10;v11oBWk6f3qB2514BeTyDwAA//8DAFBLAQItABQABgAIAAAAIQDb4fbL7gAAAIUBAAATAAAAAAAA&#10;AAAAAAAAAAAAAABbQ29udGVudF9UeXBlc10ueG1sUEsBAi0AFAAGAAgAAAAhAFr0LFu/AAAAFQEA&#10;AAsAAAAAAAAAAAAAAAAAHwEAAF9yZWxzLy5yZWxzUEsBAi0AFAAGAAgAAAAhAPQydPnHAAAA3gAA&#10;AA8AAAAAAAAAAAAAAAAABwIAAGRycy9kb3ducmV2LnhtbFBLBQYAAAAAAwADALcAAAD7AgAAAAA=&#10;" filled="f" stroked="f">
                  <v:textbox inset="0,0,0,0">
                    <w:txbxContent>
                      <w:p w14:paraId="65A13EB2" w14:textId="77777777" w:rsidR="00B32EF2" w:rsidRDefault="00000000">
                        <w:r>
                          <w:rPr>
                            <w:rFonts w:ascii="Arial" w:eastAsia="Arial" w:hAnsi="Arial" w:cs="Arial"/>
                            <w:b/>
                            <w:sz w:val="18"/>
                          </w:rPr>
                          <w:t xml:space="preserve">Requisiti generali </w:t>
                        </w:r>
                      </w:p>
                    </w:txbxContent>
                  </v:textbox>
                </v:rect>
                <v:rect id="Rectangle 202391" o:spid="_x0000_s6532" style="position:absolute;left:-12778;top:14445;width:5208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Ba/yAAAAN8AAAAPAAAAZHJzL2Rvd25yZXYueG1sRI9Pa8JA&#10;FMTvhX6H5Qm96cYURFNXEYs0By/1D/T4yD6TaPbtkl1N6qd3C0KPw8z8hpkve9OIG7W+tqxgPEpA&#10;EBdW11wqOOw3wykIH5A1NpZJwS95WC5eX+aYadvxN912oRQRwj5DBVUILpPSFxUZ9CPriKN3sq3B&#10;EGVbSt1iF+GmkWmSTKTBmuNChY7WFRWX3dUo+Plkl286WZzua7c959Pm63o4KvU26FcfIAL14T/8&#10;bOdaQZqk77Mx/P2JX0AuHgAAAP//AwBQSwECLQAUAAYACAAAACEA2+H2y+4AAACFAQAAEwAAAAAA&#10;AAAAAAAAAAAAAAAAW0NvbnRlbnRfVHlwZXNdLnhtbFBLAQItABQABgAIAAAAIQBa9CxbvwAAABUB&#10;AAALAAAAAAAAAAAAAAAAAB8BAABfcmVscy8ucmVsc1BLAQItABQABgAIAAAAIQCSvBa/yAAAAN8A&#10;AAAPAAAAAAAAAAAAAAAAAAcCAABkcnMvZG93bnJldi54bWxQSwUGAAAAAAMAAwC3AAAA/AIAAAAA&#10;" filled="f" stroked="f">
                  <v:textbox inset="0,0,0,0">
                    <w:txbxContent>
                      <w:p w14:paraId="73824BB3" w14:textId="77777777" w:rsidR="00B32EF2" w:rsidRDefault="00000000">
                        <w:r>
                          <w:rPr>
                            <w:rFonts w:ascii="Arial" w:eastAsia="Arial" w:hAnsi="Arial" w:cs="Arial"/>
                            <w:sz w:val="18"/>
                          </w:rPr>
                          <w:t>. I componenti delle corti di giustizia tributaria di primo e secondo grado deb</w:t>
                        </w:r>
                      </w:p>
                    </w:txbxContent>
                  </v:textbox>
                </v:rect>
                <v:rect id="Rectangle 202390" o:spid="_x0000_s6533" style="position:absolute;left:26358;top:14445;width:5208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LMkxwAAAN8AAAAPAAAAZHJzL2Rvd25yZXYueG1sRI/LasJA&#10;FIb3Bd9hOEJ3ddIUikYnUizSLLqpF3B5yJxcNHNmyIwm+vSdRaHLn//Gt1qPphM36n1rWcHrLAFB&#10;XFrdcq3gsN++zEH4gKyxs0wK7uRhnU+eVphpO/AP3XahFnGEfYYKmhBcJqUvGzLoZ9YRR6+yvcEQ&#10;ZV9L3eMQx00n0yR5lwZbjg8NOto0VF52V6Pg9Mmu2A6yrB4b930u5t3X9XBU6nk6fixBBBrDf/iv&#10;XWgFaZK+LSJB5IksIPNfAAAA//8DAFBLAQItABQABgAIAAAAIQDb4fbL7gAAAIUBAAATAAAAAAAA&#10;AAAAAAAAAAAAAABbQ29udGVudF9UeXBlc10ueG1sUEsBAi0AFAAGAAgAAAAhAFr0LFu/AAAAFQEA&#10;AAsAAAAAAAAAAAAAAAAAHwEAAF9yZWxzLy5yZWxzUEsBAi0AFAAGAAgAAAAhAP3wsyTHAAAA3wAA&#10;AA8AAAAAAAAAAAAAAAAABwIAAGRycy9kb3ducmV2LnhtbFBLBQYAAAAAAwADALcAAAD7AgAAAAA=&#10;" filled="f" stroked="f">
                  <v:textbox inset="0,0,0,0">
                    <w:txbxContent>
                      <w:p w14:paraId="365AD7E9" w14:textId="77777777" w:rsidR="00B32EF2" w:rsidRDefault="00000000">
                        <w:r>
                          <w:rPr>
                            <w:rFonts w:ascii="Arial" w:eastAsia="Arial" w:hAnsi="Arial" w:cs="Arial"/>
                            <w:sz w:val="18"/>
                          </w:rPr>
                          <w:t>1</w:t>
                        </w:r>
                      </w:p>
                    </w:txbxContent>
                  </v:textbox>
                </v:rect>
                <v:rect id="Rectangle 22541" o:spid="_x0000_s6534" style="position:absolute;left:192;top:14445;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uCxwAAAN4AAAAPAAAAZHJzL2Rvd25yZXYueG1sRI9Pa8JA&#10;FMTvgt9heYI33RhqkdRVRJHm0Ev9Az0+ss8kbfbtkl1N7Kd3CwWPw8z8hlmue9OIG7W+tqxgNk1A&#10;EBdW11wqOB33kwUIH5A1NpZJwZ08rFfDwRIzbTv+pNshlCJC2GeooArBZVL6oiKDfmodcfQutjUY&#10;omxLqVvsItw0Mk2SV2mw5rhQoaNtRcXP4WoUfO3Y5ftOFpffrfv4zhfN+/V0Vmo86jdvIAL14Rn+&#10;b+daQZrOX2bwdydeAbl6AAAA//8DAFBLAQItABQABgAIAAAAIQDb4fbL7gAAAIUBAAATAAAAAAAA&#10;AAAAAAAAAAAAAABbQ29udGVudF9UeXBlc10ueG1sUEsBAi0AFAAGAAgAAAAhAFr0LFu/AAAAFQEA&#10;AAsAAAAAAAAAAAAAAAAAHwEAAF9yZWxzLy5yZWxzUEsBAi0AFAAGAAgAAAAhAFJCC4LHAAAA3gAA&#10;AA8AAAAAAAAAAAAAAAAABwIAAGRycy9kb3ducmV2LnhtbFBLBQYAAAAAAwADALcAAAD7AgAAAAA=&#10;" filled="f" stroked="f">
                  <v:textbox inset="0,0,0,0">
                    <w:txbxContent>
                      <w:p w14:paraId="37C51F0F" w14:textId="77777777" w:rsidR="00B32EF2" w:rsidRDefault="00000000">
                        <w:r>
                          <w:rPr>
                            <w:rFonts w:ascii="Arial" w:eastAsia="Arial" w:hAnsi="Arial" w:cs="Arial"/>
                            <w:sz w:val="18"/>
                          </w:rPr>
                          <w:t>-</w:t>
                        </w:r>
                      </w:p>
                    </w:txbxContent>
                  </v:textbox>
                </v:rect>
                <v:rect id="Rectangle 22542" o:spid="_x0000_s6535" style="position:absolute;left:36109;top:13211;width:37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JX1xgAAAN4AAAAPAAAAZHJzL2Rvd25yZXYueG1sRI9Ba8JA&#10;FITvBf/D8gRvdWNoi0RXEUWag5daBY+P7DOJZt8u2dVEf323UOhxmJlvmPmyN424U+trywom4wQE&#10;cWF1zaWCw/f2dQrCB2SNjWVS8CAPy8XgZY6Zth1/0X0fShEh7DNUUIXgMil9UZFBP7aOOHpn2xoM&#10;Ubal1C12EW4amSbJhzRYc1yo0NG6ouK6vxkFpw27fNvJ4vxcu90lnzaft8NRqdGwX81ABOrDf/iv&#10;nWsFafr+lsLvnXgF5OIHAAD//wMAUEsBAi0AFAAGAAgAAAAhANvh9svuAAAAhQEAABMAAAAAAAAA&#10;AAAAAAAAAAAAAFtDb250ZW50X1R5cGVzXS54bWxQSwECLQAUAAYACAAAACEAWvQsW78AAAAVAQAA&#10;CwAAAAAAAAAAAAAAAAAfAQAAX3JlbHMvLnJlbHNQSwECLQAUAAYACAAAACEAopCV9cYAAADeAAAA&#10;DwAAAAAAAAAAAAAAAAAHAgAAZHJzL2Rvd25yZXYueG1sUEsFBgAAAAADAAMAtwAAAPoCAAAAAA==&#10;" filled="f" stroked="f">
                  <v:textbox inset="0,0,0,0">
                    <w:txbxContent>
                      <w:p w14:paraId="1E4BC791" w14:textId="77777777" w:rsidR="00B32EF2" w:rsidRDefault="00000000">
                        <w:r>
                          <w:rPr>
                            <w:rFonts w:ascii="Arial" w:eastAsia="Arial" w:hAnsi="Arial" w:cs="Arial"/>
                            <w:sz w:val="18"/>
                          </w:rPr>
                          <w:t>bono:</w:t>
                        </w:r>
                      </w:p>
                    </w:txbxContent>
                  </v:textbox>
                </v:rect>
                <v:rect id="Rectangle 22543" o:spid="_x0000_s6536" style="position:absolute;left:22256;top:11978;width:176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DBuxwAAAN4AAAAPAAAAZHJzL2Rvd25yZXYueG1sRI9Ba8JA&#10;FITvgv9heUJvumlqi6SuIoo0h160KfT4yD6TtNm3S3Y1qb++KxQ8DjPzDbNcD6YVF+p8Y1nB4ywB&#10;QVxa3XCloPjYTxcgfEDW2FomBb/kYb0aj5aYadvzgS7HUIkIYZ+hgjoEl0npy5oM+pl1xNE72c5g&#10;iLKrpO6wj3DTyjRJXqTBhuNCjY62NZU/x7NR8LVjl+97WZ6uW/f+nS/at3PxqdTDZNi8ggg0hHv4&#10;v51rBWn6PH+C2514BeTqDwAA//8DAFBLAQItABQABgAIAAAAIQDb4fbL7gAAAIUBAAATAAAAAAAA&#10;AAAAAAAAAAAAAABbQ29udGVudF9UeXBlc10ueG1sUEsBAi0AFAAGAAgAAAAhAFr0LFu/AAAAFQEA&#10;AAsAAAAAAAAAAAAAAAAAHwEAAF9yZWxzLy5yZWxzUEsBAi0AFAAGAAgAAAAhAM3cMG7HAAAA3gAA&#10;AA8AAAAAAAAAAAAAAAAABwIAAGRycy9kb3ducmV2LnhtbFBLBQYAAAAAAwADALcAAAD7AgAAAAA=&#10;" filled="f" stroked="f">
                  <v:textbox inset="0,0,0,0">
                    <w:txbxContent>
                      <w:p w14:paraId="4BCDCB3D" w14:textId="77777777" w:rsidR="00B32EF2" w:rsidRDefault="00000000">
                        <w:r>
                          <w:rPr>
                            <w:rFonts w:ascii="Arial" w:eastAsia="Arial" w:hAnsi="Arial" w:cs="Arial"/>
                            <w:sz w:val="18"/>
                          </w:rPr>
                          <w:t xml:space="preserve">a) essere cittadini italiani; </w:t>
                        </w:r>
                      </w:p>
                    </w:txbxContent>
                  </v:textbox>
                </v:rect>
                <v:rect id="Rectangle 22544" o:spid="_x0000_s6537" style="position:absolute;left:11301;top:10745;width:286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agaxwAAAN4AAAAPAAAAZHJzL2Rvd25yZXYueG1sRI9Pa8JA&#10;FMTvBb/D8oTe6qZBi0RXKRZpDl78Bx4f2WeSNvt2ya4m9dO7QsHjMDO/YebL3jTiSq2vLSt4HyUg&#10;iAuray4VHPbrtykIH5A1NpZJwR95WC4GL3PMtO14S9ddKEWEsM9QQRWCy6T0RUUG/cg64uidbWsw&#10;RNmWUrfYRbhpZJokH9JgzXGhQkeriorf3cUoOH2xy9edLM63ldv85NPm+3I4KvU67D9nIAL14Rn+&#10;b+daQZpOxmN43IlXQC7uAAAA//8DAFBLAQItABQABgAIAAAAIQDb4fbL7gAAAIUBAAATAAAAAAAA&#10;AAAAAAAAAAAAAABbQ29udGVudF9UeXBlc10ueG1sUEsBAi0AFAAGAAgAAAAhAFr0LFu/AAAAFQEA&#10;AAsAAAAAAAAAAAAAAAAAHwEAAF9yZWxzLy5yZWxzUEsBAi0AFAAGAAgAAAAhAEI1qBrHAAAA3gAA&#10;AA8AAAAAAAAAAAAAAAAABwIAAGRycy9kb3ducmV2LnhtbFBLBQYAAAAAAwADALcAAAD7AgAAAAA=&#10;" filled="f" stroked="f">
                  <v:textbox inset="0,0,0,0">
                    <w:txbxContent>
                      <w:p w14:paraId="1EEC5245" w14:textId="77777777" w:rsidR="00B32EF2" w:rsidRDefault="00000000">
                        <w:r>
                          <w:rPr>
                            <w:rFonts w:ascii="Arial" w:eastAsia="Arial" w:hAnsi="Arial" w:cs="Arial"/>
                            <w:sz w:val="18"/>
                          </w:rPr>
                          <w:t>b) avere l’esercizio dei diritti civili e politici;</w:t>
                        </w:r>
                      </w:p>
                    </w:txbxContent>
                  </v:textbox>
                </v:rect>
                <v:rect id="Rectangle 22545" o:spid="_x0000_s6538" style="position:absolute;left:-12206;top:9511;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Q2BxwAAAN4AAAAPAAAAZHJzL2Rvd25yZXYueG1sRI9Pa8JA&#10;FMTvgt9heYI33TRokegqxSLNoRf/gcdH9pmkzb5dsqtJ++m7QsHjMDO/YVab3jTiTq2vLSt4mSYg&#10;iAuray4VnI67yQKED8gaG8uk4Ic8bNbDwQozbTve0/0QShEh7DNUUIXgMil9UZFBP7WOOHpX2xoM&#10;Ubal1C12EW4amSbJqzRYc1yo0NG2ouL7cDMKLu/s8l0ni+vv1n1+5Yvm43Y6KzUe9W9LEIH68Az/&#10;t3OtIE3nszk87sQrINd/AAAA//8DAFBLAQItABQABgAIAAAAIQDb4fbL7gAAAIUBAAATAAAAAAAA&#10;AAAAAAAAAAAAAABbQ29udGVudF9UeXBlc10ueG1sUEsBAi0AFAAGAAgAAAAhAFr0LFu/AAAAFQEA&#10;AAsAAAAAAAAAAAAAAAAAHwEAAF9yZWxzLy5yZWxzUEsBAi0AFAAGAAgAAAAhAC15DYHHAAAA3gAA&#10;AA8AAAAAAAAAAAAAAAAABwIAAGRycy9kb3ducmV2LnhtbFBLBQYAAAAAAwADALcAAAD7AgAAAAA=&#10;" filled="f" stroked="f">
                  <v:textbox inset="0,0,0,0">
                    <w:txbxContent>
                      <w:p w14:paraId="4C1B49C8" w14:textId="77777777" w:rsidR="00B32EF2" w:rsidRDefault="00000000">
                        <w:r>
                          <w:rPr>
                            <w:rFonts w:ascii="Arial" w:eastAsia="Arial" w:hAnsi="Arial" w:cs="Arial"/>
                            <w:sz w:val="18"/>
                          </w:rPr>
                          <w:t>c) non aver riportato condanne per delitti comuni non colposi o per contravven</w:t>
                        </w:r>
                      </w:p>
                    </w:txbxContent>
                  </v:textbox>
                </v:rect>
                <v:rect id="Rectangle 22546" o:spid="_x0000_s6539" style="position:absolute;left:192;top:951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5P2xwAAAN4AAAAPAAAAZHJzL2Rvd25yZXYueG1sRI9Pa8JA&#10;FMTvgt9heYI33TRYkegqxSLNoZf6Bzw+ss8kbfbtkl1N2k/fFQSPw8z8hlltetOIG7W+tqzgZZqA&#10;IC6srrlUcDzsJgsQPiBrbCyTgl/ysFkPByvMtO34i277UIoIYZ+hgioEl0npi4oM+ql1xNG72NZg&#10;iLItpW6xi3DTyDRJ5tJgzXGhQkfbioqf/dUoOL+zy3edLC5/W/f5nS+aj+vxpNR41L8tQQTqwzP8&#10;aOdaQZq+zuZwvxOvgFz/AwAA//8DAFBLAQItABQABgAIAAAAIQDb4fbL7gAAAIUBAAATAAAAAAAA&#10;AAAAAAAAAAAAAABbQ29udGVudF9UeXBlc10ueG1sUEsBAi0AFAAGAAgAAAAhAFr0LFu/AAAAFQEA&#10;AAsAAAAAAAAAAAAAAAAAHwEAAF9yZWxzLy5yZWxzUEsBAi0AFAAGAAgAAAAhAN2rk/bHAAAA3gAA&#10;AA8AAAAAAAAAAAAAAAAABwIAAGRycy9kb3ducmV2LnhtbFBLBQYAAAAAAwADALcAAAD7AgAAAAA=&#10;" filled="f" stroked="f">
                  <v:textbox inset="0,0,0,0">
                    <w:txbxContent>
                      <w:p w14:paraId="3042CACC" w14:textId="77777777" w:rsidR="00B32EF2" w:rsidRDefault="00000000">
                        <w:r>
                          <w:rPr>
                            <w:rFonts w:ascii="Arial" w:eastAsia="Arial" w:hAnsi="Arial" w:cs="Arial"/>
                            <w:sz w:val="18"/>
                          </w:rPr>
                          <w:t>-</w:t>
                        </w:r>
                      </w:p>
                    </w:txbxContent>
                  </v:textbox>
                </v:rect>
                <v:rect id="Rectangle 22547" o:spid="_x0000_s6540" style="position:absolute;left:-13171;top:82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zZtxwAAAN4AAAAPAAAAZHJzL2Rvd25yZXYueG1sRI9Ba8JA&#10;FITvgv9heUJvummoraSuIoo0h160KfT4yD6TtNm3S3Y1qb++KxQ8DjPzDbNcD6YVF+p8Y1nB4ywB&#10;QVxa3XCloPjYTxcgfEDW2FomBb/kYb0aj5aYadvzgS7HUIkIYZ+hgjoEl0npy5oM+pl1xNE72c5g&#10;iLKrpO6wj3DTyjRJnqXBhuNCjY62NZU/x7NR8LVjl+97WZ6uW/f+nS/at3PxqdTDZNi8ggg0hHv4&#10;v51rBWk6f3qB2514BeTqDwAA//8DAFBLAQItABQABgAIAAAAIQDb4fbL7gAAAIUBAAATAAAAAAAA&#10;AAAAAAAAAAAAAABbQ29udGVudF9UeXBlc10ueG1sUEsBAi0AFAAGAAgAAAAhAFr0LFu/AAAAFQEA&#10;AAsAAAAAAAAAAAAAAAAAHwEAAF9yZWxzLy5yZWxzUEsBAi0AFAAGAAgAAAAhALLnNm3HAAAA3gAA&#10;AA8AAAAAAAAAAAAAAAAABwIAAGRycy9kb3ducmV2LnhtbFBLBQYAAAAAAwADALcAAAD7AgAAAAA=&#10;" filled="f" stroked="f">
                  <v:textbox inset="0,0,0,0">
                    <w:txbxContent>
                      <w:p w14:paraId="511BE69C" w14:textId="77777777" w:rsidR="00B32EF2" w:rsidRDefault="00000000">
                        <w:r>
                          <w:rPr>
                            <w:rFonts w:ascii="Arial" w:eastAsia="Arial" w:hAnsi="Arial" w:cs="Arial"/>
                            <w:sz w:val="18"/>
                          </w:rPr>
                          <w:t xml:space="preserve">zioni a pena detentiva o per reati tributari e non essere stati sottoposti a misure </w:t>
                        </w:r>
                      </w:p>
                    </w:txbxContent>
                  </v:textbox>
                </v:rect>
                <v:rect id="Rectangle 22548" o:spid="_x0000_s6541" style="position:absolute;left:19718;top:7045;width:202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IfxAAAAN4AAAAPAAAAZHJzL2Rvd25yZXYueG1sRE/LisIw&#10;FN0P+A/hCu7G1DIzSDWKKDJduBkf4PLSXNtqcxOaaKtfP1kMzPJw3vNlbxrxoNbXlhVMxgkI4sLq&#10;mksFx8P2fQrCB2SNjWVS8CQPy8XgbY6Zth3/0GMfShFD2GeooArBZVL6oiKDfmwdceQutjUYImxL&#10;qVvsYrhpZJokX9JgzbGhQkfriorb/m4UnDfs8m0ni8tr7XbXfNp8348npUbDfjUDEagP/+I/d64V&#10;pOnnR9wb78QrIBe/AAAA//8DAFBLAQItABQABgAIAAAAIQDb4fbL7gAAAIUBAAATAAAAAAAAAAAA&#10;AAAAAAAAAABbQ29udGVudF9UeXBlc10ueG1sUEsBAi0AFAAGAAgAAAAhAFr0LFu/AAAAFQEAAAsA&#10;AAAAAAAAAAAAAAAAHwEAAF9yZWxzLy5yZWxzUEsBAi0AFAAGAAgAAAAhAMN4oh/EAAAA3gAAAA8A&#10;AAAAAAAAAAAAAAAABwIAAGRycy9kb3ducmV2LnhtbFBLBQYAAAAAAwADALcAAAD4AgAAAAA=&#10;" filled="f" stroked="f">
                  <v:textbox inset="0,0,0,0">
                    <w:txbxContent>
                      <w:p w14:paraId="3AF9CB7C" w14:textId="77777777" w:rsidR="00B32EF2" w:rsidRDefault="00000000">
                        <w:r>
                          <w:rPr>
                            <w:rFonts w:ascii="Arial" w:eastAsia="Arial" w:hAnsi="Arial" w:cs="Arial"/>
                            <w:sz w:val="18"/>
                          </w:rPr>
                          <w:t>di prevenzione o di sicurezza;</w:t>
                        </w:r>
                      </w:p>
                    </w:txbxContent>
                  </v:textbox>
                </v:rect>
                <v:rect id="Rectangle 22549" o:spid="_x0000_s6542" style="position:absolute;left:-13172;top:581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eExwAAAN4AAAAPAAAAZHJzL2Rvd25yZXYueG1sRI9Ba8JA&#10;FITvgv9heUJvummoJU1dRRRpDr1oLfT4yD6TtNm3S3Y1qb++KxQ8DjPzDbNYDaYVF+p8Y1nB4ywB&#10;QVxa3XCl4Pixm2YgfEDW2FomBb/kYbUcjxaYa9vzni6HUIkIYZ+jgjoEl0vpy5oM+pl1xNE72c5g&#10;iLKrpO6wj3DTyjRJnqXBhuNCjY42NZU/h7NR8LVlV+x6WZ6uG/f+XWTt2/n4qdTDZFi/ggg0hHv4&#10;v11oBWk6f3qB2514BeTyDwAA//8DAFBLAQItABQABgAIAAAAIQDb4fbL7gAAAIUBAAATAAAAAAAA&#10;AAAAAAAAAAAAAABbQ29udGVudF9UeXBlc10ueG1sUEsBAi0AFAAGAAgAAAAhAFr0LFu/AAAAFQEA&#10;AAsAAAAAAAAAAAAAAAAAHwEAAF9yZWxzLy5yZWxzUEsBAi0AFAAGAAgAAAAhAKw0B4THAAAA3gAA&#10;AA8AAAAAAAAAAAAAAAAABwIAAGRycy9kb3ducmV2LnhtbFBLBQYAAAAAAwADALcAAAD7AgAAAAA=&#10;" filled="f" stroked="f">
                  <v:textbox inset="0,0,0,0">
                    <w:txbxContent>
                      <w:p w14:paraId="4D40B6E5" w14:textId="77777777" w:rsidR="00B32EF2" w:rsidRDefault="00000000">
                        <w:r>
                          <w:rPr>
                            <w:rFonts w:ascii="Arial" w:eastAsia="Arial" w:hAnsi="Arial" w:cs="Arial"/>
                            <w:sz w:val="18"/>
                          </w:rPr>
                          <w:t xml:space="preserve">d) non avere superato, alla data di scadenza del termine stabilito nel bando di </w:t>
                        </w:r>
                      </w:p>
                    </w:txbxContent>
                  </v:textbox>
                </v:rect>
                <v:rect id="Rectangle 22550" o:spid="_x0000_s6543" style="position:absolute;left:-13172;top:457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zjExAAAAN4AAAAPAAAAZHJzL2Rvd25yZXYueG1sRI/NisIw&#10;FIX3A75DuIK7MbXgINUooohduBlHweWlubbV5iY00VaffrIYmOXh/PEtVr1pxJNaX1tWMBknIIgL&#10;q2suFZx+dp8zED4ga2wsk4IXeVgtBx8LzLTt+Juex1CKOMI+QwVVCC6T0hcVGfRj64ijd7WtwRBl&#10;W0rdYhfHTSPTJPmSBmuODxU62lRU3I8Po+CyZZfvOllc3xt3uOWzZv84nZUaDfv1HESgPvyH/9q5&#10;VpCm02kEiDgRBeTyFwAA//8DAFBLAQItABQABgAIAAAAIQDb4fbL7gAAAIUBAAATAAAAAAAAAAAA&#10;AAAAAAAAAABbQ29udGVudF9UeXBlc10ueG1sUEsBAi0AFAAGAAgAAAAhAFr0LFu/AAAAFQEAAAsA&#10;AAAAAAAAAAAAAAAAHwEAAF9yZWxzLy5yZWxzUEsBAi0AFAAGAAgAAAAhALjXOMTEAAAA3gAAAA8A&#10;AAAAAAAAAAAAAAAABwIAAGRycy9kb3ducmV2LnhtbFBLBQYAAAAAAwADALcAAAD4AgAAAAA=&#10;" filled="f" stroked="f">
                  <v:textbox inset="0,0,0,0">
                    <w:txbxContent>
                      <w:p w14:paraId="363DACDE" w14:textId="77777777" w:rsidR="00B32EF2" w:rsidRDefault="00000000">
                        <w:r>
                          <w:rPr>
                            <w:rFonts w:ascii="Arial" w:eastAsia="Arial" w:hAnsi="Arial" w:cs="Arial"/>
                            <w:sz w:val="18"/>
                          </w:rPr>
                          <w:t xml:space="preserve">concorso per la presentazione della domanda di ammissione, sessantasette </w:t>
                        </w:r>
                      </w:p>
                    </w:txbxContent>
                  </v:textbox>
                </v:rect>
                <v:rect id="Rectangle 22551" o:spid="_x0000_s6544" style="position:absolute;left:32028;top:3345;width:78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51fxgAAAN4AAAAPAAAAZHJzL2Rvd25yZXYueG1sRI9Ba8JA&#10;FITvgv9heYXedGNAkegqRZHm4EWr4PGRfSZps2+X7Gpif31XEHocZuYbZrnuTSPu1PrasoLJOAFB&#10;XFhdc6ng9LUbzUH4gKyxsUwKHuRhvRoOlphp2/GB7sdQighhn6GCKgSXSemLigz6sXXE0bva1mCI&#10;si2lbrGLcNPINElm0mDNcaFCR5uKip/jzSi4bNnlu04W19+N23/n8+bzdjor9f7WfyxABOrDf/jV&#10;zrWCNJ1OJ/C8E6+AXP0BAAD//wMAUEsBAi0AFAAGAAgAAAAhANvh9svuAAAAhQEAABMAAAAAAAAA&#10;AAAAAAAAAAAAAFtDb250ZW50X1R5cGVzXS54bWxQSwECLQAUAAYACAAAACEAWvQsW78AAAAVAQAA&#10;CwAAAAAAAAAAAAAAAAAfAQAAX3JlbHMvLnJlbHNQSwECLQAUAAYACAAAACEA15udX8YAAADeAAAA&#10;DwAAAAAAAAAAAAAAAAAHAgAAZHJzL2Rvd25yZXYueG1sUEsFBgAAAAADAAMAtwAAAPoCAAAAAA==&#10;" filled="f" stroked="f">
                  <v:textbox inset="0,0,0,0">
                    <w:txbxContent>
                      <w:p w14:paraId="468B75C5" w14:textId="77777777" w:rsidR="00B32EF2" w:rsidRDefault="00000000">
                        <w:r>
                          <w:rPr>
                            <w:rFonts w:ascii="Arial" w:eastAsia="Arial" w:hAnsi="Arial" w:cs="Arial"/>
                            <w:sz w:val="18"/>
                          </w:rPr>
                          <w:t xml:space="preserve">anni di età; </w:t>
                        </w:r>
                      </w:p>
                    </w:txbxContent>
                  </v:textbox>
                </v:rect>
                <v:rect id="Rectangle 22552" o:spid="_x0000_s6545" style="position:absolute;left:16920;top:2112;width:2299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QMoxgAAAN4AAAAPAAAAZHJzL2Rvd25yZXYueG1sRI9Ba8JA&#10;FITvBf/D8gre6qYBi6SuIoqYg5faCB4f2WeSmn27ZFcT/fVuodDjMDPfMPPlYFpxo843lhW8TxIQ&#10;xKXVDVcKiu/t2wyED8gaW8uk4E4elovRyxwzbXv+otshVCJC2GeooA7BZVL6siaDfmIdcfTOtjMY&#10;ouwqqTvsI9y0Mk2SD2mw4bhQo6N1TeXlcDUKTht2+baX5fmxdvuffNbursVRqfHrsPoEEWgI/+G/&#10;dq4VpOl0msLvnXgF5OIJAAD//wMAUEsBAi0AFAAGAAgAAAAhANvh9svuAAAAhQEAABMAAAAAAAAA&#10;AAAAAAAAAAAAAFtDb250ZW50X1R5cGVzXS54bWxQSwECLQAUAAYACAAAACEAWvQsW78AAAAVAQAA&#10;CwAAAAAAAAAAAAAAAAAfAQAAX3JlbHMvLnJlbHNQSwECLQAUAAYACAAAACEAJ0kDKMYAAADeAAAA&#10;DwAAAAAAAAAAAAAAAAAHAgAAZHJzL2Rvd25yZXYueG1sUEsFBgAAAAADAAMAtwAAAPoCAAAAAA==&#10;" filled="f" stroked="f">
                  <v:textbox inset="0,0,0,0">
                    <w:txbxContent>
                      <w:p w14:paraId="68F63661" w14:textId="77777777" w:rsidR="00B32EF2" w:rsidRDefault="00000000">
                        <w:r>
                          <w:rPr>
                            <w:rFonts w:ascii="Arial" w:eastAsia="Arial" w:hAnsi="Arial" w:cs="Arial"/>
                            <w:sz w:val="18"/>
                          </w:rPr>
                          <w:t>e) avere idoneità fisica e psichica;</w:t>
                        </w:r>
                      </w:p>
                    </w:txbxContent>
                  </v:textbox>
                </v:rect>
                <v:rect id="Rectangle 22553" o:spid="_x0000_s6546" style="position:absolute;left:-13171;top:8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azxwAAAN4AAAAPAAAAZHJzL2Rvd25yZXYueG1sRI9Pa8JA&#10;FMTvgt9heYI33TRikegqxSLNoRf/gcdH9pmkzb5dsqtJ++m7QsHjMDO/YVab3jTiTq2vLSt4mSYg&#10;iAuray4VnI67yQKED8gaG8uk4Ic8bNbDwQozbTve0/0QShEh7DNUUIXgMil9UZFBP7WOOHpX2xoM&#10;Ubal1C12EW4amSbJqzRYc1yo0NG2ouL7cDMKLu/s8l0ni+vv1n1+5Yvm43Y6KzUe9W9LEIH68Az/&#10;t3OtIE3n8xk87sQrINd/AAAA//8DAFBLAQItABQABgAIAAAAIQDb4fbL7gAAAIUBAAATAAAAAAAA&#10;AAAAAAAAAAAAAABbQ29udGVudF9UeXBlc10ueG1sUEsBAi0AFAAGAAgAAAAhAFr0LFu/AAAAFQEA&#10;AAsAAAAAAAAAAAAAAAAAHwEAAF9yZWxzLy5yZWxzUEsBAi0AFAAGAAgAAAAhAEgFprPHAAAA3gAA&#10;AA8AAAAAAAAAAAAAAAAABwIAAGRycy9kb3ducmV2LnhtbFBLBQYAAAAAAwADALcAAAD7AgAAAAA=&#10;" filled="f" stroked="f">
                  <v:textbox inset="0,0,0,0">
                    <w:txbxContent>
                      <w:p w14:paraId="028EF824" w14:textId="77777777" w:rsidR="00B32EF2" w:rsidRDefault="00000000">
                        <w:r>
                          <w:rPr>
                            <w:rFonts w:ascii="Arial" w:eastAsia="Arial" w:hAnsi="Arial" w:cs="Arial"/>
                            <w:sz w:val="18"/>
                          </w:rPr>
                          <w:t xml:space="preserve">f) essere muniti di laurea magistrale o quadriennale in materie giuridiche o </w:t>
                        </w:r>
                      </w:p>
                    </w:txbxContent>
                  </v:textbox>
                </v:rect>
                <v:rect id="Rectangle 22554" o:spid="_x0000_s6547" style="position:absolute;left:21271;top:-354;width:1865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D7HxwAAAN4AAAAPAAAAZHJzL2Rvd25yZXYueG1sRI9Pa8JA&#10;FMTvgt9heYI33TRokegqxSLNoRf/gcdH9pmkzb5dsqtJ++m7QsHjMDO/YVab3jTiTq2vLSt4mSYg&#10;iAuray4VnI67yQKED8gaG8uk4Ic8bNbDwQozbTve0/0QShEh7DNUUIXgMil9UZFBP7WOOHpX2xoM&#10;Ubal1C12EW4amSbJqzRYc1yo0NG2ouL7cDMKLu/s8l0ni+vv1n1+5Yvm43Y6KzUe9W9LEIH68Az/&#10;t3OtIE3n8xk87sQrINd/AAAA//8DAFBLAQItABQABgAIAAAAIQDb4fbL7gAAAIUBAAATAAAAAAAA&#10;AAAAAAAAAAAAAABbQ29udGVudF9UeXBlc10ueG1sUEsBAi0AFAAGAAgAAAAhAFr0LFu/AAAAFQEA&#10;AAsAAAAAAAAAAAAAAAAAHwEAAF9yZWxzLy5yZWxzUEsBAi0AFAAGAAgAAAAhAMfsPsfHAAAA3gAA&#10;AA8AAAAAAAAAAAAAAAAABwIAAGRycy9kb3ducmV2LnhtbFBLBQYAAAAAAwADALcAAAD7AgAAAAA=&#10;" filled="f" stroked="f">
                  <v:textbox inset="0,0,0,0">
                    <w:txbxContent>
                      <w:p w14:paraId="39583558" w14:textId="77777777" w:rsidR="00B32EF2" w:rsidRDefault="00000000">
                        <w:r>
                          <w:rPr>
                            <w:rFonts w:ascii="Arial" w:eastAsia="Arial" w:hAnsi="Arial" w:cs="Arial"/>
                            <w:sz w:val="18"/>
                          </w:rPr>
                          <w:t>economico-aziendalistiche.</w:t>
                        </w:r>
                      </w:p>
                    </w:txbxContent>
                  </v:textbox>
                </v:rect>
                <w10:anchorlock/>
              </v:group>
            </w:pict>
          </mc:Fallback>
        </mc:AlternateContent>
      </w:r>
    </w:p>
    <w:p w14:paraId="0792CA77" w14:textId="77777777" w:rsidR="00B32EF2" w:rsidRDefault="00000000">
      <w:pPr>
        <w:spacing w:after="453"/>
        <w:ind w:left="-1440" w:right="7064"/>
      </w:pPr>
      <w:r>
        <w:rPr>
          <w:noProof/>
        </w:rPr>
        <mc:AlternateContent>
          <mc:Choice Requires="wpg">
            <w:drawing>
              <wp:anchor distT="0" distB="0" distL="114300" distR="114300" simplePos="0" relativeHeight="251676672" behindDoc="0" locked="0" layoutInCell="1" allowOverlap="1" wp14:anchorId="7A85A165" wp14:editId="738DA609">
                <wp:simplePos x="0" y="0"/>
                <wp:positionH relativeFrom="page">
                  <wp:posOffset>2632944</wp:posOffset>
                </wp:positionH>
                <wp:positionV relativeFrom="page">
                  <wp:posOffset>397149</wp:posOffset>
                </wp:positionV>
                <wp:extent cx="134112" cy="188456"/>
                <wp:effectExtent l="0" t="0" r="0" b="0"/>
                <wp:wrapTopAndBottom/>
                <wp:docPr id="202380" name="Group 202380"/>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22629" name="Rectangle 22629"/>
                        <wps:cNvSpPr/>
                        <wps:spPr>
                          <a:xfrm rot="-10799999">
                            <a:off x="-44256" y="-62190"/>
                            <a:ext cx="178369" cy="250646"/>
                          </a:xfrm>
                          <a:prstGeom prst="rect">
                            <a:avLst/>
                          </a:prstGeom>
                          <a:ln>
                            <a:noFill/>
                          </a:ln>
                        </wps:spPr>
                        <wps:txbx>
                          <w:txbxContent>
                            <w:p w14:paraId="019BD5E7" w14:textId="77777777" w:rsidR="00B32EF2" w:rsidRDefault="00000000">
                              <w:r>
                                <w:rPr>
                                  <w:rFonts w:ascii="Times New Roman" w:eastAsia="Times New Roman" w:hAnsi="Times New Roman" w:cs="Times New Roman"/>
                                </w:rPr>
                                <w:t>22</w:t>
                              </w:r>
                            </w:p>
                          </w:txbxContent>
                        </wps:txbx>
                        <wps:bodyPr horzOverflow="overflow" vert="horz" lIns="0" tIns="0" rIns="0" bIns="0" rtlCol="0">
                          <a:noAutofit/>
                        </wps:bodyPr>
                      </wps:wsp>
                    </wpg:wgp>
                  </a:graphicData>
                </a:graphic>
              </wp:anchor>
            </w:drawing>
          </mc:Choice>
          <mc:Fallback>
            <w:pict>
              <v:group w14:anchorId="7A85A165" id="Group 202380" o:spid="_x0000_s6548" style="position:absolute;left:0;text-align:left;margin-left:207.3pt;margin-top:31.25pt;width:10.55pt;height:14.85pt;z-index:251676672;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fFjHAIAAIEEAAAOAAAAZHJzL2Uyb0RvYy54bWyklN1umzAUx+8n7R0s3yd8lNAEhVTTukaT&#10;prVqtwdwjA1IxrZsJ5A9/Y4dIFsr7aLjwhx/cM7//HwO27uhE+jEjG2VLHGyjDFikqqqlXWJf/54&#10;WKwxso7IigglWYnPzOK73ccP214XLFWNEhUzCJxIW/S6xI1zuogiSxvWEbtUmknY5Mp0xMHU1FFl&#10;SA/eOxGlcZxHvTKVNooya2H1/rKJd8E/54y6R84tc0iUGLS5MJowHvwY7bakqA3RTUtHGeQdKjrS&#10;Sgg6u7onjqCjad+46lpqlFXcLanqIsV5S1nIAbJJ4lfZ7I066pBLXfS1njEB2lec3u2Wfj/tjX7R&#10;TwZI9LoGFmHmcxm46fwbVKIhIDvPyNjgEIXF5CZLkhQjClvJep2t8gtS2gD3N1/R5ss/v4umoNFf&#10;UnoNxWGv+dv/y/+lIZoFrLaA/J8MaqsSp2mebjCSpIMyfYbCIbIWDF2WA5xwekZlCwvUJk7IKKit&#10;RRLfbvwTamHktsiyFLAgILTI02QzFt1M8HZ9k0NgTzBdxXkWCM4kSKGNdXumOuSNEhuQFtyT0zfr&#10;QBgcnY54NUL6UaqHVojLrl8BoJNgb7nhMISsV+km8zfmFw+qOgOMRplfj9DSXKi+xGq0sO9yCO93&#10;MRJfJVyCb6jJMJNxmAzjxGcV2u4i6NPRKd4GxddoozK43WCFOg8pjT3pG+nPeTh1/XPsfgMAAP//&#10;AwBQSwMEFAAGAAgAAAAhAPfgYzDgAAAACQEAAA8AAABkcnMvZG93bnJldi54bWxMj0FPg0AQhe8m&#10;/ofNmHizCxRQkaFpGvXUNLE1Md6mMAVSdpewW6D/3vWkx8n78t43+WpWnRh5sK3RCOEiAMG6NFWr&#10;a4TPw9vDEwjrSFfUGc0IV7awKm5vcsoqM+kPHveuFr5E24wQGuf6TEpbNqzILkzP2mcnMyhy/hxq&#10;WQ00+XLVySgIUqmo1X6hoZ43DZfn/UUhvE80rZfh67g9nzbX70Oy+9qGjHh/N69fQDie3R8Mv/pe&#10;HQrvdDQXXVnRIcRhnHoUIY0SEB6Il8kjiCPCcxSBLHL5/4PiBwAA//8DAFBLAQItABQABgAIAAAA&#10;IQC2gziS/gAAAOEBAAATAAAAAAAAAAAAAAAAAAAAAABbQ29udGVudF9UeXBlc10ueG1sUEsBAi0A&#10;FAAGAAgAAAAhADj9If/WAAAAlAEAAAsAAAAAAAAAAAAAAAAALwEAAF9yZWxzLy5yZWxzUEsBAi0A&#10;FAAGAAgAAAAhAHO98WMcAgAAgQQAAA4AAAAAAAAAAAAAAAAALgIAAGRycy9lMm9Eb2MueG1sUEsB&#10;Ai0AFAAGAAgAAAAhAPfgYzDgAAAACQEAAA8AAAAAAAAAAAAAAAAAdgQAAGRycy9kb3ducmV2Lnht&#10;bFBLBQYAAAAABAAEAPMAAACDBQAAAAA=&#10;">
                <v:rect id="Rectangle 22629" o:spid="_x0000_s6549"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NYxgAAAN4AAAAPAAAAZHJzL2Rvd25yZXYueG1sRI9Ba8JA&#10;FITvgv9heYXedNMcxKauIoo0By+1ETw+ss8kNft2ya4m+uvdQqHHYWa+YRarwbTiRp1vLCt4myYg&#10;iEurG64UFN+7yRyED8gaW8uk4E4eVsvxaIGZtj1/0e0QKhEh7DNUUIfgMil9WZNBP7WOOHpn2xkM&#10;UXaV1B32EW5amSbJTBpsOC7U6GhTU3k5XI2C05ZdvutleX5s3P4nn7ef1+Ko1OvLsP4AEWgI/+G/&#10;dq4VpOksfYffO/EKyOUTAAD//wMAUEsBAi0AFAAGAAgAAAAhANvh9svuAAAAhQEAABMAAAAAAAAA&#10;AAAAAAAAAAAAAFtDb250ZW50X1R5cGVzXS54bWxQSwECLQAUAAYACAAAACEAWvQsW78AAAAVAQAA&#10;CwAAAAAAAAAAAAAAAAAfAQAAX3JlbHMvLnJlbHNQSwECLQAUAAYACAAAACEAqs6DWMYAAADeAAAA&#10;DwAAAAAAAAAAAAAAAAAHAgAAZHJzL2Rvd25yZXYueG1sUEsFBgAAAAADAAMAtwAAAPoCAAAAAA==&#10;" filled="f" stroked="f">
                  <v:textbox inset="0,0,0,0">
                    <w:txbxContent>
                      <w:p w14:paraId="019BD5E7" w14:textId="77777777" w:rsidR="00B32EF2" w:rsidRDefault="00000000">
                        <w:r>
                          <w:rPr>
                            <w:rFonts w:ascii="Times New Roman" w:eastAsia="Times New Roman" w:hAnsi="Times New Roman" w:cs="Times New Roman"/>
                          </w:rPr>
                          <w:t>22</w:t>
                        </w:r>
                      </w:p>
                    </w:txbxContent>
                  </v:textbox>
                </v:rect>
                <w10:wrap type="topAndBottom" anchorx="page" anchory="page"/>
              </v:group>
            </w:pict>
          </mc:Fallback>
        </mc:AlternateContent>
      </w:r>
    </w:p>
    <w:p w14:paraId="256DF75F" w14:textId="77777777" w:rsidR="00B32EF2" w:rsidRDefault="00000000">
      <w:pPr>
        <w:spacing w:after="0"/>
        <w:ind w:left="-356" w:right="-306"/>
      </w:pPr>
      <w:r>
        <w:rPr>
          <w:noProof/>
        </w:rPr>
        <w:lastRenderedPageBreak/>
        <mc:AlternateContent>
          <mc:Choice Requires="wpg">
            <w:drawing>
              <wp:inline distT="0" distB="0" distL="0" distR="0" wp14:anchorId="1C279B56" wp14:editId="367EF3A8">
                <wp:extent cx="3991939" cy="5657272"/>
                <wp:effectExtent l="0" t="0" r="0" b="0"/>
                <wp:docPr id="202381" name="Group 202381"/>
                <wp:cNvGraphicFramePr/>
                <a:graphic xmlns:a="http://schemas.openxmlformats.org/drawingml/2006/main">
                  <a:graphicData uri="http://schemas.microsoft.com/office/word/2010/wordprocessingGroup">
                    <wpg:wgp>
                      <wpg:cNvGrpSpPr/>
                      <wpg:grpSpPr>
                        <a:xfrm>
                          <a:off x="0" y="0"/>
                          <a:ext cx="3991939" cy="5657272"/>
                          <a:chOff x="0" y="0"/>
                          <a:chExt cx="3991939" cy="5657272"/>
                        </a:xfrm>
                      </wpg:grpSpPr>
                      <wps:wsp>
                        <wps:cNvPr id="22630" name="Rectangle 22630"/>
                        <wps:cNvSpPr/>
                        <wps:spPr>
                          <a:xfrm rot="-10799999">
                            <a:off x="-1220116" y="5514382"/>
                            <a:ext cx="5208855" cy="142890"/>
                          </a:xfrm>
                          <a:prstGeom prst="rect">
                            <a:avLst/>
                          </a:prstGeom>
                          <a:ln>
                            <a:noFill/>
                          </a:ln>
                        </wps:spPr>
                        <wps:txbx>
                          <w:txbxContent>
                            <w:p w14:paraId="39279E4F" w14:textId="77777777" w:rsidR="00B32EF2" w:rsidRDefault="00000000">
                              <w:r>
                                <w:rPr>
                                  <w:rFonts w:ascii="Arial" w:eastAsia="Arial" w:hAnsi="Arial" w:cs="Arial"/>
                                  <w:sz w:val="18"/>
                                </w:rPr>
                                <w:t>tributario, nei limiti dei posti messi a concorso. I documenti comprovanti il pos</w:t>
                              </w:r>
                            </w:p>
                          </w:txbxContent>
                        </wps:txbx>
                        <wps:bodyPr horzOverflow="overflow" vert="horz" lIns="0" tIns="0" rIns="0" bIns="0" rtlCol="0">
                          <a:noAutofit/>
                        </wps:bodyPr>
                      </wps:wsp>
                      <wps:wsp>
                        <wps:cNvPr id="22631" name="Rectangle 22631"/>
                        <wps:cNvSpPr/>
                        <wps:spPr>
                          <a:xfrm rot="-10799999">
                            <a:off x="19341" y="5514383"/>
                            <a:ext cx="50622" cy="142889"/>
                          </a:xfrm>
                          <a:prstGeom prst="rect">
                            <a:avLst/>
                          </a:prstGeom>
                          <a:ln>
                            <a:noFill/>
                          </a:ln>
                        </wps:spPr>
                        <wps:txbx>
                          <w:txbxContent>
                            <w:p w14:paraId="1DF209B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632" name="Rectangle 22632"/>
                        <wps:cNvSpPr/>
                        <wps:spPr>
                          <a:xfrm rot="-10799999">
                            <a:off x="-1317096" y="5391052"/>
                            <a:ext cx="5309036" cy="142891"/>
                          </a:xfrm>
                          <a:prstGeom prst="rect">
                            <a:avLst/>
                          </a:prstGeom>
                          <a:ln>
                            <a:noFill/>
                          </a:ln>
                        </wps:spPr>
                        <wps:txbx>
                          <w:txbxContent>
                            <w:p w14:paraId="4BCFA9A4" w14:textId="77777777" w:rsidR="00B32EF2" w:rsidRDefault="00000000">
                              <w:r>
                                <w:rPr>
                                  <w:rFonts w:ascii="Arial" w:eastAsia="Arial" w:hAnsi="Arial" w:cs="Arial"/>
                                  <w:sz w:val="18"/>
                                </w:rPr>
                                <w:t xml:space="preserve">sesso di titoli di preferenza, a parità di punteggio, ai fini della nomina, sono </w:t>
                              </w:r>
                            </w:p>
                          </w:txbxContent>
                        </wps:txbx>
                        <wps:bodyPr horzOverflow="overflow" vert="horz" lIns="0" tIns="0" rIns="0" bIns="0" rtlCol="0">
                          <a:noAutofit/>
                        </wps:bodyPr>
                      </wps:wsp>
                      <wps:wsp>
                        <wps:cNvPr id="22633" name="Rectangle 22633"/>
                        <wps:cNvSpPr/>
                        <wps:spPr>
                          <a:xfrm rot="-10799999">
                            <a:off x="-1317111" y="5267724"/>
                            <a:ext cx="5309051" cy="142889"/>
                          </a:xfrm>
                          <a:prstGeom prst="rect">
                            <a:avLst/>
                          </a:prstGeom>
                          <a:ln>
                            <a:noFill/>
                          </a:ln>
                        </wps:spPr>
                        <wps:txbx>
                          <w:txbxContent>
                            <w:p w14:paraId="73271F5E" w14:textId="77777777" w:rsidR="00B32EF2" w:rsidRDefault="00000000">
                              <w:r>
                                <w:rPr>
                                  <w:rFonts w:ascii="Arial" w:eastAsia="Arial" w:hAnsi="Arial" w:cs="Arial"/>
                                  <w:sz w:val="18"/>
                                </w:rPr>
                                <w:t xml:space="preserve">presentati, a pena di decadenza, entro il giorno di svolgimento della prova </w:t>
                              </w:r>
                            </w:p>
                          </w:txbxContent>
                        </wps:txbx>
                        <wps:bodyPr horzOverflow="overflow" vert="horz" lIns="0" tIns="0" rIns="0" bIns="0" rtlCol="0">
                          <a:noAutofit/>
                        </wps:bodyPr>
                      </wps:wsp>
                      <wps:wsp>
                        <wps:cNvPr id="22634" name="Rectangle 22634"/>
                        <wps:cNvSpPr/>
                        <wps:spPr>
                          <a:xfrm rot="-10799999">
                            <a:off x="3607847" y="5144394"/>
                            <a:ext cx="383407" cy="142889"/>
                          </a:xfrm>
                          <a:prstGeom prst="rect">
                            <a:avLst/>
                          </a:prstGeom>
                          <a:ln>
                            <a:noFill/>
                          </a:ln>
                        </wps:spPr>
                        <wps:txbx>
                          <w:txbxContent>
                            <w:p w14:paraId="640F379D" w14:textId="77777777" w:rsidR="00B32EF2" w:rsidRDefault="00000000">
                              <w:r>
                                <w:rPr>
                                  <w:rFonts w:ascii="Arial" w:eastAsia="Arial" w:hAnsi="Arial" w:cs="Arial"/>
                                  <w:sz w:val="18"/>
                                </w:rPr>
                                <w:t>orale.</w:t>
                              </w:r>
                            </w:p>
                          </w:txbxContent>
                        </wps:txbx>
                        <wps:bodyPr horzOverflow="overflow" vert="horz" lIns="0" tIns="0" rIns="0" bIns="0" rtlCol="0">
                          <a:noAutofit/>
                        </wps:bodyPr>
                      </wps:wsp>
                      <wps:wsp>
                        <wps:cNvPr id="202325" name="Rectangle 202325"/>
                        <wps:cNvSpPr/>
                        <wps:spPr>
                          <a:xfrm rot="-10799999">
                            <a:off x="-1381652" y="5021064"/>
                            <a:ext cx="5309035" cy="142889"/>
                          </a:xfrm>
                          <a:prstGeom prst="rect">
                            <a:avLst/>
                          </a:prstGeom>
                          <a:ln>
                            <a:noFill/>
                          </a:ln>
                        </wps:spPr>
                        <wps:txbx>
                          <w:txbxContent>
                            <w:p w14:paraId="3787D49E" w14:textId="77777777" w:rsidR="00B32EF2" w:rsidRDefault="00000000">
                              <w:r>
                                <w:rPr>
                                  <w:rFonts w:ascii="Arial" w:eastAsia="Arial" w:hAnsi="Arial" w:cs="Arial"/>
                                  <w:sz w:val="18"/>
                                </w:rPr>
                                <w:t xml:space="preserve">. I magistrati tributari nominati a seguito del superamento del concorso di cui </w:t>
                              </w:r>
                            </w:p>
                          </w:txbxContent>
                        </wps:txbx>
                        <wps:bodyPr horzOverflow="overflow" vert="horz" lIns="0" tIns="0" rIns="0" bIns="0" rtlCol="0">
                          <a:noAutofit/>
                        </wps:bodyPr>
                      </wps:wsp>
                      <wps:wsp>
                        <wps:cNvPr id="202323" name="Rectangle 202323"/>
                        <wps:cNvSpPr/>
                        <wps:spPr>
                          <a:xfrm rot="-10799999">
                            <a:off x="2611109" y="5021064"/>
                            <a:ext cx="5309036" cy="142889"/>
                          </a:xfrm>
                          <a:prstGeom prst="rect">
                            <a:avLst/>
                          </a:prstGeom>
                          <a:ln>
                            <a:noFill/>
                          </a:ln>
                        </wps:spPr>
                        <wps:txbx>
                          <w:txbxContent>
                            <w:p w14:paraId="7057D749"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2636" name="Rectangle 22636"/>
                        <wps:cNvSpPr/>
                        <wps:spPr>
                          <a:xfrm rot="-10799999">
                            <a:off x="-1219073" y="4897735"/>
                            <a:ext cx="5211014" cy="142889"/>
                          </a:xfrm>
                          <a:prstGeom prst="rect">
                            <a:avLst/>
                          </a:prstGeom>
                          <a:ln>
                            <a:noFill/>
                          </a:ln>
                        </wps:spPr>
                        <wps:txbx>
                          <w:txbxContent>
                            <w:p w14:paraId="785B87E2" w14:textId="77777777" w:rsidR="00B32EF2" w:rsidRDefault="00000000">
                              <w:r>
                                <w:rPr>
                                  <w:rFonts w:ascii="Arial" w:eastAsia="Arial" w:hAnsi="Arial" w:cs="Arial"/>
                                  <w:sz w:val="18"/>
                                </w:rPr>
                                <w:t>all’articolo 5 svolgono un tirocinio formativo articolato in due sessioni conse</w:t>
                              </w:r>
                            </w:p>
                          </w:txbxContent>
                        </wps:txbx>
                        <wps:bodyPr horzOverflow="overflow" vert="horz" lIns="0" tIns="0" rIns="0" bIns="0" rtlCol="0">
                          <a:noAutofit/>
                        </wps:bodyPr>
                      </wps:wsp>
                      <wps:wsp>
                        <wps:cNvPr id="22637" name="Rectangle 22637"/>
                        <wps:cNvSpPr/>
                        <wps:spPr>
                          <a:xfrm rot="-10799999">
                            <a:off x="19341" y="4897734"/>
                            <a:ext cx="50622" cy="142889"/>
                          </a:xfrm>
                          <a:prstGeom prst="rect">
                            <a:avLst/>
                          </a:prstGeom>
                          <a:ln>
                            <a:noFill/>
                          </a:ln>
                        </wps:spPr>
                        <wps:txbx>
                          <w:txbxContent>
                            <w:p w14:paraId="38764B4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638" name="Rectangle 22638"/>
                        <wps:cNvSpPr/>
                        <wps:spPr>
                          <a:xfrm rot="-10799999">
                            <a:off x="-1317035" y="4774405"/>
                            <a:ext cx="5308975" cy="142889"/>
                          </a:xfrm>
                          <a:prstGeom prst="rect">
                            <a:avLst/>
                          </a:prstGeom>
                          <a:ln>
                            <a:noFill/>
                          </a:ln>
                        </wps:spPr>
                        <wps:txbx>
                          <w:txbxContent>
                            <w:p w14:paraId="26E76B3E" w14:textId="77777777" w:rsidR="00B32EF2" w:rsidRDefault="00000000">
                              <w:r>
                                <w:rPr>
                                  <w:rFonts w:ascii="Arial" w:eastAsia="Arial" w:hAnsi="Arial" w:cs="Arial"/>
                                  <w:sz w:val="18"/>
                                </w:rPr>
                                <w:t xml:space="preserve">cutive della durata di tre mesi ciascuna presso le corti di giustizia tributaria </w:t>
                              </w:r>
                            </w:p>
                          </w:txbxContent>
                        </wps:txbx>
                        <wps:bodyPr horzOverflow="overflow" vert="horz" lIns="0" tIns="0" rIns="0" bIns="0" rtlCol="0">
                          <a:noAutofit/>
                        </wps:bodyPr>
                      </wps:wsp>
                      <wps:wsp>
                        <wps:cNvPr id="22639" name="Rectangle 22639"/>
                        <wps:cNvSpPr/>
                        <wps:spPr>
                          <a:xfrm rot="-10799999">
                            <a:off x="-1220503" y="4651075"/>
                            <a:ext cx="5212443" cy="142889"/>
                          </a:xfrm>
                          <a:prstGeom prst="rect">
                            <a:avLst/>
                          </a:prstGeom>
                          <a:ln>
                            <a:noFill/>
                          </a:ln>
                        </wps:spPr>
                        <wps:txbx>
                          <w:txbxContent>
                            <w:p w14:paraId="726CE3C7" w14:textId="77777777" w:rsidR="00B32EF2" w:rsidRDefault="00000000">
                              <w:r>
                                <w:rPr>
                                  <w:rFonts w:ascii="Arial" w:eastAsia="Arial" w:hAnsi="Arial" w:cs="Arial"/>
                                  <w:sz w:val="18"/>
                                </w:rPr>
                                <w:t>con la partecipazione all’attività giurisdizionale relativa alle controversie rien</w:t>
                              </w:r>
                            </w:p>
                          </w:txbxContent>
                        </wps:txbx>
                        <wps:bodyPr horzOverflow="overflow" vert="horz" lIns="0" tIns="0" rIns="0" bIns="0" rtlCol="0">
                          <a:noAutofit/>
                        </wps:bodyPr>
                      </wps:wsp>
                      <wps:wsp>
                        <wps:cNvPr id="22640" name="Rectangle 22640"/>
                        <wps:cNvSpPr/>
                        <wps:spPr>
                          <a:xfrm rot="-10799999">
                            <a:off x="19341" y="4651075"/>
                            <a:ext cx="50622" cy="142889"/>
                          </a:xfrm>
                          <a:prstGeom prst="rect">
                            <a:avLst/>
                          </a:prstGeom>
                          <a:ln>
                            <a:noFill/>
                          </a:ln>
                        </wps:spPr>
                        <wps:txbx>
                          <w:txbxContent>
                            <w:p w14:paraId="6CCA00A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641" name="Rectangle 22641"/>
                        <wps:cNvSpPr/>
                        <wps:spPr>
                          <a:xfrm rot="-10799999">
                            <a:off x="-1317086" y="4527746"/>
                            <a:ext cx="5310054" cy="142889"/>
                          </a:xfrm>
                          <a:prstGeom prst="rect">
                            <a:avLst/>
                          </a:prstGeom>
                          <a:ln>
                            <a:noFill/>
                          </a:ln>
                        </wps:spPr>
                        <wps:txbx>
                          <w:txbxContent>
                            <w:p w14:paraId="110AA461" w14:textId="77777777" w:rsidR="00B32EF2" w:rsidRDefault="00000000">
                              <w:r>
                                <w:rPr>
                                  <w:rFonts w:ascii="Arial" w:eastAsia="Arial" w:hAnsi="Arial" w:cs="Arial"/>
                                  <w:sz w:val="18"/>
                                </w:rPr>
                                <w:t xml:space="preserve">tranti nella rispettiva competenza in composizione collegiale. Nella seconda </w:t>
                              </w:r>
                            </w:p>
                          </w:txbxContent>
                        </wps:txbx>
                        <wps:bodyPr horzOverflow="overflow" vert="horz" lIns="0" tIns="0" rIns="0" bIns="0" rtlCol="0">
                          <a:noAutofit/>
                        </wps:bodyPr>
                      </wps:wsp>
                      <wps:wsp>
                        <wps:cNvPr id="22642" name="Rectangle 22642"/>
                        <wps:cNvSpPr/>
                        <wps:spPr>
                          <a:xfrm rot="-10799999">
                            <a:off x="-1317050" y="4404416"/>
                            <a:ext cx="5308990" cy="142889"/>
                          </a:xfrm>
                          <a:prstGeom prst="rect">
                            <a:avLst/>
                          </a:prstGeom>
                          <a:ln>
                            <a:noFill/>
                          </a:ln>
                        </wps:spPr>
                        <wps:txbx>
                          <w:txbxContent>
                            <w:p w14:paraId="18976051" w14:textId="77777777" w:rsidR="00B32EF2" w:rsidRDefault="00000000">
                              <w:r>
                                <w:rPr>
                                  <w:rFonts w:ascii="Arial" w:eastAsia="Arial" w:hAnsi="Arial" w:cs="Arial"/>
                                  <w:sz w:val="18"/>
                                </w:rPr>
                                <w:t xml:space="preserve">sessione trimestrale di cui al primo periodo e nell’ipotesi di cui al comma 3, </w:t>
                              </w:r>
                            </w:p>
                          </w:txbxContent>
                        </wps:txbx>
                        <wps:bodyPr horzOverflow="overflow" vert="horz" lIns="0" tIns="0" rIns="0" bIns="0" rtlCol="0">
                          <a:noAutofit/>
                        </wps:bodyPr>
                      </wps:wsp>
                      <wps:wsp>
                        <wps:cNvPr id="22643" name="Rectangle 22643"/>
                        <wps:cNvSpPr/>
                        <wps:spPr>
                          <a:xfrm rot="-10799999">
                            <a:off x="-1317096" y="4281086"/>
                            <a:ext cx="5309035" cy="142889"/>
                          </a:xfrm>
                          <a:prstGeom prst="rect">
                            <a:avLst/>
                          </a:prstGeom>
                          <a:ln>
                            <a:noFill/>
                          </a:ln>
                        </wps:spPr>
                        <wps:txbx>
                          <w:txbxContent>
                            <w:p w14:paraId="568ACCDF" w14:textId="77777777" w:rsidR="00B32EF2" w:rsidRDefault="00000000">
                              <w:r>
                                <w:rPr>
                                  <w:rFonts w:ascii="Arial" w:eastAsia="Arial" w:hAnsi="Arial" w:cs="Arial"/>
                                  <w:sz w:val="18"/>
                                </w:rPr>
                                <w:t xml:space="preserve">al magistrato tributario in tirocinio è assegnato un carico di lavoro fissato con </w:t>
                              </w:r>
                            </w:p>
                          </w:txbxContent>
                        </wps:txbx>
                        <wps:bodyPr horzOverflow="overflow" vert="horz" lIns="0" tIns="0" rIns="0" bIns="0" rtlCol="0">
                          <a:noAutofit/>
                        </wps:bodyPr>
                      </wps:wsp>
                      <wps:wsp>
                        <wps:cNvPr id="22644" name="Rectangle 22644"/>
                        <wps:cNvSpPr/>
                        <wps:spPr>
                          <a:xfrm rot="-10799999">
                            <a:off x="-1317383" y="4157756"/>
                            <a:ext cx="5310009" cy="142889"/>
                          </a:xfrm>
                          <a:prstGeom prst="rect">
                            <a:avLst/>
                          </a:prstGeom>
                          <a:ln>
                            <a:noFill/>
                          </a:ln>
                        </wps:spPr>
                        <wps:txbx>
                          <w:txbxContent>
                            <w:p w14:paraId="7793A069" w14:textId="77777777" w:rsidR="00B32EF2" w:rsidRDefault="00000000">
                              <w:r>
                                <w:rPr>
                                  <w:rFonts w:ascii="Arial" w:eastAsia="Arial" w:hAnsi="Arial" w:cs="Arial"/>
                                  <w:sz w:val="18"/>
                                </w:rPr>
                                <w:t xml:space="preserve">delibera del Consiglio di presidenza della giustizia tributaria. Con delibera del </w:t>
                              </w:r>
                            </w:p>
                          </w:txbxContent>
                        </wps:txbx>
                        <wps:bodyPr horzOverflow="overflow" vert="horz" lIns="0" tIns="0" rIns="0" bIns="0" rtlCol="0">
                          <a:noAutofit/>
                        </wps:bodyPr>
                      </wps:wsp>
                      <wps:wsp>
                        <wps:cNvPr id="22645" name="Rectangle 22645"/>
                        <wps:cNvSpPr/>
                        <wps:spPr>
                          <a:xfrm rot="-10799999">
                            <a:off x="-1317096" y="4034427"/>
                            <a:ext cx="5309035" cy="142889"/>
                          </a:xfrm>
                          <a:prstGeom prst="rect">
                            <a:avLst/>
                          </a:prstGeom>
                          <a:ln>
                            <a:noFill/>
                          </a:ln>
                        </wps:spPr>
                        <wps:txbx>
                          <w:txbxContent>
                            <w:p w14:paraId="797808B2" w14:textId="77777777" w:rsidR="00B32EF2" w:rsidRDefault="00000000">
                              <w:r>
                                <w:rPr>
                                  <w:rFonts w:ascii="Arial" w:eastAsia="Arial" w:hAnsi="Arial" w:cs="Arial"/>
                                  <w:sz w:val="18"/>
                                </w:rPr>
                                <w:t xml:space="preserve">Consiglio di presidenza sono individuati i magistrati tributari affidatari presso </w:t>
                              </w:r>
                            </w:p>
                          </w:txbxContent>
                        </wps:txbx>
                        <wps:bodyPr horzOverflow="overflow" vert="horz" lIns="0" tIns="0" rIns="0" bIns="0" rtlCol="0">
                          <a:noAutofit/>
                        </wps:bodyPr>
                      </wps:wsp>
                      <wps:wsp>
                        <wps:cNvPr id="22646" name="Rectangle 22646"/>
                        <wps:cNvSpPr/>
                        <wps:spPr>
                          <a:xfrm rot="-10799999">
                            <a:off x="-1317096" y="3911097"/>
                            <a:ext cx="5309035" cy="142889"/>
                          </a:xfrm>
                          <a:prstGeom prst="rect">
                            <a:avLst/>
                          </a:prstGeom>
                          <a:ln>
                            <a:noFill/>
                          </a:ln>
                        </wps:spPr>
                        <wps:txbx>
                          <w:txbxContent>
                            <w:p w14:paraId="4FA7ED04" w14:textId="77777777" w:rsidR="00B32EF2" w:rsidRDefault="00000000">
                              <w:r>
                                <w:rPr>
                                  <w:rFonts w:ascii="Arial" w:eastAsia="Arial" w:hAnsi="Arial" w:cs="Arial"/>
                                  <w:sz w:val="18"/>
                                </w:rPr>
                                <w:t xml:space="preserve">i quali i magistrati tributari svolgono il tirocinio, le modalità di affidamento e i </w:t>
                              </w:r>
                            </w:p>
                          </w:txbxContent>
                        </wps:txbx>
                        <wps:bodyPr horzOverflow="overflow" vert="horz" lIns="0" tIns="0" rIns="0" bIns="0" rtlCol="0">
                          <a:noAutofit/>
                        </wps:bodyPr>
                      </wps:wsp>
                      <wps:wsp>
                        <wps:cNvPr id="22647" name="Rectangle 22647"/>
                        <wps:cNvSpPr/>
                        <wps:spPr>
                          <a:xfrm rot="-10799999">
                            <a:off x="-1220487" y="3787767"/>
                            <a:ext cx="5212427" cy="142889"/>
                          </a:xfrm>
                          <a:prstGeom prst="rect">
                            <a:avLst/>
                          </a:prstGeom>
                          <a:ln>
                            <a:noFill/>
                          </a:ln>
                        </wps:spPr>
                        <wps:txbx>
                          <w:txbxContent>
                            <w:p w14:paraId="498AE0A1" w14:textId="77777777" w:rsidR="00B32EF2" w:rsidRDefault="00000000">
                              <w:r>
                                <w:rPr>
                                  <w:rFonts w:ascii="Arial" w:eastAsia="Arial" w:hAnsi="Arial" w:cs="Arial"/>
                                  <w:sz w:val="18"/>
                                </w:rPr>
                                <w:t>criteri per il conseguimento del giudizio di idoneità al conferimento delle fun</w:t>
                              </w:r>
                            </w:p>
                          </w:txbxContent>
                        </wps:txbx>
                        <wps:bodyPr horzOverflow="overflow" vert="horz" lIns="0" tIns="0" rIns="0" bIns="0" rtlCol="0">
                          <a:noAutofit/>
                        </wps:bodyPr>
                      </wps:wsp>
                      <wps:wsp>
                        <wps:cNvPr id="22648" name="Rectangle 22648"/>
                        <wps:cNvSpPr/>
                        <wps:spPr>
                          <a:xfrm rot="-10799999">
                            <a:off x="19341" y="3787767"/>
                            <a:ext cx="50622" cy="142889"/>
                          </a:xfrm>
                          <a:prstGeom prst="rect">
                            <a:avLst/>
                          </a:prstGeom>
                          <a:ln>
                            <a:noFill/>
                          </a:ln>
                        </wps:spPr>
                        <wps:txbx>
                          <w:txbxContent>
                            <w:p w14:paraId="5944E33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649" name="Rectangle 22649"/>
                        <wps:cNvSpPr/>
                        <wps:spPr>
                          <a:xfrm rot="-10799999">
                            <a:off x="2663644" y="3664438"/>
                            <a:ext cx="1328752" cy="142889"/>
                          </a:xfrm>
                          <a:prstGeom prst="rect">
                            <a:avLst/>
                          </a:prstGeom>
                          <a:ln>
                            <a:noFill/>
                          </a:ln>
                        </wps:spPr>
                        <wps:txbx>
                          <w:txbxContent>
                            <w:p w14:paraId="0856B10D" w14:textId="77777777" w:rsidR="00B32EF2" w:rsidRDefault="00000000">
                              <w:r>
                                <w:rPr>
                                  <w:rFonts w:ascii="Arial" w:eastAsia="Arial" w:hAnsi="Arial" w:cs="Arial"/>
                                  <w:sz w:val="18"/>
                                </w:rPr>
                                <w:t>zioni giurisdizionali.</w:t>
                              </w:r>
                            </w:p>
                          </w:txbxContent>
                        </wps:txbx>
                        <wps:bodyPr horzOverflow="overflow" vert="horz" lIns="0" tIns="0" rIns="0" bIns="0" rtlCol="0">
                          <a:noAutofit/>
                        </wps:bodyPr>
                      </wps:wsp>
                      <wps:wsp>
                        <wps:cNvPr id="202321" name="Rectangle 202321"/>
                        <wps:cNvSpPr/>
                        <wps:spPr>
                          <a:xfrm rot="-10799999">
                            <a:off x="2611110" y="3541108"/>
                            <a:ext cx="5309035" cy="142889"/>
                          </a:xfrm>
                          <a:prstGeom prst="rect">
                            <a:avLst/>
                          </a:prstGeom>
                          <a:ln>
                            <a:noFill/>
                          </a:ln>
                        </wps:spPr>
                        <wps:txbx>
                          <w:txbxContent>
                            <w:p w14:paraId="381EF952"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2322" name="Rectangle 202322"/>
                        <wps:cNvSpPr/>
                        <wps:spPr>
                          <a:xfrm rot="-10799999">
                            <a:off x="-1381618" y="3541108"/>
                            <a:ext cx="5309035" cy="142889"/>
                          </a:xfrm>
                          <a:prstGeom prst="rect">
                            <a:avLst/>
                          </a:prstGeom>
                          <a:ln>
                            <a:noFill/>
                          </a:ln>
                        </wps:spPr>
                        <wps:txbx>
                          <w:txbxContent>
                            <w:p w14:paraId="62464524" w14:textId="77777777" w:rsidR="00B32EF2" w:rsidRDefault="00000000">
                              <w:r>
                                <w:rPr>
                                  <w:rFonts w:ascii="Arial" w:eastAsia="Arial" w:hAnsi="Arial" w:cs="Arial"/>
                                  <w:sz w:val="18"/>
                                </w:rPr>
                                <w:t xml:space="preserve">. Il magistrato tributario in tirocinio valutato negativamente è ammesso ad </w:t>
                              </w:r>
                            </w:p>
                          </w:txbxContent>
                        </wps:txbx>
                        <wps:bodyPr horzOverflow="overflow" vert="horz" lIns="0" tIns="0" rIns="0" bIns="0" rtlCol="0">
                          <a:noAutofit/>
                        </wps:bodyPr>
                      </wps:wsp>
                      <wps:wsp>
                        <wps:cNvPr id="22651" name="Rectangle 22651"/>
                        <wps:cNvSpPr/>
                        <wps:spPr>
                          <a:xfrm rot="-10799999">
                            <a:off x="-1317035" y="3417778"/>
                            <a:ext cx="5308975" cy="142889"/>
                          </a:xfrm>
                          <a:prstGeom prst="rect">
                            <a:avLst/>
                          </a:prstGeom>
                          <a:ln>
                            <a:noFill/>
                          </a:ln>
                        </wps:spPr>
                        <wps:txbx>
                          <w:txbxContent>
                            <w:p w14:paraId="2EFBAFAF" w14:textId="77777777" w:rsidR="00B32EF2" w:rsidRDefault="00000000">
                              <w:r>
                                <w:rPr>
                                  <w:rFonts w:ascii="Arial" w:eastAsia="Arial" w:hAnsi="Arial" w:cs="Arial"/>
                                  <w:sz w:val="18"/>
                                </w:rPr>
                                <w:t xml:space="preserve">un nuovo periodo di tirocinio della durata di sei mesi. Al termine del secondo </w:t>
                              </w:r>
                            </w:p>
                          </w:txbxContent>
                        </wps:txbx>
                        <wps:bodyPr horzOverflow="overflow" vert="horz" lIns="0" tIns="0" rIns="0" bIns="0" rtlCol="0">
                          <a:noAutofit/>
                        </wps:bodyPr>
                      </wps:wsp>
                      <wps:wsp>
                        <wps:cNvPr id="22652" name="Rectangle 22652"/>
                        <wps:cNvSpPr/>
                        <wps:spPr>
                          <a:xfrm rot="-10799999">
                            <a:off x="-1220397" y="3294449"/>
                            <a:ext cx="5212337" cy="142889"/>
                          </a:xfrm>
                          <a:prstGeom prst="rect">
                            <a:avLst/>
                          </a:prstGeom>
                          <a:ln>
                            <a:noFill/>
                          </a:ln>
                        </wps:spPr>
                        <wps:txbx>
                          <w:txbxContent>
                            <w:p w14:paraId="0AC1D8BE" w14:textId="77777777" w:rsidR="00B32EF2" w:rsidRDefault="00000000">
                              <w:r>
                                <w:rPr>
                                  <w:rFonts w:ascii="Arial" w:eastAsia="Arial" w:hAnsi="Arial" w:cs="Arial"/>
                                  <w:sz w:val="18"/>
                                </w:rPr>
                                <w:t>tirocinio e all’esito della relativa scheda valutativa redatta dal magistrato tri</w:t>
                              </w:r>
                            </w:p>
                          </w:txbxContent>
                        </wps:txbx>
                        <wps:bodyPr horzOverflow="overflow" vert="horz" lIns="0" tIns="0" rIns="0" bIns="0" rtlCol="0">
                          <a:noAutofit/>
                        </wps:bodyPr>
                      </wps:wsp>
                      <wps:wsp>
                        <wps:cNvPr id="22653" name="Rectangle 22653"/>
                        <wps:cNvSpPr/>
                        <wps:spPr>
                          <a:xfrm rot="-10799999">
                            <a:off x="19341" y="3294448"/>
                            <a:ext cx="50622" cy="142889"/>
                          </a:xfrm>
                          <a:prstGeom prst="rect">
                            <a:avLst/>
                          </a:prstGeom>
                          <a:ln>
                            <a:noFill/>
                          </a:ln>
                        </wps:spPr>
                        <wps:txbx>
                          <w:txbxContent>
                            <w:p w14:paraId="4D1F2A7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654" name="Rectangle 22654"/>
                        <wps:cNvSpPr/>
                        <wps:spPr>
                          <a:xfrm rot="-10799999">
                            <a:off x="-1317565" y="3171119"/>
                            <a:ext cx="5310191" cy="142889"/>
                          </a:xfrm>
                          <a:prstGeom prst="rect">
                            <a:avLst/>
                          </a:prstGeom>
                          <a:ln>
                            <a:noFill/>
                          </a:ln>
                        </wps:spPr>
                        <wps:txbx>
                          <w:txbxContent>
                            <w:p w14:paraId="73C3F14E" w14:textId="77777777" w:rsidR="00B32EF2" w:rsidRDefault="00000000">
                              <w:r>
                                <w:rPr>
                                  <w:rFonts w:ascii="Arial" w:eastAsia="Arial" w:hAnsi="Arial" w:cs="Arial"/>
                                  <w:sz w:val="18"/>
                                </w:rPr>
                                <w:t xml:space="preserve">butario affidatario, il Consiglio di presidenza della giustizia tributaria delibera </w:t>
                              </w:r>
                            </w:p>
                          </w:txbxContent>
                        </wps:txbx>
                        <wps:bodyPr horzOverflow="overflow" vert="horz" lIns="0" tIns="0" rIns="0" bIns="0" rtlCol="0">
                          <a:noAutofit/>
                        </wps:bodyPr>
                      </wps:wsp>
                      <wps:wsp>
                        <wps:cNvPr id="22655" name="Rectangle 22655"/>
                        <wps:cNvSpPr/>
                        <wps:spPr>
                          <a:xfrm rot="-10799999">
                            <a:off x="-1317096" y="3047789"/>
                            <a:ext cx="5309035" cy="142889"/>
                          </a:xfrm>
                          <a:prstGeom prst="rect">
                            <a:avLst/>
                          </a:prstGeom>
                          <a:ln>
                            <a:noFill/>
                          </a:ln>
                        </wps:spPr>
                        <wps:txbx>
                          <w:txbxContent>
                            <w:p w14:paraId="788BD9A2" w14:textId="77777777" w:rsidR="00B32EF2" w:rsidRDefault="00000000">
                              <w:r>
                                <w:rPr>
                                  <w:rFonts w:ascii="Arial" w:eastAsia="Arial" w:hAnsi="Arial" w:cs="Arial"/>
                                  <w:sz w:val="18"/>
                                </w:rPr>
                                <w:t xml:space="preserve">nuovamente; la seconda deliberazione negativa determina la cessazione del </w:t>
                              </w:r>
                            </w:p>
                          </w:txbxContent>
                        </wps:txbx>
                        <wps:bodyPr horzOverflow="overflow" vert="horz" lIns="0" tIns="0" rIns="0" bIns="0" rtlCol="0">
                          <a:noAutofit/>
                        </wps:bodyPr>
                      </wps:wsp>
                      <wps:wsp>
                        <wps:cNvPr id="22656" name="Rectangle 22656"/>
                        <wps:cNvSpPr/>
                        <wps:spPr>
                          <a:xfrm rot="-10799999">
                            <a:off x="234820" y="2924460"/>
                            <a:ext cx="3757119" cy="142889"/>
                          </a:xfrm>
                          <a:prstGeom prst="rect">
                            <a:avLst/>
                          </a:prstGeom>
                          <a:ln>
                            <a:noFill/>
                          </a:ln>
                        </wps:spPr>
                        <wps:txbx>
                          <w:txbxContent>
                            <w:p w14:paraId="4D59A912" w14:textId="77777777" w:rsidR="00B32EF2" w:rsidRDefault="00000000">
                              <w:r>
                                <w:rPr>
                                  <w:rFonts w:ascii="Arial" w:eastAsia="Arial" w:hAnsi="Arial" w:cs="Arial"/>
                                  <w:sz w:val="18"/>
                                </w:rPr>
                                <w:t>rapporto di impiego del magistrato tributario in tirocinio.</w:t>
                              </w:r>
                            </w:p>
                          </w:txbxContent>
                        </wps:txbx>
                        <wps:bodyPr horzOverflow="overflow" vert="horz" lIns="0" tIns="0" rIns="0" bIns="0" rtlCol="0">
                          <a:noAutofit/>
                        </wps:bodyPr>
                      </wps:wsp>
                      <wps:wsp>
                        <wps:cNvPr id="22657" name="Rectangle 22657"/>
                        <wps:cNvSpPr/>
                        <wps:spPr>
                          <a:xfrm rot="-10799999">
                            <a:off x="1510438" y="2677800"/>
                            <a:ext cx="804834" cy="142889"/>
                          </a:xfrm>
                          <a:prstGeom prst="rect">
                            <a:avLst/>
                          </a:prstGeom>
                          <a:ln>
                            <a:noFill/>
                          </a:ln>
                        </wps:spPr>
                        <wps:txbx>
                          <w:txbxContent>
                            <w:p w14:paraId="41E2115A" w14:textId="77777777" w:rsidR="00B32EF2" w:rsidRDefault="00000000">
                              <w:r>
                                <w:rPr>
                                  <w:rFonts w:ascii="Arial" w:eastAsia="Arial" w:hAnsi="Arial" w:cs="Arial"/>
                                  <w:b/>
                                  <w:sz w:val="18"/>
                                </w:rPr>
                                <w:t>Articolo 10</w:t>
                              </w:r>
                            </w:p>
                          </w:txbxContent>
                        </wps:txbx>
                        <wps:bodyPr horzOverflow="overflow" vert="horz" lIns="0" tIns="0" rIns="0" bIns="0" rtlCol="0">
                          <a:noAutofit/>
                        </wps:bodyPr>
                      </wps:wsp>
                      <wps:wsp>
                        <wps:cNvPr id="202319" name="Rectangle 202319"/>
                        <wps:cNvSpPr/>
                        <wps:spPr>
                          <a:xfrm rot="-10799999">
                            <a:off x="-484447" y="2554470"/>
                            <a:ext cx="2104217" cy="142889"/>
                          </a:xfrm>
                          <a:prstGeom prst="rect">
                            <a:avLst/>
                          </a:prstGeom>
                          <a:ln>
                            <a:noFill/>
                          </a:ln>
                        </wps:spPr>
                        <wps:txbx>
                          <w:txbxContent>
                            <w:p w14:paraId="2B88DBB2"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318" name="Rectangle 202318"/>
                        <wps:cNvSpPr/>
                        <wps:spPr>
                          <a:xfrm rot="-10799999">
                            <a:off x="2242829" y="2554471"/>
                            <a:ext cx="2104217" cy="142889"/>
                          </a:xfrm>
                          <a:prstGeom prst="rect">
                            <a:avLst/>
                          </a:prstGeom>
                          <a:ln>
                            <a:noFill/>
                          </a:ln>
                        </wps:spPr>
                        <wps:txbx>
                          <w:txbxContent>
                            <w:p w14:paraId="6FAE93A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320" name="Rectangle 202320"/>
                        <wps:cNvSpPr/>
                        <wps:spPr>
                          <a:xfrm rot="-10799999">
                            <a:off x="1062511" y="2554471"/>
                            <a:ext cx="2104217" cy="142889"/>
                          </a:xfrm>
                          <a:prstGeom prst="rect">
                            <a:avLst/>
                          </a:prstGeom>
                          <a:ln>
                            <a:noFill/>
                          </a:ln>
                        </wps:spPr>
                        <wps:txbx>
                          <w:txbxContent>
                            <w:p w14:paraId="3D8B99FA" w14:textId="77777777" w:rsidR="00B32EF2" w:rsidRDefault="00000000">
                              <w:r>
                                <w:rPr>
                                  <w:rFonts w:ascii="Arial" w:eastAsia="Arial" w:hAnsi="Arial" w:cs="Arial"/>
                                  <w:i/>
                                  <w:sz w:val="18"/>
                                </w:rPr>
                                <w:t xml:space="preserve">articolo 5 del D.lgs. n. </w:t>
                              </w:r>
                            </w:p>
                          </w:txbxContent>
                        </wps:txbx>
                        <wps:bodyPr horzOverflow="overflow" vert="horz" lIns="0" tIns="0" rIns="0" bIns="0" rtlCol="0">
                          <a:noAutofit/>
                        </wps:bodyPr>
                      </wps:wsp>
                      <wps:wsp>
                        <wps:cNvPr id="22659" name="Rectangle 22659"/>
                        <wps:cNvSpPr/>
                        <wps:spPr>
                          <a:xfrm rot="-10799999">
                            <a:off x="-932914" y="2431141"/>
                            <a:ext cx="4693511" cy="142889"/>
                          </a:xfrm>
                          <a:prstGeom prst="rect">
                            <a:avLst/>
                          </a:prstGeom>
                          <a:ln>
                            <a:noFill/>
                          </a:ln>
                        </wps:spPr>
                        <wps:txbx>
                          <w:txbxContent>
                            <w:p w14:paraId="7D7E7A55" w14:textId="77777777" w:rsidR="00B32EF2" w:rsidRDefault="00000000">
                              <w:r>
                                <w:rPr>
                                  <w:rFonts w:ascii="Arial" w:eastAsia="Arial" w:hAnsi="Arial" w:cs="Arial"/>
                                  <w:b/>
                                  <w:sz w:val="18"/>
                                </w:rPr>
                                <w:t xml:space="preserve">I componenti delle corti di giustizia tributaria di secondo grado </w:t>
                              </w:r>
                            </w:p>
                          </w:txbxContent>
                        </wps:txbx>
                        <wps:bodyPr horzOverflow="overflow" vert="horz" lIns="0" tIns="0" rIns="0" bIns="0" rtlCol="0">
                          <a:noAutofit/>
                        </wps:bodyPr>
                      </wps:wsp>
                      <wps:wsp>
                        <wps:cNvPr id="202317" name="Rectangle 202317"/>
                        <wps:cNvSpPr/>
                        <wps:spPr>
                          <a:xfrm rot="-10799999">
                            <a:off x="-1279566" y="2307811"/>
                            <a:ext cx="5212321" cy="142889"/>
                          </a:xfrm>
                          <a:prstGeom prst="rect">
                            <a:avLst/>
                          </a:prstGeom>
                          <a:ln>
                            <a:noFill/>
                          </a:ln>
                        </wps:spPr>
                        <wps:txbx>
                          <w:txbxContent>
                            <w:p w14:paraId="31286936" w14:textId="77777777" w:rsidR="00B32EF2" w:rsidRDefault="00000000">
                              <w:r>
                                <w:rPr>
                                  <w:rFonts w:ascii="Arial" w:eastAsia="Arial" w:hAnsi="Arial" w:cs="Arial"/>
                                  <w:sz w:val="18"/>
                                </w:rPr>
                                <w:t>. I componenti delle corti di giustizia tributaria di secondo grado sono nomi</w:t>
                              </w:r>
                            </w:p>
                          </w:txbxContent>
                        </wps:txbx>
                        <wps:bodyPr horzOverflow="overflow" vert="horz" lIns="0" tIns="0" rIns="0" bIns="0" rtlCol="0">
                          <a:noAutofit/>
                        </wps:bodyPr>
                      </wps:wsp>
                      <wps:wsp>
                        <wps:cNvPr id="202316" name="Rectangle 202316"/>
                        <wps:cNvSpPr/>
                        <wps:spPr>
                          <a:xfrm rot="-10799999">
                            <a:off x="2635106" y="2307811"/>
                            <a:ext cx="5212321" cy="142889"/>
                          </a:xfrm>
                          <a:prstGeom prst="rect">
                            <a:avLst/>
                          </a:prstGeom>
                          <a:ln>
                            <a:noFill/>
                          </a:ln>
                        </wps:spPr>
                        <wps:txbx>
                          <w:txbxContent>
                            <w:p w14:paraId="50D0EE6B"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2661" name="Rectangle 22661"/>
                        <wps:cNvSpPr/>
                        <wps:spPr>
                          <a:xfrm rot="-10799999">
                            <a:off x="19341" y="2307811"/>
                            <a:ext cx="50622" cy="142889"/>
                          </a:xfrm>
                          <a:prstGeom prst="rect">
                            <a:avLst/>
                          </a:prstGeom>
                          <a:ln>
                            <a:noFill/>
                          </a:ln>
                        </wps:spPr>
                        <wps:txbx>
                          <w:txbxContent>
                            <w:p w14:paraId="06A4F0C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662" name="Rectangle 22662"/>
                        <wps:cNvSpPr/>
                        <wps:spPr>
                          <a:xfrm rot="-10799999">
                            <a:off x="-1317096" y="2184482"/>
                            <a:ext cx="5309035" cy="142889"/>
                          </a:xfrm>
                          <a:prstGeom prst="rect">
                            <a:avLst/>
                          </a:prstGeom>
                          <a:ln>
                            <a:noFill/>
                          </a:ln>
                        </wps:spPr>
                        <wps:txbx>
                          <w:txbxContent>
                            <w:p w14:paraId="34C31790" w14:textId="77777777" w:rsidR="00B32EF2" w:rsidRDefault="00000000">
                              <w:r>
                                <w:rPr>
                                  <w:rFonts w:ascii="Arial" w:eastAsia="Arial" w:hAnsi="Arial" w:cs="Arial"/>
                                  <w:sz w:val="18"/>
                                </w:rPr>
                                <w:t xml:space="preserve">nati tra i magistrati tributari di cui all’articolo 2, comma 4, e i giudici tributari </w:t>
                              </w:r>
                            </w:p>
                          </w:txbxContent>
                        </wps:txbx>
                        <wps:bodyPr horzOverflow="overflow" vert="horz" lIns="0" tIns="0" rIns="0" bIns="0" rtlCol="0">
                          <a:noAutofit/>
                        </wps:bodyPr>
                      </wps:wsp>
                      <wps:wsp>
                        <wps:cNvPr id="22663" name="Rectangle 22663"/>
                        <wps:cNvSpPr/>
                        <wps:spPr>
                          <a:xfrm rot="-10799999">
                            <a:off x="378736" y="2061151"/>
                            <a:ext cx="3613203" cy="142889"/>
                          </a:xfrm>
                          <a:prstGeom prst="rect">
                            <a:avLst/>
                          </a:prstGeom>
                          <a:ln>
                            <a:noFill/>
                          </a:ln>
                        </wps:spPr>
                        <wps:txbx>
                          <w:txbxContent>
                            <w:p w14:paraId="2D8A22F3" w14:textId="77777777" w:rsidR="00B32EF2" w:rsidRDefault="00000000">
                              <w:r>
                                <w:rPr>
                                  <w:rFonts w:ascii="Arial" w:eastAsia="Arial" w:hAnsi="Arial" w:cs="Arial"/>
                                  <w:sz w:val="18"/>
                                </w:rPr>
                                <w:t>presenti nel ruolo unico di cui all’articolo 2, comma 2.</w:t>
                              </w:r>
                            </w:p>
                          </w:txbxContent>
                        </wps:txbx>
                        <wps:bodyPr horzOverflow="overflow" vert="horz" lIns="0" tIns="0" rIns="0" bIns="0" rtlCol="0">
                          <a:noAutofit/>
                        </wps:bodyPr>
                      </wps:wsp>
                      <wps:wsp>
                        <wps:cNvPr id="22664" name="Rectangle 22664"/>
                        <wps:cNvSpPr/>
                        <wps:spPr>
                          <a:xfrm rot="-10799999">
                            <a:off x="1514142" y="1814492"/>
                            <a:ext cx="798845" cy="142889"/>
                          </a:xfrm>
                          <a:prstGeom prst="rect">
                            <a:avLst/>
                          </a:prstGeom>
                          <a:ln>
                            <a:noFill/>
                          </a:ln>
                        </wps:spPr>
                        <wps:txbx>
                          <w:txbxContent>
                            <w:p w14:paraId="67304FF9" w14:textId="77777777" w:rsidR="00B32EF2" w:rsidRDefault="00000000">
                              <w:r>
                                <w:rPr>
                                  <w:rFonts w:ascii="Arial" w:eastAsia="Arial" w:hAnsi="Arial" w:cs="Arial"/>
                                  <w:b/>
                                  <w:sz w:val="18"/>
                                </w:rPr>
                                <w:t>Articolo 11</w:t>
                              </w:r>
                            </w:p>
                          </w:txbxContent>
                        </wps:txbx>
                        <wps:bodyPr horzOverflow="overflow" vert="horz" lIns="0" tIns="0" rIns="0" bIns="0" rtlCol="0">
                          <a:noAutofit/>
                        </wps:bodyPr>
                      </wps:wsp>
                      <wps:wsp>
                        <wps:cNvPr id="202313" name="Rectangle 202313"/>
                        <wps:cNvSpPr/>
                        <wps:spPr>
                          <a:xfrm rot="-10799999">
                            <a:off x="2244578" y="1691162"/>
                            <a:ext cx="2117899" cy="142889"/>
                          </a:xfrm>
                          <a:prstGeom prst="rect">
                            <a:avLst/>
                          </a:prstGeom>
                          <a:ln>
                            <a:noFill/>
                          </a:ln>
                        </wps:spPr>
                        <wps:txbx>
                          <w:txbxContent>
                            <w:p w14:paraId="11BCBC88"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314" name="Rectangle 202314"/>
                        <wps:cNvSpPr/>
                        <wps:spPr>
                          <a:xfrm rot="-10799999">
                            <a:off x="-503273" y="1691162"/>
                            <a:ext cx="2117898" cy="142889"/>
                          </a:xfrm>
                          <a:prstGeom prst="rect">
                            <a:avLst/>
                          </a:prstGeom>
                          <a:ln>
                            <a:noFill/>
                          </a:ln>
                        </wps:spPr>
                        <wps:txbx>
                          <w:txbxContent>
                            <w:p w14:paraId="66DEB301"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315" name="Rectangle 202315"/>
                        <wps:cNvSpPr/>
                        <wps:spPr>
                          <a:xfrm rot="-10799999">
                            <a:off x="1053973" y="1691162"/>
                            <a:ext cx="2117899" cy="142889"/>
                          </a:xfrm>
                          <a:prstGeom prst="rect">
                            <a:avLst/>
                          </a:prstGeom>
                          <a:ln>
                            <a:noFill/>
                          </a:ln>
                        </wps:spPr>
                        <wps:txbx>
                          <w:txbxContent>
                            <w:p w14:paraId="1CAEDAF3" w14:textId="77777777" w:rsidR="00B32EF2" w:rsidRDefault="00000000">
                              <w:r>
                                <w:rPr>
                                  <w:rFonts w:ascii="Arial" w:eastAsia="Arial" w:hAnsi="Arial" w:cs="Arial"/>
                                  <w:i/>
                                  <w:sz w:val="18"/>
                                </w:rPr>
                                <w:t xml:space="preserve">articolo 5-bis D.lgs. n. </w:t>
                              </w:r>
                            </w:p>
                          </w:txbxContent>
                        </wps:txbx>
                        <wps:bodyPr horzOverflow="overflow" vert="horz" lIns="0" tIns="0" rIns="0" bIns="0" rtlCol="0">
                          <a:noAutofit/>
                        </wps:bodyPr>
                      </wps:wsp>
                      <wps:wsp>
                        <wps:cNvPr id="22666" name="Rectangle 22666"/>
                        <wps:cNvSpPr/>
                        <wps:spPr>
                          <a:xfrm rot="-10799999">
                            <a:off x="-478757" y="1567832"/>
                            <a:ext cx="3965720" cy="142889"/>
                          </a:xfrm>
                          <a:prstGeom prst="rect">
                            <a:avLst/>
                          </a:prstGeom>
                          <a:ln>
                            <a:noFill/>
                          </a:ln>
                        </wps:spPr>
                        <wps:txbx>
                          <w:txbxContent>
                            <w:p w14:paraId="08201593" w14:textId="77777777" w:rsidR="00B32EF2" w:rsidRDefault="00000000">
                              <w:r>
                                <w:rPr>
                                  <w:rFonts w:ascii="Arial" w:eastAsia="Arial" w:hAnsi="Arial" w:cs="Arial"/>
                                  <w:b/>
                                  <w:sz w:val="18"/>
                                </w:rPr>
                                <w:t xml:space="preserve">Formazione continua dei giudici e magistrati tributari </w:t>
                              </w:r>
                            </w:p>
                          </w:txbxContent>
                        </wps:txbx>
                        <wps:bodyPr horzOverflow="overflow" vert="horz" lIns="0" tIns="0" rIns="0" bIns="0" rtlCol="0">
                          <a:noAutofit/>
                        </wps:bodyPr>
                      </wps:wsp>
                      <wps:wsp>
                        <wps:cNvPr id="202312" name="Rectangle 202312"/>
                        <wps:cNvSpPr/>
                        <wps:spPr>
                          <a:xfrm rot="-10799999">
                            <a:off x="-1376279" y="1444503"/>
                            <a:ext cx="5309035" cy="142889"/>
                          </a:xfrm>
                          <a:prstGeom prst="rect">
                            <a:avLst/>
                          </a:prstGeom>
                          <a:ln>
                            <a:noFill/>
                          </a:ln>
                        </wps:spPr>
                        <wps:txbx>
                          <w:txbxContent>
                            <w:p w14:paraId="59E5DABD" w14:textId="77777777" w:rsidR="00B32EF2" w:rsidRDefault="00000000">
                              <w:r>
                                <w:rPr>
                                  <w:rFonts w:ascii="Arial" w:eastAsia="Arial" w:hAnsi="Arial" w:cs="Arial"/>
                                  <w:sz w:val="18"/>
                                </w:rPr>
                                <w:t xml:space="preserve">. Il Consiglio di presidenza della giustizia tributaria, con proprio regolamento, </w:t>
                              </w:r>
                            </w:p>
                          </w:txbxContent>
                        </wps:txbx>
                        <wps:bodyPr horzOverflow="overflow" vert="horz" lIns="0" tIns="0" rIns="0" bIns="0" rtlCol="0">
                          <a:noAutofit/>
                        </wps:bodyPr>
                      </wps:wsp>
                      <wps:wsp>
                        <wps:cNvPr id="202311" name="Rectangle 202311"/>
                        <wps:cNvSpPr/>
                        <wps:spPr>
                          <a:xfrm rot="-10799999">
                            <a:off x="2611110" y="1444503"/>
                            <a:ext cx="5309035" cy="142889"/>
                          </a:xfrm>
                          <a:prstGeom prst="rect">
                            <a:avLst/>
                          </a:prstGeom>
                          <a:ln>
                            <a:noFill/>
                          </a:ln>
                        </wps:spPr>
                        <wps:txbx>
                          <w:txbxContent>
                            <w:p w14:paraId="02942B59"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2668" name="Rectangle 22668"/>
                        <wps:cNvSpPr/>
                        <wps:spPr>
                          <a:xfrm rot="-10799999">
                            <a:off x="-1317035" y="1321173"/>
                            <a:ext cx="5308975" cy="142889"/>
                          </a:xfrm>
                          <a:prstGeom prst="rect">
                            <a:avLst/>
                          </a:prstGeom>
                          <a:ln>
                            <a:noFill/>
                          </a:ln>
                        </wps:spPr>
                        <wps:txbx>
                          <w:txbxContent>
                            <w:p w14:paraId="51AF8BFE" w14:textId="77777777" w:rsidR="00B32EF2" w:rsidRDefault="00000000">
                              <w:r>
                                <w:rPr>
                                  <w:rFonts w:ascii="Arial" w:eastAsia="Arial" w:hAnsi="Arial" w:cs="Arial"/>
                                  <w:sz w:val="18"/>
                                </w:rPr>
                                <w:t xml:space="preserve">definisce i criteri e le modalità della formazione continua e dell’aggiornamento </w:t>
                              </w:r>
                            </w:p>
                          </w:txbxContent>
                        </wps:txbx>
                        <wps:bodyPr horzOverflow="overflow" vert="horz" lIns="0" tIns="0" rIns="0" bIns="0" rtlCol="0">
                          <a:noAutofit/>
                        </wps:bodyPr>
                      </wps:wsp>
                      <wps:wsp>
                        <wps:cNvPr id="22669" name="Rectangle 22669"/>
                        <wps:cNvSpPr/>
                        <wps:spPr>
                          <a:xfrm rot="-10799999">
                            <a:off x="-1317080" y="1197843"/>
                            <a:ext cx="5309021" cy="142889"/>
                          </a:xfrm>
                          <a:prstGeom prst="rect">
                            <a:avLst/>
                          </a:prstGeom>
                          <a:ln>
                            <a:noFill/>
                          </a:ln>
                        </wps:spPr>
                        <wps:txbx>
                          <w:txbxContent>
                            <w:p w14:paraId="7C321987" w14:textId="77777777" w:rsidR="00B32EF2" w:rsidRDefault="00000000">
                              <w:r>
                                <w:rPr>
                                  <w:rFonts w:ascii="Arial" w:eastAsia="Arial" w:hAnsi="Arial" w:cs="Arial"/>
                                  <w:sz w:val="18"/>
                                </w:rPr>
                                <w:t xml:space="preserve">professionale dei giudici e dei magistrati tributari di cui all’articolo 2, comma 1, </w:t>
                              </w:r>
                            </w:p>
                          </w:txbxContent>
                        </wps:txbx>
                        <wps:bodyPr horzOverflow="overflow" vert="horz" lIns="0" tIns="0" rIns="0" bIns="0" rtlCol="0">
                          <a:noAutofit/>
                        </wps:bodyPr>
                      </wps:wsp>
                      <wps:wsp>
                        <wps:cNvPr id="22670" name="Rectangle 22670"/>
                        <wps:cNvSpPr/>
                        <wps:spPr>
                          <a:xfrm rot="-10799999">
                            <a:off x="-1220883" y="1074514"/>
                            <a:ext cx="5212822" cy="142889"/>
                          </a:xfrm>
                          <a:prstGeom prst="rect">
                            <a:avLst/>
                          </a:prstGeom>
                          <a:ln>
                            <a:noFill/>
                          </a:ln>
                        </wps:spPr>
                        <wps:txbx>
                          <w:txbxContent>
                            <w:p w14:paraId="0CD7A580" w14:textId="77777777" w:rsidR="00B32EF2" w:rsidRDefault="00000000">
                              <w:r>
                                <w:rPr>
                                  <w:rFonts w:ascii="Arial" w:eastAsia="Arial" w:hAnsi="Arial" w:cs="Arial"/>
                                  <w:sz w:val="18"/>
                                </w:rPr>
                                <w:t>mediante la frequenza di corsi periodici di carattere teorico-pratico organizza</w:t>
                              </w:r>
                            </w:p>
                          </w:txbxContent>
                        </wps:txbx>
                        <wps:bodyPr horzOverflow="overflow" vert="horz" lIns="0" tIns="0" rIns="0" bIns="0" rtlCol="0">
                          <a:noAutofit/>
                        </wps:bodyPr>
                      </wps:wsp>
                      <wps:wsp>
                        <wps:cNvPr id="22671" name="Rectangle 22671"/>
                        <wps:cNvSpPr/>
                        <wps:spPr>
                          <a:xfrm rot="-10799999">
                            <a:off x="19341" y="1074514"/>
                            <a:ext cx="50622" cy="142889"/>
                          </a:xfrm>
                          <a:prstGeom prst="rect">
                            <a:avLst/>
                          </a:prstGeom>
                          <a:ln>
                            <a:noFill/>
                          </a:ln>
                        </wps:spPr>
                        <wps:txbx>
                          <w:txbxContent>
                            <w:p w14:paraId="171AA95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672" name="Rectangle 22672"/>
                        <wps:cNvSpPr/>
                        <wps:spPr>
                          <a:xfrm rot="-10799999">
                            <a:off x="-1317066" y="951184"/>
                            <a:ext cx="5309005" cy="142889"/>
                          </a:xfrm>
                          <a:prstGeom prst="rect">
                            <a:avLst/>
                          </a:prstGeom>
                          <a:ln>
                            <a:noFill/>
                          </a:ln>
                        </wps:spPr>
                        <wps:txbx>
                          <w:txbxContent>
                            <w:p w14:paraId="0900E8E2" w14:textId="77777777" w:rsidR="00B32EF2" w:rsidRDefault="00000000">
                              <w:r>
                                <w:rPr>
                                  <w:rFonts w:ascii="Arial" w:eastAsia="Arial" w:hAnsi="Arial" w:cs="Arial"/>
                                  <w:sz w:val="18"/>
                                </w:rPr>
                                <w:t xml:space="preserve">ti e gestiti sulla base di apposita convenzione, prioritariamente, dalla Scuola </w:t>
                              </w:r>
                            </w:p>
                          </w:txbxContent>
                        </wps:txbx>
                        <wps:bodyPr horzOverflow="overflow" vert="horz" lIns="0" tIns="0" rIns="0" bIns="0" rtlCol="0">
                          <a:noAutofit/>
                        </wps:bodyPr>
                      </wps:wsp>
                      <wps:wsp>
                        <wps:cNvPr id="22673" name="Rectangle 22673"/>
                        <wps:cNvSpPr/>
                        <wps:spPr>
                          <a:xfrm rot="-10799999">
                            <a:off x="-1317035" y="827854"/>
                            <a:ext cx="5308975" cy="142889"/>
                          </a:xfrm>
                          <a:prstGeom prst="rect">
                            <a:avLst/>
                          </a:prstGeom>
                          <a:ln>
                            <a:noFill/>
                          </a:ln>
                        </wps:spPr>
                        <wps:txbx>
                          <w:txbxContent>
                            <w:p w14:paraId="3A3E4CAE" w14:textId="77777777" w:rsidR="00B32EF2" w:rsidRDefault="00000000">
                              <w:r>
                                <w:rPr>
                                  <w:rFonts w:ascii="Arial" w:eastAsia="Arial" w:hAnsi="Arial" w:cs="Arial"/>
                                  <w:sz w:val="18"/>
                                </w:rPr>
                                <w:t xml:space="preserve">nazionale dell’amministrazione con modalità separate e corsi distinti rispetto </w:t>
                              </w:r>
                            </w:p>
                          </w:txbxContent>
                        </wps:txbx>
                        <wps:bodyPr horzOverflow="overflow" vert="horz" lIns="0" tIns="0" rIns="0" bIns="0" rtlCol="0">
                          <a:noAutofit/>
                        </wps:bodyPr>
                      </wps:wsp>
                      <wps:wsp>
                        <wps:cNvPr id="22674" name="Rectangle 22674"/>
                        <wps:cNvSpPr/>
                        <wps:spPr>
                          <a:xfrm rot="-10799999">
                            <a:off x="-1220868" y="704524"/>
                            <a:ext cx="5212808" cy="142889"/>
                          </a:xfrm>
                          <a:prstGeom prst="rect">
                            <a:avLst/>
                          </a:prstGeom>
                          <a:ln>
                            <a:noFill/>
                          </a:ln>
                        </wps:spPr>
                        <wps:txbx>
                          <w:txbxContent>
                            <w:p w14:paraId="29C5FEA9" w14:textId="77777777" w:rsidR="00B32EF2" w:rsidRDefault="00000000">
                              <w:r>
                                <w:rPr>
                                  <w:rFonts w:ascii="Arial" w:eastAsia="Arial" w:hAnsi="Arial" w:cs="Arial"/>
                                  <w:sz w:val="18"/>
                                </w:rPr>
                                <w:t>ai corsi di formazione destinati all’amministrazione finanziaria o, subordinata</w:t>
                              </w:r>
                            </w:p>
                          </w:txbxContent>
                        </wps:txbx>
                        <wps:bodyPr horzOverflow="overflow" vert="horz" lIns="0" tIns="0" rIns="0" bIns="0" rtlCol="0">
                          <a:noAutofit/>
                        </wps:bodyPr>
                      </wps:wsp>
                      <wps:wsp>
                        <wps:cNvPr id="22675" name="Rectangle 22675"/>
                        <wps:cNvSpPr/>
                        <wps:spPr>
                          <a:xfrm rot="-10799999">
                            <a:off x="19341" y="704525"/>
                            <a:ext cx="50622" cy="142889"/>
                          </a:xfrm>
                          <a:prstGeom prst="rect">
                            <a:avLst/>
                          </a:prstGeom>
                          <a:ln>
                            <a:noFill/>
                          </a:ln>
                        </wps:spPr>
                        <wps:txbx>
                          <w:txbxContent>
                            <w:p w14:paraId="1CF8D4D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676" name="Rectangle 22676"/>
                        <wps:cNvSpPr/>
                        <wps:spPr>
                          <a:xfrm rot="-10799999">
                            <a:off x="-1317081" y="581195"/>
                            <a:ext cx="5309021" cy="142890"/>
                          </a:xfrm>
                          <a:prstGeom prst="rect">
                            <a:avLst/>
                          </a:prstGeom>
                          <a:ln>
                            <a:noFill/>
                          </a:ln>
                        </wps:spPr>
                        <wps:txbx>
                          <w:txbxContent>
                            <w:p w14:paraId="50007CA6" w14:textId="77777777" w:rsidR="00B32EF2" w:rsidRDefault="00000000">
                              <w:r>
                                <w:rPr>
                                  <w:rFonts w:ascii="Arial" w:eastAsia="Arial" w:hAnsi="Arial" w:cs="Arial"/>
                                  <w:sz w:val="18"/>
                                </w:rPr>
                                <w:t xml:space="preserve">mente, dalle università accreditate ai sensi del decreto legislativo 27 gennaio </w:t>
                              </w:r>
                            </w:p>
                          </w:txbxContent>
                        </wps:txbx>
                        <wps:bodyPr horzOverflow="overflow" vert="horz" lIns="0" tIns="0" rIns="0" bIns="0" rtlCol="0">
                          <a:noAutofit/>
                        </wps:bodyPr>
                      </wps:wsp>
                      <wps:wsp>
                        <wps:cNvPr id="202306" name="Rectangle 202306"/>
                        <wps:cNvSpPr/>
                        <wps:spPr>
                          <a:xfrm rot="-10799999">
                            <a:off x="-1566285" y="457865"/>
                            <a:ext cx="5309051" cy="142889"/>
                          </a:xfrm>
                          <a:prstGeom prst="rect">
                            <a:avLst/>
                          </a:prstGeom>
                          <a:ln>
                            <a:noFill/>
                          </a:ln>
                        </wps:spPr>
                        <wps:txbx>
                          <w:txbxContent>
                            <w:p w14:paraId="4087142B" w14:textId="77777777" w:rsidR="00B32EF2" w:rsidRDefault="00000000">
                              <w:r>
                                <w:rPr>
                                  <w:rFonts w:ascii="Arial" w:eastAsia="Arial" w:hAnsi="Arial" w:cs="Arial"/>
                                  <w:sz w:val="18"/>
                                </w:rPr>
                                <w:t xml:space="preserve">, n. 19 o da altri enti pubblici. Agli oneri per la formazione di cui al primo </w:t>
                              </w:r>
                            </w:p>
                          </w:txbxContent>
                        </wps:txbx>
                        <wps:bodyPr horzOverflow="overflow" vert="horz" lIns="0" tIns="0" rIns="0" bIns="0" rtlCol="0">
                          <a:noAutofit/>
                        </wps:bodyPr>
                      </wps:wsp>
                      <wps:wsp>
                        <wps:cNvPr id="202304" name="Rectangle 202304"/>
                        <wps:cNvSpPr/>
                        <wps:spPr>
                          <a:xfrm rot="-10799999">
                            <a:off x="2425813" y="457865"/>
                            <a:ext cx="5309052" cy="142889"/>
                          </a:xfrm>
                          <a:prstGeom prst="rect">
                            <a:avLst/>
                          </a:prstGeom>
                          <a:ln>
                            <a:noFill/>
                          </a:ln>
                        </wps:spPr>
                        <wps:txbx>
                          <w:txbxContent>
                            <w:p w14:paraId="1B411422" w14:textId="77777777" w:rsidR="00B32EF2" w:rsidRDefault="00000000">
                              <w:r>
                                <w:rPr>
                                  <w:rFonts w:ascii="Arial" w:eastAsia="Arial" w:hAnsi="Arial" w:cs="Arial"/>
                                  <w:sz w:val="18"/>
                                </w:rPr>
                                <w:t>2012</w:t>
                              </w:r>
                            </w:p>
                          </w:txbxContent>
                        </wps:txbx>
                        <wps:bodyPr horzOverflow="overflow" vert="horz" lIns="0" tIns="0" rIns="0" bIns="0" rtlCol="0">
                          <a:noAutofit/>
                        </wps:bodyPr>
                      </wps:wsp>
                      <wps:wsp>
                        <wps:cNvPr id="22678" name="Rectangle 22678"/>
                        <wps:cNvSpPr/>
                        <wps:spPr>
                          <a:xfrm rot="-10799999">
                            <a:off x="-1317011" y="334536"/>
                            <a:ext cx="5309522" cy="142889"/>
                          </a:xfrm>
                          <a:prstGeom prst="rect">
                            <a:avLst/>
                          </a:prstGeom>
                          <a:ln>
                            <a:noFill/>
                          </a:ln>
                        </wps:spPr>
                        <wps:txbx>
                          <w:txbxContent>
                            <w:p w14:paraId="72F845CE" w14:textId="77777777" w:rsidR="00B32EF2" w:rsidRDefault="00000000">
                              <w:r>
                                <w:rPr>
                                  <w:rFonts w:ascii="Arial" w:eastAsia="Arial" w:hAnsi="Arial" w:cs="Arial"/>
                                  <w:sz w:val="18"/>
                                </w:rPr>
                                <w:t xml:space="preserve">periodo si provvede nell’ambito degli stanziamenti annuali dell’apposita voce </w:t>
                              </w:r>
                            </w:p>
                          </w:txbxContent>
                        </wps:txbx>
                        <wps:bodyPr horzOverflow="overflow" vert="horz" lIns="0" tIns="0" rIns="0" bIns="0" rtlCol="0">
                          <a:noAutofit/>
                        </wps:bodyPr>
                      </wps:wsp>
                      <wps:wsp>
                        <wps:cNvPr id="22679" name="Rectangle 22679"/>
                        <wps:cNvSpPr/>
                        <wps:spPr>
                          <a:xfrm rot="-10799999">
                            <a:off x="-1228909" y="211206"/>
                            <a:ext cx="5220849" cy="142889"/>
                          </a:xfrm>
                          <a:prstGeom prst="rect">
                            <a:avLst/>
                          </a:prstGeom>
                          <a:ln>
                            <a:noFill/>
                          </a:ln>
                        </wps:spPr>
                        <wps:txbx>
                          <w:txbxContent>
                            <w:p w14:paraId="069E90E7" w14:textId="77777777" w:rsidR="00B32EF2" w:rsidRDefault="00000000">
                              <w:r>
                                <w:rPr>
                                  <w:rFonts w:ascii="Arial" w:eastAsia="Arial" w:hAnsi="Arial" w:cs="Arial"/>
                                  <w:sz w:val="18"/>
                                </w:rPr>
                                <w:t>di bilancio in favore dello stesso Consiglio e sulla base di un programma di for</w:t>
                              </w:r>
                            </w:p>
                          </w:txbxContent>
                        </wps:txbx>
                        <wps:bodyPr horzOverflow="overflow" vert="horz" lIns="0" tIns="0" rIns="0" bIns="0" rtlCol="0">
                          <a:noAutofit/>
                        </wps:bodyPr>
                      </wps:wsp>
                      <wps:wsp>
                        <wps:cNvPr id="22680" name="Rectangle 22680"/>
                        <wps:cNvSpPr/>
                        <wps:spPr>
                          <a:xfrm rot="-10799999">
                            <a:off x="19341" y="211206"/>
                            <a:ext cx="50622" cy="142889"/>
                          </a:xfrm>
                          <a:prstGeom prst="rect">
                            <a:avLst/>
                          </a:prstGeom>
                          <a:ln>
                            <a:noFill/>
                          </a:ln>
                        </wps:spPr>
                        <wps:txbx>
                          <w:txbxContent>
                            <w:p w14:paraId="347A8D5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681" name="Rectangle 22681"/>
                        <wps:cNvSpPr/>
                        <wps:spPr>
                          <a:xfrm rot="-10799999">
                            <a:off x="-1317066" y="87876"/>
                            <a:ext cx="5309005" cy="142889"/>
                          </a:xfrm>
                          <a:prstGeom prst="rect">
                            <a:avLst/>
                          </a:prstGeom>
                          <a:ln>
                            <a:noFill/>
                          </a:ln>
                        </wps:spPr>
                        <wps:txbx>
                          <w:txbxContent>
                            <w:p w14:paraId="419100DC" w14:textId="77777777" w:rsidR="00B32EF2" w:rsidRDefault="00000000">
                              <w:r>
                                <w:rPr>
                                  <w:rFonts w:ascii="Arial" w:eastAsia="Arial" w:hAnsi="Arial" w:cs="Arial"/>
                                  <w:sz w:val="18"/>
                                </w:rPr>
                                <w:t xml:space="preserve">mazione annuale, comunicato al Ministero dell’economia e delle finanze entro </w:t>
                              </w:r>
                            </w:p>
                          </w:txbxContent>
                        </wps:txbx>
                        <wps:bodyPr horzOverflow="overflow" vert="horz" lIns="0" tIns="0" rIns="0" bIns="0" rtlCol="0">
                          <a:noAutofit/>
                        </wps:bodyPr>
                      </wps:wsp>
                      <wps:wsp>
                        <wps:cNvPr id="22682" name="Rectangle 22682"/>
                        <wps:cNvSpPr/>
                        <wps:spPr>
                          <a:xfrm rot="-10799999">
                            <a:off x="-902661" y="-35453"/>
                            <a:ext cx="4894602" cy="142889"/>
                          </a:xfrm>
                          <a:prstGeom prst="rect">
                            <a:avLst/>
                          </a:prstGeom>
                          <a:ln>
                            <a:noFill/>
                          </a:ln>
                        </wps:spPr>
                        <wps:txbx>
                          <w:txbxContent>
                            <w:p w14:paraId="4E74A59C" w14:textId="77777777" w:rsidR="00B32EF2" w:rsidRDefault="00000000">
                              <w:r>
                                <w:rPr>
                                  <w:rFonts w:ascii="Arial" w:eastAsia="Arial" w:hAnsi="Arial" w:cs="Arial"/>
                                  <w:sz w:val="18"/>
                                </w:rPr>
                                <w:t>il mese di luglio dell’anno precedente lo svolgimento dei corsi medesimi.</w:t>
                              </w:r>
                            </w:p>
                          </w:txbxContent>
                        </wps:txbx>
                        <wps:bodyPr horzOverflow="overflow" vert="horz" lIns="0" tIns="0" rIns="0" bIns="0" rtlCol="0">
                          <a:noAutofit/>
                        </wps:bodyPr>
                      </wps:wsp>
                    </wpg:wgp>
                  </a:graphicData>
                </a:graphic>
              </wp:inline>
            </w:drawing>
          </mc:Choice>
          <mc:Fallback>
            <w:pict>
              <v:group w14:anchorId="1C279B56" id="Group 202381" o:spid="_x0000_s6550" style="width:314.35pt;height:445.45pt;mso-position-horizontal-relative:char;mso-position-vertical-relative:line" coordsize="39919,5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efM3AkAAFV5AAAOAAAAZHJzL2Uyb0RvYy54bWzkXV1v2zYUfR+w/2D4PbX4IYky6hbDuhUD&#10;hrVYtx+gOHZswLYMyW3S/fqdS8qkI7MbRgFhMO4hc2jXkXh47j33g9Trt4/73eTLqu22zWExZa+y&#10;6WR1WDZ328P9YvrnHz/fqOmkO9WHu3rXHFaL6ddVN3375vvvXj8c5yvebJrd3aqd4EsO3fzhuJhu&#10;TqfjfDbrlpvVvu5eNcfVAW+um3Zfn/Brez+7a+sHfPt+N+NZVswemvbu2DbLVddh9J15c/pGf/96&#10;vVqePqzX3eo02S2muLaT/tnqn7f0c/bmdT2/b+vjZrvsL6MOuIp9vT3gj9qvelef6snndnv1Vfvt&#10;sm26Zn16tWz2s2a93i5X+h5wNywb3M37tvl81PdyP3+4P9ppwtQO5in4a5e/fXnfHj8dP7aYiYfj&#10;PeZC/0b38rhu9/R/XOXkUU/ZVztlq8fTZIlBUVWsEtV0ssR7eZGXvORmUpcbzPzVv1tufvqXfzk7&#10;/+HZk8t5OGKBdG4OunFz8GlTH1d6ars55uBjO9neLaacFwKr5FDvsVR/x+KpD/e71cQM6wnSn7bT&#10;1c07zNx5riZtg/V1w7Kyov/0eujn7oZx4MuK6YSmKWdSqH6azhOZ80ypPDcTySRXlV6cdjbq+bHt&#10;Tu9XzX5CLxbTFpen/0T95dfuhIvDR88foSvaHejnofl5u9uZd2kEk3q+aHp1erx91Hee8yon3Gjw&#10;trn7ignZNO1fH0Dt9a55WEyb/tWU2I4/T+9OJ7tfDgCCiHV+0Z5f3J5ftKfdj42mn7mgHz6fmvVW&#10;X7H7a/2VAWFzDc8CNfNDzc4TgYXx36EGHSS+2OIsDB0szlnBuUNZVfT2M6JcnG8uGZQx2z5Ca/7R&#10;AgxC+YYJVmZVT2hRsSwfElpkVSbwAbKMmtB6XT0j1GVyUAs/1JqC46BmrOc0L8qSywGnCeocHzhD&#10;/eysVslBLf1Qa2SCoRZFVipZGuvNpBTVAGmhhMzwfjSgtbtwbvP/7qQzLjg00ZX9NuO9Xgk14IoV&#10;MNraU2ecZcUA61wb8AtF9sysFplWgGmB7bPgBPY4E84L2O8MUQqpsm9jfeGsnx1rKzqT0WWY7Ste&#10;I/6yAjWQ1pxVWYllBKilqspS6LimnlsBzrEUGNxHJBsuMqs8k4EaHtMHtRWoQVC7QMvgPDTfUQMt&#10;kVmLlQzKSPX5ULbaNAhlE2iBxJrQZSllNiS0yMDzmH7ais5koIYr9UFt1Wkg1EiS5SCOhrrIkUgb&#10;Qs0ZhyqPaLuTS5JJfz4Uw2PU94Xt9uIc2XZbDZIKoSlj6SE0hsegbGy3MkkymXNYbz2zF2JMsCzL&#10;Y4oxq0GSgdqfD5VWlQbabsqH5jAWpLtlJiWKHVg7l1DDTaOoEU93WyGSDNS+aJoXcKDjWd2nvlGo&#10;YhkYPoQaqe+YiswKkWSg9udDpZWm4axGztOwmuVlmV9BDQNOmZVY0TSzQiQZqEEsn6+20jQc6nNB&#10;S2ZCSq5d4xMDHpfVKMH0disZqP05MqOigqscT2qXKF0iM/rioLZqJBmo/TkyFKPG+WqE1FKZipYo&#10;VVkWQ6gppAbV4xlwq0aSgdqfKJNWnwYZcBdS+3GOG1Ij4Z6a7fbnyKSVpkEo8wIVEqg6CrNEgVdC&#10;rxrnpZngqqSyZjRBZnVIGnym6qQve2LGxxhvXbWEvtVY5xJ+eoB19Aq1ifHTqlD70ieEtVUsQbyG&#10;JkM7AoNnIGK/TLCtFEmD2ByZaW+kheExtH5S0UKvaFmW17yOW9HCOkzMW5PH9ATVpqlzRKQF+S0Q&#10;XWlW80pK4/6du84hv4WIKb+tHkmG1f6saG7jkCADfiG/Nc5DSseV3zy5LBkVlXyEtnFIEMradmOb&#10;iyE0K9FWpvlzQWhUtFgVrxeYxGhqttufEMVmmvFuui9ziEzCS19BTR3+EcscTnMmY7v9CVFTlQh2&#10;01xIBQtJTppXaDAptLV0nBZlDqZHLHK49tdkgIYk8plvG4MEmW+GniLKmGiksZFDmRZrh7RCslRE&#10;bEcwO0uSCqiJV1dII6A2jjWY0zdSQW0b5c3zHC8HpEbHv+QsovLGxoakHDVh6st8m/ExrpqjgqE4&#10;1hEZcI211kCO1vGx1mXzpHhNDtXHaxeKhJlwBFJ5vxnvhWJtfVQyztpnwpE+s6mFIKRvKsEr2qhB&#10;rJaCMdON6Fgti0ropRCr1METS5ORpfbpMjM+xoLjfISyygvTKcoFdmGaZg8Htk6UUaElGth2NadB&#10;awLVF22Z8TFgY5MXdPhLxhqHgCQlzVBV9pc6MDwGaZcU9XM6blJU2JtLg9FA2V/lwPAYlJ/0k3GG&#10;uOvqcJvYW6mFvcNkoPZXOYpxVQ5qLaIzTUiSZdhUbUqhzkuLAv0ntIMrlpcW9v6SAdpf6DCnGQSn&#10;T4CsxKE1GmmmcBRGpRnkkC4rpWTE3DeydEm5aJJdPkqb8THmG9kTmaMFgUjNCrQDG3fgoMaGedQ+&#10;Iqa/zRb+pLInFPf6sieujzIspsb2Wt6fjvAPWGMxRDPg6WXKmK9+Sby2CeIgrHEkGVpPYDNeLq+T&#10;y5RRhuOK1tDldtEHIX0jIctyU+tgeVEqI3edBRcVncwZce+l6VJOy4L7Yi1itQ1FwrBmoiyQLDO0&#10;RomLDkyA+3dgR+8KxnGwyUkzX/qEwLYphiCwLzvAocFfINbuHIhk4i1fDRMm3NYCgpB+0hSMGBqS&#10;+5rWcZuC3WEQyUDtr2sV1r6NgFqZfiO0FeHEyWuoK5xSF0+Eu8MgUoEa3SE+YWaaRoKzKPrYb9Xv&#10;n8dxRhJZlYGzRv+3inggtHCHQSQDtc9X41jfca7alTr8OMctdbhzIJJB2Se/gfJo9Y1jbvo6dYXm&#10;AzXkM1U6cEJdtPwJcrJJiW9A6kuL6uExWdEngkzxUmFDwTDMiqzHbNIgGU77kqJA2pYCAvUYNmkp&#10;6HdKlJUZzikbIk0+Gntv43E6uTwZHefpyZOZ8yCD5Zjz0RpmbSkv8iaRXbQNIJOhsz8ZWlq7Fkhn&#10;OolOQeSBzjn6yMyDbS5wJhd9GV0985N2hDsCIg2kkQejbq8rPpvxcU4aPYNcwVgAaypiYmfe0ElH&#10;fTKHwImI/Q2mg7XPSxPW49w0evzBZlPO+jbUUP2xKpfuWIA0oIbw8qdCzXEGwV7aKO++xV8ImZtH&#10;Ajw14HnMnIk7FSAZpP2ZUJShxplvTs+5M7UspLzRUjYw36TM4S7jcTq5djLKS195al5geAzSTnl7&#10;YY6rvE1kn05xGmj6U6AYHgOyMdx9ckyhJWHI5ti5MXciQCp2G43YXjaPzIIiftI7BqC6b3BYlTk6&#10;xTloPI8Fe+hjSjEbQsYGWj/EFs/u1c/47J8zTA8HvvxdP/vUPQ35zd8AAAD//wMAUEsDBBQABgAI&#10;AAAAIQD6kXcc3QAAAAUBAAAPAAAAZHJzL2Rvd25yZXYueG1sTI9Ba8JAEIXvBf/DMoXe6iaW2phm&#10;IyLqSQrVQultzI5JMDsbsmsS/323vbSXgcd7vPdNthxNI3rqXG1ZQTyNQBAXVtdcKvg4bh8TEM4j&#10;a2wsk4IbOVjmk7sMU20Hfqf+4EsRStilqKDyvk2ldEVFBt3UtsTBO9vOoA+yK6XucAjlppGzKJpL&#10;gzWHhQpbWldUXA5Xo2A34LB6ijf9/nJe376Oz2+f+5iUergfV68gPI3+Lww/+AEd8sB0slfWTjQK&#10;wiP+9wZvPkteQJwUJItoATLP5H/6/BsAAP//AwBQSwECLQAUAAYACAAAACEAtoM4kv4AAADhAQAA&#10;EwAAAAAAAAAAAAAAAAAAAAAAW0NvbnRlbnRfVHlwZXNdLnhtbFBLAQItABQABgAIAAAAIQA4/SH/&#10;1gAAAJQBAAALAAAAAAAAAAAAAAAAAC8BAABfcmVscy8ucmVsc1BLAQItABQABgAIAAAAIQDFhefM&#10;3AkAAFV5AAAOAAAAAAAAAAAAAAAAAC4CAABkcnMvZTJvRG9jLnhtbFBLAQItABQABgAIAAAAIQD6&#10;kXcc3QAAAAUBAAAPAAAAAAAAAAAAAAAAADYMAABkcnMvZG93bnJldi54bWxQSwUGAAAAAAQABADz&#10;AAAAQA0AAAAA&#10;">
                <v:rect id="Rectangle 22630" o:spid="_x0000_s6551" style="position:absolute;left:-12201;top:55143;width:52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wYxAAAAN4AAAAPAAAAZHJzL2Rvd25yZXYueG1sRI/NisIw&#10;FIX3A75DuIK7MbWCSDWKKGIXbsZRcHlprm21uQlNtHWefrIYmOXh/PEt171pxItaX1tWMBknIIgL&#10;q2suFZy/959zED4ga2wsk4I3eVivBh9LzLTt+Itep1CKOMI+QwVVCC6T0hcVGfRj64ijd7OtwRBl&#10;W0rdYhfHTSPTJJlJgzXHhwodbSsqHqenUXDdscv3nSxuP1t3vOfz5vA8X5QaDfvNAkSgPvyH/9q5&#10;VpCms2kEiDgRBeTqFwAA//8DAFBLAQItABQABgAIAAAAIQDb4fbL7gAAAIUBAAATAAAAAAAAAAAA&#10;AAAAAAAAAABbQ29udGVudF9UeXBlc10ueG1sUEsBAi0AFAAGAAgAAAAhAFr0LFu/AAAAFQEAAAsA&#10;AAAAAAAAAAAAAAAAHwEAAF9yZWxzLy5yZWxzUEsBAi0AFAAGAAgAAAAhAL4tvBjEAAAA3gAAAA8A&#10;AAAAAAAAAAAAAAAABwIAAGRycy9kb3ducmV2LnhtbFBLBQYAAAAAAwADALcAAAD4AgAAAAA=&#10;" filled="f" stroked="f">
                  <v:textbox inset="0,0,0,0">
                    <w:txbxContent>
                      <w:p w14:paraId="39279E4F" w14:textId="77777777" w:rsidR="00B32EF2" w:rsidRDefault="00000000">
                        <w:r>
                          <w:rPr>
                            <w:rFonts w:ascii="Arial" w:eastAsia="Arial" w:hAnsi="Arial" w:cs="Arial"/>
                            <w:sz w:val="18"/>
                          </w:rPr>
                          <w:t>tributario, nei limiti dei posti messi a concorso. I documenti comprovanti il pos</w:t>
                        </w:r>
                      </w:p>
                    </w:txbxContent>
                  </v:textbox>
                </v:rect>
                <v:rect id="Rectangle 22631" o:spid="_x0000_s6552" style="position:absolute;left:193;top:5514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RmDxwAAAN4AAAAPAAAAZHJzL2Rvd25yZXYueG1sRI/NasMw&#10;EITvhbyD2EJvjRwHQnAih5IQ4kMvTR3IcbHWP621EpYSu336qlDocZiZb5jtbjK9uNPgO8sKFvME&#10;BHFldceNgvL9+LwG4QOyxt4yKfgiD7t89rDFTNuR3+h+Do2IEPYZKmhDcJmUvmrJoJ9bRxy92g4G&#10;Q5RDI/WAY4SbXqZJspIGO44LLTrat1R9nm9GwfXArjiOsqq/9+71o1j3p1t5UerpcXrZgAg0hf/w&#10;X7vQCtJ0tVzA7514BWT+AwAA//8DAFBLAQItABQABgAIAAAAIQDb4fbL7gAAAIUBAAATAAAAAAAA&#10;AAAAAAAAAAAAAABbQ29udGVudF9UeXBlc10ueG1sUEsBAi0AFAAGAAgAAAAhAFr0LFu/AAAAFQEA&#10;AAsAAAAAAAAAAAAAAAAAHwEAAF9yZWxzLy5yZWxzUEsBAi0AFAAGAAgAAAAhANFhGYPHAAAA3gAA&#10;AA8AAAAAAAAAAAAAAAAABwIAAGRycy9kb3ducmV2LnhtbFBLBQYAAAAAAwADALcAAAD7AgAAAAA=&#10;" filled="f" stroked="f">
                  <v:textbox inset="0,0,0,0">
                    <w:txbxContent>
                      <w:p w14:paraId="1DF209B4" w14:textId="77777777" w:rsidR="00B32EF2" w:rsidRDefault="00000000">
                        <w:r>
                          <w:rPr>
                            <w:rFonts w:ascii="Arial" w:eastAsia="Arial" w:hAnsi="Arial" w:cs="Arial"/>
                            <w:sz w:val="18"/>
                          </w:rPr>
                          <w:t>-</w:t>
                        </w:r>
                      </w:p>
                    </w:txbxContent>
                  </v:textbox>
                </v:rect>
                <v:rect id="Rectangle 22632" o:spid="_x0000_s6553" style="position:absolute;left:-13170;top:5391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4f0xgAAAN4AAAAPAAAAZHJzL2Rvd25yZXYueG1sRI9Ba8JA&#10;FITvgv9heQVvumkEkdRVRBFz6KU2gsdH9pmkZt8u2dXE/vpuodDjMDPfMKvNYFrxoM43lhW8zhIQ&#10;xKXVDVcKis/DdAnCB2SNrWVS8CQPm/V4tMJM254/6HEKlYgQ9hkqqENwmZS+rMmgn1lHHL2r7QyG&#10;KLtK6g77CDetTJNkIQ02HBdqdLSrqbyd7kbBZc8uP/SyvH7v3PtXvmyP9+Ks1ORl2L6BCDSE//Bf&#10;O9cK0nQxT+H3TrwCcv0DAAD//wMAUEsBAi0AFAAGAAgAAAAhANvh9svuAAAAhQEAABMAAAAAAAAA&#10;AAAAAAAAAAAAAFtDb250ZW50X1R5cGVzXS54bWxQSwECLQAUAAYACAAAACEAWvQsW78AAAAVAQAA&#10;CwAAAAAAAAAAAAAAAAAfAQAAX3JlbHMvLnJlbHNQSwECLQAUAAYACAAAACEAIbOH9MYAAADeAAAA&#10;DwAAAAAAAAAAAAAAAAAHAgAAZHJzL2Rvd25yZXYueG1sUEsFBgAAAAADAAMAtwAAAPoCAAAAAA==&#10;" filled="f" stroked="f">
                  <v:textbox inset="0,0,0,0">
                    <w:txbxContent>
                      <w:p w14:paraId="4BCFA9A4" w14:textId="77777777" w:rsidR="00B32EF2" w:rsidRDefault="00000000">
                        <w:r>
                          <w:rPr>
                            <w:rFonts w:ascii="Arial" w:eastAsia="Arial" w:hAnsi="Arial" w:cs="Arial"/>
                            <w:sz w:val="18"/>
                          </w:rPr>
                          <w:t xml:space="preserve">sesso di titoli di preferenza, a parità di punteggio, ai fini della nomina, sono </w:t>
                        </w:r>
                      </w:p>
                    </w:txbxContent>
                  </v:textbox>
                </v:rect>
                <v:rect id="Rectangle 22633" o:spid="_x0000_s6554" style="position:absolute;left:-13171;top:5267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JvxgAAAN4AAAAPAAAAZHJzL2Rvd25yZXYueG1sRI9Ba8JA&#10;FITvhf6H5RW81U0jiERXKYqYQy9aBY+P7DOJZt8u2dXE/npXEHocZuYbZrboTSNu1PrasoKvYQKC&#10;uLC65lLB/nf9OQHhA7LGxjIpuJOHxfz9bYaZth1v6bYLpYgQ9hkqqEJwmZS+qMigH1pHHL2TbQ2G&#10;KNtS6ha7CDeNTJNkLA3WHBcqdLSsqLjsrkbBccUuX3eyOP0t3c85nzSb6/6g1OCj/56CCNSH//Cr&#10;nWsFaToejeB5J14BOX8AAAD//wMAUEsBAi0AFAAGAAgAAAAhANvh9svuAAAAhQEAABMAAAAAAAAA&#10;AAAAAAAAAAAAAFtDb250ZW50X1R5cGVzXS54bWxQSwECLQAUAAYACAAAACEAWvQsW78AAAAVAQAA&#10;CwAAAAAAAAAAAAAAAAAfAQAAX3JlbHMvLnJlbHNQSwECLQAUAAYACAAAACEATv8ib8YAAADeAAAA&#10;DwAAAAAAAAAAAAAAAAAHAgAAZHJzL2Rvd25yZXYueG1sUEsFBgAAAAADAAMAtwAAAPoCAAAAAA==&#10;" filled="f" stroked="f">
                  <v:textbox inset="0,0,0,0">
                    <w:txbxContent>
                      <w:p w14:paraId="73271F5E" w14:textId="77777777" w:rsidR="00B32EF2" w:rsidRDefault="00000000">
                        <w:r>
                          <w:rPr>
                            <w:rFonts w:ascii="Arial" w:eastAsia="Arial" w:hAnsi="Arial" w:cs="Arial"/>
                            <w:sz w:val="18"/>
                          </w:rPr>
                          <w:t xml:space="preserve">presentati, a pena di decadenza, entro il giorno di svolgimento della prova </w:t>
                        </w:r>
                      </w:p>
                    </w:txbxContent>
                  </v:textbox>
                </v:rect>
                <v:rect id="Rectangle 22634" o:spid="_x0000_s6555" style="position:absolute;left:36078;top:51443;width:38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robxwAAAN4AAAAPAAAAZHJzL2Rvd25yZXYueG1sRI9Pa8JA&#10;FMTvgt9heYI33TQWkegqxSLNoZf6Bzw+ss8kbfbtkl1N2k/fFQSPw8z8hlltetOIG7W+tqzgZZqA&#10;IC6srrlUcDzsJgsQPiBrbCyTgl/ysFkPByvMtO34i277UIoIYZ+hgioEl0npi4oM+ql1xNG72NZg&#10;iLItpW6xi3DTyDRJ5tJgzXGhQkfbioqf/dUoOL+zy3edLC5/W/f5nS+aj+vxpNR41L8tQQTqwzP8&#10;aOdaQZrOZ69wvxOvgFz/AwAA//8DAFBLAQItABQABgAIAAAAIQDb4fbL7gAAAIUBAAATAAAAAAAA&#10;AAAAAAAAAAAAAABbQ29udGVudF9UeXBlc10ueG1sUEsBAi0AFAAGAAgAAAAhAFr0LFu/AAAAFQEA&#10;AAsAAAAAAAAAAAAAAAAAHwEAAF9yZWxzLy5yZWxzUEsBAi0AFAAGAAgAAAAhAMEWuhvHAAAA3gAA&#10;AA8AAAAAAAAAAAAAAAAABwIAAGRycy9kb3ducmV2LnhtbFBLBQYAAAAAAwADALcAAAD7AgAAAAA=&#10;" filled="f" stroked="f">
                  <v:textbox inset="0,0,0,0">
                    <w:txbxContent>
                      <w:p w14:paraId="640F379D" w14:textId="77777777" w:rsidR="00B32EF2" w:rsidRDefault="00000000">
                        <w:r>
                          <w:rPr>
                            <w:rFonts w:ascii="Arial" w:eastAsia="Arial" w:hAnsi="Arial" w:cs="Arial"/>
                            <w:sz w:val="18"/>
                          </w:rPr>
                          <w:t>orale.</w:t>
                        </w:r>
                      </w:p>
                    </w:txbxContent>
                  </v:textbox>
                </v:rect>
                <v:rect id="Rectangle 202325" o:spid="_x0000_s6556" style="position:absolute;left:-13816;top:5021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NlbxwAAAN8AAAAPAAAAZHJzL2Rvd25yZXYueG1sRI9Ba8JA&#10;FITvBf/D8gRvdWNKi0RXEUWag5daBY+P7DOJZt8u2dVEf323UOhxmJlvmPmyN424U+trywom4wQE&#10;cWF1zaWCw/f2dQrCB2SNjWVS8CAPy8XgZY6Zth1/0X0fShEh7DNUUIXgMil9UZFBP7aOOHpn2xoM&#10;Ubal1C12EW4amSbJhzRYc1yo0NG6ouK6vxkFpw27fNvJ4vxcu90lnzaft8NRqdGwX81ABOrDf/iv&#10;nWsFaZK+pe/w+yd+Abn4AQAA//8DAFBLAQItABQABgAIAAAAIQDb4fbL7gAAAIUBAAATAAAAAAAA&#10;AAAAAAAAAAAAAABbQ29udGVudF9UeXBlc10ueG1sUEsBAi0AFAAGAAgAAAAhAFr0LFu/AAAAFQEA&#10;AAsAAAAAAAAAAAAAAAAAHwEAAF9yZWxzLy5yZWxzUEsBAi0AFAAGAAgAAAAhAE442VvHAAAA3wAA&#10;AA8AAAAAAAAAAAAAAAAABwIAAGRycy9kb3ducmV2LnhtbFBLBQYAAAAAAwADALcAAAD7AgAAAAA=&#10;" filled="f" stroked="f">
                  <v:textbox inset="0,0,0,0">
                    <w:txbxContent>
                      <w:p w14:paraId="3787D49E" w14:textId="77777777" w:rsidR="00B32EF2" w:rsidRDefault="00000000">
                        <w:r>
                          <w:rPr>
                            <w:rFonts w:ascii="Arial" w:eastAsia="Arial" w:hAnsi="Arial" w:cs="Arial"/>
                            <w:sz w:val="18"/>
                          </w:rPr>
                          <w:t xml:space="preserve">. I magistrati tributari nominati a seguito del superamento del concorso di cui </w:t>
                        </w:r>
                      </w:p>
                    </w:txbxContent>
                  </v:textbox>
                </v:rect>
                <v:rect id="Rectangle 202323" o:spid="_x0000_s6557" style="position:absolute;left:26111;top:5021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eS0xwAAAN8AAAAPAAAAZHJzL2Rvd25yZXYueG1sRI9Ba8JA&#10;FITvBf/D8oTe6sYIRaKriCLNwUvVQo+P7DOJZt8u2dXE/vquIHgcZuYbZr7sTSNu1PrasoLxKAFB&#10;XFhdc6ngeNh+TEH4gKyxsUwK7uRhuRi8zTHTtuNvuu1DKSKEfYYKqhBcJqUvKjLoR9YRR+9kW4Mh&#10;yraUusUuwk0j0yT5lAZrjgsVOlpXVFz2V6Pgd8Mu33ayOP2t3e6cT5uv6/FHqfdhv5qBCNSHV/jZ&#10;zrWCNEkn6QQef+IXkIt/AAAA//8DAFBLAQItABQABgAIAAAAIQDb4fbL7gAAAIUBAAATAAAAAAAA&#10;AAAAAAAAAAAAAABbQ29udGVudF9UeXBlc10ueG1sUEsBAi0AFAAGAAgAAAAhAFr0LFu/AAAAFQEA&#10;AAsAAAAAAAAAAAAAAAAAHwEAAF9yZWxzLy5yZWxzUEsBAi0AFAAGAAgAAAAhAK6d5LTHAAAA3wAA&#10;AA8AAAAAAAAAAAAAAAAABwIAAGRycy9kb3ducmV2LnhtbFBLBQYAAAAAAwADALcAAAD7AgAAAAA=&#10;" filled="f" stroked="f">
                  <v:textbox inset="0,0,0,0">
                    <w:txbxContent>
                      <w:p w14:paraId="7057D749" w14:textId="77777777" w:rsidR="00B32EF2" w:rsidRDefault="00000000">
                        <w:r>
                          <w:rPr>
                            <w:rFonts w:ascii="Arial" w:eastAsia="Arial" w:hAnsi="Arial" w:cs="Arial"/>
                            <w:sz w:val="18"/>
                          </w:rPr>
                          <w:t>2</w:t>
                        </w:r>
                      </w:p>
                    </w:txbxContent>
                  </v:textbox>
                </v:rect>
                <v:rect id="Rectangle 22636" o:spid="_x0000_s6558" style="position:absolute;left:-12190;top:48977;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IH3xwAAAN4AAAAPAAAAZHJzL2Rvd25yZXYueG1sRI9Ba8JA&#10;FITvBf/D8oTe6sYUgkQ3QRRpDr3UWujxkX0m0ezbJbuatL++Wyj0OMzMN8ymnEwv7jT4zrKC5SIB&#10;QVxb3XGj4PR+eFqB8AFZY2+ZFHyRh7KYPWww13bkN7ofQyMihH2OCtoQXC6lr1sy6BfWEUfvbAeD&#10;IcqhkXrAMcJNL9MkyaTBjuNCi452LdXX480o+Nyzqw6jrM/fO/d6qVb9y+30odTjfNquQQSawn/4&#10;r11pBWmaPWfweydeAVn8AAAA//8DAFBLAQItABQABgAIAAAAIQDb4fbL7gAAAIUBAAATAAAAAAAA&#10;AAAAAAAAAAAAAABbQ29udGVudF9UeXBlc10ueG1sUEsBAi0AFAAGAAgAAAAhAFr0LFu/AAAAFQEA&#10;AAsAAAAAAAAAAAAAAAAAHwEAAF9yZWxzLy5yZWxzUEsBAi0AFAAGAAgAAAAhAF6IgffHAAAA3gAA&#10;AA8AAAAAAAAAAAAAAAAABwIAAGRycy9kb3ducmV2LnhtbFBLBQYAAAAAAwADALcAAAD7AgAAAAA=&#10;" filled="f" stroked="f">
                  <v:textbox inset="0,0,0,0">
                    <w:txbxContent>
                      <w:p w14:paraId="785B87E2" w14:textId="77777777" w:rsidR="00B32EF2" w:rsidRDefault="00000000">
                        <w:r>
                          <w:rPr>
                            <w:rFonts w:ascii="Arial" w:eastAsia="Arial" w:hAnsi="Arial" w:cs="Arial"/>
                            <w:sz w:val="18"/>
                          </w:rPr>
                          <w:t>all’articolo 5 svolgono un tirocinio formativo articolato in due sessioni conse</w:t>
                        </w:r>
                      </w:p>
                    </w:txbxContent>
                  </v:textbox>
                </v:rect>
                <v:rect id="Rectangle 22637" o:spid="_x0000_s6559" style="position:absolute;left:193;top:4897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CRsxwAAAN4AAAAPAAAAZHJzL2Rvd25yZXYueG1sRI9Pa8JA&#10;FMTvgt9heYI33TSClegqxSLNoRf/gcdH9pmkzb5dsqtJ++m7QsHjMDO/YVab3jTiTq2vLSt4mSYg&#10;iAuray4VnI67yQKED8gaG8uk4Ic8bNbDwQozbTve0/0QShEh7DNUUIXgMil9UZFBP7WOOHpX2xoM&#10;Ubal1C12EW4amSbJXBqsOS5U6GhbUfF9uBkFl3d2+a6TxfV36z6/8kXzcTudlRqP+rcliEB9eIb/&#10;27lWkKbz2Ss87sQrINd/AAAA//8DAFBLAQItABQABgAIAAAAIQDb4fbL7gAAAIUBAAATAAAAAAAA&#10;AAAAAAAAAAAAAABbQ29udGVudF9UeXBlc10ueG1sUEsBAi0AFAAGAAgAAAAhAFr0LFu/AAAAFQEA&#10;AAsAAAAAAAAAAAAAAAAAHwEAAF9yZWxzLy5yZWxzUEsBAi0AFAAGAAgAAAAhADHEJGzHAAAA3gAA&#10;AA8AAAAAAAAAAAAAAAAABwIAAGRycy9kb3ducmV2LnhtbFBLBQYAAAAAAwADALcAAAD7AgAAAAA=&#10;" filled="f" stroked="f">
                  <v:textbox inset="0,0,0,0">
                    <w:txbxContent>
                      <w:p w14:paraId="38764B4B" w14:textId="77777777" w:rsidR="00B32EF2" w:rsidRDefault="00000000">
                        <w:r>
                          <w:rPr>
                            <w:rFonts w:ascii="Arial" w:eastAsia="Arial" w:hAnsi="Arial" w:cs="Arial"/>
                            <w:sz w:val="18"/>
                          </w:rPr>
                          <w:t>-</w:t>
                        </w:r>
                      </w:p>
                    </w:txbxContent>
                  </v:textbox>
                </v:rect>
                <v:rect id="Rectangle 22638" o:spid="_x0000_s6560" style="position:absolute;left:-13170;top:47744;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7AewwAAAN4AAAAPAAAAZHJzL2Rvd25yZXYueG1sRE9Ni8Iw&#10;EL0v+B/CCN7W1Aoi1SiiiD14WVfB49CMbbWZhCbaur9+c1jY4+N9L9e9acSLWl9bVjAZJyCIC6tr&#10;LhWcv/efcxA+IGtsLJOCN3lYrwYfS8y07fiLXqdQihjCPkMFVQguk9IXFRn0Y+uII3ezrcEQYVtK&#10;3WIXw00j0ySZSYM1x4YKHW0rKh6np1Fw3bHL950sbj9bd7zn8+bwPF+UGg37zQJEoD78i//cuVaQ&#10;prNp3BvvxCsgV78AAAD//wMAUEsBAi0AFAAGAAgAAAAhANvh9svuAAAAhQEAABMAAAAAAAAAAAAA&#10;AAAAAAAAAFtDb250ZW50X1R5cGVzXS54bWxQSwECLQAUAAYACAAAACEAWvQsW78AAAAVAQAACwAA&#10;AAAAAAAAAAAAAAAfAQAAX3JlbHMvLnJlbHNQSwECLQAUAAYACAAAACEAQFuwHsMAAADeAAAADwAA&#10;AAAAAAAAAAAAAAAHAgAAZHJzL2Rvd25yZXYueG1sUEsFBgAAAAADAAMAtwAAAPcCAAAAAA==&#10;" filled="f" stroked="f">
                  <v:textbox inset="0,0,0,0">
                    <w:txbxContent>
                      <w:p w14:paraId="26E76B3E" w14:textId="77777777" w:rsidR="00B32EF2" w:rsidRDefault="00000000">
                        <w:r>
                          <w:rPr>
                            <w:rFonts w:ascii="Arial" w:eastAsia="Arial" w:hAnsi="Arial" w:cs="Arial"/>
                            <w:sz w:val="18"/>
                          </w:rPr>
                          <w:t xml:space="preserve">cutive della durata di tre mesi ciascuna presso le corti di giustizia tributaria </w:t>
                        </w:r>
                      </w:p>
                    </w:txbxContent>
                  </v:textbox>
                </v:rect>
                <v:rect id="Rectangle 22639" o:spid="_x0000_s6561" style="position:absolute;left:-12205;top:46510;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xWFxwAAAN4AAAAPAAAAZHJzL2Rvd25yZXYueG1sRI9Ba8JA&#10;FITvBf/D8oTedNMUxKauUhQxBy9VCz0+ss8kmn27ZFcT/fVuQehxmJlvmNmiN424UutrywrexgkI&#10;4sLqmksFh/16NAXhA7LGxjIpuJGHxXzwMsNM246/6boLpYgQ9hkqqEJwmZS+qMigH1tHHL2jbQ2G&#10;KNtS6ha7CDeNTJNkIg3WHBcqdLSsqDjvLkbB74pdvu5kcbwv3faUT5vN5fCj1Ouw//oEEagP/+Fn&#10;O9cK0nTy/gF/d+IVkPMHAAAA//8DAFBLAQItABQABgAIAAAAIQDb4fbL7gAAAIUBAAATAAAAAAAA&#10;AAAAAAAAAAAAAABbQ29udGVudF9UeXBlc10ueG1sUEsBAi0AFAAGAAgAAAAhAFr0LFu/AAAAFQEA&#10;AAsAAAAAAAAAAAAAAAAAHwEAAF9yZWxzLy5yZWxzUEsBAi0AFAAGAAgAAAAhAC8XFYXHAAAA3gAA&#10;AA8AAAAAAAAAAAAAAAAABwIAAGRycy9kb3ducmV2LnhtbFBLBQYAAAAAAwADALcAAAD7AgAAAAA=&#10;" filled="f" stroked="f">
                  <v:textbox inset="0,0,0,0">
                    <w:txbxContent>
                      <w:p w14:paraId="726CE3C7" w14:textId="77777777" w:rsidR="00B32EF2" w:rsidRDefault="00000000">
                        <w:r>
                          <w:rPr>
                            <w:rFonts w:ascii="Arial" w:eastAsia="Arial" w:hAnsi="Arial" w:cs="Arial"/>
                            <w:sz w:val="18"/>
                          </w:rPr>
                          <w:t>con la partecipazione all’attività giurisdizionale relativa alle controversie rien</w:t>
                        </w:r>
                      </w:p>
                    </w:txbxContent>
                  </v:textbox>
                </v:rect>
                <v:rect id="Rectangle 22640" o:spid="_x0000_s6562" style="position:absolute;left:193;top:4651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89lxAAAAN4AAAAPAAAAZHJzL2Rvd25yZXYueG1sRI/NisIw&#10;FIX3A75DuIK7MbWISDWKKGIXbsZRcHlprm21uQlNtHWefrIYmOXh/PEt171pxItaX1tWMBknIIgL&#10;q2suFZy/959zED4ga2wsk4I3eVivBh9LzLTt+Itep1CKOMI+QwVVCC6T0hcVGfRj64ijd7OtwRBl&#10;W0rdYhfHTSPTJJlJgzXHhwodbSsqHqenUXDdscv3nSxuP1t3vOfz5vA8X5QaDfvNAkSgPvyH/9q5&#10;VpCms2kEiDgRBeTqFwAA//8DAFBLAQItABQABgAIAAAAIQDb4fbL7gAAAIUBAAATAAAAAAAAAAAA&#10;AAAAAAAAAABbQ29udGVudF9UeXBlc10ueG1sUEsBAi0AFAAGAAgAAAAhAFr0LFu/AAAAFQEAAAsA&#10;AAAAAAAAAAAAAAAAHwEAAF9yZWxzLy5yZWxzUEsBAi0AFAAGAAgAAAAhAOYrz2XEAAAA3gAAAA8A&#10;AAAAAAAAAAAAAAAABwIAAGRycy9kb3ducmV2LnhtbFBLBQYAAAAAAwADALcAAAD4AgAAAAA=&#10;" filled="f" stroked="f">
                  <v:textbox inset="0,0,0,0">
                    <w:txbxContent>
                      <w:p w14:paraId="6CCA00A3" w14:textId="77777777" w:rsidR="00B32EF2" w:rsidRDefault="00000000">
                        <w:r>
                          <w:rPr>
                            <w:rFonts w:ascii="Arial" w:eastAsia="Arial" w:hAnsi="Arial" w:cs="Arial"/>
                            <w:sz w:val="18"/>
                          </w:rPr>
                          <w:t>-</w:t>
                        </w:r>
                      </w:p>
                    </w:txbxContent>
                  </v:textbox>
                </v:rect>
                <v:rect id="Rectangle 22641" o:spid="_x0000_s6563" style="position:absolute;left:-13170;top:45277;width:530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2r+xwAAAN4AAAAPAAAAZHJzL2Rvd25yZXYueG1sRI/NasMw&#10;EITvhbyD2EJvjRwTQnAih5IQ4kMvTR3IcbHWP621EpYSu336qlDocZiZb5jtbjK9uNPgO8sKFvME&#10;BHFldceNgvL9+LwG4QOyxt4yKfgiD7t89rDFTNuR3+h+Do2IEPYZKmhDcJmUvmrJoJ9bRxy92g4G&#10;Q5RDI/WAY4SbXqZJspIGO44LLTrat1R9nm9GwfXArjiOsqq/9+71o1j3p1t5UerpcXrZgAg0hf/w&#10;X7vQCtJ0tVzA7514BWT+AwAA//8DAFBLAQItABQABgAIAAAAIQDb4fbL7gAAAIUBAAATAAAAAAAA&#10;AAAAAAAAAAAAAABbQ29udGVudF9UeXBlc10ueG1sUEsBAi0AFAAGAAgAAAAhAFr0LFu/AAAAFQEA&#10;AAsAAAAAAAAAAAAAAAAAHwEAAF9yZWxzLy5yZWxzUEsBAi0AFAAGAAgAAAAhAIlnav7HAAAA3gAA&#10;AA8AAAAAAAAAAAAAAAAABwIAAGRycy9kb3ducmV2LnhtbFBLBQYAAAAAAwADALcAAAD7AgAAAAA=&#10;" filled="f" stroked="f">
                  <v:textbox inset="0,0,0,0">
                    <w:txbxContent>
                      <w:p w14:paraId="110AA461" w14:textId="77777777" w:rsidR="00B32EF2" w:rsidRDefault="00000000">
                        <w:r>
                          <w:rPr>
                            <w:rFonts w:ascii="Arial" w:eastAsia="Arial" w:hAnsi="Arial" w:cs="Arial"/>
                            <w:sz w:val="18"/>
                          </w:rPr>
                          <w:t xml:space="preserve">tranti nella rispettiva competenza in composizione collegiale. Nella seconda </w:t>
                        </w:r>
                      </w:p>
                    </w:txbxContent>
                  </v:textbox>
                </v:rect>
                <v:rect id="Rectangle 22642" o:spid="_x0000_s6564" style="position:absolute;left:-13170;top:4404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fSJxgAAAN4AAAAPAAAAZHJzL2Rvd25yZXYueG1sRI9Ba8JA&#10;FITvgv9heQVvumkQkdRVRBFz6KU2gsdH9pmkZt8u2dXE/vpuodDjMDPfMKvNYFrxoM43lhW8zhIQ&#10;xKXVDVcKis/DdAnCB2SNrWVS8CQPm/V4tMJM254/6HEKlYgQ9hkqqENwmZS+rMmgn1lHHL2r7QyG&#10;KLtK6g77CDetTJNkIQ02HBdqdLSrqbyd7kbBZc8uP/SyvH7v3PtXvmyP9+Ks1ORl2L6BCDSE//Bf&#10;O9cK0nQxT+H3TrwCcv0DAAD//wMAUEsBAi0AFAAGAAgAAAAhANvh9svuAAAAhQEAABMAAAAAAAAA&#10;AAAAAAAAAAAAAFtDb250ZW50X1R5cGVzXS54bWxQSwECLQAUAAYACAAAACEAWvQsW78AAAAVAQAA&#10;CwAAAAAAAAAAAAAAAAAfAQAAX3JlbHMvLnJlbHNQSwECLQAUAAYACAAAACEAebX0icYAAADeAAAA&#10;DwAAAAAAAAAAAAAAAAAHAgAAZHJzL2Rvd25yZXYueG1sUEsFBgAAAAADAAMAtwAAAPoCAAAAAA==&#10;" filled="f" stroked="f">
                  <v:textbox inset="0,0,0,0">
                    <w:txbxContent>
                      <w:p w14:paraId="18976051" w14:textId="77777777" w:rsidR="00B32EF2" w:rsidRDefault="00000000">
                        <w:r>
                          <w:rPr>
                            <w:rFonts w:ascii="Arial" w:eastAsia="Arial" w:hAnsi="Arial" w:cs="Arial"/>
                            <w:sz w:val="18"/>
                          </w:rPr>
                          <w:t xml:space="preserve">sessione trimestrale di cui al primo periodo e nell’ipotesi di cui al comma 3, </w:t>
                        </w:r>
                      </w:p>
                    </w:txbxContent>
                  </v:textbox>
                </v:rect>
                <v:rect id="Rectangle 22643" o:spid="_x0000_s6565" style="position:absolute;left:-13170;top:4281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ESxwAAAN4AAAAPAAAAZHJzL2Rvd25yZXYueG1sRI9Pa8JA&#10;FMTvgt9heYI33TQWkegqxSLNoZf6Bzw+ss8kbfbtkl1N2k/fFQSPw8z8hlltetOIG7W+tqzgZZqA&#10;IC6srrlUcDzsJgsQPiBrbCyTgl/ysFkPByvMtO34i277UIoIYZ+hgioEl0npi4oM+ql1xNG72NZg&#10;iLItpW6xi3DTyDRJ5tJgzXGhQkfbioqf/dUoOL+zy3edLC5/W/f5nS+aj+vxpNR41L8tQQTqwzP8&#10;aOdaQZrOX2dwvxOvgFz/AwAA//8DAFBLAQItABQABgAIAAAAIQDb4fbL7gAAAIUBAAATAAAAAAAA&#10;AAAAAAAAAAAAAABbQ29udGVudF9UeXBlc10ueG1sUEsBAi0AFAAGAAgAAAAhAFr0LFu/AAAAFQEA&#10;AAsAAAAAAAAAAAAAAAAAHwEAAF9yZWxzLy5yZWxzUEsBAi0AFAAGAAgAAAAhABb5URLHAAAA3gAA&#10;AA8AAAAAAAAAAAAAAAAABwIAAGRycy9kb3ducmV2LnhtbFBLBQYAAAAAAwADALcAAAD7AgAAAAA=&#10;" filled="f" stroked="f">
                  <v:textbox inset="0,0,0,0">
                    <w:txbxContent>
                      <w:p w14:paraId="568ACCDF" w14:textId="77777777" w:rsidR="00B32EF2" w:rsidRDefault="00000000">
                        <w:r>
                          <w:rPr>
                            <w:rFonts w:ascii="Arial" w:eastAsia="Arial" w:hAnsi="Arial" w:cs="Arial"/>
                            <w:sz w:val="18"/>
                          </w:rPr>
                          <w:t xml:space="preserve">al magistrato tributario in tirocinio è assegnato un carico di lavoro fissato con </w:t>
                        </w:r>
                      </w:p>
                    </w:txbxContent>
                  </v:textbox>
                </v:rect>
                <v:rect id="Rectangle 22644" o:spid="_x0000_s6566" style="position:absolute;left:-13173;top:41577;width:530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MlmxgAAAN4AAAAPAAAAZHJzL2Rvd25yZXYueG1sRI9Ba8JA&#10;FITvhf6H5RW81U2DiERXKYqYQy9aBY+P7DOJZt8u2dXE/npXEHocZuYbZrboTSNu1PrasoKvYQKC&#10;uLC65lLB/nf9OQHhA7LGxjIpuJOHxfz9bYaZth1v6bYLpYgQ9hkqqEJwmZS+qMigH1pHHL2TbQ2G&#10;KNtS6ha7CDeNTJNkLA3WHBcqdLSsqLjsrkbBccUuX3eyOP0t3c85nzSb6/6g1OCj/56CCNSH//Cr&#10;nWsFaToejeB5J14BOX8AAAD//wMAUEsBAi0AFAAGAAgAAAAhANvh9svuAAAAhQEAABMAAAAAAAAA&#10;AAAAAAAAAAAAAFtDb250ZW50X1R5cGVzXS54bWxQSwECLQAUAAYACAAAACEAWvQsW78AAAAVAQAA&#10;CwAAAAAAAAAAAAAAAAAfAQAAX3JlbHMvLnJlbHNQSwECLQAUAAYACAAAACEAmRDJZsYAAADeAAAA&#10;DwAAAAAAAAAAAAAAAAAHAgAAZHJzL2Rvd25yZXYueG1sUEsFBgAAAAADAAMAtwAAAPoCAAAAAA==&#10;" filled="f" stroked="f">
                  <v:textbox inset="0,0,0,0">
                    <w:txbxContent>
                      <w:p w14:paraId="7793A069" w14:textId="77777777" w:rsidR="00B32EF2" w:rsidRDefault="00000000">
                        <w:r>
                          <w:rPr>
                            <w:rFonts w:ascii="Arial" w:eastAsia="Arial" w:hAnsi="Arial" w:cs="Arial"/>
                            <w:sz w:val="18"/>
                          </w:rPr>
                          <w:t xml:space="preserve">delibera del Consiglio di presidenza della giustizia tributaria. Con delibera del </w:t>
                        </w:r>
                      </w:p>
                    </w:txbxContent>
                  </v:textbox>
                </v:rect>
                <v:rect id="Rectangle 22645" o:spid="_x0000_s6567" style="position:absolute;left:-13170;top:4034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Gz9xwAAAN4AAAAPAAAAZHJzL2Rvd25yZXYueG1sRI9Pa8JA&#10;FMTvgt9heYI33TRYkegqxSLNoZf6Bzw+ss8kbfbtkl1N2k/fFQSPw8z8hlltetOIG7W+tqzgZZqA&#10;IC6srrlUcDzsJgsQPiBrbCyTgl/ysFkPByvMtO34i277UIoIYZ+hgioEl0npi4oM+ql1xNG72NZg&#10;iLItpW6xi3DTyDRJ5tJgzXGhQkfbioqf/dUoOL+zy3edLC5/W/f5nS+aj+vxpNR41L8tQQTqwzP8&#10;aOdaQZrOZ69wvxOvgFz/AwAA//8DAFBLAQItABQABgAIAAAAIQDb4fbL7gAAAIUBAAATAAAAAAAA&#10;AAAAAAAAAAAAAABbQ29udGVudF9UeXBlc10ueG1sUEsBAi0AFAAGAAgAAAAhAFr0LFu/AAAAFQEA&#10;AAsAAAAAAAAAAAAAAAAAHwEAAF9yZWxzLy5yZWxzUEsBAi0AFAAGAAgAAAAhAPZcbP3HAAAA3gAA&#10;AA8AAAAAAAAAAAAAAAAABwIAAGRycy9kb3ducmV2LnhtbFBLBQYAAAAAAwADALcAAAD7AgAAAAA=&#10;" filled="f" stroked="f">
                  <v:textbox inset="0,0,0,0">
                    <w:txbxContent>
                      <w:p w14:paraId="797808B2" w14:textId="77777777" w:rsidR="00B32EF2" w:rsidRDefault="00000000">
                        <w:r>
                          <w:rPr>
                            <w:rFonts w:ascii="Arial" w:eastAsia="Arial" w:hAnsi="Arial" w:cs="Arial"/>
                            <w:sz w:val="18"/>
                          </w:rPr>
                          <w:t xml:space="preserve">Consiglio di presidenza sono individuati i magistrati tributari affidatari presso </w:t>
                        </w:r>
                      </w:p>
                    </w:txbxContent>
                  </v:textbox>
                </v:rect>
                <v:rect id="Rectangle 22646" o:spid="_x0000_s6568" style="position:absolute;left:-13170;top:3911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vKKxwAAAN4AAAAPAAAAZHJzL2Rvd25yZXYueG1sRI9Ba8JA&#10;FITvBf/D8oTe6sZQgkQ3QRRpDr3UWujxkX0m0ezbJbuatL++Wyj0OMzMN8ymnEwv7jT4zrKC5SIB&#10;QVxb3XGj4PR+eFqB8AFZY2+ZFHyRh7KYPWww13bkN7ofQyMihH2OCtoQXC6lr1sy6BfWEUfvbAeD&#10;IcqhkXrAMcJNL9MkyaTBjuNCi452LdXX480o+Nyzqw6jrM/fO/d6qVb9y+30odTjfNquQQSawn/4&#10;r11pBWmaPWfweydeAVn8AAAA//8DAFBLAQItABQABgAIAAAAIQDb4fbL7gAAAIUBAAATAAAAAAAA&#10;AAAAAAAAAAAAAABbQ29udGVudF9UeXBlc10ueG1sUEsBAi0AFAAGAAgAAAAhAFr0LFu/AAAAFQEA&#10;AAsAAAAAAAAAAAAAAAAAHwEAAF9yZWxzLy5yZWxzUEsBAi0AFAAGAAgAAAAhAAaO8orHAAAA3gAA&#10;AA8AAAAAAAAAAAAAAAAABwIAAGRycy9kb3ducmV2LnhtbFBLBQYAAAAAAwADALcAAAD7AgAAAAA=&#10;" filled="f" stroked="f">
                  <v:textbox inset="0,0,0,0">
                    <w:txbxContent>
                      <w:p w14:paraId="4FA7ED04" w14:textId="77777777" w:rsidR="00B32EF2" w:rsidRDefault="00000000">
                        <w:r>
                          <w:rPr>
                            <w:rFonts w:ascii="Arial" w:eastAsia="Arial" w:hAnsi="Arial" w:cs="Arial"/>
                            <w:sz w:val="18"/>
                          </w:rPr>
                          <w:t xml:space="preserve">i quali i magistrati tributari svolgono il tirocinio, le modalità di affidamento e i </w:t>
                        </w:r>
                      </w:p>
                    </w:txbxContent>
                  </v:textbox>
                </v:rect>
                <v:rect id="Rectangle 22647" o:spid="_x0000_s6569" style="position:absolute;left:-12204;top:37877;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lcRxwAAAN4AAAAPAAAAZHJzL2Rvd25yZXYueG1sRI9Pa8JA&#10;FMTvgt9heYI33TSIlegqxSLNoRf/gcdH9pmkzb5dsqtJ++m7QsHjMDO/YVab3jTiTq2vLSt4mSYg&#10;iAuray4VnI67yQKED8gaG8uk4Ic8bNbDwQozbTve0/0QShEh7DNUUIXgMil9UZFBP7WOOHpX2xoM&#10;Ubal1C12EW4amSbJXBqsOS5U6GhbUfF9uBkFl3d2+a6TxfV36z6/8kXzcTudlRqP+rcliEB9eIb/&#10;27lWkKbz2Ss87sQrINd/AAAA//8DAFBLAQItABQABgAIAAAAIQDb4fbL7gAAAIUBAAATAAAAAAAA&#10;AAAAAAAAAAAAAABbQ29udGVudF9UeXBlc10ueG1sUEsBAi0AFAAGAAgAAAAhAFr0LFu/AAAAFQEA&#10;AAsAAAAAAAAAAAAAAAAAHwEAAF9yZWxzLy5yZWxzUEsBAi0AFAAGAAgAAAAhAGnCVxHHAAAA3gAA&#10;AA8AAAAAAAAAAAAAAAAABwIAAGRycy9kb3ducmV2LnhtbFBLBQYAAAAAAwADALcAAAD7AgAAAAA=&#10;" filled="f" stroked="f">
                  <v:textbox inset="0,0,0,0">
                    <w:txbxContent>
                      <w:p w14:paraId="498AE0A1" w14:textId="77777777" w:rsidR="00B32EF2" w:rsidRDefault="00000000">
                        <w:r>
                          <w:rPr>
                            <w:rFonts w:ascii="Arial" w:eastAsia="Arial" w:hAnsi="Arial" w:cs="Arial"/>
                            <w:sz w:val="18"/>
                          </w:rPr>
                          <w:t>criteri per il conseguimento del giudizio di idoneità al conferimento delle fun</w:t>
                        </w:r>
                      </w:p>
                    </w:txbxContent>
                  </v:textbox>
                </v:rect>
                <v:rect id="Rectangle 22648" o:spid="_x0000_s6570" style="position:absolute;left:193;top:3787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cNjwwAAAN4AAAAPAAAAZHJzL2Rvd25yZXYueG1sRE9Ni8Iw&#10;EL0v+B/CCN7W1CIi1SiiiD14WVfB49CMbbWZhCbaur9+c1jY4+N9L9e9acSLWl9bVjAZJyCIC6tr&#10;LhWcv/efcxA+IGtsLJOCN3lYrwYfS8y07fiLXqdQihjCPkMFVQguk9IXFRn0Y+uII3ezrcEQYVtK&#10;3WIXw00j0ySZSYM1x4YKHW0rKh6np1Fw3bHL950sbj9bd7zn8+bwPF+UGg37zQJEoD78i//cuVaQ&#10;prNp3BvvxCsgV78AAAD//wMAUEsBAi0AFAAGAAgAAAAhANvh9svuAAAAhQEAABMAAAAAAAAAAAAA&#10;AAAAAAAAAFtDb250ZW50X1R5cGVzXS54bWxQSwECLQAUAAYACAAAACEAWvQsW78AAAAVAQAACwAA&#10;AAAAAAAAAAAAAAAfAQAAX3JlbHMvLnJlbHNQSwECLQAUAAYACAAAACEAGF3DY8MAAADeAAAADwAA&#10;AAAAAAAAAAAAAAAHAgAAZHJzL2Rvd25yZXYueG1sUEsFBgAAAAADAAMAtwAAAPcCAAAAAA==&#10;" filled="f" stroked="f">
                  <v:textbox inset="0,0,0,0">
                    <w:txbxContent>
                      <w:p w14:paraId="5944E33D" w14:textId="77777777" w:rsidR="00B32EF2" w:rsidRDefault="00000000">
                        <w:r>
                          <w:rPr>
                            <w:rFonts w:ascii="Arial" w:eastAsia="Arial" w:hAnsi="Arial" w:cs="Arial"/>
                            <w:sz w:val="18"/>
                          </w:rPr>
                          <w:t>-</w:t>
                        </w:r>
                      </w:p>
                    </w:txbxContent>
                  </v:textbox>
                </v:rect>
                <v:rect id="Rectangle 22649" o:spid="_x0000_s6571" style="position:absolute;left:26636;top:36644;width:132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Wb4xwAAAN4AAAAPAAAAZHJzL2Rvd25yZXYueG1sRI9Ba8JA&#10;FITvBf/D8oTedNNQxKauUhQxBy9VCz0+ss8kmn27ZFcT/fVuQehxmJlvmNmiN424UutrywrexgkI&#10;4sLqmksFh/16NAXhA7LGxjIpuJGHxXzwMsNM246/6boLpYgQ9hkqqEJwmZS+qMigH1tHHL2jbQ2G&#10;KNtS6ha7CDeNTJNkIg3WHBcqdLSsqDjvLkbB74pdvu5kcbwv3faUT5vN5fCj1Ouw//oEEagP/+Fn&#10;O9cK0nTy/gF/d+IVkPMHAAAA//8DAFBLAQItABQABgAIAAAAIQDb4fbL7gAAAIUBAAATAAAAAAAA&#10;AAAAAAAAAAAAAABbQ29udGVudF9UeXBlc10ueG1sUEsBAi0AFAAGAAgAAAAhAFr0LFu/AAAAFQEA&#10;AAsAAAAAAAAAAAAAAAAAHwEAAF9yZWxzLy5yZWxzUEsBAi0AFAAGAAgAAAAhAHcRZvjHAAAA3gAA&#10;AA8AAAAAAAAAAAAAAAAABwIAAGRycy9kb3ducmV2LnhtbFBLBQYAAAAAAwADALcAAAD7AgAAAAA=&#10;" filled="f" stroked="f">
                  <v:textbox inset="0,0,0,0">
                    <w:txbxContent>
                      <w:p w14:paraId="0856B10D" w14:textId="77777777" w:rsidR="00B32EF2" w:rsidRDefault="00000000">
                        <w:r>
                          <w:rPr>
                            <w:rFonts w:ascii="Arial" w:eastAsia="Arial" w:hAnsi="Arial" w:cs="Arial"/>
                            <w:sz w:val="18"/>
                          </w:rPr>
                          <w:t>zioni giurisdizionali.</w:t>
                        </w:r>
                      </w:p>
                    </w:txbxContent>
                  </v:textbox>
                </v:rect>
                <v:rect id="Rectangle 202321" o:spid="_x0000_s6572" style="position:absolute;left:26111;top:35411;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99YxwAAAN8AAAAPAAAAZHJzL2Rvd25yZXYueG1sRI9Ba8JA&#10;FITvgv9heYI33RihSHQVUcQcvNRa6PGRfSbR7Nslu5rYX98tFHocZuYbZrXpTSOe1PrasoLZNAFB&#10;XFhdc6ng8nGYLED4gKyxsUwKXuRhsx4OVphp2/E7Pc+hFBHCPkMFVQguk9IXFRn0U+uIo3e1rcEQ&#10;ZVtK3WIX4aaRaZK8SYM1x4UKHe0qKu7nh1HwtWeXHzpZXL937nTLF83xcflUajzqt0sQgfrwH/5r&#10;51pBmqTzdAa/f+IXkOsfAAAA//8DAFBLAQItABQABgAIAAAAIQDb4fbL7gAAAIUBAAATAAAAAAAA&#10;AAAAAAAAAAAAAABbQ29udGVudF9UeXBlc10ueG1sUEsBAi0AFAAGAAgAAAAhAFr0LFu/AAAAFQEA&#10;AAsAAAAAAAAAAAAAAAAAHwEAAF9yZWxzLy5yZWxzUEsBAi0AFAAGAAgAAAAhADED31jHAAAA3wAA&#10;AA8AAAAAAAAAAAAAAAAABwIAAGRycy9kb3ducmV2LnhtbFBLBQYAAAAAAwADALcAAAD7AgAAAAA=&#10;" filled="f" stroked="f">
                  <v:textbox inset="0,0,0,0">
                    <w:txbxContent>
                      <w:p w14:paraId="381EF952" w14:textId="77777777" w:rsidR="00B32EF2" w:rsidRDefault="00000000">
                        <w:r>
                          <w:rPr>
                            <w:rFonts w:ascii="Arial" w:eastAsia="Arial" w:hAnsi="Arial" w:cs="Arial"/>
                            <w:sz w:val="18"/>
                          </w:rPr>
                          <w:t>3</w:t>
                        </w:r>
                      </w:p>
                    </w:txbxContent>
                  </v:textbox>
                </v:rect>
                <v:rect id="Rectangle 202322" o:spid="_x0000_s6573" style="position:absolute;left:-13816;top:35411;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UEvxwAAAN8AAAAPAAAAZHJzL2Rvd25yZXYueG1sRI9Ba8JA&#10;FITvQv/D8gq96aZbEEldpVikOXjRRujxkX0mabNvl+xqor/eLRR6HGbmG2a5Hm0nLtSH1rGG51kG&#10;grhypuVaQ/m5nS5AhIhssHNMGq4UYL16mCwxN27gPV0OsRYJwiFHDU2MPpcyVA1ZDDPniZN3cr3F&#10;mGRfS9PjkOC2kyrL5tJiy2mhQU+bhqqfw9lq+HpnX2wHWZ1uG7/7Lhbdx7k8av30OL69gog0xv/w&#10;X7swGlSmXpSC3z/pC8jVHQAA//8DAFBLAQItABQABgAIAAAAIQDb4fbL7gAAAIUBAAATAAAAAAAA&#10;AAAAAAAAAAAAAABbQ29udGVudF9UeXBlc10ueG1sUEsBAi0AFAAGAAgAAAAhAFr0LFu/AAAAFQEA&#10;AAsAAAAAAAAAAAAAAAAAHwEAAF9yZWxzLy5yZWxzUEsBAi0AFAAGAAgAAAAhAMHRQS/HAAAA3wAA&#10;AA8AAAAAAAAAAAAAAAAABwIAAGRycy9kb3ducmV2LnhtbFBLBQYAAAAAAwADALcAAAD7AgAAAAA=&#10;" filled="f" stroked="f">
                  <v:textbox inset="0,0,0,0">
                    <w:txbxContent>
                      <w:p w14:paraId="62464524" w14:textId="77777777" w:rsidR="00B32EF2" w:rsidRDefault="00000000">
                        <w:r>
                          <w:rPr>
                            <w:rFonts w:ascii="Arial" w:eastAsia="Arial" w:hAnsi="Arial" w:cs="Arial"/>
                            <w:sz w:val="18"/>
                          </w:rPr>
                          <w:t xml:space="preserve">. Il magistrato tributario in tirocinio valutato negativamente è ammesso ad </w:t>
                        </w:r>
                      </w:p>
                    </w:txbxContent>
                  </v:textbox>
                </v:rect>
                <v:rect id="Rectangle 22651" o:spid="_x0000_s6574" style="position:absolute;left:-13170;top:3417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vwjxwAAAN4AAAAPAAAAZHJzL2Rvd25yZXYueG1sRI/NasMw&#10;EITvhbyD2EJvjRxDQnAih5IQ4kMvTR3IcbHWP621EpYSu336qlDocZiZb5jtbjK9uNPgO8sKFvME&#10;BHFldceNgvL9+LwG4QOyxt4yKfgiD7t89rDFTNuR3+h+Do2IEPYZKmhDcJmUvmrJoJ9bRxy92g4G&#10;Q5RDI/WAY4SbXqZJspIGO44LLTrat1R9nm9GwfXArjiOsqq/9+71o1j3p1t5UerpcXrZgAg0hf/w&#10;X7vQCtJ0tVzA7514BWT+AwAA//8DAFBLAQItABQABgAIAAAAIQDb4fbL7gAAAIUBAAATAAAAAAAA&#10;AAAAAAAAAAAAAABbQ29udGVudF9UeXBlc10ueG1sUEsBAi0AFAAGAAgAAAAhAFr0LFu/AAAAFQEA&#10;AAsAAAAAAAAAAAAAAAAAHwEAAF9yZWxzLy5yZWxzUEsBAi0AFAAGAAgAAAAhAAy+/CPHAAAA3gAA&#10;AA8AAAAAAAAAAAAAAAAABwIAAGRycy9kb3ducmV2LnhtbFBLBQYAAAAAAwADALcAAAD7AgAAAAA=&#10;" filled="f" stroked="f">
                  <v:textbox inset="0,0,0,0">
                    <w:txbxContent>
                      <w:p w14:paraId="2EFBAFAF" w14:textId="77777777" w:rsidR="00B32EF2" w:rsidRDefault="00000000">
                        <w:r>
                          <w:rPr>
                            <w:rFonts w:ascii="Arial" w:eastAsia="Arial" w:hAnsi="Arial" w:cs="Arial"/>
                            <w:sz w:val="18"/>
                          </w:rPr>
                          <w:t xml:space="preserve">un nuovo periodo di tirocinio della durata di sei mesi. Al termine del secondo </w:t>
                        </w:r>
                      </w:p>
                    </w:txbxContent>
                  </v:textbox>
                </v:rect>
                <v:rect id="Rectangle 22652" o:spid="_x0000_s6575" style="position:absolute;left:-12203;top:32944;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GJUxgAAAN4AAAAPAAAAZHJzL2Rvd25yZXYueG1sRI9Ba8JA&#10;FITvgv9heQVvumlAkdRVRBFz6KU2gsdH9pmkZt8u2dXE/vpuodDjMDPfMKvNYFrxoM43lhW8zhIQ&#10;xKXVDVcKis/DdAnCB2SNrWVS8CQPm/V4tMJM254/6HEKlYgQ9hkqqENwmZS+rMmgn1lHHL2r7QyG&#10;KLtK6g77CDetTJNkIQ02HBdqdLSrqbyd7kbBZc8uP/SyvH7v3PtXvmyP9+Ks1ORl2L6BCDSE//Bf&#10;O9cK0nQxT+H3TrwCcv0DAAD//wMAUEsBAi0AFAAGAAgAAAAhANvh9svuAAAAhQEAABMAAAAAAAAA&#10;AAAAAAAAAAAAAFtDb250ZW50X1R5cGVzXS54bWxQSwECLQAUAAYACAAAACEAWvQsW78AAAAVAQAA&#10;CwAAAAAAAAAAAAAAAAAfAQAAX3JlbHMvLnJlbHNQSwECLQAUAAYACAAAACEA/GxiVMYAAADeAAAA&#10;DwAAAAAAAAAAAAAAAAAHAgAAZHJzL2Rvd25yZXYueG1sUEsFBgAAAAADAAMAtwAAAPoCAAAAAA==&#10;" filled="f" stroked="f">
                  <v:textbox inset="0,0,0,0">
                    <w:txbxContent>
                      <w:p w14:paraId="0AC1D8BE" w14:textId="77777777" w:rsidR="00B32EF2" w:rsidRDefault="00000000">
                        <w:r>
                          <w:rPr>
                            <w:rFonts w:ascii="Arial" w:eastAsia="Arial" w:hAnsi="Arial" w:cs="Arial"/>
                            <w:sz w:val="18"/>
                          </w:rPr>
                          <w:t>tirocinio e all’esito della relativa scheda valutativa redatta dal magistrato tri</w:t>
                        </w:r>
                      </w:p>
                    </w:txbxContent>
                  </v:textbox>
                </v:rect>
                <v:rect id="Rectangle 22653" o:spid="_x0000_s6576" style="position:absolute;left:193;top:3294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MfPxwAAAN4AAAAPAAAAZHJzL2Rvd25yZXYueG1sRI9Pa8JA&#10;FMTvgt9heYI33TRSkegqxSLNoZf6Bzw+ss8kbfbtkl1N2k/fFQSPw8z8hlltetOIG7W+tqzgZZqA&#10;IC6srrlUcDzsJgsQPiBrbCyTgl/ysFkPByvMtO34i277UIoIYZ+hgioEl0npi4oM+ql1xNG72NZg&#10;iLItpW6xi3DTyDRJ5tJgzXGhQkfbioqf/dUoOL+zy3edLC5/W/f5nS+aj+vxpNR41L8tQQTqwzP8&#10;aOdaQZrOX2dwvxOvgFz/AwAA//8DAFBLAQItABQABgAIAAAAIQDb4fbL7gAAAIUBAAATAAAAAAAA&#10;AAAAAAAAAAAAAABbQ29udGVudF9UeXBlc10ueG1sUEsBAi0AFAAGAAgAAAAhAFr0LFu/AAAAFQEA&#10;AAsAAAAAAAAAAAAAAAAAHwEAAF9yZWxzLy5yZWxzUEsBAi0AFAAGAAgAAAAhAJMgx8/HAAAA3gAA&#10;AA8AAAAAAAAAAAAAAAAABwIAAGRycy9kb3ducmV2LnhtbFBLBQYAAAAAAwADALcAAAD7AgAAAAA=&#10;" filled="f" stroked="f">
                  <v:textbox inset="0,0,0,0">
                    <w:txbxContent>
                      <w:p w14:paraId="4D1F2A79" w14:textId="77777777" w:rsidR="00B32EF2" w:rsidRDefault="00000000">
                        <w:r>
                          <w:rPr>
                            <w:rFonts w:ascii="Arial" w:eastAsia="Arial" w:hAnsi="Arial" w:cs="Arial"/>
                            <w:sz w:val="18"/>
                          </w:rPr>
                          <w:t>-</w:t>
                        </w:r>
                      </w:p>
                    </w:txbxContent>
                  </v:textbox>
                </v:rect>
                <v:rect id="Rectangle 22654" o:spid="_x0000_s6577" style="position:absolute;left:-13175;top:31711;width:531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V+7xwAAAN4AAAAPAAAAZHJzL2Rvd25yZXYueG1sRI9Pa8JA&#10;FMTvgt9heYI33TRYkegqxSLNoZf6Bzw+ss8kbfbtkl1N2k/fFQSPw8z8hlltetOIG7W+tqzgZZqA&#10;IC6srrlUcDzsJgsQPiBrbCyTgl/ysFkPByvMtO34i277UIoIYZ+hgioEl0npi4oM+ql1xNG72NZg&#10;iLItpW6xi3DTyDRJ5tJgzXGhQkfbioqf/dUoOL+zy3edLC5/W/f5nS+aj+vxpNR41L8tQQTqwzP8&#10;aOdaQZrOX2dwvxOvgFz/AwAA//8DAFBLAQItABQABgAIAAAAIQDb4fbL7gAAAIUBAAATAAAAAAAA&#10;AAAAAAAAAAAAAABbQ29udGVudF9UeXBlc10ueG1sUEsBAi0AFAAGAAgAAAAhAFr0LFu/AAAAFQEA&#10;AAsAAAAAAAAAAAAAAAAAHwEAAF9yZWxzLy5yZWxzUEsBAi0AFAAGAAgAAAAhABzJX7vHAAAA3gAA&#10;AA8AAAAAAAAAAAAAAAAABwIAAGRycy9kb3ducmV2LnhtbFBLBQYAAAAAAwADALcAAAD7AgAAAAA=&#10;" filled="f" stroked="f">
                  <v:textbox inset="0,0,0,0">
                    <w:txbxContent>
                      <w:p w14:paraId="73C3F14E" w14:textId="77777777" w:rsidR="00B32EF2" w:rsidRDefault="00000000">
                        <w:r>
                          <w:rPr>
                            <w:rFonts w:ascii="Arial" w:eastAsia="Arial" w:hAnsi="Arial" w:cs="Arial"/>
                            <w:sz w:val="18"/>
                          </w:rPr>
                          <w:t xml:space="preserve">butario affidatario, il Consiglio di presidenza della giustizia tributaria delibera </w:t>
                        </w:r>
                      </w:p>
                    </w:txbxContent>
                  </v:textbox>
                </v:rect>
                <v:rect id="Rectangle 22655" o:spid="_x0000_s6578" style="position:absolute;left:-13170;top:3047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fogxgAAAN4AAAAPAAAAZHJzL2Rvd25yZXYueG1sRI9Ba8JA&#10;FITvhf6H5RW81U0DikRXKYqYQy9aBY+P7DOJZt8u2dXE/npXEHocZuYbZrboTSNu1PrasoKvYQKC&#10;uLC65lLB/nf9OQHhA7LGxjIpuJOHxfz9bYaZth1v6bYLpYgQ9hkqqEJwmZS+qMigH1pHHL2TbQ2G&#10;KNtS6ha7CDeNTJNkLA3WHBcqdLSsqLjsrkbBccUuX3eyOP0t3c85nzSb6/6g1OCj/56CCNSH//Cr&#10;nWsFaToejeB5J14BOX8AAAD//wMAUEsBAi0AFAAGAAgAAAAhANvh9svuAAAAhQEAABMAAAAAAAAA&#10;AAAAAAAAAAAAAFtDb250ZW50X1R5cGVzXS54bWxQSwECLQAUAAYACAAAACEAWvQsW78AAAAVAQAA&#10;CwAAAAAAAAAAAAAAAAAfAQAAX3JlbHMvLnJlbHNQSwECLQAUAAYACAAAACEAc4X6IMYAAADeAAAA&#10;DwAAAAAAAAAAAAAAAAAHAgAAZHJzL2Rvd25yZXYueG1sUEsFBgAAAAADAAMAtwAAAPoCAAAAAA==&#10;" filled="f" stroked="f">
                  <v:textbox inset="0,0,0,0">
                    <w:txbxContent>
                      <w:p w14:paraId="788BD9A2" w14:textId="77777777" w:rsidR="00B32EF2" w:rsidRDefault="00000000">
                        <w:r>
                          <w:rPr>
                            <w:rFonts w:ascii="Arial" w:eastAsia="Arial" w:hAnsi="Arial" w:cs="Arial"/>
                            <w:sz w:val="18"/>
                          </w:rPr>
                          <w:t xml:space="preserve">nuovamente; la seconda deliberazione negativa determina la cessazione del </w:t>
                        </w:r>
                      </w:p>
                    </w:txbxContent>
                  </v:textbox>
                </v:rect>
                <v:rect id="Rectangle 22656" o:spid="_x0000_s6579" style="position:absolute;left:2348;top:29244;width:375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2RXxwAAAN4AAAAPAAAAZHJzL2Rvd25yZXYueG1sRI9Ba8JA&#10;FITvBf/D8oTe6sZAg0Q3QRRpDr3UWujxkX0m0ezbJbuatL++Wyj0OMzMN8ymnEwv7jT4zrKC5SIB&#10;QVxb3XGj4PR+eFqB8AFZY2+ZFHyRh7KYPWww13bkN7ofQyMihH2OCtoQXC6lr1sy6BfWEUfvbAeD&#10;IcqhkXrAMcJNL9MkyaTBjuNCi452LdXX480o+Nyzqw6jrM/fO/d6qVb9y+30odTjfNquQQSawn/4&#10;r11pBWmaPWfweydeAVn8AAAA//8DAFBLAQItABQABgAIAAAAIQDb4fbL7gAAAIUBAAATAAAAAAAA&#10;AAAAAAAAAAAAAABbQ29udGVudF9UeXBlc10ueG1sUEsBAi0AFAAGAAgAAAAhAFr0LFu/AAAAFQEA&#10;AAsAAAAAAAAAAAAAAAAAHwEAAF9yZWxzLy5yZWxzUEsBAi0AFAAGAAgAAAAhAINXZFfHAAAA3gAA&#10;AA8AAAAAAAAAAAAAAAAABwIAAGRycy9kb3ducmV2LnhtbFBLBQYAAAAAAwADALcAAAD7AgAAAAA=&#10;" filled="f" stroked="f">
                  <v:textbox inset="0,0,0,0">
                    <w:txbxContent>
                      <w:p w14:paraId="4D59A912" w14:textId="77777777" w:rsidR="00B32EF2" w:rsidRDefault="00000000">
                        <w:r>
                          <w:rPr>
                            <w:rFonts w:ascii="Arial" w:eastAsia="Arial" w:hAnsi="Arial" w:cs="Arial"/>
                            <w:sz w:val="18"/>
                          </w:rPr>
                          <w:t>rapporto di impiego del magistrato tributario in tirocinio.</w:t>
                        </w:r>
                      </w:p>
                    </w:txbxContent>
                  </v:textbox>
                </v:rect>
                <v:rect id="Rectangle 22657" o:spid="_x0000_s6580" style="position:absolute;left:15104;top:26778;width:804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8HMxwAAAN4AAAAPAAAAZHJzL2Rvd25yZXYueG1sRI9Pa8JA&#10;FMTvgt9heYI33TSglegqxSLNoRf/gcdH9pmkzb5dsqtJ++m7QsHjMDO/YVab3jTiTq2vLSt4mSYg&#10;iAuray4VnI67yQKED8gaG8uk4Ic8bNbDwQozbTve0/0QShEh7DNUUIXgMil9UZFBP7WOOHpX2xoM&#10;Ubal1C12EW4amSbJXBqsOS5U6GhbUfF9uBkFl3d2+a6TxfV36z6/8kXzcTudlRqP+rcliEB9eIb/&#10;27lWkKbz2Ss87sQrINd/AAAA//8DAFBLAQItABQABgAIAAAAIQDb4fbL7gAAAIUBAAATAAAAAAAA&#10;AAAAAAAAAAAAAABbQ29udGVudF9UeXBlc10ueG1sUEsBAi0AFAAGAAgAAAAhAFr0LFu/AAAAFQEA&#10;AAsAAAAAAAAAAAAAAAAAHwEAAF9yZWxzLy5yZWxzUEsBAi0AFAAGAAgAAAAhAOwbwczHAAAA3gAA&#10;AA8AAAAAAAAAAAAAAAAABwIAAGRycy9kb3ducmV2LnhtbFBLBQYAAAAAAwADALcAAAD7AgAAAAA=&#10;" filled="f" stroked="f">
                  <v:textbox inset="0,0,0,0">
                    <w:txbxContent>
                      <w:p w14:paraId="41E2115A" w14:textId="77777777" w:rsidR="00B32EF2" w:rsidRDefault="00000000">
                        <w:r>
                          <w:rPr>
                            <w:rFonts w:ascii="Arial" w:eastAsia="Arial" w:hAnsi="Arial" w:cs="Arial"/>
                            <w:b/>
                            <w:sz w:val="18"/>
                          </w:rPr>
                          <w:t>Articolo 10</w:t>
                        </w:r>
                      </w:p>
                    </w:txbxContent>
                  </v:textbox>
                </v:rect>
                <v:rect id="Rectangle 202319" o:spid="_x0000_s6581" style="position:absolute;left:-4844;top:25544;width:210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RnjyAAAAN8AAAAPAAAAZHJzL2Rvd25yZXYueG1sRI9Pa8JA&#10;FMTvhX6H5Qm96cYURFNXEYs0By/1D/T4yD6TaPbtkl1N6qd3C0KPw8z8hpkve9OIG7W+tqxgPEpA&#10;EBdW11wqOOw3wykIH5A1NpZJwS95WC5eX+aYadvxN912oRQRwj5DBVUILpPSFxUZ9CPriKN3sq3B&#10;EGVbSt1iF+GmkWmSTKTBmuNChY7WFRWX3dUo+Plkl286WZzua7c959Pm63o4KvU26FcfIAL14T/8&#10;bOdaQZqk7+MZ/P2JX0AuHgAAAP//AwBQSwECLQAUAAYACAAAACEA2+H2y+4AAACFAQAAEwAAAAAA&#10;AAAAAAAAAAAAAAAAW0NvbnRlbnRfVHlwZXNdLnhtbFBLAQItABQABgAIAAAAIQBa9CxbvwAAABUB&#10;AAALAAAAAAAAAAAAAAAAAB8BAABfcmVscy8ucmVsc1BLAQItABQABgAIAAAAIQABGRnjyAAAAN8A&#10;AAAPAAAAAAAAAAAAAAAAAAcCAABkcnMvZG93bnJldi54bWxQSwUGAAAAAAMAAwC3AAAA/AIAAAAA&#10;" filled="f" stroked="f">
                  <v:textbox inset="0,0,0,0">
                    <w:txbxContent>
                      <w:p w14:paraId="2B88DBB2" w14:textId="77777777" w:rsidR="00B32EF2" w:rsidRDefault="00000000">
                        <w:r>
                          <w:rPr>
                            <w:rFonts w:ascii="Arial" w:eastAsia="Arial" w:hAnsi="Arial" w:cs="Arial"/>
                            <w:i/>
                            <w:sz w:val="18"/>
                          </w:rPr>
                          <w:t>545/92)</w:t>
                        </w:r>
                      </w:p>
                    </w:txbxContent>
                  </v:textbox>
                </v:rect>
                <v:rect id="Rectangle 202318" o:spid="_x0000_s6582" style="position:absolute;left:22428;top:25544;width:210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bx4xAAAAN8AAAAPAAAAZHJzL2Rvd25yZXYueG1sRE/LisIw&#10;FN0P+A/hCu7G1A4MUo0iikwXs/EFLi/Nta02N6GJts7Xm8WAy8N5z5e9acSDWl9bVjAZJyCIC6tr&#10;LhUcD9vPKQgfkDU2lknBkzwsF4OPOWbadryjxz6UIoawz1BBFYLLpPRFRQb92DriyF1sazBE2JZS&#10;t9jFcNPINEm+pcGaY0OFjtYVFbf93Sg4b9jl204Wl7+1+73m0+bnfjwpNRr2qxmIQH14i//duVaQ&#10;JunXJA6Of+IXkIsXAAAA//8DAFBLAQItABQABgAIAAAAIQDb4fbL7gAAAIUBAAATAAAAAAAAAAAA&#10;AAAAAAAAAABbQ29udGVudF9UeXBlc10ueG1sUEsBAi0AFAAGAAgAAAAhAFr0LFu/AAAAFQEAAAsA&#10;AAAAAAAAAAAAAAAAHwEAAF9yZWxzLy5yZWxzUEsBAi0AFAAGAAgAAAAhAG5VvHjEAAAA3wAAAA8A&#10;AAAAAAAAAAAAAAAABwIAAGRycy9kb3ducmV2LnhtbFBLBQYAAAAAAwADALcAAAD4AgAAAAA=&#10;" filled="f" stroked="f">
                  <v:textbox inset="0,0,0,0">
                    <w:txbxContent>
                      <w:p w14:paraId="6FAE93A2" w14:textId="77777777" w:rsidR="00B32EF2" w:rsidRDefault="00000000">
                        <w:r>
                          <w:rPr>
                            <w:rFonts w:ascii="Arial" w:eastAsia="Arial" w:hAnsi="Arial" w:cs="Arial"/>
                            <w:i/>
                            <w:sz w:val="18"/>
                          </w:rPr>
                          <w:t>(</w:t>
                        </w:r>
                      </w:p>
                    </w:txbxContent>
                  </v:textbox>
                </v:rect>
                <v:rect id="Rectangle 202320" o:spid="_x0000_s6583" style="position:absolute;left:10625;top:25544;width:210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3rDxwAAAN8AAAAPAAAAZHJzL2Rvd25yZXYueG1sRI+9asMw&#10;FIX3Qt5B3EC2Ro4LxbhRQnEw9ZClbgodL9aN7da6EpYSO3n6aih0PJw/vu1+NoO40uh7ywo26wQE&#10;cWN1z62C00f5mIHwAVnjYJkU3MjDfrd42GKu7cTvdK1DK+II+xwVdCG4XErfdGTQr60jjt7ZjgZD&#10;lGMr9YhTHDeDTJPkWRrsOT506KjoqPmpL0bB14FdVU6yOd8Ld/yusuHtcvpUarWcX19ABJrDf/iv&#10;XWkFaZI+pZEg8kQWkLtfAAAA//8DAFBLAQItABQABgAIAAAAIQDb4fbL7gAAAIUBAAATAAAAAAAA&#10;AAAAAAAAAAAAAABbQ29udGVudF9UeXBlc10ueG1sUEsBAi0AFAAGAAgAAAAhAFr0LFu/AAAAFQEA&#10;AAsAAAAAAAAAAAAAAAAAHwEAAF9yZWxzLy5yZWxzUEsBAi0AFAAGAAgAAAAhAF5PesPHAAAA3wAA&#10;AA8AAAAAAAAAAAAAAAAABwIAAGRycy9kb3ducmV2LnhtbFBLBQYAAAAAAwADALcAAAD7AgAAAAA=&#10;" filled="f" stroked="f">
                  <v:textbox inset="0,0,0,0">
                    <w:txbxContent>
                      <w:p w14:paraId="3D8B99FA" w14:textId="77777777" w:rsidR="00B32EF2" w:rsidRDefault="00000000">
                        <w:r>
                          <w:rPr>
                            <w:rFonts w:ascii="Arial" w:eastAsia="Arial" w:hAnsi="Arial" w:cs="Arial"/>
                            <w:i/>
                            <w:sz w:val="18"/>
                          </w:rPr>
                          <w:t xml:space="preserve">articolo 5 del D.lgs. n. </w:t>
                        </w:r>
                      </w:p>
                    </w:txbxContent>
                  </v:textbox>
                </v:rect>
                <v:rect id="Rectangle 22659" o:spid="_x0000_s6584" style="position:absolute;left:-9329;top:24311;width:469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PAlxwAAAN4AAAAPAAAAZHJzL2Rvd25yZXYueG1sRI9Ba8JA&#10;FITvBf/D8oTedNNAxaauUhQxBy9VCz0+ss8kmn27ZFcT/fVuQehxmJlvmNmiN424UutrywrexgkI&#10;4sLqmksFh/16NAXhA7LGxjIpuJGHxXzwMsNM246/6boLpYgQ9hkqqEJwmZS+qMigH1tHHL2jbQ2G&#10;KNtS6ha7CDeNTJNkIg3WHBcqdLSsqDjvLkbB74pdvu5kcbwv3faUT5vN5fCj1Ouw//oEEagP/+Fn&#10;O9cK0nTy/gF/d+IVkPMHAAAA//8DAFBLAQItABQABgAIAAAAIQDb4fbL7gAAAIUBAAATAAAAAAAA&#10;AAAAAAAAAAAAAABbQ29udGVudF9UeXBlc10ueG1sUEsBAi0AFAAGAAgAAAAhAFr0LFu/AAAAFQEA&#10;AAsAAAAAAAAAAAAAAAAAHwEAAF9yZWxzLy5yZWxzUEsBAi0AFAAGAAgAAAAhAPLI8CXHAAAA3gAA&#10;AA8AAAAAAAAAAAAAAAAABwIAAGRycy9kb3ducmV2LnhtbFBLBQYAAAAAAwADALcAAAD7AgAAAAA=&#10;" filled="f" stroked="f">
                  <v:textbox inset="0,0,0,0">
                    <w:txbxContent>
                      <w:p w14:paraId="7D7E7A55" w14:textId="77777777" w:rsidR="00B32EF2" w:rsidRDefault="00000000">
                        <w:r>
                          <w:rPr>
                            <w:rFonts w:ascii="Arial" w:eastAsia="Arial" w:hAnsi="Arial" w:cs="Arial"/>
                            <w:b/>
                            <w:sz w:val="18"/>
                          </w:rPr>
                          <w:t xml:space="preserve">I componenti delle corti di giustizia tributaria di secondo grado </w:t>
                        </w:r>
                      </w:p>
                    </w:txbxContent>
                  </v:textbox>
                </v:rect>
                <v:rect id="Rectangle 202317" o:spid="_x0000_s6585" style="position:absolute;left:-12795;top:23078;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igKyAAAAN8AAAAPAAAAZHJzL2Rvd25yZXYueG1sRI9Pa8JA&#10;FMTvgt9heYI33ZiCldRVRJHm0Ev9Az0+ss8kbfbtkl1N7Kd3CwWPw8z8hlmue9OIG7W+tqxgNk1A&#10;EBdW11wqOB33kwUIH5A1NpZJwZ08rFfDwRIzbTv+pNshlCJC2GeooArBZVL6oiKDfmodcfQutjUY&#10;omxLqVvsItw0Mk2SuTRYc1yo0NG2ouLncDUKvnbs8n0ni8vv1n1854vm/Xo6KzUe9Zs3EIH68Az/&#10;t3OtIE3Sl9kr/P2JX0CuHgAAAP//AwBQSwECLQAUAAYACAAAACEA2+H2y+4AAACFAQAAEwAAAAAA&#10;AAAAAAAAAAAAAAAAW0NvbnRlbnRfVHlwZXNdLnhtbFBLAQItABQABgAIAAAAIQBa9CxbvwAAABUB&#10;AAALAAAAAAAAAAAAAAAAAB8BAABfcmVscy8ucmVsc1BLAQItABQABgAIAAAAIQAfyigKyAAAAN8A&#10;AAAPAAAAAAAAAAAAAAAAAAcCAABkcnMvZG93bnJldi54bWxQSwUGAAAAAAMAAwC3AAAA/AIAAAAA&#10;" filled="f" stroked="f">
                  <v:textbox inset="0,0,0,0">
                    <w:txbxContent>
                      <w:p w14:paraId="31286936" w14:textId="77777777" w:rsidR="00B32EF2" w:rsidRDefault="00000000">
                        <w:r>
                          <w:rPr>
                            <w:rFonts w:ascii="Arial" w:eastAsia="Arial" w:hAnsi="Arial" w:cs="Arial"/>
                            <w:sz w:val="18"/>
                          </w:rPr>
                          <w:t>. I componenti delle corti di giustizia tributaria di secondo grado sono nomi</w:t>
                        </w:r>
                      </w:p>
                    </w:txbxContent>
                  </v:textbox>
                </v:rect>
                <v:rect id="Rectangle 202316" o:spid="_x0000_s6586" style="position:absolute;left:26351;top:23078;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o2RyAAAAN8AAAAPAAAAZHJzL2Rvd25yZXYueG1sRI9Pa8JA&#10;FMTvBb/D8oTe6sYURKIbEUWaQy+1Ch4f2Zc/mn27ZFeT9tN3C4Ueh5n5DbPejKYTD+p9a1nBfJaA&#10;IC6tbrlWcPo8vCxB+ICssbNMCr7IwyafPK0x03bgD3ocQy0ihH2GCpoQXCalLxsy6GfWEUevsr3B&#10;EGVfS93jEOGmk2mSLKTBluNCg452DZW3490ouOzZFYdBltX3zr1fi2X3dj+dlXqejtsViEBj+A//&#10;tQutIE3S1/kCfv/ELyDzHwAAAP//AwBQSwECLQAUAAYACAAAACEA2+H2y+4AAACFAQAAEwAAAAAA&#10;AAAAAAAAAAAAAAAAW0NvbnRlbnRfVHlwZXNdLnhtbFBLAQItABQABgAIAAAAIQBa9CxbvwAAABUB&#10;AAALAAAAAAAAAAAAAAAAAB8BAABfcmVscy8ucmVsc1BLAQItABQABgAIAAAAIQBwho2RyAAAAN8A&#10;AAAPAAAAAAAAAAAAAAAAAAcCAABkcnMvZG93bnJldi54bWxQSwUGAAAAAAMAAwC3AAAA/AIAAAAA&#10;" filled="f" stroked="f">
                  <v:textbox inset="0,0,0,0">
                    <w:txbxContent>
                      <w:p w14:paraId="50D0EE6B" w14:textId="77777777" w:rsidR="00B32EF2" w:rsidRDefault="00000000">
                        <w:r>
                          <w:rPr>
                            <w:rFonts w:ascii="Arial" w:eastAsia="Arial" w:hAnsi="Arial" w:cs="Arial"/>
                            <w:sz w:val="18"/>
                          </w:rPr>
                          <w:t>1</w:t>
                        </w:r>
                      </w:p>
                    </w:txbxContent>
                  </v:textbox>
                </v:rect>
                <v:rect id="Rectangle 22661" o:spid="_x0000_s6587" style="position:absolute;left:193;top:23078;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jaexgAAAN4AAAAPAAAAZHJzL2Rvd25yZXYueG1sRI9Ba8JA&#10;FITvBf/D8oTe6sYcgkRXEUXMoZeqhR4f2WcSzb5dsquJ/vpuoeBxmJlvmMVqMK24U+cbywqmkwQE&#10;cWl1w5WC03H3MQPhA7LG1jIpeJCH1XL0tsBc256/6H4IlYgQ9jkqqENwuZS+rMmgn1hHHL2z7QyG&#10;KLtK6g77CDetTJMkkwYbjgs1OtrUVF4PN6PgZ8uu2PWyPD837vNSzNr97fSt1Pt4WM9BBBrCK/zf&#10;LrSCNM2yKfzdiVdALn8BAAD//wMAUEsBAi0AFAAGAAgAAAAhANvh9svuAAAAhQEAABMAAAAAAAAA&#10;AAAAAAAAAAAAAFtDb250ZW50X1R5cGVzXS54bWxQSwECLQAUAAYACAAAACEAWvQsW78AAAAVAQAA&#10;CwAAAAAAAAAAAAAAAAAfAQAAX3JlbHMvLnJlbHNQSwECLQAUAAYACAAAACEAwtI2nsYAAADeAAAA&#10;DwAAAAAAAAAAAAAAAAAHAgAAZHJzL2Rvd25yZXYueG1sUEsFBgAAAAADAAMAtwAAAPoCAAAAAA==&#10;" filled="f" stroked="f">
                  <v:textbox inset="0,0,0,0">
                    <w:txbxContent>
                      <w:p w14:paraId="06A4F0C1" w14:textId="77777777" w:rsidR="00B32EF2" w:rsidRDefault="00000000">
                        <w:r>
                          <w:rPr>
                            <w:rFonts w:ascii="Arial" w:eastAsia="Arial" w:hAnsi="Arial" w:cs="Arial"/>
                            <w:sz w:val="18"/>
                          </w:rPr>
                          <w:t>-</w:t>
                        </w:r>
                      </w:p>
                    </w:txbxContent>
                  </v:textbox>
                </v:rect>
                <v:rect id="Rectangle 22662" o:spid="_x0000_s6588" style="position:absolute;left:-13170;top:2184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KjpxgAAAN4AAAAPAAAAZHJzL2Rvd25yZXYueG1sRI9Ba8JA&#10;FITvBf/D8oTe6sYcgkRXEUXMoZdaBY+P7DOJZt8u2dVEf323UOhxmJlvmMVqMK14UOcbywqmkwQE&#10;cWl1w5WC4/fuYwbCB2SNrWVS8CQPq+XobYG5tj1/0eMQKhEh7HNUUIfgcil9WZNBP7GOOHoX2xkM&#10;UXaV1B32EW5amSZJJg02HBdqdLSpqbwd7kbBecuu2PWyvLw27vNazNr9/XhS6n08rOcgAg3hP/zX&#10;LrSCNM2yFH7vxCsglz8AAAD//wMAUEsBAi0AFAAGAAgAAAAhANvh9svuAAAAhQEAABMAAAAAAAAA&#10;AAAAAAAAAAAAAFtDb250ZW50X1R5cGVzXS54bWxQSwECLQAUAAYACAAAACEAWvQsW78AAAAVAQAA&#10;CwAAAAAAAAAAAAAAAAAfAQAAX3JlbHMvLnJlbHNQSwECLQAUAAYACAAAACEAMgCo6cYAAADeAAAA&#10;DwAAAAAAAAAAAAAAAAAHAgAAZHJzL2Rvd25yZXYueG1sUEsFBgAAAAADAAMAtwAAAPoCAAAAAA==&#10;" filled="f" stroked="f">
                  <v:textbox inset="0,0,0,0">
                    <w:txbxContent>
                      <w:p w14:paraId="34C31790" w14:textId="77777777" w:rsidR="00B32EF2" w:rsidRDefault="00000000">
                        <w:r>
                          <w:rPr>
                            <w:rFonts w:ascii="Arial" w:eastAsia="Arial" w:hAnsi="Arial" w:cs="Arial"/>
                            <w:sz w:val="18"/>
                          </w:rPr>
                          <w:t xml:space="preserve">nati tra i magistrati tributari di cui all’articolo 2, comma 4, e i giudici tributari </w:t>
                        </w:r>
                      </w:p>
                    </w:txbxContent>
                  </v:textbox>
                </v:rect>
                <v:rect id="Rectangle 22663" o:spid="_x0000_s6589" style="position:absolute;left:3787;top:20611;width:361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A1yxwAAAN4AAAAPAAAAZHJzL2Rvd25yZXYueG1sRI9Ba8JA&#10;FITvBf/D8oTe6sYUgkQ3QRRpDr3UWujxkX0m0ezbJbuatL++Wyj0OMzMN8ymnEwv7jT4zrKC5SIB&#10;QVxb3XGj4PR+eFqB8AFZY2+ZFHyRh7KYPWww13bkN7ofQyMihH2OCtoQXC6lr1sy6BfWEUfvbAeD&#10;IcqhkXrAMcJNL9MkyaTBjuNCi452LdXX480o+Nyzqw6jrM/fO/d6qVb9y+30odTjfNquQQSawn/4&#10;r11pBWmaZc/weydeAVn8AAAA//8DAFBLAQItABQABgAIAAAAIQDb4fbL7gAAAIUBAAATAAAAAAAA&#10;AAAAAAAAAAAAAABbQ29udGVudF9UeXBlc10ueG1sUEsBAi0AFAAGAAgAAAAhAFr0LFu/AAAAFQEA&#10;AAsAAAAAAAAAAAAAAAAAHwEAAF9yZWxzLy5yZWxzUEsBAi0AFAAGAAgAAAAhAF1MDXLHAAAA3gAA&#10;AA8AAAAAAAAAAAAAAAAABwIAAGRycy9kb3ducmV2LnhtbFBLBQYAAAAAAwADALcAAAD7AgAAAAA=&#10;" filled="f" stroked="f">
                  <v:textbox inset="0,0,0,0">
                    <w:txbxContent>
                      <w:p w14:paraId="2D8A22F3" w14:textId="77777777" w:rsidR="00B32EF2" w:rsidRDefault="00000000">
                        <w:r>
                          <w:rPr>
                            <w:rFonts w:ascii="Arial" w:eastAsia="Arial" w:hAnsi="Arial" w:cs="Arial"/>
                            <w:sz w:val="18"/>
                          </w:rPr>
                          <w:t>presenti nel ruolo unico di cui all’articolo 2, comma 2.</w:t>
                        </w:r>
                      </w:p>
                    </w:txbxContent>
                  </v:textbox>
                </v:rect>
                <v:rect id="Rectangle 22664" o:spid="_x0000_s6590" style="position:absolute;left:15141;top:18144;width:79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ZUGxwAAAN4AAAAPAAAAZHJzL2Rvd25yZXYueG1sRI9Ba8JA&#10;FITvBf/D8oTe6sZQgkQ3QRRpDr3UWujxkX0m0ezbJbuatL++Wyj0OMzMN8ymnEwv7jT4zrKC5SIB&#10;QVxb3XGj4PR+eFqB8AFZY2+ZFHyRh7KYPWww13bkN7ofQyMihH2OCtoQXC6lr1sy6BfWEUfvbAeD&#10;IcqhkXrAMcJNL9MkyaTBjuNCi452LdXX480o+Nyzqw6jrM/fO/d6qVb9y+30odTjfNquQQSawn/4&#10;r11pBWmaZc/weydeAVn8AAAA//8DAFBLAQItABQABgAIAAAAIQDb4fbL7gAAAIUBAAATAAAAAAAA&#10;AAAAAAAAAAAAAABbQ29udGVudF9UeXBlc10ueG1sUEsBAi0AFAAGAAgAAAAhAFr0LFu/AAAAFQEA&#10;AAsAAAAAAAAAAAAAAAAAHwEAAF9yZWxzLy5yZWxzUEsBAi0AFAAGAAgAAAAhANKllQbHAAAA3gAA&#10;AA8AAAAAAAAAAAAAAAAABwIAAGRycy9kb3ducmV2LnhtbFBLBQYAAAAAAwADALcAAAD7AgAAAAA=&#10;" filled="f" stroked="f">
                  <v:textbox inset="0,0,0,0">
                    <w:txbxContent>
                      <w:p w14:paraId="67304FF9" w14:textId="77777777" w:rsidR="00B32EF2" w:rsidRDefault="00000000">
                        <w:r>
                          <w:rPr>
                            <w:rFonts w:ascii="Arial" w:eastAsia="Arial" w:hAnsi="Arial" w:cs="Arial"/>
                            <w:b/>
                            <w:sz w:val="18"/>
                          </w:rPr>
                          <w:t>Articolo 11</w:t>
                        </w:r>
                      </w:p>
                    </w:txbxContent>
                  </v:textbox>
                </v:rect>
                <v:rect id="Rectangle 202313" o:spid="_x0000_s6591" style="position:absolute;left:22445;top:16911;width:211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S4JyAAAAN8AAAAPAAAAZHJzL2Rvd25yZXYueG1sRI9La8Mw&#10;EITvhfwHsYXeGjkOlOBEDiUh1IdemgfkuFjrR2uthKXEbn59VCjkOMzMN8xqPZpOXKn3rWUFs2kC&#10;gri0uuVawfGwe12A8AFZY2eZFPySh3U+eVphpu3AX3Tdh1pECPsMFTQhuExKXzZk0E+tI45eZXuD&#10;Icq+lrrHIcJNJ9MkeZMGW44LDTraNFT+7C9GwXnLrtgNsqxuG/f5XSy6j8vxpNTL8/i+BBFoDI/w&#10;f7vQCtIknc/m8PcnfgGZ3wEAAP//AwBQSwECLQAUAAYACAAAACEA2+H2y+4AAACFAQAAEwAAAAAA&#10;AAAAAAAAAAAAAAAAW0NvbnRlbnRfVHlwZXNdLnhtbFBLAQItABQABgAIAAAAIQBa9CxbvwAAABUB&#10;AAALAAAAAAAAAAAAAAAAAB8BAABfcmVscy8ucmVsc1BLAQItABQABgAIAAAAIQBg8S4JyAAAAN8A&#10;AAAPAAAAAAAAAAAAAAAAAAcCAABkcnMvZG93bnJldi54bWxQSwUGAAAAAAMAAwC3AAAA/AIAAAAA&#10;" filled="f" stroked="f">
                  <v:textbox inset="0,0,0,0">
                    <w:txbxContent>
                      <w:p w14:paraId="11BCBC88" w14:textId="77777777" w:rsidR="00B32EF2" w:rsidRDefault="00000000">
                        <w:r>
                          <w:rPr>
                            <w:rFonts w:ascii="Arial" w:eastAsia="Arial" w:hAnsi="Arial" w:cs="Arial"/>
                            <w:i/>
                            <w:sz w:val="18"/>
                          </w:rPr>
                          <w:t>(</w:t>
                        </w:r>
                      </w:p>
                    </w:txbxContent>
                  </v:textbox>
                </v:rect>
                <v:rect id="Rectangle 202314" o:spid="_x0000_s6592" style="position:absolute;left:-5032;top:16911;width:211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LZ9yAAAAN8AAAAPAAAAZHJzL2Rvd25yZXYueG1sRI9Pa8JA&#10;FMTvgt9heYI33ZhKkdRVRJHm0Ev9Az0+ss8kbfbtkl1N7Kd3CwWPw8z8hlmue9OIG7W+tqxgNk1A&#10;EBdW11wqOB33kwUIH5A1NpZJwZ08rFfDwRIzbTv+pNshlCJC2GeooArBZVL6oiKDfmodcfQutjUY&#10;omxLqVvsItw0Mk2SV2mw5rhQoaNtRcXP4WoUfO3Y5ftOFpffrfv4zhfN+/V0Vmo86jdvIAL14Rn+&#10;b+daQZqkL7M5/P2JX0CuHgAAAP//AwBQSwECLQAUAAYACAAAACEA2+H2y+4AAACFAQAAEwAAAAAA&#10;AAAAAAAAAAAAAAAAW0NvbnRlbnRfVHlwZXNdLnhtbFBLAQItABQABgAIAAAAIQBa9CxbvwAAABUB&#10;AAALAAAAAAAAAAAAAAAAAB8BAABfcmVscy8ucmVsc1BLAQItABQABgAIAAAAIQDvGLZ9yAAAAN8A&#10;AAAPAAAAAAAAAAAAAAAAAAcCAABkcnMvZG93bnJldi54bWxQSwUGAAAAAAMAAwC3AAAA/AIAAAAA&#10;" filled="f" stroked="f">
                  <v:textbox inset="0,0,0,0">
                    <w:txbxContent>
                      <w:p w14:paraId="66DEB301" w14:textId="77777777" w:rsidR="00B32EF2" w:rsidRDefault="00000000">
                        <w:r>
                          <w:rPr>
                            <w:rFonts w:ascii="Arial" w:eastAsia="Arial" w:hAnsi="Arial" w:cs="Arial"/>
                            <w:i/>
                            <w:sz w:val="18"/>
                          </w:rPr>
                          <w:t>545/92)</w:t>
                        </w:r>
                      </w:p>
                    </w:txbxContent>
                  </v:textbox>
                </v:rect>
                <v:rect id="Rectangle 202315" o:spid="_x0000_s6593" style="position:absolute;left:10539;top:16911;width:211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BPmyAAAAN8AAAAPAAAAZHJzL2Rvd25yZXYueG1sRI9Pa8JA&#10;FMTvgt9heYI33ZhikdRVRJHm0Ev9Az0+ss8kbfbtkl1N7Kd3CwWPw8z8hlmue9OIG7W+tqxgNk1A&#10;EBdW11wqOB33kwUIH5A1NpZJwZ08rFfDwRIzbTv+pNshlCJC2GeooArBZVL6oiKDfmodcfQutjUY&#10;omxLqVvsItw0Mk2SV2mw5rhQoaNtRcXP4WoUfO3Y5ftOFpffrfv4zhfN+/V0Vmo86jdvIAL14Rn+&#10;b+daQZqkL7M5/P2JX0CuHgAAAP//AwBQSwECLQAUAAYACAAAACEA2+H2y+4AAACFAQAAEwAAAAAA&#10;AAAAAAAAAAAAAAAAW0NvbnRlbnRfVHlwZXNdLnhtbFBLAQItABQABgAIAAAAIQBa9CxbvwAAABUB&#10;AAALAAAAAAAAAAAAAAAAAB8BAABfcmVscy8ucmVsc1BLAQItABQABgAIAAAAIQCAVBPmyAAAAN8A&#10;AAAPAAAAAAAAAAAAAAAAAAcCAABkcnMvZG93bnJldi54bWxQSwUGAAAAAAMAAwC3AAAA/AIAAAAA&#10;" filled="f" stroked="f">
                  <v:textbox inset="0,0,0,0">
                    <w:txbxContent>
                      <w:p w14:paraId="1CAEDAF3" w14:textId="77777777" w:rsidR="00B32EF2" w:rsidRDefault="00000000">
                        <w:r>
                          <w:rPr>
                            <w:rFonts w:ascii="Arial" w:eastAsia="Arial" w:hAnsi="Arial" w:cs="Arial"/>
                            <w:i/>
                            <w:sz w:val="18"/>
                          </w:rPr>
                          <w:t xml:space="preserve">articolo 5-bis D.lgs. n. </w:t>
                        </w:r>
                      </w:p>
                    </w:txbxContent>
                  </v:textbox>
                </v:rect>
                <v:rect id="Rectangle 22666" o:spid="_x0000_s6594" style="position:absolute;left:-4787;top:15678;width:396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67qxgAAAN4AAAAPAAAAZHJzL2Rvd25yZXYueG1sRI9Ba8JA&#10;FITvBf/D8oTe6sYcgkRXEUXMoZdaBY+P7DOJZt8u2dVEf323UOhxmJlvmMVqMK14UOcbywqmkwQE&#10;cWl1w5WC4/fuYwbCB2SNrWVS8CQPq+XobYG5tj1/0eMQKhEh7HNUUIfgcil9WZNBP7GOOHoX2xkM&#10;UXaV1B32EW5amSZJJg02HBdqdLSpqbwd7kbBecuu2PWyvLw27vNazNr9/XhS6n08rOcgAg3hP/zX&#10;LrSCNM2yDH7vxCsglz8AAAD//wMAUEsBAi0AFAAGAAgAAAAhANvh9svuAAAAhQEAABMAAAAAAAAA&#10;AAAAAAAAAAAAAFtDb250ZW50X1R5cGVzXS54bWxQSwECLQAUAAYACAAAACEAWvQsW78AAAAVAQAA&#10;CwAAAAAAAAAAAAAAAAAfAQAAX3JlbHMvLnJlbHNQSwECLQAUAAYACAAAACEATTuu6sYAAADeAAAA&#10;DwAAAAAAAAAAAAAAAAAHAgAAZHJzL2Rvd25yZXYueG1sUEsFBgAAAAADAAMAtwAAAPoCAAAAAA==&#10;" filled="f" stroked="f">
                  <v:textbox inset="0,0,0,0">
                    <w:txbxContent>
                      <w:p w14:paraId="08201593" w14:textId="77777777" w:rsidR="00B32EF2" w:rsidRDefault="00000000">
                        <w:r>
                          <w:rPr>
                            <w:rFonts w:ascii="Arial" w:eastAsia="Arial" w:hAnsi="Arial" w:cs="Arial"/>
                            <w:b/>
                            <w:sz w:val="18"/>
                          </w:rPr>
                          <w:t xml:space="preserve">Formazione continua dei giudici e magistrati tributari </w:t>
                        </w:r>
                      </w:p>
                    </w:txbxContent>
                  </v:textbox>
                </v:rect>
                <v:rect id="Rectangle 202312" o:spid="_x0000_s6595" style="position:absolute;left:-13762;top:14445;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YuSxwAAAN8AAAAPAAAAZHJzL2Rvd25yZXYueG1sRI9Ba8JA&#10;FITvgv9heYI33RihSHQVUcQcvNRa6PGRfSbR7Nslu5rYX98tFHocZuYbZrXpTSOe1PrasoLZNAFB&#10;XFhdc6ng8nGYLED4gKyxsUwKXuRhsx4OVphp2/E7Pc+hFBHCPkMFVQguk9IXFRn0U+uIo3e1rcEQ&#10;ZVtK3WIX4aaRaZK8SYM1x4UKHe0qKu7nh1HwtWeXHzpZXL937nTLF83xcflUajzqt0sQgfrwH/5r&#10;51pBmqTzWQq/f+IXkOsfAAAA//8DAFBLAQItABQABgAIAAAAIQDb4fbL7gAAAIUBAAATAAAAAAAA&#10;AAAAAAAAAAAAAABbQ29udGVudF9UeXBlc10ueG1sUEsBAi0AFAAGAAgAAAAhAFr0LFu/AAAAFQEA&#10;AAsAAAAAAAAAAAAAAAAAHwEAAF9yZWxzLy5yZWxzUEsBAi0AFAAGAAgAAAAhAA+9i5LHAAAA3wAA&#10;AA8AAAAAAAAAAAAAAAAABwIAAGRycy9kb3ducmV2LnhtbFBLBQYAAAAAAwADALcAAAD7AgAAAAA=&#10;" filled="f" stroked="f">
                  <v:textbox inset="0,0,0,0">
                    <w:txbxContent>
                      <w:p w14:paraId="59E5DABD" w14:textId="77777777" w:rsidR="00B32EF2" w:rsidRDefault="00000000">
                        <w:r>
                          <w:rPr>
                            <w:rFonts w:ascii="Arial" w:eastAsia="Arial" w:hAnsi="Arial" w:cs="Arial"/>
                            <w:sz w:val="18"/>
                          </w:rPr>
                          <w:t xml:space="preserve">. Il Consiglio di presidenza della giustizia tributaria, con proprio regolamento, </w:t>
                        </w:r>
                      </w:p>
                    </w:txbxContent>
                  </v:textbox>
                </v:rect>
                <v:rect id="Rectangle 202311" o:spid="_x0000_s6596" style="position:absolute;left:26111;top:14445;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xwAAAN8AAAAPAAAAZHJzL2Rvd25yZXYueG1sRI9Ba8JA&#10;FITvQv/D8gredJMIIqmriCLm4EVrocdH9pmkZt8u2dXE/vpuodDjMDPfMMv1YFrxoM43lhWk0wQE&#10;cWl1w5WCy/t+sgDhA7LG1jIpeJKH9epltMRc255P9DiHSkQI+xwV1CG4XEpf1mTQT60jjt7VdgZD&#10;lF0ldYd9hJtWZkkylwYbjgs1OtrWVN7Od6Pgc8eu2PeyvH5v3fGrWLSH++VDqfHrsHkDEWgI/+G/&#10;dqEVZEk2S1P4/RO/gFz9AAAA//8DAFBLAQItABQABgAIAAAAIQDb4fbL7gAAAIUBAAATAAAAAAAA&#10;AAAAAAAAAAAAAABbQ29udGVudF9UeXBlc10ueG1sUEsBAi0AFAAGAAgAAAAhAFr0LFu/AAAAFQEA&#10;AAsAAAAAAAAAAAAAAAAAHwEAAF9yZWxzLy5yZWxzUEsBAi0AFAAGAAgAAAAhAP9vFeXHAAAA3wAA&#10;AA8AAAAAAAAAAAAAAAAABwIAAGRycy9kb3ducmV2LnhtbFBLBQYAAAAAAwADALcAAAD7AgAAAAA=&#10;" filled="f" stroked="f">
                  <v:textbox inset="0,0,0,0">
                    <w:txbxContent>
                      <w:p w14:paraId="02942B59" w14:textId="77777777" w:rsidR="00B32EF2" w:rsidRDefault="00000000">
                        <w:r>
                          <w:rPr>
                            <w:rFonts w:ascii="Arial" w:eastAsia="Arial" w:hAnsi="Arial" w:cs="Arial"/>
                            <w:sz w:val="18"/>
                          </w:rPr>
                          <w:t>1</w:t>
                        </w:r>
                      </w:p>
                    </w:txbxContent>
                  </v:textbox>
                </v:rect>
                <v:rect id="Rectangle 22668" o:spid="_x0000_s6597" style="position:absolute;left:-13170;top:132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J8DwwAAAN4AAAAPAAAAZHJzL2Rvd25yZXYueG1sRE9Ni8Iw&#10;EL0v+B/CCN7W1B6KVKOIIvbgRdeFPQ7N2FabSWiirf76zWFhj4/3vVwPphVP6nxjWcFsmoAgLq1u&#10;uFJw+dp/zkH4gKyxtUwKXuRhvRp9LDHXtucTPc+hEjGEfY4K6hBcLqUvazLop9YRR+5qO4Mhwq6S&#10;usM+hptWpkmSSYMNx4YaHW1rKu/nh1Hws2NX7HtZXt9bd7wV8/bwuHwrNRkPmwWIQEP4F/+5C60g&#10;TbMs7o134hWQq18AAAD//wMAUEsBAi0AFAAGAAgAAAAhANvh9svuAAAAhQEAABMAAAAAAAAAAAAA&#10;AAAAAAAAAFtDb250ZW50X1R5cGVzXS54bWxQSwECLQAUAAYACAAAACEAWvQsW78AAAAVAQAACwAA&#10;AAAAAAAAAAAAAAAfAQAAX3JlbHMvLnJlbHNQSwECLQAUAAYACAAAACEAU+ifA8MAAADeAAAADwAA&#10;AAAAAAAAAAAAAAAHAgAAZHJzL2Rvd25yZXYueG1sUEsFBgAAAAADAAMAtwAAAPcCAAAAAA==&#10;" filled="f" stroked="f">
                  <v:textbox inset="0,0,0,0">
                    <w:txbxContent>
                      <w:p w14:paraId="51AF8BFE" w14:textId="77777777" w:rsidR="00B32EF2" w:rsidRDefault="00000000">
                        <w:r>
                          <w:rPr>
                            <w:rFonts w:ascii="Arial" w:eastAsia="Arial" w:hAnsi="Arial" w:cs="Arial"/>
                            <w:sz w:val="18"/>
                          </w:rPr>
                          <w:t xml:space="preserve">definisce i criteri e le modalità della formazione continua e dell’aggiornamento </w:t>
                        </w:r>
                      </w:p>
                    </w:txbxContent>
                  </v:textbox>
                </v:rect>
                <v:rect id="Rectangle 22669" o:spid="_x0000_s6598" style="position:absolute;left:-13170;top:119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DqYxgAAAN4AAAAPAAAAZHJzL2Rvd25yZXYueG1sRI9Ba8JA&#10;FITvBf/D8oTe6sYcgo2uIoo0By9aCz0+ss8kmn27ZFcT++u7QqHHYWa+YRarwbTiTp1vLCuYThIQ&#10;xKXVDVcKTp+7txkIH5A1tpZJwYM8rJajlwXm2vZ8oPsxVCJC2OeooA7B5VL6siaDfmIdcfTOtjMY&#10;ouwqqTvsI9y0Mk2STBpsOC7U6GhTU3k93oyC7y27YtfL8vyzcftLMWs/bqcvpV7Hw3oOItAQ/sN/&#10;7UIrSNMse4fnnXgF5PIXAAD//wMAUEsBAi0AFAAGAAgAAAAhANvh9svuAAAAhQEAABMAAAAAAAAA&#10;AAAAAAAAAAAAAFtDb250ZW50X1R5cGVzXS54bWxQSwECLQAUAAYACAAAACEAWvQsW78AAAAVAQAA&#10;CwAAAAAAAAAAAAAAAAAfAQAAX3JlbHMvLnJlbHNQSwECLQAUAAYACAAAACEAPKQ6mMYAAADeAAAA&#10;DwAAAAAAAAAAAAAAAAAHAgAAZHJzL2Rvd25yZXYueG1sUEsFBgAAAAADAAMAtwAAAPoCAAAAAA==&#10;" filled="f" stroked="f">
                  <v:textbox inset="0,0,0,0">
                    <w:txbxContent>
                      <w:p w14:paraId="7C321987" w14:textId="77777777" w:rsidR="00B32EF2" w:rsidRDefault="00000000">
                        <w:r>
                          <w:rPr>
                            <w:rFonts w:ascii="Arial" w:eastAsia="Arial" w:hAnsi="Arial" w:cs="Arial"/>
                            <w:sz w:val="18"/>
                          </w:rPr>
                          <w:t xml:space="preserve">professionale dei giudici e dei magistrati tributari di cui all’articolo 2, comma 1, </w:t>
                        </w:r>
                      </w:p>
                    </w:txbxContent>
                  </v:textbox>
                </v:rect>
                <v:rect id="Rectangle 22670" o:spid="_x0000_s6599" style="position:absolute;left:-12208;top:10745;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wXYxQAAAN4AAAAPAAAAZHJzL2Rvd25yZXYueG1sRI/NisIw&#10;FIX3A75DuIK7MbULR6pRRBG7cDOOgstLc22rzU1ooq0+/WQxMMvD+eNbrHrTiCe1vrasYDJOQBAX&#10;VtdcKjj97D5nIHxA1thYJgUv8rBaDj4WmGnb8Tc9j6EUcYR9hgqqEFwmpS8qMujH1hFH72pbgyHK&#10;tpS6xS6Om0amSTKVBmuODxU62lRU3I8Po+CyZZfvOllc3xt3uOWzZv84nZUaDfv1HESgPvyH/9q5&#10;VpCm068IEHEiCsjlLwAAAP//AwBQSwECLQAUAAYACAAAACEA2+H2y+4AAACFAQAAEwAAAAAAAAAA&#10;AAAAAAAAAAAAW0NvbnRlbnRfVHlwZXNdLnhtbFBLAQItABQABgAIAAAAIQBa9CxbvwAAABUBAAAL&#10;AAAAAAAAAAAAAAAAAB8BAABfcmVscy8ucmVsc1BLAQItABQABgAIAAAAIQAoRwXYxQAAAN4AAAAP&#10;AAAAAAAAAAAAAAAAAAcCAABkcnMvZG93bnJldi54bWxQSwUGAAAAAAMAAwC3AAAA+QIAAAAA&#10;" filled="f" stroked="f">
                  <v:textbox inset="0,0,0,0">
                    <w:txbxContent>
                      <w:p w14:paraId="0CD7A580" w14:textId="77777777" w:rsidR="00B32EF2" w:rsidRDefault="00000000">
                        <w:r>
                          <w:rPr>
                            <w:rFonts w:ascii="Arial" w:eastAsia="Arial" w:hAnsi="Arial" w:cs="Arial"/>
                            <w:sz w:val="18"/>
                          </w:rPr>
                          <w:t>mediante la frequenza di corsi periodici di carattere teorico-pratico organizza</w:t>
                        </w:r>
                      </w:p>
                    </w:txbxContent>
                  </v:textbox>
                </v:rect>
                <v:rect id="Rectangle 22671" o:spid="_x0000_s6600" style="position:absolute;left:193;top:1074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6BDxgAAAN4AAAAPAAAAZHJzL2Rvd25yZXYueG1sRI9Ba8JA&#10;FITvgv9heYXedGMOKtFViiLNwYtWweMj+0zSZt8u2dXE/vquIPQ4zMw3zHLdm0bcqfW1ZQWTcQKC&#10;uLC65lLB6Ws3moPwAVljY5kUPMjDejUcLDHTtuMD3Y+hFBHCPkMFVQguk9IXFRn0Y+uIo3e1rcEQ&#10;ZVtK3WIX4aaRaZJMpcGa40KFjjYVFT/Hm1Fw2bLLd50srr8bt//O583n7XRW6v2t/1iACNSH//Cr&#10;nWsFaTqdTeB5J14BufoDAAD//wMAUEsBAi0AFAAGAAgAAAAhANvh9svuAAAAhQEAABMAAAAAAAAA&#10;AAAAAAAAAAAAAFtDb250ZW50X1R5cGVzXS54bWxQSwECLQAUAAYACAAAACEAWvQsW78AAAAVAQAA&#10;CwAAAAAAAAAAAAAAAAAfAQAAX3JlbHMvLnJlbHNQSwECLQAUAAYACAAAACEARwugQ8YAAADeAAAA&#10;DwAAAAAAAAAAAAAAAAAHAgAAZHJzL2Rvd25yZXYueG1sUEsFBgAAAAADAAMAtwAAAPoCAAAAAA==&#10;" filled="f" stroked="f">
                  <v:textbox inset="0,0,0,0">
                    <w:txbxContent>
                      <w:p w14:paraId="171AA950" w14:textId="77777777" w:rsidR="00B32EF2" w:rsidRDefault="00000000">
                        <w:r>
                          <w:rPr>
                            <w:rFonts w:ascii="Arial" w:eastAsia="Arial" w:hAnsi="Arial" w:cs="Arial"/>
                            <w:sz w:val="18"/>
                          </w:rPr>
                          <w:t>-</w:t>
                        </w:r>
                      </w:p>
                    </w:txbxContent>
                  </v:textbox>
                </v:rect>
                <v:rect id="Rectangle 22672" o:spid="_x0000_s6601" style="position:absolute;left:-13170;top:95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T40xgAAAN4AAAAPAAAAZHJzL2Rvd25yZXYueG1sRI9Ba8JA&#10;FITvBf/D8gre6qY5WEldRRQxBy+1ETw+ss8kNft2ya4m+uvdQqHHYWa+YebLwbTiRp1vLCt4nyQg&#10;iEurG64UFN/btxkIH5A1tpZJwZ08LBejlzlm2vb8RbdDqESEsM9QQR2Cy6T0ZU0G/cQ64uidbWcw&#10;RNlVUnfYR7hpZZokU2mw4bhQo6N1TeXlcDUKTht2+baX5fmxdvuffNbursVRqfHrsPoEEWgI/+G/&#10;dq4VpOn0I4XfO/EKyMUTAAD//wMAUEsBAi0AFAAGAAgAAAAhANvh9svuAAAAhQEAABMAAAAAAAAA&#10;AAAAAAAAAAAAAFtDb250ZW50X1R5cGVzXS54bWxQSwECLQAUAAYACAAAACEAWvQsW78AAAAVAQAA&#10;CwAAAAAAAAAAAAAAAAAfAQAAX3JlbHMvLnJlbHNQSwECLQAUAAYACAAAACEAt9k+NMYAAADeAAAA&#10;DwAAAAAAAAAAAAAAAAAHAgAAZHJzL2Rvd25yZXYueG1sUEsFBgAAAAADAAMAtwAAAPoCAAAAAA==&#10;" filled="f" stroked="f">
                  <v:textbox inset="0,0,0,0">
                    <w:txbxContent>
                      <w:p w14:paraId="0900E8E2" w14:textId="77777777" w:rsidR="00B32EF2" w:rsidRDefault="00000000">
                        <w:r>
                          <w:rPr>
                            <w:rFonts w:ascii="Arial" w:eastAsia="Arial" w:hAnsi="Arial" w:cs="Arial"/>
                            <w:sz w:val="18"/>
                          </w:rPr>
                          <w:t xml:space="preserve">ti e gestiti sulla base di apposita convenzione, prioritariamente, dalla Scuola </w:t>
                        </w:r>
                      </w:p>
                    </w:txbxContent>
                  </v:textbox>
                </v:rect>
                <v:rect id="Rectangle 22673" o:spid="_x0000_s6602" style="position:absolute;left:-13170;top:82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ZuvxwAAAN4AAAAPAAAAZHJzL2Rvd25yZXYueG1sRI9Pa8JA&#10;FMTvgt9heYI33TSClegqxSLNoRf/gcdH9pmkzb5dsqtJ++m7QsHjMDO/YVab3jTiTq2vLSt4mSYg&#10;iAuray4VnI67yQKED8gaG8uk4Ic8bNbDwQozbTve0/0QShEh7DNUUIXgMil9UZFBP7WOOHpX2xoM&#10;Ubal1C12EW4amSbJXBqsOS5U6GhbUfF9uBkFl3d2+a6TxfV36z6/8kXzcTudlRqP+rcliEB9eIb/&#10;27lWkKbz1xk87sQrINd/AAAA//8DAFBLAQItABQABgAIAAAAIQDb4fbL7gAAAIUBAAATAAAAAAAA&#10;AAAAAAAAAAAAAABbQ29udGVudF9UeXBlc10ueG1sUEsBAi0AFAAGAAgAAAAhAFr0LFu/AAAAFQEA&#10;AAsAAAAAAAAAAAAAAAAAHwEAAF9yZWxzLy5yZWxzUEsBAi0AFAAGAAgAAAAhANiVm6/HAAAA3gAA&#10;AA8AAAAAAAAAAAAAAAAABwIAAGRycy9kb3ducmV2LnhtbFBLBQYAAAAAAwADALcAAAD7AgAAAAA=&#10;" filled="f" stroked="f">
                  <v:textbox inset="0,0,0,0">
                    <w:txbxContent>
                      <w:p w14:paraId="3A3E4CAE" w14:textId="77777777" w:rsidR="00B32EF2" w:rsidRDefault="00000000">
                        <w:r>
                          <w:rPr>
                            <w:rFonts w:ascii="Arial" w:eastAsia="Arial" w:hAnsi="Arial" w:cs="Arial"/>
                            <w:sz w:val="18"/>
                          </w:rPr>
                          <w:t xml:space="preserve">nazionale dell’amministrazione con modalità separate e corsi distinti rispetto </w:t>
                        </w:r>
                      </w:p>
                    </w:txbxContent>
                  </v:textbox>
                </v:rect>
                <v:rect id="Rectangle 22674" o:spid="_x0000_s6603" style="position:absolute;left:-12208;top:7045;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APbxwAAAN4AAAAPAAAAZHJzL2Rvd25yZXYueG1sRI9Pa8JA&#10;FMTvgt9heYI33TSIlegqxSLNoRf/gcdH9pmkzb5dsqtJ++m7QsHjMDO/YVab3jTiTq2vLSt4mSYg&#10;iAuray4VnI67yQKED8gaG8uk4Ic8bNbDwQozbTve0/0QShEh7DNUUIXgMil9UZFBP7WOOHpX2xoM&#10;Ubal1C12EW4amSbJXBqsOS5U6GhbUfF9uBkFl3d2+a6TxfV36z6/8kXzcTudlRqP+rcliEB9eIb/&#10;27lWkKbz1xk87sQrINd/AAAA//8DAFBLAQItABQABgAIAAAAIQDb4fbL7gAAAIUBAAATAAAAAAAA&#10;AAAAAAAAAAAAAABbQ29udGVudF9UeXBlc10ueG1sUEsBAi0AFAAGAAgAAAAhAFr0LFu/AAAAFQEA&#10;AAsAAAAAAAAAAAAAAAAAHwEAAF9yZWxzLy5yZWxzUEsBAi0AFAAGAAgAAAAhAFd8A9vHAAAA3gAA&#10;AA8AAAAAAAAAAAAAAAAABwIAAGRycy9kb3ducmV2LnhtbFBLBQYAAAAAAwADALcAAAD7AgAAAAA=&#10;" filled="f" stroked="f">
                  <v:textbox inset="0,0,0,0">
                    <w:txbxContent>
                      <w:p w14:paraId="29C5FEA9" w14:textId="77777777" w:rsidR="00B32EF2" w:rsidRDefault="00000000">
                        <w:r>
                          <w:rPr>
                            <w:rFonts w:ascii="Arial" w:eastAsia="Arial" w:hAnsi="Arial" w:cs="Arial"/>
                            <w:sz w:val="18"/>
                          </w:rPr>
                          <w:t>ai corsi di formazione destinati all’amministrazione finanziaria o, subordinata</w:t>
                        </w:r>
                      </w:p>
                    </w:txbxContent>
                  </v:textbox>
                </v:rect>
                <v:rect id="Rectangle 22675" o:spid="_x0000_s6604" style="position:absolute;left:193;top:7045;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KZAxwAAAN4AAAAPAAAAZHJzL2Rvd25yZXYueG1sRI9Pa8JA&#10;FMTvgt9heYI33TSglegqxSLNoRf/gcdH9pmkzb5dsqtJ++m7QsHjMDO/YVab3jTiTq2vLSt4mSYg&#10;iAuray4VnI67yQKED8gaG8uk4Ic8bNbDwQozbTve0/0QShEh7DNUUIXgMil9UZFBP7WOOHpX2xoM&#10;Ubal1C12EW4amSbJXBqsOS5U6GhbUfF9uBkFl3d2+a6TxfV36z6/8kXzcTudlRqP+rcliEB9eIb/&#10;27lWkKbz1xk87sQrINd/AAAA//8DAFBLAQItABQABgAIAAAAIQDb4fbL7gAAAIUBAAATAAAAAAAA&#10;AAAAAAAAAAAAAABbQ29udGVudF9UeXBlc10ueG1sUEsBAi0AFAAGAAgAAAAhAFr0LFu/AAAAFQEA&#10;AAsAAAAAAAAAAAAAAAAAHwEAAF9yZWxzLy5yZWxzUEsBAi0AFAAGAAgAAAAhADgwpkDHAAAA3gAA&#10;AA8AAAAAAAAAAAAAAAAABwIAAGRycy9kb3ducmV2LnhtbFBLBQYAAAAAAwADALcAAAD7AgAAAAA=&#10;" filled="f" stroked="f">
                  <v:textbox inset="0,0,0,0">
                    <w:txbxContent>
                      <w:p w14:paraId="1CF8D4D9" w14:textId="77777777" w:rsidR="00B32EF2" w:rsidRDefault="00000000">
                        <w:r>
                          <w:rPr>
                            <w:rFonts w:ascii="Arial" w:eastAsia="Arial" w:hAnsi="Arial" w:cs="Arial"/>
                            <w:sz w:val="18"/>
                          </w:rPr>
                          <w:t>-</w:t>
                        </w:r>
                      </w:p>
                    </w:txbxContent>
                  </v:textbox>
                </v:rect>
                <v:rect id="Rectangle 22676" o:spid="_x0000_s6605" style="position:absolute;left:-13170;top:58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jg3xwAAAN4AAAAPAAAAZHJzL2Rvd25yZXYueG1sRI9Ba8JA&#10;FITvBf/D8oTe6sYcUkndhKJIc+ilaqHHR/aZpM2+XbKrSf31bqHgcZiZb5h1OZleXGjwnWUFy0UC&#10;gri2uuNGwfGwe1qB8AFZY2+ZFPySh7KYPawx13bkD7rsQyMihH2OCtoQXC6lr1sy6BfWEUfvZAeD&#10;IcqhkXrAMcJNL9MkyaTBjuNCi442LdU/+7NR8LVlV+1GWZ+uG/f+Xa36t/PxU6nH+fT6AiLQFO7h&#10;/3alFaRp9pzB3514BWRxAwAA//8DAFBLAQItABQABgAIAAAAIQDb4fbL7gAAAIUBAAATAAAAAAAA&#10;AAAAAAAAAAAAAABbQ29udGVudF9UeXBlc10ueG1sUEsBAi0AFAAGAAgAAAAhAFr0LFu/AAAAFQEA&#10;AAsAAAAAAAAAAAAAAAAAHwEAAF9yZWxzLy5yZWxzUEsBAi0AFAAGAAgAAAAhAMjiODfHAAAA3gAA&#10;AA8AAAAAAAAAAAAAAAAABwIAAGRycy9kb3ducmV2LnhtbFBLBQYAAAAAAwADALcAAAD7AgAAAAA=&#10;" filled="f" stroked="f">
                  <v:textbox inset="0,0,0,0">
                    <w:txbxContent>
                      <w:p w14:paraId="50007CA6" w14:textId="77777777" w:rsidR="00B32EF2" w:rsidRDefault="00000000">
                        <w:r>
                          <w:rPr>
                            <w:rFonts w:ascii="Arial" w:eastAsia="Arial" w:hAnsi="Arial" w:cs="Arial"/>
                            <w:sz w:val="18"/>
                          </w:rPr>
                          <w:t xml:space="preserve">mente, dalle università accreditate ai sensi del decreto legislativo 27 gennaio </w:t>
                        </w:r>
                      </w:p>
                    </w:txbxContent>
                  </v:textbox>
                </v:rect>
                <v:rect id="Rectangle 202306" o:spid="_x0000_s6606" style="position:absolute;left:-15662;top:45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xtMyAAAAN8AAAAPAAAAZHJzL2Rvd25yZXYueG1sRI9Ba8JA&#10;FITvhf6H5RV6q7uNIJK6iljEHHrRptDjI/tMUrNvl+xq0v56VxB6HGbmG2axGm0nLtSH1rGG14kC&#10;QVw503KtofzcvsxBhIhssHNMGn4pwGr5+LDA3LiB93Q5xFokCIccNTQx+lzKUDVkMUycJ07e0fUW&#10;Y5J9LU2PQ4LbTmZKzaTFltNCg542DVWnw9lq+H5nX2wHWR3/Nv7jp5h3u3P5pfXz07h+AxFpjP/h&#10;e7swGjKVTdUMbn/SF5DLKwAAAP//AwBQSwECLQAUAAYACAAAACEA2+H2y+4AAACFAQAAEwAAAAAA&#10;AAAAAAAAAAAAAAAAW0NvbnRlbnRfVHlwZXNdLnhtbFBLAQItABQABgAIAAAAIQBa9CxbvwAAABUB&#10;AAALAAAAAAAAAAAAAAAAAB8BAABfcmVscy8ucmVsc1BLAQItABQABgAIAAAAIQD1XxtMyAAAAN8A&#10;AAAPAAAAAAAAAAAAAAAAAAcCAABkcnMvZG93bnJldi54bWxQSwUGAAAAAAMAAwC3AAAA/AIAAAAA&#10;" filled="f" stroked="f">
                  <v:textbox inset="0,0,0,0">
                    <w:txbxContent>
                      <w:p w14:paraId="4087142B" w14:textId="77777777" w:rsidR="00B32EF2" w:rsidRDefault="00000000">
                        <w:r>
                          <w:rPr>
                            <w:rFonts w:ascii="Arial" w:eastAsia="Arial" w:hAnsi="Arial" w:cs="Arial"/>
                            <w:sz w:val="18"/>
                          </w:rPr>
                          <w:t xml:space="preserve">, n. 19 o da altri enti pubblici. Agli oneri per la formazione di cui al primo </w:t>
                        </w:r>
                      </w:p>
                    </w:txbxContent>
                  </v:textbox>
                </v:rect>
                <v:rect id="Rectangle 202304" o:spid="_x0000_s6607" style="position:absolute;left:24258;top:4578;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SCgyAAAAN8AAAAPAAAAZHJzL2Rvd25yZXYueG1sRI9BawIx&#10;FITvhf6H8Aq91aRbKbIaRSzSPfSiVfD42Dx3VzcvYRPdbX+9EQo9DjPzDTNbDLYVV+pC41jD60iB&#10;IC6dabjSsPtev0xAhIhssHVMGn4owGL++DDD3LieN3TdxkokCIccNdQx+lzKUNZkMYycJ07e0XUW&#10;Y5JdJU2HfYLbVmZKvUuLDaeFGj2tairP24vVcPhgX6x7WR5/V/7rVEzaz8tur/Xz07Ccgog0xP/w&#10;X7swGjKVvakx3P+kLyDnNwAAAP//AwBQSwECLQAUAAYACAAAACEA2+H2y+4AAACFAQAAEwAAAAAA&#10;AAAAAAAAAAAAAAAAW0NvbnRlbnRfVHlwZXNdLnhtbFBLAQItABQABgAIAAAAIQBa9CxbvwAAABUB&#10;AAALAAAAAAAAAAAAAAAAAB8BAABfcmVscy8ucmVsc1BLAQItABQABgAIAAAAIQBqwSCgyAAAAN8A&#10;AAAPAAAAAAAAAAAAAAAAAAcCAABkcnMvZG93bnJldi54bWxQSwUGAAAAAAMAAwC3AAAA/AIAAAAA&#10;" filled="f" stroked="f">
                  <v:textbox inset="0,0,0,0">
                    <w:txbxContent>
                      <w:p w14:paraId="1B411422" w14:textId="77777777" w:rsidR="00B32EF2" w:rsidRDefault="00000000">
                        <w:r>
                          <w:rPr>
                            <w:rFonts w:ascii="Arial" w:eastAsia="Arial" w:hAnsi="Arial" w:cs="Arial"/>
                            <w:sz w:val="18"/>
                          </w:rPr>
                          <w:t>2012</w:t>
                        </w:r>
                      </w:p>
                    </w:txbxContent>
                  </v:textbox>
                </v:rect>
                <v:rect id="Rectangle 22678" o:spid="_x0000_s6608" style="position:absolute;left:-13170;top:3345;width:530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QnewwAAAN4AAAAPAAAAZHJzL2Rvd25yZXYueG1sRE9Ni8Iw&#10;EL0v+B/CCN7W1B5cqUYRRezBy7oKHodmbKvNJDTRVn/95rCwx8f7Xqx604gntb62rGAyTkAQF1bX&#10;XCo4/ew+ZyB8QNbYWCYFL/KwWg4+Fphp2/E3PY+hFDGEfYYKqhBcJqUvKjLox9YRR+5qW4MhwraU&#10;usUuhptGpkkylQZrjg0VOtpUVNyPD6PgsmWX7zpZXN8bd7jls2b/OJ2VGg379RxEoD78i//cuVaQ&#10;ptOvuDfeiVdALn8BAAD//wMAUEsBAi0AFAAGAAgAAAAhANvh9svuAAAAhQEAABMAAAAAAAAAAAAA&#10;AAAAAAAAAFtDb250ZW50X1R5cGVzXS54bWxQSwECLQAUAAYACAAAACEAWvQsW78AAAAVAQAACwAA&#10;AAAAAAAAAAAAAAAfAQAAX3JlbHMvLnJlbHNQSwECLQAUAAYACAAAACEA1jEJ3sMAAADeAAAADwAA&#10;AAAAAAAAAAAAAAAHAgAAZHJzL2Rvd25yZXYueG1sUEsFBgAAAAADAAMAtwAAAPcCAAAAAA==&#10;" filled="f" stroked="f">
                  <v:textbox inset="0,0,0,0">
                    <w:txbxContent>
                      <w:p w14:paraId="72F845CE" w14:textId="77777777" w:rsidR="00B32EF2" w:rsidRDefault="00000000">
                        <w:r>
                          <w:rPr>
                            <w:rFonts w:ascii="Arial" w:eastAsia="Arial" w:hAnsi="Arial" w:cs="Arial"/>
                            <w:sz w:val="18"/>
                          </w:rPr>
                          <w:t xml:space="preserve">periodo si provvede nell’ambito degli stanziamenti annuali dell’apposita voce </w:t>
                        </w:r>
                      </w:p>
                    </w:txbxContent>
                  </v:textbox>
                </v:rect>
                <v:rect id="Rectangle 22679" o:spid="_x0000_s6609" style="position:absolute;left:-12289;top:2112;width:5220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axFyAAAAN4AAAAPAAAAZHJzL2Rvd25yZXYueG1sRI9Lb8Iw&#10;EITvlfgP1iL1Bk5z4BEwqKJCzYFLeUgcV/GSpI3XVmxIyq/HlZB6HM3MN5rlujeNuFHra8sK3sYJ&#10;COLC6ppLBcfDdjQD4QOyxsYyKfglD+vV4GWJmbYdf9FtH0oRIewzVFCF4DIpfVGRQT+2jjh6F9sa&#10;DFG2pdQtdhFuGpkmyUQarDkuVOhoU1Hxs78aBecPdvm2k8XlvnG773zWfF6PJ6Veh/37AkSgPvyH&#10;n+1cK0jTyXQOf3fiFZCrBwAAAP//AwBQSwECLQAUAAYACAAAACEA2+H2y+4AAACFAQAAEwAAAAAA&#10;AAAAAAAAAAAAAAAAW0NvbnRlbnRfVHlwZXNdLnhtbFBLAQItABQABgAIAAAAIQBa9CxbvwAAABUB&#10;AAALAAAAAAAAAAAAAAAAAB8BAABfcmVscy8ucmVsc1BLAQItABQABgAIAAAAIQC5faxFyAAAAN4A&#10;AAAPAAAAAAAAAAAAAAAAAAcCAABkcnMvZG93bnJldi54bWxQSwUGAAAAAAMAAwC3AAAA/AIAAAAA&#10;" filled="f" stroked="f">
                  <v:textbox inset="0,0,0,0">
                    <w:txbxContent>
                      <w:p w14:paraId="069E90E7" w14:textId="77777777" w:rsidR="00B32EF2" w:rsidRDefault="00000000">
                        <w:r>
                          <w:rPr>
                            <w:rFonts w:ascii="Arial" w:eastAsia="Arial" w:hAnsi="Arial" w:cs="Arial"/>
                            <w:sz w:val="18"/>
                          </w:rPr>
                          <w:t>di bilancio in favore dello stesso Consiglio e sulla base di un programma di for</w:t>
                        </w:r>
                      </w:p>
                    </w:txbxContent>
                  </v:textbox>
                </v:rect>
                <v:rect id="Rectangle 22680" o:spid="_x0000_s6610" style="position:absolute;left:193;top:2112;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nX/xAAAAN4AAAAPAAAAZHJzL2Rvd25yZXYueG1sRI/NisIw&#10;FIX3A75DuIK7MbULKdUooohduNFxYJaX5tpWm5vQRFt9+sliYJaH88e3XA+mFU/qfGNZwWyagCAu&#10;rW64UnD52n9mIHxA1thaJgUv8rBejT6WmGvb84me51CJOMI+RwV1CC6X0pc1GfRT64ijd7WdwRBl&#10;V0ndYR/HTSvTJJlLgw3HhxodbWsq7+eHUfCzY1fse1le31t3vBVZe3hcvpWajIfNAkSgIfyH/9qF&#10;VpCm8ywCRJyIAnL1CwAA//8DAFBLAQItABQABgAIAAAAIQDb4fbL7gAAAIUBAAATAAAAAAAAAAAA&#10;AAAAAAAAAABbQ29udGVudF9UeXBlc10ueG1sUEsBAi0AFAAGAAgAAAAhAFr0LFu/AAAAFQEAAAsA&#10;AAAAAAAAAAAAAAAAHwEAAF9yZWxzLy5yZWxzUEsBAi0AFAAGAAgAAAAhAB2Sdf/EAAAA3gAAAA8A&#10;AAAAAAAAAAAAAAAABwIAAGRycy9kb3ducmV2LnhtbFBLBQYAAAAAAwADALcAAAD4AgAAAAA=&#10;" filled="f" stroked="f">
                  <v:textbox inset="0,0,0,0">
                    <w:txbxContent>
                      <w:p w14:paraId="347A8D5B" w14:textId="77777777" w:rsidR="00B32EF2" w:rsidRDefault="00000000">
                        <w:r>
                          <w:rPr>
                            <w:rFonts w:ascii="Arial" w:eastAsia="Arial" w:hAnsi="Arial" w:cs="Arial"/>
                            <w:sz w:val="18"/>
                          </w:rPr>
                          <w:t>-</w:t>
                        </w:r>
                      </w:p>
                    </w:txbxContent>
                  </v:textbox>
                </v:rect>
                <v:rect id="Rectangle 22681" o:spid="_x0000_s6611" style="position:absolute;left:-13170;top:8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tBkxgAAAN4AAAAPAAAAZHJzL2Rvd25yZXYueG1sRI9Ba8JA&#10;FITvBf/D8oTe6sYcJERXEUXMoZeqhR4f2WcSzb5dsquJ/vpuoeBxmJlvmMVqMK24U+cbywqmkwQE&#10;cWl1w5WC03H3kYHwAVlja5kUPMjDajl6W2Cubc9fdD+ESkQI+xwV1CG4XEpf1mTQT6wjjt7ZdgZD&#10;lF0ldYd9hJtWpkkykwYbjgs1OtrUVF4PN6PgZ8uu2PWyPD837vNSZO3+dvpW6n08rOcgAg3hFf5v&#10;F1pBms6yKfzdiVdALn8BAAD//wMAUEsBAi0AFAAGAAgAAAAhANvh9svuAAAAhQEAABMAAAAAAAAA&#10;AAAAAAAAAAAAAFtDb250ZW50X1R5cGVzXS54bWxQSwECLQAUAAYACAAAACEAWvQsW78AAAAVAQAA&#10;CwAAAAAAAAAAAAAAAAAfAQAAX3JlbHMvLnJlbHNQSwECLQAUAAYACAAAACEAct7QZMYAAADeAAAA&#10;DwAAAAAAAAAAAAAAAAAHAgAAZHJzL2Rvd25yZXYueG1sUEsFBgAAAAADAAMAtwAAAPoCAAAAAA==&#10;" filled="f" stroked="f">
                  <v:textbox inset="0,0,0,0">
                    <w:txbxContent>
                      <w:p w14:paraId="419100DC" w14:textId="77777777" w:rsidR="00B32EF2" w:rsidRDefault="00000000">
                        <w:r>
                          <w:rPr>
                            <w:rFonts w:ascii="Arial" w:eastAsia="Arial" w:hAnsi="Arial" w:cs="Arial"/>
                            <w:sz w:val="18"/>
                          </w:rPr>
                          <w:t xml:space="preserve">mazione annuale, comunicato al Ministero dell’economia e delle finanze entro </w:t>
                        </w:r>
                      </w:p>
                    </w:txbxContent>
                  </v:textbox>
                </v:rect>
                <v:rect id="Rectangle 22682" o:spid="_x0000_s6612" style="position:absolute;left:-9026;top:-354;width:4894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E4TxgAAAN4AAAAPAAAAZHJzL2Rvd25yZXYueG1sRI9Ba8JA&#10;FITvBf/D8oTe6sYcJERXEUXMoZdaBY+P7DNJm327ZFcT/fVdQehxmJlvmMVqMK24UecbywqmkwQE&#10;cWl1w5WC4/fuIwPhA7LG1jIpuJOH1XL0tsBc256/6HYIlYgQ9jkqqENwuZS+rMmgn1hHHL2L7QyG&#10;KLtK6g77CDetTJNkJg02HBdqdLSpqfw9XI2C85ZdsetleXls3OdPkbX76/Gk1Pt4WM9BBBrCf/jV&#10;LrSCNJ1lKTzvxCsgl38AAAD//wMAUEsBAi0AFAAGAAgAAAAhANvh9svuAAAAhQEAABMAAAAAAAAA&#10;AAAAAAAAAAAAAFtDb250ZW50X1R5cGVzXS54bWxQSwECLQAUAAYACAAAACEAWvQsW78AAAAVAQAA&#10;CwAAAAAAAAAAAAAAAAAfAQAAX3JlbHMvLnJlbHNQSwECLQAUAAYACAAAACEAggxOE8YAAADeAAAA&#10;DwAAAAAAAAAAAAAAAAAHAgAAZHJzL2Rvd25yZXYueG1sUEsFBgAAAAADAAMAtwAAAPoCAAAAAA==&#10;" filled="f" stroked="f">
                  <v:textbox inset="0,0,0,0">
                    <w:txbxContent>
                      <w:p w14:paraId="4E74A59C" w14:textId="77777777" w:rsidR="00B32EF2" w:rsidRDefault="00000000">
                        <w:r>
                          <w:rPr>
                            <w:rFonts w:ascii="Arial" w:eastAsia="Arial" w:hAnsi="Arial" w:cs="Arial"/>
                            <w:sz w:val="18"/>
                          </w:rPr>
                          <w:t>il mese di luglio dell’anno precedente lo svolgimento dei corsi medesimi.</w:t>
                        </w:r>
                      </w:p>
                    </w:txbxContent>
                  </v:textbox>
                </v:rect>
                <w10:anchorlock/>
              </v:group>
            </w:pict>
          </mc:Fallback>
        </mc:AlternateContent>
      </w:r>
    </w:p>
    <w:p w14:paraId="06B7BD93" w14:textId="77777777" w:rsidR="00B32EF2" w:rsidRDefault="00000000">
      <w:pPr>
        <w:spacing w:after="0"/>
        <w:ind w:left="-356" w:right="-306"/>
      </w:pPr>
      <w:r>
        <w:rPr>
          <w:noProof/>
        </w:rPr>
        <w:lastRenderedPageBreak/>
        <mc:AlternateContent>
          <mc:Choice Requires="wpg">
            <w:drawing>
              <wp:inline distT="0" distB="0" distL="0" distR="0" wp14:anchorId="3F563D76" wp14:editId="6A80B201">
                <wp:extent cx="3991836" cy="6262854"/>
                <wp:effectExtent l="0" t="0" r="0" b="0"/>
                <wp:docPr id="202388" name="Group 202388"/>
                <wp:cNvGraphicFramePr/>
                <a:graphic xmlns:a="http://schemas.openxmlformats.org/drawingml/2006/main">
                  <a:graphicData uri="http://schemas.microsoft.com/office/word/2010/wordprocessingGroup">
                    <wpg:wgp>
                      <wpg:cNvGrpSpPr/>
                      <wpg:grpSpPr>
                        <a:xfrm>
                          <a:off x="0" y="0"/>
                          <a:ext cx="3991836" cy="6262854"/>
                          <a:chOff x="0" y="0"/>
                          <a:chExt cx="3991836" cy="6262854"/>
                        </a:xfrm>
                      </wpg:grpSpPr>
                      <wps:wsp>
                        <wps:cNvPr id="22701" name="Rectangle 22701"/>
                        <wps:cNvSpPr/>
                        <wps:spPr>
                          <a:xfrm rot="-10799999">
                            <a:off x="1900522" y="-62190"/>
                            <a:ext cx="178369" cy="250646"/>
                          </a:xfrm>
                          <a:prstGeom prst="rect">
                            <a:avLst/>
                          </a:prstGeom>
                          <a:ln>
                            <a:noFill/>
                          </a:ln>
                        </wps:spPr>
                        <wps:txbx>
                          <w:txbxContent>
                            <w:p w14:paraId="2891662E" w14:textId="77777777" w:rsidR="00B32EF2" w:rsidRDefault="00000000">
                              <w:r>
                                <w:rPr>
                                  <w:rFonts w:ascii="Times New Roman" w:eastAsia="Times New Roman" w:hAnsi="Times New Roman" w:cs="Times New Roman"/>
                                </w:rPr>
                                <w:t>21</w:t>
                              </w:r>
                            </w:p>
                          </w:txbxContent>
                        </wps:txbx>
                        <wps:bodyPr horzOverflow="overflow" vert="horz" lIns="0" tIns="0" rIns="0" bIns="0" rtlCol="0">
                          <a:noAutofit/>
                        </wps:bodyPr>
                      </wps:wsp>
                      <wps:wsp>
                        <wps:cNvPr id="202310" name="Rectangle 202310"/>
                        <wps:cNvSpPr/>
                        <wps:spPr>
                          <a:xfrm rot="-10799999">
                            <a:off x="-1381504" y="6119964"/>
                            <a:ext cx="5309036" cy="142890"/>
                          </a:xfrm>
                          <a:prstGeom prst="rect">
                            <a:avLst/>
                          </a:prstGeom>
                          <a:ln>
                            <a:noFill/>
                          </a:ln>
                        </wps:spPr>
                        <wps:txbx>
                          <w:txbxContent>
                            <w:p w14:paraId="29472DEF" w14:textId="77777777" w:rsidR="00B32EF2" w:rsidRDefault="00000000">
                              <w:r>
                                <w:rPr>
                                  <w:rFonts w:ascii="Arial" w:eastAsia="Arial" w:hAnsi="Arial" w:cs="Arial"/>
                                  <w:sz w:val="18"/>
                                </w:rPr>
                                <w:t xml:space="preserve">. In caso di assenza o impedimento del presidente della commissione, le </w:t>
                              </w:r>
                            </w:p>
                          </w:txbxContent>
                        </wps:txbx>
                        <wps:bodyPr horzOverflow="overflow" vert="horz" lIns="0" tIns="0" rIns="0" bIns="0" rtlCol="0">
                          <a:noAutofit/>
                        </wps:bodyPr>
                      </wps:wsp>
                      <wps:wsp>
                        <wps:cNvPr id="202309" name="Rectangle 202309"/>
                        <wps:cNvSpPr/>
                        <wps:spPr>
                          <a:xfrm rot="-10799999">
                            <a:off x="2611007" y="6119964"/>
                            <a:ext cx="5309036" cy="142890"/>
                          </a:xfrm>
                          <a:prstGeom prst="rect">
                            <a:avLst/>
                          </a:prstGeom>
                          <a:ln>
                            <a:noFill/>
                          </a:ln>
                        </wps:spPr>
                        <wps:txbx>
                          <w:txbxContent>
                            <w:p w14:paraId="3BDDF16F"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2703" name="Rectangle 22703"/>
                        <wps:cNvSpPr/>
                        <wps:spPr>
                          <a:xfrm rot="-10799999">
                            <a:off x="-1317199" y="5996634"/>
                            <a:ext cx="5309036" cy="142891"/>
                          </a:xfrm>
                          <a:prstGeom prst="rect">
                            <a:avLst/>
                          </a:prstGeom>
                          <a:ln>
                            <a:noFill/>
                          </a:ln>
                        </wps:spPr>
                        <wps:txbx>
                          <w:txbxContent>
                            <w:p w14:paraId="7D35C665" w14:textId="77777777" w:rsidR="00B32EF2" w:rsidRDefault="00000000">
                              <w:r>
                                <w:rPr>
                                  <w:rFonts w:ascii="Arial" w:eastAsia="Arial" w:hAnsi="Arial" w:cs="Arial"/>
                                  <w:sz w:val="18"/>
                                </w:rPr>
                                <w:t xml:space="preserve">relative funzioni sono svolte dal magistrato con maggiore anzianità di servizio </w:t>
                              </w:r>
                            </w:p>
                          </w:txbxContent>
                        </wps:txbx>
                        <wps:bodyPr horzOverflow="overflow" vert="horz" lIns="0" tIns="0" rIns="0" bIns="0" rtlCol="0">
                          <a:noAutofit/>
                        </wps:bodyPr>
                      </wps:wsp>
                      <wps:wsp>
                        <wps:cNvPr id="22704" name="Rectangle 22704"/>
                        <wps:cNvSpPr/>
                        <wps:spPr>
                          <a:xfrm rot="-10799999">
                            <a:off x="2035488" y="5873305"/>
                            <a:ext cx="1956348" cy="142889"/>
                          </a:xfrm>
                          <a:prstGeom prst="rect">
                            <a:avLst/>
                          </a:prstGeom>
                          <a:ln>
                            <a:noFill/>
                          </a:ln>
                        </wps:spPr>
                        <wps:txbx>
                          <w:txbxContent>
                            <w:p w14:paraId="5F77E050" w14:textId="77777777" w:rsidR="00B32EF2" w:rsidRDefault="00000000">
                              <w:r>
                                <w:rPr>
                                  <w:rFonts w:ascii="Arial" w:eastAsia="Arial" w:hAnsi="Arial" w:cs="Arial"/>
                                  <w:sz w:val="18"/>
                                </w:rPr>
                                <w:t>presente in ciascuna seduta.</w:t>
                              </w:r>
                            </w:p>
                          </w:txbxContent>
                        </wps:txbx>
                        <wps:bodyPr horzOverflow="overflow" vert="horz" lIns="0" tIns="0" rIns="0" bIns="0" rtlCol="0">
                          <a:noAutofit/>
                        </wps:bodyPr>
                      </wps:wsp>
                      <wps:wsp>
                        <wps:cNvPr id="202308" name="Rectangle 202308"/>
                        <wps:cNvSpPr/>
                        <wps:spPr>
                          <a:xfrm rot="-10799999">
                            <a:off x="-1271713" y="5749976"/>
                            <a:ext cx="5210984" cy="142889"/>
                          </a:xfrm>
                          <a:prstGeom prst="rect">
                            <a:avLst/>
                          </a:prstGeom>
                          <a:ln>
                            <a:noFill/>
                          </a:ln>
                        </wps:spPr>
                        <wps:txbx>
                          <w:txbxContent>
                            <w:p w14:paraId="3C7FFF2A" w14:textId="77777777" w:rsidR="00B32EF2" w:rsidRDefault="00000000">
                              <w:r>
                                <w:rPr>
                                  <w:rFonts w:ascii="Arial" w:eastAsia="Arial" w:hAnsi="Arial" w:cs="Arial"/>
                                  <w:sz w:val="18"/>
                                </w:rPr>
                                <w:t>. Se i candidati che hanno portato a termine la prova scritta sono più di tre</w:t>
                              </w:r>
                            </w:p>
                          </w:txbxContent>
                        </wps:txbx>
                        <wps:bodyPr horzOverflow="overflow" vert="horz" lIns="0" tIns="0" rIns="0" bIns="0" rtlCol="0">
                          <a:noAutofit/>
                        </wps:bodyPr>
                      </wps:wsp>
                      <wps:wsp>
                        <wps:cNvPr id="202307" name="Rectangle 202307"/>
                        <wps:cNvSpPr/>
                        <wps:spPr>
                          <a:xfrm rot="-10799999">
                            <a:off x="2635335" y="5749976"/>
                            <a:ext cx="5210985" cy="142889"/>
                          </a:xfrm>
                          <a:prstGeom prst="rect">
                            <a:avLst/>
                          </a:prstGeom>
                          <a:ln>
                            <a:noFill/>
                          </a:ln>
                        </wps:spPr>
                        <wps:txbx>
                          <w:txbxContent>
                            <w:p w14:paraId="05F53EE9"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22706" name="Rectangle 22706"/>
                        <wps:cNvSpPr/>
                        <wps:spPr>
                          <a:xfrm rot="-10799999">
                            <a:off x="19238" y="5749975"/>
                            <a:ext cx="50622" cy="142889"/>
                          </a:xfrm>
                          <a:prstGeom prst="rect">
                            <a:avLst/>
                          </a:prstGeom>
                          <a:ln>
                            <a:noFill/>
                          </a:ln>
                        </wps:spPr>
                        <wps:txbx>
                          <w:txbxContent>
                            <w:p w14:paraId="094B404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707" name="Rectangle 22707"/>
                        <wps:cNvSpPr/>
                        <wps:spPr>
                          <a:xfrm rot="-10799999">
                            <a:off x="-1317169" y="5626646"/>
                            <a:ext cx="5309006" cy="142889"/>
                          </a:xfrm>
                          <a:prstGeom prst="rect">
                            <a:avLst/>
                          </a:prstGeom>
                          <a:ln>
                            <a:noFill/>
                          </a:ln>
                        </wps:spPr>
                        <wps:txbx>
                          <w:txbxContent>
                            <w:p w14:paraId="022A76C1" w14:textId="77777777" w:rsidR="00B32EF2" w:rsidRDefault="00000000">
                              <w:r>
                                <w:rPr>
                                  <w:rFonts w:ascii="Arial" w:eastAsia="Arial" w:hAnsi="Arial" w:cs="Arial"/>
                                  <w:sz w:val="18"/>
                                </w:rPr>
                                <w:t xml:space="preserve">cento, il presidente, dopo aver provveduto alla valutazione di almeno venti </w:t>
                              </w:r>
                            </w:p>
                          </w:txbxContent>
                        </wps:txbx>
                        <wps:bodyPr horzOverflow="overflow" vert="horz" lIns="0" tIns="0" rIns="0" bIns="0" rtlCol="0">
                          <a:noAutofit/>
                        </wps:bodyPr>
                      </wps:wsp>
                      <wps:wsp>
                        <wps:cNvPr id="22708" name="Rectangle 22708"/>
                        <wps:cNvSpPr/>
                        <wps:spPr>
                          <a:xfrm rot="-10799999">
                            <a:off x="-1317153" y="5503316"/>
                            <a:ext cx="5308990" cy="142889"/>
                          </a:xfrm>
                          <a:prstGeom prst="rect">
                            <a:avLst/>
                          </a:prstGeom>
                          <a:ln>
                            <a:noFill/>
                          </a:ln>
                        </wps:spPr>
                        <wps:txbx>
                          <w:txbxContent>
                            <w:p w14:paraId="3C0C0A25" w14:textId="77777777" w:rsidR="00B32EF2" w:rsidRDefault="00000000">
                              <w:r>
                                <w:rPr>
                                  <w:rFonts w:ascii="Arial" w:eastAsia="Arial" w:hAnsi="Arial" w:cs="Arial"/>
                                  <w:sz w:val="18"/>
                                </w:rPr>
                                <w:t xml:space="preserve">candidati in seduta plenaria con la partecipazione di tutti i componenti della </w:t>
                              </w:r>
                            </w:p>
                          </w:txbxContent>
                        </wps:txbx>
                        <wps:bodyPr horzOverflow="overflow" vert="horz" lIns="0" tIns="0" rIns="0" bIns="0" rtlCol="0">
                          <a:noAutofit/>
                        </wps:bodyPr>
                      </wps:wsp>
                      <wps:wsp>
                        <wps:cNvPr id="22709" name="Rectangle 22709"/>
                        <wps:cNvSpPr/>
                        <wps:spPr>
                          <a:xfrm rot="-10799999">
                            <a:off x="-1317214" y="5379987"/>
                            <a:ext cx="5309051" cy="142889"/>
                          </a:xfrm>
                          <a:prstGeom prst="rect">
                            <a:avLst/>
                          </a:prstGeom>
                          <a:ln>
                            <a:noFill/>
                          </a:ln>
                        </wps:spPr>
                        <wps:txbx>
                          <w:txbxContent>
                            <w:p w14:paraId="2907B8EF" w14:textId="77777777" w:rsidR="00B32EF2" w:rsidRDefault="00000000">
                              <w:r>
                                <w:rPr>
                                  <w:rFonts w:ascii="Arial" w:eastAsia="Arial" w:hAnsi="Arial" w:cs="Arial"/>
                                  <w:sz w:val="18"/>
                                </w:rPr>
                                <w:t xml:space="preserve">commissione, forma per ogni seduta due sottocommissioni, a ciascuna delle </w:t>
                              </w:r>
                            </w:p>
                          </w:txbxContent>
                        </wps:txbx>
                        <wps:bodyPr horzOverflow="overflow" vert="horz" lIns="0" tIns="0" rIns="0" bIns="0" rtlCol="0">
                          <a:noAutofit/>
                        </wps:bodyPr>
                      </wps:wsp>
                      <wps:wsp>
                        <wps:cNvPr id="22710" name="Rectangle 22710"/>
                        <wps:cNvSpPr/>
                        <wps:spPr>
                          <a:xfrm rot="-10799999">
                            <a:off x="-1317305" y="5256657"/>
                            <a:ext cx="5309142" cy="142889"/>
                          </a:xfrm>
                          <a:prstGeom prst="rect">
                            <a:avLst/>
                          </a:prstGeom>
                          <a:ln>
                            <a:noFill/>
                          </a:ln>
                        </wps:spPr>
                        <wps:txbx>
                          <w:txbxContent>
                            <w:p w14:paraId="671FC39E" w14:textId="77777777" w:rsidR="00B32EF2" w:rsidRDefault="00000000">
                              <w:r>
                                <w:rPr>
                                  <w:rFonts w:ascii="Arial" w:eastAsia="Arial" w:hAnsi="Arial" w:cs="Arial"/>
                                  <w:sz w:val="18"/>
                                </w:rPr>
                                <w:t xml:space="preserve">quali assegna, secondo criteri obiettivi, la metà dei candidati da esaminare. </w:t>
                              </w:r>
                            </w:p>
                          </w:txbxContent>
                        </wps:txbx>
                        <wps:bodyPr horzOverflow="overflow" vert="horz" lIns="0" tIns="0" rIns="0" bIns="0" rtlCol="0">
                          <a:noAutofit/>
                        </wps:bodyPr>
                      </wps:wsp>
                      <wps:wsp>
                        <wps:cNvPr id="22711" name="Rectangle 22711"/>
                        <wps:cNvSpPr/>
                        <wps:spPr>
                          <a:xfrm rot="-10799999">
                            <a:off x="-1317092" y="5133327"/>
                            <a:ext cx="5308929" cy="142889"/>
                          </a:xfrm>
                          <a:prstGeom prst="rect">
                            <a:avLst/>
                          </a:prstGeom>
                          <a:ln>
                            <a:noFill/>
                          </a:ln>
                        </wps:spPr>
                        <wps:txbx>
                          <w:txbxContent>
                            <w:p w14:paraId="4E14FBC2" w14:textId="77777777" w:rsidR="00B32EF2" w:rsidRDefault="00000000">
                              <w:r>
                                <w:rPr>
                                  <w:rFonts w:ascii="Arial" w:eastAsia="Arial" w:hAnsi="Arial" w:cs="Arial"/>
                                  <w:sz w:val="18"/>
                                </w:rPr>
                                <w:t xml:space="preserve">Le sottocommissioni sono rispettivamente presiedute dal presidente o dal </w:t>
                              </w:r>
                            </w:p>
                          </w:txbxContent>
                        </wps:txbx>
                        <wps:bodyPr horzOverflow="overflow" vert="horz" lIns="0" tIns="0" rIns="0" bIns="0" rtlCol="0">
                          <a:noAutofit/>
                        </wps:bodyPr>
                      </wps:wsp>
                      <wps:wsp>
                        <wps:cNvPr id="22712" name="Rectangle 22712"/>
                        <wps:cNvSpPr/>
                        <wps:spPr>
                          <a:xfrm rot="-10799999">
                            <a:off x="-1317260" y="5009998"/>
                            <a:ext cx="5309097" cy="142889"/>
                          </a:xfrm>
                          <a:prstGeom prst="rect">
                            <a:avLst/>
                          </a:prstGeom>
                          <a:ln>
                            <a:noFill/>
                          </a:ln>
                        </wps:spPr>
                        <wps:txbx>
                          <w:txbxContent>
                            <w:p w14:paraId="45236D14" w14:textId="77777777" w:rsidR="00B32EF2" w:rsidRDefault="00000000">
                              <w:r>
                                <w:rPr>
                                  <w:rFonts w:ascii="Arial" w:eastAsia="Arial" w:hAnsi="Arial" w:cs="Arial"/>
                                  <w:sz w:val="18"/>
                                </w:rPr>
                                <w:t xml:space="preserve">magistrato più anziano presenti, a loro volta sostituiti, in caso di assenza o </w:t>
                              </w:r>
                            </w:p>
                          </w:txbxContent>
                        </wps:txbx>
                        <wps:bodyPr horzOverflow="overflow" vert="horz" lIns="0" tIns="0" rIns="0" bIns="0" rtlCol="0">
                          <a:noAutofit/>
                        </wps:bodyPr>
                      </wps:wsp>
                      <wps:wsp>
                        <wps:cNvPr id="22713" name="Rectangle 22713"/>
                        <wps:cNvSpPr/>
                        <wps:spPr>
                          <a:xfrm rot="-10799999">
                            <a:off x="-1219147" y="4886668"/>
                            <a:ext cx="5210984" cy="142889"/>
                          </a:xfrm>
                          <a:prstGeom prst="rect">
                            <a:avLst/>
                          </a:prstGeom>
                          <a:ln>
                            <a:noFill/>
                          </a:ln>
                        </wps:spPr>
                        <wps:txbx>
                          <w:txbxContent>
                            <w:p w14:paraId="0C8ED047" w14:textId="77777777" w:rsidR="00B32EF2" w:rsidRDefault="00000000">
                              <w:r>
                                <w:rPr>
                                  <w:rFonts w:ascii="Arial" w:eastAsia="Arial" w:hAnsi="Arial" w:cs="Arial"/>
                                  <w:sz w:val="18"/>
                                </w:rPr>
                                <w:t>impedimento, dai magistrati più anziani presenti, e assistite ciascuna da un se</w:t>
                              </w:r>
                            </w:p>
                          </w:txbxContent>
                        </wps:txbx>
                        <wps:bodyPr horzOverflow="overflow" vert="horz" lIns="0" tIns="0" rIns="0" bIns="0" rtlCol="0">
                          <a:noAutofit/>
                        </wps:bodyPr>
                      </wps:wsp>
                      <wps:wsp>
                        <wps:cNvPr id="22714" name="Rectangle 22714"/>
                        <wps:cNvSpPr/>
                        <wps:spPr>
                          <a:xfrm rot="-10799999">
                            <a:off x="19238" y="4886667"/>
                            <a:ext cx="50622" cy="142889"/>
                          </a:xfrm>
                          <a:prstGeom prst="rect">
                            <a:avLst/>
                          </a:prstGeom>
                          <a:ln>
                            <a:noFill/>
                          </a:ln>
                        </wps:spPr>
                        <wps:txbx>
                          <w:txbxContent>
                            <w:p w14:paraId="66E2001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715" name="Rectangle 22715"/>
                        <wps:cNvSpPr/>
                        <wps:spPr>
                          <a:xfrm rot="-10799999">
                            <a:off x="-1317153" y="4763338"/>
                            <a:ext cx="5308990" cy="142889"/>
                          </a:xfrm>
                          <a:prstGeom prst="rect">
                            <a:avLst/>
                          </a:prstGeom>
                          <a:ln>
                            <a:noFill/>
                          </a:ln>
                        </wps:spPr>
                        <wps:txbx>
                          <w:txbxContent>
                            <w:p w14:paraId="6F4646C4" w14:textId="77777777" w:rsidR="00B32EF2" w:rsidRDefault="00000000">
                              <w:r>
                                <w:rPr>
                                  <w:rFonts w:ascii="Arial" w:eastAsia="Arial" w:hAnsi="Arial" w:cs="Arial"/>
                                  <w:sz w:val="18"/>
                                </w:rPr>
                                <w:t xml:space="preserve">gretario. La commissione delibera su ogni oggetto eccedente la competenza </w:t>
                              </w:r>
                            </w:p>
                          </w:txbxContent>
                        </wps:txbx>
                        <wps:bodyPr horzOverflow="overflow" vert="horz" lIns="0" tIns="0" rIns="0" bIns="0" rtlCol="0">
                          <a:noAutofit/>
                        </wps:bodyPr>
                      </wps:wsp>
                      <wps:wsp>
                        <wps:cNvPr id="22716" name="Rectangle 22716"/>
                        <wps:cNvSpPr/>
                        <wps:spPr>
                          <a:xfrm rot="-10799999">
                            <a:off x="-1317123" y="4640009"/>
                            <a:ext cx="5308960" cy="142889"/>
                          </a:xfrm>
                          <a:prstGeom prst="rect">
                            <a:avLst/>
                          </a:prstGeom>
                          <a:ln>
                            <a:noFill/>
                          </a:ln>
                        </wps:spPr>
                        <wps:txbx>
                          <w:txbxContent>
                            <w:p w14:paraId="3B9E75BD" w14:textId="77777777" w:rsidR="00B32EF2" w:rsidRDefault="00000000">
                              <w:r>
                                <w:rPr>
                                  <w:rFonts w:ascii="Arial" w:eastAsia="Arial" w:hAnsi="Arial" w:cs="Arial"/>
                                  <w:sz w:val="18"/>
                                </w:rPr>
                                <w:t xml:space="preserve">delle sottocommissioni. Per la valutazione degli elaborati scritti il presidente </w:t>
                              </w:r>
                            </w:p>
                          </w:txbxContent>
                        </wps:txbx>
                        <wps:bodyPr horzOverflow="overflow" vert="horz" lIns="0" tIns="0" rIns="0" bIns="0" rtlCol="0">
                          <a:noAutofit/>
                        </wps:bodyPr>
                      </wps:wsp>
                      <wps:wsp>
                        <wps:cNvPr id="22717" name="Rectangle 22717"/>
                        <wps:cNvSpPr/>
                        <wps:spPr>
                          <a:xfrm rot="-10799999">
                            <a:off x="-1220771" y="4516679"/>
                            <a:ext cx="5213294" cy="142889"/>
                          </a:xfrm>
                          <a:prstGeom prst="rect">
                            <a:avLst/>
                          </a:prstGeom>
                          <a:ln>
                            <a:noFill/>
                          </a:ln>
                        </wps:spPr>
                        <wps:txbx>
                          <w:txbxContent>
                            <w:p w14:paraId="2B316724" w14:textId="77777777" w:rsidR="00B32EF2" w:rsidRDefault="00000000">
                              <w:r>
                                <w:rPr>
                                  <w:rFonts w:ascii="Arial" w:eastAsia="Arial" w:hAnsi="Arial" w:cs="Arial"/>
                                  <w:sz w:val="18"/>
                                </w:rPr>
                                <w:t>suddivide ciascuna sottocommissione in tre collegi, composti ciascuno di al</w:t>
                              </w:r>
                            </w:p>
                          </w:txbxContent>
                        </wps:txbx>
                        <wps:bodyPr horzOverflow="overflow" vert="horz" lIns="0" tIns="0" rIns="0" bIns="0" rtlCol="0">
                          <a:noAutofit/>
                        </wps:bodyPr>
                      </wps:wsp>
                      <wps:wsp>
                        <wps:cNvPr id="22718" name="Rectangle 22718"/>
                        <wps:cNvSpPr/>
                        <wps:spPr>
                          <a:xfrm rot="-10799999">
                            <a:off x="19238" y="4516678"/>
                            <a:ext cx="50622" cy="142889"/>
                          </a:xfrm>
                          <a:prstGeom prst="rect">
                            <a:avLst/>
                          </a:prstGeom>
                          <a:ln>
                            <a:noFill/>
                          </a:ln>
                        </wps:spPr>
                        <wps:txbx>
                          <w:txbxContent>
                            <w:p w14:paraId="5F7DC93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719" name="Rectangle 22719"/>
                        <wps:cNvSpPr/>
                        <wps:spPr>
                          <a:xfrm rot="-10799999">
                            <a:off x="-1317275" y="4393349"/>
                            <a:ext cx="5309113" cy="142889"/>
                          </a:xfrm>
                          <a:prstGeom prst="rect">
                            <a:avLst/>
                          </a:prstGeom>
                          <a:ln>
                            <a:noFill/>
                          </a:ln>
                        </wps:spPr>
                        <wps:txbx>
                          <w:txbxContent>
                            <w:p w14:paraId="4D8D5A9C" w14:textId="77777777" w:rsidR="00B32EF2" w:rsidRDefault="00000000">
                              <w:r>
                                <w:rPr>
                                  <w:rFonts w:ascii="Arial" w:eastAsia="Arial" w:hAnsi="Arial" w:cs="Arial"/>
                                  <w:sz w:val="18"/>
                                </w:rPr>
                                <w:t xml:space="preserve">meno tre componenti, presieduti dal presidente o dal magistrato più anziano. </w:t>
                              </w:r>
                            </w:p>
                          </w:txbxContent>
                        </wps:txbx>
                        <wps:bodyPr horzOverflow="overflow" vert="horz" lIns="0" tIns="0" rIns="0" bIns="0" rtlCol="0">
                          <a:noAutofit/>
                        </wps:bodyPr>
                      </wps:wsp>
                      <wps:wsp>
                        <wps:cNvPr id="22720" name="Rectangle 22720"/>
                        <wps:cNvSpPr/>
                        <wps:spPr>
                          <a:xfrm rot="-10799999">
                            <a:off x="-1317169" y="4270019"/>
                            <a:ext cx="5309006" cy="142889"/>
                          </a:xfrm>
                          <a:prstGeom prst="rect">
                            <a:avLst/>
                          </a:prstGeom>
                          <a:ln>
                            <a:noFill/>
                          </a:ln>
                        </wps:spPr>
                        <wps:txbx>
                          <w:txbxContent>
                            <w:p w14:paraId="3CD4B4F4" w14:textId="77777777" w:rsidR="00B32EF2" w:rsidRDefault="00000000">
                              <w:r>
                                <w:rPr>
                                  <w:rFonts w:ascii="Arial" w:eastAsia="Arial" w:hAnsi="Arial" w:cs="Arial"/>
                                  <w:sz w:val="18"/>
                                </w:rPr>
                                <w:t xml:space="preserve">In caso di parità di voti, prevale quello di chi presiede. Ciascun collegio della </w:t>
                              </w:r>
                            </w:p>
                          </w:txbxContent>
                        </wps:txbx>
                        <wps:bodyPr horzOverflow="overflow" vert="horz" lIns="0" tIns="0" rIns="0" bIns="0" rtlCol="0">
                          <a:noAutofit/>
                        </wps:bodyPr>
                      </wps:wsp>
                      <wps:wsp>
                        <wps:cNvPr id="22721" name="Rectangle 22721"/>
                        <wps:cNvSpPr/>
                        <wps:spPr>
                          <a:xfrm rot="-10799999">
                            <a:off x="-1223707" y="4146690"/>
                            <a:ext cx="5215544" cy="142889"/>
                          </a:xfrm>
                          <a:prstGeom prst="rect">
                            <a:avLst/>
                          </a:prstGeom>
                          <a:ln>
                            <a:noFill/>
                          </a:ln>
                        </wps:spPr>
                        <wps:txbx>
                          <w:txbxContent>
                            <w:p w14:paraId="6810693C" w14:textId="77777777" w:rsidR="00B32EF2" w:rsidRDefault="00000000">
                              <w:r>
                                <w:rPr>
                                  <w:rFonts w:ascii="Arial" w:eastAsia="Arial" w:hAnsi="Arial" w:cs="Arial"/>
                                  <w:sz w:val="18"/>
                                </w:rPr>
                                <w:t>medesima sottocommissione esamina gli elaborati di una delle materie ogget</w:t>
                              </w:r>
                            </w:p>
                          </w:txbxContent>
                        </wps:txbx>
                        <wps:bodyPr horzOverflow="overflow" vert="horz" lIns="0" tIns="0" rIns="0" bIns="0" rtlCol="0">
                          <a:noAutofit/>
                        </wps:bodyPr>
                      </wps:wsp>
                      <wps:wsp>
                        <wps:cNvPr id="22722" name="Rectangle 22722"/>
                        <wps:cNvSpPr/>
                        <wps:spPr>
                          <a:xfrm rot="-10799999">
                            <a:off x="19238" y="4146689"/>
                            <a:ext cx="50622" cy="142889"/>
                          </a:xfrm>
                          <a:prstGeom prst="rect">
                            <a:avLst/>
                          </a:prstGeom>
                          <a:ln>
                            <a:noFill/>
                          </a:ln>
                        </wps:spPr>
                        <wps:txbx>
                          <w:txbxContent>
                            <w:p w14:paraId="5D429E6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723" name="Rectangle 22723"/>
                        <wps:cNvSpPr/>
                        <wps:spPr>
                          <a:xfrm rot="-10799999">
                            <a:off x="816676" y="4023360"/>
                            <a:ext cx="3175160" cy="142889"/>
                          </a:xfrm>
                          <a:prstGeom prst="rect">
                            <a:avLst/>
                          </a:prstGeom>
                          <a:ln>
                            <a:noFill/>
                          </a:ln>
                        </wps:spPr>
                        <wps:txbx>
                          <w:txbxContent>
                            <w:p w14:paraId="6B9B4888" w14:textId="77777777" w:rsidR="00B32EF2" w:rsidRDefault="00000000">
                              <w:r>
                                <w:rPr>
                                  <w:rFonts w:ascii="Arial" w:eastAsia="Arial" w:hAnsi="Arial" w:cs="Arial"/>
                                  <w:sz w:val="18"/>
                                </w:rPr>
                                <w:t>to della prova relativamente ad ogni candidato.</w:t>
                              </w:r>
                            </w:p>
                          </w:txbxContent>
                        </wps:txbx>
                        <wps:bodyPr horzOverflow="overflow" vert="horz" lIns="0" tIns="0" rIns="0" bIns="0" rtlCol="0">
                          <a:noAutofit/>
                        </wps:bodyPr>
                      </wps:wsp>
                      <wps:wsp>
                        <wps:cNvPr id="202305" name="Rectangle 202305"/>
                        <wps:cNvSpPr/>
                        <wps:spPr>
                          <a:xfrm rot="-10799999">
                            <a:off x="-1286576" y="3900030"/>
                            <a:ext cx="5215833" cy="142889"/>
                          </a:xfrm>
                          <a:prstGeom prst="rect">
                            <a:avLst/>
                          </a:prstGeom>
                          <a:ln>
                            <a:noFill/>
                          </a:ln>
                        </wps:spPr>
                        <wps:txbx>
                          <w:txbxContent>
                            <w:p w14:paraId="440E73CC" w14:textId="77777777" w:rsidR="00B32EF2" w:rsidRDefault="00000000">
                              <w:r>
                                <w:rPr>
                                  <w:rFonts w:ascii="Arial" w:eastAsia="Arial" w:hAnsi="Arial" w:cs="Arial"/>
                                  <w:sz w:val="18"/>
                                </w:rPr>
                                <w:t>. Per i requisiti di ammissione, le procedure di concorso e i lavori della com</w:t>
                              </w:r>
                            </w:p>
                          </w:txbxContent>
                        </wps:txbx>
                        <wps:bodyPr horzOverflow="overflow" vert="horz" lIns="0" tIns="0" rIns="0" bIns="0" rtlCol="0">
                          <a:noAutofit/>
                        </wps:bodyPr>
                      </wps:wsp>
                      <wps:wsp>
                        <wps:cNvPr id="202303" name="Rectangle 202303"/>
                        <wps:cNvSpPr/>
                        <wps:spPr>
                          <a:xfrm rot="-10799999">
                            <a:off x="2634132" y="3900030"/>
                            <a:ext cx="5215832" cy="142889"/>
                          </a:xfrm>
                          <a:prstGeom prst="rect">
                            <a:avLst/>
                          </a:prstGeom>
                          <a:ln>
                            <a:noFill/>
                          </a:ln>
                        </wps:spPr>
                        <wps:txbx>
                          <w:txbxContent>
                            <w:p w14:paraId="5406FB37" w14:textId="77777777" w:rsidR="00B32EF2" w:rsidRDefault="00000000">
                              <w:r>
                                <w:rPr>
                                  <w:rFonts w:ascii="Arial" w:eastAsia="Arial" w:hAnsi="Arial" w:cs="Arial"/>
                                  <w:sz w:val="18"/>
                                </w:rPr>
                                <w:t>8</w:t>
                              </w:r>
                            </w:p>
                          </w:txbxContent>
                        </wps:txbx>
                        <wps:bodyPr horzOverflow="overflow" vert="horz" lIns="0" tIns="0" rIns="0" bIns="0" rtlCol="0">
                          <a:noAutofit/>
                        </wps:bodyPr>
                      </wps:wsp>
                      <wps:wsp>
                        <wps:cNvPr id="22725" name="Rectangle 22725"/>
                        <wps:cNvSpPr/>
                        <wps:spPr>
                          <a:xfrm rot="-10799999">
                            <a:off x="19238" y="3900030"/>
                            <a:ext cx="50622" cy="142889"/>
                          </a:xfrm>
                          <a:prstGeom prst="rect">
                            <a:avLst/>
                          </a:prstGeom>
                          <a:ln>
                            <a:noFill/>
                          </a:ln>
                        </wps:spPr>
                        <wps:txbx>
                          <w:txbxContent>
                            <w:p w14:paraId="7976F30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726" name="Rectangle 22726"/>
                        <wps:cNvSpPr/>
                        <wps:spPr>
                          <a:xfrm rot="-10799999">
                            <a:off x="-1220910" y="3776701"/>
                            <a:ext cx="5212747" cy="142889"/>
                          </a:xfrm>
                          <a:prstGeom prst="rect">
                            <a:avLst/>
                          </a:prstGeom>
                          <a:ln>
                            <a:noFill/>
                          </a:ln>
                        </wps:spPr>
                        <wps:txbx>
                          <w:txbxContent>
                            <w:p w14:paraId="184C957C" w14:textId="77777777" w:rsidR="00B32EF2" w:rsidRDefault="00000000">
                              <w:r>
                                <w:rPr>
                                  <w:rFonts w:ascii="Arial" w:eastAsia="Arial" w:hAnsi="Arial" w:cs="Arial"/>
                                  <w:sz w:val="18"/>
                                </w:rPr>
                                <w:t>missione e delle sottocommissioni se istituite si applicano, in quanto compa</w:t>
                              </w:r>
                            </w:p>
                          </w:txbxContent>
                        </wps:txbx>
                        <wps:bodyPr horzOverflow="overflow" vert="horz" lIns="0" tIns="0" rIns="0" bIns="0" rtlCol="0">
                          <a:noAutofit/>
                        </wps:bodyPr>
                      </wps:wsp>
                      <wps:wsp>
                        <wps:cNvPr id="22727" name="Rectangle 22727"/>
                        <wps:cNvSpPr/>
                        <wps:spPr>
                          <a:xfrm rot="-10799999">
                            <a:off x="19238" y="3776700"/>
                            <a:ext cx="50622" cy="142889"/>
                          </a:xfrm>
                          <a:prstGeom prst="rect">
                            <a:avLst/>
                          </a:prstGeom>
                          <a:ln>
                            <a:noFill/>
                          </a:ln>
                        </wps:spPr>
                        <wps:txbx>
                          <w:txbxContent>
                            <w:p w14:paraId="653015C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728" name="Rectangle 22728"/>
                        <wps:cNvSpPr/>
                        <wps:spPr>
                          <a:xfrm rot="-10799999">
                            <a:off x="-1317184" y="3653371"/>
                            <a:ext cx="5309021" cy="142889"/>
                          </a:xfrm>
                          <a:prstGeom prst="rect">
                            <a:avLst/>
                          </a:prstGeom>
                          <a:ln>
                            <a:noFill/>
                          </a:ln>
                        </wps:spPr>
                        <wps:txbx>
                          <w:txbxContent>
                            <w:p w14:paraId="4A254D14" w14:textId="77777777" w:rsidR="00B32EF2" w:rsidRDefault="00000000">
                              <w:r>
                                <w:rPr>
                                  <w:rFonts w:ascii="Arial" w:eastAsia="Arial" w:hAnsi="Arial" w:cs="Arial"/>
                                  <w:sz w:val="18"/>
                                </w:rPr>
                                <w:t xml:space="preserve">tibili e per quanto non espressamente previsto nel presente testo unico, le </w:t>
                              </w:r>
                            </w:p>
                          </w:txbxContent>
                        </wps:txbx>
                        <wps:bodyPr horzOverflow="overflow" vert="horz" lIns="0" tIns="0" rIns="0" bIns="0" rtlCol="0">
                          <a:noAutofit/>
                        </wps:bodyPr>
                      </wps:wsp>
                      <wps:wsp>
                        <wps:cNvPr id="22729" name="Rectangle 22729"/>
                        <wps:cNvSpPr/>
                        <wps:spPr>
                          <a:xfrm rot="-10799999">
                            <a:off x="-1317199" y="3530041"/>
                            <a:ext cx="5309035" cy="142889"/>
                          </a:xfrm>
                          <a:prstGeom prst="rect">
                            <a:avLst/>
                          </a:prstGeom>
                          <a:ln>
                            <a:noFill/>
                          </a:ln>
                        </wps:spPr>
                        <wps:txbx>
                          <w:txbxContent>
                            <w:p w14:paraId="7FE8BEE5" w14:textId="77777777" w:rsidR="00B32EF2" w:rsidRDefault="00000000">
                              <w:r>
                                <w:rPr>
                                  <w:rFonts w:ascii="Arial" w:eastAsia="Arial" w:hAnsi="Arial" w:cs="Arial"/>
                                  <w:sz w:val="18"/>
                                </w:rPr>
                                <w:t xml:space="preserve">disposizioni degli articoli 12, 13, 14, 15 e 16 del regio decreto 15 ottobre 1925, </w:t>
                              </w:r>
                            </w:p>
                          </w:txbxContent>
                        </wps:txbx>
                        <wps:bodyPr horzOverflow="overflow" vert="horz" lIns="0" tIns="0" rIns="0" bIns="0" rtlCol="0">
                          <a:noAutofit/>
                        </wps:bodyPr>
                      </wps:wsp>
                      <wps:wsp>
                        <wps:cNvPr id="22730" name="Rectangle 22730"/>
                        <wps:cNvSpPr/>
                        <wps:spPr>
                          <a:xfrm rot="-10799999">
                            <a:off x="303809" y="3406712"/>
                            <a:ext cx="3688027" cy="142889"/>
                          </a:xfrm>
                          <a:prstGeom prst="rect">
                            <a:avLst/>
                          </a:prstGeom>
                          <a:ln>
                            <a:noFill/>
                          </a:ln>
                        </wps:spPr>
                        <wps:txbx>
                          <w:txbxContent>
                            <w:p w14:paraId="061346E8" w14:textId="77777777" w:rsidR="00B32EF2" w:rsidRDefault="00000000">
                              <w:r>
                                <w:rPr>
                                  <w:rFonts w:ascii="Arial" w:eastAsia="Arial" w:hAnsi="Arial" w:cs="Arial"/>
                                  <w:sz w:val="18"/>
                                </w:rPr>
                                <w:t>n. 1860, e del decreto legislativo 5 aprile 2006, n. 160.</w:t>
                              </w:r>
                            </w:p>
                          </w:txbxContent>
                        </wps:txbx>
                        <wps:bodyPr horzOverflow="overflow" vert="horz" lIns="0" tIns="0" rIns="0" bIns="0" rtlCol="0">
                          <a:noAutofit/>
                        </wps:bodyPr>
                      </wps:wsp>
                      <wps:wsp>
                        <wps:cNvPr id="202301" name="Rectangle 202301"/>
                        <wps:cNvSpPr/>
                        <wps:spPr>
                          <a:xfrm rot="-10799999">
                            <a:off x="2611007" y="3283382"/>
                            <a:ext cx="5309035" cy="142889"/>
                          </a:xfrm>
                          <a:prstGeom prst="rect">
                            <a:avLst/>
                          </a:prstGeom>
                          <a:ln>
                            <a:noFill/>
                          </a:ln>
                        </wps:spPr>
                        <wps:txbx>
                          <w:txbxContent>
                            <w:p w14:paraId="4157EFD9" w14:textId="77777777" w:rsidR="00B32EF2" w:rsidRDefault="00000000">
                              <w:r>
                                <w:rPr>
                                  <w:rFonts w:ascii="Arial" w:eastAsia="Arial" w:hAnsi="Arial" w:cs="Arial"/>
                                  <w:sz w:val="18"/>
                                </w:rPr>
                                <w:t>9</w:t>
                              </w:r>
                            </w:p>
                          </w:txbxContent>
                        </wps:txbx>
                        <wps:bodyPr horzOverflow="overflow" vert="horz" lIns="0" tIns="0" rIns="0" bIns="0" rtlCol="0">
                          <a:noAutofit/>
                        </wps:bodyPr>
                      </wps:wsp>
                      <wps:wsp>
                        <wps:cNvPr id="202302" name="Rectangle 202302"/>
                        <wps:cNvSpPr/>
                        <wps:spPr>
                          <a:xfrm rot="-10799999">
                            <a:off x="-1380338" y="3283382"/>
                            <a:ext cx="5309036" cy="142889"/>
                          </a:xfrm>
                          <a:prstGeom prst="rect">
                            <a:avLst/>
                          </a:prstGeom>
                          <a:ln>
                            <a:noFill/>
                          </a:ln>
                        </wps:spPr>
                        <wps:txbx>
                          <w:txbxContent>
                            <w:p w14:paraId="3EAF20B4" w14:textId="77777777" w:rsidR="00B32EF2" w:rsidRDefault="00000000">
                              <w:r>
                                <w:rPr>
                                  <w:rFonts w:ascii="Arial" w:eastAsia="Arial" w:hAnsi="Arial" w:cs="Arial"/>
                                  <w:sz w:val="18"/>
                                </w:rPr>
                                <w:t xml:space="preserve">. L’esonero dalle funzioni giudiziarie o giurisdizionali, deliberato dal Consiglio </w:t>
                              </w:r>
                            </w:p>
                          </w:txbxContent>
                        </wps:txbx>
                        <wps:bodyPr horzOverflow="overflow" vert="horz" lIns="0" tIns="0" rIns="0" bIns="0" rtlCol="0">
                          <a:noAutofit/>
                        </wps:bodyPr>
                      </wps:wsp>
                      <wps:wsp>
                        <wps:cNvPr id="22732" name="Rectangle 22732"/>
                        <wps:cNvSpPr/>
                        <wps:spPr>
                          <a:xfrm rot="-10799999">
                            <a:off x="-1220590" y="3160052"/>
                            <a:ext cx="5212427" cy="142889"/>
                          </a:xfrm>
                          <a:prstGeom prst="rect">
                            <a:avLst/>
                          </a:prstGeom>
                          <a:ln>
                            <a:noFill/>
                          </a:ln>
                        </wps:spPr>
                        <wps:txbx>
                          <w:txbxContent>
                            <w:p w14:paraId="433ED8C5" w14:textId="77777777" w:rsidR="00B32EF2" w:rsidRDefault="00000000">
                              <w:r>
                                <w:rPr>
                                  <w:rFonts w:ascii="Arial" w:eastAsia="Arial" w:hAnsi="Arial" w:cs="Arial"/>
                                  <w:sz w:val="18"/>
                                </w:rPr>
                                <w:t>di presidenza della giustizia tributaria e dagli altri organi di autogoverno con</w:t>
                              </w:r>
                            </w:p>
                          </w:txbxContent>
                        </wps:txbx>
                        <wps:bodyPr horzOverflow="overflow" vert="horz" lIns="0" tIns="0" rIns="0" bIns="0" rtlCol="0">
                          <a:noAutofit/>
                        </wps:bodyPr>
                      </wps:wsp>
                      <wps:wsp>
                        <wps:cNvPr id="22733" name="Rectangle 22733"/>
                        <wps:cNvSpPr/>
                        <wps:spPr>
                          <a:xfrm rot="-10799999">
                            <a:off x="19238" y="3160052"/>
                            <a:ext cx="50622" cy="142889"/>
                          </a:xfrm>
                          <a:prstGeom prst="rect">
                            <a:avLst/>
                          </a:prstGeom>
                          <a:ln>
                            <a:noFill/>
                          </a:ln>
                        </wps:spPr>
                        <wps:txbx>
                          <w:txbxContent>
                            <w:p w14:paraId="1E7B962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734" name="Rectangle 22734"/>
                        <wps:cNvSpPr/>
                        <wps:spPr>
                          <a:xfrm rot="-10799999">
                            <a:off x="-1220561" y="3036723"/>
                            <a:ext cx="5212398" cy="142889"/>
                          </a:xfrm>
                          <a:prstGeom prst="rect">
                            <a:avLst/>
                          </a:prstGeom>
                          <a:ln>
                            <a:noFill/>
                          </a:ln>
                        </wps:spPr>
                        <wps:txbx>
                          <w:txbxContent>
                            <w:p w14:paraId="63CA73E4" w14:textId="77777777" w:rsidR="00B32EF2" w:rsidRDefault="00000000">
                              <w:r>
                                <w:rPr>
                                  <w:rFonts w:ascii="Arial" w:eastAsia="Arial" w:hAnsi="Arial" w:cs="Arial"/>
                                  <w:sz w:val="18"/>
                                </w:rPr>
                                <w:t>testualmente alla nomina a componente della commissione, ha effetto dall’in</w:t>
                              </w:r>
                            </w:p>
                          </w:txbxContent>
                        </wps:txbx>
                        <wps:bodyPr horzOverflow="overflow" vert="horz" lIns="0" tIns="0" rIns="0" bIns="0" rtlCol="0">
                          <a:noAutofit/>
                        </wps:bodyPr>
                      </wps:wsp>
                      <wps:wsp>
                        <wps:cNvPr id="22735" name="Rectangle 22735"/>
                        <wps:cNvSpPr/>
                        <wps:spPr>
                          <a:xfrm rot="-10799999">
                            <a:off x="19238" y="3036722"/>
                            <a:ext cx="50622" cy="142889"/>
                          </a:xfrm>
                          <a:prstGeom prst="rect">
                            <a:avLst/>
                          </a:prstGeom>
                          <a:ln>
                            <a:noFill/>
                          </a:ln>
                        </wps:spPr>
                        <wps:txbx>
                          <w:txbxContent>
                            <w:p w14:paraId="18EC946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736" name="Rectangle 22736"/>
                        <wps:cNvSpPr/>
                        <wps:spPr>
                          <a:xfrm rot="-10799999">
                            <a:off x="-1317168" y="2913393"/>
                            <a:ext cx="5309005" cy="142889"/>
                          </a:xfrm>
                          <a:prstGeom prst="rect">
                            <a:avLst/>
                          </a:prstGeom>
                          <a:ln>
                            <a:noFill/>
                          </a:ln>
                        </wps:spPr>
                        <wps:txbx>
                          <w:txbxContent>
                            <w:p w14:paraId="47721CA2" w14:textId="77777777" w:rsidR="00B32EF2" w:rsidRDefault="00000000">
                              <w:r>
                                <w:rPr>
                                  <w:rFonts w:ascii="Arial" w:eastAsia="Arial" w:hAnsi="Arial" w:cs="Arial"/>
                                  <w:sz w:val="18"/>
                                </w:rPr>
                                <w:t xml:space="preserve">sediamento del magistrato sino alla formazione della graduatoria finale dei </w:t>
                              </w:r>
                            </w:p>
                          </w:txbxContent>
                        </wps:txbx>
                        <wps:bodyPr horzOverflow="overflow" vert="horz" lIns="0" tIns="0" rIns="0" bIns="0" rtlCol="0">
                          <a:noAutofit/>
                        </wps:bodyPr>
                      </wps:wsp>
                      <wps:wsp>
                        <wps:cNvPr id="22737" name="Rectangle 22737"/>
                        <wps:cNvSpPr/>
                        <wps:spPr>
                          <a:xfrm rot="-10799999">
                            <a:off x="3331430" y="2790063"/>
                            <a:ext cx="660978" cy="142889"/>
                          </a:xfrm>
                          <a:prstGeom prst="rect">
                            <a:avLst/>
                          </a:prstGeom>
                          <a:ln>
                            <a:noFill/>
                          </a:ln>
                        </wps:spPr>
                        <wps:txbx>
                          <w:txbxContent>
                            <w:p w14:paraId="344C239F" w14:textId="77777777" w:rsidR="00B32EF2" w:rsidRDefault="00000000">
                              <w:r>
                                <w:rPr>
                                  <w:rFonts w:ascii="Arial" w:eastAsia="Arial" w:hAnsi="Arial" w:cs="Arial"/>
                                  <w:sz w:val="18"/>
                                </w:rPr>
                                <w:t>candidati.</w:t>
                              </w:r>
                            </w:p>
                          </w:txbxContent>
                        </wps:txbx>
                        <wps:bodyPr horzOverflow="overflow" vert="horz" lIns="0" tIns="0" rIns="0" bIns="0" rtlCol="0">
                          <a:noAutofit/>
                        </wps:bodyPr>
                      </wps:wsp>
                      <wps:wsp>
                        <wps:cNvPr id="202300" name="Rectangle 202300"/>
                        <wps:cNvSpPr/>
                        <wps:spPr>
                          <a:xfrm rot="-10799999">
                            <a:off x="-1441458" y="2666733"/>
                            <a:ext cx="5308960" cy="142889"/>
                          </a:xfrm>
                          <a:prstGeom prst="rect">
                            <a:avLst/>
                          </a:prstGeom>
                          <a:ln>
                            <a:noFill/>
                          </a:ln>
                        </wps:spPr>
                        <wps:txbx>
                          <w:txbxContent>
                            <w:p w14:paraId="4BB1FA65" w14:textId="77777777" w:rsidR="00B32EF2" w:rsidRDefault="00000000">
                              <w:r>
                                <w:rPr>
                                  <w:rFonts w:ascii="Arial" w:eastAsia="Arial" w:hAnsi="Arial" w:cs="Arial"/>
                                  <w:sz w:val="18"/>
                                </w:rPr>
                                <w:t xml:space="preserve">. Le attività di segreteria della commissione e delle sottocommissioni sono </w:t>
                              </w:r>
                            </w:p>
                          </w:txbxContent>
                        </wps:txbx>
                        <wps:bodyPr horzOverflow="overflow" vert="horz" lIns="0" tIns="0" rIns="0" bIns="0" rtlCol="0">
                          <a:noAutofit/>
                        </wps:bodyPr>
                      </wps:wsp>
                      <wps:wsp>
                        <wps:cNvPr id="202299" name="Rectangle 202299"/>
                        <wps:cNvSpPr/>
                        <wps:spPr>
                          <a:xfrm rot="-10799999">
                            <a:off x="2550172" y="2666733"/>
                            <a:ext cx="5308960" cy="142889"/>
                          </a:xfrm>
                          <a:prstGeom prst="rect">
                            <a:avLst/>
                          </a:prstGeom>
                          <a:ln>
                            <a:noFill/>
                          </a:ln>
                        </wps:spPr>
                        <wps:txbx>
                          <w:txbxContent>
                            <w:p w14:paraId="73E6A163" w14:textId="77777777" w:rsidR="00B32EF2" w:rsidRDefault="00000000">
                              <w:r>
                                <w:rPr>
                                  <w:rFonts w:ascii="Arial" w:eastAsia="Arial" w:hAnsi="Arial" w:cs="Arial"/>
                                  <w:sz w:val="18"/>
                                </w:rPr>
                                <w:t>10</w:t>
                              </w:r>
                            </w:p>
                          </w:txbxContent>
                        </wps:txbx>
                        <wps:bodyPr horzOverflow="overflow" vert="horz" lIns="0" tIns="0" rIns="0" bIns="0" rtlCol="0">
                          <a:noAutofit/>
                        </wps:bodyPr>
                      </wps:wsp>
                      <wps:wsp>
                        <wps:cNvPr id="22739" name="Rectangle 22739"/>
                        <wps:cNvSpPr/>
                        <wps:spPr>
                          <a:xfrm rot="-10799999">
                            <a:off x="-1317152" y="2543403"/>
                            <a:ext cx="5308990" cy="142889"/>
                          </a:xfrm>
                          <a:prstGeom prst="rect">
                            <a:avLst/>
                          </a:prstGeom>
                          <a:ln>
                            <a:noFill/>
                          </a:ln>
                        </wps:spPr>
                        <wps:txbx>
                          <w:txbxContent>
                            <w:p w14:paraId="7AF39E35" w14:textId="77777777" w:rsidR="00B32EF2" w:rsidRDefault="00000000">
                              <w:r>
                                <w:rPr>
                                  <w:rFonts w:ascii="Arial" w:eastAsia="Arial" w:hAnsi="Arial" w:cs="Arial"/>
                                  <w:sz w:val="18"/>
                                </w:rPr>
                                <w:t xml:space="preserve">esercitate da personale amministrativo dell’Area funzionari in servizio presso </w:t>
                              </w:r>
                            </w:p>
                          </w:txbxContent>
                        </wps:txbx>
                        <wps:bodyPr horzOverflow="overflow" vert="horz" lIns="0" tIns="0" rIns="0" bIns="0" rtlCol="0">
                          <a:noAutofit/>
                        </wps:bodyPr>
                      </wps:wsp>
                      <wps:wsp>
                        <wps:cNvPr id="22740" name="Rectangle 22740"/>
                        <wps:cNvSpPr/>
                        <wps:spPr>
                          <a:xfrm rot="-10799999">
                            <a:off x="-1317183" y="2420073"/>
                            <a:ext cx="5309021" cy="142889"/>
                          </a:xfrm>
                          <a:prstGeom prst="rect">
                            <a:avLst/>
                          </a:prstGeom>
                          <a:ln>
                            <a:noFill/>
                          </a:ln>
                        </wps:spPr>
                        <wps:txbx>
                          <w:txbxContent>
                            <w:p w14:paraId="54DA3056" w14:textId="77777777" w:rsidR="00B32EF2" w:rsidRDefault="00000000">
                              <w:r>
                                <w:rPr>
                                  <w:rFonts w:ascii="Arial" w:eastAsia="Arial" w:hAnsi="Arial" w:cs="Arial"/>
                                  <w:sz w:val="18"/>
                                </w:rPr>
                                <w:t xml:space="preserve">il Ministero dell’economia e delle finanze, come definita dal contratto collettivo </w:t>
                              </w:r>
                            </w:p>
                          </w:txbxContent>
                        </wps:txbx>
                        <wps:bodyPr horzOverflow="overflow" vert="horz" lIns="0" tIns="0" rIns="0" bIns="0" rtlCol="0">
                          <a:noAutofit/>
                        </wps:bodyPr>
                      </wps:wsp>
                      <wps:wsp>
                        <wps:cNvPr id="22741" name="Rectangle 22741"/>
                        <wps:cNvSpPr/>
                        <wps:spPr>
                          <a:xfrm rot="-10799999">
                            <a:off x="-1218660" y="2296744"/>
                            <a:ext cx="5210497" cy="142889"/>
                          </a:xfrm>
                          <a:prstGeom prst="rect">
                            <a:avLst/>
                          </a:prstGeom>
                          <a:ln>
                            <a:noFill/>
                          </a:ln>
                        </wps:spPr>
                        <wps:txbx>
                          <w:txbxContent>
                            <w:p w14:paraId="4ABB8A5A" w14:textId="77777777" w:rsidR="00B32EF2" w:rsidRDefault="00000000">
                              <w:r>
                                <w:rPr>
                                  <w:rFonts w:ascii="Arial" w:eastAsia="Arial" w:hAnsi="Arial" w:cs="Arial"/>
                                  <w:sz w:val="18"/>
                                </w:rPr>
                                <w:t>nazionale di lavoro del comparto Funzioni centrali, e sono coordinate dal tito</w:t>
                              </w:r>
                            </w:p>
                          </w:txbxContent>
                        </wps:txbx>
                        <wps:bodyPr horzOverflow="overflow" vert="horz" lIns="0" tIns="0" rIns="0" bIns="0" rtlCol="0">
                          <a:noAutofit/>
                        </wps:bodyPr>
                      </wps:wsp>
                      <wps:wsp>
                        <wps:cNvPr id="22742" name="Rectangle 22742"/>
                        <wps:cNvSpPr/>
                        <wps:spPr>
                          <a:xfrm rot="-10799999">
                            <a:off x="19238" y="2296744"/>
                            <a:ext cx="50622" cy="142889"/>
                          </a:xfrm>
                          <a:prstGeom prst="rect">
                            <a:avLst/>
                          </a:prstGeom>
                          <a:ln>
                            <a:noFill/>
                          </a:ln>
                        </wps:spPr>
                        <wps:txbx>
                          <w:txbxContent>
                            <w:p w14:paraId="74DCEE5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743" name="Rectangle 22743"/>
                        <wps:cNvSpPr/>
                        <wps:spPr>
                          <a:xfrm rot="-10799999">
                            <a:off x="-1220499" y="2173414"/>
                            <a:ext cx="5212337" cy="142889"/>
                          </a:xfrm>
                          <a:prstGeom prst="rect">
                            <a:avLst/>
                          </a:prstGeom>
                          <a:ln>
                            <a:noFill/>
                          </a:ln>
                        </wps:spPr>
                        <wps:txbx>
                          <w:txbxContent>
                            <w:p w14:paraId="37002338" w14:textId="77777777" w:rsidR="00B32EF2" w:rsidRDefault="00000000">
                              <w:r>
                                <w:rPr>
                                  <w:rFonts w:ascii="Arial" w:eastAsia="Arial" w:hAnsi="Arial" w:cs="Arial"/>
                                  <w:sz w:val="18"/>
                                </w:rPr>
                                <w:t>lare del competente ufficio del Dipartimento della giustizia tributaria del Mini</w:t>
                              </w:r>
                            </w:p>
                          </w:txbxContent>
                        </wps:txbx>
                        <wps:bodyPr horzOverflow="overflow" vert="horz" lIns="0" tIns="0" rIns="0" bIns="0" rtlCol="0">
                          <a:noAutofit/>
                        </wps:bodyPr>
                      </wps:wsp>
                      <wps:wsp>
                        <wps:cNvPr id="22744" name="Rectangle 22744"/>
                        <wps:cNvSpPr/>
                        <wps:spPr>
                          <a:xfrm rot="-10799999">
                            <a:off x="19238" y="2173414"/>
                            <a:ext cx="50622" cy="142889"/>
                          </a:xfrm>
                          <a:prstGeom prst="rect">
                            <a:avLst/>
                          </a:prstGeom>
                          <a:ln>
                            <a:noFill/>
                          </a:ln>
                        </wps:spPr>
                        <wps:txbx>
                          <w:txbxContent>
                            <w:p w14:paraId="7CB5D77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745" name="Rectangle 22745"/>
                        <wps:cNvSpPr/>
                        <wps:spPr>
                          <a:xfrm rot="-10799999">
                            <a:off x="1599544" y="2050085"/>
                            <a:ext cx="2392292" cy="142889"/>
                          </a:xfrm>
                          <a:prstGeom prst="rect">
                            <a:avLst/>
                          </a:prstGeom>
                          <a:ln>
                            <a:noFill/>
                          </a:ln>
                        </wps:spPr>
                        <wps:txbx>
                          <w:txbxContent>
                            <w:p w14:paraId="2FC86552" w14:textId="77777777" w:rsidR="00B32EF2" w:rsidRDefault="00000000">
                              <w:r>
                                <w:rPr>
                                  <w:rFonts w:ascii="Arial" w:eastAsia="Arial" w:hAnsi="Arial" w:cs="Arial"/>
                                  <w:sz w:val="18"/>
                                </w:rPr>
                                <w:t>stero dell’economia e delle finanze.</w:t>
                              </w:r>
                            </w:p>
                          </w:txbxContent>
                        </wps:txbx>
                        <wps:bodyPr horzOverflow="overflow" vert="horz" lIns="0" tIns="0" rIns="0" bIns="0" rtlCol="0">
                          <a:noAutofit/>
                        </wps:bodyPr>
                      </wps:wsp>
                      <wps:wsp>
                        <wps:cNvPr id="22746" name="Rectangle 22746"/>
                        <wps:cNvSpPr/>
                        <wps:spPr>
                          <a:xfrm rot="-10799999">
                            <a:off x="1560889" y="1063333"/>
                            <a:ext cx="723762" cy="142889"/>
                          </a:xfrm>
                          <a:prstGeom prst="rect">
                            <a:avLst/>
                          </a:prstGeom>
                          <a:ln>
                            <a:noFill/>
                          </a:ln>
                        </wps:spPr>
                        <wps:txbx>
                          <w:txbxContent>
                            <w:p w14:paraId="7C2546EA" w14:textId="77777777" w:rsidR="00B32EF2" w:rsidRDefault="00000000">
                              <w:r>
                                <w:rPr>
                                  <w:rFonts w:ascii="Arial" w:eastAsia="Arial" w:hAnsi="Arial" w:cs="Arial"/>
                                  <w:b/>
                                  <w:sz w:val="18"/>
                                </w:rPr>
                                <w:t>Articolo 9</w:t>
                              </w:r>
                            </w:p>
                          </w:txbxContent>
                        </wps:txbx>
                        <wps:bodyPr horzOverflow="overflow" vert="horz" lIns="0" tIns="0" rIns="0" bIns="0" rtlCol="0">
                          <a:noAutofit/>
                        </wps:bodyPr>
                      </wps:wsp>
                      <wps:wsp>
                        <wps:cNvPr id="202296" name="Rectangle 202296"/>
                        <wps:cNvSpPr/>
                        <wps:spPr>
                          <a:xfrm rot="-10799999">
                            <a:off x="2303452" y="940003"/>
                            <a:ext cx="2579033" cy="142889"/>
                          </a:xfrm>
                          <a:prstGeom prst="rect">
                            <a:avLst/>
                          </a:prstGeom>
                          <a:ln>
                            <a:noFill/>
                          </a:ln>
                        </wps:spPr>
                        <wps:txbx>
                          <w:txbxContent>
                            <w:p w14:paraId="530F0E4D"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297" name="Rectangle 202297"/>
                        <wps:cNvSpPr/>
                        <wps:spPr>
                          <a:xfrm rot="-10799999">
                            <a:off x="-1137835" y="940003"/>
                            <a:ext cx="2579033" cy="142889"/>
                          </a:xfrm>
                          <a:prstGeom prst="rect">
                            <a:avLst/>
                          </a:prstGeom>
                          <a:ln>
                            <a:noFill/>
                          </a:ln>
                        </wps:spPr>
                        <wps:txbx>
                          <w:txbxContent>
                            <w:p w14:paraId="59438253"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298" name="Rectangle 202298"/>
                        <wps:cNvSpPr/>
                        <wps:spPr>
                          <a:xfrm rot="-10799999">
                            <a:off x="766128" y="940003"/>
                            <a:ext cx="2579033" cy="142889"/>
                          </a:xfrm>
                          <a:prstGeom prst="rect">
                            <a:avLst/>
                          </a:prstGeom>
                          <a:ln>
                            <a:noFill/>
                          </a:ln>
                        </wps:spPr>
                        <wps:txbx>
                          <w:txbxContent>
                            <w:p w14:paraId="23A8A59B" w14:textId="77777777" w:rsidR="00B32EF2" w:rsidRDefault="00000000">
                              <w:r>
                                <w:rPr>
                                  <w:rFonts w:ascii="Arial" w:eastAsia="Arial" w:hAnsi="Arial" w:cs="Arial"/>
                                  <w:i/>
                                  <w:sz w:val="18"/>
                                </w:rPr>
                                <w:t xml:space="preserve">articolo 4-quinquies D.lgs. n. </w:t>
                              </w:r>
                            </w:p>
                          </w:txbxContent>
                        </wps:txbx>
                        <wps:bodyPr horzOverflow="overflow" vert="horz" lIns="0" tIns="0" rIns="0" bIns="0" rtlCol="0">
                          <a:noAutofit/>
                        </wps:bodyPr>
                      </wps:wsp>
                      <wps:wsp>
                        <wps:cNvPr id="22748" name="Rectangle 22748"/>
                        <wps:cNvSpPr/>
                        <wps:spPr>
                          <a:xfrm rot="-10799999">
                            <a:off x="23340" y="816673"/>
                            <a:ext cx="3186455" cy="142889"/>
                          </a:xfrm>
                          <a:prstGeom prst="rect">
                            <a:avLst/>
                          </a:prstGeom>
                          <a:ln>
                            <a:noFill/>
                          </a:ln>
                        </wps:spPr>
                        <wps:txbx>
                          <w:txbxContent>
                            <w:p w14:paraId="6A97A00F" w14:textId="77777777" w:rsidR="00B32EF2" w:rsidRDefault="00000000">
                              <w:r>
                                <w:rPr>
                                  <w:rFonts w:ascii="Arial" w:eastAsia="Arial" w:hAnsi="Arial" w:cs="Arial"/>
                                  <w:b/>
                                  <w:sz w:val="18"/>
                                </w:rPr>
                                <w:t>Nomina e tirocinio del magistrato tributario</w:t>
                              </w:r>
                            </w:p>
                          </w:txbxContent>
                        </wps:txbx>
                        <wps:bodyPr horzOverflow="overflow" vert="horz" lIns="0" tIns="0" rIns="0" bIns="0" rtlCol="0">
                          <a:noAutofit/>
                        </wps:bodyPr>
                      </wps:wsp>
                      <wps:wsp>
                        <wps:cNvPr id="202295" name="Rectangle 202295"/>
                        <wps:cNvSpPr/>
                        <wps:spPr>
                          <a:xfrm rot="-10799999">
                            <a:off x="-1278956" y="693344"/>
                            <a:ext cx="5212398" cy="142889"/>
                          </a:xfrm>
                          <a:prstGeom prst="rect">
                            <a:avLst/>
                          </a:prstGeom>
                          <a:ln>
                            <a:noFill/>
                          </a:ln>
                        </wps:spPr>
                        <wps:txbx>
                          <w:txbxContent>
                            <w:p w14:paraId="308D7103" w14:textId="77777777" w:rsidR="00B32EF2" w:rsidRDefault="00000000">
                              <w:r>
                                <w:rPr>
                                  <w:rFonts w:ascii="Arial" w:eastAsia="Arial" w:hAnsi="Arial" w:cs="Arial"/>
                                  <w:sz w:val="18"/>
                                </w:rPr>
                                <w:t>. I concorrenti dichiarati idonei all’esito del concorso per esami sono classifi</w:t>
                              </w:r>
                            </w:p>
                          </w:txbxContent>
                        </wps:txbx>
                        <wps:bodyPr horzOverflow="overflow" vert="horz" lIns="0" tIns="0" rIns="0" bIns="0" rtlCol="0">
                          <a:noAutofit/>
                        </wps:bodyPr>
                      </wps:wsp>
                      <wps:wsp>
                        <wps:cNvPr id="202294" name="Rectangle 202294"/>
                        <wps:cNvSpPr/>
                        <wps:spPr>
                          <a:xfrm rot="-10799999">
                            <a:off x="2634984" y="693344"/>
                            <a:ext cx="5212398" cy="142889"/>
                          </a:xfrm>
                          <a:prstGeom prst="rect">
                            <a:avLst/>
                          </a:prstGeom>
                          <a:ln>
                            <a:noFill/>
                          </a:ln>
                        </wps:spPr>
                        <wps:txbx>
                          <w:txbxContent>
                            <w:p w14:paraId="404C8DB7"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2750" name="Rectangle 22750"/>
                        <wps:cNvSpPr/>
                        <wps:spPr>
                          <a:xfrm rot="-10799999">
                            <a:off x="19238" y="693344"/>
                            <a:ext cx="50622" cy="142889"/>
                          </a:xfrm>
                          <a:prstGeom prst="rect">
                            <a:avLst/>
                          </a:prstGeom>
                          <a:ln>
                            <a:noFill/>
                          </a:ln>
                        </wps:spPr>
                        <wps:txbx>
                          <w:txbxContent>
                            <w:p w14:paraId="24C2B07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751" name="Rectangle 22751"/>
                        <wps:cNvSpPr/>
                        <wps:spPr>
                          <a:xfrm rot="-10799999">
                            <a:off x="-1317138" y="570014"/>
                            <a:ext cx="5308975" cy="142889"/>
                          </a:xfrm>
                          <a:prstGeom prst="rect">
                            <a:avLst/>
                          </a:prstGeom>
                          <a:ln>
                            <a:noFill/>
                          </a:ln>
                        </wps:spPr>
                        <wps:txbx>
                          <w:txbxContent>
                            <w:p w14:paraId="43473C04" w14:textId="77777777" w:rsidR="00B32EF2" w:rsidRDefault="00000000">
                              <w:r>
                                <w:rPr>
                                  <w:rFonts w:ascii="Arial" w:eastAsia="Arial" w:hAnsi="Arial" w:cs="Arial"/>
                                  <w:sz w:val="18"/>
                                </w:rPr>
                                <w:t xml:space="preserve">cati secondo il punteggio complessivo conseguito e, nello stesso ordine, sono </w:t>
                              </w:r>
                            </w:p>
                          </w:txbxContent>
                        </wps:txbx>
                        <wps:bodyPr horzOverflow="overflow" vert="horz" lIns="0" tIns="0" rIns="0" bIns="0" rtlCol="0">
                          <a:noAutofit/>
                        </wps:bodyPr>
                      </wps:wsp>
                      <wps:wsp>
                        <wps:cNvPr id="22752" name="Rectangle 22752"/>
                        <wps:cNvSpPr/>
                        <wps:spPr>
                          <a:xfrm rot="-10799999">
                            <a:off x="-1317260" y="446684"/>
                            <a:ext cx="5309097" cy="142889"/>
                          </a:xfrm>
                          <a:prstGeom prst="rect">
                            <a:avLst/>
                          </a:prstGeom>
                          <a:ln>
                            <a:noFill/>
                          </a:ln>
                        </wps:spPr>
                        <wps:txbx>
                          <w:txbxContent>
                            <w:p w14:paraId="1E88B7ED" w14:textId="77777777" w:rsidR="00B32EF2" w:rsidRDefault="00000000">
                              <w:r>
                                <w:rPr>
                                  <w:rFonts w:ascii="Arial" w:eastAsia="Arial" w:hAnsi="Arial" w:cs="Arial"/>
                                  <w:sz w:val="18"/>
                                </w:rPr>
                                <w:t xml:space="preserve">nominati, con decreto del Ministro dell’economia e delle finanze, magistrato </w:t>
                              </w:r>
                            </w:p>
                          </w:txbxContent>
                        </wps:txbx>
                        <wps:bodyPr horzOverflow="overflow" vert="horz" lIns="0" tIns="0" rIns="0" bIns="0" rtlCol="0">
                          <a:noAutofit/>
                        </wps:bodyPr>
                      </wps:wsp>
                      <wps:wsp>
                        <wps:cNvPr id="208154" name="Shape 208154"/>
                        <wps:cNvSpPr/>
                        <wps:spPr>
                          <a:xfrm>
                            <a:off x="31836" y="1409197"/>
                            <a:ext cx="3960000" cy="608305"/>
                          </a:xfrm>
                          <a:custGeom>
                            <a:avLst/>
                            <a:gdLst/>
                            <a:ahLst/>
                            <a:cxnLst/>
                            <a:rect l="0" t="0" r="0" b="0"/>
                            <a:pathLst>
                              <a:path w="3960000" h="608305">
                                <a:moveTo>
                                  <a:pt x="0" y="0"/>
                                </a:moveTo>
                                <a:lnTo>
                                  <a:pt x="3960000" y="0"/>
                                </a:lnTo>
                                <a:lnTo>
                                  <a:pt x="3960000" y="608305"/>
                                </a:lnTo>
                                <a:lnTo>
                                  <a:pt x="0" y="608305"/>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22754" name="Rectangle 22754"/>
                        <wps:cNvSpPr/>
                        <wps:spPr>
                          <a:xfrm rot="-10799999">
                            <a:off x="2328820" y="1796264"/>
                            <a:ext cx="1585695" cy="142889"/>
                          </a:xfrm>
                          <a:prstGeom prst="rect">
                            <a:avLst/>
                          </a:prstGeom>
                          <a:ln>
                            <a:noFill/>
                          </a:ln>
                        </wps:spPr>
                        <wps:txbx>
                          <w:txbxContent>
                            <w:p w14:paraId="178B08D3"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22755" name="Rectangle 22755"/>
                        <wps:cNvSpPr/>
                        <wps:spPr>
                          <a:xfrm rot="-10799999">
                            <a:off x="-1185661" y="1659104"/>
                            <a:ext cx="5094233" cy="142889"/>
                          </a:xfrm>
                          <a:prstGeom prst="rect">
                            <a:avLst/>
                          </a:prstGeom>
                          <a:ln>
                            <a:noFill/>
                          </a:ln>
                        </wps:spPr>
                        <wps:txbx>
                          <w:txbxContent>
                            <w:p w14:paraId="28770981" w14:textId="77777777" w:rsidR="00B32EF2" w:rsidRDefault="00000000">
                              <w:r>
                                <w:rPr>
                                  <w:rFonts w:ascii="Arial" w:eastAsia="Arial" w:hAnsi="Arial" w:cs="Arial"/>
                                  <w:i/>
                                  <w:sz w:val="18"/>
                                </w:rPr>
                                <w:t xml:space="preserve">art. 13 dpr. 382/1980 “Aspettativa obbligatoria per situazioni di incompatibilità”: </w:t>
                              </w:r>
                            </w:p>
                          </w:txbxContent>
                        </wps:txbx>
                        <wps:bodyPr horzOverflow="overflow" vert="horz" lIns="0" tIns="0" rIns="0" bIns="0" rtlCol="0">
                          <a:noAutofit/>
                        </wps:bodyPr>
                      </wps:wsp>
                      <wps:wsp>
                        <wps:cNvPr id="22756" name="Rectangle 22756"/>
                        <wps:cNvSpPr/>
                        <wps:spPr>
                          <a:xfrm rot="-10799999">
                            <a:off x="499123" y="1521944"/>
                            <a:ext cx="3414362" cy="142889"/>
                          </a:xfrm>
                          <a:prstGeom prst="rect">
                            <a:avLst/>
                          </a:prstGeom>
                          <a:ln>
                            <a:noFill/>
                          </a:ln>
                        </wps:spPr>
                        <wps:txbx>
                          <w:txbxContent>
                            <w:p w14:paraId="1A26994F" w14:textId="77777777" w:rsidR="00B32EF2" w:rsidRDefault="00000000">
                              <w:r>
                                <w:rPr>
                                  <w:rFonts w:ascii="Arial" w:eastAsia="Arial" w:hAnsi="Arial" w:cs="Arial"/>
                                  <w:i/>
                                  <w:sz w:val="18"/>
                                </w:rPr>
                                <w:t xml:space="preserve">art. 8 dpr. 382/1980 “Inamovibilità e trasferimenti” </w:t>
                              </w:r>
                            </w:p>
                          </w:txbxContent>
                        </wps:txbx>
                        <wps:bodyPr horzOverflow="overflow" vert="horz" lIns="0" tIns="0" rIns="0" bIns="0" rtlCol="0">
                          <a:noAutofit/>
                        </wps:bodyPr>
                      </wps:wsp>
                      <wps:wsp>
                        <wps:cNvPr id="22757" name="Shape 22757"/>
                        <wps:cNvSpPr/>
                        <wps:spPr>
                          <a:xfrm>
                            <a:off x="31835" y="1409200"/>
                            <a:ext cx="3960000" cy="608305"/>
                          </a:xfrm>
                          <a:custGeom>
                            <a:avLst/>
                            <a:gdLst/>
                            <a:ahLst/>
                            <a:cxnLst/>
                            <a:rect l="0" t="0" r="0" b="0"/>
                            <a:pathLst>
                              <a:path w="3960000" h="608305">
                                <a:moveTo>
                                  <a:pt x="0" y="608305"/>
                                </a:moveTo>
                                <a:lnTo>
                                  <a:pt x="3960000" y="608305"/>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F563D76" id="Group 202388" o:spid="_x0000_s6613" style="width:314.3pt;height:493.15pt;mso-position-horizontal-relative:char;mso-position-vertical-relative:line" coordsize="39918,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OdipAsAAHOCAAAOAAAAZHJzL2Uyb0RvYy54bWzkXeuOnDga/b/SvkOp/nfaFzBQSme0Snai&#10;lVY7o7k8AKmmLhIFJSDpzj79ns8GU0V5kizsxq1xR0rTLqCMD+e7HN9e//B8KlefiqY91tXDmr9i&#10;61VRbevHY7V/WP/+24936XrVdnn1mJd1VTysPxft+oc3f/3L66fzphD1oS4fi2aFm1Tt5un8sD50&#10;3Xlzf99uD8Upb1/V56LCh7u6OeUd/mz2949N/oS7n8p7wZi6f6qbx3NTb4u2Rek78+H6jb7/blds&#10;u592u7boVuXDGnXr9P+N/v8D/X//5nW+2Tf5+XDc9tXIZ9TilB8rfKm91bu8y1cfm+PNrU7HbVO3&#10;9a57ta1P9/Vud9wW+hnwNJxNnuZ9U38862fZb572Z9tMaNpJO82+7fZfn94351/PPzdoiafzHm2h&#10;/6Jned41J/qNWq6edZN9tk1WPHerLQpllvFUqvVqi8+UUCKNI9Oo2wNa/ua67eHvX7nyfvji+6vq&#10;PJ3xgrRjG7TL2uDXQ34udNO2G7TBz83q+PiwFiJhfL2q8hNe1V/w8uTVvixWplg3kD7bNle7adFy&#10;Q1utmhrv1x1nSUY/+n3o245njMVCrFdopTsl8KdppKEZeYJGzEwripipSNHntinyzblpu/dFfVrR&#10;wcO6Qd30/fNP/2w7c+pwClWnrOj/qv7xWJbmUypBiw41pqPu+cOzfuxYxgl9HxV+qB8/ozUOdfPv&#10;n8DrXVk/Pazr/mhNVMfX06frVfmPCigQq4aDZjj4MBw0Xfm21twzFfrbx67eHXWNx2/rawZ4TR3+&#10;/zgzITkqfgO0Ke+bAu/Ff4/0HZcpj1mkoVacZ5nqCTFgHUuWsYEyPBKpeRm+I9hpcGAzcMsFNsqX&#10;gC0AMGPJS8baPmAYxIYBlw6odfESpEFrnoDMGuoYpFbyq7Tm39eGK+1TRqv6Z7fhwBRW9obVungJ&#10;1ILJOEoRt8JXx2kiJYsJyHwzGHCexUAfJ1DMQwY81ST7fgZc6TcrHKThlRma+wZqU74E6zsuEvAa&#10;JoPATqIsS3TkNYIdC86yFC+aN7DF4KLCsOAEKjyqE2wbpc4KzYSSsZTx17DGCd6wlmFhDVuN1PEG&#10;al28hNY8E7I34JrTEwOOBItyMW8o68ghHPMNOF2E1sVLUDYxGaXNZLwhPvRp84XxplSLXjFvUOs3&#10;LyioXY4aUNucc5bpNlDHvZ+OmZR86qcRImTIpP1BrSsUFNSupBpQ25RzPtSCGwElltDSUu32J6yO&#10;odN5Y7WNQ8IIyRAju8QyXbzYgFN6pQ24iJUyOuQ11MiwPEJt7VYwULsFcG5zzvmsZplRwGMupRS3&#10;rE4zAZPijdXWbgUDNeBwBN/cZpzzoRZQozSrGUNXiCbRNatZhpjQF9RJcFIZSRwuqG3CORNqdGXx&#10;yAjg0MyUUlOofcsnibVbwbDarYoiolriq8eU2uA8td5+U+rEmqxgUEbU5CK0TThnEpq6Ofo8K0oU&#10;/PSU0L7zrMSarGCgdmtkJgOmhHMB1MKk1JGKGDz1dT8HOqrTjPy4NzdtTVYwULuFMm4TzplQC8ES&#10;eEKKyKKYK5VMoRZcisxjL0di7VYwULuFMm4TzllQX7hpjfPUent208FpZNytkaF4STCm5VABzmhC&#10;y0zKaEpoKN+cgn5vttuarFAILdwaGYoXQ837To4I6ioz784km/bZyZFYkxUM1G6NTNhcc5btxmAE&#10;IXVfGblpHik1HSaKwQhxHPl009ZuBQO1WyND//ESVl+4acLZDCC6oLRfN51akxUMym55DNnREpRT&#10;irSRvBGdMaxFmhF6I8zItRGkeUywUmuwwgCaxha5dBNTvgRq2O4UvVcGbIlBB0xqEo1gk+1OpceI&#10;LLUmKxywXbQmsJfxGgPJIuTLmthfwBon+Iq+U/uAYWAtEuHitS5eQuvRT7tx9uyng9PHhFsKRfES&#10;lCnwRrpseixlkiiaBYYbXhlvkVA/lzdCB6ePYXyAq4PDDBuYrXpfEFrjPHXSnglt3+NgzLZbBRVW&#10;UpiZSVM3Fo3aR+gtFUZ9m27gC0LTyFDk6/4IHZ4+5pZCMeRnme2+mJiF8f2MRVPbredbIjzwZrvt&#10;yxwKq5H7uGy3SYlm226E7SlN5CROR0wlZpzSyGmp0pSR2/AGtH2VwwCaMimXEmrKl7D6cmKtFEib&#10;TfI6Ym0mUXsktZFmwxnuTZi6pFBTvgRrdGalGNBv5ut8AWyE/r6InQWmk4mE1A3H8CIUL4MaiVZM&#10;szTIhkP6xKIYt4kWerk8Qm2fMAwbDqhdIpkuXgL1RaLlxNlvopUFp49huQInoa2ENDPRIkJjProm&#10;NFY1SUyXyYWjFlxIDAD3Z7vtEwZDaLcUipnP/yNCa5ynhtszoe3DBYOyWwrFwkJLUO7n1JpgTGSY&#10;qGNM5QWh9Zxan5G3fcJgoHZLodJKSLNsN8Z284gydcRiIqF50topjkgrhUk6Pi23fb4wgKZUyiWc&#10;mPJlrI4wnijuWY1ZOhT04YYj1t7Heps5YiHl04JWk7rJsZig8iVgizhmHBNiNK9fJtb2AcMgNpIp&#10;F9S6eAnS/aoIPdRxBFXURWuPqyJgVsnwLocCdeQy4eg8tg0xy1kbqDGsQ7M6wtK3Zh7UlQX32qMV&#10;mT7zcCw4MHWJ37p4GasFx0zaPjATmUow4vfaWWNSbeRx/jQGMwbHarceiqUplkA9imTw+g6cvebU&#10;vTMJitBuKTSyauFM2w2RDEsLGtvNEwwevCU0hgf7U70jrKTZv8fBuGm3HmpMLb3zs6C+ILQTZ8+E&#10;Dk4ki9xSKIoXmW0sAKyn4ZBywmLGUn2/MRaD4g2DDpfhqcMSoyOGBwyGz2451CykP5/PsWK0vC9F&#10;3RwCGX6oYUek0d+RKJ9AB6eRIVD6A9nEvvOzTDfNCojQHU1QZ7QawgRpEUMj9Th/IxqXUAyD06SE&#10;uYRvU77Eft9hZjQ23IBveLFYB6aQEaZQp51qqB09OYvWiVKYmvVykcasg9AibxfQUE2W4Yz8iZQ3&#10;EFrPupwYbwlFJYr9dVpG4/KJ4RhvV+xNRF8WfNOS/Sl2YNBYK1r6wpVMexxxEo3rJ4aDtSubJqyt&#10;rjDLeNNES735Amj9MqG2ylAYUGPNGXf3BoqXRGSjbuKE2a9sMq6cGAzI7o4NrLm9BGTTh2U3ZsBK&#10;NlPLTQvO0apGvmQTbl1TMEi7+zXMsOzZsolGelgCOKIFTm6RznyuAByNiyeGgTTDpoTWR+vNL1fC&#10;lH2V0SR39dtYIoymjQvhjXmECdNIz3H1KIZJrBaJH8NfCGf9zlkXG2NtP5ptLOmqYetKbJr6aDax&#10;RNlhONo+V8MhbXb5xf1bz3lH19FN6XCFHSttVQ6IHExN6OMTdrL8rdYndpO9SVHL8dOyujzL3gwP&#10;rv0czh3OGH6f9f0uz7xqgOG04bc53SQs33zi9XejEvS0eptQ2wIovGzjsqLGIERybK67K3Oza+jp&#10;2GHX3fJ4ApC0pNh445tNQtvuc1lQg5XVL8UO24XqnWCpoG32H96WzepTTvt76h+zJWl5PuR9Kb0f&#10;qFJ/qj7W96Hrd9ib1N6S60uvbvlW0r/+Dv3JdF2ht/W1VzJz5bavjdnbFzvk4qGHHX5RA3uR/ua6&#10;6uz1FfYl1l9C1q5/Wjo0doHqT399x71JEWNZpl7tQWt21p1tlAXmVqVYjU7TN8mwX87EKGN9mlgh&#10;O/PnfgMTs4G0K0fWxXjxZiMNfRNI9rMyuIqxtMUE6phlERQTj1BbtScM/wtMXd0WungJ1BhWgPk1&#10;htNYYSqbiiE01kD67KAaVzoNBmjbadHHWQDZGrY/lkHIMV2EWTAMfZiFsX5/jjDrKs75lljr6oIh&#10;chp+3wZcYxRjgrfrM43jm56zLeu2MEHKNwZTOmD6UkBlIiFzT8eu666AyhH99AHVcBuEKzcxUx/5&#10;zAvDXkRAhdBqv3naY9t3hGj7Jj8fjtt3eZdf/q0DsE0h6kNdPhbNm/8AAAD//wMAUEsDBBQABgAI&#10;AAAAIQAYDQZs3QAAAAUBAAAPAAAAZHJzL2Rvd25yZXYueG1sTI9BS8NAEIXvgv9hGcGb3aTFENNs&#10;SinqqQi2gvQ2zU6T0OxsyG6T9N+7eqmXgcd7vPdNvppMKwbqXWNZQTyLQBCXVjdcKfjavz2lIJxH&#10;1thaJgVXcrAq7u9yzLQd+ZOGna9EKGGXoYLa+y6T0pU1GXQz2xEH72R7gz7IvpK6xzGUm1bOoyiR&#10;BhsOCzV2tKmpPO8uRsH7iON6Eb8O2/Npcz3snz++tzEp9fgwrZcgPE3+FoZf/IAORWA62gtrJ1oF&#10;4RH/d4OXzNMExFHBS5osQBa5/E9f/AAAAP//AwBQSwECLQAUAAYACAAAACEAtoM4kv4AAADhAQAA&#10;EwAAAAAAAAAAAAAAAAAAAAAAW0NvbnRlbnRfVHlwZXNdLnhtbFBLAQItABQABgAIAAAAIQA4/SH/&#10;1gAAAJQBAAALAAAAAAAAAAAAAAAAAC8BAABfcmVscy8ucmVsc1BLAQItABQABgAIAAAAIQDFeOdi&#10;pAsAAHOCAAAOAAAAAAAAAAAAAAAAAC4CAABkcnMvZTJvRG9jLnhtbFBLAQItABQABgAIAAAAIQAY&#10;DQZs3QAAAAUBAAAPAAAAAAAAAAAAAAAAAP4NAABkcnMvZG93bnJldi54bWxQSwUGAAAAAAQABADz&#10;AAAACA8AAAAA&#10;">
                <v:rect id="Rectangle 22701" o:spid="_x0000_s6614" style="position:absolute;left:19005;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NyjxgAAAN4AAAAPAAAAZHJzL2Rvd25yZXYueG1sRI9Ba8JA&#10;FITvBf/D8oTe6sYcqqSuIoqYQy/aCB4f2WeSmn27ZFeT9td3BaHHYWa+YRarwbTiTp1vLCuYThIQ&#10;xKXVDVcKiq/d2xyED8gaW8uk4Ic8rJajlwVm2vZ8oPsxVCJC2GeooA7BZVL6siaDfmIdcfQutjMY&#10;ouwqqTvsI9y0Mk2Sd2mw4bhQo6NNTeX1eDMKzlt2+a6X5eV34z6/83m7vxUnpV7Hw/oDRKAh/Ief&#10;7VwrSNNZMoXHnXgF5PIPAAD//wMAUEsBAi0AFAAGAAgAAAAhANvh9svuAAAAhQEAABMAAAAAAAAA&#10;AAAAAAAAAAAAAFtDb250ZW50X1R5cGVzXS54bWxQSwECLQAUAAYACAAAACEAWvQsW78AAAAVAQAA&#10;CwAAAAAAAAAAAAAAAAAfAQAAX3JlbHMvLnJlbHNQSwECLQAUAAYACAAAACEAaezco8YAAADeAAAA&#10;DwAAAAAAAAAAAAAAAAAHAgAAZHJzL2Rvd25yZXYueG1sUEsFBgAAAAADAAMAtwAAAPoCAAAAAA==&#10;" filled="f" stroked="f">
                  <v:textbox inset="0,0,0,0">
                    <w:txbxContent>
                      <w:p w14:paraId="2891662E" w14:textId="77777777" w:rsidR="00B32EF2" w:rsidRDefault="00000000">
                        <w:r>
                          <w:rPr>
                            <w:rFonts w:ascii="Times New Roman" w:eastAsia="Times New Roman" w:hAnsi="Times New Roman" w:cs="Times New Roman"/>
                          </w:rPr>
                          <w:t>21</w:t>
                        </w:r>
                      </w:p>
                    </w:txbxContent>
                  </v:textbox>
                </v:rect>
                <v:rect id="Rectangle 202310" o:spid="_x0000_s6615" style="position:absolute;left:-13815;top:611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7B+xQAAAN8AAAAPAAAAZHJzL2Rvd25yZXYueG1sRI/LisIw&#10;FIb3A75DOIK7MbUDg1SjiCLTxWy8gctDc2yrzUlooq3z9GYx4PLnv/HNl71pxINaX1tWMBknIIgL&#10;q2suFRwP288pCB+QNTaWScGTPCwXg485Ztp2vKPHPpQijrDPUEEVgsuk9EVFBv3YOuLoXWxrMETZ&#10;llK32MVx08g0Sb6lwZrjQ4WO1hUVt/3dKDhv2OXbThaXv7X7vebT5ud+PCk1GvarGYhAfXiH/9u5&#10;VpAm6dckEkSeyAJy8QIAAP//AwBQSwECLQAUAAYACAAAACEA2+H2y+4AAACFAQAAEwAAAAAAAAAA&#10;AAAAAAAAAAAAW0NvbnRlbnRfVHlwZXNdLnhtbFBLAQItABQABgAIAAAAIQBa9CxbvwAAABUBAAAL&#10;AAAAAAAAAAAAAAAAAB8BAABfcmVscy8ucmVsc1BLAQItABQABgAIAAAAIQCQI7B+xQAAAN8AAAAP&#10;AAAAAAAAAAAAAAAAAAcCAABkcnMvZG93bnJldi54bWxQSwUGAAAAAAMAAwC3AAAA+QIAAAAA&#10;" filled="f" stroked="f">
                  <v:textbox inset="0,0,0,0">
                    <w:txbxContent>
                      <w:p w14:paraId="29472DEF" w14:textId="77777777" w:rsidR="00B32EF2" w:rsidRDefault="00000000">
                        <w:r>
                          <w:rPr>
                            <w:rFonts w:ascii="Arial" w:eastAsia="Arial" w:hAnsi="Arial" w:cs="Arial"/>
                            <w:sz w:val="18"/>
                          </w:rPr>
                          <w:t xml:space="preserve">. In caso di assenza o impedimento del presidente della commissione, le </w:t>
                        </w:r>
                      </w:p>
                    </w:txbxContent>
                  </v:textbox>
                </v:rect>
                <v:rect id="Rectangle 202309" o:spid="_x0000_s6616" style="position:absolute;left:26110;top:611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I8+yAAAAN8AAAAPAAAAZHJzL2Rvd25yZXYueG1sRI9BawIx&#10;FITvQv9DeIXeatItiF2NIhbpHnqpVfD42Dx3VzcvYRPdbX+9KRQ8DjPzDTNfDrYVV+pC41jDy1iB&#10;IC6dabjSsPvePE9BhIhssHVMGn4owHLxMJpjblzPX3TdxkokCIccNdQx+lzKUNZkMYydJ07e0XUW&#10;Y5JdJU2HfYLbVmZKTaTFhtNCjZ7WNZXn7cVqOLyzLza9LI+/a/95Kqbtx2W31/rpcVjNQEQa4j38&#10;3y6Mhkxlr+oN/v6kLyAXNwAAAP//AwBQSwECLQAUAAYACAAAACEA2+H2y+4AAACFAQAAEwAAAAAA&#10;AAAAAAAAAAAAAAAAW0NvbnRlbnRfVHlwZXNdLnhtbFBLAQItABQABgAIAAAAIQBa9CxbvwAAABUB&#10;AAALAAAAAAAAAAAAAAAAAB8BAABfcmVscy8ucmVsc1BLAQItABQABgAIAAAAIQCEwI8+yAAAAN8A&#10;AAAPAAAAAAAAAAAAAAAAAAcCAABkcnMvZG93bnJldi54bWxQSwUGAAAAAAMAAwC3AAAA/AIAAAAA&#10;" filled="f" stroked="f">
                  <v:textbox inset="0,0,0,0">
                    <w:txbxContent>
                      <w:p w14:paraId="3BDDF16F" w14:textId="77777777" w:rsidR="00B32EF2" w:rsidRDefault="00000000">
                        <w:r>
                          <w:rPr>
                            <w:rFonts w:ascii="Arial" w:eastAsia="Arial" w:hAnsi="Arial" w:cs="Arial"/>
                            <w:sz w:val="18"/>
                          </w:rPr>
                          <w:t>6</w:t>
                        </w:r>
                      </w:p>
                    </w:txbxContent>
                  </v:textbox>
                </v:rect>
                <v:rect id="Rectangle 22703" o:spid="_x0000_s6617" style="position:absolute;left:-13171;top:599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dPxgAAAN4AAAAPAAAAZHJzL2Rvd25yZXYueG1sRI9Ba8JA&#10;FITvBf/D8gRvdWMKrURXEUWag5daBY+P7DOJZt8u2dVEf323UOhxmJlvmPmyN424U+trywom4wQE&#10;cWF1zaWCw/f2dQrCB2SNjWVS8CAPy8XgZY6Zth1/0X0fShEh7DNUUIXgMil9UZFBP7aOOHpn2xoM&#10;Ubal1C12EW4amSbJuzRYc1yo0NG6ouK6vxkFpw27fNvJ4vxcu90lnzaft8NRqdGwX81ABOrDf/iv&#10;nWsFafqRvMHvnXgF5OIHAAD//wMAUEsBAi0AFAAGAAgAAAAhANvh9svuAAAAhQEAABMAAAAAAAAA&#10;AAAAAAAAAAAAAFtDb250ZW50X1R5cGVzXS54bWxQSwECLQAUAAYACAAAACEAWvQsW78AAAAVAQAA&#10;CwAAAAAAAAAAAAAAAAAfAQAAX3JlbHMvLnJlbHNQSwECLQAUAAYACAAAACEA9nLnT8YAAADeAAAA&#10;DwAAAAAAAAAAAAAAAAAHAgAAZHJzL2Rvd25yZXYueG1sUEsFBgAAAAADAAMAtwAAAPoCAAAAAA==&#10;" filled="f" stroked="f">
                  <v:textbox inset="0,0,0,0">
                    <w:txbxContent>
                      <w:p w14:paraId="7D35C665" w14:textId="77777777" w:rsidR="00B32EF2" w:rsidRDefault="00000000">
                        <w:r>
                          <w:rPr>
                            <w:rFonts w:ascii="Arial" w:eastAsia="Arial" w:hAnsi="Arial" w:cs="Arial"/>
                            <w:sz w:val="18"/>
                          </w:rPr>
                          <w:t xml:space="preserve">relative funzioni sono svolte dal magistrato con maggiore anzianità di servizio </w:t>
                        </w:r>
                      </w:p>
                    </w:txbxContent>
                  </v:textbox>
                </v:rect>
                <v:rect id="Rectangle 22704" o:spid="_x0000_s6618" style="position:absolute;left:20354;top:58733;width:1956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387xgAAAN4AAAAPAAAAZHJzL2Rvd25yZXYueG1sRI9Ba8JA&#10;FITvBf/D8gRvdWMorURXEUWag5daBY+P7DOJZt8u2dVEf323UOhxmJlvmPmyN424U+trywom4wQE&#10;cWF1zaWCw/f2dQrCB2SNjWVS8CAPy8XgZY6Zth1/0X0fShEh7DNUUIXgMil9UZFBP7aOOHpn2xoM&#10;Ubal1C12EW4amSbJuzRYc1yo0NG6ouK6vxkFpw27fNvJ4vxcu90lnzaft8NRqdGwX81ABOrDf/iv&#10;nWsFafqRvMHvnXgF5OIHAAD//wMAUEsBAi0AFAAGAAgAAAAhANvh9svuAAAAhQEAABMAAAAAAAAA&#10;AAAAAAAAAAAAAFtDb250ZW50X1R5cGVzXS54bWxQSwECLQAUAAYACAAAACEAWvQsW78AAAAVAQAA&#10;CwAAAAAAAAAAAAAAAAAfAQAAX3JlbHMvLnJlbHNQSwECLQAUAAYACAAAACEAeZt/O8YAAADeAAAA&#10;DwAAAAAAAAAAAAAAAAAHAgAAZHJzL2Rvd25yZXYueG1sUEsFBgAAAAADAAMAtwAAAPoCAAAAAA==&#10;" filled="f" stroked="f">
                  <v:textbox inset="0,0,0,0">
                    <w:txbxContent>
                      <w:p w14:paraId="5F77E050" w14:textId="77777777" w:rsidR="00B32EF2" w:rsidRDefault="00000000">
                        <w:r>
                          <w:rPr>
                            <w:rFonts w:ascii="Arial" w:eastAsia="Arial" w:hAnsi="Arial" w:cs="Arial"/>
                            <w:sz w:val="18"/>
                          </w:rPr>
                          <w:t>presente in ciascuna seduta.</w:t>
                        </w:r>
                      </w:p>
                    </w:txbxContent>
                  </v:textbox>
                </v:rect>
                <v:rect id="Rectangle 202308" o:spid="_x0000_s6619" style="position:absolute;left:-12717;top:57499;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CqlxAAAAN8AAAAPAAAAZHJzL2Rvd25yZXYueG1sRE/Pa8Iw&#10;FL4P/B/CE7zNxA5EOqMMRdaDl6mDHR/Ns+3WvIQm2upfvxwEjx/f7+V6sK24UhcaxxpmUwWCuHSm&#10;4UrD6bh7XYAIEdlg65g03CjAejV6WWJuXM9fdD3ESqQQDjlqqGP0uZShrMlimDpPnLiz6yzGBLtK&#10;mg77FG5bmSk1lxYbTg01etrUVP4dLlbDz5Z9setleb5v/P63WLSfl9O31pPx8PEOItIQn+KHuzAa&#10;MpW9qTQ4/UlfQK7+AQAA//8DAFBLAQItABQABgAIAAAAIQDb4fbL7gAAAIUBAAATAAAAAAAAAAAA&#10;AAAAAAAAAABbQ29udGVudF9UeXBlc10ueG1sUEsBAi0AFAAGAAgAAAAhAFr0LFu/AAAAFQEAAAsA&#10;AAAAAAAAAAAAAAAAHwEAAF9yZWxzLy5yZWxzUEsBAi0AFAAGAAgAAAAhAOuMKqXEAAAA3wAAAA8A&#10;AAAAAAAAAAAAAAAABwIAAGRycy9kb3ducmV2LnhtbFBLBQYAAAAAAwADALcAAAD4AgAAAAA=&#10;" filled="f" stroked="f">
                  <v:textbox inset="0,0,0,0">
                    <w:txbxContent>
                      <w:p w14:paraId="3C7FFF2A" w14:textId="77777777" w:rsidR="00B32EF2" w:rsidRDefault="00000000">
                        <w:r>
                          <w:rPr>
                            <w:rFonts w:ascii="Arial" w:eastAsia="Arial" w:hAnsi="Arial" w:cs="Arial"/>
                            <w:sz w:val="18"/>
                          </w:rPr>
                          <w:t>. Se i candidati che hanno portato a termine la prova scritta sono più di tre</w:t>
                        </w:r>
                      </w:p>
                    </w:txbxContent>
                  </v:textbox>
                </v:rect>
                <v:rect id="Rectangle 202307" o:spid="_x0000_s6620" style="position:absolute;left:26353;top:57499;width:52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77XyAAAAN8AAAAPAAAAZHJzL2Rvd25yZXYueG1sRI9BawIx&#10;FITvhf6H8Aq91aRbsLIaRSzSPfSiVfD42Dx3VzcvYRPdbX+9EQo9DjPzDTNbDLYVV+pC41jD60iB&#10;IC6dabjSsPtev0xAhIhssHVMGn4owGL++DDD3LieN3TdxkokCIccNdQx+lzKUNZkMYycJ07e0XUW&#10;Y5JdJU2HfYLbVmZKjaXFhtNCjZ5WNZXn7cVqOHywL9a9LI+/K/91Kibt52W31/r5aVhOQUQa4n/4&#10;r10YDZnK3tQ73P+kLyDnNwAAAP//AwBQSwECLQAUAAYACAAAACEA2+H2y+4AAACFAQAAEwAAAAAA&#10;AAAAAAAAAAAAAAAAW0NvbnRlbnRfVHlwZXNdLnhtbFBLAQItABQABgAIAAAAIQBa9CxbvwAAABUB&#10;AAALAAAAAAAAAAAAAAAAAB8BAABfcmVscy8ucmVsc1BLAQItABQABgAIAAAAIQCaE77XyAAAAN8A&#10;AAAPAAAAAAAAAAAAAAAAAAcCAABkcnMvZG93bnJldi54bWxQSwUGAAAAAAMAAwC3AAAA/AIAAAAA&#10;" filled="f" stroked="f">
                  <v:textbox inset="0,0,0,0">
                    <w:txbxContent>
                      <w:p w14:paraId="05F53EE9" w14:textId="77777777" w:rsidR="00B32EF2" w:rsidRDefault="00000000">
                        <w:r>
                          <w:rPr>
                            <w:rFonts w:ascii="Arial" w:eastAsia="Arial" w:hAnsi="Arial" w:cs="Arial"/>
                            <w:sz w:val="18"/>
                          </w:rPr>
                          <w:t>7</w:t>
                        </w:r>
                      </w:p>
                    </w:txbxContent>
                  </v:textbox>
                </v:rect>
                <v:rect id="Rectangle 22706" o:spid="_x0000_s6621" style="position:absolute;left:192;top:574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UTXxgAAAN4AAAAPAAAAZHJzL2Rvd25yZXYueG1sRI9Ba8JA&#10;FITvBf/D8gre6qY5WEldRRQxBy+1ETw+ss8kNft2ya4m+uvdQqHHYWa+YebLwbTiRp1vLCt4nyQg&#10;iEurG64UFN/btxkIH5A1tpZJwZ08LBejlzlm2vb8RbdDqESEsM9QQR2Cy6T0ZU0G/cQ64uidbWcw&#10;RNlVUnfYR7hpZZokU2mw4bhQo6N1TeXlcDUKTht2+baX5fmxdvuffNbursVRqfHrsPoEEWgI/+G/&#10;dq4VpOlHMoXfO/EKyMUTAAD//wMAUEsBAi0AFAAGAAgAAAAhANvh9svuAAAAhQEAABMAAAAAAAAA&#10;AAAAAAAAAAAAAFtDb250ZW50X1R5cGVzXS54bWxQSwECLQAUAAYACAAAACEAWvQsW78AAAAVAQAA&#10;CwAAAAAAAAAAAAAAAAAfAQAAX3JlbHMvLnJlbHNQSwECLQAUAAYACAAAACEA5gVE18YAAADeAAAA&#10;DwAAAAAAAAAAAAAAAAAHAgAAZHJzL2Rvd25yZXYueG1sUEsFBgAAAAADAAMAtwAAAPoCAAAAAA==&#10;" filled="f" stroked="f">
                  <v:textbox inset="0,0,0,0">
                    <w:txbxContent>
                      <w:p w14:paraId="094B4047" w14:textId="77777777" w:rsidR="00B32EF2" w:rsidRDefault="00000000">
                        <w:r>
                          <w:rPr>
                            <w:rFonts w:ascii="Arial" w:eastAsia="Arial" w:hAnsi="Arial" w:cs="Arial"/>
                            <w:sz w:val="18"/>
                          </w:rPr>
                          <w:t>-</w:t>
                        </w:r>
                      </w:p>
                    </w:txbxContent>
                  </v:textbox>
                </v:rect>
                <v:rect id="Rectangle 22707" o:spid="_x0000_s6622" style="position:absolute;left:-13171;top:562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eFMxgAAAN4AAAAPAAAAZHJzL2Rvd25yZXYueG1sRI9Ba8JA&#10;FITvgv9heQVvumkOKqmriCLm0EttBI+P7DNJzb5dsquJ/fXdQqHHYWa+YVabwbTiQZ1vLCt4nSUg&#10;iEurG64UFJ+H6RKED8gaW8uk4EkeNuvxaIWZtj1/0OMUKhEh7DNUUIfgMil9WZNBP7OOOHpX2xkM&#10;UXaV1B32EW5amSbJXBpsOC7U6GhXU3k73Y2Cy55dfuhlef3eufevfNke78VZqcnLsH0DEWgI/+G/&#10;dq4VpOkiWcDvnXgF5PoHAAD//wMAUEsBAi0AFAAGAAgAAAAhANvh9svuAAAAhQEAABMAAAAAAAAA&#10;AAAAAAAAAAAAAFtDb250ZW50X1R5cGVzXS54bWxQSwECLQAUAAYACAAAACEAWvQsW78AAAAVAQAA&#10;CwAAAAAAAAAAAAAAAAAfAQAAX3JlbHMvLnJlbHNQSwECLQAUAAYACAAAACEAiUnhTMYAAADeAAAA&#10;DwAAAAAAAAAAAAAAAAAHAgAAZHJzL2Rvd25yZXYueG1sUEsFBgAAAAADAAMAtwAAAPoCAAAAAA==&#10;" filled="f" stroked="f">
                  <v:textbox inset="0,0,0,0">
                    <w:txbxContent>
                      <w:p w14:paraId="022A76C1" w14:textId="77777777" w:rsidR="00B32EF2" w:rsidRDefault="00000000">
                        <w:r>
                          <w:rPr>
                            <w:rFonts w:ascii="Arial" w:eastAsia="Arial" w:hAnsi="Arial" w:cs="Arial"/>
                            <w:sz w:val="18"/>
                          </w:rPr>
                          <w:t xml:space="preserve">cento, il presidente, dopo aver provveduto alla valutazione di almeno venti </w:t>
                        </w:r>
                      </w:p>
                    </w:txbxContent>
                  </v:textbox>
                </v:rect>
                <v:rect id="Rectangle 22708" o:spid="_x0000_s6623" style="position:absolute;left:-13171;top:550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nU+wwAAAN4AAAAPAAAAZHJzL2Rvd25yZXYueG1sRE/LisIw&#10;FN0L8w/hDsxO0+lCpRpFHMQuZuMLXF6aa1ttbkITbWe+3iwEl4fzni9704gHtb62rOB7lIAgLqyu&#10;uVRwPGyGUxA+IGtsLJOCP/KwXHwM5php2/GOHvtQihjCPkMFVQguk9IXFRn0I+uII3exrcEQYVtK&#10;3WIXw00j0yQZS4M1x4YKHa0rKm77u1Fw/mGXbzpZXP7X7veaT5vt/XhS6uuzX81ABOrDW/xy51pB&#10;mk6SuDfeiVdALp4AAAD//wMAUEsBAi0AFAAGAAgAAAAhANvh9svuAAAAhQEAABMAAAAAAAAAAAAA&#10;AAAAAAAAAFtDb250ZW50X1R5cGVzXS54bWxQSwECLQAUAAYACAAAACEAWvQsW78AAAAVAQAACwAA&#10;AAAAAAAAAAAAAAAfAQAAX3JlbHMvLnJlbHNQSwECLQAUAAYACAAAACEA+NZ1PsMAAADeAAAADwAA&#10;AAAAAAAAAAAAAAAHAgAAZHJzL2Rvd25yZXYueG1sUEsFBgAAAAADAAMAtwAAAPcCAAAAAA==&#10;" filled="f" stroked="f">
                  <v:textbox inset="0,0,0,0">
                    <w:txbxContent>
                      <w:p w14:paraId="3C0C0A25" w14:textId="77777777" w:rsidR="00B32EF2" w:rsidRDefault="00000000">
                        <w:r>
                          <w:rPr>
                            <w:rFonts w:ascii="Arial" w:eastAsia="Arial" w:hAnsi="Arial" w:cs="Arial"/>
                            <w:sz w:val="18"/>
                          </w:rPr>
                          <w:t xml:space="preserve">candidati in seduta plenaria con la partecipazione di tutti i componenti della </w:t>
                        </w:r>
                      </w:p>
                    </w:txbxContent>
                  </v:textbox>
                </v:rect>
                <v:rect id="Rectangle 22709" o:spid="_x0000_s6624" style="position:absolute;left:-13172;top:537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tClxwAAAN4AAAAPAAAAZHJzL2Rvd25yZXYueG1sRI9Ba8JA&#10;FITvBf/D8gRvdWMOrY2uIoo0By+1Ch4f2WcSzb5dsquJ/vpuodDjMDPfMPNlbxpxp9bXlhVMxgkI&#10;4sLqmksFh+/t6xSED8gaG8uk4EEelovByxwzbTv+ovs+lCJC2GeooArBZVL6oiKDfmwdcfTOtjUY&#10;omxLqVvsItw0Mk2SN2mw5rhQoaN1RcV1fzMKTht2+baTxfm5drtLPm0+b4ejUqNhv5qBCNSH//Bf&#10;O9cK0vQ9+YDfO/EKyMUPAAAA//8DAFBLAQItABQABgAIAAAAIQDb4fbL7gAAAIUBAAATAAAAAAAA&#10;AAAAAAAAAAAAAABbQ29udGVudF9UeXBlc10ueG1sUEsBAi0AFAAGAAgAAAAhAFr0LFu/AAAAFQEA&#10;AAsAAAAAAAAAAAAAAAAAHwEAAF9yZWxzLy5yZWxzUEsBAi0AFAAGAAgAAAAhAJea0KXHAAAA3gAA&#10;AA8AAAAAAAAAAAAAAAAABwIAAGRycy9kb3ducmV2LnhtbFBLBQYAAAAAAwADALcAAAD7AgAAAAA=&#10;" filled="f" stroked="f">
                  <v:textbox inset="0,0,0,0">
                    <w:txbxContent>
                      <w:p w14:paraId="2907B8EF" w14:textId="77777777" w:rsidR="00B32EF2" w:rsidRDefault="00000000">
                        <w:r>
                          <w:rPr>
                            <w:rFonts w:ascii="Arial" w:eastAsia="Arial" w:hAnsi="Arial" w:cs="Arial"/>
                            <w:sz w:val="18"/>
                          </w:rPr>
                          <w:t xml:space="preserve">commissione, forma per ogni seduta due sottocommissioni, a ciascuna delle </w:t>
                        </w:r>
                      </w:p>
                    </w:txbxContent>
                  </v:textbox>
                </v:rect>
                <v:rect id="Rectangle 22710" o:spid="_x0000_s6625" style="position:absolute;left:-13173;top:52566;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lxQAAAN4AAAAPAAAAZHJzL2Rvd25yZXYueG1sRI/LisIw&#10;FIb3A75DOIK7MbWLGalGEUWmi9l4A5eH5thWm5PQRFvn6c1iwOXPf+ObL3vTiAe1vrasYDJOQBAX&#10;VtdcKjgetp9TED4ga2wsk4IneVguBh9zzLTteEePfShFHGGfoYIqBJdJ6YuKDPqxdcTRu9jWYIiy&#10;LaVusYvjppFpknxJgzXHhwodrSsqbvu7UXDesMu3nSwuf2v3e82nzc/9eFJqNOxXMxCB+vAO/7dz&#10;rSBNvycRIOJEFJCLFwAAAP//AwBQSwECLQAUAAYACAAAACEA2+H2y+4AAACFAQAAEwAAAAAAAAAA&#10;AAAAAAAAAAAAW0NvbnRlbnRfVHlwZXNdLnhtbFBLAQItABQABgAIAAAAIQBa9CxbvwAAABUBAAAL&#10;AAAAAAAAAAAAAAAAAB8BAABfcmVscy8ucmVsc1BLAQItABQABgAIAAAAIQCDee/lxQAAAN4AAAAP&#10;AAAAAAAAAAAAAAAAAAcCAABkcnMvZG93bnJldi54bWxQSwUGAAAAAAMAAwC3AAAA+QIAAAAA&#10;" filled="f" stroked="f">
                  <v:textbox inset="0,0,0,0">
                    <w:txbxContent>
                      <w:p w14:paraId="671FC39E" w14:textId="77777777" w:rsidR="00B32EF2" w:rsidRDefault="00000000">
                        <w:r>
                          <w:rPr>
                            <w:rFonts w:ascii="Arial" w:eastAsia="Arial" w:hAnsi="Arial" w:cs="Arial"/>
                            <w:sz w:val="18"/>
                          </w:rPr>
                          <w:t xml:space="preserve">quali assegna, secondo criteri obiettivi, la metà dei candidati da esaminare. </w:t>
                        </w:r>
                      </w:p>
                    </w:txbxContent>
                  </v:textbox>
                </v:rect>
                <v:rect id="Rectangle 22711" o:spid="_x0000_s6626" style="position:absolute;left:-13170;top:51333;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Up+xwAAAN4AAAAPAAAAZHJzL2Rvd25yZXYueG1sRI9Pa8JA&#10;FMTvhX6H5RW81U1ysJK6SlHEHHqpf8DjI/tM0mbfLtnVpH56VxA8DjPzG2a2GEwrLtT5xrKCdJyA&#10;IC6tbrhSsN+t36cgfEDW2FomBf/kYTF/fZlhrm3PP3TZhkpECPscFdQhuFxKX9Zk0I+tI47eyXYG&#10;Q5RdJXWHfYSbVmZJMpEGG44LNTpa1lT+bc9GwXHFrlj3sjxdl+77t5i2m/P+oNTobfj6BBFoCM/w&#10;o11oBVn2kaZwvxOvgJzfAAAA//8DAFBLAQItABQABgAIAAAAIQDb4fbL7gAAAIUBAAATAAAAAAAA&#10;AAAAAAAAAAAAAABbQ29udGVudF9UeXBlc10ueG1sUEsBAi0AFAAGAAgAAAAhAFr0LFu/AAAAFQEA&#10;AAsAAAAAAAAAAAAAAAAAHwEAAF9yZWxzLy5yZWxzUEsBAi0AFAAGAAgAAAAhAOw1Sn7HAAAA3gAA&#10;AA8AAAAAAAAAAAAAAAAABwIAAGRycy9kb3ducmV2LnhtbFBLBQYAAAAAAwADALcAAAD7AgAAAAA=&#10;" filled="f" stroked="f">
                  <v:textbox inset="0,0,0,0">
                    <w:txbxContent>
                      <w:p w14:paraId="4E14FBC2" w14:textId="77777777" w:rsidR="00B32EF2" w:rsidRDefault="00000000">
                        <w:r>
                          <w:rPr>
                            <w:rFonts w:ascii="Arial" w:eastAsia="Arial" w:hAnsi="Arial" w:cs="Arial"/>
                            <w:sz w:val="18"/>
                          </w:rPr>
                          <w:t xml:space="preserve">Le sottocommissioni sono rispettivamente presiedute dal presidente o dal </w:t>
                        </w:r>
                      </w:p>
                    </w:txbxContent>
                  </v:textbox>
                </v:rect>
                <v:rect id="Rectangle 22712" o:spid="_x0000_s6627" style="position:absolute;left:-13172;top:500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9QJxgAAAN4AAAAPAAAAZHJzL2Rvd25yZXYueG1sRI9Ba8JA&#10;FITvgv9heYI33ZiDlegqoog5eKm10OMj+0yi2bdLdjWxv75bKPQ4zMw3zGrTm0Y8qfW1ZQWzaQKC&#10;uLC65lLB5eMwWYDwAVljY5kUvMjDZj0crDDTtuN3ep5DKSKEfYYKqhBcJqUvKjLop9YRR+9qW4Mh&#10;yraUusUuwk0j0ySZS4M1x4UKHe0qKu7nh1HwtWeXHzpZXL937nTLF83xcflUajzqt0sQgfrwH/5r&#10;51pBmr7NUvi9E6+AXP8AAAD//wMAUEsBAi0AFAAGAAgAAAAhANvh9svuAAAAhQEAABMAAAAAAAAA&#10;AAAAAAAAAAAAAFtDb250ZW50X1R5cGVzXS54bWxQSwECLQAUAAYACAAAACEAWvQsW78AAAAVAQAA&#10;CwAAAAAAAAAAAAAAAAAfAQAAX3JlbHMvLnJlbHNQSwECLQAUAAYACAAAACEAHOfUCcYAAADeAAAA&#10;DwAAAAAAAAAAAAAAAAAHAgAAZHJzL2Rvd25yZXYueG1sUEsFBgAAAAADAAMAtwAAAPoCAAAAAA==&#10;" filled="f" stroked="f">
                  <v:textbox inset="0,0,0,0">
                    <w:txbxContent>
                      <w:p w14:paraId="45236D14" w14:textId="77777777" w:rsidR="00B32EF2" w:rsidRDefault="00000000">
                        <w:r>
                          <w:rPr>
                            <w:rFonts w:ascii="Arial" w:eastAsia="Arial" w:hAnsi="Arial" w:cs="Arial"/>
                            <w:sz w:val="18"/>
                          </w:rPr>
                          <w:t xml:space="preserve">magistrato più anziano presenti, a loro volta sostituiti, in caso di assenza o </w:t>
                        </w:r>
                      </w:p>
                    </w:txbxContent>
                  </v:textbox>
                </v:rect>
                <v:rect id="Rectangle 22713" o:spid="_x0000_s6628" style="position:absolute;left:-12191;top:48866;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3GSxwAAAN4AAAAPAAAAZHJzL2Rvd25yZXYueG1sRI9Pa8JA&#10;FMTvgt9heYI33ZiCldRVRJHm0Ev9Az0+ss8kbfbtkl1N7Kd3CwWPw8z8hlmue9OIG7W+tqxgNk1A&#10;EBdW11wqOB33kwUIH5A1NpZJwZ08rFfDwRIzbTv+pNshlCJC2GeooArBZVL6oiKDfmodcfQutjUY&#10;omxLqVvsItw0Mk2SuTRYc1yo0NG2ouLncDUKvnbs8n0ni8vv1n1854vm/Xo6KzUe9Zs3EIH68Az/&#10;t3OtIE1fZy/wdydeAbl6AAAA//8DAFBLAQItABQABgAIAAAAIQDb4fbL7gAAAIUBAAATAAAAAAAA&#10;AAAAAAAAAAAAAABbQ29udGVudF9UeXBlc10ueG1sUEsBAi0AFAAGAAgAAAAhAFr0LFu/AAAAFQEA&#10;AAsAAAAAAAAAAAAAAAAAHwEAAF9yZWxzLy5yZWxzUEsBAi0AFAAGAAgAAAAhAHOrcZLHAAAA3gAA&#10;AA8AAAAAAAAAAAAAAAAABwIAAGRycy9kb3ducmV2LnhtbFBLBQYAAAAAAwADALcAAAD7AgAAAAA=&#10;" filled="f" stroked="f">
                  <v:textbox inset="0,0,0,0">
                    <w:txbxContent>
                      <w:p w14:paraId="0C8ED047" w14:textId="77777777" w:rsidR="00B32EF2" w:rsidRDefault="00000000">
                        <w:r>
                          <w:rPr>
                            <w:rFonts w:ascii="Arial" w:eastAsia="Arial" w:hAnsi="Arial" w:cs="Arial"/>
                            <w:sz w:val="18"/>
                          </w:rPr>
                          <w:t>impedimento, dai magistrati più anziani presenti, e assistite ciascuna da un se</w:t>
                        </w:r>
                      </w:p>
                    </w:txbxContent>
                  </v:textbox>
                </v:rect>
                <v:rect id="Rectangle 22714" o:spid="_x0000_s6629" style="position:absolute;left:192;top:488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unmxwAAAN4AAAAPAAAAZHJzL2Rvd25yZXYueG1sRI9Pa8JA&#10;FMTvgt9heYI33RiKldRVRJHm0Ev9Az0+ss8kbfbtkl1N7Kd3CwWPw8z8hlmue9OIG7W+tqxgNk1A&#10;EBdW11wqOB33kwUIH5A1NpZJwZ08rFfDwRIzbTv+pNshlCJC2GeooArBZVL6oiKDfmodcfQutjUY&#10;omxLqVvsItw0Mk2SuTRYc1yo0NG2ouLncDUKvnbs8n0ni8vv1n1854vm/Xo6KzUe9Zs3EIH68Az/&#10;t3OtIE1fZy/wdydeAbl6AAAA//8DAFBLAQItABQABgAIAAAAIQDb4fbL7gAAAIUBAAATAAAAAAAA&#10;AAAAAAAAAAAAAABbQ29udGVudF9UeXBlc10ueG1sUEsBAi0AFAAGAAgAAAAhAFr0LFu/AAAAFQEA&#10;AAsAAAAAAAAAAAAAAAAAHwEAAF9yZWxzLy5yZWxzUEsBAi0AFAAGAAgAAAAhAPxC6ebHAAAA3gAA&#10;AA8AAAAAAAAAAAAAAAAABwIAAGRycy9kb3ducmV2LnhtbFBLBQYAAAAAAwADALcAAAD7AgAAAAA=&#10;" filled="f" stroked="f">
                  <v:textbox inset="0,0,0,0">
                    <w:txbxContent>
                      <w:p w14:paraId="66E20014" w14:textId="77777777" w:rsidR="00B32EF2" w:rsidRDefault="00000000">
                        <w:r>
                          <w:rPr>
                            <w:rFonts w:ascii="Arial" w:eastAsia="Arial" w:hAnsi="Arial" w:cs="Arial"/>
                            <w:sz w:val="18"/>
                          </w:rPr>
                          <w:t>-</w:t>
                        </w:r>
                      </w:p>
                    </w:txbxContent>
                  </v:textbox>
                </v:rect>
                <v:rect id="Rectangle 22715" o:spid="_x0000_s6630" style="position:absolute;left:-13171;top:476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kx9xwAAAN4AAAAPAAAAZHJzL2Rvd25yZXYueG1sRI9Pa8JA&#10;FMTvgt9heYI33RioldRVRJHm0Ev9Az0+ss8kbfbtkl1N7Kd3CwWPw8z8hlmue9OIG7W+tqxgNk1A&#10;EBdW11wqOB33kwUIH5A1NpZJwZ08rFfDwRIzbTv+pNshlCJC2GeooArBZVL6oiKDfmodcfQutjUY&#10;omxLqVvsItw0Mk2SuTRYc1yo0NG2ouLncDUKvnbs8n0ni8vv1n1854vm/Xo6KzUe9Zs3EIH68Az/&#10;t3OtIE1fZy/wdydeAbl6AAAA//8DAFBLAQItABQABgAIAAAAIQDb4fbL7gAAAIUBAAATAAAAAAAA&#10;AAAAAAAAAAAAAABbQ29udGVudF9UeXBlc10ueG1sUEsBAi0AFAAGAAgAAAAhAFr0LFu/AAAAFQEA&#10;AAsAAAAAAAAAAAAAAAAAHwEAAF9yZWxzLy5yZWxzUEsBAi0AFAAGAAgAAAAhAJMOTH3HAAAA3gAA&#10;AA8AAAAAAAAAAAAAAAAABwIAAGRycy9kb3ducmV2LnhtbFBLBQYAAAAAAwADALcAAAD7AgAAAAA=&#10;" filled="f" stroked="f">
                  <v:textbox inset="0,0,0,0">
                    <w:txbxContent>
                      <w:p w14:paraId="6F4646C4" w14:textId="77777777" w:rsidR="00B32EF2" w:rsidRDefault="00000000">
                        <w:r>
                          <w:rPr>
                            <w:rFonts w:ascii="Arial" w:eastAsia="Arial" w:hAnsi="Arial" w:cs="Arial"/>
                            <w:sz w:val="18"/>
                          </w:rPr>
                          <w:t xml:space="preserve">gretario. La commissione delibera su ogni oggetto eccedente la competenza </w:t>
                        </w:r>
                      </w:p>
                    </w:txbxContent>
                  </v:textbox>
                </v:rect>
                <v:rect id="Rectangle 22716" o:spid="_x0000_s6631" style="position:absolute;left:-13171;top:46400;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NIKxgAAAN4AAAAPAAAAZHJzL2Rvd25yZXYueG1sRI9Ba8JA&#10;FITvgv9heYXedGMOKtFViiLNwYtWweMj+0zSZt8u2dXE/vquIPQ4zMw3zHLdm0bcqfW1ZQWTcQKC&#10;uLC65lLB6Ws3moPwAVljY5kUPMjDejUcLDHTtuMD3Y+hFBHCPkMFVQguk9IXFRn0Y+uIo3e1rcEQ&#10;ZVtK3WIX4aaRaZJMpcGa40KFjjYVFT/Hm1Fw2bLLd50srr8bt//O583n7XRW6v2t/1iACNSH//Cr&#10;nWsFaTqbTOF5J14BufoDAAD//wMAUEsBAi0AFAAGAAgAAAAhANvh9svuAAAAhQEAABMAAAAAAAAA&#10;AAAAAAAAAAAAAFtDb250ZW50X1R5cGVzXS54bWxQSwECLQAUAAYACAAAACEAWvQsW78AAAAVAQAA&#10;CwAAAAAAAAAAAAAAAAAfAQAAX3JlbHMvLnJlbHNQSwECLQAUAAYACAAAACEAY9zSCsYAAADeAAAA&#10;DwAAAAAAAAAAAAAAAAAHAgAAZHJzL2Rvd25yZXYueG1sUEsFBgAAAAADAAMAtwAAAPoCAAAAAA==&#10;" filled="f" stroked="f">
                  <v:textbox inset="0,0,0,0">
                    <w:txbxContent>
                      <w:p w14:paraId="3B9E75BD" w14:textId="77777777" w:rsidR="00B32EF2" w:rsidRDefault="00000000">
                        <w:r>
                          <w:rPr>
                            <w:rFonts w:ascii="Arial" w:eastAsia="Arial" w:hAnsi="Arial" w:cs="Arial"/>
                            <w:sz w:val="18"/>
                          </w:rPr>
                          <w:t xml:space="preserve">delle sottocommissioni. Per la valutazione degli elaborati scritti il presidente </w:t>
                        </w:r>
                      </w:p>
                    </w:txbxContent>
                  </v:textbox>
                </v:rect>
                <v:rect id="Rectangle 22717" o:spid="_x0000_s6632" style="position:absolute;left:-12207;top:45166;width:521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HeRxwAAAN4AAAAPAAAAZHJzL2Rvd25yZXYueG1sRI/NasMw&#10;EITvhbyD2EJvjRwfkuBEDiUhxIdemjqQ42Ktf1prJSwldvv0VaHQ4zAz3zDb3WR6cafBd5YVLOYJ&#10;COLK6o4bBeX78XkNwgdkjb1lUvBFHnb57GGLmbYjv9H9HBoRIewzVNCG4DIpfdWSQT+3jjh6tR0M&#10;hiiHRuoBxwg3vUyTZCkNdhwXWnS0b6n6PN+MguuBXXEcZVV/793rR7HuT7fyotTT4/SyARFoCv/h&#10;v3ahFaTparGC3zvxCsj8BwAA//8DAFBLAQItABQABgAIAAAAIQDb4fbL7gAAAIUBAAATAAAAAAAA&#10;AAAAAAAAAAAAAABbQ29udGVudF9UeXBlc10ueG1sUEsBAi0AFAAGAAgAAAAhAFr0LFu/AAAAFQEA&#10;AAsAAAAAAAAAAAAAAAAAHwEAAF9yZWxzLy5yZWxzUEsBAi0AFAAGAAgAAAAhAAyQd5HHAAAA3gAA&#10;AA8AAAAAAAAAAAAAAAAABwIAAGRycy9kb3ducmV2LnhtbFBLBQYAAAAAAwADALcAAAD7AgAAAAA=&#10;" filled="f" stroked="f">
                  <v:textbox inset="0,0,0,0">
                    <w:txbxContent>
                      <w:p w14:paraId="2B316724" w14:textId="77777777" w:rsidR="00B32EF2" w:rsidRDefault="00000000">
                        <w:r>
                          <w:rPr>
                            <w:rFonts w:ascii="Arial" w:eastAsia="Arial" w:hAnsi="Arial" w:cs="Arial"/>
                            <w:sz w:val="18"/>
                          </w:rPr>
                          <w:t>suddivide ciascuna sottocommissione in tre collegi, composti ciascuno di al</w:t>
                        </w:r>
                      </w:p>
                    </w:txbxContent>
                  </v:textbox>
                </v:rect>
                <v:rect id="Rectangle 22718" o:spid="_x0000_s6633" style="position:absolute;left:192;top:451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PjwwAAAN4AAAAPAAAAZHJzL2Rvd25yZXYueG1sRE/LisIw&#10;FN0P+A/hCu7G1C5mpBpFFJkuZuMLXF6aa1ttbkITbZ2vN4sBl4fzni9704gHtb62rGAyTkAQF1bX&#10;XCo4HrafUxA+IGtsLJOCJ3lYLgYfc8y07XhHj30oRQxhn6GCKgSXSemLigz6sXXEkbvY1mCIsC2l&#10;brGL4aaRaZJ8SYM1x4YKHa0rKm77u1Fw3rDLt50sLn9r93vNp83P/XhSajTsVzMQgfrwFv+7c60g&#10;Tb8ncW+8E6+AXLwAAAD//wMAUEsBAi0AFAAGAAgAAAAhANvh9svuAAAAhQEAABMAAAAAAAAAAAAA&#10;AAAAAAAAAFtDb250ZW50X1R5cGVzXS54bWxQSwECLQAUAAYACAAAACEAWvQsW78AAAAVAQAACwAA&#10;AAAAAAAAAAAAAAAfAQAAX3JlbHMvLnJlbHNQSwECLQAUAAYACAAAACEAfQ/j48MAAADeAAAADwAA&#10;AAAAAAAAAAAAAAAHAgAAZHJzL2Rvd25yZXYueG1sUEsFBgAAAAADAAMAtwAAAPcCAAAAAA==&#10;" filled="f" stroked="f">
                  <v:textbox inset="0,0,0,0">
                    <w:txbxContent>
                      <w:p w14:paraId="5F7DC933" w14:textId="77777777" w:rsidR="00B32EF2" w:rsidRDefault="00000000">
                        <w:r>
                          <w:rPr>
                            <w:rFonts w:ascii="Arial" w:eastAsia="Arial" w:hAnsi="Arial" w:cs="Arial"/>
                            <w:sz w:val="18"/>
                          </w:rPr>
                          <w:t>-</w:t>
                        </w:r>
                      </w:p>
                    </w:txbxContent>
                  </v:textbox>
                </v:rect>
                <v:rect id="Rectangle 22719" o:spid="_x0000_s6634" style="position:absolute;left:-13172;top:439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0Z4xwAAAN4AAAAPAAAAZHJzL2Rvd25yZXYueG1sRI9Pa8JA&#10;FMTvhX6H5Qm96cYcqqauIhZpDl7qH+jxkX0m0ezbJbua1E/vFoQeh5n5DTNf9qYRN2p9bVnBeJSA&#10;IC6srrlUcNhvhlMQPiBrbCyTgl/ysFy8vswx07bjb7rtQikihH2GCqoQXCalLyoy6EfWEUfvZFuD&#10;Icq2lLrFLsJNI9MkeZcGa44LFTpaV1Rcdlej4OeTXb7pZHG6r932nE+br+vhqNTboF99gAjUh//w&#10;s51rBWk6Gc/g7068AnLxAAAA//8DAFBLAQItABQABgAIAAAAIQDb4fbL7gAAAIUBAAATAAAAAAAA&#10;AAAAAAAAAAAAAABbQ29udGVudF9UeXBlc10ueG1sUEsBAi0AFAAGAAgAAAAhAFr0LFu/AAAAFQEA&#10;AAsAAAAAAAAAAAAAAAAAHwEAAF9yZWxzLy5yZWxzUEsBAi0AFAAGAAgAAAAhABJDRnjHAAAA3gAA&#10;AA8AAAAAAAAAAAAAAAAABwIAAGRycy9kb3ducmV2LnhtbFBLBQYAAAAAAwADALcAAAD7AgAAAAA=&#10;" filled="f" stroked="f">
                  <v:textbox inset="0,0,0,0">
                    <w:txbxContent>
                      <w:p w14:paraId="4D8D5A9C" w14:textId="77777777" w:rsidR="00B32EF2" w:rsidRDefault="00000000">
                        <w:r>
                          <w:rPr>
                            <w:rFonts w:ascii="Arial" w:eastAsia="Arial" w:hAnsi="Arial" w:cs="Arial"/>
                            <w:sz w:val="18"/>
                          </w:rPr>
                          <w:t xml:space="preserve">meno tre componenti, presieduti dal presidente o dal magistrato più anziano. </w:t>
                        </w:r>
                      </w:p>
                    </w:txbxContent>
                  </v:textbox>
                </v:rect>
                <v:rect id="Rectangle 22720" o:spid="_x0000_s6635" style="position:absolute;left:-13171;top:427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VYxAAAAN4AAAAPAAAAZHJzL2Rvd25yZXYueG1sRI/NisIw&#10;FIX3A75DuIK7MbWLUapRRJHpws2oA7O8NNe22tyEJtrq008WgsvD+eNbrHrTiDu1vrasYDJOQBAX&#10;VtdcKjgdd58zED4ga2wsk4IHeVgtBx8LzLTt+Ifuh1CKOMI+QwVVCC6T0hcVGfRj64ijd7atwRBl&#10;W0rdYhfHTSPTJPmSBmuODxU62lRUXA83o+Bvyy7fdbI4Pzduf8lnzfft9KvUaNiv5yAC9eEdfrVz&#10;rSBNp2kEiDgRBeTyHwAA//8DAFBLAQItABQABgAIAAAAIQDb4fbL7gAAAIUBAAATAAAAAAAAAAAA&#10;AAAAAAAAAABbQ29udGVudF9UeXBlc10ueG1sUEsBAi0AFAAGAAgAAAAhAFr0LFu/AAAAFQEAAAsA&#10;AAAAAAAAAAAAAAAAHwEAAF9yZWxzLy5yZWxzUEsBAi0AFAAGAAgAAAAhAE0VJVjEAAAA3gAAAA8A&#10;AAAAAAAAAAAAAAAABwIAAGRycy9kb3ducmV2LnhtbFBLBQYAAAAAAwADALcAAAD4AgAAAAA=&#10;" filled="f" stroked="f">
                  <v:textbox inset="0,0,0,0">
                    <w:txbxContent>
                      <w:p w14:paraId="3CD4B4F4" w14:textId="77777777" w:rsidR="00B32EF2" w:rsidRDefault="00000000">
                        <w:r>
                          <w:rPr>
                            <w:rFonts w:ascii="Arial" w:eastAsia="Arial" w:hAnsi="Arial" w:cs="Arial"/>
                            <w:sz w:val="18"/>
                          </w:rPr>
                          <w:t xml:space="preserve">In caso di parità di voti, prevale quello di chi presiede. Ciascun collegio della </w:t>
                        </w:r>
                      </w:p>
                    </w:txbxContent>
                  </v:textbox>
                </v:rect>
                <v:rect id="Rectangle 22721" o:spid="_x0000_s6636" style="position:absolute;left:-12237;top:41466;width:521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YDDxgAAAN4AAAAPAAAAZHJzL2Rvd25yZXYueG1sRI9Ba8JA&#10;FITvgv9heYI33ZiDlegqoog5eKm10OMj+0yi2bdLdjWxv75bKPQ4zMw3zGrTm0Y8qfW1ZQWzaQKC&#10;uLC65lLB5eMwWYDwAVljY5kUvMjDZj0crDDTtuN3ep5DKSKEfYYKqhBcJqUvKjLop9YRR+9qW4Mh&#10;yraUusUuwk0j0ySZS4M1x4UKHe0qKu7nh1HwtWeXHzpZXL937nTLF83xcflUajzqt0sQgfrwH/5r&#10;51pBmr6lM/i9E6+AXP8AAAD//wMAUEsBAi0AFAAGAAgAAAAhANvh9svuAAAAhQEAABMAAAAAAAAA&#10;AAAAAAAAAAAAAFtDb250ZW50X1R5cGVzXS54bWxQSwECLQAUAAYACAAAACEAWvQsW78AAAAVAQAA&#10;CwAAAAAAAAAAAAAAAAAfAQAAX3JlbHMvLnJlbHNQSwECLQAUAAYACAAAACEAIlmAw8YAAADeAAAA&#10;DwAAAAAAAAAAAAAAAAAHAgAAZHJzL2Rvd25yZXYueG1sUEsFBgAAAAADAAMAtwAAAPoCAAAAAA==&#10;" filled="f" stroked="f">
                  <v:textbox inset="0,0,0,0">
                    <w:txbxContent>
                      <w:p w14:paraId="6810693C" w14:textId="77777777" w:rsidR="00B32EF2" w:rsidRDefault="00000000">
                        <w:r>
                          <w:rPr>
                            <w:rFonts w:ascii="Arial" w:eastAsia="Arial" w:hAnsi="Arial" w:cs="Arial"/>
                            <w:sz w:val="18"/>
                          </w:rPr>
                          <w:t>medesima sottocommissione esamina gli elaborati di una delle materie ogget</w:t>
                        </w:r>
                      </w:p>
                    </w:txbxContent>
                  </v:textbox>
                </v:rect>
                <v:rect id="Rectangle 22722" o:spid="_x0000_s6637" style="position:absolute;left:192;top:414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x60xwAAAN4AAAAPAAAAZHJzL2Rvd25yZXYueG1sRI9PawIx&#10;FMTvQr9DeIXeNNscWlmNUizSPfRS/4DHx+a5u7p5CZvobvvpG0HwOMzMb5j5crCtuFIXGscaXicZ&#10;COLSmYYrDbvtejwFESKywdYxafilAMvF02iOuXE9/9B1EyuRIBxy1FDH6HMpQ1mTxTBxnjh5R9dZ&#10;jEl2lTQd9gluW6my7E1abDgt1OhpVVN53lyshsMn+2Ldy/L4t/Lfp2Lafl12e61fnoePGYhIQ3yE&#10;7+3CaFDqXSm43UlXQC7+AQAA//8DAFBLAQItABQABgAIAAAAIQDb4fbL7gAAAIUBAAATAAAAAAAA&#10;AAAAAAAAAAAAAABbQ29udGVudF9UeXBlc10ueG1sUEsBAi0AFAAGAAgAAAAhAFr0LFu/AAAAFQEA&#10;AAsAAAAAAAAAAAAAAAAAHwEAAF9yZWxzLy5yZWxzUEsBAi0AFAAGAAgAAAAhANKLHrTHAAAA3gAA&#10;AA8AAAAAAAAAAAAAAAAABwIAAGRycy9kb3ducmV2LnhtbFBLBQYAAAAAAwADALcAAAD7AgAAAAA=&#10;" filled="f" stroked="f">
                  <v:textbox inset="0,0,0,0">
                    <w:txbxContent>
                      <w:p w14:paraId="5D429E66" w14:textId="77777777" w:rsidR="00B32EF2" w:rsidRDefault="00000000">
                        <w:r>
                          <w:rPr>
                            <w:rFonts w:ascii="Arial" w:eastAsia="Arial" w:hAnsi="Arial" w:cs="Arial"/>
                            <w:sz w:val="18"/>
                          </w:rPr>
                          <w:t>-</w:t>
                        </w:r>
                      </w:p>
                    </w:txbxContent>
                  </v:textbox>
                </v:rect>
                <v:rect id="Rectangle 22723" o:spid="_x0000_s6638" style="position:absolute;left:8166;top:40233;width:317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7svxgAAAN4AAAAPAAAAZHJzL2Rvd25yZXYueG1sRI9Ba8JA&#10;FITvBf/D8gRvdWMKrURXEUWag5daBY+P7DOJZt8u2dVEf323UOhxmJlvmPmyN424U+trywom4wQE&#10;cWF1zaWCw/f2dQrCB2SNjWVS8CAPy8XgZY6Zth1/0X0fShEh7DNUUIXgMil9UZFBP7aOOHpn2xoM&#10;Ubal1C12EW4amSbJuzRYc1yo0NG6ouK6vxkFpw27fNvJ4vxcu90lnzaft8NRqdGwX81ABOrDf/iv&#10;nWsFafqRvsHvnXgF5OIHAAD//wMAUEsBAi0AFAAGAAgAAAAhANvh9svuAAAAhQEAABMAAAAAAAAA&#10;AAAAAAAAAAAAAFtDb250ZW50X1R5cGVzXS54bWxQSwECLQAUAAYACAAAACEAWvQsW78AAAAVAQAA&#10;CwAAAAAAAAAAAAAAAAAfAQAAX3JlbHMvLnJlbHNQSwECLQAUAAYACAAAACEAvce7L8YAAADeAAAA&#10;DwAAAAAAAAAAAAAAAAAHAgAAZHJzL2Rvd25yZXYueG1sUEsFBgAAAAADAAMAtwAAAPoCAAAAAA==&#10;" filled="f" stroked="f">
                  <v:textbox inset="0,0,0,0">
                    <w:txbxContent>
                      <w:p w14:paraId="6B9B4888" w14:textId="77777777" w:rsidR="00B32EF2" w:rsidRDefault="00000000">
                        <w:r>
                          <w:rPr>
                            <w:rFonts w:ascii="Arial" w:eastAsia="Arial" w:hAnsi="Arial" w:cs="Arial"/>
                            <w:sz w:val="18"/>
                          </w:rPr>
                          <w:t>to della prova relativamente ad ogni candidato.</w:t>
                        </w:r>
                      </w:p>
                    </w:txbxContent>
                  </v:textbox>
                </v:rect>
                <v:rect id="Rectangle 202305" o:spid="_x0000_s6639" style="position:absolute;left:-12865;top:39000;width:521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YU7yAAAAN8AAAAPAAAAZHJzL2Rvd25yZXYueG1sRI9BawIx&#10;FITvhf6H8Aq91aRbLLIaRSzSPfSiVfD42Dx3VzcvYRPdbX+9EQo9DjPzDTNbDLYVV+pC41jD60iB&#10;IC6dabjSsPtev0xAhIhssHVMGn4owGL++DDD3LieN3TdxkokCIccNdQx+lzKUNZkMYycJ07e0XUW&#10;Y5JdJU2HfYLbVmZKvUuLDaeFGj2tairP24vVcPhgX6x7WR5/V/7rVEzaz8tur/Xz07Ccgog0xP/w&#10;X7swGjKVvakx3P+kLyDnNwAAAP//AwBQSwECLQAUAAYACAAAACEA2+H2y+4AAACFAQAAEwAAAAAA&#10;AAAAAAAAAAAAAAAAW0NvbnRlbnRfVHlwZXNdLnhtbFBLAQItABQABgAIAAAAIQBa9CxbvwAAABUB&#10;AAALAAAAAAAAAAAAAAAAAB8BAABfcmVscy8ucmVsc1BLAQItABQABgAIAAAAIQAFjYU7yAAAAN8A&#10;AAAPAAAAAAAAAAAAAAAAAAcCAABkcnMvZG93bnJldi54bWxQSwUGAAAAAAMAAwC3AAAA/AIAAAAA&#10;" filled="f" stroked="f">
                  <v:textbox inset="0,0,0,0">
                    <w:txbxContent>
                      <w:p w14:paraId="440E73CC" w14:textId="77777777" w:rsidR="00B32EF2" w:rsidRDefault="00000000">
                        <w:r>
                          <w:rPr>
                            <w:rFonts w:ascii="Arial" w:eastAsia="Arial" w:hAnsi="Arial" w:cs="Arial"/>
                            <w:sz w:val="18"/>
                          </w:rPr>
                          <w:t>. Per i requisiti di ammissione, le procedure di concorso e i lavori della com</w:t>
                        </w:r>
                      </w:p>
                    </w:txbxContent>
                  </v:textbox>
                </v:rect>
                <v:rect id="Rectangle 202303" o:spid="_x0000_s6640" style="position:absolute;left:26341;top:39000;width:521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jUxwAAAN8AAAAPAAAAZHJzL2Rvd25yZXYueG1sRI9BawIx&#10;FITvhf6H8AreatIVimyNIhZxD71ULfT42Dx3t25ewia6W3+9EQSPw8x8w8wWg23FmbrQONbwNlYg&#10;iEtnGq407Hfr1ymIEJENto5Jwz8FWMyfn2aYG9fzN523sRIJwiFHDXWMPpcylDVZDGPniZN3cJ3F&#10;mGRXSdNhn+C2lZlS79Jiw2mhRk+rmsrj9mQ1/H6yL9a9LA+Xlf/6K6bt5rT/0Xr0Miw/QEQa4iN8&#10;bxdGQ6ayiZrA7U/6AnJ+BQAA//8DAFBLAQItABQABgAIAAAAIQDb4fbL7gAAAIUBAAATAAAAAAAA&#10;AAAAAAAAAAAAAABbQ29udGVudF9UeXBlc10ueG1sUEsBAi0AFAAGAAgAAAAhAFr0LFu/AAAAFQEA&#10;AAsAAAAAAAAAAAAAAAAAHwEAAF9yZWxzLy5yZWxzUEsBAi0AFAAGAAgAAAAhAOUouNTHAAAA3wAA&#10;AA8AAAAAAAAAAAAAAAAABwIAAGRycy9kb3ducmV2LnhtbFBLBQYAAAAAAwADALcAAAD7AgAAAAA=&#10;" filled="f" stroked="f">
                  <v:textbox inset="0,0,0,0">
                    <w:txbxContent>
                      <w:p w14:paraId="5406FB37" w14:textId="77777777" w:rsidR="00B32EF2" w:rsidRDefault="00000000">
                        <w:r>
                          <w:rPr>
                            <w:rFonts w:ascii="Arial" w:eastAsia="Arial" w:hAnsi="Arial" w:cs="Arial"/>
                            <w:sz w:val="18"/>
                          </w:rPr>
                          <w:t>8</w:t>
                        </w:r>
                      </w:p>
                    </w:txbxContent>
                  </v:textbox>
                </v:rect>
                <v:rect id="Rectangle 22725" o:spid="_x0000_s6641" style="position:absolute;left:192;top:390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obAxgAAAN4AAAAPAAAAZHJzL2Rvd25yZXYueG1sRI9Ba8JA&#10;FITvBf/D8gRvdWOgrURXEUWag5daBY+P7DOJZt8u2dVEf323UOhxmJlvmPmyN424U+trywom4wQE&#10;cWF1zaWCw/f2dQrCB2SNjWVS8CAPy8XgZY6Zth1/0X0fShEh7DNUUIXgMil9UZFBP7aOOHpn2xoM&#10;Ubal1C12EW4amSbJuzRYc1yo0NG6ouK6vxkFpw27fNvJ4vxcu90lnzaft8NRqdGwX81ABOrDf/iv&#10;nWsFafqRvsHvnXgF5OIHAAD//wMAUEsBAi0AFAAGAAgAAAAhANvh9svuAAAAhQEAABMAAAAAAAAA&#10;AAAAAAAAAAAAAFtDb250ZW50X1R5cGVzXS54bWxQSwECLQAUAAYACAAAACEAWvQsW78AAAAVAQAA&#10;CwAAAAAAAAAAAAAAAAAfAQAAX3JlbHMvLnJlbHNQSwECLQAUAAYACAAAACEAXWKGwMYAAADeAAAA&#10;DwAAAAAAAAAAAAAAAAAHAgAAZHJzL2Rvd25yZXYueG1sUEsFBgAAAAADAAMAtwAAAPoCAAAAAA==&#10;" filled="f" stroked="f">
                  <v:textbox inset="0,0,0,0">
                    <w:txbxContent>
                      <w:p w14:paraId="7976F30B" w14:textId="77777777" w:rsidR="00B32EF2" w:rsidRDefault="00000000">
                        <w:r>
                          <w:rPr>
                            <w:rFonts w:ascii="Arial" w:eastAsia="Arial" w:hAnsi="Arial" w:cs="Arial"/>
                            <w:sz w:val="18"/>
                          </w:rPr>
                          <w:t>-</w:t>
                        </w:r>
                      </w:p>
                    </w:txbxContent>
                  </v:textbox>
                </v:rect>
                <v:rect id="Rectangle 22726" o:spid="_x0000_s6642" style="position:absolute;left:-12209;top:37767;width:5212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Bi3xgAAAN4AAAAPAAAAZHJzL2Rvd25yZXYueG1sRI9Ba8JA&#10;FITvBf/D8gre6qY5WEldRRQxBy+1ETw+ss8kNft2ya4m+uvdQqHHYWa+YebLwbTiRp1vLCt4nyQg&#10;iEurG64UFN/btxkIH5A1tpZJwZ08LBejlzlm2vb8RbdDqESEsM9QQR2Cy6T0ZU0G/cQ64uidbWcw&#10;RNlVUnfYR7hpZZokU2mw4bhQo6N1TeXlcDUKTht2+baX5fmxdvuffNbursVRqfHrsPoEEWgI/+G/&#10;dq4VpOlHOoXfO/EKyMUTAAD//wMAUEsBAi0AFAAGAAgAAAAhANvh9svuAAAAhQEAABMAAAAAAAAA&#10;AAAAAAAAAAAAAFtDb250ZW50X1R5cGVzXS54bWxQSwECLQAUAAYACAAAACEAWvQsW78AAAAVAQAA&#10;CwAAAAAAAAAAAAAAAAAfAQAAX3JlbHMvLnJlbHNQSwECLQAUAAYACAAAACEArbAYt8YAAADeAAAA&#10;DwAAAAAAAAAAAAAAAAAHAgAAZHJzL2Rvd25yZXYueG1sUEsFBgAAAAADAAMAtwAAAPoCAAAAAA==&#10;" filled="f" stroked="f">
                  <v:textbox inset="0,0,0,0">
                    <w:txbxContent>
                      <w:p w14:paraId="184C957C" w14:textId="77777777" w:rsidR="00B32EF2" w:rsidRDefault="00000000">
                        <w:r>
                          <w:rPr>
                            <w:rFonts w:ascii="Arial" w:eastAsia="Arial" w:hAnsi="Arial" w:cs="Arial"/>
                            <w:sz w:val="18"/>
                          </w:rPr>
                          <w:t>missione e delle sottocommissioni se istituite si applicano, in quanto compa</w:t>
                        </w:r>
                      </w:p>
                    </w:txbxContent>
                  </v:textbox>
                </v:rect>
                <v:rect id="Rectangle 22727" o:spid="_x0000_s6643" style="position:absolute;left:192;top:37767;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0sxgAAAN4AAAAPAAAAZHJzL2Rvd25yZXYueG1sRI9Ba8JA&#10;FITvgv9heQVvumkOKqmriCLm0EttBI+P7DNJzb5dsquJ/fXdQqHHYWa+YVabwbTiQZ1vLCt4nSUg&#10;iEurG64UFJ+H6RKED8gaW8uk4EkeNuvxaIWZtj1/0OMUKhEh7DNUUIfgMil9WZNBP7OOOHpX2xkM&#10;UXaV1B32EW5amSbJXBpsOC7U6GhXU3k73Y2Cy55dfuhlef3eufevfNke78VZqcnLsH0DEWgI/+G/&#10;dq4VpOkiXcDvnXgF5PoHAAD//wMAUEsBAi0AFAAGAAgAAAAhANvh9svuAAAAhQEAABMAAAAAAAAA&#10;AAAAAAAAAAAAAFtDb250ZW50X1R5cGVzXS54bWxQSwECLQAUAAYACAAAACEAWvQsW78AAAAVAQAA&#10;CwAAAAAAAAAAAAAAAAAfAQAAX3JlbHMvLnJlbHNQSwECLQAUAAYACAAAACEAwvy9LMYAAADeAAAA&#10;DwAAAAAAAAAAAAAAAAAHAgAAZHJzL2Rvd25yZXYueG1sUEsFBgAAAAADAAMAtwAAAPoCAAAAAA==&#10;" filled="f" stroked="f">
                  <v:textbox inset="0,0,0,0">
                    <w:txbxContent>
                      <w:p w14:paraId="653015C1" w14:textId="77777777" w:rsidR="00B32EF2" w:rsidRDefault="00000000">
                        <w:r>
                          <w:rPr>
                            <w:rFonts w:ascii="Arial" w:eastAsia="Arial" w:hAnsi="Arial" w:cs="Arial"/>
                            <w:sz w:val="18"/>
                          </w:rPr>
                          <w:t>-</w:t>
                        </w:r>
                      </w:p>
                    </w:txbxContent>
                  </v:textbox>
                </v:rect>
                <v:rect id="Rectangle 22728" o:spid="_x0000_s6644" style="position:absolute;left:-13171;top:365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ylewwAAAN4AAAAPAAAAZHJzL2Rvd25yZXYueG1sRE9Ni8Iw&#10;EL0v+B/CCN7W1B5WqUYRRbYHL6su7HFoxrbaTEITbfXXbw6Cx8f7Xqx604g7tb62rGAyTkAQF1bX&#10;XCo4HXefMxA+IGtsLJOCB3lYLQcfC8y07fiH7odQihjCPkMFVQguk9IXFRn0Y+uII3e2rcEQYVtK&#10;3WIXw00j0yT5kgZrjg0VOtpUVFwPN6Pgb8su33WyOD83bn/JZ8337fSr1GjYr+cgAvXhLX65c60g&#10;Tadp3BvvxCsgl/8AAAD//wMAUEsBAi0AFAAGAAgAAAAhANvh9svuAAAAhQEAABMAAAAAAAAAAAAA&#10;AAAAAAAAAFtDb250ZW50X1R5cGVzXS54bWxQSwECLQAUAAYACAAAACEAWvQsW78AAAAVAQAACwAA&#10;AAAAAAAAAAAAAAAfAQAAX3JlbHMvLnJlbHNQSwECLQAUAAYACAAAACEAs2MpXsMAAADeAAAADwAA&#10;AAAAAAAAAAAAAAAHAgAAZHJzL2Rvd25yZXYueG1sUEsFBgAAAAADAAMAtwAAAPcCAAAAAA==&#10;" filled="f" stroked="f">
                  <v:textbox inset="0,0,0,0">
                    <w:txbxContent>
                      <w:p w14:paraId="4A254D14" w14:textId="77777777" w:rsidR="00B32EF2" w:rsidRDefault="00000000">
                        <w:r>
                          <w:rPr>
                            <w:rFonts w:ascii="Arial" w:eastAsia="Arial" w:hAnsi="Arial" w:cs="Arial"/>
                            <w:sz w:val="18"/>
                          </w:rPr>
                          <w:t xml:space="preserve">tibili e per quanto non espressamente previsto nel presente testo unico, le </w:t>
                        </w:r>
                      </w:p>
                    </w:txbxContent>
                  </v:textbox>
                </v:rect>
                <v:rect id="Rectangle 22729" o:spid="_x0000_s6645" style="position:absolute;left:-13171;top:353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4zFxwAAAN4AAAAPAAAAZHJzL2Rvd25yZXYueG1sRI9Ba8JA&#10;FITvBf/D8gRvdWMOrY2uIoo0By+1Ch4f2WcSzb5dsquJ/vpuodDjMDPfMPNlbxpxp9bXlhVMxgkI&#10;4sLqmksFh+/t6xSED8gaG8uk4EEelovByxwzbTv+ovs+lCJC2GeooArBZVL6oiKDfmwdcfTOtjUY&#10;omxLqVvsItw0Mk2SN2mw5rhQoaN1RcV1fzMKTht2+baTxfm5drtLPm0+b4ejUqNhv5qBCNSH//Bf&#10;O9cK0vQ9/YDfO/EKyMUPAAAA//8DAFBLAQItABQABgAIAAAAIQDb4fbL7gAAAIUBAAATAAAAAAAA&#10;AAAAAAAAAAAAAABbQ29udGVudF9UeXBlc10ueG1sUEsBAi0AFAAGAAgAAAAhAFr0LFu/AAAAFQEA&#10;AAsAAAAAAAAAAAAAAAAAHwEAAF9yZWxzLy5yZWxzUEsBAi0AFAAGAAgAAAAhANwvjMXHAAAA3gAA&#10;AA8AAAAAAAAAAAAAAAAABwIAAGRycy9kb3ducmV2LnhtbFBLBQYAAAAAAwADALcAAAD7AgAAAAA=&#10;" filled="f" stroked="f">
                  <v:textbox inset="0,0,0,0">
                    <w:txbxContent>
                      <w:p w14:paraId="7FE8BEE5" w14:textId="77777777" w:rsidR="00B32EF2" w:rsidRDefault="00000000">
                        <w:r>
                          <w:rPr>
                            <w:rFonts w:ascii="Arial" w:eastAsia="Arial" w:hAnsi="Arial" w:cs="Arial"/>
                            <w:sz w:val="18"/>
                          </w:rPr>
                          <w:t xml:space="preserve">disposizioni degli articoli 12, 13, 14, 15 e 16 del regio decreto 15 ottobre 1925, </w:t>
                        </w:r>
                      </w:p>
                    </w:txbxContent>
                  </v:textbox>
                </v:rect>
                <v:rect id="Rectangle 22730" o:spid="_x0000_s6646" style="position:absolute;left:3038;top:34067;width:368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LOFxQAAAN4AAAAPAAAAZHJzL2Rvd25yZXYueG1sRI/LasJA&#10;FIb3Bd9hOIK7OjGFVqKjiCLNwk29gMtD5phEM2eGzGiiT99ZFLr8+W9882VvGvGg1teWFUzGCQji&#10;wuqaSwXHw/Z9CsIHZI2NZVLwJA/LxeBtjpm2Hf/QYx9KEUfYZ6igCsFlUvqiIoN+bB1x9C62NRii&#10;bEupW+ziuGlkmiSf0mDN8aFCR+uKitv+bhScN+zybSeLy2vtdtd82nzfjyelRsN+NQMRqA//4b92&#10;rhWk6ddHBIg4EQXk4hcAAP//AwBQSwECLQAUAAYACAAAACEA2+H2y+4AAACFAQAAEwAAAAAAAAAA&#10;AAAAAAAAAAAAW0NvbnRlbnRfVHlwZXNdLnhtbFBLAQItABQABgAIAAAAIQBa9CxbvwAAABUBAAAL&#10;AAAAAAAAAAAAAAAAAB8BAABfcmVscy8ucmVsc1BLAQItABQABgAIAAAAIQDIzLOFxQAAAN4AAAAP&#10;AAAAAAAAAAAAAAAAAAcCAABkcnMvZG93bnJldi54bWxQSwUGAAAAAAMAAwC3AAAA+QIAAAAA&#10;" filled="f" stroked="f">
                  <v:textbox inset="0,0,0,0">
                    <w:txbxContent>
                      <w:p w14:paraId="061346E8" w14:textId="77777777" w:rsidR="00B32EF2" w:rsidRDefault="00000000">
                        <w:r>
                          <w:rPr>
                            <w:rFonts w:ascii="Arial" w:eastAsia="Arial" w:hAnsi="Arial" w:cs="Arial"/>
                            <w:sz w:val="18"/>
                          </w:rPr>
                          <w:t>n. 1860, e del decreto legislativo 5 aprile 2006, n. 160.</w:t>
                        </w:r>
                      </w:p>
                    </w:txbxContent>
                  </v:textbox>
                </v:rect>
                <v:rect id="Rectangle 202301" o:spid="_x0000_s6647" style="position:absolute;left:26110;top:328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oM4xwAAAN8AAAAPAAAAZHJzL2Rvd25yZXYueG1sRI9BawIx&#10;FITvQv9DeIXeNHELIqtRxCLdQy9aCz0+Ns/d1c1L2ER321/fCEKPw8x8wyzXg23FjbrQONYwnSgQ&#10;xKUzDVcajp+78RxEiMgGW8ek4YcCrFdPoyXmxvW8p9shViJBOOSooY7R51KGsiaLYeI8cfJOrrMY&#10;k+wqaTrsE9y2MlNqJi02nBZq9LStqbwcrlbD9xv7YtfL8vS79R/nYt6+X49fWr88D5sFiEhD/A8/&#10;2oXRkKnsVU3h/id9Abn6AwAA//8DAFBLAQItABQABgAIAAAAIQDb4fbL7gAAAIUBAAATAAAAAAAA&#10;AAAAAAAAAAAAAABbQ29udGVudF9UeXBlc10ueG1sUEsBAi0AFAAGAAgAAAAhAFr0LFu/AAAAFQEA&#10;AAsAAAAAAAAAAAAAAAAAHwEAAF9yZWxzLy5yZWxzUEsBAi0AFAAGAAgAAAAhAHq2gzjHAAAA3wAA&#10;AA8AAAAAAAAAAAAAAAAABwIAAGRycy9kb3ducmV2LnhtbFBLBQYAAAAAAwADALcAAAD7AgAAAAA=&#10;" filled="f" stroked="f">
                  <v:textbox inset="0,0,0,0">
                    <w:txbxContent>
                      <w:p w14:paraId="4157EFD9" w14:textId="77777777" w:rsidR="00B32EF2" w:rsidRDefault="00000000">
                        <w:r>
                          <w:rPr>
                            <w:rFonts w:ascii="Arial" w:eastAsia="Arial" w:hAnsi="Arial" w:cs="Arial"/>
                            <w:sz w:val="18"/>
                          </w:rPr>
                          <w:t>9</w:t>
                        </w:r>
                      </w:p>
                    </w:txbxContent>
                  </v:textbox>
                </v:rect>
                <v:rect id="Rectangle 202302" o:spid="_x0000_s6648" style="position:absolute;left:-13803;top:328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1PxwAAAN8AAAAPAAAAZHJzL2Rvd25yZXYueG1sRI9Ba8JA&#10;FITvQv/D8gq96W5TEEldpVikOXjRRujxkX0mabNvl+xqor/eLRR6HGbmG2a5Hm0nLtSH1rGG55kC&#10;QVw503KtofzcThcgQkQ22DkmDVcKsF49TJaYGzfwni6HWIsE4ZCjhiZGn0sZqoYshpnzxMk7ud5i&#10;TLKvpelxSHDbyUypubTYclpo0NOmoerncLYavt7ZF9tBVqfbxu++i0X3cS6PWj89jm+vICKN8T/8&#10;1y6MhkxlLyqD3z/pC8jVHQAA//8DAFBLAQItABQABgAIAAAAIQDb4fbL7gAAAIUBAAATAAAAAAAA&#10;AAAAAAAAAAAAAABbQ29udGVudF9UeXBlc10ueG1sUEsBAi0AFAAGAAgAAAAhAFr0LFu/AAAAFQEA&#10;AAsAAAAAAAAAAAAAAAAAHwEAAF9yZWxzLy5yZWxzUEsBAi0AFAAGAAgAAAAhAIpkHU/HAAAA3wAA&#10;AA8AAAAAAAAAAAAAAAAABwIAAGRycy9kb3ducmV2LnhtbFBLBQYAAAAAAwADALcAAAD7AgAAAAA=&#10;" filled="f" stroked="f">
                  <v:textbox inset="0,0,0,0">
                    <w:txbxContent>
                      <w:p w14:paraId="3EAF20B4" w14:textId="77777777" w:rsidR="00B32EF2" w:rsidRDefault="00000000">
                        <w:r>
                          <w:rPr>
                            <w:rFonts w:ascii="Arial" w:eastAsia="Arial" w:hAnsi="Arial" w:cs="Arial"/>
                            <w:sz w:val="18"/>
                          </w:rPr>
                          <w:t xml:space="preserve">. L’esonero dalle funzioni giudiziarie o giurisdizionali, deliberato dal Consiglio </w:t>
                        </w:r>
                      </w:p>
                    </w:txbxContent>
                  </v:textbox>
                </v:rect>
                <v:rect id="Rectangle 22732" o:spid="_x0000_s6649" style="position:absolute;left:-12205;top:31600;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ohpxgAAAN4AAAAPAAAAZHJzL2Rvd25yZXYueG1sRI9Ba8JA&#10;FITvBf/D8gRvdWMKrURXEUWag5daBY+P7DOJZt8u2dVEf323UOhxmJlvmPmyN424U+trywom4wQE&#10;cWF1zaWCw/f2dQrCB2SNjWVS8CAPy8XgZY6Zth1/0X0fShEh7DNUUIXgMil9UZFBP7aOOHpn2xoM&#10;Ubal1C12EW4amSbJuzRYc1yo0NG6ouK6vxkFpw27fNvJ4vxcu90lnzaft8NRqdGwX81ABOrDf/iv&#10;nWsFafrxlsLvnXgF5OIHAAD//wMAUEsBAi0AFAAGAAgAAAAhANvh9svuAAAAhQEAABMAAAAAAAAA&#10;AAAAAAAAAAAAAFtDb250ZW50X1R5cGVzXS54bWxQSwECLQAUAAYACAAAACEAWvQsW78AAAAVAQAA&#10;CwAAAAAAAAAAAAAAAAAfAQAAX3JlbHMvLnJlbHNQSwECLQAUAAYACAAAACEAV1KIacYAAADeAAAA&#10;DwAAAAAAAAAAAAAAAAAHAgAAZHJzL2Rvd25yZXYueG1sUEsFBgAAAAADAAMAtwAAAPoCAAAAAA==&#10;" filled="f" stroked="f">
                  <v:textbox inset="0,0,0,0">
                    <w:txbxContent>
                      <w:p w14:paraId="433ED8C5" w14:textId="77777777" w:rsidR="00B32EF2" w:rsidRDefault="00000000">
                        <w:r>
                          <w:rPr>
                            <w:rFonts w:ascii="Arial" w:eastAsia="Arial" w:hAnsi="Arial" w:cs="Arial"/>
                            <w:sz w:val="18"/>
                          </w:rPr>
                          <w:t>di presidenza della giustizia tributaria e dagli altri organi di autogoverno con</w:t>
                        </w:r>
                      </w:p>
                    </w:txbxContent>
                  </v:textbox>
                </v:rect>
                <v:rect id="Rectangle 22733" o:spid="_x0000_s6650" style="position:absolute;left:192;top:316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i3yxwAAAN4AAAAPAAAAZHJzL2Rvd25yZXYueG1sRI9Pa8JA&#10;FMTvBb/D8oTe6qYRrERXKRZpDl78Bx4f2WeSNvt2ya4m9dO7QsHjMDO/YebL3jTiSq2vLSt4HyUg&#10;iAuray4VHPbrtykIH5A1NpZJwR95WC4GL3PMtO14S9ddKEWEsM9QQRWCy6T0RUUG/cg64uidbWsw&#10;RNmWUrfYRbhpZJokE2mw5rhQoaNVRcXv7mIUnL7Y5etOFufbym1+8mnzfTkclXod9p8zEIH68Az/&#10;t3OtIE0/xmN43IlXQC7uAAAA//8DAFBLAQItABQABgAIAAAAIQDb4fbL7gAAAIUBAAATAAAAAAAA&#10;AAAAAAAAAAAAAABbQ29udGVudF9UeXBlc10ueG1sUEsBAi0AFAAGAAgAAAAhAFr0LFu/AAAAFQEA&#10;AAsAAAAAAAAAAAAAAAAAHwEAAF9yZWxzLy5yZWxzUEsBAi0AFAAGAAgAAAAhADgeLfLHAAAA3gAA&#10;AA8AAAAAAAAAAAAAAAAABwIAAGRycy9kb3ducmV2LnhtbFBLBQYAAAAAAwADALcAAAD7AgAAAAA=&#10;" filled="f" stroked="f">
                  <v:textbox inset="0,0,0,0">
                    <w:txbxContent>
                      <w:p w14:paraId="1E7B962B" w14:textId="77777777" w:rsidR="00B32EF2" w:rsidRDefault="00000000">
                        <w:r>
                          <w:rPr>
                            <w:rFonts w:ascii="Arial" w:eastAsia="Arial" w:hAnsi="Arial" w:cs="Arial"/>
                            <w:sz w:val="18"/>
                          </w:rPr>
                          <w:t>-</w:t>
                        </w:r>
                      </w:p>
                    </w:txbxContent>
                  </v:textbox>
                </v:rect>
                <v:rect id="Rectangle 22734" o:spid="_x0000_s6651" style="position:absolute;left:-12205;top:30367;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7WGxwAAAN4AAAAPAAAAZHJzL2Rvd25yZXYueG1sRI9Ba8JA&#10;FITvgv9heUJvumkqraSuIoo0h160KfT4yD6TtNm3S3Y1qb++KxQ8DjPzDbNcD6YVF+p8Y1nB4ywB&#10;QVxa3XCloPjYTxcgfEDW2FomBb/kYb0aj5aYadvzgS7HUIkIYZ+hgjoEl0npy5oM+pl1xNE72c5g&#10;iLKrpO6wj3DTyjRJnqXBhuNCjY62NZU/x7NR8LVjl+97WZ6uW/f+nS/at3PxqdTDZNi8ggg0hHv4&#10;v51rBWn68jSH2514BeTqDwAA//8DAFBLAQItABQABgAIAAAAIQDb4fbL7gAAAIUBAAATAAAAAAAA&#10;AAAAAAAAAAAAAABbQ29udGVudF9UeXBlc10ueG1sUEsBAi0AFAAGAAgAAAAhAFr0LFu/AAAAFQEA&#10;AAsAAAAAAAAAAAAAAAAAHwEAAF9yZWxzLy5yZWxzUEsBAi0AFAAGAAgAAAAhALf3tYbHAAAA3gAA&#10;AA8AAAAAAAAAAAAAAAAABwIAAGRycy9kb3ducmV2LnhtbFBLBQYAAAAAAwADALcAAAD7AgAAAAA=&#10;" filled="f" stroked="f">
                  <v:textbox inset="0,0,0,0">
                    <w:txbxContent>
                      <w:p w14:paraId="63CA73E4" w14:textId="77777777" w:rsidR="00B32EF2" w:rsidRDefault="00000000">
                        <w:r>
                          <w:rPr>
                            <w:rFonts w:ascii="Arial" w:eastAsia="Arial" w:hAnsi="Arial" w:cs="Arial"/>
                            <w:sz w:val="18"/>
                          </w:rPr>
                          <w:t>testualmente alla nomina a componente della commissione, ha effetto dall’in</w:t>
                        </w:r>
                      </w:p>
                    </w:txbxContent>
                  </v:textbox>
                </v:rect>
                <v:rect id="Rectangle 22735" o:spid="_x0000_s6652" style="position:absolute;left:192;top:303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xAdxwAAAN4AAAAPAAAAZHJzL2Rvd25yZXYueG1sRI9Ba8JA&#10;FITvgv9heUJvummKraSuIoo0h160KfT4yD6TtNm3S3Y1qb++KxQ8DjPzDbNcD6YVF+p8Y1nB4ywB&#10;QVxa3XCloPjYTxcgfEDW2FomBb/kYb0aj5aYadvzgS7HUIkIYZ+hgjoEl0npy5oM+pl1xNE72c5g&#10;iLKrpO6wj3DTyjRJnqXBhuNCjY62NZU/x7NR8LVjl+97WZ6uW/f+nS/at3PxqdTDZNi8ggg0hHv4&#10;v51rBWn68jSH2514BeTqDwAA//8DAFBLAQItABQABgAIAAAAIQDb4fbL7gAAAIUBAAATAAAAAAAA&#10;AAAAAAAAAAAAAABbQ29udGVudF9UeXBlc10ueG1sUEsBAi0AFAAGAAgAAAAhAFr0LFu/AAAAFQEA&#10;AAsAAAAAAAAAAAAAAAAAHwEAAF9yZWxzLy5yZWxzUEsBAi0AFAAGAAgAAAAhANi7EB3HAAAA3gAA&#10;AA8AAAAAAAAAAAAAAAAABwIAAGRycy9kb3ducmV2LnhtbFBLBQYAAAAAAwADALcAAAD7AgAAAAA=&#10;" filled="f" stroked="f">
                  <v:textbox inset="0,0,0,0">
                    <w:txbxContent>
                      <w:p w14:paraId="18EC9467" w14:textId="77777777" w:rsidR="00B32EF2" w:rsidRDefault="00000000">
                        <w:r>
                          <w:rPr>
                            <w:rFonts w:ascii="Arial" w:eastAsia="Arial" w:hAnsi="Arial" w:cs="Arial"/>
                            <w:sz w:val="18"/>
                          </w:rPr>
                          <w:t>-</w:t>
                        </w:r>
                      </w:p>
                    </w:txbxContent>
                  </v:textbox>
                </v:rect>
                <v:rect id="Rectangle 22736" o:spid="_x0000_s6653" style="position:absolute;left:-13171;top:291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5qxwAAAN4AAAAPAAAAZHJzL2Rvd25yZXYueG1sRI9Pa8JA&#10;FMTvgt9heYI33TSClegqxSLNoRf/gcdH9pmkzb5dsqtJ++m7QsHjMDO/YVab3jTiTq2vLSt4mSYg&#10;iAuray4VnI67yQKED8gaG8uk4Ic8bNbDwQozbTve0/0QShEh7DNUUIXgMil9UZFBP7WOOHpX2xoM&#10;Ubal1C12EW4amSbJXBqsOS5U6GhbUfF9uBkFl3d2+a6TxfV36z6/8kXzcTudlRqP+rcliEB9eIb/&#10;27lWkKavszk87sQrINd/AAAA//8DAFBLAQItABQABgAIAAAAIQDb4fbL7gAAAIUBAAATAAAAAAAA&#10;AAAAAAAAAAAAAABbQ29udGVudF9UeXBlc10ueG1sUEsBAi0AFAAGAAgAAAAhAFr0LFu/AAAAFQEA&#10;AAsAAAAAAAAAAAAAAAAAHwEAAF9yZWxzLy5yZWxzUEsBAi0AFAAGAAgAAAAhAChpjmrHAAAA3gAA&#10;AA8AAAAAAAAAAAAAAAAABwIAAGRycy9kb3ducmV2LnhtbFBLBQYAAAAAAwADALcAAAD7AgAAAAA=&#10;" filled="f" stroked="f">
                  <v:textbox inset="0,0,0,0">
                    <w:txbxContent>
                      <w:p w14:paraId="47721CA2" w14:textId="77777777" w:rsidR="00B32EF2" w:rsidRDefault="00000000">
                        <w:r>
                          <w:rPr>
                            <w:rFonts w:ascii="Arial" w:eastAsia="Arial" w:hAnsi="Arial" w:cs="Arial"/>
                            <w:sz w:val="18"/>
                          </w:rPr>
                          <w:t xml:space="preserve">sediamento del magistrato sino alla formazione della graduatoria finale dei </w:t>
                        </w:r>
                      </w:p>
                    </w:txbxContent>
                  </v:textbox>
                </v:rect>
                <v:rect id="Rectangle 22737" o:spid="_x0000_s6654" style="position:absolute;left:33314;top:27900;width:66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SvxxwAAAN4AAAAPAAAAZHJzL2Rvd25yZXYueG1sRI9Pa8JA&#10;FMTvgt9heYI33TRClegqxSLNoZf6Bzw+ss8kbfbtkl1N2k/fFQSPw8z8hlltetOIG7W+tqzgZZqA&#10;IC6srrlUcDzsJgsQPiBrbCyTgl/ysFkPByvMtO34i277UIoIYZ+hgioEl0npi4oM+ql1xNG72NZg&#10;iLItpW6xi3DTyDRJXqXBmuNChY62FRU/+6tRcH5nl+86WVz+tu7zO180H9fjSanxqH9bggjUh2f4&#10;0c61gjSdz+ZwvxOvgFz/AwAA//8DAFBLAQItABQABgAIAAAAIQDb4fbL7gAAAIUBAAATAAAAAAAA&#10;AAAAAAAAAAAAAABbQ29udGVudF9UeXBlc10ueG1sUEsBAi0AFAAGAAgAAAAhAFr0LFu/AAAAFQEA&#10;AAsAAAAAAAAAAAAAAAAAHwEAAF9yZWxzLy5yZWxzUEsBAi0AFAAGAAgAAAAhAEclK/HHAAAA3gAA&#10;AA8AAAAAAAAAAAAAAAAABwIAAGRycy9kb3ducmV2LnhtbFBLBQYAAAAAAwADALcAAAD7AgAAAAA=&#10;" filled="f" stroked="f">
                  <v:textbox inset="0,0,0,0">
                    <w:txbxContent>
                      <w:p w14:paraId="344C239F" w14:textId="77777777" w:rsidR="00B32EF2" w:rsidRDefault="00000000">
                        <w:r>
                          <w:rPr>
                            <w:rFonts w:ascii="Arial" w:eastAsia="Arial" w:hAnsi="Arial" w:cs="Arial"/>
                            <w:sz w:val="18"/>
                          </w:rPr>
                          <w:t>candidati.</w:t>
                        </w:r>
                      </w:p>
                    </w:txbxContent>
                  </v:textbox>
                </v:rect>
                <v:rect id="Rectangle 202300" o:spid="_x0000_s6655" style="position:absolute;left:-14414;top:266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ajxgAAAN8AAAAPAAAAZHJzL2Rvd25yZXYueG1sRI9Pa8Iw&#10;GMbvA79DeAVvM7EDkc4oQ5H14GXqYMeX5rXt1rwJTbTVT78cBI8Pzz9+y/VgW3GlLjSONcymCgRx&#10;6UzDlYbTcfe6ABEissHWMWm4UYD1avSyxNy4nr/oeoiVSCMcctRQx+hzKUNZk8UwdZ44eWfXWYxJ&#10;dpU0HfZp3LYyU2ouLTacHmr0tKmp/DtcrIafLfti18vyfN/4/W+xaD8vp2+tJ+Ph4x1EpCE+w492&#10;YTRkKntTiSDxJBaQq38AAAD//wMAUEsBAi0AFAAGAAgAAAAhANvh9svuAAAAhQEAABMAAAAAAAAA&#10;AAAAAAAAAAAAAFtDb250ZW50X1R5cGVzXS54bWxQSwECLQAUAAYACAAAACEAWvQsW78AAAAVAQAA&#10;CwAAAAAAAAAAAAAAAAAfAQAAX3JlbHMvLnJlbHNQSwECLQAUAAYACAAAACEAFfomo8YAAADfAAAA&#10;DwAAAAAAAAAAAAAAAAAHAgAAZHJzL2Rvd25yZXYueG1sUEsFBgAAAAADAAMAtwAAAPoCAAAAAA==&#10;" filled="f" stroked="f">
                  <v:textbox inset="0,0,0,0">
                    <w:txbxContent>
                      <w:p w14:paraId="4BB1FA65" w14:textId="77777777" w:rsidR="00B32EF2" w:rsidRDefault="00000000">
                        <w:r>
                          <w:rPr>
                            <w:rFonts w:ascii="Arial" w:eastAsia="Arial" w:hAnsi="Arial" w:cs="Arial"/>
                            <w:sz w:val="18"/>
                          </w:rPr>
                          <w:t xml:space="preserve">. Le attività di segreteria della commissione e delle sottocommissioni sono </w:t>
                        </w:r>
                      </w:p>
                    </w:txbxContent>
                  </v:textbox>
                </v:rect>
                <v:rect id="Rectangle 202299" o:spid="_x0000_s6656" style="position:absolute;left:25501;top:266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xUkxwAAAN8AAAAPAAAAZHJzL2Rvd25yZXYueG1sRI9Ba8JA&#10;FITvBf/D8gRvdWMORaOriCLNoRethR4f2WcSzb5dsquJ/fWuIPQ4zMw3zGLVm0bcqPW1ZQWTcQKC&#10;uLC65lLB8Xv3PgXhA7LGxjIpuJOH1XLwtsBM2473dDuEUkQI+wwVVCG4TEpfVGTQj60jjt7JtgZD&#10;lG0pdYtdhJtGpknyIQ3WHBcqdLSpqLgcrkbB75ZdvutkcfrbuK9zPm0+r8cfpUbDfj0HEagP/+FX&#10;O9cK0iRNZzN4/olfQC4fAAAA//8DAFBLAQItABQABgAIAAAAIQDb4fbL7gAAAIUBAAATAAAAAAAA&#10;AAAAAAAAAAAAAABbQ29udGVudF9UeXBlc10ueG1sUEsBAi0AFAAGAAgAAAAhAFr0LFu/AAAAFQEA&#10;AAsAAAAAAAAAAAAAAAAAHwEAAF9yZWxzLy5yZWxzUEsBAi0AFAAGAAgAAAAhABorFSTHAAAA3wAA&#10;AA8AAAAAAAAAAAAAAAAABwIAAGRycy9kb3ducmV2LnhtbFBLBQYAAAAAAwADALcAAAD7AgAAAAA=&#10;" filled="f" stroked="f">
                  <v:textbox inset="0,0,0,0">
                    <w:txbxContent>
                      <w:p w14:paraId="73E6A163" w14:textId="77777777" w:rsidR="00B32EF2" w:rsidRDefault="00000000">
                        <w:r>
                          <w:rPr>
                            <w:rFonts w:ascii="Arial" w:eastAsia="Arial" w:hAnsi="Arial" w:cs="Arial"/>
                            <w:sz w:val="18"/>
                          </w:rPr>
                          <w:t>10</w:t>
                        </w:r>
                      </w:p>
                    </w:txbxContent>
                  </v:textbox>
                </v:rect>
                <v:rect id="Rectangle 22739" o:spid="_x0000_s6657" style="position:absolute;left:-13171;top:25434;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hoYxwAAAN4AAAAPAAAAZHJzL2Rvd25yZXYueG1sRI9Ba8JA&#10;FITvgv9heUJvumkKNk1dRRRpDr1oLfT4yD6TtNm3S3Y1qb++KxQ8DjPzDbNYDaYVF+p8Y1nB4ywB&#10;QVxa3XCl4Pixm2YgfEDW2FomBb/kYbUcjxaYa9vzni6HUIkIYZ+jgjoEl0vpy5oM+pl1xNE72c5g&#10;iLKrpO6wj3DTyjRJ5tJgw3GhRkebmsqfw9ko+NqyK3a9LE/XjXv/LrL27Xz8VOphMqxfQQQawj38&#10;3y60gjR9fnqB2514BeTyDwAA//8DAFBLAQItABQABgAIAAAAIQDb4fbL7gAAAIUBAAATAAAAAAAA&#10;AAAAAAAAAAAAAABbQ29udGVudF9UeXBlc10ueG1sUEsBAi0AFAAGAAgAAAAhAFr0LFu/AAAAFQEA&#10;AAsAAAAAAAAAAAAAAAAAHwEAAF9yZWxzLy5yZWxzUEsBAi0AFAAGAAgAAAAhAFn2GhjHAAAA3gAA&#10;AA8AAAAAAAAAAAAAAAAABwIAAGRycy9kb3ducmV2LnhtbFBLBQYAAAAAAwADALcAAAD7AgAAAAA=&#10;" filled="f" stroked="f">
                  <v:textbox inset="0,0,0,0">
                    <w:txbxContent>
                      <w:p w14:paraId="7AF39E35" w14:textId="77777777" w:rsidR="00B32EF2" w:rsidRDefault="00000000">
                        <w:r>
                          <w:rPr>
                            <w:rFonts w:ascii="Arial" w:eastAsia="Arial" w:hAnsi="Arial" w:cs="Arial"/>
                            <w:sz w:val="18"/>
                          </w:rPr>
                          <w:t xml:space="preserve">esercitate da personale amministrativo dell’Area funzionari in servizio presso </w:t>
                        </w:r>
                      </w:p>
                    </w:txbxContent>
                  </v:textbox>
                </v:rect>
                <v:rect id="Rectangle 22740" o:spid="_x0000_s6658" style="position:absolute;left:-13171;top:242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sD4xQAAAN4AAAAPAAAAZHJzL2Rvd25yZXYueG1sRI/LasJA&#10;FIb3Bd9hOIK7OjGUVqKjiCLNwk29gMtD5phEM2eGzGiiT99ZFLr8+W9882VvGvGg1teWFUzGCQji&#10;wuqaSwXHw/Z9CsIHZI2NZVLwJA/LxeBtjpm2Hf/QYx9KEUfYZ6igCsFlUvqiIoN+bB1x9C62NRii&#10;bEupW+ziuGlkmiSf0mDN8aFCR+uKitv+bhScN+zybSeLy2vtdtd82nzfjyelRsN+NQMRqA//4b92&#10;rhWk6ddHBIg4EQXk4hcAAP//AwBQSwECLQAUAAYACAAAACEA2+H2y+4AAACFAQAAEwAAAAAAAAAA&#10;AAAAAAAAAAAAW0NvbnRlbnRfVHlwZXNdLnhtbFBLAQItABQABgAIAAAAIQBa9CxbvwAAABUBAAAL&#10;AAAAAAAAAAAAAAAAAB8BAABfcmVscy8ucmVsc1BLAQItABQABgAIAAAAIQCQysD4xQAAAN4AAAAP&#10;AAAAAAAAAAAAAAAAAAcCAABkcnMvZG93bnJldi54bWxQSwUGAAAAAAMAAwC3AAAA+QIAAAAA&#10;" filled="f" stroked="f">
                  <v:textbox inset="0,0,0,0">
                    <w:txbxContent>
                      <w:p w14:paraId="54DA3056" w14:textId="77777777" w:rsidR="00B32EF2" w:rsidRDefault="00000000">
                        <w:r>
                          <w:rPr>
                            <w:rFonts w:ascii="Arial" w:eastAsia="Arial" w:hAnsi="Arial" w:cs="Arial"/>
                            <w:sz w:val="18"/>
                          </w:rPr>
                          <w:t xml:space="preserve">il Ministero dell’economia e delle finanze, come definita dal contratto collettivo </w:t>
                        </w:r>
                      </w:p>
                    </w:txbxContent>
                  </v:textbox>
                </v:rect>
                <v:rect id="Rectangle 22741" o:spid="_x0000_s6659" style="position:absolute;left:-12186;top:22967;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VjxwAAAN4AAAAPAAAAZHJzL2Rvd25yZXYueG1sRI9Pa8JA&#10;FMTvgt9heYI33RiKldRVRJHm0Ev9Az0+ss8kbfbtkl1N7Kd3CwWPw8z8hlmue9OIG7W+tqxgNk1A&#10;EBdW11wqOB33kwUIH5A1NpZJwZ08rFfDwRIzbTv+pNshlCJC2GeooArBZVL6oiKDfmodcfQutjUY&#10;omxLqVvsItw0Mk2SuTRYc1yo0NG2ouLncDUKvnbs8n0ni8vv1n1854vm/Xo6KzUe9Zs3EIH68Az/&#10;t3OtIE1fX2bwdydeAbl6AAAA//8DAFBLAQItABQABgAIAAAAIQDb4fbL7gAAAIUBAAATAAAAAAAA&#10;AAAAAAAAAAAAAABbQ29udGVudF9UeXBlc10ueG1sUEsBAi0AFAAGAAgAAAAhAFr0LFu/AAAAFQEA&#10;AAsAAAAAAAAAAAAAAAAAHwEAAF9yZWxzLy5yZWxzUEsBAi0AFAAGAAgAAAAhAP+GZWPHAAAA3gAA&#10;AA8AAAAAAAAAAAAAAAAABwIAAGRycy9kb3ducmV2LnhtbFBLBQYAAAAAAwADALcAAAD7AgAAAAA=&#10;" filled="f" stroked="f">
                  <v:textbox inset="0,0,0,0">
                    <w:txbxContent>
                      <w:p w14:paraId="4ABB8A5A" w14:textId="77777777" w:rsidR="00B32EF2" w:rsidRDefault="00000000">
                        <w:r>
                          <w:rPr>
                            <w:rFonts w:ascii="Arial" w:eastAsia="Arial" w:hAnsi="Arial" w:cs="Arial"/>
                            <w:sz w:val="18"/>
                          </w:rPr>
                          <w:t>nazionale di lavoro del comparto Funzioni centrali, e sono coordinate dal tito</w:t>
                        </w:r>
                      </w:p>
                    </w:txbxContent>
                  </v:textbox>
                </v:rect>
                <v:rect id="Rectangle 22742" o:spid="_x0000_s6660" style="position:absolute;left:192;top:229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sUxgAAAN4AAAAPAAAAZHJzL2Rvd25yZXYueG1sRI9Ba8JA&#10;FITvBf/D8gRvdWMorURXEUWag5daBY+P7DOJZt8u2dVEf323UOhxmJlvmPmyN424U+trywom4wQE&#10;cWF1zaWCw/f2dQrCB2SNjWVS8CAPy8XgZY6Zth1/0X0fShEh7DNUUIXgMil9UZFBP7aOOHpn2xoM&#10;Ubal1C12EW4amSbJuzRYc1yo0NG6ouK6vxkFpw27fNvJ4vxcu90lnzaft8NRqdGwX81ABOrDf/iv&#10;nWsFafrxlsLvnXgF5OIHAAD//wMAUEsBAi0AFAAGAAgAAAAhANvh9svuAAAAhQEAABMAAAAAAAAA&#10;AAAAAAAAAAAAAFtDb250ZW50X1R5cGVzXS54bWxQSwECLQAUAAYACAAAACEAWvQsW78AAAAVAQAA&#10;CwAAAAAAAAAAAAAAAAAfAQAAX3JlbHMvLnJlbHNQSwECLQAUAAYACAAAACEAD1T7FMYAAADeAAAA&#10;DwAAAAAAAAAAAAAAAAAHAgAAZHJzL2Rvd25yZXYueG1sUEsFBgAAAAADAAMAtwAAAPoCAAAAAA==&#10;" filled="f" stroked="f">
                  <v:textbox inset="0,0,0,0">
                    <w:txbxContent>
                      <w:p w14:paraId="74DCEE56" w14:textId="77777777" w:rsidR="00B32EF2" w:rsidRDefault="00000000">
                        <w:r>
                          <w:rPr>
                            <w:rFonts w:ascii="Arial" w:eastAsia="Arial" w:hAnsi="Arial" w:cs="Arial"/>
                            <w:sz w:val="18"/>
                          </w:rPr>
                          <w:t>-</w:t>
                        </w:r>
                      </w:p>
                    </w:txbxContent>
                  </v:textbox>
                </v:rect>
                <v:rect id="Rectangle 22743" o:spid="_x0000_s6661" style="position:absolute;left:-12204;top:21734;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F6PxwAAAN4AAAAPAAAAZHJzL2Rvd25yZXYueG1sRI9Ba8JA&#10;FITvgv9heUJvumkqraSuIoo0h160KfT4yD6TtNm3S3Y1qb++KxQ8DjPzDbNcD6YVF+p8Y1nB4ywB&#10;QVxa3XCloPjYTxcgfEDW2FomBb/kYb0aj5aYadvzgS7HUIkIYZ+hgjoEl0npy5oM+pl1xNE72c5g&#10;iLKrpO6wj3DTyjRJnqXBhuNCjY62NZU/x7NR8LVjl+97WZ6uW/f+nS/at3PxqdTDZNi8ggg0hHv4&#10;v51rBWn6Mn+C2514BeTqDwAA//8DAFBLAQItABQABgAIAAAAIQDb4fbL7gAAAIUBAAATAAAAAAAA&#10;AAAAAAAAAAAAAABbQ29udGVudF9UeXBlc10ueG1sUEsBAi0AFAAGAAgAAAAhAFr0LFu/AAAAFQEA&#10;AAsAAAAAAAAAAAAAAAAAHwEAAF9yZWxzLy5yZWxzUEsBAi0AFAAGAAgAAAAhAGAYXo/HAAAA3gAA&#10;AA8AAAAAAAAAAAAAAAAABwIAAGRycy9kb3ducmV2LnhtbFBLBQYAAAAAAwADALcAAAD7AgAAAAA=&#10;" filled="f" stroked="f">
                  <v:textbox inset="0,0,0,0">
                    <w:txbxContent>
                      <w:p w14:paraId="37002338" w14:textId="77777777" w:rsidR="00B32EF2" w:rsidRDefault="00000000">
                        <w:r>
                          <w:rPr>
                            <w:rFonts w:ascii="Arial" w:eastAsia="Arial" w:hAnsi="Arial" w:cs="Arial"/>
                            <w:sz w:val="18"/>
                          </w:rPr>
                          <w:t>lare del competente ufficio del Dipartimento della giustizia tributaria del Mini</w:t>
                        </w:r>
                      </w:p>
                    </w:txbxContent>
                  </v:textbox>
                </v:rect>
                <v:rect id="Rectangle 22744" o:spid="_x0000_s6662" style="position:absolute;left:192;top:21734;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cb7xwAAAN4AAAAPAAAAZHJzL2Rvd25yZXYueG1sRI9Pa8JA&#10;FMTvBb/D8oTe6qZBrERXKRZpDl78Bx4f2WeSNvt2ya4m9dO7QsHjMDO/YebL3jTiSq2vLSt4HyUg&#10;iAuray4VHPbrtykIH5A1NpZJwR95WC4GL3PMtO14S9ddKEWEsM9QQRWCy6T0RUUG/cg64uidbWsw&#10;RNmWUrfYRbhpZJokE2mw5rhQoaNVRcXv7mIUnL7Y5etOFufbym1+8mnzfTkclXod9p8zEIH68Az/&#10;t3OtIE0/xmN43IlXQC7uAAAA//8DAFBLAQItABQABgAIAAAAIQDb4fbL7gAAAIUBAAATAAAAAAAA&#10;AAAAAAAAAAAAAABbQ29udGVudF9UeXBlc10ueG1sUEsBAi0AFAAGAAgAAAAhAFr0LFu/AAAAFQEA&#10;AAsAAAAAAAAAAAAAAAAAHwEAAF9yZWxzLy5yZWxzUEsBAi0AFAAGAAgAAAAhAO/xxvvHAAAA3gAA&#10;AA8AAAAAAAAAAAAAAAAABwIAAGRycy9kb3ducmV2LnhtbFBLBQYAAAAAAwADALcAAAD7AgAAAAA=&#10;" filled="f" stroked="f">
                  <v:textbox inset="0,0,0,0">
                    <w:txbxContent>
                      <w:p w14:paraId="7CB5D77B" w14:textId="77777777" w:rsidR="00B32EF2" w:rsidRDefault="00000000">
                        <w:r>
                          <w:rPr>
                            <w:rFonts w:ascii="Arial" w:eastAsia="Arial" w:hAnsi="Arial" w:cs="Arial"/>
                            <w:sz w:val="18"/>
                          </w:rPr>
                          <w:t>-</w:t>
                        </w:r>
                      </w:p>
                    </w:txbxContent>
                  </v:textbox>
                </v:rect>
                <v:rect id="Rectangle 22745" o:spid="_x0000_s6663" style="position:absolute;left:15995;top:20500;width:239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WNgxwAAAN4AAAAPAAAAZHJzL2Rvd25yZXYueG1sRI9Ba8JA&#10;FITvgv9heUJvummoraSuIoo0h160KfT4yD6TtNm3S3Y1qb++KxQ8DjPzDbNcD6YVF+p8Y1nB4ywB&#10;QVxa3XCloPjYTxcgfEDW2FomBb/kYb0aj5aYadvzgS7HUIkIYZ+hgjoEl0npy5oM+pl1xNE72c5g&#10;iLKrpO6wj3DTyjRJnqXBhuNCjY62NZU/x7NR8LVjl+97WZ6uW/f+nS/at3PxqdTDZNi8ggg0hHv4&#10;v51rBWn68jSH2514BeTqDwAA//8DAFBLAQItABQABgAIAAAAIQDb4fbL7gAAAIUBAAATAAAAAAAA&#10;AAAAAAAAAAAAAABbQ29udGVudF9UeXBlc10ueG1sUEsBAi0AFAAGAAgAAAAhAFr0LFu/AAAAFQEA&#10;AAsAAAAAAAAAAAAAAAAAHwEAAF9yZWxzLy5yZWxzUEsBAi0AFAAGAAgAAAAhAIC9Y2DHAAAA3gAA&#10;AA8AAAAAAAAAAAAAAAAABwIAAGRycy9kb3ducmV2LnhtbFBLBQYAAAAAAwADALcAAAD7AgAAAAA=&#10;" filled="f" stroked="f">
                  <v:textbox inset="0,0,0,0">
                    <w:txbxContent>
                      <w:p w14:paraId="2FC86552" w14:textId="77777777" w:rsidR="00B32EF2" w:rsidRDefault="00000000">
                        <w:r>
                          <w:rPr>
                            <w:rFonts w:ascii="Arial" w:eastAsia="Arial" w:hAnsi="Arial" w:cs="Arial"/>
                            <w:sz w:val="18"/>
                          </w:rPr>
                          <w:t>stero dell’economia e delle finanze.</w:t>
                        </w:r>
                      </w:p>
                    </w:txbxContent>
                  </v:textbox>
                </v:rect>
                <v:rect id="Rectangle 22746" o:spid="_x0000_s6664" style="position:absolute;left:15608;top:10633;width:72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0XxwAAAN4AAAAPAAAAZHJzL2Rvd25yZXYueG1sRI9Pa8JA&#10;FMTvgt9heYI33TSIlegqxSLNoRf/gcdH9pmkzb5dsqtJ++m7QsHjMDO/YVab3jTiTq2vLSt4mSYg&#10;iAuray4VnI67yQKED8gaG8uk4Ic8bNbDwQozbTve0/0QShEh7DNUUIXgMil9UZFBP7WOOHpX2xoM&#10;Ubal1C12EW4amSbJXBqsOS5U6GhbUfF9uBkFl3d2+a6TxfV36z6/8kXzcTudlRqP+rcliEB9eIb/&#10;27lWkKavszk87sQrINd/AAAA//8DAFBLAQItABQABgAIAAAAIQDb4fbL7gAAAIUBAAATAAAAAAAA&#10;AAAAAAAAAAAAAABbQ29udGVudF9UeXBlc10ueG1sUEsBAi0AFAAGAAgAAAAhAFr0LFu/AAAAFQEA&#10;AAsAAAAAAAAAAAAAAAAAHwEAAF9yZWxzLy5yZWxzUEsBAi0AFAAGAAgAAAAhAHBv/RfHAAAA3gAA&#10;AA8AAAAAAAAAAAAAAAAABwIAAGRycy9kb3ducmV2LnhtbFBLBQYAAAAAAwADALcAAAD7AgAAAAA=&#10;" filled="f" stroked="f">
                  <v:textbox inset="0,0,0,0">
                    <w:txbxContent>
                      <w:p w14:paraId="7C2546EA" w14:textId="77777777" w:rsidR="00B32EF2" w:rsidRDefault="00000000">
                        <w:r>
                          <w:rPr>
                            <w:rFonts w:ascii="Arial" w:eastAsia="Arial" w:hAnsi="Arial" w:cs="Arial"/>
                            <w:b/>
                            <w:sz w:val="18"/>
                          </w:rPr>
                          <w:t>Articolo 9</w:t>
                        </w:r>
                      </w:p>
                    </w:txbxContent>
                  </v:textbox>
                </v:rect>
                <v:rect id="Rectangle 202296" o:spid="_x0000_s6665" style="position:absolute;left:23034;top:9400;width:257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IFWxwAAAN8AAAAPAAAAZHJzL2Rvd25yZXYueG1sRI9Ba8JA&#10;FITvgv9heYXedNMcxKauIoo0By+1ETw+ss8kNft2ya4m+uvdQqHHYWa+YRarwbTiRp1vLCt4myYg&#10;iEurG64UFN+7yRyED8gaW8uk4E4eVsvxaIGZtj1/0e0QKhEh7DNUUIfgMil9WZNBP7WOOHpn2xkM&#10;UXaV1B32EW5amSbJTBpsOC7U6GhTU3k5XI2C05ZdvutleX5s3P4nn7ef1+Ko1OvLsP4AEWgI/+G/&#10;dq4VpEmavs/g90/8AnL5BAAA//8DAFBLAQItABQABgAIAAAAIQDb4fbL7gAAAIUBAAATAAAAAAAA&#10;AAAAAAAAAAAAAABbQ29udGVudF9UeXBlc10ueG1sUEsBAi0AFAAGAAgAAAAhAFr0LFu/AAAAFQEA&#10;AAsAAAAAAAAAAAAAAAAAHwEAAF9yZWxzLy5yZWxzUEsBAi0AFAAGAAgAAAAhAGu0gVbHAAAA3wAA&#10;AA8AAAAAAAAAAAAAAAAABwIAAGRycy9kb3ducmV2LnhtbFBLBQYAAAAAAwADALcAAAD7AgAAAAA=&#10;" filled="f" stroked="f">
                  <v:textbox inset="0,0,0,0">
                    <w:txbxContent>
                      <w:p w14:paraId="530F0E4D" w14:textId="77777777" w:rsidR="00B32EF2" w:rsidRDefault="00000000">
                        <w:r>
                          <w:rPr>
                            <w:rFonts w:ascii="Arial" w:eastAsia="Arial" w:hAnsi="Arial" w:cs="Arial"/>
                            <w:i/>
                            <w:sz w:val="18"/>
                          </w:rPr>
                          <w:t>(</w:t>
                        </w:r>
                      </w:p>
                    </w:txbxContent>
                  </v:textbox>
                </v:rect>
                <v:rect id="Rectangle 202297" o:spid="_x0000_s6666" style="position:absolute;left:-11378;top:9400;width:257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NxwAAAN8AAAAPAAAAZHJzL2Rvd25yZXYueG1sRI9Ba8JA&#10;FITvBf/D8gRvdWMOrY2uIoo0By+1Ch4f2WcSzb5dsquJ/vpuodDjMDPfMPNlbxpxp9bXlhVMxgkI&#10;4sLqmksFh+/t6xSED8gaG8uk4EEelovByxwzbTv+ovs+lCJC2GeooArBZVL6oiKDfmwdcfTOtjUY&#10;omxLqVvsItw0Mk2SN2mw5rhQoaN1RcV1fzMKTht2+baTxfm5drtLPm0+b4ejUqNhv5qBCNSH//Bf&#10;O9cK0iRNP97h90/8AnLxAwAA//8DAFBLAQItABQABgAIAAAAIQDb4fbL7gAAAIUBAAATAAAAAAAA&#10;AAAAAAAAAAAAAABbQ29udGVudF9UeXBlc10ueG1sUEsBAi0AFAAGAAgAAAAhAFr0LFu/AAAAFQEA&#10;AAsAAAAAAAAAAAAAAAAAHwEAAF9yZWxzLy5yZWxzUEsBAi0AFAAGAAgAAAAhAAT4JM3HAAAA3wAA&#10;AA8AAAAAAAAAAAAAAAAABwIAAGRycy9kb3ducmV2LnhtbFBLBQYAAAAAAwADALcAAAD7AgAAAAA=&#10;" filled="f" stroked="f">
                  <v:textbox inset="0,0,0,0">
                    <w:txbxContent>
                      <w:p w14:paraId="59438253" w14:textId="77777777" w:rsidR="00B32EF2" w:rsidRDefault="00000000">
                        <w:r>
                          <w:rPr>
                            <w:rFonts w:ascii="Arial" w:eastAsia="Arial" w:hAnsi="Arial" w:cs="Arial"/>
                            <w:i/>
                            <w:sz w:val="18"/>
                          </w:rPr>
                          <w:t>545/92)</w:t>
                        </w:r>
                      </w:p>
                    </w:txbxContent>
                  </v:textbox>
                </v:rect>
                <v:rect id="Rectangle 202298" o:spid="_x0000_s6667" style="position:absolute;left:7661;top:9400;width:257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7C/xAAAAN8AAAAPAAAAZHJzL2Rvd25yZXYueG1sRE/LisIw&#10;FN0L8w/hDsxO0+lCtBpFHMQuZuMLXF6aa1ttbkITbWe+3iwEl4fzni9704gHtb62rOB7lIAgLqyu&#10;uVRwPGyGExA+IGtsLJOCP/KwXHwM5php2/GOHvtQihjCPkMFVQguk9IXFRn0I+uII3exrcEQYVtK&#10;3WIXw00j0yQZS4M1x4YKHa0rKm77u1Fw/mGXbzpZXP7X7veaT5rt/XhS6uuzX81ABOrDW/xy51pB&#10;mqTpNA6Of+IXkIsnAAAA//8DAFBLAQItABQABgAIAAAAIQDb4fbL7gAAAIUBAAATAAAAAAAAAAAA&#10;AAAAAAAAAABbQ29udGVudF9UeXBlc10ueG1sUEsBAi0AFAAGAAgAAAAhAFr0LFu/AAAAFQEAAAsA&#10;AAAAAAAAAAAAAAAAHwEAAF9yZWxzLy5yZWxzUEsBAi0AFAAGAAgAAAAhAHVnsL/EAAAA3wAAAA8A&#10;AAAAAAAAAAAAAAAABwIAAGRycy9kb3ducmV2LnhtbFBLBQYAAAAAAwADALcAAAD4AgAAAAA=&#10;" filled="f" stroked="f">
                  <v:textbox inset="0,0,0,0">
                    <w:txbxContent>
                      <w:p w14:paraId="23A8A59B" w14:textId="77777777" w:rsidR="00B32EF2" w:rsidRDefault="00000000">
                        <w:r>
                          <w:rPr>
                            <w:rFonts w:ascii="Arial" w:eastAsia="Arial" w:hAnsi="Arial" w:cs="Arial"/>
                            <w:i/>
                            <w:sz w:val="18"/>
                          </w:rPr>
                          <w:t xml:space="preserve">articolo 4-quinquies D.lgs. n. </w:t>
                        </w:r>
                      </w:p>
                    </w:txbxContent>
                  </v:textbox>
                </v:rect>
                <v:rect id="Rectangle 22748" o:spid="_x0000_s6668" style="position:absolute;left:233;top:8166;width:318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z+xAAAAN4AAAAPAAAAZHJzL2Rvd25yZXYueG1sRE/LisIw&#10;FN0P+A/hCu7G1DLMSDWKKDJduBkf4PLSXNtqcxOaaKtfP1kMzPJw3vNlbxrxoNbXlhVMxgkI4sLq&#10;mksFx8P2fQrCB2SNjWVS8CQPy8XgbY6Zth3/0GMfShFD2GeooArBZVL6oiKDfmwdceQutjUYImxL&#10;qVvsYrhpZJokn9JgzbGhQkfriorb/m4UnDfs8m0ni8tr7XbXfNp8348npUbDfjUDEagP/+I/d64V&#10;pOnXR9wb78QrIBe/AAAA//8DAFBLAQItABQABgAIAAAAIQDb4fbL7gAAAIUBAAATAAAAAAAAAAAA&#10;AAAAAAAAAABbQ29udGVudF9UeXBlc10ueG1sUEsBAi0AFAAGAAgAAAAhAFr0LFu/AAAAFQEAAAsA&#10;AAAAAAAAAAAAAAAAHwEAAF9yZWxzLy5yZWxzUEsBAi0AFAAGAAgAAAAhAG68zP7EAAAA3gAAAA8A&#10;AAAAAAAAAAAAAAAABwIAAGRycy9kb3ducmV2LnhtbFBLBQYAAAAAAwADALcAAAD4AgAAAAA=&#10;" filled="f" stroked="f">
                  <v:textbox inset="0,0,0,0">
                    <w:txbxContent>
                      <w:p w14:paraId="6A97A00F" w14:textId="77777777" w:rsidR="00B32EF2" w:rsidRDefault="00000000">
                        <w:r>
                          <w:rPr>
                            <w:rFonts w:ascii="Arial" w:eastAsia="Arial" w:hAnsi="Arial" w:cs="Arial"/>
                            <w:b/>
                            <w:sz w:val="18"/>
                          </w:rPr>
                          <w:t>Nomina e tirocinio del magistrato tributario</w:t>
                        </w:r>
                      </w:p>
                    </w:txbxContent>
                  </v:textbox>
                </v:rect>
                <v:rect id="Rectangle 202295" o:spid="_x0000_s6669" style="position:absolute;left:-12789;top:6933;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h8hxwAAAN8AAAAPAAAAZHJzL2Rvd25yZXYueG1sRI9Ba8JA&#10;FITvBf/D8gRvdWOgxUZXEUWag5daBY+P7DOJZt8u2dVEf323UOhxmJlvmPmyN424U+trywom4wQE&#10;cWF1zaWCw/f2dQrCB2SNjWVS8CAPy8XgZY6Zth1/0X0fShEh7DNUUIXgMil9UZFBP7aOOHpn2xoM&#10;Ubal1C12EW4amSbJuzRYc1yo0NG6ouK6vxkFpw27fNvJ4vxcu90lnzaft8NRqdGwX81ABOrDf/iv&#10;nWsFaZKmH2/w+yd+Abn4AQAA//8DAFBLAQItABQABgAIAAAAIQDb4fbL7gAAAIUBAAATAAAAAAAA&#10;AAAAAAAAAAAAAABbQ29udGVudF9UeXBlc10ueG1sUEsBAi0AFAAGAAgAAAAhAFr0LFu/AAAAFQEA&#10;AAsAAAAAAAAAAAAAAAAAHwEAAF9yZWxzLy5yZWxzUEsBAi0AFAAGAAgAAAAhAJtmHyHHAAAA3wAA&#10;AA8AAAAAAAAAAAAAAAAABwIAAGRycy9kb3ducmV2LnhtbFBLBQYAAAAAAwADALcAAAD7AgAAAAA=&#10;" filled="f" stroked="f">
                  <v:textbox inset="0,0,0,0">
                    <w:txbxContent>
                      <w:p w14:paraId="308D7103" w14:textId="77777777" w:rsidR="00B32EF2" w:rsidRDefault="00000000">
                        <w:r>
                          <w:rPr>
                            <w:rFonts w:ascii="Arial" w:eastAsia="Arial" w:hAnsi="Arial" w:cs="Arial"/>
                            <w:sz w:val="18"/>
                          </w:rPr>
                          <w:t>. I concorrenti dichiarati idonei all’esito del concorso per esami sono classifi</w:t>
                        </w:r>
                      </w:p>
                    </w:txbxContent>
                  </v:textbox>
                </v:rect>
                <v:rect id="Rectangle 202294" o:spid="_x0000_s6670" style="position:absolute;left:26349;top:6933;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rq6xwAAAN8AAAAPAAAAZHJzL2Rvd25yZXYueG1sRI9Ba8JA&#10;FITvBf/D8gRvdWMoxUZXEUWag5daBY+P7DOJZt8u2dVEf323UOhxmJlvmPmyN424U+trywom4wQE&#10;cWF1zaWCw/f2dQrCB2SNjWVS8CAPy8XgZY6Zth1/0X0fShEh7DNUUIXgMil9UZFBP7aOOHpn2xoM&#10;Ubal1C12EW4amSbJuzRYc1yo0NG6ouK6vxkFpw27fNvJ4vxcu90lnzaft8NRqdGwX81ABOrDf/iv&#10;nWsFaZKmH2/w+yd+Abn4AQAA//8DAFBLAQItABQABgAIAAAAIQDb4fbL7gAAAIUBAAATAAAAAAAA&#10;AAAAAAAAAAAAAABbQ29udGVudF9UeXBlc10ueG1sUEsBAi0AFAAGAAgAAAAhAFr0LFu/AAAAFQEA&#10;AAsAAAAAAAAAAAAAAAAAHwEAAF9yZWxzLy5yZWxzUEsBAi0AFAAGAAgAAAAhAPQqurrHAAAA3wAA&#10;AA8AAAAAAAAAAAAAAAAABwIAAGRycy9kb3ducmV2LnhtbFBLBQYAAAAAAwADALcAAAD7AgAAAAA=&#10;" filled="f" stroked="f">
                  <v:textbox inset="0,0,0,0">
                    <w:txbxContent>
                      <w:p w14:paraId="404C8DB7" w14:textId="77777777" w:rsidR="00B32EF2" w:rsidRDefault="00000000">
                        <w:r>
                          <w:rPr>
                            <w:rFonts w:ascii="Arial" w:eastAsia="Arial" w:hAnsi="Arial" w:cs="Arial"/>
                            <w:sz w:val="18"/>
                          </w:rPr>
                          <w:t>1</w:t>
                        </w:r>
                      </w:p>
                    </w:txbxContent>
                  </v:textbox>
                </v:rect>
                <v:rect id="Rectangle 22750" o:spid="_x0000_s6671" style="position:absolute;left:192;top:69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1YlxQAAAN4AAAAPAAAAZHJzL2Rvd25yZXYueG1sRI/LasJA&#10;FIb3Bd9hOIK7OjHQVqKjiCLNwk29gMtD5phEM2eGzGiiT99ZFLr8+W9882VvGvGg1teWFUzGCQji&#10;wuqaSwXHw/Z9CsIHZI2NZVLwJA/LxeBtjpm2Hf/QYx9KEUfYZ6igCsFlUvqiIoN+bB1x9C62NRii&#10;bEupW+ziuGlkmiSf0mDN8aFCR+uKitv+bhScN+zybSeLy2vtdtd82nzfjyelRsN+NQMRqA//4b92&#10;rhWk6ddHBIg4EQXk4hcAAP//AwBQSwECLQAUAAYACAAAACEA2+H2y+4AAACFAQAAEwAAAAAAAAAA&#10;AAAAAAAAAAAAW0NvbnRlbnRfVHlwZXNdLnhtbFBLAQItABQABgAIAAAAIQBa9CxbvwAAABUBAAAL&#10;AAAAAAAAAAAAAAAAAB8BAABfcmVscy8ucmVsc1BLAQItABQABgAIAAAAIQAVE1YlxQAAAN4AAAAP&#10;AAAAAAAAAAAAAAAAAAcCAABkcnMvZG93bnJldi54bWxQSwUGAAAAAAMAAwC3AAAA+QIAAAAA&#10;" filled="f" stroked="f">
                  <v:textbox inset="0,0,0,0">
                    <w:txbxContent>
                      <w:p w14:paraId="24C2B070" w14:textId="77777777" w:rsidR="00B32EF2" w:rsidRDefault="00000000">
                        <w:r>
                          <w:rPr>
                            <w:rFonts w:ascii="Arial" w:eastAsia="Arial" w:hAnsi="Arial" w:cs="Arial"/>
                            <w:sz w:val="18"/>
                          </w:rPr>
                          <w:t>-</w:t>
                        </w:r>
                      </w:p>
                    </w:txbxContent>
                  </v:textbox>
                </v:rect>
                <v:rect id="Rectangle 22751" o:spid="_x0000_s6672" style="position:absolute;left:-13171;top:57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O+xwAAAN4AAAAPAAAAZHJzL2Rvd25yZXYueG1sRI9Pa8JA&#10;FMTvgt9heYI33RioldRVRJHm0Ev9Az0+ss8kbfbtkl1N7Kd3CwWPw8z8hlmue9OIG7W+tqxgNk1A&#10;EBdW11wqOB33kwUIH5A1NpZJwZ08rFfDwRIzbTv+pNshlCJC2GeooArBZVL6oiKDfmodcfQutjUY&#10;omxLqVvsItw0Mk2SuTRYc1yo0NG2ouLncDUKvnbs8n0ni8vv1n1854vm/Xo6KzUe9Zs3EIH68Az/&#10;t3OtIE1fX2bwdydeAbl6AAAA//8DAFBLAQItABQABgAIAAAAIQDb4fbL7gAAAIUBAAATAAAAAAAA&#10;AAAAAAAAAAAAAABbQ29udGVudF9UeXBlc10ueG1sUEsBAi0AFAAGAAgAAAAhAFr0LFu/AAAAFQEA&#10;AAsAAAAAAAAAAAAAAAAAHwEAAF9yZWxzLy5yZWxzUEsBAi0AFAAGAAgAAAAhAHpf877HAAAA3gAA&#10;AA8AAAAAAAAAAAAAAAAABwIAAGRycy9kb3ducmV2LnhtbFBLBQYAAAAAAwADALcAAAD7AgAAAAA=&#10;" filled="f" stroked="f">
                  <v:textbox inset="0,0,0,0">
                    <w:txbxContent>
                      <w:p w14:paraId="43473C04" w14:textId="77777777" w:rsidR="00B32EF2" w:rsidRDefault="00000000">
                        <w:r>
                          <w:rPr>
                            <w:rFonts w:ascii="Arial" w:eastAsia="Arial" w:hAnsi="Arial" w:cs="Arial"/>
                            <w:sz w:val="18"/>
                          </w:rPr>
                          <w:t xml:space="preserve">cati secondo il punteggio complessivo conseguito e, nello stesso ordine, sono </w:t>
                        </w:r>
                      </w:p>
                    </w:txbxContent>
                  </v:textbox>
                </v:rect>
                <v:rect id="Rectangle 22752" o:spid="_x0000_s6673" style="position:absolute;left:-13172;top:44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W3JxgAAAN4AAAAPAAAAZHJzL2Rvd25yZXYueG1sRI9Ba8JA&#10;FITvBf/D8gRvdWOgrURXEUWag5daBY+P7DOJZt8u2dVEf323UOhxmJlvmPmyN424U+trywom4wQE&#10;cWF1zaWCw/f2dQrCB2SNjWVS8CAPy8XgZY6Zth1/0X0fShEh7DNUUIXgMil9UZFBP7aOOHpn2xoM&#10;Ubal1C12EW4amSbJuzRYc1yo0NG6ouK6vxkFpw27fNvJ4vxcu90lnzaft8NRqdGwX81ABOrDf/iv&#10;nWsFafrxlsLvnXgF5OIHAAD//wMAUEsBAi0AFAAGAAgAAAAhANvh9svuAAAAhQEAABMAAAAAAAAA&#10;AAAAAAAAAAAAAFtDb250ZW50X1R5cGVzXS54bWxQSwECLQAUAAYACAAAACEAWvQsW78AAAAVAQAA&#10;CwAAAAAAAAAAAAAAAAAfAQAAX3JlbHMvLnJlbHNQSwECLQAUAAYACAAAACEAio1tycYAAADeAAAA&#10;DwAAAAAAAAAAAAAAAAAHAgAAZHJzL2Rvd25yZXYueG1sUEsFBgAAAAADAAMAtwAAAPoCAAAAAA==&#10;" filled="f" stroked="f">
                  <v:textbox inset="0,0,0,0">
                    <w:txbxContent>
                      <w:p w14:paraId="1E88B7ED" w14:textId="77777777" w:rsidR="00B32EF2" w:rsidRDefault="00000000">
                        <w:r>
                          <w:rPr>
                            <w:rFonts w:ascii="Arial" w:eastAsia="Arial" w:hAnsi="Arial" w:cs="Arial"/>
                            <w:sz w:val="18"/>
                          </w:rPr>
                          <w:t xml:space="preserve">nominati, con decreto del Ministro dell’economia e delle finanze, magistrato </w:t>
                        </w:r>
                      </w:p>
                    </w:txbxContent>
                  </v:textbox>
                </v:rect>
                <v:shape id="Shape 208154" o:spid="_x0000_s6674" style="position:absolute;left:318;top:14091;width:39600;height:6084;visibility:visible;mso-wrap-style:square;v-text-anchor:top" coordsize="3960000,60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v8TyQAAAN8AAAAPAAAAZHJzL2Rvd25yZXYueG1sRI9BTwIx&#10;FITvJP6H5pl4IdKFqCErhQgJhgtG0Yu35/bRXd2+Lm2ly7+3JiQcJzPzTWa26G0rjuRD41jBeFSA&#10;IK6cbtgo+Hhf305BhIissXVMCk4UYDG/Gsyw1C7xGx130YgM4VCigjrGrpQyVDVZDCPXEWdv77zF&#10;mKU3UntMGW5bOSmKB2mx4bxQY0ermqqf3a9V8GrSYf2VPpeb1ti03X+/PPvVUKmb6/7pEUSkPl7C&#10;5/ZGK5gU0/H9Hfz/yV9Azv8AAAD//wMAUEsBAi0AFAAGAAgAAAAhANvh9svuAAAAhQEAABMAAAAA&#10;AAAAAAAAAAAAAAAAAFtDb250ZW50X1R5cGVzXS54bWxQSwECLQAUAAYACAAAACEAWvQsW78AAAAV&#10;AQAACwAAAAAAAAAAAAAAAAAfAQAAX3JlbHMvLnJlbHNQSwECLQAUAAYACAAAACEAtK7/E8kAAADf&#10;AAAADwAAAAAAAAAAAAAAAAAHAgAAZHJzL2Rvd25yZXYueG1sUEsFBgAAAAADAAMAtwAAAP0CAAAA&#10;AA==&#10;" path="m,l3960000,r,608305l,608305,,e" fillcolor="#c3c3c3" stroked="f" strokeweight="0">
                  <v:stroke miterlimit="83231f" joinstyle="miter"/>
                  <v:path arrowok="t" textboxrect="0,0,3960000,608305"/>
                </v:shape>
                <v:rect id="Rectangle 22754" o:spid="_x0000_s6675" style="position:absolute;left:23288;top:17962;width:158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FAmxwAAAN4AAAAPAAAAZHJzL2Rvd25yZXYueG1sRI9Ba8JA&#10;FITvgv9heUJvummoraSuIoo0h160KfT4yD6TtNm3S3Y1qb++KxQ8DjPzDbNcD6YVF+p8Y1nB4ywB&#10;QVxa3XCloPjYTxcgfEDW2FomBb/kYb0aj5aYadvzgS7HUIkIYZ+hgjoEl0npy5oM+pl1xNE72c5g&#10;iLKrpO6wj3DTyjRJnqXBhuNCjY62NZU/x7NR8LVjl+97WZ6uW/f+nS/at3PxqdTDZNi8ggg0hHv4&#10;v51rBWn6Mn+C2514BeTqDwAA//8DAFBLAQItABQABgAIAAAAIQDb4fbL7gAAAIUBAAATAAAAAAAA&#10;AAAAAAAAAAAAAABbQ29udGVudF9UeXBlc10ueG1sUEsBAi0AFAAGAAgAAAAhAFr0LFu/AAAAFQEA&#10;AAsAAAAAAAAAAAAAAAAAHwEAAF9yZWxzLy5yZWxzUEsBAi0AFAAGAAgAAAAhAGooUCbHAAAA3gAA&#10;AA8AAAAAAAAAAAAAAAAABwIAAGRycy9kb3ducmV2LnhtbFBLBQYAAAAAAwADALcAAAD7AgAAAAA=&#10;" filled="f" stroked="f">
                  <v:textbox inset="0,0,0,0">
                    <w:txbxContent>
                      <w:p w14:paraId="178B08D3" w14:textId="77777777" w:rsidR="00B32EF2" w:rsidRDefault="00000000">
                        <w:r>
                          <w:rPr>
                            <w:rFonts w:ascii="Arial" w:eastAsia="Arial" w:hAnsi="Arial" w:cs="Arial"/>
                            <w:b/>
                            <w:i/>
                            <w:sz w:val="18"/>
                          </w:rPr>
                          <w:t>NORME RICHIAMATE</w:t>
                        </w:r>
                      </w:p>
                    </w:txbxContent>
                  </v:textbox>
                </v:rect>
                <v:rect id="Rectangle 22755" o:spid="_x0000_s6676" style="position:absolute;left:-11856;top:16591;width:5094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PW9xwAAAN4AAAAPAAAAZHJzL2Rvd25yZXYueG1sRI9Pa8JA&#10;FMTvBb/D8oTe6qYBrURXKRZpDl78Bx4f2WeSNvt2ya4m9dO7QsHjMDO/YebL3jTiSq2vLSt4HyUg&#10;iAuray4VHPbrtykIH5A1NpZJwR95WC4GL3PMtO14S9ddKEWEsM9QQRWCy6T0RUUG/cg64uidbWsw&#10;RNmWUrfYRbhpZJokE2mw5rhQoaNVRcXv7mIUnL7Y5etOFufbym1+8mnzfTkclXod9p8zEIH68Az/&#10;t3OtIE0/xmN43IlXQC7uAAAA//8DAFBLAQItABQABgAIAAAAIQDb4fbL7gAAAIUBAAATAAAAAAAA&#10;AAAAAAAAAAAAAABbQ29udGVudF9UeXBlc10ueG1sUEsBAi0AFAAGAAgAAAAhAFr0LFu/AAAAFQEA&#10;AAsAAAAAAAAAAAAAAAAAHwEAAF9yZWxzLy5yZWxzUEsBAi0AFAAGAAgAAAAhAAVk9b3HAAAA3gAA&#10;AA8AAAAAAAAAAAAAAAAABwIAAGRycy9kb3ducmV2LnhtbFBLBQYAAAAAAwADALcAAAD7AgAAAAA=&#10;" filled="f" stroked="f">
                  <v:textbox inset="0,0,0,0">
                    <w:txbxContent>
                      <w:p w14:paraId="28770981" w14:textId="77777777" w:rsidR="00B32EF2" w:rsidRDefault="00000000">
                        <w:r>
                          <w:rPr>
                            <w:rFonts w:ascii="Arial" w:eastAsia="Arial" w:hAnsi="Arial" w:cs="Arial"/>
                            <w:i/>
                            <w:sz w:val="18"/>
                          </w:rPr>
                          <w:t xml:space="preserve">art. 13 dpr. 382/1980 “Aspettativa obbligatoria per situazioni di incompatibilità”: </w:t>
                        </w:r>
                      </w:p>
                    </w:txbxContent>
                  </v:textbox>
                </v:rect>
                <v:rect id="Rectangle 22756" o:spid="_x0000_s6677" style="position:absolute;left:4991;top:15219;width:341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mvKxwAAAN4AAAAPAAAAZHJzL2Rvd25yZXYueG1sRI9Pa8JA&#10;FMTvgt9heYI33TSglegqxSLNoRf/gcdH9pmkzb5dsqtJ++m7QsHjMDO/YVab3jTiTq2vLSt4mSYg&#10;iAuray4VnI67yQKED8gaG8uk4Ic8bNbDwQozbTve0/0QShEh7DNUUIXgMil9UZFBP7WOOHpX2xoM&#10;Ubal1C12EW4amSbJXBqsOS5U6GhbUfF9uBkFl3d2+a6TxfV36z6/8kXzcTudlRqP+rcliEB9eIb/&#10;27lWkKavszk87sQrINd/AAAA//8DAFBLAQItABQABgAIAAAAIQDb4fbL7gAAAIUBAAATAAAAAAAA&#10;AAAAAAAAAAAAAABbQ29udGVudF9UeXBlc10ueG1sUEsBAi0AFAAGAAgAAAAhAFr0LFu/AAAAFQEA&#10;AAsAAAAAAAAAAAAAAAAAHwEAAF9yZWxzLy5yZWxzUEsBAi0AFAAGAAgAAAAhAPW2a8rHAAAA3gAA&#10;AA8AAAAAAAAAAAAAAAAABwIAAGRycy9kb3ducmV2LnhtbFBLBQYAAAAAAwADALcAAAD7AgAAAAA=&#10;" filled="f" stroked="f">
                  <v:textbox inset="0,0,0,0">
                    <w:txbxContent>
                      <w:p w14:paraId="1A26994F" w14:textId="77777777" w:rsidR="00B32EF2" w:rsidRDefault="00000000">
                        <w:r>
                          <w:rPr>
                            <w:rFonts w:ascii="Arial" w:eastAsia="Arial" w:hAnsi="Arial" w:cs="Arial"/>
                            <w:i/>
                            <w:sz w:val="18"/>
                          </w:rPr>
                          <w:t xml:space="preserve">art. 8 dpr. 382/1980 “Inamovibilità e trasferimenti” </w:t>
                        </w:r>
                      </w:p>
                    </w:txbxContent>
                  </v:textbox>
                </v:rect>
                <v:shape id="Shape 22757" o:spid="_x0000_s6678" style="position:absolute;left:318;top:14092;width:39600;height:6083;visibility:visible;mso-wrap-style:square;v-text-anchor:top" coordsize="3960000,60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xsqxQAAAN4AAAAPAAAAZHJzL2Rvd25yZXYueG1sRI9Pi8Iw&#10;FMTvC36H8IS9rall3Wo1igiK4GX9c/H2bJ5tsXkpTdT225uFBY/DzPyGmS1aU4kHNa60rGA4iEAQ&#10;Z1aXnCs4HddfYxDOI2usLJOCjhws5r2PGabaPnlPj4PPRYCwS1FB4X2dSumyggy6ga2Jg3e1jUEf&#10;ZJNL3eAzwE0l4yj6kQZLDgsF1rQqKLsd7kaBPZtr4i9tt5E7M+m0+/4tk61Sn/12OQXhqfXv8H97&#10;qxXEcTJK4O9OuAJy/gIAAP//AwBQSwECLQAUAAYACAAAACEA2+H2y+4AAACFAQAAEwAAAAAAAAAA&#10;AAAAAAAAAAAAW0NvbnRlbnRfVHlwZXNdLnhtbFBLAQItABQABgAIAAAAIQBa9CxbvwAAABUBAAAL&#10;AAAAAAAAAAAAAAAAAB8BAABfcmVscy8ucmVsc1BLAQItABQABgAIAAAAIQBDmxsqxQAAAN4AAAAP&#10;AAAAAAAAAAAAAAAAAAcCAABkcnMvZG93bnJldi54bWxQSwUGAAAAAAMAAwC3AAAA+QIAAAAA&#10;" path="m,608305r3960000,l3960000,,,,,608305xe" filled="f" strokeweight="1pt">
                  <v:stroke miterlimit="1" joinstyle="miter"/>
                  <v:path arrowok="t" textboxrect="0,0,3960000,608305"/>
                </v:shape>
                <w10:anchorlock/>
              </v:group>
            </w:pict>
          </mc:Fallback>
        </mc:AlternateContent>
      </w:r>
    </w:p>
    <w:p w14:paraId="51F05D82" w14:textId="77777777" w:rsidR="00B32EF2" w:rsidRDefault="00000000">
      <w:pPr>
        <w:spacing w:after="0"/>
        <w:ind w:left="-357" w:right="-306"/>
      </w:pPr>
      <w:r>
        <w:rPr>
          <w:noProof/>
        </w:rPr>
        <w:lastRenderedPageBreak/>
        <mc:AlternateContent>
          <mc:Choice Requires="wpg">
            <w:drawing>
              <wp:inline distT="0" distB="0" distL="0" distR="0" wp14:anchorId="6639BDE8" wp14:editId="50375C8D">
                <wp:extent cx="3992019" cy="6262854"/>
                <wp:effectExtent l="0" t="0" r="0" b="0"/>
                <wp:docPr id="202408" name="Group 202408"/>
                <wp:cNvGraphicFramePr/>
                <a:graphic xmlns:a="http://schemas.openxmlformats.org/drawingml/2006/main">
                  <a:graphicData uri="http://schemas.microsoft.com/office/word/2010/wordprocessingGroup">
                    <wpg:wgp>
                      <wpg:cNvGrpSpPr/>
                      <wpg:grpSpPr>
                        <a:xfrm>
                          <a:off x="0" y="0"/>
                          <a:ext cx="3992019" cy="6262854"/>
                          <a:chOff x="0" y="0"/>
                          <a:chExt cx="3992019" cy="6262854"/>
                        </a:xfrm>
                      </wpg:grpSpPr>
                      <wps:wsp>
                        <wps:cNvPr id="22832" name="Rectangle 22832"/>
                        <wps:cNvSpPr/>
                        <wps:spPr>
                          <a:xfrm rot="-10799999">
                            <a:off x="1900685" y="-62190"/>
                            <a:ext cx="178369" cy="250646"/>
                          </a:xfrm>
                          <a:prstGeom prst="rect">
                            <a:avLst/>
                          </a:prstGeom>
                          <a:ln>
                            <a:noFill/>
                          </a:ln>
                        </wps:spPr>
                        <wps:txbx>
                          <w:txbxContent>
                            <w:p w14:paraId="45C85281" w14:textId="77777777" w:rsidR="00B32EF2" w:rsidRDefault="00000000">
                              <w:r>
                                <w:rPr>
                                  <w:rFonts w:ascii="Times New Roman" w:eastAsia="Times New Roman" w:hAnsi="Times New Roman" w:cs="Times New Roman"/>
                                </w:rPr>
                                <w:t>20</w:t>
                              </w:r>
                            </w:p>
                          </w:txbxContent>
                        </wps:txbx>
                        <wps:bodyPr horzOverflow="overflow" vert="horz" lIns="0" tIns="0" rIns="0" bIns="0" rtlCol="0">
                          <a:noAutofit/>
                        </wps:bodyPr>
                      </wps:wsp>
                      <wps:wsp>
                        <wps:cNvPr id="22833" name="Rectangle 22833"/>
                        <wps:cNvSpPr/>
                        <wps:spPr>
                          <a:xfrm rot="-10799999">
                            <a:off x="1561072" y="6119965"/>
                            <a:ext cx="723762" cy="142889"/>
                          </a:xfrm>
                          <a:prstGeom prst="rect">
                            <a:avLst/>
                          </a:prstGeom>
                          <a:ln>
                            <a:noFill/>
                          </a:ln>
                        </wps:spPr>
                        <wps:txbx>
                          <w:txbxContent>
                            <w:p w14:paraId="16F5404B" w14:textId="77777777" w:rsidR="00B32EF2" w:rsidRDefault="00000000">
                              <w:r>
                                <w:rPr>
                                  <w:rFonts w:ascii="Arial" w:eastAsia="Arial" w:hAnsi="Arial" w:cs="Arial"/>
                                  <w:b/>
                                  <w:sz w:val="18"/>
                                </w:rPr>
                                <w:t>Articolo 8</w:t>
                              </w:r>
                            </w:p>
                          </w:txbxContent>
                        </wps:txbx>
                        <wps:bodyPr horzOverflow="overflow" vert="horz" lIns="0" tIns="0" rIns="0" bIns="0" rtlCol="0">
                          <a:noAutofit/>
                        </wps:bodyPr>
                      </wps:wsp>
                      <wps:wsp>
                        <wps:cNvPr id="202354" name="Rectangle 202354"/>
                        <wps:cNvSpPr/>
                        <wps:spPr>
                          <a:xfrm rot="-10799999">
                            <a:off x="906156" y="5996635"/>
                            <a:ext cx="2354835" cy="142890"/>
                          </a:xfrm>
                          <a:prstGeom prst="rect">
                            <a:avLst/>
                          </a:prstGeom>
                          <a:ln>
                            <a:noFill/>
                          </a:ln>
                        </wps:spPr>
                        <wps:txbx>
                          <w:txbxContent>
                            <w:p w14:paraId="58D0E94A" w14:textId="77777777" w:rsidR="00B32EF2" w:rsidRDefault="00000000">
                              <w:r>
                                <w:rPr>
                                  <w:rFonts w:ascii="Arial" w:eastAsia="Arial" w:hAnsi="Arial" w:cs="Arial"/>
                                  <w:i/>
                                  <w:sz w:val="18"/>
                                </w:rPr>
                                <w:t xml:space="preserve">articolo 4-quater D.lgs. n. </w:t>
                              </w:r>
                            </w:p>
                          </w:txbxContent>
                        </wps:txbx>
                        <wps:bodyPr horzOverflow="overflow" vert="horz" lIns="0" tIns="0" rIns="0" bIns="0" rtlCol="0">
                          <a:noAutofit/>
                        </wps:bodyPr>
                      </wps:wsp>
                      <wps:wsp>
                        <wps:cNvPr id="202352" name="Rectangle 202352"/>
                        <wps:cNvSpPr/>
                        <wps:spPr>
                          <a:xfrm rot="-10799999">
                            <a:off x="2274909" y="5996635"/>
                            <a:ext cx="2354835" cy="142890"/>
                          </a:xfrm>
                          <a:prstGeom prst="rect">
                            <a:avLst/>
                          </a:prstGeom>
                          <a:ln>
                            <a:noFill/>
                          </a:ln>
                        </wps:spPr>
                        <wps:txbx>
                          <w:txbxContent>
                            <w:p w14:paraId="51B452CA"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353" name="Rectangle 202353"/>
                        <wps:cNvSpPr/>
                        <wps:spPr>
                          <a:xfrm rot="-10799999">
                            <a:off x="-829238" y="5996635"/>
                            <a:ext cx="2354836" cy="142890"/>
                          </a:xfrm>
                          <a:prstGeom prst="rect">
                            <a:avLst/>
                          </a:prstGeom>
                          <a:ln>
                            <a:noFill/>
                          </a:ln>
                        </wps:spPr>
                        <wps:txbx>
                          <w:txbxContent>
                            <w:p w14:paraId="5652778D"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2835" name="Rectangle 22835"/>
                        <wps:cNvSpPr/>
                        <wps:spPr>
                          <a:xfrm rot="-10799999">
                            <a:off x="762110" y="5873305"/>
                            <a:ext cx="1977296" cy="142889"/>
                          </a:xfrm>
                          <a:prstGeom prst="rect">
                            <a:avLst/>
                          </a:prstGeom>
                          <a:ln>
                            <a:noFill/>
                          </a:ln>
                        </wps:spPr>
                        <wps:txbx>
                          <w:txbxContent>
                            <w:p w14:paraId="7241211F" w14:textId="77777777" w:rsidR="00B32EF2" w:rsidRDefault="00000000">
                              <w:r>
                                <w:rPr>
                                  <w:rFonts w:ascii="Arial" w:eastAsia="Arial" w:hAnsi="Arial" w:cs="Arial"/>
                                  <w:b/>
                                  <w:sz w:val="18"/>
                                </w:rPr>
                                <w:t xml:space="preserve">Commissione di concorso </w:t>
                              </w:r>
                            </w:p>
                          </w:txbxContent>
                        </wps:txbx>
                        <wps:bodyPr horzOverflow="overflow" vert="horz" lIns="0" tIns="0" rIns="0" bIns="0" rtlCol="0">
                          <a:noAutofit/>
                        </wps:bodyPr>
                      </wps:wsp>
                      <wps:wsp>
                        <wps:cNvPr id="202350" name="Rectangle 202350"/>
                        <wps:cNvSpPr/>
                        <wps:spPr>
                          <a:xfrm rot="-10799999">
                            <a:off x="2635167" y="5749976"/>
                            <a:ext cx="5212398" cy="142889"/>
                          </a:xfrm>
                          <a:prstGeom prst="rect">
                            <a:avLst/>
                          </a:prstGeom>
                          <a:ln>
                            <a:noFill/>
                          </a:ln>
                        </wps:spPr>
                        <wps:txbx>
                          <w:txbxContent>
                            <w:p w14:paraId="768B97BC"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2351" name="Rectangle 202351"/>
                        <wps:cNvSpPr/>
                        <wps:spPr>
                          <a:xfrm rot="-10799999">
                            <a:off x="-1279562" y="5749976"/>
                            <a:ext cx="5212398" cy="142889"/>
                          </a:xfrm>
                          <a:prstGeom prst="rect">
                            <a:avLst/>
                          </a:prstGeom>
                          <a:ln>
                            <a:noFill/>
                          </a:ln>
                        </wps:spPr>
                        <wps:txbx>
                          <w:txbxContent>
                            <w:p w14:paraId="6121A647" w14:textId="77777777" w:rsidR="00B32EF2" w:rsidRDefault="00000000">
                              <w:r>
                                <w:rPr>
                                  <w:rFonts w:ascii="Arial" w:eastAsia="Arial" w:hAnsi="Arial" w:cs="Arial"/>
                                  <w:sz w:val="18"/>
                                </w:rPr>
                                <w:t>. La commissione di concorso è nominata, entro il quindicesimo giorno an</w:t>
                              </w:r>
                            </w:p>
                          </w:txbxContent>
                        </wps:txbx>
                        <wps:bodyPr horzOverflow="overflow" vert="horz" lIns="0" tIns="0" rIns="0" bIns="0" rtlCol="0">
                          <a:noAutofit/>
                        </wps:bodyPr>
                      </wps:wsp>
                      <wps:wsp>
                        <wps:cNvPr id="22837" name="Rectangle 22837"/>
                        <wps:cNvSpPr/>
                        <wps:spPr>
                          <a:xfrm rot="-10799999">
                            <a:off x="19421" y="5749975"/>
                            <a:ext cx="50622" cy="142889"/>
                          </a:xfrm>
                          <a:prstGeom prst="rect">
                            <a:avLst/>
                          </a:prstGeom>
                          <a:ln>
                            <a:noFill/>
                          </a:ln>
                        </wps:spPr>
                        <wps:txbx>
                          <w:txbxContent>
                            <w:p w14:paraId="65236CC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838" name="Rectangle 22838"/>
                        <wps:cNvSpPr/>
                        <wps:spPr>
                          <a:xfrm rot="-10799999">
                            <a:off x="-1316986" y="5626646"/>
                            <a:ext cx="5309005" cy="142889"/>
                          </a:xfrm>
                          <a:prstGeom prst="rect">
                            <a:avLst/>
                          </a:prstGeom>
                          <a:ln>
                            <a:noFill/>
                          </a:ln>
                        </wps:spPr>
                        <wps:txbx>
                          <w:txbxContent>
                            <w:p w14:paraId="044FC699" w14:textId="77777777" w:rsidR="00B32EF2" w:rsidRDefault="00000000">
                              <w:r>
                                <w:rPr>
                                  <w:rFonts w:ascii="Arial" w:eastAsia="Arial" w:hAnsi="Arial" w:cs="Arial"/>
                                  <w:sz w:val="18"/>
                                </w:rPr>
                                <w:t xml:space="preserve">tecedente l’inizio della prova scritta, con decreto del Ministro dell’economia e </w:t>
                              </w:r>
                            </w:p>
                          </w:txbxContent>
                        </wps:txbx>
                        <wps:bodyPr horzOverflow="overflow" vert="horz" lIns="0" tIns="0" rIns="0" bIns="0" rtlCol="0">
                          <a:noAutofit/>
                        </wps:bodyPr>
                      </wps:wsp>
                      <wps:wsp>
                        <wps:cNvPr id="22839" name="Rectangle 22839"/>
                        <wps:cNvSpPr/>
                        <wps:spPr>
                          <a:xfrm rot="-10799999">
                            <a:off x="-1220323" y="5503316"/>
                            <a:ext cx="5212914" cy="142889"/>
                          </a:xfrm>
                          <a:prstGeom prst="rect">
                            <a:avLst/>
                          </a:prstGeom>
                          <a:ln>
                            <a:noFill/>
                          </a:ln>
                        </wps:spPr>
                        <wps:txbx>
                          <w:txbxContent>
                            <w:p w14:paraId="42CB2337" w14:textId="77777777" w:rsidR="00B32EF2" w:rsidRDefault="00000000">
                              <w:r>
                                <w:rPr>
                                  <w:rFonts w:ascii="Arial" w:eastAsia="Arial" w:hAnsi="Arial" w:cs="Arial"/>
                                  <w:sz w:val="18"/>
                                </w:rPr>
                                <w:t>delle finanze, adottato previa delibera del Consiglio di presidenza della giusti</w:t>
                              </w:r>
                            </w:p>
                          </w:txbxContent>
                        </wps:txbx>
                        <wps:bodyPr horzOverflow="overflow" vert="horz" lIns="0" tIns="0" rIns="0" bIns="0" rtlCol="0">
                          <a:noAutofit/>
                        </wps:bodyPr>
                      </wps:wsp>
                      <wps:wsp>
                        <wps:cNvPr id="22840" name="Rectangle 22840"/>
                        <wps:cNvSpPr/>
                        <wps:spPr>
                          <a:xfrm rot="-10799999">
                            <a:off x="19421" y="5503316"/>
                            <a:ext cx="50622" cy="142889"/>
                          </a:xfrm>
                          <a:prstGeom prst="rect">
                            <a:avLst/>
                          </a:prstGeom>
                          <a:ln>
                            <a:noFill/>
                          </a:ln>
                        </wps:spPr>
                        <wps:txbx>
                          <w:txbxContent>
                            <w:p w14:paraId="1BF0F05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841" name="Rectangle 22841"/>
                        <wps:cNvSpPr/>
                        <wps:spPr>
                          <a:xfrm rot="-10799999">
                            <a:off x="3105294" y="5379987"/>
                            <a:ext cx="887411" cy="142889"/>
                          </a:xfrm>
                          <a:prstGeom prst="rect">
                            <a:avLst/>
                          </a:prstGeom>
                          <a:ln>
                            <a:noFill/>
                          </a:ln>
                        </wps:spPr>
                        <wps:txbx>
                          <w:txbxContent>
                            <w:p w14:paraId="04473E3E" w14:textId="77777777" w:rsidR="00B32EF2" w:rsidRDefault="00000000">
                              <w:r>
                                <w:rPr>
                                  <w:rFonts w:ascii="Arial" w:eastAsia="Arial" w:hAnsi="Arial" w:cs="Arial"/>
                                  <w:sz w:val="18"/>
                                </w:rPr>
                                <w:t>zia tributaria.</w:t>
                              </w:r>
                            </w:p>
                          </w:txbxContent>
                        </wps:txbx>
                        <wps:bodyPr horzOverflow="overflow" vert="horz" lIns="0" tIns="0" rIns="0" bIns="0" rtlCol="0">
                          <a:noAutofit/>
                        </wps:bodyPr>
                      </wps:wsp>
                      <wps:wsp>
                        <wps:cNvPr id="202348" name="Rectangle 202348"/>
                        <wps:cNvSpPr/>
                        <wps:spPr>
                          <a:xfrm rot="-10799999">
                            <a:off x="2611189" y="5256657"/>
                            <a:ext cx="5309036" cy="142889"/>
                          </a:xfrm>
                          <a:prstGeom prst="rect">
                            <a:avLst/>
                          </a:prstGeom>
                          <a:ln>
                            <a:noFill/>
                          </a:ln>
                        </wps:spPr>
                        <wps:txbx>
                          <w:txbxContent>
                            <w:p w14:paraId="69B94519"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2349" name="Rectangle 202349"/>
                        <wps:cNvSpPr/>
                        <wps:spPr>
                          <a:xfrm rot="-10799999">
                            <a:off x="-1381572" y="5256657"/>
                            <a:ext cx="5309036" cy="142889"/>
                          </a:xfrm>
                          <a:prstGeom prst="rect">
                            <a:avLst/>
                          </a:prstGeom>
                          <a:ln>
                            <a:noFill/>
                          </a:ln>
                        </wps:spPr>
                        <wps:txbx>
                          <w:txbxContent>
                            <w:p w14:paraId="2CB6AE54" w14:textId="77777777" w:rsidR="00B32EF2" w:rsidRDefault="00000000">
                              <w:r>
                                <w:rPr>
                                  <w:rFonts w:ascii="Arial" w:eastAsia="Arial" w:hAnsi="Arial" w:cs="Arial"/>
                                  <w:sz w:val="18"/>
                                </w:rPr>
                                <w:t xml:space="preserve">. La commissione di concorso è composta dal presidente di una corte di </w:t>
                              </w:r>
                            </w:p>
                          </w:txbxContent>
                        </wps:txbx>
                        <wps:bodyPr horzOverflow="overflow" vert="horz" lIns="0" tIns="0" rIns="0" bIns="0" rtlCol="0">
                          <a:noAutofit/>
                        </wps:bodyPr>
                      </wps:wsp>
                      <wps:wsp>
                        <wps:cNvPr id="22843" name="Rectangle 22843"/>
                        <wps:cNvSpPr/>
                        <wps:spPr>
                          <a:xfrm rot="-10799999">
                            <a:off x="-1317001" y="5133327"/>
                            <a:ext cx="5309021" cy="142889"/>
                          </a:xfrm>
                          <a:prstGeom prst="rect">
                            <a:avLst/>
                          </a:prstGeom>
                          <a:ln>
                            <a:noFill/>
                          </a:ln>
                        </wps:spPr>
                        <wps:txbx>
                          <w:txbxContent>
                            <w:p w14:paraId="0583A6BE" w14:textId="77777777" w:rsidR="00B32EF2" w:rsidRDefault="00000000">
                              <w:r>
                                <w:rPr>
                                  <w:rFonts w:ascii="Arial" w:eastAsia="Arial" w:hAnsi="Arial" w:cs="Arial"/>
                                  <w:sz w:val="18"/>
                                </w:rPr>
                                <w:t xml:space="preserve">giustizia tributaria di secondo grado, che la presiede, da venti magistrati scelti </w:t>
                              </w:r>
                            </w:p>
                          </w:txbxContent>
                        </wps:txbx>
                        <wps:bodyPr horzOverflow="overflow" vert="horz" lIns="0" tIns="0" rIns="0" bIns="0" rtlCol="0">
                          <a:noAutofit/>
                        </wps:bodyPr>
                      </wps:wsp>
                      <wps:wsp>
                        <wps:cNvPr id="22844" name="Rectangle 22844"/>
                        <wps:cNvSpPr/>
                        <wps:spPr>
                          <a:xfrm rot="-10799999">
                            <a:off x="-1317030" y="5009998"/>
                            <a:ext cx="5309051" cy="142889"/>
                          </a:xfrm>
                          <a:prstGeom prst="rect">
                            <a:avLst/>
                          </a:prstGeom>
                          <a:ln>
                            <a:noFill/>
                          </a:ln>
                        </wps:spPr>
                        <wps:txbx>
                          <w:txbxContent>
                            <w:p w14:paraId="775FBCF6" w14:textId="77777777" w:rsidR="00B32EF2" w:rsidRDefault="00000000">
                              <w:r>
                                <w:rPr>
                                  <w:rFonts w:ascii="Arial" w:eastAsia="Arial" w:hAnsi="Arial" w:cs="Arial"/>
                                  <w:sz w:val="18"/>
                                </w:rPr>
                                <w:t xml:space="preserve">tra magistrati tributari, ordinari, amministrativi, contabili e militari con almeno </w:t>
                              </w:r>
                            </w:p>
                          </w:txbxContent>
                        </wps:txbx>
                        <wps:bodyPr horzOverflow="overflow" vert="horz" lIns="0" tIns="0" rIns="0" bIns="0" rtlCol="0">
                          <a:noAutofit/>
                        </wps:bodyPr>
                      </wps:wsp>
                      <wps:wsp>
                        <wps:cNvPr id="22845" name="Rectangle 22845"/>
                        <wps:cNvSpPr/>
                        <wps:spPr>
                          <a:xfrm rot="-10799999">
                            <a:off x="-1317431" y="4886668"/>
                            <a:ext cx="5310480" cy="142889"/>
                          </a:xfrm>
                          <a:prstGeom prst="rect">
                            <a:avLst/>
                          </a:prstGeom>
                          <a:ln>
                            <a:noFill/>
                          </a:ln>
                        </wps:spPr>
                        <wps:txbx>
                          <w:txbxContent>
                            <w:p w14:paraId="0B67016F" w14:textId="77777777" w:rsidR="00B32EF2" w:rsidRDefault="00000000">
                              <w:r>
                                <w:rPr>
                                  <w:rFonts w:ascii="Arial" w:eastAsia="Arial" w:hAnsi="Arial" w:cs="Arial"/>
                                  <w:sz w:val="18"/>
                                </w:rPr>
                                <w:t xml:space="preserve">quindici anni di anzianità, da quattro professori universitari di ruolo, di cui due </w:t>
                              </w:r>
                            </w:p>
                          </w:txbxContent>
                        </wps:txbx>
                        <wps:bodyPr horzOverflow="overflow" vert="horz" lIns="0" tIns="0" rIns="0" bIns="0" rtlCol="0">
                          <a:noAutofit/>
                        </wps:bodyPr>
                      </wps:wsp>
                      <wps:wsp>
                        <wps:cNvPr id="22846" name="Rectangle 22846"/>
                        <wps:cNvSpPr/>
                        <wps:spPr>
                          <a:xfrm rot="-10799999">
                            <a:off x="-1218416" y="4763338"/>
                            <a:ext cx="5210436" cy="142889"/>
                          </a:xfrm>
                          <a:prstGeom prst="rect">
                            <a:avLst/>
                          </a:prstGeom>
                          <a:ln>
                            <a:noFill/>
                          </a:ln>
                        </wps:spPr>
                        <wps:txbx>
                          <w:txbxContent>
                            <w:p w14:paraId="0CACA40E" w14:textId="77777777" w:rsidR="00B32EF2" w:rsidRDefault="00000000">
                              <w:r>
                                <w:rPr>
                                  <w:rFonts w:ascii="Arial" w:eastAsia="Arial" w:hAnsi="Arial" w:cs="Arial"/>
                                  <w:sz w:val="18"/>
                                </w:rPr>
                                <w:t>titolari dell’insegnamento di diritto tributario, gli altri titolari di uno degli inse</w:t>
                              </w:r>
                            </w:p>
                          </w:txbxContent>
                        </wps:txbx>
                        <wps:bodyPr horzOverflow="overflow" vert="horz" lIns="0" tIns="0" rIns="0" bIns="0" rtlCol="0">
                          <a:noAutofit/>
                        </wps:bodyPr>
                      </wps:wsp>
                      <wps:wsp>
                        <wps:cNvPr id="22847" name="Rectangle 22847"/>
                        <wps:cNvSpPr/>
                        <wps:spPr>
                          <a:xfrm rot="-10799999">
                            <a:off x="19421" y="4763338"/>
                            <a:ext cx="50622" cy="142889"/>
                          </a:xfrm>
                          <a:prstGeom prst="rect">
                            <a:avLst/>
                          </a:prstGeom>
                          <a:ln>
                            <a:noFill/>
                          </a:ln>
                        </wps:spPr>
                        <wps:txbx>
                          <w:txbxContent>
                            <w:p w14:paraId="679358A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848" name="Rectangle 22848"/>
                        <wps:cNvSpPr/>
                        <wps:spPr>
                          <a:xfrm rot="-10799999">
                            <a:off x="-1316986" y="4640009"/>
                            <a:ext cx="5309005" cy="142889"/>
                          </a:xfrm>
                          <a:prstGeom prst="rect">
                            <a:avLst/>
                          </a:prstGeom>
                          <a:ln>
                            <a:noFill/>
                          </a:ln>
                        </wps:spPr>
                        <wps:txbx>
                          <w:txbxContent>
                            <w:p w14:paraId="6A99E34C" w14:textId="77777777" w:rsidR="00B32EF2" w:rsidRDefault="00000000">
                              <w:r>
                                <w:rPr>
                                  <w:rFonts w:ascii="Arial" w:eastAsia="Arial" w:hAnsi="Arial" w:cs="Arial"/>
                                  <w:sz w:val="18"/>
                                </w:rPr>
                                <w:t xml:space="preserve">gnamenti delle altre materie oggetto di esame, nonché da due avvocati iscritti </w:t>
                              </w:r>
                            </w:p>
                          </w:txbxContent>
                        </wps:txbx>
                        <wps:bodyPr horzOverflow="overflow" vert="horz" lIns="0" tIns="0" rIns="0" bIns="0" rtlCol="0">
                          <a:noAutofit/>
                        </wps:bodyPr>
                      </wps:wsp>
                      <wps:wsp>
                        <wps:cNvPr id="22849" name="Rectangle 22849"/>
                        <wps:cNvSpPr/>
                        <wps:spPr>
                          <a:xfrm rot="-10799999">
                            <a:off x="-1317061" y="4516679"/>
                            <a:ext cx="5309082" cy="142889"/>
                          </a:xfrm>
                          <a:prstGeom prst="rect">
                            <a:avLst/>
                          </a:prstGeom>
                          <a:ln>
                            <a:noFill/>
                          </a:ln>
                        </wps:spPr>
                        <wps:txbx>
                          <w:txbxContent>
                            <w:p w14:paraId="396A05AE" w14:textId="77777777" w:rsidR="00B32EF2" w:rsidRDefault="00000000">
                              <w:r>
                                <w:rPr>
                                  <w:rFonts w:ascii="Arial" w:eastAsia="Arial" w:hAnsi="Arial" w:cs="Arial"/>
                                  <w:sz w:val="18"/>
                                </w:rPr>
                                <w:t xml:space="preserve">all’albo speciale dei patrocinanti dinanzi alle magistrature superiori, nominati </w:t>
                              </w:r>
                            </w:p>
                          </w:txbxContent>
                        </wps:txbx>
                        <wps:bodyPr horzOverflow="overflow" vert="horz" lIns="0" tIns="0" rIns="0" bIns="0" rtlCol="0">
                          <a:noAutofit/>
                        </wps:bodyPr>
                      </wps:wsp>
                      <wps:wsp>
                        <wps:cNvPr id="22850" name="Rectangle 22850"/>
                        <wps:cNvSpPr/>
                        <wps:spPr>
                          <a:xfrm rot="-10799999">
                            <a:off x="-1220255" y="4393349"/>
                            <a:ext cx="5212276" cy="142889"/>
                          </a:xfrm>
                          <a:prstGeom prst="rect">
                            <a:avLst/>
                          </a:prstGeom>
                          <a:ln>
                            <a:noFill/>
                          </a:ln>
                        </wps:spPr>
                        <wps:txbx>
                          <w:txbxContent>
                            <w:p w14:paraId="55891C4C" w14:textId="77777777" w:rsidR="00B32EF2" w:rsidRDefault="00000000">
                              <w:r>
                                <w:rPr>
                                  <w:rFonts w:ascii="Arial" w:eastAsia="Arial" w:hAnsi="Arial" w:cs="Arial"/>
                                  <w:sz w:val="18"/>
                                </w:rPr>
                                <w:t>su proposta del Consiglio nazionale forense e da due dottori commerciali</w:t>
                              </w:r>
                            </w:p>
                          </w:txbxContent>
                        </wps:txbx>
                        <wps:bodyPr horzOverflow="overflow" vert="horz" lIns="0" tIns="0" rIns="0" bIns="0" rtlCol="0">
                          <a:noAutofit/>
                        </wps:bodyPr>
                      </wps:wsp>
                      <wps:wsp>
                        <wps:cNvPr id="22851" name="Rectangle 22851"/>
                        <wps:cNvSpPr/>
                        <wps:spPr>
                          <a:xfrm rot="-10799999">
                            <a:off x="19421" y="4393349"/>
                            <a:ext cx="50622" cy="142889"/>
                          </a:xfrm>
                          <a:prstGeom prst="rect">
                            <a:avLst/>
                          </a:prstGeom>
                          <a:ln>
                            <a:noFill/>
                          </a:ln>
                        </wps:spPr>
                        <wps:txbx>
                          <w:txbxContent>
                            <w:p w14:paraId="53E83FF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852" name="Rectangle 22852"/>
                        <wps:cNvSpPr/>
                        <wps:spPr>
                          <a:xfrm rot="-10799999">
                            <a:off x="-1316986" y="4270019"/>
                            <a:ext cx="5309005" cy="142889"/>
                          </a:xfrm>
                          <a:prstGeom prst="rect">
                            <a:avLst/>
                          </a:prstGeom>
                          <a:ln>
                            <a:noFill/>
                          </a:ln>
                        </wps:spPr>
                        <wps:txbx>
                          <w:txbxContent>
                            <w:p w14:paraId="2E45EFD8" w14:textId="77777777" w:rsidR="00B32EF2" w:rsidRDefault="00000000">
                              <w:r>
                                <w:rPr>
                                  <w:rFonts w:ascii="Arial" w:eastAsia="Arial" w:hAnsi="Arial" w:cs="Arial"/>
                                  <w:sz w:val="18"/>
                                </w:rPr>
                                <w:t xml:space="preserve">sti con almeno quindici anni di anzianità, nominati su proposta del Consiglio </w:t>
                              </w:r>
                            </w:p>
                          </w:txbxContent>
                        </wps:txbx>
                        <wps:bodyPr horzOverflow="overflow" vert="horz" lIns="0" tIns="0" rIns="0" bIns="0" rtlCol="0">
                          <a:noAutofit/>
                        </wps:bodyPr>
                      </wps:wsp>
                      <wps:wsp>
                        <wps:cNvPr id="22853" name="Rectangle 22853"/>
                        <wps:cNvSpPr/>
                        <wps:spPr>
                          <a:xfrm rot="-10799999">
                            <a:off x="-1316970" y="4146690"/>
                            <a:ext cx="5308990" cy="142889"/>
                          </a:xfrm>
                          <a:prstGeom prst="rect">
                            <a:avLst/>
                          </a:prstGeom>
                          <a:ln>
                            <a:noFill/>
                          </a:ln>
                        </wps:spPr>
                        <wps:txbx>
                          <w:txbxContent>
                            <w:p w14:paraId="755A6816" w14:textId="77777777" w:rsidR="00B32EF2" w:rsidRDefault="00000000">
                              <w:r>
                                <w:rPr>
                                  <w:rFonts w:ascii="Arial" w:eastAsia="Arial" w:hAnsi="Arial" w:cs="Arial"/>
                                  <w:sz w:val="18"/>
                                </w:rPr>
                                <w:t xml:space="preserve">nazionale dei dottori commercialisti e degli esperti contabili. Ai professori </w:t>
                              </w:r>
                            </w:p>
                          </w:txbxContent>
                        </wps:txbx>
                        <wps:bodyPr horzOverflow="overflow" vert="horz" lIns="0" tIns="0" rIns="0" bIns="0" rtlCol="0">
                          <a:noAutofit/>
                        </wps:bodyPr>
                      </wps:wsp>
                      <wps:wsp>
                        <wps:cNvPr id="22854" name="Rectangle 22854"/>
                        <wps:cNvSpPr/>
                        <wps:spPr>
                          <a:xfrm rot="-10799999">
                            <a:off x="-1317015" y="4023360"/>
                            <a:ext cx="5309036" cy="142889"/>
                          </a:xfrm>
                          <a:prstGeom prst="rect">
                            <a:avLst/>
                          </a:prstGeom>
                          <a:ln>
                            <a:noFill/>
                          </a:ln>
                        </wps:spPr>
                        <wps:txbx>
                          <w:txbxContent>
                            <w:p w14:paraId="56FFE8D8" w14:textId="77777777" w:rsidR="00B32EF2" w:rsidRDefault="00000000">
                              <w:r>
                                <w:rPr>
                                  <w:rFonts w:ascii="Arial" w:eastAsia="Arial" w:hAnsi="Arial" w:cs="Arial"/>
                                  <w:sz w:val="18"/>
                                </w:rPr>
                                <w:t xml:space="preserve">universitari componenti della commissione si applicano, a loro richiesta, le </w:t>
                              </w:r>
                            </w:p>
                          </w:txbxContent>
                        </wps:txbx>
                        <wps:bodyPr horzOverflow="overflow" vert="horz" lIns="0" tIns="0" rIns="0" bIns="0" rtlCol="0">
                          <a:noAutofit/>
                        </wps:bodyPr>
                      </wps:wsp>
                      <wps:wsp>
                        <wps:cNvPr id="22855" name="Rectangle 22855"/>
                        <wps:cNvSpPr/>
                        <wps:spPr>
                          <a:xfrm rot="-10799999">
                            <a:off x="-1317227" y="3900030"/>
                            <a:ext cx="5309933" cy="142889"/>
                          </a:xfrm>
                          <a:prstGeom prst="rect">
                            <a:avLst/>
                          </a:prstGeom>
                          <a:ln>
                            <a:noFill/>
                          </a:ln>
                        </wps:spPr>
                        <wps:txbx>
                          <w:txbxContent>
                            <w:p w14:paraId="053951D1" w14:textId="77777777" w:rsidR="00B32EF2" w:rsidRDefault="00000000">
                              <w:r>
                                <w:rPr>
                                  <w:rFonts w:ascii="Arial" w:eastAsia="Arial" w:hAnsi="Arial" w:cs="Arial"/>
                                  <w:sz w:val="18"/>
                                </w:rPr>
                                <w:t xml:space="preserve">disposizioni di cui all’articolo 13, secondo comma, del decreto del Presidente </w:t>
                              </w:r>
                            </w:p>
                          </w:txbxContent>
                        </wps:txbx>
                        <wps:bodyPr horzOverflow="overflow" vert="horz" lIns="0" tIns="0" rIns="0" bIns="0" rtlCol="0">
                          <a:noAutofit/>
                        </wps:bodyPr>
                      </wps:wsp>
                      <wps:wsp>
                        <wps:cNvPr id="22856" name="Rectangle 22856"/>
                        <wps:cNvSpPr/>
                        <wps:spPr>
                          <a:xfrm rot="-10799999">
                            <a:off x="-1220103" y="3776701"/>
                            <a:ext cx="5212124" cy="142889"/>
                          </a:xfrm>
                          <a:prstGeom prst="rect">
                            <a:avLst/>
                          </a:prstGeom>
                          <a:ln>
                            <a:noFill/>
                          </a:ln>
                        </wps:spPr>
                        <wps:txbx>
                          <w:txbxContent>
                            <w:p w14:paraId="5BAB9657" w14:textId="77777777" w:rsidR="00B32EF2" w:rsidRDefault="00000000">
                              <w:r>
                                <w:rPr>
                                  <w:rFonts w:ascii="Arial" w:eastAsia="Arial" w:hAnsi="Arial" w:cs="Arial"/>
                                  <w:sz w:val="18"/>
                                </w:rPr>
                                <w:t>della Repubblica 11 luglio 1980, n. 382. Al presidente e ai magistrati com</w:t>
                              </w:r>
                            </w:p>
                          </w:txbxContent>
                        </wps:txbx>
                        <wps:bodyPr horzOverflow="overflow" vert="horz" lIns="0" tIns="0" rIns="0" bIns="0" rtlCol="0">
                          <a:noAutofit/>
                        </wps:bodyPr>
                      </wps:wsp>
                      <wps:wsp>
                        <wps:cNvPr id="22857" name="Rectangle 22857"/>
                        <wps:cNvSpPr/>
                        <wps:spPr>
                          <a:xfrm rot="-10799999">
                            <a:off x="19421" y="3776700"/>
                            <a:ext cx="50622" cy="142889"/>
                          </a:xfrm>
                          <a:prstGeom prst="rect">
                            <a:avLst/>
                          </a:prstGeom>
                          <a:ln>
                            <a:noFill/>
                          </a:ln>
                        </wps:spPr>
                        <wps:txbx>
                          <w:txbxContent>
                            <w:p w14:paraId="5E99C4F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858" name="Rectangle 22858"/>
                        <wps:cNvSpPr/>
                        <wps:spPr>
                          <a:xfrm rot="-10799999">
                            <a:off x="-1317279" y="3653371"/>
                            <a:ext cx="5310328" cy="142889"/>
                          </a:xfrm>
                          <a:prstGeom prst="rect">
                            <a:avLst/>
                          </a:prstGeom>
                          <a:ln>
                            <a:noFill/>
                          </a:ln>
                        </wps:spPr>
                        <wps:txbx>
                          <w:txbxContent>
                            <w:p w14:paraId="792FC1EE" w14:textId="77777777" w:rsidR="00B32EF2" w:rsidRDefault="00000000">
                              <w:r>
                                <w:rPr>
                                  <w:rFonts w:ascii="Arial" w:eastAsia="Arial" w:hAnsi="Arial" w:cs="Arial"/>
                                  <w:sz w:val="18"/>
                                </w:rPr>
                                <w:t xml:space="preserve">ponenti della commissione si applica la disciplina dell’esonero dalle funzioni </w:t>
                              </w:r>
                            </w:p>
                          </w:txbxContent>
                        </wps:txbx>
                        <wps:bodyPr horzOverflow="overflow" vert="horz" lIns="0" tIns="0" rIns="0" bIns="0" rtlCol="0">
                          <a:noAutofit/>
                        </wps:bodyPr>
                      </wps:wsp>
                      <wps:wsp>
                        <wps:cNvPr id="22859" name="Rectangle 22859"/>
                        <wps:cNvSpPr/>
                        <wps:spPr>
                          <a:xfrm rot="-10799999">
                            <a:off x="-1317015" y="3530041"/>
                            <a:ext cx="5309036" cy="142889"/>
                          </a:xfrm>
                          <a:prstGeom prst="rect">
                            <a:avLst/>
                          </a:prstGeom>
                          <a:ln>
                            <a:noFill/>
                          </a:ln>
                        </wps:spPr>
                        <wps:txbx>
                          <w:txbxContent>
                            <w:p w14:paraId="1BA9DAE7" w14:textId="77777777" w:rsidR="00B32EF2" w:rsidRDefault="00000000">
                              <w:r>
                                <w:rPr>
                                  <w:rFonts w:ascii="Arial" w:eastAsia="Arial" w:hAnsi="Arial" w:cs="Arial"/>
                                  <w:sz w:val="18"/>
                                </w:rPr>
                                <w:t xml:space="preserve">giudiziarie o giurisdizionali, ai sensi del comma 9 del presente articolo. Non </w:t>
                              </w:r>
                            </w:p>
                          </w:txbxContent>
                        </wps:txbx>
                        <wps:bodyPr horzOverflow="overflow" vert="horz" lIns="0" tIns="0" rIns="0" bIns="0" rtlCol="0">
                          <a:noAutofit/>
                        </wps:bodyPr>
                      </wps:wsp>
                      <wps:wsp>
                        <wps:cNvPr id="22860" name="Rectangle 22860"/>
                        <wps:cNvSpPr/>
                        <wps:spPr>
                          <a:xfrm rot="-10799999">
                            <a:off x="-1317035" y="3406712"/>
                            <a:ext cx="5310085" cy="142889"/>
                          </a:xfrm>
                          <a:prstGeom prst="rect">
                            <a:avLst/>
                          </a:prstGeom>
                          <a:ln>
                            <a:noFill/>
                          </a:ln>
                        </wps:spPr>
                        <wps:txbx>
                          <w:txbxContent>
                            <w:p w14:paraId="4A5AB4EB" w14:textId="77777777" w:rsidR="00B32EF2" w:rsidRDefault="00000000">
                              <w:r>
                                <w:rPr>
                                  <w:rFonts w:ascii="Arial" w:eastAsia="Arial" w:hAnsi="Arial" w:cs="Arial"/>
                                  <w:sz w:val="18"/>
                                </w:rPr>
                                <w:t xml:space="preserve">possono essere nominati componenti della commissione coloro che, nei dieci </w:t>
                              </w:r>
                            </w:p>
                          </w:txbxContent>
                        </wps:txbx>
                        <wps:bodyPr horzOverflow="overflow" vert="horz" lIns="0" tIns="0" rIns="0" bIns="0" rtlCol="0">
                          <a:noAutofit/>
                        </wps:bodyPr>
                      </wps:wsp>
                      <wps:wsp>
                        <wps:cNvPr id="22861" name="Rectangle 22861"/>
                        <wps:cNvSpPr/>
                        <wps:spPr>
                          <a:xfrm rot="-10799999">
                            <a:off x="-1317107" y="3283382"/>
                            <a:ext cx="5309127" cy="142889"/>
                          </a:xfrm>
                          <a:prstGeom prst="rect">
                            <a:avLst/>
                          </a:prstGeom>
                          <a:ln>
                            <a:noFill/>
                          </a:ln>
                        </wps:spPr>
                        <wps:txbx>
                          <w:txbxContent>
                            <w:p w14:paraId="40D099F0" w14:textId="77777777" w:rsidR="00B32EF2" w:rsidRDefault="00000000">
                              <w:r>
                                <w:rPr>
                                  <w:rFonts w:ascii="Arial" w:eastAsia="Arial" w:hAnsi="Arial" w:cs="Arial"/>
                                  <w:sz w:val="18"/>
                                </w:rPr>
                                <w:t xml:space="preserve">anni precedenti, hanno prestato, a qualsiasi titolo e modo, attività di docenza </w:t>
                              </w:r>
                            </w:p>
                          </w:txbxContent>
                        </wps:txbx>
                        <wps:bodyPr horzOverflow="overflow" vert="horz" lIns="0" tIns="0" rIns="0" bIns="0" rtlCol="0">
                          <a:noAutofit/>
                        </wps:bodyPr>
                      </wps:wsp>
                      <wps:wsp>
                        <wps:cNvPr id="22862" name="Rectangle 22862"/>
                        <wps:cNvSpPr/>
                        <wps:spPr>
                          <a:xfrm rot="-10799999">
                            <a:off x="-1317061" y="3160052"/>
                            <a:ext cx="5309082" cy="142889"/>
                          </a:xfrm>
                          <a:prstGeom prst="rect">
                            <a:avLst/>
                          </a:prstGeom>
                          <a:ln>
                            <a:noFill/>
                          </a:ln>
                        </wps:spPr>
                        <wps:txbx>
                          <w:txbxContent>
                            <w:p w14:paraId="4678CD1F" w14:textId="77777777" w:rsidR="00B32EF2" w:rsidRDefault="00000000">
                              <w:r>
                                <w:rPr>
                                  <w:rFonts w:ascii="Arial" w:eastAsia="Arial" w:hAnsi="Arial" w:cs="Arial"/>
                                  <w:sz w:val="18"/>
                                </w:rPr>
                                <w:t xml:space="preserve">nelle scuole di preparazione al concorso per magistrato tributario, ordinario, </w:t>
                              </w:r>
                            </w:p>
                          </w:txbxContent>
                        </wps:txbx>
                        <wps:bodyPr horzOverflow="overflow" vert="horz" lIns="0" tIns="0" rIns="0" bIns="0" rtlCol="0">
                          <a:noAutofit/>
                        </wps:bodyPr>
                      </wps:wsp>
                      <wps:wsp>
                        <wps:cNvPr id="22863" name="Rectangle 22863"/>
                        <wps:cNvSpPr/>
                        <wps:spPr>
                          <a:xfrm rot="-10799999">
                            <a:off x="-1316986" y="3036723"/>
                            <a:ext cx="5309005" cy="142889"/>
                          </a:xfrm>
                          <a:prstGeom prst="rect">
                            <a:avLst/>
                          </a:prstGeom>
                          <a:ln>
                            <a:noFill/>
                          </a:ln>
                        </wps:spPr>
                        <wps:txbx>
                          <w:txbxContent>
                            <w:p w14:paraId="7EF98050" w14:textId="77777777" w:rsidR="00B32EF2" w:rsidRDefault="00000000">
                              <w:r>
                                <w:rPr>
                                  <w:rFonts w:ascii="Arial" w:eastAsia="Arial" w:hAnsi="Arial" w:cs="Arial"/>
                                  <w:sz w:val="18"/>
                                </w:rPr>
                                <w:t xml:space="preserve">amministrativo e contabile. Con il decreto di cui al comma 1 possono essere </w:t>
                              </w:r>
                            </w:p>
                          </w:txbxContent>
                        </wps:txbx>
                        <wps:bodyPr horzOverflow="overflow" vert="horz" lIns="0" tIns="0" rIns="0" bIns="0" rtlCol="0">
                          <a:noAutofit/>
                        </wps:bodyPr>
                      </wps:wsp>
                      <wps:wsp>
                        <wps:cNvPr id="22864" name="Rectangle 22864"/>
                        <wps:cNvSpPr/>
                        <wps:spPr>
                          <a:xfrm rot="-10799999">
                            <a:off x="-1220423" y="2913393"/>
                            <a:ext cx="5212443" cy="142889"/>
                          </a:xfrm>
                          <a:prstGeom prst="rect">
                            <a:avLst/>
                          </a:prstGeom>
                          <a:ln>
                            <a:noFill/>
                          </a:ln>
                        </wps:spPr>
                        <wps:txbx>
                          <w:txbxContent>
                            <w:p w14:paraId="0FB3B925" w14:textId="77777777" w:rsidR="00B32EF2" w:rsidRDefault="00000000">
                              <w:r>
                                <w:rPr>
                                  <w:rFonts w:ascii="Arial" w:eastAsia="Arial" w:hAnsi="Arial" w:cs="Arial"/>
                                  <w:sz w:val="18"/>
                                </w:rPr>
                                <w:t>nominati i commissari supplenti destinati a sostituire i titolari in caso di assen</w:t>
                              </w:r>
                            </w:p>
                          </w:txbxContent>
                        </wps:txbx>
                        <wps:bodyPr horzOverflow="overflow" vert="horz" lIns="0" tIns="0" rIns="0" bIns="0" rtlCol="0">
                          <a:noAutofit/>
                        </wps:bodyPr>
                      </wps:wsp>
                      <wps:wsp>
                        <wps:cNvPr id="22865" name="Rectangle 22865"/>
                        <wps:cNvSpPr/>
                        <wps:spPr>
                          <a:xfrm rot="-10799999">
                            <a:off x="19421" y="2913392"/>
                            <a:ext cx="50622" cy="142889"/>
                          </a:xfrm>
                          <a:prstGeom prst="rect">
                            <a:avLst/>
                          </a:prstGeom>
                          <a:ln>
                            <a:noFill/>
                          </a:ln>
                        </wps:spPr>
                        <wps:txbx>
                          <w:txbxContent>
                            <w:p w14:paraId="2FCCFA8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866" name="Rectangle 22866"/>
                        <wps:cNvSpPr/>
                        <wps:spPr>
                          <a:xfrm rot="-10799999">
                            <a:off x="2580157" y="2790063"/>
                            <a:ext cx="1411862" cy="142889"/>
                          </a:xfrm>
                          <a:prstGeom prst="rect">
                            <a:avLst/>
                          </a:prstGeom>
                          <a:ln>
                            <a:noFill/>
                          </a:ln>
                        </wps:spPr>
                        <wps:txbx>
                          <w:txbxContent>
                            <w:p w14:paraId="346796A3" w14:textId="77777777" w:rsidR="00B32EF2" w:rsidRDefault="00000000">
                              <w:r>
                                <w:rPr>
                                  <w:rFonts w:ascii="Arial" w:eastAsia="Arial" w:hAnsi="Arial" w:cs="Arial"/>
                                  <w:sz w:val="18"/>
                                </w:rPr>
                                <w:t>za o di impedimento.</w:t>
                              </w:r>
                            </w:p>
                          </w:txbxContent>
                        </wps:txbx>
                        <wps:bodyPr horzOverflow="overflow" vert="horz" lIns="0" tIns="0" rIns="0" bIns="0" rtlCol="0">
                          <a:noAutofit/>
                        </wps:bodyPr>
                      </wps:wsp>
                      <wps:wsp>
                        <wps:cNvPr id="202346" name="Rectangle 202346"/>
                        <wps:cNvSpPr/>
                        <wps:spPr>
                          <a:xfrm rot="-10799999">
                            <a:off x="2635789" y="2666733"/>
                            <a:ext cx="5209889" cy="142889"/>
                          </a:xfrm>
                          <a:prstGeom prst="rect">
                            <a:avLst/>
                          </a:prstGeom>
                          <a:ln>
                            <a:noFill/>
                          </a:ln>
                        </wps:spPr>
                        <wps:txbx>
                          <w:txbxContent>
                            <w:p w14:paraId="08FCFE59"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2347" name="Rectangle 202347"/>
                        <wps:cNvSpPr/>
                        <wps:spPr>
                          <a:xfrm rot="-10799999">
                            <a:off x="-1284562" y="2666733"/>
                            <a:ext cx="5209889" cy="142889"/>
                          </a:xfrm>
                          <a:prstGeom prst="rect">
                            <a:avLst/>
                          </a:prstGeom>
                          <a:ln>
                            <a:noFill/>
                          </a:ln>
                        </wps:spPr>
                        <wps:txbx>
                          <w:txbxContent>
                            <w:p w14:paraId="29E9C0D2" w14:textId="77777777" w:rsidR="00B32EF2" w:rsidRDefault="00000000">
                              <w:r>
                                <w:rPr>
                                  <w:rFonts w:ascii="Arial" w:eastAsia="Arial" w:hAnsi="Arial" w:cs="Arial"/>
                                  <w:sz w:val="18"/>
                                </w:rPr>
                                <w:t>. Nel caso in cui non sia possibile completare la composizione della commis</w:t>
                              </w:r>
                            </w:p>
                          </w:txbxContent>
                        </wps:txbx>
                        <wps:bodyPr horzOverflow="overflow" vert="horz" lIns="0" tIns="0" rIns="0" bIns="0" rtlCol="0">
                          <a:noAutofit/>
                        </wps:bodyPr>
                      </wps:wsp>
                      <wps:wsp>
                        <wps:cNvPr id="22868" name="Rectangle 22868"/>
                        <wps:cNvSpPr/>
                        <wps:spPr>
                          <a:xfrm rot="-10799999">
                            <a:off x="19421" y="2666733"/>
                            <a:ext cx="50622" cy="142889"/>
                          </a:xfrm>
                          <a:prstGeom prst="rect">
                            <a:avLst/>
                          </a:prstGeom>
                          <a:ln>
                            <a:noFill/>
                          </a:ln>
                        </wps:spPr>
                        <wps:txbx>
                          <w:txbxContent>
                            <w:p w14:paraId="469170D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869" name="Rectangle 22869"/>
                        <wps:cNvSpPr/>
                        <wps:spPr>
                          <a:xfrm rot="-10799999">
                            <a:off x="-1317629" y="2543403"/>
                            <a:ext cx="5310450" cy="142889"/>
                          </a:xfrm>
                          <a:prstGeom prst="rect">
                            <a:avLst/>
                          </a:prstGeom>
                          <a:ln>
                            <a:noFill/>
                          </a:ln>
                        </wps:spPr>
                        <wps:txbx>
                          <w:txbxContent>
                            <w:p w14:paraId="7E682717" w14:textId="77777777" w:rsidR="00B32EF2" w:rsidRDefault="00000000">
                              <w:r>
                                <w:rPr>
                                  <w:rFonts w:ascii="Arial" w:eastAsia="Arial" w:hAnsi="Arial" w:cs="Arial"/>
                                  <w:sz w:val="18"/>
                                </w:rPr>
                                <w:t xml:space="preserve">sione ai sensi del comma 2, il Consiglio di presidenza della giustizia tributaria </w:t>
                              </w:r>
                            </w:p>
                          </w:txbxContent>
                        </wps:txbx>
                        <wps:bodyPr horzOverflow="overflow" vert="horz" lIns="0" tIns="0" rIns="0" bIns="0" rtlCol="0">
                          <a:noAutofit/>
                        </wps:bodyPr>
                      </wps:wsp>
                      <wps:wsp>
                        <wps:cNvPr id="22870" name="Rectangle 22870"/>
                        <wps:cNvSpPr/>
                        <wps:spPr>
                          <a:xfrm rot="-10799999">
                            <a:off x="-1317092" y="2420073"/>
                            <a:ext cx="5309111" cy="142889"/>
                          </a:xfrm>
                          <a:prstGeom prst="rect">
                            <a:avLst/>
                          </a:prstGeom>
                          <a:ln>
                            <a:noFill/>
                          </a:ln>
                        </wps:spPr>
                        <wps:txbx>
                          <w:txbxContent>
                            <w:p w14:paraId="1C4EE315" w14:textId="77777777" w:rsidR="00B32EF2" w:rsidRDefault="00000000">
                              <w:r>
                                <w:rPr>
                                  <w:rFonts w:ascii="Arial" w:eastAsia="Arial" w:hAnsi="Arial" w:cs="Arial"/>
                                  <w:sz w:val="18"/>
                                </w:rPr>
                                <w:t xml:space="preserve">nomina d’ufficio, come componenti, magistrati che non hanno prestato il loro </w:t>
                              </w:r>
                            </w:p>
                          </w:txbxContent>
                        </wps:txbx>
                        <wps:bodyPr horzOverflow="overflow" vert="horz" lIns="0" tIns="0" rIns="0" bIns="0" rtlCol="0">
                          <a:noAutofit/>
                        </wps:bodyPr>
                      </wps:wsp>
                      <wps:wsp>
                        <wps:cNvPr id="22871" name="Rectangle 22871"/>
                        <wps:cNvSpPr/>
                        <wps:spPr>
                          <a:xfrm rot="-10799999">
                            <a:off x="-1316986" y="2296744"/>
                            <a:ext cx="5309005" cy="142889"/>
                          </a:xfrm>
                          <a:prstGeom prst="rect">
                            <a:avLst/>
                          </a:prstGeom>
                          <a:ln>
                            <a:noFill/>
                          </a:ln>
                        </wps:spPr>
                        <wps:txbx>
                          <w:txbxContent>
                            <w:p w14:paraId="1F0E67CB" w14:textId="77777777" w:rsidR="00B32EF2" w:rsidRDefault="00000000">
                              <w:r>
                                <w:rPr>
                                  <w:rFonts w:ascii="Arial" w:eastAsia="Arial" w:hAnsi="Arial" w:cs="Arial"/>
                                  <w:sz w:val="18"/>
                                </w:rPr>
                                <w:t xml:space="preserve">consenso all’esonero dalle funzioni. Non possono essere nominati i magistrati </w:t>
                              </w:r>
                            </w:p>
                          </w:txbxContent>
                        </wps:txbx>
                        <wps:bodyPr horzOverflow="overflow" vert="horz" lIns="0" tIns="0" rIns="0" bIns="0" rtlCol="0">
                          <a:noAutofit/>
                        </wps:bodyPr>
                      </wps:wsp>
                      <wps:wsp>
                        <wps:cNvPr id="22872" name="Rectangle 22872"/>
                        <wps:cNvSpPr/>
                        <wps:spPr>
                          <a:xfrm rot="-10799999">
                            <a:off x="-1253836" y="2173414"/>
                            <a:ext cx="5245857" cy="142889"/>
                          </a:xfrm>
                          <a:prstGeom prst="rect">
                            <a:avLst/>
                          </a:prstGeom>
                          <a:ln>
                            <a:noFill/>
                          </a:ln>
                        </wps:spPr>
                        <wps:txbx>
                          <w:txbxContent>
                            <w:p w14:paraId="3F34AD0D" w14:textId="77777777" w:rsidR="00B32EF2" w:rsidRDefault="00000000">
                              <w:r>
                                <w:rPr>
                                  <w:rFonts w:ascii="Arial" w:eastAsia="Arial" w:hAnsi="Arial" w:cs="Arial"/>
                                  <w:sz w:val="18"/>
                                </w:rPr>
                                <w:t>che abbiano fatto parte della commissione in uno dei tre concorsi precedenti.</w:t>
                              </w:r>
                            </w:p>
                          </w:txbxContent>
                        </wps:txbx>
                        <wps:bodyPr horzOverflow="overflow" vert="horz" lIns="0" tIns="0" rIns="0" bIns="0" rtlCol="0">
                          <a:noAutofit/>
                        </wps:bodyPr>
                      </wps:wsp>
                      <wps:wsp>
                        <wps:cNvPr id="202342" name="Rectangle 202342"/>
                        <wps:cNvSpPr/>
                        <wps:spPr>
                          <a:xfrm rot="-10799999">
                            <a:off x="2611208" y="2050085"/>
                            <a:ext cx="5308960" cy="142889"/>
                          </a:xfrm>
                          <a:prstGeom prst="rect">
                            <a:avLst/>
                          </a:prstGeom>
                          <a:ln>
                            <a:noFill/>
                          </a:ln>
                        </wps:spPr>
                        <wps:txbx>
                          <w:txbxContent>
                            <w:p w14:paraId="368971E3"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2344" name="Rectangle 202344"/>
                        <wps:cNvSpPr/>
                        <wps:spPr>
                          <a:xfrm rot="-10799999">
                            <a:off x="-1380079" y="2050084"/>
                            <a:ext cx="5308960" cy="142889"/>
                          </a:xfrm>
                          <a:prstGeom prst="rect">
                            <a:avLst/>
                          </a:prstGeom>
                          <a:ln>
                            <a:noFill/>
                          </a:ln>
                        </wps:spPr>
                        <wps:txbx>
                          <w:txbxContent>
                            <w:p w14:paraId="0592CD3E" w14:textId="77777777" w:rsidR="00B32EF2" w:rsidRDefault="00000000">
                              <w:r>
                                <w:rPr>
                                  <w:rFonts w:ascii="Arial" w:eastAsia="Arial" w:hAnsi="Arial" w:cs="Arial"/>
                                  <w:sz w:val="18"/>
                                </w:rPr>
                                <w:t xml:space="preserve">. Nella seduta di cui all’articolo 8, sesto comma, del regio decreto 15 ottobre </w:t>
                              </w:r>
                            </w:p>
                          </w:txbxContent>
                        </wps:txbx>
                        <wps:bodyPr horzOverflow="overflow" vert="horz" lIns="0" tIns="0" rIns="0" bIns="0" rtlCol="0">
                          <a:noAutofit/>
                        </wps:bodyPr>
                      </wps:wsp>
                      <wps:wsp>
                        <wps:cNvPr id="202339" name="Rectangle 202339"/>
                        <wps:cNvSpPr/>
                        <wps:spPr>
                          <a:xfrm rot="-10799999">
                            <a:off x="-1570235" y="1926755"/>
                            <a:ext cx="5310556" cy="142889"/>
                          </a:xfrm>
                          <a:prstGeom prst="rect">
                            <a:avLst/>
                          </a:prstGeom>
                          <a:ln>
                            <a:noFill/>
                          </a:ln>
                        </wps:spPr>
                        <wps:txbx>
                          <w:txbxContent>
                            <w:p w14:paraId="68C79EC6" w14:textId="77777777" w:rsidR="00B32EF2" w:rsidRDefault="00000000">
                              <w:r>
                                <w:rPr>
                                  <w:rFonts w:ascii="Arial" w:eastAsia="Arial" w:hAnsi="Arial" w:cs="Arial"/>
                                  <w:sz w:val="18"/>
                                </w:rPr>
                                <w:t xml:space="preserve">, n. 1860, la commissione definisce i criteri per la valutazione omogenea </w:t>
                              </w:r>
                            </w:p>
                          </w:txbxContent>
                        </wps:txbx>
                        <wps:bodyPr horzOverflow="overflow" vert="horz" lIns="0" tIns="0" rIns="0" bIns="0" rtlCol="0">
                          <a:noAutofit/>
                        </wps:bodyPr>
                      </wps:wsp>
                      <wps:wsp>
                        <wps:cNvPr id="202337" name="Rectangle 202337"/>
                        <wps:cNvSpPr/>
                        <wps:spPr>
                          <a:xfrm rot="-10799999">
                            <a:off x="2421920" y="1926755"/>
                            <a:ext cx="5310555" cy="142889"/>
                          </a:xfrm>
                          <a:prstGeom prst="rect">
                            <a:avLst/>
                          </a:prstGeom>
                          <a:ln>
                            <a:noFill/>
                          </a:ln>
                        </wps:spPr>
                        <wps:txbx>
                          <w:txbxContent>
                            <w:p w14:paraId="55A971F4" w14:textId="77777777" w:rsidR="00B32EF2" w:rsidRDefault="00000000">
                              <w:r>
                                <w:rPr>
                                  <w:rFonts w:ascii="Arial" w:eastAsia="Arial" w:hAnsi="Arial" w:cs="Arial"/>
                                  <w:sz w:val="18"/>
                                </w:rPr>
                                <w:t>1925</w:t>
                              </w:r>
                            </w:p>
                          </w:txbxContent>
                        </wps:txbx>
                        <wps:bodyPr horzOverflow="overflow" vert="horz" lIns="0" tIns="0" rIns="0" bIns="0" rtlCol="0">
                          <a:noAutofit/>
                        </wps:bodyPr>
                      </wps:wsp>
                      <wps:wsp>
                        <wps:cNvPr id="22875" name="Rectangle 22875"/>
                        <wps:cNvSpPr/>
                        <wps:spPr>
                          <a:xfrm rot="-10799999">
                            <a:off x="-1317000" y="1803425"/>
                            <a:ext cx="5309020" cy="142889"/>
                          </a:xfrm>
                          <a:prstGeom prst="rect">
                            <a:avLst/>
                          </a:prstGeom>
                          <a:ln>
                            <a:noFill/>
                          </a:ln>
                        </wps:spPr>
                        <wps:txbx>
                          <w:txbxContent>
                            <w:p w14:paraId="7CD22981" w14:textId="77777777" w:rsidR="00B32EF2" w:rsidRDefault="00000000">
                              <w:r>
                                <w:rPr>
                                  <w:rFonts w:ascii="Arial" w:eastAsia="Arial" w:hAnsi="Arial" w:cs="Arial"/>
                                  <w:sz w:val="18"/>
                                </w:rPr>
                                <w:t xml:space="preserve">degli elaborati scritti. I criteri per la valutazione delle prove orali sono definiti </w:t>
                              </w:r>
                            </w:p>
                          </w:txbxContent>
                        </wps:txbx>
                        <wps:bodyPr horzOverflow="overflow" vert="horz" lIns="0" tIns="0" rIns="0" bIns="0" rtlCol="0">
                          <a:noAutofit/>
                        </wps:bodyPr>
                      </wps:wsp>
                      <wps:wsp>
                        <wps:cNvPr id="22876" name="Rectangle 22876"/>
                        <wps:cNvSpPr/>
                        <wps:spPr>
                          <a:xfrm rot="-10799999">
                            <a:off x="-1317015" y="1680095"/>
                            <a:ext cx="5309036" cy="142889"/>
                          </a:xfrm>
                          <a:prstGeom prst="rect">
                            <a:avLst/>
                          </a:prstGeom>
                          <a:ln>
                            <a:noFill/>
                          </a:ln>
                        </wps:spPr>
                        <wps:txbx>
                          <w:txbxContent>
                            <w:p w14:paraId="03A4E510" w14:textId="77777777" w:rsidR="00B32EF2" w:rsidRDefault="00000000">
                              <w:r>
                                <w:rPr>
                                  <w:rFonts w:ascii="Arial" w:eastAsia="Arial" w:hAnsi="Arial" w:cs="Arial"/>
                                  <w:sz w:val="18"/>
                                </w:rPr>
                                <w:t xml:space="preserve">prima dell’inizio delle stesse. Alle sedute per la definizione dei suddetti criteri </w:t>
                              </w:r>
                            </w:p>
                          </w:txbxContent>
                        </wps:txbx>
                        <wps:bodyPr horzOverflow="overflow" vert="horz" lIns="0" tIns="0" rIns="0" bIns="0" rtlCol="0">
                          <a:noAutofit/>
                        </wps:bodyPr>
                      </wps:wsp>
                      <wps:wsp>
                        <wps:cNvPr id="22877" name="Rectangle 22877"/>
                        <wps:cNvSpPr/>
                        <wps:spPr>
                          <a:xfrm rot="-10799999">
                            <a:off x="-1316863" y="1556766"/>
                            <a:ext cx="5308884" cy="142889"/>
                          </a:xfrm>
                          <a:prstGeom prst="rect">
                            <a:avLst/>
                          </a:prstGeom>
                          <a:ln>
                            <a:noFill/>
                          </a:ln>
                        </wps:spPr>
                        <wps:txbx>
                          <w:txbxContent>
                            <w:p w14:paraId="22AA60DB" w14:textId="77777777" w:rsidR="00B32EF2" w:rsidRDefault="00000000">
                              <w:r>
                                <w:rPr>
                                  <w:rFonts w:ascii="Arial" w:eastAsia="Arial" w:hAnsi="Arial" w:cs="Arial"/>
                                  <w:sz w:val="18"/>
                                </w:rPr>
                                <w:t xml:space="preserve">devono partecipare tutti i componenti della commissione, salvi i casi di forza </w:t>
                              </w:r>
                            </w:p>
                          </w:txbxContent>
                        </wps:txbx>
                        <wps:bodyPr horzOverflow="overflow" vert="horz" lIns="0" tIns="0" rIns="0" bIns="0" rtlCol="0">
                          <a:noAutofit/>
                        </wps:bodyPr>
                      </wps:wsp>
                      <wps:wsp>
                        <wps:cNvPr id="22878" name="Rectangle 22878"/>
                        <wps:cNvSpPr/>
                        <wps:spPr>
                          <a:xfrm rot="-10799999">
                            <a:off x="-1316696" y="1433436"/>
                            <a:ext cx="5308716" cy="142889"/>
                          </a:xfrm>
                          <a:prstGeom prst="rect">
                            <a:avLst/>
                          </a:prstGeom>
                          <a:ln>
                            <a:noFill/>
                          </a:ln>
                        </wps:spPr>
                        <wps:txbx>
                          <w:txbxContent>
                            <w:p w14:paraId="6255FE40" w14:textId="77777777" w:rsidR="00B32EF2" w:rsidRDefault="00000000">
                              <w:r>
                                <w:rPr>
                                  <w:rFonts w:ascii="Arial" w:eastAsia="Arial" w:hAnsi="Arial" w:cs="Arial"/>
                                  <w:sz w:val="18"/>
                                </w:rPr>
                                <w:t xml:space="preserve">maggiore e di legittimo impedimento, la cui valutazione è rimessa al Consiglio </w:t>
                              </w:r>
                            </w:p>
                          </w:txbxContent>
                        </wps:txbx>
                        <wps:bodyPr horzOverflow="overflow" vert="horz" lIns="0" tIns="0" rIns="0" bIns="0" rtlCol="0">
                          <a:noAutofit/>
                        </wps:bodyPr>
                      </wps:wsp>
                      <wps:wsp>
                        <wps:cNvPr id="22879" name="Rectangle 22879"/>
                        <wps:cNvSpPr/>
                        <wps:spPr>
                          <a:xfrm rot="-10799999">
                            <a:off x="-1220423" y="1310106"/>
                            <a:ext cx="5212443" cy="142889"/>
                          </a:xfrm>
                          <a:prstGeom prst="rect">
                            <a:avLst/>
                          </a:prstGeom>
                          <a:ln>
                            <a:noFill/>
                          </a:ln>
                        </wps:spPr>
                        <wps:txbx>
                          <w:txbxContent>
                            <w:p w14:paraId="7F578D5D" w14:textId="77777777" w:rsidR="00B32EF2" w:rsidRDefault="00000000">
                              <w:r>
                                <w:rPr>
                                  <w:rFonts w:ascii="Arial" w:eastAsia="Arial" w:hAnsi="Arial" w:cs="Arial"/>
                                  <w:sz w:val="18"/>
                                </w:rPr>
                                <w:t>di presidenza della giustizia tributaria. In caso di mancata partecipazione, sen</w:t>
                              </w:r>
                            </w:p>
                          </w:txbxContent>
                        </wps:txbx>
                        <wps:bodyPr horzOverflow="overflow" vert="horz" lIns="0" tIns="0" rIns="0" bIns="0" rtlCol="0">
                          <a:noAutofit/>
                        </wps:bodyPr>
                      </wps:wsp>
                      <wps:wsp>
                        <wps:cNvPr id="22880" name="Rectangle 22880"/>
                        <wps:cNvSpPr/>
                        <wps:spPr>
                          <a:xfrm rot="-10799999">
                            <a:off x="19421" y="1310107"/>
                            <a:ext cx="50622" cy="142889"/>
                          </a:xfrm>
                          <a:prstGeom prst="rect">
                            <a:avLst/>
                          </a:prstGeom>
                          <a:ln>
                            <a:noFill/>
                          </a:ln>
                        </wps:spPr>
                        <wps:txbx>
                          <w:txbxContent>
                            <w:p w14:paraId="43CB14F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881" name="Rectangle 22881"/>
                        <wps:cNvSpPr/>
                        <wps:spPr>
                          <a:xfrm rot="-10799999">
                            <a:off x="-1317030" y="1186776"/>
                            <a:ext cx="5309051" cy="142890"/>
                          </a:xfrm>
                          <a:prstGeom prst="rect">
                            <a:avLst/>
                          </a:prstGeom>
                          <a:ln>
                            <a:noFill/>
                          </a:ln>
                        </wps:spPr>
                        <wps:txbx>
                          <w:txbxContent>
                            <w:p w14:paraId="17421F44" w14:textId="77777777" w:rsidR="00B32EF2" w:rsidRDefault="00000000">
                              <w:r>
                                <w:rPr>
                                  <w:rFonts w:ascii="Arial" w:eastAsia="Arial" w:hAnsi="Arial" w:cs="Arial"/>
                                  <w:sz w:val="18"/>
                                </w:rPr>
                                <w:t xml:space="preserve">za adeguata giustificazione, a una di tali sedute o comunque a due sedute di </w:t>
                              </w:r>
                            </w:p>
                          </w:txbxContent>
                        </wps:txbx>
                        <wps:bodyPr horzOverflow="overflow" vert="horz" lIns="0" tIns="0" rIns="0" bIns="0" rtlCol="0">
                          <a:noAutofit/>
                        </wps:bodyPr>
                      </wps:wsp>
                      <wps:wsp>
                        <wps:cNvPr id="22882" name="Rectangle 22882"/>
                        <wps:cNvSpPr/>
                        <wps:spPr>
                          <a:xfrm rot="-10799999">
                            <a:off x="-1316651" y="1063447"/>
                            <a:ext cx="5308672" cy="142889"/>
                          </a:xfrm>
                          <a:prstGeom prst="rect">
                            <a:avLst/>
                          </a:prstGeom>
                          <a:ln>
                            <a:noFill/>
                          </a:ln>
                        </wps:spPr>
                        <wps:txbx>
                          <w:txbxContent>
                            <w:p w14:paraId="0CB68523" w14:textId="77777777" w:rsidR="00B32EF2" w:rsidRDefault="00000000">
                              <w:r>
                                <w:rPr>
                                  <w:rFonts w:ascii="Arial" w:eastAsia="Arial" w:hAnsi="Arial" w:cs="Arial"/>
                                  <w:sz w:val="18"/>
                                </w:rPr>
                                <w:t xml:space="preserve">seguito, il Consiglio di presidenza può deliberare la revoca del componente e </w:t>
                              </w:r>
                            </w:p>
                          </w:txbxContent>
                        </wps:txbx>
                        <wps:bodyPr horzOverflow="overflow" vert="horz" lIns="0" tIns="0" rIns="0" bIns="0" rtlCol="0">
                          <a:noAutofit/>
                        </wps:bodyPr>
                      </wps:wsp>
                      <wps:wsp>
                        <wps:cNvPr id="22883" name="Rectangle 22883"/>
                        <wps:cNvSpPr/>
                        <wps:spPr>
                          <a:xfrm rot="-10799999">
                            <a:off x="113330" y="940117"/>
                            <a:ext cx="3878689" cy="142889"/>
                          </a:xfrm>
                          <a:prstGeom prst="rect">
                            <a:avLst/>
                          </a:prstGeom>
                          <a:ln>
                            <a:noFill/>
                          </a:ln>
                        </wps:spPr>
                        <wps:txbx>
                          <w:txbxContent>
                            <w:p w14:paraId="119CD99F" w14:textId="77777777" w:rsidR="00B32EF2" w:rsidRDefault="00000000">
                              <w:r>
                                <w:rPr>
                                  <w:rFonts w:ascii="Arial" w:eastAsia="Arial" w:hAnsi="Arial" w:cs="Arial"/>
                                  <w:sz w:val="18"/>
                                </w:rPr>
                                <w:t>la sua sostituzione con le modalità previste dal comma 1.</w:t>
                              </w:r>
                            </w:p>
                          </w:txbxContent>
                        </wps:txbx>
                        <wps:bodyPr horzOverflow="overflow" vert="horz" lIns="0" tIns="0" rIns="0" bIns="0" rtlCol="0">
                          <a:noAutofit/>
                        </wps:bodyPr>
                      </wps:wsp>
                      <wps:wsp>
                        <wps:cNvPr id="202334" name="Rectangle 202334"/>
                        <wps:cNvSpPr/>
                        <wps:spPr>
                          <a:xfrm rot="-10799999">
                            <a:off x="-1282873" y="816788"/>
                            <a:ext cx="5210497" cy="142889"/>
                          </a:xfrm>
                          <a:prstGeom prst="rect">
                            <a:avLst/>
                          </a:prstGeom>
                          <a:ln>
                            <a:noFill/>
                          </a:ln>
                        </wps:spPr>
                        <wps:txbx>
                          <w:txbxContent>
                            <w:p w14:paraId="6C726E4D" w14:textId="77777777" w:rsidR="00B32EF2" w:rsidRDefault="00000000">
                              <w:r>
                                <w:rPr>
                                  <w:rFonts w:ascii="Arial" w:eastAsia="Arial" w:hAnsi="Arial" w:cs="Arial"/>
                                  <w:sz w:val="18"/>
                                </w:rPr>
                                <w:t>. Il presidente della commissione e gli altri componenti possono essere no</w:t>
                              </w:r>
                            </w:p>
                          </w:txbxContent>
                        </wps:txbx>
                        <wps:bodyPr horzOverflow="overflow" vert="horz" lIns="0" tIns="0" rIns="0" bIns="0" rtlCol="0">
                          <a:noAutofit/>
                        </wps:bodyPr>
                      </wps:wsp>
                      <wps:wsp>
                        <wps:cNvPr id="202331" name="Rectangle 202331"/>
                        <wps:cNvSpPr/>
                        <wps:spPr>
                          <a:xfrm rot="-10799999">
                            <a:off x="2635638" y="816788"/>
                            <a:ext cx="5210498" cy="142889"/>
                          </a:xfrm>
                          <a:prstGeom prst="rect">
                            <a:avLst/>
                          </a:prstGeom>
                          <a:ln>
                            <a:noFill/>
                          </a:ln>
                        </wps:spPr>
                        <wps:txbx>
                          <w:txbxContent>
                            <w:p w14:paraId="4931FF69"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2885" name="Rectangle 22885"/>
                        <wps:cNvSpPr/>
                        <wps:spPr>
                          <a:xfrm rot="-10799999">
                            <a:off x="19421" y="816788"/>
                            <a:ext cx="50622" cy="142889"/>
                          </a:xfrm>
                          <a:prstGeom prst="rect">
                            <a:avLst/>
                          </a:prstGeom>
                          <a:ln>
                            <a:noFill/>
                          </a:ln>
                        </wps:spPr>
                        <wps:txbx>
                          <w:txbxContent>
                            <w:p w14:paraId="53E97C3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886" name="Rectangle 22886"/>
                        <wps:cNvSpPr/>
                        <wps:spPr>
                          <a:xfrm rot="-10799999">
                            <a:off x="-1316986" y="693458"/>
                            <a:ext cx="5309006" cy="142889"/>
                          </a:xfrm>
                          <a:prstGeom prst="rect">
                            <a:avLst/>
                          </a:prstGeom>
                          <a:ln>
                            <a:noFill/>
                          </a:ln>
                        </wps:spPr>
                        <wps:txbx>
                          <w:txbxContent>
                            <w:p w14:paraId="6272E100" w14:textId="77777777" w:rsidR="00B32EF2" w:rsidRDefault="00000000">
                              <w:r>
                                <w:rPr>
                                  <w:rFonts w:ascii="Arial" w:eastAsia="Arial" w:hAnsi="Arial" w:cs="Arial"/>
                                  <w:sz w:val="18"/>
                                </w:rPr>
                                <w:t xml:space="preserve">minati anche tra i magistrati a riposo da non più di due anni e tra i professori </w:t>
                              </w:r>
                            </w:p>
                          </w:txbxContent>
                        </wps:txbx>
                        <wps:bodyPr horzOverflow="overflow" vert="horz" lIns="0" tIns="0" rIns="0" bIns="0" rtlCol="0">
                          <a:noAutofit/>
                        </wps:bodyPr>
                      </wps:wsp>
                      <wps:wsp>
                        <wps:cNvPr id="22887" name="Rectangle 22887"/>
                        <wps:cNvSpPr/>
                        <wps:spPr>
                          <a:xfrm rot="-10799999">
                            <a:off x="-1317015" y="570128"/>
                            <a:ext cx="5309036" cy="142889"/>
                          </a:xfrm>
                          <a:prstGeom prst="rect">
                            <a:avLst/>
                          </a:prstGeom>
                          <a:ln>
                            <a:noFill/>
                          </a:ln>
                        </wps:spPr>
                        <wps:txbx>
                          <w:txbxContent>
                            <w:p w14:paraId="53FB7527" w14:textId="77777777" w:rsidR="00B32EF2" w:rsidRDefault="00000000">
                              <w:r>
                                <w:rPr>
                                  <w:rFonts w:ascii="Arial" w:eastAsia="Arial" w:hAnsi="Arial" w:cs="Arial"/>
                                  <w:sz w:val="18"/>
                                </w:rPr>
                                <w:t xml:space="preserve">universitari a riposo da non più di due anni che, all’atto della cessazione dal </w:t>
                              </w:r>
                            </w:p>
                          </w:txbxContent>
                        </wps:txbx>
                        <wps:bodyPr horzOverflow="overflow" vert="horz" lIns="0" tIns="0" rIns="0" bIns="0" rtlCol="0">
                          <a:noAutofit/>
                        </wps:bodyPr>
                      </wps:wsp>
                      <wps:wsp>
                        <wps:cNvPr id="22888" name="Rectangle 22888"/>
                        <wps:cNvSpPr/>
                        <wps:spPr>
                          <a:xfrm rot="-10799999">
                            <a:off x="295449" y="446798"/>
                            <a:ext cx="3696571" cy="142889"/>
                          </a:xfrm>
                          <a:prstGeom prst="rect">
                            <a:avLst/>
                          </a:prstGeom>
                          <a:ln>
                            <a:noFill/>
                          </a:ln>
                        </wps:spPr>
                        <wps:txbx>
                          <w:txbxContent>
                            <w:p w14:paraId="1B1602BE" w14:textId="77777777" w:rsidR="00B32EF2" w:rsidRDefault="00000000">
                              <w:r>
                                <w:rPr>
                                  <w:rFonts w:ascii="Arial" w:eastAsia="Arial" w:hAnsi="Arial" w:cs="Arial"/>
                                  <w:sz w:val="18"/>
                                </w:rPr>
                                <w:t>servizio, erano in possesso dei requisiti per la nomina.</w:t>
                              </w:r>
                            </w:p>
                          </w:txbxContent>
                        </wps:txbx>
                        <wps:bodyPr horzOverflow="overflow" vert="horz" lIns="0" tIns="0" rIns="0" bIns="0" rtlCol="0">
                          <a:noAutofit/>
                        </wps:bodyPr>
                      </wps:wsp>
                    </wpg:wgp>
                  </a:graphicData>
                </a:graphic>
              </wp:inline>
            </w:drawing>
          </mc:Choice>
          <mc:Fallback>
            <w:pict>
              <v:group w14:anchorId="6639BDE8" id="Group 202408" o:spid="_x0000_s6679" style="width:314.35pt;height:493.15pt;mso-position-horizontal-relative:char;mso-position-vertical-relative:line" coordsize="39920,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04WIAoAABt/AAAOAAAAZHJzL2Uyb0RvYy54bWzkXW2P27gR/l6g/8Hw9435IlGUkc2h6PWC&#10;AkXv0Gt/gOO1dw3YliE72U1/fZ8hZVIrT66AFCwD8D7seemNLPPhzDzzzJB6/9PLYT/7smnPu+Z4&#10;P5fvxHy2Oa6bh93x8X7+n3//cmfns/NldXxY7Zvj5n7+dXOe//Thz396/3xablTz1OwfNu0MFzme&#10;l8+n+/nT5XJaLhbn9dPmsDq/a06bI97cNu1hdcGv7ePioV094+qH/UIJYRbPTftwapv15nzG6M/+&#10;zfkHd/3tdrO+/LrdnjeX2f5+jnu7uJ+t+/mJfi4+vF8tH9vV6Wm37m5jNeIuDqvdER8aLvXz6rKa&#10;fW53N5c67NZtc262l3fr5rBottvdeuO+A76NFINv87FtPp/cd3lcPj+ewjRhagfzNPqy639++die&#10;fj/91mImnk+PmAv3G32Xl217oP/jLmcvbsq+hinbvFxmawzqusaN1/PZGu8ZZZQtCz+p6yfM/M2/&#10;Wz/97f/8y8X1gxevbuf5hAVyjnNwnjYHvz+tThs3tecl5uC3drZ7uJ8rZbWaz46rA5bqv7B4VsfH&#10;/Wbmh90Eub8O03VenjFz17matQ3W150UVU3/ufXQzZ2ssVZtOZ9hlu6Mwq9+kq7TKCurTTeLqhSm&#10;MPR+mIrV8tSeLx83zWFGL+7nLe7NXX/15R/ni//T65/Q7eyP9PPY/LLb7/27NIIZvd4xvbq8fHpx&#10;X7sslLsfGvzUPHzFbDw17X9/hV1v983z/bzpXs3J1PHx9O58tv/7ESiQVV1ftNcXn64v2sv+r42z&#10;PX9Df/l8abY7d8fx07o7A7y0Bt8IZ83jrGni6SawKkbgXBrAjyVE1iBlXZvyNdCV0pXB+2QuslDW&#10;1m8MtLx+vzyAFkrDId1atB+fAnUtjCyNQ7oEzkYPkKYPthgMUHubf0ObVvlBzTlvgjpMxSirVqoq&#10;agH3DKP9QbEObisfs+YcOGEdpmIU1ndW1UqDtf4x1jD8qwt/c7t2BCtGzwxiNbwox8mcxx0dqxGH&#10;pQR7IaBtpbUYOHBZV5Wqe0C/eawO3y8fowYeN0iTUQd+OsqoFaKzNJXHGr68rhy/Xi2v/LtUUuka&#10;Vn816jfH2t1QPkZNmMpvYB0o6iis76Sq6pI4Nhn2jwl2lRczQ1YN27uxazc8hYLLulBYRAHngQNH&#10;Hq1Splo2O5ThQDmUw0SMNGgtTW27VAsaU6eO9Ly3FtBXeqnWm3tvl8Xn471huciGOKjDRIyEWimh&#10;FZg92XQpNJAnI+pBjUBdS2T0qQK1DkwkD1KmbMFxMjf8nXw3i3Na360DB8kGZY6NAeUwEaMMWktR&#10;qhrmSvasoYtbR32iPVtbFRIfncycgzKUB9Dg3QUXpf34FINW0LslAq+DWpXGlAOoS4rSOmE+rYMy&#10;lA/WXJgmrKfGaW1l2dU5yh8T7OxUsoITROHBw6of5cHvpJaVEF2aJbXWirNrysOS+fDMdDJgypW0&#10;3PAUD+6hBsF1LlwI1LBd5hajtXPhpNskgzozmQyY8to3hidDXYDlEtSFtcaYG6ilKCzWQjKosxPJ&#10;0PTB5dS+F2R0mQN6qASN9/JJURl48CHUClAnJWZBIMqDmMGqeT0Uw1OsOuqhPM6Jc+rAObNBmcu0&#10;AH5Y7qMZWdBDC1MIROqBSJZaD4Vk1K3jbKDmEi1AHdb8aKgr9Bn5MI0Spqk4qG3CKkcUiHKBGrVo&#10;LkxPLFEjTCuhSrA9YmS61l2O3iPfkL4VCtfJGFmRmVaGXmZYHlPlwPB3CtMszmnDdNQLsjFormsQ&#10;4IflPtp3xzCtSEPhfHfKsiVkhMzCNJoDWYOerpGZuvLCSSELY4b9/RBObI3BdL476AXZWDWvkfnt&#10;KROyaZJDZRemoaRr47huL0ynLnNEvSAbqHmNDGRqSph2cigYl2NkGg0mwtf+X0MNopbQqoNekA3U&#10;vEaGjRjToAb5lsL3neiqMjBxumAPapBvqRL2nUTRIBuoeY3Ml5VHO/CokXmch947MfkOekE2KPMa&#10;WTldI6vQB+x9tym1roYGjdYUrfDhqeobUS/IBmpeIyvDmh+dZwVGht0/QnhJque7UzOyqBfkAjVI&#10;MZdnea482nd3BWpPvnUhTCVdjt6HWgpB+6yTWXUQDbKBmtfIIFpPY2TIs7CV2jtw9BtriNyvGRms&#10;Gls9EkIdRINsoOaFMuy1mQz1tciBhm908jNQi5RFjigaZAM1L5SZsOZHx+qgiWo0g+I4hFurTrqV&#10;I4oG2UDNC2UmiMMjoUZKXXRbObBlQ6PUMYCaEmpqWkwWq4NokA3UvFDmDykZTctiSu1xHnrvtCl1&#10;1AuyQZnXyExY7qMMWpUWurcnZMiscZ7RwJ4lNnLYlGfbRM0gD6Spj5+D2o9PoWS0X77q9nJgv6XB&#10;6QhD3y1qOrsone8OokE+WHN6KGEdigCj7BqNJ2gy7vbL/5hgR9kgD7CVRTc2q59MU0V7gZo16rSB&#10;OioG2aDMC6I4CHCK83YqmVFe+1ZlAaFs6L2hfRfUxpaKeUfFIBeoqTmE6STD8GSoRQ1ZBk2DCqc4&#10;iuoGaqhkKTfYRsUgG6h5QdQXoEYnWWTVQTpROJeq8t1bfe078SkYUTHIBmpeEMXG2GlWrUqN82C9&#10;VctKo6VsSL+L0lIulsyBh9aaPKAmms1h7cengE3b5pUA3SMPLkpXvcL1Xpm1ramelgzroBvkgzUn&#10;iRLWUzVRbRGiO2bmwB4aNvWJJgU7JJPZgM0eZQSwMT7FsO8gluEqvlgta2UqX1roWzZOR6EjhJNZ&#10;dkgn8wH7GyIKDqibAja4NyCGk4YX/wOsEzYmxKQyD6yVrfhiB4anIO17UEQHtRXgBe6CfbMGD6e1&#10;kMqsY1KZDdScDI4VEJjLSGW01+svDUJ3zUGdcud8TCqzgZpz4IB6mv922bWFVuEcOIJy5atlr6za&#10;WpuwATwmldlAzYvgVWAto60aG7R8di0L7LOFAd9kXBUdmJHMgTsRj6SibKDmlXC/232CZtbrQYF+&#10;hi0eQ6hT96BUIaPMBWo6U4hRwjE8hZbF0pbH2YWDnvdOW9qKnDMblHkR3H6HrmDahufCNLpNsFXr&#10;xnfXon9C2Vs/nSNyzmyg5oRRPNlqqgiOeochJCmlRrNR4fscejYNrQwNpAnDdOCc2UDNdwXbwFdG&#10;MTJJp0p6m64LIeXAd2tboR8CBCEZHQuEMw+cSfv8hgCO8SlRmnqNkKv5NMviiSzWTW3Ppukoujph&#10;YSsyznyw5kI1rYFpsZp6CE33IK1vQ51wA2ZknHlAjZDMK6IYnmLUkXqzMKdl3pFwZgMyr4Xi+SlT&#10;QH7VfmJqjf4DhngjvU4WpSPfzAZpXgr1j1iYIJr0VG+UMBGyGaRTit6RbmaDNK+EevY0GmlVlwUO&#10;qKQEqyhwsuQAZzyQGs9wADlIxbuhtncuKzXO7lHkeAK7eyR397R4esR7/3f3EOv4TPsP/wMAAP//&#10;AwBQSwMEFAAGAAgAAAAhAAXws23dAAAABQEAAA8AAABkcnMvZG93bnJldi54bWxMj0FLw0AQhe+C&#10;/2EZwZvdpMWYptmUUtRTEWwF8TbNTpPQ7GzIbpP037t60cvA4z3e+yZfT6YVA/WusawgnkUgiEur&#10;G64UfBxeHlIQziNrbC2Tgis5WBe3Nzlm2o78TsPeVyKUsMtQQe19l0npypoMupntiIN3sr1BH2Rf&#10;Sd3jGMpNK+dRlEiDDYeFGjva1lSe9xej4HXEcbOIn4fd+bS9fh0e3z53MSl1fzdtViA8Tf4vDD/4&#10;AR2KwHS0F9ZOtArCI/73Bi+Zp08gjgqWabIAWeTyP33xDQAA//8DAFBLAQItABQABgAIAAAAIQC2&#10;gziS/gAAAOEBAAATAAAAAAAAAAAAAAAAAAAAAABbQ29udGVudF9UeXBlc10ueG1sUEsBAi0AFAAG&#10;AAgAAAAhADj9If/WAAAAlAEAAAsAAAAAAAAAAAAAAAAALwEAAF9yZWxzLy5yZWxzUEsBAi0AFAAG&#10;AAgAAAAhAEVTThYgCgAAG38AAA4AAAAAAAAAAAAAAAAALgIAAGRycy9lMm9Eb2MueG1sUEsBAi0A&#10;FAAGAAgAAAAhAAXws23dAAAABQEAAA8AAAAAAAAAAAAAAAAAegwAAGRycy9kb3ducmV2LnhtbFBL&#10;BQYAAAAABAAEAPMAAACEDQAAAAA=&#10;">
                <v:rect id="Rectangle 22832" o:spid="_x0000_s6680" style="position:absolute;left:19006;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hw/xwAAAN4AAAAPAAAAZHJzL2Rvd25yZXYueG1sRI9Ba8JA&#10;FITvBf/D8oTe6qYpSEjdhKKIOXjRKvT4yD6TtNm3S3Y1sb++Wyj0OMzMN8yqnEwvbjT4zrKC50UC&#10;gri2uuNGwel9+5SB8AFZY2+ZFNzJQ1nMHlaYazvygW7H0IgIYZ+jgjYEl0vp65YM+oV1xNG72MFg&#10;iHJopB5wjHDTyzRJltJgx3GhRUfrluqv49Uo+Niwq7ajrC/fa7f/rLJ+dz2dlXqcT2+vIAJN4T/8&#10;1660gjTNXlL4vROvgCx+AAAA//8DAFBLAQItABQABgAIAAAAIQDb4fbL7gAAAIUBAAATAAAAAAAA&#10;AAAAAAAAAAAAAABbQ29udGVudF9UeXBlc10ueG1sUEsBAi0AFAAGAAgAAAAhAFr0LFu/AAAAFQEA&#10;AAsAAAAAAAAAAAAAAAAAHwEAAF9yZWxzLy5yZWxzUEsBAi0AFAAGAAgAAAAhAKHmHD/HAAAA3gAA&#10;AA8AAAAAAAAAAAAAAAAABwIAAGRycy9kb3ducmV2LnhtbFBLBQYAAAAAAwADALcAAAD7AgAAAAA=&#10;" filled="f" stroked="f">
                  <v:textbox inset="0,0,0,0">
                    <w:txbxContent>
                      <w:p w14:paraId="45C85281" w14:textId="77777777" w:rsidR="00B32EF2" w:rsidRDefault="00000000">
                        <w:r>
                          <w:rPr>
                            <w:rFonts w:ascii="Times New Roman" w:eastAsia="Times New Roman" w:hAnsi="Times New Roman" w:cs="Times New Roman"/>
                          </w:rPr>
                          <w:t>20</w:t>
                        </w:r>
                      </w:p>
                    </w:txbxContent>
                  </v:textbox>
                </v:rect>
                <v:rect id="Rectangle 22833" o:spid="_x0000_s6681" style="position:absolute;left:15610;top:61199;width:72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rmkxgAAAN4AAAAPAAAAZHJzL2Rvd25yZXYueG1sRI9Ba8JA&#10;FITvBf/D8gRvdWMECamrFEXMoRethR4f2WeSNvt2ya4m9de7gtDjMDPfMMv1YFpxpc43lhXMpgkI&#10;4tLqhisFp8/dawbCB2SNrWVS8Ece1qvRyxJzbXs+0PUYKhEh7HNUUIfgcil9WZNBP7WOOHpn2xkM&#10;UXaV1B32EW5amSbJQhpsOC7U6GhTU/l7vBgF31t2xa6X5fm2cR8/RdbuL6cvpSbj4f0NRKAh/Ief&#10;7UIrSNNsPofHnXgF5OoOAAD//wMAUEsBAi0AFAAGAAgAAAAhANvh9svuAAAAhQEAABMAAAAAAAAA&#10;AAAAAAAAAAAAAFtDb250ZW50X1R5cGVzXS54bWxQSwECLQAUAAYACAAAACEAWvQsW78AAAAVAQAA&#10;CwAAAAAAAAAAAAAAAAAfAQAAX3JlbHMvLnJlbHNQSwECLQAUAAYACAAAACEAzqq5pMYAAADeAAAA&#10;DwAAAAAAAAAAAAAAAAAHAgAAZHJzL2Rvd25yZXYueG1sUEsFBgAAAAADAAMAtwAAAPoCAAAAAA==&#10;" filled="f" stroked="f">
                  <v:textbox inset="0,0,0,0">
                    <w:txbxContent>
                      <w:p w14:paraId="16F5404B" w14:textId="77777777" w:rsidR="00B32EF2" w:rsidRDefault="00000000">
                        <w:r>
                          <w:rPr>
                            <w:rFonts w:ascii="Arial" w:eastAsia="Arial" w:hAnsi="Arial" w:cs="Arial"/>
                            <w:b/>
                            <w:sz w:val="18"/>
                          </w:rPr>
                          <w:t>Articolo 8</w:t>
                        </w:r>
                      </w:p>
                    </w:txbxContent>
                  </v:textbox>
                </v:rect>
                <v:rect id="Rectangle 202354" o:spid="_x0000_s6682" style="position:absolute;left:9061;top:59966;width:235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g+9yAAAAN8AAAAPAAAAZHJzL2Rvd25yZXYueG1sRI9Ba8JA&#10;FITvgv9heUJvumlqi6SuIoo0h160KfT4yD6TtNm3S3Y1qb++KxQ8DjPzDbNcD6YVF+p8Y1nB4ywB&#10;QVxa3XCloPjYTxcgfEDW2FomBb/kYb0aj5aYadvzgS7HUIkIYZ+hgjoEl0npy5oM+pl1xNE72c5g&#10;iLKrpO6wj3DTyjRJXqTBhuNCjY62NZU/x7NR8LVjl+97WZ6uW/f+nS/at3PxqdTDZNi8ggg0hHv4&#10;v51rBWmSPj3P4fYnfgG5+gMAAP//AwBQSwECLQAUAAYACAAAACEA2+H2y+4AAACFAQAAEwAAAAAA&#10;AAAAAAAAAAAAAAAAW0NvbnRlbnRfVHlwZXNdLnhtbFBLAQItABQABgAIAAAAIQBa9CxbvwAAABUB&#10;AAALAAAAAAAAAAAAAAAAAB8BAABfcmVscy8ucmVsc1BLAQItABQABgAIAAAAIQB5cg+9yAAAAN8A&#10;AAAPAAAAAAAAAAAAAAAAAAcCAABkcnMvZG93bnJldi54bWxQSwUGAAAAAAMAAwC3AAAA/AIAAAAA&#10;" filled="f" stroked="f">
                  <v:textbox inset="0,0,0,0">
                    <w:txbxContent>
                      <w:p w14:paraId="58D0E94A" w14:textId="77777777" w:rsidR="00B32EF2" w:rsidRDefault="00000000">
                        <w:r>
                          <w:rPr>
                            <w:rFonts w:ascii="Arial" w:eastAsia="Arial" w:hAnsi="Arial" w:cs="Arial"/>
                            <w:i/>
                            <w:sz w:val="18"/>
                          </w:rPr>
                          <w:t xml:space="preserve">articolo 4-quater D.lgs. n. </w:t>
                        </w:r>
                      </w:p>
                    </w:txbxContent>
                  </v:textbox>
                </v:rect>
                <v:rect id="Rectangle 202352" o:spid="_x0000_s6683" style="position:absolute;left:22749;top:59966;width:2354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zJSxwAAAN8AAAAPAAAAZHJzL2Rvd25yZXYueG1sRI9Ba8JA&#10;FITvBf/D8gRvdWNKi0RXEUWag5daBY+P7DOJZt8u2dVEf323UOhxmJlvmPmyN424U+trywom4wQE&#10;cWF1zaWCw/f2dQrCB2SNjWVS8CAPy8XgZY6Zth1/0X0fShEh7DNUUIXgMil9UZFBP7aOOHpn2xoM&#10;Ubal1C12EW4amSbJhzRYc1yo0NG6ouK6vxkFpw27fNvJ4vxcu90lnzaft8NRqdGwX81ABOrDf/iv&#10;nWsFaZK+vafw+yd+Abn4AQAA//8DAFBLAQItABQABgAIAAAAIQDb4fbL7gAAAIUBAAATAAAAAAAA&#10;AAAAAAAAAAAAAABbQ29udGVudF9UeXBlc10ueG1sUEsBAi0AFAAGAAgAAAAhAFr0LFu/AAAAFQEA&#10;AAsAAAAAAAAAAAAAAAAAHwEAAF9yZWxzLy5yZWxzUEsBAi0AFAAGAAgAAAAhAJnXMlLHAAAA3wAA&#10;AA8AAAAAAAAAAAAAAAAABwIAAGRycy9kb3ducmV2LnhtbFBLBQYAAAAAAwADALcAAAD7AgAAAAA=&#10;" filled="f" stroked="f">
                  <v:textbox inset="0,0,0,0">
                    <w:txbxContent>
                      <w:p w14:paraId="51B452CA" w14:textId="77777777" w:rsidR="00B32EF2" w:rsidRDefault="00000000">
                        <w:r>
                          <w:rPr>
                            <w:rFonts w:ascii="Arial" w:eastAsia="Arial" w:hAnsi="Arial" w:cs="Arial"/>
                            <w:i/>
                            <w:sz w:val="18"/>
                          </w:rPr>
                          <w:t>(</w:t>
                        </w:r>
                      </w:p>
                    </w:txbxContent>
                  </v:textbox>
                </v:rect>
                <v:rect id="Rectangle 202353" o:spid="_x0000_s6684" style="position:absolute;left:-8292;top:59966;width:235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5fJxwAAAN8AAAAPAAAAZHJzL2Rvd25yZXYueG1sRI9Ba8JA&#10;FITvhf6H5RV6qxsjFomuIoqYgxetBY+P7DNJm327ZFeT+utdoeBxmJlvmNmiN424UutrywqGgwQE&#10;cWF1zaWC49fmYwLCB2SNjWVS8EceFvPXlxlm2na8p+shlCJC2GeooArBZVL6oiKDfmAdcfTOtjUY&#10;omxLqVvsItw0Mk2ST2mw5rhQoaNVRcXv4WIUnNbs8k0ni/Nt5XY/+aTZXo7fSr2/9cspiEB9eIb/&#10;27lWkCbpaDyCx5/4BeT8DgAA//8DAFBLAQItABQABgAIAAAAIQDb4fbL7gAAAIUBAAATAAAAAAAA&#10;AAAAAAAAAAAAAABbQ29udGVudF9UeXBlc10ueG1sUEsBAi0AFAAGAAgAAAAhAFr0LFu/AAAAFQEA&#10;AAsAAAAAAAAAAAAAAAAAHwEAAF9yZWxzLy5yZWxzUEsBAi0AFAAGAAgAAAAhAPabl8nHAAAA3wAA&#10;AA8AAAAAAAAAAAAAAAAABwIAAGRycy9kb3ducmV2LnhtbFBLBQYAAAAAAwADALcAAAD7AgAAAAA=&#10;" filled="f" stroked="f">
                  <v:textbox inset="0,0,0,0">
                    <w:txbxContent>
                      <w:p w14:paraId="5652778D" w14:textId="77777777" w:rsidR="00B32EF2" w:rsidRDefault="00000000">
                        <w:r>
                          <w:rPr>
                            <w:rFonts w:ascii="Arial" w:eastAsia="Arial" w:hAnsi="Arial" w:cs="Arial"/>
                            <w:i/>
                            <w:sz w:val="18"/>
                          </w:rPr>
                          <w:t>545/92)</w:t>
                        </w:r>
                      </w:p>
                    </w:txbxContent>
                  </v:textbox>
                </v:rect>
                <v:rect id="Rectangle 22835" o:spid="_x0000_s6685" style="position:absolute;left:7621;top:58733;width:1977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4RLxwAAAN4AAAAPAAAAZHJzL2Rvd25yZXYueG1sRI9Ba8JA&#10;FITvBf/D8gRvdWOKJaSuUhRpDr1oFTw+ss8kbfbtkl1N7K93hUKPw8x8wyxWg2nFlTrfWFYwmyYg&#10;iEurG64UHL62zxkIH5A1tpZJwY08rJajpwXm2va8o+s+VCJC2OeooA7B5VL6siaDfmodcfTOtjMY&#10;ouwqqTvsI9y0Mk2SV2mw4bhQo6N1TeXP/mIUnDbsim0vy/Pv2n1+F1n7cTkclZqMh/c3EIGG8B/+&#10;axdaQZpmL3N43IlXQC7vAAAA//8DAFBLAQItABQABgAIAAAAIQDb4fbL7gAAAIUBAAATAAAAAAAA&#10;AAAAAAAAAAAAAABbQ29udGVudF9UeXBlc10ueG1sUEsBAi0AFAAGAAgAAAAhAFr0LFu/AAAAFQEA&#10;AAsAAAAAAAAAAAAAAAAAHwEAAF9yZWxzLy5yZWxzUEsBAi0AFAAGAAgAAAAhAC4PhEvHAAAA3gAA&#10;AA8AAAAAAAAAAAAAAAAABwIAAGRycy9kb3ducmV2LnhtbFBLBQYAAAAAAwADALcAAAD7AgAAAAA=&#10;" filled="f" stroked="f">
                  <v:textbox inset="0,0,0,0">
                    <w:txbxContent>
                      <w:p w14:paraId="7241211F" w14:textId="77777777" w:rsidR="00B32EF2" w:rsidRDefault="00000000">
                        <w:r>
                          <w:rPr>
                            <w:rFonts w:ascii="Arial" w:eastAsia="Arial" w:hAnsi="Arial" w:cs="Arial"/>
                            <w:b/>
                            <w:sz w:val="18"/>
                          </w:rPr>
                          <w:t xml:space="preserve">Commissione di concorso </w:t>
                        </w:r>
                      </w:p>
                    </w:txbxContent>
                  </v:textbox>
                </v:rect>
                <v:rect id="Rectangle 202350" o:spid="_x0000_s6686" style="position:absolute;left:26351;top:57499;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Qm+xgAAAN8AAAAPAAAAZHJzL2Rvd25yZXYueG1sRI/LasJA&#10;FIb3Bd9hOIK7OjGlRaKjiCLNwk29gMtD5phEM2eGzGiiT99ZFLr8+W9882VvGvGg1teWFUzGCQji&#10;wuqaSwXHw/Z9CsIHZI2NZVLwJA/LxeBtjpm2Hf/QYx9KEUfYZ6igCsFlUvqiIoN+bB1x9C62NRii&#10;bEupW+ziuGlkmiRf0mDN8aFCR+uKitv+bhScN+zybSeLy2vtdtd82nzfjyelRsN+NQMRqA//4b92&#10;rhWkSfrxGQkiT2QBufgFAAD//wMAUEsBAi0AFAAGAAgAAAAhANvh9svuAAAAhQEAABMAAAAAAAAA&#10;AAAAAAAAAAAAAFtDb250ZW50X1R5cGVzXS54bWxQSwECLQAUAAYACAAAACEAWvQsW78AAAAVAQAA&#10;CwAAAAAAAAAAAAAAAAAfAQAAX3JlbHMvLnJlbHNQSwECLQAUAAYACAAAACEABkkJvsYAAADfAAAA&#10;DwAAAAAAAAAAAAAAAAAHAgAAZHJzL2Rvd25yZXYueG1sUEsFBgAAAAADAAMAtwAAAPoCAAAAAA==&#10;" filled="f" stroked="f">
                  <v:textbox inset="0,0,0,0">
                    <w:txbxContent>
                      <w:p w14:paraId="768B97BC" w14:textId="77777777" w:rsidR="00B32EF2" w:rsidRDefault="00000000">
                        <w:r>
                          <w:rPr>
                            <w:rFonts w:ascii="Arial" w:eastAsia="Arial" w:hAnsi="Arial" w:cs="Arial"/>
                            <w:sz w:val="18"/>
                          </w:rPr>
                          <w:t>1</w:t>
                        </w:r>
                      </w:p>
                    </w:txbxContent>
                  </v:textbox>
                </v:rect>
                <v:rect id="Rectangle 202351" o:spid="_x0000_s6687" style="position:absolute;left:-12795;top:57499;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wlyAAAAN8AAAAPAAAAZHJzL2Rvd25yZXYueG1sRI9Pa8JA&#10;FMTvgt9heYI33ZhikdRVRJHm0Ev9Az0+ss8kbfbtkl1N7Kd3CwWPw8z8hlmue9OIG7W+tqxgNk1A&#10;EBdW11wqOB33kwUIH5A1NpZJwZ08rFfDwRIzbTv+pNshlCJC2GeooArBZVL6oiKDfmodcfQutjUY&#10;omxLqVvsItw0Mk2SV2mw5rhQoaNtRcXP4WoUfO3Y5ftOFpffrfv4zhfN+/V0Vmo86jdvIAL14Rn+&#10;b+daQZqkL/MZ/P2JX0CuHgAAAP//AwBQSwECLQAUAAYACAAAACEA2+H2y+4AAACFAQAAEwAAAAAA&#10;AAAAAAAAAAAAAAAAW0NvbnRlbnRfVHlwZXNdLnhtbFBLAQItABQABgAIAAAAIQBa9CxbvwAAABUB&#10;AAALAAAAAAAAAAAAAAAAAB8BAABfcmVscy8ucmVsc1BLAQItABQABgAIAAAAIQBpBawlyAAAAN8A&#10;AAAPAAAAAAAAAAAAAAAAAAcCAABkcnMvZG93bnJldi54bWxQSwUGAAAAAAMAAwC3AAAA/AIAAAAA&#10;" filled="f" stroked="f">
                  <v:textbox inset="0,0,0,0">
                    <w:txbxContent>
                      <w:p w14:paraId="6121A647" w14:textId="77777777" w:rsidR="00B32EF2" w:rsidRDefault="00000000">
                        <w:r>
                          <w:rPr>
                            <w:rFonts w:ascii="Arial" w:eastAsia="Arial" w:hAnsi="Arial" w:cs="Arial"/>
                            <w:sz w:val="18"/>
                          </w:rPr>
                          <w:t>. La commissione di concorso è nominata, entro il quindicesimo giorno an</w:t>
                        </w:r>
                      </w:p>
                    </w:txbxContent>
                  </v:textbox>
                </v:rect>
                <v:rect id="Rectangle 22837" o:spid="_x0000_s6688" style="position:absolute;left:194;top:5749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nxwAAAN4AAAAPAAAAZHJzL2Rvd25yZXYueG1sRI9Ba8JA&#10;FITvBf/D8gRvdWMKNqSuUhRpDr1oFTw+ss8kbfbtkl1N7K93hUKPw8x8wyxWg2nFlTrfWFYwmyYg&#10;iEurG64UHL62zxkIH5A1tpZJwY08rJajpwXm2va8o+s+VCJC2OeooA7B5VL6siaDfmodcfTOtjMY&#10;ouwqqTvsI9y0Mk2SuTTYcFyo0dG6pvJnfzEKTht2xbaX5fl37T6/i6z9uByOSk3Gw/sbiEBD+A//&#10;tQutIE2zl1d43IlXQC7vAAAA//8DAFBLAQItABQABgAIAAAAIQDb4fbL7gAAAIUBAAATAAAAAAAA&#10;AAAAAAAAAAAAAABbQ29udGVudF9UeXBlc10ueG1sUEsBAi0AFAAGAAgAAAAhAFr0LFu/AAAAFQEA&#10;AAsAAAAAAAAAAAAAAAAAHwEAAF9yZWxzLy5yZWxzUEsBAi0AFAAGAAgAAAAhALGRv6fHAAAA3gAA&#10;AA8AAAAAAAAAAAAAAAAABwIAAGRycy9kb3ducmV2LnhtbFBLBQYAAAAAAwADALcAAAD7AgAAAAA=&#10;" filled="f" stroked="f">
                  <v:textbox inset="0,0,0,0">
                    <w:txbxContent>
                      <w:p w14:paraId="65236CCA" w14:textId="77777777" w:rsidR="00B32EF2" w:rsidRDefault="00000000">
                        <w:r>
                          <w:rPr>
                            <w:rFonts w:ascii="Arial" w:eastAsia="Arial" w:hAnsi="Arial" w:cs="Arial"/>
                            <w:sz w:val="18"/>
                          </w:rPr>
                          <w:t>-</w:t>
                        </w:r>
                      </w:p>
                    </w:txbxContent>
                  </v:textbox>
                </v:rect>
                <v:rect id="Rectangle 22838" o:spid="_x0000_s6689" style="position:absolute;left:-13169;top:562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ivVxAAAAN4AAAAPAAAAZHJzL2Rvd25yZXYueG1sRE/Pa8Iw&#10;FL4P/B/CG3ib6SqM0hlFFLEHL3MVPD6aZ9vZvIQm2upfvxwGO358vxer0XTiTr1vLSt4nyUgiCur&#10;W64VlN+7twyED8gaO8uk4EEeVsvJywJzbQf+ovsx1CKGsM9RQROCy6X0VUMG/cw64shdbG8wRNjX&#10;Uvc4xHDTyTRJPqTBlmNDg442DVXX480oOG/ZFbtBVpfnxh1+iqzb38qTUtPXcf0JItAY/sV/7kIr&#10;SNNsHvfGO/EKyOUvAAAA//8DAFBLAQItABQABgAIAAAAIQDb4fbL7gAAAIUBAAATAAAAAAAAAAAA&#10;AAAAAAAAAABbQ29udGVudF9UeXBlc10ueG1sUEsBAi0AFAAGAAgAAAAhAFr0LFu/AAAAFQEAAAsA&#10;AAAAAAAAAAAAAAAAHwEAAF9yZWxzLy5yZWxzUEsBAi0AFAAGAAgAAAAhAMAOK9XEAAAA3gAAAA8A&#10;AAAAAAAAAAAAAAAABwIAAGRycy9kb3ducmV2LnhtbFBLBQYAAAAAAwADALcAAAD4AgAAAAA=&#10;" filled="f" stroked="f">
                  <v:textbox inset="0,0,0,0">
                    <w:txbxContent>
                      <w:p w14:paraId="044FC699" w14:textId="77777777" w:rsidR="00B32EF2" w:rsidRDefault="00000000">
                        <w:r>
                          <w:rPr>
                            <w:rFonts w:ascii="Arial" w:eastAsia="Arial" w:hAnsi="Arial" w:cs="Arial"/>
                            <w:sz w:val="18"/>
                          </w:rPr>
                          <w:t xml:space="preserve">tecedente l’inizio della prova scritta, con decreto del Ministro dell’economia e </w:t>
                        </w:r>
                      </w:p>
                    </w:txbxContent>
                  </v:textbox>
                </v:rect>
                <v:rect id="Rectangle 22839" o:spid="_x0000_s6690" style="position:absolute;left:-12203;top:55033;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o5OxwAAAN4AAAAPAAAAZHJzL2Rvd25yZXYueG1sRI9Ba8JA&#10;FITvBf/D8gRvdWMKkqauUhRpDr1oFTw+ss8kbfbtkl1N7K93hUKPw8x8wyxWg2nFlTrfWFYwmyYg&#10;iEurG64UHL62zxkIH5A1tpZJwY08rJajpwXm2va8o+s+VCJC2OeooA7B5VL6siaDfmodcfTOtjMY&#10;ouwqqTvsI9y0Mk2SuTTYcFyo0dG6pvJnfzEKTht2xbaX5fl37T6/i6z9uByOSk3Gw/sbiEBD+A//&#10;tQutIE2zl1d43IlXQC7vAAAA//8DAFBLAQItABQABgAIAAAAIQDb4fbL7gAAAIUBAAATAAAAAAAA&#10;AAAAAAAAAAAAAABbQ29udGVudF9UeXBlc10ueG1sUEsBAi0AFAAGAAgAAAAhAFr0LFu/AAAAFQEA&#10;AAsAAAAAAAAAAAAAAAAAHwEAAF9yZWxzLy5yZWxzUEsBAi0AFAAGAAgAAAAhAK9Cjk7HAAAA3gAA&#10;AA8AAAAAAAAAAAAAAAAABwIAAGRycy9kb3ducmV2LnhtbFBLBQYAAAAAAwADALcAAAD7AgAAAAA=&#10;" filled="f" stroked="f">
                  <v:textbox inset="0,0,0,0">
                    <w:txbxContent>
                      <w:p w14:paraId="42CB2337" w14:textId="77777777" w:rsidR="00B32EF2" w:rsidRDefault="00000000">
                        <w:r>
                          <w:rPr>
                            <w:rFonts w:ascii="Arial" w:eastAsia="Arial" w:hAnsi="Arial" w:cs="Arial"/>
                            <w:sz w:val="18"/>
                          </w:rPr>
                          <w:t>delle finanze, adottato previa delibera del Consiglio di presidenza della giusti</w:t>
                        </w:r>
                      </w:p>
                    </w:txbxContent>
                  </v:textbox>
                </v:rect>
                <v:rect id="Rectangle 22840" o:spid="_x0000_s6691" style="position:absolute;left:194;top:550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lSuxQAAAN4AAAAPAAAAZHJzL2Rvd25yZXYueG1sRI/NasJA&#10;FIX3Bd9huAV3ddIgJaSOIoqYhZvaCC4vmWuSmrkzZEYTffrOotDl4fzxLVaj6cSdet9aVvA+S0AQ&#10;V1a3XCsov3dvGQgfkDV2lknBgzyslpOXBebaDvxF92OoRRxhn6OCJgSXS+mrhgz6mXXE0bvY3mCI&#10;sq+l7nGI46aTaZJ8SIMtx4cGHW0aqq7Hm1Fw3rIrdoOsLs+NO/wUWbe/lSelpq/j+hNEoDH8h//a&#10;hVaQptk8AkSciAJy+QsAAP//AwBQSwECLQAUAAYACAAAACEA2+H2y+4AAACFAQAAEwAAAAAAAAAA&#10;AAAAAAAAAAAAW0NvbnRlbnRfVHlwZXNdLnhtbFBLAQItABQABgAIAAAAIQBa9CxbvwAAABUBAAAL&#10;AAAAAAAAAAAAAAAAAB8BAABfcmVscy8ucmVsc1BLAQItABQABgAIAAAAIQBmflSuxQAAAN4AAAAP&#10;AAAAAAAAAAAAAAAAAAcCAABkcnMvZG93bnJldi54bWxQSwUGAAAAAAMAAwC3AAAA+QIAAAAA&#10;" filled="f" stroked="f">
                  <v:textbox inset="0,0,0,0">
                    <w:txbxContent>
                      <w:p w14:paraId="1BF0F051" w14:textId="77777777" w:rsidR="00B32EF2" w:rsidRDefault="00000000">
                        <w:r>
                          <w:rPr>
                            <w:rFonts w:ascii="Arial" w:eastAsia="Arial" w:hAnsi="Arial" w:cs="Arial"/>
                            <w:sz w:val="18"/>
                          </w:rPr>
                          <w:t>-</w:t>
                        </w:r>
                      </w:p>
                    </w:txbxContent>
                  </v:textbox>
                </v:rect>
                <v:rect id="Rectangle 22841" o:spid="_x0000_s6692" style="position:absolute;left:31052;top:53799;width:88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vE1xgAAAN4AAAAPAAAAZHJzL2Rvd25yZXYueG1sRI9Ba8JA&#10;FITvBf/D8gRvdWMQCamrFEXMwYtWweMj+0zSZt8u2dXE/vpuodDjMDPfMMv1YFrxoM43lhXMpgkI&#10;4tLqhisF54/dawbCB2SNrWVS8CQP69XoZYm5tj0f6XEKlYgQ9jkqqENwuZS+rMmgn1pHHL2b7QyG&#10;KLtK6g77CDetTJNkIQ02HBdqdLSpqfw63Y2C65ZdsetlefveuMNnkbX7+/mi1GQ8vL+BCDSE//Bf&#10;u9AK0jSbz+D3TrwCcvUDAAD//wMAUEsBAi0AFAAGAAgAAAAhANvh9svuAAAAhQEAABMAAAAAAAAA&#10;AAAAAAAAAAAAAFtDb250ZW50X1R5cGVzXS54bWxQSwECLQAUAAYACAAAACEAWvQsW78AAAAVAQAA&#10;CwAAAAAAAAAAAAAAAAAfAQAAX3JlbHMvLnJlbHNQSwECLQAUAAYACAAAACEACTLxNcYAAADeAAAA&#10;DwAAAAAAAAAAAAAAAAAHAgAAZHJzL2Rvd25yZXYueG1sUEsFBgAAAAADAAMAtwAAAPoCAAAAAA==&#10;" filled="f" stroked="f">
                  <v:textbox inset="0,0,0,0">
                    <w:txbxContent>
                      <w:p w14:paraId="04473E3E" w14:textId="77777777" w:rsidR="00B32EF2" w:rsidRDefault="00000000">
                        <w:r>
                          <w:rPr>
                            <w:rFonts w:ascii="Arial" w:eastAsia="Arial" w:hAnsi="Arial" w:cs="Arial"/>
                            <w:sz w:val="18"/>
                          </w:rPr>
                          <w:t>zia tributaria.</w:t>
                        </w:r>
                      </w:p>
                    </w:txbxContent>
                  </v:textbox>
                </v:rect>
                <v:rect id="Rectangle 202348" o:spid="_x0000_s6693" style="position:absolute;left:26111;top:52566;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pNlxQAAAN8AAAAPAAAAZHJzL2Rvd25yZXYueG1sRE/LisIw&#10;FN0P+A/hCu7G1M4wSDWKKDJduBkf4PLSXNtqcxOaaKtfP1kMzPJw3vNlbxrxoNbXlhVMxgkI4sLq&#10;mksFx8P2fQrCB2SNjWVS8CQPy8XgbY6Zth3/0GMfShFD2GeooArBZVL6oiKDfmwdceQutjUYImxL&#10;qVvsYrhpZJokX9JgzbGhQkfriorb/m4UnDfs8m0ni8tr7XbXfNp8348npUbDfjUDEagP/+I/d64V&#10;pEn68RkHxz/xC8jFLwAAAP//AwBQSwECLQAUAAYACAAAACEA2+H2y+4AAACFAQAAEwAAAAAAAAAA&#10;AAAAAAAAAAAAW0NvbnRlbnRfVHlwZXNdLnhtbFBLAQItABQABgAIAAAAIQBa9CxbvwAAABUBAAAL&#10;AAAAAAAAAAAAAAAAAB8BAABfcmVscy8ucmVsc1BLAQItABQABgAIAAAAIQB95pNlxQAAAN8AAAAP&#10;AAAAAAAAAAAAAAAAAAcCAABkcnMvZG93bnJldi54bWxQSwUGAAAAAAMAAwC3AAAA+QIAAAAA&#10;" filled="f" stroked="f">
                  <v:textbox inset="0,0,0,0">
                    <w:txbxContent>
                      <w:p w14:paraId="69B94519" w14:textId="77777777" w:rsidR="00B32EF2" w:rsidRDefault="00000000">
                        <w:r>
                          <w:rPr>
                            <w:rFonts w:ascii="Arial" w:eastAsia="Arial" w:hAnsi="Arial" w:cs="Arial"/>
                            <w:sz w:val="18"/>
                          </w:rPr>
                          <w:t>2</w:t>
                        </w:r>
                      </w:p>
                    </w:txbxContent>
                  </v:textbox>
                </v:rect>
                <v:rect id="Rectangle 202349" o:spid="_x0000_s6694" style="position:absolute;left:-13815;top:525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jb+yAAAAN8AAAAPAAAAZHJzL2Rvd25yZXYueG1sRI9Ba8JA&#10;FITvgv9heUJvumkqJU1dRRRpDr1oLfT4yD6TtNm3S3Y1qb++KxQ8DjPzDbNYDaYVF+p8Y1nB4ywB&#10;QVxa3XCl4Pixm2YgfEDW2FomBb/kYbUcjxaYa9vzni6HUIkIYZ+jgjoEl0vpy5oM+pl1xNE72c5g&#10;iLKrpO6wj3DTyjRJnqXBhuNCjY42NZU/h7NR8LVlV+x6WZ6uG/f+XWTt2/n4qdTDZFi/ggg0hHv4&#10;v11oBWmSPs1f4PYnfgG5/AMAAP//AwBQSwECLQAUAAYACAAAACEA2+H2y+4AAACFAQAAEwAAAAAA&#10;AAAAAAAAAAAAAAAAW0NvbnRlbnRfVHlwZXNdLnhtbFBLAQItABQABgAIAAAAIQBa9CxbvwAAABUB&#10;AAALAAAAAAAAAAAAAAAAAB8BAABfcmVscy8ucmVsc1BLAQItABQABgAIAAAAIQASqjb+yAAAAN8A&#10;AAAPAAAAAAAAAAAAAAAAAAcCAABkcnMvZG93bnJldi54bWxQSwUGAAAAAAMAAwC3AAAA/AIAAAAA&#10;" filled="f" stroked="f">
                  <v:textbox inset="0,0,0,0">
                    <w:txbxContent>
                      <w:p w14:paraId="2CB6AE54" w14:textId="77777777" w:rsidR="00B32EF2" w:rsidRDefault="00000000">
                        <w:r>
                          <w:rPr>
                            <w:rFonts w:ascii="Arial" w:eastAsia="Arial" w:hAnsi="Arial" w:cs="Arial"/>
                            <w:sz w:val="18"/>
                          </w:rPr>
                          <w:t xml:space="preserve">. La commissione di concorso è composta dal presidente di una corte di </w:t>
                        </w:r>
                      </w:p>
                    </w:txbxContent>
                  </v:textbox>
                </v:rect>
                <v:rect id="Rectangle 22843" o:spid="_x0000_s6695" style="position:absolute;left:-13170;top:513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MrZxwAAAN4AAAAPAAAAZHJzL2Rvd25yZXYueG1sRI9Ba8JA&#10;FITvBf/D8gRvdWMqJaSuUhRpDr1oFTw+ss8kbfbtkl1N7K93hUKPw8x8wyxWg2nFlTrfWFYwmyYg&#10;iEurG64UHL62zxkIH5A1tpZJwY08rJajpwXm2va8o+s+VCJC2OeooA7B5VL6siaDfmodcfTOtjMY&#10;ouwqqTvsI9y0Mk2SV2mw4bhQo6N1TeXP/mIUnDbsim0vy/Pv2n1+F1n7cTkclZqMh/c3EIGG8B/+&#10;axdaQZpm8xd43IlXQC7vAAAA//8DAFBLAQItABQABgAIAAAAIQDb4fbL7gAAAIUBAAATAAAAAAAA&#10;AAAAAAAAAAAAAABbQ29udGVudF9UeXBlc10ueG1sUEsBAi0AFAAGAAgAAAAhAFr0LFu/AAAAFQEA&#10;AAsAAAAAAAAAAAAAAAAAHwEAAF9yZWxzLy5yZWxzUEsBAi0AFAAGAAgAAAAhAJasytnHAAAA3gAA&#10;AA8AAAAAAAAAAAAAAAAABwIAAGRycy9kb3ducmV2LnhtbFBLBQYAAAAAAwADALcAAAD7AgAAAAA=&#10;" filled="f" stroked="f">
                  <v:textbox inset="0,0,0,0">
                    <w:txbxContent>
                      <w:p w14:paraId="0583A6BE" w14:textId="77777777" w:rsidR="00B32EF2" w:rsidRDefault="00000000">
                        <w:r>
                          <w:rPr>
                            <w:rFonts w:ascii="Arial" w:eastAsia="Arial" w:hAnsi="Arial" w:cs="Arial"/>
                            <w:sz w:val="18"/>
                          </w:rPr>
                          <w:t xml:space="preserve">giustizia tributaria di secondo grado, che la presiede, da venti magistrati scelti </w:t>
                        </w:r>
                      </w:p>
                    </w:txbxContent>
                  </v:textbox>
                </v:rect>
                <v:rect id="Rectangle 22844" o:spid="_x0000_s6696" style="position:absolute;left:-13170;top:500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VKtxgAAAN4AAAAPAAAAZHJzL2Rvd25yZXYueG1sRI9Ba8JA&#10;FITvBf/D8gRvdWMQCamrFEXMoRethR4f2WeSNvt2ya4m9de7gtDjMDPfMMv1YFpxpc43lhXMpgkI&#10;4tLqhisFp8/dawbCB2SNrWVS8Ece1qvRyxJzbXs+0PUYKhEh7HNUUIfgcil9WZNBP7WOOHpn2xkM&#10;UXaV1B32EW5amSbJQhpsOC7U6GhTU/l7vBgF31t2xa6X5fm2cR8/RdbuL6cvpSbj4f0NRKAh/Ief&#10;7UIrSNNsPofHnXgF5OoOAAD//wMAUEsBAi0AFAAGAAgAAAAhANvh9svuAAAAhQEAABMAAAAAAAAA&#10;AAAAAAAAAAAAAFtDb250ZW50X1R5cGVzXS54bWxQSwECLQAUAAYACAAAACEAWvQsW78AAAAVAQAA&#10;CwAAAAAAAAAAAAAAAAAfAQAAX3JlbHMvLnJlbHNQSwECLQAUAAYACAAAACEAGUVSrcYAAADeAAAA&#10;DwAAAAAAAAAAAAAAAAAHAgAAZHJzL2Rvd25yZXYueG1sUEsFBgAAAAADAAMAtwAAAPoCAAAAAA==&#10;" filled="f" stroked="f">
                  <v:textbox inset="0,0,0,0">
                    <w:txbxContent>
                      <w:p w14:paraId="775FBCF6" w14:textId="77777777" w:rsidR="00B32EF2" w:rsidRDefault="00000000">
                        <w:r>
                          <w:rPr>
                            <w:rFonts w:ascii="Arial" w:eastAsia="Arial" w:hAnsi="Arial" w:cs="Arial"/>
                            <w:sz w:val="18"/>
                          </w:rPr>
                          <w:t xml:space="preserve">tra magistrati tributari, ordinari, amministrativi, contabili e militari con almeno </w:t>
                        </w:r>
                      </w:p>
                    </w:txbxContent>
                  </v:textbox>
                </v:rect>
                <v:rect id="Rectangle 22845" o:spid="_x0000_s6697" style="position:absolute;left:-13174;top:48866;width:53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fc2xwAAAN4AAAAPAAAAZHJzL2Rvd25yZXYueG1sRI9Ba8JA&#10;FITvBf/D8gRvdWOoJaSuUhRpDr1oFTw+ss8kbfbtkl1N7K93hUKPw8x8wyxWg2nFlTrfWFYwmyYg&#10;iEurG64UHL62zxkIH5A1tpZJwY08rJajpwXm2va8o+s+VCJC2OeooA7B5VL6siaDfmodcfTOtjMY&#10;ouwqqTvsI9y0Mk2SV2mw4bhQo6N1TeXP/mIUnDbsim0vy/Pv2n1+F1n7cTkclZqMh/c3EIGG8B/+&#10;axdaQZpmL3N43IlXQC7vAAAA//8DAFBLAQItABQABgAIAAAAIQDb4fbL7gAAAIUBAAATAAAAAAAA&#10;AAAAAAAAAAAAAABbQ29udGVudF9UeXBlc10ueG1sUEsBAi0AFAAGAAgAAAAhAFr0LFu/AAAAFQEA&#10;AAsAAAAAAAAAAAAAAAAAHwEAAF9yZWxzLy5yZWxzUEsBAi0AFAAGAAgAAAAhAHYJ9zbHAAAA3gAA&#10;AA8AAAAAAAAAAAAAAAAABwIAAGRycy9kb3ducmV2LnhtbFBLBQYAAAAAAwADALcAAAD7AgAAAAA=&#10;" filled="f" stroked="f">
                  <v:textbox inset="0,0,0,0">
                    <w:txbxContent>
                      <w:p w14:paraId="0B67016F" w14:textId="77777777" w:rsidR="00B32EF2" w:rsidRDefault="00000000">
                        <w:r>
                          <w:rPr>
                            <w:rFonts w:ascii="Arial" w:eastAsia="Arial" w:hAnsi="Arial" w:cs="Arial"/>
                            <w:sz w:val="18"/>
                          </w:rPr>
                          <w:t xml:space="preserve">quindici anni di anzianità, da quattro professori universitari di ruolo, di cui due </w:t>
                        </w:r>
                      </w:p>
                    </w:txbxContent>
                  </v:textbox>
                </v:rect>
                <v:rect id="Rectangle 22846" o:spid="_x0000_s6698" style="position:absolute;left:-12184;top:47633;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2lBxwAAAN4AAAAPAAAAZHJzL2Rvd25yZXYueG1sRI9Ba8JA&#10;FITvBf/D8oTe6sZQJEQ3QRRpDr3UWujxkX0m0ezbJbuatL++Wyj0OMzMN8ymnEwv7jT4zrKC5SIB&#10;QVxb3XGj4PR+eMpA+ICssbdMCr7IQ1nMHjaYazvyG92PoRERwj5HBW0ILpfS1y0Z9AvriKN3toPB&#10;EOXQSD3gGOGml2mSrKTBjuNCi452LdXX480o+Nyzqw6jrM/fO/d6qbL+5Xb6UOpxPm3XIAJN4T/8&#10;1660gjTNnlfweydeAVn8AAAA//8DAFBLAQItABQABgAIAAAAIQDb4fbL7gAAAIUBAAATAAAAAAAA&#10;AAAAAAAAAAAAAABbQ29udGVudF9UeXBlc10ueG1sUEsBAi0AFAAGAAgAAAAhAFr0LFu/AAAAFQEA&#10;AAsAAAAAAAAAAAAAAAAAHwEAAF9yZWxzLy5yZWxzUEsBAi0AFAAGAAgAAAAhAIbbaUHHAAAA3gAA&#10;AA8AAAAAAAAAAAAAAAAABwIAAGRycy9kb3ducmV2LnhtbFBLBQYAAAAAAwADALcAAAD7AgAAAAA=&#10;" filled="f" stroked="f">
                  <v:textbox inset="0,0,0,0">
                    <w:txbxContent>
                      <w:p w14:paraId="0CACA40E" w14:textId="77777777" w:rsidR="00B32EF2" w:rsidRDefault="00000000">
                        <w:r>
                          <w:rPr>
                            <w:rFonts w:ascii="Arial" w:eastAsia="Arial" w:hAnsi="Arial" w:cs="Arial"/>
                            <w:sz w:val="18"/>
                          </w:rPr>
                          <w:t>titolari dell’insegnamento di diritto tributario, gli altri titolari di uno degli inse</w:t>
                        </w:r>
                      </w:p>
                    </w:txbxContent>
                  </v:textbox>
                </v:rect>
                <v:rect id="Rectangle 22847" o:spid="_x0000_s6699" style="position:absolute;left:194;top:476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8zaxwAAAN4AAAAPAAAAZHJzL2Rvd25yZXYueG1sRI9Ba8JA&#10;FITvBf/D8gRvdWMoNqSuUhRpDr1oFTw+ss8kbfbtkl1N7K93hUKPw8x8wyxWg2nFlTrfWFYwmyYg&#10;iEurG64UHL62zxkIH5A1tpZJwY08rJajpwXm2va8o+s+VCJC2OeooA7B5VL6siaDfmodcfTOtjMY&#10;ouwqqTvsI9y0Mk2SuTTYcFyo0dG6pvJnfzEKTht2xbaX5fl37T6/i6z9uByOSk3Gw/sbiEBD+A//&#10;tQutIE2zl1d43IlXQC7vAAAA//8DAFBLAQItABQABgAIAAAAIQDb4fbL7gAAAIUBAAATAAAAAAAA&#10;AAAAAAAAAAAAAABbQ29udGVudF9UeXBlc10ueG1sUEsBAi0AFAAGAAgAAAAhAFr0LFu/AAAAFQEA&#10;AAsAAAAAAAAAAAAAAAAAHwEAAF9yZWxzLy5yZWxzUEsBAi0AFAAGAAgAAAAhAOmXzNrHAAAA3gAA&#10;AA8AAAAAAAAAAAAAAAAABwIAAGRycy9kb3ducmV2LnhtbFBLBQYAAAAAAwADALcAAAD7AgAAAAA=&#10;" filled="f" stroked="f">
                  <v:textbox inset="0,0,0,0">
                    <w:txbxContent>
                      <w:p w14:paraId="679358A9" w14:textId="77777777" w:rsidR="00B32EF2" w:rsidRDefault="00000000">
                        <w:r>
                          <w:rPr>
                            <w:rFonts w:ascii="Arial" w:eastAsia="Arial" w:hAnsi="Arial" w:cs="Arial"/>
                            <w:sz w:val="18"/>
                          </w:rPr>
                          <w:t>-</w:t>
                        </w:r>
                      </w:p>
                    </w:txbxContent>
                  </v:textbox>
                </v:rect>
                <v:rect id="Rectangle 22848" o:spid="_x0000_s6700" style="position:absolute;left:-13169;top:46400;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oxAAAAN4AAAAPAAAAZHJzL2Rvd25yZXYueG1sRE/Pa8Iw&#10;FL4P/B/CG3ib6YqM0hlFFLEHL3MVPD6aZ9vZvIQm2upfvxwGO358vxer0XTiTr1vLSt4nyUgiCur&#10;W64VlN+7twyED8gaO8uk4EEeVsvJywJzbQf+ovsx1CKGsM9RQROCy6X0VUMG/cw64shdbG8wRNjX&#10;Uvc4xHDTyTRJPqTBlmNDg442DVXX480oOG/ZFbtBVpfnxh1+iqzb38qTUtPXcf0JItAY/sV/7kIr&#10;SNNsHvfGO/EKyOUvAAAA//8DAFBLAQItABQABgAIAAAAIQDb4fbL7gAAAIUBAAATAAAAAAAAAAAA&#10;AAAAAAAAAABbQ29udGVudF9UeXBlc10ueG1sUEsBAi0AFAAGAAgAAAAhAFr0LFu/AAAAFQEAAAsA&#10;AAAAAAAAAAAAAAAAHwEAAF9yZWxzLy5yZWxzUEsBAi0AFAAGAAgAAAAhAJgIWKjEAAAA3gAAAA8A&#10;AAAAAAAAAAAAAAAABwIAAGRycy9kb3ducmV2LnhtbFBLBQYAAAAAAwADALcAAAD4AgAAAAA=&#10;" filled="f" stroked="f">
                  <v:textbox inset="0,0,0,0">
                    <w:txbxContent>
                      <w:p w14:paraId="6A99E34C" w14:textId="77777777" w:rsidR="00B32EF2" w:rsidRDefault="00000000">
                        <w:r>
                          <w:rPr>
                            <w:rFonts w:ascii="Arial" w:eastAsia="Arial" w:hAnsi="Arial" w:cs="Arial"/>
                            <w:sz w:val="18"/>
                          </w:rPr>
                          <w:t xml:space="preserve">gnamenti delle altre materie oggetto di esame, nonché da due avvocati iscritti </w:t>
                        </w:r>
                      </w:p>
                    </w:txbxContent>
                  </v:textbox>
                </v:rect>
                <v:rect id="Rectangle 22849" o:spid="_x0000_s6701" style="position:absolute;left:-13170;top:451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P0zxwAAAN4AAAAPAAAAZHJzL2Rvd25yZXYueG1sRI9Ba8JA&#10;FITvBf/D8gRvdWMokqauUhRpDr1oFTw+ss8kbfbtkl1N7K93hUKPw8x8wyxWg2nFlTrfWFYwmyYg&#10;iEurG64UHL62zxkIH5A1tpZJwY08rJajpwXm2va8o+s+VCJC2OeooA7B5VL6siaDfmodcfTOtjMY&#10;ouwqqTvsI9y0Mk2SuTTYcFyo0dG6pvJnfzEKTht2xbaX5fl37T6/i6z9uByOSk3Gw/sbiEBD+A//&#10;tQutIE2zl1d43IlXQC7vAAAA//8DAFBLAQItABQABgAIAAAAIQDb4fbL7gAAAIUBAAATAAAAAAAA&#10;AAAAAAAAAAAAAABbQ29udGVudF9UeXBlc10ueG1sUEsBAi0AFAAGAAgAAAAhAFr0LFu/AAAAFQEA&#10;AAsAAAAAAAAAAAAAAAAAHwEAAF9yZWxzLy5yZWxzUEsBAi0AFAAGAAgAAAAhAPdE/TPHAAAA3gAA&#10;AA8AAAAAAAAAAAAAAAAABwIAAGRycy9kb3ducmV2LnhtbFBLBQYAAAAAAwADALcAAAD7AgAAAAA=&#10;" filled="f" stroked="f">
                  <v:textbox inset="0,0,0,0">
                    <w:txbxContent>
                      <w:p w14:paraId="396A05AE" w14:textId="77777777" w:rsidR="00B32EF2" w:rsidRDefault="00000000">
                        <w:r>
                          <w:rPr>
                            <w:rFonts w:ascii="Arial" w:eastAsia="Arial" w:hAnsi="Arial" w:cs="Arial"/>
                            <w:sz w:val="18"/>
                          </w:rPr>
                          <w:t xml:space="preserve">all’albo speciale dei patrocinanti dinanzi alle magistrature superiori, nominati </w:t>
                        </w:r>
                      </w:p>
                    </w:txbxContent>
                  </v:textbox>
                </v:rect>
                <v:rect id="Rectangle 22850" o:spid="_x0000_s6702" style="position:absolute;left:-12202;top:43933;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8JzxQAAAN4AAAAPAAAAZHJzL2Rvd25yZXYueG1sRI/NasJA&#10;FIX3Bd9huAV3ddKAJaSOIoqYhZvaCC4vmWuSmrkzZEYTffrOotDl4fzxLVaj6cSdet9aVvA+S0AQ&#10;V1a3XCsov3dvGQgfkDV2lknBgzyslpOXBebaDvxF92OoRRxhn6OCJgSXS+mrhgz6mXXE0bvY3mCI&#10;sq+l7nGI46aTaZJ8SIMtx4cGHW0aqq7Hm1Fw3rIrdoOsLs+NO/wUWbe/lSelpq/j+hNEoDH8h//a&#10;hVaQptk8AkSciAJy+QsAAP//AwBQSwECLQAUAAYACAAAACEA2+H2y+4AAACFAQAAEwAAAAAAAAAA&#10;AAAAAAAAAAAAW0NvbnRlbnRfVHlwZXNdLnhtbFBLAQItABQABgAIAAAAIQBa9CxbvwAAABUBAAAL&#10;AAAAAAAAAAAAAAAAAB8BAABfcmVscy8ucmVsc1BLAQItABQABgAIAAAAIQDjp8JzxQAAAN4AAAAP&#10;AAAAAAAAAAAAAAAAAAcCAABkcnMvZG93bnJldi54bWxQSwUGAAAAAAMAAwC3AAAA+QIAAAAA&#10;" filled="f" stroked="f">
                  <v:textbox inset="0,0,0,0">
                    <w:txbxContent>
                      <w:p w14:paraId="55891C4C" w14:textId="77777777" w:rsidR="00B32EF2" w:rsidRDefault="00000000">
                        <w:r>
                          <w:rPr>
                            <w:rFonts w:ascii="Arial" w:eastAsia="Arial" w:hAnsi="Arial" w:cs="Arial"/>
                            <w:sz w:val="18"/>
                          </w:rPr>
                          <w:t>su proposta del Consiglio nazionale forense e da due dottori commerciali</w:t>
                        </w:r>
                      </w:p>
                    </w:txbxContent>
                  </v:textbox>
                </v:rect>
                <v:rect id="Rectangle 22851" o:spid="_x0000_s6703" style="position:absolute;left:194;top:439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2foxgAAAN4AAAAPAAAAZHJzL2Rvd25yZXYueG1sRI9Ba8JA&#10;FITvBf/D8gRvdWNACamrFEXMwYtWweMj+0zSZt8u2dXE/vpuodDjMDPfMMv1YFrxoM43lhXMpgkI&#10;4tLqhisF54/dawbCB2SNrWVS8CQP69XoZYm5tj0f6XEKlYgQ9jkqqENwuZS+rMmgn1pHHL2b7QyG&#10;KLtK6g77CDetTJNkIQ02HBdqdLSpqfw63Y2C65ZdsetlefveuMNnkbX7+/mi1GQ8vL+BCDSE//Bf&#10;u9AK0jSbz+D3TrwCcvUDAAD//wMAUEsBAi0AFAAGAAgAAAAhANvh9svuAAAAhQEAABMAAAAAAAAA&#10;AAAAAAAAAAAAAFtDb250ZW50X1R5cGVzXS54bWxQSwECLQAUAAYACAAAACEAWvQsW78AAAAVAQAA&#10;CwAAAAAAAAAAAAAAAAAfAQAAX3JlbHMvLnJlbHNQSwECLQAUAAYACAAAACEAjOtn6MYAAADeAAAA&#10;DwAAAAAAAAAAAAAAAAAHAgAAZHJzL2Rvd25yZXYueG1sUEsFBgAAAAADAAMAtwAAAPoCAAAAAA==&#10;" filled="f" stroked="f">
                  <v:textbox inset="0,0,0,0">
                    <w:txbxContent>
                      <w:p w14:paraId="53E83FF4" w14:textId="77777777" w:rsidR="00B32EF2" w:rsidRDefault="00000000">
                        <w:r>
                          <w:rPr>
                            <w:rFonts w:ascii="Arial" w:eastAsia="Arial" w:hAnsi="Arial" w:cs="Arial"/>
                            <w:sz w:val="18"/>
                          </w:rPr>
                          <w:t>-</w:t>
                        </w:r>
                      </w:p>
                    </w:txbxContent>
                  </v:textbox>
                </v:rect>
                <v:rect id="Rectangle 22852" o:spid="_x0000_s6704" style="position:absolute;left:-13169;top:427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fmfxwAAAN4AAAAPAAAAZHJzL2Rvd25yZXYueG1sRI9Ba8JA&#10;FITvBf/D8oTe6qaBSkjdhKKIOXjRKvT4yD6TtNm3S3Y1sb++Wyj0OMzMN8yqnEwvbjT4zrKC50UC&#10;gri2uuNGwel9+5SB8AFZY2+ZFNzJQ1nMHlaYazvygW7H0IgIYZ+jgjYEl0vp65YM+oV1xNG72MFg&#10;iHJopB5wjHDTyzRJltJgx3GhRUfrluqv49Uo+Niwq7ajrC/fa7f/rLJ+dz2dlXqcT2+vIAJN4T/8&#10;1660gjTNXlL4vROvgCx+AAAA//8DAFBLAQItABQABgAIAAAAIQDb4fbL7gAAAIUBAAATAAAAAAAA&#10;AAAAAAAAAAAAAABbQ29udGVudF9UeXBlc10ueG1sUEsBAi0AFAAGAAgAAAAhAFr0LFu/AAAAFQEA&#10;AAsAAAAAAAAAAAAAAAAAHwEAAF9yZWxzLy5yZWxzUEsBAi0AFAAGAAgAAAAhAHw5+Z/HAAAA3gAA&#10;AA8AAAAAAAAAAAAAAAAABwIAAGRycy9kb3ducmV2LnhtbFBLBQYAAAAAAwADALcAAAD7AgAAAAA=&#10;" filled="f" stroked="f">
                  <v:textbox inset="0,0,0,0">
                    <w:txbxContent>
                      <w:p w14:paraId="2E45EFD8" w14:textId="77777777" w:rsidR="00B32EF2" w:rsidRDefault="00000000">
                        <w:r>
                          <w:rPr>
                            <w:rFonts w:ascii="Arial" w:eastAsia="Arial" w:hAnsi="Arial" w:cs="Arial"/>
                            <w:sz w:val="18"/>
                          </w:rPr>
                          <w:t xml:space="preserve">sti con almeno quindici anni di anzianità, nominati su proposta del Consiglio </w:t>
                        </w:r>
                      </w:p>
                    </w:txbxContent>
                  </v:textbox>
                </v:rect>
                <v:rect id="Rectangle 22853" o:spid="_x0000_s6705" style="position:absolute;left:-13169;top:414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VwExwAAAN4AAAAPAAAAZHJzL2Rvd25yZXYueG1sRI9Ba8JA&#10;FITvBf/D8gRvdWOKJaSuUhRpDr1oFTw+ss8kbfbtkl1N7K93hUKPw8x8wyxWg2nFlTrfWFYwmyYg&#10;iEurG64UHL62zxkIH5A1tpZJwY08rJajpwXm2va8o+s+VCJC2OeooA7B5VL6siaDfmodcfTOtjMY&#10;ouwqqTvsI9y0Mk2SV2mw4bhQo6N1TeXP/mIUnDbsim0vy/Pv2n1+F1n7cTkclZqMh/c3EIGG8B/+&#10;axdaQZpm8xd43IlXQC7vAAAA//8DAFBLAQItABQABgAIAAAAIQDb4fbL7gAAAIUBAAATAAAAAAAA&#10;AAAAAAAAAAAAAABbQ29udGVudF9UeXBlc10ueG1sUEsBAi0AFAAGAAgAAAAhAFr0LFu/AAAAFQEA&#10;AAsAAAAAAAAAAAAAAAAAHwEAAF9yZWxzLy5yZWxzUEsBAi0AFAAGAAgAAAAhABN1XATHAAAA3gAA&#10;AA8AAAAAAAAAAAAAAAAABwIAAGRycy9kb3ducmV2LnhtbFBLBQYAAAAAAwADALcAAAD7AgAAAAA=&#10;" filled="f" stroked="f">
                  <v:textbox inset="0,0,0,0">
                    <w:txbxContent>
                      <w:p w14:paraId="755A6816" w14:textId="77777777" w:rsidR="00B32EF2" w:rsidRDefault="00000000">
                        <w:r>
                          <w:rPr>
                            <w:rFonts w:ascii="Arial" w:eastAsia="Arial" w:hAnsi="Arial" w:cs="Arial"/>
                            <w:sz w:val="18"/>
                          </w:rPr>
                          <w:t xml:space="preserve">nazionale dei dottori commercialisti e degli esperti contabili. Ai professori </w:t>
                        </w:r>
                      </w:p>
                    </w:txbxContent>
                  </v:textbox>
                </v:rect>
                <v:rect id="Rectangle 22854" o:spid="_x0000_s6706" style="position:absolute;left:-13170;top:402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MRwxwAAAN4AAAAPAAAAZHJzL2Rvd25yZXYueG1sRI9Ba8JA&#10;FITvBf/D8gRvdWOoJaSuUhRpDr1oFTw+ss8kbfbtkl1N7K93hUKPw8x8wyxWg2nFlTrfWFYwmyYg&#10;iEurG64UHL62zxkIH5A1tpZJwY08rJajpwXm2va8o+s+VCJC2OeooA7B5VL6siaDfmodcfTOtjMY&#10;ouwqqTvsI9y0Mk2SV2mw4bhQo6N1TeXP/mIUnDbsim0vy/Pv2n1+F1n7cTkclZqMh/c3EIGG8B/+&#10;axdaQZpm8xd43IlXQC7vAAAA//8DAFBLAQItABQABgAIAAAAIQDb4fbL7gAAAIUBAAATAAAAAAAA&#10;AAAAAAAAAAAAAABbQ29udGVudF9UeXBlc10ueG1sUEsBAi0AFAAGAAgAAAAhAFr0LFu/AAAAFQEA&#10;AAsAAAAAAAAAAAAAAAAAHwEAAF9yZWxzLy5yZWxzUEsBAi0AFAAGAAgAAAAhAJycxHDHAAAA3gAA&#10;AA8AAAAAAAAAAAAAAAAABwIAAGRycy9kb3ducmV2LnhtbFBLBQYAAAAAAwADALcAAAD7AgAAAAA=&#10;" filled="f" stroked="f">
                  <v:textbox inset="0,0,0,0">
                    <w:txbxContent>
                      <w:p w14:paraId="56FFE8D8" w14:textId="77777777" w:rsidR="00B32EF2" w:rsidRDefault="00000000">
                        <w:r>
                          <w:rPr>
                            <w:rFonts w:ascii="Arial" w:eastAsia="Arial" w:hAnsi="Arial" w:cs="Arial"/>
                            <w:sz w:val="18"/>
                          </w:rPr>
                          <w:t xml:space="preserve">universitari componenti della commissione si applicano, a loro richiesta, le </w:t>
                        </w:r>
                      </w:p>
                    </w:txbxContent>
                  </v:textbox>
                </v:rect>
                <v:rect id="Rectangle 22855" o:spid="_x0000_s6707" style="position:absolute;left:-13172;top:39000;width:530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GHrxgAAAN4AAAAPAAAAZHJzL2Rvd25yZXYueG1sRI9Ba8JA&#10;FITvBf/D8gRvdWNACamrFEXMoRethR4f2WeSNvt2ya4m9de7gtDjMDPfMMv1YFpxpc43lhXMpgkI&#10;4tLqhisFp8/dawbCB2SNrWVS8Ece1qvRyxJzbXs+0PUYKhEh7HNUUIfgcil9WZNBP7WOOHpn2xkM&#10;UXaV1B32EW5amSbJQhpsOC7U6GhTU/l7vBgF31t2xa6X5fm2cR8/RdbuL6cvpSbj4f0NRKAh/Ief&#10;7UIrSNNsPofHnXgF5OoOAAD//wMAUEsBAi0AFAAGAAgAAAAhANvh9svuAAAAhQEAABMAAAAAAAAA&#10;AAAAAAAAAAAAAFtDb250ZW50X1R5cGVzXS54bWxQSwECLQAUAAYACAAAACEAWvQsW78AAAAVAQAA&#10;CwAAAAAAAAAAAAAAAAAfAQAAX3JlbHMvLnJlbHNQSwECLQAUAAYACAAAACEA89Bh68YAAADeAAAA&#10;DwAAAAAAAAAAAAAAAAAHAgAAZHJzL2Rvd25yZXYueG1sUEsFBgAAAAADAAMAtwAAAPoCAAAAAA==&#10;" filled="f" stroked="f">
                  <v:textbox inset="0,0,0,0">
                    <w:txbxContent>
                      <w:p w14:paraId="053951D1" w14:textId="77777777" w:rsidR="00B32EF2" w:rsidRDefault="00000000">
                        <w:r>
                          <w:rPr>
                            <w:rFonts w:ascii="Arial" w:eastAsia="Arial" w:hAnsi="Arial" w:cs="Arial"/>
                            <w:sz w:val="18"/>
                          </w:rPr>
                          <w:t xml:space="preserve">disposizioni di cui all’articolo 13, secondo comma, del decreto del Presidente </w:t>
                        </w:r>
                      </w:p>
                    </w:txbxContent>
                  </v:textbox>
                </v:rect>
                <v:rect id="Rectangle 22856" o:spid="_x0000_s6708" style="position:absolute;left:-12201;top:37767;width:52121;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v+cxwAAAN4AAAAPAAAAZHJzL2Rvd25yZXYueG1sRI9Ba8JA&#10;FITvBf/D8oTe6sZAJUQ3QRRpDr3UWujxkX0m0ezbJbuatL++Wyj0OMzMN8ymnEwv7jT4zrKC5SIB&#10;QVxb3XGj4PR+eMpA+ICssbdMCr7IQ1nMHjaYazvyG92PoRERwj5HBW0ILpfS1y0Z9AvriKN3toPB&#10;EOXQSD3gGOGml2mSrKTBjuNCi452LdXX480o+Nyzqw6jrM/fO/d6qbL+5Xb6UOpxPm3XIAJN4T/8&#10;1660gjTNnlfweydeAVn8AAAA//8DAFBLAQItABQABgAIAAAAIQDb4fbL7gAAAIUBAAATAAAAAAAA&#10;AAAAAAAAAAAAAABbQ29udGVudF9UeXBlc10ueG1sUEsBAi0AFAAGAAgAAAAhAFr0LFu/AAAAFQEA&#10;AAsAAAAAAAAAAAAAAAAAHwEAAF9yZWxzLy5yZWxzUEsBAi0AFAAGAAgAAAAhAAMC/5zHAAAA3gAA&#10;AA8AAAAAAAAAAAAAAAAABwIAAGRycy9kb3ducmV2LnhtbFBLBQYAAAAAAwADALcAAAD7AgAAAAA=&#10;" filled="f" stroked="f">
                  <v:textbox inset="0,0,0,0">
                    <w:txbxContent>
                      <w:p w14:paraId="5BAB9657" w14:textId="77777777" w:rsidR="00B32EF2" w:rsidRDefault="00000000">
                        <w:r>
                          <w:rPr>
                            <w:rFonts w:ascii="Arial" w:eastAsia="Arial" w:hAnsi="Arial" w:cs="Arial"/>
                            <w:sz w:val="18"/>
                          </w:rPr>
                          <w:t>della Repubblica 11 luglio 1980, n. 382. Al presidente e ai magistrati com</w:t>
                        </w:r>
                      </w:p>
                    </w:txbxContent>
                  </v:textbox>
                </v:rect>
                <v:rect id="Rectangle 22857" o:spid="_x0000_s6709" style="position:absolute;left:194;top:37767;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oHxwAAAN4AAAAPAAAAZHJzL2Rvd25yZXYueG1sRI9Ba8JA&#10;FITvBf/D8gRvdWOgNqSuUhRpDr1oFTw+ss8kbfbtkl1N7K93hUKPw8x8wyxWg2nFlTrfWFYwmyYg&#10;iEurG64UHL62zxkIH5A1tpZJwY08rJajpwXm2va8o+s+VCJC2OeooA7B5VL6siaDfmodcfTOtjMY&#10;ouwqqTvsI9y0Mk2SuTTYcFyo0dG6pvJnfzEKTht2xbaX5fl37T6/i6z9uByOSk3Gw/sbiEBD+A//&#10;tQutIE2zl1d43IlXQC7vAAAA//8DAFBLAQItABQABgAIAAAAIQDb4fbL7gAAAIUBAAATAAAAAAAA&#10;AAAAAAAAAAAAAABbQ29udGVudF9UeXBlc10ueG1sUEsBAi0AFAAGAAgAAAAhAFr0LFu/AAAAFQEA&#10;AAsAAAAAAAAAAAAAAAAAHwEAAF9yZWxzLy5yZWxzUEsBAi0AFAAGAAgAAAAhAGxOWgfHAAAA3gAA&#10;AA8AAAAAAAAAAAAAAAAABwIAAGRycy9kb3ducmV2LnhtbFBLBQYAAAAAAwADALcAAAD7AgAAAAA=&#10;" filled="f" stroked="f">
                  <v:textbox inset="0,0,0,0">
                    <w:txbxContent>
                      <w:p w14:paraId="5E99C4F9" w14:textId="77777777" w:rsidR="00B32EF2" w:rsidRDefault="00000000">
                        <w:r>
                          <w:rPr>
                            <w:rFonts w:ascii="Arial" w:eastAsia="Arial" w:hAnsi="Arial" w:cs="Arial"/>
                            <w:sz w:val="18"/>
                          </w:rPr>
                          <w:t>-</w:t>
                        </w:r>
                      </w:p>
                    </w:txbxContent>
                  </v:textbox>
                </v:rect>
                <v:rect id="Rectangle 22858" o:spid="_x0000_s6710" style="position:absolute;left:-13172;top:36533;width:531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c51xAAAAN4AAAAPAAAAZHJzL2Rvd25yZXYueG1sRE/Pa8Iw&#10;FL4P/B/CG3ib6QqO0hlFFLEHL3MVPD6aZ9vZvIQm2upfvxwGO358vxer0XTiTr1vLSt4nyUgiCur&#10;W64VlN+7twyED8gaO8uk4EEeVsvJywJzbQf+ovsx1CKGsM9RQROCy6X0VUMG/cw64shdbG8wRNjX&#10;Uvc4xHDTyTRJPqTBlmNDg442DVXX480oOG/ZFbtBVpfnxh1+iqzb38qTUtPXcf0JItAY/sV/7kIr&#10;SNNsHvfGO/EKyOUvAAAA//8DAFBLAQItABQABgAIAAAAIQDb4fbL7gAAAIUBAAATAAAAAAAAAAAA&#10;AAAAAAAAAABbQ29udGVudF9UeXBlc10ueG1sUEsBAi0AFAAGAAgAAAAhAFr0LFu/AAAAFQEAAAsA&#10;AAAAAAAAAAAAAAAAHwEAAF9yZWxzLy5yZWxzUEsBAi0AFAAGAAgAAAAhAB3RznXEAAAA3gAAAA8A&#10;AAAAAAAAAAAAAAAABwIAAGRycy9kb3ducmV2LnhtbFBLBQYAAAAAAwADALcAAAD4AgAAAAA=&#10;" filled="f" stroked="f">
                  <v:textbox inset="0,0,0,0">
                    <w:txbxContent>
                      <w:p w14:paraId="792FC1EE" w14:textId="77777777" w:rsidR="00B32EF2" w:rsidRDefault="00000000">
                        <w:r>
                          <w:rPr>
                            <w:rFonts w:ascii="Arial" w:eastAsia="Arial" w:hAnsi="Arial" w:cs="Arial"/>
                            <w:sz w:val="18"/>
                          </w:rPr>
                          <w:t xml:space="preserve">ponenti della commissione si applica la disciplina dell’esonero dalle funzioni </w:t>
                        </w:r>
                      </w:p>
                    </w:txbxContent>
                  </v:textbox>
                </v:rect>
                <v:rect id="Rectangle 22859" o:spid="_x0000_s6711" style="position:absolute;left:-13170;top:353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WvuxwAAAN4AAAAPAAAAZHJzL2Rvd25yZXYueG1sRI9Ba8JA&#10;FITvBf/D8gRvdWOgkqauUhRpDr1oFTw+ss8kbfbtkl1N7K93hUKPw8x8wyxWg2nFlTrfWFYwmyYg&#10;iEurG64UHL62zxkIH5A1tpZJwY08rJajpwXm2va8o+s+VCJC2OeooA7B5VL6siaDfmodcfTOtjMY&#10;ouwqqTvsI9y0Mk2SuTTYcFyo0dG6pvJnfzEKTht2xbaX5fl37T6/i6z9uByOSk3Gw/sbiEBD+A//&#10;tQutIE2zl1d43IlXQC7vAAAA//8DAFBLAQItABQABgAIAAAAIQDb4fbL7gAAAIUBAAATAAAAAAAA&#10;AAAAAAAAAAAAAABbQ29udGVudF9UeXBlc10ueG1sUEsBAi0AFAAGAAgAAAAhAFr0LFu/AAAAFQEA&#10;AAsAAAAAAAAAAAAAAAAAHwEAAF9yZWxzLy5yZWxzUEsBAi0AFAAGAAgAAAAhAHKda+7HAAAA3gAA&#10;AA8AAAAAAAAAAAAAAAAABwIAAGRycy9kb3ducmV2LnhtbFBLBQYAAAAAAwADALcAAAD7AgAAAAA=&#10;" filled="f" stroked="f">
                  <v:textbox inset="0,0,0,0">
                    <w:txbxContent>
                      <w:p w14:paraId="1BA9DAE7" w14:textId="77777777" w:rsidR="00B32EF2" w:rsidRDefault="00000000">
                        <w:r>
                          <w:rPr>
                            <w:rFonts w:ascii="Arial" w:eastAsia="Arial" w:hAnsi="Arial" w:cs="Arial"/>
                            <w:sz w:val="18"/>
                          </w:rPr>
                          <w:t xml:space="preserve">giudiziarie o giurisdizionali, ai sensi del comma 9 del presente articolo. Non </w:t>
                        </w:r>
                      </w:p>
                    </w:txbxContent>
                  </v:textbox>
                </v:rect>
                <v:rect id="Rectangle 22860" o:spid="_x0000_s6712" style="position:absolute;left:-13170;top:34067;width:531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wjOxAAAAN4AAAAPAAAAZHJzL2Rvd25yZXYueG1sRI/NisIw&#10;FIX3A75DuIK7MbULKdUooohduNFxYJaX5tpWm5vQRFt9+sliYJaH88e3XA+mFU/qfGNZwWyagCAu&#10;rW64UnD52n9mIHxA1thaJgUv8rBejT6WmGvb84me51CJOMI+RwV1CC6X0pc1GfRT64ijd7WdwRBl&#10;V0ndYR/HTSvTJJlLgw3HhxodbWsq7+eHUfCzY1fse1le31t3vBVZe3hcvpWajIfNAkSgIfyH/9qF&#10;VpCm2TwCRJyIAnL1CwAA//8DAFBLAQItABQABgAIAAAAIQDb4fbL7gAAAIUBAAATAAAAAAAAAAAA&#10;AAAAAAAAAABbQ29udGVudF9UeXBlc10ueG1sUEsBAi0AFAAGAAgAAAAhAFr0LFu/AAAAFQEAAAsA&#10;AAAAAAAAAAAAAAAAHwEAAF9yZWxzLy5yZWxzUEsBAi0AFAAGAAgAAAAhAC3LCM7EAAAA3gAAAA8A&#10;AAAAAAAAAAAAAAAABwIAAGRycy9kb3ducmV2LnhtbFBLBQYAAAAAAwADALcAAAD4AgAAAAA=&#10;" filled="f" stroked="f">
                  <v:textbox inset="0,0,0,0">
                    <w:txbxContent>
                      <w:p w14:paraId="4A5AB4EB" w14:textId="77777777" w:rsidR="00B32EF2" w:rsidRDefault="00000000">
                        <w:r>
                          <w:rPr>
                            <w:rFonts w:ascii="Arial" w:eastAsia="Arial" w:hAnsi="Arial" w:cs="Arial"/>
                            <w:sz w:val="18"/>
                          </w:rPr>
                          <w:t xml:space="preserve">possono essere nominati componenti della commissione coloro che, nei dieci </w:t>
                        </w:r>
                      </w:p>
                    </w:txbxContent>
                  </v:textbox>
                </v:rect>
                <v:rect id="Rectangle 22861" o:spid="_x0000_s6713" style="position:absolute;left:-13171;top:32833;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61VxgAAAN4AAAAPAAAAZHJzL2Rvd25yZXYueG1sRI9Ba8JA&#10;FITvBf/D8oTe6sYcJERXEUXMoZeqhR4f2WcSzb5dsquJ/vpuoeBxmJlvmMVqMK24U+cbywqmkwQE&#10;cWl1w5WC03H3kYHwAVlja5kUPMjDajl6W2Cubc9fdD+ESkQI+xwV1CG4XEpf1mTQT6wjjt7ZdgZD&#10;lF0ldYd9hJtWpkkykwYbjgs1OtrUVF4PN6PgZ8uu2PWyPD837vNSZO3+dvpW6n08rOcgAg3hFf5v&#10;F1pBmmazKfzdiVdALn8BAAD//wMAUEsBAi0AFAAGAAgAAAAhANvh9svuAAAAhQEAABMAAAAAAAAA&#10;AAAAAAAAAAAAAFtDb250ZW50X1R5cGVzXS54bWxQSwECLQAUAAYACAAAACEAWvQsW78AAAAVAQAA&#10;CwAAAAAAAAAAAAAAAAAfAQAAX3JlbHMvLnJlbHNQSwECLQAUAAYACAAAACEAQoetVcYAAADeAAAA&#10;DwAAAAAAAAAAAAAAAAAHAgAAZHJzL2Rvd25yZXYueG1sUEsFBgAAAAADAAMAtwAAAPoCAAAAAA==&#10;" filled="f" stroked="f">
                  <v:textbox inset="0,0,0,0">
                    <w:txbxContent>
                      <w:p w14:paraId="40D099F0" w14:textId="77777777" w:rsidR="00B32EF2" w:rsidRDefault="00000000">
                        <w:r>
                          <w:rPr>
                            <w:rFonts w:ascii="Arial" w:eastAsia="Arial" w:hAnsi="Arial" w:cs="Arial"/>
                            <w:sz w:val="18"/>
                          </w:rPr>
                          <w:t xml:space="preserve">anni precedenti, hanno prestato, a qualsiasi titolo e modo, attività di docenza </w:t>
                        </w:r>
                      </w:p>
                    </w:txbxContent>
                  </v:textbox>
                </v:rect>
                <v:rect id="Rectangle 22862" o:spid="_x0000_s6714" style="position:absolute;left:-13170;top:316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MixgAAAN4AAAAPAAAAZHJzL2Rvd25yZXYueG1sRI9Ba8JA&#10;FITvBf/D8oTe6sYcJERXEUXMoZdaBY+P7DNJm327ZFcT/fVdQehxmJlvmMVqMK24UecbywqmkwQE&#10;cWl1w5WC4/fuIwPhA7LG1jIpuJOH1XL0tsBc256/6HYIlYgQ9jkqqENwuZS+rMmgn1hHHL2L7QyG&#10;KLtK6g77CDetTJNkJg02HBdqdLSpqfw9XI2C85ZdsetleXls3OdPkbX76/Gk1Pt4WM9BBBrCf/jV&#10;LrSCNM1mKTzvxCsgl38AAAD//wMAUEsBAi0AFAAGAAgAAAAhANvh9svuAAAAhQEAABMAAAAAAAAA&#10;AAAAAAAAAAAAAFtDb250ZW50X1R5cGVzXS54bWxQSwECLQAUAAYACAAAACEAWvQsW78AAAAVAQAA&#10;CwAAAAAAAAAAAAAAAAAfAQAAX3JlbHMvLnJlbHNQSwECLQAUAAYACAAAACEAslUzIsYAAADeAAAA&#10;DwAAAAAAAAAAAAAAAAAHAgAAZHJzL2Rvd25yZXYueG1sUEsFBgAAAAADAAMAtwAAAPoCAAAAAA==&#10;" filled="f" stroked="f">
                  <v:textbox inset="0,0,0,0">
                    <w:txbxContent>
                      <w:p w14:paraId="4678CD1F" w14:textId="77777777" w:rsidR="00B32EF2" w:rsidRDefault="00000000">
                        <w:r>
                          <w:rPr>
                            <w:rFonts w:ascii="Arial" w:eastAsia="Arial" w:hAnsi="Arial" w:cs="Arial"/>
                            <w:sz w:val="18"/>
                          </w:rPr>
                          <w:t xml:space="preserve">nelle scuole di preparazione al concorso per magistrato tributario, ordinario, </w:t>
                        </w:r>
                      </w:p>
                    </w:txbxContent>
                  </v:textbox>
                </v:rect>
                <v:rect id="Rectangle 22863" o:spid="_x0000_s6715" style="position:absolute;left:-13169;top:303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Za5xwAAAN4AAAAPAAAAZHJzL2Rvd25yZXYueG1sRI9Ba8JA&#10;FITvBf/D8oTe6sYUJEQ3QRRpDr3UWujxkX0m0ezbJbuatL++Wyj0OMzMN8ymnEwv7jT4zrKC5SIB&#10;QVxb3XGj4PR+eMpA+ICssbdMCr7IQ1nMHjaYazvyG92PoRERwj5HBW0ILpfS1y0Z9AvriKN3toPB&#10;EOXQSD3gGOGml2mSrKTBjuNCi452LdXX480o+Nyzqw6jrM/fO/d6qbL+5Xb6UOpxPm3XIAJN4T/8&#10;1660gjTNVs/weydeAVn8AAAA//8DAFBLAQItABQABgAIAAAAIQDb4fbL7gAAAIUBAAATAAAAAAAA&#10;AAAAAAAAAAAAAABbQ29udGVudF9UeXBlc10ueG1sUEsBAi0AFAAGAAgAAAAhAFr0LFu/AAAAFQEA&#10;AAsAAAAAAAAAAAAAAAAAHwEAAF9yZWxzLy5yZWxzUEsBAi0AFAAGAAgAAAAhAN0ZlrnHAAAA3gAA&#10;AA8AAAAAAAAAAAAAAAAABwIAAGRycy9kb3ducmV2LnhtbFBLBQYAAAAAAwADALcAAAD7AgAAAAA=&#10;" filled="f" stroked="f">
                  <v:textbox inset="0,0,0,0">
                    <w:txbxContent>
                      <w:p w14:paraId="7EF98050" w14:textId="77777777" w:rsidR="00B32EF2" w:rsidRDefault="00000000">
                        <w:r>
                          <w:rPr>
                            <w:rFonts w:ascii="Arial" w:eastAsia="Arial" w:hAnsi="Arial" w:cs="Arial"/>
                            <w:sz w:val="18"/>
                          </w:rPr>
                          <w:t xml:space="preserve">amministrativo e contabile. Con il decreto di cui al comma 1 possono essere </w:t>
                        </w:r>
                      </w:p>
                    </w:txbxContent>
                  </v:textbox>
                </v:rect>
                <v:rect id="Rectangle 22864" o:spid="_x0000_s6716" style="position:absolute;left:-12204;top:29133;width:52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7NxwAAAN4AAAAPAAAAZHJzL2Rvd25yZXYueG1sRI9Ba8JA&#10;FITvBf/D8oTe6sZQJEQ3QRRpDr3UWujxkX0m0ezbJbuatL++Wyj0OMzMN8ymnEwv7jT4zrKC5SIB&#10;QVxb3XGj4PR+eMpA+ICssbdMCr7IQ1nMHjaYazvyG92PoRERwj5HBW0ILpfS1y0Z9AvriKN3toPB&#10;EOXQSD3gGOGml2mSrKTBjuNCi452LdXX480o+Nyzqw6jrM/fO/d6qbL+5Xb6UOpxPm3XIAJN4T/8&#10;1660gjTNVs/weydeAVn8AAAA//8DAFBLAQItABQABgAIAAAAIQDb4fbL7gAAAIUBAAATAAAAAAAA&#10;AAAAAAAAAAAAAABbQ29udGVudF9UeXBlc10ueG1sUEsBAi0AFAAGAAgAAAAhAFr0LFu/AAAAFQEA&#10;AAsAAAAAAAAAAAAAAAAAHwEAAF9yZWxzLy5yZWxzUEsBAi0AFAAGAAgAAAAhAFLwDs3HAAAA3gAA&#10;AA8AAAAAAAAAAAAAAAAABwIAAGRycy9kb3ducmV2LnhtbFBLBQYAAAAAAwADALcAAAD7AgAAAAA=&#10;" filled="f" stroked="f">
                  <v:textbox inset="0,0,0,0">
                    <w:txbxContent>
                      <w:p w14:paraId="0FB3B925" w14:textId="77777777" w:rsidR="00B32EF2" w:rsidRDefault="00000000">
                        <w:r>
                          <w:rPr>
                            <w:rFonts w:ascii="Arial" w:eastAsia="Arial" w:hAnsi="Arial" w:cs="Arial"/>
                            <w:sz w:val="18"/>
                          </w:rPr>
                          <w:t>nominati i commissari supplenti destinati a sostituire i titolari in caso di assen</w:t>
                        </w:r>
                      </w:p>
                    </w:txbxContent>
                  </v:textbox>
                </v:rect>
                <v:rect id="Rectangle 22865" o:spid="_x0000_s6717" style="position:absolute;left:194;top:2913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KtWxwAAAN4AAAAPAAAAZHJzL2Rvd25yZXYueG1sRI9Ba8JA&#10;FITvBf/D8oTe6sZAJUQ3QRRpDr3UWujxkX0m0ezbJbuatL++Wyj0OMzMN8ymnEwv7jT4zrKC5SIB&#10;QVxb3XGj4PR+eMpA+ICssbdMCr7IQ1nMHjaYazvyG92PoRERwj5HBW0ILpfS1y0Z9AvriKN3toPB&#10;EOXQSD3gGOGml2mSrKTBjuNCi452LdXX480o+Nyzqw6jrM/fO/d6qbL+5Xb6UOpxPm3XIAJN4T/8&#10;1660gjTNVs/weydeAVn8AAAA//8DAFBLAQItABQABgAIAAAAIQDb4fbL7gAAAIUBAAATAAAAAAAA&#10;AAAAAAAAAAAAAABbQ29udGVudF9UeXBlc10ueG1sUEsBAi0AFAAGAAgAAAAhAFr0LFu/AAAAFQEA&#10;AAsAAAAAAAAAAAAAAAAAHwEAAF9yZWxzLy5yZWxzUEsBAi0AFAAGAAgAAAAhAD28q1bHAAAA3gAA&#10;AA8AAAAAAAAAAAAAAAAABwIAAGRycy9kb3ducmV2LnhtbFBLBQYAAAAAAwADALcAAAD7AgAAAAA=&#10;" filled="f" stroked="f">
                  <v:textbox inset="0,0,0,0">
                    <w:txbxContent>
                      <w:p w14:paraId="2FCCFA85" w14:textId="77777777" w:rsidR="00B32EF2" w:rsidRDefault="00000000">
                        <w:r>
                          <w:rPr>
                            <w:rFonts w:ascii="Arial" w:eastAsia="Arial" w:hAnsi="Arial" w:cs="Arial"/>
                            <w:sz w:val="18"/>
                          </w:rPr>
                          <w:t>-</w:t>
                        </w:r>
                      </w:p>
                    </w:txbxContent>
                  </v:textbox>
                </v:rect>
                <v:rect id="Rectangle 22866" o:spid="_x0000_s6718" style="position:absolute;left:25801;top:27900;width:141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jUhxwAAAN4AAAAPAAAAZHJzL2Rvd25yZXYueG1sRI/BasMw&#10;EETvhf6D2EBvjRwfjHGimOIS6kMvTRPIcbE2thNrJSwldvv1VaHQ4zAzb5hNOZtB3Gn0vWUFq2UC&#10;grixuudWweFz95yD8AFZ42CZFHyRh3L7+LDBQtuJP+i+D62IEPYFKuhCcIWUvunIoF9aRxy9sx0N&#10;hijHVuoRpwg3g0yTJJMGe44LHTqqOmqu+5tRcHplV+8m2Zy/K/d+qfPh7XY4KvW0mF/WIALN4T/8&#10;1661gjTNswx+78QrILc/AAAA//8DAFBLAQItABQABgAIAAAAIQDb4fbL7gAAAIUBAAATAAAAAAAA&#10;AAAAAAAAAAAAAABbQ29udGVudF9UeXBlc10ueG1sUEsBAi0AFAAGAAgAAAAhAFr0LFu/AAAAFQEA&#10;AAsAAAAAAAAAAAAAAAAAHwEAAF9yZWxzLy5yZWxzUEsBAi0AFAAGAAgAAAAhAM1uNSHHAAAA3gAA&#10;AA8AAAAAAAAAAAAAAAAABwIAAGRycy9kb3ducmV2LnhtbFBLBQYAAAAAAwADALcAAAD7AgAAAAA=&#10;" filled="f" stroked="f">
                  <v:textbox inset="0,0,0,0">
                    <w:txbxContent>
                      <w:p w14:paraId="346796A3" w14:textId="77777777" w:rsidR="00B32EF2" w:rsidRDefault="00000000">
                        <w:r>
                          <w:rPr>
                            <w:rFonts w:ascii="Arial" w:eastAsia="Arial" w:hAnsi="Arial" w:cs="Arial"/>
                            <w:sz w:val="18"/>
                          </w:rPr>
                          <w:t>za o di impedimento.</w:t>
                        </w:r>
                      </w:p>
                    </w:txbxContent>
                  </v:textbox>
                </v:rect>
                <v:rect id="Rectangle 202346" o:spid="_x0000_s6719" style="position:absolute;left:26357;top:26667;width:520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aKMxwAAAN8AAAAPAAAAZHJzL2Rvd25yZXYueG1sRI9Ba8JA&#10;FITvQv/D8gredGMsItFVRBFz6KXWgsdH9pmkzb5dsqtJ++u7guBxmJlvmOW6N424Uetrywom4wQE&#10;cWF1zaWC0+d+NAfhA7LGxjIp+CUP69XLYImZth1/0O0YShEh7DNUUIXgMil9UZFBP7aOOHoX2xoM&#10;Ubal1C12EW4amSbJTBqsOS5U6GhbUfFzvBoF5x27fN/J4vK3de/f+bw5XE9fSg1f+80CRKA+PMOP&#10;dq4VpEk6fZvB/U/8AnL1DwAA//8DAFBLAQItABQABgAIAAAAIQDb4fbL7gAAAIUBAAATAAAAAAAA&#10;AAAAAAAAAAAAAABbQ29udGVudF9UeXBlc10ueG1sUEsBAi0AFAAGAAgAAAAhAFr0LFu/AAAAFQEA&#10;AAsAAAAAAAAAAAAAAAAAHwEAAF9yZWxzLy5yZWxzUEsBAi0AFAAGAAgAAAAhAGM1oozHAAAA3wAA&#10;AA8AAAAAAAAAAAAAAAAABwIAAGRycy9kb3ducmV2LnhtbFBLBQYAAAAAAwADALcAAAD7AgAAAAA=&#10;" filled="f" stroked="f">
                  <v:textbox inset="0,0,0,0">
                    <w:txbxContent>
                      <w:p w14:paraId="08FCFE59" w14:textId="77777777" w:rsidR="00B32EF2" w:rsidRDefault="00000000">
                        <w:r>
                          <w:rPr>
                            <w:rFonts w:ascii="Arial" w:eastAsia="Arial" w:hAnsi="Arial" w:cs="Arial"/>
                            <w:sz w:val="18"/>
                          </w:rPr>
                          <w:t>3</w:t>
                        </w:r>
                      </w:p>
                    </w:txbxContent>
                  </v:textbox>
                </v:rect>
                <v:rect id="Rectangle 202347" o:spid="_x0000_s6720" style="position:absolute;left:-12845;top:26667;width:52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cXyAAAAN8AAAAPAAAAZHJzL2Rvd25yZXYueG1sRI9Ba8JA&#10;FITvgv9heUJvumkqraSuIoo0h160KfT4yD6TtNm3S3Y1qb++KxQ8DjPzDbNcD6YVF+p8Y1nB4ywB&#10;QVxa3XCloPjYTxcgfEDW2FomBb/kYb0aj5aYadvzgS7HUIkIYZ+hgjoEl0npy5oM+pl1xNE72c5g&#10;iLKrpO6wj3DTyjRJnqXBhuNCjY62NZU/x7NR8LVjl+97WZ6uW/f+nS/at3PxqdTDZNi8ggg0hHv4&#10;v51rBWmSPs1f4PYnfgG5+gMAAP//AwBQSwECLQAUAAYACAAAACEA2+H2y+4AAACFAQAAEwAAAAAA&#10;AAAAAAAAAAAAAAAAW0NvbnRlbnRfVHlwZXNdLnhtbFBLAQItABQABgAIAAAAIQBa9CxbvwAAABUB&#10;AAALAAAAAAAAAAAAAAAAAB8BAABfcmVscy8ucmVsc1BLAQItABQABgAIAAAAIQAMeQcXyAAAAN8A&#10;AAAPAAAAAAAAAAAAAAAAAAcCAABkcnMvZG93bnJldi54bWxQSwUGAAAAAAMAAwC3AAAA/AIAAAAA&#10;" filled="f" stroked="f">
                  <v:textbox inset="0,0,0,0">
                    <w:txbxContent>
                      <w:p w14:paraId="29E9C0D2" w14:textId="77777777" w:rsidR="00B32EF2" w:rsidRDefault="00000000">
                        <w:r>
                          <w:rPr>
                            <w:rFonts w:ascii="Arial" w:eastAsia="Arial" w:hAnsi="Arial" w:cs="Arial"/>
                            <w:sz w:val="18"/>
                          </w:rPr>
                          <w:t>. Nel caso in cui non sia possibile completare la composizione della commis</w:t>
                        </w:r>
                      </w:p>
                    </w:txbxContent>
                  </v:textbox>
                </v:rect>
                <v:rect id="Rectangle 22868" o:spid="_x0000_s6721" style="position:absolute;left:194;top:266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TIwwAAAN4AAAAPAAAAZHJzL2Rvd25yZXYueG1sRE9Ni8Iw&#10;EL0v+B/CCN7W1B6kVKOIIvbgRdeFPQ7N2FabSWiirf76zWFhj4/3vVwPphVP6nxjWcFsmoAgLq1u&#10;uFJw+dp/ZiB8QNbYWiYFL/KwXo0+lphr2/OJnudQiRjCPkcFdQgul9KXNRn0U+uII3e1ncEQYVdJ&#10;3WEfw00r0ySZS4MNx4YaHW1rKu/nh1Hws2NX7HtZXt9bd7wVWXt4XL6VmoyHzQJEoCH8i//chVaQ&#10;ptk87o134hWQq18AAAD//wMAUEsBAi0AFAAGAAgAAAAhANvh9svuAAAAhQEAABMAAAAAAAAAAAAA&#10;AAAAAAAAAFtDb250ZW50X1R5cGVzXS54bWxQSwECLQAUAAYACAAAACEAWvQsW78AAAAVAQAACwAA&#10;AAAAAAAAAAAAAAAfAQAAX3JlbHMvLnJlbHNQSwECLQAUAAYACAAAACEA070EyMMAAADeAAAADwAA&#10;AAAAAAAAAAAAAAAHAgAAZHJzL2Rvd25yZXYueG1sUEsFBgAAAAADAAMAtwAAAPcCAAAAAA==&#10;" filled="f" stroked="f">
                  <v:textbox inset="0,0,0,0">
                    <w:txbxContent>
                      <w:p w14:paraId="469170D6" w14:textId="77777777" w:rsidR="00B32EF2" w:rsidRDefault="00000000">
                        <w:r>
                          <w:rPr>
                            <w:rFonts w:ascii="Arial" w:eastAsia="Arial" w:hAnsi="Arial" w:cs="Arial"/>
                            <w:sz w:val="18"/>
                          </w:rPr>
                          <w:t>-</w:t>
                        </w:r>
                      </w:p>
                    </w:txbxContent>
                  </v:textbox>
                </v:rect>
                <v:rect id="Rectangle 22869" o:spid="_x0000_s6722" style="position:absolute;left:-13176;top:25434;width:5310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aFTxgAAAN4AAAAPAAAAZHJzL2Rvd25yZXYueG1sRI9Ba8JA&#10;FITvBf/D8gRvdWMOkqauUhQxh160Fnp8ZJ9J2uzbJbua1F/vCoLHYWa+YRarwbTiQp1vLCuYTRMQ&#10;xKXVDVcKjl/b1wyED8gaW8uk4J88rJajlwXm2va8p8shVCJC2OeooA7B5VL6siaDfmodcfROtjMY&#10;ouwqqTvsI9y0Mk2SuTTYcFyo0dG6pvLvcDYKfjbsim0vy9N17T5/i6zdnY/fSk3Gw8c7iEBDeIYf&#10;7UIrSNNs/gb3O/EKyOUNAAD//wMAUEsBAi0AFAAGAAgAAAAhANvh9svuAAAAhQEAABMAAAAAAAAA&#10;AAAAAAAAAAAAAFtDb250ZW50X1R5cGVzXS54bWxQSwECLQAUAAYACAAAACEAWvQsW78AAAAVAQAA&#10;CwAAAAAAAAAAAAAAAAAfAQAAX3JlbHMvLnJlbHNQSwECLQAUAAYACAAAACEAvPGhU8YAAADeAAAA&#10;DwAAAAAAAAAAAAAAAAAHAgAAZHJzL2Rvd25yZXYueG1sUEsFBgAAAAADAAMAtwAAAPoCAAAAAA==&#10;" filled="f" stroked="f">
                  <v:textbox inset="0,0,0,0">
                    <w:txbxContent>
                      <w:p w14:paraId="7E682717" w14:textId="77777777" w:rsidR="00B32EF2" w:rsidRDefault="00000000">
                        <w:r>
                          <w:rPr>
                            <w:rFonts w:ascii="Arial" w:eastAsia="Arial" w:hAnsi="Arial" w:cs="Arial"/>
                            <w:sz w:val="18"/>
                          </w:rPr>
                          <w:t xml:space="preserve">sione ai sensi del comma 2, il Consiglio di presidenza della giustizia tributaria </w:t>
                        </w:r>
                      </w:p>
                    </w:txbxContent>
                  </v:textbox>
                </v:rect>
                <v:rect id="Rectangle 22870" o:spid="_x0000_s6723" style="position:absolute;left:-13170;top:242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4TxQAAAN4AAAAPAAAAZHJzL2Rvd25yZXYueG1sRI+9bsIw&#10;FIX3SryDdSuxFacZaJRiEAIhMrCUBonxKr4kKfG1FRsSePp6qNTx6PzpW6xG04k79b61rOB9loAg&#10;rqxuuVZQfu/eMhA+IGvsLJOCB3lYLScvC8y1HfiL7sdQizjCPkcFTQgul9JXDRn0M+uIo3exvcEQ&#10;ZV9L3eMQx00n0ySZS4Mtx4cGHW0aqq7Hm1Fw3rIrdoOsLs+NO/wUWbe/lSelpq/j+hNEoDH8h//a&#10;hVaQptlHBIg4EQXk8hcAAP//AwBQSwECLQAUAAYACAAAACEA2+H2y+4AAACFAQAAEwAAAAAAAAAA&#10;AAAAAAAAAAAAW0NvbnRlbnRfVHlwZXNdLnhtbFBLAQItABQABgAIAAAAIQBa9CxbvwAAABUBAAAL&#10;AAAAAAAAAAAAAAAAAB8BAABfcmVscy8ucmVsc1BLAQItABQABgAIAAAAIQCoEp4TxQAAAN4AAAAP&#10;AAAAAAAAAAAAAAAAAAcCAABkcnMvZG93bnJldi54bWxQSwUGAAAAAAMAAwC3AAAA+QIAAAAA&#10;" filled="f" stroked="f">
                  <v:textbox inset="0,0,0,0">
                    <w:txbxContent>
                      <w:p w14:paraId="1C4EE315" w14:textId="77777777" w:rsidR="00B32EF2" w:rsidRDefault="00000000">
                        <w:r>
                          <w:rPr>
                            <w:rFonts w:ascii="Arial" w:eastAsia="Arial" w:hAnsi="Arial" w:cs="Arial"/>
                            <w:sz w:val="18"/>
                          </w:rPr>
                          <w:t xml:space="preserve">nomina d’ufficio, come componenti, magistrati che non hanno prestato il loro </w:t>
                        </w:r>
                      </w:p>
                    </w:txbxContent>
                  </v:textbox>
                </v:rect>
                <v:rect id="Rectangle 22871" o:spid="_x0000_s6724" style="position:absolute;left:-13169;top:229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uIxgAAAN4AAAAPAAAAZHJzL2Rvd25yZXYueG1sRI9Ba8JA&#10;FITvBf/D8gRvdWMOGlJXKYqYgxetgsdH9pmkzb5dsquJ/fXdQqHHYWa+YZbrwbTiQZ1vLCuYTRMQ&#10;xKXVDVcKzh+71wyED8gaW8uk4Eke1qvRyxJzbXs+0uMUKhEh7HNUUIfgcil9WZNBP7WOOHo32xkM&#10;UXaV1B32EW5amSbJXBpsOC7U6GhTU/l1uhsF1y27YtfL8va9cYfPImv39/NFqcl4eH8DEWgI/+G/&#10;dqEVpGm2mMHvnXgF5OoHAAD//wMAUEsBAi0AFAAGAAgAAAAhANvh9svuAAAAhQEAABMAAAAAAAAA&#10;AAAAAAAAAAAAAFtDb250ZW50X1R5cGVzXS54bWxQSwECLQAUAAYACAAAACEAWvQsW78AAAAVAQAA&#10;CwAAAAAAAAAAAAAAAAAfAQAAX3JlbHMvLnJlbHNQSwECLQAUAAYACAAAACEAx147iMYAAADeAAAA&#10;DwAAAAAAAAAAAAAAAAAHAgAAZHJzL2Rvd25yZXYueG1sUEsFBgAAAAADAAMAtwAAAPoCAAAAAA==&#10;" filled="f" stroked="f">
                  <v:textbox inset="0,0,0,0">
                    <w:txbxContent>
                      <w:p w14:paraId="1F0E67CB" w14:textId="77777777" w:rsidR="00B32EF2" w:rsidRDefault="00000000">
                        <w:r>
                          <w:rPr>
                            <w:rFonts w:ascii="Arial" w:eastAsia="Arial" w:hAnsi="Arial" w:cs="Arial"/>
                            <w:sz w:val="18"/>
                          </w:rPr>
                          <w:t xml:space="preserve">consenso all’esonero dalle funzioni. Non possono essere nominati i magistrati </w:t>
                        </w:r>
                      </w:p>
                    </w:txbxContent>
                  </v:textbox>
                </v:rect>
                <v:rect id="Rectangle 22872" o:spid="_x0000_s6725" style="position:absolute;left:-12538;top:21734;width:524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KX/xwAAAN4AAAAPAAAAZHJzL2Rvd25yZXYueG1sRI9Ba8JA&#10;FITvBf/D8oTe6qY51JC6CUURc/CiVejxkX0mabNvl+xqYn99t1DocZiZb5hVOZle3GjwnWUFz4sE&#10;BHFtdceNgtP79ikD4QOyxt4yKbiTh7KYPaww13bkA92OoRERwj5HBW0ILpfS1y0Z9AvriKN3sYPB&#10;EOXQSD3gGOGml2mSvEiDHceFFh2tW6q/jlej4GPDrtqOsr58r93+s8r63fV0VupxPr29ggg0hf/w&#10;X7vSCtI0W6bweydeAVn8AAAA//8DAFBLAQItABQABgAIAAAAIQDb4fbL7gAAAIUBAAATAAAAAAAA&#10;AAAAAAAAAAAAAABbQ29udGVudF9UeXBlc10ueG1sUEsBAi0AFAAGAAgAAAAhAFr0LFu/AAAAFQEA&#10;AAsAAAAAAAAAAAAAAAAAHwEAAF9yZWxzLy5yZWxzUEsBAi0AFAAGAAgAAAAhADeMpf/HAAAA3gAA&#10;AA8AAAAAAAAAAAAAAAAABwIAAGRycy9kb3ducmV2LnhtbFBLBQYAAAAAAwADALcAAAD7AgAAAAA=&#10;" filled="f" stroked="f">
                  <v:textbox inset="0,0,0,0">
                    <w:txbxContent>
                      <w:p w14:paraId="3F34AD0D" w14:textId="77777777" w:rsidR="00B32EF2" w:rsidRDefault="00000000">
                        <w:r>
                          <w:rPr>
                            <w:rFonts w:ascii="Arial" w:eastAsia="Arial" w:hAnsi="Arial" w:cs="Arial"/>
                            <w:sz w:val="18"/>
                          </w:rPr>
                          <w:t>che abbiano fatto parte della commissione in uno dei tre concorsi precedenti.</w:t>
                        </w:r>
                      </w:p>
                    </w:txbxContent>
                  </v:textbox>
                </v:rect>
                <v:rect id="Rectangle 202342" o:spid="_x0000_s6726" style="position:absolute;left:26112;top:205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SPxwAAAN8AAAAPAAAAZHJzL2Rvd25yZXYueG1sRI9Ba8JA&#10;FITvBf/D8gRvdWNaikRXEUWag5daBY+P7DOJZt8u2dVEf323UOhxmJlvmPmyN424U+trywom4wQE&#10;cWF1zaWCw/f2dQrCB2SNjWVS8CAPy8XgZY6Zth1/0X0fShEh7DNUUIXgMil9UZFBP7aOOHpn2xoM&#10;Ubal1C12EW4amSbJhzRYc1yo0NG6ouK6vxkFpw27fNvJ4vxcu90lnzaft8NRqdGwX81ABOrDf/iv&#10;nWsFaZK+vafw+yd+Abn4AQAA//8DAFBLAQItABQABgAIAAAAIQDb4fbL7gAAAIUBAAATAAAAAAAA&#10;AAAAAAAAAAAAAABbQ29udGVudF9UeXBlc10ueG1sUEsBAi0AFAAGAAgAAAAhAFr0LFu/AAAAFQEA&#10;AAsAAAAAAAAAAAAAAAAAHwEAAF9yZWxzLy5yZWxzUEsBAi0AFAAGAAgAAAAhABwOpI/HAAAA3wAA&#10;AA8AAAAAAAAAAAAAAAAABwIAAGRycy9kb3ducmV2LnhtbFBLBQYAAAAAAwADALcAAAD7AgAAAAA=&#10;" filled="f" stroked="f">
                  <v:textbox inset="0,0,0,0">
                    <w:txbxContent>
                      <w:p w14:paraId="368971E3" w14:textId="77777777" w:rsidR="00B32EF2" w:rsidRDefault="00000000">
                        <w:r>
                          <w:rPr>
                            <w:rFonts w:ascii="Arial" w:eastAsia="Arial" w:hAnsi="Arial" w:cs="Arial"/>
                            <w:sz w:val="18"/>
                          </w:rPr>
                          <w:t>4</w:t>
                        </w:r>
                      </w:p>
                    </w:txbxContent>
                  </v:textbox>
                </v:rect>
                <v:rect id="Rectangle 202344" o:spid="_x0000_s6727" style="position:absolute;left:-13800;top:20500;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5lgxwAAAN8AAAAPAAAAZHJzL2Rvd25yZXYueG1sRI9Ba8JA&#10;FITvQv/D8gredGOUItFVRBFz6EVrweMj+0zSZt8u2dWk/fVdoeBxmJlvmOW6N424U+trywom4wQE&#10;cWF1zaWC88d+NAfhA7LGxjIp+CEP69XLYImZth0f6X4KpYgQ9hkqqEJwmZS+qMigH1tHHL2rbQ2G&#10;KNtS6ha7CDeNTJPkTRqsOS5U6GhbUfF9uhkFlx27fN/J4vq7de9f+bw53M6fSg1f+80CRKA+PMP/&#10;7VwrSJN0OpvB40/8AnL1BwAA//8DAFBLAQItABQABgAIAAAAIQDb4fbL7gAAAIUBAAATAAAAAAAA&#10;AAAAAAAAAAAAAABbQ29udGVudF9UeXBlc10ueG1sUEsBAi0AFAAGAAgAAAAhAFr0LFu/AAAAFQEA&#10;AAsAAAAAAAAAAAAAAAAAHwEAAF9yZWxzLy5yZWxzUEsBAi0AFAAGAAgAAAAhAPyrmWDHAAAA3wAA&#10;AA8AAAAAAAAAAAAAAAAABwIAAGRycy9kb3ducmV2LnhtbFBLBQYAAAAAAwADALcAAAD7AgAAAAA=&#10;" filled="f" stroked="f">
                  <v:textbox inset="0,0,0,0">
                    <w:txbxContent>
                      <w:p w14:paraId="0592CD3E" w14:textId="77777777" w:rsidR="00B32EF2" w:rsidRDefault="00000000">
                        <w:r>
                          <w:rPr>
                            <w:rFonts w:ascii="Arial" w:eastAsia="Arial" w:hAnsi="Arial" w:cs="Arial"/>
                            <w:sz w:val="18"/>
                          </w:rPr>
                          <w:t xml:space="preserve">. Nella seduta di cui all’articolo 8, sesto comma, del regio decreto 15 ottobre </w:t>
                        </w:r>
                      </w:p>
                    </w:txbxContent>
                  </v:textbox>
                </v:rect>
                <v:rect id="Rectangle 202339" o:spid="_x0000_s6728" style="position:absolute;left:-15702;top:19267;width:53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WDxwAAAN8AAAAPAAAAZHJzL2Rvd25yZXYueG1sRI9Ba8JA&#10;FITvhf6H5RV6040RxEZXEUXMwUvVgsdH9pmkzb5dsqtJ/fVuQehxmJlvmPmyN424UetrywpGwwQE&#10;cWF1zaWC03E7mILwAVljY5kU/JKH5eL1ZY6Zth1/0u0QShEh7DNUUIXgMil9UZFBP7SOOHoX2xoM&#10;Ubal1C12EW4amSbJRBqsOS5U6GhdUfFzuBoF5w27fNvJ4nJfu/13Pm1219OXUu9v/WoGIlAf/sPP&#10;dq4VpEk6Hn/A35/4BeTiAQAA//8DAFBLAQItABQABgAIAAAAIQDb4fbL7gAAAIUBAAATAAAAAAAA&#10;AAAAAAAAAAAAAABbQ29udGVudF9UeXBlc10ueG1sUEsBAi0AFAAGAAgAAAAhAFr0LFu/AAAAFQEA&#10;AAsAAAAAAAAAAAAAAAAAHwEAAF9yZWxzLy5yZWxzUEsBAi0AFAAGAAgAAAAhAEqsRYPHAAAA3wAA&#10;AA8AAAAAAAAAAAAAAAAABwIAAGRycy9kb3ducmV2LnhtbFBLBQYAAAAAAwADALcAAAD7AgAAAAA=&#10;" filled="f" stroked="f">
                  <v:textbox inset="0,0,0,0">
                    <w:txbxContent>
                      <w:p w14:paraId="68C79EC6" w14:textId="77777777" w:rsidR="00B32EF2" w:rsidRDefault="00000000">
                        <w:r>
                          <w:rPr>
                            <w:rFonts w:ascii="Arial" w:eastAsia="Arial" w:hAnsi="Arial" w:cs="Arial"/>
                            <w:sz w:val="18"/>
                          </w:rPr>
                          <w:t xml:space="preserve">, n. 1860, la commissione definisce i criteri per la valutazione omogenea </w:t>
                        </w:r>
                      </w:p>
                    </w:txbxContent>
                  </v:textbox>
                </v:rect>
                <v:rect id="Rectangle 202337" o:spid="_x0000_s6729" style="position:absolute;left:24219;top:19267;width:53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RqxwAAAN8AAAAPAAAAZHJzL2Rvd25yZXYueG1sRI9Ba8JA&#10;FITvhf6H5RV6qxsjWImuIoqYgxetBY+P7DNJm327ZFeT+utdoeBxmJlvmNmiN424UutrywqGgwQE&#10;cWF1zaWC49fmYwLCB2SNjWVS8EceFvPXlxlm2na8p+shlCJC2GeooArBZVL6oiKDfmAdcfTOtjUY&#10;omxLqVvsItw0Mk2SsTRYc1yo0NGqouL3cDEKTmt2+aaTxfm2cruffNJsL8dvpd7f+uUURKA+PMP/&#10;7VwrSJN0NPqEx5/4BeT8DgAA//8DAFBLAQItABQABgAIAAAAIQDb4fbL7gAAAIUBAAATAAAAAAAA&#10;AAAAAAAAAAAAAABbQ29udGVudF9UeXBlc10ueG1sUEsBAi0AFAAGAAgAAAAhAFr0LFu/AAAAFQEA&#10;AAsAAAAAAAAAAAAAAAAAHwEAAF9yZWxzLy5yZWxzUEsBAi0AFAAGAAgAAAAhAFR/dGrHAAAA3wAA&#10;AA8AAAAAAAAAAAAAAAAABwIAAGRycy9kb3ducmV2LnhtbFBLBQYAAAAAAwADALcAAAD7AgAAAAA=&#10;" filled="f" stroked="f">
                  <v:textbox inset="0,0,0,0">
                    <w:txbxContent>
                      <w:p w14:paraId="55A971F4" w14:textId="77777777" w:rsidR="00B32EF2" w:rsidRDefault="00000000">
                        <w:r>
                          <w:rPr>
                            <w:rFonts w:ascii="Arial" w:eastAsia="Arial" w:hAnsi="Arial" w:cs="Arial"/>
                            <w:sz w:val="18"/>
                          </w:rPr>
                          <w:t>1925</w:t>
                        </w:r>
                      </w:p>
                    </w:txbxContent>
                  </v:textbox>
                </v:rect>
                <v:rect id="Rectangle 22875" o:spid="_x0000_s6730" style="position:absolute;left:-13170;top:180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T2LxwAAAN4AAAAPAAAAZHJzL2Rvd25yZXYueG1sRI9Ba8JA&#10;FITvBf/D8gRvdWOgNqSuUhRpDr1oFTw+ss8kbfbtkl1N7K93hUKPw8x8wyxWg2nFlTrfWFYwmyYg&#10;iEurG64UHL62zxkIH5A1tpZJwY08rJajpwXm2va8o+s+VCJC2OeooA7B5VL6siaDfmodcfTOtjMY&#10;ouwqqTvsI9y0Mk2SuTTYcFyo0dG6pvJnfzEKTht2xbaX5fl37T6/i6z9uByOSk3Gw/sbiEBD+A//&#10;tQutIE2z1xd43IlXQC7vAAAA//8DAFBLAQItABQABgAIAAAAIQDb4fbL7gAAAIUBAAATAAAAAAAA&#10;AAAAAAAAAAAAAABbQ29udGVudF9UeXBlc10ueG1sUEsBAi0AFAAGAAgAAAAhAFr0LFu/AAAAFQEA&#10;AAsAAAAAAAAAAAAAAAAAHwEAAF9yZWxzLy5yZWxzUEsBAi0AFAAGAAgAAAAhALhlPYvHAAAA3gAA&#10;AA8AAAAAAAAAAAAAAAAABwIAAGRycy9kb3ducmV2LnhtbFBLBQYAAAAAAwADALcAAAD7AgAAAAA=&#10;" filled="f" stroked="f">
                  <v:textbox inset="0,0,0,0">
                    <w:txbxContent>
                      <w:p w14:paraId="7CD22981" w14:textId="77777777" w:rsidR="00B32EF2" w:rsidRDefault="00000000">
                        <w:r>
                          <w:rPr>
                            <w:rFonts w:ascii="Arial" w:eastAsia="Arial" w:hAnsi="Arial" w:cs="Arial"/>
                            <w:sz w:val="18"/>
                          </w:rPr>
                          <w:t xml:space="preserve">degli elaborati scritti. I criteri per la valutazione delle prove orali sono definiti </w:t>
                        </w:r>
                      </w:p>
                    </w:txbxContent>
                  </v:textbox>
                </v:rect>
                <v:rect id="Rectangle 22876" o:spid="_x0000_s6731" style="position:absolute;left:-13170;top:168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6P8xgAAAN4AAAAPAAAAZHJzL2Rvd25yZXYueG1sRI9Ba8JA&#10;FITvBf/D8gRvdWMOGlJXKYqYQy9aCz0+ss8kbfbtkl1N6q93BaHHYWa+YZbrwbTiSp1vLCuYTRMQ&#10;xKXVDVcKTp+71wyED8gaW8uk4I88rFejlyXm2vZ8oOsxVCJC2OeooA7B5VL6siaDfmodcfTOtjMY&#10;ouwqqTvsI9y0Mk2SuTTYcFyo0dGmpvL3eDEKvrfsil0vy/Nt4z5+iqzdX05fSk3Gw/sbiEBD+A8/&#10;24VWkKbZYg6PO/EKyNUdAAD//wMAUEsBAi0AFAAGAAgAAAAhANvh9svuAAAAhQEAABMAAAAAAAAA&#10;AAAAAAAAAAAAAFtDb250ZW50X1R5cGVzXS54bWxQSwECLQAUAAYACAAAACEAWvQsW78AAAAVAQAA&#10;CwAAAAAAAAAAAAAAAAAfAQAAX3JlbHMvLnJlbHNQSwECLQAUAAYACAAAACEASLej/MYAAADeAAAA&#10;DwAAAAAAAAAAAAAAAAAHAgAAZHJzL2Rvd25yZXYueG1sUEsFBgAAAAADAAMAtwAAAPoCAAAAAA==&#10;" filled="f" stroked="f">
                  <v:textbox inset="0,0,0,0">
                    <w:txbxContent>
                      <w:p w14:paraId="03A4E510" w14:textId="77777777" w:rsidR="00B32EF2" w:rsidRDefault="00000000">
                        <w:r>
                          <w:rPr>
                            <w:rFonts w:ascii="Arial" w:eastAsia="Arial" w:hAnsi="Arial" w:cs="Arial"/>
                            <w:sz w:val="18"/>
                          </w:rPr>
                          <w:t xml:space="preserve">prima dell’inizio delle stesse. Alle sedute per la definizione dei suddetti criteri </w:t>
                        </w:r>
                      </w:p>
                    </w:txbxContent>
                  </v:textbox>
                </v:rect>
                <v:rect id="Rectangle 22877" o:spid="_x0000_s6732" style="position:absolute;left:-13168;top:15567;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ZnxwAAAN4AAAAPAAAAZHJzL2Rvd25yZXYueG1sRI9Ba8JA&#10;FITvBf/D8oTe6sYcaohugijSHHqptdDjI/tMotm3S3Y1aX99t1DocZiZb5hNOZle3GnwnWUFy0UC&#10;gri2uuNGwen98JSB8AFZY2+ZFHyRh7KYPWww13bkN7ofQyMihH2OCtoQXC6lr1sy6BfWEUfvbAeD&#10;IcqhkXrAMcJNL9MkeZYGO44LLTratVRfjzej4HPPrjqMsj5/79zrpcr6l9vpQ6nH+bRdgwg0hf/w&#10;X7vSCtI0W63g9068ArL4AQAA//8DAFBLAQItABQABgAIAAAAIQDb4fbL7gAAAIUBAAATAAAAAAAA&#10;AAAAAAAAAAAAAABbQ29udGVudF9UeXBlc10ueG1sUEsBAi0AFAAGAAgAAAAhAFr0LFu/AAAAFQEA&#10;AAsAAAAAAAAAAAAAAAAAHwEAAF9yZWxzLy5yZWxzUEsBAi0AFAAGAAgAAAAhACf7BmfHAAAA3gAA&#10;AA8AAAAAAAAAAAAAAAAABwIAAGRycy9kb3ducmV2LnhtbFBLBQYAAAAAAwADALcAAAD7AgAAAAA=&#10;" filled="f" stroked="f">
                  <v:textbox inset="0,0,0,0">
                    <w:txbxContent>
                      <w:p w14:paraId="22AA60DB" w14:textId="77777777" w:rsidR="00B32EF2" w:rsidRDefault="00000000">
                        <w:r>
                          <w:rPr>
                            <w:rFonts w:ascii="Arial" w:eastAsia="Arial" w:hAnsi="Arial" w:cs="Arial"/>
                            <w:sz w:val="18"/>
                          </w:rPr>
                          <w:t xml:space="preserve">devono partecipare tutti i componenti della commissione, salvi i casi di forza </w:t>
                        </w:r>
                      </w:p>
                    </w:txbxContent>
                  </v:textbox>
                </v:rect>
                <v:rect id="Rectangle 22878" o:spid="_x0000_s6733" style="position:absolute;left:-13166;top:14334;width:530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JIVxAAAAN4AAAAPAAAAZHJzL2Rvd25yZXYueG1sRE89b8Iw&#10;EN0r8R+sq8RWnGagUYpBCITIwFIaJMZTfCQp8dmKDQn8+nqo1PHpfS9Wo+nEnXrfWlbwPktAEFdW&#10;t1wrKL93bxkIH5A1dpZJwYM8rJaTlwXm2g78RfdjqEUMYZ+jgiYEl0vpq4YM+pl1xJG72N5giLCv&#10;pe5xiOGmk2mSzKXBlmNDg442DVXX480oOG/ZFbtBVpfnxh1+iqzb38qTUtPXcf0JItAY/sV/7kIr&#10;SNPsI+6Nd+IVkMtfAAAA//8DAFBLAQItABQABgAIAAAAIQDb4fbL7gAAAIUBAAATAAAAAAAAAAAA&#10;AAAAAAAAAABbQ29udGVudF9UeXBlc10ueG1sUEsBAi0AFAAGAAgAAAAhAFr0LFu/AAAAFQEAAAsA&#10;AAAAAAAAAAAAAAAAHwEAAF9yZWxzLy5yZWxzUEsBAi0AFAAGAAgAAAAhAFZkkhXEAAAA3gAAAA8A&#10;AAAAAAAAAAAAAAAABwIAAGRycy9kb3ducmV2LnhtbFBLBQYAAAAAAwADALcAAAD4AgAAAAA=&#10;" filled="f" stroked="f">
                  <v:textbox inset="0,0,0,0">
                    <w:txbxContent>
                      <w:p w14:paraId="6255FE40" w14:textId="77777777" w:rsidR="00B32EF2" w:rsidRDefault="00000000">
                        <w:r>
                          <w:rPr>
                            <w:rFonts w:ascii="Arial" w:eastAsia="Arial" w:hAnsi="Arial" w:cs="Arial"/>
                            <w:sz w:val="18"/>
                          </w:rPr>
                          <w:t xml:space="preserve">maggiore e di legittimo impedimento, la cui valutazione è rimessa al Consiglio </w:t>
                        </w:r>
                      </w:p>
                    </w:txbxContent>
                  </v:textbox>
                </v:rect>
                <v:rect id="Rectangle 22879" o:spid="_x0000_s6734" style="position:absolute;left:-12204;top:13101;width:5212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DeOxwAAAN4AAAAPAAAAZHJzL2Rvd25yZXYueG1sRI9Ba8JA&#10;FITvBf/D8gRvdWMONU1dpSjSHHrRKnh8ZJ9J2uzbJbua2F/vCoUeh5n5hlmsBtOKK3W+saxgNk1A&#10;EJdWN1wpOHxtnzMQPiBrbC2Tght5WC1HTwvMte15R9d9qESEsM9RQR2Cy6X0ZU0G/dQ64uidbWcw&#10;RNlVUnfYR7hpZZokL9Jgw3GhRkfrmsqf/cUoOG3YFdtelufftfv8LrL243I4KjUZD+9vIAIN4T/8&#10;1y60gjTN5q/wuBOvgFzeAQAA//8DAFBLAQItABQABgAIAAAAIQDb4fbL7gAAAIUBAAATAAAAAAAA&#10;AAAAAAAAAAAAAABbQ29udGVudF9UeXBlc10ueG1sUEsBAi0AFAAGAAgAAAAhAFr0LFu/AAAAFQEA&#10;AAsAAAAAAAAAAAAAAAAAHwEAAF9yZWxzLy5yZWxzUEsBAi0AFAAGAAgAAAAhADkoN47HAAAA3gAA&#10;AA8AAAAAAAAAAAAAAAAABwIAAGRycy9kb3ducmV2LnhtbFBLBQYAAAAAAwADALcAAAD7AgAAAAA=&#10;" filled="f" stroked="f">
                  <v:textbox inset="0,0,0,0">
                    <w:txbxContent>
                      <w:p w14:paraId="7F578D5D" w14:textId="77777777" w:rsidR="00B32EF2" w:rsidRDefault="00000000">
                        <w:r>
                          <w:rPr>
                            <w:rFonts w:ascii="Arial" w:eastAsia="Arial" w:hAnsi="Arial" w:cs="Arial"/>
                            <w:sz w:val="18"/>
                          </w:rPr>
                          <w:t>di presidenza della giustizia tributaria. In caso di mancata partecipazione, sen</w:t>
                        </w:r>
                      </w:p>
                    </w:txbxContent>
                  </v:textbox>
                </v:rect>
                <v:rect id="Rectangle 22880" o:spid="_x0000_s6735" style="position:absolute;left:194;top:13101;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40xAAAAN4AAAAPAAAAZHJzL2Rvd25yZXYueG1sRI/NisIw&#10;FIX3A75DuIK7MbWLoVSjiCJ2MRsdBZeX5tpWm5vQRFt9+sliYJaH88e3WA2mFU/qfGNZwWyagCAu&#10;rW64UnD62X1mIHxA1thaJgUv8rBajj4WmGvb84Gex1CJOMI+RwV1CC6X0pc1GfRT64ijd7WdwRBl&#10;V0ndYR/HTSvTJPmSBhuODzU62tRU3o8Po+CyZVfselle3xv3fSuydv84nZWajIf1HESgIfyH/9qF&#10;VpCmWRYBIk5EAbn8BQAA//8DAFBLAQItABQABgAIAAAAIQDb4fbL7gAAAIUBAAATAAAAAAAAAAAA&#10;AAAAAAAAAABbQ29udGVudF9UeXBlc10ueG1sUEsBAi0AFAAGAAgAAAAhAFr0LFu/AAAAFQEAAAsA&#10;AAAAAAAAAAAAAAAAHwEAAF9yZWxzLy5yZWxzUEsBAi0AFAAGAAgAAAAhAJ3H7jTEAAAA3gAAAA8A&#10;AAAAAAAAAAAAAAAABwIAAGRycy9kb3ducmV2LnhtbFBLBQYAAAAAAwADALcAAAD4AgAAAAA=&#10;" filled="f" stroked="f">
                  <v:textbox inset="0,0,0,0">
                    <w:txbxContent>
                      <w:p w14:paraId="43CB14FD" w14:textId="77777777" w:rsidR="00B32EF2" w:rsidRDefault="00000000">
                        <w:r>
                          <w:rPr>
                            <w:rFonts w:ascii="Arial" w:eastAsia="Arial" w:hAnsi="Arial" w:cs="Arial"/>
                            <w:sz w:val="18"/>
                          </w:rPr>
                          <w:t>-</w:t>
                        </w:r>
                      </w:p>
                    </w:txbxContent>
                  </v:textbox>
                </v:rect>
                <v:rect id="Rectangle 22881" o:spid="_x0000_s6736" style="position:absolute;left:-13170;top:118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0uvxgAAAN4AAAAPAAAAZHJzL2Rvd25yZXYueG1sRI9Ba8JA&#10;FITvQv/D8gq96cYcSoiuUixiDl5qFTw+ss8kmn27ZFcT/fVdQehxmJlvmPlyMK24UecbywqmkwQE&#10;cWl1w5WC/e96nIHwAVlja5kU3MnDcvE2mmOubc8/dNuFSkQI+xwV1CG4XEpf1mTQT6wjjt7JdgZD&#10;lF0ldYd9hJtWpknyKQ02HBdqdLSqqbzsrkbB8Ztdse5leXqs3PZcZO3muj8o9fE+fM1ABBrCf/jV&#10;LrSCNM2yKTzvxCsgF38AAAD//wMAUEsBAi0AFAAGAAgAAAAhANvh9svuAAAAhQEAABMAAAAAAAAA&#10;AAAAAAAAAAAAAFtDb250ZW50X1R5cGVzXS54bWxQSwECLQAUAAYACAAAACEAWvQsW78AAAAVAQAA&#10;CwAAAAAAAAAAAAAAAAAfAQAAX3JlbHMvLnJlbHNQSwECLQAUAAYACAAAACEA8otLr8YAAADeAAAA&#10;DwAAAAAAAAAAAAAAAAAHAgAAZHJzL2Rvd25yZXYueG1sUEsFBgAAAAADAAMAtwAAAPoCAAAAAA==&#10;" filled="f" stroked="f">
                  <v:textbox inset="0,0,0,0">
                    <w:txbxContent>
                      <w:p w14:paraId="17421F44" w14:textId="77777777" w:rsidR="00B32EF2" w:rsidRDefault="00000000">
                        <w:r>
                          <w:rPr>
                            <w:rFonts w:ascii="Arial" w:eastAsia="Arial" w:hAnsi="Arial" w:cs="Arial"/>
                            <w:sz w:val="18"/>
                          </w:rPr>
                          <w:t xml:space="preserve">za adeguata giustificazione, a una di tali sedute o comunque a due sedute di </w:t>
                        </w:r>
                      </w:p>
                    </w:txbxContent>
                  </v:textbox>
                </v:rect>
                <v:rect id="Rectangle 22882" o:spid="_x0000_s6737" style="position:absolute;left:-13166;top:10634;width:530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dXYxgAAAN4AAAAPAAAAZHJzL2Rvd25yZXYueG1sRI9Pi8Iw&#10;FMTvwn6H8Bb2pun2sJRqFHERe/Din4U9PppnW21eQhNt9dObhQWPw8z8hpktBtOKG3W+sazgc5KA&#10;IC6tbrhScDysxxkIH5A1tpZJwZ08LOZvoxnm2va8o9s+VCJC2OeooA7B5VL6siaDfmIdcfROtjMY&#10;ouwqqTvsI9y0Mk2SL2mw4bhQo6NVTeVlfzUKfr/ZFetelqfHym3PRdZurscfpT7eh+UURKAhvML/&#10;7UIrSNMsS+HvTrwCcv4EAAD//wMAUEsBAi0AFAAGAAgAAAAhANvh9svuAAAAhQEAABMAAAAAAAAA&#10;AAAAAAAAAAAAAFtDb250ZW50X1R5cGVzXS54bWxQSwECLQAUAAYACAAAACEAWvQsW78AAAAVAQAA&#10;CwAAAAAAAAAAAAAAAAAfAQAAX3JlbHMvLnJlbHNQSwECLQAUAAYACAAAACEAAlnV2MYAAADeAAAA&#10;DwAAAAAAAAAAAAAAAAAHAgAAZHJzL2Rvd25yZXYueG1sUEsFBgAAAAADAAMAtwAAAPoCAAAAAA==&#10;" filled="f" stroked="f">
                  <v:textbox inset="0,0,0,0">
                    <w:txbxContent>
                      <w:p w14:paraId="0CB68523" w14:textId="77777777" w:rsidR="00B32EF2" w:rsidRDefault="00000000">
                        <w:r>
                          <w:rPr>
                            <w:rFonts w:ascii="Arial" w:eastAsia="Arial" w:hAnsi="Arial" w:cs="Arial"/>
                            <w:sz w:val="18"/>
                          </w:rPr>
                          <w:t xml:space="preserve">seguito, il Consiglio di presidenza può deliberare la revoca del componente e </w:t>
                        </w:r>
                      </w:p>
                    </w:txbxContent>
                  </v:textbox>
                </v:rect>
                <v:rect id="Rectangle 22883" o:spid="_x0000_s6738" style="position:absolute;left:1133;top:9401;width:387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XBDxgAAAN4AAAAPAAAAZHJzL2Rvd25yZXYueG1sRI9Ba8JA&#10;FITvBf/D8gRvdWOEEqKriCLm0EutgsdH9plEs2+X7GrS/vpuodDjMDPfMMv1YFrxpM43lhXMpgkI&#10;4tLqhisFp8/9awbCB2SNrWVS8EUe1qvRyxJzbXv+oOcxVCJC2OeooA7B5VL6siaDfmodcfSutjMY&#10;ouwqqTvsI9y0Mk2SN2mw4bhQo6NtTeX9+DAKLjt2xb6X5fV7695vRdYeHqezUpPxsFmACDSE//Bf&#10;u9AK0jTL5vB7J14BufoBAAD//wMAUEsBAi0AFAAGAAgAAAAhANvh9svuAAAAhQEAABMAAAAAAAAA&#10;AAAAAAAAAAAAAFtDb250ZW50X1R5cGVzXS54bWxQSwECLQAUAAYACAAAACEAWvQsW78AAAAVAQAA&#10;CwAAAAAAAAAAAAAAAAAfAQAAX3JlbHMvLnJlbHNQSwECLQAUAAYACAAAACEAbRVwQ8YAAADeAAAA&#10;DwAAAAAAAAAAAAAAAAAHAgAAZHJzL2Rvd25yZXYueG1sUEsFBgAAAAADAAMAtwAAAPoCAAAAAA==&#10;" filled="f" stroked="f">
                  <v:textbox inset="0,0,0,0">
                    <w:txbxContent>
                      <w:p w14:paraId="119CD99F" w14:textId="77777777" w:rsidR="00B32EF2" w:rsidRDefault="00000000">
                        <w:r>
                          <w:rPr>
                            <w:rFonts w:ascii="Arial" w:eastAsia="Arial" w:hAnsi="Arial" w:cs="Arial"/>
                            <w:sz w:val="18"/>
                          </w:rPr>
                          <w:t>la sua sostituzione con le modalità previste dal comma 1.</w:t>
                        </w:r>
                      </w:p>
                    </w:txbxContent>
                  </v:textbox>
                </v:rect>
                <v:rect id="Rectangle 202334" o:spid="_x0000_s6739" style="position:absolute;left:-12828;top:8167;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odxwAAAN8AAAAPAAAAZHJzL2Rvd25yZXYueG1sRI9Ba8JA&#10;FITvhf6H5RV6qxujFImuIoqYgxetBY+P7DNJm327ZFeT+utdoeBxmJlvmNmiN424UutrywqGgwQE&#10;cWF1zaWC49fmYwLCB2SNjWVS8EceFvPXlxlm2na8p+shlCJC2GeooArBZVL6oiKDfmAdcfTOtjUY&#10;omxLqVvsItw0Mk2ST2mw5rhQoaNVRcXv4WIUnNbs8k0ni/Nt5XY/+aTZXo7fSr2/9cspiEB9eIb/&#10;27lWkCbpaDSGx5/4BeT8DgAA//8DAFBLAQItABQABgAIAAAAIQDb4fbL7gAAAIUBAAATAAAAAAAA&#10;AAAAAAAAAAAAAABbQ29udGVudF9UeXBlc10ueG1sUEsBAi0AFAAGAAgAAAAhAFr0LFu/AAAAFQEA&#10;AAsAAAAAAAAAAAAAAAAAHwEAAF9yZWxzLy5yZWxzUEsBAi0AFAAGAAgAAAAhAKSt6h3HAAAA3wAA&#10;AA8AAAAAAAAAAAAAAAAABwIAAGRycy9kb3ducmV2LnhtbFBLBQYAAAAAAwADALcAAAD7AgAAAAA=&#10;" filled="f" stroked="f">
                  <v:textbox inset="0,0,0,0">
                    <w:txbxContent>
                      <w:p w14:paraId="6C726E4D" w14:textId="77777777" w:rsidR="00B32EF2" w:rsidRDefault="00000000">
                        <w:r>
                          <w:rPr>
                            <w:rFonts w:ascii="Arial" w:eastAsia="Arial" w:hAnsi="Arial" w:cs="Arial"/>
                            <w:sz w:val="18"/>
                          </w:rPr>
                          <w:t>. Il presidente della commissione e gli altri componenti possono essere no</w:t>
                        </w:r>
                      </w:p>
                    </w:txbxContent>
                  </v:textbox>
                </v:rect>
                <v:rect id="Rectangle 202331" o:spid="_x0000_s6740" style="position:absolute;left:26356;top:8167;width:521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kmFyAAAAN8AAAAPAAAAZHJzL2Rvd25yZXYueG1sRI9La8Mw&#10;EITvhfwHsYXeGjkOlOBEDiUh1IdemgfkuFjrR2uthKXEbn59VCjkOMzMN8xqPZpOXKn3rWUFs2kC&#10;gri0uuVawfGwe12A8AFZY2eZFPySh3U+eVphpu3AX3Tdh1pECPsMFTQhuExKXzZk0E+tI45eZXuD&#10;Icq+lrrHIcJNJ9MkeZMGW44LDTraNFT+7C9GwXnLrtgNsqxuG/f5XSy6j8vxpNTL8/i+BBFoDI/w&#10;f7vQCtIknc9n8PcnfgGZ3wEAAP//AwBQSwECLQAUAAYACAAAACEA2+H2y+4AAACFAQAAEwAAAAAA&#10;AAAAAAAAAAAAAAAAW0NvbnRlbnRfVHlwZXNdLnhtbFBLAQItABQABgAIAAAAIQBa9CxbvwAAABUB&#10;AAALAAAAAAAAAAAAAAAAAB8BAABfcmVscy8ucmVsc1BLAQItABQABgAIAAAAIQC02kmFyAAAAN8A&#10;AAAPAAAAAAAAAAAAAAAAAAcCAABkcnMvZG93bnJldi54bWxQSwUGAAAAAAMAAwC3AAAA/AIAAAAA&#10;" filled="f" stroked="f">
                  <v:textbox inset="0,0,0,0">
                    <w:txbxContent>
                      <w:p w14:paraId="4931FF69" w14:textId="77777777" w:rsidR="00B32EF2" w:rsidRDefault="00000000">
                        <w:r>
                          <w:rPr>
                            <w:rFonts w:ascii="Arial" w:eastAsia="Arial" w:hAnsi="Arial" w:cs="Arial"/>
                            <w:sz w:val="18"/>
                          </w:rPr>
                          <w:t>5</w:t>
                        </w:r>
                      </w:p>
                    </w:txbxContent>
                  </v:textbox>
                </v:rect>
                <v:rect id="Rectangle 22885" o:spid="_x0000_s6741" style="position:absolute;left:194;top:81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2sxgAAAN4AAAAPAAAAZHJzL2Rvd25yZXYueG1sRI9Ba8JA&#10;FITvBf/D8gRvdWPAEqKriCLm0EutgsdH9plEs2+X7GrS/vpuodDjMDPfMMv1YFrxpM43lhXMpgkI&#10;4tLqhisFp8/9awbCB2SNrWVS8EUe1qvRyxJzbXv+oOcxVCJC2OeooA7B5VL6siaDfmodcfSutjMY&#10;ouwqqTvsI9y0Mk2SN2mw4bhQo6NtTeX9+DAKLjt2xb6X5fV7695vRdYeHqezUpPxsFmACDSE//Bf&#10;u9AK0jTL5vB7J14BufoBAAD//wMAUEsBAi0AFAAGAAgAAAAhANvh9svuAAAAhQEAABMAAAAAAAAA&#10;AAAAAAAAAAAAAFtDb250ZW50X1R5cGVzXS54bWxQSwECLQAUAAYACAAAACEAWvQsW78AAAAVAQAA&#10;CwAAAAAAAAAAAAAAAAAfAQAAX3JlbHMvLnJlbHNQSwECLQAUAAYACAAAACEAjbBNrMYAAADeAAAA&#10;DwAAAAAAAAAAAAAAAAAHAgAAZHJzL2Rvd25yZXYueG1sUEsFBgAAAAADAAMAtwAAAPoCAAAAAA==&#10;" filled="f" stroked="f">
                  <v:textbox inset="0,0,0,0">
                    <w:txbxContent>
                      <w:p w14:paraId="53E97C38" w14:textId="77777777" w:rsidR="00B32EF2" w:rsidRDefault="00000000">
                        <w:r>
                          <w:rPr>
                            <w:rFonts w:ascii="Arial" w:eastAsia="Arial" w:hAnsi="Arial" w:cs="Arial"/>
                            <w:sz w:val="18"/>
                          </w:rPr>
                          <w:t>-</w:t>
                        </w:r>
                      </w:p>
                    </w:txbxContent>
                  </v:textbox>
                </v:rect>
                <v:rect id="Rectangle 22886" o:spid="_x0000_s6742" style="position:absolute;left:-13169;top:69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tPbxgAAAN4AAAAPAAAAZHJzL2Rvd25yZXYueG1sRI9Ba8JA&#10;FITvBf/D8oTe6sYcJERXEUXMoZdaBY+P7DNJm327ZFcT/fVdQehxmJlvmMVqMK24UecbywqmkwQE&#10;cWl1w5WC4/fuIwPhA7LG1jIpuJOH1XL0tsBc256/6HYIlYgQ9jkqqENwuZS+rMmgn1hHHL2L7QyG&#10;KLtK6g77CDetTJNkJg02HBdqdLSpqfw9XI2C85ZdsetleXls3OdPkbX76/Gk1Pt4WM9BBBrCf/jV&#10;LrSCNM2yGTzvxCsgl38AAAD//wMAUEsBAi0AFAAGAAgAAAAhANvh9svuAAAAhQEAABMAAAAAAAAA&#10;AAAAAAAAAAAAAFtDb250ZW50X1R5cGVzXS54bWxQSwECLQAUAAYACAAAACEAWvQsW78AAAAVAQAA&#10;CwAAAAAAAAAAAAAAAAAfAQAAX3JlbHMvLnJlbHNQSwECLQAUAAYACAAAACEAfWLT28YAAADeAAAA&#10;DwAAAAAAAAAAAAAAAAAHAgAAZHJzL2Rvd25yZXYueG1sUEsFBgAAAAADAAMAtwAAAPoCAAAAAA==&#10;" filled="f" stroked="f">
                  <v:textbox inset="0,0,0,0">
                    <w:txbxContent>
                      <w:p w14:paraId="6272E100" w14:textId="77777777" w:rsidR="00B32EF2" w:rsidRDefault="00000000">
                        <w:r>
                          <w:rPr>
                            <w:rFonts w:ascii="Arial" w:eastAsia="Arial" w:hAnsi="Arial" w:cs="Arial"/>
                            <w:sz w:val="18"/>
                          </w:rPr>
                          <w:t xml:space="preserve">minati anche tra i magistrati a riposo da non più di due anni e tra i professori </w:t>
                        </w:r>
                      </w:p>
                    </w:txbxContent>
                  </v:textbox>
                </v:rect>
                <v:rect id="Rectangle 22887" o:spid="_x0000_s6743" style="position:absolute;left:-13170;top:570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nZAxgAAAN4AAAAPAAAAZHJzL2Rvd25yZXYueG1sRI9Ba8JA&#10;FITvBf/D8gRvdWMONkRXEUXMoZdaBY+P7DOJZt8u2dWk/fXdQqHHYWa+YZbrwbTiSZ1vLCuYTRMQ&#10;xKXVDVcKTp/71wyED8gaW8uk4Is8rFejlyXm2vb8Qc9jqESEsM9RQR2Cy6X0ZU0G/dQ64uhdbWcw&#10;RNlVUnfYR7hpZZokc2mw4bhQo6NtTeX9+DAKLjt2xb6X5fV7695vRdYeHqezUpPxsFmACDSE//Bf&#10;u9AK0jTL3uD3TrwCcvUDAAD//wMAUEsBAi0AFAAGAAgAAAAhANvh9svuAAAAhQEAABMAAAAAAAAA&#10;AAAAAAAAAAAAAFtDb250ZW50X1R5cGVzXS54bWxQSwECLQAUAAYACAAAACEAWvQsW78AAAAVAQAA&#10;CwAAAAAAAAAAAAAAAAAfAQAAX3JlbHMvLnJlbHNQSwECLQAUAAYACAAAACEAEi52QMYAAADeAAAA&#10;DwAAAAAAAAAAAAAAAAAHAgAAZHJzL2Rvd25yZXYueG1sUEsFBgAAAAADAAMAtwAAAPoCAAAAAA==&#10;" filled="f" stroked="f">
                  <v:textbox inset="0,0,0,0">
                    <w:txbxContent>
                      <w:p w14:paraId="53FB7527" w14:textId="77777777" w:rsidR="00B32EF2" w:rsidRDefault="00000000">
                        <w:r>
                          <w:rPr>
                            <w:rFonts w:ascii="Arial" w:eastAsia="Arial" w:hAnsi="Arial" w:cs="Arial"/>
                            <w:sz w:val="18"/>
                          </w:rPr>
                          <w:t xml:space="preserve">universitari a riposo da non più di due anni che, all’atto della cessazione dal </w:t>
                        </w:r>
                      </w:p>
                    </w:txbxContent>
                  </v:textbox>
                </v:rect>
                <v:rect id="Rectangle 22888" o:spid="_x0000_s6744" style="position:absolute;left:2954;top:4467;width:369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eIywwAAAN4AAAAPAAAAZHJzL2Rvd25yZXYueG1sRE9Ni8Iw&#10;EL0v+B/CCN7W1B6WUo0iitjDXnQVPA7N2FabSWiirf76zWFhj4/3vVgNphVP6nxjWcFsmoAgLq1u&#10;uFJw+tl9ZiB8QNbYWiYFL/KwWo4+Fphr2/OBnsdQiRjCPkcFdQgul9KXNRn0U+uII3e1ncEQYVdJ&#10;3WEfw00r0yT5kgYbjg01OtrUVN6PD6PgsmVX7HpZXt8b930rsnb/OJ2VmoyH9RxEoCH8i//chVaQ&#10;plkW98Y78QrI5S8AAAD//wMAUEsBAi0AFAAGAAgAAAAhANvh9svuAAAAhQEAABMAAAAAAAAAAAAA&#10;AAAAAAAAAFtDb250ZW50X1R5cGVzXS54bWxQSwECLQAUAAYACAAAACEAWvQsW78AAAAVAQAACwAA&#10;AAAAAAAAAAAAAAAfAQAAX3JlbHMvLnJlbHNQSwECLQAUAAYACAAAACEAY7HiMsMAAADeAAAADwAA&#10;AAAAAAAAAAAAAAAHAgAAZHJzL2Rvd25yZXYueG1sUEsFBgAAAAADAAMAtwAAAPcCAAAAAA==&#10;" filled="f" stroked="f">
                  <v:textbox inset="0,0,0,0">
                    <w:txbxContent>
                      <w:p w14:paraId="1B1602BE" w14:textId="77777777" w:rsidR="00B32EF2" w:rsidRDefault="00000000">
                        <w:r>
                          <w:rPr>
                            <w:rFonts w:ascii="Arial" w:eastAsia="Arial" w:hAnsi="Arial" w:cs="Arial"/>
                            <w:sz w:val="18"/>
                          </w:rPr>
                          <w:t>servizio, erano in possesso dei requisiti per la nomina.</w:t>
                        </w:r>
                      </w:p>
                    </w:txbxContent>
                  </v:textbox>
                </v:rect>
                <w10:anchorlock/>
              </v:group>
            </w:pict>
          </mc:Fallback>
        </mc:AlternateContent>
      </w:r>
    </w:p>
    <w:p w14:paraId="0D402B68" w14:textId="77777777" w:rsidR="00B32EF2" w:rsidRDefault="00000000">
      <w:pPr>
        <w:spacing w:after="0"/>
        <w:ind w:left="-357" w:right="-306"/>
      </w:pPr>
      <w:r>
        <w:rPr>
          <w:noProof/>
        </w:rPr>
        <w:lastRenderedPageBreak/>
        <mc:AlternateContent>
          <mc:Choice Requires="wpg">
            <w:drawing>
              <wp:inline distT="0" distB="0" distL="0" distR="0" wp14:anchorId="76E65CF1" wp14:editId="7E8893F1">
                <wp:extent cx="3992076" cy="6262854"/>
                <wp:effectExtent l="0" t="0" r="0" b="0"/>
                <wp:docPr id="202382" name="Group 202382"/>
                <wp:cNvGraphicFramePr/>
                <a:graphic xmlns:a="http://schemas.openxmlformats.org/drawingml/2006/main">
                  <a:graphicData uri="http://schemas.microsoft.com/office/word/2010/wordprocessingGroup">
                    <wpg:wgp>
                      <wpg:cNvGrpSpPr/>
                      <wpg:grpSpPr>
                        <a:xfrm>
                          <a:off x="0" y="0"/>
                          <a:ext cx="3992076" cy="6262854"/>
                          <a:chOff x="0" y="0"/>
                          <a:chExt cx="3992076" cy="6262854"/>
                        </a:xfrm>
                      </wpg:grpSpPr>
                      <wps:wsp>
                        <wps:cNvPr id="22906" name="Rectangle 22906"/>
                        <wps:cNvSpPr/>
                        <wps:spPr>
                          <a:xfrm rot="-10799999">
                            <a:off x="1900744" y="-62190"/>
                            <a:ext cx="178369" cy="250646"/>
                          </a:xfrm>
                          <a:prstGeom prst="rect">
                            <a:avLst/>
                          </a:prstGeom>
                          <a:ln>
                            <a:noFill/>
                          </a:ln>
                        </wps:spPr>
                        <wps:txbx>
                          <w:txbxContent>
                            <w:p w14:paraId="188980BA" w14:textId="77777777" w:rsidR="00B32EF2" w:rsidRDefault="00000000">
                              <w:r>
                                <w:rPr>
                                  <w:rFonts w:ascii="Times New Roman" w:eastAsia="Times New Roman" w:hAnsi="Times New Roman" w:cs="Times New Roman"/>
                                </w:rPr>
                                <w:t>19</w:t>
                              </w:r>
                            </w:p>
                          </w:txbxContent>
                        </wps:txbx>
                        <wps:bodyPr horzOverflow="overflow" vert="horz" lIns="0" tIns="0" rIns="0" bIns="0" rtlCol="0">
                          <a:noAutofit/>
                        </wps:bodyPr>
                      </wps:wsp>
                      <wps:wsp>
                        <wps:cNvPr id="22907" name="Rectangle 22907"/>
                        <wps:cNvSpPr/>
                        <wps:spPr>
                          <a:xfrm rot="-10799999">
                            <a:off x="1561589" y="6119965"/>
                            <a:ext cx="721817" cy="142889"/>
                          </a:xfrm>
                          <a:prstGeom prst="rect">
                            <a:avLst/>
                          </a:prstGeom>
                          <a:ln>
                            <a:noFill/>
                          </a:ln>
                        </wps:spPr>
                        <wps:txbx>
                          <w:txbxContent>
                            <w:p w14:paraId="45055130" w14:textId="77777777" w:rsidR="00B32EF2" w:rsidRDefault="00000000">
                              <w:r>
                                <w:rPr>
                                  <w:rFonts w:ascii="Arial" w:eastAsia="Arial" w:hAnsi="Arial" w:cs="Arial"/>
                                  <w:b/>
                                  <w:sz w:val="18"/>
                                </w:rPr>
                                <w:t>Articolo 7</w:t>
                              </w:r>
                            </w:p>
                          </w:txbxContent>
                        </wps:txbx>
                        <wps:bodyPr horzOverflow="overflow" vert="horz" lIns="0" tIns="0" rIns="0" bIns="0" rtlCol="0">
                          <a:noAutofit/>
                        </wps:bodyPr>
                      </wps:wsp>
                      <wps:wsp>
                        <wps:cNvPr id="202345" name="Rectangle 202345"/>
                        <wps:cNvSpPr/>
                        <wps:spPr>
                          <a:xfrm rot="-10799999">
                            <a:off x="1066868" y="5996635"/>
                            <a:ext cx="2097482" cy="142890"/>
                          </a:xfrm>
                          <a:prstGeom prst="rect">
                            <a:avLst/>
                          </a:prstGeom>
                          <a:ln>
                            <a:noFill/>
                          </a:ln>
                        </wps:spPr>
                        <wps:txbx>
                          <w:txbxContent>
                            <w:p w14:paraId="787987C5" w14:textId="77777777" w:rsidR="00B32EF2" w:rsidRDefault="00000000">
                              <w:r>
                                <w:rPr>
                                  <w:rFonts w:ascii="Arial" w:eastAsia="Arial" w:hAnsi="Arial" w:cs="Arial"/>
                                  <w:i/>
                                  <w:sz w:val="18"/>
                                </w:rPr>
                                <w:t xml:space="preserve">articolo 4-ter D.lgs. n. </w:t>
                              </w:r>
                            </w:p>
                          </w:txbxContent>
                        </wps:txbx>
                        <wps:bodyPr horzOverflow="overflow" vert="horz" lIns="0" tIns="0" rIns="0" bIns="0" rtlCol="0">
                          <a:noAutofit/>
                        </wps:bodyPr>
                      </wps:wsp>
                      <wps:wsp>
                        <wps:cNvPr id="202341" name="Rectangle 202341"/>
                        <wps:cNvSpPr/>
                        <wps:spPr>
                          <a:xfrm rot="-10799999">
                            <a:off x="2242124" y="5996635"/>
                            <a:ext cx="2097482" cy="142890"/>
                          </a:xfrm>
                          <a:prstGeom prst="rect">
                            <a:avLst/>
                          </a:prstGeom>
                          <a:ln>
                            <a:noFill/>
                          </a:ln>
                        </wps:spPr>
                        <wps:txbx>
                          <w:txbxContent>
                            <w:p w14:paraId="53F795B9"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343" name="Rectangle 202343"/>
                        <wps:cNvSpPr/>
                        <wps:spPr>
                          <a:xfrm rot="-10799999">
                            <a:off x="-475027" y="5996635"/>
                            <a:ext cx="2097482" cy="142890"/>
                          </a:xfrm>
                          <a:prstGeom prst="rect">
                            <a:avLst/>
                          </a:prstGeom>
                          <a:ln>
                            <a:noFill/>
                          </a:ln>
                        </wps:spPr>
                        <wps:txbx>
                          <w:txbxContent>
                            <w:p w14:paraId="633BFCEA"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2909" name="Rectangle 22909"/>
                        <wps:cNvSpPr/>
                        <wps:spPr>
                          <a:xfrm rot="-10799999">
                            <a:off x="-608348" y="5873305"/>
                            <a:ext cx="4173515" cy="142889"/>
                          </a:xfrm>
                          <a:prstGeom prst="rect">
                            <a:avLst/>
                          </a:prstGeom>
                          <a:ln>
                            <a:noFill/>
                          </a:ln>
                        </wps:spPr>
                        <wps:txbx>
                          <w:txbxContent>
                            <w:p w14:paraId="505F0A07" w14:textId="77777777" w:rsidR="00B32EF2" w:rsidRDefault="00000000">
                              <w:r>
                                <w:rPr>
                                  <w:rFonts w:ascii="Arial" w:eastAsia="Arial" w:hAnsi="Arial" w:cs="Arial"/>
                                  <w:b/>
                                  <w:sz w:val="18"/>
                                </w:rPr>
                                <w:t xml:space="preserve">Indizione del concorso e svolgimento della prova scritta </w:t>
                              </w:r>
                            </w:p>
                          </w:txbxContent>
                        </wps:txbx>
                        <wps:bodyPr horzOverflow="overflow" vert="horz" lIns="0" tIns="0" rIns="0" bIns="0" rtlCol="0">
                          <a:noAutofit/>
                        </wps:bodyPr>
                      </wps:wsp>
                      <wps:wsp>
                        <wps:cNvPr id="202338" name="Rectangle 202338"/>
                        <wps:cNvSpPr/>
                        <wps:spPr>
                          <a:xfrm rot="-10799999">
                            <a:off x="2611247" y="5749976"/>
                            <a:ext cx="5309036" cy="142889"/>
                          </a:xfrm>
                          <a:prstGeom prst="rect">
                            <a:avLst/>
                          </a:prstGeom>
                          <a:ln>
                            <a:noFill/>
                          </a:ln>
                        </wps:spPr>
                        <wps:txbx>
                          <w:txbxContent>
                            <w:p w14:paraId="3BF37643"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2340" name="Rectangle 202340"/>
                        <wps:cNvSpPr/>
                        <wps:spPr>
                          <a:xfrm rot="-10799999">
                            <a:off x="-1376155" y="5749976"/>
                            <a:ext cx="5309035" cy="142889"/>
                          </a:xfrm>
                          <a:prstGeom prst="rect">
                            <a:avLst/>
                          </a:prstGeom>
                          <a:ln>
                            <a:noFill/>
                          </a:ln>
                        </wps:spPr>
                        <wps:txbx>
                          <w:txbxContent>
                            <w:p w14:paraId="33A48352" w14:textId="77777777" w:rsidR="00B32EF2" w:rsidRDefault="00000000">
                              <w:r>
                                <w:rPr>
                                  <w:rFonts w:ascii="Arial" w:eastAsia="Arial" w:hAnsi="Arial" w:cs="Arial"/>
                                  <w:sz w:val="18"/>
                                </w:rPr>
                                <w:t xml:space="preserve">. Il concorso per esami di cui all’articolo 5 si svolge con cadenza di norma </w:t>
                              </w:r>
                            </w:p>
                          </w:txbxContent>
                        </wps:txbx>
                        <wps:bodyPr horzOverflow="overflow" vert="horz" lIns="0" tIns="0" rIns="0" bIns="0" rtlCol="0">
                          <a:noAutofit/>
                        </wps:bodyPr>
                      </wps:wsp>
                      <wps:wsp>
                        <wps:cNvPr id="22911" name="Rectangle 22911"/>
                        <wps:cNvSpPr/>
                        <wps:spPr>
                          <a:xfrm rot="-10799999">
                            <a:off x="-764765" y="5626646"/>
                            <a:ext cx="4756842" cy="142889"/>
                          </a:xfrm>
                          <a:prstGeom prst="rect">
                            <a:avLst/>
                          </a:prstGeom>
                          <a:ln>
                            <a:noFill/>
                          </a:ln>
                        </wps:spPr>
                        <wps:txbx>
                          <w:txbxContent>
                            <w:p w14:paraId="6D269AFA" w14:textId="77777777" w:rsidR="00B32EF2" w:rsidRDefault="00000000">
                              <w:r>
                                <w:rPr>
                                  <w:rFonts w:ascii="Arial" w:eastAsia="Arial" w:hAnsi="Arial" w:cs="Arial"/>
                                  <w:sz w:val="18"/>
                                </w:rPr>
                                <w:t>annuale in una o più sedi stabilite con il decreto con il quale è bandito.</w:t>
                              </w:r>
                            </w:p>
                          </w:txbxContent>
                        </wps:txbx>
                        <wps:bodyPr horzOverflow="overflow" vert="horz" lIns="0" tIns="0" rIns="0" bIns="0" rtlCol="0">
                          <a:noAutofit/>
                        </wps:bodyPr>
                      </wps:wsp>
                      <wps:wsp>
                        <wps:cNvPr id="202335" name="Rectangle 202335"/>
                        <wps:cNvSpPr/>
                        <wps:spPr>
                          <a:xfrm rot="-10799999">
                            <a:off x="2611254" y="5503316"/>
                            <a:ext cx="5309005" cy="142889"/>
                          </a:xfrm>
                          <a:prstGeom prst="rect">
                            <a:avLst/>
                          </a:prstGeom>
                          <a:ln>
                            <a:noFill/>
                          </a:ln>
                        </wps:spPr>
                        <wps:txbx>
                          <w:txbxContent>
                            <w:p w14:paraId="0F61E725"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2336" name="Rectangle 202336"/>
                        <wps:cNvSpPr/>
                        <wps:spPr>
                          <a:xfrm rot="-10799999">
                            <a:off x="-1381611" y="5503316"/>
                            <a:ext cx="5309005" cy="142889"/>
                          </a:xfrm>
                          <a:prstGeom prst="rect">
                            <a:avLst/>
                          </a:prstGeom>
                          <a:ln>
                            <a:noFill/>
                          </a:ln>
                        </wps:spPr>
                        <wps:txbx>
                          <w:txbxContent>
                            <w:p w14:paraId="5B1A6648" w14:textId="77777777" w:rsidR="00B32EF2" w:rsidRDefault="00000000">
                              <w:r>
                                <w:rPr>
                                  <w:rFonts w:ascii="Arial" w:eastAsia="Arial" w:hAnsi="Arial" w:cs="Arial"/>
                                  <w:sz w:val="18"/>
                                </w:rPr>
                                <w:t xml:space="preserve">. Il concorso è bandito con decreto del Ministro dell’economia e delle finanze, </w:t>
                              </w:r>
                            </w:p>
                          </w:txbxContent>
                        </wps:txbx>
                        <wps:bodyPr horzOverflow="overflow" vert="horz" lIns="0" tIns="0" rIns="0" bIns="0" rtlCol="0">
                          <a:noAutofit/>
                        </wps:bodyPr>
                      </wps:wsp>
                      <wps:wsp>
                        <wps:cNvPr id="22913" name="Rectangle 22913"/>
                        <wps:cNvSpPr/>
                        <wps:spPr>
                          <a:xfrm rot="-10799999">
                            <a:off x="-1221948" y="5379987"/>
                            <a:ext cx="5213568" cy="142889"/>
                          </a:xfrm>
                          <a:prstGeom prst="rect">
                            <a:avLst/>
                          </a:prstGeom>
                          <a:ln>
                            <a:noFill/>
                          </a:ln>
                        </wps:spPr>
                        <wps:txbx>
                          <w:txbxContent>
                            <w:p w14:paraId="1722715C" w14:textId="77777777" w:rsidR="00B32EF2" w:rsidRDefault="00000000">
                              <w:r>
                                <w:rPr>
                                  <w:rFonts w:ascii="Arial" w:eastAsia="Arial" w:hAnsi="Arial" w:cs="Arial"/>
                                  <w:sz w:val="18"/>
                                </w:rPr>
                                <w:t>previa deliberazione conforme del Consiglio di presidenza della giustizia tributa</w:t>
                              </w:r>
                            </w:p>
                          </w:txbxContent>
                        </wps:txbx>
                        <wps:bodyPr horzOverflow="overflow" vert="horz" lIns="0" tIns="0" rIns="0" bIns="0" rtlCol="0">
                          <a:noAutofit/>
                        </wps:bodyPr>
                      </wps:wsp>
                      <wps:wsp>
                        <wps:cNvPr id="22914" name="Rectangle 22914"/>
                        <wps:cNvSpPr/>
                        <wps:spPr>
                          <a:xfrm rot="-10799999">
                            <a:off x="19478" y="5379986"/>
                            <a:ext cx="50622" cy="142889"/>
                          </a:xfrm>
                          <a:prstGeom prst="rect">
                            <a:avLst/>
                          </a:prstGeom>
                          <a:ln>
                            <a:noFill/>
                          </a:ln>
                        </wps:spPr>
                        <wps:txbx>
                          <w:txbxContent>
                            <w:p w14:paraId="496605F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915" name="Rectangle 22915"/>
                        <wps:cNvSpPr/>
                        <wps:spPr>
                          <a:xfrm rot="-10799999">
                            <a:off x="-1316308" y="5256657"/>
                            <a:ext cx="5307243" cy="142889"/>
                          </a:xfrm>
                          <a:prstGeom prst="rect">
                            <a:avLst/>
                          </a:prstGeom>
                          <a:ln>
                            <a:noFill/>
                          </a:ln>
                        </wps:spPr>
                        <wps:txbx>
                          <w:txbxContent>
                            <w:p w14:paraId="7A80AA11" w14:textId="77777777" w:rsidR="00B32EF2" w:rsidRDefault="00000000">
                              <w:r>
                                <w:rPr>
                                  <w:rFonts w:ascii="Arial" w:eastAsia="Arial" w:hAnsi="Arial" w:cs="Arial"/>
                                  <w:sz w:val="18"/>
                                </w:rPr>
                                <w:t xml:space="preserve">ria, che determina il numero dei posti messi a concorso. Con successivi decreti </w:t>
                              </w:r>
                            </w:p>
                          </w:txbxContent>
                        </wps:txbx>
                        <wps:bodyPr horzOverflow="overflow" vert="horz" lIns="0" tIns="0" rIns="0" bIns="0" rtlCol="0">
                          <a:noAutofit/>
                        </wps:bodyPr>
                      </wps:wsp>
                      <wps:wsp>
                        <wps:cNvPr id="22916" name="Rectangle 22916"/>
                        <wps:cNvSpPr/>
                        <wps:spPr>
                          <a:xfrm rot="-10799999">
                            <a:off x="-1222676" y="5133327"/>
                            <a:ext cx="5214753" cy="142889"/>
                          </a:xfrm>
                          <a:prstGeom prst="rect">
                            <a:avLst/>
                          </a:prstGeom>
                          <a:ln>
                            <a:noFill/>
                          </a:ln>
                        </wps:spPr>
                        <wps:txbx>
                          <w:txbxContent>
                            <w:p w14:paraId="3FAC4106" w14:textId="77777777" w:rsidR="00B32EF2" w:rsidRDefault="00000000">
                              <w:r>
                                <w:rPr>
                                  <w:rFonts w:ascii="Arial" w:eastAsia="Arial" w:hAnsi="Arial" w:cs="Arial"/>
                                  <w:sz w:val="18"/>
                                </w:rPr>
                                <w:t>del Ministro dell’economia e delle finanze, da pubblicare nella Gazzetta Ufficia</w:t>
                              </w:r>
                            </w:p>
                          </w:txbxContent>
                        </wps:txbx>
                        <wps:bodyPr horzOverflow="overflow" vert="horz" lIns="0" tIns="0" rIns="0" bIns="0" rtlCol="0">
                          <a:noAutofit/>
                        </wps:bodyPr>
                      </wps:wsp>
                      <wps:wsp>
                        <wps:cNvPr id="22917" name="Rectangle 22917"/>
                        <wps:cNvSpPr/>
                        <wps:spPr>
                          <a:xfrm rot="-10799999">
                            <a:off x="19478" y="5133327"/>
                            <a:ext cx="50622" cy="142889"/>
                          </a:xfrm>
                          <a:prstGeom prst="rect">
                            <a:avLst/>
                          </a:prstGeom>
                          <a:ln>
                            <a:noFill/>
                          </a:ln>
                        </wps:spPr>
                        <wps:txbx>
                          <w:txbxContent>
                            <w:p w14:paraId="1FDA1C3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918" name="Rectangle 22918"/>
                        <wps:cNvSpPr/>
                        <wps:spPr>
                          <a:xfrm rot="-10799999">
                            <a:off x="-1064488" y="5009998"/>
                            <a:ext cx="5055422" cy="142889"/>
                          </a:xfrm>
                          <a:prstGeom prst="rect">
                            <a:avLst/>
                          </a:prstGeom>
                          <a:ln>
                            <a:noFill/>
                          </a:ln>
                        </wps:spPr>
                        <wps:txbx>
                          <w:txbxContent>
                            <w:p w14:paraId="288F2FC7" w14:textId="77777777" w:rsidR="00B32EF2" w:rsidRDefault="00000000">
                              <w:r>
                                <w:rPr>
                                  <w:rFonts w:ascii="Arial" w:eastAsia="Arial" w:hAnsi="Arial" w:cs="Arial"/>
                                  <w:sz w:val="18"/>
                                </w:rPr>
                                <w:t>le, sono determinati il luogo e il calendario di svolgimento della prova scritta.</w:t>
                              </w:r>
                            </w:p>
                          </w:txbxContent>
                        </wps:txbx>
                        <wps:bodyPr horzOverflow="overflow" vert="horz" lIns="0" tIns="0" rIns="0" bIns="0" rtlCol="0">
                          <a:noAutofit/>
                        </wps:bodyPr>
                      </wps:wsp>
                      <wps:wsp>
                        <wps:cNvPr id="202333" name="Rectangle 202333"/>
                        <wps:cNvSpPr/>
                        <wps:spPr>
                          <a:xfrm rot="-10799999">
                            <a:off x="-1285203" y="4886668"/>
                            <a:ext cx="5212747" cy="142889"/>
                          </a:xfrm>
                          <a:prstGeom prst="rect">
                            <a:avLst/>
                          </a:prstGeom>
                          <a:ln>
                            <a:noFill/>
                          </a:ln>
                        </wps:spPr>
                        <wps:txbx>
                          <w:txbxContent>
                            <w:p w14:paraId="6BE0880D" w14:textId="77777777" w:rsidR="00B32EF2" w:rsidRDefault="00000000">
                              <w:r>
                                <w:rPr>
                                  <w:rFonts w:ascii="Arial" w:eastAsia="Arial" w:hAnsi="Arial" w:cs="Arial"/>
                                  <w:sz w:val="18"/>
                                </w:rPr>
                                <w:t>. La domanda di partecipazione al concorso per esami per magistrato tributa</w:t>
                              </w:r>
                            </w:p>
                          </w:txbxContent>
                        </wps:txbx>
                        <wps:bodyPr horzOverflow="overflow" vert="horz" lIns="0" tIns="0" rIns="0" bIns="0" rtlCol="0">
                          <a:noAutofit/>
                        </wps:bodyPr>
                      </wps:wsp>
                      <wps:wsp>
                        <wps:cNvPr id="202332" name="Rectangle 202332"/>
                        <wps:cNvSpPr/>
                        <wps:spPr>
                          <a:xfrm rot="-10799999">
                            <a:off x="2635138" y="4886668"/>
                            <a:ext cx="5212747" cy="142889"/>
                          </a:xfrm>
                          <a:prstGeom prst="rect">
                            <a:avLst/>
                          </a:prstGeom>
                          <a:ln>
                            <a:noFill/>
                          </a:ln>
                        </wps:spPr>
                        <wps:txbx>
                          <w:txbxContent>
                            <w:p w14:paraId="14040CE4"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2920" name="Rectangle 22920"/>
                        <wps:cNvSpPr/>
                        <wps:spPr>
                          <a:xfrm rot="-10799999">
                            <a:off x="19478" y="4886667"/>
                            <a:ext cx="50622" cy="142889"/>
                          </a:xfrm>
                          <a:prstGeom prst="rect">
                            <a:avLst/>
                          </a:prstGeom>
                          <a:ln>
                            <a:noFill/>
                          </a:ln>
                        </wps:spPr>
                        <wps:txbx>
                          <w:txbxContent>
                            <w:p w14:paraId="1711400A"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921" name="Rectangle 22921"/>
                        <wps:cNvSpPr/>
                        <wps:spPr>
                          <a:xfrm rot="-10799999">
                            <a:off x="-1316943" y="4763338"/>
                            <a:ext cx="5309021" cy="142889"/>
                          </a:xfrm>
                          <a:prstGeom prst="rect">
                            <a:avLst/>
                          </a:prstGeom>
                          <a:ln>
                            <a:noFill/>
                          </a:ln>
                        </wps:spPr>
                        <wps:txbx>
                          <w:txbxContent>
                            <w:p w14:paraId="237A0C24" w14:textId="77777777" w:rsidR="00B32EF2" w:rsidRDefault="00000000">
                              <w:r>
                                <w:rPr>
                                  <w:rFonts w:ascii="Arial" w:eastAsia="Arial" w:hAnsi="Arial" w:cs="Arial"/>
                                  <w:sz w:val="18"/>
                                </w:rPr>
                                <w:t xml:space="preserve">rio è presentata, per via telematica, al Ministero dell’economia e delle finanze </w:t>
                              </w:r>
                            </w:p>
                          </w:txbxContent>
                        </wps:txbx>
                        <wps:bodyPr horzOverflow="overflow" vert="horz" lIns="0" tIns="0" rIns="0" bIns="0" rtlCol="0">
                          <a:noAutofit/>
                        </wps:bodyPr>
                      </wps:wsp>
                      <wps:wsp>
                        <wps:cNvPr id="22922" name="Rectangle 22922"/>
                        <wps:cNvSpPr/>
                        <wps:spPr>
                          <a:xfrm rot="-10799999">
                            <a:off x="-1316898" y="4640009"/>
                            <a:ext cx="5308975" cy="142889"/>
                          </a:xfrm>
                          <a:prstGeom prst="rect">
                            <a:avLst/>
                          </a:prstGeom>
                          <a:ln>
                            <a:noFill/>
                          </a:ln>
                        </wps:spPr>
                        <wps:txbx>
                          <w:txbxContent>
                            <w:p w14:paraId="0A50391F" w14:textId="77777777" w:rsidR="00B32EF2" w:rsidRDefault="00000000">
                              <w:r>
                                <w:rPr>
                                  <w:rFonts w:ascii="Arial" w:eastAsia="Arial" w:hAnsi="Arial" w:cs="Arial"/>
                                  <w:sz w:val="18"/>
                                </w:rPr>
                                <w:t xml:space="preserve">secondo le modalità e nei termini stabiliti con il bando di concorso. Il Consiglio </w:t>
                              </w:r>
                            </w:p>
                          </w:txbxContent>
                        </wps:txbx>
                        <wps:bodyPr horzOverflow="overflow" vert="horz" lIns="0" tIns="0" rIns="0" bIns="0" rtlCol="0">
                          <a:noAutofit/>
                        </wps:bodyPr>
                      </wps:wsp>
                      <wps:wsp>
                        <wps:cNvPr id="22923" name="Rectangle 22923"/>
                        <wps:cNvSpPr/>
                        <wps:spPr>
                          <a:xfrm rot="-10799999">
                            <a:off x="-1316958" y="4516679"/>
                            <a:ext cx="5309035" cy="142889"/>
                          </a:xfrm>
                          <a:prstGeom prst="rect">
                            <a:avLst/>
                          </a:prstGeom>
                          <a:ln>
                            <a:noFill/>
                          </a:ln>
                        </wps:spPr>
                        <wps:txbx>
                          <w:txbxContent>
                            <w:p w14:paraId="60C278DC" w14:textId="77777777" w:rsidR="00B32EF2" w:rsidRDefault="00000000">
                              <w:r>
                                <w:rPr>
                                  <w:rFonts w:ascii="Arial" w:eastAsia="Arial" w:hAnsi="Arial" w:cs="Arial"/>
                                  <w:sz w:val="18"/>
                                </w:rPr>
                                <w:t xml:space="preserve">di presidenza della giustizia tributaria non ammette a partecipare al concorso i </w:t>
                              </w:r>
                            </w:p>
                          </w:txbxContent>
                        </wps:txbx>
                        <wps:bodyPr horzOverflow="overflow" vert="horz" lIns="0" tIns="0" rIns="0" bIns="0" rtlCol="0">
                          <a:noAutofit/>
                        </wps:bodyPr>
                      </wps:wsp>
                      <wps:wsp>
                        <wps:cNvPr id="22924" name="Rectangle 22924"/>
                        <wps:cNvSpPr/>
                        <wps:spPr>
                          <a:xfrm rot="-10799999">
                            <a:off x="-1220350" y="4393349"/>
                            <a:ext cx="5212427" cy="142889"/>
                          </a:xfrm>
                          <a:prstGeom prst="rect">
                            <a:avLst/>
                          </a:prstGeom>
                          <a:ln>
                            <a:noFill/>
                          </a:ln>
                        </wps:spPr>
                        <wps:txbx>
                          <w:txbxContent>
                            <w:p w14:paraId="5F1C8178" w14:textId="77777777" w:rsidR="00B32EF2" w:rsidRDefault="00000000">
                              <w:r>
                                <w:rPr>
                                  <w:rFonts w:ascii="Arial" w:eastAsia="Arial" w:hAnsi="Arial" w:cs="Arial"/>
                                  <w:sz w:val="18"/>
                                </w:rPr>
                                <w:t>candidati le cui domande sono inviate in difformità da quanto stabilito nel ban</w:t>
                              </w:r>
                            </w:p>
                          </w:txbxContent>
                        </wps:txbx>
                        <wps:bodyPr horzOverflow="overflow" vert="horz" lIns="0" tIns="0" rIns="0" bIns="0" rtlCol="0">
                          <a:noAutofit/>
                        </wps:bodyPr>
                      </wps:wsp>
                      <wps:wsp>
                        <wps:cNvPr id="22925" name="Rectangle 22925"/>
                        <wps:cNvSpPr/>
                        <wps:spPr>
                          <a:xfrm rot="-10799999">
                            <a:off x="19478" y="4393349"/>
                            <a:ext cx="50622" cy="142889"/>
                          </a:xfrm>
                          <a:prstGeom prst="rect">
                            <a:avLst/>
                          </a:prstGeom>
                          <a:ln>
                            <a:noFill/>
                          </a:ln>
                        </wps:spPr>
                        <wps:txbx>
                          <w:txbxContent>
                            <w:p w14:paraId="04D72C9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926" name="Rectangle 22926"/>
                        <wps:cNvSpPr/>
                        <wps:spPr>
                          <a:xfrm rot="-10799999">
                            <a:off x="-1316958" y="4270019"/>
                            <a:ext cx="5309035" cy="142889"/>
                          </a:xfrm>
                          <a:prstGeom prst="rect">
                            <a:avLst/>
                          </a:prstGeom>
                          <a:ln>
                            <a:noFill/>
                          </a:ln>
                        </wps:spPr>
                        <wps:txbx>
                          <w:txbxContent>
                            <w:p w14:paraId="3D0F1D3A" w14:textId="77777777" w:rsidR="00B32EF2" w:rsidRDefault="00000000">
                              <w:r>
                                <w:rPr>
                                  <w:rFonts w:ascii="Arial" w:eastAsia="Arial" w:hAnsi="Arial" w:cs="Arial"/>
                                  <w:sz w:val="18"/>
                                </w:rPr>
                                <w:t xml:space="preserve">do di concorso. Il provvedimento di esclusione è comunicato agli interessati </w:t>
                              </w:r>
                            </w:p>
                          </w:txbxContent>
                        </wps:txbx>
                        <wps:bodyPr horzOverflow="overflow" vert="horz" lIns="0" tIns="0" rIns="0" bIns="0" rtlCol="0">
                          <a:noAutofit/>
                        </wps:bodyPr>
                      </wps:wsp>
                      <wps:wsp>
                        <wps:cNvPr id="22927" name="Rectangle 22927"/>
                        <wps:cNvSpPr/>
                        <wps:spPr>
                          <a:xfrm rot="-10799999">
                            <a:off x="-318954" y="4146690"/>
                            <a:ext cx="4311031" cy="142889"/>
                          </a:xfrm>
                          <a:prstGeom prst="rect">
                            <a:avLst/>
                          </a:prstGeom>
                          <a:ln>
                            <a:noFill/>
                          </a:ln>
                        </wps:spPr>
                        <wps:txbx>
                          <w:txbxContent>
                            <w:p w14:paraId="5E478006" w14:textId="77777777" w:rsidR="00B32EF2" w:rsidRDefault="00000000">
                              <w:r>
                                <w:rPr>
                                  <w:rFonts w:ascii="Arial" w:eastAsia="Arial" w:hAnsi="Arial" w:cs="Arial"/>
                                  <w:sz w:val="18"/>
                                </w:rPr>
                                <w:t>almeno trenta giorni prima dello svolgimento della prova scritta.</w:t>
                              </w:r>
                            </w:p>
                          </w:txbxContent>
                        </wps:txbx>
                        <wps:bodyPr horzOverflow="overflow" vert="horz" lIns="0" tIns="0" rIns="0" bIns="0" rtlCol="0">
                          <a:noAutofit/>
                        </wps:bodyPr>
                      </wps:wsp>
                      <wps:wsp>
                        <wps:cNvPr id="202329" name="Rectangle 202329"/>
                        <wps:cNvSpPr/>
                        <wps:spPr>
                          <a:xfrm rot="-10799999">
                            <a:off x="2635707" y="4023360"/>
                            <a:ext cx="5210452" cy="142889"/>
                          </a:xfrm>
                          <a:prstGeom prst="rect">
                            <a:avLst/>
                          </a:prstGeom>
                          <a:ln>
                            <a:noFill/>
                          </a:ln>
                        </wps:spPr>
                        <wps:txbx>
                          <w:txbxContent>
                            <w:p w14:paraId="4DFE1A23"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2330" name="Rectangle 202330"/>
                        <wps:cNvSpPr/>
                        <wps:spPr>
                          <a:xfrm rot="-10799999">
                            <a:off x="-1281525" y="4023360"/>
                            <a:ext cx="5210452" cy="142889"/>
                          </a:xfrm>
                          <a:prstGeom prst="rect">
                            <a:avLst/>
                          </a:prstGeom>
                          <a:ln>
                            <a:noFill/>
                          </a:ln>
                        </wps:spPr>
                        <wps:txbx>
                          <w:txbxContent>
                            <w:p w14:paraId="5C103A39" w14:textId="77777777" w:rsidR="00B32EF2" w:rsidRDefault="00000000">
                              <w:r>
                                <w:rPr>
                                  <w:rFonts w:ascii="Arial" w:eastAsia="Arial" w:hAnsi="Arial" w:cs="Arial"/>
                                  <w:sz w:val="18"/>
                                </w:rPr>
                                <w:t>. In considerazione del numero delle domande, la prova scritta può aver luo</w:t>
                              </w:r>
                            </w:p>
                          </w:txbxContent>
                        </wps:txbx>
                        <wps:bodyPr horzOverflow="overflow" vert="horz" lIns="0" tIns="0" rIns="0" bIns="0" rtlCol="0">
                          <a:noAutofit/>
                        </wps:bodyPr>
                      </wps:wsp>
                      <wps:wsp>
                        <wps:cNvPr id="22929" name="Rectangle 22929"/>
                        <wps:cNvSpPr/>
                        <wps:spPr>
                          <a:xfrm rot="-10799999">
                            <a:off x="19478" y="4023360"/>
                            <a:ext cx="50622" cy="142889"/>
                          </a:xfrm>
                          <a:prstGeom prst="rect">
                            <a:avLst/>
                          </a:prstGeom>
                          <a:ln>
                            <a:noFill/>
                          </a:ln>
                        </wps:spPr>
                        <wps:txbx>
                          <w:txbxContent>
                            <w:p w14:paraId="290C61F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930" name="Rectangle 22930"/>
                        <wps:cNvSpPr/>
                        <wps:spPr>
                          <a:xfrm rot="-10799999">
                            <a:off x="-1316965" y="3900030"/>
                            <a:ext cx="5309614" cy="142889"/>
                          </a:xfrm>
                          <a:prstGeom prst="rect">
                            <a:avLst/>
                          </a:prstGeom>
                          <a:ln>
                            <a:noFill/>
                          </a:ln>
                        </wps:spPr>
                        <wps:txbx>
                          <w:txbxContent>
                            <w:p w14:paraId="4DCB99B7" w14:textId="77777777" w:rsidR="00B32EF2" w:rsidRDefault="00000000">
                              <w:r>
                                <w:rPr>
                                  <w:rFonts w:ascii="Arial" w:eastAsia="Arial" w:hAnsi="Arial" w:cs="Arial"/>
                                  <w:sz w:val="18"/>
                                </w:rPr>
                                <w:t xml:space="preserve">go contemporaneamente in Roma e in altre sedi, assicurando il collegamento </w:t>
                              </w:r>
                            </w:p>
                          </w:txbxContent>
                        </wps:txbx>
                        <wps:bodyPr horzOverflow="overflow" vert="horz" lIns="0" tIns="0" rIns="0" bIns="0" rtlCol="0">
                          <a:noAutofit/>
                        </wps:bodyPr>
                      </wps:wsp>
                      <wps:wsp>
                        <wps:cNvPr id="22931" name="Rectangle 22931"/>
                        <wps:cNvSpPr/>
                        <wps:spPr>
                          <a:xfrm rot="-10799999">
                            <a:off x="-297002" y="3776701"/>
                            <a:ext cx="4289080" cy="142889"/>
                          </a:xfrm>
                          <a:prstGeom prst="rect">
                            <a:avLst/>
                          </a:prstGeom>
                          <a:ln>
                            <a:noFill/>
                          </a:ln>
                        </wps:spPr>
                        <wps:txbx>
                          <w:txbxContent>
                            <w:p w14:paraId="023BC471" w14:textId="77777777" w:rsidR="00B32EF2" w:rsidRDefault="00000000">
                              <w:r>
                                <w:rPr>
                                  <w:rFonts w:ascii="Arial" w:eastAsia="Arial" w:hAnsi="Arial" w:cs="Arial"/>
                                  <w:sz w:val="18"/>
                                </w:rPr>
                                <w:t>a distanza della commissione esaminatrice con le diverse sedi.</w:t>
                              </w:r>
                            </w:p>
                          </w:txbxContent>
                        </wps:txbx>
                        <wps:bodyPr horzOverflow="overflow" vert="horz" lIns="0" tIns="0" rIns="0" bIns="0" rtlCol="0">
                          <a:noAutofit/>
                        </wps:bodyPr>
                      </wps:wsp>
                      <wps:wsp>
                        <wps:cNvPr id="202328" name="Rectangle 202328"/>
                        <wps:cNvSpPr/>
                        <wps:spPr>
                          <a:xfrm rot="-10799999">
                            <a:off x="-1286012" y="3653371"/>
                            <a:ext cx="5212549" cy="142889"/>
                          </a:xfrm>
                          <a:prstGeom prst="rect">
                            <a:avLst/>
                          </a:prstGeom>
                          <a:ln>
                            <a:noFill/>
                          </a:ln>
                        </wps:spPr>
                        <wps:txbx>
                          <w:txbxContent>
                            <w:p w14:paraId="79E7AFD0" w14:textId="77777777" w:rsidR="00B32EF2" w:rsidRDefault="00000000">
                              <w:r>
                                <w:rPr>
                                  <w:rFonts w:ascii="Arial" w:eastAsia="Arial" w:hAnsi="Arial" w:cs="Arial"/>
                                  <w:sz w:val="18"/>
                                </w:rPr>
                                <w:t>. Ove la prova scritta abbia luogo contemporaneamente in più sedi, la commis</w:t>
                              </w:r>
                            </w:p>
                          </w:txbxContent>
                        </wps:txbx>
                        <wps:bodyPr horzOverflow="overflow" vert="horz" lIns="0" tIns="0" rIns="0" bIns="0" rtlCol="0">
                          <a:noAutofit/>
                        </wps:bodyPr>
                      </wps:wsp>
                      <wps:wsp>
                        <wps:cNvPr id="202327" name="Rectangle 202327"/>
                        <wps:cNvSpPr/>
                        <wps:spPr>
                          <a:xfrm rot="-10799999">
                            <a:off x="2635187" y="3653371"/>
                            <a:ext cx="5212550" cy="142889"/>
                          </a:xfrm>
                          <a:prstGeom prst="rect">
                            <a:avLst/>
                          </a:prstGeom>
                          <a:ln>
                            <a:noFill/>
                          </a:ln>
                        </wps:spPr>
                        <wps:txbx>
                          <w:txbxContent>
                            <w:p w14:paraId="5E1A86B5"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2933" name="Rectangle 22933"/>
                        <wps:cNvSpPr/>
                        <wps:spPr>
                          <a:xfrm rot="-10799999">
                            <a:off x="19478" y="3653371"/>
                            <a:ext cx="50622" cy="142889"/>
                          </a:xfrm>
                          <a:prstGeom prst="rect">
                            <a:avLst/>
                          </a:prstGeom>
                          <a:ln>
                            <a:noFill/>
                          </a:ln>
                        </wps:spPr>
                        <wps:txbx>
                          <w:txbxContent>
                            <w:p w14:paraId="5C993EC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934" name="Rectangle 22934"/>
                        <wps:cNvSpPr/>
                        <wps:spPr>
                          <a:xfrm rot="-10799999">
                            <a:off x="-1317130" y="3530041"/>
                            <a:ext cx="5310465" cy="142889"/>
                          </a:xfrm>
                          <a:prstGeom prst="rect">
                            <a:avLst/>
                          </a:prstGeom>
                          <a:ln>
                            <a:noFill/>
                          </a:ln>
                        </wps:spPr>
                        <wps:txbx>
                          <w:txbxContent>
                            <w:p w14:paraId="635B2BC3" w14:textId="77777777" w:rsidR="00B32EF2" w:rsidRDefault="00000000">
                              <w:r>
                                <w:rPr>
                                  <w:rFonts w:ascii="Arial" w:eastAsia="Arial" w:hAnsi="Arial" w:cs="Arial"/>
                                  <w:sz w:val="18"/>
                                </w:rPr>
                                <w:t xml:space="preserve">sione esaminatrice espleta le operazioni inerenti alla formulazione e alla scelta </w:t>
                              </w:r>
                            </w:p>
                          </w:txbxContent>
                        </wps:txbx>
                        <wps:bodyPr horzOverflow="overflow" vert="horz" lIns="0" tIns="0" rIns="0" bIns="0" rtlCol="0">
                          <a:noAutofit/>
                        </wps:bodyPr>
                      </wps:wsp>
                      <wps:wsp>
                        <wps:cNvPr id="22935" name="Rectangle 22935"/>
                        <wps:cNvSpPr/>
                        <wps:spPr>
                          <a:xfrm rot="-10799999">
                            <a:off x="-1316156" y="3406712"/>
                            <a:ext cx="5307090" cy="142889"/>
                          </a:xfrm>
                          <a:prstGeom prst="rect">
                            <a:avLst/>
                          </a:prstGeom>
                          <a:ln>
                            <a:noFill/>
                          </a:ln>
                        </wps:spPr>
                        <wps:txbx>
                          <w:txbxContent>
                            <w:p w14:paraId="20189EBF" w14:textId="77777777" w:rsidR="00B32EF2" w:rsidRDefault="00000000">
                              <w:r>
                                <w:rPr>
                                  <w:rFonts w:ascii="Arial" w:eastAsia="Arial" w:hAnsi="Arial" w:cs="Arial"/>
                                  <w:sz w:val="18"/>
                                </w:rPr>
                                <w:t xml:space="preserve">dei temi e presiede allo svolgimento delle prove presso la sede di svolgimento </w:t>
                              </w:r>
                            </w:p>
                          </w:txbxContent>
                        </wps:txbx>
                        <wps:bodyPr horzOverflow="overflow" vert="horz" lIns="0" tIns="0" rIns="0" bIns="0" rtlCol="0">
                          <a:noAutofit/>
                        </wps:bodyPr>
                      </wps:wsp>
                      <wps:wsp>
                        <wps:cNvPr id="22936" name="Rectangle 22936"/>
                        <wps:cNvSpPr/>
                        <wps:spPr>
                          <a:xfrm rot="-10799999">
                            <a:off x="-1316171" y="3283382"/>
                            <a:ext cx="5307105" cy="142889"/>
                          </a:xfrm>
                          <a:prstGeom prst="rect">
                            <a:avLst/>
                          </a:prstGeom>
                          <a:ln>
                            <a:noFill/>
                          </a:ln>
                        </wps:spPr>
                        <wps:txbx>
                          <w:txbxContent>
                            <w:p w14:paraId="5DDB0202" w14:textId="77777777" w:rsidR="00B32EF2" w:rsidRDefault="00000000">
                              <w:r>
                                <w:rPr>
                                  <w:rFonts w:ascii="Arial" w:eastAsia="Arial" w:hAnsi="Arial" w:cs="Arial"/>
                                  <w:sz w:val="18"/>
                                </w:rPr>
                                <w:t xml:space="preserve">della prova in Roma. Presso le altre sedi le funzioni della commissione per il </w:t>
                              </w:r>
                            </w:p>
                          </w:txbxContent>
                        </wps:txbx>
                        <wps:bodyPr horzOverflow="overflow" vert="horz" lIns="0" tIns="0" rIns="0" bIns="0" rtlCol="0">
                          <a:noAutofit/>
                        </wps:bodyPr>
                      </wps:wsp>
                      <wps:wsp>
                        <wps:cNvPr id="22937" name="Rectangle 22937"/>
                        <wps:cNvSpPr/>
                        <wps:spPr>
                          <a:xfrm rot="-10799999">
                            <a:off x="-1221037" y="3160052"/>
                            <a:ext cx="5211972" cy="142889"/>
                          </a:xfrm>
                          <a:prstGeom prst="rect">
                            <a:avLst/>
                          </a:prstGeom>
                          <a:ln>
                            <a:noFill/>
                          </a:ln>
                        </wps:spPr>
                        <wps:txbx>
                          <w:txbxContent>
                            <w:p w14:paraId="4240E93E" w14:textId="77777777" w:rsidR="00B32EF2" w:rsidRDefault="00000000">
                              <w:r>
                                <w:rPr>
                                  <w:rFonts w:ascii="Arial" w:eastAsia="Arial" w:hAnsi="Arial" w:cs="Arial"/>
                                  <w:sz w:val="18"/>
                                </w:rPr>
                                <w:t>regolare espletamento delle prove scritte sono attribuite ad un comitato di vi</w:t>
                              </w:r>
                            </w:p>
                          </w:txbxContent>
                        </wps:txbx>
                        <wps:bodyPr horzOverflow="overflow" vert="horz" lIns="0" tIns="0" rIns="0" bIns="0" rtlCol="0">
                          <a:noAutofit/>
                        </wps:bodyPr>
                      </wps:wsp>
                      <wps:wsp>
                        <wps:cNvPr id="22938" name="Rectangle 22938"/>
                        <wps:cNvSpPr/>
                        <wps:spPr>
                          <a:xfrm rot="-10799999">
                            <a:off x="19478" y="3160052"/>
                            <a:ext cx="50622" cy="142889"/>
                          </a:xfrm>
                          <a:prstGeom prst="rect">
                            <a:avLst/>
                          </a:prstGeom>
                          <a:ln>
                            <a:noFill/>
                          </a:ln>
                        </wps:spPr>
                        <wps:txbx>
                          <w:txbxContent>
                            <w:p w14:paraId="05D56B4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939" name="Rectangle 22939"/>
                        <wps:cNvSpPr/>
                        <wps:spPr>
                          <a:xfrm rot="-10799999">
                            <a:off x="-1219760" y="3036723"/>
                            <a:ext cx="5210695" cy="142889"/>
                          </a:xfrm>
                          <a:prstGeom prst="rect">
                            <a:avLst/>
                          </a:prstGeom>
                          <a:ln>
                            <a:noFill/>
                          </a:ln>
                        </wps:spPr>
                        <wps:txbx>
                          <w:txbxContent>
                            <w:p w14:paraId="08029D00" w14:textId="77777777" w:rsidR="00B32EF2" w:rsidRDefault="00000000">
                              <w:r>
                                <w:rPr>
                                  <w:rFonts w:ascii="Arial" w:eastAsia="Arial" w:hAnsi="Arial" w:cs="Arial"/>
                                  <w:sz w:val="18"/>
                                </w:rPr>
                                <w:t>gilanza nominato con decreto del Ministro dell’economia e delle finanze, pre</w:t>
                              </w:r>
                            </w:p>
                          </w:txbxContent>
                        </wps:txbx>
                        <wps:bodyPr horzOverflow="overflow" vert="horz" lIns="0" tIns="0" rIns="0" bIns="0" rtlCol="0">
                          <a:noAutofit/>
                        </wps:bodyPr>
                      </wps:wsp>
                      <wps:wsp>
                        <wps:cNvPr id="22940" name="Rectangle 22940"/>
                        <wps:cNvSpPr/>
                        <wps:spPr>
                          <a:xfrm rot="-10799999">
                            <a:off x="19478" y="3036722"/>
                            <a:ext cx="50622" cy="142889"/>
                          </a:xfrm>
                          <a:prstGeom prst="rect">
                            <a:avLst/>
                          </a:prstGeom>
                          <a:ln>
                            <a:noFill/>
                          </a:ln>
                        </wps:spPr>
                        <wps:txbx>
                          <w:txbxContent>
                            <w:p w14:paraId="2E4F8E7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941" name="Rectangle 22941"/>
                        <wps:cNvSpPr/>
                        <wps:spPr>
                          <a:xfrm rot="-10799999">
                            <a:off x="-1316701" y="2913393"/>
                            <a:ext cx="5308322" cy="142889"/>
                          </a:xfrm>
                          <a:prstGeom prst="rect">
                            <a:avLst/>
                          </a:prstGeom>
                          <a:ln>
                            <a:noFill/>
                          </a:ln>
                        </wps:spPr>
                        <wps:txbx>
                          <w:txbxContent>
                            <w:p w14:paraId="7EC03EE2" w14:textId="77777777" w:rsidR="00B32EF2" w:rsidRDefault="00000000">
                              <w:r>
                                <w:rPr>
                                  <w:rFonts w:ascii="Arial" w:eastAsia="Arial" w:hAnsi="Arial" w:cs="Arial"/>
                                  <w:sz w:val="18"/>
                                </w:rPr>
                                <w:t xml:space="preserve">via delibera del Consiglio di presidenza della giustizia tributaria, e composto </w:t>
                              </w:r>
                            </w:p>
                          </w:txbxContent>
                        </wps:txbx>
                        <wps:bodyPr horzOverflow="overflow" vert="horz" lIns="0" tIns="0" rIns="0" bIns="0" rtlCol="0">
                          <a:noAutofit/>
                        </wps:bodyPr>
                      </wps:wsp>
                      <wps:wsp>
                        <wps:cNvPr id="22942" name="Rectangle 22942"/>
                        <wps:cNvSpPr/>
                        <wps:spPr>
                          <a:xfrm rot="-10799999">
                            <a:off x="-1316201" y="2790063"/>
                            <a:ext cx="5307136" cy="142889"/>
                          </a:xfrm>
                          <a:prstGeom prst="rect">
                            <a:avLst/>
                          </a:prstGeom>
                          <a:ln>
                            <a:noFill/>
                          </a:ln>
                        </wps:spPr>
                        <wps:txbx>
                          <w:txbxContent>
                            <w:p w14:paraId="245C9B00" w14:textId="77777777" w:rsidR="00B32EF2" w:rsidRDefault="00000000">
                              <w:r>
                                <w:rPr>
                                  <w:rFonts w:ascii="Arial" w:eastAsia="Arial" w:hAnsi="Arial" w:cs="Arial"/>
                                  <w:sz w:val="18"/>
                                </w:rPr>
                                <w:t xml:space="preserve">da cinque magistrati scelti tra i magistrati tributari di cui all’articolo 2, comma 4, </w:t>
                              </w:r>
                            </w:p>
                          </w:txbxContent>
                        </wps:txbx>
                        <wps:bodyPr horzOverflow="overflow" vert="horz" lIns="0" tIns="0" rIns="0" bIns="0" rtlCol="0">
                          <a:noAutofit/>
                        </wps:bodyPr>
                      </wps:wsp>
                      <wps:wsp>
                        <wps:cNvPr id="22943" name="Rectangle 22943"/>
                        <wps:cNvSpPr/>
                        <wps:spPr>
                          <a:xfrm rot="-10799999">
                            <a:off x="-1316277" y="2666733"/>
                            <a:ext cx="5307212" cy="142889"/>
                          </a:xfrm>
                          <a:prstGeom prst="rect">
                            <a:avLst/>
                          </a:prstGeom>
                          <a:ln>
                            <a:noFill/>
                          </a:ln>
                        </wps:spPr>
                        <wps:txbx>
                          <w:txbxContent>
                            <w:p w14:paraId="62E5A34F" w14:textId="77777777" w:rsidR="00B32EF2" w:rsidRDefault="00000000">
                              <w:r>
                                <w:rPr>
                                  <w:rFonts w:ascii="Arial" w:eastAsia="Arial" w:hAnsi="Arial" w:cs="Arial"/>
                                  <w:sz w:val="18"/>
                                </w:rPr>
                                <w:t xml:space="preserve">ovvero tra quelli ordinari, amministrativi, contabili o militari, in servizio o a riposo </w:t>
                              </w:r>
                            </w:p>
                          </w:txbxContent>
                        </wps:txbx>
                        <wps:bodyPr horzOverflow="overflow" vert="horz" lIns="0" tIns="0" rIns="0" bIns="0" rtlCol="0">
                          <a:noAutofit/>
                        </wps:bodyPr>
                      </wps:wsp>
                      <wps:wsp>
                        <wps:cNvPr id="22944" name="Rectangle 22944"/>
                        <wps:cNvSpPr/>
                        <wps:spPr>
                          <a:xfrm rot="-10799999">
                            <a:off x="-1221285" y="2543403"/>
                            <a:ext cx="5210162" cy="142889"/>
                          </a:xfrm>
                          <a:prstGeom prst="rect">
                            <a:avLst/>
                          </a:prstGeom>
                          <a:ln>
                            <a:noFill/>
                          </a:ln>
                        </wps:spPr>
                        <wps:txbx>
                          <w:txbxContent>
                            <w:p w14:paraId="6A9E0223" w14:textId="77777777" w:rsidR="00B32EF2" w:rsidRDefault="00000000">
                              <w:r>
                                <w:rPr>
                                  <w:rFonts w:ascii="Arial" w:eastAsia="Arial" w:hAnsi="Arial" w:cs="Arial"/>
                                  <w:sz w:val="18"/>
                                </w:rPr>
                                <w:t>presenti nella giurisdizione tributaria di cui all’articolo 2, dei quali uno con anzia</w:t>
                              </w:r>
                            </w:p>
                          </w:txbxContent>
                        </wps:txbx>
                        <wps:bodyPr horzOverflow="overflow" vert="horz" lIns="0" tIns="0" rIns="0" bIns="0" rtlCol="0">
                          <a:noAutofit/>
                        </wps:bodyPr>
                      </wps:wsp>
                      <wps:wsp>
                        <wps:cNvPr id="22945" name="Rectangle 22945"/>
                        <wps:cNvSpPr/>
                        <wps:spPr>
                          <a:xfrm rot="-10799999">
                            <a:off x="19478" y="2543403"/>
                            <a:ext cx="50622" cy="142889"/>
                          </a:xfrm>
                          <a:prstGeom prst="rect">
                            <a:avLst/>
                          </a:prstGeom>
                          <a:ln>
                            <a:noFill/>
                          </a:ln>
                        </wps:spPr>
                        <wps:txbx>
                          <w:txbxContent>
                            <w:p w14:paraId="005A8EE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946" name="Rectangle 22946"/>
                        <wps:cNvSpPr/>
                        <wps:spPr>
                          <a:xfrm rot="-10799999">
                            <a:off x="-1316201" y="2420073"/>
                            <a:ext cx="5307136" cy="142889"/>
                          </a:xfrm>
                          <a:prstGeom prst="rect">
                            <a:avLst/>
                          </a:prstGeom>
                          <a:ln>
                            <a:noFill/>
                          </a:ln>
                        </wps:spPr>
                        <wps:txbx>
                          <w:txbxContent>
                            <w:p w14:paraId="7B492A7E" w14:textId="77777777" w:rsidR="00B32EF2" w:rsidRDefault="00000000">
                              <w:r>
                                <w:rPr>
                                  <w:rFonts w:ascii="Arial" w:eastAsia="Arial" w:hAnsi="Arial" w:cs="Arial"/>
                                  <w:sz w:val="18"/>
                                </w:rPr>
                                <w:t xml:space="preserve">nità di servizio non inferiore a otto anni, con funzioni di presidente, coadiuvato </w:t>
                              </w:r>
                            </w:p>
                          </w:txbxContent>
                        </wps:txbx>
                        <wps:bodyPr horzOverflow="overflow" vert="horz" lIns="0" tIns="0" rIns="0" bIns="0" rtlCol="0">
                          <a:noAutofit/>
                        </wps:bodyPr>
                      </wps:wsp>
                      <wps:wsp>
                        <wps:cNvPr id="22947" name="Rectangle 22947"/>
                        <wps:cNvSpPr/>
                        <wps:spPr>
                          <a:xfrm rot="-10799999">
                            <a:off x="-1316232" y="2296744"/>
                            <a:ext cx="5307166" cy="142889"/>
                          </a:xfrm>
                          <a:prstGeom prst="rect">
                            <a:avLst/>
                          </a:prstGeom>
                          <a:ln>
                            <a:noFill/>
                          </a:ln>
                        </wps:spPr>
                        <wps:txbx>
                          <w:txbxContent>
                            <w:p w14:paraId="56A6EABE" w14:textId="77777777" w:rsidR="00B32EF2" w:rsidRDefault="00000000">
                              <w:r>
                                <w:rPr>
                                  <w:rFonts w:ascii="Arial" w:eastAsia="Arial" w:hAnsi="Arial" w:cs="Arial"/>
                                  <w:sz w:val="18"/>
                                </w:rPr>
                                <w:t xml:space="preserve">da personale amministrativo dell’area funzionari in servizio presso il Ministero </w:t>
                              </w:r>
                            </w:p>
                          </w:txbxContent>
                        </wps:txbx>
                        <wps:bodyPr horzOverflow="overflow" vert="horz" lIns="0" tIns="0" rIns="0" bIns="0" rtlCol="0">
                          <a:noAutofit/>
                        </wps:bodyPr>
                      </wps:wsp>
                      <wps:wsp>
                        <wps:cNvPr id="22948" name="Rectangle 22948"/>
                        <wps:cNvSpPr/>
                        <wps:spPr>
                          <a:xfrm rot="-10799999">
                            <a:off x="-1317384" y="2173414"/>
                            <a:ext cx="5309461" cy="142889"/>
                          </a:xfrm>
                          <a:prstGeom prst="rect">
                            <a:avLst/>
                          </a:prstGeom>
                          <a:ln>
                            <a:noFill/>
                          </a:ln>
                        </wps:spPr>
                        <wps:txbx>
                          <w:txbxContent>
                            <w:p w14:paraId="7717FDD7" w14:textId="77777777" w:rsidR="00B32EF2" w:rsidRDefault="00000000">
                              <w:r>
                                <w:rPr>
                                  <w:rFonts w:ascii="Arial" w:eastAsia="Arial" w:hAnsi="Arial" w:cs="Arial"/>
                                  <w:sz w:val="18"/>
                                </w:rPr>
                                <w:t xml:space="preserve">dell’economia e delle finanze, come definita dal contratto collettivo nazionale di </w:t>
                              </w:r>
                            </w:p>
                          </w:txbxContent>
                        </wps:txbx>
                        <wps:bodyPr horzOverflow="overflow" vert="horz" lIns="0" tIns="0" rIns="0" bIns="0" rtlCol="0">
                          <a:noAutofit/>
                        </wps:bodyPr>
                      </wps:wsp>
                      <wps:wsp>
                        <wps:cNvPr id="22949" name="Rectangle 22949"/>
                        <wps:cNvSpPr/>
                        <wps:spPr>
                          <a:xfrm rot="-10799999">
                            <a:off x="-1221371" y="2050084"/>
                            <a:ext cx="5212306" cy="142889"/>
                          </a:xfrm>
                          <a:prstGeom prst="rect">
                            <a:avLst/>
                          </a:prstGeom>
                          <a:ln>
                            <a:noFill/>
                          </a:ln>
                        </wps:spPr>
                        <wps:txbx>
                          <w:txbxContent>
                            <w:p w14:paraId="29441E97" w14:textId="77777777" w:rsidR="00B32EF2" w:rsidRDefault="00000000">
                              <w:r>
                                <w:rPr>
                                  <w:rFonts w:ascii="Arial" w:eastAsia="Arial" w:hAnsi="Arial" w:cs="Arial"/>
                                  <w:sz w:val="18"/>
                                </w:rPr>
                                <w:t>lavoro del comparto Funzioni centrali, con funzioni di segreteria. Il comitato svol</w:t>
                              </w:r>
                            </w:p>
                          </w:txbxContent>
                        </wps:txbx>
                        <wps:bodyPr horzOverflow="overflow" vert="horz" lIns="0" tIns="0" rIns="0" bIns="0" rtlCol="0">
                          <a:noAutofit/>
                        </wps:bodyPr>
                      </wps:wsp>
                      <wps:wsp>
                        <wps:cNvPr id="22950" name="Rectangle 22950"/>
                        <wps:cNvSpPr/>
                        <wps:spPr>
                          <a:xfrm rot="-10799999">
                            <a:off x="19478" y="2050085"/>
                            <a:ext cx="50622" cy="142889"/>
                          </a:xfrm>
                          <a:prstGeom prst="rect">
                            <a:avLst/>
                          </a:prstGeom>
                          <a:ln>
                            <a:noFill/>
                          </a:ln>
                        </wps:spPr>
                        <wps:txbx>
                          <w:txbxContent>
                            <w:p w14:paraId="4D6C627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951" name="Rectangle 22951"/>
                        <wps:cNvSpPr/>
                        <wps:spPr>
                          <a:xfrm rot="-10799999">
                            <a:off x="-1316140" y="1926755"/>
                            <a:ext cx="5307074" cy="142889"/>
                          </a:xfrm>
                          <a:prstGeom prst="rect">
                            <a:avLst/>
                          </a:prstGeom>
                          <a:ln>
                            <a:noFill/>
                          </a:ln>
                        </wps:spPr>
                        <wps:txbx>
                          <w:txbxContent>
                            <w:p w14:paraId="7D942896" w14:textId="77777777" w:rsidR="00B32EF2" w:rsidRDefault="00000000">
                              <w:r>
                                <w:rPr>
                                  <w:rFonts w:ascii="Arial" w:eastAsia="Arial" w:hAnsi="Arial" w:cs="Arial"/>
                                  <w:sz w:val="18"/>
                                </w:rPr>
                                <w:t xml:space="preserve">ge la sua attività in ogni seduta con la presenza di non meno di tre componenti. </w:t>
                              </w:r>
                            </w:p>
                          </w:txbxContent>
                        </wps:txbx>
                        <wps:bodyPr horzOverflow="overflow" vert="horz" lIns="0" tIns="0" rIns="0" bIns="0" rtlCol="0">
                          <a:noAutofit/>
                        </wps:bodyPr>
                      </wps:wsp>
                      <wps:wsp>
                        <wps:cNvPr id="22952" name="Rectangle 22952"/>
                        <wps:cNvSpPr/>
                        <wps:spPr>
                          <a:xfrm rot="-10799999">
                            <a:off x="-1316185" y="1803425"/>
                            <a:ext cx="5307120" cy="142889"/>
                          </a:xfrm>
                          <a:prstGeom prst="rect">
                            <a:avLst/>
                          </a:prstGeom>
                          <a:ln>
                            <a:noFill/>
                          </a:ln>
                        </wps:spPr>
                        <wps:txbx>
                          <w:txbxContent>
                            <w:p w14:paraId="0B89D4DE" w14:textId="77777777" w:rsidR="00B32EF2" w:rsidRDefault="00000000">
                              <w:r>
                                <w:rPr>
                                  <w:rFonts w:ascii="Arial" w:eastAsia="Arial" w:hAnsi="Arial" w:cs="Arial"/>
                                  <w:sz w:val="18"/>
                                </w:rPr>
                                <w:t xml:space="preserve">In caso di assenza o impedimento, il presidente è sostituito dal magistrato più </w:t>
                              </w:r>
                            </w:p>
                          </w:txbxContent>
                        </wps:txbx>
                        <wps:bodyPr horzOverflow="overflow" vert="horz" lIns="0" tIns="0" rIns="0" bIns="0" rtlCol="0">
                          <a:noAutofit/>
                        </wps:bodyPr>
                      </wps:wsp>
                      <wps:wsp>
                        <wps:cNvPr id="22953" name="Rectangle 22953"/>
                        <wps:cNvSpPr/>
                        <wps:spPr>
                          <a:xfrm rot="-10799999">
                            <a:off x="-1316262" y="1680095"/>
                            <a:ext cx="5307196" cy="142889"/>
                          </a:xfrm>
                          <a:prstGeom prst="rect">
                            <a:avLst/>
                          </a:prstGeom>
                          <a:ln>
                            <a:noFill/>
                          </a:ln>
                        </wps:spPr>
                        <wps:txbx>
                          <w:txbxContent>
                            <w:p w14:paraId="492DD65C" w14:textId="77777777" w:rsidR="00B32EF2" w:rsidRDefault="00000000">
                              <w:r>
                                <w:rPr>
                                  <w:rFonts w:ascii="Arial" w:eastAsia="Arial" w:hAnsi="Arial" w:cs="Arial"/>
                                  <w:sz w:val="18"/>
                                </w:rPr>
                                <w:t xml:space="preserve">anziano. Si applica ai predetti magistrati la disciplina dell’esonero dalle funzioni </w:t>
                              </w:r>
                            </w:p>
                          </w:txbxContent>
                        </wps:txbx>
                        <wps:bodyPr horzOverflow="overflow" vert="horz" lIns="0" tIns="0" rIns="0" bIns="0" rtlCol="0">
                          <a:noAutofit/>
                        </wps:bodyPr>
                      </wps:wsp>
                      <wps:wsp>
                        <wps:cNvPr id="22954" name="Rectangle 22954"/>
                        <wps:cNvSpPr/>
                        <wps:spPr>
                          <a:xfrm rot="-10799999">
                            <a:off x="-244756" y="1556766"/>
                            <a:ext cx="4235691" cy="142889"/>
                          </a:xfrm>
                          <a:prstGeom prst="rect">
                            <a:avLst/>
                          </a:prstGeom>
                          <a:ln>
                            <a:noFill/>
                          </a:ln>
                        </wps:spPr>
                        <wps:txbx>
                          <w:txbxContent>
                            <w:p w14:paraId="5D0283BF" w14:textId="77777777" w:rsidR="00B32EF2" w:rsidRDefault="00000000">
                              <w:r>
                                <w:rPr>
                                  <w:rFonts w:ascii="Arial" w:eastAsia="Arial" w:hAnsi="Arial" w:cs="Arial"/>
                                  <w:sz w:val="18"/>
                                </w:rPr>
                                <w:t>giudiziarie o giurisdizionali limitatamente alla durata delle prove.</w:t>
                              </w:r>
                            </w:p>
                          </w:txbxContent>
                        </wps:txbx>
                        <wps:bodyPr horzOverflow="overflow" vert="horz" lIns="0" tIns="0" rIns="0" bIns="0" rtlCol="0">
                          <a:noAutofit/>
                        </wps:bodyPr>
                      </wps:wsp>
                      <wps:wsp>
                        <wps:cNvPr id="202326" name="Rectangle 202326"/>
                        <wps:cNvSpPr/>
                        <wps:spPr>
                          <a:xfrm rot="-10799999">
                            <a:off x="-1284820" y="1433436"/>
                            <a:ext cx="5212580" cy="142889"/>
                          </a:xfrm>
                          <a:prstGeom prst="rect">
                            <a:avLst/>
                          </a:prstGeom>
                          <a:ln>
                            <a:noFill/>
                          </a:ln>
                        </wps:spPr>
                        <wps:txbx>
                          <w:txbxContent>
                            <w:p w14:paraId="3F4258F3" w14:textId="77777777" w:rsidR="00B32EF2" w:rsidRDefault="00000000">
                              <w:r>
                                <w:rPr>
                                  <w:rFonts w:ascii="Arial" w:eastAsia="Arial" w:hAnsi="Arial" w:cs="Arial"/>
                                  <w:sz w:val="18"/>
                                </w:rPr>
                                <w:t>. Le spese per il concorso sono poste a carico del candidato nella misu</w:t>
                              </w:r>
                            </w:p>
                          </w:txbxContent>
                        </wps:txbx>
                        <wps:bodyPr horzOverflow="overflow" vert="horz" lIns="0" tIns="0" rIns="0" bIns="0" rtlCol="0">
                          <a:noAutofit/>
                        </wps:bodyPr>
                      </wps:wsp>
                      <wps:wsp>
                        <wps:cNvPr id="202324" name="Rectangle 202324"/>
                        <wps:cNvSpPr/>
                        <wps:spPr>
                          <a:xfrm rot="-10799999">
                            <a:off x="2635179" y="1433436"/>
                            <a:ext cx="5212580" cy="142889"/>
                          </a:xfrm>
                          <a:prstGeom prst="rect">
                            <a:avLst/>
                          </a:prstGeom>
                          <a:ln>
                            <a:noFill/>
                          </a:ln>
                        </wps:spPr>
                        <wps:txbx>
                          <w:txbxContent>
                            <w:p w14:paraId="1AF2D301"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2956" name="Rectangle 22956"/>
                        <wps:cNvSpPr/>
                        <wps:spPr>
                          <a:xfrm rot="-10799999">
                            <a:off x="19478" y="1433436"/>
                            <a:ext cx="50622" cy="142889"/>
                          </a:xfrm>
                          <a:prstGeom prst="rect">
                            <a:avLst/>
                          </a:prstGeom>
                          <a:ln>
                            <a:noFill/>
                          </a:ln>
                        </wps:spPr>
                        <wps:txbx>
                          <w:txbxContent>
                            <w:p w14:paraId="32B6073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957" name="Rectangle 22957"/>
                        <wps:cNvSpPr/>
                        <wps:spPr>
                          <a:xfrm rot="-10799999">
                            <a:off x="-1316929" y="1310106"/>
                            <a:ext cx="5309005" cy="142889"/>
                          </a:xfrm>
                          <a:prstGeom prst="rect">
                            <a:avLst/>
                          </a:prstGeom>
                          <a:ln>
                            <a:noFill/>
                          </a:ln>
                        </wps:spPr>
                        <wps:txbx>
                          <w:txbxContent>
                            <w:p w14:paraId="5CF1BB98" w14:textId="77777777" w:rsidR="00B32EF2" w:rsidRDefault="00000000">
                              <w:r>
                                <w:rPr>
                                  <w:rFonts w:ascii="Arial" w:eastAsia="Arial" w:hAnsi="Arial" w:cs="Arial"/>
                                  <w:sz w:val="18"/>
                                </w:rPr>
                                <w:t xml:space="preserve">ra forfettaria di euro 50, da corrispondere al momento della presentazione </w:t>
                              </w:r>
                            </w:p>
                          </w:txbxContent>
                        </wps:txbx>
                        <wps:bodyPr horzOverflow="overflow" vert="horz" lIns="0" tIns="0" rIns="0" bIns="0" rtlCol="0">
                          <a:noAutofit/>
                        </wps:bodyPr>
                      </wps:wsp>
                      <wps:wsp>
                        <wps:cNvPr id="22958" name="Rectangle 22958"/>
                        <wps:cNvSpPr/>
                        <wps:spPr>
                          <a:xfrm rot="-10799999">
                            <a:off x="-1218365" y="1186776"/>
                            <a:ext cx="5211014" cy="142890"/>
                          </a:xfrm>
                          <a:prstGeom prst="rect">
                            <a:avLst/>
                          </a:prstGeom>
                          <a:ln>
                            <a:noFill/>
                          </a:ln>
                        </wps:spPr>
                        <wps:txbx>
                          <w:txbxContent>
                            <w:p w14:paraId="3A19FA95" w14:textId="77777777" w:rsidR="00B32EF2" w:rsidRDefault="00000000">
                              <w:r>
                                <w:rPr>
                                  <w:rFonts w:ascii="Arial" w:eastAsia="Arial" w:hAnsi="Arial" w:cs="Arial"/>
                                  <w:sz w:val="18"/>
                                </w:rPr>
                                <w:t>della domanda, e sono reiscritte nell’apposito capitolo di spesa della missio</w:t>
                              </w:r>
                            </w:p>
                          </w:txbxContent>
                        </wps:txbx>
                        <wps:bodyPr horzOverflow="overflow" vert="horz" lIns="0" tIns="0" rIns="0" bIns="0" rtlCol="0">
                          <a:noAutofit/>
                        </wps:bodyPr>
                      </wps:wsp>
                      <wps:wsp>
                        <wps:cNvPr id="22959" name="Rectangle 22959"/>
                        <wps:cNvSpPr/>
                        <wps:spPr>
                          <a:xfrm rot="-10799999">
                            <a:off x="19478" y="1186777"/>
                            <a:ext cx="50622" cy="142889"/>
                          </a:xfrm>
                          <a:prstGeom prst="rect">
                            <a:avLst/>
                          </a:prstGeom>
                          <a:ln>
                            <a:noFill/>
                          </a:ln>
                        </wps:spPr>
                        <wps:txbx>
                          <w:txbxContent>
                            <w:p w14:paraId="017C205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2960" name="Rectangle 22960"/>
                        <wps:cNvSpPr/>
                        <wps:spPr>
                          <a:xfrm rot="-10799999">
                            <a:off x="-1316731" y="1063447"/>
                            <a:ext cx="5308808" cy="142889"/>
                          </a:xfrm>
                          <a:prstGeom prst="rect">
                            <a:avLst/>
                          </a:prstGeom>
                          <a:ln>
                            <a:noFill/>
                          </a:ln>
                        </wps:spPr>
                        <wps:txbx>
                          <w:txbxContent>
                            <w:p w14:paraId="58663903" w14:textId="77777777" w:rsidR="00B32EF2" w:rsidRDefault="00000000">
                              <w:r>
                                <w:rPr>
                                  <w:rFonts w:ascii="Arial" w:eastAsia="Arial" w:hAnsi="Arial" w:cs="Arial"/>
                                  <w:sz w:val="18"/>
                                </w:rPr>
                                <w:t xml:space="preserve">ne «Giustizia tributaria» dello stato di previsione del Ministero dell›economia </w:t>
                              </w:r>
                            </w:p>
                          </w:txbxContent>
                        </wps:txbx>
                        <wps:bodyPr horzOverflow="overflow" vert="horz" lIns="0" tIns="0" rIns="0" bIns="0" rtlCol="0">
                          <a:noAutofit/>
                        </wps:bodyPr>
                      </wps:wsp>
                      <wps:wsp>
                        <wps:cNvPr id="22961" name="Rectangle 22961"/>
                        <wps:cNvSpPr/>
                        <wps:spPr>
                          <a:xfrm rot="-10799999">
                            <a:off x="-1316868" y="940117"/>
                            <a:ext cx="5308946" cy="142889"/>
                          </a:xfrm>
                          <a:prstGeom prst="rect">
                            <a:avLst/>
                          </a:prstGeom>
                          <a:ln>
                            <a:noFill/>
                          </a:ln>
                        </wps:spPr>
                        <wps:txbx>
                          <w:txbxContent>
                            <w:p w14:paraId="4FD726E8" w14:textId="77777777" w:rsidR="00B32EF2" w:rsidRDefault="00000000">
                              <w:r>
                                <w:rPr>
                                  <w:rFonts w:ascii="Arial" w:eastAsia="Arial" w:hAnsi="Arial" w:cs="Arial"/>
                                  <w:sz w:val="18"/>
                                </w:rPr>
                                <w:t xml:space="preserve">e delle finanze. Le modalità di versamento del contributo di cui al presente </w:t>
                              </w:r>
                            </w:p>
                          </w:txbxContent>
                        </wps:txbx>
                        <wps:bodyPr horzOverflow="overflow" vert="horz" lIns="0" tIns="0" rIns="0" bIns="0" rtlCol="0">
                          <a:noAutofit/>
                        </wps:bodyPr>
                      </wps:wsp>
                      <wps:wsp>
                        <wps:cNvPr id="22962" name="Rectangle 22962"/>
                        <wps:cNvSpPr/>
                        <wps:spPr>
                          <a:xfrm rot="-10799999">
                            <a:off x="-1316943" y="816788"/>
                            <a:ext cx="5309021" cy="142889"/>
                          </a:xfrm>
                          <a:prstGeom prst="rect">
                            <a:avLst/>
                          </a:prstGeom>
                          <a:ln>
                            <a:noFill/>
                          </a:ln>
                        </wps:spPr>
                        <wps:txbx>
                          <w:txbxContent>
                            <w:p w14:paraId="6EF1E5BD" w14:textId="77777777" w:rsidR="00B32EF2" w:rsidRDefault="00000000">
                              <w:r>
                                <w:rPr>
                                  <w:rFonts w:ascii="Arial" w:eastAsia="Arial" w:hAnsi="Arial" w:cs="Arial"/>
                                  <w:sz w:val="18"/>
                                </w:rPr>
                                <w:t xml:space="preserve">comma sono stabilite con decreto, avente natura non regolamentare, del </w:t>
                              </w:r>
                            </w:p>
                          </w:txbxContent>
                        </wps:txbx>
                        <wps:bodyPr horzOverflow="overflow" vert="horz" lIns="0" tIns="0" rIns="0" bIns="0" rtlCol="0">
                          <a:noAutofit/>
                        </wps:bodyPr>
                      </wps:wsp>
                      <wps:wsp>
                        <wps:cNvPr id="22963" name="Rectangle 22963"/>
                        <wps:cNvSpPr/>
                        <wps:spPr>
                          <a:xfrm rot="-10799999">
                            <a:off x="-1317004" y="693458"/>
                            <a:ext cx="5309082" cy="142889"/>
                          </a:xfrm>
                          <a:prstGeom prst="rect">
                            <a:avLst/>
                          </a:prstGeom>
                          <a:ln>
                            <a:noFill/>
                          </a:ln>
                        </wps:spPr>
                        <wps:txbx>
                          <w:txbxContent>
                            <w:p w14:paraId="288884F7" w14:textId="77777777" w:rsidR="00B32EF2" w:rsidRDefault="00000000">
                              <w:r>
                                <w:rPr>
                                  <w:rFonts w:ascii="Arial" w:eastAsia="Arial" w:hAnsi="Arial" w:cs="Arial"/>
                                  <w:sz w:val="18"/>
                                </w:rPr>
                                <w:t xml:space="preserve">Ministro dell›economia e delle finanze. Il contributo è aggiornato ogni tre anni, </w:t>
                              </w:r>
                            </w:p>
                          </w:txbxContent>
                        </wps:txbx>
                        <wps:bodyPr horzOverflow="overflow" vert="horz" lIns="0" tIns="0" rIns="0" bIns="0" rtlCol="0">
                          <a:noAutofit/>
                        </wps:bodyPr>
                      </wps:wsp>
                      <wps:wsp>
                        <wps:cNvPr id="22964" name="Rectangle 22964"/>
                        <wps:cNvSpPr/>
                        <wps:spPr>
                          <a:xfrm rot="-10799999">
                            <a:off x="-1317101" y="570128"/>
                            <a:ext cx="5309750" cy="142889"/>
                          </a:xfrm>
                          <a:prstGeom prst="rect">
                            <a:avLst/>
                          </a:prstGeom>
                          <a:ln>
                            <a:noFill/>
                          </a:ln>
                        </wps:spPr>
                        <wps:txbx>
                          <w:txbxContent>
                            <w:p w14:paraId="7889E40C" w14:textId="77777777" w:rsidR="00B32EF2" w:rsidRDefault="00000000">
                              <w:r>
                                <w:rPr>
                                  <w:rFonts w:ascii="Arial" w:eastAsia="Arial" w:hAnsi="Arial" w:cs="Arial"/>
                                  <w:sz w:val="18"/>
                                </w:rPr>
                                <w:t xml:space="preserve">con le medesime modalità, sulla base della variazione dell’indice dei prezzi al </w:t>
                              </w:r>
                            </w:p>
                          </w:txbxContent>
                        </wps:txbx>
                        <wps:bodyPr horzOverflow="overflow" vert="horz" lIns="0" tIns="0" rIns="0" bIns="0" rtlCol="0">
                          <a:noAutofit/>
                        </wps:bodyPr>
                      </wps:wsp>
                      <wps:wsp>
                        <wps:cNvPr id="22965" name="Rectangle 22965"/>
                        <wps:cNvSpPr/>
                        <wps:spPr>
                          <a:xfrm rot="-10799999">
                            <a:off x="-1317413" y="446798"/>
                            <a:ext cx="5310176" cy="142889"/>
                          </a:xfrm>
                          <a:prstGeom prst="rect">
                            <a:avLst/>
                          </a:prstGeom>
                          <a:ln>
                            <a:noFill/>
                          </a:ln>
                        </wps:spPr>
                        <wps:txbx>
                          <w:txbxContent>
                            <w:p w14:paraId="30625A7A" w14:textId="77777777" w:rsidR="00B32EF2" w:rsidRDefault="00000000">
                              <w:r>
                                <w:rPr>
                                  <w:rFonts w:ascii="Arial" w:eastAsia="Arial" w:hAnsi="Arial" w:cs="Arial"/>
                                  <w:sz w:val="18"/>
                                </w:rPr>
                                <w:t xml:space="preserve">consumo per le famiglie di operai e impiegati, rilevata dall’Istituto nazionale di </w:t>
                              </w:r>
                            </w:p>
                          </w:txbxContent>
                        </wps:txbx>
                        <wps:bodyPr horzOverflow="overflow" vert="horz" lIns="0" tIns="0" rIns="0" bIns="0" rtlCol="0">
                          <a:noAutofit/>
                        </wps:bodyPr>
                      </wps:wsp>
                      <wps:wsp>
                        <wps:cNvPr id="22966" name="Rectangle 22966"/>
                        <wps:cNvSpPr/>
                        <wps:spPr>
                          <a:xfrm rot="-10799999">
                            <a:off x="2789362" y="323469"/>
                            <a:ext cx="1202714" cy="142889"/>
                          </a:xfrm>
                          <a:prstGeom prst="rect">
                            <a:avLst/>
                          </a:prstGeom>
                          <a:ln>
                            <a:noFill/>
                          </a:ln>
                        </wps:spPr>
                        <wps:txbx>
                          <w:txbxContent>
                            <w:p w14:paraId="50CEC075" w14:textId="77777777" w:rsidR="00B32EF2" w:rsidRDefault="00000000">
                              <w:r>
                                <w:rPr>
                                  <w:rFonts w:ascii="Arial" w:eastAsia="Arial" w:hAnsi="Arial" w:cs="Arial"/>
                                  <w:sz w:val="18"/>
                                </w:rPr>
                                <w:t>statistica (ISTAT).</w:t>
                              </w:r>
                            </w:p>
                          </w:txbxContent>
                        </wps:txbx>
                        <wps:bodyPr horzOverflow="overflow" vert="horz" lIns="0" tIns="0" rIns="0" bIns="0" rtlCol="0">
                          <a:noAutofit/>
                        </wps:bodyPr>
                      </wps:wsp>
                    </wpg:wgp>
                  </a:graphicData>
                </a:graphic>
              </wp:inline>
            </w:drawing>
          </mc:Choice>
          <mc:Fallback>
            <w:pict>
              <v:group w14:anchorId="76E65CF1" id="Group 202382" o:spid="_x0000_s6745" style="width:314.35pt;height:493.15pt;mso-position-horizontal-relative:char;mso-position-vertical-relative:line" coordsize="39920,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7W0woAAL2GAAAOAAAAZHJzL2Uyb0RvYy54bWzkXduO47gRfQ+QfzD83mNeJFIypnsRZLKD&#10;AEF2kc1+gMbtG2BbhuwZ9+Trc4qUKbXE2QAi0GyE+9DrpntkmYdVdepUkfr408vxMPu2bi77+vQ4&#10;5x/YfLY+rern/Wn7OP/93z8/FPPZ5VqdnqtDfVo/zr+vL/Ofnv78p4+383It6l19eF43M1zkdFne&#10;zo/z3fV6Xi4Wl9VufawuH+rz+oQ3N3VzrK74tdkunpvqhqsfDwvBmFrc6ub53NSr9eWC0U/2zfmT&#10;uf5ms15df9lsLuvr7PA4x71dzc/G/PxCPxdPH6vltqnOu/2qvY1qwl0cq/0JH+ou9am6VrOvzX50&#10;qeN+1dSXenP9sKqPi3qz2a/W5jvg23A2+Dafm/rr2XyX7fK2PbtpwtQO5mnyZVf//Pa5Of92/rXB&#10;TNzOW8yF+Y2+y8umOdL/cZezFzNl392UrV+usxUGZVkKptV8tsJ7SihR5Jmd1NUOMz/6d6vd3/7H&#10;v1zcP3jx6nZuZyyQSzcHl7A5+G1Xnddmai9LzMGvzWz//DgXomT4LqfqiKX6Lyye6rQ9rGd22EyQ&#10;+Ws3XZflBTN3n6tZU2N9PXCmS/rPrId27njJmM6y+Qyz9KAEfrWTdJ9GrgupSjuLImcqU/S+m4pq&#10;eW4u18/r+jijF4/zBvdmrl99+8flav/0/id0O4cT/TzVP+8PB/sujWBG73dMr64vX17M186zIqfP&#10;o8Ev9fN3zMaubv7zC+x6c6hvj/O6fTUnU8fH07vz2eHvJ6BAVnV/0dxffLm/aK6Hv9bG9uwN/eXr&#10;td7szR13n9beGeC19/AmOGs/zvo+EVgVE3DOFc8LAEnWwHlZKjOx1fIOtBa84PhoMheeiQJ/+7ZA&#10;m4XVTf3/O9BMyCz3IG3H2zU/DWqmVKEQ3oBkDqCVHEAtWKmzQnRYW6N/Q6N2azkNoyZM+Q+w5kFm&#10;LUQmuLDu+51iXdy/YDpYyx9gLe9TMcmuHzKdMwEX/X7t2sSMdHw4SBkiqo+UuYmYhrRihcxaD15o&#10;KdnAg2dcy5wjfMSK1jZipIM0PLgEHiOo7XhItBZgYyJrrVpnZYmcBdfriFkuWclkm8jEYGalC1Hp&#10;eHDkDj6sM5Md0bKfZtdcatBw2C258B+DHdOwxT1GpQG2KLmPmZnhELN+0CrTyLEM0pAf2sS5M2sE&#10;c1VkPRL+1glX6dhIGkiTqwYePrO2CdJkszYuHOqSwTpnUnKfC0cMjxeujfSVVrj2yWW0BpzOMNWF&#10;Fxwh+z2DnZxkxn0JF1y483AToRbQQ+80XEI7LYxu0fnwXHAJLx7Rrt1iTsOHA1O42ZELN8Mh0Row&#10;6zbdMjgP/TdTImakTkwuA5y+QG2GQ1B+4IjMkrVAi1ypfGjQkmmRwZtEy6sTU8uAqS9Om+EwqIUQ&#10;isp/lGlxKSWEM1zwle8GBY8JtdOIkvHd/soWqk4hUPd8txfnqL47Z04xSAZln04Gg3aebSIZQ+05&#10;K1rfzRjK2OaCPYNmeZ5FDNM5S08nkz7iTUlWMPMucsFwcXhvgK5Q0Bx5b6FJNY0UqFGIuTutNOya&#10;QAUFHlFvOx7ivwXq05zE9feLtVvNaWAt0DnlgdoMhyDdRWpr00NGFjlSJ6aRAU6/8o3hEJRNllVS&#10;EkUGrRWCwdB5U0WLPjya805OISNeNPLdWAEuik0kZUioCxAxA7XKGHjZIE4j3S51POUbHYv3xZyM&#10;7/ZxMkDtgth0qMu8hTrnSukx1KhTx4Ta5ZHJQO0XQ9EPFubABbh3DgpADlyWUmZDqKnnjDqRojlw&#10;l0wmA7VfERUukk2y6h4j8+IcmZElp5AJvxiK4TCDRph2vltoxvjQoE2PUUTfzZOTych9+hiZC2KT&#10;DPpB8qJsWxEynik13M+RSc6ZjMi9UTpv13IarhsCifA1idrxELMm4UQzLCMK06TDqMHeHZSnWZbH&#10;K1zm3KUXyWAtfcoJgeMc3DS75qLgOaL9OwbbJRhpgI2UymfXZjjErHuczGvUcTkZ+i+Sct+i9Fq0&#10;GQ5B2apkbYOoxCZMZj1Er54FTqao3SVWkoUmjNSg9guioEtBUIsSlBthGHFaaq20LRR2SGO3ZckK&#10;BI5oSLv8Ig3XTdwLStaIftvxIKwRpxUD7zFgq1xKbRZPBzZImcghqMQD22UY6YDty7UIbDcVk0iZ&#10;qVyiJ/SPsSYhLZphJ6eTeTsSEK0dOZ2EdMfJpNemI3Oy5HQy6Re+MRzmvCXXnPgeRWrsu2PYtY0L&#10;9py3REZNpC2WQaMw337DNJw3LNcvfAdu2TH0m+e2P1RmTGmrVfShZhpl6ohQO9aZDNR+9Tt8xw42&#10;7ICGGasWBdoRjCz1GmoecXtW3pXhk4Hax8hg7GGE7IFjxw7DRQzUXDEG9fO1Axc4+0ZHlES7Mnwy&#10;UPsyLUDtqGkoI/PiHJeRdRX4ZFD2a6HSUdNJKMOgYa6oaxiDxikI2tpPz3fD4FHbjBimk1PJcAjC&#10;WDoRZeDZCL0Uy+A8dNyRDToxhQxw+rVQmxFN3ipveDcJoGTQ2BQi0XYyiNDoGJQxt3F0olAqvptO&#10;oRhpoVgBrno70Xej6wRnh1qoNUocagw10m2Q/mjZtOMgyUDtbw5Ft3aocKKEtrwbZ50oHFk1smoc&#10;MBmTdzsikgzUfo0MZ72GQY0UC2fpWqvOM2gnQ6jByGD48ay6a7VIBmq/RobzRUOg7hgZClYenOMy&#10;sq4omwzKfnnMnsgcxshcmM5wdLkeGjQORYgaprHxsF3HyUDtl8ew4TXEoA35RtXT+m5RKjr4Gxfs&#10;ZdMEtYrIyLo6XTJQ++UxHDsUCrWWBSgA5Vk4LRTNwCOoy0yBncci312xLhmo/RqZ3V0T4MDByKjN&#10;xEDNcOIEYH9t1WBskh4fEA1qR0RSgZqaPjwpNYZDrLrHyAzOZlp73jsyI0tOI8thdD6UXeV2unDC&#10;SWWF7+YljjHCibGvDRphGk/tiGjQjogkY9B+jczWFwN8NzQy3mbTvGAysxv6ejZNjIyOY4jmux0R&#10;SQZqv0aGs8JCfLcl36SLkFWrAlvlPVbNy5hhOjmNjHbK+Rx4oEYmMjrd2SKd5ziGzkTGzqgzgWND&#10;cax6NKPuanVpGDX1+gKPEdR2PMysRYFn6bTBOsNeeduu1IFtGr5jdvd3Jbt0wPbZNYEdZtim4Rvn&#10;XhgX/j6xTk4qIz87smtRYjjErLtMi3txjptpdeW6NCwacPoFUXt+bxj9Nts4iZOhtxu9RKNMC4Xr&#10;iO1FXbkuGaj9giiOHgoxaOokw5Msbd2S80JhI94AarSGsv5+yzd+Kl7eleuSgdoviOYuD5mkn/R8&#10;t8HZaBU9PhbZd7vAlArK1L7pidD2tIow363pJBPy3egtQs41MGh0khV02nss6aQr1yUDtV8QRZkp&#10;zHfTMYPtE03RZ8rtieE9k6ZTBlEHj4e0C07JIO3XQ6FvBSN9PzsUz9nROPAb13uFdNyjQ7tiXTJI&#10;++VQ28wZ5L5xKoItUKsSz0L2Id1/SPEbPx8t72p1ySDtU03QJhImmpDwrcGsTaDGgVXoHhzbNJ5s&#10;G897o4zXOq1kkPY3DCI9CvXeOqOHcYGSZRlOiB0hjXVAD2WJxci6cl0ySPvlMVuRmOy9hS5K2day&#10;JB5urkzG1oVpVCyF7ufSb+68XbEuNtCL23m7vG3PTx8X1XLbVOfdfvWpulb93/H6dl6uRb2rD8/r&#10;5um/AAAA//8DAFBLAwQUAAYACAAAACEABfCzbd0AAAAFAQAADwAAAGRycy9kb3ducmV2LnhtbEyP&#10;QUvDQBCF74L/YRnBm92kxZim2ZRS1FMRbAXxNs1Ok9DsbMhuk/Tfu3rRy8DjPd77Jl9PphUD9a6x&#10;rCCeRSCIS6sbrhR8HF4eUhDOI2tsLZOCKzlYF7c3OWbajvxOw95XIpSwy1BB7X2XSenKmgy6me2I&#10;g3eyvUEfZF9J3eMYyk0r51GUSIMNh4UaO9rWVJ73F6PgdcRxs4ifh935tL1+HR7fPncxKXV/N21W&#10;IDxN/i8MP/gBHYrAdLQX1k60CsIj/vcGL5mnTyCOCpZpsgBZ5PI/ffENAAD//wMAUEsBAi0AFAAG&#10;AAgAAAAhALaDOJL+AAAA4QEAABMAAAAAAAAAAAAAAAAAAAAAAFtDb250ZW50X1R5cGVzXS54bWxQ&#10;SwECLQAUAAYACAAAACEAOP0h/9YAAACUAQAACwAAAAAAAAAAAAAAAAAvAQAAX3JlbHMvLnJlbHNQ&#10;SwECLQAUAAYACAAAACEA8ZSu1tMKAAC9hgAADgAAAAAAAAAAAAAAAAAuAgAAZHJzL2Uyb0RvYy54&#10;bWxQSwECLQAUAAYACAAAACEABfCzbd0AAAAFAQAADwAAAAAAAAAAAAAAAAAtDQAAZHJzL2Rvd25y&#10;ZXYueG1sUEsFBgAAAAAEAAQA8wAAADcOAAAAAA==&#10;">
                <v:rect id="Rectangle 22906" o:spid="_x0000_s6746" style="position:absolute;left:19007;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N8cxgAAAN4AAAAPAAAAZHJzL2Rvd25yZXYueG1sRI9Ba8JA&#10;FITvBf/D8oTe6sYcxEZXEUWagxethR4f2WcSzb5dsquJ/fVdQfA4zMw3zHzZm0bcqPW1ZQXjUQKC&#10;uLC65lLB8Xv7MQXhA7LGxjIpuJOH5WLwNsdM2473dDuEUkQI+wwVVCG4TEpfVGTQj6wjjt7JtgZD&#10;lG0pdYtdhJtGpkkykQZrjgsVOlpXVFwOV6Pgd8Mu33ayOP2t3e6cT5uv6/FHqfdhv5qBCNSHV/jZ&#10;zrWCNP1MJvC4E6+AXPwDAAD//wMAUEsBAi0AFAAGAAgAAAAhANvh9svuAAAAhQEAABMAAAAAAAAA&#10;AAAAAAAAAAAAAFtDb250ZW50X1R5cGVzXS54bWxQSwECLQAUAAYACAAAACEAWvQsW78AAAAVAQAA&#10;CwAAAAAAAAAAAAAAAAAfAQAAX3JlbHMvLnJlbHNQSwECLQAUAAYACAAAACEAZlDfHMYAAADeAAAA&#10;DwAAAAAAAAAAAAAAAAAHAgAAZHJzL2Rvd25yZXYueG1sUEsFBgAAAAADAAMAtwAAAPoCAAAAAA==&#10;" filled="f" stroked="f">
                  <v:textbox inset="0,0,0,0">
                    <w:txbxContent>
                      <w:p w14:paraId="188980BA" w14:textId="77777777" w:rsidR="00B32EF2" w:rsidRDefault="00000000">
                        <w:r>
                          <w:rPr>
                            <w:rFonts w:ascii="Times New Roman" w:eastAsia="Times New Roman" w:hAnsi="Times New Roman" w:cs="Times New Roman"/>
                          </w:rPr>
                          <w:t>19</w:t>
                        </w:r>
                      </w:p>
                    </w:txbxContent>
                  </v:textbox>
                </v:rect>
                <v:rect id="Rectangle 22907" o:spid="_x0000_s6747" style="position:absolute;left:15615;top:61199;width:72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qHxwAAAN4AAAAPAAAAZHJzL2Rvd25yZXYueG1sRI9Ba8JA&#10;FITvBf/D8gRvdWMOrY2uIoo0By+1Ch4f2WcSzb5dsquJ/vpuodDjMDPfMPNlbxpxp9bXlhVMxgkI&#10;4sLqmksFh+/t6xSED8gaG8uk4EEelovByxwzbTv+ovs+lCJC2GeooArBZVL6oiKDfmwdcfTOtjUY&#10;omxLqVvsItw0Mk2SN2mw5rhQoaN1RcV1fzMKTht2+baTxfm5drtLPm0+b4ejUqNhv5qBCNSH//Bf&#10;O9cK0vQjeYffO/EKyMUPAAAA//8DAFBLAQItABQABgAIAAAAIQDb4fbL7gAAAIUBAAATAAAAAAAA&#10;AAAAAAAAAAAAAABbQ29udGVudF9UeXBlc10ueG1sUEsBAi0AFAAGAAgAAAAhAFr0LFu/AAAAFQEA&#10;AAsAAAAAAAAAAAAAAAAAHwEAAF9yZWxzLy5yZWxzUEsBAi0AFAAGAAgAAAAhAAkceofHAAAA3gAA&#10;AA8AAAAAAAAAAAAAAAAABwIAAGRycy9kb3ducmV2LnhtbFBLBQYAAAAAAwADALcAAAD7AgAAAAA=&#10;" filled="f" stroked="f">
                  <v:textbox inset="0,0,0,0">
                    <w:txbxContent>
                      <w:p w14:paraId="45055130" w14:textId="77777777" w:rsidR="00B32EF2" w:rsidRDefault="00000000">
                        <w:r>
                          <w:rPr>
                            <w:rFonts w:ascii="Arial" w:eastAsia="Arial" w:hAnsi="Arial" w:cs="Arial"/>
                            <w:b/>
                            <w:sz w:val="18"/>
                          </w:rPr>
                          <w:t>Articolo 7</w:t>
                        </w:r>
                      </w:p>
                    </w:txbxContent>
                  </v:textbox>
                </v:rect>
                <v:rect id="Rectangle 202345" o:spid="_x0000_s6748" style="position:absolute;left:10668;top:59966;width:209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z7yAAAAN8AAAAPAAAAZHJzL2Rvd25yZXYueG1sRI9Ba8JA&#10;FITvgv9heUJvumlqi6SuIoo0h160KfT4yD6TtNm3S3Y1qb++KxQ8DjPzDbNcD6YVF+p8Y1nB4ywB&#10;QVxa3XCloPjYTxcgfEDW2FomBb/kYb0aj5aYadvzgS7HUIkIYZ+hgjoEl0npy5oM+pl1xNE72c5g&#10;iLKrpO6wj3DTyjRJXqTBhuNCjY62NZU/x7NR8LVjl+97WZ6uW/f+nS/at3PxqdTDZNi8ggg0hHv4&#10;v51rBWmSPs2f4fYnfgG5+gMAAP//AwBQSwECLQAUAAYACAAAACEA2+H2y+4AAACFAQAAEwAAAAAA&#10;AAAAAAAAAAAAAAAAW0NvbnRlbnRfVHlwZXNdLnhtbFBLAQItABQABgAIAAAAIQBa9CxbvwAAABUB&#10;AAALAAAAAAAAAAAAAAAAAB8BAABfcmVscy8ucmVsc1BLAQItABQABgAIAAAAIQCT5zz7yAAAAN8A&#10;AAAPAAAAAAAAAAAAAAAAAAcCAABkcnMvZG93bnJldi54bWxQSwUGAAAAAAMAAwC3AAAA/AIAAAAA&#10;" filled="f" stroked="f">
                  <v:textbox inset="0,0,0,0">
                    <w:txbxContent>
                      <w:p w14:paraId="787987C5" w14:textId="77777777" w:rsidR="00B32EF2" w:rsidRDefault="00000000">
                        <w:r>
                          <w:rPr>
                            <w:rFonts w:ascii="Arial" w:eastAsia="Arial" w:hAnsi="Arial" w:cs="Arial"/>
                            <w:i/>
                            <w:sz w:val="18"/>
                          </w:rPr>
                          <w:t xml:space="preserve">articolo 4-ter D.lgs. n. </w:t>
                        </w:r>
                      </w:p>
                    </w:txbxContent>
                  </v:textbox>
                </v:rect>
                <v:rect id="Rectangle 202341" o:spid="_x0000_s6749" style="position:absolute;left:22421;top:59966;width:209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Dr4yAAAAN8AAAAPAAAAZHJzL2Rvd25yZXYueG1sRI9Pa8JA&#10;FMTvgt9heYI33ZhKkdRVRJHm0Ev9Az0+ss8kbfbtkl1N7Kd3CwWPw8z8hlmue9OIG7W+tqxgNk1A&#10;EBdW11wqOB33kwUIH5A1NpZJwZ08rFfDwRIzbTv+pNshlCJC2GeooArBZVL6oiKDfmodcfQutjUY&#10;omxLqVvsItw0Mk2SV2mw5rhQoaNtRcXP4WoUfO3Y5ftOFpffrfv4zhfN+/V0Vmo86jdvIAL14Rn+&#10;b+daQZqkL/MZ/P2JX0CuHgAAAP//AwBQSwECLQAUAAYACAAAACEA2+H2y+4AAACFAQAAEwAAAAAA&#10;AAAAAAAAAAAAAAAAW0NvbnRlbnRfVHlwZXNdLnhtbFBLAQItABQABgAIAAAAIQBa9CxbvwAAABUB&#10;AAALAAAAAAAAAAAAAAAAAB8BAABfcmVscy8ucmVsc1BLAQItABQABgAIAAAAIQDs3Dr4yAAAAN8A&#10;AAAPAAAAAAAAAAAAAAAAAAcCAABkcnMvZG93bnJldi54bWxQSwUGAAAAAAMAAwC3AAAA/AIAAAAA&#10;" filled="f" stroked="f">
                  <v:textbox inset="0,0,0,0">
                    <w:txbxContent>
                      <w:p w14:paraId="53F795B9" w14:textId="77777777" w:rsidR="00B32EF2" w:rsidRDefault="00000000">
                        <w:r>
                          <w:rPr>
                            <w:rFonts w:ascii="Arial" w:eastAsia="Arial" w:hAnsi="Arial" w:cs="Arial"/>
                            <w:i/>
                            <w:sz w:val="18"/>
                          </w:rPr>
                          <w:t>(</w:t>
                        </w:r>
                      </w:p>
                    </w:txbxContent>
                  </v:textbox>
                </v:rect>
                <v:rect id="Rectangle 202343" o:spid="_x0000_s6750" style="position:absolute;left:-4750;top:59966;width:209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gEUxwAAAN8AAAAPAAAAZHJzL2Rvd25yZXYueG1sRI9Ba8JA&#10;FITvhf6H5RV6qxujFImuIoqYgxetBY+P7DNJm327ZFeT+utdoeBxmJlvmNmiN424UutrywqGgwQE&#10;cWF1zaWC49fmYwLCB2SNjWVS8EceFvPXlxlm2na8p+shlCJC2GeooArBZVL6oiKDfmAdcfTOtjUY&#10;omxLqVvsItw0Mk2ST2mw5rhQoaNVRcXv4WIUnNbs8k0ni/Nt5XY/+aTZXo7fSr2/9cspiEB9eIb/&#10;27lWkCbpaDyCx5/4BeT8DgAA//8DAFBLAQItABQABgAIAAAAIQDb4fbL7gAAAIUBAAATAAAAAAAA&#10;AAAAAAAAAAAAAABbQ29udGVudF9UeXBlc10ueG1sUEsBAi0AFAAGAAgAAAAhAFr0LFu/AAAAFQEA&#10;AAsAAAAAAAAAAAAAAAAAHwEAAF9yZWxzLy5yZWxzUEsBAi0AFAAGAAgAAAAhAHNCARTHAAAA3wAA&#10;AA8AAAAAAAAAAAAAAAAABwIAAGRycy9kb3ducmV2LnhtbFBLBQYAAAAAAwADALcAAAD7AgAAAAA=&#10;" filled="f" stroked="f">
                  <v:textbox inset="0,0,0,0">
                    <w:txbxContent>
                      <w:p w14:paraId="633BFCEA" w14:textId="77777777" w:rsidR="00B32EF2" w:rsidRDefault="00000000">
                        <w:r>
                          <w:rPr>
                            <w:rFonts w:ascii="Arial" w:eastAsia="Arial" w:hAnsi="Arial" w:cs="Arial"/>
                            <w:i/>
                            <w:sz w:val="18"/>
                          </w:rPr>
                          <w:t>545/92)</w:t>
                        </w:r>
                      </w:p>
                    </w:txbxContent>
                  </v:textbox>
                </v:rect>
                <v:rect id="Rectangle 22909" o:spid="_x0000_s6751" style="position:absolute;left:-6083;top:58733;width:4173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0tuxgAAAN4AAAAPAAAAZHJzL2Rvd25yZXYueG1sRI9Ba8JA&#10;FITvgv9heQVvumkOoqmriCLm0EttBI+P7DNJzb5dsquJ/fXdQqHHYWa+YVabwbTiQZ1vLCt4nSUg&#10;iEurG64UFJ+H6QKED8gaW8uk4EkeNuvxaIWZtj1/0OMUKhEh7DNUUIfgMil9WZNBP7OOOHpX2xkM&#10;UXaV1B32EW5amSbJXBpsOC7U6GhXU3k73Y2Cy55dfuhlef3eufevfNEe78VZqcnLsH0DEWgI/+G/&#10;dq4VpOkyWcLvnXgF5PoHAAD//wMAUEsBAi0AFAAGAAgAAAAhANvh9svuAAAAhQEAABMAAAAAAAAA&#10;AAAAAAAAAAAAAFtDb250ZW50X1R5cGVzXS54bWxQSwECLQAUAAYACAAAACEAWvQsW78AAAAVAQAA&#10;CwAAAAAAAAAAAAAAAAAfAQAAX3JlbHMvLnJlbHNQSwECLQAUAAYACAAAACEAF89LbsYAAADeAAAA&#10;DwAAAAAAAAAAAAAAAAAHAgAAZHJzL2Rvd25yZXYueG1sUEsFBgAAAAADAAMAtwAAAPoCAAAAAA==&#10;" filled="f" stroked="f">
                  <v:textbox inset="0,0,0,0">
                    <w:txbxContent>
                      <w:p w14:paraId="505F0A07" w14:textId="77777777" w:rsidR="00B32EF2" w:rsidRDefault="00000000">
                        <w:r>
                          <w:rPr>
                            <w:rFonts w:ascii="Arial" w:eastAsia="Arial" w:hAnsi="Arial" w:cs="Arial"/>
                            <w:b/>
                            <w:sz w:val="18"/>
                          </w:rPr>
                          <w:t xml:space="preserve">Indizione del concorso e svolgimento della prova scritta </w:t>
                        </w:r>
                      </w:p>
                    </w:txbxContent>
                  </v:textbox>
                </v:rect>
                <v:rect id="Rectangle 202338" o:spid="_x0000_s6752" style="position:absolute;left:26112;top:574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AYxAAAAN8AAAAPAAAAZHJzL2Rvd25yZXYueG1sRE9Ni8Iw&#10;EL0v+B/CCN7W1AqLVKOIIvbgZV0Fj0MzttVmEppoq79+c1jY4+N9L1a9acSTWl9bVjAZJyCIC6tr&#10;LhWcfnafMxA+IGtsLJOCF3lYLQcfC8y07fibnsdQihjCPkMFVQguk9IXFRn0Y+uII3e1rcEQYVtK&#10;3WIXw00j0yT5kgZrjg0VOtpUVNyPD6PgsmWX7zpZXN8bd7jls2b/OJ2VGg379RxEoD78i//cuVaQ&#10;Jul0GgfHP/ELyOUvAAAA//8DAFBLAQItABQABgAIAAAAIQDb4fbL7gAAAIUBAAATAAAAAAAAAAAA&#10;AAAAAAAAAABbQ29udGVudF9UeXBlc10ueG1sUEsBAi0AFAAGAAgAAAAhAFr0LFu/AAAAFQEAAAsA&#10;AAAAAAAAAAAAAAAAHwEAAF9yZWxzLy5yZWxzUEsBAi0AFAAGAAgAAAAhACXg4BjEAAAA3wAAAA8A&#10;AAAAAAAAAAAAAAAABwIAAGRycy9kb3ducmV2LnhtbFBLBQYAAAAAAwADALcAAAD4AgAAAAA=&#10;" filled="f" stroked="f">
                  <v:textbox inset="0,0,0,0">
                    <w:txbxContent>
                      <w:p w14:paraId="3BF37643" w14:textId="77777777" w:rsidR="00B32EF2" w:rsidRDefault="00000000">
                        <w:r>
                          <w:rPr>
                            <w:rFonts w:ascii="Arial" w:eastAsia="Arial" w:hAnsi="Arial" w:cs="Arial"/>
                            <w:sz w:val="18"/>
                          </w:rPr>
                          <w:t>1</w:t>
                        </w:r>
                      </w:p>
                    </w:txbxContent>
                  </v:textbox>
                </v:rect>
                <v:rect id="Rectangle 202340" o:spid="_x0000_s6753" style="position:absolute;left:-13761;top:57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9jxgAAAN8AAAAPAAAAZHJzL2Rvd25yZXYueG1sRI/LasJA&#10;FIb3Bd9hOIK7OjEtRaKjiCLNwk29gMtD5phEM2eGzGiiT99ZFLr8+W9882VvGvGg1teWFUzGCQji&#10;wuqaSwXHw/Z9CsIHZI2NZVLwJA/LxeBtjpm2Hf/QYx9KEUfYZ6igCsFlUvqiIoN+bB1x9C62NRii&#10;bEupW+ziuGlkmiRf0mDN8aFCR+uKitv+bhScN+zybSeLy2vtdtd82nzfjyelRsN+NQMRqA//4b92&#10;rhWkSfrxGQkiT2QBufgFAAD//wMAUEsBAi0AFAAGAAgAAAAhANvh9svuAAAAhQEAABMAAAAAAAAA&#10;AAAAAAAAAAAAAFtDb250ZW50X1R5cGVzXS54bWxQSwECLQAUAAYACAAAACEAWvQsW78AAAAVAQAA&#10;CwAAAAAAAAAAAAAAAAAfAQAAX3JlbHMvLnJlbHNQSwECLQAUAAYACAAAACEAg5CfY8YAAADfAAAA&#10;DwAAAAAAAAAAAAAAAAAHAgAAZHJzL2Rvd25yZXYueG1sUEsFBgAAAAADAAMAtwAAAPoCAAAAAA==&#10;" filled="f" stroked="f">
                  <v:textbox inset="0,0,0,0">
                    <w:txbxContent>
                      <w:p w14:paraId="33A48352" w14:textId="77777777" w:rsidR="00B32EF2" w:rsidRDefault="00000000">
                        <w:r>
                          <w:rPr>
                            <w:rFonts w:ascii="Arial" w:eastAsia="Arial" w:hAnsi="Arial" w:cs="Arial"/>
                            <w:sz w:val="18"/>
                          </w:rPr>
                          <w:t xml:space="preserve">. Il concorso per esami di cui all’articolo 5 si svolge con cadenza di norma </w:t>
                        </w:r>
                      </w:p>
                    </w:txbxContent>
                  </v:textbox>
                </v:rect>
                <v:rect id="Rectangle 22911" o:spid="_x0000_s6754" style="position:absolute;left:-7647;top:56266;width:475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NG1xwAAAN4AAAAPAAAAZHJzL2Rvd25yZXYueG1sRI9Ba8JA&#10;FITvBf/D8oTe6iY5FBvdBFHEHHqptdDjI/tMotm3S3Y1aX99t1DocZiZb5h1OZle3GnwnWUF6SIB&#10;QVxb3XGj4PS+f1qC8AFZY2+ZFHyRh7KYPawx13bkN7ofQyMihH2OCtoQXC6lr1sy6BfWEUfvbAeD&#10;IcqhkXrAMcJNL7MkeZYGO44LLTratlRfjzej4HPHrtqPsj5/b93rpVr2h9vpQ6nH+bRZgQg0hf/w&#10;X7vSCrLsJU3h9068ArL4AQAA//8DAFBLAQItABQABgAIAAAAIQDb4fbL7gAAAIUBAAATAAAAAAAA&#10;AAAAAAAAAAAAAABbQ29udGVudF9UeXBlc10ueG1sUEsBAi0AFAAGAAgAAAAhAFr0LFu/AAAAFQEA&#10;AAsAAAAAAAAAAAAAAAAAHwEAAF9yZWxzLy5yZWxzUEsBAi0AFAAGAAgAAAAhAGxg0bXHAAAA3gAA&#10;AA8AAAAAAAAAAAAAAAAABwIAAGRycy9kb3ducmV2LnhtbFBLBQYAAAAAAwADALcAAAD7AgAAAAA=&#10;" filled="f" stroked="f">
                  <v:textbox inset="0,0,0,0">
                    <w:txbxContent>
                      <w:p w14:paraId="6D269AFA" w14:textId="77777777" w:rsidR="00B32EF2" w:rsidRDefault="00000000">
                        <w:r>
                          <w:rPr>
                            <w:rFonts w:ascii="Arial" w:eastAsia="Arial" w:hAnsi="Arial" w:cs="Arial"/>
                            <w:sz w:val="18"/>
                          </w:rPr>
                          <w:t>annuale in una o più sedi stabilite con il decreto con il quale è bandito.</w:t>
                        </w:r>
                      </w:p>
                    </w:txbxContent>
                  </v:textbox>
                </v:rect>
                <v:rect id="Rectangle 202335" o:spid="_x0000_s6755" style="position:absolute;left:26112;top:550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GxwAAAN8AAAAPAAAAZHJzL2Rvd25yZXYueG1sRI9Ba8JA&#10;FITvhf6H5RV6qxsjFomuIoqYgxetBY+P7DNJm327ZFeT+utdoeBxmJlvmNmiN424UutrywqGgwQE&#10;cWF1zaWC49fmYwLCB2SNjWVS8EceFvPXlxlm2na8p+shlCJC2GeooArBZVL6oiKDfmAdcfTOtjUY&#10;omxLqVvsItw0Mk2ST2mw5rhQoaNVRcXv4WIUnNbs8k0ni/Nt5XY/+aTZXo7fSr2/9cspiEB9eIb/&#10;27lWkCbpaDSGx5/4BeT8DgAA//8DAFBLAQItABQABgAIAAAAIQDb4fbL7gAAAIUBAAATAAAAAAAA&#10;AAAAAAAAAAAAAABbQ29udGVudF9UeXBlc10ueG1sUEsBAi0AFAAGAAgAAAAhAFr0LFu/AAAAFQEA&#10;AAsAAAAAAAAAAAAAAAAAHwEAAF9yZWxzLy5yZWxzUEsBAi0AFAAGAAgAAAAhAMvhT4bHAAAA3wAA&#10;AA8AAAAAAAAAAAAAAAAABwIAAGRycy9kb3ducmV2LnhtbFBLBQYAAAAAAwADALcAAAD7AgAAAAA=&#10;" filled="f" stroked="f">
                  <v:textbox inset="0,0,0,0">
                    <w:txbxContent>
                      <w:p w14:paraId="0F61E725" w14:textId="77777777" w:rsidR="00B32EF2" w:rsidRDefault="00000000">
                        <w:r>
                          <w:rPr>
                            <w:rFonts w:ascii="Arial" w:eastAsia="Arial" w:hAnsi="Arial" w:cs="Arial"/>
                            <w:sz w:val="18"/>
                          </w:rPr>
                          <w:t>2</w:t>
                        </w:r>
                      </w:p>
                    </w:txbxContent>
                  </v:textbox>
                </v:rect>
                <v:rect id="Rectangle 202336" o:spid="_x0000_s6756" style="position:absolute;left:-13816;top:550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9HxxwAAAN8AAAAPAAAAZHJzL2Rvd25yZXYueG1sRI9Pi8Iw&#10;FMTvC36H8IS9rakVRKpRRBF78LL+AY+P5tl2t3kJTbRdP/1mYcHjMDO/YRar3jTiQa2vLSsYjxIQ&#10;xIXVNZcKzqfdxwyED8gaG8uk4Ic8rJaDtwVm2nb8SY9jKEWEsM9QQRWCy6T0RUUG/cg64ujdbGsw&#10;RNmWUrfYRbhpZJokU2mw5rhQoaNNRcX38W4UXLfs8l0ni9tz4w5f+azZ388Xpd6H/XoOIlAfXuH/&#10;dq4VpEk6mUzh70/8AnL5CwAA//8DAFBLAQItABQABgAIAAAAIQDb4fbL7gAAAIUBAAATAAAAAAAA&#10;AAAAAAAAAAAAAABbQ29udGVudF9UeXBlc10ueG1sUEsBAi0AFAAGAAgAAAAhAFr0LFu/AAAAFQEA&#10;AAsAAAAAAAAAAAAAAAAAHwEAAF9yZWxzLy5yZWxzUEsBAi0AFAAGAAgAAAAhADsz0fHHAAAA3wAA&#10;AA8AAAAAAAAAAAAAAAAABwIAAGRycy9kb3ducmV2LnhtbFBLBQYAAAAAAwADALcAAAD7AgAAAAA=&#10;" filled="f" stroked="f">
                  <v:textbox inset="0,0,0,0">
                    <w:txbxContent>
                      <w:p w14:paraId="5B1A6648" w14:textId="77777777" w:rsidR="00B32EF2" w:rsidRDefault="00000000">
                        <w:r>
                          <w:rPr>
                            <w:rFonts w:ascii="Arial" w:eastAsia="Arial" w:hAnsi="Arial" w:cs="Arial"/>
                            <w:sz w:val="18"/>
                          </w:rPr>
                          <w:t xml:space="preserve">. Il concorso è bandito con decreto del Ministro dell’economia e delle finanze, </w:t>
                        </w:r>
                      </w:p>
                    </w:txbxContent>
                  </v:textbox>
                </v:rect>
                <v:rect id="Rectangle 22913" o:spid="_x0000_s6757" style="position:absolute;left:-12219;top:53799;width:521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pZxwAAAN4AAAAPAAAAZHJzL2Rvd25yZXYueG1sRI9Pa8JA&#10;FMTvhX6H5Qm96cYURFNXEYs0By/1D/T4yD6TaPbtkl1N6qd3C0KPw8z8hpkve9OIG7W+tqxgPEpA&#10;EBdW11wqOOw3wykIH5A1NpZJwS95WC5eX+aYadvxN912oRQRwj5DBVUILpPSFxUZ9CPriKN3sq3B&#10;EGVbSt1iF+GmkWmSTKTBmuNChY7WFRWX3dUo+Plkl286WZzua7c959Pm63o4KvU26FcfIAL14T/8&#10;bOdaQZrOxu/wdydeAbl4AAAA//8DAFBLAQItABQABgAIAAAAIQDb4fbL7gAAAIUBAAATAAAAAAAA&#10;AAAAAAAAAAAAAABbQ29udGVudF9UeXBlc10ueG1sUEsBAi0AFAAGAAgAAAAhAFr0LFu/AAAAFQEA&#10;AAsAAAAAAAAAAAAAAAAAHwEAAF9yZWxzLy5yZWxzUEsBAi0AFAAGAAgAAAAhAPP+6lnHAAAA3gAA&#10;AA8AAAAAAAAAAAAAAAAABwIAAGRycy9kb3ducmV2LnhtbFBLBQYAAAAAAwADALcAAAD7AgAAAAA=&#10;" filled="f" stroked="f">
                  <v:textbox inset="0,0,0,0">
                    <w:txbxContent>
                      <w:p w14:paraId="1722715C" w14:textId="77777777" w:rsidR="00B32EF2" w:rsidRDefault="00000000">
                        <w:r>
                          <w:rPr>
                            <w:rFonts w:ascii="Arial" w:eastAsia="Arial" w:hAnsi="Arial" w:cs="Arial"/>
                            <w:sz w:val="18"/>
                          </w:rPr>
                          <w:t>previa deliberazione conforme del Consiglio di presidenza della giustizia tributa</w:t>
                        </w:r>
                      </w:p>
                    </w:txbxContent>
                  </v:textbox>
                </v:rect>
                <v:rect id="Rectangle 22914" o:spid="_x0000_s6758" style="position:absolute;left:194;top:53799;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3ItxwAAAN4AAAAPAAAAZHJzL2Rvd25yZXYueG1sRI9Pa8JA&#10;FMTvhX6H5Qm96cZQRFNXEYs0By/1D/T4yD6TaPbtkl1N6qd3C0KPw8z8hpkve9OIG7W+tqxgPEpA&#10;EBdW11wqOOw3wykIH5A1NpZJwS95WC5eX+aYadvxN912oRQRwj5DBVUILpPSFxUZ9CPriKN3sq3B&#10;EGVbSt1iF+GmkWmSTKTBmuNChY7WFRWX3dUo+Plkl286WZzua7c959Pm63o4KvU26FcfIAL14T/8&#10;bOdaQZrOxu/wdydeAbl4AAAA//8DAFBLAQItABQABgAIAAAAIQDb4fbL7gAAAIUBAAATAAAAAAAA&#10;AAAAAAAAAAAAAABbQ29udGVudF9UeXBlc10ueG1sUEsBAi0AFAAGAAgAAAAhAFr0LFu/AAAAFQEA&#10;AAsAAAAAAAAAAAAAAAAAHwEAAF9yZWxzLy5yZWxzUEsBAi0AFAAGAAgAAAAhAHwXci3HAAAA3gAA&#10;AA8AAAAAAAAAAAAAAAAABwIAAGRycy9kb3ducmV2LnhtbFBLBQYAAAAAAwADALcAAAD7AgAAAAA=&#10;" filled="f" stroked="f">
                  <v:textbox inset="0,0,0,0">
                    <w:txbxContent>
                      <w:p w14:paraId="496605F3" w14:textId="77777777" w:rsidR="00B32EF2" w:rsidRDefault="00000000">
                        <w:r>
                          <w:rPr>
                            <w:rFonts w:ascii="Arial" w:eastAsia="Arial" w:hAnsi="Arial" w:cs="Arial"/>
                            <w:sz w:val="18"/>
                          </w:rPr>
                          <w:t>-</w:t>
                        </w:r>
                      </w:p>
                    </w:txbxContent>
                  </v:textbox>
                </v:rect>
                <v:rect id="Rectangle 22915" o:spid="_x0000_s6759" style="position:absolute;left:-13163;top:52566;width:530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9e2xwAAAN4AAAAPAAAAZHJzL2Rvd25yZXYueG1sRI9Pa8JA&#10;FMTvhX6H5Qm96cZARVNXEYs0By/1D/T4yD6TaPbtkl1N6qd3C0KPw8z8hpkve9OIG7W+tqxgPEpA&#10;EBdW11wqOOw3wykIH5A1NpZJwS95WC5eX+aYadvxN912oRQRwj5DBVUILpPSFxUZ9CPriKN3sq3B&#10;EGVbSt1iF+GmkWmSTKTBmuNChY7WFRWX3dUo+Plkl286WZzua7c959Pm63o4KvU26FcfIAL14T/8&#10;bOdaQZrOxu/wdydeAbl4AAAA//8DAFBLAQItABQABgAIAAAAIQDb4fbL7gAAAIUBAAATAAAAAAAA&#10;AAAAAAAAAAAAAABbQ29udGVudF9UeXBlc10ueG1sUEsBAi0AFAAGAAgAAAAhAFr0LFu/AAAAFQEA&#10;AAsAAAAAAAAAAAAAAAAAHwEAAF9yZWxzLy5yZWxzUEsBAi0AFAAGAAgAAAAhABNb17bHAAAA3gAA&#10;AA8AAAAAAAAAAAAAAAAABwIAAGRycy9kb3ducmV2LnhtbFBLBQYAAAAAAwADALcAAAD7AgAAAAA=&#10;" filled="f" stroked="f">
                  <v:textbox inset="0,0,0,0">
                    <w:txbxContent>
                      <w:p w14:paraId="7A80AA11" w14:textId="77777777" w:rsidR="00B32EF2" w:rsidRDefault="00000000">
                        <w:r>
                          <w:rPr>
                            <w:rFonts w:ascii="Arial" w:eastAsia="Arial" w:hAnsi="Arial" w:cs="Arial"/>
                            <w:sz w:val="18"/>
                          </w:rPr>
                          <w:t xml:space="preserve">ria, che determina il numero dei posti messi a concorso. Con successivi decreti </w:t>
                        </w:r>
                      </w:p>
                    </w:txbxContent>
                  </v:textbox>
                </v:rect>
                <v:rect id="Rectangle 22916" o:spid="_x0000_s6760" style="position:absolute;left:-12226;top:51333;width:521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UnBxwAAAN4AAAAPAAAAZHJzL2Rvd25yZXYueG1sRI/NasMw&#10;EITvhbyD2EJvjRwfQupEDiUh1IdemjqQ42Ktf1prJSwldvP0UaHQ4zAz3zCb7WR6caXBd5YVLOYJ&#10;COLK6o4bBeXn4XkFwgdkjb1lUvBDHrb57GGDmbYjf9D1GBoRIewzVNCG4DIpfdWSQT+3jjh6tR0M&#10;hiiHRuoBxwg3vUyTZCkNdhwXWnS0a6n6Pl6MgvOeXXEYZVXfdu79q1j1b5fypNTT4/S6BhFoCv/h&#10;v3ahFaTpy2IJv3fiFZD5HQAA//8DAFBLAQItABQABgAIAAAAIQDb4fbL7gAAAIUBAAATAAAAAAAA&#10;AAAAAAAAAAAAAABbQ29udGVudF9UeXBlc10ueG1sUEsBAi0AFAAGAAgAAAAhAFr0LFu/AAAAFQEA&#10;AAsAAAAAAAAAAAAAAAAAHwEAAF9yZWxzLy5yZWxzUEsBAi0AFAAGAAgAAAAhAOOJScHHAAAA3gAA&#10;AA8AAAAAAAAAAAAAAAAABwIAAGRycy9kb3ducmV2LnhtbFBLBQYAAAAAAwADALcAAAD7AgAAAAA=&#10;" filled="f" stroked="f">
                  <v:textbox inset="0,0,0,0">
                    <w:txbxContent>
                      <w:p w14:paraId="3FAC4106" w14:textId="77777777" w:rsidR="00B32EF2" w:rsidRDefault="00000000">
                        <w:r>
                          <w:rPr>
                            <w:rFonts w:ascii="Arial" w:eastAsia="Arial" w:hAnsi="Arial" w:cs="Arial"/>
                            <w:sz w:val="18"/>
                          </w:rPr>
                          <w:t>del Ministro dell’economia e delle finanze, da pubblicare nella Gazzetta Ufficia</w:t>
                        </w:r>
                      </w:p>
                    </w:txbxContent>
                  </v:textbox>
                </v:rect>
                <v:rect id="Rectangle 22917" o:spid="_x0000_s6761" style="position:absolute;left:194;top:51333;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exaxwAAAN4AAAAPAAAAZHJzL2Rvd25yZXYueG1sRI9Pa8JA&#10;FMTvhX6H5Qm96cYcqqauIhZpDl7qH+jxkX0m0ezbJbua1E/vFoQeh5n5DTNf9qYRN2p9bVnBeJSA&#10;IC6srrlUcNhvhlMQPiBrbCyTgl/ysFy8vswx07bjb7rtQikihH2GCqoQXCalLyoy6EfWEUfvZFuD&#10;Icq2lLrFLsJNI9MkeZcGa44LFTpaV1Rcdlej4OeTXb7pZHG6r932nE+br+vhqNTboF99gAjUh//w&#10;s51rBWk6G0/g7068AnLxAAAA//8DAFBLAQItABQABgAIAAAAIQDb4fbL7gAAAIUBAAATAAAAAAAA&#10;AAAAAAAAAAAAAABbQ29udGVudF9UeXBlc10ueG1sUEsBAi0AFAAGAAgAAAAhAFr0LFu/AAAAFQEA&#10;AAsAAAAAAAAAAAAAAAAAHwEAAF9yZWxzLy5yZWxzUEsBAi0AFAAGAAgAAAAhAIzF7FrHAAAA3gAA&#10;AA8AAAAAAAAAAAAAAAAABwIAAGRycy9kb3ducmV2LnhtbFBLBQYAAAAAAwADALcAAAD7AgAAAAA=&#10;" filled="f" stroked="f">
                  <v:textbox inset="0,0,0,0">
                    <w:txbxContent>
                      <w:p w14:paraId="1FDA1C3F" w14:textId="77777777" w:rsidR="00B32EF2" w:rsidRDefault="00000000">
                        <w:r>
                          <w:rPr>
                            <w:rFonts w:ascii="Arial" w:eastAsia="Arial" w:hAnsi="Arial" w:cs="Arial"/>
                            <w:sz w:val="18"/>
                          </w:rPr>
                          <w:t>-</w:t>
                        </w:r>
                      </w:p>
                    </w:txbxContent>
                  </v:textbox>
                </v:rect>
                <v:rect id="Rectangle 22918" o:spid="_x0000_s6762" style="position:absolute;left:-10644;top:50099;width:505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ngowwAAAN4AAAAPAAAAZHJzL2Rvd25yZXYueG1sRE9Ni8Iw&#10;EL0v+B/CCN7W1B7ErUYRRexhL7oKHodmbKvNJDTR1v315rCwx8f7Xqx604gntb62rGAyTkAQF1bX&#10;XCo4/ew+ZyB8QNbYWCYFL/KwWg4+Fphp2/GBnsdQihjCPkMFVQguk9IXFRn0Y+uII3e1rcEQYVtK&#10;3WIXw00j0ySZSoM1x4YKHW0qKu7Hh1Fw2bLLd50srr8b933LZ83+cTorNRr26zmIQH34F/+5c60g&#10;Tb8mcW+8E6+AXL4BAAD//wMAUEsBAi0AFAAGAAgAAAAhANvh9svuAAAAhQEAABMAAAAAAAAAAAAA&#10;AAAAAAAAAFtDb250ZW50X1R5cGVzXS54bWxQSwECLQAUAAYACAAAACEAWvQsW78AAAAVAQAACwAA&#10;AAAAAAAAAAAAAAAfAQAAX3JlbHMvLnJlbHNQSwECLQAUAAYACAAAACEA/Vp4KMMAAADeAAAADwAA&#10;AAAAAAAAAAAAAAAHAgAAZHJzL2Rvd25yZXYueG1sUEsFBgAAAAADAAMAtwAAAPcCAAAAAA==&#10;" filled="f" stroked="f">
                  <v:textbox inset="0,0,0,0">
                    <w:txbxContent>
                      <w:p w14:paraId="288F2FC7" w14:textId="77777777" w:rsidR="00B32EF2" w:rsidRDefault="00000000">
                        <w:r>
                          <w:rPr>
                            <w:rFonts w:ascii="Arial" w:eastAsia="Arial" w:hAnsi="Arial" w:cs="Arial"/>
                            <w:sz w:val="18"/>
                          </w:rPr>
                          <w:t>le, sono determinati il luogo e il calendario di svolgimento della prova scritta.</w:t>
                        </w:r>
                      </w:p>
                    </w:txbxContent>
                  </v:textbox>
                </v:rect>
                <v:rect id="Rectangle 202333" o:spid="_x0000_s6763" style="position:absolute;left:-12852;top:48866;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HJpyAAAAN8AAAAPAAAAZHJzL2Rvd25yZXYueG1sRI9Ba8JA&#10;FITvBf/D8oTe6sYEiqRuQlGkOfRStdDjI/tM0mbfLtnVpP56t1DwOMzMN8y6nEwvLjT4zrKC5SIB&#10;QVxb3XGj4HjYPa1A+ICssbdMCn7JQ1nMHtaYazvyB132oRERwj5HBW0ILpfS1y0Z9AvriKN3soPB&#10;EOXQSD3gGOGml2mSPEuDHceFFh1tWqp/9mej4GvLrtqNsj5dN+79u1r1b+fjp1KP8+n1BUSgKdzD&#10;/+1KK0iTNMsy+PsTv4AsbgAAAP//AwBQSwECLQAUAAYACAAAACEA2+H2y+4AAACFAQAAEwAAAAAA&#10;AAAAAAAAAAAAAAAAW0NvbnRlbnRfVHlwZXNdLnhtbFBLAQItABQABgAIAAAAIQBa9CxbvwAAABUB&#10;AAALAAAAAAAAAAAAAAAAAB8BAABfcmVscy8ucmVsc1BLAQItABQABgAIAAAAIQArRHJpyAAAAN8A&#10;AAAPAAAAAAAAAAAAAAAAAAcCAABkcnMvZG93bnJldi54bWxQSwUGAAAAAAMAAwC3AAAA/AIAAAAA&#10;" filled="f" stroked="f">
                  <v:textbox inset="0,0,0,0">
                    <w:txbxContent>
                      <w:p w14:paraId="6BE0880D" w14:textId="77777777" w:rsidR="00B32EF2" w:rsidRDefault="00000000">
                        <w:r>
                          <w:rPr>
                            <w:rFonts w:ascii="Arial" w:eastAsia="Arial" w:hAnsi="Arial" w:cs="Arial"/>
                            <w:sz w:val="18"/>
                          </w:rPr>
                          <w:t>. La domanda di partecipazione al concorso per esami per magistrato tributa</w:t>
                        </w:r>
                      </w:p>
                    </w:txbxContent>
                  </v:textbox>
                </v:rect>
                <v:rect id="Rectangle 202332" o:spid="_x0000_s6764" style="position:absolute;left:26351;top:48866;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NfyxwAAAN8AAAAPAAAAZHJzL2Rvd25yZXYueG1sRI9Ba8JA&#10;FITvBf/D8oTe6sYIRaKriCLNwUvVQo+P7DOJZt8u2dXE/vquIHgcZuYbZr7sTSNu1PrasoLxKAFB&#10;XFhdc6ngeNh+TEH4gKyxsUwK7uRhuRi8zTHTtuNvuu1DKSKEfYYKqhBcJqUvKjLoR9YRR+9kW4Mh&#10;yraUusUuwk0j0yT5lAZrjgsVOlpXVFz2V6Pgd8Mu33ayOP2t3e6cT5uv6/FHqfdhv5qBCNSHV/jZ&#10;zrWCNEknkxQef+IXkIt/AAAA//8DAFBLAQItABQABgAIAAAAIQDb4fbL7gAAAIUBAAATAAAAAAAA&#10;AAAAAAAAAAAAAABbQ29udGVudF9UeXBlc10ueG1sUEsBAi0AFAAGAAgAAAAhAFr0LFu/AAAAFQEA&#10;AAsAAAAAAAAAAAAAAAAAHwEAAF9yZWxzLy5yZWxzUEsBAi0AFAAGAAgAAAAhAEQI1/LHAAAA3wAA&#10;AA8AAAAAAAAAAAAAAAAABwIAAGRycy9kb3ducmV2LnhtbFBLBQYAAAAAAwADALcAAAD7AgAAAAA=&#10;" filled="f" stroked="f">
                  <v:textbox inset="0,0,0,0">
                    <w:txbxContent>
                      <w:p w14:paraId="14040CE4" w14:textId="77777777" w:rsidR="00B32EF2" w:rsidRDefault="00000000">
                        <w:r>
                          <w:rPr>
                            <w:rFonts w:ascii="Arial" w:eastAsia="Arial" w:hAnsi="Arial" w:cs="Arial"/>
                            <w:sz w:val="18"/>
                          </w:rPr>
                          <w:t>3</w:t>
                        </w:r>
                      </w:p>
                    </w:txbxContent>
                  </v:textbox>
                </v:rect>
                <v:rect id="Rectangle 22920" o:spid="_x0000_s6765" style="position:absolute;left:194;top:48866;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L6TxAAAAN4AAAAPAAAAZHJzL2Rvd25yZXYueG1sRI/NisIw&#10;FIX3A75DuIK7MbWLwalGEUWmCzc6Dszy0lzbanMTmmirT28WgsvD+eObL3vTiBu1vrasYDJOQBAX&#10;VtdcKjj+bj+nIHxA1thYJgV38rBcDD7mmGnb8Z5uh1CKOMI+QwVVCC6T0hcVGfRj64ijd7KtwRBl&#10;W0rdYhfHTSPTJPmSBmuODxU6WldUXA5Xo+B/wy7fdrI4PdZud86nzc/1+KfUaNivZiAC9eEdfrVz&#10;rSBNv9MIEHEiCsjFEwAA//8DAFBLAQItABQABgAIAAAAIQDb4fbL7gAAAIUBAAATAAAAAAAAAAAA&#10;AAAAAAAAAABbQ29udGVudF9UeXBlc10ueG1sUEsBAi0AFAAGAAgAAAAhAFr0LFu/AAAAFQEAAAsA&#10;AAAAAAAAAAAAAAAAHwEAAF9yZWxzLy5yZWxzUEsBAi0AFAAGAAgAAAAhAM1AvpPEAAAA3gAAAA8A&#10;AAAAAAAAAAAAAAAABwIAAGRycy9kb3ducmV2LnhtbFBLBQYAAAAAAwADALcAAAD4AgAAAAA=&#10;" filled="f" stroked="f">
                  <v:textbox inset="0,0,0,0">
                    <w:txbxContent>
                      <w:p w14:paraId="1711400A" w14:textId="77777777" w:rsidR="00B32EF2" w:rsidRDefault="00000000">
                        <w:r>
                          <w:rPr>
                            <w:rFonts w:ascii="Arial" w:eastAsia="Arial" w:hAnsi="Arial" w:cs="Arial"/>
                            <w:sz w:val="18"/>
                          </w:rPr>
                          <w:t>-</w:t>
                        </w:r>
                      </w:p>
                    </w:txbxContent>
                  </v:textbox>
                </v:rect>
                <v:rect id="Rectangle 22921" o:spid="_x0000_s6766" style="position:absolute;left:-13169;top:476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sIxgAAAN4AAAAPAAAAZHJzL2Rvd25yZXYueG1sRI9Ba8JA&#10;FITvBf/D8gRvdWMOotFVRBFz6KVqocdH9plEs2+X7GrS/vpuQfA4zMw3zHLdm0Y8qPW1ZQWTcQKC&#10;uLC65lLB+bR/n4HwAVljY5kU/JCH9WrwtsRM244/6XEMpYgQ9hkqqEJwmZS+qMigH1tHHL2LbQ2G&#10;KNtS6ha7CDeNTJNkKg3WHBcqdLStqLgd70bB945dvu9kcfnduo9rPmsO9/OXUqNhv1mACNSHV/jZ&#10;zrWCNJ2nE/i/E6+AXP0BAAD//wMAUEsBAi0AFAAGAAgAAAAhANvh9svuAAAAhQEAABMAAAAAAAAA&#10;AAAAAAAAAAAAAFtDb250ZW50X1R5cGVzXS54bWxQSwECLQAUAAYACAAAACEAWvQsW78AAAAVAQAA&#10;CwAAAAAAAAAAAAAAAAAfAQAAX3JlbHMvLnJlbHNQSwECLQAUAAYACAAAACEAogwbCMYAAADeAAAA&#10;DwAAAAAAAAAAAAAAAAAHAgAAZHJzL2Rvd25yZXYueG1sUEsFBgAAAAADAAMAtwAAAPoCAAAAAA==&#10;" filled="f" stroked="f">
                  <v:textbox inset="0,0,0,0">
                    <w:txbxContent>
                      <w:p w14:paraId="237A0C24" w14:textId="77777777" w:rsidR="00B32EF2" w:rsidRDefault="00000000">
                        <w:r>
                          <w:rPr>
                            <w:rFonts w:ascii="Arial" w:eastAsia="Arial" w:hAnsi="Arial" w:cs="Arial"/>
                            <w:sz w:val="18"/>
                          </w:rPr>
                          <w:t xml:space="preserve">rio è presentata, per via telematica, al Ministero dell’economia e delle finanze </w:t>
                        </w:r>
                      </w:p>
                    </w:txbxContent>
                  </v:textbox>
                </v:rect>
                <v:rect id="Rectangle 22922" o:spid="_x0000_s6767" style="position:absolute;left:-13168;top:46400;width:5308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oV/xgAAAN4AAAAPAAAAZHJzL2Rvd25yZXYueG1sRI9BawIx&#10;FITvBf9DeEJvNWsOxW6NIhbpHnrRKvT42Dx3VzcvYRPdbX99Iwgeh5n5hpkvB9uKK3WhcaxhOslA&#10;EJfONFxp2H9vXmYgQkQ22DomDb8UYLkYPc0xN67nLV13sRIJwiFHDXWMPpcylDVZDBPniZN3dJ3F&#10;mGRXSdNhn+C2lSrLXqXFhtNCjZ7WNZXn3cVq+PlgX2x6WR7/1v7rVMzaz8v+oPXzeFi9g4g0xEf4&#10;3i6MBqXelILbnXQF5OIfAAD//wMAUEsBAi0AFAAGAAgAAAAhANvh9svuAAAAhQEAABMAAAAAAAAA&#10;AAAAAAAAAAAAAFtDb250ZW50X1R5cGVzXS54bWxQSwECLQAUAAYACAAAACEAWvQsW78AAAAVAQAA&#10;CwAAAAAAAAAAAAAAAAAfAQAAX3JlbHMvLnJlbHNQSwECLQAUAAYACAAAACEAUt6Ff8YAAADeAAAA&#10;DwAAAAAAAAAAAAAAAAAHAgAAZHJzL2Rvd25yZXYueG1sUEsFBgAAAAADAAMAtwAAAPoCAAAAAA==&#10;" filled="f" stroked="f">
                  <v:textbox inset="0,0,0,0">
                    <w:txbxContent>
                      <w:p w14:paraId="0A50391F" w14:textId="77777777" w:rsidR="00B32EF2" w:rsidRDefault="00000000">
                        <w:r>
                          <w:rPr>
                            <w:rFonts w:ascii="Arial" w:eastAsia="Arial" w:hAnsi="Arial" w:cs="Arial"/>
                            <w:sz w:val="18"/>
                          </w:rPr>
                          <w:t xml:space="preserve">secondo le modalità e nei termini stabiliti con il bando di concorso. Il Consiglio </w:t>
                        </w:r>
                      </w:p>
                    </w:txbxContent>
                  </v:textbox>
                </v:rect>
                <v:rect id="Rectangle 22923" o:spid="_x0000_s6768" style="position:absolute;left:-13169;top:451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iDkxgAAAN4AAAAPAAAAZHJzL2Rvd25yZXYueG1sRI9Ba8JA&#10;FITvBf/D8gRvdWMKxUZXEUWag5daBY+P7DOJZt8u2dVEf323UOhxmJlvmPmyN424U+trywom4wQE&#10;cWF1zaWCw/f2dQrCB2SNjWVS8CAPy8XgZY6Zth1/0X0fShEh7DNUUIXgMil9UZFBP7aOOHpn2xoM&#10;Ubal1C12EW4amSbJuzRYc1yo0NG6ouK6vxkFpw27fNvJ4vxcu90lnzaft8NRqdGwX81ABOrDf/iv&#10;nWsFafqRvsHvnXgF5OIHAAD//wMAUEsBAi0AFAAGAAgAAAAhANvh9svuAAAAhQEAABMAAAAAAAAA&#10;AAAAAAAAAAAAAFtDb250ZW50X1R5cGVzXS54bWxQSwECLQAUAAYACAAAACEAWvQsW78AAAAVAQAA&#10;CwAAAAAAAAAAAAAAAAAfAQAAX3JlbHMvLnJlbHNQSwECLQAUAAYACAAAACEAPZIg5MYAAADeAAAA&#10;DwAAAAAAAAAAAAAAAAAHAgAAZHJzL2Rvd25yZXYueG1sUEsFBgAAAAADAAMAtwAAAPoCAAAAAA==&#10;" filled="f" stroked="f">
                  <v:textbox inset="0,0,0,0">
                    <w:txbxContent>
                      <w:p w14:paraId="60C278DC" w14:textId="77777777" w:rsidR="00B32EF2" w:rsidRDefault="00000000">
                        <w:r>
                          <w:rPr>
                            <w:rFonts w:ascii="Arial" w:eastAsia="Arial" w:hAnsi="Arial" w:cs="Arial"/>
                            <w:sz w:val="18"/>
                          </w:rPr>
                          <w:t xml:space="preserve">di presidenza della giustizia tributaria non ammette a partecipare al concorso i </w:t>
                        </w:r>
                      </w:p>
                    </w:txbxContent>
                  </v:textbox>
                </v:rect>
                <v:rect id="Rectangle 22924" o:spid="_x0000_s6769" style="position:absolute;left:-12203;top:43933;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7iQxgAAAN4AAAAPAAAAZHJzL2Rvd25yZXYueG1sRI9Ba8JA&#10;FITvBf/D8gRvdWMoxUZXEUWag5daBY+P7DOJZt8u2dVEf323UOhxmJlvmPmyN424U+trywom4wQE&#10;cWF1zaWCw/f2dQrCB2SNjWVS8CAPy8XgZY6Zth1/0X0fShEh7DNUUIXgMil9UZFBP7aOOHpn2xoM&#10;Ubal1C12EW4amSbJuzRYc1yo0NG6ouK6vxkFpw27fNvJ4vxcu90lnzaft8NRqdGwX81ABOrDf/iv&#10;nWsFafqRvsHvnXgF5OIHAAD//wMAUEsBAi0AFAAGAAgAAAAhANvh9svuAAAAhQEAABMAAAAAAAAA&#10;AAAAAAAAAAAAAFtDb250ZW50X1R5cGVzXS54bWxQSwECLQAUAAYACAAAACEAWvQsW78AAAAVAQAA&#10;CwAAAAAAAAAAAAAAAAAfAQAAX3JlbHMvLnJlbHNQSwECLQAUAAYACAAAACEAsnu4kMYAAADeAAAA&#10;DwAAAAAAAAAAAAAAAAAHAgAAZHJzL2Rvd25yZXYueG1sUEsFBgAAAAADAAMAtwAAAPoCAAAAAA==&#10;" filled="f" stroked="f">
                  <v:textbox inset="0,0,0,0">
                    <w:txbxContent>
                      <w:p w14:paraId="5F1C8178" w14:textId="77777777" w:rsidR="00B32EF2" w:rsidRDefault="00000000">
                        <w:r>
                          <w:rPr>
                            <w:rFonts w:ascii="Arial" w:eastAsia="Arial" w:hAnsi="Arial" w:cs="Arial"/>
                            <w:sz w:val="18"/>
                          </w:rPr>
                          <w:t>candidati le cui domande sono inviate in difformità da quanto stabilito nel ban</w:t>
                        </w:r>
                      </w:p>
                    </w:txbxContent>
                  </v:textbox>
                </v:rect>
                <v:rect id="Rectangle 22925" o:spid="_x0000_s6770" style="position:absolute;left:194;top:43933;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x0LxgAAAN4AAAAPAAAAZHJzL2Rvd25yZXYueG1sRI9Ba8JA&#10;FITvBf/D8gRvdWOgxUZXEUWag5daBY+P7DOJZt8u2dVEf323UOhxmJlvmPmyN424U+trywom4wQE&#10;cWF1zaWCw/f2dQrCB2SNjWVS8CAPy8XgZY6Zth1/0X0fShEh7DNUUIXgMil9UZFBP7aOOHpn2xoM&#10;Ubal1C12EW4amSbJuzRYc1yo0NG6ouK6vxkFpw27fNvJ4vxcu90lnzaft8NRqdGwX81ABOrDf/iv&#10;nWsFafqRvsHvnXgF5OIHAAD//wMAUEsBAi0AFAAGAAgAAAAhANvh9svuAAAAhQEAABMAAAAAAAAA&#10;AAAAAAAAAAAAAFtDb250ZW50X1R5cGVzXS54bWxQSwECLQAUAAYACAAAACEAWvQsW78AAAAVAQAA&#10;CwAAAAAAAAAAAAAAAAAfAQAAX3JlbHMvLnJlbHNQSwECLQAUAAYACAAAACEA3TcdC8YAAADeAAAA&#10;DwAAAAAAAAAAAAAAAAAHAgAAZHJzL2Rvd25yZXYueG1sUEsFBgAAAAADAAMAtwAAAPoCAAAAAA==&#10;" filled="f" stroked="f">
                  <v:textbox inset="0,0,0,0">
                    <w:txbxContent>
                      <w:p w14:paraId="04D72C99" w14:textId="77777777" w:rsidR="00B32EF2" w:rsidRDefault="00000000">
                        <w:r>
                          <w:rPr>
                            <w:rFonts w:ascii="Arial" w:eastAsia="Arial" w:hAnsi="Arial" w:cs="Arial"/>
                            <w:sz w:val="18"/>
                          </w:rPr>
                          <w:t>-</w:t>
                        </w:r>
                      </w:p>
                    </w:txbxContent>
                  </v:textbox>
                </v:rect>
                <v:rect id="Rectangle 22926" o:spid="_x0000_s6771" style="position:absolute;left:-13169;top:427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YN8xgAAAN4AAAAPAAAAZHJzL2Rvd25yZXYueG1sRI9Ba8JA&#10;FITvgv9heYXedNMcxKauIoo0By+1ETw+ss8kNft2ya4m+uvdQqHHYWa+YRarwbTiRp1vLCt4myYg&#10;iEurG64UFN+7yRyED8gaW8uk4E4eVsvxaIGZtj1/0e0QKhEh7DNUUIfgMil9WZNBP7WOOHpn2xkM&#10;UXaV1B32EW5amSbJTBpsOC7U6GhTU3k5XI2C05ZdvutleX5s3P4nn7ef1+Ko1OvLsP4AEWgI/+G/&#10;dq4VpOl7OoPfO/EKyOUTAAD//wMAUEsBAi0AFAAGAAgAAAAhANvh9svuAAAAhQEAABMAAAAAAAAA&#10;AAAAAAAAAAAAAFtDb250ZW50X1R5cGVzXS54bWxQSwECLQAUAAYACAAAACEAWvQsW78AAAAVAQAA&#10;CwAAAAAAAAAAAAAAAAAfAQAAX3JlbHMvLnJlbHNQSwECLQAUAAYACAAAACEALeWDfMYAAADeAAAA&#10;DwAAAAAAAAAAAAAAAAAHAgAAZHJzL2Rvd25yZXYueG1sUEsFBgAAAAADAAMAtwAAAPoCAAAAAA==&#10;" filled="f" stroked="f">
                  <v:textbox inset="0,0,0,0">
                    <w:txbxContent>
                      <w:p w14:paraId="3D0F1D3A" w14:textId="77777777" w:rsidR="00B32EF2" w:rsidRDefault="00000000">
                        <w:r>
                          <w:rPr>
                            <w:rFonts w:ascii="Arial" w:eastAsia="Arial" w:hAnsi="Arial" w:cs="Arial"/>
                            <w:sz w:val="18"/>
                          </w:rPr>
                          <w:t xml:space="preserve">do di concorso. Il provvedimento di esclusione è comunicato agli interessati </w:t>
                        </w:r>
                      </w:p>
                    </w:txbxContent>
                  </v:textbox>
                </v:rect>
                <v:rect id="Rectangle 22927" o:spid="_x0000_s6772" style="position:absolute;left:-3189;top:41466;width:43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SbnxwAAAN4AAAAPAAAAZHJzL2Rvd25yZXYueG1sRI9Ba8JA&#10;FITvBf/D8gRvdWMOrY2uIoo0By+1Ch4f2WcSzb5dsquJ/vpuodDjMDPfMPNlbxpxp9bXlhVMxgkI&#10;4sLqmksFh+/t6xSED8gaG8uk4EEelovByxwzbTv+ovs+lCJC2GeooArBZVL6oiKDfmwdcfTOtjUY&#10;omxLqVvsItw0Mk2SN2mw5rhQoaN1RcV1fzMKTht2+baTxfm5drtLPm0+b4ejUqNhv5qBCNSH//Bf&#10;O9cK0vQjfYffO/EKyMUPAAAA//8DAFBLAQItABQABgAIAAAAIQDb4fbL7gAAAIUBAAATAAAAAAAA&#10;AAAAAAAAAAAAAABbQ29udGVudF9UeXBlc10ueG1sUEsBAi0AFAAGAAgAAAAhAFr0LFu/AAAAFQEA&#10;AAsAAAAAAAAAAAAAAAAAHwEAAF9yZWxzLy5yZWxzUEsBAi0AFAAGAAgAAAAhAEKpJufHAAAA3gAA&#10;AA8AAAAAAAAAAAAAAAAABwIAAGRycy9kb3ducmV2LnhtbFBLBQYAAAAAAwADALcAAAD7AgAAAAA=&#10;" filled="f" stroked="f">
                  <v:textbox inset="0,0,0,0">
                    <w:txbxContent>
                      <w:p w14:paraId="5E478006" w14:textId="77777777" w:rsidR="00B32EF2" w:rsidRDefault="00000000">
                        <w:r>
                          <w:rPr>
                            <w:rFonts w:ascii="Arial" w:eastAsia="Arial" w:hAnsi="Arial" w:cs="Arial"/>
                            <w:sz w:val="18"/>
                          </w:rPr>
                          <w:t>almeno trenta giorni prima dello svolgimento della prova scritta.</w:t>
                        </w:r>
                      </w:p>
                    </w:txbxContent>
                  </v:textbox>
                </v:rect>
                <v:rect id="Rectangle 202329" o:spid="_x0000_s6773" style="position:absolute;left:26357;top:40233;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dNexwAAAN8AAAAPAAAAZHJzL2Rvd25yZXYueG1sRI9Ba8JA&#10;FITvBf/D8gRvdWMKxUZXEUWag5daBY+P7DOJZt8u2dVEf323UOhxmJlvmPmyN424U+trywom4wQE&#10;cWF1zaWCw/f2dQrCB2SNjWVS8CAPy8XgZY6Zth1/0X0fShEh7DNUUIXgMil9UZFBP7aOOHpn2xoM&#10;Ubal1C12EW4amSbJuzRYc1yo0NG6ouK6vxkFpw27fNvJ4vxcu90lnzaft8NRqdGwX81ABOrDf/iv&#10;nWsFaZK+pR/w+yd+Abn4AQAA//8DAFBLAQItABQABgAIAAAAIQDb4fbL7gAAAIUBAAATAAAAAAAA&#10;AAAAAAAAAAAAAABbQ29udGVudF9UeXBlc10ueG1sUEsBAi0AFAAGAAgAAAAhAFr0LFu/AAAAFQEA&#10;AAsAAAAAAAAAAAAAAAAAHwEAAF9yZWxzLy5yZWxzUEsBAi0AFAAGAAgAAAAhAM91017HAAAA3wAA&#10;AA8AAAAAAAAAAAAAAAAABwIAAGRycy9kb3ducmV2LnhtbFBLBQYAAAAAAwADALcAAAD7AgAAAAA=&#10;" filled="f" stroked="f">
                  <v:textbox inset="0,0,0,0">
                    <w:txbxContent>
                      <w:p w14:paraId="4DFE1A23" w14:textId="77777777" w:rsidR="00B32EF2" w:rsidRDefault="00000000">
                        <w:r>
                          <w:rPr>
                            <w:rFonts w:ascii="Arial" w:eastAsia="Arial" w:hAnsi="Arial" w:cs="Arial"/>
                            <w:sz w:val="18"/>
                          </w:rPr>
                          <w:t>4</w:t>
                        </w:r>
                      </w:p>
                    </w:txbxContent>
                  </v:textbox>
                </v:rect>
                <v:rect id="Rectangle 202330" o:spid="_x0000_s6774" style="position:absolute;left:-12815;top:40233;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uwexQAAAN8AAAAPAAAAZHJzL2Rvd25yZXYueG1sRI/NisIw&#10;FIX3A75DuIK7MbXCINUooohduBlHweWlubbV5iY00VaffrIYmOXh/PEtVr1pxJNaX1tWMBknIIgL&#10;q2suFZx+dp8zED4ga2wsk4IXeVgtBx8LzLTt+Juex1CKOMI+QwVVCC6T0hcVGfRj64ijd7WtwRBl&#10;W0rdYhfHTSPTJPmSBmuODxU62lRU3I8Po+CyZZfvOllc3xt3uOWzZv84nZUaDfv1HESgPvyH/9q5&#10;VpAm6XQaCSJPZAG5/AUAAP//AwBQSwECLQAUAAYACAAAACEA2+H2y+4AAACFAQAAEwAAAAAAAAAA&#10;AAAAAAAAAAAAW0NvbnRlbnRfVHlwZXNdLnhtbFBLAQItABQABgAIAAAAIQBa9CxbvwAAABUBAAAL&#10;AAAAAAAAAAAAAAAAAB8BAABfcmVscy8ucmVsc1BLAQItABQABgAIAAAAIQDbluwexQAAAN8AAAAP&#10;AAAAAAAAAAAAAAAAAAcCAABkcnMvZG93bnJldi54bWxQSwUGAAAAAAMAAwC3AAAA+QIAAAAA&#10;" filled="f" stroked="f">
                  <v:textbox inset="0,0,0,0">
                    <w:txbxContent>
                      <w:p w14:paraId="5C103A39" w14:textId="77777777" w:rsidR="00B32EF2" w:rsidRDefault="00000000">
                        <w:r>
                          <w:rPr>
                            <w:rFonts w:ascii="Arial" w:eastAsia="Arial" w:hAnsi="Arial" w:cs="Arial"/>
                            <w:sz w:val="18"/>
                          </w:rPr>
                          <w:t>. In considerazione del numero delle domande, la prova scritta può aver luo</w:t>
                        </w:r>
                      </w:p>
                    </w:txbxContent>
                  </v:textbox>
                </v:rect>
                <v:rect id="Rectangle 22929" o:spid="_x0000_s6775" style="position:absolute;left:194;top:40233;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cOxgAAAN4AAAAPAAAAZHJzL2Rvd25yZXYueG1sRI9Ba8JA&#10;FITvgv9heQVvumkOoqmriCLm0EttBI+P7DNJzb5dsquJ/fXdQqHHYWa+YVabwbTiQZ1vLCt4nSUg&#10;iEurG64UFJ+H6QKED8gaW8uk4EkeNuvxaIWZtj1/0OMUKhEh7DNUUIfgMil9WZNBP7OOOHpX2xkM&#10;UXaV1B32EW5amSbJXBpsOC7U6GhXU3k73Y2Cy55dfuhlef3eufevfNEe78VZqcnLsH0DEWgI/+G/&#10;dq4VpOkyXcLvnXgF5PoHAAD//wMAUEsBAi0AFAAGAAgAAAAhANvh9svuAAAAhQEAABMAAAAAAAAA&#10;AAAAAAAAAAAAAFtDb250ZW50X1R5cGVzXS54bWxQSwECLQAUAAYACAAAACEAWvQsW78AAAAVAQAA&#10;CwAAAAAAAAAAAAAAAAAfAQAAX3JlbHMvLnJlbHNQSwECLQAUAAYACAAAACEAXHoXDsYAAADeAAAA&#10;DwAAAAAAAAAAAAAAAAAHAgAAZHJzL2Rvd25yZXYueG1sUEsFBgAAAAADAAMAtwAAAPoCAAAAAA==&#10;" filled="f" stroked="f">
                  <v:textbox inset="0,0,0,0">
                    <w:txbxContent>
                      <w:p w14:paraId="290C61FF" w14:textId="77777777" w:rsidR="00B32EF2" w:rsidRDefault="00000000">
                        <w:r>
                          <w:rPr>
                            <w:rFonts w:ascii="Arial" w:eastAsia="Arial" w:hAnsi="Arial" w:cs="Arial"/>
                            <w:sz w:val="18"/>
                          </w:rPr>
                          <w:t>-</w:t>
                        </w:r>
                      </w:p>
                    </w:txbxContent>
                  </v:textbox>
                </v:rect>
                <v:rect id="Rectangle 22930" o:spid="_x0000_s6776" style="position:absolute;left:-13169;top:39000;width:530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ShOxgAAAN4AAAAPAAAAZHJzL2Rvd25yZXYueG1sRI/LasJA&#10;FIb3Bd9hOEJ3ddIUikYnUizSLLqpF3B5yJxcNHNmyIwm+vSdRaHLn//Gt1qPphM36n1rWcHrLAFB&#10;XFrdcq3gsN++zEH4gKyxs0wK7uRhnU+eVphpO/AP3XahFnGEfYYKmhBcJqUvGzLoZ9YRR6+yvcEQ&#10;ZV9L3eMQx00n0yR5lwZbjg8NOto0VF52V6Pg9Mmu2A6yrB4b930u5t3X9XBU6nk6fixBBBrDf/iv&#10;XWgFabp4iwARJ6KAzH8BAAD//wMAUEsBAi0AFAAGAAgAAAAhANvh9svuAAAAhQEAABMAAAAAAAAA&#10;AAAAAAAAAAAAAFtDb250ZW50X1R5cGVzXS54bWxQSwECLQAUAAYACAAAACEAWvQsW78AAAAVAQAA&#10;CwAAAAAAAAAAAAAAAAAfAQAAX3JlbHMvLnJlbHNQSwECLQAUAAYACAAAACEASJkoTsYAAADeAAAA&#10;DwAAAAAAAAAAAAAAAAAHAgAAZHJzL2Rvd25yZXYueG1sUEsFBgAAAAADAAMAtwAAAPoCAAAAAA==&#10;" filled="f" stroked="f">
                  <v:textbox inset="0,0,0,0">
                    <w:txbxContent>
                      <w:p w14:paraId="4DCB99B7" w14:textId="77777777" w:rsidR="00B32EF2" w:rsidRDefault="00000000">
                        <w:r>
                          <w:rPr>
                            <w:rFonts w:ascii="Arial" w:eastAsia="Arial" w:hAnsi="Arial" w:cs="Arial"/>
                            <w:sz w:val="18"/>
                          </w:rPr>
                          <w:t xml:space="preserve">go contemporaneamente in Roma e in altre sedi, assicurando il collegamento </w:t>
                        </w:r>
                      </w:p>
                    </w:txbxContent>
                  </v:textbox>
                </v:rect>
                <v:rect id="Rectangle 22931" o:spid="_x0000_s6777" style="position:absolute;left:-2970;top:37767;width:428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Y3VxwAAAN4AAAAPAAAAZHJzL2Rvd25yZXYueG1sRI9Pa8JA&#10;FMTvhX6H5Qm96cYURFNXEYs0By/1D/T4yD6TaPbtkl1N6qd3C0KPw8z8hpkve9OIG7W+tqxgPEpA&#10;EBdW11wqOOw3wykIH5A1NpZJwS95WC5eX+aYadvxN912oRQRwj5DBVUILpPSFxUZ9CPriKN3sq3B&#10;EGVbSt1iF+GmkWmSTKTBmuNChY7WFRWX3dUo+Plkl286WZzua7c959Pm63o4KvU26FcfIAL14T/8&#10;bOdaQZrO3sfwdydeAbl4AAAA//8DAFBLAQItABQABgAIAAAAIQDb4fbL7gAAAIUBAAATAAAAAAAA&#10;AAAAAAAAAAAAAABbQ29udGVudF9UeXBlc10ueG1sUEsBAi0AFAAGAAgAAAAhAFr0LFu/AAAAFQEA&#10;AAsAAAAAAAAAAAAAAAAAHwEAAF9yZWxzLy5yZWxzUEsBAi0AFAAGAAgAAAAhACfVjdXHAAAA3gAA&#10;AA8AAAAAAAAAAAAAAAAABwIAAGRycy9kb3ducmV2LnhtbFBLBQYAAAAAAwADALcAAAD7AgAAAAA=&#10;" filled="f" stroked="f">
                  <v:textbox inset="0,0,0,0">
                    <w:txbxContent>
                      <w:p w14:paraId="023BC471" w14:textId="77777777" w:rsidR="00B32EF2" w:rsidRDefault="00000000">
                        <w:r>
                          <w:rPr>
                            <w:rFonts w:ascii="Arial" w:eastAsia="Arial" w:hAnsi="Arial" w:cs="Arial"/>
                            <w:sz w:val="18"/>
                          </w:rPr>
                          <w:t>a distanza della commissione esaminatrice con le diverse sedi.</w:t>
                        </w:r>
                      </w:p>
                    </w:txbxContent>
                  </v:textbox>
                </v:rect>
                <v:rect id="Rectangle 202328" o:spid="_x0000_s6778" style="position:absolute;left:-12860;top:36533;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XbFxQAAAN8AAAAPAAAAZHJzL2Rvd25yZXYueG1sRE89a8Mw&#10;EN0L+Q/iAtkaOS4U40YJxcHUQ5a6KXQ8rIvt1joJS4md/PpqKHR8vO/tfjaDuNLoe8sKNusEBHFj&#10;dc+tgtNH+ZiB8AFZ42CZFNzIw363eNhiru3E73StQytiCPscFXQhuFxK33Rk0K+tI47c2Y4GQ4Rj&#10;K/WIUww3g0yT5Fka7Dk2dOio6Kj5qS9GwdeBXVVOsjnfC3f8rrLh7XL6VGq1nF9fQASaw7/4z11p&#10;BWmSPqVxcPwTv4Dc/QIAAP//AwBQSwECLQAUAAYACAAAACEA2+H2y+4AAACFAQAAEwAAAAAAAAAA&#10;AAAAAAAAAAAAW0NvbnRlbnRfVHlwZXNdLnhtbFBLAQItABQABgAIAAAAIQBa9CxbvwAAABUBAAAL&#10;AAAAAAAAAAAAAAAAAB8BAABfcmVscy8ucmVsc1BLAQItABQABgAIAAAAIQCgOXbFxQAAAN8AAAAP&#10;AAAAAAAAAAAAAAAAAAcCAABkcnMvZG93bnJldi54bWxQSwUGAAAAAAMAAwC3AAAA+QIAAAAA&#10;" filled="f" stroked="f">
                  <v:textbox inset="0,0,0,0">
                    <w:txbxContent>
                      <w:p w14:paraId="79E7AFD0" w14:textId="77777777" w:rsidR="00B32EF2" w:rsidRDefault="00000000">
                        <w:r>
                          <w:rPr>
                            <w:rFonts w:ascii="Arial" w:eastAsia="Arial" w:hAnsi="Arial" w:cs="Arial"/>
                            <w:sz w:val="18"/>
                          </w:rPr>
                          <w:t>. Ove la prova scritta abbia luogo contemporaneamente in più sedi, la commis</w:t>
                        </w:r>
                      </w:p>
                    </w:txbxContent>
                  </v:textbox>
                </v:rect>
                <v:rect id="Rectangle 202327" o:spid="_x0000_s6779" style="position:absolute;left:26351;top:36533;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uK3xwAAAN8AAAAPAAAAZHJzL2Rvd25yZXYueG1sRI9Ba8JA&#10;FITvBf/D8gRvdWMKrURXEUWag5daBY+P7DOJZt8u2dVEf323UOhxmJlvmPmyN424U+trywom4wQE&#10;cWF1zaWCw/f2dQrCB2SNjWVS8CAPy8XgZY6Zth1/0X0fShEh7DNUUIXgMil9UZFBP7aOOHpn2xoM&#10;Ubal1C12EW4amSbJuzRYc1yo0NG6ouK6vxkFpw27fNvJ4vxcu90lnzaft8NRqdGwX81ABOrDf/iv&#10;nWsFaZK+pR/w+yd+Abn4AQAA//8DAFBLAQItABQABgAIAAAAIQDb4fbL7gAAAIUBAAATAAAAAAAA&#10;AAAAAAAAAAAAAABbQ29udGVudF9UeXBlc10ueG1sUEsBAi0AFAAGAAgAAAAhAFr0LFu/AAAAFQEA&#10;AAsAAAAAAAAAAAAAAAAAHwEAAF9yZWxzLy5yZWxzUEsBAi0AFAAGAAgAAAAhANGm4rfHAAAA3wAA&#10;AA8AAAAAAAAAAAAAAAAABwIAAGRycy9kb3ducmV2LnhtbFBLBQYAAAAAAwADALcAAAD7AgAAAAA=&#10;" filled="f" stroked="f">
                  <v:textbox inset="0,0,0,0">
                    <w:txbxContent>
                      <w:p w14:paraId="5E1A86B5" w14:textId="77777777" w:rsidR="00B32EF2" w:rsidRDefault="00000000">
                        <w:r>
                          <w:rPr>
                            <w:rFonts w:ascii="Arial" w:eastAsia="Arial" w:hAnsi="Arial" w:cs="Arial"/>
                            <w:sz w:val="18"/>
                          </w:rPr>
                          <w:t>5</w:t>
                        </w:r>
                      </w:p>
                    </w:txbxContent>
                  </v:textbox>
                </v:rect>
                <v:rect id="Rectangle 22933" o:spid="_x0000_s6780" style="position:absolute;left:194;top:36533;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7Y5xwAAAN4AAAAPAAAAZHJzL2Rvd25yZXYueG1sRI9Pa8JA&#10;FMTvBb/D8oTedNMIotFVikWag5f6Bzw+ss8kbfbtkl1N6qd3C0KPw8z8hlmue9OIG7W+tqzgbZyA&#10;IC6srrlUcDxsRzMQPiBrbCyTgl/ysF4NXpaYadvxF932oRQRwj5DBVUILpPSFxUZ9GPriKN3sa3B&#10;EGVbSt1iF+GmkWmSTKXBmuNChY42FRU/+6tRcP5gl287WVzuG7f7zmfN5/V4Uup12L8vQATqw3/4&#10;2c61gjSdTybwdydeAbl6AAAA//8DAFBLAQItABQABgAIAAAAIQDb4fbL7gAAAIUBAAATAAAAAAAA&#10;AAAAAAAAAAAAAABbQ29udGVudF9UeXBlc10ueG1sUEsBAi0AFAAGAAgAAAAhAFr0LFu/AAAAFQEA&#10;AAsAAAAAAAAAAAAAAAAAHwEAAF9yZWxzLy5yZWxzUEsBAi0AFAAGAAgAAAAhALhLtjnHAAAA3gAA&#10;AA8AAAAAAAAAAAAAAAAABwIAAGRycy9kb3ducmV2LnhtbFBLBQYAAAAAAwADALcAAAD7AgAAAAA=&#10;" filled="f" stroked="f">
                  <v:textbox inset="0,0,0,0">
                    <w:txbxContent>
                      <w:p w14:paraId="5C993EC6" w14:textId="77777777" w:rsidR="00B32EF2" w:rsidRDefault="00000000">
                        <w:r>
                          <w:rPr>
                            <w:rFonts w:ascii="Arial" w:eastAsia="Arial" w:hAnsi="Arial" w:cs="Arial"/>
                            <w:sz w:val="18"/>
                          </w:rPr>
                          <w:t>-</w:t>
                        </w:r>
                      </w:p>
                    </w:txbxContent>
                  </v:textbox>
                </v:rect>
                <v:rect id="Rectangle 22934" o:spid="_x0000_s6781" style="position:absolute;left:-13171;top:35300;width:53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i5NxwAAAN4AAAAPAAAAZHJzL2Rvd25yZXYueG1sRI9Ba8JA&#10;FITvgv9heUJvumkqJU1dRRRpDr1oLfT4yD6TtNm3S3Y1qb++KxQ8DjPzDbNYDaYVF+p8Y1nB4ywB&#10;QVxa3XCl4Pixm2YgfEDW2FomBb/kYbUcjxaYa9vzni6HUIkIYZ+jgjoEl0vpy5oM+pl1xNE72c5g&#10;iLKrpO6wj3DTyjRJnqXBhuNCjY42NZU/h7NR8LVlV+x6WZ6uG/f+XWTt2/n4qdTDZFi/ggg0hHv4&#10;v11oBWn68jSH2514BeTyDwAA//8DAFBLAQItABQABgAIAAAAIQDb4fbL7gAAAIUBAAATAAAAAAAA&#10;AAAAAAAAAAAAAABbQ29udGVudF9UeXBlc10ueG1sUEsBAi0AFAAGAAgAAAAhAFr0LFu/AAAAFQEA&#10;AAsAAAAAAAAAAAAAAAAAHwEAAF9yZWxzLy5yZWxzUEsBAi0AFAAGAAgAAAAhADeiLk3HAAAA3gAA&#10;AA8AAAAAAAAAAAAAAAAABwIAAGRycy9kb3ducmV2LnhtbFBLBQYAAAAAAwADALcAAAD7AgAAAAA=&#10;" filled="f" stroked="f">
                  <v:textbox inset="0,0,0,0">
                    <w:txbxContent>
                      <w:p w14:paraId="635B2BC3" w14:textId="77777777" w:rsidR="00B32EF2" w:rsidRDefault="00000000">
                        <w:r>
                          <w:rPr>
                            <w:rFonts w:ascii="Arial" w:eastAsia="Arial" w:hAnsi="Arial" w:cs="Arial"/>
                            <w:sz w:val="18"/>
                          </w:rPr>
                          <w:t xml:space="preserve">sione esaminatrice espleta le operazioni inerenti alla formulazione e alla scelta </w:t>
                        </w:r>
                      </w:p>
                    </w:txbxContent>
                  </v:textbox>
                </v:rect>
                <v:rect id="Rectangle 22935" o:spid="_x0000_s6782" style="position:absolute;left:-13161;top:34067;width:53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ovWxwAAAN4AAAAPAAAAZHJzL2Rvd25yZXYueG1sRI9Ba8JA&#10;FITvgv9heUJvummKJU1dRRRpDr1oLfT4yD6TtNm3S3Y1qb++KxQ8DjPzDbNYDaYVF+p8Y1nB4ywB&#10;QVxa3XCl4Pixm2YgfEDW2FomBb/kYbUcjxaYa9vzni6HUIkIYZ+jgjoEl0vpy5oM+pl1xNE72c5g&#10;iLKrpO6wj3DTyjRJnqXBhuNCjY42NZU/h7NR8LVlV+x6WZ6uG/f+XWTt2/n4qdTDZFi/ggg0hHv4&#10;v11oBWn68jSH2514BeTyDwAA//8DAFBLAQItABQABgAIAAAAIQDb4fbL7gAAAIUBAAATAAAAAAAA&#10;AAAAAAAAAAAAAABbQ29udGVudF9UeXBlc10ueG1sUEsBAi0AFAAGAAgAAAAhAFr0LFu/AAAAFQEA&#10;AAsAAAAAAAAAAAAAAAAAHwEAAF9yZWxzLy5yZWxzUEsBAi0AFAAGAAgAAAAhAFjui9bHAAAA3gAA&#10;AA8AAAAAAAAAAAAAAAAABwIAAGRycy9kb3ducmV2LnhtbFBLBQYAAAAAAwADALcAAAD7AgAAAAA=&#10;" filled="f" stroked="f">
                  <v:textbox inset="0,0,0,0">
                    <w:txbxContent>
                      <w:p w14:paraId="20189EBF" w14:textId="77777777" w:rsidR="00B32EF2" w:rsidRDefault="00000000">
                        <w:r>
                          <w:rPr>
                            <w:rFonts w:ascii="Arial" w:eastAsia="Arial" w:hAnsi="Arial" w:cs="Arial"/>
                            <w:sz w:val="18"/>
                          </w:rPr>
                          <w:t xml:space="preserve">dei temi e presiede allo svolgimento delle prove presso la sede di svolgimento </w:t>
                        </w:r>
                      </w:p>
                    </w:txbxContent>
                  </v:textbox>
                </v:rect>
                <v:rect id="Rectangle 22936" o:spid="_x0000_s6783" style="position:absolute;left:-13161;top:32833;width:53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WhxwAAAN4AAAAPAAAAZHJzL2Rvd25yZXYueG1sRI9Ba8JA&#10;FITvBf/D8oTedNMUxKauUhQxBy9VCz0+ss8kmn27ZFcT/fVuQehxmJlvmNmiN424UutrywrexgkI&#10;4sLqmksFh/16NAXhA7LGxjIpuJGHxXzwMsNM246/6boLpYgQ9hkqqEJwmZS+qMigH1tHHL2jbQ2G&#10;KNtS6ha7CDeNTJNkIg3WHBcqdLSsqDjvLkbB74pdvu5kcbwv3faUT5vN5fCj1Ouw//oEEagP/+Fn&#10;O9cK0vTjfQJ/d+IVkPMHAAAA//8DAFBLAQItABQABgAIAAAAIQDb4fbL7gAAAIUBAAATAAAAAAAA&#10;AAAAAAAAAAAAAABbQ29udGVudF9UeXBlc10ueG1sUEsBAi0AFAAGAAgAAAAhAFr0LFu/AAAAFQEA&#10;AAsAAAAAAAAAAAAAAAAAHwEAAF9yZWxzLy5yZWxzUEsBAi0AFAAGAAgAAAAhAKg8FaHHAAAA3gAA&#10;AA8AAAAAAAAAAAAAAAAABwIAAGRycy9kb3ducmV2LnhtbFBLBQYAAAAAAwADALcAAAD7AgAAAAA=&#10;" filled="f" stroked="f">
                  <v:textbox inset="0,0,0,0">
                    <w:txbxContent>
                      <w:p w14:paraId="5DDB0202" w14:textId="77777777" w:rsidR="00B32EF2" w:rsidRDefault="00000000">
                        <w:r>
                          <w:rPr>
                            <w:rFonts w:ascii="Arial" w:eastAsia="Arial" w:hAnsi="Arial" w:cs="Arial"/>
                            <w:sz w:val="18"/>
                          </w:rPr>
                          <w:t xml:space="preserve">della prova in Roma. Presso le altre sedi le funzioni della commissione per il </w:t>
                        </w:r>
                      </w:p>
                    </w:txbxContent>
                  </v:textbox>
                </v:rect>
                <v:rect id="Rectangle 22937" o:spid="_x0000_s6784" style="position:absolute;left:-12210;top:31600;width:521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A6xwAAAN4AAAAPAAAAZHJzL2Rvd25yZXYueG1sRI9Ba8JA&#10;FITvgv9heUJvumkKNk1dRRRpDr1oLfT4yD6TtNm3S3Y1qb++KxQ8DjPzDbNYDaYVF+p8Y1nB4ywB&#10;QVxa3XCl4Pixm2YgfEDW2FomBb/kYbUcjxaYa9vzni6HUIkIYZ+jgjoEl0vpy5oM+pl1xNE72c5g&#10;iLKrpO6wj3DTyjRJ5tJgw3GhRkebmsqfw9ko+NqyK3a9LE/XjXv/LrL27Xz8VOphMqxfQQQawj38&#10;3y60gjR9eXqG2514BeTyDwAA//8DAFBLAQItABQABgAIAAAAIQDb4fbL7gAAAIUBAAATAAAAAAAA&#10;AAAAAAAAAAAAAABbQ29udGVudF9UeXBlc10ueG1sUEsBAi0AFAAGAAgAAAAhAFr0LFu/AAAAFQEA&#10;AAsAAAAAAAAAAAAAAAAAHwEAAF9yZWxzLy5yZWxzUEsBAi0AFAAGAAgAAAAhAMdwsDrHAAAA3gAA&#10;AA8AAAAAAAAAAAAAAAAABwIAAGRycy9kb3ducmV2LnhtbFBLBQYAAAAAAwADALcAAAD7AgAAAAA=&#10;" filled="f" stroked="f">
                  <v:textbox inset="0,0,0,0">
                    <w:txbxContent>
                      <w:p w14:paraId="4240E93E" w14:textId="77777777" w:rsidR="00B32EF2" w:rsidRDefault="00000000">
                        <w:r>
                          <w:rPr>
                            <w:rFonts w:ascii="Arial" w:eastAsia="Arial" w:hAnsi="Arial" w:cs="Arial"/>
                            <w:sz w:val="18"/>
                          </w:rPr>
                          <w:t>regolare espletamento delle prove scritte sono attribuite ad un comitato di vi</w:t>
                        </w:r>
                      </w:p>
                    </w:txbxContent>
                  </v:textbox>
                </v:rect>
                <v:rect id="Rectangle 22938" o:spid="_x0000_s6785" style="position:absolute;left:194;top:3160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yRIxAAAAN4AAAAPAAAAZHJzL2Rvd25yZXYueG1sRE/LasJA&#10;FN0X/IfhCt3VSVMoGp1IsUiz6KY+wOUlc/PQzJ0hM5ro13cWhS4P571aj6YTN+p9a1nB6ywBQVxa&#10;3XKt4LDfvsxB+ICssbNMCu7kYZ1PnlaYaTvwD912oRYxhH2GCpoQXCalLxsy6GfWEUeusr3BEGFf&#10;S93jEMNNJ9MkeZcGW44NDTraNFRedlej4PTJrtgOsqweG/d9Lubd1/VwVOp5On4sQQQaw7/4z11o&#10;BWm6eIt74514BWT+CwAA//8DAFBLAQItABQABgAIAAAAIQDb4fbL7gAAAIUBAAATAAAAAAAAAAAA&#10;AAAAAAAAAABbQ29udGVudF9UeXBlc10ueG1sUEsBAi0AFAAGAAgAAAAhAFr0LFu/AAAAFQEAAAsA&#10;AAAAAAAAAAAAAAAAHwEAAF9yZWxzLy5yZWxzUEsBAi0AFAAGAAgAAAAhALbvJEjEAAAA3gAAAA8A&#10;AAAAAAAAAAAAAAAABwIAAGRycy9kb3ducmV2LnhtbFBLBQYAAAAAAwADALcAAAD4AgAAAAA=&#10;" filled="f" stroked="f">
                  <v:textbox inset="0,0,0,0">
                    <w:txbxContent>
                      <w:p w14:paraId="05D56B4D" w14:textId="77777777" w:rsidR="00B32EF2" w:rsidRDefault="00000000">
                        <w:r>
                          <w:rPr>
                            <w:rFonts w:ascii="Arial" w:eastAsia="Arial" w:hAnsi="Arial" w:cs="Arial"/>
                            <w:sz w:val="18"/>
                          </w:rPr>
                          <w:t>-</w:t>
                        </w:r>
                      </w:p>
                    </w:txbxContent>
                  </v:textbox>
                </v:rect>
                <v:rect id="Rectangle 22939" o:spid="_x0000_s6786" style="position:absolute;left:-12197;top:30367;width:521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4HTxwAAAN4AAAAPAAAAZHJzL2Rvd25yZXYueG1sRI9Pa8JA&#10;FMTvgt9heYI33TRC0egqxSLNoZf6Bzw+ss8kbfbtkl1N2k/fFQSPw8z8hlltetOIG7W+tqzgZZqA&#10;IC6srrlUcDzsJnMQPiBrbCyTgl/ysFkPByvMtO34i277UIoIYZ+hgioEl0npi4oM+ql1xNG72NZg&#10;iLItpW6xi3DTyDRJXqXBmuNChY62FRU/+6tRcH5nl+86WVz+tu7zO583H9fjSanxqH9bggjUh2f4&#10;0c61gjRdzBZwvxOvgFz/AwAA//8DAFBLAQItABQABgAIAAAAIQDb4fbL7gAAAIUBAAATAAAAAAAA&#10;AAAAAAAAAAAAAABbQ29udGVudF9UeXBlc10ueG1sUEsBAi0AFAAGAAgAAAAhAFr0LFu/AAAAFQEA&#10;AAsAAAAAAAAAAAAAAAAAHwEAAF9yZWxzLy5yZWxzUEsBAi0AFAAGAAgAAAAhANmjgdPHAAAA3gAA&#10;AA8AAAAAAAAAAAAAAAAABwIAAGRycy9kb3ducmV2LnhtbFBLBQYAAAAAAwADALcAAAD7AgAAAAA=&#10;" filled="f" stroked="f">
                  <v:textbox inset="0,0,0,0">
                    <w:txbxContent>
                      <w:p w14:paraId="08029D00" w14:textId="77777777" w:rsidR="00B32EF2" w:rsidRDefault="00000000">
                        <w:r>
                          <w:rPr>
                            <w:rFonts w:ascii="Arial" w:eastAsia="Arial" w:hAnsi="Arial" w:cs="Arial"/>
                            <w:sz w:val="18"/>
                          </w:rPr>
                          <w:t>gilanza nominato con decreto del Ministro dell’economia e delle finanze, pre</w:t>
                        </w:r>
                      </w:p>
                    </w:txbxContent>
                  </v:textbox>
                </v:rect>
                <v:rect id="Rectangle 22940" o:spid="_x0000_s6787" style="position:absolute;left:194;top:3036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1szxgAAAN4AAAAPAAAAZHJzL2Rvd25yZXYueG1sRI/LasJA&#10;FIb3Bd9hOEJ3ddJQikYnUizSLLqpF3B5yJxcNHNmyIwm+vSdRaHLn//Gt1qPphM36n1rWcHrLAFB&#10;XFrdcq3gsN++zEH4gKyxs0wK7uRhnU+eVphpO/AP3XahFnGEfYYKmhBcJqUvGzLoZ9YRR6+yvcEQ&#10;ZV9L3eMQx00n0yR5lwZbjg8NOto0VF52V6Pg9Mmu2A6yrB4b930u5t3X9XBU6nk6fixBBBrDf/iv&#10;XWgFabp4iwARJ6KAzH8BAAD//wMAUEsBAi0AFAAGAAgAAAAhANvh9svuAAAAhQEAABMAAAAAAAAA&#10;AAAAAAAAAAAAAFtDb250ZW50X1R5cGVzXS54bWxQSwECLQAUAAYACAAAACEAWvQsW78AAAAVAQAA&#10;CwAAAAAAAAAAAAAAAAAfAQAAX3JlbHMvLnJlbHNQSwECLQAUAAYACAAAACEAEJ9bM8YAAADeAAAA&#10;DwAAAAAAAAAAAAAAAAAHAgAAZHJzL2Rvd25yZXYueG1sUEsFBgAAAAADAAMAtwAAAPoCAAAAAA==&#10;" filled="f" stroked="f">
                  <v:textbox inset="0,0,0,0">
                    <w:txbxContent>
                      <w:p w14:paraId="2E4F8E75" w14:textId="77777777" w:rsidR="00B32EF2" w:rsidRDefault="00000000">
                        <w:r>
                          <w:rPr>
                            <w:rFonts w:ascii="Arial" w:eastAsia="Arial" w:hAnsi="Arial" w:cs="Arial"/>
                            <w:sz w:val="18"/>
                          </w:rPr>
                          <w:t>-</w:t>
                        </w:r>
                      </w:p>
                    </w:txbxContent>
                  </v:textbox>
                </v:rect>
                <v:rect id="Rectangle 22941" o:spid="_x0000_s6788" style="position:absolute;left:-13167;top:29133;width:530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oxwAAAN4AAAAPAAAAZHJzL2Rvd25yZXYueG1sRI9Pa8JA&#10;FMTvhX6H5Qm96cZQRFNXEYs0By/1D/T4yD6TaPbtkl1N6qd3C0KPw8z8hpkve9OIG7W+tqxgPEpA&#10;EBdW11wqOOw3wykIH5A1NpZJwS95WC5eX+aYadvxN912oRQRwj5DBVUILpPSFxUZ9CPriKN3sq3B&#10;EGVbSt1iF+GmkWmSTKTBmuNChY7WFRWX3dUo+Plkl286WZzua7c959Pm63o4KvU26FcfIAL14T/8&#10;bOdaQZrO3sfwdydeAbl4AAAA//8DAFBLAQItABQABgAIAAAAIQDb4fbL7gAAAIUBAAATAAAAAAAA&#10;AAAAAAAAAAAAAABbQ29udGVudF9UeXBlc10ueG1sUEsBAi0AFAAGAAgAAAAhAFr0LFu/AAAAFQEA&#10;AAsAAAAAAAAAAAAAAAAAHwEAAF9yZWxzLy5yZWxzUEsBAi0AFAAGAAgAAAAhAH/T/qjHAAAA3gAA&#10;AA8AAAAAAAAAAAAAAAAABwIAAGRycy9kb3ducmV2LnhtbFBLBQYAAAAAAwADALcAAAD7AgAAAAA=&#10;" filled="f" stroked="f">
                  <v:textbox inset="0,0,0,0">
                    <w:txbxContent>
                      <w:p w14:paraId="7EC03EE2" w14:textId="77777777" w:rsidR="00B32EF2" w:rsidRDefault="00000000">
                        <w:r>
                          <w:rPr>
                            <w:rFonts w:ascii="Arial" w:eastAsia="Arial" w:hAnsi="Arial" w:cs="Arial"/>
                            <w:sz w:val="18"/>
                          </w:rPr>
                          <w:t xml:space="preserve">via delibera del Consiglio di presidenza della giustizia tributaria, e composto </w:t>
                        </w:r>
                      </w:p>
                    </w:txbxContent>
                  </v:textbox>
                </v:rect>
                <v:rect id="Rectangle 22942" o:spid="_x0000_s6789" style="position:absolute;left:-13162;top:27900;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WDfxgAAAN4AAAAPAAAAZHJzL2Rvd25yZXYueG1sRI9Ba8JA&#10;FITvBf/D8gRvdWMoxUZXEUWag5daBY+P7DOJZt8u2dVEf323UOhxmJlvmPmyN424U+trywom4wQE&#10;cWF1zaWCw/f2dQrCB2SNjWVS8CAPy8XgZY6Zth1/0X0fShEh7DNUUIXgMil9UZFBP7aOOHpn2xoM&#10;Ubal1C12EW4amSbJuzRYc1yo0NG6ouK6vxkFpw27fNvJ4vxcu90lnzaft8NRqdGwX81ABOrDf/iv&#10;nWsFafrxlsLvnXgF5OIHAAD//wMAUEsBAi0AFAAGAAgAAAAhANvh9svuAAAAhQEAABMAAAAAAAAA&#10;AAAAAAAAAAAAAFtDb250ZW50X1R5cGVzXS54bWxQSwECLQAUAAYACAAAACEAWvQsW78AAAAVAQAA&#10;CwAAAAAAAAAAAAAAAAAfAQAAX3JlbHMvLnJlbHNQSwECLQAUAAYACAAAACEAjwFg38YAAADeAAAA&#10;DwAAAAAAAAAAAAAAAAAHAgAAZHJzL2Rvd25yZXYueG1sUEsFBgAAAAADAAMAtwAAAPoCAAAAAA==&#10;" filled="f" stroked="f">
                  <v:textbox inset="0,0,0,0">
                    <w:txbxContent>
                      <w:p w14:paraId="245C9B00" w14:textId="77777777" w:rsidR="00B32EF2" w:rsidRDefault="00000000">
                        <w:r>
                          <w:rPr>
                            <w:rFonts w:ascii="Arial" w:eastAsia="Arial" w:hAnsi="Arial" w:cs="Arial"/>
                            <w:sz w:val="18"/>
                          </w:rPr>
                          <w:t xml:space="preserve">da cinque magistrati scelti tra i magistrati tributari di cui all’articolo 2, comma 4, </w:t>
                        </w:r>
                      </w:p>
                    </w:txbxContent>
                  </v:textbox>
                </v:rect>
                <v:rect id="Rectangle 22943" o:spid="_x0000_s6790" style="position:absolute;left:-13162;top:26667;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cVExwAAAN4AAAAPAAAAZHJzL2Rvd25yZXYueG1sRI9Ba8JA&#10;FITvgv9heUJvumkqJU1dRRRpDr1oLfT4yD6TtNm3S3Y1qb++KxQ8DjPzDbNYDaYVF+p8Y1nB4ywB&#10;QVxa3XCl4Pixm2YgfEDW2FomBb/kYbUcjxaYa9vzni6HUIkIYZ+jgjoEl0vpy5oM+pl1xNE72c5g&#10;iLKrpO6wj3DTyjRJnqXBhuNCjY42NZU/h7NR8LVlV+x6WZ6uG/f+XWTt2/n4qdTDZFi/ggg0hHv4&#10;v11oBWn6Mn+C2514BeTyDwAA//8DAFBLAQItABQABgAIAAAAIQDb4fbL7gAAAIUBAAATAAAAAAAA&#10;AAAAAAAAAAAAAABbQ29udGVudF9UeXBlc10ueG1sUEsBAi0AFAAGAAgAAAAhAFr0LFu/AAAAFQEA&#10;AAsAAAAAAAAAAAAAAAAAHwEAAF9yZWxzLy5yZWxzUEsBAi0AFAAGAAgAAAAhAOBNxUTHAAAA3gAA&#10;AA8AAAAAAAAAAAAAAAAABwIAAGRycy9kb3ducmV2LnhtbFBLBQYAAAAAAwADALcAAAD7AgAAAAA=&#10;" filled="f" stroked="f">
                  <v:textbox inset="0,0,0,0">
                    <w:txbxContent>
                      <w:p w14:paraId="62E5A34F" w14:textId="77777777" w:rsidR="00B32EF2" w:rsidRDefault="00000000">
                        <w:r>
                          <w:rPr>
                            <w:rFonts w:ascii="Arial" w:eastAsia="Arial" w:hAnsi="Arial" w:cs="Arial"/>
                            <w:sz w:val="18"/>
                          </w:rPr>
                          <w:t xml:space="preserve">ovvero tra quelli ordinari, amministrativi, contabili o militari, in servizio o a riposo </w:t>
                        </w:r>
                      </w:p>
                    </w:txbxContent>
                  </v:textbox>
                </v:rect>
                <v:rect id="Rectangle 22944" o:spid="_x0000_s6791" style="position:absolute;left:-12212;top:25434;width:5210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F0wxwAAAN4AAAAPAAAAZHJzL2Rvd25yZXYueG1sRI9Pa8JA&#10;FMTvBb/D8oTedNMgotFVikWag5f6Bzw+ss8kbfbtkl1N6qd3C0KPw8z8hlmue9OIG7W+tqzgbZyA&#10;IC6srrlUcDxsRzMQPiBrbCyTgl/ysF4NXpaYadvxF932oRQRwj5DBVUILpPSFxUZ9GPriKN3sa3B&#10;EGVbSt1iF+GmkWmSTKXBmuNChY42FRU/+6tRcP5gl287WVzuG7f7zmfN5/V4Uup12L8vQATqw3/4&#10;2c61gjSdTybwdydeAbl6AAAA//8DAFBLAQItABQABgAIAAAAIQDb4fbL7gAAAIUBAAATAAAAAAAA&#10;AAAAAAAAAAAAAABbQ29udGVudF9UeXBlc10ueG1sUEsBAi0AFAAGAAgAAAAhAFr0LFu/AAAAFQEA&#10;AAsAAAAAAAAAAAAAAAAAHwEAAF9yZWxzLy5yZWxzUEsBAi0AFAAGAAgAAAAhAG+kXTDHAAAA3gAA&#10;AA8AAAAAAAAAAAAAAAAABwIAAGRycy9kb3ducmV2LnhtbFBLBQYAAAAAAwADALcAAAD7AgAAAAA=&#10;" filled="f" stroked="f">
                  <v:textbox inset="0,0,0,0">
                    <w:txbxContent>
                      <w:p w14:paraId="6A9E0223" w14:textId="77777777" w:rsidR="00B32EF2" w:rsidRDefault="00000000">
                        <w:r>
                          <w:rPr>
                            <w:rFonts w:ascii="Arial" w:eastAsia="Arial" w:hAnsi="Arial" w:cs="Arial"/>
                            <w:sz w:val="18"/>
                          </w:rPr>
                          <w:t>presenti nella giurisdizione tributaria di cui all’articolo 2, dei quali uno con anzia</w:t>
                        </w:r>
                      </w:p>
                    </w:txbxContent>
                  </v:textbox>
                </v:rect>
                <v:rect id="Rectangle 22945" o:spid="_x0000_s6792" style="position:absolute;left:194;top:25434;width:5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PirxwAAAN4AAAAPAAAAZHJzL2Rvd25yZXYueG1sRI9Ba8JA&#10;FITvgv9heUJvummoJU1dRRRpDr1oLfT4yD6TtNm3S3Y1qb++KxQ8DjPzDbNYDaYVF+p8Y1nB4ywB&#10;QVxa3XCl4Pixm2YgfEDW2FomBb/kYbUcjxaYa9vzni6HUIkIYZ+jgjoEl0vpy5oM+pl1xNE72c5g&#10;iLKrpO6wj3DTyjRJnqXBhuNCjY42NZU/h7NR8LVlV+x6WZ6uG/f+XWTt2/n4qdTDZFi/ggg0hHv4&#10;v11oBWn68jSH2514BeTyDwAA//8DAFBLAQItABQABgAIAAAAIQDb4fbL7gAAAIUBAAATAAAAAAAA&#10;AAAAAAAAAAAAAABbQ29udGVudF9UeXBlc10ueG1sUEsBAi0AFAAGAAgAAAAhAFr0LFu/AAAAFQEA&#10;AAsAAAAAAAAAAAAAAAAAHwEAAF9yZWxzLy5yZWxzUEsBAi0AFAAGAAgAAAAhAADo+KvHAAAA3gAA&#10;AA8AAAAAAAAAAAAAAAAABwIAAGRycy9kb3ducmV2LnhtbFBLBQYAAAAAAwADALcAAAD7AgAAAAA=&#10;" filled="f" stroked="f">
                  <v:textbox inset="0,0,0,0">
                    <w:txbxContent>
                      <w:p w14:paraId="005A8EE3" w14:textId="77777777" w:rsidR="00B32EF2" w:rsidRDefault="00000000">
                        <w:r>
                          <w:rPr>
                            <w:rFonts w:ascii="Arial" w:eastAsia="Arial" w:hAnsi="Arial" w:cs="Arial"/>
                            <w:sz w:val="18"/>
                          </w:rPr>
                          <w:t>-</w:t>
                        </w:r>
                      </w:p>
                    </w:txbxContent>
                  </v:textbox>
                </v:rect>
                <v:rect id="Rectangle 22946" o:spid="_x0000_s6793" style="position:absolute;left:-13162;top:24200;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mbcxwAAAN4AAAAPAAAAZHJzL2Rvd25yZXYueG1sRI9Ba8JA&#10;FITvBf/D8oTedNNQxKauUhQxBy9VCz0+ss8kmn27ZFcT/fVuQehxmJlvmNmiN424UutrywrexgkI&#10;4sLqmksFh/16NAXhA7LGxjIpuJGHxXzwMsNM246/6boLpYgQ9hkqqEJwmZS+qMigH1tHHL2jbQ2G&#10;KNtS6ha7CDeNTJNkIg3WHBcqdLSsqDjvLkbB74pdvu5kcbwv3faUT5vN5fCj1Ouw//oEEagP/+Fn&#10;O9cK0vTjfQJ/d+IVkPMHAAAA//8DAFBLAQItABQABgAIAAAAIQDb4fbL7gAAAIUBAAATAAAAAAAA&#10;AAAAAAAAAAAAAABbQ29udGVudF9UeXBlc10ueG1sUEsBAi0AFAAGAAgAAAAhAFr0LFu/AAAAFQEA&#10;AAsAAAAAAAAAAAAAAAAAHwEAAF9yZWxzLy5yZWxzUEsBAi0AFAAGAAgAAAAhAPA6ZtzHAAAA3gAA&#10;AA8AAAAAAAAAAAAAAAAABwIAAGRycy9kb3ducmV2LnhtbFBLBQYAAAAAAwADALcAAAD7AgAAAAA=&#10;" filled="f" stroked="f">
                  <v:textbox inset="0,0,0,0">
                    <w:txbxContent>
                      <w:p w14:paraId="7B492A7E" w14:textId="77777777" w:rsidR="00B32EF2" w:rsidRDefault="00000000">
                        <w:r>
                          <w:rPr>
                            <w:rFonts w:ascii="Arial" w:eastAsia="Arial" w:hAnsi="Arial" w:cs="Arial"/>
                            <w:sz w:val="18"/>
                          </w:rPr>
                          <w:t xml:space="preserve">nità di servizio non inferiore a otto anni, con funzioni di presidente, coadiuvato </w:t>
                        </w:r>
                      </w:p>
                    </w:txbxContent>
                  </v:textbox>
                </v:rect>
                <v:rect id="Rectangle 22947" o:spid="_x0000_s6794" style="position:absolute;left:-13162;top:22967;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sNHxwAAAN4AAAAPAAAAZHJzL2Rvd25yZXYueG1sRI9Ba8JA&#10;FITvgv9heUJvumkoNk1dRRRpDr1oLfT4yD6TtNm3S3Y1qb++KxQ8DjPzDbNYDaYVF+p8Y1nB4ywB&#10;QVxa3XCl4Pixm2YgfEDW2FomBb/kYbUcjxaYa9vzni6HUIkIYZ+jgjoEl0vpy5oM+pl1xNE72c5g&#10;iLKrpO6wj3DTyjRJ5tJgw3GhRkebmsqfw9ko+NqyK3a9LE/XjXv/LrL27Xz8VOphMqxfQQQawj38&#10;3y60gjR9eXqG2514BeTyDwAA//8DAFBLAQItABQABgAIAAAAIQDb4fbL7gAAAIUBAAATAAAAAAAA&#10;AAAAAAAAAAAAAABbQ29udGVudF9UeXBlc10ueG1sUEsBAi0AFAAGAAgAAAAhAFr0LFu/AAAAFQEA&#10;AAsAAAAAAAAAAAAAAAAAHwEAAF9yZWxzLy5yZWxzUEsBAi0AFAAGAAgAAAAhAJ92w0fHAAAA3gAA&#10;AA8AAAAAAAAAAAAAAAAABwIAAGRycy9kb3ducmV2LnhtbFBLBQYAAAAAAwADALcAAAD7AgAAAAA=&#10;" filled="f" stroked="f">
                  <v:textbox inset="0,0,0,0">
                    <w:txbxContent>
                      <w:p w14:paraId="56A6EABE" w14:textId="77777777" w:rsidR="00B32EF2" w:rsidRDefault="00000000">
                        <w:r>
                          <w:rPr>
                            <w:rFonts w:ascii="Arial" w:eastAsia="Arial" w:hAnsi="Arial" w:cs="Arial"/>
                            <w:sz w:val="18"/>
                          </w:rPr>
                          <w:t xml:space="preserve">da personale amministrativo dell’area funzionari in servizio presso il Ministero </w:t>
                        </w:r>
                      </w:p>
                    </w:txbxContent>
                  </v:textbox>
                </v:rect>
                <v:rect id="Rectangle 22948" o:spid="_x0000_s6795" style="position:absolute;left:-13173;top:21734;width:530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Vc1xAAAAN4AAAAPAAAAZHJzL2Rvd25yZXYueG1sRE/LasJA&#10;FN0X/IfhCt3VSUMpGp1IsUiz6KY+wOUlc/PQzJ0hM5ro13cWhS4P571aj6YTN+p9a1nB6ywBQVxa&#10;3XKt4LDfvsxB+ICssbNMCu7kYZ1PnlaYaTvwD912oRYxhH2GCpoQXCalLxsy6GfWEUeusr3BEGFf&#10;S93jEMNNJ9MkeZcGW44NDTraNFRedlej4PTJrtgOsqweG/d9Lubd1/VwVOp5On4sQQQaw7/4z11o&#10;BWm6eIt74514BWT+CwAA//8DAFBLAQItABQABgAIAAAAIQDb4fbL7gAAAIUBAAATAAAAAAAAAAAA&#10;AAAAAAAAAABbQ29udGVudF9UeXBlc10ueG1sUEsBAi0AFAAGAAgAAAAhAFr0LFu/AAAAFQEAAAsA&#10;AAAAAAAAAAAAAAAAHwEAAF9yZWxzLy5yZWxzUEsBAi0AFAAGAAgAAAAhAO7pVzXEAAAA3gAAAA8A&#10;AAAAAAAAAAAAAAAABwIAAGRycy9kb3ducmV2LnhtbFBLBQYAAAAAAwADALcAAAD4AgAAAAA=&#10;" filled="f" stroked="f">
                  <v:textbox inset="0,0,0,0">
                    <w:txbxContent>
                      <w:p w14:paraId="7717FDD7" w14:textId="77777777" w:rsidR="00B32EF2" w:rsidRDefault="00000000">
                        <w:r>
                          <w:rPr>
                            <w:rFonts w:ascii="Arial" w:eastAsia="Arial" w:hAnsi="Arial" w:cs="Arial"/>
                            <w:sz w:val="18"/>
                          </w:rPr>
                          <w:t xml:space="preserve">dell’economia e delle finanze, come definita dal contratto collettivo nazionale di </w:t>
                        </w:r>
                      </w:p>
                    </w:txbxContent>
                  </v:textbox>
                </v:rect>
                <v:rect id="Rectangle 22949" o:spid="_x0000_s6796" style="position:absolute;left:-12213;top:20500;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KuxwAAAN4AAAAPAAAAZHJzL2Rvd25yZXYueG1sRI9Pa8JA&#10;FMTvgt9heYI33TRI0egqxSLNoZf6Bzw+ss8kbfbtkl1N2k/fFQSPw8z8hlltetOIG7W+tqzgZZqA&#10;IC6srrlUcDzsJnMQPiBrbCyTgl/ysFkPByvMtO34i277UIoIYZ+hgioEl0npi4oM+ql1xNG72NZg&#10;iLItpW6xi3DTyDRJXqXBmuNChY62FRU/+6tRcH5nl+86WVz+tu7zO583H9fjSanxqH9bggjUh2f4&#10;0c61gjRdzBZwvxOvgFz/AwAA//8DAFBLAQItABQABgAIAAAAIQDb4fbL7gAAAIUBAAATAAAAAAAA&#10;AAAAAAAAAAAAAABbQ29udGVudF9UeXBlc10ueG1sUEsBAi0AFAAGAAgAAAAhAFr0LFu/AAAAFQEA&#10;AAsAAAAAAAAAAAAAAAAAHwEAAF9yZWxzLy5yZWxzUEsBAi0AFAAGAAgAAAAhAIGl8q7HAAAA3gAA&#10;AA8AAAAAAAAAAAAAAAAABwIAAGRycy9kb3ducmV2LnhtbFBLBQYAAAAAAwADALcAAAD7AgAAAAA=&#10;" filled="f" stroked="f">
                  <v:textbox inset="0,0,0,0">
                    <w:txbxContent>
                      <w:p w14:paraId="29441E97" w14:textId="77777777" w:rsidR="00B32EF2" w:rsidRDefault="00000000">
                        <w:r>
                          <w:rPr>
                            <w:rFonts w:ascii="Arial" w:eastAsia="Arial" w:hAnsi="Arial" w:cs="Arial"/>
                            <w:sz w:val="18"/>
                          </w:rPr>
                          <w:t>lavoro del comparto Funzioni centrali, con funzioni di segreteria. Il comitato svol</w:t>
                        </w:r>
                      </w:p>
                    </w:txbxContent>
                  </v:textbox>
                </v:rect>
                <v:rect id="Rectangle 22950" o:spid="_x0000_s6797" style="position:absolute;left:194;top:2050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s3uxgAAAN4AAAAPAAAAZHJzL2Rvd25yZXYueG1sRI/LasJA&#10;FIb3Bd9hOEJ3ddJAi0YnUizSLLqpF3B5yJxcNHNmyIwm+vSdRaHLn//Gt1qPphM36n1rWcHrLAFB&#10;XFrdcq3gsN++zEH4gKyxs0wK7uRhnU+eVphpO/AP3XahFnGEfYYKmhBcJqUvGzLoZ9YRR6+yvcEQ&#10;ZV9L3eMQx00n0yR5lwZbjg8NOto0VF52V6Pg9Mmu2A6yrB4b930u5t3X9XBU6nk6fixBBBrDf/iv&#10;XWgFabp4iwARJ6KAzH8BAAD//wMAUEsBAi0AFAAGAAgAAAAhANvh9svuAAAAhQEAABMAAAAAAAAA&#10;AAAAAAAAAAAAAFtDb250ZW50X1R5cGVzXS54bWxQSwECLQAUAAYACAAAACEAWvQsW78AAAAVAQAA&#10;CwAAAAAAAAAAAAAAAAAfAQAAX3JlbHMvLnJlbHNQSwECLQAUAAYACAAAACEAlUbN7sYAAADeAAAA&#10;DwAAAAAAAAAAAAAAAAAHAgAAZHJzL2Rvd25yZXYueG1sUEsFBgAAAAADAAMAtwAAAPoCAAAAAA==&#10;" filled="f" stroked="f">
                  <v:textbox inset="0,0,0,0">
                    <w:txbxContent>
                      <w:p w14:paraId="4D6C6279" w14:textId="77777777" w:rsidR="00B32EF2" w:rsidRDefault="00000000">
                        <w:r>
                          <w:rPr>
                            <w:rFonts w:ascii="Arial" w:eastAsia="Arial" w:hAnsi="Arial" w:cs="Arial"/>
                            <w:sz w:val="18"/>
                          </w:rPr>
                          <w:t>-</w:t>
                        </w:r>
                      </w:p>
                    </w:txbxContent>
                  </v:textbox>
                </v:rect>
                <v:rect id="Rectangle 22951" o:spid="_x0000_s6798" style="position:absolute;left:-13161;top:19267;width:53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mh1xwAAAN4AAAAPAAAAZHJzL2Rvd25yZXYueG1sRI9Pa8JA&#10;FMTvhX6H5Qm96cZARVNXEYs0By/1D/T4yD6TaPbtkl1N6qd3C0KPw8z8hpkve9OIG7W+tqxgPEpA&#10;EBdW11wqOOw3wykIH5A1NpZJwS95WC5eX+aYadvxN912oRQRwj5DBVUILpPSFxUZ9CPriKN3sq3B&#10;EGVbSt1iF+GmkWmSTKTBmuNChY7WFRWX3dUo+Plkl286WZzua7c959Pm63o4KvU26FcfIAL14T/8&#10;bOdaQZrO3sfwdydeAbl4AAAA//8DAFBLAQItABQABgAIAAAAIQDb4fbL7gAAAIUBAAATAAAAAAAA&#10;AAAAAAAAAAAAAABbQ29udGVudF9UeXBlc10ueG1sUEsBAi0AFAAGAAgAAAAhAFr0LFu/AAAAFQEA&#10;AAsAAAAAAAAAAAAAAAAAHwEAAF9yZWxzLy5yZWxzUEsBAi0AFAAGAAgAAAAhAPoKaHXHAAAA3gAA&#10;AA8AAAAAAAAAAAAAAAAABwIAAGRycy9kb3ducmV2LnhtbFBLBQYAAAAAAwADALcAAAD7AgAAAAA=&#10;" filled="f" stroked="f">
                  <v:textbox inset="0,0,0,0">
                    <w:txbxContent>
                      <w:p w14:paraId="7D942896" w14:textId="77777777" w:rsidR="00B32EF2" w:rsidRDefault="00000000">
                        <w:r>
                          <w:rPr>
                            <w:rFonts w:ascii="Arial" w:eastAsia="Arial" w:hAnsi="Arial" w:cs="Arial"/>
                            <w:sz w:val="18"/>
                          </w:rPr>
                          <w:t xml:space="preserve">ge la sua attività in ogni seduta con la presenza di non meno di tre componenti. </w:t>
                        </w:r>
                      </w:p>
                    </w:txbxContent>
                  </v:textbox>
                </v:rect>
                <v:rect id="Rectangle 22952" o:spid="_x0000_s6799" style="position:absolute;left:-13161;top:18034;width:53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PYCxgAAAN4AAAAPAAAAZHJzL2Rvd25yZXYueG1sRI9Ba8JA&#10;FITvBf/D8gRvdWOgxUZXEUWag5daBY+P7DOJZt8u2dVEf323UOhxmJlvmPmyN424U+trywom4wQE&#10;cWF1zaWCw/f2dQrCB2SNjWVS8CAPy8XgZY6Zth1/0X0fShEh7DNUUIXgMil9UZFBP7aOOHpn2xoM&#10;Ubal1C12EW4amSbJuzRYc1yo0NG6ouK6vxkFpw27fNvJ4vxcu90lnzaft8NRqdGwX81ABOrDf/iv&#10;nWsFafrxlsLvnXgF5OIHAAD//wMAUEsBAi0AFAAGAAgAAAAhANvh9svuAAAAhQEAABMAAAAAAAAA&#10;AAAAAAAAAAAAAFtDb250ZW50X1R5cGVzXS54bWxQSwECLQAUAAYACAAAACEAWvQsW78AAAAVAQAA&#10;CwAAAAAAAAAAAAAAAAAfAQAAX3JlbHMvLnJlbHNQSwECLQAUAAYACAAAACEACtj2AsYAAADeAAAA&#10;DwAAAAAAAAAAAAAAAAAHAgAAZHJzL2Rvd25yZXYueG1sUEsFBgAAAAADAAMAtwAAAPoCAAAAAA==&#10;" filled="f" stroked="f">
                  <v:textbox inset="0,0,0,0">
                    <w:txbxContent>
                      <w:p w14:paraId="0B89D4DE" w14:textId="77777777" w:rsidR="00B32EF2" w:rsidRDefault="00000000">
                        <w:r>
                          <w:rPr>
                            <w:rFonts w:ascii="Arial" w:eastAsia="Arial" w:hAnsi="Arial" w:cs="Arial"/>
                            <w:sz w:val="18"/>
                          </w:rPr>
                          <w:t xml:space="preserve">In caso di assenza o impedimento, il presidente è sostituito dal magistrato più </w:t>
                        </w:r>
                      </w:p>
                    </w:txbxContent>
                  </v:textbox>
                </v:rect>
                <v:rect id="Rectangle 22953" o:spid="_x0000_s6800" style="position:absolute;left:-13162;top:16800;width:530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OZxwAAAN4AAAAPAAAAZHJzL2Rvd25yZXYueG1sRI9Ba8JA&#10;FITvgv9heUJvummKJU1dRRRpDr1oLfT4yD6TtNm3S3Y1qb++KxQ8DjPzDbNYDaYVF+p8Y1nB4ywB&#10;QVxa3XCl4Pixm2YgfEDW2FomBb/kYbUcjxaYa9vzni6HUIkIYZ+jgjoEl0vpy5oM+pl1xNE72c5g&#10;iLKrpO6wj3DTyjRJnqXBhuNCjY42NZU/h7NR8LVlV+x6WZ6uG/f+XWTt2/n4qdTDZFi/ggg0hHv4&#10;v11oBWn6Mn+C2514BeTyDwAA//8DAFBLAQItABQABgAIAAAAIQDb4fbL7gAAAIUBAAATAAAAAAAA&#10;AAAAAAAAAAAAAABbQ29udGVudF9UeXBlc10ueG1sUEsBAi0AFAAGAAgAAAAhAFr0LFu/AAAAFQEA&#10;AAsAAAAAAAAAAAAAAAAAHwEAAF9yZWxzLy5yZWxzUEsBAi0AFAAGAAgAAAAhAGWUU5nHAAAA3gAA&#10;AA8AAAAAAAAAAAAAAAAABwIAAGRycy9kb3ducmV2LnhtbFBLBQYAAAAAAwADALcAAAD7AgAAAAA=&#10;" filled="f" stroked="f">
                  <v:textbox inset="0,0,0,0">
                    <w:txbxContent>
                      <w:p w14:paraId="492DD65C" w14:textId="77777777" w:rsidR="00B32EF2" w:rsidRDefault="00000000">
                        <w:r>
                          <w:rPr>
                            <w:rFonts w:ascii="Arial" w:eastAsia="Arial" w:hAnsi="Arial" w:cs="Arial"/>
                            <w:sz w:val="18"/>
                          </w:rPr>
                          <w:t xml:space="preserve">anziano. Si applica ai predetti magistrati la disciplina dell’esonero dalle funzioni </w:t>
                        </w:r>
                      </w:p>
                    </w:txbxContent>
                  </v:textbox>
                </v:rect>
                <v:rect id="Rectangle 22954" o:spid="_x0000_s6801" style="position:absolute;left:-2447;top:15567;width:423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cvtxwAAAN4AAAAPAAAAZHJzL2Rvd25yZXYueG1sRI9Ba8JA&#10;FITvgv9heUJvummoJU1dRRRpDr1oLfT4yD6TtNm3S3Y1qb++KxQ8DjPzDbNYDaYVF+p8Y1nB4ywB&#10;QVxa3XCl4Pixm2YgfEDW2FomBb/kYbUcjxaYa9vzni6HUIkIYZ+jgjoEl0vpy5oM+pl1xNE72c5g&#10;iLKrpO6wj3DTyjRJnqXBhuNCjY42NZU/h7NR8LVlV+x6WZ6uG/f+XWTt2/n4qdTDZFi/ggg0hHv4&#10;v11oBWn6Mn+C2514BeTyDwAA//8DAFBLAQItABQABgAIAAAAIQDb4fbL7gAAAIUBAAATAAAAAAAA&#10;AAAAAAAAAAAAAABbQ29udGVudF9UeXBlc10ueG1sUEsBAi0AFAAGAAgAAAAhAFr0LFu/AAAAFQEA&#10;AAsAAAAAAAAAAAAAAAAAHwEAAF9yZWxzLy5yZWxzUEsBAi0AFAAGAAgAAAAhAOp9y+3HAAAA3gAA&#10;AA8AAAAAAAAAAAAAAAAABwIAAGRycy9kb3ducmV2LnhtbFBLBQYAAAAAAwADALcAAAD7AgAAAAA=&#10;" filled="f" stroked="f">
                  <v:textbox inset="0,0,0,0">
                    <w:txbxContent>
                      <w:p w14:paraId="5D0283BF" w14:textId="77777777" w:rsidR="00B32EF2" w:rsidRDefault="00000000">
                        <w:r>
                          <w:rPr>
                            <w:rFonts w:ascii="Arial" w:eastAsia="Arial" w:hAnsi="Arial" w:cs="Arial"/>
                            <w:sz w:val="18"/>
                          </w:rPr>
                          <w:t>giudiziarie o giurisdizionali limitatamente alla durata delle prove.</w:t>
                        </w:r>
                      </w:p>
                    </w:txbxContent>
                  </v:textbox>
                </v:rect>
                <v:rect id="Rectangle 202326" o:spid="_x0000_s6802" style="position:absolute;left:-12848;top:14334;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csxwAAAN8AAAAPAAAAZHJzL2Rvd25yZXYueG1sRI9Ba8JA&#10;FITvBf/D8gRvdWMKItFVRJHm0IvWQo+P7DOJZt8u2dXE/npXEHocZuYbZrHqTSNu1PrasoLJOAFB&#10;XFhdc6ng+L17n4HwAVljY5kU3MnDajl4W2Cmbcd7uh1CKSKEfYYKqhBcJqUvKjLox9YRR+9kW4Mh&#10;yraUusUuwk0j0ySZSoM1x4UKHW0qKi6Hq1Hwu2WX7zpZnP427uucz5rP6/FHqdGwX89BBOrDf/jV&#10;zrWCNEk/0ik8/8QvIJcPAAAA//8DAFBLAQItABQABgAIAAAAIQDb4fbL7gAAAIUBAAATAAAAAAAA&#10;AAAAAAAAAAAAAABbQ29udGVudF9UeXBlc10ueG1sUEsBAi0AFAAGAAgAAAAhAFr0LFu/AAAAFQEA&#10;AAsAAAAAAAAAAAAAAAAAHwEAAF9yZWxzLy5yZWxzUEsBAi0AFAAGAAgAAAAhAL7qRyzHAAAA3wAA&#10;AA8AAAAAAAAAAAAAAAAABwIAAGRycy9kb3ducmV2LnhtbFBLBQYAAAAAAwADALcAAAD7AgAAAAA=&#10;" filled="f" stroked="f">
                  <v:textbox inset="0,0,0,0">
                    <w:txbxContent>
                      <w:p w14:paraId="3F4258F3" w14:textId="77777777" w:rsidR="00B32EF2" w:rsidRDefault="00000000">
                        <w:r>
                          <w:rPr>
                            <w:rFonts w:ascii="Arial" w:eastAsia="Arial" w:hAnsi="Arial" w:cs="Arial"/>
                            <w:sz w:val="18"/>
                          </w:rPr>
                          <w:t>. Le spese per il concorso sono poste a carico del candidato nella misu</w:t>
                        </w:r>
                      </w:p>
                    </w:txbxContent>
                  </v:textbox>
                </v:rect>
                <v:rect id="Rectangle 202324" o:spid="_x0000_s6803" style="position:absolute;left:26351;top:14334;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HzAxwAAAN8AAAAPAAAAZHJzL2Rvd25yZXYueG1sRI9Ba8JA&#10;FITvBf/D8gRvdWNaikRXEUWag5daBY+P7DOJZt8u2dVEf323UOhxmJlvmPmyN424U+trywom4wQE&#10;cWF1zaWCw/f2dQrCB2SNjWVS8CAPy8XgZY6Zth1/0X0fShEh7DNUUIXgMil9UZFBP7aOOHpn2xoM&#10;Ubal1C12EW4amSbJhzRYc1yo0NG6ouK6vxkFpw27fNvJ4vxcu90lnzaft8NRqdGwX81ABOrDf/iv&#10;nWsFaZK+pe/w+yd+Abn4AQAA//8DAFBLAQItABQABgAIAAAAIQDb4fbL7gAAAIUBAAATAAAAAAAA&#10;AAAAAAAAAAAAAABbQ29udGVudF9UeXBlc10ueG1sUEsBAi0AFAAGAAgAAAAhAFr0LFu/AAAAFQEA&#10;AAsAAAAAAAAAAAAAAAAAHwEAAF9yZWxzLy5yZWxzUEsBAi0AFAAGAAgAAAAhACF0fMDHAAAA3wAA&#10;AA8AAAAAAAAAAAAAAAAABwIAAGRycy9kb3ducmV2LnhtbFBLBQYAAAAAAwADALcAAAD7AgAAAAA=&#10;" filled="f" stroked="f">
                  <v:textbox inset="0,0,0,0">
                    <w:txbxContent>
                      <w:p w14:paraId="1AF2D301" w14:textId="77777777" w:rsidR="00B32EF2" w:rsidRDefault="00000000">
                        <w:r>
                          <w:rPr>
                            <w:rFonts w:ascii="Arial" w:eastAsia="Arial" w:hAnsi="Arial" w:cs="Arial"/>
                            <w:sz w:val="18"/>
                          </w:rPr>
                          <w:t>6</w:t>
                        </w:r>
                      </w:p>
                    </w:txbxContent>
                  </v:textbox>
                </v:rect>
                <v:rect id="Rectangle 22956" o:spid="_x0000_s6804" style="position:absolute;left:194;top:14334;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ABxwAAAN4AAAAPAAAAZHJzL2Rvd25yZXYueG1sRI9Ba8JA&#10;FITvBf/D8oTedNNAxaauUhQxBy9VCz0+ss8kmn27ZFcT/fVuQehxmJlvmNmiN424UutrywrexgkI&#10;4sLqmksFh/16NAXhA7LGxjIpuJGHxXzwMsNM246/6boLpYgQ9hkqqEJwmZS+qMigH1tHHL2jbQ2G&#10;KNtS6ha7CDeNTJNkIg3WHBcqdLSsqDjvLkbB74pdvu5kcbwv3faUT5vN5fCj1Ouw//oEEagP/+Fn&#10;O9cK0vTjfQJ/d+IVkPMHAAAA//8DAFBLAQItABQABgAIAAAAIQDb4fbL7gAAAIUBAAATAAAAAAAA&#10;AAAAAAAAAAAAAABbQ29udGVudF9UeXBlc10ueG1sUEsBAi0AFAAGAAgAAAAhAFr0LFu/AAAAFQEA&#10;AAsAAAAAAAAAAAAAAAAAHwEAAF9yZWxzLy5yZWxzUEsBAi0AFAAGAAgAAAAhAHXj8AHHAAAA3gAA&#10;AA8AAAAAAAAAAAAAAAAABwIAAGRycy9kb3ducmV2LnhtbFBLBQYAAAAAAwADALcAAAD7AgAAAAA=&#10;" filled="f" stroked="f">
                  <v:textbox inset="0,0,0,0">
                    <w:txbxContent>
                      <w:p w14:paraId="32B60731" w14:textId="77777777" w:rsidR="00B32EF2" w:rsidRDefault="00000000">
                        <w:r>
                          <w:rPr>
                            <w:rFonts w:ascii="Arial" w:eastAsia="Arial" w:hAnsi="Arial" w:cs="Arial"/>
                            <w:sz w:val="18"/>
                          </w:rPr>
                          <w:t>-</w:t>
                        </w:r>
                      </w:p>
                    </w:txbxContent>
                  </v:textbox>
                </v:rect>
                <v:rect id="Rectangle 22957" o:spid="_x0000_s6805" style="position:absolute;left:-13169;top:13101;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1WaxwAAAN4AAAAPAAAAZHJzL2Rvd25yZXYueG1sRI9Ba8JA&#10;FITvgv9heUJvummgNk1dRRRpDr1oLfT4yD6TtNm3S3Y1qb++KxQ8DjPzDbNYDaYVF+p8Y1nB4ywB&#10;QVxa3XCl4Pixm2YgfEDW2FomBb/kYbUcjxaYa9vzni6HUIkIYZ+jgjoEl0vpy5oM+pl1xNE72c5g&#10;iLKrpO6wj3DTyjRJ5tJgw3GhRkebmsqfw9ko+NqyK3a9LE/XjXv/LrL27Xz8VOphMqxfQQQawj38&#10;3y60gjR9eXqG2514BeTyDwAA//8DAFBLAQItABQABgAIAAAAIQDb4fbL7gAAAIUBAAATAAAAAAAA&#10;AAAAAAAAAAAAAABbQ29udGVudF9UeXBlc10ueG1sUEsBAi0AFAAGAAgAAAAhAFr0LFu/AAAAFQEA&#10;AAsAAAAAAAAAAAAAAAAAHwEAAF9yZWxzLy5yZWxzUEsBAi0AFAAGAAgAAAAhABqvVZrHAAAA3gAA&#10;AA8AAAAAAAAAAAAAAAAABwIAAGRycy9kb3ducmV2LnhtbFBLBQYAAAAAAwADALcAAAD7AgAAAAA=&#10;" filled="f" stroked="f">
                  <v:textbox inset="0,0,0,0">
                    <w:txbxContent>
                      <w:p w14:paraId="5CF1BB98" w14:textId="77777777" w:rsidR="00B32EF2" w:rsidRDefault="00000000">
                        <w:r>
                          <w:rPr>
                            <w:rFonts w:ascii="Arial" w:eastAsia="Arial" w:hAnsi="Arial" w:cs="Arial"/>
                            <w:sz w:val="18"/>
                          </w:rPr>
                          <w:t xml:space="preserve">ra forfettaria di euro 50, da corrispondere al momento della presentazione </w:t>
                        </w:r>
                      </w:p>
                    </w:txbxContent>
                  </v:textbox>
                </v:rect>
                <v:rect id="Rectangle 22958" o:spid="_x0000_s6806" style="position:absolute;left:-12183;top:11867;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MHoxAAAAN4AAAAPAAAAZHJzL2Rvd25yZXYueG1sRE/LasJA&#10;FN0X/IfhCt3VSQMtGp1IsUiz6KY+wOUlc/PQzJ0hM5ro13cWhS4P571aj6YTN+p9a1nB6ywBQVxa&#10;3XKt4LDfvsxB+ICssbNMCu7kYZ1PnlaYaTvwD912oRYxhH2GCpoQXCalLxsy6GfWEUeusr3BEGFf&#10;S93jEMNNJ9MkeZcGW44NDTraNFRedlej4PTJrtgOsqweG/d9Lubd1/VwVOp5On4sQQQaw7/4z11o&#10;BWm6eIt74514BWT+CwAA//8DAFBLAQItABQABgAIAAAAIQDb4fbL7gAAAIUBAAATAAAAAAAAAAAA&#10;AAAAAAAAAABbQ29udGVudF9UeXBlc10ueG1sUEsBAi0AFAAGAAgAAAAhAFr0LFu/AAAAFQEAAAsA&#10;AAAAAAAAAAAAAAAAHwEAAF9yZWxzLy5yZWxzUEsBAi0AFAAGAAgAAAAhAGswwejEAAAA3gAAAA8A&#10;AAAAAAAAAAAAAAAABwIAAGRycy9kb3ducmV2LnhtbFBLBQYAAAAAAwADALcAAAD4AgAAAAA=&#10;" filled="f" stroked="f">
                  <v:textbox inset="0,0,0,0">
                    <w:txbxContent>
                      <w:p w14:paraId="3A19FA95" w14:textId="77777777" w:rsidR="00B32EF2" w:rsidRDefault="00000000">
                        <w:r>
                          <w:rPr>
                            <w:rFonts w:ascii="Arial" w:eastAsia="Arial" w:hAnsi="Arial" w:cs="Arial"/>
                            <w:sz w:val="18"/>
                          </w:rPr>
                          <w:t>della domanda, e sono reiscritte nell’apposito capitolo di spesa della missio</w:t>
                        </w:r>
                      </w:p>
                    </w:txbxContent>
                  </v:textbox>
                </v:rect>
                <v:rect id="Rectangle 22959" o:spid="_x0000_s6807" style="position:absolute;left:194;top:1186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GRzxwAAAN4AAAAPAAAAZHJzL2Rvd25yZXYueG1sRI9Pa8JA&#10;FMTvgt9heYI33TRg0egqxSLNoZf6Bzw+ss8kbfbtkl1N2k/fFQSPw8z8hlltetOIG7W+tqzgZZqA&#10;IC6srrlUcDzsJnMQPiBrbCyTgl/ysFkPByvMtO34i277UIoIYZ+hgioEl0npi4oM+ql1xNG72NZg&#10;iLItpW6xi3DTyDRJXqXBmuNChY62FRU/+6tRcH5nl+86WVz+tu7zO583H9fjSanxqH9bggjUh2f4&#10;0c61gjRdzBZwvxOvgFz/AwAA//8DAFBLAQItABQABgAIAAAAIQDb4fbL7gAAAIUBAAATAAAAAAAA&#10;AAAAAAAAAAAAAABbQ29udGVudF9UeXBlc10ueG1sUEsBAi0AFAAGAAgAAAAhAFr0LFu/AAAAFQEA&#10;AAsAAAAAAAAAAAAAAAAAHwEAAF9yZWxzLy5yZWxzUEsBAi0AFAAGAAgAAAAhAAR8ZHPHAAAA3gAA&#10;AA8AAAAAAAAAAAAAAAAABwIAAGRycy9kb3ducmV2LnhtbFBLBQYAAAAAAwADALcAAAD7AgAAAAA=&#10;" filled="f" stroked="f">
                  <v:textbox inset="0,0,0,0">
                    <w:txbxContent>
                      <w:p w14:paraId="017C2052" w14:textId="77777777" w:rsidR="00B32EF2" w:rsidRDefault="00000000">
                        <w:r>
                          <w:rPr>
                            <w:rFonts w:ascii="Arial" w:eastAsia="Arial" w:hAnsi="Arial" w:cs="Arial"/>
                            <w:sz w:val="18"/>
                          </w:rPr>
                          <w:t>-</w:t>
                        </w:r>
                      </w:p>
                    </w:txbxContent>
                  </v:textbox>
                </v:rect>
                <v:rect id="Rectangle 22960" o:spid="_x0000_s6808" style="position:absolute;left:-13167;top:10634;width:530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gdTxQAAAN4AAAAPAAAAZHJzL2Rvd25yZXYueG1sRI/NisIw&#10;FIX3A75DuIK7MbULcapRRBG7cDOOgstLc22rzU1ooq0+/WQxMMvD+eNbrHrTiCe1vrasYDJOQBAX&#10;VtdcKjj97D5nIHxA1thYJgUv8rBaDj4WmGnb8Tc9j6EUcYR9hgqqEFwmpS8qMujH1hFH72pbgyHK&#10;tpS6xS6Om0amSTKVBmuODxU62lRU3I8Po+CyZZfvOllc3xt3uOWzZv84nZUaDfv1HESgPvyH/9q5&#10;VpCmX9MIEHEiCsjlLwAAAP//AwBQSwECLQAUAAYACAAAACEA2+H2y+4AAACFAQAAEwAAAAAAAAAA&#10;AAAAAAAAAAAAW0NvbnRlbnRfVHlwZXNdLnhtbFBLAQItABQABgAIAAAAIQBa9CxbvwAAABUBAAAL&#10;AAAAAAAAAAAAAAAAAB8BAABfcmVscy8ucmVsc1BLAQItABQABgAIAAAAIQBbKgdTxQAAAN4AAAAP&#10;AAAAAAAAAAAAAAAAAAcCAABkcnMvZG93bnJldi54bWxQSwUGAAAAAAMAAwC3AAAA+QIAAAAA&#10;" filled="f" stroked="f">
                  <v:textbox inset="0,0,0,0">
                    <w:txbxContent>
                      <w:p w14:paraId="58663903" w14:textId="77777777" w:rsidR="00B32EF2" w:rsidRDefault="00000000">
                        <w:r>
                          <w:rPr>
                            <w:rFonts w:ascii="Arial" w:eastAsia="Arial" w:hAnsi="Arial" w:cs="Arial"/>
                            <w:sz w:val="18"/>
                          </w:rPr>
                          <w:t xml:space="preserve">ne «Giustizia tributaria» dello stato di previsione del Ministero dell›economia </w:t>
                        </w:r>
                      </w:p>
                    </w:txbxContent>
                  </v:textbox>
                </v:rect>
                <v:rect id="Rectangle 22961" o:spid="_x0000_s6809" style="position:absolute;left:-13168;top:9401;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qLIxwAAAN4AAAAPAAAAZHJzL2Rvd25yZXYueG1sRI/NasMw&#10;EITvhbyD2EJvjRwfQupEDiUh1IdemjqQ42Ktf1prJSwldvP0UaHQ4zAz3zCb7WR6caXBd5YVLOYJ&#10;COLK6o4bBeXn4XkFwgdkjb1lUvBDHrb57GGDmbYjf9D1GBoRIewzVNCG4DIpfdWSQT+3jjh6tR0M&#10;hiiHRuoBxwg3vUyTZCkNdhwXWnS0a6n6Pl6MgvOeXXEYZVXfdu79q1j1b5fypNTT4/S6BhFoCv/h&#10;v3ahFaTpy3IBv3fiFZD5HQAA//8DAFBLAQItABQABgAIAAAAIQDb4fbL7gAAAIUBAAATAAAAAAAA&#10;AAAAAAAAAAAAAABbQ29udGVudF9UeXBlc10ueG1sUEsBAi0AFAAGAAgAAAAhAFr0LFu/AAAAFQEA&#10;AAsAAAAAAAAAAAAAAAAAHwEAAF9yZWxzLy5yZWxzUEsBAi0AFAAGAAgAAAAhADRmosjHAAAA3gAA&#10;AA8AAAAAAAAAAAAAAAAABwIAAGRycy9kb3ducmV2LnhtbFBLBQYAAAAAAwADALcAAAD7AgAAAAA=&#10;" filled="f" stroked="f">
                  <v:textbox inset="0,0,0,0">
                    <w:txbxContent>
                      <w:p w14:paraId="4FD726E8" w14:textId="77777777" w:rsidR="00B32EF2" w:rsidRDefault="00000000">
                        <w:r>
                          <w:rPr>
                            <w:rFonts w:ascii="Arial" w:eastAsia="Arial" w:hAnsi="Arial" w:cs="Arial"/>
                            <w:sz w:val="18"/>
                          </w:rPr>
                          <w:t xml:space="preserve">e delle finanze. Le modalità di versamento del contributo di cui al presente </w:t>
                        </w:r>
                      </w:p>
                    </w:txbxContent>
                  </v:textbox>
                </v:rect>
                <v:rect id="Rectangle 22962" o:spid="_x0000_s6810" style="position:absolute;left:-13169;top:81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y/xgAAAN4AAAAPAAAAZHJzL2Rvd25yZXYueG1sRI9Ba8JA&#10;FITvgv9heYXedNMcxKauIoo0By+1ETw+ss8kNft2ya4m+uvdQqHHYWa+YRarwbTiRp1vLCt4myYg&#10;iEurG64UFN+7yRyED8gaW8uk4E4eVsvxaIGZtj1/0e0QKhEh7DNUUIfgMil9WZNBP7WOOHpn2xkM&#10;UXaV1B32EW5amSbJTBpsOC7U6GhTU3k5XI2C05ZdvutleX5s3P4nn7ef1+Ko1OvLsP4AEWgI/+G/&#10;dq4VpOn7LIXfO/EKyOUTAAD//wMAUEsBAi0AFAAGAAgAAAAhANvh9svuAAAAhQEAABMAAAAAAAAA&#10;AAAAAAAAAAAAAFtDb250ZW50X1R5cGVzXS54bWxQSwECLQAUAAYACAAAACEAWvQsW78AAAAVAQAA&#10;CwAAAAAAAAAAAAAAAAAfAQAAX3JlbHMvLnJlbHNQSwECLQAUAAYACAAAACEAxLQ8v8YAAADeAAAA&#10;DwAAAAAAAAAAAAAAAAAHAgAAZHJzL2Rvd25yZXYueG1sUEsFBgAAAAADAAMAtwAAAPoCAAAAAA==&#10;" filled="f" stroked="f">
                  <v:textbox inset="0,0,0,0">
                    <w:txbxContent>
                      <w:p w14:paraId="6EF1E5BD" w14:textId="77777777" w:rsidR="00B32EF2" w:rsidRDefault="00000000">
                        <w:r>
                          <w:rPr>
                            <w:rFonts w:ascii="Arial" w:eastAsia="Arial" w:hAnsi="Arial" w:cs="Arial"/>
                            <w:sz w:val="18"/>
                          </w:rPr>
                          <w:t xml:space="preserve">comma sono stabilite con decreto, avente natura non regolamentare, del </w:t>
                        </w:r>
                      </w:p>
                    </w:txbxContent>
                  </v:textbox>
                </v:rect>
                <v:rect id="Rectangle 22963" o:spid="_x0000_s6811" style="position:absolute;left:-13170;top:69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kkxwAAAN4AAAAPAAAAZHJzL2Rvd25yZXYueG1sRI9Ba8JA&#10;FITvBf/D8oTedNMUxKauUhQxBy9VCz0+ss8kmn27ZFcT/fVuQehxmJlvmNmiN424UutrywrexgkI&#10;4sLqmksFh/16NAXhA7LGxjIpuJGHxXzwMsNM246/6boLpYgQ9hkqqEJwmZS+qMigH1tHHL2jbQ2G&#10;KNtS6ha7CDeNTJNkIg3WHBcqdLSsqDjvLkbB74pdvu5kcbwv3faUT5vN5fCj1Ouw//oEEagP/+Fn&#10;O9cK0vRj8g5/d+IVkPMHAAAA//8DAFBLAQItABQABgAIAAAAIQDb4fbL7gAAAIUBAAATAAAAAAAA&#10;AAAAAAAAAAAAAABbQ29udGVudF9UeXBlc10ueG1sUEsBAi0AFAAGAAgAAAAhAFr0LFu/AAAAFQEA&#10;AAsAAAAAAAAAAAAAAAAAHwEAAF9yZWxzLy5yZWxzUEsBAi0AFAAGAAgAAAAhAKv4mSTHAAAA3gAA&#10;AA8AAAAAAAAAAAAAAAAABwIAAGRycy9kb3ducmV2LnhtbFBLBQYAAAAAAwADALcAAAD7AgAAAAA=&#10;" filled="f" stroked="f">
                  <v:textbox inset="0,0,0,0">
                    <w:txbxContent>
                      <w:p w14:paraId="288884F7" w14:textId="77777777" w:rsidR="00B32EF2" w:rsidRDefault="00000000">
                        <w:r>
                          <w:rPr>
                            <w:rFonts w:ascii="Arial" w:eastAsia="Arial" w:hAnsi="Arial" w:cs="Arial"/>
                            <w:sz w:val="18"/>
                          </w:rPr>
                          <w:t xml:space="preserve">Ministro dell›economia e delle finanze. Il contributo è aggiornato ogni tre anni, </w:t>
                        </w:r>
                      </w:p>
                    </w:txbxContent>
                  </v:textbox>
                </v:rect>
                <v:rect id="Rectangle 22964" o:spid="_x0000_s6812" style="position:absolute;left:-13171;top:5701;width:530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QFQxwAAAN4AAAAPAAAAZHJzL2Rvd25yZXYueG1sRI9Ba8JA&#10;FITvBf/D8oTedNNQxKauUhQxBy9VCz0+ss8kmn27ZFcT/fVuQehxmJlvmNmiN424UutrywrexgkI&#10;4sLqmksFh/16NAXhA7LGxjIpuJGHxXzwMsNM246/6boLpYgQ9hkqqEJwmZS+qMigH1tHHL2jbQ2G&#10;KNtS6ha7CDeNTJNkIg3WHBcqdLSsqDjvLkbB74pdvu5kcbwv3faUT5vN5fCj1Ouw//oEEagP/+Fn&#10;O9cK0vRj8g5/d+IVkPMHAAAA//8DAFBLAQItABQABgAIAAAAIQDb4fbL7gAAAIUBAAATAAAAAAAA&#10;AAAAAAAAAAAAAABbQ29udGVudF9UeXBlc10ueG1sUEsBAi0AFAAGAAgAAAAhAFr0LFu/AAAAFQEA&#10;AAsAAAAAAAAAAAAAAAAAHwEAAF9yZWxzLy5yZWxzUEsBAi0AFAAGAAgAAAAhACQRAVDHAAAA3gAA&#10;AA8AAAAAAAAAAAAAAAAABwIAAGRycy9kb3ducmV2LnhtbFBLBQYAAAAAAwADALcAAAD7AgAAAAA=&#10;" filled="f" stroked="f">
                  <v:textbox inset="0,0,0,0">
                    <w:txbxContent>
                      <w:p w14:paraId="7889E40C" w14:textId="77777777" w:rsidR="00B32EF2" w:rsidRDefault="00000000">
                        <w:r>
                          <w:rPr>
                            <w:rFonts w:ascii="Arial" w:eastAsia="Arial" w:hAnsi="Arial" w:cs="Arial"/>
                            <w:sz w:val="18"/>
                          </w:rPr>
                          <w:t xml:space="preserve">con le medesime modalità, sulla base della variazione dell’indice dei prezzi al </w:t>
                        </w:r>
                      </w:p>
                    </w:txbxContent>
                  </v:textbox>
                </v:rect>
                <v:rect id="Rectangle 22965" o:spid="_x0000_s6813" style="position:absolute;left:-13174;top:4467;width:531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TLxwAAAN4AAAAPAAAAZHJzL2Rvd25yZXYueG1sRI9Ba8JA&#10;FITvBf/D8oTedNNAxaauUhQxBy9VCz0+ss8kmn27ZFcT/fVuQehxmJlvmNmiN424UutrywrexgkI&#10;4sLqmksFh/16NAXhA7LGxjIpuJGHxXzwMsNM246/6boLpYgQ9hkqqEJwmZS+qMigH1tHHL2jbQ2G&#10;KNtS6ha7CDeNTJNkIg3WHBcqdLSsqDjvLkbB74pdvu5kcbwv3faUT5vN5fCj1Ouw//oEEagP/+Fn&#10;O9cK0vRj8g5/d+IVkPMHAAAA//8DAFBLAQItABQABgAIAAAAIQDb4fbL7gAAAIUBAAATAAAAAAAA&#10;AAAAAAAAAAAAAABbQ29udGVudF9UeXBlc10ueG1sUEsBAi0AFAAGAAgAAAAhAFr0LFu/AAAAFQEA&#10;AAsAAAAAAAAAAAAAAAAAHwEAAF9yZWxzLy5yZWxzUEsBAi0AFAAGAAgAAAAhAEtdpMvHAAAA3gAA&#10;AA8AAAAAAAAAAAAAAAAABwIAAGRycy9kb3ducmV2LnhtbFBLBQYAAAAAAwADALcAAAD7AgAAAAA=&#10;" filled="f" stroked="f">
                  <v:textbox inset="0,0,0,0">
                    <w:txbxContent>
                      <w:p w14:paraId="30625A7A" w14:textId="77777777" w:rsidR="00B32EF2" w:rsidRDefault="00000000">
                        <w:r>
                          <w:rPr>
                            <w:rFonts w:ascii="Arial" w:eastAsia="Arial" w:hAnsi="Arial" w:cs="Arial"/>
                            <w:sz w:val="18"/>
                          </w:rPr>
                          <w:t xml:space="preserve">consumo per le famiglie di operai e impiegati, rilevata dall’Istituto nazionale di </w:t>
                        </w:r>
                      </w:p>
                    </w:txbxContent>
                  </v:textbox>
                </v:rect>
                <v:rect id="Rectangle 22966" o:spid="_x0000_s6814" style="position:absolute;left:27893;top:3234;width:120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zq8xgAAAN4AAAAPAAAAZHJzL2Rvd25yZXYueG1sRI9Ba8JA&#10;FITvBf/D8oTe6sYcgo2uIoo0By9aCz0+ss8kmn27ZFcT++u7QqHHYWa+YRarwbTiTp1vLCuYThIQ&#10;xKXVDVcKTp+7txkIH5A1tpZJwYM8rJajlwXm2vZ8oPsxVCJC2OeooA7B5VL6siaDfmIdcfTOtjMY&#10;ouwqqTvsI9y0Mk2STBpsOC7U6GhTU3k93oyC7y27YtfL8vyzcftLMWs/bqcvpV7Hw3oOItAQ/sN/&#10;7UIrSNP3LIPnnXgF5PIXAAD//wMAUEsBAi0AFAAGAAgAAAAhANvh9svuAAAAhQEAABMAAAAAAAAA&#10;AAAAAAAAAAAAAFtDb250ZW50X1R5cGVzXS54bWxQSwECLQAUAAYACAAAACEAWvQsW78AAAAVAQAA&#10;CwAAAAAAAAAAAAAAAAAfAQAAX3JlbHMvLnJlbHNQSwECLQAUAAYACAAAACEAu486vMYAAADeAAAA&#10;DwAAAAAAAAAAAAAAAAAHAgAAZHJzL2Rvd25yZXYueG1sUEsFBgAAAAADAAMAtwAAAPoCAAAAAA==&#10;" filled="f" stroked="f">
                  <v:textbox inset="0,0,0,0">
                    <w:txbxContent>
                      <w:p w14:paraId="50CEC075" w14:textId="77777777" w:rsidR="00B32EF2" w:rsidRDefault="00000000">
                        <w:r>
                          <w:rPr>
                            <w:rFonts w:ascii="Arial" w:eastAsia="Arial" w:hAnsi="Arial" w:cs="Arial"/>
                            <w:sz w:val="18"/>
                          </w:rPr>
                          <w:t>statistica (ISTAT).</w:t>
                        </w:r>
                      </w:p>
                    </w:txbxContent>
                  </v:textbox>
                </v:rect>
                <w10:anchorlock/>
              </v:group>
            </w:pict>
          </mc:Fallback>
        </mc:AlternateContent>
      </w:r>
    </w:p>
    <w:p w14:paraId="71CDECD3" w14:textId="77777777" w:rsidR="00B32EF2" w:rsidRDefault="00000000">
      <w:pPr>
        <w:spacing w:after="0"/>
        <w:ind w:left="-357" w:right="-306"/>
      </w:pPr>
      <w:r>
        <w:rPr>
          <w:noProof/>
        </w:rPr>
        <w:lastRenderedPageBreak/>
        <mc:AlternateContent>
          <mc:Choice Requires="wpg">
            <w:drawing>
              <wp:inline distT="0" distB="0" distL="0" distR="0" wp14:anchorId="58A07145" wp14:editId="1E26537D">
                <wp:extent cx="3992431" cy="6262854"/>
                <wp:effectExtent l="0" t="0" r="0" b="0"/>
                <wp:docPr id="202292" name="Group 202292"/>
                <wp:cNvGraphicFramePr/>
                <a:graphic xmlns:a="http://schemas.openxmlformats.org/drawingml/2006/main">
                  <a:graphicData uri="http://schemas.microsoft.com/office/word/2010/wordprocessingGroup">
                    <wpg:wgp>
                      <wpg:cNvGrpSpPr/>
                      <wpg:grpSpPr>
                        <a:xfrm>
                          <a:off x="0" y="0"/>
                          <a:ext cx="3992431" cy="6262854"/>
                          <a:chOff x="0" y="0"/>
                          <a:chExt cx="3992431" cy="6262854"/>
                        </a:xfrm>
                      </wpg:grpSpPr>
                      <wps:wsp>
                        <wps:cNvPr id="23034" name="Rectangle 23034"/>
                        <wps:cNvSpPr/>
                        <wps:spPr>
                          <a:xfrm rot="-10799999">
                            <a:off x="1901117" y="-62190"/>
                            <a:ext cx="178369" cy="250646"/>
                          </a:xfrm>
                          <a:prstGeom prst="rect">
                            <a:avLst/>
                          </a:prstGeom>
                          <a:ln>
                            <a:noFill/>
                          </a:ln>
                        </wps:spPr>
                        <wps:txbx>
                          <w:txbxContent>
                            <w:p w14:paraId="506D9CFD" w14:textId="77777777" w:rsidR="00B32EF2" w:rsidRDefault="00000000">
                              <w:r>
                                <w:rPr>
                                  <w:rFonts w:ascii="Times New Roman" w:eastAsia="Times New Roman" w:hAnsi="Times New Roman" w:cs="Times New Roman"/>
                                </w:rPr>
                                <w:t>18</w:t>
                              </w:r>
                            </w:p>
                          </w:txbxContent>
                        </wps:txbx>
                        <wps:bodyPr horzOverflow="overflow" vert="horz" lIns="0" tIns="0" rIns="0" bIns="0" rtlCol="0">
                          <a:noAutofit/>
                        </wps:bodyPr>
                      </wps:wsp>
                      <wps:wsp>
                        <wps:cNvPr id="23035" name="Rectangle 23035"/>
                        <wps:cNvSpPr/>
                        <wps:spPr>
                          <a:xfrm rot="-10799999">
                            <a:off x="-1316664" y="6119964"/>
                            <a:ext cx="5309096" cy="142890"/>
                          </a:xfrm>
                          <a:prstGeom prst="rect">
                            <a:avLst/>
                          </a:prstGeom>
                          <a:ln>
                            <a:noFill/>
                          </a:ln>
                        </wps:spPr>
                        <wps:txbx>
                          <w:txbxContent>
                            <w:p w14:paraId="7ED2E75F" w14:textId="77777777" w:rsidR="00B32EF2" w:rsidRDefault="00000000">
                              <w:r>
                                <w:rPr>
                                  <w:rFonts w:ascii="Arial" w:eastAsia="Arial" w:hAnsi="Arial" w:cs="Arial"/>
                                  <w:sz w:val="18"/>
                                </w:rPr>
                                <w:t xml:space="preserve">ai lavori della commissione, ovvero delle sottocommissioni, qualora formate, </w:t>
                              </w:r>
                            </w:p>
                          </w:txbxContent>
                        </wps:txbx>
                        <wps:bodyPr horzOverflow="overflow" vert="horz" lIns="0" tIns="0" rIns="0" bIns="0" rtlCol="0">
                          <a:noAutofit/>
                        </wps:bodyPr>
                      </wps:wsp>
                      <wps:wsp>
                        <wps:cNvPr id="23036" name="Rectangle 23036"/>
                        <wps:cNvSpPr/>
                        <wps:spPr>
                          <a:xfrm rot="-10799999">
                            <a:off x="-1316604" y="5996634"/>
                            <a:ext cx="5309036" cy="142891"/>
                          </a:xfrm>
                          <a:prstGeom prst="rect">
                            <a:avLst/>
                          </a:prstGeom>
                          <a:ln>
                            <a:noFill/>
                          </a:ln>
                        </wps:spPr>
                        <wps:txbx>
                          <w:txbxContent>
                            <w:p w14:paraId="1F62514D" w14:textId="77777777" w:rsidR="00B32EF2" w:rsidRDefault="00000000">
                              <w:r>
                                <w:rPr>
                                  <w:rFonts w:ascii="Arial" w:eastAsia="Arial" w:hAnsi="Arial" w:cs="Arial"/>
                                  <w:sz w:val="18"/>
                                </w:rPr>
                                <w:t xml:space="preserve">limitatamente alle prove orali relative alla lingua straniera della quale sono </w:t>
                              </w:r>
                            </w:p>
                          </w:txbxContent>
                        </wps:txbx>
                        <wps:bodyPr horzOverflow="overflow" vert="horz" lIns="0" tIns="0" rIns="0" bIns="0" rtlCol="0">
                          <a:noAutofit/>
                        </wps:bodyPr>
                      </wps:wsp>
                      <wps:wsp>
                        <wps:cNvPr id="23037" name="Rectangle 23037"/>
                        <wps:cNvSpPr/>
                        <wps:spPr>
                          <a:xfrm rot="-10799999">
                            <a:off x="3451361" y="5873305"/>
                            <a:ext cx="542328" cy="142889"/>
                          </a:xfrm>
                          <a:prstGeom prst="rect">
                            <a:avLst/>
                          </a:prstGeom>
                          <a:ln>
                            <a:noFill/>
                          </a:ln>
                        </wps:spPr>
                        <wps:txbx>
                          <w:txbxContent>
                            <w:p w14:paraId="39541D45" w14:textId="77777777" w:rsidR="00B32EF2" w:rsidRDefault="00000000">
                              <w:r>
                                <w:rPr>
                                  <w:rFonts w:ascii="Arial" w:eastAsia="Arial" w:hAnsi="Arial" w:cs="Arial"/>
                                  <w:sz w:val="18"/>
                                </w:rPr>
                                <w:t>docenti.</w:t>
                              </w:r>
                            </w:p>
                          </w:txbxContent>
                        </wps:txbx>
                        <wps:bodyPr horzOverflow="overflow" vert="horz" lIns="0" tIns="0" rIns="0" bIns="0" rtlCol="0">
                          <a:noAutofit/>
                        </wps:bodyPr>
                      </wps:wsp>
                      <wps:wsp>
                        <wps:cNvPr id="202266" name="Rectangle 202266"/>
                        <wps:cNvSpPr/>
                        <wps:spPr>
                          <a:xfrm rot="-10799999">
                            <a:off x="-1369156" y="5749976"/>
                            <a:ext cx="5309021" cy="142889"/>
                          </a:xfrm>
                          <a:prstGeom prst="rect">
                            <a:avLst/>
                          </a:prstGeom>
                          <a:ln>
                            <a:noFill/>
                          </a:ln>
                        </wps:spPr>
                        <wps:txbx>
                          <w:txbxContent>
                            <w:p w14:paraId="24F5F686" w14:textId="77777777" w:rsidR="00B32EF2" w:rsidRDefault="00000000">
                              <w:r>
                                <w:rPr>
                                  <w:rFonts w:ascii="Arial" w:eastAsia="Arial" w:hAnsi="Arial" w:cs="Arial"/>
                                  <w:sz w:val="18"/>
                                </w:rPr>
                                <w:t xml:space="preserve">. Per la copertura dei posti di magistrato tributario nella provincia di Bolzano </w:t>
                              </w:r>
                            </w:p>
                          </w:txbxContent>
                        </wps:txbx>
                        <wps:bodyPr horzOverflow="overflow" vert="horz" lIns="0" tIns="0" rIns="0" bIns="0" rtlCol="0">
                          <a:noAutofit/>
                        </wps:bodyPr>
                      </wps:wsp>
                      <wps:wsp>
                        <wps:cNvPr id="202265" name="Rectangle 202265"/>
                        <wps:cNvSpPr/>
                        <wps:spPr>
                          <a:xfrm rot="-10799999">
                            <a:off x="2611605" y="5749976"/>
                            <a:ext cx="5309020" cy="142889"/>
                          </a:xfrm>
                          <a:prstGeom prst="rect">
                            <a:avLst/>
                          </a:prstGeom>
                          <a:ln>
                            <a:noFill/>
                          </a:ln>
                        </wps:spPr>
                        <wps:txbx>
                          <w:txbxContent>
                            <w:p w14:paraId="797E9D2A"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23039" name="Rectangle 23039"/>
                        <wps:cNvSpPr/>
                        <wps:spPr>
                          <a:xfrm rot="-10799999">
                            <a:off x="-1218824" y="5626646"/>
                            <a:ext cx="5211941" cy="142889"/>
                          </a:xfrm>
                          <a:prstGeom prst="rect">
                            <a:avLst/>
                          </a:prstGeom>
                          <a:ln>
                            <a:noFill/>
                          </a:ln>
                        </wps:spPr>
                        <wps:txbx>
                          <w:txbxContent>
                            <w:p w14:paraId="5052BC14" w14:textId="77777777" w:rsidR="00B32EF2" w:rsidRDefault="00000000">
                              <w:r>
                                <w:rPr>
                                  <w:rFonts w:ascii="Arial" w:eastAsia="Arial" w:hAnsi="Arial" w:cs="Arial"/>
                                  <w:sz w:val="18"/>
                                </w:rPr>
                                <w:t>si applicano gli specifici requisiti previsti dal decreto del Presidente della Re</w:t>
                              </w:r>
                            </w:p>
                          </w:txbxContent>
                        </wps:txbx>
                        <wps:bodyPr horzOverflow="overflow" vert="horz" lIns="0" tIns="0" rIns="0" bIns="0" rtlCol="0">
                          <a:noAutofit/>
                        </wps:bodyPr>
                      </wps:wsp>
                      <wps:wsp>
                        <wps:cNvPr id="23040" name="Rectangle 23040"/>
                        <wps:cNvSpPr/>
                        <wps:spPr>
                          <a:xfrm rot="-10799999">
                            <a:off x="19833" y="5626646"/>
                            <a:ext cx="50622" cy="142889"/>
                          </a:xfrm>
                          <a:prstGeom prst="rect">
                            <a:avLst/>
                          </a:prstGeom>
                          <a:ln>
                            <a:noFill/>
                          </a:ln>
                        </wps:spPr>
                        <wps:txbx>
                          <w:txbxContent>
                            <w:p w14:paraId="3440292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041" name="Rectangle 23041"/>
                        <wps:cNvSpPr/>
                        <wps:spPr>
                          <a:xfrm rot="-10799999">
                            <a:off x="-1317879" y="5503316"/>
                            <a:ext cx="5311453" cy="142889"/>
                          </a:xfrm>
                          <a:prstGeom prst="rect">
                            <a:avLst/>
                          </a:prstGeom>
                          <a:ln>
                            <a:noFill/>
                          </a:ln>
                        </wps:spPr>
                        <wps:txbx>
                          <w:txbxContent>
                            <w:p w14:paraId="58C2E571" w14:textId="77777777" w:rsidR="00B32EF2" w:rsidRDefault="00000000">
                              <w:r>
                                <w:rPr>
                                  <w:rFonts w:ascii="Arial" w:eastAsia="Arial" w:hAnsi="Arial" w:cs="Arial"/>
                                  <w:sz w:val="18"/>
                                </w:rPr>
                                <w:t xml:space="preserve">pubblica 26 luglio 1976, n. 752, fermo restando, comunque, che il colloquio di </w:t>
                              </w:r>
                            </w:p>
                          </w:txbxContent>
                        </wps:txbx>
                        <wps:bodyPr horzOverflow="overflow" vert="horz" lIns="0" tIns="0" rIns="0" bIns="0" rtlCol="0">
                          <a:noAutofit/>
                        </wps:bodyPr>
                      </wps:wsp>
                      <wps:wsp>
                        <wps:cNvPr id="23042" name="Rectangle 23042"/>
                        <wps:cNvSpPr/>
                        <wps:spPr>
                          <a:xfrm rot="-10799999">
                            <a:off x="-1316604" y="5379987"/>
                            <a:ext cx="5309035" cy="142889"/>
                          </a:xfrm>
                          <a:prstGeom prst="rect">
                            <a:avLst/>
                          </a:prstGeom>
                          <a:ln>
                            <a:noFill/>
                          </a:ln>
                        </wps:spPr>
                        <wps:txbx>
                          <w:txbxContent>
                            <w:p w14:paraId="4F06DA2A" w14:textId="77777777" w:rsidR="00B32EF2" w:rsidRDefault="00000000">
                              <w:r>
                                <w:rPr>
                                  <w:rFonts w:ascii="Arial" w:eastAsia="Arial" w:hAnsi="Arial" w:cs="Arial"/>
                                  <w:sz w:val="18"/>
                                </w:rPr>
                                <w:t xml:space="preserve">cui al comma 4, lettera i), deve svolgersi in una lingua diversa rispetto a quella </w:t>
                              </w:r>
                            </w:p>
                          </w:txbxContent>
                        </wps:txbx>
                        <wps:bodyPr horzOverflow="overflow" vert="horz" lIns="0" tIns="0" rIns="0" bIns="0" rtlCol="0">
                          <a:noAutofit/>
                        </wps:bodyPr>
                      </wps:wsp>
                      <wps:wsp>
                        <wps:cNvPr id="23043" name="Rectangle 23043"/>
                        <wps:cNvSpPr/>
                        <wps:spPr>
                          <a:xfrm rot="-10799999">
                            <a:off x="836941" y="5256657"/>
                            <a:ext cx="3155489" cy="142889"/>
                          </a:xfrm>
                          <a:prstGeom prst="rect">
                            <a:avLst/>
                          </a:prstGeom>
                          <a:ln>
                            <a:noFill/>
                          </a:ln>
                        </wps:spPr>
                        <wps:txbx>
                          <w:txbxContent>
                            <w:p w14:paraId="0AE73F79" w14:textId="77777777" w:rsidR="00B32EF2" w:rsidRDefault="00000000">
                              <w:r>
                                <w:rPr>
                                  <w:rFonts w:ascii="Arial" w:eastAsia="Arial" w:hAnsi="Arial" w:cs="Arial"/>
                                  <w:sz w:val="18"/>
                                </w:rPr>
                                <w:t>obbligatoria per il conseguimento dell’impiego.</w:t>
                              </w:r>
                            </w:p>
                          </w:txbxContent>
                        </wps:txbx>
                        <wps:bodyPr horzOverflow="overflow" vert="horz" lIns="0" tIns="0" rIns="0" bIns="0" rtlCol="0">
                          <a:noAutofit/>
                        </wps:bodyPr>
                      </wps:wsp>
                      <wps:wsp>
                        <wps:cNvPr id="23044" name="Rectangle 23044"/>
                        <wps:cNvSpPr/>
                        <wps:spPr>
                          <a:xfrm rot="-10799999">
                            <a:off x="1561944" y="2296286"/>
                            <a:ext cx="721817" cy="142889"/>
                          </a:xfrm>
                          <a:prstGeom prst="rect">
                            <a:avLst/>
                          </a:prstGeom>
                          <a:ln>
                            <a:noFill/>
                          </a:ln>
                        </wps:spPr>
                        <wps:txbx>
                          <w:txbxContent>
                            <w:p w14:paraId="51C33A5A" w14:textId="77777777" w:rsidR="00B32EF2" w:rsidRDefault="00000000">
                              <w:r>
                                <w:rPr>
                                  <w:rFonts w:ascii="Arial" w:eastAsia="Arial" w:hAnsi="Arial" w:cs="Arial"/>
                                  <w:b/>
                                  <w:sz w:val="18"/>
                                </w:rPr>
                                <w:t>Articolo 6</w:t>
                              </w:r>
                            </w:p>
                          </w:txbxContent>
                        </wps:txbx>
                        <wps:bodyPr horzOverflow="overflow" vert="horz" lIns="0" tIns="0" rIns="0" bIns="0" rtlCol="0">
                          <a:noAutofit/>
                        </wps:bodyPr>
                      </wps:wsp>
                      <wps:wsp>
                        <wps:cNvPr id="202254" name="Rectangle 202254"/>
                        <wps:cNvSpPr/>
                        <wps:spPr>
                          <a:xfrm rot="-10799999">
                            <a:off x="1055618" y="2172956"/>
                            <a:ext cx="2116059" cy="142889"/>
                          </a:xfrm>
                          <a:prstGeom prst="rect">
                            <a:avLst/>
                          </a:prstGeom>
                          <a:ln>
                            <a:noFill/>
                          </a:ln>
                        </wps:spPr>
                        <wps:txbx>
                          <w:txbxContent>
                            <w:p w14:paraId="760FC742" w14:textId="77777777" w:rsidR="00B32EF2" w:rsidRDefault="00000000">
                              <w:r>
                                <w:rPr>
                                  <w:rFonts w:ascii="Arial" w:eastAsia="Arial" w:hAnsi="Arial" w:cs="Arial"/>
                                  <w:i/>
                                  <w:sz w:val="18"/>
                                </w:rPr>
                                <w:t xml:space="preserve">articolo 4-bis D.lgs. n. </w:t>
                              </w:r>
                            </w:p>
                          </w:txbxContent>
                        </wps:txbx>
                        <wps:bodyPr horzOverflow="overflow" vert="horz" lIns="0" tIns="0" rIns="0" bIns="0" rtlCol="0">
                          <a:noAutofit/>
                        </wps:bodyPr>
                      </wps:wsp>
                      <wps:wsp>
                        <wps:cNvPr id="202252" name="Rectangle 202252"/>
                        <wps:cNvSpPr/>
                        <wps:spPr>
                          <a:xfrm rot="-10799999">
                            <a:off x="2244840" y="2172957"/>
                            <a:ext cx="2116059" cy="142889"/>
                          </a:xfrm>
                          <a:prstGeom prst="rect">
                            <a:avLst/>
                          </a:prstGeom>
                          <a:ln>
                            <a:noFill/>
                          </a:ln>
                        </wps:spPr>
                        <wps:txbx>
                          <w:txbxContent>
                            <w:p w14:paraId="2885352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253" name="Rectangle 202253"/>
                        <wps:cNvSpPr/>
                        <wps:spPr>
                          <a:xfrm rot="-10799999">
                            <a:off x="-500244" y="2172956"/>
                            <a:ext cx="2116059" cy="142889"/>
                          </a:xfrm>
                          <a:prstGeom prst="rect">
                            <a:avLst/>
                          </a:prstGeom>
                          <a:ln>
                            <a:noFill/>
                          </a:ln>
                        </wps:spPr>
                        <wps:txbx>
                          <w:txbxContent>
                            <w:p w14:paraId="699F950B"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3046" name="Rectangle 23046"/>
                        <wps:cNvSpPr/>
                        <wps:spPr>
                          <a:xfrm rot="-10799999">
                            <a:off x="-299433" y="2049627"/>
                            <a:ext cx="3679103" cy="142889"/>
                          </a:xfrm>
                          <a:prstGeom prst="rect">
                            <a:avLst/>
                          </a:prstGeom>
                          <a:ln>
                            <a:noFill/>
                          </a:ln>
                        </wps:spPr>
                        <wps:txbx>
                          <w:txbxContent>
                            <w:p w14:paraId="0643A21C" w14:textId="77777777" w:rsidR="00B32EF2" w:rsidRDefault="00000000">
                              <w:r>
                                <w:rPr>
                                  <w:rFonts w:ascii="Arial" w:eastAsia="Arial" w:hAnsi="Arial" w:cs="Arial"/>
                                  <w:b/>
                                  <w:sz w:val="18"/>
                                </w:rPr>
                                <w:t xml:space="preserve">Requisiti per l’ammissione al concorso per esami </w:t>
                              </w:r>
                            </w:p>
                          </w:txbxContent>
                        </wps:txbx>
                        <wps:bodyPr horzOverflow="overflow" vert="horz" lIns="0" tIns="0" rIns="0" bIns="0" rtlCol="0">
                          <a:noAutofit/>
                        </wps:bodyPr>
                      </wps:wsp>
                      <wps:wsp>
                        <wps:cNvPr id="202250" name="Rectangle 202250"/>
                        <wps:cNvSpPr/>
                        <wps:spPr>
                          <a:xfrm rot="-10799999">
                            <a:off x="2611590" y="1926297"/>
                            <a:ext cx="5309082" cy="142889"/>
                          </a:xfrm>
                          <a:prstGeom prst="rect">
                            <a:avLst/>
                          </a:prstGeom>
                          <a:ln>
                            <a:noFill/>
                          </a:ln>
                        </wps:spPr>
                        <wps:txbx>
                          <w:txbxContent>
                            <w:p w14:paraId="287CC62E"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2251" name="Rectangle 202251"/>
                        <wps:cNvSpPr/>
                        <wps:spPr>
                          <a:xfrm rot="-10799999">
                            <a:off x="-1375834" y="1926297"/>
                            <a:ext cx="5309082" cy="142889"/>
                          </a:xfrm>
                          <a:prstGeom prst="rect">
                            <a:avLst/>
                          </a:prstGeom>
                          <a:ln>
                            <a:noFill/>
                          </a:ln>
                        </wps:spPr>
                        <wps:txbx>
                          <w:txbxContent>
                            <w:p w14:paraId="7D7FDEBE" w14:textId="77777777" w:rsidR="00B32EF2" w:rsidRDefault="00000000">
                              <w:r>
                                <w:rPr>
                                  <w:rFonts w:ascii="Arial" w:eastAsia="Arial" w:hAnsi="Arial" w:cs="Arial"/>
                                  <w:sz w:val="18"/>
                                </w:rPr>
                                <w:t xml:space="preserve">. Al concorso per esami di cui all’articolo 5 sono ammessi i laureati che siano </w:t>
                              </w:r>
                            </w:p>
                          </w:txbxContent>
                        </wps:txbx>
                        <wps:bodyPr horzOverflow="overflow" vert="horz" lIns="0" tIns="0" rIns="0" bIns="0" rtlCol="0">
                          <a:noAutofit/>
                        </wps:bodyPr>
                      </wps:wsp>
                      <wps:wsp>
                        <wps:cNvPr id="23048" name="Rectangle 23048"/>
                        <wps:cNvSpPr/>
                        <wps:spPr>
                          <a:xfrm rot="-10799999">
                            <a:off x="-1316604" y="1802967"/>
                            <a:ext cx="5309035" cy="142889"/>
                          </a:xfrm>
                          <a:prstGeom prst="rect">
                            <a:avLst/>
                          </a:prstGeom>
                          <a:ln>
                            <a:noFill/>
                          </a:ln>
                        </wps:spPr>
                        <wps:txbx>
                          <w:txbxContent>
                            <w:p w14:paraId="31E0D768" w14:textId="77777777" w:rsidR="00B32EF2" w:rsidRDefault="00000000">
                              <w:r>
                                <w:rPr>
                                  <w:rFonts w:ascii="Arial" w:eastAsia="Arial" w:hAnsi="Arial" w:cs="Arial"/>
                                  <w:sz w:val="18"/>
                                </w:rPr>
                                <w:t xml:space="preserve">in possesso del diploma di laurea in giurisprudenza conseguito al termine di </w:t>
                              </w:r>
                            </w:p>
                          </w:txbxContent>
                        </wps:txbx>
                        <wps:bodyPr horzOverflow="overflow" vert="horz" lIns="0" tIns="0" rIns="0" bIns="0" rtlCol="0">
                          <a:noAutofit/>
                        </wps:bodyPr>
                      </wps:wsp>
                      <wps:wsp>
                        <wps:cNvPr id="23049" name="Rectangle 23049"/>
                        <wps:cNvSpPr/>
                        <wps:spPr>
                          <a:xfrm rot="-10799999">
                            <a:off x="-1218034" y="1679637"/>
                            <a:ext cx="5210467" cy="142889"/>
                          </a:xfrm>
                          <a:prstGeom prst="rect">
                            <a:avLst/>
                          </a:prstGeom>
                          <a:ln>
                            <a:noFill/>
                          </a:ln>
                        </wps:spPr>
                        <wps:txbx>
                          <w:txbxContent>
                            <w:p w14:paraId="3CF1F60C" w14:textId="77777777" w:rsidR="00B32EF2" w:rsidRDefault="00000000">
                              <w:r>
                                <w:rPr>
                                  <w:rFonts w:ascii="Arial" w:eastAsia="Arial" w:hAnsi="Arial" w:cs="Arial"/>
                                  <w:sz w:val="18"/>
                                </w:rPr>
                                <w:t>un corso universitario di durata non inferiore a quattro anni, ovvero del diplo</w:t>
                              </w:r>
                            </w:p>
                          </w:txbxContent>
                        </wps:txbx>
                        <wps:bodyPr horzOverflow="overflow" vert="horz" lIns="0" tIns="0" rIns="0" bIns="0" rtlCol="0">
                          <a:noAutofit/>
                        </wps:bodyPr>
                      </wps:wsp>
                      <wps:wsp>
                        <wps:cNvPr id="23050" name="Rectangle 23050"/>
                        <wps:cNvSpPr/>
                        <wps:spPr>
                          <a:xfrm rot="-10799999">
                            <a:off x="19833" y="1679638"/>
                            <a:ext cx="50622" cy="142889"/>
                          </a:xfrm>
                          <a:prstGeom prst="rect">
                            <a:avLst/>
                          </a:prstGeom>
                          <a:ln>
                            <a:noFill/>
                          </a:ln>
                        </wps:spPr>
                        <wps:txbx>
                          <w:txbxContent>
                            <w:p w14:paraId="235DC1C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051" name="Rectangle 23051"/>
                        <wps:cNvSpPr/>
                        <wps:spPr>
                          <a:xfrm rot="-10799999">
                            <a:off x="-1316634" y="1556308"/>
                            <a:ext cx="5309295" cy="142889"/>
                          </a:xfrm>
                          <a:prstGeom prst="rect">
                            <a:avLst/>
                          </a:prstGeom>
                          <a:ln>
                            <a:noFill/>
                          </a:ln>
                        </wps:spPr>
                        <wps:txbx>
                          <w:txbxContent>
                            <w:p w14:paraId="613B85C6" w14:textId="77777777" w:rsidR="00B32EF2" w:rsidRDefault="00000000">
                              <w:r>
                                <w:rPr>
                                  <w:rFonts w:ascii="Arial" w:eastAsia="Arial" w:hAnsi="Arial" w:cs="Arial"/>
                                  <w:sz w:val="18"/>
                                </w:rPr>
                                <w:t xml:space="preserve">ma di laurea magistrale in Scienze dell’economia (classe LM-56) o in Scienze </w:t>
                              </w:r>
                            </w:p>
                          </w:txbxContent>
                        </wps:txbx>
                        <wps:bodyPr horzOverflow="overflow" vert="horz" lIns="0" tIns="0" rIns="0" bIns="0" rtlCol="0">
                          <a:noAutofit/>
                        </wps:bodyPr>
                      </wps:wsp>
                      <wps:wsp>
                        <wps:cNvPr id="23052" name="Rectangle 23052"/>
                        <wps:cNvSpPr/>
                        <wps:spPr>
                          <a:xfrm rot="-10799999">
                            <a:off x="-1316604" y="1432978"/>
                            <a:ext cx="5309036" cy="142889"/>
                          </a:xfrm>
                          <a:prstGeom prst="rect">
                            <a:avLst/>
                          </a:prstGeom>
                          <a:ln>
                            <a:noFill/>
                          </a:ln>
                        </wps:spPr>
                        <wps:txbx>
                          <w:txbxContent>
                            <w:p w14:paraId="511B4923" w14:textId="77777777" w:rsidR="00B32EF2" w:rsidRDefault="00000000">
                              <w:r>
                                <w:rPr>
                                  <w:rFonts w:ascii="Arial" w:eastAsia="Arial" w:hAnsi="Arial" w:cs="Arial"/>
                                  <w:sz w:val="18"/>
                                </w:rPr>
                                <w:t xml:space="preserve">economico-aziendali (classe LM-77) o di titoli degli ordinamenti previgenti a </w:t>
                              </w:r>
                            </w:p>
                          </w:txbxContent>
                        </wps:txbx>
                        <wps:bodyPr horzOverflow="overflow" vert="horz" lIns="0" tIns="0" rIns="0" bIns="0" rtlCol="0">
                          <a:noAutofit/>
                        </wps:bodyPr>
                      </wps:wsp>
                      <wps:wsp>
                        <wps:cNvPr id="23053" name="Rectangle 23053"/>
                        <wps:cNvSpPr/>
                        <wps:spPr>
                          <a:xfrm rot="-10799999">
                            <a:off x="-1150128" y="1309648"/>
                            <a:ext cx="5142560" cy="142889"/>
                          </a:xfrm>
                          <a:prstGeom prst="rect">
                            <a:avLst/>
                          </a:prstGeom>
                          <a:ln>
                            <a:noFill/>
                          </a:ln>
                        </wps:spPr>
                        <wps:txbx>
                          <w:txbxContent>
                            <w:p w14:paraId="6CA42A97" w14:textId="77777777" w:rsidR="00B32EF2" w:rsidRDefault="00000000">
                              <w:r>
                                <w:rPr>
                                  <w:rFonts w:ascii="Arial" w:eastAsia="Arial" w:hAnsi="Arial" w:cs="Arial"/>
                                  <w:sz w:val="18"/>
                                </w:rPr>
                                <w:t>questi equiparati. È necessaria, altresì, la sussistenza dei seguenti requisiti:</w:t>
                              </w:r>
                            </w:p>
                          </w:txbxContent>
                        </wps:txbx>
                        <wps:bodyPr horzOverflow="overflow" vert="horz" lIns="0" tIns="0" rIns="0" bIns="0" rtlCol="0">
                          <a:noAutofit/>
                        </wps:bodyPr>
                      </wps:wsp>
                      <wps:wsp>
                        <wps:cNvPr id="23054" name="Rectangle 23054"/>
                        <wps:cNvSpPr/>
                        <wps:spPr>
                          <a:xfrm rot="-10799999">
                            <a:off x="2268535" y="1186319"/>
                            <a:ext cx="1723896" cy="142889"/>
                          </a:xfrm>
                          <a:prstGeom prst="rect">
                            <a:avLst/>
                          </a:prstGeom>
                          <a:ln>
                            <a:noFill/>
                          </a:ln>
                        </wps:spPr>
                        <wps:txbx>
                          <w:txbxContent>
                            <w:p w14:paraId="12F3947C" w14:textId="77777777" w:rsidR="00B32EF2" w:rsidRDefault="00000000">
                              <w:r>
                                <w:rPr>
                                  <w:rFonts w:ascii="Arial" w:eastAsia="Arial" w:hAnsi="Arial" w:cs="Arial"/>
                                  <w:sz w:val="18"/>
                                </w:rPr>
                                <w:t>a) essere cittadini italiani;</w:t>
                              </w:r>
                            </w:p>
                          </w:txbxContent>
                        </wps:txbx>
                        <wps:bodyPr horzOverflow="overflow" vert="horz" lIns="0" tIns="0" rIns="0" bIns="0" rtlCol="0">
                          <a:noAutofit/>
                        </wps:bodyPr>
                      </wps:wsp>
                      <wps:wsp>
                        <wps:cNvPr id="23055" name="Rectangle 23055"/>
                        <wps:cNvSpPr/>
                        <wps:spPr>
                          <a:xfrm rot="-10799999">
                            <a:off x="1731969" y="1062989"/>
                            <a:ext cx="2260462" cy="142889"/>
                          </a:xfrm>
                          <a:prstGeom prst="rect">
                            <a:avLst/>
                          </a:prstGeom>
                          <a:ln>
                            <a:noFill/>
                          </a:ln>
                        </wps:spPr>
                        <wps:txbx>
                          <w:txbxContent>
                            <w:p w14:paraId="3ABFCD37" w14:textId="77777777" w:rsidR="00B32EF2" w:rsidRDefault="00000000">
                              <w:r>
                                <w:rPr>
                                  <w:rFonts w:ascii="Arial" w:eastAsia="Arial" w:hAnsi="Arial" w:cs="Arial"/>
                                  <w:sz w:val="18"/>
                                </w:rPr>
                                <w:t>b) avere l’esercizio dei diritti civili;</w:t>
                              </w:r>
                            </w:p>
                          </w:txbxContent>
                        </wps:txbx>
                        <wps:bodyPr horzOverflow="overflow" vert="horz" lIns="0" tIns="0" rIns="0" bIns="0" rtlCol="0">
                          <a:noAutofit/>
                        </wps:bodyPr>
                      </wps:wsp>
                      <wps:wsp>
                        <wps:cNvPr id="23056" name="Rectangle 23056"/>
                        <wps:cNvSpPr/>
                        <wps:spPr>
                          <a:xfrm rot="-10799999">
                            <a:off x="1575876" y="939660"/>
                            <a:ext cx="2416555" cy="142889"/>
                          </a:xfrm>
                          <a:prstGeom prst="rect">
                            <a:avLst/>
                          </a:prstGeom>
                          <a:ln>
                            <a:noFill/>
                          </a:ln>
                        </wps:spPr>
                        <wps:txbx>
                          <w:txbxContent>
                            <w:p w14:paraId="4141D92F" w14:textId="77777777" w:rsidR="00B32EF2" w:rsidRDefault="00000000">
                              <w:r>
                                <w:rPr>
                                  <w:rFonts w:ascii="Arial" w:eastAsia="Arial" w:hAnsi="Arial" w:cs="Arial"/>
                                  <w:sz w:val="18"/>
                                </w:rPr>
                                <w:t>c) essere di condotta incensurabile;</w:t>
                              </w:r>
                            </w:p>
                          </w:txbxContent>
                        </wps:txbx>
                        <wps:bodyPr horzOverflow="overflow" vert="horz" lIns="0" tIns="0" rIns="0" bIns="0" rtlCol="0">
                          <a:noAutofit/>
                        </wps:bodyPr>
                      </wps:wsp>
                      <wps:wsp>
                        <wps:cNvPr id="23057" name="Rectangle 23057"/>
                        <wps:cNvSpPr/>
                        <wps:spPr>
                          <a:xfrm rot="-10799999">
                            <a:off x="-1316574" y="816330"/>
                            <a:ext cx="5309005" cy="142889"/>
                          </a:xfrm>
                          <a:prstGeom prst="rect">
                            <a:avLst/>
                          </a:prstGeom>
                          <a:ln>
                            <a:noFill/>
                          </a:ln>
                        </wps:spPr>
                        <wps:txbx>
                          <w:txbxContent>
                            <w:p w14:paraId="282400EC" w14:textId="77777777" w:rsidR="00B32EF2" w:rsidRDefault="00000000">
                              <w:r>
                                <w:rPr>
                                  <w:rFonts w:ascii="Arial" w:eastAsia="Arial" w:hAnsi="Arial" w:cs="Arial"/>
                                  <w:sz w:val="18"/>
                                </w:rPr>
                                <w:t xml:space="preserve">d) non essere stati dichiarati per tre volte non idonei nel concorso per esami di </w:t>
                              </w:r>
                            </w:p>
                          </w:txbxContent>
                        </wps:txbx>
                        <wps:bodyPr horzOverflow="overflow" vert="horz" lIns="0" tIns="0" rIns="0" bIns="0" rtlCol="0">
                          <a:noAutofit/>
                        </wps:bodyPr>
                      </wps:wsp>
                      <wps:wsp>
                        <wps:cNvPr id="23058" name="Rectangle 23058"/>
                        <wps:cNvSpPr/>
                        <wps:spPr>
                          <a:xfrm rot="-10799999">
                            <a:off x="-1316604" y="693000"/>
                            <a:ext cx="5309036" cy="142889"/>
                          </a:xfrm>
                          <a:prstGeom prst="rect">
                            <a:avLst/>
                          </a:prstGeom>
                          <a:ln>
                            <a:noFill/>
                          </a:ln>
                        </wps:spPr>
                        <wps:txbx>
                          <w:txbxContent>
                            <w:p w14:paraId="36CDD0DC" w14:textId="77777777" w:rsidR="00B32EF2" w:rsidRDefault="00000000">
                              <w:r>
                                <w:rPr>
                                  <w:rFonts w:ascii="Arial" w:eastAsia="Arial" w:hAnsi="Arial" w:cs="Arial"/>
                                  <w:sz w:val="18"/>
                                </w:rPr>
                                <w:t xml:space="preserve">cui all’articolo 5, alla data di scadenza del termine per la presentazione della </w:t>
                              </w:r>
                            </w:p>
                          </w:txbxContent>
                        </wps:txbx>
                        <wps:bodyPr horzOverflow="overflow" vert="horz" lIns="0" tIns="0" rIns="0" bIns="0" rtlCol="0">
                          <a:noAutofit/>
                        </wps:bodyPr>
                      </wps:wsp>
                      <wps:wsp>
                        <wps:cNvPr id="23059" name="Rectangle 23059"/>
                        <wps:cNvSpPr/>
                        <wps:spPr>
                          <a:xfrm rot="-10799999">
                            <a:off x="3311350" y="569671"/>
                            <a:ext cx="681881" cy="142889"/>
                          </a:xfrm>
                          <a:prstGeom prst="rect">
                            <a:avLst/>
                          </a:prstGeom>
                          <a:ln>
                            <a:noFill/>
                          </a:ln>
                        </wps:spPr>
                        <wps:txbx>
                          <w:txbxContent>
                            <w:p w14:paraId="6EFAEA2B" w14:textId="77777777" w:rsidR="00B32EF2" w:rsidRDefault="00000000">
                              <w:r>
                                <w:rPr>
                                  <w:rFonts w:ascii="Arial" w:eastAsia="Arial" w:hAnsi="Arial" w:cs="Arial"/>
                                  <w:sz w:val="18"/>
                                </w:rPr>
                                <w:t>domanda;</w:t>
                              </w:r>
                            </w:p>
                          </w:txbxContent>
                        </wps:txbx>
                        <wps:bodyPr horzOverflow="overflow" vert="horz" lIns="0" tIns="0" rIns="0" bIns="0" rtlCol="0">
                          <a:noAutofit/>
                        </wps:bodyPr>
                      </wps:wsp>
                      <wps:wsp>
                        <wps:cNvPr id="23060" name="Rectangle 23060"/>
                        <wps:cNvSpPr/>
                        <wps:spPr>
                          <a:xfrm rot="-10799999">
                            <a:off x="924353" y="446341"/>
                            <a:ext cx="3068078" cy="142889"/>
                          </a:xfrm>
                          <a:prstGeom prst="rect">
                            <a:avLst/>
                          </a:prstGeom>
                          <a:ln>
                            <a:noFill/>
                          </a:ln>
                        </wps:spPr>
                        <wps:txbx>
                          <w:txbxContent>
                            <w:p w14:paraId="4A7E8624" w14:textId="77777777" w:rsidR="00B32EF2" w:rsidRDefault="00000000">
                              <w:r>
                                <w:rPr>
                                  <w:rFonts w:ascii="Arial" w:eastAsia="Arial" w:hAnsi="Arial" w:cs="Arial"/>
                                  <w:sz w:val="18"/>
                                </w:rPr>
                                <w:t xml:space="preserve">e) gli altri requisiti richiesti dalle leggi vigenti. </w:t>
                              </w:r>
                            </w:p>
                          </w:txbxContent>
                        </wps:txbx>
                        <wps:bodyPr horzOverflow="overflow" vert="horz" lIns="0" tIns="0" rIns="0" bIns="0" rtlCol="0">
                          <a:noAutofit/>
                        </wps:bodyPr>
                      </wps:wsp>
                      <wps:wsp>
                        <wps:cNvPr id="208168" name="Shape 208168"/>
                        <wps:cNvSpPr/>
                        <wps:spPr>
                          <a:xfrm>
                            <a:off x="32431" y="2593599"/>
                            <a:ext cx="3960000" cy="2663901"/>
                          </a:xfrm>
                          <a:custGeom>
                            <a:avLst/>
                            <a:gdLst/>
                            <a:ahLst/>
                            <a:cxnLst/>
                            <a:rect l="0" t="0" r="0" b="0"/>
                            <a:pathLst>
                              <a:path w="3960000" h="2663901">
                                <a:moveTo>
                                  <a:pt x="0" y="0"/>
                                </a:moveTo>
                                <a:lnTo>
                                  <a:pt x="3960000" y="0"/>
                                </a:lnTo>
                                <a:lnTo>
                                  <a:pt x="3960000" y="2663901"/>
                                </a:lnTo>
                                <a:lnTo>
                                  <a:pt x="0" y="2663901"/>
                                </a:lnTo>
                                <a:lnTo>
                                  <a:pt x="0" y="0"/>
                                </a:lnTo>
                              </a:path>
                            </a:pathLst>
                          </a:custGeom>
                          <a:ln w="0" cap="flat">
                            <a:miter lim="127000"/>
                          </a:ln>
                        </wps:spPr>
                        <wps:style>
                          <a:lnRef idx="0">
                            <a:srgbClr val="000000">
                              <a:alpha val="0"/>
                            </a:srgbClr>
                          </a:lnRef>
                          <a:fillRef idx="1">
                            <a:srgbClr val="C3C3C3"/>
                          </a:fillRef>
                          <a:effectRef idx="0">
                            <a:scrgbClr r="0" g="0" b="0"/>
                          </a:effectRef>
                          <a:fontRef idx="none"/>
                        </wps:style>
                        <wps:bodyPr/>
                      </wps:wsp>
                      <wps:wsp>
                        <wps:cNvPr id="23062" name="Rectangle 23062"/>
                        <wps:cNvSpPr/>
                        <wps:spPr>
                          <a:xfrm rot="-10799999">
                            <a:off x="2328593" y="5036861"/>
                            <a:ext cx="1586516" cy="141460"/>
                          </a:xfrm>
                          <a:prstGeom prst="rect">
                            <a:avLst/>
                          </a:prstGeom>
                          <a:ln>
                            <a:noFill/>
                          </a:ln>
                        </wps:spPr>
                        <wps:txbx>
                          <w:txbxContent>
                            <w:p w14:paraId="08AE0980" w14:textId="77777777" w:rsidR="00B32EF2" w:rsidRDefault="00000000">
                              <w:r>
                                <w:rPr>
                                  <w:rFonts w:ascii="Arial" w:eastAsia="Arial" w:hAnsi="Arial" w:cs="Arial"/>
                                  <w:b/>
                                  <w:i/>
                                  <w:sz w:val="18"/>
                                </w:rPr>
                                <w:t>NORME RICHIAMATE</w:t>
                              </w:r>
                            </w:p>
                          </w:txbxContent>
                        </wps:txbx>
                        <wps:bodyPr horzOverflow="overflow" vert="horz" lIns="0" tIns="0" rIns="0" bIns="0" rtlCol="0">
                          <a:noAutofit/>
                        </wps:bodyPr>
                      </wps:wsp>
                      <wps:wsp>
                        <wps:cNvPr id="23063" name="Rectangle 23063"/>
                        <wps:cNvSpPr/>
                        <wps:spPr>
                          <a:xfrm rot="-10799999">
                            <a:off x="-1187134" y="4909899"/>
                            <a:ext cx="5102016" cy="141461"/>
                          </a:xfrm>
                          <a:prstGeom prst="rect">
                            <a:avLst/>
                          </a:prstGeom>
                          <a:ln>
                            <a:noFill/>
                          </a:ln>
                        </wps:spPr>
                        <wps:txbx>
                          <w:txbxContent>
                            <w:p w14:paraId="36180F40" w14:textId="77777777" w:rsidR="00B32EF2" w:rsidRDefault="00000000">
                              <w:r>
                                <w:rPr>
                                  <w:rFonts w:ascii="Arial" w:eastAsia="Arial" w:hAnsi="Arial" w:cs="Arial"/>
                                  <w:i/>
                                  <w:sz w:val="18"/>
                                </w:rPr>
                                <w:t xml:space="preserve">art. 8 regio decreto 1860/1925 recante “Modificazioni al regolamento per il </w:t>
                              </w:r>
                            </w:p>
                          </w:txbxContent>
                        </wps:txbx>
                        <wps:bodyPr horzOverflow="overflow" vert="horz" lIns="0" tIns="0" rIns="0" bIns="0" rtlCol="0">
                          <a:noAutofit/>
                        </wps:bodyPr>
                      </wps:wsp>
                      <wps:wsp>
                        <wps:cNvPr id="23064" name="Rectangle 23064"/>
                        <wps:cNvSpPr/>
                        <wps:spPr>
                          <a:xfrm rot="-10799999">
                            <a:off x="-1186679" y="4782937"/>
                            <a:ext cx="5101561" cy="141461"/>
                          </a:xfrm>
                          <a:prstGeom prst="rect">
                            <a:avLst/>
                          </a:prstGeom>
                          <a:ln>
                            <a:noFill/>
                          </a:ln>
                        </wps:spPr>
                        <wps:txbx>
                          <w:txbxContent>
                            <w:p w14:paraId="33CBD9D7" w14:textId="77777777" w:rsidR="00B32EF2" w:rsidRDefault="00000000">
                              <w:r>
                                <w:rPr>
                                  <w:rFonts w:ascii="Arial" w:eastAsia="Arial" w:hAnsi="Arial" w:cs="Arial"/>
                                  <w:i/>
                                  <w:sz w:val="18"/>
                                </w:rPr>
                                <w:t xml:space="preserve">concorso di ammissione in magistratura contenuto nel R. decreto 19 luglio </w:t>
                              </w:r>
                            </w:p>
                          </w:txbxContent>
                        </wps:txbx>
                        <wps:bodyPr horzOverflow="overflow" vert="horz" lIns="0" tIns="0" rIns="0" bIns="0" rtlCol="0">
                          <a:noAutofit/>
                        </wps:bodyPr>
                      </wps:wsp>
                      <wps:wsp>
                        <wps:cNvPr id="202263" name="Rectangle 202263"/>
                        <wps:cNvSpPr/>
                        <wps:spPr>
                          <a:xfrm rot="-10799999">
                            <a:off x="3413880" y="4655974"/>
                            <a:ext cx="1010470" cy="141460"/>
                          </a:xfrm>
                          <a:prstGeom prst="rect">
                            <a:avLst/>
                          </a:prstGeom>
                          <a:ln>
                            <a:noFill/>
                          </a:ln>
                        </wps:spPr>
                        <wps:txbx>
                          <w:txbxContent>
                            <w:p w14:paraId="396D4536" w14:textId="77777777" w:rsidR="00B32EF2" w:rsidRDefault="00000000">
                              <w:r>
                                <w:rPr>
                                  <w:rFonts w:ascii="Arial" w:eastAsia="Arial" w:hAnsi="Arial" w:cs="Arial"/>
                                  <w:i/>
                                  <w:sz w:val="18"/>
                                </w:rPr>
                                <w:t>1924</w:t>
                              </w:r>
                            </w:p>
                          </w:txbxContent>
                        </wps:txbx>
                        <wps:bodyPr horzOverflow="overflow" vert="horz" lIns="0" tIns="0" rIns="0" bIns="0" rtlCol="0">
                          <a:noAutofit/>
                        </wps:bodyPr>
                      </wps:wsp>
                      <wps:wsp>
                        <wps:cNvPr id="202264" name="Rectangle 202264"/>
                        <wps:cNvSpPr/>
                        <wps:spPr>
                          <a:xfrm rot="-10799999">
                            <a:off x="2651739" y="4655974"/>
                            <a:ext cx="1010470" cy="141460"/>
                          </a:xfrm>
                          <a:prstGeom prst="rect">
                            <a:avLst/>
                          </a:prstGeom>
                          <a:ln>
                            <a:noFill/>
                          </a:ln>
                        </wps:spPr>
                        <wps:txbx>
                          <w:txbxContent>
                            <w:p w14:paraId="4AC3599B" w14:textId="77777777" w:rsidR="00B32EF2" w:rsidRDefault="00000000">
                              <w:r>
                                <w:rPr>
                                  <w:rFonts w:ascii="Arial" w:eastAsia="Arial" w:hAnsi="Arial" w:cs="Arial"/>
                                  <w:i/>
                                  <w:sz w:val="18"/>
                                </w:rPr>
                                <w:t>, n. 1218”.</w:t>
                              </w:r>
                            </w:p>
                          </w:txbxContent>
                        </wps:txbx>
                        <wps:bodyPr horzOverflow="overflow" vert="horz" lIns="0" tIns="0" rIns="0" bIns="0" rtlCol="0">
                          <a:noAutofit/>
                        </wps:bodyPr>
                      </wps:wsp>
                      <wps:wsp>
                        <wps:cNvPr id="23066" name="Rectangle 23066"/>
                        <wps:cNvSpPr/>
                        <wps:spPr>
                          <a:xfrm rot="-10799999">
                            <a:off x="407047" y="4529012"/>
                            <a:ext cx="3507033" cy="141461"/>
                          </a:xfrm>
                          <a:prstGeom prst="rect">
                            <a:avLst/>
                          </a:prstGeom>
                          <a:ln>
                            <a:noFill/>
                          </a:ln>
                        </wps:spPr>
                        <wps:txbx>
                          <w:txbxContent>
                            <w:p w14:paraId="281B875F" w14:textId="77777777" w:rsidR="00B32EF2" w:rsidRDefault="00000000">
                              <w:r>
                                <w:rPr>
                                  <w:rFonts w:ascii="Arial" w:eastAsia="Arial" w:hAnsi="Arial" w:cs="Arial"/>
                                  <w:i/>
                                  <w:sz w:val="18"/>
                                </w:rPr>
                                <w:t xml:space="preserve">art. 3 L. 241/1990 “Motivazione del provvedimento” </w:t>
                              </w:r>
                            </w:p>
                          </w:txbxContent>
                        </wps:txbx>
                        <wps:bodyPr horzOverflow="overflow" vert="horz" lIns="0" tIns="0" rIns="0" bIns="0" rtlCol="0">
                          <a:noAutofit/>
                        </wps:bodyPr>
                      </wps:wsp>
                      <wps:wsp>
                        <wps:cNvPr id="202262" name="Rectangle 202262"/>
                        <wps:cNvSpPr/>
                        <wps:spPr>
                          <a:xfrm rot="-10799999">
                            <a:off x="-1215581" y="4402050"/>
                            <a:ext cx="5104631" cy="141461"/>
                          </a:xfrm>
                          <a:prstGeom prst="rect">
                            <a:avLst/>
                          </a:prstGeom>
                          <a:ln>
                            <a:noFill/>
                          </a:ln>
                        </wps:spPr>
                        <wps:txbx>
                          <w:txbxContent>
                            <w:p w14:paraId="7F8C2D3F" w14:textId="77777777" w:rsidR="00B32EF2" w:rsidRDefault="00000000">
                              <w:r>
                                <w:rPr>
                                  <w:rFonts w:ascii="Arial" w:eastAsia="Arial" w:hAnsi="Arial" w:cs="Arial"/>
                                  <w:i/>
                                  <w:sz w:val="18"/>
                                </w:rPr>
                                <w:t>. Ogni    provvedimento   amministrativo,   compresi   quelli   concernenti</w:t>
                              </w:r>
                            </w:p>
                          </w:txbxContent>
                        </wps:txbx>
                        <wps:bodyPr horzOverflow="overflow" vert="horz" lIns="0" tIns="0" rIns="0" bIns="0" rtlCol="0">
                          <a:noAutofit/>
                        </wps:bodyPr>
                      </wps:wsp>
                      <wps:wsp>
                        <wps:cNvPr id="202261" name="Rectangle 202261"/>
                        <wps:cNvSpPr/>
                        <wps:spPr>
                          <a:xfrm rot="-10799999">
                            <a:off x="2583968" y="4402050"/>
                            <a:ext cx="5104631" cy="141461"/>
                          </a:xfrm>
                          <a:prstGeom prst="rect">
                            <a:avLst/>
                          </a:prstGeom>
                          <a:ln>
                            <a:noFill/>
                          </a:ln>
                        </wps:spPr>
                        <wps:txbx>
                          <w:txbxContent>
                            <w:p w14:paraId="7D091D4E" w14:textId="77777777" w:rsidR="00B32EF2" w:rsidRDefault="00000000">
                              <w:r>
                                <w:rPr>
                                  <w:rFonts w:ascii="Arial" w:eastAsia="Arial" w:hAnsi="Arial" w:cs="Arial"/>
                                  <w:i/>
                                  <w:sz w:val="18"/>
                                </w:rPr>
                                <w:t>1</w:t>
                              </w:r>
                            </w:p>
                          </w:txbxContent>
                        </wps:txbx>
                        <wps:bodyPr horzOverflow="overflow" vert="horz" lIns="0" tIns="0" rIns="0" bIns="0" rtlCol="0">
                          <a:noAutofit/>
                        </wps:bodyPr>
                      </wps:wsp>
                      <wps:wsp>
                        <wps:cNvPr id="23087" name="Rectangle 23087"/>
                        <wps:cNvSpPr/>
                        <wps:spPr>
                          <a:xfrm rot="-10799999">
                            <a:off x="-4991585" y="4402050"/>
                            <a:ext cx="5104631" cy="141461"/>
                          </a:xfrm>
                          <a:prstGeom prst="rect">
                            <a:avLst/>
                          </a:prstGeom>
                          <a:ln>
                            <a:noFill/>
                          </a:ln>
                        </wps:spPr>
                        <wps:txbx>
                          <w:txbxContent>
                            <w:p w14:paraId="2603DDE1" w14:textId="77777777" w:rsidR="00B32EF2" w:rsidRDefault="00000000">
                              <w:r>
                                <w:rPr>
                                  <w:rFonts w:ascii="Arial" w:eastAsia="Arial" w:hAnsi="Arial" w:cs="Arial"/>
                                  <w:i/>
                                  <w:sz w:val="18"/>
                                </w:rPr>
                                <w:t xml:space="preserve"> </w:t>
                              </w:r>
                            </w:p>
                          </w:txbxContent>
                        </wps:txbx>
                        <wps:bodyPr horzOverflow="overflow" vert="horz" lIns="0" tIns="0" rIns="0" bIns="0" rtlCol="0">
                          <a:noAutofit/>
                        </wps:bodyPr>
                      </wps:wsp>
                      <wps:wsp>
                        <wps:cNvPr id="23068" name="Rectangle 23068"/>
                        <wps:cNvSpPr/>
                        <wps:spPr>
                          <a:xfrm rot="-10799999">
                            <a:off x="-1188094" y="4275089"/>
                            <a:ext cx="5108234" cy="141461"/>
                          </a:xfrm>
                          <a:prstGeom prst="rect">
                            <a:avLst/>
                          </a:prstGeom>
                          <a:ln>
                            <a:noFill/>
                          </a:ln>
                        </wps:spPr>
                        <wps:txbx>
                          <w:txbxContent>
                            <w:p w14:paraId="79696115" w14:textId="77777777" w:rsidR="00B32EF2" w:rsidRDefault="00000000">
                              <w:r>
                                <w:rPr>
                                  <w:rFonts w:ascii="Arial" w:eastAsia="Arial" w:hAnsi="Arial" w:cs="Arial"/>
                                  <w:i/>
                                  <w:sz w:val="18"/>
                                </w:rPr>
                                <w:t xml:space="preserve">l’organizzazione amministrativa,  lo  svolgimento  dei pubblici concorsi ed </w:t>
                              </w:r>
                            </w:p>
                          </w:txbxContent>
                        </wps:txbx>
                        <wps:bodyPr horzOverflow="overflow" vert="horz" lIns="0" tIns="0" rIns="0" bIns="0" rtlCol="0">
                          <a:noAutofit/>
                        </wps:bodyPr>
                      </wps:wsp>
                      <wps:wsp>
                        <wps:cNvPr id="23069" name="Rectangle 23069"/>
                        <wps:cNvSpPr/>
                        <wps:spPr>
                          <a:xfrm rot="-10799999">
                            <a:off x="-1188591" y="4148125"/>
                            <a:ext cx="5110560" cy="141461"/>
                          </a:xfrm>
                          <a:prstGeom prst="rect">
                            <a:avLst/>
                          </a:prstGeom>
                          <a:ln>
                            <a:noFill/>
                          </a:ln>
                        </wps:spPr>
                        <wps:txbx>
                          <w:txbxContent>
                            <w:p w14:paraId="54D117E7" w14:textId="77777777" w:rsidR="00B32EF2" w:rsidRDefault="00000000">
                              <w:r>
                                <w:rPr>
                                  <w:rFonts w:ascii="Arial" w:eastAsia="Arial" w:hAnsi="Arial" w:cs="Arial"/>
                                  <w:i/>
                                  <w:sz w:val="18"/>
                                </w:rPr>
                                <w:t xml:space="preserve">il  personale, deve  essere  motivato,  salvo che nelle ipotesi previste dal </w:t>
                              </w:r>
                            </w:p>
                          </w:txbxContent>
                        </wps:txbx>
                        <wps:bodyPr horzOverflow="overflow" vert="horz" lIns="0" tIns="0" rIns="0" bIns="0" rtlCol="0">
                          <a:noAutofit/>
                        </wps:bodyPr>
                      </wps:wsp>
                      <wps:wsp>
                        <wps:cNvPr id="23070" name="Rectangle 23070"/>
                        <wps:cNvSpPr/>
                        <wps:spPr>
                          <a:xfrm rot="-10799999">
                            <a:off x="3366184" y="4021163"/>
                            <a:ext cx="548697" cy="141460"/>
                          </a:xfrm>
                          <a:prstGeom prst="rect">
                            <a:avLst/>
                          </a:prstGeom>
                          <a:ln>
                            <a:noFill/>
                          </a:ln>
                        </wps:spPr>
                        <wps:txbx>
                          <w:txbxContent>
                            <w:p w14:paraId="25271A70" w14:textId="77777777" w:rsidR="00B32EF2" w:rsidRDefault="00000000">
                              <w:r>
                                <w:rPr>
                                  <w:rFonts w:ascii="Arial" w:eastAsia="Arial" w:hAnsi="Arial" w:cs="Arial"/>
                                  <w:i/>
                                  <w:sz w:val="18"/>
                                </w:rPr>
                                <w:t>comma.</w:t>
                              </w:r>
                            </w:p>
                          </w:txbxContent>
                        </wps:txbx>
                        <wps:bodyPr horzOverflow="overflow" vert="horz" lIns="0" tIns="0" rIns="0" bIns="0" rtlCol="0">
                          <a:noAutofit/>
                        </wps:bodyPr>
                      </wps:wsp>
                      <wps:wsp>
                        <wps:cNvPr id="23071" name="Rectangle 23071"/>
                        <wps:cNvSpPr/>
                        <wps:spPr>
                          <a:xfrm rot="-10799999">
                            <a:off x="-1188855" y="3894201"/>
                            <a:ext cx="5108766" cy="141461"/>
                          </a:xfrm>
                          <a:prstGeom prst="rect">
                            <a:avLst/>
                          </a:prstGeom>
                          <a:ln>
                            <a:noFill/>
                          </a:ln>
                        </wps:spPr>
                        <wps:txbx>
                          <w:txbxContent>
                            <w:p w14:paraId="463605FF" w14:textId="77777777" w:rsidR="00B32EF2" w:rsidRDefault="00000000">
                              <w:r>
                                <w:rPr>
                                  <w:rFonts w:ascii="Arial" w:eastAsia="Arial" w:hAnsi="Arial" w:cs="Arial"/>
                                  <w:i/>
                                  <w:sz w:val="18"/>
                                </w:rPr>
                                <w:t xml:space="preserve"> 2. La   motivazione  deve  indicare  i  presupposti  di  fatto  e  le  ragioni </w:t>
                              </w:r>
                            </w:p>
                          </w:txbxContent>
                        </wps:txbx>
                        <wps:bodyPr horzOverflow="overflow" vert="horz" lIns="0" tIns="0" rIns="0" bIns="0" rtlCol="0">
                          <a:noAutofit/>
                        </wps:bodyPr>
                      </wps:wsp>
                      <wps:wsp>
                        <wps:cNvPr id="23088" name="Rectangle 23088"/>
                        <wps:cNvSpPr/>
                        <wps:spPr>
                          <a:xfrm rot="-10799999">
                            <a:off x="-1157149" y="3767240"/>
                            <a:ext cx="5108721" cy="141461"/>
                          </a:xfrm>
                          <a:prstGeom prst="rect">
                            <a:avLst/>
                          </a:prstGeom>
                          <a:ln>
                            <a:noFill/>
                          </a:ln>
                        </wps:spPr>
                        <wps:txbx>
                          <w:txbxContent>
                            <w:p w14:paraId="4F9106B2" w14:textId="77777777" w:rsidR="00B32EF2" w:rsidRDefault="00000000">
                              <w:r>
                                <w:rPr>
                                  <w:rFonts w:ascii="Arial" w:eastAsia="Arial" w:hAnsi="Arial" w:cs="Arial"/>
                                  <w:i/>
                                  <w:sz w:val="18"/>
                                </w:rPr>
                                <w:t>guiridiche che  hanno  determinato  la  decisione  della  amministrazione,</w:t>
                              </w:r>
                            </w:p>
                          </w:txbxContent>
                        </wps:txbx>
                        <wps:bodyPr horzOverflow="overflow" vert="horz" lIns="0" tIns="0" rIns="0" bIns="0" rtlCol="0">
                          <a:noAutofit/>
                        </wps:bodyPr>
                      </wps:wsp>
                      <wps:wsp>
                        <wps:cNvPr id="23089" name="Rectangle 23089"/>
                        <wps:cNvSpPr/>
                        <wps:spPr>
                          <a:xfrm rot="-10799999">
                            <a:off x="-4992577" y="3767239"/>
                            <a:ext cx="5108721" cy="141461"/>
                          </a:xfrm>
                          <a:prstGeom prst="rect">
                            <a:avLst/>
                          </a:prstGeom>
                          <a:ln>
                            <a:noFill/>
                          </a:ln>
                        </wps:spPr>
                        <wps:txbx>
                          <w:txbxContent>
                            <w:p w14:paraId="5D466C88" w14:textId="77777777" w:rsidR="00B32EF2" w:rsidRDefault="00000000">
                              <w:r>
                                <w:rPr>
                                  <w:rFonts w:ascii="Arial" w:eastAsia="Arial" w:hAnsi="Arial" w:cs="Arial"/>
                                  <w:i/>
                                  <w:sz w:val="18"/>
                                </w:rPr>
                                <w:t xml:space="preserve"> </w:t>
                              </w:r>
                            </w:p>
                          </w:txbxContent>
                        </wps:txbx>
                        <wps:bodyPr horzOverflow="overflow" vert="horz" lIns="0" tIns="0" rIns="0" bIns="0" rtlCol="0">
                          <a:noAutofit/>
                        </wps:bodyPr>
                      </wps:wsp>
                      <wps:wsp>
                        <wps:cNvPr id="23073" name="Rectangle 23073"/>
                        <wps:cNvSpPr/>
                        <wps:spPr>
                          <a:xfrm rot="-10799999">
                            <a:off x="1058800" y="3640278"/>
                            <a:ext cx="2855282" cy="141460"/>
                          </a:xfrm>
                          <a:prstGeom prst="rect">
                            <a:avLst/>
                          </a:prstGeom>
                          <a:ln>
                            <a:noFill/>
                          </a:ln>
                        </wps:spPr>
                        <wps:txbx>
                          <w:txbxContent>
                            <w:p w14:paraId="3353392A" w14:textId="77777777" w:rsidR="00B32EF2" w:rsidRDefault="00000000">
                              <w:r>
                                <w:rPr>
                                  <w:rFonts w:ascii="Arial" w:eastAsia="Arial" w:hAnsi="Arial" w:cs="Arial"/>
                                  <w:i/>
                                  <w:sz w:val="18"/>
                                </w:rPr>
                                <w:t xml:space="preserve">in relazione alle risultanze dell’istruttoria.  </w:t>
                              </w:r>
                            </w:p>
                          </w:txbxContent>
                        </wps:txbx>
                        <wps:bodyPr horzOverflow="overflow" vert="horz" lIns="0" tIns="0" rIns="0" bIns="0" rtlCol="0">
                          <a:noAutofit/>
                        </wps:bodyPr>
                      </wps:wsp>
                      <wps:wsp>
                        <wps:cNvPr id="202259" name="Rectangle 202259"/>
                        <wps:cNvSpPr/>
                        <wps:spPr>
                          <a:xfrm rot="-10799999">
                            <a:off x="2608821" y="3513316"/>
                            <a:ext cx="5004465" cy="141461"/>
                          </a:xfrm>
                          <a:prstGeom prst="rect">
                            <a:avLst/>
                          </a:prstGeom>
                          <a:ln>
                            <a:noFill/>
                          </a:ln>
                        </wps:spPr>
                        <wps:txbx>
                          <w:txbxContent>
                            <w:p w14:paraId="091E6EBA" w14:textId="77777777" w:rsidR="00B32EF2" w:rsidRDefault="00000000">
                              <w:r>
                                <w:rPr>
                                  <w:rFonts w:ascii="Arial" w:eastAsia="Arial" w:hAnsi="Arial" w:cs="Arial"/>
                                  <w:i/>
                                  <w:sz w:val="18"/>
                                </w:rPr>
                                <w:t>3</w:t>
                              </w:r>
                            </w:p>
                          </w:txbxContent>
                        </wps:txbx>
                        <wps:bodyPr horzOverflow="overflow" vert="horz" lIns="0" tIns="0" rIns="0" bIns="0" rtlCol="0">
                          <a:noAutofit/>
                        </wps:bodyPr>
                      </wps:wsp>
                      <wps:wsp>
                        <wps:cNvPr id="202260" name="Rectangle 202260"/>
                        <wps:cNvSpPr/>
                        <wps:spPr>
                          <a:xfrm rot="-10799999">
                            <a:off x="-1156757" y="3513316"/>
                            <a:ext cx="5004465" cy="141461"/>
                          </a:xfrm>
                          <a:prstGeom prst="rect">
                            <a:avLst/>
                          </a:prstGeom>
                          <a:ln>
                            <a:noFill/>
                          </a:ln>
                        </wps:spPr>
                        <wps:txbx>
                          <w:txbxContent>
                            <w:p w14:paraId="33A98126" w14:textId="77777777" w:rsidR="00B32EF2" w:rsidRDefault="00000000">
                              <w:r>
                                <w:rPr>
                                  <w:rFonts w:ascii="Arial" w:eastAsia="Arial" w:hAnsi="Arial" w:cs="Arial"/>
                                  <w:i/>
                                  <w:sz w:val="18"/>
                                </w:rPr>
                                <w:t>. La  motivazione  non  è  richiesta per gli atti normativi e per quelli a con</w:t>
                              </w:r>
                            </w:p>
                          </w:txbxContent>
                        </wps:txbx>
                        <wps:bodyPr horzOverflow="overflow" vert="horz" lIns="0" tIns="0" rIns="0" bIns="0" rtlCol="0">
                          <a:noAutofit/>
                        </wps:bodyPr>
                      </wps:wsp>
                      <wps:wsp>
                        <wps:cNvPr id="23075" name="Rectangle 23075"/>
                        <wps:cNvSpPr/>
                        <wps:spPr>
                          <a:xfrm rot="-10799999">
                            <a:off x="98187" y="3512862"/>
                            <a:ext cx="50622" cy="141460"/>
                          </a:xfrm>
                          <a:prstGeom prst="rect">
                            <a:avLst/>
                          </a:prstGeom>
                          <a:ln>
                            <a:noFill/>
                          </a:ln>
                        </wps:spPr>
                        <wps:txbx>
                          <w:txbxContent>
                            <w:p w14:paraId="23F15DF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3076" name="Rectangle 23076"/>
                        <wps:cNvSpPr/>
                        <wps:spPr>
                          <a:xfrm rot="-10799999">
                            <a:off x="2806425" y="3385901"/>
                            <a:ext cx="1107884" cy="141460"/>
                          </a:xfrm>
                          <a:prstGeom prst="rect">
                            <a:avLst/>
                          </a:prstGeom>
                          <a:ln>
                            <a:noFill/>
                          </a:ln>
                        </wps:spPr>
                        <wps:txbx>
                          <w:txbxContent>
                            <w:p w14:paraId="28121E9A" w14:textId="77777777" w:rsidR="00B32EF2" w:rsidRDefault="00000000">
                              <w:r>
                                <w:rPr>
                                  <w:rFonts w:ascii="Arial" w:eastAsia="Arial" w:hAnsi="Arial" w:cs="Arial"/>
                                  <w:i/>
                                  <w:sz w:val="18"/>
                                </w:rPr>
                                <w:t>tenuto generale.</w:t>
                              </w:r>
                            </w:p>
                          </w:txbxContent>
                        </wps:txbx>
                        <wps:bodyPr horzOverflow="overflow" vert="horz" lIns="0" tIns="0" rIns="0" bIns="0" rtlCol="0">
                          <a:noAutofit/>
                        </wps:bodyPr>
                      </wps:wsp>
                      <wps:wsp>
                        <wps:cNvPr id="202258" name="Rectangle 202258"/>
                        <wps:cNvSpPr/>
                        <wps:spPr>
                          <a:xfrm rot="-10799999">
                            <a:off x="-1154822" y="3258939"/>
                            <a:ext cx="5003341" cy="141461"/>
                          </a:xfrm>
                          <a:prstGeom prst="rect">
                            <a:avLst/>
                          </a:prstGeom>
                          <a:ln>
                            <a:noFill/>
                          </a:ln>
                        </wps:spPr>
                        <wps:txbx>
                          <w:txbxContent>
                            <w:p w14:paraId="04A3193F" w14:textId="77777777" w:rsidR="00B32EF2" w:rsidRDefault="00000000">
                              <w:r>
                                <w:rPr>
                                  <w:rFonts w:ascii="Arial" w:eastAsia="Arial" w:hAnsi="Arial" w:cs="Arial"/>
                                  <w:i/>
                                  <w:sz w:val="18"/>
                                </w:rPr>
                                <w:t>. Se    le    ragioni    della    decisione   risultano   da   altro   atto dell’ammi</w:t>
                              </w:r>
                            </w:p>
                          </w:txbxContent>
                        </wps:txbx>
                        <wps:bodyPr horzOverflow="overflow" vert="horz" lIns="0" tIns="0" rIns="0" bIns="0" rtlCol="0">
                          <a:noAutofit/>
                        </wps:bodyPr>
                      </wps:wsp>
                      <wps:wsp>
                        <wps:cNvPr id="202257" name="Rectangle 202257"/>
                        <wps:cNvSpPr/>
                        <wps:spPr>
                          <a:xfrm rot="-10799999">
                            <a:off x="2609100" y="3258939"/>
                            <a:ext cx="5003341" cy="141461"/>
                          </a:xfrm>
                          <a:prstGeom prst="rect">
                            <a:avLst/>
                          </a:prstGeom>
                          <a:ln>
                            <a:noFill/>
                          </a:ln>
                        </wps:spPr>
                        <wps:txbx>
                          <w:txbxContent>
                            <w:p w14:paraId="7199A417" w14:textId="77777777" w:rsidR="00B32EF2" w:rsidRDefault="00000000">
                              <w:r>
                                <w:rPr>
                                  <w:rFonts w:ascii="Arial" w:eastAsia="Arial" w:hAnsi="Arial" w:cs="Arial"/>
                                  <w:i/>
                                  <w:sz w:val="18"/>
                                </w:rPr>
                                <w:t>4</w:t>
                              </w:r>
                            </w:p>
                          </w:txbxContent>
                        </wps:txbx>
                        <wps:bodyPr horzOverflow="overflow" vert="horz" lIns="0" tIns="0" rIns="0" bIns="0" rtlCol="0">
                          <a:noAutofit/>
                        </wps:bodyPr>
                      </wps:wsp>
                      <wps:wsp>
                        <wps:cNvPr id="23078" name="Rectangle 23078"/>
                        <wps:cNvSpPr/>
                        <wps:spPr>
                          <a:xfrm rot="-10799999">
                            <a:off x="98187" y="3258938"/>
                            <a:ext cx="50622" cy="141460"/>
                          </a:xfrm>
                          <a:prstGeom prst="rect">
                            <a:avLst/>
                          </a:prstGeom>
                          <a:ln>
                            <a:noFill/>
                          </a:ln>
                        </wps:spPr>
                        <wps:txbx>
                          <w:txbxContent>
                            <w:p w14:paraId="5B368CE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3079" name="Rectangle 23079"/>
                        <wps:cNvSpPr/>
                        <wps:spPr>
                          <a:xfrm rot="-10799999">
                            <a:off x="-1090339" y="3131977"/>
                            <a:ext cx="5004420" cy="141461"/>
                          </a:xfrm>
                          <a:prstGeom prst="rect">
                            <a:avLst/>
                          </a:prstGeom>
                          <a:ln>
                            <a:noFill/>
                          </a:ln>
                        </wps:spPr>
                        <wps:txbx>
                          <w:txbxContent>
                            <w:p w14:paraId="7A122ACE" w14:textId="77777777" w:rsidR="00B32EF2" w:rsidRDefault="00000000">
                              <w:r>
                                <w:rPr>
                                  <w:rFonts w:ascii="Arial" w:eastAsia="Arial" w:hAnsi="Arial" w:cs="Arial"/>
                                  <w:i/>
                                  <w:sz w:val="18"/>
                                </w:rPr>
                                <w:t>nistrazione richiamato   dalla   decisione   stessa,   insieme   alla  comunica</w:t>
                              </w:r>
                            </w:p>
                          </w:txbxContent>
                        </wps:txbx>
                        <wps:bodyPr horzOverflow="overflow" vert="horz" lIns="0" tIns="0" rIns="0" bIns="0" rtlCol="0">
                          <a:noAutofit/>
                        </wps:bodyPr>
                      </wps:wsp>
                      <wps:wsp>
                        <wps:cNvPr id="23080" name="Rectangle 23080"/>
                        <wps:cNvSpPr/>
                        <wps:spPr>
                          <a:xfrm rot="-10799999">
                            <a:off x="98187" y="3131976"/>
                            <a:ext cx="50622" cy="141460"/>
                          </a:xfrm>
                          <a:prstGeom prst="rect">
                            <a:avLst/>
                          </a:prstGeom>
                          <a:ln>
                            <a:noFill/>
                          </a:ln>
                        </wps:spPr>
                        <wps:txbx>
                          <w:txbxContent>
                            <w:p w14:paraId="13D074CB"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3081" name="Rectangle 23081"/>
                        <wps:cNvSpPr/>
                        <wps:spPr>
                          <a:xfrm rot="-10799999">
                            <a:off x="-1186115" y="3005015"/>
                            <a:ext cx="5101454" cy="141461"/>
                          </a:xfrm>
                          <a:prstGeom prst="rect">
                            <a:avLst/>
                          </a:prstGeom>
                          <a:ln>
                            <a:noFill/>
                          </a:ln>
                        </wps:spPr>
                        <wps:txbx>
                          <w:txbxContent>
                            <w:p w14:paraId="64322AA4" w14:textId="77777777" w:rsidR="00B32EF2" w:rsidRDefault="00000000">
                              <w:r>
                                <w:rPr>
                                  <w:rFonts w:ascii="Arial" w:eastAsia="Arial" w:hAnsi="Arial" w:cs="Arial"/>
                                  <w:i/>
                                  <w:sz w:val="18"/>
                                </w:rPr>
                                <w:t xml:space="preserve">zione di  quest’ultima  deve  essere  indicato  e  reso disponibile, a  norma </w:t>
                              </w:r>
                            </w:p>
                          </w:txbxContent>
                        </wps:txbx>
                        <wps:bodyPr horzOverflow="overflow" vert="horz" lIns="0" tIns="0" rIns="0" bIns="0" rtlCol="0">
                          <a:noAutofit/>
                        </wps:bodyPr>
                      </wps:wsp>
                      <wps:wsp>
                        <wps:cNvPr id="23082" name="Rectangle 23082"/>
                        <wps:cNvSpPr/>
                        <wps:spPr>
                          <a:xfrm rot="-10799999">
                            <a:off x="144359" y="2878053"/>
                            <a:ext cx="3769721" cy="141461"/>
                          </a:xfrm>
                          <a:prstGeom prst="rect">
                            <a:avLst/>
                          </a:prstGeom>
                          <a:ln>
                            <a:noFill/>
                          </a:ln>
                        </wps:spPr>
                        <wps:txbx>
                          <w:txbxContent>
                            <w:p w14:paraId="1125C397" w14:textId="77777777" w:rsidR="00B32EF2" w:rsidRDefault="00000000">
                              <w:r>
                                <w:rPr>
                                  <w:rFonts w:ascii="Arial" w:eastAsia="Arial" w:hAnsi="Arial" w:cs="Arial"/>
                                  <w:i/>
                                  <w:sz w:val="18"/>
                                </w:rPr>
                                <w:t xml:space="preserve">della presente legge, anche l’atto cui essa si richiama.  </w:t>
                              </w:r>
                            </w:p>
                          </w:txbxContent>
                        </wps:txbx>
                        <wps:bodyPr horzOverflow="overflow" vert="horz" lIns="0" tIns="0" rIns="0" bIns="0" rtlCol="0">
                          <a:noAutofit/>
                        </wps:bodyPr>
                      </wps:wsp>
                      <wps:wsp>
                        <wps:cNvPr id="202255" name="Rectangle 202255"/>
                        <wps:cNvSpPr/>
                        <wps:spPr>
                          <a:xfrm rot="-10799999">
                            <a:off x="2586503" y="2751090"/>
                            <a:ext cx="5094416" cy="141461"/>
                          </a:xfrm>
                          <a:prstGeom prst="rect">
                            <a:avLst/>
                          </a:prstGeom>
                          <a:ln>
                            <a:noFill/>
                          </a:ln>
                        </wps:spPr>
                        <wps:txbx>
                          <w:txbxContent>
                            <w:p w14:paraId="0866402D" w14:textId="77777777" w:rsidR="00B32EF2" w:rsidRDefault="00000000">
                              <w:r>
                                <w:rPr>
                                  <w:rFonts w:ascii="Arial" w:eastAsia="Arial" w:hAnsi="Arial" w:cs="Arial"/>
                                  <w:i/>
                                  <w:sz w:val="18"/>
                                </w:rPr>
                                <w:t>5</w:t>
                              </w:r>
                            </w:p>
                          </w:txbxContent>
                        </wps:txbx>
                        <wps:bodyPr horzOverflow="overflow" vert="horz" lIns="0" tIns="0" rIns="0" bIns="0" rtlCol="0">
                          <a:noAutofit/>
                        </wps:bodyPr>
                      </wps:wsp>
                      <wps:wsp>
                        <wps:cNvPr id="202256" name="Rectangle 202256"/>
                        <wps:cNvSpPr/>
                        <wps:spPr>
                          <a:xfrm rot="-10799999">
                            <a:off x="-1251748" y="2751090"/>
                            <a:ext cx="5094415" cy="141461"/>
                          </a:xfrm>
                          <a:prstGeom prst="rect">
                            <a:avLst/>
                          </a:prstGeom>
                          <a:ln>
                            <a:noFill/>
                          </a:ln>
                        </wps:spPr>
                        <wps:txbx>
                          <w:txbxContent>
                            <w:p w14:paraId="2C311ECE" w14:textId="77777777" w:rsidR="00B32EF2" w:rsidRDefault="00000000">
                              <w:r>
                                <w:rPr>
                                  <w:rFonts w:ascii="Arial" w:eastAsia="Arial" w:hAnsi="Arial" w:cs="Arial"/>
                                  <w:i/>
                                  <w:sz w:val="18"/>
                                </w:rPr>
                                <w:t xml:space="preserve">. In  ogni  atto  notificato  al  destinatario  devono  essere  indicati il termine </w:t>
                              </w:r>
                            </w:p>
                          </w:txbxContent>
                        </wps:txbx>
                        <wps:bodyPr horzOverflow="overflow" vert="horz" lIns="0" tIns="0" rIns="0" bIns="0" rtlCol="0">
                          <a:noAutofit/>
                        </wps:bodyPr>
                      </wps:wsp>
                      <wps:wsp>
                        <wps:cNvPr id="23084" name="Rectangle 23084"/>
                        <wps:cNvSpPr/>
                        <wps:spPr>
                          <a:xfrm rot="-10799999">
                            <a:off x="1527139" y="2624128"/>
                            <a:ext cx="2386942" cy="141460"/>
                          </a:xfrm>
                          <a:prstGeom prst="rect">
                            <a:avLst/>
                          </a:prstGeom>
                          <a:ln>
                            <a:noFill/>
                          </a:ln>
                        </wps:spPr>
                        <wps:txbx>
                          <w:txbxContent>
                            <w:p w14:paraId="4CF87C93" w14:textId="77777777" w:rsidR="00B32EF2" w:rsidRDefault="00000000">
                              <w:r>
                                <w:rPr>
                                  <w:rFonts w:ascii="Arial" w:eastAsia="Arial" w:hAnsi="Arial" w:cs="Arial"/>
                                  <w:i/>
                                  <w:sz w:val="18"/>
                                </w:rPr>
                                <w:t>e l’autorità cui è possibile ricorrere.</w:t>
                              </w:r>
                            </w:p>
                          </w:txbxContent>
                        </wps:txbx>
                        <wps:bodyPr horzOverflow="overflow" vert="horz" lIns="0" tIns="0" rIns="0" bIns="0" rtlCol="0">
                          <a:noAutofit/>
                        </wps:bodyPr>
                      </wps:wsp>
                      <wps:wsp>
                        <wps:cNvPr id="23085" name="Shape 23085"/>
                        <wps:cNvSpPr/>
                        <wps:spPr>
                          <a:xfrm>
                            <a:off x="32430" y="2593602"/>
                            <a:ext cx="3960000" cy="2663901"/>
                          </a:xfrm>
                          <a:custGeom>
                            <a:avLst/>
                            <a:gdLst/>
                            <a:ahLst/>
                            <a:cxnLst/>
                            <a:rect l="0" t="0" r="0" b="0"/>
                            <a:pathLst>
                              <a:path w="3960000" h="2663901">
                                <a:moveTo>
                                  <a:pt x="0" y="2663901"/>
                                </a:moveTo>
                                <a:lnTo>
                                  <a:pt x="3960000" y="2663901"/>
                                </a:lnTo>
                                <a:lnTo>
                                  <a:pt x="3960000"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A07145" id="Group 202292" o:spid="_x0000_s6815" style="width:314.35pt;height:493.15pt;mso-position-horizontal-relative:char;mso-position-vertical-relative:line" coordsize="39924,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rx0IgwAAMF+AAAOAAAAZHJzL2Uyb0RvYy54bWzkXWtv4zYW/b7A/gfD3zPhQ6SoYDJFMd0O&#10;Ciy2RR8/QHHk2IBsGbJnkumv33NJiZJltjMrba2gnAESh5Zoiof3dXgv/fabl125+FTUx221v1/y&#10;N2y5KPar6nG7f7pf/vbr9zdmuTie8v1jXlb74n75uTguv3n3z3+8fT7cFaLaVOVjUS/Qyf5493y4&#10;X25Op8Pd7e1xtSl2+fFNdSj2eHNd1bv8hD/rp9vHOn9G77vyVjCmb5+r+vFQV6vieETrd+7N5Tvb&#10;/3pdrE4/rtfH4rQo75cY28n+rO3PB/p5++5tfvdU54fNdtUMIx8xil2+3eNDfVff5ad88bHeXnS1&#10;267q6litT29W1e62Wq+3q8I+A56Gs8HTfKirjwf7LE93z08HP02Y2sE8je529Z9PH+rDL4efaszE&#10;8+EJc2H/omd5Wdc7+o1RLl7slH32U1a8nBYrNMosE4nky8UK72mhhVGJm9TVBjN/cd9q868v3Hnb&#10;fvDt2XCeD1ggx24OjtPm4JdNfijs1B7vMAc/1Yvt4/1SSCaT5WKf77BUf8biyfdPZbFwzXaC7NV+&#10;uo53R8xcO1eLusL6uuEszeifXQ/N3PGMcc7T5QKzdKMF/nST1E4jT43UmZtFoZhONL3vpyK/O9TH&#10;04ei2i3oxf2yxths//mnfx9P7tL2EhpOuaef++r7bVm6d6kFM9qOmF6dXh5e7GMr5UCjxofq8TNm&#10;Y1PVv/8IuV6X1fP9smpeLUnU8fH07nJR/rAHCiRV7Yu6ffHQvqhP5fvKyp4b0LcfT9V6a0fcfVoz&#10;MsBLa/BKOKswzoomngaBVfG/43zDJddaYw2ROHCeZXiNDvO7FmklWcYy7aDmiTBuKVwRav+E0UCN&#10;2Q6JtJWxiVAzB7UC0Bqq4xJq2YeaX1mq/RNGAzVUbAjqdJJUy0RxqWHkINTKpFIyK0M9oU6EFPB0&#10;yAiSTJvsykD754sDaCaEDgm1a5+owHXGFTonrNMky1IrRD2sSYGLxuOZBWzTLuZ4wA4ZawLb27JR&#10;1lrAQmvI8hewhoczm2BbRdJ5ShH4ZfCCQxrcT8QopG+44MaIxlgjTmk87J5YC3hryYxirW1IEBPU&#10;CQQrADWap2hwnhkpnUgHcWZaiPkEGl5E83BxKG/JSKZCKPuJGCnQEjFzCmVBdloxibiLZrYn0JLz&#10;RGElzKW7tYgOaghWCGo/EaOh1roNtCTIFWPd3T7UcMkk7PhsUMvooIZghaD2EzEKaiLBSF+QTAul&#10;tRoALTmYKgRX8wFtQ/yojHSYD038RIwCGhEWvC3njgmRgTYeaO8U/hrxpbNJtI8s4rDTCKbAAV+K&#10;tGuf5I8xBbBBjkCoBU9FhuD6zFDD8UYQNqdQ2wHFI9SEachSu/YpWAuRJIbceo/1QIHPj3V8TBn5&#10;wBemmrCeZqtvFGOAu4f1q5PryIgyxFohUtQ2T5HqG5FlSRNTC5bAWg+kWuo042zOUMuzQ/FY6xB5&#10;QlI9jT0hSlRhS5I0OM+wn58NsLb7l2ZGBiX1DxgP1iEKhbCezKGkylDCw+sF2z9hHGBDV8NTvrDW&#10;tnmSCrd5CQ2Hwg1DyBWS6zk5lNSzRNFAHd7qSLwxGxVa260Om8ZEUg3LrOUQasHhKcwYXKfe84wF&#10;aljlkFRPNNbdVofD2fq7PVp03q2O1FNE0aAcstNIFvFGbKRAU05Za6ZBpkg2BBopCeBV5mPL0sjY&#10;MmAaIlBs8//PTCcS3ncAatbPKbt2qpFLh4mHLAOmIf7ENk+DmivGKWmMzDQEWMPzQ4c99Y3kIoWs&#10;gNk48NT6DVFBHaLAAbW3ZKMUOPKUjCLXmpDmRktuPbwOabDi0vRzgq8u1HbpRYU04AiEWcobslFI&#10;8xTYUh4/IQ3vK3NAdkhjKcD1npM98cFFNE5ZmBN1u1C05MchrUCdwBYS0plE8rdlpXpAJ1yjrGI+&#10;5W0io8mgpcO53y6HYDTQtqIDicAWacM1kr8HZprygSmJdK6tauPDi2hEOsyRKW/FRom0q91pODKd&#10;ScZCSM/pe4N2b1zOaJAOU2TIFpjieyNZkEuiZKC8lQYVaiWoU97aIFkYsfxsEh0dP0ZhTsAd63Ki&#10;R0k0laZS9AaYkwQMygBmybRhCLDnw9nHFXHIM4P99KrbVuAuhGv7ojRTYNzU0kpXcAxQhcokKu/O&#10;7TGcMWjuJmxGor9E6S1d0auwXH10xbTUaVtAi9LtR1dKi7ZN+2r1sm9fUsntn1aRH/IT3Ued0ssF&#10;6mb9WDYYbDMUen+HgtpfK3vlaVAijWF275b7/lW+Nzy6NU24tr2i/X2w/fWvbD/XTUF7XfvbXe9U&#10;4ddfef7pGAY9sJ1iPwlo7E9zuaf5IFRyVPmvy9yVL++2J5T/l9sd4iWRNhbXPtZFtfLx9LksaMrK&#10;/c/FGnXLtiSdGo7108P7sl58yqnQ2P5ztdHlYZM3rc0KaC61Q7X90P1rFEn7Lrm99azL95L+Nz00&#10;F9N9hT1fwN/J3J2rZjTukAGU6uOh26MG8GT+JvvJ1f7k79/jgAT7IeSrNk/bheQEH/111SJpilRD&#10;atn7IaPUMtVKQnKd+QWZaVxRRGd/uTJaIZ+/Ucw8cXYAs9ceSdDWuv9F5fDG0wBxKGZYwjDJiWYs&#10;vAnBEzcpb7YuEtS9m6G2Vpzh4Is+1ENl/VdDHVnyJ6AOk5zuoIJJUGvsNjtvKzUiu9h25ozSvntS&#10;fW2oI+OzkSEUFGvXPkWu4UpLA4bJetbguTK319vT4DjMJkGm1nwa3HMBcWhwwjQk1659CtYosgat&#10;3cj168TaswFxYA0VHua00TwF6YSlEFon1EogbLJuXifUoExSFFr2hPrKCtwdldP5xH/3angS3pAH&#10;7tqnQE1JYkoRx2W5EfhgLhWpAxuOGSiTGa11ZhdXXGBjui/CLQLbT8W4eAtJvhkRL68Xax9QxqLB&#10;UcJ8CTUSu7yLOgrpG5xXg+DZpRokyasUax9RxgJ1R3menSiI5mkaHHsULHP7kolIFRvmGkCDG0Gx&#10;t9vGAItybXMdGb0Nvyy8XYXmyVAr2EOrwHliuLD8VN9Yc9ZLFZsB6ugIMwpuL2y1hIM8CWopNWql&#10;G6HGKWPIN6D+ekgnRqMkq5Pploq/EjOKLLVmKceivrE5HAR6mk92g0RAYyhBCE4Zkv8SsKADpKG+&#10;Uwr0ZlPf3heJBWrjNyfPLDWaJ6pvlXJU9VioU50Kd8JVT6gJ6u5IwRnUt3/CaKAOW2rnQ40nweF/&#10;C4W8aQ81iLNz/T071N4XiQVqVJsFFbgPREaFWnC44H87ClxqhFrDSg3scSrRFUpffRMTWRCt2ooD&#10;aRAldIrMhVPm2qdocCRt4/BI539LHAV8edYcY0gw8jmgV1fg2jkPcZFlIQecyDK/7EfJNRwzpVPK&#10;JSbH7HWCHR1bhvrCS7lGsOWjzlFQZ0jz9DjjBLLBdge+hqE7KXQG9e3tUxzqG3CGd7W6isNRKAuD&#10;jAcQJlaeJRKPhoEWxxd2GIq5faB13ZiajraMKqYmgxyKtFz7FENNyjsxJLWkvPEpKM0Z+N8MO5jd&#10;Mc8zWGqvs+IQawIVSjbolXmCYZxga4ZTpxoP/HViHR9ZFpJraHbPL4xCumeoLc62tx59MrOh9ss4&#10;DokGnKEwyzZPU950inOTaSRxYFHmCtD7QCPMEpB4b6mvu6OFMDAuS40N6VCUZZunQN0TaIuz1ZN9&#10;nOf1vKOjyCgR6MJCA+Xpexx0nKDzxlAji/zfgTeGlOCEzh2eS6C5Jwti0d3ESIag9pzCKAvNE1Ta&#10;uR0OYVJDZ6ZAP3QSLVPsWs64w4FlGJfmJrc7RJq49im6Gx6YxvdtWKFG2gmH0T7HWiErBacfzCjU&#10;fi3HIdSEaYg6ce1TsEaaKJK/6UhKxNN/AjZW2mwaPDqajKiqkAb3LNI4Da4EKrUaFa5FQkdTnalw&#10;HFGEL+eA9fBIX5km4/4B4xBr+F9egzfF0rbpiwJNhrdXK+0YEqqV1mxAcfs6YcL0vPy3zSfqF/G+&#10;olrp88F+TcX0+R1t/XP7+7Juul3d7RXt737F9PCaVVkdC+CDStWvrIi2Vc+QqT+sinblzK7PwHc4&#10;h6qiAyXMTVV02w1qjm35cb/wuSlfHldL/Sqqou0XhuN70u38N9/pTl/E3v/bVlF33zz/7r8AAAD/&#10;/wMAUEsDBBQABgAIAAAAIQAF8LNt3QAAAAUBAAAPAAAAZHJzL2Rvd25yZXYueG1sTI9BS8NAEIXv&#10;gv9hGcGb3aTFmKbZlFLUUxFsBfE2zU6T0OxsyG6T9N+7etHLwOM93vsmX0+mFQP1rrGsIJ5FIIhL&#10;qxuuFHwcXh5SEM4ja2wtk4IrOVgXtzc5ZtqO/E7D3lcilLDLUEHtfZdJ6cqaDLqZ7YiDd7K9QR9k&#10;X0nd4xjKTSvnUZRIgw2HhRo72tZUnvcXo+B1xHGziJ+H3fm0vX4dHt8+dzEpdX83bVYgPE3+Lww/&#10;+AEdisB0tBfWTrQKwiP+9wYvmadPII4KlmmyAFnk8j998Q0AAP//AwBQSwECLQAUAAYACAAAACEA&#10;toM4kv4AAADhAQAAEwAAAAAAAAAAAAAAAAAAAAAAW0NvbnRlbnRfVHlwZXNdLnhtbFBLAQItABQA&#10;BgAIAAAAIQA4/SH/1gAAAJQBAAALAAAAAAAAAAAAAAAAAC8BAABfcmVscy8ucmVsc1BLAQItABQA&#10;BgAIAAAAIQCajrx0IgwAAMF+AAAOAAAAAAAAAAAAAAAAAC4CAABkcnMvZTJvRG9jLnhtbFBLAQIt&#10;ABQABgAIAAAAIQAF8LNt3QAAAAUBAAAPAAAAAAAAAAAAAAAAAHwOAABkcnMvZG93bnJldi54bWxQ&#10;SwUGAAAAAAQABADzAAAAhg8AAAAA&#10;">
                <v:rect id="Rectangle 23034" o:spid="_x0000_s6816" style="position:absolute;left:19011;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oNaxwAAAN4AAAAPAAAAZHJzL2Rvd25yZXYueG1sRI9Pi8Iw&#10;FMTvC36H8ARva7q6LFKNsihiD17WP+Dx0TzbavMSmmirn36zsOBxmJnfMLNFZ2pxp8ZXlhV8DBMQ&#10;xLnVFRcKDvv1+wSED8gaa8uk4EEeFvPe2wxTbVv+ofsuFCJC2KeooAzBpVL6vCSDfmgdcfTOtjEY&#10;omwKqRtsI9zUcpQkX9JgxXGhREfLkvLr7mYUnFbssnUr8/Nz6baXbFJvboejUoN+9z0FEagLr/B/&#10;O9MKRuNk/Al/d+IVkPNfAAAA//8DAFBLAQItABQABgAIAAAAIQDb4fbL7gAAAIUBAAATAAAAAAAA&#10;AAAAAAAAAAAAAABbQ29udGVudF9UeXBlc10ueG1sUEsBAi0AFAAGAAgAAAAhAFr0LFu/AAAAFQEA&#10;AAsAAAAAAAAAAAAAAAAAHwEAAF9yZWxzLy5yZWxzUEsBAi0AFAAGAAgAAAAhAJ+Gg1rHAAAA3gAA&#10;AA8AAAAAAAAAAAAAAAAABwIAAGRycy9kb3ducmV2LnhtbFBLBQYAAAAAAwADALcAAAD7AgAAAAA=&#10;" filled="f" stroked="f">
                  <v:textbox inset="0,0,0,0">
                    <w:txbxContent>
                      <w:p w14:paraId="506D9CFD" w14:textId="77777777" w:rsidR="00B32EF2" w:rsidRDefault="00000000">
                        <w:r>
                          <w:rPr>
                            <w:rFonts w:ascii="Times New Roman" w:eastAsia="Times New Roman" w:hAnsi="Times New Roman" w:cs="Times New Roman"/>
                          </w:rPr>
                          <w:t>18</w:t>
                        </w:r>
                      </w:p>
                    </w:txbxContent>
                  </v:textbox>
                </v:rect>
                <v:rect id="Rectangle 23035" o:spid="_x0000_s6817" style="position:absolute;left:-13166;top:611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ibBxwAAAN4AAAAPAAAAZHJzL2Rvd25yZXYueG1sRI9Pi8Iw&#10;FMTvC36H8ARva7rKLlKNsihiD17WP+Dx0TzbavMSmmirn36zsOBxmJnfMLNFZ2pxp8ZXlhV8DBMQ&#10;xLnVFRcKDvv1+wSED8gaa8uk4EEeFvPe2wxTbVv+ofsuFCJC2KeooAzBpVL6vCSDfmgdcfTOtjEY&#10;omwKqRtsI9zUcpQkX9JgxXGhREfLkvLr7mYUnFbssnUr8/Nz6baXbFJvboejUoN+9z0FEagLr/B/&#10;O9MKRuNk/Al/d+IVkPNfAAAA//8DAFBLAQItABQABgAIAAAAIQDb4fbL7gAAAIUBAAATAAAAAAAA&#10;AAAAAAAAAAAAAABbQ29udGVudF9UeXBlc10ueG1sUEsBAi0AFAAGAAgAAAAhAFr0LFu/AAAAFQEA&#10;AAsAAAAAAAAAAAAAAAAAHwEAAF9yZWxzLy5yZWxzUEsBAi0AFAAGAAgAAAAhAPDKJsHHAAAA3gAA&#10;AA8AAAAAAAAAAAAAAAAABwIAAGRycy9kb3ducmV2LnhtbFBLBQYAAAAAAwADALcAAAD7AgAAAAA=&#10;" filled="f" stroked="f">
                  <v:textbox inset="0,0,0,0">
                    <w:txbxContent>
                      <w:p w14:paraId="7ED2E75F" w14:textId="77777777" w:rsidR="00B32EF2" w:rsidRDefault="00000000">
                        <w:r>
                          <w:rPr>
                            <w:rFonts w:ascii="Arial" w:eastAsia="Arial" w:hAnsi="Arial" w:cs="Arial"/>
                            <w:sz w:val="18"/>
                          </w:rPr>
                          <w:t xml:space="preserve">ai lavori della commissione, ovvero delle sottocommissioni, qualora formate, </w:t>
                        </w:r>
                      </w:p>
                    </w:txbxContent>
                  </v:textbox>
                </v:rect>
                <v:rect id="Rectangle 23036" o:spid="_x0000_s6818" style="position:absolute;left:-13166;top:599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Li2xgAAAN4AAAAPAAAAZHJzL2Rvd25yZXYueG1sRI9Pi8Iw&#10;FMTvC36H8ARva6qCSDWKKGIPe1n/gMdH82yrzUtooq376TcLCx6HmfkNs1h1phZPanxlWcFomIAg&#10;zq2uuFBwOu4+ZyB8QNZYWyYFL/KwWvY+Fphq2/I3PQ+hEBHCPkUFZQguldLnJRn0Q+uIo3e1jcEQ&#10;ZVNI3WAb4aaW4ySZSoMVx4USHW1Kyu+Hh1Fw2bLLdq3Mrz8b93XLZvX+cTorNeh36zmIQF14h//b&#10;mVYwniSTKfzdiVdALn8BAAD//wMAUEsBAi0AFAAGAAgAAAAhANvh9svuAAAAhQEAABMAAAAAAAAA&#10;AAAAAAAAAAAAAFtDb250ZW50X1R5cGVzXS54bWxQSwECLQAUAAYACAAAACEAWvQsW78AAAAVAQAA&#10;CwAAAAAAAAAAAAAAAAAfAQAAX3JlbHMvLnJlbHNQSwECLQAUAAYACAAAACEAABi4tsYAAADeAAAA&#10;DwAAAAAAAAAAAAAAAAAHAgAAZHJzL2Rvd25yZXYueG1sUEsFBgAAAAADAAMAtwAAAPoCAAAAAA==&#10;" filled="f" stroked="f">
                  <v:textbox inset="0,0,0,0">
                    <w:txbxContent>
                      <w:p w14:paraId="1F62514D" w14:textId="77777777" w:rsidR="00B32EF2" w:rsidRDefault="00000000">
                        <w:r>
                          <w:rPr>
                            <w:rFonts w:ascii="Arial" w:eastAsia="Arial" w:hAnsi="Arial" w:cs="Arial"/>
                            <w:sz w:val="18"/>
                          </w:rPr>
                          <w:t xml:space="preserve">limitatamente alle prove orali relative alla lingua straniera della quale sono </w:t>
                        </w:r>
                      </w:p>
                    </w:txbxContent>
                  </v:textbox>
                </v:rect>
                <v:rect id="Rectangle 23037" o:spid="_x0000_s6819" style="position:absolute;left:34513;top:58733;width:542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B0txwAAAN4AAAAPAAAAZHJzL2Rvd25yZXYueG1sRI9Pi8Iw&#10;FMTvC36H8ARva7oKu1KNsihiD17WP+Dx0TzbavMSmmirn36zsOBxmJnfMLNFZ2pxp8ZXlhV8DBMQ&#10;xLnVFRcKDvv1+wSED8gaa8uk4EEeFvPe2wxTbVv+ofsuFCJC2KeooAzBpVL6vCSDfmgdcfTOtjEY&#10;omwKqRtsI9zUcpQkn9JgxXGhREfLkvLr7mYUnFbssnUr8/Nz6baXbFJvboejUoN+9z0FEagLr/B/&#10;O9MKRuNk/AV/d+IVkPNfAAAA//8DAFBLAQItABQABgAIAAAAIQDb4fbL7gAAAIUBAAATAAAAAAAA&#10;AAAAAAAAAAAAAABbQ29udGVudF9UeXBlc10ueG1sUEsBAi0AFAAGAAgAAAAhAFr0LFu/AAAAFQEA&#10;AAsAAAAAAAAAAAAAAAAAHwEAAF9yZWxzLy5yZWxzUEsBAi0AFAAGAAgAAAAhAG9UHS3HAAAA3gAA&#10;AA8AAAAAAAAAAAAAAAAABwIAAGRycy9kb3ducmV2LnhtbFBLBQYAAAAAAwADALcAAAD7AgAAAAA=&#10;" filled="f" stroked="f">
                  <v:textbox inset="0,0,0,0">
                    <w:txbxContent>
                      <w:p w14:paraId="39541D45" w14:textId="77777777" w:rsidR="00B32EF2" w:rsidRDefault="00000000">
                        <w:r>
                          <w:rPr>
                            <w:rFonts w:ascii="Arial" w:eastAsia="Arial" w:hAnsi="Arial" w:cs="Arial"/>
                            <w:sz w:val="18"/>
                          </w:rPr>
                          <w:t>docenti.</w:t>
                        </w:r>
                      </w:p>
                    </w:txbxContent>
                  </v:textbox>
                </v:rect>
                <v:rect id="Rectangle 202266" o:spid="_x0000_s6820" style="position:absolute;left:-13691;top:57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fFxxwAAAN8AAAAPAAAAZHJzL2Rvd25yZXYueG1sRI9Ba8JA&#10;FITvgv9heQVvumkOQaKriCLm4KVWweMj+0zSZt8u2dVEf323UOhxmJlvmOV6MK14UOcbywreZwkI&#10;4tLqhisF58/9dA7CB2SNrWVS8CQP69V4tMRc254/6HEKlYgQ9jkqqENwuZS+rMmgn1lHHL2b7QyG&#10;KLtK6g77CDetTJMkkwYbjgs1OtrWVH6f7kbBdceu2PeyvL227vhVzNvD/XxRavI2bBYgAg3hP/zX&#10;LrSCNEnTLIPfP/ELyNUPAAAA//8DAFBLAQItABQABgAIAAAAIQDb4fbL7gAAAIUBAAATAAAAAAAA&#10;AAAAAAAAAAAAAABbQ29udGVudF9UeXBlc10ueG1sUEsBAi0AFAAGAAgAAAAhAFr0LFu/AAAAFQEA&#10;AAsAAAAAAAAAAAAAAAAAHwEAAF9yZWxzLy5yZWxzUEsBAi0AFAAGAAgAAAAhAF5h8XHHAAAA3wAA&#10;AA8AAAAAAAAAAAAAAAAABwIAAGRycy9kb3ducmV2LnhtbFBLBQYAAAAAAwADALcAAAD7AgAAAAA=&#10;" filled="f" stroked="f">
                  <v:textbox inset="0,0,0,0">
                    <w:txbxContent>
                      <w:p w14:paraId="24F5F686" w14:textId="77777777" w:rsidR="00B32EF2" w:rsidRDefault="00000000">
                        <w:r>
                          <w:rPr>
                            <w:rFonts w:ascii="Arial" w:eastAsia="Arial" w:hAnsi="Arial" w:cs="Arial"/>
                            <w:sz w:val="18"/>
                          </w:rPr>
                          <w:t xml:space="preserve">. Per la copertura dei posti di magistrato tributario nella provincia di Bolzano </w:t>
                        </w:r>
                      </w:p>
                    </w:txbxContent>
                  </v:textbox>
                </v:rect>
                <v:rect id="Rectangle 202265" o:spid="_x0000_s6821" style="position:absolute;left:26116;top:574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28GxwAAAN8AAAAPAAAAZHJzL2Rvd25yZXYueG1sRI9Ba8JA&#10;FITvBf/D8gRvdWOgItFVRJHm0IvWQo+P7DOJZt8u2dXE/npXEHocZuYbZrHqTSNu1PrasoLJOAFB&#10;XFhdc6ng+L17n4HwAVljY5kU3MnDajl4W2Cmbcd7uh1CKSKEfYYKqhBcJqUvKjLox9YRR+9kW4Mh&#10;yraUusUuwk0j0ySZSoM1x4UKHW0qKi6Hq1Hwu2WX7zpZnP427uucz5rP6/FHqdGwX89BBOrDf/jV&#10;zrWCNEnT6Qc8/8QvIJcPAAAA//8DAFBLAQItABQABgAIAAAAIQDb4fbL7gAAAIUBAAATAAAAAAAA&#10;AAAAAAAAAAAAAABbQ29udGVudF9UeXBlc10ueG1sUEsBAi0AFAAGAAgAAAAhAFr0LFu/AAAAFQEA&#10;AAsAAAAAAAAAAAAAAAAAHwEAAF9yZWxzLy5yZWxzUEsBAi0AFAAGAAgAAAAhAK6zbwbHAAAA3wAA&#10;AA8AAAAAAAAAAAAAAAAABwIAAGRycy9kb3ducmV2LnhtbFBLBQYAAAAAAwADALcAAAD7AgAAAAA=&#10;" filled="f" stroked="f">
                  <v:textbox inset="0,0,0,0">
                    <w:txbxContent>
                      <w:p w14:paraId="797E9D2A" w14:textId="77777777" w:rsidR="00B32EF2" w:rsidRDefault="00000000">
                        <w:r>
                          <w:rPr>
                            <w:rFonts w:ascii="Arial" w:eastAsia="Arial" w:hAnsi="Arial" w:cs="Arial"/>
                            <w:sz w:val="18"/>
                          </w:rPr>
                          <w:t>7</w:t>
                        </w:r>
                      </w:p>
                    </w:txbxContent>
                  </v:textbox>
                </v:rect>
                <v:rect id="Rectangle 23039" o:spid="_x0000_s6822" style="position:absolute;left:-12188;top:56266;width:521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yzExwAAAN4AAAAPAAAAZHJzL2Rvd25yZXYueG1sRI9Pi8Iw&#10;FMTvC36H8ARva7oKi1ajLIrYg5f1D3h8NM+22ryEJtrqp98sLOxxmJnfMPNlZ2rxoMZXlhV8DBMQ&#10;xLnVFRcKjofN+wSED8gaa8uk4Ekelove2xxTbVv+psc+FCJC2KeooAzBpVL6vCSDfmgdcfQutjEY&#10;omwKqRtsI9zUcpQkn9JgxXGhREerkvLb/m4UnNfssk0r88tr5XbXbFJv78eTUoN+9zUDEagL/+G/&#10;dqYVjMbJeAq/d+IVkIsfAAAA//8DAFBLAQItABQABgAIAAAAIQDb4fbL7gAAAIUBAAATAAAAAAAA&#10;AAAAAAAAAAAAAABbQ29udGVudF9UeXBlc10ueG1sUEsBAi0AFAAGAAgAAAAhAFr0LFu/AAAAFQEA&#10;AAsAAAAAAAAAAAAAAAAAHwEAAF9yZWxzLy5yZWxzUEsBAi0AFAAGAAgAAAAhAHGHLMTHAAAA3gAA&#10;AA8AAAAAAAAAAAAAAAAABwIAAGRycy9kb3ducmV2LnhtbFBLBQYAAAAAAwADALcAAAD7AgAAAAA=&#10;" filled="f" stroked="f">
                  <v:textbox inset="0,0,0,0">
                    <w:txbxContent>
                      <w:p w14:paraId="5052BC14" w14:textId="77777777" w:rsidR="00B32EF2" w:rsidRDefault="00000000">
                        <w:r>
                          <w:rPr>
                            <w:rFonts w:ascii="Arial" w:eastAsia="Arial" w:hAnsi="Arial" w:cs="Arial"/>
                            <w:sz w:val="18"/>
                          </w:rPr>
                          <w:t>si applicano gli specifici requisiti previsti dal decreto del Presidente della Re</w:t>
                        </w:r>
                      </w:p>
                    </w:txbxContent>
                  </v:textbox>
                </v:rect>
                <v:rect id="Rectangle 23040" o:spid="_x0000_s6823" style="position:absolute;left:198;top:562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YkxQAAAN4AAAAPAAAAZHJzL2Rvd25yZXYueG1sRI/LisIw&#10;FIb3gu8QjuBOUx0ZpBpFFJkuZjNewOWhObbV5iQ00dZ5erMYmOXPf+NbrjtTiyc1vrKsYDJOQBDn&#10;VldcKDgd96M5CB+QNdaWScGLPKxX/d4SU21b/qHnIRQijrBPUUEZgkul9HlJBv3YOuLoXW1jMETZ&#10;FFI32MZxU8tpknxKgxXHhxIdbUvK74eHUXDZscv2rcyvv1v3fcvm9dfjdFZqOOg2CxCBuvAf/mtn&#10;WsH0I5lFgIgTUUCu3gAAAP//AwBQSwECLQAUAAYACAAAACEA2+H2y+4AAACFAQAAEwAAAAAAAAAA&#10;AAAAAAAAAAAAW0NvbnRlbnRfVHlwZXNdLnhtbFBLAQItABQABgAIAAAAIQBa9CxbvwAAABUBAAAL&#10;AAAAAAAAAAAAAAAAAB8BAABfcmVscy8ucmVsc1BLAQItABQABgAIAAAAIQC4u/YkxQAAAN4AAAAP&#10;AAAAAAAAAAAAAAAAAAcCAABkcnMvZG93bnJldi54bWxQSwUGAAAAAAMAAwC3AAAA+QIAAAAA&#10;" filled="f" stroked="f">
                  <v:textbox inset="0,0,0,0">
                    <w:txbxContent>
                      <w:p w14:paraId="3440292E" w14:textId="77777777" w:rsidR="00B32EF2" w:rsidRDefault="00000000">
                        <w:r>
                          <w:rPr>
                            <w:rFonts w:ascii="Arial" w:eastAsia="Arial" w:hAnsi="Arial" w:cs="Arial"/>
                            <w:sz w:val="18"/>
                          </w:rPr>
                          <w:t>-</w:t>
                        </w:r>
                      </w:p>
                    </w:txbxContent>
                  </v:textbox>
                </v:rect>
                <v:rect id="Rectangle 23041" o:spid="_x0000_s6824" style="position:absolute;left:-13178;top:55033;width:531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1O/xgAAAN4AAAAPAAAAZHJzL2Rvd25yZXYueG1sRI9Ba8JA&#10;FITvBf/D8gre6kYrRaKrFEWagxetBY+P7DOJZt8u2dVEf70rFDwOM/MNM1t0phZXanxlWcFwkIAg&#10;zq2uuFCw/11/TED4gKyxtkwKbuRhMe+9zTDVtuUtXXehEBHCPkUFZQguldLnJRn0A+uIo3e0jcEQ&#10;ZVNI3WAb4aaWoyT5kgYrjgslOlqWlJ93F6PgsGKXrVuZH+9Ltzllk/rnsv9Tqv/efU9BBOrCK/zf&#10;zrSC0WcyHsLzTrwCcv4AAAD//wMAUEsBAi0AFAAGAAgAAAAhANvh9svuAAAAhQEAABMAAAAAAAAA&#10;AAAAAAAAAAAAAFtDb250ZW50X1R5cGVzXS54bWxQSwECLQAUAAYACAAAACEAWvQsW78AAAAVAQAA&#10;CwAAAAAAAAAAAAAAAAAfAQAAX3JlbHMvLnJlbHNQSwECLQAUAAYACAAAACEA1/dTv8YAAADeAAAA&#10;DwAAAAAAAAAAAAAAAAAHAgAAZHJzL2Rvd25yZXYueG1sUEsFBgAAAAADAAMAtwAAAPoCAAAAAA==&#10;" filled="f" stroked="f">
                  <v:textbox inset="0,0,0,0">
                    <w:txbxContent>
                      <w:p w14:paraId="58C2E571" w14:textId="77777777" w:rsidR="00B32EF2" w:rsidRDefault="00000000">
                        <w:r>
                          <w:rPr>
                            <w:rFonts w:ascii="Arial" w:eastAsia="Arial" w:hAnsi="Arial" w:cs="Arial"/>
                            <w:sz w:val="18"/>
                          </w:rPr>
                          <w:t xml:space="preserve">pubblica 26 luglio 1976, n. 752, fermo restando, comunque, che il colloquio di </w:t>
                        </w:r>
                      </w:p>
                    </w:txbxContent>
                  </v:textbox>
                </v:rect>
                <v:rect id="Rectangle 23042" o:spid="_x0000_s6825" style="position:absolute;left:-13166;top:537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c3IxgAAAN4AAAAPAAAAZHJzL2Rvd25yZXYueG1sRI9Ba8JA&#10;FITvBf/D8gRvdWNaikRXEUWag5daBY+P7DOJZt8u2dVEf323UOhxmJlvmPmyN424U+trywom4wQE&#10;cWF1zaWCw/f2dQrCB2SNjWVS8CAPy8XgZY6Zth1/0X0fShEh7DNUUIXgMil9UZFBP7aOOHpn2xoM&#10;Ubal1C12EW4amSbJhzRYc1yo0NG6ouK6vxkFpw27fNvJ4vxcu90lnzaft8NRqdGwX81ABOrDf/iv&#10;nWsF6VvynsLvnXgF5OIHAAD//wMAUEsBAi0AFAAGAAgAAAAhANvh9svuAAAAhQEAABMAAAAAAAAA&#10;AAAAAAAAAAAAAFtDb250ZW50X1R5cGVzXS54bWxQSwECLQAUAAYACAAAACEAWvQsW78AAAAVAQAA&#10;CwAAAAAAAAAAAAAAAAAfAQAAX3JlbHMvLnJlbHNQSwECLQAUAAYACAAAACEAJyXNyMYAAADeAAAA&#10;DwAAAAAAAAAAAAAAAAAHAgAAZHJzL2Rvd25yZXYueG1sUEsFBgAAAAADAAMAtwAAAPoCAAAAAA==&#10;" filled="f" stroked="f">
                  <v:textbox inset="0,0,0,0">
                    <w:txbxContent>
                      <w:p w14:paraId="4F06DA2A" w14:textId="77777777" w:rsidR="00B32EF2" w:rsidRDefault="00000000">
                        <w:r>
                          <w:rPr>
                            <w:rFonts w:ascii="Arial" w:eastAsia="Arial" w:hAnsi="Arial" w:cs="Arial"/>
                            <w:sz w:val="18"/>
                          </w:rPr>
                          <w:t xml:space="preserve">cui al comma 4, lettera i), deve svolgersi in una lingua diversa rispetto a quella </w:t>
                        </w:r>
                      </w:p>
                    </w:txbxContent>
                  </v:textbox>
                </v:rect>
                <v:rect id="Rectangle 23043" o:spid="_x0000_s6826" style="position:absolute;left:8369;top:52566;width:3155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WhTxwAAAN4AAAAPAAAAZHJzL2Rvd25yZXYueG1sRI9Pi8Iw&#10;FMTvC36H8ARva7q6LFKNsihiD17WP+Dx0TzbavMSmmirn36zsOBxmJnfMLNFZ2pxp8ZXlhV8DBMQ&#10;xLnVFRcKDvv1+wSED8gaa8uk4EEeFvPe2wxTbVv+ofsuFCJC2KeooAzBpVL6vCSDfmgdcfTOtjEY&#10;omwKqRtsI9zUcpQkX9JgxXGhREfLkvLr7mYUnFbssnUr8/Nz6baXbFJvboejUoN+9z0FEagLr/B/&#10;O9MKRuPkcwx/d+IVkPNfAAAA//8DAFBLAQItABQABgAIAAAAIQDb4fbL7gAAAIUBAAATAAAAAAAA&#10;AAAAAAAAAAAAAABbQ29udGVudF9UeXBlc10ueG1sUEsBAi0AFAAGAAgAAAAhAFr0LFu/AAAAFQEA&#10;AAsAAAAAAAAAAAAAAAAAHwEAAF9yZWxzLy5yZWxzUEsBAi0AFAAGAAgAAAAhAEhpaFPHAAAA3gAA&#10;AA8AAAAAAAAAAAAAAAAABwIAAGRycy9kb3ducmV2LnhtbFBLBQYAAAAAAwADALcAAAD7AgAAAAA=&#10;" filled="f" stroked="f">
                  <v:textbox inset="0,0,0,0">
                    <w:txbxContent>
                      <w:p w14:paraId="0AE73F79" w14:textId="77777777" w:rsidR="00B32EF2" w:rsidRDefault="00000000">
                        <w:r>
                          <w:rPr>
                            <w:rFonts w:ascii="Arial" w:eastAsia="Arial" w:hAnsi="Arial" w:cs="Arial"/>
                            <w:sz w:val="18"/>
                          </w:rPr>
                          <w:t>obbligatoria per il conseguimento dell’impiego.</w:t>
                        </w:r>
                      </w:p>
                    </w:txbxContent>
                  </v:textbox>
                </v:rect>
                <v:rect id="Rectangle 23044" o:spid="_x0000_s6827" style="position:absolute;left:15619;top:22962;width:72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PAnxwAAAN4AAAAPAAAAZHJzL2Rvd25yZXYueG1sRI9Pi8Iw&#10;FMTvgt8hPGFvmq4ri1SjLIrYw17WP+Dx0TzbavMSmmirn36zsOBxmJnfMPNlZ2pxp8ZXlhW8jxIQ&#10;xLnVFRcKDvvNcArCB2SNtWVS8CAPy0W/N8dU25Z/6L4LhYgQ9ikqKENwqZQ+L8mgH1lHHL2zbQyG&#10;KJtC6gbbCDe1HCfJpzRYcVwo0dGqpPy6uxkFpzW7bNPK/Pxcue9LNq23t8NRqbdB9zUDEagLr/B/&#10;O9MKxh/JZAJ/d+IVkItfAAAA//8DAFBLAQItABQABgAIAAAAIQDb4fbL7gAAAIUBAAATAAAAAAAA&#10;AAAAAAAAAAAAAABbQ29udGVudF9UeXBlc10ueG1sUEsBAi0AFAAGAAgAAAAhAFr0LFu/AAAAFQEA&#10;AAsAAAAAAAAAAAAAAAAAHwEAAF9yZWxzLy5yZWxzUEsBAi0AFAAGAAgAAAAhAMeA8CfHAAAA3gAA&#10;AA8AAAAAAAAAAAAAAAAABwIAAGRycy9kb3ducmV2LnhtbFBLBQYAAAAAAwADALcAAAD7AgAAAAA=&#10;" filled="f" stroked="f">
                  <v:textbox inset="0,0,0,0">
                    <w:txbxContent>
                      <w:p w14:paraId="51C33A5A" w14:textId="77777777" w:rsidR="00B32EF2" w:rsidRDefault="00000000">
                        <w:r>
                          <w:rPr>
                            <w:rFonts w:ascii="Arial" w:eastAsia="Arial" w:hAnsi="Arial" w:cs="Arial"/>
                            <w:b/>
                            <w:sz w:val="18"/>
                          </w:rPr>
                          <w:t>Articolo 6</w:t>
                        </w:r>
                      </w:p>
                    </w:txbxContent>
                  </v:textbox>
                </v:rect>
                <v:rect id="Rectangle 202254" o:spid="_x0000_s6828" style="position:absolute;left:10556;top:21729;width:211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wAgxwAAAN8AAAAPAAAAZHJzL2Rvd25yZXYueG1sRI9Ba8JA&#10;FITvBf/D8gRvdWNoi0RXEUWag5daBY+P7DOJZt8u2dVEf323UOhxmJlvmPmyN424U+trywom4wQE&#10;cWF1zaWCw/f2dQrCB2SNjWVS8CAPy8XgZY6Zth1/0X0fShEh7DNUUIXgMil9UZFBP7aOOHpn2xoM&#10;Ubal1C12EW4amSbJhzRYc1yo0NG6ouK6vxkFpw27fNvJ4vxcu90lnzaft8NRqdGwX81ABOrDf/iv&#10;nWsFaZKm72/w+yd+Abn4AQAA//8DAFBLAQItABQABgAIAAAAIQDb4fbL7gAAAIUBAAATAAAAAAAA&#10;AAAAAAAAAAAAAABbQ29udGVudF9UeXBlc10ueG1sUEsBAi0AFAAGAAgAAAAhAFr0LFu/AAAAFQEA&#10;AAsAAAAAAAAAAAAAAAAAHwEAAF9yZWxzLy5yZWxzUEsBAi0AFAAGAAgAAAAhAA+TACDHAAAA3wAA&#10;AA8AAAAAAAAAAAAAAAAABwIAAGRycy9kb3ducmV2LnhtbFBLBQYAAAAAAwADALcAAAD7AgAAAAA=&#10;" filled="f" stroked="f">
                  <v:textbox inset="0,0,0,0">
                    <w:txbxContent>
                      <w:p w14:paraId="760FC742" w14:textId="77777777" w:rsidR="00B32EF2" w:rsidRDefault="00000000">
                        <w:r>
                          <w:rPr>
                            <w:rFonts w:ascii="Arial" w:eastAsia="Arial" w:hAnsi="Arial" w:cs="Arial"/>
                            <w:i/>
                            <w:sz w:val="18"/>
                          </w:rPr>
                          <w:t xml:space="preserve">articolo 4-bis D.lgs. n. </w:t>
                        </w:r>
                      </w:p>
                    </w:txbxContent>
                  </v:textbox>
                </v:rect>
                <v:rect id="Rectangle 202252" o:spid="_x0000_s6829" style="position:absolute;left:22448;top:21729;width:211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j3PxwAAAN8AAAAPAAAAZHJzL2Rvd25yZXYueG1sRI9Ba8JA&#10;FITvQv/D8gq96aYLFUldpVikOXjRRujxkX0mabNvl+xqor/eLRR6HGbmG2a5Hm0nLtSH1rGG51kG&#10;grhypuVaQ/m5nS5AhIhssHNMGq4UYL16mCwxN27gPV0OsRYJwiFHDU2MPpcyVA1ZDDPniZN3cr3F&#10;mGRfS9PjkOC2kyrL5tJiy2mhQU+bhqqfw9lq+HpnX2wHWZ1uG7/7Lhbdx7k8av30OL69gog0xv/w&#10;X7swGlSm1IuC3z/pC8jVHQAA//8DAFBLAQItABQABgAIAAAAIQDb4fbL7gAAAIUBAAATAAAAAAAA&#10;AAAAAAAAAAAAAABbQ29udGVudF9UeXBlc10ueG1sUEsBAi0AFAAGAAgAAAAhAFr0LFu/AAAAFQEA&#10;AAsAAAAAAAAAAAAAAAAAHwEAAF9yZWxzLy5yZWxzUEsBAi0AFAAGAAgAAAAhAO82Pc/HAAAA3wAA&#10;AA8AAAAAAAAAAAAAAAAABwIAAGRycy9kb3ducmV2LnhtbFBLBQYAAAAAAwADALcAAAD7AgAAAAA=&#10;" filled="f" stroked="f">
                  <v:textbox inset="0,0,0,0">
                    <w:txbxContent>
                      <w:p w14:paraId="28853527" w14:textId="77777777" w:rsidR="00B32EF2" w:rsidRDefault="00000000">
                        <w:r>
                          <w:rPr>
                            <w:rFonts w:ascii="Arial" w:eastAsia="Arial" w:hAnsi="Arial" w:cs="Arial"/>
                            <w:i/>
                            <w:sz w:val="18"/>
                          </w:rPr>
                          <w:t>(</w:t>
                        </w:r>
                      </w:p>
                    </w:txbxContent>
                  </v:textbox>
                </v:rect>
                <v:rect id="Rectangle 202253" o:spid="_x0000_s6830" style="position:absolute;left:-5002;top:21729;width:211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phUxwAAAN8AAAAPAAAAZHJzL2Rvd25yZXYueG1sRI9Ba8JA&#10;FITvBf/D8gRvdWNKi0RXEUWag5daBY+P7DOJZt8u2dVEf323UOhxmJlvmPmyN424U+trywom4wQE&#10;cWF1zaWCw/f2dQrCB2SNjWVS8CAPy8XgZY6Zth1/0X0fShEh7DNUUIXgMil9UZFBP7aOOHpn2xoM&#10;Ubal1C12EW4amSbJhzRYc1yo0NG6ouK6vxkFpw27fNvJ4vxcu90lnzaft8NRqdGwX81ABOrDf/iv&#10;nWsFaZKm72/w+yd+Abn4AQAA//8DAFBLAQItABQABgAIAAAAIQDb4fbL7gAAAIUBAAATAAAAAAAA&#10;AAAAAAAAAAAAAABbQ29udGVudF9UeXBlc10ueG1sUEsBAi0AFAAGAAgAAAAhAFr0LFu/AAAAFQEA&#10;AAsAAAAAAAAAAAAAAAAAHwEAAF9yZWxzLy5yZWxzUEsBAi0AFAAGAAgAAAAhAIB6mFTHAAAA3wAA&#10;AA8AAAAAAAAAAAAAAAAABwIAAGRycy9kb3ducmV2LnhtbFBLBQYAAAAAAwADALcAAAD7AgAAAAA=&#10;" filled="f" stroked="f">
                  <v:textbox inset="0,0,0,0">
                    <w:txbxContent>
                      <w:p w14:paraId="699F950B" w14:textId="77777777" w:rsidR="00B32EF2" w:rsidRDefault="00000000">
                        <w:r>
                          <w:rPr>
                            <w:rFonts w:ascii="Arial" w:eastAsia="Arial" w:hAnsi="Arial" w:cs="Arial"/>
                            <w:i/>
                            <w:sz w:val="18"/>
                          </w:rPr>
                          <w:t>545/92)</w:t>
                        </w:r>
                      </w:p>
                    </w:txbxContent>
                  </v:textbox>
                </v:rect>
                <v:rect id="Rectangle 23046" o:spid="_x0000_s6831" style="position:absolute;left:-2994;top:20496;width:367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svLxwAAAN4AAAAPAAAAZHJzL2Rvd25yZXYueG1sRI9Pi8Iw&#10;FMTvgt8hPGFvmq67iFSjLIrYw17WP+Dx0TzbavMSmmirn36zsOBxmJnfMPNlZ2pxp8ZXlhW8jxIQ&#10;xLnVFRcKDvvNcArCB2SNtWVS8CAPy0W/N8dU25Z/6L4LhYgQ9ikqKENwqZQ+L8mgH1lHHL2zbQyG&#10;KJtC6gbbCDe1HCfJRBqsOC6U6GhVUn7d3YyC05pdtmllfn6u3Pclm9bb2+Go1Nug+5qBCNSFV/i/&#10;nWkF44/kcwJ/d+IVkItfAAAA//8DAFBLAQItABQABgAIAAAAIQDb4fbL7gAAAIUBAAATAAAAAAAA&#10;AAAAAAAAAAAAAABbQ29udGVudF9UeXBlc10ueG1sUEsBAi0AFAAGAAgAAAAhAFr0LFu/AAAAFQEA&#10;AAsAAAAAAAAAAAAAAAAAHwEAAF9yZWxzLy5yZWxzUEsBAi0AFAAGAAgAAAAhAFgey8vHAAAA3gAA&#10;AA8AAAAAAAAAAAAAAAAABwIAAGRycy9kb3ducmV2LnhtbFBLBQYAAAAAAwADALcAAAD7AgAAAAA=&#10;" filled="f" stroked="f">
                  <v:textbox inset="0,0,0,0">
                    <w:txbxContent>
                      <w:p w14:paraId="0643A21C" w14:textId="77777777" w:rsidR="00B32EF2" w:rsidRDefault="00000000">
                        <w:r>
                          <w:rPr>
                            <w:rFonts w:ascii="Arial" w:eastAsia="Arial" w:hAnsi="Arial" w:cs="Arial"/>
                            <w:b/>
                            <w:sz w:val="18"/>
                          </w:rPr>
                          <w:t xml:space="preserve">Requisiti per l’ammissione al concorso per esami </w:t>
                        </w:r>
                      </w:p>
                    </w:txbxContent>
                  </v:textbox>
                </v:rect>
                <v:rect id="Rectangle 202250" o:spid="_x0000_s6832" style="position:absolute;left:26115;top:19262;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AYjxwAAAN8AAAAPAAAAZHJzL2Rvd25yZXYueG1sRI+9asMw&#10;FIX3Qt5B3EC2Ro6hxbhRQnEw9ZClbgodL9aN7da6EpYSO3n6aih0PJw/vu1+NoO40uh7ywo26wQE&#10;cWN1z62C00f5mIHwAVnjYJkU3MjDfrd42GKu7cTvdK1DK+II+xwVdCG4XErfdGTQr60jjt7ZjgZD&#10;lGMr9YhTHDeDTJPkWRrsOT506KjoqPmpL0bB14FdVU6yOd8Ld/yusuHtcvpUarWcX19ABJrDf/iv&#10;XWkFaZKmT5Eg8kQWkLtfAAAA//8DAFBLAQItABQABgAIAAAAIQDb4fbL7gAAAIUBAAATAAAAAAAA&#10;AAAAAAAAAAAAAABbQ29udGVudF9UeXBlc10ueG1sUEsBAi0AFAAGAAgAAAAhAFr0LFu/AAAAFQEA&#10;AAsAAAAAAAAAAAAAAAAAHwEAAF9yZWxzLy5yZWxzUEsBAi0AFAAGAAgAAAAhAHCoBiPHAAAA3wAA&#10;AA8AAAAAAAAAAAAAAAAABwIAAGRycy9kb3ducmV2LnhtbFBLBQYAAAAAAwADALcAAAD7AgAAAAA=&#10;" filled="f" stroked="f">
                  <v:textbox inset="0,0,0,0">
                    <w:txbxContent>
                      <w:p w14:paraId="287CC62E" w14:textId="77777777" w:rsidR="00B32EF2" w:rsidRDefault="00000000">
                        <w:r>
                          <w:rPr>
                            <w:rFonts w:ascii="Arial" w:eastAsia="Arial" w:hAnsi="Arial" w:cs="Arial"/>
                            <w:sz w:val="18"/>
                          </w:rPr>
                          <w:t>1</w:t>
                        </w:r>
                      </w:p>
                    </w:txbxContent>
                  </v:textbox>
                </v:rect>
                <v:rect id="Rectangle 202251" o:spid="_x0000_s6833" style="position:absolute;left:-13758;top:19262;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O4xwAAAN8AAAAPAAAAZHJzL2Rvd25yZXYueG1sRI9Ba8JA&#10;FITvgv9heYI33RiwSHQVUcQcvNRa6PGRfSbR7Nslu5rYX98tFHocZuYbZrXpTSOe1PrasoLZNAFB&#10;XFhdc6ng8nGYLED4gKyxsUwKXuRhsx4OVphp2/E7Pc+hFBHCPkMFVQguk9IXFRn0U+uIo3e1rcEQ&#10;ZVtK3WIX4aaRaZK8SYM1x4UKHe0qKu7nh1HwtWeXHzpZXL937nTLF83xcflUajzqt0sQgfrwH/5r&#10;51pBmqTpfAa/f+IXkOsfAAAA//8DAFBLAQItABQABgAIAAAAIQDb4fbL7gAAAIUBAAATAAAAAAAA&#10;AAAAAAAAAAAAAABbQ29udGVudF9UeXBlc10ueG1sUEsBAi0AFAAGAAgAAAAhAFr0LFu/AAAAFQEA&#10;AAsAAAAAAAAAAAAAAAAAHwEAAF9yZWxzLy5yZWxzUEsBAi0AFAAGAAgAAAAhAB/ko7jHAAAA3wAA&#10;AA8AAAAAAAAAAAAAAAAABwIAAGRycy9kb3ducmV2LnhtbFBLBQYAAAAAAwADALcAAAD7AgAAAAA=&#10;" filled="f" stroked="f">
                  <v:textbox inset="0,0,0,0">
                    <w:txbxContent>
                      <w:p w14:paraId="7D7FDEBE" w14:textId="77777777" w:rsidR="00B32EF2" w:rsidRDefault="00000000">
                        <w:r>
                          <w:rPr>
                            <w:rFonts w:ascii="Arial" w:eastAsia="Arial" w:hAnsi="Arial" w:cs="Arial"/>
                            <w:sz w:val="18"/>
                          </w:rPr>
                          <w:t xml:space="preserve">. Al concorso per esami di cui all’articolo 5 sono ammessi i laureati che siano </w:t>
                        </w:r>
                      </w:p>
                    </w:txbxContent>
                  </v:textbox>
                </v:rect>
                <v:rect id="Rectangle 23048" o:spid="_x0000_s6834" style="position:absolute;left:-13166;top:1802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foiwwAAAN4AAAAPAAAAZHJzL2Rvd25yZXYueG1sRE/LisIw&#10;FN0L/kO4gjtNdWSQahRRZLqYzfgAl5fm2labm9BEW+frzWJglofzXq47U4snNb6yrGAyTkAQ51ZX&#10;XCg4HfejOQgfkDXWlknBizysV/3eElNtW/6h5yEUIoawT1FBGYJLpfR5SQb92DriyF1tYzBE2BRS&#10;N9jGcFPLaZJ8SoMVx4YSHW1Lyu+Hh1Fw2bHL9q3Mr79b933L5vXX43RWajjoNgsQgbrwL/5zZ1rB&#10;9COZxb3xTrwCcvUGAAD//wMAUEsBAi0AFAAGAAgAAAAhANvh9svuAAAAhQEAABMAAAAAAAAAAAAA&#10;AAAAAAAAAFtDb250ZW50X1R5cGVzXS54bWxQSwECLQAUAAYACAAAACEAWvQsW78AAAAVAQAACwAA&#10;AAAAAAAAAAAAAAAfAQAAX3JlbHMvLnJlbHNQSwECLQAUAAYACAAAACEARs36IsMAAADeAAAADwAA&#10;AAAAAAAAAAAAAAAHAgAAZHJzL2Rvd25yZXYueG1sUEsFBgAAAAADAAMAtwAAAPcCAAAAAA==&#10;" filled="f" stroked="f">
                  <v:textbox inset="0,0,0,0">
                    <w:txbxContent>
                      <w:p w14:paraId="31E0D768" w14:textId="77777777" w:rsidR="00B32EF2" w:rsidRDefault="00000000">
                        <w:r>
                          <w:rPr>
                            <w:rFonts w:ascii="Arial" w:eastAsia="Arial" w:hAnsi="Arial" w:cs="Arial"/>
                            <w:sz w:val="18"/>
                          </w:rPr>
                          <w:t xml:space="preserve">in possesso del diploma di laurea in giurisprudenza conseguito al termine di </w:t>
                        </w:r>
                      </w:p>
                    </w:txbxContent>
                  </v:textbox>
                </v:rect>
                <v:rect id="Rectangle 23049" o:spid="_x0000_s6835" style="position:absolute;left:-12180;top:16796;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V+5xwAAAN4AAAAPAAAAZHJzL2Rvd25yZXYueG1sRI9Ba8JA&#10;FITvQv/D8gredKMWsdFVRJHm4KXWQo+P7DOJZt8u2dWk/fVuQfA4zMw3zGLVmVrcqPGVZQWjYQKC&#10;OLe64kLB8Ws3mIHwAVljbZkU/JKH1fKlt8BU25Y/6XYIhYgQ9ikqKENwqZQ+L8mgH1pHHL2TbQyG&#10;KJtC6gbbCDe1HCfJVBqsOC6U6GhTUn45XI2Cny27bNfK/PS3cftzNqs/rsdvpfqv3XoOIlAXnuFH&#10;O9MKxpPk7R3+78QrIJd3AAAA//8DAFBLAQItABQABgAIAAAAIQDb4fbL7gAAAIUBAAATAAAAAAAA&#10;AAAAAAAAAAAAAABbQ29udGVudF9UeXBlc10ueG1sUEsBAi0AFAAGAAgAAAAhAFr0LFu/AAAAFQEA&#10;AAsAAAAAAAAAAAAAAAAAHwEAAF9yZWxzLy5yZWxzUEsBAi0AFAAGAAgAAAAhACmBX7nHAAAA3gAA&#10;AA8AAAAAAAAAAAAAAAAABwIAAGRycy9kb3ducmV2LnhtbFBLBQYAAAAAAwADALcAAAD7AgAAAAA=&#10;" filled="f" stroked="f">
                  <v:textbox inset="0,0,0,0">
                    <w:txbxContent>
                      <w:p w14:paraId="3CF1F60C" w14:textId="77777777" w:rsidR="00B32EF2" w:rsidRDefault="00000000">
                        <w:r>
                          <w:rPr>
                            <w:rFonts w:ascii="Arial" w:eastAsia="Arial" w:hAnsi="Arial" w:cs="Arial"/>
                            <w:sz w:val="18"/>
                          </w:rPr>
                          <w:t>un corso universitario di durata non inferiore a quattro anni, ovvero del diplo</w:t>
                        </w:r>
                      </w:p>
                    </w:txbxContent>
                  </v:textbox>
                </v:rect>
                <v:rect id="Rectangle 23050" o:spid="_x0000_s6836" style="position:absolute;left:198;top:1679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mD5xQAAAN4AAAAPAAAAZHJzL2Rvd25yZXYueG1sRI/LisIw&#10;FIb3gu8QjuBOUx0cpBpFFJkuZjNewOWhObbV5iQ00dZ5erMYmOXPf+NbrjtTiyc1vrKsYDJOQBDn&#10;VldcKDgd96M5CB+QNdaWScGLPKxX/d4SU21b/qHnIRQijrBPUUEZgkul9HlJBv3YOuLoXW1jMETZ&#10;FFI32MZxU8tpknxKgxXHhxIdbUvK74eHUXDZscv2rcyvv1v3fcvm9dfjdFZqOOg2CxCBuvAf/mtn&#10;WsH0I5lFgIgTUUCu3gAAAP//AwBQSwECLQAUAAYACAAAACEA2+H2y+4AAACFAQAAEwAAAAAAAAAA&#10;AAAAAAAAAAAAW0NvbnRlbnRfVHlwZXNdLnhtbFBLAQItABQABgAIAAAAIQBa9CxbvwAAABUBAAAL&#10;AAAAAAAAAAAAAAAAAB8BAABfcmVscy8ucmVsc1BLAQItABQABgAIAAAAIQA9YmD5xQAAAN4AAAAP&#10;AAAAAAAAAAAAAAAAAAcCAABkcnMvZG93bnJldi54bWxQSwUGAAAAAAMAAwC3AAAA+QIAAAAA&#10;" filled="f" stroked="f">
                  <v:textbox inset="0,0,0,0">
                    <w:txbxContent>
                      <w:p w14:paraId="235DC1CC" w14:textId="77777777" w:rsidR="00B32EF2" w:rsidRDefault="00000000">
                        <w:r>
                          <w:rPr>
                            <w:rFonts w:ascii="Arial" w:eastAsia="Arial" w:hAnsi="Arial" w:cs="Arial"/>
                            <w:sz w:val="18"/>
                          </w:rPr>
                          <w:t>-</w:t>
                        </w:r>
                      </w:p>
                    </w:txbxContent>
                  </v:textbox>
                </v:rect>
                <v:rect id="Rectangle 23051" o:spid="_x0000_s6837" style="position:absolute;left:-13166;top:15563;width:53092;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VixgAAAN4AAAAPAAAAZHJzL2Rvd25yZXYueG1sRI9Ba8JA&#10;FITvBf/D8gre6kaLRaKrFEWagxetBY+P7DOJZt8u2dVEf70rFDwOM/MNM1t0phZXanxlWcFwkIAg&#10;zq2uuFCw/11/TED4gKyxtkwKbuRhMe+9zTDVtuUtXXehEBHCPkUFZQguldLnJRn0A+uIo3e0jcEQ&#10;ZVNI3WAb4aaWoyT5kgYrjgslOlqWlJ93F6PgsGKXrVuZH+9Ltzllk/rnsv9Tqv/efU9BBOrCK/zf&#10;zrSC0WcyHsLzTrwCcv4AAAD//wMAUEsBAi0AFAAGAAgAAAAhANvh9svuAAAAhQEAABMAAAAAAAAA&#10;AAAAAAAAAAAAAFtDb250ZW50X1R5cGVzXS54bWxQSwECLQAUAAYACAAAACEAWvQsW78AAAAVAQAA&#10;CwAAAAAAAAAAAAAAAAAfAQAAX3JlbHMvLnJlbHNQSwECLQAUAAYACAAAACEAUi7FYsYAAADeAAAA&#10;DwAAAAAAAAAAAAAAAAAHAgAAZHJzL2Rvd25yZXYueG1sUEsFBgAAAAADAAMAtwAAAPoCAAAAAA==&#10;" filled="f" stroked="f">
                  <v:textbox inset="0,0,0,0">
                    <w:txbxContent>
                      <w:p w14:paraId="613B85C6" w14:textId="77777777" w:rsidR="00B32EF2" w:rsidRDefault="00000000">
                        <w:r>
                          <w:rPr>
                            <w:rFonts w:ascii="Arial" w:eastAsia="Arial" w:hAnsi="Arial" w:cs="Arial"/>
                            <w:sz w:val="18"/>
                          </w:rPr>
                          <w:t xml:space="preserve">ma di laurea magistrale in Scienze dell’economia (classe LM-56) o in Scienze </w:t>
                        </w:r>
                      </w:p>
                    </w:txbxContent>
                  </v:textbox>
                </v:rect>
                <v:rect id="Rectangle 23052" o:spid="_x0000_s6838" style="position:absolute;left:-13166;top:1432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VxgAAAN4AAAAPAAAAZHJzL2Rvd25yZXYueG1sRI9Ba8JA&#10;FITvBf/D8gRvdWNKi0RXEUWag5daBY+P7DOJZt8u2dVEf323UOhxmJlvmPmyN424U+trywom4wQE&#10;cWF1zaWCw/f2dQrCB2SNjWVS8CAPy8XgZY6Zth1/0X0fShEh7DNUUIXgMil9UZFBP7aOOHpn2xoM&#10;Ubal1C12EW4amSbJhzRYc1yo0NG6ouK6vxkFpw27fNvJ4vxcu90lnzaft8NRqdGwX81ABOrDf/iv&#10;nWsF6VvynsLvnXgF5OIHAAD//wMAUEsBAi0AFAAGAAgAAAAhANvh9svuAAAAhQEAABMAAAAAAAAA&#10;AAAAAAAAAAAAAFtDb250ZW50X1R5cGVzXS54bWxQSwECLQAUAAYACAAAACEAWvQsW78AAAAVAQAA&#10;CwAAAAAAAAAAAAAAAAAfAQAAX3JlbHMvLnJlbHNQSwECLQAUAAYACAAAACEAovxbFcYAAADeAAAA&#10;DwAAAAAAAAAAAAAAAAAHAgAAZHJzL2Rvd25yZXYueG1sUEsFBgAAAAADAAMAtwAAAPoCAAAAAA==&#10;" filled="f" stroked="f">
                  <v:textbox inset="0,0,0,0">
                    <w:txbxContent>
                      <w:p w14:paraId="511B4923" w14:textId="77777777" w:rsidR="00B32EF2" w:rsidRDefault="00000000">
                        <w:r>
                          <w:rPr>
                            <w:rFonts w:ascii="Arial" w:eastAsia="Arial" w:hAnsi="Arial" w:cs="Arial"/>
                            <w:sz w:val="18"/>
                          </w:rPr>
                          <w:t xml:space="preserve">economico-aziendali (classe LM-77) o di titoli degli ordinamenti previgenti a </w:t>
                        </w:r>
                      </w:p>
                    </w:txbxContent>
                  </v:textbox>
                </v:rect>
                <v:rect id="Rectangle 23053" o:spid="_x0000_s6839" style="position:absolute;left:-11501;top:13096;width:514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P6OxwAAAN4AAAAPAAAAZHJzL2Rvd25yZXYueG1sRI9Pi8Iw&#10;FMTvC36H8ARva7rKLlKNsihiD17WP+Dx0TzbavMSmmirn36zsOBxmJnfMLNFZ2pxp8ZXlhV8DBMQ&#10;xLnVFRcKDvv1+wSED8gaa8uk4EEeFvPe2wxTbVv+ofsuFCJC2KeooAzBpVL6vCSDfmgdcfTOtjEY&#10;omwKqRtsI9zUcpQkX9JgxXGhREfLkvLr7mYUnFbssnUr8/Nz6baXbFJvboejUoN+9z0FEagLr/B/&#10;O9MKRuPkcwx/d+IVkPNfAAAA//8DAFBLAQItABQABgAIAAAAIQDb4fbL7gAAAIUBAAATAAAAAAAA&#10;AAAAAAAAAAAAAABbQ29udGVudF9UeXBlc10ueG1sUEsBAi0AFAAGAAgAAAAhAFr0LFu/AAAAFQEA&#10;AAsAAAAAAAAAAAAAAAAAHwEAAF9yZWxzLy5yZWxzUEsBAi0AFAAGAAgAAAAhAM2w/o7HAAAA3gAA&#10;AA8AAAAAAAAAAAAAAAAABwIAAGRycy9kb3ducmV2LnhtbFBLBQYAAAAAAwADALcAAAD7AgAAAAA=&#10;" filled="f" stroked="f">
                  <v:textbox inset="0,0,0,0">
                    <w:txbxContent>
                      <w:p w14:paraId="6CA42A97" w14:textId="77777777" w:rsidR="00B32EF2" w:rsidRDefault="00000000">
                        <w:r>
                          <w:rPr>
                            <w:rFonts w:ascii="Arial" w:eastAsia="Arial" w:hAnsi="Arial" w:cs="Arial"/>
                            <w:sz w:val="18"/>
                          </w:rPr>
                          <w:t>questi equiparati. È necessaria, altresì, la sussistenza dei seguenti requisiti:</w:t>
                        </w:r>
                      </w:p>
                    </w:txbxContent>
                  </v:textbox>
                </v:rect>
                <v:rect id="Rectangle 23054" o:spid="_x0000_s6840" style="position:absolute;left:22685;top:11863;width:172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Wb6xwAAAN4AAAAPAAAAZHJzL2Rvd25yZXYueG1sRI9Pa8JA&#10;FMTvBb/D8gRvdVOtItFVikXMoZf6Bzw+ss8kNvt2ya4m9tN3C4LHYWZ+wyxWnanFjRpfWVbwNkxA&#10;EOdWV1woOOw3rzMQPiBrrC2Tgjt5WC17LwtMtW35m267UIgIYZ+igjIEl0rp85IM+qF1xNE728Zg&#10;iLIppG6wjXBTy1GSTKXBiuNCiY7WJeU/u6tRcPpkl21amZ9/1+7rks3q7fVwVGrQ7z7mIAJ14Rl+&#10;tDOtYDROJu/wfydeAbn8AwAA//8DAFBLAQItABQABgAIAAAAIQDb4fbL7gAAAIUBAAATAAAAAAAA&#10;AAAAAAAAAAAAAABbQ29udGVudF9UeXBlc10ueG1sUEsBAi0AFAAGAAgAAAAhAFr0LFu/AAAAFQEA&#10;AAsAAAAAAAAAAAAAAAAAHwEAAF9yZWxzLy5yZWxzUEsBAi0AFAAGAAgAAAAhAEJZZvrHAAAA3gAA&#10;AA8AAAAAAAAAAAAAAAAABwIAAGRycy9kb3ducmV2LnhtbFBLBQYAAAAAAwADALcAAAD7AgAAAAA=&#10;" filled="f" stroked="f">
                  <v:textbox inset="0,0,0,0">
                    <w:txbxContent>
                      <w:p w14:paraId="12F3947C" w14:textId="77777777" w:rsidR="00B32EF2" w:rsidRDefault="00000000">
                        <w:r>
                          <w:rPr>
                            <w:rFonts w:ascii="Arial" w:eastAsia="Arial" w:hAnsi="Arial" w:cs="Arial"/>
                            <w:sz w:val="18"/>
                          </w:rPr>
                          <w:t>a) essere cittadini italiani;</w:t>
                        </w:r>
                      </w:p>
                    </w:txbxContent>
                  </v:textbox>
                </v:rect>
                <v:rect id="Rectangle 23055" o:spid="_x0000_s6841" style="position:absolute;left:17319;top:10629;width:226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cNhxwAAAN4AAAAPAAAAZHJzL2Rvd25yZXYueG1sRI9Pi8Iw&#10;FMTvgt8hPGFvmq6Li1SjLIrYw17WP+Dx0TzbavMSmmirn36zsOBxmJnfMPNlZ2pxp8ZXlhW8jxIQ&#10;xLnVFRcKDvvNcArCB2SNtWVS8CAPy0W/N8dU25Z/6L4LhYgQ9ikqKENwqZQ+L8mgH1lHHL2zbQyG&#10;KJtC6gbbCDe1HCfJpzRYcVwo0dGqpPy6uxkFpzW7bNPK/Pxcue9LNq23t8NRqbdB9zUDEagLr/B/&#10;O9MKxh/JZAJ/d+IVkItfAAAA//8DAFBLAQItABQABgAIAAAAIQDb4fbL7gAAAIUBAAATAAAAAAAA&#10;AAAAAAAAAAAAAABbQ29udGVudF9UeXBlc10ueG1sUEsBAi0AFAAGAAgAAAAhAFr0LFu/AAAAFQEA&#10;AAsAAAAAAAAAAAAAAAAAHwEAAF9yZWxzLy5yZWxzUEsBAi0AFAAGAAgAAAAhAC0Vw2HHAAAA3gAA&#10;AA8AAAAAAAAAAAAAAAAABwIAAGRycy9kb3ducmV2LnhtbFBLBQYAAAAAAwADALcAAAD7AgAAAAA=&#10;" filled="f" stroked="f">
                  <v:textbox inset="0,0,0,0">
                    <w:txbxContent>
                      <w:p w14:paraId="3ABFCD37" w14:textId="77777777" w:rsidR="00B32EF2" w:rsidRDefault="00000000">
                        <w:r>
                          <w:rPr>
                            <w:rFonts w:ascii="Arial" w:eastAsia="Arial" w:hAnsi="Arial" w:cs="Arial"/>
                            <w:sz w:val="18"/>
                          </w:rPr>
                          <w:t>b) avere l’esercizio dei diritti civili;</w:t>
                        </w:r>
                      </w:p>
                    </w:txbxContent>
                  </v:textbox>
                </v:rect>
                <v:rect id="Rectangle 23056" o:spid="_x0000_s6842" style="position:absolute;left:15758;top:9396;width:241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10WxwAAAN4AAAAPAAAAZHJzL2Rvd25yZXYueG1sRI9Pi8Iw&#10;FMTvgt8hPGFvmq7LilSjLIrYw17WP+Dx0TzbavMSmmirn36zsOBxmJnfMPNlZ2pxp8ZXlhW8jxIQ&#10;xLnVFRcKDvvNcArCB2SNtWVS8CAPy0W/N8dU25Z/6L4LhYgQ9ikqKENwqZQ+L8mgH1lHHL2zbQyG&#10;KJtC6gbbCDe1HCfJRBqsOC6U6GhVUn7d3YyC05pdtmllfn6u3Pclm9bb2+Go1Nug+5qBCNSFV/i/&#10;nWkF44/kcwJ/d+IVkItfAAAA//8DAFBLAQItABQABgAIAAAAIQDb4fbL7gAAAIUBAAATAAAAAAAA&#10;AAAAAAAAAAAAAABbQ29udGVudF9UeXBlc10ueG1sUEsBAi0AFAAGAAgAAAAhAFr0LFu/AAAAFQEA&#10;AAsAAAAAAAAAAAAAAAAAHwEAAF9yZWxzLy5yZWxzUEsBAi0AFAAGAAgAAAAhAN3HXRbHAAAA3gAA&#10;AA8AAAAAAAAAAAAAAAAABwIAAGRycy9kb3ducmV2LnhtbFBLBQYAAAAAAwADALcAAAD7AgAAAAA=&#10;" filled="f" stroked="f">
                  <v:textbox inset="0,0,0,0">
                    <w:txbxContent>
                      <w:p w14:paraId="4141D92F" w14:textId="77777777" w:rsidR="00B32EF2" w:rsidRDefault="00000000">
                        <w:r>
                          <w:rPr>
                            <w:rFonts w:ascii="Arial" w:eastAsia="Arial" w:hAnsi="Arial" w:cs="Arial"/>
                            <w:sz w:val="18"/>
                          </w:rPr>
                          <w:t>c) essere di condotta incensurabile;</w:t>
                        </w:r>
                      </w:p>
                    </w:txbxContent>
                  </v:textbox>
                </v:rect>
                <v:rect id="Rectangle 23057" o:spid="_x0000_s6843" style="position:absolute;left:-13165;top:816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iNxwAAAN4AAAAPAAAAZHJzL2Rvd25yZXYueG1sRI9Pa8JA&#10;FMTvBb/D8gRvdVOlKtFVikXMoZf6Bzw+ss8kNvt2ya4m9tN3C4LHYWZ+wyxWnanFjRpfWVbwNkxA&#10;EOdWV1woOOw3rzMQPiBrrC2Tgjt5WC17LwtMtW35m267UIgIYZ+igjIEl0rp85IM+qF1xNE728Zg&#10;iLIppG6wjXBTy1GSTKTBiuNCiY7WJeU/u6tRcPpkl21amZ9/1+7rks3q7fVwVGrQ7z7mIAJ14Rl+&#10;tDOtYDRO3qfwfydeAbn8AwAA//8DAFBLAQItABQABgAIAAAAIQDb4fbL7gAAAIUBAAATAAAAAAAA&#10;AAAAAAAAAAAAAABbQ29udGVudF9UeXBlc10ueG1sUEsBAi0AFAAGAAgAAAAhAFr0LFu/AAAAFQEA&#10;AAsAAAAAAAAAAAAAAAAAHwEAAF9yZWxzLy5yZWxzUEsBAi0AFAAGAAgAAAAhALKL+I3HAAAA3gAA&#10;AA8AAAAAAAAAAAAAAAAABwIAAGRycy9kb3ducmV2LnhtbFBLBQYAAAAAAwADALcAAAD7AgAAAAA=&#10;" filled="f" stroked="f">
                  <v:textbox inset="0,0,0,0">
                    <w:txbxContent>
                      <w:p w14:paraId="282400EC" w14:textId="77777777" w:rsidR="00B32EF2" w:rsidRDefault="00000000">
                        <w:r>
                          <w:rPr>
                            <w:rFonts w:ascii="Arial" w:eastAsia="Arial" w:hAnsi="Arial" w:cs="Arial"/>
                            <w:sz w:val="18"/>
                          </w:rPr>
                          <w:t xml:space="preserve">d) non essere stati dichiarati per tre volte non idonei nel concorso per esami di </w:t>
                        </w:r>
                      </w:p>
                    </w:txbxContent>
                  </v:textbox>
                </v:rect>
                <v:rect id="Rectangle 23058" o:spid="_x0000_s6844" style="position:absolute;left:-13166;top:6930;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z/wwAAAN4AAAAPAAAAZHJzL2Rvd25yZXYueG1sRE/LisIw&#10;FN0L/kO4gjtNdXCQahRRZLqYzfgAl5fm2labm9BEW+frzWJglofzXq47U4snNb6yrGAyTkAQ51ZX&#10;XCg4HfejOQgfkDXWlknBizysV/3eElNtW/6h5yEUIoawT1FBGYJLpfR5SQb92DriyF1tYzBE2BRS&#10;N9jGcFPLaZJ8SoMVx4YSHW1Lyu+Hh1Fw2bHL9q3Mr79b933L5vXX43RWajjoNgsQgbrwL/5zZ1rB&#10;9COZxb3xTrwCcvUGAAD//wMAUEsBAi0AFAAGAAgAAAAhANvh9svuAAAAhQEAABMAAAAAAAAAAAAA&#10;AAAAAAAAAFtDb250ZW50X1R5cGVzXS54bWxQSwECLQAUAAYACAAAACEAWvQsW78AAAAVAQAACwAA&#10;AAAAAAAAAAAAAAAfAQAAX3JlbHMvLnJlbHNQSwECLQAUAAYACAAAACEAwxRs/8MAAADeAAAADwAA&#10;AAAAAAAAAAAAAAAHAgAAZHJzL2Rvd25yZXYueG1sUEsFBgAAAAADAAMAtwAAAPcCAAAAAA==&#10;" filled="f" stroked="f">
                  <v:textbox inset="0,0,0,0">
                    <w:txbxContent>
                      <w:p w14:paraId="36CDD0DC" w14:textId="77777777" w:rsidR="00B32EF2" w:rsidRDefault="00000000">
                        <w:r>
                          <w:rPr>
                            <w:rFonts w:ascii="Arial" w:eastAsia="Arial" w:hAnsi="Arial" w:cs="Arial"/>
                            <w:sz w:val="18"/>
                          </w:rPr>
                          <w:t xml:space="preserve">cui all’articolo 5, alla data di scadenza del termine per la presentazione della </w:t>
                        </w:r>
                      </w:p>
                    </w:txbxContent>
                  </v:textbox>
                </v:rect>
                <v:rect id="Rectangle 23059" o:spid="_x0000_s6845" style="position:absolute;left:33113;top:5696;width:68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MlkxwAAAN4AAAAPAAAAZHJzL2Rvd25yZXYueG1sRI9Ba8JA&#10;FITvQv/D8gredKNSsdFVRJHm4KXWQo+P7DOJZt8u2dWk/fVuQfA4zMw3zGLVmVrcqPGVZQWjYQKC&#10;OLe64kLB8Ws3mIHwAVljbZkU/JKH1fKlt8BU25Y/6XYIhYgQ9ikqKENwqZQ+L8mgH1pHHL2TbQyG&#10;KJtC6gbbCDe1HCfJVBqsOC6U6GhTUn45XI2Cny27bNfK/PS3cftzNqs/rsdvpfqv3XoOIlAXnuFH&#10;O9MKxpPk7R3+78QrIJd3AAAA//8DAFBLAQItABQABgAIAAAAIQDb4fbL7gAAAIUBAAATAAAAAAAA&#10;AAAAAAAAAAAAAABbQ29udGVudF9UeXBlc10ueG1sUEsBAi0AFAAGAAgAAAAhAFr0LFu/AAAAFQEA&#10;AAsAAAAAAAAAAAAAAAAAHwEAAF9yZWxzLy5yZWxzUEsBAi0AFAAGAAgAAAAhAKxYyWTHAAAA3gAA&#10;AA8AAAAAAAAAAAAAAAAABwIAAGRycy9kb3ducmV2LnhtbFBLBQYAAAAAAwADALcAAAD7AgAAAAA=&#10;" filled="f" stroked="f">
                  <v:textbox inset="0,0,0,0">
                    <w:txbxContent>
                      <w:p w14:paraId="6EFAEA2B" w14:textId="77777777" w:rsidR="00B32EF2" w:rsidRDefault="00000000">
                        <w:r>
                          <w:rPr>
                            <w:rFonts w:ascii="Arial" w:eastAsia="Arial" w:hAnsi="Arial" w:cs="Arial"/>
                            <w:sz w:val="18"/>
                          </w:rPr>
                          <w:t>domanda;</w:t>
                        </w:r>
                      </w:p>
                    </w:txbxContent>
                  </v:textbox>
                </v:rect>
                <v:rect id="Rectangle 23060" o:spid="_x0000_s6846" style="position:absolute;left:9243;top:4463;width:306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pExgAAAN4AAAAPAAAAZHJzL2Rvd25yZXYueG1sRI/NasJA&#10;FIX3Bd9huIK7OjFCkNRRRAlm0U1ThS4vmWuSNnNnyIwm7dN3FoUuD+ePb7ufTC8eNPjOsoLVMgFB&#10;XFvdcaPg8l48b0D4gKyxt0wKvsnDfjd72mKu7chv9KhCI+II+xwVtCG4XEpft2TQL60jjt7NDgZD&#10;lEMj9YBjHDe9TJMkkwY7jg8tOjq2VH9Vd6Pg48SuLEZZ336O7vWz3PTn++Wq1GI+HV5ABJrCf/iv&#10;XWoF6TrJIkDEiSggd78AAAD//wMAUEsBAi0AFAAGAAgAAAAhANvh9svuAAAAhQEAABMAAAAAAAAA&#10;AAAAAAAAAAAAAFtDb250ZW50X1R5cGVzXS54bWxQSwECLQAUAAYACAAAACEAWvQsW78AAAAVAQAA&#10;CwAAAAAAAAAAAAAAAAAfAQAAX3JlbHMvLnJlbHNQSwECLQAUAAYACAAAACEA8w6qRMYAAADeAAAA&#10;DwAAAAAAAAAAAAAAAAAHAgAAZHJzL2Rvd25yZXYueG1sUEsFBgAAAAADAAMAtwAAAPoCAAAAAA==&#10;" filled="f" stroked="f">
                  <v:textbox inset="0,0,0,0">
                    <w:txbxContent>
                      <w:p w14:paraId="4A7E8624" w14:textId="77777777" w:rsidR="00B32EF2" w:rsidRDefault="00000000">
                        <w:r>
                          <w:rPr>
                            <w:rFonts w:ascii="Arial" w:eastAsia="Arial" w:hAnsi="Arial" w:cs="Arial"/>
                            <w:sz w:val="18"/>
                          </w:rPr>
                          <w:t xml:space="preserve">e) gli altri requisiti richiesti dalle leggi vigenti. </w:t>
                        </w:r>
                      </w:p>
                    </w:txbxContent>
                  </v:textbox>
                </v:rect>
                <v:shape id="Shape 208168" o:spid="_x0000_s6847" style="position:absolute;left:324;top:25935;width:39600;height:26640;visibility:visible;mso-wrap-style:square;v-text-anchor:top" coordsize="3960000,266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ZiZwwAAAN8AAAAPAAAAZHJzL2Rvd25yZXYueG1sRE89b8Iw&#10;EN2R+h+sq8QGDlRCEDCoRSCgG7QD4yk+Yov4HGI3hH+PB6SOT+97sepcJVpqgvWsYDTMQBAXXlsu&#10;Ffz+bAdTECEia6w8k4IHBVgt33oLzLW/85HaUyxFCuGQowITY51LGQpDDsPQ18SJu/jGYUywKaVu&#10;8J7CXSXHWTaRDi2nBoM1rQ0V19OfU3B47D7M+WvdWulkmN1M9b2xW6X6793nHESkLv6LX+69VjDO&#10;pqNJGpz+pC8gl08AAAD//wMAUEsBAi0AFAAGAAgAAAAhANvh9svuAAAAhQEAABMAAAAAAAAAAAAA&#10;AAAAAAAAAFtDb250ZW50X1R5cGVzXS54bWxQSwECLQAUAAYACAAAACEAWvQsW78AAAAVAQAACwAA&#10;AAAAAAAAAAAAAAAfAQAAX3JlbHMvLnJlbHNQSwECLQAUAAYACAAAACEA5amYmcMAAADfAAAADwAA&#10;AAAAAAAAAAAAAAAHAgAAZHJzL2Rvd25yZXYueG1sUEsFBgAAAAADAAMAtwAAAPcCAAAAAA==&#10;" path="m,l3960000,r,2663901l,2663901,,e" fillcolor="#c3c3c3" stroked="f" strokeweight="0">
                  <v:stroke miterlimit="83231f" joinstyle="miter"/>
                  <v:path arrowok="t" textboxrect="0,0,3960000,2663901"/>
                </v:shape>
                <v:rect id="Rectangle 23062" o:spid="_x0000_s6848" style="position:absolute;left:23285;top:50368;width:15866;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JGoxgAAAN4AAAAPAAAAZHJzL2Rvd25yZXYueG1sRI9Ba8JA&#10;FITvgv9heQVvumkEkdRVRBFz6KU2gsdH9pmkZt8u2dXE/vpuodDjMDPfMKvNYFrxoM43lhW8zhIQ&#10;xKXVDVcKis/DdAnCB2SNrWVS8CQPm/V4tMJM254/6HEKlYgQ9hkqqENwmZS+rMmgn1lHHL2r7QyG&#10;KLtK6g77CDetTJNkIQ02HBdqdLSrqbyd7kbBZc8uP/SyvH7v3PtXvmyP9+Ks1ORl2L6BCDSE//Bf&#10;O9cK0nmySOH3TrwCcv0DAAD//wMAUEsBAi0AFAAGAAgAAAAhANvh9svuAAAAhQEAABMAAAAAAAAA&#10;AAAAAAAAAAAAAFtDb250ZW50X1R5cGVzXS54bWxQSwECLQAUAAYACAAAACEAWvQsW78AAAAVAQAA&#10;CwAAAAAAAAAAAAAAAAAfAQAAX3JlbHMvLnJlbHNQSwECLQAUAAYACAAAACEAbJCRqMYAAADeAAAA&#10;DwAAAAAAAAAAAAAAAAAHAgAAZHJzL2Rvd25yZXYueG1sUEsFBgAAAAADAAMAtwAAAPoCAAAAAA==&#10;" filled="f" stroked="f">
                  <v:textbox inset="0,0,0,0">
                    <w:txbxContent>
                      <w:p w14:paraId="08AE0980" w14:textId="77777777" w:rsidR="00B32EF2" w:rsidRDefault="00000000">
                        <w:r>
                          <w:rPr>
                            <w:rFonts w:ascii="Arial" w:eastAsia="Arial" w:hAnsi="Arial" w:cs="Arial"/>
                            <w:b/>
                            <w:i/>
                            <w:sz w:val="18"/>
                          </w:rPr>
                          <w:t>NORME RICHIAMATE</w:t>
                        </w:r>
                      </w:p>
                    </w:txbxContent>
                  </v:textbox>
                </v:rect>
                <v:rect id="Rectangle 23063" o:spid="_x0000_s6849" style="position:absolute;left:-11871;top:49098;width:51019;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DQzxgAAAN4AAAAPAAAAZHJzL2Rvd25yZXYueG1sRI9Pi8Iw&#10;FMTvC36H8ARva6qCSDWKKGIPe1n/gMdH82yrzUtooq376TcLCx6HmfkNs1h1phZPanxlWcFomIAg&#10;zq2uuFBwOu4+ZyB8QNZYWyYFL/KwWvY+Fphq2/I3PQ+hEBHCPkUFZQguldLnJRn0Q+uIo3e1jcEQ&#10;ZVNI3WAb4aaW4ySZSoMVx4USHW1Kyu+Hh1Fw2bLLdq3Mrz8b93XLZvX+cTorNeh36zmIQF14h//b&#10;mVYwniTTCfzdiVdALn8BAAD//wMAUEsBAi0AFAAGAAgAAAAhANvh9svuAAAAhQEAABMAAAAAAAAA&#10;AAAAAAAAAAAAAFtDb250ZW50X1R5cGVzXS54bWxQSwECLQAUAAYACAAAACEAWvQsW78AAAAVAQAA&#10;CwAAAAAAAAAAAAAAAAAfAQAAX3JlbHMvLnJlbHNQSwECLQAUAAYACAAAACEAA9w0M8YAAADeAAAA&#10;DwAAAAAAAAAAAAAAAAAHAgAAZHJzL2Rvd25yZXYueG1sUEsFBgAAAAADAAMAtwAAAPoCAAAAAA==&#10;" filled="f" stroked="f">
                  <v:textbox inset="0,0,0,0">
                    <w:txbxContent>
                      <w:p w14:paraId="36180F40" w14:textId="77777777" w:rsidR="00B32EF2" w:rsidRDefault="00000000">
                        <w:r>
                          <w:rPr>
                            <w:rFonts w:ascii="Arial" w:eastAsia="Arial" w:hAnsi="Arial" w:cs="Arial"/>
                            <w:i/>
                            <w:sz w:val="18"/>
                          </w:rPr>
                          <w:t xml:space="preserve">art. 8 regio decreto 1860/1925 recante “Modificazioni al regolamento per il </w:t>
                        </w:r>
                      </w:p>
                    </w:txbxContent>
                  </v:textbox>
                </v:rect>
                <v:rect id="Rectangle 23064" o:spid="_x0000_s6850" style="position:absolute;left:-11866;top:47829;width:51014;height:1414;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axHxwAAAN4AAAAPAAAAZHJzL2Rvd25yZXYueG1sRI9Pi8Iw&#10;FMTvgt8hPGFvmq67iFSjLIrYw17WP+Dx0TzbavMSmmirn36zsOBxmJnfMPNlZ2pxp8ZXlhW8jxIQ&#10;xLnVFRcKDvvNcArCB2SNtWVS8CAPy0W/N8dU25Z/6L4LhYgQ9ikqKENwqZQ+L8mgH1lHHL2zbQyG&#10;KJtC6gbbCDe1HCfJRBqsOC6U6GhVUn7d3YyC05pdtmllfn6u3Pclm9bb2+Go1Nug+5qBCNSFV/i/&#10;nWkF449k8gl/d+IVkItfAAAA//8DAFBLAQItABQABgAIAAAAIQDb4fbL7gAAAIUBAAATAAAAAAAA&#10;AAAAAAAAAAAAAABbQ29udGVudF9UeXBlc10ueG1sUEsBAi0AFAAGAAgAAAAhAFr0LFu/AAAAFQEA&#10;AAsAAAAAAAAAAAAAAAAAHwEAAF9yZWxzLy5yZWxzUEsBAi0AFAAGAAgAAAAhAIw1rEfHAAAA3gAA&#10;AA8AAAAAAAAAAAAAAAAABwIAAGRycy9kb3ducmV2LnhtbFBLBQYAAAAAAwADALcAAAD7AgAAAAA=&#10;" filled="f" stroked="f">
                  <v:textbox inset="0,0,0,0">
                    <w:txbxContent>
                      <w:p w14:paraId="33CBD9D7" w14:textId="77777777" w:rsidR="00B32EF2" w:rsidRDefault="00000000">
                        <w:r>
                          <w:rPr>
                            <w:rFonts w:ascii="Arial" w:eastAsia="Arial" w:hAnsi="Arial" w:cs="Arial"/>
                            <w:i/>
                            <w:sz w:val="18"/>
                          </w:rPr>
                          <w:t xml:space="preserve">concorso di ammissione in magistratura contenuto nel R. decreto 19 luglio </w:t>
                        </w:r>
                      </w:p>
                    </w:txbxContent>
                  </v:textbox>
                </v:rect>
                <v:rect id="Rectangle 202263" o:spid="_x0000_s6851" style="position:absolute;left:34138;top:46559;width:10105;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lLpxwAAAN8AAAAPAAAAZHJzL2Rvd25yZXYueG1sRI9Ba8JA&#10;FITvBf/D8gRvdWMKItFVRJHm0IvWQo+P7DOJZt8u2dXE/npXEHocZuYbZrHqTSNu1PrasoLJOAFB&#10;XFhdc6ng+L17n4HwAVljY5kU3MnDajl4W2Cmbcd7uh1CKSKEfYYKqhBcJqUvKjLox9YRR+9kW4Mh&#10;yraUusUuwk0j0ySZSoM1x4UKHW0qKi6Hq1Hwu2WX7zpZnP427uucz5rP6/FHqdGwX89BBOrDf/jV&#10;zrWCNEnT6Qc8/8QvIJcPAAAA//8DAFBLAQItABQABgAIAAAAIQDb4fbL7gAAAIUBAAATAAAAAAAA&#10;AAAAAAAAAAAAAABbQ29udGVudF9UeXBlc10ueG1sUEsBAi0AFAAGAAgAAAAhAFr0LFu/AAAAFQEA&#10;AAsAAAAAAAAAAAAAAAAAHwEAAF9yZWxzLy5yZWxzUEsBAi0AFAAGAAgAAAAhAE4WUunHAAAA3wAA&#10;AA8AAAAAAAAAAAAAAAAABwIAAGRycy9kb3ducmV2LnhtbFBLBQYAAAAAAwADALcAAAD7AgAAAAA=&#10;" filled="f" stroked="f">
                  <v:textbox inset="0,0,0,0">
                    <w:txbxContent>
                      <w:p w14:paraId="396D4536" w14:textId="77777777" w:rsidR="00B32EF2" w:rsidRDefault="00000000">
                        <w:r>
                          <w:rPr>
                            <w:rFonts w:ascii="Arial" w:eastAsia="Arial" w:hAnsi="Arial" w:cs="Arial"/>
                            <w:i/>
                            <w:sz w:val="18"/>
                          </w:rPr>
                          <w:t>1924</w:t>
                        </w:r>
                      </w:p>
                    </w:txbxContent>
                  </v:textbox>
                </v:rect>
                <v:rect id="Rectangle 202264" o:spid="_x0000_s6852" style="position:absolute;left:26517;top:46559;width:10105;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qdxwAAAN8AAAAPAAAAZHJzL2Rvd25yZXYueG1sRI9Ba8JA&#10;FITvBf/D8gRvdWMoItFVRJHm0IvWQo+P7DOJZt8u2dXE/npXEHocZuYbZrHqTSNu1PrasoLJOAFB&#10;XFhdc6ng+L17n4HwAVljY5kU3MnDajl4W2Cmbcd7uh1CKSKEfYYKqhBcJqUvKjLox9YRR+9kW4Mh&#10;yraUusUuwk0j0ySZSoM1x4UKHW0qKi6Hq1Hwu2WX7zpZnP427uucz5rP6/FHqdGwX89BBOrDf/jV&#10;zrWCNEnT6Qc8/8QvIJcPAAAA//8DAFBLAQItABQABgAIAAAAIQDb4fbL7gAAAIUBAAATAAAAAAAA&#10;AAAAAAAAAAAAAABbQ29udGVudF9UeXBlc10ueG1sUEsBAi0AFAAGAAgAAAAhAFr0LFu/AAAAFQEA&#10;AAsAAAAAAAAAAAAAAAAAHwEAAF9yZWxzLy5yZWxzUEsBAi0AFAAGAAgAAAAhAMH/yp3HAAAA3wAA&#10;AA8AAAAAAAAAAAAAAAAABwIAAGRycy9kb3ducmV2LnhtbFBLBQYAAAAAAwADALcAAAD7AgAAAAA=&#10;" filled="f" stroked="f">
                  <v:textbox inset="0,0,0,0">
                    <w:txbxContent>
                      <w:p w14:paraId="4AC3599B" w14:textId="77777777" w:rsidR="00B32EF2" w:rsidRDefault="00000000">
                        <w:r>
                          <w:rPr>
                            <w:rFonts w:ascii="Arial" w:eastAsia="Arial" w:hAnsi="Arial" w:cs="Arial"/>
                            <w:i/>
                            <w:sz w:val="18"/>
                          </w:rPr>
                          <w:t>, n. 1218”.</w:t>
                        </w:r>
                      </w:p>
                    </w:txbxContent>
                  </v:textbox>
                </v:rect>
                <v:rect id="Rectangle 23066" o:spid="_x0000_s6853" style="position:absolute;left:4070;top:45290;width:35070;height:1414;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5erxgAAAN4AAAAPAAAAZHJzL2Rvd25yZXYueG1sRI9Ba8JA&#10;FITvBf/D8gre6qYWgqSuIoo0By/VCB4f2WeSmn27ZFcT/fXdQsHjMDPfMPPlYFpxo843lhW8TxIQ&#10;xKXVDVcKisP2bQbCB2SNrWVScCcPy8XoZY6Ztj1/020fKhEh7DNUUIfgMil9WZNBP7GOOHpn2xkM&#10;UXaV1B32EW5aOU2SVBpsOC7U6GhdU3nZX42C04Zdvu1leX6s3e4nn7Vf1+Ko1Ph1WH2CCDSEZ/i/&#10;nWsF048kTeHvTrwCcvELAAD//wMAUEsBAi0AFAAGAAgAAAAhANvh9svuAAAAhQEAABMAAAAAAAAA&#10;AAAAAAAAAAAAAFtDb250ZW50X1R5cGVzXS54bWxQSwECLQAUAAYACAAAACEAWvQsW78AAAAVAQAA&#10;CwAAAAAAAAAAAAAAAAAfAQAAX3JlbHMvLnJlbHNQSwECLQAUAAYACAAAACEAE6uXq8YAAADeAAAA&#10;DwAAAAAAAAAAAAAAAAAHAgAAZHJzL2Rvd25yZXYueG1sUEsFBgAAAAADAAMAtwAAAPoCAAAAAA==&#10;" filled="f" stroked="f">
                  <v:textbox inset="0,0,0,0">
                    <w:txbxContent>
                      <w:p w14:paraId="281B875F" w14:textId="77777777" w:rsidR="00B32EF2" w:rsidRDefault="00000000">
                        <w:r>
                          <w:rPr>
                            <w:rFonts w:ascii="Arial" w:eastAsia="Arial" w:hAnsi="Arial" w:cs="Arial"/>
                            <w:i/>
                            <w:sz w:val="18"/>
                          </w:rPr>
                          <w:t xml:space="preserve">art. 3 L. 241/1990 “Motivazione del provvedimento” </w:t>
                        </w:r>
                      </w:p>
                    </w:txbxContent>
                  </v:textbox>
                </v:rect>
                <v:rect id="Rectangle 202262" o:spid="_x0000_s6854" style="position:absolute;left:-12155;top:44020;width:51045;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vdyxwAAAN8AAAAPAAAAZHJzL2Rvd25yZXYueG1sRI9BawIx&#10;FITvhf6H8ArearY5iGyNIop0D15qFXp8bJ67q5uXsInu6q9vBKHHYWa+YWaLwbbiSl1oHGv4GGcg&#10;iEtnGq407H8271MQISIbbB2ThhsFWMxfX2aYG9fzN113sRIJwiFHDXWMPpcylDVZDGPniZN3dJ3F&#10;mGRXSdNhn+C2lSrLJtJiw2mhRk+rmsrz7mI1/K7ZF5telsf7ym9PxbT9uuwPWo/ehuUniEhD/A8/&#10;24XRoDKlJgoef9IXkPM/AAAA//8DAFBLAQItABQABgAIAAAAIQDb4fbL7gAAAIUBAAATAAAAAAAA&#10;AAAAAAAAAAAAAABbQ29udGVudF9UeXBlc10ueG1sUEsBAi0AFAAGAAgAAAAhAFr0LFu/AAAAFQEA&#10;AAsAAAAAAAAAAAAAAAAAHwEAAF9yZWxzLy5yZWxzUEsBAi0AFAAGAAgAAAAhACFa93LHAAAA3wAA&#10;AA8AAAAAAAAAAAAAAAAABwIAAGRycy9kb3ducmV2LnhtbFBLBQYAAAAAAwADALcAAAD7AgAAAAA=&#10;" filled="f" stroked="f">
                  <v:textbox inset="0,0,0,0">
                    <w:txbxContent>
                      <w:p w14:paraId="7F8C2D3F" w14:textId="77777777" w:rsidR="00B32EF2" w:rsidRDefault="00000000">
                        <w:r>
                          <w:rPr>
                            <w:rFonts w:ascii="Arial" w:eastAsia="Arial" w:hAnsi="Arial" w:cs="Arial"/>
                            <w:i/>
                            <w:sz w:val="18"/>
                          </w:rPr>
                          <w:t>. Ogni    provvedimento   amministrativo,   compresi   quelli   concernenti</w:t>
                        </w:r>
                      </w:p>
                    </w:txbxContent>
                  </v:textbox>
                </v:rect>
                <v:rect id="Rectangle 202261" o:spid="_x0000_s6855" style="position:absolute;left:25839;top:44020;width:51046;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GkFxgAAAN8AAAAPAAAAZHJzL2Rvd25yZXYueG1sRI9Pi8Iw&#10;FMTvgt8hvAVvmtqDSNco4iL24MV/4PHRPNuuzUtoou3upzcLCx6HmfkNs1j1phFPan1tWcF0koAg&#10;LqyuuVRwPm3HcxA+IGtsLJOCH/KwWg4HC8y07fhAz2MoRYSwz1BBFYLLpPRFRQb9xDri6N1sazBE&#10;2ZZSt9hFuGlkmiQzabDmuFCho01Fxf34MAquX+zybSeL2+/G7b/zebN7nC9KjT769SeIQH14h//b&#10;uVaQJmk6m8Lfn/gF5PIFAAD//wMAUEsBAi0AFAAGAAgAAAAhANvh9svuAAAAhQEAABMAAAAAAAAA&#10;AAAAAAAAAAAAAFtDb250ZW50X1R5cGVzXS54bWxQSwECLQAUAAYACAAAACEAWvQsW78AAAAVAQAA&#10;CwAAAAAAAAAAAAAAAAAfAQAAX3JlbHMvLnJlbHNQSwECLQAUAAYACAAAACEA0YhpBcYAAADfAAAA&#10;DwAAAAAAAAAAAAAAAAAHAgAAZHJzL2Rvd25yZXYueG1sUEsFBgAAAAADAAMAtwAAAPoCAAAAAA==&#10;" filled="f" stroked="f">
                  <v:textbox inset="0,0,0,0">
                    <w:txbxContent>
                      <w:p w14:paraId="7D091D4E" w14:textId="77777777" w:rsidR="00B32EF2" w:rsidRDefault="00000000">
                        <w:r>
                          <w:rPr>
                            <w:rFonts w:ascii="Arial" w:eastAsia="Arial" w:hAnsi="Arial" w:cs="Arial"/>
                            <w:i/>
                            <w:sz w:val="18"/>
                          </w:rPr>
                          <w:t>1</w:t>
                        </w:r>
                      </w:p>
                    </w:txbxContent>
                  </v:textbox>
                </v:rect>
                <v:rect id="Rectangle 23087" o:spid="_x0000_s6856" style="position:absolute;left:-49915;top:44020;width:51045;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9TKxwAAAN4AAAAPAAAAZHJzL2Rvd25yZXYueG1sRI9Pa8JA&#10;FMTvBb/D8gRvdaOFNkRXEUWaQy/1D3h8ZJ9JNPt2ya4m9tN3CwWPw8z8hpkve9OIO7W+tqxgMk5A&#10;EBdW11wqOOy3rykIH5A1NpZJwYM8LBeDlzlm2nb8TfddKEWEsM9QQRWCy6T0RUUG/dg64uidbWsw&#10;RNmWUrfYRbhp5DRJ3qXBmuNChY7WFRXX3c0oOG3Y5dtOFueftfu65GnzeTsclRoN+9UMRKA+PMP/&#10;7VwrmL4l6Qf83YlXQC5+AQAA//8DAFBLAQItABQABgAIAAAAIQDb4fbL7gAAAIUBAAATAAAAAAAA&#10;AAAAAAAAAAAAAABbQ29udGVudF9UeXBlc10ueG1sUEsBAi0AFAAGAAgAAAAhAFr0LFu/AAAAFQEA&#10;AAsAAAAAAAAAAAAAAAAAHwEAAF9yZWxzLy5yZWxzUEsBAi0AFAAGAAgAAAAhAMzr1MrHAAAA3gAA&#10;AA8AAAAAAAAAAAAAAAAABwIAAGRycy9kb3ducmV2LnhtbFBLBQYAAAAAAwADALcAAAD7AgAAAAA=&#10;" filled="f" stroked="f">
                  <v:textbox inset="0,0,0,0">
                    <w:txbxContent>
                      <w:p w14:paraId="2603DDE1" w14:textId="77777777" w:rsidR="00B32EF2" w:rsidRDefault="00000000">
                        <w:r>
                          <w:rPr>
                            <w:rFonts w:ascii="Arial" w:eastAsia="Arial" w:hAnsi="Arial" w:cs="Arial"/>
                            <w:i/>
                            <w:sz w:val="18"/>
                          </w:rPr>
                          <w:t xml:space="preserve"> </w:t>
                        </w:r>
                      </w:p>
                    </w:txbxContent>
                  </v:textbox>
                </v:rect>
                <v:rect id="Rectangle 23068" o:spid="_x0000_s6857" style="position:absolute;left:-11880;top:42750;width:51081;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KZCxAAAAN4AAAAPAAAAZHJzL2Rvd25yZXYueG1sRE/Pa8Iw&#10;FL4P/B/CE7zN1ApFOqOIUuxhl3UKOz6aZ9uteQlNtN3++uUw2PHj+73dT6YXDxp8Z1nBapmAIK6t&#10;7rhRcHkvnjcgfEDW2FsmBd/kYb+bPW0x13bkN3pUoRExhH2OCtoQXC6lr1sy6JfWEUfuZgeDIcKh&#10;kXrAMYabXqZJkkmDHceGFh0dW6q/qrtR8HFiVxajrG8/R/f6WW768/1yVWoxnw4vIAJN4V/85y61&#10;gnSdZHFvvBOvgNz9AgAA//8DAFBLAQItABQABgAIAAAAIQDb4fbL7gAAAIUBAAATAAAAAAAAAAAA&#10;AAAAAAAAAABbQ29udGVudF9UeXBlc10ueG1sUEsBAi0AFAAGAAgAAAAhAFr0LFu/AAAAFQEAAAsA&#10;AAAAAAAAAAAAAAAAHwEAAF9yZWxzLy5yZWxzUEsBAi0AFAAGAAgAAAAhAA14pkLEAAAA3gAAAA8A&#10;AAAAAAAAAAAAAAAABwIAAGRycy9kb3ducmV2LnhtbFBLBQYAAAAAAwADALcAAAD4AgAAAAA=&#10;" filled="f" stroked="f">
                  <v:textbox inset="0,0,0,0">
                    <w:txbxContent>
                      <w:p w14:paraId="79696115" w14:textId="77777777" w:rsidR="00B32EF2" w:rsidRDefault="00000000">
                        <w:r>
                          <w:rPr>
                            <w:rFonts w:ascii="Arial" w:eastAsia="Arial" w:hAnsi="Arial" w:cs="Arial"/>
                            <w:i/>
                            <w:sz w:val="18"/>
                          </w:rPr>
                          <w:t xml:space="preserve">l’organizzazione amministrativa,  lo  svolgimento  dei pubblici concorsi ed </w:t>
                        </w:r>
                      </w:p>
                    </w:txbxContent>
                  </v:textbox>
                </v:rect>
                <v:rect id="Rectangle 23069" o:spid="_x0000_s6858" style="position:absolute;left:-11885;top:41481;width:51104;height:1414;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APZxgAAAN4AAAAPAAAAZHJzL2Rvd25yZXYueG1sRI9Pi8Iw&#10;FMTvC36H8ARva7oKotUoi4tsD3vxH3h8NM+22ryEJtrqp98IC3scZuY3zGLVmVrcqfGVZQUfwwQE&#10;cW51xYWCw37zPgXhA7LG2jIpeJCH1bL3tsBU25a3dN+FQkQI+xQVlCG4VEqfl2TQD60jjt7ZNgZD&#10;lE0hdYNthJtajpJkIg1WHBdKdLQuKb/ubkbB6Ytdtmllfn6u3c8lm9bft8NRqUG/+5yDCNSF//Bf&#10;O9MKRuNkMoPXnXgF5PIXAAD//wMAUEsBAi0AFAAGAAgAAAAhANvh9svuAAAAhQEAABMAAAAAAAAA&#10;AAAAAAAAAAAAAFtDb250ZW50X1R5cGVzXS54bWxQSwECLQAUAAYACAAAACEAWvQsW78AAAAVAQAA&#10;CwAAAAAAAAAAAAAAAAAfAQAAX3JlbHMvLnJlbHNQSwECLQAUAAYACAAAACEAYjQD2cYAAADeAAAA&#10;DwAAAAAAAAAAAAAAAAAHAgAAZHJzL2Rvd25yZXYueG1sUEsFBgAAAAADAAMAtwAAAPoCAAAAAA==&#10;" filled="f" stroked="f">
                  <v:textbox inset="0,0,0,0">
                    <w:txbxContent>
                      <w:p w14:paraId="54D117E7" w14:textId="77777777" w:rsidR="00B32EF2" w:rsidRDefault="00000000">
                        <w:r>
                          <w:rPr>
                            <w:rFonts w:ascii="Arial" w:eastAsia="Arial" w:hAnsi="Arial" w:cs="Arial"/>
                            <w:i/>
                            <w:sz w:val="18"/>
                          </w:rPr>
                          <w:t xml:space="preserve">il  personale, deve  essere  motivato,  salvo che nelle ipotesi previste dal </w:t>
                        </w:r>
                      </w:p>
                    </w:txbxContent>
                  </v:textbox>
                </v:rect>
                <v:rect id="Rectangle 23070" o:spid="_x0000_s6859" style="position:absolute;left:33661;top:40211;width:5487;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zyZxQAAAN4AAAAPAAAAZHJzL2Rvd25yZXYueG1sRI/LisIw&#10;FIb3gu8QjuBOUx1wpBpFFJkuZjNewOWhObbV5iQ00dZ5erMYmOXPf+NbrjtTiyc1vrKsYDJOQBDn&#10;VldcKDgd96M5CB+QNdaWScGLPKxX/d4SU21b/qHnIRQijrBPUUEZgkul9HlJBv3YOuLoXW1jMETZ&#10;FFI32MZxU8tpksykwYrjQ4mOtiXl98PDKLjs2GX7VubX3637vmXz+utxOis1HHSbBYhAXfgP/7Uz&#10;rWD6kXxGgIgTUUCu3gAAAP//AwBQSwECLQAUAAYACAAAACEA2+H2y+4AAACFAQAAEwAAAAAAAAAA&#10;AAAAAAAAAAAAW0NvbnRlbnRfVHlwZXNdLnhtbFBLAQItABQABgAIAAAAIQBa9CxbvwAAABUBAAAL&#10;AAAAAAAAAAAAAAAAAB8BAABfcmVscy8ucmVsc1BLAQItABQABgAIAAAAIQB21zyZxQAAAN4AAAAP&#10;AAAAAAAAAAAAAAAAAAcCAABkcnMvZG93bnJldi54bWxQSwUGAAAAAAMAAwC3AAAA+QIAAAAA&#10;" filled="f" stroked="f">
                  <v:textbox inset="0,0,0,0">
                    <w:txbxContent>
                      <w:p w14:paraId="25271A70" w14:textId="77777777" w:rsidR="00B32EF2" w:rsidRDefault="00000000">
                        <w:r>
                          <w:rPr>
                            <w:rFonts w:ascii="Arial" w:eastAsia="Arial" w:hAnsi="Arial" w:cs="Arial"/>
                            <w:i/>
                            <w:sz w:val="18"/>
                          </w:rPr>
                          <w:t>comma.</w:t>
                        </w:r>
                      </w:p>
                    </w:txbxContent>
                  </v:textbox>
                </v:rect>
                <v:rect id="Rectangle 23071" o:spid="_x0000_s6860" style="position:absolute;left:-11888;top:38942;width:51087;height:1414;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5kCxgAAAN4AAAAPAAAAZHJzL2Rvd25yZXYueG1sRI9Ba8JA&#10;FITvBf/D8gre6kYLVqKrFEWagxetBY+P7DOJZt8u2dVEf70rFDwOM/MNM1t0phZXanxlWcFwkIAg&#10;zq2uuFCw/11/TED4gKyxtkwKbuRhMe+9zTDVtuUtXXehEBHCPkUFZQguldLnJRn0A+uIo3e0jcEQ&#10;ZVNI3WAb4aaWoyQZS4MVx4USHS1Lys+7i1FwWLHL1q3Mj/el25yySf1z2f8p1X/vvqcgAnXhFf5v&#10;Z1rB6DP5GsLzTrwCcv4AAAD//wMAUEsBAi0AFAAGAAgAAAAhANvh9svuAAAAhQEAABMAAAAAAAAA&#10;AAAAAAAAAAAAAFtDb250ZW50X1R5cGVzXS54bWxQSwECLQAUAAYACAAAACEAWvQsW78AAAAVAQAA&#10;CwAAAAAAAAAAAAAAAAAfAQAAX3JlbHMvLnJlbHNQSwECLQAUAAYACAAAACEAGZuZAsYAAADeAAAA&#10;DwAAAAAAAAAAAAAAAAAHAgAAZHJzL2Rvd25yZXYueG1sUEsFBgAAAAADAAMAtwAAAPoCAAAAAA==&#10;" filled="f" stroked="f">
                  <v:textbox inset="0,0,0,0">
                    <w:txbxContent>
                      <w:p w14:paraId="463605FF" w14:textId="77777777" w:rsidR="00B32EF2" w:rsidRDefault="00000000">
                        <w:r>
                          <w:rPr>
                            <w:rFonts w:ascii="Arial" w:eastAsia="Arial" w:hAnsi="Arial" w:cs="Arial"/>
                            <w:i/>
                            <w:sz w:val="18"/>
                          </w:rPr>
                          <w:t xml:space="preserve"> 2. La   motivazione  deve  indicare  i  presupposti  di  fatto  e  le  ragioni </w:t>
                        </w:r>
                      </w:p>
                    </w:txbxContent>
                  </v:textbox>
                </v:rect>
                <v:rect id="Rectangle 23088" o:spid="_x0000_s6861" style="position:absolute;left:-11571;top:37672;width:51086;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EC4wwAAAN4AAAAPAAAAZHJzL2Rvd25yZXYueG1sRE/LisIw&#10;FN0L8w/hDsxO01GQUo0iDmIXs/EFLi/Nta02N6GJtjNfbxaCy8N5z5e9acSDWl9bVvA9SkAQF1bX&#10;XCo4HjbDFIQPyBoby6TgjzwsFx+DOWbadryjxz6UIoawz1BBFYLLpPRFRQb9yDriyF1sazBE2JZS&#10;t9jFcNPIcZJMpcGaY0OFjtYVFbf93Sg4/7DLN50sLv9r93vN02Z7P56U+vrsVzMQgfrwFr/cuVYw&#10;niRp3BvvxCsgF08AAAD//wMAUEsBAi0AFAAGAAgAAAAhANvh9svuAAAAhQEAABMAAAAAAAAAAAAA&#10;AAAAAAAAAFtDb250ZW50X1R5cGVzXS54bWxQSwECLQAUAAYACAAAACEAWvQsW78AAAAVAQAACwAA&#10;AAAAAAAAAAAAAAAfAQAAX3JlbHMvLnJlbHNQSwECLQAUAAYACAAAACEAvXRAuMMAAADeAAAADwAA&#10;AAAAAAAAAAAAAAAHAgAAZHJzL2Rvd25yZXYueG1sUEsFBgAAAAADAAMAtwAAAPcCAAAAAA==&#10;" filled="f" stroked="f">
                  <v:textbox inset="0,0,0,0">
                    <w:txbxContent>
                      <w:p w14:paraId="4F9106B2" w14:textId="77777777" w:rsidR="00B32EF2" w:rsidRDefault="00000000">
                        <w:r>
                          <w:rPr>
                            <w:rFonts w:ascii="Arial" w:eastAsia="Arial" w:hAnsi="Arial" w:cs="Arial"/>
                            <w:i/>
                            <w:sz w:val="18"/>
                          </w:rPr>
                          <w:t>guiridiche che  hanno  determinato  la  decisione  della  amministrazione,</w:t>
                        </w:r>
                      </w:p>
                    </w:txbxContent>
                  </v:textbox>
                </v:rect>
                <v:rect id="Rectangle 23089" o:spid="_x0000_s6862" style="position:absolute;left:-49925;top:37672;width:51086;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OUjxwAAAN4AAAAPAAAAZHJzL2Rvd25yZXYueG1sRI9Pa8JA&#10;FMTvBb/D8gRvdaOFEqOriCLNoZf6Bzw+ss8kmn27ZFcT++m7hUKPw8z8hlmsetOIB7W+tqxgMk5A&#10;EBdW11wqOB52rykIH5A1NpZJwZM8rJaDlwVm2nb8RY99KEWEsM9QQRWCy6T0RUUG/dg64uhdbGsw&#10;RNmWUrfYRbhp5DRJ3qXBmuNChY42FRW3/d0oOG/Z5btOFpfvjfu85mnzcT+elBoN+/UcRKA+/If/&#10;2rlWMH1L0hn83olXQC5/AAAA//8DAFBLAQItABQABgAIAAAAIQDb4fbL7gAAAIUBAAATAAAAAAAA&#10;AAAAAAAAAAAAAABbQ29udGVudF9UeXBlc10ueG1sUEsBAi0AFAAGAAgAAAAhAFr0LFu/AAAAFQEA&#10;AAsAAAAAAAAAAAAAAAAAHwEAAF9yZWxzLy5yZWxzUEsBAi0AFAAGAAgAAAAhANI45SPHAAAA3gAA&#10;AA8AAAAAAAAAAAAAAAAABwIAAGRycy9kb3ducmV2LnhtbFBLBQYAAAAAAwADALcAAAD7AgAAAAA=&#10;" filled="f" stroked="f">
                  <v:textbox inset="0,0,0,0">
                    <w:txbxContent>
                      <w:p w14:paraId="5D466C88" w14:textId="77777777" w:rsidR="00B32EF2" w:rsidRDefault="00000000">
                        <w:r>
                          <w:rPr>
                            <w:rFonts w:ascii="Arial" w:eastAsia="Arial" w:hAnsi="Arial" w:cs="Arial"/>
                            <w:i/>
                            <w:sz w:val="18"/>
                          </w:rPr>
                          <w:t xml:space="preserve"> </w:t>
                        </w:r>
                      </w:p>
                    </w:txbxContent>
                  </v:textbox>
                </v:rect>
                <v:rect id="Rectangle 23073" o:spid="_x0000_s6863" style="position:absolute;left:10588;top:36402;width:28552;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aLuxwAAAN4AAAAPAAAAZHJzL2Rvd25yZXYueG1sRI9Pi8Iw&#10;FMTvC36H8ARva7oKu1KNsihiD17WP+Dx0TzbavMSmmirn36zsOBxmJnfMLNFZ2pxp8ZXlhV8DBMQ&#10;xLnVFRcKDvv1+wSED8gaa8uk4EEeFvPe2wxTbVv+ofsuFCJC2KeooAzBpVL6vCSDfmgdcfTOtjEY&#10;omwKqRtsI9zUcpQkn9JgxXGhREfLkvLr7mYUnFbssnUr8/Nz6baXbFJvboejUoN+9z0FEagLr/B/&#10;O9MKRuPkawx/d+IVkPNfAAAA//8DAFBLAQItABQABgAIAAAAIQDb4fbL7gAAAIUBAAATAAAAAAAA&#10;AAAAAAAAAAAAAABbQ29udGVudF9UeXBlc10ueG1sUEsBAi0AFAAGAAgAAAAhAFr0LFu/AAAAFQEA&#10;AAsAAAAAAAAAAAAAAAAAHwEAAF9yZWxzLy5yZWxzUEsBAi0AFAAGAAgAAAAhAIYFou7HAAAA3gAA&#10;AA8AAAAAAAAAAAAAAAAABwIAAGRycy9kb3ducmV2LnhtbFBLBQYAAAAAAwADALcAAAD7AgAAAAA=&#10;" filled="f" stroked="f">
                  <v:textbox inset="0,0,0,0">
                    <w:txbxContent>
                      <w:p w14:paraId="3353392A" w14:textId="77777777" w:rsidR="00B32EF2" w:rsidRDefault="00000000">
                        <w:r>
                          <w:rPr>
                            <w:rFonts w:ascii="Arial" w:eastAsia="Arial" w:hAnsi="Arial" w:cs="Arial"/>
                            <w:i/>
                            <w:sz w:val="18"/>
                          </w:rPr>
                          <w:t xml:space="preserve">in relazione alle risultanze dell’istruttoria.  </w:t>
                        </w:r>
                      </w:p>
                    </w:txbxContent>
                  </v:textbox>
                </v:rect>
                <v:rect id="Rectangle 202259" o:spid="_x0000_s6864" style="position:absolute;left:26088;top:35133;width:50044;height:1414;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q++xwAAAN8AAAAPAAAAZHJzL2Rvd25yZXYueG1sRI9Ba8JA&#10;FITvBf/D8gRvdWOgxUZXEUWag5daBY+P7DOJZt8u2dVEf323UOhxmJlvmPmyN424U+trywom4wQE&#10;cWF1zaWCw/f2dQrCB2SNjWVS8CAPy8XgZY6Zth1/0X0fShEh7DNUUIXgMil9UZFBP7aOOHpn2xoM&#10;Ubal1C12EW4amSbJuzRYc1yo0NG6ouK6vxkFpw27fNvJ4vxcu90lnzaft8NRqdGwX81ABOrDf/iv&#10;nWsFaZKmbx/w+yd+Abn4AQAA//8DAFBLAQItABQABgAIAAAAIQDb4fbL7gAAAIUBAAATAAAAAAAA&#10;AAAAAAAAAAAAAABbQ29udGVudF9UeXBlc10ueG1sUEsBAi0AFAAGAAgAAAAhAFr0LFu/AAAAFQEA&#10;AAsAAAAAAAAAAAAAAAAAHwEAAF9yZWxzLy5yZWxzUEsBAi0AFAAGAAgAAAAhAOGSr77HAAAA3wAA&#10;AA8AAAAAAAAAAAAAAAAABwIAAGRycy9kb3ducmV2LnhtbFBLBQYAAAAAAwADALcAAAD7AgAAAAA=&#10;" filled="f" stroked="f">
                  <v:textbox inset="0,0,0,0">
                    <w:txbxContent>
                      <w:p w14:paraId="091E6EBA" w14:textId="77777777" w:rsidR="00B32EF2" w:rsidRDefault="00000000">
                        <w:r>
                          <w:rPr>
                            <w:rFonts w:ascii="Arial" w:eastAsia="Arial" w:hAnsi="Arial" w:cs="Arial"/>
                            <w:i/>
                            <w:sz w:val="18"/>
                          </w:rPr>
                          <w:t>3</w:t>
                        </w:r>
                      </w:p>
                    </w:txbxContent>
                  </v:textbox>
                </v:rect>
                <v:rect id="Rectangle 202260" o:spid="_x0000_s6865" style="position:absolute;left:-11567;top:35133;width:50044;height:1414;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yexgAAAN8AAAAPAAAAZHJzL2Rvd25yZXYueG1sRI+7asMw&#10;FIb3Qt5BnEC3Ro4HExwroSSEeMhSN4WOB+v4klpHwlJit09fDYWOP/+Nr9jPZhAPGn1vWcF6lYAg&#10;rq3uuVVwfT+9bED4gKxxsEwKvsnDfrd4KjDXduI3elShFXGEfY4KuhBcLqWvOzLoV9YRR6+xo8EQ&#10;5dhKPeIUx80g0yTJpMGe40OHjg4d1V/V3Sj4PLIrT5Osm5+Du9zKzXC+Xz+Uel7Or1sQgebwH/5r&#10;l1pBmqRpFgkiT2QBufsFAAD//wMAUEsBAi0AFAAGAAgAAAAhANvh9svuAAAAhQEAABMAAAAAAAAA&#10;AAAAAAAAAAAAAFtDb250ZW50X1R5cGVzXS54bWxQSwECLQAUAAYACAAAACEAWvQsW78AAAAVAQAA&#10;CwAAAAAAAAAAAAAAAAAfAQAAX3JlbHMvLnJlbHNQSwECLQAUAAYACAAAACEAvsTMnsYAAADfAAAA&#10;DwAAAAAAAAAAAAAAAAAHAgAAZHJzL2Rvd25yZXYueG1sUEsFBgAAAAADAAMAtwAAAPoCAAAAAA==&#10;" filled="f" stroked="f">
                  <v:textbox inset="0,0,0,0">
                    <w:txbxContent>
                      <w:p w14:paraId="33A98126" w14:textId="77777777" w:rsidR="00B32EF2" w:rsidRDefault="00000000">
                        <w:r>
                          <w:rPr>
                            <w:rFonts w:ascii="Arial" w:eastAsia="Arial" w:hAnsi="Arial" w:cs="Arial"/>
                            <w:i/>
                            <w:sz w:val="18"/>
                          </w:rPr>
                          <w:t>. La  motivazione  non  è  richiesta per gli atti normativi e per quelli a con</w:t>
                        </w:r>
                      </w:p>
                    </w:txbxContent>
                  </v:textbox>
                </v:rect>
                <v:rect id="Rectangle 23075" o:spid="_x0000_s6866" style="position:absolute;left:981;top:35128;width:507;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J8BxwAAAN4AAAAPAAAAZHJzL2Rvd25yZXYueG1sRI9Pa8JA&#10;FMTvBb/D8gRvdVOlKtFVikXMoZf6Bzw+ss8kNvt2ya4m9tN3C4LHYWZ+wyxWnanFjRpfWVbwNkxA&#10;EOdWV1woOOw3rzMQPiBrrC2Tgjt5WC17LwtMtW35m267UIgIYZ+igjIEl0rp85IM+qF1xNE728Zg&#10;iLIppG6wjXBTy1GSTKTBiuNCiY7WJeU/u6tRcPpkl21amZ9/1+7rks3q7fVwVGrQ7z7mIAJ14Rl+&#10;tDOtYDROpu/wfydeAbn8AwAA//8DAFBLAQItABQABgAIAAAAIQDb4fbL7gAAAIUBAAATAAAAAAAA&#10;AAAAAAAAAAAAAABbQ29udGVudF9UeXBlc10ueG1sUEsBAi0AFAAGAAgAAAAhAFr0LFu/AAAAFQEA&#10;AAsAAAAAAAAAAAAAAAAAHwEAAF9yZWxzLy5yZWxzUEsBAi0AFAAGAAgAAAAhAGagnwHHAAAA3gAA&#10;AA8AAAAAAAAAAAAAAAAABwIAAGRycy9kb3ducmV2LnhtbFBLBQYAAAAAAwADALcAAAD7AgAAAAA=&#10;" filled="f" stroked="f">
                  <v:textbox inset="0,0,0,0">
                    <w:txbxContent>
                      <w:p w14:paraId="23F15DF6" w14:textId="77777777" w:rsidR="00B32EF2" w:rsidRDefault="00000000">
                        <w:r>
                          <w:rPr>
                            <w:rFonts w:ascii="Arial" w:eastAsia="Arial" w:hAnsi="Arial" w:cs="Arial"/>
                            <w:i/>
                            <w:sz w:val="18"/>
                          </w:rPr>
                          <w:t>-</w:t>
                        </w:r>
                      </w:p>
                    </w:txbxContent>
                  </v:textbox>
                </v:rect>
                <v:rect id="Rectangle 23076" o:spid="_x0000_s6867" style="position:absolute;left:28064;top:33859;width:11079;height:1414;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F2xwAAAN4AAAAPAAAAZHJzL2Rvd25yZXYueG1sRI9Pi8Iw&#10;FMTvgt8hPGFvmq4LrlSjLIrYw17WP+Dx0TzbavMSmmirn36zsOBxmJnfMPNlZ2pxp8ZXlhW8jxIQ&#10;xLnVFRcKDvvNcArCB2SNtWVS8CAPy0W/N8dU25Z/6L4LhYgQ9ikqKENwqZQ+L8mgH1lHHL2zbQyG&#10;KJtC6gbbCDe1HCfJRBqsOC6U6GhVUn7d3YyC05pdtmllfn6u3Pclm9bb2+Go1Nug+5qBCNSFV/i/&#10;nWkF44/kcwJ/d+IVkItfAAAA//8DAFBLAQItABQABgAIAAAAIQDb4fbL7gAAAIUBAAATAAAAAAAA&#10;AAAAAAAAAAAAAABbQ29udGVudF9UeXBlc10ueG1sUEsBAi0AFAAGAAgAAAAhAFr0LFu/AAAAFQEA&#10;AAsAAAAAAAAAAAAAAAAAHwEAAF9yZWxzLy5yZWxzUEsBAi0AFAAGAAgAAAAhAJZyAXbHAAAA3gAA&#10;AA8AAAAAAAAAAAAAAAAABwIAAGRycy9kb3ducmV2LnhtbFBLBQYAAAAAAwADALcAAAD7AgAAAAA=&#10;" filled="f" stroked="f">
                  <v:textbox inset="0,0,0,0">
                    <w:txbxContent>
                      <w:p w14:paraId="28121E9A" w14:textId="77777777" w:rsidR="00B32EF2" w:rsidRDefault="00000000">
                        <w:r>
                          <w:rPr>
                            <w:rFonts w:ascii="Arial" w:eastAsia="Arial" w:hAnsi="Arial" w:cs="Arial"/>
                            <w:i/>
                            <w:sz w:val="18"/>
                          </w:rPr>
                          <w:t>tenuto generale.</w:t>
                        </w:r>
                      </w:p>
                    </w:txbxContent>
                  </v:textbox>
                </v:rect>
                <v:rect id="Rectangle 202258" o:spid="_x0000_s6868" style="position:absolute;left:-11548;top:32589;width:50033;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golxQAAAN8AAAAPAAAAZHJzL2Rvd25yZXYueG1sRE89a8Mw&#10;EN0L+Q/iAtkaOYYW40YJxcHUQ5a6KXQ8rIvt1joJS4md/PpqKHR8vO/tfjaDuNLoe8sKNusEBHFj&#10;dc+tgtNH+ZiB8AFZ42CZFNzIw363eNhiru3E73StQytiCPscFXQhuFxK33Rk0K+tI47c2Y4GQ4Rj&#10;K/WIUww3g0yT5Fka7Dk2dOio6Kj5qS9GwdeBXVVOsjnfC3f8rrLh7XL6VGq1nF9fQASaw7/4z11p&#10;BWmSpk9xcPwTv4Dc/QIAAP//AwBQSwECLQAUAAYACAAAACEA2+H2y+4AAACFAQAAEwAAAAAAAAAA&#10;AAAAAAAAAAAAW0NvbnRlbnRfVHlwZXNdLnhtbFBLAQItABQABgAIAAAAIQBa9CxbvwAAABUBAAAL&#10;AAAAAAAAAAAAAAAAAB8BAABfcmVscy8ucmVsc1BLAQItABQABgAIAAAAIQCO3golxQAAAN8AAAAP&#10;AAAAAAAAAAAAAAAAAAcCAABkcnMvZG93bnJldi54bWxQSwUGAAAAAAMAAwC3AAAA+QIAAAAA&#10;" filled="f" stroked="f">
                  <v:textbox inset="0,0,0,0">
                    <w:txbxContent>
                      <w:p w14:paraId="04A3193F" w14:textId="77777777" w:rsidR="00B32EF2" w:rsidRDefault="00000000">
                        <w:r>
                          <w:rPr>
                            <w:rFonts w:ascii="Arial" w:eastAsia="Arial" w:hAnsi="Arial" w:cs="Arial"/>
                            <w:i/>
                            <w:sz w:val="18"/>
                          </w:rPr>
                          <w:t>. Se    le    ragioni    della    decisione   risultano   da   altro   atto dell’ammi</w:t>
                        </w:r>
                      </w:p>
                    </w:txbxContent>
                  </v:textbox>
                </v:rect>
                <v:rect id="Rectangle 202257" o:spid="_x0000_s6869" style="position:absolute;left:26091;top:32589;width:50033;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5XxwAAAN8AAAAPAAAAZHJzL2Rvd25yZXYueG1sRI9Ba8JA&#10;FITvBf/D8gRvdWOgrURXEUWag5daBY+P7DOJZt8u2dVEf323UOhxmJlvmPmyN424U+trywom4wQE&#10;cWF1zaWCw/f2dQrCB2SNjWVS8CAPy8XgZY6Zth1/0X0fShEh7DNUUIXgMil9UZFBP7aOOHpn2xoM&#10;Ubal1C12EW4amSbJuzRYc1yo0NG6ouK6vxkFpw27fNvJ4vxcu90lnzaft8NRqdGwX81ABOrDf/iv&#10;nWsFaZKmbx/w+yd+Abn4AQAA//8DAFBLAQItABQABgAIAAAAIQDb4fbL7gAAAIUBAAATAAAAAAAA&#10;AAAAAAAAAAAAAABbQ29udGVudF9UeXBlc10ueG1sUEsBAi0AFAAGAAgAAAAhAFr0LFu/AAAAFQEA&#10;AAsAAAAAAAAAAAAAAAAAHwEAAF9yZWxzLy5yZWxzUEsBAi0AFAAGAAgAAAAhAP9BnlfHAAAA3wAA&#10;AA8AAAAAAAAAAAAAAAAABwIAAGRycy9kb3ducmV2LnhtbFBLBQYAAAAAAwADALcAAAD7AgAAAAA=&#10;" filled="f" stroked="f">
                  <v:textbox inset="0,0,0,0">
                    <w:txbxContent>
                      <w:p w14:paraId="7199A417" w14:textId="77777777" w:rsidR="00B32EF2" w:rsidRDefault="00000000">
                        <w:r>
                          <w:rPr>
                            <w:rFonts w:ascii="Arial" w:eastAsia="Arial" w:hAnsi="Arial" w:cs="Arial"/>
                            <w:i/>
                            <w:sz w:val="18"/>
                          </w:rPr>
                          <w:t>4</w:t>
                        </w:r>
                      </w:p>
                    </w:txbxContent>
                  </v:textbox>
                </v:rect>
                <v:rect id="Rectangle 23078" o:spid="_x0000_s6870" style="position:absolute;left:981;top:32589;width:507;height:1414;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CfwwAAAN4AAAAPAAAAZHJzL2Rvd25yZXYueG1sRE/LisIw&#10;FN0L/kO4gjtNdcCRahRRZLqYzfgAl5fm2labm9BEW+frzWJglofzXq47U4snNb6yrGAyTkAQ51ZX&#10;XCg4HfejOQgfkDXWlknBizysV/3eElNtW/6h5yEUIoawT1FBGYJLpfR5SQb92DriyF1tYzBE2BRS&#10;N9jGcFPLaZLMpMGKY0OJjrYl5ffDwyi47Nhl+1bm19+t+75l8/rrcTorNRx0mwWIQF34F/+5M61g&#10;+pF8xr3xTrwCcvUGAAD//wMAUEsBAi0AFAAGAAgAAAAhANvh9svuAAAAhQEAABMAAAAAAAAAAAAA&#10;AAAAAAAAAFtDb250ZW50X1R5cGVzXS54bWxQSwECLQAUAAYACAAAACEAWvQsW78AAAAVAQAACwAA&#10;AAAAAAAAAAAAAAAfAQAAX3JlbHMvLnJlbHNQSwECLQAUAAYACAAAACEAiKEwn8MAAADeAAAADwAA&#10;AAAAAAAAAAAAAAAHAgAAZHJzL2Rvd25yZXYueG1sUEsFBgAAAAADAAMAtwAAAPcCAAAAAA==&#10;" filled="f" stroked="f">
                  <v:textbox inset="0,0,0,0">
                    <w:txbxContent>
                      <w:p w14:paraId="5B368CEB" w14:textId="77777777" w:rsidR="00B32EF2" w:rsidRDefault="00000000">
                        <w:r>
                          <w:rPr>
                            <w:rFonts w:ascii="Arial" w:eastAsia="Arial" w:hAnsi="Arial" w:cs="Arial"/>
                            <w:i/>
                            <w:sz w:val="18"/>
                          </w:rPr>
                          <w:t>-</w:t>
                        </w:r>
                      </w:p>
                    </w:txbxContent>
                  </v:textbox>
                </v:rect>
                <v:rect id="Rectangle 23079" o:spid="_x0000_s6871" style="position:absolute;left:-10903;top:31319;width:50043;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ZUExwAAAN4AAAAPAAAAZHJzL2Rvd25yZXYueG1sRI9Ba8JA&#10;FITvQv/D8gredKNCtdFVRJHm4KXWQo+P7DOJZt8u2dWk/fVuQfA4zMw3zGLVmVrcqPGVZQWjYQKC&#10;OLe64kLB8Ws3mIHwAVljbZkU/JKH1fKlt8BU25Y/6XYIhYgQ9ikqKENwqZQ+L8mgH1pHHL2TbQyG&#10;KJtC6gbbCDe1HCfJmzRYcVwo0dGmpPxyuBoFP1t22a6V+elv4/bnbFZ/XI/fSvVfu/UcRKAuPMOP&#10;dqYVjCfJ9B3+78QrIJd3AAAA//8DAFBLAQItABQABgAIAAAAIQDb4fbL7gAAAIUBAAATAAAAAAAA&#10;AAAAAAAAAAAAAABbQ29udGVudF9UeXBlc10ueG1sUEsBAi0AFAAGAAgAAAAhAFr0LFu/AAAAFQEA&#10;AAsAAAAAAAAAAAAAAAAAHwEAAF9yZWxzLy5yZWxzUEsBAi0AFAAGAAgAAAAhAOftlQTHAAAA3gAA&#10;AA8AAAAAAAAAAAAAAAAABwIAAGRycy9kb3ducmV2LnhtbFBLBQYAAAAAAwADALcAAAD7AgAAAAA=&#10;" filled="f" stroked="f">
                  <v:textbox inset="0,0,0,0">
                    <w:txbxContent>
                      <w:p w14:paraId="7A122ACE" w14:textId="77777777" w:rsidR="00B32EF2" w:rsidRDefault="00000000">
                        <w:r>
                          <w:rPr>
                            <w:rFonts w:ascii="Arial" w:eastAsia="Arial" w:hAnsi="Arial" w:cs="Arial"/>
                            <w:i/>
                            <w:sz w:val="18"/>
                          </w:rPr>
                          <w:t>nistrazione richiamato   dalla   decisione   stessa,   insieme   alla  comunica</w:t>
                        </w:r>
                      </w:p>
                    </w:txbxContent>
                  </v:textbox>
                </v:rect>
                <v:rect id="Rectangle 23080" o:spid="_x0000_s6872" style="position:absolute;left:981;top:31319;width:507;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y+xAAAAN4AAAAPAAAAZHJzL2Rvd25yZXYueG1sRI/LisIw&#10;FIb3wrxDOAOz03QUpFSjiIPYxWy8gctDc2yrzUloou3M05uF4PLnv/HNl71pxINaX1tW8D1KQBAX&#10;VtdcKjgeNsMUhA/IGhvLpOCPPCwXH4M5Ztp2vKPHPpQijrDPUEEVgsuk9EVFBv3IOuLoXWxrMETZ&#10;llK32MVx08hxkkylwZrjQ4WO1hUVt/3dKDj/sMs3nSwu/2v3e83TZns/npT6+uxXMxCB+vAOv9q5&#10;VjCeJGkEiDgRBeTiCQAA//8DAFBLAQItABQABgAIAAAAIQDb4fbL7gAAAIUBAAATAAAAAAAAAAAA&#10;AAAAAAAAAABbQ29udGVudF9UeXBlc10ueG1sUEsBAi0AFAAGAAgAAAAhAFr0LFu/AAAAFQEAAAsA&#10;AAAAAAAAAAAAAAAAHwEAAF9yZWxzLy5yZWxzUEsBAi0AFAAGAAgAAAAhAEMCTL7EAAAA3gAAAA8A&#10;AAAAAAAAAAAAAAAABwIAAGRycy9kb3ducmV2LnhtbFBLBQYAAAAAAwADALcAAAD4AgAAAAA=&#10;" filled="f" stroked="f">
                  <v:textbox inset="0,0,0,0">
                    <w:txbxContent>
                      <w:p w14:paraId="13D074CB" w14:textId="77777777" w:rsidR="00B32EF2" w:rsidRDefault="00000000">
                        <w:r>
                          <w:rPr>
                            <w:rFonts w:ascii="Arial" w:eastAsia="Arial" w:hAnsi="Arial" w:cs="Arial"/>
                            <w:i/>
                            <w:sz w:val="18"/>
                          </w:rPr>
                          <w:t>-</w:t>
                        </w:r>
                      </w:p>
                    </w:txbxContent>
                  </v:textbox>
                </v:rect>
                <v:rect id="Rectangle 23081" o:spid="_x0000_s6873" style="position:absolute;left:-11861;top:30050;width:51014;height:1414;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klxgAAAN4AAAAPAAAAZHJzL2Rvd25yZXYueG1sRI9Ba8JA&#10;FITvQv/D8gredKNCCamriCLm0Es1hR4f2WeSmn27ZFeT+uvdQsHjMDPfMMv1YFpxo843lhXMpgkI&#10;4tLqhisFxWk/SUH4gKyxtUwKfsnDevUyWmKmbc+fdDuGSkQI+wwV1CG4TEpf1mTQT60jjt7ZdgZD&#10;lF0ldYd9hJtWzpPkTRpsOC7U6GhbU3k5Xo2C7x27fN/L8nzfuo+fPG0P1+JLqfHrsHkHEWgIz/B/&#10;O9cK5oskncHfnXgF5OoBAAD//wMAUEsBAi0AFAAGAAgAAAAhANvh9svuAAAAhQEAABMAAAAAAAAA&#10;AAAAAAAAAAAAAFtDb250ZW50X1R5cGVzXS54bWxQSwECLQAUAAYACAAAACEAWvQsW78AAAAVAQAA&#10;CwAAAAAAAAAAAAAAAAAfAQAAX3JlbHMvLnJlbHNQSwECLQAUAAYACAAAACEALE7pJcYAAADeAAAA&#10;DwAAAAAAAAAAAAAAAAAHAgAAZHJzL2Rvd25yZXYueG1sUEsFBgAAAAADAAMAtwAAAPoCAAAAAA==&#10;" filled="f" stroked="f">
                  <v:textbox inset="0,0,0,0">
                    <w:txbxContent>
                      <w:p w14:paraId="64322AA4" w14:textId="77777777" w:rsidR="00B32EF2" w:rsidRDefault="00000000">
                        <w:r>
                          <w:rPr>
                            <w:rFonts w:ascii="Arial" w:eastAsia="Arial" w:hAnsi="Arial" w:cs="Arial"/>
                            <w:i/>
                            <w:sz w:val="18"/>
                          </w:rPr>
                          <w:t xml:space="preserve">zione di  quest’ultima  deve  essere  indicato  e  reso disponibile, a  norma </w:t>
                        </w:r>
                      </w:p>
                    </w:txbxContent>
                  </v:textbox>
                </v:rect>
                <v:rect id="Rectangle 23082" o:spid="_x0000_s6874" style="position:absolute;left:1443;top:28780;width:37697;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HdSxwAAAN4AAAAPAAAAZHJzL2Rvd25yZXYueG1sRI9Ba8JA&#10;FITvBf/D8oTe6qYpSEjdhKKIOXjRKvT4yD6TtNm3S3Y1sb++Wyj0OMzMN8yqnEwvbjT4zrKC50UC&#10;gri2uuNGwel9+5SB8AFZY2+ZFNzJQ1nMHlaYazvygW7H0IgIYZ+jgjYEl0vp65YM+oV1xNG72MFg&#10;iHJopB5wjHDTyzRJltJgx3GhRUfrluqv49Uo+Niwq7ajrC/fa7f/rLJ+dz2dlXqcT2+vIAJN4T/8&#10;1660gvQlyVL4vROvgCx+AAAA//8DAFBLAQItABQABgAIAAAAIQDb4fbL7gAAAIUBAAATAAAAAAAA&#10;AAAAAAAAAAAAAABbQ29udGVudF9UeXBlc10ueG1sUEsBAi0AFAAGAAgAAAAhAFr0LFu/AAAAFQEA&#10;AAsAAAAAAAAAAAAAAAAAHwEAAF9yZWxzLy5yZWxzUEsBAi0AFAAGAAgAAAAhANycd1LHAAAA3gAA&#10;AA8AAAAAAAAAAAAAAAAABwIAAGRycy9kb3ducmV2LnhtbFBLBQYAAAAAAwADALcAAAD7AgAAAAA=&#10;" filled="f" stroked="f">
                  <v:textbox inset="0,0,0,0">
                    <w:txbxContent>
                      <w:p w14:paraId="1125C397" w14:textId="77777777" w:rsidR="00B32EF2" w:rsidRDefault="00000000">
                        <w:r>
                          <w:rPr>
                            <w:rFonts w:ascii="Arial" w:eastAsia="Arial" w:hAnsi="Arial" w:cs="Arial"/>
                            <w:i/>
                            <w:sz w:val="18"/>
                          </w:rPr>
                          <w:t xml:space="preserve">della presente legge, anche l’atto cui essa si richiama.  </w:t>
                        </w:r>
                      </w:p>
                    </w:txbxContent>
                  </v:textbox>
                </v:rect>
                <v:rect id="Rectangle 202255" o:spid="_x0000_s6875" style="position:absolute;left:25865;top:27510;width:50944;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6W7xwAAAN8AAAAPAAAAZHJzL2Rvd25yZXYueG1sRI9Ba8JA&#10;FITvBf/D8oTe6saARaKriCLNwUvVQo+P7DOJZt8u2dXE/vquIHgcZuYbZr7sTSNu1PrasoLxKAFB&#10;XFhdc6ngeNh+TEH4gKyxsUwK7uRhuRi8zTHTtuNvuu1DKSKEfYYKqhBcJqUvKjLoR9YRR+9kW4Mh&#10;yraUusUuwk0j0yT5lAZrjgsVOlpXVFz2V6Pgd8Mu33ayOP2t3e6cT5uv6/FHqfdhv5qBCNSHV/jZ&#10;zrWCNEnTyQQef+IXkIt/AAAA//8DAFBLAQItABQABgAIAAAAIQDb4fbL7gAAAIUBAAATAAAAAAAA&#10;AAAAAAAAAAAAAABbQ29udGVudF9UeXBlc10ueG1sUEsBAi0AFAAGAAgAAAAhAFr0LFu/AAAAFQEA&#10;AAsAAAAAAAAAAAAAAAAAHwEAAF9yZWxzLy5yZWxzUEsBAi0AFAAGAAgAAAAhAGDfpbvHAAAA3wAA&#10;AA8AAAAAAAAAAAAAAAAABwIAAGRycy9kb3ducmV2LnhtbFBLBQYAAAAAAwADALcAAAD7AgAAAAA=&#10;" filled="f" stroked="f">
                  <v:textbox inset="0,0,0,0">
                    <w:txbxContent>
                      <w:p w14:paraId="0866402D" w14:textId="77777777" w:rsidR="00B32EF2" w:rsidRDefault="00000000">
                        <w:r>
                          <w:rPr>
                            <w:rFonts w:ascii="Arial" w:eastAsia="Arial" w:hAnsi="Arial" w:cs="Arial"/>
                            <w:i/>
                            <w:sz w:val="18"/>
                          </w:rPr>
                          <w:t>5</w:t>
                        </w:r>
                      </w:p>
                    </w:txbxContent>
                  </v:textbox>
                </v:rect>
                <v:rect id="Rectangle 202256" o:spid="_x0000_s6876" style="position:absolute;left:-12517;top:27510;width:50943;height:141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TvMxwAAAN8AAAAPAAAAZHJzL2Rvd25yZXYueG1sRI9Ba8JA&#10;FITvBf/D8gRvdWOgItFVRJHm0IvWQo+P7DOJZt8u2dXE/npXEHocZuYbZrHqTSNu1PrasoLJOAFB&#10;XFhdc6ng+L17n4HwAVljY5kU3MnDajl4W2Cmbcd7uh1CKSKEfYYKqhBcJqUvKjLox9YRR+9kW4Mh&#10;yraUusUuwk0j0ySZSoM1x4UKHW0qKi6Hq1Hwu2WX7zpZnP427uucz5rP6/FHqdGwX89BBOrDf/jV&#10;zrWCNEnTjyk8/8QvIJcPAAAA//8DAFBLAQItABQABgAIAAAAIQDb4fbL7gAAAIUBAAATAAAAAAAA&#10;AAAAAAAAAAAAAABbQ29udGVudF9UeXBlc10ueG1sUEsBAi0AFAAGAAgAAAAhAFr0LFu/AAAAFQEA&#10;AAsAAAAAAAAAAAAAAAAAHwEAAF9yZWxzLy5yZWxzUEsBAi0AFAAGAAgAAAAhAJANO8zHAAAA3wAA&#10;AA8AAAAAAAAAAAAAAAAABwIAAGRycy9kb3ducmV2LnhtbFBLBQYAAAAAAwADALcAAAD7AgAAAAA=&#10;" filled="f" stroked="f">
                  <v:textbox inset="0,0,0,0">
                    <w:txbxContent>
                      <w:p w14:paraId="2C311ECE" w14:textId="77777777" w:rsidR="00B32EF2" w:rsidRDefault="00000000">
                        <w:r>
                          <w:rPr>
                            <w:rFonts w:ascii="Arial" w:eastAsia="Arial" w:hAnsi="Arial" w:cs="Arial"/>
                            <w:i/>
                            <w:sz w:val="18"/>
                          </w:rPr>
                          <w:t xml:space="preserve">. In  ogni  atto  notificato  al  destinatario  devono  essere  indicati il termine </w:t>
                        </w:r>
                      </w:p>
                    </w:txbxContent>
                  </v:textbox>
                </v:rect>
                <v:rect id="Rectangle 23084" o:spid="_x0000_s6877" style="position:absolute;left:15271;top:26241;width:23869;height:1414;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Uq9xwAAAN4AAAAPAAAAZHJzL2Rvd25yZXYueG1sRI9Pa8JA&#10;FMTvBb/D8gRvdaMtJURXEUWaQy/1D3h8ZJ9JNPt2ya4m9tN3CwWPw8z8hpkve9OIO7W+tqxgMk5A&#10;EBdW11wqOOy3rykIH5A1NpZJwYM8LBeDlzlm2nb8TfddKEWEsM9QQRWCy6T0RUUG/dg64uidbWsw&#10;RNmWUrfYRbhp5DRJPqTBmuNChY7WFRXX3c0oOG3Y5dtOFueftfu65GnzeTsclRoN+9UMRKA+PMP/&#10;7VwrmL4l6Tv83YlXQC5+AQAA//8DAFBLAQItABQABgAIAAAAIQDb4fbL7gAAAIUBAAATAAAAAAAA&#10;AAAAAAAAAAAAAABbQ29udGVudF9UeXBlc10ueG1sUEsBAi0AFAAGAAgAAAAhAFr0LFu/AAAAFQEA&#10;AAsAAAAAAAAAAAAAAAAAHwEAAF9yZWxzLy5yZWxzUEsBAi0AFAAGAAgAAAAhADw5Sr3HAAAA3gAA&#10;AA8AAAAAAAAAAAAAAAAABwIAAGRycy9kb3ducmV2LnhtbFBLBQYAAAAAAwADALcAAAD7AgAAAAA=&#10;" filled="f" stroked="f">
                  <v:textbox inset="0,0,0,0">
                    <w:txbxContent>
                      <w:p w14:paraId="4CF87C93" w14:textId="77777777" w:rsidR="00B32EF2" w:rsidRDefault="00000000">
                        <w:r>
                          <w:rPr>
                            <w:rFonts w:ascii="Arial" w:eastAsia="Arial" w:hAnsi="Arial" w:cs="Arial"/>
                            <w:i/>
                            <w:sz w:val="18"/>
                          </w:rPr>
                          <w:t>e l’autorità cui è possibile ricorrere.</w:t>
                        </w:r>
                      </w:p>
                    </w:txbxContent>
                  </v:textbox>
                </v:rect>
                <v:shape id="Shape 23085" o:spid="_x0000_s6878" style="position:absolute;left:324;top:25936;width:39600;height:26639;visibility:visible;mso-wrap-style:square;v-text-anchor:top" coordsize="3960000,266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93HyAAAAN4AAAAPAAAAZHJzL2Rvd25yZXYueG1sRI9BawIx&#10;EIXvhf6HMAUvpWbV2tqtUUQRPJSKttDrsBl3024my2bU9d+bQqHHx5v3vXnTeedrdaI2usAGBv0M&#10;FHERrOPSwOfH+mECKgqyxTowGbhQhPns9maKuQ1n3tFpL6VKEI45GqhEmlzrWFTkMfZDQ5y8Q2g9&#10;SpJtqW2L5wT3tR5m2ZP26Dg1VNjQsqLiZ3/06Q05vEVn4/2Xe949fr+vXuxyK8b07rrFKyihTv6P&#10;/9Iba2A4yiZj+J2TGKBnVwAAAP//AwBQSwECLQAUAAYACAAAACEA2+H2y+4AAACFAQAAEwAAAAAA&#10;AAAAAAAAAAAAAAAAW0NvbnRlbnRfVHlwZXNdLnhtbFBLAQItABQABgAIAAAAIQBa9CxbvwAAABUB&#10;AAALAAAAAAAAAAAAAAAAAB8BAABfcmVscy8ucmVsc1BLAQItABQABgAIAAAAIQCPW93HyAAAAN4A&#10;AAAPAAAAAAAAAAAAAAAAAAcCAABkcnMvZG93bnJldi54bWxQSwUGAAAAAAMAAwC3AAAA/AIAAAAA&#10;" path="m,2663901r3960000,l3960000,,,,,2663901xe" filled="f" strokeweight="1pt">
                  <v:stroke miterlimit="1" joinstyle="miter"/>
                  <v:path arrowok="t" textboxrect="0,0,3960000,2663901"/>
                </v:shape>
                <w10:anchorlock/>
              </v:group>
            </w:pict>
          </mc:Fallback>
        </mc:AlternateContent>
      </w:r>
    </w:p>
    <w:p w14:paraId="040355C3" w14:textId="77777777" w:rsidR="00B32EF2" w:rsidRDefault="00000000">
      <w:pPr>
        <w:spacing w:after="0"/>
        <w:ind w:left="-357" w:right="-306"/>
      </w:pPr>
      <w:r>
        <w:rPr>
          <w:noProof/>
        </w:rPr>
        <w:lastRenderedPageBreak/>
        <mc:AlternateContent>
          <mc:Choice Requires="wpg">
            <w:drawing>
              <wp:inline distT="0" distB="0" distL="0" distR="0" wp14:anchorId="3F5D99B5" wp14:editId="04DE908C">
                <wp:extent cx="3992202" cy="6262854"/>
                <wp:effectExtent l="0" t="0" r="0" b="0"/>
                <wp:docPr id="202293" name="Group 202293"/>
                <wp:cNvGraphicFramePr/>
                <a:graphic xmlns:a="http://schemas.openxmlformats.org/drawingml/2006/main">
                  <a:graphicData uri="http://schemas.microsoft.com/office/word/2010/wordprocessingGroup">
                    <wpg:wgp>
                      <wpg:cNvGrpSpPr/>
                      <wpg:grpSpPr>
                        <a:xfrm>
                          <a:off x="0" y="0"/>
                          <a:ext cx="3992202" cy="6262854"/>
                          <a:chOff x="0" y="0"/>
                          <a:chExt cx="3992202" cy="6262854"/>
                        </a:xfrm>
                      </wpg:grpSpPr>
                      <wps:wsp>
                        <wps:cNvPr id="23109" name="Rectangle 23109"/>
                        <wps:cNvSpPr/>
                        <wps:spPr>
                          <a:xfrm rot="-10799999">
                            <a:off x="1900887" y="-62190"/>
                            <a:ext cx="178369" cy="250646"/>
                          </a:xfrm>
                          <a:prstGeom prst="rect">
                            <a:avLst/>
                          </a:prstGeom>
                          <a:ln>
                            <a:noFill/>
                          </a:ln>
                        </wps:spPr>
                        <wps:txbx>
                          <w:txbxContent>
                            <w:p w14:paraId="0A9F3745" w14:textId="77777777" w:rsidR="00B32EF2" w:rsidRDefault="00000000">
                              <w:r>
                                <w:rPr>
                                  <w:rFonts w:ascii="Times New Roman" w:eastAsia="Times New Roman" w:hAnsi="Times New Roman" w:cs="Times New Roman"/>
                                </w:rPr>
                                <w:t>17</w:t>
                              </w:r>
                            </w:p>
                          </w:txbxContent>
                        </wps:txbx>
                        <wps:bodyPr horzOverflow="overflow" vert="horz" lIns="0" tIns="0" rIns="0" bIns="0" rtlCol="0">
                          <a:noAutofit/>
                        </wps:bodyPr>
                      </wps:wsp>
                      <wps:wsp>
                        <wps:cNvPr id="23110" name="Rectangle 23110"/>
                        <wps:cNvSpPr/>
                        <wps:spPr>
                          <a:xfrm rot="-10799999">
                            <a:off x="-1316833" y="6119964"/>
                            <a:ext cx="5309036" cy="142890"/>
                          </a:xfrm>
                          <a:prstGeom prst="rect">
                            <a:avLst/>
                          </a:prstGeom>
                          <a:ln>
                            <a:noFill/>
                          </a:ln>
                        </wps:spPr>
                        <wps:txbx>
                          <w:txbxContent>
                            <w:p w14:paraId="47F00A4F" w14:textId="77777777" w:rsidR="00B32EF2" w:rsidRDefault="00000000">
                              <w:r>
                                <w:rPr>
                                  <w:rFonts w:ascii="Arial" w:eastAsia="Arial" w:hAnsi="Arial" w:cs="Arial"/>
                                  <w:sz w:val="18"/>
                                </w:rPr>
                                <w:t xml:space="preserve">al comma 3 ovvero tra i componenti che abbiano esercitato, per almeno dieci </w:t>
                              </w:r>
                            </w:p>
                          </w:txbxContent>
                        </wps:txbx>
                        <wps:bodyPr horzOverflow="overflow" vert="horz" lIns="0" tIns="0" rIns="0" bIns="0" rtlCol="0">
                          <a:noAutofit/>
                        </wps:bodyPr>
                      </wps:wsp>
                      <wps:wsp>
                        <wps:cNvPr id="23111" name="Rectangle 23111"/>
                        <wps:cNvSpPr/>
                        <wps:spPr>
                          <a:xfrm rot="-10799999">
                            <a:off x="-1316773" y="5996634"/>
                            <a:ext cx="5308975" cy="142891"/>
                          </a:xfrm>
                          <a:prstGeom prst="rect">
                            <a:avLst/>
                          </a:prstGeom>
                          <a:ln>
                            <a:noFill/>
                          </a:ln>
                        </wps:spPr>
                        <wps:txbx>
                          <w:txbxContent>
                            <w:p w14:paraId="456C914E" w14:textId="77777777" w:rsidR="00B32EF2" w:rsidRDefault="00000000">
                              <w:r>
                                <w:rPr>
                                  <w:rFonts w:ascii="Arial" w:eastAsia="Arial" w:hAnsi="Arial" w:cs="Arial"/>
                                  <w:sz w:val="18"/>
                                </w:rPr>
                                <w:t xml:space="preserve">anni, le funzioni di giudice tributario di secondo grado, purché in possesso </w:t>
                              </w:r>
                            </w:p>
                          </w:txbxContent>
                        </wps:txbx>
                        <wps:bodyPr horzOverflow="overflow" vert="horz" lIns="0" tIns="0" rIns="0" bIns="0" rtlCol="0">
                          <a:noAutofit/>
                        </wps:bodyPr>
                      </wps:wsp>
                      <wps:wsp>
                        <wps:cNvPr id="23112" name="Rectangle 23112"/>
                        <wps:cNvSpPr/>
                        <wps:spPr>
                          <a:xfrm rot="-10799999">
                            <a:off x="-1316819" y="5873305"/>
                            <a:ext cx="5309021" cy="142889"/>
                          </a:xfrm>
                          <a:prstGeom prst="rect">
                            <a:avLst/>
                          </a:prstGeom>
                          <a:ln>
                            <a:noFill/>
                          </a:ln>
                        </wps:spPr>
                        <wps:txbx>
                          <w:txbxContent>
                            <w:p w14:paraId="71067C88" w14:textId="77777777" w:rsidR="00B32EF2" w:rsidRDefault="00000000">
                              <w:r>
                                <w:rPr>
                                  <w:rFonts w:ascii="Arial" w:eastAsia="Arial" w:hAnsi="Arial" w:cs="Arial"/>
                                  <w:sz w:val="18"/>
                                </w:rPr>
                                <w:t xml:space="preserve">del diploma di laurea in giurisprudenza o in economia e commercio, secondo </w:t>
                              </w:r>
                            </w:p>
                          </w:txbxContent>
                        </wps:txbx>
                        <wps:bodyPr horzOverflow="overflow" vert="horz" lIns="0" tIns="0" rIns="0" bIns="0" rtlCol="0">
                          <a:noAutofit/>
                        </wps:bodyPr>
                      </wps:wsp>
                      <wps:wsp>
                        <wps:cNvPr id="23113" name="Rectangle 23113"/>
                        <wps:cNvSpPr/>
                        <wps:spPr>
                          <a:xfrm rot="-10799999">
                            <a:off x="-1176778" y="5749976"/>
                            <a:ext cx="5168981" cy="142889"/>
                          </a:xfrm>
                          <a:prstGeom prst="rect">
                            <a:avLst/>
                          </a:prstGeom>
                          <a:ln>
                            <a:noFill/>
                          </a:ln>
                        </wps:spPr>
                        <wps:txbx>
                          <w:txbxContent>
                            <w:p w14:paraId="76144E01" w14:textId="77777777" w:rsidR="00B32EF2" w:rsidRDefault="00000000">
                              <w:r>
                                <w:rPr>
                                  <w:rFonts w:ascii="Arial" w:eastAsia="Arial" w:hAnsi="Arial" w:cs="Arial"/>
                                  <w:sz w:val="18"/>
                                </w:rPr>
                                <w:t>la graduatoria redatta sulla base delle disposizioni contenute nell’articolo 17.</w:t>
                              </w:r>
                            </w:p>
                          </w:txbxContent>
                        </wps:txbx>
                        <wps:bodyPr horzOverflow="overflow" vert="horz" lIns="0" tIns="0" rIns="0" bIns="0" rtlCol="0">
                          <a:noAutofit/>
                        </wps:bodyPr>
                      </wps:wsp>
                      <wps:wsp>
                        <wps:cNvPr id="23114" name="Rectangle 23114"/>
                        <wps:cNvSpPr/>
                        <wps:spPr>
                          <a:xfrm rot="-10799999">
                            <a:off x="1561254" y="5503316"/>
                            <a:ext cx="723762" cy="142889"/>
                          </a:xfrm>
                          <a:prstGeom prst="rect">
                            <a:avLst/>
                          </a:prstGeom>
                          <a:ln>
                            <a:noFill/>
                          </a:ln>
                        </wps:spPr>
                        <wps:txbx>
                          <w:txbxContent>
                            <w:p w14:paraId="442965A2" w14:textId="77777777" w:rsidR="00B32EF2" w:rsidRDefault="00000000">
                              <w:r>
                                <w:rPr>
                                  <w:rFonts w:ascii="Arial" w:eastAsia="Arial" w:hAnsi="Arial" w:cs="Arial"/>
                                  <w:b/>
                                  <w:sz w:val="18"/>
                                </w:rPr>
                                <w:t>Articolo 5</w:t>
                              </w:r>
                            </w:p>
                          </w:txbxContent>
                        </wps:txbx>
                        <wps:bodyPr horzOverflow="overflow" vert="horz" lIns="0" tIns="0" rIns="0" bIns="0" rtlCol="0">
                          <a:noAutofit/>
                        </wps:bodyPr>
                      </wps:wsp>
                      <wps:wsp>
                        <wps:cNvPr id="202285" name="Rectangle 202285"/>
                        <wps:cNvSpPr/>
                        <wps:spPr>
                          <a:xfrm rot="-10799999">
                            <a:off x="1216764" y="5379987"/>
                            <a:ext cx="1857413" cy="142889"/>
                          </a:xfrm>
                          <a:prstGeom prst="rect">
                            <a:avLst/>
                          </a:prstGeom>
                          <a:ln>
                            <a:noFill/>
                          </a:ln>
                        </wps:spPr>
                        <wps:txbx>
                          <w:txbxContent>
                            <w:p w14:paraId="688C6F72" w14:textId="77777777" w:rsidR="00B32EF2" w:rsidRDefault="00000000">
                              <w:r>
                                <w:rPr>
                                  <w:rFonts w:ascii="Arial" w:eastAsia="Arial" w:hAnsi="Arial" w:cs="Arial"/>
                                  <w:i/>
                                  <w:sz w:val="18"/>
                                </w:rPr>
                                <w:t xml:space="preserve">articolo 4 D.lgs. n. </w:t>
                              </w:r>
                            </w:p>
                          </w:txbxContent>
                        </wps:txbx>
                        <wps:bodyPr horzOverflow="overflow" vert="horz" lIns="0" tIns="0" rIns="0" bIns="0" rtlCol="0">
                          <a:noAutofit/>
                        </wps:bodyPr>
                      </wps:wsp>
                      <wps:wsp>
                        <wps:cNvPr id="202283" name="Rectangle 202283"/>
                        <wps:cNvSpPr/>
                        <wps:spPr>
                          <a:xfrm rot="-10799999">
                            <a:off x="2211517" y="5379987"/>
                            <a:ext cx="1857413" cy="142889"/>
                          </a:xfrm>
                          <a:prstGeom prst="rect">
                            <a:avLst/>
                          </a:prstGeom>
                          <a:ln>
                            <a:noFill/>
                          </a:ln>
                        </wps:spPr>
                        <wps:txbx>
                          <w:txbxContent>
                            <w:p w14:paraId="7F9D52A2"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284" name="Rectangle 202284"/>
                        <wps:cNvSpPr/>
                        <wps:spPr>
                          <a:xfrm rot="-10799999">
                            <a:off x="-144628" y="5379986"/>
                            <a:ext cx="1857414" cy="142889"/>
                          </a:xfrm>
                          <a:prstGeom prst="rect">
                            <a:avLst/>
                          </a:prstGeom>
                          <a:ln>
                            <a:noFill/>
                          </a:ln>
                        </wps:spPr>
                        <wps:txbx>
                          <w:txbxContent>
                            <w:p w14:paraId="0541A2B3"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3116" name="Rectangle 23116"/>
                        <wps:cNvSpPr/>
                        <wps:spPr>
                          <a:xfrm rot="-10799999">
                            <a:off x="-721208" y="5256657"/>
                            <a:ext cx="4354509" cy="142889"/>
                          </a:xfrm>
                          <a:prstGeom prst="rect">
                            <a:avLst/>
                          </a:prstGeom>
                          <a:ln>
                            <a:noFill/>
                          </a:ln>
                        </wps:spPr>
                        <wps:txbx>
                          <w:txbxContent>
                            <w:p w14:paraId="4A9E99BB" w14:textId="77777777" w:rsidR="00B32EF2" w:rsidRDefault="00000000">
                              <w:r>
                                <w:rPr>
                                  <w:rFonts w:ascii="Arial" w:eastAsia="Arial" w:hAnsi="Arial" w:cs="Arial"/>
                                  <w:b/>
                                  <w:sz w:val="18"/>
                                </w:rPr>
                                <w:t xml:space="preserve">I magistrati delle corti di giustizia tributaria di primo grado </w:t>
                              </w:r>
                            </w:p>
                          </w:txbxContent>
                        </wps:txbx>
                        <wps:bodyPr horzOverflow="overflow" vert="horz" lIns="0" tIns="0" rIns="0" bIns="0" rtlCol="0">
                          <a:noAutofit/>
                        </wps:bodyPr>
                      </wps:wsp>
                      <wps:wsp>
                        <wps:cNvPr id="202281" name="Rectangle 202281"/>
                        <wps:cNvSpPr/>
                        <wps:spPr>
                          <a:xfrm rot="-10799999">
                            <a:off x="2611364" y="5133327"/>
                            <a:ext cx="5309067" cy="142889"/>
                          </a:xfrm>
                          <a:prstGeom prst="rect">
                            <a:avLst/>
                          </a:prstGeom>
                          <a:ln>
                            <a:noFill/>
                          </a:ln>
                        </wps:spPr>
                        <wps:txbx>
                          <w:txbxContent>
                            <w:p w14:paraId="60A0EA31"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2282" name="Rectangle 202282"/>
                        <wps:cNvSpPr/>
                        <wps:spPr>
                          <a:xfrm rot="-10799999">
                            <a:off x="-1376048" y="5133327"/>
                            <a:ext cx="5309066" cy="142889"/>
                          </a:xfrm>
                          <a:prstGeom prst="rect">
                            <a:avLst/>
                          </a:prstGeom>
                          <a:ln>
                            <a:noFill/>
                          </a:ln>
                        </wps:spPr>
                        <wps:txbx>
                          <w:txbxContent>
                            <w:p w14:paraId="34FCE82B" w14:textId="77777777" w:rsidR="00B32EF2" w:rsidRDefault="00000000">
                              <w:r>
                                <w:rPr>
                                  <w:rFonts w:ascii="Arial" w:eastAsia="Arial" w:hAnsi="Arial" w:cs="Arial"/>
                                  <w:sz w:val="18"/>
                                </w:rPr>
                                <w:t xml:space="preserve">. La nomina a magistrato tributario si consegue mediante un concorso per </w:t>
                              </w:r>
                            </w:p>
                          </w:txbxContent>
                        </wps:txbx>
                        <wps:bodyPr horzOverflow="overflow" vert="horz" lIns="0" tIns="0" rIns="0" bIns="0" rtlCol="0">
                          <a:noAutofit/>
                        </wps:bodyPr>
                      </wps:wsp>
                      <wps:wsp>
                        <wps:cNvPr id="23118" name="Rectangle 23118"/>
                        <wps:cNvSpPr/>
                        <wps:spPr>
                          <a:xfrm rot="-10799999">
                            <a:off x="-1316803" y="5009998"/>
                            <a:ext cx="5309005" cy="142889"/>
                          </a:xfrm>
                          <a:prstGeom prst="rect">
                            <a:avLst/>
                          </a:prstGeom>
                          <a:ln>
                            <a:noFill/>
                          </a:ln>
                        </wps:spPr>
                        <wps:txbx>
                          <w:txbxContent>
                            <w:p w14:paraId="3836C660" w14:textId="77777777" w:rsidR="00B32EF2" w:rsidRDefault="00000000">
                              <w:r>
                                <w:rPr>
                                  <w:rFonts w:ascii="Arial" w:eastAsia="Arial" w:hAnsi="Arial" w:cs="Arial"/>
                                  <w:sz w:val="18"/>
                                </w:rPr>
                                <w:t xml:space="preserve">esami bandito in relazione ai posti vacanti e a quelli che si renderanno vacanti </w:t>
                              </w:r>
                            </w:p>
                          </w:txbxContent>
                        </wps:txbx>
                        <wps:bodyPr horzOverflow="overflow" vert="horz" lIns="0" tIns="0" rIns="0" bIns="0" rtlCol="0">
                          <a:noAutofit/>
                        </wps:bodyPr>
                      </wps:wsp>
                      <wps:wsp>
                        <wps:cNvPr id="23119" name="Rectangle 23119"/>
                        <wps:cNvSpPr/>
                        <wps:spPr>
                          <a:xfrm rot="-10799999">
                            <a:off x="-1316803" y="4886668"/>
                            <a:ext cx="5309005" cy="142889"/>
                          </a:xfrm>
                          <a:prstGeom prst="rect">
                            <a:avLst/>
                          </a:prstGeom>
                          <a:ln>
                            <a:noFill/>
                          </a:ln>
                        </wps:spPr>
                        <wps:txbx>
                          <w:txbxContent>
                            <w:p w14:paraId="4C441EBB" w14:textId="77777777" w:rsidR="00B32EF2" w:rsidRDefault="00000000">
                              <w:r>
                                <w:rPr>
                                  <w:rFonts w:ascii="Arial" w:eastAsia="Arial" w:hAnsi="Arial" w:cs="Arial"/>
                                  <w:sz w:val="18"/>
                                </w:rPr>
                                <w:t xml:space="preserve">nel quadriennio successivo, per i quali può essere attivata la procedura di </w:t>
                              </w:r>
                            </w:p>
                          </w:txbxContent>
                        </wps:txbx>
                        <wps:bodyPr horzOverflow="overflow" vert="horz" lIns="0" tIns="0" rIns="0" bIns="0" rtlCol="0">
                          <a:noAutofit/>
                        </wps:bodyPr>
                      </wps:wsp>
                      <wps:wsp>
                        <wps:cNvPr id="23120" name="Rectangle 23120"/>
                        <wps:cNvSpPr/>
                        <wps:spPr>
                          <a:xfrm rot="-10799999">
                            <a:off x="3061258" y="4763338"/>
                            <a:ext cx="929915" cy="142889"/>
                          </a:xfrm>
                          <a:prstGeom prst="rect">
                            <a:avLst/>
                          </a:prstGeom>
                          <a:ln>
                            <a:noFill/>
                          </a:ln>
                        </wps:spPr>
                        <wps:txbx>
                          <w:txbxContent>
                            <w:p w14:paraId="16A27B68" w14:textId="77777777" w:rsidR="00B32EF2" w:rsidRDefault="00000000">
                              <w:r>
                                <w:rPr>
                                  <w:rFonts w:ascii="Arial" w:eastAsia="Arial" w:hAnsi="Arial" w:cs="Arial"/>
                                  <w:sz w:val="18"/>
                                </w:rPr>
                                <w:t>reclutamento.</w:t>
                              </w:r>
                            </w:p>
                          </w:txbxContent>
                        </wps:txbx>
                        <wps:bodyPr horzOverflow="overflow" vert="horz" lIns="0" tIns="0" rIns="0" bIns="0" rtlCol="0">
                          <a:noAutofit/>
                        </wps:bodyPr>
                      </wps:wsp>
                      <wps:wsp>
                        <wps:cNvPr id="202279" name="Rectangle 202279"/>
                        <wps:cNvSpPr/>
                        <wps:spPr>
                          <a:xfrm rot="-10799999">
                            <a:off x="2635817" y="4640009"/>
                            <a:ext cx="5210512" cy="142889"/>
                          </a:xfrm>
                          <a:prstGeom prst="rect">
                            <a:avLst/>
                          </a:prstGeom>
                          <a:ln>
                            <a:noFill/>
                          </a:ln>
                        </wps:spPr>
                        <wps:txbx>
                          <w:txbxContent>
                            <w:p w14:paraId="2A2CA444"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2280" name="Rectangle 202280"/>
                        <wps:cNvSpPr/>
                        <wps:spPr>
                          <a:xfrm rot="-10799999">
                            <a:off x="-1282866" y="4640009"/>
                            <a:ext cx="5210512" cy="142889"/>
                          </a:xfrm>
                          <a:prstGeom prst="rect">
                            <a:avLst/>
                          </a:prstGeom>
                          <a:ln>
                            <a:noFill/>
                          </a:ln>
                        </wps:spPr>
                        <wps:txbx>
                          <w:txbxContent>
                            <w:p w14:paraId="49E9A584" w14:textId="77777777" w:rsidR="00B32EF2" w:rsidRDefault="00000000">
                              <w:r>
                                <w:rPr>
                                  <w:rFonts w:ascii="Arial" w:eastAsia="Arial" w:hAnsi="Arial" w:cs="Arial"/>
                                  <w:sz w:val="18"/>
                                </w:rPr>
                                <w:t>. Il concorso per esami consiste in una prova scritta, effettuata con le pro</w:t>
                              </w:r>
                            </w:p>
                          </w:txbxContent>
                        </wps:txbx>
                        <wps:bodyPr horzOverflow="overflow" vert="horz" lIns="0" tIns="0" rIns="0" bIns="0" rtlCol="0">
                          <a:noAutofit/>
                        </wps:bodyPr>
                      </wps:wsp>
                      <wps:wsp>
                        <wps:cNvPr id="23122" name="Rectangle 23122"/>
                        <wps:cNvSpPr/>
                        <wps:spPr>
                          <a:xfrm rot="-10799999">
                            <a:off x="19604" y="4640008"/>
                            <a:ext cx="50622" cy="142889"/>
                          </a:xfrm>
                          <a:prstGeom prst="rect">
                            <a:avLst/>
                          </a:prstGeom>
                          <a:ln>
                            <a:noFill/>
                          </a:ln>
                        </wps:spPr>
                        <wps:txbx>
                          <w:txbxContent>
                            <w:p w14:paraId="706E849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123" name="Rectangle 23123"/>
                        <wps:cNvSpPr/>
                        <wps:spPr>
                          <a:xfrm rot="-10799999">
                            <a:off x="-1317765" y="4516679"/>
                            <a:ext cx="5310997" cy="142889"/>
                          </a:xfrm>
                          <a:prstGeom prst="rect">
                            <a:avLst/>
                          </a:prstGeom>
                          <a:ln>
                            <a:noFill/>
                          </a:ln>
                        </wps:spPr>
                        <wps:txbx>
                          <w:txbxContent>
                            <w:p w14:paraId="7C399619" w14:textId="77777777" w:rsidR="00B32EF2" w:rsidRDefault="00000000">
                              <w:r>
                                <w:rPr>
                                  <w:rFonts w:ascii="Arial" w:eastAsia="Arial" w:hAnsi="Arial" w:cs="Arial"/>
                                  <w:sz w:val="18"/>
                                </w:rPr>
                                <w:t xml:space="preserve">cedure di cui all’articolo 8 del regio decreto 15 ottobre 1925, n. 1860, e in una </w:t>
                              </w:r>
                            </w:p>
                          </w:txbxContent>
                        </wps:txbx>
                        <wps:bodyPr horzOverflow="overflow" vert="horz" lIns="0" tIns="0" rIns="0" bIns="0" rtlCol="0">
                          <a:noAutofit/>
                        </wps:bodyPr>
                      </wps:wsp>
                      <wps:wsp>
                        <wps:cNvPr id="23124" name="Rectangle 23124"/>
                        <wps:cNvSpPr/>
                        <wps:spPr>
                          <a:xfrm rot="-10799999">
                            <a:off x="3185101" y="4393349"/>
                            <a:ext cx="806415" cy="142889"/>
                          </a:xfrm>
                          <a:prstGeom prst="rect">
                            <a:avLst/>
                          </a:prstGeom>
                          <a:ln>
                            <a:noFill/>
                          </a:ln>
                        </wps:spPr>
                        <wps:txbx>
                          <w:txbxContent>
                            <w:p w14:paraId="624E18EB" w14:textId="77777777" w:rsidR="00B32EF2" w:rsidRDefault="00000000">
                              <w:r>
                                <w:rPr>
                                  <w:rFonts w:ascii="Arial" w:eastAsia="Arial" w:hAnsi="Arial" w:cs="Arial"/>
                                  <w:sz w:val="18"/>
                                </w:rPr>
                                <w:t>prova orale.</w:t>
                              </w:r>
                            </w:p>
                          </w:txbxContent>
                        </wps:txbx>
                        <wps:bodyPr horzOverflow="overflow" vert="horz" lIns="0" tIns="0" rIns="0" bIns="0" rtlCol="0">
                          <a:noAutofit/>
                        </wps:bodyPr>
                      </wps:wsp>
                      <wps:wsp>
                        <wps:cNvPr id="202277" name="Rectangle 202277"/>
                        <wps:cNvSpPr/>
                        <wps:spPr>
                          <a:xfrm rot="-10799999">
                            <a:off x="2635248" y="4270019"/>
                            <a:ext cx="5212808" cy="142889"/>
                          </a:xfrm>
                          <a:prstGeom prst="rect">
                            <a:avLst/>
                          </a:prstGeom>
                          <a:ln>
                            <a:noFill/>
                          </a:ln>
                        </wps:spPr>
                        <wps:txbx>
                          <w:txbxContent>
                            <w:p w14:paraId="60BA6484"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2278" name="Rectangle 202278"/>
                        <wps:cNvSpPr/>
                        <wps:spPr>
                          <a:xfrm rot="-10799999">
                            <a:off x="-1285127" y="4270019"/>
                            <a:ext cx="5212808" cy="142889"/>
                          </a:xfrm>
                          <a:prstGeom prst="rect">
                            <a:avLst/>
                          </a:prstGeom>
                          <a:ln>
                            <a:noFill/>
                          </a:ln>
                        </wps:spPr>
                        <wps:txbx>
                          <w:txbxContent>
                            <w:p w14:paraId="79C48B25" w14:textId="77777777" w:rsidR="00B32EF2" w:rsidRDefault="00000000">
                              <w:r>
                                <w:rPr>
                                  <w:rFonts w:ascii="Arial" w:eastAsia="Arial" w:hAnsi="Arial" w:cs="Arial"/>
                                  <w:sz w:val="18"/>
                                </w:rPr>
                                <w:t>. La prova scritta ha la prevalente funzione di verificare la capacità di inqua</w:t>
                              </w:r>
                            </w:p>
                          </w:txbxContent>
                        </wps:txbx>
                        <wps:bodyPr horzOverflow="overflow" vert="horz" lIns="0" tIns="0" rIns="0" bIns="0" rtlCol="0">
                          <a:noAutofit/>
                        </wps:bodyPr>
                      </wps:wsp>
                      <wps:wsp>
                        <wps:cNvPr id="23126" name="Rectangle 23126"/>
                        <wps:cNvSpPr/>
                        <wps:spPr>
                          <a:xfrm rot="-10799999">
                            <a:off x="19604" y="4270019"/>
                            <a:ext cx="50622" cy="142889"/>
                          </a:xfrm>
                          <a:prstGeom prst="rect">
                            <a:avLst/>
                          </a:prstGeom>
                          <a:ln>
                            <a:noFill/>
                          </a:ln>
                        </wps:spPr>
                        <wps:txbx>
                          <w:txbxContent>
                            <w:p w14:paraId="1C5A4EE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127" name="Rectangle 23127"/>
                        <wps:cNvSpPr/>
                        <wps:spPr>
                          <a:xfrm rot="-10799999">
                            <a:off x="-1316833" y="4146690"/>
                            <a:ext cx="5309036" cy="142889"/>
                          </a:xfrm>
                          <a:prstGeom prst="rect">
                            <a:avLst/>
                          </a:prstGeom>
                          <a:ln>
                            <a:noFill/>
                          </a:ln>
                        </wps:spPr>
                        <wps:txbx>
                          <w:txbxContent>
                            <w:p w14:paraId="4BE25AC7" w14:textId="77777777" w:rsidR="00B32EF2" w:rsidRDefault="00000000">
                              <w:r>
                                <w:rPr>
                                  <w:rFonts w:ascii="Arial" w:eastAsia="Arial" w:hAnsi="Arial" w:cs="Arial"/>
                                  <w:sz w:val="18"/>
                                </w:rPr>
                                <w:t xml:space="preserve">dramento logico sistematico del candidato e consiste nello svolgimento di due </w:t>
                              </w:r>
                            </w:p>
                          </w:txbxContent>
                        </wps:txbx>
                        <wps:bodyPr horzOverflow="overflow" vert="horz" lIns="0" tIns="0" rIns="0" bIns="0" rtlCol="0">
                          <a:noAutofit/>
                        </wps:bodyPr>
                      </wps:wsp>
                      <wps:wsp>
                        <wps:cNvPr id="23128" name="Rectangle 23128"/>
                        <wps:cNvSpPr/>
                        <wps:spPr>
                          <a:xfrm rot="-10799999">
                            <a:off x="-1316818" y="4023360"/>
                            <a:ext cx="5309021" cy="142889"/>
                          </a:xfrm>
                          <a:prstGeom prst="rect">
                            <a:avLst/>
                          </a:prstGeom>
                          <a:ln>
                            <a:noFill/>
                          </a:ln>
                        </wps:spPr>
                        <wps:txbx>
                          <w:txbxContent>
                            <w:p w14:paraId="29055057" w14:textId="77777777" w:rsidR="00B32EF2" w:rsidRDefault="00000000">
                              <w:r>
                                <w:rPr>
                                  <w:rFonts w:ascii="Arial" w:eastAsia="Arial" w:hAnsi="Arial" w:cs="Arial"/>
                                  <w:sz w:val="18"/>
                                </w:rPr>
                                <w:t xml:space="preserve">elaborati teorici rispettivamente vertenti sul diritto tributario e sul diritto civile o </w:t>
                              </w:r>
                            </w:p>
                          </w:txbxContent>
                        </wps:txbx>
                        <wps:bodyPr horzOverflow="overflow" vert="horz" lIns="0" tIns="0" rIns="0" bIns="0" rtlCol="0">
                          <a:noAutofit/>
                        </wps:bodyPr>
                      </wps:wsp>
                      <wps:wsp>
                        <wps:cNvPr id="23129" name="Rectangle 23129"/>
                        <wps:cNvSpPr/>
                        <wps:spPr>
                          <a:xfrm rot="-10799999">
                            <a:off x="-1316833" y="3900030"/>
                            <a:ext cx="5309036" cy="142889"/>
                          </a:xfrm>
                          <a:prstGeom prst="rect">
                            <a:avLst/>
                          </a:prstGeom>
                          <a:ln>
                            <a:noFill/>
                          </a:ln>
                        </wps:spPr>
                        <wps:txbx>
                          <w:txbxContent>
                            <w:p w14:paraId="1A8D63F2" w14:textId="77777777" w:rsidR="00B32EF2" w:rsidRDefault="00000000">
                              <w:r>
                                <w:rPr>
                                  <w:rFonts w:ascii="Arial" w:eastAsia="Arial" w:hAnsi="Arial" w:cs="Arial"/>
                                  <w:sz w:val="18"/>
                                </w:rPr>
                                <w:t xml:space="preserve">commerciale, nonché in una prova teorico-pratica consistente nella redazione </w:t>
                              </w:r>
                            </w:p>
                          </w:txbxContent>
                        </wps:txbx>
                        <wps:bodyPr horzOverflow="overflow" vert="horz" lIns="0" tIns="0" rIns="0" bIns="0" rtlCol="0">
                          <a:noAutofit/>
                        </wps:bodyPr>
                      </wps:wsp>
                      <wps:wsp>
                        <wps:cNvPr id="23130" name="Rectangle 23130"/>
                        <wps:cNvSpPr/>
                        <wps:spPr>
                          <a:xfrm rot="-10799999">
                            <a:off x="1504258" y="3776701"/>
                            <a:ext cx="2487942" cy="142889"/>
                          </a:xfrm>
                          <a:prstGeom prst="rect">
                            <a:avLst/>
                          </a:prstGeom>
                          <a:ln>
                            <a:noFill/>
                          </a:ln>
                        </wps:spPr>
                        <wps:txbx>
                          <w:txbxContent>
                            <w:p w14:paraId="597B1A8F" w14:textId="77777777" w:rsidR="00B32EF2" w:rsidRDefault="00000000">
                              <w:r>
                                <w:rPr>
                                  <w:rFonts w:ascii="Arial" w:eastAsia="Arial" w:hAnsi="Arial" w:cs="Arial"/>
                                  <w:sz w:val="18"/>
                                </w:rPr>
                                <w:t>di una sentenza in materia tributaria.</w:t>
                              </w:r>
                            </w:p>
                          </w:txbxContent>
                        </wps:txbx>
                        <wps:bodyPr horzOverflow="overflow" vert="horz" lIns="0" tIns="0" rIns="0" bIns="0" rtlCol="0">
                          <a:noAutofit/>
                        </wps:bodyPr>
                      </wps:wsp>
                      <wps:wsp>
                        <wps:cNvPr id="202275" name="Rectangle 202275"/>
                        <wps:cNvSpPr/>
                        <wps:spPr>
                          <a:xfrm rot="-10799999">
                            <a:off x="2181010" y="3653371"/>
                            <a:ext cx="1778136" cy="142889"/>
                          </a:xfrm>
                          <a:prstGeom prst="rect">
                            <a:avLst/>
                          </a:prstGeom>
                          <a:ln>
                            <a:noFill/>
                          </a:ln>
                        </wps:spPr>
                        <wps:txbx>
                          <w:txbxContent>
                            <w:p w14:paraId="17D9E25C" w14:textId="77777777" w:rsidR="00B32EF2" w:rsidRDefault="00000000">
                              <w:r>
                                <w:rPr>
                                  <w:rFonts w:ascii="Arial" w:eastAsia="Arial" w:hAnsi="Arial" w:cs="Arial"/>
                                  <w:sz w:val="18"/>
                                </w:rPr>
                                <w:t>. La prova orale verte su</w:t>
                              </w:r>
                            </w:p>
                          </w:txbxContent>
                        </wps:txbx>
                        <wps:bodyPr horzOverflow="overflow" vert="horz" lIns="0" tIns="0" rIns="0" bIns="0" rtlCol="0">
                          <a:noAutofit/>
                        </wps:bodyPr>
                      </wps:wsp>
                      <wps:wsp>
                        <wps:cNvPr id="202274" name="Rectangle 202274"/>
                        <wps:cNvSpPr/>
                        <wps:spPr>
                          <a:xfrm rot="-10799999">
                            <a:off x="908897" y="3653371"/>
                            <a:ext cx="1778136" cy="142889"/>
                          </a:xfrm>
                          <a:prstGeom prst="rect">
                            <a:avLst/>
                          </a:prstGeom>
                          <a:ln>
                            <a:noFill/>
                          </a:ln>
                        </wps:spPr>
                        <wps:txbx>
                          <w:txbxContent>
                            <w:p w14:paraId="15BE2BC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2273" name="Rectangle 202273"/>
                        <wps:cNvSpPr/>
                        <wps:spPr>
                          <a:xfrm rot="-10799999">
                            <a:off x="3487459" y="3653371"/>
                            <a:ext cx="1778136" cy="142889"/>
                          </a:xfrm>
                          <a:prstGeom prst="rect">
                            <a:avLst/>
                          </a:prstGeom>
                          <a:ln>
                            <a:noFill/>
                          </a:ln>
                        </wps:spPr>
                        <wps:txbx>
                          <w:txbxContent>
                            <w:p w14:paraId="3837E6FF"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3132" name="Rectangle 23132"/>
                        <wps:cNvSpPr/>
                        <wps:spPr>
                          <a:xfrm rot="-10799999">
                            <a:off x="677245" y="3530041"/>
                            <a:ext cx="3314957" cy="142889"/>
                          </a:xfrm>
                          <a:prstGeom prst="rect">
                            <a:avLst/>
                          </a:prstGeom>
                          <a:ln>
                            <a:noFill/>
                          </a:ln>
                        </wps:spPr>
                        <wps:txbx>
                          <w:txbxContent>
                            <w:p w14:paraId="12DA6A36" w14:textId="77777777" w:rsidR="00B32EF2" w:rsidRDefault="00000000">
                              <w:r>
                                <w:rPr>
                                  <w:rFonts w:ascii="Arial" w:eastAsia="Arial" w:hAnsi="Arial" w:cs="Arial"/>
                                  <w:sz w:val="18"/>
                                </w:rPr>
                                <w:t>a) diritto tributario e diritto processuale tributario;</w:t>
                              </w:r>
                            </w:p>
                          </w:txbxContent>
                        </wps:txbx>
                        <wps:bodyPr horzOverflow="overflow" vert="horz" lIns="0" tIns="0" rIns="0" bIns="0" rtlCol="0">
                          <a:noAutofit/>
                        </wps:bodyPr>
                      </wps:wsp>
                      <wps:wsp>
                        <wps:cNvPr id="23133" name="Rectangle 23133"/>
                        <wps:cNvSpPr/>
                        <wps:spPr>
                          <a:xfrm rot="-10799999">
                            <a:off x="1200799" y="3406712"/>
                            <a:ext cx="2791403" cy="142889"/>
                          </a:xfrm>
                          <a:prstGeom prst="rect">
                            <a:avLst/>
                          </a:prstGeom>
                          <a:ln>
                            <a:noFill/>
                          </a:ln>
                        </wps:spPr>
                        <wps:txbx>
                          <w:txbxContent>
                            <w:p w14:paraId="2E39E3F7" w14:textId="77777777" w:rsidR="00B32EF2" w:rsidRDefault="00000000">
                              <w:r>
                                <w:rPr>
                                  <w:rFonts w:ascii="Arial" w:eastAsia="Arial" w:hAnsi="Arial" w:cs="Arial"/>
                                  <w:sz w:val="18"/>
                                </w:rPr>
                                <w:t>b) diritto civile e diritto processuale civile;</w:t>
                              </w:r>
                            </w:p>
                          </w:txbxContent>
                        </wps:txbx>
                        <wps:bodyPr horzOverflow="overflow" vert="horz" lIns="0" tIns="0" rIns="0" bIns="0" rtlCol="0">
                          <a:noAutofit/>
                        </wps:bodyPr>
                      </wps:wsp>
                      <wps:wsp>
                        <wps:cNvPr id="23134" name="Rectangle 23134"/>
                        <wps:cNvSpPr/>
                        <wps:spPr>
                          <a:xfrm rot="-10799999">
                            <a:off x="2256054" y="3283382"/>
                            <a:ext cx="1736148" cy="142889"/>
                          </a:xfrm>
                          <a:prstGeom prst="rect">
                            <a:avLst/>
                          </a:prstGeom>
                          <a:ln>
                            <a:noFill/>
                          </a:ln>
                        </wps:spPr>
                        <wps:txbx>
                          <w:txbxContent>
                            <w:p w14:paraId="476E9E57" w14:textId="77777777" w:rsidR="00B32EF2" w:rsidRDefault="00000000">
                              <w:r>
                                <w:rPr>
                                  <w:rFonts w:ascii="Arial" w:eastAsia="Arial" w:hAnsi="Arial" w:cs="Arial"/>
                                  <w:sz w:val="18"/>
                                </w:rPr>
                                <w:t>c) diritto penale tributario;</w:t>
                              </w:r>
                            </w:p>
                          </w:txbxContent>
                        </wps:txbx>
                        <wps:bodyPr horzOverflow="overflow" vert="horz" lIns="0" tIns="0" rIns="0" bIns="0" rtlCol="0">
                          <a:noAutofit/>
                        </wps:bodyPr>
                      </wps:wsp>
                      <wps:wsp>
                        <wps:cNvPr id="23135" name="Rectangle 23135"/>
                        <wps:cNvSpPr/>
                        <wps:spPr>
                          <a:xfrm rot="-10799999">
                            <a:off x="835041" y="3160052"/>
                            <a:ext cx="3157161" cy="142889"/>
                          </a:xfrm>
                          <a:prstGeom prst="rect">
                            <a:avLst/>
                          </a:prstGeom>
                          <a:ln>
                            <a:noFill/>
                          </a:ln>
                        </wps:spPr>
                        <wps:txbx>
                          <w:txbxContent>
                            <w:p w14:paraId="6F9A565B" w14:textId="77777777" w:rsidR="00B32EF2" w:rsidRDefault="00000000">
                              <w:r>
                                <w:rPr>
                                  <w:rFonts w:ascii="Arial" w:eastAsia="Arial" w:hAnsi="Arial" w:cs="Arial"/>
                                  <w:sz w:val="18"/>
                                </w:rPr>
                                <w:t>d) diritto costituzionale e diritto amministrativo;</w:t>
                              </w:r>
                            </w:p>
                          </w:txbxContent>
                        </wps:txbx>
                        <wps:bodyPr horzOverflow="overflow" vert="horz" lIns="0" tIns="0" rIns="0" bIns="0" rtlCol="0">
                          <a:noAutofit/>
                        </wps:bodyPr>
                      </wps:wsp>
                      <wps:wsp>
                        <wps:cNvPr id="23136" name="Rectangle 23136"/>
                        <wps:cNvSpPr/>
                        <wps:spPr>
                          <a:xfrm rot="-10799999">
                            <a:off x="2482716" y="3036723"/>
                            <a:ext cx="1510172" cy="142889"/>
                          </a:xfrm>
                          <a:prstGeom prst="rect">
                            <a:avLst/>
                          </a:prstGeom>
                          <a:ln>
                            <a:noFill/>
                          </a:ln>
                        </wps:spPr>
                        <wps:txbx>
                          <w:txbxContent>
                            <w:p w14:paraId="23511CB6" w14:textId="77777777" w:rsidR="00B32EF2" w:rsidRDefault="00000000">
                              <w:r>
                                <w:rPr>
                                  <w:rFonts w:ascii="Arial" w:eastAsia="Arial" w:hAnsi="Arial" w:cs="Arial"/>
                                  <w:sz w:val="18"/>
                                </w:rPr>
                                <w:t>e) diritto commerciale;</w:t>
                              </w:r>
                            </w:p>
                          </w:txbxContent>
                        </wps:txbx>
                        <wps:bodyPr horzOverflow="overflow" vert="horz" lIns="0" tIns="0" rIns="0" bIns="0" rtlCol="0">
                          <a:noAutofit/>
                        </wps:bodyPr>
                      </wps:wsp>
                      <wps:wsp>
                        <wps:cNvPr id="23137" name="Rectangle 23137"/>
                        <wps:cNvSpPr/>
                        <wps:spPr>
                          <a:xfrm rot="-10799999">
                            <a:off x="2014846" y="2913393"/>
                            <a:ext cx="1977357" cy="142889"/>
                          </a:xfrm>
                          <a:prstGeom prst="rect">
                            <a:avLst/>
                          </a:prstGeom>
                          <a:ln>
                            <a:noFill/>
                          </a:ln>
                        </wps:spPr>
                        <wps:txbx>
                          <w:txbxContent>
                            <w:p w14:paraId="68FF9E1F" w14:textId="77777777" w:rsidR="00B32EF2" w:rsidRDefault="00000000">
                              <w:r>
                                <w:rPr>
                                  <w:rFonts w:ascii="Arial" w:eastAsia="Arial" w:hAnsi="Arial" w:cs="Arial"/>
                                  <w:sz w:val="18"/>
                                </w:rPr>
                                <w:t>f) diritto dell’Unione europea;</w:t>
                              </w:r>
                            </w:p>
                          </w:txbxContent>
                        </wps:txbx>
                        <wps:bodyPr horzOverflow="overflow" vert="horz" lIns="0" tIns="0" rIns="0" bIns="0" rtlCol="0">
                          <a:noAutofit/>
                        </wps:bodyPr>
                      </wps:wsp>
                      <wps:wsp>
                        <wps:cNvPr id="23138" name="Rectangle 23138"/>
                        <wps:cNvSpPr/>
                        <wps:spPr>
                          <a:xfrm rot="-10799999">
                            <a:off x="1688826" y="2790063"/>
                            <a:ext cx="2303377" cy="142889"/>
                          </a:xfrm>
                          <a:prstGeom prst="rect">
                            <a:avLst/>
                          </a:prstGeom>
                          <a:ln>
                            <a:noFill/>
                          </a:ln>
                        </wps:spPr>
                        <wps:txbx>
                          <w:txbxContent>
                            <w:p w14:paraId="14DB19E5" w14:textId="77777777" w:rsidR="00B32EF2" w:rsidRDefault="00000000">
                              <w:r>
                                <w:rPr>
                                  <w:rFonts w:ascii="Arial" w:eastAsia="Arial" w:hAnsi="Arial" w:cs="Arial"/>
                                  <w:sz w:val="18"/>
                                </w:rPr>
                                <w:t>g) contabilità aziendale e bilancio;</w:t>
                              </w:r>
                            </w:p>
                          </w:txbxContent>
                        </wps:txbx>
                        <wps:bodyPr horzOverflow="overflow" vert="horz" lIns="0" tIns="0" rIns="0" bIns="0" rtlCol="0">
                          <a:noAutofit/>
                        </wps:bodyPr>
                      </wps:wsp>
                      <wps:wsp>
                        <wps:cNvPr id="23139" name="Rectangle 23139"/>
                        <wps:cNvSpPr/>
                        <wps:spPr>
                          <a:xfrm rot="-10799999">
                            <a:off x="1618866" y="2666733"/>
                            <a:ext cx="2373336" cy="142889"/>
                          </a:xfrm>
                          <a:prstGeom prst="rect">
                            <a:avLst/>
                          </a:prstGeom>
                          <a:ln>
                            <a:noFill/>
                          </a:ln>
                        </wps:spPr>
                        <wps:txbx>
                          <w:txbxContent>
                            <w:p w14:paraId="3F4B7B6A" w14:textId="77777777" w:rsidR="00B32EF2" w:rsidRDefault="00000000">
                              <w:r>
                                <w:rPr>
                                  <w:rFonts w:ascii="Arial" w:eastAsia="Arial" w:hAnsi="Arial" w:cs="Arial"/>
                                  <w:sz w:val="18"/>
                                </w:rPr>
                                <w:t>h) elementi di informatica giuridica;</w:t>
                              </w:r>
                            </w:p>
                          </w:txbxContent>
                        </wps:txbx>
                        <wps:bodyPr horzOverflow="overflow" vert="horz" lIns="0" tIns="0" rIns="0" bIns="0" rtlCol="0">
                          <a:noAutofit/>
                        </wps:bodyPr>
                      </wps:wsp>
                      <wps:wsp>
                        <wps:cNvPr id="23140" name="Rectangle 23140"/>
                        <wps:cNvSpPr/>
                        <wps:spPr>
                          <a:xfrm rot="-10799999">
                            <a:off x="-1220240" y="2543403"/>
                            <a:ext cx="5212443" cy="142889"/>
                          </a:xfrm>
                          <a:prstGeom prst="rect">
                            <a:avLst/>
                          </a:prstGeom>
                          <a:ln>
                            <a:noFill/>
                          </a:ln>
                        </wps:spPr>
                        <wps:txbx>
                          <w:txbxContent>
                            <w:p w14:paraId="66D8E5C8" w14:textId="77777777" w:rsidR="00B32EF2" w:rsidRDefault="00000000">
                              <w:r>
                                <w:rPr>
                                  <w:rFonts w:ascii="Arial" w:eastAsia="Arial" w:hAnsi="Arial" w:cs="Arial"/>
                                  <w:sz w:val="18"/>
                                </w:rPr>
                                <w:t>i) colloquio in una lingua straniera, indicata dal candidato all’atto della doman</w:t>
                              </w:r>
                            </w:p>
                          </w:txbxContent>
                        </wps:txbx>
                        <wps:bodyPr horzOverflow="overflow" vert="horz" lIns="0" tIns="0" rIns="0" bIns="0" rtlCol="0">
                          <a:noAutofit/>
                        </wps:bodyPr>
                      </wps:wsp>
                      <wps:wsp>
                        <wps:cNvPr id="23141" name="Rectangle 23141"/>
                        <wps:cNvSpPr/>
                        <wps:spPr>
                          <a:xfrm rot="-10799999">
                            <a:off x="19604" y="2543403"/>
                            <a:ext cx="50622" cy="142889"/>
                          </a:xfrm>
                          <a:prstGeom prst="rect">
                            <a:avLst/>
                          </a:prstGeom>
                          <a:ln>
                            <a:noFill/>
                          </a:ln>
                        </wps:spPr>
                        <wps:txbx>
                          <w:txbxContent>
                            <w:p w14:paraId="14674C1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142" name="Rectangle 23142"/>
                        <wps:cNvSpPr/>
                        <wps:spPr>
                          <a:xfrm rot="-10799999">
                            <a:off x="-1316847" y="2420073"/>
                            <a:ext cx="5309051" cy="142889"/>
                          </a:xfrm>
                          <a:prstGeom prst="rect">
                            <a:avLst/>
                          </a:prstGeom>
                          <a:ln>
                            <a:noFill/>
                          </a:ln>
                        </wps:spPr>
                        <wps:txbx>
                          <w:txbxContent>
                            <w:p w14:paraId="49027EAB" w14:textId="77777777" w:rsidR="00B32EF2" w:rsidRDefault="00000000">
                              <w:r>
                                <w:rPr>
                                  <w:rFonts w:ascii="Arial" w:eastAsia="Arial" w:hAnsi="Arial" w:cs="Arial"/>
                                  <w:sz w:val="18"/>
                                </w:rPr>
                                <w:t xml:space="preserve">da di partecipazione al concorso, scelta fra le seguenti: inglese, spagnolo, </w:t>
                              </w:r>
                            </w:p>
                          </w:txbxContent>
                        </wps:txbx>
                        <wps:bodyPr horzOverflow="overflow" vert="horz" lIns="0" tIns="0" rIns="0" bIns="0" rtlCol="0">
                          <a:noAutofit/>
                        </wps:bodyPr>
                      </wps:wsp>
                      <wps:wsp>
                        <wps:cNvPr id="23143" name="Rectangle 23143"/>
                        <wps:cNvSpPr/>
                        <wps:spPr>
                          <a:xfrm rot="-10799999">
                            <a:off x="2647821" y="2296744"/>
                            <a:ext cx="1344380" cy="142889"/>
                          </a:xfrm>
                          <a:prstGeom prst="rect">
                            <a:avLst/>
                          </a:prstGeom>
                          <a:ln>
                            <a:noFill/>
                          </a:ln>
                        </wps:spPr>
                        <wps:txbx>
                          <w:txbxContent>
                            <w:p w14:paraId="5798AF02" w14:textId="77777777" w:rsidR="00B32EF2" w:rsidRDefault="00000000">
                              <w:r>
                                <w:rPr>
                                  <w:rFonts w:ascii="Arial" w:eastAsia="Arial" w:hAnsi="Arial" w:cs="Arial"/>
                                  <w:sz w:val="18"/>
                                </w:rPr>
                                <w:t>francese e tedesco.</w:t>
                              </w:r>
                            </w:p>
                          </w:txbxContent>
                        </wps:txbx>
                        <wps:bodyPr horzOverflow="overflow" vert="horz" lIns="0" tIns="0" rIns="0" bIns="0" rtlCol="0">
                          <a:noAutofit/>
                        </wps:bodyPr>
                      </wps:wsp>
                      <wps:wsp>
                        <wps:cNvPr id="202272" name="Rectangle 202272"/>
                        <wps:cNvSpPr/>
                        <wps:spPr>
                          <a:xfrm rot="-10799999">
                            <a:off x="-1381183" y="2173414"/>
                            <a:ext cx="5308990" cy="142889"/>
                          </a:xfrm>
                          <a:prstGeom prst="rect">
                            <a:avLst/>
                          </a:prstGeom>
                          <a:ln>
                            <a:noFill/>
                          </a:ln>
                        </wps:spPr>
                        <wps:txbx>
                          <w:txbxContent>
                            <w:p w14:paraId="73F23DB9" w14:textId="77777777" w:rsidR="00B32EF2" w:rsidRDefault="00000000">
                              <w:r>
                                <w:rPr>
                                  <w:rFonts w:ascii="Arial" w:eastAsia="Arial" w:hAnsi="Arial" w:cs="Arial"/>
                                  <w:sz w:val="18"/>
                                </w:rPr>
                                <w:t xml:space="preserve">. Sono ammessi alla prova orale i candidati che ottengono un punteggio non </w:t>
                              </w:r>
                            </w:p>
                          </w:txbxContent>
                        </wps:txbx>
                        <wps:bodyPr horzOverflow="overflow" vert="horz" lIns="0" tIns="0" rIns="0" bIns="0" rtlCol="0">
                          <a:noAutofit/>
                        </wps:bodyPr>
                      </wps:wsp>
                      <wps:wsp>
                        <wps:cNvPr id="202271" name="Rectangle 202271"/>
                        <wps:cNvSpPr/>
                        <wps:spPr>
                          <a:xfrm rot="-10799999">
                            <a:off x="2611383" y="2173414"/>
                            <a:ext cx="5308990" cy="142889"/>
                          </a:xfrm>
                          <a:prstGeom prst="rect">
                            <a:avLst/>
                          </a:prstGeom>
                          <a:ln>
                            <a:noFill/>
                          </a:ln>
                        </wps:spPr>
                        <wps:txbx>
                          <w:txbxContent>
                            <w:p w14:paraId="677BE92F"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3145" name="Rectangle 23145"/>
                        <wps:cNvSpPr/>
                        <wps:spPr>
                          <a:xfrm rot="-10799999">
                            <a:off x="-1218279" y="2050084"/>
                            <a:ext cx="5210482" cy="142889"/>
                          </a:xfrm>
                          <a:prstGeom prst="rect">
                            <a:avLst/>
                          </a:prstGeom>
                          <a:ln>
                            <a:noFill/>
                          </a:ln>
                        </wps:spPr>
                        <wps:txbx>
                          <w:txbxContent>
                            <w:p w14:paraId="78F7F783" w14:textId="77777777" w:rsidR="00B32EF2" w:rsidRDefault="00000000">
                              <w:r>
                                <w:rPr>
                                  <w:rFonts w:ascii="Arial" w:eastAsia="Arial" w:hAnsi="Arial" w:cs="Arial"/>
                                  <w:sz w:val="18"/>
                                </w:rPr>
                                <w:t>inferiore a dodici ventesimi in ciascun elaborato della prova scritta. Conseguo</w:t>
                              </w:r>
                            </w:p>
                          </w:txbxContent>
                        </wps:txbx>
                        <wps:bodyPr horzOverflow="overflow" vert="horz" lIns="0" tIns="0" rIns="0" bIns="0" rtlCol="0">
                          <a:noAutofit/>
                        </wps:bodyPr>
                      </wps:wsp>
                      <wps:wsp>
                        <wps:cNvPr id="23146" name="Rectangle 23146"/>
                        <wps:cNvSpPr/>
                        <wps:spPr>
                          <a:xfrm rot="-10799999">
                            <a:off x="19604" y="2050085"/>
                            <a:ext cx="50622" cy="142889"/>
                          </a:xfrm>
                          <a:prstGeom prst="rect">
                            <a:avLst/>
                          </a:prstGeom>
                          <a:ln>
                            <a:noFill/>
                          </a:ln>
                        </wps:spPr>
                        <wps:txbx>
                          <w:txbxContent>
                            <w:p w14:paraId="2070E6A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147" name="Rectangle 23147"/>
                        <wps:cNvSpPr/>
                        <wps:spPr>
                          <a:xfrm rot="-10799999">
                            <a:off x="-1316802" y="1926755"/>
                            <a:ext cx="5309005" cy="142889"/>
                          </a:xfrm>
                          <a:prstGeom prst="rect">
                            <a:avLst/>
                          </a:prstGeom>
                          <a:ln>
                            <a:noFill/>
                          </a:ln>
                        </wps:spPr>
                        <wps:txbx>
                          <w:txbxContent>
                            <w:p w14:paraId="17D3F9BA" w14:textId="77777777" w:rsidR="00B32EF2" w:rsidRDefault="00000000">
                              <w:r>
                                <w:rPr>
                                  <w:rFonts w:ascii="Arial" w:eastAsia="Arial" w:hAnsi="Arial" w:cs="Arial"/>
                                  <w:sz w:val="18"/>
                                </w:rPr>
                                <w:t xml:space="preserve">no l’idoneità i candidati che ottengono un punteggio non inferiore a sei decimi </w:t>
                              </w:r>
                            </w:p>
                          </w:txbxContent>
                        </wps:txbx>
                        <wps:bodyPr horzOverflow="overflow" vert="horz" lIns="0" tIns="0" rIns="0" bIns="0" rtlCol="0">
                          <a:noAutofit/>
                        </wps:bodyPr>
                      </wps:wsp>
                      <wps:wsp>
                        <wps:cNvPr id="23148" name="Rectangle 23148"/>
                        <wps:cNvSpPr/>
                        <wps:spPr>
                          <a:xfrm rot="-10799999">
                            <a:off x="-1316803" y="1803425"/>
                            <a:ext cx="5309005" cy="142889"/>
                          </a:xfrm>
                          <a:prstGeom prst="rect">
                            <a:avLst/>
                          </a:prstGeom>
                          <a:ln>
                            <a:noFill/>
                          </a:ln>
                        </wps:spPr>
                        <wps:txbx>
                          <w:txbxContent>
                            <w:p w14:paraId="7BA4D1B9" w14:textId="77777777" w:rsidR="00B32EF2" w:rsidRDefault="00000000">
                              <w:r>
                                <w:rPr>
                                  <w:rFonts w:ascii="Arial" w:eastAsia="Arial" w:hAnsi="Arial" w:cs="Arial"/>
                                  <w:sz w:val="18"/>
                                </w:rPr>
                                <w:t xml:space="preserve">in ciascuna delle materie della prova orale di cui al comma 4, lettere da a) a </w:t>
                              </w:r>
                            </w:p>
                          </w:txbxContent>
                        </wps:txbx>
                        <wps:bodyPr horzOverflow="overflow" vert="horz" lIns="0" tIns="0" rIns="0" bIns="0" rtlCol="0">
                          <a:noAutofit/>
                        </wps:bodyPr>
                      </wps:wsp>
                      <wps:wsp>
                        <wps:cNvPr id="23149" name="Rectangle 23149"/>
                        <wps:cNvSpPr/>
                        <wps:spPr>
                          <a:xfrm rot="-10799999">
                            <a:off x="-1316817" y="1680095"/>
                            <a:ext cx="5309020" cy="142889"/>
                          </a:xfrm>
                          <a:prstGeom prst="rect">
                            <a:avLst/>
                          </a:prstGeom>
                          <a:ln>
                            <a:noFill/>
                          </a:ln>
                        </wps:spPr>
                        <wps:txbx>
                          <w:txbxContent>
                            <w:p w14:paraId="36C7F3D2" w14:textId="77777777" w:rsidR="00B32EF2" w:rsidRDefault="00000000">
                              <w:r>
                                <w:rPr>
                                  <w:rFonts w:ascii="Arial" w:eastAsia="Arial" w:hAnsi="Arial" w:cs="Arial"/>
                                  <w:sz w:val="18"/>
                                </w:rPr>
                                <w:t xml:space="preserve">h), e un giudizio di sufficienza nel colloquio nella lingua straniera prescelta e </w:t>
                              </w:r>
                            </w:p>
                          </w:txbxContent>
                        </wps:txbx>
                        <wps:bodyPr horzOverflow="overflow" vert="horz" lIns="0" tIns="0" rIns="0" bIns="0" rtlCol="0">
                          <a:noAutofit/>
                        </wps:bodyPr>
                      </wps:wsp>
                      <wps:wsp>
                        <wps:cNvPr id="23150" name="Rectangle 23150"/>
                        <wps:cNvSpPr/>
                        <wps:spPr>
                          <a:xfrm rot="-10799999">
                            <a:off x="-1316773" y="1556766"/>
                            <a:ext cx="5308975" cy="142889"/>
                          </a:xfrm>
                          <a:prstGeom prst="rect">
                            <a:avLst/>
                          </a:prstGeom>
                          <a:ln>
                            <a:noFill/>
                          </a:ln>
                        </wps:spPr>
                        <wps:txbx>
                          <w:txbxContent>
                            <w:p w14:paraId="7A5AF413" w14:textId="77777777" w:rsidR="00B32EF2" w:rsidRDefault="00000000">
                              <w:r>
                                <w:rPr>
                                  <w:rFonts w:ascii="Arial" w:eastAsia="Arial" w:hAnsi="Arial" w:cs="Arial"/>
                                  <w:sz w:val="18"/>
                                </w:rPr>
                                <w:t xml:space="preserve">comunque una votazione complessiva nelle due prove non inferiore a novanta </w:t>
                              </w:r>
                            </w:p>
                          </w:txbxContent>
                        </wps:txbx>
                        <wps:bodyPr horzOverflow="overflow" vert="horz" lIns="0" tIns="0" rIns="0" bIns="0" rtlCol="0">
                          <a:noAutofit/>
                        </wps:bodyPr>
                      </wps:wsp>
                      <wps:wsp>
                        <wps:cNvPr id="23151" name="Rectangle 23151"/>
                        <wps:cNvSpPr/>
                        <wps:spPr>
                          <a:xfrm rot="-10799999">
                            <a:off x="-1316833" y="1433436"/>
                            <a:ext cx="5309035" cy="142889"/>
                          </a:xfrm>
                          <a:prstGeom prst="rect">
                            <a:avLst/>
                          </a:prstGeom>
                          <a:ln>
                            <a:noFill/>
                          </a:ln>
                        </wps:spPr>
                        <wps:txbx>
                          <w:txbxContent>
                            <w:p w14:paraId="0C379656" w14:textId="77777777" w:rsidR="00B32EF2" w:rsidRDefault="00000000">
                              <w:r>
                                <w:rPr>
                                  <w:rFonts w:ascii="Arial" w:eastAsia="Arial" w:hAnsi="Arial" w:cs="Arial"/>
                                  <w:sz w:val="18"/>
                                </w:rPr>
                                <w:t xml:space="preserve">punti. Non sono ammesse frazioni di punto. Agli effetti di cui all’articolo 3 della </w:t>
                              </w:r>
                            </w:p>
                          </w:txbxContent>
                        </wps:txbx>
                        <wps:bodyPr horzOverflow="overflow" vert="horz" lIns="0" tIns="0" rIns="0" bIns="0" rtlCol="0">
                          <a:noAutofit/>
                        </wps:bodyPr>
                      </wps:wsp>
                      <wps:wsp>
                        <wps:cNvPr id="23152" name="Rectangle 23152"/>
                        <wps:cNvSpPr/>
                        <wps:spPr>
                          <a:xfrm rot="-10799999">
                            <a:off x="-1316800" y="1310106"/>
                            <a:ext cx="5309917" cy="142889"/>
                          </a:xfrm>
                          <a:prstGeom prst="rect">
                            <a:avLst/>
                          </a:prstGeom>
                          <a:ln>
                            <a:noFill/>
                          </a:ln>
                        </wps:spPr>
                        <wps:txbx>
                          <w:txbxContent>
                            <w:p w14:paraId="4CAFF648" w14:textId="77777777" w:rsidR="00B32EF2" w:rsidRDefault="00000000">
                              <w:r>
                                <w:rPr>
                                  <w:rFonts w:ascii="Arial" w:eastAsia="Arial" w:hAnsi="Arial" w:cs="Arial"/>
                                  <w:sz w:val="18"/>
                                </w:rPr>
                                <w:t xml:space="preserve">legge 7 agosto 1990, n. 241, il giudizio in ciascuna delle prove scritte e orali è </w:t>
                              </w:r>
                            </w:p>
                          </w:txbxContent>
                        </wps:txbx>
                        <wps:bodyPr horzOverflow="overflow" vert="horz" lIns="0" tIns="0" rIns="0" bIns="0" rtlCol="0">
                          <a:noAutofit/>
                        </wps:bodyPr>
                      </wps:wsp>
                      <wps:wsp>
                        <wps:cNvPr id="23153" name="Rectangle 23153"/>
                        <wps:cNvSpPr/>
                        <wps:spPr>
                          <a:xfrm rot="-10799999">
                            <a:off x="-1219161" y="1186776"/>
                            <a:ext cx="5211364" cy="142890"/>
                          </a:xfrm>
                          <a:prstGeom prst="rect">
                            <a:avLst/>
                          </a:prstGeom>
                          <a:ln>
                            <a:noFill/>
                          </a:ln>
                        </wps:spPr>
                        <wps:txbx>
                          <w:txbxContent>
                            <w:p w14:paraId="1CD88FC9" w14:textId="77777777" w:rsidR="00B32EF2" w:rsidRDefault="00000000">
                              <w:r>
                                <w:rPr>
                                  <w:rFonts w:ascii="Arial" w:eastAsia="Arial" w:hAnsi="Arial" w:cs="Arial"/>
                                  <w:sz w:val="18"/>
                                </w:rPr>
                                <w:t>motivato con l’indicazione del solo punteggio numerico e il giudizio di insuffi</w:t>
                              </w:r>
                            </w:p>
                          </w:txbxContent>
                        </wps:txbx>
                        <wps:bodyPr horzOverflow="overflow" vert="horz" lIns="0" tIns="0" rIns="0" bIns="0" rtlCol="0">
                          <a:noAutofit/>
                        </wps:bodyPr>
                      </wps:wsp>
                      <wps:wsp>
                        <wps:cNvPr id="23154" name="Rectangle 23154"/>
                        <wps:cNvSpPr/>
                        <wps:spPr>
                          <a:xfrm rot="-10799999">
                            <a:off x="19604" y="1186777"/>
                            <a:ext cx="50622" cy="142889"/>
                          </a:xfrm>
                          <a:prstGeom prst="rect">
                            <a:avLst/>
                          </a:prstGeom>
                          <a:ln>
                            <a:noFill/>
                          </a:ln>
                        </wps:spPr>
                        <wps:txbx>
                          <w:txbxContent>
                            <w:p w14:paraId="116C1D2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155" name="Rectangle 23155"/>
                        <wps:cNvSpPr/>
                        <wps:spPr>
                          <a:xfrm rot="-10799999">
                            <a:off x="457897" y="1063447"/>
                            <a:ext cx="3534305" cy="142889"/>
                          </a:xfrm>
                          <a:prstGeom prst="rect">
                            <a:avLst/>
                          </a:prstGeom>
                          <a:ln>
                            <a:noFill/>
                          </a:ln>
                        </wps:spPr>
                        <wps:txbx>
                          <w:txbxContent>
                            <w:p w14:paraId="5FB3E6A8" w14:textId="77777777" w:rsidR="00B32EF2" w:rsidRDefault="00000000">
                              <w:r>
                                <w:rPr>
                                  <w:rFonts w:ascii="Arial" w:eastAsia="Arial" w:hAnsi="Arial" w:cs="Arial"/>
                                  <w:sz w:val="18"/>
                                </w:rPr>
                                <w:t>cienza è motivato con la sola formula «non idoneo».</w:t>
                              </w:r>
                            </w:p>
                          </w:txbxContent>
                        </wps:txbx>
                        <wps:bodyPr horzOverflow="overflow" vert="horz" lIns="0" tIns="0" rIns="0" bIns="0" rtlCol="0">
                          <a:noAutofit/>
                        </wps:bodyPr>
                      </wps:wsp>
                      <wps:wsp>
                        <wps:cNvPr id="202270" name="Rectangle 202270"/>
                        <wps:cNvSpPr/>
                        <wps:spPr>
                          <a:xfrm rot="-10799999">
                            <a:off x="-1381367" y="940117"/>
                            <a:ext cx="5310283" cy="142889"/>
                          </a:xfrm>
                          <a:prstGeom prst="rect">
                            <a:avLst/>
                          </a:prstGeom>
                          <a:ln>
                            <a:noFill/>
                          </a:ln>
                        </wps:spPr>
                        <wps:txbx>
                          <w:txbxContent>
                            <w:p w14:paraId="2D43316D" w14:textId="77777777" w:rsidR="00B32EF2" w:rsidRDefault="00000000">
                              <w:r>
                                <w:rPr>
                                  <w:rFonts w:ascii="Arial" w:eastAsia="Arial" w:hAnsi="Arial" w:cs="Arial"/>
                                  <w:sz w:val="18"/>
                                </w:rPr>
                                <w:t xml:space="preserve">. Con decreto del Ministro dell’economia e delle finanze, previa deliberazione </w:t>
                              </w:r>
                            </w:p>
                          </w:txbxContent>
                        </wps:txbx>
                        <wps:bodyPr horzOverflow="overflow" vert="horz" lIns="0" tIns="0" rIns="0" bIns="0" rtlCol="0">
                          <a:noAutofit/>
                        </wps:bodyPr>
                      </wps:wsp>
                      <wps:wsp>
                        <wps:cNvPr id="202268" name="Rectangle 202268"/>
                        <wps:cNvSpPr/>
                        <wps:spPr>
                          <a:xfrm rot="-10799999">
                            <a:off x="2611062" y="940117"/>
                            <a:ext cx="5310283" cy="142889"/>
                          </a:xfrm>
                          <a:prstGeom prst="rect">
                            <a:avLst/>
                          </a:prstGeom>
                          <a:ln>
                            <a:noFill/>
                          </a:ln>
                        </wps:spPr>
                        <wps:txbx>
                          <w:txbxContent>
                            <w:p w14:paraId="79AC53E1"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3157" name="Rectangle 23157"/>
                        <wps:cNvSpPr/>
                        <wps:spPr>
                          <a:xfrm rot="-10799999">
                            <a:off x="-1220620" y="816788"/>
                            <a:ext cx="5212823" cy="142889"/>
                          </a:xfrm>
                          <a:prstGeom prst="rect">
                            <a:avLst/>
                          </a:prstGeom>
                          <a:ln>
                            <a:noFill/>
                          </a:ln>
                        </wps:spPr>
                        <wps:txbx>
                          <w:txbxContent>
                            <w:p w14:paraId="17C2627E" w14:textId="77777777" w:rsidR="00B32EF2" w:rsidRDefault="00000000">
                              <w:r>
                                <w:rPr>
                                  <w:rFonts w:ascii="Arial" w:eastAsia="Arial" w:hAnsi="Arial" w:cs="Arial"/>
                                  <w:sz w:val="18"/>
                                </w:rPr>
                                <w:t>conforme del Consiglio di presidenza della giustizia tributaria, terminata la va</w:t>
                              </w:r>
                            </w:p>
                          </w:txbxContent>
                        </wps:txbx>
                        <wps:bodyPr horzOverflow="overflow" vert="horz" lIns="0" tIns="0" rIns="0" bIns="0" rtlCol="0">
                          <a:noAutofit/>
                        </wps:bodyPr>
                      </wps:wsp>
                      <wps:wsp>
                        <wps:cNvPr id="23158" name="Rectangle 23158"/>
                        <wps:cNvSpPr/>
                        <wps:spPr>
                          <a:xfrm rot="-10799999">
                            <a:off x="19604" y="816788"/>
                            <a:ext cx="50622" cy="142889"/>
                          </a:xfrm>
                          <a:prstGeom prst="rect">
                            <a:avLst/>
                          </a:prstGeom>
                          <a:ln>
                            <a:noFill/>
                          </a:ln>
                        </wps:spPr>
                        <wps:txbx>
                          <w:txbxContent>
                            <w:p w14:paraId="6E61538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159" name="Rectangle 23159"/>
                        <wps:cNvSpPr/>
                        <wps:spPr>
                          <a:xfrm rot="-10799999">
                            <a:off x="-1316818" y="693458"/>
                            <a:ext cx="5309021" cy="142889"/>
                          </a:xfrm>
                          <a:prstGeom prst="rect">
                            <a:avLst/>
                          </a:prstGeom>
                          <a:ln>
                            <a:noFill/>
                          </a:ln>
                        </wps:spPr>
                        <wps:txbx>
                          <w:txbxContent>
                            <w:p w14:paraId="3FA5852E" w14:textId="77777777" w:rsidR="00B32EF2" w:rsidRDefault="00000000">
                              <w:r>
                                <w:rPr>
                                  <w:rFonts w:ascii="Arial" w:eastAsia="Arial" w:hAnsi="Arial" w:cs="Arial"/>
                                  <w:sz w:val="18"/>
                                </w:rPr>
                                <w:t xml:space="preserve">lutazione degli elaborati scritti, sono nominati componenti della commissione </w:t>
                              </w:r>
                            </w:p>
                          </w:txbxContent>
                        </wps:txbx>
                        <wps:bodyPr horzOverflow="overflow" vert="horz" lIns="0" tIns="0" rIns="0" bIns="0" rtlCol="0">
                          <a:noAutofit/>
                        </wps:bodyPr>
                      </wps:wsp>
                      <wps:wsp>
                        <wps:cNvPr id="23160" name="Rectangle 23160"/>
                        <wps:cNvSpPr/>
                        <wps:spPr>
                          <a:xfrm rot="-10799999">
                            <a:off x="-1220590" y="570128"/>
                            <a:ext cx="5212793" cy="142889"/>
                          </a:xfrm>
                          <a:prstGeom prst="rect">
                            <a:avLst/>
                          </a:prstGeom>
                          <a:ln>
                            <a:noFill/>
                          </a:ln>
                        </wps:spPr>
                        <wps:txbx>
                          <w:txbxContent>
                            <w:p w14:paraId="46D383F4" w14:textId="77777777" w:rsidR="00B32EF2" w:rsidRDefault="00000000">
                              <w:r>
                                <w:rPr>
                                  <w:rFonts w:ascii="Arial" w:eastAsia="Arial" w:hAnsi="Arial" w:cs="Arial"/>
                                  <w:sz w:val="18"/>
                                </w:rPr>
                                <w:t>esaminatrice docenti universitari delle lingue indicate dai candidati ammes</w:t>
                              </w:r>
                            </w:p>
                          </w:txbxContent>
                        </wps:txbx>
                        <wps:bodyPr horzOverflow="overflow" vert="horz" lIns="0" tIns="0" rIns="0" bIns="0" rtlCol="0">
                          <a:noAutofit/>
                        </wps:bodyPr>
                      </wps:wsp>
                      <wps:wsp>
                        <wps:cNvPr id="23161" name="Rectangle 23161"/>
                        <wps:cNvSpPr/>
                        <wps:spPr>
                          <a:xfrm rot="-10799999">
                            <a:off x="19604" y="570128"/>
                            <a:ext cx="50622" cy="142889"/>
                          </a:xfrm>
                          <a:prstGeom prst="rect">
                            <a:avLst/>
                          </a:prstGeom>
                          <a:ln>
                            <a:noFill/>
                          </a:ln>
                        </wps:spPr>
                        <wps:txbx>
                          <w:txbxContent>
                            <w:p w14:paraId="54C2646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162" name="Rectangle 23162"/>
                        <wps:cNvSpPr/>
                        <wps:spPr>
                          <a:xfrm rot="-10799999">
                            <a:off x="-1316833" y="446798"/>
                            <a:ext cx="5309036" cy="142889"/>
                          </a:xfrm>
                          <a:prstGeom prst="rect">
                            <a:avLst/>
                          </a:prstGeom>
                          <a:ln>
                            <a:noFill/>
                          </a:ln>
                        </wps:spPr>
                        <wps:txbx>
                          <w:txbxContent>
                            <w:p w14:paraId="49A0D223" w14:textId="77777777" w:rsidR="00B32EF2" w:rsidRDefault="00000000">
                              <w:r>
                                <w:rPr>
                                  <w:rFonts w:ascii="Arial" w:eastAsia="Arial" w:hAnsi="Arial" w:cs="Arial"/>
                                  <w:sz w:val="18"/>
                                </w:rPr>
                                <w:t xml:space="preserve">si alla prova orale. I commissari così nominati partecipano in soprannumero </w:t>
                              </w:r>
                            </w:p>
                          </w:txbxContent>
                        </wps:txbx>
                        <wps:bodyPr horzOverflow="overflow" vert="horz" lIns="0" tIns="0" rIns="0" bIns="0" rtlCol="0">
                          <a:noAutofit/>
                        </wps:bodyPr>
                      </wps:wsp>
                    </wpg:wgp>
                  </a:graphicData>
                </a:graphic>
              </wp:inline>
            </w:drawing>
          </mc:Choice>
          <mc:Fallback>
            <w:pict>
              <v:group w14:anchorId="3F5D99B5" id="Group 202293" o:spid="_x0000_s6879" style="width:314.35pt;height:493.15pt;mso-position-horizontal-relative:char;mso-position-vertical-relative:line" coordsize="39922,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aNSLwoAAER7AAAOAAAAZHJzL2Uyb0RvYy54bWzkXd2O2kgWvh9p3wFx36H+y0bpRKvNTrTS&#10;aGY0s/sAhIZuJMDIkHRnn36+U2WXwdRoNLZEIVUuCBS0f85X5+87p8rvP77ttpNvq/q4qfaPU/6O&#10;TSer/bJ62uyfH6f/+++PD8V0cjwt9k+LbbVfPU6/r47Tjx/+8cP718N8JaqXavu0qic4yP44fz08&#10;Tl9Op8N8NjsuX1a7xfFddVjt8eW6qneLEz7Wz7OnevGKo++2M8GYmb1W9dOhrpar4xGjn/yX0w/u&#10;+Ov1ann6Zb0+rk6T7eMU13Zyr7V7/UKvsw/vF/PnenF42Syby1gMuIrdYrPHScOhPi1Oi8nXenN1&#10;qN1mWVfHan16t6x2s2q93ixX7h5wN5z17uZzXX09uHt5nr8+H4KYINqenAYfdvnzt8/14ffDrzUk&#10;8Xp4hizcJ7qXt3W9o/9xlZM3J7LvQWSrt9NkiUFZlkIwMZ0s8Z0RRhRaeaEuXyD5q79bvvz7L/5y&#10;1p54dnE5rwdMkGMng+M4Gfz+sjisnGiPc8jg13qyeXqcCslZOZ3sFztM1d8weRb75+1q4oedgNyv&#10;g7iO8yMk18pqUleYXw+c2ZL+ufnQyI6XjBWFnU4gpQcj8NELqRUjt4U0ODNJUWhmlKHvgygW80N9&#10;PH1eVbsJvXmc1rg2d/zFt5+OJ//T9id0Ods9ve6rHzfbrf+WRiDR9orp3enty5u7bW24pvPR4Jfq&#10;6Tuk8VLV//8Fer3eVq+P06p5NyVVx+np2+lk+589UCCtat/U7Zsv7Zv6tP1X5XTPX9A/v56q9cZd&#10;cXe25soAr7+GW+DMcd0RnDHcCAKz4u/j/MAlN4WUDmjDeVmaRh1apLVkJZPGQ82VKPxUuCHUbmp1&#10;ws8Aah6Hmo+H2loPtQbQRl5DXZRWn0HtznhDqG17h9loNTxRTKtFK4gRWs1hn2GedWGlZM5eLuYX&#10;Wi0wz8iAk1YXJZ3xhlAX7R1mAzU0Lwa1bAUxEGpujbWIWglqq8rSOnt5BjUMfFmkhNpNrawMuIpD&#10;7ewtCWIQ1Bxhj0C06pDWTMJz09TpkLZCWtOEtil0WoRYJA+dZgLZQwRpPz4mLOOCG4tIzEEtEZ4j&#10;FL+AmhfQdQ6Lksp+w3c0N5gP1jEDTliPs+BCcK65T7X0fWIdopF8sI5ZcMJ6nAl/4EqBcjjT654J&#10;93qNkyfT6zCZ88BacnjRaFwW0s5BzvrBCi5Yg7TQxuieBVdSK03kTTKkw1TOA2nS3lhi7cfHeGsB&#10;4kS23ppLKUUPa8ehGJj4ZFhnRpcRprHM2o+PwRqEmTVMNYr952CfEWa3Tq1FsFx5KDZMOOCIpdaB&#10;Yxhmwh03yhrCjDFQ5O6AXcLl9BrUSjq9zo8wi5c7wHWN1GqwJA3UqiiMMXcHdZjMuWg16ISYVncs&#10;wyCtloxYFG+/lTXw1j2kS1GWKC+l0+kwlfMAGj7ZxpTaj4/RamGkLprMWhnFYMIvWRQtONM8IWMm&#10;M2TMYlpNcVkQxSC1fuCI+GC3XWp9p2BnRplJLmIxuBseo9a8RAB+hnPPfqMbgc6bKtWSmZFlgDPG&#10;i7rhMShTZ4K1Bo4YhS2luTHwEjjgefSN5pcyYVaNtonmDvPw1MA0Rou64TFQS7CenIGbIaRlKaXq&#10;IV2gwShlSOYbJfKpYFLoBb26Sqn9+BioKSQTDXuihGXMJ25nSg3atCDeNJn9zo8qo+6BKNYh5Rwc&#10;kiG69pWtOwU7O6oM5OA11rDgQRCDoD4LyaJKnTgky44lI6W70migHAQxCOWLZlHFlTH9tuCrZtFb&#10;c9+ezMnHUwPTmPF2w2P8tIeaeHWKyZiQ0rj8/MxRU19wyg5CmRlPBkxjNJkbHg910wIu0ffPPCvV&#10;g/q8BfzWWq0CN5RLogUIYga84wsHGXCumWq5b4nk2iLpwtTpkEZobkuVkD1RmXFklFH9SQshxseo&#10;teAFcmpMIxhwabSUtoc12JUCbQvpMi3Ms+YG89BqwjrGn/jxMViXWKtFRNj9Qp0ZU0aQxlhRPz4G&#10;agkLrTQCgfvFOrO+MslB+UeddbBvg5w1VnUI5elvibyKedfY+Wr0/6sSXYXJmDJcXFb2G0DHdNoN&#10;j1Fp9InSClyv0ooZi4o0jtchjfo4V9SckooT9at7c8qqwfhHVTrYtkEqLdAIzJoVPBLrBiSaFC+Q&#10;5lYaTvR4MqQDQ5RHTAbljYXfbniMThcSqZavaGGZFmO6B7Tk2nKTcFEeJllzf9kAHWe+kQGNARoZ&#10;swCS3nhjnTzW4PVUmkqbNmVKnR1PJuPsN4ZHIc1gmeEJKfIWJWKBso90idX1KQMynR9NFie/uyrA&#10;IDeNVuCioEIZIW3BiJoe0kJi9S1VyFO5aZ0ZTQZ/HOe+uyLAQKQ5NXt7pNH0jZ0SLq03VlSjQxg/&#10;SIZ0SCJz8dMg+2Ohd1cDGIQ0+kOx7RMdm5RaK0kJFdxBl2WhGVgolTDL0u6CcsqyKEKOlKm7IsAg&#10;qLtmhDjOaZsR/HZjWaEcp8c6+n8Qyr5CrTzrLRRxKH2Fpgo1PGU6250dQUbmM6bQwbINgloYZQtq&#10;NSDTLUpjlaNhOtPNJQw3FhCkQzokkXl4aapjxLTaj4/JsqDWBdZzYh4R2ODD0GfU89OSFSUaj9KB&#10;HfLIfMCOOWoCO+QhAxUbC+fvG+vsaDIqOcVMePBlg5BG+M1BlPkih2Aau4v21Rpr8cClJVTr7Hgy&#10;IrNiUAdnNgjqs/Db4ewmTuerEy/P8m2MWYXfcTYUkfNIP00r5qGv8NO8FMbqPtAUfqfcHAHlleYO&#10;8/DT6AeI06FdrWeQQvtMq9kcgWOXBPQQXoVkiaHOjyWL86F+5RyZtxFQN0vmSb9ZGYOadmZIRYh6&#10;Lj4nA46yTsxNd9We4VC320FzrbHfpPP7Z56aEq3z7aBv3fbttyLPCupYnoVegeDJhkPdbvLOFdbX&#10;+qL3BdTY5B2RfzKtdmYmK6hj/AmgDp5sBNQMFoPCMjwdgrNrrcb+Nglrl97MZAV1nBXt6j0DocZj&#10;OVwPEUHNC/SL9qHGzrJuX8JWq2/96AZseZhZBE7NfZGUuiv6DIK6S6k9zk6sZ9Y7bUXLb5WWlULH&#10;OTKfAZMgBqGstG1XccBqo6TRgxld4Ioe5JDOSWfGkBHBHYu9/fhI9oTWXvniZakYh0PG8c5UGq6b&#10;NhZPhjVuPCvTDUxhx65ttx8fgzXtDgwD7SKy+4Q6ZBe58GTUpBnz0iFcGWS/XYuRIW4EAVmBBzgU&#10;/Z3JaG8b2i2rjcdunVCjZpuVUiOdium0Gx6j0l08FoU5bTjm22CyCsfiXChWSY4B+WILDFNKhbmE&#10;45376MQ7YGA1cWbqjOpdzHB3Rb3hhltTSwkMt8amCNhT5RJpGG6Ldv90hjs7eozWRkVcdFfTG4R0&#10;Z7ijMCc23KHunkscRlFxDOQQpgwC2RvuZkMbPG/HRrftT9nUj6Ujd2K43TOL8ahm9+jH5rHS9Czo&#10;88/uabfdw68//AEAAP//AwBQSwMEFAAGAAgAAAAhAAXws23dAAAABQEAAA8AAABkcnMvZG93bnJl&#10;di54bWxMj0FLw0AQhe+C/2EZwZvdpMWYptmUUtRTEWwF8TbNTpPQ7GzIbpP037t60cvA4z3e+yZf&#10;T6YVA/WusawgnkUgiEurG64UfBxeHlIQziNrbC2Tgis5WBe3Nzlm2o78TsPeVyKUsMtQQe19l0np&#10;ypoMupntiIN3sr1BH2RfSd3jGMpNK+dRlEiDDYeFGjva1lSe9xej4HXEcbOIn4fd+bS9fh0e3z53&#10;MSl1fzdtViA8Tf4vDD/4AR2KwHS0F9ZOtArCI/73Bi+Zp08gjgqWabIAWeTyP33xDQAA//8DAFBL&#10;AQItABQABgAIAAAAIQC2gziS/gAAAOEBAAATAAAAAAAAAAAAAAAAAAAAAABbQ29udGVudF9UeXBl&#10;c10ueG1sUEsBAi0AFAAGAAgAAAAhADj9If/WAAAAlAEAAAsAAAAAAAAAAAAAAAAALwEAAF9yZWxz&#10;Ly5yZWxzUEsBAi0AFAAGAAgAAAAhAJUlo1IvCgAARHsAAA4AAAAAAAAAAAAAAAAALgIAAGRycy9l&#10;Mm9Eb2MueG1sUEsBAi0AFAAGAAgAAAAhAAXws23dAAAABQEAAA8AAAAAAAAAAAAAAAAAiQwAAGRy&#10;cy9kb3ducmV2LnhtbFBLBQYAAAAABAAEAPMAAACTDQAAAAA=&#10;">
                <v:rect id="Rectangle 23109" o:spid="_x0000_s6880" style="position:absolute;left:19008;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nkxwAAAN4AAAAPAAAAZHJzL2Rvd25yZXYueG1sRI9Pi8Iw&#10;FMTvC36H8ARva6oLi1ajiCLbg5f1D3h8NM+22ryEJtrqp98sLOxxmJnfMPNlZ2rxoMZXlhWMhgkI&#10;4tzqigsFx8P2fQLCB2SNtWVS8CQPy0XvbY6pti1/02MfChEh7FNUUIbgUil9XpJBP7SOOHoX2xgM&#10;UTaF1A22EW5qOU6ST2mw4rhQoqN1SfltfzcKzht22baV+eW1drtrNqm/7seTUoN+t5qBCNSF//Bf&#10;O9MKxh+jZAq/d+IVkIsfAAAA//8DAFBLAQItABQABgAIAAAAIQDb4fbL7gAAAIUBAAATAAAAAAAA&#10;AAAAAAAAAAAAAABbQ29udGVudF9UeXBlc10ueG1sUEsBAi0AFAAGAAgAAAAhAFr0LFu/AAAAFQEA&#10;AAsAAAAAAAAAAAAAAAAAHwEAAF9yZWxzLy5yZWxzUEsBAi0AFAAGAAgAAAAhAMkK6eTHAAAA3gAA&#10;AA8AAAAAAAAAAAAAAAAABwIAAGRycy9kb3ducmV2LnhtbFBLBQYAAAAAAwADALcAAAD7AgAAAAA=&#10;" filled="f" stroked="f">
                  <v:textbox inset="0,0,0,0">
                    <w:txbxContent>
                      <w:p w14:paraId="0A9F3745" w14:textId="77777777" w:rsidR="00B32EF2" w:rsidRDefault="00000000">
                        <w:r>
                          <w:rPr>
                            <w:rFonts w:ascii="Times New Roman" w:eastAsia="Times New Roman" w:hAnsi="Times New Roman" w:cs="Times New Roman"/>
                          </w:rPr>
                          <w:t>17</w:t>
                        </w:r>
                      </w:p>
                    </w:txbxContent>
                  </v:textbox>
                </v:rect>
                <v:rect id="Rectangle 23110" o:spid="_x0000_s6881" style="position:absolute;left:-13168;top:611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akxAAAAN4AAAAPAAAAZHJzL2Rvd25yZXYueG1sRI/LisIw&#10;FIb3A75DOIK7Ma0Dg1SjiCLTxWy8gctDc2yrzUlooq3z9GYx4PLnv/HNl71pxINaX1tWkI4TEMSF&#10;1TWXCo6H7ecUhA/IGhvLpOBJHpaLwcccM2073tFjH0oRR9hnqKAKwWVS+qIig35sHXH0LrY1GKJs&#10;S6lb7OK4aeQkSb6lwZrjQ4WO1hUVt/3dKDhv2OXbThaXv7X7vebT5ud+PCk1GvarGYhAfXiH/9u5&#10;VjD5StMIEHEiCsjFCwAA//8DAFBLAQItABQABgAIAAAAIQDb4fbL7gAAAIUBAAATAAAAAAAAAAAA&#10;AAAAAAAAAABbQ29udGVudF9UeXBlc10ueG1sUEsBAi0AFAAGAAgAAAAhAFr0LFu/AAAAFQEAAAsA&#10;AAAAAAAAAAAAAAAAHwEAAF9yZWxzLy5yZWxzUEsBAi0AFAAGAAgAAAAhAN3p1qTEAAAA3gAAAA8A&#10;AAAAAAAAAAAAAAAABwIAAGRycy9kb3ducmV2LnhtbFBLBQYAAAAAAwADALcAAAD4AgAAAAA=&#10;" filled="f" stroked="f">
                  <v:textbox inset="0,0,0,0">
                    <w:txbxContent>
                      <w:p w14:paraId="47F00A4F" w14:textId="77777777" w:rsidR="00B32EF2" w:rsidRDefault="00000000">
                        <w:r>
                          <w:rPr>
                            <w:rFonts w:ascii="Arial" w:eastAsia="Arial" w:hAnsi="Arial" w:cs="Arial"/>
                            <w:sz w:val="18"/>
                          </w:rPr>
                          <w:t xml:space="preserve">al comma 3 ovvero tra i componenti che abbiano esercitato, per almeno dieci </w:t>
                        </w:r>
                      </w:p>
                    </w:txbxContent>
                  </v:textbox>
                </v:rect>
                <v:rect id="Rectangle 23111" o:spid="_x0000_s6882" style="position:absolute;left:-13167;top:599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M/xgAAAN4AAAAPAAAAZHJzL2Rvd25yZXYueG1sRI9Ba8JA&#10;FITvgv9heYI33UShSHQVUcQcvNRa6PGRfSbR7Nslu5rYX98tFHocZuYbZrXpTSOe1PrasoJ0moAg&#10;LqyuuVRw+ThMFiB8QNbYWCYFL/KwWQ8HK8y07fidnudQighhn6GCKgSXSemLigz6qXXE0bva1mCI&#10;si2lbrGLcNPIWZK8SYM1x4UKHe0qKu7nh1HwtWeXHzpZXL937nTLF83xcflUajzqt0sQgfrwH/5r&#10;51rBbJ6mKfzeiVdArn8AAAD//wMAUEsBAi0AFAAGAAgAAAAhANvh9svuAAAAhQEAABMAAAAAAAAA&#10;AAAAAAAAAAAAAFtDb250ZW50X1R5cGVzXS54bWxQSwECLQAUAAYACAAAACEAWvQsW78AAAAVAQAA&#10;CwAAAAAAAAAAAAAAAAAfAQAAX3JlbHMvLnJlbHNQSwECLQAUAAYACAAAACEAsqVzP8YAAADeAAAA&#10;DwAAAAAAAAAAAAAAAAAHAgAAZHJzL2Rvd25yZXYueG1sUEsFBgAAAAADAAMAtwAAAPoCAAAAAA==&#10;" filled="f" stroked="f">
                  <v:textbox inset="0,0,0,0">
                    <w:txbxContent>
                      <w:p w14:paraId="456C914E" w14:textId="77777777" w:rsidR="00B32EF2" w:rsidRDefault="00000000">
                        <w:r>
                          <w:rPr>
                            <w:rFonts w:ascii="Arial" w:eastAsia="Arial" w:hAnsi="Arial" w:cs="Arial"/>
                            <w:sz w:val="18"/>
                          </w:rPr>
                          <w:t xml:space="preserve">anni, le funzioni di giudice tributario di secondo grado, purché in possesso </w:t>
                        </w:r>
                      </w:p>
                    </w:txbxContent>
                  </v:textbox>
                </v:rect>
                <v:rect id="Rectangle 23112" o:spid="_x0000_s6883" style="position:absolute;left:-13168;top:58733;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1IxwAAAN4AAAAPAAAAZHJzL2Rvd25yZXYueG1sRI9Pa8JA&#10;FMTvhX6H5RW81U0iFEldpShiDr3UP+DxkX0mabNvl+xqUj+9Kwgeh5n5DTNbDKYVF+p8Y1lBOk5A&#10;EJdWN1wp2O/W71MQPiBrbC2Tgn/ysJi/vsww17bnH7psQyUihH2OCuoQXC6lL2sy6MfWEUfvZDuD&#10;IcqukrrDPsJNK7Mk+ZAGG44LNTpa1lT+bc9GwXHFrlj3sjxdl+77t5i2m/P+oNTobfj6BBFoCM/w&#10;o11oBdkkTTO434lXQM5vAAAA//8DAFBLAQItABQABgAIAAAAIQDb4fbL7gAAAIUBAAATAAAAAAAA&#10;AAAAAAAAAAAAAABbQ29udGVudF9UeXBlc10ueG1sUEsBAi0AFAAGAAgAAAAhAFr0LFu/AAAAFQEA&#10;AAsAAAAAAAAAAAAAAAAAHwEAAF9yZWxzLy5yZWxzUEsBAi0AFAAGAAgAAAAhAEJ37UjHAAAA3gAA&#10;AA8AAAAAAAAAAAAAAAAABwIAAGRycy9kb3ducmV2LnhtbFBLBQYAAAAAAwADALcAAAD7AgAAAAA=&#10;" filled="f" stroked="f">
                  <v:textbox inset="0,0,0,0">
                    <w:txbxContent>
                      <w:p w14:paraId="71067C88" w14:textId="77777777" w:rsidR="00B32EF2" w:rsidRDefault="00000000">
                        <w:r>
                          <w:rPr>
                            <w:rFonts w:ascii="Arial" w:eastAsia="Arial" w:hAnsi="Arial" w:cs="Arial"/>
                            <w:sz w:val="18"/>
                          </w:rPr>
                          <w:t xml:space="preserve">del diploma di laurea in giurisprudenza o in economia e commercio, secondo </w:t>
                        </w:r>
                      </w:p>
                    </w:txbxContent>
                  </v:textbox>
                </v:rect>
                <v:rect id="Rectangle 23113" o:spid="_x0000_s6884" style="position:absolute;left:-11767;top:57499;width:516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0jTxgAAAN4AAAAPAAAAZHJzL2Rvd25yZXYueG1sRI9Ba8JA&#10;FITvgv9heUJvuomCSOoqokhz8KJV6PGRfSZps2+X7Gpif31XEHocZuYbZrnuTSPu1PrasoJ0koAg&#10;LqyuuVRw/tyPFyB8QNbYWCYFD/KwXg0HS8y07fhI91MoRYSwz1BBFYLLpPRFRQb9xDri6F1tazBE&#10;2ZZSt9hFuGnkNEnm0mDNcaFCR9uKip/TzSj42rHL950srr9bd/jOF83H7XxR6m3Ub95BBOrDf/jV&#10;zrWC6SxNZ/C8E6+AXP0BAAD//wMAUEsBAi0AFAAGAAgAAAAhANvh9svuAAAAhQEAABMAAAAAAAAA&#10;AAAAAAAAAAAAAFtDb250ZW50X1R5cGVzXS54bWxQSwECLQAUAAYACAAAACEAWvQsW78AAAAVAQAA&#10;CwAAAAAAAAAAAAAAAAAfAQAAX3JlbHMvLnJlbHNQSwECLQAUAAYACAAAACEALTtI08YAAADeAAAA&#10;DwAAAAAAAAAAAAAAAAAHAgAAZHJzL2Rvd25yZXYueG1sUEsFBgAAAAADAAMAtwAAAPoCAAAAAA==&#10;" filled="f" stroked="f">
                  <v:textbox inset="0,0,0,0">
                    <w:txbxContent>
                      <w:p w14:paraId="76144E01" w14:textId="77777777" w:rsidR="00B32EF2" w:rsidRDefault="00000000">
                        <w:r>
                          <w:rPr>
                            <w:rFonts w:ascii="Arial" w:eastAsia="Arial" w:hAnsi="Arial" w:cs="Arial"/>
                            <w:sz w:val="18"/>
                          </w:rPr>
                          <w:t>la graduatoria redatta sulla base delle disposizioni contenute nell’articolo 17.</w:t>
                        </w:r>
                      </w:p>
                    </w:txbxContent>
                  </v:textbox>
                </v:rect>
                <v:rect id="Rectangle 23114" o:spid="_x0000_s6885" style="position:absolute;left:15612;top:55033;width:72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tCnxwAAAN4AAAAPAAAAZHJzL2Rvd25yZXYueG1sRI9Pa8JA&#10;FMTvgt9heYI33cRKkdRVRJHm0Ev9Az0+ss8kbfbtkl1N7Kd3CwWPw8z8hlmue9OIG7W+tqwgnSYg&#10;iAuray4VnI77yQKED8gaG8uk4E4e1qvhYImZth1/0u0QShEh7DNUUIXgMil9UZFBP7WOOHoX2xoM&#10;Ubal1C12EW4aOUuSV2mw5rhQoaNtRcXP4WoUfO3Y5ftOFpffrfv4zhfN+/V0Vmo86jdvIAL14Rn+&#10;b+dawewlTefwdydeAbl6AAAA//8DAFBLAQItABQABgAIAAAAIQDb4fbL7gAAAIUBAAATAAAAAAAA&#10;AAAAAAAAAAAAAABbQ29udGVudF9UeXBlc10ueG1sUEsBAi0AFAAGAAgAAAAhAFr0LFu/AAAAFQEA&#10;AAsAAAAAAAAAAAAAAAAAHwEAAF9yZWxzLy5yZWxzUEsBAi0AFAAGAAgAAAAhAKLS0KfHAAAA3gAA&#10;AA8AAAAAAAAAAAAAAAAABwIAAGRycy9kb3ducmV2LnhtbFBLBQYAAAAAAwADALcAAAD7AgAAAAA=&#10;" filled="f" stroked="f">
                  <v:textbox inset="0,0,0,0">
                    <w:txbxContent>
                      <w:p w14:paraId="442965A2" w14:textId="77777777" w:rsidR="00B32EF2" w:rsidRDefault="00000000">
                        <w:r>
                          <w:rPr>
                            <w:rFonts w:ascii="Arial" w:eastAsia="Arial" w:hAnsi="Arial" w:cs="Arial"/>
                            <w:b/>
                            <w:sz w:val="18"/>
                          </w:rPr>
                          <w:t>Articolo 5</w:t>
                        </w:r>
                      </w:p>
                    </w:txbxContent>
                  </v:textbox>
                </v:rect>
                <v:rect id="Rectangle 202285" o:spid="_x0000_s6886" style="position:absolute;left:12167;top:53799;width:185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4n8yAAAAN8AAAAPAAAAZHJzL2Rvd25yZXYueG1sRI9Ba8JA&#10;FITvBf/D8oTe6qaBSkjdhKKIOXjRKvT4yD6TtNm3S3Y1sb++Wyj0OMzMN8yqnEwvbjT4zrKC50UC&#10;gri2uuNGwel9+5SB8AFZY2+ZFNzJQ1nMHlaYazvygW7H0IgIYZ+jgjYEl0vp65YM+oV1xNG72MFg&#10;iHJopB5wjHDTyzRJltJgx3GhRUfrluqv49Uo+Niwq7ajrC/fa7f/rLJ+dz2dlXqcT2+vIAJN4T/8&#10;1660gjRJ0+wFfv/ELyCLHwAAAP//AwBQSwECLQAUAAYACAAAACEA2+H2y+4AAACFAQAAEwAAAAAA&#10;AAAAAAAAAAAAAAAAW0NvbnRlbnRfVHlwZXNdLnhtbFBLAQItABQABgAIAAAAIQBa9CxbvwAAABUB&#10;AAALAAAAAAAAAAAAAAAAAB8BAABfcmVscy8ucmVsc1BLAQItABQABgAIAAAAIQAev4n8yAAAAN8A&#10;AAAPAAAAAAAAAAAAAAAAAAcCAABkcnMvZG93bnJldi54bWxQSwUGAAAAAAMAAwC3AAAA/AIAAAAA&#10;" filled="f" stroked="f">
                  <v:textbox inset="0,0,0,0">
                    <w:txbxContent>
                      <w:p w14:paraId="688C6F72" w14:textId="77777777" w:rsidR="00B32EF2" w:rsidRDefault="00000000">
                        <w:r>
                          <w:rPr>
                            <w:rFonts w:ascii="Arial" w:eastAsia="Arial" w:hAnsi="Arial" w:cs="Arial"/>
                            <w:i/>
                            <w:sz w:val="18"/>
                          </w:rPr>
                          <w:t xml:space="preserve">articolo 4 D.lgs. n. </w:t>
                        </w:r>
                      </w:p>
                    </w:txbxContent>
                  </v:textbox>
                </v:rect>
                <v:rect id="Rectangle 202283" o:spid="_x0000_s6887" style="position:absolute;left:22115;top:53799;width:185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QTyAAAAN8AAAAPAAAAZHJzL2Rvd25yZXYueG1sRI9Ba8JA&#10;FITvBf/D8oTe6qYpSEjdhKKIOXjRKvT4yD6TtNm3S3Y1sb++Wyj0OMzMN8yqnEwvbjT4zrKC50UC&#10;gri2uuNGwel9+5SB8AFZY2+ZFNzJQ1nMHlaYazvygW7H0IgIYZ+jgjYEl0vp65YM+oV1xNG72MFg&#10;iHJopB5wjHDTyzRJltJgx3GhRUfrluqv49Uo+Niwq7ajrC/fa7f/rLJ+dz2dlXqcT2+vIAJN4T/8&#10;1660gjRJ0+wFfv/ELyCLHwAAAP//AwBQSwECLQAUAAYACAAAACEA2+H2y+4AAACFAQAAEwAAAAAA&#10;AAAAAAAAAAAAAAAAW0NvbnRlbnRfVHlwZXNdLnhtbFBLAQItABQABgAIAAAAIQBa9CxbvwAAABUB&#10;AAALAAAAAAAAAAAAAAAAAB8BAABfcmVscy8ucmVsc1BLAQItABQABgAIAAAAIQD+GrQTyAAAAN8A&#10;AAAPAAAAAAAAAAAAAAAAAAcCAABkcnMvZG93bnJldi54bWxQSwUGAAAAAAMAAwC3AAAA/AIAAAAA&#10;" filled="f" stroked="f">
                  <v:textbox inset="0,0,0,0">
                    <w:txbxContent>
                      <w:p w14:paraId="7F9D52A2" w14:textId="77777777" w:rsidR="00B32EF2" w:rsidRDefault="00000000">
                        <w:r>
                          <w:rPr>
                            <w:rFonts w:ascii="Arial" w:eastAsia="Arial" w:hAnsi="Arial" w:cs="Arial"/>
                            <w:i/>
                            <w:sz w:val="18"/>
                          </w:rPr>
                          <w:t>(</w:t>
                        </w:r>
                      </w:p>
                    </w:txbxContent>
                  </v:textbox>
                </v:rect>
                <v:rect id="Rectangle 202284" o:spid="_x0000_s6888" style="position:absolute;left:-1446;top:53799;width:185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yxnyAAAAN8AAAAPAAAAZHJzL2Rvd25yZXYueG1sRI9Ba8JA&#10;FITvBf/D8oTe6qahSEjdhKKIOXjRKvT4yD6TtNm3S3Y1sb++Wyj0OMzMN8yqnEwvbjT4zrKC50UC&#10;gri2uuNGwel9+5SB8AFZY2+ZFNzJQ1nMHlaYazvygW7H0IgIYZ+jgjYEl0vp65YM+oV1xNG72MFg&#10;iHJopB5wjHDTyzRJltJgx3GhRUfrluqv49Uo+Niwq7ajrC/fa7f/rLJ+dz2dlXqcT2+vIAJN4T/8&#10;1660gjRJ0+wFfv/ELyCLHwAAAP//AwBQSwECLQAUAAYACAAAACEA2+H2y+4AAACFAQAAEwAAAAAA&#10;AAAAAAAAAAAAAAAAW0NvbnRlbnRfVHlwZXNdLnhtbFBLAQItABQABgAIAAAAIQBa9CxbvwAAABUB&#10;AAALAAAAAAAAAAAAAAAAAB8BAABfcmVscy8ucmVsc1BLAQItABQABgAIAAAAIQBx8yxnyAAAAN8A&#10;AAAPAAAAAAAAAAAAAAAAAAcCAABkcnMvZG93bnJldi54bWxQSwUGAAAAAAMAAwC3AAAA/AIAAAAA&#10;" filled="f" stroked="f">
                  <v:textbox inset="0,0,0,0">
                    <w:txbxContent>
                      <w:p w14:paraId="0541A2B3" w14:textId="77777777" w:rsidR="00B32EF2" w:rsidRDefault="00000000">
                        <w:r>
                          <w:rPr>
                            <w:rFonts w:ascii="Arial" w:eastAsia="Arial" w:hAnsi="Arial" w:cs="Arial"/>
                            <w:i/>
                            <w:sz w:val="18"/>
                          </w:rPr>
                          <w:t>545/92)</w:t>
                        </w:r>
                      </w:p>
                    </w:txbxContent>
                  </v:textbox>
                </v:rect>
                <v:rect id="Rectangle 23116" o:spid="_x0000_s6889" style="position:absolute;left:-7212;top:52566;width:435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OtLxgAAAN4AAAAPAAAAZHJzL2Rvd25yZXYueG1sRI9Ba8JA&#10;FITvBf/D8gRvdRMLItFVRJHm4KVWweMj+0yi2bdLdjXRX98tFHocZuYbZrHqTSMe1PrasoJ0nIAg&#10;LqyuuVRw/N69z0D4gKyxsUwKnuRhtRy8LTDTtuMvehxCKSKEfYYKqhBcJqUvKjLox9YRR+9iW4Mh&#10;yraUusUuwk0jJ0kylQZrjgsVOtpUVNwOd6PgvGWX7zpZXF4bt7/ms+bzfjwpNRr26zmIQH34D/+1&#10;c61g8pGmU/i9E6+AXP4AAAD//wMAUEsBAi0AFAAGAAgAAAAhANvh9svuAAAAhQEAABMAAAAAAAAA&#10;AAAAAAAAAAAAAFtDb250ZW50X1R5cGVzXS54bWxQSwECLQAUAAYACAAAACEAWvQsW78AAAAVAQAA&#10;CwAAAAAAAAAAAAAAAAAfAQAAX3JlbHMvLnJlbHNQSwECLQAUAAYACAAAACEAPUzrS8YAAADeAAAA&#10;DwAAAAAAAAAAAAAAAAAHAgAAZHJzL2Rvd25yZXYueG1sUEsFBgAAAAADAAMAtwAAAPoCAAAAAA==&#10;" filled="f" stroked="f">
                  <v:textbox inset="0,0,0,0">
                    <w:txbxContent>
                      <w:p w14:paraId="4A9E99BB" w14:textId="77777777" w:rsidR="00B32EF2" w:rsidRDefault="00000000">
                        <w:r>
                          <w:rPr>
                            <w:rFonts w:ascii="Arial" w:eastAsia="Arial" w:hAnsi="Arial" w:cs="Arial"/>
                            <w:b/>
                            <w:sz w:val="18"/>
                          </w:rPr>
                          <w:t xml:space="preserve">I magistrati delle corti di giustizia tributaria di primo grado </w:t>
                        </w:r>
                      </w:p>
                    </w:txbxContent>
                  </v:textbox>
                </v:rect>
                <v:rect id="Rectangle 202281" o:spid="_x0000_s6890" style="position:absolute;left:26113;top:51333;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I//xwAAAN8AAAAPAAAAZHJzL2Rvd25yZXYueG1sRI9Ba8JA&#10;FITvBf/D8oTe6sYcSkjdBFGkOfRSq9DjI/tMotm3S3Y10V/fLRR6HGbmG2ZVTqYXNxp8Z1nBcpGA&#10;IK6t7rhRcPjavWQgfEDW2FsmBXfyUBazpxXm2o78Sbd9aESEsM9RQRuCy6X0dUsG/cI64uid7GAw&#10;RDk0Ug84RrjpZZokr9Jgx3GhRUeblurL/moUfG/ZVbtR1qfHxn2cq6x/vx6OSj3Pp/UbiEBT+A//&#10;tSutIE3SNFvC75/4BWTxAwAA//8DAFBLAQItABQABgAIAAAAIQDb4fbL7gAAAIUBAAATAAAAAAAA&#10;AAAAAAAAAAAAAABbQ29udGVudF9UeXBlc10ueG1sUEsBAi0AFAAGAAgAAAAhAFr0LFu/AAAAFQEA&#10;AAsAAAAAAAAAAAAAAAAAHwEAAF9yZWxzLy5yZWxzUEsBAi0AFAAGAAgAAAAhAGGEj//HAAAA3wAA&#10;AA8AAAAAAAAAAAAAAAAABwIAAGRycy9kb3ducmV2LnhtbFBLBQYAAAAAAwADALcAAAD7AgAAAAA=&#10;" filled="f" stroked="f">
                  <v:textbox inset="0,0,0,0">
                    <w:txbxContent>
                      <w:p w14:paraId="60A0EA31" w14:textId="77777777" w:rsidR="00B32EF2" w:rsidRDefault="00000000">
                        <w:r>
                          <w:rPr>
                            <w:rFonts w:ascii="Arial" w:eastAsia="Arial" w:hAnsi="Arial" w:cs="Arial"/>
                            <w:sz w:val="18"/>
                          </w:rPr>
                          <w:t>1</w:t>
                        </w:r>
                      </w:p>
                    </w:txbxContent>
                  </v:textbox>
                </v:rect>
                <v:rect id="Rectangle 202282" o:spid="_x0000_s6891" style="position:absolute;left:-13760;top:513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hGIxwAAAN8AAAAPAAAAZHJzL2Rvd25yZXYueG1sRI9Ba8JA&#10;FITvhf6H5RV6q5vuoYToKmIRc/BStdDjI/tMotm3S3Y10V/fLRQ8DjPzDTNbjLYTV+pD61jD+yQD&#10;QVw503Kt4bBfv+UgQkQ22DkmDTcKsJg/P82wMG7gL7ruYi0ShEOBGpoYfSFlqBqyGCbOEyfv6HqL&#10;Mcm+lqbHIcFtJ1WWfUiLLaeFBj2tGqrOu4vV8PPJvlwPsjreV357KvNuczl8a/36Mi6nICKN8RH+&#10;b5dGg8qUyhX8/UlfQM5/AQAA//8DAFBLAQItABQABgAIAAAAIQDb4fbL7gAAAIUBAAATAAAAAAAA&#10;AAAAAAAAAAAAAABbQ29udGVudF9UeXBlc10ueG1sUEsBAi0AFAAGAAgAAAAhAFr0LFu/AAAAFQEA&#10;AAsAAAAAAAAAAAAAAAAAHwEAAF9yZWxzLy5yZWxzUEsBAi0AFAAGAAgAAAAhAJFWEYjHAAAA3wAA&#10;AA8AAAAAAAAAAAAAAAAABwIAAGRycy9kb3ducmV2LnhtbFBLBQYAAAAAAwADALcAAAD7AgAAAAA=&#10;" filled="f" stroked="f">
                  <v:textbox inset="0,0,0,0">
                    <w:txbxContent>
                      <w:p w14:paraId="34FCE82B" w14:textId="77777777" w:rsidR="00B32EF2" w:rsidRDefault="00000000">
                        <w:r>
                          <w:rPr>
                            <w:rFonts w:ascii="Arial" w:eastAsia="Arial" w:hAnsi="Arial" w:cs="Arial"/>
                            <w:sz w:val="18"/>
                          </w:rPr>
                          <w:t xml:space="preserve">. La nomina a magistrato tributario si consegue mediante un concorso per </w:t>
                        </w:r>
                      </w:p>
                    </w:txbxContent>
                  </v:textbox>
                </v:rect>
                <v:rect id="Rectangle 23118" o:spid="_x0000_s6892" style="position:absolute;left:-13168;top:50099;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9qiwwAAAN4AAAAPAAAAZHJzL2Rvd25yZXYueG1sRE/LisIw&#10;FN0P+A/hCu7GtA4MUo0iikwXs/EFLi/Nta02N6GJts7Xm8WAy8N5z5e9acSDWl9bVpCOExDEhdU1&#10;lwqOh+3nFIQPyBoby6TgSR6Wi8HHHDNtO97RYx9KEUPYZ6igCsFlUvqiIoN+bB1x5C62NRgibEup&#10;W+xiuGnkJEm+pcGaY0OFjtYVFbf93Sg4b9jl204Wl7+1+73m0+bnfjwpNRr2qxmIQH14i//duVYw&#10;+UrTuDfeiVdALl4AAAD//wMAUEsBAi0AFAAGAAgAAAAhANvh9svuAAAAhQEAABMAAAAAAAAAAAAA&#10;AAAAAAAAAFtDb250ZW50X1R5cGVzXS54bWxQSwECLQAUAAYACAAAACEAWvQsW78AAAAVAQAACwAA&#10;AAAAAAAAAAAAAAAfAQAAX3JlbHMvLnJlbHNQSwECLQAUAAYACAAAACEAI5/aosMAAADeAAAADwAA&#10;AAAAAAAAAAAAAAAHAgAAZHJzL2Rvd25yZXYueG1sUEsFBgAAAAADAAMAtwAAAPcCAAAAAA==&#10;" filled="f" stroked="f">
                  <v:textbox inset="0,0,0,0">
                    <w:txbxContent>
                      <w:p w14:paraId="3836C660" w14:textId="77777777" w:rsidR="00B32EF2" w:rsidRDefault="00000000">
                        <w:r>
                          <w:rPr>
                            <w:rFonts w:ascii="Arial" w:eastAsia="Arial" w:hAnsi="Arial" w:cs="Arial"/>
                            <w:sz w:val="18"/>
                          </w:rPr>
                          <w:t xml:space="preserve">esami bandito in relazione ai posti vacanti e a quelli che si renderanno vacanti </w:t>
                        </w:r>
                      </w:p>
                    </w:txbxContent>
                  </v:textbox>
                </v:rect>
                <v:rect id="Rectangle 23119" o:spid="_x0000_s6893" style="position:absolute;left:-13168;top:488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385xwAAAN4AAAAPAAAAZHJzL2Rvd25yZXYueG1sRI9Pa8JA&#10;FMTvBb/D8gRvuokFsamriCLNoRf/FHp8ZJ9J2uzbJbua2E/vCkKPw8z8hlmsetOIK7W+tqwgnSQg&#10;iAuray4VnI678RyED8gaG8uk4EYeVsvBywIzbTve0/UQShEh7DNUUIXgMil9UZFBP7GOOHpn2xoM&#10;Ubal1C12EW4aOU2SmTRYc1yo0NGmouL3cDEKvrfs8l0ni/Pfxn3+5PPm43L6Umo07NfvIAL14T/8&#10;bOdawfQ1Td/gcSdeAbm8AwAA//8DAFBLAQItABQABgAIAAAAIQDb4fbL7gAAAIUBAAATAAAAAAAA&#10;AAAAAAAAAAAAAABbQ29udGVudF9UeXBlc10ueG1sUEsBAi0AFAAGAAgAAAAhAFr0LFu/AAAAFQEA&#10;AAsAAAAAAAAAAAAAAAAAHwEAAF9yZWxzLy5yZWxzUEsBAi0AFAAGAAgAAAAhAEzTfznHAAAA3gAA&#10;AA8AAAAAAAAAAAAAAAAABwIAAGRycy9kb3ducmV2LnhtbFBLBQYAAAAAAwADALcAAAD7AgAAAAA=&#10;" filled="f" stroked="f">
                  <v:textbox inset="0,0,0,0">
                    <w:txbxContent>
                      <w:p w14:paraId="4C441EBB" w14:textId="77777777" w:rsidR="00B32EF2" w:rsidRDefault="00000000">
                        <w:r>
                          <w:rPr>
                            <w:rFonts w:ascii="Arial" w:eastAsia="Arial" w:hAnsi="Arial" w:cs="Arial"/>
                            <w:sz w:val="18"/>
                          </w:rPr>
                          <w:t xml:space="preserve">nel quadriennio successivo, per i quali può essere attivata la procedura di </w:t>
                        </w:r>
                      </w:p>
                    </w:txbxContent>
                  </v:textbox>
                </v:rect>
                <v:rect id="Rectangle 23120" o:spid="_x0000_s6894" style="position:absolute;left:30612;top:47633;width:92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RwZxAAAAN4AAAAPAAAAZHJzL2Rvd25yZXYueG1sRI/LisIw&#10;FIb3A75DOIK7MbUDg1SjiCLTxWy8gctDc2yrzUlooq3z9GYx4PLnv/HNl71pxINaX1tWMBknIIgL&#10;q2suFRwP288pCB+QNTaWScGTPCwXg485Ztp2vKPHPpQijrDPUEEVgsuk9EVFBv3YOuLoXWxrMETZ&#10;llK32MVx08g0Sb6lwZrjQ4WO1hUVt/3dKDhv2OXbThaXv7X7vebT5ud+PCk1GvarGYhAfXiH/9u5&#10;VpB+TdIIEHEiCsjFCwAA//8DAFBLAQItABQABgAIAAAAIQDb4fbL7gAAAIUBAAATAAAAAAAAAAAA&#10;AAAAAAAAAABbQ29udGVudF9UeXBlc10ueG1sUEsBAi0AFAAGAAgAAAAhAFr0LFu/AAAAFQEAAAsA&#10;AAAAAAAAAAAAAAAAHwEAAF9yZWxzLy5yZWxzUEsBAi0AFAAGAAgAAAAhABOFHBnEAAAA3gAAAA8A&#10;AAAAAAAAAAAAAAAABwIAAGRycy9kb3ducmV2LnhtbFBLBQYAAAAAAwADALcAAAD4AgAAAAA=&#10;" filled="f" stroked="f">
                  <v:textbox inset="0,0,0,0">
                    <w:txbxContent>
                      <w:p w14:paraId="16A27B68" w14:textId="77777777" w:rsidR="00B32EF2" w:rsidRDefault="00000000">
                        <w:r>
                          <w:rPr>
                            <w:rFonts w:ascii="Arial" w:eastAsia="Arial" w:hAnsi="Arial" w:cs="Arial"/>
                            <w:sz w:val="18"/>
                          </w:rPr>
                          <w:t>reclutamento.</w:t>
                        </w:r>
                      </w:p>
                    </w:txbxContent>
                  </v:textbox>
                </v:rect>
                <v:rect id="Rectangle 202279" o:spid="_x0000_s6895" style="position:absolute;left:26358;top:46400;width:5210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PexwAAAN8AAAAPAAAAZHJzL2Rvd25yZXYueG1sRI9Ba8JA&#10;FITvBf/D8gRvdWMOrY2uIoo0By+1Ch4f2WcSzb5dsquJ/vpuodDjMDPfMPNlbxpxp9bXlhVMxgkI&#10;4sLqmksFh+/t6xSED8gaG8uk4EEelovByxwzbTv+ovs+lCJC2GeooArBZVL6oiKDfmwdcfTOtjUY&#10;omxLqVvsItw0Mk2SN2mw5rhQoaN1RcV1fzMKTht2+baTxfm5drtLPm0+b4ejUqNhv5qBCNSH//Bf&#10;O9cK0iRN3z/g90/8AnLxAwAA//8DAFBLAQItABQABgAIAAAAIQDb4fbL7gAAAIUBAAATAAAAAAAA&#10;AAAAAAAAAAAAAABbQ29udGVudF9UeXBlc10ueG1sUEsBAi0AFAAGAAgAAAAhAFr0LFu/AAAAFQEA&#10;AAsAAAAAAAAAAAAAAAAAHwEAAF9yZWxzLy5yZWxzUEsBAi0AFAAGAAgAAAAhAKon897HAAAA3wAA&#10;AA8AAAAAAAAAAAAAAAAABwIAAGRycy9kb3ducmV2LnhtbFBLBQYAAAAAAwADALcAAAD7AgAAAAA=&#10;" filled="f" stroked="f">
                  <v:textbox inset="0,0,0,0">
                    <w:txbxContent>
                      <w:p w14:paraId="2A2CA444" w14:textId="77777777" w:rsidR="00B32EF2" w:rsidRDefault="00000000">
                        <w:r>
                          <w:rPr>
                            <w:rFonts w:ascii="Arial" w:eastAsia="Arial" w:hAnsi="Arial" w:cs="Arial"/>
                            <w:sz w:val="18"/>
                          </w:rPr>
                          <w:t>2</w:t>
                        </w:r>
                      </w:p>
                    </w:txbxContent>
                  </v:textbox>
                </v:rect>
                <v:rect id="Rectangle 202280" o:spid="_x0000_s6896" style="position:absolute;left:-12828;top:46400;width:5210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CpkxQAAAN8AAAAPAAAAZHJzL2Rvd25yZXYueG1sRI/NisIw&#10;FIX3A75DuIK7MbWLoVSjiCJ2MRsdBZeX5tpWm5vQRFt9+sliYJaH88e3WA2mFU/qfGNZwWyagCAu&#10;rW64UnD62X1mIHxA1thaJgUv8rBajj4WmGvb84Gex1CJOMI+RwV1CC6X0pc1GfRT64ijd7WdwRBl&#10;V0ndYR/HTSvTJPmSBhuODzU62tRU3o8Po+CyZVfselle3xv3fSuydv84nZWajIf1HESgIfyH/9qF&#10;VpAmaZpFgsgTWUAufwEAAP//AwBQSwECLQAUAAYACAAAACEA2+H2y+4AAACFAQAAEwAAAAAAAAAA&#10;AAAAAAAAAAAAW0NvbnRlbnRfVHlwZXNdLnhtbFBLAQItABQABgAIAAAAIQBa9CxbvwAAABUBAAAL&#10;AAAAAAAAAAAAAAAAAB8BAABfcmVscy8ucmVsc1BLAQItABQABgAIAAAAIQAOyCpkxQAAAN8AAAAP&#10;AAAAAAAAAAAAAAAAAAcCAABkcnMvZG93bnJldi54bWxQSwUGAAAAAAMAAwC3AAAA+QIAAAAA&#10;" filled="f" stroked="f">
                  <v:textbox inset="0,0,0,0">
                    <w:txbxContent>
                      <w:p w14:paraId="49E9A584" w14:textId="77777777" w:rsidR="00B32EF2" w:rsidRDefault="00000000">
                        <w:r>
                          <w:rPr>
                            <w:rFonts w:ascii="Arial" w:eastAsia="Arial" w:hAnsi="Arial" w:cs="Arial"/>
                            <w:sz w:val="18"/>
                          </w:rPr>
                          <w:t>. Il concorso per esami consiste in una prova scritta, effettuata con le pro</w:t>
                        </w:r>
                      </w:p>
                    </w:txbxContent>
                  </v:textbox>
                </v:rect>
                <v:rect id="Rectangle 23122" o:spid="_x0000_s6897" style="position:absolute;left:196;top:4640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yf1xgAAAN4AAAAPAAAAZHJzL2Rvd25yZXYueG1sRI9Ba8JA&#10;FITvgv9heYI33RihSHQVUcQcvNRa6PGRfSbR7Nslu5rYX98tFHocZuYbZrXpTSOe1PrasoLZNAFB&#10;XFhdc6ng8nGYLED4gKyxsUwKXuRhsx4OVphp2/E7Pc+hFBHCPkMFVQguk9IXFRn0U+uIo3e1rcEQ&#10;ZVtK3WIX4aaRaZK8SYM1x4UKHe0qKu7nh1HwtWeXHzpZXL937nTLF83xcflUajzqt0sQgfrwH/5r&#10;51pBOp+lKfzeiVdArn8AAAD//wMAUEsBAi0AFAAGAAgAAAAhANvh9svuAAAAhQEAABMAAAAAAAAA&#10;AAAAAAAAAAAAAFtDb250ZW50X1R5cGVzXS54bWxQSwECLQAUAAYACAAAACEAWvQsW78AAAAVAQAA&#10;CwAAAAAAAAAAAAAAAAAfAQAAX3JlbHMvLnJlbHNQSwECLQAUAAYACAAAACEAjBsn9cYAAADeAAAA&#10;DwAAAAAAAAAAAAAAAAAHAgAAZHJzL2Rvd25yZXYueG1sUEsFBgAAAAADAAMAtwAAAPoCAAAAAA==&#10;" filled="f" stroked="f">
                  <v:textbox inset="0,0,0,0">
                    <w:txbxContent>
                      <w:p w14:paraId="706E8492" w14:textId="77777777" w:rsidR="00B32EF2" w:rsidRDefault="00000000">
                        <w:r>
                          <w:rPr>
                            <w:rFonts w:ascii="Arial" w:eastAsia="Arial" w:hAnsi="Arial" w:cs="Arial"/>
                            <w:sz w:val="18"/>
                          </w:rPr>
                          <w:t>-</w:t>
                        </w:r>
                      </w:p>
                    </w:txbxContent>
                  </v:textbox>
                </v:rect>
                <v:rect id="Rectangle 23123" o:spid="_x0000_s6898" style="position:absolute;left:-13177;top:45166;width:53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4JuxgAAAN4AAAAPAAAAZHJzL2Rvd25yZXYueG1sRI9Ba8JA&#10;FITvgv9heYXedGMEkegqRZHm4EWr4PGRfSZps2+X7Gpif31XEHocZuYbZrnuTSPu1PrasoLJOAFB&#10;XFhdc6ng9LUbzUH4gKyxsUwKHuRhvRoOlphp2/GB7sdQighhn6GCKgSXSemLigz6sXXE0bva1mCI&#10;si2lbrGLcNPINElm0mDNcaFCR5uKip/jzSi4bNnlu04W19+N23/n8+bzdjor9f7WfyxABOrDf/jV&#10;zrWCdDpJp/C8E6+AXP0BAAD//wMAUEsBAi0AFAAGAAgAAAAhANvh9svuAAAAhQEAABMAAAAAAAAA&#10;AAAAAAAAAAAAAFtDb250ZW50X1R5cGVzXS54bWxQSwECLQAUAAYACAAAACEAWvQsW78AAAAVAQAA&#10;CwAAAAAAAAAAAAAAAAAfAQAAX3JlbHMvLnJlbHNQSwECLQAUAAYACAAAACEA41eCbsYAAADeAAAA&#10;DwAAAAAAAAAAAAAAAAAHAgAAZHJzL2Rvd25yZXYueG1sUEsFBgAAAAADAAMAtwAAAPoCAAAAAA==&#10;" filled="f" stroked="f">
                  <v:textbox inset="0,0,0,0">
                    <w:txbxContent>
                      <w:p w14:paraId="7C399619" w14:textId="77777777" w:rsidR="00B32EF2" w:rsidRDefault="00000000">
                        <w:r>
                          <w:rPr>
                            <w:rFonts w:ascii="Arial" w:eastAsia="Arial" w:hAnsi="Arial" w:cs="Arial"/>
                            <w:sz w:val="18"/>
                          </w:rPr>
                          <w:t xml:space="preserve">cedure di cui all’articolo 8 del regio decreto 15 ottobre 1925, n. 1860, e in una </w:t>
                        </w:r>
                      </w:p>
                    </w:txbxContent>
                  </v:textbox>
                </v:rect>
                <v:rect id="Rectangle 23124" o:spid="_x0000_s6899" style="position:absolute;left:31851;top:43933;width:80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hoaxwAAAN4AAAAPAAAAZHJzL2Rvd25yZXYueG1sRI9Pa8JA&#10;FMTvgt9heYI33ZhKkdRVRJHm0Ev9Az0+ss8kbfbtkl1N7Kd3CwWPw8z8hlmue9OIG7W+tqxgNk1A&#10;EBdW11wqOB33kwUIH5A1NpZJwZ08rFfDwRIzbTv+pNshlCJC2GeooArBZVL6oiKDfmodcfQutjUY&#10;omxLqVvsItw0Mk2SV2mw5rhQoaNtRcXP4WoUfO3Y5ftOFpffrfv4zhfN+/V0Vmo86jdvIAL14Rn+&#10;b+daQfoyS+fwdydeAbl6AAAA//8DAFBLAQItABQABgAIAAAAIQDb4fbL7gAAAIUBAAATAAAAAAAA&#10;AAAAAAAAAAAAAABbQ29udGVudF9UeXBlc10ueG1sUEsBAi0AFAAGAAgAAAAhAFr0LFu/AAAAFQEA&#10;AAsAAAAAAAAAAAAAAAAAHwEAAF9yZWxzLy5yZWxzUEsBAi0AFAAGAAgAAAAhAGy+GhrHAAAA3gAA&#10;AA8AAAAAAAAAAAAAAAAABwIAAGRycy9kb3ducmV2LnhtbFBLBQYAAAAAAwADALcAAAD7AgAAAAA=&#10;" filled="f" stroked="f">
                  <v:textbox inset="0,0,0,0">
                    <w:txbxContent>
                      <w:p w14:paraId="624E18EB" w14:textId="77777777" w:rsidR="00B32EF2" w:rsidRDefault="00000000">
                        <w:r>
                          <w:rPr>
                            <w:rFonts w:ascii="Arial" w:eastAsia="Arial" w:hAnsi="Arial" w:cs="Arial"/>
                            <w:sz w:val="18"/>
                          </w:rPr>
                          <w:t>prova orale.</w:t>
                        </w:r>
                      </w:p>
                    </w:txbxContent>
                  </v:textbox>
                </v:rect>
                <v:rect id="Rectangle 202277" o:spid="_x0000_s6900" style="position:absolute;left:26352;top:42700;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MI3xwAAAN8AAAAPAAAAZHJzL2Rvd25yZXYueG1sRI9Ba8JA&#10;FITvBf/D8gRvdWMOVaKriCLNoRethR4f2WcSzb5dsquJ/fWuIPQ4zMw3zGLVm0bcqPW1ZQWTcQKC&#10;uLC65lLB8Xv3PgPhA7LGxjIpuJOH1XLwtsBM2473dDuEUkQI+wwVVCG4TEpfVGTQj60jjt7JtgZD&#10;lG0pdYtdhJtGpknyIQ3WHBcqdLSpqLgcrkbB75ZdvutkcfrbuK9zPms+r8cfpUbDfj0HEagP/+FX&#10;O9cK0iRNp1N4/olfQC4fAAAA//8DAFBLAQItABQABgAIAAAAIQDb4fbL7gAAAIUBAAATAAAAAAAA&#10;AAAAAAAAAAAAAABbQ29udGVudF9UeXBlc10ueG1sUEsBAi0AFAAGAAgAAAAhAFr0LFu/AAAAFQEA&#10;AAsAAAAAAAAAAAAAAAAAHwEAAF9yZWxzLy5yZWxzUEsBAi0AFAAGAAgAAAAhALT0wjfHAAAA3wAA&#10;AA8AAAAAAAAAAAAAAAAABwIAAGRycy9kb3ducmV2LnhtbFBLBQYAAAAAAwADALcAAAD7AgAAAAA=&#10;" filled="f" stroked="f">
                  <v:textbox inset="0,0,0,0">
                    <w:txbxContent>
                      <w:p w14:paraId="60BA6484" w14:textId="77777777" w:rsidR="00B32EF2" w:rsidRDefault="00000000">
                        <w:r>
                          <w:rPr>
                            <w:rFonts w:ascii="Arial" w:eastAsia="Arial" w:hAnsi="Arial" w:cs="Arial"/>
                            <w:sz w:val="18"/>
                          </w:rPr>
                          <w:t>3</w:t>
                        </w:r>
                      </w:p>
                    </w:txbxContent>
                  </v:textbox>
                </v:rect>
                <v:rect id="Rectangle 202278" o:spid="_x0000_s6901" style="position:absolute;left:-12851;top:42700;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1ZFxQAAAN8AAAAPAAAAZHJzL2Rvd25yZXYueG1sRE89a8Mw&#10;EN0L+Q/iAtkaOR5a40YJxcHUQ5a6KXQ8rIvt1joJS4md/PpqKHR8vO/tfjaDuNLoe8sKNusEBHFj&#10;dc+tgtNH+ZiB8AFZ42CZFNzIw363eNhiru3E73StQytiCPscFXQhuFxK33Rk0K+tI47c2Y4GQ4Rj&#10;K/WIUww3g0yT5Eka7Dk2dOio6Kj5qS9GwdeBXVVOsjnfC3f8rrLh7XL6VGq1nF9fQASaw7/4z11p&#10;BWmSps9xcPwTv4Dc/QIAAP//AwBQSwECLQAUAAYACAAAACEA2+H2y+4AAACFAQAAEwAAAAAAAAAA&#10;AAAAAAAAAAAAW0NvbnRlbnRfVHlwZXNdLnhtbFBLAQItABQABgAIAAAAIQBa9CxbvwAAABUBAAAL&#10;AAAAAAAAAAAAAAAAAB8BAABfcmVscy8ucmVsc1BLAQItABQABgAIAAAAIQDFa1ZFxQAAAN8AAAAP&#10;AAAAAAAAAAAAAAAAAAcCAABkcnMvZG93bnJldi54bWxQSwUGAAAAAAMAAwC3AAAA+QIAAAAA&#10;" filled="f" stroked="f">
                  <v:textbox inset="0,0,0,0">
                    <w:txbxContent>
                      <w:p w14:paraId="79C48B25" w14:textId="77777777" w:rsidR="00B32EF2" w:rsidRDefault="00000000">
                        <w:r>
                          <w:rPr>
                            <w:rFonts w:ascii="Arial" w:eastAsia="Arial" w:hAnsi="Arial" w:cs="Arial"/>
                            <w:sz w:val="18"/>
                          </w:rPr>
                          <w:t>. La prova scritta ha la prevalente funzione di verificare la capacità di inqua</w:t>
                        </w:r>
                      </w:p>
                    </w:txbxContent>
                  </v:textbox>
                </v:rect>
                <v:rect id="Rectangle 23126" o:spid="_x0000_s6902" style="position:absolute;left:196;top:427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CH2xwAAAN4AAAAPAAAAZHJzL2Rvd25yZXYueG1sRI/NasMw&#10;EITvhbyD2EJvjRwHQnAih5IQ4kMvTR3IcbHWP621EpYSu336qlDocZiZb5jtbjK9uNPgO8sKFvME&#10;BHFldceNgvL9+LwG4QOyxt4yKfgiD7t89rDFTNuR3+h+Do2IEPYZKmhDcJmUvmrJoJ9bRxy92g4G&#10;Q5RDI/WAY4SbXqZJspIGO44LLTrat1R9nm9GwfXArjiOsqq/9+71o1j3p1t5UerpcXrZgAg0hf/w&#10;X7vQCtLlIl3B7514BWT+AwAA//8DAFBLAQItABQABgAIAAAAIQDb4fbL7gAAAIUBAAATAAAAAAAA&#10;AAAAAAAAAAAAAABbQ29udGVudF9UeXBlc10ueG1sUEsBAi0AFAAGAAgAAAAhAFr0LFu/AAAAFQEA&#10;AAsAAAAAAAAAAAAAAAAAHwEAAF9yZWxzLy5yZWxzUEsBAi0AFAAGAAgAAAAhAPMgIfbHAAAA3gAA&#10;AA8AAAAAAAAAAAAAAAAABwIAAGRycy9kb3ducmV2LnhtbFBLBQYAAAAAAwADALcAAAD7AgAAAAA=&#10;" filled="f" stroked="f">
                  <v:textbox inset="0,0,0,0">
                    <w:txbxContent>
                      <w:p w14:paraId="1C5A4EEE" w14:textId="77777777" w:rsidR="00B32EF2" w:rsidRDefault="00000000">
                        <w:r>
                          <w:rPr>
                            <w:rFonts w:ascii="Arial" w:eastAsia="Arial" w:hAnsi="Arial" w:cs="Arial"/>
                            <w:sz w:val="18"/>
                          </w:rPr>
                          <w:t>-</w:t>
                        </w:r>
                      </w:p>
                    </w:txbxContent>
                  </v:textbox>
                </v:rect>
                <v:rect id="Rectangle 23127" o:spid="_x0000_s6903" style="position:absolute;left:-13168;top:414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IRtxwAAAN4AAAAPAAAAZHJzL2Rvd25yZXYueG1sRI9Pa8JA&#10;FMTvgt9heYI33ZiCldRVRJHm0Ev9Az0+ss8kbfbtkl1N7Kd3CwWPw8z8hlmue9OIG7W+tqxgNk1A&#10;EBdW11wqOB33kwUIH5A1NpZJwZ08rFfDwRIzbTv+pNshlCJC2GeooArBZVL6oiKDfmodcfQutjUY&#10;omxLqVvsItw0Mk2SuTRYc1yo0NG2ouLncDUKvnbs8n0ni8vv1n1854vm/Xo6KzUe9Zs3EIH68Az/&#10;t3OtIH2Zpa/wdydeAbl6AAAA//8DAFBLAQItABQABgAIAAAAIQDb4fbL7gAAAIUBAAATAAAAAAAA&#10;AAAAAAAAAAAAAABbQ29udGVudF9UeXBlc10ueG1sUEsBAi0AFAAGAAgAAAAhAFr0LFu/AAAAFQEA&#10;AAsAAAAAAAAAAAAAAAAAHwEAAF9yZWxzLy5yZWxzUEsBAi0AFAAGAAgAAAAhAJxshG3HAAAA3gAA&#10;AA8AAAAAAAAAAAAAAAAABwIAAGRycy9kb3ducmV2LnhtbFBLBQYAAAAAAwADALcAAAD7AgAAAAA=&#10;" filled="f" stroked="f">
                  <v:textbox inset="0,0,0,0">
                    <w:txbxContent>
                      <w:p w14:paraId="4BE25AC7" w14:textId="77777777" w:rsidR="00B32EF2" w:rsidRDefault="00000000">
                        <w:r>
                          <w:rPr>
                            <w:rFonts w:ascii="Arial" w:eastAsia="Arial" w:hAnsi="Arial" w:cs="Arial"/>
                            <w:sz w:val="18"/>
                          </w:rPr>
                          <w:t xml:space="preserve">dramento logico sistematico del candidato e consiste nello svolgimento di due </w:t>
                        </w:r>
                      </w:p>
                    </w:txbxContent>
                  </v:textbox>
                </v:rect>
                <v:rect id="Rectangle 23128" o:spid="_x0000_s6904" style="position:absolute;left:-13168;top:402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xAfwwAAAN4AAAAPAAAAZHJzL2Rvd25yZXYueG1sRE/LisIw&#10;FN0P+A/hCu7G1A4MUo0iikwXs/EFLi/Nta02N6GJts7Xm8WAy8N5z5e9acSDWl9bVjAZJyCIC6tr&#10;LhUcD9vPKQgfkDU2lknBkzwsF4OPOWbadryjxz6UIoawz1BBFYLLpPRFRQb92DriyF1sazBE2JZS&#10;t9jFcNPINEm+pcGaY0OFjtYVFbf93Sg4b9jl204Wl7+1+73m0+bnfjwpNRr2qxmIQH14i//duVaQ&#10;fk3SuDfeiVdALl4AAAD//wMAUEsBAi0AFAAGAAgAAAAhANvh9svuAAAAhQEAABMAAAAAAAAAAAAA&#10;AAAAAAAAAFtDb250ZW50X1R5cGVzXS54bWxQSwECLQAUAAYACAAAACEAWvQsW78AAAAVAQAACwAA&#10;AAAAAAAAAAAAAAAfAQAAX3JlbHMvLnJlbHNQSwECLQAUAAYACAAAACEA7fMQH8MAAADeAAAADwAA&#10;AAAAAAAAAAAAAAAHAgAAZHJzL2Rvd25yZXYueG1sUEsFBgAAAAADAAMAtwAAAPcCAAAAAA==&#10;" filled="f" stroked="f">
                  <v:textbox inset="0,0,0,0">
                    <w:txbxContent>
                      <w:p w14:paraId="29055057" w14:textId="77777777" w:rsidR="00B32EF2" w:rsidRDefault="00000000">
                        <w:r>
                          <w:rPr>
                            <w:rFonts w:ascii="Arial" w:eastAsia="Arial" w:hAnsi="Arial" w:cs="Arial"/>
                            <w:sz w:val="18"/>
                          </w:rPr>
                          <w:t xml:space="preserve">elaborati teorici rispettivamente vertenti sul diritto tributario e sul diritto civile o </w:t>
                        </w:r>
                      </w:p>
                    </w:txbxContent>
                  </v:textbox>
                </v:rect>
                <v:rect id="Rectangle 23129" o:spid="_x0000_s6905" style="position:absolute;left:-13168;top:390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7WExwAAAN4AAAAPAAAAZHJzL2Rvd25yZXYueG1sRI9Pa8JA&#10;FMTvhX6H5Qm96cYURFNXEYs0By/1D/T4yD6TaPbtkl1N6qd3C0KPw8z8hpkve9OIG7W+tqxgPEpA&#10;EBdW11wqOOw3wykIH5A1NpZJwS95WC5eX+aYadvxN912oRQRwj5DBVUILpPSFxUZ9CPriKN3sq3B&#10;EGVbSt1iF+GmkWmSTKTBmuNChY7WFRWX3dUo+Plkl286WZzua7c959Pm63o4KvU26FcfIAL14T/8&#10;bOdaQfo+TmfwdydeAbl4AAAA//8DAFBLAQItABQABgAIAAAAIQDb4fbL7gAAAIUBAAATAAAAAAAA&#10;AAAAAAAAAAAAAABbQ29udGVudF9UeXBlc10ueG1sUEsBAi0AFAAGAAgAAAAhAFr0LFu/AAAAFQEA&#10;AAsAAAAAAAAAAAAAAAAAHwEAAF9yZWxzLy5yZWxzUEsBAi0AFAAGAAgAAAAhAIK/tYTHAAAA3gAA&#10;AA8AAAAAAAAAAAAAAAAABwIAAGRycy9kb3ducmV2LnhtbFBLBQYAAAAAAwADALcAAAD7AgAAAAA=&#10;" filled="f" stroked="f">
                  <v:textbox inset="0,0,0,0">
                    <w:txbxContent>
                      <w:p w14:paraId="1A8D63F2" w14:textId="77777777" w:rsidR="00B32EF2" w:rsidRDefault="00000000">
                        <w:r>
                          <w:rPr>
                            <w:rFonts w:ascii="Arial" w:eastAsia="Arial" w:hAnsi="Arial" w:cs="Arial"/>
                            <w:sz w:val="18"/>
                          </w:rPr>
                          <w:t xml:space="preserve">commerciale, nonché in una prova teorico-pratica consistente nella redazione </w:t>
                        </w:r>
                      </w:p>
                    </w:txbxContent>
                  </v:textbox>
                </v:rect>
                <v:rect id="Rectangle 23130" o:spid="_x0000_s6906" style="position:absolute;left:15042;top:37767;width:2488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IrExQAAAN4AAAAPAAAAZHJzL2Rvd25yZXYueG1sRI/NisIw&#10;FIX3A75DuIK7MVVhkGoUUcQu3IxTweWlubbV5iY00VaffrIYmOXh/PEt171pxJNaX1tWMBknIIgL&#10;q2suFeQ/+885CB+QNTaWScGLPKxXg48lptp2/E3PUyhFHGGfooIqBJdK6YuKDPqxdcTRu9rWYIiy&#10;LaVusYvjppHTJPmSBmuODxU62lZU3E8Po+CyY5ftO1lc31t3vGXz5vDIz0qNhv1mASJQH/7Df+1M&#10;K5jOJrMIEHEiCsjVLwAAAP//AwBQSwECLQAUAAYACAAAACEA2+H2y+4AAACFAQAAEwAAAAAAAAAA&#10;AAAAAAAAAAAAW0NvbnRlbnRfVHlwZXNdLnhtbFBLAQItABQABgAIAAAAIQBa9CxbvwAAABUBAAAL&#10;AAAAAAAAAAAAAAAAAB8BAABfcmVscy8ucmVsc1BLAQItABQABgAIAAAAIQCWXIrExQAAAN4AAAAP&#10;AAAAAAAAAAAAAAAAAAcCAABkcnMvZG93bnJldi54bWxQSwUGAAAAAAMAAwC3AAAA+QIAAAAA&#10;" filled="f" stroked="f">
                  <v:textbox inset="0,0,0,0">
                    <w:txbxContent>
                      <w:p w14:paraId="597B1A8F" w14:textId="77777777" w:rsidR="00B32EF2" w:rsidRDefault="00000000">
                        <w:r>
                          <w:rPr>
                            <w:rFonts w:ascii="Arial" w:eastAsia="Arial" w:hAnsi="Arial" w:cs="Arial"/>
                            <w:sz w:val="18"/>
                          </w:rPr>
                          <w:t>di una sentenza in materia tributaria.</w:t>
                        </w:r>
                      </w:p>
                    </w:txbxContent>
                  </v:textbox>
                </v:rect>
                <v:rect id="Rectangle 202275" o:spid="_x0000_s6907" style="position:absolute;left:21810;top:36533;width:177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vnbxwAAAN8AAAAPAAAAZHJzL2Rvd25yZXYueG1sRI9Ba8JA&#10;FITvBf/D8gRvdWOgrURXEUWag5daBY+P7DOJZt8u2dVEf323UOhxmJlvmPmyN424U+trywom4wQE&#10;cWF1zaWCw/f2dQrCB2SNjWVS8CAPy8XgZY6Zth1/0X0fShEh7DNUUIXgMil9UZFBP7aOOHpn2xoM&#10;Ubal1C12EW4amSbJuzRYc1yo0NG6ouK6vxkFpw27fNvJ4vxcu90lnzaft8NRqdGwX81ABOrDf/iv&#10;nWsFaZKmH2/w+yd+Abn4AQAA//8DAFBLAQItABQABgAIAAAAIQDb4fbL7gAAAIUBAAATAAAAAAAA&#10;AAAAAAAAAAAAAABbQ29udGVudF9UeXBlc10ueG1sUEsBAi0AFAAGAAgAAAAhAFr0LFu/AAAAFQEA&#10;AAsAAAAAAAAAAAAAAAAAHwEAAF9yZWxzLy5yZWxzUEsBAi0AFAAGAAgAAAAhACtq+dvHAAAA3wAA&#10;AA8AAAAAAAAAAAAAAAAABwIAAGRycy9kb3ducmV2LnhtbFBLBQYAAAAAAwADALcAAAD7AgAAAAA=&#10;" filled="f" stroked="f">
                  <v:textbox inset="0,0,0,0">
                    <w:txbxContent>
                      <w:p w14:paraId="17D9E25C" w14:textId="77777777" w:rsidR="00B32EF2" w:rsidRDefault="00000000">
                        <w:r>
                          <w:rPr>
                            <w:rFonts w:ascii="Arial" w:eastAsia="Arial" w:hAnsi="Arial" w:cs="Arial"/>
                            <w:sz w:val="18"/>
                          </w:rPr>
                          <w:t>. La prova orale verte su</w:t>
                        </w:r>
                      </w:p>
                    </w:txbxContent>
                  </v:textbox>
                </v:rect>
                <v:rect id="Rectangle 202274" o:spid="_x0000_s6908" style="position:absolute;left:9088;top:36533;width:177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lxAxwAAAN8AAAAPAAAAZHJzL2Rvd25yZXYueG1sRI9Ba8JA&#10;FITvBf/D8gRvdWMorURXEUWag5daBY+P7DOJZt8u2dVEf323UOhxmJlvmPmyN424U+trywom4wQE&#10;cWF1zaWCw/f2dQrCB2SNjWVS8CAPy8XgZY6Zth1/0X0fShEh7DNUUIXgMil9UZFBP7aOOHpn2xoM&#10;Ubal1C12EW4amSbJuzRYc1yo0NG6ouK6vxkFpw27fNvJ4vxcu90lnzaft8NRqdGwX81ABOrDf/iv&#10;nWsFaZKmH2/w+yd+Abn4AQAA//8DAFBLAQItABQABgAIAAAAIQDb4fbL7gAAAIUBAAATAAAAAAAA&#10;AAAAAAAAAAAAAABbQ29udGVudF9UeXBlc10ueG1sUEsBAi0AFAAGAAgAAAAhAFr0LFu/AAAAFQEA&#10;AAsAAAAAAAAAAAAAAAAAHwEAAF9yZWxzLy5yZWxzUEsBAi0AFAAGAAgAAAAhAEQmXEDHAAAA3wAA&#10;AA8AAAAAAAAAAAAAAAAABwIAAGRycy9kb3ducmV2LnhtbFBLBQYAAAAAAwADALcAAAD7AgAAAAA=&#10;" filled="f" stroked="f">
                  <v:textbox inset="0,0,0,0">
                    <w:txbxContent>
                      <w:p w14:paraId="15BE2BC1" w14:textId="77777777" w:rsidR="00B32EF2" w:rsidRDefault="00000000">
                        <w:r>
                          <w:rPr>
                            <w:rFonts w:ascii="Arial" w:eastAsia="Arial" w:hAnsi="Arial" w:cs="Arial"/>
                            <w:sz w:val="18"/>
                          </w:rPr>
                          <w:t>:</w:t>
                        </w:r>
                      </w:p>
                    </w:txbxContent>
                  </v:textbox>
                </v:rect>
                <v:rect id="Rectangle 202273" o:spid="_x0000_s6909" style="position:absolute;left:34874;top:36533;width:177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Q0xwAAAN8AAAAPAAAAZHJzL2Rvd25yZXYueG1sRI9Ba8JA&#10;FITvBf/D8gRvdWMKrURXEUWag5daBY+P7DOJZt8u2dVEf323UOhxmJlvmPmyN424U+trywom4wQE&#10;cWF1zaWCw/f2dQrCB2SNjWVS8CAPy8XgZY6Zth1/0X0fShEh7DNUUIXgMil9UZFBP7aOOHpn2xoM&#10;Ubal1C12EW4amSbJuzRYc1yo0NG6ouK6vxkFpw27fNvJ4vxcu90lnzaft8NRqdGwX81ABOrDf/iv&#10;nWsFaZKmH2/w+yd+Abn4AQAA//8DAFBLAQItABQABgAIAAAAIQDb4fbL7gAAAIUBAAATAAAAAAAA&#10;AAAAAAAAAAAAAABbQ29udGVudF9UeXBlc10ueG1sUEsBAi0AFAAGAAgAAAAhAFr0LFu/AAAAFQEA&#10;AAsAAAAAAAAAAAAAAAAAHwEAAF9yZWxzLy5yZWxzUEsBAi0AFAAGAAgAAAAhAMvPxDTHAAAA3wAA&#10;AA8AAAAAAAAAAAAAAAAABwIAAGRycy9kb3ducmV2LnhtbFBLBQYAAAAAAwADALcAAAD7AgAAAAA=&#10;" filled="f" stroked="f">
                  <v:textbox inset="0,0,0,0">
                    <w:txbxContent>
                      <w:p w14:paraId="3837E6FF" w14:textId="77777777" w:rsidR="00B32EF2" w:rsidRDefault="00000000">
                        <w:r>
                          <w:rPr>
                            <w:rFonts w:ascii="Arial" w:eastAsia="Arial" w:hAnsi="Arial" w:cs="Arial"/>
                            <w:sz w:val="18"/>
                          </w:rPr>
                          <w:t>4</w:t>
                        </w:r>
                      </w:p>
                    </w:txbxContent>
                  </v:textbox>
                </v:rect>
                <v:rect id="Rectangle 23132" o:spid="_x0000_s6910" style="position:absolute;left:6772;top:35300;width:331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rEoxgAAAN4AAAAPAAAAZHJzL2Rvd25yZXYueG1sRI9Ba8JA&#10;FITvgv9heYXedGMEkegqRZHm4EWr4PGRfSZps2+X7Gpif31XEHocZuYbZrnuTSPu1PrasoLJOAFB&#10;XFhdc6ng9LUbzUH4gKyxsUwKHuRhvRoOlphp2/GB7sdQighhn6GCKgSXSemLigz6sXXE0bva1mCI&#10;si2lbrGLcNPINElm0mDNcaFCR5uKip/jzSi4bNnlu04W19+N23/n8+bzdjor9f7WfyxABOrDf/jV&#10;zrWCdDqZpvC8E6+AXP0BAAD//wMAUEsBAi0AFAAGAAgAAAAhANvh9svuAAAAhQEAABMAAAAAAAAA&#10;AAAAAAAAAAAAAFtDb250ZW50X1R5cGVzXS54bWxQSwECLQAUAAYACAAAACEAWvQsW78AAAAVAQAA&#10;CwAAAAAAAAAAAAAAAAAfAQAAX3JlbHMvLnJlbHNQSwECLQAUAAYACAAAACEACcKxKMYAAADeAAAA&#10;DwAAAAAAAAAAAAAAAAAHAgAAZHJzL2Rvd25yZXYueG1sUEsFBgAAAAADAAMAtwAAAPoCAAAAAA==&#10;" filled="f" stroked="f">
                  <v:textbox inset="0,0,0,0">
                    <w:txbxContent>
                      <w:p w14:paraId="12DA6A36" w14:textId="77777777" w:rsidR="00B32EF2" w:rsidRDefault="00000000">
                        <w:r>
                          <w:rPr>
                            <w:rFonts w:ascii="Arial" w:eastAsia="Arial" w:hAnsi="Arial" w:cs="Arial"/>
                            <w:sz w:val="18"/>
                          </w:rPr>
                          <w:t>a) diritto tributario e diritto processuale tributario;</w:t>
                        </w:r>
                      </w:p>
                    </w:txbxContent>
                  </v:textbox>
                </v:rect>
                <v:rect id="Rectangle 23133" o:spid="_x0000_s6911" style="position:absolute;left:12007;top:34067;width:2791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hSzxgAAAN4AAAAPAAAAZHJzL2Rvd25yZXYueG1sRI9Ba8JA&#10;FITvgv9heUJvutFAkegqokhz8FKr4PGRfSbR7Nslu5rYX98tFHocZuYbZrnuTSOe1PrasoLpJAFB&#10;XFhdc6ng9LUfz0H4gKyxsUwKXuRhvRoOlphp2/EnPY+hFBHCPkMFVQguk9IXFRn0E+uIo3e1rcEQ&#10;ZVtK3WIX4aaRsyR5lwZrjgsVOtpWVNyPD6PgsmOX7ztZXL+37nDL583H43RW6m3UbxYgAvXhP/zX&#10;zrWCWTpNU/i9E6+AXP0AAAD//wMAUEsBAi0AFAAGAAgAAAAhANvh9svuAAAAhQEAABMAAAAAAAAA&#10;AAAAAAAAAAAAAFtDb250ZW50X1R5cGVzXS54bWxQSwECLQAUAAYACAAAACEAWvQsW78AAAAVAQAA&#10;CwAAAAAAAAAAAAAAAAAfAQAAX3JlbHMvLnJlbHNQSwECLQAUAAYACAAAACEAZo4Us8YAAADeAAAA&#10;DwAAAAAAAAAAAAAAAAAHAgAAZHJzL2Rvd25yZXYueG1sUEsFBgAAAAADAAMAtwAAAPoCAAAAAA==&#10;" filled="f" stroked="f">
                  <v:textbox inset="0,0,0,0">
                    <w:txbxContent>
                      <w:p w14:paraId="2E39E3F7" w14:textId="77777777" w:rsidR="00B32EF2" w:rsidRDefault="00000000">
                        <w:r>
                          <w:rPr>
                            <w:rFonts w:ascii="Arial" w:eastAsia="Arial" w:hAnsi="Arial" w:cs="Arial"/>
                            <w:sz w:val="18"/>
                          </w:rPr>
                          <w:t>b) diritto civile e diritto processuale civile;</w:t>
                        </w:r>
                      </w:p>
                    </w:txbxContent>
                  </v:textbox>
                </v:rect>
                <v:rect id="Rectangle 23134" o:spid="_x0000_s6912" style="position:absolute;left:22560;top:32833;width:173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4zHxgAAAN4AAAAPAAAAZHJzL2Rvd25yZXYueG1sRI9Ba8JA&#10;FITvgv9heUJvulGLSHQVUcQcvNRa6PGRfSbR7Nslu5rUX98tCD0OM/MNs1x3phYPanxlWcF4lIAg&#10;zq2uuFBw/twP5yB8QNZYWyYFP+Rhver3lphq2/IHPU6hEBHCPkUFZQguldLnJRn0I+uIo3exjcEQ&#10;ZVNI3WAb4aaWkySZSYMVx4USHW1Lym+nu1HwvWOX7VuZX55bd7xm8/pwP38p9TboNgsQgbrwH361&#10;M61gMh1P3+HvTrwCcvULAAD//wMAUEsBAi0AFAAGAAgAAAAhANvh9svuAAAAhQEAABMAAAAAAAAA&#10;AAAAAAAAAAAAAFtDb250ZW50X1R5cGVzXS54bWxQSwECLQAUAAYACAAAACEAWvQsW78AAAAVAQAA&#10;CwAAAAAAAAAAAAAAAAAfAQAAX3JlbHMvLnJlbHNQSwECLQAUAAYACAAAACEA6WeMx8YAAADeAAAA&#10;DwAAAAAAAAAAAAAAAAAHAgAAZHJzL2Rvd25yZXYueG1sUEsFBgAAAAADAAMAtwAAAPoCAAAAAA==&#10;" filled="f" stroked="f">
                  <v:textbox inset="0,0,0,0">
                    <w:txbxContent>
                      <w:p w14:paraId="476E9E57" w14:textId="77777777" w:rsidR="00B32EF2" w:rsidRDefault="00000000">
                        <w:r>
                          <w:rPr>
                            <w:rFonts w:ascii="Arial" w:eastAsia="Arial" w:hAnsi="Arial" w:cs="Arial"/>
                            <w:sz w:val="18"/>
                          </w:rPr>
                          <w:t>c) diritto penale tributario;</w:t>
                        </w:r>
                      </w:p>
                    </w:txbxContent>
                  </v:textbox>
                </v:rect>
                <v:rect id="Rectangle 23135" o:spid="_x0000_s6913" style="position:absolute;left:8350;top:31600;width:315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ylcxgAAAN4AAAAPAAAAZHJzL2Rvd25yZXYueG1sRI9Ba8JA&#10;FITvgv9heUJvulGpSHQVUcQcvNRa6PGRfSbR7Nslu5rUX98tCD0OM/MNs1x3phYPanxlWcF4lIAg&#10;zq2uuFBw/twP5yB8QNZYWyYFP+Rhver3lphq2/IHPU6hEBHCPkUFZQguldLnJRn0I+uIo3exjcEQ&#10;ZVNI3WAb4aaWkySZSYMVx4USHW1Lym+nu1HwvWOX7VuZX55bd7xm8/pwP38p9TboNgsQgbrwH361&#10;M61gMh1P3+HvTrwCcvULAAD//wMAUEsBAi0AFAAGAAgAAAAhANvh9svuAAAAhQEAABMAAAAAAAAA&#10;AAAAAAAAAAAAAFtDb250ZW50X1R5cGVzXS54bWxQSwECLQAUAAYACAAAACEAWvQsW78AAAAVAQAA&#10;CwAAAAAAAAAAAAAAAAAfAQAAX3JlbHMvLnJlbHNQSwECLQAUAAYACAAAACEAhispXMYAAADeAAAA&#10;DwAAAAAAAAAAAAAAAAAHAgAAZHJzL2Rvd25yZXYueG1sUEsFBgAAAAADAAMAtwAAAPoCAAAAAA==&#10;" filled="f" stroked="f">
                  <v:textbox inset="0,0,0,0">
                    <w:txbxContent>
                      <w:p w14:paraId="6F9A565B" w14:textId="77777777" w:rsidR="00B32EF2" w:rsidRDefault="00000000">
                        <w:r>
                          <w:rPr>
                            <w:rFonts w:ascii="Arial" w:eastAsia="Arial" w:hAnsi="Arial" w:cs="Arial"/>
                            <w:sz w:val="18"/>
                          </w:rPr>
                          <w:t>d) diritto costituzionale e diritto amministrativo;</w:t>
                        </w:r>
                      </w:p>
                    </w:txbxContent>
                  </v:textbox>
                </v:rect>
                <v:rect id="Rectangle 23136" o:spid="_x0000_s6914" style="position:absolute;left:24827;top:30367;width:151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crxgAAAN4AAAAPAAAAZHJzL2Rvd25yZXYueG1sRI9Bi8Iw&#10;FITvC/6H8ARva6qCSDWKKGIPXlZd2OOjebbV5iU00VZ//WZhweMwM98wi1VnavGgxleWFYyGCQji&#10;3OqKCwXn0+5zBsIHZI21ZVLwJA+rZe9jgam2LX/R4xgKESHsU1RQhuBSKX1ekkE/tI44ehfbGAxR&#10;NoXUDbYRbmo5TpKpNFhxXCjR0aak/Ha8GwU/W3bZrpX55bVxh2s2q/f387dSg363noMI1IV3+L+d&#10;aQXjyWgyhb878QrI5S8AAAD//wMAUEsBAi0AFAAGAAgAAAAhANvh9svuAAAAhQEAABMAAAAAAAAA&#10;AAAAAAAAAAAAAFtDb250ZW50X1R5cGVzXS54bWxQSwECLQAUAAYACAAAACEAWvQsW78AAAAVAQAA&#10;CwAAAAAAAAAAAAAAAAAfAQAAX3JlbHMvLnJlbHNQSwECLQAUAAYACAAAACEAdvm3K8YAAADeAAAA&#10;DwAAAAAAAAAAAAAAAAAHAgAAZHJzL2Rvd25yZXYueG1sUEsFBgAAAAADAAMAtwAAAPoCAAAAAA==&#10;" filled="f" stroked="f">
                  <v:textbox inset="0,0,0,0">
                    <w:txbxContent>
                      <w:p w14:paraId="23511CB6" w14:textId="77777777" w:rsidR="00B32EF2" w:rsidRDefault="00000000">
                        <w:r>
                          <w:rPr>
                            <w:rFonts w:ascii="Arial" w:eastAsia="Arial" w:hAnsi="Arial" w:cs="Arial"/>
                            <w:sz w:val="18"/>
                          </w:rPr>
                          <w:t>e) diritto commerciale;</w:t>
                        </w:r>
                      </w:p>
                    </w:txbxContent>
                  </v:textbox>
                </v:rect>
                <v:rect id="Rectangle 23137" o:spid="_x0000_s6915" style="position:absolute;left:20148;top:29133;width:197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RKwxgAAAN4AAAAPAAAAZHJzL2Rvd25yZXYueG1sRI9Ba8JA&#10;FITvgv9heUJvulGhSnQVUcQcvNRa6PGRfSbR7Nslu5rUX98tCD0OM/MNs1x3phYPanxlWcF4lIAg&#10;zq2uuFBw/twP5yB8QNZYWyYFP+Rhver3lphq2/IHPU6hEBHCPkUFZQguldLnJRn0I+uIo3exjcEQ&#10;ZVNI3WAb4aaWkyR5lwYrjgslOtqWlN9Od6Pge8cu27cyvzy37njN5vXhfv5S6m3QbRYgAnXhP/xq&#10;Z1rBZDqezuDvTrwCcvULAAD//wMAUEsBAi0AFAAGAAgAAAAhANvh9svuAAAAhQEAABMAAAAAAAAA&#10;AAAAAAAAAAAAAFtDb250ZW50X1R5cGVzXS54bWxQSwECLQAUAAYACAAAACEAWvQsW78AAAAVAQAA&#10;CwAAAAAAAAAAAAAAAAAfAQAAX3JlbHMvLnJlbHNQSwECLQAUAAYACAAAACEAGbUSsMYAAADeAAAA&#10;DwAAAAAAAAAAAAAAAAAHAgAAZHJzL2Rvd25yZXYueG1sUEsFBgAAAAADAAMAtwAAAPoCAAAAAA==&#10;" filled="f" stroked="f">
                  <v:textbox inset="0,0,0,0">
                    <w:txbxContent>
                      <w:p w14:paraId="68FF9E1F" w14:textId="77777777" w:rsidR="00B32EF2" w:rsidRDefault="00000000">
                        <w:r>
                          <w:rPr>
                            <w:rFonts w:ascii="Arial" w:eastAsia="Arial" w:hAnsi="Arial" w:cs="Arial"/>
                            <w:sz w:val="18"/>
                          </w:rPr>
                          <w:t>f) diritto dell’Unione europea;</w:t>
                        </w:r>
                      </w:p>
                    </w:txbxContent>
                  </v:textbox>
                </v:rect>
                <v:rect id="Rectangle 23138" o:spid="_x0000_s6916" style="position:absolute;left:16888;top:27900;width:230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obCwwAAAN4AAAAPAAAAZHJzL2Rvd25yZXYueG1sRE9Ni8Iw&#10;EL0v+B/CCN7WVIVFqlFEEXvwsm4Fj0MzttVmEppoq79+c1jY4+N9L9e9acSTWl9bVjAZJyCIC6tr&#10;LhXkP/vPOQgfkDU2lknBizysV4OPJabadvxNz1MoRQxhn6KCKgSXSumLigz6sXXEkbva1mCIsC2l&#10;brGL4aaR0yT5kgZrjg0VOtpWVNxPD6PgsmOX7TtZXN9bd7xl8+bwyM9KjYb9ZgEiUB/+xX/uTCuY&#10;ziazuDfeiVdArn4BAAD//wMAUEsBAi0AFAAGAAgAAAAhANvh9svuAAAAhQEAABMAAAAAAAAAAAAA&#10;AAAAAAAAAFtDb250ZW50X1R5cGVzXS54bWxQSwECLQAUAAYACAAAACEAWvQsW78AAAAVAQAACwAA&#10;AAAAAAAAAAAAAAAfAQAAX3JlbHMvLnJlbHNQSwECLQAUAAYACAAAACEAaCqGwsMAAADeAAAADwAA&#10;AAAAAAAAAAAAAAAHAgAAZHJzL2Rvd25yZXYueG1sUEsFBgAAAAADAAMAtwAAAPcCAAAAAA==&#10;" filled="f" stroked="f">
                  <v:textbox inset="0,0,0,0">
                    <w:txbxContent>
                      <w:p w14:paraId="14DB19E5" w14:textId="77777777" w:rsidR="00B32EF2" w:rsidRDefault="00000000">
                        <w:r>
                          <w:rPr>
                            <w:rFonts w:ascii="Arial" w:eastAsia="Arial" w:hAnsi="Arial" w:cs="Arial"/>
                            <w:sz w:val="18"/>
                          </w:rPr>
                          <w:t>g) contabilità aziendale e bilancio;</w:t>
                        </w:r>
                      </w:p>
                    </w:txbxContent>
                  </v:textbox>
                </v:rect>
                <v:rect id="Rectangle 23139" o:spid="_x0000_s6917" style="position:absolute;left:16188;top:26667;width:237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NZxgAAAN4AAAAPAAAAZHJzL2Rvd25yZXYueG1sRI9Ba8JA&#10;FITvgv9heUJvdaNCsdFVRBFz8KK10OMj+0yi2bdLdjWpv74rFDwOM/MNM192phZ3anxlWcFomIAg&#10;zq2uuFBw+tq+T0H4gKyxtkwKfsnDctHvzTHVtuUD3Y+hEBHCPkUFZQguldLnJRn0Q+uIo3e2jcEQ&#10;ZVNI3WAb4aaW4yT5kAYrjgslOlqXlF+PN6PgZ8Mu27YyPz/Wbn/JpvXudvpW6m3QrWYgAnXhFf5v&#10;Z1rBeDKafMLzTrwCcvEHAAD//wMAUEsBAi0AFAAGAAgAAAAhANvh9svuAAAAhQEAABMAAAAAAAAA&#10;AAAAAAAAAAAAAFtDb250ZW50X1R5cGVzXS54bWxQSwECLQAUAAYACAAAACEAWvQsW78AAAAVAQAA&#10;CwAAAAAAAAAAAAAAAAAfAQAAX3JlbHMvLnJlbHNQSwECLQAUAAYACAAAACEAB2YjWcYAAADeAAAA&#10;DwAAAAAAAAAAAAAAAAAHAgAAZHJzL2Rvd25yZXYueG1sUEsFBgAAAAADAAMAtwAAAPoCAAAAAA==&#10;" filled="f" stroked="f">
                  <v:textbox inset="0,0,0,0">
                    <w:txbxContent>
                      <w:p w14:paraId="3F4B7B6A" w14:textId="77777777" w:rsidR="00B32EF2" w:rsidRDefault="00000000">
                        <w:r>
                          <w:rPr>
                            <w:rFonts w:ascii="Arial" w:eastAsia="Arial" w:hAnsi="Arial" w:cs="Arial"/>
                            <w:sz w:val="18"/>
                          </w:rPr>
                          <w:t>h) elementi di informatica giuridica;</w:t>
                        </w:r>
                      </w:p>
                    </w:txbxContent>
                  </v:textbox>
                </v:rect>
                <v:rect id="Rectangle 23140" o:spid="_x0000_s6918" style="position:absolute;left:-12202;top:25434;width:52124;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vm5xgAAAN4AAAAPAAAAZHJzL2Rvd25yZXYueG1sRI/LasMw&#10;EEX3hfyDmEB2tZy0lOBaDiEh1Itumgd0OVjjR2uNhKXETr++WhS6vNwXJ99Mphc3GnxnWcEySUEQ&#10;V1Z33Cg4nw6PaxA+IGvsLZOCO3nYFLOHHDNtR/6g2zE0Io6wz1BBG4LLpPRVSwZ9Yh1x9Go7GAxR&#10;Do3UA45x3PRylaYv0mDH8aFFR7uWqu/j1Sj43LMrD6Os6p+de/8q1/3b9XxRajGftq8gAk3hP/zX&#10;LrWC1dPyOQJEnIgCsvgFAAD//wMAUEsBAi0AFAAGAAgAAAAhANvh9svuAAAAhQEAABMAAAAAAAAA&#10;AAAAAAAAAAAAAFtDb250ZW50X1R5cGVzXS54bWxQSwECLQAUAAYACAAAACEAWvQsW78AAAAVAQAA&#10;CwAAAAAAAAAAAAAAAAAfAQAAX3JlbHMvLnJlbHNQSwECLQAUAAYACAAAACEAzlr5ucYAAADeAAAA&#10;DwAAAAAAAAAAAAAAAAAHAgAAZHJzL2Rvd25yZXYueG1sUEsFBgAAAAADAAMAtwAAAPoCAAAAAA==&#10;" filled="f" stroked="f">
                  <v:textbox inset="0,0,0,0">
                    <w:txbxContent>
                      <w:p w14:paraId="66D8E5C8" w14:textId="77777777" w:rsidR="00B32EF2" w:rsidRDefault="00000000">
                        <w:r>
                          <w:rPr>
                            <w:rFonts w:ascii="Arial" w:eastAsia="Arial" w:hAnsi="Arial" w:cs="Arial"/>
                            <w:sz w:val="18"/>
                          </w:rPr>
                          <w:t>i) colloquio in una lingua straniera, indicata dal candidato all’atto della doman</w:t>
                        </w:r>
                      </w:p>
                    </w:txbxContent>
                  </v:textbox>
                </v:rect>
                <v:rect id="Rectangle 23141" o:spid="_x0000_s6919" style="position:absolute;left:196;top:25434;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lwixwAAAN4AAAAPAAAAZHJzL2Rvd25yZXYueG1sRI9Pa8JA&#10;FMTvgt9heYI33cRKkdRVRJHm0Ev9Az0+ss8kbfbtkl1N7Kd3CwWPw8z8hlmue9OIG7W+tqwgnSYg&#10;iAuray4VnI77yQKED8gaG8uk4E4e1qvhYImZth1/0u0QShEh7DNUUIXgMil9UZFBP7WOOHoX2xoM&#10;Ubal1C12EW4aOUuSV2mw5rhQoaNtRcXP4WoUfO3Y5ftOFpffrfv4zhfN+/V0Vmo86jdvIAL14Rn+&#10;b+dawewlnafwdydeAbl6AAAA//8DAFBLAQItABQABgAIAAAAIQDb4fbL7gAAAIUBAAATAAAAAAAA&#10;AAAAAAAAAAAAAABbQ29udGVudF9UeXBlc10ueG1sUEsBAi0AFAAGAAgAAAAhAFr0LFu/AAAAFQEA&#10;AAsAAAAAAAAAAAAAAAAAHwEAAF9yZWxzLy5yZWxzUEsBAi0AFAAGAAgAAAAhAKEWXCLHAAAA3gAA&#10;AA8AAAAAAAAAAAAAAAAABwIAAGRycy9kb3ducmV2LnhtbFBLBQYAAAAAAwADALcAAAD7AgAAAAA=&#10;" filled="f" stroked="f">
                  <v:textbox inset="0,0,0,0">
                    <w:txbxContent>
                      <w:p w14:paraId="14674C15" w14:textId="77777777" w:rsidR="00B32EF2" w:rsidRDefault="00000000">
                        <w:r>
                          <w:rPr>
                            <w:rFonts w:ascii="Arial" w:eastAsia="Arial" w:hAnsi="Arial" w:cs="Arial"/>
                            <w:sz w:val="18"/>
                          </w:rPr>
                          <w:t>-</w:t>
                        </w:r>
                      </w:p>
                    </w:txbxContent>
                  </v:textbox>
                </v:rect>
                <v:rect id="Rectangle 23142" o:spid="_x0000_s6920" style="position:absolute;left:-13168;top:242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MJVxwAAAN4AAAAPAAAAZHJzL2Rvd25yZXYueG1sRI9Pa8JA&#10;FMTvgt9heYI33ZhKkdRVRJHm0Ev9Az0+ss8kbfbtkl1N7Kd3CwWPw8z8hlmue9OIG7W+tqxgNk1A&#10;EBdW11wqOB33kwUIH5A1NpZJwZ08rFfDwRIzbTv+pNshlCJC2GeooArBZVL6oiKDfmodcfQutjUY&#10;omxLqVvsItw0Mk2SV2mw5rhQoaNtRcXP4WoUfO3Y5ftOFpffrfv4zhfN+/V0Vmo86jdvIAL14Rn+&#10;b+daQfoym6fwdydeAbl6AAAA//8DAFBLAQItABQABgAIAAAAIQDb4fbL7gAAAIUBAAATAAAAAAAA&#10;AAAAAAAAAAAAAABbQ29udGVudF9UeXBlc10ueG1sUEsBAi0AFAAGAAgAAAAhAFr0LFu/AAAAFQEA&#10;AAsAAAAAAAAAAAAAAAAAHwEAAF9yZWxzLy5yZWxzUEsBAi0AFAAGAAgAAAAhAFHEwlXHAAAA3gAA&#10;AA8AAAAAAAAAAAAAAAAABwIAAGRycy9kb3ducmV2LnhtbFBLBQYAAAAAAwADALcAAAD7AgAAAAA=&#10;" filled="f" stroked="f">
                  <v:textbox inset="0,0,0,0">
                    <w:txbxContent>
                      <w:p w14:paraId="49027EAB" w14:textId="77777777" w:rsidR="00B32EF2" w:rsidRDefault="00000000">
                        <w:r>
                          <w:rPr>
                            <w:rFonts w:ascii="Arial" w:eastAsia="Arial" w:hAnsi="Arial" w:cs="Arial"/>
                            <w:sz w:val="18"/>
                          </w:rPr>
                          <w:t xml:space="preserve">da di partecipazione al concorso, scelta fra le seguenti: inglese, spagnolo, </w:t>
                        </w:r>
                      </w:p>
                    </w:txbxContent>
                  </v:textbox>
                </v:rect>
                <v:rect id="Rectangle 23143" o:spid="_x0000_s6921" style="position:absolute;left:26478;top:22967;width:134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fOxgAAAN4AAAAPAAAAZHJzL2Rvd25yZXYueG1sRI9Ba8JA&#10;FITvgv9heUJvulGLSHQVUcQcvNRa6PGRfSbR7Nslu5rUX98tCD0OM/MNs1x3phYPanxlWcF4lIAg&#10;zq2uuFBw/twP5yB8QNZYWyYFP+Rhver3lphq2/IHPU6hEBHCPkUFZQguldLnJRn0I+uIo3exjcEQ&#10;ZVNI3WAb4aaWkySZSYMVx4USHW1Lym+nu1HwvWOX7VuZX55bd7xm8/pwP38p9TboNgsQgbrwH361&#10;M61gMh2/T+HvTrwCcvULAAD//wMAUEsBAi0AFAAGAAgAAAAhANvh9svuAAAAhQEAABMAAAAAAAAA&#10;AAAAAAAAAAAAAFtDb250ZW50X1R5cGVzXS54bWxQSwECLQAUAAYACAAAACEAWvQsW78AAAAVAQAA&#10;CwAAAAAAAAAAAAAAAAAfAQAAX3JlbHMvLnJlbHNQSwECLQAUAAYACAAAACEAPohnzsYAAADeAAAA&#10;DwAAAAAAAAAAAAAAAAAHAgAAZHJzL2Rvd25yZXYueG1sUEsFBgAAAAADAAMAtwAAAPoCAAAAAA==&#10;" filled="f" stroked="f">
                  <v:textbox inset="0,0,0,0">
                    <w:txbxContent>
                      <w:p w14:paraId="5798AF02" w14:textId="77777777" w:rsidR="00B32EF2" w:rsidRDefault="00000000">
                        <w:r>
                          <w:rPr>
                            <w:rFonts w:ascii="Arial" w:eastAsia="Arial" w:hAnsi="Arial" w:cs="Arial"/>
                            <w:sz w:val="18"/>
                          </w:rPr>
                          <w:t>francese e tedesco.</w:t>
                        </w:r>
                      </w:p>
                    </w:txbxContent>
                  </v:textbox>
                </v:rect>
                <v:rect id="Rectangle 202272" o:spid="_x0000_s6922" style="position:absolute;left:-13811;top:217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GvyAAAAN8AAAAPAAAAZHJzL2Rvd25yZXYueG1sRI9Ba8JA&#10;FITvQv/D8gq96aZ7qJK6SrFIc/CijdDjI/tM0mbfLtnVRH+9Wyj0OMzMN8xyPdpOXKgPrWMNz7MM&#10;BHHlTMu1hvJzO12ACBHZYOeYNFwpwHr1MFlibtzAe7ocYi0ShEOOGpoYfS5lqBqyGGbOEyfv5HqL&#10;Mcm+lqbHIcFtJ1WWvUiLLaeFBj1tGqp+Dmer4eudfbEdZHW6bfzuu1h0H+fyqPXT4/j2CiLSGP/D&#10;f+3CaFCZUnMFv3/SF5CrOwAAAP//AwBQSwECLQAUAAYACAAAACEA2+H2y+4AAACFAQAAEwAAAAAA&#10;AAAAAAAAAAAAAAAAW0NvbnRlbnRfVHlwZXNdLnhtbFBLAQItABQABgAIAAAAIQBa9CxbvwAAABUB&#10;AAALAAAAAAAAAAAAAAAAAB8BAABfcmVscy8ucmVsc1BLAQItABQABgAIAAAAIQCkg2GvyAAAAN8A&#10;AAAPAAAAAAAAAAAAAAAAAAcCAABkcnMvZG93bnJldi54bWxQSwUGAAAAAAMAAwC3AAAA/AIAAAAA&#10;" filled="f" stroked="f">
                  <v:textbox inset="0,0,0,0">
                    <w:txbxContent>
                      <w:p w14:paraId="73F23DB9" w14:textId="77777777" w:rsidR="00B32EF2" w:rsidRDefault="00000000">
                        <w:r>
                          <w:rPr>
                            <w:rFonts w:ascii="Arial" w:eastAsia="Arial" w:hAnsi="Arial" w:cs="Arial"/>
                            <w:sz w:val="18"/>
                          </w:rPr>
                          <w:t xml:space="preserve">. Sono ammessi alla prova orale i candidati che ottengono un punteggio non </w:t>
                        </w:r>
                      </w:p>
                    </w:txbxContent>
                  </v:textbox>
                </v:rect>
                <v:rect id="Rectangle 202271" o:spid="_x0000_s6923" style="position:absolute;left:26113;top:217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f/YxwAAAN8AAAAPAAAAZHJzL2Rvd25yZXYueG1sRI9Ba8JA&#10;FITvgv9heYI33ZiDlegqoog5eKm10OMj+0yi2bdLdjWxv75bKPQ4zMw3zGrTm0Y8qfW1ZQWzaQKC&#10;uLC65lLB5eMwWYDwAVljY5kUvMjDZj0crDDTtuN3ep5DKSKEfYYKqhBcJqUvKjLop9YRR+9qW4Mh&#10;yraUusUuwk0j0ySZS4M1x4UKHe0qKu7nh1HwtWeXHzpZXL937nTLF83xcflUajzqt0sQgfrwH/5r&#10;51pBmqTp2wx+/8QvINc/AAAA//8DAFBLAQItABQABgAIAAAAIQDb4fbL7gAAAIUBAAATAAAAAAAA&#10;AAAAAAAAAAAAAABbQ29udGVudF9UeXBlc10ueG1sUEsBAi0AFAAGAAgAAAAhAFr0LFu/AAAAFQEA&#10;AAsAAAAAAAAAAAAAAAAAHwEAAF9yZWxzLy5yZWxzUEsBAi0AFAAGAAgAAAAhAFRR/9jHAAAA3wAA&#10;AA8AAAAAAAAAAAAAAAAABwIAAGRycy9kb3ducmV2LnhtbFBLBQYAAAAAAwADALcAAAD7AgAAAAA=&#10;" filled="f" stroked="f">
                  <v:textbox inset="0,0,0,0">
                    <w:txbxContent>
                      <w:p w14:paraId="677BE92F" w14:textId="77777777" w:rsidR="00B32EF2" w:rsidRDefault="00000000">
                        <w:r>
                          <w:rPr>
                            <w:rFonts w:ascii="Arial" w:eastAsia="Arial" w:hAnsi="Arial" w:cs="Arial"/>
                            <w:sz w:val="18"/>
                          </w:rPr>
                          <w:t>5</w:t>
                        </w:r>
                      </w:p>
                    </w:txbxContent>
                  </v:textbox>
                </v:rect>
                <v:rect id="Rectangle 23145" o:spid="_x0000_s6924" style="position:absolute;left:-12182;top:20500;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VohxwAAAN4AAAAPAAAAZHJzL2Rvd25yZXYueG1sRI9Pa8JA&#10;FMTvgt9heUJvutFqkdRVikXMoRf/FHp8ZJ9J2uzbJbua6KfvCoLHYWZ+wyxWnanFhRpfWVYwHiUg&#10;iHOrKy4UHA+b4RyED8gaa8uk4EoeVst+b4Gpti3v6LIPhYgQ9ikqKENwqZQ+L8mgH1lHHL2TbQyG&#10;KJtC6gbbCDe1nCTJmzRYcVwo0dG6pPxvfzYKfj7ZZZtW5qfb2n39ZvN6ez5+K/Uy6D7eQQTqwjP8&#10;aGdaweR1PJ3B/U68AnL5DwAA//8DAFBLAQItABQABgAIAAAAIQDb4fbL7gAAAIUBAAATAAAAAAAA&#10;AAAAAAAAAAAAAABbQ29udGVudF9UeXBlc10ueG1sUEsBAi0AFAAGAAgAAAAhAFr0LFu/AAAAFQEA&#10;AAsAAAAAAAAAAAAAAAAAHwEAAF9yZWxzLy5yZWxzUEsBAi0AFAAGAAgAAAAhAN4tWiHHAAAA3gAA&#10;AA8AAAAAAAAAAAAAAAAABwIAAGRycy9kb3ducmV2LnhtbFBLBQYAAAAAAwADALcAAAD7AgAAAAA=&#10;" filled="f" stroked="f">
                  <v:textbox inset="0,0,0,0">
                    <w:txbxContent>
                      <w:p w14:paraId="78F7F783" w14:textId="77777777" w:rsidR="00B32EF2" w:rsidRDefault="00000000">
                        <w:r>
                          <w:rPr>
                            <w:rFonts w:ascii="Arial" w:eastAsia="Arial" w:hAnsi="Arial" w:cs="Arial"/>
                            <w:sz w:val="18"/>
                          </w:rPr>
                          <w:t>inferiore a dodici ventesimi in ciascun elaborato della prova scritta. Conseguo</w:t>
                        </w:r>
                      </w:p>
                    </w:txbxContent>
                  </v:textbox>
                </v:rect>
                <v:rect id="Rectangle 23146" o:spid="_x0000_s6925" style="position:absolute;left:196;top:205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RWxgAAAN4AAAAPAAAAZHJzL2Rvd25yZXYueG1sRI9Ba8JA&#10;FITvgv9heUJvutGKSHQVUcQcvGgt9PjIPpNo9u2SXU3aX+8WCj0OM/MNs1x3phZPanxlWcF4lIAg&#10;zq2uuFBw+dgP5yB8QNZYWyYF3+Rhver3lphq2/KJnudQiAhhn6KCMgSXSunzkgz6kXXE0bvaxmCI&#10;simkbrCNcFPLSZLMpMGK40KJjrYl5ffzwyj42rHL9q3Mrz9bd7xl8/rwuHwq9TboNgsQgbrwH/5r&#10;Z1rB5H08ncHvnXgF5OoFAAD//wMAUEsBAi0AFAAGAAgAAAAhANvh9svuAAAAhQEAABMAAAAAAAAA&#10;AAAAAAAAAAAAAFtDb250ZW50X1R5cGVzXS54bWxQSwECLQAUAAYACAAAACEAWvQsW78AAAAVAQAA&#10;CwAAAAAAAAAAAAAAAAAfAQAAX3JlbHMvLnJlbHNQSwECLQAUAAYACAAAACEALv/EVsYAAADeAAAA&#10;DwAAAAAAAAAAAAAAAAAHAgAAZHJzL2Rvd25yZXYueG1sUEsFBgAAAAADAAMAtwAAAPoCAAAAAA==&#10;" filled="f" stroked="f">
                  <v:textbox inset="0,0,0,0">
                    <w:txbxContent>
                      <w:p w14:paraId="2070E6AB" w14:textId="77777777" w:rsidR="00B32EF2" w:rsidRDefault="00000000">
                        <w:r>
                          <w:rPr>
                            <w:rFonts w:ascii="Arial" w:eastAsia="Arial" w:hAnsi="Arial" w:cs="Arial"/>
                            <w:sz w:val="18"/>
                          </w:rPr>
                          <w:t>-</w:t>
                        </w:r>
                      </w:p>
                    </w:txbxContent>
                  </v:textbox>
                </v:rect>
                <v:rect id="Rectangle 23147" o:spid="_x0000_s6926" style="position:absolute;left:-13168;top:192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2HNxwAAAN4AAAAPAAAAZHJzL2Rvd25yZXYueG1sRI9Pa8JA&#10;FMTvgt9heUJvutGKldRVikXMoRf/FHp8ZJ9J2uzbJbua6KfvCoLHYWZ+wyxWnanFhRpfWVYwHiUg&#10;iHOrKy4UHA+b4RyED8gaa8uk4EoeVst+b4Gpti3v6LIPhYgQ9ikqKENwqZQ+L8mgH1lHHL2TbQyG&#10;KJtC6gbbCDe1nCTJTBqsOC6U6GhdUv63PxsFP5/ssk0r89Nt7b5+s3m9PR+/lXoZdB/vIAJ14Rl+&#10;tDOtYPI6nr7B/U68AnL5DwAA//8DAFBLAQItABQABgAIAAAAIQDb4fbL7gAAAIUBAAATAAAAAAAA&#10;AAAAAAAAAAAAAABbQ29udGVudF9UeXBlc10ueG1sUEsBAi0AFAAGAAgAAAAhAFr0LFu/AAAAFQEA&#10;AAsAAAAAAAAAAAAAAAAAHwEAAF9yZWxzLy5yZWxzUEsBAi0AFAAGAAgAAAAhAEGzYc3HAAAA3gAA&#10;AA8AAAAAAAAAAAAAAAAABwIAAGRycy9kb3ducmV2LnhtbFBLBQYAAAAAAwADALcAAAD7AgAAAAA=&#10;" filled="f" stroked="f">
                  <v:textbox inset="0,0,0,0">
                    <w:txbxContent>
                      <w:p w14:paraId="17D3F9BA" w14:textId="77777777" w:rsidR="00B32EF2" w:rsidRDefault="00000000">
                        <w:r>
                          <w:rPr>
                            <w:rFonts w:ascii="Arial" w:eastAsia="Arial" w:hAnsi="Arial" w:cs="Arial"/>
                            <w:sz w:val="18"/>
                          </w:rPr>
                          <w:t xml:space="preserve">no l’idoneità i candidati che ottengono un punteggio non inferiore a sei decimi </w:t>
                        </w:r>
                      </w:p>
                    </w:txbxContent>
                  </v:textbox>
                </v:rect>
                <v:rect id="Rectangle 23148" o:spid="_x0000_s6927" style="position:absolute;left:-13168;top:180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W/xQAAAN4AAAAPAAAAZHJzL2Rvd25yZXYueG1sRE/JasMw&#10;EL0X8g9iArnVctJSgms5hIRQH3ppFuhxsMZLa42EpcROv746FHp8vD3fTKYXNxp8Z1nBMklBEFdW&#10;d9woOJ8Oj2sQPiBr7C2Tgjt52BSzhxwzbUf+oNsxNCKGsM9QQRuCy6T0VUsGfWIdceRqOxgMEQ6N&#10;1AOOMdz0cpWmL9Jgx7GhRUe7lqrv49Uo+NyzKw+jrOqfnXv/Ktf92/V8UWoxn7avIAJN4V/85y61&#10;gtXT8jnujXfiFZDFLwAAAP//AwBQSwECLQAUAAYACAAAACEA2+H2y+4AAACFAQAAEwAAAAAAAAAA&#10;AAAAAAAAAAAAW0NvbnRlbnRfVHlwZXNdLnhtbFBLAQItABQABgAIAAAAIQBa9CxbvwAAABUBAAAL&#10;AAAAAAAAAAAAAAAAAB8BAABfcmVscy8ucmVsc1BLAQItABQABgAIAAAAIQAwLPW/xQAAAN4AAAAP&#10;AAAAAAAAAAAAAAAAAAcCAABkcnMvZG93bnJldi54bWxQSwUGAAAAAAMAAwC3AAAA+QIAAAAA&#10;" filled="f" stroked="f">
                  <v:textbox inset="0,0,0,0">
                    <w:txbxContent>
                      <w:p w14:paraId="7BA4D1B9" w14:textId="77777777" w:rsidR="00B32EF2" w:rsidRDefault="00000000">
                        <w:r>
                          <w:rPr>
                            <w:rFonts w:ascii="Arial" w:eastAsia="Arial" w:hAnsi="Arial" w:cs="Arial"/>
                            <w:sz w:val="18"/>
                          </w:rPr>
                          <w:t xml:space="preserve">in ciascuna delle materie della prova orale di cui al comma 4, lettere da a) a </w:t>
                        </w:r>
                      </w:p>
                    </w:txbxContent>
                  </v:textbox>
                </v:rect>
                <v:rect id="Rectangle 23149" o:spid="_x0000_s6928" style="position:absolute;left:-13168;top:168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FAkxwAAAN4AAAAPAAAAZHJzL2Rvd25yZXYueG1sRI9Pa8JA&#10;FMTvgt9heUJvutGK2NRVikXMoRf/FHp8ZJ9J2uzbJbua6KfvCoLHYWZ+wyxWnanFhRpfWVYwHiUg&#10;iHOrKy4UHA+b4RyED8gaa8uk4EoeVst+b4Gpti3v6LIPhYgQ9ikqKENwqZQ+L8mgH1lHHL2TbQyG&#10;KJtC6gbbCDe1nCTJTBqsOC6U6GhdUv63PxsFP5/ssk0r89Nt7b5+s3m9PR+/lXoZdB/vIAJ14Rl+&#10;tDOtYPI6nr7B/U68AnL5DwAA//8DAFBLAQItABQABgAIAAAAIQDb4fbL7gAAAIUBAAATAAAAAAAA&#10;AAAAAAAAAAAAAABbQ29udGVudF9UeXBlc10ueG1sUEsBAi0AFAAGAAgAAAAhAFr0LFu/AAAAFQEA&#10;AAsAAAAAAAAAAAAAAAAAHwEAAF9yZWxzLy5yZWxzUEsBAi0AFAAGAAgAAAAhAF9gUCTHAAAA3gAA&#10;AA8AAAAAAAAAAAAAAAAABwIAAGRycy9kb3ducmV2LnhtbFBLBQYAAAAAAwADALcAAAD7AgAAAAA=&#10;" filled="f" stroked="f">
                  <v:textbox inset="0,0,0,0">
                    <w:txbxContent>
                      <w:p w14:paraId="36C7F3D2" w14:textId="77777777" w:rsidR="00B32EF2" w:rsidRDefault="00000000">
                        <w:r>
                          <w:rPr>
                            <w:rFonts w:ascii="Arial" w:eastAsia="Arial" w:hAnsi="Arial" w:cs="Arial"/>
                            <w:sz w:val="18"/>
                          </w:rPr>
                          <w:t xml:space="preserve">h), e un giudizio di sufficienza nel colloquio nella lingua straniera prescelta e </w:t>
                        </w:r>
                      </w:p>
                    </w:txbxContent>
                  </v:textbox>
                </v:rect>
                <v:rect id="Rectangle 23150" o:spid="_x0000_s6929" style="position:absolute;left:-13167;top:155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29kxgAAAN4AAAAPAAAAZHJzL2Rvd25yZXYueG1sRI/LasMw&#10;EEX3hfyDmEB2tZyUluBaDiEh1Itumgd0OVjjR2uNhKXETr++WhS6vNwXJ99Mphc3GnxnWcEySUEQ&#10;V1Z33Cg4nw6PaxA+IGvsLZOCO3nYFLOHHDNtR/6g2zE0Io6wz1BBG4LLpPRVSwZ9Yh1x9Go7GAxR&#10;Do3UA45x3PRylaYv0mDH8aFFR7uWqu/j1Sj43LMrD6Os6p+de/8q1/3b9XxRajGftq8gAk3hP/zX&#10;LrWC1dPyOQJEnIgCsvgFAAD//wMAUEsBAi0AFAAGAAgAAAAhANvh9svuAAAAhQEAABMAAAAAAAAA&#10;AAAAAAAAAAAAAFtDb250ZW50X1R5cGVzXS54bWxQSwECLQAUAAYACAAAACEAWvQsW78AAAAVAQAA&#10;CwAAAAAAAAAAAAAAAAAfAQAAX3JlbHMvLnJlbHNQSwECLQAUAAYACAAAACEAS4NvZMYAAADeAAAA&#10;DwAAAAAAAAAAAAAAAAAHAgAAZHJzL2Rvd25yZXYueG1sUEsFBgAAAAADAAMAtwAAAPoCAAAAAA==&#10;" filled="f" stroked="f">
                  <v:textbox inset="0,0,0,0">
                    <w:txbxContent>
                      <w:p w14:paraId="7A5AF413" w14:textId="77777777" w:rsidR="00B32EF2" w:rsidRDefault="00000000">
                        <w:r>
                          <w:rPr>
                            <w:rFonts w:ascii="Arial" w:eastAsia="Arial" w:hAnsi="Arial" w:cs="Arial"/>
                            <w:sz w:val="18"/>
                          </w:rPr>
                          <w:t xml:space="preserve">comunque una votazione complessiva nelle due prove non inferiore a novanta </w:t>
                        </w:r>
                      </w:p>
                    </w:txbxContent>
                  </v:textbox>
                </v:rect>
                <v:rect id="Rectangle 23151" o:spid="_x0000_s6930" style="position:absolute;left:-13168;top:143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8r/xwAAAN4AAAAPAAAAZHJzL2Rvd25yZXYueG1sRI9Pa8JA&#10;FMTvgt9heYI33cRikdRVRJHm0Ev9Az0+ss8kbfbtkl1N7Kd3CwWPw8z8hlmue9OIG7W+tqwgnSYg&#10;iAuray4VnI77yQKED8gaG8uk4E4e1qvhYImZth1/0u0QShEh7DNUUIXgMil9UZFBP7WOOHoX2xoM&#10;Ubal1C12EW4aOUuSV2mw5rhQoaNtRcXP4WoUfO3Y5ftOFpffrfv4zhfN+/V0Vmo86jdvIAL14Rn+&#10;b+dawewlnafwdydeAbl6AAAA//8DAFBLAQItABQABgAIAAAAIQDb4fbL7gAAAIUBAAATAAAAAAAA&#10;AAAAAAAAAAAAAABbQ29udGVudF9UeXBlc10ueG1sUEsBAi0AFAAGAAgAAAAhAFr0LFu/AAAAFQEA&#10;AAsAAAAAAAAAAAAAAAAAHwEAAF9yZWxzLy5yZWxzUEsBAi0AFAAGAAgAAAAhACTPyv/HAAAA3gAA&#10;AA8AAAAAAAAAAAAAAAAABwIAAGRycy9kb3ducmV2LnhtbFBLBQYAAAAAAwADALcAAAD7AgAAAAA=&#10;" filled="f" stroked="f">
                  <v:textbox inset="0,0,0,0">
                    <w:txbxContent>
                      <w:p w14:paraId="0C379656" w14:textId="77777777" w:rsidR="00B32EF2" w:rsidRDefault="00000000">
                        <w:r>
                          <w:rPr>
                            <w:rFonts w:ascii="Arial" w:eastAsia="Arial" w:hAnsi="Arial" w:cs="Arial"/>
                            <w:sz w:val="18"/>
                          </w:rPr>
                          <w:t xml:space="preserve">punti. Non sono ammesse frazioni di punto. Agli effetti di cui all’articolo 3 della </w:t>
                        </w:r>
                      </w:p>
                    </w:txbxContent>
                  </v:textbox>
                </v:rect>
                <v:rect id="Rectangle 23152" o:spid="_x0000_s6931" style="position:absolute;left:-13168;top:13101;width:5309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VSIxwAAAN4AAAAPAAAAZHJzL2Rvd25yZXYueG1sRI9Pa8JA&#10;FMTvgt9heYI33ZhikdRVRJHm0Ev9Az0+ss8kbfbtkl1N7Kd3CwWPw8z8hlmue9OIG7W+tqxgNk1A&#10;EBdW11wqOB33kwUIH5A1NpZJwZ08rFfDwRIzbTv+pNshlCJC2GeooArBZVL6oiKDfmodcfQutjUY&#10;omxLqVvsItw0Mk2SV2mw5rhQoaNtRcXP4WoUfO3Y5ftOFpffrfv4zhfN+/V0Vmo86jdvIAL14Rn+&#10;b+daQfoym6fwdydeAbl6AAAA//8DAFBLAQItABQABgAIAAAAIQDb4fbL7gAAAIUBAAATAAAAAAAA&#10;AAAAAAAAAAAAAABbQ29udGVudF9UeXBlc10ueG1sUEsBAi0AFAAGAAgAAAAhAFr0LFu/AAAAFQEA&#10;AAsAAAAAAAAAAAAAAAAAHwEAAF9yZWxzLy5yZWxzUEsBAi0AFAAGAAgAAAAhANQdVIjHAAAA3gAA&#10;AA8AAAAAAAAAAAAAAAAABwIAAGRycy9kb3ducmV2LnhtbFBLBQYAAAAAAwADALcAAAD7AgAAAAA=&#10;" filled="f" stroked="f">
                  <v:textbox inset="0,0,0,0">
                    <w:txbxContent>
                      <w:p w14:paraId="4CAFF648" w14:textId="77777777" w:rsidR="00B32EF2" w:rsidRDefault="00000000">
                        <w:r>
                          <w:rPr>
                            <w:rFonts w:ascii="Arial" w:eastAsia="Arial" w:hAnsi="Arial" w:cs="Arial"/>
                            <w:sz w:val="18"/>
                          </w:rPr>
                          <w:t xml:space="preserve">legge 7 agosto 1990, n. 241, il giudizio in ciascuna delle prove scritte e orali è </w:t>
                        </w:r>
                      </w:p>
                    </w:txbxContent>
                  </v:textbox>
                </v:rect>
                <v:rect id="Rectangle 23153" o:spid="_x0000_s6932" style="position:absolute;left:-12191;top:11867;width:521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fETxgAAAN4AAAAPAAAAZHJzL2Rvd25yZXYueG1sRI9Ba8JA&#10;FITvgv9heUJvulGpSHQVUcQcvNRa6PGRfSbR7Nslu5rUX98tCD0OM/MNs1x3phYPanxlWcF4lIAg&#10;zq2uuFBw/twP5yB8QNZYWyYFP+Rhver3lphq2/IHPU6hEBHCPkUFZQguldLnJRn0I+uIo3exjcEQ&#10;ZVNI3WAb4aaWkySZSYMVx4USHW1Lym+nu1HwvWOX7VuZX55bd7xm8/pwP38p9TboNgsQgbrwH361&#10;M61gMh2/T+HvTrwCcvULAAD//wMAUEsBAi0AFAAGAAgAAAAhANvh9svuAAAAhQEAABMAAAAAAAAA&#10;AAAAAAAAAAAAAFtDb250ZW50X1R5cGVzXS54bWxQSwECLQAUAAYACAAAACEAWvQsW78AAAAVAQAA&#10;CwAAAAAAAAAAAAAAAAAfAQAAX3JlbHMvLnJlbHNQSwECLQAUAAYACAAAACEAu1HxE8YAAADeAAAA&#10;DwAAAAAAAAAAAAAAAAAHAgAAZHJzL2Rvd25yZXYueG1sUEsFBgAAAAADAAMAtwAAAPoCAAAAAA==&#10;" filled="f" stroked="f">
                  <v:textbox inset="0,0,0,0">
                    <w:txbxContent>
                      <w:p w14:paraId="1CD88FC9" w14:textId="77777777" w:rsidR="00B32EF2" w:rsidRDefault="00000000">
                        <w:r>
                          <w:rPr>
                            <w:rFonts w:ascii="Arial" w:eastAsia="Arial" w:hAnsi="Arial" w:cs="Arial"/>
                            <w:sz w:val="18"/>
                          </w:rPr>
                          <w:t>motivato con l’indicazione del solo punteggio numerico e il giudizio di insuffi</w:t>
                        </w:r>
                      </w:p>
                    </w:txbxContent>
                  </v:textbox>
                </v:rect>
                <v:rect id="Rectangle 23154" o:spid="_x0000_s6933" style="position:absolute;left:196;top:118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GlnxwAAAN4AAAAPAAAAZHJzL2Rvd25yZXYueG1sRI9Pa8JA&#10;FMTvgt9heUJvutFqkdRVikXMoRf/FHp8ZJ9J2uzbJbua6KfvCoLHYWZ+wyxWnanFhRpfWVYwHiUg&#10;iHOrKy4UHA+b4RyED8gaa8uk4EoeVst+b4Gpti3v6LIPhYgQ9ikqKENwqZQ+L8mgH1lHHL2TbQyG&#10;KJtC6gbbCDe1nCTJmzRYcVwo0dG6pPxvfzYKfj7ZZZtW5qfb2n39ZvN6ez5+K/Uy6D7eQQTqwjP8&#10;aGdaweR1PJvC/U68AnL5DwAA//8DAFBLAQItABQABgAIAAAAIQDb4fbL7gAAAIUBAAATAAAAAAAA&#10;AAAAAAAAAAAAAABbQ29udGVudF9UeXBlc10ueG1sUEsBAi0AFAAGAAgAAAAhAFr0LFu/AAAAFQEA&#10;AAsAAAAAAAAAAAAAAAAAHwEAAF9yZWxzLy5yZWxzUEsBAi0AFAAGAAgAAAAhADS4aWfHAAAA3gAA&#10;AA8AAAAAAAAAAAAAAAAABwIAAGRycy9kb3ducmV2LnhtbFBLBQYAAAAAAwADALcAAAD7AgAAAAA=&#10;" filled="f" stroked="f">
                  <v:textbox inset="0,0,0,0">
                    <w:txbxContent>
                      <w:p w14:paraId="116C1D29" w14:textId="77777777" w:rsidR="00B32EF2" w:rsidRDefault="00000000">
                        <w:r>
                          <w:rPr>
                            <w:rFonts w:ascii="Arial" w:eastAsia="Arial" w:hAnsi="Arial" w:cs="Arial"/>
                            <w:sz w:val="18"/>
                          </w:rPr>
                          <w:t>-</w:t>
                        </w:r>
                      </w:p>
                    </w:txbxContent>
                  </v:textbox>
                </v:rect>
                <v:rect id="Rectangle 23155" o:spid="_x0000_s6934" style="position:absolute;left:4578;top:10634;width:353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Mz8xgAAAN4AAAAPAAAAZHJzL2Rvd25yZXYueG1sRI9Ba8JA&#10;FITvgv9heUJvutFikegqoog5eKla6PGRfSbR7Nslu5q0v94tFDwOM/MNs1h1phYPanxlWcF4lIAg&#10;zq2uuFBwPu2GMxA+IGusLZOCH/KwWvZ7C0y1bfmTHsdQiAhhn6KCMgSXSunzkgz6kXXE0bvYxmCI&#10;simkbrCNcFPLSZJ8SIMVx4USHW1Kym/Hu1HwvWWX7VqZX3437nDNZvX+fv5S6m3QrecgAnXhFf5v&#10;Z1rB5H08ncLfnXgF5PIJAAD//wMAUEsBAi0AFAAGAAgAAAAhANvh9svuAAAAhQEAABMAAAAAAAAA&#10;AAAAAAAAAAAAAFtDb250ZW50X1R5cGVzXS54bWxQSwECLQAUAAYACAAAACEAWvQsW78AAAAVAQAA&#10;CwAAAAAAAAAAAAAAAAAfAQAAX3JlbHMvLnJlbHNQSwECLQAUAAYACAAAACEAW/TM/MYAAADeAAAA&#10;DwAAAAAAAAAAAAAAAAAHAgAAZHJzL2Rvd25yZXYueG1sUEsFBgAAAAADAAMAtwAAAPoCAAAAAA==&#10;" filled="f" stroked="f">
                  <v:textbox inset="0,0,0,0">
                    <w:txbxContent>
                      <w:p w14:paraId="5FB3E6A8" w14:textId="77777777" w:rsidR="00B32EF2" w:rsidRDefault="00000000">
                        <w:r>
                          <w:rPr>
                            <w:rFonts w:ascii="Arial" w:eastAsia="Arial" w:hAnsi="Arial" w:cs="Arial"/>
                            <w:sz w:val="18"/>
                          </w:rPr>
                          <w:t>cienza è motivato con la sola formula «non idoneo».</w:t>
                        </w:r>
                      </w:p>
                    </w:txbxContent>
                  </v:textbox>
                </v:rect>
                <v:rect id="Rectangle 202270" o:spid="_x0000_s6935" style="position:absolute;left:-13813;top:9401;width:531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VpDxwAAAN8AAAAPAAAAZHJzL2Rvd25yZXYueG1sRI+9asMw&#10;FIX3Qt5B3EC2Ro6H1rhRQnEw9ZClbgodL9aN7da6EpYSO3n6aih0PJw/vu1+NoO40uh7ywo26wQE&#10;cWN1z62C00f5mIHwAVnjYJkU3MjDfrd42GKu7cTvdK1DK+II+xwVdCG4XErfdGTQr60jjt7ZjgZD&#10;lGMr9YhTHDeDTJPkSRrsOT506KjoqPmpL0bB14FdVU6yOd8Ld/yusuHtcvpUarWcX19ABJrDf/iv&#10;XWkFaZKmz5Eg8kQWkLtfAAAA//8DAFBLAQItABQABgAIAAAAIQDb4fbL7gAAAIUBAAATAAAAAAAA&#10;AAAAAAAAAAAAAABbQ29udGVudF9UeXBlc10ueG1sUEsBAi0AFAAGAAgAAAAhAFr0LFu/AAAAFQEA&#10;AAsAAAAAAAAAAAAAAAAAHwEAAF9yZWxzLy5yZWxzUEsBAi0AFAAGAAgAAAAhADsdWkPHAAAA3wAA&#10;AA8AAAAAAAAAAAAAAAAABwIAAGRycy9kb3ducmV2LnhtbFBLBQYAAAAAAwADALcAAAD7AgAAAAA=&#10;" filled="f" stroked="f">
                  <v:textbox inset="0,0,0,0">
                    <w:txbxContent>
                      <w:p w14:paraId="2D43316D" w14:textId="77777777" w:rsidR="00B32EF2" w:rsidRDefault="00000000">
                        <w:r>
                          <w:rPr>
                            <w:rFonts w:ascii="Arial" w:eastAsia="Arial" w:hAnsi="Arial" w:cs="Arial"/>
                            <w:sz w:val="18"/>
                          </w:rPr>
                          <w:t xml:space="preserve">. Con decreto del Ministro dell’economia e delle finanze, previa deliberazione </w:t>
                        </w:r>
                      </w:p>
                    </w:txbxContent>
                  </v:textbox>
                </v:rect>
                <v:rect id="Rectangle 202268" o:spid="_x0000_s6936" style="position:absolute;left:26110;top:9401;width:531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sCYxQAAAN8AAAAPAAAAZHJzL2Rvd25yZXYueG1sRE+7asMw&#10;FN0L+QdxA90aOR5McKyEkhDiIUvdFDperOtHal0JS4ndfn01FDoezrvYz2YQDxp9b1nBepWAIK6t&#10;7rlVcH0/vWxA+ICscbBMCr7Jw363eCow13biN3pUoRUxhH2OCroQXC6lrzsy6FfWEUeusaPBEOHY&#10;Sj3iFMPNINMkyaTBnmNDh44OHdVf1d0o+DyyK0+TrJufg7vcys1wvl8/lHpezq9bEIHm8C/+c5da&#10;QZqkaRYHxz/xC8jdLwAAAP//AwBQSwECLQAUAAYACAAAACEA2+H2y+4AAACFAQAAEwAAAAAAAAAA&#10;AAAAAAAAAAAAW0NvbnRlbnRfVHlwZXNdLnhtbFBLAQItABQABgAIAAAAIQBa9CxbvwAAABUBAAAL&#10;AAAAAAAAAAAAAAAAAB8BAABfcmVscy8ucmVsc1BLAQItABQABgAIAAAAIQBAssCYxQAAAN8AAAAP&#10;AAAAAAAAAAAAAAAAAAcCAABkcnMvZG93bnJldi54bWxQSwUGAAAAAAMAAwC3AAAA+QIAAAAA&#10;" filled="f" stroked="f">
                  <v:textbox inset="0,0,0,0">
                    <w:txbxContent>
                      <w:p w14:paraId="79AC53E1" w14:textId="77777777" w:rsidR="00B32EF2" w:rsidRDefault="00000000">
                        <w:r>
                          <w:rPr>
                            <w:rFonts w:ascii="Arial" w:eastAsia="Arial" w:hAnsi="Arial" w:cs="Arial"/>
                            <w:sz w:val="18"/>
                          </w:rPr>
                          <w:t>6</w:t>
                        </w:r>
                      </w:p>
                    </w:txbxContent>
                  </v:textbox>
                </v:rect>
                <v:rect id="Rectangle 23157" o:spid="_x0000_s6937" style="position:absolute;left:-12206;top:8167;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vcQxwAAAN4AAAAPAAAAZHJzL2Rvd25yZXYueG1sRI9Pa8JA&#10;FMTvgt9heUJvutGildRVikXMoRf/FHp8ZJ9J2uzbJbua6KfvCoLHYWZ+wyxWnanFhRpfWVYwHiUg&#10;iHOrKy4UHA+b4RyED8gaa8uk4EoeVst+b4Gpti3v6LIPhYgQ9ikqKENwqZQ+L8mgH1lHHL2TbQyG&#10;KJtC6gbbCDe1nCTJTBqsOC6U6GhdUv63PxsFP5/ssk0r89Nt7b5+s3m9PR+/lXoZdB/vIAJ14Rl+&#10;tDOtYPI6nr7B/U68AnL5DwAA//8DAFBLAQItABQABgAIAAAAIQDb4fbL7gAAAIUBAAATAAAAAAAA&#10;AAAAAAAAAAAAAABbQ29udGVudF9UeXBlc10ueG1sUEsBAi0AFAAGAAgAAAAhAFr0LFu/AAAAFQEA&#10;AAsAAAAAAAAAAAAAAAAAHwEAAF9yZWxzLy5yZWxzUEsBAi0AFAAGAAgAAAAhAMRq9xDHAAAA3gAA&#10;AA8AAAAAAAAAAAAAAAAABwIAAGRycy9kb3ducmV2LnhtbFBLBQYAAAAAAwADALcAAAD7AgAAAAA=&#10;" filled="f" stroked="f">
                  <v:textbox inset="0,0,0,0">
                    <w:txbxContent>
                      <w:p w14:paraId="17C2627E" w14:textId="77777777" w:rsidR="00B32EF2" w:rsidRDefault="00000000">
                        <w:r>
                          <w:rPr>
                            <w:rFonts w:ascii="Arial" w:eastAsia="Arial" w:hAnsi="Arial" w:cs="Arial"/>
                            <w:sz w:val="18"/>
                          </w:rPr>
                          <w:t>conforme del Consiglio di presidenza della giustizia tributaria, terminata la va</w:t>
                        </w:r>
                      </w:p>
                    </w:txbxContent>
                  </v:textbox>
                </v:rect>
                <v:rect id="Rectangle 23158" o:spid="_x0000_s6938" style="position:absolute;left:196;top:81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WNixQAAAN4AAAAPAAAAZHJzL2Rvd25yZXYueG1sRE/JasMw&#10;EL0X8g9iArnVclJagms5hIRQH3ppFuhxsMZLa42EpcROv746FHp8vD3fTKYXNxp8Z1nBMklBEFdW&#10;d9woOJ8Oj2sQPiBr7C2Tgjt52BSzhxwzbUf+oNsxNCKGsM9QQRuCy6T0VUsGfWIdceRqOxgMEQ6N&#10;1AOOMdz0cpWmL9Jgx7GhRUe7lqrv49Uo+NyzKw+jrOqfnXv/Ktf92/V8UWoxn7avIAJN4V/85y61&#10;gtXT8jnujXfiFZDFLwAAAP//AwBQSwECLQAUAAYACAAAACEA2+H2y+4AAACFAQAAEwAAAAAAAAAA&#10;AAAAAAAAAAAAW0NvbnRlbnRfVHlwZXNdLnhtbFBLAQItABQABgAIAAAAIQBa9CxbvwAAABUBAAAL&#10;AAAAAAAAAAAAAAAAAB8BAABfcmVscy8ucmVsc1BLAQItABQABgAIAAAAIQC19WNixQAAAN4AAAAP&#10;AAAAAAAAAAAAAAAAAAcCAABkcnMvZG93bnJldi54bWxQSwUGAAAAAAMAAwC3AAAA+QIAAAAA&#10;" filled="f" stroked="f">
                  <v:textbox inset="0,0,0,0">
                    <w:txbxContent>
                      <w:p w14:paraId="6E615383" w14:textId="77777777" w:rsidR="00B32EF2" w:rsidRDefault="00000000">
                        <w:r>
                          <w:rPr>
                            <w:rFonts w:ascii="Arial" w:eastAsia="Arial" w:hAnsi="Arial" w:cs="Arial"/>
                            <w:sz w:val="18"/>
                          </w:rPr>
                          <w:t>-</w:t>
                        </w:r>
                      </w:p>
                    </w:txbxContent>
                  </v:textbox>
                </v:rect>
                <v:rect id="Rectangle 23159" o:spid="_x0000_s6939" style="position:absolute;left:-13168;top:69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cb5xwAAAN4AAAAPAAAAZHJzL2Rvd25yZXYueG1sRI9Pa8JA&#10;FMTvgt9heUJvutGi2NRVikXMoRf/FHp8ZJ9J2uzbJbua6KfvCoLHYWZ+wyxWnanFhRpfWVYwHiUg&#10;iHOrKy4UHA+b4RyED8gaa8uk4EoeVst+b4Gpti3v6LIPhYgQ9ikqKENwqZQ+L8mgH1lHHL2TbQyG&#10;KJtC6gbbCDe1nCTJTBqsOC6U6GhdUv63PxsFP5/ssk0r89Nt7b5+s3m9PR+/lXoZdB/vIAJ14Rl+&#10;tDOtYPI6nr7B/U68AnL5DwAA//8DAFBLAQItABQABgAIAAAAIQDb4fbL7gAAAIUBAAATAAAAAAAA&#10;AAAAAAAAAAAAAABbQ29udGVudF9UeXBlc10ueG1sUEsBAi0AFAAGAAgAAAAhAFr0LFu/AAAAFQEA&#10;AAsAAAAAAAAAAAAAAAAAHwEAAF9yZWxzLy5yZWxzUEsBAi0AFAAGAAgAAAAhANq5xvnHAAAA3gAA&#10;AA8AAAAAAAAAAAAAAAAABwIAAGRycy9kb3ducmV2LnhtbFBLBQYAAAAAAwADALcAAAD7AgAAAAA=&#10;" filled="f" stroked="f">
                  <v:textbox inset="0,0,0,0">
                    <w:txbxContent>
                      <w:p w14:paraId="3FA5852E" w14:textId="77777777" w:rsidR="00B32EF2" w:rsidRDefault="00000000">
                        <w:r>
                          <w:rPr>
                            <w:rFonts w:ascii="Arial" w:eastAsia="Arial" w:hAnsi="Arial" w:cs="Arial"/>
                            <w:sz w:val="18"/>
                          </w:rPr>
                          <w:t xml:space="preserve">lutazione degli elaborati scritti, sono nominati componenti della commissione </w:t>
                        </w:r>
                      </w:p>
                    </w:txbxContent>
                  </v:textbox>
                </v:rect>
                <v:rect id="Rectangle 23160" o:spid="_x0000_s6940" style="position:absolute;left:-12205;top:5701;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6XZxQAAAN4AAAAPAAAAZHJzL2Rvd25yZXYueG1sRI/NisIw&#10;FIX3wrxDuAOz01QHRKpRxEGmi9moFVxemmtbbW5CE23HpzcLweXh/PEtVr1pxJ1aX1tWMB4lIIgL&#10;q2suFeSH7XAGwgdkjY1lUvBPHlbLj8ECU2073tF9H0oRR9inqKAKwaVS+qIig35kHXH0zrY1GKJs&#10;S6lb7OK4aeQkSabSYM3xoUJHm4qK6/5mFJx+2GXbThbnx8b9XbJZ83vLj0p9ffbrOYhAfXiHX+1M&#10;K5h8j6cRIOJEFJDLJwAAAP//AwBQSwECLQAUAAYACAAAACEA2+H2y+4AAACFAQAAEwAAAAAAAAAA&#10;AAAAAAAAAAAAW0NvbnRlbnRfVHlwZXNdLnhtbFBLAQItABQABgAIAAAAIQBa9CxbvwAAABUBAAAL&#10;AAAAAAAAAAAAAAAAAB8BAABfcmVscy8ucmVsc1BLAQItABQABgAIAAAAIQCF76XZxQAAAN4AAAAP&#10;AAAAAAAAAAAAAAAAAAcCAABkcnMvZG93bnJldi54bWxQSwUGAAAAAAMAAwC3AAAA+QIAAAAA&#10;" filled="f" stroked="f">
                  <v:textbox inset="0,0,0,0">
                    <w:txbxContent>
                      <w:p w14:paraId="46D383F4" w14:textId="77777777" w:rsidR="00B32EF2" w:rsidRDefault="00000000">
                        <w:r>
                          <w:rPr>
                            <w:rFonts w:ascii="Arial" w:eastAsia="Arial" w:hAnsi="Arial" w:cs="Arial"/>
                            <w:sz w:val="18"/>
                          </w:rPr>
                          <w:t>esaminatrice docenti universitari delle lingue indicate dai candidati ammes</w:t>
                        </w:r>
                      </w:p>
                    </w:txbxContent>
                  </v:textbox>
                </v:rect>
                <v:rect id="Rectangle 23161" o:spid="_x0000_s6941" style="position:absolute;left:196;top:570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wBCxgAAAN4AAAAPAAAAZHJzL2Rvd25yZXYueG1sRI9Ba8JA&#10;FITvBf/D8gRvdRMLItFVRJHm4KVWweMj+0yi2bdLdjXRX98tFHocZuYbZrHqTSMe1PrasoJ0nIAg&#10;LqyuuVRw/N69z0D4gKyxsUwKnuRhtRy8LTDTtuMvehxCKSKEfYYKqhBcJqUvKjLox9YRR+9iW4Mh&#10;yraUusUuwk0jJ0kylQZrjgsVOtpUVNwOd6PgvGWX7zpZXF4bt7/ms+bzfjwpNRr26zmIQH34D/+1&#10;c61g8pFOU/i9E6+AXP4AAAD//wMAUEsBAi0AFAAGAAgAAAAhANvh9svuAAAAhQEAABMAAAAAAAAA&#10;AAAAAAAAAAAAAFtDb250ZW50X1R5cGVzXS54bWxQSwECLQAUAAYACAAAACEAWvQsW78AAAAVAQAA&#10;CwAAAAAAAAAAAAAAAAAfAQAAX3JlbHMvLnJlbHNQSwECLQAUAAYACAAAACEA6qMAQsYAAADeAAAA&#10;DwAAAAAAAAAAAAAAAAAHAgAAZHJzL2Rvd25yZXYueG1sUEsFBgAAAAADAAMAtwAAAPoCAAAAAA==&#10;" filled="f" stroked="f">
                  <v:textbox inset="0,0,0,0">
                    <w:txbxContent>
                      <w:p w14:paraId="54C26465" w14:textId="77777777" w:rsidR="00B32EF2" w:rsidRDefault="00000000">
                        <w:r>
                          <w:rPr>
                            <w:rFonts w:ascii="Arial" w:eastAsia="Arial" w:hAnsi="Arial" w:cs="Arial"/>
                            <w:sz w:val="18"/>
                          </w:rPr>
                          <w:t>-</w:t>
                        </w:r>
                      </w:p>
                    </w:txbxContent>
                  </v:textbox>
                </v:rect>
                <v:rect id="Rectangle 23162" o:spid="_x0000_s6942" style="position:absolute;left:-13168;top:44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Z41xwAAAN4AAAAPAAAAZHJzL2Rvd25yZXYueG1sRI/NasMw&#10;EITvhbyD2EJvjRwHQnAih5IQ4kMvTR3IcbHWP621EpYSu336qlDocZiZb5jtbjK9uNPgO8sKFvME&#10;BHFldceNgvL9+LwG4QOyxt4yKfgiD7t89rDFTNuR3+h+Do2IEPYZKmhDcJmUvmrJoJ9bRxy92g4G&#10;Q5RDI/WAY4SbXqZJspIGO44LLTrat1R9nm9GwfXArjiOsqq/9+71o1j3p1t5UerpcXrZgAg0hf/w&#10;X7vQCtLlYpXC7514BWT+AwAA//8DAFBLAQItABQABgAIAAAAIQDb4fbL7gAAAIUBAAATAAAAAAAA&#10;AAAAAAAAAAAAAABbQ29udGVudF9UeXBlc10ueG1sUEsBAi0AFAAGAAgAAAAhAFr0LFu/AAAAFQEA&#10;AAsAAAAAAAAAAAAAAAAAHwEAAF9yZWxzLy5yZWxzUEsBAi0AFAAGAAgAAAAhABpxnjXHAAAA3gAA&#10;AA8AAAAAAAAAAAAAAAAABwIAAGRycy9kb3ducmV2LnhtbFBLBQYAAAAAAwADALcAAAD7AgAAAAA=&#10;" filled="f" stroked="f">
                  <v:textbox inset="0,0,0,0">
                    <w:txbxContent>
                      <w:p w14:paraId="49A0D223" w14:textId="77777777" w:rsidR="00B32EF2" w:rsidRDefault="00000000">
                        <w:r>
                          <w:rPr>
                            <w:rFonts w:ascii="Arial" w:eastAsia="Arial" w:hAnsi="Arial" w:cs="Arial"/>
                            <w:sz w:val="18"/>
                          </w:rPr>
                          <w:t xml:space="preserve">si alla prova orale. I commissari così nominati partecipano in soprannumero </w:t>
                        </w:r>
                      </w:p>
                    </w:txbxContent>
                  </v:textbox>
                </v:rect>
                <w10:anchorlock/>
              </v:group>
            </w:pict>
          </mc:Fallback>
        </mc:AlternateContent>
      </w:r>
    </w:p>
    <w:p w14:paraId="0EFDDE1A" w14:textId="77777777" w:rsidR="00B32EF2" w:rsidRDefault="00000000">
      <w:pPr>
        <w:spacing w:after="0"/>
        <w:ind w:left="-356" w:right="-306"/>
      </w:pPr>
      <w:r>
        <w:rPr>
          <w:noProof/>
        </w:rPr>
        <w:lastRenderedPageBreak/>
        <mc:AlternateContent>
          <mc:Choice Requires="wpg">
            <w:drawing>
              <wp:inline distT="0" distB="0" distL="0" distR="0" wp14:anchorId="695BEB87" wp14:editId="06677B61">
                <wp:extent cx="3991939" cy="6262854"/>
                <wp:effectExtent l="0" t="0" r="0" b="0"/>
                <wp:docPr id="202389" name="Group 202389"/>
                <wp:cNvGraphicFramePr/>
                <a:graphic xmlns:a="http://schemas.openxmlformats.org/drawingml/2006/main">
                  <a:graphicData uri="http://schemas.microsoft.com/office/word/2010/wordprocessingGroup">
                    <wpg:wgp>
                      <wpg:cNvGrpSpPr/>
                      <wpg:grpSpPr>
                        <a:xfrm>
                          <a:off x="0" y="0"/>
                          <a:ext cx="3991939" cy="6262854"/>
                          <a:chOff x="0" y="0"/>
                          <a:chExt cx="3991939" cy="6262854"/>
                        </a:xfrm>
                      </wpg:grpSpPr>
                      <wps:wsp>
                        <wps:cNvPr id="23235" name="Rectangle 23235"/>
                        <wps:cNvSpPr/>
                        <wps:spPr>
                          <a:xfrm rot="-10799999">
                            <a:off x="1900625" y="-62190"/>
                            <a:ext cx="178369" cy="250646"/>
                          </a:xfrm>
                          <a:prstGeom prst="rect">
                            <a:avLst/>
                          </a:prstGeom>
                          <a:ln>
                            <a:noFill/>
                          </a:ln>
                        </wps:spPr>
                        <wps:txbx>
                          <w:txbxContent>
                            <w:p w14:paraId="581818D1" w14:textId="77777777" w:rsidR="00B32EF2" w:rsidRDefault="00000000">
                              <w:r>
                                <w:rPr>
                                  <w:rFonts w:ascii="Times New Roman" w:eastAsia="Times New Roman" w:hAnsi="Times New Roman" w:cs="Times New Roman"/>
                                </w:rPr>
                                <w:t>16</w:t>
                              </w:r>
                            </w:p>
                          </w:txbxContent>
                        </wps:txbx>
                        <wps:bodyPr horzOverflow="overflow" vert="horz" lIns="0" tIns="0" rIns="0" bIns="0" rtlCol="0">
                          <a:noAutofit/>
                        </wps:bodyPr>
                      </wps:wsp>
                      <wps:wsp>
                        <wps:cNvPr id="23236" name="Rectangle 23236"/>
                        <wps:cNvSpPr/>
                        <wps:spPr>
                          <a:xfrm rot="-10799999">
                            <a:off x="-134129" y="6119964"/>
                            <a:ext cx="4126069" cy="142890"/>
                          </a:xfrm>
                          <a:prstGeom prst="rect">
                            <a:avLst/>
                          </a:prstGeom>
                          <a:ln>
                            <a:noFill/>
                          </a:ln>
                        </wps:spPr>
                        <wps:txbx>
                          <w:txbxContent>
                            <w:p w14:paraId="68B89FA7" w14:textId="77777777" w:rsidR="00B32EF2" w:rsidRDefault="00000000">
                              <w:r>
                                <w:rPr>
                                  <w:rFonts w:ascii="Arial" w:eastAsia="Arial" w:hAnsi="Arial" w:cs="Arial"/>
                                  <w:sz w:val="18"/>
                                </w:rPr>
                                <w:t>l’età pensionabile entro i quattro anni successivi alla nomina.</w:t>
                              </w:r>
                            </w:p>
                          </w:txbxContent>
                        </wps:txbx>
                        <wps:bodyPr horzOverflow="overflow" vert="horz" lIns="0" tIns="0" rIns="0" bIns="0" rtlCol="0">
                          <a:noAutofit/>
                        </wps:bodyPr>
                      </wps:wsp>
                      <wps:wsp>
                        <wps:cNvPr id="202377" name="Rectangle 202377"/>
                        <wps:cNvSpPr/>
                        <wps:spPr>
                          <a:xfrm rot="-10799999">
                            <a:off x="-1381668" y="5996634"/>
                            <a:ext cx="5309051" cy="142891"/>
                          </a:xfrm>
                          <a:prstGeom prst="rect">
                            <a:avLst/>
                          </a:prstGeom>
                          <a:ln>
                            <a:noFill/>
                          </a:ln>
                        </wps:spPr>
                        <wps:txbx>
                          <w:txbxContent>
                            <w:p w14:paraId="41D03D7D" w14:textId="77777777" w:rsidR="00B32EF2" w:rsidRDefault="00000000">
                              <w:r>
                                <w:rPr>
                                  <w:rFonts w:ascii="Arial" w:eastAsia="Arial" w:hAnsi="Arial" w:cs="Arial"/>
                                  <w:sz w:val="18"/>
                                </w:rPr>
                                <w:t xml:space="preserve">. A seguito di valutazione negativa da parte del Consiglio di presidenza della </w:t>
                              </w:r>
                            </w:p>
                          </w:txbxContent>
                        </wps:txbx>
                        <wps:bodyPr horzOverflow="overflow" vert="horz" lIns="0" tIns="0" rIns="0" bIns="0" rtlCol="0">
                          <a:noAutofit/>
                        </wps:bodyPr>
                      </wps:wsp>
                      <wps:wsp>
                        <wps:cNvPr id="202376" name="Rectangle 202376"/>
                        <wps:cNvSpPr/>
                        <wps:spPr>
                          <a:xfrm rot="-10799999">
                            <a:off x="2611106" y="5996634"/>
                            <a:ext cx="5309051" cy="142891"/>
                          </a:xfrm>
                          <a:prstGeom prst="rect">
                            <a:avLst/>
                          </a:prstGeom>
                          <a:ln>
                            <a:noFill/>
                          </a:ln>
                        </wps:spPr>
                        <wps:txbx>
                          <w:txbxContent>
                            <w:p w14:paraId="12B2095D"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3238" name="Rectangle 23238"/>
                        <wps:cNvSpPr/>
                        <wps:spPr>
                          <a:xfrm rot="-10799999">
                            <a:off x="-1220458" y="5873305"/>
                            <a:ext cx="5212398" cy="142889"/>
                          </a:xfrm>
                          <a:prstGeom prst="rect">
                            <a:avLst/>
                          </a:prstGeom>
                          <a:ln>
                            <a:noFill/>
                          </a:ln>
                        </wps:spPr>
                        <wps:txbx>
                          <w:txbxContent>
                            <w:p w14:paraId="3F864B71" w14:textId="77777777" w:rsidR="00B32EF2" w:rsidRDefault="00000000">
                              <w:r>
                                <w:rPr>
                                  <w:rFonts w:ascii="Arial" w:eastAsia="Arial" w:hAnsi="Arial" w:cs="Arial"/>
                                  <w:sz w:val="18"/>
                                </w:rPr>
                                <w:t>giustizia tributaria e comunque all’esito dell’ottavo anno di esercizio delle fun</w:t>
                              </w:r>
                            </w:p>
                          </w:txbxContent>
                        </wps:txbx>
                        <wps:bodyPr horzOverflow="overflow" vert="horz" lIns="0" tIns="0" rIns="0" bIns="0" rtlCol="0">
                          <a:noAutofit/>
                        </wps:bodyPr>
                      </wps:wsp>
                      <wps:wsp>
                        <wps:cNvPr id="23239" name="Rectangle 23239"/>
                        <wps:cNvSpPr/>
                        <wps:spPr>
                          <a:xfrm rot="-10799999">
                            <a:off x="19341" y="5873305"/>
                            <a:ext cx="50622" cy="142889"/>
                          </a:xfrm>
                          <a:prstGeom prst="rect">
                            <a:avLst/>
                          </a:prstGeom>
                          <a:ln>
                            <a:noFill/>
                          </a:ln>
                        </wps:spPr>
                        <wps:txbx>
                          <w:txbxContent>
                            <w:p w14:paraId="5913A36F"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240" name="Rectangle 23240"/>
                        <wps:cNvSpPr/>
                        <wps:spPr>
                          <a:xfrm rot="-10799999">
                            <a:off x="-1317050" y="5749976"/>
                            <a:ext cx="5308990" cy="142889"/>
                          </a:xfrm>
                          <a:prstGeom prst="rect">
                            <a:avLst/>
                          </a:prstGeom>
                          <a:ln>
                            <a:noFill/>
                          </a:ln>
                        </wps:spPr>
                        <wps:txbx>
                          <w:txbxContent>
                            <w:p w14:paraId="630CD741" w14:textId="77777777" w:rsidR="00B32EF2" w:rsidRDefault="00000000">
                              <w:r>
                                <w:rPr>
                                  <w:rFonts w:ascii="Arial" w:eastAsia="Arial" w:hAnsi="Arial" w:cs="Arial"/>
                                  <w:sz w:val="18"/>
                                </w:rPr>
                                <w:t xml:space="preserve">zioni di cui al comma 1, il giudice tributario è riassegnato a sua richiesta, salvo </w:t>
                              </w:r>
                            </w:p>
                          </w:txbxContent>
                        </wps:txbx>
                        <wps:bodyPr horzOverflow="overflow" vert="horz" lIns="0" tIns="0" rIns="0" bIns="0" rtlCol="0">
                          <a:noAutofit/>
                        </wps:bodyPr>
                      </wps:wsp>
                      <wps:wsp>
                        <wps:cNvPr id="23241" name="Rectangle 23241"/>
                        <wps:cNvSpPr/>
                        <wps:spPr>
                          <a:xfrm rot="-10799999">
                            <a:off x="-1220412" y="5626646"/>
                            <a:ext cx="5212351" cy="142889"/>
                          </a:xfrm>
                          <a:prstGeom prst="rect">
                            <a:avLst/>
                          </a:prstGeom>
                          <a:ln>
                            <a:noFill/>
                          </a:ln>
                        </wps:spPr>
                        <wps:txbx>
                          <w:txbxContent>
                            <w:p w14:paraId="78333F4A" w14:textId="77777777" w:rsidR="00B32EF2" w:rsidRDefault="00000000">
                              <w:r>
                                <w:rPr>
                                  <w:rFonts w:ascii="Arial" w:eastAsia="Arial" w:hAnsi="Arial" w:cs="Arial"/>
                                  <w:sz w:val="18"/>
                                </w:rPr>
                                <w:t>tramutamento all’esercizio di funzioni analoghe o diverse all’incarico di presi</w:t>
                              </w:r>
                            </w:p>
                          </w:txbxContent>
                        </wps:txbx>
                        <wps:bodyPr horzOverflow="overflow" vert="horz" lIns="0" tIns="0" rIns="0" bIns="0" rtlCol="0">
                          <a:noAutofit/>
                        </wps:bodyPr>
                      </wps:wsp>
                      <wps:wsp>
                        <wps:cNvPr id="23242" name="Rectangle 23242"/>
                        <wps:cNvSpPr/>
                        <wps:spPr>
                          <a:xfrm rot="-10799999">
                            <a:off x="19341" y="5626646"/>
                            <a:ext cx="50622" cy="142889"/>
                          </a:xfrm>
                          <a:prstGeom prst="rect">
                            <a:avLst/>
                          </a:prstGeom>
                          <a:ln>
                            <a:noFill/>
                          </a:ln>
                        </wps:spPr>
                        <wps:txbx>
                          <w:txbxContent>
                            <w:p w14:paraId="3AE9078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243" name="Rectangle 23243"/>
                        <wps:cNvSpPr/>
                        <wps:spPr>
                          <a:xfrm rot="-10799999">
                            <a:off x="-1317050" y="5503316"/>
                            <a:ext cx="5308990" cy="142889"/>
                          </a:xfrm>
                          <a:prstGeom prst="rect">
                            <a:avLst/>
                          </a:prstGeom>
                          <a:ln>
                            <a:noFill/>
                          </a:ln>
                        </wps:spPr>
                        <wps:txbx>
                          <w:txbxContent>
                            <w:p w14:paraId="6E6D129C" w14:textId="77777777" w:rsidR="00B32EF2" w:rsidRDefault="00000000">
                              <w:r>
                                <w:rPr>
                                  <w:rFonts w:ascii="Arial" w:eastAsia="Arial" w:hAnsi="Arial" w:cs="Arial"/>
                                  <w:sz w:val="18"/>
                                </w:rPr>
                                <w:t xml:space="preserve">dente di sezione nella corte di giustizia tributaria di primo e secondo grado a </w:t>
                              </w:r>
                            </w:p>
                          </w:txbxContent>
                        </wps:txbx>
                        <wps:bodyPr horzOverflow="overflow" vert="horz" lIns="0" tIns="0" rIns="0" bIns="0" rtlCol="0">
                          <a:noAutofit/>
                        </wps:bodyPr>
                      </wps:wsp>
                      <wps:wsp>
                        <wps:cNvPr id="23244" name="Rectangle 23244"/>
                        <wps:cNvSpPr/>
                        <wps:spPr>
                          <a:xfrm rot="-10799999">
                            <a:off x="-121497" y="5379987"/>
                            <a:ext cx="4113437" cy="142889"/>
                          </a:xfrm>
                          <a:prstGeom prst="rect">
                            <a:avLst/>
                          </a:prstGeom>
                          <a:ln>
                            <a:noFill/>
                          </a:ln>
                        </wps:spPr>
                        <wps:txbx>
                          <w:txbxContent>
                            <w:p w14:paraId="02E363F6" w14:textId="77777777" w:rsidR="00B32EF2" w:rsidRDefault="00000000">
                              <w:r>
                                <w:rPr>
                                  <w:rFonts w:ascii="Arial" w:eastAsia="Arial" w:hAnsi="Arial" w:cs="Arial"/>
                                  <w:sz w:val="18"/>
                                </w:rPr>
                                <w:t>cui era preposto ovvero in quella di precedente provenienza.</w:t>
                              </w:r>
                            </w:p>
                          </w:txbxContent>
                        </wps:txbx>
                        <wps:bodyPr horzOverflow="overflow" vert="horz" lIns="0" tIns="0" rIns="0" bIns="0" rtlCol="0">
                          <a:noAutofit/>
                        </wps:bodyPr>
                      </wps:wsp>
                      <wps:wsp>
                        <wps:cNvPr id="202374" name="Rectangle 202374"/>
                        <wps:cNvSpPr/>
                        <wps:spPr>
                          <a:xfrm rot="-10799999">
                            <a:off x="2635438" y="5256657"/>
                            <a:ext cx="5210985" cy="142889"/>
                          </a:xfrm>
                          <a:prstGeom prst="rect">
                            <a:avLst/>
                          </a:prstGeom>
                          <a:ln>
                            <a:noFill/>
                          </a:ln>
                        </wps:spPr>
                        <wps:txbx>
                          <w:txbxContent>
                            <w:p w14:paraId="573CF184"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2375" name="Rectangle 202375"/>
                        <wps:cNvSpPr/>
                        <wps:spPr>
                          <a:xfrm rot="-10799999">
                            <a:off x="-1283566" y="5256657"/>
                            <a:ext cx="5210984" cy="142889"/>
                          </a:xfrm>
                          <a:prstGeom prst="rect">
                            <a:avLst/>
                          </a:prstGeom>
                          <a:ln>
                            <a:noFill/>
                          </a:ln>
                        </wps:spPr>
                        <wps:txbx>
                          <w:txbxContent>
                            <w:p w14:paraId="1AAEE80A" w14:textId="77777777" w:rsidR="00B32EF2" w:rsidRDefault="00000000">
                              <w:r>
                                <w:rPr>
                                  <w:rFonts w:ascii="Arial" w:eastAsia="Arial" w:hAnsi="Arial" w:cs="Arial"/>
                                  <w:sz w:val="18"/>
                                </w:rPr>
                                <w:t>. Il presidente della corte di giustizia tributaria, in caso di assenza o di impe</w:t>
                              </w:r>
                            </w:p>
                          </w:txbxContent>
                        </wps:txbx>
                        <wps:bodyPr horzOverflow="overflow" vert="horz" lIns="0" tIns="0" rIns="0" bIns="0" rtlCol="0">
                          <a:noAutofit/>
                        </wps:bodyPr>
                      </wps:wsp>
                      <wps:wsp>
                        <wps:cNvPr id="23246" name="Rectangle 23246"/>
                        <wps:cNvSpPr/>
                        <wps:spPr>
                          <a:xfrm rot="-10799999">
                            <a:off x="19341" y="5256657"/>
                            <a:ext cx="50622" cy="142889"/>
                          </a:xfrm>
                          <a:prstGeom prst="rect">
                            <a:avLst/>
                          </a:prstGeom>
                          <a:ln>
                            <a:noFill/>
                          </a:ln>
                        </wps:spPr>
                        <wps:txbx>
                          <w:txbxContent>
                            <w:p w14:paraId="3A7B4F6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247" name="Rectangle 23247"/>
                        <wps:cNvSpPr/>
                        <wps:spPr>
                          <a:xfrm rot="-10799999">
                            <a:off x="-1317096" y="5133327"/>
                            <a:ext cx="5309035" cy="142889"/>
                          </a:xfrm>
                          <a:prstGeom prst="rect">
                            <a:avLst/>
                          </a:prstGeom>
                          <a:ln>
                            <a:noFill/>
                          </a:ln>
                        </wps:spPr>
                        <wps:txbx>
                          <w:txbxContent>
                            <w:p w14:paraId="15475AB5" w14:textId="77777777" w:rsidR="00B32EF2" w:rsidRDefault="00000000">
                              <w:r>
                                <w:rPr>
                                  <w:rFonts w:ascii="Arial" w:eastAsia="Arial" w:hAnsi="Arial" w:cs="Arial"/>
                                  <w:sz w:val="18"/>
                                </w:rPr>
                                <w:t xml:space="preserve">dimento, è sostituito nelle funzioni non giurisdizionali dal presidente di sezione </w:t>
                              </w:r>
                            </w:p>
                          </w:txbxContent>
                        </wps:txbx>
                        <wps:bodyPr horzOverflow="overflow" vert="horz" lIns="0" tIns="0" rIns="0" bIns="0" rtlCol="0">
                          <a:noAutofit/>
                        </wps:bodyPr>
                      </wps:wsp>
                      <wps:wsp>
                        <wps:cNvPr id="23248" name="Rectangle 23248"/>
                        <wps:cNvSpPr/>
                        <wps:spPr>
                          <a:xfrm rot="-10799999">
                            <a:off x="-135665" y="5009998"/>
                            <a:ext cx="4127605" cy="142889"/>
                          </a:xfrm>
                          <a:prstGeom prst="rect">
                            <a:avLst/>
                          </a:prstGeom>
                          <a:ln>
                            <a:noFill/>
                          </a:ln>
                        </wps:spPr>
                        <wps:txbx>
                          <w:txbxContent>
                            <w:p w14:paraId="6D1A1A4A" w14:textId="77777777" w:rsidR="00B32EF2" w:rsidRDefault="00000000">
                              <w:r>
                                <w:rPr>
                                  <w:rFonts w:ascii="Arial" w:eastAsia="Arial" w:hAnsi="Arial" w:cs="Arial"/>
                                  <w:sz w:val="18"/>
                                </w:rPr>
                                <w:t>con maggiore anzianità nell’incarico subordinatamente d’età.</w:t>
                              </w:r>
                            </w:p>
                          </w:txbxContent>
                        </wps:txbx>
                        <wps:bodyPr horzOverflow="overflow" vert="horz" lIns="0" tIns="0" rIns="0" bIns="0" rtlCol="0">
                          <a:noAutofit/>
                        </wps:bodyPr>
                      </wps:wsp>
                      <wps:wsp>
                        <wps:cNvPr id="202373" name="Rectangle 202373"/>
                        <wps:cNvSpPr/>
                        <wps:spPr>
                          <a:xfrm rot="-10799999">
                            <a:off x="-1380281" y="4886668"/>
                            <a:ext cx="5309082" cy="142889"/>
                          </a:xfrm>
                          <a:prstGeom prst="rect">
                            <a:avLst/>
                          </a:prstGeom>
                          <a:ln>
                            <a:noFill/>
                          </a:ln>
                        </wps:spPr>
                        <wps:txbx>
                          <w:txbxContent>
                            <w:p w14:paraId="5866FFB5" w14:textId="77777777" w:rsidR="00B32EF2" w:rsidRDefault="00000000">
                              <w:r>
                                <w:rPr>
                                  <w:rFonts w:ascii="Arial" w:eastAsia="Arial" w:hAnsi="Arial" w:cs="Arial"/>
                                  <w:sz w:val="18"/>
                                </w:rPr>
                                <w:t xml:space="preserve">. Il presidente della corte di giustizia tributaria con oltre quindici sezioni può </w:t>
                              </w:r>
                            </w:p>
                          </w:txbxContent>
                        </wps:txbx>
                        <wps:bodyPr horzOverflow="overflow" vert="horz" lIns="0" tIns="0" rIns="0" bIns="0" rtlCol="0">
                          <a:noAutofit/>
                        </wps:bodyPr>
                      </wps:wsp>
                      <wps:wsp>
                        <wps:cNvPr id="202372" name="Rectangle 202372"/>
                        <wps:cNvSpPr/>
                        <wps:spPr>
                          <a:xfrm rot="-10799999">
                            <a:off x="2611098" y="4886668"/>
                            <a:ext cx="5309082" cy="142889"/>
                          </a:xfrm>
                          <a:prstGeom prst="rect">
                            <a:avLst/>
                          </a:prstGeom>
                          <a:ln>
                            <a:noFill/>
                          </a:ln>
                        </wps:spPr>
                        <wps:txbx>
                          <w:txbxContent>
                            <w:p w14:paraId="1D165581"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3250" name="Rectangle 23250"/>
                        <wps:cNvSpPr/>
                        <wps:spPr>
                          <a:xfrm rot="-10799999">
                            <a:off x="-1317066" y="4763338"/>
                            <a:ext cx="5309006" cy="142889"/>
                          </a:xfrm>
                          <a:prstGeom prst="rect">
                            <a:avLst/>
                          </a:prstGeom>
                          <a:ln>
                            <a:noFill/>
                          </a:ln>
                        </wps:spPr>
                        <wps:txbx>
                          <w:txbxContent>
                            <w:p w14:paraId="766469B3" w14:textId="77777777" w:rsidR="00B32EF2" w:rsidRDefault="00000000">
                              <w:r>
                                <w:rPr>
                                  <w:rFonts w:ascii="Arial" w:eastAsia="Arial" w:hAnsi="Arial" w:cs="Arial"/>
                                  <w:sz w:val="18"/>
                                </w:rPr>
                                <w:t xml:space="preserve">delegare sue attribuzioni non giurisdizionali ad uno o più presidenti di sezione </w:t>
                              </w:r>
                            </w:p>
                          </w:txbxContent>
                        </wps:txbx>
                        <wps:bodyPr horzOverflow="overflow" vert="horz" lIns="0" tIns="0" rIns="0" bIns="0" rtlCol="0">
                          <a:noAutofit/>
                        </wps:bodyPr>
                      </wps:wsp>
                      <wps:wsp>
                        <wps:cNvPr id="23251" name="Rectangle 23251"/>
                        <wps:cNvSpPr/>
                        <wps:spPr>
                          <a:xfrm rot="-10799999">
                            <a:off x="1962257" y="4640009"/>
                            <a:ext cx="2029682" cy="142889"/>
                          </a:xfrm>
                          <a:prstGeom prst="rect">
                            <a:avLst/>
                          </a:prstGeom>
                          <a:ln>
                            <a:noFill/>
                          </a:ln>
                        </wps:spPr>
                        <wps:txbx>
                          <w:txbxContent>
                            <w:p w14:paraId="4C3863D7" w14:textId="77777777" w:rsidR="00B32EF2" w:rsidRDefault="00000000">
                              <w:r>
                                <w:rPr>
                                  <w:rFonts w:ascii="Arial" w:eastAsia="Arial" w:hAnsi="Arial" w:cs="Arial"/>
                                  <w:sz w:val="18"/>
                                </w:rPr>
                                <w:t>con i criteri di cui al comma 3.</w:t>
                              </w:r>
                            </w:p>
                          </w:txbxContent>
                        </wps:txbx>
                        <wps:bodyPr horzOverflow="overflow" vert="horz" lIns="0" tIns="0" rIns="0" bIns="0" rtlCol="0">
                          <a:noAutofit/>
                        </wps:bodyPr>
                      </wps:wsp>
                      <wps:wsp>
                        <wps:cNvPr id="202370" name="Rectangle 202370"/>
                        <wps:cNvSpPr/>
                        <wps:spPr>
                          <a:xfrm rot="-10799999">
                            <a:off x="2611113" y="4516679"/>
                            <a:ext cx="5309020" cy="142889"/>
                          </a:xfrm>
                          <a:prstGeom prst="rect">
                            <a:avLst/>
                          </a:prstGeom>
                          <a:ln>
                            <a:noFill/>
                          </a:ln>
                        </wps:spPr>
                        <wps:txbx>
                          <w:txbxContent>
                            <w:p w14:paraId="0136A04E"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02371" name="Rectangle 202371"/>
                        <wps:cNvSpPr/>
                        <wps:spPr>
                          <a:xfrm rot="-10799999">
                            <a:off x="-1381477" y="4516679"/>
                            <a:ext cx="5309021" cy="142889"/>
                          </a:xfrm>
                          <a:prstGeom prst="rect">
                            <a:avLst/>
                          </a:prstGeom>
                          <a:ln>
                            <a:noFill/>
                          </a:ln>
                        </wps:spPr>
                        <wps:txbx>
                          <w:txbxContent>
                            <w:p w14:paraId="3B24E412" w14:textId="77777777" w:rsidR="00B32EF2" w:rsidRDefault="00000000">
                              <w:r>
                                <w:rPr>
                                  <w:rFonts w:ascii="Arial" w:eastAsia="Arial" w:hAnsi="Arial" w:cs="Arial"/>
                                  <w:sz w:val="18"/>
                                </w:rPr>
                                <w:t xml:space="preserve">. A ciascuna sezione è assegnato un presidente, un vice-presidente e non </w:t>
                              </w:r>
                            </w:p>
                          </w:txbxContent>
                        </wps:txbx>
                        <wps:bodyPr horzOverflow="overflow" vert="horz" lIns="0" tIns="0" rIns="0" bIns="0" rtlCol="0">
                          <a:noAutofit/>
                        </wps:bodyPr>
                      </wps:wsp>
                      <wps:wsp>
                        <wps:cNvPr id="23253" name="Rectangle 23253"/>
                        <wps:cNvSpPr/>
                        <wps:spPr>
                          <a:xfrm rot="-10799999">
                            <a:off x="1228386" y="4393349"/>
                            <a:ext cx="2763554" cy="142889"/>
                          </a:xfrm>
                          <a:prstGeom prst="rect">
                            <a:avLst/>
                          </a:prstGeom>
                          <a:ln>
                            <a:noFill/>
                          </a:ln>
                        </wps:spPr>
                        <wps:txbx>
                          <w:txbxContent>
                            <w:p w14:paraId="0606B420" w14:textId="77777777" w:rsidR="00B32EF2" w:rsidRDefault="00000000">
                              <w:r>
                                <w:rPr>
                                  <w:rFonts w:ascii="Arial" w:eastAsia="Arial" w:hAnsi="Arial" w:cs="Arial"/>
                                  <w:sz w:val="18"/>
                                </w:rPr>
                                <w:t>meno di due magistrati o giudici tributari.</w:t>
                              </w:r>
                            </w:p>
                          </w:txbxContent>
                        </wps:txbx>
                        <wps:bodyPr horzOverflow="overflow" vert="horz" lIns="0" tIns="0" rIns="0" bIns="0" rtlCol="0">
                          <a:noAutofit/>
                        </wps:bodyPr>
                      </wps:wsp>
                      <wps:wsp>
                        <wps:cNvPr id="202368" name="Rectangle 202368"/>
                        <wps:cNvSpPr/>
                        <wps:spPr>
                          <a:xfrm rot="-10799999">
                            <a:off x="2635435" y="4270019"/>
                            <a:ext cx="5210999" cy="142889"/>
                          </a:xfrm>
                          <a:prstGeom prst="rect">
                            <a:avLst/>
                          </a:prstGeom>
                          <a:ln>
                            <a:noFill/>
                          </a:ln>
                        </wps:spPr>
                        <wps:txbx>
                          <w:txbxContent>
                            <w:p w14:paraId="01004A0E"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02369" name="Rectangle 202369"/>
                        <wps:cNvSpPr/>
                        <wps:spPr>
                          <a:xfrm rot="-10799999">
                            <a:off x="-1283363" y="4270019"/>
                            <a:ext cx="5210999" cy="142889"/>
                          </a:xfrm>
                          <a:prstGeom prst="rect">
                            <a:avLst/>
                          </a:prstGeom>
                          <a:ln>
                            <a:noFill/>
                          </a:ln>
                        </wps:spPr>
                        <wps:txbx>
                          <w:txbxContent>
                            <w:p w14:paraId="58C04F4F" w14:textId="77777777" w:rsidR="00B32EF2" w:rsidRDefault="00000000">
                              <w:r>
                                <w:rPr>
                                  <w:rFonts w:ascii="Arial" w:eastAsia="Arial" w:hAnsi="Arial" w:cs="Arial"/>
                                  <w:sz w:val="18"/>
                                </w:rPr>
                                <w:t>. Ogni corte in composizione collegiale è presieduta dal presidente della se</w:t>
                              </w:r>
                            </w:p>
                          </w:txbxContent>
                        </wps:txbx>
                        <wps:bodyPr horzOverflow="overflow" vert="horz" lIns="0" tIns="0" rIns="0" bIns="0" rtlCol="0">
                          <a:noAutofit/>
                        </wps:bodyPr>
                      </wps:wsp>
                      <wps:wsp>
                        <wps:cNvPr id="23255" name="Rectangle 23255"/>
                        <wps:cNvSpPr/>
                        <wps:spPr>
                          <a:xfrm rot="-10799999">
                            <a:off x="19341" y="4270019"/>
                            <a:ext cx="50622" cy="142889"/>
                          </a:xfrm>
                          <a:prstGeom prst="rect">
                            <a:avLst/>
                          </a:prstGeom>
                          <a:ln>
                            <a:noFill/>
                          </a:ln>
                        </wps:spPr>
                        <wps:txbx>
                          <w:txbxContent>
                            <w:p w14:paraId="3BE9FD7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256" name="Rectangle 23256"/>
                        <wps:cNvSpPr/>
                        <wps:spPr>
                          <a:xfrm rot="-10799999">
                            <a:off x="-952432" y="4146690"/>
                            <a:ext cx="4944372" cy="142889"/>
                          </a:xfrm>
                          <a:prstGeom prst="rect">
                            <a:avLst/>
                          </a:prstGeom>
                          <a:ln>
                            <a:noFill/>
                          </a:ln>
                        </wps:spPr>
                        <wps:txbx>
                          <w:txbxContent>
                            <w:p w14:paraId="136A3CCA" w14:textId="77777777" w:rsidR="00B32EF2" w:rsidRDefault="00000000">
                              <w:r>
                                <w:rPr>
                                  <w:rFonts w:ascii="Arial" w:eastAsia="Arial" w:hAnsi="Arial" w:cs="Arial"/>
                                  <w:sz w:val="18"/>
                                </w:rPr>
                                <w:t>zione o dal vicepresidente e giudica con numero invariabile di tre votanti.</w:t>
                              </w:r>
                            </w:p>
                          </w:txbxContent>
                        </wps:txbx>
                        <wps:bodyPr horzOverflow="overflow" vert="horz" lIns="0" tIns="0" rIns="0" bIns="0" rtlCol="0">
                          <a:noAutofit/>
                        </wps:bodyPr>
                      </wps:wsp>
                      <wps:wsp>
                        <wps:cNvPr id="202367" name="Rectangle 202367"/>
                        <wps:cNvSpPr/>
                        <wps:spPr>
                          <a:xfrm rot="-10799999">
                            <a:off x="-1369677" y="4023360"/>
                            <a:ext cx="5309051" cy="142889"/>
                          </a:xfrm>
                          <a:prstGeom prst="rect">
                            <a:avLst/>
                          </a:prstGeom>
                          <a:ln>
                            <a:noFill/>
                          </a:ln>
                        </wps:spPr>
                        <wps:txbx>
                          <w:txbxContent>
                            <w:p w14:paraId="4AA56539" w14:textId="77777777" w:rsidR="00B32EF2" w:rsidRDefault="00000000">
                              <w:r>
                                <w:rPr>
                                  <w:rFonts w:ascii="Arial" w:eastAsia="Arial" w:hAnsi="Arial" w:cs="Arial"/>
                                  <w:sz w:val="18"/>
                                </w:rPr>
                                <w:t xml:space="preserve">. Se in una sezione mancano i componenti necessari per costituire il collegio </w:t>
                              </w:r>
                            </w:p>
                          </w:txbxContent>
                        </wps:txbx>
                        <wps:bodyPr horzOverflow="overflow" vert="horz" lIns="0" tIns="0" rIns="0" bIns="0" rtlCol="0">
                          <a:noAutofit/>
                        </wps:bodyPr>
                      </wps:wsp>
                      <wps:wsp>
                        <wps:cNvPr id="202366" name="Rectangle 202366"/>
                        <wps:cNvSpPr/>
                        <wps:spPr>
                          <a:xfrm rot="-10799999">
                            <a:off x="2611106" y="4023360"/>
                            <a:ext cx="5309051" cy="142889"/>
                          </a:xfrm>
                          <a:prstGeom prst="rect">
                            <a:avLst/>
                          </a:prstGeom>
                          <a:ln>
                            <a:noFill/>
                          </a:ln>
                        </wps:spPr>
                        <wps:txbx>
                          <w:txbxContent>
                            <w:p w14:paraId="330F57CE" w14:textId="77777777" w:rsidR="00B32EF2" w:rsidRDefault="00000000">
                              <w:r>
                                <w:rPr>
                                  <w:rFonts w:ascii="Arial" w:eastAsia="Arial" w:hAnsi="Arial" w:cs="Arial"/>
                                  <w:sz w:val="18"/>
                                </w:rPr>
                                <w:t>7</w:t>
                              </w:r>
                            </w:p>
                          </w:txbxContent>
                        </wps:txbx>
                        <wps:bodyPr horzOverflow="overflow" vert="horz" lIns="0" tIns="0" rIns="0" bIns="0" rtlCol="0">
                          <a:noAutofit/>
                        </wps:bodyPr>
                      </wps:wsp>
                      <wps:wsp>
                        <wps:cNvPr id="23258" name="Rectangle 23258"/>
                        <wps:cNvSpPr/>
                        <wps:spPr>
                          <a:xfrm rot="-10799999">
                            <a:off x="-1317246" y="3900030"/>
                            <a:ext cx="5309873" cy="142889"/>
                          </a:xfrm>
                          <a:prstGeom prst="rect">
                            <a:avLst/>
                          </a:prstGeom>
                          <a:ln>
                            <a:noFill/>
                          </a:ln>
                        </wps:spPr>
                        <wps:txbx>
                          <w:txbxContent>
                            <w:p w14:paraId="4A48A966" w14:textId="77777777" w:rsidR="00B32EF2" w:rsidRDefault="00000000">
                              <w:r>
                                <w:rPr>
                                  <w:rFonts w:ascii="Arial" w:eastAsia="Arial" w:hAnsi="Arial" w:cs="Arial"/>
                                  <w:sz w:val="18"/>
                                </w:rPr>
                                <w:t xml:space="preserve">giudicante, il presidente della corte di giustizia tributaria designa i componenti </w:t>
                              </w:r>
                            </w:p>
                          </w:txbxContent>
                        </wps:txbx>
                        <wps:bodyPr horzOverflow="overflow" vert="horz" lIns="0" tIns="0" rIns="0" bIns="0" rtlCol="0">
                          <a:noAutofit/>
                        </wps:bodyPr>
                      </wps:wsp>
                      <wps:wsp>
                        <wps:cNvPr id="23259" name="Rectangle 23259"/>
                        <wps:cNvSpPr/>
                        <wps:spPr>
                          <a:xfrm rot="-10799999">
                            <a:off x="2968107" y="3776701"/>
                            <a:ext cx="1023833" cy="142889"/>
                          </a:xfrm>
                          <a:prstGeom prst="rect">
                            <a:avLst/>
                          </a:prstGeom>
                          <a:ln>
                            <a:noFill/>
                          </a:ln>
                        </wps:spPr>
                        <wps:txbx>
                          <w:txbxContent>
                            <w:p w14:paraId="317B9FE6" w14:textId="77777777" w:rsidR="00B32EF2" w:rsidRDefault="00000000">
                              <w:r>
                                <w:rPr>
                                  <w:rFonts w:ascii="Arial" w:eastAsia="Arial" w:hAnsi="Arial" w:cs="Arial"/>
                                  <w:sz w:val="18"/>
                                </w:rPr>
                                <w:t>di altre sezioni.</w:t>
                              </w:r>
                            </w:p>
                          </w:txbxContent>
                        </wps:txbx>
                        <wps:bodyPr horzOverflow="overflow" vert="horz" lIns="0" tIns="0" rIns="0" bIns="0" rtlCol="0">
                          <a:noAutofit/>
                        </wps:bodyPr>
                      </wps:wsp>
                      <wps:wsp>
                        <wps:cNvPr id="23260" name="Rectangle 23260"/>
                        <wps:cNvSpPr/>
                        <wps:spPr>
                          <a:xfrm rot="-10799999">
                            <a:off x="1560991" y="3530041"/>
                            <a:ext cx="723762" cy="142889"/>
                          </a:xfrm>
                          <a:prstGeom prst="rect">
                            <a:avLst/>
                          </a:prstGeom>
                          <a:ln>
                            <a:noFill/>
                          </a:ln>
                        </wps:spPr>
                        <wps:txbx>
                          <w:txbxContent>
                            <w:p w14:paraId="3D3EA0F9" w14:textId="77777777" w:rsidR="00B32EF2" w:rsidRDefault="00000000">
                              <w:r>
                                <w:rPr>
                                  <w:rFonts w:ascii="Arial" w:eastAsia="Arial" w:hAnsi="Arial" w:cs="Arial"/>
                                  <w:b/>
                                  <w:sz w:val="18"/>
                                </w:rPr>
                                <w:t>Articolo 4</w:t>
                              </w:r>
                            </w:p>
                          </w:txbxContent>
                        </wps:txbx>
                        <wps:bodyPr horzOverflow="overflow" vert="horz" lIns="0" tIns="0" rIns="0" bIns="0" rtlCol="0">
                          <a:noAutofit/>
                        </wps:bodyPr>
                      </wps:wsp>
                      <wps:wsp>
                        <wps:cNvPr id="202365" name="Rectangle 202365"/>
                        <wps:cNvSpPr/>
                        <wps:spPr>
                          <a:xfrm rot="-10799999">
                            <a:off x="1216487" y="3406712"/>
                            <a:ext cx="1857429" cy="142889"/>
                          </a:xfrm>
                          <a:prstGeom prst="rect">
                            <a:avLst/>
                          </a:prstGeom>
                          <a:ln>
                            <a:noFill/>
                          </a:ln>
                        </wps:spPr>
                        <wps:txbx>
                          <w:txbxContent>
                            <w:p w14:paraId="1F3B29E8" w14:textId="77777777" w:rsidR="00B32EF2" w:rsidRDefault="00000000">
                              <w:r>
                                <w:rPr>
                                  <w:rFonts w:ascii="Arial" w:eastAsia="Arial" w:hAnsi="Arial" w:cs="Arial"/>
                                  <w:i/>
                                  <w:sz w:val="18"/>
                                </w:rPr>
                                <w:t xml:space="preserve">articolo 3 D.lgs. n. </w:t>
                              </w:r>
                            </w:p>
                          </w:txbxContent>
                        </wps:txbx>
                        <wps:bodyPr horzOverflow="overflow" vert="horz" lIns="0" tIns="0" rIns="0" bIns="0" rtlCol="0">
                          <a:noAutofit/>
                        </wps:bodyPr>
                      </wps:wsp>
                      <wps:wsp>
                        <wps:cNvPr id="202364" name="Rectangle 202364"/>
                        <wps:cNvSpPr/>
                        <wps:spPr>
                          <a:xfrm rot="-10799999">
                            <a:off x="-144917" y="3406711"/>
                            <a:ext cx="1857429" cy="142889"/>
                          </a:xfrm>
                          <a:prstGeom prst="rect">
                            <a:avLst/>
                          </a:prstGeom>
                          <a:ln>
                            <a:noFill/>
                          </a:ln>
                        </wps:spPr>
                        <wps:txbx>
                          <w:txbxContent>
                            <w:p w14:paraId="536AF1E3"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363" name="Rectangle 202363"/>
                        <wps:cNvSpPr/>
                        <wps:spPr>
                          <a:xfrm rot="-10799999">
                            <a:off x="2211251" y="3406712"/>
                            <a:ext cx="1857430" cy="142889"/>
                          </a:xfrm>
                          <a:prstGeom prst="rect">
                            <a:avLst/>
                          </a:prstGeom>
                          <a:ln>
                            <a:noFill/>
                          </a:ln>
                        </wps:spPr>
                        <wps:txbx>
                          <w:txbxContent>
                            <w:p w14:paraId="311CEAD6"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3262" name="Rectangle 23262"/>
                        <wps:cNvSpPr/>
                        <wps:spPr>
                          <a:xfrm rot="-10799999">
                            <a:off x="-1302873" y="3283382"/>
                            <a:ext cx="5286127" cy="142889"/>
                          </a:xfrm>
                          <a:prstGeom prst="rect">
                            <a:avLst/>
                          </a:prstGeom>
                          <a:ln>
                            <a:noFill/>
                          </a:ln>
                        </wps:spPr>
                        <wps:txbx>
                          <w:txbxContent>
                            <w:p w14:paraId="24AC74B7" w14:textId="77777777" w:rsidR="00B32EF2" w:rsidRDefault="00000000">
                              <w:r>
                                <w:rPr>
                                  <w:rFonts w:ascii="Arial" w:eastAsia="Arial" w:hAnsi="Arial" w:cs="Arial"/>
                                  <w:b/>
                                  <w:sz w:val="18"/>
                                </w:rPr>
                                <w:t xml:space="preserve">I presidenti delle corti di giustizia tributaria di primo e secondo grado e </w:t>
                              </w:r>
                            </w:p>
                          </w:txbxContent>
                        </wps:txbx>
                        <wps:bodyPr horzOverflow="overflow" vert="horz" lIns="0" tIns="0" rIns="0" bIns="0" rtlCol="0">
                          <a:noAutofit/>
                        </wps:bodyPr>
                      </wps:wsp>
                      <wps:wsp>
                        <wps:cNvPr id="23263" name="Rectangle 23263"/>
                        <wps:cNvSpPr/>
                        <wps:spPr>
                          <a:xfrm rot="-10799999">
                            <a:off x="1392582" y="3160052"/>
                            <a:ext cx="966810" cy="142889"/>
                          </a:xfrm>
                          <a:prstGeom prst="rect">
                            <a:avLst/>
                          </a:prstGeom>
                          <a:ln>
                            <a:noFill/>
                          </a:ln>
                        </wps:spPr>
                        <wps:txbx>
                          <w:txbxContent>
                            <w:p w14:paraId="19EAB754" w14:textId="77777777" w:rsidR="00B32EF2" w:rsidRDefault="00000000">
                              <w:r>
                                <w:rPr>
                                  <w:rFonts w:ascii="Arial" w:eastAsia="Arial" w:hAnsi="Arial" w:cs="Arial"/>
                                  <w:b/>
                                  <w:sz w:val="18"/>
                                </w:rPr>
                                <w:t xml:space="preserve">delle sezioni </w:t>
                              </w:r>
                            </w:p>
                          </w:txbxContent>
                        </wps:txbx>
                        <wps:bodyPr horzOverflow="overflow" vert="horz" lIns="0" tIns="0" rIns="0" bIns="0" rtlCol="0">
                          <a:noAutofit/>
                        </wps:bodyPr>
                      </wps:wsp>
                      <wps:wsp>
                        <wps:cNvPr id="202362" name="Rectangle 202362"/>
                        <wps:cNvSpPr/>
                        <wps:spPr>
                          <a:xfrm rot="-10799999">
                            <a:off x="-1376379" y="3036723"/>
                            <a:ext cx="5309021" cy="142889"/>
                          </a:xfrm>
                          <a:prstGeom prst="rect">
                            <a:avLst/>
                          </a:prstGeom>
                          <a:ln>
                            <a:noFill/>
                          </a:ln>
                        </wps:spPr>
                        <wps:txbx>
                          <w:txbxContent>
                            <w:p w14:paraId="6254B6A6" w14:textId="77777777" w:rsidR="00B32EF2" w:rsidRDefault="00000000">
                              <w:r>
                                <w:rPr>
                                  <w:rFonts w:ascii="Arial" w:eastAsia="Arial" w:hAnsi="Arial" w:cs="Arial"/>
                                  <w:sz w:val="18"/>
                                </w:rPr>
                                <w:t xml:space="preserve">. I presidenti delle corti di giustizia tributaria di primo grado sono nominati tra </w:t>
                              </w:r>
                            </w:p>
                          </w:txbxContent>
                        </wps:txbx>
                        <wps:bodyPr horzOverflow="overflow" vert="horz" lIns="0" tIns="0" rIns="0" bIns="0" rtlCol="0">
                          <a:noAutofit/>
                        </wps:bodyPr>
                      </wps:wsp>
                      <wps:wsp>
                        <wps:cNvPr id="202361" name="Rectangle 202361"/>
                        <wps:cNvSpPr/>
                        <wps:spPr>
                          <a:xfrm rot="-10799999">
                            <a:off x="2610998" y="3036723"/>
                            <a:ext cx="5309021" cy="142889"/>
                          </a:xfrm>
                          <a:prstGeom prst="rect">
                            <a:avLst/>
                          </a:prstGeom>
                          <a:ln>
                            <a:noFill/>
                          </a:ln>
                        </wps:spPr>
                        <wps:txbx>
                          <w:txbxContent>
                            <w:p w14:paraId="1A3855A2"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3265" name="Rectangle 23265"/>
                        <wps:cNvSpPr/>
                        <wps:spPr>
                          <a:xfrm rot="-10799999">
                            <a:off x="-1317301" y="2913393"/>
                            <a:ext cx="5309127" cy="142889"/>
                          </a:xfrm>
                          <a:prstGeom prst="rect">
                            <a:avLst/>
                          </a:prstGeom>
                          <a:ln>
                            <a:noFill/>
                          </a:ln>
                        </wps:spPr>
                        <wps:txbx>
                          <w:txbxContent>
                            <w:p w14:paraId="0F071B84" w14:textId="77777777" w:rsidR="00B32EF2" w:rsidRDefault="00000000">
                              <w:r>
                                <w:rPr>
                                  <w:rFonts w:ascii="Arial" w:eastAsia="Arial" w:hAnsi="Arial" w:cs="Arial"/>
                                  <w:sz w:val="18"/>
                                </w:rPr>
                                <w:t xml:space="preserve">i magistrati tributari ovvero tra quelli ordinari, amministrativi, contabili o militari, </w:t>
                              </w:r>
                            </w:p>
                          </w:txbxContent>
                        </wps:txbx>
                        <wps:bodyPr horzOverflow="overflow" vert="horz" lIns="0" tIns="0" rIns="0" bIns="0" rtlCol="0">
                          <a:noAutofit/>
                        </wps:bodyPr>
                      </wps:wsp>
                      <wps:wsp>
                        <wps:cNvPr id="23266" name="Rectangle 23266"/>
                        <wps:cNvSpPr/>
                        <wps:spPr>
                          <a:xfrm rot="-10799999">
                            <a:off x="-1220562" y="2790063"/>
                            <a:ext cx="5212960" cy="142889"/>
                          </a:xfrm>
                          <a:prstGeom prst="rect">
                            <a:avLst/>
                          </a:prstGeom>
                          <a:ln>
                            <a:noFill/>
                          </a:ln>
                        </wps:spPr>
                        <wps:txbx>
                          <w:txbxContent>
                            <w:p w14:paraId="78AF2FA1" w14:textId="77777777" w:rsidR="00B32EF2" w:rsidRDefault="00000000">
                              <w:r>
                                <w:rPr>
                                  <w:rFonts w:ascii="Arial" w:eastAsia="Arial" w:hAnsi="Arial" w:cs="Arial"/>
                                  <w:sz w:val="18"/>
                                </w:rPr>
                                <w:t>in servizio o a riposo, secondo la graduatoria redatta sulla base delle disposi</w:t>
                              </w:r>
                            </w:p>
                          </w:txbxContent>
                        </wps:txbx>
                        <wps:bodyPr horzOverflow="overflow" vert="horz" lIns="0" tIns="0" rIns="0" bIns="0" rtlCol="0">
                          <a:noAutofit/>
                        </wps:bodyPr>
                      </wps:wsp>
                      <wps:wsp>
                        <wps:cNvPr id="23267" name="Rectangle 23267"/>
                        <wps:cNvSpPr/>
                        <wps:spPr>
                          <a:xfrm rot="-10799999">
                            <a:off x="19226" y="2790063"/>
                            <a:ext cx="50622" cy="142889"/>
                          </a:xfrm>
                          <a:prstGeom prst="rect">
                            <a:avLst/>
                          </a:prstGeom>
                          <a:ln>
                            <a:noFill/>
                          </a:ln>
                        </wps:spPr>
                        <wps:txbx>
                          <w:txbxContent>
                            <w:p w14:paraId="22919FD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268" name="Rectangle 23268"/>
                        <wps:cNvSpPr/>
                        <wps:spPr>
                          <a:xfrm rot="-10799999">
                            <a:off x="1910183" y="2666733"/>
                            <a:ext cx="2081642" cy="142889"/>
                          </a:xfrm>
                          <a:prstGeom prst="rect">
                            <a:avLst/>
                          </a:prstGeom>
                          <a:ln>
                            <a:noFill/>
                          </a:ln>
                        </wps:spPr>
                        <wps:txbx>
                          <w:txbxContent>
                            <w:p w14:paraId="5AC1EE9A" w14:textId="77777777" w:rsidR="00B32EF2" w:rsidRDefault="00000000">
                              <w:r>
                                <w:rPr>
                                  <w:rFonts w:ascii="Arial" w:eastAsia="Arial" w:hAnsi="Arial" w:cs="Arial"/>
                                  <w:sz w:val="18"/>
                                </w:rPr>
                                <w:t>zioni contenute nell’articolo 17.</w:t>
                              </w:r>
                            </w:p>
                          </w:txbxContent>
                        </wps:txbx>
                        <wps:bodyPr horzOverflow="overflow" vert="horz" lIns="0" tIns="0" rIns="0" bIns="0" rtlCol="0">
                          <a:noAutofit/>
                        </wps:bodyPr>
                      </wps:wsp>
                      <wps:wsp>
                        <wps:cNvPr id="202360" name="Rectangle 202360"/>
                        <wps:cNvSpPr/>
                        <wps:spPr>
                          <a:xfrm rot="-10799999">
                            <a:off x="-1381737" y="2543403"/>
                            <a:ext cx="5309005" cy="142889"/>
                          </a:xfrm>
                          <a:prstGeom prst="rect">
                            <a:avLst/>
                          </a:prstGeom>
                          <a:ln>
                            <a:noFill/>
                          </a:ln>
                        </wps:spPr>
                        <wps:txbx>
                          <w:txbxContent>
                            <w:p w14:paraId="4DDE6200" w14:textId="77777777" w:rsidR="00B32EF2" w:rsidRDefault="00000000">
                              <w:r>
                                <w:rPr>
                                  <w:rFonts w:ascii="Arial" w:eastAsia="Arial" w:hAnsi="Arial" w:cs="Arial"/>
                                  <w:sz w:val="18"/>
                                </w:rPr>
                                <w:t xml:space="preserve">. I presidenti di sezione delle corti di giustizia tributaria di primo grado sono </w:t>
                              </w:r>
                            </w:p>
                          </w:txbxContent>
                        </wps:txbx>
                        <wps:bodyPr horzOverflow="overflow" vert="horz" lIns="0" tIns="0" rIns="0" bIns="0" rtlCol="0">
                          <a:noAutofit/>
                        </wps:bodyPr>
                      </wps:wsp>
                      <wps:wsp>
                        <wps:cNvPr id="202359" name="Rectangle 202359"/>
                        <wps:cNvSpPr/>
                        <wps:spPr>
                          <a:xfrm rot="-10799999">
                            <a:off x="2611002" y="2543403"/>
                            <a:ext cx="5309005" cy="142889"/>
                          </a:xfrm>
                          <a:prstGeom prst="rect">
                            <a:avLst/>
                          </a:prstGeom>
                          <a:ln>
                            <a:noFill/>
                          </a:ln>
                        </wps:spPr>
                        <wps:txbx>
                          <w:txbxContent>
                            <w:p w14:paraId="4883FF73"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3270" name="Rectangle 23270"/>
                        <wps:cNvSpPr/>
                        <wps:spPr>
                          <a:xfrm rot="-10799999">
                            <a:off x="-1220972" y="2420073"/>
                            <a:ext cx="5213827" cy="142889"/>
                          </a:xfrm>
                          <a:prstGeom prst="rect">
                            <a:avLst/>
                          </a:prstGeom>
                          <a:ln>
                            <a:noFill/>
                          </a:ln>
                        </wps:spPr>
                        <wps:txbx>
                          <w:txbxContent>
                            <w:p w14:paraId="0DC071F9" w14:textId="77777777" w:rsidR="00B32EF2" w:rsidRDefault="00000000">
                              <w:r>
                                <w:rPr>
                                  <w:rFonts w:ascii="Arial" w:eastAsia="Arial" w:hAnsi="Arial" w:cs="Arial"/>
                                  <w:sz w:val="18"/>
                                </w:rPr>
                                <w:t>nominati tra i magistrati tributari ovvero tra quelli ordinari, amministrativi, con</w:t>
                              </w:r>
                            </w:p>
                          </w:txbxContent>
                        </wps:txbx>
                        <wps:bodyPr horzOverflow="overflow" vert="horz" lIns="0" tIns="0" rIns="0" bIns="0" rtlCol="0">
                          <a:noAutofit/>
                        </wps:bodyPr>
                      </wps:wsp>
                      <wps:wsp>
                        <wps:cNvPr id="23271" name="Rectangle 23271"/>
                        <wps:cNvSpPr/>
                        <wps:spPr>
                          <a:xfrm rot="-10799999">
                            <a:off x="19226" y="2420074"/>
                            <a:ext cx="50622" cy="142889"/>
                          </a:xfrm>
                          <a:prstGeom prst="rect">
                            <a:avLst/>
                          </a:prstGeom>
                          <a:ln>
                            <a:noFill/>
                          </a:ln>
                        </wps:spPr>
                        <wps:txbx>
                          <w:txbxContent>
                            <w:p w14:paraId="193C1C8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272" name="Rectangle 23272"/>
                        <wps:cNvSpPr/>
                        <wps:spPr>
                          <a:xfrm rot="-10799999">
                            <a:off x="-1317180" y="2296744"/>
                            <a:ext cx="5309005" cy="142889"/>
                          </a:xfrm>
                          <a:prstGeom prst="rect">
                            <a:avLst/>
                          </a:prstGeom>
                          <a:ln>
                            <a:noFill/>
                          </a:ln>
                        </wps:spPr>
                        <wps:txbx>
                          <w:txbxContent>
                            <w:p w14:paraId="5B778ABD" w14:textId="77777777" w:rsidR="00B32EF2" w:rsidRDefault="00000000">
                              <w:r>
                                <w:rPr>
                                  <w:rFonts w:ascii="Arial" w:eastAsia="Arial" w:hAnsi="Arial" w:cs="Arial"/>
                                  <w:sz w:val="18"/>
                                </w:rPr>
                                <w:t xml:space="preserve">tabili o militari, in servizio o a riposo, secondo la graduatoria redatta sulla base </w:t>
                              </w:r>
                            </w:p>
                          </w:txbxContent>
                        </wps:txbx>
                        <wps:bodyPr horzOverflow="overflow" vert="horz" lIns="0" tIns="0" rIns="0" bIns="0" rtlCol="0">
                          <a:noAutofit/>
                        </wps:bodyPr>
                      </wps:wsp>
                      <wps:wsp>
                        <wps:cNvPr id="23273" name="Rectangle 23273"/>
                        <wps:cNvSpPr/>
                        <wps:spPr>
                          <a:xfrm rot="-10799999">
                            <a:off x="-1317180" y="2173414"/>
                            <a:ext cx="5309005" cy="142889"/>
                          </a:xfrm>
                          <a:prstGeom prst="rect">
                            <a:avLst/>
                          </a:prstGeom>
                          <a:ln>
                            <a:noFill/>
                          </a:ln>
                        </wps:spPr>
                        <wps:txbx>
                          <w:txbxContent>
                            <w:p w14:paraId="1D82945D" w14:textId="77777777" w:rsidR="00B32EF2" w:rsidRDefault="00000000">
                              <w:r>
                                <w:rPr>
                                  <w:rFonts w:ascii="Arial" w:eastAsia="Arial" w:hAnsi="Arial" w:cs="Arial"/>
                                  <w:sz w:val="18"/>
                                </w:rPr>
                                <w:t xml:space="preserve">delle disposizioni contenute nell’articolo 17. I vicepresidenti di sezione delle </w:t>
                              </w:r>
                            </w:p>
                          </w:txbxContent>
                        </wps:txbx>
                        <wps:bodyPr horzOverflow="overflow" vert="horz" lIns="0" tIns="0" rIns="0" bIns="0" rtlCol="0">
                          <a:noAutofit/>
                        </wps:bodyPr>
                      </wps:wsp>
                      <wps:wsp>
                        <wps:cNvPr id="23274" name="Rectangle 23274"/>
                        <wps:cNvSpPr/>
                        <wps:spPr>
                          <a:xfrm rot="-10799999">
                            <a:off x="-1317180" y="2050084"/>
                            <a:ext cx="5309005" cy="142889"/>
                          </a:xfrm>
                          <a:prstGeom prst="rect">
                            <a:avLst/>
                          </a:prstGeom>
                          <a:ln>
                            <a:noFill/>
                          </a:ln>
                        </wps:spPr>
                        <wps:txbx>
                          <w:txbxContent>
                            <w:p w14:paraId="698926F0" w14:textId="77777777" w:rsidR="00B32EF2" w:rsidRDefault="00000000">
                              <w:r>
                                <w:rPr>
                                  <w:rFonts w:ascii="Arial" w:eastAsia="Arial" w:hAnsi="Arial" w:cs="Arial"/>
                                  <w:sz w:val="18"/>
                                </w:rPr>
                                <w:t xml:space="preserve">corti di giustizia tributaria di primo grado sono nominati tra i magistrati di cui al </w:t>
                              </w:r>
                            </w:p>
                          </w:txbxContent>
                        </wps:txbx>
                        <wps:bodyPr horzOverflow="overflow" vert="horz" lIns="0" tIns="0" rIns="0" bIns="0" rtlCol="0">
                          <a:noAutofit/>
                        </wps:bodyPr>
                      </wps:wsp>
                      <wps:wsp>
                        <wps:cNvPr id="23275" name="Rectangle 23275"/>
                        <wps:cNvSpPr/>
                        <wps:spPr>
                          <a:xfrm rot="-10799999">
                            <a:off x="-1317210" y="1926755"/>
                            <a:ext cx="5309036" cy="142889"/>
                          </a:xfrm>
                          <a:prstGeom prst="rect">
                            <a:avLst/>
                          </a:prstGeom>
                          <a:ln>
                            <a:noFill/>
                          </a:ln>
                        </wps:spPr>
                        <wps:txbx>
                          <w:txbxContent>
                            <w:p w14:paraId="348C4A32" w14:textId="77777777" w:rsidR="00B32EF2" w:rsidRDefault="00000000">
                              <w:r>
                                <w:rPr>
                                  <w:rFonts w:ascii="Arial" w:eastAsia="Arial" w:hAnsi="Arial" w:cs="Arial"/>
                                  <w:sz w:val="18"/>
                                </w:rPr>
                                <w:t xml:space="preserve">comma 1, ovvero tra i componenti che abbiano esercitato, per almeno cinque </w:t>
                              </w:r>
                            </w:p>
                          </w:txbxContent>
                        </wps:txbx>
                        <wps:bodyPr horzOverflow="overflow" vert="horz" lIns="0" tIns="0" rIns="0" bIns="0" rtlCol="0">
                          <a:noAutofit/>
                        </wps:bodyPr>
                      </wps:wsp>
                      <wps:wsp>
                        <wps:cNvPr id="23276" name="Rectangle 23276"/>
                        <wps:cNvSpPr/>
                        <wps:spPr>
                          <a:xfrm rot="-10799999">
                            <a:off x="-1317210" y="1803425"/>
                            <a:ext cx="5309036" cy="142889"/>
                          </a:xfrm>
                          <a:prstGeom prst="rect">
                            <a:avLst/>
                          </a:prstGeom>
                          <a:ln>
                            <a:noFill/>
                          </a:ln>
                        </wps:spPr>
                        <wps:txbx>
                          <w:txbxContent>
                            <w:p w14:paraId="008592D5" w14:textId="77777777" w:rsidR="00B32EF2" w:rsidRDefault="00000000">
                              <w:r>
                                <w:rPr>
                                  <w:rFonts w:ascii="Arial" w:eastAsia="Arial" w:hAnsi="Arial" w:cs="Arial"/>
                                  <w:sz w:val="18"/>
                                </w:rPr>
                                <w:t xml:space="preserve">anni, le funzioni di giudice tributario, purché in possesso del diploma di laurea </w:t>
                              </w:r>
                            </w:p>
                          </w:txbxContent>
                        </wps:txbx>
                        <wps:bodyPr horzOverflow="overflow" vert="horz" lIns="0" tIns="0" rIns="0" bIns="0" rtlCol="0">
                          <a:noAutofit/>
                        </wps:bodyPr>
                      </wps:wsp>
                      <wps:wsp>
                        <wps:cNvPr id="23277" name="Rectangle 23277"/>
                        <wps:cNvSpPr/>
                        <wps:spPr>
                          <a:xfrm rot="-10799999">
                            <a:off x="-1317210" y="1680095"/>
                            <a:ext cx="5309036" cy="142889"/>
                          </a:xfrm>
                          <a:prstGeom prst="rect">
                            <a:avLst/>
                          </a:prstGeom>
                          <a:ln>
                            <a:noFill/>
                          </a:ln>
                        </wps:spPr>
                        <wps:txbx>
                          <w:txbxContent>
                            <w:p w14:paraId="0F2FD7D6" w14:textId="77777777" w:rsidR="00B32EF2" w:rsidRDefault="00000000">
                              <w:r>
                                <w:rPr>
                                  <w:rFonts w:ascii="Arial" w:eastAsia="Arial" w:hAnsi="Arial" w:cs="Arial"/>
                                  <w:sz w:val="18"/>
                                </w:rPr>
                                <w:t xml:space="preserve">in giurisprudenza o in economia e commercio, secondo la graduatoria redatta </w:t>
                              </w:r>
                            </w:p>
                          </w:txbxContent>
                        </wps:txbx>
                        <wps:bodyPr horzOverflow="overflow" vert="horz" lIns="0" tIns="0" rIns="0" bIns="0" rtlCol="0">
                          <a:noAutofit/>
                        </wps:bodyPr>
                      </wps:wsp>
                      <wps:wsp>
                        <wps:cNvPr id="23278" name="Rectangle 23278"/>
                        <wps:cNvSpPr/>
                        <wps:spPr>
                          <a:xfrm rot="-10799999">
                            <a:off x="330766" y="1556766"/>
                            <a:ext cx="3661058" cy="142889"/>
                          </a:xfrm>
                          <a:prstGeom prst="rect">
                            <a:avLst/>
                          </a:prstGeom>
                          <a:ln>
                            <a:noFill/>
                          </a:ln>
                        </wps:spPr>
                        <wps:txbx>
                          <w:txbxContent>
                            <w:p w14:paraId="47E2DA71" w14:textId="77777777" w:rsidR="00B32EF2" w:rsidRDefault="00000000">
                              <w:r>
                                <w:rPr>
                                  <w:rFonts w:ascii="Arial" w:eastAsia="Arial" w:hAnsi="Arial" w:cs="Arial"/>
                                  <w:sz w:val="18"/>
                                </w:rPr>
                                <w:t>sulla base delle disposizioni contenute nell’articolo 17.</w:t>
                              </w:r>
                            </w:p>
                          </w:txbxContent>
                        </wps:txbx>
                        <wps:bodyPr horzOverflow="overflow" vert="horz" lIns="0" tIns="0" rIns="0" bIns="0" rtlCol="0">
                          <a:noAutofit/>
                        </wps:bodyPr>
                      </wps:wsp>
                      <wps:wsp>
                        <wps:cNvPr id="202357" name="Rectangle 202357"/>
                        <wps:cNvSpPr/>
                        <wps:spPr>
                          <a:xfrm rot="-10799999">
                            <a:off x="2611062" y="1433436"/>
                            <a:ext cx="5308762" cy="142889"/>
                          </a:xfrm>
                          <a:prstGeom prst="rect">
                            <a:avLst/>
                          </a:prstGeom>
                          <a:ln>
                            <a:noFill/>
                          </a:ln>
                        </wps:spPr>
                        <wps:txbx>
                          <w:txbxContent>
                            <w:p w14:paraId="7204F6E7"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2358" name="Rectangle 202358"/>
                        <wps:cNvSpPr/>
                        <wps:spPr>
                          <a:xfrm rot="-10799999">
                            <a:off x="-1381231" y="1433436"/>
                            <a:ext cx="5308762" cy="142889"/>
                          </a:xfrm>
                          <a:prstGeom prst="rect">
                            <a:avLst/>
                          </a:prstGeom>
                          <a:ln>
                            <a:noFill/>
                          </a:ln>
                        </wps:spPr>
                        <wps:txbx>
                          <w:txbxContent>
                            <w:p w14:paraId="4629E4E0" w14:textId="77777777" w:rsidR="00B32EF2" w:rsidRDefault="00000000">
                              <w:r>
                                <w:rPr>
                                  <w:rFonts w:ascii="Arial" w:eastAsia="Arial" w:hAnsi="Arial" w:cs="Arial"/>
                                  <w:sz w:val="18"/>
                                </w:rPr>
                                <w:t xml:space="preserve">. I presidenti delle corti di giustizia tributaria di secondo grado sono nominati </w:t>
                              </w:r>
                            </w:p>
                          </w:txbxContent>
                        </wps:txbx>
                        <wps:bodyPr horzOverflow="overflow" vert="horz" lIns="0" tIns="0" rIns="0" bIns="0" rtlCol="0">
                          <a:noAutofit/>
                        </wps:bodyPr>
                      </wps:wsp>
                      <wps:wsp>
                        <wps:cNvPr id="23280" name="Rectangle 23280"/>
                        <wps:cNvSpPr/>
                        <wps:spPr>
                          <a:xfrm rot="-10799999">
                            <a:off x="-1317134" y="1310106"/>
                            <a:ext cx="5308960" cy="142889"/>
                          </a:xfrm>
                          <a:prstGeom prst="rect">
                            <a:avLst/>
                          </a:prstGeom>
                          <a:ln>
                            <a:noFill/>
                          </a:ln>
                        </wps:spPr>
                        <wps:txbx>
                          <w:txbxContent>
                            <w:p w14:paraId="7CBEAD29" w14:textId="77777777" w:rsidR="00B32EF2" w:rsidRDefault="00000000">
                              <w:r>
                                <w:rPr>
                                  <w:rFonts w:ascii="Arial" w:eastAsia="Arial" w:hAnsi="Arial" w:cs="Arial"/>
                                  <w:sz w:val="18"/>
                                </w:rPr>
                                <w:t xml:space="preserve">tra i magistrati tributari ovvero tra quelli ordinari, amministrativi, contabili o </w:t>
                              </w:r>
                            </w:p>
                          </w:txbxContent>
                        </wps:txbx>
                        <wps:bodyPr horzOverflow="overflow" vert="horz" lIns="0" tIns="0" rIns="0" bIns="0" rtlCol="0">
                          <a:noAutofit/>
                        </wps:bodyPr>
                      </wps:wsp>
                      <wps:wsp>
                        <wps:cNvPr id="23281" name="Rectangle 23281"/>
                        <wps:cNvSpPr/>
                        <wps:spPr>
                          <a:xfrm rot="-10799999">
                            <a:off x="-1317271" y="1186776"/>
                            <a:ext cx="5309097" cy="142890"/>
                          </a:xfrm>
                          <a:prstGeom prst="rect">
                            <a:avLst/>
                          </a:prstGeom>
                          <a:ln>
                            <a:noFill/>
                          </a:ln>
                        </wps:spPr>
                        <wps:txbx>
                          <w:txbxContent>
                            <w:p w14:paraId="1300361C" w14:textId="77777777" w:rsidR="00B32EF2" w:rsidRDefault="00000000">
                              <w:r>
                                <w:rPr>
                                  <w:rFonts w:ascii="Arial" w:eastAsia="Arial" w:hAnsi="Arial" w:cs="Arial"/>
                                  <w:sz w:val="18"/>
                                </w:rPr>
                                <w:t xml:space="preserve">militari, in servizio o a riposo, secondo la graduatoria redatta sulla base delle </w:t>
                              </w:r>
                            </w:p>
                          </w:txbxContent>
                        </wps:txbx>
                        <wps:bodyPr horzOverflow="overflow" vert="horz" lIns="0" tIns="0" rIns="0" bIns="0" rtlCol="0">
                          <a:noAutofit/>
                        </wps:bodyPr>
                      </wps:wsp>
                      <wps:wsp>
                        <wps:cNvPr id="23282" name="Rectangle 23282"/>
                        <wps:cNvSpPr/>
                        <wps:spPr>
                          <a:xfrm rot="-10799999">
                            <a:off x="1430015" y="1063447"/>
                            <a:ext cx="2561809" cy="142889"/>
                          </a:xfrm>
                          <a:prstGeom prst="rect">
                            <a:avLst/>
                          </a:prstGeom>
                          <a:ln>
                            <a:noFill/>
                          </a:ln>
                        </wps:spPr>
                        <wps:txbx>
                          <w:txbxContent>
                            <w:p w14:paraId="51E74B1A" w14:textId="77777777" w:rsidR="00B32EF2" w:rsidRDefault="00000000">
                              <w:r>
                                <w:rPr>
                                  <w:rFonts w:ascii="Arial" w:eastAsia="Arial" w:hAnsi="Arial" w:cs="Arial"/>
                                  <w:sz w:val="18"/>
                                </w:rPr>
                                <w:t>disposizioni contenute nell’articolo 17.</w:t>
                              </w:r>
                            </w:p>
                          </w:txbxContent>
                        </wps:txbx>
                        <wps:bodyPr horzOverflow="overflow" vert="horz" lIns="0" tIns="0" rIns="0" bIns="0" rtlCol="0">
                          <a:noAutofit/>
                        </wps:bodyPr>
                      </wps:wsp>
                      <wps:wsp>
                        <wps:cNvPr id="202356" name="Rectangle 202356"/>
                        <wps:cNvSpPr/>
                        <wps:spPr>
                          <a:xfrm rot="-10799999">
                            <a:off x="-1380319" y="940117"/>
                            <a:ext cx="5309006" cy="142889"/>
                          </a:xfrm>
                          <a:prstGeom prst="rect">
                            <a:avLst/>
                          </a:prstGeom>
                          <a:ln>
                            <a:noFill/>
                          </a:ln>
                        </wps:spPr>
                        <wps:txbx>
                          <w:txbxContent>
                            <w:p w14:paraId="737FDCAE" w14:textId="77777777" w:rsidR="00B32EF2" w:rsidRDefault="00000000">
                              <w:r>
                                <w:rPr>
                                  <w:rFonts w:ascii="Arial" w:eastAsia="Arial" w:hAnsi="Arial" w:cs="Arial"/>
                                  <w:sz w:val="18"/>
                                </w:rPr>
                                <w:t xml:space="preserve">. I presidenti di sezione delle corti di giustizia tributaria di secondo grado sono </w:t>
                              </w:r>
                            </w:p>
                          </w:txbxContent>
                        </wps:txbx>
                        <wps:bodyPr horzOverflow="overflow" vert="horz" lIns="0" tIns="0" rIns="0" bIns="0" rtlCol="0">
                          <a:noAutofit/>
                        </wps:bodyPr>
                      </wps:wsp>
                      <wps:wsp>
                        <wps:cNvPr id="202355" name="Rectangle 202355"/>
                        <wps:cNvSpPr/>
                        <wps:spPr>
                          <a:xfrm rot="-10799999">
                            <a:off x="2611001" y="940117"/>
                            <a:ext cx="5309006" cy="142889"/>
                          </a:xfrm>
                          <a:prstGeom prst="rect">
                            <a:avLst/>
                          </a:prstGeom>
                          <a:ln>
                            <a:noFill/>
                          </a:ln>
                        </wps:spPr>
                        <wps:txbx>
                          <w:txbxContent>
                            <w:p w14:paraId="7AA61D38"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3284" name="Rectangle 23284"/>
                        <wps:cNvSpPr/>
                        <wps:spPr>
                          <a:xfrm rot="-10799999">
                            <a:off x="-1220972" y="816788"/>
                            <a:ext cx="5213827" cy="142889"/>
                          </a:xfrm>
                          <a:prstGeom prst="rect">
                            <a:avLst/>
                          </a:prstGeom>
                          <a:ln>
                            <a:noFill/>
                          </a:ln>
                        </wps:spPr>
                        <wps:txbx>
                          <w:txbxContent>
                            <w:p w14:paraId="30951131" w14:textId="77777777" w:rsidR="00B32EF2" w:rsidRDefault="00000000">
                              <w:r>
                                <w:rPr>
                                  <w:rFonts w:ascii="Arial" w:eastAsia="Arial" w:hAnsi="Arial" w:cs="Arial"/>
                                  <w:sz w:val="18"/>
                                </w:rPr>
                                <w:t>nominati tra i magistrati tributari ovvero tra quelli ordinari, amministrativi, con</w:t>
                              </w:r>
                            </w:p>
                          </w:txbxContent>
                        </wps:txbx>
                        <wps:bodyPr horzOverflow="overflow" vert="horz" lIns="0" tIns="0" rIns="0" bIns="0" rtlCol="0">
                          <a:noAutofit/>
                        </wps:bodyPr>
                      </wps:wsp>
                      <wps:wsp>
                        <wps:cNvPr id="23285" name="Rectangle 23285"/>
                        <wps:cNvSpPr/>
                        <wps:spPr>
                          <a:xfrm rot="-10799999">
                            <a:off x="19226" y="816788"/>
                            <a:ext cx="50622" cy="142889"/>
                          </a:xfrm>
                          <a:prstGeom prst="rect">
                            <a:avLst/>
                          </a:prstGeom>
                          <a:ln>
                            <a:noFill/>
                          </a:ln>
                        </wps:spPr>
                        <wps:txbx>
                          <w:txbxContent>
                            <w:p w14:paraId="51D7311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286" name="Rectangle 23286"/>
                        <wps:cNvSpPr/>
                        <wps:spPr>
                          <a:xfrm rot="-10799999">
                            <a:off x="-1317180" y="693458"/>
                            <a:ext cx="5309006" cy="142889"/>
                          </a:xfrm>
                          <a:prstGeom prst="rect">
                            <a:avLst/>
                          </a:prstGeom>
                          <a:ln>
                            <a:noFill/>
                          </a:ln>
                        </wps:spPr>
                        <wps:txbx>
                          <w:txbxContent>
                            <w:p w14:paraId="6DA61BAD" w14:textId="77777777" w:rsidR="00B32EF2" w:rsidRDefault="00000000">
                              <w:r>
                                <w:rPr>
                                  <w:rFonts w:ascii="Arial" w:eastAsia="Arial" w:hAnsi="Arial" w:cs="Arial"/>
                                  <w:sz w:val="18"/>
                                </w:rPr>
                                <w:t xml:space="preserve">tabili o militari, in servizio o a riposo, secondo la graduatoria redatta sulla base </w:t>
                              </w:r>
                            </w:p>
                          </w:txbxContent>
                        </wps:txbx>
                        <wps:bodyPr horzOverflow="overflow" vert="horz" lIns="0" tIns="0" rIns="0" bIns="0" rtlCol="0">
                          <a:noAutofit/>
                        </wps:bodyPr>
                      </wps:wsp>
                      <wps:wsp>
                        <wps:cNvPr id="23287" name="Rectangle 23287"/>
                        <wps:cNvSpPr/>
                        <wps:spPr>
                          <a:xfrm rot="-10799999">
                            <a:off x="-1317180" y="570128"/>
                            <a:ext cx="5309005" cy="142889"/>
                          </a:xfrm>
                          <a:prstGeom prst="rect">
                            <a:avLst/>
                          </a:prstGeom>
                          <a:ln>
                            <a:noFill/>
                          </a:ln>
                        </wps:spPr>
                        <wps:txbx>
                          <w:txbxContent>
                            <w:p w14:paraId="1C5F4032" w14:textId="77777777" w:rsidR="00B32EF2" w:rsidRDefault="00000000">
                              <w:r>
                                <w:rPr>
                                  <w:rFonts w:ascii="Arial" w:eastAsia="Arial" w:hAnsi="Arial" w:cs="Arial"/>
                                  <w:sz w:val="18"/>
                                </w:rPr>
                                <w:t xml:space="preserve">delle disposizioni contenute nell’articolo 17. I vicepresidenti di sezione delle </w:t>
                              </w:r>
                            </w:p>
                          </w:txbxContent>
                        </wps:txbx>
                        <wps:bodyPr horzOverflow="overflow" vert="horz" lIns="0" tIns="0" rIns="0" bIns="0" rtlCol="0">
                          <a:noAutofit/>
                        </wps:bodyPr>
                      </wps:wsp>
                      <wps:wsp>
                        <wps:cNvPr id="23288" name="Rectangle 23288"/>
                        <wps:cNvSpPr/>
                        <wps:spPr>
                          <a:xfrm rot="-10799999">
                            <a:off x="-1317210" y="446798"/>
                            <a:ext cx="5309036" cy="142889"/>
                          </a:xfrm>
                          <a:prstGeom prst="rect">
                            <a:avLst/>
                          </a:prstGeom>
                          <a:ln>
                            <a:noFill/>
                          </a:ln>
                        </wps:spPr>
                        <wps:txbx>
                          <w:txbxContent>
                            <w:p w14:paraId="4BCCFB1A" w14:textId="77777777" w:rsidR="00B32EF2" w:rsidRDefault="00000000">
                              <w:r>
                                <w:rPr>
                                  <w:rFonts w:ascii="Arial" w:eastAsia="Arial" w:hAnsi="Arial" w:cs="Arial"/>
                                  <w:sz w:val="18"/>
                                </w:rPr>
                                <w:t xml:space="preserve">corti di giustizia tributaria di secondo grado sono nominati tra i magistrati di cui </w:t>
                              </w:r>
                            </w:p>
                          </w:txbxContent>
                        </wps:txbx>
                        <wps:bodyPr horzOverflow="overflow" vert="horz" lIns="0" tIns="0" rIns="0" bIns="0" rtlCol="0">
                          <a:noAutofit/>
                        </wps:bodyPr>
                      </wps:wsp>
                    </wpg:wgp>
                  </a:graphicData>
                </a:graphic>
              </wp:inline>
            </w:drawing>
          </mc:Choice>
          <mc:Fallback>
            <w:pict>
              <v:group w14:anchorId="695BEB87" id="Group 202389" o:spid="_x0000_s6943" style="width:314.35pt;height:493.15pt;mso-position-horizontal-relative:char;mso-position-vertical-relative:line" coordsize="39919,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VbVgoAABmBAAAOAAAAZHJzL2Uyb0RvYy54bWzkXWuP27gV/V5g/4Ph7xPzJUoyMlksmm5Q&#10;oOguuu0PUDzyA7AtQ3biSX99zyUl2paZLkothka5H2Y99ESWeXju49xL6v2Pr7vt5GvdHjfN/nnK&#10;37HppN4vmpfNfvU8/dc/f34qppPjqdq/VNtmXz9Pv9XH6Y8ffvjT+/NhXotm3Wxf6naCi+yP8/Ph&#10;ebo+nQ7z2ey4WNe76viuOdR7vLls2l11wq/tavbSVmdcfbedCcb07Ny0L4e2WdTHI0Y/2jenH8z1&#10;l8t6cfpluTzWp8n2eYp7O5mfrfn5mX7OPryv5qu2Oqw3i+42qoC72FWbPT7UXepjdaomX9rN3aV2&#10;m0XbHJvl6d2i2c2a5XKzqM13wLfhbPBtPrXNl4P5Lqv5eXVw04SpHcxT8GUXf//6qT38dvi1xUyc&#10;DyvMhfmNvsvrst3R/3GXk1czZd/clNWvp8kCg7IseSnL6WSB97TQosiUndTFGjN/9+8W67/8zr+c&#10;9R88u7md8wEL5HiZg+O4OfhtXR1qM7XHOebg13ayeXmeCilkNp3sqx2W6j+weKr9altP7LCZIPPX&#10;brqO8yNmrp+rSdtgfT1xlpf0n1kP3dzxEmtV4NKYpSct8KudpH4aeV5I3c2iyJhWmt53U1HND+3x&#10;9KludhN68TxtcW/m+tXXvx1P9k/7P6Hb2e7p5775ebPd2ndpBDPa3zG9Or1+fjVfO9N5QZ9Hg5+b&#10;l2+YjXXT/vsX8Hq5bc7P06Z7NSWq4+Pp3elk+9c9UCBW9S/a/sXn/kV72v65MdyzN/TTl1Oz3Jg7&#10;vnxad2eA197Dm+Cs/Tibiadbw6r433F+4lJxASCJDZyXpe7Y0AONdzXrkeZKFHYlvCHSZVpIMyHz&#10;3AO1He8WfSjWBdcaDg5gZ4BaywHYmWQly7g1jgZs/ra0LoyZuRDt/53WBKqP13Z8DNgCbOYM135c&#10;rM3aSgdruGpQz+eqnS8LpLUQTGUdrYtcSpYRa6t5b8MzwYUs8QcU8xCtC2NT386GFyItGw6o4VJ9&#10;UDtnFgQ1IlcF60yU9uKMkE1ERFmmhrJCLOlBGcNjTDdiMp6zDNcmoHNVlvARt4SWrCgRiMUjtAkc&#10;UrLdxDsf1M6JBRH6iZPt5iAtQY10tEukBrb7OiR7c9ttnElSUAMOH9TOiQVBfWW7vThHtt0ujUwl&#10;n1bSj7JzYkEo39rujEnJH8525713SgZq5YfaObFAqAVXJVJ1Mt0SElphJvZiuhWHuCLxB9HCbpdY&#10;pIE0Zc0+qO34mJBMaJkpSt8Ia5FpnQ2wRorFygJ6aTSsXWaRDtY+5ZuwdhFLKK8LCYh/D2ystFhg&#10;Ww02qZjMp5JJYcsONBFBUF/FZF5Sx43JSpdbpEFpwOkTvs3wGONtY7KyIzSXUoqh9Sbdmwpp0Qjt&#10;cotkoPZrocqFLEGEBtTknK3pZgxFTXO965hM5Br6aDykXX6RBtLkj32Zlh0fSeuCicLqoaooNJW2&#10;hjJZyaA9xwPbZRjpgO0TTwhsZ+GCiE3lLATYhtgPirWLOtPAWqLtw5tWY3gkraF+d+G3yjXctY/W&#10;VNqM5q2TE8tIgPZIohgeAzUvUa9CJk1ZtdKKwWHfGnDBRKmjGvDEtDIy1D5W2/ExWJt+BI5IgLDO&#10;0IaSD7A2vSciYk3LhorpJNWEqY/WdnwM1ojCC66oi+m/g41Pj2bCE5PL4K19UbgZHgM16peFLGxq&#10;rWQppRrQGumWzNBiGwvpnLlwJI24DPSlFr87b23Hx2BtRXCbXCuBieUDrI0Ijj7ieFi7eCQdrH2N&#10;RoS1M3BB+RYaEwopdeevHxNsl1GmATZsNbh3x2szPIbWFxHcT+qoInjOEtPLAKe/1IHhMSg/lZlQ&#10;0jYaKa60Hu7oUKVCsTqeWJaz9MQy7at3kPF2aWeg8Yb51338jetJbYKgiwx+1+j/xl1laG/sV3Ma&#10;xptA9fHajo8h9nWjv3pMrJ3lSgNrmHBfAG6GxyBt6phU8qa0WmKDHpMeWqMxPGIA7gxXMlD74m9A&#10;PS78JtkT2zIt0nmuc2Yym4sB52A6AvSISLtCbSpIw4f6om/rWsNbUDKNMrUtYkq4ZXSD32rgOWQ6&#10;HTMscys5DaDJI/vyLDs+xn5zwbVCk6gx34rpHH3/uN4VqQvs9qDNuJFU0ZwnqJV9p2HU7oMOpvUT&#10;V6rk11gPaM2jY52gVuaTwInXTmMISreE4FxQhZTCsu/yGrFaPF4nJ5WRx/RIZRgeY8ERgaPjiAJs&#10;gpoUUruz9WLCM1FojvbCeFC7tZyGu5aoSvihdhMRRGouS6RxVi/DHh7GsoGzxvEJCNEjAp2gXOYj&#10;Ndnv0axGkRL9CIbVDOqbMGvnitXUHyzilatznqBchum+s+AEtotbgngNuQz5lm0klI+JdXJymTff&#10;gmF3iz4IaSOXSQgnRGtRou+/9NA6rrNOTi7ziuCA2q35QKixjR7b5y3UOZ1dNoQaR6CUpOBES63T&#10;08sQBd8ZcEDt1nwQ1LwUwirgwotz3Gq17YhJp4cQcPpLHXYrRrB8wkvOeGHzLBgHjUONbqUywXCU&#10;mQLhY/EZnapdJplGnkWRl08At+Mjk+qC57RPnvw0tlkr2/MxCL8jbtrKEfqnBjYKWPfWG2CPLWzR&#10;Ph7WOerHxNolk2kQG5thfbw2w+NojZispIYiorXC2cfQzXDBK1oL9InH1Mpsmp+St/Y2/ANqZ9/G&#10;xmQGZ6NMXeEcNyYTiQllgBOk80TeI7dgmnya44RWQ2hkU7kaAk0yWVQ/7RSDZGy3X/y2pjY4/L6F&#10;GsEZOkYHtjs61E4xSAZqX6UaZHfmLch230KNUydZ8XBQO8UgGah9DSiA2pm3cKhxTpUx4NBRdI4N&#10;BbcRmTkHBfJKtKw6OZXMe/w3oHbm7Q+AumBS4VkODwZ1Yn1lwNQviGJ4XJ6F04Idq3WBTfSPBrVt&#10;U04qz/KropenlgSxGie7593BGDzDM1Bs1eSSaGGLAWfUex7LfEuXR6bhqUkP85Hajo9htTnvpito&#10;cYVt1dI4hAvWaBUuovYFYy9Z9wXTwdrHasLaRS1BtEYIXuABDbZQ/aBgG+kuJQtOOodHQ7k8oCYU&#10;ap7jVGAbgksUuXCO0TAuK6IWqu0zgZKC2tdphO5O58zCoSZlleQyzgvsx7yHuoRCfnHXb/xorRwn&#10;XiZlwoGpXxm1XbzBchlsNg7DsAdjgNBS4RzTG1JjTzeE04gbO2z0kA6pySl/Z7vt2H30cNZMos+D&#10;aF0qxrHJ4wZrs7U64ul0VElPitWEtU8vs+PdVASZcBOEdw2Ejwm1CzzTiMFhwP0iuNWsgw24eQxP&#10;X6tGY1FemIm9yrZil6rxPLGkSA2kfZw2w2MofWkf9MIct1J9eW5YMnT2OWmA/Aeo332lWuOZeTZB&#10;v6KzqV5GrHPYTd7pxGOA1KeTmeExdL6pXmY4JUEMDXfsOjV6VFMz3D6VDEi7WCUoFjNI92UOpXB8&#10;rA9p5DnRxG88UOxBkDYPoj+v8HByPOJ11VaH9WbxsTpV17+bR5jPa9Gsm+1L3X74DwAAAP//AwBQ&#10;SwMEFAAGAAgAAAAhAAXws23dAAAABQEAAA8AAABkcnMvZG93bnJldi54bWxMj0FLw0AQhe+C/2EZ&#10;wZvdpMWYptmUUtRTEWwF8TbNTpPQ7GzIbpP037t60cvA4z3e+yZfT6YVA/WusawgnkUgiEurG64U&#10;fBxeHlIQziNrbC2Tgis5WBe3Nzlm2o78TsPeVyKUsMtQQe19l0npypoMupntiIN3sr1BH2RfSd3j&#10;GMpNK+dRlEiDDYeFGjva1lSe9xej4HXEcbOIn4fd+bS9fh0e3z53MSl1fzdtViA8Tf4vDD/4AR2K&#10;wHS0F9ZOtArCI/73Bi+Zp08gjgqWabIAWeTyP33xDQAA//8DAFBLAQItABQABgAIAAAAIQC2gziS&#10;/gAAAOEBAAATAAAAAAAAAAAAAAAAAAAAAABbQ29udGVudF9UeXBlc10ueG1sUEsBAi0AFAAGAAgA&#10;AAAhADj9If/WAAAAlAEAAAsAAAAAAAAAAAAAAAAALwEAAF9yZWxzLy5yZWxzUEsBAi0AFAAGAAgA&#10;AAAhAPO9VVtWCgAAGYEAAA4AAAAAAAAAAAAAAAAALgIAAGRycy9lMm9Eb2MueG1sUEsBAi0AFAAG&#10;AAgAAAAhAAXws23dAAAABQEAAA8AAAAAAAAAAAAAAAAAsAwAAGRycy9kb3ducmV2LnhtbFBLBQYA&#10;AAAABAAEAPMAAAC6DQAAAAA=&#10;">
                <v:rect id="Rectangle 23235" o:spid="_x0000_s6944" style="position:absolute;left:19006;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kggxwAAAN4AAAAPAAAAZHJzL2Rvd25yZXYueG1sRI9Pa8JA&#10;FMTvBb/D8oTe6qYRi0RXKRZpDl78Bx4f2WeSNvt2ya4m9dO7QsHjMDO/YebL3jTiSq2vLSt4HyUg&#10;iAuray4VHPbrtykIH5A1NpZJwR95WC4GL3PMtO14S9ddKEWEsM9QQRWCy6T0RUUG/cg64uidbWsw&#10;RNmWUrfYRbhpZJokH9JgzXGhQkeriorf3cUoOH2xy9edLM63ldv85NPm+3I4KvU67D9nIAL14Rn+&#10;b+daQTpOxxN43IlXQC7uAAAA//8DAFBLAQItABQABgAIAAAAIQDb4fbL7gAAAIUBAAATAAAAAAAA&#10;AAAAAAAAAAAAAABbQ29udGVudF9UeXBlc10ueG1sUEsBAi0AFAAGAAgAAAAhAFr0LFu/AAAAFQEA&#10;AAsAAAAAAAAAAAAAAAAAHwEAAF9yZWxzLy5yZWxzUEsBAi0AFAAGAAgAAAAhAF0OSCDHAAAA3gAA&#10;AA8AAAAAAAAAAAAAAAAABwIAAGRycy9kb3ducmV2LnhtbFBLBQYAAAAAAwADALcAAAD7AgAAAAA=&#10;" filled="f" stroked="f">
                  <v:textbox inset="0,0,0,0">
                    <w:txbxContent>
                      <w:p w14:paraId="581818D1" w14:textId="77777777" w:rsidR="00B32EF2" w:rsidRDefault="00000000">
                        <w:r>
                          <w:rPr>
                            <w:rFonts w:ascii="Times New Roman" w:eastAsia="Times New Roman" w:hAnsi="Times New Roman" w:cs="Times New Roman"/>
                          </w:rPr>
                          <w:t>16</w:t>
                        </w:r>
                      </w:p>
                    </w:txbxContent>
                  </v:textbox>
                </v:rect>
                <v:rect id="Rectangle 23236" o:spid="_x0000_s6945" style="position:absolute;left:-1341;top:61199;width:412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NZXxgAAAN4AAAAPAAAAZHJzL2Rvd25yZXYueG1sRI9Ba8JA&#10;FITvhf6H5RW81U0jiERXKYqYQy9aBY+P7DOJZt8u2dXE/npXEHocZuYbZrboTSNu1PrasoKvYQKC&#10;uLC65lLB/nf9OQHhA7LGxjIpuJOHxfz9bYaZth1v6bYLpYgQ9hkqqEJwmZS+qMigH1pHHL2TbQ2G&#10;KNtS6ha7CDeNTJNkLA3WHBcqdLSsqLjsrkbBccUuX3eyOP0t3c85nzSb6/6g1OCj/56CCNSH//Cr&#10;nWsF6SgdjeF5J14BOX8AAAD//wMAUEsBAi0AFAAGAAgAAAAhANvh9svuAAAAhQEAABMAAAAAAAAA&#10;AAAAAAAAAAAAAFtDb250ZW50X1R5cGVzXS54bWxQSwECLQAUAAYACAAAACEAWvQsW78AAAAVAQAA&#10;CwAAAAAAAAAAAAAAAAAfAQAAX3JlbHMvLnJlbHNQSwECLQAUAAYACAAAACEArdzWV8YAAADeAAAA&#10;DwAAAAAAAAAAAAAAAAAHAgAAZHJzL2Rvd25yZXYueG1sUEsFBgAAAAADAAMAtwAAAPoCAAAAAA==&#10;" filled="f" stroked="f">
                  <v:textbox inset="0,0,0,0">
                    <w:txbxContent>
                      <w:p w14:paraId="68B89FA7" w14:textId="77777777" w:rsidR="00B32EF2" w:rsidRDefault="00000000">
                        <w:r>
                          <w:rPr>
                            <w:rFonts w:ascii="Arial" w:eastAsia="Arial" w:hAnsi="Arial" w:cs="Arial"/>
                            <w:sz w:val="18"/>
                          </w:rPr>
                          <w:t>l’età pensionabile entro i quattro anni successivi alla nomina.</w:t>
                        </w:r>
                      </w:p>
                    </w:txbxContent>
                  </v:textbox>
                </v:rect>
                <v:rect id="Rectangle 202377" o:spid="_x0000_s6946" style="position:absolute;left:-13816;top:599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c2qxwAAAN8AAAAPAAAAZHJzL2Rvd25yZXYueG1sRI9Ba8JA&#10;FITvQv/D8gredGOEKtFVRBFz6KXWgsdH9pmkzb5dsqtJ++u7guBxmJlvmOW6N424Uetrywom4wQE&#10;cWF1zaWC0+d+NAfhA7LGxjIp+CUP69XLYImZth1/0O0YShEh7DNUUIXgMil9UZFBP7aOOHoX2xoM&#10;Ubal1C12EW4amSbJmzRYc1yo0NG2ouLneDUKzjt2+b6TxeVv696/83lzuJ6+lBq+9psFiEB9eIYf&#10;7VwrSJN0OpvB/U/8AnL1DwAA//8DAFBLAQItABQABgAIAAAAIQDb4fbL7gAAAIUBAAATAAAAAAAA&#10;AAAAAAAAAAAAAABbQ29udGVudF9UeXBlc10ueG1sUEsBAi0AFAAGAAgAAAAhAFr0LFu/AAAAFQEA&#10;AAsAAAAAAAAAAAAAAAAAHwEAAF9yZWxzLy5yZWxzUEsBAi0AFAAGAAgAAAAhAMIVzarHAAAA3wAA&#10;AA8AAAAAAAAAAAAAAAAABwIAAGRycy9kb3ducmV2LnhtbFBLBQYAAAAAAwADALcAAAD7AgAAAAA=&#10;" filled="f" stroked="f">
                  <v:textbox inset="0,0,0,0">
                    <w:txbxContent>
                      <w:p w14:paraId="41D03D7D" w14:textId="77777777" w:rsidR="00B32EF2" w:rsidRDefault="00000000">
                        <w:r>
                          <w:rPr>
                            <w:rFonts w:ascii="Arial" w:eastAsia="Arial" w:hAnsi="Arial" w:cs="Arial"/>
                            <w:sz w:val="18"/>
                          </w:rPr>
                          <w:t xml:space="preserve">. A seguito di valutazione negativa da parte del Consiglio di presidenza della </w:t>
                        </w:r>
                      </w:p>
                    </w:txbxContent>
                  </v:textbox>
                </v:rect>
                <v:rect id="Rectangle 202376" o:spid="_x0000_s6947" style="position:absolute;left:26111;top:599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WgxxwAAAN8AAAAPAAAAZHJzL2Rvd25yZXYueG1sRI9Ba8JA&#10;FITvQv/D8gredGMEK9FVRBFz6EVrweMj+0zSZt8u2dWk/fVdoeBxmJlvmOW6N424U+trywom4wQE&#10;cWF1zaWC88d+NAfhA7LGxjIp+CEP69XLYImZth0f6X4KpYgQ9hkqqEJwmZS+qMigH1tHHL2rbQ2G&#10;KNtS6ha7CDeNTJNkJg3WHBcqdLStqPg+3YyCy45dvu9kcf3duvevfN4cbudPpYav/WYBIlAfnuH/&#10;dq4VpEk6fZvB40/8AnL1BwAA//8DAFBLAQItABQABgAIAAAAIQDb4fbL7gAAAIUBAAATAAAAAAAA&#10;AAAAAAAAAAAAAABbQ29udGVudF9UeXBlc10ueG1sUEsBAi0AFAAGAAgAAAAhAFr0LFu/AAAAFQEA&#10;AAsAAAAAAAAAAAAAAAAAHwEAAF9yZWxzLy5yZWxzUEsBAi0AFAAGAAgAAAAhAK1ZaDHHAAAA3wAA&#10;AA8AAAAAAAAAAAAAAAAABwIAAGRycy9kb3ducmV2LnhtbFBLBQYAAAAAAwADALcAAAD7AgAAAAA=&#10;" filled="f" stroked="f">
                  <v:textbox inset="0,0,0,0">
                    <w:txbxContent>
                      <w:p w14:paraId="12B2095D" w14:textId="77777777" w:rsidR="00B32EF2" w:rsidRDefault="00000000">
                        <w:r>
                          <w:rPr>
                            <w:rFonts w:ascii="Arial" w:eastAsia="Arial" w:hAnsi="Arial" w:cs="Arial"/>
                            <w:sz w:val="18"/>
                          </w:rPr>
                          <w:t>2</w:t>
                        </w:r>
                      </w:p>
                    </w:txbxContent>
                  </v:textbox>
                </v:rect>
                <v:rect id="Rectangle 23238" o:spid="_x0000_s6948" style="position:absolute;left:-12204;top:58733;width:5212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e+wwAAAN4AAAAPAAAAZHJzL2Rvd25yZXYueG1sRE9Ni8Iw&#10;EL0v+B/CCN7W1AqLVKOIIvbgZV0Fj0MzttVmEppoq79+c1jY4+N9L1a9acSTWl9bVjAZJyCIC6tr&#10;LhWcfnafMxA+IGtsLJOCF3lYLQcfC8y07fibnsdQihjCPkMFVQguk9IXFRn0Y+uII3e1rcEQYVtK&#10;3WIXw00j0yT5kgZrjg0VOtpUVNyPD6PgsmWX7zpZXN8bd7jls2b/OJ2VGg379RxEoD78i//cuVaQ&#10;TtNp3BvvxCsgl78AAAD//wMAUEsBAi0AFAAGAAgAAAAhANvh9svuAAAAhQEAABMAAAAAAAAAAAAA&#10;AAAAAAAAAFtDb250ZW50X1R5cGVzXS54bWxQSwECLQAUAAYACAAAACEAWvQsW78AAAAVAQAACwAA&#10;AAAAAAAAAAAAAAAfAQAAX3JlbHMvLnJlbHNQSwECLQAUAAYACAAAACEAsw/nvsMAAADeAAAADwAA&#10;AAAAAAAAAAAAAAAHAgAAZHJzL2Rvd25yZXYueG1sUEsFBgAAAAADAAMAtwAAAPcCAAAAAA==&#10;" filled="f" stroked="f">
                  <v:textbox inset="0,0,0,0">
                    <w:txbxContent>
                      <w:p w14:paraId="3F864B71" w14:textId="77777777" w:rsidR="00B32EF2" w:rsidRDefault="00000000">
                        <w:r>
                          <w:rPr>
                            <w:rFonts w:ascii="Arial" w:eastAsia="Arial" w:hAnsi="Arial" w:cs="Arial"/>
                            <w:sz w:val="18"/>
                          </w:rPr>
                          <w:t>giustizia tributaria e comunque all’esito dell’ottavo anno di esercizio delle fun</w:t>
                        </w:r>
                      </w:p>
                    </w:txbxContent>
                  </v:textbox>
                </v:rect>
                <v:rect id="Rectangle 23239" o:spid="_x0000_s6949" style="position:absolute;left:193;top:58733;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0IlxwAAAN4AAAAPAAAAZHJzL2Rvd25yZXYueG1sRI9Pa8JA&#10;FMTvBb/D8oTedNMIotFVikWag5f6Bzw+ss8kbfbtkl1N6qd3C0KPw8z8hlmue9OIG7W+tqzgbZyA&#10;IC6srrlUcDxsRzMQPiBrbCyTgl/ysF4NXpaYadvxF932oRQRwj5DBVUILpPSFxUZ9GPriKN3sa3B&#10;EGVbSt1iF+GmkWmSTKXBmuNChY42FRU/+6tRcP5gl287WVzuG7f7zmfN5/V4Uup12L8vQATqw3/4&#10;2c61gnSSTubwdydeAbl6AAAA//8DAFBLAQItABQABgAIAAAAIQDb4fbL7gAAAIUBAAATAAAAAAAA&#10;AAAAAAAAAAAAAABbQ29udGVudF9UeXBlc10ueG1sUEsBAi0AFAAGAAgAAAAhAFr0LFu/AAAAFQEA&#10;AAsAAAAAAAAAAAAAAAAAHwEAAF9yZWxzLy5yZWxzUEsBAi0AFAAGAAgAAAAhANxDQiXHAAAA3gAA&#10;AA8AAAAAAAAAAAAAAAAABwIAAGRycy9kb3ducmV2LnhtbFBLBQYAAAAAAwADALcAAAD7AgAAAAA=&#10;" filled="f" stroked="f">
                  <v:textbox inset="0,0,0,0">
                    <w:txbxContent>
                      <w:p w14:paraId="5913A36F" w14:textId="77777777" w:rsidR="00B32EF2" w:rsidRDefault="00000000">
                        <w:r>
                          <w:rPr>
                            <w:rFonts w:ascii="Arial" w:eastAsia="Arial" w:hAnsi="Arial" w:cs="Arial"/>
                            <w:sz w:val="18"/>
                          </w:rPr>
                          <w:t>-</w:t>
                        </w:r>
                      </w:p>
                    </w:txbxContent>
                  </v:textbox>
                </v:rect>
                <v:rect id="Rectangle 23240" o:spid="_x0000_s6950" style="position:absolute;left:-13170;top:5749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5jFxQAAAN4AAAAPAAAAZHJzL2Rvd25yZXYueG1sRI/LasJA&#10;FIb3Bd9hOIK7OjEtRaKjiCLNwk29gMtD5phEM2eGzGiiT99ZFLr8+W9882VvGvGg1teWFUzGCQji&#10;wuqaSwXHw/Z9CsIHZI2NZVLwJA/LxeBtjpm2Hf/QYx9KEUfYZ6igCsFlUvqiIoN+bB1x9C62NRii&#10;bEupW+ziuGlkmiRf0mDN8aFCR+uKitv+bhScN+zybSeLy2vtdtd82nzfjyelRsN+NQMRqA//4b92&#10;rhWkH+lnBIg4EQXk4hcAAP//AwBQSwECLQAUAAYACAAAACEA2+H2y+4AAACFAQAAEwAAAAAAAAAA&#10;AAAAAAAAAAAAW0NvbnRlbnRfVHlwZXNdLnhtbFBLAQItABQABgAIAAAAIQBa9CxbvwAAABUBAAAL&#10;AAAAAAAAAAAAAAAAAB8BAABfcmVscy8ucmVsc1BLAQItABQABgAIAAAAIQAVf5jFxQAAAN4AAAAP&#10;AAAAAAAAAAAAAAAAAAcCAABkcnMvZG93bnJldi54bWxQSwUGAAAAAAMAAwC3AAAA+QIAAAAA&#10;" filled="f" stroked="f">
                  <v:textbox inset="0,0,0,0">
                    <w:txbxContent>
                      <w:p w14:paraId="630CD741" w14:textId="77777777" w:rsidR="00B32EF2" w:rsidRDefault="00000000">
                        <w:r>
                          <w:rPr>
                            <w:rFonts w:ascii="Arial" w:eastAsia="Arial" w:hAnsi="Arial" w:cs="Arial"/>
                            <w:sz w:val="18"/>
                          </w:rPr>
                          <w:t xml:space="preserve">zioni di cui al comma 1, il giudice tributario è riassegnato a sua richiesta, salvo </w:t>
                        </w:r>
                      </w:p>
                    </w:txbxContent>
                  </v:textbox>
                </v:rect>
                <v:rect id="Rectangle 23241" o:spid="_x0000_s6951" style="position:absolute;left:-12204;top:56266;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z1exwAAAN4AAAAPAAAAZHJzL2Rvd25yZXYueG1sRI9Pa8JA&#10;FMTvgt9heYI33ZhKkdRVRJHm0Ev9Az0+ss8kbfbtkl1N7Kd3CwWPw8z8hlmue9OIG7W+tqxgNk1A&#10;EBdW11wqOB33kwUIH5A1NpZJwZ08rFfDwRIzbTv+pNshlCJC2GeooArBZVL6oiKDfmodcfQutjUY&#10;omxLqVvsItw0Mk2SV2mw5rhQoaNtRcXP4WoUfO3Y5ftOFpffrfv4zhfN+/V0Vmo86jdvIAL14Rn+&#10;b+daQfqSzmfwdydeAbl6AAAA//8DAFBLAQItABQABgAIAAAAIQDb4fbL7gAAAIUBAAATAAAAAAAA&#10;AAAAAAAAAAAAAABbQ29udGVudF9UeXBlc10ueG1sUEsBAi0AFAAGAAgAAAAhAFr0LFu/AAAAFQEA&#10;AAsAAAAAAAAAAAAAAAAAHwEAAF9yZWxzLy5yZWxzUEsBAi0AFAAGAAgAAAAhAHozPV7HAAAA3gAA&#10;AA8AAAAAAAAAAAAAAAAABwIAAGRycy9kb3ducmV2LnhtbFBLBQYAAAAAAwADALcAAAD7AgAAAAA=&#10;" filled="f" stroked="f">
                  <v:textbox inset="0,0,0,0">
                    <w:txbxContent>
                      <w:p w14:paraId="78333F4A" w14:textId="77777777" w:rsidR="00B32EF2" w:rsidRDefault="00000000">
                        <w:r>
                          <w:rPr>
                            <w:rFonts w:ascii="Arial" w:eastAsia="Arial" w:hAnsi="Arial" w:cs="Arial"/>
                            <w:sz w:val="18"/>
                          </w:rPr>
                          <w:t>tramutamento all’esercizio di funzioni analoghe o diverse all’incarico di presi</w:t>
                        </w:r>
                      </w:p>
                    </w:txbxContent>
                  </v:textbox>
                </v:rect>
                <v:rect id="Rectangle 23242" o:spid="_x0000_s6952" style="position:absolute;left:193;top:562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aMpxgAAAN4AAAAPAAAAZHJzL2Rvd25yZXYueG1sRI9Ba8JA&#10;FITvBf/D8gRvdWNaikRXEUWag5daBY+P7DOJZt8u2dVEf323UOhxmJlvmPmyN424U+trywom4wQE&#10;cWF1zaWCw/f2dQrCB2SNjWVS8CAPy8XgZY6Zth1/0X0fShEh7DNUUIXgMil9UZFBP7aOOHpn2xoM&#10;Ubal1C12EW4amSbJhzRYc1yo0NG6ouK6vxkFpw27fNvJ4vxcu90lnzaft8NRqdGwX81ABOrDf/iv&#10;nWsF6Vv6nsLvnXgF5OIHAAD//wMAUEsBAi0AFAAGAAgAAAAhANvh9svuAAAAhQEAABMAAAAAAAAA&#10;AAAAAAAAAAAAAFtDb250ZW50X1R5cGVzXS54bWxQSwECLQAUAAYACAAAACEAWvQsW78AAAAVAQAA&#10;CwAAAAAAAAAAAAAAAAAfAQAAX3JlbHMvLnJlbHNQSwECLQAUAAYACAAAACEAiuGjKcYAAADeAAAA&#10;DwAAAAAAAAAAAAAAAAAHAgAAZHJzL2Rvd25yZXYueG1sUEsFBgAAAAADAAMAtwAAAPoCAAAAAA==&#10;" filled="f" stroked="f">
                  <v:textbox inset="0,0,0,0">
                    <w:txbxContent>
                      <w:p w14:paraId="3AE90789" w14:textId="77777777" w:rsidR="00B32EF2" w:rsidRDefault="00000000">
                        <w:r>
                          <w:rPr>
                            <w:rFonts w:ascii="Arial" w:eastAsia="Arial" w:hAnsi="Arial" w:cs="Arial"/>
                            <w:sz w:val="18"/>
                          </w:rPr>
                          <w:t>-</w:t>
                        </w:r>
                      </w:p>
                    </w:txbxContent>
                  </v:textbox>
                </v:rect>
                <v:rect id="Rectangle 23243" o:spid="_x0000_s6953" style="position:absolute;left:-13170;top:550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QayxwAAAN4AAAAPAAAAZHJzL2Rvd25yZXYueG1sRI9Pa8JA&#10;FMTvBb/D8oTe6qZRikRXKRZpDl78Bx4f2WeSNvt2ya4m9dO7QsHjMDO/YebL3jTiSq2vLSt4HyUg&#10;iAuray4VHPbrtykIH5A1NpZJwR95WC4GL3PMtO14S9ddKEWEsM9QQRWCy6T0RUUG/cg64uidbWsw&#10;RNmWUrfYRbhpZJokH9JgzXGhQkeriorf3cUoOH2xy9edLM63ldv85NPm+3I4KvU67D9nIAL14Rn+&#10;b+daQTpOJ2N43IlXQC7uAAAA//8DAFBLAQItABQABgAIAAAAIQDb4fbL7gAAAIUBAAATAAAAAAAA&#10;AAAAAAAAAAAAAABbQ29udGVudF9UeXBlc10ueG1sUEsBAi0AFAAGAAgAAAAhAFr0LFu/AAAAFQEA&#10;AAsAAAAAAAAAAAAAAAAAHwEAAF9yZWxzLy5yZWxzUEsBAi0AFAAGAAgAAAAhAOWtBrLHAAAA3gAA&#10;AA8AAAAAAAAAAAAAAAAABwIAAGRycy9kb3ducmV2LnhtbFBLBQYAAAAAAwADALcAAAD7AgAAAAA=&#10;" filled="f" stroked="f">
                  <v:textbox inset="0,0,0,0">
                    <w:txbxContent>
                      <w:p w14:paraId="6E6D129C" w14:textId="77777777" w:rsidR="00B32EF2" w:rsidRDefault="00000000">
                        <w:r>
                          <w:rPr>
                            <w:rFonts w:ascii="Arial" w:eastAsia="Arial" w:hAnsi="Arial" w:cs="Arial"/>
                            <w:sz w:val="18"/>
                          </w:rPr>
                          <w:t xml:space="preserve">dente di sezione nella corte di giustizia tributaria di primo e secondo grado a </w:t>
                        </w:r>
                      </w:p>
                    </w:txbxContent>
                  </v:textbox>
                </v:rect>
                <v:rect id="Rectangle 23244" o:spid="_x0000_s6954" style="position:absolute;left:-1214;top:53799;width:411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J7GxwAAAN4AAAAPAAAAZHJzL2Rvd25yZXYueG1sRI9Pa8JA&#10;FMTvgt9heYI33TRKkegqxSLNoRf/gcdH9pmkzb5dsqtJ++m7QsHjMDO/YVab3jTiTq2vLSt4mSYg&#10;iAuray4VnI67yQKED8gaG8uk4Ic8bNbDwQozbTve0/0QShEh7DNUUIXgMil9UZFBP7WOOHpX2xoM&#10;Ubal1C12EW4amSbJqzRYc1yo0NG2ouL7cDMKLu/s8l0ni+vv1n1+5Yvm43Y6KzUe9W9LEIH68Az/&#10;t3OtIJ2l8zk87sQrINd/AAAA//8DAFBLAQItABQABgAIAAAAIQDb4fbL7gAAAIUBAAATAAAAAAAA&#10;AAAAAAAAAAAAAABbQ29udGVudF9UeXBlc10ueG1sUEsBAi0AFAAGAAgAAAAhAFr0LFu/AAAAFQEA&#10;AAsAAAAAAAAAAAAAAAAAHwEAAF9yZWxzLy5yZWxzUEsBAi0AFAAGAAgAAAAhAGpEnsbHAAAA3gAA&#10;AA8AAAAAAAAAAAAAAAAABwIAAGRycy9kb3ducmV2LnhtbFBLBQYAAAAAAwADALcAAAD7AgAAAAA=&#10;" filled="f" stroked="f">
                  <v:textbox inset="0,0,0,0">
                    <w:txbxContent>
                      <w:p w14:paraId="02E363F6" w14:textId="77777777" w:rsidR="00B32EF2" w:rsidRDefault="00000000">
                        <w:r>
                          <w:rPr>
                            <w:rFonts w:ascii="Arial" w:eastAsia="Arial" w:hAnsi="Arial" w:cs="Arial"/>
                            <w:sz w:val="18"/>
                          </w:rPr>
                          <w:t>cui era preposto ovvero in quella di precedente provenienza.</w:t>
                        </w:r>
                      </w:p>
                    </w:txbxContent>
                  </v:textbox>
                </v:rect>
                <v:rect id="Rectangle 202374" o:spid="_x0000_s6955" style="position:absolute;left:26354;top:52566;width:52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1PdyAAAAN8AAAAPAAAAZHJzL2Rvd25yZXYueG1sRI9Ba8JA&#10;FITvgv9heUJvumkqraSuIoo0h160KfT4yD6TtNm3S3Y1qb++KxQ8DjPzDbNcD6YVF+p8Y1nB4ywB&#10;QVxa3XCloPjYTxcgfEDW2FomBb/kYb0aj5aYadvzgS7HUIkIYZ+hgjoEl0npy5oM+pl1xNE72c5g&#10;iLKrpO6wj3DTyjRJnqXBhuNCjY62NZU/x7NR8LVjl+97WZ6uW/f+nS/at3PxqdTDZNi8ggg0hHv4&#10;v51rBWmSPr3M4fYnfgG5+gMAAP//AwBQSwECLQAUAAYACAAAACEA2+H2y+4AAACFAQAAEwAAAAAA&#10;AAAAAAAAAAAAAAAAW0NvbnRlbnRfVHlwZXNdLnhtbFBLAQItABQABgAIAAAAIQBa9CxbvwAAABUB&#10;AAALAAAAAAAAAAAAAAAAAB8BAABfcmVscy8ucmVsc1BLAQItABQABgAIAAAAIQAyx1PdyAAAAN8A&#10;AAAPAAAAAAAAAAAAAAAAAAcCAABkcnMvZG93bnJldi54bWxQSwUGAAAAAAMAAwC3AAAA/AIAAAAA&#10;" filled="f" stroked="f">
                  <v:textbox inset="0,0,0,0">
                    <w:txbxContent>
                      <w:p w14:paraId="573CF184" w14:textId="77777777" w:rsidR="00B32EF2" w:rsidRDefault="00000000">
                        <w:r>
                          <w:rPr>
                            <w:rFonts w:ascii="Arial" w:eastAsia="Arial" w:hAnsi="Arial" w:cs="Arial"/>
                            <w:sz w:val="18"/>
                          </w:rPr>
                          <w:t>3</w:t>
                        </w:r>
                      </w:p>
                    </w:txbxContent>
                  </v:textbox>
                </v:rect>
                <v:rect id="Rectangle 202375" o:spid="_x0000_s6956" style="position:absolute;left:-12835;top:52566;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ZGyAAAAN8AAAAPAAAAZHJzL2Rvd25yZXYueG1sRI9Ba8JA&#10;FITvgv9heUJvummKraSuIoo0h160KfT4yD6TtNm3S3Y1qb++KxQ8DjPzDbNcD6YVF+p8Y1nB4ywB&#10;QVxa3XCloPjYTxcgfEDW2FomBb/kYb0aj5aYadvzgS7HUIkIYZ+hgjoEl0npy5oM+pl1xNE72c5g&#10;iLKrpO6wj3DTyjRJnqXBhuNCjY62NZU/x7NR8LVjl+97WZ6uW/f+nS/at3PxqdTDZNi8ggg0hHv4&#10;v51rBWmSPr3M4fYnfgG5+gMAAP//AwBQSwECLQAUAAYACAAAACEA2+H2y+4AAACFAQAAEwAAAAAA&#10;AAAAAAAAAAAAAAAAW0NvbnRlbnRfVHlwZXNdLnhtbFBLAQItABQABgAIAAAAIQBa9CxbvwAAABUB&#10;AAALAAAAAAAAAAAAAAAAAB8BAABfcmVscy8ucmVsc1BLAQItABQABgAIAAAAIQBdi/ZGyAAAAN8A&#10;AAAPAAAAAAAAAAAAAAAAAAcCAABkcnMvZG93bnJldi54bWxQSwUGAAAAAAMAAwC3AAAA/AIAAAAA&#10;" filled="f" stroked="f">
                  <v:textbox inset="0,0,0,0">
                    <w:txbxContent>
                      <w:p w14:paraId="1AAEE80A" w14:textId="77777777" w:rsidR="00B32EF2" w:rsidRDefault="00000000">
                        <w:r>
                          <w:rPr>
                            <w:rFonts w:ascii="Arial" w:eastAsia="Arial" w:hAnsi="Arial" w:cs="Arial"/>
                            <w:sz w:val="18"/>
                          </w:rPr>
                          <w:t>. Il presidente della corte di giustizia tributaria, in caso di assenza o di impe</w:t>
                        </w:r>
                      </w:p>
                    </w:txbxContent>
                  </v:textbox>
                </v:rect>
                <v:rect id="Rectangle 23246" o:spid="_x0000_s6957" style="position:absolute;left:193;top:5256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qUqxwAAAN4AAAAPAAAAZHJzL2Rvd25yZXYueG1sRI9Pa8JA&#10;FMTvgt9heYI33TQWkegqxSLNoZf6Bzw+ss8kbfbtkl1N2k/fFQSPw8z8hlltetOIG7W+tqzgZZqA&#10;IC6srrlUcDzsJgsQPiBrbCyTgl/ysFkPByvMtO34i277UIoIYZ+hgioEl0npi4oM+ql1xNG72NZg&#10;iLItpW6xi3DTyDRJ5tJgzXGhQkfbioqf/dUoOL+zy3edLC5/W/f5nS+aj+vxpNR41L8tQQTqwzP8&#10;aOdaQTpLX+dwvxOvgFz/AwAA//8DAFBLAQItABQABgAIAAAAIQDb4fbL7gAAAIUBAAATAAAAAAAA&#10;AAAAAAAAAAAAAABbQ29udGVudF9UeXBlc10ueG1sUEsBAi0AFAAGAAgAAAAhAFr0LFu/AAAAFQEA&#10;AAsAAAAAAAAAAAAAAAAAHwEAAF9yZWxzLy5yZWxzUEsBAi0AFAAGAAgAAAAhAPXapSrHAAAA3gAA&#10;AA8AAAAAAAAAAAAAAAAABwIAAGRycy9kb3ducmV2LnhtbFBLBQYAAAAAAwADALcAAAD7AgAAAAA=&#10;" filled="f" stroked="f">
                  <v:textbox inset="0,0,0,0">
                    <w:txbxContent>
                      <w:p w14:paraId="3A7B4F69" w14:textId="77777777" w:rsidR="00B32EF2" w:rsidRDefault="00000000">
                        <w:r>
                          <w:rPr>
                            <w:rFonts w:ascii="Arial" w:eastAsia="Arial" w:hAnsi="Arial" w:cs="Arial"/>
                            <w:sz w:val="18"/>
                          </w:rPr>
                          <w:t>-</w:t>
                        </w:r>
                      </w:p>
                    </w:txbxContent>
                  </v:textbox>
                </v:rect>
                <v:rect id="Rectangle 23247" o:spid="_x0000_s6958" style="position:absolute;left:-13170;top:513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gCxxwAAAN4AAAAPAAAAZHJzL2Rvd25yZXYueG1sRI9Ba8JA&#10;FITvgv9heUJvumkqraSuIoo0h160KfT4yD6TtNm3S3Y1qb++KxQ8DjPzDbNcD6YVF+p8Y1nB4ywB&#10;QVxa3XCloPjYTxcgfEDW2FomBb/kYb0aj5aYadvzgS7HUIkIYZ+hgjoEl0npy5oM+pl1xNE72c5g&#10;iLKrpO6wj3DTyjRJnqXBhuNCjY62NZU/x7NR8LVjl+97WZ6uW/f+nS/at3PxqdTDZNi8ggg0hHv4&#10;v51rBelTOn+B2514BeTqDwAA//8DAFBLAQItABQABgAIAAAAIQDb4fbL7gAAAIUBAAATAAAAAAAA&#10;AAAAAAAAAAAAAABbQ29udGVudF9UeXBlc10ueG1sUEsBAi0AFAAGAAgAAAAhAFr0LFu/AAAAFQEA&#10;AAsAAAAAAAAAAAAAAAAAHwEAAF9yZWxzLy5yZWxzUEsBAi0AFAAGAAgAAAAhAJqWALHHAAAA3gAA&#10;AA8AAAAAAAAAAAAAAAAABwIAAGRycy9kb3ducmV2LnhtbFBLBQYAAAAAAwADALcAAAD7AgAAAAA=&#10;" filled="f" stroked="f">
                  <v:textbox inset="0,0,0,0">
                    <w:txbxContent>
                      <w:p w14:paraId="15475AB5" w14:textId="77777777" w:rsidR="00B32EF2" w:rsidRDefault="00000000">
                        <w:r>
                          <w:rPr>
                            <w:rFonts w:ascii="Arial" w:eastAsia="Arial" w:hAnsi="Arial" w:cs="Arial"/>
                            <w:sz w:val="18"/>
                          </w:rPr>
                          <w:t xml:space="preserve">dimento, è sostituito nelle funzioni non giurisdizionali dal presidente di sezione </w:t>
                        </w:r>
                      </w:p>
                    </w:txbxContent>
                  </v:textbox>
                </v:rect>
                <v:rect id="Rectangle 23248" o:spid="_x0000_s6959" style="position:absolute;left:-1356;top:50099;width:412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ZTDxAAAAN4AAAAPAAAAZHJzL2Rvd25yZXYueG1sRE/LisIw&#10;FN0P+A/hCu7G1M4wSDWKKDJduBkf4PLSXNtqcxOaaKtfP1kMzPJw3vNlbxrxoNbXlhVMxgkI4sLq&#10;mksFx8P2fQrCB2SNjWVS8CQPy8XgbY6Zth3/0GMfShFD2GeooArBZVL6oiKDfmwdceQutjUYImxL&#10;qVvsYrhpZJokX9JgzbGhQkfriorb/m4UnDfs8m0ni8tr7XbXfNp8348npUbDfjUDEagP/+I/d64V&#10;pB/pZ9wb78QrIBe/AAAA//8DAFBLAQItABQABgAIAAAAIQDb4fbL7gAAAIUBAAATAAAAAAAAAAAA&#10;AAAAAAAAAABbQ29udGVudF9UeXBlc10ueG1sUEsBAi0AFAAGAAgAAAAhAFr0LFu/AAAAFQEAAAsA&#10;AAAAAAAAAAAAAAAAHwEAAF9yZWxzLy5yZWxzUEsBAi0AFAAGAAgAAAAhAOsJlMPEAAAA3gAAAA8A&#10;AAAAAAAAAAAAAAAABwIAAGRycy9kb3ducmV2LnhtbFBLBQYAAAAAAwADALcAAAD4AgAAAAA=&#10;" filled="f" stroked="f">
                  <v:textbox inset="0,0,0,0">
                    <w:txbxContent>
                      <w:p w14:paraId="6D1A1A4A" w14:textId="77777777" w:rsidR="00B32EF2" w:rsidRDefault="00000000">
                        <w:r>
                          <w:rPr>
                            <w:rFonts w:ascii="Arial" w:eastAsia="Arial" w:hAnsi="Arial" w:cs="Arial"/>
                            <w:sz w:val="18"/>
                          </w:rPr>
                          <w:t>con maggiore anzianità nell’incarico subordinatamente d’età.</w:t>
                        </w:r>
                      </w:p>
                    </w:txbxContent>
                  </v:textbox>
                </v:rect>
                <v:rect id="Rectangle 202373" o:spid="_x0000_s6960" style="position:absolute;left:-13802;top:488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supxwAAAN8AAAAPAAAAZHJzL2Rvd25yZXYueG1sRI9Ba8JA&#10;FITvhf6H5RV6qxsjWImuIoqYgxetBY+P7DNJm327ZFeT+utdoeBxmJlvmNmiN424UutrywqGgwQE&#10;cWF1zaWC49fmYwLCB2SNjWVS8EceFvPXlxlm2na8p+shlCJC2GeooArBZVL6oiKDfmAdcfTOtjUY&#10;omxLqVvsItw0Mk2SsTRYc1yo0NGqouL3cDEKTmt2+aaTxfm2cruffNJsL8dvpd7f+uUURKA+PMP/&#10;7VwrSJN09DmCx5/4BeT8DgAA//8DAFBLAQItABQABgAIAAAAIQDb4fbL7gAAAIUBAAATAAAAAAAA&#10;AAAAAAAAAAAAAABbQ29udGVudF9UeXBlc10ueG1sUEsBAi0AFAAGAAgAAAAhAFr0LFu/AAAAFQEA&#10;AAsAAAAAAAAAAAAAAAAAHwEAAF9yZWxzLy5yZWxzUEsBAi0AFAAGAAgAAAAhAL0uy6nHAAAA3wAA&#10;AA8AAAAAAAAAAAAAAAAABwIAAGRycy9kb3ducmV2LnhtbFBLBQYAAAAAAwADALcAAAD7AgAAAAA=&#10;" filled="f" stroked="f">
                  <v:textbox inset="0,0,0,0">
                    <w:txbxContent>
                      <w:p w14:paraId="5866FFB5" w14:textId="77777777" w:rsidR="00B32EF2" w:rsidRDefault="00000000">
                        <w:r>
                          <w:rPr>
                            <w:rFonts w:ascii="Arial" w:eastAsia="Arial" w:hAnsi="Arial" w:cs="Arial"/>
                            <w:sz w:val="18"/>
                          </w:rPr>
                          <w:t xml:space="preserve">. Il presidente della corte di giustizia tributaria con oltre quindici sezioni può </w:t>
                        </w:r>
                      </w:p>
                    </w:txbxContent>
                  </v:textbox>
                </v:rect>
                <v:rect id="Rectangle 202372" o:spid="_x0000_s6961" style="position:absolute;left:26110;top:48866;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4yxwAAAN8AAAAPAAAAZHJzL2Rvd25yZXYueG1sRI9Ba8JA&#10;FITvBf/D8gRvdWMKrURXEUWag5daBY+P7DOJZt8u2dVEf323UOhxmJlvmPmyN424U+trywom4wQE&#10;cWF1zaWCw/f2dQrCB2SNjWVS8CAPy8XgZY6Zth1/0X0fShEh7DNUUIXgMil9UZFBP7aOOHpn2xoM&#10;Ubal1C12EW4amSbJuzRYc1yo0NG6ouK6vxkFpw27fNvJ4vxcu90lnzaft8NRqdGwX81ABOrDf/iv&#10;nWsFaZK+faTw+yd+Abn4AQAA//8DAFBLAQItABQABgAIAAAAIQDb4fbL7gAAAIUBAAATAAAAAAAA&#10;AAAAAAAAAAAAAABbQ29udGVudF9UeXBlc10ueG1sUEsBAi0AFAAGAAgAAAAhAFr0LFu/AAAAFQEA&#10;AAsAAAAAAAAAAAAAAAAAHwEAAF9yZWxzLy5yZWxzUEsBAi0AFAAGAAgAAAAhANJibjLHAAAA3wAA&#10;AA8AAAAAAAAAAAAAAAAABwIAAGRycy9kb3ducmV2LnhtbFBLBQYAAAAAAwADALcAAAD7AgAAAAA=&#10;" filled="f" stroked="f">
                  <v:textbox inset="0,0,0,0">
                    <w:txbxContent>
                      <w:p w14:paraId="1D165581" w14:textId="77777777" w:rsidR="00B32EF2" w:rsidRDefault="00000000">
                        <w:r>
                          <w:rPr>
                            <w:rFonts w:ascii="Arial" w:eastAsia="Arial" w:hAnsi="Arial" w:cs="Arial"/>
                            <w:sz w:val="18"/>
                          </w:rPr>
                          <w:t>4</w:t>
                        </w:r>
                      </w:p>
                    </w:txbxContent>
                  </v:textbox>
                </v:rect>
                <v:rect id="Rectangle 23250" o:spid="_x0000_s6962" style="position:absolute;left:-13170;top:476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4YxQAAAN4AAAAPAAAAZHJzL2Rvd25yZXYueG1sRI/LasJA&#10;FIb3Bd9hOIK7OjGlRaKjiCLNwk29gMtD5phEM2eGzGiiT99ZFLr8+W9882VvGvGg1teWFUzGCQji&#10;wuqaSwXHw/Z9CsIHZI2NZVLwJA/LxeBtjpm2Hf/QYx9KEUfYZ6igCsFlUvqiIoN+bB1x9C62NRii&#10;bEupW+ziuGlkmiRf0mDN8aFCR+uKitv+bhScN+zybSeLy2vtdtd82nzfjyelRsN+NQMRqA//4b92&#10;rhWkH+lnBIg4EQXk4hcAAP//AwBQSwECLQAUAAYACAAAACEA2+H2y+4AAACFAQAAEwAAAAAAAAAA&#10;AAAAAAAAAAAAW0NvbnRlbnRfVHlwZXNdLnhtbFBLAQItABQABgAIAAAAIQBa9CxbvwAAABUBAAAL&#10;AAAAAAAAAAAAAAAAAB8BAABfcmVscy8ucmVsc1BLAQItABQABgAIAAAAIQCQpg4YxQAAAN4AAAAP&#10;AAAAAAAAAAAAAAAAAAcCAABkcnMvZG93bnJldi54bWxQSwUGAAAAAAMAAwC3AAAA+QIAAAAA&#10;" filled="f" stroked="f">
                  <v:textbox inset="0,0,0,0">
                    <w:txbxContent>
                      <w:p w14:paraId="766469B3" w14:textId="77777777" w:rsidR="00B32EF2" w:rsidRDefault="00000000">
                        <w:r>
                          <w:rPr>
                            <w:rFonts w:ascii="Arial" w:eastAsia="Arial" w:hAnsi="Arial" w:cs="Arial"/>
                            <w:sz w:val="18"/>
                          </w:rPr>
                          <w:t xml:space="preserve">delegare sue attribuzioni non giurisdizionali ad uno o più presidenti di sezione </w:t>
                        </w:r>
                      </w:p>
                    </w:txbxContent>
                  </v:textbox>
                </v:rect>
                <v:rect id="Rectangle 23251" o:spid="_x0000_s6963" style="position:absolute;left:19622;top:46400;width:2029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uDxwAAAN4AAAAPAAAAZHJzL2Rvd25yZXYueG1sRI9Pa8JA&#10;FMTvgt9heYI33ZhikdRVRJHm0Ev9Az0+ss8kbfbtkl1N7Kd3CwWPw8z8hlmue9OIG7W+tqxgNk1A&#10;EBdW11wqOB33kwUIH5A1NpZJwZ08rFfDwRIzbTv+pNshlCJC2GeooArBZVL6oiKDfmodcfQutjUY&#10;omxLqVvsItw0Mk2SV2mw5rhQoaNtRcXP4WoUfO3Y5ftOFpffrfv4zhfN+/V0Vmo86jdvIAL14Rn+&#10;b+daQfqSzmfwdydeAbl6AAAA//8DAFBLAQItABQABgAIAAAAIQDb4fbL7gAAAIUBAAATAAAAAAAA&#10;AAAAAAAAAAAAAABbQ29udGVudF9UeXBlc10ueG1sUEsBAi0AFAAGAAgAAAAhAFr0LFu/AAAAFQEA&#10;AAsAAAAAAAAAAAAAAAAAHwEAAF9yZWxzLy5yZWxzUEsBAi0AFAAGAAgAAAAhAP/qq4PHAAAA3gAA&#10;AA8AAAAAAAAAAAAAAAAABwIAAGRycy9kb3ducmV2LnhtbFBLBQYAAAAAAwADALcAAAD7AgAAAAA=&#10;" filled="f" stroked="f">
                  <v:textbox inset="0,0,0,0">
                    <w:txbxContent>
                      <w:p w14:paraId="4C3863D7" w14:textId="77777777" w:rsidR="00B32EF2" w:rsidRDefault="00000000">
                        <w:r>
                          <w:rPr>
                            <w:rFonts w:ascii="Arial" w:eastAsia="Arial" w:hAnsi="Arial" w:cs="Arial"/>
                            <w:sz w:val="18"/>
                          </w:rPr>
                          <w:t>con i criteri di cui al comma 3.</w:t>
                        </w:r>
                      </w:p>
                    </w:txbxContent>
                  </v:textbox>
                </v:rect>
                <v:rect id="Rectangle 202370" o:spid="_x0000_s6964" style="position:absolute;left:26111;top:451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XexgAAAN8AAAAPAAAAZHJzL2Rvd25yZXYueG1sRI/LasJA&#10;FIb3Bd9hOIK7OjGFVqKjiCLNwk29gMtD5phEM2eGzGiiT99ZFLr8+W9882VvGvGg1teWFUzGCQji&#10;wuqaSwXHw/Z9CsIHZI2NZVLwJA/LxeBtjpm2Hf/QYx9KEUfYZ6igCsFlUvqiIoN+bB1x9C62NRii&#10;bEupW+ziuGlkmiSf0mDN8aFCR+uKitv+bhScN+zybSeLy2vtdtd82nzfjyelRsN+NQMRqA//4b92&#10;rhWkSfrxFQkiT2QBufgFAAD//wMAUEsBAi0AFAAGAAgAAAAhANvh9svuAAAAhQEAABMAAAAAAAAA&#10;AAAAAAAAAAAAAFtDb250ZW50X1R5cGVzXS54bWxQSwECLQAUAAYACAAAACEAWvQsW78AAAAVAQAA&#10;CwAAAAAAAAAAAAAAAAAfAQAAX3JlbHMvLnJlbHNQSwECLQAUAAYACAAAACEATfxV3sYAAADfAAAA&#10;DwAAAAAAAAAAAAAAAAAHAgAAZHJzL2Rvd25yZXYueG1sUEsFBgAAAAADAAMAtwAAAPoCAAAAAA==&#10;" filled="f" stroked="f">
                  <v:textbox inset="0,0,0,0">
                    <w:txbxContent>
                      <w:p w14:paraId="0136A04E" w14:textId="77777777" w:rsidR="00B32EF2" w:rsidRDefault="00000000">
                        <w:r>
                          <w:rPr>
                            <w:rFonts w:ascii="Arial" w:eastAsia="Arial" w:hAnsi="Arial" w:cs="Arial"/>
                            <w:sz w:val="18"/>
                          </w:rPr>
                          <w:t>5</w:t>
                        </w:r>
                      </w:p>
                    </w:txbxContent>
                  </v:textbox>
                </v:rect>
                <v:rect id="Rectangle 202371" o:spid="_x0000_s6965" style="position:absolute;left:-13814;top:451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PBFyAAAAN8AAAAPAAAAZHJzL2Rvd25yZXYueG1sRI9Pa8JA&#10;FMTvgt9heYI33ZiCldRVRJHm0Ev9Az0+ss8kbfbtkl1N7Kd3CwWPw8z8hlmue9OIG7W+tqxgNk1A&#10;EBdW11wqOB33kwUIH5A1NpZJwZ08rFfDwRIzbTv+pNshlCJC2GeooArBZVL6oiKDfmodcfQutjUY&#10;omxLqVvsItw0Mk2SuTRYc1yo0NG2ouLncDUKvnbs8n0ni8vv1n1854vm/Xo6KzUe9Zs3EIH68Az/&#10;t3OtIE3Sl9cZ/P2JX0CuHgAAAP//AwBQSwECLQAUAAYACAAAACEA2+H2y+4AAACFAQAAEwAAAAAA&#10;AAAAAAAAAAAAAAAAW0NvbnRlbnRfVHlwZXNdLnhtbFBLAQItABQABgAIAAAAIQBa9CxbvwAAABUB&#10;AAALAAAAAAAAAAAAAAAAAB8BAABfcmVscy8ucmVsc1BLAQItABQABgAIAAAAIQAisPBFyAAAAN8A&#10;AAAPAAAAAAAAAAAAAAAAAAcCAABkcnMvZG93bnJldi54bWxQSwUGAAAAAAMAAwC3AAAA/AIAAAAA&#10;" filled="f" stroked="f">
                  <v:textbox inset="0,0,0,0">
                    <w:txbxContent>
                      <w:p w14:paraId="3B24E412" w14:textId="77777777" w:rsidR="00B32EF2" w:rsidRDefault="00000000">
                        <w:r>
                          <w:rPr>
                            <w:rFonts w:ascii="Arial" w:eastAsia="Arial" w:hAnsi="Arial" w:cs="Arial"/>
                            <w:sz w:val="18"/>
                          </w:rPr>
                          <w:t xml:space="preserve">. A ciascuna sezione è assegnato un presidente, un vice-presidente e non </w:t>
                        </w:r>
                      </w:p>
                    </w:txbxContent>
                  </v:textbox>
                </v:rect>
                <v:rect id="Rectangle 23253" o:spid="_x0000_s6966" style="position:absolute;left:12283;top:43933;width:276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JBvxwAAAN4AAAAPAAAAZHJzL2Rvd25yZXYueG1sRI9Pa8JA&#10;FMTvBb/D8oTe6qYRi0RXKRZpDl78Bx4f2WeSNvt2ya4m9dO7QsHjMDO/YebL3jTiSq2vLSt4HyUg&#10;iAuray4VHPbrtykIH5A1NpZJwR95WC4GL3PMtO14S9ddKEWEsM9QQRWCy6T0RUUG/cg64uidbWsw&#10;RNmWUrfYRbhpZJokH9JgzXGhQkeriorf3cUoOH2xy9edLM63ldv85NPm+3I4KvU67D9nIAL14Rn+&#10;b+daQTpOJ2N43IlXQC7uAAAA//8DAFBLAQItABQABgAIAAAAIQDb4fbL7gAAAIUBAAATAAAAAAAA&#10;AAAAAAAAAAAAAABbQ29udGVudF9UeXBlc10ueG1sUEsBAi0AFAAGAAgAAAAhAFr0LFu/AAAAFQEA&#10;AAsAAAAAAAAAAAAAAAAAHwEAAF9yZWxzLy5yZWxzUEsBAi0AFAAGAAgAAAAhAGB0kG/HAAAA3gAA&#10;AA8AAAAAAAAAAAAAAAAABwIAAGRycy9kb3ducmV2LnhtbFBLBQYAAAAAAwADALcAAAD7AgAAAAA=&#10;" filled="f" stroked="f">
                  <v:textbox inset="0,0,0,0">
                    <w:txbxContent>
                      <w:p w14:paraId="0606B420" w14:textId="77777777" w:rsidR="00B32EF2" w:rsidRDefault="00000000">
                        <w:r>
                          <w:rPr>
                            <w:rFonts w:ascii="Arial" w:eastAsia="Arial" w:hAnsi="Arial" w:cs="Arial"/>
                            <w:sz w:val="18"/>
                          </w:rPr>
                          <w:t>meno di due magistrati o giudici tributari.</w:t>
                        </w:r>
                      </w:p>
                    </w:txbxContent>
                  </v:textbox>
                </v:rect>
                <v:rect id="Rectangle 202368" o:spid="_x0000_s6967" style="position:absolute;left:26354;top:42700;width:52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88FxAAAAN8AAAAPAAAAZHJzL2Rvd25yZXYueG1sRE9Ni8Iw&#10;EL0v+B/CCN7W1Aoi1SiiiD14WVfB49CMbbWZhCbaur9+c1jY4+N9L9e9acSLWl9bVjAZJyCIC6tr&#10;LhWcv/efcxA+IGtsLJOCN3lYrwYfS8y07fiLXqdQihjCPkMFVQguk9IXFRn0Y+uII3ezrcEQYVtK&#10;3WIXw00j0ySZSYM1x4YKHW0rKh6np1Fw3bHL950sbj9bd7zn8+bwPF+UGg37zQJEoD78i//cuVaQ&#10;Jul0FgfHP/ELyNUvAAAA//8DAFBLAQItABQABgAIAAAAIQDb4fbL7gAAAIUBAAATAAAAAAAAAAAA&#10;AAAAAAAAAABbQ29udGVudF9UeXBlc10ueG1sUEsBAi0AFAAGAAgAAAAhAFr0LFu/AAAAFQEAAAsA&#10;AAAAAAAAAAAAAAAAHwEAAF9yZWxzLy5yZWxzUEsBAi0AFAAGAAgAAAAhADZTzwXEAAAA3wAAAA8A&#10;AAAAAAAAAAAAAAAABwIAAGRycy9kb3ducmV2LnhtbFBLBQYAAAAAAwADALcAAAD4AgAAAAA=&#10;" filled="f" stroked="f">
                  <v:textbox inset="0,0,0,0">
                    <w:txbxContent>
                      <w:p w14:paraId="01004A0E" w14:textId="77777777" w:rsidR="00B32EF2" w:rsidRDefault="00000000">
                        <w:r>
                          <w:rPr>
                            <w:rFonts w:ascii="Arial" w:eastAsia="Arial" w:hAnsi="Arial" w:cs="Arial"/>
                            <w:sz w:val="18"/>
                          </w:rPr>
                          <w:t>6</w:t>
                        </w:r>
                      </w:p>
                    </w:txbxContent>
                  </v:textbox>
                </v:rect>
                <v:rect id="Rectangle 202369" o:spid="_x0000_s6968" style="position:absolute;left:-12833;top:42700;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2qexwAAAN8AAAAPAAAAZHJzL2Rvd25yZXYueG1sRI9Ba8JA&#10;FITvBf/D8oTedNMUxKauUhQxBy9VCz0+ss8kmn27ZFcT/fVuQehxmJlvmNmiN424UutrywrexgkI&#10;4sLqmksFh/16NAXhA7LGxjIpuJGHxXzwMsNM246/6boLpYgQ9hkqqEJwmZS+qMigH1tHHL2jbQ2G&#10;KNtS6ha7CDeNTJNkIg3WHBcqdLSsqDjvLkbB74pdvu5kcbwv3faUT5vN5fCj1Ouw//oEEagP/+Fn&#10;O9cK0iR9n3zA35/4BeT8AQAA//8DAFBLAQItABQABgAIAAAAIQDb4fbL7gAAAIUBAAATAAAAAAAA&#10;AAAAAAAAAAAAAABbQ29udGVudF9UeXBlc10ueG1sUEsBAi0AFAAGAAgAAAAhAFr0LFu/AAAAFQEA&#10;AAsAAAAAAAAAAAAAAAAAHwEAAF9yZWxzLy5yZWxzUEsBAi0AFAAGAAgAAAAhAFkfap7HAAAA3wAA&#10;AA8AAAAAAAAAAAAAAAAABwIAAGRycy9kb3ducmV2LnhtbFBLBQYAAAAAAwADALcAAAD7AgAAAAA=&#10;" filled="f" stroked="f">
                  <v:textbox inset="0,0,0,0">
                    <w:txbxContent>
                      <w:p w14:paraId="58C04F4F" w14:textId="77777777" w:rsidR="00B32EF2" w:rsidRDefault="00000000">
                        <w:r>
                          <w:rPr>
                            <w:rFonts w:ascii="Arial" w:eastAsia="Arial" w:hAnsi="Arial" w:cs="Arial"/>
                            <w:sz w:val="18"/>
                          </w:rPr>
                          <w:t>. Ogni corte in composizione collegiale è presieduta dal presidente della se</w:t>
                        </w:r>
                      </w:p>
                    </w:txbxContent>
                  </v:textbox>
                </v:rect>
                <v:rect id="Rectangle 23255" o:spid="_x0000_s6969" style="position:absolute;left:193;top:427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a2AxwAAAN4AAAAPAAAAZHJzL2Rvd25yZXYueG1sRI9Pa8JA&#10;FMTvgt9heYI33TRikegqxSLNoRf/gcdH9pmkzb5dsqtJ++m7QsHjMDO/YVab3jTiTq2vLSt4mSYg&#10;iAuray4VnI67yQKED8gaG8uk4Ic8bNbDwQozbTve0/0QShEh7DNUUIXgMil9UZFBP7WOOHpX2xoM&#10;Ubal1C12EW4amSbJqzRYc1yo0NG2ouL7cDMKLu/s8l0ni+vv1n1+5Yvm43Y6KzUe9W9LEIH68Az/&#10;t3OtIJ2l8zk87sQrINd/AAAA//8DAFBLAQItABQABgAIAAAAIQDb4fbL7gAAAIUBAAATAAAAAAAA&#10;AAAAAAAAAAAAAABbQ29udGVudF9UeXBlc10ueG1sUEsBAi0AFAAGAAgAAAAhAFr0LFu/AAAAFQEA&#10;AAsAAAAAAAAAAAAAAAAAHwEAAF9yZWxzLy5yZWxzUEsBAi0AFAAGAAgAAAAhAIDRrYDHAAAA3gAA&#10;AA8AAAAAAAAAAAAAAAAABwIAAGRycy9kb3ducmV2LnhtbFBLBQYAAAAAAwADALcAAAD7AgAAAAA=&#10;" filled="f" stroked="f">
                  <v:textbox inset="0,0,0,0">
                    <w:txbxContent>
                      <w:p w14:paraId="3BE9FD78" w14:textId="77777777" w:rsidR="00B32EF2" w:rsidRDefault="00000000">
                        <w:r>
                          <w:rPr>
                            <w:rFonts w:ascii="Arial" w:eastAsia="Arial" w:hAnsi="Arial" w:cs="Arial"/>
                            <w:sz w:val="18"/>
                          </w:rPr>
                          <w:t>-</w:t>
                        </w:r>
                      </w:p>
                    </w:txbxContent>
                  </v:textbox>
                </v:rect>
                <v:rect id="Rectangle 23256" o:spid="_x0000_s6970" style="position:absolute;left:-9524;top:41466;width:494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zP3xwAAAN4AAAAPAAAAZHJzL2Rvd25yZXYueG1sRI9Pa8JA&#10;FMTvgt9heYI33TRSkegqxSLNoZf6Bzw+ss8kbfbtkl1N2k/fFQSPw8z8hlltetOIG7W+tqzgZZqA&#10;IC6srrlUcDzsJgsQPiBrbCyTgl/ysFkPByvMtO34i277UIoIYZ+hgioEl0npi4oM+ql1xNG72NZg&#10;iLItpW6xi3DTyDRJ5tJgzXGhQkfbioqf/dUoOL+zy3edLC5/W/f5nS+aj+vxpNR41L8tQQTqwzP8&#10;aOdaQTpLX+dwvxOvgFz/AwAA//8DAFBLAQItABQABgAIAAAAIQDb4fbL7gAAAIUBAAATAAAAAAAA&#10;AAAAAAAAAAAAAABbQ29udGVudF9UeXBlc10ueG1sUEsBAi0AFAAGAAgAAAAhAFr0LFu/AAAAFQEA&#10;AAsAAAAAAAAAAAAAAAAAHwEAAF9yZWxzLy5yZWxzUEsBAi0AFAAGAAgAAAAhAHADM/fHAAAA3gAA&#10;AA8AAAAAAAAAAAAAAAAABwIAAGRycy9kb3ducmV2LnhtbFBLBQYAAAAAAwADALcAAAD7AgAAAAA=&#10;" filled="f" stroked="f">
                  <v:textbox inset="0,0,0,0">
                    <w:txbxContent>
                      <w:p w14:paraId="136A3CCA" w14:textId="77777777" w:rsidR="00B32EF2" w:rsidRDefault="00000000">
                        <w:r>
                          <w:rPr>
                            <w:rFonts w:ascii="Arial" w:eastAsia="Arial" w:hAnsi="Arial" w:cs="Arial"/>
                            <w:sz w:val="18"/>
                          </w:rPr>
                          <w:t>zione o dal vicepresidente e giudica con numero invariabile di tre votanti.</w:t>
                        </w:r>
                      </w:p>
                    </w:txbxContent>
                  </v:textbox>
                </v:rect>
                <v:rect id="Rectangle 202367" o:spid="_x0000_s6971" style="position:absolute;left:-13696;top:402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Ft3xwAAAN8AAAAPAAAAZHJzL2Rvd25yZXYueG1sRI9Ba8JA&#10;FITvQv/D8gredGMEK9FVRBFz6EVrweMj+0zSZt8u2dWk/fVdoeBxmJlvmOW6N424U+trywom4wQE&#10;cWF1zaWC88d+NAfhA7LGxjIp+CEP69XLYImZth0f6X4KpYgQ9hkqqEJwmZS+qMigH1tHHL2rbQ2G&#10;KNtS6ha7CDeNTJNkJg3WHBcqdLStqPg+3YyCy45dvu9kcf3duvevfN4cbudPpYav/WYBIlAfnuH/&#10;dq4VpEk6nb3B40/8AnL1BwAA//8DAFBLAQItABQABgAIAAAAIQDb4fbL7gAAAIUBAAATAAAAAAAA&#10;AAAAAAAAAAAAAABbQ29udGVudF9UeXBlc10ueG1sUEsBAi0AFAAGAAgAAAAhAFr0LFu/AAAAFQEA&#10;AAsAAAAAAAAAAAAAAAAAHwEAAF9yZWxzLy5yZWxzUEsBAi0AFAAGAAgAAAAhAEfMW3fHAAAA3wAA&#10;AA8AAAAAAAAAAAAAAAAABwIAAGRycy9kb3ducmV2LnhtbFBLBQYAAAAAAwADALcAAAD7AgAAAAA=&#10;" filled="f" stroked="f">
                  <v:textbox inset="0,0,0,0">
                    <w:txbxContent>
                      <w:p w14:paraId="4AA56539" w14:textId="77777777" w:rsidR="00B32EF2" w:rsidRDefault="00000000">
                        <w:r>
                          <w:rPr>
                            <w:rFonts w:ascii="Arial" w:eastAsia="Arial" w:hAnsi="Arial" w:cs="Arial"/>
                            <w:sz w:val="18"/>
                          </w:rPr>
                          <w:t xml:space="preserve">. Se in una sezione mancano i componenti necessari per costituire il collegio </w:t>
                        </w:r>
                      </w:p>
                    </w:txbxContent>
                  </v:textbox>
                </v:rect>
                <v:rect id="Rectangle 202366" o:spid="_x0000_s6972" style="position:absolute;left:26111;top:402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P7sxwAAAN8AAAAPAAAAZHJzL2Rvd25yZXYueG1sRI9Ba8JA&#10;FITvBf/D8gRvdWMKQVJXKYo0By9VCz0+ss8kbfbtkl1N9Nd3BcHjMDPfMIvVYFpxoc43lhXMpgkI&#10;4tLqhisFx8P2dQ7CB2SNrWVScCUPq+XoZYG5tj1/0WUfKhEh7HNUUIfgcil9WZNBP7WOOHon2xkM&#10;UXaV1B32EW5amSZJJg02HBdqdLSuqfzbn42Cnw27YtvL8nRbu91vMW8/z8dvpSbj4eMdRKAhPMOP&#10;dqEVpEn6lmVw/xO/gFz+AwAA//8DAFBLAQItABQABgAIAAAAIQDb4fbL7gAAAIUBAAATAAAAAAAA&#10;AAAAAAAAAAAAAABbQ29udGVudF9UeXBlc10ueG1sUEsBAi0AFAAGAAgAAAAhAFr0LFu/AAAAFQEA&#10;AAsAAAAAAAAAAAAAAAAAHwEAAF9yZWxzLy5yZWxzUEsBAi0AFAAGAAgAAAAhACiA/uzHAAAA3wAA&#10;AA8AAAAAAAAAAAAAAAAABwIAAGRycy9kb3ducmV2LnhtbFBLBQYAAAAAAwADALcAAAD7AgAAAAA=&#10;" filled="f" stroked="f">
                  <v:textbox inset="0,0,0,0">
                    <w:txbxContent>
                      <w:p w14:paraId="330F57CE" w14:textId="77777777" w:rsidR="00B32EF2" w:rsidRDefault="00000000">
                        <w:r>
                          <w:rPr>
                            <w:rFonts w:ascii="Arial" w:eastAsia="Arial" w:hAnsi="Arial" w:cs="Arial"/>
                            <w:sz w:val="18"/>
                          </w:rPr>
                          <w:t>7</w:t>
                        </w:r>
                      </w:p>
                    </w:txbxContent>
                  </v:textbox>
                </v:rect>
                <v:rect id="Rectangle 23258" o:spid="_x0000_s6973" style="position:absolute;left:-13172;top:39000;width:53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AIexAAAAN4AAAAPAAAAZHJzL2Rvd25yZXYueG1sRE/LisIw&#10;FN0P+A/hCu7G1A4zSDWKKDJduBkf4PLSXNtqcxOaaKtfP1kMzPJw3vNlbxrxoNbXlhVMxgkI4sLq&#10;mksFx8P2fQrCB2SNjWVS8CQPy8XgbY6Zth3/0GMfShFD2GeooArBZVL6oiKDfmwdceQutjUYImxL&#10;qVvsYrhpZJokX9JgzbGhQkfriorb/m4UnDfs8m0ni8tr7XbXfNp8348npUbDfjUDEagP/+I/d64V&#10;pB/pZ9wb78QrIBe/AAAA//8DAFBLAQItABQABgAIAAAAIQDb4fbL7gAAAIUBAAATAAAAAAAAAAAA&#10;AAAAAAAAAABbQ29udGVudF9UeXBlc10ueG1sUEsBAi0AFAAGAAgAAAAhAFr0LFu/AAAAFQEAAAsA&#10;AAAAAAAAAAAAAAAAHwEAAF9yZWxzLy5yZWxzUEsBAi0AFAAGAAgAAAAhAG7QAh7EAAAA3gAAAA8A&#10;AAAAAAAAAAAAAAAABwIAAGRycy9kb3ducmV2LnhtbFBLBQYAAAAAAwADALcAAAD4AgAAAAA=&#10;" filled="f" stroked="f">
                  <v:textbox inset="0,0,0,0">
                    <w:txbxContent>
                      <w:p w14:paraId="4A48A966" w14:textId="77777777" w:rsidR="00B32EF2" w:rsidRDefault="00000000">
                        <w:r>
                          <w:rPr>
                            <w:rFonts w:ascii="Arial" w:eastAsia="Arial" w:hAnsi="Arial" w:cs="Arial"/>
                            <w:sz w:val="18"/>
                          </w:rPr>
                          <w:t xml:space="preserve">giudicante, il presidente della corte di giustizia tributaria designa i componenti </w:t>
                        </w:r>
                      </w:p>
                    </w:txbxContent>
                  </v:textbox>
                </v:rect>
                <v:rect id="Rectangle 23259" o:spid="_x0000_s6974" style="position:absolute;left:29681;top:37767;width:1023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KeFxwAAAN4AAAAPAAAAZHJzL2Rvd25yZXYueG1sRI9Ba8JA&#10;FITvgv9heUJvummKJU1dRRRpDr1oLfT4yD6TtNm3S3Y1qb++KxQ8DjPzDbNYDaYVF+p8Y1nB4ywB&#10;QVxa3XCl4Pixm2YgfEDW2FomBb/kYbUcjxaYa9vzni6HUIkIYZ+jgjoEl0vpy5oM+pl1xNE72c5g&#10;iLKrpO6wj3DTyjRJnqXBhuNCjY42NZU/h7NR8LVlV+x6WZ6uG/f+XWTt2/n4qdTDZFi/ggg0hHv4&#10;v11oBelTOn+B2514BeTyDwAA//8DAFBLAQItABQABgAIAAAAIQDb4fbL7gAAAIUBAAATAAAAAAAA&#10;AAAAAAAAAAAAAABbQ29udGVudF9UeXBlc10ueG1sUEsBAi0AFAAGAAgAAAAhAFr0LFu/AAAAFQEA&#10;AAsAAAAAAAAAAAAAAAAAHwEAAF9yZWxzLy5yZWxzUEsBAi0AFAAGAAgAAAAhAAGcp4XHAAAA3gAA&#10;AA8AAAAAAAAAAAAAAAAABwIAAGRycy9kb3ducmV2LnhtbFBLBQYAAAAAAwADALcAAAD7AgAAAAA=&#10;" filled="f" stroked="f">
                  <v:textbox inset="0,0,0,0">
                    <w:txbxContent>
                      <w:p w14:paraId="317B9FE6" w14:textId="77777777" w:rsidR="00B32EF2" w:rsidRDefault="00000000">
                        <w:r>
                          <w:rPr>
                            <w:rFonts w:ascii="Arial" w:eastAsia="Arial" w:hAnsi="Arial" w:cs="Arial"/>
                            <w:sz w:val="18"/>
                          </w:rPr>
                          <w:t>di altre sezioni.</w:t>
                        </w:r>
                      </w:p>
                    </w:txbxContent>
                  </v:textbox>
                </v:rect>
                <v:rect id="Rectangle 23260" o:spid="_x0000_s6975" style="position:absolute;left:15609;top:35300;width:72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sSlxAAAAN4AAAAPAAAAZHJzL2Rvd25yZXYueG1sRI/NisIw&#10;FIX3A75DuIK7MbWCSDWKKGIXbsZRcHlprm21uQlNtHWefrIYmOXh/PEt171pxItaX1tWMBknIIgL&#10;q2suFZy/959zED4ga2wsk4I3eVivBh9LzLTt+Itep1CKOMI+QwVVCC6T0hcVGfRj64ijd7OtwRBl&#10;W0rdYhfHTSPTJJlJgzXHhwodbSsqHqenUXDdscv3nSxuP1t3vOfz5vA8X5QaDfvNAkSgPvyH/9q5&#10;VpBO01kEiDgRBeTqFwAA//8DAFBLAQItABQABgAIAAAAIQDb4fbL7gAAAIUBAAATAAAAAAAAAAAA&#10;AAAAAAAAAABbQ29udGVudF9UeXBlc10ueG1sUEsBAi0AFAAGAAgAAAAhAFr0LFu/AAAAFQEAAAsA&#10;AAAAAAAAAAAAAAAAHwEAAF9yZWxzLy5yZWxzUEsBAi0AFAAGAAgAAAAhAF7KxKXEAAAA3gAAAA8A&#10;AAAAAAAAAAAAAAAABwIAAGRycy9kb3ducmV2LnhtbFBLBQYAAAAAAwADALcAAAD4AgAAAAA=&#10;" filled="f" stroked="f">
                  <v:textbox inset="0,0,0,0">
                    <w:txbxContent>
                      <w:p w14:paraId="3D3EA0F9" w14:textId="77777777" w:rsidR="00B32EF2" w:rsidRDefault="00000000">
                        <w:r>
                          <w:rPr>
                            <w:rFonts w:ascii="Arial" w:eastAsia="Arial" w:hAnsi="Arial" w:cs="Arial"/>
                            <w:b/>
                            <w:sz w:val="18"/>
                          </w:rPr>
                          <w:t>Articolo 4</w:t>
                        </w:r>
                      </w:p>
                    </w:txbxContent>
                  </v:textbox>
                </v:rect>
                <v:rect id="Rectangle 202365" o:spid="_x0000_s6976" style="position:absolute;left:12164;top:34067;width:185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mCbxwAAAN8AAAAPAAAAZHJzL2Rvd25yZXYueG1sRI9Ba8JA&#10;FITvQv/D8gredGOkItFVRBFz6KXWgsdH9pmkzb5dsqtJ++u7guBxmJlvmOW6N424Uetrywom4wQE&#10;cWF1zaWC0+d+NAfhA7LGxjIp+CUP69XLYImZth1/0O0YShEh7DNUUIXgMil9UZFBP7aOOHoX2xoM&#10;Ubal1C12EW4amSbJTBqsOS5U6GhbUfFzvBoF5x27fN/J4vK3de/f+bw5XE9fSg1f+80CRKA+PMOP&#10;dq4VpEk6nb3B/U/8AnL1DwAA//8DAFBLAQItABQABgAIAAAAIQDb4fbL7gAAAIUBAAATAAAAAAAA&#10;AAAAAAAAAAAAAABbQ29udGVudF9UeXBlc10ueG1sUEsBAi0AFAAGAAgAAAAhAFr0LFu/AAAAFQEA&#10;AAsAAAAAAAAAAAAAAAAAHwEAAF9yZWxzLy5yZWxzUEsBAi0AFAAGAAgAAAAhANhSYJvHAAAA3wAA&#10;AA8AAAAAAAAAAAAAAAAABwIAAGRycy9kb3ducmV2LnhtbFBLBQYAAAAAAwADALcAAAD7AgAAAAA=&#10;" filled="f" stroked="f">
                  <v:textbox inset="0,0,0,0">
                    <w:txbxContent>
                      <w:p w14:paraId="1F3B29E8" w14:textId="77777777" w:rsidR="00B32EF2" w:rsidRDefault="00000000">
                        <w:r>
                          <w:rPr>
                            <w:rFonts w:ascii="Arial" w:eastAsia="Arial" w:hAnsi="Arial" w:cs="Arial"/>
                            <w:i/>
                            <w:sz w:val="18"/>
                          </w:rPr>
                          <w:t xml:space="preserve">articolo 3 D.lgs. n. </w:t>
                        </w:r>
                      </w:p>
                    </w:txbxContent>
                  </v:textbox>
                </v:rect>
                <v:rect id="Rectangle 202364" o:spid="_x0000_s6977" style="position:absolute;left:-1449;top:34067;width:185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sUAxwAAAN8AAAAPAAAAZHJzL2Rvd25yZXYueG1sRI9Ba8JA&#10;FITvQv/D8gredGMsItFVRBFz6KXWgsdH9pmkzb5dsqtJ++u7guBxmJlvmOW6N424Uetrywom4wQE&#10;cWF1zaWC0+d+NAfhA7LGxjIp+CUP69XLYImZth1/0O0YShEh7DNUUIXgMil9UZFBP7aOOHoX2xoM&#10;Ubal1C12EW4amSbJTBqsOS5U6GhbUfFzvBoF5x27fN/J4vK3de/f+bw5XE9fSg1f+80CRKA+PMOP&#10;dq4VpEk6nb3B/U/8AnL1DwAA//8DAFBLAQItABQABgAIAAAAIQDb4fbL7gAAAIUBAAATAAAAAAAA&#10;AAAAAAAAAAAAAABbQ29udGVudF9UeXBlc10ueG1sUEsBAi0AFAAGAAgAAAAhAFr0LFu/AAAAFQEA&#10;AAsAAAAAAAAAAAAAAAAAHwEAAF9yZWxzLy5yZWxzUEsBAi0AFAAGAAgAAAAhALcexQDHAAAA3wAA&#10;AA8AAAAAAAAAAAAAAAAABwIAAGRycy9kb3ducmV2LnhtbFBLBQYAAAAAAwADALcAAAD7AgAAAAA=&#10;" filled="f" stroked="f">
                  <v:textbox inset="0,0,0,0">
                    <w:txbxContent>
                      <w:p w14:paraId="536AF1E3" w14:textId="77777777" w:rsidR="00B32EF2" w:rsidRDefault="00000000">
                        <w:r>
                          <w:rPr>
                            <w:rFonts w:ascii="Arial" w:eastAsia="Arial" w:hAnsi="Arial" w:cs="Arial"/>
                            <w:i/>
                            <w:sz w:val="18"/>
                          </w:rPr>
                          <w:t>545/92)</w:t>
                        </w:r>
                      </w:p>
                    </w:txbxContent>
                  </v:textbox>
                </v:rect>
                <v:rect id="Rectangle 202363" o:spid="_x0000_s6978" style="position:absolute;left:22112;top:34067;width:185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110xwAAAN8AAAAPAAAAZHJzL2Rvd25yZXYueG1sRI9Pi8Iw&#10;FMTvC36H8IS9rakVRKpRRBF78LL+AY+P5tl2t3kJTbRdP/1mYcHjMDO/YRar3jTiQa2vLSsYjxIQ&#10;xIXVNZcKzqfdxwyED8gaG8uk4Ic8rJaDtwVm2nb8SY9jKEWEsM9QQRWCy6T0RUUG/cg64ujdbGsw&#10;RNmWUrfYRbhpZJokU2mw5rhQoaNNRcX38W4UXLfs8l0ni9tz4w5f+azZ388Xpd6H/XoOIlAfXuH/&#10;dq4VpEk6mU7g70/8AnL5CwAA//8DAFBLAQItABQABgAIAAAAIQDb4fbL7gAAAIUBAAATAAAAAAAA&#10;AAAAAAAAAAAAAABbQ29udGVudF9UeXBlc10ueG1sUEsBAi0AFAAGAAgAAAAhAFr0LFu/AAAAFQEA&#10;AAsAAAAAAAAAAAAAAAAAHwEAAF9yZWxzLy5yZWxzUEsBAi0AFAAGAAgAAAAhADj3XXTHAAAA3wAA&#10;AA8AAAAAAAAAAAAAAAAABwIAAGRycy9kb3ducmV2LnhtbFBLBQYAAAAAAwADALcAAAD7AgAAAAA=&#10;" filled="f" stroked="f">
                  <v:textbox inset="0,0,0,0">
                    <w:txbxContent>
                      <w:p w14:paraId="311CEAD6" w14:textId="77777777" w:rsidR="00B32EF2" w:rsidRDefault="00000000">
                        <w:r>
                          <w:rPr>
                            <w:rFonts w:ascii="Arial" w:eastAsia="Arial" w:hAnsi="Arial" w:cs="Arial"/>
                            <w:i/>
                            <w:sz w:val="18"/>
                          </w:rPr>
                          <w:t>(</w:t>
                        </w:r>
                      </w:p>
                    </w:txbxContent>
                  </v:textbox>
                </v:rect>
                <v:rect id="Rectangle 23262" o:spid="_x0000_s6979" style="position:absolute;left:-13028;top:32833;width:528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P9JxgAAAN4AAAAPAAAAZHJzL2Rvd25yZXYueG1sRI9Ba8JA&#10;FITvgv9heQVvumkEkdRVRBFz6KU2gsdH9pmkZt8u2dXE/vpuodDjMDPfMKvNYFrxoM43lhW8zhIQ&#10;xKXVDVcKis/DdAnCB2SNrWVS8CQPm/V4tMJM254/6HEKlYgQ9hkqqENwmZS+rMmgn1lHHL2r7QyG&#10;KLtK6g77CDetTJNkIQ02HBdqdLSrqbyd7kbBZc8uP/SyvH7v3PtXvmyP9+Ks1ORl2L6BCDSE//Bf&#10;O9cK0nm6SOH3TrwCcv0DAAD//wMAUEsBAi0AFAAGAAgAAAAhANvh9svuAAAAhQEAABMAAAAAAAAA&#10;AAAAAAAAAAAAAFtDb250ZW50X1R5cGVzXS54bWxQSwECLQAUAAYACAAAACEAWvQsW78AAAAVAQAA&#10;CwAAAAAAAAAAAAAAAAAfAQAAX3JlbHMvLnJlbHNQSwECLQAUAAYACAAAACEAwVT/ScYAAADeAAAA&#10;DwAAAAAAAAAAAAAAAAAHAgAAZHJzL2Rvd25yZXYueG1sUEsFBgAAAAADAAMAtwAAAPoCAAAAAA==&#10;" filled="f" stroked="f">
                  <v:textbox inset="0,0,0,0">
                    <w:txbxContent>
                      <w:p w14:paraId="24AC74B7" w14:textId="77777777" w:rsidR="00B32EF2" w:rsidRDefault="00000000">
                        <w:r>
                          <w:rPr>
                            <w:rFonts w:ascii="Arial" w:eastAsia="Arial" w:hAnsi="Arial" w:cs="Arial"/>
                            <w:b/>
                            <w:sz w:val="18"/>
                          </w:rPr>
                          <w:t xml:space="preserve">I presidenti delle corti di giustizia tributaria di primo e secondo grado e </w:t>
                        </w:r>
                      </w:p>
                    </w:txbxContent>
                  </v:textbox>
                </v:rect>
                <v:rect id="Rectangle 23263" o:spid="_x0000_s6980" style="position:absolute;left:13925;top:31600;width:96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FrSxgAAAN4AAAAPAAAAZHJzL2Rvd25yZXYueG1sRI9Ba8JA&#10;FITvhf6H5RW81U0jiERXKYqYQy9aBY+P7DOJZt8u2dXE/npXEHocZuYbZrboTSNu1PrasoKvYQKC&#10;uLC65lLB/nf9OQHhA7LGxjIpuJOHxfz9bYaZth1v6bYLpYgQ9hkqqEJwmZS+qMigH1pHHL2TbQ2G&#10;KNtS6ha7CDeNTJNkLA3WHBcqdLSsqLjsrkbBccUuX3eyOP0t3c85nzSb6/6g1OCj/56CCNSH//Cr&#10;nWsF6Sgdj+B5J14BOX8AAAD//wMAUEsBAi0AFAAGAAgAAAAhANvh9svuAAAAhQEAABMAAAAAAAAA&#10;AAAAAAAAAAAAAFtDb250ZW50X1R5cGVzXS54bWxQSwECLQAUAAYACAAAACEAWvQsW78AAAAVAQAA&#10;CwAAAAAAAAAAAAAAAAAfAQAAX3JlbHMvLnJlbHNQSwECLQAUAAYACAAAACEArhha0sYAAADeAAAA&#10;DwAAAAAAAAAAAAAAAAAHAgAAZHJzL2Rvd25yZXYueG1sUEsFBgAAAAADAAMAtwAAAPoCAAAAAA==&#10;" filled="f" stroked="f">
                  <v:textbox inset="0,0,0,0">
                    <w:txbxContent>
                      <w:p w14:paraId="19EAB754" w14:textId="77777777" w:rsidR="00B32EF2" w:rsidRDefault="00000000">
                        <w:r>
                          <w:rPr>
                            <w:rFonts w:ascii="Arial" w:eastAsia="Arial" w:hAnsi="Arial" w:cs="Arial"/>
                            <w:b/>
                            <w:sz w:val="18"/>
                          </w:rPr>
                          <w:t xml:space="preserve">delle sezioni </w:t>
                        </w:r>
                      </w:p>
                    </w:txbxContent>
                  </v:textbox>
                </v:rect>
                <v:rect id="Rectangle 202362" o:spid="_x0000_s6981" style="position:absolute;left:-13763;top:303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jvxwAAAN8AAAAPAAAAZHJzL2Rvd25yZXYueG1sRI9Ba8JA&#10;FITvBf/D8gRvdWMKItFVRJHm0IvWQo+P7DOJZt8u2dXE/npXEHocZuYbZrHqTSNu1PrasoLJOAFB&#10;XFhdc6ng+L17n4HwAVljY5kU3MnDajl4W2Cmbcd7uh1CKSKEfYYKqhBcJqUvKjLox9YRR+9kW4Mh&#10;yraUusUuwk0j0ySZSoM1x4UKHW0qKi6Hq1Hwu2WX7zpZnP427uucz5rP6/FHqdGwX89BBOrDf/jV&#10;zrWCNEk/pik8/8QvIJcPAAAA//8DAFBLAQItABQABgAIAAAAIQDb4fbL7gAAAIUBAAATAAAAAAAA&#10;AAAAAAAAAAAAAABbQ29udGVudF9UeXBlc10ueG1sUEsBAi0AFAAGAAgAAAAhAFr0LFu/AAAAFQEA&#10;AAsAAAAAAAAAAAAAAAAAHwEAAF9yZWxzLy5yZWxzUEsBAi0AFAAGAAgAAAAhAFe7+O/HAAAA3wAA&#10;AA8AAAAAAAAAAAAAAAAABwIAAGRycy9kb3ducmV2LnhtbFBLBQYAAAAAAwADALcAAAD7AgAAAAA=&#10;" filled="f" stroked="f">
                  <v:textbox inset="0,0,0,0">
                    <w:txbxContent>
                      <w:p w14:paraId="6254B6A6" w14:textId="77777777" w:rsidR="00B32EF2" w:rsidRDefault="00000000">
                        <w:r>
                          <w:rPr>
                            <w:rFonts w:ascii="Arial" w:eastAsia="Arial" w:hAnsi="Arial" w:cs="Arial"/>
                            <w:sz w:val="18"/>
                          </w:rPr>
                          <w:t xml:space="preserve">. I presidenti delle corti di giustizia tributaria di primo grado sono nominati tra </w:t>
                        </w:r>
                      </w:p>
                    </w:txbxContent>
                  </v:textbox>
                </v:rect>
                <v:rect id="Rectangle 202361" o:spid="_x0000_s6982" style="position:absolute;left:26109;top:30367;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WaYyAAAAN8AAAAPAAAAZHJzL2Rvd25yZXYueG1sRI9Pa8JA&#10;FMTvBb/D8oTe6sYURKIbEUWaQy+1Ch4f2Zc/mn27ZFeT9tN3C4Ueh5n5DbPejKYTD+p9a1nBfJaA&#10;IC6tbrlWcPo8vCxB+ICssbNMCr7IwyafPK0x03bgD3ocQy0ihH2GCpoQXCalLxsy6GfWEUevsr3B&#10;EGVfS93jEOGmk2mSLKTBluNCg452DZW3490ouOzZFYdBltX3zr1fi2X3dj+dlXqejtsViEBj+A//&#10;tQutIE3S18Ucfv/ELyDzHwAAAP//AwBQSwECLQAUAAYACAAAACEA2+H2y+4AAACFAQAAEwAAAAAA&#10;AAAAAAAAAAAAAAAAW0NvbnRlbnRfVHlwZXNdLnhtbFBLAQItABQABgAIAAAAIQBa9CxbvwAAABUB&#10;AAALAAAAAAAAAAAAAAAAAB8BAABfcmVscy8ucmVsc1BLAQItABQABgAIAAAAIQCnaWaYyAAAAN8A&#10;AAAPAAAAAAAAAAAAAAAAAAcCAABkcnMvZG93bnJldi54bWxQSwUGAAAAAAMAAwC3AAAA/AIAAAAA&#10;" filled="f" stroked="f">
                  <v:textbox inset="0,0,0,0">
                    <w:txbxContent>
                      <w:p w14:paraId="1A3855A2" w14:textId="77777777" w:rsidR="00B32EF2" w:rsidRDefault="00000000">
                        <w:r>
                          <w:rPr>
                            <w:rFonts w:ascii="Arial" w:eastAsia="Arial" w:hAnsi="Arial" w:cs="Arial"/>
                            <w:sz w:val="18"/>
                          </w:rPr>
                          <w:t>1</w:t>
                        </w:r>
                      </w:p>
                    </w:txbxContent>
                  </v:textbox>
                </v:rect>
                <v:rect id="Rectangle 23265" o:spid="_x0000_s6983" style="position:absolute;left:-13173;top:29133;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Wc9xwAAAN4AAAAPAAAAZHJzL2Rvd25yZXYueG1sRI9Pa8JA&#10;FMTvgt9heYI33TRSkegqxSLNoZf6Bzw+ss8kbfbtkl1N2k/fFQSPw8z8hlltetOIG7W+tqzgZZqA&#10;IC6srrlUcDzsJgsQPiBrbCyTgl/ysFkPByvMtO34i277UIoIYZ+hgioEl0npi4oM+ql1xNG72NZg&#10;iLItpW6xi3DTyDRJ5tJgzXGhQkfbioqf/dUoOL+zy3edLC5/W/f5nS+aj+vxpNR41L8tQQTqwzP8&#10;aOdaQTpL569wvxOvgFz/AwAA//8DAFBLAQItABQABgAIAAAAIQDb4fbL7gAAAIUBAAATAAAAAAAA&#10;AAAAAAAAAAAAAABbQ29udGVudF9UeXBlc10ueG1sUEsBAi0AFAAGAAgAAAAhAFr0LFu/AAAAFQEA&#10;AAsAAAAAAAAAAAAAAAAAHwEAAF9yZWxzLy5yZWxzUEsBAi0AFAAGAAgAAAAhAE69Zz3HAAAA3gAA&#10;AA8AAAAAAAAAAAAAAAAABwIAAGRycy9kb3ducmV2LnhtbFBLBQYAAAAAAwADALcAAAD7AgAAAAA=&#10;" filled="f" stroked="f">
                  <v:textbox inset="0,0,0,0">
                    <w:txbxContent>
                      <w:p w14:paraId="0F071B84" w14:textId="77777777" w:rsidR="00B32EF2" w:rsidRDefault="00000000">
                        <w:r>
                          <w:rPr>
                            <w:rFonts w:ascii="Arial" w:eastAsia="Arial" w:hAnsi="Arial" w:cs="Arial"/>
                            <w:sz w:val="18"/>
                          </w:rPr>
                          <w:t xml:space="preserve">i magistrati tributari ovvero tra quelli ordinari, amministrativi, contabili o militari, </w:t>
                        </w:r>
                      </w:p>
                    </w:txbxContent>
                  </v:textbox>
                </v:rect>
                <v:rect id="Rectangle 23266" o:spid="_x0000_s6984" style="position:absolute;left:-12205;top:27900;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KxwAAAN4AAAAPAAAAZHJzL2Rvd25yZXYueG1sRI9Ba8JA&#10;FITvBf/D8oTe6sYUgkQ3QRRpDr3UWujxkX0m0ezbJbuatL++Wyj0OMzMN8ymnEwv7jT4zrKC5SIB&#10;QVxb3XGj4PR+eFqB8AFZY2+ZFHyRh7KYPWww13bkN7ofQyMihH2OCtoQXC6lr1sy6BfWEUfvbAeD&#10;IcqhkXrAMcJNL9MkyaTBjuNCi452LdXX480o+Nyzqw6jrM/fO/d6qVb9y+30odTjfNquQQSawn/4&#10;r11pBelzmmXweydeAVn8AAAA//8DAFBLAQItABQABgAIAAAAIQDb4fbL7gAAAIUBAAATAAAAAAAA&#10;AAAAAAAAAAAAAABbQ29udGVudF9UeXBlc10ueG1sUEsBAi0AFAAGAAgAAAAhAFr0LFu/AAAAFQEA&#10;AAsAAAAAAAAAAAAAAAAAHwEAAF9yZWxzLy5yZWxzUEsBAi0AFAAGAAgAAAAhAL5v+UrHAAAA3gAA&#10;AA8AAAAAAAAAAAAAAAAABwIAAGRycy9kb3ducmV2LnhtbFBLBQYAAAAAAwADALcAAAD7AgAAAAA=&#10;" filled="f" stroked="f">
                  <v:textbox inset="0,0,0,0">
                    <w:txbxContent>
                      <w:p w14:paraId="78AF2FA1" w14:textId="77777777" w:rsidR="00B32EF2" w:rsidRDefault="00000000">
                        <w:r>
                          <w:rPr>
                            <w:rFonts w:ascii="Arial" w:eastAsia="Arial" w:hAnsi="Arial" w:cs="Arial"/>
                            <w:sz w:val="18"/>
                          </w:rPr>
                          <w:t>in servizio o a riposo, secondo la graduatoria redatta sulla base delle disposi</w:t>
                        </w:r>
                      </w:p>
                    </w:txbxContent>
                  </v:textbox>
                </v:rect>
                <v:rect id="Rectangle 23267" o:spid="_x0000_s6985" style="position:absolute;left:192;top:279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1zRxwAAAN4AAAAPAAAAZHJzL2Rvd25yZXYueG1sRI9Pa8JA&#10;FMTvgt9heYI33TSClegqxSLNoRf/gcdH9pmkzb5dsqtJ++m7QsHjMDO/YVab3jTiTq2vLSt4mSYg&#10;iAuray4VnI67yQKED8gaG8uk4Ic8bNbDwQozbTve0/0QShEh7DNUUIXgMil9UZFBP7WOOHpX2xoM&#10;Ubal1C12EW4amSbJXBqsOS5U6GhbUfF9uBkFl3d2+a6TxfV36z6/8kXzcTudlRqP+rcliEB9eIb/&#10;27lWkM7S+Ss87sQrINd/AAAA//8DAFBLAQItABQABgAIAAAAIQDb4fbL7gAAAIUBAAATAAAAAAAA&#10;AAAAAAAAAAAAAABbQ29udGVudF9UeXBlc10ueG1sUEsBAi0AFAAGAAgAAAAhAFr0LFu/AAAAFQEA&#10;AAsAAAAAAAAAAAAAAAAAHwEAAF9yZWxzLy5yZWxzUEsBAi0AFAAGAAgAAAAhANEjXNHHAAAA3gAA&#10;AA8AAAAAAAAAAAAAAAAABwIAAGRycy9kb3ducmV2LnhtbFBLBQYAAAAAAwADALcAAAD7AgAAAAA=&#10;" filled="f" stroked="f">
                  <v:textbox inset="0,0,0,0">
                    <w:txbxContent>
                      <w:p w14:paraId="22919FD3" w14:textId="77777777" w:rsidR="00B32EF2" w:rsidRDefault="00000000">
                        <w:r>
                          <w:rPr>
                            <w:rFonts w:ascii="Arial" w:eastAsia="Arial" w:hAnsi="Arial" w:cs="Arial"/>
                            <w:sz w:val="18"/>
                          </w:rPr>
                          <w:t>-</w:t>
                        </w:r>
                      </w:p>
                    </w:txbxContent>
                  </v:textbox>
                </v:rect>
                <v:rect id="Rectangle 23268" o:spid="_x0000_s6986" style="position:absolute;left:19101;top:26667;width:2081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MijwwAAAN4AAAAPAAAAZHJzL2Rvd25yZXYueG1sRE9Ni8Iw&#10;EL0v+B/CCN7W1Aoi1SiiiD14WVfB49CMbbWZhCbaur9+c1jY4+N9L9e9acSLWl9bVjAZJyCIC6tr&#10;LhWcv/efcxA+IGtsLJOCN3lYrwYfS8y07fiLXqdQihjCPkMFVQguk9IXFRn0Y+uII3ezrcEQYVtK&#10;3WIXw00j0ySZSYM1x4YKHW0rKh6np1Fw3bHL950sbj9bd7zn8+bwPF+UGg37zQJEoD78i//cuVaQ&#10;TtNZ3BvvxCsgV78AAAD//wMAUEsBAi0AFAAGAAgAAAAhANvh9svuAAAAhQEAABMAAAAAAAAAAAAA&#10;AAAAAAAAAFtDb250ZW50X1R5cGVzXS54bWxQSwECLQAUAAYACAAAACEAWvQsW78AAAAVAQAACwAA&#10;AAAAAAAAAAAAAAAfAQAAX3JlbHMvLnJlbHNQSwECLQAUAAYACAAAACEAoLzIo8MAAADeAAAADwAA&#10;AAAAAAAAAAAAAAAHAgAAZHJzL2Rvd25yZXYueG1sUEsFBgAAAAADAAMAtwAAAPcCAAAAAA==&#10;" filled="f" stroked="f">
                  <v:textbox inset="0,0,0,0">
                    <w:txbxContent>
                      <w:p w14:paraId="5AC1EE9A" w14:textId="77777777" w:rsidR="00B32EF2" w:rsidRDefault="00000000">
                        <w:r>
                          <w:rPr>
                            <w:rFonts w:ascii="Arial" w:eastAsia="Arial" w:hAnsi="Arial" w:cs="Arial"/>
                            <w:sz w:val="18"/>
                          </w:rPr>
                          <w:t>zioni contenute nell’articolo 17.</w:t>
                        </w:r>
                      </w:p>
                    </w:txbxContent>
                  </v:textbox>
                </v:rect>
                <v:rect id="Rectangle 202360" o:spid="_x0000_s6987" style="position:absolute;left:-13817;top:25434;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cMDxQAAAN8AAAAPAAAAZHJzL2Rvd25yZXYueG1sRI/NisIw&#10;FIX3A75DuIK7MbWCSDWKKGIXbsZRcHlprm21uQlNtHWefrIYmOXh/PEt171pxItaX1tWMBknIIgL&#10;q2suFZy/959zED4ga2wsk4I3eVivBh9LzLTt+Itep1CKOMI+QwVVCC6T0hcVGfRj64ijd7OtwRBl&#10;W0rdYhfHTSPTJJlJgzXHhwodbSsqHqenUXDdscv3nSxuP1t3vOfz5vA8X5QaDfvNAkSgPvyH/9q5&#10;VpAm6XQWCSJPZAG5+gUAAP//AwBQSwECLQAUAAYACAAAACEA2+H2y+4AAACFAQAAEwAAAAAAAAAA&#10;AAAAAAAAAAAAW0NvbnRlbnRfVHlwZXNdLnhtbFBLAQItABQABgAIAAAAIQBa9CxbvwAAABUBAAAL&#10;AAAAAAAAAAAAAAAAAB8BAABfcmVscy8ucmVsc1BLAQItABQABgAIAAAAIQDIJcMDxQAAAN8AAAAP&#10;AAAAAAAAAAAAAAAAAAcCAABkcnMvZG93bnJldi54bWxQSwUGAAAAAAMAAwC3AAAA+QIAAAAA&#10;" filled="f" stroked="f">
                  <v:textbox inset="0,0,0,0">
                    <w:txbxContent>
                      <w:p w14:paraId="4DDE6200" w14:textId="77777777" w:rsidR="00B32EF2" w:rsidRDefault="00000000">
                        <w:r>
                          <w:rPr>
                            <w:rFonts w:ascii="Arial" w:eastAsia="Arial" w:hAnsi="Arial" w:cs="Arial"/>
                            <w:sz w:val="18"/>
                          </w:rPr>
                          <w:t xml:space="preserve">. I presidenti di sezione delle corti di giustizia tributaria di primo grado sono </w:t>
                        </w:r>
                      </w:p>
                    </w:txbxContent>
                  </v:textbox>
                </v:rect>
                <v:rect id="Rectangle 202359" o:spid="_x0000_s6988" style="position:absolute;left:26110;top:25434;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6AjyAAAAN8AAAAPAAAAZHJzL2Rvd25yZXYueG1sRI9Ba8JA&#10;FITvgv9heUJvummKJU1dRRRpDr1oLfT4yD6TtNm3S3Y1qb++KxQ8DjPzDbNYDaYVF+p8Y1nB4ywB&#10;QVxa3XCl4Pixm2YgfEDW2FomBb/kYbUcjxaYa9vzni6HUIkIYZ+jgjoEl0vpy5oM+pl1xNE72c5g&#10;iLKrpO6wj3DTyjRJnqXBhuNCjY42NZU/h7NR8LVlV+x6WZ6uG/f+XWTt2/n4qdTDZFi/ggg0hHv4&#10;v11oBWmSPs1f4PYnfgG5/AMAAP//AwBQSwECLQAUAAYACAAAACEA2+H2y+4AAACFAQAAEwAAAAAA&#10;AAAAAAAAAAAAAAAAW0NvbnRlbnRfVHlwZXNdLnhtbFBLAQItABQABgAIAAAAIQBa9CxbvwAAABUB&#10;AAALAAAAAAAAAAAAAAAAAB8BAABfcmVscy8ucmVsc1BLAQItABQABgAIAAAAIQCXc6AjyAAAAN8A&#10;AAAPAAAAAAAAAAAAAAAAAAcCAABkcnMvZG93bnJldi54bWxQSwUGAAAAAAMAAwC3AAAA/AIAAAAA&#10;" filled="f" stroked="f">
                  <v:textbox inset="0,0,0,0">
                    <w:txbxContent>
                      <w:p w14:paraId="4883FF73" w14:textId="77777777" w:rsidR="00B32EF2" w:rsidRDefault="00000000">
                        <w:r>
                          <w:rPr>
                            <w:rFonts w:ascii="Arial" w:eastAsia="Arial" w:hAnsi="Arial" w:cs="Arial"/>
                            <w:sz w:val="18"/>
                          </w:rPr>
                          <w:t>2</w:t>
                        </w:r>
                      </w:p>
                    </w:txbxContent>
                  </v:textbox>
                </v:rect>
                <v:rect id="Rectangle 23270" o:spid="_x0000_s6989" style="position:absolute;left:-12209;top:24200;width:521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1J4xQAAAN4AAAAPAAAAZHJzL2Rvd25yZXYueG1sRI/LasJA&#10;FIb3Bd9hOIK7OjGFVqKjiCLNwk29gMtD5phEM2eGzGiiT99ZFLr8+W9882VvGvGg1teWFUzGCQji&#10;wuqaSwXHw/Z9CsIHZI2NZVLwJA/LxeBtjpm2Hf/QYx9KEUfYZ6igCsFlUvqiIoN+bB1x9C62NRii&#10;bEupW+ziuGlkmiSf0mDN8aFCR+uKitv+bhScN+zybSeLy2vtdtd82nzfjyelRsN+NQMRqA//4b92&#10;rhWkH+lXBIg4EQXk4hcAAP//AwBQSwECLQAUAAYACAAAACEA2+H2y+4AAACFAQAAEwAAAAAAAAAA&#10;AAAAAAAAAAAAW0NvbnRlbnRfVHlwZXNdLnhtbFBLAQItABQABgAIAAAAIQBa9CxbvwAAABUBAAAL&#10;AAAAAAAAAAAAAAAAAB8BAABfcmVscy8ucmVsc1BLAQItABQABgAIAAAAIQDbE1J4xQAAAN4AAAAP&#10;AAAAAAAAAAAAAAAAAAcCAABkcnMvZG93bnJldi54bWxQSwUGAAAAAAMAAwC3AAAA+QIAAAAA&#10;" filled="f" stroked="f">
                  <v:textbox inset="0,0,0,0">
                    <w:txbxContent>
                      <w:p w14:paraId="0DC071F9" w14:textId="77777777" w:rsidR="00B32EF2" w:rsidRDefault="00000000">
                        <w:r>
                          <w:rPr>
                            <w:rFonts w:ascii="Arial" w:eastAsia="Arial" w:hAnsi="Arial" w:cs="Arial"/>
                            <w:sz w:val="18"/>
                          </w:rPr>
                          <w:t>nominati tra i magistrati tributari ovvero tra quelli ordinari, amministrativi, con</w:t>
                        </w:r>
                      </w:p>
                    </w:txbxContent>
                  </v:textbox>
                </v:rect>
                <v:rect id="Rectangle 23271" o:spid="_x0000_s6990" style="position:absolute;left:192;top:2420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fjxwAAAN4AAAAPAAAAZHJzL2Rvd25yZXYueG1sRI9Pa8JA&#10;FMTvgt9heYI33ZiCldRVRJHm0Ev9Az0+ss8kbfbtkl1N7Kd3CwWPw8z8hlmue9OIG7W+tqxgNk1A&#10;EBdW11wqOB33kwUIH5A1NpZJwZ08rFfDwRIzbTv+pNshlCJC2GeooArBZVL6oiKDfmodcfQutjUY&#10;omxLqVvsItw0Mk2SuTRYc1yo0NG2ouLncDUKvnbs8n0ni8vv1n1854vm/Xo6KzUe9Zs3EIH68Az/&#10;t3OtIH1JX2fwdydeAbl6AAAA//8DAFBLAQItABQABgAIAAAAIQDb4fbL7gAAAIUBAAATAAAAAAAA&#10;AAAAAAAAAAAAAABbQ29udGVudF9UeXBlc10ueG1sUEsBAi0AFAAGAAgAAAAhAFr0LFu/AAAAFQEA&#10;AAsAAAAAAAAAAAAAAAAAHwEAAF9yZWxzLy5yZWxzUEsBAi0AFAAGAAgAAAAhALRf9+PHAAAA3gAA&#10;AA8AAAAAAAAAAAAAAAAABwIAAGRycy9kb3ducmV2LnhtbFBLBQYAAAAAAwADALcAAAD7AgAAAAA=&#10;" filled="f" stroked="f">
                  <v:textbox inset="0,0,0,0">
                    <w:txbxContent>
                      <w:p w14:paraId="193C1C83" w14:textId="77777777" w:rsidR="00B32EF2" w:rsidRDefault="00000000">
                        <w:r>
                          <w:rPr>
                            <w:rFonts w:ascii="Arial" w:eastAsia="Arial" w:hAnsi="Arial" w:cs="Arial"/>
                            <w:sz w:val="18"/>
                          </w:rPr>
                          <w:t>-</w:t>
                        </w:r>
                      </w:p>
                    </w:txbxContent>
                  </v:textbox>
                </v:rect>
                <v:rect id="Rectangle 23272" o:spid="_x0000_s6991" style="position:absolute;left:-13171;top:229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WmUxgAAAN4AAAAPAAAAZHJzL2Rvd25yZXYueG1sRI9Ba8JA&#10;FITvBf/D8gRvdWMKrURXEUWag5daBY+P7DOJZt8u2dVEf323UOhxmJlvmPmyN424U+trywom4wQE&#10;cWF1zaWCw/f2dQrCB2SNjWVS8CAPy8XgZY6Zth1/0X0fShEh7DNUUIXgMil9UZFBP7aOOHpn2xoM&#10;Ubal1C12EW4amSbJuzRYc1yo0NG6ouK6vxkFpw27fNvJ4vxcu90lnzaft8NRqdGwX81ABOrDf/iv&#10;nWsF6Vv6kcLvnXgF5OIHAAD//wMAUEsBAi0AFAAGAAgAAAAhANvh9svuAAAAhQEAABMAAAAAAAAA&#10;AAAAAAAAAAAAAFtDb250ZW50X1R5cGVzXS54bWxQSwECLQAUAAYACAAAACEAWvQsW78AAAAVAQAA&#10;CwAAAAAAAAAAAAAAAAAfAQAAX3JlbHMvLnJlbHNQSwECLQAUAAYACAAAACEARI1plMYAAADeAAAA&#10;DwAAAAAAAAAAAAAAAAAHAgAAZHJzL2Rvd25yZXYueG1sUEsFBgAAAAADAAMAtwAAAPoCAAAAAA==&#10;" filled="f" stroked="f">
                  <v:textbox inset="0,0,0,0">
                    <w:txbxContent>
                      <w:p w14:paraId="5B778ABD" w14:textId="77777777" w:rsidR="00B32EF2" w:rsidRDefault="00000000">
                        <w:r>
                          <w:rPr>
                            <w:rFonts w:ascii="Arial" w:eastAsia="Arial" w:hAnsi="Arial" w:cs="Arial"/>
                            <w:sz w:val="18"/>
                          </w:rPr>
                          <w:t xml:space="preserve">tabili o militari, in servizio o a riposo, secondo la graduatoria redatta sulla base </w:t>
                        </w:r>
                      </w:p>
                    </w:txbxContent>
                  </v:textbox>
                </v:rect>
                <v:rect id="Rectangle 23273" o:spid="_x0000_s6992" style="position:absolute;left:-13171;top:217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cwPxwAAAN4AAAAPAAAAZHJzL2Rvd25yZXYueG1sRI9Pa8JA&#10;FMTvBb/D8oTe6qYRrERXKRZpDl78Bx4f2WeSNvt2ya4m9dO7QsHjMDO/YebL3jTiSq2vLSt4HyUg&#10;iAuray4VHPbrtykIH5A1NpZJwR95WC4GL3PMtO14S9ddKEWEsM9QQRWCy6T0RUUG/cg64uidbWsw&#10;RNmWUrfYRbhpZJokE2mw5rhQoaNVRcXv7mIUnL7Y5etOFufbym1+8mnzfTkclXod9p8zEIH68Az/&#10;t3OtIB2nH2N43IlXQC7uAAAA//8DAFBLAQItABQABgAIAAAAIQDb4fbL7gAAAIUBAAATAAAAAAAA&#10;AAAAAAAAAAAAAABbQ29udGVudF9UeXBlc10ueG1sUEsBAi0AFAAGAAgAAAAhAFr0LFu/AAAAFQEA&#10;AAsAAAAAAAAAAAAAAAAAHwEAAF9yZWxzLy5yZWxzUEsBAi0AFAAGAAgAAAAhACvBzA/HAAAA3gAA&#10;AA8AAAAAAAAAAAAAAAAABwIAAGRycy9kb3ducmV2LnhtbFBLBQYAAAAAAwADALcAAAD7AgAAAAA=&#10;" filled="f" stroked="f">
                  <v:textbox inset="0,0,0,0">
                    <w:txbxContent>
                      <w:p w14:paraId="1D82945D" w14:textId="77777777" w:rsidR="00B32EF2" w:rsidRDefault="00000000">
                        <w:r>
                          <w:rPr>
                            <w:rFonts w:ascii="Arial" w:eastAsia="Arial" w:hAnsi="Arial" w:cs="Arial"/>
                            <w:sz w:val="18"/>
                          </w:rPr>
                          <w:t xml:space="preserve">delle disposizioni contenute nell’articolo 17. I vicepresidenti di sezione delle </w:t>
                        </w:r>
                      </w:p>
                    </w:txbxContent>
                  </v:textbox>
                </v:rect>
                <v:rect id="Rectangle 23274" o:spid="_x0000_s6993" style="position:absolute;left:-13171;top:205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FR7xwAAAN4AAAAPAAAAZHJzL2Rvd25yZXYueG1sRI9Ba8JA&#10;FITvgv9heUJvumkqraSuIoo0h160KfT4yD6TtNm3S3Y1qb++KxQ8DjPzDbNcD6YVF+p8Y1nB4ywB&#10;QVxa3XCloPjYTxcgfEDW2FomBb/kYb0aj5aYadvzgS7HUIkIYZ+hgjoEl0npy5oM+pl1xNE72c5g&#10;iLKrpO6wj3DTyjRJnqXBhuNCjY62NZU/x7NR8LVjl+97WZ6uW/f+nS/at3PxqdTDZNi8ggg0hHv4&#10;v51rBelT+jKH2514BeTqDwAA//8DAFBLAQItABQABgAIAAAAIQDb4fbL7gAAAIUBAAATAAAAAAAA&#10;AAAAAAAAAAAAAABbQ29udGVudF9UeXBlc10ueG1sUEsBAi0AFAAGAAgAAAAhAFr0LFu/AAAAFQEA&#10;AAsAAAAAAAAAAAAAAAAAHwEAAF9yZWxzLy5yZWxzUEsBAi0AFAAGAAgAAAAhAKQoVHvHAAAA3gAA&#10;AA8AAAAAAAAAAAAAAAAABwIAAGRycy9kb3ducmV2LnhtbFBLBQYAAAAAAwADALcAAAD7AgAAAAA=&#10;" filled="f" stroked="f">
                  <v:textbox inset="0,0,0,0">
                    <w:txbxContent>
                      <w:p w14:paraId="698926F0" w14:textId="77777777" w:rsidR="00B32EF2" w:rsidRDefault="00000000">
                        <w:r>
                          <w:rPr>
                            <w:rFonts w:ascii="Arial" w:eastAsia="Arial" w:hAnsi="Arial" w:cs="Arial"/>
                            <w:sz w:val="18"/>
                          </w:rPr>
                          <w:t xml:space="preserve">corti di giustizia tributaria di primo grado sono nominati tra i magistrati di cui al </w:t>
                        </w:r>
                      </w:p>
                    </w:txbxContent>
                  </v:textbox>
                </v:rect>
                <v:rect id="Rectangle 23275" o:spid="_x0000_s6994" style="position:absolute;left:-13172;top:192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PHgxwAAAN4AAAAPAAAAZHJzL2Rvd25yZXYueG1sRI9Ba8JA&#10;FITvgv9heUJvummKraSuIoo0h160KfT4yD6TtNm3S3Y1qb++KxQ8DjPzDbNcD6YVF+p8Y1nB4ywB&#10;QVxa3XCloPjYTxcgfEDW2FomBb/kYb0aj5aYadvzgS7HUIkIYZ+hgjoEl0npy5oM+pl1xNE72c5g&#10;iLKrpO6wj3DTyjRJnqXBhuNCjY62NZU/x7NR8LVjl+97WZ6uW/f+nS/at3PxqdTDZNi8ggg0hHv4&#10;v51rBelT+jKH2514BeTqDwAA//8DAFBLAQItABQABgAIAAAAIQDb4fbL7gAAAIUBAAATAAAAAAAA&#10;AAAAAAAAAAAAAABbQ29udGVudF9UeXBlc10ueG1sUEsBAi0AFAAGAAgAAAAhAFr0LFu/AAAAFQEA&#10;AAsAAAAAAAAAAAAAAAAAHwEAAF9yZWxzLy5yZWxzUEsBAi0AFAAGAAgAAAAhAMtk8eDHAAAA3gAA&#10;AA8AAAAAAAAAAAAAAAAABwIAAGRycy9kb3ducmV2LnhtbFBLBQYAAAAAAwADALcAAAD7AgAAAAA=&#10;" filled="f" stroked="f">
                  <v:textbox inset="0,0,0,0">
                    <w:txbxContent>
                      <w:p w14:paraId="348C4A32" w14:textId="77777777" w:rsidR="00B32EF2" w:rsidRDefault="00000000">
                        <w:r>
                          <w:rPr>
                            <w:rFonts w:ascii="Arial" w:eastAsia="Arial" w:hAnsi="Arial" w:cs="Arial"/>
                            <w:sz w:val="18"/>
                          </w:rPr>
                          <w:t xml:space="preserve">comma 1, ovvero tra i componenti che abbiano esercitato, per almeno cinque </w:t>
                        </w:r>
                      </w:p>
                    </w:txbxContent>
                  </v:textbox>
                </v:rect>
                <v:rect id="Rectangle 23276" o:spid="_x0000_s6995" style="position:absolute;left:-13172;top:180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m+XxwAAAN4AAAAPAAAAZHJzL2Rvd25yZXYueG1sRI9Pa8JA&#10;FMTvgt9heYI33TSClegqxSLNoRf/gcdH9pmkzb5dsqtJ++m7QsHjMDO/YVab3jTiTq2vLSt4mSYg&#10;iAuray4VnI67yQKED8gaG8uk4Ic8bNbDwQozbTve0/0QShEh7DNUUIXgMil9UZFBP7WOOHpX2xoM&#10;Ubal1C12EW4amSbJXBqsOS5U6GhbUfF9uBkFl3d2+a6TxfV36z6/8kXzcTudlRqP+rcliEB9eIb/&#10;27lWkM7S1zk87sQrINd/AAAA//8DAFBLAQItABQABgAIAAAAIQDb4fbL7gAAAIUBAAATAAAAAAAA&#10;AAAAAAAAAAAAAABbQ29udGVudF9UeXBlc10ueG1sUEsBAi0AFAAGAAgAAAAhAFr0LFu/AAAAFQEA&#10;AAsAAAAAAAAAAAAAAAAAHwEAAF9yZWxzLy5yZWxzUEsBAi0AFAAGAAgAAAAhADu2b5fHAAAA3gAA&#10;AA8AAAAAAAAAAAAAAAAABwIAAGRycy9kb3ducmV2LnhtbFBLBQYAAAAAAwADALcAAAD7AgAAAAA=&#10;" filled="f" stroked="f">
                  <v:textbox inset="0,0,0,0">
                    <w:txbxContent>
                      <w:p w14:paraId="008592D5" w14:textId="77777777" w:rsidR="00B32EF2" w:rsidRDefault="00000000">
                        <w:r>
                          <w:rPr>
                            <w:rFonts w:ascii="Arial" w:eastAsia="Arial" w:hAnsi="Arial" w:cs="Arial"/>
                            <w:sz w:val="18"/>
                          </w:rPr>
                          <w:t xml:space="preserve">anni, le funzioni di giudice tributario, purché in possesso del diploma di laurea </w:t>
                        </w:r>
                      </w:p>
                    </w:txbxContent>
                  </v:textbox>
                </v:rect>
                <v:rect id="Rectangle 23277" o:spid="_x0000_s6996" style="position:absolute;left:-13172;top:168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oMxwAAAN4AAAAPAAAAZHJzL2Rvd25yZXYueG1sRI9Pa8JA&#10;FMTvgt9heYI33TRClegqxSLNoZf6Bzw+ss8kbfbtkl1N2k/fFQSPw8z8hlltetOIG7W+tqzgZZqA&#10;IC6srrlUcDzsJgsQPiBrbCyTgl/ysFkPByvMtO34i277UIoIYZ+hgioEl0npi4oM+ql1xNG72NZg&#10;iLItpW6xi3DTyDRJXqXBmuNChY62FRU/+6tRcH5nl+86WVz+tu7zO180H9fjSanxqH9bggjUh2f4&#10;0c61gnSWzudwvxOvgFz/AwAA//8DAFBLAQItABQABgAIAAAAIQDb4fbL7gAAAIUBAAATAAAAAAAA&#10;AAAAAAAAAAAAAABbQ29udGVudF9UeXBlc10ueG1sUEsBAi0AFAAGAAgAAAAhAFr0LFu/AAAAFQEA&#10;AAsAAAAAAAAAAAAAAAAAHwEAAF9yZWxzLy5yZWxzUEsBAi0AFAAGAAgAAAAhAFT6ygzHAAAA3gAA&#10;AA8AAAAAAAAAAAAAAAAABwIAAGRycy9kb3ducmV2LnhtbFBLBQYAAAAAAwADALcAAAD7AgAAAAA=&#10;" filled="f" stroked="f">
                  <v:textbox inset="0,0,0,0">
                    <w:txbxContent>
                      <w:p w14:paraId="0F2FD7D6" w14:textId="77777777" w:rsidR="00B32EF2" w:rsidRDefault="00000000">
                        <w:r>
                          <w:rPr>
                            <w:rFonts w:ascii="Arial" w:eastAsia="Arial" w:hAnsi="Arial" w:cs="Arial"/>
                            <w:sz w:val="18"/>
                          </w:rPr>
                          <w:t xml:space="preserve">in giurisprudenza o in economia e commercio, secondo la graduatoria redatta </w:t>
                        </w:r>
                      </w:p>
                    </w:txbxContent>
                  </v:textbox>
                </v:rect>
                <v:rect id="Rectangle 23278" o:spid="_x0000_s6997" style="position:absolute;left:3307;top:15567;width:3661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V5+xAAAAN4AAAAPAAAAZHJzL2Rvd25yZXYueG1sRE/LisIw&#10;FN0P+A/hCu7G1A7MSDWKKDJduBkf4PLSXNtqcxOaaKtfP1kMzPJw3vNlbxrxoNbXlhVMxgkI4sLq&#10;mksFx8P2fQrCB2SNjWVS8CQPy8XgbY6Zth3/0GMfShFD2GeooArBZVL6oiKDfmwdceQutjUYImxL&#10;qVvsYrhpZJokn9JgzbGhQkfriorb/m4UnDfs8m0ni8tr7XbXfNp8348npUbDfjUDEagP/+I/d64V&#10;pB/pV9wb78QrIBe/AAAA//8DAFBLAQItABQABgAIAAAAIQDb4fbL7gAAAIUBAAATAAAAAAAAAAAA&#10;AAAAAAAAAABbQ29udGVudF9UeXBlc10ueG1sUEsBAi0AFAAGAAgAAAAhAFr0LFu/AAAAFQEAAAsA&#10;AAAAAAAAAAAAAAAAHwEAAF9yZWxzLy5yZWxzUEsBAi0AFAAGAAgAAAAhACVlXn7EAAAA3gAAAA8A&#10;AAAAAAAAAAAAAAAABwIAAGRycy9kb3ducmV2LnhtbFBLBQYAAAAAAwADALcAAAD4AgAAAAA=&#10;" filled="f" stroked="f">
                  <v:textbox inset="0,0,0,0">
                    <w:txbxContent>
                      <w:p w14:paraId="47E2DA71" w14:textId="77777777" w:rsidR="00B32EF2" w:rsidRDefault="00000000">
                        <w:r>
                          <w:rPr>
                            <w:rFonts w:ascii="Arial" w:eastAsia="Arial" w:hAnsi="Arial" w:cs="Arial"/>
                            <w:sz w:val="18"/>
                          </w:rPr>
                          <w:t>sulla base delle disposizioni contenute nell’articolo 17.</w:t>
                        </w:r>
                      </w:p>
                    </w:txbxContent>
                  </v:textbox>
                </v:rect>
                <v:rect id="Rectangle 202357" o:spid="_x0000_s6998" style="position:absolute;left:26110;top:14334;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JHKyAAAAN8AAAAPAAAAZHJzL2Rvd25yZXYueG1sRI9Ba8JA&#10;FITvgv9heUJvummKraSuIoo0h160KfT4yD6TtNm3S3Y1qb++KxQ8DjPzDbNcD6YVF+p8Y1nB4ywB&#10;QVxa3XCloPjYTxcgfEDW2FomBb/kYb0aj5aYadvzgS7HUIkIYZ+hgjoEl0npy5oM+pl1xNE72c5g&#10;iLKrpO6wj3DTyjRJnqXBhuNCjY62NZU/x7NR8LVjl+97WZ6uW/f+nS/at3PxqdTDZNi8ggg0hHv4&#10;v51rBWmSPs1f4PYnfgG5+gMAAP//AwBQSwECLQAUAAYACAAAACEA2+H2y+4AAACFAQAAEwAAAAAA&#10;AAAAAAAAAAAAAAAAW0NvbnRlbnRfVHlwZXNdLnhtbFBLAQItABQABgAIAAAAIQBa9CxbvwAAABUB&#10;AAALAAAAAAAAAAAAAAAAAB8BAABfcmVscy8ucmVsc1BLAQItABQABgAIAAAAIQCJoJHKyAAAAN8A&#10;AAAPAAAAAAAAAAAAAAAAAAcCAABkcnMvZG93bnJldi54bWxQSwUGAAAAAAMAAwC3AAAA/AIAAAAA&#10;" filled="f" stroked="f">
                  <v:textbox inset="0,0,0,0">
                    <w:txbxContent>
                      <w:p w14:paraId="7204F6E7" w14:textId="77777777" w:rsidR="00B32EF2" w:rsidRDefault="00000000">
                        <w:r>
                          <w:rPr>
                            <w:rFonts w:ascii="Arial" w:eastAsia="Arial" w:hAnsi="Arial" w:cs="Arial"/>
                            <w:sz w:val="18"/>
                          </w:rPr>
                          <w:t>3</w:t>
                        </w:r>
                      </w:p>
                    </w:txbxContent>
                  </v:textbox>
                </v:rect>
                <v:rect id="Rectangle 202358" o:spid="_x0000_s6999" style="position:absolute;left:-13812;top:14334;width:530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wW4xQAAAN8AAAAPAAAAZHJzL2Rvd25yZXYueG1sRE/LisIw&#10;FN0P+A/hCu7G1A4zSDWKKDJduBkf4PLSXNtqcxOaaKtfP1kMzPJw3vNlbxrxoNbXlhVMxgkI4sLq&#10;mksFx8P2fQrCB2SNjWVS8CQPy8XgbY6Zth3/0GMfShFD2GeooArBZVL6oiKDfmwdceQutjUYImxL&#10;qVvsYrhpZJokX9JgzbGhQkfriorb/m4UnDfs8m0ni8tr7XbXfNp8348npUbDfjUDEagP/+I/d64V&#10;pEn68RkHxz/xC8jFLwAAAP//AwBQSwECLQAUAAYACAAAACEA2+H2y+4AAACFAQAAEwAAAAAAAAAA&#10;AAAAAAAAAAAAW0NvbnRlbnRfVHlwZXNdLnhtbFBLAQItABQABgAIAAAAIQBa9CxbvwAAABUBAAAL&#10;AAAAAAAAAAAAAAAAAB8BAABfcmVscy8ucmVsc1BLAQItABQABgAIAAAAIQD4PwW4xQAAAN8AAAAP&#10;AAAAAAAAAAAAAAAAAAcCAABkcnMvZG93bnJldi54bWxQSwUGAAAAAAMAAwC3AAAA+QIAAAAA&#10;" filled="f" stroked="f">
                  <v:textbox inset="0,0,0,0">
                    <w:txbxContent>
                      <w:p w14:paraId="4629E4E0" w14:textId="77777777" w:rsidR="00B32EF2" w:rsidRDefault="00000000">
                        <w:r>
                          <w:rPr>
                            <w:rFonts w:ascii="Arial" w:eastAsia="Arial" w:hAnsi="Arial" w:cs="Arial"/>
                            <w:sz w:val="18"/>
                          </w:rPr>
                          <w:t xml:space="preserve">. I presidenti delle corti di giustizia tributaria di secondo grado sono nominati </w:t>
                        </w:r>
                      </w:p>
                    </w:txbxContent>
                  </v:textbox>
                </v:rect>
                <v:rect id="Rectangle 23280" o:spid="_x0000_s7000" style="position:absolute;left:-13171;top:13101;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iJfxQAAAN4AAAAPAAAAZHJzL2Rvd25yZXYueG1sRI/NasJA&#10;FIX3Bd9huAV3ddIIJaSOIoqYhZvaCC4vmWuSmrkzZEYTffrOotDl4fzxLVaj6cSdet9aVvA+S0AQ&#10;V1a3XCsov3dvGQgfkDV2lknBgzyslpOXBebaDvxF92OoRRxhn6OCJgSXS+mrhgz6mXXE0bvY3mCI&#10;sq+l7nGI46aTaZJ8SIMtx4cGHW0aqq7Hm1Fw3rIrdoOsLs+NO/wUWbe/lSelpq/j+hNEoDH8h//a&#10;hVaQztMsAkSciAJy+QsAAP//AwBQSwECLQAUAAYACAAAACEA2+H2y+4AAACFAQAAEwAAAAAAAAAA&#10;AAAAAAAAAAAAW0NvbnRlbnRfVHlwZXNdLnhtbFBLAQItABQABgAIAAAAIQBa9CxbvwAAABUBAAAL&#10;AAAAAAAAAAAAAAAAAB8BAABfcmVscy8ucmVsc1BLAQItABQABgAIAAAAIQDuxiJfxQAAAN4AAAAP&#10;AAAAAAAAAAAAAAAAAAcCAABkcnMvZG93bnJldi54bWxQSwUGAAAAAAMAAwC3AAAA+QIAAAAA&#10;" filled="f" stroked="f">
                  <v:textbox inset="0,0,0,0">
                    <w:txbxContent>
                      <w:p w14:paraId="7CBEAD29" w14:textId="77777777" w:rsidR="00B32EF2" w:rsidRDefault="00000000">
                        <w:r>
                          <w:rPr>
                            <w:rFonts w:ascii="Arial" w:eastAsia="Arial" w:hAnsi="Arial" w:cs="Arial"/>
                            <w:sz w:val="18"/>
                          </w:rPr>
                          <w:t xml:space="preserve">tra i magistrati tributari ovvero tra quelli ordinari, amministrativi, contabili o </w:t>
                        </w:r>
                      </w:p>
                    </w:txbxContent>
                  </v:textbox>
                </v:rect>
                <v:rect id="Rectangle 23281" o:spid="_x0000_s7001" style="position:absolute;left:-13172;top:118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ofExgAAAN4AAAAPAAAAZHJzL2Rvd25yZXYueG1sRI9Ba8JA&#10;FITvBf/D8gRvdWMECamrFEXMwYtWweMj+0zSZt8u2dXE/vpuodDjMDPfMMv1YFrxoM43lhXMpgkI&#10;4tLqhisF54/dawbCB2SNrWVS8CQP69XoZYm5tj0f6XEKlYgQ9jkqqENwuZS+rMmgn1pHHL2b7QyG&#10;KLtK6g77CDetTJNkIQ02HBdqdLSpqfw63Y2C65ZdsetlefveuMNnkbX7+/mi1GQ8vL+BCDSE//Bf&#10;u9AK0nmazeD3TrwCcvUDAAD//wMAUEsBAi0AFAAGAAgAAAAhANvh9svuAAAAhQEAABMAAAAAAAAA&#10;AAAAAAAAAAAAAFtDb250ZW50X1R5cGVzXS54bWxQSwECLQAUAAYACAAAACEAWvQsW78AAAAVAQAA&#10;CwAAAAAAAAAAAAAAAAAfAQAAX3JlbHMvLnJlbHNQSwECLQAUAAYACAAAACEAgYqHxMYAAADeAAAA&#10;DwAAAAAAAAAAAAAAAAAHAgAAZHJzL2Rvd25yZXYueG1sUEsFBgAAAAADAAMAtwAAAPoCAAAAAA==&#10;" filled="f" stroked="f">
                  <v:textbox inset="0,0,0,0">
                    <w:txbxContent>
                      <w:p w14:paraId="1300361C" w14:textId="77777777" w:rsidR="00B32EF2" w:rsidRDefault="00000000">
                        <w:r>
                          <w:rPr>
                            <w:rFonts w:ascii="Arial" w:eastAsia="Arial" w:hAnsi="Arial" w:cs="Arial"/>
                            <w:sz w:val="18"/>
                          </w:rPr>
                          <w:t xml:space="preserve">militari, in servizio o a riposo, secondo la graduatoria redatta sulla base delle </w:t>
                        </w:r>
                      </w:p>
                    </w:txbxContent>
                  </v:textbox>
                </v:rect>
                <v:rect id="Rectangle 23282" o:spid="_x0000_s7002" style="position:absolute;left:14300;top:10634;width:256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BmzxwAAAN4AAAAPAAAAZHJzL2Rvd25yZXYueG1sRI9Ba8JA&#10;FITvBf/D8oTe6qYpSEjdhKKIOXjRKvT4yD6TtNm3S3Y1sb++Wyj0OMzMN8yqnEwvbjT4zrKC50UC&#10;gri2uuNGwel9+5SB8AFZY2+ZFNzJQ1nMHlaYazvygW7H0IgIYZ+jgjYEl0vp65YM+oV1xNG72MFg&#10;iHJopB5wjHDTyzRJltJgx3GhRUfrluqv49Uo+Niwq7ajrC/fa7f/rLJ+dz2dlXqcT2+vIAJN4T/8&#10;1660gvQlzVL4vROvgCx+AAAA//8DAFBLAQItABQABgAIAAAAIQDb4fbL7gAAAIUBAAATAAAAAAAA&#10;AAAAAAAAAAAAAABbQ29udGVudF9UeXBlc10ueG1sUEsBAi0AFAAGAAgAAAAhAFr0LFu/AAAAFQEA&#10;AAsAAAAAAAAAAAAAAAAAHwEAAF9yZWxzLy5yZWxzUEsBAi0AFAAGAAgAAAAhAHFYGbPHAAAA3gAA&#10;AA8AAAAAAAAAAAAAAAAABwIAAGRycy9kb3ducmV2LnhtbFBLBQYAAAAAAwADALcAAAD7AgAAAAA=&#10;" filled="f" stroked="f">
                  <v:textbox inset="0,0,0,0">
                    <w:txbxContent>
                      <w:p w14:paraId="51E74B1A" w14:textId="77777777" w:rsidR="00B32EF2" w:rsidRDefault="00000000">
                        <w:r>
                          <w:rPr>
                            <w:rFonts w:ascii="Arial" w:eastAsia="Arial" w:hAnsi="Arial" w:cs="Arial"/>
                            <w:sz w:val="18"/>
                          </w:rPr>
                          <w:t>disposizioni contenute nell’articolo 17.</w:t>
                        </w:r>
                      </w:p>
                    </w:txbxContent>
                  </v:textbox>
                </v:rect>
                <v:rect id="Rectangle 202356" o:spid="_x0000_s7003" style="position:absolute;left:-13803;top:940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DRRxwAAAN8AAAAPAAAAZHJzL2Rvd25yZXYueG1sRI9Ba8JA&#10;FITvQv/D8gredGOkItFVRBFz6KXWgsdH9pmkzb5dsqtJ++u7guBxmJlvmOW6N424Uetrywom4wQE&#10;cWF1zaWC0+d+NAfhA7LGxjIp+CUP69XLYImZth1/0O0YShEh7DNUUIXgMil9UZFBP7aOOHoX2xoM&#10;Ubal1C12EW4amSbJTBqsOS5U6GhbUfFzvBoF5x27fN/J4vK3de/f+bw5XE9fSg1f+80CRKA+PMOP&#10;dq4VpEk6fZvB/U/8AnL1DwAA//8DAFBLAQItABQABgAIAAAAIQDb4fbL7gAAAIUBAAATAAAAAAAA&#10;AAAAAAAAAAAAAABbQ29udGVudF9UeXBlc10ueG1sUEsBAi0AFAAGAAgAAAAhAFr0LFu/AAAAFQEA&#10;AAsAAAAAAAAAAAAAAAAAHwEAAF9yZWxzLy5yZWxzUEsBAi0AFAAGAAgAAAAhAObsNFHHAAAA3wAA&#10;AA8AAAAAAAAAAAAAAAAABwIAAGRycy9kb3ducmV2LnhtbFBLBQYAAAAAAwADALcAAAD7AgAAAAA=&#10;" filled="f" stroked="f">
                  <v:textbox inset="0,0,0,0">
                    <w:txbxContent>
                      <w:p w14:paraId="737FDCAE" w14:textId="77777777" w:rsidR="00B32EF2" w:rsidRDefault="00000000">
                        <w:r>
                          <w:rPr>
                            <w:rFonts w:ascii="Arial" w:eastAsia="Arial" w:hAnsi="Arial" w:cs="Arial"/>
                            <w:sz w:val="18"/>
                          </w:rPr>
                          <w:t xml:space="preserve">. I presidenti di sezione delle corti di giustizia tributaria di secondo grado sono </w:t>
                        </w:r>
                      </w:p>
                    </w:txbxContent>
                  </v:textbox>
                </v:rect>
                <v:rect id="Rectangle 202355" o:spid="_x0000_s7004" style="position:absolute;left:26110;top:940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qomxwAAAN8AAAAPAAAAZHJzL2Rvd25yZXYueG1sRI9Ba8JA&#10;FITvQv/D8gredGPEItFVRBFz6EVrweMj+0zSZt8u2dWk/fVdoeBxmJlvmOW6N424U+trywom4wQE&#10;cWF1zaWC88d+NAfhA7LGxjIp+CEP69XLYImZth0f6X4KpYgQ9hkqqEJwmZS+qMigH1tHHL2rbQ2G&#10;KNtS6ha7CDeNTJPkTRqsOS5U6GhbUfF9uhkFlx27fN/J4vq7de9f+bw53M6fSg1f+80CRKA+PMP/&#10;7VwrSJN0OpvB40/8AnL1BwAA//8DAFBLAQItABQABgAIAAAAIQDb4fbL7gAAAIUBAAATAAAAAAAA&#10;AAAAAAAAAAAAAABbQ29udGVudF9UeXBlc10ueG1sUEsBAi0AFAAGAAgAAAAhAFr0LFu/AAAAFQEA&#10;AAsAAAAAAAAAAAAAAAAAHwEAAF9yZWxzLy5yZWxzUEsBAi0AFAAGAAgAAAAhABY+qibHAAAA3wAA&#10;AA8AAAAAAAAAAAAAAAAABwIAAGRycy9kb3ducmV2LnhtbFBLBQYAAAAAAwADALcAAAD7AgAAAAA=&#10;" filled="f" stroked="f">
                  <v:textbox inset="0,0,0,0">
                    <w:txbxContent>
                      <w:p w14:paraId="7AA61D38" w14:textId="77777777" w:rsidR="00B32EF2" w:rsidRDefault="00000000">
                        <w:r>
                          <w:rPr>
                            <w:rFonts w:ascii="Arial" w:eastAsia="Arial" w:hAnsi="Arial" w:cs="Arial"/>
                            <w:sz w:val="18"/>
                          </w:rPr>
                          <w:t>4</w:t>
                        </w:r>
                      </w:p>
                    </w:txbxContent>
                  </v:textbox>
                </v:rect>
                <v:rect id="Rectangle 23284" o:spid="_x0000_s7005" style="position:absolute;left:-12209;top:8167;width:521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cxwAAAN4AAAAPAAAAZHJzL2Rvd25yZXYueG1sRI9Ba8JA&#10;FITvBf/D8gRvdWMqJaSuUhRpDr1oFTw+ss8kbfbtkl1N7K93hUKPw8x8wyxWg2nFlTrfWFYwmyYg&#10;iEurG64UHL62zxkIH5A1tpZJwY08rJajpwXm2va8o+s+VCJC2OeooA7B5VL6siaDfmodcfTOtjMY&#10;ouwqqTvsI9y0Mk2SV2mw4bhQo6N1TeXP/mIUnDbsim0vy/Pv2n1+F1n7cTkclZqMh/c3EIGG8B/+&#10;axdaQfqSZnN43IlXQC7vAAAA//8DAFBLAQItABQABgAIAAAAIQDb4fbL7gAAAIUBAAATAAAAAAAA&#10;AAAAAAAAAAAAAABbQ29udGVudF9UeXBlc10ueG1sUEsBAi0AFAAGAAgAAAAhAFr0LFu/AAAAFQEA&#10;AAsAAAAAAAAAAAAAAAAAHwEAAF9yZWxzLy5yZWxzUEsBAi0AFAAGAAgAAAAhAJH9JFzHAAAA3gAA&#10;AA8AAAAAAAAAAAAAAAAABwIAAGRycy9kb3ducmV2LnhtbFBLBQYAAAAAAwADALcAAAD7AgAAAAA=&#10;" filled="f" stroked="f">
                  <v:textbox inset="0,0,0,0">
                    <w:txbxContent>
                      <w:p w14:paraId="30951131" w14:textId="77777777" w:rsidR="00B32EF2" w:rsidRDefault="00000000">
                        <w:r>
                          <w:rPr>
                            <w:rFonts w:ascii="Arial" w:eastAsia="Arial" w:hAnsi="Arial" w:cs="Arial"/>
                            <w:sz w:val="18"/>
                          </w:rPr>
                          <w:t>nominati tra i magistrati tributari ovvero tra quelli ordinari, amministrativi, con</w:t>
                        </w:r>
                      </w:p>
                    </w:txbxContent>
                  </v:textbox>
                </v:rect>
                <v:rect id="Rectangle 23285" o:spid="_x0000_s7006" style="position:absolute;left:192;top:8167;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HHxwAAAN4AAAAPAAAAZHJzL2Rvd25yZXYueG1sRI9Ba8JA&#10;FITvBf/D8gRvdWOKJaSuUhRpDr1oFTw+ss8kbfbtkl1N7K93hUKPw8x8wyxWg2nFlTrfWFYwmyYg&#10;iEurG64UHL62zxkIH5A1tpZJwY08rJajpwXm2va8o+s+VCJC2OeooA7B5VL6siaDfmodcfTOtjMY&#10;ouwqqTvsI9y0Mk2SV2mw4bhQo6N1TeXP/mIUnDbsim0vy/Pv2n1+F1n7cTkclZqMh/c3EIGG8B/+&#10;axdaQfqSZnN43IlXQC7vAAAA//8DAFBLAQItABQABgAIAAAAIQDb4fbL7gAAAIUBAAATAAAAAAAA&#10;AAAAAAAAAAAAAABbQ29udGVudF9UeXBlc10ueG1sUEsBAi0AFAAGAAgAAAAhAFr0LFu/AAAAFQEA&#10;AAsAAAAAAAAAAAAAAAAAHwEAAF9yZWxzLy5yZWxzUEsBAi0AFAAGAAgAAAAhAP6xgcfHAAAA3gAA&#10;AA8AAAAAAAAAAAAAAAAABwIAAGRycy9kb3ducmV2LnhtbFBLBQYAAAAAAwADALcAAAD7AgAAAAA=&#10;" filled="f" stroked="f">
                  <v:textbox inset="0,0,0,0">
                    <w:txbxContent>
                      <w:p w14:paraId="51D73112" w14:textId="77777777" w:rsidR="00B32EF2" w:rsidRDefault="00000000">
                        <w:r>
                          <w:rPr>
                            <w:rFonts w:ascii="Arial" w:eastAsia="Arial" w:hAnsi="Arial" w:cs="Arial"/>
                            <w:sz w:val="18"/>
                          </w:rPr>
                          <w:t>-</w:t>
                        </w:r>
                      </w:p>
                    </w:txbxContent>
                  </v:textbox>
                </v:rect>
                <v:rect id="Rectangle 23286" o:spid="_x0000_s7007" style="position:absolute;left:-13171;top:69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x+wxwAAAN4AAAAPAAAAZHJzL2Rvd25yZXYueG1sRI9Ba8JA&#10;FITvBf/D8oTe6sYUJEQ3QRRpDr3UWujxkX0m0ezbJbuatL++Wyj0OMzMN8ymnEwv7jT4zrKC5SIB&#10;QVxb3XGj4PR+eMpA+ICssbdMCr7IQ1nMHjaYazvyG92PoRERwj5HBW0ILpfS1y0Z9AvriKN3toPB&#10;EOXQSD3gGOGml2mSrKTBjuNCi452LdXX480o+Nyzqw6jrM/fO/d6qbL+5Xb6UOpxPm3XIAJN4T/8&#10;1660gvQ5zVbweydeAVn8AAAA//8DAFBLAQItABQABgAIAAAAIQDb4fbL7gAAAIUBAAATAAAAAAAA&#10;AAAAAAAAAAAAAABbQ29udGVudF9UeXBlc10ueG1sUEsBAi0AFAAGAAgAAAAhAFr0LFu/AAAAFQEA&#10;AAsAAAAAAAAAAAAAAAAAHwEAAF9yZWxzLy5yZWxzUEsBAi0AFAAGAAgAAAAhAA5jH7DHAAAA3gAA&#10;AA8AAAAAAAAAAAAAAAAABwIAAGRycy9kb3ducmV2LnhtbFBLBQYAAAAAAwADALcAAAD7AgAAAAA=&#10;" filled="f" stroked="f">
                  <v:textbox inset="0,0,0,0">
                    <w:txbxContent>
                      <w:p w14:paraId="6DA61BAD" w14:textId="77777777" w:rsidR="00B32EF2" w:rsidRDefault="00000000">
                        <w:r>
                          <w:rPr>
                            <w:rFonts w:ascii="Arial" w:eastAsia="Arial" w:hAnsi="Arial" w:cs="Arial"/>
                            <w:sz w:val="18"/>
                          </w:rPr>
                          <w:t xml:space="preserve">tabili o militari, in servizio o a riposo, secondo la graduatoria redatta sulla base </w:t>
                        </w:r>
                      </w:p>
                    </w:txbxContent>
                  </v:textbox>
                </v:rect>
                <v:rect id="Rectangle 23287" o:spid="_x0000_s7008" style="position:absolute;left:-13171;top:570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7orxwAAAN4AAAAPAAAAZHJzL2Rvd25yZXYueG1sRI9Ba8JA&#10;FITvBf/D8gRvdWMKNqSuUhRpDr1oFTw+ss8kbfbtkl1N7K93hUKPw8x8wyxWg2nFlTrfWFYwmyYg&#10;iEurG64UHL62zxkIH5A1tpZJwY08rJajpwXm2va8o+s+VCJC2OeooA7B5VL6siaDfmodcfTOtjMY&#10;ouwqqTvsI9y0Mk2SuTTYcFyo0dG6pvJnfzEKTht2xbaX5fl37T6/i6z9uByOSk3Gw/sbiEBD+A//&#10;tQutIH1Js1d43IlXQC7vAAAA//8DAFBLAQItABQABgAIAAAAIQDb4fbL7gAAAIUBAAATAAAAAAAA&#10;AAAAAAAAAAAAAABbQ29udGVudF9UeXBlc10ueG1sUEsBAi0AFAAGAAgAAAAhAFr0LFu/AAAAFQEA&#10;AAsAAAAAAAAAAAAAAAAAHwEAAF9yZWxzLy5yZWxzUEsBAi0AFAAGAAgAAAAhAGEvuivHAAAA3gAA&#10;AA8AAAAAAAAAAAAAAAAABwIAAGRycy9kb3ducmV2LnhtbFBLBQYAAAAAAwADALcAAAD7AgAAAAA=&#10;" filled="f" stroked="f">
                  <v:textbox inset="0,0,0,0">
                    <w:txbxContent>
                      <w:p w14:paraId="1C5F4032" w14:textId="77777777" w:rsidR="00B32EF2" w:rsidRDefault="00000000">
                        <w:r>
                          <w:rPr>
                            <w:rFonts w:ascii="Arial" w:eastAsia="Arial" w:hAnsi="Arial" w:cs="Arial"/>
                            <w:sz w:val="18"/>
                          </w:rPr>
                          <w:t xml:space="preserve">delle disposizioni contenute nell’articolo 17. I vicepresidenti di sezione delle </w:t>
                        </w:r>
                      </w:p>
                    </w:txbxContent>
                  </v:textbox>
                </v:rect>
                <v:rect id="Rectangle 23288" o:spid="_x0000_s7009" style="position:absolute;left:-13172;top:44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5ZxAAAAN4AAAAPAAAAZHJzL2Rvd25yZXYueG1sRE/Pa8Iw&#10;FL4P/B/CG3ib6SqM0hlFFLEHL3MVPD6aZ9vZvIQm2upfvxwGO358vxer0XTiTr1vLSt4nyUgiCur&#10;W64VlN+7twyED8gaO8uk4EEeVsvJywJzbQf+ovsx1CKGsM9RQROCy6X0VUMG/cw64shdbG8wRNjX&#10;Uvc4xHDTyTRJPqTBlmNDg442DVXX480oOG/ZFbtBVpfnxh1+iqzb38qTUtPXcf0JItAY/sV/7kIr&#10;SOdpFvfGO/EKyOUvAAAA//8DAFBLAQItABQABgAIAAAAIQDb4fbL7gAAAIUBAAATAAAAAAAAAAAA&#10;AAAAAAAAAABbQ29udGVudF9UeXBlc10ueG1sUEsBAi0AFAAGAAgAAAAhAFr0LFu/AAAAFQEAAAsA&#10;AAAAAAAAAAAAAAAAHwEAAF9yZWxzLy5yZWxzUEsBAi0AFAAGAAgAAAAhABCwLlnEAAAA3gAAAA8A&#10;AAAAAAAAAAAAAAAABwIAAGRycy9kb3ducmV2LnhtbFBLBQYAAAAAAwADALcAAAD4AgAAAAA=&#10;" filled="f" stroked="f">
                  <v:textbox inset="0,0,0,0">
                    <w:txbxContent>
                      <w:p w14:paraId="4BCCFB1A" w14:textId="77777777" w:rsidR="00B32EF2" w:rsidRDefault="00000000">
                        <w:r>
                          <w:rPr>
                            <w:rFonts w:ascii="Arial" w:eastAsia="Arial" w:hAnsi="Arial" w:cs="Arial"/>
                            <w:sz w:val="18"/>
                          </w:rPr>
                          <w:t xml:space="preserve">corti di giustizia tributaria di secondo grado sono nominati tra i magistrati di cui </w:t>
                        </w:r>
                      </w:p>
                    </w:txbxContent>
                  </v:textbox>
                </v:rect>
                <w10:anchorlock/>
              </v:group>
            </w:pict>
          </mc:Fallback>
        </mc:AlternateContent>
      </w:r>
    </w:p>
    <w:p w14:paraId="3C3E5121" w14:textId="77777777" w:rsidR="00B32EF2" w:rsidRDefault="00000000">
      <w:pPr>
        <w:spacing w:after="0"/>
        <w:ind w:left="-357" w:right="-306"/>
      </w:pPr>
      <w:r>
        <w:rPr>
          <w:noProof/>
        </w:rPr>
        <w:lastRenderedPageBreak/>
        <mc:AlternateContent>
          <mc:Choice Requires="wpg">
            <w:drawing>
              <wp:inline distT="0" distB="0" distL="0" distR="0" wp14:anchorId="4AF4E9D7" wp14:editId="30BBC063">
                <wp:extent cx="3992282" cy="6262854"/>
                <wp:effectExtent l="0" t="0" r="0" b="0"/>
                <wp:docPr id="202470" name="Group 202470"/>
                <wp:cNvGraphicFramePr/>
                <a:graphic xmlns:a="http://schemas.openxmlformats.org/drawingml/2006/main">
                  <a:graphicData uri="http://schemas.microsoft.com/office/word/2010/wordprocessingGroup">
                    <wpg:wgp>
                      <wpg:cNvGrpSpPr/>
                      <wpg:grpSpPr>
                        <a:xfrm>
                          <a:off x="0" y="0"/>
                          <a:ext cx="3992282" cy="6262854"/>
                          <a:chOff x="0" y="0"/>
                          <a:chExt cx="3992282" cy="6262854"/>
                        </a:xfrm>
                      </wpg:grpSpPr>
                      <wps:wsp>
                        <wps:cNvPr id="23314" name="Rectangle 23314"/>
                        <wps:cNvSpPr/>
                        <wps:spPr>
                          <a:xfrm rot="-10799999">
                            <a:off x="1900968" y="-62190"/>
                            <a:ext cx="178369" cy="250646"/>
                          </a:xfrm>
                          <a:prstGeom prst="rect">
                            <a:avLst/>
                          </a:prstGeom>
                          <a:ln>
                            <a:noFill/>
                          </a:ln>
                        </wps:spPr>
                        <wps:txbx>
                          <w:txbxContent>
                            <w:p w14:paraId="0965A81A" w14:textId="77777777" w:rsidR="00B32EF2" w:rsidRDefault="00000000">
                              <w:r>
                                <w:rPr>
                                  <w:rFonts w:ascii="Times New Roman" w:eastAsia="Times New Roman" w:hAnsi="Times New Roman" w:cs="Times New Roman"/>
                                </w:rPr>
                                <w:t>15</w:t>
                              </w:r>
                            </w:p>
                          </w:txbxContent>
                        </wps:txbx>
                        <wps:bodyPr horzOverflow="overflow" vert="horz" lIns="0" tIns="0" rIns="0" bIns="0" rtlCol="0">
                          <a:noAutofit/>
                        </wps:bodyPr>
                      </wps:wsp>
                      <wps:wsp>
                        <wps:cNvPr id="202462" name="Rectangle 202462"/>
                        <wps:cNvSpPr/>
                        <wps:spPr>
                          <a:xfrm rot="-10799999">
                            <a:off x="2635774" y="6119964"/>
                            <a:ext cx="5211014" cy="142890"/>
                          </a:xfrm>
                          <a:prstGeom prst="rect">
                            <a:avLst/>
                          </a:prstGeom>
                          <a:ln>
                            <a:noFill/>
                          </a:ln>
                        </wps:spPr>
                        <wps:txbx>
                          <w:txbxContent>
                            <w:p w14:paraId="2DC86216" w14:textId="77777777" w:rsidR="00B32EF2" w:rsidRDefault="00000000">
                              <w:r>
                                <w:rPr>
                                  <w:rFonts w:ascii="Arial" w:eastAsia="Arial" w:hAnsi="Arial" w:cs="Arial"/>
                                  <w:sz w:val="18"/>
                                </w:rPr>
                                <w:t>6</w:t>
                              </w:r>
                            </w:p>
                          </w:txbxContent>
                        </wps:txbx>
                        <wps:bodyPr horzOverflow="overflow" vert="horz" lIns="0" tIns="0" rIns="0" bIns="0" rtlCol="0">
                          <a:noAutofit/>
                        </wps:bodyPr>
                      </wps:wsp>
                      <wps:wsp>
                        <wps:cNvPr id="202464" name="Rectangle 202464"/>
                        <wps:cNvSpPr/>
                        <wps:spPr>
                          <a:xfrm rot="-10799999">
                            <a:off x="-1283035" y="6119964"/>
                            <a:ext cx="5211014" cy="142890"/>
                          </a:xfrm>
                          <a:prstGeom prst="rect">
                            <a:avLst/>
                          </a:prstGeom>
                          <a:ln>
                            <a:noFill/>
                          </a:ln>
                        </wps:spPr>
                        <wps:txbx>
                          <w:txbxContent>
                            <w:p w14:paraId="55C70518" w14:textId="77777777" w:rsidR="00B32EF2" w:rsidRDefault="00000000">
                              <w:r>
                                <w:rPr>
                                  <w:rFonts w:ascii="Arial" w:eastAsia="Arial" w:hAnsi="Arial" w:cs="Arial"/>
                                  <w:sz w:val="18"/>
                                </w:rPr>
                                <w:t>. Alla istituzione di nuove corti di giustizia tributaria ed alle variazioni conse</w:t>
                              </w:r>
                            </w:p>
                          </w:txbxContent>
                        </wps:txbx>
                        <wps:bodyPr horzOverflow="overflow" vert="horz" lIns="0" tIns="0" rIns="0" bIns="0" rtlCol="0">
                          <a:noAutofit/>
                        </wps:bodyPr>
                      </wps:wsp>
                      <wps:wsp>
                        <wps:cNvPr id="23316" name="Rectangle 23316"/>
                        <wps:cNvSpPr/>
                        <wps:spPr>
                          <a:xfrm rot="-10799999">
                            <a:off x="19684" y="6119965"/>
                            <a:ext cx="50622" cy="142889"/>
                          </a:xfrm>
                          <a:prstGeom prst="rect">
                            <a:avLst/>
                          </a:prstGeom>
                          <a:ln>
                            <a:noFill/>
                          </a:ln>
                        </wps:spPr>
                        <wps:txbx>
                          <w:txbxContent>
                            <w:p w14:paraId="65040AB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317" name="Rectangle 23317"/>
                        <wps:cNvSpPr/>
                        <wps:spPr>
                          <a:xfrm rot="-10799999">
                            <a:off x="-1220115" y="5996634"/>
                            <a:ext cx="5212398" cy="142891"/>
                          </a:xfrm>
                          <a:prstGeom prst="rect">
                            <a:avLst/>
                          </a:prstGeom>
                          <a:ln>
                            <a:noFill/>
                          </a:ln>
                        </wps:spPr>
                        <wps:txbx>
                          <w:txbxContent>
                            <w:p w14:paraId="40C7180C" w14:textId="77777777" w:rsidR="00B32EF2" w:rsidRDefault="00000000">
                              <w:r>
                                <w:rPr>
                                  <w:rFonts w:ascii="Arial" w:eastAsia="Arial" w:hAnsi="Arial" w:cs="Arial"/>
                                  <w:sz w:val="18"/>
                                </w:rPr>
                                <w:t>guenti, in relazione a mutamenti dell’assetto provinciale e regionale del terri</w:t>
                              </w:r>
                            </w:p>
                          </w:txbxContent>
                        </wps:txbx>
                        <wps:bodyPr horzOverflow="overflow" vert="horz" lIns="0" tIns="0" rIns="0" bIns="0" rtlCol="0">
                          <a:noAutofit/>
                        </wps:bodyPr>
                      </wps:wsp>
                      <wps:wsp>
                        <wps:cNvPr id="23318" name="Rectangle 23318"/>
                        <wps:cNvSpPr/>
                        <wps:spPr>
                          <a:xfrm rot="-10799999">
                            <a:off x="19684" y="5996635"/>
                            <a:ext cx="50622" cy="142890"/>
                          </a:xfrm>
                          <a:prstGeom prst="rect">
                            <a:avLst/>
                          </a:prstGeom>
                          <a:ln>
                            <a:noFill/>
                          </a:ln>
                        </wps:spPr>
                        <wps:txbx>
                          <w:txbxContent>
                            <w:p w14:paraId="5E288FC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319" name="Rectangle 23319"/>
                        <wps:cNvSpPr/>
                        <wps:spPr>
                          <a:xfrm rot="-10799999">
                            <a:off x="-1316738" y="5873305"/>
                            <a:ext cx="5309021" cy="142889"/>
                          </a:xfrm>
                          <a:prstGeom prst="rect">
                            <a:avLst/>
                          </a:prstGeom>
                          <a:ln>
                            <a:noFill/>
                          </a:ln>
                        </wps:spPr>
                        <wps:txbx>
                          <w:txbxContent>
                            <w:p w14:paraId="6927FE0F" w14:textId="77777777" w:rsidR="00B32EF2" w:rsidRDefault="00000000">
                              <w:r>
                                <w:rPr>
                                  <w:rFonts w:ascii="Arial" w:eastAsia="Arial" w:hAnsi="Arial" w:cs="Arial"/>
                                  <w:sz w:val="18"/>
                                </w:rPr>
                                <w:t xml:space="preserve">torio della Repubblica, si provvede con decreto del Ministro dell’economia e </w:t>
                              </w:r>
                            </w:p>
                          </w:txbxContent>
                        </wps:txbx>
                        <wps:bodyPr horzOverflow="overflow" vert="horz" lIns="0" tIns="0" rIns="0" bIns="0" rtlCol="0">
                          <a:noAutofit/>
                        </wps:bodyPr>
                      </wps:wsp>
                      <wps:wsp>
                        <wps:cNvPr id="23320" name="Rectangle 23320"/>
                        <wps:cNvSpPr/>
                        <wps:spPr>
                          <a:xfrm rot="-10799999">
                            <a:off x="335192" y="5749976"/>
                            <a:ext cx="3657092" cy="142889"/>
                          </a:xfrm>
                          <a:prstGeom prst="rect">
                            <a:avLst/>
                          </a:prstGeom>
                          <a:ln>
                            <a:noFill/>
                          </a:ln>
                        </wps:spPr>
                        <wps:txbx>
                          <w:txbxContent>
                            <w:p w14:paraId="4AEDB53D" w14:textId="77777777" w:rsidR="00B32EF2" w:rsidRDefault="00000000">
                              <w:r>
                                <w:rPr>
                                  <w:rFonts w:ascii="Arial" w:eastAsia="Arial" w:hAnsi="Arial" w:cs="Arial"/>
                                  <w:sz w:val="18"/>
                                </w:rPr>
                                <w:t>delle finanze di concerto con il Ministro della giustizia.</w:t>
                              </w:r>
                            </w:p>
                          </w:txbxContent>
                        </wps:txbx>
                        <wps:bodyPr horzOverflow="overflow" vert="horz" lIns="0" tIns="0" rIns="0" bIns="0" rtlCol="0">
                          <a:noAutofit/>
                        </wps:bodyPr>
                      </wps:wsp>
                      <wps:wsp>
                        <wps:cNvPr id="23321" name="Rectangle 23321"/>
                        <wps:cNvSpPr/>
                        <wps:spPr>
                          <a:xfrm rot="-10799999">
                            <a:off x="1561334" y="5503316"/>
                            <a:ext cx="723762" cy="142889"/>
                          </a:xfrm>
                          <a:prstGeom prst="rect">
                            <a:avLst/>
                          </a:prstGeom>
                          <a:ln>
                            <a:noFill/>
                          </a:ln>
                        </wps:spPr>
                        <wps:txbx>
                          <w:txbxContent>
                            <w:p w14:paraId="13447D36" w14:textId="77777777" w:rsidR="00B32EF2" w:rsidRDefault="00000000">
                              <w:r>
                                <w:rPr>
                                  <w:rFonts w:ascii="Arial" w:eastAsia="Arial" w:hAnsi="Arial" w:cs="Arial"/>
                                  <w:b/>
                                  <w:sz w:val="18"/>
                                </w:rPr>
                                <w:t>Articolo 2</w:t>
                              </w:r>
                            </w:p>
                          </w:txbxContent>
                        </wps:txbx>
                        <wps:bodyPr horzOverflow="overflow" vert="horz" lIns="0" tIns="0" rIns="0" bIns="0" rtlCol="0">
                          <a:noAutofit/>
                        </wps:bodyPr>
                      </wps:wsp>
                      <wps:wsp>
                        <wps:cNvPr id="202459" name="Rectangle 202459"/>
                        <wps:cNvSpPr/>
                        <wps:spPr>
                          <a:xfrm rot="-10799999">
                            <a:off x="2584432" y="5379987"/>
                            <a:ext cx="4773929" cy="142889"/>
                          </a:xfrm>
                          <a:prstGeom prst="rect">
                            <a:avLst/>
                          </a:prstGeom>
                          <a:ln>
                            <a:noFill/>
                          </a:ln>
                        </wps:spPr>
                        <wps:txbx>
                          <w:txbxContent>
                            <w:p w14:paraId="7C424937"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460" name="Rectangle 202460"/>
                        <wps:cNvSpPr/>
                        <wps:spPr>
                          <a:xfrm rot="-10799999">
                            <a:off x="-4049094" y="5379986"/>
                            <a:ext cx="4773929" cy="142889"/>
                          </a:xfrm>
                          <a:prstGeom prst="rect">
                            <a:avLst/>
                          </a:prstGeom>
                          <a:ln>
                            <a:noFill/>
                          </a:ln>
                        </wps:spPr>
                        <wps:txbx>
                          <w:txbxContent>
                            <w:p w14:paraId="0E298842" w14:textId="77777777" w:rsidR="00B32EF2" w:rsidRDefault="00000000">
                              <w:r>
                                <w:rPr>
                                  <w:rFonts w:ascii="Arial" w:eastAsia="Arial" w:hAnsi="Arial" w:cs="Arial"/>
                                  <w:i/>
                                  <w:sz w:val="18"/>
                                </w:rPr>
                                <w:t>183/2011)</w:t>
                              </w:r>
                            </w:p>
                          </w:txbxContent>
                        </wps:txbx>
                        <wps:bodyPr horzOverflow="overflow" vert="horz" lIns="0" tIns="0" rIns="0" bIns="0" rtlCol="0">
                          <a:noAutofit/>
                        </wps:bodyPr>
                      </wps:wsp>
                      <wps:wsp>
                        <wps:cNvPr id="202461" name="Rectangle 202461"/>
                        <wps:cNvSpPr/>
                        <wps:spPr>
                          <a:xfrm rot="-10799999">
                            <a:off x="-494833" y="5379987"/>
                            <a:ext cx="4773929" cy="142889"/>
                          </a:xfrm>
                          <a:prstGeom prst="rect">
                            <a:avLst/>
                          </a:prstGeom>
                          <a:ln>
                            <a:noFill/>
                          </a:ln>
                        </wps:spPr>
                        <wps:txbx>
                          <w:txbxContent>
                            <w:p w14:paraId="0D92AD60" w14:textId="77777777" w:rsidR="00B32EF2" w:rsidRDefault="00000000">
                              <w:r>
                                <w:rPr>
                                  <w:rFonts w:ascii="Arial" w:eastAsia="Arial" w:hAnsi="Arial" w:cs="Arial"/>
                                  <w:i/>
                                  <w:sz w:val="18"/>
                                </w:rPr>
                                <w:t xml:space="preserve">articolo 1-bis D.lgs. n. 545/92; articolo 4, comma 39-bis, L. </w:t>
                              </w:r>
                            </w:p>
                          </w:txbxContent>
                        </wps:txbx>
                        <wps:bodyPr horzOverflow="overflow" vert="horz" lIns="0" tIns="0" rIns="0" bIns="0" rtlCol="0">
                          <a:noAutofit/>
                        </wps:bodyPr>
                      </wps:wsp>
                      <wps:wsp>
                        <wps:cNvPr id="23323" name="Rectangle 23323"/>
                        <wps:cNvSpPr/>
                        <wps:spPr>
                          <a:xfrm rot="-10799999">
                            <a:off x="777984" y="5256657"/>
                            <a:ext cx="1952198" cy="142889"/>
                          </a:xfrm>
                          <a:prstGeom prst="rect">
                            <a:avLst/>
                          </a:prstGeom>
                          <a:ln>
                            <a:noFill/>
                          </a:ln>
                        </wps:spPr>
                        <wps:txbx>
                          <w:txbxContent>
                            <w:p w14:paraId="7EEFB7AA" w14:textId="77777777" w:rsidR="00B32EF2" w:rsidRDefault="00000000">
                              <w:r>
                                <w:rPr>
                                  <w:rFonts w:ascii="Arial" w:eastAsia="Arial" w:hAnsi="Arial" w:cs="Arial"/>
                                  <w:b/>
                                  <w:sz w:val="18"/>
                                </w:rPr>
                                <w:t xml:space="preserve">La giurisdizione tributaria </w:t>
                              </w:r>
                            </w:p>
                          </w:txbxContent>
                        </wps:txbx>
                        <wps:bodyPr horzOverflow="overflow" vert="horz" lIns="0" tIns="0" rIns="0" bIns="0" rtlCol="0">
                          <a:noAutofit/>
                        </wps:bodyPr>
                      </wps:wsp>
                      <wps:wsp>
                        <wps:cNvPr id="202457" name="Rectangle 202457"/>
                        <wps:cNvSpPr/>
                        <wps:spPr>
                          <a:xfrm rot="-10799999">
                            <a:off x="2611467" y="5133327"/>
                            <a:ext cx="5308975" cy="142889"/>
                          </a:xfrm>
                          <a:prstGeom prst="rect">
                            <a:avLst/>
                          </a:prstGeom>
                          <a:ln>
                            <a:noFill/>
                          </a:ln>
                        </wps:spPr>
                        <wps:txbx>
                          <w:txbxContent>
                            <w:p w14:paraId="5B0EB790"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2458" name="Rectangle 202458"/>
                        <wps:cNvSpPr/>
                        <wps:spPr>
                          <a:xfrm rot="-10799999">
                            <a:off x="-1375877" y="5133327"/>
                            <a:ext cx="5308975" cy="142889"/>
                          </a:xfrm>
                          <a:prstGeom prst="rect">
                            <a:avLst/>
                          </a:prstGeom>
                          <a:ln>
                            <a:noFill/>
                          </a:ln>
                        </wps:spPr>
                        <wps:txbx>
                          <w:txbxContent>
                            <w:p w14:paraId="7BDE3D4E" w14:textId="77777777" w:rsidR="00B32EF2" w:rsidRDefault="00000000">
                              <w:r>
                                <w:rPr>
                                  <w:rFonts w:ascii="Arial" w:eastAsia="Arial" w:hAnsi="Arial" w:cs="Arial"/>
                                  <w:sz w:val="18"/>
                                </w:rPr>
                                <w:t xml:space="preserve">. La giurisdizione tributaria è esercitata dai magistrati tributari di cui al comma </w:t>
                              </w:r>
                            </w:p>
                          </w:txbxContent>
                        </wps:txbx>
                        <wps:bodyPr horzOverflow="overflow" vert="horz" lIns="0" tIns="0" rIns="0" bIns="0" rtlCol="0">
                          <a:noAutofit/>
                        </wps:bodyPr>
                      </wps:wsp>
                      <wps:wsp>
                        <wps:cNvPr id="202454" name="Rectangle 202454"/>
                        <wps:cNvSpPr/>
                        <wps:spPr>
                          <a:xfrm rot="-10799999">
                            <a:off x="2658582" y="5009998"/>
                            <a:ext cx="5119089" cy="142889"/>
                          </a:xfrm>
                          <a:prstGeom prst="rect">
                            <a:avLst/>
                          </a:prstGeom>
                          <a:ln>
                            <a:noFill/>
                          </a:ln>
                        </wps:spPr>
                        <wps:txbx>
                          <w:txbxContent>
                            <w:p w14:paraId="73DD3F05"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2456" name="Rectangle 202456"/>
                        <wps:cNvSpPr/>
                        <wps:spPr>
                          <a:xfrm rot="-10799999">
                            <a:off x="-1094024" y="5009998"/>
                            <a:ext cx="5119089" cy="142889"/>
                          </a:xfrm>
                          <a:prstGeom prst="rect">
                            <a:avLst/>
                          </a:prstGeom>
                          <a:ln>
                            <a:noFill/>
                          </a:ln>
                        </wps:spPr>
                        <wps:txbx>
                          <w:txbxContent>
                            <w:p w14:paraId="47C08B6D" w14:textId="77777777" w:rsidR="00B32EF2" w:rsidRDefault="00000000">
                              <w:r>
                                <w:rPr>
                                  <w:rFonts w:ascii="Arial" w:eastAsia="Arial" w:hAnsi="Arial" w:cs="Arial"/>
                                  <w:sz w:val="18"/>
                                </w:rPr>
                                <w:t xml:space="preserve"> e dai giudici tributari presenti nel ruolo unico nazionale di cui al comma </w:t>
                              </w:r>
                            </w:p>
                          </w:txbxContent>
                        </wps:txbx>
                        <wps:bodyPr horzOverflow="overflow" vert="horz" lIns="0" tIns="0" rIns="0" bIns="0" rtlCol="0">
                          <a:noAutofit/>
                        </wps:bodyPr>
                      </wps:wsp>
                      <wps:wsp>
                        <wps:cNvPr id="202455" name="Rectangle 202455"/>
                        <wps:cNvSpPr/>
                        <wps:spPr>
                          <a:xfrm rot="-10799999">
                            <a:off x="-4879411" y="5009997"/>
                            <a:ext cx="5119089" cy="142889"/>
                          </a:xfrm>
                          <a:prstGeom prst="rect">
                            <a:avLst/>
                          </a:prstGeom>
                          <a:ln>
                            <a:noFill/>
                          </a:ln>
                        </wps:spPr>
                        <wps:txbx>
                          <w:txbxContent>
                            <w:p w14:paraId="7CEADFEE"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2452" name="Rectangle 202452"/>
                        <wps:cNvSpPr/>
                        <wps:spPr>
                          <a:xfrm rot="-10799999">
                            <a:off x="2611449" y="4886668"/>
                            <a:ext cx="5309051" cy="142889"/>
                          </a:xfrm>
                          <a:prstGeom prst="rect">
                            <a:avLst/>
                          </a:prstGeom>
                          <a:ln>
                            <a:noFill/>
                          </a:ln>
                        </wps:spPr>
                        <wps:txbx>
                          <w:txbxContent>
                            <w:p w14:paraId="1318ED8B"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2453" name="Rectangle 202453"/>
                        <wps:cNvSpPr/>
                        <wps:spPr>
                          <a:xfrm rot="-10799999">
                            <a:off x="-1381324" y="4886668"/>
                            <a:ext cx="5309051" cy="142889"/>
                          </a:xfrm>
                          <a:prstGeom prst="rect">
                            <a:avLst/>
                          </a:prstGeom>
                          <a:ln>
                            <a:noFill/>
                          </a:ln>
                        </wps:spPr>
                        <wps:txbx>
                          <w:txbxContent>
                            <w:p w14:paraId="28CFE3D0" w14:textId="77777777" w:rsidR="00B32EF2" w:rsidRDefault="00000000">
                              <w:r>
                                <w:rPr>
                                  <w:rFonts w:ascii="Arial" w:eastAsia="Arial" w:hAnsi="Arial" w:cs="Arial"/>
                                  <w:sz w:val="18"/>
                                </w:rPr>
                                <w:t xml:space="preserve">. Nel ruolo unico nazionale dei componenti delle Corti di giustizia tributaria, </w:t>
                              </w:r>
                            </w:p>
                          </w:txbxContent>
                        </wps:txbx>
                        <wps:bodyPr horzOverflow="overflow" vert="horz" lIns="0" tIns="0" rIns="0" bIns="0" rtlCol="0">
                          <a:noAutofit/>
                        </wps:bodyPr>
                      </wps:wsp>
                      <wps:wsp>
                        <wps:cNvPr id="23327" name="Rectangle 23327"/>
                        <wps:cNvSpPr/>
                        <wps:spPr>
                          <a:xfrm rot="-10799999">
                            <a:off x="-1220190" y="4763338"/>
                            <a:ext cx="5212474" cy="142889"/>
                          </a:xfrm>
                          <a:prstGeom prst="rect">
                            <a:avLst/>
                          </a:prstGeom>
                          <a:ln>
                            <a:noFill/>
                          </a:ln>
                        </wps:spPr>
                        <wps:txbx>
                          <w:txbxContent>
                            <w:p w14:paraId="621ED5D3" w14:textId="77777777" w:rsidR="00B32EF2" w:rsidRDefault="00000000">
                              <w:r>
                                <w:rPr>
                                  <w:rFonts w:ascii="Arial" w:eastAsia="Arial" w:hAnsi="Arial" w:cs="Arial"/>
                                  <w:sz w:val="18"/>
                                </w:rPr>
                                <w:t>tenuto dal Consiglio di presidenza della giustizia tributaria, sono inseriti, an</w:t>
                              </w:r>
                            </w:p>
                          </w:txbxContent>
                        </wps:txbx>
                        <wps:bodyPr horzOverflow="overflow" vert="horz" lIns="0" tIns="0" rIns="0" bIns="0" rtlCol="0">
                          <a:noAutofit/>
                        </wps:bodyPr>
                      </wps:wsp>
                      <wps:wsp>
                        <wps:cNvPr id="23328" name="Rectangle 23328"/>
                        <wps:cNvSpPr/>
                        <wps:spPr>
                          <a:xfrm rot="-10799999">
                            <a:off x="19684" y="4763338"/>
                            <a:ext cx="50622" cy="142889"/>
                          </a:xfrm>
                          <a:prstGeom prst="rect">
                            <a:avLst/>
                          </a:prstGeom>
                          <a:ln>
                            <a:noFill/>
                          </a:ln>
                        </wps:spPr>
                        <wps:txbx>
                          <w:txbxContent>
                            <w:p w14:paraId="514D71B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329" name="Rectangle 23329"/>
                        <wps:cNvSpPr/>
                        <wps:spPr>
                          <a:xfrm rot="-10799999">
                            <a:off x="-1316753" y="4640009"/>
                            <a:ext cx="5309035" cy="142889"/>
                          </a:xfrm>
                          <a:prstGeom prst="rect">
                            <a:avLst/>
                          </a:prstGeom>
                          <a:ln>
                            <a:noFill/>
                          </a:ln>
                        </wps:spPr>
                        <wps:txbx>
                          <w:txbxContent>
                            <w:p w14:paraId="69FF70D4" w14:textId="77777777" w:rsidR="00B32EF2" w:rsidRDefault="00000000">
                              <w:r>
                                <w:rPr>
                                  <w:rFonts w:ascii="Arial" w:eastAsia="Arial" w:hAnsi="Arial" w:cs="Arial"/>
                                  <w:sz w:val="18"/>
                                </w:rPr>
                                <w:t xml:space="preserve">corché temporaneamente fuori ruolo, i giudici tributari in servizio alla data di </w:t>
                              </w:r>
                            </w:p>
                          </w:txbxContent>
                        </wps:txbx>
                        <wps:bodyPr horzOverflow="overflow" vert="horz" lIns="0" tIns="0" rIns="0" bIns="0" rtlCol="0">
                          <a:noAutofit/>
                        </wps:bodyPr>
                      </wps:wsp>
                      <wps:wsp>
                        <wps:cNvPr id="23330" name="Rectangle 23330"/>
                        <wps:cNvSpPr/>
                        <wps:spPr>
                          <a:xfrm rot="-10799999">
                            <a:off x="-1218746" y="4516679"/>
                            <a:ext cx="5211029" cy="142889"/>
                          </a:xfrm>
                          <a:prstGeom prst="rect">
                            <a:avLst/>
                          </a:prstGeom>
                          <a:ln>
                            <a:noFill/>
                          </a:ln>
                        </wps:spPr>
                        <wps:txbx>
                          <w:txbxContent>
                            <w:p w14:paraId="7DB36413" w14:textId="77777777" w:rsidR="00B32EF2" w:rsidRDefault="00000000">
                              <w:r>
                                <w:rPr>
                                  <w:rFonts w:ascii="Arial" w:eastAsia="Arial" w:hAnsi="Arial" w:cs="Arial"/>
                                  <w:sz w:val="18"/>
                                </w:rPr>
                                <w:t>entrata in vigore del presente testo unico. I giudici tributari, salvo quanto pre</w:t>
                              </w:r>
                            </w:p>
                          </w:txbxContent>
                        </wps:txbx>
                        <wps:bodyPr horzOverflow="overflow" vert="horz" lIns="0" tIns="0" rIns="0" bIns="0" rtlCol="0">
                          <a:noAutofit/>
                        </wps:bodyPr>
                      </wps:wsp>
                      <wps:wsp>
                        <wps:cNvPr id="23331" name="Rectangle 23331"/>
                        <wps:cNvSpPr/>
                        <wps:spPr>
                          <a:xfrm rot="-10799999">
                            <a:off x="19684" y="4516678"/>
                            <a:ext cx="50622" cy="142889"/>
                          </a:xfrm>
                          <a:prstGeom prst="rect">
                            <a:avLst/>
                          </a:prstGeom>
                          <a:ln>
                            <a:noFill/>
                          </a:ln>
                        </wps:spPr>
                        <wps:txbx>
                          <w:txbxContent>
                            <w:p w14:paraId="07C7A13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332" name="Rectangle 23332"/>
                        <wps:cNvSpPr/>
                        <wps:spPr>
                          <a:xfrm rot="-10799999">
                            <a:off x="-1220099" y="4393349"/>
                            <a:ext cx="5212382" cy="142889"/>
                          </a:xfrm>
                          <a:prstGeom prst="rect">
                            <a:avLst/>
                          </a:prstGeom>
                          <a:ln>
                            <a:noFill/>
                          </a:ln>
                        </wps:spPr>
                        <wps:txbx>
                          <w:txbxContent>
                            <w:p w14:paraId="2F4D344D" w14:textId="77777777" w:rsidR="00B32EF2" w:rsidRDefault="00000000">
                              <w:r>
                                <w:rPr>
                                  <w:rFonts w:ascii="Arial" w:eastAsia="Arial" w:hAnsi="Arial" w:cs="Arial"/>
                                  <w:sz w:val="18"/>
                                </w:rPr>
                                <w:t>visto nel terzo periodo, sono inseriti nel ruolo unico secondo la rispettiva an</w:t>
                              </w:r>
                            </w:p>
                          </w:txbxContent>
                        </wps:txbx>
                        <wps:bodyPr horzOverflow="overflow" vert="horz" lIns="0" tIns="0" rIns="0" bIns="0" rtlCol="0">
                          <a:noAutofit/>
                        </wps:bodyPr>
                      </wps:wsp>
                      <wps:wsp>
                        <wps:cNvPr id="23333" name="Rectangle 23333"/>
                        <wps:cNvSpPr/>
                        <wps:spPr>
                          <a:xfrm rot="-10799999">
                            <a:off x="19684" y="4393349"/>
                            <a:ext cx="50622" cy="142889"/>
                          </a:xfrm>
                          <a:prstGeom prst="rect">
                            <a:avLst/>
                          </a:prstGeom>
                          <a:ln>
                            <a:noFill/>
                          </a:ln>
                        </wps:spPr>
                        <wps:txbx>
                          <w:txbxContent>
                            <w:p w14:paraId="7C6ED9C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334" name="Rectangle 23334"/>
                        <wps:cNvSpPr/>
                        <wps:spPr>
                          <a:xfrm rot="-10799999">
                            <a:off x="-1316753" y="4270019"/>
                            <a:ext cx="5309035" cy="142889"/>
                          </a:xfrm>
                          <a:prstGeom prst="rect">
                            <a:avLst/>
                          </a:prstGeom>
                          <a:ln>
                            <a:noFill/>
                          </a:ln>
                        </wps:spPr>
                        <wps:txbx>
                          <w:txbxContent>
                            <w:p w14:paraId="2ED92528" w14:textId="77777777" w:rsidR="00B32EF2" w:rsidRDefault="00000000">
                              <w:r>
                                <w:rPr>
                                  <w:rFonts w:ascii="Arial" w:eastAsia="Arial" w:hAnsi="Arial" w:cs="Arial"/>
                                  <w:sz w:val="18"/>
                                </w:rPr>
                                <w:t xml:space="preserve">zianità di servizio nella qualifica. I componenti delle Corti di giustizia tributaria </w:t>
                              </w:r>
                            </w:p>
                          </w:txbxContent>
                        </wps:txbx>
                        <wps:bodyPr horzOverflow="overflow" vert="horz" lIns="0" tIns="0" rIns="0" bIns="0" rtlCol="0">
                          <a:noAutofit/>
                        </wps:bodyPr>
                      </wps:wsp>
                      <wps:wsp>
                        <wps:cNvPr id="23335" name="Rectangle 23335"/>
                        <wps:cNvSpPr/>
                        <wps:spPr>
                          <a:xfrm rot="-10799999">
                            <a:off x="-1316738" y="4146690"/>
                            <a:ext cx="5309021" cy="142889"/>
                          </a:xfrm>
                          <a:prstGeom prst="rect">
                            <a:avLst/>
                          </a:prstGeom>
                          <a:ln>
                            <a:noFill/>
                          </a:ln>
                        </wps:spPr>
                        <wps:txbx>
                          <w:txbxContent>
                            <w:p w14:paraId="6BF5EB2E" w14:textId="77777777" w:rsidR="00B32EF2" w:rsidRDefault="00000000">
                              <w:r>
                                <w:rPr>
                                  <w:rFonts w:ascii="Arial" w:eastAsia="Arial" w:hAnsi="Arial" w:cs="Arial"/>
                                  <w:sz w:val="18"/>
                                </w:rPr>
                                <w:t xml:space="preserve">nominati a seguito di appositi bandi pubblicati a partire da quello del 3 agosto </w:t>
                              </w:r>
                            </w:p>
                          </w:txbxContent>
                        </wps:txbx>
                        <wps:bodyPr horzOverflow="overflow" vert="horz" lIns="0" tIns="0" rIns="0" bIns="0" rtlCol="0">
                          <a:noAutofit/>
                        </wps:bodyPr>
                      </wps:wsp>
                      <wps:wsp>
                        <wps:cNvPr id="202447" name="Rectangle 202447"/>
                        <wps:cNvSpPr/>
                        <wps:spPr>
                          <a:xfrm rot="-10799999">
                            <a:off x="2431010" y="4023360"/>
                            <a:ext cx="5309020" cy="142889"/>
                          </a:xfrm>
                          <a:prstGeom prst="rect">
                            <a:avLst/>
                          </a:prstGeom>
                          <a:ln>
                            <a:noFill/>
                          </a:ln>
                        </wps:spPr>
                        <wps:txbx>
                          <w:txbxContent>
                            <w:p w14:paraId="09F93AA9" w14:textId="77777777" w:rsidR="00B32EF2" w:rsidRDefault="00000000">
                              <w:r>
                                <w:rPr>
                                  <w:rFonts w:ascii="Arial" w:eastAsia="Arial" w:hAnsi="Arial" w:cs="Arial"/>
                                  <w:sz w:val="18"/>
                                </w:rPr>
                                <w:t>2011</w:t>
                              </w:r>
                            </w:p>
                          </w:txbxContent>
                        </wps:txbx>
                        <wps:bodyPr horzOverflow="overflow" vert="horz" lIns="0" tIns="0" rIns="0" bIns="0" rtlCol="0">
                          <a:noAutofit/>
                        </wps:bodyPr>
                      </wps:wsp>
                      <wps:wsp>
                        <wps:cNvPr id="202449" name="Rectangle 202449"/>
                        <wps:cNvSpPr/>
                        <wps:spPr>
                          <a:xfrm rot="-10799999">
                            <a:off x="-1556390" y="4023360"/>
                            <a:ext cx="5309021" cy="142889"/>
                          </a:xfrm>
                          <a:prstGeom prst="rect">
                            <a:avLst/>
                          </a:prstGeom>
                          <a:ln>
                            <a:noFill/>
                          </a:ln>
                        </wps:spPr>
                        <wps:txbx>
                          <w:txbxContent>
                            <w:p w14:paraId="39937B77" w14:textId="77777777" w:rsidR="00B32EF2" w:rsidRDefault="00000000">
                              <w:r>
                                <w:rPr>
                                  <w:rFonts w:ascii="Arial" w:eastAsia="Arial" w:hAnsi="Arial" w:cs="Arial"/>
                                  <w:sz w:val="18"/>
                                </w:rPr>
                                <w:t xml:space="preserve">, Gazzetta Ufficiale, 4ª serie speciale, n. 65 del 16 agosto 2011, sono </w:t>
                              </w:r>
                            </w:p>
                          </w:txbxContent>
                        </wps:txbx>
                        <wps:bodyPr horzOverflow="overflow" vert="horz" lIns="0" tIns="0" rIns="0" bIns="0" rtlCol="0">
                          <a:noAutofit/>
                        </wps:bodyPr>
                      </wps:wsp>
                      <wps:wsp>
                        <wps:cNvPr id="23337" name="Rectangle 23337"/>
                        <wps:cNvSpPr/>
                        <wps:spPr>
                          <a:xfrm rot="-10799999">
                            <a:off x="-1316707" y="3900030"/>
                            <a:ext cx="5308990" cy="142889"/>
                          </a:xfrm>
                          <a:prstGeom prst="rect">
                            <a:avLst/>
                          </a:prstGeom>
                          <a:ln>
                            <a:noFill/>
                          </a:ln>
                        </wps:spPr>
                        <wps:txbx>
                          <w:txbxContent>
                            <w:p w14:paraId="5F06077E" w14:textId="77777777" w:rsidR="00B32EF2" w:rsidRDefault="00000000">
                              <w:r>
                                <w:rPr>
                                  <w:rFonts w:ascii="Arial" w:eastAsia="Arial" w:hAnsi="Arial" w:cs="Arial"/>
                                  <w:sz w:val="18"/>
                                </w:rPr>
                                <w:t xml:space="preserve">inseriti nel ruolo unico secondo l’ordine dagli stessi conseguito in funzione del </w:t>
                              </w:r>
                            </w:p>
                          </w:txbxContent>
                        </wps:txbx>
                        <wps:bodyPr horzOverflow="overflow" vert="horz" lIns="0" tIns="0" rIns="0" bIns="0" rtlCol="0">
                          <a:noAutofit/>
                        </wps:bodyPr>
                      </wps:wsp>
                      <wps:wsp>
                        <wps:cNvPr id="23338" name="Rectangle 23338"/>
                        <wps:cNvSpPr/>
                        <wps:spPr>
                          <a:xfrm rot="-10799999">
                            <a:off x="-1316799" y="3776701"/>
                            <a:ext cx="5309082" cy="142889"/>
                          </a:xfrm>
                          <a:prstGeom prst="rect">
                            <a:avLst/>
                          </a:prstGeom>
                          <a:ln>
                            <a:noFill/>
                          </a:ln>
                        </wps:spPr>
                        <wps:txbx>
                          <w:txbxContent>
                            <w:p w14:paraId="7789B635" w14:textId="77777777" w:rsidR="00B32EF2" w:rsidRDefault="00000000">
                              <w:r>
                                <w:rPr>
                                  <w:rFonts w:ascii="Arial" w:eastAsia="Arial" w:hAnsi="Arial" w:cs="Arial"/>
                                  <w:sz w:val="18"/>
                                </w:rPr>
                                <w:t xml:space="preserve">punteggio complessivo per i titoli valutati nelle relative procedure selettive. </w:t>
                              </w:r>
                            </w:p>
                          </w:txbxContent>
                        </wps:txbx>
                        <wps:bodyPr horzOverflow="overflow" vert="horz" lIns="0" tIns="0" rIns="0" bIns="0" rtlCol="0">
                          <a:noAutofit/>
                        </wps:bodyPr>
                      </wps:wsp>
                      <wps:wsp>
                        <wps:cNvPr id="23339" name="Rectangle 23339"/>
                        <wps:cNvSpPr/>
                        <wps:spPr>
                          <a:xfrm rot="-10799999">
                            <a:off x="-1316738" y="3653371"/>
                            <a:ext cx="5309021" cy="142889"/>
                          </a:xfrm>
                          <a:prstGeom prst="rect">
                            <a:avLst/>
                          </a:prstGeom>
                          <a:ln>
                            <a:noFill/>
                          </a:ln>
                        </wps:spPr>
                        <wps:txbx>
                          <w:txbxContent>
                            <w:p w14:paraId="5C4BC0B4" w14:textId="77777777" w:rsidR="00B32EF2" w:rsidRDefault="00000000">
                              <w:r>
                                <w:rPr>
                                  <w:rFonts w:ascii="Arial" w:eastAsia="Arial" w:hAnsi="Arial" w:cs="Arial"/>
                                  <w:sz w:val="18"/>
                                </w:rPr>
                                <w:t xml:space="preserve">In caso di pari anzianità di servizio nella qualifica ovvero di pari punteggio, i </w:t>
                              </w:r>
                            </w:p>
                          </w:txbxContent>
                        </wps:txbx>
                        <wps:bodyPr horzOverflow="overflow" vert="horz" lIns="0" tIns="0" rIns="0" bIns="0" rtlCol="0">
                          <a:noAutofit/>
                        </wps:bodyPr>
                      </wps:wsp>
                      <wps:wsp>
                        <wps:cNvPr id="23340" name="Rectangle 23340"/>
                        <wps:cNvSpPr/>
                        <wps:spPr>
                          <a:xfrm rot="-10799999">
                            <a:off x="-1218715" y="3530041"/>
                            <a:ext cx="5210999" cy="142889"/>
                          </a:xfrm>
                          <a:prstGeom prst="rect">
                            <a:avLst/>
                          </a:prstGeom>
                          <a:ln>
                            <a:noFill/>
                          </a:ln>
                        </wps:spPr>
                        <wps:txbx>
                          <w:txbxContent>
                            <w:p w14:paraId="074F8224" w14:textId="77777777" w:rsidR="00B32EF2" w:rsidRDefault="00000000">
                              <w:r>
                                <w:rPr>
                                  <w:rFonts w:ascii="Arial" w:eastAsia="Arial" w:hAnsi="Arial" w:cs="Arial"/>
                                  <w:sz w:val="18"/>
                                </w:rPr>
                                <w:t>componenti delle Corti di giustizia tributaria sono inseriti nel ruolo unico se</w:t>
                              </w:r>
                            </w:p>
                          </w:txbxContent>
                        </wps:txbx>
                        <wps:bodyPr horzOverflow="overflow" vert="horz" lIns="0" tIns="0" rIns="0" bIns="0" rtlCol="0">
                          <a:noAutofit/>
                        </wps:bodyPr>
                      </wps:wsp>
                      <wps:wsp>
                        <wps:cNvPr id="23341" name="Rectangle 23341"/>
                        <wps:cNvSpPr/>
                        <wps:spPr>
                          <a:xfrm rot="-10799999">
                            <a:off x="19684" y="3530041"/>
                            <a:ext cx="50622" cy="142889"/>
                          </a:xfrm>
                          <a:prstGeom prst="rect">
                            <a:avLst/>
                          </a:prstGeom>
                          <a:ln>
                            <a:noFill/>
                          </a:ln>
                        </wps:spPr>
                        <wps:txbx>
                          <w:txbxContent>
                            <w:p w14:paraId="10E509A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342" name="Rectangle 23342"/>
                        <wps:cNvSpPr/>
                        <wps:spPr>
                          <a:xfrm rot="-10799999">
                            <a:off x="-1316723" y="3406712"/>
                            <a:ext cx="5309006" cy="142889"/>
                          </a:xfrm>
                          <a:prstGeom prst="rect">
                            <a:avLst/>
                          </a:prstGeom>
                          <a:ln>
                            <a:noFill/>
                          </a:ln>
                        </wps:spPr>
                        <wps:txbx>
                          <w:txbxContent>
                            <w:p w14:paraId="27FDD086" w14:textId="77777777" w:rsidR="00B32EF2" w:rsidRDefault="00000000">
                              <w:r>
                                <w:rPr>
                                  <w:rFonts w:ascii="Arial" w:eastAsia="Arial" w:hAnsi="Arial" w:cs="Arial"/>
                                  <w:sz w:val="18"/>
                                </w:rPr>
                                <w:t xml:space="preserve">condo l’anzianità anagrafica. A decorrere dall’anno 2013, il ruolo unico è reso </w:t>
                              </w:r>
                            </w:p>
                          </w:txbxContent>
                        </wps:txbx>
                        <wps:bodyPr horzOverflow="overflow" vert="horz" lIns="0" tIns="0" rIns="0" bIns="0" rtlCol="0">
                          <a:noAutofit/>
                        </wps:bodyPr>
                      </wps:wsp>
                      <wps:wsp>
                        <wps:cNvPr id="23343" name="Rectangle 23343"/>
                        <wps:cNvSpPr/>
                        <wps:spPr>
                          <a:xfrm rot="-10799999">
                            <a:off x="-1316753" y="3283382"/>
                            <a:ext cx="5309035" cy="142889"/>
                          </a:xfrm>
                          <a:prstGeom prst="rect">
                            <a:avLst/>
                          </a:prstGeom>
                          <a:ln>
                            <a:noFill/>
                          </a:ln>
                        </wps:spPr>
                        <wps:txbx>
                          <w:txbxContent>
                            <w:p w14:paraId="4F2469F1" w14:textId="77777777" w:rsidR="00B32EF2" w:rsidRDefault="00000000">
                              <w:r>
                                <w:rPr>
                                  <w:rFonts w:ascii="Arial" w:eastAsia="Arial" w:hAnsi="Arial" w:cs="Arial"/>
                                  <w:sz w:val="18"/>
                                </w:rPr>
                                <w:t xml:space="preserve">pubblico annualmente, entro il mese di gennaio, attraverso il sito istituzionale </w:t>
                              </w:r>
                            </w:p>
                          </w:txbxContent>
                        </wps:txbx>
                        <wps:bodyPr horzOverflow="overflow" vert="horz" lIns="0" tIns="0" rIns="0" bIns="0" rtlCol="0">
                          <a:noAutofit/>
                        </wps:bodyPr>
                      </wps:wsp>
                      <wps:wsp>
                        <wps:cNvPr id="23344" name="Rectangle 23344"/>
                        <wps:cNvSpPr/>
                        <wps:spPr>
                          <a:xfrm rot="-10799999">
                            <a:off x="495921" y="3160052"/>
                            <a:ext cx="3496361" cy="142889"/>
                          </a:xfrm>
                          <a:prstGeom prst="rect">
                            <a:avLst/>
                          </a:prstGeom>
                          <a:ln>
                            <a:noFill/>
                          </a:ln>
                        </wps:spPr>
                        <wps:txbx>
                          <w:txbxContent>
                            <w:p w14:paraId="1BD083D5" w14:textId="77777777" w:rsidR="00B32EF2" w:rsidRDefault="00000000">
                              <w:r>
                                <w:rPr>
                                  <w:rFonts w:ascii="Arial" w:eastAsia="Arial" w:hAnsi="Arial" w:cs="Arial"/>
                                  <w:sz w:val="18"/>
                                </w:rPr>
                                <w:t>del Consiglio di presidenza della giustizia tributaria.</w:t>
                              </w:r>
                            </w:p>
                          </w:txbxContent>
                        </wps:txbx>
                        <wps:bodyPr horzOverflow="overflow" vert="horz" lIns="0" tIns="0" rIns="0" bIns="0" rtlCol="0">
                          <a:noAutofit/>
                        </wps:bodyPr>
                      </wps:wsp>
                      <wps:wsp>
                        <wps:cNvPr id="202444" name="Rectangle 202444"/>
                        <wps:cNvSpPr/>
                        <wps:spPr>
                          <a:xfrm rot="-10799999">
                            <a:off x="-1381275" y="3036723"/>
                            <a:ext cx="5309035" cy="142889"/>
                          </a:xfrm>
                          <a:prstGeom prst="rect">
                            <a:avLst/>
                          </a:prstGeom>
                          <a:ln>
                            <a:noFill/>
                          </a:ln>
                        </wps:spPr>
                        <wps:txbx>
                          <w:txbxContent>
                            <w:p w14:paraId="1F251A25" w14:textId="77777777" w:rsidR="00B32EF2" w:rsidRDefault="00000000">
                              <w:r>
                                <w:rPr>
                                  <w:rFonts w:ascii="Arial" w:eastAsia="Arial" w:hAnsi="Arial" w:cs="Arial"/>
                                  <w:sz w:val="18"/>
                                </w:rPr>
                                <w:t xml:space="preserve">. I magistrati tributari sono reclutati secondo le modalità previste dagli articoli </w:t>
                              </w:r>
                            </w:p>
                          </w:txbxContent>
                        </wps:txbx>
                        <wps:bodyPr horzOverflow="overflow" vert="horz" lIns="0" tIns="0" rIns="0" bIns="0" rtlCol="0">
                          <a:noAutofit/>
                        </wps:bodyPr>
                      </wps:wsp>
                      <wps:wsp>
                        <wps:cNvPr id="202443" name="Rectangle 202443"/>
                        <wps:cNvSpPr/>
                        <wps:spPr>
                          <a:xfrm rot="-10799999">
                            <a:off x="2611453" y="3036723"/>
                            <a:ext cx="5309035" cy="142889"/>
                          </a:xfrm>
                          <a:prstGeom prst="rect">
                            <a:avLst/>
                          </a:prstGeom>
                          <a:ln>
                            <a:noFill/>
                          </a:ln>
                        </wps:spPr>
                        <wps:txbx>
                          <w:txbxContent>
                            <w:p w14:paraId="67D8D0B1"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3346" name="Rectangle 23346"/>
                        <wps:cNvSpPr/>
                        <wps:spPr>
                          <a:xfrm rot="-10799999">
                            <a:off x="3398207" y="2913393"/>
                            <a:ext cx="594075" cy="142889"/>
                          </a:xfrm>
                          <a:prstGeom prst="rect">
                            <a:avLst/>
                          </a:prstGeom>
                          <a:ln>
                            <a:noFill/>
                          </a:ln>
                        </wps:spPr>
                        <wps:txbx>
                          <w:txbxContent>
                            <w:p w14:paraId="1E28C732" w14:textId="77777777" w:rsidR="00B32EF2" w:rsidRDefault="00000000">
                              <w:r>
                                <w:rPr>
                                  <w:rFonts w:ascii="Arial" w:eastAsia="Arial" w:hAnsi="Arial" w:cs="Arial"/>
                                  <w:sz w:val="18"/>
                                </w:rPr>
                                <w:t>da 5 a 8.</w:t>
                              </w:r>
                            </w:p>
                          </w:txbxContent>
                        </wps:txbx>
                        <wps:bodyPr horzOverflow="overflow" vert="horz" lIns="0" tIns="0" rIns="0" bIns="0" rtlCol="0">
                          <a:noAutofit/>
                        </wps:bodyPr>
                      </wps:wsp>
                      <wps:wsp>
                        <wps:cNvPr id="202441" name="Rectangle 202441"/>
                        <wps:cNvSpPr/>
                        <wps:spPr>
                          <a:xfrm rot="-10799999">
                            <a:off x="2611456" y="2790063"/>
                            <a:ext cx="5309020" cy="142889"/>
                          </a:xfrm>
                          <a:prstGeom prst="rect">
                            <a:avLst/>
                          </a:prstGeom>
                          <a:ln>
                            <a:noFill/>
                          </a:ln>
                        </wps:spPr>
                        <wps:txbx>
                          <w:txbxContent>
                            <w:p w14:paraId="37287DC7"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2442" name="Rectangle 202442"/>
                        <wps:cNvSpPr/>
                        <wps:spPr>
                          <a:xfrm rot="-10799999">
                            <a:off x="-1379877" y="2790063"/>
                            <a:ext cx="5309021" cy="142889"/>
                          </a:xfrm>
                          <a:prstGeom prst="rect">
                            <a:avLst/>
                          </a:prstGeom>
                          <a:ln>
                            <a:noFill/>
                          </a:ln>
                        </wps:spPr>
                        <wps:txbx>
                          <w:txbxContent>
                            <w:p w14:paraId="46867B81" w14:textId="77777777" w:rsidR="00B32EF2" w:rsidRDefault="00000000">
                              <w:r>
                                <w:rPr>
                                  <w:rFonts w:ascii="Arial" w:eastAsia="Arial" w:hAnsi="Arial" w:cs="Arial"/>
                                  <w:sz w:val="18"/>
                                </w:rPr>
                                <w:t xml:space="preserve">. L’organico dei magistrati tributari è individuato in 448 unità presso le corti di </w:t>
                              </w:r>
                            </w:p>
                          </w:txbxContent>
                        </wps:txbx>
                        <wps:bodyPr horzOverflow="overflow" vert="horz" lIns="0" tIns="0" rIns="0" bIns="0" rtlCol="0">
                          <a:noAutofit/>
                        </wps:bodyPr>
                      </wps:wsp>
                      <wps:wsp>
                        <wps:cNvPr id="23348" name="Rectangle 23348"/>
                        <wps:cNvSpPr/>
                        <wps:spPr>
                          <a:xfrm rot="-10799999">
                            <a:off x="-1220357" y="2666733"/>
                            <a:ext cx="5212641" cy="142889"/>
                          </a:xfrm>
                          <a:prstGeom prst="rect">
                            <a:avLst/>
                          </a:prstGeom>
                          <a:ln>
                            <a:noFill/>
                          </a:ln>
                        </wps:spPr>
                        <wps:txbx>
                          <w:txbxContent>
                            <w:p w14:paraId="2AA1CD99" w14:textId="77777777" w:rsidR="00B32EF2" w:rsidRDefault="00000000">
                              <w:r>
                                <w:rPr>
                                  <w:rFonts w:ascii="Arial" w:eastAsia="Arial" w:hAnsi="Arial" w:cs="Arial"/>
                                  <w:sz w:val="18"/>
                                </w:rPr>
                                <w:t>giustizia tributaria di primo grado e 128 unità presso le corti di giustizia tribu</w:t>
                              </w:r>
                            </w:p>
                          </w:txbxContent>
                        </wps:txbx>
                        <wps:bodyPr horzOverflow="overflow" vert="horz" lIns="0" tIns="0" rIns="0" bIns="0" rtlCol="0">
                          <a:noAutofit/>
                        </wps:bodyPr>
                      </wps:wsp>
                      <wps:wsp>
                        <wps:cNvPr id="23349" name="Rectangle 23349"/>
                        <wps:cNvSpPr/>
                        <wps:spPr>
                          <a:xfrm rot="-10799999">
                            <a:off x="19684" y="2666733"/>
                            <a:ext cx="50622" cy="142889"/>
                          </a:xfrm>
                          <a:prstGeom prst="rect">
                            <a:avLst/>
                          </a:prstGeom>
                          <a:ln>
                            <a:noFill/>
                          </a:ln>
                        </wps:spPr>
                        <wps:txbx>
                          <w:txbxContent>
                            <w:p w14:paraId="24D5DA4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350" name="Rectangle 23350"/>
                        <wps:cNvSpPr/>
                        <wps:spPr>
                          <a:xfrm rot="-10799999">
                            <a:off x="2425530" y="2543403"/>
                            <a:ext cx="1566753" cy="142889"/>
                          </a:xfrm>
                          <a:prstGeom prst="rect">
                            <a:avLst/>
                          </a:prstGeom>
                          <a:ln>
                            <a:noFill/>
                          </a:ln>
                        </wps:spPr>
                        <wps:txbx>
                          <w:txbxContent>
                            <w:p w14:paraId="40D675F8" w14:textId="77777777" w:rsidR="00B32EF2" w:rsidRDefault="00000000">
                              <w:r>
                                <w:rPr>
                                  <w:rFonts w:ascii="Arial" w:eastAsia="Arial" w:hAnsi="Arial" w:cs="Arial"/>
                                  <w:sz w:val="18"/>
                                </w:rPr>
                                <w:t>taria di secondo grado.</w:t>
                              </w:r>
                            </w:p>
                          </w:txbxContent>
                        </wps:txbx>
                        <wps:bodyPr horzOverflow="overflow" vert="horz" lIns="0" tIns="0" rIns="0" bIns="0" rtlCol="0">
                          <a:noAutofit/>
                        </wps:bodyPr>
                      </wps:wsp>
                      <wps:wsp>
                        <wps:cNvPr id="202440" name="Rectangle 202440"/>
                        <wps:cNvSpPr/>
                        <wps:spPr>
                          <a:xfrm rot="-10799999">
                            <a:off x="-1381134" y="2420073"/>
                            <a:ext cx="5309021" cy="142889"/>
                          </a:xfrm>
                          <a:prstGeom prst="rect">
                            <a:avLst/>
                          </a:prstGeom>
                          <a:ln>
                            <a:noFill/>
                          </a:ln>
                        </wps:spPr>
                        <wps:txbx>
                          <w:txbxContent>
                            <w:p w14:paraId="6E68AF53" w14:textId="77777777" w:rsidR="00B32EF2" w:rsidRDefault="00000000">
                              <w:r>
                                <w:rPr>
                                  <w:rFonts w:ascii="Arial" w:eastAsia="Arial" w:hAnsi="Arial" w:cs="Arial"/>
                                  <w:sz w:val="18"/>
                                </w:rPr>
                                <w:t xml:space="preserve">. I criteri di valutazione e i punteggi di cui alla tabella C allegata al presente </w:t>
                              </w:r>
                            </w:p>
                          </w:txbxContent>
                        </wps:txbx>
                        <wps:bodyPr horzOverflow="overflow" vert="horz" lIns="0" tIns="0" rIns="0" bIns="0" rtlCol="0">
                          <a:noAutofit/>
                        </wps:bodyPr>
                      </wps:wsp>
                      <wps:wsp>
                        <wps:cNvPr id="202439" name="Rectangle 202439"/>
                        <wps:cNvSpPr/>
                        <wps:spPr>
                          <a:xfrm rot="-10799999">
                            <a:off x="2611456" y="2420074"/>
                            <a:ext cx="5309020" cy="142889"/>
                          </a:xfrm>
                          <a:prstGeom prst="rect">
                            <a:avLst/>
                          </a:prstGeom>
                          <a:ln>
                            <a:noFill/>
                          </a:ln>
                        </wps:spPr>
                        <wps:txbx>
                          <w:txbxContent>
                            <w:p w14:paraId="42292527"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3352" name="Rectangle 23352"/>
                        <wps:cNvSpPr/>
                        <wps:spPr>
                          <a:xfrm rot="-10799999">
                            <a:off x="-1317754" y="2296744"/>
                            <a:ext cx="5310951" cy="142889"/>
                          </a:xfrm>
                          <a:prstGeom prst="rect">
                            <a:avLst/>
                          </a:prstGeom>
                          <a:ln>
                            <a:noFill/>
                          </a:ln>
                        </wps:spPr>
                        <wps:txbx>
                          <w:txbxContent>
                            <w:p w14:paraId="262D6687" w14:textId="77777777" w:rsidR="00B32EF2" w:rsidRDefault="00000000">
                              <w:r>
                                <w:rPr>
                                  <w:rFonts w:ascii="Arial" w:eastAsia="Arial" w:hAnsi="Arial" w:cs="Arial"/>
                                  <w:sz w:val="18"/>
                                </w:rPr>
                                <w:t xml:space="preserve">decreto sono modificati, su conforme parere del Consiglio di presidenza della </w:t>
                              </w:r>
                            </w:p>
                          </w:txbxContent>
                        </wps:txbx>
                        <wps:bodyPr horzOverflow="overflow" vert="horz" lIns="0" tIns="0" rIns="0" bIns="0" rtlCol="0">
                          <a:noAutofit/>
                        </wps:bodyPr>
                      </wps:wsp>
                      <wps:wsp>
                        <wps:cNvPr id="23353" name="Rectangle 23353"/>
                        <wps:cNvSpPr/>
                        <wps:spPr>
                          <a:xfrm rot="-10799999">
                            <a:off x="-982311" y="2173414"/>
                            <a:ext cx="4974594" cy="142889"/>
                          </a:xfrm>
                          <a:prstGeom prst="rect">
                            <a:avLst/>
                          </a:prstGeom>
                          <a:ln>
                            <a:noFill/>
                          </a:ln>
                        </wps:spPr>
                        <wps:txbx>
                          <w:txbxContent>
                            <w:p w14:paraId="750481F4" w14:textId="77777777" w:rsidR="00B32EF2" w:rsidRDefault="00000000">
                              <w:r>
                                <w:rPr>
                                  <w:rFonts w:ascii="Arial" w:eastAsia="Arial" w:hAnsi="Arial" w:cs="Arial"/>
                                  <w:sz w:val="18"/>
                                </w:rPr>
                                <w:t>giustizia tributaria, con decreto del Ministro dell’economia e delle finanze.</w:t>
                              </w:r>
                            </w:p>
                          </w:txbxContent>
                        </wps:txbx>
                        <wps:bodyPr horzOverflow="overflow" vert="horz" lIns="0" tIns="0" rIns="0" bIns="0" rtlCol="0">
                          <a:noAutofit/>
                        </wps:bodyPr>
                      </wps:wsp>
                      <wps:wsp>
                        <wps:cNvPr id="23354" name="Rectangle 23354"/>
                        <wps:cNvSpPr/>
                        <wps:spPr>
                          <a:xfrm rot="-10799999">
                            <a:off x="1561335" y="1926755"/>
                            <a:ext cx="723762" cy="142889"/>
                          </a:xfrm>
                          <a:prstGeom prst="rect">
                            <a:avLst/>
                          </a:prstGeom>
                          <a:ln>
                            <a:noFill/>
                          </a:ln>
                        </wps:spPr>
                        <wps:txbx>
                          <w:txbxContent>
                            <w:p w14:paraId="4AC4E43F" w14:textId="77777777" w:rsidR="00B32EF2" w:rsidRDefault="00000000">
                              <w:r>
                                <w:rPr>
                                  <w:rFonts w:ascii="Arial" w:eastAsia="Arial" w:hAnsi="Arial" w:cs="Arial"/>
                                  <w:b/>
                                  <w:sz w:val="18"/>
                                </w:rPr>
                                <w:t>Articolo 3</w:t>
                              </w:r>
                            </w:p>
                          </w:txbxContent>
                        </wps:txbx>
                        <wps:bodyPr horzOverflow="overflow" vert="horz" lIns="0" tIns="0" rIns="0" bIns="0" rtlCol="0">
                          <a:noAutofit/>
                        </wps:bodyPr>
                      </wps:wsp>
                      <wps:wsp>
                        <wps:cNvPr id="202436" name="Rectangle 202436"/>
                        <wps:cNvSpPr/>
                        <wps:spPr>
                          <a:xfrm rot="-10799999">
                            <a:off x="2211594" y="1803425"/>
                            <a:ext cx="1857430" cy="142889"/>
                          </a:xfrm>
                          <a:prstGeom prst="rect">
                            <a:avLst/>
                          </a:prstGeom>
                          <a:ln>
                            <a:noFill/>
                          </a:ln>
                        </wps:spPr>
                        <wps:txbx>
                          <w:txbxContent>
                            <w:p w14:paraId="6F172C81"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438" name="Rectangle 202438"/>
                        <wps:cNvSpPr/>
                        <wps:spPr>
                          <a:xfrm rot="-10799999">
                            <a:off x="1216830" y="1803425"/>
                            <a:ext cx="1857430" cy="142889"/>
                          </a:xfrm>
                          <a:prstGeom prst="rect">
                            <a:avLst/>
                          </a:prstGeom>
                          <a:ln>
                            <a:noFill/>
                          </a:ln>
                        </wps:spPr>
                        <wps:txbx>
                          <w:txbxContent>
                            <w:p w14:paraId="6B870601" w14:textId="77777777" w:rsidR="00B32EF2" w:rsidRDefault="00000000">
                              <w:r>
                                <w:rPr>
                                  <w:rFonts w:ascii="Arial" w:eastAsia="Arial" w:hAnsi="Arial" w:cs="Arial"/>
                                  <w:i/>
                                  <w:sz w:val="18"/>
                                </w:rPr>
                                <w:t xml:space="preserve">articolo 2 D.lgs. n. </w:t>
                              </w:r>
                            </w:p>
                          </w:txbxContent>
                        </wps:txbx>
                        <wps:bodyPr horzOverflow="overflow" vert="horz" lIns="0" tIns="0" rIns="0" bIns="0" rtlCol="0">
                          <a:noAutofit/>
                        </wps:bodyPr>
                      </wps:wsp>
                      <wps:wsp>
                        <wps:cNvPr id="202437" name="Rectangle 202437"/>
                        <wps:cNvSpPr/>
                        <wps:spPr>
                          <a:xfrm rot="-10799999">
                            <a:off x="-144573" y="1803425"/>
                            <a:ext cx="1857429" cy="142889"/>
                          </a:xfrm>
                          <a:prstGeom prst="rect">
                            <a:avLst/>
                          </a:prstGeom>
                          <a:ln>
                            <a:noFill/>
                          </a:ln>
                        </wps:spPr>
                        <wps:txbx>
                          <w:txbxContent>
                            <w:p w14:paraId="79806A86"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3356" name="Rectangle 23356"/>
                        <wps:cNvSpPr/>
                        <wps:spPr>
                          <a:xfrm rot="-10799999">
                            <a:off x="-1196443" y="1680095"/>
                            <a:ext cx="5116260" cy="142889"/>
                          </a:xfrm>
                          <a:prstGeom prst="rect">
                            <a:avLst/>
                          </a:prstGeom>
                          <a:ln>
                            <a:noFill/>
                          </a:ln>
                        </wps:spPr>
                        <wps:txbx>
                          <w:txbxContent>
                            <w:p w14:paraId="2A2343B5" w14:textId="77777777" w:rsidR="00B32EF2" w:rsidRDefault="00000000">
                              <w:r>
                                <w:rPr>
                                  <w:rFonts w:ascii="Arial" w:eastAsia="Arial" w:hAnsi="Arial" w:cs="Arial"/>
                                  <w:b/>
                                  <w:sz w:val="18"/>
                                </w:rPr>
                                <w:t xml:space="preserve">La composizione delle corti di giustizia tributaria di primo e secondo </w:t>
                              </w:r>
                            </w:p>
                          </w:txbxContent>
                        </wps:txbx>
                        <wps:bodyPr horzOverflow="overflow" vert="horz" lIns="0" tIns="0" rIns="0" bIns="0" rtlCol="0">
                          <a:noAutofit/>
                        </wps:bodyPr>
                      </wps:wsp>
                      <wps:wsp>
                        <wps:cNvPr id="23357" name="Rectangle 23357"/>
                        <wps:cNvSpPr/>
                        <wps:spPr>
                          <a:xfrm rot="-10799999">
                            <a:off x="1701340" y="1556766"/>
                            <a:ext cx="472886" cy="142889"/>
                          </a:xfrm>
                          <a:prstGeom prst="rect">
                            <a:avLst/>
                          </a:prstGeom>
                          <a:ln>
                            <a:noFill/>
                          </a:ln>
                        </wps:spPr>
                        <wps:txbx>
                          <w:txbxContent>
                            <w:p w14:paraId="01FF51D1" w14:textId="77777777" w:rsidR="00B32EF2" w:rsidRDefault="00000000">
                              <w:r>
                                <w:rPr>
                                  <w:rFonts w:ascii="Arial" w:eastAsia="Arial" w:hAnsi="Arial" w:cs="Arial"/>
                                  <w:b/>
                                  <w:sz w:val="18"/>
                                </w:rPr>
                                <w:t xml:space="preserve">grado </w:t>
                              </w:r>
                            </w:p>
                          </w:txbxContent>
                        </wps:txbx>
                        <wps:bodyPr horzOverflow="overflow" vert="horz" lIns="0" tIns="0" rIns="0" bIns="0" rtlCol="0">
                          <a:noAutofit/>
                        </wps:bodyPr>
                      </wps:wsp>
                      <wps:wsp>
                        <wps:cNvPr id="202434" name="Rectangle 202434"/>
                        <wps:cNvSpPr/>
                        <wps:spPr>
                          <a:xfrm rot="-10799999">
                            <a:off x="2611452" y="1433436"/>
                            <a:ext cx="5309037" cy="142889"/>
                          </a:xfrm>
                          <a:prstGeom prst="rect">
                            <a:avLst/>
                          </a:prstGeom>
                          <a:ln>
                            <a:noFill/>
                          </a:ln>
                        </wps:spPr>
                        <wps:txbx>
                          <w:txbxContent>
                            <w:p w14:paraId="0468F096"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2435" name="Rectangle 202435"/>
                        <wps:cNvSpPr/>
                        <wps:spPr>
                          <a:xfrm rot="-10799999">
                            <a:off x="-1375937" y="1433436"/>
                            <a:ext cx="5309035" cy="142889"/>
                          </a:xfrm>
                          <a:prstGeom prst="rect">
                            <a:avLst/>
                          </a:prstGeom>
                          <a:ln>
                            <a:noFill/>
                          </a:ln>
                        </wps:spPr>
                        <wps:txbx>
                          <w:txbxContent>
                            <w:p w14:paraId="2CBDA17A" w14:textId="77777777" w:rsidR="00B32EF2" w:rsidRDefault="00000000">
                              <w:r>
                                <w:rPr>
                                  <w:rFonts w:ascii="Arial" w:eastAsia="Arial" w:hAnsi="Arial" w:cs="Arial"/>
                                  <w:sz w:val="18"/>
                                </w:rPr>
                                <w:t xml:space="preserve">. A ciascuna delle corti di giustizia tributaria di primo e secondo grado è </w:t>
                              </w:r>
                            </w:p>
                          </w:txbxContent>
                        </wps:txbx>
                        <wps:bodyPr horzOverflow="overflow" vert="horz" lIns="0" tIns="0" rIns="0" bIns="0" rtlCol="0">
                          <a:noAutofit/>
                        </wps:bodyPr>
                      </wps:wsp>
                      <wps:wsp>
                        <wps:cNvPr id="23359" name="Rectangle 23359"/>
                        <wps:cNvSpPr/>
                        <wps:spPr>
                          <a:xfrm rot="-10799999">
                            <a:off x="-1316737" y="1310106"/>
                            <a:ext cx="5309021" cy="142889"/>
                          </a:xfrm>
                          <a:prstGeom prst="rect">
                            <a:avLst/>
                          </a:prstGeom>
                          <a:ln>
                            <a:noFill/>
                          </a:ln>
                        </wps:spPr>
                        <wps:txbx>
                          <w:txbxContent>
                            <w:p w14:paraId="533D446E" w14:textId="77777777" w:rsidR="00B32EF2" w:rsidRDefault="00000000">
                              <w:r>
                                <w:rPr>
                                  <w:rFonts w:ascii="Arial" w:eastAsia="Arial" w:hAnsi="Arial" w:cs="Arial"/>
                                  <w:sz w:val="18"/>
                                </w:rPr>
                                <w:t xml:space="preserve">preposto un presidente che presiede anche la prima sezione. L’incarico ha </w:t>
                              </w:r>
                            </w:p>
                          </w:txbxContent>
                        </wps:txbx>
                        <wps:bodyPr horzOverflow="overflow" vert="horz" lIns="0" tIns="0" rIns="0" bIns="0" rtlCol="0">
                          <a:noAutofit/>
                        </wps:bodyPr>
                      </wps:wsp>
                      <wps:wsp>
                        <wps:cNvPr id="23360" name="Rectangle 23360"/>
                        <wps:cNvSpPr/>
                        <wps:spPr>
                          <a:xfrm rot="-10799999">
                            <a:off x="-1316722" y="1186776"/>
                            <a:ext cx="5309005" cy="142890"/>
                          </a:xfrm>
                          <a:prstGeom prst="rect">
                            <a:avLst/>
                          </a:prstGeom>
                          <a:ln>
                            <a:noFill/>
                          </a:ln>
                        </wps:spPr>
                        <wps:txbx>
                          <w:txbxContent>
                            <w:p w14:paraId="21D12560" w14:textId="77777777" w:rsidR="00B32EF2" w:rsidRDefault="00000000">
                              <w:r>
                                <w:rPr>
                                  <w:rFonts w:ascii="Arial" w:eastAsia="Arial" w:hAnsi="Arial" w:cs="Arial"/>
                                  <w:sz w:val="18"/>
                                </w:rPr>
                                <w:t xml:space="preserve">durata quadriennale a decorrere dalla data di esercizio effettivo delle funzioni </w:t>
                              </w:r>
                            </w:p>
                          </w:txbxContent>
                        </wps:txbx>
                        <wps:bodyPr horzOverflow="overflow" vert="horz" lIns="0" tIns="0" rIns="0" bIns="0" rtlCol="0">
                          <a:noAutofit/>
                        </wps:bodyPr>
                      </wps:wsp>
                      <wps:wsp>
                        <wps:cNvPr id="23361" name="Rectangle 23361"/>
                        <wps:cNvSpPr/>
                        <wps:spPr>
                          <a:xfrm rot="-10799999">
                            <a:off x="-1316662" y="1063447"/>
                            <a:ext cx="5308945" cy="142889"/>
                          </a:xfrm>
                          <a:prstGeom prst="rect">
                            <a:avLst/>
                          </a:prstGeom>
                          <a:ln>
                            <a:noFill/>
                          </a:ln>
                        </wps:spPr>
                        <wps:txbx>
                          <w:txbxContent>
                            <w:p w14:paraId="0A5D5221" w14:textId="77777777" w:rsidR="00B32EF2" w:rsidRDefault="00000000">
                              <w:r>
                                <w:rPr>
                                  <w:rFonts w:ascii="Arial" w:eastAsia="Arial" w:hAnsi="Arial" w:cs="Arial"/>
                                  <w:sz w:val="18"/>
                                </w:rPr>
                                <w:t xml:space="preserve">ed è rinnovabile per una sola volta e per un uguale periodo, previa valutazione </w:t>
                              </w:r>
                            </w:p>
                          </w:txbxContent>
                        </wps:txbx>
                        <wps:bodyPr horzOverflow="overflow" vert="horz" lIns="0" tIns="0" rIns="0" bIns="0" rtlCol="0">
                          <a:noAutofit/>
                        </wps:bodyPr>
                      </wps:wsp>
                      <wps:wsp>
                        <wps:cNvPr id="23362" name="Rectangle 23362"/>
                        <wps:cNvSpPr/>
                        <wps:spPr>
                          <a:xfrm rot="-10799999">
                            <a:off x="-1220417" y="940117"/>
                            <a:ext cx="5213385" cy="142889"/>
                          </a:xfrm>
                          <a:prstGeom prst="rect">
                            <a:avLst/>
                          </a:prstGeom>
                          <a:ln>
                            <a:noFill/>
                          </a:ln>
                        </wps:spPr>
                        <wps:txbx>
                          <w:txbxContent>
                            <w:p w14:paraId="45B27B74" w14:textId="77777777" w:rsidR="00B32EF2" w:rsidRDefault="00000000">
                              <w:r>
                                <w:rPr>
                                  <w:rFonts w:ascii="Arial" w:eastAsia="Arial" w:hAnsi="Arial" w:cs="Arial"/>
                                  <w:sz w:val="18"/>
                                </w:rPr>
                                <w:t>positiva da parte del Consiglio di presidenza della giustizia tributaria dell’attivi</w:t>
                              </w:r>
                            </w:p>
                          </w:txbxContent>
                        </wps:txbx>
                        <wps:bodyPr horzOverflow="overflow" vert="horz" lIns="0" tIns="0" rIns="0" bIns="0" rtlCol="0">
                          <a:noAutofit/>
                        </wps:bodyPr>
                      </wps:wsp>
                      <wps:wsp>
                        <wps:cNvPr id="23363" name="Rectangle 23363"/>
                        <wps:cNvSpPr/>
                        <wps:spPr>
                          <a:xfrm rot="-10799999">
                            <a:off x="19684" y="940117"/>
                            <a:ext cx="50622" cy="142889"/>
                          </a:xfrm>
                          <a:prstGeom prst="rect">
                            <a:avLst/>
                          </a:prstGeom>
                          <a:ln>
                            <a:noFill/>
                          </a:ln>
                        </wps:spPr>
                        <wps:txbx>
                          <w:txbxContent>
                            <w:p w14:paraId="36799E7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364" name="Rectangle 23364"/>
                        <wps:cNvSpPr/>
                        <wps:spPr>
                          <a:xfrm rot="-10799999">
                            <a:off x="-1316676" y="816788"/>
                            <a:ext cx="5308960" cy="142889"/>
                          </a:xfrm>
                          <a:prstGeom prst="rect">
                            <a:avLst/>
                          </a:prstGeom>
                          <a:ln>
                            <a:noFill/>
                          </a:ln>
                        </wps:spPr>
                        <wps:txbx>
                          <w:txbxContent>
                            <w:p w14:paraId="1B09674C" w14:textId="77777777" w:rsidR="00B32EF2" w:rsidRDefault="00000000">
                              <w:r>
                                <w:rPr>
                                  <w:rFonts w:ascii="Arial" w:eastAsia="Arial" w:hAnsi="Arial" w:cs="Arial"/>
                                  <w:sz w:val="18"/>
                                </w:rPr>
                                <w:t xml:space="preserve">tà svolta nel primo triennio del quadriennio iniziale. Il Consiglio di presidenza </w:t>
                              </w:r>
                            </w:p>
                          </w:txbxContent>
                        </wps:txbx>
                        <wps:bodyPr horzOverflow="overflow" vert="horz" lIns="0" tIns="0" rIns="0" bIns="0" rtlCol="0">
                          <a:noAutofit/>
                        </wps:bodyPr>
                      </wps:wsp>
                      <wps:wsp>
                        <wps:cNvPr id="23365" name="Rectangle 23365"/>
                        <wps:cNvSpPr/>
                        <wps:spPr>
                          <a:xfrm rot="-10799999">
                            <a:off x="-1316723" y="693458"/>
                            <a:ext cx="5309006" cy="142889"/>
                          </a:xfrm>
                          <a:prstGeom prst="rect">
                            <a:avLst/>
                          </a:prstGeom>
                          <a:ln>
                            <a:noFill/>
                          </a:ln>
                        </wps:spPr>
                        <wps:txbx>
                          <w:txbxContent>
                            <w:p w14:paraId="0E1CAFD6" w14:textId="77777777" w:rsidR="00B32EF2" w:rsidRDefault="00000000">
                              <w:r>
                                <w:rPr>
                                  <w:rFonts w:ascii="Arial" w:eastAsia="Arial" w:hAnsi="Arial" w:cs="Arial"/>
                                  <w:sz w:val="18"/>
                                </w:rPr>
                                <w:t xml:space="preserve">della giustizia tributaria stabilisce con proprio regolamento il procedimento e le </w:t>
                              </w:r>
                            </w:p>
                          </w:txbxContent>
                        </wps:txbx>
                        <wps:bodyPr horzOverflow="overflow" vert="horz" lIns="0" tIns="0" rIns="0" bIns="0" rtlCol="0">
                          <a:noAutofit/>
                        </wps:bodyPr>
                      </wps:wsp>
                      <wps:wsp>
                        <wps:cNvPr id="23366" name="Rectangle 23366"/>
                        <wps:cNvSpPr/>
                        <wps:spPr>
                          <a:xfrm rot="-10799999">
                            <a:off x="-1220555" y="570128"/>
                            <a:ext cx="5212838" cy="142889"/>
                          </a:xfrm>
                          <a:prstGeom prst="rect">
                            <a:avLst/>
                          </a:prstGeom>
                          <a:ln>
                            <a:noFill/>
                          </a:ln>
                        </wps:spPr>
                        <wps:txbx>
                          <w:txbxContent>
                            <w:p w14:paraId="71BF747B" w14:textId="77777777" w:rsidR="00B32EF2" w:rsidRDefault="00000000">
                              <w:r>
                                <w:rPr>
                                  <w:rFonts w:ascii="Arial" w:eastAsia="Arial" w:hAnsi="Arial" w:cs="Arial"/>
                                  <w:sz w:val="18"/>
                                </w:rPr>
                                <w:t>modalità di tale valutazione, garantendo la previa interlocuzione con l’interes</w:t>
                              </w:r>
                            </w:p>
                          </w:txbxContent>
                        </wps:txbx>
                        <wps:bodyPr horzOverflow="overflow" vert="horz" lIns="0" tIns="0" rIns="0" bIns="0" rtlCol="0">
                          <a:noAutofit/>
                        </wps:bodyPr>
                      </wps:wsp>
                      <wps:wsp>
                        <wps:cNvPr id="23367" name="Rectangle 23367"/>
                        <wps:cNvSpPr/>
                        <wps:spPr>
                          <a:xfrm rot="-10799999">
                            <a:off x="19684" y="570128"/>
                            <a:ext cx="50622" cy="142889"/>
                          </a:xfrm>
                          <a:prstGeom prst="rect">
                            <a:avLst/>
                          </a:prstGeom>
                          <a:ln>
                            <a:noFill/>
                          </a:ln>
                        </wps:spPr>
                        <wps:txbx>
                          <w:txbxContent>
                            <w:p w14:paraId="50350AA1"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368" name="Rectangle 23368"/>
                        <wps:cNvSpPr/>
                        <wps:spPr>
                          <a:xfrm rot="-10799999">
                            <a:off x="-1316676" y="446798"/>
                            <a:ext cx="5308960" cy="142889"/>
                          </a:xfrm>
                          <a:prstGeom prst="rect">
                            <a:avLst/>
                          </a:prstGeom>
                          <a:ln>
                            <a:noFill/>
                          </a:ln>
                        </wps:spPr>
                        <wps:txbx>
                          <w:txbxContent>
                            <w:p w14:paraId="0EFE196C" w14:textId="77777777" w:rsidR="00B32EF2" w:rsidRDefault="00000000">
                              <w:r>
                                <w:rPr>
                                  <w:rFonts w:ascii="Arial" w:eastAsia="Arial" w:hAnsi="Arial" w:cs="Arial"/>
                                  <w:sz w:val="18"/>
                                </w:rPr>
                                <w:t xml:space="preserve">sato. Il Presidente non può essere nominato tra soggetti che raggiungeranno </w:t>
                              </w:r>
                            </w:p>
                          </w:txbxContent>
                        </wps:txbx>
                        <wps:bodyPr horzOverflow="overflow" vert="horz" lIns="0" tIns="0" rIns="0" bIns="0" rtlCol="0">
                          <a:noAutofit/>
                        </wps:bodyPr>
                      </wps:wsp>
                    </wpg:wgp>
                  </a:graphicData>
                </a:graphic>
              </wp:inline>
            </w:drawing>
          </mc:Choice>
          <mc:Fallback>
            <w:pict>
              <v:group w14:anchorId="4AF4E9D7" id="Group 202470" o:spid="_x0000_s7010" style="width:314.35pt;height:493.15pt;mso-position-horizontal-relative:char;mso-position-vertical-relative:line" coordsize="39922,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Z9ywoAANKGAAAOAAAAZHJzL2Uyb0RvYy54bWzkXWuP4jgW/b7S/gfEdxrHduwEddVotb3T&#10;Gmm1M5rHD0hTvCQgKNBN9fz6PdcODgR3j8aRcEmeDzWUoVPEx+c+zr123v/wutuOviya46beP42z&#10;d2w8Wuzn9ctmv3oa//H7j5NiPDqeqv1Lta33i6fx18Vx/MPzP//x/nyYLXi9rrcvi2aEi+yPs/Ph&#10;abw+nQ6z6fQ4Xy921fFdfVjs8eaybnbVCb82q+lLU51x9d12yhlT03PdvByaer44HjH6wb45fjbX&#10;Xy4X89PPy+VxcRptn8b4bifzszE/P9HP6fP7arZqqsN6M2+/RhXwLXbVZo8/6i71oTpVo8/N5u5S&#10;u828qY/18vRuXu+m9XK5mS/MPeBuMta7m49N/flg7mU1O68Obpowtb15Cr7s/H9fPjaH3w6/NJiJ&#10;82GFuTC/0b28Lpsd/R/fcvRqpuyrm7LF62k0x6AoS84LPh7N8Z7iihe5tJM6X2Pm7/7dfP2fv/iX&#10;08sfnt58nfMBC+TYzcFx2Bz8tq4OCzO1xxnm4JdmtHl5GnMhMjke7asdluqvWDzVfrVdjOywmSDz&#10;aTddx9kRM3eZq1FTY31NMqZL+s+sh3buspKxUoELmKWJ4vjVTtJlGjNdCFXaWeQ5U1LR+24qqtmh&#10;OZ4+LurdiF48jRt8N3P96st/jyf70ctH6Ots9/RzX/+42W7tuzSCGb18Y3p1ev30am4719KARoOf&#10;6pevmI113fz5M3i93Nbnp3HdvhoT1fHn6d3xaPvTHigQqy4vmsuLT5cXzWn779pwz36hf30+1cuN&#10;+cbdX2u/GeClNfgInBmXCov2Dmg7PgRprkSuNRYR8SHLylK1fLhAnfMsY7TKiDGZ5IVdCw/EOqe1&#10;1c1+Clj7SE1Yu2UPG/D3WT3JeCGYyN8y2MaQpAM2DLjy8NoMD6F1But9TWrDoWrmSM0Ub50gUboo&#10;H2y+dVqUBpzaj7KbiFBCIwzLLKFz2G4l7q03FyUcubPe2YOhLpKDGrN956ixAtxEBEHdEdri/H1C&#10;P9xHGwOSlNlG9OtD2U1EEMqTDP5ACxt454UWgvWBFqxkPOsI/WjbnZtUICWoOVIGD9QYHuKhhciz&#10;Ej4YUTXymbLUJvLpXLRQuWb0gYvlfjjQxlMkBTRo5QPaTUQQp7NcZQJ+2SCds0to1yGtudCU3UUD&#10;ml8WcjLJdO6z3kiwMD6E0zwvpBQtqQVklcLEdx3UUmtR8lY4iRF55+Jyg8lgrXzmm5LpYfZ7Ipks&#10;Wdny2oDds+DxwXZyQTpg+0w4gT3Mhk9kKQshrA1/m8ROTCUTggMOn7d2Fi7IW2uty1Y5yXmuEISR&#10;wewseFZCEL1OqB8eliWmkJFX9okndnyQt4beLRWuTSE4QjTBe1jnghWlhroSLTJz8lAyBjz3qSeE&#10;9TD5BIm1Rj79psF2d5gO2N+oc9iaLKWeQTacq7zIqchLxEYhE3H4rRHPUegCtSMS2+UZ6WDtq3MQ&#10;sZ0/C8Ia5etS4jJvGOwu0UgHbDjNu9iMwHZRahjYstClzBDjO2b3XXZsZneJRjpgw9J6wXa6UhDY&#10;nMIzCSMNrGVRKIV+lJtQHOFZyfKIUjhEuzb+TAdrX9JFxB6WdSE8KzLRWvE3Cra7wzTANunQPa8v&#10;WVJwcIYmFNSsUaA0vNYKeVef1zzjklqSYqVdXZtNMlD7si5A7VKSIAve1aylF+e4TSjKxSLJoOyr&#10;egBll4wEoWxr1nAAhtBKMmRcHkdNbWfRCO1yjFSgFr6iB0ztwJpHxrNCo9nXQJ1nSuk+1NQtGrPA&#10;BT0vqZgMmPpKHmZ4iDh6ZbsNzn0fHdl2O8eUDKF9SRZQdilIoO1GMAaBzBJalOhTuCc0F5cNEzEq&#10;1thmkBqhfTkWoHYJSBDUV4T24hyX0No5pmQI7dO+AbKr2QehfBuMcc2Qar2xYEy7UnwyUPvUUEDt&#10;EpABULe9ohKVTNXfpWUEspi9otp5pzSghhAmv1GrxviQcIxLgV1YrWjCsMHPFhW6vgSLNT4QK8fS&#10;zj2lg7Uvn6Y14EKWQGLnuRIXhezbYEdUvqHOpRaU+XgNGz6M1tZdM9uWAMgZsxn6Da+LktZCNF47&#10;L5UGr4GpXwy1MvUA3Zu2drSpltBaaWYCoRuo0ZWAPC8a1OnJZD4LjhUw1IBf7eLBPg5YCR/UUSMz&#10;Z7dSYbX0K6IYHhKXoZoFRbTdgSkQhDHZh5qjQ4VoH43VyWllgMBXuLTIBBvwTkDx4xxZQHEmKxlC&#10;+xVR6XLOwOCbbDf1lqPtREimdGYu2HPTDDWQWIQunMlKBmq/IipdyjkA6rZwiVo3Aj8f1DELl0Vy&#10;WhlO9vHabpdwBkEty7ykcIs4nSnG8h7QKHsogda9eJx2VisNTpNK4kPajg+LyNBKxmnXBoHNhDHm&#10;uGDPgEdltbNb6YDts+AEtpuKIF6bHtGLBX+bWDvDlQbWKGD5Gv3N8BBaIycveCuU8RK7tUqzcq5Y&#10;jW0AMfdqFYnpZEReX55lx4dAbUltm4y4hiiq+lCbM1AiaqJFYkIZYerLtuz4EKwhgGO/bbsv7ztg&#10;xwzN0pPK/AK4dEJSkK82jd84bNIEZhzbOXC6Ua81AY3fioxKtMza3WEyztovgA+sYHZSmR/nuFKZ&#10;3bFPOmAqKOPMLl9S3R3lFURoLnkOxdvyOZcQy3p8xslHSlN0HovPtiEmHaTJH/ugtuMD/XSRZe0p&#10;VgCeMdvvcRV/xz6YrkxMKwOoqFPe89qODwH7JgA3WJskto91xAAc5+K1N5iMCffF32ghdBMRZMKp&#10;/0RrHLdAYhnnpWpPVr+GGuXLmJtsbZ6fjg0Hpj6tzAwPIfUE+olot87zTAt0jN5G37LUOP8OSyGa&#10;t05OKiPi3e2cB9JuIoJIbQ+ctAI4jhhFCGakqY7TsQ+cLNOTyoRPFCVP7ZSkIKg5ttsZzsJ8ZwUT&#10;iMhvSZ0VOFyWYvRopHY3mIanJkx98okdH2LA0Wmk8PgG46rfKNaJKWWEqa8t2I4PwXqCk09yZFgU&#10;ln0b65j7bO2RWkmFZT4TDmftDFyQBZ/gwCJFZVADtSqwG7NnwnFYGR5UFdOEJ9da5j1wElA7+xYE&#10;dYaOb4hkFmls8dDKLJ0uLpMaj2LBKovkq7H20sqqyU77InA7PsR+WwUFKTvZb4nit43zOqjNdi1y&#10;HtGwTlAt823DJKxdOhJEayph5iVh+X2w8dejge1UojSCcJhqnzJqhofQ2m7XukBtdmT2TLjdhhmv&#10;hIkcMC0bbnbC+kSU7tTNUFZTH3hrwrNCYcfWbWptoMbjeRyrbbXpYQ9GLJiTiVJhNXXoevSy7szN&#10;cKgVPYGFDDi6jWgTN8zEjbcuSnkF9YMPfS/sU6BSyra8jzsF2Z0nC4Qa591IehgfoEbDYIaXt0hz&#10;tBailc+R+uFIu3QyGVL7yx226Y+WfBDSXQuKF+aoHSgF+ljbMCQZkH15FujsXFgQyCYeQx5t6FzA&#10;XxemgatnuCNqJwVLrqMMx2p6ffTgJKvblqdK0T4P4gZp6hSOaLiTU8kgX3mRdh4skNNw0TlKluSi&#10;8QhEPLP6zkVjrx5qLLGyaRzDk5r19lU5YL2dGwtCunPRXpjjumh0SqQGsq9sCZCdBwsC+cZFSzxu&#10;6e5ZLPSQpZgu2u7vfgu51fR8WM3Oq8Pze4gIq6Y6rDfzD9Wpuv4dr8+H2YLX63r7smie/w8AAP//&#10;AwBQSwMEFAAGAAgAAAAhAAXws23dAAAABQEAAA8AAABkcnMvZG93bnJldi54bWxMj0FLw0AQhe+C&#10;/2EZwZvdpMWYptmUUtRTEWwF8TbNTpPQ7GzIbpP037t60cvA4z3e+yZfT6YVA/WusawgnkUgiEur&#10;G64UfBxeHlIQziNrbC2Tgis5WBe3Nzlm2o78TsPeVyKUsMtQQe19l0npypoMupntiIN3sr1BH2Rf&#10;Sd3jGMpNK+dRlEiDDYeFGjva1lSe9xej4HXEcbOIn4fd+bS9fh0e3z53MSl1fzdtViA8Tf4vDD/4&#10;AR2KwHS0F9ZOtArCI/73Bi+Zp08gjgqWabIAWeTyP33xDQAA//8DAFBLAQItABQABgAIAAAAIQC2&#10;gziS/gAAAOEBAAATAAAAAAAAAAAAAAAAAAAAAABbQ29udGVudF9UeXBlc10ueG1sUEsBAi0AFAAG&#10;AAgAAAAhADj9If/WAAAAlAEAAAsAAAAAAAAAAAAAAAAALwEAAF9yZWxzLy5yZWxzUEsBAi0AFAAG&#10;AAgAAAAhAD+Hpn3LCgAA0oYAAA4AAAAAAAAAAAAAAAAALgIAAGRycy9lMm9Eb2MueG1sUEsBAi0A&#10;FAAGAAgAAAAhAAXws23dAAAABQEAAA8AAAAAAAAAAAAAAAAAJQ0AAGRycy9kb3ducmV2LnhtbFBL&#10;BQYAAAAABAAEAPMAAAAvDgAAAAA=&#10;">
                <v:rect id="Rectangle 23314" o:spid="_x0000_s7011" style="position:absolute;left:19009;top:-621;width:1784;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r5GxgAAAN4AAAAPAAAAZHJzL2Rvd25yZXYueG1sRI9Ba8JA&#10;FITvgv9heUJvulGLSHQVUcQcvNRa6PGRfSbR7Nslu5rUX98tCD0OM/MNs1x3phYPanxlWcF4lIAg&#10;zq2uuFBw/twP5yB8QNZYWyYFP+Rhver3lphq2/IHPU6hEBHCPkUFZQguldLnJRn0I+uIo3exjcEQ&#10;ZVNI3WAb4aaWkySZSYMVx4USHW1Lym+nu1HwvWOX7VuZX55bd7xm8/pwP38p9TboNgsQgbrwH361&#10;M61gMp2O3+HvTrwCcvULAAD//wMAUEsBAi0AFAAGAAgAAAAhANvh9svuAAAAhQEAABMAAAAAAAAA&#10;AAAAAAAAAAAAAFtDb250ZW50X1R5cGVzXS54bWxQSwECLQAUAAYACAAAACEAWvQsW78AAAAVAQAA&#10;CwAAAAAAAAAAAAAAAAAfAQAAX3JlbHMvLnJlbHNQSwECLQAUAAYACAAAACEADxa+RsYAAADeAAAA&#10;DwAAAAAAAAAAAAAAAAAHAgAAZHJzL2Rvd25yZXYueG1sUEsFBgAAAAADAAMAtwAAAPoCAAAAAA==&#10;" filled="f" stroked="f">
                  <v:textbox inset="0,0,0,0">
                    <w:txbxContent>
                      <w:p w14:paraId="0965A81A" w14:textId="77777777" w:rsidR="00B32EF2" w:rsidRDefault="00000000">
                        <w:r>
                          <w:rPr>
                            <w:rFonts w:ascii="Times New Roman" w:eastAsia="Times New Roman" w:hAnsi="Times New Roman" w:cs="Times New Roman"/>
                          </w:rPr>
                          <w:t>15</w:t>
                        </w:r>
                      </w:p>
                    </w:txbxContent>
                  </v:textbox>
                </v:rect>
                <v:rect id="Rectangle 202462" o:spid="_x0000_s7012" style="position:absolute;left:26357;top:61199;width:52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WKxwAAAN8AAAAPAAAAZHJzL2Rvd25yZXYueG1sRI9Ba8JA&#10;FITvBf/D8gRvdWMoItFVRJHm0IvWQo+P7DOJZt8u2dXE/npXEHocZuYbZrHqTSNu1PrasoLJOAFB&#10;XFhdc6ng+L17n4HwAVljY5kU3MnDajl4W2Cmbcd7uh1CKSKEfYYKqhBcJqUvKjLox9YRR+9kW4Mh&#10;yraUusUuwk0j0ySZSoM1x4UKHW0qKi6Hq1Hwu2WX7zpZnP427uucz5rP6/FHqdGwX89BBOrDf/jV&#10;zrWCNEk/pik8/8QvIJcPAAAA//8DAFBLAQItABQABgAIAAAAIQDb4fbL7gAAAIUBAAATAAAAAAAA&#10;AAAAAAAAAAAAAABbQ29udGVudF9UeXBlc10ueG1sUEsBAi0AFAAGAAgAAAAhAFr0LFu/AAAAFQEA&#10;AAsAAAAAAAAAAAAAAAAAHwEAAF9yZWxzLy5yZWxzUEsBAi0AFAAGAAgAAAAhAJcRNYrHAAAA3wAA&#10;AA8AAAAAAAAAAAAAAAAABwIAAGRycy9kb3ducmV2LnhtbFBLBQYAAAAAAwADALcAAAD7AgAAAAA=&#10;" filled="f" stroked="f">
                  <v:textbox inset="0,0,0,0">
                    <w:txbxContent>
                      <w:p w14:paraId="2DC86216" w14:textId="77777777" w:rsidR="00B32EF2" w:rsidRDefault="00000000">
                        <w:r>
                          <w:rPr>
                            <w:rFonts w:ascii="Arial" w:eastAsia="Arial" w:hAnsi="Arial" w:cs="Arial"/>
                            <w:sz w:val="18"/>
                          </w:rPr>
                          <w:t>6</w:t>
                        </w:r>
                      </w:p>
                    </w:txbxContent>
                  </v:textbox>
                </v:rect>
                <v:rect id="Rectangle 202464" o:spid="_x0000_s7013" style="position:absolute;left:-12830;top:61199;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AhlxwAAAN8AAAAPAAAAZHJzL2Rvd25yZXYueG1sRI9Pi8Iw&#10;FMTvC36H8IS9ralFRKpRRBF78LL+AY+P5tl2t3kJTbRdP/1mYcHjMDO/YRar3jTiQa2vLSsYjxIQ&#10;xIXVNZcKzqfdxwyED8gaG8uk4Ic8rJaDtwVm2nb8SY9jKEWEsM9QQRWCy6T0RUUG/cg64ujdbGsw&#10;RNmWUrfYRbhpZJokU2mw5rhQoaNNRcX38W4UXLfs8l0ni9tz4w5f+azZ388Xpd6H/XoOIlAfXuH/&#10;dq4VpEk6mU7g70/8AnL5CwAA//8DAFBLAQItABQABgAIAAAAIQDb4fbL7gAAAIUBAAATAAAAAAAA&#10;AAAAAAAAAAAAAABbQ29udGVudF9UeXBlc10ueG1sUEsBAi0AFAAGAAgAAAAhAFr0LFu/AAAAFQEA&#10;AAsAAAAAAAAAAAAAAAAAHwEAAF9yZWxzLy5yZWxzUEsBAi0AFAAGAAgAAAAhAHe0CGXHAAAA3wAA&#10;AA8AAAAAAAAAAAAAAAAABwIAAGRycy9kb3ducmV2LnhtbFBLBQYAAAAAAwADALcAAAD7AgAAAAA=&#10;" filled="f" stroked="f">
                  <v:textbox inset="0,0,0,0">
                    <w:txbxContent>
                      <w:p w14:paraId="55C70518" w14:textId="77777777" w:rsidR="00B32EF2" w:rsidRDefault="00000000">
                        <w:r>
                          <w:rPr>
                            <w:rFonts w:ascii="Arial" w:eastAsia="Arial" w:hAnsi="Arial" w:cs="Arial"/>
                            <w:sz w:val="18"/>
                          </w:rPr>
                          <w:t>. Alla istituzione di nuove corti di giustizia tributaria ed alle variazioni conse</w:t>
                        </w:r>
                      </w:p>
                    </w:txbxContent>
                  </v:textbox>
                </v:rect>
                <v:rect id="Rectangle 23316" o:spid="_x0000_s7014" style="position:absolute;left:196;top:61199;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IWqxgAAAN4AAAAPAAAAZHJzL2Rvd25yZXYueG1sRI9Bi8Iw&#10;FITvC/6H8ARva6qCSDWKKGIPXlZd2OOjebbV5iU00VZ//WZhweMwM98wi1VnavGgxleWFYyGCQji&#10;3OqKCwXn0+5zBsIHZI21ZVLwJA+rZe9jgam2LX/R4xgKESHsU1RQhuBSKX1ekkE/tI44ehfbGAxR&#10;NoXUDbYRbmo5TpKpNFhxXCjR0aak/Ha8GwU/W3bZrpX55bVxh2s2q/f387dSg363noMI1IV3+L+d&#10;aQXjyWQ0hb878QrI5S8AAAD//wMAUEsBAi0AFAAGAAgAAAAhANvh9svuAAAAhQEAABMAAAAAAAAA&#10;AAAAAAAAAAAAAFtDb250ZW50X1R5cGVzXS54bWxQSwECLQAUAAYACAAAACEAWvQsW78AAAAVAQAA&#10;CwAAAAAAAAAAAAAAAAAfAQAAX3JlbHMvLnJlbHNQSwECLQAUAAYACAAAACEAkIiFqsYAAADeAAAA&#10;DwAAAAAAAAAAAAAAAAAHAgAAZHJzL2Rvd25yZXYueG1sUEsFBgAAAAADAAMAtwAAAPoCAAAAAA==&#10;" filled="f" stroked="f">
                  <v:textbox inset="0,0,0,0">
                    <w:txbxContent>
                      <w:p w14:paraId="65040AB9" w14:textId="77777777" w:rsidR="00B32EF2" w:rsidRDefault="00000000">
                        <w:r>
                          <w:rPr>
                            <w:rFonts w:ascii="Arial" w:eastAsia="Arial" w:hAnsi="Arial" w:cs="Arial"/>
                            <w:sz w:val="18"/>
                          </w:rPr>
                          <w:t>-</w:t>
                        </w:r>
                      </w:p>
                    </w:txbxContent>
                  </v:textbox>
                </v:rect>
                <v:rect id="Rectangle 23317" o:spid="_x0000_s7015" style="position:absolute;left:-12201;top:59966;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AxxgAAAN4AAAAPAAAAZHJzL2Rvd25yZXYueG1sRI9Ba8JA&#10;FITvgv9heUJvulGhSnQVUcQcvNRa6PGRfSbR7Nslu5rUX98tCD0OM/MNs1x3phYPanxlWcF4lIAg&#10;zq2uuFBw/twP5yB8QNZYWyYFP+Rhver3lphq2/IHPU6hEBHCPkUFZQguldLnJRn0I+uIo3exjcEQ&#10;ZVNI3WAb4aaWkyR5lwYrjgslOtqWlN9Od6Pge8cu27cyvzy37njN5vXhfv5S6m3QbRYgAnXhP/xq&#10;Z1rBZDodz+DvTrwCcvULAAD//wMAUEsBAi0AFAAGAAgAAAAhANvh9svuAAAAhQEAABMAAAAAAAAA&#10;AAAAAAAAAAAAAFtDb250ZW50X1R5cGVzXS54bWxQSwECLQAUAAYACAAAACEAWvQsW78AAAAVAQAA&#10;CwAAAAAAAAAAAAAAAAAfAQAAX3JlbHMvLnJlbHNQSwECLQAUAAYACAAAACEA/8QgMcYAAADeAAAA&#10;DwAAAAAAAAAAAAAAAAAHAgAAZHJzL2Rvd25yZXYueG1sUEsFBgAAAAADAAMAtwAAAPoCAAAAAA==&#10;" filled="f" stroked="f">
                  <v:textbox inset="0,0,0,0">
                    <w:txbxContent>
                      <w:p w14:paraId="40C7180C" w14:textId="77777777" w:rsidR="00B32EF2" w:rsidRDefault="00000000">
                        <w:r>
                          <w:rPr>
                            <w:rFonts w:ascii="Arial" w:eastAsia="Arial" w:hAnsi="Arial" w:cs="Arial"/>
                            <w:sz w:val="18"/>
                          </w:rPr>
                          <w:t>guenti, in relazione a mutamenti dell’assetto provinciale e regionale del terri</w:t>
                        </w:r>
                      </w:p>
                    </w:txbxContent>
                  </v:textbox>
                </v:rect>
                <v:rect id="Rectangle 23318" o:spid="_x0000_s7016" style="position:absolute;left:196;top:59966;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7RDwwAAAN4AAAAPAAAAZHJzL2Rvd25yZXYueG1sRE9Ni8Iw&#10;EL0v+B/CCN7WVIVFqlFEEXvwsm4Fj0MzttVmEppoq79+c1jY4+N9L9e9acSTWl9bVjAZJyCIC6tr&#10;LhXkP/vPOQgfkDU2lknBizysV4OPJabadvxNz1MoRQxhn6KCKgSXSumLigz6sXXEkbva1mCIsC2l&#10;brGL4aaR0yT5kgZrjg0VOtpWVNxPD6PgsmOX7TtZXN9bd7xl8+bwyM9KjYb9ZgEiUB/+xX/uTCuY&#10;zmaTuDfeiVdArn4BAAD//wMAUEsBAi0AFAAGAAgAAAAhANvh9svuAAAAhQEAABMAAAAAAAAAAAAA&#10;AAAAAAAAAFtDb250ZW50X1R5cGVzXS54bWxQSwECLQAUAAYACAAAACEAWvQsW78AAAAVAQAACwAA&#10;AAAAAAAAAAAAAAAfAQAAX3JlbHMvLnJlbHNQSwECLQAUAAYACAAAACEAjlu0Q8MAAADeAAAADwAA&#10;AAAAAAAAAAAAAAAHAgAAZHJzL2Rvd25yZXYueG1sUEsFBgAAAAADAAMAtwAAAPcCAAAAAA==&#10;" filled="f" stroked="f">
                  <v:textbox inset="0,0,0,0">
                    <w:txbxContent>
                      <w:p w14:paraId="5E288FC8" w14:textId="77777777" w:rsidR="00B32EF2" w:rsidRDefault="00000000">
                        <w:r>
                          <w:rPr>
                            <w:rFonts w:ascii="Arial" w:eastAsia="Arial" w:hAnsi="Arial" w:cs="Arial"/>
                            <w:sz w:val="18"/>
                          </w:rPr>
                          <w:t>-</w:t>
                        </w:r>
                      </w:p>
                    </w:txbxContent>
                  </v:textbox>
                </v:rect>
                <v:rect id="Rectangle 23319" o:spid="_x0000_s7017" style="position:absolute;left:-13167;top:58733;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HYxgAAAN4AAAAPAAAAZHJzL2Rvd25yZXYueG1sRI9Ba8JA&#10;FITvgv9heUJvdaNCsdFVRBFz8KK10OMj+0yi2bdLdjWpv74rFDwOM/MNM192phZ3anxlWcFomIAg&#10;zq2uuFBw+tq+T0H4gKyxtkwKfsnDctHvzTHVtuUD3Y+hEBHCPkUFZQguldLnJRn0Q+uIo3e2jcEQ&#10;ZVNI3WAb4aaW4yT5kAYrjgslOlqXlF+PN6PgZ8Mu27YyPz/Wbn/JpvXudvpW6m3QrWYgAnXhFf5v&#10;Z1rBeDIZfcLzTrwCcvEHAAD//wMAUEsBAi0AFAAGAAgAAAAhANvh9svuAAAAhQEAABMAAAAAAAAA&#10;AAAAAAAAAAAAAFtDb250ZW50X1R5cGVzXS54bWxQSwECLQAUAAYACAAAACEAWvQsW78AAAAVAQAA&#10;CwAAAAAAAAAAAAAAAAAfAQAAX3JlbHMvLnJlbHNQSwECLQAUAAYACAAAACEA4RcR2MYAAADeAAAA&#10;DwAAAAAAAAAAAAAAAAAHAgAAZHJzL2Rvd25yZXYueG1sUEsFBgAAAAADAAMAtwAAAPoCAAAAAA==&#10;" filled="f" stroked="f">
                  <v:textbox inset="0,0,0,0">
                    <w:txbxContent>
                      <w:p w14:paraId="6927FE0F" w14:textId="77777777" w:rsidR="00B32EF2" w:rsidRDefault="00000000">
                        <w:r>
                          <w:rPr>
                            <w:rFonts w:ascii="Arial" w:eastAsia="Arial" w:hAnsi="Arial" w:cs="Arial"/>
                            <w:sz w:val="18"/>
                          </w:rPr>
                          <w:t xml:space="preserve">torio della Repubblica, si provvede con decreto del Ministro dell’economia e </w:t>
                        </w:r>
                      </w:p>
                    </w:txbxContent>
                  </v:textbox>
                </v:rect>
                <v:rect id="Rectangle 23320" o:spid="_x0000_s7018" style="position:absolute;left:3351;top:57499;width:365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L4xAAAAN4AAAAPAAAAZHJzL2Rvd25yZXYueG1sRI/NisIw&#10;FIX3A75DuIK7MbXCINUooohduBlHweWlubbV5iY00VaffrIYmOXh/PEtVr1pxJNaX1tWMBknIIgL&#10;q2suFZx+dp8zED4ga2wsk4IXeVgtBx8LzLTt+Juex1CKOMI+QwVVCC6T0hcVGfRj64ijd7WtwRBl&#10;W0rdYhfHTSPTJPmSBmuODxU62lRU3I8Po+CyZZfvOllc3xt3uOWzZv84nZUaDfv1HESgPvyH/9q5&#10;VpBOp2kEiDgRBeTyFwAA//8DAFBLAQItABQABgAIAAAAIQDb4fbL7gAAAIUBAAATAAAAAAAAAAAA&#10;AAAAAAAAAABbQ29udGVudF9UeXBlc10ueG1sUEsBAi0AFAAGAAgAAAAhAFr0LFu/AAAAFQEAAAsA&#10;AAAAAAAAAAAAAAAAHwEAAF9yZWxzLy5yZWxzUEsBAi0AFAAGAAgAAAAhAL5BcvjEAAAA3gAAAA8A&#10;AAAAAAAAAAAAAAAABwIAAGRycy9kb3ducmV2LnhtbFBLBQYAAAAAAwADALcAAAD4AgAAAAA=&#10;" filled="f" stroked="f">
                  <v:textbox inset="0,0,0,0">
                    <w:txbxContent>
                      <w:p w14:paraId="4AEDB53D" w14:textId="77777777" w:rsidR="00B32EF2" w:rsidRDefault="00000000">
                        <w:r>
                          <w:rPr>
                            <w:rFonts w:ascii="Arial" w:eastAsia="Arial" w:hAnsi="Arial" w:cs="Arial"/>
                            <w:sz w:val="18"/>
                          </w:rPr>
                          <w:t>delle finanze di concerto con il Ministro della giustizia.</w:t>
                        </w:r>
                      </w:p>
                    </w:txbxContent>
                  </v:textbox>
                </v:rect>
                <v:rect id="Rectangle 23321" o:spid="_x0000_s7019" style="position:absolute;left:15613;top:55033;width:72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ddjxgAAAN4AAAAPAAAAZHJzL2Rvd25yZXYueG1sRI9Ba8JA&#10;FITvgv9heYXedGMEkegqRZHm4EWr4PGRfSZps2+X7Gpif31XEHocZuYbZrnuTSPu1PrasoLJOAFB&#10;XFhdc6ng9LUbzUH4gKyxsUwKHuRhvRoOlphp2/GB7sdQighhn6GCKgSXSemLigz6sXXE0bva1mCI&#10;si2lbrGLcNPINElm0mDNcaFCR5uKip/jzSi4bNnlu04W19+N23/n8+bzdjor9f7WfyxABOrDf/jV&#10;zrWCdDpNJ/C8E6+AXP0BAAD//wMAUEsBAi0AFAAGAAgAAAAhANvh9svuAAAAhQEAABMAAAAAAAAA&#10;AAAAAAAAAAAAAFtDb250ZW50X1R5cGVzXS54bWxQSwECLQAUAAYACAAAACEAWvQsW78AAAAVAQAA&#10;CwAAAAAAAAAAAAAAAAAfAQAAX3JlbHMvLnJlbHNQSwECLQAUAAYACAAAACEA0Q3XY8YAAADeAAAA&#10;DwAAAAAAAAAAAAAAAAAHAgAAZHJzL2Rvd25yZXYueG1sUEsFBgAAAAADAAMAtwAAAPoCAAAAAA==&#10;" filled="f" stroked="f">
                  <v:textbox inset="0,0,0,0">
                    <w:txbxContent>
                      <w:p w14:paraId="13447D36" w14:textId="77777777" w:rsidR="00B32EF2" w:rsidRDefault="00000000">
                        <w:r>
                          <w:rPr>
                            <w:rFonts w:ascii="Arial" w:eastAsia="Arial" w:hAnsi="Arial" w:cs="Arial"/>
                            <w:b/>
                            <w:sz w:val="18"/>
                          </w:rPr>
                          <w:t>Articolo 2</w:t>
                        </w:r>
                      </w:p>
                    </w:txbxContent>
                  </v:textbox>
                </v:rect>
                <v:rect id="Rectangle 202459" o:spid="_x0000_s7020" style="position:absolute;left:25844;top:53799;width:477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W1GyAAAAN8AAAAPAAAAZHJzL2Rvd25yZXYueG1sRI9Ba8JA&#10;FITvgv9heUJvummoJU1dRRRpDr1oLfT4yD6TtNm3S3Y1qb++KxQ8DjPzDbNYDaYVF+p8Y1nB4ywB&#10;QVxa3XCl4Pixm2YgfEDW2FomBb/kYbUcjxaYa9vzni6HUIkIYZ+jgjoEl0vpy5oM+pl1xNE72c5g&#10;iLKrpO6wj3DTyjRJnqXBhuNCjY42NZU/h7NR8LVlV+x6WZ6uG/f+XWTt2/n4qdTDZFi/ggg0hHv4&#10;v11oBWmSPs1f4PYnfgG5/AMAAP//AwBQSwECLQAUAAYACAAAACEA2+H2y+4AAACFAQAAEwAAAAAA&#10;AAAAAAAAAAAAAAAAW0NvbnRlbnRfVHlwZXNdLnhtbFBLAQItABQABgAIAAAAIQBa9CxbvwAAABUB&#10;AAALAAAAAAAAAAAAAAAAAB8BAABfcmVscy8ucmVsc1BLAQItABQABgAIAAAAIQBX2W1GyAAAAN8A&#10;AAAPAAAAAAAAAAAAAAAAAAcCAABkcnMvZG93bnJldi54bWxQSwUGAAAAAAMAAwC3AAAA/AIAAAAA&#10;" filled="f" stroked="f">
                  <v:textbox inset="0,0,0,0">
                    <w:txbxContent>
                      <w:p w14:paraId="7C424937" w14:textId="77777777" w:rsidR="00B32EF2" w:rsidRDefault="00000000">
                        <w:r>
                          <w:rPr>
                            <w:rFonts w:ascii="Arial" w:eastAsia="Arial" w:hAnsi="Arial" w:cs="Arial"/>
                            <w:i/>
                            <w:sz w:val="18"/>
                          </w:rPr>
                          <w:t>(</w:t>
                        </w:r>
                      </w:p>
                    </w:txbxContent>
                  </v:textbox>
                </v:rect>
                <v:rect id="Rectangle 202460" o:spid="_x0000_s7021" style="position:absolute;left:-40490;top:53799;width:477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w5mxQAAAN8AAAAPAAAAZHJzL2Rvd25yZXYueG1sRI/NisIw&#10;FIX3A75DuIK7MbWISDWKKGIXbsZRcHlprm21uQlNtHWefrIYmOXh/PEt171pxItaX1tWMBknIIgL&#10;q2suFZy/959zED4ga2wsk4I3eVivBh9LzLTt+Itep1CKOMI+QwVVCC6T0hcVGfRj64ijd7OtwRBl&#10;W0rdYhfHTSPTJJlJgzXHhwodbSsqHqenUXDdscv3nSxuP1t3vOfz5vA8X5QaDfvNAkSgPvyH/9q5&#10;VpAm6XQWCSJPZAG5+gUAAP//AwBQSwECLQAUAAYACAAAACEA2+H2y+4AAACFAQAAEwAAAAAAAAAA&#10;AAAAAAAAAAAAW0NvbnRlbnRfVHlwZXNdLnhtbFBLAQItABQABgAIAAAAIQBa9CxbvwAAABUBAAAL&#10;AAAAAAAAAAAAAAAAAB8BAABfcmVscy8ucmVsc1BLAQItABQABgAIAAAAIQAIjw5mxQAAAN8AAAAP&#10;AAAAAAAAAAAAAAAAAAcCAABkcnMvZG93bnJldi54bWxQSwUGAAAAAAMAAwC3AAAA+QIAAAAA&#10;" filled="f" stroked="f">
                  <v:textbox inset="0,0,0,0">
                    <w:txbxContent>
                      <w:p w14:paraId="0E298842" w14:textId="77777777" w:rsidR="00B32EF2" w:rsidRDefault="00000000">
                        <w:r>
                          <w:rPr>
                            <w:rFonts w:ascii="Arial" w:eastAsia="Arial" w:hAnsi="Arial" w:cs="Arial"/>
                            <w:i/>
                            <w:sz w:val="18"/>
                          </w:rPr>
                          <w:t>183/2011)</w:t>
                        </w:r>
                      </w:p>
                    </w:txbxContent>
                  </v:textbox>
                </v:rect>
                <v:rect id="Rectangle 202461" o:spid="_x0000_s7022" style="position:absolute;left:-4948;top:53799;width:477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6v9yAAAAN8AAAAPAAAAZHJzL2Rvd25yZXYueG1sRI9Pa8JA&#10;FMTvBb/D8oTe6sZQRKIbEUWaQy+1Ch4f2Zc/mn27ZFeT9tN3C4Ueh5n5DbPejKYTD+p9a1nBfJaA&#10;IC6tbrlWcPo8vCxB+ICssbNMCr7IwyafPK0x03bgD3ocQy0ihH2GCpoQXCalLxsy6GfWEUevsr3B&#10;EGVfS93jEOGmk2mSLKTBluNCg452DZW3490ouOzZFYdBltX3zr1fi2X3dj+dlXqejtsViEBj+A//&#10;tQutIE3S18Ucfv/ELyDzHwAAAP//AwBQSwECLQAUAAYACAAAACEA2+H2y+4AAACFAQAAEwAAAAAA&#10;AAAAAAAAAAAAAAAAW0NvbnRlbnRfVHlwZXNdLnhtbFBLAQItABQABgAIAAAAIQBa9CxbvwAAABUB&#10;AAALAAAAAAAAAAAAAAAAAB8BAABfcmVscy8ucmVsc1BLAQItABQABgAIAAAAIQBnw6v9yAAAAN8A&#10;AAAPAAAAAAAAAAAAAAAAAAcCAABkcnMvZG93bnJldi54bWxQSwUGAAAAAAMAAwC3AAAA/AIAAAAA&#10;" filled="f" stroked="f">
                  <v:textbox inset="0,0,0,0">
                    <w:txbxContent>
                      <w:p w14:paraId="0D92AD60" w14:textId="77777777" w:rsidR="00B32EF2" w:rsidRDefault="00000000">
                        <w:r>
                          <w:rPr>
                            <w:rFonts w:ascii="Arial" w:eastAsia="Arial" w:hAnsi="Arial" w:cs="Arial"/>
                            <w:i/>
                            <w:sz w:val="18"/>
                          </w:rPr>
                          <w:t xml:space="preserve">articolo 1-bis D.lgs. n. 545/92; articolo 4, comma 39-bis, L. </w:t>
                        </w:r>
                      </w:p>
                    </w:txbxContent>
                  </v:textbox>
                </v:rect>
                <v:rect id="Rectangle 23323" o:spid="_x0000_s7023" style="position:absolute;left:7779;top:52566;width:195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yPxwAAAN4AAAAPAAAAZHJzL2Rvd25yZXYueG1sRI9Ba8JA&#10;FITvBf/D8oTe6sYEiqRuQlGkOfRStdDjI/tM0mbfLtnVpP56t1DwOMzMN8y6nEwvLjT4zrKC5SIB&#10;QVxb3XGj4HjYPa1A+ICssbdMCn7JQ1nMHtaYazvyB132oRERwj5HBW0ILpfS1y0Z9AvriKN3soPB&#10;EOXQSD3gGOGml2mSPEuDHceFFh1tWqp/9mej4GvLrtqNsj5dN+79u1r1b+fjp1KP8+n1BUSgKdzD&#10;/+1KK0izLM3g7068ArK4AQAA//8DAFBLAQItABQABgAIAAAAIQDb4fbL7gAAAIUBAAATAAAAAAAA&#10;AAAAAAAAAAAAAABbQ29udGVudF9UeXBlc10ueG1sUEsBAi0AFAAGAAgAAAAhAFr0LFu/AAAAFQEA&#10;AAsAAAAAAAAAAAAAAAAAHwEAAF9yZWxzLy5yZWxzUEsBAi0AFAAGAAgAAAAhAE6T7I/HAAAA3gAA&#10;AA8AAAAAAAAAAAAAAAAABwIAAGRycy9kb3ducmV2LnhtbFBLBQYAAAAAAwADALcAAAD7AgAAAAA=&#10;" filled="f" stroked="f">
                  <v:textbox inset="0,0,0,0">
                    <w:txbxContent>
                      <w:p w14:paraId="7EEFB7AA" w14:textId="77777777" w:rsidR="00B32EF2" w:rsidRDefault="00000000">
                        <w:r>
                          <w:rPr>
                            <w:rFonts w:ascii="Arial" w:eastAsia="Arial" w:hAnsi="Arial" w:cs="Arial"/>
                            <w:b/>
                            <w:sz w:val="18"/>
                          </w:rPr>
                          <w:t xml:space="preserve">La giurisdizione tributaria </w:t>
                        </w:r>
                      </w:p>
                    </w:txbxContent>
                  </v:textbox>
                </v:rect>
                <v:rect id="Rectangle 202457" o:spid="_x0000_s7024" style="position:absolute;left:26114;top:513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lyvyAAAAN8AAAAPAAAAZHJzL2Rvd25yZXYueG1sRI9Ba8JA&#10;FITvgv9heUJvummoraSuIoo0h160KfT4yD6TtNm3S3Y1qb++KxQ8DjPzDbNcD6YVF+p8Y1nB4ywB&#10;QVxa3XCloPjYTxcgfEDW2FomBb/kYb0aj5aYadvzgS7HUIkIYZ+hgjoEl0npy5oM+pl1xNE72c5g&#10;iLKrpO6wj3DTyjRJnqXBhuNCjY62NZU/x7NR8LVjl+97WZ6uW/f+nS/at3PxqdTDZNi8ggg0hHv4&#10;v51rBWmSPs1f4PYnfgG5+gMAAP//AwBQSwECLQAUAAYACAAAACEA2+H2y+4AAACFAQAAEwAAAAAA&#10;AAAAAAAAAAAAAAAAW0NvbnRlbnRfVHlwZXNdLnhtbFBLAQItABQABgAIAAAAIQBa9CxbvwAAABUB&#10;AAALAAAAAAAAAAAAAAAAAB8BAABfcmVscy8ucmVsc1BLAQItABQABgAIAAAAIQBJClyvyAAAAN8A&#10;AAAPAAAAAAAAAAAAAAAAAAcCAABkcnMvZG93bnJldi54bWxQSwUGAAAAAAMAAwC3AAAA/AIAAAAA&#10;" filled="f" stroked="f">
                  <v:textbox inset="0,0,0,0">
                    <w:txbxContent>
                      <w:p w14:paraId="5B0EB790" w14:textId="77777777" w:rsidR="00B32EF2" w:rsidRDefault="00000000">
                        <w:r>
                          <w:rPr>
                            <w:rFonts w:ascii="Arial" w:eastAsia="Arial" w:hAnsi="Arial" w:cs="Arial"/>
                            <w:sz w:val="18"/>
                          </w:rPr>
                          <w:t>1</w:t>
                        </w:r>
                      </w:p>
                    </w:txbxContent>
                  </v:textbox>
                </v:rect>
                <v:rect id="Rectangle 202458" o:spid="_x0000_s7025" style="position:absolute;left:-13758;top:51333;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cjdxQAAAN8AAAAPAAAAZHJzL2Rvd25yZXYueG1sRE/LisIw&#10;FN0P+A/hCu7G1DIzSDWKKDJduBkf4PLSXNtqcxOaaKtfP1kMzPJw3vNlbxrxoNbXlhVMxgkI4sLq&#10;mksFx8P2fQrCB2SNjWVS8CQPy8XgbY6Zth3/0GMfShFD2GeooArBZVL6oiKDfmwdceQutjUYImxL&#10;qVvsYrhpZJokX9JgzbGhQkfriorb/m4UnDfs8m0ni8tr7XbXfNp8348npUbDfjUDEagP/+I/d64V&#10;pEn68RkHxz/xC8jFLwAAAP//AwBQSwECLQAUAAYACAAAACEA2+H2y+4AAACFAQAAEwAAAAAAAAAA&#10;AAAAAAAAAAAAW0NvbnRlbnRfVHlwZXNdLnhtbFBLAQItABQABgAIAAAAIQBa9CxbvwAAABUBAAAL&#10;AAAAAAAAAAAAAAAAAB8BAABfcmVscy8ucmVsc1BLAQItABQABgAIAAAAIQA4lcjdxQAAAN8AAAAP&#10;AAAAAAAAAAAAAAAAAAcCAABkcnMvZG93bnJldi54bWxQSwUGAAAAAAMAAwC3AAAA+QIAAAAA&#10;" filled="f" stroked="f">
                  <v:textbox inset="0,0,0,0">
                    <w:txbxContent>
                      <w:p w14:paraId="7BDE3D4E" w14:textId="77777777" w:rsidR="00B32EF2" w:rsidRDefault="00000000">
                        <w:r>
                          <w:rPr>
                            <w:rFonts w:ascii="Arial" w:eastAsia="Arial" w:hAnsi="Arial" w:cs="Arial"/>
                            <w:sz w:val="18"/>
                          </w:rPr>
                          <w:t xml:space="preserve">. La giurisdizione tributaria è esercitata dai magistrati tributari di cui al comma </w:t>
                        </w:r>
                      </w:p>
                    </w:txbxContent>
                  </v:textbox>
                </v:rect>
                <v:rect id="Rectangle 202454" o:spid="_x0000_s7026" style="position:absolute;left:26585;top:50099;width:511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MLYxwAAAN8AAAAPAAAAZHJzL2Rvd25yZXYueG1sRI9Ba8JA&#10;FITvhf6H5RV6qxuDFomuIoqYgxetBY+P7DNJm327ZFeT+utdoeBxmJlvmNmiN424UutrywqGgwQE&#10;cWF1zaWC49fmYwLCB2SNjWVS8EceFvPXlxlm2na8p+shlCJC2GeooArBZVL6oiKDfmAdcfTOtjUY&#10;omxLqVvsItw0Mk2ST2mw5rhQoaNVRcXv4WIUnNbs8k0ni/Nt5XY/+aTZXo7fSr2/9cspiEB9eIb/&#10;27lWkCbpaDyCx5/4BeT8DgAA//8DAFBLAQItABQABgAIAAAAIQDb4fbL7gAAAIUBAAATAAAAAAAA&#10;AAAAAAAAAAAAAABbQ29udGVudF9UeXBlc10ueG1sUEsBAi0AFAAGAAgAAAAhAFr0LFu/AAAAFQEA&#10;AAsAAAAAAAAAAAAAAAAAHwEAAF9yZWxzLy5yZWxzUEsBAi0AFAAGAAgAAAAhALnYwtjHAAAA3wAA&#10;AA8AAAAAAAAAAAAAAAAABwIAAGRycy9kb3ducmV2LnhtbFBLBQYAAAAAAwADALcAAAD7AgAAAAA=&#10;" filled="f" stroked="f">
                  <v:textbox inset="0,0,0,0">
                    <w:txbxContent>
                      <w:p w14:paraId="73DD3F05" w14:textId="77777777" w:rsidR="00B32EF2" w:rsidRDefault="00000000">
                        <w:r>
                          <w:rPr>
                            <w:rFonts w:ascii="Arial" w:eastAsia="Arial" w:hAnsi="Arial" w:cs="Arial"/>
                            <w:sz w:val="18"/>
                          </w:rPr>
                          <w:t>4</w:t>
                        </w:r>
                      </w:p>
                    </w:txbxContent>
                  </v:textbox>
                </v:rect>
                <v:rect id="Rectangle 202456" o:spid="_x0000_s7027" style="position:absolute;left:-10940;top:50099;width:511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vk0xwAAAN8AAAAPAAAAZHJzL2Rvd25yZXYueG1sRI9Ba8JA&#10;FITvQv/D8gredGOwItFVRBFz6KXWgsdH9pmkzb5dsqtJ++u7guBxmJlvmOW6N424Uetrywom4wQE&#10;cWF1zaWC0+d+NAfhA7LGxjIp+CUP69XLYImZth1/0O0YShEh7DNUUIXgMil9UZFBP7aOOHoX2xoM&#10;Ubal1C12EW4amSbJTBqsOS5U6GhbUfFzvBoF5x27fN/J4vK3de/f+bw5XE9fSg1f+80CRKA+PMOP&#10;dq4VpEk6fZvB/U/8AnL1DwAA//8DAFBLAQItABQABgAIAAAAIQDb4fbL7gAAAIUBAAATAAAAAAAA&#10;AAAAAAAAAAAAAABbQ29udGVudF9UeXBlc10ueG1sUEsBAi0AFAAGAAgAAAAhAFr0LFu/AAAAFQEA&#10;AAsAAAAAAAAAAAAAAAAAHwEAAF9yZWxzLy5yZWxzUEsBAi0AFAAGAAgAAAAhACZG+TTHAAAA3wAA&#10;AA8AAAAAAAAAAAAAAAAABwIAAGRycy9kb3ducmV2LnhtbFBLBQYAAAAAAwADALcAAAD7AgAAAAA=&#10;" filled="f" stroked="f">
                  <v:textbox inset="0,0,0,0">
                    <w:txbxContent>
                      <w:p w14:paraId="47C08B6D" w14:textId="77777777" w:rsidR="00B32EF2" w:rsidRDefault="00000000">
                        <w:r>
                          <w:rPr>
                            <w:rFonts w:ascii="Arial" w:eastAsia="Arial" w:hAnsi="Arial" w:cs="Arial"/>
                            <w:sz w:val="18"/>
                          </w:rPr>
                          <w:t xml:space="preserve"> e dai giudici tributari presenti nel ruolo unico nazionale di cui al comma </w:t>
                        </w:r>
                      </w:p>
                    </w:txbxContent>
                  </v:textbox>
                </v:rect>
                <v:rect id="Rectangle 202455" o:spid="_x0000_s7028" style="position:absolute;left:-48794;top:50099;width:511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GdDxwAAAN8AAAAPAAAAZHJzL2Rvd25yZXYueG1sRI9Ba8JA&#10;FITvQv/D8gredGPQItFVRBFz6EVrweMj+0zSZt8u2dWk/fVdoeBxmJlvmOW6N424U+trywom4wQE&#10;cWF1zaWC88d+NAfhA7LGxjIp+CEP69XLYImZth0f6X4KpYgQ9hkqqEJwmZS+qMigH1tHHL2rbQ2G&#10;KNtS6ha7CDeNTJPkTRqsOS5U6GhbUfF9uhkFlx27fN/J4vq7de9f+bw53M6fSg1f+80CRKA+PMP/&#10;7VwrSJN0OpvB40/8AnL1BwAA//8DAFBLAQItABQABgAIAAAAIQDb4fbL7gAAAIUBAAATAAAAAAAA&#10;AAAAAAAAAAAAAABbQ29udGVudF9UeXBlc10ueG1sUEsBAi0AFAAGAAgAAAAhAFr0LFu/AAAAFQEA&#10;AAsAAAAAAAAAAAAAAAAAHwEAAF9yZWxzLy5yZWxzUEsBAi0AFAAGAAgAAAAhANaUZ0PHAAAA3wAA&#10;AA8AAAAAAAAAAAAAAAAABwIAAGRycy9kb3ducmV2LnhtbFBLBQYAAAAAAwADALcAAAD7AgAAAAA=&#10;" filled="f" stroked="f">
                  <v:textbox inset="0,0,0,0">
                    <w:txbxContent>
                      <w:p w14:paraId="7CEADFEE" w14:textId="77777777" w:rsidR="00B32EF2" w:rsidRDefault="00000000">
                        <w:r>
                          <w:rPr>
                            <w:rFonts w:ascii="Arial" w:eastAsia="Arial" w:hAnsi="Arial" w:cs="Arial"/>
                            <w:sz w:val="18"/>
                          </w:rPr>
                          <w:t>2.</w:t>
                        </w:r>
                      </w:p>
                    </w:txbxContent>
                  </v:textbox>
                </v:rect>
                <v:rect id="Rectangle 202452" o:spid="_x0000_s7029" style="position:absolute;left:26114;top:48866;width:530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f83xwAAAN8AAAAPAAAAZHJzL2Rvd25yZXYueG1sRI9Ba8JA&#10;FITvBf/D8gRvdWNoi0RXEUWag5daBY+P7DOJZt8u2dVEf323UOhxmJlvmPmyN424U+trywom4wQE&#10;cWF1zaWCw/f2dQrCB2SNjWVS8CAPy8XgZY6Zth1/0X0fShEh7DNUUIXgMil9UZFBP7aOOHpn2xoM&#10;Ubal1C12EW4amSbJhzRYc1yo0NG6ouK6vxkFpw27fNvJ4vxcu90lnzaft8NRqdGwX81ABOrDf/iv&#10;nWsFaZK+vafw+yd+Abn4AQAA//8DAFBLAQItABQABgAIAAAAIQDb4fbL7gAAAIUBAAATAAAAAAAA&#10;AAAAAAAAAAAAAABbQ29udGVudF9UeXBlc10ueG1sUEsBAi0AFAAGAAgAAAAhAFr0LFu/AAAAFQEA&#10;AAsAAAAAAAAAAAAAAAAAHwEAAF9yZWxzLy5yZWxzUEsBAi0AFAAGAAgAAAAhAFl9/zfHAAAA3wAA&#10;AA8AAAAAAAAAAAAAAAAABwIAAGRycy9kb3ducmV2LnhtbFBLBQYAAAAAAwADALcAAAD7AgAAAAA=&#10;" filled="f" stroked="f">
                  <v:textbox inset="0,0,0,0">
                    <w:txbxContent>
                      <w:p w14:paraId="1318ED8B" w14:textId="77777777" w:rsidR="00B32EF2" w:rsidRDefault="00000000">
                        <w:r>
                          <w:rPr>
                            <w:rFonts w:ascii="Arial" w:eastAsia="Arial" w:hAnsi="Arial" w:cs="Arial"/>
                            <w:sz w:val="18"/>
                          </w:rPr>
                          <w:t>2</w:t>
                        </w:r>
                      </w:p>
                    </w:txbxContent>
                  </v:textbox>
                </v:rect>
                <v:rect id="Rectangle 202453" o:spid="_x0000_s7030" style="position:absolute;left:-13813;top:4886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VqsyAAAAN8AAAAPAAAAZHJzL2Rvd25yZXYueG1sRI9Ba8JA&#10;FITvgv9heUJvumlqi6SuIoo0h160KfT4yD6TtNm3S3Y1qb++KxQ8DjPzDbNcD6YVF+p8Y1nB4ywB&#10;QVxa3XCloPjYTxcgfEDW2FomBb/kYb0aj5aYadvzgS7HUIkIYZ+hgjoEl0npy5oM+pl1xNE72c5g&#10;iLKrpO6wj3DTyjRJXqTBhuNCjY62NZU/x7NR8LVjl+97WZ6uW/f+nS/at3PxqdTDZNi8ggg0hHv4&#10;v51rBWmSzp+f4PYnfgG5+gMAAP//AwBQSwECLQAUAAYACAAAACEA2+H2y+4AAACFAQAAEwAAAAAA&#10;AAAAAAAAAAAAAAAAW0NvbnRlbnRfVHlwZXNdLnhtbFBLAQItABQABgAIAAAAIQBa9CxbvwAAABUB&#10;AAALAAAAAAAAAAAAAAAAAB8BAABfcmVscy8ucmVsc1BLAQItABQABgAIAAAAIQA2MVqsyAAAAN8A&#10;AAAPAAAAAAAAAAAAAAAAAAcCAABkcnMvZG93bnJldi54bWxQSwUGAAAAAAMAAwC3AAAA/AIAAAAA&#10;" filled="f" stroked="f">
                  <v:textbox inset="0,0,0,0">
                    <w:txbxContent>
                      <w:p w14:paraId="28CFE3D0" w14:textId="77777777" w:rsidR="00B32EF2" w:rsidRDefault="00000000">
                        <w:r>
                          <w:rPr>
                            <w:rFonts w:ascii="Arial" w:eastAsia="Arial" w:hAnsi="Arial" w:cs="Arial"/>
                            <w:sz w:val="18"/>
                          </w:rPr>
                          <w:t xml:space="preserve">. Nel ruolo unico nazionale dei componenti delle Corti di giustizia tributaria, </w:t>
                        </w:r>
                      </w:p>
                    </w:txbxContent>
                  </v:textbox>
                </v:rect>
                <v:rect id="Rectangle 23327" o:spid="_x0000_s7031" style="position:absolute;left:-12201;top:47633;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OqMxwAAAN4AAAAPAAAAZHJzL2Rvd25yZXYueG1sRI9Pa8JA&#10;FMTvBb/D8oTe6qYRrERXKRZpDl78Bx4f2WeSNvt2ya4m9dO7QsHjMDO/YebL3jTiSq2vLSt4HyUg&#10;iAuray4VHPbrtykIH5A1NpZJwR95WC4GL3PMtO14S9ddKEWEsM9QQRWCy6T0RUUG/cg64uidbWsw&#10;RNmWUrfYRbhpZJokE2mw5rhQoaNVRcXv7mIUnL7Y5etOFufbym1+8mnzfTkclXod9p8zEIH68Az/&#10;t3OtIB2P0w943IlXQC7uAAAA//8DAFBLAQItABQABgAIAAAAIQDb4fbL7gAAAIUBAAATAAAAAAAA&#10;AAAAAAAAAAAAAABbQ29udGVudF9UeXBlc10ueG1sUEsBAi0AFAAGAAgAAAAhAFr0LFu/AAAAFQEA&#10;AAsAAAAAAAAAAAAAAAAAHwEAAF9yZWxzLy5yZWxzUEsBAi0AFAAGAAgAAAAhADGo6ozHAAAA3gAA&#10;AA8AAAAAAAAAAAAAAAAABwIAAGRycy9kb3ducmV2LnhtbFBLBQYAAAAAAwADALcAAAD7AgAAAAA=&#10;" filled="f" stroked="f">
                  <v:textbox inset="0,0,0,0">
                    <w:txbxContent>
                      <w:p w14:paraId="621ED5D3" w14:textId="77777777" w:rsidR="00B32EF2" w:rsidRDefault="00000000">
                        <w:r>
                          <w:rPr>
                            <w:rFonts w:ascii="Arial" w:eastAsia="Arial" w:hAnsi="Arial" w:cs="Arial"/>
                            <w:sz w:val="18"/>
                          </w:rPr>
                          <w:t>tenuto dal Consiglio di presidenza della giustizia tributaria, sono inseriti, an</w:t>
                        </w:r>
                      </w:p>
                    </w:txbxContent>
                  </v:textbox>
                </v:rect>
                <v:rect id="Rectangle 23328" o:spid="_x0000_s7032" style="position:absolute;left:196;top:47633;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37+wwAAAN4AAAAPAAAAZHJzL2Rvd25yZXYueG1sRE9Ni8Iw&#10;EL0v+B/CCN7W1AqLVKOIIvbgZV0Fj0MzttVmEppoq79+c1jY4+N9L1a9acSTWl9bVjAZJyCIC6tr&#10;LhWcfnafMxA+IGtsLJOCF3lYLQcfC8y07fibnsdQihjCPkMFVQguk9IXFRn0Y+uII3e1rcEQYVtK&#10;3WIXw00j0yT5kgZrjg0VOtpUVNyPD6PgsmWX7zpZXN8bd7jls2b/OJ2VGg379RxEoD78i//cuVaQ&#10;Tqdp3BvvxCsgl78AAAD//wMAUEsBAi0AFAAGAAgAAAAhANvh9svuAAAAhQEAABMAAAAAAAAAAAAA&#10;AAAAAAAAAFtDb250ZW50X1R5cGVzXS54bWxQSwECLQAUAAYACAAAACEAWvQsW78AAAAVAQAACwAA&#10;AAAAAAAAAAAAAAAfAQAAX3JlbHMvLnJlbHNQSwECLQAUAAYACAAAACEAQDd+/sMAAADeAAAADwAA&#10;AAAAAAAAAAAAAAAHAgAAZHJzL2Rvd25yZXYueG1sUEsFBgAAAAADAAMAtwAAAPcCAAAAAA==&#10;" filled="f" stroked="f">
                  <v:textbox inset="0,0,0,0">
                    <w:txbxContent>
                      <w:p w14:paraId="514D71BD" w14:textId="77777777" w:rsidR="00B32EF2" w:rsidRDefault="00000000">
                        <w:r>
                          <w:rPr>
                            <w:rFonts w:ascii="Arial" w:eastAsia="Arial" w:hAnsi="Arial" w:cs="Arial"/>
                            <w:sz w:val="18"/>
                          </w:rPr>
                          <w:t>-</w:t>
                        </w:r>
                      </w:p>
                    </w:txbxContent>
                  </v:textbox>
                </v:rect>
                <v:rect id="Rectangle 23329" o:spid="_x0000_s7033" style="position:absolute;left:-13167;top:46400;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9tlxwAAAN4AAAAPAAAAZHJzL2Rvd25yZXYueG1sRI9Pa8JA&#10;FMTvBb/D8oTedNMIotFVikWag5f6Bzw+ss8kbfbtkl1N6qd3C0KPw8z8hlmue9OIG7W+tqzgbZyA&#10;IC6srrlUcDxsRzMQPiBrbCyTgl/ysF4NXpaYadvxF932oRQRwj5DBVUILpPSFxUZ9GPriKN3sa3B&#10;EGVbSt1iF+GmkWmSTKXBmuNChY42FRU/+6tRcP5gl287WVzuG7f7zmfN5/V4Uup12L8vQATqw3/4&#10;2c61gnQySefwdydeAbl6AAAA//8DAFBLAQItABQABgAIAAAAIQDb4fbL7gAAAIUBAAATAAAAAAAA&#10;AAAAAAAAAAAAAABbQ29udGVudF9UeXBlc10ueG1sUEsBAi0AFAAGAAgAAAAhAFr0LFu/AAAAFQEA&#10;AAsAAAAAAAAAAAAAAAAAHwEAAF9yZWxzLy5yZWxzUEsBAi0AFAAGAAgAAAAhAC9722XHAAAA3gAA&#10;AA8AAAAAAAAAAAAAAAAABwIAAGRycy9kb3ducmV2LnhtbFBLBQYAAAAAAwADALcAAAD7AgAAAAA=&#10;" filled="f" stroked="f">
                  <v:textbox inset="0,0,0,0">
                    <w:txbxContent>
                      <w:p w14:paraId="69FF70D4" w14:textId="77777777" w:rsidR="00B32EF2" w:rsidRDefault="00000000">
                        <w:r>
                          <w:rPr>
                            <w:rFonts w:ascii="Arial" w:eastAsia="Arial" w:hAnsi="Arial" w:cs="Arial"/>
                            <w:sz w:val="18"/>
                          </w:rPr>
                          <w:t xml:space="preserve">corché temporaneamente fuori ruolo, i giudici tributari in servizio alla data di </w:t>
                        </w:r>
                      </w:p>
                    </w:txbxContent>
                  </v:textbox>
                </v:rect>
                <v:rect id="Rectangle 23330" o:spid="_x0000_s7034" style="position:absolute;left:-12187;top:45166;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OQlxAAAAN4AAAAPAAAAZHJzL2Rvd25yZXYueG1sRI/NisIw&#10;FIX3A75DuIK7MdXCINUooohduBlHweWlubbV5iY00VaffrIYmOXh/PEtVr1pxJNaX1tWMBknIIgL&#10;q2suFZx+dp8zED4ga2wsk4IXeVgtBx8LzLTt+Juex1CKOMI+QwVVCC6T0hcVGfRj64ijd7WtwRBl&#10;W0rdYhfHTSOnSfIlDdYcHyp0tKmouB8fRsFlyy7fdbK4vjfucMtnzf5xOis1GvbrOYhAffgP/7Vz&#10;rWCapmkEiDgRBeTyFwAA//8DAFBLAQItABQABgAIAAAAIQDb4fbL7gAAAIUBAAATAAAAAAAAAAAA&#10;AAAAAAAAAABbQ29udGVudF9UeXBlc10ueG1sUEsBAi0AFAAGAAgAAAAhAFr0LFu/AAAAFQEAAAsA&#10;AAAAAAAAAAAAAAAAHwEAAF9yZWxzLy5yZWxzUEsBAi0AFAAGAAgAAAAhADuY5CXEAAAA3gAAAA8A&#10;AAAAAAAAAAAAAAAABwIAAGRycy9kb3ducmV2LnhtbFBLBQYAAAAAAwADALcAAAD4AgAAAAA=&#10;" filled="f" stroked="f">
                  <v:textbox inset="0,0,0,0">
                    <w:txbxContent>
                      <w:p w14:paraId="7DB36413" w14:textId="77777777" w:rsidR="00B32EF2" w:rsidRDefault="00000000">
                        <w:r>
                          <w:rPr>
                            <w:rFonts w:ascii="Arial" w:eastAsia="Arial" w:hAnsi="Arial" w:cs="Arial"/>
                            <w:sz w:val="18"/>
                          </w:rPr>
                          <w:t>entrata in vigore del presente testo unico. I giudici tributari, salvo quanto pre</w:t>
                        </w:r>
                      </w:p>
                    </w:txbxContent>
                  </v:textbox>
                </v:rect>
                <v:rect id="Rectangle 23331" o:spid="_x0000_s7035" style="position:absolute;left:196;top:45166;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EG+xgAAAN4AAAAPAAAAZHJzL2Rvd25yZXYueG1sRI9Ba8JA&#10;FITvgv9heUJvutFAkegqokhz8FKr4PGRfSbR7Nslu5rYX98tFHocZuYbZrnuTSOe1PrasoLpJAFB&#10;XFhdc6ng9LUfz0H4gKyxsUwKXuRhvRoOlphp2/EnPY+hFBHCPkMFVQguk9IXFRn0E+uIo3e1rcEQ&#10;ZVtK3WIX4aaRsyR5lwZrjgsVOtpWVNyPD6PgsmOX7ztZXL+37nDL583H43RW6m3UbxYgAvXhP/zX&#10;zrWCWZqmU/i9E6+AXP0AAAD//wMAUEsBAi0AFAAGAAgAAAAhANvh9svuAAAAhQEAABMAAAAAAAAA&#10;AAAAAAAAAAAAAFtDb250ZW50X1R5cGVzXS54bWxQSwECLQAUAAYACAAAACEAWvQsW78AAAAVAQAA&#10;CwAAAAAAAAAAAAAAAAAfAQAAX3JlbHMvLnJlbHNQSwECLQAUAAYACAAAACEAVNRBvsYAAADeAAAA&#10;DwAAAAAAAAAAAAAAAAAHAgAAZHJzL2Rvd25yZXYueG1sUEsFBgAAAAADAAMAtwAAAPoCAAAAAA==&#10;" filled="f" stroked="f">
                  <v:textbox inset="0,0,0,0">
                    <w:txbxContent>
                      <w:p w14:paraId="07C7A138" w14:textId="77777777" w:rsidR="00B32EF2" w:rsidRDefault="00000000">
                        <w:r>
                          <w:rPr>
                            <w:rFonts w:ascii="Arial" w:eastAsia="Arial" w:hAnsi="Arial" w:cs="Arial"/>
                            <w:sz w:val="18"/>
                          </w:rPr>
                          <w:t>-</w:t>
                        </w:r>
                      </w:p>
                    </w:txbxContent>
                  </v:textbox>
                </v:rect>
                <v:rect id="Rectangle 23332" o:spid="_x0000_s7036" style="position:absolute;left:-12200;top:43933;width:521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t/JxwAAAN4AAAAPAAAAZHJzL2Rvd25yZXYueG1sRI9Ba8JA&#10;FITvBf/D8oTe6sYEiqRuQlGkOfRStdDjI/tM0mbfLtnVpP56t1DwOMzMN8y6nEwvLjT4zrKC5SIB&#10;QVxb3XGj4HjYPa1A+ICssbdMCn7JQ1nMHtaYazvyB132oRERwj5HBW0ILpfS1y0Z9AvriKN3soPB&#10;EOXQSD3gGOGml2mSPEuDHceFFh1tWqp/9mej4GvLrtqNsj5dN+79u1r1b+fjp1KP8+n1BUSgKdzD&#10;/+1KK0izLEvh7068ArK4AQAA//8DAFBLAQItABQABgAIAAAAIQDb4fbL7gAAAIUBAAATAAAAAAAA&#10;AAAAAAAAAAAAAABbQ29udGVudF9UeXBlc10ueG1sUEsBAi0AFAAGAAgAAAAhAFr0LFu/AAAAFQEA&#10;AAsAAAAAAAAAAAAAAAAAHwEAAF9yZWxzLy5yZWxzUEsBAi0AFAAGAAgAAAAhAKQG38nHAAAA3gAA&#10;AA8AAAAAAAAAAAAAAAAABwIAAGRycy9kb3ducmV2LnhtbFBLBQYAAAAAAwADALcAAAD7AgAAAAA=&#10;" filled="f" stroked="f">
                  <v:textbox inset="0,0,0,0">
                    <w:txbxContent>
                      <w:p w14:paraId="2F4D344D" w14:textId="77777777" w:rsidR="00B32EF2" w:rsidRDefault="00000000">
                        <w:r>
                          <w:rPr>
                            <w:rFonts w:ascii="Arial" w:eastAsia="Arial" w:hAnsi="Arial" w:cs="Arial"/>
                            <w:sz w:val="18"/>
                          </w:rPr>
                          <w:t>visto nel terzo periodo, sono inseriti nel ruolo unico secondo la rispettiva an</w:t>
                        </w:r>
                      </w:p>
                    </w:txbxContent>
                  </v:textbox>
                </v:rect>
                <v:rect id="Rectangle 23333" o:spid="_x0000_s7037" style="position:absolute;left:196;top:43933;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npSwwAAAN4AAAAPAAAAZHJzL2Rvd25yZXYueG1sRE9Ni8Iw&#10;FLwv+B/CE7ytqQoi1SiiiD140VXw+GiebXebl9BEW/fXbwRh5zbMF7NYdaYWD2p8ZVnBaJiAIM6t&#10;rrhQcP7afc5A+ICssbZMCp7kYbXsfSww1bblIz1OoRCxhH2KCsoQXCqlz0sy6IfWEUftZhuDIdKm&#10;kLrBNpabWo6TZCoNVhwXSnS0KSn/Od2NguuWXbZrZX773bjDdzar9/fzRalBv1vPQQTqwr/5nc60&#10;gvEkAl534hWQyz8AAAD//wMAUEsBAi0AFAAGAAgAAAAhANvh9svuAAAAhQEAABMAAAAAAAAAAAAA&#10;AAAAAAAAAFtDb250ZW50X1R5cGVzXS54bWxQSwECLQAUAAYACAAAACEAWvQsW78AAAAVAQAACwAA&#10;AAAAAAAAAAAAAAAfAQAAX3JlbHMvLnJlbHNQSwECLQAUAAYACAAAACEAy0p6UsMAAADeAAAADwAA&#10;AAAAAAAAAAAAAAAHAgAAZHJzL2Rvd25yZXYueG1sUEsFBgAAAAADAAMAtwAAAPcCAAAAAA==&#10;" filled="f" stroked="f">
                  <v:textbox inset="0,0,0,0">
                    <w:txbxContent>
                      <w:p w14:paraId="7C6ED9C3" w14:textId="77777777" w:rsidR="00B32EF2" w:rsidRDefault="00000000">
                        <w:r>
                          <w:rPr>
                            <w:rFonts w:ascii="Arial" w:eastAsia="Arial" w:hAnsi="Arial" w:cs="Arial"/>
                            <w:sz w:val="18"/>
                          </w:rPr>
                          <w:t>-</w:t>
                        </w:r>
                      </w:p>
                    </w:txbxContent>
                  </v:textbox>
                </v:rect>
                <v:rect id="Rectangle 23334" o:spid="_x0000_s7038" style="position:absolute;left:-13167;top:427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ImxwAAAN4AAAAPAAAAZHJzL2Rvd25yZXYueG1sRI9Ba8JA&#10;FITvgv9heUJvuqkpIqmrFEXMwUuthR4f2WcSzb5dsqtJ/fXdguBxmJlvmMWqN424UetrywpeJwkI&#10;4sLqmksFx6/teA7CB2SNjWVS8EseVsvhYIGZth1/0u0QShEh7DNUUIXgMil9UZFBP7GOOHon2xoM&#10;Ubal1C12EW4aOU2SmTRYc1yo0NG6ouJyuBoFPxt2+baTxem+dvtzPm921+O3Ui+j/uMdRKA+PMOP&#10;dq4VTNM0fYP/O/EKyOUfAAAA//8DAFBLAQItABQABgAIAAAAIQDb4fbL7gAAAIUBAAATAAAAAAAA&#10;AAAAAAAAAAAAAABbQ29udGVudF9UeXBlc10ueG1sUEsBAi0AFAAGAAgAAAAhAFr0LFu/AAAAFQEA&#10;AAsAAAAAAAAAAAAAAAAAHwEAAF9yZWxzLy5yZWxzUEsBAi0AFAAGAAgAAAAhAESj4ibHAAAA3gAA&#10;AA8AAAAAAAAAAAAAAAAABwIAAGRycy9kb3ducmV2LnhtbFBLBQYAAAAAAwADALcAAAD7AgAAAAA=&#10;" filled="f" stroked="f">
                  <v:textbox inset="0,0,0,0">
                    <w:txbxContent>
                      <w:p w14:paraId="2ED92528" w14:textId="77777777" w:rsidR="00B32EF2" w:rsidRDefault="00000000">
                        <w:r>
                          <w:rPr>
                            <w:rFonts w:ascii="Arial" w:eastAsia="Arial" w:hAnsi="Arial" w:cs="Arial"/>
                            <w:sz w:val="18"/>
                          </w:rPr>
                          <w:t xml:space="preserve">zianità di servizio nella qualifica. I componenti delle Corti di giustizia tributaria </w:t>
                        </w:r>
                      </w:p>
                    </w:txbxContent>
                  </v:textbox>
                </v:rect>
                <v:rect id="Rectangle 23335" o:spid="_x0000_s7039" style="position:absolute;left:-13167;top:4146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0e9xwAAAN4AAAAPAAAAZHJzL2Rvd25yZXYueG1sRI9Ba8JA&#10;FITvgv9heUJvuqmhIqmrFEXMwUuthR4f2WcSzb5dsqtJ/fXdguBxmJlvmMWqN424UetrywpeJwkI&#10;4sLqmksFx6/teA7CB2SNjWVS8EseVsvhYIGZth1/0u0QShEh7DNUUIXgMil9UZFBP7GOOHon2xoM&#10;Ubal1C12EW4aOU2SmTRYc1yo0NG6ouJyuBoFPxt2+baTxem+dvtzPm921+O3Ui+j/uMdRKA+PMOP&#10;dq4VTNM0fYP/O/EKyOUfAAAA//8DAFBLAQItABQABgAIAAAAIQDb4fbL7gAAAIUBAAATAAAAAAAA&#10;AAAAAAAAAAAAAABbQ29udGVudF9UeXBlc10ueG1sUEsBAi0AFAAGAAgAAAAhAFr0LFu/AAAAFQEA&#10;AAsAAAAAAAAAAAAAAAAAHwEAAF9yZWxzLy5yZWxzUEsBAi0AFAAGAAgAAAAhACvvR73HAAAA3gAA&#10;AA8AAAAAAAAAAAAAAAAABwIAAGRycy9kb3ducmV2LnhtbFBLBQYAAAAAAwADALcAAAD7AgAAAAA=&#10;" filled="f" stroked="f">
                  <v:textbox inset="0,0,0,0">
                    <w:txbxContent>
                      <w:p w14:paraId="6BF5EB2E" w14:textId="77777777" w:rsidR="00B32EF2" w:rsidRDefault="00000000">
                        <w:r>
                          <w:rPr>
                            <w:rFonts w:ascii="Arial" w:eastAsia="Arial" w:hAnsi="Arial" w:cs="Arial"/>
                            <w:sz w:val="18"/>
                          </w:rPr>
                          <w:t xml:space="preserve">nominati a seguito di appositi bandi pubblicati a partire da quello del 3 agosto </w:t>
                        </w:r>
                      </w:p>
                    </w:txbxContent>
                  </v:textbox>
                </v:rect>
                <v:rect id="Rectangle 202447" o:spid="_x0000_s7040" style="position:absolute;left:24310;top:4023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8pyxwAAAN8AAAAPAAAAZHJzL2Rvd25yZXYueG1sRI9Ba8JA&#10;FITvhf6H5RV6qxuDWImuIoqYgxetBY+P7DNJm327ZFeT+utdoeBxmJlvmNmiN424UutrywqGgwQE&#10;cWF1zaWC49fmYwLCB2SNjWVS8EceFvPXlxlm2na8p+shlCJC2GeooArBZVL6oiKDfmAdcfTOtjUY&#10;omxLqVvsItw0Mk2SsTRYc1yo0NGqouL3cDEKTmt2+aaTxfm2cruffNJsL8dvpd7f+uUURKA+PMP/&#10;7VwrSJN0NPqEx5/4BeT8DgAA//8DAFBLAQItABQABgAIAAAAIQDb4fbL7gAAAIUBAAATAAAAAAAA&#10;AAAAAAAAAAAAAABbQ29udGVudF9UeXBlc10ueG1sUEsBAi0AFAAGAAgAAAAhAFr0LFu/AAAAFQEA&#10;AAsAAAAAAAAAAAAAAAAAHwEAAF9yZWxzLy5yZWxzUEsBAi0AFAAGAAgAAAAhAMzTynLHAAAA3wAA&#10;AA8AAAAAAAAAAAAAAAAABwIAAGRycy9kb3ducmV2LnhtbFBLBQYAAAAAAwADALcAAAD7AgAAAAA=&#10;" filled="f" stroked="f">
                  <v:textbox inset="0,0,0,0">
                    <w:txbxContent>
                      <w:p w14:paraId="09F93AA9" w14:textId="77777777" w:rsidR="00B32EF2" w:rsidRDefault="00000000">
                        <w:r>
                          <w:rPr>
                            <w:rFonts w:ascii="Arial" w:eastAsia="Arial" w:hAnsi="Arial" w:cs="Arial"/>
                            <w:sz w:val="18"/>
                          </w:rPr>
                          <w:t>2011</w:t>
                        </w:r>
                      </w:p>
                    </w:txbxContent>
                  </v:textbox>
                </v:rect>
                <v:rect id="Rectangle 202449" o:spid="_x0000_s7041" style="position:absolute;left:-15563;top:402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PubxwAAAN8AAAAPAAAAZHJzL2Rvd25yZXYueG1sRI9Ba8JA&#10;FITvhf6H5RV6041BxEZXEUXMwUvVgsdH9pmkzb5dsqtJ/fVuQehxmJlvmPmyN424UetrywpGwwQE&#10;cWF1zaWC03E7mILwAVljY5kU/JKH5eL1ZY6Zth1/0u0QShEh7DNUUIXgMil9UZFBP7SOOHoX2xoM&#10;Ubal1C12EW4amSbJRBqsOS5U6GhdUfFzuBoF5w27fNvJ4nJfu/13Pm1219OXUu9v/WoGIlAf/sPP&#10;dq4VpEk6Hn/A35/4BeTiAQAA//8DAFBLAQItABQABgAIAAAAIQDb4fbL7gAAAIUBAAATAAAAAAAA&#10;AAAAAAAAAAAAAABbQ29udGVudF9UeXBlc10ueG1sUEsBAi0AFAAGAAgAAAAhAFr0LFu/AAAAFQEA&#10;AAsAAAAAAAAAAAAAAAAAHwEAAF9yZWxzLy5yZWxzUEsBAi0AFAAGAAgAAAAhANIA+5vHAAAA3wAA&#10;AA8AAAAAAAAAAAAAAAAABwIAAGRycy9kb3ducmV2LnhtbFBLBQYAAAAAAwADALcAAAD7AgAAAAA=&#10;" filled="f" stroked="f">
                  <v:textbox inset="0,0,0,0">
                    <w:txbxContent>
                      <w:p w14:paraId="39937B77" w14:textId="77777777" w:rsidR="00B32EF2" w:rsidRDefault="00000000">
                        <w:r>
                          <w:rPr>
                            <w:rFonts w:ascii="Arial" w:eastAsia="Arial" w:hAnsi="Arial" w:cs="Arial"/>
                            <w:sz w:val="18"/>
                          </w:rPr>
                          <w:t xml:space="preserve">, Gazzetta Ufficiale, 4ª serie speciale, n. 65 del 16 agosto 2011, sono </w:t>
                        </w:r>
                      </w:p>
                    </w:txbxContent>
                  </v:textbox>
                </v:rect>
                <v:rect id="Rectangle 23337" o:spid="_x0000_s7042" style="position:absolute;left:-13167;top:390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XxRxwAAAN4AAAAPAAAAZHJzL2Rvd25yZXYueG1sRI9Ba8JA&#10;FITvgv9heUJvuqmBKqmrFEXMwUuthR4f2WcSzb5dsqtJ/fXdguBxmJlvmMWqN424UetrywpeJwkI&#10;4sLqmksFx6/teA7CB2SNjWVS8EseVsvhYIGZth1/0u0QShEh7DNUUIXgMil9UZFBP7GOOHon2xoM&#10;Ubal1C12EW4aOU2SN2mw5rhQoaN1RcXlcDUKfjbs8m0ni9N97fbnfN7srsdvpV5G/cc7iEB9eIYf&#10;7VwrmKZpOoP/O/EKyOUfAAAA//8DAFBLAQItABQABgAIAAAAIQDb4fbL7gAAAIUBAAATAAAAAAAA&#10;AAAAAAAAAAAAAABbQ29udGVudF9UeXBlc10ueG1sUEsBAi0AFAAGAAgAAAAhAFr0LFu/AAAAFQEA&#10;AAsAAAAAAAAAAAAAAAAAHwEAAF9yZWxzLy5yZWxzUEsBAi0AFAAGAAgAAAAhALRxfFHHAAAA3gAA&#10;AA8AAAAAAAAAAAAAAAAABwIAAGRycy9kb3ducmV2LnhtbFBLBQYAAAAAAwADALcAAAD7AgAAAAA=&#10;" filled="f" stroked="f">
                  <v:textbox inset="0,0,0,0">
                    <w:txbxContent>
                      <w:p w14:paraId="5F06077E" w14:textId="77777777" w:rsidR="00B32EF2" w:rsidRDefault="00000000">
                        <w:r>
                          <w:rPr>
                            <w:rFonts w:ascii="Arial" w:eastAsia="Arial" w:hAnsi="Arial" w:cs="Arial"/>
                            <w:sz w:val="18"/>
                          </w:rPr>
                          <w:t xml:space="preserve">inseriti nel ruolo unico secondo l’ordine dagli stessi conseguito in funzione del </w:t>
                        </w:r>
                      </w:p>
                    </w:txbxContent>
                  </v:textbox>
                </v:rect>
                <v:rect id="Rectangle 23338" o:spid="_x0000_s7043" style="position:absolute;left:-13167;top:37767;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ugjwwAAAN4AAAAPAAAAZHJzL2Rvd25yZXYueG1sRE9Ni8Iw&#10;EL0v+B/CCN7WVAuLVKOIIvbgZV0Fj0MzttVmEppoq79+c1jY4+N9L1a9acSTWl9bVjAZJyCIC6tr&#10;LhWcfnafMxA+IGtsLJOCF3lYLQcfC8y07fibnsdQihjCPkMFVQguk9IXFRn0Y+uII3e1rcEQYVtK&#10;3WIXw00jp0nyJQ3WHBsqdLSpqLgfH0bBZcsu33WyuL437nDLZ83+cTorNRr26zmIQH34F/+5c61g&#10;mqZp3BvvxCsgl78AAAD//wMAUEsBAi0AFAAGAAgAAAAhANvh9svuAAAAhQEAABMAAAAAAAAAAAAA&#10;AAAAAAAAAFtDb250ZW50X1R5cGVzXS54bWxQSwECLQAUAAYACAAAACEAWvQsW78AAAAVAQAACwAA&#10;AAAAAAAAAAAAAAAfAQAAX3JlbHMvLnJlbHNQSwECLQAUAAYACAAAACEAxe7oI8MAAADeAAAADwAA&#10;AAAAAAAAAAAAAAAHAgAAZHJzL2Rvd25yZXYueG1sUEsFBgAAAAADAAMAtwAAAPcCAAAAAA==&#10;" filled="f" stroked="f">
                  <v:textbox inset="0,0,0,0">
                    <w:txbxContent>
                      <w:p w14:paraId="7789B635" w14:textId="77777777" w:rsidR="00B32EF2" w:rsidRDefault="00000000">
                        <w:r>
                          <w:rPr>
                            <w:rFonts w:ascii="Arial" w:eastAsia="Arial" w:hAnsi="Arial" w:cs="Arial"/>
                            <w:sz w:val="18"/>
                          </w:rPr>
                          <w:t xml:space="preserve">punteggio complessivo per i titoli valutati nelle relative procedure selettive. </w:t>
                        </w:r>
                      </w:p>
                    </w:txbxContent>
                  </v:textbox>
                </v:rect>
                <v:rect id="Rectangle 23339" o:spid="_x0000_s7044" style="position:absolute;left:-13167;top:365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k24xwAAAN4AAAAPAAAAZHJzL2Rvd25yZXYueG1sRI9Pa8JA&#10;FMTvgt9heUJvdVMDxaauUhQxBy/+KfT4yD6TaPbtkl1N6qfvCgWPw8z8hpktetOIG7W+tqzgbZyA&#10;IC6srrlUcDysX6cgfEDW2FgmBb/kYTEfDmaYadvxjm77UIoIYZ+hgioEl0npi4oM+rF1xNE72dZg&#10;iLItpW6xi3DTyEmSvEuDNceFCh0tKyou+6tR8LNil687WZzuS7c959Nmcz1+K/Uy6r8+QQTqwzP8&#10;3861gkmaph/wuBOvgJz/AQAA//8DAFBLAQItABQABgAIAAAAIQDb4fbL7gAAAIUBAAATAAAAAAAA&#10;AAAAAAAAAAAAAABbQ29udGVudF9UeXBlc10ueG1sUEsBAi0AFAAGAAgAAAAhAFr0LFu/AAAAFQEA&#10;AAsAAAAAAAAAAAAAAAAAHwEAAF9yZWxzLy5yZWxzUEsBAi0AFAAGAAgAAAAhAKqiTbjHAAAA3gAA&#10;AA8AAAAAAAAAAAAAAAAABwIAAGRycy9kb3ducmV2LnhtbFBLBQYAAAAAAwADALcAAAD7AgAAAAA=&#10;" filled="f" stroked="f">
                  <v:textbox inset="0,0,0,0">
                    <w:txbxContent>
                      <w:p w14:paraId="5C4BC0B4" w14:textId="77777777" w:rsidR="00B32EF2" w:rsidRDefault="00000000">
                        <w:r>
                          <w:rPr>
                            <w:rFonts w:ascii="Arial" w:eastAsia="Arial" w:hAnsi="Arial" w:cs="Arial"/>
                            <w:sz w:val="18"/>
                          </w:rPr>
                          <w:t xml:space="preserve">In caso di pari anzianità di servizio nella qualifica ovvero di pari punteggio, i </w:t>
                        </w:r>
                      </w:p>
                    </w:txbxContent>
                  </v:textbox>
                </v:rect>
                <v:rect id="Rectangle 23340" o:spid="_x0000_s7045" style="position:absolute;left:-12187;top:35300;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dYxQAAAN4AAAAPAAAAZHJzL2Rvd25yZXYueG1sRI/LisIw&#10;FIb3gu8QjuBO01ER6RhlcJDpYjbeYJaH5thWm5PQRFvn6c1CcPnz3/iW687U4k6Nrywr+BgnIIhz&#10;qysuFBwP29EChA/IGmvLpOBBHtarfm+JqbYt7+i+D4WII+xTVFCG4FIpfV6SQT+2jjh6Z9sYDFE2&#10;hdQNtnHc1HKSJHNpsOL4UKKjTUn5dX8zCv6+2WXbVubn/437vWSL+ud2PCk1HHRfnyACdeEdfrUz&#10;rWAync4iQMSJKCBXTwAAAP//AwBQSwECLQAUAAYACAAAACEA2+H2y+4AAACFAQAAEwAAAAAAAAAA&#10;AAAAAAAAAAAAW0NvbnRlbnRfVHlwZXNdLnhtbFBLAQItABQABgAIAAAAIQBa9CxbvwAAABUBAAAL&#10;AAAAAAAAAAAAAAAAAB8BAABfcmVscy8ucmVsc1BLAQItABQABgAIAAAAIQBjnpdYxQAAAN4AAAAP&#10;AAAAAAAAAAAAAAAAAAcCAABkcnMvZG93bnJldi54bWxQSwUGAAAAAAMAAwC3AAAA+QIAAAAA&#10;" filled="f" stroked="f">
                  <v:textbox inset="0,0,0,0">
                    <w:txbxContent>
                      <w:p w14:paraId="074F8224" w14:textId="77777777" w:rsidR="00B32EF2" w:rsidRDefault="00000000">
                        <w:r>
                          <w:rPr>
                            <w:rFonts w:ascii="Arial" w:eastAsia="Arial" w:hAnsi="Arial" w:cs="Arial"/>
                            <w:sz w:val="18"/>
                          </w:rPr>
                          <w:t>componenti delle Corti di giustizia tributaria sono inseriti nel ruolo unico se</w:t>
                        </w:r>
                      </w:p>
                    </w:txbxContent>
                  </v:textbox>
                </v:rect>
                <v:rect id="Rectangle 23341" o:spid="_x0000_s7046" style="position:absolute;left:196;top:35300;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LDxgAAAN4AAAAPAAAAZHJzL2Rvd25yZXYueG1sRI9Ba8JA&#10;FITvgv9heUJvulGLSHQVUcQcvNRa6PGRfSbR7Nslu5rUX98tCD0OM/MNs1x3phYPanxlWcF4lIAg&#10;zq2uuFBw/twP5yB8QNZYWyYFP+Rhver3lphq2/IHPU6hEBHCPkUFZQguldLnJRn0I+uIo3exjcEQ&#10;ZVNI3WAb4aaWkySZSYMVx4USHW1Lym+nu1HwvWOX7VuZX55bd7xm8/pwP38p9TboNgsQgbrwH361&#10;M61gMp2+j+HvTrwCcvULAAD//wMAUEsBAi0AFAAGAAgAAAAhANvh9svuAAAAhQEAABMAAAAAAAAA&#10;AAAAAAAAAAAAAFtDb250ZW50X1R5cGVzXS54bWxQSwECLQAUAAYACAAAACEAWvQsW78AAAAVAQAA&#10;CwAAAAAAAAAAAAAAAAAfAQAAX3JlbHMvLnJlbHNQSwECLQAUAAYACAAAACEADNIyw8YAAADeAAAA&#10;DwAAAAAAAAAAAAAAAAAHAgAAZHJzL2Rvd25yZXYueG1sUEsFBgAAAAADAAMAtwAAAPoCAAAAAA==&#10;" filled="f" stroked="f">
                  <v:textbox inset="0,0,0,0">
                    <w:txbxContent>
                      <w:p w14:paraId="10E509A8" w14:textId="77777777" w:rsidR="00B32EF2" w:rsidRDefault="00000000">
                        <w:r>
                          <w:rPr>
                            <w:rFonts w:ascii="Arial" w:eastAsia="Arial" w:hAnsi="Arial" w:cs="Arial"/>
                            <w:sz w:val="18"/>
                          </w:rPr>
                          <w:t>-</w:t>
                        </w:r>
                      </w:p>
                    </w:txbxContent>
                  </v:textbox>
                </v:rect>
                <v:rect id="Rectangle 23342" o:spid="_x0000_s7047" style="position:absolute;left:-13167;top:340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Ky0xwAAAN4AAAAPAAAAZHJzL2Rvd25yZXYueG1sRI9Pa8JA&#10;FMTvBb/D8oTe6qZRikRXKRZpDl78Bx4f2WeSNvt2ya4m9dO7QsHjMDO/YebL3jTiSq2vLSt4HyUg&#10;iAuray4VHPbrtykIH5A1NpZJwR95WC4GL3PMtO14S9ddKEWEsM9QQRWCy6T0RUUG/cg64uidbWsw&#10;RNmWUrfYRbhpZJokH9JgzXGhQkeriorf3cUoOH2xy9edLM63ldv85NPm+3I4KvU67D9nIAL14Rn+&#10;b+daQToeT1J43IlXQC7uAAAA//8DAFBLAQItABQABgAIAAAAIQDb4fbL7gAAAIUBAAATAAAAAAAA&#10;AAAAAAAAAAAAAABbQ29udGVudF9UeXBlc10ueG1sUEsBAi0AFAAGAAgAAAAhAFr0LFu/AAAAFQEA&#10;AAsAAAAAAAAAAAAAAAAAHwEAAF9yZWxzLy5yZWxzUEsBAi0AFAAGAAgAAAAhAPwArLTHAAAA3gAA&#10;AA8AAAAAAAAAAAAAAAAABwIAAGRycy9kb3ducmV2LnhtbFBLBQYAAAAAAwADALcAAAD7AgAAAAA=&#10;" filled="f" stroked="f">
                  <v:textbox inset="0,0,0,0">
                    <w:txbxContent>
                      <w:p w14:paraId="27FDD086" w14:textId="77777777" w:rsidR="00B32EF2" w:rsidRDefault="00000000">
                        <w:r>
                          <w:rPr>
                            <w:rFonts w:ascii="Arial" w:eastAsia="Arial" w:hAnsi="Arial" w:cs="Arial"/>
                            <w:sz w:val="18"/>
                          </w:rPr>
                          <w:t xml:space="preserve">condo l’anzianità anagrafica. A decorrere dall’anno 2013, il ruolo unico è reso </w:t>
                        </w:r>
                      </w:p>
                    </w:txbxContent>
                  </v:textbox>
                </v:rect>
                <v:rect id="Rectangle 23343" o:spid="_x0000_s7048" style="position:absolute;left:-13167;top:3283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kvxwAAAN4AAAAPAAAAZHJzL2Rvd25yZXYueG1sRI9Ba8JA&#10;FITvgv9heUJvuqkpIqmrFEXMwUuthR4f2WcSzb5dsqtJ/fXdguBxmJlvmMWqN424UetrywpeJwkI&#10;4sLqmksFx6/teA7CB2SNjWVS8EseVsvhYIGZth1/0u0QShEh7DNUUIXgMil9UZFBP7GOOHon2xoM&#10;Ubal1C12EW4aOU2SmTRYc1yo0NG6ouJyuBoFPxt2+baTxem+dvtzPm921+O3Ui+j/uMdRKA+PMOP&#10;dq4VTNP0LYX/O/EKyOUfAAAA//8DAFBLAQItABQABgAIAAAAIQDb4fbL7gAAAIUBAAATAAAAAAAA&#10;AAAAAAAAAAAAAABbQ29udGVudF9UeXBlc10ueG1sUEsBAi0AFAAGAAgAAAAhAFr0LFu/AAAAFQEA&#10;AAsAAAAAAAAAAAAAAAAAHwEAAF9yZWxzLy5yZWxzUEsBAi0AFAAGAAgAAAAhAJNMCS/HAAAA3gAA&#10;AA8AAAAAAAAAAAAAAAAABwIAAGRycy9kb3ducmV2LnhtbFBLBQYAAAAAAwADALcAAAD7AgAAAAA=&#10;" filled="f" stroked="f">
                  <v:textbox inset="0,0,0,0">
                    <w:txbxContent>
                      <w:p w14:paraId="4F2469F1" w14:textId="77777777" w:rsidR="00B32EF2" w:rsidRDefault="00000000">
                        <w:r>
                          <w:rPr>
                            <w:rFonts w:ascii="Arial" w:eastAsia="Arial" w:hAnsi="Arial" w:cs="Arial"/>
                            <w:sz w:val="18"/>
                          </w:rPr>
                          <w:t xml:space="preserve">pubblico annualmente, entro il mese di gennaio, attraverso il sito istituzionale </w:t>
                        </w:r>
                      </w:p>
                    </w:txbxContent>
                  </v:textbox>
                </v:rect>
                <v:rect id="Rectangle 23344" o:spid="_x0000_s7049" style="position:absolute;left:4959;top:31600;width:349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ZFbxwAAAN4AAAAPAAAAZHJzL2Rvd25yZXYueG1sRI9Pa8JA&#10;FMTvQr/D8gRvuvEPIqmrFIuYg5faFHp8ZJ9J2uzbJbua6Kd3C0KPw8z8hllve9OIK7W+tqxgOklA&#10;EBdW11wqyD/34xUIH5A1NpZJwY08bDcvgzWm2nb8QddTKEWEsE9RQRWCS6X0RUUG/cQ64uidbWsw&#10;RNmWUrfYRbhp5CxJltJgzXGhQke7iorf08Uo+H5nl+07WZzvO3f8yVbN4ZJ/KTUa9m+vIAL14T/8&#10;bGdawWw+Xyzg7068AnLzAAAA//8DAFBLAQItABQABgAIAAAAIQDb4fbL7gAAAIUBAAATAAAAAAAA&#10;AAAAAAAAAAAAAABbQ29udGVudF9UeXBlc10ueG1sUEsBAi0AFAAGAAgAAAAhAFr0LFu/AAAAFQEA&#10;AAsAAAAAAAAAAAAAAAAAHwEAAF9yZWxzLy5yZWxzUEsBAi0AFAAGAAgAAAAhABylkVvHAAAA3gAA&#10;AA8AAAAAAAAAAAAAAAAABwIAAGRycy9kb3ducmV2LnhtbFBLBQYAAAAAAwADALcAAAD7AgAAAAA=&#10;" filled="f" stroked="f">
                  <v:textbox inset="0,0,0,0">
                    <w:txbxContent>
                      <w:p w14:paraId="1BD083D5" w14:textId="77777777" w:rsidR="00B32EF2" w:rsidRDefault="00000000">
                        <w:r>
                          <w:rPr>
                            <w:rFonts w:ascii="Arial" w:eastAsia="Arial" w:hAnsi="Arial" w:cs="Arial"/>
                            <w:sz w:val="18"/>
                          </w:rPr>
                          <w:t>del Consiglio di presidenza della giustizia tributaria.</w:t>
                        </w:r>
                      </w:p>
                    </w:txbxContent>
                  </v:textbox>
                </v:rect>
                <v:rect id="Rectangle 202444" o:spid="_x0000_s7050" style="position:absolute;left:-13812;top:303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VQFyAAAAN8AAAAPAAAAZHJzL2Rvd25yZXYueG1sRI9Ba8JA&#10;FITvBf/D8oTe6sYQiqRuQlGkOfRStdDjI/tM0mbfLtnVpP56t1DwOMzMN8y6nEwvLjT4zrKC5SIB&#10;QVxb3XGj4HjYPa1A+ICssbdMCn7JQ1nMHtaYazvyB132oRERwj5HBW0ILpfS1y0Z9AvriKN3soPB&#10;EOXQSD3gGOGml2mSPEuDHceFFh1tWqp/9mej4GvLrtqNsj5dN+79u1r1b+fjp1KP8+n1BUSgKdzD&#10;/+1KK0iTNMsy+PsTv4AsbgAAAP//AwBQSwECLQAUAAYACAAAACEA2+H2y+4AAACFAQAAEwAAAAAA&#10;AAAAAAAAAAAAAAAAW0NvbnRlbnRfVHlwZXNdLnhtbFBLAQItABQABgAIAAAAIQBa9CxbvwAAABUB&#10;AAALAAAAAAAAAAAAAAAAAB8BAABfcmVscy8ucmVsc1BLAQItABQABgAIAAAAIQA8AVQFyAAAAN8A&#10;AAAPAAAAAAAAAAAAAAAAAAcCAABkcnMvZG93bnJldi54bWxQSwUGAAAAAAMAAwC3AAAA/AIAAAAA&#10;" filled="f" stroked="f">
                  <v:textbox inset="0,0,0,0">
                    <w:txbxContent>
                      <w:p w14:paraId="1F251A25" w14:textId="77777777" w:rsidR="00B32EF2" w:rsidRDefault="00000000">
                        <w:r>
                          <w:rPr>
                            <w:rFonts w:ascii="Arial" w:eastAsia="Arial" w:hAnsi="Arial" w:cs="Arial"/>
                            <w:sz w:val="18"/>
                          </w:rPr>
                          <w:t xml:space="preserve">. I magistrati tributari sono reclutati secondo le modalità previste dagli articoli </w:t>
                        </w:r>
                      </w:p>
                    </w:txbxContent>
                  </v:textbox>
                </v:rect>
                <v:rect id="Rectangle 202443" o:spid="_x0000_s7051" style="position:absolute;left:26114;top:3036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MxxxwAAAN8AAAAPAAAAZHJzL2Rvd25yZXYueG1sRI9Ba8JA&#10;FITvQv/D8gredGOUItFVRBFz6EVrweMj+0zSZt8u2dWk/fVdoeBxmJlvmOW6N424U+trywom4wQE&#10;cWF1zaWC88d+NAfhA7LGxjIp+CEP69XLYImZth0f6X4KpYgQ9hkqqEJwmZS+qMigH1tHHL2rbQ2G&#10;KNtS6ha7CDeNTJPkTRqsOS5U6GhbUfF9uhkFlx27fN/J4vq7de9f+bw53M6fSg1f+80CRKA+PMP/&#10;7VwrSJN0NpvC40/8AnL1BwAA//8DAFBLAQItABQABgAIAAAAIQDb4fbL7gAAAIUBAAATAAAAAAAA&#10;AAAAAAAAAAAAAABbQ29udGVudF9UeXBlc10ueG1sUEsBAi0AFAAGAAgAAAAhAFr0LFu/AAAAFQEA&#10;AAsAAAAAAAAAAAAAAAAAHwEAAF9yZWxzLy5yZWxzUEsBAi0AFAAGAAgAAAAhALPozHHHAAAA3wAA&#10;AA8AAAAAAAAAAAAAAAAABwIAAGRycy9kb3ducmV2LnhtbFBLBQYAAAAAAwADALcAAAD7AgAAAAA=&#10;" filled="f" stroked="f">
                  <v:textbox inset="0,0,0,0">
                    <w:txbxContent>
                      <w:p w14:paraId="67D8D0B1" w14:textId="77777777" w:rsidR="00B32EF2" w:rsidRDefault="00000000">
                        <w:r>
                          <w:rPr>
                            <w:rFonts w:ascii="Arial" w:eastAsia="Arial" w:hAnsi="Arial" w:cs="Arial"/>
                            <w:sz w:val="18"/>
                          </w:rPr>
                          <w:t>3</w:t>
                        </w:r>
                      </w:p>
                    </w:txbxContent>
                  </v:textbox>
                </v:rect>
                <v:rect id="Rectangle 23346" o:spid="_x0000_s7052" style="position:absolute;left:33982;top:29133;width:59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6q3xwAAAN4AAAAPAAAAZHJzL2Rvd25yZXYueG1sRI9Pa8JA&#10;FMTvQr/D8gRvuvEPIqmrFIuYg5dqCj0+ss8kbfbtkl1N9NN3CwWPw8z8hllve9OIG7W+tqxgOklA&#10;EBdW11wqyM/78QqED8gaG8uk4E4etpuXwRpTbTv+oNsplCJC2KeooArBpVL6oiKDfmIdcfQutjUY&#10;omxLqVvsItw0cpYkS2mw5rhQoaNdRcXP6WoUfL2zy/adLC6PnTt+Z6vmcM0/lRoN+7dXEIH68Az/&#10;tzOtYDafL5bwdydeAbn5BQAA//8DAFBLAQItABQABgAIAAAAIQDb4fbL7gAAAIUBAAATAAAAAAAA&#10;AAAAAAAAAAAAAABbQ29udGVudF9UeXBlc10ueG1sUEsBAi0AFAAGAAgAAAAhAFr0LFu/AAAAFQEA&#10;AAsAAAAAAAAAAAAAAAAAHwEAAF9yZWxzLy5yZWxzUEsBAi0AFAAGAAgAAAAhAIM7qrfHAAAA3gAA&#10;AA8AAAAAAAAAAAAAAAAABwIAAGRycy9kb3ducmV2LnhtbFBLBQYAAAAAAwADALcAAAD7AgAAAAA=&#10;" filled="f" stroked="f">
                  <v:textbox inset="0,0,0,0">
                    <w:txbxContent>
                      <w:p w14:paraId="1E28C732" w14:textId="77777777" w:rsidR="00B32EF2" w:rsidRDefault="00000000">
                        <w:r>
                          <w:rPr>
                            <w:rFonts w:ascii="Arial" w:eastAsia="Arial" w:hAnsi="Arial" w:cs="Arial"/>
                            <w:sz w:val="18"/>
                          </w:rPr>
                          <w:t>da 5 a 8.</w:t>
                        </w:r>
                      </w:p>
                    </w:txbxContent>
                  </v:textbox>
                </v:rect>
                <v:rect id="Rectangle 202441" o:spid="_x0000_s7053" style="position:absolute;left:26114;top:279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vedyAAAAN8AAAAPAAAAZHJzL2Rvd25yZXYueG1sRI9La8Mw&#10;EITvhfwHsYXeGjkmlOBEDiUh1IdemgfkuFjrR2uthKXEbn59VCjkOMzMN8xqPZpOXKn3rWUFs2kC&#10;gri0uuVawfGwe12A8AFZY2eZFPySh3U+eVphpu3AX3Tdh1pECPsMFTQhuExKXzZk0E+tI45eZXuD&#10;Icq+lrrHIcJNJ9MkeZMGW44LDTraNFT+7C9GwXnLrtgNsqxuG/f5XSy6j8vxpNTL8/i+BBFoDI/w&#10;f7vQCtIknc9n8PcnfgGZ3wEAAP//AwBQSwECLQAUAAYACAAAACEA2+H2y+4AAACFAQAAEwAAAAAA&#10;AAAAAAAAAAAAAAAAW0NvbnRlbnRfVHlwZXNdLnhtbFBLAQItABQABgAIAAAAIQBa9CxbvwAAABUB&#10;AAALAAAAAAAAAAAAAAAAAB8BAABfcmVscy8ucmVsc1BLAQItABQABgAIAAAAIQAsdvedyAAAAN8A&#10;AAAPAAAAAAAAAAAAAAAAAAcCAABkcnMvZG93bnJldi54bWxQSwUGAAAAAAMAAwC3AAAA/AIAAAAA&#10;" filled="f" stroked="f">
                  <v:textbox inset="0,0,0,0">
                    <w:txbxContent>
                      <w:p w14:paraId="37287DC7" w14:textId="77777777" w:rsidR="00B32EF2" w:rsidRDefault="00000000">
                        <w:r>
                          <w:rPr>
                            <w:rFonts w:ascii="Arial" w:eastAsia="Arial" w:hAnsi="Arial" w:cs="Arial"/>
                            <w:sz w:val="18"/>
                          </w:rPr>
                          <w:t>4</w:t>
                        </w:r>
                      </w:p>
                    </w:txbxContent>
                  </v:textbox>
                </v:rect>
                <v:rect id="Rectangle 202442" o:spid="_x0000_s7054" style="position:absolute;left:-13798;top:279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nqxwAAAN8AAAAPAAAAZHJzL2Rvd25yZXYueG1sRI9Ba8JA&#10;FITvBf/D8oTe6sYgRaKriCLNwUvVQo+P7DOJZt8u2dXE/vquIHgcZuYbZr7sTSNu1PrasoLxKAFB&#10;XFhdc6ngeNh+TEH4gKyxsUwK7uRhuRi8zTHTtuNvuu1DKSKEfYYKqhBcJqUvKjLoR9YRR+9kW4Mh&#10;yraUusUuwk0j0yT5lAZrjgsVOlpXVFz2V6Pgd8Mu33ayOP2t3e6cT5uv6/FHqfdhv5qBCNSHV/jZ&#10;zrWCNEknkxQef+IXkIt/AAAA//8DAFBLAQItABQABgAIAAAAIQDb4fbL7gAAAIUBAAATAAAAAAAA&#10;AAAAAAAAAAAAAABbQ29udGVudF9UeXBlc10ueG1sUEsBAi0AFAAGAAgAAAAhAFr0LFu/AAAAFQEA&#10;AAsAAAAAAAAAAAAAAAAAHwEAAF9yZWxzLy5yZWxzUEsBAi0AFAAGAAgAAAAhANykaerHAAAA3wAA&#10;AA8AAAAAAAAAAAAAAAAABwIAAGRycy9kb3ducmV2LnhtbFBLBQYAAAAAAwADALcAAAD7AgAAAAA=&#10;" filled="f" stroked="f">
                  <v:textbox inset="0,0,0,0">
                    <w:txbxContent>
                      <w:p w14:paraId="46867B81" w14:textId="77777777" w:rsidR="00B32EF2" w:rsidRDefault="00000000">
                        <w:r>
                          <w:rPr>
                            <w:rFonts w:ascii="Arial" w:eastAsia="Arial" w:hAnsi="Arial" w:cs="Arial"/>
                            <w:sz w:val="18"/>
                          </w:rPr>
                          <w:t xml:space="preserve">. L’organico dei magistrati tributari è individuato in 448 unità presso le corti di </w:t>
                        </w:r>
                      </w:p>
                    </w:txbxContent>
                  </v:textbox>
                </v:rect>
                <v:rect id="Rectangle 23348" o:spid="_x0000_s7055" style="position:absolute;left:-12203;top:26667;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JtewwAAAN4AAAAPAAAAZHJzL2Rvd25yZXYueG1sRE/LisIw&#10;FN0L/kO4gjtNR0WkY5TBQaaL2fiCWV6aa1ttbkITbZ2vNwvB5eG8l+vO1OJOja8sK/gYJyCIc6sr&#10;LhQcD9vRAoQPyBpry6TgQR7Wq35viam2Le/ovg+FiCHsU1RQhuBSKX1ekkE/to44cmfbGAwRNoXU&#10;DbYx3NRykiRzabDi2FCio01J+XV/Mwr+vtll21bm5/+N+71ki/rndjwpNRx0X58gAnXhLX65M61g&#10;Mp3O4t54J14BuXoCAAD//wMAUEsBAi0AFAAGAAgAAAAhANvh9svuAAAAhQEAABMAAAAAAAAAAAAA&#10;AAAAAAAAAFtDb250ZW50X1R5cGVzXS54bWxQSwECLQAUAAYACAAAACEAWvQsW78AAAAVAQAACwAA&#10;AAAAAAAAAAAAAAAfAQAAX3JlbHMvLnJlbHNQSwECLQAUAAYACAAAACEAneibXsMAAADeAAAADwAA&#10;AAAAAAAAAAAAAAAHAgAAZHJzL2Rvd25yZXYueG1sUEsFBgAAAAADAAMAtwAAAPcCAAAAAA==&#10;" filled="f" stroked="f">
                  <v:textbox inset="0,0,0,0">
                    <w:txbxContent>
                      <w:p w14:paraId="2AA1CD99" w14:textId="77777777" w:rsidR="00B32EF2" w:rsidRDefault="00000000">
                        <w:r>
                          <w:rPr>
                            <w:rFonts w:ascii="Arial" w:eastAsia="Arial" w:hAnsi="Arial" w:cs="Arial"/>
                            <w:sz w:val="18"/>
                          </w:rPr>
                          <w:t>giustizia tributaria di primo grado e 128 unità presso le corti di giustizia tribu</w:t>
                        </w:r>
                      </w:p>
                    </w:txbxContent>
                  </v:textbox>
                </v:rect>
                <v:rect id="Rectangle 23349" o:spid="_x0000_s7056" style="position:absolute;left:196;top:2666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D7FxwAAAN4AAAAPAAAAZHJzL2Rvd25yZXYueG1sRI9Pa8JA&#10;FMTvBb/D8gRvdeMfio2uIoo0By9VCx4f2WeSNvt2ya4m9dO7hYLHYWZ+wyxWnanFjRpfWVYwGiYg&#10;iHOrKy4UnI671xkIH5A11pZJwS95WC17LwtMtW35k26HUIgIYZ+igjIEl0rp85IM+qF1xNG72MZg&#10;iLIppG6wjXBTy3GSvEmDFceFEh1tSsp/Dlej4Lxll+1amV/uG7f/zmb1x/X0pdSg363nIAJ14Rn+&#10;b2dawXgymb7D3514BeTyAQAA//8DAFBLAQItABQABgAIAAAAIQDb4fbL7gAAAIUBAAATAAAAAAAA&#10;AAAAAAAAAAAAAABbQ29udGVudF9UeXBlc10ueG1sUEsBAi0AFAAGAAgAAAAhAFr0LFu/AAAAFQEA&#10;AAsAAAAAAAAAAAAAAAAAHwEAAF9yZWxzLy5yZWxzUEsBAi0AFAAGAAgAAAAhAPKkPsXHAAAA3gAA&#10;AA8AAAAAAAAAAAAAAAAABwIAAGRycy9kb3ducmV2LnhtbFBLBQYAAAAAAwADALcAAAD7AgAAAAA=&#10;" filled="f" stroked="f">
                  <v:textbox inset="0,0,0,0">
                    <w:txbxContent>
                      <w:p w14:paraId="24D5DA42" w14:textId="77777777" w:rsidR="00B32EF2" w:rsidRDefault="00000000">
                        <w:r>
                          <w:rPr>
                            <w:rFonts w:ascii="Arial" w:eastAsia="Arial" w:hAnsi="Arial" w:cs="Arial"/>
                            <w:sz w:val="18"/>
                          </w:rPr>
                          <w:t>-</w:t>
                        </w:r>
                      </w:p>
                    </w:txbxContent>
                  </v:textbox>
                </v:rect>
                <v:rect id="Rectangle 23350" o:spid="_x0000_s7057" style="position:absolute;left:24255;top:25434;width:1566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GFxQAAAN4AAAAPAAAAZHJzL2Rvd25yZXYueG1sRI/LisIw&#10;FIb3gu8QjuBO01EU6RhlcJDpYjbeYJaH5thWm5PQRFvn6c1CcPnz3/iW687U4k6Nrywr+BgnIIhz&#10;qysuFBwP29EChA/IGmvLpOBBHtarfm+JqbYt7+i+D4WII+xTVFCG4FIpfV6SQT+2jjh6Z9sYDFE2&#10;hdQNtnHc1HKSJHNpsOL4UKKjTUn5dX8zCv6+2WXbVubn/437vWSL+ud2PCk1HHRfnyACdeEdfrUz&#10;rWAync4iQMSJKCBXTwAAAP//AwBQSwECLQAUAAYACAAAACEA2+H2y+4AAACFAQAAEwAAAAAAAAAA&#10;AAAAAAAAAAAAW0NvbnRlbnRfVHlwZXNdLnhtbFBLAQItABQABgAIAAAAIQBa9CxbvwAAABUBAAAL&#10;AAAAAAAAAAAAAAAAAB8BAABfcmVscy8ucmVsc1BLAQItABQABgAIAAAAIQDmRwGFxQAAAN4AAAAP&#10;AAAAAAAAAAAAAAAAAAcCAABkcnMvZG93bnJldi54bWxQSwUGAAAAAAMAAwC3AAAA+QIAAAAA&#10;" filled="f" stroked="f">
                  <v:textbox inset="0,0,0,0">
                    <w:txbxContent>
                      <w:p w14:paraId="40D675F8" w14:textId="77777777" w:rsidR="00B32EF2" w:rsidRDefault="00000000">
                        <w:r>
                          <w:rPr>
                            <w:rFonts w:ascii="Arial" w:eastAsia="Arial" w:hAnsi="Arial" w:cs="Arial"/>
                            <w:sz w:val="18"/>
                          </w:rPr>
                          <w:t>taria di secondo grado.</w:t>
                        </w:r>
                      </w:p>
                    </w:txbxContent>
                  </v:textbox>
                </v:rect>
                <v:rect id="Rectangle 202440" o:spid="_x0000_s7058" style="position:absolute;left:-13811;top:2420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lIGxQAAAN8AAAAPAAAAZHJzL2Rvd25yZXYueG1sRI/NisIw&#10;FIX3A75DuIK7MbXIINUooohduBlHweWlubbV5iY00VaffrIYmOXh/PEtVr1pxJNaX1tWMBknIIgL&#10;q2suFZx+dp8zED4ga2wsk4IXeVgtBx8LzLTt+Juex1CKOMI+QwVVCC6T0hcVGfRj64ijd7WtwRBl&#10;W0rdYhfHTSPTJPmSBmuODxU62lRU3I8Po+CyZZfvOllc3xt3uOWzZv84nZUaDfv1HESgPvyH/9q5&#10;VpAm6XQaCSJPZAG5/AUAAP//AwBQSwECLQAUAAYACAAAACEA2+H2y+4AAACFAQAAEwAAAAAAAAAA&#10;AAAAAAAAAAAAW0NvbnRlbnRfVHlwZXNdLnhtbFBLAQItABQABgAIAAAAIQBa9CxbvwAAABUBAAAL&#10;AAAAAAAAAAAAAAAAAB8BAABfcmVscy8ucmVsc1BLAQItABQABgAIAAAAIQBDOlIGxQAAAN8AAAAP&#10;AAAAAAAAAAAAAAAAAAcCAABkcnMvZG93bnJldi54bWxQSwUGAAAAAAMAAwC3AAAA+QIAAAAA&#10;" filled="f" stroked="f">
                  <v:textbox inset="0,0,0,0">
                    <w:txbxContent>
                      <w:p w14:paraId="6E68AF53" w14:textId="77777777" w:rsidR="00B32EF2" w:rsidRDefault="00000000">
                        <w:r>
                          <w:rPr>
                            <w:rFonts w:ascii="Arial" w:eastAsia="Arial" w:hAnsi="Arial" w:cs="Arial"/>
                            <w:sz w:val="18"/>
                          </w:rPr>
                          <w:t xml:space="preserve">. I criteri di valutazione e i punteggi di cui alla tabella C allegata al presente </w:t>
                        </w:r>
                      </w:p>
                    </w:txbxContent>
                  </v:textbox>
                </v:rect>
                <v:rect id="Rectangle 202439" o:spid="_x0000_s7059" style="position:absolute;left:26114;top:2420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jmyAAAAN8AAAAPAAAAZHJzL2Rvd25yZXYueG1sRI9Ba8JA&#10;FITvgv9heUJvumkqJU1dRRRpDr1oLfT4yD6TtNm3S3Y1qb++KxQ8DjPzDbNYDaYVF+p8Y1nB4ywB&#10;QVxa3XCl4Pixm2YgfEDW2FomBb/kYbUcjxaYa9vzni6HUIkIYZ+jgjoEl0vpy5oM+pl1xNE72c5g&#10;iLKrpO6wj3DTyjRJnqXBhuNCjY42NZU/h7NR8LVlV+x6WZ6uG/f+XWTt2/n4qdTDZFi/ggg0hHv4&#10;v11oBWmSzp9e4PYnfgG5/AMAAP//AwBQSwECLQAUAAYACAAAACEA2+H2y+4AAACFAQAAEwAAAAAA&#10;AAAAAAAAAAAAAAAAW0NvbnRlbnRfVHlwZXNdLnhtbFBLAQItABQABgAIAAAAIQBa9CxbvwAAABUB&#10;AAALAAAAAAAAAAAAAAAAAB8BAABfcmVscy8ucmVsc1BLAQItABQABgAIAAAAIQCKBojmyAAAAN8A&#10;AAAPAAAAAAAAAAAAAAAAAAcCAABkcnMvZG93bnJldi54bWxQSwUGAAAAAAMAAwC3AAAA/AIAAAAA&#10;" filled="f" stroked="f">
                  <v:textbox inset="0,0,0,0">
                    <w:txbxContent>
                      <w:p w14:paraId="42292527" w14:textId="77777777" w:rsidR="00B32EF2" w:rsidRDefault="00000000">
                        <w:r>
                          <w:rPr>
                            <w:rFonts w:ascii="Arial" w:eastAsia="Arial" w:hAnsi="Arial" w:cs="Arial"/>
                            <w:sz w:val="18"/>
                          </w:rPr>
                          <w:t>5</w:t>
                        </w:r>
                      </w:p>
                    </w:txbxContent>
                  </v:textbox>
                </v:rect>
                <v:rect id="Rectangle 23352" o:spid="_x0000_s7060" style="position:absolute;left:-13177;top:22967;width:531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TppxwAAAN4AAAAPAAAAZHJzL2Rvd25yZXYueG1sRI9Pa8JA&#10;FMTvBb/D8oTe6qYRi0RXKRZpDl78Bx4f2WeSNvt2ya4m9dO7QsHjMDO/YebL3jTiSq2vLSt4HyUg&#10;iAuray4VHPbrtykIH5A1NpZJwR95WC4GL3PMtO14S9ddKEWEsM9QQRWCy6T0RUUG/cg64uidbWsw&#10;RNmWUrfYRbhpZJokH9JgzXGhQkeriorf3cUoOH2xy9edLM63ldv85NPm+3I4KvU67D9nIAL14Rn+&#10;b+daQToeT1J43IlXQC7uAAAA//8DAFBLAQItABQABgAIAAAAIQDb4fbL7gAAAIUBAAATAAAAAAAA&#10;AAAAAAAAAAAAAABbQ29udGVudF9UeXBlc10ueG1sUEsBAi0AFAAGAAgAAAAhAFr0LFu/AAAAFQEA&#10;AAsAAAAAAAAAAAAAAAAAHwEAAF9yZWxzLy5yZWxzUEsBAi0AFAAGAAgAAAAhAHnZOmnHAAAA3gAA&#10;AA8AAAAAAAAAAAAAAAAABwIAAGRycy9kb3ducmV2LnhtbFBLBQYAAAAAAwADALcAAAD7AgAAAAA=&#10;" filled="f" stroked="f">
                  <v:textbox inset="0,0,0,0">
                    <w:txbxContent>
                      <w:p w14:paraId="262D6687" w14:textId="77777777" w:rsidR="00B32EF2" w:rsidRDefault="00000000">
                        <w:r>
                          <w:rPr>
                            <w:rFonts w:ascii="Arial" w:eastAsia="Arial" w:hAnsi="Arial" w:cs="Arial"/>
                            <w:sz w:val="18"/>
                          </w:rPr>
                          <w:t xml:space="preserve">decreto sono modificati, su conforme parere del Consiglio di presidenza della </w:t>
                        </w:r>
                      </w:p>
                    </w:txbxContent>
                  </v:textbox>
                </v:rect>
                <v:rect id="Rectangle 23353" o:spid="_x0000_s7061" style="position:absolute;left:-9823;top:21734;width:497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Z/yxwAAAN4AAAAPAAAAZHJzL2Rvd25yZXYueG1sRI9Ba8JA&#10;FITvgv9heUJvuqmhIqmrFEXMwUuthR4f2WcSzb5dsqtJ/fXdguBxmJlvmMWqN424UetrywpeJwkI&#10;4sLqmksFx6/teA7CB2SNjWVS8EseVsvhYIGZth1/0u0QShEh7DNUUIXgMil9UZFBP7GOOHon2xoM&#10;Ubal1C12EW4aOU2SmTRYc1yo0NG6ouJyuBoFPxt2+baTxem+dvtzPm921+O3Ui+j/uMdRKA+PMOP&#10;dq4VTNP0LYX/O/EKyOUfAAAA//8DAFBLAQItABQABgAIAAAAIQDb4fbL7gAAAIUBAAATAAAAAAAA&#10;AAAAAAAAAAAAAABbQ29udGVudF9UeXBlc10ueG1sUEsBAi0AFAAGAAgAAAAhAFr0LFu/AAAAFQEA&#10;AAsAAAAAAAAAAAAAAAAAHwEAAF9yZWxzLy5yZWxzUEsBAi0AFAAGAAgAAAAhABaVn/LHAAAA3gAA&#10;AA8AAAAAAAAAAAAAAAAABwIAAGRycy9kb3ducmV2LnhtbFBLBQYAAAAAAwADALcAAAD7AgAAAAA=&#10;" filled="f" stroked="f">
                  <v:textbox inset="0,0,0,0">
                    <w:txbxContent>
                      <w:p w14:paraId="750481F4" w14:textId="77777777" w:rsidR="00B32EF2" w:rsidRDefault="00000000">
                        <w:r>
                          <w:rPr>
                            <w:rFonts w:ascii="Arial" w:eastAsia="Arial" w:hAnsi="Arial" w:cs="Arial"/>
                            <w:sz w:val="18"/>
                          </w:rPr>
                          <w:t>giustizia tributaria, con decreto del Ministro dell’economia e delle finanze.</w:t>
                        </w:r>
                      </w:p>
                    </w:txbxContent>
                  </v:textbox>
                </v:rect>
                <v:rect id="Rectangle 23354" o:spid="_x0000_s7062" style="position:absolute;left:15613;top:19267;width:72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AeGxwAAAN4AAAAPAAAAZHJzL2Rvd25yZXYueG1sRI9Pa8JA&#10;FMTvBb/D8gRvdeOfFkldRRRpDl6qFnp8ZJ9JNPt2ya4m9dO7hYLHYWZ+w8yXnanFjRpfWVYwGiYg&#10;iHOrKy4UHA/b1xkIH5A11pZJwS95WC56L3NMtW35i277UIgIYZ+igjIEl0rp85IM+qF1xNE72cZg&#10;iLIppG6wjXBTy3GSvEuDFceFEh2tS8ov+6tR8LNhl21bmZ/ua7c7Z7P683r8VmrQ71YfIAJ14Rn+&#10;b2dawXgyeZvC3514BeTiAQAA//8DAFBLAQItABQABgAIAAAAIQDb4fbL7gAAAIUBAAATAAAAAAAA&#10;AAAAAAAAAAAAAABbQ29udGVudF9UeXBlc10ueG1sUEsBAi0AFAAGAAgAAAAhAFr0LFu/AAAAFQEA&#10;AAsAAAAAAAAAAAAAAAAAHwEAAF9yZWxzLy5yZWxzUEsBAi0AFAAGAAgAAAAhAJl8B4bHAAAA3gAA&#10;AA8AAAAAAAAAAAAAAAAABwIAAGRycy9kb3ducmV2LnhtbFBLBQYAAAAAAwADALcAAAD7AgAAAAA=&#10;" filled="f" stroked="f">
                  <v:textbox inset="0,0,0,0">
                    <w:txbxContent>
                      <w:p w14:paraId="4AC4E43F" w14:textId="77777777" w:rsidR="00B32EF2" w:rsidRDefault="00000000">
                        <w:r>
                          <w:rPr>
                            <w:rFonts w:ascii="Arial" w:eastAsia="Arial" w:hAnsi="Arial" w:cs="Arial"/>
                            <w:b/>
                            <w:sz w:val="18"/>
                          </w:rPr>
                          <w:t>Articolo 3</w:t>
                        </w:r>
                      </w:p>
                    </w:txbxContent>
                  </v:textbox>
                </v:rect>
                <v:rect id="Rectangle 202436" o:spid="_x0000_s7063" style="position:absolute;left:22115;top:18034;width:185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RyUxwAAAN8AAAAPAAAAZHJzL2Rvd25yZXYueG1sRI9Ba8JA&#10;FITvQv/D8gredGMsItFVRBFz6KXWgsdH9pmkzb5dsqtJ++u7guBxmJlvmOW6N424Uetrywom4wQE&#10;cWF1zaWC0+d+NAfhA7LGxjIp+CUP69XLYImZth1/0O0YShEh7DNUUIXgMil9UZFBP7aOOHoX2xoM&#10;Ubal1C12EW4amSbJTBqsOS5U6GhbUfFzvBoF5x27fN/J4vK3de/f+bw5XE9fSg1f+80CRKA+PMOP&#10;dq4VpEn6Np3B/U/8AnL1DwAA//8DAFBLAQItABQABgAIAAAAIQDb4fbL7gAAAIUBAAATAAAAAAAA&#10;AAAAAAAAAAAAAABbQ29udGVudF9UeXBlc10ueG1sUEsBAi0AFAAGAAgAAAAhAFr0LFu/AAAAFQEA&#10;AAsAAAAAAAAAAAAAAAAAHwEAAF9yZWxzLy5yZWxzUEsBAi0AFAAGAAgAAAAhAPuZHJTHAAAA3wAA&#10;AA8AAAAAAAAAAAAAAAAABwIAAGRycy9kb3ducmV2LnhtbFBLBQYAAAAAAwADALcAAAD7AgAAAAA=&#10;" filled="f" stroked="f">
                  <v:textbox inset="0,0,0,0">
                    <w:txbxContent>
                      <w:p w14:paraId="6F172C81" w14:textId="77777777" w:rsidR="00B32EF2" w:rsidRDefault="00000000">
                        <w:r>
                          <w:rPr>
                            <w:rFonts w:ascii="Arial" w:eastAsia="Arial" w:hAnsi="Arial" w:cs="Arial"/>
                            <w:i/>
                            <w:sz w:val="18"/>
                          </w:rPr>
                          <w:t>(</w:t>
                        </w:r>
                      </w:p>
                    </w:txbxContent>
                  </v:textbox>
                </v:rect>
                <v:rect id="Rectangle 202438" o:spid="_x0000_s7064" style="position:absolute;left:12168;top:18034;width:185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19xQAAAN8AAAAPAAAAZHJzL2Rvd25yZXYueG1sRE/LisIw&#10;FN0P+A/hCu7G1M4wSDWKKDJduBkf4PLSXNtqcxOaaKtfP1kMzPJw3vNlbxrxoNbXlhVMxgkI4sLq&#10;mksFx8P2fQrCB2SNjWVS8CQPy8XgbY6Zth3/0GMfShFD2GeooArBZVL6oiKDfmwdceQutjUYImxL&#10;qVvsYrhpZJokX9JgzbGhQkfriorb/m4UnDfs8m0ni8tr7XbXfNp8348npUbDfjUDEagP/+I/d64V&#10;pEn6+REHxz/xC8jFLwAAAP//AwBQSwECLQAUAAYACAAAACEA2+H2y+4AAACFAQAAEwAAAAAAAAAA&#10;AAAAAAAAAAAAW0NvbnRlbnRfVHlwZXNdLnhtbFBLAQItABQABgAIAAAAIQBa9CxbvwAAABUBAAAL&#10;AAAAAAAAAAAAAAAAAB8BAABfcmVscy8ucmVsc1BLAQItABQABgAIAAAAIQDlSi19xQAAAN8AAAAP&#10;AAAAAAAAAAAAAAAAAAcCAABkcnMvZG93bnJldi54bWxQSwUGAAAAAAMAAwC3AAAA+QIAAAAA&#10;" filled="f" stroked="f">
                  <v:textbox inset="0,0,0,0">
                    <w:txbxContent>
                      <w:p w14:paraId="6B870601" w14:textId="77777777" w:rsidR="00B32EF2" w:rsidRDefault="00000000">
                        <w:r>
                          <w:rPr>
                            <w:rFonts w:ascii="Arial" w:eastAsia="Arial" w:hAnsi="Arial" w:cs="Arial"/>
                            <w:i/>
                            <w:sz w:val="18"/>
                          </w:rPr>
                          <w:t xml:space="preserve">articolo 2 D.lgs. n. </w:t>
                        </w:r>
                      </w:p>
                    </w:txbxContent>
                  </v:textbox>
                </v:rect>
                <v:rect id="Rectangle 202437" o:spid="_x0000_s7065" style="position:absolute;left:-1445;top:18034;width:185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bkPyAAAAN8AAAAPAAAAZHJzL2Rvd25yZXYueG1sRI9Ba8JA&#10;FITvgv9heUJvumkqraSuIoo0h160KfT4yD6TtNm3S3Y1qb++KxQ8DjPzDbNcD6YVF+p8Y1nB4ywB&#10;QVxa3XCloPjYTxcgfEDW2FomBb/kYb0aj5aYadvzgS7HUIkIYZ+hgjoEl0npy5oM+pl1xNE72c5g&#10;iLKrpO6wj3DTyjRJnqXBhuNCjY62NZU/x7NR8LVjl+97WZ6uW/f+nS/at3PxqdTDZNi8ggg0hHv4&#10;v51rBWmSzp9e4PYnfgG5+gMAAP//AwBQSwECLQAUAAYACAAAACEA2+H2y+4AAACFAQAAEwAAAAAA&#10;AAAAAAAAAAAAAAAAW0NvbnRlbnRfVHlwZXNdLnhtbFBLAQItABQABgAIAAAAIQBa9CxbvwAAABUB&#10;AAALAAAAAAAAAAAAAAAAAB8BAABfcmVscy8ucmVsc1BLAQItABQABgAIAAAAIQCU1bkPyAAAAN8A&#10;AAAPAAAAAAAAAAAAAAAAAAcCAABkcnMvZG93bnJldi54bWxQSwUGAAAAAAMAAwC3AAAA/AIAAAAA&#10;" filled="f" stroked="f">
                  <v:textbox inset="0,0,0,0">
                    <w:txbxContent>
                      <w:p w14:paraId="79806A86" w14:textId="77777777" w:rsidR="00B32EF2" w:rsidRDefault="00000000">
                        <w:r>
                          <w:rPr>
                            <w:rFonts w:ascii="Arial" w:eastAsia="Arial" w:hAnsi="Arial" w:cs="Arial"/>
                            <w:i/>
                            <w:sz w:val="18"/>
                          </w:rPr>
                          <w:t>545/92)</w:t>
                        </w:r>
                      </w:p>
                    </w:txbxContent>
                  </v:textbox>
                </v:rect>
                <v:rect id="Rectangle 23356" o:spid="_x0000_s7066" style="position:absolute;left:-11964;top:16800;width:511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jxqxwAAAN4AAAAPAAAAZHJzL2Rvd25yZXYueG1sRI9Ba8JA&#10;FITvQv/D8gRvulFRJHWVYhFz8FJNocdH9pmkzb5dsquJ/vpuoeBxmJlvmPW2N424UetrywqmkwQE&#10;cWF1zaWC/Lwfr0D4gKyxsUwK7uRhu3kZrDHVtuMPup1CKSKEfYoKqhBcKqUvKjLoJ9YRR+9iW4Mh&#10;yraUusUuwk0jZ0mylAZrjgsVOtpVVPycrkbB1zu7bN/J4vLYueN3tmoO1/xTqdGwf3sFEagPz/B/&#10;O9MKZvP5Ygl/d+IVkJtfAAAA//8DAFBLAQItABQABgAIAAAAIQDb4fbL7gAAAIUBAAATAAAAAAAA&#10;AAAAAAAAAAAAAABbQ29udGVudF9UeXBlc10ueG1sUEsBAi0AFAAGAAgAAAAhAFr0LFu/AAAAFQEA&#10;AAsAAAAAAAAAAAAAAAAAHwEAAF9yZWxzLy5yZWxzUEsBAi0AFAAGAAgAAAAhAAbiPGrHAAAA3gAA&#10;AA8AAAAAAAAAAAAAAAAABwIAAGRycy9kb3ducmV2LnhtbFBLBQYAAAAAAwADALcAAAD7AgAAAAA=&#10;" filled="f" stroked="f">
                  <v:textbox inset="0,0,0,0">
                    <w:txbxContent>
                      <w:p w14:paraId="2A2343B5" w14:textId="77777777" w:rsidR="00B32EF2" w:rsidRDefault="00000000">
                        <w:r>
                          <w:rPr>
                            <w:rFonts w:ascii="Arial" w:eastAsia="Arial" w:hAnsi="Arial" w:cs="Arial"/>
                            <w:b/>
                            <w:sz w:val="18"/>
                          </w:rPr>
                          <w:t xml:space="preserve">La composizione delle corti di giustizia tributaria di primo e secondo </w:t>
                        </w:r>
                      </w:p>
                    </w:txbxContent>
                  </v:textbox>
                </v:rect>
                <v:rect id="Rectangle 23357" o:spid="_x0000_s7067" style="position:absolute;left:17013;top:15567;width:47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pnxxwAAAN4AAAAPAAAAZHJzL2Rvd25yZXYueG1sRI9Ba8JA&#10;FITvBf/D8gRvdaNiK6mriCLNwUvVQo+P7DOJZt8u2dWk/nq3UPA4zMw3zHzZmVrcqPGVZQWjYQKC&#10;OLe64kLB8bB9nYHwAVljbZkU/JKH5aL3MsdU25a/6LYPhYgQ9ikqKENwqZQ+L8mgH1pHHL2TbQyG&#10;KJtC6gbbCDe1HCfJmzRYcVwo0dG6pPyyvxoFPxt22baV+em+drtzNqs/r8dvpQb9bvUBIlAXnuH/&#10;dqYVjCeT6Tv83YlXQC4eAAAA//8DAFBLAQItABQABgAIAAAAIQDb4fbL7gAAAIUBAAATAAAAAAAA&#10;AAAAAAAAAAAAAABbQ29udGVudF9UeXBlc10ueG1sUEsBAi0AFAAGAAgAAAAhAFr0LFu/AAAAFQEA&#10;AAsAAAAAAAAAAAAAAAAAHwEAAF9yZWxzLy5yZWxzUEsBAi0AFAAGAAgAAAAhAGmumfHHAAAA3gAA&#10;AA8AAAAAAAAAAAAAAAAABwIAAGRycy9kb3ducmV2LnhtbFBLBQYAAAAAAwADALcAAAD7AgAAAAA=&#10;" filled="f" stroked="f">
                  <v:textbox inset="0,0,0,0">
                    <w:txbxContent>
                      <w:p w14:paraId="01FF51D1" w14:textId="77777777" w:rsidR="00B32EF2" w:rsidRDefault="00000000">
                        <w:r>
                          <w:rPr>
                            <w:rFonts w:ascii="Arial" w:eastAsia="Arial" w:hAnsi="Arial" w:cs="Arial"/>
                            <w:b/>
                            <w:sz w:val="18"/>
                          </w:rPr>
                          <w:t xml:space="preserve">grado </w:t>
                        </w:r>
                      </w:p>
                    </w:txbxContent>
                  </v:textbox>
                </v:rect>
                <v:rect id="Rectangle 202434" o:spid="_x0000_s7068" style="position:absolute;left:26114;top:14334;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d4xwAAAN8AAAAPAAAAZHJzL2Rvd25yZXYueG1sRI9Ba8JA&#10;FITvQv/D8gredGOUItFVRBFz6EVrweMj+0zSZt8u2dWk/fVdoeBxmJlvmOW6N424U+trywom4wQE&#10;cWF1zaWC88d+NAfhA7LGxjIp+CEP69XLYImZth0f6X4KpYgQ9hkqqEJwmZS+qMigH1tHHL2rbQ2G&#10;KNtS6ha7CDeNTJPkTRqsOS5U6GhbUfF9uhkFlx27fN/J4vq7de9f+bw53M6fSg1f+80CRKA+PMP/&#10;7VwrSJN0Np3B40/8AnL1BwAA//8DAFBLAQItABQABgAIAAAAIQDb4fbL7gAAAIUBAAATAAAAAAAA&#10;AAAAAAAAAAAAAABbQ29udGVudF9UeXBlc10ueG1sUEsBAi0AFAAGAAgAAAAhAFr0LFu/AAAAFQEA&#10;AAsAAAAAAAAAAAAAAAAAHwEAAF9yZWxzLy5yZWxzUEsBAi0AFAAGAAgAAAAhAGQHJ3jHAAAA3wAA&#10;AA8AAAAAAAAAAAAAAAAABwIAAGRycy9kb3ducmV2LnhtbFBLBQYAAAAAAwADALcAAAD7AgAAAAA=&#10;" filled="f" stroked="f">
                  <v:textbox inset="0,0,0,0">
                    <w:txbxContent>
                      <w:p w14:paraId="0468F096" w14:textId="77777777" w:rsidR="00B32EF2" w:rsidRDefault="00000000">
                        <w:r>
                          <w:rPr>
                            <w:rFonts w:ascii="Arial" w:eastAsia="Arial" w:hAnsi="Arial" w:cs="Arial"/>
                            <w:sz w:val="18"/>
                          </w:rPr>
                          <w:t>1</w:t>
                        </w:r>
                      </w:p>
                    </w:txbxContent>
                  </v:textbox>
                </v:rect>
                <v:rect id="Rectangle 202435" o:spid="_x0000_s7069" style="position:absolute;left:-13759;top:143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LjyAAAAN8AAAAPAAAAZHJzL2Rvd25yZXYueG1sRI9Ba8JA&#10;FITvgv9heUJvumlqi6SuIoo0h160KfT4yD6TtNm3S3Y1qb++KxQ8DjPzDbNcD6YVF+p8Y1nB4ywB&#10;QVxa3XCloPjYTxcgfEDW2FomBb/kYb0aj5aYadvzgS7HUIkIYZ+hgjoEl0npy5oM+pl1xNE72c5g&#10;iLKrpO6wj3DTyjRJXqTBhuNCjY62NZU/x7NR8LVjl+97WZ6uW/f+nS/at3PxqdTDZNi8ggg0hHv4&#10;v51rBWmSzp+e4fYnfgG5+gMAAP//AwBQSwECLQAUAAYACAAAACEA2+H2y+4AAACFAQAAEwAAAAAA&#10;AAAAAAAAAAAAAAAAW0NvbnRlbnRfVHlwZXNdLnhtbFBLAQItABQABgAIAAAAIQBa9CxbvwAAABUB&#10;AAALAAAAAAAAAAAAAAAAAB8BAABfcmVscy8ucmVsc1BLAQItABQABgAIAAAAIQALS4LjyAAAAN8A&#10;AAAPAAAAAAAAAAAAAAAAAAcCAABkcnMvZG93bnJldi54bWxQSwUGAAAAAAMAAwC3AAAA/AIAAAAA&#10;" filled="f" stroked="f">
                  <v:textbox inset="0,0,0,0">
                    <w:txbxContent>
                      <w:p w14:paraId="2CBDA17A" w14:textId="77777777" w:rsidR="00B32EF2" w:rsidRDefault="00000000">
                        <w:r>
                          <w:rPr>
                            <w:rFonts w:ascii="Arial" w:eastAsia="Arial" w:hAnsi="Arial" w:cs="Arial"/>
                            <w:sz w:val="18"/>
                          </w:rPr>
                          <w:t xml:space="preserve">. A ciascuna delle corti di giustizia tributaria di primo e secondo grado è </w:t>
                        </w:r>
                      </w:p>
                    </w:txbxContent>
                  </v:textbox>
                </v:rect>
                <v:rect id="Rectangle 23359" o:spid="_x0000_s7070" style="position:absolute;left:-13167;top:13101;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agYxwAAAN4AAAAPAAAAZHJzL2Rvd25yZXYueG1sRI9Ba8JA&#10;FITvBf/D8gRvdaNisdFVRJHm4KVqweMj+0zSZt8u2dWk/nq3UPA4zMw3zGLVmVrcqPGVZQWjYQKC&#10;OLe64kLB6bh7nYHwAVljbZkU/JKH1bL3ssBU25Y/6XYIhYgQ9ikqKENwqZQ+L8mgH1pHHL2LbQyG&#10;KJtC6gbbCDe1HCfJmzRYcVwo0dGmpPzncDUKzlt22a6V+eW+cfvvbFZ/XE9fSg363XoOIlAXnuH/&#10;dqYVjCeT6Tv83YlXQC4fAAAA//8DAFBLAQItABQABgAIAAAAIQDb4fbL7gAAAIUBAAATAAAAAAAA&#10;AAAAAAAAAAAAAABbQ29udGVudF9UeXBlc10ueG1sUEsBAi0AFAAGAAgAAAAhAFr0LFu/AAAAFQEA&#10;AAsAAAAAAAAAAAAAAAAAHwEAAF9yZWxzLy5yZWxzUEsBAi0AFAAGAAgAAAAhAHd9qBjHAAAA3gAA&#10;AA8AAAAAAAAAAAAAAAAABwIAAGRycy9kb3ducmV2LnhtbFBLBQYAAAAAAwADALcAAAD7AgAAAAA=&#10;" filled="f" stroked="f">
                  <v:textbox inset="0,0,0,0">
                    <w:txbxContent>
                      <w:p w14:paraId="533D446E" w14:textId="77777777" w:rsidR="00B32EF2" w:rsidRDefault="00000000">
                        <w:r>
                          <w:rPr>
                            <w:rFonts w:ascii="Arial" w:eastAsia="Arial" w:hAnsi="Arial" w:cs="Arial"/>
                            <w:sz w:val="18"/>
                          </w:rPr>
                          <w:t xml:space="preserve">preposto un presidente che presiede anche la prima sezione. L’incarico ha </w:t>
                        </w:r>
                      </w:p>
                    </w:txbxContent>
                  </v:textbox>
                </v:rect>
                <v:rect id="Rectangle 23360" o:spid="_x0000_s7071" style="position:absolute;left:-13167;top:1186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8s4xgAAAN4AAAAPAAAAZHJzL2Rvd25yZXYueG1sRI/LasMw&#10;EEX3gf6DmEJ2idwYTHCjhJIS4kU3TV3ocrAmtltrJCz50Xx9tCh0ebkvzu4wm06M1PvWsoKndQKC&#10;uLK65VpB+XFabUH4gKyxs0wKfsnDYf+w2GGu7cTvNF5CLeII+xwVNCG4XEpfNWTQr60jjt7V9gZD&#10;lH0tdY9THDed3CRJJg22HB8adHRsqPq5DEbB1yu74jTJ6no7urfvYtudh/JTqeXj/PIMItAc/sN/&#10;7UIr2KRpFgEiTkQBub8DAAD//wMAUEsBAi0AFAAGAAgAAAAhANvh9svuAAAAhQEAABMAAAAAAAAA&#10;AAAAAAAAAAAAAFtDb250ZW50X1R5cGVzXS54bWxQSwECLQAUAAYACAAAACEAWvQsW78AAAAVAQAA&#10;CwAAAAAAAAAAAAAAAAAfAQAAX3JlbHMvLnJlbHNQSwECLQAUAAYACAAAACEAKCvLOMYAAADeAAAA&#10;DwAAAAAAAAAAAAAAAAAHAgAAZHJzL2Rvd25yZXYueG1sUEsFBgAAAAADAAMAtwAAAPoCAAAAAA==&#10;" filled="f" stroked="f">
                  <v:textbox inset="0,0,0,0">
                    <w:txbxContent>
                      <w:p w14:paraId="21D12560" w14:textId="77777777" w:rsidR="00B32EF2" w:rsidRDefault="00000000">
                        <w:r>
                          <w:rPr>
                            <w:rFonts w:ascii="Arial" w:eastAsia="Arial" w:hAnsi="Arial" w:cs="Arial"/>
                            <w:sz w:val="18"/>
                          </w:rPr>
                          <w:t xml:space="preserve">durata quadriennale a decorrere dalla data di esercizio effettivo delle funzioni </w:t>
                        </w:r>
                      </w:p>
                    </w:txbxContent>
                  </v:textbox>
                </v:rect>
                <v:rect id="Rectangle 23361" o:spid="_x0000_s7072" style="position:absolute;left:-13166;top:10634;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26jxgAAAN4AAAAPAAAAZHJzL2Rvd25yZXYueG1sRI9Bi8Iw&#10;FITvC/6H8ARva6qCSDWKKGIPXlZd2OOjebbV5iU00VZ//WZhweMwM98wi1VnavGgxleWFYyGCQji&#10;3OqKCwXn0+5zBsIHZI21ZVLwJA+rZe9jgam2LX/R4xgKESHsU1RQhuBSKX1ekkE/tI44ehfbGAxR&#10;NoXUDbYRbmo5TpKpNFhxXCjR0aak/Ha8GwU/W3bZrpX55bVxh2s2q/f387dSg363noMI1IV3+L+d&#10;aQXjyWQ6gr878QrI5S8AAAD//wMAUEsBAi0AFAAGAAgAAAAhANvh9svuAAAAhQEAABMAAAAAAAAA&#10;AAAAAAAAAAAAAFtDb250ZW50X1R5cGVzXS54bWxQSwECLQAUAAYACAAAACEAWvQsW78AAAAVAQAA&#10;CwAAAAAAAAAAAAAAAAAfAQAAX3JlbHMvLnJlbHNQSwECLQAUAAYACAAAACEAR2duo8YAAADeAAAA&#10;DwAAAAAAAAAAAAAAAAAHAgAAZHJzL2Rvd25yZXYueG1sUEsFBgAAAAADAAMAtwAAAPoCAAAAAA==&#10;" filled="f" stroked="f">
                  <v:textbox inset="0,0,0,0">
                    <w:txbxContent>
                      <w:p w14:paraId="0A5D5221" w14:textId="77777777" w:rsidR="00B32EF2" w:rsidRDefault="00000000">
                        <w:r>
                          <w:rPr>
                            <w:rFonts w:ascii="Arial" w:eastAsia="Arial" w:hAnsi="Arial" w:cs="Arial"/>
                            <w:sz w:val="18"/>
                          </w:rPr>
                          <w:t xml:space="preserve">ed è rinnovabile per una sola volta e per un uguale periodo, previa valutazione </w:t>
                        </w:r>
                      </w:p>
                    </w:txbxContent>
                  </v:textbox>
                </v:rect>
                <v:rect id="Rectangle 23362" o:spid="_x0000_s7073" style="position:absolute;left:-12204;top:9401;width:521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fDUxgAAAN4AAAAPAAAAZHJzL2Rvd25yZXYueG1sRI9Ba8JA&#10;FITvhf6H5RW81U0jiERXKYqYQy9aBY+P7DOJZt8u2dXE/npXEHocZuYbZrboTSNu1PrasoKvYQKC&#10;uLC65lLB/nf9OQHhA7LGxjIpuJOHxfz9bYaZth1v6bYLpYgQ9hkqqEJwmZS+qMigH1pHHL2TbQ2G&#10;KNtS6ha7CDeNTJNkLA3WHBcqdLSsqLjsrkbBccUuX3eyOP0t3c85nzSb6/6g1OCj/56CCNSH//Cr&#10;nWsF6Wg0TuF5J14BOX8AAAD//wMAUEsBAi0AFAAGAAgAAAAhANvh9svuAAAAhQEAABMAAAAAAAAA&#10;AAAAAAAAAAAAAFtDb250ZW50X1R5cGVzXS54bWxQSwECLQAUAAYACAAAACEAWvQsW78AAAAVAQAA&#10;CwAAAAAAAAAAAAAAAAAfAQAAX3JlbHMvLnJlbHNQSwECLQAUAAYACAAAACEAt7Xw1MYAAADeAAAA&#10;DwAAAAAAAAAAAAAAAAAHAgAAZHJzL2Rvd25yZXYueG1sUEsFBgAAAAADAAMAtwAAAPoCAAAAAA==&#10;" filled="f" stroked="f">
                  <v:textbox inset="0,0,0,0">
                    <w:txbxContent>
                      <w:p w14:paraId="45B27B74" w14:textId="77777777" w:rsidR="00B32EF2" w:rsidRDefault="00000000">
                        <w:r>
                          <w:rPr>
                            <w:rFonts w:ascii="Arial" w:eastAsia="Arial" w:hAnsi="Arial" w:cs="Arial"/>
                            <w:sz w:val="18"/>
                          </w:rPr>
                          <w:t>positiva da parte del Consiglio di presidenza della giustizia tributaria dell’attivi</w:t>
                        </w:r>
                      </w:p>
                    </w:txbxContent>
                  </v:textbox>
                </v:rect>
                <v:rect id="Rectangle 23363" o:spid="_x0000_s7074" style="position:absolute;left:196;top:9401;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VPxgAAAN4AAAAPAAAAZHJzL2Rvd25yZXYueG1sRI9Ba8JA&#10;FITvBf/D8oTe6qYGRKKrFEXMoRetgsdH9plEs2+X7GrS/npXEHocZuYbZr7sTSPu1PrasoLPUQKC&#10;uLC65lLB4WfzMQXhA7LGxjIp+CUPy8XgbY6Zth3v6L4PpYgQ9hkqqEJwmZS+qMigH1lHHL2zbQ2G&#10;KNtS6ha7CDeNHCfJRBqsOS5U6GhVUXHd34yC05pdvulkcf5bue9LPm22t8NRqfdh/zUDEagP/+FX&#10;O9cKxmk6SeF5J14BuXgAAAD//wMAUEsBAi0AFAAGAAgAAAAhANvh9svuAAAAhQEAABMAAAAAAAAA&#10;AAAAAAAAAAAAAFtDb250ZW50X1R5cGVzXS54bWxQSwECLQAUAAYACAAAACEAWvQsW78AAAAVAQAA&#10;CwAAAAAAAAAAAAAAAAAfAQAAX3JlbHMvLnJlbHNQSwECLQAUAAYACAAAACEA2PlVT8YAAADeAAAA&#10;DwAAAAAAAAAAAAAAAAAHAgAAZHJzL2Rvd25yZXYueG1sUEsFBgAAAAADAAMAtwAAAPoCAAAAAA==&#10;" filled="f" stroked="f">
                  <v:textbox inset="0,0,0,0">
                    <w:txbxContent>
                      <w:p w14:paraId="36799E7E" w14:textId="77777777" w:rsidR="00B32EF2" w:rsidRDefault="00000000">
                        <w:r>
                          <w:rPr>
                            <w:rFonts w:ascii="Arial" w:eastAsia="Arial" w:hAnsi="Arial" w:cs="Arial"/>
                            <w:sz w:val="18"/>
                          </w:rPr>
                          <w:t>-</w:t>
                        </w:r>
                      </w:p>
                    </w:txbxContent>
                  </v:textbox>
                </v:rect>
                <v:rect id="Rectangle 23364" o:spid="_x0000_s7075" style="position:absolute;left:-13166;top:8167;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M07xwAAAN4AAAAPAAAAZHJzL2Rvd25yZXYueG1sRI9Pa8JA&#10;FMTvQr/D8gRvuvEPIqmrFIuYg5dqCj0+ss8kbfbtkl1N9NN3CwWPw8z8hllve9OIG7W+tqxgOklA&#10;EBdW11wqyM/78QqED8gaG8uk4E4etpuXwRpTbTv+oNsplCJC2KeooArBpVL6oiKDfmIdcfQutjUY&#10;omxLqVvsItw0cpYkS2mw5rhQoaNdRcXP6WoUfL2zy/adLC6PnTt+Z6vmcM0/lRoN+7dXEIH68Az/&#10;tzOtYDafLxfwdydeAbn5BQAA//8DAFBLAQItABQABgAIAAAAIQDb4fbL7gAAAIUBAAATAAAAAAAA&#10;AAAAAAAAAAAAAABbQ29udGVudF9UeXBlc10ueG1sUEsBAi0AFAAGAAgAAAAhAFr0LFu/AAAAFQEA&#10;AAsAAAAAAAAAAAAAAAAAHwEAAF9yZWxzLy5yZWxzUEsBAi0AFAAGAAgAAAAhAFcQzTvHAAAA3gAA&#10;AA8AAAAAAAAAAAAAAAAABwIAAGRycy9kb3ducmV2LnhtbFBLBQYAAAAAAwADALcAAAD7AgAAAAA=&#10;" filled="f" stroked="f">
                  <v:textbox inset="0,0,0,0">
                    <w:txbxContent>
                      <w:p w14:paraId="1B09674C" w14:textId="77777777" w:rsidR="00B32EF2" w:rsidRDefault="00000000">
                        <w:r>
                          <w:rPr>
                            <w:rFonts w:ascii="Arial" w:eastAsia="Arial" w:hAnsi="Arial" w:cs="Arial"/>
                            <w:sz w:val="18"/>
                          </w:rPr>
                          <w:t xml:space="preserve">tà svolta nel primo triennio del quadriennio iniziale. Il Consiglio di presidenza </w:t>
                        </w:r>
                      </w:p>
                    </w:txbxContent>
                  </v:textbox>
                </v:rect>
                <v:rect id="Rectangle 23365" o:spid="_x0000_s7076" style="position:absolute;left:-13167;top:6934;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GigxwAAAN4AAAAPAAAAZHJzL2Rvd25yZXYueG1sRI9Ba8JA&#10;FITvQv/D8gRvulFRJHWVYhFz8FJNocdH9pmkzb5dsquJ/vpuoeBxmJlvmPW2N424UetrywqmkwQE&#10;cWF1zaWC/Lwfr0D4gKyxsUwK7uRhu3kZrDHVtuMPup1CKSKEfYoKqhBcKqUvKjLoJ9YRR+9iW4Mh&#10;yraUusUuwk0jZ0mylAZrjgsVOtpVVPycrkbB1zu7bN/J4vLYueN3tmoO1/xTqdGwf3sFEagPz/B/&#10;O9MKZvP5cgF/d+IVkJtfAAAA//8DAFBLAQItABQABgAIAAAAIQDb4fbL7gAAAIUBAAATAAAAAAAA&#10;AAAAAAAAAAAAAABbQ29udGVudF9UeXBlc10ueG1sUEsBAi0AFAAGAAgAAAAhAFr0LFu/AAAAFQEA&#10;AAsAAAAAAAAAAAAAAAAAHwEAAF9yZWxzLy5yZWxzUEsBAi0AFAAGAAgAAAAhADhcaKDHAAAA3gAA&#10;AA8AAAAAAAAAAAAAAAAABwIAAGRycy9kb3ducmV2LnhtbFBLBQYAAAAAAwADALcAAAD7AgAAAAA=&#10;" filled="f" stroked="f">
                  <v:textbox inset="0,0,0,0">
                    <w:txbxContent>
                      <w:p w14:paraId="0E1CAFD6" w14:textId="77777777" w:rsidR="00B32EF2" w:rsidRDefault="00000000">
                        <w:r>
                          <w:rPr>
                            <w:rFonts w:ascii="Arial" w:eastAsia="Arial" w:hAnsi="Arial" w:cs="Arial"/>
                            <w:sz w:val="18"/>
                          </w:rPr>
                          <w:t xml:space="preserve">della giustizia tributaria stabilisce con proprio regolamento il procedimento e le </w:t>
                        </w:r>
                      </w:p>
                    </w:txbxContent>
                  </v:textbox>
                </v:rect>
                <v:rect id="Rectangle 23366" o:spid="_x0000_s7077" style="position:absolute;left:-12205;top:5701;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vbXxgAAAN4AAAAPAAAAZHJzL2Rvd25yZXYueG1sRI9Ba8JA&#10;FITvQv/D8gredFOFINFViiLm0EutgsdH9plEs2+X7Gpif31XEHocZuYbZrHqTSPu1PrasoKPcQKC&#10;uLC65lLB4Wc7moHwAVljY5kUPMjDavk2WGCmbcffdN+HUkQI+wwVVCG4TEpfVGTQj60jjt7ZtgZD&#10;lG0pdYtdhJtGTpIklQZrjgsVOlpXVFz3N6PgtGGXbztZnH/X7uuSz5rd7XBUavjef85BBOrDf/jV&#10;zrWCyXSapvC8E6+AXP4BAAD//wMAUEsBAi0AFAAGAAgAAAAhANvh9svuAAAAhQEAABMAAAAAAAAA&#10;AAAAAAAAAAAAAFtDb250ZW50X1R5cGVzXS54bWxQSwECLQAUAAYACAAAACEAWvQsW78AAAAVAQAA&#10;CwAAAAAAAAAAAAAAAAAfAQAAX3JlbHMvLnJlbHNQSwECLQAUAAYACAAAACEAyI7218YAAADeAAAA&#10;DwAAAAAAAAAAAAAAAAAHAgAAZHJzL2Rvd25yZXYueG1sUEsFBgAAAAADAAMAtwAAAPoCAAAAAA==&#10;" filled="f" stroked="f">
                  <v:textbox inset="0,0,0,0">
                    <w:txbxContent>
                      <w:p w14:paraId="71BF747B" w14:textId="77777777" w:rsidR="00B32EF2" w:rsidRDefault="00000000">
                        <w:r>
                          <w:rPr>
                            <w:rFonts w:ascii="Arial" w:eastAsia="Arial" w:hAnsi="Arial" w:cs="Arial"/>
                            <w:sz w:val="18"/>
                          </w:rPr>
                          <w:t>modalità di tale valutazione, garantendo la previa interlocuzione con l’interes</w:t>
                        </w:r>
                      </w:p>
                    </w:txbxContent>
                  </v:textbox>
                </v:rect>
                <v:rect id="Rectangle 23367" o:spid="_x0000_s7078" style="position:absolute;left:196;top:5701;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lNMxwAAAN4AAAAPAAAAZHJzL2Rvd25yZXYueG1sRI9Ba8JA&#10;FITvQv/D8gRvulFBJXWVYhFz8FKbQo+P7DNJm327ZFcT/fVuQehxmJlvmPW2N424UutrywqmkwQE&#10;cWF1zaWC/HM/XoHwAVljY5kU3MjDdvMyWGOqbccfdD2FUkQI+xQVVCG4VEpfVGTQT6wjjt7ZtgZD&#10;lG0pdYtdhJtGzpJkIQ3WHBcqdLSrqPg9XYyC73d22b6Txfm+c8efbNUcLvmXUqNh//YKIlAf/sPP&#10;dqYVzObzxRL+7sQrIDcPAAAA//8DAFBLAQItABQABgAIAAAAIQDb4fbL7gAAAIUBAAATAAAAAAAA&#10;AAAAAAAAAAAAAABbQ29udGVudF9UeXBlc10ueG1sUEsBAi0AFAAGAAgAAAAhAFr0LFu/AAAAFQEA&#10;AAsAAAAAAAAAAAAAAAAAHwEAAF9yZWxzLy5yZWxzUEsBAi0AFAAGAAgAAAAhAKfCU0zHAAAA3gAA&#10;AA8AAAAAAAAAAAAAAAAABwIAAGRycy9kb3ducmV2LnhtbFBLBQYAAAAAAwADALcAAAD7AgAAAAA=&#10;" filled="f" stroked="f">
                  <v:textbox inset="0,0,0,0">
                    <w:txbxContent>
                      <w:p w14:paraId="50350AA1" w14:textId="77777777" w:rsidR="00B32EF2" w:rsidRDefault="00000000">
                        <w:r>
                          <w:rPr>
                            <w:rFonts w:ascii="Arial" w:eastAsia="Arial" w:hAnsi="Arial" w:cs="Arial"/>
                            <w:sz w:val="18"/>
                          </w:rPr>
                          <w:t>-</w:t>
                        </w:r>
                      </w:p>
                    </w:txbxContent>
                  </v:textbox>
                </v:rect>
                <v:rect id="Rectangle 23368" o:spid="_x0000_s7079" style="position:absolute;left:-13166;top:4467;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cc+xAAAAN4AAAAPAAAAZHJzL2Rvd25yZXYueG1sRE+7asMw&#10;FN0D/QdxC9kSuTGY4EYJJSXEQ5emLnS8WDe2W+tKWPKj+fpoKHQ8nPfuMJtOjNT71rKCp3UCgriy&#10;uuVaQflxWm1B+ICssbNMCn7Jw2H/sNhhru3E7zReQi1iCPscFTQhuFxKXzVk0K+tI47c1fYGQ4R9&#10;LXWPUww3ndwkSSYNthwbGnR0bKj6uQxGwdcru+I0yep6O7q372LbnYfyU6nl4/zyDCLQHP7Ff+5C&#10;K9ikaRb3xjvxCsj9HQAA//8DAFBLAQItABQABgAIAAAAIQDb4fbL7gAAAIUBAAATAAAAAAAAAAAA&#10;AAAAAAAAAABbQ29udGVudF9UeXBlc10ueG1sUEsBAi0AFAAGAAgAAAAhAFr0LFu/AAAAFQEAAAsA&#10;AAAAAAAAAAAAAAAAHwEAAF9yZWxzLy5yZWxzUEsBAi0AFAAGAAgAAAAhANZdxz7EAAAA3gAAAA8A&#10;AAAAAAAAAAAAAAAABwIAAGRycy9kb3ducmV2LnhtbFBLBQYAAAAAAwADALcAAAD4AgAAAAA=&#10;" filled="f" stroked="f">
                  <v:textbox inset="0,0,0,0">
                    <w:txbxContent>
                      <w:p w14:paraId="0EFE196C" w14:textId="77777777" w:rsidR="00B32EF2" w:rsidRDefault="00000000">
                        <w:r>
                          <w:rPr>
                            <w:rFonts w:ascii="Arial" w:eastAsia="Arial" w:hAnsi="Arial" w:cs="Arial"/>
                            <w:sz w:val="18"/>
                          </w:rPr>
                          <w:t xml:space="preserve">sato. Il Presidente non può essere nominato tra soggetti che raggiungeranno </w:t>
                        </w:r>
                      </w:p>
                    </w:txbxContent>
                  </v:textbox>
                </v:rect>
                <w10:anchorlock/>
              </v:group>
            </w:pict>
          </mc:Fallback>
        </mc:AlternateContent>
      </w:r>
    </w:p>
    <w:p w14:paraId="3DBB35FB" w14:textId="77777777" w:rsidR="00B32EF2" w:rsidRDefault="00000000">
      <w:pPr>
        <w:spacing w:after="0"/>
        <w:ind w:left="-357" w:right="-306"/>
      </w:pPr>
      <w:r>
        <w:rPr>
          <w:noProof/>
        </w:rPr>
        <w:lastRenderedPageBreak/>
        <mc:AlternateContent>
          <mc:Choice Requires="wpg">
            <w:drawing>
              <wp:inline distT="0" distB="0" distL="0" distR="0" wp14:anchorId="2DD0634B" wp14:editId="2E7DF91B">
                <wp:extent cx="3992156" cy="6262853"/>
                <wp:effectExtent l="0" t="0" r="0" b="0"/>
                <wp:docPr id="202463" name="Group 202463"/>
                <wp:cNvGraphicFramePr/>
                <a:graphic xmlns:a="http://schemas.openxmlformats.org/drawingml/2006/main">
                  <a:graphicData uri="http://schemas.microsoft.com/office/word/2010/wordprocessingGroup">
                    <wpg:wgp>
                      <wpg:cNvGrpSpPr/>
                      <wpg:grpSpPr>
                        <a:xfrm>
                          <a:off x="0" y="0"/>
                          <a:ext cx="3992156" cy="6262853"/>
                          <a:chOff x="0" y="0"/>
                          <a:chExt cx="3992156" cy="6262853"/>
                        </a:xfrm>
                      </wpg:grpSpPr>
                      <wps:wsp>
                        <wps:cNvPr id="23447" name="Rectangle 23447"/>
                        <wps:cNvSpPr/>
                        <wps:spPr>
                          <a:xfrm rot="-10799999">
                            <a:off x="1901011" y="-62190"/>
                            <a:ext cx="178369" cy="250646"/>
                          </a:xfrm>
                          <a:prstGeom prst="rect">
                            <a:avLst/>
                          </a:prstGeom>
                          <a:ln>
                            <a:noFill/>
                          </a:ln>
                        </wps:spPr>
                        <wps:txbx>
                          <w:txbxContent>
                            <w:p w14:paraId="41BBC337" w14:textId="77777777" w:rsidR="00B32EF2" w:rsidRDefault="00000000">
                              <w:r>
                                <w:rPr>
                                  <w:rFonts w:ascii="Times New Roman" w:eastAsia="Times New Roman" w:hAnsi="Times New Roman" w:cs="Times New Roman"/>
                                </w:rPr>
                                <w:t>14</w:t>
                              </w:r>
                            </w:p>
                          </w:txbxContent>
                        </wps:txbx>
                        <wps:bodyPr horzOverflow="overflow" vert="horz" lIns="0" tIns="0" rIns="0" bIns="0" rtlCol="0">
                          <a:noAutofit/>
                        </wps:bodyPr>
                      </wps:wsp>
                      <wps:wsp>
                        <wps:cNvPr id="23448" name="Rectangle 23448"/>
                        <wps:cNvSpPr/>
                        <wps:spPr>
                          <a:xfrm rot="-10799999">
                            <a:off x="131914" y="6072334"/>
                            <a:ext cx="3013199" cy="190519"/>
                          </a:xfrm>
                          <a:prstGeom prst="rect">
                            <a:avLst/>
                          </a:prstGeom>
                          <a:ln>
                            <a:noFill/>
                          </a:ln>
                        </wps:spPr>
                        <wps:txbx>
                          <w:txbxContent>
                            <w:p w14:paraId="49837867" w14:textId="77777777" w:rsidR="00B32EF2" w:rsidRDefault="00000000">
                              <w:r>
                                <w:rPr>
                                  <w:rFonts w:ascii="Arial" w:eastAsia="Arial" w:hAnsi="Arial" w:cs="Arial"/>
                                  <w:b/>
                                  <w:sz w:val="24"/>
                                </w:rPr>
                                <w:t>D.lgs. 14 novembre 2024, n. 175</w:t>
                              </w:r>
                            </w:p>
                          </w:txbxContent>
                        </wps:txbx>
                        <wps:bodyPr horzOverflow="overflow" vert="horz" lIns="0" tIns="0" rIns="0" bIns="0" rtlCol="0">
                          <a:noAutofit/>
                        </wps:bodyPr>
                      </wps:wsp>
                      <wps:wsp>
                        <wps:cNvPr id="23449" name="Rectangle 23449"/>
                        <wps:cNvSpPr/>
                        <wps:spPr>
                          <a:xfrm rot="-10799999">
                            <a:off x="1641152" y="5708368"/>
                            <a:ext cx="590442" cy="142889"/>
                          </a:xfrm>
                          <a:prstGeom prst="rect">
                            <a:avLst/>
                          </a:prstGeom>
                          <a:ln>
                            <a:noFill/>
                          </a:ln>
                        </wps:spPr>
                        <wps:txbx>
                          <w:txbxContent>
                            <w:p w14:paraId="78B0BF60" w14:textId="77777777" w:rsidR="00B32EF2" w:rsidRDefault="00000000">
                              <w:r>
                                <w:rPr>
                                  <w:rFonts w:ascii="Arial" w:eastAsia="Arial" w:hAnsi="Arial" w:cs="Arial"/>
                                  <w:b/>
                                  <w:sz w:val="18"/>
                                </w:rPr>
                                <w:t>PARTE I</w:t>
                              </w:r>
                            </w:p>
                          </w:txbxContent>
                        </wps:txbx>
                        <wps:bodyPr horzOverflow="overflow" vert="horz" lIns="0" tIns="0" rIns="0" bIns="0" rtlCol="0">
                          <a:noAutofit/>
                        </wps:bodyPr>
                      </wps:wsp>
                      <wps:wsp>
                        <wps:cNvPr id="23450" name="Rectangle 23450"/>
                        <wps:cNvSpPr/>
                        <wps:spPr>
                          <a:xfrm rot="-10799999">
                            <a:off x="-474677" y="5536918"/>
                            <a:ext cx="3959685" cy="142889"/>
                          </a:xfrm>
                          <a:prstGeom prst="rect">
                            <a:avLst/>
                          </a:prstGeom>
                          <a:ln>
                            <a:noFill/>
                          </a:ln>
                        </wps:spPr>
                        <wps:txbx>
                          <w:txbxContent>
                            <w:p w14:paraId="4563E040" w14:textId="77777777" w:rsidR="00B32EF2" w:rsidRDefault="00000000">
                              <w:r>
                                <w:rPr>
                                  <w:rFonts w:ascii="Arial" w:eastAsia="Arial" w:hAnsi="Arial" w:cs="Arial"/>
                                  <w:b/>
                                  <w:sz w:val="18"/>
                                </w:rPr>
                                <w:t xml:space="preserve">ORDINAMENTO DELLA GIURISDIZIONE TRIBUTARIA </w:t>
                              </w:r>
                            </w:p>
                          </w:txbxContent>
                        </wps:txbx>
                        <wps:bodyPr horzOverflow="overflow" vert="horz" lIns="0" tIns="0" rIns="0" bIns="0" rtlCol="0">
                          <a:noAutofit/>
                        </wps:bodyPr>
                      </wps:wsp>
                      <wps:wsp>
                        <wps:cNvPr id="23451" name="Rectangle 23451"/>
                        <wps:cNvSpPr/>
                        <wps:spPr>
                          <a:xfrm rot="-10799999">
                            <a:off x="1609649" y="5290259"/>
                            <a:ext cx="644576" cy="142889"/>
                          </a:xfrm>
                          <a:prstGeom prst="rect">
                            <a:avLst/>
                          </a:prstGeom>
                          <a:ln>
                            <a:noFill/>
                          </a:ln>
                        </wps:spPr>
                        <wps:txbx>
                          <w:txbxContent>
                            <w:p w14:paraId="209CBBF3" w14:textId="77777777" w:rsidR="00B32EF2" w:rsidRDefault="00000000">
                              <w:r>
                                <w:rPr>
                                  <w:rFonts w:ascii="Arial" w:eastAsia="Arial" w:hAnsi="Arial" w:cs="Arial"/>
                                  <w:b/>
                                  <w:sz w:val="18"/>
                                </w:rPr>
                                <w:t>TITOLO I</w:t>
                              </w:r>
                            </w:p>
                          </w:txbxContent>
                        </wps:txbx>
                        <wps:bodyPr horzOverflow="overflow" vert="horz" lIns="0" tIns="0" rIns="0" bIns="0" rtlCol="0">
                          <a:noAutofit/>
                        </wps:bodyPr>
                      </wps:wsp>
                      <wps:wsp>
                        <wps:cNvPr id="23452" name="Rectangle 23452"/>
                        <wps:cNvSpPr/>
                        <wps:spPr>
                          <a:xfrm rot="-10799999">
                            <a:off x="1415691" y="5166929"/>
                            <a:ext cx="955576" cy="142889"/>
                          </a:xfrm>
                          <a:prstGeom prst="rect">
                            <a:avLst/>
                          </a:prstGeom>
                          <a:ln>
                            <a:noFill/>
                          </a:ln>
                        </wps:spPr>
                        <wps:txbx>
                          <w:txbxContent>
                            <w:p w14:paraId="1F2D5A1A" w14:textId="77777777" w:rsidR="00B32EF2" w:rsidRDefault="00000000">
                              <w:r>
                                <w:rPr>
                                  <w:rFonts w:ascii="Arial" w:eastAsia="Arial" w:hAnsi="Arial" w:cs="Arial"/>
                                  <w:b/>
                                  <w:sz w:val="18"/>
                                </w:rPr>
                                <w:t xml:space="preserve"> GLI ORGANI</w:t>
                              </w:r>
                            </w:p>
                          </w:txbxContent>
                        </wps:txbx>
                        <wps:bodyPr horzOverflow="overflow" vert="horz" lIns="0" tIns="0" rIns="0" bIns="0" rtlCol="0">
                          <a:noAutofit/>
                        </wps:bodyPr>
                      </wps:wsp>
                      <wps:wsp>
                        <wps:cNvPr id="23453" name="Rectangle 23453"/>
                        <wps:cNvSpPr/>
                        <wps:spPr>
                          <a:xfrm rot="-10799999">
                            <a:off x="1641630" y="4920270"/>
                            <a:ext cx="568475" cy="142889"/>
                          </a:xfrm>
                          <a:prstGeom prst="rect">
                            <a:avLst/>
                          </a:prstGeom>
                          <a:ln>
                            <a:noFill/>
                          </a:ln>
                        </wps:spPr>
                        <wps:txbx>
                          <w:txbxContent>
                            <w:p w14:paraId="06AF050D" w14:textId="77777777" w:rsidR="00B32EF2" w:rsidRDefault="00000000">
                              <w:r>
                                <w:rPr>
                                  <w:rFonts w:ascii="Arial" w:eastAsia="Arial" w:hAnsi="Arial" w:cs="Arial"/>
                                  <w:b/>
                                  <w:sz w:val="18"/>
                                </w:rPr>
                                <w:t xml:space="preserve">CAPO I </w:t>
                              </w:r>
                            </w:p>
                          </w:txbxContent>
                        </wps:txbx>
                        <wps:bodyPr horzOverflow="overflow" vert="horz" lIns="0" tIns="0" rIns="0" bIns="0" rtlCol="0">
                          <a:noAutofit/>
                        </wps:bodyPr>
                      </wps:wsp>
                      <wps:wsp>
                        <wps:cNvPr id="23454" name="Rectangle 23454"/>
                        <wps:cNvSpPr/>
                        <wps:spPr>
                          <a:xfrm rot="-10799999">
                            <a:off x="-274808" y="4796940"/>
                            <a:ext cx="3666547" cy="142889"/>
                          </a:xfrm>
                          <a:prstGeom prst="rect">
                            <a:avLst/>
                          </a:prstGeom>
                          <a:ln>
                            <a:noFill/>
                          </a:ln>
                        </wps:spPr>
                        <wps:txbx>
                          <w:txbxContent>
                            <w:p w14:paraId="4DF887C2" w14:textId="77777777" w:rsidR="00B32EF2" w:rsidRDefault="00000000">
                              <w:r>
                                <w:rPr>
                                  <w:rFonts w:ascii="Arial" w:eastAsia="Arial" w:hAnsi="Arial" w:cs="Arial"/>
                                  <w:b/>
                                  <w:sz w:val="18"/>
                                </w:rPr>
                                <w:t>GLI ORGANI DELLA GIURISDIZIONE TRIBUTARIA</w:t>
                              </w:r>
                            </w:p>
                          </w:txbxContent>
                        </wps:txbx>
                        <wps:bodyPr horzOverflow="overflow" vert="horz" lIns="0" tIns="0" rIns="0" bIns="0" rtlCol="0">
                          <a:noAutofit/>
                        </wps:bodyPr>
                      </wps:wsp>
                      <wps:wsp>
                        <wps:cNvPr id="23455" name="Rectangle 23455"/>
                        <wps:cNvSpPr/>
                        <wps:spPr>
                          <a:xfrm rot="-10799999">
                            <a:off x="1561323" y="4550281"/>
                            <a:ext cx="723762" cy="142889"/>
                          </a:xfrm>
                          <a:prstGeom prst="rect">
                            <a:avLst/>
                          </a:prstGeom>
                          <a:ln>
                            <a:noFill/>
                          </a:ln>
                        </wps:spPr>
                        <wps:txbx>
                          <w:txbxContent>
                            <w:p w14:paraId="20004667" w14:textId="77777777" w:rsidR="00B32EF2" w:rsidRDefault="00000000">
                              <w:r>
                                <w:rPr>
                                  <w:rFonts w:ascii="Arial" w:eastAsia="Arial" w:hAnsi="Arial" w:cs="Arial"/>
                                  <w:b/>
                                  <w:sz w:val="18"/>
                                </w:rPr>
                                <w:t>Articolo 1</w:t>
                              </w:r>
                            </w:p>
                          </w:txbxContent>
                        </wps:txbx>
                        <wps:bodyPr horzOverflow="overflow" vert="horz" lIns="0" tIns="0" rIns="0" bIns="0" rtlCol="0">
                          <a:noAutofit/>
                        </wps:bodyPr>
                      </wps:wsp>
                      <wps:wsp>
                        <wps:cNvPr id="202425" name="Rectangle 202425"/>
                        <wps:cNvSpPr/>
                        <wps:spPr>
                          <a:xfrm rot="-10799999">
                            <a:off x="2211582" y="4426951"/>
                            <a:ext cx="1857430" cy="142889"/>
                          </a:xfrm>
                          <a:prstGeom prst="rect">
                            <a:avLst/>
                          </a:prstGeom>
                          <a:ln>
                            <a:noFill/>
                          </a:ln>
                        </wps:spPr>
                        <wps:txbx>
                          <w:txbxContent>
                            <w:p w14:paraId="2EF3D764" w14:textId="77777777" w:rsidR="00B32EF2" w:rsidRDefault="00000000">
                              <w:r>
                                <w:rPr>
                                  <w:rFonts w:ascii="Arial" w:eastAsia="Arial" w:hAnsi="Arial" w:cs="Arial"/>
                                  <w:i/>
                                  <w:sz w:val="18"/>
                                </w:rPr>
                                <w:t>(</w:t>
                              </w:r>
                            </w:p>
                          </w:txbxContent>
                        </wps:txbx>
                        <wps:bodyPr horzOverflow="overflow" vert="horz" lIns="0" tIns="0" rIns="0" bIns="0" rtlCol="0">
                          <a:noAutofit/>
                        </wps:bodyPr>
                      </wps:wsp>
                      <wps:wsp>
                        <wps:cNvPr id="202426" name="Rectangle 202426"/>
                        <wps:cNvSpPr/>
                        <wps:spPr>
                          <a:xfrm rot="-10799999">
                            <a:off x="-144585" y="4426951"/>
                            <a:ext cx="1857429" cy="142889"/>
                          </a:xfrm>
                          <a:prstGeom prst="rect">
                            <a:avLst/>
                          </a:prstGeom>
                          <a:ln>
                            <a:noFill/>
                          </a:ln>
                        </wps:spPr>
                        <wps:txbx>
                          <w:txbxContent>
                            <w:p w14:paraId="60B000F9" w14:textId="77777777" w:rsidR="00B32EF2" w:rsidRDefault="00000000">
                              <w:r>
                                <w:rPr>
                                  <w:rFonts w:ascii="Arial" w:eastAsia="Arial" w:hAnsi="Arial" w:cs="Arial"/>
                                  <w:i/>
                                  <w:sz w:val="18"/>
                                </w:rPr>
                                <w:t>545/92)</w:t>
                              </w:r>
                            </w:p>
                          </w:txbxContent>
                        </wps:txbx>
                        <wps:bodyPr horzOverflow="overflow" vert="horz" lIns="0" tIns="0" rIns="0" bIns="0" rtlCol="0">
                          <a:noAutofit/>
                        </wps:bodyPr>
                      </wps:wsp>
                      <wps:wsp>
                        <wps:cNvPr id="202427" name="Rectangle 202427"/>
                        <wps:cNvSpPr/>
                        <wps:spPr>
                          <a:xfrm rot="-10799999">
                            <a:off x="1216818" y="4426951"/>
                            <a:ext cx="1857429" cy="142889"/>
                          </a:xfrm>
                          <a:prstGeom prst="rect">
                            <a:avLst/>
                          </a:prstGeom>
                          <a:ln>
                            <a:noFill/>
                          </a:ln>
                        </wps:spPr>
                        <wps:txbx>
                          <w:txbxContent>
                            <w:p w14:paraId="4D9A1F48" w14:textId="77777777" w:rsidR="00B32EF2" w:rsidRDefault="00000000">
                              <w:r>
                                <w:rPr>
                                  <w:rFonts w:ascii="Arial" w:eastAsia="Arial" w:hAnsi="Arial" w:cs="Arial"/>
                                  <w:i/>
                                  <w:sz w:val="18"/>
                                </w:rPr>
                                <w:t xml:space="preserve">articolo 1 D.lgs. n. </w:t>
                              </w:r>
                            </w:p>
                          </w:txbxContent>
                        </wps:txbx>
                        <wps:bodyPr horzOverflow="overflow" vert="horz" lIns="0" tIns="0" rIns="0" bIns="0" rtlCol="0">
                          <a:noAutofit/>
                        </wps:bodyPr>
                      </wps:wsp>
                      <wps:wsp>
                        <wps:cNvPr id="23457" name="Rectangle 23457"/>
                        <wps:cNvSpPr/>
                        <wps:spPr>
                          <a:xfrm rot="-10799999">
                            <a:off x="-569250" y="4303622"/>
                            <a:ext cx="4111065" cy="142889"/>
                          </a:xfrm>
                          <a:prstGeom prst="rect">
                            <a:avLst/>
                          </a:prstGeom>
                          <a:ln>
                            <a:noFill/>
                          </a:ln>
                        </wps:spPr>
                        <wps:txbx>
                          <w:txbxContent>
                            <w:p w14:paraId="4F9B16E2" w14:textId="77777777" w:rsidR="00B32EF2" w:rsidRDefault="00000000">
                              <w:r>
                                <w:rPr>
                                  <w:rFonts w:ascii="Arial" w:eastAsia="Arial" w:hAnsi="Arial" w:cs="Arial"/>
                                  <w:b/>
                                  <w:sz w:val="18"/>
                                </w:rPr>
                                <w:t xml:space="preserve">Le corti di giustizia tributaria di primo e secondo grado </w:t>
                              </w:r>
                            </w:p>
                          </w:txbxContent>
                        </wps:txbx>
                        <wps:bodyPr horzOverflow="overflow" vert="horz" lIns="0" tIns="0" rIns="0" bIns="0" rtlCol="0">
                          <a:noAutofit/>
                        </wps:bodyPr>
                      </wps:wsp>
                      <wps:wsp>
                        <wps:cNvPr id="202423" name="Rectangle 202423"/>
                        <wps:cNvSpPr/>
                        <wps:spPr>
                          <a:xfrm rot="-10799999">
                            <a:off x="2635666" y="4180292"/>
                            <a:ext cx="5210938" cy="142889"/>
                          </a:xfrm>
                          <a:prstGeom prst="rect">
                            <a:avLst/>
                          </a:prstGeom>
                          <a:ln>
                            <a:noFill/>
                          </a:ln>
                        </wps:spPr>
                        <wps:txbx>
                          <w:txbxContent>
                            <w:p w14:paraId="53AC17DA"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2424" name="Rectangle 202424"/>
                        <wps:cNvSpPr/>
                        <wps:spPr>
                          <a:xfrm rot="-10799999">
                            <a:off x="-1277965" y="4180292"/>
                            <a:ext cx="5210938" cy="142889"/>
                          </a:xfrm>
                          <a:prstGeom prst="rect">
                            <a:avLst/>
                          </a:prstGeom>
                          <a:ln>
                            <a:noFill/>
                          </a:ln>
                        </wps:spPr>
                        <wps:txbx>
                          <w:txbxContent>
                            <w:p w14:paraId="264E9559" w14:textId="77777777" w:rsidR="00B32EF2" w:rsidRDefault="00000000">
                              <w:r>
                                <w:rPr>
                                  <w:rFonts w:ascii="Arial" w:eastAsia="Arial" w:hAnsi="Arial" w:cs="Arial"/>
                                  <w:sz w:val="18"/>
                                </w:rPr>
                                <w:t>.Gli organi di giurisdizione in materia tributaria previsti dal decreto del Pre</w:t>
                              </w:r>
                            </w:p>
                          </w:txbxContent>
                        </wps:txbx>
                        <wps:bodyPr horzOverflow="overflow" vert="horz" lIns="0" tIns="0" rIns="0" bIns="0" rtlCol="0">
                          <a:noAutofit/>
                        </wps:bodyPr>
                      </wps:wsp>
                      <wps:wsp>
                        <wps:cNvPr id="23459" name="Rectangle 23459"/>
                        <wps:cNvSpPr/>
                        <wps:spPr>
                          <a:xfrm rot="-10799999">
                            <a:off x="19558" y="4180292"/>
                            <a:ext cx="50622" cy="142889"/>
                          </a:xfrm>
                          <a:prstGeom prst="rect">
                            <a:avLst/>
                          </a:prstGeom>
                          <a:ln>
                            <a:noFill/>
                          </a:ln>
                        </wps:spPr>
                        <wps:txbx>
                          <w:txbxContent>
                            <w:p w14:paraId="13F2F5A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460" name="Rectangle 23460"/>
                        <wps:cNvSpPr/>
                        <wps:spPr>
                          <a:xfrm rot="-10799999">
                            <a:off x="-1316849" y="4056962"/>
                            <a:ext cx="5309005" cy="142889"/>
                          </a:xfrm>
                          <a:prstGeom prst="rect">
                            <a:avLst/>
                          </a:prstGeom>
                          <a:ln>
                            <a:noFill/>
                          </a:ln>
                        </wps:spPr>
                        <wps:txbx>
                          <w:txbxContent>
                            <w:p w14:paraId="55849EB6" w14:textId="77777777" w:rsidR="00B32EF2" w:rsidRDefault="00000000">
                              <w:r>
                                <w:rPr>
                                  <w:rFonts w:ascii="Arial" w:eastAsia="Arial" w:hAnsi="Arial" w:cs="Arial"/>
                                  <w:sz w:val="18"/>
                                </w:rPr>
                                <w:t xml:space="preserve">sidente della Repubblica 26 ottobre 1972, n. 636, sono riordinati in corti di </w:t>
                              </w:r>
                            </w:p>
                          </w:txbxContent>
                        </wps:txbx>
                        <wps:bodyPr horzOverflow="overflow" vert="horz" lIns="0" tIns="0" rIns="0" bIns="0" rtlCol="0">
                          <a:noAutofit/>
                        </wps:bodyPr>
                      </wps:wsp>
                      <wps:wsp>
                        <wps:cNvPr id="23461" name="Rectangle 23461"/>
                        <wps:cNvSpPr/>
                        <wps:spPr>
                          <a:xfrm rot="-10799999">
                            <a:off x="-1316924" y="3933633"/>
                            <a:ext cx="5309082" cy="142889"/>
                          </a:xfrm>
                          <a:prstGeom prst="rect">
                            <a:avLst/>
                          </a:prstGeom>
                          <a:ln>
                            <a:noFill/>
                          </a:ln>
                        </wps:spPr>
                        <wps:txbx>
                          <w:txbxContent>
                            <w:p w14:paraId="5F19032C" w14:textId="77777777" w:rsidR="00B32EF2" w:rsidRDefault="00000000">
                              <w:r>
                                <w:rPr>
                                  <w:rFonts w:ascii="Arial" w:eastAsia="Arial" w:hAnsi="Arial" w:cs="Arial"/>
                                  <w:sz w:val="18"/>
                                </w:rPr>
                                <w:t xml:space="preserve">giustizia tributaria di primo grado, aventi sede nel capoluogo di ogni provincia, </w:t>
                              </w:r>
                            </w:p>
                          </w:txbxContent>
                        </wps:txbx>
                        <wps:bodyPr horzOverflow="overflow" vert="horz" lIns="0" tIns="0" rIns="0" bIns="0" rtlCol="0">
                          <a:noAutofit/>
                        </wps:bodyPr>
                      </wps:wsp>
                      <wps:wsp>
                        <wps:cNvPr id="23462" name="Rectangle 23462"/>
                        <wps:cNvSpPr/>
                        <wps:spPr>
                          <a:xfrm rot="-10799999">
                            <a:off x="-1316818" y="3810303"/>
                            <a:ext cx="5308975" cy="142889"/>
                          </a:xfrm>
                          <a:prstGeom prst="rect">
                            <a:avLst/>
                          </a:prstGeom>
                          <a:ln>
                            <a:noFill/>
                          </a:ln>
                        </wps:spPr>
                        <wps:txbx>
                          <w:txbxContent>
                            <w:p w14:paraId="3491C4AB" w14:textId="77777777" w:rsidR="00B32EF2" w:rsidRDefault="00000000">
                              <w:r>
                                <w:rPr>
                                  <w:rFonts w:ascii="Arial" w:eastAsia="Arial" w:hAnsi="Arial" w:cs="Arial"/>
                                  <w:sz w:val="18"/>
                                </w:rPr>
                                <w:t xml:space="preserve">ed in corti di giustizia tributaria di secondo grado, aventi sede nel capoluogo </w:t>
                              </w:r>
                            </w:p>
                          </w:txbxContent>
                        </wps:txbx>
                        <wps:bodyPr horzOverflow="overflow" vert="horz" lIns="0" tIns="0" rIns="0" bIns="0" rtlCol="0">
                          <a:noAutofit/>
                        </wps:bodyPr>
                      </wps:wsp>
                      <wps:wsp>
                        <wps:cNvPr id="23463" name="Rectangle 23463"/>
                        <wps:cNvSpPr/>
                        <wps:spPr>
                          <a:xfrm rot="-10799999">
                            <a:off x="-1317486" y="3686973"/>
                            <a:ext cx="5309873" cy="142889"/>
                          </a:xfrm>
                          <a:prstGeom prst="rect">
                            <a:avLst/>
                          </a:prstGeom>
                          <a:ln>
                            <a:noFill/>
                          </a:ln>
                        </wps:spPr>
                        <wps:txbx>
                          <w:txbxContent>
                            <w:p w14:paraId="4C545E8B" w14:textId="77777777" w:rsidR="00B32EF2" w:rsidRDefault="00000000">
                              <w:r>
                                <w:rPr>
                                  <w:rFonts w:ascii="Arial" w:eastAsia="Arial" w:hAnsi="Arial" w:cs="Arial"/>
                                  <w:sz w:val="18"/>
                                </w:rPr>
                                <w:t xml:space="preserve">di ogni regione. Con decreto del presidente della corte di giustizia tributaria di </w:t>
                              </w:r>
                            </w:p>
                          </w:txbxContent>
                        </wps:txbx>
                        <wps:bodyPr horzOverflow="overflow" vert="horz" lIns="0" tIns="0" rIns="0" bIns="0" rtlCol="0">
                          <a:noAutofit/>
                        </wps:bodyPr>
                      </wps:wsp>
                      <wps:wsp>
                        <wps:cNvPr id="23464" name="Rectangle 23464"/>
                        <wps:cNvSpPr/>
                        <wps:spPr>
                          <a:xfrm rot="-10799999">
                            <a:off x="-1220286" y="3563643"/>
                            <a:ext cx="5212443" cy="142889"/>
                          </a:xfrm>
                          <a:prstGeom prst="rect">
                            <a:avLst/>
                          </a:prstGeom>
                          <a:ln>
                            <a:noFill/>
                          </a:ln>
                        </wps:spPr>
                        <wps:txbx>
                          <w:txbxContent>
                            <w:p w14:paraId="4DF64E1F" w14:textId="77777777" w:rsidR="00B32EF2" w:rsidRDefault="00000000">
                              <w:r>
                                <w:rPr>
                                  <w:rFonts w:ascii="Arial" w:eastAsia="Arial" w:hAnsi="Arial" w:cs="Arial"/>
                                  <w:sz w:val="18"/>
                                </w:rPr>
                                <w:t>primo o secondo grado sono determinati i criteri e le modalità di funzionamen</w:t>
                              </w:r>
                            </w:p>
                          </w:txbxContent>
                        </wps:txbx>
                        <wps:bodyPr horzOverflow="overflow" vert="horz" lIns="0" tIns="0" rIns="0" bIns="0" rtlCol="0">
                          <a:noAutofit/>
                        </wps:bodyPr>
                      </wps:wsp>
                      <wps:wsp>
                        <wps:cNvPr id="23465" name="Rectangle 23465"/>
                        <wps:cNvSpPr/>
                        <wps:spPr>
                          <a:xfrm rot="-10799999">
                            <a:off x="19558" y="3563644"/>
                            <a:ext cx="50622" cy="142889"/>
                          </a:xfrm>
                          <a:prstGeom prst="rect">
                            <a:avLst/>
                          </a:prstGeom>
                          <a:ln>
                            <a:noFill/>
                          </a:ln>
                        </wps:spPr>
                        <wps:txbx>
                          <w:txbxContent>
                            <w:p w14:paraId="4CBA3007"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466" name="Rectangle 23466"/>
                        <wps:cNvSpPr/>
                        <wps:spPr>
                          <a:xfrm rot="-10799999">
                            <a:off x="2934483" y="3440314"/>
                            <a:ext cx="1057672" cy="142889"/>
                          </a:xfrm>
                          <a:prstGeom prst="rect">
                            <a:avLst/>
                          </a:prstGeom>
                          <a:ln>
                            <a:noFill/>
                          </a:ln>
                        </wps:spPr>
                        <wps:txbx>
                          <w:txbxContent>
                            <w:p w14:paraId="011FD3F8" w14:textId="77777777" w:rsidR="00B32EF2" w:rsidRDefault="00000000">
                              <w:r>
                                <w:rPr>
                                  <w:rFonts w:ascii="Arial" w:eastAsia="Arial" w:hAnsi="Arial" w:cs="Arial"/>
                                  <w:sz w:val="18"/>
                                </w:rPr>
                                <w:t>to delle sezioni.</w:t>
                              </w:r>
                            </w:p>
                          </w:txbxContent>
                        </wps:txbx>
                        <wps:bodyPr horzOverflow="overflow" vert="horz" lIns="0" tIns="0" rIns="0" bIns="0" rtlCol="0">
                          <a:noAutofit/>
                        </wps:bodyPr>
                      </wps:wsp>
                      <wps:wsp>
                        <wps:cNvPr id="202421" name="Rectangle 202421"/>
                        <wps:cNvSpPr/>
                        <wps:spPr>
                          <a:xfrm rot="-10799999">
                            <a:off x="2635262" y="3316984"/>
                            <a:ext cx="5212565" cy="142889"/>
                          </a:xfrm>
                          <a:prstGeom prst="rect">
                            <a:avLst/>
                          </a:prstGeom>
                          <a:ln>
                            <a:noFill/>
                          </a:ln>
                        </wps:spPr>
                        <wps:txbx>
                          <w:txbxContent>
                            <w:p w14:paraId="31D45B13"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2422" name="Rectangle 202422"/>
                        <wps:cNvSpPr/>
                        <wps:spPr>
                          <a:xfrm rot="-10799999">
                            <a:off x="-1284964" y="3316984"/>
                            <a:ext cx="5212565" cy="142889"/>
                          </a:xfrm>
                          <a:prstGeom prst="rect">
                            <a:avLst/>
                          </a:prstGeom>
                          <a:ln>
                            <a:noFill/>
                          </a:ln>
                        </wps:spPr>
                        <wps:txbx>
                          <w:txbxContent>
                            <w:p w14:paraId="0E02E0EB" w14:textId="77777777" w:rsidR="00B32EF2" w:rsidRDefault="00000000">
                              <w:r>
                                <w:rPr>
                                  <w:rFonts w:ascii="Arial" w:eastAsia="Arial" w:hAnsi="Arial" w:cs="Arial"/>
                                  <w:sz w:val="18"/>
                                </w:rPr>
                                <w:t>. Nei comuni sedi di corte di appello, o di sezioni staccate di corte di appel</w:t>
                              </w:r>
                            </w:p>
                          </w:txbxContent>
                        </wps:txbx>
                        <wps:bodyPr horzOverflow="overflow" vert="horz" lIns="0" tIns="0" rIns="0" bIns="0" rtlCol="0">
                          <a:noAutofit/>
                        </wps:bodyPr>
                      </wps:wsp>
                      <wps:wsp>
                        <wps:cNvPr id="23468" name="Rectangle 23468"/>
                        <wps:cNvSpPr/>
                        <wps:spPr>
                          <a:xfrm rot="-10799999">
                            <a:off x="19558" y="3316984"/>
                            <a:ext cx="50622" cy="142889"/>
                          </a:xfrm>
                          <a:prstGeom prst="rect">
                            <a:avLst/>
                          </a:prstGeom>
                          <a:ln>
                            <a:noFill/>
                          </a:ln>
                        </wps:spPr>
                        <wps:txbx>
                          <w:txbxContent>
                            <w:p w14:paraId="57945CC5"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469" name="Rectangle 23469"/>
                        <wps:cNvSpPr/>
                        <wps:spPr>
                          <a:xfrm rot="-10799999">
                            <a:off x="-1316864" y="3193654"/>
                            <a:ext cx="5309021" cy="142889"/>
                          </a:xfrm>
                          <a:prstGeom prst="rect">
                            <a:avLst/>
                          </a:prstGeom>
                          <a:ln>
                            <a:noFill/>
                          </a:ln>
                        </wps:spPr>
                        <wps:txbx>
                          <w:txbxContent>
                            <w:p w14:paraId="3613E326" w14:textId="77777777" w:rsidR="00B32EF2" w:rsidRDefault="00000000">
                              <w:r>
                                <w:rPr>
                                  <w:rFonts w:ascii="Arial" w:eastAsia="Arial" w:hAnsi="Arial" w:cs="Arial"/>
                                  <w:sz w:val="18"/>
                                </w:rPr>
                                <w:t xml:space="preserve">lo ovvero di sezioni staccate di tribunali amministrativi regionali o comunque </w:t>
                              </w:r>
                            </w:p>
                          </w:txbxContent>
                        </wps:txbx>
                        <wps:bodyPr horzOverflow="overflow" vert="horz" lIns="0" tIns="0" rIns="0" bIns="0" rtlCol="0">
                          <a:noAutofit/>
                        </wps:bodyPr>
                      </wps:wsp>
                      <wps:wsp>
                        <wps:cNvPr id="23470" name="Rectangle 23470"/>
                        <wps:cNvSpPr/>
                        <wps:spPr>
                          <a:xfrm rot="-10799999">
                            <a:off x="-1316909" y="3070325"/>
                            <a:ext cx="5309066" cy="142889"/>
                          </a:xfrm>
                          <a:prstGeom prst="rect">
                            <a:avLst/>
                          </a:prstGeom>
                          <a:ln>
                            <a:noFill/>
                          </a:ln>
                        </wps:spPr>
                        <wps:txbx>
                          <w:txbxContent>
                            <w:p w14:paraId="30C9DBDC" w14:textId="77777777" w:rsidR="00B32EF2" w:rsidRDefault="00000000">
                              <w:r>
                                <w:rPr>
                                  <w:rFonts w:ascii="Arial" w:eastAsia="Arial" w:hAnsi="Arial" w:cs="Arial"/>
                                  <w:sz w:val="18"/>
                                </w:rPr>
                                <w:t xml:space="preserve">capoluoghi di provincia con oltre 120.000 abitanti alla data del 9 marzo 1999, </w:t>
                              </w:r>
                            </w:p>
                          </w:txbxContent>
                        </wps:txbx>
                        <wps:bodyPr horzOverflow="overflow" vert="horz" lIns="0" tIns="0" rIns="0" bIns="0" rtlCol="0">
                          <a:noAutofit/>
                        </wps:bodyPr>
                      </wps:wsp>
                      <wps:wsp>
                        <wps:cNvPr id="23471" name="Rectangle 23471"/>
                        <wps:cNvSpPr/>
                        <wps:spPr>
                          <a:xfrm rot="-10799999">
                            <a:off x="-1316879" y="2946995"/>
                            <a:ext cx="5309036" cy="142889"/>
                          </a:xfrm>
                          <a:prstGeom prst="rect">
                            <a:avLst/>
                          </a:prstGeom>
                          <a:ln>
                            <a:noFill/>
                          </a:ln>
                        </wps:spPr>
                        <wps:txbx>
                          <w:txbxContent>
                            <w:p w14:paraId="7EED4DF2" w14:textId="77777777" w:rsidR="00B32EF2" w:rsidRDefault="00000000">
                              <w:r>
                                <w:rPr>
                                  <w:rFonts w:ascii="Arial" w:eastAsia="Arial" w:hAnsi="Arial" w:cs="Arial"/>
                                  <w:sz w:val="18"/>
                                </w:rPr>
                                <w:t xml:space="preserve">distanti non meno di 100 chilometri dal comune capoluogo di regione, sono </w:t>
                              </w:r>
                            </w:p>
                          </w:txbxContent>
                        </wps:txbx>
                        <wps:bodyPr horzOverflow="overflow" vert="horz" lIns="0" tIns="0" rIns="0" bIns="0" rtlCol="0">
                          <a:noAutofit/>
                        </wps:bodyPr>
                      </wps:wsp>
                      <wps:wsp>
                        <wps:cNvPr id="23472" name="Rectangle 23472"/>
                        <wps:cNvSpPr/>
                        <wps:spPr>
                          <a:xfrm rot="-10799999">
                            <a:off x="-1316879" y="2823665"/>
                            <a:ext cx="5309036" cy="142889"/>
                          </a:xfrm>
                          <a:prstGeom prst="rect">
                            <a:avLst/>
                          </a:prstGeom>
                          <a:ln>
                            <a:noFill/>
                          </a:ln>
                        </wps:spPr>
                        <wps:txbx>
                          <w:txbxContent>
                            <w:p w14:paraId="15E69FEE" w14:textId="77777777" w:rsidR="00B32EF2" w:rsidRDefault="00000000">
                              <w:r>
                                <w:rPr>
                                  <w:rFonts w:ascii="Arial" w:eastAsia="Arial" w:hAnsi="Arial" w:cs="Arial"/>
                                  <w:sz w:val="18"/>
                                </w:rPr>
                                <w:t xml:space="preserve">istituite sezioni staccate delle corti di giustizia tributaria di secondo grado nei </w:t>
                              </w:r>
                            </w:p>
                          </w:txbxContent>
                        </wps:txbx>
                        <wps:bodyPr horzOverflow="overflow" vert="horz" lIns="0" tIns="0" rIns="0" bIns="0" rtlCol="0">
                          <a:noAutofit/>
                        </wps:bodyPr>
                      </wps:wsp>
                      <wps:wsp>
                        <wps:cNvPr id="23473" name="Rectangle 23473"/>
                        <wps:cNvSpPr/>
                        <wps:spPr>
                          <a:xfrm rot="-10799999">
                            <a:off x="-1218856" y="2700336"/>
                            <a:ext cx="5211014" cy="142889"/>
                          </a:xfrm>
                          <a:prstGeom prst="rect">
                            <a:avLst/>
                          </a:prstGeom>
                          <a:ln>
                            <a:noFill/>
                          </a:ln>
                        </wps:spPr>
                        <wps:txbx>
                          <w:txbxContent>
                            <w:p w14:paraId="3FD86AEE" w14:textId="77777777" w:rsidR="00B32EF2" w:rsidRDefault="00000000">
                              <w:r>
                                <w:rPr>
                                  <w:rFonts w:ascii="Arial" w:eastAsia="Arial" w:hAnsi="Arial" w:cs="Arial"/>
                                  <w:sz w:val="18"/>
                                </w:rPr>
                                <w:t>limiti numerici dei contingenti di personale già impiegato negli uffici di segrete</w:t>
                              </w:r>
                            </w:p>
                          </w:txbxContent>
                        </wps:txbx>
                        <wps:bodyPr horzOverflow="overflow" vert="horz" lIns="0" tIns="0" rIns="0" bIns="0" rtlCol="0">
                          <a:noAutofit/>
                        </wps:bodyPr>
                      </wps:wsp>
                      <wps:wsp>
                        <wps:cNvPr id="23474" name="Rectangle 23474"/>
                        <wps:cNvSpPr/>
                        <wps:spPr>
                          <a:xfrm rot="-10799999">
                            <a:off x="19558" y="2700336"/>
                            <a:ext cx="50622" cy="142889"/>
                          </a:xfrm>
                          <a:prstGeom prst="rect">
                            <a:avLst/>
                          </a:prstGeom>
                          <a:ln>
                            <a:noFill/>
                          </a:ln>
                        </wps:spPr>
                        <wps:txbx>
                          <w:txbxContent>
                            <w:p w14:paraId="2ACE5D0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475" name="Rectangle 23475"/>
                        <wps:cNvSpPr/>
                        <wps:spPr>
                          <a:xfrm rot="-10799999">
                            <a:off x="-1220289" y="2577006"/>
                            <a:ext cx="5210847" cy="142889"/>
                          </a:xfrm>
                          <a:prstGeom prst="rect">
                            <a:avLst/>
                          </a:prstGeom>
                          <a:ln>
                            <a:noFill/>
                          </a:ln>
                        </wps:spPr>
                        <wps:txbx>
                          <w:txbxContent>
                            <w:p w14:paraId="709084B0" w14:textId="77777777" w:rsidR="00B32EF2" w:rsidRDefault="00000000">
                              <w:r>
                                <w:rPr>
                                  <w:rFonts w:ascii="Arial" w:eastAsia="Arial" w:hAnsi="Arial" w:cs="Arial"/>
                                  <w:sz w:val="18"/>
                                </w:rPr>
                                <w:t>ria delle corti di giustizia tributaria di primo e secondo grado, senza incremen</w:t>
                              </w:r>
                            </w:p>
                          </w:txbxContent>
                        </wps:txbx>
                        <wps:bodyPr horzOverflow="overflow" vert="horz" lIns="0" tIns="0" rIns="0" bIns="0" rtlCol="0">
                          <a:noAutofit/>
                        </wps:bodyPr>
                      </wps:wsp>
                      <wps:wsp>
                        <wps:cNvPr id="23476" name="Rectangle 23476"/>
                        <wps:cNvSpPr/>
                        <wps:spPr>
                          <a:xfrm rot="-10799999">
                            <a:off x="19558" y="2577006"/>
                            <a:ext cx="50622" cy="142889"/>
                          </a:xfrm>
                          <a:prstGeom prst="rect">
                            <a:avLst/>
                          </a:prstGeom>
                          <a:ln>
                            <a:noFill/>
                          </a:ln>
                        </wps:spPr>
                        <wps:txbx>
                          <w:txbxContent>
                            <w:p w14:paraId="5C1C226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477" name="Rectangle 23477"/>
                        <wps:cNvSpPr/>
                        <wps:spPr>
                          <a:xfrm rot="-10799999">
                            <a:off x="-1317044" y="2453676"/>
                            <a:ext cx="5309887" cy="142889"/>
                          </a:xfrm>
                          <a:prstGeom prst="rect">
                            <a:avLst/>
                          </a:prstGeom>
                          <a:ln>
                            <a:noFill/>
                          </a:ln>
                        </wps:spPr>
                        <wps:txbx>
                          <w:txbxContent>
                            <w:p w14:paraId="16E36C05" w14:textId="77777777" w:rsidR="00B32EF2" w:rsidRDefault="00000000">
                              <w:r>
                                <w:rPr>
                                  <w:rFonts w:ascii="Arial" w:eastAsia="Arial" w:hAnsi="Arial" w:cs="Arial"/>
                                  <w:sz w:val="18"/>
                                </w:rPr>
                                <w:t xml:space="preserve">tare il numero complessivo dei componenti delle medesime corti di giustizia </w:t>
                              </w:r>
                            </w:p>
                          </w:txbxContent>
                        </wps:txbx>
                        <wps:bodyPr horzOverflow="overflow" vert="horz" lIns="0" tIns="0" rIns="0" bIns="0" rtlCol="0">
                          <a:noAutofit/>
                        </wps:bodyPr>
                      </wps:wsp>
                      <wps:wsp>
                        <wps:cNvPr id="23478" name="Rectangle 23478"/>
                        <wps:cNvSpPr/>
                        <wps:spPr>
                          <a:xfrm rot="-10799999">
                            <a:off x="-1316863" y="2330347"/>
                            <a:ext cx="5309021" cy="142889"/>
                          </a:xfrm>
                          <a:prstGeom prst="rect">
                            <a:avLst/>
                          </a:prstGeom>
                          <a:ln>
                            <a:noFill/>
                          </a:ln>
                        </wps:spPr>
                        <wps:txbx>
                          <w:txbxContent>
                            <w:p w14:paraId="64F07888" w14:textId="77777777" w:rsidR="00B32EF2" w:rsidRDefault="00000000">
                              <w:r>
                                <w:rPr>
                                  <w:rFonts w:ascii="Arial" w:eastAsia="Arial" w:hAnsi="Arial" w:cs="Arial"/>
                                  <w:sz w:val="18"/>
                                </w:rPr>
                                <w:t xml:space="preserve">tributaria, con corrispondente adeguamento delle sedi delle sezioni esistenti e </w:t>
                              </w:r>
                            </w:p>
                          </w:txbxContent>
                        </wps:txbx>
                        <wps:bodyPr horzOverflow="overflow" vert="horz" lIns="0" tIns="0" rIns="0" bIns="0" rtlCol="0">
                          <a:noAutofit/>
                        </wps:bodyPr>
                      </wps:wsp>
                      <wps:wsp>
                        <wps:cNvPr id="23479" name="Rectangle 23479"/>
                        <wps:cNvSpPr/>
                        <wps:spPr>
                          <a:xfrm rot="-10799999">
                            <a:off x="-1220666" y="2207017"/>
                            <a:ext cx="5212823" cy="142889"/>
                          </a:xfrm>
                          <a:prstGeom prst="rect">
                            <a:avLst/>
                          </a:prstGeom>
                          <a:ln>
                            <a:noFill/>
                          </a:ln>
                        </wps:spPr>
                        <wps:txbx>
                          <w:txbxContent>
                            <w:p w14:paraId="39D780F3" w14:textId="77777777" w:rsidR="00B32EF2" w:rsidRDefault="00000000">
                              <w:r>
                                <w:rPr>
                                  <w:rFonts w:ascii="Arial" w:eastAsia="Arial" w:hAnsi="Arial" w:cs="Arial"/>
                                  <w:sz w:val="18"/>
                                </w:rPr>
                                <w:t>conseguente riduzione delle relative spese. L’istituzione delle sezioni stacca</w:t>
                              </w:r>
                            </w:p>
                          </w:txbxContent>
                        </wps:txbx>
                        <wps:bodyPr horzOverflow="overflow" vert="horz" lIns="0" tIns="0" rIns="0" bIns="0" rtlCol="0">
                          <a:noAutofit/>
                        </wps:bodyPr>
                      </wps:wsp>
                      <wps:wsp>
                        <wps:cNvPr id="23480" name="Rectangle 23480"/>
                        <wps:cNvSpPr/>
                        <wps:spPr>
                          <a:xfrm rot="-10799999">
                            <a:off x="19558" y="2207017"/>
                            <a:ext cx="50622" cy="142889"/>
                          </a:xfrm>
                          <a:prstGeom prst="rect">
                            <a:avLst/>
                          </a:prstGeom>
                          <a:ln>
                            <a:noFill/>
                          </a:ln>
                        </wps:spPr>
                        <wps:txbx>
                          <w:txbxContent>
                            <w:p w14:paraId="513DF380"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481" name="Rectangle 23481"/>
                        <wps:cNvSpPr/>
                        <wps:spPr>
                          <a:xfrm rot="-10799999">
                            <a:off x="-1316879" y="2083687"/>
                            <a:ext cx="5309036" cy="142889"/>
                          </a:xfrm>
                          <a:prstGeom prst="rect">
                            <a:avLst/>
                          </a:prstGeom>
                          <a:ln>
                            <a:noFill/>
                          </a:ln>
                        </wps:spPr>
                        <wps:txbx>
                          <w:txbxContent>
                            <w:p w14:paraId="08DDDAF4" w14:textId="77777777" w:rsidR="00B32EF2" w:rsidRDefault="00000000">
                              <w:r>
                                <w:rPr>
                                  <w:rFonts w:ascii="Arial" w:eastAsia="Arial" w:hAnsi="Arial" w:cs="Arial"/>
                                  <w:sz w:val="18"/>
                                </w:rPr>
                                <w:t xml:space="preserve">te non deve comunque comportare maggiori oneri a carico del bilancio dello </w:t>
                              </w:r>
                            </w:p>
                          </w:txbxContent>
                        </wps:txbx>
                        <wps:bodyPr horzOverflow="overflow" vert="horz" lIns="0" tIns="0" rIns="0" bIns="0" rtlCol="0">
                          <a:noAutofit/>
                        </wps:bodyPr>
                      </wps:wsp>
                      <wps:wsp>
                        <wps:cNvPr id="23482" name="Rectangle 23482"/>
                        <wps:cNvSpPr/>
                        <wps:spPr>
                          <a:xfrm rot="-10799999">
                            <a:off x="3592701" y="1960358"/>
                            <a:ext cx="398427" cy="142889"/>
                          </a:xfrm>
                          <a:prstGeom prst="rect">
                            <a:avLst/>
                          </a:prstGeom>
                          <a:ln>
                            <a:noFill/>
                          </a:ln>
                        </wps:spPr>
                        <wps:txbx>
                          <w:txbxContent>
                            <w:p w14:paraId="35280C6E" w14:textId="77777777" w:rsidR="00B32EF2" w:rsidRDefault="00000000">
                              <w:r>
                                <w:rPr>
                                  <w:rFonts w:ascii="Arial" w:eastAsia="Arial" w:hAnsi="Arial" w:cs="Arial"/>
                                  <w:sz w:val="18"/>
                                </w:rPr>
                                <w:t>Stato.</w:t>
                              </w:r>
                            </w:p>
                          </w:txbxContent>
                        </wps:txbx>
                        <wps:bodyPr horzOverflow="overflow" vert="horz" lIns="0" tIns="0" rIns="0" bIns="0" rtlCol="0">
                          <a:noAutofit/>
                        </wps:bodyPr>
                      </wps:wsp>
                      <wps:wsp>
                        <wps:cNvPr id="202419" name="Rectangle 202419"/>
                        <wps:cNvSpPr/>
                        <wps:spPr>
                          <a:xfrm rot="-10799999">
                            <a:off x="2611341" y="1837028"/>
                            <a:ext cx="5308975" cy="142889"/>
                          </a:xfrm>
                          <a:prstGeom prst="rect">
                            <a:avLst/>
                          </a:prstGeom>
                          <a:ln>
                            <a:noFill/>
                          </a:ln>
                        </wps:spPr>
                        <wps:txbx>
                          <w:txbxContent>
                            <w:p w14:paraId="0E9CAFB8" w14:textId="77777777" w:rsidR="00B32EF2" w:rsidRDefault="00000000">
                              <w:r>
                                <w:rPr>
                                  <w:rFonts w:ascii="Arial" w:eastAsia="Arial" w:hAnsi="Arial" w:cs="Arial"/>
                                  <w:sz w:val="18"/>
                                </w:rPr>
                                <w:t>3</w:t>
                              </w:r>
                            </w:p>
                          </w:txbxContent>
                        </wps:txbx>
                        <wps:bodyPr horzOverflow="overflow" vert="horz" lIns="0" tIns="0" rIns="0" bIns="0" rtlCol="0">
                          <a:noAutofit/>
                        </wps:bodyPr>
                      </wps:wsp>
                      <wps:wsp>
                        <wps:cNvPr id="202420" name="Rectangle 202420"/>
                        <wps:cNvSpPr/>
                        <wps:spPr>
                          <a:xfrm rot="-10799999">
                            <a:off x="-1381340" y="1837028"/>
                            <a:ext cx="5308975" cy="142889"/>
                          </a:xfrm>
                          <a:prstGeom prst="rect">
                            <a:avLst/>
                          </a:prstGeom>
                          <a:ln>
                            <a:noFill/>
                          </a:ln>
                        </wps:spPr>
                        <wps:txbx>
                          <w:txbxContent>
                            <w:p w14:paraId="2CA15614" w14:textId="77777777" w:rsidR="00B32EF2" w:rsidRDefault="00000000">
                              <w:r>
                                <w:rPr>
                                  <w:rFonts w:ascii="Arial" w:eastAsia="Arial" w:hAnsi="Arial" w:cs="Arial"/>
                                  <w:sz w:val="18"/>
                                </w:rPr>
                                <w:t xml:space="preserve">. In ciascuna delle province autonome di Trento e di Bolzano la giurisdizione </w:t>
                              </w:r>
                            </w:p>
                          </w:txbxContent>
                        </wps:txbx>
                        <wps:bodyPr horzOverflow="overflow" vert="horz" lIns="0" tIns="0" rIns="0" bIns="0" rtlCol="0">
                          <a:noAutofit/>
                        </wps:bodyPr>
                      </wps:wsp>
                      <wps:wsp>
                        <wps:cNvPr id="23484" name="Rectangle 23484"/>
                        <wps:cNvSpPr/>
                        <wps:spPr>
                          <a:xfrm rot="-10799999">
                            <a:off x="-1220751" y="1713698"/>
                            <a:ext cx="5215194" cy="142889"/>
                          </a:xfrm>
                          <a:prstGeom prst="rect">
                            <a:avLst/>
                          </a:prstGeom>
                          <a:ln>
                            <a:noFill/>
                          </a:ln>
                        </wps:spPr>
                        <wps:txbx>
                          <w:txbxContent>
                            <w:p w14:paraId="1BA07392" w14:textId="77777777" w:rsidR="00B32EF2" w:rsidRDefault="00000000">
                              <w:r>
                                <w:rPr>
                                  <w:rFonts w:ascii="Arial" w:eastAsia="Arial" w:hAnsi="Arial" w:cs="Arial"/>
                                  <w:sz w:val="18"/>
                                </w:rPr>
                                <w:t>di cui al comma 1 è esercitata da corti di giustizia tributaria di primo e secon</w:t>
                              </w:r>
                            </w:p>
                          </w:txbxContent>
                        </wps:txbx>
                        <wps:bodyPr horzOverflow="overflow" vert="horz" lIns="0" tIns="0" rIns="0" bIns="0" rtlCol="0">
                          <a:noAutofit/>
                        </wps:bodyPr>
                      </wps:wsp>
                      <wps:wsp>
                        <wps:cNvPr id="23485" name="Rectangle 23485"/>
                        <wps:cNvSpPr/>
                        <wps:spPr>
                          <a:xfrm rot="-10799999">
                            <a:off x="19558" y="1713699"/>
                            <a:ext cx="50622" cy="142889"/>
                          </a:xfrm>
                          <a:prstGeom prst="rect">
                            <a:avLst/>
                          </a:prstGeom>
                          <a:ln>
                            <a:noFill/>
                          </a:ln>
                        </wps:spPr>
                        <wps:txbx>
                          <w:txbxContent>
                            <w:p w14:paraId="0AFFAED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486" name="Rectangle 23486"/>
                        <wps:cNvSpPr/>
                        <wps:spPr>
                          <a:xfrm rot="-10799999">
                            <a:off x="-1316864" y="1590368"/>
                            <a:ext cx="5309021" cy="142889"/>
                          </a:xfrm>
                          <a:prstGeom prst="rect">
                            <a:avLst/>
                          </a:prstGeom>
                          <a:ln>
                            <a:noFill/>
                          </a:ln>
                        </wps:spPr>
                        <wps:txbx>
                          <w:txbxContent>
                            <w:p w14:paraId="58A6DB30" w14:textId="77777777" w:rsidR="00B32EF2" w:rsidRDefault="00000000">
                              <w:r>
                                <w:rPr>
                                  <w:rFonts w:ascii="Arial" w:eastAsia="Arial" w:hAnsi="Arial" w:cs="Arial"/>
                                  <w:sz w:val="18"/>
                                </w:rPr>
                                <w:t xml:space="preserve">do grado, aventi competenza sul territorio della provincia corrispondente, alle </w:t>
                              </w:r>
                            </w:p>
                          </w:txbxContent>
                        </wps:txbx>
                        <wps:bodyPr horzOverflow="overflow" vert="horz" lIns="0" tIns="0" rIns="0" bIns="0" rtlCol="0">
                          <a:noAutofit/>
                        </wps:bodyPr>
                      </wps:wsp>
                      <wps:wsp>
                        <wps:cNvPr id="23487" name="Rectangle 23487"/>
                        <wps:cNvSpPr/>
                        <wps:spPr>
                          <a:xfrm rot="-10799999">
                            <a:off x="-1220484" y="1467039"/>
                            <a:ext cx="5212641" cy="142889"/>
                          </a:xfrm>
                          <a:prstGeom prst="rect">
                            <a:avLst/>
                          </a:prstGeom>
                          <a:ln>
                            <a:noFill/>
                          </a:ln>
                        </wps:spPr>
                        <wps:txbx>
                          <w:txbxContent>
                            <w:p w14:paraId="19AFB31B" w14:textId="77777777" w:rsidR="00B32EF2" w:rsidRDefault="00000000">
                              <w:r>
                                <w:rPr>
                                  <w:rFonts w:ascii="Arial" w:eastAsia="Arial" w:hAnsi="Arial" w:cs="Arial"/>
                                  <w:sz w:val="18"/>
                                </w:rPr>
                                <w:t>quali si applicano rispettivamente le disposizioni concernenti le corti di giu</w:t>
                              </w:r>
                            </w:p>
                          </w:txbxContent>
                        </wps:txbx>
                        <wps:bodyPr horzOverflow="overflow" vert="horz" lIns="0" tIns="0" rIns="0" bIns="0" rtlCol="0">
                          <a:noAutofit/>
                        </wps:bodyPr>
                      </wps:wsp>
                      <wps:wsp>
                        <wps:cNvPr id="23488" name="Rectangle 23488"/>
                        <wps:cNvSpPr/>
                        <wps:spPr>
                          <a:xfrm rot="-10799999">
                            <a:off x="19558" y="1467039"/>
                            <a:ext cx="50622" cy="142889"/>
                          </a:xfrm>
                          <a:prstGeom prst="rect">
                            <a:avLst/>
                          </a:prstGeom>
                          <a:ln>
                            <a:noFill/>
                          </a:ln>
                        </wps:spPr>
                        <wps:txbx>
                          <w:txbxContent>
                            <w:p w14:paraId="5F6784B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489" name="Rectangle 23489"/>
                        <wps:cNvSpPr/>
                        <wps:spPr>
                          <a:xfrm rot="-10799999">
                            <a:off x="-1316879" y="1343709"/>
                            <a:ext cx="5309035" cy="142889"/>
                          </a:xfrm>
                          <a:prstGeom prst="rect">
                            <a:avLst/>
                          </a:prstGeom>
                          <a:ln>
                            <a:noFill/>
                          </a:ln>
                        </wps:spPr>
                        <wps:txbx>
                          <w:txbxContent>
                            <w:p w14:paraId="65BC6727" w14:textId="77777777" w:rsidR="00B32EF2" w:rsidRDefault="00000000">
                              <w:r>
                                <w:rPr>
                                  <w:rFonts w:ascii="Arial" w:eastAsia="Arial" w:hAnsi="Arial" w:cs="Arial"/>
                                  <w:sz w:val="18"/>
                                </w:rPr>
                                <w:t xml:space="preserve">stizia tributaria di primo e secondo grado compatibili con le norme di legge e </w:t>
                              </w:r>
                            </w:p>
                          </w:txbxContent>
                        </wps:txbx>
                        <wps:bodyPr horzOverflow="overflow" vert="horz" lIns="0" tIns="0" rIns="0" bIns="0" rtlCol="0">
                          <a:noAutofit/>
                        </wps:bodyPr>
                      </wps:wsp>
                      <wps:wsp>
                        <wps:cNvPr id="23490" name="Rectangle 23490"/>
                        <wps:cNvSpPr/>
                        <wps:spPr>
                          <a:xfrm rot="-10799999">
                            <a:off x="1213340" y="1220380"/>
                            <a:ext cx="2778817" cy="142889"/>
                          </a:xfrm>
                          <a:prstGeom prst="rect">
                            <a:avLst/>
                          </a:prstGeom>
                          <a:ln>
                            <a:noFill/>
                          </a:ln>
                        </wps:spPr>
                        <wps:txbx>
                          <w:txbxContent>
                            <w:p w14:paraId="0DC4F327" w14:textId="77777777" w:rsidR="00B32EF2" w:rsidRDefault="00000000">
                              <w:r>
                                <w:rPr>
                                  <w:rFonts w:ascii="Arial" w:eastAsia="Arial" w:hAnsi="Arial" w:cs="Arial"/>
                                  <w:sz w:val="18"/>
                                </w:rPr>
                                <w:t>dello statuto regionale che le riguardano.</w:t>
                              </w:r>
                            </w:p>
                          </w:txbxContent>
                        </wps:txbx>
                        <wps:bodyPr horzOverflow="overflow" vert="horz" lIns="0" tIns="0" rIns="0" bIns="0" rtlCol="0">
                          <a:noAutofit/>
                        </wps:bodyPr>
                      </wps:wsp>
                      <wps:wsp>
                        <wps:cNvPr id="202417" name="Rectangle 202417"/>
                        <wps:cNvSpPr/>
                        <wps:spPr>
                          <a:xfrm rot="-10799999">
                            <a:off x="2635216" y="1097050"/>
                            <a:ext cx="5212747" cy="142889"/>
                          </a:xfrm>
                          <a:prstGeom prst="rect">
                            <a:avLst/>
                          </a:prstGeom>
                          <a:ln>
                            <a:noFill/>
                          </a:ln>
                        </wps:spPr>
                        <wps:txbx>
                          <w:txbxContent>
                            <w:p w14:paraId="38F1EE8F" w14:textId="77777777" w:rsidR="00B32EF2" w:rsidRDefault="00000000">
                              <w:r>
                                <w:rPr>
                                  <w:rFonts w:ascii="Arial" w:eastAsia="Arial" w:hAnsi="Arial" w:cs="Arial"/>
                                  <w:sz w:val="18"/>
                                </w:rPr>
                                <w:t>4</w:t>
                              </w:r>
                            </w:p>
                          </w:txbxContent>
                        </wps:txbx>
                        <wps:bodyPr horzOverflow="overflow" vert="horz" lIns="0" tIns="0" rIns="0" bIns="0" rtlCol="0">
                          <a:noAutofit/>
                        </wps:bodyPr>
                      </wps:wsp>
                      <wps:wsp>
                        <wps:cNvPr id="202418" name="Rectangle 202418"/>
                        <wps:cNvSpPr/>
                        <wps:spPr>
                          <a:xfrm rot="-10799999">
                            <a:off x="-1283729" y="1097050"/>
                            <a:ext cx="5212747" cy="142889"/>
                          </a:xfrm>
                          <a:prstGeom prst="rect">
                            <a:avLst/>
                          </a:prstGeom>
                          <a:ln>
                            <a:noFill/>
                          </a:ln>
                        </wps:spPr>
                        <wps:txbx>
                          <w:txbxContent>
                            <w:p w14:paraId="6F37DE0E" w14:textId="77777777" w:rsidR="00B32EF2" w:rsidRDefault="00000000">
                              <w:r>
                                <w:rPr>
                                  <w:rFonts w:ascii="Arial" w:eastAsia="Arial" w:hAnsi="Arial" w:cs="Arial"/>
                                  <w:sz w:val="18"/>
                                </w:rPr>
                                <w:t>. Le corti di giustizia tributaria di primo e secondo grado, il numero delle rela</w:t>
                              </w:r>
                            </w:p>
                          </w:txbxContent>
                        </wps:txbx>
                        <wps:bodyPr horzOverflow="overflow" vert="horz" lIns="0" tIns="0" rIns="0" bIns="0" rtlCol="0">
                          <a:noAutofit/>
                        </wps:bodyPr>
                      </wps:wsp>
                      <wps:wsp>
                        <wps:cNvPr id="23492" name="Rectangle 23492"/>
                        <wps:cNvSpPr/>
                        <wps:spPr>
                          <a:xfrm rot="-10799999">
                            <a:off x="19558" y="1097050"/>
                            <a:ext cx="50622" cy="142889"/>
                          </a:xfrm>
                          <a:prstGeom prst="rect">
                            <a:avLst/>
                          </a:prstGeom>
                          <a:ln>
                            <a:noFill/>
                          </a:ln>
                        </wps:spPr>
                        <wps:txbx>
                          <w:txbxContent>
                            <w:p w14:paraId="6089119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493" name="Rectangle 23493"/>
                        <wps:cNvSpPr/>
                        <wps:spPr>
                          <a:xfrm rot="-10799999">
                            <a:off x="-1316879" y="973720"/>
                            <a:ext cx="5309035" cy="142889"/>
                          </a:xfrm>
                          <a:prstGeom prst="rect">
                            <a:avLst/>
                          </a:prstGeom>
                          <a:ln>
                            <a:noFill/>
                          </a:ln>
                        </wps:spPr>
                        <wps:txbx>
                          <w:txbxContent>
                            <w:p w14:paraId="56B6C89C" w14:textId="77777777" w:rsidR="00B32EF2" w:rsidRDefault="00000000">
                              <w:r>
                                <w:rPr>
                                  <w:rFonts w:ascii="Arial" w:eastAsia="Arial" w:hAnsi="Arial" w:cs="Arial"/>
                                  <w:sz w:val="18"/>
                                </w:rPr>
                                <w:t xml:space="preserve">tive sezioni e i corrispondenti organici sono indicati nelle tabelle A e B allegate </w:t>
                              </w:r>
                            </w:p>
                          </w:txbxContent>
                        </wps:txbx>
                        <wps:bodyPr horzOverflow="overflow" vert="horz" lIns="0" tIns="0" rIns="0" bIns="0" rtlCol="0">
                          <a:noAutofit/>
                        </wps:bodyPr>
                      </wps:wsp>
                      <wps:wsp>
                        <wps:cNvPr id="23494" name="Rectangle 23494"/>
                        <wps:cNvSpPr/>
                        <wps:spPr>
                          <a:xfrm rot="-10799999">
                            <a:off x="2407662" y="850391"/>
                            <a:ext cx="1584495" cy="142889"/>
                          </a:xfrm>
                          <a:prstGeom prst="rect">
                            <a:avLst/>
                          </a:prstGeom>
                          <a:ln>
                            <a:noFill/>
                          </a:ln>
                        </wps:spPr>
                        <wps:txbx>
                          <w:txbxContent>
                            <w:p w14:paraId="164A3630" w14:textId="77777777" w:rsidR="00B32EF2" w:rsidRDefault="00000000">
                              <w:r>
                                <w:rPr>
                                  <w:rFonts w:ascii="Arial" w:eastAsia="Arial" w:hAnsi="Arial" w:cs="Arial"/>
                                  <w:sz w:val="18"/>
                                </w:rPr>
                                <w:t>al presente testo unico.</w:t>
                              </w:r>
                            </w:p>
                          </w:txbxContent>
                        </wps:txbx>
                        <wps:bodyPr horzOverflow="overflow" vert="horz" lIns="0" tIns="0" rIns="0" bIns="0" rtlCol="0">
                          <a:noAutofit/>
                        </wps:bodyPr>
                      </wps:wsp>
                      <wps:wsp>
                        <wps:cNvPr id="202416" name="Rectangle 202416"/>
                        <wps:cNvSpPr/>
                        <wps:spPr>
                          <a:xfrm rot="-10799999">
                            <a:off x="-1381260" y="727061"/>
                            <a:ext cx="5309021" cy="142889"/>
                          </a:xfrm>
                          <a:prstGeom prst="rect">
                            <a:avLst/>
                          </a:prstGeom>
                          <a:ln>
                            <a:noFill/>
                          </a:ln>
                        </wps:spPr>
                        <wps:txbx>
                          <w:txbxContent>
                            <w:p w14:paraId="7BB1622A" w14:textId="77777777" w:rsidR="00B32EF2" w:rsidRDefault="00000000">
                              <w:r>
                                <w:rPr>
                                  <w:rFonts w:ascii="Arial" w:eastAsia="Arial" w:hAnsi="Arial" w:cs="Arial"/>
                                  <w:sz w:val="18"/>
                                </w:rPr>
                                <w:t xml:space="preserve">. Il numero delle sezioni di ciascuna corte di giustizia tributaria può essere </w:t>
                              </w:r>
                            </w:p>
                          </w:txbxContent>
                        </wps:txbx>
                        <wps:bodyPr horzOverflow="overflow" vert="horz" lIns="0" tIns="0" rIns="0" bIns="0" rtlCol="0">
                          <a:noAutofit/>
                        </wps:bodyPr>
                      </wps:wsp>
                      <wps:wsp>
                        <wps:cNvPr id="202415" name="Rectangle 202415"/>
                        <wps:cNvSpPr/>
                        <wps:spPr>
                          <a:xfrm rot="-10799999">
                            <a:off x="2611329" y="727061"/>
                            <a:ext cx="5309020" cy="142889"/>
                          </a:xfrm>
                          <a:prstGeom prst="rect">
                            <a:avLst/>
                          </a:prstGeom>
                          <a:ln>
                            <a:noFill/>
                          </a:ln>
                        </wps:spPr>
                        <wps:txbx>
                          <w:txbxContent>
                            <w:p w14:paraId="7FB1D3E2" w14:textId="77777777" w:rsidR="00B32EF2" w:rsidRDefault="00000000">
                              <w:r>
                                <w:rPr>
                                  <w:rFonts w:ascii="Arial" w:eastAsia="Arial" w:hAnsi="Arial" w:cs="Arial"/>
                                  <w:sz w:val="18"/>
                                </w:rPr>
                                <w:t>5</w:t>
                              </w:r>
                            </w:p>
                          </w:txbxContent>
                        </wps:txbx>
                        <wps:bodyPr horzOverflow="overflow" vert="horz" lIns="0" tIns="0" rIns="0" bIns="0" rtlCol="0">
                          <a:noAutofit/>
                        </wps:bodyPr>
                      </wps:wsp>
                      <wps:wsp>
                        <wps:cNvPr id="23496" name="Rectangle 23496"/>
                        <wps:cNvSpPr/>
                        <wps:spPr>
                          <a:xfrm rot="-10799999">
                            <a:off x="-1316924" y="603731"/>
                            <a:ext cx="5309082" cy="142889"/>
                          </a:xfrm>
                          <a:prstGeom prst="rect">
                            <a:avLst/>
                          </a:prstGeom>
                          <a:ln>
                            <a:noFill/>
                          </a:ln>
                        </wps:spPr>
                        <wps:txbx>
                          <w:txbxContent>
                            <w:p w14:paraId="697E6763" w14:textId="77777777" w:rsidR="00B32EF2" w:rsidRDefault="00000000">
                              <w:r>
                                <w:rPr>
                                  <w:rFonts w:ascii="Arial" w:eastAsia="Arial" w:hAnsi="Arial" w:cs="Arial"/>
                                  <w:sz w:val="18"/>
                                </w:rPr>
                                <w:t xml:space="preserve">adeguato, in relazione al flusso medio dei processi, con decreto del Ministro </w:t>
                              </w:r>
                            </w:p>
                          </w:txbxContent>
                        </wps:txbx>
                        <wps:bodyPr horzOverflow="overflow" vert="horz" lIns="0" tIns="0" rIns="0" bIns="0" rtlCol="0">
                          <a:noAutofit/>
                        </wps:bodyPr>
                      </wps:wsp>
                      <wps:wsp>
                        <wps:cNvPr id="23497" name="Rectangle 23497"/>
                        <wps:cNvSpPr/>
                        <wps:spPr>
                          <a:xfrm rot="-10799999">
                            <a:off x="-771617" y="480402"/>
                            <a:ext cx="4763774" cy="142889"/>
                          </a:xfrm>
                          <a:prstGeom prst="rect">
                            <a:avLst/>
                          </a:prstGeom>
                          <a:ln>
                            <a:noFill/>
                          </a:ln>
                        </wps:spPr>
                        <wps:txbx>
                          <w:txbxContent>
                            <w:p w14:paraId="12CE1C5C" w14:textId="77777777" w:rsidR="00B32EF2" w:rsidRDefault="00000000">
                              <w:r>
                                <w:rPr>
                                  <w:rFonts w:ascii="Arial" w:eastAsia="Arial" w:hAnsi="Arial" w:cs="Arial"/>
                                  <w:sz w:val="18"/>
                                </w:rPr>
                                <w:t>dell’economia e delle finanze di concerto con il Ministro della giustizia.</w:t>
                              </w:r>
                            </w:p>
                          </w:txbxContent>
                        </wps:txbx>
                        <wps:bodyPr horzOverflow="overflow" vert="horz" lIns="0" tIns="0" rIns="0" bIns="0" rtlCol="0">
                          <a:noAutofit/>
                        </wps:bodyPr>
                      </wps:wsp>
                    </wpg:wgp>
                  </a:graphicData>
                </a:graphic>
              </wp:inline>
            </w:drawing>
          </mc:Choice>
          <mc:Fallback>
            <w:pict>
              <v:group w14:anchorId="2DD0634B" id="Group 202463" o:spid="_x0000_s7080" style="width:314.35pt;height:493.15pt;mso-position-horizontal-relative:char;mso-position-vertical-relative:line" coordsize="39921,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ibXgkAAKNxAAAOAAAAZHJzL2Uyb0RvYy54bWzkXduOIjkSfR9p/gHlO41vaadRV49GOzut&#10;lVYzo7l8AE1BFRKQKKG7qvfr94SdOLl4NFJaapfkfqDBUEnaxxFx4jhs3v/wuttOvqy646bdP1T8&#10;Hasmq/2yfdzsnx6qv/78edpUk+NpsX9cbNv96qH6ujpWP3z4/rv3L4f5SrTP7fZx1U1wkf1x/nJ4&#10;qJ5Pp8N8Njsun1e7xfFde1jt8ea67XaLE152T7PHbvGCq++2M8GYnr203eOha5er4xGtP/k3qw/u&#10;+uv1ann6db0+rk6T7UOFezu5x849fqLH2Yf3i/lTtzg8b5b9bSxG3MVusdnjS8OlflqcFpPP3ebu&#10;UrvNsmuP7fr0btnuZu16vVmuXB/QG85uevOxaz8fXF+e5i9PhzBMGNqbcRp92eUvXz52hz8Ov3UY&#10;iZfDE8bCvaK+vK67Hf2Pu5y8uiH7GoZs9XqaLNEorRW81tVkife00KKppR/U5TNG/u7vls///oe/&#10;nJ2/eHZ1Oy8HTJDjMAbHtDH443lxWLmhPc4xBr91k83jQyWkUqaa7Bc7TNXfMXkW+6ftauKb3QC5&#10;T4fhOs6PGLnzWE26FvNrypmx9M/Nh37suAW6nFcTjNJUC7z0g3QeRm4aqa0fRVEzrTS9H4ZiMT90&#10;x9PHVbub0JOHqsO9uesvvvz3ePIfPX+Ebme7p8d9+/Nmu/XvUgtG9HzH9Oz0+unVdbtuuAONGj+1&#10;j18xGs9t979fYdfrbfvyULX9s4pMHV9P71aT7X/2QIGs6vykOz/5dH7Snbb/ap3t+Rv68fOpXW/c&#10;HQ/f1t8Z4KU5+I1whmOK4dzQwNNNYFaMwFlyy5WDWTMjpFTXOEvG8YkeaMyCmttvDLS7oWHoCwAa&#10;ox0D2g38eKC14rwWDunaMFivmziL+dmia8uUwvvkF7kSTfOtga7PE7kUi67hiSJAoznFoqfKKG0Q&#10;FIBjXcNJ8xugpa2tbuqMSLtYUZJJ1wikMaR5EtJcM6sVvAUhLSwTtTPZwaS1UrXpqU4Wkzbn/hVj&#10;0nCgMaDFeSDGBWkFxmo9Gau51lbcAG3rOi/QgYQUA7SMAx1o6TigEaS1RFiARSsrmDA3tLvWjTI5&#10;XXcgIcUADXIcs+hAS0cBPRVGNQyMnoA2Vlt1A7TUWteU2uWiYyKwkGKQhl3FkA68dBTS8NxcCngL&#10;QrqumWhc0B+CNJIuozPybhFISBlAM6FEDGnfnsK8hUCG1fgUC6mUtqB9uN4ANW9qo8i9ZzPqwEPK&#10;wRr8986qCeuQhIwy6ykHt6Ykisz6b7EGT8uHdaAi5WAdk0IJ65CHjMKaC64bZNFvGOvARsrAWiKv&#10;jZi1a07x4FOkWVCzPdKSSS2cwxw8ODQ0znRGAo7Q1XewDKTJemOplm9PwVpoWYNke6x5w4S9wboW&#10;nFkJs88WrUOIKgfrWLZFWAcHN8qDT7kwyLL6cP02wQ4xqgyw4avj6xxexBy/zgEtrA/VUZwZ+fR8&#10;Jl2cUKbjixxoTnHeU6xKQgrz2rdiCNtIoXHBIVLXklnGckbq4qQyHV/lQHMy1BYBgOi3tFJq2Rds&#10;hJVLgpry7lyBGil938NSfDcJVndZtVTeCEf7bm/VfaYlG85Awe+surE5BXAZJnMxUMfoN6AO8sJI&#10;RiY5JHBPv1GLoK25h9o2aMxn1YWJZcA0xr5dc5oDF1jJOkNda6nVLdSCC4XGfFCHyVyMVYMZxRx4&#10;kBdGWTUP5Bu5NXB2WdsFJ8tLvn1tW0l1JyRvxFAOwsIolIVF1WkDcyVCphSTKCC84t6coRrB5CRk&#10;YRqXYc+kkMTIt29Pcd6kkqFI2mONnMs2N1hDJRN1TkVUhslcDtYx9k1YB8Yyyq6hkiGlJhJAhv02&#10;wS5OJUOZbtSFByFpFNQXgTqKc+ZAHTpXhkmDYse1UDSnOG+fT58NmluJkqLrSO1UMgod2aST0MNS&#10;oEZJX8ygfaVfmnRimRdEJTNM+pXCC/JNKhkRwlxQ+xK3kui3iXEyqdCcbtXGQy0sfId1dPcGavCi&#10;fFCHHhZj1TFKBqhTGRktc5yhbgSqQt8c1KGHxUAdF0S9fpngwAVvGtqYCvKNum+GhY6bWI3yQkZ7&#10;9bI58OJUMhMXRNGc4sAH8h3HOS/59qJdUWE6roVimSkFZWTTJHv3Ybo2MOl7g2bYzpHRoEMPi/Hd&#10;cUEUm+RSoL4w6CjOmQ06dK4YlOPFodgUm4IyZdMGe6R9hFbYWuunzTXvbpqcBh16WAzUcXnMBAVp&#10;lDzWCyd+iQOHIjAweZo711CznMKJCj0sBuq4RobsKM2qEabPdcB4ahi/hRorHEi9Mobp0MNSoG7i&#10;GhmaU6C+CNNRnPOG6eHYh2JQjstjfoNkQiJ9qZm4g05uDZqU0JzymN8XWFKKRdWZkUIENKcYtKwt&#10;MmjMIkgm3GomUfl9FaUllqux+SubYoLzdvr+lWHTWIPG+VD3SPv2FKiF5lyqHupGGmTW11BjJStv&#10;Zag/Rq4co6Z6g1iY9u0pWIN943w3LBc5u36bYAcFsAzDlgp1P/d27ZrToCbKTccjkQs3HMdV3do1&#10;TmvkNqPqXRcnktG29liwDgMxKqce2LfH2SU1Fwl1ZvZdnEhGBdkxlMNAjEL5quSE40zB+3MGiX3n&#10;VE6wdbwoUgYnHddD0Zzsu11cIN+NMweZvLVpKCc40Soj/y5OJGvieiiaU6C+8N1RnDP77vL0sViS&#10;BTsPA5Hgu/tqExBwZFm3Bu2Uk4ybaodtw6Xwbhy8HQvT/jzu0SIZjrTBUc99hgUKLr20OtAxnJfQ&#10;NFDCs0knw67hMpAmiSQWpn17ivN2Wzi4LyzCiSaGeaV5wJq2cJicdQjDtuFysI7FacI6LVDTFg5p&#10;6Ngx4mRvE+ziqshwsFDUhQdxeFS0vuBkUZzzcjJsOigsybLxslA0pzhvn0/3nAx75I0/l/XCeWen&#10;ZEEWKsN5S0VqZEQ5QXMK0kIxo/udlk2NXNrV0A9A42hRpVDpn4+RBWWoDKApGsc0Mt+eArVb4BB0&#10;MhKitMESpie7A9bZt2XpIA2Vg3VM9Sasg38bFabdwmVPyP4eakyFXFX9/ndgylm3hP+OWbVrTjRq&#10;bI/vz6lCLYLxRwXdGHXOY6qG3aRlGDUgjWXUrjkJaWO4pmQd3hun+CvmiPwAtDJaGto6ksukh72k&#10;uYF2P4mHXwJ0Pw3X/2oh/dTg5Wv3Y2rDbyt++D8AAAD//wMAUEsDBBQABgAIAAAAIQAF8LNt3QAA&#10;AAUBAAAPAAAAZHJzL2Rvd25yZXYueG1sTI9BS8NAEIXvgv9hGcGb3aTFmKbZlFLUUxFsBfE2zU6T&#10;0OxsyG6T9N+7etHLwOM93vsmX0+mFQP1rrGsIJ5FIIhLqxuuFHwcXh5SEM4ja2wtk4IrOVgXtzc5&#10;ZtqO/E7D3lcilLDLUEHtfZdJ6cqaDLqZ7YiDd7K9QR9kX0nd4xjKTSvnUZRIgw2HhRo72tZUnvcX&#10;o+B1xHGziJ+H3fm0vX4dHt8+dzEpdX83bVYgPE3+Lww/+AEdisB0tBfWTrQKwiP+9wYvmadPII4K&#10;lmmyAFnk8j998Q0AAP//AwBQSwECLQAUAAYACAAAACEAtoM4kv4AAADhAQAAEwAAAAAAAAAAAAAA&#10;AAAAAAAAW0NvbnRlbnRfVHlwZXNdLnhtbFBLAQItABQABgAIAAAAIQA4/SH/1gAAAJQBAAALAAAA&#10;AAAAAAAAAAAAAC8BAABfcmVscy8ucmVsc1BLAQItABQABgAIAAAAIQDnw1ibXgkAAKNxAAAOAAAA&#10;AAAAAAAAAAAAAC4CAABkcnMvZTJvRG9jLnhtbFBLAQItABQABgAIAAAAIQAF8LNt3QAAAAUBAAAP&#10;AAAAAAAAAAAAAAAAALgLAABkcnMvZG93bnJldi54bWxQSwUGAAAAAAQABADzAAAAwgwAAAAA&#10;">
                <v:rect id="Rectangle 23447" o:spid="_x0000_s7081" style="position:absolute;left:19010;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cJJxwAAAN4AAAAPAAAAZHJzL2Rvd25yZXYueG1sRI9Ba8JA&#10;FITvBf/D8gRvdaOVKtFVxCLm0EutgsdH9plEs2+X7Gqiv75bKPQ4zMw3zGLVmVrcqfGVZQWjYQKC&#10;OLe64kLB4Xv7OgPhA7LG2jIpeJCH1bL3ssBU25a/6L4PhYgQ9ikqKENwqZQ+L8mgH1pHHL2zbQyG&#10;KJtC6gbbCDe1HCfJuzRYcVwo0dGmpPy6vxkFpw922baV+fm5cZ+XbFbvboejUoN+t56DCNSF//Bf&#10;O9MKxm+TyRR+78QrIJc/AAAA//8DAFBLAQItABQABgAIAAAAIQDb4fbL7gAAAIUBAAATAAAAAAAA&#10;AAAAAAAAAAAAAABbQ29udGVudF9UeXBlc10ueG1sUEsBAi0AFAAGAAgAAAAhAFr0LFu/AAAAFQEA&#10;AAsAAAAAAAAAAAAAAAAAHwEAAF9yZWxzLy5yZWxzUEsBAi0AFAAGAAgAAAAhACzdwknHAAAA3gAA&#10;AA8AAAAAAAAAAAAAAAAABwIAAGRycy9kb3ducmV2LnhtbFBLBQYAAAAAAwADALcAAAD7AgAAAAA=&#10;" filled="f" stroked="f">
                  <v:textbox inset="0,0,0,0">
                    <w:txbxContent>
                      <w:p w14:paraId="41BBC337" w14:textId="77777777" w:rsidR="00B32EF2" w:rsidRDefault="00000000">
                        <w:r>
                          <w:rPr>
                            <w:rFonts w:ascii="Times New Roman" w:eastAsia="Times New Roman" w:hAnsi="Times New Roman" w:cs="Times New Roman"/>
                          </w:rPr>
                          <w:t>14</w:t>
                        </w:r>
                      </w:p>
                    </w:txbxContent>
                  </v:textbox>
                </v:rect>
                <v:rect id="Rectangle 23448" o:spid="_x0000_s7082" style="position:absolute;left:1319;top:60723;width:30132;height:19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lY7xQAAAN4AAAAPAAAAZHJzL2Rvd25yZXYueG1sRE/JasMw&#10;EL0X+g9iCr3VctNQgmsllJRQH3JpFuhxsCa2E2skLHlJvj46FHp8vD1fTaYVA3W+sazgNUlBEJdW&#10;N1wpOOw3LwsQPiBrbC2Tgit5WC0fH3LMtB35h4ZdqEQMYZ+hgjoEl0npy5oM+sQ64sidbGcwRNhV&#10;Unc4xnDTylmavkuDDceGGh2tayovu94o+P1iV2xGWZ5ua7c9F4v2uz8clXp+mj4/QASawr/4z11o&#10;BbO3+TzujXfiFZDLOwAAAP//AwBQSwECLQAUAAYACAAAACEA2+H2y+4AAACFAQAAEwAAAAAAAAAA&#10;AAAAAAAAAAAAW0NvbnRlbnRfVHlwZXNdLnhtbFBLAQItABQABgAIAAAAIQBa9CxbvwAAABUBAAAL&#10;AAAAAAAAAAAAAAAAAB8BAABfcmVscy8ucmVsc1BLAQItABQABgAIAAAAIQBdQlY7xQAAAN4AAAAP&#10;AAAAAAAAAAAAAAAAAAcCAABkcnMvZG93bnJldi54bWxQSwUGAAAAAAMAAwC3AAAA+QIAAAAA&#10;" filled="f" stroked="f">
                  <v:textbox inset="0,0,0,0">
                    <w:txbxContent>
                      <w:p w14:paraId="49837867" w14:textId="77777777" w:rsidR="00B32EF2" w:rsidRDefault="00000000">
                        <w:r>
                          <w:rPr>
                            <w:rFonts w:ascii="Arial" w:eastAsia="Arial" w:hAnsi="Arial" w:cs="Arial"/>
                            <w:b/>
                            <w:sz w:val="24"/>
                          </w:rPr>
                          <w:t>D.lgs. 14 novembre 2024, n. 175</w:t>
                        </w:r>
                      </w:p>
                    </w:txbxContent>
                  </v:textbox>
                </v:rect>
                <v:rect id="Rectangle 23449" o:spid="_x0000_s7083" style="position:absolute;left:16411;top:57083;width:59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OgxwAAAN4AAAAPAAAAZHJzL2Rvd25yZXYueG1sRI9Ba8JA&#10;FITvBf/D8gRvdaOVotFVxCLm0EutgsdH9plEs2+X7Gqiv75bKPQ4zMw3zGLVmVrcqfGVZQWjYQKC&#10;OLe64kLB4Xv7OgXhA7LG2jIpeJCH1bL3ssBU25a/6L4PhYgQ9ikqKENwqZQ+L8mgH1pHHL2zbQyG&#10;KJtC6gbbCDe1HCfJuzRYcVwo0dGmpPy6vxkFpw922baV+fm5cZ+XbFrvboejUoN+t56DCNSF//Bf&#10;O9MKxm+TyQx+78QrIJc/AAAA//8DAFBLAQItABQABgAIAAAAIQDb4fbL7gAAAIUBAAATAAAAAAAA&#10;AAAAAAAAAAAAAABbQ29udGVudF9UeXBlc10ueG1sUEsBAi0AFAAGAAgAAAAhAFr0LFu/AAAAFQEA&#10;AAsAAAAAAAAAAAAAAAAAHwEAAF9yZWxzLy5yZWxzUEsBAi0AFAAGAAgAAAAhADIO86DHAAAA3gAA&#10;AA8AAAAAAAAAAAAAAAAABwIAAGRycy9kb3ducmV2LnhtbFBLBQYAAAAAAwADALcAAAD7AgAAAAA=&#10;" filled="f" stroked="f">
                  <v:textbox inset="0,0,0,0">
                    <w:txbxContent>
                      <w:p w14:paraId="78B0BF60" w14:textId="77777777" w:rsidR="00B32EF2" w:rsidRDefault="00000000">
                        <w:r>
                          <w:rPr>
                            <w:rFonts w:ascii="Arial" w:eastAsia="Arial" w:hAnsi="Arial" w:cs="Arial"/>
                            <w:b/>
                            <w:sz w:val="18"/>
                          </w:rPr>
                          <w:t>PARTE I</w:t>
                        </w:r>
                      </w:p>
                    </w:txbxContent>
                  </v:textbox>
                </v:rect>
                <v:rect id="Rectangle 23450" o:spid="_x0000_s7084" style="position:absolute;left:-4746;top:55369;width:3959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czgxQAAAN4AAAAPAAAAZHJzL2Rvd25yZXYueG1sRI/NisIw&#10;FIX3gu8QruBOUx1HpGMUcRC7cDOOwiwvzbXtTHMTmmirT28WwiwP549vue5MLW7U+Mqygsk4AUGc&#10;W11xoeD0vRstQPiArLG2TAru5GG96veWmGrb8hfdjqEQcYR9igrKEFwqpc9LMujH1hFH72IbgyHK&#10;ppC6wTaOm1pOk2QuDVYcH0p0tC0p/ztejYKfT3bZrpX55bF1h99sUe+vp7NSw0G3+QARqAv/4Vc7&#10;0wqmb7P3CBBxIgrI1RMAAP//AwBQSwECLQAUAAYACAAAACEA2+H2y+4AAACFAQAAEwAAAAAAAAAA&#10;AAAAAAAAAAAAW0NvbnRlbnRfVHlwZXNdLnhtbFBLAQItABQABgAIAAAAIQBa9CxbvwAAABUBAAAL&#10;AAAAAAAAAAAAAAAAAB8BAABfcmVscy8ucmVsc1BLAQItABQABgAIAAAAIQAm7czgxQAAAN4AAAAP&#10;AAAAAAAAAAAAAAAAAAcCAABkcnMvZG93bnJldi54bWxQSwUGAAAAAAMAAwC3AAAA+QIAAAAA&#10;" filled="f" stroked="f">
                  <v:textbox inset="0,0,0,0">
                    <w:txbxContent>
                      <w:p w14:paraId="4563E040" w14:textId="77777777" w:rsidR="00B32EF2" w:rsidRDefault="00000000">
                        <w:r>
                          <w:rPr>
                            <w:rFonts w:ascii="Arial" w:eastAsia="Arial" w:hAnsi="Arial" w:cs="Arial"/>
                            <w:b/>
                            <w:sz w:val="18"/>
                          </w:rPr>
                          <w:t xml:space="preserve">ORDINAMENTO DELLA GIURISDIZIONE TRIBUTARIA </w:t>
                        </w:r>
                      </w:p>
                    </w:txbxContent>
                  </v:textbox>
                </v:rect>
                <v:rect id="Rectangle 23451" o:spid="_x0000_s7085" style="position:absolute;left:16096;top:52902;width:64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Wl7xwAAAN4AAAAPAAAAZHJzL2Rvd25yZXYueG1sRI9Pa8JA&#10;FMTvgt9heUJvutFqkdRVikXMoRf/FHp8ZJ9J2uzbJbua6KfvCoLHYWZ+wyxWnanFhRpfWVYwHiUg&#10;iHOrKy4UHA+b4RyED8gaa8uk4EoeVst+b4Gpti3v6LIPhYgQ9ikqKENwqZQ+L8mgH1lHHL2TbQyG&#10;KJtC6gbbCDe1nCTJmzRYcVwo0dG6pPxvfzYKfj7ZZZtW5qfb2n39ZvN6ez5+K/Uy6D7eQQTqwjP8&#10;aGdaweR1OhvD/U68AnL5DwAA//8DAFBLAQItABQABgAIAAAAIQDb4fbL7gAAAIUBAAATAAAAAAAA&#10;AAAAAAAAAAAAAABbQ29udGVudF9UeXBlc10ueG1sUEsBAi0AFAAGAAgAAAAhAFr0LFu/AAAAFQEA&#10;AAsAAAAAAAAAAAAAAAAAHwEAAF9yZWxzLy5yZWxzUEsBAi0AFAAGAAgAAAAhAEmhaXvHAAAA3gAA&#10;AA8AAAAAAAAAAAAAAAAABwIAAGRycy9kb3ducmV2LnhtbFBLBQYAAAAAAwADALcAAAD7AgAAAAA=&#10;" filled="f" stroked="f">
                  <v:textbox inset="0,0,0,0">
                    <w:txbxContent>
                      <w:p w14:paraId="209CBBF3" w14:textId="77777777" w:rsidR="00B32EF2" w:rsidRDefault="00000000">
                        <w:r>
                          <w:rPr>
                            <w:rFonts w:ascii="Arial" w:eastAsia="Arial" w:hAnsi="Arial" w:cs="Arial"/>
                            <w:b/>
                            <w:sz w:val="18"/>
                          </w:rPr>
                          <w:t>TITOLO I</w:t>
                        </w:r>
                      </w:p>
                    </w:txbxContent>
                  </v:textbox>
                </v:rect>
                <v:rect id="Rectangle 23452" o:spid="_x0000_s7086" style="position:absolute;left:14156;top:51669;width:95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cMxwAAAN4AAAAPAAAAZHJzL2Rvd25yZXYueG1sRI9Ba8JA&#10;FITvgv9heUJvumlqi6SuIoo0h160KfT4yD6TtNm3S3Y1qb++KxQ8DjPzDbNcD6YVF+p8Y1nB4ywB&#10;QVxa3XCloPjYTxcgfEDW2FomBb/kYb0aj5aYadvzgS7HUIkIYZ+hgjoEl0npy5oM+pl1xNE72c5g&#10;iLKrpO6wj3DTyjRJXqTBhuNCjY62NZU/x7NR8LVjl+97WZ6uW/f+nS/at3PxqdTDZNi8ggg0hHv4&#10;v51rBenT/DmF2514BeTqDwAA//8DAFBLAQItABQABgAIAAAAIQDb4fbL7gAAAIUBAAATAAAAAAAA&#10;AAAAAAAAAAAAAABbQ29udGVudF9UeXBlc10ueG1sUEsBAi0AFAAGAAgAAAAhAFr0LFu/AAAAFQEA&#10;AAsAAAAAAAAAAAAAAAAAHwEAAF9yZWxzLy5yZWxzUEsBAi0AFAAGAAgAAAAhALlz9wzHAAAA3gAA&#10;AA8AAAAAAAAAAAAAAAAABwIAAGRycy9kb3ducmV2LnhtbFBLBQYAAAAAAwADALcAAAD7AgAAAAA=&#10;" filled="f" stroked="f">
                  <v:textbox inset="0,0,0,0">
                    <w:txbxContent>
                      <w:p w14:paraId="1F2D5A1A" w14:textId="77777777" w:rsidR="00B32EF2" w:rsidRDefault="00000000">
                        <w:r>
                          <w:rPr>
                            <w:rFonts w:ascii="Arial" w:eastAsia="Arial" w:hAnsi="Arial" w:cs="Arial"/>
                            <w:b/>
                            <w:sz w:val="18"/>
                          </w:rPr>
                          <w:t xml:space="preserve"> GLI ORGANI</w:t>
                        </w:r>
                      </w:p>
                    </w:txbxContent>
                  </v:textbox>
                </v:rect>
                <v:rect id="Rectangle 23453" o:spid="_x0000_s7087" style="position:absolute;left:16416;top:49202;width:56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1KXxwAAAN4AAAAPAAAAZHJzL2Rvd25yZXYueG1sRI9Pa8JA&#10;FMTvBb/D8gRvdeOfFkldRRRpDl6qFnp8ZJ9JNPt2ya4m9dO7hYLHYWZ+w8yXnanFjRpfWVYwGiYg&#10;iHOrKy4UHA/b1xkIH5A11pZJwS95WC56L3NMtW35i277UIgIYZ+igjIEl0rp85IM+qF1xNE72cZg&#10;iLIppG6wjXBTy3GSvEuDFceFEh2tS8ov+6tR8LNhl21bmZ/ua7c7Z7P683r8VmrQ71YfIAJ14Rn+&#10;b2dawXgyfZvA3514BeTiAQAA//8DAFBLAQItABQABgAIAAAAIQDb4fbL7gAAAIUBAAATAAAAAAAA&#10;AAAAAAAAAAAAAABbQ29udGVudF9UeXBlc10ueG1sUEsBAi0AFAAGAAgAAAAhAFr0LFu/AAAAFQEA&#10;AAsAAAAAAAAAAAAAAAAAHwEAAF9yZWxzLy5yZWxzUEsBAi0AFAAGAAgAAAAhANY/UpfHAAAA3gAA&#10;AA8AAAAAAAAAAAAAAAAABwIAAGRycy9kb3ducmV2LnhtbFBLBQYAAAAAAwADALcAAAD7AgAAAAA=&#10;" filled="f" stroked="f">
                  <v:textbox inset="0,0,0,0">
                    <w:txbxContent>
                      <w:p w14:paraId="06AF050D" w14:textId="77777777" w:rsidR="00B32EF2" w:rsidRDefault="00000000">
                        <w:r>
                          <w:rPr>
                            <w:rFonts w:ascii="Arial" w:eastAsia="Arial" w:hAnsi="Arial" w:cs="Arial"/>
                            <w:b/>
                            <w:sz w:val="18"/>
                          </w:rPr>
                          <w:t xml:space="preserve">CAPO I </w:t>
                        </w:r>
                      </w:p>
                    </w:txbxContent>
                  </v:textbox>
                </v:rect>
                <v:rect id="Rectangle 23454" o:spid="_x0000_s7088" style="position:absolute;left:-2748;top:47969;width:366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srjxwAAAN4AAAAPAAAAZHJzL2Rvd25yZXYueG1sRI9Ba8JA&#10;FITvBf/D8gRvdaO1ItFVxCLm0EutgsdH9plEs2+X7Gqiv75bKPQ4zMw3zGLVmVrcqfGVZQWjYQKC&#10;OLe64kLB4Xv7OgPhA7LG2jIpeJCH1bL3ssBU25a/6L4PhYgQ9ikqKENwqZQ+L8mgH1pHHL2zbQyG&#10;KJtC6gbbCDe1HCfJVBqsOC6U6GhTUn7d34yC0we7bNvK/PzcuM9LNqt3t8NRqUG/W89BBOrCf/iv&#10;nWkF47fJ+wR+78QrIJc/AAAA//8DAFBLAQItABQABgAIAAAAIQDb4fbL7gAAAIUBAAATAAAAAAAA&#10;AAAAAAAAAAAAAABbQ29udGVudF9UeXBlc10ueG1sUEsBAi0AFAAGAAgAAAAhAFr0LFu/AAAAFQEA&#10;AAsAAAAAAAAAAAAAAAAAHwEAAF9yZWxzLy5yZWxzUEsBAi0AFAAGAAgAAAAhAFnWyuPHAAAA3gAA&#10;AA8AAAAAAAAAAAAAAAAABwIAAGRycy9kb3ducmV2LnhtbFBLBQYAAAAAAwADALcAAAD7AgAAAAA=&#10;" filled="f" stroked="f">
                  <v:textbox inset="0,0,0,0">
                    <w:txbxContent>
                      <w:p w14:paraId="4DF887C2" w14:textId="77777777" w:rsidR="00B32EF2" w:rsidRDefault="00000000">
                        <w:r>
                          <w:rPr>
                            <w:rFonts w:ascii="Arial" w:eastAsia="Arial" w:hAnsi="Arial" w:cs="Arial"/>
                            <w:b/>
                            <w:sz w:val="18"/>
                          </w:rPr>
                          <w:t>GLI ORGANI DELLA GIURISDIZIONE TRIBUTARIA</w:t>
                        </w:r>
                      </w:p>
                    </w:txbxContent>
                  </v:textbox>
                </v:rect>
                <v:rect id="Rectangle 23455" o:spid="_x0000_s7089" style="position:absolute;left:15613;top:45502;width:72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m94xwAAAN4AAAAPAAAAZHJzL2Rvd25yZXYueG1sRI9Ba8JA&#10;FITvBf/D8gRvdaNVkegqYhFz6KVWweMj+0yi2bdLdjWxv75bKPQ4zMw3zHLdmVo8qPGVZQWjYQKC&#10;OLe64kLB8Wv3OgfhA7LG2jIpeJKH9ar3ssRU25Y/6XEIhYgQ9ikqKENwqZQ+L8mgH1pHHL2LbQyG&#10;KJtC6gbbCDe1HCfJTBqsOC6U6GhbUn473I2C8zu7bNfK/PK9dR/XbF7v78eTUoN+t1mACNSF//Bf&#10;O9MKxm+T6RR+78QrIFc/AAAA//8DAFBLAQItABQABgAIAAAAIQDb4fbL7gAAAIUBAAATAAAAAAAA&#10;AAAAAAAAAAAAAABbQ29udGVudF9UeXBlc10ueG1sUEsBAi0AFAAGAAgAAAAhAFr0LFu/AAAAFQEA&#10;AAsAAAAAAAAAAAAAAAAAHwEAAF9yZWxzLy5yZWxzUEsBAi0AFAAGAAgAAAAhADaab3jHAAAA3gAA&#10;AA8AAAAAAAAAAAAAAAAABwIAAGRycy9kb3ducmV2LnhtbFBLBQYAAAAAAwADALcAAAD7AgAAAAA=&#10;" filled="f" stroked="f">
                  <v:textbox inset="0,0,0,0">
                    <w:txbxContent>
                      <w:p w14:paraId="20004667" w14:textId="77777777" w:rsidR="00B32EF2" w:rsidRDefault="00000000">
                        <w:r>
                          <w:rPr>
                            <w:rFonts w:ascii="Arial" w:eastAsia="Arial" w:hAnsi="Arial" w:cs="Arial"/>
                            <w:b/>
                            <w:sz w:val="18"/>
                          </w:rPr>
                          <w:t>Articolo 1</w:t>
                        </w:r>
                      </w:p>
                    </w:txbxContent>
                  </v:textbox>
                </v:rect>
                <v:rect id="Rectangle 202425" o:spid="_x0000_s7090" style="position:absolute;left:22115;top:44269;width:185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Q+xwAAAN8AAAAPAAAAZHJzL2Rvd25yZXYueG1sRI9Ba8JA&#10;FITvBf/D8gRvdWNoi0RXEUWag5daBY+P7DOJZt8u2dVEf323UOhxmJlvmPmyN424U+trywom4wQE&#10;cWF1zaWCw/f2dQrCB2SNjWVS8CAPy8XgZY6Zth1/0X0fShEh7DNUUIXgMil9UZFBP7aOOHpn2xoM&#10;Ubal1C12EW4amSbJhzRYc1yo0NG6ouK6vxkFpw27fNvJ4vxcu90lnzaft8NRqdGwX81ABOrDf/iv&#10;nWsFaZK+pe/w+yd+Abn4AQAA//8DAFBLAQItABQABgAIAAAAIQDb4fbL7gAAAIUBAAATAAAAAAAA&#10;AAAAAAAAAAAAAABbQ29udGVudF9UeXBlc10ueG1sUEsBAi0AFAAGAAgAAAAhAFr0LFu/AAAAFQEA&#10;AAsAAAAAAAAAAAAAAAAAHwEAAF9yZWxzLy5yZWxzUEsBAi0AFAAGAAgAAAAhAI6SFD7HAAAA3wAA&#10;AA8AAAAAAAAAAAAAAAAABwIAAGRycy9kb3ducmV2LnhtbFBLBQYAAAAAAwADALcAAAD7AgAAAAA=&#10;" filled="f" stroked="f">
                  <v:textbox inset="0,0,0,0">
                    <w:txbxContent>
                      <w:p w14:paraId="2EF3D764" w14:textId="77777777" w:rsidR="00B32EF2" w:rsidRDefault="00000000">
                        <w:r>
                          <w:rPr>
                            <w:rFonts w:ascii="Arial" w:eastAsia="Arial" w:hAnsi="Arial" w:cs="Arial"/>
                            <w:i/>
                            <w:sz w:val="18"/>
                          </w:rPr>
                          <w:t>(</w:t>
                        </w:r>
                      </w:p>
                    </w:txbxContent>
                  </v:textbox>
                </v:rect>
                <v:rect id="Rectangle 202426" o:spid="_x0000_s7091" style="position:absolute;left:-1445;top:44269;width:185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pJxwAAAN8AAAAPAAAAZHJzL2Rvd25yZXYueG1sRI9Ba8JA&#10;FITvBf/D8gRvdWMoItFVRJHm0IvWQo+P7DOJZt8u2dXE/npXEHocZuYbZrHqTSNu1PrasoLJOAFB&#10;XFhdc6ng+L17n4HwAVljY5kU3MnDajl4W2Cmbcd7uh1CKSKEfYYKqhBcJqUvKjLox9YRR+9kW4Mh&#10;yraUusUuwk0j0ySZSoM1x4UKHW0qKi6Hq1Hwu2WX7zpZnP427uucz5rP6/FHqdGwX89BBOrDf/jV&#10;zrWCNEk/0ik8/8QvIJcPAAAA//8DAFBLAQItABQABgAIAAAAIQDb4fbL7gAAAIUBAAATAAAAAAAA&#10;AAAAAAAAAAAAAABbQ29udGVudF9UeXBlc10ueG1sUEsBAi0AFAAGAAgAAAAhAFr0LFu/AAAAFQEA&#10;AAsAAAAAAAAAAAAAAAAAHwEAAF9yZWxzLy5yZWxzUEsBAi0AFAAGAAgAAAAhAH5AiknHAAAA3wAA&#10;AA8AAAAAAAAAAAAAAAAABwIAAGRycy9kb3ducmV2LnhtbFBLBQYAAAAAAwADALcAAAD7AgAAAAA=&#10;" filled="f" stroked="f">
                  <v:textbox inset="0,0,0,0">
                    <w:txbxContent>
                      <w:p w14:paraId="60B000F9" w14:textId="77777777" w:rsidR="00B32EF2" w:rsidRDefault="00000000">
                        <w:r>
                          <w:rPr>
                            <w:rFonts w:ascii="Arial" w:eastAsia="Arial" w:hAnsi="Arial" w:cs="Arial"/>
                            <w:i/>
                            <w:sz w:val="18"/>
                          </w:rPr>
                          <w:t>545/92)</w:t>
                        </w:r>
                      </w:p>
                    </w:txbxContent>
                  </v:textbox>
                </v:rect>
                <v:rect id="Rectangle 202427" o:spid="_x0000_s7092" style="position:absolute;left:12168;top:44269;width:185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C/SxwAAAN8AAAAPAAAAZHJzL2Rvd25yZXYueG1sRI9Ba8JA&#10;FITvBf/D8gRvdWMorURXEUWag5daBY+P7DOJZt8u2dVEf323UOhxmJlvmPmyN424U+trywom4wQE&#10;cWF1zaWCw/f2dQrCB2SNjWVS8CAPy8XgZY6Zth1/0X0fShEh7DNUUIXgMil9UZFBP7aOOHpn2xoM&#10;Ubal1C12EW4amSbJuzRYc1yo0NG6ouK6vxkFpw27fNvJ4vxcu90lnzaft8NRqdGwX81ABOrDf/iv&#10;nWsFaZK+pR/w+yd+Abn4AQAA//8DAFBLAQItABQABgAIAAAAIQDb4fbL7gAAAIUBAAATAAAAAAAA&#10;AAAAAAAAAAAAAABbQ29udGVudF9UeXBlc10ueG1sUEsBAi0AFAAGAAgAAAAhAFr0LFu/AAAAFQEA&#10;AAsAAAAAAAAAAAAAAAAAHwEAAF9yZWxzLy5yZWxzUEsBAi0AFAAGAAgAAAAhABEML9LHAAAA3wAA&#10;AA8AAAAAAAAAAAAAAAAABwIAAGRycy9kb3ducmV2LnhtbFBLBQYAAAAAAwADALcAAAD7AgAAAAA=&#10;" filled="f" stroked="f">
                  <v:textbox inset="0,0,0,0">
                    <w:txbxContent>
                      <w:p w14:paraId="4D9A1F48" w14:textId="77777777" w:rsidR="00B32EF2" w:rsidRDefault="00000000">
                        <w:r>
                          <w:rPr>
                            <w:rFonts w:ascii="Arial" w:eastAsia="Arial" w:hAnsi="Arial" w:cs="Arial"/>
                            <w:i/>
                            <w:sz w:val="18"/>
                          </w:rPr>
                          <w:t xml:space="preserve">articolo 1 D.lgs. n. </w:t>
                        </w:r>
                      </w:p>
                    </w:txbxContent>
                  </v:textbox>
                </v:rect>
                <v:rect id="Rectangle 23457" o:spid="_x0000_s7093" style="position:absolute;left:-5692;top:43036;width:41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SUxwAAAN4AAAAPAAAAZHJzL2Rvd25yZXYueG1sRI9Ba8JA&#10;FITvBf/D8oTe6katVaKriCLNoRetgsdH9pmkzb5dsqtJ++u7BcHjMDPfMItVZ2pxo8ZXlhUMBwkI&#10;4tzqigsFx8/dywyED8gaa8uk4Ic8rJa9pwWm2ra8p9shFCJC2KeooAzBpVL6vCSDfmAdcfQutjEY&#10;omwKqRtsI9zUcpQkb9JgxXGhREebkvLvw9UoOG/ZZbtW5pffjfv4ymb1+/V4Uuq5363nIAJ14RG+&#10;tzOtYDR+nUzh/068AnL5BwAA//8DAFBLAQItABQABgAIAAAAIQDb4fbL7gAAAIUBAAATAAAAAAAA&#10;AAAAAAAAAAAAAABbQ29udGVudF9UeXBlc10ueG1sUEsBAi0AFAAGAAgAAAAhAFr0LFu/AAAAFQEA&#10;AAsAAAAAAAAAAAAAAAAAHwEAAF9yZWxzLy5yZWxzUEsBAi0AFAAGAAgAAAAhAKkEVJTHAAAA3gAA&#10;AA8AAAAAAAAAAAAAAAAABwIAAGRycy9kb3ducmV2LnhtbFBLBQYAAAAAAwADALcAAAD7AgAAAAA=&#10;" filled="f" stroked="f">
                  <v:textbox inset="0,0,0,0">
                    <w:txbxContent>
                      <w:p w14:paraId="4F9B16E2" w14:textId="77777777" w:rsidR="00B32EF2" w:rsidRDefault="00000000">
                        <w:r>
                          <w:rPr>
                            <w:rFonts w:ascii="Arial" w:eastAsia="Arial" w:hAnsi="Arial" w:cs="Arial"/>
                            <w:b/>
                            <w:sz w:val="18"/>
                          </w:rPr>
                          <w:t xml:space="preserve">Le corti di giustizia tributaria di primo e secondo grado </w:t>
                        </w:r>
                      </w:p>
                    </w:txbxContent>
                  </v:textbox>
                </v:rect>
                <v:rect id="Rectangle 202423" o:spid="_x0000_s7094" style="position:absolute;left:26356;top:41802;width:521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ynRxwAAAN8AAAAPAAAAZHJzL2Rvd25yZXYueG1sRI9Ba8JA&#10;FITvBf/D8gRvdWNaikRXEUWag5daBY+P7DOJZt8u2dVEf323UOhxmJlvmPmyN424U+trywom4wQE&#10;cWF1zaWCw/f2dQrCB2SNjWVS8CAPy8XgZY6Zth1/0X0fShEh7DNUUIXgMil9UZFBP7aOOHpn2xoM&#10;Ubal1C12EW4amSbJhzRYc1yo0NG6ouK6vxkFpw27fNvJ4vxcu90lnzaft8NRqdGwX81ABOrDf/iv&#10;nWsFaZK+p2/w+yd+Abn4AQAA//8DAFBLAQItABQABgAIAAAAIQDb4fbL7gAAAIUBAAATAAAAAAAA&#10;AAAAAAAAAAAAAABbQ29udGVudF9UeXBlc10ueG1sUEsBAi0AFAAGAAgAAAAhAFr0LFu/AAAAFQEA&#10;AAsAAAAAAAAAAAAAAAAAHwEAAF9yZWxzLy5yZWxzUEsBAi0AFAAGAAgAAAAhAG43KdHHAAAA3wAA&#10;AA8AAAAAAAAAAAAAAAAABwIAAGRycy9kb3ducmV2LnhtbFBLBQYAAAAAAwADALcAAAD7AgAAAAA=&#10;" filled="f" stroked="f">
                  <v:textbox inset="0,0,0,0">
                    <w:txbxContent>
                      <w:p w14:paraId="53AC17DA" w14:textId="77777777" w:rsidR="00B32EF2" w:rsidRDefault="00000000">
                        <w:r>
                          <w:rPr>
                            <w:rFonts w:ascii="Arial" w:eastAsia="Arial" w:hAnsi="Arial" w:cs="Arial"/>
                            <w:sz w:val="18"/>
                          </w:rPr>
                          <w:t>1</w:t>
                        </w:r>
                      </w:p>
                    </w:txbxContent>
                  </v:textbox>
                </v:rect>
                <v:rect id="Rectangle 202424" o:spid="_x0000_s7095" style="position:absolute;left:-12779;top:41802;width:521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rGlxwAAAN8AAAAPAAAAZHJzL2Rvd25yZXYueG1sRI9Ba8JA&#10;FITvBf/D8oTe6sYgRaKriCLNwUvVQo+P7DOJZt8u2dXE/vquIHgcZuYbZr7sTSNu1PrasoLxKAFB&#10;XFhdc6ngeNh+TEH4gKyxsUwK7uRhuRi8zTHTtuNvuu1DKSKEfYYKqhBcJqUvKjLoR9YRR+9kW4Mh&#10;yraUusUuwk0j0yT5lAZrjgsVOlpXVFz2V6Pgd8Mu33ayOP2t3e6cT5uv6/FHqfdhv5qBCNSHV/jZ&#10;zrWCNEkn6QQef+IXkIt/AAAA//8DAFBLAQItABQABgAIAAAAIQDb4fbL7gAAAIUBAAATAAAAAAAA&#10;AAAAAAAAAAAAAABbQ29udGVudF9UeXBlc10ueG1sUEsBAi0AFAAGAAgAAAAhAFr0LFu/AAAAFQEA&#10;AAsAAAAAAAAAAAAAAAAAHwEAAF9yZWxzLy5yZWxzUEsBAi0AFAAGAAgAAAAhAOHesaXHAAAA3wAA&#10;AA8AAAAAAAAAAAAAAAAABwIAAGRycy9kb3ducmV2LnhtbFBLBQYAAAAAAwADALcAAAD7AgAAAAA=&#10;" filled="f" stroked="f">
                  <v:textbox inset="0,0,0,0">
                    <w:txbxContent>
                      <w:p w14:paraId="264E9559" w14:textId="77777777" w:rsidR="00B32EF2" w:rsidRDefault="00000000">
                        <w:r>
                          <w:rPr>
                            <w:rFonts w:ascii="Arial" w:eastAsia="Arial" w:hAnsi="Arial" w:cs="Arial"/>
                            <w:sz w:val="18"/>
                          </w:rPr>
                          <w:t>.Gli organi di giurisdizione in materia tributaria previsti dal decreto del Pre</w:t>
                        </w:r>
                      </w:p>
                    </w:txbxContent>
                  </v:textbox>
                </v:rect>
                <v:rect id="Rectangle 23459" o:spid="_x0000_s7096" style="position:absolute;left:195;top:41802;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2V9yAAAAN4AAAAPAAAAZHJzL2Rvd25yZXYueG1sRI9Pa8JA&#10;FMTvBb/D8oTe6kZbRaOriEWaQy/+A4+P7DNJm327ZFeT9tN3C4LHYWZ+wyxWnanFjRpfWVYwHCQg&#10;iHOrKy4UHA/blykIH5A11pZJwQ95WC17TwtMtW15R7d9KESEsE9RQRmCS6X0eUkG/cA64uhdbGMw&#10;RNkUUjfYRrip5ShJJtJgxXGhREebkvLv/dUoOL+zy7atzC+/G/f5lU3rj+vxpNRzv1vPQQTqwiN8&#10;b2dawej1bTyD/zvxCsjlHwAAAP//AwBQSwECLQAUAAYACAAAACEA2+H2y+4AAACFAQAAEwAAAAAA&#10;AAAAAAAAAAAAAAAAW0NvbnRlbnRfVHlwZXNdLnhtbFBLAQItABQABgAIAAAAIQBa9CxbvwAAABUB&#10;AAALAAAAAAAAAAAAAAAAAB8BAABfcmVscy8ucmVsc1BLAQItABQABgAIAAAAIQC312V9yAAAAN4A&#10;AAAPAAAAAAAAAAAAAAAAAAcCAABkcnMvZG93bnJldi54bWxQSwUGAAAAAAMAAwC3AAAA/AIAAAAA&#10;" filled="f" stroked="f">
                  <v:textbox inset="0,0,0,0">
                    <w:txbxContent>
                      <w:p w14:paraId="13F2F5A4" w14:textId="77777777" w:rsidR="00B32EF2" w:rsidRDefault="00000000">
                        <w:r>
                          <w:rPr>
                            <w:rFonts w:ascii="Arial" w:eastAsia="Arial" w:hAnsi="Arial" w:cs="Arial"/>
                            <w:sz w:val="18"/>
                          </w:rPr>
                          <w:t>-</w:t>
                        </w:r>
                      </w:p>
                    </w:txbxContent>
                  </v:textbox>
                </v:rect>
                <v:rect id="Rectangle 23460" o:spid="_x0000_s7097" style="position:absolute;left:-13168;top:4056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QZdxgAAAN4AAAAPAAAAZHJzL2Rvd25yZXYueG1sRI/LasMw&#10;EEX3hf6DmEJ3tdw0hOBaCSUl1Itsmgd0OVgT24k1Epb8SL6+WhS6vNwXJ19PphUDdb6xrOA1SUEQ&#10;l1Y3XCk4HrYvSxA+IGtsLZOCG3lYrx4fcsy0Hfmbhn2oRBxhn6GCOgSXSenLmgz6xDri6J1tZzBE&#10;2VVSdzjGcdPKWZoupMGG40ONjjY1ldd9bxT8fLIrtqMsz/eN212KZfvVH09KPT9NH+8gAk3hP/zX&#10;LrSC2dt8EQEiTkQBufoFAAD//wMAUEsBAi0AFAAGAAgAAAAhANvh9svuAAAAhQEAABMAAAAAAAAA&#10;AAAAAAAAAAAAAFtDb250ZW50X1R5cGVzXS54bWxQSwECLQAUAAYACAAAACEAWvQsW78AAAAVAQAA&#10;CwAAAAAAAAAAAAAAAAAfAQAAX3JlbHMvLnJlbHNQSwECLQAUAAYACAAAACEA6IEGXcYAAADeAAAA&#10;DwAAAAAAAAAAAAAAAAAHAgAAZHJzL2Rvd25yZXYueG1sUEsFBgAAAAADAAMAtwAAAPoCAAAAAA==&#10;" filled="f" stroked="f">
                  <v:textbox inset="0,0,0,0">
                    <w:txbxContent>
                      <w:p w14:paraId="55849EB6" w14:textId="77777777" w:rsidR="00B32EF2" w:rsidRDefault="00000000">
                        <w:r>
                          <w:rPr>
                            <w:rFonts w:ascii="Arial" w:eastAsia="Arial" w:hAnsi="Arial" w:cs="Arial"/>
                            <w:sz w:val="18"/>
                          </w:rPr>
                          <w:t xml:space="preserve">sidente della Repubblica 26 ottobre 1972, n. 636, sono riordinati in corti di </w:t>
                        </w:r>
                      </w:p>
                    </w:txbxContent>
                  </v:textbox>
                </v:rect>
                <v:rect id="Rectangle 23461" o:spid="_x0000_s7098" style="position:absolute;left:-13169;top:39336;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aPGxgAAAN4AAAAPAAAAZHJzL2Rvd25yZXYueG1sRI9Ba8JA&#10;FITvgv9heUJvutGKSHQVUcQcvGgt9PjIPpNo9u2SXU3aX+8WCj0OM/MNs1x3phZPanxlWcF4lIAg&#10;zq2uuFBw+dgP5yB8QNZYWyYF3+Rhver3lphq2/KJnudQiAhhn6KCMgSXSunzkgz6kXXE0bvaxmCI&#10;simkbrCNcFPLSZLMpMGK40KJjrYl5ffzwyj42rHL9q3Mrz9bd7xl8/rwuHwq9TboNgsQgbrwH/5r&#10;Z1rB5H06G8PvnXgF5OoFAAD//wMAUEsBAi0AFAAGAAgAAAAhANvh9svuAAAAhQEAABMAAAAAAAAA&#10;AAAAAAAAAAAAAFtDb250ZW50X1R5cGVzXS54bWxQSwECLQAUAAYACAAAACEAWvQsW78AAAAVAQAA&#10;CwAAAAAAAAAAAAAAAAAfAQAAX3JlbHMvLnJlbHNQSwECLQAUAAYACAAAACEAh82jxsYAAADeAAAA&#10;DwAAAAAAAAAAAAAAAAAHAgAAZHJzL2Rvd25yZXYueG1sUEsFBgAAAAADAAMAtwAAAPoCAAAAAA==&#10;" filled="f" stroked="f">
                  <v:textbox inset="0,0,0,0">
                    <w:txbxContent>
                      <w:p w14:paraId="5F19032C" w14:textId="77777777" w:rsidR="00B32EF2" w:rsidRDefault="00000000">
                        <w:r>
                          <w:rPr>
                            <w:rFonts w:ascii="Arial" w:eastAsia="Arial" w:hAnsi="Arial" w:cs="Arial"/>
                            <w:sz w:val="18"/>
                          </w:rPr>
                          <w:t xml:space="preserve">giustizia tributaria di primo grado, aventi sede nel capoluogo di ogni provincia, </w:t>
                        </w:r>
                      </w:p>
                    </w:txbxContent>
                  </v:textbox>
                </v:rect>
                <v:rect id="Rectangle 23462" o:spid="_x0000_s7099" style="position:absolute;left:-13168;top:38103;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z2xxwAAAN4AAAAPAAAAZHJzL2Rvd25yZXYueG1sRI9Pa8JA&#10;FMTvgt9heYI33TQWkegqxSLNoZf6Bzw+ss8kbfbtkl1N2k/fFQSPw8z8hlltetOIG7W+tqzgZZqA&#10;IC6srrlUcDzsJgsQPiBrbCyTgl/ysFkPByvMtO34i277UIoIYZ+hgioEl0npi4oM+ql1xNG72NZg&#10;iLItpW6xi3DTyDRJ5tJgzXGhQkfbioqf/dUoOL+zy3edLC5/W/f5nS+aj+vxpNR41L8tQQTqwzP8&#10;aOdaQTp7nadwvxOvgFz/AwAA//8DAFBLAQItABQABgAIAAAAIQDb4fbL7gAAAIUBAAATAAAAAAAA&#10;AAAAAAAAAAAAAABbQ29udGVudF9UeXBlc10ueG1sUEsBAi0AFAAGAAgAAAAhAFr0LFu/AAAAFQEA&#10;AAsAAAAAAAAAAAAAAAAAHwEAAF9yZWxzLy5yZWxzUEsBAi0AFAAGAAgAAAAhAHcfPbHHAAAA3gAA&#10;AA8AAAAAAAAAAAAAAAAABwIAAGRycy9kb3ducmV2LnhtbFBLBQYAAAAAAwADALcAAAD7AgAAAAA=&#10;" filled="f" stroked="f">
                  <v:textbox inset="0,0,0,0">
                    <w:txbxContent>
                      <w:p w14:paraId="3491C4AB" w14:textId="77777777" w:rsidR="00B32EF2" w:rsidRDefault="00000000">
                        <w:r>
                          <w:rPr>
                            <w:rFonts w:ascii="Arial" w:eastAsia="Arial" w:hAnsi="Arial" w:cs="Arial"/>
                            <w:sz w:val="18"/>
                          </w:rPr>
                          <w:t xml:space="preserve">ed in corti di giustizia tributaria di secondo grado, aventi sede nel capoluogo </w:t>
                        </w:r>
                      </w:p>
                    </w:txbxContent>
                  </v:textbox>
                </v:rect>
                <v:rect id="Rectangle 23463" o:spid="_x0000_s7100" style="position:absolute;left:-13174;top:36869;width:530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5gqxwAAAN4AAAAPAAAAZHJzL2Rvd25yZXYueG1sRI9Pa8JA&#10;FMTvQr/D8gRvuvEPIqmrFIuYg5dqCj0+ss8kbfbtkl1N9NN3CwWPw8z8hllve9OIG7W+tqxgOklA&#10;EBdW11wqyM/78QqED8gaG8uk4E4etpuXwRpTbTv+oNsplCJC2KeooArBpVL6oiKDfmIdcfQutjUY&#10;omxLqVvsItw0cpYkS2mw5rhQoaNdRcXP6WoUfL2zy/adLC6PnTt+Z6vmcM0/lRoN+7dXEIH68Az/&#10;tzOtYDZfLOfwdydeAbn5BQAA//8DAFBLAQItABQABgAIAAAAIQDb4fbL7gAAAIUBAAATAAAAAAAA&#10;AAAAAAAAAAAAAABbQ29udGVudF9UeXBlc10ueG1sUEsBAi0AFAAGAAgAAAAhAFr0LFu/AAAAFQEA&#10;AAsAAAAAAAAAAAAAAAAAHwEAAF9yZWxzLy5yZWxzUEsBAi0AFAAGAAgAAAAhABhTmCrHAAAA3gAA&#10;AA8AAAAAAAAAAAAAAAAABwIAAGRycy9kb3ducmV2LnhtbFBLBQYAAAAAAwADALcAAAD7AgAAAAA=&#10;" filled="f" stroked="f">
                  <v:textbox inset="0,0,0,0">
                    <w:txbxContent>
                      <w:p w14:paraId="4C545E8B" w14:textId="77777777" w:rsidR="00B32EF2" w:rsidRDefault="00000000">
                        <w:r>
                          <w:rPr>
                            <w:rFonts w:ascii="Arial" w:eastAsia="Arial" w:hAnsi="Arial" w:cs="Arial"/>
                            <w:sz w:val="18"/>
                          </w:rPr>
                          <w:t xml:space="preserve">di ogni regione. Con decreto del presidente della corte di giustizia tributaria di </w:t>
                        </w:r>
                      </w:p>
                    </w:txbxContent>
                  </v:textbox>
                </v:rect>
                <v:rect id="Rectangle 23464" o:spid="_x0000_s7101" style="position:absolute;left:-12202;top:35636;width:52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gBexgAAAN4AAAAPAAAAZHJzL2Rvd25yZXYueG1sRI9Ba8JA&#10;FITvBf/D8gre6qYqItFViiLm4EWr4PGRfSax2bdLdjXRX+8WCj0OM/MNM192phZ3anxlWcHnIAFB&#10;nFtdcaHg+L35mILwAVljbZkUPMjDctF7m2Oqbct7uh9CISKEfYoKyhBcKqXPSzLoB9YRR+9iG4Mh&#10;yqaQusE2wk0th0kykQYrjgslOlqVlP8cbkbBec0u27QyvzxXbnfNpvX2djwp1X/vvmYgAnXhP/zX&#10;zrSC4Wg8GcPvnXgF5OIFAAD//wMAUEsBAi0AFAAGAAgAAAAhANvh9svuAAAAhQEAABMAAAAAAAAA&#10;AAAAAAAAAAAAAFtDb250ZW50X1R5cGVzXS54bWxQSwECLQAUAAYACAAAACEAWvQsW78AAAAVAQAA&#10;CwAAAAAAAAAAAAAAAAAfAQAAX3JlbHMvLnJlbHNQSwECLQAUAAYACAAAACEAl7oAXsYAAADeAAAA&#10;DwAAAAAAAAAAAAAAAAAHAgAAZHJzL2Rvd25yZXYueG1sUEsFBgAAAAADAAMAtwAAAPoCAAAAAA==&#10;" filled="f" stroked="f">
                  <v:textbox inset="0,0,0,0">
                    <w:txbxContent>
                      <w:p w14:paraId="4DF64E1F" w14:textId="77777777" w:rsidR="00B32EF2" w:rsidRDefault="00000000">
                        <w:r>
                          <w:rPr>
                            <w:rFonts w:ascii="Arial" w:eastAsia="Arial" w:hAnsi="Arial" w:cs="Arial"/>
                            <w:sz w:val="18"/>
                          </w:rPr>
                          <w:t>primo o secondo grado sono determinati i criteri e le modalità di funzionamen</w:t>
                        </w:r>
                      </w:p>
                    </w:txbxContent>
                  </v:textbox>
                </v:rect>
                <v:rect id="Rectangle 23465" o:spid="_x0000_s7102" style="position:absolute;left:195;top:3563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qXFxwAAAN4AAAAPAAAAZHJzL2Rvd25yZXYueG1sRI9Pa8JA&#10;FMTvgt9heUJvuqlVkdRVikXMoRf/FHp8ZJ9J2uzbJbua6KfvCoLHYWZ+wyxWnanFhRpfWVbwOkpA&#10;EOdWV1woOB42wzkIH5A11pZJwZU8rJb93gJTbVve0WUfChEh7FNUUIbgUil9XpJBP7KOOHon2xgM&#10;UTaF1A22EW5qOU6SmTRYcVwo0dG6pPxvfzYKfj7ZZZtW5qfb2n39ZvN6ez5+K/Uy6D7eQQTqwjP8&#10;aGdawfhtMpvC/U68AnL5DwAA//8DAFBLAQItABQABgAIAAAAIQDb4fbL7gAAAIUBAAATAAAAAAAA&#10;AAAAAAAAAAAAAABbQ29udGVudF9UeXBlc10ueG1sUEsBAi0AFAAGAAgAAAAhAFr0LFu/AAAAFQEA&#10;AAsAAAAAAAAAAAAAAAAAHwEAAF9yZWxzLy5yZWxzUEsBAi0AFAAGAAgAAAAhAPj2pcXHAAAA3gAA&#10;AA8AAAAAAAAAAAAAAAAABwIAAGRycy9kb3ducmV2LnhtbFBLBQYAAAAAAwADALcAAAD7AgAAAAA=&#10;" filled="f" stroked="f">
                  <v:textbox inset="0,0,0,0">
                    <w:txbxContent>
                      <w:p w14:paraId="4CBA3007" w14:textId="77777777" w:rsidR="00B32EF2" w:rsidRDefault="00000000">
                        <w:r>
                          <w:rPr>
                            <w:rFonts w:ascii="Arial" w:eastAsia="Arial" w:hAnsi="Arial" w:cs="Arial"/>
                            <w:sz w:val="18"/>
                          </w:rPr>
                          <w:t>-</w:t>
                        </w:r>
                      </w:p>
                    </w:txbxContent>
                  </v:textbox>
                </v:rect>
                <v:rect id="Rectangle 23466" o:spid="_x0000_s7103" style="position:absolute;left:29344;top:34403;width:105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DuyxwAAAN4AAAAPAAAAZHJzL2Rvd25yZXYueG1sRI9Pa8JA&#10;FMTvgt9heYI33VRLkOgqxSLNoZf6Bzw+ss8kbfbtkl1N2k/fFQSPw8z8hlltetOIG7W+tqzgZZqA&#10;IC6srrlUcDzsJgsQPiBrbCyTgl/ysFkPByvMtO34i277UIoIYZ+hgioEl0npi4oM+ql1xNG72NZg&#10;iLItpW6xi3DTyFmSpNJgzXGhQkfbioqf/dUoOL+zy3edLC5/W/f5nS+aj+vxpNR41L8tQQTqwzP8&#10;aOdawWz+mqZwvxOvgFz/AwAA//8DAFBLAQItABQABgAIAAAAIQDb4fbL7gAAAIUBAAATAAAAAAAA&#10;AAAAAAAAAAAAAABbQ29udGVudF9UeXBlc10ueG1sUEsBAi0AFAAGAAgAAAAhAFr0LFu/AAAAFQEA&#10;AAsAAAAAAAAAAAAAAAAAHwEAAF9yZWxzLy5yZWxzUEsBAi0AFAAGAAgAAAAhAAgkO7LHAAAA3gAA&#10;AA8AAAAAAAAAAAAAAAAABwIAAGRycy9kb3ducmV2LnhtbFBLBQYAAAAAAwADALcAAAD7AgAAAAA=&#10;" filled="f" stroked="f">
                  <v:textbox inset="0,0,0,0">
                    <w:txbxContent>
                      <w:p w14:paraId="011FD3F8" w14:textId="77777777" w:rsidR="00B32EF2" w:rsidRDefault="00000000">
                        <w:r>
                          <w:rPr>
                            <w:rFonts w:ascii="Arial" w:eastAsia="Arial" w:hAnsi="Arial" w:cs="Arial"/>
                            <w:sz w:val="18"/>
                          </w:rPr>
                          <w:t>to delle sezioni.</w:t>
                        </w:r>
                      </w:p>
                    </w:txbxContent>
                  </v:textbox>
                </v:rect>
                <v:rect id="Rectangle 202421" o:spid="_x0000_s7104" style="position:absolute;left:26352;top:33169;width:521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RI9xwAAAN8AAAAPAAAAZHJzL2Rvd25yZXYueG1sRI9Ba8JA&#10;FITvgv9heYI33RikSHQVUcQcvNRa6PGRfSbR7Nslu5rYX98tFHocZuYbZrXpTSOe1PrasoLZNAFB&#10;XFhdc6ng8nGYLED4gKyxsUwKXuRhsx4OVphp2/E7Pc+hFBHCPkMFVQguk9IXFRn0U+uIo3e1rcEQ&#10;ZVtK3WIX4aaRaZK8SYM1x4UKHe0qKu7nh1HwtWeXHzpZXL937nTLF83xcflUajzqt0sQgfrwH/5r&#10;51pBmqTzdAa/f+IXkOsfAAAA//8DAFBLAQItABQABgAIAAAAIQDb4fbL7gAAAIUBAAATAAAAAAAA&#10;AAAAAAAAAAAAAABbQ29udGVudF9UeXBlc10ueG1sUEsBAi0AFAAGAAgAAAAhAFr0LFu/AAAAFQEA&#10;AAsAAAAAAAAAAAAAAAAAHwEAAF9yZWxzLy5yZWxzUEsBAi0AFAAGAAgAAAAhAPGpEj3HAAAA3wAA&#10;AA8AAAAAAAAAAAAAAAAABwIAAGRycy9kb3ducmV2LnhtbFBLBQYAAAAAAwADALcAAAD7AgAAAAA=&#10;" filled="f" stroked="f">
                  <v:textbox inset="0,0,0,0">
                    <w:txbxContent>
                      <w:p w14:paraId="31D45B13" w14:textId="77777777" w:rsidR="00B32EF2" w:rsidRDefault="00000000">
                        <w:r>
                          <w:rPr>
                            <w:rFonts w:ascii="Arial" w:eastAsia="Arial" w:hAnsi="Arial" w:cs="Arial"/>
                            <w:sz w:val="18"/>
                          </w:rPr>
                          <w:t>2</w:t>
                        </w:r>
                      </w:p>
                    </w:txbxContent>
                  </v:textbox>
                </v:rect>
                <v:rect id="Rectangle 202422" o:spid="_x0000_s7105" style="position:absolute;left:-12849;top:33169;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xKxwAAAN8AAAAPAAAAZHJzL2Rvd25yZXYueG1sRI9Ba8JA&#10;FITvQv/D8gq96aZLEUldpVikOXjRRujxkX0mabNvl+xqor/eLRR6HGbmG2a5Hm0nLtSH1rGG51kG&#10;grhypuVaQ/m5nS5AhIhssHNMGq4UYL16mCwxN27gPV0OsRYJwiFHDU2MPpcyVA1ZDDPniZN3cr3F&#10;mGRfS9PjkOC2kyrL5tJiy2mhQU+bhqqfw9lq+HpnX2wHWZ1uG7/7Lhbdx7k8av30OL69gog0xv/w&#10;X7swGlSmXpSC3z/pC8jVHQAA//8DAFBLAQItABQABgAIAAAAIQDb4fbL7gAAAIUBAAATAAAAAAAA&#10;AAAAAAAAAAAAAABbQ29udGVudF9UeXBlc10ueG1sUEsBAi0AFAAGAAgAAAAhAFr0LFu/AAAAFQEA&#10;AAsAAAAAAAAAAAAAAAAAHwEAAF9yZWxzLy5yZWxzUEsBAi0AFAAGAAgAAAAhAAF7jErHAAAA3wAA&#10;AA8AAAAAAAAAAAAAAAAABwIAAGRycy9kb3ducmV2LnhtbFBLBQYAAAAAAwADALcAAAD7AgAAAAA=&#10;" filled="f" stroked="f">
                  <v:textbox inset="0,0,0,0">
                    <w:txbxContent>
                      <w:p w14:paraId="0E02E0EB" w14:textId="77777777" w:rsidR="00B32EF2" w:rsidRDefault="00000000">
                        <w:r>
                          <w:rPr>
                            <w:rFonts w:ascii="Arial" w:eastAsia="Arial" w:hAnsi="Arial" w:cs="Arial"/>
                            <w:sz w:val="18"/>
                          </w:rPr>
                          <w:t>. Nei comuni sedi di corte di appello, o di sezioni staccate di corte di appel</w:t>
                        </w:r>
                      </w:p>
                    </w:txbxContent>
                  </v:textbox>
                </v:rect>
                <v:rect id="Rectangle 23468" o:spid="_x0000_s7106" style="position:absolute;left:195;top:33169;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wpbxQAAAN4AAAAPAAAAZHJzL2Rvd25yZXYueG1sRE/JasMw&#10;EL0X+g9iCr3VctMQgmsllJRQH3JpFuhxsCa2E2skLHlJvr46FHp8vD1fT6YVA3W+sazgNUlBEJdW&#10;N1wpOB62L0sQPiBrbC2Tght5WK8eH3LMtB35m4Z9qEQMYZ+hgjoEl0npy5oM+sQ64sidbWcwRNhV&#10;Unc4xnDTylmaLqTBhmNDjY42NZXXfW8U/HyyK7ajLM/3jdtdimX71R9PSj0/TR/vIAJN4V/85y60&#10;gtnbfBH3xjvxCsjVLwAAAP//AwBQSwECLQAUAAYACAAAACEA2+H2y+4AAACFAQAAEwAAAAAAAAAA&#10;AAAAAAAAAAAAW0NvbnRlbnRfVHlwZXNdLnhtbFBLAQItABQABgAIAAAAIQBa9CxbvwAAABUBAAAL&#10;AAAAAAAAAAAAAAAAAB8BAABfcmVscy8ucmVsc1BLAQItABQABgAIAAAAIQAW9wpbxQAAAN4AAAAP&#10;AAAAAAAAAAAAAAAAAAcCAABkcnMvZG93bnJldi54bWxQSwUGAAAAAAMAAwC3AAAA+QIAAAAA&#10;" filled="f" stroked="f">
                  <v:textbox inset="0,0,0,0">
                    <w:txbxContent>
                      <w:p w14:paraId="57945CC5" w14:textId="77777777" w:rsidR="00B32EF2" w:rsidRDefault="00000000">
                        <w:r>
                          <w:rPr>
                            <w:rFonts w:ascii="Arial" w:eastAsia="Arial" w:hAnsi="Arial" w:cs="Arial"/>
                            <w:sz w:val="18"/>
                          </w:rPr>
                          <w:t>-</w:t>
                        </w:r>
                      </w:p>
                    </w:txbxContent>
                  </v:textbox>
                </v:rect>
                <v:rect id="Rectangle 23469" o:spid="_x0000_s7107" style="position:absolute;left:-13168;top:3193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6/AxwAAAN4AAAAPAAAAZHJzL2Rvd25yZXYueG1sRI9Ba8JA&#10;FITvBf/D8gRvdaMV0egqYhFz6KVWweMj+0yi2bdLdjWxv75bKPQ4zMw3zHLdmVo8qPGVZQWjYQKC&#10;OLe64kLB8Wv3OgPhA7LG2jIpeJKH9ar3ssRU25Y/6XEIhYgQ9ikqKENwqZQ+L8mgH1pHHL2LbQyG&#10;KJtC6gbbCDe1HCfJVBqsOC6U6GhbUn473I2C8zu7bNfK/PK9dR/XbFbv78eTUoN+t1mACNSF//Bf&#10;O9MKxm+T6Rx+78QrIFc/AAAA//8DAFBLAQItABQABgAIAAAAIQDb4fbL7gAAAIUBAAATAAAAAAAA&#10;AAAAAAAAAAAAAABbQ29udGVudF9UeXBlc10ueG1sUEsBAi0AFAAGAAgAAAAhAFr0LFu/AAAAFQEA&#10;AAsAAAAAAAAAAAAAAAAAHwEAAF9yZWxzLy5yZWxzUEsBAi0AFAAGAAgAAAAhAHm7r8DHAAAA3gAA&#10;AA8AAAAAAAAAAAAAAAAABwIAAGRycy9kb3ducmV2LnhtbFBLBQYAAAAAAwADALcAAAD7AgAAAAA=&#10;" filled="f" stroked="f">
                  <v:textbox inset="0,0,0,0">
                    <w:txbxContent>
                      <w:p w14:paraId="3613E326" w14:textId="77777777" w:rsidR="00B32EF2" w:rsidRDefault="00000000">
                        <w:r>
                          <w:rPr>
                            <w:rFonts w:ascii="Arial" w:eastAsia="Arial" w:hAnsi="Arial" w:cs="Arial"/>
                            <w:sz w:val="18"/>
                          </w:rPr>
                          <w:t xml:space="preserve">lo ovvero di sezioni staccate di tribunali amministrativi regionali o comunque </w:t>
                        </w:r>
                      </w:p>
                    </w:txbxContent>
                  </v:textbox>
                </v:rect>
                <v:rect id="Rectangle 23470" o:spid="_x0000_s7108" style="position:absolute;left:-13169;top:30703;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JCAxQAAAN4AAAAPAAAAZHJzL2Rvd25yZXYueG1sRI/NisIw&#10;FIX3gu8QruBOUx0ZpWMUcRC7cDOOwiwvzbXtTHMTmmirT28WwiwP549vue5MLW7U+Mqygsk4AUGc&#10;W11xoeD0vRstQPiArLG2TAru5GG96veWmGrb8hfdjqEQcYR9igrKEFwqpc9LMujH1hFH72IbgyHK&#10;ppC6wTaOm1pOk+RdGqw4PpToaFtS/ne8GgU/n+yyXSvzy2PrDr/Zot5fT2elhoNu8wEiUBf+w692&#10;phVM32bzCBBxIgrI1RMAAP//AwBQSwECLQAUAAYACAAAACEA2+H2y+4AAACFAQAAEwAAAAAAAAAA&#10;AAAAAAAAAAAAW0NvbnRlbnRfVHlwZXNdLnhtbFBLAQItABQABgAIAAAAIQBa9CxbvwAAABUBAAAL&#10;AAAAAAAAAAAAAAAAAB8BAABfcmVscy8ucmVsc1BLAQItABQABgAIAAAAIQBtWJCAxQAAAN4AAAAP&#10;AAAAAAAAAAAAAAAAAAcCAABkcnMvZG93bnJldi54bWxQSwUGAAAAAAMAAwC3AAAA+QIAAAAA&#10;" filled="f" stroked="f">
                  <v:textbox inset="0,0,0,0">
                    <w:txbxContent>
                      <w:p w14:paraId="30C9DBDC" w14:textId="77777777" w:rsidR="00B32EF2" w:rsidRDefault="00000000">
                        <w:r>
                          <w:rPr>
                            <w:rFonts w:ascii="Arial" w:eastAsia="Arial" w:hAnsi="Arial" w:cs="Arial"/>
                            <w:sz w:val="18"/>
                          </w:rPr>
                          <w:t xml:space="preserve">capoluoghi di provincia con oltre 120.000 abitanti alla data del 9 marzo 1999, </w:t>
                        </w:r>
                      </w:p>
                    </w:txbxContent>
                  </v:textbox>
                </v:rect>
                <v:rect id="Rectangle 23471" o:spid="_x0000_s7109" style="position:absolute;left:-13168;top:29469;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DUbxwAAAN4AAAAPAAAAZHJzL2Rvd25yZXYueG1sRI9Pa8JA&#10;FMTvgt9heUJvutGKldRVikXMoRf/FHp8ZJ9J2uzbJbua6KfvCoLHYWZ+wyxWnanFhRpfWVYwHiUg&#10;iHOrKy4UHA+b4RyED8gaa8uk4EoeVst+b4Gpti3v6LIPhYgQ9ikqKENwqZQ+L8mgH1lHHL2TbQyG&#10;KJtC6gbbCDe1nCTJTBqsOC6U6GhdUv63PxsFP5/ssk0r89Nt7b5+s3m9PR+/lXoZdB/vIAJ14Rl+&#10;tDOtYPI6fRvD/U68AnL5DwAA//8DAFBLAQItABQABgAIAAAAIQDb4fbL7gAAAIUBAAATAAAAAAAA&#10;AAAAAAAAAAAAAABbQ29udGVudF9UeXBlc10ueG1sUEsBAi0AFAAGAAgAAAAhAFr0LFu/AAAAFQEA&#10;AAsAAAAAAAAAAAAAAAAAHwEAAF9yZWxzLy5yZWxzUEsBAi0AFAAGAAgAAAAhAAIUNRvHAAAA3gAA&#10;AA8AAAAAAAAAAAAAAAAABwIAAGRycy9kb3ducmV2LnhtbFBLBQYAAAAAAwADALcAAAD7AgAAAAA=&#10;" filled="f" stroked="f">
                  <v:textbox inset="0,0,0,0">
                    <w:txbxContent>
                      <w:p w14:paraId="7EED4DF2" w14:textId="77777777" w:rsidR="00B32EF2" w:rsidRDefault="00000000">
                        <w:r>
                          <w:rPr>
                            <w:rFonts w:ascii="Arial" w:eastAsia="Arial" w:hAnsi="Arial" w:cs="Arial"/>
                            <w:sz w:val="18"/>
                          </w:rPr>
                          <w:t xml:space="preserve">distanti non meno di 100 chilometri dal comune capoluogo di regione, sono </w:t>
                        </w:r>
                      </w:p>
                    </w:txbxContent>
                  </v:textbox>
                </v:rect>
                <v:rect id="Rectangle 23472" o:spid="_x0000_s7110" style="position:absolute;left:-13168;top:2823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qtsxwAAAN4AAAAPAAAAZHJzL2Rvd25yZXYueG1sRI9Ba8JA&#10;FITvgv9heUJvumkqraSuIoo0h160KfT4yD6TtNm3S3Y1qb++KxQ8DjPzDbNcD6YVF+p8Y1nB4ywB&#10;QVxa3XCloPjYTxcgfEDW2FomBb/kYb0aj5aYadvzgS7HUIkIYZ+hgjoEl0npy5oM+pl1xNE72c5g&#10;iLKrpO6wj3DTyjRJnqXBhuNCjY62NZU/x7NR8LVjl+97WZ6uW/f+nS/at3PxqdTDZNi8ggg0hHv4&#10;v51rBenT/CWF2514BeTqDwAA//8DAFBLAQItABQABgAIAAAAIQDb4fbL7gAAAIUBAAATAAAAAAAA&#10;AAAAAAAAAAAAAABbQ29udGVudF9UeXBlc10ueG1sUEsBAi0AFAAGAAgAAAAhAFr0LFu/AAAAFQEA&#10;AAsAAAAAAAAAAAAAAAAAHwEAAF9yZWxzLy5yZWxzUEsBAi0AFAAGAAgAAAAhAPLGq2zHAAAA3gAA&#10;AA8AAAAAAAAAAAAAAAAABwIAAGRycy9kb3ducmV2LnhtbFBLBQYAAAAAAwADALcAAAD7AgAAAAA=&#10;" filled="f" stroked="f">
                  <v:textbox inset="0,0,0,0">
                    <w:txbxContent>
                      <w:p w14:paraId="15E69FEE" w14:textId="77777777" w:rsidR="00B32EF2" w:rsidRDefault="00000000">
                        <w:r>
                          <w:rPr>
                            <w:rFonts w:ascii="Arial" w:eastAsia="Arial" w:hAnsi="Arial" w:cs="Arial"/>
                            <w:sz w:val="18"/>
                          </w:rPr>
                          <w:t xml:space="preserve">istituite sezioni staccate delle corti di giustizia tributaria di secondo grado nei </w:t>
                        </w:r>
                      </w:p>
                    </w:txbxContent>
                  </v:textbox>
                </v:rect>
                <v:rect id="Rectangle 23473" o:spid="_x0000_s7111" style="position:absolute;left:-12188;top:27003;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g73xwAAAN4AAAAPAAAAZHJzL2Rvd25yZXYueG1sRI9Pa8JA&#10;FMTvBb/D8gRvdeMfWkldRRRpDl6qFnp8ZJ9JNPt2ya4m9dO7hYLHYWZ+w8yXnanFjRpfWVYwGiYg&#10;iHOrKy4UHA/b1xkIH5A11pZJwS95WC56L3NMtW35i277UIgIYZ+igjIEl0rp85IM+qF1xNE72cZg&#10;iLIppG6wjXBTy3GSvEmDFceFEh2tS8ov+6tR8LNhl21bmZ/ua7c7Z7P683r8VmrQ71YfIAJ14Rn+&#10;b2dawXgyfZ/A3514BeTiAQAA//8DAFBLAQItABQABgAIAAAAIQDb4fbL7gAAAIUBAAATAAAAAAAA&#10;AAAAAAAAAAAAAABbQ29udGVudF9UeXBlc10ueG1sUEsBAi0AFAAGAAgAAAAhAFr0LFu/AAAAFQEA&#10;AAsAAAAAAAAAAAAAAAAAHwEAAF9yZWxzLy5yZWxzUEsBAi0AFAAGAAgAAAAhAJ2KDvfHAAAA3gAA&#10;AA8AAAAAAAAAAAAAAAAABwIAAGRycy9kb3ducmV2LnhtbFBLBQYAAAAAAwADALcAAAD7AgAAAAA=&#10;" filled="f" stroked="f">
                  <v:textbox inset="0,0,0,0">
                    <w:txbxContent>
                      <w:p w14:paraId="3FD86AEE" w14:textId="77777777" w:rsidR="00B32EF2" w:rsidRDefault="00000000">
                        <w:r>
                          <w:rPr>
                            <w:rFonts w:ascii="Arial" w:eastAsia="Arial" w:hAnsi="Arial" w:cs="Arial"/>
                            <w:sz w:val="18"/>
                          </w:rPr>
                          <w:t>limiti numerici dei contingenti di personale già impiegato negli uffici di segrete</w:t>
                        </w:r>
                      </w:p>
                    </w:txbxContent>
                  </v:textbox>
                </v:rect>
                <v:rect id="Rectangle 23474" o:spid="_x0000_s7112" style="position:absolute;left:195;top:27003;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5aDxwAAAN4AAAAPAAAAZHJzL2Rvd25yZXYueG1sRI9Ba8JA&#10;FITvBf/D8gRvdaOVKtFVxCLm0EutgsdH9plEs2+X7Gqiv75bKPQ4zMw3zGLVmVrcqfGVZQWjYQKC&#10;OLe64kLB4Xv7OgPhA7LG2jIpeJCH1bL3ssBU25a/6L4PhYgQ9ikqKENwqZQ+L8mgH1pHHL2zbQyG&#10;KJtC6gbbCDe1HCfJuzRYcVwo0dGmpPy6vxkFpw922baV+fm5cZ+XbFbvboejUoN+t56DCNSF//Bf&#10;O9MKxm+T6QR+78QrIJc/AAAA//8DAFBLAQItABQABgAIAAAAIQDb4fbL7gAAAIUBAAATAAAAAAAA&#10;AAAAAAAAAAAAAABbQ29udGVudF9UeXBlc10ueG1sUEsBAi0AFAAGAAgAAAAhAFr0LFu/AAAAFQEA&#10;AAsAAAAAAAAAAAAAAAAAHwEAAF9yZWxzLy5yZWxzUEsBAi0AFAAGAAgAAAAhABJjloPHAAAA3gAA&#10;AA8AAAAAAAAAAAAAAAAABwIAAGRycy9kb3ducmV2LnhtbFBLBQYAAAAAAwADALcAAAD7AgAAAAA=&#10;" filled="f" stroked="f">
                  <v:textbox inset="0,0,0,0">
                    <w:txbxContent>
                      <w:p w14:paraId="2ACE5D0C" w14:textId="77777777" w:rsidR="00B32EF2" w:rsidRDefault="00000000">
                        <w:r>
                          <w:rPr>
                            <w:rFonts w:ascii="Arial" w:eastAsia="Arial" w:hAnsi="Arial" w:cs="Arial"/>
                            <w:sz w:val="18"/>
                          </w:rPr>
                          <w:t>-</w:t>
                        </w:r>
                      </w:p>
                    </w:txbxContent>
                  </v:textbox>
                </v:rect>
                <v:rect id="Rectangle 23475" o:spid="_x0000_s7113" style="position:absolute;left:-12202;top:25770;width:5210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zMYxwAAAN4AAAAPAAAAZHJzL2Rvd25yZXYueG1sRI9Ba8JA&#10;FITvBf/D8oTe6katVaKriCLNoRetgsdH9pmkzb5dsqtJ++u7BcHjMDPfMItVZ2pxo8ZXlhUMBwkI&#10;4tzqigsFx8/dywyED8gaa8uk4Ic8rJa9pwWm2ra8p9shFCJC2KeooAzBpVL6vCSDfmAdcfQutjEY&#10;omwKqRtsI9zUcpQkb9JgxXGhREebkvLvw9UoOG/ZZbtW5pffjfv4ymb1+/V4Uuq5363nIAJ14RG+&#10;tzOtYDR+nU7g/068AnL5BwAA//8DAFBLAQItABQABgAIAAAAIQDb4fbL7gAAAIUBAAATAAAAAAAA&#10;AAAAAAAAAAAAAABbQ29udGVudF9UeXBlc10ueG1sUEsBAi0AFAAGAAgAAAAhAFr0LFu/AAAAFQEA&#10;AAsAAAAAAAAAAAAAAAAAHwEAAF9yZWxzLy5yZWxzUEsBAi0AFAAGAAgAAAAhAH0vMxjHAAAA3gAA&#10;AA8AAAAAAAAAAAAAAAAABwIAAGRycy9kb3ducmV2LnhtbFBLBQYAAAAAAwADALcAAAD7AgAAAAA=&#10;" filled="f" stroked="f">
                  <v:textbox inset="0,0,0,0">
                    <w:txbxContent>
                      <w:p w14:paraId="709084B0" w14:textId="77777777" w:rsidR="00B32EF2" w:rsidRDefault="00000000">
                        <w:r>
                          <w:rPr>
                            <w:rFonts w:ascii="Arial" w:eastAsia="Arial" w:hAnsi="Arial" w:cs="Arial"/>
                            <w:sz w:val="18"/>
                          </w:rPr>
                          <w:t>ria delle corti di giustizia tributaria di primo e secondo grado, senza incremen</w:t>
                        </w:r>
                      </w:p>
                    </w:txbxContent>
                  </v:textbox>
                </v:rect>
                <v:rect id="Rectangle 23476" o:spid="_x0000_s7114" style="position:absolute;left:195;top:25770;width:5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1vxwAAAN4AAAAPAAAAZHJzL2Rvd25yZXYueG1sRI9Ba8JA&#10;FITvBf/D8gRvdaMVlegqYhFz6KVWweMj+0yi2bdLdjWxv75bKPQ4zMw3zHLdmVo8qPGVZQWjYQKC&#10;OLe64kLB8Wv3OgfhA7LG2jIpeJKH9ar3ssRU25Y/6XEIhYgQ9ikqKENwqZQ+L8mgH1pHHL2LbQyG&#10;KJtC6gbbCDe1HCfJVBqsOC6U6GhbUn473I2C8zu7bNfK/PK9dR/XbF7v78eTUoN+t1mACNSF//Bf&#10;O9MKxm+T2RR+78QrIFc/AAAA//8DAFBLAQItABQABgAIAAAAIQDb4fbL7gAAAIUBAAATAAAAAAAA&#10;AAAAAAAAAAAAAABbQ29udGVudF9UeXBlc10ueG1sUEsBAi0AFAAGAAgAAAAhAFr0LFu/AAAAFQEA&#10;AAsAAAAAAAAAAAAAAAAAHwEAAF9yZWxzLy5yZWxzUEsBAi0AFAAGAAgAAAAhAI39rW/HAAAA3gAA&#10;AA8AAAAAAAAAAAAAAAAABwIAAGRycy9kb3ducmV2LnhtbFBLBQYAAAAAAwADALcAAAD7AgAAAAA=&#10;" filled="f" stroked="f">
                  <v:textbox inset="0,0,0,0">
                    <w:txbxContent>
                      <w:p w14:paraId="5C1C2266" w14:textId="77777777" w:rsidR="00B32EF2" w:rsidRDefault="00000000">
                        <w:r>
                          <w:rPr>
                            <w:rFonts w:ascii="Arial" w:eastAsia="Arial" w:hAnsi="Arial" w:cs="Arial"/>
                            <w:sz w:val="18"/>
                          </w:rPr>
                          <w:t>-</w:t>
                        </w:r>
                      </w:p>
                    </w:txbxContent>
                  </v:textbox>
                </v:rect>
                <v:rect id="Rectangle 23477" o:spid="_x0000_s7115" style="position:absolute;left:-13170;top:24536;width:53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Qj0xwAAAN4AAAAPAAAAZHJzL2Rvd25yZXYueG1sRI9Pa8JA&#10;FMTvgt9heUJvuqkVldRVikXMoRf/FHp8ZJ9J2uzbJbua6KfvCoLHYWZ+wyxWnanFhRpfWVbwOkpA&#10;EOdWV1woOB42wzkIH5A11pZJwZU8rJb93gJTbVve0WUfChEh7FNUUIbgUil9XpJBP7KOOHon2xgM&#10;UTaF1A22EW5qOU6SqTRYcVwo0dG6pPxvfzYKfj7ZZZtW5qfb2n39ZvN6ez5+K/Uy6D7eQQTqwjP8&#10;aGdawfhtMpvB/U68AnL5DwAA//8DAFBLAQItABQABgAIAAAAIQDb4fbL7gAAAIUBAAATAAAAAAAA&#10;AAAAAAAAAAAAAABbQ29udGVudF9UeXBlc10ueG1sUEsBAi0AFAAGAAgAAAAhAFr0LFu/AAAAFQEA&#10;AAsAAAAAAAAAAAAAAAAAHwEAAF9yZWxzLy5yZWxzUEsBAi0AFAAGAAgAAAAhAOKxCPTHAAAA3gAA&#10;AA8AAAAAAAAAAAAAAAAABwIAAGRycy9kb3ducmV2LnhtbFBLBQYAAAAAAwADALcAAAD7AgAAAAA=&#10;" filled="f" stroked="f">
                  <v:textbox inset="0,0,0,0">
                    <w:txbxContent>
                      <w:p w14:paraId="16E36C05" w14:textId="77777777" w:rsidR="00B32EF2" w:rsidRDefault="00000000">
                        <w:r>
                          <w:rPr>
                            <w:rFonts w:ascii="Arial" w:eastAsia="Arial" w:hAnsi="Arial" w:cs="Arial"/>
                            <w:sz w:val="18"/>
                          </w:rPr>
                          <w:t xml:space="preserve">tare il numero complessivo dei componenti delle medesime corti di giustizia </w:t>
                        </w:r>
                      </w:p>
                    </w:txbxContent>
                  </v:textbox>
                </v:rect>
                <v:rect id="Rectangle 23478" o:spid="_x0000_s7116" style="position:absolute;left:-13168;top:2330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pyGxAAAAN4AAAAPAAAAZHJzL2Rvd25yZXYueG1sRE/Pa8Iw&#10;FL4L/g/hCd401cmUzijiEHvwMqew46N5tt2al9BEW/3rzUHY8eP7vVx3phY3anxlWcFknIAgzq2u&#10;uFBw+t6NFiB8QNZYWyYFd/KwXvV7S0y1bfmLbsdQiBjCPkUFZQguldLnJRn0Y+uII3exjcEQYVNI&#10;3WAbw00tp0nyLg1WHBtKdLQtKf87Xo2Cn0922a6V+eWxdYffbFHvr6ezUsNBt/kAEagL/+KXO9MK&#10;pm+zedwb78QrIFdPAAAA//8DAFBLAQItABQABgAIAAAAIQDb4fbL7gAAAIUBAAATAAAAAAAAAAAA&#10;AAAAAAAAAABbQ29udGVudF9UeXBlc10ueG1sUEsBAi0AFAAGAAgAAAAhAFr0LFu/AAAAFQEAAAsA&#10;AAAAAAAAAAAAAAAAHwEAAF9yZWxzLy5yZWxzUEsBAi0AFAAGAAgAAAAhAJMunIbEAAAA3gAAAA8A&#10;AAAAAAAAAAAAAAAABwIAAGRycy9kb3ducmV2LnhtbFBLBQYAAAAAAwADALcAAAD4AgAAAAA=&#10;" filled="f" stroked="f">
                  <v:textbox inset="0,0,0,0">
                    <w:txbxContent>
                      <w:p w14:paraId="64F07888" w14:textId="77777777" w:rsidR="00B32EF2" w:rsidRDefault="00000000">
                        <w:r>
                          <w:rPr>
                            <w:rFonts w:ascii="Arial" w:eastAsia="Arial" w:hAnsi="Arial" w:cs="Arial"/>
                            <w:sz w:val="18"/>
                          </w:rPr>
                          <w:t xml:space="preserve">tributaria, con corrispondente adeguamento delle sedi delle sezioni esistenti e </w:t>
                        </w:r>
                      </w:p>
                    </w:txbxContent>
                  </v:textbox>
                </v:rect>
                <v:rect id="Rectangle 23479" o:spid="_x0000_s7117" style="position:absolute;left:-12206;top:22070;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jkdyAAAAN4AAAAPAAAAZHJzL2Rvd25yZXYueG1sRI/Na8JA&#10;FMTvBf+H5Qm91Y22+BFdRSzSHHrxCzw+ss8kbfbtkl1N2r++WxA8DjPzG2ax6kwtbtT4yrKC4SAB&#10;QZxbXXGh4HjYvkxB+ICssbZMCn7Iw2rZe1pgqm3LO7rtQyEihH2KCsoQXCqlz0sy6AfWEUfvYhuD&#10;IcqmkLrBNsJNLUdJMpYGK44LJTralJR/769GwfmdXbZtZX753bjPr2xaf1yPJ6We+916DiJQFx7h&#10;ezvTCkavb5MZ/N+JV0Au/wAAAP//AwBQSwECLQAUAAYACAAAACEA2+H2y+4AAACFAQAAEwAAAAAA&#10;AAAAAAAAAAAAAAAAW0NvbnRlbnRfVHlwZXNdLnhtbFBLAQItABQABgAIAAAAIQBa9CxbvwAAABUB&#10;AAALAAAAAAAAAAAAAAAAAB8BAABfcmVscy8ucmVsc1BLAQItABQABgAIAAAAIQD8YjkdyAAAAN4A&#10;AAAPAAAAAAAAAAAAAAAAAAcCAABkcnMvZG93bnJldi54bWxQSwUGAAAAAAMAAwC3AAAA/AIAAAAA&#10;" filled="f" stroked="f">
                  <v:textbox inset="0,0,0,0">
                    <w:txbxContent>
                      <w:p w14:paraId="39D780F3" w14:textId="77777777" w:rsidR="00B32EF2" w:rsidRDefault="00000000">
                        <w:r>
                          <w:rPr>
                            <w:rFonts w:ascii="Arial" w:eastAsia="Arial" w:hAnsi="Arial" w:cs="Arial"/>
                            <w:sz w:val="18"/>
                          </w:rPr>
                          <w:t>conseguente riduzione delle relative spese. L’istituzione delle sezioni stacca</w:t>
                        </w:r>
                      </w:p>
                    </w:txbxContent>
                  </v:textbox>
                </v:rect>
                <v:rect id="Rectangle 23480" o:spid="_x0000_s7118" style="position:absolute;left:195;top:2207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eCnxQAAAN4AAAAPAAAAZHJzL2Rvd25yZXYueG1sRI/LasJA&#10;FIb3Bd9hOIK7OtGWEqKjiCLNwk29gMtD5phEM2eGzGiiT99ZFLr8+W9882VvGvGg1teWFUzGCQji&#10;wuqaSwXHw/Y9BeEDssbGMil4koflYvA2x0zbjn/osQ+liCPsM1RQheAyKX1RkUE/to44ehfbGgxR&#10;tqXULXZx3DRymiRf0mDN8aFCR+uKitv+bhScN+zybSeLy2vtdtc8bb7vx5NSo2G/moEI1If/8F87&#10;1wqmH59pBIg4EQXk4hcAAP//AwBQSwECLQAUAAYACAAAACEA2+H2y+4AAACFAQAAEwAAAAAAAAAA&#10;AAAAAAAAAAAAW0NvbnRlbnRfVHlwZXNdLnhtbFBLAQItABQABgAIAAAAIQBa9CxbvwAAABUBAAAL&#10;AAAAAAAAAAAAAAAAAB8BAABfcmVscy8ucmVsc1BLAQItABQABgAIAAAAIQBYjeCnxQAAAN4AAAAP&#10;AAAAAAAAAAAAAAAAAAcCAABkcnMvZG93bnJldi54bWxQSwUGAAAAAAMAAwC3AAAA+QIAAAAA&#10;" filled="f" stroked="f">
                  <v:textbox inset="0,0,0,0">
                    <w:txbxContent>
                      <w:p w14:paraId="513DF380" w14:textId="77777777" w:rsidR="00B32EF2" w:rsidRDefault="00000000">
                        <w:r>
                          <w:rPr>
                            <w:rFonts w:ascii="Arial" w:eastAsia="Arial" w:hAnsi="Arial" w:cs="Arial"/>
                            <w:sz w:val="18"/>
                          </w:rPr>
                          <w:t>-</w:t>
                        </w:r>
                      </w:p>
                    </w:txbxContent>
                  </v:textbox>
                </v:rect>
                <v:rect id="Rectangle 23481" o:spid="_x0000_s7119" style="position:absolute;left:-13168;top:20836;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UU8xwAAAN4AAAAPAAAAZHJzL2Rvd25yZXYueG1sRI9Pa8JA&#10;FMTvgt9heYI33WilhNRVRJHm0Ev9Az0+ss8kbfbtkl1N7Kd3CwWPw8z8hlmue9OIG7W+tqxgNk1A&#10;EBdW11wqOB33kxSED8gaG8uk4E4e1qvhYImZth1/0u0QShEh7DNUUIXgMil9UZFBP7WOOHoX2xoM&#10;Ubal1C12EW4aOU+SV2mw5rhQoaNtRcXP4WoUfO3Y5ftOFpffrfv4ztPm/Xo6KzUe9Zs3EIH68Az/&#10;t3OtYP6ySGfwdydeAbl6AAAA//8DAFBLAQItABQABgAIAAAAIQDb4fbL7gAAAIUBAAATAAAAAAAA&#10;AAAAAAAAAAAAAABbQ29udGVudF9UeXBlc10ueG1sUEsBAi0AFAAGAAgAAAAhAFr0LFu/AAAAFQEA&#10;AAsAAAAAAAAAAAAAAAAAHwEAAF9yZWxzLy5yZWxzUEsBAi0AFAAGAAgAAAAhADfBRTzHAAAA3gAA&#10;AA8AAAAAAAAAAAAAAAAABwIAAGRycy9kb3ducmV2LnhtbFBLBQYAAAAAAwADALcAAAD7AgAAAAA=&#10;" filled="f" stroked="f">
                  <v:textbox inset="0,0,0,0">
                    <w:txbxContent>
                      <w:p w14:paraId="08DDDAF4" w14:textId="77777777" w:rsidR="00B32EF2" w:rsidRDefault="00000000">
                        <w:r>
                          <w:rPr>
                            <w:rFonts w:ascii="Arial" w:eastAsia="Arial" w:hAnsi="Arial" w:cs="Arial"/>
                            <w:sz w:val="18"/>
                          </w:rPr>
                          <w:t xml:space="preserve">te non deve comunque comportare maggiori oneri a carico del bilancio dello </w:t>
                        </w:r>
                      </w:p>
                    </w:txbxContent>
                  </v:textbox>
                </v:rect>
                <v:rect id="Rectangle 23482" o:spid="_x0000_s7120" style="position:absolute;left:35927;top:19603;width:39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9tLxwAAAN4AAAAPAAAAZHJzL2Rvd25yZXYueG1sRI9Ba8JA&#10;FITvBf/D8gRvdWMqJaSuUhRpDr1oFTw+ss8kbfbtkl1N7K93hUKPw8x8wyxWg2nFlTrfWFYwmyYg&#10;iEurG64UHL62zxkIH5A1tpZJwY08rJajpwXm2va8o+s+VCJC2OeooA7B5VL6siaDfmodcfTOtjMY&#10;ouwqqTvsI9y0Mk2SV2mw4bhQo6N1TeXP/mIUnDbsim0vy/Pv2n1+F1n7cTkclZqMh/c3EIGG8B/+&#10;axdaQfoyz1J43IlXQC7vAAAA//8DAFBLAQItABQABgAIAAAAIQDb4fbL7gAAAIUBAAATAAAAAAAA&#10;AAAAAAAAAAAAAABbQ29udGVudF9UeXBlc10ueG1sUEsBAi0AFAAGAAgAAAAhAFr0LFu/AAAAFQEA&#10;AAsAAAAAAAAAAAAAAAAAHwEAAF9yZWxzLy5yZWxzUEsBAi0AFAAGAAgAAAAhAMcT20vHAAAA3gAA&#10;AA8AAAAAAAAAAAAAAAAABwIAAGRycy9kb3ducmV2LnhtbFBLBQYAAAAAAwADALcAAAD7AgAAAAA=&#10;" filled="f" stroked="f">
                  <v:textbox inset="0,0,0,0">
                    <w:txbxContent>
                      <w:p w14:paraId="35280C6E" w14:textId="77777777" w:rsidR="00B32EF2" w:rsidRDefault="00000000">
                        <w:r>
                          <w:rPr>
                            <w:rFonts w:ascii="Arial" w:eastAsia="Arial" w:hAnsi="Arial" w:cs="Arial"/>
                            <w:sz w:val="18"/>
                          </w:rPr>
                          <w:t>Stato.</w:t>
                        </w:r>
                      </w:p>
                    </w:txbxContent>
                  </v:textbox>
                </v:rect>
                <v:rect id="Rectangle 202419" o:spid="_x0000_s7121" style="position:absolute;left:26113;top:1837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9SGyAAAAN8AAAAPAAAAZHJzL2Rvd25yZXYueG1sRI9Pa8JA&#10;FMTvhX6H5Qm96cZQRFNXEYs0By/1D/T4yD6TaPbtkl1N6qd3C0KPw8z8hpkve9OIG7W+tqxgPEpA&#10;EBdW11wqOOw3wykIH5A1NpZJwS95WC5eX+aYadvxN912oRQRwj5DBVUILpPSFxUZ9CPriKN3sq3B&#10;EGVbSt1iF+GmkWmSTKTBmuNChY7WFRWX3dUo+Plkl286WZzua7c959Pm63o4KvU26FcfIAL14T/8&#10;bOdaQZqk7+MZ/P2JX0AuHgAAAP//AwBQSwECLQAUAAYACAAAACEA2+H2y+4AAACFAQAAEwAAAAAA&#10;AAAAAAAAAAAAAAAAW0NvbnRlbnRfVHlwZXNdLnhtbFBLAQItABQABgAIAAAAIQBa9CxbvwAAABUB&#10;AAALAAAAAAAAAAAAAAAAAB8BAABfcmVscy8ucmVsc1BLAQItABQABgAIAAAAIQDBs9SGyAAAAN8A&#10;AAAPAAAAAAAAAAAAAAAAAAcCAABkcnMvZG93bnJldi54bWxQSwUGAAAAAAMAAwC3AAAA/AIAAAAA&#10;" filled="f" stroked="f">
                  <v:textbox inset="0,0,0,0">
                    <w:txbxContent>
                      <w:p w14:paraId="0E9CAFB8" w14:textId="77777777" w:rsidR="00B32EF2" w:rsidRDefault="00000000">
                        <w:r>
                          <w:rPr>
                            <w:rFonts w:ascii="Arial" w:eastAsia="Arial" w:hAnsi="Arial" w:cs="Arial"/>
                            <w:sz w:val="18"/>
                          </w:rPr>
                          <w:t>3</w:t>
                        </w:r>
                      </w:p>
                    </w:txbxContent>
                  </v:textbox>
                </v:rect>
                <v:rect id="Rectangle 202420" o:spid="_x0000_s7122" style="position:absolute;left:-13813;top:1837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bemxwAAAN8AAAAPAAAAZHJzL2Rvd25yZXYueG1sRI+9asMw&#10;FIX3Qt5B3EC2Ro4pxbhRQnEw9ZClbgodL9aN7da6EpYSO3n6aih0PJw/vu1+NoO40uh7ywo26wQE&#10;cWN1z62C00f5mIHwAVnjYJkU3MjDfrd42GKu7cTvdK1DK+II+xwVdCG4XErfdGTQr60jjt7ZjgZD&#10;lGMr9YhTHDeDTJPkWRrsOT506KjoqPmpL0bB14FdVU6yOd8Ld/yusuHtcvpUarWcX19ABJrDf/iv&#10;XWkFaZI+pZEg8kQWkLtfAAAA//8DAFBLAQItABQABgAIAAAAIQDb4fbL7gAAAIUBAAATAAAAAAAA&#10;AAAAAAAAAAAAAABbQ29udGVudF9UeXBlc10ueG1sUEsBAi0AFAAGAAgAAAAhAFr0LFu/AAAAFQEA&#10;AAsAAAAAAAAAAAAAAAAAHwEAAF9yZWxzLy5yZWxzUEsBAi0AFAAGAAgAAAAhAJ7lt6bHAAAA3wAA&#10;AA8AAAAAAAAAAAAAAAAABwIAAGRycy9kb3ducmV2LnhtbFBLBQYAAAAAAwADALcAAAD7AgAAAAA=&#10;" filled="f" stroked="f">
                  <v:textbox inset="0,0,0,0">
                    <w:txbxContent>
                      <w:p w14:paraId="2CA15614" w14:textId="77777777" w:rsidR="00B32EF2" w:rsidRDefault="00000000">
                        <w:r>
                          <w:rPr>
                            <w:rFonts w:ascii="Arial" w:eastAsia="Arial" w:hAnsi="Arial" w:cs="Arial"/>
                            <w:sz w:val="18"/>
                          </w:rPr>
                          <w:t xml:space="preserve">. In ciascuna delle province autonome di Trento e di Bolzano la giurisdizione </w:t>
                        </w:r>
                      </w:p>
                    </w:txbxContent>
                  </v:textbox>
                </v:rect>
                <v:rect id="Rectangle 23484" o:spid="_x0000_s7123" style="position:absolute;left:-12207;top:17136;width:521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uakxwAAAN4AAAAPAAAAZHJzL2Rvd25yZXYueG1sRI9Ba8JA&#10;FITvBf/D8oTe6qZWJKSuUhQxBy+1Fnp8ZJ9JNPt2ya4m+uvdguBxmJlvmNmiN424UOtrywreRwkI&#10;4sLqmksF+5/1WwrCB2SNjWVScCUPi/ngZYaZth1/02UXShEh7DNUUIXgMil9UZFBP7KOOHoH2xoM&#10;Ubal1C12EW4aOU6SqTRYc1yo0NGyouK0OxsFfyt2+bqTxeG2dNtjnjab8/5Xqddh//UJIlAfnuFH&#10;O9cKxh+TdAL/d+IVkPM7AAAA//8DAFBLAQItABQABgAIAAAAIQDb4fbL7gAAAIUBAAATAAAAAAAA&#10;AAAAAAAAAAAAAABbQ29udGVudF9UeXBlc10ueG1sUEsBAi0AFAAGAAgAAAAhAFr0LFu/AAAAFQEA&#10;AAsAAAAAAAAAAAAAAAAAHwEAAF9yZWxzLy5yZWxzUEsBAi0AFAAGAAgAAAAhACe25qTHAAAA3gAA&#10;AA8AAAAAAAAAAAAAAAAABwIAAGRycy9kb3ducmV2LnhtbFBLBQYAAAAAAwADALcAAAD7AgAAAAA=&#10;" filled="f" stroked="f">
                  <v:textbox inset="0,0,0,0">
                    <w:txbxContent>
                      <w:p w14:paraId="1BA07392" w14:textId="77777777" w:rsidR="00B32EF2" w:rsidRDefault="00000000">
                        <w:r>
                          <w:rPr>
                            <w:rFonts w:ascii="Arial" w:eastAsia="Arial" w:hAnsi="Arial" w:cs="Arial"/>
                            <w:sz w:val="18"/>
                          </w:rPr>
                          <w:t>di cui al comma 1 è esercitata da corti di giustizia tributaria di primo e secon</w:t>
                        </w:r>
                      </w:p>
                    </w:txbxContent>
                  </v:textbox>
                </v:rect>
                <v:rect id="Rectangle 23485" o:spid="_x0000_s7124" style="position:absolute;left:195;top:17136;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xwAAAN4AAAAPAAAAZHJzL2Rvd25yZXYueG1sRI9Ba8JA&#10;FITvgv9heUJvuqm1JaSuIoo0h160KfT4yD6TtNm3S3Y1qb++KxQ8DjPzDbNcD6YVF+p8Y1nB4ywB&#10;QVxa3XCloPjYT1MQPiBrbC2Tgl/ysF6NR0vMtO35QJdjqESEsM9QQR2Cy6T0ZU0G/cw64uidbGcw&#10;RNlVUnfYR7hp5TxJXqTBhuNCjY62NZU/x7NR8LVjl+97WZ6uW/f+naft27n4VOphMmxeQQQawj38&#10;3861gvnTIn2G2514BeTqDwAA//8DAFBLAQItABQABgAIAAAAIQDb4fbL7gAAAIUBAAATAAAAAAAA&#10;AAAAAAAAAAAAAABbQ29udGVudF9UeXBlc10ueG1sUEsBAi0AFAAGAAgAAAAhAFr0LFu/AAAAFQEA&#10;AAsAAAAAAAAAAAAAAAAAHwEAAF9yZWxzLy5yZWxzUEsBAi0AFAAGAAgAAAAhAEj6Qz/HAAAA3gAA&#10;AA8AAAAAAAAAAAAAAAAABwIAAGRycy9kb3ducmV2LnhtbFBLBQYAAAAAAwADALcAAAD7AgAAAAA=&#10;" filled="f" stroked="f">
                  <v:textbox inset="0,0,0,0">
                    <w:txbxContent>
                      <w:p w14:paraId="0AFFAED6" w14:textId="77777777" w:rsidR="00B32EF2" w:rsidRDefault="00000000">
                        <w:r>
                          <w:rPr>
                            <w:rFonts w:ascii="Arial" w:eastAsia="Arial" w:hAnsi="Arial" w:cs="Arial"/>
                            <w:sz w:val="18"/>
                          </w:rPr>
                          <w:t>-</w:t>
                        </w:r>
                      </w:p>
                    </w:txbxContent>
                  </v:textbox>
                </v:rect>
                <v:rect id="Rectangle 23486" o:spid="_x0000_s7125" style="position:absolute;left:-13168;top:15903;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N1IxwAAAN4AAAAPAAAAZHJzL2Rvd25yZXYueG1sRI9Ba8JA&#10;FITvgv9heUJvuqkVCamrFEXMwUuthR4f2WcSzb5dsquJ/vpuoeBxmJlvmMWqN424UetrywpeJwkI&#10;4sLqmksFx6/tOAXhA7LGxjIpuJOH1XI4WGCmbcefdDuEUkQI+wwVVCG4TEpfVGTQT6wjjt7JtgZD&#10;lG0pdYtdhJtGTpNkLg3WHBcqdLSuqLgcrkbBz4Zdvu1kcXqs3f6cp83uevxW6mXUf7yDCNSHZ/i/&#10;nWsF07dZOoe/O/EKyOUvAAAA//8DAFBLAQItABQABgAIAAAAIQDb4fbL7gAAAIUBAAATAAAAAAAA&#10;AAAAAAAAAAAAAABbQ29udGVudF9UeXBlc10ueG1sUEsBAi0AFAAGAAgAAAAhAFr0LFu/AAAAFQEA&#10;AAsAAAAAAAAAAAAAAAAAHwEAAF9yZWxzLy5yZWxzUEsBAi0AFAAGAAgAAAAhALgo3UjHAAAA3gAA&#10;AA8AAAAAAAAAAAAAAAAABwIAAGRycy9kb3ducmV2LnhtbFBLBQYAAAAAAwADALcAAAD7AgAAAAA=&#10;" filled="f" stroked="f">
                  <v:textbox inset="0,0,0,0">
                    <w:txbxContent>
                      <w:p w14:paraId="58A6DB30" w14:textId="77777777" w:rsidR="00B32EF2" w:rsidRDefault="00000000">
                        <w:r>
                          <w:rPr>
                            <w:rFonts w:ascii="Arial" w:eastAsia="Arial" w:hAnsi="Arial" w:cs="Arial"/>
                            <w:sz w:val="18"/>
                          </w:rPr>
                          <w:t xml:space="preserve">do grado, aventi competenza sul territorio della provincia corrispondente, alle </w:t>
                        </w:r>
                      </w:p>
                    </w:txbxContent>
                  </v:textbox>
                </v:rect>
                <v:rect id="Rectangle 23487" o:spid="_x0000_s7126" style="position:absolute;left:-12204;top:14670;width:521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HjTxwAAAN4AAAAPAAAAZHJzL2Rvd25yZXYueG1sRI9Ba8JA&#10;FITvgv9heUJvuqmVNqSuIoo0h160KfT4yD6TtNm3S3Y1qb++KxQ8DjPzDbNcD6YVF+p8Y1nB4ywB&#10;QVxa3XCloPjYT1MQPiBrbC2Tgl/ysF6NR0vMtO35QJdjqESEsM9QQR2Cy6T0ZU0G/cw64uidbGcw&#10;RNlVUnfYR7hp5TxJnqXBhuNCjY62NZU/x7NR8LVjl+97WZ6uW/f+naft27n4VOphMmxeQQQawj38&#10;3861gvnTIn2B2514BeTqDwAA//8DAFBLAQItABQABgAIAAAAIQDb4fbL7gAAAIUBAAATAAAAAAAA&#10;AAAAAAAAAAAAAABbQ29udGVudF9UeXBlc10ueG1sUEsBAi0AFAAGAAgAAAAhAFr0LFu/AAAAFQEA&#10;AAsAAAAAAAAAAAAAAAAAHwEAAF9yZWxzLy5yZWxzUEsBAi0AFAAGAAgAAAAhANdkeNPHAAAA3gAA&#10;AA8AAAAAAAAAAAAAAAAABwIAAGRycy9kb3ducmV2LnhtbFBLBQYAAAAAAwADALcAAAD7AgAAAAA=&#10;" filled="f" stroked="f">
                  <v:textbox inset="0,0,0,0">
                    <w:txbxContent>
                      <w:p w14:paraId="19AFB31B" w14:textId="77777777" w:rsidR="00B32EF2" w:rsidRDefault="00000000">
                        <w:r>
                          <w:rPr>
                            <w:rFonts w:ascii="Arial" w:eastAsia="Arial" w:hAnsi="Arial" w:cs="Arial"/>
                            <w:sz w:val="18"/>
                          </w:rPr>
                          <w:t>quali si applicano rispettivamente le disposizioni concernenti le corti di giu</w:t>
                        </w:r>
                      </w:p>
                    </w:txbxContent>
                  </v:textbox>
                </v:rect>
                <v:rect id="Rectangle 23488" o:spid="_x0000_s7127" style="position:absolute;left:195;top:1467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hxAAAAN4AAAAPAAAAZHJzL2Rvd25yZXYueG1sRE/LisIw&#10;FN0P+A/hCu7GVGcYSjWKKDJduBkf4PLSXNtqcxOaaKtfP1kMzPJw3vNlbxrxoNbXlhVMxgkI4sLq&#10;mksFx8P2PQXhA7LGxjIpeJKH5WLwNsdM245/6LEPpYgh7DNUUIXgMil9UZFBP7aOOHIX2xoMEbal&#10;1C12Mdw0cpokX9JgzbGhQkfriorb/m4UnDfs8m0ni8tr7XbXPG2+78eTUqNhv5qBCNSHf/GfO9cK&#10;ph+fadwb78QrIBe/AAAA//8DAFBLAQItABQABgAIAAAAIQDb4fbL7gAAAIUBAAATAAAAAAAAAAAA&#10;AAAAAAAAAABbQ29udGVudF9UeXBlc10ueG1sUEsBAi0AFAAGAAgAAAAhAFr0LFu/AAAAFQEAAAsA&#10;AAAAAAAAAAAAAAAAHwEAAF9yZWxzLy5yZWxzUEsBAi0AFAAGAAgAAAAhAKb77KHEAAAA3gAAAA8A&#10;AAAAAAAAAAAAAAAABwIAAGRycy9kb3ducmV2LnhtbFBLBQYAAAAAAwADALcAAAD4AgAAAAA=&#10;" filled="f" stroked="f">
                  <v:textbox inset="0,0,0,0">
                    <w:txbxContent>
                      <w:p w14:paraId="5F6784BC" w14:textId="77777777" w:rsidR="00B32EF2" w:rsidRDefault="00000000">
                        <w:r>
                          <w:rPr>
                            <w:rFonts w:ascii="Arial" w:eastAsia="Arial" w:hAnsi="Arial" w:cs="Arial"/>
                            <w:sz w:val="18"/>
                          </w:rPr>
                          <w:t>-</w:t>
                        </w:r>
                      </w:p>
                    </w:txbxContent>
                  </v:textbox>
                </v:rect>
                <v:rect id="Rectangle 23489" o:spid="_x0000_s7128" style="position:absolute;left:-13168;top:13437;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0k6xwAAAN4AAAAPAAAAZHJzL2Rvd25yZXYueG1sRI9Ba8JA&#10;FITvgv9heUJvuqmVkqauIoo0h160KfT4yD6TtNm3S3Y1qb++KxQ8DjPzDbNcD6YVF+p8Y1nB4ywB&#10;QVxa3XCloPjYT1MQPiBrbC2Tgl/ysF6NR0vMtO35QJdjqESEsM9QQR2Cy6T0ZU0G/cw64uidbGcw&#10;RNlVUnfYR7hp5TxJnqXBhuNCjY62NZU/x7NR8LVjl+97WZ6uW/f+naft27n4VOphMmxeQQQawj38&#10;3861gvnTIn2B2514BeTqDwAA//8DAFBLAQItABQABgAIAAAAIQDb4fbL7gAAAIUBAAATAAAAAAAA&#10;AAAAAAAAAAAAAABbQ29udGVudF9UeXBlc10ueG1sUEsBAi0AFAAGAAgAAAAhAFr0LFu/AAAAFQEA&#10;AAsAAAAAAAAAAAAAAAAAHwEAAF9yZWxzLy5yZWxzUEsBAi0AFAAGAAgAAAAhAMm3STrHAAAA3gAA&#10;AA8AAAAAAAAAAAAAAAAABwIAAGRycy9kb3ducmV2LnhtbFBLBQYAAAAAAwADALcAAAD7AgAAAAA=&#10;" filled="f" stroked="f">
                  <v:textbox inset="0,0,0,0">
                    <w:txbxContent>
                      <w:p w14:paraId="65BC6727" w14:textId="77777777" w:rsidR="00B32EF2" w:rsidRDefault="00000000">
                        <w:r>
                          <w:rPr>
                            <w:rFonts w:ascii="Arial" w:eastAsia="Arial" w:hAnsi="Arial" w:cs="Arial"/>
                            <w:sz w:val="18"/>
                          </w:rPr>
                          <w:t xml:space="preserve">stizia tributaria di primo e secondo grado compatibili con le norme di legge e </w:t>
                        </w:r>
                      </w:p>
                    </w:txbxContent>
                  </v:textbox>
                </v:rect>
                <v:rect id="Rectangle 23490" o:spid="_x0000_s7129" style="position:absolute;left:12133;top:12203;width:277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HZ6xQAAAN4AAAAPAAAAZHJzL2Rvd25yZXYueG1sRI/NisIw&#10;FIX3gu8QruBOUx0ZtGMUcRC7cDOOwiwvzbXtTHMTmmirT28WwiwP549vue5MLW7U+Mqygsk4AUGc&#10;W11xoeD0vRvNQfiArLG2TAru5GG96veWmGrb8hfdjqEQcYR9igrKEFwqpc9LMujH1hFH72IbgyHK&#10;ppC6wTaOm1pOk+RdGqw4PpToaFtS/ne8GgU/n+yyXSvzy2PrDr/ZvN5fT2elhoNu8wEiUBf+w692&#10;phVM32aLCBBxIgrI1RMAAP//AwBQSwECLQAUAAYACAAAACEA2+H2y+4AAACFAQAAEwAAAAAAAAAA&#10;AAAAAAAAAAAAW0NvbnRlbnRfVHlwZXNdLnhtbFBLAQItABQABgAIAAAAIQBa9CxbvwAAABUBAAAL&#10;AAAAAAAAAAAAAAAAAB8BAABfcmVscy8ucmVsc1BLAQItABQABgAIAAAAIQDdVHZ6xQAAAN4AAAAP&#10;AAAAAAAAAAAAAAAAAAcCAABkcnMvZG93bnJldi54bWxQSwUGAAAAAAMAAwC3AAAA+QIAAAAA&#10;" filled="f" stroked="f">
                  <v:textbox inset="0,0,0,0">
                    <w:txbxContent>
                      <w:p w14:paraId="0DC4F327" w14:textId="77777777" w:rsidR="00B32EF2" w:rsidRDefault="00000000">
                        <w:r>
                          <w:rPr>
                            <w:rFonts w:ascii="Arial" w:eastAsia="Arial" w:hAnsi="Arial" w:cs="Arial"/>
                            <w:sz w:val="18"/>
                          </w:rPr>
                          <w:t>dello statuto regionale che le riguardano.</w:t>
                        </w:r>
                      </w:p>
                    </w:txbxContent>
                  </v:textbox>
                </v:rect>
                <v:rect id="Rectangle 202417" o:spid="_x0000_s7130" style="position:absolute;left:26352;top:10970;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OVvyAAAAN8AAAAPAAAAZHJzL2Rvd25yZXYueG1sRI9Pa8JA&#10;FMTvgt9heYI33RiKldRVRJHm0Ev9Az0+ss8kbfbtkl1N7Kd3CwWPw8z8hlmue9OIG7W+tqxgNk1A&#10;EBdW11wqOB33kwUIH5A1NpZJwZ08rFfDwRIzbTv+pNshlCJC2GeooArBZVL6oiKDfmodcfQutjUY&#10;omxLqVvsItw0Mk2SuTRYc1yo0NG2ouLncDUKvnbs8n0ni8vv1n1854vm/Xo6KzUe9Zs3EIH68Az/&#10;t3OtIE3Sl9kr/P2JX0CuHgAAAP//AwBQSwECLQAUAAYACAAAACEA2+H2y+4AAACFAQAAEwAAAAAA&#10;AAAAAAAAAAAAAAAAW0NvbnRlbnRfVHlwZXNdLnhtbFBLAQItABQABgAIAAAAIQBa9CxbvwAAABUB&#10;AAALAAAAAAAAAAAAAAAAAB8BAABfcmVscy8ucmVsc1BLAQItABQABgAIAAAAIQDfYOVvyAAAAN8A&#10;AAAPAAAAAAAAAAAAAAAAAAcCAABkcnMvZG93bnJldi54bWxQSwUGAAAAAAMAAwC3AAAA/AIAAAAA&#10;" filled="f" stroked="f">
                  <v:textbox inset="0,0,0,0">
                    <w:txbxContent>
                      <w:p w14:paraId="38F1EE8F" w14:textId="77777777" w:rsidR="00B32EF2" w:rsidRDefault="00000000">
                        <w:r>
                          <w:rPr>
                            <w:rFonts w:ascii="Arial" w:eastAsia="Arial" w:hAnsi="Arial" w:cs="Arial"/>
                            <w:sz w:val="18"/>
                          </w:rPr>
                          <w:t>4</w:t>
                        </w:r>
                      </w:p>
                    </w:txbxContent>
                  </v:textbox>
                </v:rect>
                <v:rect id="Rectangle 202418" o:spid="_x0000_s7131" style="position:absolute;left:-12837;top:10970;width:521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EdxAAAAN8AAAAPAAAAZHJzL2Rvd25yZXYueG1sRE/LisIw&#10;FN0P+A/hCu7G1DIMUo0iikwXs/EFLi/Nta02N6GJts7Xm8WAy8N5z5e9acSDWl9bVjAZJyCIC6tr&#10;LhUcD9vPKQgfkDU2lknBkzwsF4OPOWbadryjxz6UIoawz1BBFYLLpPRFRQb92DriyF1sazBE2JZS&#10;t9jFcNPINEm+pcGaY0OFjtYVFbf93Sg4b9jl204Wl7+1+73m0+bnfjwpNRr2qxmIQH14i//duVaQ&#10;JunXJA6Of+IXkIsXAAAA//8DAFBLAQItABQABgAIAAAAIQDb4fbL7gAAAIUBAAATAAAAAAAAAAAA&#10;AAAAAAAAAABbQ29udGVudF9UeXBlc10ueG1sUEsBAi0AFAAGAAgAAAAhAFr0LFu/AAAAFQEAAAsA&#10;AAAAAAAAAAAAAAAAHwEAAF9yZWxzLy5yZWxzUEsBAi0AFAAGAAgAAAAhAK7/cR3EAAAA3wAAAA8A&#10;AAAAAAAAAAAAAAAABwIAAGRycy9kb3ducmV2LnhtbFBLBQYAAAAAAwADALcAAAD4AgAAAAA=&#10;" filled="f" stroked="f">
                  <v:textbox inset="0,0,0,0">
                    <w:txbxContent>
                      <w:p w14:paraId="6F37DE0E" w14:textId="77777777" w:rsidR="00B32EF2" w:rsidRDefault="00000000">
                        <w:r>
                          <w:rPr>
                            <w:rFonts w:ascii="Arial" w:eastAsia="Arial" w:hAnsi="Arial" w:cs="Arial"/>
                            <w:sz w:val="18"/>
                          </w:rPr>
                          <w:t>. Le corti di giustizia tributaria di primo e secondo grado, il numero delle rela</w:t>
                        </w:r>
                      </w:p>
                    </w:txbxContent>
                  </v:textbox>
                </v:rect>
                <v:rect id="Rectangle 23492" o:spid="_x0000_s7132" style="position:absolute;left:195;top:1097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k2WxwAAAN4AAAAPAAAAZHJzL2Rvd25yZXYueG1sRI9Ba8JA&#10;FITvgv9heUJvumkqJU1dRRRpDr1oLfT4yD6TtNm3S3Y1qb++KxQ8DjPzDbNYDaYVF+p8Y1nB4ywB&#10;QVxa3XCl4Pixm2YgfEDW2FomBb/kYbUcjxaYa9vzni6HUIkIYZ+jgjoEl0vpy5oM+pl1xNE72c5g&#10;iLKrpO6wj3DTyjRJnqXBhuNCjY42NZU/h7NR8LVlV+x6WZ6uG/f+XWTt2/n4qdTDZFi/ggg0hHv4&#10;v11oBenT/CWF2514BeTyDwAA//8DAFBLAQItABQABgAIAAAAIQDb4fbL7gAAAIUBAAATAAAAAAAA&#10;AAAAAAAAAAAAAABbQ29udGVudF9UeXBlc10ueG1sUEsBAi0AFAAGAAgAAAAhAFr0LFu/AAAAFQEA&#10;AAsAAAAAAAAAAAAAAAAAHwEAAF9yZWxzLy5yZWxzUEsBAi0AFAAGAAgAAAAhAELKTZbHAAAA3gAA&#10;AA8AAAAAAAAAAAAAAAAABwIAAGRycy9kb3ducmV2LnhtbFBLBQYAAAAAAwADALcAAAD7AgAAAAA=&#10;" filled="f" stroked="f">
                  <v:textbox inset="0,0,0,0">
                    <w:txbxContent>
                      <w:p w14:paraId="60891194" w14:textId="77777777" w:rsidR="00B32EF2" w:rsidRDefault="00000000">
                        <w:r>
                          <w:rPr>
                            <w:rFonts w:ascii="Arial" w:eastAsia="Arial" w:hAnsi="Arial" w:cs="Arial"/>
                            <w:sz w:val="18"/>
                          </w:rPr>
                          <w:t>-</w:t>
                        </w:r>
                      </w:p>
                    </w:txbxContent>
                  </v:textbox>
                </v:rect>
                <v:rect id="Rectangle 23493" o:spid="_x0000_s7133" style="position:absolute;left:-13168;top:973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ugNxwAAAN4AAAAPAAAAZHJzL2Rvd25yZXYueG1sRI9Pa8JA&#10;FMTvBb/D8gRvdeMfio2uIoo0By9VCx4f2WeSNvt2ya4m9dO7hYLHYWZ+wyxWnanFjRpfWVYwGiYg&#10;iHOrKy4UnI671xkIH5A11pZJwS95WC17LwtMtW35k26HUIgIYZ+igjIEl0rp85IM+qF1xNG72MZg&#10;iLIppG6wjXBTy3GSvEmDFceFEh1tSsp/Dlej4Lxll+1amV/uG7f/zmb1x/X0pdSg363nIAJ14Rn+&#10;b2dawXgyfZ/A3514BeTyAQAA//8DAFBLAQItABQABgAIAAAAIQDb4fbL7gAAAIUBAAATAAAAAAAA&#10;AAAAAAAAAAAAAABbQ29udGVudF9UeXBlc10ueG1sUEsBAi0AFAAGAAgAAAAhAFr0LFu/AAAAFQEA&#10;AAsAAAAAAAAAAAAAAAAAHwEAAF9yZWxzLy5yZWxzUEsBAi0AFAAGAAgAAAAhAC2G6A3HAAAA3gAA&#10;AA8AAAAAAAAAAAAAAAAABwIAAGRycy9kb3ducmV2LnhtbFBLBQYAAAAAAwADALcAAAD7AgAAAAA=&#10;" filled="f" stroked="f">
                  <v:textbox inset="0,0,0,0">
                    <w:txbxContent>
                      <w:p w14:paraId="56B6C89C" w14:textId="77777777" w:rsidR="00B32EF2" w:rsidRDefault="00000000">
                        <w:r>
                          <w:rPr>
                            <w:rFonts w:ascii="Arial" w:eastAsia="Arial" w:hAnsi="Arial" w:cs="Arial"/>
                            <w:sz w:val="18"/>
                          </w:rPr>
                          <w:t xml:space="preserve">tive sezioni e i corrispondenti organici sono indicati nelle tabelle A e B allegate </w:t>
                        </w:r>
                      </w:p>
                    </w:txbxContent>
                  </v:textbox>
                </v:rect>
                <v:rect id="Rectangle 23494" o:spid="_x0000_s7134" style="position:absolute;left:24076;top:8503;width:158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3B5xwAAAN4AAAAPAAAAZHJzL2Rvd25yZXYueG1sRI9Ba8JA&#10;FITvBf/D8gRvdaOVotFVxCLm0EutgsdH9plEs2+X7Gqiv75bKPQ4zMw3zGLVmVrcqfGVZQWjYQKC&#10;OLe64kLB4Xv7OgXhA7LG2jIpeJCH1bL3ssBU25a/6L4PhYgQ9ikqKENwqZQ+L8mgH1pHHL2zbQyG&#10;KJtC6gbbCDe1HCfJuzRYcVwo0dGmpPy6vxkFpw922baV+fm5cZ+XbFrvboejUoN+t56DCNSF//Bf&#10;O9MKxm+T2QR+78QrIJc/AAAA//8DAFBLAQItABQABgAIAAAAIQDb4fbL7gAAAIUBAAATAAAAAAAA&#10;AAAAAAAAAAAAAABbQ29udGVudF9UeXBlc10ueG1sUEsBAi0AFAAGAAgAAAAhAFr0LFu/AAAAFQEA&#10;AAsAAAAAAAAAAAAAAAAAHwEAAF9yZWxzLy5yZWxzUEsBAi0AFAAGAAgAAAAhAKJvcHnHAAAA3gAA&#10;AA8AAAAAAAAAAAAAAAAABwIAAGRycy9kb3ducmV2LnhtbFBLBQYAAAAAAwADALcAAAD7AgAAAAA=&#10;" filled="f" stroked="f">
                  <v:textbox inset="0,0,0,0">
                    <w:txbxContent>
                      <w:p w14:paraId="164A3630" w14:textId="77777777" w:rsidR="00B32EF2" w:rsidRDefault="00000000">
                        <w:r>
                          <w:rPr>
                            <w:rFonts w:ascii="Arial" w:eastAsia="Arial" w:hAnsi="Arial" w:cs="Arial"/>
                            <w:sz w:val="18"/>
                          </w:rPr>
                          <w:t>al presente testo unico.</w:t>
                        </w:r>
                      </w:p>
                    </w:txbxContent>
                  </v:textbox>
                </v:rect>
                <v:rect id="Rectangle 202416" o:spid="_x0000_s7135" style="position:absolute;left:-13812;top:7270;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ED0yAAAAN8AAAAPAAAAZHJzL2Rvd25yZXYueG1sRI9Pa8JA&#10;FMTvBb/D8oTe6sZQRKIbEUWaQy+1Ch4f2Zc/mn27ZFeT9tN3C4Ueh5n5DbPejKYTD+p9a1nBfJaA&#10;IC6tbrlWcPo8vCxB+ICssbNMCr7IwyafPK0x03bgD3ocQy0ihH2GCpoQXCalLxsy6GfWEUevsr3B&#10;EGVfS93jEOGmk2mSLKTBluNCg452DZW3490ouOzZFYdBltX3zr1fi2X3dj+dlXqejtsViEBj+A//&#10;tQutIE3S1/kCfv/ELyDzHwAAAP//AwBQSwECLQAUAAYACAAAACEA2+H2y+4AAACFAQAAEwAAAAAA&#10;AAAAAAAAAAAAAAAAW0NvbnRlbnRfVHlwZXNdLnhtbFBLAQItABQABgAIAAAAIQBa9CxbvwAAABUB&#10;AAALAAAAAAAAAAAAAAAAAB8BAABfcmVscy8ucmVsc1BLAQItABQABgAIAAAAIQCwLED0yAAAAN8A&#10;AAAPAAAAAAAAAAAAAAAAAAcCAABkcnMvZG93bnJldi54bWxQSwUGAAAAAAMAAwC3AAAA/AIAAAAA&#10;" filled="f" stroked="f">
                  <v:textbox inset="0,0,0,0">
                    <w:txbxContent>
                      <w:p w14:paraId="7BB1622A" w14:textId="77777777" w:rsidR="00B32EF2" w:rsidRDefault="00000000">
                        <w:r>
                          <w:rPr>
                            <w:rFonts w:ascii="Arial" w:eastAsia="Arial" w:hAnsi="Arial" w:cs="Arial"/>
                            <w:sz w:val="18"/>
                          </w:rPr>
                          <w:t xml:space="preserve">. Il numero delle sezioni di ciascuna corte di giustizia tributaria può essere </w:t>
                        </w:r>
                      </w:p>
                    </w:txbxContent>
                  </v:textbox>
                </v:rect>
                <v:rect id="Rectangle 202415" o:spid="_x0000_s7136" style="position:absolute;left:26113;top:7270;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6DyAAAAN8AAAAPAAAAZHJzL2Rvd25yZXYueG1sRI9Pa8JA&#10;FMTvgt9heYI33RhqkdRVRJHm0Ev9Az0+ss8kbfbtkl1N7Kd3CwWPw8z8hlmue9OIG7W+tqxgNk1A&#10;EBdW11wqOB33kwUIH5A1NpZJwZ08rFfDwRIzbTv+pNshlCJC2GeooArBZVL6oiKDfmodcfQutjUY&#10;omxLqVvsItw0Mk2SV2mw5rhQoaNtRcXP4WoUfO3Y5ftOFpffrfv4zhfN+/V0Vmo86jdvIAL14Rn+&#10;b+daQZqkL7M5/P2JX0CuHgAAAP//AwBQSwECLQAUAAYACAAAACEA2+H2y+4AAACFAQAAEwAAAAAA&#10;AAAAAAAAAAAAAAAAW0NvbnRlbnRfVHlwZXNdLnhtbFBLAQItABQABgAIAAAAIQBa9CxbvwAAABUB&#10;AAALAAAAAAAAAAAAAAAAAB8BAABfcmVscy8ucmVsc1BLAQItABQABgAIAAAAIQBA/t6DyAAAAN8A&#10;AAAPAAAAAAAAAAAAAAAAAAcCAABkcnMvZG93bnJldi54bWxQSwUGAAAAAAMAAwC3AAAA/AIAAAAA&#10;" filled="f" stroked="f">
                  <v:textbox inset="0,0,0,0">
                    <w:txbxContent>
                      <w:p w14:paraId="7FB1D3E2" w14:textId="77777777" w:rsidR="00B32EF2" w:rsidRDefault="00000000">
                        <w:r>
                          <w:rPr>
                            <w:rFonts w:ascii="Arial" w:eastAsia="Arial" w:hAnsi="Arial" w:cs="Arial"/>
                            <w:sz w:val="18"/>
                          </w:rPr>
                          <w:t>5</w:t>
                        </w:r>
                      </w:p>
                    </w:txbxContent>
                  </v:textbox>
                </v:rect>
                <v:rect id="Rectangle 23496" o:spid="_x0000_s7137" style="position:absolute;left:-13169;top:6037;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UuVxwAAAN4AAAAPAAAAZHJzL2Rvd25yZXYueG1sRI9Ba8JA&#10;FITvBf/D8gRvdaMV0egqYhFz6KVWweMj+0yi2bdLdjWxv75bKPQ4zMw3zHLdmVo8qPGVZQWjYQKC&#10;OLe64kLB8Wv3OgPhA7LG2jIpeJKH9ar3ssRU25Y/6XEIhYgQ9ikqKENwqZQ+L8mgH1pHHL2LbQyG&#10;KJtC6gbbCDe1HCfJVBqsOC6U6GhbUn473I2C8zu7bNfK/PK9dR/XbFbv78eTUoN+t1mACNSF//Bf&#10;O9MKxm+T+RR+78QrIFc/AAAA//8DAFBLAQItABQABgAIAAAAIQDb4fbL7gAAAIUBAAATAAAAAAAA&#10;AAAAAAAAAAAAAABbQ29udGVudF9UeXBlc10ueG1sUEsBAi0AFAAGAAgAAAAhAFr0LFu/AAAAFQEA&#10;AAsAAAAAAAAAAAAAAAAAHwEAAF9yZWxzLy5yZWxzUEsBAi0AFAAGAAgAAAAhAD3xS5XHAAAA3gAA&#10;AA8AAAAAAAAAAAAAAAAABwIAAGRycy9kb3ducmV2LnhtbFBLBQYAAAAAAwADALcAAAD7AgAAAAA=&#10;" filled="f" stroked="f">
                  <v:textbox inset="0,0,0,0">
                    <w:txbxContent>
                      <w:p w14:paraId="697E6763" w14:textId="77777777" w:rsidR="00B32EF2" w:rsidRDefault="00000000">
                        <w:r>
                          <w:rPr>
                            <w:rFonts w:ascii="Arial" w:eastAsia="Arial" w:hAnsi="Arial" w:cs="Arial"/>
                            <w:sz w:val="18"/>
                          </w:rPr>
                          <w:t xml:space="preserve">adeguato, in relazione al flusso medio dei processi, con decreto del Ministro </w:t>
                        </w:r>
                      </w:p>
                    </w:txbxContent>
                  </v:textbox>
                </v:rect>
                <v:rect id="Rectangle 23497" o:spid="_x0000_s7138" style="position:absolute;left:-7716;top:4804;width:47637;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e4OyAAAAN4AAAAPAAAAZHJzL2Rvd25yZXYueG1sRI/Na8JA&#10;FMTvBf+H5Qm91Y22+BFdRSzSHHrxCzw+ss8kbfbtkl1N2r++WxA8DjPzG2ax6kwtbtT4yrKC4SAB&#10;QZxbXXGh4HjYvkxB+ICssbZMCn7Iw2rZe1pgqm3LO7rtQyEihH2KCsoQXCqlz0sy6AfWEUfvYhuD&#10;IcqmkLrBNsJNLUdJMpYGK44LJTralJR/769GwfmdXbZtZX753bjPr2xaf1yPJ6We+916DiJQFx7h&#10;ezvTCkavb7MJ/N+JV0Au/wAAAP//AwBQSwECLQAUAAYACAAAACEA2+H2y+4AAACFAQAAEwAAAAAA&#10;AAAAAAAAAAAAAAAAW0NvbnRlbnRfVHlwZXNdLnhtbFBLAQItABQABgAIAAAAIQBa9CxbvwAAABUB&#10;AAALAAAAAAAAAAAAAAAAAB8BAABfcmVscy8ucmVsc1BLAQItABQABgAIAAAAIQBSve4OyAAAAN4A&#10;AAAPAAAAAAAAAAAAAAAAAAcCAABkcnMvZG93bnJldi54bWxQSwUGAAAAAAMAAwC3AAAA/AIAAAAA&#10;" filled="f" stroked="f">
                  <v:textbox inset="0,0,0,0">
                    <w:txbxContent>
                      <w:p w14:paraId="12CE1C5C" w14:textId="77777777" w:rsidR="00B32EF2" w:rsidRDefault="00000000">
                        <w:r>
                          <w:rPr>
                            <w:rFonts w:ascii="Arial" w:eastAsia="Arial" w:hAnsi="Arial" w:cs="Arial"/>
                            <w:sz w:val="18"/>
                          </w:rPr>
                          <w:t>dell’economia e delle finanze di concerto con il Ministro della giustizia.</w:t>
                        </w:r>
                      </w:p>
                    </w:txbxContent>
                  </v:textbox>
                </v:rect>
                <w10:anchorlock/>
              </v:group>
            </w:pict>
          </mc:Fallback>
        </mc:AlternateContent>
      </w:r>
    </w:p>
    <w:p w14:paraId="5212B39A" w14:textId="77777777" w:rsidR="00B32EF2" w:rsidRDefault="00000000">
      <w:pPr>
        <w:spacing w:after="2007"/>
        <w:ind w:left="-1440" w:right="7064"/>
      </w:pPr>
      <w:r>
        <w:rPr>
          <w:noProof/>
        </w:rPr>
        <w:lastRenderedPageBreak/>
        <mc:AlternateContent>
          <mc:Choice Requires="wpg">
            <w:drawing>
              <wp:anchor distT="0" distB="0" distL="114300" distR="114300" simplePos="0" relativeHeight="251677696" behindDoc="0" locked="0" layoutInCell="1" allowOverlap="1" wp14:anchorId="31CA57E0" wp14:editId="3A9A08C3">
                <wp:simplePos x="0" y="0"/>
                <wp:positionH relativeFrom="page">
                  <wp:posOffset>2632944</wp:posOffset>
                </wp:positionH>
                <wp:positionV relativeFrom="page">
                  <wp:posOffset>397149</wp:posOffset>
                </wp:positionV>
                <wp:extent cx="134112" cy="188456"/>
                <wp:effectExtent l="0" t="0" r="0" b="0"/>
                <wp:wrapTopAndBottom/>
                <wp:docPr id="202432" name="Group 202432"/>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23513" name="Rectangle 23513"/>
                        <wps:cNvSpPr/>
                        <wps:spPr>
                          <a:xfrm rot="-10799999">
                            <a:off x="-44256" y="-62190"/>
                            <a:ext cx="178369" cy="250646"/>
                          </a:xfrm>
                          <a:prstGeom prst="rect">
                            <a:avLst/>
                          </a:prstGeom>
                          <a:ln>
                            <a:noFill/>
                          </a:ln>
                        </wps:spPr>
                        <wps:txbx>
                          <w:txbxContent>
                            <w:p w14:paraId="366E1D71" w14:textId="77777777" w:rsidR="00B32EF2" w:rsidRDefault="00000000">
                              <w:r>
                                <w:rPr>
                                  <w:rFonts w:ascii="Times New Roman" w:eastAsia="Times New Roman" w:hAnsi="Times New Roman" w:cs="Times New Roman"/>
                                </w:rPr>
                                <w:t>13</w:t>
                              </w:r>
                            </w:p>
                          </w:txbxContent>
                        </wps:txbx>
                        <wps:bodyPr horzOverflow="overflow" vert="horz" lIns="0" tIns="0" rIns="0" bIns="0" rtlCol="0">
                          <a:noAutofit/>
                        </wps:bodyPr>
                      </wps:wsp>
                    </wpg:wgp>
                  </a:graphicData>
                </a:graphic>
              </wp:anchor>
            </w:drawing>
          </mc:Choice>
          <mc:Fallback>
            <w:pict>
              <v:group w14:anchorId="31CA57E0" id="Group 202432" o:spid="_x0000_s7139" style="position:absolute;left:0;text-align:left;margin-left:207.3pt;margin-top:31.25pt;width:10.55pt;height:14.85pt;z-index:251677696;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ltGgIAAIEEAAAOAAAAZHJzL2Uyb0RvYy54bWyklNuO2yAQhu8r9R0Q94kPOVtxVlW3G1Wq&#10;uqvd9gEIBtsSBgQkdvr0HfAh7a7Ui60v8DDg4Z+PGe/vukagCzO2VjLHyTzGiEmqilqWOf7542G2&#10;xcg6IgsilGQ5vjKL7w4fP+xbnbFUVUoUzCAIIm3W6hxXzuksiiytWEPsXGkmYZEr0xAHU1NGhSEt&#10;RG9ElMbxOmqVKbRRlFkL3vt+ER9CfM4ZdY+cW+aQyDFoc2E0YTz5MTrsSVYaoquaDjLIO1Q0pJZw&#10;6BTqnjiCzqZ+E6qpqVFWcTenqokU5zVlIQfIJolfZXM06qxDLmXWlnrCBGhfcXp3WPr9cjT6RT8Z&#10;INHqEliEmc+l46bxb1CJuoDsOiFjnUMUnMlimSQpRhSWku12uVr3SGkF3N98Rasv//wuGg+N/pLS&#10;aigOe8vf/l/+LxXRLGC1GeT/ZFBd5DhdrJIFRpI0UKbPUDhEloKh3h3ghN0TKptZoDZyQkZBbc2S&#10;eLPzT6iFgdtsuUwBCwJCs3Wa7Iaimwhutov1rieYruL1MhCcSJBMG+uOTDXIGzk2IC2EJ5dv1oEw&#10;2Dpu8WqE9KNUD7UQ/ar3ANBRsLdcd+pC1qvtJvE35p0nVVwBRqXMr0doaS5Um2M1WNh3ORzvVzES&#10;XyVcgm+o0TCjcRoN48RnFdquF/Tp7BSvg+LbaYMyuN1ghToPKQ096Rvpz3nYdftzHH4DAAD//wMA&#10;UEsDBBQABgAIAAAAIQD34GMw4AAAAAkBAAAPAAAAZHJzL2Rvd25yZXYueG1sTI9BT4NAEIXvJv6H&#10;zZh4swsUUJGhaRr11DSxNTHepjAFUnaXsFug/971pMfJ+/LeN/lqVp0YebCt0QjhIgDBujRVq2uE&#10;z8PbwxMI60hX1BnNCFe2sCpub3LKKjPpDx73rha+RNuMEBrn+kxKWzasyC5Mz9pnJzMocv4calkN&#10;NPly1ckoCFKpqNV+oaGeNw2X5/1FIbxPNK2X4eu4PZ821+9Dsvvahox4fzevX0A4nt0fDL/6Xh0K&#10;73Q0F11Z0SHEYZx6FCGNEhAeiJfJI4gjwnMUgSxy+f+D4gcAAP//AwBQSwECLQAUAAYACAAAACEA&#10;toM4kv4AAADhAQAAEwAAAAAAAAAAAAAAAAAAAAAAW0NvbnRlbnRfVHlwZXNdLnhtbFBLAQItABQA&#10;BgAIAAAAIQA4/SH/1gAAAJQBAAALAAAAAAAAAAAAAAAAAC8BAABfcmVscy8ucmVsc1BLAQItABQA&#10;BgAIAAAAIQCKKCltGgIAAIEEAAAOAAAAAAAAAAAAAAAAAC4CAABkcnMvZTJvRG9jLnhtbFBLAQIt&#10;ABQABgAIAAAAIQD34GMw4AAAAAkBAAAPAAAAAAAAAAAAAAAAAHQEAABkcnMvZG93bnJldi54bWxQ&#10;SwUGAAAAAAQABADzAAAAgQUAAAAA&#10;">
                <v:rect id="Rectangle 23513" o:spid="_x0000_s7140"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OTKxgAAAN4AAAAPAAAAZHJzL2Rvd25yZXYueG1sRI9Ba8JA&#10;FITvgv9heUJvulGpSHQVUcQcvNRa6PGRfSbR7Nslu5rUX98tCD0OM/MNs1x3phYPanxlWcF4lIAg&#10;zq2uuFBw/twP5yB8QNZYWyYFP+Rhver3lphq2/IHPU6hEBHCPkUFZQguldLnJRn0I+uIo3exjcEQ&#10;ZVNI3WAb4aaWkySZSYMVx4USHW1Lym+nu1HwvWOX7VuZX55bd7xm8/pwP38p9TboNgsQgbrwH361&#10;M61gMn0fT+HvTrwCcvULAAD//wMAUEsBAi0AFAAGAAgAAAAhANvh9svuAAAAhQEAABMAAAAAAAAA&#10;AAAAAAAAAAAAAFtDb250ZW50X1R5cGVzXS54bWxQSwECLQAUAAYACAAAACEAWvQsW78AAAAVAQAA&#10;CwAAAAAAAAAAAAAAAAAfAQAAX3JlbHMvLnJlbHNQSwECLQAUAAYACAAAACEANrTkysYAAADeAAAA&#10;DwAAAAAAAAAAAAAAAAAHAgAAZHJzL2Rvd25yZXYueG1sUEsFBgAAAAADAAMAtwAAAPoCAAAAAA==&#10;" filled="f" stroked="f">
                  <v:textbox inset="0,0,0,0">
                    <w:txbxContent>
                      <w:p w14:paraId="366E1D71" w14:textId="77777777" w:rsidR="00B32EF2" w:rsidRDefault="00000000">
                        <w:r>
                          <w:rPr>
                            <w:rFonts w:ascii="Times New Roman" w:eastAsia="Times New Roman" w:hAnsi="Times New Roman" w:cs="Times New Roman"/>
                          </w:rPr>
                          <w:t>13</w:t>
                        </w:r>
                      </w:p>
                    </w:txbxContent>
                  </v:textbox>
                </v:rect>
                <w10:wrap type="topAndBottom" anchorx="page" anchory="page"/>
              </v:group>
            </w:pict>
          </mc:Fallback>
        </mc:AlternateContent>
      </w:r>
    </w:p>
    <w:p w14:paraId="3280F77C" w14:textId="77777777" w:rsidR="00B32EF2" w:rsidRDefault="00000000">
      <w:pPr>
        <w:spacing w:after="0"/>
        <w:ind w:left="-356" w:right="-306"/>
      </w:pPr>
      <w:r>
        <w:rPr>
          <w:noProof/>
        </w:rPr>
        <w:lastRenderedPageBreak/>
        <mc:AlternateContent>
          <mc:Choice Requires="wpg">
            <w:drawing>
              <wp:inline distT="0" distB="0" distL="0" distR="0" wp14:anchorId="424EF941" wp14:editId="6ABD1956">
                <wp:extent cx="3991791" cy="4670634"/>
                <wp:effectExtent l="0" t="0" r="0" b="0"/>
                <wp:docPr id="202433" name="Group 202433"/>
                <wp:cNvGraphicFramePr/>
                <a:graphic xmlns:a="http://schemas.openxmlformats.org/drawingml/2006/main">
                  <a:graphicData uri="http://schemas.microsoft.com/office/word/2010/wordprocessingGroup">
                    <wpg:wgp>
                      <wpg:cNvGrpSpPr/>
                      <wpg:grpSpPr>
                        <a:xfrm>
                          <a:off x="0" y="0"/>
                          <a:ext cx="3991791" cy="4670634"/>
                          <a:chOff x="0" y="0"/>
                          <a:chExt cx="3991791" cy="4670634"/>
                        </a:xfrm>
                      </wpg:grpSpPr>
                      <wps:wsp>
                        <wps:cNvPr id="23514" name="Rectangle 23514"/>
                        <wps:cNvSpPr/>
                        <wps:spPr>
                          <a:xfrm rot="-10799999">
                            <a:off x="652793" y="4527745"/>
                            <a:ext cx="2177596" cy="142889"/>
                          </a:xfrm>
                          <a:prstGeom prst="rect">
                            <a:avLst/>
                          </a:prstGeom>
                          <a:ln>
                            <a:noFill/>
                          </a:ln>
                        </wps:spPr>
                        <wps:txbx>
                          <w:txbxContent>
                            <w:p w14:paraId="08FC271F" w14:textId="77777777" w:rsidR="00B32EF2" w:rsidRDefault="00000000">
                              <w:r>
                                <w:rPr>
                                  <w:rFonts w:ascii="Arial" w:eastAsia="Arial" w:hAnsi="Arial" w:cs="Arial"/>
                                  <w:b/>
                                  <w:sz w:val="18"/>
                                </w:rPr>
                                <w:t>LEGGE DEL 09/08/2023 N. 111</w:t>
                              </w:r>
                            </w:p>
                          </w:txbxContent>
                        </wps:txbx>
                        <wps:bodyPr horzOverflow="overflow" vert="horz" lIns="0" tIns="0" rIns="0" bIns="0" rtlCol="0">
                          <a:noAutofit/>
                        </wps:bodyPr>
                      </wps:wsp>
                      <wps:wsp>
                        <wps:cNvPr id="23515" name="Rectangle 23515"/>
                        <wps:cNvSpPr/>
                        <wps:spPr>
                          <a:xfrm rot="-10799999">
                            <a:off x="-347711" y="4157756"/>
                            <a:ext cx="3780804" cy="142889"/>
                          </a:xfrm>
                          <a:prstGeom prst="rect">
                            <a:avLst/>
                          </a:prstGeom>
                          <a:ln>
                            <a:noFill/>
                          </a:ln>
                        </wps:spPr>
                        <wps:txbx>
                          <w:txbxContent>
                            <w:p w14:paraId="50ED369E" w14:textId="77777777" w:rsidR="00B32EF2" w:rsidRDefault="00000000">
                              <w:r>
                                <w:rPr>
                                  <w:rFonts w:ascii="Arial" w:eastAsia="Arial" w:hAnsi="Arial" w:cs="Arial"/>
                                  <w:b/>
                                  <w:sz w:val="18"/>
                                </w:rPr>
                                <w:t>DELEGA AL GOVERNO PER LA RIFORMA FISCALE</w:t>
                              </w:r>
                            </w:p>
                          </w:txbxContent>
                        </wps:txbx>
                        <wps:bodyPr horzOverflow="overflow" vert="horz" lIns="0" tIns="0" rIns="0" bIns="0" rtlCol="0">
                          <a:noAutofit/>
                        </wps:bodyPr>
                      </wps:wsp>
                      <wps:wsp>
                        <wps:cNvPr id="23516" name="Rectangle 23516"/>
                        <wps:cNvSpPr/>
                        <wps:spPr>
                          <a:xfrm rot="-10799999">
                            <a:off x="1508878" y="3911097"/>
                            <a:ext cx="806932" cy="142889"/>
                          </a:xfrm>
                          <a:prstGeom prst="rect">
                            <a:avLst/>
                          </a:prstGeom>
                          <a:ln>
                            <a:noFill/>
                          </a:ln>
                        </wps:spPr>
                        <wps:txbx>
                          <w:txbxContent>
                            <w:p w14:paraId="5C455B82" w14:textId="77777777" w:rsidR="00B32EF2" w:rsidRDefault="00000000">
                              <w:r>
                                <w:rPr>
                                  <w:rFonts w:ascii="Arial" w:eastAsia="Arial" w:hAnsi="Arial" w:cs="Arial"/>
                                  <w:b/>
                                  <w:sz w:val="18"/>
                                </w:rPr>
                                <w:t>Articolo 21</w:t>
                              </w:r>
                            </w:p>
                          </w:txbxContent>
                        </wps:txbx>
                        <wps:bodyPr horzOverflow="overflow" vert="horz" lIns="0" tIns="0" rIns="0" bIns="0" rtlCol="0">
                          <a:noAutofit/>
                        </wps:bodyPr>
                      </wps:wsp>
                      <wps:wsp>
                        <wps:cNvPr id="23517" name="Rectangle 23517"/>
                        <wps:cNvSpPr/>
                        <wps:spPr>
                          <a:xfrm rot="-10799999">
                            <a:off x="-1257993" y="3787767"/>
                            <a:ext cx="5214009" cy="142889"/>
                          </a:xfrm>
                          <a:prstGeom prst="rect">
                            <a:avLst/>
                          </a:prstGeom>
                          <a:ln>
                            <a:noFill/>
                          </a:ln>
                        </wps:spPr>
                        <wps:txbx>
                          <w:txbxContent>
                            <w:p w14:paraId="4E1291B8" w14:textId="77777777" w:rsidR="00B32EF2" w:rsidRDefault="00000000">
                              <w:r>
                                <w:rPr>
                                  <w:rFonts w:ascii="Arial" w:eastAsia="Arial" w:hAnsi="Arial" w:cs="Arial"/>
                                  <w:b/>
                                  <w:sz w:val="18"/>
                                </w:rPr>
                                <w:t xml:space="preserve">Principi e criteri direttivi per il riordino del sistema tributario mediante </w:t>
                              </w:r>
                            </w:p>
                          </w:txbxContent>
                        </wps:txbx>
                        <wps:bodyPr horzOverflow="overflow" vert="horz" lIns="0" tIns="0" rIns="0" bIns="0" rtlCol="0">
                          <a:noAutofit/>
                        </wps:bodyPr>
                      </wps:wsp>
                      <wps:wsp>
                        <wps:cNvPr id="23518" name="Rectangle 23518"/>
                        <wps:cNvSpPr/>
                        <wps:spPr>
                          <a:xfrm rot="-10799999">
                            <a:off x="-737620" y="3664437"/>
                            <a:ext cx="4406514" cy="142889"/>
                          </a:xfrm>
                          <a:prstGeom prst="rect">
                            <a:avLst/>
                          </a:prstGeom>
                          <a:ln>
                            <a:noFill/>
                          </a:ln>
                        </wps:spPr>
                        <wps:txbx>
                          <w:txbxContent>
                            <w:p w14:paraId="28D2A802" w14:textId="77777777" w:rsidR="00B32EF2" w:rsidRDefault="00000000">
                              <w:r>
                                <w:rPr>
                                  <w:rFonts w:ascii="Arial" w:eastAsia="Arial" w:hAnsi="Arial" w:cs="Arial"/>
                                  <w:b/>
                                  <w:sz w:val="18"/>
                                </w:rPr>
                                <w:t>la redazione di testi unici e di un codice del diritto tributario</w:t>
                              </w:r>
                            </w:p>
                          </w:txbxContent>
                        </wps:txbx>
                        <wps:bodyPr horzOverflow="overflow" vert="horz" lIns="0" tIns="0" rIns="0" bIns="0" rtlCol="0">
                          <a:noAutofit/>
                        </wps:bodyPr>
                      </wps:wsp>
                      <wps:wsp>
                        <wps:cNvPr id="202413" name="Rectangle 202413"/>
                        <wps:cNvSpPr/>
                        <wps:spPr>
                          <a:xfrm rot="-10799999">
                            <a:off x="2610964" y="3541108"/>
                            <a:ext cx="5309021" cy="142889"/>
                          </a:xfrm>
                          <a:prstGeom prst="rect">
                            <a:avLst/>
                          </a:prstGeom>
                          <a:ln>
                            <a:noFill/>
                          </a:ln>
                        </wps:spPr>
                        <wps:txbx>
                          <w:txbxContent>
                            <w:p w14:paraId="4AB9A7DA" w14:textId="77777777" w:rsidR="00B32EF2" w:rsidRDefault="00000000">
                              <w:r>
                                <w:rPr>
                                  <w:rFonts w:ascii="Arial" w:eastAsia="Arial" w:hAnsi="Arial" w:cs="Arial"/>
                                  <w:sz w:val="18"/>
                                </w:rPr>
                                <w:t>1</w:t>
                              </w:r>
                            </w:p>
                          </w:txbxContent>
                        </wps:txbx>
                        <wps:bodyPr horzOverflow="overflow" vert="horz" lIns="0" tIns="0" rIns="0" bIns="0" rtlCol="0">
                          <a:noAutofit/>
                        </wps:bodyPr>
                      </wps:wsp>
                      <wps:wsp>
                        <wps:cNvPr id="202414" name="Rectangle 202414"/>
                        <wps:cNvSpPr/>
                        <wps:spPr>
                          <a:xfrm rot="-10799999">
                            <a:off x="-1376425" y="3541108"/>
                            <a:ext cx="5309021" cy="142889"/>
                          </a:xfrm>
                          <a:prstGeom prst="rect">
                            <a:avLst/>
                          </a:prstGeom>
                          <a:ln>
                            <a:noFill/>
                          </a:ln>
                        </wps:spPr>
                        <wps:txbx>
                          <w:txbxContent>
                            <w:p w14:paraId="123391A2" w14:textId="77777777" w:rsidR="00B32EF2" w:rsidRDefault="00000000">
                              <w:r>
                                <w:rPr>
                                  <w:rFonts w:ascii="Arial" w:eastAsia="Arial" w:hAnsi="Arial" w:cs="Arial"/>
                                  <w:sz w:val="18"/>
                                </w:rPr>
                                <w:t xml:space="preserve">. Il Governo è delegato ad adottare, entro il 31 dicembre 2025 , uno o più </w:t>
                              </w:r>
                            </w:p>
                          </w:txbxContent>
                        </wps:txbx>
                        <wps:bodyPr horzOverflow="overflow" vert="horz" lIns="0" tIns="0" rIns="0" bIns="0" rtlCol="0">
                          <a:noAutofit/>
                        </wps:bodyPr>
                      </wps:wsp>
                      <wps:wsp>
                        <wps:cNvPr id="23520" name="Rectangle 23520"/>
                        <wps:cNvSpPr/>
                        <wps:spPr>
                          <a:xfrm rot="-10799999">
                            <a:off x="-1221107" y="3417778"/>
                            <a:ext cx="5212899" cy="142889"/>
                          </a:xfrm>
                          <a:prstGeom prst="rect">
                            <a:avLst/>
                          </a:prstGeom>
                          <a:ln>
                            <a:noFill/>
                          </a:ln>
                        </wps:spPr>
                        <wps:txbx>
                          <w:txbxContent>
                            <w:p w14:paraId="01A3C261" w14:textId="77777777" w:rsidR="00B32EF2" w:rsidRDefault="00000000">
                              <w:r>
                                <w:rPr>
                                  <w:rFonts w:ascii="Arial" w:eastAsia="Arial" w:hAnsi="Arial" w:cs="Arial"/>
                                  <w:sz w:val="18"/>
                                </w:rPr>
                                <w:t>decreti legislativi, secondo la procedura di cui all’articolo 1, per il riordino orga</w:t>
                              </w:r>
                            </w:p>
                          </w:txbxContent>
                        </wps:txbx>
                        <wps:bodyPr horzOverflow="overflow" vert="horz" lIns="0" tIns="0" rIns="0" bIns="0" rtlCol="0">
                          <a:noAutofit/>
                        </wps:bodyPr>
                      </wps:wsp>
                      <wps:wsp>
                        <wps:cNvPr id="23521" name="Rectangle 23521"/>
                        <wps:cNvSpPr/>
                        <wps:spPr>
                          <a:xfrm rot="-10799999">
                            <a:off x="19192" y="3417778"/>
                            <a:ext cx="50622" cy="142889"/>
                          </a:xfrm>
                          <a:prstGeom prst="rect">
                            <a:avLst/>
                          </a:prstGeom>
                          <a:ln>
                            <a:noFill/>
                          </a:ln>
                        </wps:spPr>
                        <wps:txbx>
                          <w:txbxContent>
                            <w:p w14:paraId="6CE4DA99"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522" name="Rectangle 23522"/>
                        <wps:cNvSpPr/>
                        <wps:spPr>
                          <a:xfrm rot="-10799999">
                            <a:off x="-1317183" y="3294448"/>
                            <a:ext cx="5308975" cy="142889"/>
                          </a:xfrm>
                          <a:prstGeom prst="rect">
                            <a:avLst/>
                          </a:prstGeom>
                          <a:ln>
                            <a:noFill/>
                          </a:ln>
                        </wps:spPr>
                        <wps:txbx>
                          <w:txbxContent>
                            <w:p w14:paraId="6705ACCA" w14:textId="77777777" w:rsidR="00B32EF2" w:rsidRDefault="00000000">
                              <w:r>
                                <w:rPr>
                                  <w:rFonts w:ascii="Arial" w:eastAsia="Arial" w:hAnsi="Arial" w:cs="Arial"/>
                                  <w:sz w:val="18"/>
                                </w:rPr>
                                <w:t xml:space="preserve">nico delle disposizioni che regolano il sistema tributario, mediante la redazione </w:t>
                              </w:r>
                            </w:p>
                          </w:txbxContent>
                        </wps:txbx>
                        <wps:bodyPr horzOverflow="overflow" vert="horz" lIns="0" tIns="0" rIns="0" bIns="0" rtlCol="0">
                          <a:noAutofit/>
                        </wps:bodyPr>
                      </wps:wsp>
                      <wps:wsp>
                        <wps:cNvPr id="23523" name="Rectangle 23523"/>
                        <wps:cNvSpPr/>
                        <wps:spPr>
                          <a:xfrm rot="-10799999">
                            <a:off x="-137804" y="3171119"/>
                            <a:ext cx="4129596" cy="142889"/>
                          </a:xfrm>
                          <a:prstGeom prst="rect">
                            <a:avLst/>
                          </a:prstGeom>
                          <a:ln>
                            <a:noFill/>
                          </a:ln>
                        </wps:spPr>
                        <wps:txbx>
                          <w:txbxContent>
                            <w:p w14:paraId="49E8F2F0" w14:textId="77777777" w:rsidR="00B32EF2" w:rsidRDefault="00000000">
                              <w:r>
                                <w:rPr>
                                  <w:rFonts w:ascii="Arial" w:eastAsia="Arial" w:hAnsi="Arial" w:cs="Arial"/>
                                  <w:sz w:val="18"/>
                                </w:rPr>
                                <w:t>di testi unici, attenendosi ai seguenti principi e criteri direttivi:</w:t>
                              </w:r>
                            </w:p>
                          </w:txbxContent>
                        </wps:txbx>
                        <wps:bodyPr horzOverflow="overflow" vert="horz" lIns="0" tIns="0" rIns="0" bIns="0" rtlCol="0">
                          <a:noAutofit/>
                        </wps:bodyPr>
                      </wps:wsp>
                      <wps:wsp>
                        <wps:cNvPr id="23524" name="Rectangle 23524"/>
                        <wps:cNvSpPr/>
                        <wps:spPr>
                          <a:xfrm rot="-10799999">
                            <a:off x="-1317229" y="3047789"/>
                            <a:ext cx="5309021" cy="142889"/>
                          </a:xfrm>
                          <a:prstGeom prst="rect">
                            <a:avLst/>
                          </a:prstGeom>
                          <a:ln>
                            <a:noFill/>
                          </a:ln>
                        </wps:spPr>
                        <wps:txbx>
                          <w:txbxContent>
                            <w:p w14:paraId="49910209" w14:textId="77777777" w:rsidR="00B32EF2" w:rsidRDefault="00000000">
                              <w:r>
                                <w:rPr>
                                  <w:rFonts w:ascii="Arial" w:eastAsia="Arial" w:hAnsi="Arial" w:cs="Arial"/>
                                  <w:sz w:val="18"/>
                                </w:rPr>
                                <w:t xml:space="preserve">a) puntuale individuazione delle norme vigenti, organizzandole per settori </w:t>
                              </w:r>
                            </w:p>
                          </w:txbxContent>
                        </wps:txbx>
                        <wps:bodyPr horzOverflow="overflow" vert="horz" lIns="0" tIns="0" rIns="0" bIns="0" rtlCol="0">
                          <a:noAutofit/>
                        </wps:bodyPr>
                      </wps:wsp>
                      <wps:wsp>
                        <wps:cNvPr id="23525" name="Rectangle 23525"/>
                        <wps:cNvSpPr/>
                        <wps:spPr>
                          <a:xfrm rot="-10799999">
                            <a:off x="-1263399" y="2924459"/>
                            <a:ext cx="5255191" cy="142889"/>
                          </a:xfrm>
                          <a:prstGeom prst="rect">
                            <a:avLst/>
                          </a:prstGeom>
                          <a:ln>
                            <a:noFill/>
                          </a:ln>
                        </wps:spPr>
                        <wps:txbx>
                          <w:txbxContent>
                            <w:p w14:paraId="5BC0EA17" w14:textId="77777777" w:rsidR="00B32EF2" w:rsidRDefault="00000000">
                              <w:r>
                                <w:rPr>
                                  <w:rFonts w:ascii="Arial" w:eastAsia="Arial" w:hAnsi="Arial" w:cs="Arial"/>
                                  <w:sz w:val="18"/>
                                </w:rPr>
                                <w:t>omogenei, anche mediante l’aggiornamento dei testi unici di settore in vigore;</w:t>
                              </w:r>
                            </w:p>
                          </w:txbxContent>
                        </wps:txbx>
                        <wps:bodyPr horzOverflow="overflow" vert="horz" lIns="0" tIns="0" rIns="0" bIns="0" rtlCol="0">
                          <a:noAutofit/>
                        </wps:bodyPr>
                      </wps:wsp>
                      <wps:wsp>
                        <wps:cNvPr id="23526" name="Rectangle 23526"/>
                        <wps:cNvSpPr/>
                        <wps:spPr>
                          <a:xfrm rot="-10799999">
                            <a:off x="-1317244" y="2801130"/>
                            <a:ext cx="5309036" cy="142889"/>
                          </a:xfrm>
                          <a:prstGeom prst="rect">
                            <a:avLst/>
                          </a:prstGeom>
                          <a:ln>
                            <a:noFill/>
                          </a:ln>
                        </wps:spPr>
                        <wps:txbx>
                          <w:txbxContent>
                            <w:p w14:paraId="6AE02A8C" w14:textId="77777777" w:rsidR="00B32EF2" w:rsidRDefault="00000000">
                              <w:r>
                                <w:rPr>
                                  <w:rFonts w:ascii="Arial" w:eastAsia="Arial" w:hAnsi="Arial" w:cs="Arial"/>
                                  <w:sz w:val="18"/>
                                </w:rPr>
                                <w:t xml:space="preserve">b) coordinamento, sotto il profilo formale e sostanziale, delle norme vigenti, </w:t>
                              </w:r>
                            </w:p>
                          </w:txbxContent>
                        </wps:txbx>
                        <wps:bodyPr horzOverflow="overflow" vert="horz" lIns="0" tIns="0" rIns="0" bIns="0" rtlCol="0">
                          <a:noAutofit/>
                        </wps:bodyPr>
                      </wps:wsp>
                      <wps:wsp>
                        <wps:cNvPr id="23527" name="Rectangle 23527"/>
                        <wps:cNvSpPr/>
                        <wps:spPr>
                          <a:xfrm rot="-10799999">
                            <a:off x="-1218933" y="2677800"/>
                            <a:ext cx="5210725" cy="142889"/>
                          </a:xfrm>
                          <a:prstGeom prst="rect">
                            <a:avLst/>
                          </a:prstGeom>
                          <a:ln>
                            <a:noFill/>
                          </a:ln>
                        </wps:spPr>
                        <wps:txbx>
                          <w:txbxContent>
                            <w:p w14:paraId="3CC6ED5C" w14:textId="77777777" w:rsidR="00B32EF2" w:rsidRDefault="00000000">
                              <w:r>
                                <w:rPr>
                                  <w:rFonts w:ascii="Arial" w:eastAsia="Arial" w:hAnsi="Arial" w:cs="Arial"/>
                                  <w:sz w:val="18"/>
                                </w:rPr>
                                <w:t>anche di recepimento e attuazione della normativa dell’Unione europea, ap</w:t>
                              </w:r>
                            </w:p>
                          </w:txbxContent>
                        </wps:txbx>
                        <wps:bodyPr horzOverflow="overflow" vert="horz" lIns="0" tIns="0" rIns="0" bIns="0" rtlCol="0">
                          <a:noAutofit/>
                        </wps:bodyPr>
                      </wps:wsp>
                      <wps:wsp>
                        <wps:cNvPr id="23528" name="Rectangle 23528"/>
                        <wps:cNvSpPr/>
                        <wps:spPr>
                          <a:xfrm rot="-10799999">
                            <a:off x="19192" y="2677799"/>
                            <a:ext cx="50622" cy="142889"/>
                          </a:xfrm>
                          <a:prstGeom prst="rect">
                            <a:avLst/>
                          </a:prstGeom>
                          <a:ln>
                            <a:noFill/>
                          </a:ln>
                        </wps:spPr>
                        <wps:txbx>
                          <w:txbxContent>
                            <w:p w14:paraId="51A3368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529" name="Rectangle 23529"/>
                        <wps:cNvSpPr/>
                        <wps:spPr>
                          <a:xfrm rot="-10799999">
                            <a:off x="-1317341" y="2554470"/>
                            <a:ext cx="5309933" cy="142889"/>
                          </a:xfrm>
                          <a:prstGeom prst="rect">
                            <a:avLst/>
                          </a:prstGeom>
                          <a:ln>
                            <a:noFill/>
                          </a:ln>
                        </wps:spPr>
                        <wps:txbx>
                          <w:txbxContent>
                            <w:p w14:paraId="66788C48" w14:textId="77777777" w:rsidR="00B32EF2" w:rsidRDefault="00000000">
                              <w:r>
                                <w:rPr>
                                  <w:rFonts w:ascii="Arial" w:eastAsia="Arial" w:hAnsi="Arial" w:cs="Arial"/>
                                  <w:sz w:val="18"/>
                                </w:rPr>
                                <w:t xml:space="preserve">portando le necessarie modifiche, garantendone e migliorandone la coerenza </w:t>
                              </w:r>
                            </w:p>
                          </w:txbxContent>
                        </wps:txbx>
                        <wps:bodyPr horzOverflow="overflow" vert="horz" lIns="0" tIns="0" rIns="0" bIns="0" rtlCol="0">
                          <a:noAutofit/>
                        </wps:bodyPr>
                      </wps:wsp>
                      <wps:wsp>
                        <wps:cNvPr id="23530" name="Rectangle 23530"/>
                        <wps:cNvSpPr/>
                        <wps:spPr>
                          <a:xfrm rot="-10799999">
                            <a:off x="-1317214" y="2431140"/>
                            <a:ext cx="5309005" cy="142889"/>
                          </a:xfrm>
                          <a:prstGeom prst="rect">
                            <a:avLst/>
                          </a:prstGeom>
                          <a:ln>
                            <a:noFill/>
                          </a:ln>
                        </wps:spPr>
                        <wps:txbx>
                          <w:txbxContent>
                            <w:p w14:paraId="5E619B45" w14:textId="77777777" w:rsidR="00B32EF2" w:rsidRDefault="00000000">
                              <w:r>
                                <w:rPr>
                                  <w:rFonts w:ascii="Arial" w:eastAsia="Arial" w:hAnsi="Arial" w:cs="Arial"/>
                                  <w:sz w:val="18"/>
                                </w:rPr>
                                <w:t xml:space="preserve">giuridica, logica e sistematica, tenendo anche conto delle disposizioni recate </w:t>
                              </w:r>
                            </w:p>
                          </w:txbxContent>
                        </wps:txbx>
                        <wps:bodyPr horzOverflow="overflow" vert="horz" lIns="0" tIns="0" rIns="0" bIns="0" rtlCol="0">
                          <a:noAutofit/>
                        </wps:bodyPr>
                      </wps:wsp>
                      <wps:wsp>
                        <wps:cNvPr id="23531" name="Rectangle 23531"/>
                        <wps:cNvSpPr/>
                        <wps:spPr>
                          <a:xfrm rot="-10799999">
                            <a:off x="-521425" y="2307811"/>
                            <a:ext cx="4513216" cy="142889"/>
                          </a:xfrm>
                          <a:prstGeom prst="rect">
                            <a:avLst/>
                          </a:prstGeom>
                          <a:ln>
                            <a:noFill/>
                          </a:ln>
                        </wps:spPr>
                        <wps:txbx>
                          <w:txbxContent>
                            <w:p w14:paraId="36A4CCB9" w14:textId="77777777" w:rsidR="00B32EF2" w:rsidRDefault="00000000">
                              <w:r>
                                <w:rPr>
                                  <w:rFonts w:ascii="Arial" w:eastAsia="Arial" w:hAnsi="Arial" w:cs="Arial"/>
                                  <w:sz w:val="18"/>
                                </w:rPr>
                                <w:t>dai decreti legislativi eventualmente adottati ai sensi dell’articolo 1;</w:t>
                              </w:r>
                            </w:p>
                          </w:txbxContent>
                        </wps:txbx>
                        <wps:bodyPr horzOverflow="overflow" vert="horz" lIns="0" tIns="0" rIns="0" bIns="0" rtlCol="0">
                          <a:noAutofit/>
                        </wps:bodyPr>
                      </wps:wsp>
                      <wps:wsp>
                        <wps:cNvPr id="23532" name="Rectangle 23532"/>
                        <wps:cNvSpPr/>
                        <wps:spPr>
                          <a:xfrm rot="-10799999">
                            <a:off x="-1275029" y="2184481"/>
                            <a:ext cx="5266821" cy="142889"/>
                          </a:xfrm>
                          <a:prstGeom prst="rect">
                            <a:avLst/>
                          </a:prstGeom>
                          <a:ln>
                            <a:noFill/>
                          </a:ln>
                        </wps:spPr>
                        <wps:txbx>
                          <w:txbxContent>
                            <w:p w14:paraId="460E207A" w14:textId="77777777" w:rsidR="00B32EF2" w:rsidRDefault="00000000">
                              <w:r>
                                <w:rPr>
                                  <w:rFonts w:ascii="Arial" w:eastAsia="Arial" w:hAnsi="Arial" w:cs="Arial"/>
                                  <w:sz w:val="18"/>
                                </w:rPr>
                                <w:t>c) abrogazione espressa delle disposizioni incompatibili ovvero non più attuali.</w:t>
                              </w:r>
                            </w:p>
                          </w:txbxContent>
                        </wps:txbx>
                        <wps:bodyPr horzOverflow="overflow" vert="horz" lIns="0" tIns="0" rIns="0" bIns="0" rtlCol="0">
                          <a:noAutofit/>
                        </wps:bodyPr>
                      </wps:wsp>
                      <wps:wsp>
                        <wps:cNvPr id="202411" name="Rectangle 202411"/>
                        <wps:cNvSpPr/>
                        <wps:spPr>
                          <a:xfrm rot="-10799999">
                            <a:off x="2610968" y="2061151"/>
                            <a:ext cx="5309005" cy="142889"/>
                          </a:xfrm>
                          <a:prstGeom prst="rect">
                            <a:avLst/>
                          </a:prstGeom>
                          <a:ln>
                            <a:noFill/>
                          </a:ln>
                        </wps:spPr>
                        <wps:txbx>
                          <w:txbxContent>
                            <w:p w14:paraId="6489E087" w14:textId="77777777" w:rsidR="00B32EF2" w:rsidRDefault="00000000">
                              <w:r>
                                <w:rPr>
                                  <w:rFonts w:ascii="Arial" w:eastAsia="Arial" w:hAnsi="Arial" w:cs="Arial"/>
                                  <w:sz w:val="18"/>
                                </w:rPr>
                                <w:t>2</w:t>
                              </w:r>
                            </w:p>
                          </w:txbxContent>
                        </wps:txbx>
                        <wps:bodyPr horzOverflow="overflow" vert="horz" lIns="0" tIns="0" rIns="0" bIns="0" rtlCol="0">
                          <a:noAutofit/>
                        </wps:bodyPr>
                      </wps:wsp>
                      <wps:wsp>
                        <wps:cNvPr id="202412" name="Rectangle 202412"/>
                        <wps:cNvSpPr/>
                        <wps:spPr>
                          <a:xfrm rot="-10799999">
                            <a:off x="-1381782" y="2061151"/>
                            <a:ext cx="5309005" cy="142889"/>
                          </a:xfrm>
                          <a:prstGeom prst="rect">
                            <a:avLst/>
                          </a:prstGeom>
                          <a:ln>
                            <a:noFill/>
                          </a:ln>
                        </wps:spPr>
                        <wps:txbx>
                          <w:txbxContent>
                            <w:p w14:paraId="3DA2E78B" w14:textId="77777777" w:rsidR="00B32EF2" w:rsidRDefault="00000000">
                              <w:r>
                                <w:rPr>
                                  <w:rFonts w:ascii="Arial" w:eastAsia="Arial" w:hAnsi="Arial" w:cs="Arial"/>
                                  <w:sz w:val="18"/>
                                </w:rPr>
                                <w:t xml:space="preserve">. Il Governo è delegato ad attuare, entro dodici mesi dalla data di entrata in </w:t>
                              </w:r>
                            </w:p>
                          </w:txbxContent>
                        </wps:txbx>
                        <wps:bodyPr horzOverflow="overflow" vert="horz" lIns="0" tIns="0" rIns="0" bIns="0" rtlCol="0">
                          <a:noAutofit/>
                        </wps:bodyPr>
                      </wps:wsp>
                      <wps:wsp>
                        <wps:cNvPr id="23534" name="Rectangle 23534"/>
                        <wps:cNvSpPr/>
                        <wps:spPr>
                          <a:xfrm rot="-10799999">
                            <a:off x="-1317229" y="1937822"/>
                            <a:ext cx="5309021" cy="142889"/>
                          </a:xfrm>
                          <a:prstGeom prst="rect">
                            <a:avLst/>
                          </a:prstGeom>
                          <a:ln>
                            <a:noFill/>
                          </a:ln>
                        </wps:spPr>
                        <wps:txbx>
                          <w:txbxContent>
                            <w:p w14:paraId="7A0C395B" w14:textId="77777777" w:rsidR="00B32EF2" w:rsidRDefault="00000000">
                              <w:r>
                                <w:rPr>
                                  <w:rFonts w:ascii="Arial" w:eastAsia="Arial" w:hAnsi="Arial" w:cs="Arial"/>
                                  <w:sz w:val="18"/>
                                </w:rPr>
                                <w:t xml:space="preserve">vigore dell’ultimo dei decreti legislativi di cui all’articolo 1, comma 6, il riassetto </w:t>
                              </w:r>
                            </w:p>
                          </w:txbxContent>
                        </wps:txbx>
                        <wps:bodyPr horzOverflow="overflow" vert="horz" lIns="0" tIns="0" rIns="0" bIns="0" rtlCol="0">
                          <a:noAutofit/>
                        </wps:bodyPr>
                      </wps:wsp>
                      <wps:wsp>
                        <wps:cNvPr id="23535" name="Rectangle 23535"/>
                        <wps:cNvSpPr/>
                        <wps:spPr>
                          <a:xfrm rot="-10799999">
                            <a:off x="-1317168" y="1814492"/>
                            <a:ext cx="5308960" cy="142889"/>
                          </a:xfrm>
                          <a:prstGeom prst="rect">
                            <a:avLst/>
                          </a:prstGeom>
                          <a:ln>
                            <a:noFill/>
                          </a:ln>
                        </wps:spPr>
                        <wps:txbx>
                          <w:txbxContent>
                            <w:p w14:paraId="4A02844F" w14:textId="77777777" w:rsidR="00B32EF2" w:rsidRDefault="00000000">
                              <w:r>
                                <w:rPr>
                                  <w:rFonts w:ascii="Arial" w:eastAsia="Arial" w:hAnsi="Arial" w:cs="Arial"/>
                                  <w:sz w:val="18"/>
                                </w:rPr>
                                <w:t xml:space="preserve">delle vigenti disposizioni di diritto tributario per la raccolta di esse in un codice </w:t>
                              </w:r>
                            </w:p>
                          </w:txbxContent>
                        </wps:txbx>
                        <wps:bodyPr horzOverflow="overflow" vert="horz" lIns="0" tIns="0" rIns="0" bIns="0" rtlCol="0">
                          <a:noAutofit/>
                        </wps:bodyPr>
                      </wps:wsp>
                      <wps:wsp>
                        <wps:cNvPr id="23536" name="Rectangle 23536"/>
                        <wps:cNvSpPr/>
                        <wps:spPr>
                          <a:xfrm rot="-10799999">
                            <a:off x="-1218736" y="1691162"/>
                            <a:ext cx="5210528" cy="142889"/>
                          </a:xfrm>
                          <a:prstGeom prst="rect">
                            <a:avLst/>
                          </a:prstGeom>
                          <a:ln>
                            <a:noFill/>
                          </a:ln>
                        </wps:spPr>
                        <wps:txbx>
                          <w:txbxContent>
                            <w:p w14:paraId="1105EF8A" w14:textId="77777777" w:rsidR="00B32EF2" w:rsidRDefault="00000000">
                              <w:r>
                                <w:rPr>
                                  <w:rFonts w:ascii="Arial" w:eastAsia="Arial" w:hAnsi="Arial" w:cs="Arial"/>
                                  <w:sz w:val="18"/>
                                </w:rPr>
                                <w:t>articolato in una parte generale, recante la disciplina unitaria degli istituti co</w:t>
                              </w:r>
                            </w:p>
                          </w:txbxContent>
                        </wps:txbx>
                        <wps:bodyPr horzOverflow="overflow" vert="horz" lIns="0" tIns="0" rIns="0" bIns="0" rtlCol="0">
                          <a:noAutofit/>
                        </wps:bodyPr>
                      </wps:wsp>
                      <wps:wsp>
                        <wps:cNvPr id="23537" name="Rectangle 23537"/>
                        <wps:cNvSpPr/>
                        <wps:spPr>
                          <a:xfrm rot="-10799999">
                            <a:off x="19192" y="1691162"/>
                            <a:ext cx="50622" cy="142889"/>
                          </a:xfrm>
                          <a:prstGeom prst="rect">
                            <a:avLst/>
                          </a:prstGeom>
                          <a:ln>
                            <a:noFill/>
                          </a:ln>
                        </wps:spPr>
                        <wps:txbx>
                          <w:txbxContent>
                            <w:p w14:paraId="7D5298FC"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538" name="Rectangle 23538"/>
                        <wps:cNvSpPr/>
                        <wps:spPr>
                          <a:xfrm rot="-10799999">
                            <a:off x="-1317244" y="1567833"/>
                            <a:ext cx="5309036" cy="142889"/>
                          </a:xfrm>
                          <a:prstGeom prst="rect">
                            <a:avLst/>
                          </a:prstGeom>
                          <a:ln>
                            <a:noFill/>
                          </a:ln>
                        </wps:spPr>
                        <wps:txbx>
                          <w:txbxContent>
                            <w:p w14:paraId="4B5640AD" w14:textId="77777777" w:rsidR="00B32EF2" w:rsidRDefault="00000000">
                              <w:r>
                                <w:rPr>
                                  <w:rFonts w:ascii="Arial" w:eastAsia="Arial" w:hAnsi="Arial" w:cs="Arial"/>
                                  <w:sz w:val="18"/>
                                </w:rPr>
                                <w:t xml:space="preserve">muni del sistema fiscale, e una parte speciale, contenente la disciplina delle </w:t>
                              </w:r>
                            </w:p>
                          </w:txbxContent>
                        </wps:txbx>
                        <wps:bodyPr horzOverflow="overflow" vert="horz" lIns="0" tIns="0" rIns="0" bIns="0" rtlCol="0">
                          <a:noAutofit/>
                        </wps:bodyPr>
                      </wps:wsp>
                      <wps:wsp>
                        <wps:cNvPr id="23539" name="Rectangle 23539"/>
                        <wps:cNvSpPr/>
                        <wps:spPr>
                          <a:xfrm rot="-10799999">
                            <a:off x="-1317229" y="1444503"/>
                            <a:ext cx="5309021" cy="142889"/>
                          </a:xfrm>
                          <a:prstGeom prst="rect">
                            <a:avLst/>
                          </a:prstGeom>
                          <a:ln>
                            <a:noFill/>
                          </a:ln>
                        </wps:spPr>
                        <wps:txbx>
                          <w:txbxContent>
                            <w:p w14:paraId="4C6B8D30" w14:textId="77777777" w:rsidR="00B32EF2" w:rsidRDefault="00000000">
                              <w:r>
                                <w:rPr>
                                  <w:rFonts w:ascii="Arial" w:eastAsia="Arial" w:hAnsi="Arial" w:cs="Arial"/>
                                  <w:sz w:val="18"/>
                                </w:rPr>
                                <w:t xml:space="preserve">singole imposte, al fine di semplificare il sistema tributario e accrescere la </w:t>
                              </w:r>
                            </w:p>
                          </w:txbxContent>
                        </wps:txbx>
                        <wps:bodyPr horzOverflow="overflow" vert="horz" lIns="0" tIns="0" rIns="0" bIns="0" rtlCol="0">
                          <a:noAutofit/>
                        </wps:bodyPr>
                      </wps:wsp>
                      <wps:wsp>
                        <wps:cNvPr id="23540" name="Rectangle 23540"/>
                        <wps:cNvSpPr/>
                        <wps:spPr>
                          <a:xfrm rot="-10799999">
                            <a:off x="-1317244" y="1321173"/>
                            <a:ext cx="5309036" cy="142889"/>
                          </a:xfrm>
                          <a:prstGeom prst="rect">
                            <a:avLst/>
                          </a:prstGeom>
                          <a:ln>
                            <a:noFill/>
                          </a:ln>
                        </wps:spPr>
                        <wps:txbx>
                          <w:txbxContent>
                            <w:p w14:paraId="0715F7C0" w14:textId="77777777" w:rsidR="00B32EF2" w:rsidRDefault="00000000">
                              <w:r>
                                <w:rPr>
                                  <w:rFonts w:ascii="Arial" w:eastAsia="Arial" w:hAnsi="Arial" w:cs="Arial"/>
                                  <w:sz w:val="18"/>
                                </w:rPr>
                                <w:t xml:space="preserve">chiarezza e la conoscibilità delle norme fiscali, la certezza dei rapporti giuridici </w:t>
                              </w:r>
                            </w:p>
                          </w:txbxContent>
                        </wps:txbx>
                        <wps:bodyPr horzOverflow="overflow" vert="horz" lIns="0" tIns="0" rIns="0" bIns="0" rtlCol="0">
                          <a:noAutofit/>
                        </wps:bodyPr>
                      </wps:wsp>
                      <wps:wsp>
                        <wps:cNvPr id="23541" name="Rectangle 23541"/>
                        <wps:cNvSpPr/>
                        <wps:spPr>
                          <a:xfrm rot="-10799999">
                            <a:off x="-1317107" y="1197844"/>
                            <a:ext cx="5308899" cy="142889"/>
                          </a:xfrm>
                          <a:prstGeom prst="rect">
                            <a:avLst/>
                          </a:prstGeom>
                          <a:ln>
                            <a:noFill/>
                          </a:ln>
                        </wps:spPr>
                        <wps:txbx>
                          <w:txbxContent>
                            <w:p w14:paraId="3345F4C4" w14:textId="77777777" w:rsidR="00B32EF2" w:rsidRDefault="00000000">
                              <w:r>
                                <w:rPr>
                                  <w:rFonts w:ascii="Arial" w:eastAsia="Arial" w:hAnsi="Arial" w:cs="Arial"/>
                                  <w:sz w:val="18"/>
                                </w:rPr>
                                <w:t xml:space="preserve">e l’efficienza dell’operato dell’Amministrazione finanziaria. Per quanto riguarda </w:t>
                              </w:r>
                            </w:p>
                          </w:txbxContent>
                        </wps:txbx>
                        <wps:bodyPr horzOverflow="overflow" vert="horz" lIns="0" tIns="0" rIns="0" bIns="0" rtlCol="0">
                          <a:noAutofit/>
                        </wps:bodyPr>
                      </wps:wsp>
                      <wps:wsp>
                        <wps:cNvPr id="23542" name="Rectangle 23542"/>
                        <wps:cNvSpPr/>
                        <wps:spPr>
                          <a:xfrm rot="-10799999">
                            <a:off x="-1317244" y="1074513"/>
                            <a:ext cx="5309036" cy="142889"/>
                          </a:xfrm>
                          <a:prstGeom prst="rect">
                            <a:avLst/>
                          </a:prstGeom>
                          <a:ln>
                            <a:noFill/>
                          </a:ln>
                        </wps:spPr>
                        <wps:txbx>
                          <w:txbxContent>
                            <w:p w14:paraId="3141FCCA" w14:textId="77777777" w:rsidR="00B32EF2" w:rsidRDefault="00000000">
                              <w:r>
                                <w:rPr>
                                  <w:rFonts w:ascii="Arial" w:eastAsia="Arial" w:hAnsi="Arial" w:cs="Arial"/>
                                  <w:sz w:val="18"/>
                                </w:rPr>
                                <w:t xml:space="preserve">la disciplina della parte generale, il Governo si attiene ai seguenti principi e </w:t>
                              </w:r>
                            </w:p>
                          </w:txbxContent>
                        </wps:txbx>
                        <wps:bodyPr horzOverflow="overflow" vert="horz" lIns="0" tIns="0" rIns="0" bIns="0" rtlCol="0">
                          <a:noAutofit/>
                        </wps:bodyPr>
                      </wps:wsp>
                      <wps:wsp>
                        <wps:cNvPr id="23543" name="Rectangle 23543"/>
                        <wps:cNvSpPr/>
                        <wps:spPr>
                          <a:xfrm rot="-10799999">
                            <a:off x="3035515" y="951184"/>
                            <a:ext cx="956276" cy="142889"/>
                          </a:xfrm>
                          <a:prstGeom prst="rect">
                            <a:avLst/>
                          </a:prstGeom>
                          <a:ln>
                            <a:noFill/>
                          </a:ln>
                        </wps:spPr>
                        <wps:txbx>
                          <w:txbxContent>
                            <w:p w14:paraId="46DB8AE6" w14:textId="77777777" w:rsidR="00B32EF2" w:rsidRDefault="00000000">
                              <w:r>
                                <w:rPr>
                                  <w:rFonts w:ascii="Arial" w:eastAsia="Arial" w:hAnsi="Arial" w:cs="Arial"/>
                                  <w:sz w:val="18"/>
                                </w:rPr>
                                <w:t>criteri direttivi:</w:t>
                              </w:r>
                            </w:p>
                          </w:txbxContent>
                        </wps:txbx>
                        <wps:bodyPr horzOverflow="overflow" vert="horz" lIns="0" tIns="0" rIns="0" bIns="0" rtlCol="0">
                          <a:noAutofit/>
                        </wps:bodyPr>
                      </wps:wsp>
                      <wps:wsp>
                        <wps:cNvPr id="23544" name="Rectangle 23544"/>
                        <wps:cNvSpPr/>
                        <wps:spPr>
                          <a:xfrm rot="-10799999">
                            <a:off x="-1317244" y="827854"/>
                            <a:ext cx="5309036" cy="142889"/>
                          </a:xfrm>
                          <a:prstGeom prst="rect">
                            <a:avLst/>
                          </a:prstGeom>
                          <a:ln>
                            <a:noFill/>
                          </a:ln>
                        </wps:spPr>
                        <wps:txbx>
                          <w:txbxContent>
                            <w:p w14:paraId="2DE18362" w14:textId="77777777" w:rsidR="00B32EF2" w:rsidRDefault="00000000">
                              <w:r>
                                <w:rPr>
                                  <w:rFonts w:ascii="Arial" w:eastAsia="Arial" w:hAnsi="Arial" w:cs="Arial"/>
                                  <w:sz w:val="18"/>
                                </w:rPr>
                                <w:t xml:space="preserve">a) recepimento dei principi contenuti nello statuto dei diritti del contribuente, di </w:t>
                              </w:r>
                            </w:p>
                          </w:txbxContent>
                        </wps:txbx>
                        <wps:bodyPr horzOverflow="overflow" vert="horz" lIns="0" tIns="0" rIns="0" bIns="0" rtlCol="0">
                          <a:noAutofit/>
                        </wps:bodyPr>
                      </wps:wsp>
                      <wps:wsp>
                        <wps:cNvPr id="23545" name="Rectangle 23545"/>
                        <wps:cNvSpPr/>
                        <wps:spPr>
                          <a:xfrm rot="-10799999">
                            <a:off x="1551186" y="704524"/>
                            <a:ext cx="2440604" cy="142889"/>
                          </a:xfrm>
                          <a:prstGeom prst="rect">
                            <a:avLst/>
                          </a:prstGeom>
                          <a:ln>
                            <a:noFill/>
                          </a:ln>
                        </wps:spPr>
                        <wps:txbx>
                          <w:txbxContent>
                            <w:p w14:paraId="4935F800" w14:textId="77777777" w:rsidR="00B32EF2" w:rsidRDefault="00000000">
                              <w:r>
                                <w:rPr>
                                  <w:rFonts w:ascii="Arial" w:eastAsia="Arial" w:hAnsi="Arial" w:cs="Arial"/>
                                  <w:sz w:val="18"/>
                                </w:rPr>
                                <w:t>cui alla legge 27 luglio 2000, n. 212;</w:t>
                              </w:r>
                            </w:p>
                          </w:txbxContent>
                        </wps:txbx>
                        <wps:bodyPr horzOverflow="overflow" vert="horz" lIns="0" tIns="0" rIns="0" bIns="0" rtlCol="0">
                          <a:noAutofit/>
                        </wps:bodyPr>
                      </wps:wsp>
                      <wps:wsp>
                        <wps:cNvPr id="23546" name="Rectangle 23546"/>
                        <wps:cNvSpPr/>
                        <wps:spPr>
                          <a:xfrm rot="-10799999">
                            <a:off x="-1317290" y="581194"/>
                            <a:ext cx="5309082" cy="142889"/>
                          </a:xfrm>
                          <a:prstGeom prst="rect">
                            <a:avLst/>
                          </a:prstGeom>
                          <a:ln>
                            <a:noFill/>
                          </a:ln>
                        </wps:spPr>
                        <wps:txbx>
                          <w:txbxContent>
                            <w:p w14:paraId="3462C14F" w14:textId="77777777" w:rsidR="00B32EF2" w:rsidRDefault="00000000">
                              <w:r>
                                <w:rPr>
                                  <w:rFonts w:ascii="Arial" w:eastAsia="Arial" w:hAnsi="Arial" w:cs="Arial"/>
                                  <w:sz w:val="18"/>
                                </w:rPr>
                                <w:t xml:space="preserve">b) previsione di una disciplina, unitaria per tutti i tributi, del soggetto passivo, </w:t>
                              </w:r>
                            </w:p>
                          </w:txbxContent>
                        </wps:txbx>
                        <wps:bodyPr horzOverflow="overflow" vert="horz" lIns="0" tIns="0" rIns="0" bIns="0" rtlCol="0">
                          <a:noAutofit/>
                        </wps:bodyPr>
                      </wps:wsp>
                      <wps:wsp>
                        <wps:cNvPr id="23547" name="Rectangle 23547"/>
                        <wps:cNvSpPr/>
                        <wps:spPr>
                          <a:xfrm rot="-10799999">
                            <a:off x="-1219616" y="457865"/>
                            <a:ext cx="5211865" cy="142889"/>
                          </a:xfrm>
                          <a:prstGeom prst="rect">
                            <a:avLst/>
                          </a:prstGeom>
                          <a:ln>
                            <a:noFill/>
                          </a:ln>
                        </wps:spPr>
                        <wps:txbx>
                          <w:txbxContent>
                            <w:p w14:paraId="2725EE76" w14:textId="77777777" w:rsidR="00B32EF2" w:rsidRDefault="00000000">
                              <w:r>
                                <w:rPr>
                                  <w:rFonts w:ascii="Arial" w:eastAsia="Arial" w:hAnsi="Arial" w:cs="Arial"/>
                                  <w:sz w:val="18"/>
                                </w:rPr>
                                <w:t>dell’obbligazione tributaria, delle sanzioni e del processo; la disciplina dell’ob</w:t>
                              </w:r>
                            </w:p>
                          </w:txbxContent>
                        </wps:txbx>
                        <wps:bodyPr horzOverflow="overflow" vert="horz" lIns="0" tIns="0" rIns="0" bIns="0" rtlCol="0">
                          <a:noAutofit/>
                        </wps:bodyPr>
                      </wps:wsp>
                      <wps:wsp>
                        <wps:cNvPr id="23548" name="Rectangle 23548"/>
                        <wps:cNvSpPr/>
                        <wps:spPr>
                          <a:xfrm rot="-10799999">
                            <a:off x="19192" y="457865"/>
                            <a:ext cx="50622" cy="142889"/>
                          </a:xfrm>
                          <a:prstGeom prst="rect">
                            <a:avLst/>
                          </a:prstGeom>
                          <a:ln>
                            <a:noFill/>
                          </a:ln>
                        </wps:spPr>
                        <wps:txbx>
                          <w:txbxContent>
                            <w:p w14:paraId="49721F84"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549" name="Rectangle 23549"/>
                        <wps:cNvSpPr/>
                        <wps:spPr>
                          <a:xfrm rot="-10799999">
                            <a:off x="-1219253" y="334535"/>
                            <a:ext cx="5211044" cy="142889"/>
                          </a:xfrm>
                          <a:prstGeom prst="rect">
                            <a:avLst/>
                          </a:prstGeom>
                          <a:ln>
                            <a:noFill/>
                          </a:ln>
                        </wps:spPr>
                        <wps:txbx>
                          <w:txbxContent>
                            <w:p w14:paraId="5C127E47" w14:textId="77777777" w:rsidR="00B32EF2" w:rsidRDefault="00000000">
                              <w:r>
                                <w:rPr>
                                  <w:rFonts w:ascii="Arial" w:eastAsia="Arial" w:hAnsi="Arial" w:cs="Arial"/>
                                  <w:sz w:val="18"/>
                                </w:rPr>
                                <w:t>bligazione tributaria prevede principi e regole in materia di dichiarazione, ac</w:t>
                              </w:r>
                            </w:p>
                          </w:txbxContent>
                        </wps:txbx>
                        <wps:bodyPr horzOverflow="overflow" vert="horz" lIns="0" tIns="0" rIns="0" bIns="0" rtlCol="0">
                          <a:noAutofit/>
                        </wps:bodyPr>
                      </wps:wsp>
                      <wps:wsp>
                        <wps:cNvPr id="23550" name="Rectangle 23550"/>
                        <wps:cNvSpPr/>
                        <wps:spPr>
                          <a:xfrm rot="-10799999">
                            <a:off x="19192" y="334535"/>
                            <a:ext cx="50622" cy="142889"/>
                          </a:xfrm>
                          <a:prstGeom prst="rect">
                            <a:avLst/>
                          </a:prstGeom>
                          <a:ln>
                            <a:noFill/>
                          </a:ln>
                        </wps:spPr>
                        <wps:txbx>
                          <w:txbxContent>
                            <w:p w14:paraId="634AA993"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551" name="Rectangle 23551"/>
                        <wps:cNvSpPr/>
                        <wps:spPr>
                          <a:xfrm rot="-10799999">
                            <a:off x="2228781" y="211206"/>
                            <a:ext cx="1763010" cy="142889"/>
                          </a:xfrm>
                          <a:prstGeom prst="rect">
                            <a:avLst/>
                          </a:prstGeom>
                          <a:ln>
                            <a:noFill/>
                          </a:ln>
                        </wps:spPr>
                        <wps:txbx>
                          <w:txbxContent>
                            <w:p w14:paraId="4FD08717" w14:textId="77777777" w:rsidR="00B32EF2" w:rsidRDefault="00000000">
                              <w:r>
                                <w:rPr>
                                  <w:rFonts w:ascii="Arial" w:eastAsia="Arial" w:hAnsi="Arial" w:cs="Arial"/>
                                  <w:sz w:val="18"/>
                                </w:rPr>
                                <w:t>certamento e riscossione;</w:t>
                              </w:r>
                            </w:p>
                          </w:txbxContent>
                        </wps:txbx>
                        <wps:bodyPr horzOverflow="overflow" vert="horz" lIns="0" tIns="0" rIns="0" bIns="0" rtlCol="0">
                          <a:noAutofit/>
                        </wps:bodyPr>
                      </wps:wsp>
                      <wps:wsp>
                        <wps:cNvPr id="23552" name="Rectangle 23552"/>
                        <wps:cNvSpPr/>
                        <wps:spPr>
                          <a:xfrm rot="-10799999">
                            <a:off x="-1219648" y="87876"/>
                            <a:ext cx="5211440" cy="142889"/>
                          </a:xfrm>
                          <a:prstGeom prst="rect">
                            <a:avLst/>
                          </a:prstGeom>
                          <a:ln>
                            <a:noFill/>
                          </a:ln>
                        </wps:spPr>
                        <wps:txbx>
                          <w:txbxContent>
                            <w:p w14:paraId="35088FAE" w14:textId="77777777" w:rsidR="00B32EF2" w:rsidRDefault="00000000">
                              <w:r>
                                <w:rPr>
                                  <w:rFonts w:ascii="Arial" w:eastAsia="Arial" w:hAnsi="Arial" w:cs="Arial"/>
                                  <w:sz w:val="18"/>
                                </w:rPr>
                                <w:t>c) previsione di un monitoraggio periodico della legislazione tributaria codifi</w:t>
                              </w:r>
                            </w:p>
                          </w:txbxContent>
                        </wps:txbx>
                        <wps:bodyPr horzOverflow="overflow" vert="horz" lIns="0" tIns="0" rIns="0" bIns="0" rtlCol="0">
                          <a:noAutofit/>
                        </wps:bodyPr>
                      </wps:wsp>
                      <wps:wsp>
                        <wps:cNvPr id="23553" name="Rectangle 23553"/>
                        <wps:cNvSpPr/>
                        <wps:spPr>
                          <a:xfrm rot="-10799999">
                            <a:off x="19192" y="87876"/>
                            <a:ext cx="50622" cy="142889"/>
                          </a:xfrm>
                          <a:prstGeom prst="rect">
                            <a:avLst/>
                          </a:prstGeom>
                          <a:ln>
                            <a:noFill/>
                          </a:ln>
                        </wps:spPr>
                        <wps:txbx>
                          <w:txbxContent>
                            <w:p w14:paraId="6264CA28"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554" name="Rectangle 23554"/>
                        <wps:cNvSpPr/>
                        <wps:spPr>
                          <a:xfrm rot="-10799999">
                            <a:off x="3655904" y="-35453"/>
                            <a:ext cx="335886" cy="142889"/>
                          </a:xfrm>
                          <a:prstGeom prst="rect">
                            <a:avLst/>
                          </a:prstGeom>
                          <a:ln>
                            <a:noFill/>
                          </a:ln>
                        </wps:spPr>
                        <wps:txbx>
                          <w:txbxContent>
                            <w:p w14:paraId="1F5348A6" w14:textId="77777777" w:rsidR="00B32EF2" w:rsidRDefault="00000000">
                              <w:r>
                                <w:rPr>
                                  <w:rFonts w:ascii="Arial" w:eastAsia="Arial" w:hAnsi="Arial" w:cs="Arial"/>
                                  <w:sz w:val="18"/>
                                </w:rPr>
                                <w:t>cata.</w:t>
                              </w:r>
                            </w:p>
                          </w:txbxContent>
                        </wps:txbx>
                        <wps:bodyPr horzOverflow="overflow" vert="horz" lIns="0" tIns="0" rIns="0" bIns="0" rtlCol="0">
                          <a:noAutofit/>
                        </wps:bodyPr>
                      </wps:wsp>
                    </wpg:wgp>
                  </a:graphicData>
                </a:graphic>
              </wp:inline>
            </w:drawing>
          </mc:Choice>
          <mc:Fallback>
            <w:pict>
              <v:group w14:anchorId="424EF941" id="Group 202433" o:spid="_x0000_s7141" style="width:314.3pt;height:367.75pt;mso-position-horizontal-relative:char;mso-position-vertical-relative:line" coordsize="39917,46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hLfQcAAONUAAAOAAAAZHJzL2Uyb0RvYy54bWzknG+P2jYcx59P2nuI8vyK/ztG5appXatJ&#10;01qt2wvIceFAAoISWq579fvaJqaAp2lhmk9yH9AQuGD/Pv798ddOXr953qyLL03Xr9rtrKSvSFk0&#10;23n7uNo+zco/fn93V5VFv6+3j/W63Taz8mvTl2/uv//u9WE3bVi7bNePTVfgItt+etjNyuV+v5tO&#10;Jv182Wzq/lW7a7b4cNF2m3qPt93T5LGrD7j6Zj1hhKjJoe0ed107b/oeZ9/6D8t7d/3FopnvPywW&#10;fbMv1rMSbdu71869PtjXyf3revrU1bvlan5sRj2iFZt6tcWPhku9rfd18blbXV1qs5p3bd8u9q/m&#10;7WbSLhareeP6gN5QctGb9137eef68jQ9PO2CmWDaCzuNvuz81y/vu92n3ccOljjsnmAL98725XnR&#10;bez/aGXx7Ez2NZised4Xc5zkxlBtaFnM8ZlQmiguvFHnS1j+6u/my5/+4S8nww9Pzppz2GGA9Ccb&#10;9LfZ4NOy3jXOtP0UNvjYFavHWcm4pKIstvUGQ/U3DJ56+7RuCn/aGch9O5irn/aw3GCromsxvu4o&#10;0cb+c+PhaDslmTa8LKyRcKiF9EYazMio1tIob0YqWFUZ+4Vgi3q66/r9+6bdFPZgVnZonPuB+ssv&#10;/d5/dfiKbc96a1+37bvVeu0/tWdg0qHJ9mj//PDs+i0rzezv2ZMP7eNXmGPZdn9+gGMv1u1hVrbH&#10;o9L6On7efloW65+3wGDdajjohoOH4aDbr39snfP5Bv3wed8uVq7Fp187tgx8fRv+F9AyDtqRsU3D&#10;sPj3oO+40JrCHyxpKkFVnZPmuiIVwSCzDpOENM+ONPwq5tKOzGjSVJKq0khv4MgNpcToc9IVUYaz&#10;hKBdID45WQYureOgHZjRoO8ok4joPnrDfbVWF6Qlo4IQkxB1CFrZRG84XsynqyG4jYvemmvFkNCs&#10;TyslBL8gLQRRrkRIFr1D0MqDNGGCwvOuUPvzx5JlFGumELIVErFlLQUCuBs79XSoySQnhrBjaZsk&#10;U4e4lQ/rWPVtWYdcNor1HYVfC4aK7+XCDpErD9hc2jh75dfu9C1ujWzN4MuoBCxqgXkVajRc8Bu/&#10;ZpRVmJ6lq8Dd3C6nwsxG0RhqelO2poYa1Nd/y5kolrD8rpy4lBVlWDtGOUgLY2M31bQ6lt/MCCEu&#10;HZqTymgE91RFWRXGcTaxO1aTIXYHbWEsaqgjx5IM0Cl1kfIUugVlJqlMVoWxnA3pWEUG0jcXZFQz&#10;hiRsozeBZuYFzxPq5NU3Ik5miqitj2PxO4gLI52aKY5lAoeaGSaEvPBqyaRELk8Yv8Ngzsar45Io&#10;C+rCSNQcXi18AGcVoZQfV9jO5tQ84TpHFQZzNqjjoigL4sJI1IxWhvuqjCnEb3KJmmEWZkNKsqos&#10;DOZsUMdFURakhVGoT9MsyxlK+MV0OvE0K4zjbCgjlcbSdFAVRlGGREY19BKfpqUUQl86NPRQ5/HJ&#10;HDqM41xQI33GUPusesOClk3TdqMDim8mOMXq1YVPW+mbpIzdYTBngzoukfEgLYzzars0edS9GSe6&#10;wtaEMzFUSMoZTViQGTf0cpLJ7J6ASPzG6Rt1by3JcUaN2gwq2QVqyZSqUq5nYYqX1YzarlvFvNqf&#10;vwW2X7v0e08YUZTKS9apAziE+exYx/zasg6mGBfCKa+ohvDosvXLhJ2dVIZNrtEYHoSksahPqig1&#10;2GuEBSy40QtSRU3oYTaFWVwV5UFIGo+aKh/CaUWF8BHzDHVlFCYAqaZbJvQwG9RxVRR65S3JGjsS&#10;aKWt6InpFlXYKqouvRpSmYRKkw516GE2qOOqqN/vN3pmfZLK4pzTSmV+g3JWU624IMqDkDQ+dg/L&#10;HFQqXUEHv07TKZc5TOhhNg4dV0V5EJJuQH2cVSNJC0liqJPOqkMPc0ENtTJWfHsRc3TsdgJ48GqI&#10;YpDDX5ZXQ5IdCpFsUMf0E7tbezDEeK8e9ohik5GGWnaFGrfgIaQkKr4NCT3MBnVMPgHqm9WT05YE&#10;ILd69xVqQxLmatxjMAzmbFDHdw8KR2Z0AOeEYx8RZuuYZhlJIYGfgzZSMZ1upQODLDvOcZXMB9vR&#10;nM8SdcV0JS9Au62DST06O5EM97NHS7IgIY3K0xT+TCsvnGiCG+cvQKNaIyrhvdQGS+RZrXIgHccl&#10;Mpy+TSKzOxKwFGxjt8QitZeZz8RQQ+waSLJ6LHQwmyQdV8hE2G81yqWtGGqU3XAA0kLqSjkX+oY0&#10;Jl72ZDrSoYPZkI6rZP42m9Fp+qSFRjEnlUIRS4Z4lQ3kuD4mgno03p2ZPN6cxYX0y2Ln7kzsjvBk&#10;gTt0MBfSMi6P4fQtKfrkzjyGOa0709C3bCDHhTG/D2h0zGaM4ZE2uDSSM/IwthbZMXPyZqoVx2PK&#10;0nmz375o+5cN6LgsJoNoND5uK2R4SxrIoYucgca2Uax2pAQd+pcN6Lgohtz634TtGOXEUTt0LRvG&#10;cUHMC1ijozZXUprjbdN3mKL7IXOK2pzLyqooqUqw08NbUnN2j5TEkzTdkxWPT/20j+r89r17FuHp&#10;2aT3fwEAAP//AwBQSwMEFAAGAAgAAAAhANS8LcvdAAAABQEAAA8AAABkcnMvZG93bnJldi54bWxM&#10;j0FLw0AQhe+C/2EZwZvdpCWxpNmUUtRTEWwF6W2anSah2dmQ3Sbpv3f1opeBx3u8902+nkwrBupd&#10;Y1lBPItAEJdWN1wp+Dy8Pi1BOI+ssbVMCm7kYF3c3+WYaTvyBw17X4lQwi5DBbX3XSalK2sy6Ga2&#10;Iw7e2fYGfZB9JXWPYyg3rZxHUSoNNhwWauxoW1N52V+NgrcRx80ifhl2l/P2djwk71+7mJR6fJg2&#10;KxCeJv8Xhh/8gA5FYDrZK2snWgXhEf97g5fOlymIk4LnRZKALHL5n774BgAA//8DAFBLAQItABQA&#10;BgAIAAAAIQC2gziS/gAAAOEBAAATAAAAAAAAAAAAAAAAAAAAAABbQ29udGVudF9UeXBlc10ueG1s&#10;UEsBAi0AFAAGAAgAAAAhADj9If/WAAAAlAEAAAsAAAAAAAAAAAAAAAAALwEAAF9yZWxzLy5yZWxz&#10;UEsBAi0AFAAGAAgAAAAhAB1iiEt9BwAA41QAAA4AAAAAAAAAAAAAAAAALgIAAGRycy9lMm9Eb2Mu&#10;eG1sUEsBAi0AFAAGAAgAAAAhANS8LcvdAAAABQEAAA8AAAAAAAAAAAAAAAAA1wkAAGRycy9kb3du&#10;cmV2LnhtbFBLBQYAAAAABAAEAPMAAADhCgAAAAA=&#10;">
                <v:rect id="Rectangle 23514" o:spid="_x0000_s7142" style="position:absolute;left:6527;top:45277;width:217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Xy+xwAAAN4AAAAPAAAAZHJzL2Rvd25yZXYueG1sRI9Pa8JA&#10;FMTvgt9heUJvutFqkdRVikXMoRf/FHp8ZJ9J2uzbJbua6KfvCoLHYWZ+wyxWnanFhRpfWVYwHiUg&#10;iHOrKy4UHA+b4RyED8gaa8uk4EoeVst+b4Gpti3v6LIPhYgQ9ikqKENwqZQ+L8mgH1lHHL2TbQyG&#10;KJtC6gbbCDe1nCTJmzRYcVwo0dG6pPxvfzYKfj7ZZZtW5qfb2n39ZvN6ez5+K/Uy6D7eQQTqwjP8&#10;aGdaweR1Np7C/U68AnL5DwAA//8DAFBLAQItABQABgAIAAAAIQDb4fbL7gAAAIUBAAATAAAAAAAA&#10;AAAAAAAAAAAAAABbQ29udGVudF9UeXBlc10ueG1sUEsBAi0AFAAGAAgAAAAhAFr0LFu/AAAAFQEA&#10;AAsAAAAAAAAAAAAAAAAAHwEAAF9yZWxzLy5yZWxzUEsBAi0AFAAGAAgAAAAhALldfL7HAAAA3gAA&#10;AA8AAAAAAAAAAAAAAAAABwIAAGRycy9kb3ducmV2LnhtbFBLBQYAAAAAAwADALcAAAD7AgAAAAA=&#10;" filled="f" stroked="f">
                  <v:textbox inset="0,0,0,0">
                    <w:txbxContent>
                      <w:p w14:paraId="08FC271F" w14:textId="77777777" w:rsidR="00B32EF2" w:rsidRDefault="00000000">
                        <w:r>
                          <w:rPr>
                            <w:rFonts w:ascii="Arial" w:eastAsia="Arial" w:hAnsi="Arial" w:cs="Arial"/>
                            <w:b/>
                            <w:sz w:val="18"/>
                          </w:rPr>
                          <w:t>LEGGE DEL 09/08/2023 N. 111</w:t>
                        </w:r>
                      </w:p>
                    </w:txbxContent>
                  </v:textbox>
                </v:rect>
                <v:rect id="Rectangle 23515" o:spid="_x0000_s7143" style="position:absolute;left:-3477;top:41577;width:378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dklxgAAAN4AAAAPAAAAZHJzL2Rvd25yZXYueG1sRI9Ba8JA&#10;FITvgv9heUJvutFikegqoog5eKla6PGRfSbR7Nslu5q0v94tFDwOM/MNs1h1phYPanxlWcF4lIAg&#10;zq2uuFBwPu2GMxA+IGusLZOCH/KwWvZ7C0y1bfmTHsdQiAhhn6KCMgSXSunzkgz6kXXE0bvYxmCI&#10;simkbrCNcFPLSZJ8SIMVx4USHW1Kym/Hu1HwvWWX7VqZX3437nDNZvX+fv5S6m3QrecgAnXhFf5v&#10;Z1rB5H06nsLfnXgF5PIJAAD//wMAUEsBAi0AFAAGAAgAAAAhANvh9svuAAAAhQEAABMAAAAAAAAA&#10;AAAAAAAAAAAAAFtDb250ZW50X1R5cGVzXS54bWxQSwECLQAUAAYACAAAACEAWvQsW78AAAAVAQAA&#10;CwAAAAAAAAAAAAAAAAAfAQAAX3JlbHMvLnJlbHNQSwECLQAUAAYACAAAACEA1hHZJcYAAADeAAAA&#10;DwAAAAAAAAAAAAAAAAAHAgAAZHJzL2Rvd25yZXYueG1sUEsFBgAAAAADAAMAtwAAAPoCAAAAAA==&#10;" filled="f" stroked="f">
                  <v:textbox inset="0,0,0,0">
                    <w:txbxContent>
                      <w:p w14:paraId="50ED369E" w14:textId="77777777" w:rsidR="00B32EF2" w:rsidRDefault="00000000">
                        <w:r>
                          <w:rPr>
                            <w:rFonts w:ascii="Arial" w:eastAsia="Arial" w:hAnsi="Arial" w:cs="Arial"/>
                            <w:b/>
                            <w:sz w:val="18"/>
                          </w:rPr>
                          <w:t>DELEGA AL GOVERNO PER LA RIFORMA FISCALE</w:t>
                        </w:r>
                      </w:p>
                    </w:txbxContent>
                  </v:textbox>
                </v:rect>
                <v:rect id="Rectangle 23516" o:spid="_x0000_s7144" style="position:absolute;left:15088;top:39110;width:8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0dSxgAAAN4AAAAPAAAAZHJzL2Rvd25yZXYueG1sRI9Ba8JA&#10;FITvgv9heUJvutGiSHQVUcQcvGgt9PjIPpNo9u2SXU3aX+8WCj0OM/MNs1x3phZPanxlWcF4lIAg&#10;zq2uuFBw+dgP5yB8QNZYWyYF3+Rhver3lphq2/KJnudQiAhhn6KCMgSXSunzkgz6kXXE0bvaxmCI&#10;simkbrCNcFPLSZLMpMGK40KJjrYl5ffzwyj42rHL9q3Mrz9bd7xl8/rwuHwq9TboNgsQgbrwH/5r&#10;Z1rB5H06nsHvnXgF5OoFAAD//wMAUEsBAi0AFAAGAAgAAAAhANvh9svuAAAAhQEAABMAAAAAAAAA&#10;AAAAAAAAAAAAAFtDb250ZW50X1R5cGVzXS54bWxQSwECLQAUAAYACAAAACEAWvQsW78AAAAVAQAA&#10;CwAAAAAAAAAAAAAAAAAfAQAAX3JlbHMvLnJlbHNQSwECLQAUAAYACAAAACEAJsNHUsYAAADeAAAA&#10;DwAAAAAAAAAAAAAAAAAHAgAAZHJzL2Rvd25yZXYueG1sUEsFBgAAAAADAAMAtwAAAPoCAAAAAA==&#10;" filled="f" stroked="f">
                  <v:textbox inset="0,0,0,0">
                    <w:txbxContent>
                      <w:p w14:paraId="5C455B82" w14:textId="77777777" w:rsidR="00B32EF2" w:rsidRDefault="00000000">
                        <w:r>
                          <w:rPr>
                            <w:rFonts w:ascii="Arial" w:eastAsia="Arial" w:hAnsi="Arial" w:cs="Arial"/>
                            <w:b/>
                            <w:sz w:val="18"/>
                          </w:rPr>
                          <w:t>Articolo 21</w:t>
                        </w:r>
                      </w:p>
                    </w:txbxContent>
                  </v:textbox>
                </v:rect>
                <v:rect id="Rectangle 23517" o:spid="_x0000_s7145" style="position:absolute;left:-12579;top:37877;width:521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LJxwAAAN4AAAAPAAAAZHJzL2Rvd25yZXYueG1sRI9Pa8JA&#10;FMTvgt9heUJvutGildRVikXMoRf/FHp8ZJ9J2uzbJbua6KfvCoLHYWZ+wyxWnanFhRpfWVYwHiUg&#10;iHOrKy4UHA+b4RyED8gaa8uk4EoeVst+b4Gpti3v6LIPhYgQ9ikqKENwqZQ+L8mgH1lHHL2TbQyG&#10;KJtC6gbbCDe1nCTJTBqsOC6U6GhdUv63PxsFP5/ssk0r89Nt7b5+s3m9PR+/lXoZdB/vIAJ14Rl+&#10;tDOtYPI6Hb/B/U68AnL5DwAA//8DAFBLAQItABQABgAIAAAAIQDb4fbL7gAAAIUBAAATAAAAAAAA&#10;AAAAAAAAAAAAAABbQ29udGVudF9UeXBlc10ueG1sUEsBAi0AFAAGAAgAAAAhAFr0LFu/AAAAFQEA&#10;AAsAAAAAAAAAAAAAAAAAHwEAAF9yZWxzLy5yZWxzUEsBAi0AFAAGAAgAAAAhAEmP4snHAAAA3gAA&#10;AA8AAAAAAAAAAAAAAAAABwIAAGRycy9kb3ducmV2LnhtbFBLBQYAAAAAAwADALcAAAD7AgAAAAA=&#10;" filled="f" stroked="f">
                  <v:textbox inset="0,0,0,0">
                    <w:txbxContent>
                      <w:p w14:paraId="4E1291B8" w14:textId="77777777" w:rsidR="00B32EF2" w:rsidRDefault="00000000">
                        <w:r>
                          <w:rPr>
                            <w:rFonts w:ascii="Arial" w:eastAsia="Arial" w:hAnsi="Arial" w:cs="Arial"/>
                            <w:b/>
                            <w:sz w:val="18"/>
                          </w:rPr>
                          <w:t xml:space="preserve">Principi e criteri direttivi per il riordino del sistema tributario mediante </w:t>
                        </w:r>
                      </w:p>
                    </w:txbxContent>
                  </v:textbox>
                </v:rect>
                <v:rect id="Rectangle 23518" o:spid="_x0000_s7146" style="position:absolute;left:-7376;top:36644;width:440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Ha7xQAAAN4AAAAPAAAAZHJzL2Rvd25yZXYueG1sRE/JasMw&#10;EL0X8g9iArnVclJagms5hIRQH3ppFuhxsMZLa42EpcROv746FHp8vD3fTKYXNxp8Z1nBMklBEFdW&#10;d9woOJ8Oj2sQPiBr7C2Tgjt52BSzhxwzbUf+oNsxNCKGsM9QQRuCy6T0VUsGfWIdceRqOxgMEQ6N&#10;1AOOMdz0cpWmL9Jgx7GhRUe7lqrv49Uo+NyzKw+jrOqfnXv/Ktf92/V8UWoxn7avIAJN4V/85y61&#10;gtXT8zLujXfiFZDFLwAAAP//AwBQSwECLQAUAAYACAAAACEA2+H2y+4AAACFAQAAEwAAAAAAAAAA&#10;AAAAAAAAAAAAW0NvbnRlbnRfVHlwZXNdLnhtbFBLAQItABQABgAIAAAAIQBa9CxbvwAAABUBAAAL&#10;AAAAAAAAAAAAAAAAAB8BAABfcmVscy8ucmVsc1BLAQItABQABgAIAAAAIQA4EHa7xQAAAN4AAAAP&#10;AAAAAAAAAAAAAAAAAAcCAABkcnMvZG93bnJldi54bWxQSwUGAAAAAAMAAwC3AAAA+QIAAAAA&#10;" filled="f" stroked="f">
                  <v:textbox inset="0,0,0,0">
                    <w:txbxContent>
                      <w:p w14:paraId="28D2A802" w14:textId="77777777" w:rsidR="00B32EF2" w:rsidRDefault="00000000">
                        <w:r>
                          <w:rPr>
                            <w:rFonts w:ascii="Arial" w:eastAsia="Arial" w:hAnsi="Arial" w:cs="Arial"/>
                            <w:b/>
                            <w:sz w:val="18"/>
                          </w:rPr>
                          <w:t>la redazione di testi unici e di un codice del diritto tributario</w:t>
                        </w:r>
                      </w:p>
                    </w:txbxContent>
                  </v:textbox>
                </v:rect>
                <v:rect id="Rectangle 202413" o:spid="_x0000_s7147" style="position:absolute;left:26109;top:35411;width:5309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NsyAAAAN8AAAAPAAAAZHJzL2Rvd25yZXYueG1sRI9Pa8JA&#10;FMTvgt9heYI33ZhKkdRVRJHm0Ev9Az0+ss8kbfbtkl1N7Kd3CwWPw8z8hlmue9OIG7W+tqxgNk1A&#10;EBdW11wqOB33kwUIH5A1NpZJwZ08rFfDwRIzbTv+pNshlCJC2GeooArBZVL6oiKDfmodcfQutjUY&#10;omxLqVvsItw0Mk2SV2mw5rhQoaNtRcXP4WoUfO3Y5ftOFpffrfv4zhfN+/V0Vmo86jdvIAL14Rn+&#10;b+daQZqk89kL/P2JX0CuHgAAAP//AwBQSwECLQAUAAYACAAAACEA2+H2y+4AAACFAQAAEwAAAAAA&#10;AAAAAAAAAAAAAAAAW0NvbnRlbnRfVHlwZXNdLnhtbFBLAQItABQABgAIAAAAIQBa9CxbvwAAABUB&#10;AAALAAAAAAAAAAAAAAAAAB8BAABfcmVscy8ucmVsc1BLAQItABQABgAIAAAAIQCgW+NsyAAAAN8A&#10;AAAPAAAAAAAAAAAAAAAAAAcCAABkcnMvZG93bnJldi54bWxQSwUGAAAAAAMAAwC3AAAA/AIAAAAA&#10;" filled="f" stroked="f">
                  <v:textbox inset="0,0,0,0">
                    <w:txbxContent>
                      <w:p w14:paraId="4AB9A7DA" w14:textId="77777777" w:rsidR="00B32EF2" w:rsidRDefault="00000000">
                        <w:r>
                          <w:rPr>
                            <w:rFonts w:ascii="Arial" w:eastAsia="Arial" w:hAnsi="Arial" w:cs="Arial"/>
                            <w:sz w:val="18"/>
                          </w:rPr>
                          <w:t>1</w:t>
                        </w:r>
                      </w:p>
                    </w:txbxContent>
                  </v:textbox>
                </v:rect>
                <v:rect id="Rectangle 202414" o:spid="_x0000_s7148" style="position:absolute;left:-13764;top:35411;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nsYyAAAAN8AAAAPAAAAZHJzL2Rvd25yZXYueG1sRI9La8Mw&#10;EITvhfwHsYXeGjkmlOBEDiUh1IdemgfkuFjrR2uthKXEbn59VCjkOMzMN8xqPZpOXKn3rWUFs2kC&#10;gri0uuVawfGwe12A8AFZY2eZFPySh3U+eVphpu3AX3Tdh1pECPsMFTQhuExKXzZk0E+tI45eZXuD&#10;Icq+lrrHIcJNJ9MkeZMGW44LDTraNFT+7C9GwXnLrtgNsqxuG/f5XSy6j8vxpNTL8/i+BBFoDI/w&#10;f7vQCtIknc/m8PcnfgGZ3wEAAP//AwBQSwECLQAUAAYACAAAACEA2+H2y+4AAACFAQAAEwAAAAAA&#10;AAAAAAAAAAAAAAAAW0NvbnRlbnRfVHlwZXNdLnhtbFBLAQItABQABgAIAAAAIQBa9CxbvwAAABUB&#10;AAALAAAAAAAAAAAAAAAAAB8BAABfcmVscy8ucmVsc1BLAQItABQABgAIAAAAIQAvsnsYyAAAAN8A&#10;AAAPAAAAAAAAAAAAAAAAAAcCAABkcnMvZG93bnJldi54bWxQSwUGAAAAAAMAAwC3AAAA/AIAAAAA&#10;" filled="f" stroked="f">
                  <v:textbox inset="0,0,0,0">
                    <w:txbxContent>
                      <w:p w14:paraId="123391A2" w14:textId="77777777" w:rsidR="00B32EF2" w:rsidRDefault="00000000">
                        <w:r>
                          <w:rPr>
                            <w:rFonts w:ascii="Arial" w:eastAsia="Arial" w:hAnsi="Arial" w:cs="Arial"/>
                            <w:sz w:val="18"/>
                          </w:rPr>
                          <w:t xml:space="preserve">. Il Governo è delegato ad adottare, entro il 31 dicembre 2025 , uno o più </w:t>
                        </w:r>
                      </w:p>
                    </w:txbxContent>
                  </v:textbox>
                </v:rect>
                <v:rect id="Rectangle 23520" o:spid="_x0000_s7149" style="position:absolute;left:-12211;top:34177;width:5212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AAxQAAAN4AAAAPAAAAZHJzL2Rvd25yZXYueG1sRI/LasJA&#10;FIb3Bd9hOIK7OjGlRaKjiCLNwk29gMtD5phEM2eGzGiiT99ZFLr8+W9882VvGvGg1teWFUzGCQji&#10;wuqaSwXHw/Z9CsIHZI2NZVLwJA/LxeBtjpm2Hf/QYx9KEUfYZ6igCsFlUvqiIoN+bB1x9C62NRii&#10;bEupW+ziuGlkmiRf0mDN8aFCR+uKitv+bhScN+zybSeLy2vtdtd82nzfjyelRsN+NQMRqA//4b92&#10;rhWkH59pBIg4EQXk4hcAAP//AwBQSwECLQAUAAYACAAAACEA2+H2y+4AAACFAQAAEwAAAAAAAAAA&#10;AAAAAAAAAAAAW0NvbnRlbnRfVHlwZXNdLnhtbFBLAQItABQABgAIAAAAIQBa9CxbvwAAABUBAAAL&#10;AAAAAAAAAAAAAAAAAB8BAABfcmVscy8ucmVsc1BLAQItABQABgAIAAAAIQAICrAAxQAAAN4AAAAP&#10;AAAAAAAAAAAAAAAAAAcCAABkcnMvZG93bnJldi54bWxQSwUGAAAAAAMAAwC3AAAA+QIAAAAA&#10;" filled="f" stroked="f">
                  <v:textbox inset="0,0,0,0">
                    <w:txbxContent>
                      <w:p w14:paraId="01A3C261" w14:textId="77777777" w:rsidR="00B32EF2" w:rsidRDefault="00000000">
                        <w:r>
                          <w:rPr>
                            <w:rFonts w:ascii="Arial" w:eastAsia="Arial" w:hAnsi="Arial" w:cs="Arial"/>
                            <w:sz w:val="18"/>
                          </w:rPr>
                          <w:t>decreti legislativi, secondo la procedura di cui all’articolo 1, per il riordino orga</w:t>
                        </w:r>
                      </w:p>
                    </w:txbxContent>
                  </v:textbox>
                </v:rect>
                <v:rect id="Rectangle 23521" o:spid="_x0000_s7150" style="position:absolute;left:191;top:3417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hWbxwAAAN4AAAAPAAAAZHJzL2Rvd25yZXYueG1sRI9Pa8JA&#10;FMTvgt9heYI33ZhikdRVRJHm0Ev9Az0+ss8kbfbtkl1N7Kd3CwWPw8z8hlmue9OIG7W+tqxgNk1A&#10;EBdW11wqOB33kwUIH5A1NpZJwZ08rFfDwRIzbTv+pNshlCJC2GeooArBZVL6oiKDfmodcfQutjUY&#10;omxLqVvsItw0Mk2SV2mw5rhQoaNtRcXP4WoUfO3Y5ftOFpffrfv4zhfN+/V0Vmo86jdvIAL14Rn+&#10;b+daQfoyT2fwdydeAbl6AAAA//8DAFBLAQItABQABgAIAAAAIQDb4fbL7gAAAIUBAAATAAAAAAAA&#10;AAAAAAAAAAAAAABbQ29udGVudF9UeXBlc10ueG1sUEsBAi0AFAAGAAgAAAAhAFr0LFu/AAAAFQEA&#10;AAsAAAAAAAAAAAAAAAAAHwEAAF9yZWxzLy5yZWxzUEsBAi0AFAAGAAgAAAAhAGdGFZvHAAAA3gAA&#10;AA8AAAAAAAAAAAAAAAAABwIAAGRycy9kb3ducmV2LnhtbFBLBQYAAAAAAwADALcAAAD7AgAAAAA=&#10;" filled="f" stroked="f">
                  <v:textbox inset="0,0,0,0">
                    <w:txbxContent>
                      <w:p w14:paraId="6CE4DA99" w14:textId="77777777" w:rsidR="00B32EF2" w:rsidRDefault="00000000">
                        <w:r>
                          <w:rPr>
                            <w:rFonts w:ascii="Arial" w:eastAsia="Arial" w:hAnsi="Arial" w:cs="Arial"/>
                            <w:sz w:val="18"/>
                          </w:rPr>
                          <w:t>-</w:t>
                        </w:r>
                      </w:p>
                    </w:txbxContent>
                  </v:textbox>
                </v:rect>
                <v:rect id="Rectangle 23522" o:spid="_x0000_s7151" style="position:absolute;left:-13171;top:32944;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IvsxgAAAN4AAAAPAAAAZHJzL2Rvd25yZXYueG1sRI9Ba8JA&#10;FITvBf/D8gRvdWNKi0RXEUWag5daBY+P7DOJZt8u2dVEf323UOhxmJlvmPmyN424U+trywom4wQE&#10;cWF1zaWCw/f2dQrCB2SNjWVS8CAPy8XgZY6Zth1/0X0fShEh7DNUUIXgMil9UZFBP7aOOHpn2xoM&#10;Ubal1C12EW4amSbJhzRYc1yo0NG6ouK6vxkFpw27fNvJ4vxcu90lnzaft8NRqdGwX81ABOrDf/iv&#10;nWsF6dt7msLvnXgF5OIHAAD//wMAUEsBAi0AFAAGAAgAAAAhANvh9svuAAAAhQEAABMAAAAAAAAA&#10;AAAAAAAAAAAAAFtDb250ZW50X1R5cGVzXS54bWxQSwECLQAUAAYACAAAACEAWvQsW78AAAAVAQAA&#10;CwAAAAAAAAAAAAAAAAAfAQAAX3JlbHMvLnJlbHNQSwECLQAUAAYACAAAACEAl5SL7MYAAADeAAAA&#10;DwAAAAAAAAAAAAAAAAAHAgAAZHJzL2Rvd25yZXYueG1sUEsFBgAAAAADAAMAtwAAAPoCAAAAAA==&#10;" filled="f" stroked="f">
                  <v:textbox inset="0,0,0,0">
                    <w:txbxContent>
                      <w:p w14:paraId="6705ACCA" w14:textId="77777777" w:rsidR="00B32EF2" w:rsidRDefault="00000000">
                        <w:r>
                          <w:rPr>
                            <w:rFonts w:ascii="Arial" w:eastAsia="Arial" w:hAnsi="Arial" w:cs="Arial"/>
                            <w:sz w:val="18"/>
                          </w:rPr>
                          <w:t xml:space="preserve">nico delle disposizioni che regolano il sistema tributario, mediante la redazione </w:t>
                        </w:r>
                      </w:p>
                    </w:txbxContent>
                  </v:textbox>
                </v:rect>
                <v:rect id="Rectangle 23523" o:spid="_x0000_s7152" style="position:absolute;left:-1378;top:31711;width:412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C53xwAAAN4AAAAPAAAAZHJzL2Rvd25yZXYueG1sRI9Pa8JA&#10;FMTvBb/D8oTe6qYRi0RXKRZpDl78Bx4f2WeSNvt2ya4m9dO7QsHjMDO/YebL3jTiSq2vLSt4HyUg&#10;iAuray4VHPbrtykIH5A1NpZJwR95WC4GL3PMtO14S9ddKEWEsM9QQRWCy6T0RUUG/cg64uidbWsw&#10;RNmWUrfYRbhpZJokH9JgzXGhQkeriorf3cUoOH2xy9edLM63ldv85NPm+3I4KvU67D9nIAL14Rn+&#10;b+daQTqepGN43IlXQC7uAAAA//8DAFBLAQItABQABgAIAAAAIQDb4fbL7gAAAIUBAAATAAAAAAAA&#10;AAAAAAAAAAAAAABbQ29udGVudF9UeXBlc10ueG1sUEsBAi0AFAAGAAgAAAAhAFr0LFu/AAAAFQEA&#10;AAsAAAAAAAAAAAAAAAAAHwEAAF9yZWxzLy5yZWxzUEsBAi0AFAAGAAgAAAAhAPjYLnfHAAAA3gAA&#10;AA8AAAAAAAAAAAAAAAAABwIAAGRycy9kb3ducmV2LnhtbFBLBQYAAAAAAwADALcAAAD7AgAAAAA=&#10;" filled="f" stroked="f">
                  <v:textbox inset="0,0,0,0">
                    <w:txbxContent>
                      <w:p w14:paraId="49E8F2F0" w14:textId="77777777" w:rsidR="00B32EF2" w:rsidRDefault="00000000">
                        <w:r>
                          <w:rPr>
                            <w:rFonts w:ascii="Arial" w:eastAsia="Arial" w:hAnsi="Arial" w:cs="Arial"/>
                            <w:sz w:val="18"/>
                          </w:rPr>
                          <w:t>di testi unici, attenendosi ai seguenti principi e criteri direttivi:</w:t>
                        </w:r>
                      </w:p>
                    </w:txbxContent>
                  </v:textbox>
                </v:rect>
                <v:rect id="Rectangle 23524" o:spid="_x0000_s7153" style="position:absolute;left:-13172;top:30477;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bYDxwAAAN4AAAAPAAAAZHJzL2Rvd25yZXYueG1sRI9Ba8JA&#10;FITvgv9heUJvumlqi6SuIoo0h160KfT4yD6TtNm3S3Y1qb++KxQ8DjPzDbNcD6YVF+p8Y1nB4ywB&#10;QVxa3XCloPjYTxcgfEDW2FomBb/kYb0aj5aYadvzgS7HUIkIYZ+hgjoEl0npy5oM+pl1xNE72c5g&#10;iLKrpO6wj3DTyjRJXqTBhuNCjY62NZU/x7NR8LVjl+97WZ6uW/f+nS/at3PxqdTDZNi8ggg0hHv4&#10;v51rBenTczqH2514BeTqDwAA//8DAFBLAQItABQABgAIAAAAIQDb4fbL7gAAAIUBAAATAAAAAAAA&#10;AAAAAAAAAAAAAABbQ29udGVudF9UeXBlc10ueG1sUEsBAi0AFAAGAAgAAAAhAFr0LFu/AAAAFQEA&#10;AAsAAAAAAAAAAAAAAAAAHwEAAF9yZWxzLy5yZWxzUEsBAi0AFAAGAAgAAAAhAHcxtgPHAAAA3gAA&#10;AA8AAAAAAAAAAAAAAAAABwIAAGRycy9kb3ducmV2LnhtbFBLBQYAAAAAAwADALcAAAD7AgAAAAA=&#10;" filled="f" stroked="f">
                  <v:textbox inset="0,0,0,0">
                    <w:txbxContent>
                      <w:p w14:paraId="49910209" w14:textId="77777777" w:rsidR="00B32EF2" w:rsidRDefault="00000000">
                        <w:r>
                          <w:rPr>
                            <w:rFonts w:ascii="Arial" w:eastAsia="Arial" w:hAnsi="Arial" w:cs="Arial"/>
                            <w:sz w:val="18"/>
                          </w:rPr>
                          <w:t xml:space="preserve">a) puntuale individuazione delle norme vigenti, organizzandole per settori </w:t>
                        </w:r>
                      </w:p>
                    </w:txbxContent>
                  </v:textbox>
                </v:rect>
                <v:rect id="Rectangle 23525" o:spid="_x0000_s7154" style="position:absolute;left:-12633;top:29244;width:525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ROYxwAAAN4AAAAPAAAAZHJzL2Rvd25yZXYueG1sRI9Pa8JA&#10;FMTvgt9heYI33TRikegqxSLNoRf/gcdH9pmkzb5dsqtJ++m7QsHjMDO/YVab3jTiTq2vLSt4mSYg&#10;iAuray4VnI67yQKED8gaG8uk4Ic8bNbDwQozbTve0/0QShEh7DNUUIXgMil9UZFBP7WOOHpX2xoM&#10;Ubal1C12EW4amSbJqzRYc1yo0NG2ouL7cDMKLu/s8l0ni+vv1n1+5Yvm43Y6KzUe9W9LEIH68Az/&#10;t3OtIJ3N0zk87sQrINd/AAAA//8DAFBLAQItABQABgAIAAAAIQDb4fbL7gAAAIUBAAATAAAAAAAA&#10;AAAAAAAAAAAAAABbQ29udGVudF9UeXBlc10ueG1sUEsBAi0AFAAGAAgAAAAhAFr0LFu/AAAAFQEA&#10;AAsAAAAAAAAAAAAAAAAAHwEAAF9yZWxzLy5yZWxzUEsBAi0AFAAGAAgAAAAhABh9E5jHAAAA3gAA&#10;AA8AAAAAAAAAAAAAAAAABwIAAGRycy9kb3ducmV2LnhtbFBLBQYAAAAAAwADALcAAAD7AgAAAAA=&#10;" filled="f" stroked="f">
                  <v:textbox inset="0,0,0,0">
                    <w:txbxContent>
                      <w:p w14:paraId="5BC0EA17" w14:textId="77777777" w:rsidR="00B32EF2" w:rsidRDefault="00000000">
                        <w:r>
                          <w:rPr>
                            <w:rFonts w:ascii="Arial" w:eastAsia="Arial" w:hAnsi="Arial" w:cs="Arial"/>
                            <w:sz w:val="18"/>
                          </w:rPr>
                          <w:t>omogenei, anche mediante l’aggiornamento dei testi unici di settore in vigore;</w:t>
                        </w:r>
                      </w:p>
                    </w:txbxContent>
                  </v:textbox>
                </v:rect>
                <v:rect id="Rectangle 23526" o:spid="_x0000_s7155" style="position:absolute;left:-13172;top:280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43vxwAAAN4AAAAPAAAAZHJzL2Rvd25yZXYueG1sRI9Pa8JA&#10;FMTvgt9heYI33TRSkegqxSLNoZf6Bzw+ss8kbfbtkl1N2k/fFQSPw8z8hlltetOIG7W+tqzgZZqA&#10;IC6srrlUcDzsJgsQPiBrbCyTgl/ysFkPByvMtO34i277UIoIYZ+hgioEl0npi4oM+ql1xNG72NZg&#10;iLItpW6xi3DTyDRJ5tJgzXGhQkfbioqf/dUoOL+zy3edLC5/W/f5nS+aj+vxpNR41L8tQQTqwzP8&#10;aOdaQTp7TedwvxOvgFz/AwAA//8DAFBLAQItABQABgAIAAAAIQDb4fbL7gAAAIUBAAATAAAAAAAA&#10;AAAAAAAAAAAAAABbQ29udGVudF9UeXBlc10ueG1sUEsBAi0AFAAGAAgAAAAhAFr0LFu/AAAAFQEA&#10;AAsAAAAAAAAAAAAAAAAAHwEAAF9yZWxzLy5yZWxzUEsBAi0AFAAGAAgAAAAhAOivje/HAAAA3gAA&#10;AA8AAAAAAAAAAAAAAAAABwIAAGRycy9kb3ducmV2LnhtbFBLBQYAAAAAAwADALcAAAD7AgAAAAA=&#10;" filled="f" stroked="f">
                  <v:textbox inset="0,0,0,0">
                    <w:txbxContent>
                      <w:p w14:paraId="6AE02A8C" w14:textId="77777777" w:rsidR="00B32EF2" w:rsidRDefault="00000000">
                        <w:r>
                          <w:rPr>
                            <w:rFonts w:ascii="Arial" w:eastAsia="Arial" w:hAnsi="Arial" w:cs="Arial"/>
                            <w:sz w:val="18"/>
                          </w:rPr>
                          <w:t xml:space="preserve">b) coordinamento, sotto il profilo formale e sostanziale, delle norme vigenti, </w:t>
                        </w:r>
                      </w:p>
                    </w:txbxContent>
                  </v:textbox>
                </v:rect>
                <v:rect id="Rectangle 23527" o:spid="_x0000_s7156" style="position:absolute;left:-12189;top:26778;width:52106;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yh0xwAAAN4AAAAPAAAAZHJzL2Rvd25yZXYueG1sRI9Ba8JA&#10;FITvgv9heUJvummKraSuIoo0h160KfT4yD6TtNm3S3Y1qb++KxQ8DjPzDbNcD6YVF+p8Y1nB4ywB&#10;QVxa3XCloPjYTxcgfEDW2FomBb/kYb0aj5aYadvzgS7HUIkIYZ+hgjoEl0npy5oM+pl1xNE72c5g&#10;iLKrpO6wj3DTyjRJnqXBhuNCjY62NZU/x7NR8LVjl+97WZ6uW/f+nS/at3PxqdTDZNi8ggg0hHv4&#10;v51rBenTPH2B2514BeTqDwAA//8DAFBLAQItABQABgAIAAAAIQDb4fbL7gAAAIUBAAATAAAAAAAA&#10;AAAAAAAAAAAAAABbQ29udGVudF9UeXBlc10ueG1sUEsBAi0AFAAGAAgAAAAhAFr0LFu/AAAAFQEA&#10;AAsAAAAAAAAAAAAAAAAAHwEAAF9yZWxzLy5yZWxzUEsBAi0AFAAGAAgAAAAhAIfjKHTHAAAA3gAA&#10;AA8AAAAAAAAAAAAAAAAABwIAAGRycy9kb3ducmV2LnhtbFBLBQYAAAAAAwADALcAAAD7AgAAAAA=&#10;" filled="f" stroked="f">
                  <v:textbox inset="0,0,0,0">
                    <w:txbxContent>
                      <w:p w14:paraId="3CC6ED5C" w14:textId="77777777" w:rsidR="00B32EF2" w:rsidRDefault="00000000">
                        <w:r>
                          <w:rPr>
                            <w:rFonts w:ascii="Arial" w:eastAsia="Arial" w:hAnsi="Arial" w:cs="Arial"/>
                            <w:sz w:val="18"/>
                          </w:rPr>
                          <w:t>anche di recepimento e attuazione della normativa dell’Unione europea, ap</w:t>
                        </w:r>
                      </w:p>
                    </w:txbxContent>
                  </v:textbox>
                </v:rect>
                <v:rect id="Rectangle 23528" o:spid="_x0000_s7157" style="position:absolute;left:191;top:26777;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LwGxAAAAN4AAAAPAAAAZHJzL2Rvd25yZXYueG1sRE/LisIw&#10;FN0P+A/hCu7G1A4zSDWKKDJduBkf4PLSXNtqcxOaaKtfP1kMzPJw3vNlbxrxoNbXlhVMxgkI4sLq&#10;mksFx8P2fQrCB2SNjWVS8CQPy8XgbY6Zth3/0GMfShFD2GeooArBZVL6oiKDfmwdceQutjUYImxL&#10;qVvsYrhpZJokX9JgzbGhQkfriorb/m4UnDfs8m0ni8tr7XbXfNp8348npUbDfjUDEagP/+I/d64V&#10;pB+fadwb78QrIBe/AAAA//8DAFBLAQItABQABgAIAAAAIQDb4fbL7gAAAIUBAAATAAAAAAAAAAAA&#10;AAAAAAAAAABbQ29udGVudF9UeXBlc10ueG1sUEsBAi0AFAAGAAgAAAAhAFr0LFu/AAAAFQEAAAsA&#10;AAAAAAAAAAAAAAAAHwEAAF9yZWxzLy5yZWxzUEsBAi0AFAAGAAgAAAAhAPZ8vAbEAAAA3gAAAA8A&#10;AAAAAAAAAAAAAAAABwIAAGRycy9kb3ducmV2LnhtbFBLBQYAAAAAAwADALcAAAD4AgAAAAA=&#10;" filled="f" stroked="f">
                  <v:textbox inset="0,0,0,0">
                    <w:txbxContent>
                      <w:p w14:paraId="51A3368D" w14:textId="77777777" w:rsidR="00B32EF2" w:rsidRDefault="00000000">
                        <w:r>
                          <w:rPr>
                            <w:rFonts w:ascii="Arial" w:eastAsia="Arial" w:hAnsi="Arial" w:cs="Arial"/>
                            <w:sz w:val="18"/>
                          </w:rPr>
                          <w:t>-</w:t>
                        </w:r>
                      </w:p>
                    </w:txbxContent>
                  </v:textbox>
                </v:rect>
                <v:rect id="Rectangle 23529" o:spid="_x0000_s7158" style="position:absolute;left:-13173;top:25544;width:53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BmdxwAAAN4AAAAPAAAAZHJzL2Rvd25yZXYueG1sRI9Ba8JA&#10;FITvgv9heUJvummKJU1dRRRpDr1oLfT4yD6TtNm3S3Y1qb++KxQ8DjPzDbNYDaYVF+p8Y1nB4ywB&#10;QVxa3XCl4Pixm2YgfEDW2FomBb/kYbUcjxaYa9vzni6HUIkIYZ+jgjoEl0vpy5oM+pl1xNE72c5g&#10;iLKrpO6wj3DTyjRJnqXBhuNCjY42NZU/h7NR8LVlV+x6WZ6uG/f+XWTt2/n4qdTDZFi/ggg0hHv4&#10;v11oBenTPH2B2514BeTyDwAA//8DAFBLAQItABQABgAIAAAAIQDb4fbL7gAAAIUBAAATAAAAAAAA&#10;AAAAAAAAAAAAAABbQ29udGVudF9UeXBlc10ueG1sUEsBAi0AFAAGAAgAAAAhAFr0LFu/AAAAFQEA&#10;AAsAAAAAAAAAAAAAAAAAHwEAAF9yZWxzLy5yZWxzUEsBAi0AFAAGAAgAAAAhAJkwGZ3HAAAA3gAA&#10;AA8AAAAAAAAAAAAAAAAABwIAAGRycy9kb3ducmV2LnhtbFBLBQYAAAAAAwADALcAAAD7AgAAAAA=&#10;" filled="f" stroked="f">
                  <v:textbox inset="0,0,0,0">
                    <w:txbxContent>
                      <w:p w14:paraId="66788C48" w14:textId="77777777" w:rsidR="00B32EF2" w:rsidRDefault="00000000">
                        <w:r>
                          <w:rPr>
                            <w:rFonts w:ascii="Arial" w:eastAsia="Arial" w:hAnsi="Arial" w:cs="Arial"/>
                            <w:sz w:val="18"/>
                          </w:rPr>
                          <w:t xml:space="preserve">portando le necessarie modifiche, garantendone e migliorandone la coerenza </w:t>
                        </w:r>
                      </w:p>
                    </w:txbxContent>
                  </v:textbox>
                </v:rect>
                <v:rect id="Rectangle 23530" o:spid="_x0000_s7159" style="position:absolute;left:-13172;top:243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ybdxQAAAN4AAAAPAAAAZHJzL2Rvd25yZXYueG1sRI/LisIw&#10;FIb3gu8QjuBO01EU6RhlcJDpYjbeYJaH5thWm5PQRFvn6c1CcPnz3/iW687U4k6Nrywr+BgnIIhz&#10;qysuFBwP29EChA/IGmvLpOBBHtarfm+JqbYt7+i+D4WII+xTVFCG4FIpfV6SQT+2jjh6Z9sYDFE2&#10;hdQNtnHc1HKSJHNpsOL4UKKjTUn5dX8zCv6+2WXbVubn/437vWSL+ud2PCk1HHRfnyACdeEdfrUz&#10;rWAynU0jQMSJKCBXTwAAAP//AwBQSwECLQAUAAYACAAAACEA2+H2y+4AAACFAQAAEwAAAAAAAAAA&#10;AAAAAAAAAAAAW0NvbnRlbnRfVHlwZXNdLnhtbFBLAQItABQABgAIAAAAIQBa9CxbvwAAABUBAAAL&#10;AAAAAAAAAAAAAAAAAB8BAABfcmVscy8ucmVsc1BLAQItABQABgAIAAAAIQCN0ybdxQAAAN4AAAAP&#10;AAAAAAAAAAAAAAAAAAcCAABkcnMvZG93bnJldi54bWxQSwUGAAAAAAMAAwC3AAAA+QIAAAAA&#10;" filled="f" stroked="f">
                  <v:textbox inset="0,0,0,0">
                    <w:txbxContent>
                      <w:p w14:paraId="5E619B45" w14:textId="77777777" w:rsidR="00B32EF2" w:rsidRDefault="00000000">
                        <w:r>
                          <w:rPr>
                            <w:rFonts w:ascii="Arial" w:eastAsia="Arial" w:hAnsi="Arial" w:cs="Arial"/>
                            <w:sz w:val="18"/>
                          </w:rPr>
                          <w:t xml:space="preserve">giuridica, logica e sistematica, tenendo anche conto delle disposizioni recate </w:t>
                        </w:r>
                      </w:p>
                    </w:txbxContent>
                  </v:textbox>
                </v:rect>
                <v:rect id="Rectangle 23531" o:spid="_x0000_s7160" style="position:absolute;left:-5214;top:23078;width:451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4NGxgAAAN4AAAAPAAAAZHJzL2Rvd25yZXYueG1sRI9Ba8JA&#10;FITvgv9heUJvulGpSHQVUcQcvNRa6PGRfSbR7Nslu5rUX98tCD0OM/MNs1x3phYPanxlWcF4lIAg&#10;zq2uuFBw/twP5yB8QNZYWyYFP+Rhver3lphq2/IHPU6hEBHCPkUFZQguldLnJRn0I+uIo3exjcEQ&#10;ZVNI3WAb4aaWkySZSYMVx4USHW1Lym+nu1HwvWOX7VuZX55bd7xm8/pwP38p9TboNgsQgbrwH361&#10;M61gMn2fjuHvTrwCcvULAAD//wMAUEsBAi0AFAAGAAgAAAAhANvh9svuAAAAhQEAABMAAAAAAAAA&#10;AAAAAAAAAAAAAFtDb250ZW50X1R5cGVzXS54bWxQSwECLQAUAAYACAAAACEAWvQsW78AAAAVAQAA&#10;CwAAAAAAAAAAAAAAAAAfAQAAX3JlbHMvLnJlbHNQSwECLQAUAAYACAAAACEA4p+DRsYAAADeAAAA&#10;DwAAAAAAAAAAAAAAAAAHAgAAZHJzL2Rvd25yZXYueG1sUEsFBgAAAAADAAMAtwAAAPoCAAAAAA==&#10;" filled="f" stroked="f">
                  <v:textbox inset="0,0,0,0">
                    <w:txbxContent>
                      <w:p w14:paraId="36A4CCB9" w14:textId="77777777" w:rsidR="00B32EF2" w:rsidRDefault="00000000">
                        <w:r>
                          <w:rPr>
                            <w:rFonts w:ascii="Arial" w:eastAsia="Arial" w:hAnsi="Arial" w:cs="Arial"/>
                            <w:sz w:val="18"/>
                          </w:rPr>
                          <w:t>dai decreti legislativi eventualmente adottati ai sensi dell’articolo 1;</w:t>
                        </w:r>
                      </w:p>
                    </w:txbxContent>
                  </v:textbox>
                </v:rect>
                <v:rect id="Rectangle 23532" o:spid="_x0000_s7161" style="position:absolute;left:-12750;top:21844;width:5266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R0xxwAAAN4AAAAPAAAAZHJzL2Rvd25yZXYueG1sRI9Pa8JA&#10;FMTvBb/D8oTe6qYRi0RXKRZpDl78Bx4f2WeSNvt2ya4m9dO7QsHjMDO/YebL3jTiSq2vLSt4HyUg&#10;iAuray4VHPbrtykIH5A1NpZJwR95WC4GL3PMtO14S9ddKEWEsM9QQRWCy6T0RUUG/cg64uidbWsw&#10;RNmWUrfYRbhpZJokH9JgzXGhQkeriorf3cUoOH2xy9edLM63ldv85NPm+3I4KvU67D9nIAL14Rn+&#10;b+daQTqejFN43IlXQC7uAAAA//8DAFBLAQItABQABgAIAAAAIQDb4fbL7gAAAIUBAAATAAAAAAAA&#10;AAAAAAAAAAAAAABbQ29udGVudF9UeXBlc10ueG1sUEsBAi0AFAAGAAgAAAAhAFr0LFu/AAAAFQEA&#10;AAsAAAAAAAAAAAAAAAAAHwEAAF9yZWxzLy5yZWxzUEsBAi0AFAAGAAgAAAAhABJNHTHHAAAA3gAA&#10;AA8AAAAAAAAAAAAAAAAABwIAAGRycy9kb3ducmV2LnhtbFBLBQYAAAAAAwADALcAAAD7AgAAAAA=&#10;" filled="f" stroked="f">
                  <v:textbox inset="0,0,0,0">
                    <w:txbxContent>
                      <w:p w14:paraId="460E207A" w14:textId="77777777" w:rsidR="00B32EF2" w:rsidRDefault="00000000">
                        <w:r>
                          <w:rPr>
                            <w:rFonts w:ascii="Arial" w:eastAsia="Arial" w:hAnsi="Arial" w:cs="Arial"/>
                            <w:sz w:val="18"/>
                          </w:rPr>
                          <w:t>c) abrogazione espressa delle disposizioni incompatibili ovvero non più attuali.</w:t>
                        </w:r>
                      </w:p>
                    </w:txbxContent>
                  </v:textbox>
                </v:rect>
                <v:rect id="Rectangle 202411" o:spid="_x0000_s7162" style="position:absolute;left:26109;top:20611;width:530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iAxwAAAN8AAAAPAAAAZHJzL2Rvd25yZXYueG1sRI9Ba8JA&#10;FITvQv/D8gredJMgIqmriCLm4EVrocdH9pmkZt8u2dXE/vpuodDjMDPfMMv1YFrxoM43lhWk0wQE&#10;cWl1w5WCy/t+sgDhA7LG1jIpeJKH9epltMRc255P9DiHSkQI+xwV1CG4XEpf1mTQT60jjt7VdgZD&#10;lF0ldYd9hJtWZkkylwYbjgs1OtrWVN7Od6Pgc8eu2PeyvH5v3fGrWLSH++VDqfHrsHkDEWgI/+G/&#10;dqEVZEk2S1P4/RO/gFz9AAAA//8DAFBLAQItABQABgAIAAAAIQDb4fbL7gAAAIUBAAATAAAAAAAA&#10;AAAAAAAAAAAAAABbQ29udGVudF9UeXBlc10ueG1sUEsBAi0AFAAGAAgAAAAhAFr0LFu/AAAAFQEA&#10;AAsAAAAAAAAAAAAAAAAAHwEAAF9yZWxzLy5yZWxzUEsBAi0AFAAGAAgAAAAhAD/F2IDHAAAA3wAA&#10;AA8AAAAAAAAAAAAAAAAABwIAAGRycy9kb3ducmV2LnhtbFBLBQYAAAAAAwADALcAAAD7AgAAAAA=&#10;" filled="f" stroked="f">
                  <v:textbox inset="0,0,0,0">
                    <w:txbxContent>
                      <w:p w14:paraId="6489E087" w14:textId="77777777" w:rsidR="00B32EF2" w:rsidRDefault="00000000">
                        <w:r>
                          <w:rPr>
                            <w:rFonts w:ascii="Arial" w:eastAsia="Arial" w:hAnsi="Arial" w:cs="Arial"/>
                            <w:sz w:val="18"/>
                          </w:rPr>
                          <w:t>2</w:t>
                        </w:r>
                      </w:p>
                    </w:txbxContent>
                  </v:textbox>
                </v:rect>
                <v:rect id="Rectangle 202412" o:spid="_x0000_s7163" style="position:absolute;left:-13817;top:206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0b3xwAAAN8AAAAPAAAAZHJzL2Rvd25yZXYueG1sRI9Ba8JA&#10;FITvgv9heYI33RikSHQVUcQcvNRa6PGRfSbR7Nslu5rYX98tFHocZuYbZrXpTSOe1PrasoLZNAFB&#10;XFhdc6ng8nGYLED4gKyxsUwKXuRhsx4OVphp2/E7Pc+hFBHCPkMFVQguk9IXFRn0U+uIo3e1rcEQ&#10;ZVtK3WIX4aaRaZK8SYM1x4UKHe0qKu7nh1HwtWeXHzpZXL937nTLF83xcflUajzqt0sQgfrwH/5r&#10;51pBmqTzWQq/f+IXkOsfAAAA//8DAFBLAQItABQABgAIAAAAIQDb4fbL7gAAAIUBAAATAAAAAAAA&#10;AAAAAAAAAAAAAABbQ29udGVudF9UeXBlc10ueG1sUEsBAi0AFAAGAAgAAAAhAFr0LFu/AAAAFQEA&#10;AAsAAAAAAAAAAAAAAAAAHwEAAF9yZWxzLy5yZWxzUEsBAi0AFAAGAAgAAAAhAM8XRvfHAAAA3wAA&#10;AA8AAAAAAAAAAAAAAAAABwIAAGRycy9kb3ducmV2LnhtbFBLBQYAAAAAAwADALcAAAD7AgAAAAA=&#10;" filled="f" stroked="f">
                  <v:textbox inset="0,0,0,0">
                    <w:txbxContent>
                      <w:p w14:paraId="3DA2E78B" w14:textId="77777777" w:rsidR="00B32EF2" w:rsidRDefault="00000000">
                        <w:r>
                          <w:rPr>
                            <w:rFonts w:ascii="Arial" w:eastAsia="Arial" w:hAnsi="Arial" w:cs="Arial"/>
                            <w:sz w:val="18"/>
                          </w:rPr>
                          <w:t xml:space="preserve">. Il Governo è delegato ad attuare, entro dodici mesi dalla data di entrata in </w:t>
                        </w:r>
                      </w:p>
                    </w:txbxContent>
                  </v:textbox>
                </v:rect>
                <v:rect id="Rectangle 23534" o:spid="_x0000_s7164" style="position:absolute;left:-13172;top:193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CDexwAAAN4AAAAPAAAAZHJzL2Rvd25yZXYueG1sRI9Pa8JA&#10;FMTvBb/D8gRvdeOfFkldRRRpDl6qFnp8ZJ9JNPt2ya4m9dO7hYLHYWZ+w8yXnanFjRpfWVYwGiYg&#10;iHOrKy4UHA/b1xkIH5A11pZJwS95WC56L3NMtW35i277UIgIYZ+igjIEl0rp85IM+qF1xNE72cZg&#10;iLIppG6wjXBTy3GSvEuDFceFEh2tS8ov+6tR8LNhl21bmZ/ua7c7Z7P683r8VmrQ71YfIAJ14Rn+&#10;b2dawXjyNpnC3514BeTiAQAA//8DAFBLAQItABQABgAIAAAAIQDb4fbL7gAAAIUBAAATAAAAAAAA&#10;AAAAAAAAAAAAAABbQ29udGVudF9UeXBlc10ueG1sUEsBAi0AFAAGAAgAAAAhAFr0LFu/AAAAFQEA&#10;AAsAAAAAAAAAAAAAAAAAHwEAAF9yZWxzLy5yZWxzUEsBAi0AFAAGAAgAAAAhAPLoIN7HAAAA3gAA&#10;AA8AAAAAAAAAAAAAAAAABwIAAGRycy9kb3ducmV2LnhtbFBLBQYAAAAAAwADALcAAAD7AgAAAAA=&#10;" filled="f" stroked="f">
                  <v:textbox inset="0,0,0,0">
                    <w:txbxContent>
                      <w:p w14:paraId="7A0C395B" w14:textId="77777777" w:rsidR="00B32EF2" w:rsidRDefault="00000000">
                        <w:r>
                          <w:rPr>
                            <w:rFonts w:ascii="Arial" w:eastAsia="Arial" w:hAnsi="Arial" w:cs="Arial"/>
                            <w:sz w:val="18"/>
                          </w:rPr>
                          <w:t xml:space="preserve">vigore dell’ultimo dei decreti legislativi di cui all’articolo 1, comma 6, il riassetto </w:t>
                        </w:r>
                      </w:p>
                    </w:txbxContent>
                  </v:textbox>
                </v:rect>
                <v:rect id="Rectangle 23535" o:spid="_x0000_s7165" style="position:absolute;left:-13171;top:18144;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IVFxwAAAN4AAAAPAAAAZHJzL2Rvd25yZXYueG1sRI9Ba8JA&#10;FITvQv/D8gRvulFRJHWVYhFz8FKbQo+P7DNJm327ZFcT/fVuQehxmJlvmPW2N424UutrywqmkwQE&#10;cWF1zaWC/HM/XoHwAVljY5kU3MjDdvMyWGOqbccfdD2FUkQI+xQVVCG4VEpfVGTQT6wjjt7ZtgZD&#10;lG0pdYtdhJtGzpJkKQ3WHBcqdLSrqPg9XYyC73d22b6Txfm+c8efbNUcLvmXUqNh//YKIlAf/sPP&#10;dqYVzOaL+QL+7sQrIDcPAAAA//8DAFBLAQItABQABgAIAAAAIQDb4fbL7gAAAIUBAAATAAAAAAAA&#10;AAAAAAAAAAAAAABbQ29udGVudF9UeXBlc10ueG1sUEsBAi0AFAAGAAgAAAAhAFr0LFu/AAAAFQEA&#10;AAsAAAAAAAAAAAAAAAAAHwEAAF9yZWxzLy5yZWxzUEsBAi0AFAAGAAgAAAAhAJ2khUXHAAAA3gAA&#10;AA8AAAAAAAAAAAAAAAAABwIAAGRycy9kb3ducmV2LnhtbFBLBQYAAAAAAwADALcAAAD7AgAAAAA=&#10;" filled="f" stroked="f">
                  <v:textbox inset="0,0,0,0">
                    <w:txbxContent>
                      <w:p w14:paraId="4A02844F" w14:textId="77777777" w:rsidR="00B32EF2" w:rsidRDefault="00000000">
                        <w:r>
                          <w:rPr>
                            <w:rFonts w:ascii="Arial" w:eastAsia="Arial" w:hAnsi="Arial" w:cs="Arial"/>
                            <w:sz w:val="18"/>
                          </w:rPr>
                          <w:t xml:space="preserve">delle vigenti disposizioni di diritto tributario per la raccolta di esse in un codice </w:t>
                        </w:r>
                      </w:p>
                    </w:txbxContent>
                  </v:textbox>
                </v:rect>
                <v:rect id="Rectangle 23536" o:spid="_x0000_s7166" style="position:absolute;left:-12187;top:16911;width:521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hsyxwAAAN4AAAAPAAAAZHJzL2Rvd25yZXYueG1sRI9Ba8JA&#10;FITvQv/D8gRvulFRJHWVYhFz8FJNocdH9pmkzb5dsquJ/vpuoeBxmJlvmPW2N424UetrywqmkwQE&#10;cWF1zaWC/Lwfr0D4gKyxsUwK7uRhu3kZrDHVtuMPup1CKSKEfYoKqhBcKqUvKjLoJ9YRR+9iW4Mh&#10;yraUusUuwk0jZ0mylAZrjgsVOtpVVPycrkbB1zu7bN/J4vLYueN3tmoO1/xTqdGwf3sFEagPz/B/&#10;O9MKZvPFfAl/d+IVkJtfAAAA//8DAFBLAQItABQABgAIAAAAIQDb4fbL7gAAAIUBAAATAAAAAAAA&#10;AAAAAAAAAAAAAABbQ29udGVudF9UeXBlc10ueG1sUEsBAi0AFAAGAAgAAAAhAFr0LFu/AAAAFQEA&#10;AAsAAAAAAAAAAAAAAAAAHwEAAF9yZWxzLy5yZWxzUEsBAi0AFAAGAAgAAAAhAG12GzLHAAAA3gAA&#10;AA8AAAAAAAAAAAAAAAAABwIAAGRycy9kb3ducmV2LnhtbFBLBQYAAAAAAwADALcAAAD7AgAAAAA=&#10;" filled="f" stroked="f">
                  <v:textbox inset="0,0,0,0">
                    <w:txbxContent>
                      <w:p w14:paraId="1105EF8A" w14:textId="77777777" w:rsidR="00B32EF2" w:rsidRDefault="00000000">
                        <w:r>
                          <w:rPr>
                            <w:rFonts w:ascii="Arial" w:eastAsia="Arial" w:hAnsi="Arial" w:cs="Arial"/>
                            <w:sz w:val="18"/>
                          </w:rPr>
                          <w:t>articolato in una parte generale, recante la disciplina unitaria degli istituti co</w:t>
                        </w:r>
                      </w:p>
                    </w:txbxContent>
                  </v:textbox>
                </v:rect>
                <v:rect id="Rectangle 23537" o:spid="_x0000_s7167" style="position:absolute;left:191;top:16911;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6pxwAAAN4AAAAPAAAAZHJzL2Rvd25yZXYueG1sRI9Ba8JA&#10;FITvBf/D8gRvdaNiK6mriCLNwUvVQo+P7DOJZt8u2dWk/nq3UPA4zMw3zHzZmVrcqPGVZQWjYQKC&#10;OLe64kLB8bB9nYHwAVljbZkU/JKH5aL3MsdU25a/6LYPhYgQ9ikqKENwqZQ+L8mgH1pHHL2TbQyG&#10;KJtC6gbbCDe1HCfJmzRYcVwo0dG6pPyyvxoFPxt22baV+em+drtzNqs/r8dvpQb9bvUBIlAXnuH/&#10;dqYVjCfTyTv83YlXQC4eAAAA//8DAFBLAQItABQABgAIAAAAIQDb4fbL7gAAAIUBAAATAAAAAAAA&#10;AAAAAAAAAAAAAABbQ29udGVudF9UeXBlc10ueG1sUEsBAi0AFAAGAAgAAAAhAFr0LFu/AAAAFQEA&#10;AAsAAAAAAAAAAAAAAAAAHwEAAF9yZWxzLy5yZWxzUEsBAi0AFAAGAAgAAAAhAAI6vqnHAAAA3gAA&#10;AA8AAAAAAAAAAAAAAAAABwIAAGRycy9kb3ducmV2LnhtbFBLBQYAAAAAAwADALcAAAD7AgAAAAA=&#10;" filled="f" stroked="f">
                  <v:textbox inset="0,0,0,0">
                    <w:txbxContent>
                      <w:p w14:paraId="7D5298FC" w14:textId="77777777" w:rsidR="00B32EF2" w:rsidRDefault="00000000">
                        <w:r>
                          <w:rPr>
                            <w:rFonts w:ascii="Arial" w:eastAsia="Arial" w:hAnsi="Arial" w:cs="Arial"/>
                            <w:sz w:val="18"/>
                          </w:rPr>
                          <w:t>-</w:t>
                        </w:r>
                      </w:p>
                    </w:txbxContent>
                  </v:textbox>
                </v:rect>
                <v:rect id="Rectangle 23538" o:spid="_x0000_s7168" style="position:absolute;left:-13172;top:156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SrbwwAAAN4AAAAPAAAAZHJzL2Rvd25yZXYueG1sRE/LisIw&#10;FN0L/kO4gjtNR1GkY5TBQaaL2fiCWV6aa1ttbkITbZ2vNwvB5eG8l+vO1OJOja8sK/gYJyCIc6sr&#10;LhQcD9vRAoQPyBpry6TgQR7Wq35viam2Le/ovg+FiCHsU1RQhuBSKX1ekkE/to44cmfbGAwRNoXU&#10;DbYx3NRykiRzabDi2FCio01J+XV/Mwr+vtll21bm5/+N+71ki/rndjwpNRx0X58gAnXhLX65M61g&#10;Mp1N4954J14BuXoCAAD//wMAUEsBAi0AFAAGAAgAAAAhANvh9svuAAAAhQEAABMAAAAAAAAAAAAA&#10;AAAAAAAAAFtDb250ZW50X1R5cGVzXS54bWxQSwECLQAUAAYACAAAACEAWvQsW78AAAAVAQAACwAA&#10;AAAAAAAAAAAAAAAfAQAAX3JlbHMvLnJlbHNQSwECLQAUAAYACAAAACEAc6Uq28MAAADeAAAADwAA&#10;AAAAAAAAAAAAAAAHAgAAZHJzL2Rvd25yZXYueG1sUEsFBgAAAAADAAMAtwAAAPcCAAAAAA==&#10;" filled="f" stroked="f">
                  <v:textbox inset="0,0,0,0">
                    <w:txbxContent>
                      <w:p w14:paraId="4B5640AD" w14:textId="77777777" w:rsidR="00B32EF2" w:rsidRDefault="00000000">
                        <w:r>
                          <w:rPr>
                            <w:rFonts w:ascii="Arial" w:eastAsia="Arial" w:hAnsi="Arial" w:cs="Arial"/>
                            <w:sz w:val="18"/>
                          </w:rPr>
                          <w:t xml:space="preserve">muni del sistema fiscale, e una parte speciale, contenente la disciplina delle </w:t>
                        </w:r>
                      </w:p>
                    </w:txbxContent>
                  </v:textbox>
                </v:rect>
                <v:rect id="Rectangle 23539" o:spid="_x0000_s7169" style="position:absolute;left:-13172;top:14445;width:53089;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Y9AxwAAAN4AAAAPAAAAZHJzL2Rvd25yZXYueG1sRI9Ba8JA&#10;FITvBf/D8gRvdaNisdFVRJHm4KVqweMj+0zSZt8u2dWk/nq3UPA4zMw3zGLVmVrcqPGVZQWjYQKC&#10;OLe64kLB6bh7nYHwAVljbZkU/JKH1bL3ssBU25Y/6XYIhYgQ9ikqKENwqZQ+L8mgH1pHHL2LbQyG&#10;KJtC6gbbCDe1HCfJmzRYcVwo0dGmpPzncDUKzlt22a6V+eW+cfvvbFZ/XE9fSg363XoOIlAXnuH/&#10;dqYVjCfTyTv83YlXQC4fAAAA//8DAFBLAQItABQABgAIAAAAIQDb4fbL7gAAAIUBAAATAAAAAAAA&#10;AAAAAAAAAAAAAABbQ29udGVudF9UeXBlc10ueG1sUEsBAi0AFAAGAAgAAAAhAFr0LFu/AAAAFQEA&#10;AAsAAAAAAAAAAAAAAAAAHwEAAF9yZWxzLy5yZWxzUEsBAi0AFAAGAAgAAAAhABzpj0DHAAAA3gAA&#10;AA8AAAAAAAAAAAAAAAAABwIAAGRycy9kb3ducmV2LnhtbFBLBQYAAAAAAwADALcAAAD7AgAAAAA=&#10;" filled="f" stroked="f">
                  <v:textbox inset="0,0,0,0">
                    <w:txbxContent>
                      <w:p w14:paraId="4C6B8D30" w14:textId="77777777" w:rsidR="00B32EF2" w:rsidRDefault="00000000">
                        <w:r>
                          <w:rPr>
                            <w:rFonts w:ascii="Arial" w:eastAsia="Arial" w:hAnsi="Arial" w:cs="Arial"/>
                            <w:sz w:val="18"/>
                          </w:rPr>
                          <w:t xml:space="preserve">singole imposte, al fine di semplificare il sistema tributario e accrescere la </w:t>
                        </w:r>
                      </w:p>
                    </w:txbxContent>
                  </v:textbox>
                </v:rect>
                <v:rect id="Rectangle 23540" o:spid="_x0000_s7170" style="position:absolute;left:-13172;top:132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VWgxQAAAN4AAAAPAAAAZHJzL2Rvd25yZXYueG1sRI/NisIw&#10;FIX3gu8QruBOUx1HpGMUcRC7cDOOwiwvzbXtTHMTmmirT28WwiwP549vue5MLW7U+Mqygsk4AUGc&#10;W11xoeD0vRstQPiArLG2TAru5GG96veWmGrb8hfdjqEQcYR9igrKEFwqpc9LMujH1hFH72IbgyHK&#10;ppC6wTaOm1pOk2QuDVYcH0p0tC0p/ztejYKfT3bZrpX55bF1h99sUe+vp7NSw0G3+QARqAv/4Vc7&#10;0wqmb++zCBBxIgrI1RMAAP//AwBQSwECLQAUAAYACAAAACEA2+H2y+4AAACFAQAAEwAAAAAAAAAA&#10;AAAAAAAAAAAAW0NvbnRlbnRfVHlwZXNdLnhtbFBLAQItABQABgAIAAAAIQBa9CxbvwAAABUBAAAL&#10;AAAAAAAAAAAAAAAAAB8BAABfcmVscy8ucmVsc1BLAQItABQABgAIAAAAIQDV1VWgxQAAAN4AAAAP&#10;AAAAAAAAAAAAAAAAAAcCAABkcnMvZG93bnJldi54bWxQSwUGAAAAAAMAAwC3AAAA+QIAAAAA&#10;" filled="f" stroked="f">
                  <v:textbox inset="0,0,0,0">
                    <w:txbxContent>
                      <w:p w14:paraId="0715F7C0" w14:textId="77777777" w:rsidR="00B32EF2" w:rsidRDefault="00000000">
                        <w:r>
                          <w:rPr>
                            <w:rFonts w:ascii="Arial" w:eastAsia="Arial" w:hAnsi="Arial" w:cs="Arial"/>
                            <w:sz w:val="18"/>
                          </w:rPr>
                          <w:t xml:space="preserve">chiarezza e la conoscibilità delle norme fiscali, la certezza dei rapporti giuridici </w:t>
                        </w:r>
                      </w:p>
                    </w:txbxContent>
                  </v:textbox>
                </v:rect>
                <v:rect id="Rectangle 23541" o:spid="_x0000_s7171" style="position:absolute;left:-13171;top:11978;width:53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fA7xwAAAN4AAAAPAAAAZHJzL2Rvd25yZXYueG1sRI9Pa8JA&#10;FMTvgt9heUJvutFqkdRVikXMoRf/FHp8ZJ9J2uzbJbua6KfvCoLHYWZ+wyxWnanFhRpfWVYwHiUg&#10;iHOrKy4UHA+b4RyED8gaa8uk4EoeVst+b4Gpti3v6LIPhYgQ9ikqKENwqZQ+L8mgH1lHHL2TbQyG&#10;KJtC6gbbCDe1nCTJmzRYcVwo0dG6pPxvfzYKfj7ZZZtW5qfb2n39ZvN6ez5+K/Uy6D7eQQTqwjP8&#10;aGdaweR1Nh3D/U68AnL5DwAA//8DAFBLAQItABQABgAIAAAAIQDb4fbL7gAAAIUBAAATAAAAAAAA&#10;AAAAAAAAAAAAAABbQ29udGVudF9UeXBlc10ueG1sUEsBAi0AFAAGAAgAAAAhAFr0LFu/AAAAFQEA&#10;AAsAAAAAAAAAAAAAAAAAHwEAAF9yZWxzLy5yZWxzUEsBAi0AFAAGAAgAAAAhALqZ8DvHAAAA3gAA&#10;AA8AAAAAAAAAAAAAAAAABwIAAGRycy9kb3ducmV2LnhtbFBLBQYAAAAAAwADALcAAAD7AgAAAAA=&#10;" filled="f" stroked="f">
                  <v:textbox inset="0,0,0,0">
                    <w:txbxContent>
                      <w:p w14:paraId="3345F4C4" w14:textId="77777777" w:rsidR="00B32EF2" w:rsidRDefault="00000000">
                        <w:r>
                          <w:rPr>
                            <w:rFonts w:ascii="Arial" w:eastAsia="Arial" w:hAnsi="Arial" w:cs="Arial"/>
                            <w:sz w:val="18"/>
                          </w:rPr>
                          <w:t xml:space="preserve">e l’efficienza dell’operato dell’Amministrazione finanziaria. Per quanto riguarda </w:t>
                        </w:r>
                      </w:p>
                    </w:txbxContent>
                  </v:textbox>
                </v:rect>
                <v:rect id="Rectangle 23542" o:spid="_x0000_s7172" style="position:absolute;left:-13172;top:10745;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25MxwAAAN4AAAAPAAAAZHJzL2Rvd25yZXYueG1sRI9Ba8JA&#10;FITvgv9heUJvumlqi6SuIoo0h160KfT4yD6TtNm3S3Y1qb++KxQ8DjPzDbNcD6YVF+p8Y1nB4ywB&#10;QVxa3XCloPjYTxcgfEDW2FomBb/kYb0aj5aYadvzgS7HUIkIYZ+hgjoEl0npy5oM+pl1xNE72c5g&#10;iLKrpO6wj3DTyjRJXqTBhuNCjY62NZU/x7NR8LVjl+97WZ6uW/f+nS/at3PxqdTDZNi8ggg0hHv4&#10;v51rBenT8zyF2514BeTqDwAA//8DAFBLAQItABQABgAIAAAAIQDb4fbL7gAAAIUBAAATAAAAAAAA&#10;AAAAAAAAAAAAAABbQ29udGVudF9UeXBlc10ueG1sUEsBAi0AFAAGAAgAAAAhAFr0LFu/AAAAFQEA&#10;AAsAAAAAAAAAAAAAAAAAHwEAAF9yZWxzLy5yZWxzUEsBAi0AFAAGAAgAAAAhAEpLbkzHAAAA3gAA&#10;AA8AAAAAAAAAAAAAAAAABwIAAGRycy9kb3ducmV2LnhtbFBLBQYAAAAAAwADALcAAAD7AgAAAAA=&#10;" filled="f" stroked="f">
                  <v:textbox inset="0,0,0,0">
                    <w:txbxContent>
                      <w:p w14:paraId="3141FCCA" w14:textId="77777777" w:rsidR="00B32EF2" w:rsidRDefault="00000000">
                        <w:r>
                          <w:rPr>
                            <w:rFonts w:ascii="Arial" w:eastAsia="Arial" w:hAnsi="Arial" w:cs="Arial"/>
                            <w:sz w:val="18"/>
                          </w:rPr>
                          <w:t xml:space="preserve">la disciplina della parte generale, il Governo si attiene ai seguenti principi e </w:t>
                        </w:r>
                      </w:p>
                    </w:txbxContent>
                  </v:textbox>
                </v:rect>
                <v:rect id="Rectangle 23543" o:spid="_x0000_s7173" style="position:absolute;left:30355;top:9511;width:95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8vXxwAAAN4AAAAPAAAAZHJzL2Rvd25yZXYueG1sRI9Pa8JA&#10;FMTvBb/D8gRvdeOfFkldRRRpDl6qFnp8ZJ9JNPt2ya4m9dO7hYLHYWZ+w8yXnanFjRpfWVYwGiYg&#10;iHOrKy4UHA/b1xkIH5A11pZJwS95WC56L3NMtW35i277UIgIYZ+igjIEl0rp85IM+qF1xNE72cZg&#10;iLIppG6wjXBTy3GSvEuDFceFEh2tS8ov+6tR8LNhl21bmZ/ua7c7Z7P683r8VmrQ71YfIAJ14Rn+&#10;b2dawXjyNp3A3514BeTiAQAA//8DAFBLAQItABQABgAIAAAAIQDb4fbL7gAAAIUBAAATAAAAAAAA&#10;AAAAAAAAAAAAAABbQ29udGVudF9UeXBlc10ueG1sUEsBAi0AFAAGAAgAAAAhAFr0LFu/AAAAFQEA&#10;AAsAAAAAAAAAAAAAAAAAHwEAAF9yZWxzLy5yZWxzUEsBAi0AFAAGAAgAAAAhACUHy9fHAAAA3gAA&#10;AA8AAAAAAAAAAAAAAAAABwIAAGRycy9kb3ducmV2LnhtbFBLBQYAAAAAAwADALcAAAD7AgAAAAA=&#10;" filled="f" stroked="f">
                  <v:textbox inset="0,0,0,0">
                    <w:txbxContent>
                      <w:p w14:paraId="46DB8AE6" w14:textId="77777777" w:rsidR="00B32EF2" w:rsidRDefault="00000000">
                        <w:r>
                          <w:rPr>
                            <w:rFonts w:ascii="Arial" w:eastAsia="Arial" w:hAnsi="Arial" w:cs="Arial"/>
                            <w:sz w:val="18"/>
                          </w:rPr>
                          <w:t>criteri direttivi:</w:t>
                        </w:r>
                      </w:p>
                    </w:txbxContent>
                  </v:textbox>
                </v:rect>
                <v:rect id="Rectangle 23544" o:spid="_x0000_s7174" style="position:absolute;left:-13172;top:8278;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lOjxwAAAN4AAAAPAAAAZHJzL2Rvd25yZXYueG1sRI9Ba8JA&#10;FITvBf/D8gRvdaO1ItFVxCLm0EutgsdH9plEs2+X7Gqiv75bKPQ4zMw3zGLVmVrcqfGVZQWjYQKC&#10;OLe64kLB4Xv7OgPhA7LG2jIpeJCH1bL3ssBU25a/6L4PhYgQ9ikqKENwqZQ+L8mgH1pHHL2zbQyG&#10;KJtC6gbbCDe1HCfJVBqsOC6U6GhTUn7d34yC0we7bNvK/PzcuM9LNqt3t8NRqUG/W89BBOrCf/iv&#10;nWkF47f3yQR+78QrIJc/AAAA//8DAFBLAQItABQABgAIAAAAIQDb4fbL7gAAAIUBAAATAAAAAAAA&#10;AAAAAAAAAAAAAABbQ29udGVudF9UeXBlc10ueG1sUEsBAi0AFAAGAAgAAAAhAFr0LFu/AAAAFQEA&#10;AAsAAAAAAAAAAAAAAAAAHwEAAF9yZWxzLy5yZWxzUEsBAi0AFAAGAAgAAAAhAKruU6PHAAAA3gAA&#10;AA8AAAAAAAAAAAAAAAAABwIAAGRycy9kb3ducmV2LnhtbFBLBQYAAAAAAwADALcAAAD7AgAAAAA=&#10;" filled="f" stroked="f">
                  <v:textbox inset="0,0,0,0">
                    <w:txbxContent>
                      <w:p w14:paraId="2DE18362" w14:textId="77777777" w:rsidR="00B32EF2" w:rsidRDefault="00000000">
                        <w:r>
                          <w:rPr>
                            <w:rFonts w:ascii="Arial" w:eastAsia="Arial" w:hAnsi="Arial" w:cs="Arial"/>
                            <w:sz w:val="18"/>
                          </w:rPr>
                          <w:t xml:space="preserve">a) recepimento dei principi contenuti nello statuto dei diritti del contribuente, di </w:t>
                        </w:r>
                      </w:p>
                    </w:txbxContent>
                  </v:textbox>
                </v:rect>
                <v:rect id="Rectangle 23545" o:spid="_x0000_s7175" style="position:absolute;left:15511;top:7045;width:244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vY4xwAAAN4AAAAPAAAAZHJzL2Rvd25yZXYueG1sRI9Ba8JA&#10;FITvBf/D8gRvdaNVkegqYhFz6KVWweMj+0yi2bdLdjWxv75bKPQ4zMw3zHLdmVo8qPGVZQWjYQKC&#10;OLe64kLB8Wv3OgfhA7LG2jIpeJKH9ar3ssRU25Y/6XEIhYgQ9ikqKENwqZQ+L8mgH1pHHL2LbQyG&#10;KJtC6gbbCDe1HCfJTBqsOC6U6GhbUn473I2C8zu7bNfK/PK9dR/XbF7v78eTUoN+t1mACNSF//Bf&#10;O9MKxm/TyRR+78QrIFc/AAAA//8DAFBLAQItABQABgAIAAAAIQDb4fbL7gAAAIUBAAATAAAAAAAA&#10;AAAAAAAAAAAAAABbQ29udGVudF9UeXBlc10ueG1sUEsBAi0AFAAGAAgAAAAhAFr0LFu/AAAAFQEA&#10;AAsAAAAAAAAAAAAAAAAAHwEAAF9yZWxzLy5yZWxzUEsBAi0AFAAGAAgAAAAhAMWi9jjHAAAA3gAA&#10;AA8AAAAAAAAAAAAAAAAABwIAAGRycy9kb3ducmV2LnhtbFBLBQYAAAAAAwADALcAAAD7AgAAAAA=&#10;" filled="f" stroked="f">
                  <v:textbox inset="0,0,0,0">
                    <w:txbxContent>
                      <w:p w14:paraId="4935F800" w14:textId="77777777" w:rsidR="00B32EF2" w:rsidRDefault="00000000">
                        <w:r>
                          <w:rPr>
                            <w:rFonts w:ascii="Arial" w:eastAsia="Arial" w:hAnsi="Arial" w:cs="Arial"/>
                            <w:sz w:val="18"/>
                          </w:rPr>
                          <w:t>cui alla legge 27 luglio 2000, n. 212;</w:t>
                        </w:r>
                      </w:p>
                    </w:txbxContent>
                  </v:textbox>
                </v:rect>
                <v:rect id="Rectangle 23546" o:spid="_x0000_s7176" style="position:absolute;left:-13172;top:5811;width:530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GhPxwAAAN4AAAAPAAAAZHJzL2Rvd25yZXYueG1sRI9Pa8JA&#10;FMTvgt9heUJvuqlVkdRVikXMoRf/FHp8ZJ9J2uzbJbua6KfvCoLHYWZ+wyxWnanFhRpfWVbwOkpA&#10;EOdWV1woOB42wzkIH5A11pZJwZU8rJb93gJTbVve0WUfChEh7FNUUIbgUil9XpJBP7KOOHon2xgM&#10;UTaF1A22EW5qOU6SmTRYcVwo0dG6pPxvfzYKfj7ZZZtW5qfb2n39ZvN6ez5+K/Uy6D7eQQTqwjP8&#10;aGdawfhtOpnB/U68AnL5DwAA//8DAFBLAQItABQABgAIAAAAIQDb4fbL7gAAAIUBAAATAAAAAAAA&#10;AAAAAAAAAAAAAABbQ29udGVudF9UeXBlc10ueG1sUEsBAi0AFAAGAAgAAAAhAFr0LFu/AAAAFQEA&#10;AAsAAAAAAAAAAAAAAAAAHwEAAF9yZWxzLy5yZWxzUEsBAi0AFAAGAAgAAAAhADVwaE/HAAAA3gAA&#10;AA8AAAAAAAAAAAAAAAAABwIAAGRycy9kb3ducmV2LnhtbFBLBQYAAAAAAwADALcAAAD7AgAAAAA=&#10;" filled="f" stroked="f">
                  <v:textbox inset="0,0,0,0">
                    <w:txbxContent>
                      <w:p w14:paraId="3462C14F" w14:textId="77777777" w:rsidR="00B32EF2" w:rsidRDefault="00000000">
                        <w:r>
                          <w:rPr>
                            <w:rFonts w:ascii="Arial" w:eastAsia="Arial" w:hAnsi="Arial" w:cs="Arial"/>
                            <w:sz w:val="18"/>
                          </w:rPr>
                          <w:t xml:space="preserve">b) previsione di una disciplina, unitaria per tutti i tributi, del soggetto passivo, </w:t>
                        </w:r>
                      </w:p>
                    </w:txbxContent>
                  </v:textbox>
                </v:rect>
                <v:rect id="Rectangle 23547" o:spid="_x0000_s7177" style="position:absolute;left:-12196;top:4578;width:521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M3UxwAAAN4AAAAPAAAAZHJzL2Rvd25yZXYueG1sRI9Ba8JA&#10;FITvBf/D8oTe6katVaKriCLNoRetgsdH9pmkzb5dsqtJ++u7BcHjMDPfMItVZ2pxo8ZXlhUMBwkI&#10;4tzqigsFx8/dywyED8gaa8uk4Ic8rJa9pwWm2ra8p9shFCJC2KeooAzBpVL6vCSDfmAdcfQutjEY&#10;omwKqRtsI9zUcpQkb9JgxXGhREebkvLvw9UoOG/ZZbtW5pffjfv4ymb1+/V4Uuq5363nIAJ14RG+&#10;tzOtYDSevE7h/068AnL5BwAA//8DAFBLAQItABQABgAIAAAAIQDb4fbL7gAAAIUBAAATAAAAAAAA&#10;AAAAAAAAAAAAAABbQ29udGVudF9UeXBlc10ueG1sUEsBAi0AFAAGAAgAAAAhAFr0LFu/AAAAFQEA&#10;AAsAAAAAAAAAAAAAAAAAHwEAAF9yZWxzLy5yZWxzUEsBAi0AFAAGAAgAAAAhAFo8zdTHAAAA3gAA&#10;AA8AAAAAAAAAAAAAAAAABwIAAGRycy9kb3ducmV2LnhtbFBLBQYAAAAAAwADALcAAAD7AgAAAAA=&#10;" filled="f" stroked="f">
                  <v:textbox inset="0,0,0,0">
                    <w:txbxContent>
                      <w:p w14:paraId="2725EE76" w14:textId="77777777" w:rsidR="00B32EF2" w:rsidRDefault="00000000">
                        <w:r>
                          <w:rPr>
                            <w:rFonts w:ascii="Arial" w:eastAsia="Arial" w:hAnsi="Arial" w:cs="Arial"/>
                            <w:sz w:val="18"/>
                          </w:rPr>
                          <w:t>dell’obbligazione tributaria, delle sanzioni e del processo; la disciplina dell’ob</w:t>
                        </w:r>
                      </w:p>
                    </w:txbxContent>
                  </v:textbox>
                </v:rect>
                <v:rect id="Rectangle 23548" o:spid="_x0000_s7178" style="position:absolute;left:191;top:4578;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1mmxAAAAN4AAAAPAAAAZHJzL2Rvd25yZXYueG1sRE/Pa8Iw&#10;FL4L/g/hCd401TmRzijiEHvwMqew46N5tt2al9BEW/3rzUHY8eP7vVx3phY3anxlWcFknIAgzq2u&#10;uFBw+t6NFiB8QNZYWyYFd/KwXvV7S0y1bfmLbsdQiBjCPkUFZQguldLnJRn0Y+uII3exjcEQYVNI&#10;3WAbw00tp0kylwYrjg0lOtqWlP8dr0bBzye7bNfK/PLYusNvtqj319NZqeGg23yACNSFf/HLnWkF&#10;07f3Wdwb78QrIFdPAAAA//8DAFBLAQItABQABgAIAAAAIQDb4fbL7gAAAIUBAAATAAAAAAAAAAAA&#10;AAAAAAAAAABbQ29udGVudF9UeXBlc10ueG1sUEsBAi0AFAAGAAgAAAAhAFr0LFu/AAAAFQEAAAsA&#10;AAAAAAAAAAAAAAAAHwEAAF9yZWxzLy5yZWxzUEsBAi0AFAAGAAgAAAAhACujWabEAAAA3gAAAA8A&#10;AAAAAAAAAAAAAAAABwIAAGRycy9kb3ducmV2LnhtbFBLBQYAAAAAAwADALcAAAD4AgAAAAA=&#10;" filled="f" stroked="f">
                  <v:textbox inset="0,0,0,0">
                    <w:txbxContent>
                      <w:p w14:paraId="49721F84" w14:textId="77777777" w:rsidR="00B32EF2" w:rsidRDefault="00000000">
                        <w:r>
                          <w:rPr>
                            <w:rFonts w:ascii="Arial" w:eastAsia="Arial" w:hAnsi="Arial" w:cs="Arial"/>
                            <w:sz w:val="18"/>
                          </w:rPr>
                          <w:t>-</w:t>
                        </w:r>
                      </w:p>
                    </w:txbxContent>
                  </v:textbox>
                </v:rect>
                <v:rect id="Rectangle 23549" o:spid="_x0000_s7179" style="position:absolute;left:-12192;top:3345;width:521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w9yAAAAN4AAAAPAAAAZHJzL2Rvd25yZXYueG1sRI9Pa8JA&#10;FMTvBb/D8oTe6kZbRaOriEWaQy/+A4+P7DNJm327ZFeT9tN3C4LHYWZ+wyxWnanFjRpfWVYwHCQg&#10;iHOrKy4UHA/blykIH5A11pZJwQ95WC17TwtMtW15R7d9KESEsE9RQRmCS6X0eUkG/cA64uhdbGMw&#10;RNkUUjfYRrip5ShJJtJgxXGhREebkvLv/dUoOL+zy7atzC+/G/f5lU3rj+vxpNRzv1vPQQTqwiN8&#10;b2daweh1/DaD/zvxCsjlHwAAAP//AwBQSwECLQAUAAYACAAAACEA2+H2y+4AAACFAQAAEwAAAAAA&#10;AAAAAAAAAAAAAAAAW0NvbnRlbnRfVHlwZXNdLnhtbFBLAQItABQABgAIAAAAIQBa9CxbvwAAABUB&#10;AAALAAAAAAAAAAAAAAAAAB8BAABfcmVscy8ucmVsc1BLAQItABQABgAIAAAAIQBE7/w9yAAAAN4A&#10;AAAPAAAAAAAAAAAAAAAAAAcCAABkcnMvZG93bnJldi54bWxQSwUGAAAAAAMAAwC3AAAA/AIAAAAA&#10;" filled="f" stroked="f">
                  <v:textbox inset="0,0,0,0">
                    <w:txbxContent>
                      <w:p w14:paraId="5C127E47" w14:textId="77777777" w:rsidR="00B32EF2" w:rsidRDefault="00000000">
                        <w:r>
                          <w:rPr>
                            <w:rFonts w:ascii="Arial" w:eastAsia="Arial" w:hAnsi="Arial" w:cs="Arial"/>
                            <w:sz w:val="18"/>
                          </w:rPr>
                          <w:t>bligazione tributaria prevede principi e regole in materia di dichiarazione, ac</w:t>
                        </w:r>
                      </w:p>
                    </w:txbxContent>
                  </v:textbox>
                </v:rect>
                <v:rect id="Rectangle 23550" o:spid="_x0000_s7180" style="position:absolute;left:191;top:3345;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MN9xgAAAN4AAAAPAAAAZHJzL2Rvd25yZXYueG1sRI/LasMw&#10;EEX3hf6DmEJ3tdyUlOBaCSUl1Itsmgd0OVgT24k1Epb8SL4+WhS6vNwXJ19NphUDdb6xrOA1SUEQ&#10;l1Y3XCk47DcvCxA+IGtsLZOCK3lYLR8fcsy0HfmHhl2oRBxhn6GCOgSXSenLmgz6xDri6J1sZzBE&#10;2VVSdzjGcdPKWZq+S4MNx4caHa1rKi+73ij4/WJXbEZZnm5rtz0Xi/a7PxyVen6aPj9ABJrCf/iv&#10;XWgFs7f5PAJEnIgCcnkHAAD//wMAUEsBAi0AFAAGAAgAAAAhANvh9svuAAAAhQEAABMAAAAAAAAA&#10;AAAAAAAAAAAAAFtDb250ZW50X1R5cGVzXS54bWxQSwECLQAUAAYACAAAACEAWvQsW78AAAAVAQAA&#10;CwAAAAAAAAAAAAAAAAAfAQAAX3JlbHMvLnJlbHNQSwECLQAUAAYACAAAACEAUAzDfcYAAADeAAAA&#10;DwAAAAAAAAAAAAAAAAAHAgAAZHJzL2Rvd25yZXYueG1sUEsFBgAAAAADAAMAtwAAAPoCAAAAAA==&#10;" filled="f" stroked="f">
                  <v:textbox inset="0,0,0,0">
                    <w:txbxContent>
                      <w:p w14:paraId="634AA993" w14:textId="77777777" w:rsidR="00B32EF2" w:rsidRDefault="00000000">
                        <w:r>
                          <w:rPr>
                            <w:rFonts w:ascii="Arial" w:eastAsia="Arial" w:hAnsi="Arial" w:cs="Arial"/>
                            <w:sz w:val="18"/>
                          </w:rPr>
                          <w:t>-</w:t>
                        </w:r>
                      </w:p>
                    </w:txbxContent>
                  </v:textbox>
                </v:rect>
                <v:rect id="Rectangle 23551" o:spid="_x0000_s7181" style="position:absolute;left:22287;top:2112;width:17630;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bmxgAAAN4AAAAPAAAAZHJzL2Rvd25yZXYueG1sRI9Ba8JA&#10;FITvgv9heUJvutFikegqoog5eKla6PGRfSbR7Nslu5q0v94tFDwOM/MNs1h1phYPanxlWcF4lIAg&#10;zq2uuFBwPu2GMxA+IGusLZOCH/KwWvZ7C0y1bfmTHsdQiAhhn6KCMgSXSunzkgz6kXXE0bvYxmCI&#10;simkbrCNcFPLSZJ8SIMVx4USHW1Kym/Hu1HwvWWX7VqZX3437nDNZvX+fv5S6m3QrecgAnXhFf5v&#10;Z1rB5H06HcPfnXgF5PIJAAD//wMAUEsBAi0AFAAGAAgAAAAhANvh9svuAAAAhQEAABMAAAAAAAAA&#10;AAAAAAAAAAAAAFtDb250ZW50X1R5cGVzXS54bWxQSwECLQAUAAYACAAAACEAWvQsW78AAAAVAQAA&#10;CwAAAAAAAAAAAAAAAAAfAQAAX3JlbHMvLnJlbHNQSwECLQAUAAYACAAAACEAP0Bm5sYAAADeAAAA&#10;DwAAAAAAAAAAAAAAAAAHAgAAZHJzL2Rvd25yZXYueG1sUEsFBgAAAAADAAMAtwAAAPoCAAAAAA==&#10;" filled="f" stroked="f">
                  <v:textbox inset="0,0,0,0">
                    <w:txbxContent>
                      <w:p w14:paraId="4FD08717" w14:textId="77777777" w:rsidR="00B32EF2" w:rsidRDefault="00000000">
                        <w:r>
                          <w:rPr>
                            <w:rFonts w:ascii="Arial" w:eastAsia="Arial" w:hAnsi="Arial" w:cs="Arial"/>
                            <w:sz w:val="18"/>
                          </w:rPr>
                          <w:t>certamento e riscossione;</w:t>
                        </w:r>
                      </w:p>
                    </w:txbxContent>
                  </v:textbox>
                </v:rect>
                <v:rect id="Rectangle 23552" o:spid="_x0000_s7182" style="position:absolute;left:-12196;top:878;width:521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viRxwAAAN4AAAAPAAAAZHJzL2Rvd25yZXYueG1sRI9Pa8JA&#10;FMTvgt9heYI33TRikegqxSLNoRf/gcdH9pmkzb5dsqtJ++m7QsHjMDO/YVab3jTiTq2vLSt4mSYg&#10;iAuray4VnI67yQKED8gaG8uk4Ic8bNbDwQozbTve0/0QShEh7DNUUIXgMil9UZFBP7WOOHpX2xoM&#10;Ubal1C12EW4amSbJqzRYc1yo0NG2ouL7cDMKLu/s8l0ni+vv1n1+5Yvm43Y6KzUe9W9LEIH68Az/&#10;t3OtIJ3N5yk87sQrINd/AAAA//8DAFBLAQItABQABgAIAAAAIQDb4fbL7gAAAIUBAAATAAAAAAAA&#10;AAAAAAAAAAAAAABbQ29udGVudF9UeXBlc10ueG1sUEsBAi0AFAAGAAgAAAAhAFr0LFu/AAAAFQEA&#10;AAsAAAAAAAAAAAAAAAAAHwEAAF9yZWxzLy5yZWxzUEsBAi0AFAAGAAgAAAAhAM+S+JHHAAAA3gAA&#10;AA8AAAAAAAAAAAAAAAAABwIAAGRycy9kb3ducmV2LnhtbFBLBQYAAAAAAwADALcAAAD7AgAAAAA=&#10;" filled="f" stroked="f">
                  <v:textbox inset="0,0,0,0">
                    <w:txbxContent>
                      <w:p w14:paraId="35088FAE" w14:textId="77777777" w:rsidR="00B32EF2" w:rsidRDefault="00000000">
                        <w:r>
                          <w:rPr>
                            <w:rFonts w:ascii="Arial" w:eastAsia="Arial" w:hAnsi="Arial" w:cs="Arial"/>
                            <w:sz w:val="18"/>
                          </w:rPr>
                          <w:t>c) previsione di un monitoraggio periodico della legislazione tributaria codifi</w:t>
                        </w:r>
                      </w:p>
                    </w:txbxContent>
                  </v:textbox>
                </v:rect>
                <v:rect id="Rectangle 23553" o:spid="_x0000_s7183" style="position:absolute;left:191;top:878;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l0KxwAAAN4AAAAPAAAAZHJzL2Rvd25yZXYueG1sRI9Ba8JA&#10;FITvQv/D8gRvulFRJHWVYhFz8FKbQo+P7DNJm327ZFcT/fVuQehxmJlvmPW2N424UutrywqmkwQE&#10;cWF1zaWC/HM/XoHwAVljY5kU3MjDdvMyWGOqbccfdD2FUkQI+xQVVCG4VEpfVGTQT6wjjt7ZtgZD&#10;lG0pdYtdhJtGzpJkKQ3WHBcqdLSrqPg9XYyC73d22b6Txfm+c8efbNUcLvmXUqNh//YKIlAf/sPP&#10;dqYVzOaLxRz+7sQrIDcPAAAA//8DAFBLAQItABQABgAIAAAAIQDb4fbL7gAAAIUBAAATAAAAAAAA&#10;AAAAAAAAAAAAAABbQ29udGVudF9UeXBlc10ueG1sUEsBAi0AFAAGAAgAAAAhAFr0LFu/AAAAFQEA&#10;AAsAAAAAAAAAAAAAAAAAHwEAAF9yZWxzLy5yZWxzUEsBAi0AFAAGAAgAAAAhAKDeXQrHAAAA3gAA&#10;AA8AAAAAAAAAAAAAAAAABwIAAGRycy9kb3ducmV2LnhtbFBLBQYAAAAAAwADALcAAAD7AgAAAAA=&#10;" filled="f" stroked="f">
                  <v:textbox inset="0,0,0,0">
                    <w:txbxContent>
                      <w:p w14:paraId="6264CA28" w14:textId="77777777" w:rsidR="00B32EF2" w:rsidRDefault="00000000">
                        <w:r>
                          <w:rPr>
                            <w:rFonts w:ascii="Arial" w:eastAsia="Arial" w:hAnsi="Arial" w:cs="Arial"/>
                            <w:sz w:val="18"/>
                          </w:rPr>
                          <w:t>-</w:t>
                        </w:r>
                      </w:p>
                    </w:txbxContent>
                  </v:textbox>
                </v:rect>
                <v:rect id="Rectangle 23554" o:spid="_x0000_s7184" style="position:absolute;left:36559;top:-354;width:335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8V+xwAAAN4AAAAPAAAAZHJzL2Rvd25yZXYueG1sRI9Ba8JA&#10;FITvBf/D8gRvdaNVkegqYhFz6KVWweMj+0yi2bdLdjWxv75bKPQ4zMw3zHLdmVo8qPGVZQWjYQKC&#10;OLe64kLB8Wv3OgfhA7LG2jIpeJKH9ar3ssRU25Y/6XEIhYgQ9ikqKENwqZQ+L8mgH1pHHL2LbQyG&#10;KJtC6gbbCDe1HCfJTBqsOC6U6GhbUn473I2C8zu7bNfK/PK9dR/XbF7v78eTUoN+t1mACNSF//Bf&#10;O9MKxm/T6QR+78QrIFc/AAAA//8DAFBLAQItABQABgAIAAAAIQDb4fbL7gAAAIUBAAATAAAAAAAA&#10;AAAAAAAAAAAAAABbQ29udGVudF9UeXBlc10ueG1sUEsBAi0AFAAGAAgAAAAhAFr0LFu/AAAAFQEA&#10;AAsAAAAAAAAAAAAAAAAAHwEAAF9yZWxzLy5yZWxzUEsBAi0AFAAGAAgAAAAhAC83xX7HAAAA3gAA&#10;AA8AAAAAAAAAAAAAAAAABwIAAGRycy9kb3ducmV2LnhtbFBLBQYAAAAAAwADALcAAAD7AgAAAAA=&#10;" filled="f" stroked="f">
                  <v:textbox inset="0,0,0,0">
                    <w:txbxContent>
                      <w:p w14:paraId="1F5348A6" w14:textId="77777777" w:rsidR="00B32EF2" w:rsidRDefault="00000000">
                        <w:r>
                          <w:rPr>
                            <w:rFonts w:ascii="Arial" w:eastAsia="Arial" w:hAnsi="Arial" w:cs="Arial"/>
                            <w:sz w:val="18"/>
                          </w:rPr>
                          <w:t>cata.</w:t>
                        </w:r>
                      </w:p>
                    </w:txbxContent>
                  </v:textbox>
                </v:rect>
                <w10:anchorlock/>
              </v:group>
            </w:pict>
          </mc:Fallback>
        </mc:AlternateContent>
      </w:r>
    </w:p>
    <w:p w14:paraId="18A3100A" w14:textId="77777777" w:rsidR="00B32EF2" w:rsidRDefault="00000000">
      <w:pPr>
        <w:spacing w:after="4873"/>
        <w:ind w:left="-1440" w:right="7064"/>
      </w:pPr>
      <w:r>
        <w:rPr>
          <w:noProof/>
        </w:rPr>
        <mc:AlternateContent>
          <mc:Choice Requires="wpg">
            <w:drawing>
              <wp:anchor distT="0" distB="0" distL="114300" distR="114300" simplePos="0" relativeHeight="251678720" behindDoc="0" locked="0" layoutInCell="1" allowOverlap="1" wp14:anchorId="7381F991" wp14:editId="5C501D25">
                <wp:simplePos x="0" y="0"/>
                <wp:positionH relativeFrom="page">
                  <wp:posOffset>2632944</wp:posOffset>
                </wp:positionH>
                <wp:positionV relativeFrom="page">
                  <wp:posOffset>397149</wp:posOffset>
                </wp:positionV>
                <wp:extent cx="134112" cy="188456"/>
                <wp:effectExtent l="0" t="0" r="0" b="0"/>
                <wp:wrapTopAndBottom/>
                <wp:docPr id="202428" name="Group 202428"/>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23586" name="Rectangle 23586"/>
                        <wps:cNvSpPr/>
                        <wps:spPr>
                          <a:xfrm rot="-10799999">
                            <a:off x="-44256" y="-62190"/>
                            <a:ext cx="178369" cy="250646"/>
                          </a:xfrm>
                          <a:prstGeom prst="rect">
                            <a:avLst/>
                          </a:prstGeom>
                          <a:ln>
                            <a:noFill/>
                          </a:ln>
                        </wps:spPr>
                        <wps:txbx>
                          <w:txbxContent>
                            <w:p w14:paraId="5AB29C5C" w14:textId="77777777" w:rsidR="00B32EF2" w:rsidRDefault="00000000">
                              <w:r>
                                <w:rPr>
                                  <w:rFonts w:ascii="Times New Roman" w:eastAsia="Times New Roman" w:hAnsi="Times New Roman" w:cs="Times New Roman"/>
                                </w:rPr>
                                <w:t>12</w:t>
                              </w:r>
                            </w:p>
                          </w:txbxContent>
                        </wps:txbx>
                        <wps:bodyPr horzOverflow="overflow" vert="horz" lIns="0" tIns="0" rIns="0" bIns="0" rtlCol="0">
                          <a:noAutofit/>
                        </wps:bodyPr>
                      </wps:wsp>
                    </wpg:wgp>
                  </a:graphicData>
                </a:graphic>
              </wp:anchor>
            </w:drawing>
          </mc:Choice>
          <mc:Fallback>
            <w:pict>
              <v:group w14:anchorId="7381F991" id="Group 202428" o:spid="_x0000_s7185" style="position:absolute;left:0;text-align:left;margin-left:207.3pt;margin-top:31.25pt;width:10.55pt;height:14.85pt;z-index:251678720;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J4HAIAAIEEAAAOAAAAZHJzL2Uyb0RvYy54bWyklN1u2yAUx+8n7R0Q94k/kriJFaea1jWa&#10;NK1Vuz0AwWBbwoCAxO6efgf8ka2VdtH5Ah8O+PA/P87x/rZvBbowYxslC5wsY4yYpKpsZFXgnz/u&#10;F1uMrCOyJEJJVuAXZvHt4eOHfadzlqpaiZIZBEGkzTtd4No5nUeRpTVriV0qzSQscmVa4mBqqqg0&#10;pIPorYjSOM6iTplSG0WZteC9GxbxIcTnnFH3wLllDokCgzYXRhPGkx+jw57klSG6bugog7xDRUsa&#10;CYfOoe6II+hsmjeh2oYaZRV3S6raSHHeUBZygGyS+FU2R6POOuRS5V2lZ0yA9hWnd4el3y9Ho5/1&#10;owESna6ARZj5XHpuWv8GlagPyF5mZKx3iIIzWa2TJMWIwlKy3a432YCU1sD9zVe0/vLP76Lp0Ogv&#10;KZ2G4rDX/O3/5f9cE80CVptD/o8GNWWB09Vmm2EkSQtl+gSFQ2QlGBrcAU7YPaOyuQVqEydkFNTW&#10;Iolvdv4JtTByW6zXKWBBQGiRpcluLLqZ4M12le0GgukmztaB4EyC5NpYd2SqRd4osAFpITy5fLMO&#10;hMHWaYtXI6QfpbpvhBhWvQeAToK95fpTH7Le7JKNvzHvPKnyBWDUyvx6gJbmQnUFVqOFfZfD8X4V&#10;I/FVwiX4hpoMMxmnyTBOfFah7QZBn85O8SYovp42KoPbDVao85DS2JO+kf6ch13XP8fhNwAAAP//&#10;AwBQSwMEFAAGAAgAAAAhAPfgYzDgAAAACQEAAA8AAABkcnMvZG93bnJldi54bWxMj0FPg0AQhe8m&#10;/ofNmHizCxRQkaFpGvXUNLE1Md6mMAVSdpewW6D/3vWkx8n78t43+WpWnRh5sK3RCOEiAMG6NFWr&#10;a4TPw9vDEwjrSFfUGc0IV7awKm5vcsoqM+kPHveuFr5E24wQGuf6TEpbNqzILkzP2mcnMyhy/hxq&#10;WQ00+XLVySgIUqmo1X6hoZ43DZfn/UUhvE80rZfh67g9nzbX70Oy+9qGjHh/N69fQDie3R8Mv/pe&#10;HQrvdDQXXVnRIcRhnHoUIY0SEB6Il8kjiCPCcxSBLHL5/4PiBwAA//8DAFBLAQItABQABgAIAAAA&#10;IQC2gziS/gAAAOEBAAATAAAAAAAAAAAAAAAAAAAAAABbQ29udGVudF9UeXBlc10ueG1sUEsBAi0A&#10;FAAGAAgAAAAhADj9If/WAAAAlAEAAAsAAAAAAAAAAAAAAAAALwEAAF9yZWxzLy5yZWxzUEsBAi0A&#10;FAAGAAgAAAAhAAEQongcAgAAgQQAAA4AAAAAAAAAAAAAAAAALgIAAGRycy9lMm9Eb2MueG1sUEsB&#10;Ai0AFAAGAAgAAAAhAPfgYzDgAAAACQEAAA8AAAAAAAAAAAAAAAAAdgQAAGRycy9kb3ducmV2Lnht&#10;bFBLBQYAAAAABAAEAPMAAACDBQAAAAA=&#10;">
                <v:rect id="Rectangle 23586" o:spid="_x0000_s7186"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dLVxwAAAN4AAAAPAAAAZHJzL2Rvd25yZXYueG1sRI9Ba8JA&#10;FITvgv9heUJvuqlFCamrFEXMwUuthR4f2WcSzb5dsquJ/vpuoeBxmJlvmMWqN424UetrywpeJwkI&#10;4sLqmksFx6/tOAXhA7LGxjIpuJOH1XI4WGCmbcefdDuEUkQI+wwVVCG4TEpfVGTQT6wjjt7JtgZD&#10;lG0pdYtdhJtGTpNkLg3WHBcqdLSuqLgcrkbBz4Zdvu1kcXqs3f6cp83uevxW6mXUf7yDCNSHZ/i/&#10;nWsF07dZOoe/O/EKyOUvAAAA//8DAFBLAQItABQABgAIAAAAIQDb4fbL7gAAAIUBAAATAAAAAAAA&#10;AAAAAAAAAAAAAABbQ29udGVudF9UeXBlc10ueG1sUEsBAi0AFAAGAAgAAAAhAFr0LFu/AAAAFQEA&#10;AAsAAAAAAAAAAAAAAAAAHwEAAF9yZWxzLy5yZWxzUEsBAi0AFAAGAAgAAAAhAM7J0tXHAAAA3gAA&#10;AA8AAAAAAAAAAAAAAAAABwIAAGRycy9kb3ducmV2LnhtbFBLBQYAAAAAAwADALcAAAD7AgAAAAA=&#10;" filled="f" stroked="f">
                  <v:textbox inset="0,0,0,0">
                    <w:txbxContent>
                      <w:p w14:paraId="5AB29C5C" w14:textId="77777777" w:rsidR="00B32EF2" w:rsidRDefault="00000000">
                        <w:r>
                          <w:rPr>
                            <w:rFonts w:ascii="Times New Roman" w:eastAsia="Times New Roman" w:hAnsi="Times New Roman" w:cs="Times New Roman"/>
                          </w:rPr>
                          <w:t>12</w:t>
                        </w:r>
                      </w:p>
                    </w:txbxContent>
                  </v:textbox>
                </v:rect>
                <w10:wrap type="topAndBottom" anchorx="page" anchory="page"/>
              </v:group>
            </w:pict>
          </mc:Fallback>
        </mc:AlternateContent>
      </w:r>
    </w:p>
    <w:p w14:paraId="42AB07C1" w14:textId="77777777" w:rsidR="00B32EF2" w:rsidRDefault="00000000">
      <w:pPr>
        <w:spacing w:after="0"/>
        <w:ind w:left="-196" w:right="-306"/>
      </w:pPr>
      <w:r>
        <w:rPr>
          <w:noProof/>
        </w:rPr>
        <w:lastRenderedPageBreak/>
        <mc:AlternateContent>
          <mc:Choice Requires="wpg">
            <w:drawing>
              <wp:inline distT="0" distB="0" distL="0" distR="0" wp14:anchorId="087AFCD2" wp14:editId="7141B8BC">
                <wp:extent cx="3889960" cy="2850636"/>
                <wp:effectExtent l="0" t="0" r="0" b="0"/>
                <wp:docPr id="202429" name="Group 202429"/>
                <wp:cNvGraphicFramePr/>
                <a:graphic xmlns:a="http://schemas.openxmlformats.org/drawingml/2006/main">
                  <a:graphicData uri="http://schemas.microsoft.com/office/word/2010/wordprocessingGroup">
                    <wpg:wgp>
                      <wpg:cNvGrpSpPr/>
                      <wpg:grpSpPr>
                        <a:xfrm>
                          <a:off x="0" y="0"/>
                          <a:ext cx="3889960" cy="2850636"/>
                          <a:chOff x="0" y="0"/>
                          <a:chExt cx="3889960" cy="2850636"/>
                        </a:xfrm>
                      </wpg:grpSpPr>
                      <wps:wsp>
                        <wps:cNvPr id="23587" name="Rectangle 23587"/>
                        <wps:cNvSpPr/>
                        <wps:spPr>
                          <a:xfrm rot="-10799999">
                            <a:off x="1824798" y="2707746"/>
                            <a:ext cx="2065163" cy="142890"/>
                          </a:xfrm>
                          <a:prstGeom prst="rect">
                            <a:avLst/>
                          </a:prstGeom>
                          <a:ln>
                            <a:noFill/>
                          </a:ln>
                        </wps:spPr>
                        <wps:txbx>
                          <w:txbxContent>
                            <w:p w14:paraId="5EF153ED" w14:textId="77777777" w:rsidR="00B32EF2" w:rsidRDefault="00000000">
                              <w:r>
                                <w:rPr>
                                  <w:rFonts w:ascii="Arial" w:eastAsia="Arial" w:hAnsi="Arial" w:cs="Arial"/>
                                  <w:b/>
                                  <w:sz w:val="18"/>
                                </w:rPr>
                                <w:t>Sezione IV – La revocazione</w:t>
                              </w:r>
                            </w:p>
                          </w:txbxContent>
                        </wps:txbx>
                        <wps:bodyPr horzOverflow="overflow" vert="horz" lIns="0" tIns="0" rIns="0" bIns="0" rtlCol="0">
                          <a:noAutofit/>
                        </wps:bodyPr>
                      </wps:wsp>
                      <wps:wsp>
                        <wps:cNvPr id="23588" name="Rectangle 23588"/>
                        <wps:cNvSpPr/>
                        <wps:spPr>
                          <a:xfrm rot="-10799999">
                            <a:off x="571293" y="2707747"/>
                            <a:ext cx="2191339" cy="142889"/>
                          </a:xfrm>
                          <a:prstGeom prst="rect">
                            <a:avLst/>
                          </a:prstGeom>
                          <a:ln>
                            <a:noFill/>
                          </a:ln>
                        </wps:spPr>
                        <wps:txbx>
                          <w:txbxContent>
                            <w:p w14:paraId="4CB93834"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589" name="Rectangle 23589"/>
                        <wps:cNvSpPr/>
                        <wps:spPr>
                          <a:xfrm rot="-10799999">
                            <a:off x="70534" y="2707747"/>
                            <a:ext cx="616422" cy="142889"/>
                          </a:xfrm>
                          <a:prstGeom prst="rect">
                            <a:avLst/>
                          </a:prstGeom>
                          <a:ln>
                            <a:noFill/>
                          </a:ln>
                        </wps:spPr>
                        <wps:txbx>
                          <w:txbxContent>
                            <w:p w14:paraId="467D5B54" w14:textId="77777777" w:rsidR="00B32EF2" w:rsidRDefault="00000000">
                              <w:r>
                                <w:rPr>
                                  <w:rFonts w:ascii="Arial" w:eastAsia="Arial" w:hAnsi="Arial" w:cs="Arial"/>
                                  <w:b/>
                                  <w:sz w:val="18"/>
                                </w:rPr>
                                <w:t>Pag. 100</w:t>
                              </w:r>
                            </w:p>
                          </w:txbxContent>
                        </wps:txbx>
                        <wps:bodyPr horzOverflow="overflow" vert="horz" lIns="0" tIns="0" rIns="0" bIns="0" rtlCol="0">
                          <a:noAutofit/>
                        </wps:bodyPr>
                      </wps:wsp>
                      <wps:wsp>
                        <wps:cNvPr id="23590" name="Rectangle 23590"/>
                        <wps:cNvSpPr/>
                        <wps:spPr>
                          <a:xfrm rot="-10799999">
                            <a:off x="273155" y="2536297"/>
                            <a:ext cx="3616806" cy="142889"/>
                          </a:xfrm>
                          <a:prstGeom prst="rect">
                            <a:avLst/>
                          </a:prstGeom>
                          <a:ln>
                            <a:noFill/>
                          </a:ln>
                        </wps:spPr>
                        <wps:txbx>
                          <w:txbxContent>
                            <w:p w14:paraId="04400FFA" w14:textId="77777777" w:rsidR="00B32EF2" w:rsidRDefault="00000000">
                              <w:r>
                                <w:rPr>
                                  <w:rFonts w:ascii="Arial" w:eastAsia="Arial" w:hAnsi="Arial" w:cs="Arial"/>
                                  <w:sz w:val="18"/>
                                </w:rPr>
                                <w:t>Art. 120 - Sentenze revocabili e motivi di revocazione</w:t>
                              </w:r>
                            </w:p>
                          </w:txbxContent>
                        </wps:txbx>
                        <wps:bodyPr horzOverflow="overflow" vert="horz" lIns="0" tIns="0" rIns="0" bIns="0" rtlCol="0">
                          <a:noAutofit/>
                        </wps:bodyPr>
                      </wps:wsp>
                      <wps:wsp>
                        <wps:cNvPr id="23591" name="Rectangle 23591"/>
                        <wps:cNvSpPr/>
                        <wps:spPr>
                          <a:xfrm rot="-10799999">
                            <a:off x="960447" y="2364847"/>
                            <a:ext cx="2929513" cy="142889"/>
                          </a:xfrm>
                          <a:prstGeom prst="rect">
                            <a:avLst/>
                          </a:prstGeom>
                          <a:ln>
                            <a:noFill/>
                          </a:ln>
                        </wps:spPr>
                        <wps:txbx>
                          <w:txbxContent>
                            <w:p w14:paraId="3E4B9C8B" w14:textId="77777777" w:rsidR="00B32EF2" w:rsidRDefault="00000000">
                              <w:r>
                                <w:rPr>
                                  <w:rFonts w:ascii="Arial" w:eastAsia="Arial" w:hAnsi="Arial" w:cs="Arial"/>
                                  <w:sz w:val="18"/>
                                </w:rPr>
                                <w:t>Art. 121 - Proposizione della impugnazione</w:t>
                              </w:r>
                            </w:p>
                          </w:txbxContent>
                        </wps:txbx>
                        <wps:bodyPr horzOverflow="overflow" vert="horz" lIns="0" tIns="0" rIns="0" bIns="0" rtlCol="0">
                          <a:noAutofit/>
                        </wps:bodyPr>
                      </wps:wsp>
                      <wps:wsp>
                        <wps:cNvPr id="23592" name="Rectangle 23592"/>
                        <wps:cNvSpPr/>
                        <wps:spPr>
                          <a:xfrm rot="-10799999">
                            <a:off x="2264939" y="2193397"/>
                            <a:ext cx="1625022" cy="142889"/>
                          </a:xfrm>
                          <a:prstGeom prst="rect">
                            <a:avLst/>
                          </a:prstGeom>
                          <a:ln>
                            <a:noFill/>
                          </a:ln>
                        </wps:spPr>
                        <wps:txbx>
                          <w:txbxContent>
                            <w:p w14:paraId="166B5EA4" w14:textId="77777777" w:rsidR="00B32EF2" w:rsidRDefault="00000000">
                              <w:r>
                                <w:rPr>
                                  <w:rFonts w:ascii="Arial" w:eastAsia="Arial" w:hAnsi="Arial" w:cs="Arial"/>
                                  <w:sz w:val="18"/>
                                </w:rPr>
                                <w:t>Art. 122 - Procedimento</w:t>
                              </w:r>
                            </w:p>
                          </w:txbxContent>
                        </wps:txbx>
                        <wps:bodyPr horzOverflow="overflow" vert="horz" lIns="0" tIns="0" rIns="0" bIns="0" rtlCol="0">
                          <a:noAutofit/>
                        </wps:bodyPr>
                      </wps:wsp>
                      <wps:wsp>
                        <wps:cNvPr id="23593" name="Rectangle 23593"/>
                        <wps:cNvSpPr/>
                        <wps:spPr>
                          <a:xfrm rot="-10799999">
                            <a:off x="2535927" y="2021947"/>
                            <a:ext cx="1354033" cy="142889"/>
                          </a:xfrm>
                          <a:prstGeom prst="rect">
                            <a:avLst/>
                          </a:prstGeom>
                          <a:ln>
                            <a:noFill/>
                          </a:ln>
                        </wps:spPr>
                        <wps:txbx>
                          <w:txbxContent>
                            <w:p w14:paraId="0182FC01" w14:textId="77777777" w:rsidR="00B32EF2" w:rsidRDefault="00000000">
                              <w:r>
                                <w:rPr>
                                  <w:rFonts w:ascii="Arial" w:eastAsia="Arial" w:hAnsi="Arial" w:cs="Arial"/>
                                  <w:sz w:val="18"/>
                                </w:rPr>
                                <w:t>Art. 123 - Decisione</w:t>
                              </w:r>
                            </w:p>
                          </w:txbxContent>
                        </wps:txbx>
                        <wps:bodyPr horzOverflow="overflow" vert="horz" lIns="0" tIns="0" rIns="0" bIns="0" rtlCol="0">
                          <a:noAutofit/>
                        </wps:bodyPr>
                      </wps:wsp>
                      <wps:wsp>
                        <wps:cNvPr id="23594" name="Rectangle 23594"/>
                        <wps:cNvSpPr/>
                        <wps:spPr>
                          <a:xfrm rot="-10799999">
                            <a:off x="78615" y="1850497"/>
                            <a:ext cx="3811345" cy="142889"/>
                          </a:xfrm>
                          <a:prstGeom prst="rect">
                            <a:avLst/>
                          </a:prstGeom>
                          <a:ln>
                            <a:noFill/>
                          </a:ln>
                        </wps:spPr>
                        <wps:txbx>
                          <w:txbxContent>
                            <w:p w14:paraId="3C51190B" w14:textId="77777777" w:rsidR="00B32EF2" w:rsidRDefault="00000000">
                              <w:r>
                                <w:rPr>
                                  <w:rFonts w:ascii="Arial" w:eastAsia="Arial" w:hAnsi="Arial" w:cs="Arial"/>
                                  <w:b/>
                                  <w:sz w:val="18"/>
                                </w:rPr>
                                <w:t xml:space="preserve">Capo IV -  L’esecuzione delle sentenze delle corti di </w:t>
                              </w:r>
                            </w:p>
                          </w:txbxContent>
                        </wps:txbx>
                        <wps:bodyPr horzOverflow="overflow" vert="horz" lIns="0" tIns="0" rIns="0" bIns="0" rtlCol="0">
                          <a:noAutofit/>
                        </wps:bodyPr>
                      </wps:wsp>
                      <wps:wsp>
                        <wps:cNvPr id="23595" name="Rectangle 23595"/>
                        <wps:cNvSpPr/>
                        <wps:spPr>
                          <a:xfrm rot="-10799999">
                            <a:off x="72927" y="1850496"/>
                            <a:ext cx="614005" cy="142889"/>
                          </a:xfrm>
                          <a:prstGeom prst="rect">
                            <a:avLst/>
                          </a:prstGeom>
                          <a:ln>
                            <a:noFill/>
                          </a:ln>
                        </wps:spPr>
                        <wps:txbx>
                          <w:txbxContent>
                            <w:p w14:paraId="751E1D89" w14:textId="77777777" w:rsidR="00B32EF2" w:rsidRDefault="00000000">
                              <w:r>
                                <w:rPr>
                                  <w:rFonts w:ascii="Arial" w:eastAsia="Arial" w:hAnsi="Arial" w:cs="Arial"/>
                                  <w:b/>
                                  <w:sz w:val="18"/>
                                </w:rPr>
                                <w:t>Pag. 102</w:t>
                              </w:r>
                            </w:p>
                          </w:txbxContent>
                        </wps:txbx>
                        <wps:bodyPr horzOverflow="overflow" vert="horz" lIns="0" tIns="0" rIns="0" bIns="0" rtlCol="0">
                          <a:noAutofit/>
                        </wps:bodyPr>
                      </wps:wsp>
                      <wps:wsp>
                        <wps:cNvPr id="23596" name="Rectangle 23596"/>
                        <wps:cNvSpPr/>
                        <wps:spPr>
                          <a:xfrm rot="-10799999">
                            <a:off x="2538480" y="1679047"/>
                            <a:ext cx="1353881" cy="142889"/>
                          </a:xfrm>
                          <a:prstGeom prst="rect">
                            <a:avLst/>
                          </a:prstGeom>
                          <a:ln>
                            <a:noFill/>
                          </a:ln>
                        </wps:spPr>
                        <wps:txbx>
                          <w:txbxContent>
                            <w:p w14:paraId="41D44516" w14:textId="77777777" w:rsidR="00B32EF2" w:rsidRDefault="00000000">
                              <w:r>
                                <w:rPr>
                                  <w:rFonts w:ascii="Arial" w:eastAsia="Arial" w:hAnsi="Arial" w:cs="Arial"/>
                                  <w:b/>
                                  <w:sz w:val="18"/>
                                </w:rPr>
                                <w:t>giustizia tributaria</w:t>
                              </w:r>
                            </w:p>
                          </w:txbxContent>
                        </wps:txbx>
                        <wps:bodyPr horzOverflow="overflow" vert="horz" lIns="0" tIns="0" rIns="0" bIns="0" rtlCol="0">
                          <a:noAutofit/>
                        </wps:bodyPr>
                      </wps:wsp>
                      <wps:wsp>
                        <wps:cNvPr id="23597" name="Rectangle 23597"/>
                        <wps:cNvSpPr/>
                        <wps:spPr>
                          <a:xfrm rot="-10799999">
                            <a:off x="-1283686" y="1507597"/>
                            <a:ext cx="5173648" cy="142889"/>
                          </a:xfrm>
                          <a:prstGeom prst="rect">
                            <a:avLst/>
                          </a:prstGeom>
                          <a:ln>
                            <a:noFill/>
                          </a:ln>
                        </wps:spPr>
                        <wps:txbx>
                          <w:txbxContent>
                            <w:p w14:paraId="364BC4C0" w14:textId="77777777" w:rsidR="00B32EF2" w:rsidRDefault="00000000">
                              <w:r>
                                <w:rPr>
                                  <w:rFonts w:ascii="Arial" w:eastAsia="Arial" w:hAnsi="Arial" w:cs="Arial"/>
                                  <w:sz w:val="18"/>
                                </w:rPr>
                                <w:t>Art. 124 - Applicazione ed esecuzione delle sanzioni penali e amministrative</w:t>
                              </w:r>
                            </w:p>
                          </w:txbxContent>
                        </wps:txbx>
                        <wps:bodyPr horzOverflow="overflow" vert="horz" lIns="0" tIns="0" rIns="0" bIns="0" rtlCol="0">
                          <a:noAutofit/>
                        </wps:bodyPr>
                      </wps:wsp>
                      <wps:wsp>
                        <wps:cNvPr id="23598" name="Rectangle 23598"/>
                        <wps:cNvSpPr/>
                        <wps:spPr>
                          <a:xfrm rot="-10799999">
                            <a:off x="1627050" y="1336147"/>
                            <a:ext cx="2262910" cy="142889"/>
                          </a:xfrm>
                          <a:prstGeom prst="rect">
                            <a:avLst/>
                          </a:prstGeom>
                          <a:ln>
                            <a:noFill/>
                          </a:ln>
                        </wps:spPr>
                        <wps:txbx>
                          <w:txbxContent>
                            <w:p w14:paraId="744F368D" w14:textId="77777777" w:rsidR="00B32EF2" w:rsidRDefault="00000000">
                              <w:r>
                                <w:rPr>
                                  <w:rFonts w:ascii="Arial" w:eastAsia="Arial" w:hAnsi="Arial" w:cs="Arial"/>
                                  <w:sz w:val="18"/>
                                </w:rPr>
                                <w:t>Art. 125 - Esecuzione provvisoria</w:t>
                              </w:r>
                            </w:p>
                          </w:txbxContent>
                        </wps:txbx>
                        <wps:bodyPr horzOverflow="overflow" vert="horz" lIns="0" tIns="0" rIns="0" bIns="0" rtlCol="0">
                          <a:noAutofit/>
                        </wps:bodyPr>
                      </wps:wsp>
                      <wps:wsp>
                        <wps:cNvPr id="23599" name="Rectangle 23599"/>
                        <wps:cNvSpPr/>
                        <wps:spPr>
                          <a:xfrm rot="-10799999">
                            <a:off x="-1185558" y="1164697"/>
                            <a:ext cx="5075520" cy="142889"/>
                          </a:xfrm>
                          <a:prstGeom prst="rect">
                            <a:avLst/>
                          </a:prstGeom>
                          <a:ln>
                            <a:noFill/>
                          </a:ln>
                        </wps:spPr>
                        <wps:txbx>
                          <w:txbxContent>
                            <w:p w14:paraId="1BB28A37" w14:textId="77777777" w:rsidR="00B32EF2" w:rsidRDefault="00000000">
                              <w:r>
                                <w:rPr>
                                  <w:rFonts w:ascii="Arial" w:eastAsia="Arial" w:hAnsi="Arial" w:cs="Arial"/>
                                  <w:sz w:val="18"/>
                                </w:rPr>
                                <w:t>Art. 126 - Pagamento del tributo e delle sanzioni in pendenza del processo</w:t>
                              </w:r>
                            </w:p>
                          </w:txbxContent>
                        </wps:txbx>
                        <wps:bodyPr horzOverflow="overflow" vert="horz" lIns="0" tIns="0" rIns="0" bIns="0" rtlCol="0">
                          <a:noAutofit/>
                        </wps:bodyPr>
                      </wps:wsp>
                      <wps:wsp>
                        <wps:cNvPr id="23600" name="Rectangle 23600"/>
                        <wps:cNvSpPr/>
                        <wps:spPr>
                          <a:xfrm rot="-10799999">
                            <a:off x="-1255548" y="993247"/>
                            <a:ext cx="5145509" cy="142889"/>
                          </a:xfrm>
                          <a:prstGeom prst="rect">
                            <a:avLst/>
                          </a:prstGeom>
                          <a:ln>
                            <a:noFill/>
                          </a:ln>
                        </wps:spPr>
                        <wps:txbx>
                          <w:txbxContent>
                            <w:p w14:paraId="158FBEA6" w14:textId="77777777" w:rsidR="00B32EF2" w:rsidRDefault="00000000">
                              <w:r>
                                <w:rPr>
                                  <w:rFonts w:ascii="Arial" w:eastAsia="Arial" w:hAnsi="Arial" w:cs="Arial"/>
                                  <w:sz w:val="18"/>
                                </w:rPr>
                                <w:t>Art. 127 - Esecuzione delle sentenze di condanna in favore del contribuente</w:t>
                              </w:r>
                            </w:p>
                          </w:txbxContent>
                        </wps:txbx>
                        <wps:bodyPr horzOverflow="overflow" vert="horz" lIns="0" tIns="0" rIns="0" bIns="0" rtlCol="0">
                          <a:noAutofit/>
                        </wps:bodyPr>
                      </wps:wsp>
                      <wps:wsp>
                        <wps:cNvPr id="23601" name="Rectangle 23601"/>
                        <wps:cNvSpPr/>
                        <wps:spPr>
                          <a:xfrm rot="-10799999">
                            <a:off x="1512976" y="821797"/>
                            <a:ext cx="2376985" cy="142889"/>
                          </a:xfrm>
                          <a:prstGeom prst="rect">
                            <a:avLst/>
                          </a:prstGeom>
                          <a:ln>
                            <a:noFill/>
                          </a:ln>
                        </wps:spPr>
                        <wps:txbx>
                          <w:txbxContent>
                            <w:p w14:paraId="5C88AB06" w14:textId="77777777" w:rsidR="00B32EF2" w:rsidRDefault="00000000">
                              <w:r>
                                <w:rPr>
                                  <w:rFonts w:ascii="Arial" w:eastAsia="Arial" w:hAnsi="Arial" w:cs="Arial"/>
                                  <w:sz w:val="18"/>
                                </w:rPr>
                                <w:t>Art. 128 - Giudizio di ottemperanza</w:t>
                              </w:r>
                            </w:p>
                          </w:txbxContent>
                        </wps:txbx>
                        <wps:bodyPr horzOverflow="overflow" vert="horz" lIns="0" tIns="0" rIns="0" bIns="0" rtlCol="0">
                          <a:noAutofit/>
                        </wps:bodyPr>
                      </wps:wsp>
                      <wps:wsp>
                        <wps:cNvPr id="23602" name="Rectangle 23602"/>
                        <wps:cNvSpPr/>
                        <wps:spPr>
                          <a:xfrm rot="-10799999">
                            <a:off x="1542773" y="650347"/>
                            <a:ext cx="2347188" cy="142889"/>
                          </a:xfrm>
                          <a:prstGeom prst="rect">
                            <a:avLst/>
                          </a:prstGeom>
                          <a:ln>
                            <a:noFill/>
                          </a:ln>
                        </wps:spPr>
                        <wps:txbx>
                          <w:txbxContent>
                            <w:p w14:paraId="1CCEAC58" w14:textId="77777777" w:rsidR="00B32EF2" w:rsidRDefault="00000000">
                              <w:r>
                                <w:rPr>
                                  <w:rFonts w:ascii="Arial" w:eastAsia="Arial" w:hAnsi="Arial" w:cs="Arial"/>
                                  <w:sz w:val="18"/>
                                </w:rPr>
                                <w:t>Art. 129 - Norme transitorie e finali</w:t>
                              </w:r>
                            </w:p>
                          </w:txbxContent>
                        </wps:txbx>
                        <wps:bodyPr horzOverflow="overflow" vert="horz" lIns="0" tIns="0" rIns="0" bIns="0" rtlCol="0">
                          <a:noAutofit/>
                        </wps:bodyPr>
                      </wps:wsp>
                      <wps:wsp>
                        <wps:cNvPr id="23603" name="Rectangle 23603"/>
                        <wps:cNvSpPr/>
                        <wps:spPr>
                          <a:xfrm rot="-10799999">
                            <a:off x="1703182" y="478897"/>
                            <a:ext cx="2186779" cy="142889"/>
                          </a:xfrm>
                          <a:prstGeom prst="rect">
                            <a:avLst/>
                          </a:prstGeom>
                          <a:ln>
                            <a:noFill/>
                          </a:ln>
                        </wps:spPr>
                        <wps:txbx>
                          <w:txbxContent>
                            <w:p w14:paraId="53BD5279" w14:textId="77777777" w:rsidR="00B32EF2" w:rsidRDefault="00000000">
                              <w:r>
                                <w:rPr>
                                  <w:rFonts w:ascii="Arial" w:eastAsia="Arial" w:hAnsi="Arial" w:cs="Arial"/>
                                  <w:b/>
                                  <w:sz w:val="18"/>
                                </w:rPr>
                                <w:t>PARTE III -  Disposizioni finali</w:t>
                              </w:r>
                            </w:p>
                          </w:txbxContent>
                        </wps:txbx>
                        <wps:bodyPr horzOverflow="overflow" vert="horz" lIns="0" tIns="0" rIns="0" bIns="0" rtlCol="0">
                          <a:noAutofit/>
                        </wps:bodyPr>
                      </wps:wsp>
                      <wps:wsp>
                        <wps:cNvPr id="23604" name="Rectangle 23604"/>
                        <wps:cNvSpPr/>
                        <wps:spPr>
                          <a:xfrm rot="-10799999">
                            <a:off x="601438" y="478897"/>
                            <a:ext cx="2069754" cy="142889"/>
                          </a:xfrm>
                          <a:prstGeom prst="rect">
                            <a:avLst/>
                          </a:prstGeom>
                          <a:ln>
                            <a:noFill/>
                          </a:ln>
                        </wps:spPr>
                        <wps:txbx>
                          <w:txbxContent>
                            <w:p w14:paraId="45648C2C"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605" name="Rectangle 23605"/>
                        <wps:cNvSpPr/>
                        <wps:spPr>
                          <a:xfrm rot="-10799999">
                            <a:off x="69719" y="478896"/>
                            <a:ext cx="619842" cy="142889"/>
                          </a:xfrm>
                          <a:prstGeom prst="rect">
                            <a:avLst/>
                          </a:prstGeom>
                          <a:ln>
                            <a:noFill/>
                          </a:ln>
                        </wps:spPr>
                        <wps:txbx>
                          <w:txbxContent>
                            <w:p w14:paraId="00CBD842" w14:textId="77777777" w:rsidR="00B32EF2" w:rsidRDefault="00000000">
                              <w:r>
                                <w:rPr>
                                  <w:rFonts w:ascii="Arial" w:eastAsia="Arial" w:hAnsi="Arial" w:cs="Arial"/>
                                  <w:b/>
                                  <w:sz w:val="18"/>
                                </w:rPr>
                                <w:t>Pag. 106</w:t>
                              </w:r>
                            </w:p>
                          </w:txbxContent>
                        </wps:txbx>
                        <wps:bodyPr horzOverflow="overflow" vert="horz" lIns="0" tIns="0" rIns="0" bIns="0" rtlCol="0">
                          <a:noAutofit/>
                        </wps:bodyPr>
                      </wps:wsp>
                      <wps:wsp>
                        <wps:cNvPr id="23606" name="Rectangle 23606"/>
                        <wps:cNvSpPr/>
                        <wps:spPr>
                          <a:xfrm rot="-10799999">
                            <a:off x="1892523" y="307447"/>
                            <a:ext cx="1997438" cy="142889"/>
                          </a:xfrm>
                          <a:prstGeom prst="rect">
                            <a:avLst/>
                          </a:prstGeom>
                          <a:ln>
                            <a:noFill/>
                          </a:ln>
                        </wps:spPr>
                        <wps:txbx>
                          <w:txbxContent>
                            <w:p w14:paraId="1227F37E" w14:textId="77777777" w:rsidR="00B32EF2" w:rsidRDefault="00000000">
                              <w:r>
                                <w:rPr>
                                  <w:rFonts w:ascii="Arial" w:eastAsia="Arial" w:hAnsi="Arial" w:cs="Arial"/>
                                  <w:b/>
                                  <w:sz w:val="18"/>
                                </w:rPr>
                                <w:t>Titolo I – Disposizioni finali</w:t>
                              </w:r>
                            </w:p>
                          </w:txbxContent>
                        </wps:txbx>
                        <wps:bodyPr horzOverflow="overflow" vert="horz" lIns="0" tIns="0" rIns="0" bIns="0" rtlCol="0">
                          <a:noAutofit/>
                        </wps:bodyPr>
                      </wps:wsp>
                      <wps:wsp>
                        <wps:cNvPr id="23607" name="Rectangle 23607"/>
                        <wps:cNvSpPr/>
                        <wps:spPr>
                          <a:xfrm rot="-10799999">
                            <a:off x="554474" y="307447"/>
                            <a:ext cx="2259078" cy="142889"/>
                          </a:xfrm>
                          <a:prstGeom prst="rect">
                            <a:avLst/>
                          </a:prstGeom>
                          <a:ln>
                            <a:noFill/>
                          </a:ln>
                        </wps:spPr>
                        <wps:txbx>
                          <w:txbxContent>
                            <w:p w14:paraId="3162B125"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608" name="Rectangle 23608"/>
                        <wps:cNvSpPr/>
                        <wps:spPr>
                          <a:xfrm rot="-10799999">
                            <a:off x="69730" y="307446"/>
                            <a:ext cx="619842" cy="142889"/>
                          </a:xfrm>
                          <a:prstGeom prst="rect">
                            <a:avLst/>
                          </a:prstGeom>
                          <a:ln>
                            <a:noFill/>
                          </a:ln>
                        </wps:spPr>
                        <wps:txbx>
                          <w:txbxContent>
                            <w:p w14:paraId="5BDBEDB0" w14:textId="77777777" w:rsidR="00B32EF2" w:rsidRDefault="00000000">
                              <w:r>
                                <w:rPr>
                                  <w:rFonts w:ascii="Arial" w:eastAsia="Arial" w:hAnsi="Arial" w:cs="Arial"/>
                                  <w:b/>
                                  <w:sz w:val="18"/>
                                </w:rPr>
                                <w:t>Pag. 106</w:t>
                              </w:r>
                            </w:p>
                          </w:txbxContent>
                        </wps:txbx>
                        <wps:bodyPr horzOverflow="overflow" vert="horz" lIns="0" tIns="0" rIns="0" bIns="0" rtlCol="0">
                          <a:noAutofit/>
                        </wps:bodyPr>
                      </wps:wsp>
                      <wps:wsp>
                        <wps:cNvPr id="23609" name="Rectangle 23609"/>
                        <wps:cNvSpPr/>
                        <wps:spPr>
                          <a:xfrm rot="-10799999">
                            <a:off x="2395294" y="135997"/>
                            <a:ext cx="1494666" cy="142889"/>
                          </a:xfrm>
                          <a:prstGeom prst="rect">
                            <a:avLst/>
                          </a:prstGeom>
                          <a:ln>
                            <a:noFill/>
                          </a:ln>
                        </wps:spPr>
                        <wps:txbx>
                          <w:txbxContent>
                            <w:p w14:paraId="1D4B29A3" w14:textId="77777777" w:rsidR="00B32EF2" w:rsidRDefault="00000000">
                              <w:r>
                                <w:rPr>
                                  <w:rFonts w:ascii="Arial" w:eastAsia="Arial" w:hAnsi="Arial" w:cs="Arial"/>
                                  <w:sz w:val="18"/>
                                </w:rPr>
                                <w:t>Art. 130 - Abrogazioni</w:t>
                              </w:r>
                            </w:p>
                          </w:txbxContent>
                        </wps:txbx>
                        <wps:bodyPr horzOverflow="overflow" vert="horz" lIns="0" tIns="0" rIns="0" bIns="0" rtlCol="0">
                          <a:noAutofit/>
                        </wps:bodyPr>
                      </wps:wsp>
                      <wps:wsp>
                        <wps:cNvPr id="23610" name="Rectangle 23610"/>
                        <wps:cNvSpPr/>
                        <wps:spPr>
                          <a:xfrm rot="-10799999">
                            <a:off x="2419618" y="-35452"/>
                            <a:ext cx="1470344" cy="142889"/>
                          </a:xfrm>
                          <a:prstGeom prst="rect">
                            <a:avLst/>
                          </a:prstGeom>
                          <a:ln>
                            <a:noFill/>
                          </a:ln>
                        </wps:spPr>
                        <wps:txbx>
                          <w:txbxContent>
                            <w:p w14:paraId="0F97DE5F" w14:textId="77777777" w:rsidR="00B32EF2" w:rsidRDefault="00000000">
                              <w:r>
                                <w:rPr>
                                  <w:rFonts w:ascii="Arial" w:eastAsia="Arial" w:hAnsi="Arial" w:cs="Arial"/>
                                  <w:sz w:val="18"/>
                                </w:rPr>
                                <w:t>Art. 131 - Decorrenza</w:t>
                              </w:r>
                            </w:p>
                          </w:txbxContent>
                        </wps:txbx>
                        <wps:bodyPr horzOverflow="overflow" vert="horz" lIns="0" tIns="0" rIns="0" bIns="0" rtlCol="0">
                          <a:noAutofit/>
                        </wps:bodyPr>
                      </wps:wsp>
                    </wpg:wgp>
                  </a:graphicData>
                </a:graphic>
              </wp:inline>
            </w:drawing>
          </mc:Choice>
          <mc:Fallback>
            <w:pict>
              <v:group w14:anchorId="087AFCD2" id="Group 202429" o:spid="_x0000_s7187" style="width:306.3pt;height:224.45pt;mso-position-horizontal-relative:char;mso-position-vertical-relative:line" coordsize="38899,28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0KkSAUAAHMwAAAOAAAAZHJzL2Uyb0RvYy54bWzkW91upDYYva/Ud0DcJ+N/41Emq6rbjSpV&#10;3VW3fQDCMD/SDCAgmWyfvsdmxpMSV1VBCpXIxYQxxJhzvvP58zG5+/ByPETPed3sy2IV01sSR3mR&#10;let9sV3Ff/z+6SaJo6ZNi3V6KIt8FX/Lm/jD/fff3Z2qZc7KXXlY53WETopmeapW8a5tq+Vi0WS7&#10;/Jg2t2WVFzi5Ketj2uJrvV2s6/SE3o+HBSNELU5lva7qMsubBq0fu5Pxvet/s8mz9vNm0+RtdFjF&#10;GFvrPmv3+Wg/F/d36XJbp9Vun52HkQ4YxTHdF7ip7+pj2qbRU71/09Vxn9VlU27a26w8LsrNZp/l&#10;7hnwNJT0nuahLp8q9yzb5WlbeZgAbQ+nwd1mvz4/1NXX6ksNJE7VFli4b/ZZXjb10f7GKKMXB9k3&#10;D1n+0kYZGnmSGKOAbIZzLJFEcdWBmu2A/Ju/y3Y//ctfLi43XvxtOKcKAdJcMWjGYfB1l1a5g7ZZ&#10;AoMvdbRf4wG4THQcFekRofobgicttoc86podQO5qD1ezbIDcBauoLhFfN5RoY39cPJyxowkT2kAL&#10;FiVNtBZnlC44MqIkVbzDkQqWGBebHox0WdVN+5CXx8gerOIao3N3SJ9/aVqMDZdeLrEDOhT2syg/&#10;7Q+H7qxtAaaXMduj9uXxxT24NNQNyDY+lutvwGNX1n9+hrI3h/K0isvzUWzFjtvbs3F0+LkAD1ZX&#10;l4P6cvB4Oajbw4+lU183oB+e2nKzdyO+3u08MhBso/CdmAYdIaYTG792EIiL/8601JQZ8OiJ1p0c&#10;PNHUUM7NlejE2AvekWg3oCv0MyAaaIeIdsAPJloTycU/86yoEoxNSLMP47noGRkzRHOXSAfTzDSn&#10;UnY8S66Y6emZg+iEqAmJ9mE8G6JpmGg6KnGjihECk79N3FyJBMfIy+nSJ27DjKSvZuj3TtzMVQRz&#10;StwG+TOQuNE8ZoZmTAljZ2DLNDWYjHtMU8UkmTJ3Mx/Js5E0dBVimo9jWnJp2FnTBFz3NU25FIRP&#10;qWkfyrNhGjVTiGkximmdKNpN0hRrUNFXNE8o5QIX2FWqXV29e+72gTwbnoF2iGc5jmd20XPHc28V&#10;raggZEqafRTPhmZUviGavZswaBHNJE9EgnreylVpQwKJG84T6sDJBO3jeDZMh42xLtUOXl7dUJZw&#10;lSCKLNWSaNnP3ZJqW45PSLWP5dlQHXbG4F+OqbtRVsMzOYuaY93cFzUKc2YoLphM1LOzxuBSB9O3&#10;9xQGpe8bitlZys7upjDC1BtRQ+gSC9rpqPaxPBNRKwK0387UtnmMqJG/wbRNz8jfxnBsc9j+rraJ&#10;pEJKMqHfzXwsz4bpoD+miHcVBomaSmxs6G6iThjVfUkzrpVJJiy+uY/k2RAd9McU8abCQKIF07rb&#10;wlKS8L6iGVpoMmFBxn0gz4booD2miHcVhhGtCcfGtEvdQsMT6aVuRhOl9YSpm/tAng3RQXcMOxOj&#10;JmmkfsG7KTrIM0F9JnHnqepuOLDnGmQ2PAfdMQXvakwxBhppt6/haH5jjplETLgjjd3yubEcNMcU&#10;dovHsEwTwyTr5mdOtN20RHfXipsao53cJ5Ozj+LZyDnojSni/YRB8zPWVUJ3r5iEeGZMGqKnrMN8&#10;HM+GZ6AdWkN7M2EQz0jbWLvYBbSj+f+Wtn0Qz4bloCmmYGKMSduMG8lMJ2fsOyNJ99K2MEIpzBiT&#10;pW0fxXMh2nrNATmjeRTRghpFu3L7Bi8YSLeKeTU/C6y7xJTltg/kqYl2r3jjzXb3/uv5LXz76vzr&#10;7+7V4Ov/Ctz/BQAA//8DAFBLAwQUAAYACAAAACEA9NNY4d0AAAAFAQAADwAAAGRycy9kb3ducmV2&#10;LnhtbEyPQWvCQBCF7wX/wzKF3uom1gabZiMiticRqoXS25gdk2B2NmTXJP77br20l4HHe7z3TbYc&#10;TSN66lxtWUE8jUAQF1bXXCr4PLw9LkA4j6yxsUwKruRgmU/uMky1HfiD+r0vRShhl6KCyvs2ldIV&#10;FRl0U9sSB+9kO4M+yK6UusMhlJtGzqIokQZrDgsVtrSuqDjvL0bB+4DD6ine9NvzaX39PjzvvrYx&#10;KfVwP65eQXga/V8YfvEDOuSB6WgvrJ1oFIRH/O0GL4lnCYijgvl88QIyz+R/+vwHAAD//wMAUEsB&#10;Ai0AFAAGAAgAAAAhALaDOJL+AAAA4QEAABMAAAAAAAAAAAAAAAAAAAAAAFtDb250ZW50X1R5cGVz&#10;XS54bWxQSwECLQAUAAYACAAAACEAOP0h/9YAAACUAQAACwAAAAAAAAAAAAAAAAAvAQAAX3JlbHMv&#10;LnJlbHNQSwECLQAUAAYACAAAACEAK+tCpEgFAABzMAAADgAAAAAAAAAAAAAAAAAuAgAAZHJzL2Uy&#10;b0RvYy54bWxQSwECLQAUAAYACAAAACEA9NNY4d0AAAAFAQAADwAAAAAAAAAAAAAAAACiBwAAZHJz&#10;L2Rvd25yZXYueG1sUEsFBgAAAAAEAAQA8wAAAKwIAAAAAA==&#10;">
                <v:rect id="Rectangle 23587" o:spid="_x0000_s7188" style="position:absolute;left:18247;top:27077;width:206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XdOxwAAAN4AAAAPAAAAZHJzL2Rvd25yZXYueG1sRI9Ba8JA&#10;FITvgv9heUJvuqnFNqSuIoo0h160KfT4yD6TtNm3S3Y1qb++KxQ8DjPzDbNcD6YVF+p8Y1nB4ywB&#10;QVxa3XCloPjYT1MQPiBrbC2Tgl/ysF6NR0vMtO35QJdjqESEsM9QQR2Cy6T0ZU0G/cw64uidbGcw&#10;RNlVUnfYR7hp5TxJnqXBhuNCjY62NZU/x7NR8LVjl+97WZ6uW/f+naft27n4VOphMmxeQQQawj38&#10;3861gvnTIn2B2514BeTqDwAA//8DAFBLAQItABQABgAIAAAAIQDb4fbL7gAAAIUBAAATAAAAAAAA&#10;AAAAAAAAAAAAAABbQ29udGVudF9UeXBlc10ueG1sUEsBAi0AFAAGAAgAAAAhAFr0LFu/AAAAFQEA&#10;AAsAAAAAAAAAAAAAAAAAHwEAAF9yZWxzLy5yZWxzUEsBAi0AFAAGAAgAAAAhAKGFd07HAAAA3gAA&#10;AA8AAAAAAAAAAAAAAAAABwIAAGRycy9kb3ducmV2LnhtbFBLBQYAAAAAAwADALcAAAD7AgAAAAA=&#10;" filled="f" stroked="f">
                  <v:textbox inset="0,0,0,0">
                    <w:txbxContent>
                      <w:p w14:paraId="5EF153ED" w14:textId="77777777" w:rsidR="00B32EF2" w:rsidRDefault="00000000">
                        <w:r>
                          <w:rPr>
                            <w:rFonts w:ascii="Arial" w:eastAsia="Arial" w:hAnsi="Arial" w:cs="Arial"/>
                            <w:b/>
                            <w:sz w:val="18"/>
                          </w:rPr>
                          <w:t>Sezione IV – La revocazione</w:t>
                        </w:r>
                      </w:p>
                    </w:txbxContent>
                  </v:textbox>
                </v:rect>
                <v:rect id="Rectangle 23588" o:spid="_x0000_s7189" style="position:absolute;left:5712;top:27077;width:219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uM8xAAAAN4AAAAPAAAAZHJzL2Rvd25yZXYueG1sRE/LisIw&#10;FN0P+A/hCu7GVIcZSjWKKDJduBkf4PLSXNtqcxOaaKtfP1kMzPJw3vNlbxrxoNbXlhVMxgkI4sLq&#10;mksFx8P2PQXhA7LGxjIpeJKH5WLwNsdM245/6LEPpYgh7DNUUIXgMil9UZFBP7aOOHIX2xoMEbal&#10;1C12Mdw0cpokX9JgzbGhQkfriorb/m4UnDfs8m0ni8tr7XbXPG2+78eTUqNhv5qBCNSHf/GfO9cK&#10;ph+fadwb78QrIBe/AAAA//8DAFBLAQItABQABgAIAAAAIQDb4fbL7gAAAIUBAAATAAAAAAAAAAAA&#10;AAAAAAAAAABbQ29udGVudF9UeXBlc10ueG1sUEsBAi0AFAAGAAgAAAAhAFr0LFu/AAAAFQEAAAsA&#10;AAAAAAAAAAAAAAAAHwEAAF9yZWxzLy5yZWxzUEsBAi0AFAAGAAgAAAAhANAa4zzEAAAA3gAAAA8A&#10;AAAAAAAAAAAAAAAABwIAAGRycy9kb3ducmV2LnhtbFBLBQYAAAAAAwADALcAAAD4AgAAAAA=&#10;" filled="f" stroked="f">
                  <v:textbox inset="0,0,0,0">
                    <w:txbxContent>
                      <w:p w14:paraId="4CB93834" w14:textId="77777777" w:rsidR="00B32EF2" w:rsidRDefault="00000000">
                        <w:r>
                          <w:rPr>
                            <w:rFonts w:ascii="Arial" w:eastAsia="Arial" w:hAnsi="Arial" w:cs="Arial"/>
                            <w:b/>
                            <w:sz w:val="18"/>
                          </w:rPr>
                          <w:t xml:space="preserve">    </w:t>
                        </w:r>
                      </w:p>
                    </w:txbxContent>
                  </v:textbox>
                </v:rect>
                <v:rect id="Rectangle 23589" o:spid="_x0000_s7190" style="position:absolute;left:705;top:27077;width:61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anxwAAAN4AAAAPAAAAZHJzL2Rvd25yZXYueG1sRI9Ba8JA&#10;FITvgv9heUJvuqnFkqauIoo0h160KfT4yD6TtNm3S3Y1qb++KxQ8DjPzDbNcD6YVF+p8Y1nB4ywB&#10;QVxa3XCloPjYT1MQPiBrbC2Tgl/ysF6NR0vMtO35QJdjqESEsM9QQR2Cy6T0ZU0G/cw64uidbGcw&#10;RNlVUnfYR7hp5TxJnqXBhuNCjY62NZU/x7NR8LVjl+97WZ6uW/f+naft27n4VOphMmxeQQQawj38&#10;3861gvnTIn2B2514BeTqDwAA//8DAFBLAQItABQABgAIAAAAIQDb4fbL7gAAAIUBAAATAAAAAAAA&#10;AAAAAAAAAAAAAABbQ29udGVudF9UeXBlc10ueG1sUEsBAi0AFAAGAAgAAAAhAFr0LFu/AAAAFQEA&#10;AAsAAAAAAAAAAAAAAAAAHwEAAF9yZWxzLy5yZWxzUEsBAi0AFAAGAAgAAAAhAL9WRqfHAAAA3gAA&#10;AA8AAAAAAAAAAAAAAAAABwIAAGRycy9kb3ducmV2LnhtbFBLBQYAAAAAAwADALcAAAD7AgAAAAA=&#10;" filled="f" stroked="f">
                  <v:textbox inset="0,0,0,0">
                    <w:txbxContent>
                      <w:p w14:paraId="467D5B54" w14:textId="77777777" w:rsidR="00B32EF2" w:rsidRDefault="00000000">
                        <w:r>
                          <w:rPr>
                            <w:rFonts w:ascii="Arial" w:eastAsia="Arial" w:hAnsi="Arial" w:cs="Arial"/>
                            <w:b/>
                            <w:sz w:val="18"/>
                          </w:rPr>
                          <w:t>Pag. 100</w:t>
                        </w:r>
                      </w:p>
                    </w:txbxContent>
                  </v:textbox>
                </v:rect>
                <v:rect id="Rectangle 23590" o:spid="_x0000_s7191" style="position:absolute;left:2731;top:25362;width:361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XnnxQAAAN4AAAAPAAAAZHJzL2Rvd25yZXYueG1sRI/NisIw&#10;FIX3gu8QruBOUx0ctGMUcRC7cDOOwiwvzbXtTHMTmmirT28WwiwP549vue5MLW7U+Mqygsk4AUGc&#10;W11xoeD0vRvNQfiArLG2TAru5GG96veWmGrb8hfdjqEQcYR9igrKEFwqpc9LMujH1hFH72IbgyHK&#10;ppC6wTaOm1pOk+RdGqw4PpToaFtS/ne8GgU/n+yyXSvzy2PrDr/ZvN5fT2elhoNu8wEiUBf+w692&#10;phVM32aLCBBxIgrI1RMAAP//AwBQSwECLQAUAAYACAAAACEA2+H2y+4AAACFAQAAEwAAAAAAAAAA&#10;AAAAAAAAAAAAW0NvbnRlbnRfVHlwZXNdLnhtbFBLAQItABQABgAIAAAAIQBa9CxbvwAAABUBAAAL&#10;AAAAAAAAAAAAAAAAAB8BAABfcmVscy8ucmVsc1BLAQItABQABgAIAAAAIQCrtXnnxQAAAN4AAAAP&#10;AAAAAAAAAAAAAAAAAAcCAABkcnMvZG93bnJldi54bWxQSwUGAAAAAAMAAwC3AAAA+QIAAAAA&#10;" filled="f" stroked="f">
                  <v:textbox inset="0,0,0,0">
                    <w:txbxContent>
                      <w:p w14:paraId="04400FFA" w14:textId="77777777" w:rsidR="00B32EF2" w:rsidRDefault="00000000">
                        <w:r>
                          <w:rPr>
                            <w:rFonts w:ascii="Arial" w:eastAsia="Arial" w:hAnsi="Arial" w:cs="Arial"/>
                            <w:sz w:val="18"/>
                          </w:rPr>
                          <w:t>Art. 120 - Sentenze revocabili e motivi di revocazione</w:t>
                        </w:r>
                      </w:p>
                    </w:txbxContent>
                  </v:textbox>
                </v:rect>
                <v:rect id="Rectangle 23591" o:spid="_x0000_s7192" style="position:absolute;left:9604;top:23648;width:292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x8xwAAAN4AAAAPAAAAZHJzL2Rvd25yZXYueG1sRI9Pa8JA&#10;FMTvgt9heUJvutGi2NRVikXMoRf/FHp8ZJ9J2uzbJbua6KfvCoLHYWZ+wyxWnanFhRpfWVYwHiUg&#10;iHOrKy4UHA+b4RyED8gaa8uk4EoeVst+b4Gpti3v6LIPhYgQ9ikqKENwqZQ+L8mgH1lHHL2TbQyG&#10;KJtC6gbbCDe1nCTJTBqsOC6U6GhdUv63PxsFP5/ssk0r89Nt7b5+s3m9PR+/lXoZdB/vIAJ14Rl+&#10;tDOtYPI6fRvD/U68AnL5DwAA//8DAFBLAQItABQABgAIAAAAIQDb4fbL7gAAAIUBAAATAAAAAAAA&#10;AAAAAAAAAAAAAABbQ29udGVudF9UeXBlc10ueG1sUEsBAi0AFAAGAAgAAAAhAFr0LFu/AAAAFQEA&#10;AAsAAAAAAAAAAAAAAAAAHwEAAF9yZWxzLy5yZWxzUEsBAi0AFAAGAAgAAAAhAMT53HzHAAAA3gAA&#10;AA8AAAAAAAAAAAAAAAAABwIAAGRycy9kb3ducmV2LnhtbFBLBQYAAAAAAwADALcAAAD7AgAAAAA=&#10;" filled="f" stroked="f">
                  <v:textbox inset="0,0,0,0">
                    <w:txbxContent>
                      <w:p w14:paraId="3E4B9C8B" w14:textId="77777777" w:rsidR="00B32EF2" w:rsidRDefault="00000000">
                        <w:r>
                          <w:rPr>
                            <w:rFonts w:ascii="Arial" w:eastAsia="Arial" w:hAnsi="Arial" w:cs="Arial"/>
                            <w:sz w:val="18"/>
                          </w:rPr>
                          <w:t>Art. 121 - Proposizione della impugnazione</w:t>
                        </w:r>
                      </w:p>
                    </w:txbxContent>
                  </v:textbox>
                </v:rect>
                <v:rect id="Rectangle 23592" o:spid="_x0000_s7193" style="position:absolute;left:22649;top:21933;width:1625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0ILxwAAAN4AAAAPAAAAZHJzL2Rvd25yZXYueG1sRI9Ba8JA&#10;FITvgv9heUJvummKJU1dRRRpDr1oLfT4yD6TtNm3S3Y1qb++KxQ8DjPzDbNYDaYVF+p8Y1nB4ywB&#10;QVxa3XCl4Pixm2YgfEDW2FomBb/kYbUcjxaYa9vzni6HUIkIYZ+jgjoEl0vpy5oM+pl1xNE72c5g&#10;iLKrpO6wj3DTyjRJnqXBhuNCjY42NZU/h7NR8LVlV+x6WZ6uG/f+XWTt2/n4qdTDZFi/ggg0hHv4&#10;v11oBenT/CWF2514BeTyDwAA//8DAFBLAQItABQABgAIAAAAIQDb4fbL7gAAAIUBAAATAAAAAAAA&#10;AAAAAAAAAAAAAABbQ29udGVudF9UeXBlc10ueG1sUEsBAi0AFAAGAAgAAAAhAFr0LFu/AAAAFQEA&#10;AAsAAAAAAAAAAAAAAAAAHwEAAF9yZWxzLy5yZWxzUEsBAi0AFAAGAAgAAAAhADQrQgvHAAAA3gAA&#10;AA8AAAAAAAAAAAAAAAAABwIAAGRycy9kb3ducmV2LnhtbFBLBQYAAAAAAwADALcAAAD7AgAAAAA=&#10;" filled="f" stroked="f">
                  <v:textbox inset="0,0,0,0">
                    <w:txbxContent>
                      <w:p w14:paraId="166B5EA4" w14:textId="77777777" w:rsidR="00B32EF2" w:rsidRDefault="00000000">
                        <w:r>
                          <w:rPr>
                            <w:rFonts w:ascii="Arial" w:eastAsia="Arial" w:hAnsi="Arial" w:cs="Arial"/>
                            <w:sz w:val="18"/>
                          </w:rPr>
                          <w:t>Art. 122 - Procedimento</w:t>
                        </w:r>
                      </w:p>
                    </w:txbxContent>
                  </v:textbox>
                </v:rect>
                <v:rect id="Rectangle 23593" o:spid="_x0000_s7194" style="position:absolute;left:25359;top:20219;width:135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eQxwAAAN4AAAAPAAAAZHJzL2Rvd25yZXYueG1sRI9Ba8JA&#10;FITvBf/D8gRvdaNisdFVRJHm4KVqweMj+0zSZt8u2dWk/nq3UPA4zMw3zGLVmVrcqPGVZQWjYQKC&#10;OLe64kLB6bh7nYHwAVljbZkU/JKH1bL3ssBU25Y/6XYIhYgQ9ikqKENwqZQ+L8mgH1pHHL2LbQyG&#10;KJtC6gbbCDe1HCfJmzRYcVwo0dGmpPzncDUKzlt22a6V+eW+cfvvbFZ/XE9fSg363XoOIlAXnuH/&#10;dqYVjCfT9wn83YlXQC4fAAAA//8DAFBLAQItABQABgAIAAAAIQDb4fbL7gAAAIUBAAATAAAAAAAA&#10;AAAAAAAAAAAAAABbQ29udGVudF9UeXBlc10ueG1sUEsBAi0AFAAGAAgAAAAhAFr0LFu/AAAAFQEA&#10;AAsAAAAAAAAAAAAAAAAAHwEAAF9yZWxzLy5yZWxzUEsBAi0AFAAGAAgAAAAhAFtn55DHAAAA3gAA&#10;AA8AAAAAAAAAAAAAAAAABwIAAGRycy9kb3ducmV2LnhtbFBLBQYAAAAAAwADALcAAAD7AgAAAAA=&#10;" filled="f" stroked="f">
                  <v:textbox inset="0,0,0,0">
                    <w:txbxContent>
                      <w:p w14:paraId="0182FC01" w14:textId="77777777" w:rsidR="00B32EF2" w:rsidRDefault="00000000">
                        <w:r>
                          <w:rPr>
                            <w:rFonts w:ascii="Arial" w:eastAsia="Arial" w:hAnsi="Arial" w:cs="Arial"/>
                            <w:sz w:val="18"/>
                          </w:rPr>
                          <w:t>Art. 123 - Decisione</w:t>
                        </w:r>
                      </w:p>
                    </w:txbxContent>
                  </v:textbox>
                </v:rect>
                <v:rect id="Rectangle 23594" o:spid="_x0000_s7195" style="position:absolute;left:786;top:18504;width:381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n/kyAAAAN4AAAAPAAAAZHJzL2Rvd25yZXYueG1sRI9Pa8JA&#10;FMTvBb/D8oTe6kZbRaOriEWaQy/+A4+P7DNJm327ZFeT9tN3C4LHYWZ+wyxWnanFjRpfWVYwHCQg&#10;iHOrKy4UHA/blykIH5A11pZJwQ95WC17TwtMtW15R7d9KESEsE9RQRmCS6X0eUkG/cA64uhdbGMw&#10;RNkUUjfYRrip5ShJJtJgxXGhREebkvLv/dUoOL+zy7atzC+/G/f5lU3rj+vxpNRzv1vPQQTqwiN8&#10;b2daweh1PHuD/zvxCsjlHwAAAP//AwBQSwECLQAUAAYACAAAACEA2+H2y+4AAACFAQAAEwAAAAAA&#10;AAAAAAAAAAAAAAAAW0NvbnRlbnRfVHlwZXNdLnhtbFBLAQItABQABgAIAAAAIQBa9CxbvwAAABUB&#10;AAALAAAAAAAAAAAAAAAAAB8BAABfcmVscy8ucmVsc1BLAQItABQABgAIAAAAIQDUjn/kyAAAAN4A&#10;AAAPAAAAAAAAAAAAAAAAAAcCAABkcnMvZG93bnJldi54bWxQSwUGAAAAAAMAAwC3AAAA/AIAAAAA&#10;" filled="f" stroked="f">
                  <v:textbox inset="0,0,0,0">
                    <w:txbxContent>
                      <w:p w14:paraId="3C51190B" w14:textId="77777777" w:rsidR="00B32EF2" w:rsidRDefault="00000000">
                        <w:r>
                          <w:rPr>
                            <w:rFonts w:ascii="Arial" w:eastAsia="Arial" w:hAnsi="Arial" w:cs="Arial"/>
                            <w:b/>
                            <w:sz w:val="18"/>
                          </w:rPr>
                          <w:t xml:space="preserve">Capo IV -  L’esecuzione delle sentenze delle corti di </w:t>
                        </w:r>
                      </w:p>
                    </w:txbxContent>
                  </v:textbox>
                </v:rect>
                <v:rect id="Rectangle 23595" o:spid="_x0000_s7196" style="position:absolute;left:729;top:18504;width:614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tp/xwAAAN4AAAAPAAAAZHJzL2Rvd25yZXYueG1sRI9Ba8JA&#10;FITvBf/D8gRvdaPFotFVxCLm0EutgsdH9plEs2+X7Gqiv75bKPQ4zMw3zGLVmVrcqfGVZQWjYQKC&#10;OLe64kLB4Xv7OgXhA7LG2jIpeJCH1bL3ssBU25a/6L4PhYgQ9ikqKENwqZQ+L8mgH1pHHL2zbQyG&#10;KJtC6gbbCDe1HCfJuzRYcVwo0dGmpPy6vxkFpw922baV+fm5cZ+XbFrvboejUoN+t56DCNSF//Bf&#10;O9MKxm+T2QR+78QrIJc/AAAA//8DAFBLAQItABQABgAIAAAAIQDb4fbL7gAAAIUBAAATAAAAAAAA&#10;AAAAAAAAAAAAAABbQ29udGVudF9UeXBlc10ueG1sUEsBAi0AFAAGAAgAAAAhAFr0LFu/AAAAFQEA&#10;AAsAAAAAAAAAAAAAAAAAHwEAAF9yZWxzLy5yZWxzUEsBAi0AFAAGAAgAAAAhALvC2n/HAAAA3gAA&#10;AA8AAAAAAAAAAAAAAAAABwIAAGRycy9kb3ducmV2LnhtbFBLBQYAAAAAAwADALcAAAD7AgAAAAA=&#10;" filled="f" stroked="f">
                  <v:textbox inset="0,0,0,0">
                    <w:txbxContent>
                      <w:p w14:paraId="751E1D89" w14:textId="77777777" w:rsidR="00B32EF2" w:rsidRDefault="00000000">
                        <w:r>
                          <w:rPr>
                            <w:rFonts w:ascii="Arial" w:eastAsia="Arial" w:hAnsi="Arial" w:cs="Arial"/>
                            <w:b/>
                            <w:sz w:val="18"/>
                          </w:rPr>
                          <w:t>Pag. 102</w:t>
                        </w:r>
                      </w:p>
                    </w:txbxContent>
                  </v:textbox>
                </v:rect>
                <v:rect id="Rectangle 23596" o:spid="_x0000_s7197" style="position:absolute;left:25384;top:16790;width:1353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EQIxwAAAN4AAAAPAAAAZHJzL2Rvd25yZXYueG1sRI9Ba8JA&#10;FITvBf/D8gRvdaNF0egqYhFz6KVWweMj+0yi2bdLdjWxv75bKPQ4zMw3zHLdmVo8qPGVZQWjYQKC&#10;OLe64kLB8Wv3OgPhA7LG2jIpeJKH9ar3ssRU25Y/6XEIhYgQ9ikqKENwqZQ+L8mgH1pHHL2LbQyG&#10;KJtC6gbbCDe1HCfJVBqsOC6U6GhbUn473I2C8zu7bNfK/PK9dR/XbFbv78eTUoN+t1mACNSF//Bf&#10;O9MKxm+T+RR+78QrIFc/AAAA//8DAFBLAQItABQABgAIAAAAIQDb4fbL7gAAAIUBAAATAAAAAAAA&#10;AAAAAAAAAAAAAABbQ29udGVudF9UeXBlc10ueG1sUEsBAi0AFAAGAAgAAAAhAFr0LFu/AAAAFQEA&#10;AAsAAAAAAAAAAAAAAAAAHwEAAF9yZWxzLy5yZWxzUEsBAi0AFAAGAAgAAAAhAEsQRAjHAAAA3gAA&#10;AA8AAAAAAAAAAAAAAAAABwIAAGRycy9kb3ducmV2LnhtbFBLBQYAAAAAAwADALcAAAD7AgAAAAA=&#10;" filled="f" stroked="f">
                  <v:textbox inset="0,0,0,0">
                    <w:txbxContent>
                      <w:p w14:paraId="41D44516" w14:textId="77777777" w:rsidR="00B32EF2" w:rsidRDefault="00000000">
                        <w:r>
                          <w:rPr>
                            <w:rFonts w:ascii="Arial" w:eastAsia="Arial" w:hAnsi="Arial" w:cs="Arial"/>
                            <w:b/>
                            <w:sz w:val="18"/>
                          </w:rPr>
                          <w:t>giustizia tributaria</w:t>
                        </w:r>
                      </w:p>
                    </w:txbxContent>
                  </v:textbox>
                </v:rect>
                <v:rect id="Rectangle 23597" o:spid="_x0000_s7198" style="position:absolute;left:-12836;top:15075;width:517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OGTyAAAAN4AAAAPAAAAZHJzL2Rvd25yZXYueG1sRI/Na8JA&#10;FMTvBf+H5Qm91Y2W+hFdRSzSHHrxCzw+ss8kbfbtkl1N2r++WxA8DjPzG2ax6kwtbtT4yrKC4SAB&#10;QZxbXXGh4HjYvkxB+ICssbZMCn7Iw2rZe1pgqm3LO7rtQyEihH2KCsoQXCqlz0sy6AfWEUfvYhuD&#10;IcqmkLrBNsJNLUdJMpYGK44LJTralJR/769GwfmdXbZtZX753bjPr2xaf1yPJ6We+916DiJQFx7h&#10;ezvTCkavb7MJ/N+JV0Au/wAAAP//AwBQSwECLQAUAAYACAAAACEA2+H2y+4AAACFAQAAEwAAAAAA&#10;AAAAAAAAAAAAAAAAW0NvbnRlbnRfVHlwZXNdLnhtbFBLAQItABQABgAIAAAAIQBa9CxbvwAAABUB&#10;AAALAAAAAAAAAAAAAAAAAB8BAABfcmVscy8ucmVsc1BLAQItABQABgAIAAAAIQAkXOGTyAAAAN4A&#10;AAAPAAAAAAAAAAAAAAAAAAcCAABkcnMvZG93bnJldi54bWxQSwUGAAAAAAMAAwC3AAAA/AIAAAAA&#10;" filled="f" stroked="f">
                  <v:textbox inset="0,0,0,0">
                    <w:txbxContent>
                      <w:p w14:paraId="364BC4C0" w14:textId="77777777" w:rsidR="00B32EF2" w:rsidRDefault="00000000">
                        <w:r>
                          <w:rPr>
                            <w:rFonts w:ascii="Arial" w:eastAsia="Arial" w:hAnsi="Arial" w:cs="Arial"/>
                            <w:sz w:val="18"/>
                          </w:rPr>
                          <w:t>Art. 124 - Applicazione ed esecuzione delle sanzioni penali e amministrative</w:t>
                        </w:r>
                      </w:p>
                    </w:txbxContent>
                  </v:textbox>
                </v:rect>
                <v:rect id="Rectangle 23598" o:spid="_x0000_s7199" style="position:absolute;left:16270;top:13361;width:226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3XhxAAAAN4AAAAPAAAAZHJzL2Rvd25yZXYueG1sRE/Pa8Iw&#10;FL4L/g/hCd401eHQzijiEHvwMqew46N5tt2al9BEW/3rzUHY8eP7vVx3phY3anxlWcFknIAgzq2u&#10;uFBw+t6N5iB8QNZYWyYFd/KwXvV7S0y1bfmLbsdQiBjCPkUFZQguldLnJRn0Y+uII3exjcEQYVNI&#10;3WAbw00tp0nyLg1WHBtKdLQtKf87Xo2Cn0922a6V+eWxdYffbF7vr6ezUsNBt/kAEagL/+KXO9MK&#10;pm+zRdwb78QrIFdPAAAA//8DAFBLAQItABQABgAIAAAAIQDb4fbL7gAAAIUBAAATAAAAAAAAAAAA&#10;AAAAAAAAAABbQ29udGVudF9UeXBlc10ueG1sUEsBAi0AFAAGAAgAAAAhAFr0LFu/AAAAFQEAAAsA&#10;AAAAAAAAAAAAAAAAHwEAAF9yZWxzLy5yZWxzUEsBAi0AFAAGAAgAAAAhAFXDdeHEAAAA3gAAAA8A&#10;AAAAAAAAAAAAAAAABwIAAGRycy9kb3ducmV2LnhtbFBLBQYAAAAAAwADALcAAAD4AgAAAAA=&#10;" filled="f" stroked="f">
                  <v:textbox inset="0,0,0,0">
                    <w:txbxContent>
                      <w:p w14:paraId="744F368D" w14:textId="77777777" w:rsidR="00B32EF2" w:rsidRDefault="00000000">
                        <w:r>
                          <w:rPr>
                            <w:rFonts w:ascii="Arial" w:eastAsia="Arial" w:hAnsi="Arial" w:cs="Arial"/>
                            <w:sz w:val="18"/>
                          </w:rPr>
                          <w:t>Art. 125 - Esecuzione provvisoria</w:t>
                        </w:r>
                      </w:p>
                    </w:txbxContent>
                  </v:textbox>
                </v:rect>
                <v:rect id="Rectangle 23599" o:spid="_x0000_s7200" style="position:absolute;left:-11855;top:11646;width:507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9B6xwAAAN4AAAAPAAAAZHJzL2Rvd25yZXYueG1sRI9Pa8JA&#10;FMTvgt9heUJvuqlF0dRVikXMoRf/FHp8ZJ9J2uzbJbua6KfvCoLHYWZ+wyxWnanFhRpfWVbwOkpA&#10;EOdWV1woOB42wxkIH5A11pZJwZU8rJb93gJTbVve0WUfChEh7FNUUIbgUil9XpJBP7KOOHon2xgM&#10;UTaF1A22EW5qOU6SqTRYcVwo0dG6pPxvfzYKfj7ZZZtW5qfb2n39ZrN6ez5+K/Uy6D7eQQTqwjP8&#10;aGdawfhtMp/D/U68AnL5DwAA//8DAFBLAQItABQABgAIAAAAIQDb4fbL7gAAAIUBAAATAAAAAAAA&#10;AAAAAAAAAAAAAABbQ29udGVudF9UeXBlc10ueG1sUEsBAi0AFAAGAAgAAAAhAFr0LFu/AAAAFQEA&#10;AAsAAAAAAAAAAAAAAAAAHwEAAF9yZWxzLy5yZWxzUEsBAi0AFAAGAAgAAAAhADqP0HrHAAAA3gAA&#10;AA8AAAAAAAAAAAAAAAAABwIAAGRycy9kb3ducmV2LnhtbFBLBQYAAAAAAwADALcAAAD7AgAAAAA=&#10;" filled="f" stroked="f">
                  <v:textbox inset="0,0,0,0">
                    <w:txbxContent>
                      <w:p w14:paraId="1BB28A37" w14:textId="77777777" w:rsidR="00B32EF2" w:rsidRDefault="00000000">
                        <w:r>
                          <w:rPr>
                            <w:rFonts w:ascii="Arial" w:eastAsia="Arial" w:hAnsi="Arial" w:cs="Arial"/>
                            <w:sz w:val="18"/>
                          </w:rPr>
                          <w:t>Art. 126 - Pagamento del tributo e delle sanzioni in pendenza del processo</w:t>
                        </w:r>
                      </w:p>
                    </w:txbxContent>
                  </v:textbox>
                </v:rect>
                <v:rect id="Rectangle 23600" o:spid="_x0000_s7201" style="position:absolute;left:-12555;top:9932;width:514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0cxgAAAN4AAAAPAAAAZHJzL2Rvd25yZXYueG1sRI/NasJA&#10;FIX3Bd9huIK7OjFCkNRRRAlm0U1ThS4vmWuSNnNnyIwm7dN3FoUuD+ePb7ufTC8eNPjOsoLVMgFB&#10;XFvdcaPg8l48b0D4gKyxt0wKvsnDfjd72mKu7chv9KhCI+II+xwVtCG4XEpft2TQL60jjt7NDgZD&#10;lEMj9YBjHDe9TJMkkwY7jg8tOjq2VH9Vd6Pg48SuLEZZ336O7vWz3PTn++Wq1GI+HV5ABJrCf/iv&#10;XWoF6TpLIkDEiSggd78AAAD//wMAUEsBAi0AFAAGAAgAAAAhANvh9svuAAAAhQEAABMAAAAAAAAA&#10;AAAAAAAAAAAAAFtDb250ZW50X1R5cGVzXS54bWxQSwECLQAUAAYACAAAACEAWvQsW78AAAAVAQAA&#10;CwAAAAAAAAAAAAAAAAAfAQAAX3JlbHMvLnJlbHNQSwECLQAUAAYACAAAACEAmJqNHMYAAADeAAAA&#10;DwAAAAAAAAAAAAAAAAAHAgAAZHJzL2Rvd25yZXYueG1sUEsFBgAAAAADAAMAtwAAAPoCAAAAAA==&#10;" filled="f" stroked="f">
                  <v:textbox inset="0,0,0,0">
                    <w:txbxContent>
                      <w:p w14:paraId="158FBEA6" w14:textId="77777777" w:rsidR="00B32EF2" w:rsidRDefault="00000000">
                        <w:r>
                          <w:rPr>
                            <w:rFonts w:ascii="Arial" w:eastAsia="Arial" w:hAnsi="Arial" w:cs="Arial"/>
                            <w:sz w:val="18"/>
                          </w:rPr>
                          <w:t>Art. 127 - Esecuzione delle sentenze di condanna in favore del contribuente</w:t>
                        </w:r>
                      </w:p>
                    </w:txbxContent>
                  </v:textbox>
                </v:rect>
                <v:rect id="Rectangle 23601" o:spid="_x0000_s7202" style="position:absolute;left:15129;top:8217;width:237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iiHxQAAAN4AAAAPAAAAZHJzL2Rvd25yZXYueG1sRI9Bi8Iw&#10;FITvC/6H8ARva6oLItUoosj2sBddBY+P5tlWm5fQRFv31xtB2OMwM98w82VnanGnxleWFYyGCQji&#10;3OqKCwWH3+3nFIQPyBpry6TgQR6Wi97HHFNtW97RfR8KESHsU1RQhuBSKX1ekkE/tI44emfbGAxR&#10;NoXUDbYRbmo5TpKJNFhxXCjR0bqk/Lq/GQWnDbts28r8/Ld2P5dsWn/fDkelBv1uNQMRqAv/4Xc7&#10;0wrGX5NkBK878QrIxRMAAP//AwBQSwECLQAUAAYACAAAACEA2+H2y+4AAACFAQAAEwAAAAAAAAAA&#10;AAAAAAAAAAAAW0NvbnRlbnRfVHlwZXNdLnhtbFBLAQItABQABgAIAAAAIQBa9CxbvwAAABUBAAAL&#10;AAAAAAAAAAAAAAAAAB8BAABfcmVscy8ucmVsc1BLAQItABQABgAIAAAAIQD31iiHxQAAAN4AAAAP&#10;AAAAAAAAAAAAAAAAAAcCAABkcnMvZG93bnJldi54bWxQSwUGAAAAAAMAAwC3AAAA+QIAAAAA&#10;" filled="f" stroked="f">
                  <v:textbox inset="0,0,0,0">
                    <w:txbxContent>
                      <w:p w14:paraId="5C88AB06" w14:textId="77777777" w:rsidR="00B32EF2" w:rsidRDefault="00000000">
                        <w:r>
                          <w:rPr>
                            <w:rFonts w:ascii="Arial" w:eastAsia="Arial" w:hAnsi="Arial" w:cs="Arial"/>
                            <w:sz w:val="18"/>
                          </w:rPr>
                          <w:t>Art. 128 - Giudizio di ottemperanza</w:t>
                        </w:r>
                      </w:p>
                    </w:txbxContent>
                  </v:textbox>
                </v:rect>
                <v:rect id="Rectangle 23602" o:spid="_x0000_s7203" style="position:absolute;left:15427;top:6503;width:234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LbwxgAAAN4AAAAPAAAAZHJzL2Rvd25yZXYueG1sRI9Ba8JA&#10;FITvgv9heQVvumkEkdRVRBFz6KU2gsdH9pmkZt8u2dXE/vpuodDjMDPfMKvNYFrxoM43lhW8zhIQ&#10;xKXVDVcKis/DdAnCB2SNrWVS8CQPm/V4tMJM254/6HEKlYgQ9hkqqENwmZS+rMmgn1lHHL2r7QyG&#10;KLtK6g77CDetTJNkIQ02HBdqdLSrqbyd7kbBZc8uP/SyvH7v3PtXvmyP9+Ks1ORl2L6BCDSE//Bf&#10;O9cK0vkiSeH3TrwCcv0DAAD//wMAUEsBAi0AFAAGAAgAAAAhANvh9svuAAAAhQEAABMAAAAAAAAA&#10;AAAAAAAAAAAAAFtDb250ZW50X1R5cGVzXS54bWxQSwECLQAUAAYACAAAACEAWvQsW78AAAAVAQAA&#10;CwAAAAAAAAAAAAAAAAAfAQAAX3JlbHMvLnJlbHNQSwECLQAUAAYACAAAACEABwS28MYAAADeAAAA&#10;DwAAAAAAAAAAAAAAAAAHAgAAZHJzL2Rvd25yZXYueG1sUEsFBgAAAAADAAMAtwAAAPoCAAAAAA==&#10;" filled="f" stroked="f">
                  <v:textbox inset="0,0,0,0">
                    <w:txbxContent>
                      <w:p w14:paraId="1CCEAC58" w14:textId="77777777" w:rsidR="00B32EF2" w:rsidRDefault="00000000">
                        <w:r>
                          <w:rPr>
                            <w:rFonts w:ascii="Arial" w:eastAsia="Arial" w:hAnsi="Arial" w:cs="Arial"/>
                            <w:sz w:val="18"/>
                          </w:rPr>
                          <w:t>Art. 129 - Norme transitorie e finali</w:t>
                        </w:r>
                      </w:p>
                    </w:txbxContent>
                  </v:textbox>
                </v:rect>
                <v:rect id="Rectangle 23603" o:spid="_x0000_s7204" style="position:absolute;left:17031;top:4788;width:218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BNrxgAAAN4AAAAPAAAAZHJzL2Rvd25yZXYueG1sRI9Pi8Iw&#10;FMTvC36H8ARva6qCSDWKKGIPe1n/gMdH82yrzUtooq376TcLCx6HmfkNs1h1phZPanxlWcFomIAg&#10;zq2uuFBwOu4+ZyB8QNZYWyYFL/KwWvY+Fphq2/I3PQ+hEBHCPkUFZQguldLnJRn0Q+uIo3e1jcEQ&#10;ZVNI3WAb4aaW4ySZSoMVx4USHW1Kyu+Hh1Fw2bLLdq3Mrz8b93XLZvX+cTorNeh36zmIQF14h//b&#10;mVYwnkyTCfzdiVdALn8BAAD//wMAUEsBAi0AFAAGAAgAAAAhANvh9svuAAAAhQEAABMAAAAAAAAA&#10;AAAAAAAAAAAAAFtDb250ZW50X1R5cGVzXS54bWxQSwECLQAUAAYACAAAACEAWvQsW78AAAAVAQAA&#10;CwAAAAAAAAAAAAAAAAAfAQAAX3JlbHMvLnJlbHNQSwECLQAUAAYACAAAACEAaEgTa8YAAADeAAAA&#10;DwAAAAAAAAAAAAAAAAAHAgAAZHJzL2Rvd25yZXYueG1sUEsFBgAAAAADAAMAtwAAAPoCAAAAAA==&#10;" filled="f" stroked="f">
                  <v:textbox inset="0,0,0,0">
                    <w:txbxContent>
                      <w:p w14:paraId="53BD5279" w14:textId="77777777" w:rsidR="00B32EF2" w:rsidRDefault="00000000">
                        <w:r>
                          <w:rPr>
                            <w:rFonts w:ascii="Arial" w:eastAsia="Arial" w:hAnsi="Arial" w:cs="Arial"/>
                            <w:b/>
                            <w:sz w:val="18"/>
                          </w:rPr>
                          <w:t>PARTE III -  Disposizioni finali</w:t>
                        </w:r>
                      </w:p>
                    </w:txbxContent>
                  </v:textbox>
                </v:rect>
                <v:rect id="Rectangle 23604" o:spid="_x0000_s7205" style="position:absolute;left:6014;top:4788;width:2069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YsfxwAAAN4AAAAPAAAAZHJzL2Rvd25yZXYueG1sRI9Pi8Iw&#10;FMTvgt8hPGFvmq67iFSjLIrYw17WP+Dx0TzbavMSmmirn36zsOBxmJnfMPNlZ2pxp8ZXlhW8jxIQ&#10;xLnVFRcKDvvNcArCB2SNtWVS8CAPy0W/N8dU25Z/6L4LhYgQ9ikqKENwqZQ+L8mgH1lHHL2zbQyG&#10;KJtC6gbbCDe1HCfJRBqsOC6U6GhVUn7d3YyC05pdtmllfn6u3Pclm9bb2+Go1Nug+5qBCNSFV/i/&#10;nWkF449J8gl/d+IVkItfAAAA//8DAFBLAQItABQABgAIAAAAIQDb4fbL7gAAAIUBAAATAAAAAAAA&#10;AAAAAAAAAAAAAABbQ29udGVudF9UeXBlc10ueG1sUEsBAi0AFAAGAAgAAAAhAFr0LFu/AAAAFQEA&#10;AAsAAAAAAAAAAAAAAAAAHwEAAF9yZWxzLy5yZWxzUEsBAi0AFAAGAAgAAAAhAOehix/HAAAA3gAA&#10;AA8AAAAAAAAAAAAAAAAABwIAAGRycy9kb3ducmV2LnhtbFBLBQYAAAAAAwADALcAAAD7AgAAAAA=&#10;" filled="f" stroked="f">
                  <v:textbox inset="0,0,0,0">
                    <w:txbxContent>
                      <w:p w14:paraId="45648C2C" w14:textId="77777777" w:rsidR="00B32EF2" w:rsidRDefault="00000000">
                        <w:r>
                          <w:rPr>
                            <w:rFonts w:ascii="Arial" w:eastAsia="Arial" w:hAnsi="Arial" w:cs="Arial"/>
                            <w:b/>
                            <w:sz w:val="18"/>
                          </w:rPr>
                          <w:t xml:space="preserve">    </w:t>
                        </w:r>
                      </w:p>
                    </w:txbxContent>
                  </v:textbox>
                </v:rect>
                <v:rect id="Rectangle 23605" o:spid="_x0000_s7206" style="position:absolute;left:697;top:4788;width:61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S6ExwAAAN4AAAAPAAAAZHJzL2Rvd25yZXYueG1sRI9Pi8Iw&#10;FMTvgt8hPGFvmq7LilSjLIrYw17WP+Dx0TzbavMSmmirn36zsOBxmJnfMPNlZ2pxp8ZXlhW8jxIQ&#10;xLnVFRcKDvvNcArCB2SNtWVS8CAPy0W/N8dU25Z/6L4LhYgQ9ikqKENwqZQ+L8mgH1lHHL2zbQyG&#10;KJtC6gbbCDe1HCfJRBqsOC6U6GhVUn7d3YyC05pdtmllfn6u3Pclm9bb2+Go1Nug+5qBCNSFV/i/&#10;nWkF449J8gl/d+IVkItfAAAA//8DAFBLAQItABQABgAIAAAAIQDb4fbL7gAAAIUBAAATAAAAAAAA&#10;AAAAAAAAAAAAAABbQ29udGVudF9UeXBlc10ueG1sUEsBAi0AFAAGAAgAAAAhAFr0LFu/AAAAFQEA&#10;AAsAAAAAAAAAAAAAAAAAHwEAAF9yZWxzLy5yZWxzUEsBAi0AFAAGAAgAAAAhAIjtLoTHAAAA3gAA&#10;AA8AAAAAAAAAAAAAAAAABwIAAGRycy9kb3ducmV2LnhtbFBLBQYAAAAAAwADALcAAAD7AgAAAAA=&#10;" filled="f" stroked="f">
                  <v:textbox inset="0,0,0,0">
                    <w:txbxContent>
                      <w:p w14:paraId="00CBD842" w14:textId="77777777" w:rsidR="00B32EF2" w:rsidRDefault="00000000">
                        <w:r>
                          <w:rPr>
                            <w:rFonts w:ascii="Arial" w:eastAsia="Arial" w:hAnsi="Arial" w:cs="Arial"/>
                            <w:b/>
                            <w:sz w:val="18"/>
                          </w:rPr>
                          <w:t>Pag. 106</w:t>
                        </w:r>
                      </w:p>
                    </w:txbxContent>
                  </v:textbox>
                </v:rect>
                <v:rect id="Rectangle 23606" o:spid="_x0000_s7207" style="position:absolute;left:18925;top:3074;width:199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7DzxgAAAN4AAAAPAAAAZHJzL2Rvd25yZXYueG1sRI9Ba8JA&#10;FITvBf/D8gre6qYWgqSuIoo0By/VCB4f2WeSmn27ZFcT/fXdQsHjMDPfMPPlYFpxo843lhW8TxIQ&#10;xKXVDVcKisP2bQbCB2SNrWVScCcPy8XoZY6Ztj1/020fKhEh7DNUUIfgMil9WZNBP7GOOHpn2xkM&#10;UXaV1B32EW5aOU2SVBpsOC7U6GhdU3nZX42C04Zdvu1leX6s3e4nn7Vf1+Ko1Ph1WH2CCDSEZ/i/&#10;nWsF0480SeHvTrwCcvELAAD//wMAUEsBAi0AFAAGAAgAAAAhANvh9svuAAAAhQEAABMAAAAAAAAA&#10;AAAAAAAAAAAAAFtDb250ZW50X1R5cGVzXS54bWxQSwECLQAUAAYACAAAACEAWvQsW78AAAAVAQAA&#10;CwAAAAAAAAAAAAAAAAAfAQAAX3JlbHMvLnJlbHNQSwECLQAUAAYACAAAACEAeD+w88YAAADeAAAA&#10;DwAAAAAAAAAAAAAAAAAHAgAAZHJzL2Rvd25yZXYueG1sUEsFBgAAAAADAAMAtwAAAPoCAAAAAA==&#10;" filled="f" stroked="f">
                  <v:textbox inset="0,0,0,0">
                    <w:txbxContent>
                      <w:p w14:paraId="1227F37E" w14:textId="77777777" w:rsidR="00B32EF2" w:rsidRDefault="00000000">
                        <w:r>
                          <w:rPr>
                            <w:rFonts w:ascii="Arial" w:eastAsia="Arial" w:hAnsi="Arial" w:cs="Arial"/>
                            <w:b/>
                            <w:sz w:val="18"/>
                          </w:rPr>
                          <w:t>Titolo I – Disposizioni finali</w:t>
                        </w:r>
                      </w:p>
                    </w:txbxContent>
                  </v:textbox>
                </v:rect>
                <v:rect id="Rectangle 23607" o:spid="_x0000_s7208" style="position:absolute;left:5544;top:3074;width:225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xVoxwAAAN4AAAAPAAAAZHJzL2Rvd25yZXYueG1sRI9Pi8Iw&#10;FMTvgt8hPGFvmq4LrlSjLIrYw17WP+Dx0TzbavMSmmirn36zsOBxmJnfMPNlZ2pxp8ZXlhW8jxIQ&#10;xLnVFRcKDvvNcArCB2SNtWVS8CAPy0W/N8dU25Z/6L4LhYgQ9ikqKENwqZQ+L8mgH1lHHL2zbQyG&#10;KJtC6gbbCDe1HCfJRBqsOC6U6GhVUn7d3YyC05pdtmllfn6u3Pclm9bb2+Go1Nug+5qBCNSFV/i/&#10;nWkF449J8gl/d+IVkItfAAAA//8DAFBLAQItABQABgAIAAAAIQDb4fbL7gAAAIUBAAATAAAAAAAA&#10;AAAAAAAAAAAAAABbQ29udGVudF9UeXBlc10ueG1sUEsBAi0AFAAGAAgAAAAhAFr0LFu/AAAAFQEA&#10;AAsAAAAAAAAAAAAAAAAAHwEAAF9yZWxzLy5yZWxzUEsBAi0AFAAGAAgAAAAhABdzFWjHAAAA3gAA&#10;AA8AAAAAAAAAAAAAAAAABwIAAGRycy9kb3ducmV2LnhtbFBLBQYAAAAAAwADALcAAAD7AgAAAAA=&#10;" filled="f" stroked="f">
                  <v:textbox inset="0,0,0,0">
                    <w:txbxContent>
                      <w:p w14:paraId="3162B125" w14:textId="77777777" w:rsidR="00B32EF2" w:rsidRDefault="00000000">
                        <w:r>
                          <w:rPr>
                            <w:rFonts w:ascii="Arial" w:eastAsia="Arial" w:hAnsi="Arial" w:cs="Arial"/>
                            <w:b/>
                            <w:sz w:val="18"/>
                          </w:rPr>
                          <w:t xml:space="preserve">    </w:t>
                        </w:r>
                      </w:p>
                    </w:txbxContent>
                  </v:textbox>
                </v:rect>
                <v:rect id="Rectangle 23608" o:spid="_x0000_s7209" style="position:absolute;left:697;top:3074;width:61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EaxAAAAN4AAAAPAAAAZHJzL2Rvd25yZXYueG1sRE/Pa8Iw&#10;FL4P/B/CE7zN1ApFOqOIUuxhl3UKOz6aZ9uteQlNtN3++uUw2PHj+73dT6YXDxp8Z1nBapmAIK6t&#10;7rhRcHkvnjcgfEDW2FsmBd/kYb+bPW0x13bkN3pUoRExhH2OCtoQXC6lr1sy6JfWEUfuZgeDIcKh&#10;kXrAMYabXqZJkkmDHceGFh0dW6q/qrtR8HFiVxajrG8/R/f6WW768/1yVWoxnw4vIAJN4V/85y61&#10;gnSdJXFvvBOvgNz9AgAA//8DAFBLAQItABQABgAIAAAAIQDb4fbL7gAAAIUBAAATAAAAAAAAAAAA&#10;AAAAAAAAAABbQ29udGVudF9UeXBlc10ueG1sUEsBAi0AFAAGAAgAAAAhAFr0LFu/AAAAFQEAAAsA&#10;AAAAAAAAAAAAAAAAHwEAAF9yZWxzLy5yZWxzUEsBAi0AFAAGAAgAAAAhAGbsgRrEAAAA3gAAAA8A&#10;AAAAAAAAAAAAAAAABwIAAGRycy9kb3ducmV2LnhtbFBLBQYAAAAAAwADALcAAAD4AgAAAAA=&#10;" filled="f" stroked="f">
                  <v:textbox inset="0,0,0,0">
                    <w:txbxContent>
                      <w:p w14:paraId="5BDBEDB0" w14:textId="77777777" w:rsidR="00B32EF2" w:rsidRDefault="00000000">
                        <w:r>
                          <w:rPr>
                            <w:rFonts w:ascii="Arial" w:eastAsia="Arial" w:hAnsi="Arial" w:cs="Arial"/>
                            <w:b/>
                            <w:sz w:val="18"/>
                          </w:rPr>
                          <w:t>Pag. 106</w:t>
                        </w:r>
                      </w:p>
                    </w:txbxContent>
                  </v:textbox>
                </v:rect>
                <v:rect id="Rectangle 23609" o:spid="_x0000_s7210" style="position:absolute;left:23952;top:1359;width:149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SBxgAAAN4AAAAPAAAAZHJzL2Rvd25yZXYueG1sRI9Pi8Iw&#10;FMTvC36H8ARva7oKotUoi4tsD3vxH3h8NM+22ryEJtrqp98IC3scZuY3zGLVmVrcqfGVZQUfwwQE&#10;cW51xYWCw37zPgXhA7LG2jIpeJCH1bL3tsBU25a3dN+FQkQI+xQVlCG4VEqfl2TQD60jjt7ZNgZD&#10;lE0hdYNthJtajpJkIg1WHBdKdLQuKb/ubkbB6Ytdtmllfn6u3c8lm9bft8NRqUG/+5yDCNSF//Bf&#10;O9MKRuNJMoPXnXgF5PIXAAD//wMAUEsBAi0AFAAGAAgAAAAhANvh9svuAAAAhQEAABMAAAAAAAAA&#10;AAAAAAAAAAAAAFtDb250ZW50X1R5cGVzXS54bWxQSwECLQAUAAYACAAAACEAWvQsW78AAAAVAQAA&#10;CwAAAAAAAAAAAAAAAAAfAQAAX3JlbHMvLnJlbHNQSwECLQAUAAYACAAAACEACaAkgcYAAADeAAAA&#10;DwAAAAAAAAAAAAAAAAAHAgAAZHJzL2Rvd25yZXYueG1sUEsFBgAAAAADAAMAtwAAAPoCAAAAAA==&#10;" filled="f" stroked="f">
                  <v:textbox inset="0,0,0,0">
                    <w:txbxContent>
                      <w:p w14:paraId="1D4B29A3" w14:textId="77777777" w:rsidR="00B32EF2" w:rsidRDefault="00000000">
                        <w:r>
                          <w:rPr>
                            <w:rFonts w:ascii="Arial" w:eastAsia="Arial" w:hAnsi="Arial" w:cs="Arial"/>
                            <w:sz w:val="18"/>
                          </w:rPr>
                          <w:t>Art. 130 - Abrogazioni</w:t>
                        </w:r>
                      </w:p>
                    </w:txbxContent>
                  </v:textbox>
                </v:rect>
                <v:rect id="Rectangle 23610" o:spid="_x0000_s7211" style="position:absolute;left:24196;top:-354;width:1470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vBxQAAAN4AAAAPAAAAZHJzL2Rvd25yZXYueG1sRI/NisIw&#10;FIX3wrxDuAOz01QHRKpRxEGmi9moFVxemmtbbW5CE23HpzcLweXh/PEtVr1pxJ1aX1tWMB4lIIgL&#10;q2suFeSH7XAGwgdkjY1lUvBPHlbLj8ECU2073tF9H0oRR9inqKAKwaVS+qIig35kHXH0zrY1GKJs&#10;S6lb7OK4aeQkSabSYM3xoUJHm4qK6/5mFJx+2GXbThbnx8b9XbJZ83vLj0p9ffbrOYhAfXiHX+1M&#10;K5h8T8cRIOJEFJDLJwAAAP//AwBQSwECLQAUAAYACAAAACEA2+H2y+4AAACFAQAAEwAAAAAAAAAA&#10;AAAAAAAAAAAAW0NvbnRlbnRfVHlwZXNdLnhtbFBLAQItABQABgAIAAAAIQBa9CxbvwAAABUBAAAL&#10;AAAAAAAAAAAAAAAAAB8BAABfcmVscy8ucmVsc1BLAQItABQABgAIAAAAIQAdQxvBxQAAAN4AAAAP&#10;AAAAAAAAAAAAAAAAAAcCAABkcnMvZG93bnJldi54bWxQSwUGAAAAAAMAAwC3AAAA+QIAAAAA&#10;" filled="f" stroked="f">
                  <v:textbox inset="0,0,0,0">
                    <w:txbxContent>
                      <w:p w14:paraId="0F97DE5F" w14:textId="77777777" w:rsidR="00B32EF2" w:rsidRDefault="00000000">
                        <w:r>
                          <w:rPr>
                            <w:rFonts w:ascii="Arial" w:eastAsia="Arial" w:hAnsi="Arial" w:cs="Arial"/>
                            <w:sz w:val="18"/>
                          </w:rPr>
                          <w:t>Art. 131 - Decorrenza</w:t>
                        </w:r>
                      </w:p>
                    </w:txbxContent>
                  </v:textbox>
                </v:rect>
                <w10:anchorlock/>
              </v:group>
            </w:pict>
          </mc:Fallback>
        </mc:AlternateContent>
      </w:r>
    </w:p>
    <w:p w14:paraId="365552D4" w14:textId="77777777" w:rsidR="00B32EF2" w:rsidRDefault="00000000">
      <w:pPr>
        <w:spacing w:after="283"/>
        <w:ind w:left="-1440" w:right="7064"/>
      </w:pPr>
      <w:r>
        <w:rPr>
          <w:noProof/>
        </w:rPr>
        <mc:AlternateContent>
          <mc:Choice Requires="wpg">
            <w:drawing>
              <wp:anchor distT="0" distB="0" distL="114300" distR="114300" simplePos="0" relativeHeight="251679744" behindDoc="0" locked="0" layoutInCell="1" allowOverlap="1" wp14:anchorId="01590A33" wp14:editId="4FE8EA6B">
                <wp:simplePos x="0" y="0"/>
                <wp:positionH relativeFrom="page">
                  <wp:posOffset>2632944</wp:posOffset>
                </wp:positionH>
                <wp:positionV relativeFrom="page">
                  <wp:posOffset>397149</wp:posOffset>
                </wp:positionV>
                <wp:extent cx="134112" cy="188456"/>
                <wp:effectExtent l="0" t="0" r="0" b="0"/>
                <wp:wrapTopAndBottom/>
                <wp:docPr id="202467" name="Group 202467"/>
                <wp:cNvGraphicFramePr/>
                <a:graphic xmlns:a="http://schemas.openxmlformats.org/drawingml/2006/main">
                  <a:graphicData uri="http://schemas.microsoft.com/office/word/2010/wordprocessingGroup">
                    <wpg:wgp>
                      <wpg:cNvGrpSpPr/>
                      <wpg:grpSpPr>
                        <a:xfrm>
                          <a:off x="0" y="0"/>
                          <a:ext cx="134112" cy="188456"/>
                          <a:chOff x="0" y="0"/>
                          <a:chExt cx="134112" cy="188456"/>
                        </a:xfrm>
                      </wpg:grpSpPr>
                      <wps:wsp>
                        <wps:cNvPr id="23613" name="Rectangle 23613"/>
                        <wps:cNvSpPr/>
                        <wps:spPr>
                          <a:xfrm rot="-10799999">
                            <a:off x="-44256" y="-62190"/>
                            <a:ext cx="178369" cy="250646"/>
                          </a:xfrm>
                          <a:prstGeom prst="rect">
                            <a:avLst/>
                          </a:prstGeom>
                          <a:ln>
                            <a:noFill/>
                          </a:ln>
                        </wps:spPr>
                        <wps:txbx>
                          <w:txbxContent>
                            <w:p w14:paraId="73A150AE" w14:textId="77777777" w:rsidR="00B32EF2" w:rsidRDefault="00000000">
                              <w:r>
                                <w:rPr>
                                  <w:rFonts w:ascii="Times New Roman" w:eastAsia="Times New Roman" w:hAnsi="Times New Roman" w:cs="Times New Roman"/>
                                </w:rPr>
                                <w:t>11</w:t>
                              </w:r>
                            </w:p>
                          </w:txbxContent>
                        </wps:txbx>
                        <wps:bodyPr horzOverflow="overflow" vert="horz" lIns="0" tIns="0" rIns="0" bIns="0" rtlCol="0">
                          <a:noAutofit/>
                        </wps:bodyPr>
                      </wps:wsp>
                    </wpg:wgp>
                  </a:graphicData>
                </a:graphic>
              </wp:anchor>
            </w:drawing>
          </mc:Choice>
          <mc:Fallback>
            <w:pict>
              <v:group w14:anchorId="01590A33" id="Group 202467" o:spid="_x0000_s7212" style="position:absolute;left:0;text-align:left;margin-left:207.3pt;margin-top:31.25pt;width:10.55pt;height:14.85pt;z-index:251679744;mso-position-horizontal-relative:page;mso-position-vertical-relative:page" coordsize="134112,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pGGgIAAIEEAAAOAAAAZHJzL2Uyb0RvYy54bWyklNtu2zAMhu8H7B0E3Sc+xHETI04xrGsw&#10;YFiLdn0ARZYPgCwJkhI7e/pR8iFbC+yizYVCkTL18zPp3W3fcnRm2jRS5DhahhgxQWXRiCrHL7/u&#10;FxuMjCWiIFwKluMLM/h2//nTrlMZi2UtecE0giTCZJ3KcW2tyoLA0Jq1xCylYgKCpdQtsbDVVVBo&#10;0kH2lgdxGKZBJ3WhtKTMGPDeDUG89/nLklH7UJaGWcRzDNqsX7Vfj24N9juSVZqouqGjDPIOFS1p&#10;BFw6p7ojlqCTbt6kahuqpZGlXVLZBrIsG8p8DVBNFL6q5qDlSflaqqyr1IwJ0L7i9O609Of5oNWz&#10;etRAolMVsPA7V0tf6tb9g0rUe2SXGRnrLaLgjFZJFMUYUQhFm02yTgektAbub56i9bf/PhdMlwb/&#10;SOkUNIe51m8+Vv9zTRTzWE0G9T9q1BQ5jldptMJIkBba9Akah4iKMzS4PRx/ekZlMgPUJk5IS+it&#10;RRTebN3P98LIbZEkMWBBQGiRxtF2bLqZ4M1mlW4HgvE6TBNPcCZBMqWNPTDZImfkWIM0n56cfxgL&#10;wuDodMSp4cKtQt43nA9R5wGgk2Bn2f7Y+6rX28Trcc6jLC4Ao5b69wOMdMlll2M5WthNOVzvohjx&#10;7wJeghuoydCTcZwMbflX6cduEPTlZGXZeMXX20Zl8Ha95fvclzTOpBukv/f+1PXLsf8DAAD//wMA&#10;UEsDBBQABgAIAAAAIQD34GMw4AAAAAkBAAAPAAAAZHJzL2Rvd25yZXYueG1sTI9BT4NAEIXvJv6H&#10;zZh4swsUUJGhaRr11DSxNTHepjAFUnaXsFug/971pMfJ+/LeN/lqVp0YebCt0QjhIgDBujRVq2uE&#10;z8PbwxMI60hX1BnNCFe2sCpub3LKKjPpDx73rha+RNuMEBrn+kxKWzasyC5Mz9pnJzMocv4calkN&#10;NPly1ckoCFKpqNV+oaGeNw2X5/1FIbxPNK2X4eu4PZ821+9Dsvvahox4fzevX0A4nt0fDL/6Xh0K&#10;73Q0F11Z0SHEYZx6FCGNEhAeiJfJI4gjwnMUgSxy+f+D4gcAAP//AwBQSwECLQAUAAYACAAAACEA&#10;toM4kv4AAADhAQAAEwAAAAAAAAAAAAAAAAAAAAAAW0NvbnRlbnRfVHlwZXNdLnhtbFBLAQItABQA&#10;BgAIAAAAIQA4/SH/1gAAAJQBAAALAAAAAAAAAAAAAAAAAC8BAABfcmVscy8ucmVsc1BLAQItABQA&#10;BgAIAAAAIQAVzDpGGgIAAIEEAAAOAAAAAAAAAAAAAAAAAC4CAABkcnMvZTJvRG9jLnhtbFBLAQIt&#10;ABQABgAIAAAAIQD34GMw4AAAAAkBAAAPAAAAAAAAAAAAAAAAAHQEAABkcnMvZG93bnJldi54bWxQ&#10;SwUGAAAAAAQABADzAAAAgQUAAAAA&#10;">
                <v:rect id="Rectangle 23613" o:spid="_x0000_s7213" style="position:absolute;left:-44256;top:-62190;width:178369;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YW2xgAAAN4AAAAPAAAAZHJzL2Rvd25yZXYueG1sRI9Bi8Iw&#10;FITvC/6H8ARva6qCSDWKKGIPXlZd2OOjebbV5iU00VZ//WZhweMwM98wi1VnavGgxleWFYyGCQji&#10;3OqKCwXn0+5zBsIHZI21ZVLwJA+rZe9jgam2LX/R4xgKESHsU1RQhuBSKX1ekkE/tI44ehfbGAxR&#10;NoXUDbYRbmo5TpKpNFhxXCjR0aak/Ha8GwU/W3bZrpX55bVxh2s2q/f387dSg363noMI1IV3+L+d&#10;aQXjyXQ0gb878QrI5S8AAAD//wMAUEsBAi0AFAAGAAgAAAAhANvh9svuAAAAhQEAABMAAAAAAAAA&#10;AAAAAAAAAAAAAFtDb250ZW50X1R5cGVzXS54bWxQSwECLQAUAAYACAAAACEAWvQsW78AAAAVAQAA&#10;CwAAAAAAAAAAAAAAAAAfAQAAX3JlbHMvLnJlbHNQSwECLQAUAAYACAAAACEA7ZGFtsYAAADeAAAA&#10;DwAAAAAAAAAAAAAAAAAHAgAAZHJzL2Rvd25yZXYueG1sUEsFBgAAAAADAAMAtwAAAPoCAAAAAA==&#10;" filled="f" stroked="f">
                  <v:textbox inset="0,0,0,0">
                    <w:txbxContent>
                      <w:p w14:paraId="73A150AE" w14:textId="77777777" w:rsidR="00B32EF2" w:rsidRDefault="00000000">
                        <w:r>
                          <w:rPr>
                            <w:rFonts w:ascii="Times New Roman" w:eastAsia="Times New Roman" w:hAnsi="Times New Roman" w:cs="Times New Roman"/>
                          </w:rPr>
                          <w:t>11</w:t>
                        </w:r>
                      </w:p>
                    </w:txbxContent>
                  </v:textbox>
                </v:rect>
                <w10:wrap type="topAndBottom" anchorx="page" anchory="page"/>
              </v:group>
            </w:pict>
          </mc:Fallback>
        </mc:AlternateContent>
      </w:r>
    </w:p>
    <w:p w14:paraId="02574F15" w14:textId="77777777" w:rsidR="00B32EF2" w:rsidRDefault="00000000">
      <w:pPr>
        <w:spacing w:after="0"/>
        <w:ind w:left="252" w:right="-306"/>
      </w:pPr>
      <w:r>
        <w:rPr>
          <w:noProof/>
        </w:rPr>
        <w:lastRenderedPageBreak/>
        <mc:AlternateContent>
          <mc:Choice Requires="wpg">
            <w:drawing>
              <wp:inline distT="0" distB="0" distL="0" distR="0" wp14:anchorId="3575E4F0" wp14:editId="06DC96DE">
                <wp:extent cx="3605731" cy="5765286"/>
                <wp:effectExtent l="0" t="0" r="0" b="0"/>
                <wp:docPr id="202468" name="Group 202468"/>
                <wp:cNvGraphicFramePr/>
                <a:graphic xmlns:a="http://schemas.openxmlformats.org/drawingml/2006/main">
                  <a:graphicData uri="http://schemas.microsoft.com/office/word/2010/wordprocessingGroup">
                    <wpg:wgp>
                      <wpg:cNvGrpSpPr/>
                      <wpg:grpSpPr>
                        <a:xfrm>
                          <a:off x="0" y="0"/>
                          <a:ext cx="3605731" cy="5765286"/>
                          <a:chOff x="0" y="0"/>
                          <a:chExt cx="3605731" cy="5765286"/>
                        </a:xfrm>
                      </wpg:grpSpPr>
                      <wps:wsp>
                        <wps:cNvPr id="23614" name="Rectangle 23614"/>
                        <wps:cNvSpPr/>
                        <wps:spPr>
                          <a:xfrm rot="-10799999">
                            <a:off x="142785" y="5622396"/>
                            <a:ext cx="3462947" cy="142890"/>
                          </a:xfrm>
                          <a:prstGeom prst="rect">
                            <a:avLst/>
                          </a:prstGeom>
                          <a:ln>
                            <a:noFill/>
                          </a:ln>
                        </wps:spPr>
                        <wps:txbx>
                          <w:txbxContent>
                            <w:p w14:paraId="5773A445" w14:textId="77777777" w:rsidR="00B32EF2" w:rsidRDefault="00000000">
                              <w:r>
                                <w:rPr>
                                  <w:rFonts w:ascii="Arial" w:eastAsia="Arial" w:hAnsi="Arial" w:cs="Arial"/>
                                  <w:b/>
                                  <w:sz w:val="18"/>
                                </w:rPr>
                                <w:t>Capo II - I procedimenti cautelare e conciliativo</w:t>
                              </w:r>
                            </w:p>
                          </w:txbxContent>
                        </wps:txbx>
                        <wps:bodyPr horzOverflow="overflow" vert="horz" lIns="0" tIns="0" rIns="0" bIns="0" rtlCol="0">
                          <a:noAutofit/>
                        </wps:bodyPr>
                      </wps:wsp>
                      <wps:wsp>
                        <wps:cNvPr id="23615" name="Rectangle 23615"/>
                        <wps:cNvSpPr/>
                        <wps:spPr>
                          <a:xfrm rot="-10799999">
                            <a:off x="738566" y="5622397"/>
                            <a:ext cx="371230" cy="142889"/>
                          </a:xfrm>
                          <a:prstGeom prst="rect">
                            <a:avLst/>
                          </a:prstGeom>
                          <a:ln>
                            <a:noFill/>
                          </a:ln>
                        </wps:spPr>
                        <wps:txbx>
                          <w:txbxContent>
                            <w:p w14:paraId="4BBB1183"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616" name="Rectangle 23616"/>
                        <wps:cNvSpPr/>
                        <wps:spPr>
                          <a:xfrm rot="-10799999">
                            <a:off x="-133683" y="5622397"/>
                            <a:ext cx="538786" cy="142889"/>
                          </a:xfrm>
                          <a:prstGeom prst="rect">
                            <a:avLst/>
                          </a:prstGeom>
                          <a:ln>
                            <a:noFill/>
                          </a:ln>
                        </wps:spPr>
                        <wps:txbx>
                          <w:txbxContent>
                            <w:p w14:paraId="06CA8A75" w14:textId="77777777" w:rsidR="00B32EF2" w:rsidRDefault="00000000">
                              <w:r>
                                <w:rPr>
                                  <w:rFonts w:ascii="Arial" w:eastAsia="Arial" w:hAnsi="Arial" w:cs="Arial"/>
                                  <w:b/>
                                  <w:sz w:val="18"/>
                                </w:rPr>
                                <w:t>Pag. 84</w:t>
                              </w:r>
                            </w:p>
                          </w:txbxContent>
                        </wps:txbx>
                        <wps:bodyPr horzOverflow="overflow" vert="horz" lIns="0" tIns="0" rIns="0" bIns="0" rtlCol="0">
                          <a:noAutofit/>
                        </wps:bodyPr>
                      </wps:wsp>
                      <wps:wsp>
                        <wps:cNvPr id="23617" name="Rectangle 23617"/>
                        <wps:cNvSpPr/>
                        <wps:spPr>
                          <a:xfrm rot="-10799999">
                            <a:off x="789457" y="5450947"/>
                            <a:ext cx="2816275" cy="142889"/>
                          </a:xfrm>
                          <a:prstGeom prst="rect">
                            <a:avLst/>
                          </a:prstGeom>
                          <a:ln>
                            <a:noFill/>
                          </a:ln>
                        </wps:spPr>
                        <wps:txbx>
                          <w:txbxContent>
                            <w:p w14:paraId="4679051A" w14:textId="77777777" w:rsidR="00B32EF2" w:rsidRDefault="00000000">
                              <w:r>
                                <w:rPr>
                                  <w:rFonts w:ascii="Arial" w:eastAsia="Arial" w:hAnsi="Arial" w:cs="Arial"/>
                                  <w:sz w:val="18"/>
                                </w:rPr>
                                <w:t>Art. 96 - Sospensione dell’atto impugnato</w:t>
                              </w:r>
                            </w:p>
                          </w:txbxContent>
                        </wps:txbx>
                        <wps:bodyPr horzOverflow="overflow" vert="horz" lIns="0" tIns="0" rIns="0" bIns="0" rtlCol="0">
                          <a:noAutofit/>
                        </wps:bodyPr>
                      </wps:wsp>
                      <wps:wsp>
                        <wps:cNvPr id="23618" name="Rectangle 23618"/>
                        <wps:cNvSpPr/>
                        <wps:spPr>
                          <a:xfrm rot="-10799999">
                            <a:off x="-592471" y="5279497"/>
                            <a:ext cx="4198203" cy="142889"/>
                          </a:xfrm>
                          <a:prstGeom prst="rect">
                            <a:avLst/>
                          </a:prstGeom>
                          <a:ln>
                            <a:noFill/>
                          </a:ln>
                        </wps:spPr>
                        <wps:txbx>
                          <w:txbxContent>
                            <w:p w14:paraId="579B96E7" w14:textId="77777777" w:rsidR="00B32EF2" w:rsidRDefault="00000000">
                              <w:r>
                                <w:rPr>
                                  <w:rFonts w:ascii="Arial" w:eastAsia="Arial" w:hAnsi="Arial" w:cs="Arial"/>
                                  <w:sz w:val="18"/>
                                </w:rPr>
                                <w:t>Art. 97 - Sospensione di atti volti al recupero di aiuti di Stato e</w:t>
                              </w:r>
                            </w:p>
                          </w:txbxContent>
                        </wps:txbx>
                        <wps:bodyPr horzOverflow="overflow" vert="horz" lIns="0" tIns="0" rIns="0" bIns="0" rtlCol="0">
                          <a:noAutofit/>
                        </wps:bodyPr>
                      </wps:wsp>
                      <wps:wsp>
                        <wps:cNvPr id="23619" name="Rectangle 23619"/>
                        <wps:cNvSpPr/>
                        <wps:spPr>
                          <a:xfrm rot="-10799999">
                            <a:off x="1083462" y="5108047"/>
                            <a:ext cx="2522270" cy="142889"/>
                          </a:xfrm>
                          <a:prstGeom prst="rect">
                            <a:avLst/>
                          </a:prstGeom>
                          <a:ln>
                            <a:noFill/>
                          </a:ln>
                        </wps:spPr>
                        <wps:txbx>
                          <w:txbxContent>
                            <w:p w14:paraId="19D32FD0" w14:textId="77777777" w:rsidR="00B32EF2" w:rsidRDefault="00000000">
                              <w:r>
                                <w:rPr>
                                  <w:rFonts w:ascii="Arial" w:eastAsia="Arial" w:hAnsi="Arial" w:cs="Arial"/>
                                  <w:sz w:val="18"/>
                                </w:rPr>
                                <w:t>definizione delle relative controversie</w:t>
                              </w:r>
                            </w:p>
                          </w:txbxContent>
                        </wps:txbx>
                        <wps:bodyPr horzOverflow="overflow" vert="horz" lIns="0" tIns="0" rIns="0" bIns="0" rtlCol="0">
                          <a:noAutofit/>
                        </wps:bodyPr>
                      </wps:wsp>
                      <wps:wsp>
                        <wps:cNvPr id="23620" name="Rectangle 23620"/>
                        <wps:cNvSpPr/>
                        <wps:spPr>
                          <a:xfrm rot="-10799999">
                            <a:off x="-1125936" y="4936597"/>
                            <a:ext cx="4731668" cy="142889"/>
                          </a:xfrm>
                          <a:prstGeom prst="rect">
                            <a:avLst/>
                          </a:prstGeom>
                          <a:ln>
                            <a:noFill/>
                          </a:ln>
                        </wps:spPr>
                        <wps:txbx>
                          <w:txbxContent>
                            <w:p w14:paraId="401F49D9" w14:textId="77777777" w:rsidR="00B32EF2" w:rsidRDefault="00000000">
                              <w:r>
                                <w:rPr>
                                  <w:rFonts w:ascii="Arial" w:eastAsia="Arial" w:hAnsi="Arial" w:cs="Arial"/>
                                  <w:sz w:val="18"/>
                                </w:rPr>
                                <w:t>Art. 98 - Definizione del giudizio in esito alla domanda di sospensione</w:t>
                              </w:r>
                            </w:p>
                          </w:txbxContent>
                        </wps:txbx>
                        <wps:bodyPr horzOverflow="overflow" vert="horz" lIns="0" tIns="0" rIns="0" bIns="0" rtlCol="0">
                          <a:noAutofit/>
                        </wps:bodyPr>
                      </wps:wsp>
                      <wps:wsp>
                        <wps:cNvPr id="23621" name="Rectangle 23621"/>
                        <wps:cNvSpPr/>
                        <wps:spPr>
                          <a:xfrm rot="-10799999">
                            <a:off x="1116769" y="4765147"/>
                            <a:ext cx="2488962" cy="142889"/>
                          </a:xfrm>
                          <a:prstGeom prst="rect">
                            <a:avLst/>
                          </a:prstGeom>
                          <a:ln>
                            <a:noFill/>
                          </a:ln>
                        </wps:spPr>
                        <wps:txbx>
                          <w:txbxContent>
                            <w:p w14:paraId="1C17112C" w14:textId="77777777" w:rsidR="00B32EF2" w:rsidRDefault="00000000">
                              <w:r>
                                <w:rPr>
                                  <w:rFonts w:ascii="Arial" w:eastAsia="Arial" w:hAnsi="Arial" w:cs="Arial"/>
                                  <w:sz w:val="18"/>
                                </w:rPr>
                                <w:t xml:space="preserve">Art. 99 - Conciliazione fuori udienza </w:t>
                              </w:r>
                            </w:p>
                          </w:txbxContent>
                        </wps:txbx>
                        <wps:bodyPr horzOverflow="overflow" vert="horz" lIns="0" tIns="0" rIns="0" bIns="0" rtlCol="0">
                          <a:noAutofit/>
                        </wps:bodyPr>
                      </wps:wsp>
                      <wps:wsp>
                        <wps:cNvPr id="23622" name="Rectangle 23622"/>
                        <wps:cNvSpPr/>
                        <wps:spPr>
                          <a:xfrm rot="-10799999">
                            <a:off x="1219792" y="4593697"/>
                            <a:ext cx="2385938" cy="142889"/>
                          </a:xfrm>
                          <a:prstGeom prst="rect">
                            <a:avLst/>
                          </a:prstGeom>
                          <a:ln>
                            <a:noFill/>
                          </a:ln>
                        </wps:spPr>
                        <wps:txbx>
                          <w:txbxContent>
                            <w:p w14:paraId="144DA8A3" w14:textId="77777777" w:rsidR="00B32EF2" w:rsidRDefault="00000000">
                              <w:r>
                                <w:rPr>
                                  <w:rFonts w:ascii="Arial" w:eastAsia="Arial" w:hAnsi="Arial" w:cs="Arial"/>
                                  <w:sz w:val="18"/>
                                </w:rPr>
                                <w:t>Art. 100 -  Conciliazione in udienza</w:t>
                              </w:r>
                            </w:p>
                          </w:txbxContent>
                        </wps:txbx>
                        <wps:bodyPr horzOverflow="overflow" vert="horz" lIns="0" tIns="0" rIns="0" bIns="0" rtlCol="0">
                          <a:noAutofit/>
                        </wps:bodyPr>
                      </wps:wsp>
                      <wps:wsp>
                        <wps:cNvPr id="23623" name="Rectangle 23623"/>
                        <wps:cNvSpPr/>
                        <wps:spPr>
                          <a:xfrm rot="-10799999">
                            <a:off x="-796738" y="4422247"/>
                            <a:ext cx="4402470" cy="142889"/>
                          </a:xfrm>
                          <a:prstGeom prst="rect">
                            <a:avLst/>
                          </a:prstGeom>
                          <a:ln>
                            <a:noFill/>
                          </a:ln>
                        </wps:spPr>
                        <wps:txbx>
                          <w:txbxContent>
                            <w:p w14:paraId="171A4ED9" w14:textId="77777777" w:rsidR="00B32EF2" w:rsidRDefault="00000000">
                              <w:r>
                                <w:rPr>
                                  <w:rFonts w:ascii="Arial" w:eastAsia="Arial" w:hAnsi="Arial" w:cs="Arial"/>
                                  <w:sz w:val="18"/>
                                </w:rPr>
                                <w:t>Art. 101 - Conciliazione proposta dalla corte di giustizia tributaria</w:t>
                              </w:r>
                            </w:p>
                          </w:txbxContent>
                        </wps:txbx>
                        <wps:bodyPr horzOverflow="overflow" vert="horz" lIns="0" tIns="0" rIns="0" bIns="0" rtlCol="0">
                          <a:noAutofit/>
                        </wps:bodyPr>
                      </wps:wsp>
                      <wps:wsp>
                        <wps:cNvPr id="23624" name="Rectangle 23624"/>
                        <wps:cNvSpPr/>
                        <wps:spPr>
                          <a:xfrm rot="-10799999">
                            <a:off x="-182643" y="4250797"/>
                            <a:ext cx="3788375" cy="142889"/>
                          </a:xfrm>
                          <a:prstGeom prst="rect">
                            <a:avLst/>
                          </a:prstGeom>
                          <a:ln>
                            <a:noFill/>
                          </a:ln>
                        </wps:spPr>
                        <wps:txbx>
                          <w:txbxContent>
                            <w:p w14:paraId="740A5EBD" w14:textId="77777777" w:rsidR="00B32EF2" w:rsidRDefault="00000000">
                              <w:r>
                                <w:rPr>
                                  <w:rFonts w:ascii="Arial" w:eastAsia="Arial" w:hAnsi="Arial" w:cs="Arial"/>
                                  <w:sz w:val="18"/>
                                </w:rPr>
                                <w:t>Art. 102 - Definizione e pagamento delle somme dovute</w:t>
                              </w:r>
                            </w:p>
                          </w:txbxContent>
                        </wps:txbx>
                        <wps:bodyPr horzOverflow="overflow" vert="horz" lIns="0" tIns="0" rIns="0" bIns="0" rtlCol="0">
                          <a:noAutofit/>
                        </wps:bodyPr>
                      </wps:wsp>
                      <wps:wsp>
                        <wps:cNvPr id="23625" name="Rectangle 23625"/>
                        <wps:cNvSpPr/>
                        <wps:spPr>
                          <a:xfrm rot="-10799999">
                            <a:off x="1650748" y="4079346"/>
                            <a:ext cx="1956469" cy="142889"/>
                          </a:xfrm>
                          <a:prstGeom prst="rect">
                            <a:avLst/>
                          </a:prstGeom>
                          <a:ln>
                            <a:noFill/>
                          </a:ln>
                        </wps:spPr>
                        <wps:txbx>
                          <w:txbxContent>
                            <w:p w14:paraId="00A18B24" w14:textId="77777777" w:rsidR="00B32EF2" w:rsidRDefault="00000000">
                              <w:r>
                                <w:rPr>
                                  <w:rFonts w:ascii="Arial" w:eastAsia="Arial" w:hAnsi="Arial" w:cs="Arial"/>
                                  <w:b/>
                                  <w:sz w:val="18"/>
                                </w:rPr>
                                <w:t>Capo III – Le impugnazioni</w:t>
                              </w:r>
                            </w:p>
                          </w:txbxContent>
                        </wps:txbx>
                        <wps:bodyPr horzOverflow="overflow" vert="horz" lIns="0" tIns="0" rIns="0" bIns="0" rtlCol="0">
                          <a:noAutofit/>
                        </wps:bodyPr>
                      </wps:wsp>
                      <wps:wsp>
                        <wps:cNvPr id="23626" name="Rectangle 23626"/>
                        <wps:cNvSpPr/>
                        <wps:spPr>
                          <a:xfrm rot="-10799999">
                            <a:off x="259561" y="4079346"/>
                            <a:ext cx="2302039" cy="142889"/>
                          </a:xfrm>
                          <a:prstGeom prst="rect">
                            <a:avLst/>
                          </a:prstGeom>
                          <a:ln>
                            <a:noFill/>
                          </a:ln>
                        </wps:spPr>
                        <wps:txbx>
                          <w:txbxContent>
                            <w:p w14:paraId="164724F2"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627" name="Rectangle 23627"/>
                        <wps:cNvSpPr/>
                        <wps:spPr>
                          <a:xfrm rot="-10799999">
                            <a:off x="-131156" y="4079346"/>
                            <a:ext cx="536247" cy="142889"/>
                          </a:xfrm>
                          <a:prstGeom prst="rect">
                            <a:avLst/>
                          </a:prstGeom>
                          <a:ln>
                            <a:noFill/>
                          </a:ln>
                        </wps:spPr>
                        <wps:txbx>
                          <w:txbxContent>
                            <w:p w14:paraId="20D3836F" w14:textId="77777777" w:rsidR="00B32EF2" w:rsidRDefault="00000000">
                              <w:r>
                                <w:rPr>
                                  <w:rFonts w:ascii="Arial" w:eastAsia="Arial" w:hAnsi="Arial" w:cs="Arial"/>
                                  <w:b/>
                                  <w:sz w:val="18"/>
                                </w:rPr>
                                <w:t>Pag. 93</w:t>
                              </w:r>
                            </w:p>
                          </w:txbxContent>
                        </wps:txbx>
                        <wps:bodyPr horzOverflow="overflow" vert="horz" lIns="0" tIns="0" rIns="0" bIns="0" rtlCol="0">
                          <a:noAutofit/>
                        </wps:bodyPr>
                      </wps:wsp>
                      <wps:wsp>
                        <wps:cNvPr id="23628" name="Rectangle 23628"/>
                        <wps:cNvSpPr/>
                        <wps:spPr>
                          <a:xfrm rot="-10799999">
                            <a:off x="711019" y="3907896"/>
                            <a:ext cx="2896084" cy="142889"/>
                          </a:xfrm>
                          <a:prstGeom prst="rect">
                            <a:avLst/>
                          </a:prstGeom>
                          <a:ln>
                            <a:noFill/>
                          </a:ln>
                        </wps:spPr>
                        <wps:txbx>
                          <w:txbxContent>
                            <w:p w14:paraId="7A73C38E" w14:textId="77777777" w:rsidR="00B32EF2" w:rsidRDefault="00000000">
                              <w:r>
                                <w:rPr>
                                  <w:rFonts w:ascii="Arial" w:eastAsia="Arial" w:hAnsi="Arial" w:cs="Arial"/>
                                  <w:b/>
                                  <w:sz w:val="18"/>
                                </w:rPr>
                                <w:t>Sezione I - Le impugnazioni in generale</w:t>
                              </w:r>
                            </w:p>
                          </w:txbxContent>
                        </wps:txbx>
                        <wps:bodyPr horzOverflow="overflow" vert="horz" lIns="0" tIns="0" rIns="0" bIns="0" rtlCol="0">
                          <a:noAutofit/>
                        </wps:bodyPr>
                      </wps:wsp>
                      <wps:wsp>
                        <wps:cNvPr id="23629" name="Rectangle 23629"/>
                        <wps:cNvSpPr/>
                        <wps:spPr>
                          <a:xfrm rot="-10799999">
                            <a:off x="607300" y="3907896"/>
                            <a:ext cx="900454" cy="142889"/>
                          </a:xfrm>
                          <a:prstGeom prst="rect">
                            <a:avLst/>
                          </a:prstGeom>
                          <a:ln>
                            <a:noFill/>
                          </a:ln>
                        </wps:spPr>
                        <wps:txbx>
                          <w:txbxContent>
                            <w:p w14:paraId="251E077A"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630" name="Rectangle 23630"/>
                        <wps:cNvSpPr/>
                        <wps:spPr>
                          <a:xfrm rot="-10799999">
                            <a:off x="-131159" y="3907896"/>
                            <a:ext cx="536262" cy="142889"/>
                          </a:xfrm>
                          <a:prstGeom prst="rect">
                            <a:avLst/>
                          </a:prstGeom>
                          <a:ln>
                            <a:noFill/>
                          </a:ln>
                        </wps:spPr>
                        <wps:txbx>
                          <w:txbxContent>
                            <w:p w14:paraId="1BD0FF38" w14:textId="77777777" w:rsidR="00B32EF2" w:rsidRDefault="00000000">
                              <w:r>
                                <w:rPr>
                                  <w:rFonts w:ascii="Arial" w:eastAsia="Arial" w:hAnsi="Arial" w:cs="Arial"/>
                                  <w:b/>
                                  <w:sz w:val="18"/>
                                </w:rPr>
                                <w:t>Pag. 93</w:t>
                              </w:r>
                            </w:p>
                          </w:txbxContent>
                        </wps:txbx>
                        <wps:bodyPr horzOverflow="overflow" vert="horz" lIns="0" tIns="0" rIns="0" bIns="0" rtlCol="0">
                          <a:noAutofit/>
                        </wps:bodyPr>
                      </wps:wsp>
                      <wps:wsp>
                        <wps:cNvPr id="23631" name="Rectangle 23631"/>
                        <wps:cNvSpPr/>
                        <wps:spPr>
                          <a:xfrm rot="-10799999">
                            <a:off x="792818" y="3736446"/>
                            <a:ext cx="2812914" cy="142889"/>
                          </a:xfrm>
                          <a:prstGeom prst="rect">
                            <a:avLst/>
                          </a:prstGeom>
                          <a:ln>
                            <a:noFill/>
                          </a:ln>
                        </wps:spPr>
                        <wps:txbx>
                          <w:txbxContent>
                            <w:p w14:paraId="7786BCDD" w14:textId="77777777" w:rsidR="00B32EF2" w:rsidRDefault="00000000">
                              <w:r>
                                <w:rPr>
                                  <w:rFonts w:ascii="Arial" w:eastAsia="Arial" w:hAnsi="Arial" w:cs="Arial"/>
                                  <w:sz w:val="18"/>
                                </w:rPr>
                                <w:t>Art. 103 - Disposizioni generali applicabili</w:t>
                              </w:r>
                            </w:p>
                          </w:txbxContent>
                        </wps:txbx>
                        <wps:bodyPr horzOverflow="overflow" vert="horz" lIns="0" tIns="0" rIns="0" bIns="0" rtlCol="0">
                          <a:noAutofit/>
                        </wps:bodyPr>
                      </wps:wsp>
                      <wps:wsp>
                        <wps:cNvPr id="23632" name="Rectangle 23632"/>
                        <wps:cNvSpPr/>
                        <wps:spPr>
                          <a:xfrm rot="-10799999">
                            <a:off x="1319456" y="3564996"/>
                            <a:ext cx="2286275" cy="142889"/>
                          </a:xfrm>
                          <a:prstGeom prst="rect">
                            <a:avLst/>
                          </a:prstGeom>
                          <a:ln>
                            <a:noFill/>
                          </a:ln>
                        </wps:spPr>
                        <wps:txbx>
                          <w:txbxContent>
                            <w:p w14:paraId="676BC06E" w14:textId="77777777" w:rsidR="00B32EF2" w:rsidRDefault="00000000">
                              <w:r>
                                <w:rPr>
                                  <w:rFonts w:ascii="Arial" w:eastAsia="Arial" w:hAnsi="Arial" w:cs="Arial"/>
                                  <w:sz w:val="18"/>
                                </w:rPr>
                                <w:t>Art. 104 - I mezzi d’impugnazione</w:t>
                              </w:r>
                            </w:p>
                          </w:txbxContent>
                        </wps:txbx>
                        <wps:bodyPr horzOverflow="overflow" vert="horz" lIns="0" tIns="0" rIns="0" bIns="0" rtlCol="0">
                          <a:noAutofit/>
                        </wps:bodyPr>
                      </wps:wsp>
                      <wps:wsp>
                        <wps:cNvPr id="23633" name="Rectangle 23633"/>
                        <wps:cNvSpPr/>
                        <wps:spPr>
                          <a:xfrm rot="-10799999">
                            <a:off x="1306657" y="3393546"/>
                            <a:ext cx="2299075" cy="142889"/>
                          </a:xfrm>
                          <a:prstGeom prst="rect">
                            <a:avLst/>
                          </a:prstGeom>
                          <a:ln>
                            <a:noFill/>
                          </a:ln>
                        </wps:spPr>
                        <wps:txbx>
                          <w:txbxContent>
                            <w:p w14:paraId="537720DB" w14:textId="77777777" w:rsidR="00B32EF2" w:rsidRDefault="00000000">
                              <w:r>
                                <w:rPr>
                                  <w:rFonts w:ascii="Arial" w:eastAsia="Arial" w:hAnsi="Arial" w:cs="Arial"/>
                                  <w:sz w:val="18"/>
                                </w:rPr>
                                <w:t>Art. 105 - Termini d’impugnazione</w:t>
                              </w:r>
                            </w:p>
                          </w:txbxContent>
                        </wps:txbx>
                        <wps:bodyPr horzOverflow="overflow" vert="horz" lIns="0" tIns="0" rIns="0" bIns="0" rtlCol="0">
                          <a:noAutofit/>
                        </wps:bodyPr>
                      </wps:wsp>
                      <wps:wsp>
                        <wps:cNvPr id="23634" name="Rectangle 23634"/>
                        <wps:cNvSpPr/>
                        <wps:spPr>
                          <a:xfrm rot="-10799999">
                            <a:off x="-299454" y="3222096"/>
                            <a:ext cx="3905186" cy="142889"/>
                          </a:xfrm>
                          <a:prstGeom prst="rect">
                            <a:avLst/>
                          </a:prstGeom>
                          <a:ln>
                            <a:noFill/>
                          </a:ln>
                        </wps:spPr>
                        <wps:txbx>
                          <w:txbxContent>
                            <w:p w14:paraId="1C7142E9" w14:textId="77777777" w:rsidR="00B32EF2" w:rsidRDefault="00000000">
                              <w:r>
                                <w:rPr>
                                  <w:rFonts w:ascii="Arial" w:eastAsia="Arial" w:hAnsi="Arial" w:cs="Arial"/>
                                  <w:b/>
                                  <w:sz w:val="18"/>
                                </w:rPr>
                                <w:t xml:space="preserve">Sezione II – Il giudizio di appello davanti alla corte di </w:t>
                              </w:r>
                            </w:p>
                          </w:txbxContent>
                        </wps:txbx>
                        <wps:bodyPr horzOverflow="overflow" vert="horz" lIns="0" tIns="0" rIns="0" bIns="0" rtlCol="0">
                          <a:noAutofit/>
                        </wps:bodyPr>
                      </wps:wsp>
                      <wps:wsp>
                        <wps:cNvPr id="23635" name="Rectangle 23635"/>
                        <wps:cNvSpPr/>
                        <wps:spPr>
                          <a:xfrm rot="-10799999">
                            <a:off x="-133318" y="3222096"/>
                            <a:ext cx="538421" cy="142889"/>
                          </a:xfrm>
                          <a:prstGeom prst="rect">
                            <a:avLst/>
                          </a:prstGeom>
                          <a:ln>
                            <a:noFill/>
                          </a:ln>
                        </wps:spPr>
                        <wps:txbx>
                          <w:txbxContent>
                            <w:p w14:paraId="41022632" w14:textId="77777777" w:rsidR="00B32EF2" w:rsidRDefault="00000000">
                              <w:r>
                                <w:rPr>
                                  <w:rFonts w:ascii="Arial" w:eastAsia="Arial" w:hAnsi="Arial" w:cs="Arial"/>
                                  <w:b/>
                                  <w:sz w:val="18"/>
                                </w:rPr>
                                <w:t>Pag. 94</w:t>
                              </w:r>
                            </w:p>
                          </w:txbxContent>
                        </wps:txbx>
                        <wps:bodyPr horzOverflow="overflow" vert="horz" lIns="0" tIns="0" rIns="0" bIns="0" rtlCol="0">
                          <a:noAutofit/>
                        </wps:bodyPr>
                      </wps:wsp>
                      <wps:wsp>
                        <wps:cNvPr id="23636" name="Rectangle 23636"/>
                        <wps:cNvSpPr/>
                        <wps:spPr>
                          <a:xfrm rot="-10799999">
                            <a:off x="924181" y="3050646"/>
                            <a:ext cx="2683150" cy="142889"/>
                          </a:xfrm>
                          <a:prstGeom prst="rect">
                            <a:avLst/>
                          </a:prstGeom>
                          <a:ln>
                            <a:noFill/>
                          </a:ln>
                        </wps:spPr>
                        <wps:txbx>
                          <w:txbxContent>
                            <w:p w14:paraId="721C1C13" w14:textId="77777777" w:rsidR="00B32EF2" w:rsidRDefault="00000000">
                              <w:r>
                                <w:rPr>
                                  <w:rFonts w:ascii="Arial" w:eastAsia="Arial" w:hAnsi="Arial" w:cs="Arial"/>
                                  <w:b/>
                                  <w:sz w:val="18"/>
                                </w:rPr>
                                <w:t>giustizia tributaria di secondo grado</w:t>
                              </w:r>
                            </w:p>
                          </w:txbxContent>
                        </wps:txbx>
                        <wps:bodyPr horzOverflow="overflow" vert="horz" lIns="0" tIns="0" rIns="0" bIns="0" rtlCol="0">
                          <a:noAutofit/>
                        </wps:bodyPr>
                      </wps:wsp>
                      <wps:wsp>
                        <wps:cNvPr id="23637" name="Rectangle 23637"/>
                        <wps:cNvSpPr/>
                        <wps:spPr>
                          <a:xfrm rot="-10799999">
                            <a:off x="-650785" y="2879196"/>
                            <a:ext cx="4256517" cy="142889"/>
                          </a:xfrm>
                          <a:prstGeom prst="rect">
                            <a:avLst/>
                          </a:prstGeom>
                          <a:ln>
                            <a:noFill/>
                          </a:ln>
                        </wps:spPr>
                        <wps:txbx>
                          <w:txbxContent>
                            <w:p w14:paraId="0525E163" w14:textId="77777777" w:rsidR="00B32EF2" w:rsidRDefault="00000000">
                              <w:r>
                                <w:rPr>
                                  <w:rFonts w:ascii="Arial" w:eastAsia="Arial" w:hAnsi="Arial" w:cs="Arial"/>
                                  <w:sz w:val="18"/>
                                </w:rPr>
                                <w:t>Art. 106 - Giudice competente e provvedimenti sull’esecuzione</w:t>
                              </w:r>
                            </w:p>
                          </w:txbxContent>
                        </wps:txbx>
                        <wps:bodyPr horzOverflow="overflow" vert="horz" lIns="0" tIns="0" rIns="0" bIns="0" rtlCol="0">
                          <a:noAutofit/>
                        </wps:bodyPr>
                      </wps:wsp>
                      <wps:wsp>
                        <wps:cNvPr id="23638" name="Rectangle 23638"/>
                        <wps:cNvSpPr/>
                        <wps:spPr>
                          <a:xfrm rot="-10799999">
                            <a:off x="2153717" y="2707746"/>
                            <a:ext cx="1453043" cy="142889"/>
                          </a:xfrm>
                          <a:prstGeom prst="rect">
                            <a:avLst/>
                          </a:prstGeom>
                          <a:ln>
                            <a:noFill/>
                          </a:ln>
                        </wps:spPr>
                        <wps:txbx>
                          <w:txbxContent>
                            <w:p w14:paraId="6AE4D381" w14:textId="77777777" w:rsidR="00B32EF2" w:rsidRDefault="00000000">
                              <w:r>
                                <w:rPr>
                                  <w:rFonts w:ascii="Arial" w:eastAsia="Arial" w:hAnsi="Arial" w:cs="Arial"/>
                                  <w:sz w:val="18"/>
                                </w:rPr>
                                <w:t>provvisoria in appello</w:t>
                              </w:r>
                            </w:p>
                          </w:txbxContent>
                        </wps:txbx>
                        <wps:bodyPr horzOverflow="overflow" vert="horz" lIns="0" tIns="0" rIns="0" bIns="0" rtlCol="0">
                          <a:noAutofit/>
                        </wps:bodyPr>
                      </wps:wsp>
                      <wps:wsp>
                        <wps:cNvPr id="23639" name="Rectangle 23639"/>
                        <wps:cNvSpPr/>
                        <wps:spPr>
                          <a:xfrm rot="-10799999">
                            <a:off x="1681140" y="2536296"/>
                            <a:ext cx="1924591" cy="142889"/>
                          </a:xfrm>
                          <a:prstGeom prst="rect">
                            <a:avLst/>
                          </a:prstGeom>
                          <a:ln>
                            <a:noFill/>
                          </a:ln>
                        </wps:spPr>
                        <wps:txbx>
                          <w:txbxContent>
                            <w:p w14:paraId="0CA64C4F" w14:textId="77777777" w:rsidR="00B32EF2" w:rsidRDefault="00000000">
                              <w:r>
                                <w:rPr>
                                  <w:rFonts w:ascii="Arial" w:eastAsia="Arial" w:hAnsi="Arial" w:cs="Arial"/>
                                  <w:sz w:val="18"/>
                                </w:rPr>
                                <w:t>Art. 107 - Forma dell’appello</w:t>
                              </w:r>
                            </w:p>
                          </w:txbxContent>
                        </wps:txbx>
                        <wps:bodyPr horzOverflow="overflow" vert="horz" lIns="0" tIns="0" rIns="0" bIns="0" rtlCol="0">
                          <a:noAutofit/>
                        </wps:bodyPr>
                      </wps:wsp>
                      <wps:wsp>
                        <wps:cNvPr id="23640" name="Rectangle 23640"/>
                        <wps:cNvSpPr/>
                        <wps:spPr>
                          <a:xfrm rot="-10799999">
                            <a:off x="-576980" y="2364846"/>
                            <a:ext cx="4182712" cy="142889"/>
                          </a:xfrm>
                          <a:prstGeom prst="rect">
                            <a:avLst/>
                          </a:prstGeom>
                          <a:ln>
                            <a:noFill/>
                          </a:ln>
                        </wps:spPr>
                        <wps:txbx>
                          <w:txbxContent>
                            <w:p w14:paraId="00527C15" w14:textId="77777777" w:rsidR="00B32EF2" w:rsidRDefault="00000000">
                              <w:r>
                                <w:rPr>
                                  <w:rFonts w:ascii="Arial" w:eastAsia="Arial" w:hAnsi="Arial" w:cs="Arial"/>
                                  <w:sz w:val="18"/>
                                </w:rPr>
                                <w:t>Art. 108 - Controdeduzioni dell’appellato e appello incidentale</w:t>
                              </w:r>
                            </w:p>
                          </w:txbxContent>
                        </wps:txbx>
                        <wps:bodyPr horzOverflow="overflow" vert="horz" lIns="0" tIns="0" rIns="0" bIns="0" rtlCol="0">
                          <a:noAutofit/>
                        </wps:bodyPr>
                      </wps:wsp>
                      <wps:wsp>
                        <wps:cNvPr id="23641" name="Rectangle 23641"/>
                        <wps:cNvSpPr/>
                        <wps:spPr>
                          <a:xfrm rot="-10799999">
                            <a:off x="1054457" y="2193396"/>
                            <a:ext cx="2551274" cy="142889"/>
                          </a:xfrm>
                          <a:prstGeom prst="rect">
                            <a:avLst/>
                          </a:prstGeom>
                          <a:ln>
                            <a:noFill/>
                          </a:ln>
                        </wps:spPr>
                        <wps:txbx>
                          <w:txbxContent>
                            <w:p w14:paraId="7682D585" w14:textId="77777777" w:rsidR="00B32EF2" w:rsidRDefault="00000000">
                              <w:r>
                                <w:rPr>
                                  <w:rFonts w:ascii="Arial" w:eastAsia="Arial" w:hAnsi="Arial" w:cs="Arial"/>
                                  <w:sz w:val="18"/>
                                </w:rPr>
                                <w:t>Art. 109 - Provvedimenti presidenziali</w:t>
                              </w:r>
                            </w:p>
                          </w:txbxContent>
                        </wps:txbx>
                        <wps:bodyPr horzOverflow="overflow" vert="horz" lIns="0" tIns="0" rIns="0" bIns="0" rtlCol="0">
                          <a:noAutofit/>
                        </wps:bodyPr>
                      </wps:wsp>
                      <wps:wsp>
                        <wps:cNvPr id="23642" name="Rectangle 23642"/>
                        <wps:cNvSpPr/>
                        <wps:spPr>
                          <a:xfrm rot="-10799999">
                            <a:off x="360870" y="2021946"/>
                            <a:ext cx="3244861" cy="142889"/>
                          </a:xfrm>
                          <a:prstGeom prst="rect">
                            <a:avLst/>
                          </a:prstGeom>
                          <a:ln>
                            <a:noFill/>
                          </a:ln>
                        </wps:spPr>
                        <wps:txbx>
                          <w:txbxContent>
                            <w:p w14:paraId="66490B60" w14:textId="77777777" w:rsidR="00B32EF2" w:rsidRDefault="00000000">
                              <w:r>
                                <w:rPr>
                                  <w:rFonts w:ascii="Arial" w:eastAsia="Arial" w:hAnsi="Arial" w:cs="Arial"/>
                                  <w:sz w:val="18"/>
                                </w:rPr>
                                <w:t>Art. 110 - Questioni ed eccezioni non riproposte</w:t>
                              </w:r>
                            </w:p>
                          </w:txbxContent>
                        </wps:txbx>
                        <wps:bodyPr horzOverflow="overflow" vert="horz" lIns="0" tIns="0" rIns="0" bIns="0" rtlCol="0">
                          <a:noAutofit/>
                        </wps:bodyPr>
                      </wps:wsp>
                      <wps:wsp>
                        <wps:cNvPr id="23643" name="Rectangle 23643"/>
                        <wps:cNvSpPr/>
                        <wps:spPr>
                          <a:xfrm rot="-10799999">
                            <a:off x="928068" y="1850496"/>
                            <a:ext cx="2677663" cy="142889"/>
                          </a:xfrm>
                          <a:prstGeom prst="rect">
                            <a:avLst/>
                          </a:prstGeom>
                          <a:ln>
                            <a:noFill/>
                          </a:ln>
                        </wps:spPr>
                        <wps:txbx>
                          <w:txbxContent>
                            <w:p w14:paraId="728734F7" w14:textId="77777777" w:rsidR="00B32EF2" w:rsidRDefault="00000000">
                              <w:r>
                                <w:rPr>
                                  <w:rFonts w:ascii="Arial" w:eastAsia="Arial" w:hAnsi="Arial" w:cs="Arial"/>
                                  <w:sz w:val="18"/>
                                </w:rPr>
                                <w:t>Art. 111 - Domande ed eccezioni nuove</w:t>
                              </w:r>
                            </w:p>
                          </w:txbxContent>
                        </wps:txbx>
                        <wps:bodyPr horzOverflow="overflow" vert="horz" lIns="0" tIns="0" rIns="0" bIns="0" rtlCol="0">
                          <a:noAutofit/>
                        </wps:bodyPr>
                      </wps:wsp>
                      <wps:wsp>
                        <wps:cNvPr id="23644" name="Rectangle 23644"/>
                        <wps:cNvSpPr/>
                        <wps:spPr>
                          <a:xfrm rot="-10799999">
                            <a:off x="1381526" y="1679046"/>
                            <a:ext cx="2224205" cy="142889"/>
                          </a:xfrm>
                          <a:prstGeom prst="rect">
                            <a:avLst/>
                          </a:prstGeom>
                          <a:ln>
                            <a:noFill/>
                          </a:ln>
                        </wps:spPr>
                        <wps:txbx>
                          <w:txbxContent>
                            <w:p w14:paraId="71C6F417" w14:textId="77777777" w:rsidR="00B32EF2" w:rsidRDefault="00000000">
                              <w:r>
                                <w:rPr>
                                  <w:rFonts w:ascii="Arial" w:eastAsia="Arial" w:hAnsi="Arial" w:cs="Arial"/>
                                  <w:sz w:val="18"/>
                                </w:rPr>
                                <w:t>Art. 112 - Nuove prove in appello</w:t>
                              </w:r>
                            </w:p>
                          </w:txbxContent>
                        </wps:txbx>
                        <wps:bodyPr horzOverflow="overflow" vert="horz" lIns="0" tIns="0" rIns="0" bIns="0" rtlCol="0">
                          <a:noAutofit/>
                        </wps:bodyPr>
                      </wps:wsp>
                      <wps:wsp>
                        <wps:cNvPr id="23645" name="Rectangle 23645"/>
                        <wps:cNvSpPr/>
                        <wps:spPr>
                          <a:xfrm rot="-10799999">
                            <a:off x="-966711" y="1507596"/>
                            <a:ext cx="4572443" cy="142889"/>
                          </a:xfrm>
                          <a:prstGeom prst="rect">
                            <a:avLst/>
                          </a:prstGeom>
                          <a:ln>
                            <a:noFill/>
                          </a:ln>
                        </wps:spPr>
                        <wps:txbx>
                          <w:txbxContent>
                            <w:p w14:paraId="21508114" w14:textId="77777777" w:rsidR="00B32EF2" w:rsidRDefault="00000000">
                              <w:r>
                                <w:rPr>
                                  <w:rFonts w:ascii="Arial" w:eastAsia="Arial" w:hAnsi="Arial" w:cs="Arial"/>
                                  <w:sz w:val="18"/>
                                </w:rPr>
                                <w:t>Art. 113 - Rimessione alla corte di giustizia tributaria di primo grado</w:t>
                              </w:r>
                            </w:p>
                          </w:txbxContent>
                        </wps:txbx>
                        <wps:bodyPr horzOverflow="overflow" vert="horz" lIns="0" tIns="0" rIns="0" bIns="0" rtlCol="0">
                          <a:noAutofit/>
                        </wps:bodyPr>
                      </wps:wsp>
                      <wps:wsp>
                        <wps:cNvPr id="23646" name="Rectangle 23646"/>
                        <wps:cNvSpPr/>
                        <wps:spPr>
                          <a:xfrm rot="-10799999">
                            <a:off x="-786386" y="1336146"/>
                            <a:ext cx="4392118" cy="142889"/>
                          </a:xfrm>
                          <a:prstGeom prst="rect">
                            <a:avLst/>
                          </a:prstGeom>
                          <a:ln>
                            <a:noFill/>
                          </a:ln>
                        </wps:spPr>
                        <wps:txbx>
                          <w:txbxContent>
                            <w:p w14:paraId="1EA390B1" w14:textId="77777777" w:rsidR="00B32EF2" w:rsidRDefault="00000000">
                              <w:r>
                                <w:rPr>
                                  <w:rFonts w:ascii="Arial" w:eastAsia="Arial" w:hAnsi="Arial" w:cs="Arial"/>
                                  <w:sz w:val="18"/>
                                </w:rPr>
                                <w:t>Art. 114 - Non riproponibilità dell’appello dichiarato inammissibile</w:t>
                              </w:r>
                            </w:p>
                          </w:txbxContent>
                        </wps:txbx>
                        <wps:bodyPr horzOverflow="overflow" vert="horz" lIns="0" tIns="0" rIns="0" bIns="0" rtlCol="0">
                          <a:noAutofit/>
                        </wps:bodyPr>
                      </wps:wsp>
                      <wps:wsp>
                        <wps:cNvPr id="23647" name="Rectangle 23647"/>
                        <wps:cNvSpPr/>
                        <wps:spPr>
                          <a:xfrm rot="-10799999">
                            <a:off x="1758213" y="1164696"/>
                            <a:ext cx="1847518" cy="142889"/>
                          </a:xfrm>
                          <a:prstGeom prst="rect">
                            <a:avLst/>
                          </a:prstGeom>
                          <a:ln>
                            <a:noFill/>
                          </a:ln>
                        </wps:spPr>
                        <wps:txbx>
                          <w:txbxContent>
                            <w:p w14:paraId="0E1780E1" w14:textId="77777777" w:rsidR="00B32EF2" w:rsidRDefault="00000000">
                              <w:r>
                                <w:rPr>
                                  <w:rFonts w:ascii="Arial" w:eastAsia="Arial" w:hAnsi="Arial" w:cs="Arial"/>
                                  <w:sz w:val="18"/>
                                </w:rPr>
                                <w:t>Art. 115 - Norme applicabili</w:t>
                              </w:r>
                            </w:p>
                          </w:txbxContent>
                        </wps:txbx>
                        <wps:bodyPr horzOverflow="overflow" vert="horz" lIns="0" tIns="0" rIns="0" bIns="0" rtlCol="0">
                          <a:noAutofit/>
                        </wps:bodyPr>
                      </wps:wsp>
                      <wps:wsp>
                        <wps:cNvPr id="23648" name="Rectangle 23648"/>
                        <wps:cNvSpPr/>
                        <wps:spPr>
                          <a:xfrm rot="-10799999">
                            <a:off x="856680" y="993246"/>
                            <a:ext cx="2749051" cy="142889"/>
                          </a:xfrm>
                          <a:prstGeom prst="rect">
                            <a:avLst/>
                          </a:prstGeom>
                          <a:ln>
                            <a:noFill/>
                          </a:ln>
                        </wps:spPr>
                        <wps:txbx>
                          <w:txbxContent>
                            <w:p w14:paraId="46FB8358" w14:textId="77777777" w:rsidR="00B32EF2" w:rsidRDefault="00000000">
                              <w:r>
                                <w:rPr>
                                  <w:rFonts w:ascii="Arial" w:eastAsia="Arial" w:hAnsi="Arial" w:cs="Arial"/>
                                  <w:b/>
                                  <w:sz w:val="18"/>
                                </w:rPr>
                                <w:t>Sezione III – Il ricorso per cassazione</w:t>
                              </w:r>
                            </w:p>
                          </w:txbxContent>
                        </wps:txbx>
                        <wps:bodyPr horzOverflow="overflow" vert="horz" lIns="0" tIns="0" rIns="0" bIns="0" rtlCol="0">
                          <a:noAutofit/>
                        </wps:bodyPr>
                      </wps:wsp>
                      <wps:wsp>
                        <wps:cNvPr id="23649" name="Rectangle 23649"/>
                        <wps:cNvSpPr/>
                        <wps:spPr>
                          <a:xfrm rot="-10799999">
                            <a:off x="535288" y="993246"/>
                            <a:ext cx="1190826" cy="142889"/>
                          </a:xfrm>
                          <a:prstGeom prst="rect">
                            <a:avLst/>
                          </a:prstGeom>
                          <a:ln>
                            <a:noFill/>
                          </a:ln>
                        </wps:spPr>
                        <wps:txbx>
                          <w:txbxContent>
                            <w:p w14:paraId="7A2AAB3A"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650" name="Rectangle 23650"/>
                        <wps:cNvSpPr/>
                        <wps:spPr>
                          <a:xfrm rot="-10799999">
                            <a:off x="-129912" y="993246"/>
                            <a:ext cx="535244" cy="142889"/>
                          </a:xfrm>
                          <a:prstGeom prst="rect">
                            <a:avLst/>
                          </a:prstGeom>
                          <a:ln>
                            <a:noFill/>
                          </a:ln>
                        </wps:spPr>
                        <wps:txbx>
                          <w:txbxContent>
                            <w:p w14:paraId="2CD549F8" w14:textId="77777777" w:rsidR="00B32EF2" w:rsidRDefault="00000000">
                              <w:r>
                                <w:rPr>
                                  <w:rFonts w:ascii="Arial" w:eastAsia="Arial" w:hAnsi="Arial" w:cs="Arial"/>
                                  <w:b/>
                                  <w:sz w:val="18"/>
                                </w:rPr>
                                <w:t>Pag. 97</w:t>
                              </w:r>
                            </w:p>
                          </w:txbxContent>
                        </wps:txbx>
                        <wps:bodyPr horzOverflow="overflow" vert="horz" lIns="0" tIns="0" rIns="0" bIns="0" rtlCol="0">
                          <a:noAutofit/>
                        </wps:bodyPr>
                      </wps:wsp>
                      <wps:wsp>
                        <wps:cNvPr id="23651" name="Rectangle 23651"/>
                        <wps:cNvSpPr/>
                        <wps:spPr>
                          <a:xfrm rot="-10799999">
                            <a:off x="1756662" y="821796"/>
                            <a:ext cx="1849068" cy="142889"/>
                          </a:xfrm>
                          <a:prstGeom prst="rect">
                            <a:avLst/>
                          </a:prstGeom>
                          <a:ln>
                            <a:noFill/>
                          </a:ln>
                        </wps:spPr>
                        <wps:txbx>
                          <w:txbxContent>
                            <w:p w14:paraId="0796C81E" w14:textId="77777777" w:rsidR="00B32EF2" w:rsidRDefault="00000000">
                              <w:r>
                                <w:rPr>
                                  <w:rFonts w:ascii="Arial" w:eastAsia="Arial" w:hAnsi="Arial" w:cs="Arial"/>
                                  <w:sz w:val="18"/>
                                </w:rPr>
                                <w:t>Art. 116 - Norme applicabili</w:t>
                              </w:r>
                            </w:p>
                          </w:txbxContent>
                        </wps:txbx>
                        <wps:bodyPr horzOverflow="overflow" vert="horz" lIns="0" tIns="0" rIns="0" bIns="0" rtlCol="0">
                          <a:noAutofit/>
                        </wps:bodyPr>
                      </wps:wsp>
                      <wps:wsp>
                        <wps:cNvPr id="23652" name="Rectangle 23652"/>
                        <wps:cNvSpPr/>
                        <wps:spPr>
                          <a:xfrm rot="-10799999">
                            <a:off x="-267545" y="650346"/>
                            <a:ext cx="3873277" cy="142889"/>
                          </a:xfrm>
                          <a:prstGeom prst="rect">
                            <a:avLst/>
                          </a:prstGeom>
                          <a:ln>
                            <a:noFill/>
                          </a:ln>
                        </wps:spPr>
                        <wps:txbx>
                          <w:txbxContent>
                            <w:p w14:paraId="7A72E1D5" w14:textId="77777777" w:rsidR="00B32EF2" w:rsidRDefault="00000000">
                              <w:r>
                                <w:rPr>
                                  <w:rFonts w:ascii="Arial" w:eastAsia="Arial" w:hAnsi="Arial" w:cs="Arial"/>
                                  <w:sz w:val="18"/>
                                </w:rPr>
                                <w:t>Art. 117 - Provvedimenti sull’esecuzione provvisoria della</w:t>
                              </w:r>
                            </w:p>
                          </w:txbxContent>
                        </wps:txbx>
                        <wps:bodyPr horzOverflow="overflow" vert="horz" lIns="0" tIns="0" rIns="0" bIns="0" rtlCol="0">
                          <a:noAutofit/>
                        </wps:bodyPr>
                      </wps:wsp>
                      <wps:wsp>
                        <wps:cNvPr id="23653" name="Rectangle 23653"/>
                        <wps:cNvSpPr/>
                        <wps:spPr>
                          <a:xfrm rot="-10799999">
                            <a:off x="1141138" y="478896"/>
                            <a:ext cx="2464593" cy="142889"/>
                          </a:xfrm>
                          <a:prstGeom prst="rect">
                            <a:avLst/>
                          </a:prstGeom>
                          <a:ln>
                            <a:noFill/>
                          </a:ln>
                        </wps:spPr>
                        <wps:txbx>
                          <w:txbxContent>
                            <w:p w14:paraId="76A964D7" w14:textId="77777777" w:rsidR="00B32EF2" w:rsidRDefault="00000000">
                              <w:r>
                                <w:rPr>
                                  <w:rFonts w:ascii="Arial" w:eastAsia="Arial" w:hAnsi="Arial" w:cs="Arial"/>
                                  <w:sz w:val="18"/>
                                </w:rPr>
                                <w:t>sentenza impugnata per cassazione</w:t>
                              </w:r>
                            </w:p>
                          </w:txbxContent>
                        </wps:txbx>
                        <wps:bodyPr horzOverflow="overflow" vert="horz" lIns="0" tIns="0" rIns="0" bIns="0" rtlCol="0">
                          <a:noAutofit/>
                        </wps:bodyPr>
                      </wps:wsp>
                      <wps:wsp>
                        <wps:cNvPr id="23654" name="Rectangle 23654"/>
                        <wps:cNvSpPr/>
                        <wps:spPr>
                          <a:xfrm rot="-10799999">
                            <a:off x="1814947" y="307446"/>
                            <a:ext cx="1790784" cy="142889"/>
                          </a:xfrm>
                          <a:prstGeom prst="rect">
                            <a:avLst/>
                          </a:prstGeom>
                          <a:ln>
                            <a:noFill/>
                          </a:ln>
                        </wps:spPr>
                        <wps:txbx>
                          <w:txbxContent>
                            <w:p w14:paraId="03034E8E" w14:textId="77777777" w:rsidR="00B32EF2" w:rsidRDefault="00000000">
                              <w:r>
                                <w:rPr>
                                  <w:rFonts w:ascii="Arial" w:eastAsia="Arial" w:hAnsi="Arial" w:cs="Arial"/>
                                  <w:sz w:val="18"/>
                                </w:rPr>
                                <w:t>Art. 118 - Giudizio di rinvio</w:t>
                              </w:r>
                            </w:p>
                          </w:txbxContent>
                        </wps:txbx>
                        <wps:bodyPr horzOverflow="overflow" vert="horz" lIns="0" tIns="0" rIns="0" bIns="0" rtlCol="0">
                          <a:noAutofit/>
                        </wps:bodyPr>
                      </wps:wsp>
                      <wps:wsp>
                        <wps:cNvPr id="23655" name="Rectangle 23655"/>
                        <wps:cNvSpPr/>
                        <wps:spPr>
                          <a:xfrm rot="-10799999">
                            <a:off x="-822475" y="135996"/>
                            <a:ext cx="4428207" cy="142889"/>
                          </a:xfrm>
                          <a:prstGeom prst="rect">
                            <a:avLst/>
                          </a:prstGeom>
                          <a:ln>
                            <a:noFill/>
                          </a:ln>
                        </wps:spPr>
                        <wps:txbx>
                          <w:txbxContent>
                            <w:p w14:paraId="035BB308" w14:textId="77777777" w:rsidR="00B32EF2" w:rsidRDefault="00000000">
                              <w:r>
                                <w:rPr>
                                  <w:rFonts w:ascii="Arial" w:eastAsia="Arial" w:hAnsi="Arial" w:cs="Arial"/>
                                  <w:sz w:val="18"/>
                                </w:rPr>
                                <w:t>Art. 119 - Efficacia delle sentenze penali nel processo tributario e</w:t>
                              </w:r>
                            </w:p>
                          </w:txbxContent>
                        </wps:txbx>
                        <wps:bodyPr horzOverflow="overflow" vert="horz" lIns="0" tIns="0" rIns="0" bIns="0" rtlCol="0">
                          <a:noAutofit/>
                        </wps:bodyPr>
                      </wps:wsp>
                      <wps:wsp>
                        <wps:cNvPr id="23656" name="Rectangle 23656"/>
                        <wps:cNvSpPr/>
                        <wps:spPr>
                          <a:xfrm rot="-10799999">
                            <a:off x="1719220" y="-35453"/>
                            <a:ext cx="1886510" cy="142889"/>
                          </a:xfrm>
                          <a:prstGeom prst="rect">
                            <a:avLst/>
                          </a:prstGeom>
                          <a:ln>
                            <a:noFill/>
                          </a:ln>
                        </wps:spPr>
                        <wps:txbx>
                          <w:txbxContent>
                            <w:p w14:paraId="62F11495" w14:textId="77777777" w:rsidR="00B32EF2" w:rsidRDefault="00000000">
                              <w:r>
                                <w:rPr>
                                  <w:rFonts w:ascii="Arial" w:eastAsia="Arial" w:hAnsi="Arial" w:cs="Arial"/>
                                  <w:sz w:val="18"/>
                                </w:rPr>
                                <w:t>nel processo di Cassazione</w:t>
                              </w:r>
                            </w:p>
                          </w:txbxContent>
                        </wps:txbx>
                        <wps:bodyPr horzOverflow="overflow" vert="horz" lIns="0" tIns="0" rIns="0" bIns="0" rtlCol="0">
                          <a:noAutofit/>
                        </wps:bodyPr>
                      </wps:wsp>
                    </wpg:wgp>
                  </a:graphicData>
                </a:graphic>
              </wp:inline>
            </w:drawing>
          </mc:Choice>
          <mc:Fallback>
            <w:pict>
              <v:group w14:anchorId="3575E4F0" id="Group 202468" o:spid="_x0000_s7214" style="width:283.9pt;height:453.95pt;mso-position-horizontal-relative:char;mso-position-vertical-relative:line" coordsize="36057,57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U++wQcAANFUAAAOAAAAZHJzL2Uyb0RvYy54bWzknFuP2kYUx98r9TtYfifM/YJCoqppokpV&#10;EzXtB/CyZkECjGwSNv30/Y9tZjdm2qqDlKk0eSBgs2Z8fj7XOTMvXz/ud8Xnuu22zWFZ0hekLOrD&#10;qrnfHh6W5R+/v52ZsuhO1eG+2jWHell+qbvy9avvv3t5Pi5q1mya3X3dFrjIoVucj8tyczodF/N5&#10;t9rU+6p70RzrA06um3ZfnfCxfZjft9UZV9/v5owQNT837f2xbVZ11+Hom+Fk+aq//npdr07v1+uu&#10;PhW7ZYmxnfrXtn+9c6/zVy+rxUNbHTfb1TiMKmIU+2p7wI/6S72pTlXxqd1eXWq/XbVN16xPL1bN&#10;ft6s19tV3d8D7oaSyd28a5tPx/5eHhbnh6MXE0Q7kVP0ZVe/fn7XHj8eP7SQxPn4AFn0n9y9PK7b&#10;vfsfoywee5F98SKrH0/FCge5IlJzWhYrnJNaSWbUINTVBpK/+rvV5qd/+cv55YfnXw3nfMQD0j3J&#10;oLtNBh831bHuRdstIIMPbbG9X5aMKyrK4lDt8aj+hoenOjzs6mI43Auo/7YXV7foILmLrIq2wfM1&#10;o0Rb969/HkbZUcG0kWXhhKQY43YUkhejUMwKPYgRXza2fzS9LKrFse1O7+pmX7g3y7LF4PofqD7/&#10;0p0wNHz18hU3nt3BvR6at9vdbjjrjkCklyG7d6fHu8f+vqUV1FFzB++a+y8Qx6Zp/3wPxV7vmvOy&#10;bMZ3pdN1/Lw7Wxa7nw/A4NTq8qa9vLm7vGlPux+bXvmGAf3w6dSst/2In35tHBn4DmP4JqCBIwRa&#10;XgSBx+K/g9bcSKWegdaDNnjQmjIOiTl1cZyNdee/IWd2ub1sOINGiHOvge4RjOI8o5wrw/8etORG&#10;wxSmA82zAw3zGQLda2A0aG2skLiys9xCEmekobDV4qLQzFDFNGxJMo0W2YFGTBkCbS6CiNNoaZnQ&#10;iGQcaaatsBPSglrDCFQ+GWnvmrKx3TZMunea0SpNieGItwbS+ECudFoyxnRKL+2dUy6kGaQd0Gkc&#10;HsPSOJ2mlEnLh3hM4I28UmokL0rBoCRTau+eskENGxtC7TOQKNSUUqUV7AXMt0AeSq+UWiDYdlqf&#10;jLT3T9mQhrRDpH0OEkeaUavtYL6F0+6pTjPkYJan1Gnvn7IhjbAoRNonIVGkZ9oqJNSDTgv45KlO&#10;C0FwLKGjlt4/ZUM6XB9jPguJI00NU2JIpwWTqKBNgm+ujeEp0yzp3VM2pMMFMuazkCjSVIGuGHUa&#10;nBGJf51QUyuVcI48lZ+W3j1lQzpcImM+C4kijchbqiGfFiHQqIMinU4J2nunbECHS2TM5yBRoFEL&#10;pVSOSVaItOTKue50Gu2dUzagYWBD8ZhPQaJAa0oJHVIsbgkqoxPTjWkrRQwChGSm2/umbEADRwi0&#10;z0CiQCuiOUFYjVw6CNoSImRKzt4z5cLZzRkGOOPwbfUxZ7n/QaOd5U5ZM8HMy3h/2YAOV8fQYnEL&#10;aNRLDB2Cbq65EtOgG2eZda0PySy390zZgA4Xx7jPPqIsN0IxzFcOsRhHImWvfDQadJLOV8Lc5KbS&#10;4eIY9+lHJGmi1Dgzzbnl8kqnmUWQlnBmWnnnlI1Oh4tj3OcfUaRnANmHWy4cQxWUTHUaMZqkKZtN&#10;kObnptPh4hj3CUgcaXQV8YufDpFGV5FgiBBSuWnEgrmBDtfGMKd8SzyGVhNqhtoYJ5Kg4Oku96yr&#10;CL1lFJML6UB755SN7Q7XxrjPQOI02pW7x85fZrSlU9uN2Q5MVicsjinvnLIhHS6OYaLxFpVmVHLt&#10;QMJLo3lI66lOUyE5cXNcyYy3d07ZkA5XxzDpcAtpqgylYiiPMVchmeo0hXmXNqWb9t4pF9IOR6A+&#10;hsO3kJ5hRYs1I2mUTcxUp+HFGTr6E+q0d0/ZkA4XyJ4WsET5aUqkuPR5o78ICfU0IpOSMp2wQoYm&#10;xfFRzoZ0uEImfA4SRRor1oxrGXJumgD1VKU5E8K4eetkbtp7p2xAhwtkiJVuMd4oeRPX2QvQ1Egi&#10;rjRaaa1UwngMT2FuGh2ujwmfgkRpNOWGSjSr9KSVtmSq0q5zkJGElVAsK8mNdLg+JnwKEkV6ZpVC&#10;E8JAGom1nOo0XDjMd0qd9s4pG+MdLpANOhi9RmeGxZPclbSd9cZSSzrVacEto65UmspNa++dsiEd&#10;rpANTdnRpKmWhlGorCNNXevnJPKmRmhMbyQk7d1TNqTDFTK07d4SkLmV8WMybS3C7AlnZFduHish&#10;Z++csuEcro8Jn4FEeWnJsQvIEHiHOFNqCbr9E3LOrjrmZpIC1bGn1StRnGfoGbKu+AXLHQLtngOE&#10;9uk8dHa1MWc9Q5x9+hHFGR5aqXG9NFw1FmU5N/A0WQkHbftMO1ko5v1SLoYba1SCoH32EQV6xpTG&#10;Jhe9QmPe8mppDrY04UwnnKvU3jFlAzpcGpM++YgCjekriqpJD1pgZd1UoxGbuZW16Uw3wsTMCiau&#10;nT5kun3uEQfaUNHvKwYXzbHubhpzw5ijPSGhj0YTTG6gw5Ux6ZOPKNAz41ZHD6abcnnV9iuw1xgj&#10;CU238a4pG9MdLoyhOfuWJJpqdBe43VKg0TM0/Q6e4HkwZtBPhPOpgjFsivY/0eh+A0nsm9nvrzfu&#10;8ek25nz+ud958Gkn0ld/AQAA//8DAFBLAwQUAAYACAAAACEAtruE590AAAAFAQAADwAAAGRycy9k&#10;b3ducmV2LnhtbEyPQUvDQBCF74L/YRnBm91EaWtjNqUU9VQEW6H0Nk2mSWh2NmS3SfrvHb3o5cHw&#10;hve+ly5H26ieOl87NhBPIlDEuStqLg187d4enkH5gFxg45gMXMnDMru9STEp3MCf1G9DqSSEfYIG&#10;qhDaRGufV2TRT1xLLN7JdRaDnF2piw4HCbeNfoyimbZYszRU2NK6ovy8vVgD7wMOq6f4td+cT+vr&#10;YTf92G9iMub+bly9gAo0hr9n+MEXdMiE6eguXHjVGJAh4VfFm87mMuNoYBHNF6CzVP+nz74BAAD/&#10;/wMAUEsBAi0AFAAGAAgAAAAhALaDOJL+AAAA4QEAABMAAAAAAAAAAAAAAAAAAAAAAFtDb250ZW50&#10;X1R5cGVzXS54bWxQSwECLQAUAAYACAAAACEAOP0h/9YAAACUAQAACwAAAAAAAAAAAAAAAAAvAQAA&#10;X3JlbHMvLnJlbHNQSwECLQAUAAYACAAAACEA58VPvsEHAADRVAAADgAAAAAAAAAAAAAAAAAuAgAA&#10;ZHJzL2Uyb0RvYy54bWxQSwECLQAUAAYACAAAACEAtruE590AAAAFAQAADwAAAAAAAAAAAAAAAAAb&#10;CgAAZHJzL2Rvd25yZXYueG1sUEsFBgAAAAAEAAQA8wAAACULAAAAAA==&#10;">
                <v:rect id="Rectangle 23614" o:spid="_x0000_s7215" style="position:absolute;left:1427;top:56223;width:346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3CxgAAAN4AAAAPAAAAZHJzL2Rvd25yZXYueG1sRI9Ba8JA&#10;FITvgv9heUJvutGKSHQVUcQcvGgt9PjIPpNo9u2SXU3aX+8WCj0OM/MNs1x3phZPanxlWcF4lIAg&#10;zq2uuFBw+dgP5yB8QNZYWyYF3+Rhver3lphq2/KJnudQiAhhn6KCMgSXSunzkgz6kXXE0bvaxmCI&#10;simkbrCNcFPLSZLMpMGK40KJjrYl5ffzwyj42rHL9q3Mrz9bd7xl8/rwuHwq9TboNgsQgbrwH/5r&#10;Z1rB5H02nsLvnXgF5OoFAAD//wMAUEsBAi0AFAAGAAgAAAAhANvh9svuAAAAhQEAABMAAAAAAAAA&#10;AAAAAAAAAAAAAFtDb250ZW50X1R5cGVzXS54bWxQSwECLQAUAAYACAAAACEAWvQsW78AAAAVAQAA&#10;CwAAAAAAAAAAAAAAAAAfAQAAX3JlbHMvLnJlbHNQSwECLQAUAAYACAAAACEAYngdwsYAAADeAAAA&#10;DwAAAAAAAAAAAAAAAAAHAgAAZHJzL2Rvd25yZXYueG1sUEsFBgAAAAADAAMAtwAAAPoCAAAAAA==&#10;" filled="f" stroked="f">
                  <v:textbox inset="0,0,0,0">
                    <w:txbxContent>
                      <w:p w14:paraId="5773A445" w14:textId="77777777" w:rsidR="00B32EF2" w:rsidRDefault="00000000">
                        <w:r>
                          <w:rPr>
                            <w:rFonts w:ascii="Arial" w:eastAsia="Arial" w:hAnsi="Arial" w:cs="Arial"/>
                            <w:b/>
                            <w:sz w:val="18"/>
                          </w:rPr>
                          <w:t>Capo II - I procedimenti cautelare e conciliativo</w:t>
                        </w:r>
                      </w:p>
                    </w:txbxContent>
                  </v:textbox>
                </v:rect>
                <v:rect id="Rectangle 23615" o:spid="_x0000_s7216" style="position:absolute;left:7385;top:56223;width:37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LhZxgAAAN4AAAAPAAAAZHJzL2Rvd25yZXYueG1sRI9Ba8JA&#10;FITvgv9heUJvutGiSHQVUcQcvGgt9PjIPpNo9u2SXU3aX+8WCj0OM/MNs1x3phZPanxlWcF4lIAg&#10;zq2uuFBw+dgP5yB8QNZYWyYF3+Rhver3lphq2/KJnudQiAhhn6KCMgSXSunzkgz6kXXE0bvaxmCI&#10;simkbrCNcFPLSZLMpMGK40KJjrYl5ffzwyj42rHL9q3Mrz9bd7xl8/rwuHwq9TboNgsQgbrwH/5r&#10;Z1rB5H02nsLvnXgF5OoFAAD//wMAUEsBAi0AFAAGAAgAAAAhANvh9svuAAAAhQEAABMAAAAAAAAA&#10;AAAAAAAAAAAAAFtDb250ZW50X1R5cGVzXS54bWxQSwECLQAUAAYACAAAACEAWvQsW78AAAAVAQAA&#10;CwAAAAAAAAAAAAAAAAAfAQAAX3JlbHMvLnJlbHNQSwECLQAUAAYACAAAACEADTS4WcYAAADeAAAA&#10;DwAAAAAAAAAAAAAAAAAHAgAAZHJzL2Rvd25yZXYueG1sUEsFBgAAAAADAAMAtwAAAPoCAAAAAA==&#10;" filled="f" stroked="f">
                  <v:textbox inset="0,0,0,0">
                    <w:txbxContent>
                      <w:p w14:paraId="4BBB1183" w14:textId="77777777" w:rsidR="00B32EF2" w:rsidRDefault="00000000">
                        <w:r>
                          <w:rPr>
                            <w:rFonts w:ascii="Arial" w:eastAsia="Arial" w:hAnsi="Arial" w:cs="Arial"/>
                            <w:b/>
                            <w:sz w:val="18"/>
                          </w:rPr>
                          <w:t xml:space="preserve">  </w:t>
                        </w:r>
                      </w:p>
                    </w:txbxContent>
                  </v:textbox>
                </v:rect>
                <v:rect id="Rectangle 23616" o:spid="_x0000_s7217" style="position:absolute;left:-1336;top:56223;width:53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iYuxwAAAN4AAAAPAAAAZHJzL2Rvd25yZXYueG1sRI9Pi8Iw&#10;FMTvC36H8Ba8rakuFKlGWRTZHrysf8Djo3m23W1eQhNt9dNvBMHjMDO/YebL3jTiSq2vLSsYjxIQ&#10;xIXVNZcKDvvNxxSED8gaG8uk4EYelovB2xwzbTv+oesulCJC2GeooArBZVL6oiKDfmQdcfTOtjUY&#10;omxLqVvsItw0cpIkqTRYc1yo0NGqouJvdzEKTmt2+aaTxfm+ctvffNp8Xw5HpYbv/dcMRKA+vMLP&#10;dq4VTD7TcQqPO/EKyMU/AAAA//8DAFBLAQItABQABgAIAAAAIQDb4fbL7gAAAIUBAAATAAAAAAAA&#10;AAAAAAAAAAAAAABbQ29udGVudF9UeXBlc10ueG1sUEsBAi0AFAAGAAgAAAAhAFr0LFu/AAAAFQEA&#10;AAsAAAAAAAAAAAAAAAAAHwEAAF9yZWxzLy5yZWxzUEsBAi0AFAAGAAgAAAAhAP3mJi7HAAAA3gAA&#10;AA8AAAAAAAAAAAAAAAAABwIAAGRycy9kb3ducmV2LnhtbFBLBQYAAAAAAwADALcAAAD7AgAAAAA=&#10;" filled="f" stroked="f">
                  <v:textbox inset="0,0,0,0">
                    <w:txbxContent>
                      <w:p w14:paraId="06CA8A75" w14:textId="77777777" w:rsidR="00B32EF2" w:rsidRDefault="00000000">
                        <w:r>
                          <w:rPr>
                            <w:rFonts w:ascii="Arial" w:eastAsia="Arial" w:hAnsi="Arial" w:cs="Arial"/>
                            <w:b/>
                            <w:sz w:val="18"/>
                          </w:rPr>
                          <w:t>Pag. 84</w:t>
                        </w:r>
                      </w:p>
                    </w:txbxContent>
                  </v:textbox>
                </v:rect>
                <v:rect id="Rectangle 23617" o:spid="_x0000_s7218" style="position:absolute;left:7894;top:54509;width:281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oO1xgAAAN4AAAAPAAAAZHJzL2Rvd25yZXYueG1sRI9Ba8JA&#10;FITvgv9heUJvutGClegqoog5eKla6PGRfSbR7Nslu5q0v94tFDwOM/MNs1h1phYPanxlWcF4lIAg&#10;zq2uuFBwPu2GMxA+IGusLZOCH/KwWvZ7C0y1bfmTHsdQiAhhn6KCMgSXSunzkgz6kXXE0bvYxmCI&#10;simkbrCNcFPLSZJMpcGK40KJjjYl5bfj3Sj43rLLdq3ML78bd7hms3p/P38p9Tbo1nMQgbrwCv+3&#10;M61g8j4df8DfnXgF5PIJAAD//wMAUEsBAi0AFAAGAAgAAAAhANvh9svuAAAAhQEAABMAAAAAAAAA&#10;AAAAAAAAAAAAAFtDb250ZW50X1R5cGVzXS54bWxQSwECLQAUAAYACAAAACEAWvQsW78AAAAVAQAA&#10;CwAAAAAAAAAAAAAAAAAfAQAAX3JlbHMvLnJlbHNQSwECLQAUAAYACAAAACEAkqqDtcYAAADeAAAA&#10;DwAAAAAAAAAAAAAAAAAHAgAAZHJzL2Rvd25yZXYueG1sUEsFBgAAAAADAAMAtwAAAPoCAAAAAA==&#10;" filled="f" stroked="f">
                  <v:textbox inset="0,0,0,0">
                    <w:txbxContent>
                      <w:p w14:paraId="4679051A" w14:textId="77777777" w:rsidR="00B32EF2" w:rsidRDefault="00000000">
                        <w:r>
                          <w:rPr>
                            <w:rFonts w:ascii="Arial" w:eastAsia="Arial" w:hAnsi="Arial" w:cs="Arial"/>
                            <w:sz w:val="18"/>
                          </w:rPr>
                          <w:t>Art. 96 - Sospensione dell’atto impugnato</w:t>
                        </w:r>
                      </w:p>
                    </w:txbxContent>
                  </v:textbox>
                </v:rect>
                <v:rect id="Rectangle 23618" o:spid="_x0000_s7219" style="position:absolute;left:-5924;top:52794;width:419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RfHwwAAAN4AAAAPAAAAZHJzL2Rvd25yZXYueG1sRE9Ni8Iw&#10;EL0L+x/CLOxNU10QqUYRF9ke9qJW8Dg0Y1ttJqGJtuuvNwfB4+N9L1a9acSdWl9bVjAeJSCIC6tr&#10;LhXkh+1wBsIHZI2NZVLwTx5Wy4/BAlNtO97RfR9KEUPYp6igCsGlUvqiIoN+ZB1x5M62NRgibEup&#10;W+xiuGnkJEmm0mDNsaFCR5uKiuv+ZhScfthl204W58fG/V2yWfN7y49KfX326zmIQH14i1/uTCuY&#10;fE/HcW+8E6+AXD4BAAD//wMAUEsBAi0AFAAGAAgAAAAhANvh9svuAAAAhQEAABMAAAAAAAAAAAAA&#10;AAAAAAAAAFtDb250ZW50X1R5cGVzXS54bWxQSwECLQAUAAYACAAAACEAWvQsW78AAAAVAQAACwAA&#10;AAAAAAAAAAAAAAAfAQAAX3JlbHMvLnJlbHNQSwECLQAUAAYACAAAACEA4zUXx8MAAADeAAAADwAA&#10;AAAAAAAAAAAAAAAHAgAAZHJzL2Rvd25yZXYueG1sUEsFBgAAAAADAAMAtwAAAPcCAAAAAA==&#10;" filled="f" stroked="f">
                  <v:textbox inset="0,0,0,0">
                    <w:txbxContent>
                      <w:p w14:paraId="579B96E7" w14:textId="77777777" w:rsidR="00B32EF2" w:rsidRDefault="00000000">
                        <w:r>
                          <w:rPr>
                            <w:rFonts w:ascii="Arial" w:eastAsia="Arial" w:hAnsi="Arial" w:cs="Arial"/>
                            <w:sz w:val="18"/>
                          </w:rPr>
                          <w:t>Art. 97 - Sospensione di atti volti al recupero di aiuti di Stato e</w:t>
                        </w:r>
                      </w:p>
                    </w:txbxContent>
                  </v:textbox>
                </v:rect>
                <v:rect id="Rectangle 23619" o:spid="_x0000_s7220" style="position:absolute;left:10834;top:51080;width:252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JcxwAAAN4AAAAPAAAAZHJzL2Rvd25yZXYueG1sRI9Ba8JA&#10;FITvgv9heYI33aggNrpKsUhz8FKbQo+P7DOJzb5dsqtJ++vdguBxmJlvmM2uN424Uetrywpm0wQE&#10;cWF1zaWC/PMwWYHwAVljY5kU/JKH3XY42GCqbccfdDuFUkQI+xQVVCG4VEpfVGTQT60jjt7ZtgZD&#10;lG0pdYtdhJtGzpNkKQ3WHBcqdLSvqPg5XY2C7zd22aGTxflv746XbNW8X/Mvpcaj/nUNIlAfnuFH&#10;O9MK5ovl7AX+78QrILd3AAAA//8DAFBLAQItABQABgAIAAAAIQDb4fbL7gAAAIUBAAATAAAAAAAA&#10;AAAAAAAAAAAAAABbQ29udGVudF9UeXBlc10ueG1sUEsBAi0AFAAGAAgAAAAhAFr0LFu/AAAAFQEA&#10;AAsAAAAAAAAAAAAAAAAAHwEAAF9yZWxzLy5yZWxzUEsBAi0AFAAGAAgAAAAhAIx5slzHAAAA3gAA&#10;AA8AAAAAAAAAAAAAAAAABwIAAGRycy9kb3ducmV2LnhtbFBLBQYAAAAAAwADALcAAAD7AgAAAAA=&#10;" filled="f" stroked="f">
                  <v:textbox inset="0,0,0,0">
                    <w:txbxContent>
                      <w:p w14:paraId="19D32FD0" w14:textId="77777777" w:rsidR="00B32EF2" w:rsidRDefault="00000000">
                        <w:r>
                          <w:rPr>
                            <w:rFonts w:ascii="Arial" w:eastAsia="Arial" w:hAnsi="Arial" w:cs="Arial"/>
                            <w:sz w:val="18"/>
                          </w:rPr>
                          <w:t>definizione delle relative controversie</w:t>
                        </w:r>
                      </w:p>
                    </w:txbxContent>
                  </v:textbox>
                </v:rect>
                <v:rect id="Rectangle 23620" o:spid="_x0000_s7221" style="position:absolute;left:-11259;top:49365;width:473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9F8xAAAAN4AAAAPAAAAZHJzL2Rvd25yZXYueG1sRI/NisIw&#10;FIX3A75DuIK7MbWCSDWKKGIXbsZRcHlprm21uQlNtHWefrIYmOXh/PEt171pxItaX1tWMBknIIgL&#10;q2suFZy/959zED4ga2wsk4I3eVivBh9LzLTt+Itep1CKOMI+QwVVCC6T0hcVGfRj64ijd7OtwRBl&#10;W0rdYhfHTSPTJJlJgzXHhwodbSsqHqenUXDdscv3nSxuP1t3vOfz5vA8X5QaDfvNAkSgPvyH/9q5&#10;VpBOZ2kEiDgRBeTqFwAA//8DAFBLAQItABQABgAIAAAAIQDb4fbL7gAAAIUBAAATAAAAAAAAAAAA&#10;AAAAAAAAAABbQ29udGVudF9UeXBlc10ueG1sUEsBAi0AFAAGAAgAAAAhAFr0LFu/AAAAFQEAAAsA&#10;AAAAAAAAAAAAAAAAHwEAAF9yZWxzLy5yZWxzUEsBAi0AFAAGAAgAAAAhANMv0XzEAAAA3gAAAA8A&#10;AAAAAAAAAAAAAAAABwIAAGRycy9kb3ducmV2LnhtbFBLBQYAAAAAAwADALcAAAD4AgAAAAA=&#10;" filled="f" stroked="f">
                  <v:textbox inset="0,0,0,0">
                    <w:txbxContent>
                      <w:p w14:paraId="401F49D9" w14:textId="77777777" w:rsidR="00B32EF2" w:rsidRDefault="00000000">
                        <w:r>
                          <w:rPr>
                            <w:rFonts w:ascii="Arial" w:eastAsia="Arial" w:hAnsi="Arial" w:cs="Arial"/>
                            <w:sz w:val="18"/>
                          </w:rPr>
                          <w:t>Art. 98 - Definizione del giudizio in esito alla domanda di sospensione</w:t>
                        </w:r>
                      </w:p>
                    </w:txbxContent>
                  </v:textbox>
                </v:rect>
                <v:rect id="Rectangle 23621" o:spid="_x0000_s7222" style="position:absolute;left:11167;top:47651;width:248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3TnxwAAAN4AAAAPAAAAZHJzL2Rvd25yZXYueG1sRI/NasMw&#10;EITvhbyD2EJvjRwHQnAih5IQ4kMvTR3IcbHWP621EpYSu336qlDocZiZb5jtbjK9uNPgO8sKFvME&#10;BHFldceNgvL9+LwG4QOyxt4yKfgiD7t89rDFTNuR3+h+Do2IEPYZKmhDcJmUvmrJoJ9bRxy92g4G&#10;Q5RDI/WAY4SbXqZJspIGO44LLTrat1R9nm9GwfXArjiOsqq/9+71o1j3p1t5UerpcXrZgAg0hf/w&#10;X7vQCtLlKl3A7514BWT+AwAA//8DAFBLAQItABQABgAIAAAAIQDb4fbL7gAAAIUBAAATAAAAAAAA&#10;AAAAAAAAAAAAAABbQ29udGVudF9UeXBlc10ueG1sUEsBAi0AFAAGAAgAAAAhAFr0LFu/AAAAFQEA&#10;AAsAAAAAAAAAAAAAAAAAHwEAAF9yZWxzLy5yZWxzUEsBAi0AFAAGAAgAAAAhALxjdOfHAAAA3gAA&#10;AA8AAAAAAAAAAAAAAAAABwIAAGRycy9kb3ducmV2LnhtbFBLBQYAAAAAAwADALcAAAD7AgAAAAA=&#10;" filled="f" stroked="f">
                  <v:textbox inset="0,0,0,0">
                    <w:txbxContent>
                      <w:p w14:paraId="1C17112C" w14:textId="77777777" w:rsidR="00B32EF2" w:rsidRDefault="00000000">
                        <w:r>
                          <w:rPr>
                            <w:rFonts w:ascii="Arial" w:eastAsia="Arial" w:hAnsi="Arial" w:cs="Arial"/>
                            <w:sz w:val="18"/>
                          </w:rPr>
                          <w:t xml:space="preserve">Art. 99 - Conciliazione fuori udienza </w:t>
                        </w:r>
                      </w:p>
                    </w:txbxContent>
                  </v:textbox>
                </v:rect>
                <v:rect id="Rectangle 23622" o:spid="_x0000_s7223" style="position:absolute;left:12197;top:45936;width:2386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eqQxgAAAN4AAAAPAAAAZHJzL2Rvd25yZXYueG1sRI9Ba8JA&#10;FITvgv9heQVvumkEkdRVRBFz6KU2gsdH9pmkZt8u2dXE/vpuodDjMDPfMKvNYFrxoM43lhW8zhIQ&#10;xKXVDVcKis/DdAnCB2SNrWVS8CQPm/V4tMJM254/6HEKlYgQ9hkqqENwmZS+rMmgn1lHHL2r7QyG&#10;KLtK6g77CDetTJNkIQ02HBdqdLSrqbyd7kbBZc8uP/SyvH7v3PtXvmyP9+Ks1ORl2L6BCDSE//Bf&#10;O9cK0vkiTeH3TrwCcv0DAAD//wMAUEsBAi0AFAAGAAgAAAAhANvh9svuAAAAhQEAABMAAAAAAAAA&#10;AAAAAAAAAAAAAFtDb250ZW50X1R5cGVzXS54bWxQSwECLQAUAAYACAAAACEAWvQsW78AAAAVAQAA&#10;CwAAAAAAAAAAAAAAAAAfAQAAX3JlbHMvLnJlbHNQSwECLQAUAAYACAAAACEATLHqkMYAAADeAAAA&#10;DwAAAAAAAAAAAAAAAAAHAgAAZHJzL2Rvd25yZXYueG1sUEsFBgAAAAADAAMAtwAAAPoCAAAAAA==&#10;" filled="f" stroked="f">
                  <v:textbox inset="0,0,0,0">
                    <w:txbxContent>
                      <w:p w14:paraId="144DA8A3" w14:textId="77777777" w:rsidR="00B32EF2" w:rsidRDefault="00000000">
                        <w:r>
                          <w:rPr>
                            <w:rFonts w:ascii="Arial" w:eastAsia="Arial" w:hAnsi="Arial" w:cs="Arial"/>
                            <w:sz w:val="18"/>
                          </w:rPr>
                          <w:t>Art. 100 -  Conciliazione in udienza</w:t>
                        </w:r>
                      </w:p>
                    </w:txbxContent>
                  </v:textbox>
                </v:rect>
                <v:rect id="Rectangle 23623" o:spid="_x0000_s7224" style="position:absolute;left:-7967;top:44222;width:440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8LxgAAAN4AAAAPAAAAZHJzL2Rvd25yZXYueG1sRI9Ba8JA&#10;FITvhf6H5RW81U0jiERXKYqYQy9aBY+P7DOJZt8u2dXE/npXEHocZuYbZrboTSNu1PrasoKvYQKC&#10;uLC65lLB/nf9OQHhA7LGxjIpuJOHxfz9bYaZth1v6bYLpYgQ9hkqqEJwmZS+qMigH1pHHL2TbQ2G&#10;KNtS6ha7CDeNTJNkLA3WHBcqdLSsqLjsrkbBccUuX3eyOP0t3c85nzSb6/6g1OCj/56CCNSH//Cr&#10;nWsF6WicjuB5J14BOX8AAAD//wMAUEsBAi0AFAAGAAgAAAAhANvh9svuAAAAhQEAABMAAAAAAAAA&#10;AAAAAAAAAAAAAFtDb250ZW50X1R5cGVzXS54bWxQSwECLQAUAAYACAAAACEAWvQsW78AAAAVAQAA&#10;CwAAAAAAAAAAAAAAAAAfAQAAX3JlbHMvLnJlbHNQSwECLQAUAAYACAAAACEAI/1PC8YAAADeAAAA&#10;DwAAAAAAAAAAAAAAAAAHAgAAZHJzL2Rvd25yZXYueG1sUEsFBgAAAAADAAMAtwAAAPoCAAAAAA==&#10;" filled="f" stroked="f">
                  <v:textbox inset="0,0,0,0">
                    <w:txbxContent>
                      <w:p w14:paraId="171A4ED9" w14:textId="77777777" w:rsidR="00B32EF2" w:rsidRDefault="00000000">
                        <w:r>
                          <w:rPr>
                            <w:rFonts w:ascii="Arial" w:eastAsia="Arial" w:hAnsi="Arial" w:cs="Arial"/>
                            <w:sz w:val="18"/>
                          </w:rPr>
                          <w:t>Art. 101 - Conciliazione proposta dalla corte di giustizia tributaria</w:t>
                        </w:r>
                      </w:p>
                    </w:txbxContent>
                  </v:textbox>
                </v:rect>
                <v:rect id="Rectangle 23624" o:spid="_x0000_s7225" style="position:absolute;left:-1826;top:42507;width:378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Nd/xwAAAN4AAAAPAAAAZHJzL2Rvd25yZXYueG1sRI9Pa8JA&#10;FMTvgt9heYI33TQWkegqxSLNoZf6Bzw+ss8kbfbtkl1N2k/fFQSPw8z8hlltetOIG7W+tqzgZZqA&#10;IC6srrlUcDzsJgsQPiBrbCyTgl/ysFkPByvMtO34i277UIoIYZ+hgioEl0npi4oM+ql1xNG72NZg&#10;iLItpW6xi3DTyDRJ5tJgzXGhQkfbioqf/dUoOL+zy3edLC5/W/f5nS+aj+vxpNR41L8tQQTqwzP8&#10;aOdaQTqbp69wvxOvgFz/AwAA//8DAFBLAQItABQABgAIAAAAIQDb4fbL7gAAAIUBAAATAAAAAAAA&#10;AAAAAAAAAAAAAABbQ29udGVudF9UeXBlc10ueG1sUEsBAi0AFAAGAAgAAAAhAFr0LFu/AAAAFQEA&#10;AAsAAAAAAAAAAAAAAAAAHwEAAF9yZWxzLy5yZWxzUEsBAi0AFAAGAAgAAAAhAKwU13/HAAAA3gAA&#10;AA8AAAAAAAAAAAAAAAAABwIAAGRycy9kb3ducmV2LnhtbFBLBQYAAAAAAwADALcAAAD7AgAAAAA=&#10;" filled="f" stroked="f">
                  <v:textbox inset="0,0,0,0">
                    <w:txbxContent>
                      <w:p w14:paraId="740A5EBD" w14:textId="77777777" w:rsidR="00B32EF2" w:rsidRDefault="00000000">
                        <w:r>
                          <w:rPr>
                            <w:rFonts w:ascii="Arial" w:eastAsia="Arial" w:hAnsi="Arial" w:cs="Arial"/>
                            <w:sz w:val="18"/>
                          </w:rPr>
                          <w:t>Art. 102 - Definizione e pagamento delle somme dovute</w:t>
                        </w:r>
                      </w:p>
                    </w:txbxContent>
                  </v:textbox>
                </v:rect>
                <v:rect id="Rectangle 23625" o:spid="_x0000_s7226" style="position:absolute;left:16507;top:40793;width:195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HLkxwAAAN4AAAAPAAAAZHJzL2Rvd25yZXYueG1sRI9Pa8JA&#10;FMTvgt9heYI33TRSkegqxSLNoZf6Bzw+ss8kbfbtkl1N2k/fFQSPw8z8hlltetOIG7W+tqzgZZqA&#10;IC6srrlUcDzsJgsQPiBrbCyTgl/ysFkPByvMtO34i277UIoIYZ+hgioEl0npi4oM+ql1xNG72NZg&#10;iLItpW6xi3DTyDRJ5tJgzXGhQkfbioqf/dUoOL+zy3edLC5/W/f5nS+aj+vxpNR41L8tQQTqwzP8&#10;aOdaQTqbp69wvxOvgFz/AwAA//8DAFBLAQItABQABgAIAAAAIQDb4fbL7gAAAIUBAAATAAAAAAAA&#10;AAAAAAAAAAAAAABbQ29udGVudF9UeXBlc10ueG1sUEsBAi0AFAAGAAgAAAAhAFr0LFu/AAAAFQEA&#10;AAsAAAAAAAAAAAAAAAAAHwEAAF9yZWxzLy5yZWxzUEsBAi0AFAAGAAgAAAAhAMNYcuTHAAAA3gAA&#10;AA8AAAAAAAAAAAAAAAAABwIAAGRycy9kb3ducmV2LnhtbFBLBQYAAAAAAwADALcAAAD7AgAAAAA=&#10;" filled="f" stroked="f">
                  <v:textbox inset="0,0,0,0">
                    <w:txbxContent>
                      <w:p w14:paraId="00A18B24" w14:textId="77777777" w:rsidR="00B32EF2" w:rsidRDefault="00000000">
                        <w:r>
                          <w:rPr>
                            <w:rFonts w:ascii="Arial" w:eastAsia="Arial" w:hAnsi="Arial" w:cs="Arial"/>
                            <w:b/>
                            <w:sz w:val="18"/>
                          </w:rPr>
                          <w:t>Capo III – Le impugnazioni</w:t>
                        </w:r>
                      </w:p>
                    </w:txbxContent>
                  </v:textbox>
                </v:rect>
                <v:rect id="Rectangle 23626" o:spid="_x0000_s7227" style="position:absolute;left:2595;top:40793;width:230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uyTxwAAAN4AAAAPAAAAZHJzL2Rvd25yZXYueG1sRI9Ba8JA&#10;FITvBf/D8oTe6sYUgkQ3QRRpDr3UWujxkX0m0ezbJbuatL++Wyj0OMzMN8ymnEwv7jT4zrKC5SIB&#10;QVxb3XGj4PR+eFqB8AFZY2+ZFHyRh7KYPWww13bkN7ofQyMihH2OCtoQXC6lr1sy6BfWEUfvbAeD&#10;IcqhkXrAMcJNL9MkyaTBjuNCi452LdXX480o+Nyzqw6jrM/fO/d6qVb9y+30odTjfNquQQSawn/4&#10;r11pBelzlmbweydeAVn8AAAA//8DAFBLAQItABQABgAIAAAAIQDb4fbL7gAAAIUBAAATAAAAAAAA&#10;AAAAAAAAAAAAAABbQ29udGVudF9UeXBlc10ueG1sUEsBAi0AFAAGAAgAAAAhAFr0LFu/AAAAFQEA&#10;AAsAAAAAAAAAAAAAAAAAHwEAAF9yZWxzLy5yZWxzUEsBAi0AFAAGAAgAAAAhADOK7JPHAAAA3gAA&#10;AA8AAAAAAAAAAAAAAAAABwIAAGRycy9kb3ducmV2LnhtbFBLBQYAAAAAAwADALcAAAD7AgAAAAA=&#10;" filled="f" stroked="f">
                  <v:textbox inset="0,0,0,0">
                    <w:txbxContent>
                      <w:p w14:paraId="164724F2" w14:textId="77777777" w:rsidR="00B32EF2" w:rsidRDefault="00000000">
                        <w:r>
                          <w:rPr>
                            <w:rFonts w:ascii="Arial" w:eastAsia="Arial" w:hAnsi="Arial" w:cs="Arial"/>
                            <w:b/>
                            <w:sz w:val="18"/>
                          </w:rPr>
                          <w:t xml:space="preserve">    </w:t>
                        </w:r>
                      </w:p>
                    </w:txbxContent>
                  </v:textbox>
                </v:rect>
                <v:rect id="Rectangle 23627" o:spid="_x0000_s7228" style="position:absolute;left:-1311;top:40793;width:53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kkIxwAAAN4AAAAPAAAAZHJzL2Rvd25yZXYueG1sRI9Pa8JA&#10;FMTvgt9heYI33TSClegqxSLNoRf/gcdH9pmkzb5dsqtJ++m7QsHjMDO/YVab3jTiTq2vLSt4mSYg&#10;iAuray4VnI67yQKED8gaG8uk4Ic8bNbDwQozbTve0/0QShEh7DNUUIXgMil9UZFBP7WOOHpX2xoM&#10;Ubal1C12EW4amSbJXBqsOS5U6GhbUfF9uBkFl3d2+a6TxfV36z6/8kXzcTudlRqP+rcliEB9eIb/&#10;27lWkM7m6Ss87sQrINd/AAAA//8DAFBLAQItABQABgAIAAAAIQDb4fbL7gAAAIUBAAATAAAAAAAA&#10;AAAAAAAAAAAAAABbQ29udGVudF9UeXBlc10ueG1sUEsBAi0AFAAGAAgAAAAhAFr0LFu/AAAAFQEA&#10;AAsAAAAAAAAAAAAAAAAAHwEAAF9yZWxzLy5yZWxzUEsBAi0AFAAGAAgAAAAhAFzGSQjHAAAA3gAA&#10;AA8AAAAAAAAAAAAAAAAABwIAAGRycy9kb3ducmV2LnhtbFBLBQYAAAAAAwADALcAAAD7AgAAAAA=&#10;" filled="f" stroked="f">
                  <v:textbox inset="0,0,0,0">
                    <w:txbxContent>
                      <w:p w14:paraId="20D3836F" w14:textId="77777777" w:rsidR="00B32EF2" w:rsidRDefault="00000000">
                        <w:r>
                          <w:rPr>
                            <w:rFonts w:ascii="Arial" w:eastAsia="Arial" w:hAnsi="Arial" w:cs="Arial"/>
                            <w:b/>
                            <w:sz w:val="18"/>
                          </w:rPr>
                          <w:t>Pag. 93</w:t>
                        </w:r>
                      </w:p>
                    </w:txbxContent>
                  </v:textbox>
                </v:rect>
                <v:rect id="Rectangle 23628" o:spid="_x0000_s7229" style="position:absolute;left:7110;top:39078;width:289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d16wwAAAN4AAAAPAAAAZHJzL2Rvd25yZXYueG1sRE9Ni8Iw&#10;EL0v+B/CCN7W1Aoi1SiiiD14WVfB49CMbbWZhCbaur9+c1jY4+N9L9e9acSLWl9bVjAZJyCIC6tr&#10;LhWcv/efcxA+IGtsLJOCN3lYrwYfS8y07fiLXqdQihjCPkMFVQguk9IXFRn0Y+uII3ezrcEQYVtK&#10;3WIXw00j0ySZSYM1x4YKHW0rKh6np1Fw3bHL950sbj9bd7zn8+bwPF+UGg37zQJEoD78i//cuVaQ&#10;Tmdp3BvvxCsgV78AAAD//wMAUEsBAi0AFAAGAAgAAAAhANvh9svuAAAAhQEAABMAAAAAAAAAAAAA&#10;AAAAAAAAAFtDb250ZW50X1R5cGVzXS54bWxQSwECLQAUAAYACAAAACEAWvQsW78AAAAVAQAACwAA&#10;AAAAAAAAAAAAAAAfAQAAX3JlbHMvLnJlbHNQSwECLQAUAAYACAAAACEALVndesMAAADeAAAADwAA&#10;AAAAAAAAAAAAAAAHAgAAZHJzL2Rvd25yZXYueG1sUEsFBgAAAAADAAMAtwAAAPcCAAAAAA==&#10;" filled="f" stroked="f">
                  <v:textbox inset="0,0,0,0">
                    <w:txbxContent>
                      <w:p w14:paraId="7A73C38E" w14:textId="77777777" w:rsidR="00B32EF2" w:rsidRDefault="00000000">
                        <w:r>
                          <w:rPr>
                            <w:rFonts w:ascii="Arial" w:eastAsia="Arial" w:hAnsi="Arial" w:cs="Arial"/>
                            <w:b/>
                            <w:sz w:val="18"/>
                          </w:rPr>
                          <w:t>Sezione I - Le impugnazioni in generale</w:t>
                        </w:r>
                      </w:p>
                    </w:txbxContent>
                  </v:textbox>
                </v:rect>
                <v:rect id="Rectangle 23629" o:spid="_x0000_s7230" style="position:absolute;left:6073;top:39078;width:900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XjhxwAAAN4AAAAPAAAAZHJzL2Rvd25yZXYueG1sRI9Ba8JA&#10;FITvBf/D8oTedNMUxKauUhQxBy9VCz0+ss8kmn27ZFcT/fVuQehxmJlvmNmiN424UutrywrexgkI&#10;4sLqmksFh/16NAXhA7LGxjIpuJGHxXzwMsNM246/6boLpYgQ9hkqqEJwmZS+qMigH1tHHL2jbQ2G&#10;KNtS6ha7CDeNTJNkIg3WHBcqdLSsqDjvLkbB74pdvu5kcbwv3faUT5vN5fCj1Ouw//oEEagP/+Fn&#10;O9cK0vdJ+gF/d+IVkPMHAAAA//8DAFBLAQItABQABgAIAAAAIQDb4fbL7gAAAIUBAAATAAAAAAAA&#10;AAAAAAAAAAAAAABbQ29udGVudF9UeXBlc10ueG1sUEsBAi0AFAAGAAgAAAAhAFr0LFu/AAAAFQEA&#10;AAsAAAAAAAAAAAAAAAAAHwEAAF9yZWxzLy5yZWxzUEsBAi0AFAAGAAgAAAAhAEIVeOHHAAAA3gAA&#10;AA8AAAAAAAAAAAAAAAAABwIAAGRycy9kb3ducmV2LnhtbFBLBQYAAAAAAwADALcAAAD7AgAAAAA=&#10;" filled="f" stroked="f">
                  <v:textbox inset="0,0,0,0">
                    <w:txbxContent>
                      <w:p w14:paraId="251E077A" w14:textId="77777777" w:rsidR="00B32EF2" w:rsidRDefault="00000000">
                        <w:r>
                          <w:rPr>
                            <w:rFonts w:ascii="Arial" w:eastAsia="Arial" w:hAnsi="Arial" w:cs="Arial"/>
                            <w:b/>
                            <w:sz w:val="18"/>
                          </w:rPr>
                          <w:t xml:space="preserve">   </w:t>
                        </w:r>
                      </w:p>
                    </w:txbxContent>
                  </v:textbox>
                </v:rect>
                <v:rect id="Rectangle 23630" o:spid="_x0000_s7231" style="position:absolute;left:-1311;top:39078;width:53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kehxgAAAN4AAAAPAAAAZHJzL2Rvd25yZXYueG1sRI/LasMw&#10;EEX3gf6DmEJ2idwYTHCjhJIS4kU3TV3ocrAmtltrJCz50Xx9tCh0ebkvzu4wm06M1PvWsoKndQKC&#10;uLK65VpB+XFabUH4gKyxs0wKfsnDYf+w2GGu7cTvNF5CLeII+xwVNCG4XEpfNWTQr60jjt7V9gZD&#10;lH0tdY9THDed3CRJJg22HB8adHRsqPq5DEbB1yu74jTJ6no7urfvYtudh/JTqeXj/PIMItAc/sN/&#10;7UIr2KRZGgEiTkQBub8DAAD//wMAUEsBAi0AFAAGAAgAAAAhANvh9svuAAAAhQEAABMAAAAAAAAA&#10;AAAAAAAAAAAAAFtDb250ZW50X1R5cGVzXS54bWxQSwECLQAUAAYACAAAACEAWvQsW78AAAAVAQAA&#10;CwAAAAAAAAAAAAAAAAAfAQAAX3JlbHMvLnJlbHNQSwECLQAUAAYACAAAACEAVvZHocYAAADeAAAA&#10;DwAAAAAAAAAAAAAAAAAHAgAAZHJzL2Rvd25yZXYueG1sUEsFBgAAAAADAAMAtwAAAPoCAAAAAA==&#10;" filled="f" stroked="f">
                  <v:textbox inset="0,0,0,0">
                    <w:txbxContent>
                      <w:p w14:paraId="1BD0FF38" w14:textId="77777777" w:rsidR="00B32EF2" w:rsidRDefault="00000000">
                        <w:r>
                          <w:rPr>
                            <w:rFonts w:ascii="Arial" w:eastAsia="Arial" w:hAnsi="Arial" w:cs="Arial"/>
                            <w:b/>
                            <w:sz w:val="18"/>
                          </w:rPr>
                          <w:t>Pag. 93</w:t>
                        </w:r>
                      </w:p>
                    </w:txbxContent>
                  </v:textbox>
                </v:rect>
                <v:rect id="Rectangle 23631" o:spid="_x0000_s7232" style="position:absolute;left:7928;top:37364;width:281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uI6xgAAAN4AAAAPAAAAZHJzL2Rvd25yZXYueG1sRI9Bi8Iw&#10;FITvC/6H8ARva6qCSDWKKGIPXlZd2OOjebbV5iU00VZ//WZhweMwM98wi1VnavGgxleWFYyGCQji&#10;3OqKCwXn0+5zBsIHZI21ZVLwJA+rZe9jgam2LX/R4xgKESHsU1RQhuBSKX1ekkE/tI44ehfbGAxR&#10;NoXUDbYRbmo5TpKpNFhxXCjR0aak/Ha8GwU/W3bZrpX55bVxh2s2q/f387dSg363noMI1IV3+L+d&#10;aQXjyXQygr878QrI5S8AAAD//wMAUEsBAi0AFAAGAAgAAAAhANvh9svuAAAAhQEAABMAAAAAAAAA&#10;AAAAAAAAAAAAAFtDb250ZW50X1R5cGVzXS54bWxQSwECLQAUAAYACAAAACEAWvQsW78AAAAVAQAA&#10;CwAAAAAAAAAAAAAAAAAfAQAAX3JlbHMvLnJlbHNQSwECLQAUAAYACAAAACEAObriOsYAAADeAAAA&#10;DwAAAAAAAAAAAAAAAAAHAgAAZHJzL2Rvd25yZXYueG1sUEsFBgAAAAADAAMAtwAAAPoCAAAAAA==&#10;" filled="f" stroked="f">
                  <v:textbox inset="0,0,0,0">
                    <w:txbxContent>
                      <w:p w14:paraId="7786BCDD" w14:textId="77777777" w:rsidR="00B32EF2" w:rsidRDefault="00000000">
                        <w:r>
                          <w:rPr>
                            <w:rFonts w:ascii="Arial" w:eastAsia="Arial" w:hAnsi="Arial" w:cs="Arial"/>
                            <w:sz w:val="18"/>
                          </w:rPr>
                          <w:t>Art. 103 - Disposizioni generali applicabili</w:t>
                        </w:r>
                      </w:p>
                    </w:txbxContent>
                  </v:textbox>
                </v:rect>
                <v:rect id="Rectangle 23632" o:spid="_x0000_s7233" style="position:absolute;left:13194;top:35649;width:228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HxNxgAAAN4AAAAPAAAAZHJzL2Rvd25yZXYueG1sRI9Ba8JA&#10;FITvhf6H5RW81U0jiERXKYqYQy9aBY+P7DOJZt8u2dXE/npXEHocZuYbZrboTSNu1PrasoKvYQKC&#10;uLC65lLB/nf9OQHhA7LGxjIpuJOHxfz9bYaZth1v6bYLpYgQ9hkqqEJwmZS+qMigH1pHHL2TbQ2G&#10;KNtS6ha7CDeNTJNkLA3WHBcqdLSsqLjsrkbBccUuX3eyOP0t3c85nzSb6/6g1OCj/56CCNSH//Cr&#10;nWsF6Wg8SuF5J14BOX8AAAD//wMAUEsBAi0AFAAGAAgAAAAhANvh9svuAAAAhQEAABMAAAAAAAAA&#10;AAAAAAAAAAAAAFtDb250ZW50X1R5cGVzXS54bWxQSwECLQAUAAYACAAAACEAWvQsW78AAAAVAQAA&#10;CwAAAAAAAAAAAAAAAAAfAQAAX3JlbHMvLnJlbHNQSwECLQAUAAYACAAAACEAyWh8TcYAAADeAAAA&#10;DwAAAAAAAAAAAAAAAAAHAgAAZHJzL2Rvd25yZXYueG1sUEsFBgAAAAADAAMAtwAAAPoCAAAAAA==&#10;" filled="f" stroked="f">
                  <v:textbox inset="0,0,0,0">
                    <w:txbxContent>
                      <w:p w14:paraId="676BC06E" w14:textId="77777777" w:rsidR="00B32EF2" w:rsidRDefault="00000000">
                        <w:r>
                          <w:rPr>
                            <w:rFonts w:ascii="Arial" w:eastAsia="Arial" w:hAnsi="Arial" w:cs="Arial"/>
                            <w:sz w:val="18"/>
                          </w:rPr>
                          <w:t>Art. 104 - I mezzi d’impugnazione</w:t>
                        </w:r>
                      </w:p>
                    </w:txbxContent>
                  </v:textbox>
                </v:rect>
                <v:rect id="Rectangle 23633" o:spid="_x0000_s7234" style="position:absolute;left:13066;top:33935;width:229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NnWxgAAAN4AAAAPAAAAZHJzL2Rvd25yZXYueG1sRI9Ba8JA&#10;FITvBf/D8oTe6qYGRKKrFEXMoRetgsdH9plEs2+X7GrS/npXEHocZuYbZr7sTSPu1PrasoLPUQKC&#10;uLC65lLB4WfzMQXhA7LGxjIp+CUPy8XgbY6Zth3v6L4PpYgQ9hkqqEJwmZS+qMigH1lHHL2zbQ2G&#10;KNtS6ha7CDeNHCfJRBqsOS5U6GhVUXHd34yC05pdvulkcf5bue9LPm22t8NRqfdh/zUDEagP/+FX&#10;O9cKxukkTeF5J14BuXgAAAD//wMAUEsBAi0AFAAGAAgAAAAhANvh9svuAAAAhQEAABMAAAAAAAAA&#10;AAAAAAAAAAAAAFtDb250ZW50X1R5cGVzXS54bWxQSwECLQAUAAYACAAAACEAWvQsW78AAAAVAQAA&#10;CwAAAAAAAAAAAAAAAAAfAQAAX3JlbHMvLnJlbHNQSwECLQAUAAYACAAAACEApiTZ1sYAAADeAAAA&#10;DwAAAAAAAAAAAAAAAAAHAgAAZHJzL2Rvd25yZXYueG1sUEsFBgAAAAADAAMAtwAAAPoCAAAAAA==&#10;" filled="f" stroked="f">
                  <v:textbox inset="0,0,0,0">
                    <w:txbxContent>
                      <w:p w14:paraId="537720DB" w14:textId="77777777" w:rsidR="00B32EF2" w:rsidRDefault="00000000">
                        <w:r>
                          <w:rPr>
                            <w:rFonts w:ascii="Arial" w:eastAsia="Arial" w:hAnsi="Arial" w:cs="Arial"/>
                            <w:sz w:val="18"/>
                          </w:rPr>
                          <w:t>Art. 105 - Termini d’impugnazione</w:t>
                        </w:r>
                      </w:p>
                    </w:txbxContent>
                  </v:textbox>
                </v:rect>
                <v:rect id="Rectangle 23634" o:spid="_x0000_s7235" style="position:absolute;left:-2994;top:32220;width:3905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UGixwAAAN4AAAAPAAAAZHJzL2Rvd25yZXYueG1sRI9Pa8JA&#10;FMTvQr/D8gRvuvEPIqmrFIuYg5dqCj0+ss8kbfbtkl1N9NN3CwWPw8z8hllve9OIG7W+tqxgOklA&#10;EBdW11wqyM/78QqED8gaG8uk4E4etpuXwRpTbTv+oNsplCJC2KeooArBpVL6oiKDfmIdcfQutjUY&#10;omxLqVvsItw0cpYkS2mw5rhQoaNdRcXP6WoUfL2zy/adLC6PnTt+Z6vmcM0/lRoN+7dXEIH68Az/&#10;tzOtYDZfzhfwdydeAbn5BQAA//8DAFBLAQItABQABgAIAAAAIQDb4fbL7gAAAIUBAAATAAAAAAAA&#10;AAAAAAAAAAAAAABbQ29udGVudF9UeXBlc10ueG1sUEsBAi0AFAAGAAgAAAAhAFr0LFu/AAAAFQEA&#10;AAsAAAAAAAAAAAAAAAAAHwEAAF9yZWxzLy5yZWxzUEsBAi0AFAAGAAgAAAAhACnNQaLHAAAA3gAA&#10;AA8AAAAAAAAAAAAAAAAABwIAAGRycy9kb3ducmV2LnhtbFBLBQYAAAAAAwADALcAAAD7AgAAAAA=&#10;" filled="f" stroked="f">
                  <v:textbox inset="0,0,0,0">
                    <w:txbxContent>
                      <w:p w14:paraId="1C7142E9" w14:textId="77777777" w:rsidR="00B32EF2" w:rsidRDefault="00000000">
                        <w:r>
                          <w:rPr>
                            <w:rFonts w:ascii="Arial" w:eastAsia="Arial" w:hAnsi="Arial" w:cs="Arial"/>
                            <w:b/>
                            <w:sz w:val="18"/>
                          </w:rPr>
                          <w:t xml:space="preserve">Sezione II – Il giudizio di appello davanti alla corte di </w:t>
                        </w:r>
                      </w:p>
                    </w:txbxContent>
                  </v:textbox>
                </v:rect>
                <v:rect id="Rectangle 23635" o:spid="_x0000_s7236" style="position:absolute;left:-1333;top:32220;width:53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eQ5xwAAAN4AAAAPAAAAZHJzL2Rvd25yZXYueG1sRI9Ba8JA&#10;FITvQv/D8gRvulFRJHWVYhFz8FJNocdH9pmkzb5dsquJ/vpuoeBxmJlvmPW2N424UetrywqmkwQE&#10;cWF1zaWC/Lwfr0D4gKyxsUwK7uRhu3kZrDHVtuMPup1CKSKEfYoKqhBcKqUvKjLoJ9YRR+9iW4Mh&#10;yraUusUuwk0jZ0mylAZrjgsVOtpVVPycrkbB1zu7bN/J4vLYueN3tmoO1/xTqdGwf3sFEagPz/B/&#10;O9MKZvPlfAF/d+IVkJtfAAAA//8DAFBLAQItABQABgAIAAAAIQDb4fbL7gAAAIUBAAATAAAAAAAA&#10;AAAAAAAAAAAAAABbQ29udGVudF9UeXBlc10ueG1sUEsBAi0AFAAGAAgAAAAhAFr0LFu/AAAAFQEA&#10;AAsAAAAAAAAAAAAAAAAAHwEAAF9yZWxzLy5yZWxzUEsBAi0AFAAGAAgAAAAhAEaB5DnHAAAA3gAA&#10;AA8AAAAAAAAAAAAAAAAABwIAAGRycy9kb3ducmV2LnhtbFBLBQYAAAAAAwADALcAAAD7AgAAAAA=&#10;" filled="f" stroked="f">
                  <v:textbox inset="0,0,0,0">
                    <w:txbxContent>
                      <w:p w14:paraId="41022632" w14:textId="77777777" w:rsidR="00B32EF2" w:rsidRDefault="00000000">
                        <w:r>
                          <w:rPr>
                            <w:rFonts w:ascii="Arial" w:eastAsia="Arial" w:hAnsi="Arial" w:cs="Arial"/>
                            <w:b/>
                            <w:sz w:val="18"/>
                          </w:rPr>
                          <w:t>Pag. 94</w:t>
                        </w:r>
                      </w:p>
                    </w:txbxContent>
                  </v:textbox>
                </v:rect>
                <v:rect id="Rectangle 23636" o:spid="_x0000_s7237" style="position:absolute;left:9241;top:30506;width:268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3pOxgAAAN4AAAAPAAAAZHJzL2Rvd25yZXYueG1sRI9Ba8JA&#10;FITvQv/D8gredFOFINFViiLm0EutgsdH9plEs2+X7Gpif31XEHocZuYbZrHqTSPu1PrasoKPcQKC&#10;uLC65lLB4Wc7moHwAVljY5kUPMjDavk2WGCmbcffdN+HUkQI+wwVVCG4TEpfVGTQj60jjt7ZtgZD&#10;lG0pdYtdhJtGTpIklQZrjgsVOlpXVFz3N6PgtGGXbztZnH/X7uuSz5rd7XBUavjef85BBOrDf/jV&#10;zrWCyTSdpvC8E6+AXP4BAAD//wMAUEsBAi0AFAAGAAgAAAAhANvh9svuAAAAhQEAABMAAAAAAAAA&#10;AAAAAAAAAAAAAFtDb250ZW50X1R5cGVzXS54bWxQSwECLQAUAAYACAAAACEAWvQsW78AAAAVAQAA&#10;CwAAAAAAAAAAAAAAAAAfAQAAX3JlbHMvLnJlbHNQSwECLQAUAAYACAAAACEAtlN6TsYAAADeAAAA&#10;DwAAAAAAAAAAAAAAAAAHAgAAZHJzL2Rvd25yZXYueG1sUEsFBgAAAAADAAMAtwAAAPoCAAAAAA==&#10;" filled="f" stroked="f">
                  <v:textbox inset="0,0,0,0">
                    <w:txbxContent>
                      <w:p w14:paraId="721C1C13" w14:textId="77777777" w:rsidR="00B32EF2" w:rsidRDefault="00000000">
                        <w:r>
                          <w:rPr>
                            <w:rFonts w:ascii="Arial" w:eastAsia="Arial" w:hAnsi="Arial" w:cs="Arial"/>
                            <w:b/>
                            <w:sz w:val="18"/>
                          </w:rPr>
                          <w:t>giustizia tributaria di secondo grado</w:t>
                        </w:r>
                      </w:p>
                    </w:txbxContent>
                  </v:textbox>
                </v:rect>
                <v:rect id="Rectangle 23637" o:spid="_x0000_s7238" style="position:absolute;left:-6507;top:28791;width:425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9/VxwAAAN4AAAAPAAAAZHJzL2Rvd25yZXYueG1sRI9Ba8JA&#10;FITvQv/D8gRvulFBJXWVYhFz8FKbQo+P7DNJm327ZFcT/fVuQehxmJlvmPW2N424UutrywqmkwQE&#10;cWF1zaWC/HM/XoHwAVljY5kU3MjDdvMyWGOqbccfdD2FUkQI+xQVVCG4VEpfVGTQT6wjjt7ZtgZD&#10;lG0pdYtdhJtGzpJkIQ3WHBcqdLSrqPg9XYyC73d22b6Txfm+c8efbNUcLvmXUqNh//YKIlAf/sPP&#10;dqYVzOaL+RL+7sQrIDcPAAAA//8DAFBLAQItABQABgAIAAAAIQDb4fbL7gAAAIUBAAATAAAAAAAA&#10;AAAAAAAAAAAAAABbQ29udGVudF9UeXBlc10ueG1sUEsBAi0AFAAGAAgAAAAhAFr0LFu/AAAAFQEA&#10;AAsAAAAAAAAAAAAAAAAAHwEAAF9yZWxzLy5yZWxzUEsBAi0AFAAGAAgAAAAhANkf39XHAAAA3gAA&#10;AA8AAAAAAAAAAAAAAAAABwIAAGRycy9kb3ducmV2LnhtbFBLBQYAAAAAAwADALcAAAD7AgAAAAA=&#10;" filled="f" stroked="f">
                  <v:textbox inset="0,0,0,0">
                    <w:txbxContent>
                      <w:p w14:paraId="0525E163" w14:textId="77777777" w:rsidR="00B32EF2" w:rsidRDefault="00000000">
                        <w:r>
                          <w:rPr>
                            <w:rFonts w:ascii="Arial" w:eastAsia="Arial" w:hAnsi="Arial" w:cs="Arial"/>
                            <w:sz w:val="18"/>
                          </w:rPr>
                          <w:t>Art. 106 - Giudice competente e provvedimenti sull’esecuzione</w:t>
                        </w:r>
                      </w:p>
                    </w:txbxContent>
                  </v:textbox>
                </v:rect>
                <v:rect id="Rectangle 23638" o:spid="_x0000_s7239" style="position:absolute;left:21537;top:27077;width:1453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EunxAAAAN4AAAAPAAAAZHJzL2Rvd25yZXYueG1sRE+7asMw&#10;FN0D/QdxC9kSuTGY4EYJJSXEQ5emLnS8WDe2W+tKWPKj+fpoKHQ8nPfuMJtOjNT71rKCp3UCgriy&#10;uuVaQflxWm1B+ICssbNMCn7Jw2H/sNhhru3E7zReQi1iCPscFTQhuFxKXzVk0K+tI47c1fYGQ4R9&#10;LXWPUww3ndwkSSYNthwbGnR0bKj6uQxGwdcru+I0yep6O7q372LbnYfyU6nl4/zyDCLQHP7Ff+5C&#10;K9ikWRr3xjvxCsj9HQAA//8DAFBLAQItABQABgAIAAAAIQDb4fbL7gAAAIUBAAATAAAAAAAAAAAA&#10;AAAAAAAAAABbQ29udGVudF9UeXBlc10ueG1sUEsBAi0AFAAGAAgAAAAhAFr0LFu/AAAAFQEAAAsA&#10;AAAAAAAAAAAAAAAAHwEAAF9yZWxzLy5yZWxzUEsBAi0AFAAGAAgAAAAhAKiAS6fEAAAA3gAAAA8A&#10;AAAAAAAAAAAAAAAABwIAAGRycy9kb3ducmV2LnhtbFBLBQYAAAAAAwADALcAAAD4AgAAAAA=&#10;" filled="f" stroked="f">
                  <v:textbox inset="0,0,0,0">
                    <w:txbxContent>
                      <w:p w14:paraId="6AE4D381" w14:textId="77777777" w:rsidR="00B32EF2" w:rsidRDefault="00000000">
                        <w:r>
                          <w:rPr>
                            <w:rFonts w:ascii="Arial" w:eastAsia="Arial" w:hAnsi="Arial" w:cs="Arial"/>
                            <w:sz w:val="18"/>
                          </w:rPr>
                          <w:t>provvisoria in appello</w:t>
                        </w:r>
                      </w:p>
                    </w:txbxContent>
                  </v:textbox>
                </v:rect>
                <v:rect id="Rectangle 23639" o:spid="_x0000_s7240" style="position:absolute;left:16811;top:25362;width:192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O48xgAAAN4AAAAPAAAAZHJzL2Rvd25yZXYueG1sRI9Ba8JA&#10;FITvBf/D8oTedKOC2Ogqokhz6KVWweMj+0yi2bdLdjXRX98tCD0OM/MNs1h1phZ3anxlWcFomIAg&#10;zq2uuFBw+NkNZiB8QNZYWyYFD/KwWvbeFphq2/I33fehEBHCPkUFZQguldLnJRn0Q+uIo3e2jcEQ&#10;ZVNI3WAb4aaW4ySZSoMVx4USHW1Kyq/7m1Fw2rLLdq3Mz8+N+7pks/rzdjgq9d7v1nMQgbrwH361&#10;M61gPJlOPuDvTrwCcvkLAAD//wMAUEsBAi0AFAAGAAgAAAAhANvh9svuAAAAhQEAABMAAAAAAAAA&#10;AAAAAAAAAAAAAFtDb250ZW50X1R5cGVzXS54bWxQSwECLQAUAAYACAAAACEAWvQsW78AAAAVAQAA&#10;CwAAAAAAAAAAAAAAAAAfAQAAX3JlbHMvLnJlbHNQSwECLQAUAAYACAAAACEAx8zuPMYAAADeAAAA&#10;DwAAAAAAAAAAAAAAAAAHAgAAZHJzL2Rvd25yZXYueG1sUEsFBgAAAAADAAMAtwAAAPoCAAAAAA==&#10;" filled="f" stroked="f">
                  <v:textbox inset="0,0,0,0">
                    <w:txbxContent>
                      <w:p w14:paraId="0CA64C4F" w14:textId="77777777" w:rsidR="00B32EF2" w:rsidRDefault="00000000">
                        <w:r>
                          <w:rPr>
                            <w:rFonts w:ascii="Arial" w:eastAsia="Arial" w:hAnsi="Arial" w:cs="Arial"/>
                            <w:sz w:val="18"/>
                          </w:rPr>
                          <w:t>Art. 107 - Forma dell’appello</w:t>
                        </w:r>
                      </w:p>
                    </w:txbxContent>
                  </v:textbox>
                </v:rect>
                <v:rect id="Rectangle 23640" o:spid="_x0000_s7241" style="position:absolute;left:-5769;top:23648;width:418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DTcxgAAAN4AAAAPAAAAZHJzL2Rvd25yZXYueG1sRI/LasMw&#10;EEX3hf6DmEJ3tdw0hOBaCSUl1Itsmgd0OVgT24k1Epb8SL6+WhS6vNwXJ19PphUDdb6xrOA1SUEQ&#10;l1Y3XCk4HrYvSxA+IGtsLZOCG3lYrx4fcsy0Hfmbhn2oRBxhn6GCOgSXSenLmgz6xDri6J1tZzBE&#10;2VVSdzjGcdPKWZoupMGG40ONjjY1ldd9bxT8fLIrtqMsz/eN212KZfvVH09KPT9NH+8gAk3hP/zX&#10;LrSC2dtiHgEiTkQBufoFAAD//wMAUEsBAi0AFAAGAAgAAAAhANvh9svuAAAAhQEAABMAAAAAAAAA&#10;AAAAAAAAAAAAAFtDb250ZW50X1R5cGVzXS54bWxQSwECLQAUAAYACAAAACEAWvQsW78AAAAVAQAA&#10;CwAAAAAAAAAAAAAAAAAfAQAAX3JlbHMvLnJlbHNQSwECLQAUAAYACAAAACEADvA03MYAAADeAAAA&#10;DwAAAAAAAAAAAAAAAAAHAgAAZHJzL2Rvd25yZXYueG1sUEsFBgAAAAADAAMAtwAAAPoCAAAAAA==&#10;" filled="f" stroked="f">
                  <v:textbox inset="0,0,0,0">
                    <w:txbxContent>
                      <w:p w14:paraId="00527C15" w14:textId="77777777" w:rsidR="00B32EF2" w:rsidRDefault="00000000">
                        <w:r>
                          <w:rPr>
                            <w:rFonts w:ascii="Arial" w:eastAsia="Arial" w:hAnsi="Arial" w:cs="Arial"/>
                            <w:sz w:val="18"/>
                          </w:rPr>
                          <w:t>Art. 108 - Controdeduzioni dell’appellato e appello incidentale</w:t>
                        </w:r>
                      </w:p>
                    </w:txbxContent>
                  </v:textbox>
                </v:rect>
                <v:rect id="Rectangle 23641" o:spid="_x0000_s7242" style="position:absolute;left:10544;top:21933;width:255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JFHxgAAAN4AAAAPAAAAZHJzL2Rvd25yZXYueG1sRI9Ba8JA&#10;FITvgv9heUJvutGKSHQVUcQcvGgt9PjIPpNo9u2SXU3aX+8WCj0OM/MNs1x3phZPanxlWcF4lIAg&#10;zq2uuFBw+dgP5yB8QNZYWyYF3+Rhver3lphq2/KJnudQiAhhn6KCMgSXSunzkgz6kXXE0bvaxmCI&#10;simkbrCNcFPLSZLMpMGK40KJjrYl5ffzwyj42rHL9q3Mrz9bd7xl8/rwuHwq9TboNgsQgbrwH/5r&#10;Z1rB5H02HcPvnXgF5OoFAAD//wMAUEsBAi0AFAAGAAgAAAAhANvh9svuAAAAhQEAABMAAAAAAAAA&#10;AAAAAAAAAAAAAFtDb250ZW50X1R5cGVzXS54bWxQSwECLQAUAAYACAAAACEAWvQsW78AAAAVAQAA&#10;CwAAAAAAAAAAAAAAAAAfAQAAX3JlbHMvLnJlbHNQSwECLQAUAAYACAAAACEAYbyRR8YAAADeAAAA&#10;DwAAAAAAAAAAAAAAAAAHAgAAZHJzL2Rvd25yZXYueG1sUEsFBgAAAAADAAMAtwAAAPoCAAAAAA==&#10;" filled="f" stroked="f">
                  <v:textbox inset="0,0,0,0">
                    <w:txbxContent>
                      <w:p w14:paraId="7682D585" w14:textId="77777777" w:rsidR="00B32EF2" w:rsidRDefault="00000000">
                        <w:r>
                          <w:rPr>
                            <w:rFonts w:ascii="Arial" w:eastAsia="Arial" w:hAnsi="Arial" w:cs="Arial"/>
                            <w:sz w:val="18"/>
                          </w:rPr>
                          <w:t>Art. 109 - Provvedimenti presidenziali</w:t>
                        </w:r>
                      </w:p>
                    </w:txbxContent>
                  </v:textbox>
                </v:rect>
                <v:rect id="Rectangle 23642" o:spid="_x0000_s7243" style="position:absolute;left:3608;top:20219;width:3244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g8wxwAAAN4AAAAPAAAAZHJzL2Rvd25yZXYueG1sRI9Pa8JA&#10;FMTvgt9heYI33TQWkegqxSLNoZf6Bzw+ss8kbfbtkl1N2k/fFQSPw8z8hlltetOIG7W+tqzgZZqA&#10;IC6srrlUcDzsJgsQPiBrbCyTgl/ysFkPByvMtO34i277UIoIYZ+hgioEl0npi4oM+ql1xNG72NZg&#10;iLItpW6xi3DTyDRJ5tJgzXGhQkfbioqf/dUoOL+zy3edLC5/W/f5nS+aj+vxpNR41L8tQQTqwzP8&#10;aOdaQTqbv6ZwvxOvgFz/AwAA//8DAFBLAQItABQABgAIAAAAIQDb4fbL7gAAAIUBAAATAAAAAAAA&#10;AAAAAAAAAAAAAABbQ29udGVudF9UeXBlc10ueG1sUEsBAi0AFAAGAAgAAAAhAFr0LFu/AAAAFQEA&#10;AAsAAAAAAAAAAAAAAAAAHwEAAF9yZWxzLy5yZWxzUEsBAi0AFAAGAAgAAAAhAJFuDzDHAAAA3gAA&#10;AA8AAAAAAAAAAAAAAAAABwIAAGRycy9kb3ducmV2LnhtbFBLBQYAAAAAAwADALcAAAD7AgAAAAA=&#10;" filled="f" stroked="f">
                  <v:textbox inset="0,0,0,0">
                    <w:txbxContent>
                      <w:p w14:paraId="66490B60" w14:textId="77777777" w:rsidR="00B32EF2" w:rsidRDefault="00000000">
                        <w:r>
                          <w:rPr>
                            <w:rFonts w:ascii="Arial" w:eastAsia="Arial" w:hAnsi="Arial" w:cs="Arial"/>
                            <w:sz w:val="18"/>
                          </w:rPr>
                          <w:t>Art. 110 - Questioni ed eccezioni non riproposte</w:t>
                        </w:r>
                      </w:p>
                    </w:txbxContent>
                  </v:textbox>
                </v:rect>
                <v:rect id="Rectangle 23643" o:spid="_x0000_s7244" style="position:absolute;left:9280;top:18504;width:267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qrxwAAAN4AAAAPAAAAZHJzL2Rvd25yZXYueG1sRI9Pa8JA&#10;FMTvQr/D8gRvuvEPIqmrFIuYg5dqCj0+ss8kbfbtkl1N9NN3CwWPw8z8hllve9OIG7W+tqxgOklA&#10;EBdW11wqyM/78QqED8gaG8uk4E4etpuXwRpTbTv+oNsplCJC2KeooArBpVL6oiKDfmIdcfQutjUY&#10;omxLqVvsItw0cpYkS2mw5rhQoaNdRcXP6WoUfL2zy/adLC6PnTt+Z6vmcM0/lRoN+7dXEIH68Az/&#10;tzOtYDZfLubwdydeAbn5BQAA//8DAFBLAQItABQABgAIAAAAIQDb4fbL7gAAAIUBAAATAAAAAAAA&#10;AAAAAAAAAAAAAABbQ29udGVudF9UeXBlc10ueG1sUEsBAi0AFAAGAAgAAAAhAFr0LFu/AAAAFQEA&#10;AAsAAAAAAAAAAAAAAAAAHwEAAF9yZWxzLy5yZWxzUEsBAi0AFAAGAAgAAAAhAP4iqqvHAAAA3gAA&#10;AA8AAAAAAAAAAAAAAAAABwIAAGRycy9kb3ducmV2LnhtbFBLBQYAAAAAAwADALcAAAD7AgAAAAA=&#10;" filled="f" stroked="f">
                  <v:textbox inset="0,0,0,0">
                    <w:txbxContent>
                      <w:p w14:paraId="728734F7" w14:textId="77777777" w:rsidR="00B32EF2" w:rsidRDefault="00000000">
                        <w:r>
                          <w:rPr>
                            <w:rFonts w:ascii="Arial" w:eastAsia="Arial" w:hAnsi="Arial" w:cs="Arial"/>
                            <w:sz w:val="18"/>
                          </w:rPr>
                          <w:t>Art. 111 - Domande ed eccezioni nuove</w:t>
                        </w:r>
                      </w:p>
                    </w:txbxContent>
                  </v:textbox>
                </v:rect>
                <v:rect id="Rectangle 23644" o:spid="_x0000_s7245" style="position:absolute;left:13815;top:16790;width:222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zLfxgAAAN4AAAAPAAAAZHJzL2Rvd25yZXYueG1sRI9Ba8JA&#10;FITvBf/D8gre6qYqItFViiLm4EWr4PGRfSax2bdLdjXRX+8WCj0OM/MNM192phZ3anxlWcHnIAFB&#10;nFtdcaHg+L35mILwAVljbZkUPMjDctF7m2Oqbct7uh9CISKEfYoKyhBcKqXPSzLoB9YRR+9iG4Mh&#10;yqaQusE2wk0th0kykQYrjgslOlqVlP8cbkbBec0u27QyvzxXbnfNpvX2djwp1X/vvmYgAnXhP/zX&#10;zrSC4WgyHsPvnXgF5OIFAAD//wMAUEsBAi0AFAAGAAgAAAAhANvh9svuAAAAhQEAABMAAAAAAAAA&#10;AAAAAAAAAAAAAFtDb250ZW50X1R5cGVzXS54bWxQSwECLQAUAAYACAAAACEAWvQsW78AAAAVAQAA&#10;CwAAAAAAAAAAAAAAAAAfAQAAX3JlbHMvLnJlbHNQSwECLQAUAAYACAAAACEAccsy38YAAADeAAAA&#10;DwAAAAAAAAAAAAAAAAAHAgAAZHJzL2Rvd25yZXYueG1sUEsFBgAAAAADAAMAtwAAAPoCAAAAAA==&#10;" filled="f" stroked="f">
                  <v:textbox inset="0,0,0,0">
                    <w:txbxContent>
                      <w:p w14:paraId="71C6F417" w14:textId="77777777" w:rsidR="00B32EF2" w:rsidRDefault="00000000">
                        <w:r>
                          <w:rPr>
                            <w:rFonts w:ascii="Arial" w:eastAsia="Arial" w:hAnsi="Arial" w:cs="Arial"/>
                            <w:sz w:val="18"/>
                          </w:rPr>
                          <w:t>Art. 112 - Nuove prove in appello</w:t>
                        </w:r>
                      </w:p>
                    </w:txbxContent>
                  </v:textbox>
                </v:rect>
                <v:rect id="Rectangle 23645" o:spid="_x0000_s7246" style="position:absolute;left:-9667;top:15075;width:457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5dExwAAAN4AAAAPAAAAZHJzL2Rvd25yZXYueG1sRI9Pa8JA&#10;FMTvgt9heUJvuqlVkdRVikXMoRf/FHp8ZJ9J2uzbJbua6KfvCoLHYWZ+wyxWnanFhRpfWVbwOkpA&#10;EOdWV1woOB42wzkIH5A11pZJwZU8rJb93gJTbVve0WUfChEh7FNUUIbgUil9XpJBP7KOOHon2xgM&#10;UTaF1A22EW5qOU6SmTRYcVwo0dG6pPxvfzYKfj7ZZZtW5qfb2n39ZvN6ez5+K/Uy6D7eQQTqwjP8&#10;aGdawfhtNpnC/U68AnL5DwAA//8DAFBLAQItABQABgAIAAAAIQDb4fbL7gAAAIUBAAATAAAAAAAA&#10;AAAAAAAAAAAAAABbQ29udGVudF9UeXBlc10ueG1sUEsBAi0AFAAGAAgAAAAhAFr0LFu/AAAAFQEA&#10;AAsAAAAAAAAAAAAAAAAAHwEAAF9yZWxzLy5yZWxzUEsBAi0AFAAGAAgAAAAhAB6Hl0THAAAA3gAA&#10;AA8AAAAAAAAAAAAAAAAABwIAAGRycy9kb3ducmV2LnhtbFBLBQYAAAAAAwADALcAAAD7AgAAAAA=&#10;" filled="f" stroked="f">
                  <v:textbox inset="0,0,0,0">
                    <w:txbxContent>
                      <w:p w14:paraId="21508114" w14:textId="77777777" w:rsidR="00B32EF2" w:rsidRDefault="00000000">
                        <w:r>
                          <w:rPr>
                            <w:rFonts w:ascii="Arial" w:eastAsia="Arial" w:hAnsi="Arial" w:cs="Arial"/>
                            <w:sz w:val="18"/>
                          </w:rPr>
                          <w:t>Art. 113 - Rimessione alla corte di giustizia tributaria di primo grado</w:t>
                        </w:r>
                      </w:p>
                    </w:txbxContent>
                  </v:textbox>
                </v:rect>
                <v:rect id="Rectangle 23646" o:spid="_x0000_s7247" style="position:absolute;left:-7863;top:13361;width:439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QkzxwAAAN4AAAAPAAAAZHJzL2Rvd25yZXYueG1sRI9Pa8JA&#10;FMTvgt9heYI33VRLkOgqxSLNoZf6Bzw+ss8kbfbtkl1N2k/fFQSPw8z8hlltetOIG7W+tqzgZZqA&#10;IC6srrlUcDzsJgsQPiBrbCyTgl/ysFkPByvMtO34i277UIoIYZ+hgioEl0npi4oM+ql1xNG72NZg&#10;iLItpW6xi3DTyFmSpNJgzXGhQkfbioqf/dUoOL+zy3edLC5/W/f5nS+aj+vxpNR41L8tQQTqwzP8&#10;aOdawWyevqZwvxOvgFz/AwAA//8DAFBLAQItABQABgAIAAAAIQDb4fbL7gAAAIUBAAATAAAAAAAA&#10;AAAAAAAAAAAAAABbQ29udGVudF9UeXBlc10ueG1sUEsBAi0AFAAGAAgAAAAhAFr0LFu/AAAAFQEA&#10;AAsAAAAAAAAAAAAAAAAAHwEAAF9yZWxzLy5yZWxzUEsBAi0AFAAGAAgAAAAhAO5VCTPHAAAA3gAA&#10;AA8AAAAAAAAAAAAAAAAABwIAAGRycy9kb3ducmV2LnhtbFBLBQYAAAAAAwADALcAAAD7AgAAAAA=&#10;" filled="f" stroked="f">
                  <v:textbox inset="0,0,0,0">
                    <w:txbxContent>
                      <w:p w14:paraId="1EA390B1" w14:textId="77777777" w:rsidR="00B32EF2" w:rsidRDefault="00000000">
                        <w:r>
                          <w:rPr>
                            <w:rFonts w:ascii="Arial" w:eastAsia="Arial" w:hAnsi="Arial" w:cs="Arial"/>
                            <w:sz w:val="18"/>
                          </w:rPr>
                          <w:t>Art. 114 - Non riproponibilità dell’appello dichiarato inammissibile</w:t>
                        </w:r>
                      </w:p>
                    </w:txbxContent>
                  </v:textbox>
                </v:rect>
                <v:rect id="Rectangle 23647" o:spid="_x0000_s7248" style="position:absolute;left:17582;top:11646;width:184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ayoxwAAAN4AAAAPAAAAZHJzL2Rvd25yZXYueG1sRI9Ba8JA&#10;FITvBf/D8gRvdaMVlegqYhFz6KVWweMj+0yi2bdLdjWxv75bKPQ4zMw3zHLdmVo8qPGVZQWjYQKC&#10;OLe64kLB8Wv3OgfhA7LG2jIpeJKH9ar3ssRU25Y/6XEIhYgQ9ikqKENwqZQ+L8mgH1pHHL2LbQyG&#10;KJtC6gbbCDe1HCfJVBqsOC6U6GhbUn473I2C8zu7bNfK/PK9dR/XbF7v78eTUoN+t1mACNSF//Bf&#10;O9MKxm/TyQx+78QrIFc/AAAA//8DAFBLAQItABQABgAIAAAAIQDb4fbL7gAAAIUBAAATAAAAAAAA&#10;AAAAAAAAAAAAAABbQ29udGVudF9UeXBlc10ueG1sUEsBAi0AFAAGAAgAAAAhAFr0LFu/AAAAFQEA&#10;AAsAAAAAAAAAAAAAAAAAHwEAAF9yZWxzLy5yZWxzUEsBAi0AFAAGAAgAAAAhAIEZrKjHAAAA3gAA&#10;AA8AAAAAAAAAAAAAAAAABwIAAGRycy9kb3ducmV2LnhtbFBLBQYAAAAAAwADALcAAAD7AgAAAAA=&#10;" filled="f" stroked="f">
                  <v:textbox inset="0,0,0,0">
                    <w:txbxContent>
                      <w:p w14:paraId="0E1780E1" w14:textId="77777777" w:rsidR="00B32EF2" w:rsidRDefault="00000000">
                        <w:r>
                          <w:rPr>
                            <w:rFonts w:ascii="Arial" w:eastAsia="Arial" w:hAnsi="Arial" w:cs="Arial"/>
                            <w:sz w:val="18"/>
                          </w:rPr>
                          <w:t>Art. 115 - Norme applicabili</w:t>
                        </w:r>
                      </w:p>
                    </w:txbxContent>
                  </v:textbox>
                </v:rect>
                <v:rect id="Rectangle 23648" o:spid="_x0000_s7249" style="position:absolute;left:8566;top:9932;width:274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jjaxQAAAN4AAAAPAAAAZHJzL2Rvd25yZXYueG1sRE/JasMw&#10;EL0X+g9iCr3VctMQgmsllJRQH3JpFuhxsCa2E2skLHlJvr46FHp8vD1fT6YVA3W+sazgNUlBEJdW&#10;N1wpOB62L0sQPiBrbC2Tght5WK8eH3LMtB35m4Z9qEQMYZ+hgjoEl0npy5oM+sQ64sidbWcwRNhV&#10;Unc4xnDTylmaLqTBhmNDjY42NZXXfW8U/HyyK7ajLM/3jdtdimX71R9PSj0/TR/vIAJN4V/85y60&#10;gtnbYh73xjvxCsjVLwAAAP//AwBQSwECLQAUAAYACAAAACEA2+H2y+4AAACFAQAAEwAAAAAAAAAA&#10;AAAAAAAAAAAAW0NvbnRlbnRfVHlwZXNdLnhtbFBLAQItABQABgAIAAAAIQBa9CxbvwAAABUBAAAL&#10;AAAAAAAAAAAAAAAAAB8BAABfcmVscy8ucmVsc1BLAQItABQABgAIAAAAIQDwhjjaxQAAAN4AAAAP&#10;AAAAAAAAAAAAAAAAAAcCAABkcnMvZG93bnJldi54bWxQSwUGAAAAAAMAAwC3AAAA+QIAAAAA&#10;" filled="f" stroked="f">
                  <v:textbox inset="0,0,0,0">
                    <w:txbxContent>
                      <w:p w14:paraId="46FB8358" w14:textId="77777777" w:rsidR="00B32EF2" w:rsidRDefault="00000000">
                        <w:r>
                          <w:rPr>
                            <w:rFonts w:ascii="Arial" w:eastAsia="Arial" w:hAnsi="Arial" w:cs="Arial"/>
                            <w:b/>
                            <w:sz w:val="18"/>
                          </w:rPr>
                          <w:t>Sezione III – Il ricorso per cassazione</w:t>
                        </w:r>
                      </w:p>
                    </w:txbxContent>
                  </v:textbox>
                </v:rect>
                <v:rect id="Rectangle 23649" o:spid="_x0000_s7250" style="position:absolute;left:5352;top:9932;width:119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1BxwAAAN4AAAAPAAAAZHJzL2Rvd25yZXYueG1sRI9Ba8JA&#10;FITvBf/D8gRvdaMV0egqYhFz6KVWweMj+0yi2bdLdjWxv75bKPQ4zMw3zHLdmVo8qPGVZQWjYQKC&#10;OLe64kLB8Wv3OgPhA7LG2jIpeJKH9ar3ssRU25Y/6XEIhYgQ9ikqKENwqZQ+L8mgH1pHHL2LbQyG&#10;KJtC6gbbCDe1HCfJVBqsOC6U6GhbUn473I2C8zu7bNfK/PK9dR/XbFbv78eTUoN+t1mACNSF//Bf&#10;O9MKxm/TyRx+78QrIFc/AAAA//8DAFBLAQItABQABgAIAAAAIQDb4fbL7gAAAIUBAAATAAAAAAAA&#10;AAAAAAAAAAAAAABbQ29udGVudF9UeXBlc10ueG1sUEsBAi0AFAAGAAgAAAAhAFr0LFu/AAAAFQEA&#10;AAsAAAAAAAAAAAAAAAAAHwEAAF9yZWxzLy5yZWxzUEsBAi0AFAAGAAgAAAAhAJ/KnUHHAAAA3gAA&#10;AA8AAAAAAAAAAAAAAAAABwIAAGRycy9kb3ducmV2LnhtbFBLBQYAAAAAAwADALcAAAD7AgAAAAA=&#10;" filled="f" stroked="f">
                  <v:textbox inset="0,0,0,0">
                    <w:txbxContent>
                      <w:p w14:paraId="7A2AAB3A" w14:textId="77777777" w:rsidR="00B32EF2" w:rsidRDefault="00000000">
                        <w:r>
                          <w:rPr>
                            <w:rFonts w:ascii="Arial" w:eastAsia="Arial" w:hAnsi="Arial" w:cs="Arial"/>
                            <w:b/>
                            <w:sz w:val="18"/>
                          </w:rPr>
                          <w:t xml:space="preserve">   </w:t>
                        </w:r>
                      </w:p>
                    </w:txbxContent>
                  </v:textbox>
                </v:rect>
                <v:rect id="Rectangle 23650" o:spid="_x0000_s7251" style="position:absolute;left:-1299;top:9932;width:53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aIBxgAAAN4AAAAPAAAAZHJzL2Rvd25yZXYueG1sRI/LasMw&#10;EEX3hf6DmEJ3tdyUhOBaCSUl1Itsmgd0OVgT24k1Epb8SL6+WhS6vNwXJ19PphUDdb6xrOA1SUEQ&#10;l1Y3XCk4HrYvSxA+IGtsLZOCG3lYrx4fcsy0Hfmbhn2oRBxhn6GCOgSXSenLmgz6xDri6J1tZzBE&#10;2VVSdzjGcdPKWZoupMGG40ONjjY1ldd9bxT8fLIrtqMsz/eN212KZfvVH09KPT9NH+8gAk3hP/zX&#10;LrSC2dtiHgEiTkQBufoFAAD//wMAUEsBAi0AFAAGAAgAAAAhANvh9svuAAAAhQEAABMAAAAAAAAA&#10;AAAAAAAAAAAAAFtDb250ZW50X1R5cGVzXS54bWxQSwECLQAUAAYACAAAACEAWvQsW78AAAAVAQAA&#10;CwAAAAAAAAAAAAAAAAAfAQAAX3JlbHMvLnJlbHNQSwECLQAUAAYACAAAACEAiymiAcYAAADeAAAA&#10;DwAAAAAAAAAAAAAAAAAHAgAAZHJzL2Rvd25yZXYueG1sUEsFBgAAAAADAAMAtwAAAPoCAAAAAA==&#10;" filled="f" stroked="f">
                  <v:textbox inset="0,0,0,0">
                    <w:txbxContent>
                      <w:p w14:paraId="2CD549F8" w14:textId="77777777" w:rsidR="00B32EF2" w:rsidRDefault="00000000">
                        <w:r>
                          <w:rPr>
                            <w:rFonts w:ascii="Arial" w:eastAsia="Arial" w:hAnsi="Arial" w:cs="Arial"/>
                            <w:b/>
                            <w:sz w:val="18"/>
                          </w:rPr>
                          <w:t>Pag. 97</w:t>
                        </w:r>
                      </w:p>
                    </w:txbxContent>
                  </v:textbox>
                </v:rect>
                <v:rect id="Rectangle 23651" o:spid="_x0000_s7252" style="position:absolute;left:17566;top:8217;width:184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QeaxgAAAN4AAAAPAAAAZHJzL2Rvd25yZXYueG1sRI9Ba8JA&#10;FITvgv9heUJvutGiSHQVUcQcvGgt9PjIPpNo9u2SXU3aX+8WCj0OM/MNs1x3phZPanxlWcF4lIAg&#10;zq2uuFBw+dgP5yB8QNZYWyYF3+Rhver3lphq2/KJnudQiAhhn6KCMgSXSunzkgz6kXXE0bvaxmCI&#10;simkbrCNcFPLSZLMpMGK40KJjrYl5ffzwyj42rHL9q3Mrz9bd7xl8/rwuHwq9TboNgsQgbrwH/5r&#10;Z1rB5H02HcPvnXgF5OoFAAD//wMAUEsBAi0AFAAGAAgAAAAhANvh9svuAAAAhQEAABMAAAAAAAAA&#10;AAAAAAAAAAAAAFtDb250ZW50X1R5cGVzXS54bWxQSwECLQAUAAYACAAAACEAWvQsW78AAAAVAQAA&#10;CwAAAAAAAAAAAAAAAAAfAQAAX3JlbHMvLnJlbHNQSwECLQAUAAYACAAAACEA5GUHmsYAAADeAAAA&#10;DwAAAAAAAAAAAAAAAAAHAgAAZHJzL2Rvd25yZXYueG1sUEsFBgAAAAADAAMAtwAAAPoCAAAAAA==&#10;" filled="f" stroked="f">
                  <v:textbox inset="0,0,0,0">
                    <w:txbxContent>
                      <w:p w14:paraId="0796C81E" w14:textId="77777777" w:rsidR="00B32EF2" w:rsidRDefault="00000000">
                        <w:r>
                          <w:rPr>
                            <w:rFonts w:ascii="Arial" w:eastAsia="Arial" w:hAnsi="Arial" w:cs="Arial"/>
                            <w:sz w:val="18"/>
                          </w:rPr>
                          <w:t>Art. 116 - Norme applicabili</w:t>
                        </w:r>
                      </w:p>
                    </w:txbxContent>
                  </v:textbox>
                </v:rect>
                <v:rect id="Rectangle 23652" o:spid="_x0000_s7253" style="position:absolute;left:-2675;top:6503;width:387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5ntxwAAAN4AAAAPAAAAZHJzL2Rvd25yZXYueG1sRI9Pa8JA&#10;FMTvgt9heYI33TRSkegqxSLNoZf6Bzw+ss8kbfbtkl1N2k/fFQSPw8z8hlltetOIG7W+tqzgZZqA&#10;IC6srrlUcDzsJgsQPiBrbCyTgl/ysFkPByvMtO34i277UIoIYZ+hgioEl0npi4oM+ql1xNG72NZg&#10;iLItpW6xi3DTyDRJ5tJgzXGhQkfbioqf/dUoOL+zy3edLC5/W/f5nS+aj+vxpNR41L8tQQTqwzP8&#10;aOdaQTqbv6ZwvxOvgFz/AwAA//8DAFBLAQItABQABgAIAAAAIQDb4fbL7gAAAIUBAAATAAAAAAAA&#10;AAAAAAAAAAAAAABbQ29udGVudF9UeXBlc10ueG1sUEsBAi0AFAAGAAgAAAAhAFr0LFu/AAAAFQEA&#10;AAsAAAAAAAAAAAAAAAAAHwEAAF9yZWxzLy5yZWxzUEsBAi0AFAAGAAgAAAAhABS3me3HAAAA3gAA&#10;AA8AAAAAAAAAAAAAAAAABwIAAGRycy9kb3ducmV2LnhtbFBLBQYAAAAAAwADALcAAAD7AgAAAAA=&#10;" filled="f" stroked="f">
                  <v:textbox inset="0,0,0,0">
                    <w:txbxContent>
                      <w:p w14:paraId="7A72E1D5" w14:textId="77777777" w:rsidR="00B32EF2" w:rsidRDefault="00000000">
                        <w:r>
                          <w:rPr>
                            <w:rFonts w:ascii="Arial" w:eastAsia="Arial" w:hAnsi="Arial" w:cs="Arial"/>
                            <w:sz w:val="18"/>
                          </w:rPr>
                          <w:t>Art. 117 - Provvedimenti sull’esecuzione provvisoria della</w:t>
                        </w:r>
                      </w:p>
                    </w:txbxContent>
                  </v:textbox>
                </v:rect>
                <v:rect id="Rectangle 23653" o:spid="_x0000_s7254" style="position:absolute;left:11411;top:4788;width:246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x2xwAAAN4AAAAPAAAAZHJzL2Rvd25yZXYueG1sRI9Ba8JA&#10;FITvQv/D8gRvulFRJHWVYhFz8FJNocdH9pmkzb5dsquJ/vpuoeBxmJlvmPW2N424UetrywqmkwQE&#10;cWF1zaWC/Lwfr0D4gKyxsUwK7uRhu3kZrDHVtuMPup1CKSKEfYoKqhBcKqUvKjLoJ9YRR+9iW4Mh&#10;yraUusUuwk0jZ0mylAZrjgsVOtpVVPycrkbB1zu7bN/J4vLYueN3tmoO1/xTqdGwf3sFEagPz/B/&#10;O9MKZvPlYg5/d+IVkJtfAAAA//8DAFBLAQItABQABgAIAAAAIQDb4fbL7gAAAIUBAAATAAAAAAAA&#10;AAAAAAAAAAAAAABbQ29udGVudF9UeXBlc10ueG1sUEsBAi0AFAAGAAgAAAAhAFr0LFu/AAAAFQEA&#10;AAsAAAAAAAAAAAAAAAAAHwEAAF9yZWxzLy5yZWxzUEsBAi0AFAAGAAgAAAAhAHv7PHbHAAAA3gAA&#10;AA8AAAAAAAAAAAAAAAAABwIAAGRycy9kb3ducmV2LnhtbFBLBQYAAAAAAwADALcAAAD7AgAAAAA=&#10;" filled="f" stroked="f">
                  <v:textbox inset="0,0,0,0">
                    <w:txbxContent>
                      <w:p w14:paraId="76A964D7" w14:textId="77777777" w:rsidR="00B32EF2" w:rsidRDefault="00000000">
                        <w:r>
                          <w:rPr>
                            <w:rFonts w:ascii="Arial" w:eastAsia="Arial" w:hAnsi="Arial" w:cs="Arial"/>
                            <w:sz w:val="18"/>
                          </w:rPr>
                          <w:t>sentenza impugnata per cassazione</w:t>
                        </w:r>
                      </w:p>
                    </w:txbxContent>
                  </v:textbox>
                </v:rect>
                <v:rect id="Rectangle 23654" o:spid="_x0000_s7255" style="position:absolute;left:18149;top:3074;width:179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qQCxwAAAN4AAAAPAAAAZHJzL2Rvd25yZXYueG1sRI9Pa8JA&#10;FMTvgt9heUJvuqlVkdRVikXMoRf/FHp8ZJ9J2uzbJbua6KfvCoLHYWZ+wyxWnanFhRpfWVbwOkpA&#10;EOdWV1woOB42wzkIH5A11pZJwZU8rJb93gJTbVve0WUfChEh7FNUUIbgUil9XpJBP7KOOHon2xgM&#10;UTaF1A22EW5qOU6SmTRYcVwo0dG6pPxvfzYKfj7ZZZtW5qfb2n39ZvN6ez5+K/Uy6D7eQQTqwjP8&#10;aGdawfhtNp3A/U68AnL5DwAA//8DAFBLAQItABQABgAIAAAAIQDb4fbL7gAAAIUBAAATAAAAAAAA&#10;AAAAAAAAAAAAAABbQ29udGVudF9UeXBlc10ueG1sUEsBAi0AFAAGAAgAAAAhAFr0LFu/AAAAFQEA&#10;AAsAAAAAAAAAAAAAAAAAHwEAAF9yZWxzLy5yZWxzUEsBAi0AFAAGAAgAAAAhAPQSpALHAAAA3gAA&#10;AA8AAAAAAAAAAAAAAAAABwIAAGRycy9kb3ducmV2LnhtbFBLBQYAAAAAAwADALcAAAD7AgAAAAA=&#10;" filled="f" stroked="f">
                  <v:textbox inset="0,0,0,0">
                    <w:txbxContent>
                      <w:p w14:paraId="03034E8E" w14:textId="77777777" w:rsidR="00B32EF2" w:rsidRDefault="00000000">
                        <w:r>
                          <w:rPr>
                            <w:rFonts w:ascii="Arial" w:eastAsia="Arial" w:hAnsi="Arial" w:cs="Arial"/>
                            <w:sz w:val="18"/>
                          </w:rPr>
                          <w:t>Art. 118 - Giudizio di rinvio</w:t>
                        </w:r>
                      </w:p>
                    </w:txbxContent>
                  </v:textbox>
                </v:rect>
                <v:rect id="Rectangle 23655" o:spid="_x0000_s7256" style="position:absolute;left:-8224;top:1359;width:442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gGZxgAAAN4AAAAPAAAAZHJzL2Rvd25yZXYueG1sRI9Ba8JA&#10;FITvBf/D8gre6qaKItFViiLm4EWr4PGRfSax2bdLdjXRX+8WCj0OM/MNM192phZ3anxlWcHnIAFB&#10;nFtdcaHg+L35mILwAVljbZkUPMjDctF7m2Oqbct7uh9CISKEfYoKyhBcKqXPSzLoB9YRR+9iG4Mh&#10;yqaQusE2wk0th0kykQYrjgslOlqVlP8cbkbBec0u27QyvzxXbnfNpvX2djwp1X/vvmYgAnXhP/zX&#10;zrSC4WgyHsPvnXgF5OIFAAD//wMAUEsBAi0AFAAGAAgAAAAhANvh9svuAAAAhQEAABMAAAAAAAAA&#10;AAAAAAAAAAAAAFtDb250ZW50X1R5cGVzXS54bWxQSwECLQAUAAYACAAAACEAWvQsW78AAAAVAQAA&#10;CwAAAAAAAAAAAAAAAAAfAQAAX3JlbHMvLnJlbHNQSwECLQAUAAYACAAAACEAm14BmcYAAADeAAAA&#10;DwAAAAAAAAAAAAAAAAAHAgAAZHJzL2Rvd25yZXYueG1sUEsFBgAAAAADAAMAtwAAAPoCAAAAAA==&#10;" filled="f" stroked="f">
                  <v:textbox inset="0,0,0,0">
                    <w:txbxContent>
                      <w:p w14:paraId="035BB308" w14:textId="77777777" w:rsidR="00B32EF2" w:rsidRDefault="00000000">
                        <w:r>
                          <w:rPr>
                            <w:rFonts w:ascii="Arial" w:eastAsia="Arial" w:hAnsi="Arial" w:cs="Arial"/>
                            <w:sz w:val="18"/>
                          </w:rPr>
                          <w:t>Art. 119 - Efficacia delle sentenze penali nel processo tributario e</w:t>
                        </w:r>
                      </w:p>
                    </w:txbxContent>
                  </v:textbox>
                </v:rect>
                <v:rect id="Rectangle 23656" o:spid="_x0000_s7257" style="position:absolute;left:17192;top:-354;width:18865;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J/uxwAAAN4AAAAPAAAAZHJzL2Rvd25yZXYueG1sRI9Pa8JA&#10;FMTvgt9heYI33VRpkOgqxSLNoZf6Bzw+ss8kbfbtkl1N2k/fFQSPw8z8hlltetOIG7W+tqzgZZqA&#10;IC6srrlUcDzsJgsQPiBrbCyTgl/ysFkPByvMtO34i277UIoIYZ+hgioEl0npi4oM+ql1xNG72NZg&#10;iLItpW6xi3DTyFmSpNJgzXGhQkfbioqf/dUoOL+zy3edLC5/W/f5nS+aj+vxpNR41L8tQQTqwzP8&#10;aOdawWyevqZwvxOvgFz/AwAA//8DAFBLAQItABQABgAIAAAAIQDb4fbL7gAAAIUBAAATAAAAAAAA&#10;AAAAAAAAAAAAAABbQ29udGVudF9UeXBlc10ueG1sUEsBAi0AFAAGAAgAAAAhAFr0LFu/AAAAFQEA&#10;AAsAAAAAAAAAAAAAAAAAHwEAAF9yZWxzLy5yZWxzUEsBAi0AFAAGAAgAAAAhAGuMn+7HAAAA3gAA&#10;AA8AAAAAAAAAAAAAAAAABwIAAGRycy9kb3ducmV2LnhtbFBLBQYAAAAAAwADALcAAAD7AgAAAAA=&#10;" filled="f" stroked="f">
                  <v:textbox inset="0,0,0,0">
                    <w:txbxContent>
                      <w:p w14:paraId="62F11495" w14:textId="77777777" w:rsidR="00B32EF2" w:rsidRDefault="00000000">
                        <w:r>
                          <w:rPr>
                            <w:rFonts w:ascii="Arial" w:eastAsia="Arial" w:hAnsi="Arial" w:cs="Arial"/>
                            <w:sz w:val="18"/>
                          </w:rPr>
                          <w:t>nel processo di Cassazione</w:t>
                        </w:r>
                      </w:p>
                    </w:txbxContent>
                  </v:textbox>
                </v:rect>
                <w10:anchorlock/>
              </v:group>
            </w:pict>
          </mc:Fallback>
        </mc:AlternateContent>
      </w:r>
    </w:p>
    <w:p w14:paraId="6A8197B7" w14:textId="77777777" w:rsidR="00B32EF2" w:rsidRDefault="00000000">
      <w:pPr>
        <w:spacing w:after="0"/>
        <w:ind w:left="-208" w:right="-306"/>
      </w:pPr>
      <w:r>
        <w:rPr>
          <w:noProof/>
        </w:rPr>
        <w:lastRenderedPageBreak/>
        <mc:AlternateContent>
          <mc:Choice Requires="wpg">
            <w:drawing>
              <wp:inline distT="0" distB="0" distL="0" distR="0" wp14:anchorId="579487A8" wp14:editId="78251D08">
                <wp:extent cx="3897436" cy="6262854"/>
                <wp:effectExtent l="0" t="0" r="0" b="0"/>
                <wp:docPr id="202473" name="Group 202473"/>
                <wp:cNvGraphicFramePr/>
                <a:graphic xmlns:a="http://schemas.openxmlformats.org/drawingml/2006/main">
                  <a:graphicData uri="http://schemas.microsoft.com/office/word/2010/wordprocessingGroup">
                    <wpg:wgp>
                      <wpg:cNvGrpSpPr/>
                      <wpg:grpSpPr>
                        <a:xfrm>
                          <a:off x="0" y="0"/>
                          <a:ext cx="3897436" cy="6262854"/>
                          <a:chOff x="0" y="0"/>
                          <a:chExt cx="3897436" cy="6262854"/>
                        </a:xfrm>
                      </wpg:grpSpPr>
                      <wps:wsp>
                        <wps:cNvPr id="23702" name="Rectangle 23702"/>
                        <wps:cNvSpPr/>
                        <wps:spPr>
                          <a:xfrm rot="-10799999">
                            <a:off x="1806121" y="-62190"/>
                            <a:ext cx="178369" cy="250646"/>
                          </a:xfrm>
                          <a:prstGeom prst="rect">
                            <a:avLst/>
                          </a:prstGeom>
                          <a:ln>
                            <a:noFill/>
                          </a:ln>
                        </wps:spPr>
                        <wps:txbx>
                          <w:txbxContent>
                            <w:p w14:paraId="483AF72D" w14:textId="77777777" w:rsidR="00B32EF2" w:rsidRDefault="00000000">
                              <w:r>
                                <w:rPr>
                                  <w:rFonts w:ascii="Times New Roman" w:eastAsia="Times New Roman" w:hAnsi="Times New Roman" w:cs="Times New Roman"/>
                                </w:rPr>
                                <w:t>10</w:t>
                              </w:r>
                            </w:p>
                          </w:txbxContent>
                        </wps:txbx>
                        <wps:bodyPr horzOverflow="overflow" vert="horz" lIns="0" tIns="0" rIns="0" bIns="0" rtlCol="0">
                          <a:noAutofit/>
                        </wps:bodyPr>
                      </wps:wsp>
                      <wps:wsp>
                        <wps:cNvPr id="23703" name="Rectangle 23703"/>
                        <wps:cNvSpPr/>
                        <wps:spPr>
                          <a:xfrm rot="-10799999">
                            <a:off x="779648" y="6119964"/>
                            <a:ext cx="3117788" cy="142890"/>
                          </a:xfrm>
                          <a:prstGeom prst="rect">
                            <a:avLst/>
                          </a:prstGeom>
                          <a:ln>
                            <a:noFill/>
                          </a:ln>
                        </wps:spPr>
                        <wps:txbx>
                          <w:txbxContent>
                            <w:p w14:paraId="6396D105" w14:textId="77777777" w:rsidR="00B32EF2" w:rsidRDefault="00000000">
                              <w:r>
                                <w:rPr>
                                  <w:rFonts w:ascii="Arial" w:eastAsia="Arial" w:hAnsi="Arial" w:cs="Arial"/>
                                  <w:sz w:val="18"/>
                                </w:rPr>
                                <w:t>Art. 68 - Costituzione in giudizio del ricorrente</w:t>
                              </w:r>
                            </w:p>
                          </w:txbxContent>
                        </wps:txbx>
                        <wps:bodyPr horzOverflow="overflow" vert="horz" lIns="0" tIns="0" rIns="0" bIns="0" rtlCol="0">
                          <a:noAutofit/>
                        </wps:bodyPr>
                      </wps:wsp>
                      <wps:wsp>
                        <wps:cNvPr id="23704" name="Rectangle 23704"/>
                        <wps:cNvSpPr/>
                        <wps:spPr>
                          <a:xfrm rot="-10799999">
                            <a:off x="254969" y="5948515"/>
                            <a:ext cx="3642467" cy="142889"/>
                          </a:xfrm>
                          <a:prstGeom prst="rect">
                            <a:avLst/>
                          </a:prstGeom>
                          <a:ln>
                            <a:noFill/>
                          </a:ln>
                        </wps:spPr>
                        <wps:txbx>
                          <w:txbxContent>
                            <w:p w14:paraId="6D5E22DF" w14:textId="77777777" w:rsidR="00B32EF2" w:rsidRDefault="00000000">
                              <w:r>
                                <w:rPr>
                                  <w:rFonts w:ascii="Arial" w:eastAsia="Arial" w:hAnsi="Arial" w:cs="Arial"/>
                                  <w:sz w:val="18"/>
                                </w:rPr>
                                <w:t>Art. 69 - Costituzione in giudizio della parte resistente</w:t>
                              </w:r>
                            </w:p>
                          </w:txbxContent>
                        </wps:txbx>
                        <wps:bodyPr horzOverflow="overflow" vert="horz" lIns="0" tIns="0" rIns="0" bIns="0" rtlCol="0">
                          <a:noAutofit/>
                        </wps:bodyPr>
                      </wps:wsp>
                      <wps:wsp>
                        <wps:cNvPr id="23705" name="Rectangle 23705"/>
                        <wps:cNvSpPr/>
                        <wps:spPr>
                          <a:xfrm rot="-10799999">
                            <a:off x="461015" y="5777065"/>
                            <a:ext cx="3436420" cy="142889"/>
                          </a:xfrm>
                          <a:prstGeom prst="rect">
                            <a:avLst/>
                          </a:prstGeom>
                          <a:ln>
                            <a:noFill/>
                          </a:ln>
                        </wps:spPr>
                        <wps:txbx>
                          <w:txbxContent>
                            <w:p w14:paraId="19D3EC5F" w14:textId="77777777" w:rsidR="00B32EF2" w:rsidRDefault="00000000">
                              <w:r>
                                <w:rPr>
                                  <w:rFonts w:ascii="Arial" w:eastAsia="Arial" w:hAnsi="Arial" w:cs="Arial"/>
                                  <w:sz w:val="18"/>
                                </w:rPr>
                                <w:t>Art. 70 - Produzione di documenti e motivi aggiunti</w:t>
                              </w:r>
                            </w:p>
                          </w:txbxContent>
                        </wps:txbx>
                        <wps:bodyPr horzOverflow="overflow" vert="horz" lIns="0" tIns="0" rIns="0" bIns="0" rtlCol="0">
                          <a:noAutofit/>
                        </wps:bodyPr>
                      </wps:wsp>
                      <wps:wsp>
                        <wps:cNvPr id="23706" name="Rectangle 23706"/>
                        <wps:cNvSpPr/>
                        <wps:spPr>
                          <a:xfrm rot="-10799999">
                            <a:off x="408082" y="5605615"/>
                            <a:ext cx="3489354" cy="142889"/>
                          </a:xfrm>
                          <a:prstGeom prst="rect">
                            <a:avLst/>
                          </a:prstGeom>
                          <a:ln>
                            <a:noFill/>
                          </a:ln>
                        </wps:spPr>
                        <wps:txbx>
                          <w:txbxContent>
                            <w:p w14:paraId="43274551" w14:textId="77777777" w:rsidR="00B32EF2" w:rsidRDefault="00000000">
                              <w:r>
                                <w:rPr>
                                  <w:rFonts w:ascii="Arial" w:eastAsia="Arial" w:hAnsi="Arial" w:cs="Arial"/>
                                  <w:sz w:val="18"/>
                                </w:rPr>
                                <w:t>Art. 71 - Iscrizione del ricorso nel registro generale.</w:t>
                              </w:r>
                            </w:p>
                          </w:txbxContent>
                        </wps:txbx>
                        <wps:bodyPr horzOverflow="overflow" vert="horz" lIns="0" tIns="0" rIns="0" bIns="0" rtlCol="0">
                          <a:noAutofit/>
                        </wps:bodyPr>
                      </wps:wsp>
                      <wps:wsp>
                        <wps:cNvPr id="23707" name="Rectangle 23707"/>
                        <wps:cNvSpPr/>
                        <wps:spPr>
                          <a:xfrm rot="-10799999">
                            <a:off x="479030" y="5434165"/>
                            <a:ext cx="3418406" cy="142889"/>
                          </a:xfrm>
                          <a:prstGeom prst="rect">
                            <a:avLst/>
                          </a:prstGeom>
                          <a:ln>
                            <a:noFill/>
                          </a:ln>
                        </wps:spPr>
                        <wps:txbx>
                          <w:txbxContent>
                            <w:p w14:paraId="5AF51E95" w14:textId="77777777" w:rsidR="00B32EF2" w:rsidRDefault="00000000">
                              <w:r>
                                <w:rPr>
                                  <w:rFonts w:ascii="Arial" w:eastAsia="Arial" w:hAnsi="Arial" w:cs="Arial"/>
                                  <w:sz w:val="18"/>
                                </w:rPr>
                                <w:t>Fascicolo d’ufficio del processo e fascicoli di parte</w:t>
                              </w:r>
                            </w:p>
                          </w:txbxContent>
                        </wps:txbx>
                        <wps:bodyPr horzOverflow="overflow" vert="horz" lIns="0" tIns="0" rIns="0" bIns="0" rtlCol="0">
                          <a:noAutofit/>
                        </wps:bodyPr>
                      </wps:wsp>
                      <wps:wsp>
                        <wps:cNvPr id="23708" name="Rectangle 23708"/>
                        <wps:cNvSpPr/>
                        <wps:spPr>
                          <a:xfrm rot="-10799999">
                            <a:off x="808728" y="5262715"/>
                            <a:ext cx="3088707" cy="142889"/>
                          </a:xfrm>
                          <a:prstGeom prst="rect">
                            <a:avLst/>
                          </a:prstGeom>
                          <a:ln>
                            <a:noFill/>
                          </a:ln>
                        </wps:spPr>
                        <wps:txbx>
                          <w:txbxContent>
                            <w:p w14:paraId="74169931" w14:textId="77777777" w:rsidR="00B32EF2" w:rsidRDefault="00000000">
                              <w:r>
                                <w:rPr>
                                  <w:rFonts w:ascii="Arial" w:eastAsia="Arial" w:hAnsi="Arial" w:cs="Arial"/>
                                  <w:sz w:val="18"/>
                                </w:rPr>
                                <w:t>Art. 72 - Potere di certificazione di conformità</w:t>
                              </w:r>
                            </w:p>
                          </w:txbxContent>
                        </wps:txbx>
                        <wps:bodyPr horzOverflow="overflow" vert="horz" lIns="0" tIns="0" rIns="0" bIns="0" rtlCol="0">
                          <a:noAutofit/>
                        </wps:bodyPr>
                      </wps:wsp>
                      <wps:wsp>
                        <wps:cNvPr id="23709" name="Rectangle 23709"/>
                        <wps:cNvSpPr/>
                        <wps:spPr>
                          <a:xfrm rot="-10799999">
                            <a:off x="1573840" y="5091265"/>
                            <a:ext cx="2323595" cy="142889"/>
                          </a:xfrm>
                          <a:prstGeom prst="rect">
                            <a:avLst/>
                          </a:prstGeom>
                          <a:ln>
                            <a:noFill/>
                          </a:ln>
                        </wps:spPr>
                        <wps:txbx>
                          <w:txbxContent>
                            <w:p w14:paraId="726D8E85" w14:textId="77777777" w:rsidR="00B32EF2" w:rsidRDefault="00000000">
                              <w:r>
                                <w:rPr>
                                  <w:rFonts w:ascii="Arial" w:eastAsia="Arial" w:hAnsi="Arial" w:cs="Arial"/>
                                  <w:sz w:val="18"/>
                                </w:rPr>
                                <w:t>Art. 73 - Assegnazione del ricorso</w:t>
                              </w:r>
                            </w:p>
                          </w:txbxContent>
                        </wps:txbx>
                        <wps:bodyPr horzOverflow="overflow" vert="horz" lIns="0" tIns="0" rIns="0" bIns="0" rtlCol="0">
                          <a:noAutofit/>
                        </wps:bodyPr>
                      </wps:wsp>
                      <wps:wsp>
                        <wps:cNvPr id="23710" name="Rectangle 23710"/>
                        <wps:cNvSpPr/>
                        <wps:spPr>
                          <a:xfrm rot="-10799999">
                            <a:off x="1049862" y="4919815"/>
                            <a:ext cx="2847574" cy="142889"/>
                          </a:xfrm>
                          <a:prstGeom prst="rect">
                            <a:avLst/>
                          </a:prstGeom>
                          <a:ln>
                            <a:noFill/>
                          </a:ln>
                        </wps:spPr>
                        <wps:txbx>
                          <w:txbxContent>
                            <w:p w14:paraId="056552B8" w14:textId="77777777" w:rsidR="00B32EF2" w:rsidRDefault="00000000">
                              <w:r>
                                <w:rPr>
                                  <w:rFonts w:ascii="Arial" w:eastAsia="Arial" w:hAnsi="Arial" w:cs="Arial"/>
                                  <w:sz w:val="18"/>
                                </w:rPr>
                                <w:t>Art. 74 - Ipoteca e sequestro conservativo</w:t>
                              </w:r>
                            </w:p>
                          </w:txbxContent>
                        </wps:txbx>
                        <wps:bodyPr horzOverflow="overflow" vert="horz" lIns="0" tIns="0" rIns="0" bIns="0" rtlCol="0">
                          <a:noAutofit/>
                        </wps:bodyPr>
                      </wps:wsp>
                      <wps:wsp>
                        <wps:cNvPr id="23711" name="Rectangle 23711"/>
                        <wps:cNvSpPr/>
                        <wps:spPr>
                          <a:xfrm rot="-10799999">
                            <a:off x="699108" y="4748365"/>
                            <a:ext cx="3198328" cy="142889"/>
                          </a:xfrm>
                          <a:prstGeom prst="rect">
                            <a:avLst/>
                          </a:prstGeom>
                          <a:ln>
                            <a:noFill/>
                          </a:ln>
                        </wps:spPr>
                        <wps:txbx>
                          <w:txbxContent>
                            <w:p w14:paraId="2C32E015" w14:textId="77777777" w:rsidR="00B32EF2" w:rsidRDefault="00000000">
                              <w:r>
                                <w:rPr>
                                  <w:rFonts w:ascii="Arial" w:eastAsia="Arial" w:hAnsi="Arial" w:cs="Arial"/>
                                  <w:b/>
                                  <w:sz w:val="18"/>
                                </w:rPr>
                                <w:t>Sezione II – L’esame preliminare del ricorso</w:t>
                              </w:r>
                            </w:p>
                          </w:txbxContent>
                        </wps:txbx>
                        <wps:bodyPr horzOverflow="overflow" vert="horz" lIns="0" tIns="0" rIns="0" bIns="0" rtlCol="0">
                          <a:noAutofit/>
                        </wps:bodyPr>
                      </wps:wsp>
                      <wps:wsp>
                        <wps:cNvPr id="23712" name="Rectangle 23712"/>
                        <wps:cNvSpPr/>
                        <wps:spPr>
                          <a:xfrm rot="-10799999">
                            <a:off x="899088" y="4748364"/>
                            <a:ext cx="900257" cy="142889"/>
                          </a:xfrm>
                          <a:prstGeom prst="rect">
                            <a:avLst/>
                          </a:prstGeom>
                          <a:ln>
                            <a:noFill/>
                          </a:ln>
                        </wps:spPr>
                        <wps:txbx>
                          <w:txbxContent>
                            <w:p w14:paraId="306E2F0C"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713" name="Rectangle 23713"/>
                        <wps:cNvSpPr/>
                        <wps:spPr>
                          <a:xfrm rot="-10799999">
                            <a:off x="161199" y="4748364"/>
                            <a:ext cx="535837" cy="142889"/>
                          </a:xfrm>
                          <a:prstGeom prst="rect">
                            <a:avLst/>
                          </a:prstGeom>
                          <a:ln>
                            <a:noFill/>
                          </a:ln>
                        </wps:spPr>
                        <wps:txbx>
                          <w:txbxContent>
                            <w:p w14:paraId="09B148B0" w14:textId="77777777" w:rsidR="00B32EF2" w:rsidRDefault="00000000">
                              <w:r>
                                <w:rPr>
                                  <w:rFonts w:ascii="Arial" w:eastAsia="Arial" w:hAnsi="Arial" w:cs="Arial"/>
                                  <w:b/>
                                  <w:sz w:val="18"/>
                                </w:rPr>
                                <w:t>Pag. 73</w:t>
                              </w:r>
                            </w:p>
                          </w:txbxContent>
                        </wps:txbx>
                        <wps:bodyPr horzOverflow="overflow" vert="horz" lIns="0" tIns="0" rIns="0" bIns="0" rtlCol="0">
                          <a:noAutofit/>
                        </wps:bodyPr>
                      </wps:wsp>
                      <wps:wsp>
                        <wps:cNvPr id="23714" name="Rectangle 23714"/>
                        <wps:cNvSpPr/>
                        <wps:spPr>
                          <a:xfrm rot="-10799999">
                            <a:off x="1266016" y="4576915"/>
                            <a:ext cx="2631419" cy="142889"/>
                          </a:xfrm>
                          <a:prstGeom prst="rect">
                            <a:avLst/>
                          </a:prstGeom>
                          <a:ln>
                            <a:noFill/>
                          </a:ln>
                        </wps:spPr>
                        <wps:txbx>
                          <w:txbxContent>
                            <w:p w14:paraId="7E3D435D" w14:textId="77777777" w:rsidR="00B32EF2" w:rsidRDefault="00000000">
                              <w:r>
                                <w:rPr>
                                  <w:rFonts w:ascii="Arial" w:eastAsia="Arial" w:hAnsi="Arial" w:cs="Arial"/>
                                  <w:sz w:val="18"/>
                                </w:rPr>
                                <w:t>Art. 75 - Esame preliminare del ricorso</w:t>
                              </w:r>
                            </w:p>
                          </w:txbxContent>
                        </wps:txbx>
                        <wps:bodyPr horzOverflow="overflow" vert="horz" lIns="0" tIns="0" rIns="0" bIns="0" rtlCol="0">
                          <a:noAutofit/>
                        </wps:bodyPr>
                      </wps:wsp>
                      <wps:wsp>
                        <wps:cNvPr id="23715" name="Rectangle 23715"/>
                        <wps:cNvSpPr/>
                        <wps:spPr>
                          <a:xfrm rot="-10799999">
                            <a:off x="251109" y="4405465"/>
                            <a:ext cx="3646328" cy="142889"/>
                          </a:xfrm>
                          <a:prstGeom prst="rect">
                            <a:avLst/>
                          </a:prstGeom>
                          <a:ln>
                            <a:noFill/>
                          </a:ln>
                        </wps:spPr>
                        <wps:txbx>
                          <w:txbxContent>
                            <w:p w14:paraId="468246A0" w14:textId="77777777" w:rsidR="00B32EF2" w:rsidRDefault="00000000">
                              <w:r>
                                <w:rPr>
                                  <w:rFonts w:ascii="Arial" w:eastAsia="Arial" w:hAnsi="Arial" w:cs="Arial"/>
                                  <w:sz w:val="18"/>
                                </w:rPr>
                                <w:t>Art. 76 - Reclamo contro i provvedimenti presidenziali</w:t>
                              </w:r>
                            </w:p>
                          </w:txbxContent>
                        </wps:txbx>
                        <wps:bodyPr horzOverflow="overflow" vert="horz" lIns="0" tIns="0" rIns="0" bIns="0" rtlCol="0">
                          <a:noAutofit/>
                        </wps:bodyPr>
                      </wps:wsp>
                      <wps:wsp>
                        <wps:cNvPr id="23716" name="Rectangle 23716"/>
                        <wps:cNvSpPr/>
                        <wps:spPr>
                          <a:xfrm rot="-10799999">
                            <a:off x="1985127" y="4234015"/>
                            <a:ext cx="1912308" cy="142889"/>
                          </a:xfrm>
                          <a:prstGeom prst="rect">
                            <a:avLst/>
                          </a:prstGeom>
                          <a:ln>
                            <a:noFill/>
                          </a:ln>
                        </wps:spPr>
                        <wps:txbx>
                          <w:txbxContent>
                            <w:p w14:paraId="34318303" w14:textId="77777777" w:rsidR="00B32EF2" w:rsidRDefault="00000000">
                              <w:r>
                                <w:rPr>
                                  <w:rFonts w:ascii="Arial" w:eastAsia="Arial" w:hAnsi="Arial" w:cs="Arial"/>
                                  <w:sz w:val="18"/>
                                </w:rPr>
                                <w:t>Art. 77 - Riunione dei ricorsi</w:t>
                              </w:r>
                            </w:p>
                          </w:txbxContent>
                        </wps:txbx>
                        <wps:bodyPr horzOverflow="overflow" vert="horz" lIns="0" tIns="0" rIns="0" bIns="0" rtlCol="0">
                          <a:noAutofit/>
                        </wps:bodyPr>
                      </wps:wsp>
                      <wps:wsp>
                        <wps:cNvPr id="23717" name="Rectangle 23717"/>
                        <wps:cNvSpPr/>
                        <wps:spPr>
                          <a:xfrm rot="-10799999">
                            <a:off x="577462" y="4062565"/>
                            <a:ext cx="3319973" cy="142889"/>
                          </a:xfrm>
                          <a:prstGeom prst="rect">
                            <a:avLst/>
                          </a:prstGeom>
                          <a:ln>
                            <a:noFill/>
                          </a:ln>
                        </wps:spPr>
                        <wps:txbx>
                          <w:txbxContent>
                            <w:p w14:paraId="2F11C58E" w14:textId="77777777" w:rsidR="00B32EF2" w:rsidRDefault="00000000">
                              <w:r>
                                <w:rPr>
                                  <w:rFonts w:ascii="Arial" w:eastAsia="Arial" w:hAnsi="Arial" w:cs="Arial"/>
                                  <w:b/>
                                  <w:sz w:val="18"/>
                                </w:rPr>
                                <w:t>Sezione III – La trattazione della controversia</w:t>
                              </w:r>
                            </w:p>
                          </w:txbxContent>
                        </wps:txbx>
                        <wps:bodyPr horzOverflow="overflow" vert="horz" lIns="0" tIns="0" rIns="0" bIns="0" rtlCol="0">
                          <a:noAutofit/>
                        </wps:bodyPr>
                      </wps:wsp>
                      <wps:wsp>
                        <wps:cNvPr id="23718" name="Rectangle 23718"/>
                        <wps:cNvSpPr/>
                        <wps:spPr>
                          <a:xfrm rot="-10799999">
                            <a:off x="959416" y="4062564"/>
                            <a:ext cx="657026" cy="142889"/>
                          </a:xfrm>
                          <a:prstGeom prst="rect">
                            <a:avLst/>
                          </a:prstGeom>
                          <a:ln>
                            <a:noFill/>
                          </a:ln>
                        </wps:spPr>
                        <wps:txbx>
                          <w:txbxContent>
                            <w:p w14:paraId="1421848B"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719" name="Rectangle 23719"/>
                        <wps:cNvSpPr/>
                        <wps:spPr>
                          <a:xfrm rot="-10799999">
                            <a:off x="164467" y="4062564"/>
                            <a:ext cx="532568" cy="142889"/>
                          </a:xfrm>
                          <a:prstGeom prst="rect">
                            <a:avLst/>
                          </a:prstGeom>
                          <a:ln>
                            <a:noFill/>
                          </a:ln>
                        </wps:spPr>
                        <wps:txbx>
                          <w:txbxContent>
                            <w:p w14:paraId="79263184" w14:textId="77777777" w:rsidR="00B32EF2" w:rsidRDefault="00000000">
                              <w:r>
                                <w:rPr>
                                  <w:rFonts w:ascii="Arial" w:eastAsia="Arial" w:hAnsi="Arial" w:cs="Arial"/>
                                  <w:b/>
                                  <w:sz w:val="18"/>
                                </w:rPr>
                                <w:t>Pag. 75</w:t>
                              </w:r>
                            </w:p>
                          </w:txbxContent>
                        </wps:txbx>
                        <wps:bodyPr horzOverflow="overflow" vert="horz" lIns="0" tIns="0" rIns="0" bIns="0" rtlCol="0">
                          <a:noAutofit/>
                        </wps:bodyPr>
                      </wps:wsp>
                      <wps:wsp>
                        <wps:cNvPr id="23720" name="Rectangle 23720"/>
                        <wps:cNvSpPr/>
                        <wps:spPr>
                          <a:xfrm rot="-10799999">
                            <a:off x="-532519" y="3891115"/>
                            <a:ext cx="4429956" cy="142889"/>
                          </a:xfrm>
                          <a:prstGeom prst="rect">
                            <a:avLst/>
                          </a:prstGeom>
                          <a:ln>
                            <a:noFill/>
                          </a:ln>
                        </wps:spPr>
                        <wps:txbx>
                          <w:txbxContent>
                            <w:p w14:paraId="2FDE3F02" w14:textId="77777777" w:rsidR="00B32EF2" w:rsidRDefault="00000000">
                              <w:r>
                                <w:rPr>
                                  <w:rFonts w:ascii="Arial" w:eastAsia="Arial" w:hAnsi="Arial" w:cs="Arial"/>
                                  <w:sz w:val="18"/>
                                </w:rPr>
                                <w:t>Art. 78 - Nomina del relatore e fissazione della data di trattazione</w:t>
                              </w:r>
                            </w:p>
                          </w:txbxContent>
                        </wps:txbx>
                        <wps:bodyPr horzOverflow="overflow" vert="horz" lIns="0" tIns="0" rIns="0" bIns="0" rtlCol="0">
                          <a:noAutofit/>
                        </wps:bodyPr>
                      </wps:wsp>
                      <wps:wsp>
                        <wps:cNvPr id="23721" name="Rectangle 23721"/>
                        <wps:cNvSpPr/>
                        <wps:spPr>
                          <a:xfrm rot="-10799999">
                            <a:off x="1919000" y="3719665"/>
                            <a:ext cx="1978436" cy="142889"/>
                          </a:xfrm>
                          <a:prstGeom prst="rect">
                            <a:avLst/>
                          </a:prstGeom>
                          <a:ln>
                            <a:noFill/>
                          </a:ln>
                        </wps:spPr>
                        <wps:txbx>
                          <w:txbxContent>
                            <w:p w14:paraId="095FA197" w14:textId="77777777" w:rsidR="00B32EF2" w:rsidRDefault="00000000">
                              <w:r>
                                <w:rPr>
                                  <w:rFonts w:ascii="Arial" w:eastAsia="Arial" w:hAnsi="Arial" w:cs="Arial"/>
                                  <w:sz w:val="18"/>
                                </w:rPr>
                                <w:t>Art. 79 - Avviso di trattazione</w:t>
                              </w:r>
                            </w:p>
                          </w:txbxContent>
                        </wps:txbx>
                        <wps:bodyPr horzOverflow="overflow" vert="horz" lIns="0" tIns="0" rIns="0" bIns="0" rtlCol="0">
                          <a:noAutofit/>
                        </wps:bodyPr>
                      </wps:wsp>
                      <wps:wsp>
                        <wps:cNvPr id="23722" name="Rectangle 23722"/>
                        <wps:cNvSpPr/>
                        <wps:spPr>
                          <a:xfrm rot="-10799999">
                            <a:off x="846795" y="3548215"/>
                            <a:ext cx="3050641" cy="142889"/>
                          </a:xfrm>
                          <a:prstGeom prst="rect">
                            <a:avLst/>
                          </a:prstGeom>
                          <a:ln>
                            <a:noFill/>
                          </a:ln>
                        </wps:spPr>
                        <wps:txbx>
                          <w:txbxContent>
                            <w:p w14:paraId="4AAFB7AC" w14:textId="77777777" w:rsidR="00B32EF2" w:rsidRDefault="00000000">
                              <w:r>
                                <w:rPr>
                                  <w:rFonts w:ascii="Arial" w:eastAsia="Arial" w:hAnsi="Arial" w:cs="Arial"/>
                                  <w:sz w:val="18"/>
                                </w:rPr>
                                <w:t>Art. 80 - Deposito di documenti e di memorie</w:t>
                              </w:r>
                            </w:p>
                          </w:txbxContent>
                        </wps:txbx>
                        <wps:bodyPr horzOverflow="overflow" vert="horz" lIns="0" tIns="0" rIns="0" bIns="0" rtlCol="0">
                          <a:noAutofit/>
                        </wps:bodyPr>
                      </wps:wsp>
                      <wps:wsp>
                        <wps:cNvPr id="23723" name="Rectangle 23723"/>
                        <wps:cNvSpPr/>
                        <wps:spPr>
                          <a:xfrm rot="-10799999">
                            <a:off x="1018484" y="3376765"/>
                            <a:ext cx="2878951" cy="142889"/>
                          </a:xfrm>
                          <a:prstGeom prst="rect">
                            <a:avLst/>
                          </a:prstGeom>
                          <a:ln>
                            <a:noFill/>
                          </a:ln>
                        </wps:spPr>
                        <wps:txbx>
                          <w:txbxContent>
                            <w:p w14:paraId="199A2059" w14:textId="77777777" w:rsidR="00B32EF2" w:rsidRDefault="00000000">
                              <w:r>
                                <w:rPr>
                                  <w:rFonts w:ascii="Arial" w:eastAsia="Arial" w:hAnsi="Arial" w:cs="Arial"/>
                                  <w:sz w:val="18"/>
                                </w:rPr>
                                <w:t>Art. 81 - Trattazione in camera di consiglio</w:t>
                              </w:r>
                            </w:p>
                          </w:txbxContent>
                        </wps:txbx>
                        <wps:bodyPr horzOverflow="overflow" vert="horz" lIns="0" tIns="0" rIns="0" bIns="0" rtlCol="0">
                          <a:noAutofit/>
                        </wps:bodyPr>
                      </wps:wsp>
                      <wps:wsp>
                        <wps:cNvPr id="23724" name="Rectangle 23724"/>
                        <wps:cNvSpPr/>
                        <wps:spPr>
                          <a:xfrm rot="-10799999">
                            <a:off x="1107962" y="3205315"/>
                            <a:ext cx="2789473" cy="142889"/>
                          </a:xfrm>
                          <a:prstGeom prst="rect">
                            <a:avLst/>
                          </a:prstGeom>
                          <a:ln>
                            <a:noFill/>
                          </a:ln>
                        </wps:spPr>
                        <wps:txbx>
                          <w:txbxContent>
                            <w:p w14:paraId="13E803E4" w14:textId="77777777" w:rsidR="00B32EF2" w:rsidRDefault="00000000">
                              <w:r>
                                <w:rPr>
                                  <w:rFonts w:ascii="Arial" w:eastAsia="Arial" w:hAnsi="Arial" w:cs="Arial"/>
                                  <w:sz w:val="18"/>
                                </w:rPr>
                                <w:t>Art. 82 - Discussione in pubblica udienza</w:t>
                              </w:r>
                            </w:p>
                          </w:txbxContent>
                        </wps:txbx>
                        <wps:bodyPr horzOverflow="overflow" vert="horz" lIns="0" tIns="0" rIns="0" bIns="0" rtlCol="0">
                          <a:noAutofit/>
                        </wps:bodyPr>
                      </wps:wsp>
                      <wps:wsp>
                        <wps:cNvPr id="23725" name="Rectangle 23725"/>
                        <wps:cNvSpPr/>
                        <wps:spPr>
                          <a:xfrm rot="-10799999">
                            <a:off x="1992226" y="3033865"/>
                            <a:ext cx="1905209" cy="142889"/>
                          </a:xfrm>
                          <a:prstGeom prst="rect">
                            <a:avLst/>
                          </a:prstGeom>
                          <a:ln>
                            <a:noFill/>
                          </a:ln>
                        </wps:spPr>
                        <wps:txbx>
                          <w:txbxContent>
                            <w:p w14:paraId="1C2ED813" w14:textId="77777777" w:rsidR="00B32EF2" w:rsidRDefault="00000000">
                              <w:r>
                                <w:rPr>
                                  <w:rFonts w:ascii="Arial" w:eastAsia="Arial" w:hAnsi="Arial" w:cs="Arial"/>
                                  <w:sz w:val="18"/>
                                </w:rPr>
                                <w:t>Art. 83 - Udienza a distanza</w:t>
                              </w:r>
                            </w:p>
                          </w:txbxContent>
                        </wps:txbx>
                        <wps:bodyPr horzOverflow="overflow" vert="horz" lIns="0" tIns="0" rIns="0" bIns="0" rtlCol="0">
                          <a:noAutofit/>
                        </wps:bodyPr>
                      </wps:wsp>
                      <wps:wsp>
                        <wps:cNvPr id="23726" name="Rectangle 23726"/>
                        <wps:cNvSpPr/>
                        <wps:spPr>
                          <a:xfrm rot="-10799999">
                            <a:off x="238535" y="2862415"/>
                            <a:ext cx="3658900" cy="142889"/>
                          </a:xfrm>
                          <a:prstGeom prst="rect">
                            <a:avLst/>
                          </a:prstGeom>
                          <a:ln>
                            <a:noFill/>
                          </a:ln>
                        </wps:spPr>
                        <wps:txbx>
                          <w:txbxContent>
                            <w:p w14:paraId="1EA5F972" w14:textId="77777777" w:rsidR="00B32EF2" w:rsidRDefault="00000000">
                              <w:r>
                                <w:rPr>
                                  <w:rFonts w:ascii="Arial" w:eastAsia="Arial" w:hAnsi="Arial" w:cs="Arial"/>
                                  <w:sz w:val="18"/>
                                </w:rPr>
                                <w:t>Art. 84 - Deliberazioni della corte di giustizia tributaria</w:t>
                              </w:r>
                            </w:p>
                          </w:txbxContent>
                        </wps:txbx>
                        <wps:bodyPr horzOverflow="overflow" vert="horz" lIns="0" tIns="0" rIns="0" bIns="0" rtlCol="0">
                          <a:noAutofit/>
                        </wps:bodyPr>
                      </wps:wsp>
                      <wps:wsp>
                        <wps:cNvPr id="23727" name="Rectangle 23727"/>
                        <wps:cNvSpPr/>
                        <wps:spPr>
                          <a:xfrm rot="-10799999">
                            <a:off x="642785" y="2690964"/>
                            <a:ext cx="3254651" cy="142889"/>
                          </a:xfrm>
                          <a:prstGeom prst="rect">
                            <a:avLst/>
                          </a:prstGeom>
                          <a:ln>
                            <a:noFill/>
                          </a:ln>
                        </wps:spPr>
                        <wps:txbx>
                          <w:txbxContent>
                            <w:p w14:paraId="41BC1B27" w14:textId="77777777" w:rsidR="00B32EF2" w:rsidRDefault="00000000">
                              <w:r>
                                <w:rPr>
                                  <w:rFonts w:ascii="Arial" w:eastAsia="Arial" w:hAnsi="Arial" w:cs="Arial"/>
                                  <w:b/>
                                  <w:sz w:val="18"/>
                                </w:rPr>
                                <w:t>Sezione IV – La decisione della controversia</w:t>
                              </w:r>
                            </w:p>
                          </w:txbxContent>
                        </wps:txbx>
                        <wps:bodyPr horzOverflow="overflow" vert="horz" lIns="0" tIns="0" rIns="0" bIns="0" rtlCol="0">
                          <a:noAutofit/>
                        </wps:bodyPr>
                      </wps:wsp>
                      <wps:wsp>
                        <wps:cNvPr id="23728" name="Rectangle 23728"/>
                        <wps:cNvSpPr/>
                        <wps:spPr>
                          <a:xfrm rot="-10799999">
                            <a:off x="927050" y="2690964"/>
                            <a:ext cx="787656" cy="142889"/>
                          </a:xfrm>
                          <a:prstGeom prst="rect">
                            <a:avLst/>
                          </a:prstGeom>
                          <a:ln>
                            <a:noFill/>
                          </a:ln>
                        </wps:spPr>
                        <wps:txbx>
                          <w:txbxContent>
                            <w:p w14:paraId="5B28A146"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729" name="Rectangle 23729"/>
                        <wps:cNvSpPr/>
                        <wps:spPr>
                          <a:xfrm rot="-10799999">
                            <a:off x="160484" y="2690964"/>
                            <a:ext cx="536551" cy="142889"/>
                          </a:xfrm>
                          <a:prstGeom prst="rect">
                            <a:avLst/>
                          </a:prstGeom>
                          <a:ln>
                            <a:noFill/>
                          </a:ln>
                        </wps:spPr>
                        <wps:txbx>
                          <w:txbxContent>
                            <w:p w14:paraId="1BE8999A" w14:textId="77777777" w:rsidR="00B32EF2" w:rsidRDefault="00000000">
                              <w:r>
                                <w:rPr>
                                  <w:rFonts w:ascii="Arial" w:eastAsia="Arial" w:hAnsi="Arial" w:cs="Arial"/>
                                  <w:b/>
                                  <w:sz w:val="18"/>
                                </w:rPr>
                                <w:t>Pag. 79</w:t>
                              </w:r>
                            </w:p>
                          </w:txbxContent>
                        </wps:txbx>
                        <wps:bodyPr horzOverflow="overflow" vert="horz" lIns="0" tIns="0" rIns="0" bIns="0" rtlCol="0">
                          <a:noAutofit/>
                        </wps:bodyPr>
                      </wps:wsp>
                      <wps:wsp>
                        <wps:cNvPr id="23730" name="Rectangle 23730"/>
                        <wps:cNvSpPr/>
                        <wps:spPr>
                          <a:xfrm rot="-10799999">
                            <a:off x="1560918" y="2519514"/>
                            <a:ext cx="2336517" cy="142889"/>
                          </a:xfrm>
                          <a:prstGeom prst="rect">
                            <a:avLst/>
                          </a:prstGeom>
                          <a:ln>
                            <a:noFill/>
                          </a:ln>
                        </wps:spPr>
                        <wps:txbx>
                          <w:txbxContent>
                            <w:p w14:paraId="10BFA6F6" w14:textId="77777777" w:rsidR="00B32EF2" w:rsidRDefault="00000000">
                              <w:r>
                                <w:rPr>
                                  <w:rFonts w:ascii="Arial" w:eastAsia="Arial" w:hAnsi="Arial" w:cs="Arial"/>
                                  <w:sz w:val="18"/>
                                </w:rPr>
                                <w:t>Art. 85 - Contenuto della sentenza</w:t>
                              </w:r>
                            </w:p>
                          </w:txbxContent>
                        </wps:txbx>
                        <wps:bodyPr horzOverflow="overflow" vert="horz" lIns="0" tIns="0" rIns="0" bIns="0" rtlCol="0">
                          <a:noAutofit/>
                        </wps:bodyPr>
                      </wps:wsp>
                      <wps:wsp>
                        <wps:cNvPr id="23731" name="Rectangle 23731"/>
                        <wps:cNvSpPr/>
                        <wps:spPr>
                          <a:xfrm rot="-10799999">
                            <a:off x="103770" y="2348064"/>
                            <a:ext cx="3793665" cy="142889"/>
                          </a:xfrm>
                          <a:prstGeom prst="rect">
                            <a:avLst/>
                          </a:prstGeom>
                          <a:ln>
                            <a:noFill/>
                          </a:ln>
                        </wps:spPr>
                        <wps:txbx>
                          <w:txbxContent>
                            <w:p w14:paraId="55DAD309" w14:textId="77777777" w:rsidR="00B32EF2" w:rsidRDefault="00000000">
                              <w:r>
                                <w:rPr>
                                  <w:rFonts w:ascii="Arial" w:eastAsia="Arial" w:hAnsi="Arial" w:cs="Arial"/>
                                  <w:sz w:val="18"/>
                                </w:rPr>
                                <w:t>Art. 86 - Pubblicazione e comunicazione della sentenza</w:t>
                              </w:r>
                            </w:p>
                          </w:txbxContent>
                        </wps:txbx>
                        <wps:bodyPr horzOverflow="overflow" vert="horz" lIns="0" tIns="0" rIns="0" bIns="0" rtlCol="0">
                          <a:noAutofit/>
                        </wps:bodyPr>
                      </wps:wsp>
                      <wps:wsp>
                        <wps:cNvPr id="23732" name="Rectangle 23732"/>
                        <wps:cNvSpPr/>
                        <wps:spPr>
                          <a:xfrm rot="-10799999">
                            <a:off x="29024" y="2176614"/>
                            <a:ext cx="3868412" cy="142889"/>
                          </a:xfrm>
                          <a:prstGeom prst="rect">
                            <a:avLst/>
                          </a:prstGeom>
                          <a:ln>
                            <a:noFill/>
                          </a:ln>
                        </wps:spPr>
                        <wps:txbx>
                          <w:txbxContent>
                            <w:p w14:paraId="70BDDAAF" w14:textId="77777777" w:rsidR="00B32EF2" w:rsidRDefault="00000000">
                              <w:r>
                                <w:rPr>
                                  <w:rFonts w:ascii="Arial" w:eastAsia="Arial" w:hAnsi="Arial" w:cs="Arial"/>
                                  <w:sz w:val="18"/>
                                </w:rPr>
                                <w:t>Art. 87 - Richiesta di copie e notificazione della sentenza</w:t>
                              </w:r>
                            </w:p>
                          </w:txbxContent>
                        </wps:txbx>
                        <wps:bodyPr horzOverflow="overflow" vert="horz" lIns="0" tIns="0" rIns="0" bIns="0" rtlCol="0">
                          <a:noAutofit/>
                        </wps:bodyPr>
                      </wps:wsp>
                      <wps:wsp>
                        <wps:cNvPr id="23733" name="Rectangle 23733"/>
                        <wps:cNvSpPr/>
                        <wps:spPr>
                          <a:xfrm rot="-10799999">
                            <a:off x="828047" y="2005164"/>
                            <a:ext cx="3070875" cy="142889"/>
                          </a:xfrm>
                          <a:prstGeom prst="rect">
                            <a:avLst/>
                          </a:prstGeom>
                          <a:ln>
                            <a:noFill/>
                          </a:ln>
                        </wps:spPr>
                        <wps:txbx>
                          <w:txbxContent>
                            <w:p w14:paraId="1C9B28CE" w14:textId="77777777" w:rsidR="00B32EF2" w:rsidRDefault="00000000">
                              <w:r>
                                <w:rPr>
                                  <w:rFonts w:ascii="Arial" w:eastAsia="Arial" w:hAnsi="Arial" w:cs="Arial"/>
                                  <w:b/>
                                  <w:sz w:val="18"/>
                                </w:rPr>
                                <w:t>Sezione V – Sospensione, interruzione ed</w:t>
                              </w:r>
                            </w:p>
                          </w:txbxContent>
                        </wps:txbx>
                        <wps:bodyPr horzOverflow="overflow" vert="horz" lIns="0" tIns="0" rIns="0" bIns="0" rtlCol="0">
                          <a:noAutofit/>
                        </wps:bodyPr>
                      </wps:wsp>
                      <wps:wsp>
                        <wps:cNvPr id="23734" name="Rectangle 23734"/>
                        <wps:cNvSpPr/>
                        <wps:spPr>
                          <a:xfrm rot="-10799999">
                            <a:off x="834867" y="2005164"/>
                            <a:ext cx="1158902" cy="142889"/>
                          </a:xfrm>
                          <a:prstGeom prst="rect">
                            <a:avLst/>
                          </a:prstGeom>
                          <a:ln>
                            <a:noFill/>
                          </a:ln>
                        </wps:spPr>
                        <wps:txbx>
                          <w:txbxContent>
                            <w:p w14:paraId="4F09BD2B"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735" name="Rectangle 23735"/>
                        <wps:cNvSpPr/>
                        <wps:spPr>
                          <a:xfrm rot="-10799999">
                            <a:off x="164546" y="2005164"/>
                            <a:ext cx="530546" cy="142889"/>
                          </a:xfrm>
                          <a:prstGeom prst="rect">
                            <a:avLst/>
                          </a:prstGeom>
                          <a:ln>
                            <a:noFill/>
                          </a:ln>
                        </wps:spPr>
                        <wps:txbx>
                          <w:txbxContent>
                            <w:p w14:paraId="130366ED" w14:textId="77777777" w:rsidR="00B32EF2" w:rsidRDefault="00000000">
                              <w:r>
                                <w:rPr>
                                  <w:rFonts w:ascii="Arial" w:eastAsia="Arial" w:hAnsi="Arial" w:cs="Arial"/>
                                  <w:b/>
                                  <w:sz w:val="18"/>
                                </w:rPr>
                                <w:t>Pag. 81</w:t>
                              </w:r>
                            </w:p>
                          </w:txbxContent>
                        </wps:txbx>
                        <wps:bodyPr horzOverflow="overflow" vert="horz" lIns="0" tIns="0" rIns="0" bIns="0" rtlCol="0">
                          <a:noAutofit/>
                        </wps:bodyPr>
                      </wps:wsp>
                      <wps:wsp>
                        <wps:cNvPr id="23736" name="Rectangle 23736"/>
                        <wps:cNvSpPr/>
                        <wps:spPr>
                          <a:xfrm rot="-10799999">
                            <a:off x="2135015" y="1833714"/>
                            <a:ext cx="1764135" cy="142889"/>
                          </a:xfrm>
                          <a:prstGeom prst="rect">
                            <a:avLst/>
                          </a:prstGeom>
                          <a:ln>
                            <a:noFill/>
                          </a:ln>
                        </wps:spPr>
                        <wps:txbx>
                          <w:txbxContent>
                            <w:p w14:paraId="3005F057" w14:textId="77777777" w:rsidR="00B32EF2" w:rsidRDefault="00000000">
                              <w:r>
                                <w:rPr>
                                  <w:rFonts w:ascii="Arial" w:eastAsia="Arial" w:hAnsi="Arial" w:cs="Arial"/>
                                  <w:b/>
                                  <w:sz w:val="18"/>
                                </w:rPr>
                                <w:t>estinzione del processo</w:t>
                              </w:r>
                            </w:p>
                          </w:txbxContent>
                        </wps:txbx>
                        <wps:bodyPr horzOverflow="overflow" vert="horz" lIns="0" tIns="0" rIns="0" bIns="0" rtlCol="0">
                          <a:noAutofit/>
                        </wps:bodyPr>
                      </wps:wsp>
                      <wps:wsp>
                        <wps:cNvPr id="23737" name="Rectangle 23737"/>
                        <wps:cNvSpPr/>
                        <wps:spPr>
                          <a:xfrm rot="-10799999">
                            <a:off x="1490093" y="1662264"/>
                            <a:ext cx="2407343" cy="142889"/>
                          </a:xfrm>
                          <a:prstGeom prst="rect">
                            <a:avLst/>
                          </a:prstGeom>
                          <a:ln>
                            <a:noFill/>
                          </a:ln>
                        </wps:spPr>
                        <wps:txbx>
                          <w:txbxContent>
                            <w:p w14:paraId="6FD4C7D2" w14:textId="77777777" w:rsidR="00B32EF2" w:rsidRDefault="00000000">
                              <w:r>
                                <w:rPr>
                                  <w:rFonts w:ascii="Arial" w:eastAsia="Arial" w:hAnsi="Arial" w:cs="Arial"/>
                                  <w:sz w:val="18"/>
                                </w:rPr>
                                <w:t>Art. 88 - Sospensione del processo</w:t>
                              </w:r>
                            </w:p>
                          </w:txbxContent>
                        </wps:txbx>
                        <wps:bodyPr horzOverflow="overflow" vert="horz" lIns="0" tIns="0" rIns="0" bIns="0" rtlCol="0">
                          <a:noAutofit/>
                        </wps:bodyPr>
                      </wps:wsp>
                      <wps:wsp>
                        <wps:cNvPr id="23738" name="Rectangle 23738"/>
                        <wps:cNvSpPr/>
                        <wps:spPr>
                          <a:xfrm rot="-10799999">
                            <a:off x="1565494" y="1490814"/>
                            <a:ext cx="2331942" cy="142889"/>
                          </a:xfrm>
                          <a:prstGeom prst="rect">
                            <a:avLst/>
                          </a:prstGeom>
                          <a:ln>
                            <a:noFill/>
                          </a:ln>
                        </wps:spPr>
                        <wps:txbx>
                          <w:txbxContent>
                            <w:p w14:paraId="6E6F346B" w14:textId="77777777" w:rsidR="00B32EF2" w:rsidRDefault="00000000">
                              <w:r>
                                <w:rPr>
                                  <w:rFonts w:ascii="Arial" w:eastAsia="Arial" w:hAnsi="Arial" w:cs="Arial"/>
                                  <w:sz w:val="18"/>
                                </w:rPr>
                                <w:t>Art. 89 - Interruzione del processo</w:t>
                              </w:r>
                            </w:p>
                          </w:txbxContent>
                        </wps:txbx>
                        <wps:bodyPr horzOverflow="overflow" vert="horz" lIns="0" tIns="0" rIns="0" bIns="0" rtlCol="0">
                          <a:noAutofit/>
                        </wps:bodyPr>
                      </wps:wsp>
                      <wps:wsp>
                        <wps:cNvPr id="23739" name="Rectangle 23739"/>
                        <wps:cNvSpPr/>
                        <wps:spPr>
                          <a:xfrm rot="-10799999">
                            <a:off x="-1098714" y="1319364"/>
                            <a:ext cx="4996151" cy="142889"/>
                          </a:xfrm>
                          <a:prstGeom prst="rect">
                            <a:avLst/>
                          </a:prstGeom>
                          <a:ln>
                            <a:noFill/>
                          </a:ln>
                        </wps:spPr>
                        <wps:txbx>
                          <w:txbxContent>
                            <w:p w14:paraId="5E806567" w14:textId="77777777" w:rsidR="00B32EF2" w:rsidRDefault="00000000">
                              <w:r>
                                <w:rPr>
                                  <w:rFonts w:ascii="Arial" w:eastAsia="Arial" w:hAnsi="Arial" w:cs="Arial"/>
                                  <w:sz w:val="18"/>
                                </w:rPr>
                                <w:t>Art. 90 - Provvedimenti sulla sospensione e sull’interruzione del processo</w:t>
                              </w:r>
                            </w:p>
                          </w:txbxContent>
                        </wps:txbx>
                        <wps:bodyPr horzOverflow="overflow" vert="horz" lIns="0" tIns="0" rIns="0" bIns="0" rtlCol="0">
                          <a:noAutofit/>
                        </wps:bodyPr>
                      </wps:wsp>
                      <wps:wsp>
                        <wps:cNvPr id="23740" name="Rectangle 23740"/>
                        <wps:cNvSpPr/>
                        <wps:spPr>
                          <a:xfrm rot="-10799999">
                            <a:off x="-536334" y="1147914"/>
                            <a:ext cx="4433771" cy="142890"/>
                          </a:xfrm>
                          <a:prstGeom prst="rect">
                            <a:avLst/>
                          </a:prstGeom>
                          <a:ln>
                            <a:noFill/>
                          </a:ln>
                        </wps:spPr>
                        <wps:txbx>
                          <w:txbxContent>
                            <w:p w14:paraId="03E0761F" w14:textId="77777777" w:rsidR="00B32EF2" w:rsidRDefault="00000000">
                              <w:r>
                                <w:rPr>
                                  <w:rFonts w:ascii="Arial" w:eastAsia="Arial" w:hAnsi="Arial" w:cs="Arial"/>
                                  <w:sz w:val="18"/>
                                </w:rPr>
                                <w:t>Art. 91 - Effetti della sospensione e dell’interruzione del processo</w:t>
                              </w:r>
                            </w:p>
                          </w:txbxContent>
                        </wps:txbx>
                        <wps:bodyPr horzOverflow="overflow" vert="horz" lIns="0" tIns="0" rIns="0" bIns="0" rtlCol="0">
                          <a:noAutofit/>
                        </wps:bodyPr>
                      </wps:wsp>
                      <wps:wsp>
                        <wps:cNvPr id="23741" name="Rectangle 23741"/>
                        <wps:cNvSpPr/>
                        <wps:spPr>
                          <a:xfrm rot="-10799999">
                            <a:off x="455057" y="976464"/>
                            <a:ext cx="3442380" cy="142889"/>
                          </a:xfrm>
                          <a:prstGeom prst="rect">
                            <a:avLst/>
                          </a:prstGeom>
                          <a:ln>
                            <a:noFill/>
                          </a:ln>
                        </wps:spPr>
                        <wps:txbx>
                          <w:txbxContent>
                            <w:p w14:paraId="4F008C6B" w14:textId="77777777" w:rsidR="00B32EF2" w:rsidRDefault="00000000">
                              <w:r>
                                <w:rPr>
                                  <w:rFonts w:ascii="Arial" w:eastAsia="Arial" w:hAnsi="Arial" w:cs="Arial"/>
                                  <w:sz w:val="18"/>
                                </w:rPr>
                                <w:t>Art. 92 - Ripresa del processo sospeso o interrotto</w:t>
                              </w:r>
                            </w:p>
                          </w:txbxContent>
                        </wps:txbx>
                        <wps:bodyPr horzOverflow="overflow" vert="horz" lIns="0" tIns="0" rIns="0" bIns="0" rtlCol="0">
                          <a:noAutofit/>
                        </wps:bodyPr>
                      </wps:wsp>
                      <wps:wsp>
                        <wps:cNvPr id="23742" name="Rectangle 23742"/>
                        <wps:cNvSpPr/>
                        <wps:spPr>
                          <a:xfrm rot="-10799999">
                            <a:off x="151703" y="805014"/>
                            <a:ext cx="3745733" cy="142889"/>
                          </a:xfrm>
                          <a:prstGeom prst="rect">
                            <a:avLst/>
                          </a:prstGeom>
                          <a:ln>
                            <a:noFill/>
                          </a:ln>
                        </wps:spPr>
                        <wps:txbx>
                          <w:txbxContent>
                            <w:p w14:paraId="2318857A" w14:textId="77777777" w:rsidR="00B32EF2" w:rsidRDefault="00000000">
                              <w:r>
                                <w:rPr>
                                  <w:rFonts w:ascii="Arial" w:eastAsia="Arial" w:hAnsi="Arial" w:cs="Arial"/>
                                  <w:sz w:val="18"/>
                                </w:rPr>
                                <w:t>Art. 93 - Estinzione del processo per rinuncia al ricorso</w:t>
                              </w:r>
                            </w:p>
                          </w:txbxContent>
                        </wps:txbx>
                        <wps:bodyPr horzOverflow="overflow" vert="horz" lIns="0" tIns="0" rIns="0" bIns="0" rtlCol="0">
                          <a:noAutofit/>
                        </wps:bodyPr>
                      </wps:wsp>
                      <wps:wsp>
                        <wps:cNvPr id="23743" name="Rectangle 23743"/>
                        <wps:cNvSpPr/>
                        <wps:spPr>
                          <a:xfrm rot="-10799999">
                            <a:off x="76985" y="633564"/>
                            <a:ext cx="3820450" cy="142889"/>
                          </a:xfrm>
                          <a:prstGeom prst="rect">
                            <a:avLst/>
                          </a:prstGeom>
                          <a:ln>
                            <a:noFill/>
                          </a:ln>
                        </wps:spPr>
                        <wps:txbx>
                          <w:txbxContent>
                            <w:p w14:paraId="76AF0B46" w14:textId="77777777" w:rsidR="00B32EF2" w:rsidRDefault="00000000">
                              <w:r>
                                <w:rPr>
                                  <w:rFonts w:ascii="Arial" w:eastAsia="Arial" w:hAnsi="Arial" w:cs="Arial"/>
                                  <w:sz w:val="18"/>
                                </w:rPr>
                                <w:t>Art. 94 - Estinzione del processo per inattività delle parti</w:t>
                              </w:r>
                            </w:p>
                          </w:txbxContent>
                        </wps:txbx>
                        <wps:bodyPr horzOverflow="overflow" vert="horz" lIns="0" tIns="0" rIns="0" bIns="0" rtlCol="0">
                          <a:noAutofit/>
                        </wps:bodyPr>
                      </wps:wsp>
                      <wps:wsp>
                        <wps:cNvPr id="23744" name="Rectangle 23744"/>
                        <wps:cNvSpPr/>
                        <wps:spPr>
                          <a:xfrm rot="-10799999">
                            <a:off x="-1286153" y="462114"/>
                            <a:ext cx="5183590" cy="142889"/>
                          </a:xfrm>
                          <a:prstGeom prst="rect">
                            <a:avLst/>
                          </a:prstGeom>
                          <a:ln>
                            <a:noFill/>
                          </a:ln>
                        </wps:spPr>
                        <wps:txbx>
                          <w:txbxContent>
                            <w:p w14:paraId="0B324DFC" w14:textId="77777777" w:rsidR="00B32EF2" w:rsidRDefault="00000000">
                              <w:r>
                                <w:rPr>
                                  <w:rFonts w:ascii="Arial" w:eastAsia="Arial" w:hAnsi="Arial" w:cs="Arial"/>
                                  <w:sz w:val="18"/>
                                </w:rPr>
                                <w:t>Art. 95 - Estinzione del giudizio per cessazione della materia del contendere</w:t>
                              </w:r>
                            </w:p>
                          </w:txbxContent>
                        </wps:txbx>
                        <wps:bodyPr horzOverflow="overflow" vert="horz" lIns="0" tIns="0" rIns="0" bIns="0" rtlCol="0">
                          <a:noAutofit/>
                        </wps:bodyPr>
                      </wps:wsp>
                    </wpg:wgp>
                  </a:graphicData>
                </a:graphic>
              </wp:inline>
            </w:drawing>
          </mc:Choice>
          <mc:Fallback>
            <w:pict>
              <v:group w14:anchorId="579487A8" id="Group 202473" o:spid="_x0000_s7258" style="width:306.9pt;height:493.15pt;mso-position-horizontal-relative:char;mso-position-vertical-relative:line" coordsize="38974,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M0HxwcAAMVUAAAOAAAAZHJzL2Uyb0RvYy54bWzknM2O2zYUhfcF+g6C9hPz/8eIJyiaJihQ&#10;NEHTPoDGI48N2JYhKfGkT99DyaJTmUFRCRgumIUjyx5Z4ncPeXl4pddvng/77EtZN7vquMrpK5Jn&#10;5XFdPe6OT6v8rz/f3Zk8a9ri+Fjsq2O5yr+WTf7m/scfXp9Py5JV22r/WNYZDnJslufTKt+27Wm5&#10;WDTrbXkomlfVqTziw01VH4oWb+unxWNdnHH0w37BCFGLc1U/nupqXTYN9r7tP8zvu+NvNuW6/bDZ&#10;NGWb7Vc5zq3tXuvu9cG9Lu5fF8unujhtd+vLaRQTzuJQ7I74UX+ot0VbZJ/r3c2hDrt1XTXVpn21&#10;rg6LarPZrcvuGnA1lIyu5n1dfT511/K0PD+dfDOhaUftNPmw69+/vK9Pn04fa7TE+fSEtujeuWt5&#10;3tQH9z/OMnvumuyrb7Lyuc3W2MmN1YKrPFvjM8UUM1L0jbreouVv/m69/eU//nIx/PDiX6dzPiFA&#10;mmsbNPPa4NO2OJVd0zZLtMHHOts9rnLGNWF5diwOCNU/EDzF8WlfZv3uroG6b/vmapYNWm5oq6yu&#10;EF93lGjr/nXxcGk7aoiijOYZWulOMWovkTc0I9WGK9u3IpNECeUa0TdFsTzVTfu+rA6Z21jlNc6t&#10;O37x5bem7b86fMWdzv7oXo/Vu91+33/q9qBFhzN2W+3zw3N32dKaDprb+VA9fkVrbKv67w/Q9WZf&#10;nVd5ddnKndTx8+7TPNv/egQFp6phox42HoaNut3/XHXa60/op89ttdl1Z3z9tcuZAa+LwRfizMOc&#10;uWt4dxKIiv/PWWurBLo8JwZKLd70Yhg4c0q1NviCkwsVzPSB8IKg5XB9yYAWYdA+4ieBZlJYJ1hg&#10;lFYYSbt2LZYetBJMKH0FbewLK7rrQa4aS0DRMgzaR/wk0EJRArgdaK01UWPQGP0EQyc4KPrFQevk&#10;FI10IzRE+4ifBpoYYjD4O0UrItWNooWxHMlNPNAmOdDoP0OgfcRPA60t4RCsAy24oLeKpkaQS0rr&#10;xugXV3Q3VCTVdSMjCoH2ET8JNPSsWZ+MScxM9I2iiTGaRByj++QvKdBImUKgfcRPAk2l5pBsL2li&#10;KRtLmnHGpcUoHmuQtjS1vpsCR4A0ds+ZX1EirFH9KC0stWasaWaEljriKG3ZcIGpTLAobI0QaR/y&#10;kzStrKWk77yFFnBHxnk34HPXu0eTtHcKkgEdtsaoj/hJoI21GIe7vrsHPbJMLCFMxhykvVGQDOew&#10;NUZ9wE/iTDtD7PucJZeGx+TsfYJkOIedMeoDfhpnphShmD5hfiWkVvZmiFacCnoxu2PMr6w3CpIh&#10;HbbGejKTzW4mKSW9ByoEkeJmiMYyRtwh2hsFyYAOW2OQ46ys28LgZuibnaQZF84QxfGubjfFnIu7&#10;bC1aMuadgmRIA0co6/YhP6nzllqLYXpFFJM3kuZY1NLID6KB9k5BMqAhqxBoH/GTQFusWg2DdAd6&#10;lHUriZXwaB6oIsT7BMlwDltjSJRmdd1KdMuQrucOcZYcIo/WcYOzdwlS4ezWCgN6xu45nO8cSJdU&#10;AzRqcigdD9FCMGtlTEV7myAZ0mFjDGVAc0gj14Il0pvdXFOrxmM0tdr4kqyXn19B094oSIZ02Blj&#10;PuQnjdEGPbdbtHCSlsKwsaQ5cZViCLI4yRhAe6cgGdBha4z5iJ8EGhUmRqAEryPNtdJjSTOjjZUx&#10;SSdnjrGwOYbdszpvVxx6mWBxRiQfa5oBtIg3wYKmvVWQjKbD5hjzIT9N09Yy5mZQrvcmnJuxpjGK&#10;S+bss2i9t7cKkiEddsdAaY6mGTdYu+hAM6xNi7GksXSJMl8kbNFAe6sgGdBhcwwW5hzQqPPU5gJa&#10;WXJb3I2iYBV1lPZeQTKgw+YY6gLmgLZMI7XuFR0CrQ0ytIhT6WsRTTKcw+YY8wE/bYxWZEi7WYiz&#10;RNcdU8+orLmEcSqcXV1uwBzD7jl6pijothRdBXIx55LJfon7un7FOEjTaMUHWC/3TkEypMPmGPch&#10;P03RhOMejR40F7jpbrSswbXlzjCLlotdi2iSAR32xriP+EmgmSVuhu4ETbVSY0FjumUERBWPs/cJ&#10;kuEctsb4PGvMMENEX3mA270lvRE00ajyjylobxMkAzrsjHEf8ZMEbdBdu/slnaJDoLGghVl0TEV7&#10;lyAZ0JBVKBnzET8JNCSMafL3QUssa7jPY7klSANTS7rDthie6jAn6WaUy+HOWWo4lipHuRjGbYHv&#10;RCTtXYJkFB32xVB2PYc0FbA3LYZ/9N1UKbjeI9JMEM1FtKoxTK+8T5AM6bAxxn3IT+u7URAobJ93&#10;O+pmrGlMpKkVEUfpaxlNMqTD1hj3IT+JNJ5iY43rsjtRAyqecuA6iatnIvB0ExrTHbvW0aSC2t3i&#10;GkjIsHtO943SMcWRvXekqdB2LGohMHrrb6oPXvahNYpc62iSIR12x1DsM4e0kJK4W+kwTlskX2NF&#10;c9QIcoMYi5V6X8tokuEcNscwgs7hjG5ZowjPcTZYyBrrmWvclwVfJh5nbxUkwxmtHeq555ljuLnu&#10;sh6NDlzeyNkwItwyZjQ5e6MgGcxha0z4eJ+Yi6GuhMpe0Lg9h44FLTG/lhiU45H2VkFs0t1DI/Gs&#10;zO7hiZfnerqHcX77vnvc4PXpo/f/AAAA//8DAFBLAwQUAAYACAAAACEAaGBgK9wAAAAFAQAADwAA&#10;AGRycy9kb3ducmV2LnhtbEyPQUvDQBCF74L/YRnBm93EYKgxm1KKeiqCrSDepsk0Cc3Ohuw2Sf+9&#10;oxe9PBje8N738tVsOzXS4FvHBuJFBIq4dFXLtYGP/cvdEpQPyBV2jsnAhTysiuurHLPKTfxO4y7U&#10;SkLYZ2igCaHPtPZlQxb9wvXE4h3dYDHIOdS6GnCScNvp+yhKtcWWpaHBnjYNlafd2Rp4nXBaJ/Hz&#10;uD0dN5ev/cPb5zYmY25v5vUTqEBz+HuGH3xBh0KYDu7MlVedARkSflW8NE5kxsHA4zJNQBe5/k9f&#10;fAMAAP//AwBQSwECLQAUAAYACAAAACEAtoM4kv4AAADhAQAAEwAAAAAAAAAAAAAAAAAAAAAAW0Nv&#10;bnRlbnRfVHlwZXNdLnhtbFBLAQItABQABgAIAAAAIQA4/SH/1gAAAJQBAAALAAAAAAAAAAAAAAAA&#10;AC8BAABfcmVscy8ucmVsc1BLAQItABQABgAIAAAAIQBNmM0HxwcAAMVUAAAOAAAAAAAAAAAAAAAA&#10;AC4CAABkcnMvZTJvRG9jLnhtbFBLAQItABQABgAIAAAAIQBoYGAr3AAAAAUBAAAPAAAAAAAAAAAA&#10;AAAAACEKAABkcnMvZG93bnJldi54bWxQSwUGAAAAAAQABADzAAAAKgsAAAAA&#10;">
                <v:rect id="Rectangle 23702" o:spid="_x0000_s7259" style="position:absolute;left:18061;top:-621;width:1783;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bltxgAAAN4AAAAPAAAAZHJzL2Rvd25yZXYueG1sRI9Ba8JA&#10;FITvBf/D8gRvdWMKrURXEUWag5daBY+P7DOJZt8u2dVEf323UOhxmJlvmPmyN424U+trywom4wQE&#10;cWF1zaWCw/f2dQrCB2SNjWVS8CAPy8XgZY6Zth1/0X0fShEh7DNUUIXgMil9UZFBP7aOOHpn2xoM&#10;Ubal1C12EW4amSbJuzRYc1yo0NG6ouK6vxkFpw27fNvJ4vxcu90lnzaft8NRqdGwX81ABOrDf/iv&#10;nWsF6dtHksLvnXgF5OIHAAD//wMAUEsBAi0AFAAGAAgAAAAhANvh9svuAAAAhQEAABMAAAAAAAAA&#10;AAAAAAAAAAAAAFtDb250ZW50X1R5cGVzXS54bWxQSwECLQAUAAYACAAAACEAWvQsW78AAAAVAQAA&#10;CwAAAAAAAAAAAAAAAAAfAQAAX3JlbHMvLnJlbHNQSwECLQAUAAYACAAAACEAceW5bcYAAADeAAAA&#10;DwAAAAAAAAAAAAAAAAAHAgAAZHJzL2Rvd25yZXYueG1sUEsFBgAAAAADAAMAtwAAAPoCAAAAAA==&#10;" filled="f" stroked="f">
                  <v:textbox inset="0,0,0,0">
                    <w:txbxContent>
                      <w:p w14:paraId="483AF72D" w14:textId="77777777" w:rsidR="00B32EF2" w:rsidRDefault="00000000">
                        <w:r>
                          <w:rPr>
                            <w:rFonts w:ascii="Times New Roman" w:eastAsia="Times New Roman" w:hAnsi="Times New Roman" w:cs="Times New Roman"/>
                          </w:rPr>
                          <w:t>10</w:t>
                        </w:r>
                      </w:p>
                    </w:txbxContent>
                  </v:textbox>
                </v:rect>
                <v:rect id="Rectangle 23703" o:spid="_x0000_s7260" style="position:absolute;left:7796;top:61199;width:311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Rz2xwAAAN4AAAAPAAAAZHJzL2Rvd25yZXYueG1sRI9Pi8Iw&#10;FMTvC36H8ARva7oKu1KNsihiD17WP+Dx0TzbavMSmmirn36zsOBxmJnfMLNFZ2pxp8ZXlhV8DBMQ&#10;xLnVFRcKDvv1+wSED8gaa8uk4EEeFvPe2wxTbVv+ofsuFCJC2KeooAzBpVL6vCSDfmgdcfTOtjEY&#10;omwKqRtsI9zUcpQkn9JgxXGhREfLkvLr7mYUnFbssnUr8/Nz6baXbFJvboejUoN+9z0FEagLr/B/&#10;O9MKRuOvZAx/d+IVkPNfAAAA//8DAFBLAQItABQABgAIAAAAIQDb4fbL7gAAAIUBAAATAAAAAAAA&#10;AAAAAAAAAAAAAABbQ29udGVudF9UeXBlc10ueG1sUEsBAi0AFAAGAAgAAAAhAFr0LFu/AAAAFQEA&#10;AAsAAAAAAAAAAAAAAAAAHwEAAF9yZWxzLy5yZWxzUEsBAi0AFAAGAAgAAAAhAB6pHPbHAAAA3gAA&#10;AA8AAAAAAAAAAAAAAAAABwIAAGRycy9kb3ducmV2LnhtbFBLBQYAAAAAAwADALcAAAD7AgAAAAA=&#10;" filled="f" stroked="f">
                  <v:textbox inset="0,0,0,0">
                    <w:txbxContent>
                      <w:p w14:paraId="6396D105" w14:textId="77777777" w:rsidR="00B32EF2" w:rsidRDefault="00000000">
                        <w:r>
                          <w:rPr>
                            <w:rFonts w:ascii="Arial" w:eastAsia="Arial" w:hAnsi="Arial" w:cs="Arial"/>
                            <w:sz w:val="18"/>
                          </w:rPr>
                          <w:t>Art. 68 - Costituzione in giudizio del ricorrente</w:t>
                        </w:r>
                      </w:p>
                    </w:txbxContent>
                  </v:textbox>
                </v:rect>
                <v:rect id="Rectangle 23704" o:spid="_x0000_s7261" style="position:absolute;left:2549;top:59485;width:364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ISCxwAAAN4AAAAPAAAAZHJzL2Rvd25yZXYueG1sRI9Pa8JA&#10;FMTvBb/D8gRvdVMtKtFVikXMoZf6Bzw+ss8kNvt2ya4m9tN3C4LHYWZ+wyxWnanFjRpfWVbwNkxA&#10;EOdWV1woOOw3rzMQPiBrrC2Tgjt5WC17LwtMtW35m267UIgIYZ+igjIEl0rp85IM+qF1xNE728Zg&#10;iLIppG6wjXBTy1GSTKTBiuNCiY7WJeU/u6tRcPpkl21amZ9/1+7rks3q7fVwVGrQ7z7mIAJ14Rl+&#10;tDOtYDSeJu/wfydeAbn8AwAA//8DAFBLAQItABQABgAIAAAAIQDb4fbL7gAAAIUBAAATAAAAAAAA&#10;AAAAAAAAAAAAAABbQ29udGVudF9UeXBlc10ueG1sUEsBAi0AFAAGAAgAAAAhAFr0LFu/AAAAFQEA&#10;AAsAAAAAAAAAAAAAAAAAHwEAAF9yZWxzLy5yZWxzUEsBAi0AFAAGAAgAAAAhAJFAhILHAAAA3gAA&#10;AA8AAAAAAAAAAAAAAAAABwIAAGRycy9kb3ducmV2LnhtbFBLBQYAAAAAAwADALcAAAD7AgAAAAA=&#10;" filled="f" stroked="f">
                  <v:textbox inset="0,0,0,0">
                    <w:txbxContent>
                      <w:p w14:paraId="6D5E22DF" w14:textId="77777777" w:rsidR="00B32EF2" w:rsidRDefault="00000000">
                        <w:r>
                          <w:rPr>
                            <w:rFonts w:ascii="Arial" w:eastAsia="Arial" w:hAnsi="Arial" w:cs="Arial"/>
                            <w:sz w:val="18"/>
                          </w:rPr>
                          <w:t>Art. 69 - Costituzione in giudizio della parte resistente</w:t>
                        </w:r>
                      </w:p>
                    </w:txbxContent>
                  </v:textbox>
                </v:rect>
                <v:rect id="Rectangle 23705" o:spid="_x0000_s7262" style="position:absolute;left:4610;top:57770;width:343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EZxwAAAN4AAAAPAAAAZHJzL2Rvd25yZXYueG1sRI9Pa8JA&#10;FMTvBb/D8gRvdVOlKtFVikXMoZf6Bzw+ss8kNvt2ya4m9tN3C4LHYWZ+wyxWnanFjRpfWVbwNkxA&#10;EOdWV1woOOw3rzMQPiBrrC2Tgjt5WC17LwtMtW35m267UIgIYZ+igjIEl0rp85IM+qF1xNE728Zg&#10;iLIppG6wjXBTy1GSTKTBiuNCiY7WJeU/u6tRcPpkl21amZ9/1+7rks3q7fVwVGrQ7z7mIAJ14Rl+&#10;tDOtYDSeJu/wfydeAbn8AwAA//8DAFBLAQItABQABgAIAAAAIQDb4fbL7gAAAIUBAAATAAAAAAAA&#10;AAAAAAAAAAAAAABbQ29udGVudF9UeXBlc10ueG1sUEsBAi0AFAAGAAgAAAAhAFr0LFu/AAAAFQEA&#10;AAsAAAAAAAAAAAAAAAAAHwEAAF9yZWxzLy5yZWxzUEsBAi0AFAAGAAgAAAAhAP4MIRnHAAAA3gAA&#10;AA8AAAAAAAAAAAAAAAAABwIAAGRycy9kb3ducmV2LnhtbFBLBQYAAAAAAwADALcAAAD7AgAAAAA=&#10;" filled="f" stroked="f">
                  <v:textbox inset="0,0,0,0">
                    <w:txbxContent>
                      <w:p w14:paraId="19D3EC5F" w14:textId="77777777" w:rsidR="00B32EF2" w:rsidRDefault="00000000">
                        <w:r>
                          <w:rPr>
                            <w:rFonts w:ascii="Arial" w:eastAsia="Arial" w:hAnsi="Arial" w:cs="Arial"/>
                            <w:sz w:val="18"/>
                          </w:rPr>
                          <w:t>Art. 70 - Produzione di documenti e motivi aggiunti</w:t>
                        </w:r>
                      </w:p>
                    </w:txbxContent>
                  </v:textbox>
                </v:rect>
                <v:rect id="Rectangle 23706" o:spid="_x0000_s7263" style="position:absolute;left:4080;top:56056;width:348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r9uxwAAAN4AAAAPAAAAZHJzL2Rvd25yZXYueG1sRI9Pi8Iw&#10;FMTvgt8hPGFvmq4LrlSjLIrYw17WP+Dx0TzbavMSmmirn36zsOBxmJnfMPNlZ2pxp8ZXlhW8jxIQ&#10;xLnVFRcKDvvNcArCB2SNtWVS8CAPy0W/N8dU25Z/6L4LhYgQ9ikqKENwqZQ+L8mgH1lHHL2zbQyG&#10;KJtC6gbbCDe1HCfJRBqsOC6U6GhVUn7d3YyC05pdtmllfn6u3Pclm9bb2+Go1Nug+5qBCNSFV/i/&#10;nWkF44/PZAJ/d+IVkItfAAAA//8DAFBLAQItABQABgAIAAAAIQDb4fbL7gAAAIUBAAATAAAAAAAA&#10;AAAAAAAAAAAAAABbQ29udGVudF9UeXBlc10ueG1sUEsBAi0AFAAGAAgAAAAhAFr0LFu/AAAAFQEA&#10;AAsAAAAAAAAAAAAAAAAAHwEAAF9yZWxzLy5yZWxzUEsBAi0AFAAGAAgAAAAhAA7ev27HAAAA3gAA&#10;AA8AAAAAAAAAAAAAAAAABwIAAGRycy9kb3ducmV2LnhtbFBLBQYAAAAAAwADALcAAAD7AgAAAAA=&#10;" filled="f" stroked="f">
                  <v:textbox inset="0,0,0,0">
                    <w:txbxContent>
                      <w:p w14:paraId="43274551" w14:textId="77777777" w:rsidR="00B32EF2" w:rsidRDefault="00000000">
                        <w:r>
                          <w:rPr>
                            <w:rFonts w:ascii="Arial" w:eastAsia="Arial" w:hAnsi="Arial" w:cs="Arial"/>
                            <w:sz w:val="18"/>
                          </w:rPr>
                          <w:t>Art. 71 - Iscrizione del ricorso nel registro generale.</w:t>
                        </w:r>
                      </w:p>
                    </w:txbxContent>
                  </v:textbox>
                </v:rect>
                <v:rect id="Rectangle 23707" o:spid="_x0000_s7264" style="position:absolute;left:4790;top:54341;width:341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hr1xwAAAN4AAAAPAAAAZHJzL2Rvd25yZXYueG1sRI9Pi8Iw&#10;FMTvgt8hPGFvmq4Lq1SjLIrYw17WP+Dx0TzbavMSmmirn36zsOBxmJnfMPNlZ2pxp8ZXlhW8jxIQ&#10;xLnVFRcKDvvNcArCB2SNtWVS8CAPy0W/N8dU25Z/6L4LhYgQ9ikqKENwqZQ+L8mgH1lHHL2zbQyG&#10;KJtC6gbbCDe1HCfJpzRYcVwo0dGqpPy6uxkFpzW7bNPK/Pxcue9LNq23t8NRqbdB9zUDEagLr/B/&#10;O9MKxh+TZAJ/d+IVkItfAAAA//8DAFBLAQItABQABgAIAAAAIQDb4fbL7gAAAIUBAAATAAAAAAAA&#10;AAAAAAAAAAAAAABbQ29udGVudF9UeXBlc10ueG1sUEsBAi0AFAAGAAgAAAAhAFr0LFu/AAAAFQEA&#10;AAsAAAAAAAAAAAAAAAAAHwEAAF9yZWxzLy5yZWxzUEsBAi0AFAAGAAgAAAAhAGGSGvXHAAAA3gAA&#10;AA8AAAAAAAAAAAAAAAAABwIAAGRycy9kb3ducmV2LnhtbFBLBQYAAAAAAwADALcAAAD7AgAAAAA=&#10;" filled="f" stroked="f">
                  <v:textbox inset="0,0,0,0">
                    <w:txbxContent>
                      <w:p w14:paraId="5AF51E95" w14:textId="77777777" w:rsidR="00B32EF2" w:rsidRDefault="00000000">
                        <w:r>
                          <w:rPr>
                            <w:rFonts w:ascii="Arial" w:eastAsia="Arial" w:hAnsi="Arial" w:cs="Arial"/>
                            <w:sz w:val="18"/>
                          </w:rPr>
                          <w:t>Fascicolo d’ufficio del processo e fascicoli di parte</w:t>
                        </w:r>
                      </w:p>
                    </w:txbxContent>
                  </v:textbox>
                </v:rect>
                <v:rect id="Rectangle 23708" o:spid="_x0000_s7265" style="position:absolute;left:8087;top:52627;width:3088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Y6HwwAAAN4AAAAPAAAAZHJzL2Rvd25yZXYueG1sRE/LisIw&#10;FN0L/kO4gjtNdcCRahRRZLqYzfgAl5fm2labm9BEW+frzWJglofzXq47U4snNb6yrGAyTkAQ51ZX&#10;XCg4HfejOQgfkDXWlknBizysV/3eElNtW/6h5yEUIoawT1FBGYJLpfR5SQb92DriyF1tYzBE2BRS&#10;N9jGcFPLaZLMpMGKY0OJjrYl5ffDwyi47Nhl+1bm19+t+75l8/rrcTorNRx0mwWIQF34F/+5M61g&#10;+vGZxL3xTrwCcvUGAAD//wMAUEsBAi0AFAAGAAgAAAAhANvh9svuAAAAhQEAABMAAAAAAAAAAAAA&#10;AAAAAAAAAFtDb250ZW50X1R5cGVzXS54bWxQSwECLQAUAAYACAAAACEAWvQsW78AAAAVAQAACwAA&#10;AAAAAAAAAAAAAAAfAQAAX3JlbHMvLnJlbHNQSwECLQAUAAYACAAAACEAEA2Oh8MAAADeAAAADwAA&#10;AAAAAAAAAAAAAAAHAgAAZHJzL2Rvd25yZXYueG1sUEsFBgAAAAADAAMAtwAAAPcCAAAAAA==&#10;" filled="f" stroked="f">
                  <v:textbox inset="0,0,0,0">
                    <w:txbxContent>
                      <w:p w14:paraId="74169931" w14:textId="77777777" w:rsidR="00B32EF2" w:rsidRDefault="00000000">
                        <w:r>
                          <w:rPr>
                            <w:rFonts w:ascii="Arial" w:eastAsia="Arial" w:hAnsi="Arial" w:cs="Arial"/>
                            <w:sz w:val="18"/>
                          </w:rPr>
                          <w:t>Art. 72 - Potere di certificazione di conformità</w:t>
                        </w:r>
                      </w:p>
                    </w:txbxContent>
                  </v:textbox>
                </v:rect>
                <v:rect id="Rectangle 23709" o:spid="_x0000_s7266" style="position:absolute;left:15738;top:50912;width:232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scxwAAAN4AAAAPAAAAZHJzL2Rvd25yZXYueG1sRI9Ba8JA&#10;FITvQv/D8gredKNCtdFVRJHm4KXWQo+P7DOJZt8u2dWk/fVuQfA4zMw3zGLVmVrcqPGVZQWjYQKC&#10;OLe64kLB8Ws3mIHwAVljbZkU/JKH1fKlt8BU25Y/6XYIhYgQ9ikqKENwqZQ+L8mgH1pHHL2TbQyG&#10;KJtC6gbbCDe1HCfJmzRYcVwo0dGmpPxyuBoFP1t22a6V+elv4/bnbFZ/XI/fSvVfu/UcRKAuPMOP&#10;dqYVjCfT5B3+78QrIJd3AAAA//8DAFBLAQItABQABgAIAAAAIQDb4fbL7gAAAIUBAAATAAAAAAAA&#10;AAAAAAAAAAAAAABbQ29udGVudF9UeXBlc10ueG1sUEsBAi0AFAAGAAgAAAAhAFr0LFu/AAAAFQEA&#10;AAsAAAAAAAAAAAAAAAAAHwEAAF9yZWxzLy5yZWxzUEsBAi0AFAAGAAgAAAAhAH9BKxzHAAAA3gAA&#10;AA8AAAAAAAAAAAAAAAAABwIAAGRycy9kb3ducmV2LnhtbFBLBQYAAAAAAwADALcAAAD7AgAAAAA=&#10;" filled="f" stroked="f">
                  <v:textbox inset="0,0,0,0">
                    <w:txbxContent>
                      <w:p w14:paraId="726D8E85" w14:textId="77777777" w:rsidR="00B32EF2" w:rsidRDefault="00000000">
                        <w:r>
                          <w:rPr>
                            <w:rFonts w:ascii="Arial" w:eastAsia="Arial" w:hAnsi="Arial" w:cs="Arial"/>
                            <w:sz w:val="18"/>
                          </w:rPr>
                          <w:t>Art. 73 - Assegnazione del ricorso</w:t>
                        </w:r>
                      </w:p>
                    </w:txbxContent>
                  </v:textbox>
                </v:rect>
                <v:rect id="Rectangle 23710" o:spid="_x0000_s7267" style="position:absolute;left:10498;top:49198;width:284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hRcxgAAAN4AAAAPAAAAZHJzL2Rvd25yZXYueG1sRI/LasMw&#10;EEX3hfyDmEB2tZwU2uBaDiEh1Itumgd0OVjjR2uNhKXETr++WhS6vNwXJ99Mphc3GnxnWcEySUEQ&#10;V1Z33Cg4nw6PaxA+IGvsLZOCO3nYFLOHHDNtR/6g2zE0Io6wz1BBG4LLpPRVSwZ9Yh1x9Go7GAxR&#10;Do3UA45x3PRylabP0mDH8aFFR7uWqu/j1Sj43LMrD6Os6p+de/8q1/3b9XxRajGftq8gAk3hP/zX&#10;LrWC1dPLMgJEnIgCsvgFAAD//wMAUEsBAi0AFAAGAAgAAAAhANvh9svuAAAAhQEAABMAAAAAAAAA&#10;AAAAAAAAAAAAAFtDb250ZW50X1R5cGVzXS54bWxQSwECLQAUAAYACAAAACEAWvQsW78AAAAVAQAA&#10;CwAAAAAAAAAAAAAAAAAfAQAAX3JlbHMvLnJlbHNQSwECLQAUAAYACAAAACEAa6IUXMYAAADeAAAA&#10;DwAAAAAAAAAAAAAAAAAHAgAAZHJzL2Rvd25yZXYueG1sUEsFBgAAAAADAAMAtwAAAPoCAAAAAA==&#10;" filled="f" stroked="f">
                  <v:textbox inset="0,0,0,0">
                    <w:txbxContent>
                      <w:p w14:paraId="056552B8" w14:textId="77777777" w:rsidR="00B32EF2" w:rsidRDefault="00000000">
                        <w:r>
                          <w:rPr>
                            <w:rFonts w:ascii="Arial" w:eastAsia="Arial" w:hAnsi="Arial" w:cs="Arial"/>
                            <w:sz w:val="18"/>
                          </w:rPr>
                          <w:t>Art. 74 - Ipoteca e sequestro conservativo</w:t>
                        </w:r>
                      </w:p>
                    </w:txbxContent>
                  </v:textbox>
                </v:rect>
                <v:rect id="Rectangle 23711" o:spid="_x0000_s7268" style="position:absolute;left:6991;top:47483;width:319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rHHxwAAAN4AAAAPAAAAZHJzL2Rvd25yZXYueG1sRI9Pa8JA&#10;FMTvgt9heYI33cSCldRVRJHm0Ev9Az0+ss8kbfbtkl1N7Kd3CwWPw8z8hlmue9OIG7W+tqwgnSYg&#10;iAuray4VnI77yQKED8gaG8uk4E4e1qvhYImZth1/0u0QShEh7DNUUIXgMil9UZFBP7WOOHoX2xoM&#10;Ubal1C12EW4aOUuSuTRYc1yo0NG2ouLncDUKvnbs8n0ni8vv1n1854vm/Xo6KzUe9Zs3EIH68Az/&#10;t3OtYPbymqbwdydeAbl6AAAA//8DAFBLAQItABQABgAIAAAAIQDb4fbL7gAAAIUBAAATAAAAAAAA&#10;AAAAAAAAAAAAAABbQ29udGVudF9UeXBlc10ueG1sUEsBAi0AFAAGAAgAAAAhAFr0LFu/AAAAFQEA&#10;AAsAAAAAAAAAAAAAAAAAHwEAAF9yZWxzLy5yZWxzUEsBAi0AFAAGAAgAAAAhAATuscfHAAAA3gAA&#10;AA8AAAAAAAAAAAAAAAAABwIAAGRycy9kb3ducmV2LnhtbFBLBQYAAAAAAwADALcAAAD7AgAAAAA=&#10;" filled="f" stroked="f">
                  <v:textbox inset="0,0,0,0">
                    <w:txbxContent>
                      <w:p w14:paraId="2C32E015" w14:textId="77777777" w:rsidR="00B32EF2" w:rsidRDefault="00000000">
                        <w:r>
                          <w:rPr>
                            <w:rFonts w:ascii="Arial" w:eastAsia="Arial" w:hAnsi="Arial" w:cs="Arial"/>
                            <w:b/>
                            <w:sz w:val="18"/>
                          </w:rPr>
                          <w:t>Sezione II – L’esame preliminare del ricorso</w:t>
                        </w:r>
                      </w:p>
                    </w:txbxContent>
                  </v:textbox>
                </v:rect>
                <v:rect id="Rectangle 23712" o:spid="_x0000_s7269" style="position:absolute;left:8990;top:47483;width:900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C+wxwAAAN4AAAAPAAAAZHJzL2Rvd25yZXYueG1sRI9Pa8JA&#10;FMTvgt9heYI33ZiCldRVRJHm0Ev9Az0+ss8kbfbtkl1N7Kd3CwWPw8z8hlmue9OIG7W+tqxgNk1A&#10;EBdW11wqOB33kwUIH5A1NpZJwZ08rFfDwRIzbTv+pNshlCJC2GeooArBZVL6oiKDfmodcfQutjUY&#10;omxLqVvsItw0Mk2SuTRYc1yo0NG2ouLncDUKvnbs8n0ni8vv1n1854vm/Xo6KzUe9Zs3EIH68Az/&#10;t3OtIH15naXwdydeAbl6AAAA//8DAFBLAQItABQABgAIAAAAIQDb4fbL7gAAAIUBAAATAAAAAAAA&#10;AAAAAAAAAAAAAABbQ29udGVudF9UeXBlc10ueG1sUEsBAi0AFAAGAAgAAAAhAFr0LFu/AAAAFQEA&#10;AAsAAAAAAAAAAAAAAAAAHwEAAF9yZWxzLy5yZWxzUEsBAi0AFAAGAAgAAAAhAPQ8L7DHAAAA3gAA&#10;AA8AAAAAAAAAAAAAAAAABwIAAGRycy9kb3ducmV2LnhtbFBLBQYAAAAAAwADALcAAAD7AgAAAAA=&#10;" filled="f" stroked="f">
                  <v:textbox inset="0,0,0,0">
                    <w:txbxContent>
                      <w:p w14:paraId="306E2F0C" w14:textId="77777777" w:rsidR="00B32EF2" w:rsidRDefault="00000000">
                        <w:r>
                          <w:rPr>
                            <w:rFonts w:ascii="Arial" w:eastAsia="Arial" w:hAnsi="Arial" w:cs="Arial"/>
                            <w:b/>
                            <w:sz w:val="18"/>
                          </w:rPr>
                          <w:t xml:space="preserve">  </w:t>
                        </w:r>
                      </w:p>
                    </w:txbxContent>
                  </v:textbox>
                </v:rect>
                <v:rect id="Rectangle 23713" o:spid="_x0000_s7270" style="position:absolute;left:1611;top:47483;width:53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IorxgAAAN4AAAAPAAAAZHJzL2Rvd25yZXYueG1sRI9Ba8JA&#10;FITvgv9heUJvulGhSnQVUcQcvNRa6PGRfSbR7Nslu5rUX98tCD0OM/MNs1x3phYPanxlWcF4lIAg&#10;zq2uuFBw/twP5yB8QNZYWyYFP+Rhver3lphq2/IHPU6hEBHCPkUFZQguldLnJRn0I+uIo3exjcEQ&#10;ZVNI3WAb4aaWkyR5lwYrjgslOtqWlN9Od6Pge8cu27cyvzy37njN5vXhfv5S6m3QbRYgAnXhP/xq&#10;Z1rBZDobT+HvTrwCcvULAAD//wMAUEsBAi0AFAAGAAgAAAAhANvh9svuAAAAhQEAABMAAAAAAAAA&#10;AAAAAAAAAAAAAFtDb250ZW50X1R5cGVzXS54bWxQSwECLQAUAAYACAAAACEAWvQsW78AAAAVAQAA&#10;CwAAAAAAAAAAAAAAAAAfAQAAX3JlbHMvLnJlbHNQSwECLQAUAAYACAAAACEAm3CKK8YAAADeAAAA&#10;DwAAAAAAAAAAAAAAAAAHAgAAZHJzL2Rvd25yZXYueG1sUEsFBgAAAAADAAMAtwAAAPoCAAAAAA==&#10;" filled="f" stroked="f">
                  <v:textbox inset="0,0,0,0">
                    <w:txbxContent>
                      <w:p w14:paraId="09B148B0" w14:textId="77777777" w:rsidR="00B32EF2" w:rsidRDefault="00000000">
                        <w:r>
                          <w:rPr>
                            <w:rFonts w:ascii="Arial" w:eastAsia="Arial" w:hAnsi="Arial" w:cs="Arial"/>
                            <w:b/>
                            <w:sz w:val="18"/>
                          </w:rPr>
                          <w:t>Pag. 73</w:t>
                        </w:r>
                      </w:p>
                    </w:txbxContent>
                  </v:textbox>
                </v:rect>
                <v:rect id="Rectangle 23714" o:spid="_x0000_s7271" style="position:absolute;left:12660;top:45769;width:263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RJfxwAAAN4AAAAPAAAAZHJzL2Rvd25yZXYueG1sRI9Pa8JA&#10;FMTvgt9heUJvutGKldRVikXMoRf/FHp8ZJ9J2uzbJbua6KfvCoLHYWZ+wyxWnanFhRpfWVYwHiUg&#10;iHOrKy4UHA+b4RyED8gaa8uk4EoeVst+b4Gpti3v6LIPhYgQ9ikqKENwqZQ+L8mgH1lHHL2TbQyG&#10;KJtC6gbbCDe1nCTJTBqsOC6U6GhdUv63PxsFP5/ssk0r89Nt7b5+s3m9PR+/lXoZdB/vIAJ14Rl+&#10;tDOtYPL6Np7C/U68AnL5DwAA//8DAFBLAQItABQABgAIAAAAIQDb4fbL7gAAAIUBAAATAAAAAAAA&#10;AAAAAAAAAAAAAABbQ29udGVudF9UeXBlc10ueG1sUEsBAi0AFAAGAAgAAAAhAFr0LFu/AAAAFQEA&#10;AAsAAAAAAAAAAAAAAAAAHwEAAF9yZWxzLy5yZWxzUEsBAi0AFAAGAAgAAAAhABSZEl/HAAAA3gAA&#10;AA8AAAAAAAAAAAAAAAAABwIAAGRycy9kb3ducmV2LnhtbFBLBQYAAAAAAwADALcAAAD7AgAAAAA=&#10;" filled="f" stroked="f">
                  <v:textbox inset="0,0,0,0">
                    <w:txbxContent>
                      <w:p w14:paraId="7E3D435D" w14:textId="77777777" w:rsidR="00B32EF2" w:rsidRDefault="00000000">
                        <w:r>
                          <w:rPr>
                            <w:rFonts w:ascii="Arial" w:eastAsia="Arial" w:hAnsi="Arial" w:cs="Arial"/>
                            <w:sz w:val="18"/>
                          </w:rPr>
                          <w:t>Art. 75 - Esame preliminare del ricorso</w:t>
                        </w:r>
                      </w:p>
                    </w:txbxContent>
                  </v:textbox>
                </v:rect>
                <v:rect id="Rectangle 23715" o:spid="_x0000_s7272" style="position:absolute;left:2511;top:44054;width:3646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fExwAAAN4AAAAPAAAAZHJzL2Rvd25yZXYueG1sRI9Pa8JA&#10;FMTvgt9heUJvutGildRVikXMoRf/FHp8ZJ9J2uzbJbua6KfvCoLHYWZ+wyxWnanFhRpfWVYwHiUg&#10;iHOrKy4UHA+b4RyED8gaa8uk4EoeVst+b4Gpti3v6LIPhYgQ9ikqKENwqZQ+L8mgH1lHHL2TbQyG&#10;KJtC6gbbCDe1nCTJTBqsOC6U6GhdUv63PxsFP5/ssk0r89Nt7b5+s3m9PR+/lXoZdB/vIAJ14Rl+&#10;tDOtYPL6Np7C/U68AnL5DwAA//8DAFBLAQItABQABgAIAAAAIQDb4fbL7gAAAIUBAAATAAAAAAAA&#10;AAAAAAAAAAAAAABbQ29udGVudF9UeXBlc10ueG1sUEsBAi0AFAAGAAgAAAAhAFr0LFu/AAAAFQEA&#10;AAsAAAAAAAAAAAAAAAAAHwEAAF9yZWxzLy5yZWxzUEsBAi0AFAAGAAgAAAAhAHvVt8THAAAA3gAA&#10;AA8AAAAAAAAAAAAAAAAABwIAAGRycy9kb3ducmV2LnhtbFBLBQYAAAAAAwADALcAAAD7AgAAAAA=&#10;" filled="f" stroked="f">
                  <v:textbox inset="0,0,0,0">
                    <w:txbxContent>
                      <w:p w14:paraId="468246A0" w14:textId="77777777" w:rsidR="00B32EF2" w:rsidRDefault="00000000">
                        <w:r>
                          <w:rPr>
                            <w:rFonts w:ascii="Arial" w:eastAsia="Arial" w:hAnsi="Arial" w:cs="Arial"/>
                            <w:sz w:val="18"/>
                          </w:rPr>
                          <w:t>Art. 76 - Reclamo contro i provvedimenti presidenziali</w:t>
                        </w:r>
                      </w:p>
                    </w:txbxContent>
                  </v:textbox>
                </v:rect>
                <v:rect id="Rectangle 23716" o:spid="_x0000_s7273" style="position:absolute;left:19851;top:42340;width:191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ymzxgAAAN4AAAAPAAAAZHJzL2Rvd25yZXYueG1sRI9Ba8JA&#10;FITvgv9heUJvutGClegqoog5eKla6PGRfSbR7Nslu5q0v94tFDwOM/MNs1h1phYPanxlWcF4lIAg&#10;zq2uuFBwPu2GMxA+IGusLZOCH/KwWvZ7C0y1bfmTHsdQiAhhn6KCMgSXSunzkgz6kXXE0bvYxmCI&#10;simkbrCNcFPLSZJMpcGK40KJjjYl5bfj3Sj43rLLdq3ML78bd7hms3p/P38p9Tbo1nMQgbrwCv+3&#10;M61g8v4xnsLfnXgF5PIJAAD//wMAUEsBAi0AFAAGAAgAAAAhANvh9svuAAAAhQEAABMAAAAAAAAA&#10;AAAAAAAAAAAAAFtDb250ZW50X1R5cGVzXS54bWxQSwECLQAUAAYACAAAACEAWvQsW78AAAAVAQAA&#10;CwAAAAAAAAAAAAAAAAAfAQAAX3JlbHMvLnJlbHNQSwECLQAUAAYACAAAACEAiwcps8YAAADeAAAA&#10;DwAAAAAAAAAAAAAAAAAHAgAAZHJzL2Rvd25yZXYueG1sUEsFBgAAAAADAAMAtwAAAPoCAAAAAA==&#10;" filled="f" stroked="f">
                  <v:textbox inset="0,0,0,0">
                    <w:txbxContent>
                      <w:p w14:paraId="34318303" w14:textId="77777777" w:rsidR="00B32EF2" w:rsidRDefault="00000000">
                        <w:r>
                          <w:rPr>
                            <w:rFonts w:ascii="Arial" w:eastAsia="Arial" w:hAnsi="Arial" w:cs="Arial"/>
                            <w:sz w:val="18"/>
                          </w:rPr>
                          <w:t>Art. 77 - Riunione dei ricorsi</w:t>
                        </w:r>
                      </w:p>
                    </w:txbxContent>
                  </v:textbox>
                </v:rect>
                <v:rect id="Rectangle 23717" o:spid="_x0000_s7274" style="position:absolute;left:5774;top:40625;width:3320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4woxgAAAN4AAAAPAAAAZHJzL2Rvd25yZXYueG1sRI9Ba8JA&#10;FITvgv9heUJvutGCSnQVUcQcvGgt9PjIPpNo9u2SXU3aX+8WCj0OM/MNs1x3phZPanxlWcF4lIAg&#10;zq2uuFBw+dgP5yB8QNZYWyYF3+Rhver3lphq2/KJnudQiAhhn6KCMgSXSunzkgz6kXXE0bvaxmCI&#10;simkbrCNcFPLSZJMpcGK40KJjrYl5ffzwyj42rHL9q3Mrz9bd7xl8/rwuHwq9TboNgsQgbrwH/5r&#10;Z1rB5H02nsHvnXgF5OoFAAD//wMAUEsBAi0AFAAGAAgAAAAhANvh9svuAAAAhQEAABMAAAAAAAAA&#10;AAAAAAAAAAAAAFtDb250ZW50X1R5cGVzXS54bWxQSwECLQAUAAYACAAAACEAWvQsW78AAAAVAQAA&#10;CwAAAAAAAAAAAAAAAAAfAQAAX3JlbHMvLnJlbHNQSwECLQAUAAYACAAAACEA5EuMKMYAAADeAAAA&#10;DwAAAAAAAAAAAAAAAAAHAgAAZHJzL2Rvd25yZXYueG1sUEsFBgAAAAADAAMAtwAAAPoCAAAAAA==&#10;" filled="f" stroked="f">
                  <v:textbox inset="0,0,0,0">
                    <w:txbxContent>
                      <w:p w14:paraId="2F11C58E" w14:textId="77777777" w:rsidR="00B32EF2" w:rsidRDefault="00000000">
                        <w:r>
                          <w:rPr>
                            <w:rFonts w:ascii="Arial" w:eastAsia="Arial" w:hAnsi="Arial" w:cs="Arial"/>
                            <w:b/>
                            <w:sz w:val="18"/>
                          </w:rPr>
                          <w:t>Sezione III – La trattazione della controversia</w:t>
                        </w:r>
                      </w:p>
                    </w:txbxContent>
                  </v:textbox>
                </v:rect>
                <v:rect id="Rectangle 23718" o:spid="_x0000_s7275" style="position:absolute;left:9594;top:40625;width:65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BhaxQAAAN4AAAAPAAAAZHJzL2Rvd25yZXYueG1sRE/JasMw&#10;EL0X8g9iArnVclJog2s5hIRQH3ppFuhxsMZLa42EpcROv746FHp8vD3fTKYXNxp8Z1nBMklBEFdW&#10;d9woOJ8Oj2sQPiBr7C2Tgjt52BSzhxwzbUf+oNsxNCKGsM9QQRuCy6T0VUsGfWIdceRqOxgMEQ6N&#10;1AOOMdz0cpWmz9Jgx7GhRUe7lqrv49Uo+NyzKw+jrOqfnXv/Ktf92/V8UWoxn7avIAJN4V/85y61&#10;gtXTyzLujXfiFZDFLwAAAP//AwBQSwECLQAUAAYACAAAACEA2+H2y+4AAACFAQAAEwAAAAAAAAAA&#10;AAAAAAAAAAAAW0NvbnRlbnRfVHlwZXNdLnhtbFBLAQItABQABgAIAAAAIQBa9CxbvwAAABUBAAAL&#10;AAAAAAAAAAAAAAAAAB8BAABfcmVscy8ucmVsc1BLAQItABQABgAIAAAAIQCV1BhaxQAAAN4AAAAP&#10;AAAAAAAAAAAAAAAAAAcCAABkcnMvZG93bnJldi54bWxQSwUGAAAAAAMAAwC3AAAA+QIAAAAA&#10;" filled="f" stroked="f">
                  <v:textbox inset="0,0,0,0">
                    <w:txbxContent>
                      <w:p w14:paraId="1421848B" w14:textId="77777777" w:rsidR="00B32EF2" w:rsidRDefault="00000000">
                        <w:r>
                          <w:rPr>
                            <w:rFonts w:ascii="Arial" w:eastAsia="Arial" w:hAnsi="Arial" w:cs="Arial"/>
                            <w:b/>
                            <w:sz w:val="18"/>
                          </w:rPr>
                          <w:t xml:space="preserve">  </w:t>
                        </w:r>
                      </w:p>
                    </w:txbxContent>
                  </v:textbox>
                </v:rect>
                <v:rect id="Rectangle 23719" o:spid="_x0000_s7276" style="position:absolute;left:1644;top:40625;width:532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L3BxwAAAN4AAAAPAAAAZHJzL2Rvd25yZXYueG1sRI9Pa8JA&#10;FMTvgt9heUJvutGC2tRVikXMoRf/FHp8ZJ9J2uzbJbua6KfvCoLHYWZ+wyxWnanFhRpfWVYwHiUg&#10;iHOrKy4UHA+b4RyED8gaa8uk4EoeVst+b4Gpti3v6LIPhYgQ9ikqKENwqZQ+L8mgH1lHHL2TbQyG&#10;KJtC6gbbCDe1nCTJVBqsOC6U6GhdUv63PxsFP5/ssk0r89Nt7b5+s3m9PR+/lXoZdB/vIAJ14Rl+&#10;tDOtYPI6G7/B/U68AnL5DwAA//8DAFBLAQItABQABgAIAAAAIQDb4fbL7gAAAIUBAAATAAAAAAAA&#10;AAAAAAAAAAAAAABbQ29udGVudF9UeXBlc10ueG1sUEsBAi0AFAAGAAgAAAAhAFr0LFu/AAAAFQEA&#10;AAsAAAAAAAAAAAAAAAAAHwEAAF9yZWxzLy5yZWxzUEsBAi0AFAAGAAgAAAAhAPqYvcHHAAAA3gAA&#10;AA8AAAAAAAAAAAAAAAAABwIAAGRycy9kb3ducmV2LnhtbFBLBQYAAAAAAwADALcAAAD7AgAAAAA=&#10;" filled="f" stroked="f">
                  <v:textbox inset="0,0,0,0">
                    <w:txbxContent>
                      <w:p w14:paraId="79263184" w14:textId="77777777" w:rsidR="00B32EF2" w:rsidRDefault="00000000">
                        <w:r>
                          <w:rPr>
                            <w:rFonts w:ascii="Arial" w:eastAsia="Arial" w:hAnsi="Arial" w:cs="Arial"/>
                            <w:b/>
                            <w:sz w:val="18"/>
                          </w:rPr>
                          <w:t>Pag. 75</w:t>
                        </w:r>
                      </w:p>
                    </w:txbxContent>
                  </v:textbox>
                </v:rect>
                <v:rect id="Rectangle 23720" o:spid="_x0000_s7277" style="position:absolute;left:-5325;top:38911;width:442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t7hxQAAAN4AAAAPAAAAZHJzL2Rvd25yZXYueG1sRI/LasJA&#10;FIb3Bd9hOIK7OjGFVqKjiCLNwk29gMtD5phEM2eGzGiiT99ZFLr8+W9882VvGvGg1teWFUzGCQji&#10;wuqaSwXHw/Z9CsIHZI2NZVLwJA/LxeBtjpm2Hf/QYx9KEUfYZ6igCsFlUvqiIoN+bB1x9C62NRii&#10;bEupW+ziuGlkmiSf0mDN8aFCR+uKitv+bhScN+zybSeLy2vtdtd82nzfjyelRsN+NQMRqA//4b92&#10;rhWkH19pBIg4EQXk4hcAAP//AwBQSwECLQAUAAYACAAAACEA2+H2y+4AAACFAQAAEwAAAAAAAAAA&#10;AAAAAAAAAAAAW0NvbnRlbnRfVHlwZXNdLnhtbFBLAQItABQABgAIAAAAIQBa9CxbvwAAABUBAAAL&#10;AAAAAAAAAAAAAAAAAB8BAABfcmVscy8ucmVsc1BLAQItABQABgAIAAAAIQClzt7hxQAAAN4AAAAP&#10;AAAAAAAAAAAAAAAAAAcCAABkcnMvZG93bnJldi54bWxQSwUGAAAAAAMAAwC3AAAA+QIAAAAA&#10;" filled="f" stroked="f">
                  <v:textbox inset="0,0,0,0">
                    <w:txbxContent>
                      <w:p w14:paraId="2FDE3F02" w14:textId="77777777" w:rsidR="00B32EF2" w:rsidRDefault="00000000">
                        <w:r>
                          <w:rPr>
                            <w:rFonts w:ascii="Arial" w:eastAsia="Arial" w:hAnsi="Arial" w:cs="Arial"/>
                            <w:sz w:val="18"/>
                          </w:rPr>
                          <w:t>Art. 78 - Nomina del relatore e fissazione della data di trattazione</w:t>
                        </w:r>
                      </w:p>
                    </w:txbxContent>
                  </v:textbox>
                </v:rect>
                <v:rect id="Rectangle 23721" o:spid="_x0000_s7278" style="position:absolute;left:19190;top:37196;width:197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nt6xwAAAN4AAAAPAAAAZHJzL2Rvd25yZXYueG1sRI9Pa8JA&#10;FMTvgt9heYI33ZiCldRVRJHm0Ev9Az0+ss8kbfbtkl1N7Kd3CwWPw8z8hlmue9OIG7W+tqxgNk1A&#10;EBdW11wqOB33kwUIH5A1NpZJwZ08rFfDwRIzbTv+pNshlCJC2GeooArBZVL6oiKDfmodcfQutjUY&#10;omxLqVvsItw0Mk2SuTRYc1yo0NG2ouLncDUKvnbs8n0ni8vv1n1854vm/Xo6KzUe9Zs3EIH68Az/&#10;t3OtIH15TWfwdydeAbl6AAAA//8DAFBLAQItABQABgAIAAAAIQDb4fbL7gAAAIUBAAATAAAAAAAA&#10;AAAAAAAAAAAAAABbQ29udGVudF9UeXBlc10ueG1sUEsBAi0AFAAGAAgAAAAhAFr0LFu/AAAAFQEA&#10;AAsAAAAAAAAAAAAAAAAAHwEAAF9yZWxzLy5yZWxzUEsBAi0AFAAGAAgAAAAhAMqCe3rHAAAA3gAA&#10;AA8AAAAAAAAAAAAAAAAABwIAAGRycy9kb3ducmV2LnhtbFBLBQYAAAAAAwADALcAAAD7AgAAAAA=&#10;" filled="f" stroked="f">
                  <v:textbox inset="0,0,0,0">
                    <w:txbxContent>
                      <w:p w14:paraId="095FA197" w14:textId="77777777" w:rsidR="00B32EF2" w:rsidRDefault="00000000">
                        <w:r>
                          <w:rPr>
                            <w:rFonts w:ascii="Arial" w:eastAsia="Arial" w:hAnsi="Arial" w:cs="Arial"/>
                            <w:sz w:val="18"/>
                          </w:rPr>
                          <w:t>Art. 79 - Avviso di trattazione</w:t>
                        </w:r>
                      </w:p>
                    </w:txbxContent>
                  </v:textbox>
                </v:rect>
                <v:rect id="Rectangle 23722" o:spid="_x0000_s7279" style="position:absolute;left:8467;top:35482;width:30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OUNxgAAAN4AAAAPAAAAZHJzL2Rvd25yZXYueG1sRI9Ba8JA&#10;FITvBf/D8gRvdWMKrURXEUWag5daBY+P7DOJZt8u2dVEf323UOhxmJlvmPmyN424U+trywom4wQE&#10;cWF1zaWCw/f2dQrCB2SNjWVS8CAPy8XgZY6Zth1/0X0fShEh7DNUUIXgMil9UZFBP7aOOHpn2xoM&#10;Ubal1C12EW4amSbJuzRYc1yo0NG6ouK6vxkFpw27fNvJ4vxcu90lnzaft8NRqdGwX81ABOrDf/iv&#10;nWsF6dtHmsLvnXgF5OIHAAD//wMAUEsBAi0AFAAGAAgAAAAhANvh9svuAAAAhQEAABMAAAAAAAAA&#10;AAAAAAAAAAAAAFtDb250ZW50X1R5cGVzXS54bWxQSwECLQAUAAYACAAAACEAWvQsW78AAAAVAQAA&#10;CwAAAAAAAAAAAAAAAAAfAQAAX3JlbHMvLnJlbHNQSwECLQAUAAYACAAAACEAOlDlDcYAAADeAAAA&#10;DwAAAAAAAAAAAAAAAAAHAgAAZHJzL2Rvd25yZXYueG1sUEsFBgAAAAADAAMAtwAAAPoCAAAAAA==&#10;" filled="f" stroked="f">
                  <v:textbox inset="0,0,0,0">
                    <w:txbxContent>
                      <w:p w14:paraId="4AAFB7AC" w14:textId="77777777" w:rsidR="00B32EF2" w:rsidRDefault="00000000">
                        <w:r>
                          <w:rPr>
                            <w:rFonts w:ascii="Arial" w:eastAsia="Arial" w:hAnsi="Arial" w:cs="Arial"/>
                            <w:sz w:val="18"/>
                          </w:rPr>
                          <w:t>Art. 80 - Deposito di documenti e di memorie</w:t>
                        </w:r>
                      </w:p>
                    </w:txbxContent>
                  </v:textbox>
                </v:rect>
                <v:rect id="Rectangle 23723" o:spid="_x0000_s7280" style="position:absolute;left:10184;top:33767;width:287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ECWxwAAAN4AAAAPAAAAZHJzL2Rvd25yZXYueG1sRI9Pa8JA&#10;FMTvBb/D8oTe6qYRrERXKRZpDl78Bx4f2WeSNvt2ya4m9dO7QsHjMDO/YebL3jTiSq2vLSt4HyUg&#10;iAuray4VHPbrtykIH5A1NpZJwR95WC4GL3PMtO14S9ddKEWEsM9QQRWCy6T0RUUG/cg64uidbWsw&#10;RNmWUrfYRbhpZJokE2mw5rhQoaNVRcXv7mIUnL7Y5etOFufbym1+8mnzfTkclXod9p8zEIH68Az/&#10;t3OtIB1/pGN43IlXQC7uAAAA//8DAFBLAQItABQABgAIAAAAIQDb4fbL7gAAAIUBAAATAAAAAAAA&#10;AAAAAAAAAAAAAABbQ29udGVudF9UeXBlc10ueG1sUEsBAi0AFAAGAAgAAAAhAFr0LFu/AAAAFQEA&#10;AAsAAAAAAAAAAAAAAAAAHwEAAF9yZWxzLy5yZWxzUEsBAi0AFAAGAAgAAAAhAFUcQJbHAAAA3gAA&#10;AA8AAAAAAAAAAAAAAAAABwIAAGRycy9kb3ducmV2LnhtbFBLBQYAAAAAAwADALcAAAD7AgAAAAA=&#10;" filled="f" stroked="f">
                  <v:textbox inset="0,0,0,0">
                    <w:txbxContent>
                      <w:p w14:paraId="199A2059" w14:textId="77777777" w:rsidR="00B32EF2" w:rsidRDefault="00000000">
                        <w:r>
                          <w:rPr>
                            <w:rFonts w:ascii="Arial" w:eastAsia="Arial" w:hAnsi="Arial" w:cs="Arial"/>
                            <w:sz w:val="18"/>
                          </w:rPr>
                          <w:t>Art. 81 - Trattazione in camera di consiglio</w:t>
                        </w:r>
                      </w:p>
                    </w:txbxContent>
                  </v:textbox>
                </v:rect>
                <v:rect id="Rectangle 23724" o:spid="_x0000_s7281" style="position:absolute;left:11079;top:32053;width:278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jixwAAAN4AAAAPAAAAZHJzL2Rvd25yZXYueG1sRI9Ba8JA&#10;FITvgv9heUJvumkqraSuIoo0h160KfT4yD6TtNm3S3Y1qb++KxQ8DjPzDbNcD6YVF+p8Y1nB4ywB&#10;QVxa3XCloPjYTxcgfEDW2FomBb/kYb0aj5aYadvzgS7HUIkIYZ+hgjoEl0npy5oM+pl1xNE72c5g&#10;iLKrpO6wj3DTyjRJnqXBhuNCjY62NZU/x7NR8LVjl+97WZ6uW/f+nS/at3PxqdTDZNi8ggg0hHv4&#10;v51rBenTSzqH2514BeTqDwAA//8DAFBLAQItABQABgAIAAAAIQDb4fbL7gAAAIUBAAATAAAAAAAA&#10;AAAAAAAAAAAAAABbQ29udGVudF9UeXBlc10ueG1sUEsBAi0AFAAGAAgAAAAhAFr0LFu/AAAAFQEA&#10;AAsAAAAAAAAAAAAAAAAAHwEAAF9yZWxzLy5yZWxzUEsBAi0AFAAGAAgAAAAhANr12OLHAAAA3gAA&#10;AA8AAAAAAAAAAAAAAAAABwIAAGRycy9kb3ducmV2LnhtbFBLBQYAAAAAAwADALcAAAD7AgAAAAA=&#10;" filled="f" stroked="f">
                  <v:textbox inset="0,0,0,0">
                    <w:txbxContent>
                      <w:p w14:paraId="13E803E4" w14:textId="77777777" w:rsidR="00B32EF2" w:rsidRDefault="00000000">
                        <w:r>
                          <w:rPr>
                            <w:rFonts w:ascii="Arial" w:eastAsia="Arial" w:hAnsi="Arial" w:cs="Arial"/>
                            <w:sz w:val="18"/>
                          </w:rPr>
                          <w:t>Art. 82 - Discussione in pubblica udienza</w:t>
                        </w:r>
                      </w:p>
                    </w:txbxContent>
                  </v:textbox>
                </v:rect>
                <v:rect id="Rectangle 23725" o:spid="_x0000_s7282" style="position:absolute;left:19922;top:30338;width:190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X15xwAAAN4AAAAPAAAAZHJzL2Rvd25yZXYueG1sRI9Ba8JA&#10;FITvgv9heUJvummKraSuIoo0h160KfT4yD6TtNm3S3Y1qb++KxQ8DjPzDbNcD6YVF+p8Y1nB4ywB&#10;QVxa3XCloPjYTxcgfEDW2FomBb/kYb0aj5aYadvzgS7HUIkIYZ+hgjoEl0npy5oM+pl1xNE72c5g&#10;iLKrpO6wj3DTyjRJnqXBhuNCjY62NZU/x7NR8LVjl+97WZ6uW/f+nS/at3PxqdTDZNi8ggg0hHv4&#10;v51rBenTSzqH2514BeTqDwAA//8DAFBLAQItABQABgAIAAAAIQDb4fbL7gAAAIUBAAATAAAAAAAA&#10;AAAAAAAAAAAAAABbQ29udGVudF9UeXBlc10ueG1sUEsBAi0AFAAGAAgAAAAhAFr0LFu/AAAAFQEA&#10;AAsAAAAAAAAAAAAAAAAAHwEAAF9yZWxzLy5yZWxzUEsBAi0AFAAGAAgAAAAhALW5fXnHAAAA3gAA&#10;AA8AAAAAAAAAAAAAAAAABwIAAGRycy9kb3ducmV2LnhtbFBLBQYAAAAAAwADALcAAAD7AgAAAAA=&#10;" filled="f" stroked="f">
                  <v:textbox inset="0,0,0,0">
                    <w:txbxContent>
                      <w:p w14:paraId="1C2ED813" w14:textId="77777777" w:rsidR="00B32EF2" w:rsidRDefault="00000000">
                        <w:r>
                          <w:rPr>
                            <w:rFonts w:ascii="Arial" w:eastAsia="Arial" w:hAnsi="Arial" w:cs="Arial"/>
                            <w:sz w:val="18"/>
                          </w:rPr>
                          <w:t>Art. 83 - Udienza a distanza</w:t>
                        </w:r>
                      </w:p>
                    </w:txbxContent>
                  </v:textbox>
                </v:rect>
                <v:rect id="Rectangle 23726" o:spid="_x0000_s7283" style="position:absolute;left:2385;top:28624;width:365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MOxwAAAN4AAAAPAAAAZHJzL2Rvd25yZXYueG1sRI9Pa8JA&#10;FMTvgt9heYI33TSClegqxSLNoRf/gcdH9pmkzb5dsqtJ++m7QsHjMDO/YVab3jTiTq2vLSt4mSYg&#10;iAuray4VnI67yQKED8gaG8uk4Ic8bNbDwQozbTve0/0QShEh7DNUUIXgMil9UZFBP7WOOHpX2xoM&#10;Ubal1C12EW4amSbJXBqsOS5U6GhbUfF9uBkFl3d2+a6TxfV36z6/8kXzcTudlRqP+rcliEB9eIb/&#10;27lWkM5e0zk87sQrINd/AAAA//8DAFBLAQItABQABgAIAAAAIQDb4fbL7gAAAIUBAAATAAAAAAAA&#10;AAAAAAAAAAAAAABbQ29udGVudF9UeXBlc10ueG1sUEsBAi0AFAAGAAgAAAAhAFr0LFu/AAAAFQEA&#10;AAsAAAAAAAAAAAAAAAAAHwEAAF9yZWxzLy5yZWxzUEsBAi0AFAAGAAgAAAAhAEVr4w7HAAAA3gAA&#10;AA8AAAAAAAAAAAAAAAAABwIAAGRycy9kb3ducmV2LnhtbFBLBQYAAAAAAwADALcAAAD7AgAAAAA=&#10;" filled="f" stroked="f">
                  <v:textbox inset="0,0,0,0">
                    <w:txbxContent>
                      <w:p w14:paraId="1EA5F972" w14:textId="77777777" w:rsidR="00B32EF2" w:rsidRDefault="00000000">
                        <w:r>
                          <w:rPr>
                            <w:rFonts w:ascii="Arial" w:eastAsia="Arial" w:hAnsi="Arial" w:cs="Arial"/>
                            <w:sz w:val="18"/>
                          </w:rPr>
                          <w:t>Art. 84 - Deliberazioni della corte di giustizia tributaria</w:t>
                        </w:r>
                      </w:p>
                    </w:txbxContent>
                  </v:textbox>
                </v:rect>
                <v:rect id="Rectangle 23727" o:spid="_x0000_s7284" style="position:absolute;left:6427;top:26909;width:325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0aVxwAAAN4AAAAPAAAAZHJzL2Rvd25yZXYueG1sRI9Pa8JA&#10;FMTvgt9heYI33TRClegqxSLNoZf6Bzw+ss8kbfbtkl1N2k/fFQSPw8z8hlltetOIG7W+tqzgZZqA&#10;IC6srrlUcDzsJgsQPiBrbCyTgl/ysFkPByvMtO34i277UIoIYZ+hgioEl0npi4oM+ql1xNG72NZg&#10;iLItpW6xi3DTyDRJXqXBmuNChY62FRU/+6tRcH5nl+86WVz+tu7zO180H9fjSanxqH9bggjUh2f4&#10;0c61gnQ2T+dwvxOvgFz/AwAA//8DAFBLAQItABQABgAIAAAAIQDb4fbL7gAAAIUBAAATAAAAAAAA&#10;AAAAAAAAAAAAAABbQ29udGVudF9UeXBlc10ueG1sUEsBAi0AFAAGAAgAAAAhAFr0LFu/AAAAFQEA&#10;AAsAAAAAAAAAAAAAAAAAHwEAAF9yZWxzLy5yZWxzUEsBAi0AFAAGAAgAAAAhAConRpXHAAAA3gAA&#10;AA8AAAAAAAAAAAAAAAAABwIAAGRycy9kb3ducmV2LnhtbFBLBQYAAAAAAwADALcAAAD7AgAAAAA=&#10;" filled="f" stroked="f">
                  <v:textbox inset="0,0,0,0">
                    <w:txbxContent>
                      <w:p w14:paraId="41BC1B27" w14:textId="77777777" w:rsidR="00B32EF2" w:rsidRDefault="00000000">
                        <w:r>
                          <w:rPr>
                            <w:rFonts w:ascii="Arial" w:eastAsia="Arial" w:hAnsi="Arial" w:cs="Arial"/>
                            <w:b/>
                            <w:sz w:val="18"/>
                          </w:rPr>
                          <w:t>Sezione IV – La decisione della controversia</w:t>
                        </w:r>
                      </w:p>
                    </w:txbxContent>
                  </v:textbox>
                </v:rect>
                <v:rect id="Rectangle 23728" o:spid="_x0000_s7285" style="position:absolute;left:9270;top:26909;width:787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LnxAAAAN4AAAAPAAAAZHJzL2Rvd25yZXYueG1sRE/LisIw&#10;FN0P+A/hCu7G1A7MSDWKKDJduBkf4PLSXNtqcxOaaKtfP1kMzPJw3vNlbxrxoNbXlhVMxgkI4sLq&#10;mksFx8P2fQrCB2SNjWVS8CQPy8XgbY6Zth3/0GMfShFD2GeooArBZVL6oiKDfmwdceQutjUYImxL&#10;qVvsYrhpZJokn9JgzbGhQkfriorb/m4UnDfs8m0ni8tr7XbXfNp8348npUbDfjUDEagP/+I/d64V&#10;pB9fadwb78QrIBe/AAAA//8DAFBLAQItABQABgAIAAAAIQDb4fbL7gAAAIUBAAATAAAAAAAAAAAA&#10;AAAAAAAAAABbQ29udGVudF9UeXBlc10ueG1sUEsBAi0AFAAGAAgAAAAhAFr0LFu/AAAAFQEAAAsA&#10;AAAAAAAAAAAAAAAAHwEAAF9yZWxzLy5yZWxzUEsBAi0AFAAGAAgAAAAhAFu40ufEAAAA3gAAAA8A&#10;AAAAAAAAAAAAAAAABwIAAGRycy9kb3ducmV2LnhtbFBLBQYAAAAAAwADALcAAAD4AgAAAAA=&#10;" filled="f" stroked="f">
                  <v:textbox inset="0,0,0,0">
                    <w:txbxContent>
                      <w:p w14:paraId="5B28A146" w14:textId="77777777" w:rsidR="00B32EF2" w:rsidRDefault="00000000">
                        <w:r>
                          <w:rPr>
                            <w:rFonts w:ascii="Arial" w:eastAsia="Arial" w:hAnsi="Arial" w:cs="Arial"/>
                            <w:b/>
                            <w:sz w:val="18"/>
                          </w:rPr>
                          <w:t xml:space="preserve">  </w:t>
                        </w:r>
                      </w:p>
                    </w:txbxContent>
                  </v:textbox>
                </v:rect>
                <v:rect id="Rectangle 23729" o:spid="_x0000_s7286" style="position:absolute;left:1604;top:26909;width:536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Hd8xwAAAN4AAAAPAAAAZHJzL2Rvd25yZXYueG1sRI9Ba8JA&#10;FITvgv9heUJvumkKNk1dRRRpDr1oLfT4yD6TtNm3S3Y1qb++KxQ8DjPzDbNYDaYVF+p8Y1nB4ywB&#10;QVxa3XCl4Pixm2YgfEDW2FomBb/kYbUcjxaYa9vzni6HUIkIYZ+jgjoEl0vpy5oM+pl1xNE72c5g&#10;iLKrpO6wj3DTyjRJ5tJgw3GhRkebmsqfw9ko+NqyK3a9LE/XjXv/LrL27Xz8VOphMqxfQQQawj38&#10;3y60gvTpOX2B2514BeTyDwAA//8DAFBLAQItABQABgAIAAAAIQDb4fbL7gAAAIUBAAATAAAAAAAA&#10;AAAAAAAAAAAAAABbQ29udGVudF9UeXBlc10ueG1sUEsBAi0AFAAGAAgAAAAhAFr0LFu/AAAAFQEA&#10;AAsAAAAAAAAAAAAAAAAAHwEAAF9yZWxzLy5yZWxzUEsBAi0AFAAGAAgAAAAhADT0d3zHAAAA3gAA&#10;AA8AAAAAAAAAAAAAAAAABwIAAGRycy9kb3ducmV2LnhtbFBLBQYAAAAAAwADALcAAAD7AgAAAAA=&#10;" filled="f" stroked="f">
                  <v:textbox inset="0,0,0,0">
                    <w:txbxContent>
                      <w:p w14:paraId="1BE8999A" w14:textId="77777777" w:rsidR="00B32EF2" w:rsidRDefault="00000000">
                        <w:r>
                          <w:rPr>
                            <w:rFonts w:ascii="Arial" w:eastAsia="Arial" w:hAnsi="Arial" w:cs="Arial"/>
                            <w:b/>
                            <w:sz w:val="18"/>
                          </w:rPr>
                          <w:t>Pag. 79</w:t>
                        </w:r>
                      </w:p>
                    </w:txbxContent>
                  </v:textbox>
                </v:rect>
                <v:rect id="Rectangle 23730" o:spid="_x0000_s7287" style="position:absolute;left:15609;top:25195;width:233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0g8xQAAAN4AAAAPAAAAZHJzL2Rvd25yZXYueG1sRI/LisIw&#10;FIb3gu8QjuBO01FQ6RhlcJDpYjbeYJaH5thWm5PQRFvn6c1CcPnz3/iW687U4k6Nrywr+BgnIIhz&#10;qysuFBwP29EChA/IGmvLpOBBHtarfm+JqbYt7+i+D4WII+xTVFCG4FIpfV6SQT+2jjh6Z9sYDFE2&#10;hdQNtnHc1HKSJDNpsOL4UKKjTUn5dX8zCv6+2WXbVubn/437vWSL+ud2PCk1HHRfnyACdeEdfrUz&#10;rWAynU8jQMSJKCBXTwAAAP//AwBQSwECLQAUAAYACAAAACEA2+H2y+4AAACFAQAAEwAAAAAAAAAA&#10;AAAAAAAAAAAAW0NvbnRlbnRfVHlwZXNdLnhtbFBLAQItABQABgAIAAAAIQBa9CxbvwAAABUBAAAL&#10;AAAAAAAAAAAAAAAAAB8BAABfcmVscy8ucmVsc1BLAQItABQABgAIAAAAIQAgF0g8xQAAAN4AAAAP&#10;AAAAAAAAAAAAAAAAAAcCAABkcnMvZG93bnJldi54bWxQSwUGAAAAAAMAAwC3AAAA+QIAAAAA&#10;" filled="f" stroked="f">
                  <v:textbox inset="0,0,0,0">
                    <w:txbxContent>
                      <w:p w14:paraId="10BFA6F6" w14:textId="77777777" w:rsidR="00B32EF2" w:rsidRDefault="00000000">
                        <w:r>
                          <w:rPr>
                            <w:rFonts w:ascii="Arial" w:eastAsia="Arial" w:hAnsi="Arial" w:cs="Arial"/>
                            <w:sz w:val="18"/>
                          </w:rPr>
                          <w:t>Art. 85 - Contenuto della sentenza</w:t>
                        </w:r>
                      </w:p>
                    </w:txbxContent>
                  </v:textbox>
                </v:rect>
                <v:rect id="Rectangle 23731" o:spid="_x0000_s7288" style="position:absolute;left:1037;top:23480;width:379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2nxgAAAN4AAAAPAAAAZHJzL2Rvd25yZXYueG1sRI9Ba8JA&#10;FITvgv9heUJvulGhSnQVUcQcvNRa6PGRfSbR7Nslu5rUX98tCD0OM/MNs1x3phYPanxlWcF4lIAg&#10;zq2uuFBw/twP5yB8QNZYWyYFP+Rhver3lphq2/IHPU6hEBHCPkUFZQguldLnJRn0I+uIo3exjcEQ&#10;ZVNI3WAb4aaWkyR5lwYrjgslOtqWlN9Od6Pge8cu27cyvzy37njN5vXhfv5S6m3QbRYgAnXhP/xq&#10;Z1rBZDqbjuHvTrwCcvULAAD//wMAUEsBAi0AFAAGAAgAAAAhANvh9svuAAAAhQEAABMAAAAAAAAA&#10;AAAAAAAAAAAAAFtDb250ZW50X1R5cGVzXS54bWxQSwECLQAUAAYACAAAACEAWvQsW78AAAAVAQAA&#10;CwAAAAAAAAAAAAAAAAAfAQAAX3JlbHMvLnJlbHNQSwECLQAUAAYACAAAACEAT1vtp8YAAADeAAAA&#10;DwAAAAAAAAAAAAAAAAAHAgAAZHJzL2Rvd25yZXYueG1sUEsFBgAAAAADAAMAtwAAAPoCAAAAAA==&#10;" filled="f" stroked="f">
                  <v:textbox inset="0,0,0,0">
                    <w:txbxContent>
                      <w:p w14:paraId="55DAD309" w14:textId="77777777" w:rsidR="00B32EF2" w:rsidRDefault="00000000">
                        <w:r>
                          <w:rPr>
                            <w:rFonts w:ascii="Arial" w:eastAsia="Arial" w:hAnsi="Arial" w:cs="Arial"/>
                            <w:sz w:val="18"/>
                          </w:rPr>
                          <w:t>Art. 86 - Pubblicazione e comunicazione della sentenza</w:t>
                        </w:r>
                      </w:p>
                    </w:txbxContent>
                  </v:textbox>
                </v:rect>
                <v:rect id="Rectangle 23732" o:spid="_x0000_s7289" style="position:absolute;left:290;top:21766;width:386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PQxwAAAN4AAAAPAAAAZHJzL2Rvd25yZXYueG1sRI9Pa8JA&#10;FMTvBb/D8oTe6qYRrERXKRZpDl78Bx4f2WeSNvt2ya4m9dO7QsHjMDO/YebL3jTiSq2vLSt4HyUg&#10;iAuray4VHPbrtykIH5A1NpZJwR95WC4GL3PMtO14S9ddKEWEsM9QQRWCy6T0RUUG/cg64uidbWsw&#10;RNmWUrfYRbhpZJokE2mw5rhQoaNVRcXv7mIUnL7Y5etOFufbym1+8mnzfTkclXod9p8zEIH68Az/&#10;t3OtIB1/jFN43IlXQC7uAAAA//8DAFBLAQItABQABgAIAAAAIQDb4fbL7gAAAIUBAAATAAAAAAAA&#10;AAAAAAAAAAAAAABbQ29udGVudF9UeXBlc10ueG1sUEsBAi0AFAAGAAgAAAAhAFr0LFu/AAAAFQEA&#10;AAsAAAAAAAAAAAAAAAAAHwEAAF9yZWxzLy5yZWxzUEsBAi0AFAAGAAgAAAAhAL+Jc9DHAAAA3gAA&#10;AA8AAAAAAAAAAAAAAAAABwIAAGRycy9kb3ducmV2LnhtbFBLBQYAAAAAAwADALcAAAD7AgAAAAA=&#10;" filled="f" stroked="f">
                  <v:textbox inset="0,0,0,0">
                    <w:txbxContent>
                      <w:p w14:paraId="70BDDAAF" w14:textId="77777777" w:rsidR="00B32EF2" w:rsidRDefault="00000000">
                        <w:r>
                          <w:rPr>
                            <w:rFonts w:ascii="Arial" w:eastAsia="Arial" w:hAnsi="Arial" w:cs="Arial"/>
                            <w:sz w:val="18"/>
                          </w:rPr>
                          <w:t>Art. 87 - Richiesta di copie e notificazione della sentenza</w:t>
                        </w:r>
                      </w:p>
                    </w:txbxContent>
                  </v:textbox>
                </v:rect>
                <v:rect id="Rectangle 23733" o:spid="_x0000_s7290" style="position:absolute;left:8280;top:20051;width:3070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dZLxwAAAN4AAAAPAAAAZHJzL2Rvd25yZXYueG1sRI9Ba8JA&#10;FITvgv9heUJvuqmBKqmrFEXMwUuthR4f2WcSzb5dsqtJ/fXdguBxmJlvmMWqN424UetrywpeJwkI&#10;4sLqmksFx6/teA7CB2SNjWVS8EseVsvhYIGZth1/0u0QShEh7DNUUIXgMil9UZFBP7GOOHon2xoM&#10;Ubal1C12EW4aOU2SN2mw5rhQoaN1RcXlcDUKfjbs8m0ni9N97fbnfN7srsdvpV5G/cc7iEB9eIYf&#10;7VwrmKazNIX/O/EKyOUfAAAA//8DAFBLAQItABQABgAIAAAAIQDb4fbL7gAAAIUBAAATAAAAAAAA&#10;AAAAAAAAAAAAAABbQ29udGVudF9UeXBlc10ueG1sUEsBAi0AFAAGAAgAAAAhAFr0LFu/AAAAFQEA&#10;AAsAAAAAAAAAAAAAAAAAHwEAAF9yZWxzLy5yZWxzUEsBAi0AFAAGAAgAAAAhANDF1kvHAAAA3gAA&#10;AA8AAAAAAAAAAAAAAAAABwIAAGRycy9kb3ducmV2LnhtbFBLBQYAAAAAAwADALcAAAD7AgAAAAA=&#10;" filled="f" stroked="f">
                  <v:textbox inset="0,0,0,0">
                    <w:txbxContent>
                      <w:p w14:paraId="1C9B28CE" w14:textId="77777777" w:rsidR="00B32EF2" w:rsidRDefault="00000000">
                        <w:r>
                          <w:rPr>
                            <w:rFonts w:ascii="Arial" w:eastAsia="Arial" w:hAnsi="Arial" w:cs="Arial"/>
                            <w:b/>
                            <w:sz w:val="18"/>
                          </w:rPr>
                          <w:t>Sezione V – Sospensione, interruzione ed</w:t>
                        </w:r>
                      </w:p>
                    </w:txbxContent>
                  </v:textbox>
                </v:rect>
                <v:rect id="Rectangle 23734" o:spid="_x0000_s7291" style="position:absolute;left:8348;top:20051;width:1158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E4/xwAAAN4AAAAPAAAAZHJzL2Rvd25yZXYueG1sRI9Pa8JA&#10;FMTvBb/D8gRvdeMfWkldRRRpDl6qFnp8ZJ9JNPt2ya4m9dO7hYLHYWZ+w8yXnanFjRpfWVYwGiYg&#10;iHOrKy4UHA/b1xkIH5A11pZJwS95WC56L3NMtW35i277UIgIYZ+igjIEl0rp85IM+qF1xNE72cZg&#10;iLIppG6wjXBTy3GSvEmDFceFEh2tS8ov+6tR8LNhl21bmZ/ua7c7Z7P683r8VmrQ71YfIAJ14Rn+&#10;b2dawXjyPpnC3514BeTiAQAA//8DAFBLAQItABQABgAIAAAAIQDb4fbL7gAAAIUBAAATAAAAAAAA&#10;AAAAAAAAAAAAAABbQ29udGVudF9UeXBlc10ueG1sUEsBAi0AFAAGAAgAAAAhAFr0LFu/AAAAFQEA&#10;AAsAAAAAAAAAAAAAAAAAHwEAAF9yZWxzLy5yZWxzUEsBAi0AFAAGAAgAAAAhAF8sTj/HAAAA3gAA&#10;AA8AAAAAAAAAAAAAAAAABwIAAGRycy9kb3ducmV2LnhtbFBLBQYAAAAAAwADALcAAAD7AgAAAAA=&#10;" filled="f" stroked="f">
                  <v:textbox inset="0,0,0,0">
                    <w:txbxContent>
                      <w:p w14:paraId="4F09BD2B" w14:textId="77777777" w:rsidR="00B32EF2" w:rsidRDefault="00000000">
                        <w:r>
                          <w:rPr>
                            <w:rFonts w:ascii="Arial" w:eastAsia="Arial" w:hAnsi="Arial" w:cs="Arial"/>
                            <w:b/>
                            <w:sz w:val="18"/>
                          </w:rPr>
                          <w:t xml:space="preserve">  </w:t>
                        </w:r>
                      </w:p>
                    </w:txbxContent>
                  </v:textbox>
                </v:rect>
                <v:rect id="Rectangle 23735" o:spid="_x0000_s7292" style="position:absolute;left:1645;top:20051;width:53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OukxwAAAN4AAAAPAAAAZHJzL2Rvd25yZXYueG1sRI9Ba8JA&#10;FITvBf/D8gRvdaNiK6mriCLNwUvVQo+P7DOJZt8u2dWk/nq3UPA4zMw3zHzZmVrcqPGVZQWjYQKC&#10;OLe64kLB8bB9nYHwAVljbZkU/JKH5aL3MsdU25a/6LYPhYgQ9ikqKENwqZQ+L8mgH1pHHL2TbQyG&#10;KJtC6gbbCDe1HCfJmzRYcVwo0dG6pPyyvxoFPxt22baV+em+drtzNqs/r8dvpQb9bvUBIlAXnuH/&#10;dqYVjCfvkyn83YlXQC4eAAAA//8DAFBLAQItABQABgAIAAAAIQDb4fbL7gAAAIUBAAATAAAAAAAA&#10;AAAAAAAAAAAAAABbQ29udGVudF9UeXBlc10ueG1sUEsBAi0AFAAGAAgAAAAhAFr0LFu/AAAAFQEA&#10;AAsAAAAAAAAAAAAAAAAAHwEAAF9yZWxzLy5yZWxzUEsBAi0AFAAGAAgAAAAhADBg66THAAAA3gAA&#10;AA8AAAAAAAAAAAAAAAAABwIAAGRycy9kb3ducmV2LnhtbFBLBQYAAAAAAwADALcAAAD7AgAAAAA=&#10;" filled="f" stroked="f">
                  <v:textbox inset="0,0,0,0">
                    <w:txbxContent>
                      <w:p w14:paraId="130366ED" w14:textId="77777777" w:rsidR="00B32EF2" w:rsidRDefault="00000000">
                        <w:r>
                          <w:rPr>
                            <w:rFonts w:ascii="Arial" w:eastAsia="Arial" w:hAnsi="Arial" w:cs="Arial"/>
                            <w:b/>
                            <w:sz w:val="18"/>
                          </w:rPr>
                          <w:t>Pag. 81</w:t>
                        </w:r>
                      </w:p>
                    </w:txbxContent>
                  </v:textbox>
                </v:rect>
                <v:rect id="Rectangle 23736" o:spid="_x0000_s7293" style="position:absolute;left:21350;top:18337;width:176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nXTxwAAAN4AAAAPAAAAZHJzL2Rvd25yZXYueG1sRI9Ba8JA&#10;FITvQv/D8gRvulFBJXWVYhFz8FKbQo+P7DNJm327ZFcT/fVuQehxmJlvmPW2N424UutrywqmkwQE&#10;cWF1zaWC/HM/XoHwAVljY5kU3MjDdvMyWGOqbccfdD2FUkQI+xQVVCG4VEpfVGTQT6wjjt7ZtgZD&#10;lG0pdYtdhJtGzpJkIQ3WHBcqdLSrqPg9XYyC73d22b6Txfm+c8efbNUcLvmXUqNh//YKIlAf/sPP&#10;dqYVzObL+QL+7sQrIDcPAAAA//8DAFBLAQItABQABgAIAAAAIQDb4fbL7gAAAIUBAAATAAAAAAAA&#10;AAAAAAAAAAAAAABbQ29udGVudF9UeXBlc10ueG1sUEsBAi0AFAAGAAgAAAAhAFr0LFu/AAAAFQEA&#10;AAsAAAAAAAAAAAAAAAAAHwEAAF9yZWxzLy5yZWxzUEsBAi0AFAAGAAgAAAAhAMCyddPHAAAA3gAA&#10;AA8AAAAAAAAAAAAAAAAABwIAAGRycy9kb3ducmV2LnhtbFBLBQYAAAAAAwADALcAAAD7AgAAAAA=&#10;" filled="f" stroked="f">
                  <v:textbox inset="0,0,0,0">
                    <w:txbxContent>
                      <w:p w14:paraId="3005F057" w14:textId="77777777" w:rsidR="00B32EF2" w:rsidRDefault="00000000">
                        <w:r>
                          <w:rPr>
                            <w:rFonts w:ascii="Arial" w:eastAsia="Arial" w:hAnsi="Arial" w:cs="Arial"/>
                            <w:b/>
                            <w:sz w:val="18"/>
                          </w:rPr>
                          <w:t>estinzione del processo</w:t>
                        </w:r>
                      </w:p>
                    </w:txbxContent>
                  </v:textbox>
                </v:rect>
                <v:rect id="Rectangle 23737" o:spid="_x0000_s7294" style="position:absolute;left:14900;top:16622;width:240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BIxwAAAN4AAAAPAAAAZHJzL2Rvd25yZXYueG1sRI9Ba8JA&#10;FITvQv/D8gRvulFBJXWVYhFz8FJNocdH9pmkzb5dsquJ/vpuoeBxmJlvmPW2N424UetrywqmkwQE&#10;cWF1zaWC/Lwfr0D4gKyxsUwK7uRhu3kZrDHVtuMPup1CKSKEfYoKqhBcKqUvKjLoJ9YRR+9iW4Mh&#10;yraUusUuwk0jZ0mykAZrjgsVOtpVVPycrkbB1zu7bN/J4vLYueN3tmoO1/xTqdGwf3sFEagPz/B/&#10;O9MKZvPlfAl/d+IVkJtfAAAA//8DAFBLAQItABQABgAIAAAAIQDb4fbL7gAAAIUBAAATAAAAAAAA&#10;AAAAAAAAAAAAAABbQ29udGVudF9UeXBlc10ueG1sUEsBAi0AFAAGAAgAAAAhAFr0LFu/AAAAFQEA&#10;AAsAAAAAAAAAAAAAAAAAHwEAAF9yZWxzLy5yZWxzUEsBAi0AFAAGAAgAAAAhAK/+0EjHAAAA3gAA&#10;AA8AAAAAAAAAAAAAAAAABwIAAGRycy9kb3ducmV2LnhtbFBLBQYAAAAAAwADALcAAAD7AgAAAAA=&#10;" filled="f" stroked="f">
                  <v:textbox inset="0,0,0,0">
                    <w:txbxContent>
                      <w:p w14:paraId="6FD4C7D2" w14:textId="77777777" w:rsidR="00B32EF2" w:rsidRDefault="00000000">
                        <w:r>
                          <w:rPr>
                            <w:rFonts w:ascii="Arial" w:eastAsia="Arial" w:hAnsi="Arial" w:cs="Arial"/>
                            <w:sz w:val="18"/>
                          </w:rPr>
                          <w:t>Art. 88 - Sospensione del processo</w:t>
                        </w:r>
                      </w:p>
                    </w:txbxContent>
                  </v:textbox>
                </v:rect>
                <v:rect id="Rectangle 23738" o:spid="_x0000_s7295" style="position:absolute;left:15654;top:14908;width:2332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UQ6wwAAAN4AAAAPAAAAZHJzL2Rvd25yZXYueG1sRE/LisIw&#10;FN0L/kO4gjtNR0GlY5TBQaaL2fiCWV6aa1ttbkITbZ2vNwvB5eG8l+vO1OJOja8sK/gYJyCIc6sr&#10;LhQcD9vRAoQPyBpry6TgQR7Wq35viam2Le/ovg+FiCHsU1RQhuBSKX1ekkE/to44cmfbGAwRNoXU&#10;DbYx3NRykiQzabDi2FCio01J+XV/Mwr+vtll21bm5/+N+71ki/rndjwpNRx0X58gAnXhLX65M61g&#10;Mp1P4954J14BuXoCAAD//wMAUEsBAi0AFAAGAAgAAAAhANvh9svuAAAAhQEAABMAAAAAAAAAAAAA&#10;AAAAAAAAAFtDb250ZW50X1R5cGVzXS54bWxQSwECLQAUAAYACAAAACEAWvQsW78AAAAVAQAACwAA&#10;AAAAAAAAAAAAAAAfAQAAX3JlbHMvLnJlbHNQSwECLQAUAAYACAAAACEA3mFEOsMAAADeAAAADwAA&#10;AAAAAAAAAAAAAAAHAgAAZHJzL2Rvd25yZXYueG1sUEsFBgAAAAADAAMAtwAAAPcCAAAAAA==&#10;" filled="f" stroked="f">
                  <v:textbox inset="0,0,0,0">
                    <w:txbxContent>
                      <w:p w14:paraId="6E6F346B" w14:textId="77777777" w:rsidR="00B32EF2" w:rsidRDefault="00000000">
                        <w:r>
                          <w:rPr>
                            <w:rFonts w:ascii="Arial" w:eastAsia="Arial" w:hAnsi="Arial" w:cs="Arial"/>
                            <w:sz w:val="18"/>
                          </w:rPr>
                          <w:t>Art. 89 - Interruzione del processo</w:t>
                        </w:r>
                      </w:p>
                    </w:txbxContent>
                  </v:textbox>
                </v:rect>
                <v:rect id="Rectangle 23739" o:spid="_x0000_s7296" style="position:absolute;left:-10987;top:13193;width:4996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eGhxwAAAN4AAAAPAAAAZHJzL2Rvd25yZXYueG1sRI9Ba8JA&#10;FITvBf/D8gRvdaOCtdFVRJHm4KVqweMj+0zSZt8u2dWk/nq3UPA4zMw3zGLVmVrcqPGVZQWjYQKC&#10;OLe64kLB6bh7nYHwAVljbZkU/JKH1bL3ssBU25Y/6XYIhYgQ9ikqKENwqZQ+L8mgH1pHHL2LbQyG&#10;KJtC6gbbCDe1HCfJVBqsOC6U6GhTUv5zuBoF5y27bNfK/HLfuP13Nqs/rqcvpQb9bj0HEagLz/B/&#10;O9MKxpO3yTv83YlXQC4fAAAA//8DAFBLAQItABQABgAIAAAAIQDb4fbL7gAAAIUBAAATAAAAAAAA&#10;AAAAAAAAAAAAAABbQ29udGVudF9UeXBlc10ueG1sUEsBAi0AFAAGAAgAAAAhAFr0LFu/AAAAFQEA&#10;AAsAAAAAAAAAAAAAAAAAHwEAAF9yZWxzLy5yZWxzUEsBAi0AFAAGAAgAAAAhALEt4aHHAAAA3gAA&#10;AA8AAAAAAAAAAAAAAAAABwIAAGRycy9kb3ducmV2LnhtbFBLBQYAAAAAAwADALcAAAD7AgAAAAA=&#10;" filled="f" stroked="f">
                  <v:textbox inset="0,0,0,0">
                    <w:txbxContent>
                      <w:p w14:paraId="5E806567" w14:textId="77777777" w:rsidR="00B32EF2" w:rsidRDefault="00000000">
                        <w:r>
                          <w:rPr>
                            <w:rFonts w:ascii="Arial" w:eastAsia="Arial" w:hAnsi="Arial" w:cs="Arial"/>
                            <w:sz w:val="18"/>
                          </w:rPr>
                          <w:t>Art. 90 - Provvedimenti sulla sospensione e sull’interruzione del processo</w:t>
                        </w:r>
                      </w:p>
                    </w:txbxContent>
                  </v:textbox>
                </v:rect>
                <v:rect id="Rectangle 23740" o:spid="_x0000_s7297" style="position:absolute;left:-5363;top:11479;width:443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TtBxQAAAN4AAAAPAAAAZHJzL2Rvd25yZXYueG1sRI/NisIw&#10;FIX3gu8QruBOUx0ZpWMUcRC7cDOOwiwvzbXtTHMTmmirT28WwiwP549vue5MLW7U+Mqygsk4AUGc&#10;W11xoeD0vRstQPiArLG2TAru5GG96veWmGrb8hfdjqEQcYR9igrKEFwqpc9LMujH1hFH72IbgyHK&#10;ppC6wTaOm1pOk+RdGqw4PpToaFtS/ne8GgU/n+yyXSvzy2PrDr/Zot5fT2elhoNu8wEiUBf+w692&#10;phVM3+azCBBxIgrI1RMAAP//AwBQSwECLQAUAAYACAAAACEA2+H2y+4AAACFAQAAEwAAAAAAAAAA&#10;AAAAAAAAAAAAW0NvbnRlbnRfVHlwZXNdLnhtbFBLAQItABQABgAIAAAAIQBa9CxbvwAAABUBAAAL&#10;AAAAAAAAAAAAAAAAAB8BAABfcmVscy8ucmVsc1BLAQItABQABgAIAAAAIQB4ETtBxQAAAN4AAAAP&#10;AAAAAAAAAAAAAAAAAAcCAABkcnMvZG93bnJldi54bWxQSwUGAAAAAAMAAwC3AAAA+QIAAAAA&#10;" filled="f" stroked="f">
                  <v:textbox inset="0,0,0,0">
                    <w:txbxContent>
                      <w:p w14:paraId="03E0761F" w14:textId="77777777" w:rsidR="00B32EF2" w:rsidRDefault="00000000">
                        <w:r>
                          <w:rPr>
                            <w:rFonts w:ascii="Arial" w:eastAsia="Arial" w:hAnsi="Arial" w:cs="Arial"/>
                            <w:sz w:val="18"/>
                          </w:rPr>
                          <w:t>Art. 91 - Effetti della sospensione e dell’interruzione del processo</w:t>
                        </w:r>
                      </w:p>
                    </w:txbxContent>
                  </v:textbox>
                </v:rect>
                <v:rect id="Rectangle 23741" o:spid="_x0000_s7298" style="position:absolute;left:4550;top:9764;width:344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Z7axwAAAN4AAAAPAAAAZHJzL2Rvd25yZXYueG1sRI9Pa8JA&#10;FMTvgt9heUJvutGKldRVikXMoRf/FHp8ZJ9J2uzbJbua6KfvCoLHYWZ+wyxWnanFhRpfWVYwHiUg&#10;iHOrKy4UHA+b4RyED8gaa8uk4EoeVst+b4Gpti3v6LIPhYgQ9ikqKENwqZQ+L8mgH1lHHL2TbQyG&#10;KJtC6gbbCDe1nCTJTBqsOC6U6GhdUv63PxsFP5/ssk0r89Nt7b5+s3m9PR+/lXoZdB/vIAJ14Rl+&#10;tDOtYPL6Nh3D/U68AnL5DwAA//8DAFBLAQItABQABgAIAAAAIQDb4fbL7gAAAIUBAAATAAAAAAAA&#10;AAAAAAAAAAAAAABbQ29udGVudF9UeXBlc10ueG1sUEsBAi0AFAAGAAgAAAAhAFr0LFu/AAAAFQEA&#10;AAsAAAAAAAAAAAAAAAAAHwEAAF9yZWxzLy5yZWxzUEsBAi0AFAAGAAgAAAAhABddntrHAAAA3gAA&#10;AA8AAAAAAAAAAAAAAAAABwIAAGRycy9kb3ducmV2LnhtbFBLBQYAAAAAAwADALcAAAD7AgAAAAA=&#10;" filled="f" stroked="f">
                  <v:textbox inset="0,0,0,0">
                    <w:txbxContent>
                      <w:p w14:paraId="4F008C6B" w14:textId="77777777" w:rsidR="00B32EF2" w:rsidRDefault="00000000">
                        <w:r>
                          <w:rPr>
                            <w:rFonts w:ascii="Arial" w:eastAsia="Arial" w:hAnsi="Arial" w:cs="Arial"/>
                            <w:sz w:val="18"/>
                          </w:rPr>
                          <w:t>Art. 92 - Ripresa del processo sospeso o interrotto</w:t>
                        </w:r>
                      </w:p>
                    </w:txbxContent>
                  </v:textbox>
                </v:rect>
                <v:rect id="Rectangle 23742" o:spid="_x0000_s7299" style="position:absolute;left:1517;top:8050;width:3745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wCtxwAAAN4AAAAPAAAAZHJzL2Rvd25yZXYueG1sRI9Ba8JA&#10;FITvgv9heUJvumkqraSuIoo0h160KfT4yD6TtNm3S3Y1qb++KxQ8DjPzDbNcD6YVF+p8Y1nB4ywB&#10;QVxa3XCloPjYTxcgfEDW2FomBb/kYb0aj5aYadvzgS7HUIkIYZ+hgjoEl0npy5oM+pl1xNE72c5g&#10;iLKrpO6wj3DTyjRJnqXBhuNCjY62NZU/x7NR8LVjl+97WZ6uW/f+nS/at3PxqdTDZNi8ggg0hHv4&#10;v51rBenTyzyF2514BeTqDwAA//8DAFBLAQItABQABgAIAAAAIQDb4fbL7gAAAIUBAAATAAAAAAAA&#10;AAAAAAAAAAAAAABbQ29udGVudF9UeXBlc10ueG1sUEsBAi0AFAAGAAgAAAAhAFr0LFu/AAAAFQEA&#10;AAsAAAAAAAAAAAAAAAAAHwEAAF9yZWxzLy5yZWxzUEsBAi0AFAAGAAgAAAAhAOePAK3HAAAA3gAA&#10;AA8AAAAAAAAAAAAAAAAABwIAAGRycy9kb3ducmV2LnhtbFBLBQYAAAAAAwADALcAAAD7AgAAAAA=&#10;" filled="f" stroked="f">
                  <v:textbox inset="0,0,0,0">
                    <w:txbxContent>
                      <w:p w14:paraId="2318857A" w14:textId="77777777" w:rsidR="00B32EF2" w:rsidRDefault="00000000">
                        <w:r>
                          <w:rPr>
                            <w:rFonts w:ascii="Arial" w:eastAsia="Arial" w:hAnsi="Arial" w:cs="Arial"/>
                            <w:sz w:val="18"/>
                          </w:rPr>
                          <w:t>Art. 93 - Estinzione del processo per rinuncia al ricorso</w:t>
                        </w:r>
                      </w:p>
                    </w:txbxContent>
                  </v:textbox>
                </v:rect>
                <v:rect id="Rectangle 23743" o:spid="_x0000_s7300" style="position:absolute;left:769;top:6335;width:382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6U2xwAAAN4AAAAPAAAAZHJzL2Rvd25yZXYueG1sRI9Pa8JA&#10;FMTvBb/D8gRvdeMfWkldRRRpDl6qFnp8ZJ9JNPt2ya4m9dO7hYLHYWZ+w8yXnanFjRpfWVYwGiYg&#10;iHOrKy4UHA/b1xkIH5A11pZJwS95WC56L3NMtW35i277UIgIYZ+igjIEl0rp85IM+qF1xNE72cZg&#10;iLIppG6wjXBTy3GSvEmDFceFEh2tS8ov+6tR8LNhl21bmZ/ua7c7Z7P683r8VmrQ71YfIAJ14Rn+&#10;b2dawXjyPp3A3514BeTiAQAA//8DAFBLAQItABQABgAIAAAAIQDb4fbL7gAAAIUBAAATAAAAAAAA&#10;AAAAAAAAAAAAAABbQ29udGVudF9UeXBlc10ueG1sUEsBAi0AFAAGAAgAAAAhAFr0LFu/AAAAFQEA&#10;AAsAAAAAAAAAAAAAAAAAHwEAAF9yZWxzLy5yZWxzUEsBAi0AFAAGAAgAAAAhAIjDpTbHAAAA3gAA&#10;AA8AAAAAAAAAAAAAAAAABwIAAGRycy9kb3ducmV2LnhtbFBLBQYAAAAAAwADALcAAAD7AgAAAAA=&#10;" filled="f" stroked="f">
                  <v:textbox inset="0,0,0,0">
                    <w:txbxContent>
                      <w:p w14:paraId="76AF0B46" w14:textId="77777777" w:rsidR="00B32EF2" w:rsidRDefault="00000000">
                        <w:r>
                          <w:rPr>
                            <w:rFonts w:ascii="Arial" w:eastAsia="Arial" w:hAnsi="Arial" w:cs="Arial"/>
                            <w:sz w:val="18"/>
                          </w:rPr>
                          <w:t>Art. 94 - Estinzione del processo per inattività delle parti</w:t>
                        </w:r>
                      </w:p>
                    </w:txbxContent>
                  </v:textbox>
                </v:rect>
                <v:rect id="Rectangle 23744" o:spid="_x0000_s7301" style="position:absolute;left:-12861;top:4621;width:5183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j1CxwAAAN4AAAAPAAAAZHJzL2Rvd25yZXYueG1sRI9Ba8JA&#10;FITvBf/D8gRvdaOVKtFVxCLm0EutgsdH9plEs2+X7Gqiv75bKPQ4zMw3zGLVmVrcqfGVZQWjYQKC&#10;OLe64kLB4Xv7OgPhA7LG2jIpeJCH1bL3ssBU25a/6L4PhYgQ9ikqKENwqZQ+L8mgH1pHHL2zbQyG&#10;KJtC6gbbCDe1HCfJuzRYcVwo0dGmpPy6vxkFpw922baV+fm5cZ+XbFbvboejUoN+t56DCNSF//Bf&#10;O9MKxm/TyQR+78QrIJc/AAAA//8DAFBLAQItABQABgAIAAAAIQDb4fbL7gAAAIUBAAATAAAAAAAA&#10;AAAAAAAAAAAAAABbQ29udGVudF9UeXBlc10ueG1sUEsBAi0AFAAGAAgAAAAhAFr0LFu/AAAAFQEA&#10;AAsAAAAAAAAAAAAAAAAAHwEAAF9yZWxzLy5yZWxzUEsBAi0AFAAGAAgAAAAhAAcqPULHAAAA3gAA&#10;AA8AAAAAAAAAAAAAAAAABwIAAGRycy9kb3ducmV2LnhtbFBLBQYAAAAAAwADALcAAAD7AgAAAAA=&#10;" filled="f" stroked="f">
                  <v:textbox inset="0,0,0,0">
                    <w:txbxContent>
                      <w:p w14:paraId="0B324DFC" w14:textId="77777777" w:rsidR="00B32EF2" w:rsidRDefault="00000000">
                        <w:r>
                          <w:rPr>
                            <w:rFonts w:ascii="Arial" w:eastAsia="Arial" w:hAnsi="Arial" w:cs="Arial"/>
                            <w:sz w:val="18"/>
                          </w:rPr>
                          <w:t>Art. 95 - Estinzione del giudizio per cessazione della materia del contendere</w:t>
                        </w:r>
                      </w:p>
                    </w:txbxContent>
                  </v:textbox>
                </v:rect>
                <w10:anchorlock/>
              </v:group>
            </w:pict>
          </mc:Fallback>
        </mc:AlternateContent>
      </w:r>
    </w:p>
    <w:p w14:paraId="08A64571" w14:textId="77777777" w:rsidR="00B32EF2" w:rsidRDefault="00000000">
      <w:pPr>
        <w:spacing w:after="0"/>
        <w:ind w:left="140" w:right="-306"/>
      </w:pPr>
      <w:r>
        <w:rPr>
          <w:noProof/>
        </w:rPr>
        <w:lastRenderedPageBreak/>
        <mc:AlternateContent>
          <mc:Choice Requires="wpg">
            <w:drawing>
              <wp:inline distT="0" distB="0" distL="0" distR="0" wp14:anchorId="42D7B66A" wp14:editId="687DD9BF">
                <wp:extent cx="3676940" cy="6262854"/>
                <wp:effectExtent l="0" t="0" r="0" b="0"/>
                <wp:docPr id="202469" name="Group 202469"/>
                <wp:cNvGraphicFramePr/>
                <a:graphic xmlns:a="http://schemas.openxmlformats.org/drawingml/2006/main">
                  <a:graphicData uri="http://schemas.microsoft.com/office/word/2010/wordprocessingGroup">
                    <wpg:wgp>
                      <wpg:cNvGrpSpPr/>
                      <wpg:grpSpPr>
                        <a:xfrm>
                          <a:off x="0" y="0"/>
                          <a:ext cx="3676940" cy="6262854"/>
                          <a:chOff x="0" y="0"/>
                          <a:chExt cx="3676940" cy="6262854"/>
                        </a:xfrm>
                      </wpg:grpSpPr>
                      <wps:wsp>
                        <wps:cNvPr id="23747" name="Rectangle 23747"/>
                        <wps:cNvSpPr/>
                        <wps:spPr>
                          <a:xfrm rot="-10799999">
                            <a:off x="1641282" y="-62190"/>
                            <a:ext cx="89184" cy="250646"/>
                          </a:xfrm>
                          <a:prstGeom prst="rect">
                            <a:avLst/>
                          </a:prstGeom>
                          <a:ln>
                            <a:noFill/>
                          </a:ln>
                        </wps:spPr>
                        <wps:txbx>
                          <w:txbxContent>
                            <w:p w14:paraId="5D8663C5" w14:textId="77777777" w:rsidR="00B32EF2" w:rsidRDefault="00000000">
                              <w:r>
                                <w:rPr>
                                  <w:rFonts w:ascii="Times New Roman" w:eastAsia="Times New Roman" w:hAnsi="Times New Roman" w:cs="Times New Roman"/>
                                </w:rPr>
                                <w:t>9</w:t>
                              </w:r>
                            </w:p>
                          </w:txbxContent>
                        </wps:txbx>
                        <wps:bodyPr horzOverflow="overflow" vert="horz" lIns="0" tIns="0" rIns="0" bIns="0" rtlCol="0">
                          <a:noAutofit/>
                        </wps:bodyPr>
                      </wps:wsp>
                      <wps:wsp>
                        <wps:cNvPr id="23748" name="Rectangle 23748"/>
                        <wps:cNvSpPr/>
                        <wps:spPr>
                          <a:xfrm rot="-10799999">
                            <a:off x="1443371" y="6119964"/>
                            <a:ext cx="2233569" cy="142890"/>
                          </a:xfrm>
                          <a:prstGeom prst="rect">
                            <a:avLst/>
                          </a:prstGeom>
                          <a:ln>
                            <a:noFill/>
                          </a:ln>
                        </wps:spPr>
                        <wps:txbx>
                          <w:txbxContent>
                            <w:p w14:paraId="464F844A" w14:textId="77777777" w:rsidR="00B32EF2" w:rsidRDefault="00000000">
                              <w:r>
                                <w:rPr>
                                  <w:rFonts w:ascii="Arial" w:eastAsia="Arial" w:hAnsi="Arial" w:cs="Arial"/>
                                  <w:b/>
                                  <w:sz w:val="18"/>
                                </w:rPr>
                                <w:t>Titolo I – Disposizioni generali</w:t>
                              </w:r>
                            </w:p>
                          </w:txbxContent>
                        </wps:txbx>
                        <wps:bodyPr horzOverflow="overflow" vert="horz" lIns="0" tIns="0" rIns="0" bIns="0" rtlCol="0">
                          <a:noAutofit/>
                        </wps:bodyPr>
                      </wps:wsp>
                      <wps:wsp>
                        <wps:cNvPr id="23749" name="Rectangle 23749"/>
                        <wps:cNvSpPr/>
                        <wps:spPr>
                          <a:xfrm rot="-10799999">
                            <a:off x="400041" y="6119965"/>
                            <a:ext cx="2022947" cy="142889"/>
                          </a:xfrm>
                          <a:prstGeom prst="rect">
                            <a:avLst/>
                          </a:prstGeom>
                          <a:ln>
                            <a:noFill/>
                          </a:ln>
                        </wps:spPr>
                        <wps:txbx>
                          <w:txbxContent>
                            <w:p w14:paraId="657CFD74"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750" name="Rectangle 23750"/>
                        <wps:cNvSpPr/>
                        <wps:spPr>
                          <a:xfrm rot="-10799999">
                            <a:off x="-60881" y="6119965"/>
                            <a:ext cx="537205" cy="142889"/>
                          </a:xfrm>
                          <a:prstGeom prst="rect">
                            <a:avLst/>
                          </a:prstGeom>
                          <a:ln>
                            <a:noFill/>
                          </a:ln>
                        </wps:spPr>
                        <wps:txbx>
                          <w:txbxContent>
                            <w:p w14:paraId="2F818D51" w14:textId="77777777" w:rsidR="00B32EF2" w:rsidRDefault="00000000">
                              <w:r>
                                <w:rPr>
                                  <w:rFonts w:ascii="Arial" w:eastAsia="Arial" w:hAnsi="Arial" w:cs="Arial"/>
                                  <w:b/>
                                  <w:sz w:val="18"/>
                                </w:rPr>
                                <w:t>Pag. 39</w:t>
                              </w:r>
                            </w:p>
                          </w:txbxContent>
                        </wps:txbx>
                        <wps:bodyPr horzOverflow="overflow" vert="horz" lIns="0" tIns="0" rIns="0" bIns="0" rtlCol="0">
                          <a:noAutofit/>
                        </wps:bodyPr>
                      </wps:wsp>
                      <wps:wsp>
                        <wps:cNvPr id="23751" name="Rectangle 23751"/>
                        <wps:cNvSpPr/>
                        <wps:spPr>
                          <a:xfrm rot="-10799999">
                            <a:off x="128998" y="5948515"/>
                            <a:ext cx="3547942" cy="142889"/>
                          </a:xfrm>
                          <a:prstGeom prst="rect">
                            <a:avLst/>
                          </a:prstGeom>
                          <a:ln>
                            <a:noFill/>
                          </a:ln>
                        </wps:spPr>
                        <wps:txbx>
                          <w:txbxContent>
                            <w:p w14:paraId="4AC0C073" w14:textId="77777777" w:rsidR="00B32EF2" w:rsidRDefault="00000000">
                              <w:r>
                                <w:rPr>
                                  <w:rFonts w:ascii="Arial" w:eastAsia="Arial" w:hAnsi="Arial" w:cs="Arial"/>
                                  <w:b/>
                                  <w:sz w:val="18"/>
                                </w:rPr>
                                <w:t>Capo I - Del giudice tributario e dei suoi ausiliari</w:t>
                              </w:r>
                            </w:p>
                          </w:txbxContent>
                        </wps:txbx>
                        <wps:bodyPr horzOverflow="overflow" vert="horz" lIns="0" tIns="0" rIns="0" bIns="0" rtlCol="0">
                          <a:noAutofit/>
                        </wps:bodyPr>
                      </wps:wsp>
                      <wps:wsp>
                        <wps:cNvPr id="23752" name="Rectangle 23752"/>
                        <wps:cNvSpPr/>
                        <wps:spPr>
                          <a:xfrm rot="-10799999">
                            <a:off x="852040" y="5948514"/>
                            <a:ext cx="201167" cy="142889"/>
                          </a:xfrm>
                          <a:prstGeom prst="rect">
                            <a:avLst/>
                          </a:prstGeom>
                          <a:ln>
                            <a:noFill/>
                          </a:ln>
                        </wps:spPr>
                        <wps:txbx>
                          <w:txbxContent>
                            <w:p w14:paraId="2924B8A5"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753" name="Rectangle 23753"/>
                        <wps:cNvSpPr/>
                        <wps:spPr>
                          <a:xfrm rot="-10799999">
                            <a:off x="-60893" y="5948514"/>
                            <a:ext cx="537205" cy="142889"/>
                          </a:xfrm>
                          <a:prstGeom prst="rect">
                            <a:avLst/>
                          </a:prstGeom>
                          <a:ln>
                            <a:noFill/>
                          </a:ln>
                        </wps:spPr>
                        <wps:txbx>
                          <w:txbxContent>
                            <w:p w14:paraId="39DA5129" w14:textId="77777777" w:rsidR="00B32EF2" w:rsidRDefault="00000000">
                              <w:r>
                                <w:rPr>
                                  <w:rFonts w:ascii="Arial" w:eastAsia="Arial" w:hAnsi="Arial" w:cs="Arial"/>
                                  <w:b/>
                                  <w:sz w:val="18"/>
                                </w:rPr>
                                <w:t>Pag. 39</w:t>
                              </w:r>
                            </w:p>
                          </w:txbxContent>
                        </wps:txbx>
                        <wps:bodyPr horzOverflow="overflow" vert="horz" lIns="0" tIns="0" rIns="0" bIns="0" rtlCol="0">
                          <a:noAutofit/>
                        </wps:bodyPr>
                      </wps:wsp>
                      <wps:wsp>
                        <wps:cNvPr id="23754" name="Rectangle 23754"/>
                        <wps:cNvSpPr/>
                        <wps:spPr>
                          <a:xfrm rot="-10799999">
                            <a:off x="505185" y="5777065"/>
                            <a:ext cx="3171756" cy="142889"/>
                          </a:xfrm>
                          <a:prstGeom prst="rect">
                            <a:avLst/>
                          </a:prstGeom>
                          <a:ln>
                            <a:noFill/>
                          </a:ln>
                        </wps:spPr>
                        <wps:txbx>
                          <w:txbxContent>
                            <w:p w14:paraId="4C672385" w14:textId="77777777" w:rsidR="00B32EF2" w:rsidRDefault="00000000">
                              <w:r>
                                <w:rPr>
                                  <w:rFonts w:ascii="Arial" w:eastAsia="Arial" w:hAnsi="Arial" w:cs="Arial"/>
                                  <w:sz w:val="18"/>
                                </w:rPr>
                                <w:t>Art. 45 - Gli organi della giurisdizione tributaria</w:t>
                              </w:r>
                            </w:p>
                          </w:txbxContent>
                        </wps:txbx>
                        <wps:bodyPr horzOverflow="overflow" vert="horz" lIns="0" tIns="0" rIns="0" bIns="0" rtlCol="0">
                          <a:noAutofit/>
                        </wps:bodyPr>
                      </wps:wsp>
                      <wps:wsp>
                        <wps:cNvPr id="23755" name="Rectangle 23755"/>
                        <wps:cNvSpPr/>
                        <wps:spPr>
                          <a:xfrm rot="-10799999">
                            <a:off x="614076" y="5605615"/>
                            <a:ext cx="3062864" cy="142889"/>
                          </a:xfrm>
                          <a:prstGeom prst="rect">
                            <a:avLst/>
                          </a:prstGeom>
                          <a:ln>
                            <a:noFill/>
                          </a:ln>
                        </wps:spPr>
                        <wps:txbx>
                          <w:txbxContent>
                            <w:p w14:paraId="10BF6740" w14:textId="77777777" w:rsidR="00B32EF2" w:rsidRDefault="00000000">
                              <w:r>
                                <w:rPr>
                                  <w:rFonts w:ascii="Arial" w:eastAsia="Arial" w:hAnsi="Arial" w:cs="Arial"/>
                                  <w:sz w:val="18"/>
                                </w:rPr>
                                <w:t>Art. 46 - Oggetto della giurisdizione tributaria</w:t>
                              </w:r>
                            </w:p>
                          </w:txbxContent>
                        </wps:txbx>
                        <wps:bodyPr horzOverflow="overflow" vert="horz" lIns="0" tIns="0" rIns="0" bIns="0" rtlCol="0">
                          <a:noAutofit/>
                        </wps:bodyPr>
                      </wps:wsp>
                      <wps:wsp>
                        <wps:cNvPr id="23756" name="Rectangle 23756"/>
                        <wps:cNvSpPr/>
                        <wps:spPr>
                          <a:xfrm rot="-10799999">
                            <a:off x="1578849" y="5434165"/>
                            <a:ext cx="2098090" cy="142889"/>
                          </a:xfrm>
                          <a:prstGeom prst="rect">
                            <a:avLst/>
                          </a:prstGeom>
                          <a:ln>
                            <a:noFill/>
                          </a:ln>
                        </wps:spPr>
                        <wps:txbx>
                          <w:txbxContent>
                            <w:p w14:paraId="133C67F5" w14:textId="77777777" w:rsidR="00B32EF2" w:rsidRDefault="00000000">
                              <w:r>
                                <w:rPr>
                                  <w:rFonts w:ascii="Arial" w:eastAsia="Arial" w:hAnsi="Arial" w:cs="Arial"/>
                                  <w:sz w:val="18"/>
                                </w:rPr>
                                <w:t>Art. 47 - Difetto di giurisdizione</w:t>
                              </w:r>
                            </w:p>
                          </w:txbxContent>
                        </wps:txbx>
                        <wps:bodyPr horzOverflow="overflow" vert="horz" lIns="0" tIns="0" rIns="0" bIns="0" rtlCol="0">
                          <a:noAutofit/>
                        </wps:bodyPr>
                      </wps:wsp>
                      <wps:wsp>
                        <wps:cNvPr id="23757" name="Rectangle 23757"/>
                        <wps:cNvSpPr/>
                        <wps:spPr>
                          <a:xfrm rot="-10799999">
                            <a:off x="1329311" y="5262715"/>
                            <a:ext cx="2347629" cy="142889"/>
                          </a:xfrm>
                          <a:prstGeom prst="rect">
                            <a:avLst/>
                          </a:prstGeom>
                          <a:ln>
                            <a:noFill/>
                          </a:ln>
                        </wps:spPr>
                        <wps:txbx>
                          <w:txbxContent>
                            <w:p w14:paraId="5C7A8A89" w14:textId="77777777" w:rsidR="00B32EF2" w:rsidRDefault="00000000">
                              <w:r>
                                <w:rPr>
                                  <w:rFonts w:ascii="Arial" w:eastAsia="Arial" w:hAnsi="Arial" w:cs="Arial"/>
                                  <w:sz w:val="18"/>
                                </w:rPr>
                                <w:t>Art. 48 - Competenza per territorio</w:t>
                              </w:r>
                            </w:p>
                          </w:txbxContent>
                        </wps:txbx>
                        <wps:bodyPr horzOverflow="overflow" vert="horz" lIns="0" tIns="0" rIns="0" bIns="0" rtlCol="0">
                          <a:noAutofit/>
                        </wps:bodyPr>
                      </wps:wsp>
                      <wps:wsp>
                        <wps:cNvPr id="23758" name="Rectangle 23758"/>
                        <wps:cNvSpPr/>
                        <wps:spPr>
                          <a:xfrm rot="-10799999">
                            <a:off x="544071" y="5091265"/>
                            <a:ext cx="3132868" cy="142889"/>
                          </a:xfrm>
                          <a:prstGeom prst="rect">
                            <a:avLst/>
                          </a:prstGeom>
                          <a:ln>
                            <a:noFill/>
                          </a:ln>
                        </wps:spPr>
                        <wps:txbx>
                          <w:txbxContent>
                            <w:p w14:paraId="784C409A" w14:textId="77777777" w:rsidR="00B32EF2" w:rsidRDefault="00000000">
                              <w:r>
                                <w:rPr>
                                  <w:rFonts w:ascii="Arial" w:eastAsia="Arial" w:hAnsi="Arial" w:cs="Arial"/>
                                  <w:sz w:val="18"/>
                                </w:rPr>
                                <w:t>Art. 49 - Competenza del giudice monocratico</w:t>
                              </w:r>
                            </w:p>
                          </w:txbxContent>
                        </wps:txbx>
                        <wps:bodyPr horzOverflow="overflow" vert="horz" lIns="0" tIns="0" rIns="0" bIns="0" rtlCol="0">
                          <a:noAutofit/>
                        </wps:bodyPr>
                      </wps:wsp>
                      <wps:wsp>
                        <wps:cNvPr id="23759" name="Rectangle 23759"/>
                        <wps:cNvSpPr/>
                        <wps:spPr>
                          <a:xfrm rot="-10799999">
                            <a:off x="2112223" y="4919815"/>
                            <a:ext cx="1564717" cy="142889"/>
                          </a:xfrm>
                          <a:prstGeom prst="rect">
                            <a:avLst/>
                          </a:prstGeom>
                          <a:ln>
                            <a:noFill/>
                          </a:ln>
                        </wps:spPr>
                        <wps:txbx>
                          <w:txbxContent>
                            <w:p w14:paraId="52215D85" w14:textId="77777777" w:rsidR="00B32EF2" w:rsidRDefault="00000000">
                              <w:r>
                                <w:rPr>
                                  <w:rFonts w:ascii="Arial" w:eastAsia="Arial" w:hAnsi="Arial" w:cs="Arial"/>
                                  <w:sz w:val="18"/>
                                </w:rPr>
                                <w:t>Art. 50 - Incompetenza</w:t>
                              </w:r>
                            </w:p>
                          </w:txbxContent>
                        </wps:txbx>
                        <wps:bodyPr horzOverflow="overflow" vert="horz" lIns="0" tIns="0" rIns="0" bIns="0" rtlCol="0">
                          <a:noAutofit/>
                        </wps:bodyPr>
                      </wps:wsp>
                      <wps:wsp>
                        <wps:cNvPr id="23760" name="Rectangle 23760"/>
                        <wps:cNvSpPr/>
                        <wps:spPr>
                          <a:xfrm rot="-10799999">
                            <a:off x="-625410" y="4748365"/>
                            <a:ext cx="4302351" cy="142889"/>
                          </a:xfrm>
                          <a:prstGeom prst="rect">
                            <a:avLst/>
                          </a:prstGeom>
                          <a:ln>
                            <a:noFill/>
                          </a:ln>
                        </wps:spPr>
                        <wps:txbx>
                          <w:txbxContent>
                            <w:p w14:paraId="52E5AFF4" w14:textId="77777777" w:rsidR="00B32EF2" w:rsidRDefault="00000000">
                              <w:r>
                                <w:rPr>
                                  <w:rFonts w:ascii="Arial" w:eastAsia="Arial" w:hAnsi="Arial" w:cs="Arial"/>
                                  <w:sz w:val="18"/>
                                </w:rPr>
                                <w:t>Art. 51 -  Astensione e ricusazione dei componenti delle corti di</w:t>
                              </w:r>
                            </w:p>
                          </w:txbxContent>
                        </wps:txbx>
                        <wps:bodyPr horzOverflow="overflow" vert="horz" lIns="0" tIns="0" rIns="0" bIns="0" rtlCol="0">
                          <a:noAutofit/>
                        </wps:bodyPr>
                      </wps:wsp>
                      <wps:wsp>
                        <wps:cNvPr id="23761" name="Rectangle 23761"/>
                        <wps:cNvSpPr/>
                        <wps:spPr>
                          <a:xfrm rot="-10799999">
                            <a:off x="694723" y="4576915"/>
                            <a:ext cx="2982217" cy="142889"/>
                          </a:xfrm>
                          <a:prstGeom prst="rect">
                            <a:avLst/>
                          </a:prstGeom>
                          <a:ln>
                            <a:noFill/>
                          </a:ln>
                        </wps:spPr>
                        <wps:txbx>
                          <w:txbxContent>
                            <w:p w14:paraId="0E96E3FC" w14:textId="77777777" w:rsidR="00B32EF2" w:rsidRDefault="00000000">
                              <w:r>
                                <w:rPr>
                                  <w:rFonts w:ascii="Arial" w:eastAsia="Arial" w:hAnsi="Arial" w:cs="Arial"/>
                                  <w:sz w:val="18"/>
                                </w:rPr>
                                <w:t>giustizia tributaria di primo e secondo grado</w:t>
                              </w:r>
                            </w:p>
                          </w:txbxContent>
                        </wps:txbx>
                        <wps:bodyPr horzOverflow="overflow" vert="horz" lIns="0" tIns="0" rIns="0" bIns="0" rtlCol="0">
                          <a:noAutofit/>
                        </wps:bodyPr>
                      </wps:wsp>
                      <wps:wsp>
                        <wps:cNvPr id="23762" name="Rectangle 23762"/>
                        <wps:cNvSpPr/>
                        <wps:spPr>
                          <a:xfrm rot="-10799999">
                            <a:off x="-1213389" y="4405465"/>
                            <a:ext cx="4890330" cy="142889"/>
                          </a:xfrm>
                          <a:prstGeom prst="rect">
                            <a:avLst/>
                          </a:prstGeom>
                          <a:ln>
                            <a:noFill/>
                          </a:ln>
                        </wps:spPr>
                        <wps:txbx>
                          <w:txbxContent>
                            <w:p w14:paraId="30C8D19A" w14:textId="77777777" w:rsidR="00B32EF2" w:rsidRDefault="00000000">
                              <w:r>
                                <w:rPr>
                                  <w:rFonts w:ascii="Arial" w:eastAsia="Arial" w:hAnsi="Arial" w:cs="Arial"/>
                                  <w:sz w:val="18"/>
                                </w:rPr>
                                <w:t>Art. 52 - Poteri delle corti di giustizia tributaria di primo e secondo grado</w:t>
                              </w:r>
                            </w:p>
                          </w:txbxContent>
                        </wps:txbx>
                        <wps:bodyPr horzOverflow="overflow" vert="horz" lIns="0" tIns="0" rIns="0" bIns="0" rtlCol="0">
                          <a:noAutofit/>
                        </wps:bodyPr>
                      </wps:wsp>
                      <wps:wsp>
                        <wps:cNvPr id="23763" name="Rectangle 23763"/>
                        <wps:cNvSpPr/>
                        <wps:spPr>
                          <a:xfrm rot="-10799999">
                            <a:off x="1165525" y="4234015"/>
                            <a:ext cx="2511415" cy="142889"/>
                          </a:xfrm>
                          <a:prstGeom prst="rect">
                            <a:avLst/>
                          </a:prstGeom>
                          <a:ln>
                            <a:noFill/>
                          </a:ln>
                        </wps:spPr>
                        <wps:txbx>
                          <w:txbxContent>
                            <w:p w14:paraId="4BF77BD6" w14:textId="77777777" w:rsidR="00B32EF2" w:rsidRDefault="00000000">
                              <w:r>
                                <w:rPr>
                                  <w:rFonts w:ascii="Arial" w:eastAsia="Arial" w:hAnsi="Arial" w:cs="Arial"/>
                                  <w:sz w:val="18"/>
                                </w:rPr>
                                <w:t>Art. 53 - Errore sulla norma tributaria</w:t>
                              </w:r>
                            </w:p>
                          </w:txbxContent>
                        </wps:txbx>
                        <wps:bodyPr horzOverflow="overflow" vert="horz" lIns="0" tIns="0" rIns="0" bIns="0" rtlCol="0">
                          <a:noAutofit/>
                        </wps:bodyPr>
                      </wps:wsp>
                      <wps:wsp>
                        <wps:cNvPr id="23764" name="Rectangle 23764"/>
                        <wps:cNvSpPr/>
                        <wps:spPr>
                          <a:xfrm rot="-10799999">
                            <a:off x="-507641" y="4062565"/>
                            <a:ext cx="4184582" cy="142889"/>
                          </a:xfrm>
                          <a:prstGeom prst="rect">
                            <a:avLst/>
                          </a:prstGeom>
                          <a:ln>
                            <a:noFill/>
                          </a:ln>
                        </wps:spPr>
                        <wps:txbx>
                          <w:txbxContent>
                            <w:p w14:paraId="47272446" w14:textId="77777777" w:rsidR="00B32EF2" w:rsidRDefault="00000000">
                              <w:r>
                                <w:rPr>
                                  <w:rFonts w:ascii="Arial" w:eastAsia="Arial" w:hAnsi="Arial" w:cs="Arial"/>
                                  <w:sz w:val="18"/>
                                </w:rPr>
                                <w:t>Art. 54 - Organi di assistenza alle corti di giustizia tributaria di</w:t>
                              </w:r>
                            </w:p>
                          </w:txbxContent>
                        </wps:txbx>
                        <wps:bodyPr horzOverflow="overflow" vert="horz" lIns="0" tIns="0" rIns="0" bIns="0" rtlCol="0">
                          <a:noAutofit/>
                        </wps:bodyPr>
                      </wps:wsp>
                      <wps:wsp>
                        <wps:cNvPr id="23765" name="Rectangle 23765"/>
                        <wps:cNvSpPr/>
                        <wps:spPr>
                          <a:xfrm rot="-10799999">
                            <a:off x="2101612" y="3891115"/>
                            <a:ext cx="1575328" cy="142889"/>
                          </a:xfrm>
                          <a:prstGeom prst="rect">
                            <a:avLst/>
                          </a:prstGeom>
                          <a:ln>
                            <a:noFill/>
                          </a:ln>
                        </wps:spPr>
                        <wps:txbx>
                          <w:txbxContent>
                            <w:p w14:paraId="0777D701" w14:textId="77777777" w:rsidR="00B32EF2" w:rsidRDefault="00000000">
                              <w:r>
                                <w:rPr>
                                  <w:rFonts w:ascii="Arial" w:eastAsia="Arial" w:hAnsi="Arial" w:cs="Arial"/>
                                  <w:sz w:val="18"/>
                                </w:rPr>
                                <w:t>primo e secondo grado</w:t>
                              </w:r>
                            </w:p>
                          </w:txbxContent>
                        </wps:txbx>
                        <wps:bodyPr horzOverflow="overflow" vert="horz" lIns="0" tIns="0" rIns="0" bIns="0" rtlCol="0">
                          <a:noAutofit/>
                        </wps:bodyPr>
                      </wps:wsp>
                      <wps:wsp>
                        <wps:cNvPr id="23766" name="Rectangle 23766"/>
                        <wps:cNvSpPr/>
                        <wps:spPr>
                          <a:xfrm rot="-10799999">
                            <a:off x="88956" y="3719665"/>
                            <a:ext cx="3587983" cy="142889"/>
                          </a:xfrm>
                          <a:prstGeom prst="rect">
                            <a:avLst/>
                          </a:prstGeom>
                          <a:ln>
                            <a:noFill/>
                          </a:ln>
                        </wps:spPr>
                        <wps:txbx>
                          <w:txbxContent>
                            <w:p w14:paraId="14F24406" w14:textId="77777777" w:rsidR="00B32EF2" w:rsidRDefault="00000000">
                              <w:r>
                                <w:rPr>
                                  <w:rFonts w:ascii="Arial" w:eastAsia="Arial" w:hAnsi="Arial" w:cs="Arial"/>
                                  <w:b/>
                                  <w:sz w:val="18"/>
                                </w:rPr>
                                <w:t>Capo II - Delle parti e della loro rappresentanza e</w:t>
                              </w:r>
                            </w:p>
                          </w:txbxContent>
                        </wps:txbx>
                        <wps:bodyPr horzOverflow="overflow" vert="horz" lIns="0" tIns="0" rIns="0" bIns="0" rtlCol="0">
                          <a:noAutofit/>
                        </wps:bodyPr>
                      </wps:wsp>
                      <wps:wsp>
                        <wps:cNvPr id="23767" name="Rectangle 23767"/>
                        <wps:cNvSpPr/>
                        <wps:spPr>
                          <a:xfrm rot="-10799999">
                            <a:off x="871917" y="3719664"/>
                            <a:ext cx="121007" cy="142889"/>
                          </a:xfrm>
                          <a:prstGeom prst="rect">
                            <a:avLst/>
                          </a:prstGeom>
                          <a:ln>
                            <a:noFill/>
                          </a:ln>
                        </wps:spPr>
                        <wps:txbx>
                          <w:txbxContent>
                            <w:p w14:paraId="00E418ED"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768" name="Rectangle 23768"/>
                        <wps:cNvSpPr/>
                        <wps:spPr>
                          <a:xfrm rot="-10799999">
                            <a:off x="-56909" y="3719664"/>
                            <a:ext cx="533450" cy="142889"/>
                          </a:xfrm>
                          <a:prstGeom prst="rect">
                            <a:avLst/>
                          </a:prstGeom>
                          <a:ln>
                            <a:noFill/>
                          </a:ln>
                        </wps:spPr>
                        <wps:txbx>
                          <w:txbxContent>
                            <w:p w14:paraId="270C9025" w14:textId="77777777" w:rsidR="00B32EF2" w:rsidRDefault="00000000">
                              <w:r>
                                <w:rPr>
                                  <w:rFonts w:ascii="Arial" w:eastAsia="Arial" w:hAnsi="Arial" w:cs="Arial"/>
                                  <w:b/>
                                  <w:sz w:val="18"/>
                                </w:rPr>
                                <w:t>Pag. 47</w:t>
                              </w:r>
                            </w:p>
                          </w:txbxContent>
                        </wps:txbx>
                        <wps:bodyPr horzOverflow="overflow" vert="horz" lIns="0" tIns="0" rIns="0" bIns="0" rtlCol="0">
                          <a:noAutofit/>
                        </wps:bodyPr>
                      </wps:wsp>
                      <wps:wsp>
                        <wps:cNvPr id="23769" name="Rectangle 23769"/>
                        <wps:cNvSpPr/>
                        <wps:spPr>
                          <a:xfrm rot="-10799999">
                            <a:off x="2077913" y="3548215"/>
                            <a:ext cx="1599027" cy="142889"/>
                          </a:xfrm>
                          <a:prstGeom prst="rect">
                            <a:avLst/>
                          </a:prstGeom>
                          <a:ln>
                            <a:noFill/>
                          </a:ln>
                        </wps:spPr>
                        <wps:txbx>
                          <w:txbxContent>
                            <w:p w14:paraId="05AD397C" w14:textId="77777777" w:rsidR="00B32EF2" w:rsidRDefault="00000000">
                              <w:r>
                                <w:rPr>
                                  <w:rFonts w:ascii="Arial" w:eastAsia="Arial" w:hAnsi="Arial" w:cs="Arial"/>
                                  <w:b/>
                                  <w:sz w:val="18"/>
                                </w:rPr>
                                <w:t>assistenza in giudizio</w:t>
                              </w:r>
                            </w:p>
                          </w:txbxContent>
                        </wps:txbx>
                        <wps:bodyPr horzOverflow="overflow" vert="horz" lIns="0" tIns="0" rIns="0" bIns="0" rtlCol="0">
                          <a:noAutofit/>
                        </wps:bodyPr>
                      </wps:wsp>
                      <wps:wsp>
                        <wps:cNvPr id="23770" name="Rectangle 23770"/>
                        <wps:cNvSpPr/>
                        <wps:spPr>
                          <a:xfrm rot="-10799999">
                            <a:off x="2520547" y="3376765"/>
                            <a:ext cx="1156393" cy="142889"/>
                          </a:xfrm>
                          <a:prstGeom prst="rect">
                            <a:avLst/>
                          </a:prstGeom>
                          <a:ln>
                            <a:noFill/>
                          </a:ln>
                        </wps:spPr>
                        <wps:txbx>
                          <w:txbxContent>
                            <w:p w14:paraId="7B6416E8" w14:textId="77777777" w:rsidR="00B32EF2" w:rsidRDefault="00000000">
                              <w:r>
                                <w:rPr>
                                  <w:rFonts w:ascii="Arial" w:eastAsia="Arial" w:hAnsi="Arial" w:cs="Arial"/>
                                  <w:sz w:val="18"/>
                                </w:rPr>
                                <w:t>Art. 55 -  Le parti</w:t>
                              </w:r>
                            </w:p>
                          </w:txbxContent>
                        </wps:txbx>
                        <wps:bodyPr horzOverflow="overflow" vert="horz" lIns="0" tIns="0" rIns="0" bIns="0" rtlCol="0">
                          <a:noAutofit/>
                        </wps:bodyPr>
                      </wps:wsp>
                      <wps:wsp>
                        <wps:cNvPr id="23771" name="Rectangle 23771"/>
                        <wps:cNvSpPr/>
                        <wps:spPr>
                          <a:xfrm rot="-10799999">
                            <a:off x="1199500" y="3205315"/>
                            <a:ext cx="2477439" cy="142889"/>
                          </a:xfrm>
                          <a:prstGeom prst="rect">
                            <a:avLst/>
                          </a:prstGeom>
                          <a:ln>
                            <a:noFill/>
                          </a:ln>
                        </wps:spPr>
                        <wps:txbx>
                          <w:txbxContent>
                            <w:p w14:paraId="409615B1" w14:textId="77777777" w:rsidR="00B32EF2" w:rsidRDefault="00000000">
                              <w:r>
                                <w:rPr>
                                  <w:rFonts w:ascii="Arial" w:eastAsia="Arial" w:hAnsi="Arial" w:cs="Arial"/>
                                  <w:sz w:val="18"/>
                                </w:rPr>
                                <w:t>Art. 56 - Capacità di stare in giudizio</w:t>
                              </w:r>
                            </w:p>
                          </w:txbxContent>
                        </wps:txbx>
                        <wps:bodyPr horzOverflow="overflow" vert="horz" lIns="0" tIns="0" rIns="0" bIns="0" rtlCol="0">
                          <a:noAutofit/>
                        </wps:bodyPr>
                      </wps:wsp>
                      <wps:wsp>
                        <wps:cNvPr id="23772" name="Rectangle 23772"/>
                        <wps:cNvSpPr/>
                        <wps:spPr>
                          <a:xfrm rot="-10799999">
                            <a:off x="1761637" y="3033865"/>
                            <a:ext cx="1915303" cy="142889"/>
                          </a:xfrm>
                          <a:prstGeom prst="rect">
                            <a:avLst/>
                          </a:prstGeom>
                          <a:ln>
                            <a:noFill/>
                          </a:ln>
                        </wps:spPr>
                        <wps:txbx>
                          <w:txbxContent>
                            <w:p w14:paraId="7CEF4B28" w14:textId="77777777" w:rsidR="00B32EF2" w:rsidRDefault="00000000">
                              <w:r>
                                <w:rPr>
                                  <w:rFonts w:ascii="Arial" w:eastAsia="Arial" w:hAnsi="Arial" w:cs="Arial"/>
                                  <w:sz w:val="18"/>
                                </w:rPr>
                                <w:t>Art. 57 -  Assistenza tecnica</w:t>
                              </w:r>
                            </w:p>
                          </w:txbxContent>
                        </wps:txbx>
                        <wps:bodyPr horzOverflow="overflow" vert="horz" lIns="0" tIns="0" rIns="0" bIns="0" rtlCol="0">
                          <a:noAutofit/>
                        </wps:bodyPr>
                      </wps:wsp>
                      <wps:wsp>
                        <wps:cNvPr id="23773" name="Rectangle 23773"/>
                        <wps:cNvSpPr/>
                        <wps:spPr>
                          <a:xfrm rot="-10799999">
                            <a:off x="1293236" y="2862415"/>
                            <a:ext cx="2383703" cy="142889"/>
                          </a:xfrm>
                          <a:prstGeom prst="rect">
                            <a:avLst/>
                          </a:prstGeom>
                          <a:ln>
                            <a:noFill/>
                          </a:ln>
                        </wps:spPr>
                        <wps:txbx>
                          <w:txbxContent>
                            <w:p w14:paraId="76BFAC99" w14:textId="77777777" w:rsidR="00B32EF2" w:rsidRDefault="00000000">
                              <w:r>
                                <w:rPr>
                                  <w:rFonts w:ascii="Arial" w:eastAsia="Arial" w:hAnsi="Arial" w:cs="Arial"/>
                                  <w:sz w:val="18"/>
                                </w:rPr>
                                <w:t>Art. 58 - Litisconsorzio e intervento</w:t>
                              </w:r>
                            </w:p>
                          </w:txbxContent>
                        </wps:txbx>
                        <wps:bodyPr horzOverflow="overflow" vert="horz" lIns="0" tIns="0" rIns="0" bIns="0" rtlCol="0">
                          <a:noAutofit/>
                        </wps:bodyPr>
                      </wps:wsp>
                      <wps:wsp>
                        <wps:cNvPr id="23774" name="Rectangle 23774"/>
                        <wps:cNvSpPr/>
                        <wps:spPr>
                          <a:xfrm rot="-10799999">
                            <a:off x="1833193" y="2690964"/>
                            <a:ext cx="1843747" cy="142889"/>
                          </a:xfrm>
                          <a:prstGeom prst="rect">
                            <a:avLst/>
                          </a:prstGeom>
                          <a:ln>
                            <a:noFill/>
                          </a:ln>
                        </wps:spPr>
                        <wps:txbx>
                          <w:txbxContent>
                            <w:p w14:paraId="604D3C58" w14:textId="77777777" w:rsidR="00B32EF2" w:rsidRDefault="00000000">
                              <w:r>
                                <w:rPr>
                                  <w:rFonts w:ascii="Arial" w:eastAsia="Arial" w:hAnsi="Arial" w:cs="Arial"/>
                                  <w:sz w:val="18"/>
                                </w:rPr>
                                <w:t>Art. 59 - Spese del giudizio</w:t>
                              </w:r>
                            </w:p>
                          </w:txbxContent>
                        </wps:txbx>
                        <wps:bodyPr horzOverflow="overflow" vert="horz" lIns="0" tIns="0" rIns="0" bIns="0" rtlCol="0">
                          <a:noAutofit/>
                        </wps:bodyPr>
                      </wps:wsp>
                      <wps:wsp>
                        <wps:cNvPr id="23775" name="Rectangle 23775"/>
                        <wps:cNvSpPr/>
                        <wps:spPr>
                          <a:xfrm rot="-10799999">
                            <a:off x="1084073" y="2519514"/>
                            <a:ext cx="2592867" cy="142889"/>
                          </a:xfrm>
                          <a:prstGeom prst="rect">
                            <a:avLst/>
                          </a:prstGeom>
                          <a:ln>
                            <a:noFill/>
                          </a:ln>
                        </wps:spPr>
                        <wps:txbx>
                          <w:txbxContent>
                            <w:p w14:paraId="3893849A" w14:textId="77777777" w:rsidR="00B32EF2" w:rsidRDefault="00000000">
                              <w:r>
                                <w:rPr>
                                  <w:rFonts w:ascii="Arial" w:eastAsia="Arial" w:hAnsi="Arial" w:cs="Arial"/>
                                  <w:sz w:val="18"/>
                                </w:rPr>
                                <w:t>Art. 60 - Comunicazioni e notificazioni</w:t>
                              </w:r>
                            </w:p>
                          </w:txbxContent>
                        </wps:txbx>
                        <wps:bodyPr horzOverflow="overflow" vert="horz" lIns="0" tIns="0" rIns="0" bIns="0" rtlCol="0">
                          <a:noAutofit/>
                        </wps:bodyPr>
                      </wps:wsp>
                      <wps:wsp>
                        <wps:cNvPr id="23776" name="Rectangle 23776"/>
                        <wps:cNvSpPr/>
                        <wps:spPr>
                          <a:xfrm rot="-10799999">
                            <a:off x="-220036" y="2348064"/>
                            <a:ext cx="3896977" cy="142889"/>
                          </a:xfrm>
                          <a:prstGeom prst="rect">
                            <a:avLst/>
                          </a:prstGeom>
                          <a:ln>
                            <a:noFill/>
                          </a:ln>
                        </wps:spPr>
                        <wps:txbx>
                          <w:txbxContent>
                            <w:p w14:paraId="1C92CEDC" w14:textId="77777777" w:rsidR="00B32EF2" w:rsidRDefault="00000000">
                              <w:r>
                                <w:rPr>
                                  <w:rFonts w:ascii="Arial" w:eastAsia="Arial" w:hAnsi="Arial" w:cs="Arial"/>
                                  <w:sz w:val="18"/>
                                </w:rPr>
                                <w:t>Art. 61 - Comunicazioni, notificazioni e depositi telematici</w:t>
                              </w:r>
                            </w:p>
                          </w:txbxContent>
                        </wps:txbx>
                        <wps:bodyPr horzOverflow="overflow" vert="horz" lIns="0" tIns="0" rIns="0" bIns="0" rtlCol="0">
                          <a:noAutofit/>
                        </wps:bodyPr>
                      </wps:wsp>
                      <wps:wsp>
                        <wps:cNvPr id="23777" name="Rectangle 23777"/>
                        <wps:cNvSpPr/>
                        <wps:spPr>
                          <a:xfrm rot="-10799999">
                            <a:off x="282341" y="2176614"/>
                            <a:ext cx="3394600" cy="142889"/>
                          </a:xfrm>
                          <a:prstGeom prst="rect">
                            <a:avLst/>
                          </a:prstGeom>
                          <a:ln>
                            <a:noFill/>
                          </a:ln>
                        </wps:spPr>
                        <wps:txbx>
                          <w:txbxContent>
                            <w:p w14:paraId="452CDAB3" w14:textId="77777777" w:rsidR="00B32EF2" w:rsidRDefault="00000000">
                              <w:r>
                                <w:rPr>
                                  <w:rFonts w:ascii="Arial" w:eastAsia="Arial" w:hAnsi="Arial" w:cs="Arial"/>
                                  <w:sz w:val="18"/>
                                </w:rPr>
                                <w:t>Art. 62 - Luogo delle comunicazioni e notificazioni</w:t>
                              </w:r>
                            </w:p>
                          </w:txbxContent>
                        </wps:txbx>
                        <wps:bodyPr horzOverflow="overflow" vert="horz" lIns="0" tIns="0" rIns="0" bIns="0" rtlCol="0">
                          <a:noAutofit/>
                        </wps:bodyPr>
                      </wps:wsp>
                      <wps:wsp>
                        <wps:cNvPr id="23778" name="Rectangle 23778"/>
                        <wps:cNvSpPr/>
                        <wps:spPr>
                          <a:xfrm rot="-10799999">
                            <a:off x="1825622" y="2005164"/>
                            <a:ext cx="1851318" cy="142889"/>
                          </a:xfrm>
                          <a:prstGeom prst="rect">
                            <a:avLst/>
                          </a:prstGeom>
                          <a:ln>
                            <a:noFill/>
                          </a:ln>
                        </wps:spPr>
                        <wps:txbx>
                          <w:txbxContent>
                            <w:p w14:paraId="71EC3DED" w14:textId="77777777" w:rsidR="00B32EF2" w:rsidRDefault="00000000">
                              <w:r>
                                <w:rPr>
                                  <w:rFonts w:ascii="Arial" w:eastAsia="Arial" w:hAnsi="Arial" w:cs="Arial"/>
                                  <w:b/>
                                  <w:sz w:val="18"/>
                                </w:rPr>
                                <w:t>Capo III - Forma degli atti</w:t>
                              </w:r>
                            </w:p>
                          </w:txbxContent>
                        </wps:txbx>
                        <wps:bodyPr horzOverflow="overflow" vert="horz" lIns="0" tIns="0" rIns="0" bIns="0" rtlCol="0">
                          <a:noAutofit/>
                        </wps:bodyPr>
                      </wps:wsp>
                      <wps:wsp>
                        <wps:cNvPr id="23779" name="Rectangle 23779"/>
                        <wps:cNvSpPr/>
                        <wps:spPr>
                          <a:xfrm rot="-10799999">
                            <a:off x="305150" y="2005164"/>
                            <a:ext cx="2405244" cy="142889"/>
                          </a:xfrm>
                          <a:prstGeom prst="rect">
                            <a:avLst/>
                          </a:prstGeom>
                          <a:ln>
                            <a:noFill/>
                          </a:ln>
                        </wps:spPr>
                        <wps:txbx>
                          <w:txbxContent>
                            <w:p w14:paraId="0C5CA597"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780" name="Rectangle 23780"/>
                        <wps:cNvSpPr/>
                        <wps:spPr>
                          <a:xfrm rot="-10799999">
                            <a:off x="-62285" y="2005164"/>
                            <a:ext cx="538573" cy="142889"/>
                          </a:xfrm>
                          <a:prstGeom prst="rect">
                            <a:avLst/>
                          </a:prstGeom>
                          <a:ln>
                            <a:noFill/>
                          </a:ln>
                        </wps:spPr>
                        <wps:txbx>
                          <w:txbxContent>
                            <w:p w14:paraId="6B4EBB8A" w14:textId="77777777" w:rsidR="00B32EF2" w:rsidRDefault="00000000">
                              <w:r>
                                <w:rPr>
                                  <w:rFonts w:ascii="Arial" w:eastAsia="Arial" w:hAnsi="Arial" w:cs="Arial"/>
                                  <w:b/>
                                  <w:sz w:val="18"/>
                                </w:rPr>
                                <w:t>Pag. 58</w:t>
                              </w:r>
                            </w:p>
                          </w:txbxContent>
                        </wps:txbx>
                        <wps:bodyPr horzOverflow="overflow" vert="horz" lIns="0" tIns="0" rIns="0" bIns="0" rtlCol="0">
                          <a:noAutofit/>
                        </wps:bodyPr>
                      </wps:wsp>
                      <wps:wsp>
                        <wps:cNvPr id="23781" name="Rectangle 23781"/>
                        <wps:cNvSpPr/>
                        <wps:spPr>
                          <a:xfrm rot="-10799999">
                            <a:off x="1674576" y="1833714"/>
                            <a:ext cx="2002364" cy="142889"/>
                          </a:xfrm>
                          <a:prstGeom prst="rect">
                            <a:avLst/>
                          </a:prstGeom>
                          <a:ln>
                            <a:noFill/>
                          </a:ln>
                        </wps:spPr>
                        <wps:txbx>
                          <w:txbxContent>
                            <w:p w14:paraId="5A12B48B" w14:textId="77777777" w:rsidR="00B32EF2" w:rsidRDefault="00000000">
                              <w:r>
                                <w:rPr>
                                  <w:rFonts w:ascii="Arial" w:eastAsia="Arial" w:hAnsi="Arial" w:cs="Arial"/>
                                  <w:sz w:val="18"/>
                                </w:rPr>
                                <w:t>Art. 63 - Degli atti in generale</w:t>
                              </w:r>
                            </w:p>
                          </w:txbxContent>
                        </wps:txbx>
                        <wps:bodyPr horzOverflow="overflow" vert="horz" lIns="0" tIns="0" rIns="0" bIns="0" rtlCol="0">
                          <a:noAutofit/>
                        </wps:bodyPr>
                      </wps:wsp>
                      <wps:wsp>
                        <wps:cNvPr id="23782" name="Rectangle 23782"/>
                        <wps:cNvSpPr/>
                        <wps:spPr>
                          <a:xfrm rot="-10799999">
                            <a:off x="2137565" y="1662264"/>
                            <a:ext cx="1539375" cy="142889"/>
                          </a:xfrm>
                          <a:prstGeom prst="rect">
                            <a:avLst/>
                          </a:prstGeom>
                          <a:ln>
                            <a:noFill/>
                          </a:ln>
                        </wps:spPr>
                        <wps:txbx>
                          <w:txbxContent>
                            <w:p w14:paraId="4E43AACC" w14:textId="77777777" w:rsidR="00B32EF2" w:rsidRDefault="00000000">
                              <w:r>
                                <w:rPr>
                                  <w:rFonts w:ascii="Arial" w:eastAsia="Arial" w:hAnsi="Arial" w:cs="Arial"/>
                                  <w:b/>
                                  <w:sz w:val="18"/>
                                </w:rPr>
                                <w:t>Titolo II – ll processo</w:t>
                              </w:r>
                            </w:p>
                          </w:txbxContent>
                        </wps:txbx>
                        <wps:bodyPr horzOverflow="overflow" vert="horz" lIns="0" tIns="0" rIns="0" bIns="0" rtlCol="0">
                          <a:noAutofit/>
                        </wps:bodyPr>
                      </wps:wsp>
                      <wps:wsp>
                        <wps:cNvPr id="23783" name="Rectangle 23783"/>
                        <wps:cNvSpPr/>
                        <wps:spPr>
                          <a:xfrm rot="-10799999">
                            <a:off x="387066" y="1490814"/>
                            <a:ext cx="3289874" cy="142889"/>
                          </a:xfrm>
                          <a:prstGeom prst="rect">
                            <a:avLst/>
                          </a:prstGeom>
                          <a:ln>
                            <a:noFill/>
                          </a:ln>
                        </wps:spPr>
                        <wps:txbx>
                          <w:txbxContent>
                            <w:p w14:paraId="27BE08FF" w14:textId="77777777" w:rsidR="00B32EF2" w:rsidRDefault="00000000">
                              <w:r>
                                <w:rPr>
                                  <w:rFonts w:ascii="Arial" w:eastAsia="Arial" w:hAnsi="Arial" w:cs="Arial"/>
                                  <w:b/>
                                  <w:sz w:val="18"/>
                                </w:rPr>
                                <w:t>Capo I -  Il procedimento dinanzi alla corte di</w:t>
                              </w:r>
                            </w:p>
                          </w:txbxContent>
                        </wps:txbx>
                        <wps:bodyPr horzOverflow="overflow" vert="horz" lIns="0" tIns="0" rIns="0" bIns="0" rtlCol="0">
                          <a:noAutofit/>
                        </wps:bodyPr>
                      </wps:wsp>
                      <wps:wsp>
                        <wps:cNvPr id="23784" name="Rectangle 23784"/>
                        <wps:cNvSpPr/>
                        <wps:spPr>
                          <a:xfrm rot="-10799999">
                            <a:off x="723983" y="1490814"/>
                            <a:ext cx="717226" cy="142889"/>
                          </a:xfrm>
                          <a:prstGeom prst="rect">
                            <a:avLst/>
                          </a:prstGeom>
                          <a:ln>
                            <a:noFill/>
                          </a:ln>
                        </wps:spPr>
                        <wps:txbx>
                          <w:txbxContent>
                            <w:p w14:paraId="071469EC"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785" name="Rectangle 23785"/>
                        <wps:cNvSpPr/>
                        <wps:spPr>
                          <a:xfrm rot="-10799999">
                            <a:off x="-62155" y="1490814"/>
                            <a:ext cx="538467" cy="142889"/>
                          </a:xfrm>
                          <a:prstGeom prst="rect">
                            <a:avLst/>
                          </a:prstGeom>
                          <a:ln>
                            <a:noFill/>
                          </a:ln>
                        </wps:spPr>
                        <wps:txbx>
                          <w:txbxContent>
                            <w:p w14:paraId="14D07079" w14:textId="77777777" w:rsidR="00B32EF2" w:rsidRDefault="00000000">
                              <w:r>
                                <w:rPr>
                                  <w:rFonts w:ascii="Arial" w:eastAsia="Arial" w:hAnsi="Arial" w:cs="Arial"/>
                                  <w:b/>
                                  <w:sz w:val="18"/>
                                </w:rPr>
                                <w:t>Pag. 59</w:t>
                              </w:r>
                            </w:p>
                          </w:txbxContent>
                        </wps:txbx>
                        <wps:bodyPr horzOverflow="overflow" vert="horz" lIns="0" tIns="0" rIns="0" bIns="0" rtlCol="0">
                          <a:noAutofit/>
                        </wps:bodyPr>
                      </wps:wsp>
                      <wps:wsp>
                        <wps:cNvPr id="23786" name="Rectangle 23786"/>
                        <wps:cNvSpPr/>
                        <wps:spPr>
                          <a:xfrm rot="-10799999">
                            <a:off x="1158106" y="1319364"/>
                            <a:ext cx="2518834" cy="142889"/>
                          </a:xfrm>
                          <a:prstGeom prst="rect">
                            <a:avLst/>
                          </a:prstGeom>
                          <a:ln>
                            <a:noFill/>
                          </a:ln>
                        </wps:spPr>
                        <wps:txbx>
                          <w:txbxContent>
                            <w:p w14:paraId="56D03C42" w14:textId="77777777" w:rsidR="00B32EF2" w:rsidRDefault="00000000">
                              <w:r>
                                <w:rPr>
                                  <w:rFonts w:ascii="Arial" w:eastAsia="Arial" w:hAnsi="Arial" w:cs="Arial"/>
                                  <w:b/>
                                  <w:sz w:val="18"/>
                                </w:rPr>
                                <w:t xml:space="preserve">giustizia tributaria di primo grado </w:t>
                              </w:r>
                            </w:p>
                          </w:txbxContent>
                        </wps:txbx>
                        <wps:bodyPr horzOverflow="overflow" vert="horz" lIns="0" tIns="0" rIns="0" bIns="0" rtlCol="0">
                          <a:noAutofit/>
                        </wps:bodyPr>
                      </wps:wsp>
                      <wps:wsp>
                        <wps:cNvPr id="23787" name="Rectangle 23787"/>
                        <wps:cNvSpPr/>
                        <wps:spPr>
                          <a:xfrm rot="-10799999">
                            <a:off x="1034652" y="1147914"/>
                            <a:ext cx="2642289" cy="142889"/>
                          </a:xfrm>
                          <a:prstGeom prst="rect">
                            <a:avLst/>
                          </a:prstGeom>
                          <a:ln>
                            <a:noFill/>
                          </a:ln>
                        </wps:spPr>
                        <wps:txbx>
                          <w:txbxContent>
                            <w:p w14:paraId="7D253EA3" w14:textId="77777777" w:rsidR="00B32EF2" w:rsidRDefault="00000000">
                              <w:r>
                                <w:rPr>
                                  <w:rFonts w:ascii="Arial" w:eastAsia="Arial" w:hAnsi="Arial" w:cs="Arial"/>
                                  <w:b/>
                                  <w:sz w:val="18"/>
                                </w:rPr>
                                <w:t>Sezione I - Introduzione del giudizio</w:t>
                              </w:r>
                            </w:p>
                          </w:txbxContent>
                        </wps:txbx>
                        <wps:bodyPr horzOverflow="overflow" vert="horz" lIns="0" tIns="0" rIns="0" bIns="0" rtlCol="0">
                          <a:noAutofit/>
                        </wps:bodyPr>
                      </wps:wsp>
                      <wps:wsp>
                        <wps:cNvPr id="23788" name="Rectangle 23788"/>
                        <wps:cNvSpPr/>
                        <wps:spPr>
                          <a:xfrm rot="-10799999">
                            <a:off x="553483" y="1147914"/>
                            <a:ext cx="1404352" cy="142889"/>
                          </a:xfrm>
                          <a:prstGeom prst="rect">
                            <a:avLst/>
                          </a:prstGeom>
                          <a:ln>
                            <a:noFill/>
                          </a:ln>
                        </wps:spPr>
                        <wps:txbx>
                          <w:txbxContent>
                            <w:p w14:paraId="07465473"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789" name="Rectangle 23789"/>
                        <wps:cNvSpPr/>
                        <wps:spPr>
                          <a:xfrm rot="-10799999">
                            <a:off x="-62155" y="1147914"/>
                            <a:ext cx="538466" cy="142889"/>
                          </a:xfrm>
                          <a:prstGeom prst="rect">
                            <a:avLst/>
                          </a:prstGeom>
                          <a:ln>
                            <a:noFill/>
                          </a:ln>
                        </wps:spPr>
                        <wps:txbx>
                          <w:txbxContent>
                            <w:p w14:paraId="3441FB12" w14:textId="77777777" w:rsidR="00B32EF2" w:rsidRDefault="00000000">
                              <w:r>
                                <w:rPr>
                                  <w:rFonts w:ascii="Arial" w:eastAsia="Arial" w:hAnsi="Arial" w:cs="Arial"/>
                                  <w:b/>
                                  <w:sz w:val="18"/>
                                </w:rPr>
                                <w:t>Pag. 59</w:t>
                              </w:r>
                            </w:p>
                          </w:txbxContent>
                        </wps:txbx>
                        <wps:bodyPr horzOverflow="overflow" vert="horz" lIns="0" tIns="0" rIns="0" bIns="0" rtlCol="0">
                          <a:noAutofit/>
                        </wps:bodyPr>
                      </wps:wsp>
                      <wps:wsp>
                        <wps:cNvPr id="23790" name="Rectangle 23790"/>
                        <wps:cNvSpPr/>
                        <wps:spPr>
                          <a:xfrm rot="-10799999">
                            <a:off x="2489185" y="976464"/>
                            <a:ext cx="1187755" cy="142889"/>
                          </a:xfrm>
                          <a:prstGeom prst="rect">
                            <a:avLst/>
                          </a:prstGeom>
                          <a:ln>
                            <a:noFill/>
                          </a:ln>
                        </wps:spPr>
                        <wps:txbx>
                          <w:txbxContent>
                            <w:p w14:paraId="416FAC5E" w14:textId="77777777" w:rsidR="00B32EF2" w:rsidRDefault="00000000">
                              <w:r>
                                <w:rPr>
                                  <w:rFonts w:ascii="Arial" w:eastAsia="Arial" w:hAnsi="Arial" w:cs="Arial"/>
                                  <w:sz w:val="18"/>
                                </w:rPr>
                                <w:t>Art. 64 - Il ricorso</w:t>
                              </w:r>
                            </w:p>
                          </w:txbxContent>
                        </wps:txbx>
                        <wps:bodyPr horzOverflow="overflow" vert="horz" lIns="0" tIns="0" rIns="0" bIns="0" rtlCol="0">
                          <a:noAutofit/>
                        </wps:bodyPr>
                      </wps:wsp>
                      <wps:wsp>
                        <wps:cNvPr id="23791" name="Rectangle 23791"/>
                        <wps:cNvSpPr/>
                        <wps:spPr>
                          <a:xfrm rot="-10799999">
                            <a:off x="590437" y="805014"/>
                            <a:ext cx="3086503" cy="142889"/>
                          </a:xfrm>
                          <a:prstGeom prst="rect">
                            <a:avLst/>
                          </a:prstGeom>
                          <a:ln>
                            <a:noFill/>
                          </a:ln>
                        </wps:spPr>
                        <wps:txbx>
                          <w:txbxContent>
                            <w:p w14:paraId="1A4AB8A5" w14:textId="77777777" w:rsidR="00B32EF2" w:rsidRDefault="00000000">
                              <w:r>
                                <w:rPr>
                                  <w:rFonts w:ascii="Arial" w:eastAsia="Arial" w:hAnsi="Arial" w:cs="Arial"/>
                                  <w:sz w:val="18"/>
                                </w:rPr>
                                <w:t>Art. 65 - Atti impugnabili e oggetto del ricorso</w:t>
                              </w:r>
                            </w:p>
                          </w:txbxContent>
                        </wps:txbx>
                        <wps:bodyPr horzOverflow="overflow" vert="horz" lIns="0" tIns="0" rIns="0" bIns="0" rtlCol="0">
                          <a:noAutofit/>
                        </wps:bodyPr>
                      </wps:wsp>
                      <wps:wsp>
                        <wps:cNvPr id="23792" name="Rectangle 23792"/>
                        <wps:cNvSpPr/>
                        <wps:spPr>
                          <a:xfrm rot="-10799999">
                            <a:off x="1428761" y="633564"/>
                            <a:ext cx="2248179" cy="142889"/>
                          </a:xfrm>
                          <a:prstGeom prst="rect">
                            <a:avLst/>
                          </a:prstGeom>
                          <a:ln>
                            <a:noFill/>
                          </a:ln>
                        </wps:spPr>
                        <wps:txbx>
                          <w:txbxContent>
                            <w:p w14:paraId="1E939275" w14:textId="77777777" w:rsidR="00B32EF2" w:rsidRDefault="00000000">
                              <w:r>
                                <w:rPr>
                                  <w:rFonts w:ascii="Arial" w:eastAsia="Arial" w:hAnsi="Arial" w:cs="Arial"/>
                                  <w:sz w:val="18"/>
                                </w:rPr>
                                <w:t>Art. 66 - Proposizione del ricorso</w:t>
                              </w:r>
                            </w:p>
                          </w:txbxContent>
                        </wps:txbx>
                        <wps:bodyPr horzOverflow="overflow" vert="horz" lIns="0" tIns="0" rIns="0" bIns="0" rtlCol="0">
                          <a:noAutofit/>
                        </wps:bodyPr>
                      </wps:wsp>
                      <wps:wsp>
                        <wps:cNvPr id="23793" name="Rectangle 23793"/>
                        <wps:cNvSpPr/>
                        <wps:spPr>
                          <a:xfrm rot="-10799999">
                            <a:off x="476894" y="462114"/>
                            <a:ext cx="3200046" cy="142889"/>
                          </a:xfrm>
                          <a:prstGeom prst="rect">
                            <a:avLst/>
                          </a:prstGeom>
                          <a:ln>
                            <a:noFill/>
                          </a:ln>
                        </wps:spPr>
                        <wps:txbx>
                          <w:txbxContent>
                            <w:p w14:paraId="5571F607" w14:textId="77777777" w:rsidR="00B32EF2" w:rsidRDefault="00000000">
                              <w:r>
                                <w:rPr>
                                  <w:rFonts w:ascii="Arial" w:eastAsia="Arial" w:hAnsi="Arial" w:cs="Arial"/>
                                  <w:sz w:val="18"/>
                                </w:rPr>
                                <w:t>Art. 67 -Termine per la proposizione del ricorso</w:t>
                              </w:r>
                            </w:p>
                          </w:txbxContent>
                        </wps:txbx>
                        <wps:bodyPr horzOverflow="overflow" vert="horz" lIns="0" tIns="0" rIns="0" bIns="0" rtlCol="0">
                          <a:noAutofit/>
                        </wps:bodyPr>
                      </wps:wsp>
                    </wpg:wgp>
                  </a:graphicData>
                </a:graphic>
              </wp:inline>
            </w:drawing>
          </mc:Choice>
          <mc:Fallback>
            <w:pict>
              <v:group w14:anchorId="42D7B66A" id="Group 202469" o:spid="_x0000_s7302" style="width:289.5pt;height:493.15pt;mso-position-horizontal-relative:char;mso-position-vertical-relative:line" coordsize="36769,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oNIAgAAG5cAAAOAAAAZHJzL2Uyb0RvYy54bWzknF2P2kYUhu8r9T8g3xPm+wOFjaqmiSpV&#10;TdS0P8DLmgUJMLJJ2PTX9x0PDLtm2kq2tHMxuSCs2TU+5/E5c+ad43n77mm3nXyrmnZT7xcFfUOK&#10;SbVf1g+b/eOi+OvPD1NTTNpjuX8ot/W+WhTfq7Z4d/fjD29Ph3nF6nW9faiaCU6yb+enw6JYH4+H&#10;+WzWLtfVrmzf1Idqjw9XdbMrj/ixeZw9NOUJZ99tZ4wQNTvVzcOhqZdV2+Loe/9hcdedf7WqlsdP&#10;q1VbHSfbRYFrO3avTfd6715nd2/L+WNTHtab5fkyygFXsSs3e3xpONX78lhOvjabm1PtNsumbuvV&#10;8c2y3s3q1WqzrDobYA0lPWs+NvXXQ2fL4/z0eAhugmt7fhp82uXv3z42hy+Hzw08cTo8whfdT86W&#10;p1Wzc//jKidPncu+B5dVT8fJEge50soKeHaJzxRTzEjhnbpcw/M3f7dc//I/fzm7fPHsxeWcDrhB&#10;2qsP2nE++LIuD1Xn2nYOH3xuJpuHRcG4FrqY7MsdbtU/cPOU+8dtNfGHOwd1vx3c1c5beO7iq0lT&#10;4/6aUqKt+9fdD2ffUSUoM6yYwEtTxag933kXNxpLjfBOZJIooZwPgyfK+aFpjx+rejdxbxZFg0vr&#10;Tl9++609+l+9/Iq7mu3eve7rD5vt1n/qjsChlwt2745P90+d1Yow7b7PHbyvH77DGeu6+fsTwnq1&#10;rU+Loj6/K1yk4+vdp8Vk++seEFxQXd40lzf3lzfNcftz3YWev6Cfvh7r1aa74uu3na8MdP01vApm&#10;5KUYZnNxBG6KAZiF4FzTDrOi1Fp1DoYLZ8Y4l8p60lQw42+EVyQdDMyGNLwdI21HkRaEEPEctHSn&#10;K+cBNGHMulzi8qIDbbrve0XQwb5cQEukoghoHD7ntkEhPVXEmP8ALblmRKbjzIN52XAGjRhnOooz&#10;hmdrMSggXKUVRtJeQHMptBUYwVMFNA/2ZQMa3o6BZqNAG8mIK1gD6P4QTShVCRM3D+Zlw5nHOfNR&#10;nF3itjjzv3FOnriDedlwxgwnFs9dALrpwKABWhJJDQZgx1lrTVQ/cVNNtVQJE3ewLxvQwBED3ZEZ&#10;DFpRQTQ4OtCKSHUzQhOoD5hwpRuhg33ZgAaOGOhOvhgMmkptjMC0zZEWXNB+SDNiDcHMOR3pYGA2&#10;pOOymAzC0aDcTTmznPrZlYR4qPsxzbjQij3TS157Gs2DgdmQjitjMghHg0hLgeR9Bk0sZf2Q5rgV&#10;jMJXJ5teBfuyAR0XxmQQjgaBZpQyqJxd8haWWtMPaSqVQEWWkHQwMBfSKq6M4fA4ZYxJQf1MWmhh&#10;eD+mBSeMSwR9qpjGND+zZQ0V18ZweAxprPDpS0hLrPf1Q5pZw1jKkIYSnxvouDamgng0KHlPKaOc&#10;o8ZypTdGbCluYhorVhyac7qYDhZmk73j8pgK+tEg1BA5pWReNxEos8lNUEtKBQ6mIx0MzIZ0XCDz&#10;i8iDp9NTCdnkvFYpoJHIm5hG74F0zQnJxunsFDIgiAknnsxg0owSqihAInsji1Paj2koKxLzrISk&#10;s5PIVFwiw+ExFRnaCZyk7ThralU/ork02hqMG8kiOpiXTe6OC2RYSRzFGXRdYR1A9xYrUa8RknAu&#10;jQ6X3ArvuDwG6WoM5ymawogvu31A9zhLzoXrb0kWz8G8bOI5ro6hd28MZ0a0ttSrY+goMex2hLbW&#10;tWOmIx0MzIW0jqtjODyKNNpM0DLkUzfXaJPurUujOFPcNSikiulrY1w2pOPqGNYlxpB2fb6SeB2U&#10;AzrvxzQTWguOfJKMdDAwG9JxeUwH8WiYZqIVVVgR7MoxyGDmJqYhjXKSMqaDgdmQhrcjLQg6iEfD&#10;SGNdmnE/w8K6JHNCGHLEs/5ubrhOSjoYmA3puDqmg3g0jLThnJ77BJkrwvuPbEAc808FJcvewcBs&#10;SMfVMR3Eo2GkiUEPgq+9maRW0t4ki0mLWE9Ye8tgYDak4+oY2vzGVGRThkdDL9mbC4MH6l5mb4ij&#10;yuqUpIOB2ZCGt2PjdBCQBsU0nqlEf2BXkGEBWqFFtAeaW6FcbZ4seQf7sgEdF8h0UJAGgaYG61bM&#10;L20guCUeqH1JGj3glNOESxvXBrlsSMclMh0UpEGkOeA6qROSdxQ0Q1sCEwnbvK8NcrmANnGFDIdH&#10;jdKI5/ODG1HQkhvpyrVUqfvaHpcN57g+hsdfx3DG03QCXWNdRFPMtnR/kAZ9zLUTRvS1PS4b0nF9&#10;DE0gY0ijeQxPWvmeIqoQ3jeDtITijWlcupgOBmZDOq6PoTlgDGlu8KDdOaSFJaYf0mgysQbKTDrQ&#10;wb5sQMflMWwrMwY0+n67RhJUYzQGGp38CPOEnIN52XCOi2OopMZwdpsSQX5yVXeUM4oxkVIa8yst&#10;rjMuG85xacwE5WjQ7AqrzoaSc+Z2wnd/iIYyagxPmbmDgdmQjktjJkhHw0gTju59r5igkxttJz3F&#10;BNUZJmAJl6WvvXHZkI5rY2acNiYlNG6/rhEFjefmBXd3QrKZdLAvG9Bxacw/vTy4v/v5IB2L6G6Q&#10;TlmMBeUvF85uE4LIqobf1W8wZybcfpC+GrN4dqM/RlNqtHbVWqqAvvbGZQM6Lo3ZcdKYtMjMGP1R&#10;dRsiSX+E5gQdRimbTK6dcdlwjgtjNuhGw2oxbACJ3rEOtHI7gPZLMUQ8xbpJuoAO9mUDOq6LoRNo&#10;zDQau5UYi8kTAlpgRn0T0JC6CTb3Tcc5mJeac7e7Mza17rY5Pm/A7XbNfv5ztzHwdZvwu38AAAD/&#10;/wMAUEsDBBQABgAIAAAAIQApjHbU3QAAAAUBAAAPAAAAZHJzL2Rvd25yZXYueG1sTI9BS8NAEIXv&#10;gv9hGcGb3cTS2sZsSinqqQhtBfE2TaZJaHY2ZLdJ+u8dvejlweMN732TrkbbqJ46Xzs2EE8iUMS5&#10;K2ouDXwcXh8WoHxALrBxTAau5GGV3d6kmBRu4B31+1AqKWGfoIEqhDbR2ucVWfQT1xJLdnKdxSC2&#10;K3XR4SDlttGPUTTXFmuWhQpb2lSUn/cXa+BtwGE9jV/67fm0uX4dZu+f25iMub8b18+gAo3h7xh+&#10;8AUdMmE6ugsXXjUG5JHwq5LNnpZijwaWi/kUdJbq//TZNwAAAP//AwBQSwECLQAUAAYACAAAACEA&#10;toM4kv4AAADhAQAAEwAAAAAAAAAAAAAAAAAAAAAAW0NvbnRlbnRfVHlwZXNdLnhtbFBLAQItABQA&#10;BgAIAAAAIQA4/SH/1gAAAJQBAAALAAAAAAAAAAAAAAAAAC8BAABfcmVscy8ucmVsc1BLAQItABQA&#10;BgAIAAAAIQA+OeoNIAgAAG5cAAAOAAAAAAAAAAAAAAAAAC4CAABkcnMvZTJvRG9jLnhtbFBLAQIt&#10;ABQABgAIAAAAIQApjHbU3QAAAAUBAAAPAAAAAAAAAAAAAAAAAHoKAABkcnMvZG93bnJldi54bWxQ&#10;SwUGAAAAAAQABADzAAAAhAsAAAAA&#10;">
                <v:rect id="Rectangle 23747" o:spid="_x0000_s7303" style="position:absolute;left:16412;top:-621;width:892;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M1xwAAAN4AAAAPAAAAZHJzL2Rvd25yZXYueG1sRI9Pa8JA&#10;FMTvgt9heUJvuqkVldRVikXMoRf/FHp8ZJ9J2uzbJbua6KfvCoLHYWZ+wyxWnanFhRpfWVbwOkpA&#10;EOdWV1woOB42wzkIH5A11pZJwZU8rJb93gJTbVve0WUfChEh7FNUUIbgUil9XpJBP7KOOHon2xgM&#10;UTaF1A22EW5qOU6SqTRYcVwo0dG6pPxvfzYKfj7ZZZtW5qfb2n39ZvN6ez5+K/Uy6D7eQQTqwjP8&#10;aGdawfhtNpnB/U68AnL5DwAA//8DAFBLAQItABQABgAIAAAAIQDb4fbL7gAAAIUBAAATAAAAAAAA&#10;AAAAAAAAAAAAAABbQ29udGVudF9UeXBlc10ueG1sUEsBAi0AFAAGAAgAAAAhAFr0LFu/AAAAFQEA&#10;AAsAAAAAAAAAAAAAAAAAHwEAAF9yZWxzLy5yZWxzUEsBAi0AFAAGAAgAAAAhAPf4ozXHAAAA3gAA&#10;AA8AAAAAAAAAAAAAAAAABwIAAGRycy9kb3ducmV2LnhtbFBLBQYAAAAAAwADALcAAAD7AgAAAAA=&#10;" filled="f" stroked="f">
                  <v:textbox inset="0,0,0,0">
                    <w:txbxContent>
                      <w:p w14:paraId="5D8663C5" w14:textId="77777777" w:rsidR="00B32EF2" w:rsidRDefault="00000000">
                        <w:r>
                          <w:rPr>
                            <w:rFonts w:ascii="Times New Roman" w:eastAsia="Times New Roman" w:hAnsi="Times New Roman" w:cs="Times New Roman"/>
                          </w:rPr>
                          <w:t>9</w:t>
                        </w:r>
                      </w:p>
                    </w:txbxContent>
                  </v:textbox>
                </v:rect>
                <v:rect id="Rectangle 23748" o:spid="_x0000_s7304" style="position:absolute;left:14433;top:61199;width:2233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zdHxAAAAN4AAAAPAAAAZHJzL2Rvd25yZXYueG1sRE/Pa8Iw&#10;FL4L/g/hCd401cmUzijiEHvwMqew46N5tt2al9BEW/3rzUHY8eP7vVx3phY3anxlWcFknIAgzq2u&#10;uFBw+t6NFiB8QNZYWyYFd/KwXvV7S0y1bfmLbsdQiBjCPkUFZQguldLnJRn0Y+uII3exjcEQYVNI&#10;3WAbw00tp0nyLg1WHBtKdLQtKf87Xo2Cn0922a6V+eWxdYffbFHvr6ezUsNBt/kAEagL/+KXO9MK&#10;pm/zWdwb78QrIFdPAAAA//8DAFBLAQItABQABgAIAAAAIQDb4fbL7gAAAIUBAAATAAAAAAAAAAAA&#10;AAAAAAAAAABbQ29udGVudF9UeXBlc10ueG1sUEsBAi0AFAAGAAgAAAAhAFr0LFu/AAAAFQEAAAsA&#10;AAAAAAAAAAAAAAAAHwEAAF9yZWxzLy5yZWxzUEsBAi0AFAAGAAgAAAAhAIZnN0fEAAAA3gAAAA8A&#10;AAAAAAAAAAAAAAAABwIAAGRycy9kb3ducmV2LnhtbFBLBQYAAAAAAwADALcAAAD4AgAAAAA=&#10;" filled="f" stroked="f">
                  <v:textbox inset="0,0,0,0">
                    <w:txbxContent>
                      <w:p w14:paraId="464F844A" w14:textId="77777777" w:rsidR="00B32EF2" w:rsidRDefault="00000000">
                        <w:r>
                          <w:rPr>
                            <w:rFonts w:ascii="Arial" w:eastAsia="Arial" w:hAnsi="Arial" w:cs="Arial"/>
                            <w:b/>
                            <w:sz w:val="18"/>
                          </w:rPr>
                          <w:t>Titolo I – Disposizioni generali</w:t>
                        </w:r>
                      </w:p>
                    </w:txbxContent>
                  </v:textbox>
                </v:rect>
                <v:rect id="Rectangle 23749" o:spid="_x0000_s7305" style="position:absolute;left:4000;top:61199;width:202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5LcyAAAAN4AAAAPAAAAZHJzL2Rvd25yZXYueG1sRI/Na8JA&#10;FMTvBf+H5Qm91Y22+BFdRSzSHHrxCzw+ss8kbfbtkl1N2r++WxA8DjPzG2ax6kwtbtT4yrKC4SAB&#10;QZxbXXGh4HjYvkxB+ICssbZMCn7Iw2rZe1pgqm3LO7rtQyEihH2KCsoQXCqlz0sy6AfWEUfvYhuD&#10;IcqmkLrBNsJNLUdJMpYGK44LJTralJR/769GwfmdXbZtZX753bjPr2xaf1yPJ6We+916DiJQFx7h&#10;ezvTCkavk7cZ/N+JV0Au/wAAAP//AwBQSwECLQAUAAYACAAAACEA2+H2y+4AAACFAQAAEwAAAAAA&#10;AAAAAAAAAAAAAAAAW0NvbnRlbnRfVHlwZXNdLnhtbFBLAQItABQABgAIAAAAIQBa9CxbvwAAABUB&#10;AAALAAAAAAAAAAAAAAAAAB8BAABfcmVscy8ucmVsc1BLAQItABQABgAIAAAAIQDpK5LcyAAAAN4A&#10;AAAPAAAAAAAAAAAAAAAAAAcCAABkcnMvZG93bnJldi54bWxQSwUGAAAAAAMAAwC3AAAA/AIAAAAA&#10;" filled="f" stroked="f">
                  <v:textbox inset="0,0,0,0">
                    <w:txbxContent>
                      <w:p w14:paraId="657CFD74" w14:textId="77777777" w:rsidR="00B32EF2" w:rsidRDefault="00000000">
                        <w:r>
                          <w:rPr>
                            <w:rFonts w:ascii="Arial" w:eastAsia="Arial" w:hAnsi="Arial" w:cs="Arial"/>
                            <w:b/>
                            <w:sz w:val="18"/>
                          </w:rPr>
                          <w:t xml:space="preserve">    </w:t>
                        </w:r>
                      </w:p>
                    </w:txbxContent>
                  </v:textbox>
                </v:rect>
                <v:rect id="Rectangle 23750" o:spid="_x0000_s7306" style="position:absolute;left:-608;top:61199;width:53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K2cxQAAAN4AAAAPAAAAZHJzL2Rvd25yZXYueG1sRI/NisIw&#10;FIX3gu8QruBOUx0cpWMUcRC7cDOOwiwvzbXtTHMTmmirT28WwiwP549vue5MLW7U+Mqygsk4AUGc&#10;W11xoeD0vRstQPiArLG2TAru5GG96veWmGrb8hfdjqEQcYR9igrKEFwqpc9LMujH1hFH72IbgyHK&#10;ppC6wTaOm1pOk+RdGqw4PpToaFtS/ne8GgU/n+yyXSvzy2PrDr/Zot5fT2elhoNu8wEiUBf+w692&#10;phVM3+azCBBxIgrI1RMAAP//AwBQSwECLQAUAAYACAAAACEA2+H2y+4AAACFAQAAEwAAAAAAAAAA&#10;AAAAAAAAAAAAW0NvbnRlbnRfVHlwZXNdLnhtbFBLAQItABQABgAIAAAAIQBa9CxbvwAAABUBAAAL&#10;AAAAAAAAAAAAAAAAAB8BAABfcmVscy8ucmVsc1BLAQItABQABgAIAAAAIQD9yK2cxQAAAN4AAAAP&#10;AAAAAAAAAAAAAAAAAAcCAABkcnMvZG93bnJldi54bWxQSwUGAAAAAAMAAwC3AAAA+QIAAAAA&#10;" filled="f" stroked="f">
                  <v:textbox inset="0,0,0,0">
                    <w:txbxContent>
                      <w:p w14:paraId="2F818D51" w14:textId="77777777" w:rsidR="00B32EF2" w:rsidRDefault="00000000">
                        <w:r>
                          <w:rPr>
                            <w:rFonts w:ascii="Arial" w:eastAsia="Arial" w:hAnsi="Arial" w:cs="Arial"/>
                            <w:b/>
                            <w:sz w:val="18"/>
                          </w:rPr>
                          <w:t>Pag. 39</w:t>
                        </w:r>
                      </w:p>
                    </w:txbxContent>
                  </v:textbox>
                </v:rect>
                <v:rect id="Rectangle 23751" o:spid="_x0000_s7307" style="position:absolute;left:1289;top:59485;width:354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AgHxwAAAN4AAAAPAAAAZHJzL2Rvd25yZXYueG1sRI9Pa8JA&#10;FMTvgt9heUJvutGildRVikXMoRf/FHp8ZJ9J2uzbJbua6KfvCoLHYWZ+wyxWnanFhRpfWVYwHiUg&#10;iHOrKy4UHA+b4RyED8gaa8uk4EoeVst+b4Gpti3v6LIPhYgQ9ikqKENwqZQ+L8mgH1lHHL2TbQyG&#10;KJtC6gbbCDe1nCTJTBqsOC6U6GhdUv63PxsFP5/ssk0r89Nt7b5+s3m9PR+/lXoZdB/vIAJ14Rl+&#10;tDOtYPL6Nh3D/U68AnL5DwAA//8DAFBLAQItABQABgAIAAAAIQDb4fbL7gAAAIUBAAATAAAAAAAA&#10;AAAAAAAAAAAAAABbQ29udGVudF9UeXBlc10ueG1sUEsBAi0AFAAGAAgAAAAhAFr0LFu/AAAAFQEA&#10;AAsAAAAAAAAAAAAAAAAAHwEAAF9yZWxzLy5yZWxzUEsBAi0AFAAGAAgAAAAhAJKECAfHAAAA3gAA&#10;AA8AAAAAAAAAAAAAAAAABwIAAGRycy9kb3ducmV2LnhtbFBLBQYAAAAAAwADALcAAAD7AgAAAAA=&#10;" filled="f" stroked="f">
                  <v:textbox inset="0,0,0,0">
                    <w:txbxContent>
                      <w:p w14:paraId="4AC0C073" w14:textId="77777777" w:rsidR="00B32EF2" w:rsidRDefault="00000000">
                        <w:r>
                          <w:rPr>
                            <w:rFonts w:ascii="Arial" w:eastAsia="Arial" w:hAnsi="Arial" w:cs="Arial"/>
                            <w:b/>
                            <w:sz w:val="18"/>
                          </w:rPr>
                          <w:t>Capo I - Del giudice tributario e dei suoi ausiliari</w:t>
                        </w:r>
                      </w:p>
                    </w:txbxContent>
                  </v:textbox>
                </v:rect>
                <v:rect id="Rectangle 23752" o:spid="_x0000_s7308" style="position:absolute;left:8520;top:59485;width:20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pZwxwAAAN4AAAAPAAAAZHJzL2Rvd25yZXYueG1sRI9Ba8JA&#10;FITvgv9heUJvummKraSuIoo0h160KfT4yD6TtNm3S3Y1qb++KxQ8DjPzDbNcD6YVF+p8Y1nB4ywB&#10;QVxa3XCloPjYTxcgfEDW2FomBb/kYb0aj5aYadvzgS7HUIkIYZ+hgjoEl0npy5oM+pl1xNE72c5g&#10;iLKrpO6wj3DTyjRJnqXBhuNCjY62NZU/x7NR8LVjl+97WZ6uW/f+nS/at3PxqdTDZNi8ggg0hHv4&#10;v51rBenTyzyF2514BeTqDwAA//8DAFBLAQItABQABgAIAAAAIQDb4fbL7gAAAIUBAAATAAAAAAAA&#10;AAAAAAAAAAAAAABbQ29udGVudF9UeXBlc10ueG1sUEsBAi0AFAAGAAgAAAAhAFr0LFu/AAAAFQEA&#10;AAsAAAAAAAAAAAAAAAAAHwEAAF9yZWxzLy5yZWxzUEsBAi0AFAAGAAgAAAAhAGJWlnDHAAAA3gAA&#10;AA8AAAAAAAAAAAAAAAAABwIAAGRycy9kb3ducmV2LnhtbFBLBQYAAAAAAwADALcAAAD7AgAAAAA=&#10;" filled="f" stroked="f">
                  <v:textbox inset="0,0,0,0">
                    <w:txbxContent>
                      <w:p w14:paraId="2924B8A5" w14:textId="77777777" w:rsidR="00B32EF2" w:rsidRDefault="00000000">
                        <w:r>
                          <w:rPr>
                            <w:rFonts w:ascii="Arial" w:eastAsia="Arial" w:hAnsi="Arial" w:cs="Arial"/>
                            <w:b/>
                            <w:sz w:val="18"/>
                          </w:rPr>
                          <w:t xml:space="preserve">  </w:t>
                        </w:r>
                      </w:p>
                    </w:txbxContent>
                  </v:textbox>
                </v:rect>
                <v:rect id="Rectangle 23753" o:spid="_x0000_s7309" style="position:absolute;left:-608;top:59485;width:537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jPrxwAAAN4AAAAPAAAAZHJzL2Rvd25yZXYueG1sRI9Ba8JA&#10;FITvBf/D8gRvdaNiK6mriCLNwUvVQo+P7DOJZt8u2dWk/nq3UPA4zMw3zHzZmVrcqPGVZQWjYQKC&#10;OLe64kLB8bB9nYHwAVljbZkU/JKH5aL3MsdU25a/6LYPhYgQ9ikqKENwqZQ+L8mgH1pHHL2TbQyG&#10;KJtC6gbbCDe1HCfJmzRYcVwo0dG6pPyyvxoFPxt22baV+em+drtzNqs/r8dvpQb9bvUBIlAXnuH/&#10;dqYVjCfv0wn83YlXQC4eAAAA//8DAFBLAQItABQABgAIAAAAIQDb4fbL7gAAAIUBAAATAAAAAAAA&#10;AAAAAAAAAAAAAABbQ29udGVudF9UeXBlc10ueG1sUEsBAi0AFAAGAAgAAAAhAFr0LFu/AAAAFQEA&#10;AAsAAAAAAAAAAAAAAAAAHwEAAF9yZWxzLy5yZWxzUEsBAi0AFAAGAAgAAAAhAA0aM+vHAAAA3gAA&#10;AA8AAAAAAAAAAAAAAAAABwIAAGRycy9kb3ducmV2LnhtbFBLBQYAAAAAAwADALcAAAD7AgAAAAA=&#10;" filled="f" stroked="f">
                  <v:textbox inset="0,0,0,0">
                    <w:txbxContent>
                      <w:p w14:paraId="39DA5129" w14:textId="77777777" w:rsidR="00B32EF2" w:rsidRDefault="00000000">
                        <w:r>
                          <w:rPr>
                            <w:rFonts w:ascii="Arial" w:eastAsia="Arial" w:hAnsi="Arial" w:cs="Arial"/>
                            <w:b/>
                            <w:sz w:val="18"/>
                          </w:rPr>
                          <w:t>Pag. 39</w:t>
                        </w:r>
                      </w:p>
                    </w:txbxContent>
                  </v:textbox>
                </v:rect>
                <v:rect id="Rectangle 23754" o:spid="_x0000_s7310" style="position:absolute;left:5051;top:57770;width:317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6ufxwAAAN4AAAAPAAAAZHJzL2Rvd25yZXYueG1sRI9Ba8JA&#10;FITvBf/D8oTe6katVaKriCLNoRetgsdH9pmkzb5dsqtJ++u7BcHjMDPfMItVZ2pxo8ZXlhUMBwkI&#10;4tzqigsFx8/dywyED8gaa8uk4Ic8rJa9pwWm2ra8p9shFCJC2KeooAzBpVL6vCSDfmAdcfQutjEY&#10;omwKqRtsI9zUcpQkb9JgxXGhREebkvLvw9UoOG/ZZbtW5pffjfv4ymb1+/V4Uuq5363nIAJ14RG+&#10;tzOtYDSeTl7h/068AnL5BwAA//8DAFBLAQItABQABgAIAAAAIQDb4fbL7gAAAIUBAAATAAAAAAAA&#10;AAAAAAAAAAAAAABbQ29udGVudF9UeXBlc10ueG1sUEsBAi0AFAAGAAgAAAAhAFr0LFu/AAAAFQEA&#10;AAsAAAAAAAAAAAAAAAAAHwEAAF9yZWxzLy5yZWxzUEsBAi0AFAAGAAgAAAAhAILzq5/HAAAA3gAA&#10;AA8AAAAAAAAAAAAAAAAABwIAAGRycy9kb3ducmV2LnhtbFBLBQYAAAAAAwADALcAAAD7AgAAAAA=&#10;" filled="f" stroked="f">
                  <v:textbox inset="0,0,0,0">
                    <w:txbxContent>
                      <w:p w14:paraId="4C672385" w14:textId="77777777" w:rsidR="00B32EF2" w:rsidRDefault="00000000">
                        <w:r>
                          <w:rPr>
                            <w:rFonts w:ascii="Arial" w:eastAsia="Arial" w:hAnsi="Arial" w:cs="Arial"/>
                            <w:sz w:val="18"/>
                          </w:rPr>
                          <w:t>Art. 45 - Gli organi della giurisdizione tributaria</w:t>
                        </w:r>
                      </w:p>
                    </w:txbxContent>
                  </v:textbox>
                </v:rect>
                <v:rect id="Rectangle 23755" o:spid="_x0000_s7311" style="position:absolute;left:6140;top:56056;width:306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w4ExwAAAN4AAAAPAAAAZHJzL2Rvd25yZXYueG1sRI9Ba8JA&#10;FITvBf/D8gRvdaPFKtFVxCLm0EutgsdH9plEs2+X7Gqiv75bKPQ4zMw3zGLVmVrcqfGVZQWjYQKC&#10;OLe64kLB4Xv7OgPhA7LG2jIpeJCH1bL3ssBU25a/6L4PhYgQ9ikqKENwqZQ+L8mgH1pHHL2zbQyG&#10;KJtC6gbbCDe1HCfJuzRYcVwo0dGmpPy6vxkFpw922baV+fm5cZ+XbFbvboejUoN+t56DCNSF//Bf&#10;O9MKxm/TyQR+78QrIJc/AAAA//8DAFBLAQItABQABgAIAAAAIQDb4fbL7gAAAIUBAAATAAAAAAAA&#10;AAAAAAAAAAAAAABbQ29udGVudF9UeXBlc10ueG1sUEsBAi0AFAAGAAgAAAAhAFr0LFu/AAAAFQEA&#10;AAsAAAAAAAAAAAAAAAAAHwEAAF9yZWxzLy5yZWxzUEsBAi0AFAAGAAgAAAAhAO2/DgTHAAAA3gAA&#10;AA8AAAAAAAAAAAAAAAAABwIAAGRycy9kb3ducmV2LnhtbFBLBQYAAAAAAwADALcAAAD7AgAAAAA=&#10;" filled="f" stroked="f">
                  <v:textbox inset="0,0,0,0">
                    <w:txbxContent>
                      <w:p w14:paraId="10BF6740" w14:textId="77777777" w:rsidR="00B32EF2" w:rsidRDefault="00000000">
                        <w:r>
                          <w:rPr>
                            <w:rFonts w:ascii="Arial" w:eastAsia="Arial" w:hAnsi="Arial" w:cs="Arial"/>
                            <w:sz w:val="18"/>
                          </w:rPr>
                          <w:t>Art. 46 - Oggetto della giurisdizione tributaria</w:t>
                        </w:r>
                      </w:p>
                    </w:txbxContent>
                  </v:textbox>
                </v:rect>
                <v:rect id="Rectangle 23756" o:spid="_x0000_s7312" style="position:absolute;left:15788;top:54341;width:209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ZBzxwAAAN4AAAAPAAAAZHJzL2Rvd25yZXYueG1sRI9Pa8JA&#10;FMTvBb/D8gRvdaPFP0RXEYuYQy+1Ch4f2WcSzb5dsquJ/fTdQqHHYWZ+wyzXnanFgxpfWVYwGiYg&#10;iHOrKy4UHL92r3MQPiBrrC2Tgid5WK96L0tMtW35kx6HUIgIYZ+igjIEl0rp85IM+qF1xNG72MZg&#10;iLIppG6wjXBTy3GSTKXBiuNCiY62JeW3w90oOL+zy3atzC/fW/dxzeb1/n48KTXod5sFiEBd+A//&#10;tTOtYPw2m0zh9068AnL1AwAA//8DAFBLAQItABQABgAIAAAAIQDb4fbL7gAAAIUBAAATAAAAAAAA&#10;AAAAAAAAAAAAAABbQ29udGVudF9UeXBlc10ueG1sUEsBAi0AFAAGAAgAAAAhAFr0LFu/AAAAFQEA&#10;AAsAAAAAAAAAAAAAAAAAHwEAAF9yZWxzLy5yZWxzUEsBAi0AFAAGAAgAAAAhAB1tkHPHAAAA3gAA&#10;AA8AAAAAAAAAAAAAAAAABwIAAGRycy9kb3ducmV2LnhtbFBLBQYAAAAAAwADALcAAAD7AgAAAAA=&#10;" filled="f" stroked="f">
                  <v:textbox inset="0,0,0,0">
                    <w:txbxContent>
                      <w:p w14:paraId="133C67F5" w14:textId="77777777" w:rsidR="00B32EF2" w:rsidRDefault="00000000">
                        <w:r>
                          <w:rPr>
                            <w:rFonts w:ascii="Arial" w:eastAsia="Arial" w:hAnsi="Arial" w:cs="Arial"/>
                            <w:sz w:val="18"/>
                          </w:rPr>
                          <w:t>Art. 47 - Difetto di giurisdizione</w:t>
                        </w:r>
                      </w:p>
                    </w:txbxContent>
                  </v:textbox>
                </v:rect>
                <v:rect id="Rectangle 23757" o:spid="_x0000_s7313" style="position:absolute;left:13293;top:52627;width:2347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TXoyAAAAN4AAAAPAAAAZHJzL2Rvd25yZXYueG1sRI/Na8JA&#10;FMTvgv/D8oTedFOLH6SuUixiDr34UejxkX0mabNvl+xqon99VxA8DjPzG2ax6kwtLtT4yrKC11EC&#10;gji3uuJCwfGwGc5B+ICssbZMCq7kYbXs9xaYatvyji77UIgIYZ+igjIEl0rp85IM+pF1xNE72cZg&#10;iLIppG6wjXBTy3GSTKXBiuNCiY7WJeV/+7NR8PPJLtu0Mj/d1u7rN5vX2/PxW6mXQffxDiJQF57h&#10;RzvTCsZvs8kM7nfiFZDLfwAAAP//AwBQSwECLQAUAAYACAAAACEA2+H2y+4AAACFAQAAEwAAAAAA&#10;AAAAAAAAAAAAAAAAW0NvbnRlbnRfVHlwZXNdLnhtbFBLAQItABQABgAIAAAAIQBa9CxbvwAAABUB&#10;AAALAAAAAAAAAAAAAAAAAB8BAABfcmVscy8ucmVsc1BLAQItABQABgAIAAAAIQByITXoyAAAAN4A&#10;AAAPAAAAAAAAAAAAAAAAAAcCAABkcnMvZG93bnJldi54bWxQSwUGAAAAAAMAAwC3AAAA/AIAAAAA&#10;" filled="f" stroked="f">
                  <v:textbox inset="0,0,0,0">
                    <w:txbxContent>
                      <w:p w14:paraId="5C7A8A89" w14:textId="77777777" w:rsidR="00B32EF2" w:rsidRDefault="00000000">
                        <w:r>
                          <w:rPr>
                            <w:rFonts w:ascii="Arial" w:eastAsia="Arial" w:hAnsi="Arial" w:cs="Arial"/>
                            <w:sz w:val="18"/>
                          </w:rPr>
                          <w:t>Art. 48 - Competenza per territorio</w:t>
                        </w:r>
                      </w:p>
                    </w:txbxContent>
                  </v:textbox>
                </v:rect>
                <v:rect id="Rectangle 23758" o:spid="_x0000_s7314" style="position:absolute;left:5440;top:50912;width:313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qGaxAAAAN4AAAAPAAAAZHJzL2Rvd25yZXYueG1sRE/Pa8Iw&#10;FL4L/g/hCd401eGUzijiEHvwMqew46N5tt2al9BEW/3rzUHY8eP7vVx3phY3anxlWcFknIAgzq2u&#10;uFBw+t6NFiB8QNZYWyYFd/KwXvV7S0y1bfmLbsdQiBjCPkUFZQguldLnJRn0Y+uII3exjcEQYVNI&#10;3WAbw00tp0nyLg1WHBtKdLQtKf87Xo2Cn0922a6V+eWxdYffbFHvr6ezUsNBt/kAEagL/+KXO9MK&#10;pm/zWdwb78QrIFdPAAAA//8DAFBLAQItABQABgAIAAAAIQDb4fbL7gAAAIUBAAATAAAAAAAAAAAA&#10;AAAAAAAAAABbQ29udGVudF9UeXBlc10ueG1sUEsBAi0AFAAGAAgAAAAhAFr0LFu/AAAAFQEAAAsA&#10;AAAAAAAAAAAAAAAAHwEAAF9yZWxzLy5yZWxzUEsBAi0AFAAGAAgAAAAhAAO+oZrEAAAA3gAAAA8A&#10;AAAAAAAAAAAAAAAABwIAAGRycy9kb3ducmV2LnhtbFBLBQYAAAAAAwADALcAAAD4AgAAAAA=&#10;" filled="f" stroked="f">
                  <v:textbox inset="0,0,0,0">
                    <w:txbxContent>
                      <w:p w14:paraId="784C409A" w14:textId="77777777" w:rsidR="00B32EF2" w:rsidRDefault="00000000">
                        <w:r>
                          <w:rPr>
                            <w:rFonts w:ascii="Arial" w:eastAsia="Arial" w:hAnsi="Arial" w:cs="Arial"/>
                            <w:sz w:val="18"/>
                          </w:rPr>
                          <w:t>Art. 49 - Competenza del giudice monocratico</w:t>
                        </w:r>
                      </w:p>
                    </w:txbxContent>
                  </v:textbox>
                </v:rect>
                <v:rect id="Rectangle 23759" o:spid="_x0000_s7315" style="position:absolute;left:21122;top:49198;width:156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gQByAAAAN4AAAAPAAAAZHJzL2Rvd25yZXYueG1sRI/Na8JA&#10;FMTvBf+H5Qm91Y2W+hFdRSzSHHrxCzw+ss8kbfbtkl1N2r++WxA8DjPzG2ax6kwtbtT4yrKC4SAB&#10;QZxbXXGh4HjYvkxB+ICssbZMCn7Iw2rZe1pgqm3LO7rtQyEihH2KCsoQXCqlz0sy6AfWEUfvYhuD&#10;IcqmkLrBNsJNLUdJMpYGK44LJTralJR/769GwfmdXbZtZX753bjPr2xaf1yPJ6We+916DiJQFx7h&#10;ezvTCkavk7cZ/N+JV0Au/wAAAP//AwBQSwECLQAUAAYACAAAACEA2+H2y+4AAACFAQAAEwAAAAAA&#10;AAAAAAAAAAAAAAAAW0NvbnRlbnRfVHlwZXNdLnhtbFBLAQItABQABgAIAAAAIQBa9CxbvwAAABUB&#10;AAALAAAAAAAAAAAAAAAAAB8BAABfcmVscy8ucmVsc1BLAQItABQABgAIAAAAIQBs8gQByAAAAN4A&#10;AAAPAAAAAAAAAAAAAAAAAAcCAABkcnMvZG93bnJldi54bWxQSwUGAAAAAAMAAwC3AAAA/AIAAAAA&#10;" filled="f" stroked="f">
                  <v:textbox inset="0,0,0,0">
                    <w:txbxContent>
                      <w:p w14:paraId="52215D85" w14:textId="77777777" w:rsidR="00B32EF2" w:rsidRDefault="00000000">
                        <w:r>
                          <w:rPr>
                            <w:rFonts w:ascii="Arial" w:eastAsia="Arial" w:hAnsi="Arial" w:cs="Arial"/>
                            <w:sz w:val="18"/>
                          </w:rPr>
                          <w:t>Art. 50 - Incompetenza</w:t>
                        </w:r>
                      </w:p>
                    </w:txbxContent>
                  </v:textbox>
                </v:rect>
                <v:rect id="Rectangle 23760" o:spid="_x0000_s7316" style="position:absolute;left:-6254;top:47483;width:430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GchxgAAAN4AAAAPAAAAZHJzL2Rvd25yZXYueG1sRI/LasMw&#10;EEX3hf6DmEJ3tdwU0uBaCSUl1Itsmgd0OVgT24k1Epb8SL4+WhS6vNwXJ19NphUDdb6xrOA1SUEQ&#10;l1Y3XCk47DcvCxA+IGtsLZOCK3lYLR8fcsy0HfmHhl2oRBxhn6GCOgSXSenLmgz6xDri6J1sZzBE&#10;2VVSdzjGcdPKWZrOpcGG40ONjtY1lZddbxT8frErNqMsT7e1256LRfvdH45KPT9Nnx8gAk3hP/zX&#10;LrSC2dv7PAJEnIgCcnkHAAD//wMAUEsBAi0AFAAGAAgAAAAhANvh9svuAAAAhQEAABMAAAAAAAAA&#10;AAAAAAAAAAAAAFtDb250ZW50X1R5cGVzXS54bWxQSwECLQAUAAYACAAAACEAWvQsW78AAAAVAQAA&#10;CwAAAAAAAAAAAAAAAAAfAQAAX3JlbHMvLnJlbHNQSwECLQAUAAYACAAAACEAM6RnIcYAAADeAAAA&#10;DwAAAAAAAAAAAAAAAAAHAgAAZHJzL2Rvd25yZXYueG1sUEsFBgAAAAADAAMAtwAAAPoCAAAAAA==&#10;" filled="f" stroked="f">
                  <v:textbox inset="0,0,0,0">
                    <w:txbxContent>
                      <w:p w14:paraId="52E5AFF4" w14:textId="77777777" w:rsidR="00B32EF2" w:rsidRDefault="00000000">
                        <w:r>
                          <w:rPr>
                            <w:rFonts w:ascii="Arial" w:eastAsia="Arial" w:hAnsi="Arial" w:cs="Arial"/>
                            <w:sz w:val="18"/>
                          </w:rPr>
                          <w:t>Art. 51 -  Astensione e ricusazione dei componenti delle corti di</w:t>
                        </w:r>
                      </w:p>
                    </w:txbxContent>
                  </v:textbox>
                </v:rect>
                <v:rect id="Rectangle 23761" o:spid="_x0000_s7317" style="position:absolute;left:6947;top:45769;width:298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MK6xgAAAN4AAAAPAAAAZHJzL2Rvd25yZXYueG1sRI9Ba8JA&#10;FITvgv9heUJvutGClegqoog5eKla6PGRfSbR7Nslu5q0v94tFDwOM/MNs1h1phYPanxlWcF4lIAg&#10;zq2uuFBwPu2GMxA+IGusLZOCH/KwWvZ7C0y1bfmTHsdQiAhhn6KCMgSXSunzkgz6kXXE0bvYxmCI&#10;simkbrCNcFPLSZJMpcGK40KJjjYl5bfj3Sj43rLLdq3ML78bd7hms3p/P38p9Tbo1nMQgbrwCv+3&#10;M61g8v4xHcPfnXgF5PIJAAD//wMAUEsBAi0AFAAGAAgAAAAhANvh9svuAAAAhQEAABMAAAAAAAAA&#10;AAAAAAAAAAAAAFtDb250ZW50X1R5cGVzXS54bWxQSwECLQAUAAYACAAAACEAWvQsW78AAAAVAQAA&#10;CwAAAAAAAAAAAAAAAAAfAQAAX3JlbHMvLnJlbHNQSwECLQAUAAYACAAAACEAXOjCusYAAADeAAAA&#10;DwAAAAAAAAAAAAAAAAAHAgAAZHJzL2Rvd25yZXYueG1sUEsFBgAAAAADAAMAtwAAAPoCAAAAAA==&#10;" filled="f" stroked="f">
                  <v:textbox inset="0,0,0,0">
                    <w:txbxContent>
                      <w:p w14:paraId="0E96E3FC" w14:textId="77777777" w:rsidR="00B32EF2" w:rsidRDefault="00000000">
                        <w:r>
                          <w:rPr>
                            <w:rFonts w:ascii="Arial" w:eastAsia="Arial" w:hAnsi="Arial" w:cs="Arial"/>
                            <w:sz w:val="18"/>
                          </w:rPr>
                          <w:t>giustizia tributaria di primo e secondo grado</w:t>
                        </w:r>
                      </w:p>
                    </w:txbxContent>
                  </v:textbox>
                </v:rect>
                <v:rect id="Rectangle 23762" o:spid="_x0000_s7318" style="position:absolute;left:-12133;top:44054;width:489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lzNxwAAAN4AAAAPAAAAZHJzL2Rvd25yZXYueG1sRI9Pa8JA&#10;FMTvgt9heYI33TSClegqxSLNoRf/gcdH9pmkzb5dsqtJ++m7QsHjMDO/YVab3jTiTq2vLSt4mSYg&#10;iAuray4VnI67yQKED8gaG8uk4Ic8bNbDwQozbTve0/0QShEh7DNUUIXgMil9UZFBP7WOOHpX2xoM&#10;Ubal1C12EW4amSbJXBqsOS5U6GhbUfF9uBkFl3d2+a6TxfV36z6/8kXzcTudlRqP+rcliEB9eIb/&#10;27lWkM5e5yk87sQrINd/AAAA//8DAFBLAQItABQABgAIAAAAIQDb4fbL7gAAAIUBAAATAAAAAAAA&#10;AAAAAAAAAAAAAABbQ29udGVudF9UeXBlc10ueG1sUEsBAi0AFAAGAAgAAAAhAFr0LFu/AAAAFQEA&#10;AAsAAAAAAAAAAAAAAAAAHwEAAF9yZWxzLy5yZWxzUEsBAi0AFAAGAAgAAAAhAKw6XM3HAAAA3gAA&#10;AA8AAAAAAAAAAAAAAAAABwIAAGRycy9kb3ducmV2LnhtbFBLBQYAAAAAAwADALcAAAD7AgAAAAA=&#10;" filled="f" stroked="f">
                  <v:textbox inset="0,0,0,0">
                    <w:txbxContent>
                      <w:p w14:paraId="30C8D19A" w14:textId="77777777" w:rsidR="00B32EF2" w:rsidRDefault="00000000">
                        <w:r>
                          <w:rPr>
                            <w:rFonts w:ascii="Arial" w:eastAsia="Arial" w:hAnsi="Arial" w:cs="Arial"/>
                            <w:sz w:val="18"/>
                          </w:rPr>
                          <w:t>Art. 52 - Poteri delle corti di giustizia tributaria di primo e secondo grado</w:t>
                        </w:r>
                      </w:p>
                    </w:txbxContent>
                  </v:textbox>
                </v:rect>
                <v:rect id="Rectangle 23763" o:spid="_x0000_s7319" style="position:absolute;left:11655;top:42340;width:2511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lWxwAAAN4AAAAPAAAAZHJzL2Rvd25yZXYueG1sRI9Ba8JA&#10;FITvQv/D8gRvulFBJXWVYhFz8FKbQo+P7DNJm327ZFcT/fVuQehxmJlvmPW2N424UutrywqmkwQE&#10;cWF1zaWC/HM/XoHwAVljY5kU3MjDdvMyWGOqbccfdD2FUkQI+xQVVCG4VEpfVGTQT6wjjt7ZtgZD&#10;lG0pdYtdhJtGzpJkIQ3WHBcqdLSrqPg9XYyC73d22b6Txfm+c8efbNUcLvmXUqNh//YKIlAf/sPP&#10;dqYVzObLxRz+7sQrIDcPAAAA//8DAFBLAQItABQABgAIAAAAIQDb4fbL7gAAAIUBAAATAAAAAAAA&#10;AAAAAAAAAAAAAABbQ29udGVudF9UeXBlc10ueG1sUEsBAi0AFAAGAAgAAAAhAFr0LFu/AAAAFQEA&#10;AAsAAAAAAAAAAAAAAAAAHwEAAF9yZWxzLy5yZWxzUEsBAi0AFAAGAAgAAAAhAMN2+VbHAAAA3gAA&#10;AA8AAAAAAAAAAAAAAAAABwIAAGRycy9kb3ducmV2LnhtbFBLBQYAAAAAAwADALcAAAD7AgAAAAA=&#10;" filled="f" stroked="f">
                  <v:textbox inset="0,0,0,0">
                    <w:txbxContent>
                      <w:p w14:paraId="4BF77BD6" w14:textId="77777777" w:rsidR="00B32EF2" w:rsidRDefault="00000000">
                        <w:r>
                          <w:rPr>
                            <w:rFonts w:ascii="Arial" w:eastAsia="Arial" w:hAnsi="Arial" w:cs="Arial"/>
                            <w:sz w:val="18"/>
                          </w:rPr>
                          <w:t>Art. 53 - Errore sulla norma tributaria</w:t>
                        </w:r>
                      </w:p>
                    </w:txbxContent>
                  </v:textbox>
                </v:rect>
                <v:rect id="Rectangle 23764" o:spid="_x0000_s7320" style="position:absolute;left:-5076;top:40625;width:418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2EixwAAAN4AAAAPAAAAZHJzL2Rvd25yZXYueG1sRI9Ba8JA&#10;FITvBf/D8gRvdaMVlegqYhFz6KVWweMj+0yi2bdLdjWxv75bKPQ4zMw3zHLdmVo8qPGVZQWjYQKC&#10;OLe64kLB8Wv3OgfhA7LG2jIpeJKH9ar3ssRU25Y/6XEIhYgQ9ikqKENwqZQ+L8mgH1pHHL2LbQyG&#10;KJtC6gbbCDe1HCfJVBqsOC6U6GhbUn473I2C8zu7bNfK/PK9dR/XbF7v78eTUoN+t1mACNSF//Bf&#10;O9MKxm+z6QR+78QrIFc/AAAA//8DAFBLAQItABQABgAIAAAAIQDb4fbL7gAAAIUBAAATAAAAAAAA&#10;AAAAAAAAAAAAAABbQ29udGVudF9UeXBlc10ueG1sUEsBAi0AFAAGAAgAAAAhAFr0LFu/AAAAFQEA&#10;AAsAAAAAAAAAAAAAAAAAHwEAAF9yZWxzLy5yZWxzUEsBAi0AFAAGAAgAAAAhAEyfYSLHAAAA3gAA&#10;AA8AAAAAAAAAAAAAAAAABwIAAGRycy9kb3ducmV2LnhtbFBLBQYAAAAAAwADALcAAAD7AgAAAAA=&#10;" filled="f" stroked="f">
                  <v:textbox inset="0,0,0,0">
                    <w:txbxContent>
                      <w:p w14:paraId="47272446" w14:textId="77777777" w:rsidR="00B32EF2" w:rsidRDefault="00000000">
                        <w:r>
                          <w:rPr>
                            <w:rFonts w:ascii="Arial" w:eastAsia="Arial" w:hAnsi="Arial" w:cs="Arial"/>
                            <w:sz w:val="18"/>
                          </w:rPr>
                          <w:t>Art. 54 - Organi di assistenza alle corti di giustizia tributaria di</w:t>
                        </w:r>
                      </w:p>
                    </w:txbxContent>
                  </v:textbox>
                </v:rect>
                <v:rect id="Rectangle 23765" o:spid="_x0000_s7321" style="position:absolute;left:21016;top:38911;width:157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8S5xwAAAN4AAAAPAAAAZHJzL2Rvd25yZXYueG1sRI9Pa8JA&#10;FMTvBb/D8gRvdaPFP0RXEYuYQy+1Ch4f2WcSzb5dsquJ/fTdQqHHYWZ+wyzXnanFgxpfWVYwGiYg&#10;iHOrKy4UHL92r3MQPiBrrC2Tgid5WK96L0tMtW35kx6HUIgIYZ+igjIEl0rp85IM+qF1xNG72MZg&#10;iLIppG6wjXBTy3GSTKXBiuNCiY62JeW3w90oOL+zy3atzC/fW/dxzeb1/n48KTXod5sFiEBd+A//&#10;tTOtYPw2m07g9068AnL1AwAA//8DAFBLAQItABQABgAIAAAAIQDb4fbL7gAAAIUBAAATAAAAAAAA&#10;AAAAAAAAAAAAAABbQ29udGVudF9UeXBlc10ueG1sUEsBAi0AFAAGAAgAAAAhAFr0LFu/AAAAFQEA&#10;AAsAAAAAAAAAAAAAAAAAHwEAAF9yZWxzLy5yZWxzUEsBAi0AFAAGAAgAAAAhACPTxLnHAAAA3gAA&#10;AA8AAAAAAAAAAAAAAAAABwIAAGRycy9kb3ducmV2LnhtbFBLBQYAAAAAAwADALcAAAD7AgAAAAA=&#10;" filled="f" stroked="f">
                  <v:textbox inset="0,0,0,0">
                    <w:txbxContent>
                      <w:p w14:paraId="0777D701" w14:textId="77777777" w:rsidR="00B32EF2" w:rsidRDefault="00000000">
                        <w:r>
                          <w:rPr>
                            <w:rFonts w:ascii="Arial" w:eastAsia="Arial" w:hAnsi="Arial" w:cs="Arial"/>
                            <w:sz w:val="18"/>
                          </w:rPr>
                          <w:t>primo e secondo grado</w:t>
                        </w:r>
                      </w:p>
                    </w:txbxContent>
                  </v:textbox>
                </v:rect>
                <v:rect id="Rectangle 23766" o:spid="_x0000_s7322" style="position:absolute;left:889;top:37196;width:3588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VrOxwAAAN4AAAAPAAAAZHJzL2Rvd25yZXYueG1sRI9Pa8JA&#10;FMTvgt9heYI33VQhlegqxSLNoRf/gcdH9pmkzb5dsqtJ++m7QsHjMDO/YVab3jTiTq2vLSt4mSYg&#10;iAuray4VnI67yQKED8gaG8uk4Ic8bNbDwQozbTve0/0QShEh7DNUUIXgMil9UZFBP7WOOHpX2xoM&#10;Ubal1C12EW4aOUuSVBqsOS5U6GhbUfF9uBkFl3d2+a6TxfV36z6/8kXzcTudlRqP+rcliEB9eIb/&#10;27lWMJu/pik87sQrINd/AAAA//8DAFBLAQItABQABgAIAAAAIQDb4fbL7gAAAIUBAAATAAAAAAAA&#10;AAAAAAAAAAAAAABbQ29udGVudF9UeXBlc10ueG1sUEsBAi0AFAAGAAgAAAAhAFr0LFu/AAAAFQEA&#10;AAsAAAAAAAAAAAAAAAAAHwEAAF9yZWxzLy5yZWxzUEsBAi0AFAAGAAgAAAAhANMBWs7HAAAA3gAA&#10;AA8AAAAAAAAAAAAAAAAABwIAAGRycy9kb3ducmV2LnhtbFBLBQYAAAAAAwADALcAAAD7AgAAAAA=&#10;" filled="f" stroked="f">
                  <v:textbox inset="0,0,0,0">
                    <w:txbxContent>
                      <w:p w14:paraId="14F24406" w14:textId="77777777" w:rsidR="00B32EF2" w:rsidRDefault="00000000">
                        <w:r>
                          <w:rPr>
                            <w:rFonts w:ascii="Arial" w:eastAsia="Arial" w:hAnsi="Arial" w:cs="Arial"/>
                            <w:b/>
                            <w:sz w:val="18"/>
                          </w:rPr>
                          <w:t>Capo II - Delle parti e della loro rappresentanza e</w:t>
                        </w:r>
                      </w:p>
                    </w:txbxContent>
                  </v:textbox>
                </v:rect>
                <v:rect id="Rectangle 23767" o:spid="_x0000_s7323" style="position:absolute;left:8719;top:37196;width:12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f9VxgAAAN4AAAAPAAAAZHJzL2Rvd25yZXYueG1sRI9Ba8JA&#10;FITvBf/D8gre6qYKKtFViiLm4EWr4PGRfSax2bdLdjXRX+8WCj0OM/MNM192phZ3anxlWcHnIAFB&#10;nFtdcaHg+L35mILwAVljbZkUPMjDctF7m2Oqbct7uh9CISKEfYoKyhBcKqXPSzLoB9YRR+9iG4Mh&#10;yqaQusE2wk0th0kylgYrjgslOlqVlP8cbkbBec0u27QyvzxXbnfNpvX2djwp1X/vvmYgAnXhP/zX&#10;zrSC4WgynsDvnXgF5OIFAAD//wMAUEsBAi0AFAAGAAgAAAAhANvh9svuAAAAhQEAABMAAAAAAAAA&#10;AAAAAAAAAAAAAFtDb250ZW50X1R5cGVzXS54bWxQSwECLQAUAAYACAAAACEAWvQsW78AAAAVAQAA&#10;CwAAAAAAAAAAAAAAAAAfAQAAX3JlbHMvLnJlbHNQSwECLQAUAAYACAAAACEAvE3/VcYAAADeAAAA&#10;DwAAAAAAAAAAAAAAAAAHAgAAZHJzL2Rvd25yZXYueG1sUEsFBgAAAAADAAMAtwAAAPoCAAAAAA==&#10;" filled="f" stroked="f">
                  <v:textbox inset="0,0,0,0">
                    <w:txbxContent>
                      <w:p w14:paraId="00E418ED" w14:textId="77777777" w:rsidR="00B32EF2" w:rsidRDefault="00000000">
                        <w:r>
                          <w:rPr>
                            <w:rFonts w:ascii="Arial" w:eastAsia="Arial" w:hAnsi="Arial" w:cs="Arial"/>
                            <w:b/>
                            <w:sz w:val="18"/>
                          </w:rPr>
                          <w:t xml:space="preserve">  </w:t>
                        </w:r>
                      </w:p>
                    </w:txbxContent>
                  </v:textbox>
                </v:rect>
                <v:rect id="Rectangle 23768" o:spid="_x0000_s7324" style="position:absolute;left:-569;top:37196;width:53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msnxQAAAN4AAAAPAAAAZHJzL2Rvd25yZXYueG1sRE/JasMw&#10;EL0X+g9iCr3VclNIg2sllJRQH3JpFuhxsCa2E2skLHlJvj46FHp8vD1fTaYVA3W+sazgNUlBEJdW&#10;N1wpOOw3LwsQPiBrbC2Tgit5WC0fH3LMtB35h4ZdqEQMYZ+hgjoEl0npy5oM+sQ64sidbGcwRNhV&#10;Unc4xnDTylmazqXBhmNDjY7WNZWXXW8U/H6xKzajLE+3tduei0X73R+OSj0/TZ8fIAJN4V/85y60&#10;gtnb+zzujXfiFZDLOwAAAP//AwBQSwECLQAUAAYACAAAACEA2+H2y+4AAACFAQAAEwAAAAAAAAAA&#10;AAAAAAAAAAAAW0NvbnRlbnRfVHlwZXNdLnhtbFBLAQItABQABgAIAAAAIQBa9CxbvwAAABUBAAAL&#10;AAAAAAAAAAAAAAAAAB8BAABfcmVscy8ucmVsc1BLAQItABQABgAIAAAAIQDN0msnxQAAAN4AAAAP&#10;AAAAAAAAAAAAAAAAAAcCAABkcnMvZG93bnJldi54bWxQSwUGAAAAAAMAAwC3AAAA+QIAAAAA&#10;" filled="f" stroked="f">
                  <v:textbox inset="0,0,0,0">
                    <w:txbxContent>
                      <w:p w14:paraId="270C9025" w14:textId="77777777" w:rsidR="00B32EF2" w:rsidRDefault="00000000">
                        <w:r>
                          <w:rPr>
                            <w:rFonts w:ascii="Arial" w:eastAsia="Arial" w:hAnsi="Arial" w:cs="Arial"/>
                            <w:b/>
                            <w:sz w:val="18"/>
                          </w:rPr>
                          <w:t>Pag. 47</w:t>
                        </w:r>
                      </w:p>
                    </w:txbxContent>
                  </v:textbox>
                </v:rect>
                <v:rect id="Rectangle 23769" o:spid="_x0000_s7325" style="position:absolute;left:20779;top:35482;width:159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68xwAAAN4AAAAPAAAAZHJzL2Rvd25yZXYueG1sRI9Ba8JA&#10;FITvBf/D8gRvdaMFq9FVxCLm0EutgsdH9plEs2+X7Gqiv75bKPQ4zMw3zGLVmVrcqfGVZQWjYQKC&#10;OLe64kLB4Xv7OgXhA7LG2jIpeJCH1bL3ssBU25a/6L4PhYgQ9ikqKENwqZQ+L8mgH1pHHL2zbQyG&#10;KJtC6gbbCDe1HCfJRBqsOC6U6GhTUn7d34yC0we7bNvK/PzcuM9LNq13t8NRqUG/W89BBOrCf/iv&#10;nWkF47f3yQx+78QrIJc/AAAA//8DAFBLAQItABQABgAIAAAAIQDb4fbL7gAAAIUBAAATAAAAAAAA&#10;AAAAAAAAAAAAAABbQ29udGVudF9UeXBlc10ueG1sUEsBAi0AFAAGAAgAAAAhAFr0LFu/AAAAFQEA&#10;AAsAAAAAAAAAAAAAAAAAHwEAAF9yZWxzLy5yZWxzUEsBAi0AFAAGAAgAAAAhAKKezrzHAAAA3gAA&#10;AA8AAAAAAAAAAAAAAAAABwIAAGRycy9kb3ducmV2LnhtbFBLBQYAAAAAAwADALcAAAD7AgAAAAA=&#10;" filled="f" stroked="f">
                  <v:textbox inset="0,0,0,0">
                    <w:txbxContent>
                      <w:p w14:paraId="05AD397C" w14:textId="77777777" w:rsidR="00B32EF2" w:rsidRDefault="00000000">
                        <w:r>
                          <w:rPr>
                            <w:rFonts w:ascii="Arial" w:eastAsia="Arial" w:hAnsi="Arial" w:cs="Arial"/>
                            <w:b/>
                            <w:sz w:val="18"/>
                          </w:rPr>
                          <w:t>assistenza in giudizio</w:t>
                        </w:r>
                      </w:p>
                    </w:txbxContent>
                  </v:textbox>
                </v:rect>
                <v:rect id="Rectangle 23770" o:spid="_x0000_s7326" style="position:absolute;left:25205;top:33767;width:115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fH8xgAAAN4AAAAPAAAAZHJzL2Rvd25yZXYueG1sRI/LasMw&#10;EEX3hf6DmEJ3tdwUkuBaCSUl1Itsmgd0OVgT24k1Epb8SL6+WhS6vNwXJ19PphUDdb6xrOA1SUEQ&#10;l1Y3XCk4HrYvSxA+IGtsLZOCG3lYrx4fcsy0Hfmbhn2oRBxhn6GCOgSXSenLmgz6xDri6J1tZzBE&#10;2VVSdzjGcdPKWZrOpcGG40ONjjY1ldd9bxT8fLIrtqMsz/eN212KZfvVH09KPT9NH+8gAk3hP/zX&#10;LrSC2dtiEQEiTkQBufoFAAD//wMAUEsBAi0AFAAGAAgAAAAhANvh9svuAAAAhQEAABMAAAAAAAAA&#10;AAAAAAAAAAAAAFtDb250ZW50X1R5cGVzXS54bWxQSwECLQAUAAYACAAAACEAWvQsW78AAAAVAQAA&#10;CwAAAAAAAAAAAAAAAAAfAQAAX3JlbHMvLnJlbHNQSwECLQAUAAYACAAAACEAtn3x/MYAAADeAAAA&#10;DwAAAAAAAAAAAAAAAAAHAgAAZHJzL2Rvd25yZXYueG1sUEsFBgAAAAADAAMAtwAAAPoCAAAAAA==&#10;" filled="f" stroked="f">
                  <v:textbox inset="0,0,0,0">
                    <w:txbxContent>
                      <w:p w14:paraId="7B6416E8" w14:textId="77777777" w:rsidR="00B32EF2" w:rsidRDefault="00000000">
                        <w:r>
                          <w:rPr>
                            <w:rFonts w:ascii="Arial" w:eastAsia="Arial" w:hAnsi="Arial" w:cs="Arial"/>
                            <w:sz w:val="18"/>
                          </w:rPr>
                          <w:t>Art. 55 -  Le parti</w:t>
                        </w:r>
                      </w:p>
                    </w:txbxContent>
                  </v:textbox>
                </v:rect>
                <v:rect id="Rectangle 23771" o:spid="_x0000_s7327" style="position:absolute;left:11995;top:32053;width:247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VRnxgAAAN4AAAAPAAAAZHJzL2Rvd25yZXYueG1sRI9Ba8JA&#10;FITvgv9heUJvutGCSnQVUcQcvGgt9PjIPpNo9u2SXU3aX+8WCj0OM/MNs1x3phZPanxlWcF4lIAg&#10;zq2uuFBw+dgP5yB8QNZYWyYF3+Rhver3lphq2/KJnudQiAhhn6KCMgSXSunzkgz6kXXE0bvaxmCI&#10;simkbrCNcFPLSZJMpcGK40KJjrYl5ffzwyj42rHL9q3Mrz9bd7xl8/rwuHwq9TboNgsQgbrwH/5r&#10;Z1rB5H02G8PvnXgF5OoFAAD//wMAUEsBAi0AFAAGAAgAAAAhANvh9svuAAAAhQEAABMAAAAAAAAA&#10;AAAAAAAAAAAAAFtDb250ZW50X1R5cGVzXS54bWxQSwECLQAUAAYACAAAACEAWvQsW78AAAAVAQAA&#10;CwAAAAAAAAAAAAAAAAAfAQAAX3JlbHMvLnJlbHNQSwECLQAUAAYACAAAACEA2TFUZ8YAAADeAAAA&#10;DwAAAAAAAAAAAAAAAAAHAgAAZHJzL2Rvd25yZXYueG1sUEsFBgAAAAADAAMAtwAAAPoCAAAAAA==&#10;" filled="f" stroked="f">
                  <v:textbox inset="0,0,0,0">
                    <w:txbxContent>
                      <w:p w14:paraId="409615B1" w14:textId="77777777" w:rsidR="00B32EF2" w:rsidRDefault="00000000">
                        <w:r>
                          <w:rPr>
                            <w:rFonts w:ascii="Arial" w:eastAsia="Arial" w:hAnsi="Arial" w:cs="Arial"/>
                            <w:sz w:val="18"/>
                          </w:rPr>
                          <w:t>Art. 56 - Capacità di stare in giudizio</w:t>
                        </w:r>
                      </w:p>
                    </w:txbxContent>
                  </v:textbox>
                </v:rect>
                <v:rect id="Rectangle 23772" o:spid="_x0000_s7328" style="position:absolute;left:17616;top:30338;width:1915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8oQxwAAAN4AAAAPAAAAZHJzL2Rvd25yZXYueG1sRI9Pa8JA&#10;FMTvgt9heYI33TRClegqxSLNoZf6Bzw+ss8kbfbtkl1N2k/fFQSPw8z8hlltetOIG7W+tqzgZZqA&#10;IC6srrlUcDzsJgsQPiBrbCyTgl/ysFkPByvMtO34i277UIoIYZ+hgioEl0npi4oM+ql1xNG72NZg&#10;iLItpW6xi3DTyDRJXqXBmuNChY62FRU/+6tRcH5nl+86WVz+tu7zO180H9fjSanxqH9bggjUh2f4&#10;0c61gnQ2n6dwvxOvgFz/AwAA//8DAFBLAQItABQABgAIAAAAIQDb4fbL7gAAAIUBAAATAAAAAAAA&#10;AAAAAAAAAAAAAABbQ29udGVudF9UeXBlc10ueG1sUEsBAi0AFAAGAAgAAAAhAFr0LFu/AAAAFQEA&#10;AAsAAAAAAAAAAAAAAAAAHwEAAF9yZWxzLy5yZWxzUEsBAi0AFAAGAAgAAAAhACnjyhDHAAAA3gAA&#10;AA8AAAAAAAAAAAAAAAAABwIAAGRycy9kb3ducmV2LnhtbFBLBQYAAAAAAwADALcAAAD7AgAAAAA=&#10;" filled="f" stroked="f">
                  <v:textbox inset="0,0,0,0">
                    <w:txbxContent>
                      <w:p w14:paraId="7CEF4B28" w14:textId="77777777" w:rsidR="00B32EF2" w:rsidRDefault="00000000">
                        <w:r>
                          <w:rPr>
                            <w:rFonts w:ascii="Arial" w:eastAsia="Arial" w:hAnsi="Arial" w:cs="Arial"/>
                            <w:sz w:val="18"/>
                          </w:rPr>
                          <w:t>Art. 57 -  Assistenza tecnica</w:t>
                        </w:r>
                      </w:p>
                    </w:txbxContent>
                  </v:textbox>
                </v:rect>
                <v:rect id="Rectangle 23773" o:spid="_x0000_s7329" style="position:absolute;left:12932;top:28624;width:238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2+LxwAAAN4AAAAPAAAAZHJzL2Rvd25yZXYueG1sRI9Ba8JA&#10;FITvQv/D8gRvulFBJXWVYhFz8FJNocdH9pmkzb5dsquJ/vpuoeBxmJlvmPW2N424UetrywqmkwQE&#10;cWF1zaWC/Lwfr0D4gKyxsUwK7uRhu3kZrDHVtuMPup1CKSKEfYoKqhBcKqUvKjLoJ9YRR+9iW4Mh&#10;yraUusUuwk0jZ0mykAZrjgsVOtpVVPycrkbB1zu7bN/J4vLYueN3tmoO1/xTqdGwf3sFEagPz/B/&#10;O9MKZvPlcg5/d+IVkJtfAAAA//8DAFBLAQItABQABgAIAAAAIQDb4fbL7gAAAIUBAAATAAAAAAAA&#10;AAAAAAAAAAAAAABbQ29udGVudF9UeXBlc10ueG1sUEsBAi0AFAAGAAgAAAAhAFr0LFu/AAAAFQEA&#10;AAsAAAAAAAAAAAAAAAAAHwEAAF9yZWxzLy5yZWxzUEsBAi0AFAAGAAgAAAAhAEavb4vHAAAA3gAA&#10;AA8AAAAAAAAAAAAAAAAABwIAAGRycy9kb3ducmV2LnhtbFBLBQYAAAAAAwADALcAAAD7AgAAAAA=&#10;" filled="f" stroked="f">
                  <v:textbox inset="0,0,0,0">
                    <w:txbxContent>
                      <w:p w14:paraId="76BFAC99" w14:textId="77777777" w:rsidR="00B32EF2" w:rsidRDefault="00000000">
                        <w:r>
                          <w:rPr>
                            <w:rFonts w:ascii="Arial" w:eastAsia="Arial" w:hAnsi="Arial" w:cs="Arial"/>
                            <w:sz w:val="18"/>
                          </w:rPr>
                          <w:t>Art. 58 - Litisconsorzio e intervento</w:t>
                        </w:r>
                      </w:p>
                    </w:txbxContent>
                  </v:textbox>
                </v:rect>
                <v:rect id="Rectangle 23774" o:spid="_x0000_s7330" style="position:absolute;left:18331;top:26909;width:184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vf/xwAAAN4AAAAPAAAAZHJzL2Rvd25yZXYueG1sRI9Pa8JA&#10;FMTvgt9heUJvuqkVldRVikXMoRf/FHp8ZJ9J2uzbJbua6KfvCoLHYWZ+wyxWnanFhRpfWVbwOkpA&#10;EOdWV1woOB42wzkIH5A11pZJwZU8rJb93gJTbVve0WUfChEh7FNUUIbgUil9XpJBP7KOOHon2xgM&#10;UTaF1A22EW5qOU6SqTRYcVwo0dG6pPxvfzYKfj7ZZZtW5qfb2n39ZvN6ez5+K/Uy6D7eQQTqwjP8&#10;aGdawfhtNpvA/U68AnL5DwAA//8DAFBLAQItABQABgAIAAAAIQDb4fbL7gAAAIUBAAATAAAAAAAA&#10;AAAAAAAAAAAAAABbQ29udGVudF9UeXBlc10ueG1sUEsBAi0AFAAGAAgAAAAhAFr0LFu/AAAAFQEA&#10;AAsAAAAAAAAAAAAAAAAAHwEAAF9yZWxzLy5yZWxzUEsBAi0AFAAGAAgAAAAhAMlG9//HAAAA3gAA&#10;AA8AAAAAAAAAAAAAAAAABwIAAGRycy9kb3ducmV2LnhtbFBLBQYAAAAAAwADALcAAAD7AgAAAAA=&#10;" filled="f" stroked="f">
                  <v:textbox inset="0,0,0,0">
                    <w:txbxContent>
                      <w:p w14:paraId="604D3C58" w14:textId="77777777" w:rsidR="00B32EF2" w:rsidRDefault="00000000">
                        <w:r>
                          <w:rPr>
                            <w:rFonts w:ascii="Arial" w:eastAsia="Arial" w:hAnsi="Arial" w:cs="Arial"/>
                            <w:sz w:val="18"/>
                          </w:rPr>
                          <w:t>Art. 59 - Spese del giudizio</w:t>
                        </w:r>
                      </w:p>
                    </w:txbxContent>
                  </v:textbox>
                </v:rect>
                <v:rect id="Rectangle 23775" o:spid="_x0000_s7331" style="position:absolute;left:10840;top:25195;width:2592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JkyAAAAN4AAAAPAAAAZHJzL2Rvd25yZXYueG1sRI/Na8JA&#10;FMTvgv/D8oTedFOLH6SuUixiDr34UejxkX0mabNvl+xqon99VxA8DjPzG2ax6kwtLtT4yrKC11EC&#10;gji3uuJCwfGwGc5B+ICssbZMCq7kYbXs9xaYatvyji77UIgIYZ+igjIEl0rp85IM+pF1xNE72cZg&#10;iLIppG6wjXBTy3GSTKXBiuNCiY7WJeV/+7NR8PPJLtu0Mj/d1u7rN5vX2/PxW6mXQffxDiJQF57h&#10;RzvTCsZvs9kE7nfiFZDLfwAAAP//AwBQSwECLQAUAAYACAAAACEA2+H2y+4AAACFAQAAEwAAAAAA&#10;AAAAAAAAAAAAAAAAW0NvbnRlbnRfVHlwZXNdLnhtbFBLAQItABQABgAIAAAAIQBa9CxbvwAAABUB&#10;AAALAAAAAAAAAAAAAAAAAB8BAABfcmVscy8ucmVsc1BLAQItABQABgAIAAAAIQCmClJkyAAAAN4A&#10;AAAPAAAAAAAAAAAAAAAAAAcCAABkcnMvZG93bnJldi54bWxQSwUGAAAAAAMAAwC3AAAA/AIAAAAA&#10;" filled="f" stroked="f">
                  <v:textbox inset="0,0,0,0">
                    <w:txbxContent>
                      <w:p w14:paraId="3893849A" w14:textId="77777777" w:rsidR="00B32EF2" w:rsidRDefault="00000000">
                        <w:r>
                          <w:rPr>
                            <w:rFonts w:ascii="Arial" w:eastAsia="Arial" w:hAnsi="Arial" w:cs="Arial"/>
                            <w:sz w:val="18"/>
                          </w:rPr>
                          <w:t>Art. 60 - Comunicazioni e notificazioni</w:t>
                        </w:r>
                      </w:p>
                    </w:txbxContent>
                  </v:textbox>
                </v:rect>
                <v:rect id="Rectangle 23776" o:spid="_x0000_s7332" style="position:absolute;left:-2200;top:23480;width:389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MwTxgAAAN4AAAAPAAAAZHJzL2Rvd25yZXYueG1sRI9Ba8JA&#10;FITvBf/D8gre6qYKKtFViiLm4EWr4PGRfSax2bdLdjXRX+8WCj0OM/MNM192phZ3anxlWcHnIAFB&#10;nFtdcaHg+L35mILwAVljbZkUPMjDctF7m2Oqbct7uh9CISKEfYoKyhBcKqXPSzLoB9YRR+9iG4Mh&#10;yqaQusE2wk0th0kylgYrjgslOlqVlP8cbkbBec0u27QyvzxXbnfNpvX2djwp1X/vvmYgAnXhP/zX&#10;zrSC4WgyGcPvnXgF5OIFAAD//wMAUEsBAi0AFAAGAAgAAAAhANvh9svuAAAAhQEAABMAAAAAAAAA&#10;AAAAAAAAAAAAAFtDb250ZW50X1R5cGVzXS54bWxQSwECLQAUAAYACAAAACEAWvQsW78AAAAVAQAA&#10;CwAAAAAAAAAAAAAAAAAfAQAAX3JlbHMvLnJlbHNQSwECLQAUAAYACAAAACEAVtjME8YAAADeAAAA&#10;DwAAAAAAAAAAAAAAAAAHAgAAZHJzL2Rvd25yZXYueG1sUEsFBgAAAAADAAMAtwAAAPoCAAAAAA==&#10;" filled="f" stroked="f">
                  <v:textbox inset="0,0,0,0">
                    <w:txbxContent>
                      <w:p w14:paraId="1C92CEDC" w14:textId="77777777" w:rsidR="00B32EF2" w:rsidRDefault="00000000">
                        <w:r>
                          <w:rPr>
                            <w:rFonts w:ascii="Arial" w:eastAsia="Arial" w:hAnsi="Arial" w:cs="Arial"/>
                            <w:sz w:val="18"/>
                          </w:rPr>
                          <w:t>Art. 61 - Comunicazioni, notificazioni e depositi telematici</w:t>
                        </w:r>
                      </w:p>
                    </w:txbxContent>
                  </v:textbox>
                </v:rect>
                <v:rect id="Rectangle 23777" o:spid="_x0000_s7333" style="position:absolute;left:2823;top:21766;width:3394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GmIxwAAAN4AAAAPAAAAZHJzL2Rvd25yZXYueG1sRI9Pa8JA&#10;FMTvgt9heYI33VShkegqxSLNoZf6Bzw+ss8kbfbtkl1N2k/fFQSPw8z8hlltetOIG7W+tqzgZZqA&#10;IC6srrlUcDzsJgsQPiBrbCyTgl/ysFkPByvMtO34i277UIoIYZ+hgioEl0npi4oM+ql1xNG72NZg&#10;iLItpW6xi3DTyFmSvEqDNceFCh1tKyp+9lej4PzOLt91srj8bd3nd75oPq7Hk1LjUf+2BBGoD8/w&#10;o51rBbN5mqZwvxOvgFz/AwAA//8DAFBLAQItABQABgAIAAAAIQDb4fbL7gAAAIUBAAATAAAAAAAA&#10;AAAAAAAAAAAAAABbQ29udGVudF9UeXBlc10ueG1sUEsBAi0AFAAGAAgAAAAhAFr0LFu/AAAAFQEA&#10;AAsAAAAAAAAAAAAAAAAAHwEAAF9yZWxzLy5yZWxzUEsBAi0AFAAGAAgAAAAhADmUaYjHAAAA3gAA&#10;AA8AAAAAAAAAAAAAAAAABwIAAGRycy9kb3ducmV2LnhtbFBLBQYAAAAAAwADALcAAAD7AgAAAAA=&#10;" filled="f" stroked="f">
                  <v:textbox inset="0,0,0,0">
                    <w:txbxContent>
                      <w:p w14:paraId="452CDAB3" w14:textId="77777777" w:rsidR="00B32EF2" w:rsidRDefault="00000000">
                        <w:r>
                          <w:rPr>
                            <w:rFonts w:ascii="Arial" w:eastAsia="Arial" w:hAnsi="Arial" w:cs="Arial"/>
                            <w:sz w:val="18"/>
                          </w:rPr>
                          <w:t>Art. 62 - Luogo delle comunicazioni e notificazioni</w:t>
                        </w:r>
                      </w:p>
                    </w:txbxContent>
                  </v:textbox>
                </v:rect>
                <v:rect id="Rectangle 23778" o:spid="_x0000_s7334" style="position:absolute;left:18256;top:20051;width:185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6xQAAAN4AAAAPAAAAZHJzL2Rvd25yZXYueG1sRE/JasMw&#10;EL0X+g9iCr3VclNIgmsllJRQH3JpFuhxsCa2E2skLHlJvr46FHp8vD1fT6YVA3W+sazgNUlBEJdW&#10;N1wpOB62L0sQPiBrbC2Tght5WK8eH3LMtB35m4Z9qEQMYZ+hgjoEl0npy5oM+sQ64sidbWcwRNhV&#10;Unc4xnDTylmazqXBhmNDjY42NZXXfW8U/HyyK7ajLM/3jdtdimX71R9PSj0/TR/vIAJN4V/85y60&#10;gtnbYhH3xjvxCsjVLwAAAP//AwBQSwECLQAUAAYACAAAACEA2+H2y+4AAACFAQAAEwAAAAAAAAAA&#10;AAAAAAAAAAAAW0NvbnRlbnRfVHlwZXNdLnhtbFBLAQItABQABgAIAAAAIQBa9CxbvwAAABUBAAAL&#10;AAAAAAAAAAAAAAAAAB8BAABfcmVscy8ucmVsc1BLAQItABQABgAIAAAAIQBIC/36xQAAAN4AAAAP&#10;AAAAAAAAAAAAAAAAAAcCAABkcnMvZG93bnJldi54bWxQSwUGAAAAAAMAAwC3AAAA+QIAAAAA&#10;" filled="f" stroked="f">
                  <v:textbox inset="0,0,0,0">
                    <w:txbxContent>
                      <w:p w14:paraId="71EC3DED" w14:textId="77777777" w:rsidR="00B32EF2" w:rsidRDefault="00000000">
                        <w:r>
                          <w:rPr>
                            <w:rFonts w:ascii="Arial" w:eastAsia="Arial" w:hAnsi="Arial" w:cs="Arial"/>
                            <w:b/>
                            <w:sz w:val="18"/>
                          </w:rPr>
                          <w:t>Capo III - Forma degli atti</w:t>
                        </w:r>
                      </w:p>
                    </w:txbxContent>
                  </v:textbox>
                </v:rect>
                <v:rect id="Rectangle 23779" o:spid="_x0000_s7335" style="position:absolute;left:3051;top:20051;width:240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1hhxwAAAN4AAAAPAAAAZHJzL2Rvd25yZXYueG1sRI9Pa8JA&#10;FMTvBb/D8gRvdaMF/0RXEYuYQy+1Ch4f2WcSzb5dsquJ/fTdQqHHYWZ+wyzXnanFgxpfWVYwGiYg&#10;iHOrKy4UHL92rzMQPiBrrC2Tgid5WK96L0tMtW35kx6HUIgIYZ+igjIEl0rp85IM+qF1xNG72MZg&#10;iLIppG6wjXBTy3GSTKTBiuNCiY62JeW3w90oOL+zy3atzC/fW/dxzWb1/n48KTXod5sFiEBd+A//&#10;tTOtYPw2nc7h9068AnL1AwAA//8DAFBLAQItABQABgAIAAAAIQDb4fbL7gAAAIUBAAATAAAAAAAA&#10;AAAAAAAAAAAAAABbQ29udGVudF9UeXBlc10ueG1sUEsBAi0AFAAGAAgAAAAhAFr0LFu/AAAAFQEA&#10;AAsAAAAAAAAAAAAAAAAAHwEAAF9yZWxzLy5yZWxzUEsBAi0AFAAGAAgAAAAhACdHWGHHAAAA3gAA&#10;AA8AAAAAAAAAAAAAAAAABwIAAGRycy9kb3ducmV2LnhtbFBLBQYAAAAAAwADALcAAAD7AgAAAAA=&#10;" filled="f" stroked="f">
                  <v:textbox inset="0,0,0,0">
                    <w:txbxContent>
                      <w:p w14:paraId="0C5CA597" w14:textId="77777777" w:rsidR="00B32EF2" w:rsidRDefault="00000000">
                        <w:r>
                          <w:rPr>
                            <w:rFonts w:ascii="Arial" w:eastAsia="Arial" w:hAnsi="Arial" w:cs="Arial"/>
                            <w:b/>
                            <w:sz w:val="18"/>
                          </w:rPr>
                          <w:t xml:space="preserve">    </w:t>
                        </w:r>
                      </w:p>
                    </w:txbxContent>
                  </v:textbox>
                </v:rect>
                <v:rect id="Rectangle 23780" o:spid="_x0000_s7336" style="position:absolute;left:-622;top:20051;width:53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HbxQAAAN4AAAAPAAAAZHJzL2Rvd25yZXYueG1sRI/LasJA&#10;FIb3Bd9hOIK7OtFCG6KjiCLNwk29gMtD5phEM2eGzGiiT99ZFLr8+W9882VvGvGg1teWFUzGCQji&#10;wuqaSwXHw/Y9BeEDssbGMil4koflYvA2x0zbjn/osQ+liCPsM1RQheAyKX1RkUE/to44ehfbGgxR&#10;tqXULXZx3DRymiSf0mDN8aFCR+uKitv+bhScN+zybSeLy2vtdtc8bb7vx5NSo2G/moEI1If/8F87&#10;1wqmH19pBIg4EQXk4hcAAP//AwBQSwECLQAUAAYACAAAACEA2+H2y+4AAACFAQAAEwAAAAAAAAAA&#10;AAAAAAAAAAAAW0NvbnRlbnRfVHlwZXNdLnhtbFBLAQItABQABgAIAAAAIQBa9CxbvwAAABUBAAAL&#10;AAAAAAAAAAAAAAAAAB8BAABfcmVscy8ucmVsc1BLAQItABQABgAIAAAAIQCDqIHbxQAAAN4AAAAP&#10;AAAAAAAAAAAAAAAAAAcCAABkcnMvZG93bnJldi54bWxQSwUGAAAAAAMAAwC3AAAA+QIAAAAA&#10;" filled="f" stroked="f">
                  <v:textbox inset="0,0,0,0">
                    <w:txbxContent>
                      <w:p w14:paraId="6B4EBB8A" w14:textId="77777777" w:rsidR="00B32EF2" w:rsidRDefault="00000000">
                        <w:r>
                          <w:rPr>
                            <w:rFonts w:ascii="Arial" w:eastAsia="Arial" w:hAnsi="Arial" w:cs="Arial"/>
                            <w:b/>
                            <w:sz w:val="18"/>
                          </w:rPr>
                          <w:t>Pag. 58</w:t>
                        </w:r>
                      </w:p>
                    </w:txbxContent>
                  </v:textbox>
                </v:rect>
                <v:rect id="Rectangle 23781" o:spid="_x0000_s7337" style="position:absolute;left:16745;top:18337;width:200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CRAxwAAAN4AAAAPAAAAZHJzL2Rvd25yZXYueG1sRI9Pa8JA&#10;FMTvgt9heYI33WjBhtRVRJHm0Ev9Az0+ss8kbfbtkl1N7Kd3CwWPw8z8hlmue9OIG7W+tqxgNk1A&#10;EBdW11wqOB33kxSED8gaG8uk4E4e1qvhYImZth1/0u0QShEh7DNUUIXgMil9UZFBP7WOOHoX2xoM&#10;Ubal1C12EW4aOU+ShTRYc1yo0NG2ouLncDUKvnbs8n0ni8vv1n1852nzfj2dlRqP+s0biEB9eIb/&#10;27lWMH95TWfwdydeAbl6AAAA//8DAFBLAQItABQABgAIAAAAIQDb4fbL7gAAAIUBAAATAAAAAAAA&#10;AAAAAAAAAAAAAABbQ29udGVudF9UeXBlc10ueG1sUEsBAi0AFAAGAAgAAAAhAFr0LFu/AAAAFQEA&#10;AAsAAAAAAAAAAAAAAAAAHwEAAF9yZWxzLy5yZWxzUEsBAi0AFAAGAAgAAAAhAOzkJEDHAAAA3gAA&#10;AA8AAAAAAAAAAAAAAAAABwIAAGRycy9kb3ducmV2LnhtbFBLBQYAAAAAAwADALcAAAD7AgAAAAA=&#10;" filled="f" stroked="f">
                  <v:textbox inset="0,0,0,0">
                    <w:txbxContent>
                      <w:p w14:paraId="5A12B48B" w14:textId="77777777" w:rsidR="00B32EF2" w:rsidRDefault="00000000">
                        <w:r>
                          <w:rPr>
                            <w:rFonts w:ascii="Arial" w:eastAsia="Arial" w:hAnsi="Arial" w:cs="Arial"/>
                            <w:sz w:val="18"/>
                          </w:rPr>
                          <w:t>Art. 63 - Degli atti in generale</w:t>
                        </w:r>
                      </w:p>
                    </w:txbxContent>
                  </v:textbox>
                </v:rect>
                <v:rect id="Rectangle 23782" o:spid="_x0000_s7338" style="position:absolute;left:21375;top:16622;width:153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ro3xwAAAN4AAAAPAAAAZHJzL2Rvd25yZXYueG1sRI9Ba8JA&#10;FITvBf/D8gRvdWMKNqSuUhRpDr1oFTw+ss8kbfbtkl1N7K93hUKPw8x8wyxWg2nFlTrfWFYwmyYg&#10;iEurG64UHL62zxkIH5A1tpZJwY08rJajpwXm2va8o+s+VCJC2OeooA7B5VL6siaDfmodcfTOtjMY&#10;ouwqqTvsI9y0Mk2SuTTYcFyo0dG6pvJnfzEKTht2xbaX5fl37T6/i6z9uByOSk3Gw/sbiEBD+A//&#10;tQutIH15zVJ43IlXQC7vAAAA//8DAFBLAQItABQABgAIAAAAIQDb4fbL7gAAAIUBAAATAAAAAAAA&#10;AAAAAAAAAAAAAABbQ29udGVudF9UeXBlc10ueG1sUEsBAi0AFAAGAAgAAAAhAFr0LFu/AAAAFQEA&#10;AAsAAAAAAAAAAAAAAAAAHwEAAF9yZWxzLy5yZWxzUEsBAi0AFAAGAAgAAAAhABw2ujfHAAAA3gAA&#10;AA8AAAAAAAAAAAAAAAAABwIAAGRycy9kb3ducmV2LnhtbFBLBQYAAAAAAwADALcAAAD7AgAAAAA=&#10;" filled="f" stroked="f">
                  <v:textbox inset="0,0,0,0">
                    <w:txbxContent>
                      <w:p w14:paraId="4E43AACC" w14:textId="77777777" w:rsidR="00B32EF2" w:rsidRDefault="00000000">
                        <w:r>
                          <w:rPr>
                            <w:rFonts w:ascii="Arial" w:eastAsia="Arial" w:hAnsi="Arial" w:cs="Arial"/>
                            <w:b/>
                            <w:sz w:val="18"/>
                          </w:rPr>
                          <w:t>Titolo II – ll processo</w:t>
                        </w:r>
                      </w:p>
                    </w:txbxContent>
                  </v:textbox>
                </v:rect>
                <v:rect id="Rectangle 23783" o:spid="_x0000_s7339" style="position:absolute;left:3870;top:14908;width:328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h+sxwAAAN4AAAAPAAAAZHJzL2Rvd25yZXYueG1sRI9Pa8JA&#10;FMTvBb/D8oTe6qYKNkRXKRZpDl78Bx4f2WeSNvt2ya4m9dO7QsHjMDO/YebL3jTiSq2vLSt4HyUg&#10;iAuray4VHPbrtxSED8gaG8uk4I88LBeDlzlm2na8pesulCJC2GeooArBZVL6oiKDfmQdcfTOtjUY&#10;omxLqVvsItw0cpwkU2mw5rhQoaNVRcXv7mIUnL7Y5etOFufbym1+8rT5vhyOSr0O+88ZiEB9eIb/&#10;27lWMJ58pBN43IlXQC7uAAAA//8DAFBLAQItABQABgAIAAAAIQDb4fbL7gAAAIUBAAATAAAAAAAA&#10;AAAAAAAAAAAAAABbQ29udGVudF9UeXBlc10ueG1sUEsBAi0AFAAGAAgAAAAhAFr0LFu/AAAAFQEA&#10;AAsAAAAAAAAAAAAAAAAAHwEAAF9yZWxzLy5yZWxzUEsBAi0AFAAGAAgAAAAhAHN6H6zHAAAA3gAA&#10;AA8AAAAAAAAAAAAAAAAABwIAAGRycy9kb3ducmV2LnhtbFBLBQYAAAAAAwADALcAAAD7AgAAAAA=&#10;" filled="f" stroked="f">
                  <v:textbox inset="0,0,0,0">
                    <w:txbxContent>
                      <w:p w14:paraId="27BE08FF" w14:textId="77777777" w:rsidR="00B32EF2" w:rsidRDefault="00000000">
                        <w:r>
                          <w:rPr>
                            <w:rFonts w:ascii="Arial" w:eastAsia="Arial" w:hAnsi="Arial" w:cs="Arial"/>
                            <w:b/>
                            <w:sz w:val="18"/>
                          </w:rPr>
                          <w:t>Capo I -  Il procedimento dinanzi alla corte di</w:t>
                        </w:r>
                      </w:p>
                    </w:txbxContent>
                  </v:textbox>
                </v:rect>
                <v:rect id="Rectangle 23784" o:spid="_x0000_s7340" style="position:absolute;left:7239;top:14908;width:71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4fYxwAAAN4AAAAPAAAAZHJzL2Rvd25yZXYueG1sRI9Ba8JA&#10;FITvgv9heUJvuqmVNqSuIoo0h160KfT4yD6TtNm3S3Y1qb++KxQ8DjPzDbNcD6YVF+p8Y1nB4ywB&#10;QVxa3XCloPjYT1MQPiBrbC2Tgl/ysF6NR0vMtO35QJdjqESEsM9QQR2Cy6T0ZU0G/cw64uidbGcw&#10;RNlVUnfYR7hp5TxJnqXBhuNCjY62NZU/x7NR8LVjl+97WZ6uW/f+naft27n4VOphMmxeQQQawj38&#10;3861gvnTS7qA2514BeTqDwAA//8DAFBLAQItABQABgAIAAAAIQDb4fbL7gAAAIUBAAATAAAAAAAA&#10;AAAAAAAAAAAAAABbQ29udGVudF9UeXBlc10ueG1sUEsBAi0AFAAGAAgAAAAhAFr0LFu/AAAAFQEA&#10;AAsAAAAAAAAAAAAAAAAAHwEAAF9yZWxzLy5yZWxzUEsBAi0AFAAGAAgAAAAhAPyTh9jHAAAA3gAA&#10;AA8AAAAAAAAAAAAAAAAABwIAAGRycy9kb3ducmV2LnhtbFBLBQYAAAAAAwADALcAAAD7AgAAAAA=&#10;" filled="f" stroked="f">
                  <v:textbox inset="0,0,0,0">
                    <w:txbxContent>
                      <w:p w14:paraId="071469EC" w14:textId="77777777" w:rsidR="00B32EF2" w:rsidRDefault="00000000">
                        <w:r>
                          <w:rPr>
                            <w:rFonts w:ascii="Arial" w:eastAsia="Arial" w:hAnsi="Arial" w:cs="Arial"/>
                            <w:b/>
                            <w:sz w:val="18"/>
                          </w:rPr>
                          <w:t xml:space="preserve">  </w:t>
                        </w:r>
                      </w:p>
                    </w:txbxContent>
                  </v:textbox>
                </v:rect>
                <v:rect id="Rectangle 23785" o:spid="_x0000_s7341" style="position:absolute;left:-621;top:14908;width:53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yJDxwAAAN4AAAAPAAAAZHJzL2Rvd25yZXYueG1sRI9Ba8JA&#10;FITvgv9heUJvuqnFNqSuIoo0h160KfT4yD6TtNm3S3Y1qb++KxQ8DjPzDbNcD6YVF+p8Y1nB4ywB&#10;QVxa3XCloPjYT1MQPiBrbC2Tgl/ysF6NR0vMtO35QJdjqESEsM9QQR2Cy6T0ZU0G/cw64uidbGcw&#10;RNlVUnfYR7hp5TxJnqXBhuNCjY62NZU/x7NR8LVjl+97WZ6uW/f+naft27n4VOphMmxeQQQawj38&#10;3861gvnTS7qA2514BeTqDwAA//8DAFBLAQItABQABgAIAAAAIQDb4fbL7gAAAIUBAAATAAAAAAAA&#10;AAAAAAAAAAAAAABbQ29udGVudF9UeXBlc10ueG1sUEsBAi0AFAAGAAgAAAAhAFr0LFu/AAAAFQEA&#10;AAsAAAAAAAAAAAAAAAAAHwEAAF9yZWxzLy5yZWxzUEsBAi0AFAAGAAgAAAAhAJPfIkPHAAAA3gAA&#10;AA8AAAAAAAAAAAAAAAAABwIAAGRycy9kb3ducmV2LnhtbFBLBQYAAAAAAwADALcAAAD7AgAAAAA=&#10;" filled="f" stroked="f">
                  <v:textbox inset="0,0,0,0">
                    <w:txbxContent>
                      <w:p w14:paraId="14D07079" w14:textId="77777777" w:rsidR="00B32EF2" w:rsidRDefault="00000000">
                        <w:r>
                          <w:rPr>
                            <w:rFonts w:ascii="Arial" w:eastAsia="Arial" w:hAnsi="Arial" w:cs="Arial"/>
                            <w:b/>
                            <w:sz w:val="18"/>
                          </w:rPr>
                          <w:t>Pag. 59</w:t>
                        </w:r>
                      </w:p>
                    </w:txbxContent>
                  </v:textbox>
                </v:rect>
                <v:rect id="Rectangle 23786" o:spid="_x0000_s7342" style="position:absolute;left:11581;top:13193;width:251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w0xwAAAN4AAAAPAAAAZHJzL2Rvd25yZXYueG1sRI9Ba8JA&#10;FITvBf/D8oTe6qYWNKSuUhQxBy+1Fnp8ZJ9JNPt2ya4m+uvdguBxmJlvmNmiN424UOtrywreRwkI&#10;4sLqmksF+5/1WwrCB2SNjWVScCUPi/ngZYaZth1/02UXShEh7DNUUIXgMil9UZFBP7KOOHoH2xoM&#10;Ubal1C12EW4aOU6SiTRYc1yo0NGyouK0OxsFfyt2+bqTxeG2dNtjnjab8/5Xqddh//UJIlAfnuFH&#10;O9cKxh/TdAL/d+IVkPM7AAAA//8DAFBLAQItABQABgAIAAAAIQDb4fbL7gAAAIUBAAATAAAAAAAA&#10;AAAAAAAAAAAAAABbQ29udGVudF9UeXBlc10ueG1sUEsBAi0AFAAGAAgAAAAhAFr0LFu/AAAAFQEA&#10;AAsAAAAAAAAAAAAAAAAAHwEAAF9yZWxzLy5yZWxzUEsBAi0AFAAGAAgAAAAhAGMNvDTHAAAA3gAA&#10;AA8AAAAAAAAAAAAAAAAABwIAAGRycy9kb3ducmV2LnhtbFBLBQYAAAAAAwADALcAAAD7AgAAAAA=&#10;" filled="f" stroked="f">
                  <v:textbox inset="0,0,0,0">
                    <w:txbxContent>
                      <w:p w14:paraId="56D03C42" w14:textId="77777777" w:rsidR="00B32EF2" w:rsidRDefault="00000000">
                        <w:r>
                          <w:rPr>
                            <w:rFonts w:ascii="Arial" w:eastAsia="Arial" w:hAnsi="Arial" w:cs="Arial"/>
                            <w:b/>
                            <w:sz w:val="18"/>
                          </w:rPr>
                          <w:t xml:space="preserve">giustizia tributaria di primo grado </w:t>
                        </w:r>
                      </w:p>
                    </w:txbxContent>
                  </v:textbox>
                </v:rect>
                <v:rect id="Rectangle 23787" o:spid="_x0000_s7343" style="position:absolute;left:10346;top:11479;width:264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RmvxwAAAN4AAAAPAAAAZHJzL2Rvd25yZXYueG1sRI9Ba8JA&#10;FITvgv9heUJvuqkFDamrFEXMwUuthR4f2WcSzb5dsquJ/vpuoeBxmJlvmMWqN424UetrywpeJwkI&#10;4sLqmksFx6/tOAXhA7LGxjIpuJOH1XI4WGCmbcefdDuEUkQI+wwVVCG4TEpfVGTQT6wjjt7JtgZD&#10;lG0pdYtdhJtGTpNkJg3WHBcqdLSuqLgcrkbBz4Zdvu1kcXqs3f6cp83uevxW6mXUf7yDCNSHZ/i/&#10;nWsF07d5Ooe/O/EKyOUvAAAA//8DAFBLAQItABQABgAIAAAAIQDb4fbL7gAAAIUBAAATAAAAAAAA&#10;AAAAAAAAAAAAAABbQ29udGVudF9UeXBlc10ueG1sUEsBAi0AFAAGAAgAAAAhAFr0LFu/AAAAFQEA&#10;AAsAAAAAAAAAAAAAAAAAHwEAAF9yZWxzLy5yZWxzUEsBAi0AFAAGAAgAAAAhAAxBGa/HAAAA3gAA&#10;AA8AAAAAAAAAAAAAAAAABwIAAGRycy9kb3ducmV2LnhtbFBLBQYAAAAAAwADALcAAAD7AgAAAAA=&#10;" filled="f" stroked="f">
                  <v:textbox inset="0,0,0,0">
                    <w:txbxContent>
                      <w:p w14:paraId="7D253EA3" w14:textId="77777777" w:rsidR="00B32EF2" w:rsidRDefault="00000000">
                        <w:r>
                          <w:rPr>
                            <w:rFonts w:ascii="Arial" w:eastAsia="Arial" w:hAnsi="Arial" w:cs="Arial"/>
                            <w:b/>
                            <w:sz w:val="18"/>
                          </w:rPr>
                          <w:t>Sezione I - Introduzione del giudizio</w:t>
                        </w:r>
                      </w:p>
                    </w:txbxContent>
                  </v:textbox>
                </v:rect>
                <v:rect id="Rectangle 23788" o:spid="_x0000_s7344" style="position:absolute;left:5534;top:11479;width:1404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o3dxAAAAN4AAAAPAAAAZHJzL2Rvd25yZXYueG1sRE/LisIw&#10;FN0P+A/hCu7GVAdmSjWKKDJduBkf4PLSXNtqcxOaaKtfP1kMzPJw3vNlbxrxoNbXlhVMxgkI4sLq&#10;mksFx8P2PQXhA7LGxjIpeJKH5WLwNsdM245/6LEPpYgh7DNUUIXgMil9UZFBP7aOOHIX2xoMEbal&#10;1C12Mdw0cpokn9JgzbGhQkfriorb/m4UnDfs8m0ni8tr7XbXPG2+78eTUqNhv5qBCNSHf/GfO9cK&#10;ph9fadwb78QrIBe/AAAA//8DAFBLAQItABQABgAIAAAAIQDb4fbL7gAAAIUBAAATAAAAAAAAAAAA&#10;AAAAAAAAAABbQ29udGVudF9UeXBlc10ueG1sUEsBAi0AFAAGAAgAAAAhAFr0LFu/AAAAFQEAAAsA&#10;AAAAAAAAAAAAAAAAHwEAAF9yZWxzLy5yZWxzUEsBAi0AFAAGAAgAAAAhAH3ejd3EAAAA3gAAAA8A&#10;AAAAAAAAAAAAAAAABwIAAGRycy9kb3ducmV2LnhtbFBLBQYAAAAAAwADALcAAAD4AgAAAAA=&#10;" filled="f" stroked="f">
                  <v:textbox inset="0,0,0,0">
                    <w:txbxContent>
                      <w:p w14:paraId="07465473" w14:textId="77777777" w:rsidR="00B32EF2" w:rsidRDefault="00000000">
                        <w:r>
                          <w:rPr>
                            <w:rFonts w:ascii="Arial" w:eastAsia="Arial" w:hAnsi="Arial" w:cs="Arial"/>
                            <w:b/>
                            <w:sz w:val="18"/>
                          </w:rPr>
                          <w:t xml:space="preserve">   </w:t>
                        </w:r>
                      </w:p>
                    </w:txbxContent>
                  </v:textbox>
                </v:rect>
                <v:rect id="Rectangle 23789" o:spid="_x0000_s7345" style="position:absolute;left:-621;top:11479;width:538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ihGxwAAAN4AAAAPAAAAZHJzL2Rvd25yZXYueG1sRI9Ba8JA&#10;FITvgv9heUJvuqkFm6auIoo0h160KfT4yD6TtNm3S3Y1qb++KxQ8DjPzDbNcD6YVF+p8Y1nB4ywB&#10;QVxa3XCloPjYT1MQPiBrbC2Tgl/ysF6NR0vMtO35QJdjqESEsM9QQR2Cy6T0ZU0G/cw64uidbGcw&#10;RNlVUnfYR7hp5TxJFtJgw3GhRkfbmsqf49ko+Nqxy/e9LE/XrXv/ztP27Vx8KvUwGTavIAIN4R7+&#10;b+dawfzpOX2B2514BeTqDwAA//8DAFBLAQItABQABgAIAAAAIQDb4fbL7gAAAIUBAAATAAAAAAAA&#10;AAAAAAAAAAAAAABbQ29udGVudF9UeXBlc10ueG1sUEsBAi0AFAAGAAgAAAAhAFr0LFu/AAAAFQEA&#10;AAsAAAAAAAAAAAAAAAAAHwEAAF9yZWxzLy5yZWxzUEsBAi0AFAAGAAgAAAAhABKSKEbHAAAA3gAA&#10;AA8AAAAAAAAAAAAAAAAABwIAAGRycy9kb3ducmV2LnhtbFBLBQYAAAAAAwADALcAAAD7AgAAAAA=&#10;" filled="f" stroked="f">
                  <v:textbox inset="0,0,0,0">
                    <w:txbxContent>
                      <w:p w14:paraId="3441FB12" w14:textId="77777777" w:rsidR="00B32EF2" w:rsidRDefault="00000000">
                        <w:r>
                          <w:rPr>
                            <w:rFonts w:ascii="Arial" w:eastAsia="Arial" w:hAnsi="Arial" w:cs="Arial"/>
                            <w:b/>
                            <w:sz w:val="18"/>
                          </w:rPr>
                          <w:t>Pag. 59</w:t>
                        </w:r>
                      </w:p>
                    </w:txbxContent>
                  </v:textbox>
                </v:rect>
                <v:rect id="Rectangle 23790" o:spid="_x0000_s7346" style="position:absolute;left:24891;top:9764;width:118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cGxQAAAN4AAAAPAAAAZHJzL2Rvd25yZXYueG1sRI/NisIw&#10;FIX3gu8QruBOUx1wtGMUcRC7cDOOwiwvzbXtTHMTmmirT28WwiwP549vue5MLW7U+Mqygsk4AUGc&#10;W11xoeD0vRvNQfiArLG2TAru5GG96veWmGrb8hfdjqEQcYR9igrKEFwqpc9LMujH1hFH72IbgyHK&#10;ppC6wTaOm1pOk2QmDVYcH0p0tC0p/ztejYKfT3bZrpX55bF1h99sXu+vp7NSw0G3+QARqAv/4Vc7&#10;0wqmb++LCBBxIgrI1RMAAP//AwBQSwECLQAUAAYACAAAACEA2+H2y+4AAACFAQAAEwAAAAAAAAAA&#10;AAAAAAAAAAAAW0NvbnRlbnRfVHlwZXNdLnhtbFBLAQItABQABgAIAAAAIQBa9CxbvwAAABUBAAAL&#10;AAAAAAAAAAAAAAAAAB8BAABfcmVscy8ucmVsc1BLAQItABQABgAIAAAAIQAGcRcGxQAAAN4AAAAP&#10;AAAAAAAAAAAAAAAAAAcCAABkcnMvZG93bnJldi54bWxQSwUGAAAAAAMAAwC3AAAA+QIAAAAA&#10;" filled="f" stroked="f">
                  <v:textbox inset="0,0,0,0">
                    <w:txbxContent>
                      <w:p w14:paraId="416FAC5E" w14:textId="77777777" w:rsidR="00B32EF2" w:rsidRDefault="00000000">
                        <w:r>
                          <w:rPr>
                            <w:rFonts w:ascii="Arial" w:eastAsia="Arial" w:hAnsi="Arial" w:cs="Arial"/>
                            <w:sz w:val="18"/>
                          </w:rPr>
                          <w:t>Art. 64 - Il ricorso</w:t>
                        </w:r>
                      </w:p>
                    </w:txbxContent>
                  </v:textbox>
                </v:rect>
                <v:rect id="Rectangle 23791" o:spid="_x0000_s7347" style="position:absolute;left:5904;top:8050;width:3086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bKdxwAAAN4AAAAPAAAAZHJzL2Rvd25yZXYueG1sRI9Pa8JA&#10;FMTvgt9heUJvutGC2tRVikXMoRf/FHp8ZJ9J2uzbJbua6KfvCoLHYWZ+wyxWnanFhRpfWVYwHiUg&#10;iHOrKy4UHA+b4RyED8gaa8uk4EoeVst+b4Gpti3v6LIPhYgQ9ikqKENwqZQ+L8mgH1lHHL2TbQyG&#10;KJtC6gbbCDe1nCTJVBqsOC6U6GhdUv63PxsFP5/ssk0r89Nt7b5+s3m9PR+/lXoZdB/vIAJ14Rl+&#10;tDOtYPI6exvD/U68AnL5DwAA//8DAFBLAQItABQABgAIAAAAIQDb4fbL7gAAAIUBAAATAAAAAAAA&#10;AAAAAAAAAAAAAABbQ29udGVudF9UeXBlc10ueG1sUEsBAi0AFAAGAAgAAAAhAFr0LFu/AAAAFQEA&#10;AAsAAAAAAAAAAAAAAAAAHwEAAF9yZWxzLy5yZWxzUEsBAi0AFAAGAAgAAAAhAGk9sp3HAAAA3gAA&#10;AA8AAAAAAAAAAAAAAAAABwIAAGRycy9kb3ducmV2LnhtbFBLBQYAAAAAAwADALcAAAD7AgAAAAA=&#10;" filled="f" stroked="f">
                  <v:textbox inset="0,0,0,0">
                    <w:txbxContent>
                      <w:p w14:paraId="1A4AB8A5" w14:textId="77777777" w:rsidR="00B32EF2" w:rsidRDefault="00000000">
                        <w:r>
                          <w:rPr>
                            <w:rFonts w:ascii="Arial" w:eastAsia="Arial" w:hAnsi="Arial" w:cs="Arial"/>
                            <w:sz w:val="18"/>
                          </w:rPr>
                          <w:t>Art. 65 - Atti impugnabili e oggetto del ricorso</w:t>
                        </w:r>
                      </w:p>
                    </w:txbxContent>
                  </v:textbox>
                </v:rect>
                <v:rect id="Rectangle 23792" o:spid="_x0000_s7348" style="position:absolute;left:14287;top:6335;width:224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yzqxwAAAN4AAAAPAAAAZHJzL2Rvd25yZXYueG1sRI9Ba8JA&#10;FITvgv9heUJvumkKNk1dRRRpDr1oLfT4yD6TtNm3S3Y1qb++KxQ8DjPzDbNYDaYVF+p8Y1nB4ywB&#10;QVxa3XCl4Pixm2YgfEDW2FomBb/kYbUcjxaYa9vzni6HUIkIYZ+jgjoEl0vpy5oM+pl1xNE72c5g&#10;iLKrpO6wj3DTyjRJ5tJgw3GhRkebmsqfw9ko+NqyK3a9LE/XjXv/LrL27Xz8VOphMqxfQQQawj38&#10;3y60gvTp+SWF2514BeTyDwAA//8DAFBLAQItABQABgAIAAAAIQDb4fbL7gAAAIUBAAATAAAAAAAA&#10;AAAAAAAAAAAAAABbQ29udGVudF9UeXBlc10ueG1sUEsBAi0AFAAGAAgAAAAhAFr0LFu/AAAAFQEA&#10;AAsAAAAAAAAAAAAAAAAAHwEAAF9yZWxzLy5yZWxzUEsBAi0AFAAGAAgAAAAhAJnvLOrHAAAA3gAA&#10;AA8AAAAAAAAAAAAAAAAABwIAAGRycy9kb3ducmV2LnhtbFBLBQYAAAAAAwADALcAAAD7AgAAAAA=&#10;" filled="f" stroked="f">
                  <v:textbox inset="0,0,0,0">
                    <w:txbxContent>
                      <w:p w14:paraId="1E939275" w14:textId="77777777" w:rsidR="00B32EF2" w:rsidRDefault="00000000">
                        <w:r>
                          <w:rPr>
                            <w:rFonts w:ascii="Arial" w:eastAsia="Arial" w:hAnsi="Arial" w:cs="Arial"/>
                            <w:sz w:val="18"/>
                          </w:rPr>
                          <w:t>Art. 66 - Proposizione del ricorso</w:t>
                        </w:r>
                      </w:p>
                    </w:txbxContent>
                  </v:textbox>
                </v:rect>
                <v:rect id="Rectangle 23793" o:spid="_x0000_s7349" style="position:absolute;left:4768;top:4621;width:320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4lxxwAAAN4AAAAPAAAAZHJzL2Rvd25yZXYueG1sRI9Ba8JA&#10;FITvBf/D8gRvdaOCtdFVRJHm4KVqweMj+0zSZt8u2dWk/nq3UPA4zMw3zGLVmVrcqPGVZQWjYQKC&#10;OLe64kLB6bh7nYHwAVljbZkU/JKH1bL3ssBU25Y/6XYIhYgQ9ikqKENwqZQ+L8mgH1pHHL2LbQyG&#10;KJtC6gbbCDe1HCfJVBqsOC6U6GhTUv5zuBoF5y27bNfK/HLfuP13Nqs/rqcvpQb9bj0HEagLz/B/&#10;O9MKxpO39wn83YlXQC4fAAAA//8DAFBLAQItABQABgAIAAAAIQDb4fbL7gAAAIUBAAATAAAAAAAA&#10;AAAAAAAAAAAAAABbQ29udGVudF9UeXBlc10ueG1sUEsBAi0AFAAGAAgAAAAhAFr0LFu/AAAAFQEA&#10;AAsAAAAAAAAAAAAAAAAAHwEAAF9yZWxzLy5yZWxzUEsBAi0AFAAGAAgAAAAhAPajiXHHAAAA3gAA&#10;AA8AAAAAAAAAAAAAAAAABwIAAGRycy9kb3ducmV2LnhtbFBLBQYAAAAAAwADALcAAAD7AgAAAAA=&#10;" filled="f" stroked="f">
                  <v:textbox inset="0,0,0,0">
                    <w:txbxContent>
                      <w:p w14:paraId="5571F607" w14:textId="77777777" w:rsidR="00B32EF2" w:rsidRDefault="00000000">
                        <w:r>
                          <w:rPr>
                            <w:rFonts w:ascii="Arial" w:eastAsia="Arial" w:hAnsi="Arial" w:cs="Arial"/>
                            <w:sz w:val="18"/>
                          </w:rPr>
                          <w:t>Art. 67 -Termine per la proposizione del ricorso</w:t>
                        </w:r>
                      </w:p>
                    </w:txbxContent>
                  </v:textbox>
                </v:rect>
                <w10:anchorlock/>
              </v:group>
            </w:pict>
          </mc:Fallback>
        </mc:AlternateContent>
      </w:r>
    </w:p>
    <w:p w14:paraId="6DC2B120" w14:textId="77777777" w:rsidR="00B32EF2" w:rsidRDefault="00000000">
      <w:pPr>
        <w:spacing w:after="0"/>
        <w:ind w:left="42" w:right="-306"/>
      </w:pPr>
      <w:r>
        <w:rPr>
          <w:noProof/>
        </w:rPr>
        <w:lastRenderedPageBreak/>
        <mc:AlternateContent>
          <mc:Choice Requires="wpg">
            <w:drawing>
              <wp:inline distT="0" distB="0" distL="0" distR="0" wp14:anchorId="3F175B0A" wp14:editId="7E0C62A0">
                <wp:extent cx="3738902" cy="6262854"/>
                <wp:effectExtent l="0" t="0" r="0" b="0"/>
                <wp:docPr id="202476" name="Group 202476"/>
                <wp:cNvGraphicFramePr/>
                <a:graphic xmlns:a="http://schemas.openxmlformats.org/drawingml/2006/main">
                  <a:graphicData uri="http://schemas.microsoft.com/office/word/2010/wordprocessingGroup">
                    <wpg:wgp>
                      <wpg:cNvGrpSpPr/>
                      <wpg:grpSpPr>
                        <a:xfrm>
                          <a:off x="0" y="0"/>
                          <a:ext cx="3738902" cy="6262854"/>
                          <a:chOff x="0" y="0"/>
                          <a:chExt cx="3738902" cy="6262854"/>
                        </a:xfrm>
                      </wpg:grpSpPr>
                      <wps:wsp>
                        <wps:cNvPr id="23836" name="Rectangle 23836"/>
                        <wps:cNvSpPr/>
                        <wps:spPr>
                          <a:xfrm rot="-10799999">
                            <a:off x="1703244" y="-62190"/>
                            <a:ext cx="89184" cy="250646"/>
                          </a:xfrm>
                          <a:prstGeom prst="rect">
                            <a:avLst/>
                          </a:prstGeom>
                          <a:ln>
                            <a:noFill/>
                          </a:ln>
                        </wps:spPr>
                        <wps:txbx>
                          <w:txbxContent>
                            <w:p w14:paraId="416180EA" w14:textId="77777777" w:rsidR="00B32EF2" w:rsidRDefault="00000000">
                              <w:r>
                                <w:rPr>
                                  <w:rFonts w:ascii="Times New Roman" w:eastAsia="Times New Roman" w:hAnsi="Times New Roman" w:cs="Times New Roman"/>
                                </w:rPr>
                                <w:t>8</w:t>
                              </w:r>
                            </w:p>
                          </w:txbxContent>
                        </wps:txbx>
                        <wps:bodyPr horzOverflow="overflow" vert="horz" lIns="0" tIns="0" rIns="0" bIns="0" rtlCol="0">
                          <a:noAutofit/>
                        </wps:bodyPr>
                      </wps:wsp>
                      <wps:wsp>
                        <wps:cNvPr id="23837" name="Rectangle 23837"/>
                        <wps:cNvSpPr/>
                        <wps:spPr>
                          <a:xfrm rot="-10799999">
                            <a:off x="247741" y="6119964"/>
                            <a:ext cx="3491162" cy="142890"/>
                          </a:xfrm>
                          <a:prstGeom prst="rect">
                            <a:avLst/>
                          </a:prstGeom>
                          <a:ln>
                            <a:noFill/>
                          </a:ln>
                        </wps:spPr>
                        <wps:txbx>
                          <w:txbxContent>
                            <w:p w14:paraId="6764EF43" w14:textId="77777777" w:rsidR="00B32EF2" w:rsidRDefault="00000000">
                              <w:r>
                                <w:rPr>
                                  <w:rFonts w:ascii="Arial" w:eastAsia="Arial" w:hAnsi="Arial" w:cs="Arial"/>
                                  <w:sz w:val="18"/>
                                </w:rPr>
                                <w:t>Art. 19 - Trattamento economico dei giudici tributari</w:t>
                              </w:r>
                            </w:p>
                          </w:txbxContent>
                        </wps:txbx>
                        <wps:bodyPr horzOverflow="overflow" vert="horz" lIns="0" tIns="0" rIns="0" bIns="0" rtlCol="0">
                          <a:noAutofit/>
                        </wps:bodyPr>
                      </wps:wsp>
                      <wps:wsp>
                        <wps:cNvPr id="23838" name="Rectangle 23838"/>
                        <wps:cNvSpPr/>
                        <wps:spPr>
                          <a:xfrm rot="-10799999">
                            <a:off x="12081" y="5948515"/>
                            <a:ext cx="3726823" cy="142889"/>
                          </a:xfrm>
                          <a:prstGeom prst="rect">
                            <a:avLst/>
                          </a:prstGeom>
                          <a:ln>
                            <a:noFill/>
                          </a:ln>
                        </wps:spPr>
                        <wps:txbx>
                          <w:txbxContent>
                            <w:p w14:paraId="6113B626" w14:textId="77777777" w:rsidR="00B32EF2" w:rsidRDefault="00000000">
                              <w:r>
                                <w:rPr>
                                  <w:rFonts w:ascii="Arial" w:eastAsia="Arial" w:hAnsi="Arial" w:cs="Arial"/>
                                  <w:sz w:val="18"/>
                                </w:rPr>
                                <w:t>Art. 20 - Trattamento economico dei magistrati tributari</w:t>
                              </w:r>
                            </w:p>
                          </w:txbxContent>
                        </wps:txbx>
                        <wps:bodyPr horzOverflow="overflow" vert="horz" lIns="0" tIns="0" rIns="0" bIns="0" rtlCol="0">
                          <a:noAutofit/>
                        </wps:bodyPr>
                      </wps:wsp>
                      <wps:wsp>
                        <wps:cNvPr id="23839" name="Rectangle 23839"/>
                        <wps:cNvSpPr/>
                        <wps:spPr>
                          <a:xfrm rot="-10799999">
                            <a:off x="2136743" y="5777065"/>
                            <a:ext cx="1602159" cy="142889"/>
                          </a:xfrm>
                          <a:prstGeom prst="rect">
                            <a:avLst/>
                          </a:prstGeom>
                          <a:ln>
                            <a:noFill/>
                          </a:ln>
                        </wps:spPr>
                        <wps:txbx>
                          <w:txbxContent>
                            <w:p w14:paraId="45E53C5E" w14:textId="77777777" w:rsidR="00B32EF2" w:rsidRDefault="00000000">
                              <w:r>
                                <w:rPr>
                                  <w:rFonts w:ascii="Arial" w:eastAsia="Arial" w:hAnsi="Arial" w:cs="Arial"/>
                                  <w:sz w:val="18"/>
                                </w:rPr>
                                <w:t>Art. 21 - Responsabilità</w:t>
                              </w:r>
                            </w:p>
                          </w:txbxContent>
                        </wps:txbx>
                        <wps:bodyPr horzOverflow="overflow" vert="horz" lIns="0" tIns="0" rIns="0" bIns="0" rtlCol="0">
                          <a:noAutofit/>
                        </wps:bodyPr>
                      </wps:wsp>
                      <wps:wsp>
                        <wps:cNvPr id="23840" name="Rectangle 23840"/>
                        <wps:cNvSpPr/>
                        <wps:spPr>
                          <a:xfrm rot="-10799999">
                            <a:off x="1015815" y="5605615"/>
                            <a:ext cx="2723086" cy="142889"/>
                          </a:xfrm>
                          <a:prstGeom prst="rect">
                            <a:avLst/>
                          </a:prstGeom>
                          <a:ln>
                            <a:noFill/>
                          </a:ln>
                        </wps:spPr>
                        <wps:txbx>
                          <w:txbxContent>
                            <w:p w14:paraId="536205BD" w14:textId="77777777" w:rsidR="00B32EF2" w:rsidRDefault="00000000">
                              <w:r>
                                <w:rPr>
                                  <w:rFonts w:ascii="Arial" w:eastAsia="Arial" w:hAnsi="Arial" w:cs="Arial"/>
                                  <w:sz w:val="18"/>
                                </w:rPr>
                                <w:t>Art. 22 - Vigilanza e sanzioni disciplinari</w:t>
                              </w:r>
                            </w:p>
                          </w:txbxContent>
                        </wps:txbx>
                        <wps:bodyPr horzOverflow="overflow" vert="horz" lIns="0" tIns="0" rIns="0" bIns="0" rtlCol="0">
                          <a:noAutofit/>
                        </wps:bodyPr>
                      </wps:wsp>
                      <wps:wsp>
                        <wps:cNvPr id="23841" name="Rectangle 23841"/>
                        <wps:cNvSpPr/>
                        <wps:spPr>
                          <a:xfrm rot="-10799999">
                            <a:off x="1380600" y="5434165"/>
                            <a:ext cx="2358302" cy="142889"/>
                          </a:xfrm>
                          <a:prstGeom prst="rect">
                            <a:avLst/>
                          </a:prstGeom>
                          <a:ln>
                            <a:noFill/>
                          </a:ln>
                        </wps:spPr>
                        <wps:txbx>
                          <w:txbxContent>
                            <w:p w14:paraId="2968C4F6" w14:textId="77777777" w:rsidR="00B32EF2" w:rsidRDefault="00000000">
                              <w:r>
                                <w:rPr>
                                  <w:rFonts w:ascii="Arial" w:eastAsia="Arial" w:hAnsi="Arial" w:cs="Arial"/>
                                  <w:sz w:val="18"/>
                                </w:rPr>
                                <w:t>Art. 23 - Procedimento disciplinare</w:t>
                              </w:r>
                            </w:p>
                          </w:txbxContent>
                        </wps:txbx>
                        <wps:bodyPr horzOverflow="overflow" vert="horz" lIns="0" tIns="0" rIns="0" bIns="0" rtlCol="0">
                          <a:noAutofit/>
                        </wps:bodyPr>
                      </wps:wsp>
                      <wps:wsp>
                        <wps:cNvPr id="23842" name="Rectangle 23842"/>
                        <wps:cNvSpPr/>
                        <wps:spPr>
                          <a:xfrm rot="-10799999">
                            <a:off x="-1233837" y="5262715"/>
                            <a:ext cx="4972740" cy="142889"/>
                          </a:xfrm>
                          <a:prstGeom prst="rect">
                            <a:avLst/>
                          </a:prstGeom>
                          <a:ln>
                            <a:noFill/>
                          </a:ln>
                        </wps:spPr>
                        <wps:txbx>
                          <w:txbxContent>
                            <w:p w14:paraId="74C5A79D" w14:textId="77777777" w:rsidR="00B32EF2" w:rsidRDefault="00000000">
                              <w:r>
                                <w:rPr>
                                  <w:rFonts w:ascii="Arial" w:eastAsia="Arial" w:hAnsi="Arial" w:cs="Arial"/>
                                  <w:b/>
                                  <w:sz w:val="18"/>
                                </w:rPr>
                                <w:t>Capo III - Il Consiglio di presidenza della giustizia tributaria  Pag. 31</w:t>
                              </w:r>
                            </w:p>
                          </w:txbxContent>
                        </wps:txbx>
                        <wps:bodyPr horzOverflow="overflow" vert="horz" lIns="0" tIns="0" rIns="0" bIns="0" rtlCol="0">
                          <a:noAutofit/>
                        </wps:bodyPr>
                      </wps:wsp>
                      <wps:wsp>
                        <wps:cNvPr id="23843" name="Rectangle 23843"/>
                        <wps:cNvSpPr/>
                        <wps:spPr>
                          <a:xfrm rot="-10799999">
                            <a:off x="2167968" y="5091265"/>
                            <a:ext cx="1570934" cy="142889"/>
                          </a:xfrm>
                          <a:prstGeom prst="rect">
                            <a:avLst/>
                          </a:prstGeom>
                          <a:ln>
                            <a:noFill/>
                          </a:ln>
                        </wps:spPr>
                        <wps:txbx>
                          <w:txbxContent>
                            <w:p w14:paraId="163C72CB" w14:textId="77777777" w:rsidR="00B32EF2" w:rsidRDefault="00000000">
                              <w:r>
                                <w:rPr>
                                  <w:rFonts w:ascii="Arial" w:eastAsia="Arial" w:hAnsi="Arial" w:cs="Arial"/>
                                  <w:sz w:val="18"/>
                                </w:rPr>
                                <w:t>Art. 24 - Composizione</w:t>
                              </w:r>
                            </w:p>
                          </w:txbxContent>
                        </wps:txbx>
                        <wps:bodyPr horzOverflow="overflow" vert="horz" lIns="0" tIns="0" rIns="0" bIns="0" rtlCol="0">
                          <a:noAutofit/>
                        </wps:bodyPr>
                      </wps:wsp>
                      <wps:wsp>
                        <wps:cNvPr id="23844" name="Rectangle 23844"/>
                        <wps:cNvSpPr/>
                        <wps:spPr>
                          <a:xfrm rot="-10799999">
                            <a:off x="2681412" y="4919815"/>
                            <a:ext cx="1057490" cy="142889"/>
                          </a:xfrm>
                          <a:prstGeom prst="rect">
                            <a:avLst/>
                          </a:prstGeom>
                          <a:ln>
                            <a:noFill/>
                          </a:ln>
                        </wps:spPr>
                        <wps:txbx>
                          <w:txbxContent>
                            <w:p w14:paraId="03218B15" w14:textId="77777777" w:rsidR="00B32EF2" w:rsidRDefault="00000000">
                              <w:r>
                                <w:rPr>
                                  <w:rFonts w:ascii="Arial" w:eastAsia="Arial" w:hAnsi="Arial" w:cs="Arial"/>
                                  <w:sz w:val="18"/>
                                </w:rPr>
                                <w:t>Art. 25 - Durata</w:t>
                              </w:r>
                            </w:p>
                          </w:txbxContent>
                        </wps:txbx>
                        <wps:bodyPr horzOverflow="overflow" vert="horz" lIns="0" tIns="0" rIns="0" bIns="0" rtlCol="0">
                          <a:noAutofit/>
                        </wps:bodyPr>
                      </wps:wsp>
                      <wps:wsp>
                        <wps:cNvPr id="23845" name="Rectangle 23845"/>
                        <wps:cNvSpPr/>
                        <wps:spPr>
                          <a:xfrm rot="-10799999">
                            <a:off x="2283122" y="4748365"/>
                            <a:ext cx="1455780" cy="142889"/>
                          </a:xfrm>
                          <a:prstGeom prst="rect">
                            <a:avLst/>
                          </a:prstGeom>
                          <a:ln>
                            <a:noFill/>
                          </a:ln>
                        </wps:spPr>
                        <wps:txbx>
                          <w:txbxContent>
                            <w:p w14:paraId="383FF282" w14:textId="77777777" w:rsidR="00B32EF2" w:rsidRDefault="00000000">
                              <w:r>
                                <w:rPr>
                                  <w:rFonts w:ascii="Arial" w:eastAsia="Arial" w:hAnsi="Arial" w:cs="Arial"/>
                                  <w:sz w:val="18"/>
                                </w:rPr>
                                <w:t>Art. 26 - Ineleggibilità</w:t>
                              </w:r>
                            </w:p>
                          </w:txbxContent>
                        </wps:txbx>
                        <wps:bodyPr horzOverflow="overflow" vert="horz" lIns="0" tIns="0" rIns="0" bIns="0" rtlCol="0">
                          <a:noAutofit/>
                        </wps:bodyPr>
                      </wps:wsp>
                      <wps:wsp>
                        <wps:cNvPr id="23846" name="Rectangle 23846"/>
                        <wps:cNvSpPr/>
                        <wps:spPr>
                          <a:xfrm rot="-10799999">
                            <a:off x="630357" y="4576915"/>
                            <a:ext cx="3108545" cy="142889"/>
                          </a:xfrm>
                          <a:prstGeom prst="rect">
                            <a:avLst/>
                          </a:prstGeom>
                          <a:ln>
                            <a:noFill/>
                          </a:ln>
                        </wps:spPr>
                        <wps:txbx>
                          <w:txbxContent>
                            <w:p w14:paraId="30F7B917" w14:textId="77777777" w:rsidR="00B32EF2" w:rsidRDefault="00000000">
                              <w:r>
                                <w:rPr>
                                  <w:rFonts w:ascii="Arial" w:eastAsia="Arial" w:hAnsi="Arial" w:cs="Arial"/>
                                  <w:sz w:val="18"/>
                                </w:rPr>
                                <w:t>Art. 27 -  Elezione del Consiglio di presidenza</w:t>
                              </w:r>
                            </w:p>
                          </w:txbxContent>
                        </wps:txbx>
                        <wps:bodyPr horzOverflow="overflow" vert="horz" lIns="0" tIns="0" rIns="0" bIns="0" rtlCol="0">
                          <a:noAutofit/>
                        </wps:bodyPr>
                      </wps:wsp>
                      <wps:wsp>
                        <wps:cNvPr id="23847" name="Rectangle 23847"/>
                        <wps:cNvSpPr/>
                        <wps:spPr>
                          <a:xfrm rot="-10799999">
                            <a:off x="2472553" y="4405465"/>
                            <a:ext cx="1266349" cy="142889"/>
                          </a:xfrm>
                          <a:prstGeom prst="rect">
                            <a:avLst/>
                          </a:prstGeom>
                          <a:ln>
                            <a:noFill/>
                          </a:ln>
                        </wps:spPr>
                        <wps:txbx>
                          <w:txbxContent>
                            <w:p w14:paraId="35BC8B19" w14:textId="77777777" w:rsidR="00B32EF2" w:rsidRDefault="00000000">
                              <w:r>
                                <w:rPr>
                                  <w:rFonts w:ascii="Arial" w:eastAsia="Arial" w:hAnsi="Arial" w:cs="Arial"/>
                                  <w:sz w:val="18"/>
                                </w:rPr>
                                <w:t>Art. 28 -  Votazioni</w:t>
                              </w:r>
                            </w:p>
                          </w:txbxContent>
                        </wps:txbx>
                        <wps:bodyPr horzOverflow="overflow" vert="horz" lIns="0" tIns="0" rIns="0" bIns="0" rtlCol="0">
                          <a:noAutofit/>
                        </wps:bodyPr>
                      </wps:wsp>
                      <wps:wsp>
                        <wps:cNvPr id="23848" name="Rectangle 23848"/>
                        <wps:cNvSpPr/>
                        <wps:spPr>
                          <a:xfrm rot="-10799999">
                            <a:off x="743596" y="4234015"/>
                            <a:ext cx="2995307" cy="142889"/>
                          </a:xfrm>
                          <a:prstGeom prst="rect">
                            <a:avLst/>
                          </a:prstGeom>
                          <a:ln>
                            <a:noFill/>
                          </a:ln>
                        </wps:spPr>
                        <wps:txbx>
                          <w:txbxContent>
                            <w:p w14:paraId="00278222" w14:textId="77777777" w:rsidR="00B32EF2" w:rsidRDefault="00000000">
                              <w:r>
                                <w:rPr>
                                  <w:rFonts w:ascii="Arial" w:eastAsia="Arial" w:hAnsi="Arial" w:cs="Arial"/>
                                  <w:sz w:val="18"/>
                                </w:rPr>
                                <w:t>Art. 29 - Proclamazione degli eletti. Reclami</w:t>
                              </w:r>
                            </w:p>
                          </w:txbxContent>
                        </wps:txbx>
                        <wps:bodyPr horzOverflow="overflow" vert="horz" lIns="0" tIns="0" rIns="0" bIns="0" rtlCol="0">
                          <a:noAutofit/>
                        </wps:bodyPr>
                      </wps:wsp>
                      <wps:wsp>
                        <wps:cNvPr id="23849" name="Rectangle 23849"/>
                        <wps:cNvSpPr/>
                        <wps:spPr>
                          <a:xfrm rot="-10799999">
                            <a:off x="2331161" y="4062565"/>
                            <a:ext cx="1407741" cy="142889"/>
                          </a:xfrm>
                          <a:prstGeom prst="rect">
                            <a:avLst/>
                          </a:prstGeom>
                          <a:ln>
                            <a:noFill/>
                          </a:ln>
                        </wps:spPr>
                        <wps:txbx>
                          <w:txbxContent>
                            <w:p w14:paraId="5D6B2030" w14:textId="77777777" w:rsidR="00B32EF2" w:rsidRDefault="00000000">
                              <w:r>
                                <w:rPr>
                                  <w:rFonts w:ascii="Arial" w:eastAsia="Arial" w:hAnsi="Arial" w:cs="Arial"/>
                                  <w:sz w:val="18"/>
                                </w:rPr>
                                <w:t>Art. 30 -  Attribuzioni</w:t>
                              </w:r>
                            </w:p>
                          </w:txbxContent>
                        </wps:txbx>
                        <wps:bodyPr horzOverflow="overflow" vert="horz" lIns="0" tIns="0" rIns="0" bIns="0" rtlCol="0">
                          <a:noAutofit/>
                        </wps:bodyPr>
                      </wps:wsp>
                      <wps:wsp>
                        <wps:cNvPr id="23850" name="Rectangle 23850"/>
                        <wps:cNvSpPr/>
                        <wps:spPr>
                          <a:xfrm rot="-10799999">
                            <a:off x="931111" y="3891115"/>
                            <a:ext cx="2807791" cy="142889"/>
                          </a:xfrm>
                          <a:prstGeom prst="rect">
                            <a:avLst/>
                          </a:prstGeom>
                          <a:ln>
                            <a:noFill/>
                          </a:ln>
                        </wps:spPr>
                        <wps:txbx>
                          <w:txbxContent>
                            <w:p w14:paraId="3B80AFA9" w14:textId="77777777" w:rsidR="00B32EF2" w:rsidRDefault="00000000">
                              <w:r>
                                <w:rPr>
                                  <w:rFonts w:ascii="Arial" w:eastAsia="Arial" w:hAnsi="Arial" w:cs="Arial"/>
                                  <w:sz w:val="18"/>
                                </w:rPr>
                                <w:t>Art. 31 - Ufficio del massimario nazionale</w:t>
                              </w:r>
                            </w:p>
                          </w:txbxContent>
                        </wps:txbx>
                        <wps:bodyPr horzOverflow="overflow" vert="horz" lIns="0" tIns="0" rIns="0" bIns="0" rtlCol="0">
                          <a:noAutofit/>
                        </wps:bodyPr>
                      </wps:wsp>
                      <wps:wsp>
                        <wps:cNvPr id="23851" name="Rectangle 23851"/>
                        <wps:cNvSpPr/>
                        <wps:spPr>
                          <a:xfrm rot="-10799999">
                            <a:off x="2166873" y="3719665"/>
                            <a:ext cx="1572029" cy="142889"/>
                          </a:xfrm>
                          <a:prstGeom prst="rect">
                            <a:avLst/>
                          </a:prstGeom>
                          <a:ln>
                            <a:noFill/>
                          </a:ln>
                        </wps:spPr>
                        <wps:txbx>
                          <w:txbxContent>
                            <w:p w14:paraId="6AC227C8" w14:textId="77777777" w:rsidR="00B32EF2" w:rsidRDefault="00000000">
                              <w:r>
                                <w:rPr>
                                  <w:rFonts w:ascii="Arial" w:eastAsia="Arial" w:hAnsi="Arial" w:cs="Arial"/>
                                  <w:sz w:val="18"/>
                                </w:rPr>
                                <w:t>Art. 32 - Convocazione</w:t>
                              </w:r>
                            </w:p>
                          </w:txbxContent>
                        </wps:txbx>
                        <wps:bodyPr horzOverflow="overflow" vert="horz" lIns="0" tIns="0" rIns="0" bIns="0" rtlCol="0">
                          <a:noAutofit/>
                        </wps:bodyPr>
                      </wps:wsp>
                      <wps:wsp>
                        <wps:cNvPr id="23852" name="Rectangle 23852"/>
                        <wps:cNvSpPr/>
                        <wps:spPr>
                          <a:xfrm rot="-10799999">
                            <a:off x="2247916" y="3548215"/>
                            <a:ext cx="1490987" cy="142889"/>
                          </a:xfrm>
                          <a:prstGeom prst="rect">
                            <a:avLst/>
                          </a:prstGeom>
                          <a:ln>
                            <a:noFill/>
                          </a:ln>
                        </wps:spPr>
                        <wps:txbx>
                          <w:txbxContent>
                            <w:p w14:paraId="1823F6A8" w14:textId="77777777" w:rsidR="00B32EF2" w:rsidRDefault="00000000">
                              <w:r>
                                <w:rPr>
                                  <w:rFonts w:ascii="Arial" w:eastAsia="Arial" w:hAnsi="Arial" w:cs="Arial"/>
                                  <w:sz w:val="18"/>
                                </w:rPr>
                                <w:t>Art. 33 - Deliberazioni</w:t>
                              </w:r>
                            </w:p>
                          </w:txbxContent>
                        </wps:txbx>
                        <wps:bodyPr horzOverflow="overflow" vert="horz" lIns="0" tIns="0" rIns="0" bIns="0" rtlCol="0">
                          <a:noAutofit/>
                        </wps:bodyPr>
                      </wps:wsp>
                      <wps:wsp>
                        <wps:cNvPr id="23853" name="Rectangle 23853"/>
                        <wps:cNvSpPr/>
                        <wps:spPr>
                          <a:xfrm rot="-10799999">
                            <a:off x="-650159" y="3376765"/>
                            <a:ext cx="4389063" cy="142889"/>
                          </a:xfrm>
                          <a:prstGeom prst="rect">
                            <a:avLst/>
                          </a:prstGeom>
                          <a:ln>
                            <a:noFill/>
                          </a:ln>
                        </wps:spPr>
                        <wps:txbx>
                          <w:txbxContent>
                            <w:p w14:paraId="215BDA25" w14:textId="77777777" w:rsidR="00B32EF2" w:rsidRDefault="00000000">
                              <w:r>
                                <w:rPr>
                                  <w:rFonts w:ascii="Arial" w:eastAsia="Arial" w:hAnsi="Arial" w:cs="Arial"/>
                                  <w:sz w:val="18"/>
                                </w:rPr>
                                <w:t>Art. 34 - Trattamento dei componenti del Consiglio di presidenza</w:t>
                              </w:r>
                            </w:p>
                          </w:txbxContent>
                        </wps:txbx>
                        <wps:bodyPr horzOverflow="overflow" vert="horz" lIns="0" tIns="0" rIns="0" bIns="0" rtlCol="0">
                          <a:noAutofit/>
                        </wps:bodyPr>
                      </wps:wsp>
                      <wps:wsp>
                        <wps:cNvPr id="23854" name="Rectangle 23854"/>
                        <wps:cNvSpPr/>
                        <wps:spPr>
                          <a:xfrm rot="-10799999">
                            <a:off x="376606" y="3205315"/>
                            <a:ext cx="3362296" cy="142889"/>
                          </a:xfrm>
                          <a:prstGeom prst="rect">
                            <a:avLst/>
                          </a:prstGeom>
                          <a:ln>
                            <a:noFill/>
                          </a:ln>
                        </wps:spPr>
                        <wps:txbx>
                          <w:txbxContent>
                            <w:p w14:paraId="4D1A78C9" w14:textId="77777777" w:rsidR="00B32EF2" w:rsidRDefault="00000000">
                              <w:r>
                                <w:rPr>
                                  <w:rFonts w:ascii="Arial" w:eastAsia="Arial" w:hAnsi="Arial" w:cs="Arial"/>
                                  <w:sz w:val="18"/>
                                </w:rPr>
                                <w:t>Art. 35 - Scioglimento del Consiglio di presidenza</w:t>
                              </w:r>
                            </w:p>
                          </w:txbxContent>
                        </wps:txbx>
                        <wps:bodyPr horzOverflow="overflow" vert="horz" lIns="0" tIns="0" rIns="0" bIns="0" rtlCol="0">
                          <a:noAutofit/>
                        </wps:bodyPr>
                      </wps:wsp>
                      <wps:wsp>
                        <wps:cNvPr id="23855" name="Rectangle 23855"/>
                        <wps:cNvSpPr/>
                        <wps:spPr>
                          <a:xfrm rot="-10799999">
                            <a:off x="1961010" y="3033865"/>
                            <a:ext cx="1777893" cy="142889"/>
                          </a:xfrm>
                          <a:prstGeom prst="rect">
                            <a:avLst/>
                          </a:prstGeom>
                          <a:ln>
                            <a:noFill/>
                          </a:ln>
                        </wps:spPr>
                        <wps:txbx>
                          <w:txbxContent>
                            <w:p w14:paraId="75ACA898" w14:textId="77777777" w:rsidR="00B32EF2" w:rsidRDefault="00000000">
                              <w:r>
                                <w:rPr>
                                  <w:rFonts w:ascii="Arial" w:eastAsia="Arial" w:hAnsi="Arial" w:cs="Arial"/>
                                  <w:sz w:val="18"/>
                                </w:rPr>
                                <w:t>Art. 36 - Alta sorveglianza</w:t>
                              </w:r>
                            </w:p>
                          </w:txbxContent>
                        </wps:txbx>
                        <wps:bodyPr horzOverflow="overflow" vert="horz" lIns="0" tIns="0" rIns="0" bIns="0" rtlCol="0">
                          <a:noAutofit/>
                        </wps:bodyPr>
                      </wps:wsp>
                      <wps:wsp>
                        <wps:cNvPr id="23856" name="Rectangle 23856"/>
                        <wps:cNvSpPr/>
                        <wps:spPr>
                          <a:xfrm rot="-10799999">
                            <a:off x="-499418" y="2862415"/>
                            <a:ext cx="4238320" cy="142889"/>
                          </a:xfrm>
                          <a:prstGeom prst="rect">
                            <a:avLst/>
                          </a:prstGeom>
                          <a:ln>
                            <a:noFill/>
                          </a:ln>
                        </wps:spPr>
                        <wps:txbx>
                          <w:txbxContent>
                            <w:p w14:paraId="78139873" w14:textId="77777777" w:rsidR="00B32EF2" w:rsidRDefault="00000000">
                              <w:r>
                                <w:rPr>
                                  <w:rFonts w:ascii="Arial" w:eastAsia="Arial" w:hAnsi="Arial" w:cs="Arial"/>
                                  <w:sz w:val="18"/>
                                </w:rPr>
                                <w:t>Art. 37 - Autonomia contabile del Consiglio di presidenza della</w:t>
                              </w:r>
                            </w:p>
                          </w:txbxContent>
                        </wps:txbx>
                        <wps:bodyPr horzOverflow="overflow" vert="horz" lIns="0" tIns="0" rIns="0" bIns="0" rtlCol="0">
                          <a:noAutofit/>
                        </wps:bodyPr>
                      </wps:wsp>
                      <wps:wsp>
                        <wps:cNvPr id="23857" name="Rectangle 23857"/>
                        <wps:cNvSpPr/>
                        <wps:spPr>
                          <a:xfrm rot="-10799999">
                            <a:off x="2535163" y="2690964"/>
                            <a:ext cx="1204310" cy="142889"/>
                          </a:xfrm>
                          <a:prstGeom prst="rect">
                            <a:avLst/>
                          </a:prstGeom>
                          <a:ln>
                            <a:noFill/>
                          </a:ln>
                        </wps:spPr>
                        <wps:txbx>
                          <w:txbxContent>
                            <w:p w14:paraId="1576995E" w14:textId="77777777" w:rsidR="00B32EF2" w:rsidRDefault="00000000">
                              <w:r>
                                <w:rPr>
                                  <w:rFonts w:ascii="Arial" w:eastAsia="Arial" w:hAnsi="Arial" w:cs="Arial"/>
                                  <w:sz w:val="18"/>
                                </w:rPr>
                                <w:t>giustizia tributaria</w:t>
                              </w:r>
                            </w:p>
                          </w:txbxContent>
                        </wps:txbx>
                        <wps:bodyPr horzOverflow="overflow" vert="horz" lIns="0" tIns="0" rIns="0" bIns="0" rtlCol="0">
                          <a:noAutofit/>
                        </wps:bodyPr>
                      </wps:wsp>
                      <wps:wsp>
                        <wps:cNvPr id="23858" name="Rectangle 23858"/>
                        <wps:cNvSpPr/>
                        <wps:spPr>
                          <a:xfrm rot="-10799999">
                            <a:off x="1438125" y="2519514"/>
                            <a:ext cx="2300777" cy="142889"/>
                          </a:xfrm>
                          <a:prstGeom prst="rect">
                            <a:avLst/>
                          </a:prstGeom>
                          <a:ln>
                            <a:noFill/>
                          </a:ln>
                        </wps:spPr>
                        <wps:txbx>
                          <w:txbxContent>
                            <w:p w14:paraId="014129D7" w14:textId="77777777" w:rsidR="00B32EF2" w:rsidRDefault="00000000">
                              <w:r>
                                <w:rPr>
                                  <w:rFonts w:ascii="Arial" w:eastAsia="Arial" w:hAnsi="Arial" w:cs="Arial"/>
                                  <w:b/>
                                  <w:sz w:val="18"/>
                                </w:rPr>
                                <w:t>Capo IV - Gli uffici di segreteria</w:t>
                              </w:r>
                            </w:p>
                          </w:txbxContent>
                        </wps:txbx>
                        <wps:bodyPr horzOverflow="overflow" vert="horz" lIns="0" tIns="0" rIns="0" bIns="0" rtlCol="0">
                          <a:noAutofit/>
                        </wps:bodyPr>
                      </wps:wsp>
                      <wps:wsp>
                        <wps:cNvPr id="23859" name="Rectangle 23859"/>
                        <wps:cNvSpPr/>
                        <wps:spPr>
                          <a:xfrm rot="-10799999">
                            <a:off x="478664" y="2519514"/>
                            <a:ext cx="1955755" cy="142889"/>
                          </a:xfrm>
                          <a:prstGeom prst="rect">
                            <a:avLst/>
                          </a:prstGeom>
                          <a:ln>
                            <a:noFill/>
                          </a:ln>
                        </wps:spPr>
                        <wps:txbx>
                          <w:txbxContent>
                            <w:p w14:paraId="5296FA60"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860" name="Rectangle 23860"/>
                        <wps:cNvSpPr/>
                        <wps:spPr>
                          <a:xfrm rot="-10799999">
                            <a:off x="3395" y="2519514"/>
                            <a:ext cx="535107" cy="142889"/>
                          </a:xfrm>
                          <a:prstGeom prst="rect">
                            <a:avLst/>
                          </a:prstGeom>
                          <a:ln>
                            <a:noFill/>
                          </a:ln>
                        </wps:spPr>
                        <wps:txbx>
                          <w:txbxContent>
                            <w:p w14:paraId="572210D8" w14:textId="77777777" w:rsidR="00B32EF2" w:rsidRDefault="00000000">
                              <w:r>
                                <w:rPr>
                                  <w:rFonts w:ascii="Arial" w:eastAsia="Arial" w:hAnsi="Arial" w:cs="Arial"/>
                                  <w:b/>
                                  <w:sz w:val="18"/>
                                </w:rPr>
                                <w:t>Pag. 37</w:t>
                              </w:r>
                            </w:p>
                          </w:txbxContent>
                        </wps:txbx>
                        <wps:bodyPr horzOverflow="overflow" vert="horz" lIns="0" tIns="0" rIns="0" bIns="0" rtlCol="0">
                          <a:noAutofit/>
                        </wps:bodyPr>
                      </wps:wsp>
                      <wps:wsp>
                        <wps:cNvPr id="23861" name="Rectangle 23861"/>
                        <wps:cNvSpPr/>
                        <wps:spPr>
                          <a:xfrm rot="-10799999">
                            <a:off x="-66741" y="2348064"/>
                            <a:ext cx="3805643" cy="142889"/>
                          </a:xfrm>
                          <a:prstGeom prst="rect">
                            <a:avLst/>
                          </a:prstGeom>
                          <a:ln>
                            <a:noFill/>
                          </a:ln>
                        </wps:spPr>
                        <wps:txbx>
                          <w:txbxContent>
                            <w:p w14:paraId="34330488" w14:textId="77777777" w:rsidR="00B32EF2" w:rsidRDefault="00000000">
                              <w:r>
                                <w:rPr>
                                  <w:rFonts w:ascii="Arial" w:eastAsia="Arial" w:hAnsi="Arial" w:cs="Arial"/>
                                  <w:sz w:val="18"/>
                                </w:rPr>
                                <w:t>Art. 38 - Ufficio di segreteria del Consiglio di presidenza</w:t>
                              </w:r>
                            </w:p>
                          </w:txbxContent>
                        </wps:txbx>
                        <wps:bodyPr horzOverflow="overflow" vert="horz" lIns="0" tIns="0" rIns="0" bIns="0" rtlCol="0">
                          <a:noAutofit/>
                        </wps:bodyPr>
                      </wps:wsp>
                      <wps:wsp>
                        <wps:cNvPr id="23862" name="Rectangle 23862"/>
                        <wps:cNvSpPr/>
                        <wps:spPr>
                          <a:xfrm rot="-10799999">
                            <a:off x="-461322" y="2176614"/>
                            <a:ext cx="4200224" cy="142889"/>
                          </a:xfrm>
                          <a:prstGeom prst="rect">
                            <a:avLst/>
                          </a:prstGeom>
                          <a:ln>
                            <a:noFill/>
                          </a:ln>
                        </wps:spPr>
                        <wps:txbx>
                          <w:txbxContent>
                            <w:p w14:paraId="047751E3" w14:textId="77777777" w:rsidR="00B32EF2" w:rsidRDefault="00000000">
                              <w:r>
                                <w:rPr>
                                  <w:rFonts w:ascii="Arial" w:eastAsia="Arial" w:hAnsi="Arial" w:cs="Arial"/>
                                  <w:sz w:val="18"/>
                                </w:rPr>
                                <w:t>Art. 39 - Ufficio di segreteria delle corti di giustizia tributaria di</w:t>
                              </w:r>
                            </w:p>
                          </w:txbxContent>
                        </wps:txbx>
                        <wps:bodyPr horzOverflow="overflow" vert="horz" lIns="0" tIns="0" rIns="0" bIns="0" rtlCol="0">
                          <a:noAutofit/>
                        </wps:bodyPr>
                      </wps:wsp>
                      <wps:wsp>
                        <wps:cNvPr id="23863" name="Rectangle 23863"/>
                        <wps:cNvSpPr/>
                        <wps:spPr>
                          <a:xfrm rot="-10799999">
                            <a:off x="2163574" y="2005164"/>
                            <a:ext cx="1575328" cy="142889"/>
                          </a:xfrm>
                          <a:prstGeom prst="rect">
                            <a:avLst/>
                          </a:prstGeom>
                          <a:ln>
                            <a:noFill/>
                          </a:ln>
                        </wps:spPr>
                        <wps:txbx>
                          <w:txbxContent>
                            <w:p w14:paraId="6F03436C" w14:textId="77777777" w:rsidR="00B32EF2" w:rsidRDefault="00000000">
                              <w:r>
                                <w:rPr>
                                  <w:rFonts w:ascii="Arial" w:eastAsia="Arial" w:hAnsi="Arial" w:cs="Arial"/>
                                  <w:sz w:val="18"/>
                                </w:rPr>
                                <w:t>primo e secondo grado</w:t>
                              </w:r>
                            </w:p>
                          </w:txbxContent>
                        </wps:txbx>
                        <wps:bodyPr horzOverflow="overflow" vert="horz" lIns="0" tIns="0" rIns="0" bIns="0" rtlCol="0">
                          <a:noAutofit/>
                        </wps:bodyPr>
                      </wps:wsp>
                      <wps:wsp>
                        <wps:cNvPr id="23864" name="Rectangle 23864"/>
                        <wps:cNvSpPr/>
                        <wps:spPr>
                          <a:xfrm rot="-10799999">
                            <a:off x="-514512" y="1833714"/>
                            <a:ext cx="4253416" cy="142889"/>
                          </a:xfrm>
                          <a:prstGeom prst="rect">
                            <a:avLst/>
                          </a:prstGeom>
                          <a:ln>
                            <a:noFill/>
                          </a:ln>
                        </wps:spPr>
                        <wps:txbx>
                          <w:txbxContent>
                            <w:p w14:paraId="573719C3" w14:textId="77777777" w:rsidR="00B32EF2" w:rsidRDefault="00000000">
                              <w:r>
                                <w:rPr>
                                  <w:rFonts w:ascii="Arial" w:eastAsia="Arial" w:hAnsi="Arial" w:cs="Arial"/>
                                  <w:sz w:val="18"/>
                                </w:rPr>
                                <w:t>Art. 40 - Personale addetto agli uffici di segreteria delle corti di</w:t>
                              </w:r>
                            </w:p>
                          </w:txbxContent>
                        </wps:txbx>
                        <wps:bodyPr horzOverflow="overflow" vert="horz" lIns="0" tIns="0" rIns="0" bIns="0" rtlCol="0">
                          <a:noAutofit/>
                        </wps:bodyPr>
                      </wps:wsp>
                      <wps:wsp>
                        <wps:cNvPr id="23865" name="Rectangle 23865"/>
                        <wps:cNvSpPr/>
                        <wps:spPr>
                          <a:xfrm rot="-10799999">
                            <a:off x="756684" y="1662264"/>
                            <a:ext cx="2982218" cy="142889"/>
                          </a:xfrm>
                          <a:prstGeom prst="rect">
                            <a:avLst/>
                          </a:prstGeom>
                          <a:ln>
                            <a:noFill/>
                          </a:ln>
                        </wps:spPr>
                        <wps:txbx>
                          <w:txbxContent>
                            <w:p w14:paraId="0A14AA62" w14:textId="77777777" w:rsidR="00B32EF2" w:rsidRDefault="00000000">
                              <w:r>
                                <w:rPr>
                                  <w:rFonts w:ascii="Arial" w:eastAsia="Arial" w:hAnsi="Arial" w:cs="Arial"/>
                                  <w:sz w:val="18"/>
                                </w:rPr>
                                <w:t>giustizia tributaria di primo e secondo grado</w:t>
                              </w:r>
                            </w:p>
                          </w:txbxContent>
                        </wps:txbx>
                        <wps:bodyPr horzOverflow="overflow" vert="horz" lIns="0" tIns="0" rIns="0" bIns="0" rtlCol="0">
                          <a:noAutofit/>
                        </wps:bodyPr>
                      </wps:wsp>
                      <wps:wsp>
                        <wps:cNvPr id="23866" name="Rectangle 23866"/>
                        <wps:cNvSpPr/>
                        <wps:spPr>
                          <a:xfrm rot="-10799999">
                            <a:off x="-1048510" y="1490814"/>
                            <a:ext cx="4787413" cy="142889"/>
                          </a:xfrm>
                          <a:prstGeom prst="rect">
                            <a:avLst/>
                          </a:prstGeom>
                          <a:ln>
                            <a:noFill/>
                          </a:ln>
                        </wps:spPr>
                        <wps:txbx>
                          <w:txbxContent>
                            <w:p w14:paraId="057ECCCE" w14:textId="77777777" w:rsidR="00B32EF2" w:rsidRDefault="00000000">
                              <w:r>
                                <w:rPr>
                                  <w:rFonts w:ascii="Arial" w:eastAsia="Arial" w:hAnsi="Arial" w:cs="Arial"/>
                                  <w:sz w:val="18"/>
                                </w:rPr>
                                <w:t>Art. 41 - Trattamento economico del personale degli uffici di segreteria</w:t>
                              </w:r>
                            </w:p>
                          </w:txbxContent>
                        </wps:txbx>
                        <wps:bodyPr horzOverflow="overflow" vert="horz" lIns="0" tIns="0" rIns="0" bIns="0" rtlCol="0">
                          <a:noAutofit/>
                        </wps:bodyPr>
                      </wps:wsp>
                      <wps:wsp>
                        <wps:cNvPr id="23867" name="Rectangle 23867"/>
                        <wps:cNvSpPr/>
                        <wps:spPr>
                          <a:xfrm rot="-10799999">
                            <a:off x="-59019" y="1319364"/>
                            <a:ext cx="3797921" cy="142889"/>
                          </a:xfrm>
                          <a:prstGeom prst="rect">
                            <a:avLst/>
                          </a:prstGeom>
                          <a:ln>
                            <a:noFill/>
                          </a:ln>
                        </wps:spPr>
                        <wps:txbx>
                          <w:txbxContent>
                            <w:p w14:paraId="12D443F6" w14:textId="77777777" w:rsidR="00B32EF2" w:rsidRDefault="00000000">
                              <w:r>
                                <w:rPr>
                                  <w:rFonts w:ascii="Arial" w:eastAsia="Arial" w:hAnsi="Arial" w:cs="Arial"/>
                                  <w:sz w:val="18"/>
                                </w:rPr>
                                <w:t>Art. 42 - Amministrazione del personale delle segreterie</w:t>
                              </w:r>
                            </w:p>
                          </w:txbxContent>
                        </wps:txbx>
                        <wps:bodyPr horzOverflow="overflow" vert="horz" lIns="0" tIns="0" rIns="0" bIns="0" rtlCol="0">
                          <a:noAutofit/>
                        </wps:bodyPr>
                      </wps:wsp>
                      <wps:wsp>
                        <wps:cNvPr id="23868" name="Rectangle 23868"/>
                        <wps:cNvSpPr/>
                        <wps:spPr>
                          <a:xfrm rot="-10799999">
                            <a:off x="310767" y="1147914"/>
                            <a:ext cx="3428135" cy="142889"/>
                          </a:xfrm>
                          <a:prstGeom prst="rect">
                            <a:avLst/>
                          </a:prstGeom>
                          <a:ln>
                            <a:noFill/>
                          </a:ln>
                        </wps:spPr>
                        <wps:txbx>
                          <w:txbxContent>
                            <w:p w14:paraId="54A80461" w14:textId="77777777" w:rsidR="00B32EF2" w:rsidRDefault="00000000">
                              <w:r>
                                <w:rPr>
                                  <w:rFonts w:ascii="Arial" w:eastAsia="Arial" w:hAnsi="Arial" w:cs="Arial"/>
                                  <w:sz w:val="18"/>
                                </w:rPr>
                                <w:t>Art. 43 - Attribuzioni del personale delle segreterie</w:t>
                              </w:r>
                            </w:p>
                          </w:txbxContent>
                        </wps:txbx>
                        <wps:bodyPr horzOverflow="overflow" vert="horz" lIns="0" tIns="0" rIns="0" bIns="0" rtlCol="0">
                          <a:noAutofit/>
                        </wps:bodyPr>
                      </wps:wsp>
                      <wps:wsp>
                        <wps:cNvPr id="23869" name="Rectangle 23869"/>
                        <wps:cNvSpPr/>
                        <wps:spPr>
                          <a:xfrm rot="-10799999">
                            <a:off x="-238325" y="976464"/>
                            <a:ext cx="3977228" cy="142889"/>
                          </a:xfrm>
                          <a:prstGeom prst="rect">
                            <a:avLst/>
                          </a:prstGeom>
                          <a:ln>
                            <a:noFill/>
                          </a:ln>
                        </wps:spPr>
                        <wps:txbx>
                          <w:txbxContent>
                            <w:p w14:paraId="04126640" w14:textId="77777777" w:rsidR="00B32EF2" w:rsidRDefault="00000000">
                              <w:r>
                                <w:rPr>
                                  <w:rFonts w:ascii="Arial" w:eastAsia="Arial" w:hAnsi="Arial" w:cs="Arial"/>
                                  <w:b/>
                                  <w:sz w:val="18"/>
                                </w:rPr>
                                <w:t xml:space="preserve">Capo V - Sezione civile presso la Corte di Cassazione </w:t>
                              </w:r>
                            </w:p>
                          </w:txbxContent>
                        </wps:txbx>
                        <wps:bodyPr horzOverflow="overflow" vert="horz" lIns="0" tIns="0" rIns="0" bIns="0" rtlCol="0">
                          <a:noAutofit/>
                        </wps:bodyPr>
                      </wps:wsp>
                      <wps:wsp>
                        <wps:cNvPr id="23870" name="Rectangle 23870"/>
                        <wps:cNvSpPr/>
                        <wps:spPr>
                          <a:xfrm rot="-10799999">
                            <a:off x="1068" y="976464"/>
                            <a:ext cx="537205" cy="142889"/>
                          </a:xfrm>
                          <a:prstGeom prst="rect">
                            <a:avLst/>
                          </a:prstGeom>
                          <a:ln>
                            <a:noFill/>
                          </a:ln>
                        </wps:spPr>
                        <wps:txbx>
                          <w:txbxContent>
                            <w:p w14:paraId="247ED7EA" w14:textId="77777777" w:rsidR="00B32EF2" w:rsidRDefault="00000000">
                              <w:r>
                                <w:rPr>
                                  <w:rFonts w:ascii="Arial" w:eastAsia="Arial" w:hAnsi="Arial" w:cs="Arial"/>
                                  <w:b/>
                                  <w:sz w:val="18"/>
                                </w:rPr>
                                <w:t>Pag. 39</w:t>
                              </w:r>
                            </w:p>
                          </w:txbxContent>
                        </wps:txbx>
                        <wps:bodyPr horzOverflow="overflow" vert="horz" lIns="0" tIns="0" rIns="0" bIns="0" rtlCol="0">
                          <a:noAutofit/>
                        </wps:bodyPr>
                      </wps:wsp>
                      <wps:wsp>
                        <wps:cNvPr id="23871" name="Rectangle 23871"/>
                        <wps:cNvSpPr/>
                        <wps:spPr>
                          <a:xfrm rot="-10799999">
                            <a:off x="-286378" y="805014"/>
                            <a:ext cx="4025282" cy="142889"/>
                          </a:xfrm>
                          <a:prstGeom prst="rect">
                            <a:avLst/>
                          </a:prstGeom>
                          <a:ln>
                            <a:noFill/>
                          </a:ln>
                        </wps:spPr>
                        <wps:txbx>
                          <w:txbxContent>
                            <w:p w14:paraId="4B4D4267" w14:textId="77777777" w:rsidR="00B32EF2" w:rsidRDefault="00000000">
                              <w:r>
                                <w:rPr>
                                  <w:rFonts w:ascii="Arial" w:eastAsia="Arial" w:hAnsi="Arial" w:cs="Arial"/>
                                  <w:sz w:val="18"/>
                                </w:rPr>
                                <w:t>Art. 44 - Misure per la definizione del contenzioso tributario</w:t>
                              </w:r>
                            </w:p>
                          </w:txbxContent>
                        </wps:txbx>
                        <wps:bodyPr horzOverflow="overflow" vert="horz" lIns="0" tIns="0" rIns="0" bIns="0" rtlCol="0">
                          <a:noAutofit/>
                        </wps:bodyPr>
                      </wps:wsp>
                      <wps:wsp>
                        <wps:cNvPr id="23872" name="Rectangle 23872"/>
                        <wps:cNvSpPr/>
                        <wps:spPr>
                          <a:xfrm rot="-10799999">
                            <a:off x="998303" y="633564"/>
                            <a:ext cx="2740599" cy="142889"/>
                          </a:xfrm>
                          <a:prstGeom prst="rect">
                            <a:avLst/>
                          </a:prstGeom>
                          <a:ln>
                            <a:noFill/>
                          </a:ln>
                        </wps:spPr>
                        <wps:txbx>
                          <w:txbxContent>
                            <w:p w14:paraId="107EB6AB" w14:textId="77777777" w:rsidR="00B32EF2" w:rsidRDefault="00000000">
                              <w:r>
                                <w:rPr>
                                  <w:rFonts w:ascii="Arial" w:eastAsia="Arial" w:hAnsi="Arial" w:cs="Arial"/>
                                  <w:sz w:val="18"/>
                                </w:rPr>
                                <w:t>pendente presso la Corte di Cassazione</w:t>
                              </w:r>
                            </w:p>
                          </w:txbxContent>
                        </wps:txbx>
                        <wps:bodyPr horzOverflow="overflow" vert="horz" lIns="0" tIns="0" rIns="0" bIns="0" rtlCol="0">
                          <a:noAutofit/>
                        </wps:bodyPr>
                      </wps:wsp>
                      <wps:wsp>
                        <wps:cNvPr id="23873" name="Rectangle 23873"/>
                        <wps:cNvSpPr/>
                        <wps:spPr>
                          <a:xfrm rot="-10799999">
                            <a:off x="1126532" y="462114"/>
                            <a:ext cx="2612371" cy="142889"/>
                          </a:xfrm>
                          <a:prstGeom prst="rect">
                            <a:avLst/>
                          </a:prstGeom>
                          <a:ln>
                            <a:noFill/>
                          </a:ln>
                        </wps:spPr>
                        <wps:txbx>
                          <w:txbxContent>
                            <w:p w14:paraId="70AA5E5B" w14:textId="77777777" w:rsidR="00B32EF2" w:rsidRDefault="00000000">
                              <w:r>
                                <w:rPr>
                                  <w:rFonts w:ascii="Arial" w:eastAsia="Arial" w:hAnsi="Arial" w:cs="Arial"/>
                                  <w:b/>
                                  <w:sz w:val="18"/>
                                </w:rPr>
                                <w:t xml:space="preserve">Parte II - Disposizioni sul processo </w:t>
                              </w:r>
                            </w:p>
                          </w:txbxContent>
                        </wps:txbx>
                        <wps:bodyPr horzOverflow="overflow" vert="horz" lIns="0" tIns="0" rIns="0" bIns="0" rtlCol="0">
                          <a:noAutofit/>
                        </wps:bodyPr>
                      </wps:wsp>
                      <wps:wsp>
                        <wps:cNvPr id="23874" name="Rectangle 23874"/>
                        <wps:cNvSpPr/>
                        <wps:spPr>
                          <a:xfrm rot="-10799999">
                            <a:off x="600651" y="462114"/>
                            <a:ext cx="1464156" cy="142889"/>
                          </a:xfrm>
                          <a:prstGeom prst="rect">
                            <a:avLst/>
                          </a:prstGeom>
                          <a:ln>
                            <a:noFill/>
                          </a:ln>
                        </wps:spPr>
                        <wps:txbx>
                          <w:txbxContent>
                            <w:p w14:paraId="47481F47"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875" name="Rectangle 23875"/>
                        <wps:cNvSpPr/>
                        <wps:spPr>
                          <a:xfrm rot="-10799999">
                            <a:off x="1068" y="462114"/>
                            <a:ext cx="537205" cy="142889"/>
                          </a:xfrm>
                          <a:prstGeom prst="rect">
                            <a:avLst/>
                          </a:prstGeom>
                          <a:ln>
                            <a:noFill/>
                          </a:ln>
                        </wps:spPr>
                        <wps:txbx>
                          <w:txbxContent>
                            <w:p w14:paraId="44D34EA3" w14:textId="77777777" w:rsidR="00B32EF2" w:rsidRDefault="00000000">
                              <w:r>
                                <w:rPr>
                                  <w:rFonts w:ascii="Arial" w:eastAsia="Arial" w:hAnsi="Arial" w:cs="Arial"/>
                                  <w:b/>
                                  <w:sz w:val="18"/>
                                </w:rPr>
                                <w:t>Pag. 39</w:t>
                              </w:r>
                            </w:p>
                          </w:txbxContent>
                        </wps:txbx>
                        <wps:bodyPr horzOverflow="overflow" vert="horz" lIns="0" tIns="0" rIns="0" bIns="0" rtlCol="0">
                          <a:noAutofit/>
                        </wps:bodyPr>
                      </wps:wsp>
                    </wpg:wgp>
                  </a:graphicData>
                </a:graphic>
              </wp:inline>
            </w:drawing>
          </mc:Choice>
          <mc:Fallback>
            <w:pict>
              <v:group w14:anchorId="3F175B0A" id="Group 202476" o:spid="_x0000_s7350" style="width:294.4pt;height:493.15pt;mso-position-horizontal-relative:char;mso-position-vertical-relative:line" coordsize="37389,6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KJ3dAcAAAxPAAAOAAAAZHJzL2Uyb0RvYy54bWzkXF2Pm0YUfa/U/4B4dzzfH1a8UdU0UaWq&#10;iZL2B7BevLZkGwtIvOmv7xnA44adtipImUqTBwdjLx7u4Zy598yFl6+ejofsc1k3++q0zukLkmfl&#10;aVM97E+P6/z3394sTJ41bXF6KA7VqVznX8omf3X3/XcvL+dVyapddXgo6wwHOTWry3md79r2vFou&#10;m82uPBbNi+pcnvDhtqqPRYu39ePyoS4uOPrxsGSEqOWlqh/OdbUpmwZ7X/cf5nfd8bfbctO+226b&#10;ss0O6xxja7vXunu9d6/Lu5fF6rEuzrv9ZhhGMWEUx2J/wo/6Q70u2iL7VO+fHeq439RVU23bF5vq&#10;uKy22/2m7M4BZ0PJ6Gze1tWnc3cuj6vL49mHCaEdxWnyYTe/fn5bnz+e39eIxOX8iFh079y5PG3r&#10;o/sfo8yeupB98SErn9psg51cc2MJy7MNPlNMMSNFH9TNDpF/9neb3U//8pfL6w8vvxrO5YwLpLnF&#10;oJkXg4+74lx2oW1WiMH7Ots/rHPGDVd5diqOuFQ/4OIpTo+HMut3dwHqvu3D1awaRO4aq6yucH0t&#10;KNHW/euuhyF2VBPOhMgzRGmhGLXDlXcNo7HU4FMXRCaJEsrF0EeiWJ3rpn1bVsfMbazzGkPrDl98&#10;/qVp+69ev+JGczi511P1Zn849J+6PQjodcBuq326f+rOWhHdYeZ23lcPXxCMXVX/8Q603h6qyzqv&#10;hq3cMR0/7z7Ns8PPJ4DgSHXdqK8b99eNuj38WHXU6wf0w6e22u67Ed9+bRgZ0HWX4DeCWYdh1i7w&#10;bhC4KP47zExoLWiHsqLUWjVw4QozF5ZSNbCFCgbqfGOg5fX8kgEaE1CIz+YaiElAU0ZMj7O0wkja&#10;hbVYeZw1U4bxntAOZ2O/Mc6dgNwolgChbRjnLvDTCU250gJAQpil1pqoEdJUEUYlfttJdxSkvWKl&#10;wmiBKSfAaOyeI92UUGnA4w5pRaQac5ppxolBdhANaS9ZySANiQ0hTechzQ1RBBeR47Tggo45zbg0&#10;/JrTRuG0F61kkEZOFEKazUJ6QRlHRo9Uz0GN4kSPSS2sZtoJSixSG69ayUCN2TQENZ8FNaNKW4Vc&#10;zyFNLGVjUlOpieVDjRWD1MgXh/kpGaQR7RDSvticlHojs6aCQi+ANMop6yZtBPaWfFMitUBhFY/T&#10;XrWSQRp5UwhpX21OQ5oZTtmAtBawZsZICyk1FDQe0l60kkE6bI/1htXkMktxwmU/TQuplR1TmlMC&#10;XxEXWbRp2mtWMkCHDTLhy81plBaaSdnX00IQKZ5RmikFlywi0l6zkkE67JAJX25OQhquibQQCzdL&#10;My5QXX89SzNrJSe4yKJROjmLzNEqNEv7anMS0Cix4Gn3ZqggislnlBakd8WjIe01KxVKS+REAaSx&#10;e45FZgE07YHGoh82x5Q2ANriC9GA9pKVDNBhh0z6WnMapalSRvezNNfUqmeUlpoRFnOW9pqVDNJh&#10;h0z6WnMa0lixtLSfprkUBmsZX0/TFJW0NRGn6X6FNKWVLJceh8Tb15qTkF4oiRwMlEVCxrlWesxp&#10;4Ro5FH47lnpj5kjMIEOrTBBpX2xOQhrgKjJQmhHJx5TmXDHmUvNoQHvNSka8w/6Y9LXmJKAxMWPV&#10;EqmeozTBSseY0hQr1sbGpLTXrGSQBq9C4u2LzUlIL4S1gvarG8woJsacRoltOIvohFqvWckgHTbI&#10;YGPOqbGY5JK6WRicZgq517iFDJ1HAnZoRPX2opUM0mGDTPpqcxKnKRIuyvqGEyaplbSj0G0dC+0m&#10;qKdjpt5etJJBOuyQIW2ew2mhjQKNO0qHgAb2UiMXiJeQec1KBWgVNsiwew7QnNt/4LNT9piGt/V6&#10;lQzKYXcMZvUclBcKLaG9DYqFDfSSjXQb7WVSuZ7RaPWVl6tkgA6bY+i0nwW0UJQP/QeMoqoez9AC&#10;dyAxFq+niKKLcTjBZJAGrwL1FTLmOUijewz9B8MUTQgy8BGn0T0mOUMeGInTqPOvJ5gM0mFzrEdm&#10;cqfJAmm2HLrHqIER+pzT0rUER0Tai1YySIfdsd7Nmoy0lljE6imN5SzGxpRm1jDmPJVolPaalQzQ&#10;YXNM+TpzUiGNGy7dLVi9D+rWq9Af6sTyVkmjAEPGFi8jwwCTU++wO6Z8pTkNamkJ7dewKKeWjznN&#10;tdWWxetAQOtxckCHzTG04s9JyOBwYomys0wodUvUI0Zz3FNJeTzLhGKBLbXMO+yNKV9sTmN0t3DR&#10;uyZW48b3MdBWaxY18faKlcosrcPeGHbPYTQYA6XAqkYIZcnRTxSTzV6tkgE5bI1pX2ZOZLNRXPc4&#10;wwUjY9kWhElmYNZEy7m9WiUDdNga077KnAS0tbhDtl+lVJzD7nTacEu43T2VEk9AiYYzqoHEpmfX&#10;rhkwxrB7lmq7Gyk5LiEIt8Bza8aEZgq32EI04gHtBSsZQod9sdsjfCYRGjfEK3QN/x3OFIkZlRFd&#10;MVh2qRE67IppX2FOwtmnYSE2x07DYNH8T0Dunj2GR651D+EaHg/nnun21/fdY6tuD7G7+xMAAP//&#10;AwBQSwMEFAAGAAgAAAAhANwKijfcAAAABQEAAA8AAABkcnMvZG93bnJldi54bWxMj0FLw0AQhe+C&#10;/2EZwZvdxNISYzalFPVUBFtBvE2TaRKanQ3ZbZL+e0cv9fJgeMN738tWk23VQL1vHBuIZxEo4sKV&#10;DVcGPvevDwkoH5BLbB2TgQt5WOW3NxmmpRv5g4ZdqJSEsE/RQB1Cl2rti5os+pnriMU7ut5ikLOv&#10;dNnjKOG21Y9RtNQWG5aGGjva1FScdmdr4G3EcT2PX4bt6bi5fO8X71/bmIy5v5vWz6ACTeH6DL/4&#10;gg65MB3cmUuvWgMyJPypeIskkRkHA0/Jcg46z/R/+vwHAAD//wMAUEsBAi0AFAAGAAgAAAAhALaD&#10;OJL+AAAA4QEAABMAAAAAAAAAAAAAAAAAAAAAAFtDb250ZW50X1R5cGVzXS54bWxQSwECLQAUAAYA&#10;CAAAACEAOP0h/9YAAACUAQAACwAAAAAAAAAAAAAAAAAvAQAAX3JlbHMvLnJlbHNQSwECLQAUAAYA&#10;CAAAACEAK6iid3QHAAAMTwAADgAAAAAAAAAAAAAAAAAuAgAAZHJzL2Uyb0RvYy54bWxQSwECLQAU&#10;AAYACAAAACEA3AqKN9wAAAAFAQAADwAAAAAAAAAAAAAAAADOCQAAZHJzL2Rvd25yZXYueG1sUEsF&#10;BgAAAAAEAAQA8wAAANcKAAAAAA==&#10;">
                <v:rect id="Rectangle 23836" o:spid="_x0000_s7351" style="position:absolute;left:17032;top:-621;width:892;height:2505;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uGFxgAAAN4AAAAPAAAAZHJzL2Rvd25yZXYueG1sRI9Ba8JA&#10;FITvhf6H5RW81U0VJERXKYqYQy9aBY+P7DOJZt8u2dXE/npXEHocZuYbZrboTSNu1PrasoKvYQKC&#10;uLC65lLB/nf9mYLwAVljY5kU3MnDYv7+NsNM2463dNuFUkQI+wwVVCG4TEpfVGTQD60jjt7JtgZD&#10;lG0pdYtdhJtGjpJkIg3WHBcqdLSsqLjsrkbBccUuX3eyOP0t3c85T5vNdX9QavDRf09BBOrDf/jV&#10;zrWC0TgdT+B5J14BOX8AAAD//wMAUEsBAi0AFAAGAAgAAAAhANvh9svuAAAAhQEAABMAAAAAAAAA&#10;AAAAAAAAAAAAAFtDb250ZW50X1R5cGVzXS54bWxQSwECLQAUAAYACAAAACEAWvQsW78AAAAVAQAA&#10;CwAAAAAAAAAAAAAAAAAfAQAAX3JlbHMvLnJlbHNQSwECLQAUAAYACAAAACEANgbhhcYAAADeAAAA&#10;DwAAAAAAAAAAAAAAAAAHAgAAZHJzL2Rvd25yZXYueG1sUEsFBgAAAAADAAMAtwAAAPoCAAAAAA==&#10;" filled="f" stroked="f">
                  <v:textbox inset="0,0,0,0">
                    <w:txbxContent>
                      <w:p w14:paraId="416180EA" w14:textId="77777777" w:rsidR="00B32EF2" w:rsidRDefault="00000000">
                        <w:r>
                          <w:rPr>
                            <w:rFonts w:ascii="Times New Roman" w:eastAsia="Times New Roman" w:hAnsi="Times New Roman" w:cs="Times New Roman"/>
                          </w:rPr>
                          <w:t>8</w:t>
                        </w:r>
                      </w:p>
                    </w:txbxContent>
                  </v:textbox>
                </v:rect>
                <v:rect id="Rectangle 23837" o:spid="_x0000_s7352" style="position:absolute;left:2477;top:61199;width:349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QexwAAAN4AAAAPAAAAZHJzL2Rvd25yZXYueG1sRI9Pa8JA&#10;FMTvBb/D8oTe6qYKNkRXKRZpDl78Bx4f2WeSNvt2ya4m9dO7QsHjMDO/YebL3jTiSq2vLSt4HyUg&#10;iAuray4VHPbrtxSED8gaG8uk4I88LBeDlzlm2na8pesulCJC2GeooArBZVL6oiKDfmQdcfTOtjUY&#10;omxLqVvsItw0cpwkU2mw5rhQoaNVRcXv7mIUnL7Y5etOFufbym1+8rT5vhyOSr0O+88ZiEB9eIb/&#10;27lWMJ6kkw943IlXQC7uAAAA//8DAFBLAQItABQABgAIAAAAIQDb4fbL7gAAAIUBAAATAAAAAAAA&#10;AAAAAAAAAAAAAABbQ29udGVudF9UeXBlc10ueG1sUEsBAi0AFAAGAAgAAAAhAFr0LFu/AAAAFQEA&#10;AAsAAAAAAAAAAAAAAAAAHwEAAF9yZWxzLy5yZWxzUEsBAi0AFAAGAAgAAAAhAFlKRB7HAAAA3gAA&#10;AA8AAAAAAAAAAAAAAAAABwIAAGRycy9kb3ducmV2LnhtbFBLBQYAAAAAAwADALcAAAD7AgAAAAA=&#10;" filled="f" stroked="f">
                  <v:textbox inset="0,0,0,0">
                    <w:txbxContent>
                      <w:p w14:paraId="6764EF43" w14:textId="77777777" w:rsidR="00B32EF2" w:rsidRDefault="00000000">
                        <w:r>
                          <w:rPr>
                            <w:rFonts w:ascii="Arial" w:eastAsia="Arial" w:hAnsi="Arial" w:cs="Arial"/>
                            <w:sz w:val="18"/>
                          </w:rPr>
                          <w:t>Art. 19 - Trattamento economico dei giudici tributari</w:t>
                        </w:r>
                      </w:p>
                    </w:txbxContent>
                  </v:textbox>
                </v:rect>
                <v:rect id="Rectangle 23838" o:spid="_x0000_s7353" style="position:absolute;left:120;top:59485;width:3726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dBswwAAAN4AAAAPAAAAZHJzL2Rvd25yZXYueG1sRE9Ni8Iw&#10;EL0v+B/CCN7WVIWlVKOIIvbgZV0Fj0MzttVmEppoq79+c1jY4+N9L1a9acSTWl9bVjAZJyCIC6tr&#10;LhWcfnafKQgfkDU2lknBizysloOPBWbadvxNz2MoRQxhn6GCKgSXSemLigz6sXXEkbva1mCIsC2l&#10;brGL4aaR0yT5kgZrjg0VOtpUVNyPD6PgsmWX7zpZXN8bd7jlabN/nM5KjYb9eg4iUB/+xX/uXCuY&#10;ztJZ3BvvxCsgl78AAAD//wMAUEsBAi0AFAAGAAgAAAAhANvh9svuAAAAhQEAABMAAAAAAAAAAAAA&#10;AAAAAAAAAFtDb250ZW50X1R5cGVzXS54bWxQSwECLQAUAAYACAAAACEAWvQsW78AAAAVAQAACwAA&#10;AAAAAAAAAAAAAAAfAQAAX3JlbHMvLnJlbHNQSwECLQAUAAYACAAAACEAKNXQbMMAAADeAAAADwAA&#10;AAAAAAAAAAAAAAAHAgAAZHJzL2Rvd25yZXYueG1sUEsFBgAAAAADAAMAtwAAAPcCAAAAAA==&#10;" filled="f" stroked="f">
                  <v:textbox inset="0,0,0,0">
                    <w:txbxContent>
                      <w:p w14:paraId="6113B626" w14:textId="77777777" w:rsidR="00B32EF2" w:rsidRDefault="00000000">
                        <w:r>
                          <w:rPr>
                            <w:rFonts w:ascii="Arial" w:eastAsia="Arial" w:hAnsi="Arial" w:cs="Arial"/>
                            <w:sz w:val="18"/>
                          </w:rPr>
                          <w:t>Art. 20 - Trattamento economico dei magistrati tributari</w:t>
                        </w:r>
                      </w:p>
                    </w:txbxContent>
                  </v:textbox>
                </v:rect>
                <v:rect id="Rectangle 23839" o:spid="_x0000_s7354" style="position:absolute;left:21367;top:57770;width:1602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XX3xwAAAN4AAAAPAAAAZHJzL2Rvd25yZXYueG1sRI9Pa8JA&#10;FMTvBb/D8oTe6qYKEqOrFIs0By/+A4+P7DNJm327ZFeT+uldodDjMDO/YRar3jTiRq2vLSt4HyUg&#10;iAuray4VHA+btxSED8gaG8uk4Jc8rJaDlwVm2na8o9s+lCJC2GeooArBZVL6oiKDfmQdcfQutjUY&#10;omxLqVvsItw0cpwkU2mw5rhQoaN1RcXP/moUnD/Z5ZtOFpf72m2/87T5uh5PSr0O+485iEB9+A//&#10;tXOtYDxJJzN43olXQC4fAAAA//8DAFBLAQItABQABgAIAAAAIQDb4fbL7gAAAIUBAAATAAAAAAAA&#10;AAAAAAAAAAAAAABbQ29udGVudF9UeXBlc10ueG1sUEsBAi0AFAAGAAgAAAAhAFr0LFu/AAAAFQEA&#10;AAsAAAAAAAAAAAAAAAAAHwEAAF9yZWxzLy5yZWxzUEsBAi0AFAAGAAgAAAAhAEeZdffHAAAA3gAA&#10;AA8AAAAAAAAAAAAAAAAABwIAAGRycy9kb3ducmV2LnhtbFBLBQYAAAAAAwADALcAAAD7AgAAAAA=&#10;" filled="f" stroked="f">
                  <v:textbox inset="0,0,0,0">
                    <w:txbxContent>
                      <w:p w14:paraId="45E53C5E" w14:textId="77777777" w:rsidR="00B32EF2" w:rsidRDefault="00000000">
                        <w:r>
                          <w:rPr>
                            <w:rFonts w:ascii="Arial" w:eastAsia="Arial" w:hAnsi="Arial" w:cs="Arial"/>
                            <w:sz w:val="18"/>
                          </w:rPr>
                          <w:t>Art. 21 - Responsabilità</w:t>
                        </w:r>
                      </w:p>
                    </w:txbxContent>
                  </v:textbox>
                </v:rect>
                <v:rect id="Rectangle 23840" o:spid="_x0000_s7355" style="position:absolute;left:10158;top:56056;width:2723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a8XxQAAAN4AAAAPAAAAZHJzL2Rvd25yZXYueG1sRI/LasJA&#10;FIb3Bd9hOIK7OtGWEqKjiCLNwk29gMtD5phEM2eGzGiiT99ZFLr8+W9882VvGvGg1teWFUzGCQji&#10;wuqaSwXHw/Y9BeEDssbGMil4koflYvA2x0zbjn/osQ+liCPsM1RQheAyKX1RkUE/to44ehfbGgxR&#10;tqXULXZx3DRymiRf0mDN8aFCR+uKitv+bhScN+zybSeLy2vtdtc8bb7vx5NSo2G/moEI1If/8F87&#10;1wqmH+lnBIg4EQXk4hcAAP//AwBQSwECLQAUAAYACAAAACEA2+H2y+4AAACFAQAAEwAAAAAAAAAA&#10;AAAAAAAAAAAAW0NvbnRlbnRfVHlwZXNdLnhtbFBLAQItABQABgAIAAAAIQBa9CxbvwAAABUBAAAL&#10;AAAAAAAAAAAAAAAAAB8BAABfcmVscy8ucmVsc1BLAQItABQABgAIAAAAIQCOpa8XxQAAAN4AAAAP&#10;AAAAAAAAAAAAAAAAAAcCAABkcnMvZG93bnJldi54bWxQSwUGAAAAAAMAAwC3AAAA+QIAAAAA&#10;" filled="f" stroked="f">
                  <v:textbox inset="0,0,0,0">
                    <w:txbxContent>
                      <w:p w14:paraId="536205BD" w14:textId="77777777" w:rsidR="00B32EF2" w:rsidRDefault="00000000">
                        <w:r>
                          <w:rPr>
                            <w:rFonts w:ascii="Arial" w:eastAsia="Arial" w:hAnsi="Arial" w:cs="Arial"/>
                            <w:sz w:val="18"/>
                          </w:rPr>
                          <w:t>Art. 22 - Vigilanza e sanzioni disciplinari</w:t>
                        </w:r>
                      </w:p>
                    </w:txbxContent>
                  </v:textbox>
                </v:rect>
                <v:rect id="Rectangle 23841" o:spid="_x0000_s7356" style="position:absolute;left:13806;top:54341;width:235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QqMxwAAAN4AAAAPAAAAZHJzL2Rvd25yZXYueG1sRI9Pa8JA&#10;FMTvgt9heYI33WilhNRVRJHm0Ev9Az0+ss8kbfbtkl1N7Kd3CwWPw8z8hlmue9OIG7W+tqxgNk1A&#10;EBdW11wqOB33kxSED8gaG8uk4E4e1qvhYImZth1/0u0QShEh7DNUUIXgMil9UZFBP7WOOHoX2xoM&#10;Ubal1C12EW4aOU+SV2mw5rhQoaNtRcXP4WoUfO3Y5ftOFpffrfv4ztPm/Xo6KzUe9Zs3EIH68Az/&#10;t3OtYP6SLmbwdydeAbl6AAAA//8DAFBLAQItABQABgAIAAAAIQDb4fbL7gAAAIUBAAATAAAAAAAA&#10;AAAAAAAAAAAAAABbQ29udGVudF9UeXBlc10ueG1sUEsBAi0AFAAGAAgAAAAhAFr0LFu/AAAAFQEA&#10;AAsAAAAAAAAAAAAAAAAAHwEAAF9yZWxzLy5yZWxzUEsBAi0AFAAGAAgAAAAhAOHpCozHAAAA3gAA&#10;AA8AAAAAAAAAAAAAAAAABwIAAGRycy9kb3ducmV2LnhtbFBLBQYAAAAAAwADALcAAAD7AgAAAAA=&#10;" filled="f" stroked="f">
                  <v:textbox inset="0,0,0,0">
                    <w:txbxContent>
                      <w:p w14:paraId="2968C4F6" w14:textId="77777777" w:rsidR="00B32EF2" w:rsidRDefault="00000000">
                        <w:r>
                          <w:rPr>
                            <w:rFonts w:ascii="Arial" w:eastAsia="Arial" w:hAnsi="Arial" w:cs="Arial"/>
                            <w:sz w:val="18"/>
                          </w:rPr>
                          <w:t>Art. 23 - Procedimento disciplinare</w:t>
                        </w:r>
                      </w:p>
                    </w:txbxContent>
                  </v:textbox>
                </v:rect>
                <v:rect id="Rectangle 23842" o:spid="_x0000_s7357" style="position:absolute;left:-12338;top:52627;width:497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5T7xwAAAN4AAAAPAAAAZHJzL2Rvd25yZXYueG1sRI9Ba8JA&#10;FITvBf/D8gRvdWMqJaSuUhRpDr1oFTw+ss8kbfbtkl1N7K93hUKPw8x8wyxWg2nFlTrfWFYwmyYg&#10;iEurG64UHL62zxkIH5A1tpZJwY08rJajpwXm2va8o+s+VCJC2OeooA7B5VL6siaDfmodcfTOtjMY&#10;ouwqqTvsI9y0Mk2SV2mw4bhQo6N1TeXP/mIUnDbsim0vy/Pv2n1+F1n7cTkclZqMh/c3EIGG8B/+&#10;axdaQfqSzVN43IlXQC7vAAAA//8DAFBLAQItABQABgAIAAAAIQDb4fbL7gAAAIUBAAATAAAAAAAA&#10;AAAAAAAAAAAAAABbQ29udGVudF9UeXBlc10ueG1sUEsBAi0AFAAGAAgAAAAhAFr0LFu/AAAAFQEA&#10;AAsAAAAAAAAAAAAAAAAAHwEAAF9yZWxzLy5yZWxzUEsBAi0AFAAGAAgAAAAhABE7lPvHAAAA3gAA&#10;AA8AAAAAAAAAAAAAAAAABwIAAGRycy9kb3ducmV2LnhtbFBLBQYAAAAAAwADALcAAAD7AgAAAAA=&#10;" filled="f" stroked="f">
                  <v:textbox inset="0,0,0,0">
                    <w:txbxContent>
                      <w:p w14:paraId="74C5A79D" w14:textId="77777777" w:rsidR="00B32EF2" w:rsidRDefault="00000000">
                        <w:r>
                          <w:rPr>
                            <w:rFonts w:ascii="Arial" w:eastAsia="Arial" w:hAnsi="Arial" w:cs="Arial"/>
                            <w:b/>
                            <w:sz w:val="18"/>
                          </w:rPr>
                          <w:t>Capo III - Il Consiglio di presidenza della giustizia tributaria  Pag. 31</w:t>
                        </w:r>
                      </w:p>
                    </w:txbxContent>
                  </v:textbox>
                </v:rect>
                <v:rect id="Rectangle 23843" o:spid="_x0000_s7358" style="position:absolute;left:21679;top:50912;width:157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FgxwAAAN4AAAAPAAAAZHJzL2Rvd25yZXYueG1sRI9Pa8JA&#10;FMTvBb/D8oTe6qYqJURXKRZpDl78Bx4f2WeSNvt2ya4m9dO7QsHjMDO/YebL3jTiSq2vLSt4HyUg&#10;iAuray4VHPbrtxSED8gaG8uk4I88LBeDlzlm2na8pesulCJC2GeooArBZVL6oiKDfmQdcfTOtjUY&#10;omxLqVvsItw0cpwkH9JgzXGhQkeriorf3cUoOH2xy9edLM63ldv85GnzfTkclXod9p8zEIH68Az/&#10;t3OtYDxJpxN43IlXQC7uAAAA//8DAFBLAQItABQABgAIAAAAIQDb4fbL7gAAAIUBAAATAAAAAAAA&#10;AAAAAAAAAAAAAABbQ29udGVudF9UeXBlc10ueG1sUEsBAi0AFAAGAAgAAAAhAFr0LFu/AAAAFQEA&#10;AAsAAAAAAAAAAAAAAAAAHwEAAF9yZWxzLy5yZWxzUEsBAi0AFAAGAAgAAAAhAH53MWDHAAAA3gAA&#10;AA8AAAAAAAAAAAAAAAAABwIAAGRycy9kb3ducmV2LnhtbFBLBQYAAAAAAwADALcAAAD7AgAAAAA=&#10;" filled="f" stroked="f">
                  <v:textbox inset="0,0,0,0">
                    <w:txbxContent>
                      <w:p w14:paraId="163C72CB" w14:textId="77777777" w:rsidR="00B32EF2" w:rsidRDefault="00000000">
                        <w:r>
                          <w:rPr>
                            <w:rFonts w:ascii="Arial" w:eastAsia="Arial" w:hAnsi="Arial" w:cs="Arial"/>
                            <w:sz w:val="18"/>
                          </w:rPr>
                          <w:t>Art. 24 - Composizione</w:t>
                        </w:r>
                      </w:p>
                    </w:txbxContent>
                  </v:textbox>
                </v:rect>
                <v:rect id="Rectangle 23844" o:spid="_x0000_s7359" style="position:absolute;left:26814;top:49198;width:105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qkUxwAAAN4AAAAPAAAAZHJzL2Rvd25yZXYueG1sRI9Ba8JA&#10;FITvBf/D8oTe6qZWJKSuUhQxBy+1Fnp8ZJ9JNPt2ya4m+uvdguBxmJlvmNmiN424UOtrywreRwkI&#10;4sLqmksF+5/1WwrCB2SNjWVScCUPi/ngZYaZth1/02UXShEh7DNUUIXgMil9UZFBP7KOOHoH2xoM&#10;Ubal1C12EW4aOU6SqTRYc1yo0NGyouK0OxsFfyt2+bqTxeG2dNtjnjab8/5Xqddh//UJIlAfnuFH&#10;O9cKxh/pZAL/d+IVkPM7AAAA//8DAFBLAQItABQABgAIAAAAIQDb4fbL7gAAAIUBAAATAAAAAAAA&#10;AAAAAAAAAAAAAABbQ29udGVudF9UeXBlc10ueG1sUEsBAi0AFAAGAAgAAAAhAFr0LFu/AAAAFQEA&#10;AAsAAAAAAAAAAAAAAAAAHwEAAF9yZWxzLy5yZWxzUEsBAi0AFAAGAAgAAAAhAPGeqRTHAAAA3gAA&#10;AA8AAAAAAAAAAAAAAAAABwIAAGRycy9kb3ducmV2LnhtbFBLBQYAAAAAAwADALcAAAD7AgAAAAA=&#10;" filled="f" stroked="f">
                  <v:textbox inset="0,0,0,0">
                    <w:txbxContent>
                      <w:p w14:paraId="03218B15" w14:textId="77777777" w:rsidR="00B32EF2" w:rsidRDefault="00000000">
                        <w:r>
                          <w:rPr>
                            <w:rFonts w:ascii="Arial" w:eastAsia="Arial" w:hAnsi="Arial" w:cs="Arial"/>
                            <w:sz w:val="18"/>
                          </w:rPr>
                          <w:t>Art. 25 - Durata</w:t>
                        </w:r>
                      </w:p>
                    </w:txbxContent>
                  </v:textbox>
                </v:rect>
                <v:rect id="Rectangle 23845" o:spid="_x0000_s7360" style="position:absolute;left:22831;top:47483;width:145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gyPxwAAAN4AAAAPAAAAZHJzL2Rvd25yZXYueG1sRI9Ba8JA&#10;FITvgv9heUJvuqm1JaSuIoo0h160KfT4yD6TtNm3S3Y1qb++KxQ8DjPzDbNcD6YVF+p8Y1nB4ywB&#10;QVxa3XCloPjYT1MQPiBrbC2Tgl/ysF6NR0vMtO35QJdjqESEsM9QQR2Cy6T0ZU0G/cw64uidbGcw&#10;RNlVUnfYR7hp5TxJXqTBhuNCjY62NZU/x7NR8LVjl+97WZ6uW/f+naft27n4VOphMmxeQQQawj38&#10;3861gvlTuniG2514BeTqDwAA//8DAFBLAQItABQABgAIAAAAIQDb4fbL7gAAAIUBAAATAAAAAAAA&#10;AAAAAAAAAAAAAABbQ29udGVudF9UeXBlc10ueG1sUEsBAi0AFAAGAAgAAAAhAFr0LFu/AAAAFQEA&#10;AAsAAAAAAAAAAAAAAAAAHwEAAF9yZWxzLy5yZWxzUEsBAi0AFAAGAAgAAAAhAJ7SDI/HAAAA3gAA&#10;AA8AAAAAAAAAAAAAAAAABwIAAGRycy9kb3ducmV2LnhtbFBLBQYAAAAAAwADALcAAAD7AgAAAAA=&#10;" filled="f" stroked="f">
                  <v:textbox inset="0,0,0,0">
                    <w:txbxContent>
                      <w:p w14:paraId="383FF282" w14:textId="77777777" w:rsidR="00B32EF2" w:rsidRDefault="00000000">
                        <w:r>
                          <w:rPr>
                            <w:rFonts w:ascii="Arial" w:eastAsia="Arial" w:hAnsi="Arial" w:cs="Arial"/>
                            <w:sz w:val="18"/>
                          </w:rPr>
                          <w:t>Art. 26 - Ineleggibilità</w:t>
                        </w:r>
                      </w:p>
                    </w:txbxContent>
                  </v:textbox>
                </v:rect>
                <v:rect id="Rectangle 23846" o:spid="_x0000_s7361" style="position:absolute;left:6303;top:45769;width:310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L4xwAAAN4AAAAPAAAAZHJzL2Rvd25yZXYueG1sRI9Ba8JA&#10;FITvgv9heUJvuqkVCamrFEXMwUuthR4f2WcSzb5dsquJ/vpuoeBxmJlvmMWqN424UetrywpeJwkI&#10;4sLqmksFx6/tOAXhA7LGxjIpuJOH1XI4WGCmbcefdDuEUkQI+wwVVCG4TEpfVGTQT6wjjt7JtgZD&#10;lG0pdYtdhJtGTpNkLg3WHBcqdLSuqLgcrkbBz4Zdvu1kcXqs3f6cp83uevxW6mXUf7yDCNSHZ/i/&#10;nWsF07d0Noe/O/EKyOUvAAAA//8DAFBLAQItABQABgAIAAAAIQDb4fbL7gAAAIUBAAATAAAAAAAA&#10;AAAAAAAAAAAAAABbQ29udGVudF9UeXBlc10ueG1sUEsBAi0AFAAGAAgAAAAhAFr0LFu/AAAAFQEA&#10;AAsAAAAAAAAAAAAAAAAAHwEAAF9yZWxzLy5yZWxzUEsBAi0AFAAGAAgAAAAhAG4AkvjHAAAA3gAA&#10;AA8AAAAAAAAAAAAAAAAABwIAAGRycy9kb3ducmV2LnhtbFBLBQYAAAAAAwADALcAAAD7AgAAAAA=&#10;" filled="f" stroked="f">
                  <v:textbox inset="0,0,0,0">
                    <w:txbxContent>
                      <w:p w14:paraId="30F7B917" w14:textId="77777777" w:rsidR="00B32EF2" w:rsidRDefault="00000000">
                        <w:r>
                          <w:rPr>
                            <w:rFonts w:ascii="Arial" w:eastAsia="Arial" w:hAnsi="Arial" w:cs="Arial"/>
                            <w:sz w:val="18"/>
                          </w:rPr>
                          <w:t>Art. 27 -  Elezione del Consiglio di presidenza</w:t>
                        </w:r>
                      </w:p>
                    </w:txbxContent>
                  </v:textbox>
                </v:rect>
                <v:rect id="Rectangle 23847" o:spid="_x0000_s7362" style="position:absolute;left:24725;top:44054;width:1266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DdjxwAAAN4AAAAPAAAAZHJzL2Rvd25yZXYueG1sRI9Ba8JA&#10;FITvgv9heUJvuqmVNqSuIoo0h160KfT4yD6TtNm3S3Y1qb++KxQ8DjPzDbNcD6YVF+p8Y1nB4ywB&#10;QVxa3XCloPjYT1MQPiBrbC2Tgl/ysF6NR0vMtO35QJdjqESEsM9QQR2Cy6T0ZU0G/cw64uidbGcw&#10;RNlVUnfYR7hp5TxJnqXBhuNCjY62NZU/x7NR8LVjl+97WZ6uW/f+naft27n4VOphMmxeQQQawj38&#10;3861gvlTuniB2514BeTqDwAA//8DAFBLAQItABQABgAIAAAAIQDb4fbL7gAAAIUBAAATAAAAAAAA&#10;AAAAAAAAAAAAAABbQ29udGVudF9UeXBlc10ueG1sUEsBAi0AFAAGAAgAAAAhAFr0LFu/AAAAFQEA&#10;AAsAAAAAAAAAAAAAAAAAHwEAAF9yZWxzLy5yZWxzUEsBAi0AFAAGAAgAAAAhAAFMN2PHAAAA3gAA&#10;AA8AAAAAAAAAAAAAAAAABwIAAGRycy9kb3ducmV2LnhtbFBLBQYAAAAAAwADALcAAAD7AgAAAAA=&#10;" filled="f" stroked="f">
                  <v:textbox inset="0,0,0,0">
                    <w:txbxContent>
                      <w:p w14:paraId="35BC8B19" w14:textId="77777777" w:rsidR="00B32EF2" w:rsidRDefault="00000000">
                        <w:r>
                          <w:rPr>
                            <w:rFonts w:ascii="Arial" w:eastAsia="Arial" w:hAnsi="Arial" w:cs="Arial"/>
                            <w:sz w:val="18"/>
                          </w:rPr>
                          <w:t>Art. 28 -  Votazioni</w:t>
                        </w:r>
                      </w:p>
                    </w:txbxContent>
                  </v:textbox>
                </v:rect>
                <v:rect id="Rectangle 23848" o:spid="_x0000_s7363" style="position:absolute;left:7435;top:42340;width:299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6MRxAAAAN4AAAAPAAAAZHJzL2Rvd25yZXYueG1sRE/LisIw&#10;FN0P+A/hCu7GVGcYSjWKKDJduBkf4PLSXNtqcxOaaKtfP1kMzPJw3vNlbxrxoNbXlhVMxgkI4sLq&#10;mksFx8P2PQXhA7LGxjIpeJKH5WLwNsdM245/6LEPpYgh7DNUUIXgMil9UZFBP7aOOHIX2xoMEbal&#10;1C12Mdw0cpokX9JgzbGhQkfriorb/m4UnDfs8m0ni8tr7XbXPG2+78eTUqNhv5qBCNSHf/GfO9cK&#10;ph/pZ9wb78QrIBe/AAAA//8DAFBLAQItABQABgAIAAAAIQDb4fbL7gAAAIUBAAATAAAAAAAAAAAA&#10;AAAAAAAAAABbQ29udGVudF9UeXBlc10ueG1sUEsBAi0AFAAGAAgAAAAhAFr0LFu/AAAAFQEAAAsA&#10;AAAAAAAAAAAAAAAAHwEAAF9yZWxzLy5yZWxzUEsBAi0AFAAGAAgAAAAhAHDToxHEAAAA3gAAAA8A&#10;AAAAAAAAAAAAAAAABwIAAGRycy9kb3ducmV2LnhtbFBLBQYAAAAAAwADALcAAAD4AgAAAAA=&#10;" filled="f" stroked="f">
                  <v:textbox inset="0,0,0,0">
                    <w:txbxContent>
                      <w:p w14:paraId="00278222" w14:textId="77777777" w:rsidR="00B32EF2" w:rsidRDefault="00000000">
                        <w:r>
                          <w:rPr>
                            <w:rFonts w:ascii="Arial" w:eastAsia="Arial" w:hAnsi="Arial" w:cs="Arial"/>
                            <w:sz w:val="18"/>
                          </w:rPr>
                          <w:t>Art. 29 - Proclamazione degli eletti. Reclami</w:t>
                        </w:r>
                      </w:p>
                    </w:txbxContent>
                  </v:textbox>
                </v:rect>
                <v:rect id="Rectangle 23849" o:spid="_x0000_s7364" style="position:absolute;left:23311;top:40625;width:140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waKxwAAAN4AAAAPAAAAZHJzL2Rvd25yZXYueG1sRI9Ba8JA&#10;FITvgv9heUJvuqmVkqauIoo0h160KfT4yD6TtNm3S3Y1qb++KxQ8DjPzDbNcD6YVF+p8Y1nB4ywB&#10;QVxa3XCloPjYT1MQPiBrbC2Tgl/ysF6NR0vMtO35QJdjqESEsM9QQR2Cy6T0ZU0G/cw64uidbGcw&#10;RNlVUnfYR7hp5TxJnqXBhuNCjY62NZU/x7NR8LVjl+97WZ6uW/f+naft27n4VOphMmxeQQQawj38&#10;3861gvlTuniB2514BeTqDwAA//8DAFBLAQItABQABgAIAAAAIQDb4fbL7gAAAIUBAAATAAAAAAAA&#10;AAAAAAAAAAAAAABbQ29udGVudF9UeXBlc10ueG1sUEsBAi0AFAAGAAgAAAAhAFr0LFu/AAAAFQEA&#10;AAsAAAAAAAAAAAAAAAAAHwEAAF9yZWxzLy5yZWxzUEsBAi0AFAAGAAgAAAAhAB+fBorHAAAA3gAA&#10;AA8AAAAAAAAAAAAAAAAABwIAAGRycy9kb3ducmV2LnhtbFBLBQYAAAAAAwADALcAAAD7AgAAAAA=&#10;" filled="f" stroked="f">
                  <v:textbox inset="0,0,0,0">
                    <w:txbxContent>
                      <w:p w14:paraId="5D6B2030" w14:textId="77777777" w:rsidR="00B32EF2" w:rsidRDefault="00000000">
                        <w:r>
                          <w:rPr>
                            <w:rFonts w:ascii="Arial" w:eastAsia="Arial" w:hAnsi="Arial" w:cs="Arial"/>
                            <w:sz w:val="18"/>
                          </w:rPr>
                          <w:t>Art. 30 -  Attribuzioni</w:t>
                        </w:r>
                      </w:p>
                    </w:txbxContent>
                  </v:textbox>
                </v:rect>
                <v:rect id="Rectangle 23850" o:spid="_x0000_s7365" style="position:absolute;left:9311;top:38911;width:2807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DnKxQAAAN4AAAAPAAAAZHJzL2Rvd25yZXYueG1sRI/LasJA&#10;FIb3Bd9hOIK7OtHSEqKjiCLNwk29gMtD5phEM2eGzGiiT99ZFLr8+W9882VvGvGg1teWFUzGCQji&#10;wuqaSwXHw/Y9BeEDssbGMil4koflYvA2x0zbjn/osQ+liCPsM1RQheAyKX1RkUE/to44ehfbGgxR&#10;tqXULXZx3DRymiRf0mDN8aFCR+uKitv+bhScN+zybSeLy2vtdtc8bb7vx5NSo2G/moEI1If/8F87&#10;1wqmH+lnBIg4EQXk4hcAAP//AwBQSwECLQAUAAYACAAAACEA2+H2y+4AAACFAQAAEwAAAAAAAAAA&#10;AAAAAAAAAAAAW0NvbnRlbnRfVHlwZXNdLnhtbFBLAQItABQABgAIAAAAIQBa9CxbvwAAABUBAAAL&#10;AAAAAAAAAAAAAAAAAB8BAABfcmVscy8ucmVsc1BLAQItABQABgAIAAAAIQALfDnKxQAAAN4AAAAP&#10;AAAAAAAAAAAAAAAAAAcCAABkcnMvZG93bnJldi54bWxQSwUGAAAAAAMAAwC3AAAA+QIAAAAA&#10;" filled="f" stroked="f">
                  <v:textbox inset="0,0,0,0">
                    <w:txbxContent>
                      <w:p w14:paraId="3B80AFA9" w14:textId="77777777" w:rsidR="00B32EF2" w:rsidRDefault="00000000">
                        <w:r>
                          <w:rPr>
                            <w:rFonts w:ascii="Arial" w:eastAsia="Arial" w:hAnsi="Arial" w:cs="Arial"/>
                            <w:sz w:val="18"/>
                          </w:rPr>
                          <w:t>Art. 31 - Ufficio del massimario nazionale</w:t>
                        </w:r>
                      </w:p>
                    </w:txbxContent>
                  </v:textbox>
                </v:rect>
                <v:rect id="Rectangle 23851" o:spid="_x0000_s7366" style="position:absolute;left:21668;top:37196;width:157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xRxwAAAN4AAAAPAAAAZHJzL2Rvd25yZXYueG1sRI9Pa8JA&#10;FMTvgt9heYI33WixhNRVRJHm0Ev9Az0+ss8kbfbtkl1N7Kd3CwWPw8z8hlmue9OIG7W+tqxgNk1A&#10;EBdW11wqOB33kxSED8gaG8uk4E4e1qvhYImZth1/0u0QShEh7DNUUIXgMil9UZFBP7WOOHoX2xoM&#10;Ubal1C12EW4aOU+SV2mw5rhQoaNtRcXP4WoUfO3Y5ftOFpffrfv4ztPm/Xo6KzUe9Zs3EIH68Az/&#10;t3OtYP6SLmbwdydeAbl6AAAA//8DAFBLAQItABQABgAIAAAAIQDb4fbL7gAAAIUBAAATAAAAAAAA&#10;AAAAAAAAAAAAAABbQ29udGVudF9UeXBlc10ueG1sUEsBAi0AFAAGAAgAAAAhAFr0LFu/AAAAFQEA&#10;AAsAAAAAAAAAAAAAAAAAHwEAAF9yZWxzLy5yZWxzUEsBAi0AFAAGAAgAAAAhAGQwnFHHAAAA3gAA&#10;AA8AAAAAAAAAAAAAAAAABwIAAGRycy9kb3ducmV2LnhtbFBLBQYAAAAAAwADALcAAAD7AgAAAAA=&#10;" filled="f" stroked="f">
                  <v:textbox inset="0,0,0,0">
                    <w:txbxContent>
                      <w:p w14:paraId="6AC227C8" w14:textId="77777777" w:rsidR="00B32EF2" w:rsidRDefault="00000000">
                        <w:r>
                          <w:rPr>
                            <w:rFonts w:ascii="Arial" w:eastAsia="Arial" w:hAnsi="Arial" w:cs="Arial"/>
                            <w:sz w:val="18"/>
                          </w:rPr>
                          <w:t>Art. 32 - Convocazione</w:t>
                        </w:r>
                      </w:p>
                    </w:txbxContent>
                  </v:textbox>
                </v:rect>
                <v:rect id="Rectangle 23852" o:spid="_x0000_s7367" style="position:absolute;left:22479;top:35482;width:1491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gImxwAAAN4AAAAPAAAAZHJzL2Rvd25yZXYueG1sRI9Ba8JA&#10;FITvBf/D8gRvdWOKJaSuUhRpDr1oFTw+ss8kbfbtkl1N7K93hUKPw8x8wyxWg2nFlTrfWFYwmyYg&#10;iEurG64UHL62zxkIH5A1tpZJwY08rJajpwXm2va8o+s+VCJC2OeooA7B5VL6siaDfmodcfTOtjMY&#10;ouwqqTvsI9y0Mk2SV2mw4bhQo6N1TeXP/mIUnDbsim0vy/Pv2n1+F1n7cTkclZqMh/c3EIGG8B/+&#10;axdaQfqSzVN43IlXQC7vAAAA//8DAFBLAQItABQABgAIAAAAIQDb4fbL7gAAAIUBAAATAAAAAAAA&#10;AAAAAAAAAAAAAABbQ29udGVudF9UeXBlc10ueG1sUEsBAi0AFAAGAAgAAAAhAFr0LFu/AAAAFQEA&#10;AAsAAAAAAAAAAAAAAAAAHwEAAF9yZWxzLy5yZWxzUEsBAi0AFAAGAAgAAAAhAJTiAibHAAAA3gAA&#10;AA8AAAAAAAAAAAAAAAAABwIAAGRycy9kb3ducmV2LnhtbFBLBQYAAAAAAwADALcAAAD7AgAAAAA=&#10;" filled="f" stroked="f">
                  <v:textbox inset="0,0,0,0">
                    <w:txbxContent>
                      <w:p w14:paraId="1823F6A8" w14:textId="77777777" w:rsidR="00B32EF2" w:rsidRDefault="00000000">
                        <w:r>
                          <w:rPr>
                            <w:rFonts w:ascii="Arial" w:eastAsia="Arial" w:hAnsi="Arial" w:cs="Arial"/>
                            <w:sz w:val="18"/>
                          </w:rPr>
                          <w:t>Art. 33 - Deliberazioni</w:t>
                        </w:r>
                      </w:p>
                    </w:txbxContent>
                  </v:textbox>
                </v:rect>
                <v:rect id="Rectangle 23853" o:spid="_x0000_s7368" style="position:absolute;left:-6501;top:33767;width:4389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e9xwAAAN4AAAAPAAAAZHJzL2Rvd25yZXYueG1sRI9Pa8JA&#10;FMTvBb/D8oTe6qaKJURXKRZpDl78Bx4f2WeSNvt2ya4m9dO7QsHjMDO/YebL3jTiSq2vLSt4HyUg&#10;iAuray4VHPbrtxSED8gaG8uk4I88LBeDlzlm2na8pesulCJC2GeooArBZVL6oiKDfmQdcfTOtjUY&#10;omxLqVvsItw0cpwkH9JgzXGhQkeriorf3cUoOH2xy9edLM63ldv85GnzfTkclXod9p8zEIH68Az/&#10;t3OtYDxJpxN43IlXQC7uAAAA//8DAFBLAQItABQABgAIAAAAIQDb4fbL7gAAAIUBAAATAAAAAAAA&#10;AAAAAAAAAAAAAABbQ29udGVudF9UeXBlc10ueG1sUEsBAi0AFAAGAAgAAAAhAFr0LFu/AAAAFQEA&#10;AAsAAAAAAAAAAAAAAAAAHwEAAF9yZWxzLy5yZWxzUEsBAi0AFAAGAAgAAAAhAPuup73HAAAA3gAA&#10;AA8AAAAAAAAAAAAAAAAABwIAAGRycy9kb3ducmV2LnhtbFBLBQYAAAAAAwADALcAAAD7AgAAAAA=&#10;" filled="f" stroked="f">
                  <v:textbox inset="0,0,0,0">
                    <w:txbxContent>
                      <w:p w14:paraId="215BDA25" w14:textId="77777777" w:rsidR="00B32EF2" w:rsidRDefault="00000000">
                        <w:r>
                          <w:rPr>
                            <w:rFonts w:ascii="Arial" w:eastAsia="Arial" w:hAnsi="Arial" w:cs="Arial"/>
                            <w:sz w:val="18"/>
                          </w:rPr>
                          <w:t>Art. 34 - Trattamento dei componenti del Consiglio di presidenza</w:t>
                        </w:r>
                      </w:p>
                    </w:txbxContent>
                  </v:textbox>
                </v:rect>
                <v:rect id="Rectangle 23854" o:spid="_x0000_s7369" style="position:absolute;left:3766;top:32053;width:336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z/JxwAAAN4AAAAPAAAAZHJzL2Rvd25yZXYueG1sRI9Ba8JA&#10;FITvgv9heUJvuqm1JaSuIoo0h160KfT4yD6TtNm3S3Y1qb++KxQ8DjPzDbNcD6YVF+p8Y1nB4ywB&#10;QVxa3XCloPjYT1MQPiBrbC2Tgl/ysF6NR0vMtO35QJdjqESEsM9QQR2Cy6T0ZU0G/cw64uidbGcw&#10;RNlVUnfYR7hp5TxJXqTBhuNCjY62NZU/x7NR8LVjl+97WZ6uW/f+naft27n4VOphMmxeQQQawj38&#10;3861gvlT+ryA2514BeTqDwAA//8DAFBLAQItABQABgAIAAAAIQDb4fbL7gAAAIUBAAATAAAAAAAA&#10;AAAAAAAAAAAAAABbQ29udGVudF9UeXBlc10ueG1sUEsBAi0AFAAGAAgAAAAhAFr0LFu/AAAAFQEA&#10;AAsAAAAAAAAAAAAAAAAAHwEAAF9yZWxzLy5yZWxzUEsBAi0AFAAGAAgAAAAhAHRHP8nHAAAA3gAA&#10;AA8AAAAAAAAAAAAAAAAABwIAAGRycy9kb3ducmV2LnhtbFBLBQYAAAAAAwADALcAAAD7AgAAAAA=&#10;" filled="f" stroked="f">
                  <v:textbox inset="0,0,0,0">
                    <w:txbxContent>
                      <w:p w14:paraId="4D1A78C9" w14:textId="77777777" w:rsidR="00B32EF2" w:rsidRDefault="00000000">
                        <w:r>
                          <w:rPr>
                            <w:rFonts w:ascii="Arial" w:eastAsia="Arial" w:hAnsi="Arial" w:cs="Arial"/>
                            <w:sz w:val="18"/>
                          </w:rPr>
                          <w:t>Art. 35 - Scioglimento del Consiglio di presidenza</w:t>
                        </w:r>
                      </w:p>
                    </w:txbxContent>
                  </v:textbox>
                </v:rect>
                <v:rect id="Rectangle 23855" o:spid="_x0000_s7370" style="position:absolute;left:19610;top:30338;width:177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5pSxwAAAN4AAAAPAAAAZHJzL2Rvd25yZXYueG1sRI9Ba8JA&#10;FITvBf/D8oTe6qYWJaSuUhQxBy+1Fnp8ZJ9JNPt2ya4m+uvdguBxmJlvmNmiN424UOtrywreRwkI&#10;4sLqmksF+5/1WwrCB2SNjWVScCUPi/ngZYaZth1/02UXShEh7DNUUIXgMil9UZFBP7KOOHoH2xoM&#10;Ubal1C12EW4aOU6SqTRYc1yo0NGyouK0OxsFfyt2+bqTxeG2dNtjnjab8/5Xqddh//UJIlAfnuFH&#10;O9cKxh/pZAL/d+IVkPM7AAAA//8DAFBLAQItABQABgAIAAAAIQDb4fbL7gAAAIUBAAATAAAAAAAA&#10;AAAAAAAAAAAAAABbQ29udGVudF9UeXBlc10ueG1sUEsBAi0AFAAGAAgAAAAhAFr0LFu/AAAAFQEA&#10;AAsAAAAAAAAAAAAAAAAAHwEAAF9yZWxzLy5yZWxzUEsBAi0AFAAGAAgAAAAhABsLmlLHAAAA3gAA&#10;AA8AAAAAAAAAAAAAAAAABwIAAGRycy9kb3ducmV2LnhtbFBLBQYAAAAAAwADALcAAAD7AgAAAAA=&#10;" filled="f" stroked="f">
                  <v:textbox inset="0,0,0,0">
                    <w:txbxContent>
                      <w:p w14:paraId="75ACA898" w14:textId="77777777" w:rsidR="00B32EF2" w:rsidRDefault="00000000">
                        <w:r>
                          <w:rPr>
                            <w:rFonts w:ascii="Arial" w:eastAsia="Arial" w:hAnsi="Arial" w:cs="Arial"/>
                            <w:sz w:val="18"/>
                          </w:rPr>
                          <w:t>Art. 36 - Alta sorveglianza</w:t>
                        </w:r>
                      </w:p>
                    </w:txbxContent>
                  </v:textbox>
                </v:rect>
                <v:rect id="Rectangle 23856" o:spid="_x0000_s7371" style="position:absolute;left:-4994;top:28624;width:4238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QQlxwAAAN4AAAAPAAAAZHJzL2Rvd25yZXYueG1sRI9Ba8JA&#10;FITvgv9heUJvuqlFCamrFEXMwUuthR4f2WcSzb5dsquJ/vpuoeBxmJlvmMWqN424UetrywpeJwkI&#10;4sLqmksFx6/tOAXhA7LGxjIpuJOH1XI4WGCmbcefdDuEUkQI+wwVVCG4TEpfVGTQT6wjjt7JtgZD&#10;lG0pdYtdhJtGTpNkLg3WHBcqdLSuqLgcrkbBz4Zdvu1kcXqs3f6cp83uevxW6mXUf7yDCNSHZ/i/&#10;nWsF07d0Noe/O/EKyOUvAAAA//8DAFBLAQItABQABgAIAAAAIQDb4fbL7gAAAIUBAAATAAAAAAAA&#10;AAAAAAAAAAAAAABbQ29udGVudF9UeXBlc10ueG1sUEsBAi0AFAAGAAgAAAAhAFr0LFu/AAAAFQEA&#10;AAsAAAAAAAAAAAAAAAAAHwEAAF9yZWxzLy5yZWxzUEsBAi0AFAAGAAgAAAAhAOvZBCXHAAAA3gAA&#10;AA8AAAAAAAAAAAAAAAAABwIAAGRycy9kb3ducmV2LnhtbFBLBQYAAAAAAwADALcAAAD7AgAAAAA=&#10;" filled="f" stroked="f">
                  <v:textbox inset="0,0,0,0">
                    <w:txbxContent>
                      <w:p w14:paraId="78139873" w14:textId="77777777" w:rsidR="00B32EF2" w:rsidRDefault="00000000">
                        <w:r>
                          <w:rPr>
                            <w:rFonts w:ascii="Arial" w:eastAsia="Arial" w:hAnsi="Arial" w:cs="Arial"/>
                            <w:sz w:val="18"/>
                          </w:rPr>
                          <w:t>Art. 37 - Autonomia contabile del Consiglio di presidenza della</w:t>
                        </w:r>
                      </w:p>
                    </w:txbxContent>
                  </v:textbox>
                </v:rect>
                <v:rect id="Rectangle 23857" o:spid="_x0000_s7372" style="position:absolute;left:25351;top:26909;width:120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aG+xwAAAN4AAAAPAAAAZHJzL2Rvd25yZXYueG1sRI9Ba8JA&#10;FITvgv9heUJvuqnFNqSuIoo0h160KfT4yD6TtNm3S3Y1qb++KxQ8DjPzDbNcD6YVF+p8Y1nB4ywB&#10;QVxa3XCloPjYT1MQPiBrbC2Tgl/ysF6NR0vMtO35QJdjqESEsM9QQR2Cy6T0ZU0G/cw64uidbGcw&#10;RNlVUnfYR7hp5TxJnqXBhuNCjY62NZU/x7NR8LVjl+97WZ6uW/f+naft27n4VOphMmxeQQQawj38&#10;3861gvlTuniB2514BeTqDwAA//8DAFBLAQItABQABgAIAAAAIQDb4fbL7gAAAIUBAAATAAAAAAAA&#10;AAAAAAAAAAAAAABbQ29udGVudF9UeXBlc10ueG1sUEsBAi0AFAAGAAgAAAAhAFr0LFu/AAAAFQEA&#10;AAsAAAAAAAAAAAAAAAAAHwEAAF9yZWxzLy5yZWxzUEsBAi0AFAAGAAgAAAAhAISVob7HAAAA3gAA&#10;AA8AAAAAAAAAAAAAAAAABwIAAGRycy9kb3ducmV2LnhtbFBLBQYAAAAAAwADALcAAAD7AgAAAAA=&#10;" filled="f" stroked="f">
                  <v:textbox inset="0,0,0,0">
                    <w:txbxContent>
                      <w:p w14:paraId="1576995E" w14:textId="77777777" w:rsidR="00B32EF2" w:rsidRDefault="00000000">
                        <w:r>
                          <w:rPr>
                            <w:rFonts w:ascii="Arial" w:eastAsia="Arial" w:hAnsi="Arial" w:cs="Arial"/>
                            <w:sz w:val="18"/>
                          </w:rPr>
                          <w:t>giustizia tributaria</w:t>
                        </w:r>
                      </w:p>
                    </w:txbxContent>
                  </v:textbox>
                </v:rect>
                <v:rect id="Rectangle 23858" o:spid="_x0000_s7373" style="position:absolute;left:14381;top:25195;width:2300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jXMxAAAAN4AAAAPAAAAZHJzL2Rvd25yZXYueG1sRE/LisIw&#10;FN0P+A/hCu7GVIcZSjWKKDJduBkf4PLSXNtqcxOaaKtfP1kMzPJw3vNlbxrxoNbXlhVMxgkI4sLq&#10;mksFx8P2PQXhA7LGxjIpeJKH5WLwNsdM245/6LEPpYgh7DNUUIXgMil9UZFBP7aOOHIX2xoMEbal&#10;1C12Mdw0cpokX9JgzbGhQkfriorb/m4UnDfs8m0ni8tr7XbXPG2+78eTUqNhv5qBCNSHf/GfO9cK&#10;ph/pZ9wb78QrIBe/AAAA//8DAFBLAQItABQABgAIAAAAIQDb4fbL7gAAAIUBAAATAAAAAAAAAAAA&#10;AAAAAAAAAABbQ29udGVudF9UeXBlc10ueG1sUEsBAi0AFAAGAAgAAAAhAFr0LFu/AAAAFQEAAAsA&#10;AAAAAAAAAAAAAAAAHwEAAF9yZWxzLy5yZWxzUEsBAi0AFAAGAAgAAAAhAPUKNczEAAAA3gAAAA8A&#10;AAAAAAAAAAAAAAAABwIAAGRycy9kb3ducmV2LnhtbFBLBQYAAAAAAwADALcAAAD4AgAAAAA=&#10;" filled="f" stroked="f">
                  <v:textbox inset="0,0,0,0">
                    <w:txbxContent>
                      <w:p w14:paraId="014129D7" w14:textId="77777777" w:rsidR="00B32EF2" w:rsidRDefault="00000000">
                        <w:r>
                          <w:rPr>
                            <w:rFonts w:ascii="Arial" w:eastAsia="Arial" w:hAnsi="Arial" w:cs="Arial"/>
                            <w:b/>
                            <w:sz w:val="18"/>
                          </w:rPr>
                          <w:t>Capo IV - Gli uffici di segreteria</w:t>
                        </w:r>
                      </w:p>
                    </w:txbxContent>
                  </v:textbox>
                </v:rect>
                <v:rect id="Rectangle 23859" o:spid="_x0000_s7374" style="position:absolute;left:4786;top:25195;width:1955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BXxwAAAN4AAAAPAAAAZHJzL2Rvd25yZXYueG1sRI9Ba8JA&#10;FITvgv9heUJvuqnFkqauIoo0h160KfT4yD6TtNm3S3Y1qb++KxQ8DjPzDbNcD6YVF+p8Y1nB4ywB&#10;QVxa3XCloPjYT1MQPiBrbC2Tgl/ysF6NR0vMtO35QJdjqESEsM9QQR2Cy6T0ZU0G/cw64uidbGcw&#10;RNlVUnfYR7hp5TxJnqXBhuNCjY62NZU/x7NR8LVjl+97WZ6uW/f+naft27n4VOphMmxeQQQawj38&#10;3861gvlTuniB2514BeTqDwAA//8DAFBLAQItABQABgAIAAAAIQDb4fbL7gAAAIUBAAATAAAAAAAA&#10;AAAAAAAAAAAAAABbQ29udGVudF9UeXBlc10ueG1sUEsBAi0AFAAGAAgAAAAhAFr0LFu/AAAAFQEA&#10;AAsAAAAAAAAAAAAAAAAAHwEAAF9yZWxzLy5yZWxzUEsBAi0AFAAGAAgAAAAhAJpGkFfHAAAA3gAA&#10;AA8AAAAAAAAAAAAAAAAABwIAAGRycy9kb3ducmV2LnhtbFBLBQYAAAAAAwADALcAAAD7AgAAAAA=&#10;" filled="f" stroked="f">
                  <v:textbox inset="0,0,0,0">
                    <w:txbxContent>
                      <w:p w14:paraId="5296FA60" w14:textId="77777777" w:rsidR="00B32EF2" w:rsidRDefault="00000000">
                        <w:r>
                          <w:rPr>
                            <w:rFonts w:ascii="Arial" w:eastAsia="Arial" w:hAnsi="Arial" w:cs="Arial"/>
                            <w:b/>
                            <w:sz w:val="18"/>
                          </w:rPr>
                          <w:t xml:space="preserve">    </w:t>
                        </w:r>
                      </w:p>
                    </w:txbxContent>
                  </v:textbox>
                </v:rect>
                <v:rect id="Rectangle 23860" o:spid="_x0000_s7375" style="position:absolute;left:33;top:25195;width:53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PN3xAAAAN4AAAAPAAAAZHJzL2Rvd25yZXYueG1sRI/NisIw&#10;FIX3A75DuIK7MVVBSjWKKGIXbsZRcHlprm21uQlNtHWefrIYmOXh/PEt171pxItaX1tWMBknIIgL&#10;q2suFZy/958pCB+QNTaWScGbPKxXg48lZtp2/EWvUyhFHGGfoYIqBJdJ6YuKDPqxdcTRu9nWYIiy&#10;LaVusYvjppHTJJlLgzXHhwodbSsqHqenUXDdscv3nSxuP1t3vOdpc3ieL0qNhv1mASJQH/7Df+1c&#10;K5jO0nkEiDgRBeTqFwAA//8DAFBLAQItABQABgAIAAAAIQDb4fbL7gAAAIUBAAATAAAAAAAAAAAA&#10;AAAAAAAAAABbQ29udGVudF9UeXBlc10ueG1sUEsBAi0AFAAGAAgAAAAhAFr0LFu/AAAAFQEAAAsA&#10;AAAAAAAAAAAAAAAAHwEAAF9yZWxzLy5yZWxzUEsBAi0AFAAGAAgAAAAhAMUQ83fEAAAA3gAAAA8A&#10;AAAAAAAAAAAAAAAABwIAAGRycy9kb3ducmV2LnhtbFBLBQYAAAAAAwADALcAAAD4AgAAAAA=&#10;" filled="f" stroked="f">
                  <v:textbox inset="0,0,0,0">
                    <w:txbxContent>
                      <w:p w14:paraId="572210D8" w14:textId="77777777" w:rsidR="00B32EF2" w:rsidRDefault="00000000">
                        <w:r>
                          <w:rPr>
                            <w:rFonts w:ascii="Arial" w:eastAsia="Arial" w:hAnsi="Arial" w:cs="Arial"/>
                            <w:b/>
                            <w:sz w:val="18"/>
                          </w:rPr>
                          <w:t>Pag. 37</w:t>
                        </w:r>
                      </w:p>
                    </w:txbxContent>
                  </v:textbox>
                </v:rect>
                <v:rect id="Rectangle 23861" o:spid="_x0000_s7376" style="position:absolute;left:-667;top:23480;width:3805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FbsxwAAAN4AAAAPAAAAZHJzL2Rvd25yZXYueG1sRI9Pi8Iw&#10;FMTvC36H8Ba8rakuSKlGWRTZHrysf8Djo3m23W1eQhNt9dNvBMHjMDO/YebL3jTiSq2vLSsYjxIQ&#10;xIXVNZcKDvvNRwrCB2SNjWVScCMPy8XgbY6Zth3/0HUXShEh7DNUUIXgMil9UZFBP7KOOHpn2xoM&#10;Ubal1C12EW4aOUmSqTRYc1yo0NGqouJvdzEKTmt2+aaTxfm+ctvfPG2+L4ejUsP3/msGIlAfXuFn&#10;O9cKJp/pdAyPO/EKyMU/AAAA//8DAFBLAQItABQABgAIAAAAIQDb4fbL7gAAAIUBAAATAAAAAAAA&#10;AAAAAAAAAAAAAABbQ29udGVudF9UeXBlc10ueG1sUEsBAi0AFAAGAAgAAAAhAFr0LFu/AAAAFQEA&#10;AAsAAAAAAAAAAAAAAAAAHwEAAF9yZWxzLy5yZWxzUEsBAi0AFAAGAAgAAAAhAKpcVuzHAAAA3gAA&#10;AA8AAAAAAAAAAAAAAAAABwIAAGRycy9kb3ducmV2LnhtbFBLBQYAAAAAAwADALcAAAD7AgAAAAA=&#10;" filled="f" stroked="f">
                  <v:textbox inset="0,0,0,0">
                    <w:txbxContent>
                      <w:p w14:paraId="34330488" w14:textId="77777777" w:rsidR="00B32EF2" w:rsidRDefault="00000000">
                        <w:r>
                          <w:rPr>
                            <w:rFonts w:ascii="Arial" w:eastAsia="Arial" w:hAnsi="Arial" w:cs="Arial"/>
                            <w:sz w:val="18"/>
                          </w:rPr>
                          <w:t>Art. 38 - Ufficio di segreteria del Consiglio di presidenza</w:t>
                        </w:r>
                      </w:p>
                    </w:txbxContent>
                  </v:textbox>
                </v:rect>
                <v:rect id="Rectangle 23862" o:spid="_x0000_s7377" style="position:absolute;left:-4613;top:21766;width:4200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sibxwAAAN4AAAAPAAAAZHJzL2Rvd25yZXYueG1sRI9Ba8JA&#10;FITvBf/D8oTe6sYUJEQ3QRRpDr3UWujxkX0m0ezbJbuatL++Wyj0OMzMN8ymnEwv7jT4zrKC5SIB&#10;QVxb3XGj4PR+eMpA+ICssbdMCr7IQ1nMHjaYazvyG92PoRERwj5HBW0ILpfS1y0Z9AvriKN3toPB&#10;EOXQSD3gGOGml2mSrKTBjuNCi452LdXX480o+Nyzqw6jrM/fO/d6qbL+5Xb6UOpxPm3XIAJN4T/8&#10;1660gvQ5W6XweydeAVn8AAAA//8DAFBLAQItABQABgAIAAAAIQDb4fbL7gAAAIUBAAATAAAAAAAA&#10;AAAAAAAAAAAAAABbQ29udGVudF9UeXBlc10ueG1sUEsBAi0AFAAGAAgAAAAhAFr0LFu/AAAAFQEA&#10;AAsAAAAAAAAAAAAAAAAAHwEAAF9yZWxzLy5yZWxzUEsBAi0AFAAGAAgAAAAhAFqOyJvHAAAA3gAA&#10;AA8AAAAAAAAAAAAAAAAABwIAAGRycy9kb3ducmV2LnhtbFBLBQYAAAAAAwADALcAAAD7AgAAAAA=&#10;" filled="f" stroked="f">
                  <v:textbox inset="0,0,0,0">
                    <w:txbxContent>
                      <w:p w14:paraId="047751E3" w14:textId="77777777" w:rsidR="00B32EF2" w:rsidRDefault="00000000">
                        <w:r>
                          <w:rPr>
                            <w:rFonts w:ascii="Arial" w:eastAsia="Arial" w:hAnsi="Arial" w:cs="Arial"/>
                            <w:sz w:val="18"/>
                          </w:rPr>
                          <w:t>Art. 39 - Ufficio di segreteria delle corti di giustizia tributaria di</w:t>
                        </w:r>
                      </w:p>
                    </w:txbxContent>
                  </v:textbox>
                </v:rect>
                <v:rect id="Rectangle 23863" o:spid="_x0000_s7378" style="position:absolute;left:21635;top:20051;width:157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m0AxgAAAN4AAAAPAAAAZHJzL2Rvd25yZXYueG1sRI9Ba8JA&#10;FITvhf6H5RW81U0VJERXKYqYQy9aBY+P7DOJZt8u2dXE/npXEHocZuYbZrboTSNu1PrasoKvYQKC&#10;uLC65lLB/nf9mYLwAVljY5kU3MnDYv7+NsNM2463dNuFUkQI+wwVVCG4TEpfVGTQD60jjt7JtgZD&#10;lG0pdYtdhJtGjpJkIg3WHBcqdLSsqLjsrkbBccUuX3eyOP0t3c85T5vNdX9QavDRf09BBOrDf/jV&#10;zrWC0TidjOF5J14BOX8AAAD//wMAUEsBAi0AFAAGAAgAAAAhANvh9svuAAAAhQEAABMAAAAAAAAA&#10;AAAAAAAAAAAAAFtDb250ZW50X1R5cGVzXS54bWxQSwECLQAUAAYACAAAACEAWvQsW78AAAAVAQAA&#10;CwAAAAAAAAAAAAAAAAAfAQAAX3JlbHMvLnJlbHNQSwECLQAUAAYACAAAACEANcJtAMYAAADeAAAA&#10;DwAAAAAAAAAAAAAAAAAHAgAAZHJzL2Rvd25yZXYueG1sUEsFBgAAAAADAAMAtwAAAPoCAAAAAA==&#10;" filled="f" stroked="f">
                  <v:textbox inset="0,0,0,0">
                    <w:txbxContent>
                      <w:p w14:paraId="6F03436C" w14:textId="77777777" w:rsidR="00B32EF2" w:rsidRDefault="00000000">
                        <w:r>
                          <w:rPr>
                            <w:rFonts w:ascii="Arial" w:eastAsia="Arial" w:hAnsi="Arial" w:cs="Arial"/>
                            <w:sz w:val="18"/>
                          </w:rPr>
                          <w:t>primo e secondo grado</w:t>
                        </w:r>
                      </w:p>
                    </w:txbxContent>
                  </v:textbox>
                </v:rect>
                <v:rect id="Rectangle 23864" o:spid="_x0000_s7379" style="position:absolute;left:-5145;top:18337;width:4253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V0xwAAAN4AAAAPAAAAZHJzL2Rvd25yZXYueG1sRI9Ba8JA&#10;FITvgv9heUJvuqkVCamrFEXMwUuthR4f2WcSzb5dsquJ/vpuoeBxmJlvmMWqN424UetrywpeJwkI&#10;4sLqmksFx6/tOAXhA7LGxjIpuJOH1XI4WGCmbcefdDuEUkQI+wwVVCG4TEpfVGTQT6wjjt7JtgZD&#10;lG0pdYtdhJtGTpNkLg3WHBcqdLSuqLgcrkbBz4Zdvu1kcXqs3f6cp83uevxW6mXUf7yDCNSHZ/i/&#10;nWsF07d0PoO/O/EKyOUvAAAA//8DAFBLAQItABQABgAIAAAAIQDb4fbL7gAAAIUBAAATAAAAAAAA&#10;AAAAAAAAAAAAAABbQ29udGVudF9UeXBlc10ueG1sUEsBAi0AFAAGAAgAAAAhAFr0LFu/AAAAFQEA&#10;AAsAAAAAAAAAAAAAAAAAHwEAAF9yZWxzLy5yZWxzUEsBAi0AFAAGAAgAAAAhALor9XTHAAAA3gAA&#10;AA8AAAAAAAAAAAAAAAAABwIAAGRycy9kb3ducmV2LnhtbFBLBQYAAAAAAwADALcAAAD7AgAAAAA=&#10;" filled="f" stroked="f">
                  <v:textbox inset="0,0,0,0">
                    <w:txbxContent>
                      <w:p w14:paraId="573719C3" w14:textId="77777777" w:rsidR="00B32EF2" w:rsidRDefault="00000000">
                        <w:r>
                          <w:rPr>
                            <w:rFonts w:ascii="Arial" w:eastAsia="Arial" w:hAnsi="Arial" w:cs="Arial"/>
                            <w:sz w:val="18"/>
                          </w:rPr>
                          <w:t>Art. 40 - Personale addetto agli uffici di segreteria delle corti di</w:t>
                        </w:r>
                      </w:p>
                    </w:txbxContent>
                  </v:textbox>
                </v:rect>
                <v:rect id="Rectangle 23865" o:spid="_x0000_s7380" style="position:absolute;left:7566;top:16622;width:298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1DvxwAAAN4AAAAPAAAAZHJzL2Rvd25yZXYueG1sRI9Ba8JA&#10;FITvgv9heUJvuqlFCamrFEXMwUuthR4f2WcSzb5dsquJ/vpuoeBxmJlvmMWqN424UetrywpeJwkI&#10;4sLqmksFx6/tOAXhA7LGxjIpuJOH1XI4WGCmbcefdDuEUkQI+wwVVCG4TEpfVGTQT6wjjt7JtgZD&#10;lG0pdYtdhJtGTpNkLg3WHBcqdLSuqLgcrkbBz4Zdvu1kcXqs3f6cp83uevxW6mXUf7yDCNSHZ/i/&#10;nWsF07d0PoO/O/EKyOUvAAAA//8DAFBLAQItABQABgAIAAAAIQDb4fbL7gAAAIUBAAATAAAAAAAA&#10;AAAAAAAAAAAAAABbQ29udGVudF9UeXBlc10ueG1sUEsBAi0AFAAGAAgAAAAhAFr0LFu/AAAAFQEA&#10;AAsAAAAAAAAAAAAAAAAAHwEAAF9yZWxzLy5yZWxzUEsBAi0AFAAGAAgAAAAhANVnUO/HAAAA3gAA&#10;AA8AAAAAAAAAAAAAAAAABwIAAGRycy9kb3ducmV2LnhtbFBLBQYAAAAAAwADALcAAAD7AgAAAAA=&#10;" filled="f" stroked="f">
                  <v:textbox inset="0,0,0,0">
                    <w:txbxContent>
                      <w:p w14:paraId="0A14AA62" w14:textId="77777777" w:rsidR="00B32EF2" w:rsidRDefault="00000000">
                        <w:r>
                          <w:rPr>
                            <w:rFonts w:ascii="Arial" w:eastAsia="Arial" w:hAnsi="Arial" w:cs="Arial"/>
                            <w:sz w:val="18"/>
                          </w:rPr>
                          <w:t>giustizia tributaria di primo e secondo grado</w:t>
                        </w:r>
                      </w:p>
                    </w:txbxContent>
                  </v:textbox>
                </v:rect>
                <v:rect id="Rectangle 23866" o:spid="_x0000_s7381" style="position:absolute;left:-10485;top:14908;width:4787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c6YxwAAAN4AAAAPAAAAZHJzL2Rvd25yZXYueG1sRI9Ba8JA&#10;FITvBf/D8oTe6kYLIUQ3QRRpDr3UWujxkX0m0ezbJbuatL++Wyj0OMzMN8ymnEwv7jT4zrKC5SIB&#10;QVxb3XGj4PR+eMpA+ICssbdMCr7IQ1nMHjaYazvyG92PoRERwj5HBW0ILpfS1y0Z9AvriKN3toPB&#10;EOXQSD3gGOGml6skSaXBjuNCi452LdXX480o+Nyzqw6jrM/fO/d6qbL+5Xb6UOpxPm3XIAJN4T/8&#10;1660gtVzlqbweydeAVn8AAAA//8DAFBLAQItABQABgAIAAAAIQDb4fbL7gAAAIUBAAATAAAAAAAA&#10;AAAAAAAAAAAAAABbQ29udGVudF9UeXBlc10ueG1sUEsBAi0AFAAGAAgAAAAhAFr0LFu/AAAAFQEA&#10;AAsAAAAAAAAAAAAAAAAAHwEAAF9yZWxzLy5yZWxzUEsBAi0AFAAGAAgAAAAhACW1zpjHAAAA3gAA&#10;AA8AAAAAAAAAAAAAAAAABwIAAGRycy9kb3ducmV2LnhtbFBLBQYAAAAAAwADALcAAAD7AgAAAAA=&#10;" filled="f" stroked="f">
                  <v:textbox inset="0,0,0,0">
                    <w:txbxContent>
                      <w:p w14:paraId="057ECCCE" w14:textId="77777777" w:rsidR="00B32EF2" w:rsidRDefault="00000000">
                        <w:r>
                          <w:rPr>
                            <w:rFonts w:ascii="Arial" w:eastAsia="Arial" w:hAnsi="Arial" w:cs="Arial"/>
                            <w:sz w:val="18"/>
                          </w:rPr>
                          <w:t>Art. 41 - Trattamento economico del personale degli uffici di segreteria</w:t>
                        </w:r>
                      </w:p>
                    </w:txbxContent>
                  </v:textbox>
                </v:rect>
                <v:rect id="Rectangle 23867" o:spid="_x0000_s7382" style="position:absolute;left:-590;top:13193;width:379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sDxwAAAN4AAAAPAAAAZHJzL2Rvd25yZXYueG1sRI9Ba8JA&#10;FITvBf/D8oTe6qYWNKSuUhQxBy+1Fnp8ZJ9JNPt2ya4m+uvdguBxmJlvmNmiN424UOtrywreRwkI&#10;4sLqmksF+5/1WwrCB2SNjWVScCUPi/ngZYaZth1/02UXShEh7DNUUIXgMil9UZFBP7KOOHoH2xoM&#10;Ubal1C12EW4aOU6SiTRYc1yo0NGyouK0OxsFfyt2+bqTxeG2dNtjnjab8/5Xqddh//UJIlAfnuFH&#10;O9cKxh/pZAr/d+IVkPM7AAAA//8DAFBLAQItABQABgAIAAAAIQDb4fbL7gAAAIUBAAATAAAAAAAA&#10;AAAAAAAAAAAAAABbQ29udGVudF9UeXBlc10ueG1sUEsBAi0AFAAGAAgAAAAhAFr0LFu/AAAAFQEA&#10;AAsAAAAAAAAAAAAAAAAAHwEAAF9yZWxzLy5yZWxzUEsBAi0AFAAGAAgAAAAhAEr5awPHAAAA3gAA&#10;AA8AAAAAAAAAAAAAAAAABwIAAGRycy9kb3ducmV2LnhtbFBLBQYAAAAAAwADALcAAAD7AgAAAAA=&#10;" filled="f" stroked="f">
                  <v:textbox inset="0,0,0,0">
                    <w:txbxContent>
                      <w:p w14:paraId="12D443F6" w14:textId="77777777" w:rsidR="00B32EF2" w:rsidRDefault="00000000">
                        <w:r>
                          <w:rPr>
                            <w:rFonts w:ascii="Arial" w:eastAsia="Arial" w:hAnsi="Arial" w:cs="Arial"/>
                            <w:sz w:val="18"/>
                          </w:rPr>
                          <w:t>Art. 42 - Amministrazione del personale delle segreterie</w:t>
                        </w:r>
                      </w:p>
                    </w:txbxContent>
                  </v:textbox>
                </v:rect>
                <v:rect id="Rectangle 23868" o:spid="_x0000_s7383" style="position:absolute;left:3107;top:11479;width:3428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v9xwwAAAN4AAAAPAAAAZHJzL2Rvd25yZXYueG1sRE9Ni8Iw&#10;EL0v+B/CCN7WVAUp1SiiiD14WVfB49CMbbWZhCbaur9+c1jY4+N9L9e9acSLWl9bVjAZJyCIC6tr&#10;LhWcv/efKQgfkDU2lknBmzysV4OPJWbadvxFr1MoRQxhn6GCKgSXSemLigz6sXXEkbvZ1mCIsC2l&#10;brGL4aaR0ySZS4M1x4YKHW0rKh6np1Fw3bHL950sbj9bd7znaXN4ni9KjYb9ZgEiUB/+xX/uXCuY&#10;ztJ53BvvxCsgV78AAAD//wMAUEsBAi0AFAAGAAgAAAAhANvh9svuAAAAhQEAABMAAAAAAAAAAAAA&#10;AAAAAAAAAFtDb250ZW50X1R5cGVzXS54bWxQSwECLQAUAAYACAAAACEAWvQsW78AAAAVAQAACwAA&#10;AAAAAAAAAAAAAAAfAQAAX3JlbHMvLnJlbHNQSwECLQAUAAYACAAAACEAO2b/ccMAAADeAAAADwAA&#10;AAAAAAAAAAAAAAAHAgAAZHJzL2Rvd25yZXYueG1sUEsFBgAAAAADAAMAtwAAAPcCAAAAAA==&#10;" filled="f" stroked="f">
                  <v:textbox inset="0,0,0,0">
                    <w:txbxContent>
                      <w:p w14:paraId="54A80461" w14:textId="77777777" w:rsidR="00B32EF2" w:rsidRDefault="00000000">
                        <w:r>
                          <w:rPr>
                            <w:rFonts w:ascii="Arial" w:eastAsia="Arial" w:hAnsi="Arial" w:cs="Arial"/>
                            <w:sz w:val="18"/>
                          </w:rPr>
                          <w:t>Art. 43 - Attribuzioni del personale delle segreterie</w:t>
                        </w:r>
                      </w:p>
                    </w:txbxContent>
                  </v:textbox>
                </v:rect>
                <v:rect id="Rectangle 23869" o:spid="_x0000_s7384" style="position:absolute;left:-2383;top:9764;width:397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rqxwAAAN4AAAAPAAAAZHJzL2Rvd25yZXYueG1sRI9Pa8JA&#10;FMTvgt9heUJvuqkFSVNXKYqYgxf/FHp8ZJ9J2uzbJbuatJ/eFQSPw8z8hpkve9OIK7W+tqzgdZKA&#10;IC6srrlUcDpuxikIH5A1NpZJwR95WC6Ggzlm2na8p+shlCJC2GeooArBZVL6oiKDfmIdcfTOtjUY&#10;omxLqVvsItw0cpokM2mw5rhQoaNVRcXv4WIUfK/Z5ZtOFuf/ldv95GmzvZy+lHoZ9Z8fIAL14Rl+&#10;tHOtYPqWzt7hfideAbm4AQAA//8DAFBLAQItABQABgAIAAAAIQDb4fbL7gAAAIUBAAATAAAAAAAA&#10;AAAAAAAAAAAAAABbQ29udGVudF9UeXBlc10ueG1sUEsBAi0AFAAGAAgAAAAhAFr0LFu/AAAAFQEA&#10;AAsAAAAAAAAAAAAAAAAAHwEAAF9yZWxzLy5yZWxzUEsBAi0AFAAGAAgAAAAhAFQqWurHAAAA3gAA&#10;AA8AAAAAAAAAAAAAAAAABwIAAGRycy9kb3ducmV2LnhtbFBLBQYAAAAAAwADALcAAAD7AgAAAAA=&#10;" filled="f" stroked="f">
                  <v:textbox inset="0,0,0,0">
                    <w:txbxContent>
                      <w:p w14:paraId="04126640" w14:textId="77777777" w:rsidR="00B32EF2" w:rsidRDefault="00000000">
                        <w:r>
                          <w:rPr>
                            <w:rFonts w:ascii="Arial" w:eastAsia="Arial" w:hAnsi="Arial" w:cs="Arial"/>
                            <w:b/>
                            <w:sz w:val="18"/>
                          </w:rPr>
                          <w:t xml:space="preserve">Capo V - Sezione civile presso la Corte di Cassazione </w:t>
                        </w:r>
                      </w:p>
                    </w:txbxContent>
                  </v:textbox>
                </v:rect>
                <v:rect id="Rectangle 23870" o:spid="_x0000_s7385" style="position:absolute;left:10;top:9764;width:53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WWqxQAAAN4AAAAPAAAAZHJzL2Rvd25yZXYueG1sRI/LasJA&#10;FIb3Bd9hOIK7OtFCG6KjiCLNwk29gMtD5phEM2eGzGiiT99ZFLr8+W9882VvGvGg1teWFUzGCQji&#10;wuqaSwXHw/Y9BeEDssbGMil4koflYvA2x0zbjn/osQ+liCPsM1RQheAyKX1RkUE/to44ehfbGgxR&#10;tqXULXZx3DRymiSf0mDN8aFCR+uKitv+bhScN+zybSeLy2vtdtc8bb7vx5NSo2G/moEI1If/8F87&#10;1wqmH+lXBIg4EQXk4hcAAP//AwBQSwECLQAUAAYACAAAACEA2+H2y+4AAACFAQAAEwAAAAAAAAAA&#10;AAAAAAAAAAAAW0NvbnRlbnRfVHlwZXNdLnhtbFBLAQItABQABgAIAAAAIQBa9CxbvwAAABUBAAAL&#10;AAAAAAAAAAAAAAAAAB8BAABfcmVscy8ucmVsc1BLAQItABQABgAIAAAAIQBAyWWqxQAAAN4AAAAP&#10;AAAAAAAAAAAAAAAAAAcCAABkcnMvZG93bnJldi54bWxQSwUGAAAAAAMAAwC3AAAA+QIAAAAA&#10;" filled="f" stroked="f">
                  <v:textbox inset="0,0,0,0">
                    <w:txbxContent>
                      <w:p w14:paraId="247ED7EA" w14:textId="77777777" w:rsidR="00B32EF2" w:rsidRDefault="00000000">
                        <w:r>
                          <w:rPr>
                            <w:rFonts w:ascii="Arial" w:eastAsia="Arial" w:hAnsi="Arial" w:cs="Arial"/>
                            <w:b/>
                            <w:sz w:val="18"/>
                          </w:rPr>
                          <w:t>Pag. 39</w:t>
                        </w:r>
                      </w:p>
                    </w:txbxContent>
                  </v:textbox>
                </v:rect>
                <v:rect id="Rectangle 23871" o:spid="_x0000_s7386" style="position:absolute;left:-2863;top:8050;width:4025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AxxwAAAN4AAAAPAAAAZHJzL2Rvd25yZXYueG1sRI9Pa8JA&#10;FMTvgt9heYI33WjBhtRVRJHm0Ev9Az0+ss8kbfbtkl1N7Kd3CwWPw8z8hlmue9OIG7W+tqxgNk1A&#10;EBdW11wqOB33kxSED8gaG8uk4E4e1qvhYImZth1/0u0QShEh7DNUUIXgMil9UZFBP7WOOHoX2xoM&#10;Ubal1C12EW4aOU+ShTRYc1yo0NG2ouLncDUKvnbs8n0ni8vv1n1852nzfj2dlRqP+s0biEB9eIb/&#10;27lWMH9JX2fwdydeAbl6AAAA//8DAFBLAQItABQABgAIAAAAIQDb4fbL7gAAAIUBAAATAAAAAAAA&#10;AAAAAAAAAAAAAABbQ29udGVudF9UeXBlc10ueG1sUEsBAi0AFAAGAAgAAAAhAFr0LFu/AAAAFQEA&#10;AAsAAAAAAAAAAAAAAAAAHwEAAF9yZWxzLy5yZWxzUEsBAi0AFAAGAAgAAAAhAC+FwDHHAAAA3gAA&#10;AA8AAAAAAAAAAAAAAAAABwIAAGRycy9kb3ducmV2LnhtbFBLBQYAAAAAAwADALcAAAD7AgAAAAA=&#10;" filled="f" stroked="f">
                  <v:textbox inset="0,0,0,0">
                    <w:txbxContent>
                      <w:p w14:paraId="4B4D4267" w14:textId="77777777" w:rsidR="00B32EF2" w:rsidRDefault="00000000">
                        <w:r>
                          <w:rPr>
                            <w:rFonts w:ascii="Arial" w:eastAsia="Arial" w:hAnsi="Arial" w:cs="Arial"/>
                            <w:sz w:val="18"/>
                          </w:rPr>
                          <w:t>Art. 44 - Misure per la definizione del contenzioso tributario</w:t>
                        </w:r>
                      </w:p>
                    </w:txbxContent>
                  </v:textbox>
                </v:rect>
                <v:rect id="Rectangle 23872" o:spid="_x0000_s7387" style="position:absolute;left:9983;top:6335;width:274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15GxwAAAN4AAAAPAAAAZHJzL2Rvd25yZXYueG1sRI9Ba8JA&#10;FITvBf/D8gRvdWMKNqSuUhRpDr1oFTw+ss8kbfbtkl1N7K93hUKPw8x8wyxWg2nFlTrfWFYwmyYg&#10;iEurG64UHL62zxkIH5A1tpZJwY08rJajpwXm2va8o+s+VCJC2OeooA7B5VL6siaDfmodcfTOtjMY&#10;ouwqqTvsI9y0Mk2SuTTYcFyo0dG6pvJnfzEKTht2xbaX5fl37T6/i6z9uByOSk3Gw/sbiEBD+A//&#10;tQutIH3JXlN43IlXQC7vAAAA//8DAFBLAQItABQABgAIAAAAIQDb4fbL7gAAAIUBAAATAAAAAAAA&#10;AAAAAAAAAAAAAABbQ29udGVudF9UeXBlc10ueG1sUEsBAi0AFAAGAAgAAAAhAFr0LFu/AAAAFQEA&#10;AAsAAAAAAAAAAAAAAAAAHwEAAF9yZWxzLy5yZWxzUEsBAi0AFAAGAAgAAAAhAN9XXkbHAAAA3gAA&#10;AA8AAAAAAAAAAAAAAAAABwIAAGRycy9kb3ducmV2LnhtbFBLBQYAAAAAAwADALcAAAD7AgAAAAA=&#10;" filled="f" stroked="f">
                  <v:textbox inset="0,0,0,0">
                    <w:txbxContent>
                      <w:p w14:paraId="107EB6AB" w14:textId="77777777" w:rsidR="00B32EF2" w:rsidRDefault="00000000">
                        <w:r>
                          <w:rPr>
                            <w:rFonts w:ascii="Arial" w:eastAsia="Arial" w:hAnsi="Arial" w:cs="Arial"/>
                            <w:sz w:val="18"/>
                          </w:rPr>
                          <w:t>pendente presso la Corte di Cassazione</w:t>
                        </w:r>
                      </w:p>
                    </w:txbxContent>
                  </v:textbox>
                </v:rect>
                <v:rect id="Rectangle 23873" o:spid="_x0000_s7388" style="position:absolute;left:11265;top:4621;width:261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vdxwAAAN4AAAAPAAAAZHJzL2Rvd25yZXYueG1sRI9Pa8JA&#10;FMTvBb/D8oTe6qYKNkRXKRZpDl78Bx4f2WeSNvt2ya4m9dO7QsHjMDO/YebL3jTiSq2vLSt4HyUg&#10;iAuray4VHPbrtxSED8gaG8uk4I88LBeDlzlm2na8pesulCJC2GeooArBZVL6oiKDfmQdcfTOtjUY&#10;omxLqVvsItw0cpwkU2mw5rhQoaNVRcXv7mIUnL7Y5etOFufbym1+8rT5vhyOSr0O+88ZiEB9eIb/&#10;27lWMJ6kHxN43IlXQC7uAAAA//8DAFBLAQItABQABgAIAAAAIQDb4fbL7gAAAIUBAAATAAAAAAAA&#10;AAAAAAAAAAAAAABbQ29udGVudF9UeXBlc10ueG1sUEsBAi0AFAAGAAgAAAAhAFr0LFu/AAAAFQEA&#10;AAsAAAAAAAAAAAAAAAAAHwEAAF9yZWxzLy5yZWxzUEsBAi0AFAAGAAgAAAAhALAb+93HAAAA3gAA&#10;AA8AAAAAAAAAAAAAAAAABwIAAGRycy9kb3ducmV2LnhtbFBLBQYAAAAAAwADALcAAAD7AgAAAAA=&#10;" filled="f" stroked="f">
                  <v:textbox inset="0,0,0,0">
                    <w:txbxContent>
                      <w:p w14:paraId="70AA5E5B" w14:textId="77777777" w:rsidR="00B32EF2" w:rsidRDefault="00000000">
                        <w:r>
                          <w:rPr>
                            <w:rFonts w:ascii="Arial" w:eastAsia="Arial" w:hAnsi="Arial" w:cs="Arial"/>
                            <w:b/>
                            <w:sz w:val="18"/>
                          </w:rPr>
                          <w:t xml:space="preserve">Parte II - Disposizioni sul processo </w:t>
                        </w:r>
                      </w:p>
                    </w:txbxContent>
                  </v:textbox>
                </v:rect>
                <v:rect id="Rectangle 23874" o:spid="_x0000_s7389" style="position:absolute;left:6006;top:4621;width:1464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OpxwAAAN4AAAAPAAAAZHJzL2Rvd25yZXYueG1sRI9Ba8JA&#10;FITvgv9heUJvuqmVNqSuIoo0h160KfT4yD6TtNm3S3Y1qb++KxQ8DjPzDbNcD6YVF+p8Y1nB4ywB&#10;QVxa3XCloPjYT1MQPiBrbC2Tgl/ysF6NR0vMtO35QJdjqESEsM9QQR2Cy6T0ZU0G/cw64uidbGcw&#10;RNlVUnfYR7hp5TxJnqXBhuNCjY62NZU/x7NR8LVjl+97WZ6uW/f+naft27n4VOphMmxeQQQawj38&#10;3861gvlT+rKA2514BeTqDwAA//8DAFBLAQItABQABgAIAAAAIQDb4fbL7gAAAIUBAAATAAAAAAAA&#10;AAAAAAAAAAAAAABbQ29udGVudF9UeXBlc10ueG1sUEsBAi0AFAAGAAgAAAAhAFr0LFu/AAAAFQEA&#10;AAsAAAAAAAAAAAAAAAAAHwEAAF9yZWxzLy5yZWxzUEsBAi0AFAAGAAgAAAAhAD/yY6nHAAAA3gAA&#10;AA8AAAAAAAAAAAAAAAAABwIAAGRycy9kb3ducmV2LnhtbFBLBQYAAAAAAwADALcAAAD7AgAAAAA=&#10;" filled="f" stroked="f">
                  <v:textbox inset="0,0,0,0">
                    <w:txbxContent>
                      <w:p w14:paraId="47481F47" w14:textId="77777777" w:rsidR="00B32EF2" w:rsidRDefault="00000000">
                        <w:r>
                          <w:rPr>
                            <w:rFonts w:ascii="Arial" w:eastAsia="Arial" w:hAnsi="Arial" w:cs="Arial"/>
                            <w:b/>
                            <w:sz w:val="18"/>
                          </w:rPr>
                          <w:t xml:space="preserve">   </w:t>
                        </w:r>
                      </w:p>
                    </w:txbxContent>
                  </v:textbox>
                </v:rect>
                <v:rect id="Rectangle 23875" o:spid="_x0000_s7390" style="position:absolute;left:10;top:4621;width:537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sYyxwAAAN4AAAAPAAAAZHJzL2Rvd25yZXYueG1sRI9Ba8JA&#10;FITvgv9heUJvuqnFNqSuIoo0h160KfT4yD6TtNm3S3Y1qb++KxQ8DjPzDbNcD6YVF+p8Y1nB4ywB&#10;QVxa3XCloPjYT1MQPiBrbC2Tgl/ysF6NR0vMtO35QJdjqESEsM9QQR2Cy6T0ZU0G/cw64uidbGcw&#10;RNlVUnfYR7hp5TxJnqXBhuNCjY62NZU/x7NR8LVjl+97WZ6uW/f+naft27n4VOphMmxeQQQawj38&#10;3861gvlT+rKA2514BeTqDwAA//8DAFBLAQItABQABgAIAAAAIQDb4fbL7gAAAIUBAAATAAAAAAAA&#10;AAAAAAAAAAAAAABbQ29udGVudF9UeXBlc10ueG1sUEsBAi0AFAAGAAgAAAAhAFr0LFu/AAAAFQEA&#10;AAsAAAAAAAAAAAAAAAAAHwEAAF9yZWxzLy5yZWxzUEsBAi0AFAAGAAgAAAAhAFC+xjLHAAAA3gAA&#10;AA8AAAAAAAAAAAAAAAAABwIAAGRycy9kb3ducmV2LnhtbFBLBQYAAAAAAwADALcAAAD7AgAAAAA=&#10;" filled="f" stroked="f">
                  <v:textbox inset="0,0,0,0">
                    <w:txbxContent>
                      <w:p w14:paraId="44D34EA3" w14:textId="77777777" w:rsidR="00B32EF2" w:rsidRDefault="00000000">
                        <w:r>
                          <w:rPr>
                            <w:rFonts w:ascii="Arial" w:eastAsia="Arial" w:hAnsi="Arial" w:cs="Arial"/>
                            <w:b/>
                            <w:sz w:val="18"/>
                          </w:rPr>
                          <w:t>Pag. 39</w:t>
                        </w:r>
                      </w:p>
                    </w:txbxContent>
                  </v:textbox>
                </v:rect>
                <w10:anchorlock/>
              </v:group>
            </w:pict>
          </mc:Fallback>
        </mc:AlternateContent>
      </w:r>
    </w:p>
    <w:p w14:paraId="611217DA" w14:textId="77777777" w:rsidR="00B32EF2" w:rsidRDefault="00000000">
      <w:pPr>
        <w:spacing w:after="391"/>
        <w:ind w:left="-1440" w:right="7064"/>
      </w:pPr>
      <w:r>
        <w:rPr>
          <w:noProof/>
        </w:rPr>
        <w:lastRenderedPageBreak/>
        <mc:AlternateContent>
          <mc:Choice Requires="wpg">
            <w:drawing>
              <wp:anchor distT="0" distB="0" distL="114300" distR="114300" simplePos="0" relativeHeight="251680768" behindDoc="0" locked="0" layoutInCell="1" allowOverlap="1" wp14:anchorId="3C3085B8" wp14:editId="2C86A568">
                <wp:simplePos x="0" y="0"/>
                <wp:positionH relativeFrom="page">
                  <wp:posOffset>2666472</wp:posOffset>
                </wp:positionH>
                <wp:positionV relativeFrom="page">
                  <wp:posOffset>397149</wp:posOffset>
                </wp:positionV>
                <wp:extent cx="67056" cy="188456"/>
                <wp:effectExtent l="0" t="0" r="0" b="0"/>
                <wp:wrapTopAndBottom/>
                <wp:docPr id="202465" name="Group 202465"/>
                <wp:cNvGraphicFramePr/>
                <a:graphic xmlns:a="http://schemas.openxmlformats.org/drawingml/2006/main">
                  <a:graphicData uri="http://schemas.microsoft.com/office/word/2010/wordprocessingGroup">
                    <wpg:wgp>
                      <wpg:cNvGrpSpPr/>
                      <wpg:grpSpPr>
                        <a:xfrm>
                          <a:off x="0" y="0"/>
                          <a:ext cx="67056" cy="188456"/>
                          <a:chOff x="0" y="0"/>
                          <a:chExt cx="67056" cy="188456"/>
                        </a:xfrm>
                      </wpg:grpSpPr>
                      <wps:wsp>
                        <wps:cNvPr id="23878" name="Rectangle 23878"/>
                        <wps:cNvSpPr/>
                        <wps:spPr>
                          <a:xfrm rot="-10799999">
                            <a:off x="-22127" y="-62190"/>
                            <a:ext cx="89184" cy="250646"/>
                          </a:xfrm>
                          <a:prstGeom prst="rect">
                            <a:avLst/>
                          </a:prstGeom>
                          <a:ln>
                            <a:noFill/>
                          </a:ln>
                        </wps:spPr>
                        <wps:txbx>
                          <w:txbxContent>
                            <w:p w14:paraId="3EAFFC17" w14:textId="77777777" w:rsidR="00B32EF2" w:rsidRDefault="00000000">
                              <w:r>
                                <w:rPr>
                                  <w:rFonts w:ascii="Times New Roman" w:eastAsia="Times New Roman" w:hAnsi="Times New Roman" w:cs="Times New Roman"/>
                                </w:rPr>
                                <w:t>7</w:t>
                              </w:r>
                            </w:p>
                          </w:txbxContent>
                        </wps:txbx>
                        <wps:bodyPr horzOverflow="overflow" vert="horz" lIns="0" tIns="0" rIns="0" bIns="0" rtlCol="0">
                          <a:noAutofit/>
                        </wps:bodyPr>
                      </wps:wsp>
                    </wpg:wgp>
                  </a:graphicData>
                </a:graphic>
              </wp:anchor>
            </w:drawing>
          </mc:Choice>
          <mc:Fallback>
            <w:pict>
              <v:group w14:anchorId="3C3085B8" id="Group 202465" o:spid="_x0000_s7391" style="position:absolute;left:0;text-align:left;margin-left:209.95pt;margin-top:31.25pt;width:5.3pt;height:14.85pt;z-index:251680768;mso-position-horizontal-relative:page;mso-position-vertical-relative:page" coordsize="67056,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5/XGgIAAH4EAAAOAAAAZHJzL2Uyb0RvYy54bWyklNtu2zAMhu8H7B0E3Sc+LHUcI04xrGsw&#10;YFiLdXsARZYPgCwKkhK7e/pRip1sLbCLzhcyRcnUz0+kt7djL8lJGNuBKmmyjCkRikPVqaakP3/c&#10;L3JKrGOqYhKUKOmzsPR29/7ddtCFSKEFWQlDMIiyxaBL2jqniyiyvBU9s0vQQuFiDaZnDqemiSrD&#10;BozeyyiN4ywawFTaABfWovfuvEh3IX5dC+4e6toKR2RJUZsLownjwY/RbsuKxjDddnySwd6gomed&#10;wkMvoe6YY+Rouleh+o4bsFC7JYc+grruuAg5YDZJ/CKbvYGjDrk0xdDoCyZE+4LTm8Pyb6e90U/6&#10;0SCJQTfIIsx8LmNtev9GlWQMyJ4vyMToCEdnto5vMko4riR5vkI7EOUtYn/1EW8//+uzaD4y+kvI&#10;oLE07DV7+3/ZP7VMiwDVFpj9oyFdVdL0Q77GUlWsxyL9jmXDVCMFObsDmrD7AsoWFpnNlIgBrKxF&#10;Eq83/gmVMFFbpGmSrilBQIssTTZTyc388k2Sr8780ps4WwV+FxCs0Ma6vYCeeKOkBpWF6Oz01TrU&#10;hVvnLV6MVH5UcN9JeV71HuQ56/WWGw9jSDpLkpW/L+88QPWMLFowvx6wn2sJQ0lhsqhvcTzer1Ii&#10;vyi8A99Ns2Fm4zAbxslPEHruLOjj0UHdBcXX0yZleLnBCkUeUpoa0nfRn/Ow6/rb2P0GAAD//wMA&#10;UEsDBBQABgAIAAAAIQB7YUrq4QAAAAkBAAAPAAAAZHJzL2Rvd25yZXYueG1sTI9NS8NAEIbvgv9h&#10;GcGb3ST9wMRsSinqqQi2gnibZqdJaHY2ZLdJ+u9dT/Y2wzy887z5ejKtGKh3jWUF8SwCQVxa3XCl&#10;4Ovw9vQMwnlkja1lUnAlB+vi/i7HTNuRP2nY+0qEEHYZKqi97zIpXVmTQTezHXG4nWxv0Ie1r6Tu&#10;cQzhppVJFK2kwYbDhxo72tZUnvcXo+B9xHEzj1+H3fm0vf4clh/fu5iUenyYNi8gPE3+H4Y//aAO&#10;RXA62gtrJ1oFizhNA6pglSxBBGAxj8JwVJAmCcgil7cNil8AAAD//wMAUEsBAi0AFAAGAAgAAAAh&#10;ALaDOJL+AAAA4QEAABMAAAAAAAAAAAAAAAAAAAAAAFtDb250ZW50X1R5cGVzXS54bWxQSwECLQAU&#10;AAYACAAAACEAOP0h/9YAAACUAQAACwAAAAAAAAAAAAAAAAAvAQAAX3JlbHMvLnJlbHNQSwECLQAU&#10;AAYACAAAACEA+YOf1xoCAAB+BAAADgAAAAAAAAAAAAAAAAAuAgAAZHJzL2Uyb0RvYy54bWxQSwEC&#10;LQAUAAYACAAAACEAe2FK6uEAAAAJAQAADwAAAAAAAAAAAAAAAAB0BAAAZHJzL2Rvd25yZXYueG1s&#10;UEsFBgAAAAAEAAQA8wAAAIIFAAAAAA==&#10;">
                <v:rect id="Rectangle 23878" o:spid="_x0000_s7392" style="position:absolute;left:-22127;top:-62190;width:89184;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msxAAAAN4AAAAPAAAAZHJzL2Rvd25yZXYueG1sRE/LisIw&#10;FN0P+A/hCu7GVAdmSjWKKDJduBkf4PLSXNtqcxOaaKtfP1kMzPJw3vNlbxrxoNbXlhVMxgkI4sLq&#10;mksFx8P2PQXhA7LGxjIpeJKH5WLwNsdM245/6LEPpYgh7DNUUIXgMil9UZFBP7aOOHIX2xoMEbal&#10;1C12Mdw0cpokn9JgzbGhQkfriorb/m4UnDfs8m0ni8tr7XbXPG2+78eTUqNhv5qBCNSHf/GfO9cK&#10;ph/pV9wb78QrIBe/AAAA//8DAFBLAQItABQABgAIAAAAIQDb4fbL7gAAAIUBAAATAAAAAAAAAAAA&#10;AAAAAAAAAABbQ29udGVudF9UeXBlc10ueG1sUEsBAi0AFAAGAAgAAAAhAFr0LFu/AAAAFQEAAAsA&#10;AAAAAAAAAAAAAAAAHwEAAF9yZWxzLy5yZWxzUEsBAi0AFAAGAAgAAAAhAL6/aazEAAAA3gAAAA8A&#10;AAAAAAAAAAAAAAAABwIAAGRycy9kb3ducmV2LnhtbFBLBQYAAAAAAwADALcAAAD4AgAAAAA=&#10;" filled="f" stroked="f">
                  <v:textbox inset="0,0,0,0">
                    <w:txbxContent>
                      <w:p w14:paraId="3EAFFC17" w14:textId="77777777" w:rsidR="00B32EF2" w:rsidRDefault="00000000">
                        <w:r>
                          <w:rPr>
                            <w:rFonts w:ascii="Times New Roman" w:eastAsia="Times New Roman" w:hAnsi="Times New Roman" w:cs="Times New Roman"/>
                          </w:rPr>
                          <w:t>7</w:t>
                        </w:r>
                      </w:p>
                    </w:txbxContent>
                  </v:textbox>
                </v:rect>
                <w10:wrap type="topAndBottom" anchorx="page" anchory="page"/>
              </v:group>
            </w:pict>
          </mc:Fallback>
        </mc:AlternateContent>
      </w:r>
    </w:p>
    <w:p w14:paraId="0E29F086" w14:textId="77777777" w:rsidR="00B32EF2" w:rsidRDefault="00000000">
      <w:pPr>
        <w:spacing w:after="0"/>
        <w:ind w:left="-356" w:right="-306"/>
      </w:pPr>
      <w:r>
        <w:rPr>
          <w:noProof/>
        </w:rPr>
        <w:lastRenderedPageBreak/>
        <mc:AlternateContent>
          <mc:Choice Requires="wpg">
            <w:drawing>
              <wp:inline distT="0" distB="0" distL="0" distR="0" wp14:anchorId="44845E26" wp14:editId="251CA9B4">
                <wp:extent cx="3991619" cy="5696706"/>
                <wp:effectExtent l="0" t="0" r="0" b="0"/>
                <wp:docPr id="202466" name="Group 202466"/>
                <wp:cNvGraphicFramePr/>
                <a:graphic xmlns:a="http://schemas.openxmlformats.org/drawingml/2006/main">
                  <a:graphicData uri="http://schemas.microsoft.com/office/word/2010/wordprocessingGroup">
                    <wpg:wgp>
                      <wpg:cNvGrpSpPr/>
                      <wpg:grpSpPr>
                        <a:xfrm>
                          <a:off x="0" y="0"/>
                          <a:ext cx="3991619" cy="5696706"/>
                          <a:chOff x="0" y="0"/>
                          <a:chExt cx="3991619" cy="5696706"/>
                        </a:xfrm>
                      </wpg:grpSpPr>
                      <wps:wsp>
                        <wps:cNvPr id="23879" name="Rectangle 23879"/>
                        <wps:cNvSpPr/>
                        <wps:spPr>
                          <a:xfrm rot="-10799999">
                            <a:off x="2749013" y="5553816"/>
                            <a:ext cx="1244093" cy="142890"/>
                          </a:xfrm>
                          <a:prstGeom prst="rect">
                            <a:avLst/>
                          </a:prstGeom>
                          <a:ln>
                            <a:noFill/>
                          </a:ln>
                        </wps:spPr>
                        <wps:txbx>
                          <w:txbxContent>
                            <w:p w14:paraId="066971DB" w14:textId="77777777" w:rsidR="00B32EF2" w:rsidRDefault="00000000">
                              <w:r>
                                <w:rPr>
                                  <w:rFonts w:ascii="Arial" w:eastAsia="Arial" w:hAnsi="Arial" w:cs="Arial"/>
                                  <w:b/>
                                  <w:sz w:val="18"/>
                                </w:rPr>
                                <w:t>Indice normativo</w:t>
                              </w:r>
                            </w:p>
                          </w:txbxContent>
                        </wps:txbx>
                        <wps:bodyPr horzOverflow="overflow" vert="horz" lIns="0" tIns="0" rIns="0" bIns="0" rtlCol="0">
                          <a:noAutofit/>
                        </wps:bodyPr>
                      </wps:wsp>
                      <wps:wsp>
                        <wps:cNvPr id="202450" name="Rectangle 202450"/>
                        <wps:cNvSpPr/>
                        <wps:spPr>
                          <a:xfrm rot="-10799999">
                            <a:off x="3514055" y="5279496"/>
                            <a:ext cx="1771326" cy="142889"/>
                          </a:xfrm>
                          <a:prstGeom prst="rect">
                            <a:avLst/>
                          </a:prstGeom>
                          <a:ln>
                            <a:noFill/>
                          </a:ln>
                        </wps:spPr>
                        <wps:txbx>
                          <w:txbxContent>
                            <w:p w14:paraId="6AF9D56B"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02451" name="Rectangle 202451"/>
                        <wps:cNvSpPr/>
                        <wps:spPr>
                          <a:xfrm rot="-10799999">
                            <a:off x="2182231" y="5279496"/>
                            <a:ext cx="1771326" cy="142889"/>
                          </a:xfrm>
                          <a:prstGeom prst="rect">
                            <a:avLst/>
                          </a:prstGeom>
                          <a:ln>
                            <a:noFill/>
                          </a:ln>
                        </wps:spPr>
                        <wps:txbx>
                          <w:txbxContent>
                            <w:p w14:paraId="1B5D4A97" w14:textId="77777777" w:rsidR="00B32EF2" w:rsidRDefault="00000000">
                              <w:r>
                                <w:rPr>
                                  <w:rFonts w:ascii="Arial" w:eastAsia="Arial" w:hAnsi="Arial" w:cs="Arial"/>
                                  <w:sz w:val="18"/>
                                </w:rPr>
                                <w:t xml:space="preserve"> L. del 09.08.2023 n. 111 </w:t>
                              </w:r>
                            </w:p>
                          </w:txbxContent>
                        </wps:txbx>
                        <wps:bodyPr horzOverflow="overflow" vert="horz" lIns="0" tIns="0" rIns="0" bIns="0" rtlCol="0">
                          <a:noAutofit/>
                        </wps:bodyPr>
                      </wps:wsp>
                      <wps:wsp>
                        <wps:cNvPr id="23881" name="Rectangle 23881"/>
                        <wps:cNvSpPr/>
                        <wps:spPr>
                          <a:xfrm rot="-10799999">
                            <a:off x="-1317422" y="5142336"/>
                            <a:ext cx="5309614" cy="142889"/>
                          </a:xfrm>
                          <a:prstGeom prst="rect">
                            <a:avLst/>
                          </a:prstGeom>
                          <a:ln>
                            <a:noFill/>
                          </a:ln>
                        </wps:spPr>
                        <wps:txbx>
                          <w:txbxContent>
                            <w:p w14:paraId="48D1FAD5" w14:textId="77777777" w:rsidR="00B32EF2" w:rsidRDefault="00000000">
                              <w:r>
                                <w:rPr>
                                  <w:rFonts w:ascii="Arial" w:eastAsia="Arial" w:hAnsi="Arial" w:cs="Arial"/>
                                  <w:sz w:val="18"/>
                                </w:rPr>
                                <w:t xml:space="preserve">Art. 21 - Principi e criteri direttivi per il riordino del sistema tributario mediante </w:t>
                              </w:r>
                            </w:p>
                          </w:txbxContent>
                        </wps:txbx>
                        <wps:bodyPr horzOverflow="overflow" vert="horz" lIns="0" tIns="0" rIns="0" bIns="0" rtlCol="0">
                          <a:noAutofit/>
                        </wps:bodyPr>
                      </wps:wsp>
                      <wps:wsp>
                        <wps:cNvPr id="23882" name="Rectangle 23882"/>
                        <wps:cNvSpPr/>
                        <wps:spPr>
                          <a:xfrm rot="-10799999">
                            <a:off x="-3105" y="5005177"/>
                            <a:ext cx="3994725" cy="142889"/>
                          </a:xfrm>
                          <a:prstGeom prst="rect">
                            <a:avLst/>
                          </a:prstGeom>
                          <a:ln>
                            <a:noFill/>
                          </a:ln>
                        </wps:spPr>
                        <wps:txbx>
                          <w:txbxContent>
                            <w:p w14:paraId="59959F0A" w14:textId="77777777" w:rsidR="00B32EF2" w:rsidRDefault="00000000">
                              <w:r>
                                <w:rPr>
                                  <w:rFonts w:ascii="Arial" w:eastAsia="Arial" w:hAnsi="Arial" w:cs="Arial"/>
                                  <w:sz w:val="18"/>
                                </w:rPr>
                                <w:t>la redazione di testi unici e di un codice del diritto tributario</w:t>
                              </w:r>
                            </w:p>
                          </w:txbxContent>
                        </wps:txbx>
                        <wps:bodyPr horzOverflow="overflow" vert="horz" lIns="0" tIns="0" rIns="0" bIns="0" rtlCol="0">
                          <a:noAutofit/>
                        </wps:bodyPr>
                      </wps:wsp>
                      <wps:wsp>
                        <wps:cNvPr id="202448" name="Rectangle 202448"/>
                        <wps:cNvSpPr/>
                        <wps:spPr>
                          <a:xfrm rot="-10799999">
                            <a:off x="1849676" y="4730856"/>
                            <a:ext cx="2286761" cy="142889"/>
                          </a:xfrm>
                          <a:prstGeom prst="rect">
                            <a:avLst/>
                          </a:prstGeom>
                          <a:ln>
                            <a:noFill/>
                          </a:ln>
                        </wps:spPr>
                        <wps:txbx>
                          <w:txbxContent>
                            <w:p w14:paraId="7EBB7BE0" w14:textId="77777777" w:rsidR="00B32EF2" w:rsidRDefault="00000000">
                              <w:r>
                                <w:rPr>
                                  <w:rFonts w:ascii="Arial" w:eastAsia="Arial" w:hAnsi="Arial" w:cs="Arial"/>
                                  <w:sz w:val="18"/>
                                </w:rPr>
                                <w:t xml:space="preserve"> D.lgs. 14 novembre 2024, n. </w:t>
                              </w:r>
                            </w:p>
                          </w:txbxContent>
                        </wps:txbx>
                        <wps:bodyPr horzOverflow="overflow" vert="horz" lIns="0" tIns="0" rIns="0" bIns="0" rtlCol="0">
                          <a:noAutofit/>
                        </wps:bodyPr>
                      </wps:wsp>
                      <wps:wsp>
                        <wps:cNvPr id="202446" name="Rectangle 202446"/>
                        <wps:cNvSpPr/>
                        <wps:spPr>
                          <a:xfrm rot="-10799999">
                            <a:off x="168369" y="4730856"/>
                            <a:ext cx="2286761" cy="142889"/>
                          </a:xfrm>
                          <a:prstGeom prst="rect">
                            <a:avLst/>
                          </a:prstGeom>
                          <a:ln>
                            <a:noFill/>
                          </a:ln>
                        </wps:spPr>
                        <wps:txbx>
                          <w:txbxContent>
                            <w:p w14:paraId="13DB67FF" w14:textId="77777777" w:rsidR="00B32EF2" w:rsidRDefault="00000000">
                              <w:r>
                                <w:rPr>
                                  <w:rFonts w:ascii="Arial" w:eastAsia="Arial" w:hAnsi="Arial" w:cs="Arial"/>
                                  <w:sz w:val="18"/>
                                </w:rPr>
                                <w:t>175</w:t>
                              </w:r>
                            </w:p>
                          </w:txbxContent>
                        </wps:txbx>
                        <wps:bodyPr horzOverflow="overflow" vert="horz" lIns="0" tIns="0" rIns="0" bIns="0" rtlCol="0">
                          <a:noAutofit/>
                        </wps:bodyPr>
                      </wps:wsp>
                      <wps:wsp>
                        <wps:cNvPr id="202445" name="Rectangle 202445"/>
                        <wps:cNvSpPr/>
                        <wps:spPr>
                          <a:xfrm rot="-10799999">
                            <a:off x="3386165" y="4730856"/>
                            <a:ext cx="2286762" cy="142889"/>
                          </a:xfrm>
                          <a:prstGeom prst="rect">
                            <a:avLst/>
                          </a:prstGeom>
                          <a:ln>
                            <a:noFill/>
                          </a:ln>
                        </wps:spPr>
                        <wps:txbx>
                          <w:txbxContent>
                            <w:p w14:paraId="788974F6"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884" name="Rectangle 23884"/>
                        <wps:cNvSpPr/>
                        <wps:spPr>
                          <a:xfrm rot="-10799999">
                            <a:off x="1553736" y="4593696"/>
                            <a:ext cx="2437884" cy="142889"/>
                          </a:xfrm>
                          <a:prstGeom prst="rect">
                            <a:avLst/>
                          </a:prstGeom>
                          <a:ln>
                            <a:noFill/>
                          </a:ln>
                        </wps:spPr>
                        <wps:txbx>
                          <w:txbxContent>
                            <w:p w14:paraId="0ACF701F" w14:textId="77777777" w:rsidR="00B32EF2" w:rsidRDefault="00000000">
                              <w:r>
                                <w:rPr>
                                  <w:rFonts w:ascii="Arial" w:eastAsia="Arial" w:hAnsi="Arial" w:cs="Arial"/>
                                  <w:sz w:val="18"/>
                                </w:rPr>
                                <w:t>Testo unico della giustizia tributaria.</w:t>
                              </w:r>
                            </w:p>
                          </w:txbxContent>
                        </wps:txbx>
                        <wps:bodyPr horzOverflow="overflow" vert="horz" lIns="0" tIns="0" rIns="0" bIns="0" rtlCol="0">
                          <a:noAutofit/>
                        </wps:bodyPr>
                      </wps:wsp>
                      <wps:wsp>
                        <wps:cNvPr id="23885" name="Rectangle 23885"/>
                        <wps:cNvSpPr/>
                        <wps:spPr>
                          <a:xfrm rot="-10799999">
                            <a:off x="82876" y="4250796"/>
                            <a:ext cx="3908744" cy="142889"/>
                          </a:xfrm>
                          <a:prstGeom prst="rect">
                            <a:avLst/>
                          </a:prstGeom>
                          <a:ln>
                            <a:noFill/>
                          </a:ln>
                        </wps:spPr>
                        <wps:txbx>
                          <w:txbxContent>
                            <w:p w14:paraId="363A6AA7" w14:textId="77777777" w:rsidR="00B32EF2" w:rsidRDefault="00000000">
                              <w:r>
                                <w:rPr>
                                  <w:rFonts w:ascii="Arial" w:eastAsia="Arial" w:hAnsi="Arial" w:cs="Arial"/>
                                  <w:b/>
                                  <w:sz w:val="18"/>
                                </w:rPr>
                                <w:t xml:space="preserve">PARTE I - Ordinamento della giurisdizione tributaria  </w:t>
                              </w:r>
                            </w:p>
                          </w:txbxContent>
                        </wps:txbx>
                        <wps:bodyPr horzOverflow="overflow" vert="horz" lIns="0" tIns="0" rIns="0" bIns="0" rtlCol="0">
                          <a:noAutofit/>
                        </wps:bodyPr>
                      </wps:wsp>
                      <wps:wsp>
                        <wps:cNvPr id="23886" name="Rectangle 23886"/>
                        <wps:cNvSpPr/>
                        <wps:spPr>
                          <a:xfrm rot="-10799999">
                            <a:off x="261955" y="4250797"/>
                            <a:ext cx="525378" cy="142889"/>
                          </a:xfrm>
                          <a:prstGeom prst="rect">
                            <a:avLst/>
                          </a:prstGeom>
                          <a:ln>
                            <a:noFill/>
                          </a:ln>
                        </wps:spPr>
                        <wps:txbx>
                          <w:txbxContent>
                            <w:p w14:paraId="5EE921ED" w14:textId="77777777" w:rsidR="00B32EF2" w:rsidRDefault="00000000">
                              <w:r>
                                <w:rPr>
                                  <w:rFonts w:ascii="Arial" w:eastAsia="Arial" w:hAnsi="Arial" w:cs="Arial"/>
                                  <w:b/>
                                  <w:sz w:val="18"/>
                                </w:rPr>
                                <w:t>Pag. 14</w:t>
                              </w:r>
                            </w:p>
                          </w:txbxContent>
                        </wps:txbx>
                        <wps:bodyPr horzOverflow="overflow" vert="horz" lIns="0" tIns="0" rIns="0" bIns="0" rtlCol="0">
                          <a:noAutofit/>
                        </wps:bodyPr>
                      </wps:wsp>
                      <wps:wsp>
                        <wps:cNvPr id="23887" name="Rectangle 23887"/>
                        <wps:cNvSpPr/>
                        <wps:spPr>
                          <a:xfrm rot="-10799999">
                            <a:off x="2592543" y="4079346"/>
                            <a:ext cx="1399076" cy="142889"/>
                          </a:xfrm>
                          <a:prstGeom prst="rect">
                            <a:avLst/>
                          </a:prstGeom>
                          <a:ln>
                            <a:noFill/>
                          </a:ln>
                        </wps:spPr>
                        <wps:txbx>
                          <w:txbxContent>
                            <w:p w14:paraId="6D821DA1" w14:textId="77777777" w:rsidR="00B32EF2" w:rsidRDefault="00000000">
                              <w:r>
                                <w:rPr>
                                  <w:rFonts w:ascii="Arial" w:eastAsia="Arial" w:hAnsi="Arial" w:cs="Arial"/>
                                  <w:b/>
                                  <w:sz w:val="18"/>
                                </w:rPr>
                                <w:t>Titolo I – Gli organi</w:t>
                              </w:r>
                            </w:p>
                          </w:txbxContent>
                        </wps:txbx>
                        <wps:bodyPr horzOverflow="overflow" vert="horz" lIns="0" tIns="0" rIns="0" bIns="0" rtlCol="0">
                          <a:noAutofit/>
                        </wps:bodyPr>
                      </wps:wsp>
                      <wps:wsp>
                        <wps:cNvPr id="23888" name="Rectangle 23888"/>
                        <wps:cNvSpPr/>
                        <wps:spPr>
                          <a:xfrm rot="-10799999">
                            <a:off x="507650" y="4079346"/>
                            <a:ext cx="2857456" cy="142889"/>
                          </a:xfrm>
                          <a:prstGeom prst="rect">
                            <a:avLst/>
                          </a:prstGeom>
                          <a:ln>
                            <a:noFill/>
                          </a:ln>
                        </wps:spPr>
                        <wps:txbx>
                          <w:txbxContent>
                            <w:p w14:paraId="264C5031"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889" name="Rectangle 23889"/>
                        <wps:cNvSpPr/>
                        <wps:spPr>
                          <a:xfrm rot="-10799999">
                            <a:off x="261955" y="4079346"/>
                            <a:ext cx="525378" cy="142889"/>
                          </a:xfrm>
                          <a:prstGeom prst="rect">
                            <a:avLst/>
                          </a:prstGeom>
                          <a:ln>
                            <a:noFill/>
                          </a:ln>
                        </wps:spPr>
                        <wps:txbx>
                          <w:txbxContent>
                            <w:p w14:paraId="0460DFF1" w14:textId="77777777" w:rsidR="00B32EF2" w:rsidRDefault="00000000">
                              <w:r>
                                <w:rPr>
                                  <w:rFonts w:ascii="Arial" w:eastAsia="Arial" w:hAnsi="Arial" w:cs="Arial"/>
                                  <w:b/>
                                  <w:sz w:val="18"/>
                                </w:rPr>
                                <w:t>Pag. 14</w:t>
                              </w:r>
                            </w:p>
                          </w:txbxContent>
                        </wps:txbx>
                        <wps:bodyPr horzOverflow="overflow" vert="horz" lIns="0" tIns="0" rIns="0" bIns="0" rtlCol="0">
                          <a:noAutofit/>
                        </wps:bodyPr>
                      </wps:wsp>
                      <wps:wsp>
                        <wps:cNvPr id="23890" name="Rectangle 23890"/>
                        <wps:cNvSpPr/>
                        <wps:spPr>
                          <a:xfrm rot="-10799999">
                            <a:off x="537914" y="3907896"/>
                            <a:ext cx="3453704" cy="142889"/>
                          </a:xfrm>
                          <a:prstGeom prst="rect">
                            <a:avLst/>
                          </a:prstGeom>
                          <a:ln>
                            <a:noFill/>
                          </a:ln>
                        </wps:spPr>
                        <wps:txbx>
                          <w:txbxContent>
                            <w:p w14:paraId="11D23316" w14:textId="77777777" w:rsidR="00B32EF2" w:rsidRDefault="00000000">
                              <w:r>
                                <w:rPr>
                                  <w:rFonts w:ascii="Arial" w:eastAsia="Arial" w:hAnsi="Arial" w:cs="Arial"/>
                                  <w:b/>
                                  <w:sz w:val="18"/>
                                </w:rPr>
                                <w:t>Capo I - Gli organi della giurisdizione tributaria</w:t>
                              </w:r>
                            </w:p>
                          </w:txbxContent>
                        </wps:txbx>
                        <wps:bodyPr horzOverflow="overflow" vert="horz" lIns="0" tIns="0" rIns="0" bIns="0" rtlCol="0">
                          <a:noAutofit/>
                        </wps:bodyPr>
                      </wps:wsp>
                      <wps:wsp>
                        <wps:cNvPr id="23891" name="Rectangle 23891"/>
                        <wps:cNvSpPr/>
                        <wps:spPr>
                          <a:xfrm rot="-10799999">
                            <a:off x="1120019" y="3907896"/>
                            <a:ext cx="389473" cy="142889"/>
                          </a:xfrm>
                          <a:prstGeom prst="rect">
                            <a:avLst/>
                          </a:prstGeom>
                          <a:ln>
                            <a:noFill/>
                          </a:ln>
                        </wps:spPr>
                        <wps:txbx>
                          <w:txbxContent>
                            <w:p w14:paraId="0CE37F77" w14:textId="77777777" w:rsidR="00B32EF2" w:rsidRDefault="00000000">
                              <w:r>
                                <w:rPr>
                                  <w:rFonts w:ascii="Arial" w:eastAsia="Arial" w:hAnsi="Arial" w:cs="Arial"/>
                                  <w:b/>
                                  <w:sz w:val="18"/>
                                </w:rPr>
                                <w:t xml:space="preserve">  </w:t>
                              </w:r>
                            </w:p>
                          </w:txbxContent>
                        </wps:txbx>
                        <wps:bodyPr horzOverflow="overflow" vert="horz" lIns="0" tIns="0" rIns="0" bIns="0" rtlCol="0">
                          <a:noAutofit/>
                        </wps:bodyPr>
                      </wps:wsp>
                      <wps:wsp>
                        <wps:cNvPr id="23892" name="Rectangle 23892"/>
                        <wps:cNvSpPr/>
                        <wps:spPr>
                          <a:xfrm rot="-10799999">
                            <a:off x="261955" y="3907896"/>
                            <a:ext cx="525378" cy="142889"/>
                          </a:xfrm>
                          <a:prstGeom prst="rect">
                            <a:avLst/>
                          </a:prstGeom>
                          <a:ln>
                            <a:noFill/>
                          </a:ln>
                        </wps:spPr>
                        <wps:txbx>
                          <w:txbxContent>
                            <w:p w14:paraId="5132F78A" w14:textId="77777777" w:rsidR="00B32EF2" w:rsidRDefault="00000000">
                              <w:r>
                                <w:rPr>
                                  <w:rFonts w:ascii="Arial" w:eastAsia="Arial" w:hAnsi="Arial" w:cs="Arial"/>
                                  <w:b/>
                                  <w:sz w:val="18"/>
                                </w:rPr>
                                <w:t>Pag. 14</w:t>
                              </w:r>
                            </w:p>
                          </w:txbxContent>
                        </wps:txbx>
                        <wps:bodyPr horzOverflow="overflow" vert="horz" lIns="0" tIns="0" rIns="0" bIns="0" rtlCol="0">
                          <a:noAutofit/>
                        </wps:bodyPr>
                      </wps:wsp>
                      <wps:wsp>
                        <wps:cNvPr id="23893" name="Rectangle 23893"/>
                        <wps:cNvSpPr/>
                        <wps:spPr>
                          <a:xfrm rot="-10799999">
                            <a:off x="-215415" y="3736446"/>
                            <a:ext cx="4207035" cy="142889"/>
                          </a:xfrm>
                          <a:prstGeom prst="rect">
                            <a:avLst/>
                          </a:prstGeom>
                          <a:ln>
                            <a:noFill/>
                          </a:ln>
                        </wps:spPr>
                        <wps:txbx>
                          <w:txbxContent>
                            <w:p w14:paraId="1A30C2FC" w14:textId="77777777" w:rsidR="00B32EF2" w:rsidRDefault="00000000">
                              <w:r>
                                <w:rPr>
                                  <w:rFonts w:ascii="Arial" w:eastAsia="Arial" w:hAnsi="Arial" w:cs="Arial"/>
                                  <w:sz w:val="18"/>
                                </w:rPr>
                                <w:t>Art. 1 - Le corti di giustizia tributaria di primo e secondo grado</w:t>
                              </w:r>
                            </w:p>
                          </w:txbxContent>
                        </wps:txbx>
                        <wps:bodyPr horzOverflow="overflow" vert="horz" lIns="0" tIns="0" rIns="0" bIns="0" rtlCol="0">
                          <a:noAutofit/>
                        </wps:bodyPr>
                      </wps:wsp>
                      <wps:wsp>
                        <wps:cNvPr id="23894" name="Rectangle 23894"/>
                        <wps:cNvSpPr/>
                        <wps:spPr>
                          <a:xfrm rot="-10799999">
                            <a:off x="1761561" y="3564996"/>
                            <a:ext cx="2230058" cy="142889"/>
                          </a:xfrm>
                          <a:prstGeom prst="rect">
                            <a:avLst/>
                          </a:prstGeom>
                          <a:ln>
                            <a:noFill/>
                          </a:ln>
                        </wps:spPr>
                        <wps:txbx>
                          <w:txbxContent>
                            <w:p w14:paraId="4B7A77B7" w14:textId="77777777" w:rsidR="00B32EF2" w:rsidRDefault="00000000">
                              <w:r>
                                <w:rPr>
                                  <w:rFonts w:ascii="Arial" w:eastAsia="Arial" w:hAnsi="Arial" w:cs="Arial"/>
                                  <w:sz w:val="18"/>
                                </w:rPr>
                                <w:t>Art. 2 - La giurisdizione tributaria</w:t>
                              </w:r>
                            </w:p>
                          </w:txbxContent>
                        </wps:txbx>
                        <wps:bodyPr horzOverflow="overflow" vert="horz" lIns="0" tIns="0" rIns="0" bIns="0" rtlCol="0">
                          <a:noAutofit/>
                        </wps:bodyPr>
                      </wps:wsp>
                      <wps:wsp>
                        <wps:cNvPr id="23895" name="Rectangle 23895"/>
                        <wps:cNvSpPr/>
                        <wps:spPr>
                          <a:xfrm rot="-10799999">
                            <a:off x="-510362" y="3393546"/>
                            <a:ext cx="4501983" cy="142889"/>
                          </a:xfrm>
                          <a:prstGeom prst="rect">
                            <a:avLst/>
                          </a:prstGeom>
                          <a:ln>
                            <a:noFill/>
                          </a:ln>
                        </wps:spPr>
                        <wps:txbx>
                          <w:txbxContent>
                            <w:p w14:paraId="6BFDF77B" w14:textId="77777777" w:rsidR="00B32EF2" w:rsidRDefault="00000000">
                              <w:r>
                                <w:rPr>
                                  <w:rFonts w:ascii="Arial" w:eastAsia="Arial" w:hAnsi="Arial" w:cs="Arial"/>
                                  <w:sz w:val="18"/>
                                </w:rPr>
                                <w:t>Art. 3 - La composizione delle corti di giustizia tributaria di primo e</w:t>
                              </w:r>
                            </w:p>
                          </w:txbxContent>
                        </wps:txbx>
                        <wps:bodyPr horzOverflow="overflow" vert="horz" lIns="0" tIns="0" rIns="0" bIns="0" rtlCol="0">
                          <a:noAutofit/>
                        </wps:bodyPr>
                      </wps:wsp>
                      <wps:wsp>
                        <wps:cNvPr id="23896" name="Rectangle 23896"/>
                        <wps:cNvSpPr/>
                        <wps:spPr>
                          <a:xfrm rot="-10799999">
                            <a:off x="2971901" y="3222096"/>
                            <a:ext cx="1020519" cy="142889"/>
                          </a:xfrm>
                          <a:prstGeom prst="rect">
                            <a:avLst/>
                          </a:prstGeom>
                          <a:ln>
                            <a:noFill/>
                          </a:ln>
                        </wps:spPr>
                        <wps:txbx>
                          <w:txbxContent>
                            <w:p w14:paraId="305CB5E9" w14:textId="77777777" w:rsidR="00B32EF2" w:rsidRDefault="00000000">
                              <w:r>
                                <w:rPr>
                                  <w:rFonts w:ascii="Arial" w:eastAsia="Arial" w:hAnsi="Arial" w:cs="Arial"/>
                                  <w:sz w:val="18"/>
                                </w:rPr>
                                <w:t>secondo grado</w:t>
                              </w:r>
                            </w:p>
                          </w:txbxContent>
                        </wps:txbx>
                        <wps:bodyPr horzOverflow="overflow" vert="horz" lIns="0" tIns="0" rIns="0" bIns="0" rtlCol="0">
                          <a:noAutofit/>
                        </wps:bodyPr>
                      </wps:wsp>
                      <wps:wsp>
                        <wps:cNvPr id="23897" name="Rectangle 23897"/>
                        <wps:cNvSpPr/>
                        <wps:spPr>
                          <a:xfrm rot="-10799999">
                            <a:off x="-731762" y="3050646"/>
                            <a:ext cx="4723382" cy="142889"/>
                          </a:xfrm>
                          <a:prstGeom prst="rect">
                            <a:avLst/>
                          </a:prstGeom>
                          <a:ln>
                            <a:noFill/>
                          </a:ln>
                        </wps:spPr>
                        <wps:txbx>
                          <w:txbxContent>
                            <w:p w14:paraId="03878B11" w14:textId="77777777" w:rsidR="00B32EF2" w:rsidRDefault="00000000">
                              <w:r>
                                <w:rPr>
                                  <w:rFonts w:ascii="Arial" w:eastAsia="Arial" w:hAnsi="Arial" w:cs="Arial"/>
                                  <w:sz w:val="18"/>
                                </w:rPr>
                                <w:t>Art. 4 - I presidenti delle corti di giustizia tributaria di primo e secondo</w:t>
                              </w:r>
                            </w:p>
                          </w:txbxContent>
                        </wps:txbx>
                        <wps:bodyPr horzOverflow="overflow" vert="horz" lIns="0" tIns="0" rIns="0" bIns="0" rtlCol="0">
                          <a:noAutofit/>
                        </wps:bodyPr>
                      </wps:wsp>
                      <wps:wsp>
                        <wps:cNvPr id="23898" name="Rectangle 23898"/>
                        <wps:cNvSpPr/>
                        <wps:spPr>
                          <a:xfrm rot="-10799999">
                            <a:off x="2583148" y="2879196"/>
                            <a:ext cx="1408471" cy="142889"/>
                          </a:xfrm>
                          <a:prstGeom prst="rect">
                            <a:avLst/>
                          </a:prstGeom>
                          <a:ln>
                            <a:noFill/>
                          </a:ln>
                        </wps:spPr>
                        <wps:txbx>
                          <w:txbxContent>
                            <w:p w14:paraId="3CFE3665" w14:textId="77777777" w:rsidR="00B32EF2" w:rsidRDefault="00000000">
                              <w:r>
                                <w:rPr>
                                  <w:rFonts w:ascii="Arial" w:eastAsia="Arial" w:hAnsi="Arial" w:cs="Arial"/>
                                  <w:sz w:val="18"/>
                                </w:rPr>
                                <w:t>grado e delle sezioni</w:t>
                              </w:r>
                            </w:p>
                          </w:txbxContent>
                        </wps:txbx>
                        <wps:bodyPr horzOverflow="overflow" vert="horz" lIns="0" tIns="0" rIns="0" bIns="0" rtlCol="0">
                          <a:noAutofit/>
                        </wps:bodyPr>
                      </wps:wsp>
                      <wps:wsp>
                        <wps:cNvPr id="23899" name="Rectangle 23899"/>
                        <wps:cNvSpPr/>
                        <wps:spPr>
                          <a:xfrm rot="-10799999">
                            <a:off x="-412949" y="2707746"/>
                            <a:ext cx="4404569" cy="142889"/>
                          </a:xfrm>
                          <a:prstGeom prst="rect">
                            <a:avLst/>
                          </a:prstGeom>
                          <a:ln>
                            <a:noFill/>
                          </a:ln>
                        </wps:spPr>
                        <wps:txbx>
                          <w:txbxContent>
                            <w:p w14:paraId="76FC3E26" w14:textId="77777777" w:rsidR="00B32EF2" w:rsidRDefault="00000000">
                              <w:r>
                                <w:rPr>
                                  <w:rFonts w:ascii="Arial" w:eastAsia="Arial" w:hAnsi="Arial" w:cs="Arial"/>
                                  <w:sz w:val="18"/>
                                </w:rPr>
                                <w:t>Art. 5 - I magistrati delle corti di giustizia tributaria di primo grado</w:t>
                              </w:r>
                            </w:p>
                          </w:txbxContent>
                        </wps:txbx>
                        <wps:bodyPr horzOverflow="overflow" vert="horz" lIns="0" tIns="0" rIns="0" bIns="0" rtlCol="0">
                          <a:noAutofit/>
                        </wps:bodyPr>
                      </wps:wsp>
                      <wps:wsp>
                        <wps:cNvPr id="23900" name="Rectangle 23900"/>
                        <wps:cNvSpPr/>
                        <wps:spPr>
                          <a:xfrm rot="-10799999">
                            <a:off x="149719" y="2536296"/>
                            <a:ext cx="3841900" cy="142889"/>
                          </a:xfrm>
                          <a:prstGeom prst="rect">
                            <a:avLst/>
                          </a:prstGeom>
                          <a:ln>
                            <a:noFill/>
                          </a:ln>
                        </wps:spPr>
                        <wps:txbx>
                          <w:txbxContent>
                            <w:p w14:paraId="1C0E5965" w14:textId="77777777" w:rsidR="00B32EF2" w:rsidRDefault="00000000">
                              <w:r>
                                <w:rPr>
                                  <w:rFonts w:ascii="Arial" w:eastAsia="Arial" w:hAnsi="Arial" w:cs="Arial"/>
                                  <w:sz w:val="18"/>
                                </w:rPr>
                                <w:t>Art. 6 - Requisiti per l’ammissione al concorso per esami</w:t>
                              </w:r>
                            </w:p>
                          </w:txbxContent>
                        </wps:txbx>
                        <wps:bodyPr horzOverflow="overflow" vert="horz" lIns="0" tIns="0" rIns="0" bIns="0" rtlCol="0">
                          <a:noAutofit/>
                        </wps:bodyPr>
                      </wps:wsp>
                      <wps:wsp>
                        <wps:cNvPr id="23901" name="Rectangle 23901"/>
                        <wps:cNvSpPr/>
                        <wps:spPr>
                          <a:xfrm rot="-10799999">
                            <a:off x="-292260" y="2364846"/>
                            <a:ext cx="4283880" cy="142889"/>
                          </a:xfrm>
                          <a:prstGeom prst="rect">
                            <a:avLst/>
                          </a:prstGeom>
                          <a:ln>
                            <a:noFill/>
                          </a:ln>
                        </wps:spPr>
                        <wps:txbx>
                          <w:txbxContent>
                            <w:p w14:paraId="1CECB6C9" w14:textId="77777777" w:rsidR="00B32EF2" w:rsidRDefault="00000000">
                              <w:r>
                                <w:rPr>
                                  <w:rFonts w:ascii="Arial" w:eastAsia="Arial" w:hAnsi="Arial" w:cs="Arial"/>
                                  <w:sz w:val="18"/>
                                </w:rPr>
                                <w:t>Art. 7 - Indizione del concorso e svolgimento della prova scritta</w:t>
                              </w:r>
                            </w:p>
                          </w:txbxContent>
                        </wps:txbx>
                        <wps:bodyPr horzOverflow="overflow" vert="horz" lIns="0" tIns="0" rIns="0" bIns="0" rtlCol="0">
                          <a:noAutofit/>
                        </wps:bodyPr>
                      </wps:wsp>
                      <wps:wsp>
                        <wps:cNvPr id="23902" name="Rectangle 23902"/>
                        <wps:cNvSpPr/>
                        <wps:spPr>
                          <a:xfrm rot="-10799999">
                            <a:off x="1712445" y="2193396"/>
                            <a:ext cx="2279175" cy="142889"/>
                          </a:xfrm>
                          <a:prstGeom prst="rect">
                            <a:avLst/>
                          </a:prstGeom>
                          <a:ln>
                            <a:noFill/>
                          </a:ln>
                        </wps:spPr>
                        <wps:txbx>
                          <w:txbxContent>
                            <w:p w14:paraId="198B6D5C" w14:textId="77777777" w:rsidR="00B32EF2" w:rsidRDefault="00000000">
                              <w:r>
                                <w:rPr>
                                  <w:rFonts w:ascii="Arial" w:eastAsia="Arial" w:hAnsi="Arial" w:cs="Arial"/>
                                  <w:sz w:val="18"/>
                                </w:rPr>
                                <w:t>Art. 8 - Commissione di concorso</w:t>
                              </w:r>
                            </w:p>
                          </w:txbxContent>
                        </wps:txbx>
                        <wps:bodyPr horzOverflow="overflow" vert="horz" lIns="0" tIns="0" rIns="0" bIns="0" rtlCol="0">
                          <a:noAutofit/>
                        </wps:bodyPr>
                      </wps:wsp>
                      <wps:wsp>
                        <wps:cNvPr id="23903" name="Rectangle 23903"/>
                        <wps:cNvSpPr/>
                        <wps:spPr>
                          <a:xfrm rot="-10799999">
                            <a:off x="592338" y="2021946"/>
                            <a:ext cx="3399281" cy="142889"/>
                          </a:xfrm>
                          <a:prstGeom prst="rect">
                            <a:avLst/>
                          </a:prstGeom>
                          <a:ln>
                            <a:noFill/>
                          </a:ln>
                        </wps:spPr>
                        <wps:txbx>
                          <w:txbxContent>
                            <w:p w14:paraId="353312B1" w14:textId="77777777" w:rsidR="00B32EF2" w:rsidRDefault="00000000">
                              <w:r>
                                <w:rPr>
                                  <w:rFonts w:ascii="Arial" w:eastAsia="Arial" w:hAnsi="Arial" w:cs="Arial"/>
                                  <w:sz w:val="18"/>
                                </w:rPr>
                                <w:t>Art. 9 - Nomina e tirocinio del magistrato tributario</w:t>
                              </w:r>
                            </w:p>
                          </w:txbxContent>
                        </wps:txbx>
                        <wps:bodyPr horzOverflow="overflow" vert="horz" lIns="0" tIns="0" rIns="0" bIns="0" rtlCol="0">
                          <a:noAutofit/>
                        </wps:bodyPr>
                      </wps:wsp>
                      <wps:wsp>
                        <wps:cNvPr id="23904" name="Rectangle 23904"/>
                        <wps:cNvSpPr/>
                        <wps:spPr>
                          <a:xfrm rot="-10799999">
                            <a:off x="-821682" y="1850496"/>
                            <a:ext cx="4813302" cy="142889"/>
                          </a:xfrm>
                          <a:prstGeom prst="rect">
                            <a:avLst/>
                          </a:prstGeom>
                          <a:ln>
                            <a:noFill/>
                          </a:ln>
                        </wps:spPr>
                        <wps:txbx>
                          <w:txbxContent>
                            <w:p w14:paraId="34C75DFF" w14:textId="77777777" w:rsidR="00B32EF2" w:rsidRDefault="00000000">
                              <w:r>
                                <w:rPr>
                                  <w:rFonts w:ascii="Arial" w:eastAsia="Arial" w:hAnsi="Arial" w:cs="Arial"/>
                                  <w:sz w:val="18"/>
                                </w:rPr>
                                <w:t>Art. 10 - I componenti delle corti di giustizia tributaria di secondo grado</w:t>
                              </w:r>
                            </w:p>
                          </w:txbxContent>
                        </wps:txbx>
                        <wps:bodyPr horzOverflow="overflow" vert="horz" lIns="0" tIns="0" rIns="0" bIns="0" rtlCol="0">
                          <a:noAutofit/>
                        </wps:bodyPr>
                      </wps:wsp>
                      <wps:wsp>
                        <wps:cNvPr id="23905" name="Rectangle 23905"/>
                        <wps:cNvSpPr/>
                        <wps:spPr>
                          <a:xfrm rot="-10799999">
                            <a:off x="-155930" y="1679046"/>
                            <a:ext cx="4147550" cy="142889"/>
                          </a:xfrm>
                          <a:prstGeom prst="rect">
                            <a:avLst/>
                          </a:prstGeom>
                          <a:ln>
                            <a:noFill/>
                          </a:ln>
                        </wps:spPr>
                        <wps:txbx>
                          <w:txbxContent>
                            <w:p w14:paraId="13CFB3E9" w14:textId="77777777" w:rsidR="00B32EF2" w:rsidRDefault="00000000">
                              <w:r>
                                <w:rPr>
                                  <w:rFonts w:ascii="Arial" w:eastAsia="Arial" w:hAnsi="Arial" w:cs="Arial"/>
                                  <w:sz w:val="18"/>
                                </w:rPr>
                                <w:t>Art. 11 - Formazione continua dei giudici e magistrati tributari</w:t>
                              </w:r>
                            </w:p>
                          </w:txbxContent>
                        </wps:txbx>
                        <wps:bodyPr horzOverflow="overflow" vert="horz" lIns="0" tIns="0" rIns="0" bIns="0" rtlCol="0">
                          <a:noAutofit/>
                        </wps:bodyPr>
                      </wps:wsp>
                      <wps:wsp>
                        <wps:cNvPr id="23906" name="Rectangle 23906"/>
                        <wps:cNvSpPr/>
                        <wps:spPr>
                          <a:xfrm rot="-10799999">
                            <a:off x="-15768" y="1507596"/>
                            <a:ext cx="4007388" cy="142889"/>
                          </a:xfrm>
                          <a:prstGeom prst="rect">
                            <a:avLst/>
                          </a:prstGeom>
                          <a:ln>
                            <a:noFill/>
                          </a:ln>
                        </wps:spPr>
                        <wps:txbx>
                          <w:txbxContent>
                            <w:p w14:paraId="7F73E346" w14:textId="77777777" w:rsidR="00B32EF2" w:rsidRDefault="00000000">
                              <w:r>
                                <w:rPr>
                                  <w:rFonts w:ascii="Arial" w:eastAsia="Arial" w:hAnsi="Arial" w:cs="Arial"/>
                                  <w:sz w:val="18"/>
                                </w:rPr>
                                <w:t>Art. 12 - La formazione delle sezioni e dei collegi giudicanti</w:t>
                              </w:r>
                            </w:p>
                          </w:txbxContent>
                        </wps:txbx>
                        <wps:bodyPr horzOverflow="overflow" vert="horz" lIns="0" tIns="0" rIns="0" bIns="0" rtlCol="0">
                          <a:noAutofit/>
                        </wps:bodyPr>
                      </wps:wsp>
                      <wps:wsp>
                        <wps:cNvPr id="23907" name="Rectangle 23907"/>
                        <wps:cNvSpPr/>
                        <wps:spPr>
                          <a:xfrm rot="-10799999">
                            <a:off x="-200957" y="1336146"/>
                            <a:ext cx="4192578" cy="142889"/>
                          </a:xfrm>
                          <a:prstGeom prst="rect">
                            <a:avLst/>
                          </a:prstGeom>
                          <a:ln>
                            <a:noFill/>
                          </a:ln>
                        </wps:spPr>
                        <wps:txbx>
                          <w:txbxContent>
                            <w:p w14:paraId="6D81F494" w14:textId="77777777" w:rsidR="00B32EF2" w:rsidRDefault="00000000">
                              <w:r>
                                <w:rPr>
                                  <w:rFonts w:ascii="Arial" w:eastAsia="Arial" w:hAnsi="Arial" w:cs="Arial"/>
                                  <w:b/>
                                  <w:sz w:val="18"/>
                                </w:rPr>
                                <w:t xml:space="preserve">Capo II - I componenti delle corti di giustizia tributaria di </w:t>
                              </w:r>
                            </w:p>
                          </w:txbxContent>
                        </wps:txbx>
                        <wps:bodyPr horzOverflow="overflow" vert="horz" lIns="0" tIns="0" rIns="0" bIns="0" rtlCol="0">
                          <a:noAutofit/>
                        </wps:bodyPr>
                      </wps:wsp>
                      <wps:wsp>
                        <wps:cNvPr id="23908" name="Rectangle 23908"/>
                        <wps:cNvSpPr/>
                        <wps:spPr>
                          <a:xfrm rot="-10799999">
                            <a:off x="254728" y="1336146"/>
                            <a:ext cx="536262" cy="142889"/>
                          </a:xfrm>
                          <a:prstGeom prst="rect">
                            <a:avLst/>
                          </a:prstGeom>
                          <a:ln>
                            <a:noFill/>
                          </a:ln>
                        </wps:spPr>
                        <wps:txbx>
                          <w:txbxContent>
                            <w:p w14:paraId="2502693A" w14:textId="77777777" w:rsidR="00B32EF2" w:rsidRDefault="00000000">
                              <w:r>
                                <w:rPr>
                                  <w:rFonts w:ascii="Arial" w:eastAsia="Arial" w:hAnsi="Arial" w:cs="Arial"/>
                                  <w:b/>
                                  <w:sz w:val="18"/>
                                </w:rPr>
                                <w:t>Pag. 23</w:t>
                              </w:r>
                            </w:p>
                          </w:txbxContent>
                        </wps:txbx>
                        <wps:bodyPr horzOverflow="overflow" vert="horz" lIns="0" tIns="0" rIns="0" bIns="0" rtlCol="0">
                          <a:noAutofit/>
                        </wps:bodyPr>
                      </wps:wsp>
                      <wps:wsp>
                        <wps:cNvPr id="23909" name="Rectangle 23909"/>
                        <wps:cNvSpPr/>
                        <wps:spPr>
                          <a:xfrm rot="-10799999">
                            <a:off x="2281105" y="1164696"/>
                            <a:ext cx="1712113" cy="142889"/>
                          </a:xfrm>
                          <a:prstGeom prst="rect">
                            <a:avLst/>
                          </a:prstGeom>
                          <a:ln>
                            <a:noFill/>
                          </a:ln>
                        </wps:spPr>
                        <wps:txbx>
                          <w:txbxContent>
                            <w:p w14:paraId="51A0728C" w14:textId="77777777" w:rsidR="00B32EF2" w:rsidRDefault="00000000">
                              <w:r>
                                <w:rPr>
                                  <w:rFonts w:ascii="Arial" w:eastAsia="Arial" w:hAnsi="Arial" w:cs="Arial"/>
                                  <w:b/>
                                  <w:sz w:val="18"/>
                                </w:rPr>
                                <w:t>primo e secondo grado</w:t>
                              </w:r>
                            </w:p>
                          </w:txbxContent>
                        </wps:txbx>
                        <wps:bodyPr horzOverflow="overflow" vert="horz" lIns="0" tIns="0" rIns="0" bIns="0" rtlCol="0">
                          <a:noAutofit/>
                        </wps:bodyPr>
                      </wps:wsp>
                      <wps:wsp>
                        <wps:cNvPr id="23910" name="Rectangle 23910"/>
                        <wps:cNvSpPr/>
                        <wps:spPr>
                          <a:xfrm rot="-10799999">
                            <a:off x="2223576" y="993246"/>
                            <a:ext cx="1768042" cy="142889"/>
                          </a:xfrm>
                          <a:prstGeom prst="rect">
                            <a:avLst/>
                          </a:prstGeom>
                          <a:ln>
                            <a:noFill/>
                          </a:ln>
                        </wps:spPr>
                        <wps:txbx>
                          <w:txbxContent>
                            <w:p w14:paraId="18ECDE16" w14:textId="77777777" w:rsidR="00B32EF2" w:rsidRDefault="00000000">
                              <w:r>
                                <w:rPr>
                                  <w:rFonts w:ascii="Arial" w:eastAsia="Arial" w:hAnsi="Arial" w:cs="Arial"/>
                                  <w:sz w:val="18"/>
                                </w:rPr>
                                <w:t>Art. 13 - Requisiti generali</w:t>
                              </w:r>
                            </w:p>
                          </w:txbxContent>
                        </wps:txbx>
                        <wps:bodyPr horzOverflow="overflow" vert="horz" lIns="0" tIns="0" rIns="0" bIns="0" rtlCol="0">
                          <a:noAutofit/>
                        </wps:bodyPr>
                      </wps:wsp>
                      <wps:wsp>
                        <wps:cNvPr id="23911" name="Rectangle 23911"/>
                        <wps:cNvSpPr/>
                        <wps:spPr>
                          <a:xfrm rot="-10799999">
                            <a:off x="2414330" y="821796"/>
                            <a:ext cx="1577289" cy="142889"/>
                          </a:xfrm>
                          <a:prstGeom prst="rect">
                            <a:avLst/>
                          </a:prstGeom>
                          <a:ln>
                            <a:noFill/>
                          </a:ln>
                        </wps:spPr>
                        <wps:txbx>
                          <w:txbxContent>
                            <w:p w14:paraId="633E630C" w14:textId="77777777" w:rsidR="00B32EF2" w:rsidRDefault="00000000">
                              <w:r>
                                <w:rPr>
                                  <w:rFonts w:ascii="Arial" w:eastAsia="Arial" w:hAnsi="Arial" w:cs="Arial"/>
                                  <w:sz w:val="18"/>
                                </w:rPr>
                                <w:t>Art. 14 - Incompatibilità</w:t>
                              </w:r>
                            </w:p>
                          </w:txbxContent>
                        </wps:txbx>
                        <wps:bodyPr horzOverflow="overflow" vert="horz" lIns="0" tIns="0" rIns="0" bIns="0" rtlCol="0">
                          <a:noAutofit/>
                        </wps:bodyPr>
                      </wps:wsp>
                      <wps:wsp>
                        <wps:cNvPr id="23912" name="Rectangle 23912"/>
                        <wps:cNvSpPr/>
                        <wps:spPr>
                          <a:xfrm rot="-10799999">
                            <a:off x="-760783" y="650346"/>
                            <a:ext cx="4752403" cy="142890"/>
                          </a:xfrm>
                          <a:prstGeom prst="rect">
                            <a:avLst/>
                          </a:prstGeom>
                          <a:ln>
                            <a:noFill/>
                          </a:ln>
                        </wps:spPr>
                        <wps:txbx>
                          <w:txbxContent>
                            <w:p w14:paraId="79A69F70" w14:textId="77777777" w:rsidR="00B32EF2" w:rsidRDefault="00000000">
                              <w:r>
                                <w:rPr>
                                  <w:rFonts w:ascii="Arial" w:eastAsia="Arial" w:hAnsi="Arial" w:cs="Arial"/>
                                  <w:sz w:val="18"/>
                                </w:rPr>
                                <w:t>Art. 15 - Procedimenti di nomina dei componenti delle corti di giustizia</w:t>
                              </w:r>
                            </w:p>
                          </w:txbxContent>
                        </wps:txbx>
                        <wps:bodyPr horzOverflow="overflow" vert="horz" lIns="0" tIns="0" rIns="0" bIns="0" rtlCol="0">
                          <a:noAutofit/>
                        </wps:bodyPr>
                      </wps:wsp>
                      <wps:wsp>
                        <wps:cNvPr id="23913" name="Rectangle 23913"/>
                        <wps:cNvSpPr/>
                        <wps:spPr>
                          <a:xfrm rot="-10799999">
                            <a:off x="1607353" y="478896"/>
                            <a:ext cx="2384267" cy="142889"/>
                          </a:xfrm>
                          <a:prstGeom prst="rect">
                            <a:avLst/>
                          </a:prstGeom>
                          <a:ln>
                            <a:noFill/>
                          </a:ln>
                        </wps:spPr>
                        <wps:txbx>
                          <w:txbxContent>
                            <w:p w14:paraId="09147982" w14:textId="77777777" w:rsidR="00B32EF2" w:rsidRDefault="00000000">
                              <w:r>
                                <w:rPr>
                                  <w:rFonts w:ascii="Arial" w:eastAsia="Arial" w:hAnsi="Arial" w:cs="Arial"/>
                                  <w:sz w:val="18"/>
                                </w:rPr>
                                <w:t>tributaria di primo e secondo grado</w:t>
                              </w:r>
                            </w:p>
                          </w:txbxContent>
                        </wps:txbx>
                        <wps:bodyPr horzOverflow="overflow" vert="horz" lIns="0" tIns="0" rIns="0" bIns="0" rtlCol="0">
                          <a:noAutofit/>
                        </wps:bodyPr>
                      </wps:wsp>
                      <wps:wsp>
                        <wps:cNvPr id="23914" name="Rectangle 23914"/>
                        <wps:cNvSpPr/>
                        <wps:spPr>
                          <a:xfrm rot="-10799999">
                            <a:off x="2555799" y="307446"/>
                            <a:ext cx="1435819" cy="142889"/>
                          </a:xfrm>
                          <a:prstGeom prst="rect">
                            <a:avLst/>
                          </a:prstGeom>
                          <a:ln>
                            <a:noFill/>
                          </a:ln>
                        </wps:spPr>
                        <wps:txbx>
                          <w:txbxContent>
                            <w:p w14:paraId="44AC8430" w14:textId="77777777" w:rsidR="00B32EF2" w:rsidRDefault="00000000">
                              <w:r>
                                <w:rPr>
                                  <w:rFonts w:ascii="Arial" w:eastAsia="Arial" w:hAnsi="Arial" w:cs="Arial"/>
                                  <w:sz w:val="18"/>
                                </w:rPr>
                                <w:t>Art. 16 -  Giuramento</w:t>
                              </w:r>
                            </w:p>
                          </w:txbxContent>
                        </wps:txbx>
                        <wps:bodyPr horzOverflow="overflow" vert="horz" lIns="0" tIns="0" rIns="0" bIns="0" rtlCol="0">
                          <a:noAutofit/>
                        </wps:bodyPr>
                      </wps:wsp>
                      <wps:wsp>
                        <wps:cNvPr id="23915" name="Rectangle 23915"/>
                        <wps:cNvSpPr/>
                        <wps:spPr>
                          <a:xfrm rot="-10799999">
                            <a:off x="-1218315" y="135996"/>
                            <a:ext cx="5209935" cy="142889"/>
                          </a:xfrm>
                          <a:prstGeom prst="rect">
                            <a:avLst/>
                          </a:prstGeom>
                          <a:ln>
                            <a:noFill/>
                          </a:ln>
                        </wps:spPr>
                        <wps:txbx>
                          <w:txbxContent>
                            <w:p w14:paraId="30EBCCD4" w14:textId="77777777" w:rsidR="00B32EF2" w:rsidRDefault="00000000">
                              <w:r>
                                <w:rPr>
                                  <w:rFonts w:ascii="Arial" w:eastAsia="Arial" w:hAnsi="Arial" w:cs="Arial"/>
                                  <w:sz w:val="18"/>
                                </w:rPr>
                                <w:t>Art. 17 - Durata dell’incarico e assegnazione degli incarichi per trasferimento</w:t>
                              </w:r>
                            </w:p>
                          </w:txbxContent>
                        </wps:txbx>
                        <wps:bodyPr horzOverflow="overflow" vert="horz" lIns="0" tIns="0" rIns="0" bIns="0" rtlCol="0">
                          <a:noAutofit/>
                        </wps:bodyPr>
                      </wps:wsp>
                      <wps:wsp>
                        <wps:cNvPr id="23916" name="Rectangle 23916"/>
                        <wps:cNvSpPr/>
                        <wps:spPr>
                          <a:xfrm rot="-10799999">
                            <a:off x="1725806" y="-35453"/>
                            <a:ext cx="2265813" cy="142889"/>
                          </a:xfrm>
                          <a:prstGeom prst="rect">
                            <a:avLst/>
                          </a:prstGeom>
                          <a:ln>
                            <a:noFill/>
                          </a:ln>
                        </wps:spPr>
                        <wps:txbx>
                          <w:txbxContent>
                            <w:p w14:paraId="48ADE23C" w14:textId="77777777" w:rsidR="00B32EF2" w:rsidRDefault="00000000">
                              <w:r>
                                <w:rPr>
                                  <w:rFonts w:ascii="Arial" w:eastAsia="Arial" w:hAnsi="Arial" w:cs="Arial"/>
                                  <w:sz w:val="18"/>
                                </w:rPr>
                                <w:t xml:space="preserve">Art. 18 - Decadenza dall’incarico </w:t>
                              </w:r>
                            </w:p>
                          </w:txbxContent>
                        </wps:txbx>
                        <wps:bodyPr horzOverflow="overflow" vert="horz" lIns="0" tIns="0" rIns="0" bIns="0" rtlCol="0">
                          <a:noAutofit/>
                        </wps:bodyPr>
                      </wps:wsp>
                    </wpg:wgp>
                  </a:graphicData>
                </a:graphic>
              </wp:inline>
            </w:drawing>
          </mc:Choice>
          <mc:Fallback>
            <w:pict>
              <v:group w14:anchorId="44845E26" id="Group 202466" o:spid="_x0000_s7393" style="width:314.3pt;height:448.55pt;mso-position-horizontal-relative:char;mso-position-vertical-relative:line" coordsize="39916,56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ischAcAAApRAAAOAAAAZHJzL2Uyb0RvYy54bWzkXNuO2zYQfS/QfzD07phXkTTiDYqmDQoU&#10;TdC0H6D1ymsDtmVITrzp1/eQsuitxLSAhC4DMA+OTWtlas6cmeHhSK/fPB32s89l3eyq4yqjr0g2&#10;K4/r6mF3fFxlf/7x81xns+ZcHB+KfXUsV9mXssne3H3/3evLaVmyalvtH8p6hpMcm+XltMq25/Np&#10;uVg06215KJpX1ak84stNVR+KMz7Wj4uHurjg7If9ghGSLy5V/XCqq3XZNBh9236Z3bnzbzbl+vx+&#10;s2nK82y/yjC3s3ut3eu9fV3cvS6Wj3Vx2u7W12kUI2ZxKHZH/Kg/1dviXMw+1bvBqQ67dV011eb8&#10;al0dFtVms1uX7hpwNZT0ruZdXX06uWt5XF4eT95MMG3PTqNPu/7t87v69PH0oYYlLqdH2MJ9stfy&#10;tKkP9n/McvbkTPbFm6x8Os/WGOTG0JyabLbGdzI3uSJ5a9T1FpYf/N16+9N//OWi++HFP6ZzOcFB&#10;mpsNmmk2+LgtTqUzbbOEDT7Us93DKmNcK1zLsTjAVX+H8xTHx305a4edgdzR3lzNsoHlOlvN6gr+&#10;NadEGfvP+cPVdkwJQyjPZtZKUnJNr1bq7EiZEMTgAGtHKpg2zje9MYrlqW7O78rqMLNvVlmN2blf&#10;KD7/2pwxNxzaHWIntD/a12P1826/b7+1I7BpN2f77vx0/+QuPKdUWtjs4H318AX22Fb1X+/B7M2+&#10;uqyy6vous2THz9tvs9n+lyNwsLzq3tTdm/vuTX3e/1g59rUT+uHTudrs3Ixvv3adGQBu5/D/I02Y&#10;kJj4AOp2fArWXFJBpGyxZsoI08daKcpZfsNaG2v7F8TaTehm/RSwpl/BmnZujygwgtdUM8Zxbsvr&#10;bxNr1V1gGrzmWoegdsNTWD2nnCrBWAs1IjTnPVpLTkxORURa6+SgBhyDCA6oWWeIUaSec0qu4ZsQ&#10;SZVjULHsUjVKHqEYDuhS9YuHb5cukgrfAsuIAdBI1RifQmqqkZwVMjHCt1CcaNnjNGMa3yOgxMKa&#10;uTIwLayBRxBrX7WMYjXNNc9R3H+7UPtSJI1MbemLKBqE2i9GRkHNuc5p3obwf6E1kkc0WvsMlQbW&#10;yMkojAZQu+FJARxraYVCzLFaGhC8H8AFV+63oyHNuwyVDNIhUgPpaZzWTHeJmkkoLD2cuSFaiYjF&#10;NxPJ4RzK08B5WppmUBOv4olwQPeqb8nAeFSD0fjs3TgZPqtw5PbCwqgczaRhUrSKqACfuegxmmKd&#10;RSzloyHtHTkZpEOrLDB62iIL0Tq3UqstvENAMy2VwMIrHtDek5MBOrzJ0QoZdrE5jtLPQncI6Oih&#10;2/txKjhjEylUdLd7S6NxRgI2VucEoVF2KT2oxQSOIDFrscQEMq5NWPPG8KTVFcUWu93c/SrSGlLo&#10;s03Ll1ZCeWLqGIAOK94YngL0s6I7yOjYkRs7bNfLSyZyg1UBuQQdAlNwnjMqBXb6HaGhm4h+0S0Y&#10;UYTjgFhFN/eOnAzSYWHMeD1hVC1GsWsh7caFDd0yF6afpLFtjc2tiAtp7l05GaTDwpjxisIopOeS&#10;Ep63+9KcGy4HnJbI4TpmlvaunAzSYWms5eDoupsZRdFF1nKaMYZ2A5sNbjvTlDDsV6Neixa9vSsn&#10;g3RYHDNeUhjHaYVmk47TRJJ8wGmF/hO0OcRDOjlxzITFMQxPqciY1Jza7gbkaexwGDrgtCBaqIgd&#10;CNy7cjKcDqtj6OidgvRcUIZe0BZpRZQacFoQyKAxo7d35USQNiSoj9nhKUhTYRN1C7REadanNNcC&#10;eRw/HS1Ne09OBuigPmaLqSlAz5lhLG+3NhhW03pAaaaxfRIRaeE9ORmkgwKZIV5XGFWQUWVv0GiF&#10;E0YN1lm90puh+ZuqiMKJ8K6cDNJBicwQryuMQhrb0qis2+BNAHWf0oDeMNtiHit4C+/JyQAdVMgM&#10;dpgmBW/N0BLa6iZUSzK4TUdoyjniRjykvScng3RQITPoxp+ENJVoDWzTNM0VHKcXvAUVStoWhWic&#10;9q6cDNJBhcy0N4+OVsjmVKq8Dd4UbSeyn6UFIQoFWUSgvScnA3RQIEPbwDRKY2PaSJwasgmiNG67&#10;GlAa7WUx+wTbCVlPTgZp8Gq4ZYm+3ElIo0lQsSulQ0DbBbZVSqOFbu/IyeAclMcM8aLCqLobd1rR&#10;7rY7SiF492O3XYJRewt9NKS9I6eCNEVJFGA0hqeUY9i54kjTLnYbw1k/dGPnQxOscuIB7T05GaDD&#10;8hj1msI4SqOuxgrKAY3F1uCeDRRrCO0RBW+U/FdHTgZo0CrEaK8pjAJ6rnK0gSI0oxpDq/eglR+r&#10;Kyagy3hGv/TDTaR35GSADotjyJ9TQjcFzly2QAvcV9fP0XhQjmA5yvJYOVp6R04G6LA4hv7sKUAz&#10;PKQITzFyjOYEN9b1llcI7FLH7DSBE6YWusPa2O25TeNCN4pqdCC0OxuUy0GfoESbEZrKIlLae3Iy&#10;lA5rY+0jw0ZrYxTPLNHQ12ySnqNLsGXQrXkMO5mg9LMk/dLN/Ljr8xuhtHvyHB64557JdX04oH2i&#10;3/PP7ollt0cY3v0NAAD//wMAUEsDBBQABgAIAAAAIQDx1yf13QAAAAUBAAAPAAAAZHJzL2Rvd25y&#10;ZXYueG1sTI9BS8NAEIXvgv9hGcGb3aRiTGM2pRT1VIS2gvQ2zU6T0OxsyG6T9N+7etHLwOM93vsm&#10;X06mFQP1rrGsIJ5FIIhLqxuuFHzu3x5SEM4ja2wtk4IrOVgWtzc5ZtqOvKVh5ysRSthlqKD2vsuk&#10;dGVNBt3MdsTBO9neoA+yr6TucQzlppXzKEqkwYbDQo0drWsqz7uLUfA+4rh6jF+Hzfm0vh72Tx9f&#10;m5iUur+bVi8gPE3+Lww/+AEdisB0tBfWTrQKwiP+9wYvmacJiKOCdPEcgyxy+Z+++AYAAP//AwBQ&#10;SwECLQAUAAYACAAAACEAtoM4kv4AAADhAQAAEwAAAAAAAAAAAAAAAAAAAAAAW0NvbnRlbnRfVHlw&#10;ZXNdLnhtbFBLAQItABQABgAIAAAAIQA4/SH/1gAAAJQBAAALAAAAAAAAAAAAAAAAAC8BAABfcmVs&#10;cy8ucmVsc1BLAQItABQABgAIAAAAIQAcJischAcAAApRAAAOAAAAAAAAAAAAAAAAAC4CAABkcnMv&#10;ZTJvRG9jLnhtbFBLAQItABQABgAIAAAAIQDx1yf13QAAAAUBAAAPAAAAAAAAAAAAAAAAAN4JAABk&#10;cnMvZG93bnJldi54bWxQSwUGAAAAAAQABADzAAAA6AoAAAAA&#10;">
                <v:rect id="Rectangle 23879" o:spid="_x0000_s7394" style="position:absolute;left:27490;top:55538;width:1244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8w3xwAAAN4AAAAPAAAAZHJzL2Rvd25yZXYueG1sRI9Ba8JA&#10;FITvgv9heUJvuqkFm6auIoo0h160KfT4yD6TtNm3S3Y1qb++KxQ8DjPzDbNcD6YVF+p8Y1nB4ywB&#10;QVxa3XCloPjYT1MQPiBrbC2Tgl/ysF6NR0vMtO35QJdjqESEsM9QQR2Cy6T0ZU0G/cw64uidbGcw&#10;RNlVUnfYR7hp5TxJFtJgw3GhRkfbmsqf49ko+Nqxy/e9LE/XrXv/ztP27Vx8KvUwGTavIAIN4R7+&#10;b+dawfwpfX6B2514BeTqDwAA//8DAFBLAQItABQABgAIAAAAIQDb4fbL7gAAAIUBAAATAAAAAAAA&#10;AAAAAAAAAAAAAABbQ29udGVudF9UeXBlc10ueG1sUEsBAi0AFAAGAAgAAAAhAFr0LFu/AAAAFQEA&#10;AAsAAAAAAAAAAAAAAAAAHwEAAF9yZWxzLy5yZWxzUEsBAi0AFAAGAAgAAAAhANHzzDfHAAAA3gAA&#10;AA8AAAAAAAAAAAAAAAAABwIAAGRycy9kb3ducmV2LnhtbFBLBQYAAAAAAwADALcAAAD7AgAAAAA=&#10;" filled="f" stroked="f">
                  <v:textbox inset="0,0,0,0">
                    <w:txbxContent>
                      <w:p w14:paraId="066971DB" w14:textId="77777777" w:rsidR="00B32EF2" w:rsidRDefault="00000000">
                        <w:r>
                          <w:rPr>
                            <w:rFonts w:ascii="Arial" w:eastAsia="Arial" w:hAnsi="Arial" w:cs="Arial"/>
                            <w:b/>
                            <w:sz w:val="18"/>
                          </w:rPr>
                          <w:t>Indice normativo</w:t>
                        </w:r>
                      </w:p>
                    </w:txbxContent>
                  </v:textbox>
                </v:rect>
                <v:rect id="Rectangle 202450" o:spid="_x0000_s7395" style="position:absolute;left:35140;top:52794;width:177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8TbxgAAAN8AAAAPAAAAZHJzL2Rvd25yZXYueG1sRI/LasJA&#10;FIb3Bd9hOIK7OjG0RaKjiCLNwk29gMtD5phEM2eGzGiiT99ZFLr8+W9882VvGvGg1teWFUzGCQji&#10;wuqaSwXHw/Z9CsIHZI2NZVLwJA/LxeBtjpm2Hf/QYx9KEUfYZ6igCsFlUvqiIoN+bB1x9C62NRii&#10;bEupW+ziuGlkmiRf0mDN8aFCR+uKitv+bhScN+zybSeLy2vtdtd82nzfjyelRsN+NQMRqA//4b92&#10;rhWkSfrxGQkiT2QBufgFAAD//wMAUEsBAi0AFAAGAAgAAAAhANvh9svuAAAAhQEAABMAAAAAAAAA&#10;AAAAAAAAAAAAAFtDb250ZW50X1R5cGVzXS54bWxQSwECLQAUAAYACAAAACEAWvQsW78AAAAVAQAA&#10;CwAAAAAAAAAAAAAAAAAfAQAAX3JlbHMvLnJlbHNQSwECLQAUAAYACAAAACEAxuPE28YAAADfAAAA&#10;DwAAAAAAAAAAAAAAAAAHAgAAZHJzL2Rvd25yZXYueG1sUEsFBgAAAAADAAMAtwAAAPoCAAAAAA==&#10;" filled="f" stroked="f">
                  <v:textbox inset="0,0,0,0">
                    <w:txbxContent>
                      <w:p w14:paraId="6AF9D56B" w14:textId="77777777" w:rsidR="00B32EF2" w:rsidRDefault="00000000">
                        <w:r>
                          <w:rPr>
                            <w:rFonts w:ascii="Arial" w:eastAsia="Arial" w:hAnsi="Arial" w:cs="Arial"/>
                            <w:sz w:val="18"/>
                          </w:rPr>
                          <w:t>-</w:t>
                        </w:r>
                      </w:p>
                    </w:txbxContent>
                  </v:textbox>
                </v:rect>
                <v:rect id="Rectangle 202451" o:spid="_x0000_s7396" style="position:absolute;left:21822;top:52794;width:1771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2FAyAAAAN8AAAAPAAAAZHJzL2Rvd25yZXYueG1sRI9Pa8JA&#10;FMTvgt9heYI33RhqkdRVRJHm0Ev9Az0+ss8kbfbtkl1N7Kd3CwWPw8z8hlmue9OIG7W+tqxgNk1A&#10;EBdW11wqOB33kwUIH5A1NpZJwZ08rFfDwRIzbTv+pNshlCJC2GeooArBZVL6oiKDfmodcfQutjUY&#10;omxLqVvsItw0Mk2SV2mw5rhQoaNtRcXP4WoUfO3Y5ftOFpffrfv4zhfN+/V0Vmo86jdvIAL14Rn+&#10;b+daQZqkL/MZ/P2JX0CuHgAAAP//AwBQSwECLQAUAAYACAAAACEA2+H2y+4AAACFAQAAEwAAAAAA&#10;AAAAAAAAAAAAAAAAW0NvbnRlbnRfVHlwZXNdLnhtbFBLAQItABQABgAIAAAAIQBa9CxbvwAAABUB&#10;AAALAAAAAAAAAAAAAAAAAB8BAABfcmVscy8ucmVsc1BLAQItABQABgAIAAAAIQCpr2FAyAAAAN8A&#10;AAAPAAAAAAAAAAAAAAAAAAcCAABkcnMvZG93bnJldi54bWxQSwUGAAAAAAMAAwC3AAAA/AIAAAAA&#10;" filled="f" stroked="f">
                  <v:textbox inset="0,0,0,0">
                    <w:txbxContent>
                      <w:p w14:paraId="1B5D4A97" w14:textId="77777777" w:rsidR="00B32EF2" w:rsidRDefault="00000000">
                        <w:r>
                          <w:rPr>
                            <w:rFonts w:ascii="Arial" w:eastAsia="Arial" w:hAnsi="Arial" w:cs="Arial"/>
                            <w:sz w:val="18"/>
                          </w:rPr>
                          <w:t xml:space="preserve"> L. del 09.08.2023 n. 111 </w:t>
                        </w:r>
                      </w:p>
                    </w:txbxContent>
                  </v:textbox>
                </v:rect>
                <v:rect id="Rectangle 23881" o:spid="_x0000_s7397" style="position:absolute;left:-13174;top:51423;width:5309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LAWxgAAAN4AAAAPAAAAZHJzL2Rvd25yZXYueG1sRI9Ba8JA&#10;FITvBf/D8gRvdaOChOgqoog59KK10OMj+0yi2bdLdjVpf31XEHocZuYbZrnuTSMe1PrasoLJOAFB&#10;XFhdc6ng/Ll/T0H4gKyxsUwKfsjDejV4W2KmbcdHepxCKSKEfYYKqhBcJqUvKjLox9YRR+9iW4Mh&#10;yraUusUuwk0jp0kylwZrjgsVOtpWVNxOd6Pge8cu33eyuPxu3cc1T5vD/fyl1GjYbxYgAvXhP/xq&#10;51rBdJamE3jeiVdArv4AAAD//wMAUEsBAi0AFAAGAAgAAAAhANvh9svuAAAAhQEAABMAAAAAAAAA&#10;AAAAAAAAAAAAAFtDb250ZW50X1R5cGVzXS54bWxQSwECLQAUAAYACAAAACEAWvQsW78AAAAVAQAA&#10;CwAAAAAAAAAAAAAAAAAfAQAAX3JlbHMvLnJlbHNQSwECLQAUAAYACAAAACEAGlCwFsYAAADeAAAA&#10;DwAAAAAAAAAAAAAAAAAHAgAAZHJzL2Rvd25yZXYueG1sUEsFBgAAAAADAAMAtwAAAPoCAAAAAA==&#10;" filled="f" stroked="f">
                  <v:textbox inset="0,0,0,0">
                    <w:txbxContent>
                      <w:p w14:paraId="48D1FAD5" w14:textId="77777777" w:rsidR="00B32EF2" w:rsidRDefault="00000000">
                        <w:r>
                          <w:rPr>
                            <w:rFonts w:ascii="Arial" w:eastAsia="Arial" w:hAnsi="Arial" w:cs="Arial"/>
                            <w:sz w:val="18"/>
                          </w:rPr>
                          <w:t xml:space="preserve">Art. 21 - Principi e criteri direttivi per il riordino del sistema tributario mediante </w:t>
                        </w:r>
                      </w:p>
                    </w:txbxContent>
                  </v:textbox>
                </v:rect>
                <v:rect id="Rectangle 23882" o:spid="_x0000_s7398" style="position:absolute;left:-31;top:50051;width:3994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5hxgAAAN4AAAAPAAAAZHJzL2Rvd25yZXYueG1sRI9Ba8JA&#10;FITvBf/D8gRvdWOEEqKriCLm0EutgsdH9plEs2+X7GrS/vpuodDjMDPfMMv1YFrxpM43lhXMpgkI&#10;4tLqhisFp8/9awbCB2SNrWVS8EUe1qvRyxJzbXv+oOcxVCJC2OeooA7B5VL6siaDfmodcfSutjMY&#10;ouwqqTvsI9y0Mk2SN2mw4bhQo6NtTeX9+DAKLjt2xb6X5fV7695vRdYeHqezUpPxsFmACDSE//Bf&#10;u9AK0nmWpfB7J14BufoBAAD//wMAUEsBAi0AFAAGAAgAAAAhANvh9svuAAAAhQEAABMAAAAAAAAA&#10;AAAAAAAAAAAAAFtDb250ZW50X1R5cGVzXS54bWxQSwECLQAUAAYACAAAACEAWvQsW78AAAAVAQAA&#10;CwAAAAAAAAAAAAAAAAAfAQAAX3JlbHMvLnJlbHNQSwECLQAUAAYACAAAACEA6oIuYcYAAADeAAAA&#10;DwAAAAAAAAAAAAAAAAAHAgAAZHJzL2Rvd25yZXYueG1sUEsFBgAAAAADAAMAtwAAAPoCAAAAAA==&#10;" filled="f" stroked="f">
                  <v:textbox inset="0,0,0,0">
                    <w:txbxContent>
                      <w:p w14:paraId="59959F0A" w14:textId="77777777" w:rsidR="00B32EF2" w:rsidRDefault="00000000">
                        <w:r>
                          <w:rPr>
                            <w:rFonts w:ascii="Arial" w:eastAsia="Arial" w:hAnsi="Arial" w:cs="Arial"/>
                            <w:sz w:val="18"/>
                          </w:rPr>
                          <w:t>la redazione di testi unici e di un codice del diritto tributario</w:t>
                        </w:r>
                      </w:p>
                    </w:txbxContent>
                  </v:textbox>
                </v:rect>
                <v:rect id="Rectangle 202448" o:spid="_x0000_s7399" style="position:absolute;left:18496;top:47308;width:228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F4AxAAAAN8AAAAPAAAAZHJzL2Rvd25yZXYueG1sRE9Ni8Iw&#10;EL0v+B/CCN7W1CKLVKOIIvbgZV0Fj0MzttVmEppoq79+c1jY4+N9L1a9acSTWl9bVjAZJyCIC6tr&#10;LhWcfnafMxA+IGtsLJOCF3lYLQcfC8y07fibnsdQihjCPkMFVQguk9IXFRn0Y+uII3e1rcEQYVtK&#10;3WIXw00j0yT5kgZrjg0VOtpUVNyPD6PgsmWX7zpZXN8bd7jls2b/OJ2VGg379RxEoD78i//cuVaQ&#10;Jul0GgfHP/ELyOUvAAAA//8DAFBLAQItABQABgAIAAAAIQDb4fbL7gAAAIUBAAATAAAAAAAAAAAA&#10;AAAAAAAAAABbQ29udGVudF9UeXBlc10ueG1sUEsBAi0AFAAGAAgAAAAhAFr0LFu/AAAAFQEAAAsA&#10;AAAAAAAAAAAAAAAAHwEAAF9yZWxzLy5yZWxzUEsBAi0AFAAGAAgAAAAhAL1MXgDEAAAA3wAAAA8A&#10;AAAAAAAAAAAAAAAABwIAAGRycy9kb3ducmV2LnhtbFBLBQYAAAAAAwADALcAAAD4AgAAAAA=&#10;" filled="f" stroked="f">
                  <v:textbox inset="0,0,0,0">
                    <w:txbxContent>
                      <w:p w14:paraId="7EBB7BE0" w14:textId="77777777" w:rsidR="00B32EF2" w:rsidRDefault="00000000">
                        <w:r>
                          <w:rPr>
                            <w:rFonts w:ascii="Arial" w:eastAsia="Arial" w:hAnsi="Arial" w:cs="Arial"/>
                            <w:sz w:val="18"/>
                          </w:rPr>
                          <w:t xml:space="preserve"> D.lgs. 14 novembre 2024, n. </w:t>
                        </w:r>
                      </w:p>
                    </w:txbxContent>
                  </v:textbox>
                </v:rect>
                <v:rect id="Rectangle 202446" o:spid="_x0000_s7400" style="position:absolute;left:1683;top:47308;width:228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2/pxwAAAN8AAAAPAAAAZHJzL2Rvd25yZXYueG1sRI9Pi8Iw&#10;FMTvC36H8IS9ralFRKpRRBF78LL+AY+P5tl2t3kJTbRdP/1mYcHjMDO/YRar3jTiQa2vLSsYjxIQ&#10;xIXVNZcKzqfdxwyED8gaG8uk4Ic8rJaDtwVm2nb8SY9jKEWEsM9QQRWCy6T0RUUG/cg64ujdbGsw&#10;RNmWUrfYRbhpZJokU2mw5rhQoaNNRcX38W4UXLfs8l0ni9tz4w5f+azZ388Xpd6H/XoOIlAfXuH/&#10;dq4VpEk6mUzh70/8AnL5CwAA//8DAFBLAQItABQABgAIAAAAIQDb4fbL7gAAAIUBAAATAAAAAAAA&#10;AAAAAAAAAAAAAABbQ29udGVudF9UeXBlc10ueG1sUEsBAi0AFAAGAAgAAAAhAFr0LFu/AAAAFQEA&#10;AAsAAAAAAAAAAAAAAAAAHwEAAF9yZWxzLy5yZWxzUEsBAi0AFAAGAAgAAAAhAKOfb+nHAAAA3wAA&#10;AA8AAAAAAAAAAAAAAAAABwIAAGRycy9kb3ducmV2LnhtbFBLBQYAAAAAAwADALcAAAD7AgAAAAA=&#10;" filled="f" stroked="f">
                  <v:textbox inset="0,0,0,0">
                    <w:txbxContent>
                      <w:p w14:paraId="13DB67FF" w14:textId="77777777" w:rsidR="00B32EF2" w:rsidRDefault="00000000">
                        <w:r>
                          <w:rPr>
                            <w:rFonts w:ascii="Arial" w:eastAsia="Arial" w:hAnsi="Arial" w:cs="Arial"/>
                            <w:sz w:val="18"/>
                          </w:rPr>
                          <w:t>175</w:t>
                        </w:r>
                      </w:p>
                    </w:txbxContent>
                  </v:textbox>
                </v:rect>
                <v:rect id="Rectangle 202445" o:spid="_x0000_s7401" style="position:absolute;left:33861;top:47308;width:2286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fGexwAAAN8AAAAPAAAAZHJzL2Rvd25yZXYueG1sRI9Ba8JA&#10;FITvhf6H5RV6qxuDFomuIoqYgxetBY+P7DNJm327ZFeT+utdoeBxmJlvmNmiN424UutrywqGgwQE&#10;cWF1zaWC49fmYwLCB2SNjWVS8EceFvPXlxlm2na8p+shlCJC2GeooArBZVL6oiKDfmAdcfTOtjUY&#10;omxLqVvsItw0Mk2ST2mw5rhQoaNVRcXv4WIUnNbs8k0ni/Nt5XY/+aTZXo7fSr2/9cspiEB9eIb/&#10;27lWkCbpaDSGx5/4BeT8DgAA//8DAFBLAQItABQABgAIAAAAIQDb4fbL7gAAAIUBAAATAAAAAAAA&#10;AAAAAAAAAAAAAABbQ29udGVudF9UeXBlc10ueG1sUEsBAi0AFAAGAAgAAAAhAFr0LFu/AAAAFQEA&#10;AAsAAAAAAAAAAAAAAAAAHwEAAF9yZWxzLy5yZWxzUEsBAi0AFAAGAAgAAAAhAFNN8Z7HAAAA3wAA&#10;AA8AAAAAAAAAAAAAAAAABwIAAGRycy9kb3ducmV2LnhtbFBLBQYAAAAAAwADALcAAAD7AgAAAAA=&#10;" filled="f" stroked="f">
                  <v:textbox inset="0,0,0,0">
                    <w:txbxContent>
                      <w:p w14:paraId="788974F6" w14:textId="77777777" w:rsidR="00B32EF2" w:rsidRDefault="00000000">
                        <w:r>
                          <w:rPr>
                            <w:rFonts w:ascii="Arial" w:eastAsia="Arial" w:hAnsi="Arial" w:cs="Arial"/>
                            <w:sz w:val="18"/>
                          </w:rPr>
                          <w:t>-</w:t>
                        </w:r>
                      </w:p>
                    </w:txbxContent>
                  </v:textbox>
                </v:rect>
                <v:rect id="Rectangle 23884" o:spid="_x0000_s7402" style="position:absolute;left:15537;top:45936;width:243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xOOxwAAAN4AAAAPAAAAZHJzL2Rvd25yZXYueG1sRI9Pa8JA&#10;FMTvBb/D8gRvdaMtJURXEUWaQy/1D3h8ZJ9JNPt2ya4m9tN3CwWPw8z8hpkve9OIO7W+tqxgMk5A&#10;EBdW11wqOOy3rykIH5A1NpZJwYM8LBeDlzlm2nb8TfddKEWEsM9QQRWCy6T0RUUG/dg64uidbWsw&#10;RNmWUrfYRbhp5DRJPqTBmuNChY7WFRXX3c0oOG3Y5dtOFueftfu65GnzeTsclRoN+9UMRKA+PMP/&#10;7VwrmL6l6Tv83YlXQC5+AQAA//8DAFBLAQItABQABgAIAAAAIQDb4fbL7gAAAIUBAAATAAAAAAAA&#10;AAAAAAAAAAAAAABbQ29udGVudF9UeXBlc10ueG1sUEsBAi0AFAAGAAgAAAAhAFr0LFu/AAAAFQEA&#10;AAsAAAAAAAAAAAAAAAAAHwEAAF9yZWxzLy5yZWxzUEsBAi0AFAAGAAgAAAAhAAonE47HAAAA3gAA&#10;AA8AAAAAAAAAAAAAAAAABwIAAGRycy9kb3ducmV2LnhtbFBLBQYAAAAAAwADALcAAAD7AgAAAAA=&#10;" filled="f" stroked="f">
                  <v:textbox inset="0,0,0,0">
                    <w:txbxContent>
                      <w:p w14:paraId="0ACF701F" w14:textId="77777777" w:rsidR="00B32EF2" w:rsidRDefault="00000000">
                        <w:r>
                          <w:rPr>
                            <w:rFonts w:ascii="Arial" w:eastAsia="Arial" w:hAnsi="Arial" w:cs="Arial"/>
                            <w:sz w:val="18"/>
                          </w:rPr>
                          <w:t>Testo unico della giustizia tributaria.</w:t>
                        </w:r>
                      </w:p>
                    </w:txbxContent>
                  </v:textbox>
                </v:rect>
                <v:rect id="Rectangle 23885" o:spid="_x0000_s7403" style="position:absolute;left:828;top:42507;width:3908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7YVxwAAAN4AAAAPAAAAZHJzL2Rvd25yZXYueG1sRI9Pa8JA&#10;FMTvBb/D8gRvdaOlJURXEUWaQy/1D3h8ZJ9JNPt2ya4m9tN3CwWPw8z8hpkve9OIO7W+tqxgMk5A&#10;EBdW11wqOOy3rykIH5A1NpZJwYM8LBeDlzlm2nb8TfddKEWEsM9QQRWCy6T0RUUG/dg64uidbWsw&#10;RNmWUrfYRbhp5DRJPqTBmuNChY7WFRXX3c0oOG3Y5dtOFueftfu65GnzeTsclRoN+9UMRKA+PMP/&#10;7VwrmL6l6Tv83YlXQC5+AQAA//8DAFBLAQItABQABgAIAAAAIQDb4fbL7gAAAIUBAAATAAAAAAAA&#10;AAAAAAAAAAAAAABbQ29udGVudF9UeXBlc10ueG1sUEsBAi0AFAAGAAgAAAAhAFr0LFu/AAAAFQEA&#10;AAsAAAAAAAAAAAAAAAAAHwEAAF9yZWxzLy5yZWxzUEsBAi0AFAAGAAgAAAAhAGVrthXHAAAA3gAA&#10;AA8AAAAAAAAAAAAAAAAABwIAAGRycy9kb3ducmV2LnhtbFBLBQYAAAAAAwADALcAAAD7AgAAAAA=&#10;" filled="f" stroked="f">
                  <v:textbox inset="0,0,0,0">
                    <w:txbxContent>
                      <w:p w14:paraId="363A6AA7" w14:textId="77777777" w:rsidR="00B32EF2" w:rsidRDefault="00000000">
                        <w:r>
                          <w:rPr>
                            <w:rFonts w:ascii="Arial" w:eastAsia="Arial" w:hAnsi="Arial" w:cs="Arial"/>
                            <w:b/>
                            <w:sz w:val="18"/>
                          </w:rPr>
                          <w:t xml:space="preserve">PARTE I - Ordinamento della giurisdizione tributaria  </w:t>
                        </w:r>
                      </w:p>
                    </w:txbxContent>
                  </v:textbox>
                </v:rect>
                <v:rect id="Rectangle 23886" o:spid="_x0000_s7404" style="position:absolute;left:2619;top:42507;width:52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hixgAAAN4AAAAPAAAAZHJzL2Rvd25yZXYueG1sRI9Ba8JA&#10;FITvgv9heQVvuqmChNRVRBFz6KU2gsdH9pmkZt8u2dXE/vpuodDjMDPfMKvNYFrxoM43lhW8zhIQ&#10;xKXVDVcKis/DNAXhA7LG1jIpeJKHzXo8WmGmbc8f9DiFSkQI+wwV1CG4TEpf1mTQz6wjjt7VdgZD&#10;lF0ldYd9hJtWzpNkKQ02HBdqdLSrqbyd7kbBZc8uP/SyvH7v3PtXnrbHe3FWavIybN9ABBrCf/iv&#10;nWsF80WaLuH3TrwCcv0DAAD//wMAUEsBAi0AFAAGAAgAAAAhANvh9svuAAAAhQEAABMAAAAAAAAA&#10;AAAAAAAAAAAAAFtDb250ZW50X1R5cGVzXS54bWxQSwECLQAUAAYACAAAACEAWvQsW78AAAAVAQAA&#10;CwAAAAAAAAAAAAAAAAAfAQAAX3JlbHMvLnJlbHNQSwECLQAUAAYACAAAACEAlbkoYsYAAADeAAAA&#10;DwAAAAAAAAAAAAAAAAAHAgAAZHJzL2Rvd25yZXYueG1sUEsFBgAAAAADAAMAtwAAAPoCAAAAAA==&#10;" filled="f" stroked="f">
                  <v:textbox inset="0,0,0,0">
                    <w:txbxContent>
                      <w:p w14:paraId="5EE921ED" w14:textId="77777777" w:rsidR="00B32EF2" w:rsidRDefault="00000000">
                        <w:r>
                          <w:rPr>
                            <w:rFonts w:ascii="Arial" w:eastAsia="Arial" w:hAnsi="Arial" w:cs="Arial"/>
                            <w:b/>
                            <w:sz w:val="18"/>
                          </w:rPr>
                          <w:t>Pag. 14</w:t>
                        </w:r>
                      </w:p>
                    </w:txbxContent>
                  </v:textbox>
                </v:rect>
                <v:rect id="Rectangle 23887" o:spid="_x0000_s7405" style="position:absolute;left:25925;top:40793;width:1399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Y35xwAAAN4AAAAPAAAAZHJzL2Rvd25yZXYueG1sRI9Pa8JA&#10;FMTvBb/D8gRvdaOFNkRXEUWaQy/1D3h8ZJ9JNPt2ya4m9tN3CwWPw8z8hpkve9OIO7W+tqxgMk5A&#10;EBdW11wqOOy3rykIH5A1NpZJwYM8LBeDlzlm2nb8TfddKEWEsM9QQRWCy6T0RUUG/dg64uidbWsw&#10;RNmWUrfYRbhp5DRJ3qXBmuNChY7WFRXX3c0oOG3Y5dtOFueftfu65GnzeTsclRoN+9UMRKA+PMP/&#10;7VwrmL6l6Qf83YlXQC5+AQAA//8DAFBLAQItABQABgAIAAAAIQDb4fbL7gAAAIUBAAATAAAAAAAA&#10;AAAAAAAAAAAAAABbQ29udGVudF9UeXBlc10ueG1sUEsBAi0AFAAGAAgAAAAhAFr0LFu/AAAAFQEA&#10;AAsAAAAAAAAAAAAAAAAAHwEAAF9yZWxzLy5yZWxzUEsBAi0AFAAGAAgAAAAhAPr1jfnHAAAA3gAA&#10;AA8AAAAAAAAAAAAAAAAABwIAAGRycy9kb3ducmV2LnhtbFBLBQYAAAAAAwADALcAAAD7AgAAAAA=&#10;" filled="f" stroked="f">
                  <v:textbox inset="0,0,0,0">
                    <w:txbxContent>
                      <w:p w14:paraId="6D821DA1" w14:textId="77777777" w:rsidR="00B32EF2" w:rsidRDefault="00000000">
                        <w:r>
                          <w:rPr>
                            <w:rFonts w:ascii="Arial" w:eastAsia="Arial" w:hAnsi="Arial" w:cs="Arial"/>
                            <w:b/>
                            <w:sz w:val="18"/>
                          </w:rPr>
                          <w:t>Titolo I – Gli organi</w:t>
                        </w:r>
                      </w:p>
                    </w:txbxContent>
                  </v:textbox>
                </v:rect>
                <v:rect id="Rectangle 23888" o:spid="_x0000_s7406" style="position:absolute;left:5076;top:40793;width:285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hmLwwAAAN4AAAAPAAAAZHJzL2Rvd25yZXYueG1sRE/LisIw&#10;FN0L8w/hDsxO01GQUo0iDmIXs/EFLi/Nta02N6GJtjNfbxaCy8N5z5e9acSDWl9bVvA9SkAQF1bX&#10;XCo4HjbDFIQPyBoby6TgjzwsFx+DOWbadryjxz6UIoawz1BBFYLLpPRFRQb9yDriyF1sazBE2JZS&#10;t9jFcNPIcZJMpcGaY0OFjtYVFbf93Sg4/7DLN50sLv9r93vN02Z7P56U+vrsVzMQgfrwFr/cuVYw&#10;nqRp3BvvxCsgF08AAAD//wMAUEsBAi0AFAAGAAgAAAAhANvh9svuAAAAhQEAABMAAAAAAAAAAAAA&#10;AAAAAAAAAFtDb250ZW50X1R5cGVzXS54bWxQSwECLQAUAAYACAAAACEAWvQsW78AAAAVAQAACwAA&#10;AAAAAAAAAAAAAAAfAQAAX3JlbHMvLnJlbHNQSwECLQAUAAYACAAAACEAi2oZi8MAAADeAAAADwAA&#10;AAAAAAAAAAAAAAAHAgAAZHJzL2Rvd25yZXYueG1sUEsFBgAAAAADAAMAtwAAAPcCAAAAAA==&#10;" filled="f" stroked="f">
                  <v:textbox inset="0,0,0,0">
                    <w:txbxContent>
                      <w:p w14:paraId="264C5031" w14:textId="77777777" w:rsidR="00B32EF2" w:rsidRDefault="00000000">
                        <w:r>
                          <w:rPr>
                            <w:rFonts w:ascii="Arial" w:eastAsia="Arial" w:hAnsi="Arial" w:cs="Arial"/>
                            <w:b/>
                            <w:sz w:val="18"/>
                          </w:rPr>
                          <w:t xml:space="preserve">     </w:t>
                        </w:r>
                      </w:p>
                    </w:txbxContent>
                  </v:textbox>
                </v:rect>
                <v:rect id="Rectangle 23889" o:spid="_x0000_s7407" style="position:absolute;left:2619;top:40793;width:52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rwQxwAAAN4AAAAPAAAAZHJzL2Rvd25yZXYueG1sRI9Pa8JA&#10;FMTvBb/D8gRvdaOFEqOriCLNoZf6Bzw+ss8kmn27ZFcT++m7hUKPw8z8hlmsetOIB7W+tqxgMk5A&#10;EBdW11wqOB52rykIH5A1NpZJwZM8rJaDlwVm2nb8RY99KEWEsM9QQRWCy6T0RUUG/dg64uhdbGsw&#10;RNmWUrfYRbhp5DRJ3qXBmuNChY42FRW3/d0oOG/Z5btOFpfvjfu85mnzcT+elBoN+/UcRKA+/If/&#10;2rlWMH1L0xn83olXQC5/AAAA//8DAFBLAQItABQABgAIAAAAIQDb4fbL7gAAAIUBAAATAAAAAAAA&#10;AAAAAAAAAAAAAABbQ29udGVudF9UeXBlc10ueG1sUEsBAi0AFAAGAAgAAAAhAFr0LFu/AAAAFQEA&#10;AAsAAAAAAAAAAAAAAAAAHwEAAF9yZWxzLy5yZWxzUEsBAi0AFAAGAAgAAAAhAOQmvBDHAAAA3gAA&#10;AA8AAAAAAAAAAAAAAAAABwIAAGRycy9kb3ducmV2LnhtbFBLBQYAAAAAAwADALcAAAD7AgAAAAA=&#10;" filled="f" stroked="f">
                  <v:textbox inset="0,0,0,0">
                    <w:txbxContent>
                      <w:p w14:paraId="0460DFF1" w14:textId="77777777" w:rsidR="00B32EF2" w:rsidRDefault="00000000">
                        <w:r>
                          <w:rPr>
                            <w:rFonts w:ascii="Arial" w:eastAsia="Arial" w:hAnsi="Arial" w:cs="Arial"/>
                            <w:b/>
                            <w:sz w:val="18"/>
                          </w:rPr>
                          <w:t>Pag. 14</w:t>
                        </w:r>
                      </w:p>
                    </w:txbxContent>
                  </v:textbox>
                </v:rect>
                <v:rect id="Rectangle 23890" o:spid="_x0000_s7408" style="position:absolute;left:5379;top:39078;width:3453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YNQxQAAAN4AAAAPAAAAZHJzL2Rvd25yZXYueG1sRI/NisIw&#10;FIX3A/MO4Q64G1MVhk41iihiF7MZdcDlpbm21eYmNNFWn36yEFwezh/fbNGbRtyo9bVlBaNhAoK4&#10;sLrmUsFhv/lMQfiArLGxTAru5GExf3+bYaZtx79024VSxBH2GSqoQnCZlL6oyKAfWkccvZNtDYYo&#10;21LqFrs4bho5TpIvabDm+FCho1VFxWV3NQqOa3b5ppPF6bFyP+c8bbbXw59Sg49+OQURqA+v8LOd&#10;awXjSfodASJORAE5/wcAAP//AwBQSwECLQAUAAYACAAAACEA2+H2y+4AAACFAQAAEwAAAAAAAAAA&#10;AAAAAAAAAAAAW0NvbnRlbnRfVHlwZXNdLnhtbFBLAQItABQABgAIAAAAIQBa9CxbvwAAABUBAAAL&#10;AAAAAAAAAAAAAAAAAB8BAABfcmVscy8ucmVsc1BLAQItABQABgAIAAAAIQDwxYNQxQAAAN4AAAAP&#10;AAAAAAAAAAAAAAAAAAcCAABkcnMvZG93bnJldi54bWxQSwUGAAAAAAMAAwC3AAAA+QIAAAAA&#10;" filled="f" stroked="f">
                  <v:textbox inset="0,0,0,0">
                    <w:txbxContent>
                      <w:p w14:paraId="11D23316" w14:textId="77777777" w:rsidR="00B32EF2" w:rsidRDefault="00000000">
                        <w:r>
                          <w:rPr>
                            <w:rFonts w:ascii="Arial" w:eastAsia="Arial" w:hAnsi="Arial" w:cs="Arial"/>
                            <w:b/>
                            <w:sz w:val="18"/>
                          </w:rPr>
                          <w:t>Capo I - Gli organi della giurisdizione tributaria</w:t>
                        </w:r>
                      </w:p>
                    </w:txbxContent>
                  </v:textbox>
                </v:rect>
                <v:rect id="Rectangle 23891" o:spid="_x0000_s7409" style="position:absolute;left:11200;top:39078;width:38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SbLxwAAAN4AAAAPAAAAZHJzL2Rvd25yZXYueG1sRI9Pa8JA&#10;FMTvgt9heYK3utGCxNRVRJHm0Ev9Az0+ss8kbfbtkl1N7Kd3CwWPw8z8hlmue9OIG7W+tqxgOklA&#10;EBdW11wqOB33LykIH5A1NpZJwZ08rFfDwRIzbTv+pNshlCJC2GeooArBZVL6oiKDfmIdcfQutjUY&#10;omxLqVvsItw0cpYkc2mw5rhQoaNtRcXP4WoUfO3Y5ftOFpffrfv4ztPm/Xo6KzUe9Zs3EIH68Az/&#10;t3OtYPaaLqbwdydeAbl6AAAA//8DAFBLAQItABQABgAIAAAAIQDb4fbL7gAAAIUBAAATAAAAAAAA&#10;AAAAAAAAAAAAAABbQ29udGVudF9UeXBlc10ueG1sUEsBAi0AFAAGAAgAAAAhAFr0LFu/AAAAFQEA&#10;AAsAAAAAAAAAAAAAAAAAHwEAAF9yZWxzLy5yZWxzUEsBAi0AFAAGAAgAAAAhAJ+JJsvHAAAA3gAA&#10;AA8AAAAAAAAAAAAAAAAABwIAAGRycy9kb3ducmV2LnhtbFBLBQYAAAAAAwADALcAAAD7AgAAAAA=&#10;" filled="f" stroked="f">
                  <v:textbox inset="0,0,0,0">
                    <w:txbxContent>
                      <w:p w14:paraId="0CE37F77" w14:textId="77777777" w:rsidR="00B32EF2" w:rsidRDefault="00000000">
                        <w:r>
                          <w:rPr>
                            <w:rFonts w:ascii="Arial" w:eastAsia="Arial" w:hAnsi="Arial" w:cs="Arial"/>
                            <w:b/>
                            <w:sz w:val="18"/>
                          </w:rPr>
                          <w:t xml:space="preserve">  </w:t>
                        </w:r>
                      </w:p>
                    </w:txbxContent>
                  </v:textbox>
                </v:rect>
                <v:rect id="Rectangle 23892" o:spid="_x0000_s7410" style="position:absolute;left:2619;top:39078;width:525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i8xwAAAN4AAAAPAAAAZHJzL2Rvd25yZXYueG1sRI9Ba8JA&#10;FITvBf/D8gRvdWMKkqauUhRpDr1oFTw+ss8kbfbtkl1N7K93hUKPw8x8wyxWg2nFlTrfWFYwmyYg&#10;iEurG64UHL62zxkIH5A1tpZJwY08rJajpwXm2va8o+s+VCJC2OeooA7B5VL6siaDfmodcfTOtjMY&#10;ouwqqTvsI9y0Mk2SuTTYcFyo0dG6pvJnfzEKTht2xbaX5fl37T6/i6z9uByOSk3Gw/sbiEBD+A//&#10;tQutIH3JXlN43IlXQC7vAAAA//8DAFBLAQItABQABgAIAAAAIQDb4fbL7gAAAIUBAAATAAAAAAAA&#10;AAAAAAAAAAAAAABbQ29udGVudF9UeXBlc10ueG1sUEsBAi0AFAAGAAgAAAAhAFr0LFu/AAAAFQEA&#10;AAsAAAAAAAAAAAAAAAAAHwEAAF9yZWxzLy5yZWxzUEsBAi0AFAAGAAgAAAAhAG9buLzHAAAA3gAA&#10;AA8AAAAAAAAAAAAAAAAABwIAAGRycy9kb3ducmV2LnhtbFBLBQYAAAAAAwADALcAAAD7AgAAAAA=&#10;" filled="f" stroked="f">
                  <v:textbox inset="0,0,0,0">
                    <w:txbxContent>
                      <w:p w14:paraId="5132F78A" w14:textId="77777777" w:rsidR="00B32EF2" w:rsidRDefault="00000000">
                        <w:r>
                          <w:rPr>
                            <w:rFonts w:ascii="Arial" w:eastAsia="Arial" w:hAnsi="Arial" w:cs="Arial"/>
                            <w:b/>
                            <w:sz w:val="18"/>
                          </w:rPr>
                          <w:t>Pag. 14</w:t>
                        </w:r>
                      </w:p>
                    </w:txbxContent>
                  </v:textbox>
                </v:rect>
                <v:rect id="Rectangle 23893" o:spid="_x0000_s7411" style="position:absolute;left:-2154;top:37364;width:42070;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x0nxwAAAN4AAAAPAAAAZHJzL2Rvd25yZXYueG1sRI9Pa8JA&#10;FMTvBb/D8oTe6qYKEqOrFIs0By/+A4+P7DNJm327ZFeT+uldodDjMDO/YRar3jTiRq2vLSt4HyUg&#10;iAuray4VHA+btxSED8gaG8uk4Jc8rJaDlwVm2na8o9s+lCJC2GeooArBZVL6oiKDfmQdcfQutjUY&#10;omxLqVvsItw0cpwkU2mw5rhQoaN1RcXP/moUnD/Z5ZtOFpf72m2/87T5uh5PSr0O+485iEB9+A//&#10;tXOtYDxJZxN43olXQC4fAAAA//8DAFBLAQItABQABgAIAAAAIQDb4fbL7gAAAIUBAAATAAAAAAAA&#10;AAAAAAAAAAAAAABbQ29udGVudF9UeXBlc10ueG1sUEsBAi0AFAAGAAgAAAAhAFr0LFu/AAAAFQEA&#10;AAsAAAAAAAAAAAAAAAAAHwEAAF9yZWxzLy5yZWxzUEsBAi0AFAAGAAgAAAAhAAAXHSfHAAAA3gAA&#10;AA8AAAAAAAAAAAAAAAAABwIAAGRycy9kb3ducmV2LnhtbFBLBQYAAAAAAwADALcAAAD7AgAAAAA=&#10;" filled="f" stroked="f">
                  <v:textbox inset="0,0,0,0">
                    <w:txbxContent>
                      <w:p w14:paraId="1A30C2FC" w14:textId="77777777" w:rsidR="00B32EF2" w:rsidRDefault="00000000">
                        <w:r>
                          <w:rPr>
                            <w:rFonts w:ascii="Arial" w:eastAsia="Arial" w:hAnsi="Arial" w:cs="Arial"/>
                            <w:sz w:val="18"/>
                          </w:rPr>
                          <w:t>Art. 1 - Le corti di giustizia tributaria di primo e secondo grado</w:t>
                        </w:r>
                      </w:p>
                    </w:txbxContent>
                  </v:textbox>
                </v:rect>
                <v:rect id="Rectangle 23894" o:spid="_x0000_s7412" style="position:absolute;left:17615;top:35649;width:2230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VTxwAAAN4AAAAPAAAAZHJzL2Rvd25yZXYueG1sRI9Ba8JA&#10;FITvgv9heUJvuqmVkqauIoo0h160KfT4yD6TtNm3S3Y1qb++KxQ8DjPzDbNcD6YVF+p8Y1nB4ywB&#10;QVxa3XCloPjYT1MQPiBrbC2Tgl/ysF6NR0vMtO35QJdjqESEsM9QQR2Cy6T0ZU0G/cw64uidbGcw&#10;RNlVUnfYR7hp5TxJnqXBhuNCjY62NZU/x7NR8LVjl+97WZ6uW/f+naft27n4VOphMmxeQQQawj38&#10;3861gvlT+rKA2514BeTqDwAA//8DAFBLAQItABQABgAIAAAAIQDb4fbL7gAAAIUBAAATAAAAAAAA&#10;AAAAAAAAAAAAAABbQ29udGVudF9UeXBlc10ueG1sUEsBAi0AFAAGAAgAAAAhAFr0LFu/AAAAFQEA&#10;AAsAAAAAAAAAAAAAAAAAHwEAAF9yZWxzLy5yZWxzUEsBAi0AFAAGAAgAAAAhAI/+hVPHAAAA3gAA&#10;AA8AAAAAAAAAAAAAAAAABwIAAGRycy9kb3ducmV2LnhtbFBLBQYAAAAAAwADALcAAAD7AgAAAAA=&#10;" filled="f" stroked="f">
                  <v:textbox inset="0,0,0,0">
                    <w:txbxContent>
                      <w:p w14:paraId="4B7A77B7" w14:textId="77777777" w:rsidR="00B32EF2" w:rsidRDefault="00000000">
                        <w:r>
                          <w:rPr>
                            <w:rFonts w:ascii="Arial" w:eastAsia="Arial" w:hAnsi="Arial" w:cs="Arial"/>
                            <w:sz w:val="18"/>
                          </w:rPr>
                          <w:t>Art. 2 - La giurisdizione tributaria</w:t>
                        </w:r>
                      </w:p>
                    </w:txbxContent>
                  </v:textbox>
                </v:rect>
                <v:rect id="Rectangle 23895" o:spid="_x0000_s7413" style="position:absolute;left:-5103;top:33935;width:450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iDIxwAAAN4AAAAPAAAAZHJzL2Rvd25yZXYueG1sRI9Ba8JA&#10;FITvgv9heUJvuqnFkqauIoo0h160KfT4yD6TtNm3S3Y1qb++KxQ8DjPzDbNcD6YVF+p8Y1nB4ywB&#10;QVxa3XCloPjYT1MQPiBrbC2Tgl/ysF6NR0vMtO35QJdjqESEsM9QQR2Cy6T0ZU0G/cw64uidbGcw&#10;RNlVUnfYR7hp5TxJnqXBhuNCjY62NZU/x7NR8LVjl+97WZ6uW/f+naft27n4VOphMmxeQQQawj38&#10;3861gvlT+rKA2514BeTqDwAA//8DAFBLAQItABQABgAIAAAAIQDb4fbL7gAAAIUBAAATAAAAAAAA&#10;AAAAAAAAAAAAAABbQ29udGVudF9UeXBlc10ueG1sUEsBAi0AFAAGAAgAAAAhAFr0LFu/AAAAFQEA&#10;AAsAAAAAAAAAAAAAAAAAHwEAAF9yZWxzLy5yZWxzUEsBAi0AFAAGAAgAAAAhAOCyIMjHAAAA3gAA&#10;AA8AAAAAAAAAAAAAAAAABwIAAGRycy9kb3ducmV2LnhtbFBLBQYAAAAAAwADALcAAAD7AgAAAAA=&#10;" filled="f" stroked="f">
                  <v:textbox inset="0,0,0,0">
                    <w:txbxContent>
                      <w:p w14:paraId="6BFDF77B" w14:textId="77777777" w:rsidR="00B32EF2" w:rsidRDefault="00000000">
                        <w:r>
                          <w:rPr>
                            <w:rFonts w:ascii="Arial" w:eastAsia="Arial" w:hAnsi="Arial" w:cs="Arial"/>
                            <w:sz w:val="18"/>
                          </w:rPr>
                          <w:t>Art. 3 - La composizione delle corti di giustizia tributaria di primo e</w:t>
                        </w:r>
                      </w:p>
                    </w:txbxContent>
                  </v:textbox>
                </v:rect>
                <v:rect id="Rectangle 23896" o:spid="_x0000_s7414" style="position:absolute;left:29719;top:32220;width:102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6/xwAAAN4AAAAPAAAAZHJzL2Rvd25yZXYueG1sRI9Pa8JA&#10;FMTvgt9heUJvuqkFSVNXKYqYgxf/FHp8ZJ9J2uzbJbuatJ/eFQSPw8z8hpkve9OIK7W+tqzgdZKA&#10;IC6srrlUcDpuxikIH5A1NpZJwR95WC6Ggzlm2na8p+shlCJC2GeooArBZVL6oiKDfmIdcfTOtjUY&#10;omxLqVvsItw0cpokM2mw5rhQoaNVRcXv4WIUfK/Z5ZtOFuf/ldv95GmzvZy+lHoZ9Z8fIAL14Rl+&#10;tHOtYPqWvs/gfideAbm4AQAA//8DAFBLAQItABQABgAIAAAAIQDb4fbL7gAAAIUBAAATAAAAAAAA&#10;AAAAAAAAAAAAAABbQ29udGVudF9UeXBlc10ueG1sUEsBAi0AFAAGAAgAAAAhAFr0LFu/AAAAFQEA&#10;AAsAAAAAAAAAAAAAAAAAHwEAAF9yZWxzLy5yZWxzUEsBAi0AFAAGAAgAAAAhABBgvr/HAAAA3gAA&#10;AA8AAAAAAAAAAAAAAAAABwIAAGRycy9kb3ducmV2LnhtbFBLBQYAAAAAAwADALcAAAD7AgAAAAA=&#10;" filled="f" stroked="f">
                  <v:textbox inset="0,0,0,0">
                    <w:txbxContent>
                      <w:p w14:paraId="305CB5E9" w14:textId="77777777" w:rsidR="00B32EF2" w:rsidRDefault="00000000">
                        <w:r>
                          <w:rPr>
                            <w:rFonts w:ascii="Arial" w:eastAsia="Arial" w:hAnsi="Arial" w:cs="Arial"/>
                            <w:sz w:val="18"/>
                          </w:rPr>
                          <w:t>secondo grado</w:t>
                        </w:r>
                      </w:p>
                    </w:txbxContent>
                  </v:textbox>
                </v:rect>
                <v:rect id="Rectangle 23897" o:spid="_x0000_s7415" style="position:absolute;left:-7317;top:30506;width:4723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skxwAAAN4AAAAPAAAAZHJzL2Rvd25yZXYueG1sRI9Ba8JA&#10;FITvgv9heUJvuqkFm6auIoo0h160KfT4yD6TtNm3S3Y1qb++KxQ8DjPzDbNcD6YVF+p8Y1nB4ywB&#10;QVxa3XCloPjYT1MQPiBrbC2Tgl/ysF6NR0vMtO35QJdjqESEsM9QQR2Cy6T0ZU0G/cw64uidbGcw&#10;RNlVUnfYR7hp5TxJFtJgw3GhRkfbmsqf49ko+Nqxy/e9LE/XrXv/ztP27Vx8KvUwGTavIAIN4R7+&#10;b+dawfwpfXmG2514BeTqDwAA//8DAFBLAQItABQABgAIAAAAIQDb4fbL7gAAAIUBAAATAAAAAAAA&#10;AAAAAAAAAAAAAABbQ29udGVudF9UeXBlc10ueG1sUEsBAi0AFAAGAAgAAAAhAFr0LFu/AAAAFQEA&#10;AAsAAAAAAAAAAAAAAAAAHwEAAF9yZWxzLy5yZWxzUEsBAi0AFAAGAAgAAAAhAH8sGyTHAAAA3gAA&#10;AA8AAAAAAAAAAAAAAAAABwIAAGRycy9kb3ducmV2LnhtbFBLBQYAAAAAAwADALcAAAD7AgAAAAA=&#10;" filled="f" stroked="f">
                  <v:textbox inset="0,0,0,0">
                    <w:txbxContent>
                      <w:p w14:paraId="03878B11" w14:textId="77777777" w:rsidR="00B32EF2" w:rsidRDefault="00000000">
                        <w:r>
                          <w:rPr>
                            <w:rFonts w:ascii="Arial" w:eastAsia="Arial" w:hAnsi="Arial" w:cs="Arial"/>
                            <w:sz w:val="18"/>
                          </w:rPr>
                          <w:t>Art. 4 - I presidenti delle corti di giustizia tributaria di primo e secondo</w:t>
                        </w:r>
                      </w:p>
                    </w:txbxContent>
                  </v:textbox>
                </v:rect>
                <v:rect id="Rectangle 23898" o:spid="_x0000_s7416" style="position:absolute;left:25831;top:28791;width:1408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49WwwAAAN4AAAAPAAAAZHJzL2Rvd25yZXYueG1sRE/Pa8Iw&#10;FL4P9j+EN/A2UxVGV40iitjDLlMHHh/Ns602L6GJtvrXLwfB48f3e7boTSNu1PrasoLRMAFBXFhd&#10;c6ngsN98piB8QNbYWCYFd/KwmL+/zTDTtuNfuu1CKWII+wwVVCG4TEpfVGTQD60jjtzJtgZDhG0p&#10;dYtdDDeNHCfJlzRYc2yo0NGqouKyuxoFxzW7fNPJ4vRYuZ9znjbb6+FPqcFHv5yCCNSHl/jpzrWC&#10;8ST9jnvjnXgF5PwfAAD//wMAUEsBAi0AFAAGAAgAAAAhANvh9svuAAAAhQEAABMAAAAAAAAAAAAA&#10;AAAAAAAAAFtDb250ZW50X1R5cGVzXS54bWxQSwECLQAUAAYACAAAACEAWvQsW78AAAAVAQAACwAA&#10;AAAAAAAAAAAAAAAfAQAAX3JlbHMvLnJlbHNQSwECLQAUAAYACAAAACEADrOPVsMAAADeAAAADwAA&#10;AAAAAAAAAAAAAAAHAgAAZHJzL2Rvd25yZXYueG1sUEsFBgAAAAADAAMAtwAAAPcCAAAAAA==&#10;" filled="f" stroked="f">
                  <v:textbox inset="0,0,0,0">
                    <w:txbxContent>
                      <w:p w14:paraId="3CFE3665" w14:textId="77777777" w:rsidR="00B32EF2" w:rsidRDefault="00000000">
                        <w:r>
                          <w:rPr>
                            <w:rFonts w:ascii="Arial" w:eastAsia="Arial" w:hAnsi="Arial" w:cs="Arial"/>
                            <w:sz w:val="18"/>
                          </w:rPr>
                          <w:t>grado e delle sezioni</w:t>
                        </w:r>
                      </w:p>
                    </w:txbxContent>
                  </v:textbox>
                </v:rect>
                <v:rect id="Rectangle 23899" o:spid="_x0000_s7417" style="position:absolute;left:-4129;top:27077;width:4404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NxwAAAN4AAAAPAAAAZHJzL2Rvd25yZXYueG1sRI9Pa8JA&#10;FMTvgt9heYI33VShxOgqxSLNoZf6Bzw+ss8kbfbtkl1N2k/fFQSPw8z8hlltetOIG7W+tqzgZZqA&#10;IC6srrlUcDzsJikIH5A1NpZJwS952KyHgxVm2nb8Rbd9KEWEsM9QQRWCy6T0RUUG/dQ64uhdbGsw&#10;RNmWUrfYRbhp5CxJXqXBmuNChY62FRU/+6tRcH5nl+86WVz+tu7zO0+bj+vxpNR41L8tQQTqwzP8&#10;aOdawWyeLhZwvxOvgFz/AwAA//8DAFBLAQItABQABgAIAAAAIQDb4fbL7gAAAIUBAAATAAAAAAAA&#10;AAAAAAAAAAAAAABbQ29udGVudF9UeXBlc10ueG1sUEsBAi0AFAAGAAgAAAAhAFr0LFu/AAAAFQEA&#10;AAsAAAAAAAAAAAAAAAAAHwEAAF9yZWxzLy5yZWxzUEsBAi0AFAAGAAgAAAAhAGH/Ks3HAAAA3gAA&#10;AA8AAAAAAAAAAAAAAAAABwIAAGRycy9kb3ducmV2LnhtbFBLBQYAAAAAAwADALcAAAD7AgAAAAA=&#10;" filled="f" stroked="f">
                  <v:textbox inset="0,0,0,0">
                    <w:txbxContent>
                      <w:p w14:paraId="76FC3E26" w14:textId="77777777" w:rsidR="00B32EF2" w:rsidRDefault="00000000">
                        <w:r>
                          <w:rPr>
                            <w:rFonts w:ascii="Arial" w:eastAsia="Arial" w:hAnsi="Arial" w:cs="Arial"/>
                            <w:sz w:val="18"/>
                          </w:rPr>
                          <w:t>Art. 5 - I magistrati delle corti di giustizia tributaria di primo grado</w:t>
                        </w:r>
                      </w:p>
                    </w:txbxContent>
                  </v:textbox>
                </v:rect>
                <v:rect id="Rectangle 23900" o:spid="_x0000_s7418" style="position:absolute;left:1497;top:25362;width:3841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hlKxgAAAN4AAAAPAAAAZHJzL2Rvd25yZXYueG1sRI/NasJA&#10;FIX3Qt9huIXudNIUxKaOUlKkWbhptNDlJXNNopk7Q2ZMok/fWRS6PJw/vvV2Mp0YqPetZQXPiwQE&#10;cWV1y7WC42E3X4HwAVljZ5kU3MjDdvMwW2Om7chfNJShFnGEfYYKmhBcJqWvGjLoF9YRR+9ke4Mh&#10;yr6WuscxjptOpkmylAZbjg8NOsobqi7l1Sj4+WBX7EZZne6525+LVfd5PX4r9fQ4vb+BCDSF//Bf&#10;u9AK0pfXJAJEnIgCcvMLAAD//wMAUEsBAi0AFAAGAAgAAAAhANvh9svuAAAAhQEAABMAAAAAAAAA&#10;AAAAAAAAAAAAAFtDb250ZW50X1R5cGVzXS54bWxQSwECLQAUAAYACAAAACEAWvQsW78AAAAVAQAA&#10;CwAAAAAAAAAAAAAAAAAfAQAAX3JlbHMvLnJlbHNQSwECLQAUAAYACAAAACEAbi4ZSsYAAADeAAAA&#10;DwAAAAAAAAAAAAAAAAAHAgAAZHJzL2Rvd25yZXYueG1sUEsFBgAAAAADAAMAtwAAAPoCAAAAAA==&#10;" filled="f" stroked="f">
                  <v:textbox inset="0,0,0,0">
                    <w:txbxContent>
                      <w:p w14:paraId="1C0E5965" w14:textId="77777777" w:rsidR="00B32EF2" w:rsidRDefault="00000000">
                        <w:r>
                          <w:rPr>
                            <w:rFonts w:ascii="Arial" w:eastAsia="Arial" w:hAnsi="Arial" w:cs="Arial"/>
                            <w:sz w:val="18"/>
                          </w:rPr>
                          <w:t>Art. 6 - Requisiti per l’ammissione al concorso per esami</w:t>
                        </w:r>
                      </w:p>
                    </w:txbxContent>
                  </v:textbox>
                </v:rect>
                <v:rect id="Rectangle 23901" o:spid="_x0000_s7419" style="position:absolute;left:-2922;top:23648;width:428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rzRxwAAAN4AAAAPAAAAZHJzL2Rvd25yZXYueG1sRI9Pi8Iw&#10;FMTvC36H8ARva6oLi1ajiCLbg5f1D3h8NM+22ryEJtrqp98sLOxxmJnfMPNlZ2rxoMZXlhWMhgkI&#10;4tzqigsFx8P2fQLCB2SNtWVS8CQPy0XvbY6pti1/02MfChEh7FNUUIbgUil9XpJBP7SOOHoX2xgM&#10;UTaF1A22EW5qOU6ST2mw4rhQoqN1SfltfzcKzht22baV+eW1drtrNqm/7seTUoN+t5qBCNSF//Bf&#10;O9MKxh/TZAS/d+IVkIsfAAAA//8DAFBLAQItABQABgAIAAAAIQDb4fbL7gAAAIUBAAATAAAAAAAA&#10;AAAAAAAAAAAAAABbQ29udGVudF9UeXBlc10ueG1sUEsBAi0AFAAGAAgAAAAhAFr0LFu/AAAAFQEA&#10;AAsAAAAAAAAAAAAAAAAAHwEAAF9yZWxzLy5yZWxzUEsBAi0AFAAGAAgAAAAhAAFivNHHAAAA3gAA&#10;AA8AAAAAAAAAAAAAAAAABwIAAGRycy9kb3ducmV2LnhtbFBLBQYAAAAAAwADALcAAAD7AgAAAAA=&#10;" filled="f" stroked="f">
                  <v:textbox inset="0,0,0,0">
                    <w:txbxContent>
                      <w:p w14:paraId="1CECB6C9" w14:textId="77777777" w:rsidR="00B32EF2" w:rsidRDefault="00000000">
                        <w:r>
                          <w:rPr>
                            <w:rFonts w:ascii="Arial" w:eastAsia="Arial" w:hAnsi="Arial" w:cs="Arial"/>
                            <w:sz w:val="18"/>
                          </w:rPr>
                          <w:t>Art. 7 - Indizione del concorso e svolgimento della prova scritta</w:t>
                        </w:r>
                      </w:p>
                    </w:txbxContent>
                  </v:textbox>
                </v:rect>
                <v:rect id="Rectangle 23902" o:spid="_x0000_s7420" style="position:absolute;left:17124;top:21933;width:2279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CKmxgAAAN4AAAAPAAAAZHJzL2Rvd25yZXYueG1sRI9Ba8JA&#10;FITvBf/D8gRvdWMKxUZXEUWag5daBY+P7DOJZt8u2dVEf323UOhxmJlvmPmyN424U+trywom4wQE&#10;cWF1zaWCw/f2dQrCB2SNjWVS8CAPy8XgZY6Zth1/0X0fShEh7DNUUIXgMil9UZFBP7aOOHpn2xoM&#10;Ubal1C12EW4amSbJuzRYc1yo0NG6ouK6vxkFpw27fNvJ4vxcu90lnzaft8NRqdGwX81ABOrDf/iv&#10;nWsF6dtHksLvnXgF5OIHAAD//wMAUEsBAi0AFAAGAAgAAAAhANvh9svuAAAAhQEAABMAAAAAAAAA&#10;AAAAAAAAAAAAAFtDb250ZW50X1R5cGVzXS54bWxQSwECLQAUAAYACAAAACEAWvQsW78AAAAVAQAA&#10;CwAAAAAAAAAAAAAAAAAfAQAAX3JlbHMvLnJlbHNQSwECLQAUAAYACAAAACEA8bAipsYAAADeAAAA&#10;DwAAAAAAAAAAAAAAAAAHAgAAZHJzL2Rvd25yZXYueG1sUEsFBgAAAAADAAMAtwAAAPoCAAAAAA==&#10;" filled="f" stroked="f">
                  <v:textbox inset="0,0,0,0">
                    <w:txbxContent>
                      <w:p w14:paraId="198B6D5C" w14:textId="77777777" w:rsidR="00B32EF2" w:rsidRDefault="00000000">
                        <w:r>
                          <w:rPr>
                            <w:rFonts w:ascii="Arial" w:eastAsia="Arial" w:hAnsi="Arial" w:cs="Arial"/>
                            <w:sz w:val="18"/>
                          </w:rPr>
                          <w:t>Art. 8 - Commissione di concorso</w:t>
                        </w:r>
                      </w:p>
                    </w:txbxContent>
                  </v:textbox>
                </v:rect>
                <v:rect id="Rectangle 23903" o:spid="_x0000_s7421" style="position:absolute;left:5923;top:20219;width:3399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c9xwAAAN4AAAAPAAAAZHJzL2Rvd25yZXYueG1sRI9Pi8Iw&#10;FMTvC36H8ARva7oKi1ajLIrYg5f1D3h8NM+22ryEJtrqp98sLOxxmJnfMPNlZ2rxoMZXlhV8DBMQ&#10;xLnVFRcKjofN+wSED8gaa8uk4Ekelove2xxTbVv+psc+FCJC2KeooAzBpVL6vCSDfmgdcfQutjEY&#10;omwKqRtsI9zUcpQkn9JgxXGhREerkvLb/m4UnNfssk0r88tr5XbXbFJv78eTUoN+9zUDEagL/+G/&#10;dqYVjMbTZAy/d+IVkIsfAAAA//8DAFBLAQItABQABgAIAAAAIQDb4fbL7gAAAIUBAAATAAAAAAAA&#10;AAAAAAAAAAAAAABbQ29udGVudF9UeXBlc10ueG1sUEsBAi0AFAAGAAgAAAAhAFr0LFu/AAAAFQEA&#10;AAsAAAAAAAAAAAAAAAAAHwEAAF9yZWxzLy5yZWxzUEsBAi0AFAAGAAgAAAAhAJ78hz3HAAAA3gAA&#10;AA8AAAAAAAAAAAAAAAAABwIAAGRycy9kb3ducmV2LnhtbFBLBQYAAAAAAwADALcAAAD7AgAAAAA=&#10;" filled="f" stroked="f">
                  <v:textbox inset="0,0,0,0">
                    <w:txbxContent>
                      <w:p w14:paraId="353312B1" w14:textId="77777777" w:rsidR="00B32EF2" w:rsidRDefault="00000000">
                        <w:r>
                          <w:rPr>
                            <w:rFonts w:ascii="Arial" w:eastAsia="Arial" w:hAnsi="Arial" w:cs="Arial"/>
                            <w:sz w:val="18"/>
                          </w:rPr>
                          <w:t>Art. 9 - Nomina e tirocinio del magistrato tributario</w:t>
                        </w:r>
                      </w:p>
                    </w:txbxContent>
                  </v:textbox>
                </v:rect>
                <v:rect id="Rectangle 23904" o:spid="_x0000_s7422" style="position:absolute;left:-8216;top:18504;width:481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R9JxwAAAN4AAAAPAAAAZHJzL2Rvd25yZXYueG1sRI9Ba8JA&#10;FITvQv/D8gredKMWsdFVRJHm4KXWQo+P7DOJZt8u2dWk/fVuQfA4zMw3zGLVmVrcqPGVZQWjYQKC&#10;OLe64kLB8Ws3mIHwAVljbZkU/JKH1fKlt8BU25Y/6XYIhYgQ9ikqKENwqZQ+L8mgH1pHHL2TbQyG&#10;KJtC6gbbCDe1HCfJVBqsOC6U6GhTUn45XI2Cny27bNfK/PS3cftzNqs/rsdvpfqv3XoOIlAXnuFH&#10;O9MKxpP35A3+78QrIJd3AAAA//8DAFBLAQItABQABgAIAAAAIQDb4fbL7gAAAIUBAAATAAAAAAAA&#10;AAAAAAAAAAAAAABbQ29udGVudF9UeXBlc10ueG1sUEsBAi0AFAAGAAgAAAAhAFr0LFu/AAAAFQEA&#10;AAsAAAAAAAAAAAAAAAAAHwEAAF9yZWxzLy5yZWxzUEsBAi0AFAAGAAgAAAAhABEVH0nHAAAA3gAA&#10;AA8AAAAAAAAAAAAAAAAABwIAAGRycy9kb3ducmV2LnhtbFBLBQYAAAAAAwADALcAAAD7AgAAAAA=&#10;" filled="f" stroked="f">
                  <v:textbox inset="0,0,0,0">
                    <w:txbxContent>
                      <w:p w14:paraId="34C75DFF" w14:textId="77777777" w:rsidR="00B32EF2" w:rsidRDefault="00000000">
                        <w:r>
                          <w:rPr>
                            <w:rFonts w:ascii="Arial" w:eastAsia="Arial" w:hAnsi="Arial" w:cs="Arial"/>
                            <w:sz w:val="18"/>
                          </w:rPr>
                          <w:t>Art. 10 - I componenti delle corti di giustizia tributaria di secondo grado</w:t>
                        </w:r>
                      </w:p>
                    </w:txbxContent>
                  </v:textbox>
                </v:rect>
                <v:rect id="Rectangle 23905" o:spid="_x0000_s7423" style="position:absolute;left:-1559;top:16790;width:4147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rSxwAAAN4AAAAPAAAAZHJzL2Rvd25yZXYueG1sRI9Ba8JA&#10;FITvQv/D8gredKNSsdFVRJHm4KXWQo+P7DOJZt8u2dWk/fVuQfA4zMw3zGLVmVrcqPGVZQWjYQKC&#10;OLe64kLB8Ws3mIHwAVljbZkU/JKH1fKlt8BU25Y/6XYIhYgQ9ikqKENwqZQ+L8mgH1pHHL2TbQyG&#10;KJtC6gbbCDe1HCfJVBqsOC6U6GhTUn45XI2Cny27bNfK/PS3cftzNqs/rsdvpfqv3XoOIlAXnuFH&#10;O9MKxpP35A3+78QrIJd3AAAA//8DAFBLAQItABQABgAIAAAAIQDb4fbL7gAAAIUBAAATAAAAAAAA&#10;AAAAAAAAAAAAAABbQ29udGVudF9UeXBlc10ueG1sUEsBAi0AFAAGAAgAAAAhAFr0LFu/AAAAFQEA&#10;AAsAAAAAAAAAAAAAAAAAHwEAAF9yZWxzLy5yZWxzUEsBAi0AFAAGAAgAAAAhAH5ZutLHAAAA3gAA&#10;AA8AAAAAAAAAAAAAAAAABwIAAGRycy9kb3ducmV2LnhtbFBLBQYAAAAAAwADALcAAAD7AgAAAAA=&#10;" filled="f" stroked="f">
                  <v:textbox inset="0,0,0,0">
                    <w:txbxContent>
                      <w:p w14:paraId="13CFB3E9" w14:textId="77777777" w:rsidR="00B32EF2" w:rsidRDefault="00000000">
                        <w:r>
                          <w:rPr>
                            <w:rFonts w:ascii="Arial" w:eastAsia="Arial" w:hAnsi="Arial" w:cs="Arial"/>
                            <w:sz w:val="18"/>
                          </w:rPr>
                          <w:t>Art. 11 - Formazione continua dei giudici e magistrati tributari</w:t>
                        </w:r>
                      </w:p>
                    </w:txbxContent>
                  </v:textbox>
                </v:rect>
                <v:rect id="Rectangle 23906" o:spid="_x0000_s7424" style="position:absolute;left:-157;top:15075;width:400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SlxgAAAN4AAAAPAAAAZHJzL2Rvd25yZXYueG1sRI9Pi8Iw&#10;FMTvC36H8ARva7oKotUoi4tsD3vxH3h8NM+22ryEJtrqp98IC3scZuY3zGLVmVrcqfGVZQUfwwQE&#10;cW51xYWCw37zPgXhA7LG2jIpeJCH1bL3tsBU25a3dN+FQkQI+xQVlCG4VEqfl2TQD60jjt7ZNgZD&#10;lE0hdYNthJtajpJkIg1WHBdKdLQuKb/ubkbB6Ytdtmllfn6u3c8lm9bft8NRqUG/+5yDCNSF//Bf&#10;O9MKRuNZMoHXnXgF5PIXAAD//wMAUEsBAi0AFAAGAAgAAAAhANvh9svuAAAAhQEAABMAAAAAAAAA&#10;AAAAAAAAAAAAAFtDb250ZW50X1R5cGVzXS54bWxQSwECLQAUAAYACAAAACEAWvQsW78AAAAVAQAA&#10;CwAAAAAAAAAAAAAAAAAfAQAAX3JlbHMvLnJlbHNQSwECLQAUAAYACAAAACEAjoskpcYAAADeAAAA&#10;DwAAAAAAAAAAAAAAAAAHAgAAZHJzL2Rvd25yZXYueG1sUEsFBgAAAAADAAMAtwAAAPoCAAAAAA==&#10;" filled="f" stroked="f">
                  <v:textbox inset="0,0,0,0">
                    <w:txbxContent>
                      <w:p w14:paraId="7F73E346" w14:textId="77777777" w:rsidR="00B32EF2" w:rsidRDefault="00000000">
                        <w:r>
                          <w:rPr>
                            <w:rFonts w:ascii="Arial" w:eastAsia="Arial" w:hAnsi="Arial" w:cs="Arial"/>
                            <w:sz w:val="18"/>
                          </w:rPr>
                          <w:t>Art. 12 - La formazione delle sezioni e dei collegi giudicanti</w:t>
                        </w:r>
                      </w:p>
                    </w:txbxContent>
                  </v:textbox>
                </v:rect>
                <v:rect id="Rectangle 23907" o:spid="_x0000_s7425" style="position:absolute;left:-2009;top:13361;width:4192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4E+xwAAAN4AAAAPAAAAZHJzL2Rvd25yZXYueG1sRI9Ba8JA&#10;FITvQv/D8gredKNCtdFVRJHm4KXWQo+P7DOJZt8u2dWk/fVuQfA4zMw3zGLVmVrcqPGVZQWjYQKC&#10;OLe64kLB8Ws3mIHwAVljbZkU/JKH1fKlt8BU25Y/6XYIhYgQ9ikqKENwqZQ+L8mgH1pHHL2TbQyG&#10;KJtC6gbbCDe1HCfJmzRYcVwo0dGmpPxyuBoFP1t22a6V+elv4/bnbFZ/XI/fSvVfu/UcRKAuPMOP&#10;dqYVjCfvyRT+78QrIJd3AAAA//8DAFBLAQItABQABgAIAAAAIQDb4fbL7gAAAIUBAAATAAAAAAAA&#10;AAAAAAAAAAAAAABbQ29udGVudF9UeXBlc10ueG1sUEsBAi0AFAAGAAgAAAAhAFr0LFu/AAAAFQEA&#10;AAsAAAAAAAAAAAAAAAAAHwEAAF9yZWxzLy5yZWxzUEsBAi0AFAAGAAgAAAAhAOHHgT7HAAAA3gAA&#10;AA8AAAAAAAAAAAAAAAAABwIAAGRycy9kb3ducmV2LnhtbFBLBQYAAAAAAwADALcAAAD7AgAAAAA=&#10;" filled="f" stroked="f">
                  <v:textbox inset="0,0,0,0">
                    <w:txbxContent>
                      <w:p w14:paraId="6D81F494" w14:textId="77777777" w:rsidR="00B32EF2" w:rsidRDefault="00000000">
                        <w:r>
                          <w:rPr>
                            <w:rFonts w:ascii="Arial" w:eastAsia="Arial" w:hAnsi="Arial" w:cs="Arial"/>
                            <w:b/>
                            <w:sz w:val="18"/>
                          </w:rPr>
                          <w:t xml:space="preserve">Capo II - I componenti delle corti di giustizia tributaria di </w:t>
                        </w:r>
                      </w:p>
                    </w:txbxContent>
                  </v:textbox>
                </v:rect>
                <v:rect id="Rectangle 23908" o:spid="_x0000_s7426" style="position:absolute;left:2547;top:13361;width:53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BVMxQAAAN4AAAAPAAAAZHJzL2Rvd25yZXYueG1sRE/Pa8Iw&#10;FL4L+x/CG+ym6ToQ1xlldMh68LLqYMdH82yrzUtoYlv965fDYMeP7/d6O5lODNT71rKC50UCgriy&#10;uuVawfGwm69A+ICssbNMCm7kYbt5mK0x03bkLxrKUIsYwj5DBU0ILpPSVw0Z9AvriCN3sr3BEGFf&#10;S93jGMNNJ9MkWUqDLceGBh3lDVWX8moU/HywK3ajrE733O3Pxar7vB6/lXp6nN7fQASawr/4z11o&#10;BenLaxL3xjvxCsjNLwAAAP//AwBQSwECLQAUAAYACAAAACEA2+H2y+4AAACFAQAAEwAAAAAAAAAA&#10;AAAAAAAAAAAAW0NvbnRlbnRfVHlwZXNdLnhtbFBLAQItABQABgAIAAAAIQBa9CxbvwAAABUBAAAL&#10;AAAAAAAAAAAAAAAAAB8BAABfcmVscy8ucmVsc1BLAQItABQABgAIAAAAIQCQWBVMxQAAAN4AAAAP&#10;AAAAAAAAAAAAAAAAAAcCAABkcnMvZG93bnJldi54bWxQSwUGAAAAAAMAAwC3AAAA+QIAAAAA&#10;" filled="f" stroked="f">
                  <v:textbox inset="0,0,0,0">
                    <w:txbxContent>
                      <w:p w14:paraId="2502693A" w14:textId="77777777" w:rsidR="00B32EF2" w:rsidRDefault="00000000">
                        <w:r>
                          <w:rPr>
                            <w:rFonts w:ascii="Arial" w:eastAsia="Arial" w:hAnsi="Arial" w:cs="Arial"/>
                            <w:b/>
                            <w:sz w:val="18"/>
                          </w:rPr>
                          <w:t>Pag. 23</w:t>
                        </w:r>
                      </w:p>
                    </w:txbxContent>
                  </v:textbox>
                </v:rect>
                <v:rect id="Rectangle 23909" o:spid="_x0000_s7427" style="position:absolute;left:22811;top:11646;width:1712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DXxwAAAN4AAAAPAAAAZHJzL2Rvd25yZXYueG1sRI9Pi8Iw&#10;FMTvgt8hPGFvmq4Li1ajLIrYw17WP+Dx0TzbavMSmmirn36zsOBxmJnfMPNlZ2pxp8ZXlhW8jxIQ&#10;xLnVFRcKDvvNcALCB2SNtWVS8CAPy0W/N8dU25Z/6L4LhYgQ9ikqKENwqZQ+L8mgH1lHHL2zbQyG&#10;KJtC6gbbCDe1HCfJpzRYcVwo0dGqpPy6uxkFpzW7bNPK/Pxcue9LNqm3t8NRqbdB9zUDEagLr/B/&#10;O9MKxh/TZAp/d+IVkItfAAAA//8DAFBLAQItABQABgAIAAAAIQDb4fbL7gAAAIUBAAATAAAAAAAA&#10;AAAAAAAAAAAAAABbQ29udGVudF9UeXBlc10ueG1sUEsBAi0AFAAGAAgAAAAhAFr0LFu/AAAAFQEA&#10;AAsAAAAAAAAAAAAAAAAAHwEAAF9yZWxzLy5yZWxzUEsBAi0AFAAGAAgAAAAhAP8UsNfHAAAA3gAA&#10;AA8AAAAAAAAAAAAAAAAABwIAAGRycy9kb3ducmV2LnhtbFBLBQYAAAAAAwADALcAAAD7AgAAAAA=&#10;" filled="f" stroked="f">
                  <v:textbox inset="0,0,0,0">
                    <w:txbxContent>
                      <w:p w14:paraId="51A0728C" w14:textId="77777777" w:rsidR="00B32EF2" w:rsidRDefault="00000000">
                        <w:r>
                          <w:rPr>
                            <w:rFonts w:ascii="Arial" w:eastAsia="Arial" w:hAnsi="Arial" w:cs="Arial"/>
                            <w:b/>
                            <w:sz w:val="18"/>
                          </w:rPr>
                          <w:t>primo e secondo grado</w:t>
                        </w:r>
                      </w:p>
                    </w:txbxContent>
                  </v:textbox>
                </v:rect>
                <v:rect id="Rectangle 23910" o:spid="_x0000_s7428" style="position:absolute;left:22235;top:9932;width:17681;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4+XxgAAAN4AAAAPAAAAZHJzL2Rvd25yZXYueG1sRI/LasJA&#10;FIb3Bd9hOEJ3daKFkqaOIoqYRTdNFVweMsckNXNmyEwu7dN3FoUuf/4b33o7mVYM1PnGsoLlIgFB&#10;XFrdcKXg/Hl8SkH4gKyxtUwKvsnDdjN7WGOm7cgfNBShEnGEfYYK6hBcJqUvazLoF9YRR+9mO4Mh&#10;yq6SusMxjptWrpLkRRpsOD7U6GhfU3kveqPgemCXH0dZ3n727v0rT9tTf74o9Tifdm8gAk3hP/zX&#10;zrWC1fPrMgJEnIgCcvMLAAD//wMAUEsBAi0AFAAGAAgAAAAhANvh9svuAAAAhQEAABMAAAAAAAAA&#10;AAAAAAAAAAAAAFtDb250ZW50X1R5cGVzXS54bWxQSwECLQAUAAYACAAAACEAWvQsW78AAAAVAQAA&#10;CwAAAAAAAAAAAAAAAAAfAQAAX3JlbHMvLnJlbHNQSwECLQAUAAYACAAAACEA6/ePl8YAAADeAAAA&#10;DwAAAAAAAAAAAAAAAAAHAgAAZHJzL2Rvd25yZXYueG1sUEsFBgAAAAADAAMAtwAAAPoCAAAAAA==&#10;" filled="f" stroked="f">
                  <v:textbox inset="0,0,0,0">
                    <w:txbxContent>
                      <w:p w14:paraId="18ECDE16" w14:textId="77777777" w:rsidR="00B32EF2" w:rsidRDefault="00000000">
                        <w:r>
                          <w:rPr>
                            <w:rFonts w:ascii="Arial" w:eastAsia="Arial" w:hAnsi="Arial" w:cs="Arial"/>
                            <w:sz w:val="18"/>
                          </w:rPr>
                          <w:t>Art. 13 - Requisiti generali</w:t>
                        </w:r>
                      </w:p>
                    </w:txbxContent>
                  </v:textbox>
                </v:rect>
                <v:rect id="Rectangle 23911" o:spid="_x0000_s7429" style="position:absolute;left:24143;top:8217;width:1577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yoMxwAAAN4AAAAPAAAAZHJzL2Rvd25yZXYueG1sRI9Pa8JA&#10;FMTvBb/D8gRvuokFsamriCLNoRf/FHp8ZJ9J2uzbJbua2E/vCkKPw8z8hlmsetOIK7W+tqwgnSQg&#10;iAuray4VnI678RyED8gaG8uk4EYeVsvBywIzbTve0/UQShEh7DNUUIXgMil9UZFBP7GOOHpn2xoM&#10;Ubal1C12EW4aOU2SmTRYc1yo0NGmouL3cDEKvrfs8l0ni/Pfxn3+5PPm43L6Umo07NfvIAL14T/8&#10;bOdawfT1LU3hcSdeAbm8AwAA//8DAFBLAQItABQABgAIAAAAIQDb4fbL7gAAAIUBAAATAAAAAAAA&#10;AAAAAAAAAAAAAABbQ29udGVudF9UeXBlc10ueG1sUEsBAi0AFAAGAAgAAAAhAFr0LFu/AAAAFQEA&#10;AAsAAAAAAAAAAAAAAAAAHwEAAF9yZWxzLy5yZWxzUEsBAi0AFAAGAAgAAAAhAIS7KgzHAAAA3gAA&#10;AA8AAAAAAAAAAAAAAAAABwIAAGRycy9kb3ducmV2LnhtbFBLBQYAAAAAAwADALcAAAD7AgAAAAA=&#10;" filled="f" stroked="f">
                  <v:textbox inset="0,0,0,0">
                    <w:txbxContent>
                      <w:p w14:paraId="633E630C" w14:textId="77777777" w:rsidR="00B32EF2" w:rsidRDefault="00000000">
                        <w:r>
                          <w:rPr>
                            <w:rFonts w:ascii="Arial" w:eastAsia="Arial" w:hAnsi="Arial" w:cs="Arial"/>
                            <w:sz w:val="18"/>
                          </w:rPr>
                          <w:t>Art. 14 - Incompatibilità</w:t>
                        </w:r>
                      </w:p>
                    </w:txbxContent>
                  </v:textbox>
                </v:rect>
                <v:rect id="Rectangle 23912" o:spid="_x0000_s7430" style="position:absolute;left:-7607;top:6503;width:4752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bR7xwAAAN4AAAAPAAAAZHJzL2Rvd25yZXYueG1sRI9Pa8JA&#10;FMTvhX6H5Qm96cYURFNXEYs0By/1D/T4yD6TaPbtkl1N6qd3C0KPw8z8hpkve9OIG7W+tqxgPEpA&#10;EBdW11wqOOw3wykIH5A1NpZJwS95WC5eX+aYadvxN912oRQRwj5DBVUILpPSFxUZ9CPriKN3sq3B&#10;EGVbSt1iF+GmkWmSTKTBmuNChY7WFRWX3dUo+Plkl286WZzua7c959Pm63o4KvU26FcfIAL14T/8&#10;bOdaQfo+G6fwdydeAbl4AAAA//8DAFBLAQItABQABgAIAAAAIQDb4fbL7gAAAIUBAAATAAAAAAAA&#10;AAAAAAAAAAAAAABbQ29udGVudF9UeXBlc10ueG1sUEsBAi0AFAAGAAgAAAAhAFr0LFu/AAAAFQEA&#10;AAsAAAAAAAAAAAAAAAAAHwEAAF9yZWxzLy5yZWxzUEsBAi0AFAAGAAgAAAAhAHRptHvHAAAA3gAA&#10;AA8AAAAAAAAAAAAAAAAABwIAAGRycy9kb3ducmV2LnhtbFBLBQYAAAAAAwADALcAAAD7AgAAAAA=&#10;" filled="f" stroked="f">
                  <v:textbox inset="0,0,0,0">
                    <w:txbxContent>
                      <w:p w14:paraId="79A69F70" w14:textId="77777777" w:rsidR="00B32EF2" w:rsidRDefault="00000000">
                        <w:r>
                          <w:rPr>
                            <w:rFonts w:ascii="Arial" w:eastAsia="Arial" w:hAnsi="Arial" w:cs="Arial"/>
                            <w:sz w:val="18"/>
                          </w:rPr>
                          <w:t>Art. 15 - Procedimenti di nomina dei componenti delle corti di giustizia</w:t>
                        </w:r>
                      </w:p>
                    </w:txbxContent>
                  </v:textbox>
                </v:rect>
                <v:rect id="Rectangle 23913" o:spid="_x0000_s7431" style="position:absolute;left:16073;top:4788;width:23843;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RHgxgAAAN4AAAAPAAAAZHJzL2Rvd25yZXYueG1sRI9Ba8JA&#10;FITvgv9heUJvdaNCsdFVRBFz8KK10OMj+0yi2bdLdjWpv74rFDwOM/MNM192phZ3anxlWcFomIAg&#10;zq2uuFBw+tq+T0H4gKyxtkwKfsnDctHvzTHVtuUD3Y+hEBHCPkUFZQguldLnJRn0Q+uIo3e2jcEQ&#10;ZVNI3WAb4aaW4yT5kAYrjgslOlqXlF+PN6PgZ8Mu27YyPz/Wbn/JpvXudvpW6m3QrWYgAnXhFf5v&#10;Z1rBePI5msDzTrwCcvEHAAD//wMAUEsBAi0AFAAGAAgAAAAhANvh9svuAAAAhQEAABMAAAAAAAAA&#10;AAAAAAAAAAAAAFtDb250ZW50X1R5cGVzXS54bWxQSwECLQAUAAYACAAAACEAWvQsW78AAAAVAQAA&#10;CwAAAAAAAAAAAAAAAAAfAQAAX3JlbHMvLnJlbHNQSwECLQAUAAYACAAAACEAGyUR4MYAAADeAAAA&#10;DwAAAAAAAAAAAAAAAAAHAgAAZHJzL2Rvd25yZXYueG1sUEsFBgAAAAADAAMAtwAAAPoCAAAAAA==&#10;" filled="f" stroked="f">
                  <v:textbox inset="0,0,0,0">
                    <w:txbxContent>
                      <w:p w14:paraId="09147982" w14:textId="77777777" w:rsidR="00B32EF2" w:rsidRDefault="00000000">
                        <w:r>
                          <w:rPr>
                            <w:rFonts w:ascii="Arial" w:eastAsia="Arial" w:hAnsi="Arial" w:cs="Arial"/>
                            <w:sz w:val="18"/>
                          </w:rPr>
                          <w:t>tributaria di primo e secondo grado</w:t>
                        </w:r>
                      </w:p>
                    </w:txbxContent>
                  </v:textbox>
                </v:rect>
                <v:rect id="Rectangle 23914" o:spid="_x0000_s7432" style="position:absolute;left:25557;top:3074;width:1435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ImUxwAAAN4AAAAPAAAAZHJzL2Rvd25yZXYueG1sRI9Pa8JA&#10;FMTvgt9heUJvutGK2NRVikXMoRf/FHp8ZJ9J2uzbJbua6KfvCoLHYWZ+wyxWnanFhRpfWVYwHiUg&#10;iHOrKy4UHA+b4RyED8gaa8uk4EoeVst+b4Gpti3v6LIPhYgQ9ikqKENwqZQ+L8mgH1lHHL2TbQyG&#10;KJtC6gbbCDe1nCTJTBqsOC6U6GhdUv63PxsFP5/ssk0r89Nt7b5+s3m9PR+/lXoZdB/vIAJ14Rl+&#10;tDOtYPL6Np7C/U68AnL5DwAA//8DAFBLAQItABQABgAIAAAAIQDb4fbL7gAAAIUBAAATAAAAAAAA&#10;AAAAAAAAAAAAAABbQ29udGVudF9UeXBlc10ueG1sUEsBAi0AFAAGAAgAAAAhAFr0LFu/AAAAFQEA&#10;AAsAAAAAAAAAAAAAAAAAHwEAAF9yZWxzLy5yZWxzUEsBAi0AFAAGAAgAAAAhAJTMiZTHAAAA3gAA&#10;AA8AAAAAAAAAAAAAAAAABwIAAGRycy9kb3ducmV2LnhtbFBLBQYAAAAAAwADALcAAAD7AgAAAAA=&#10;" filled="f" stroked="f">
                  <v:textbox inset="0,0,0,0">
                    <w:txbxContent>
                      <w:p w14:paraId="44AC8430" w14:textId="77777777" w:rsidR="00B32EF2" w:rsidRDefault="00000000">
                        <w:r>
                          <w:rPr>
                            <w:rFonts w:ascii="Arial" w:eastAsia="Arial" w:hAnsi="Arial" w:cs="Arial"/>
                            <w:sz w:val="18"/>
                          </w:rPr>
                          <w:t>Art. 16 -  Giuramento</w:t>
                        </w:r>
                      </w:p>
                    </w:txbxContent>
                  </v:textbox>
                </v:rect>
                <v:rect id="Rectangle 23915" o:spid="_x0000_s7433" style="position:absolute;left:-12183;top:1359;width:520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CwPxwAAAN4AAAAPAAAAZHJzL2Rvd25yZXYueG1sRI9Pa8JA&#10;FMTvgt9heUJvutGi2NRVikXMoRf/FHp8ZJ9J2uzbJbua6KfvCoLHYWZ+wyxWnanFhRpfWVYwHiUg&#10;iHOrKy4UHA+b4RyED8gaa8uk4EoeVst+b4Gpti3v6LIPhYgQ9ikqKENwqZQ+L8mgH1lHHL2TbQyG&#10;KJtC6gbbCDe1nCTJTBqsOC6U6GhdUv63PxsFP5/ssk0r89Nt7b5+s3m9PR+/lXoZdB/vIAJ14Rl+&#10;tDOtYPL6Np7C/U68AnL5DwAA//8DAFBLAQItABQABgAIAAAAIQDb4fbL7gAAAIUBAAATAAAAAAAA&#10;AAAAAAAAAAAAAABbQ29udGVudF9UeXBlc10ueG1sUEsBAi0AFAAGAAgAAAAhAFr0LFu/AAAAFQEA&#10;AAsAAAAAAAAAAAAAAAAAHwEAAF9yZWxzLy5yZWxzUEsBAi0AFAAGAAgAAAAhAPuALA/HAAAA3gAA&#10;AA8AAAAAAAAAAAAAAAAABwIAAGRycy9kb3ducmV2LnhtbFBLBQYAAAAAAwADALcAAAD7AgAAAAA=&#10;" filled="f" stroked="f">
                  <v:textbox inset="0,0,0,0">
                    <w:txbxContent>
                      <w:p w14:paraId="30EBCCD4" w14:textId="77777777" w:rsidR="00B32EF2" w:rsidRDefault="00000000">
                        <w:r>
                          <w:rPr>
                            <w:rFonts w:ascii="Arial" w:eastAsia="Arial" w:hAnsi="Arial" w:cs="Arial"/>
                            <w:sz w:val="18"/>
                          </w:rPr>
                          <w:t>Art. 17 - Durata dell’incarico e assegnazione degli incarichi per trasferimento</w:t>
                        </w:r>
                      </w:p>
                    </w:txbxContent>
                  </v:textbox>
                </v:rect>
                <v:rect id="Rectangle 23916" o:spid="_x0000_s7434" style="position:absolute;left:17258;top:-354;width:2265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rJ4xwAAAN4AAAAPAAAAZHJzL2Rvd25yZXYueG1sRI9Ba8JA&#10;FITvgv9heYI33aggNrpKsUhz8FKbQo+P7DOJzb5dsqtJ++vdguBxmJlvmM2uN424Uetrywpm0wQE&#10;cWF1zaWC/PMwWYHwAVljY5kU/JKH3XY42GCqbccfdDuFUkQI+xQVVCG4VEpfVGTQT60jjt7ZtgZD&#10;lG0pdYtdhJtGzpNkKQ3WHBcqdLSvqPg5XY2C7zd22aGTxflv746XbNW8X/Mvpcaj/nUNIlAfnuFH&#10;O9MK5ouX2RL+78QrILd3AAAA//8DAFBLAQItABQABgAIAAAAIQDb4fbL7gAAAIUBAAATAAAAAAAA&#10;AAAAAAAAAAAAAABbQ29udGVudF9UeXBlc10ueG1sUEsBAi0AFAAGAAgAAAAhAFr0LFu/AAAAFQEA&#10;AAsAAAAAAAAAAAAAAAAAHwEAAF9yZWxzLy5yZWxzUEsBAi0AFAAGAAgAAAAhAAtSsnjHAAAA3gAA&#10;AA8AAAAAAAAAAAAAAAAABwIAAGRycy9kb3ducmV2LnhtbFBLBQYAAAAAAwADALcAAAD7AgAAAAA=&#10;" filled="f" stroked="f">
                  <v:textbox inset="0,0,0,0">
                    <w:txbxContent>
                      <w:p w14:paraId="48ADE23C" w14:textId="77777777" w:rsidR="00B32EF2" w:rsidRDefault="00000000">
                        <w:r>
                          <w:rPr>
                            <w:rFonts w:ascii="Arial" w:eastAsia="Arial" w:hAnsi="Arial" w:cs="Arial"/>
                            <w:sz w:val="18"/>
                          </w:rPr>
                          <w:t xml:space="preserve">Art. 18 - Decadenza dall’incarico </w:t>
                        </w:r>
                      </w:p>
                    </w:txbxContent>
                  </v:textbox>
                </v:rect>
                <w10:anchorlock/>
              </v:group>
            </w:pict>
          </mc:Fallback>
        </mc:AlternateContent>
      </w:r>
    </w:p>
    <w:p w14:paraId="79FCEE7D" w14:textId="77777777" w:rsidR="00B32EF2" w:rsidRDefault="00000000">
      <w:pPr>
        <w:spacing w:after="0"/>
        <w:ind w:left="-1440" w:right="7064"/>
      </w:pPr>
      <w:r>
        <w:rPr>
          <w:noProof/>
        </w:rPr>
        <mc:AlternateContent>
          <mc:Choice Requires="wpg">
            <w:drawing>
              <wp:anchor distT="0" distB="0" distL="114300" distR="114300" simplePos="0" relativeHeight="251681792" behindDoc="0" locked="0" layoutInCell="1" allowOverlap="1" wp14:anchorId="57A72652" wp14:editId="42760004">
                <wp:simplePos x="0" y="0"/>
                <wp:positionH relativeFrom="page">
                  <wp:posOffset>2666472</wp:posOffset>
                </wp:positionH>
                <wp:positionV relativeFrom="page">
                  <wp:posOffset>397149</wp:posOffset>
                </wp:positionV>
                <wp:extent cx="67056" cy="188456"/>
                <wp:effectExtent l="0" t="0" r="0" b="0"/>
                <wp:wrapTopAndBottom/>
                <wp:docPr id="202477" name="Group 202477"/>
                <wp:cNvGraphicFramePr/>
                <a:graphic xmlns:a="http://schemas.openxmlformats.org/drawingml/2006/main">
                  <a:graphicData uri="http://schemas.microsoft.com/office/word/2010/wordprocessingGroup">
                    <wpg:wgp>
                      <wpg:cNvGrpSpPr/>
                      <wpg:grpSpPr>
                        <a:xfrm>
                          <a:off x="0" y="0"/>
                          <a:ext cx="67056" cy="188456"/>
                          <a:chOff x="0" y="0"/>
                          <a:chExt cx="67056" cy="188456"/>
                        </a:xfrm>
                      </wpg:grpSpPr>
                      <wps:wsp>
                        <wps:cNvPr id="23925" name="Rectangle 23925"/>
                        <wps:cNvSpPr/>
                        <wps:spPr>
                          <a:xfrm rot="-10799999">
                            <a:off x="-22127" y="-62190"/>
                            <a:ext cx="89184" cy="250646"/>
                          </a:xfrm>
                          <a:prstGeom prst="rect">
                            <a:avLst/>
                          </a:prstGeom>
                          <a:ln>
                            <a:noFill/>
                          </a:ln>
                        </wps:spPr>
                        <wps:txbx>
                          <w:txbxContent>
                            <w:p w14:paraId="4080F351" w14:textId="77777777" w:rsidR="00B32EF2" w:rsidRDefault="00000000">
                              <w:r>
                                <w:rPr>
                                  <w:rFonts w:ascii="Times New Roman" w:eastAsia="Times New Roman" w:hAnsi="Times New Roman" w:cs="Times New Roman"/>
                                </w:rPr>
                                <w:t>6</w:t>
                              </w:r>
                            </w:p>
                          </w:txbxContent>
                        </wps:txbx>
                        <wps:bodyPr horzOverflow="overflow" vert="horz" lIns="0" tIns="0" rIns="0" bIns="0" rtlCol="0">
                          <a:noAutofit/>
                        </wps:bodyPr>
                      </wps:wsp>
                    </wpg:wgp>
                  </a:graphicData>
                </a:graphic>
              </wp:anchor>
            </w:drawing>
          </mc:Choice>
          <mc:Fallback>
            <w:pict>
              <v:group w14:anchorId="57A72652" id="Group 202477" o:spid="_x0000_s7435" style="position:absolute;left:0;text-align:left;margin-left:209.95pt;margin-top:31.25pt;width:5.3pt;height:14.85pt;z-index:251681792;mso-position-horizontal-relative:page;mso-position-vertical-relative:page" coordsize="67056,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rF8GAIAAH4EAAAOAAAAZHJzL2Uyb0RvYy54bWyklNuO2yAQhu8r9R0Q94kPzdGKs6q63ahS&#10;1V112wcgGB8kzCAgsdOn74DtpN2VerH1BR4GPPzzMePdXd9KchbGNqBymsxjSoTiUDSqyunPHw+z&#10;DSXWMVUwCUrk9CIsvdu/f7frdCZSqEEWwhAMomzW6ZzWzuksiiyvRcvsHLRQuFiCaZnDqamiwrAO&#10;o7cySuN4FXVgCm2AC2vRez8s0n2IX5aCu8eytMIRmVPU5sJownj0Y7TfsawyTNcNH2WwN6hoWaPw&#10;0Guoe+YYOZnmVai24QYslG7OoY2gLBsuQg6YTRK/yOZg4KRDLlXWVfqKCdG+4PTmsPzb+WD0s34y&#10;SKLTFbIIM59LX5rWv1El6QOyyxWZ6B3h6Fyt4+WKEo4ryWazQDsQ5TVif/URrz//67NoOjL6S0in&#10;sTTsLXv7f9k/10yLANVmmP2TIU2R0/TDNl1SoliLRfody4apSgoyuAOasPsKymYWmU2UiAGsrFkS&#10;r7f+CZUwUpulaZKuKUFAs1WabMeSm/httslmMfBLl/FqEfhdQbBMG+sOAlrijZwaVBais/NX61AX&#10;bp22eDFS+VHBQyPlsOo9yHPS6y3XH/uQ9CoZ7ss7j1BckEUN5tcj9nMpocspjBb1LY7H+1VK5BeF&#10;d+C7aTLMZBwnwzj5CULPDYI+nhyUTVB8O21UhpcbrFDkIaWxIX0X/TkPu26/jf1vAAAA//8DAFBL&#10;AwQUAAYACAAAACEAe2FK6uEAAAAJAQAADwAAAGRycy9kb3ducmV2LnhtbEyPTUvDQBCG74L/YRnB&#10;m90k/cDEbEop6qkItoJ4m2anSWh2NmS3SfrvXU/2NsM8vPO8+XoyrRiod41lBfEsAkFcWt1wpeDr&#10;8Pb0DMJ5ZI2tZVJwJQfr4v4ux0zbkT9p2PtKhBB2GSqove8yKV1Zk0E3sx1xuJ1sb9CHta+k7nEM&#10;4aaVSRStpMGGw4caO9rWVJ73F6PgfcRxM49fh935tL3+HJYf37uYlHp8mDYvIDxN/h+GP/2gDkVw&#10;OtoLaydaBYs4TQOqYJUsQQRgMY/CcFSQJgnIIpe3DYpfAAAA//8DAFBLAQItABQABgAIAAAAIQC2&#10;gziS/gAAAOEBAAATAAAAAAAAAAAAAAAAAAAAAABbQ29udGVudF9UeXBlc10ueG1sUEsBAi0AFAAG&#10;AAgAAAAhADj9If/WAAAAlAEAAAsAAAAAAAAAAAAAAAAALwEAAF9yZWxzLy5yZWxzUEsBAi0AFAAG&#10;AAgAAAAhAI0msXwYAgAAfgQAAA4AAAAAAAAAAAAAAAAALgIAAGRycy9lMm9Eb2MueG1sUEsBAi0A&#10;FAAGAAgAAAAhAHthSurhAAAACQEAAA8AAAAAAAAAAAAAAAAAcgQAAGRycy9kb3ducmV2LnhtbFBL&#10;BQYAAAAABAAEAPMAAACABQAAAAA=&#10;">
                <v:rect id="Rectangle 23925" o:spid="_x0000_s7436" style="position:absolute;left:-22127;top:-62190;width:89184;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OayxwAAAN4AAAAPAAAAZHJzL2Rvd25yZXYueG1sRI9Ba8JA&#10;FITvgv9heUJvummKJU1dRRRpDr1oLfT4yD6TtNm3S3Y1qb++KxQ8DjPzDbNYDaYVF+p8Y1nB4ywB&#10;QVxa3XCl4Pixm2YgfEDW2FomBb/kYbUcjxaYa9vzni6HUIkIYZ+jgjoEl0vpy5oM+pl1xNE72c5g&#10;iLKrpO6wj3DTyjRJnqXBhuNCjY42NZU/h7NR8LVlV+x6WZ6uG/f+XWTt2/n4qdTDZFi/ggg0hHv4&#10;v11oBenTSzqH2514BeTyDwAA//8DAFBLAQItABQABgAIAAAAIQDb4fbL7gAAAIUBAAATAAAAAAAA&#10;AAAAAAAAAAAAAABbQ29udGVudF9UeXBlc10ueG1sUEsBAi0AFAAGAAgAAAAhAFr0LFu/AAAAFQEA&#10;AAsAAAAAAAAAAAAAAAAAHwEAAF9yZWxzLy5yZWxzUEsBAi0AFAAGAAgAAAAhADXs5rLHAAAA3gAA&#10;AA8AAAAAAAAAAAAAAAAABwIAAGRycy9kb3ducmV2LnhtbFBLBQYAAAAAAwADALcAAAD7AgAAAAA=&#10;" filled="f" stroked="f">
                  <v:textbox inset="0,0,0,0">
                    <w:txbxContent>
                      <w:p w14:paraId="4080F351" w14:textId="77777777" w:rsidR="00B32EF2" w:rsidRDefault="00000000">
                        <w:r>
                          <w:rPr>
                            <w:rFonts w:ascii="Times New Roman" w:eastAsia="Times New Roman" w:hAnsi="Times New Roman" w:cs="Times New Roman"/>
                          </w:rPr>
                          <w:t>6</w:t>
                        </w:r>
                      </w:p>
                    </w:txbxContent>
                  </v:textbox>
                </v:rect>
                <w10:wrap type="topAndBottom" anchorx="page" anchory="page"/>
              </v:group>
            </w:pict>
          </mc:Fallback>
        </mc:AlternateContent>
      </w:r>
      <w:r>
        <w:br w:type="page"/>
      </w:r>
    </w:p>
    <w:p w14:paraId="775618E2" w14:textId="77777777" w:rsidR="00B32EF2" w:rsidRDefault="00000000">
      <w:pPr>
        <w:spacing w:after="5309"/>
        <w:ind w:left="-1440" w:right="7064"/>
      </w:pPr>
      <w:r>
        <w:rPr>
          <w:noProof/>
        </w:rPr>
        <w:lastRenderedPageBreak/>
        <mc:AlternateContent>
          <mc:Choice Requires="wpg">
            <w:drawing>
              <wp:anchor distT="0" distB="0" distL="114300" distR="114300" simplePos="0" relativeHeight="251682816" behindDoc="0" locked="0" layoutInCell="1" allowOverlap="1" wp14:anchorId="43EB6654" wp14:editId="38C18C4B">
                <wp:simplePos x="0" y="0"/>
                <wp:positionH relativeFrom="page">
                  <wp:posOffset>2666472</wp:posOffset>
                </wp:positionH>
                <wp:positionV relativeFrom="page">
                  <wp:posOffset>397149</wp:posOffset>
                </wp:positionV>
                <wp:extent cx="67056" cy="188456"/>
                <wp:effectExtent l="0" t="0" r="0" b="0"/>
                <wp:wrapTopAndBottom/>
                <wp:docPr id="202478" name="Group 202478"/>
                <wp:cNvGraphicFramePr/>
                <a:graphic xmlns:a="http://schemas.openxmlformats.org/drawingml/2006/main">
                  <a:graphicData uri="http://schemas.microsoft.com/office/word/2010/wordprocessingGroup">
                    <wpg:wgp>
                      <wpg:cNvGrpSpPr/>
                      <wpg:grpSpPr>
                        <a:xfrm>
                          <a:off x="0" y="0"/>
                          <a:ext cx="67056" cy="188456"/>
                          <a:chOff x="0" y="0"/>
                          <a:chExt cx="67056" cy="188456"/>
                        </a:xfrm>
                      </wpg:grpSpPr>
                      <wps:wsp>
                        <wps:cNvPr id="23929" name="Rectangle 23929"/>
                        <wps:cNvSpPr/>
                        <wps:spPr>
                          <a:xfrm rot="-10799999">
                            <a:off x="-22127" y="-62190"/>
                            <a:ext cx="89184" cy="250646"/>
                          </a:xfrm>
                          <a:prstGeom prst="rect">
                            <a:avLst/>
                          </a:prstGeom>
                          <a:ln>
                            <a:noFill/>
                          </a:ln>
                        </wps:spPr>
                        <wps:txbx>
                          <w:txbxContent>
                            <w:p w14:paraId="4BF1D24F" w14:textId="77777777" w:rsidR="00B32EF2" w:rsidRDefault="00000000">
                              <w:r>
                                <w:rPr>
                                  <w:rFonts w:ascii="Times New Roman" w:eastAsia="Times New Roman" w:hAnsi="Times New Roman" w:cs="Times New Roman"/>
                                </w:rPr>
                                <w:t>5</w:t>
                              </w:r>
                            </w:p>
                          </w:txbxContent>
                        </wps:txbx>
                        <wps:bodyPr horzOverflow="overflow" vert="horz" lIns="0" tIns="0" rIns="0" bIns="0" rtlCol="0">
                          <a:noAutofit/>
                        </wps:bodyPr>
                      </wps:wsp>
                    </wpg:wgp>
                  </a:graphicData>
                </a:graphic>
              </wp:anchor>
            </w:drawing>
          </mc:Choice>
          <mc:Fallback>
            <w:pict>
              <v:group w14:anchorId="43EB6654" id="Group 202478" o:spid="_x0000_s7437" style="position:absolute;left:0;text-align:left;margin-left:209.95pt;margin-top:31.25pt;width:5.3pt;height:14.85pt;z-index:251682816;mso-position-horizontal-relative:page;mso-position-vertical-relative:page" coordsize="67056,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UKDGgIAAH4EAAAOAAAAZHJzL2Uyb0RvYy54bWyklNuO2yAQhu8r9R0Q94kPTZzEirOqut2o&#10;UtVdddsHIBgfJMwgILHTp+9A7KTdlXqx9QUeBjz88zHj7d3QSXISxragCprMY0qE4lC2qi7ozx8P&#10;szUl1jFVMglKFPQsLL3bvX+37XUuUmhAlsIQDKJs3uuCNs7pPIosb0TH7By0ULhYgemYw6mpo9Kw&#10;HqN3MkrjOIt6MKU2wIW16L2/LNJdiF9VgrvHqrLCEVlQ1ObCaMJ48GO027K8Nkw3LR9lsDeo6Fir&#10;8NBrqHvmGDma9lWoruUGLFRuzqGLoKpaLkIOmE0Sv8hmb+CoQy513tf6ignRvuD05rD822lv9LN+&#10;Mkii1zWyCDOfy1CZzr9RJRkCsvMVmRgc4ejMVvEyo4TjSrJeL9AORHmD2F99xJvP//osmo6M/hLS&#10;aywNe8ve/l/2zw3TIkC1OWb/ZEhbFjT9sEk3lCjWYZF+x7JhqpaCXNwBTdh9BWVzi8wmSsQAVtYs&#10;iVcb/4RKGKnN0jRJV5QgoFmWJpux5CZ+602yXlz4pcs4WwR+VxAs18a6vYCOeKOgBpWF6Oz01TrU&#10;hVunLV6MVH5U8NBKeVn1HuQ56fWWGw5DSDpLlit/X955gPKMLBowvx6xnysJfUFhtKhvcTzer1Ii&#10;vyi8A99Nk2Em4zAZxslPEHruIujj0UHVBsW300ZleLnBCkUeUhob0nfRn/Ow6/bb2P0GAAD//wMA&#10;UEsDBBQABgAIAAAAIQB7YUrq4QAAAAkBAAAPAAAAZHJzL2Rvd25yZXYueG1sTI9NS8NAEIbvgv9h&#10;GcGb3ST9wMRsSinqqQi2gnibZqdJaHY2ZLdJ+u9dT/Y2wzy887z5ejKtGKh3jWUF8SwCQVxa3XCl&#10;4Ovw9vQMwnlkja1lUnAlB+vi/i7HTNuRP2nY+0qEEHYZKqi97zIpXVmTQTezHXG4nWxv0Ie1r6Tu&#10;cQzhppVJFK2kwYbDhxo72tZUnvcXo+B9xHEzj1+H3fm0vf4clh/fu5iUenyYNi8gPE3+H4Y//aAO&#10;RXA62gtrJ1oFizhNA6pglSxBBGAxj8JwVJAmCcgil7cNil8AAAD//wMAUEsBAi0AFAAGAAgAAAAh&#10;ALaDOJL+AAAA4QEAABMAAAAAAAAAAAAAAAAAAAAAAFtDb250ZW50X1R5cGVzXS54bWxQSwECLQAU&#10;AAYACAAAACEAOP0h/9YAAACUAQAACwAAAAAAAAAAAAAAAAAvAQAAX3JlbHMvLnJlbHNQSwECLQAU&#10;AAYACAAAACEANGlCgxoCAAB+BAAADgAAAAAAAAAAAAAAAAAuAgAAZHJzL2Uyb0RvYy54bWxQSwEC&#10;LQAUAAYACAAAACEAe2FK6uEAAAAJAQAADwAAAAAAAAAAAAAAAAB0BAAAZHJzL2Rvd25yZXYueG1s&#10;UEsFBgAAAAAEAAQA8wAAAIIFAAAAAA==&#10;">
                <v:rect id="Rectangle 23929" o:spid="_x0000_s7438" style="position:absolute;left:-22127;top:-62190;width:89184;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ey3xwAAAN4AAAAPAAAAZHJzL2Rvd25yZXYueG1sRI9Pa8JA&#10;FMTvgt9heYI33TRC0egqxSLNoZf6Bzw+ss8kbfbtkl1N2k/fFQSPw8z8hlltetOIG7W+tqzgZZqA&#10;IC6srrlUcDzsJnMQPiBrbCyTgl/ysFkPByvMtO34i277UIoIYZ+hgioEl0npi4oM+ql1xNG72NZg&#10;iLItpW6xi3DTyDRJXqXBmuNChY62FRU/+6tRcH5nl+86WVz+tu7zO583H9fjSanxqH9bggjUh2f4&#10;0c61gnS2SBdwvxOvgFz/AwAA//8DAFBLAQItABQABgAIAAAAIQDb4fbL7gAAAIUBAAATAAAAAAAA&#10;AAAAAAAAAAAAAABbQ29udGVudF9UeXBlc10ueG1sUEsBAi0AFAAGAAgAAAAhAFr0LFu/AAAAFQEA&#10;AAsAAAAAAAAAAAAAAAAAHwEAAF9yZWxzLy5yZWxzUEsBAi0AFAAGAAgAAAAhALSh7LfHAAAA3gAA&#10;AA8AAAAAAAAAAAAAAAAABwIAAGRycy9kb3ducmV2LnhtbFBLBQYAAAAAAwADALcAAAD7AgAAAAA=&#10;" filled="f" stroked="f">
                  <v:textbox inset="0,0,0,0">
                    <w:txbxContent>
                      <w:p w14:paraId="4BF1D24F" w14:textId="77777777" w:rsidR="00B32EF2" w:rsidRDefault="00000000">
                        <w:r>
                          <w:rPr>
                            <w:rFonts w:ascii="Times New Roman" w:eastAsia="Times New Roman" w:hAnsi="Times New Roman" w:cs="Times New Roman"/>
                          </w:rPr>
                          <w:t>5</w:t>
                        </w:r>
                      </w:p>
                    </w:txbxContent>
                  </v:textbox>
                </v:rect>
                <w10:wrap type="topAndBottom" anchorx="page" anchory="page"/>
              </v:group>
            </w:pict>
          </mc:Fallback>
        </mc:AlternateContent>
      </w:r>
    </w:p>
    <w:p w14:paraId="3D059076" w14:textId="77777777" w:rsidR="00B32EF2" w:rsidRDefault="00000000">
      <w:pPr>
        <w:spacing w:after="608"/>
        <w:ind w:left="-263" w:right="-522"/>
      </w:pPr>
      <w:r>
        <w:rPr>
          <w:noProof/>
        </w:rPr>
        <mc:AlternateContent>
          <mc:Choice Requires="wpg">
            <w:drawing>
              <wp:inline distT="0" distB="0" distL="0" distR="0" wp14:anchorId="742FE2AC" wp14:editId="6C17E0FC">
                <wp:extent cx="4069773" cy="2080710"/>
                <wp:effectExtent l="0" t="0" r="0" b="0"/>
                <wp:docPr id="202480" name="Group 202480"/>
                <wp:cNvGraphicFramePr/>
                <a:graphic xmlns:a="http://schemas.openxmlformats.org/drawingml/2006/main">
                  <a:graphicData uri="http://schemas.microsoft.com/office/word/2010/wordprocessingGroup">
                    <wpg:wgp>
                      <wpg:cNvGrpSpPr/>
                      <wpg:grpSpPr>
                        <a:xfrm>
                          <a:off x="0" y="0"/>
                          <a:ext cx="4069773" cy="2080710"/>
                          <a:chOff x="0" y="0"/>
                          <a:chExt cx="4069773" cy="2080710"/>
                        </a:xfrm>
                      </wpg:grpSpPr>
                      <wps:wsp>
                        <wps:cNvPr id="23931" name="Rectangle 23931"/>
                        <wps:cNvSpPr/>
                        <wps:spPr>
                          <a:xfrm rot="-10799999">
                            <a:off x="3822964" y="1937821"/>
                            <a:ext cx="109757" cy="142889"/>
                          </a:xfrm>
                          <a:prstGeom prst="rect">
                            <a:avLst/>
                          </a:prstGeom>
                          <a:ln>
                            <a:noFill/>
                          </a:ln>
                        </wps:spPr>
                        <wps:txbx>
                          <w:txbxContent>
                            <w:p w14:paraId="753B0521" w14:textId="77777777" w:rsidR="00B32EF2" w:rsidRDefault="00000000">
                              <w:r>
                                <w:rPr>
                                  <w:rFonts w:ascii="Arial" w:eastAsia="Arial" w:hAnsi="Arial" w:cs="Arial"/>
                                  <w:b/>
                                  <w:sz w:val="18"/>
                                </w:rPr>
                                <w:t>A</w:t>
                              </w:r>
                            </w:p>
                          </w:txbxContent>
                        </wps:txbx>
                        <wps:bodyPr horzOverflow="overflow" vert="horz" lIns="0" tIns="0" rIns="0" bIns="0" rtlCol="0">
                          <a:noAutofit/>
                        </wps:bodyPr>
                      </wps:wsp>
                      <wps:wsp>
                        <wps:cNvPr id="23932" name="Rectangle 23932"/>
                        <wps:cNvSpPr/>
                        <wps:spPr>
                          <a:xfrm rot="-10799999">
                            <a:off x="98595" y="1937821"/>
                            <a:ext cx="3751601" cy="142889"/>
                          </a:xfrm>
                          <a:prstGeom prst="rect">
                            <a:avLst/>
                          </a:prstGeom>
                          <a:ln>
                            <a:noFill/>
                          </a:ln>
                        </wps:spPr>
                        <wps:txbx>
                          <w:txbxContent>
                            <w:p w14:paraId="7073A43D" w14:textId="77777777" w:rsidR="00B32EF2" w:rsidRDefault="00000000">
                              <w:r>
                                <w:rPr>
                                  <w:rFonts w:ascii="Arial" w:eastAsia="Arial" w:hAnsi="Arial" w:cs="Arial"/>
                                  <w:sz w:val="18"/>
                                </w:rPr>
                                <w:t xml:space="preserve"> – Il testo normativo è rappresentato graficamente così:</w:t>
                              </w:r>
                            </w:p>
                          </w:txbxContent>
                        </wps:txbx>
                        <wps:bodyPr horzOverflow="overflow" vert="horz" lIns="0" tIns="0" rIns="0" bIns="0" rtlCol="0">
                          <a:noAutofit/>
                        </wps:bodyPr>
                      </wps:wsp>
                      <wps:wsp>
                        <wps:cNvPr id="23933" name="Rectangle 23933"/>
                        <wps:cNvSpPr/>
                        <wps:spPr>
                          <a:xfrm rot="-10799999">
                            <a:off x="-1119159" y="1691162"/>
                            <a:ext cx="5051881" cy="142889"/>
                          </a:xfrm>
                          <a:prstGeom prst="rect">
                            <a:avLst/>
                          </a:prstGeom>
                          <a:ln>
                            <a:noFill/>
                          </a:ln>
                        </wps:spPr>
                        <wps:txbx>
                          <w:txbxContent>
                            <w:p w14:paraId="4155256E" w14:textId="77777777" w:rsidR="00B32EF2" w:rsidRDefault="00000000">
                              <w:r>
                                <w:rPr>
                                  <w:rFonts w:ascii="Arial" w:eastAsia="Arial" w:hAnsi="Arial" w:cs="Arial"/>
                                  <w:sz w:val="18"/>
                                </w:rPr>
                                <w:t xml:space="preserve">Al testo della norma può seguire un riquadro in grigio che comprende due </w:t>
                              </w:r>
                            </w:p>
                          </w:txbxContent>
                        </wps:txbx>
                        <wps:bodyPr horzOverflow="overflow" vert="horz" lIns="0" tIns="0" rIns="0" bIns="0" rtlCol="0">
                          <a:noAutofit/>
                        </wps:bodyPr>
                      </wps:wsp>
                      <wps:wsp>
                        <wps:cNvPr id="23934" name="Rectangle 23934"/>
                        <wps:cNvSpPr/>
                        <wps:spPr>
                          <a:xfrm rot="-10799999">
                            <a:off x="3413227" y="1567832"/>
                            <a:ext cx="519950" cy="142889"/>
                          </a:xfrm>
                          <a:prstGeom prst="rect">
                            <a:avLst/>
                          </a:prstGeom>
                          <a:ln>
                            <a:noFill/>
                          </a:ln>
                        </wps:spPr>
                        <wps:txbx>
                          <w:txbxContent>
                            <w:p w14:paraId="12EA14A8" w14:textId="77777777" w:rsidR="00B32EF2" w:rsidRDefault="00000000">
                              <w:r>
                                <w:rPr>
                                  <w:rFonts w:ascii="Arial" w:eastAsia="Arial" w:hAnsi="Arial" w:cs="Arial"/>
                                  <w:sz w:val="18"/>
                                </w:rPr>
                                <w:t>sezioni:</w:t>
                              </w:r>
                            </w:p>
                          </w:txbxContent>
                        </wps:txbx>
                        <wps:bodyPr horzOverflow="overflow" vert="horz" lIns="0" tIns="0" rIns="0" bIns="0" rtlCol="0">
                          <a:noAutofit/>
                        </wps:bodyPr>
                      </wps:wsp>
                      <wps:wsp>
                        <wps:cNvPr id="23935" name="Rectangle 23935"/>
                        <wps:cNvSpPr/>
                        <wps:spPr>
                          <a:xfrm rot="-10799999">
                            <a:off x="2324972" y="1321173"/>
                            <a:ext cx="1609350" cy="142889"/>
                          </a:xfrm>
                          <a:prstGeom prst="rect">
                            <a:avLst/>
                          </a:prstGeom>
                          <a:ln>
                            <a:noFill/>
                          </a:ln>
                        </wps:spPr>
                        <wps:txbx>
                          <w:txbxContent>
                            <w:p w14:paraId="2E349AF3" w14:textId="77777777" w:rsidR="00B32EF2" w:rsidRDefault="00000000">
                              <w:r>
                                <w:rPr>
                                  <w:rFonts w:ascii="Arial" w:eastAsia="Arial" w:hAnsi="Arial" w:cs="Arial"/>
                                  <w:i/>
                                  <w:sz w:val="18"/>
                                </w:rPr>
                                <w:t>NORME RICHIAMATE:</w:t>
                              </w:r>
                            </w:p>
                          </w:txbxContent>
                        </wps:txbx>
                        <wps:bodyPr horzOverflow="overflow" vert="horz" lIns="0" tIns="0" rIns="0" bIns="0" rtlCol="0">
                          <a:noAutofit/>
                        </wps:bodyPr>
                      </wps:wsp>
                      <wps:wsp>
                        <wps:cNvPr id="23936" name="Rectangle 23936"/>
                        <wps:cNvSpPr/>
                        <wps:spPr>
                          <a:xfrm rot="-10799999">
                            <a:off x="-789677" y="1321173"/>
                            <a:ext cx="3513905" cy="142889"/>
                          </a:xfrm>
                          <a:prstGeom prst="rect">
                            <a:avLst/>
                          </a:prstGeom>
                          <a:ln>
                            <a:noFill/>
                          </a:ln>
                        </wps:spPr>
                        <wps:txbx>
                          <w:txbxContent>
                            <w:p w14:paraId="4F52EB77" w14:textId="77777777" w:rsidR="00B32EF2" w:rsidRDefault="00000000">
                              <w:r>
                                <w:rPr>
                                  <w:rFonts w:ascii="Arial" w:eastAsia="Arial" w:hAnsi="Arial" w:cs="Arial"/>
                                  <w:sz w:val="18"/>
                                </w:rPr>
                                <w:t xml:space="preserve"> riguarda le norme espressamente richiamate dal te</w:t>
                              </w:r>
                            </w:p>
                          </w:txbxContent>
                        </wps:txbx>
                        <wps:bodyPr horzOverflow="overflow" vert="horz" lIns="0" tIns="0" rIns="0" bIns="0" rtlCol="0">
                          <a:noAutofit/>
                        </wps:bodyPr>
                      </wps:wsp>
                      <wps:wsp>
                        <wps:cNvPr id="23937" name="Rectangle 23937"/>
                        <wps:cNvSpPr/>
                        <wps:spPr>
                          <a:xfrm rot="-10799999">
                            <a:off x="27674" y="1321173"/>
                            <a:ext cx="50622" cy="142889"/>
                          </a:xfrm>
                          <a:prstGeom prst="rect">
                            <a:avLst/>
                          </a:prstGeom>
                          <a:ln>
                            <a:noFill/>
                          </a:ln>
                        </wps:spPr>
                        <wps:txbx>
                          <w:txbxContent>
                            <w:p w14:paraId="5A243F0D"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938" name="Rectangle 23938"/>
                        <wps:cNvSpPr/>
                        <wps:spPr>
                          <a:xfrm rot="-10799999">
                            <a:off x="2040327" y="1197843"/>
                            <a:ext cx="1892393" cy="142889"/>
                          </a:xfrm>
                          <a:prstGeom prst="rect">
                            <a:avLst/>
                          </a:prstGeom>
                          <a:ln>
                            <a:noFill/>
                          </a:ln>
                        </wps:spPr>
                        <wps:txbx>
                          <w:txbxContent>
                            <w:p w14:paraId="2E3B5C89" w14:textId="77777777" w:rsidR="00B32EF2" w:rsidRDefault="00000000">
                              <w:r>
                                <w:rPr>
                                  <w:rFonts w:ascii="Arial" w:eastAsia="Arial" w:hAnsi="Arial" w:cs="Arial"/>
                                  <w:sz w:val="18"/>
                                </w:rPr>
                                <w:t>sto dell’articolo in questione</w:t>
                              </w:r>
                            </w:p>
                          </w:txbxContent>
                        </wps:txbx>
                        <wps:bodyPr horzOverflow="overflow" vert="horz" lIns="0" tIns="0" rIns="0" bIns="0" rtlCol="0">
                          <a:noAutofit/>
                        </wps:bodyPr>
                      </wps:wsp>
                      <wps:wsp>
                        <wps:cNvPr id="23939" name="Rectangle 23939"/>
                        <wps:cNvSpPr/>
                        <wps:spPr>
                          <a:xfrm rot="-10799999">
                            <a:off x="2355785" y="1074513"/>
                            <a:ext cx="1578535" cy="142889"/>
                          </a:xfrm>
                          <a:prstGeom prst="rect">
                            <a:avLst/>
                          </a:prstGeom>
                          <a:ln>
                            <a:noFill/>
                          </a:ln>
                        </wps:spPr>
                        <wps:txbx>
                          <w:txbxContent>
                            <w:p w14:paraId="2A7D1606" w14:textId="77777777" w:rsidR="00B32EF2" w:rsidRDefault="00000000">
                              <w:r>
                                <w:rPr>
                                  <w:rFonts w:ascii="Arial" w:eastAsia="Arial" w:hAnsi="Arial" w:cs="Arial"/>
                                  <w:i/>
                                  <w:sz w:val="18"/>
                                </w:rPr>
                                <w:t>NORME COLLEGATE:</w:t>
                              </w:r>
                            </w:p>
                          </w:txbxContent>
                        </wps:txbx>
                        <wps:bodyPr horzOverflow="overflow" vert="horz" lIns="0" tIns="0" rIns="0" bIns="0" rtlCol="0">
                          <a:noAutofit/>
                        </wps:bodyPr>
                      </wps:wsp>
                      <wps:wsp>
                        <wps:cNvPr id="23940" name="Rectangle 23940"/>
                        <wps:cNvSpPr/>
                        <wps:spPr>
                          <a:xfrm rot="-10799999">
                            <a:off x="-812536" y="1074513"/>
                            <a:ext cx="3559966" cy="142889"/>
                          </a:xfrm>
                          <a:prstGeom prst="rect">
                            <a:avLst/>
                          </a:prstGeom>
                          <a:ln>
                            <a:noFill/>
                          </a:ln>
                        </wps:spPr>
                        <wps:txbx>
                          <w:txbxContent>
                            <w:p w14:paraId="15C4BCBD" w14:textId="77777777" w:rsidR="00B32EF2" w:rsidRDefault="00000000">
                              <w:r>
                                <w:rPr>
                                  <w:rFonts w:ascii="Arial" w:eastAsia="Arial" w:hAnsi="Arial" w:cs="Arial"/>
                                  <w:sz w:val="18"/>
                                </w:rPr>
                                <w:t xml:space="preserve"> riguarda le norme del c.p.c. che si ritiene essere col</w:t>
                              </w:r>
                            </w:p>
                          </w:txbxContent>
                        </wps:txbx>
                        <wps:bodyPr horzOverflow="overflow" vert="horz" lIns="0" tIns="0" rIns="0" bIns="0" rtlCol="0">
                          <a:noAutofit/>
                        </wps:bodyPr>
                      </wps:wsp>
                      <wps:wsp>
                        <wps:cNvPr id="23941" name="Rectangle 23941"/>
                        <wps:cNvSpPr/>
                        <wps:spPr>
                          <a:xfrm rot="-10799999">
                            <a:off x="17386" y="1074514"/>
                            <a:ext cx="50622" cy="142889"/>
                          </a:xfrm>
                          <a:prstGeom prst="rect">
                            <a:avLst/>
                          </a:prstGeom>
                          <a:ln>
                            <a:noFill/>
                          </a:ln>
                        </wps:spPr>
                        <wps:txbx>
                          <w:txbxContent>
                            <w:p w14:paraId="29B39F4E"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942" name="Rectangle 23942"/>
                        <wps:cNvSpPr/>
                        <wps:spPr>
                          <a:xfrm rot="-10799999">
                            <a:off x="1911552" y="951183"/>
                            <a:ext cx="2021169" cy="142889"/>
                          </a:xfrm>
                          <a:prstGeom prst="rect">
                            <a:avLst/>
                          </a:prstGeom>
                          <a:ln>
                            <a:noFill/>
                          </a:ln>
                        </wps:spPr>
                        <wps:txbx>
                          <w:txbxContent>
                            <w:p w14:paraId="0D8C4695" w14:textId="77777777" w:rsidR="00B32EF2" w:rsidRDefault="00000000">
                              <w:r>
                                <w:rPr>
                                  <w:rFonts w:ascii="Arial" w:eastAsia="Arial" w:hAnsi="Arial" w:cs="Arial"/>
                                  <w:sz w:val="18"/>
                                </w:rPr>
                                <w:t>legate all’articolo in questione</w:t>
                              </w:r>
                            </w:p>
                          </w:txbxContent>
                        </wps:txbx>
                        <wps:bodyPr horzOverflow="overflow" vert="horz" lIns="0" tIns="0" rIns="0" bIns="0" rtlCol="0">
                          <a:noAutofit/>
                        </wps:bodyPr>
                      </wps:wsp>
                      <wps:wsp>
                        <wps:cNvPr id="23943" name="Rectangle 23943"/>
                        <wps:cNvSpPr/>
                        <wps:spPr>
                          <a:xfrm rot="-10799999">
                            <a:off x="3822963" y="581194"/>
                            <a:ext cx="109757" cy="142889"/>
                          </a:xfrm>
                          <a:prstGeom prst="rect">
                            <a:avLst/>
                          </a:prstGeom>
                          <a:ln>
                            <a:noFill/>
                          </a:ln>
                        </wps:spPr>
                        <wps:txbx>
                          <w:txbxContent>
                            <w:p w14:paraId="177084B5" w14:textId="77777777" w:rsidR="00B32EF2" w:rsidRDefault="00000000">
                              <w:r>
                                <w:rPr>
                                  <w:rFonts w:ascii="Arial" w:eastAsia="Arial" w:hAnsi="Arial" w:cs="Arial"/>
                                  <w:b/>
                                  <w:sz w:val="18"/>
                                </w:rPr>
                                <w:t>B</w:t>
                              </w:r>
                            </w:p>
                          </w:txbxContent>
                        </wps:txbx>
                        <wps:bodyPr horzOverflow="overflow" vert="horz" lIns="0" tIns="0" rIns="0" bIns="0" rtlCol="0">
                          <a:noAutofit/>
                        </wps:bodyPr>
                      </wps:wsp>
                      <wps:wsp>
                        <wps:cNvPr id="23944" name="Rectangle 23944"/>
                        <wps:cNvSpPr/>
                        <wps:spPr>
                          <a:xfrm rot="-10799999">
                            <a:off x="-1216140" y="581194"/>
                            <a:ext cx="5066338" cy="142889"/>
                          </a:xfrm>
                          <a:prstGeom prst="rect">
                            <a:avLst/>
                          </a:prstGeom>
                          <a:ln>
                            <a:noFill/>
                          </a:ln>
                        </wps:spPr>
                        <wps:txbx>
                          <w:txbxContent>
                            <w:p w14:paraId="5751AC9A" w14:textId="77777777" w:rsidR="00B32EF2" w:rsidRDefault="00000000">
                              <w:r>
                                <w:rPr>
                                  <w:rFonts w:ascii="Arial" w:eastAsia="Arial" w:hAnsi="Arial" w:cs="Arial"/>
                                  <w:sz w:val="18"/>
                                </w:rPr>
                                <w:t xml:space="preserve"> - Sotto la rubrica di ciascun articolo è inserito tra parentesi il corrisponden</w:t>
                              </w:r>
                            </w:p>
                          </w:txbxContent>
                        </wps:txbx>
                        <wps:bodyPr horzOverflow="overflow" vert="horz" lIns="0" tIns="0" rIns="0" bIns="0" rtlCol="0">
                          <a:noAutofit/>
                        </wps:bodyPr>
                      </wps:wsp>
                      <wps:wsp>
                        <wps:cNvPr id="23945" name="Rectangle 23945"/>
                        <wps:cNvSpPr/>
                        <wps:spPr>
                          <a:xfrm rot="-10799999">
                            <a:off x="-12559" y="581195"/>
                            <a:ext cx="50622" cy="142889"/>
                          </a:xfrm>
                          <a:prstGeom prst="rect">
                            <a:avLst/>
                          </a:prstGeom>
                          <a:ln>
                            <a:noFill/>
                          </a:ln>
                        </wps:spPr>
                        <wps:txbx>
                          <w:txbxContent>
                            <w:p w14:paraId="7FDD6382" w14:textId="77777777" w:rsidR="00B32EF2" w:rsidRDefault="00000000">
                              <w:r>
                                <w:rPr>
                                  <w:rFonts w:ascii="Arial" w:eastAsia="Arial" w:hAnsi="Arial" w:cs="Arial"/>
                                  <w:sz w:val="18"/>
                                </w:rPr>
                                <w:t>-</w:t>
                              </w:r>
                            </w:p>
                          </w:txbxContent>
                        </wps:txbx>
                        <wps:bodyPr horzOverflow="overflow" vert="horz" lIns="0" tIns="0" rIns="0" bIns="0" rtlCol="0">
                          <a:noAutofit/>
                        </wps:bodyPr>
                      </wps:wsp>
                      <wps:wsp>
                        <wps:cNvPr id="23946" name="Rectangle 23946"/>
                        <wps:cNvSpPr/>
                        <wps:spPr>
                          <a:xfrm rot="-10799999">
                            <a:off x="-1240044" y="457865"/>
                            <a:ext cx="5172766" cy="142889"/>
                          </a:xfrm>
                          <a:prstGeom prst="rect">
                            <a:avLst/>
                          </a:prstGeom>
                          <a:ln>
                            <a:noFill/>
                          </a:ln>
                        </wps:spPr>
                        <wps:txbx>
                          <w:txbxContent>
                            <w:p w14:paraId="7DE1A303" w14:textId="77777777" w:rsidR="00B32EF2" w:rsidRDefault="00000000">
                              <w:r>
                                <w:rPr>
                                  <w:rFonts w:ascii="Arial" w:eastAsia="Arial" w:hAnsi="Arial" w:cs="Arial"/>
                                  <w:sz w:val="18"/>
                                </w:rPr>
                                <w:t xml:space="preserve">te articolo di altri atti normativi (D.lgs. nn.545-546/1992 ed altri) sotto i quali </w:t>
                              </w:r>
                            </w:p>
                          </w:txbxContent>
                        </wps:txbx>
                        <wps:bodyPr horzOverflow="overflow" vert="horz" lIns="0" tIns="0" rIns="0" bIns="0" rtlCol="0">
                          <a:noAutofit/>
                        </wps:bodyPr>
                      </wps:wsp>
                      <wps:wsp>
                        <wps:cNvPr id="23947" name="Rectangle 23947"/>
                        <wps:cNvSpPr/>
                        <wps:spPr>
                          <a:xfrm rot="-10799999">
                            <a:off x="1454872" y="334535"/>
                            <a:ext cx="2477849" cy="142889"/>
                          </a:xfrm>
                          <a:prstGeom prst="rect">
                            <a:avLst/>
                          </a:prstGeom>
                          <a:ln>
                            <a:noFill/>
                          </a:ln>
                        </wps:spPr>
                        <wps:txbx>
                          <w:txbxContent>
                            <w:p w14:paraId="7675D206" w14:textId="77777777" w:rsidR="00B32EF2" w:rsidRDefault="00000000">
                              <w:r>
                                <w:rPr>
                                  <w:rFonts w:ascii="Arial" w:eastAsia="Arial" w:hAnsi="Arial" w:cs="Arial"/>
                                  <w:sz w:val="18"/>
                                </w:rPr>
                                <w:t>in precedenza la materia era trattata</w:t>
                              </w:r>
                            </w:p>
                          </w:txbxContent>
                        </wps:txbx>
                        <wps:bodyPr horzOverflow="overflow" vert="horz" lIns="0" tIns="0" rIns="0" bIns="0" rtlCol="0">
                          <a:noAutofit/>
                        </wps:bodyPr>
                      </wps:wsp>
                      <wps:wsp>
                        <wps:cNvPr id="23948" name="Rectangle 23948"/>
                        <wps:cNvSpPr/>
                        <wps:spPr>
                          <a:xfrm rot="-10799999">
                            <a:off x="3822963" y="87876"/>
                            <a:ext cx="109757" cy="142889"/>
                          </a:xfrm>
                          <a:prstGeom prst="rect">
                            <a:avLst/>
                          </a:prstGeom>
                          <a:ln>
                            <a:noFill/>
                          </a:ln>
                        </wps:spPr>
                        <wps:txbx>
                          <w:txbxContent>
                            <w:p w14:paraId="2C030F7C" w14:textId="77777777" w:rsidR="00B32EF2" w:rsidRDefault="00000000">
                              <w:r>
                                <w:rPr>
                                  <w:rFonts w:ascii="Arial" w:eastAsia="Arial" w:hAnsi="Arial" w:cs="Arial"/>
                                  <w:b/>
                                  <w:sz w:val="18"/>
                                </w:rPr>
                                <w:t>C</w:t>
                              </w:r>
                            </w:p>
                          </w:txbxContent>
                        </wps:txbx>
                        <wps:bodyPr horzOverflow="overflow" vert="horz" lIns="0" tIns="0" rIns="0" bIns="0" rtlCol="0">
                          <a:noAutofit/>
                        </wps:bodyPr>
                      </wps:wsp>
                      <wps:wsp>
                        <wps:cNvPr id="23949" name="Rectangle 23949"/>
                        <wps:cNvSpPr/>
                        <wps:spPr>
                          <a:xfrm rot="-10799999">
                            <a:off x="-1143171" y="87876"/>
                            <a:ext cx="4993368" cy="142889"/>
                          </a:xfrm>
                          <a:prstGeom prst="rect">
                            <a:avLst/>
                          </a:prstGeom>
                          <a:ln>
                            <a:noFill/>
                          </a:ln>
                        </wps:spPr>
                        <wps:txbx>
                          <w:txbxContent>
                            <w:p w14:paraId="1FE94457" w14:textId="77777777" w:rsidR="00B32EF2" w:rsidRDefault="00000000">
                              <w:r>
                                <w:rPr>
                                  <w:rFonts w:ascii="Arial" w:eastAsia="Arial" w:hAnsi="Arial" w:cs="Arial"/>
                                  <w:sz w:val="18"/>
                                </w:rPr>
                                <w:t xml:space="preserve"> - Alla raccolta normativa del Testo Unico Giustizia Tributaria seguono, in </w:t>
                              </w:r>
                            </w:p>
                          </w:txbxContent>
                        </wps:txbx>
                        <wps:bodyPr horzOverflow="overflow" vert="horz" lIns="0" tIns="0" rIns="0" bIns="0" rtlCol="0">
                          <a:noAutofit/>
                        </wps:bodyPr>
                      </wps:wsp>
                      <wps:wsp>
                        <wps:cNvPr id="23950" name="Rectangle 23950"/>
                        <wps:cNvSpPr/>
                        <wps:spPr>
                          <a:xfrm rot="-10799999">
                            <a:off x="-851666" y="-35453"/>
                            <a:ext cx="4784388" cy="142889"/>
                          </a:xfrm>
                          <a:prstGeom prst="rect">
                            <a:avLst/>
                          </a:prstGeom>
                          <a:ln>
                            <a:noFill/>
                          </a:ln>
                        </wps:spPr>
                        <wps:txbx>
                          <w:txbxContent>
                            <w:p w14:paraId="48675211" w14:textId="77777777" w:rsidR="00B32EF2" w:rsidRDefault="00000000">
                              <w:r>
                                <w:rPr>
                                  <w:rFonts w:ascii="Arial" w:eastAsia="Arial" w:hAnsi="Arial" w:cs="Arial"/>
                                  <w:sz w:val="18"/>
                                </w:rPr>
                                <w:t xml:space="preserve">senso di lettura inverso del volume, i D.lgs. n. 546/1992 e n. 545/1992 </w:t>
                              </w:r>
                            </w:p>
                          </w:txbxContent>
                        </wps:txbx>
                        <wps:bodyPr horzOverflow="overflow" vert="horz" lIns="0" tIns="0" rIns="0" bIns="0" rtlCol="0">
                          <a:noAutofit/>
                        </wps:bodyPr>
                      </wps:wsp>
                      <wps:wsp>
                        <wps:cNvPr id="23951" name="Rectangle 23951"/>
                        <wps:cNvSpPr/>
                        <wps:spPr>
                          <a:xfrm rot="-10799999">
                            <a:off x="4019150" y="1695054"/>
                            <a:ext cx="50622" cy="142889"/>
                          </a:xfrm>
                          <a:prstGeom prst="rect">
                            <a:avLst/>
                          </a:prstGeom>
                          <a:ln>
                            <a:noFill/>
                          </a:ln>
                        </wps:spPr>
                        <wps:txbx>
                          <w:txbxContent>
                            <w:p w14:paraId="068A059B" w14:textId="77777777" w:rsidR="00B32EF2" w:rsidRDefault="00000000">
                              <w:r>
                                <w:rPr>
                                  <w:rFonts w:ascii="Arial" w:eastAsia="Arial" w:hAnsi="Arial" w:cs="Arial"/>
                                  <w:sz w:val="18"/>
                                </w:rPr>
                                <w:t>-</w:t>
                              </w:r>
                            </w:p>
                          </w:txbxContent>
                        </wps:txbx>
                        <wps:bodyPr horzOverflow="overflow" vert="horz" lIns="0" tIns="0" rIns="0" bIns="0" rtlCol="0">
                          <a:noAutofit/>
                        </wps:bodyPr>
                      </wps:wsp>
                    </wpg:wgp>
                  </a:graphicData>
                </a:graphic>
              </wp:inline>
            </w:drawing>
          </mc:Choice>
          <mc:Fallback>
            <w:pict>
              <v:group w14:anchorId="742FE2AC" id="Group 202480" o:spid="_x0000_s7439" style="width:320.45pt;height:163.85pt;mso-position-horizontal-relative:char;mso-position-vertical-relative:line" coordsize="40697,20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HHwwQAALYqAAAOAAAAZHJzL2Uyb0RvYy54bWzkmt2OozYUgO8r9R0Q95ngfzuazKrqdkeV&#10;qu5qt30AhkASiWBkmEmmT99jA85s1quqIJVKzAVDbGLs8/n8xvfvLqcyeslNc9TVNkZ3SRzlVaZ3&#10;x2q/jf/848NKxlHTptUuLXWVb+PXvInfPfz4w/253uRYH3S5y00Eg1TN5lxv40Pb1pv1uskO+Slt&#10;7nSdV9BZaHNKW/ho9uudSc8w+qlc4yTh67M2u9roLG8aaH3fdcYPbvyiyLP2Y1E0eRuV2xjm1rqr&#10;cdcne10/3KebvUnrwzHrp5GOmMUpPVbwUj/U+7RNo2dz/Gao0zEzutFFe5fp01oXxTHL3RpgNSi5&#10;Wc2j0c+1W8t+c97XXkwg2hs5jR42+/3l0dRf6k8GJHGu9yAL98mu5VKYk/0Ps4wuTmSvXmT5pY0y&#10;aKQJV0KQOMqgDycyEagXanYAyX/zvezwyz98cz28eP3VdM41bJDmKoNmmgy+HNI6d6JtNiCDTyY6&#10;7mABRBEUR1V6gq36GTZPWu3LPOqanYDc015czaYByQ2yioyG/bVCiVD2z+2HXnZEYqw4jSOQElJE&#10;SIy6rTfIESVKMNGJEVEspbL9XhbppjZN+5jrU2RvtrGBybkXpC+/NW336PCInU9Z2WulPxzLsuu1&#10;LSDSYcr2rr08Xdy6OWLSvs82PundK4jjoM1fH0Gxi1Kft7Hu72Kr6/B62xtH5a8VYLBqNdyY4eZp&#10;uDFt+bN2ytdN6KfnVhdHN+Pr2/qZAd9uDv8JaBwGjQdBwLb496CVZIp9HzMRDPEEtphVl1k4u311&#10;lfwCOINxCik0mcR5hRBSiKkONVcIcbdx0s2g0SxhSMoZUXNniBeFGgxsCDWdhJpQRDAG22xVlnEh&#10;yS1ppBQDKziXTnPnSxYFGkxsCDSbBBoTTJUAt2BBE4wQxDXgFK8qDaZbkVlJe+e0GC/Nw6T5JNIr&#10;IRUXvUqHSBOGiEpgl82m0949LYY04AjptJhEGgsu+rA7xJklHIPCz0bZe6bFUIZ6QIiyTz9GRd04&#10;oQkZXDRSQtJbyy2VTeJmJO1d02JIQ2wcIu0TkHGkCWNC9hlWIijY6RsfbbvJnJbbu6alkKYQ+wZI&#10;Q3NfUhhFeiURZgTcv43GQqRhJyjF4YHZrLd3TYshHS6OUZ+AjCINcbZ8y9k5xWvUPbeP9q5pMZTD&#10;lTHqk49xlKFGwliXXSmGkLwx3DiBjIuD05hNnb1nWgzocGmsC55sPWEU6K7WDUOD4WYSymQ3+jx3&#10;qVt4v7QYzuG6GPXZxyjOK4QRR9b5fwc0GG5OCAT8c2m08H5pMaTDhTHqs4+xpCHWunJ2o/1vHDRU&#10;7Bb20xUNF8WgeVLAjTBNEjAKVp8ppFH8ljMSUE6ZMeDu6rFLKnTTcFEMmqeQRpRR2Re6CaE2XYbh&#10;rgqNqYASyoyhGJTslqbS4boY9cnHKMP9NhSTQgpnIK6cZ4/EvFtajH8OF8VA16boM/wYTQmCaMda&#10;7gBnqhQhfM5AzHumpYC2vxIGamLQPAm0hOMj1gMD5xVhYLm/NtzUVr7lnKC9Y1oM6HBJjPnUY5Th&#10;pok9XdKlVlAUgbMkN0n0zEUx4f3S3JzdKUE4HOkOy/UHOe3py7ef3fGy63HTh78BAAD//wMAUEsD&#10;BBQABgAIAAAAIQAeSBSY3gAAAAUBAAAPAAAAZHJzL2Rvd25yZXYueG1sTI9Ba8JAEIXvhf6HZQq9&#10;1U3Uak2zEZG2JxGqheJtzI5JMDsbsmsS/33XXtrLwOM93vsmXQ6mFh21rrKsIB5FIIhzqysuFHzt&#10;359eQDiPrLG2TAqu5GCZ3d+lmGjb8yd1O1+IUMIuQQWl900ipctLMuhGtiEO3sm2Bn2QbSF1i30o&#10;N7UcR9FMGqw4LJTY0Lqk/Ly7GAUfPfarSfzWbc6n9fWwf95+b2JS6vFhWL2C8DT4vzDc8AM6ZIHp&#10;aC+snagVhEf87w3ebBotQBwVTMbzOcgslf/psx8AAAD//wMAUEsBAi0AFAAGAAgAAAAhALaDOJL+&#10;AAAA4QEAABMAAAAAAAAAAAAAAAAAAAAAAFtDb250ZW50X1R5cGVzXS54bWxQSwECLQAUAAYACAAA&#10;ACEAOP0h/9YAAACUAQAACwAAAAAAAAAAAAAAAAAvAQAAX3JlbHMvLnJlbHNQSwECLQAUAAYACAAA&#10;ACEAiFJhx8MEAAC2KgAADgAAAAAAAAAAAAAAAAAuAgAAZHJzL2Uyb0RvYy54bWxQSwECLQAUAAYA&#10;CAAAACEAHkgUmN4AAAAFAQAADwAAAAAAAAAAAAAAAAAdBwAAZHJzL2Rvd25yZXYueG1sUEsFBgAA&#10;AAAEAAQA8wAAACgIAAAAAA==&#10;">
                <v:rect id="Rectangle 23931" o:spid="_x0000_s7440" style="position:absolute;left:38229;top:19378;width:1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nZsxgAAAN4AAAAPAAAAZHJzL2Rvd25yZXYueG1sRI9Ba8JA&#10;FITvgv9heUJvdaNCsdFVRBFz8KK10OMj+0yi2bdLdjWpv74rFDwOM/MNM192phZ3anxlWcFomIAg&#10;zq2uuFBw+tq+T0H4gKyxtkwKfsnDctHvzTHVtuUD3Y+hEBHCPkUFZQguldLnJRn0Q+uIo3e2jcEQ&#10;ZVNI3WAb4aaW4yT5kAYrjgslOlqXlF+PN6PgZ8Mu27YyPz/Wbn/JpvXudvpW6m3QrWYgAnXhFf5v&#10;Z1rBePI5GcHzTrwCcvEHAAD//wMAUEsBAi0AFAAGAAgAAAAhANvh9svuAAAAhQEAABMAAAAAAAAA&#10;AAAAAAAAAAAAAFtDb250ZW50X1R5cGVzXS54bWxQSwECLQAUAAYACAAAACEAWvQsW78AAAAVAQAA&#10;CwAAAAAAAAAAAAAAAAAfAQAAX3JlbHMvLnJlbHNQSwECLQAUAAYACAAAACEAzw52bMYAAADeAAAA&#10;DwAAAAAAAAAAAAAAAAAHAgAAZHJzL2Rvd25yZXYueG1sUEsFBgAAAAADAAMAtwAAAPoCAAAAAA==&#10;" filled="f" stroked="f">
                  <v:textbox inset="0,0,0,0">
                    <w:txbxContent>
                      <w:p w14:paraId="753B0521" w14:textId="77777777" w:rsidR="00B32EF2" w:rsidRDefault="00000000">
                        <w:r>
                          <w:rPr>
                            <w:rFonts w:ascii="Arial" w:eastAsia="Arial" w:hAnsi="Arial" w:cs="Arial"/>
                            <w:b/>
                            <w:sz w:val="18"/>
                          </w:rPr>
                          <w:t>A</w:t>
                        </w:r>
                      </w:p>
                    </w:txbxContent>
                  </v:textbox>
                </v:rect>
                <v:rect id="Rectangle 23932" o:spid="_x0000_s7441" style="position:absolute;left:985;top:19378;width:3751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gbxwAAAN4AAAAPAAAAZHJzL2Rvd25yZXYueG1sRI9Pa8JA&#10;FMTvBb/D8oTedNMIotFVikWag5f6Bzw+ss8kbfbtkl1N6qd3C0KPw8z8hlmue9OIG7W+tqzgbZyA&#10;IC6srrlUcDxsRzMQPiBrbCyTgl/ysF4NXpaYadvxF932oRQRwj5DBVUILpPSFxUZ9GPriKN3sa3B&#10;EGVbSt1iF+GmkWmSTKXBmuNChY42FRU/+6tRcP5gl287WVzuG7f7zmfN5/V4Uup12L8vQATqw3/4&#10;2c61gnQyn6TwdydeAbl6AAAA//8DAFBLAQItABQABgAIAAAAIQDb4fbL7gAAAIUBAAATAAAAAAAA&#10;AAAAAAAAAAAAAABbQ29udGVudF9UeXBlc10ueG1sUEsBAi0AFAAGAAgAAAAhAFr0LFu/AAAAFQEA&#10;AAsAAAAAAAAAAAAAAAAAHwEAAF9yZWxzLy5yZWxzUEsBAi0AFAAGAAgAAAAhAD/c6BvHAAAA3gAA&#10;AA8AAAAAAAAAAAAAAAAABwIAAGRycy9kb3ducmV2LnhtbFBLBQYAAAAAAwADALcAAAD7AgAAAAA=&#10;" filled="f" stroked="f">
                  <v:textbox inset="0,0,0,0">
                    <w:txbxContent>
                      <w:p w14:paraId="7073A43D" w14:textId="77777777" w:rsidR="00B32EF2" w:rsidRDefault="00000000">
                        <w:r>
                          <w:rPr>
                            <w:rFonts w:ascii="Arial" w:eastAsia="Arial" w:hAnsi="Arial" w:cs="Arial"/>
                            <w:sz w:val="18"/>
                          </w:rPr>
                          <w:t xml:space="preserve"> – Il testo normativo è rappresentato graficamente così:</w:t>
                        </w:r>
                      </w:p>
                    </w:txbxContent>
                  </v:textbox>
                </v:rect>
                <v:rect id="Rectangle 23933" o:spid="_x0000_s7442" style="position:absolute;left:-11191;top:16911;width:5051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2AxwAAAN4AAAAPAAAAZHJzL2Rvd25yZXYueG1sRI9Pa8JA&#10;FMTvgt9heUJvdVMDxaauUhQxBy/+KfT4yD6TaPbtkl1N6qfvCgWPw8z8hpktetOIG7W+tqzgbZyA&#10;IC6srrlUcDysX6cgfEDW2FgmBb/kYTEfDmaYadvxjm77UIoIYZ+hgioEl0npi4oM+rF1xNE72dZg&#10;iLItpW6xi3DTyEmSvEuDNceFCh0tKyou+6tR8LNil687WZzuS7c959Nmcz1+K/Uy6r8+QQTqwzP8&#10;3861gkn6kabwuBOvgJz/AQAA//8DAFBLAQItABQABgAIAAAAIQDb4fbL7gAAAIUBAAATAAAAAAAA&#10;AAAAAAAAAAAAAABbQ29udGVudF9UeXBlc10ueG1sUEsBAi0AFAAGAAgAAAAhAFr0LFu/AAAAFQEA&#10;AAsAAAAAAAAAAAAAAAAAHwEAAF9yZWxzLy5yZWxzUEsBAi0AFAAGAAgAAAAhAFCQTYDHAAAA3gAA&#10;AA8AAAAAAAAAAAAAAAAABwIAAGRycy9kb3ducmV2LnhtbFBLBQYAAAAAAwADALcAAAD7AgAAAAA=&#10;" filled="f" stroked="f">
                  <v:textbox inset="0,0,0,0">
                    <w:txbxContent>
                      <w:p w14:paraId="4155256E" w14:textId="77777777" w:rsidR="00B32EF2" w:rsidRDefault="00000000">
                        <w:r>
                          <w:rPr>
                            <w:rFonts w:ascii="Arial" w:eastAsia="Arial" w:hAnsi="Arial" w:cs="Arial"/>
                            <w:sz w:val="18"/>
                          </w:rPr>
                          <w:t xml:space="preserve">Al testo della norma può seguire un riquadro in grigio che comprende due </w:t>
                        </w:r>
                      </w:p>
                    </w:txbxContent>
                  </v:textbox>
                </v:rect>
                <v:rect id="Rectangle 23934" o:spid="_x0000_s7443" style="position:absolute;left:34132;top:15678;width:51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X0xwAAAN4AAAAPAAAAZHJzL2Rvd25yZXYueG1sRI9Pa8JA&#10;FMTvBb/D8gRvdeMfio2uIoo0By9VCx4f2WeSNvt2ya4m9dO7hYLHYWZ+wyxWnanFjRpfWVYwGiYg&#10;iHOrKy4UnI671xkIH5A11pZJwS95WC17LwtMtW35k26HUIgIYZ+igjIEl0rp85IM+qF1xNG72MZg&#10;iLIppG6wjXBTy3GSvEmDFceFEh1tSsp/Dlej4Lxll+1amV/uG7f/zmb1x/X0pdSg363nIAJ14Rn+&#10;b2dawXjyPpnC3514BeTyAQAA//8DAFBLAQItABQABgAIAAAAIQDb4fbL7gAAAIUBAAATAAAAAAAA&#10;AAAAAAAAAAAAAABbQ29udGVudF9UeXBlc10ueG1sUEsBAi0AFAAGAAgAAAAhAFr0LFu/AAAAFQEA&#10;AAsAAAAAAAAAAAAAAAAAHwEAAF9yZWxzLy5yZWxzUEsBAi0AFAAGAAgAAAAhAN951fTHAAAA3gAA&#10;AA8AAAAAAAAAAAAAAAAABwIAAGRycy9kb3ducmV2LnhtbFBLBQYAAAAAAwADALcAAAD7AgAAAAA=&#10;" filled="f" stroked="f">
                  <v:textbox inset="0,0,0,0">
                    <w:txbxContent>
                      <w:p w14:paraId="12EA14A8" w14:textId="77777777" w:rsidR="00B32EF2" w:rsidRDefault="00000000">
                        <w:r>
                          <w:rPr>
                            <w:rFonts w:ascii="Arial" w:eastAsia="Arial" w:hAnsi="Arial" w:cs="Arial"/>
                            <w:sz w:val="18"/>
                          </w:rPr>
                          <w:t>sezioni:</w:t>
                        </w:r>
                      </w:p>
                    </w:txbxContent>
                  </v:textbox>
                </v:rect>
                <v:rect id="Rectangle 23935" o:spid="_x0000_s7444" style="position:absolute;left:23249;top:13211;width:1609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XBvxwAAAN4AAAAPAAAAZHJzL2Rvd25yZXYueG1sRI9Ba8JA&#10;FITvBf/D8gRvdaNisdFVRJHm4KVqweMj+0zSZt8u2dWk/nq3UPA4zMw3zGLVmVrcqPGVZQWjYQKC&#10;OLe64kLB6bh7nYHwAVljbZkU/JKH1bL3ssBU25Y/6XYIhYgQ9ikqKENwqZQ+L8mgH1pHHL2LbQyG&#10;KJtC6gbbCDe1HCfJmzRYcVwo0dGmpPzncDUKzlt22a6V+eW+cfvvbFZ/XE9fSg363XoOIlAXnuH/&#10;dqYVjCfvkyn83YlXQC4fAAAA//8DAFBLAQItABQABgAIAAAAIQDb4fbL7gAAAIUBAAATAAAAAAAA&#10;AAAAAAAAAAAAAABbQ29udGVudF9UeXBlc10ueG1sUEsBAi0AFAAGAAgAAAAhAFr0LFu/AAAAFQEA&#10;AAsAAAAAAAAAAAAAAAAAHwEAAF9yZWxzLy5yZWxzUEsBAi0AFAAGAAgAAAAhALA1cG/HAAAA3gAA&#10;AA8AAAAAAAAAAAAAAAAABwIAAGRycy9kb3ducmV2LnhtbFBLBQYAAAAAAwADALcAAAD7AgAAAAA=&#10;" filled="f" stroked="f">
                  <v:textbox inset="0,0,0,0">
                    <w:txbxContent>
                      <w:p w14:paraId="2E349AF3" w14:textId="77777777" w:rsidR="00B32EF2" w:rsidRDefault="00000000">
                        <w:r>
                          <w:rPr>
                            <w:rFonts w:ascii="Arial" w:eastAsia="Arial" w:hAnsi="Arial" w:cs="Arial"/>
                            <w:i/>
                            <w:sz w:val="18"/>
                          </w:rPr>
                          <w:t>NORME RICHIAMATE:</w:t>
                        </w:r>
                      </w:p>
                    </w:txbxContent>
                  </v:textbox>
                </v:rect>
                <v:rect id="Rectangle 23936" o:spid="_x0000_s7445" style="position:absolute;left:-7896;top:13211;width:3513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4YxgAAAN4AAAAPAAAAZHJzL2Rvd25yZXYueG1sRI9Ba8JA&#10;FITvBf/D8oTedKOC2Ogqokhz6KVWweMj+0yi2bdLdjXRX98tCD0OM/MNs1h1phZ3anxlWcFomIAg&#10;zq2uuFBw+NkNZiB8QNZYWyYFD/KwWvbeFphq2/I33fehEBHCPkUFZQguldLnJRn0Q+uIo3e2jcEQ&#10;ZVNI3WAb4aaW4ySZSoMVx4USHW1Kyq/7m1Fw2rLLdq3Mz8+N+7pks/rzdjgq9d7v1nMQgbrwH361&#10;M61gPPmYTOHvTrwCcvkLAAD//wMAUEsBAi0AFAAGAAgAAAAhANvh9svuAAAAhQEAABMAAAAAAAAA&#10;AAAAAAAAAAAAAFtDb250ZW50X1R5cGVzXS54bWxQSwECLQAUAAYACAAAACEAWvQsW78AAAAVAQAA&#10;CwAAAAAAAAAAAAAAAAAfAQAAX3JlbHMvLnJlbHNQSwECLQAUAAYACAAAACEAQOfuGMYAAADeAAAA&#10;DwAAAAAAAAAAAAAAAAAHAgAAZHJzL2Rvd25yZXYueG1sUEsFBgAAAAADAAMAtwAAAPoCAAAAAA==&#10;" filled="f" stroked="f">
                  <v:textbox inset="0,0,0,0">
                    <w:txbxContent>
                      <w:p w14:paraId="4F52EB77" w14:textId="77777777" w:rsidR="00B32EF2" w:rsidRDefault="00000000">
                        <w:r>
                          <w:rPr>
                            <w:rFonts w:ascii="Arial" w:eastAsia="Arial" w:hAnsi="Arial" w:cs="Arial"/>
                            <w:sz w:val="18"/>
                          </w:rPr>
                          <w:t xml:space="preserve"> riguarda le norme espressamente richiamate dal te</w:t>
                        </w:r>
                      </w:p>
                    </w:txbxContent>
                  </v:textbox>
                </v:rect>
                <v:rect id="Rectangle 23937" o:spid="_x0000_s7446" style="position:absolute;left:276;top:13211;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0uDxwAAAN4AAAAPAAAAZHJzL2Rvd25yZXYueG1sRI9Ba8JA&#10;FITvBf/D8gRvdaOCtdFVRJHm4KVqweMj+0zSZt8u2dWk/nq3UPA4zMw3zGLVmVrcqPGVZQWjYQKC&#10;OLe64kLB6bh7nYHwAVljbZkU/JKH1bL3ssBU25Y/6XYIhYgQ9ikqKENwqZQ+L8mgH1pHHL2LbQyG&#10;KJtC6gbbCDe1HCfJVBqsOC6U6GhTUv5zuBoF5y27bNfK/HLfuP13Nqs/rqcvpQb9bj0HEagLz/B/&#10;O9MKxpP3yRv83YlXQC4fAAAA//8DAFBLAQItABQABgAIAAAAIQDb4fbL7gAAAIUBAAATAAAAAAAA&#10;AAAAAAAAAAAAAABbQ29udGVudF9UeXBlc10ueG1sUEsBAi0AFAAGAAgAAAAhAFr0LFu/AAAAFQEA&#10;AAsAAAAAAAAAAAAAAAAAHwEAAF9yZWxzLy5yZWxzUEsBAi0AFAAGAAgAAAAhAC+rS4PHAAAA3gAA&#10;AA8AAAAAAAAAAAAAAAAABwIAAGRycy9kb3ducmV2LnhtbFBLBQYAAAAAAwADALcAAAD7AgAAAAA=&#10;" filled="f" stroked="f">
                  <v:textbox inset="0,0,0,0">
                    <w:txbxContent>
                      <w:p w14:paraId="5A243F0D" w14:textId="77777777" w:rsidR="00B32EF2" w:rsidRDefault="00000000">
                        <w:r>
                          <w:rPr>
                            <w:rFonts w:ascii="Arial" w:eastAsia="Arial" w:hAnsi="Arial" w:cs="Arial"/>
                            <w:sz w:val="18"/>
                          </w:rPr>
                          <w:t>-</w:t>
                        </w:r>
                      </w:p>
                    </w:txbxContent>
                  </v:textbox>
                </v:rect>
                <v:rect id="Rectangle 23938" o:spid="_x0000_s7447" style="position:absolute;left:20403;top:11978;width:18924;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N/xxQAAAN4AAAAPAAAAZHJzL2Rvd25yZXYueG1sRE/LasJA&#10;FN0X/IfhCt3ViQaKTR2lKKFZdFOr4PKSuSZpM3eGzOShX99ZFLo8nPdmN5lWDNT5xrKC5SIBQVxa&#10;3XCl4PSVP61B+ICssbVMCm7kYbedPWww03bkTxqOoRIxhH2GCuoQXCalL2sy6BfWEUfuajuDIcKu&#10;krrDMYabVq6S5FkabDg21OhoX1P5c+yNgsuBXZGPsrze9+7ju1i37/3prNTjfHp7BRFoCv/iP3eh&#10;FazSlzTujXfiFZDbXwAAAP//AwBQSwECLQAUAAYACAAAACEA2+H2y+4AAACFAQAAEwAAAAAAAAAA&#10;AAAAAAAAAAAAW0NvbnRlbnRfVHlwZXNdLnhtbFBLAQItABQABgAIAAAAIQBa9CxbvwAAABUBAAAL&#10;AAAAAAAAAAAAAAAAAB8BAABfcmVscy8ucmVsc1BLAQItABQABgAIAAAAIQBeNN/xxQAAAN4AAAAP&#10;AAAAAAAAAAAAAAAAAAcCAABkcnMvZG93bnJldi54bWxQSwUGAAAAAAMAAwC3AAAA+QIAAAAA&#10;" filled="f" stroked="f">
                  <v:textbox inset="0,0,0,0">
                    <w:txbxContent>
                      <w:p w14:paraId="2E3B5C89" w14:textId="77777777" w:rsidR="00B32EF2" w:rsidRDefault="00000000">
                        <w:r>
                          <w:rPr>
                            <w:rFonts w:ascii="Arial" w:eastAsia="Arial" w:hAnsi="Arial" w:cs="Arial"/>
                            <w:sz w:val="18"/>
                          </w:rPr>
                          <w:t>sto dell’articolo in questione</w:t>
                        </w:r>
                      </w:p>
                    </w:txbxContent>
                  </v:textbox>
                </v:rect>
                <v:rect id="Rectangle 23939" o:spid="_x0000_s7448" style="position:absolute;left:23557;top:10745;width:1578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HpqxwAAAN4AAAAPAAAAZHJzL2Rvd25yZXYueG1sRI9Ba8JA&#10;FITvQv/D8gRvulFBNHWVYhFz8FJNocdH9pmkzb5dsquJ/vpuoeBxmJlvmPW2N424UetrywqmkwQE&#10;cWF1zaWC/LwfL0H4gKyxsUwK7uRhu3kZrDHVtuMPup1CKSKEfYoKqhBcKqUvKjLoJ9YRR+9iW4Mh&#10;yraUusUuwk0jZ0mykAZrjgsVOtpVVPycrkbB1zu7bN/J4vLYueN3tmwO1/xTqdGwf3sFEagPz/B/&#10;O9MKZvPVfAV/d+IVkJtfAAAA//8DAFBLAQItABQABgAIAAAAIQDb4fbL7gAAAIUBAAATAAAAAAAA&#10;AAAAAAAAAAAAAABbQ29udGVudF9UeXBlc10ueG1sUEsBAi0AFAAGAAgAAAAhAFr0LFu/AAAAFQEA&#10;AAsAAAAAAAAAAAAAAAAAHwEAAF9yZWxzLy5yZWxzUEsBAi0AFAAGAAgAAAAhADF4emrHAAAA3gAA&#10;AA8AAAAAAAAAAAAAAAAABwIAAGRycy9kb3ducmV2LnhtbFBLBQYAAAAAAwADALcAAAD7AgAAAAA=&#10;" filled="f" stroked="f">
                  <v:textbox inset="0,0,0,0">
                    <w:txbxContent>
                      <w:p w14:paraId="2A7D1606" w14:textId="77777777" w:rsidR="00B32EF2" w:rsidRDefault="00000000">
                        <w:r>
                          <w:rPr>
                            <w:rFonts w:ascii="Arial" w:eastAsia="Arial" w:hAnsi="Arial" w:cs="Arial"/>
                            <w:i/>
                            <w:sz w:val="18"/>
                          </w:rPr>
                          <w:t>NORME COLLEGATE:</w:t>
                        </w:r>
                      </w:p>
                    </w:txbxContent>
                  </v:textbox>
                </v:rect>
                <v:rect id="Rectangle 23940" o:spid="_x0000_s7449" style="position:absolute;left:-8125;top:10745;width:3559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KCKxQAAAN4AAAAPAAAAZHJzL2Rvd25yZXYueG1sRI/NisIw&#10;FIX3gu8QruBOUx0ZtGMUcRC7cDOOwiwvzbXtTHMTmmirT28WwiwP549vue5MLW7U+Mqygsk4AUGc&#10;W11xoeD0vRvNQfiArLG2TAru5GG96veWmGrb8hfdjqEQcYR9igrKEFwqpc9LMujH1hFH72IbgyHK&#10;ppC6wTaOm1pOk+RdGqw4PpToaFtS/ne8GgU/n+yyXSvzy2PrDr/ZvN5fT2elhoNu8wEiUBf+w692&#10;phVM3xazCBBxIgrI1RMAAP//AwBQSwECLQAUAAYACAAAACEA2+H2y+4AAACFAQAAEwAAAAAAAAAA&#10;AAAAAAAAAAAAW0NvbnRlbnRfVHlwZXNdLnhtbFBLAQItABQABgAIAAAAIQBa9CxbvwAAABUBAAAL&#10;AAAAAAAAAAAAAAAAAB8BAABfcmVscy8ucmVsc1BLAQItABQABgAIAAAAIQD4RKCKxQAAAN4AAAAP&#10;AAAAAAAAAAAAAAAAAAcCAABkcnMvZG93bnJldi54bWxQSwUGAAAAAAMAAwC3AAAA+QIAAAAA&#10;" filled="f" stroked="f">
                  <v:textbox inset="0,0,0,0">
                    <w:txbxContent>
                      <w:p w14:paraId="15C4BCBD" w14:textId="77777777" w:rsidR="00B32EF2" w:rsidRDefault="00000000">
                        <w:r>
                          <w:rPr>
                            <w:rFonts w:ascii="Arial" w:eastAsia="Arial" w:hAnsi="Arial" w:cs="Arial"/>
                            <w:sz w:val="18"/>
                          </w:rPr>
                          <w:t xml:space="preserve"> riguarda le norme del c.p.c. che si ritiene essere col</w:t>
                        </w:r>
                      </w:p>
                    </w:txbxContent>
                  </v:textbox>
                </v:rect>
                <v:rect id="Rectangle 23941" o:spid="_x0000_s7450" style="position:absolute;left:173;top:10745;width:50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AURxwAAAN4AAAAPAAAAZHJzL2Rvd25yZXYueG1sRI9Pa8JA&#10;FMTvgt9heUJvutGK2NRVikXMoRf/FHp8ZJ9J2uzbJbua6KfvCoLHYWZ+wyxWnanFhRpfWVYwHiUg&#10;iHOrKy4UHA+b4RyED8gaa8uk4EoeVst+b4Gpti3v6LIPhYgQ9ikqKENwqZQ+L8mgH1lHHL2TbQyG&#10;KJtC6gbbCDe1nCTJTBqsOC6U6GhdUv63PxsFP5/ssk0r89Nt7b5+s3m9PR+/lXoZdB/vIAJ14Rl+&#10;tDOtYPL6Nh3D/U68AnL5DwAA//8DAFBLAQItABQABgAIAAAAIQDb4fbL7gAAAIUBAAATAAAAAAAA&#10;AAAAAAAAAAAAAABbQ29udGVudF9UeXBlc10ueG1sUEsBAi0AFAAGAAgAAAAhAFr0LFu/AAAAFQEA&#10;AAsAAAAAAAAAAAAAAAAAHwEAAF9yZWxzLy5yZWxzUEsBAi0AFAAGAAgAAAAhAJcIBRHHAAAA3gAA&#10;AA8AAAAAAAAAAAAAAAAABwIAAGRycy9kb3ducmV2LnhtbFBLBQYAAAAAAwADALcAAAD7AgAAAAA=&#10;" filled="f" stroked="f">
                  <v:textbox inset="0,0,0,0">
                    <w:txbxContent>
                      <w:p w14:paraId="29B39F4E" w14:textId="77777777" w:rsidR="00B32EF2" w:rsidRDefault="00000000">
                        <w:r>
                          <w:rPr>
                            <w:rFonts w:ascii="Arial" w:eastAsia="Arial" w:hAnsi="Arial" w:cs="Arial"/>
                            <w:sz w:val="18"/>
                          </w:rPr>
                          <w:t>-</w:t>
                        </w:r>
                      </w:p>
                    </w:txbxContent>
                  </v:textbox>
                </v:rect>
                <v:rect id="Rectangle 23942" o:spid="_x0000_s7451" style="position:absolute;left:19115;top:9511;width:2021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ptmxwAAAN4AAAAPAAAAZHJzL2Rvd25yZXYueG1sRI9Ba8JA&#10;FITvgv9heUJvumkqJU1dRRRpDr1oLfT4yD6TtNm3S3Y1qb++KxQ8DjPzDbNYDaYVF+p8Y1nB4ywB&#10;QVxa3XCl4Pixm2YgfEDW2FomBb/kYbUcjxaYa9vzni6HUIkIYZ+jgjoEl0vpy5oM+pl1xNE72c5g&#10;iLKrpO6wj3DTyjRJnqXBhuNCjY42NZU/h7NR8LVlV+x6WZ6uG/f+XWTt2/n4qdTDZFi/ggg0hHv4&#10;v11oBenTyzyF2514BeTyDwAA//8DAFBLAQItABQABgAIAAAAIQDb4fbL7gAAAIUBAAATAAAAAAAA&#10;AAAAAAAAAAAAAABbQ29udGVudF9UeXBlc10ueG1sUEsBAi0AFAAGAAgAAAAhAFr0LFu/AAAAFQEA&#10;AAsAAAAAAAAAAAAAAAAAHwEAAF9yZWxzLy5yZWxzUEsBAi0AFAAGAAgAAAAhAGfam2bHAAAA3gAA&#10;AA8AAAAAAAAAAAAAAAAABwIAAGRycy9kb3ducmV2LnhtbFBLBQYAAAAAAwADALcAAAD7AgAAAAA=&#10;" filled="f" stroked="f">
                  <v:textbox inset="0,0,0,0">
                    <w:txbxContent>
                      <w:p w14:paraId="0D8C4695" w14:textId="77777777" w:rsidR="00B32EF2" w:rsidRDefault="00000000">
                        <w:r>
                          <w:rPr>
                            <w:rFonts w:ascii="Arial" w:eastAsia="Arial" w:hAnsi="Arial" w:cs="Arial"/>
                            <w:sz w:val="18"/>
                          </w:rPr>
                          <w:t>legate all’articolo in questione</w:t>
                        </w:r>
                      </w:p>
                    </w:txbxContent>
                  </v:textbox>
                </v:rect>
                <v:rect id="Rectangle 23943" o:spid="_x0000_s7452" style="position:absolute;left:38229;top:5811;width:1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j79xwAAAN4AAAAPAAAAZHJzL2Rvd25yZXYueG1sRI9Pa8JA&#10;FMTvBb/D8gRvdeMfio2uIoo0By9VCx4f2WeSNvt2ya4m9dO7hYLHYWZ+wyxWnanFjRpfWVYwGiYg&#10;iHOrKy4UnI671xkIH5A11pZJwS95WC17LwtMtW35k26HUIgIYZ+igjIEl0rp85IM+qF1xNG72MZg&#10;iLIppG6wjXBTy3GSvEmDFceFEh1tSsp/Dlej4Lxll+1amV/uG7f/zmb1x/X0pdSg363nIAJ14Rn+&#10;b2dawXjyPp3A3514BeTyAQAA//8DAFBLAQItABQABgAIAAAAIQDb4fbL7gAAAIUBAAATAAAAAAAA&#10;AAAAAAAAAAAAAABbQ29udGVudF9UeXBlc10ueG1sUEsBAi0AFAAGAAgAAAAhAFr0LFu/AAAAFQEA&#10;AAsAAAAAAAAAAAAAAAAAHwEAAF9yZWxzLy5yZWxzUEsBAi0AFAAGAAgAAAAhAAiWPv3HAAAA3gAA&#10;AA8AAAAAAAAAAAAAAAAABwIAAGRycy9kb3ducmV2LnhtbFBLBQYAAAAAAwADALcAAAD7AgAAAAA=&#10;" filled="f" stroked="f">
                  <v:textbox inset="0,0,0,0">
                    <w:txbxContent>
                      <w:p w14:paraId="177084B5" w14:textId="77777777" w:rsidR="00B32EF2" w:rsidRDefault="00000000">
                        <w:r>
                          <w:rPr>
                            <w:rFonts w:ascii="Arial" w:eastAsia="Arial" w:hAnsi="Arial" w:cs="Arial"/>
                            <w:b/>
                            <w:sz w:val="18"/>
                          </w:rPr>
                          <w:t>B</w:t>
                        </w:r>
                      </w:p>
                    </w:txbxContent>
                  </v:textbox>
                </v:rect>
                <v:rect id="Rectangle 23944" o:spid="_x0000_s7453" style="position:absolute;left:-12161;top:5811;width:5066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6aJxwAAAN4AAAAPAAAAZHJzL2Rvd25yZXYueG1sRI9Ba8JA&#10;FITvBf/D8gRvdaOVotFVxCLm0EutgsdH9plEs2+X7Gqiv75bKPQ4zMw3zGLVmVrcqfGVZQWjYQKC&#10;OLe64kLB4Xv7OgXhA7LG2jIpeJCH1bL3ssBU25a/6L4PhYgQ9ikqKENwqZQ+L8mgH1pHHL2zbQyG&#10;KJtC6gbbCDe1HCfJuzRYcVwo0dGmpPy6vxkFpw922baV+fm5cZ+XbFrvboejUoN+t56DCNSF//Bf&#10;O9MKxm+zyQR+78QrIJc/AAAA//8DAFBLAQItABQABgAIAAAAIQDb4fbL7gAAAIUBAAATAAAAAAAA&#10;AAAAAAAAAAAAAABbQ29udGVudF9UeXBlc10ueG1sUEsBAi0AFAAGAAgAAAAhAFr0LFu/AAAAFQEA&#10;AAsAAAAAAAAAAAAAAAAAHwEAAF9yZWxzLy5yZWxzUEsBAi0AFAAGAAgAAAAhAId/ponHAAAA3gAA&#10;AA8AAAAAAAAAAAAAAAAABwIAAGRycy9kb3ducmV2LnhtbFBLBQYAAAAAAwADALcAAAD7AgAAAAA=&#10;" filled="f" stroked="f">
                  <v:textbox inset="0,0,0,0">
                    <w:txbxContent>
                      <w:p w14:paraId="5751AC9A" w14:textId="77777777" w:rsidR="00B32EF2" w:rsidRDefault="00000000">
                        <w:r>
                          <w:rPr>
                            <w:rFonts w:ascii="Arial" w:eastAsia="Arial" w:hAnsi="Arial" w:cs="Arial"/>
                            <w:sz w:val="18"/>
                          </w:rPr>
                          <w:t xml:space="preserve"> - Sotto la rubrica di ciascun articolo è inserito tra parentesi il corrisponden</w:t>
                        </w:r>
                      </w:p>
                    </w:txbxContent>
                  </v:textbox>
                </v:rect>
                <v:rect id="Rectangle 23945" o:spid="_x0000_s7454" style="position:absolute;left:-125;top:5811;width:505;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wMSyAAAAN4AAAAPAAAAZHJzL2Rvd25yZXYueG1sRI9Pa8JA&#10;FMTvBb/D8oTe6kZbRaOriEWaQy/+A4+P7DNJm327ZFeT9tN3C4LHYWZ+wyxWnanFjRpfWVYwHCQg&#10;iHOrKy4UHA/blykIH5A11pZJwQ95WC17TwtMtW15R7d9KESEsE9RQRmCS6X0eUkG/cA64uhdbGMw&#10;RNkUUjfYRrip5ShJJtJgxXGhREebkvLv/dUoOL+zy7atzC+/G/f5lU3rj+vxpNRzv1vPQQTqwiN8&#10;b2daweh19jaG/zvxCsjlHwAAAP//AwBQSwECLQAUAAYACAAAACEA2+H2y+4AAACFAQAAEwAAAAAA&#10;AAAAAAAAAAAAAAAAW0NvbnRlbnRfVHlwZXNdLnhtbFBLAQItABQABgAIAAAAIQBa9CxbvwAAABUB&#10;AAALAAAAAAAAAAAAAAAAAB8BAABfcmVscy8ucmVsc1BLAQItABQABgAIAAAAIQDoMwMSyAAAAN4A&#10;AAAPAAAAAAAAAAAAAAAAAAcCAABkcnMvZG93bnJldi54bWxQSwUGAAAAAAMAAwC3AAAA/AIAAAAA&#10;" filled="f" stroked="f">
                  <v:textbox inset="0,0,0,0">
                    <w:txbxContent>
                      <w:p w14:paraId="7FDD6382" w14:textId="77777777" w:rsidR="00B32EF2" w:rsidRDefault="00000000">
                        <w:r>
                          <w:rPr>
                            <w:rFonts w:ascii="Arial" w:eastAsia="Arial" w:hAnsi="Arial" w:cs="Arial"/>
                            <w:sz w:val="18"/>
                          </w:rPr>
                          <w:t>-</w:t>
                        </w:r>
                      </w:p>
                    </w:txbxContent>
                  </v:textbox>
                </v:rect>
                <v:rect id="Rectangle 23946" o:spid="_x0000_s7455" style="position:absolute;left:-12400;top:4578;width:51727;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Z1lxwAAAN4AAAAPAAAAZHJzL2Rvd25yZXYueG1sRI9Ba8JA&#10;FITvBf/D8gRvdaMV0egqYhFz6KVWweMj+0yi2bdLdjWxv75bKPQ4zMw3zHLdmVo8qPGVZQWjYQKC&#10;OLe64kLB8Wv3OgPhA7LG2jIpeJKH9ar3ssRU25Y/6XEIhYgQ9ikqKENwqZQ+L8mgH1pHHL2LbQyG&#10;KJtC6gbbCDe1HCfJVBqsOC6U6GhbUn473I2C8zu7bNfK/PK9dR/XbFbv78eTUoN+t1mACNSF//Bf&#10;O9MKxm/zyRR+78QrIFc/AAAA//8DAFBLAQItABQABgAIAAAAIQDb4fbL7gAAAIUBAAATAAAAAAAA&#10;AAAAAAAAAAAAAABbQ29udGVudF9UeXBlc10ueG1sUEsBAi0AFAAGAAgAAAAhAFr0LFu/AAAAFQEA&#10;AAsAAAAAAAAAAAAAAAAAHwEAAF9yZWxzLy5yZWxzUEsBAi0AFAAGAAgAAAAhABjhnWXHAAAA3gAA&#10;AA8AAAAAAAAAAAAAAAAABwIAAGRycy9kb3ducmV2LnhtbFBLBQYAAAAAAwADALcAAAD7AgAAAAA=&#10;" filled="f" stroked="f">
                  <v:textbox inset="0,0,0,0">
                    <w:txbxContent>
                      <w:p w14:paraId="7DE1A303" w14:textId="77777777" w:rsidR="00B32EF2" w:rsidRDefault="00000000">
                        <w:r>
                          <w:rPr>
                            <w:rFonts w:ascii="Arial" w:eastAsia="Arial" w:hAnsi="Arial" w:cs="Arial"/>
                            <w:sz w:val="18"/>
                          </w:rPr>
                          <w:t xml:space="preserve">te articolo di altri atti normativi (D.lgs. nn.545-546/1992 ed altri) sotto i quali </w:t>
                        </w:r>
                      </w:p>
                    </w:txbxContent>
                  </v:textbox>
                </v:rect>
                <v:rect id="Rectangle 23947" o:spid="_x0000_s7456" style="position:absolute;left:14548;top:3345;width:24779;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Tj+yAAAAN4AAAAPAAAAZHJzL2Rvd25yZXYueG1sRI/Na8JA&#10;FMTvBf+H5Qm91Y22+BFdRSzSHHrxCzw+ss8kbfbtkl1N2r++WxA8DjPzG2ax6kwtbtT4yrKC4SAB&#10;QZxbXXGh4HjYvkxB+ICssbZMCn7Iw2rZe1pgqm3LO7rtQyEihH2KCsoQXCqlz0sy6AfWEUfvYhuD&#10;IcqmkLrBNsJNLUdJMpYGK44LJTralJR/769GwfmdXbZtZX753bjPr2xaf1yPJ6We+916DiJQFx7h&#10;ezvTCkavs7cJ/N+JV0Au/wAAAP//AwBQSwECLQAUAAYACAAAACEA2+H2y+4AAACFAQAAEwAAAAAA&#10;AAAAAAAAAAAAAAAAW0NvbnRlbnRfVHlwZXNdLnhtbFBLAQItABQABgAIAAAAIQBa9CxbvwAAABUB&#10;AAALAAAAAAAAAAAAAAAAAB8BAABfcmVscy8ucmVsc1BLAQItABQABgAIAAAAIQB3rTj+yAAAAN4A&#10;AAAPAAAAAAAAAAAAAAAAAAcCAABkcnMvZG93bnJldi54bWxQSwUGAAAAAAMAAwC3AAAA/AIAAAAA&#10;" filled="f" stroked="f">
                  <v:textbox inset="0,0,0,0">
                    <w:txbxContent>
                      <w:p w14:paraId="7675D206" w14:textId="77777777" w:rsidR="00B32EF2" w:rsidRDefault="00000000">
                        <w:r>
                          <w:rPr>
                            <w:rFonts w:ascii="Arial" w:eastAsia="Arial" w:hAnsi="Arial" w:cs="Arial"/>
                            <w:sz w:val="18"/>
                          </w:rPr>
                          <w:t>in precedenza la materia era trattata</w:t>
                        </w:r>
                      </w:p>
                    </w:txbxContent>
                  </v:textbox>
                </v:rect>
                <v:rect id="Rectangle 23948" o:spid="_x0000_s7457" style="position:absolute;left:38229;top:878;width:1098;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qyMxAAAAN4AAAAPAAAAZHJzL2Rvd25yZXYueG1sRE/Pa8Iw&#10;FL4L/g/hCd401cnQzijiEHvwMqew46N5tt2al9BEW/3rzUHY8eP7vVx3phY3anxlWcFknIAgzq2u&#10;uFBw+t6N5iB8QNZYWyYFd/KwXvV7S0y1bfmLbsdQiBjCPkUFZQguldLnJRn0Y+uII3exjcEQYVNI&#10;3WAbw00tp0nyLg1WHBtKdLQtKf87Xo2Cn0922a6V+eWxdYffbF7vr6ezUsNBt/kAEagL/+KXO9MK&#10;pm+LWdwb78QrIFdPAAAA//8DAFBLAQItABQABgAIAAAAIQDb4fbL7gAAAIUBAAATAAAAAAAAAAAA&#10;AAAAAAAAAABbQ29udGVudF9UeXBlc10ueG1sUEsBAi0AFAAGAAgAAAAhAFr0LFu/AAAAFQEAAAsA&#10;AAAAAAAAAAAAAAAAHwEAAF9yZWxzLy5yZWxzUEsBAi0AFAAGAAgAAAAhAAYyrIzEAAAA3gAAAA8A&#10;AAAAAAAAAAAAAAAABwIAAGRycy9kb3ducmV2LnhtbFBLBQYAAAAAAwADALcAAAD4AgAAAAA=&#10;" filled="f" stroked="f">
                  <v:textbox inset="0,0,0,0">
                    <w:txbxContent>
                      <w:p w14:paraId="2C030F7C" w14:textId="77777777" w:rsidR="00B32EF2" w:rsidRDefault="00000000">
                        <w:r>
                          <w:rPr>
                            <w:rFonts w:ascii="Arial" w:eastAsia="Arial" w:hAnsi="Arial" w:cs="Arial"/>
                            <w:b/>
                            <w:sz w:val="18"/>
                          </w:rPr>
                          <w:t>C</w:t>
                        </w:r>
                      </w:p>
                    </w:txbxContent>
                  </v:textbox>
                </v:rect>
                <v:rect id="Rectangle 23949" o:spid="_x0000_s7458" style="position:absolute;left:-11431;top:878;width:49932;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gkXxwAAAN4AAAAPAAAAZHJzL2Rvd25yZXYueG1sRI9Pa8JA&#10;FMTvgt9heUJvuqkV0dRVikXMoRf/FHp8ZJ9J2uzbJbua6KfvCoLHYWZ+wyxWnanFhRpfWVbwOkpA&#10;EOdWV1woOB42wxkIH5A11pZJwZU8rJb93gJTbVve0WUfChEh7FNUUIbgUil9XpJBP7KOOHon2xgM&#10;UTaF1A22EW5qOU6SqTRYcVwo0dG6pPxvfzYKfj7ZZZtW5qfb2n39ZrN6ez5+K/Uy6D7eQQTqwjP8&#10;aGdawfhtPpnD/U68AnL5DwAA//8DAFBLAQItABQABgAIAAAAIQDb4fbL7gAAAIUBAAATAAAAAAAA&#10;AAAAAAAAAAAAAABbQ29udGVudF9UeXBlc10ueG1sUEsBAi0AFAAGAAgAAAAhAFr0LFu/AAAAFQEA&#10;AAsAAAAAAAAAAAAAAAAAHwEAAF9yZWxzLy5yZWxzUEsBAi0AFAAGAAgAAAAhAGl+CRfHAAAA3gAA&#10;AA8AAAAAAAAAAAAAAAAABwIAAGRycy9kb3ducmV2LnhtbFBLBQYAAAAAAwADALcAAAD7AgAAAAA=&#10;" filled="f" stroked="f">
                  <v:textbox inset="0,0,0,0">
                    <w:txbxContent>
                      <w:p w14:paraId="1FE94457" w14:textId="77777777" w:rsidR="00B32EF2" w:rsidRDefault="00000000">
                        <w:r>
                          <w:rPr>
                            <w:rFonts w:ascii="Arial" w:eastAsia="Arial" w:hAnsi="Arial" w:cs="Arial"/>
                            <w:sz w:val="18"/>
                          </w:rPr>
                          <w:t xml:space="preserve"> - Alla raccolta normativa del Testo Unico Giustizia Tributaria seguono, in </w:t>
                        </w:r>
                      </w:p>
                    </w:txbxContent>
                  </v:textbox>
                </v:rect>
                <v:rect id="Rectangle 23950" o:spid="_x0000_s7459" style="position:absolute;left:-8516;top:-354;width:47843;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TZXxQAAAN4AAAAPAAAAZHJzL2Rvd25yZXYueG1sRI/NisIw&#10;FIX3gu8QruBOUx0ctGMUcRC7cDOOwiwvzbXtTHMTmmirT28WwiwP549vue5MLW7U+Mqygsk4AUGc&#10;W11xoeD0vRvNQfiArLG2TAru5GG96veWmGrb8hfdjqEQcYR9igrKEFwqpc9LMujH1hFH72IbgyHK&#10;ppC6wTaOm1pOk+RdGqw4PpToaFtS/ne8GgU/n+yyXSvzy2PrDr/ZvN5fT2elhoNu8wEiUBf+w692&#10;phVM3xazCBBxIgrI1RMAAP//AwBQSwECLQAUAAYACAAAACEA2+H2y+4AAACFAQAAEwAAAAAAAAAA&#10;AAAAAAAAAAAAW0NvbnRlbnRfVHlwZXNdLnhtbFBLAQItABQABgAIAAAAIQBa9CxbvwAAABUBAAAL&#10;AAAAAAAAAAAAAAAAAB8BAABfcmVscy8ucmVsc1BLAQItABQABgAIAAAAIQB9nTZXxQAAAN4AAAAP&#10;AAAAAAAAAAAAAAAAAAcCAABkcnMvZG93bnJldi54bWxQSwUGAAAAAAMAAwC3AAAA+QIAAAAA&#10;" filled="f" stroked="f">
                  <v:textbox inset="0,0,0,0">
                    <w:txbxContent>
                      <w:p w14:paraId="48675211" w14:textId="77777777" w:rsidR="00B32EF2" w:rsidRDefault="00000000">
                        <w:r>
                          <w:rPr>
                            <w:rFonts w:ascii="Arial" w:eastAsia="Arial" w:hAnsi="Arial" w:cs="Arial"/>
                            <w:sz w:val="18"/>
                          </w:rPr>
                          <w:t xml:space="preserve">senso di lettura inverso del volume, i D.lgs. n. 546/1992 e n. 545/1992 </w:t>
                        </w:r>
                      </w:p>
                    </w:txbxContent>
                  </v:textbox>
                </v:rect>
                <v:rect id="Rectangle 23951" o:spid="_x0000_s7460" style="position:absolute;left:40191;top:16950;width:506;height:142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ZPMxwAAAN4AAAAPAAAAZHJzL2Rvd25yZXYueG1sRI9Pa8JA&#10;FMTvgt9heUJvutGi2NRVikXMoRf/FHp8ZJ9J2uzbJbua6KfvCoLHYWZ+wyxWnanFhRpfWVYwHiUg&#10;iHOrKy4UHA+b4RyED8gaa8uk4EoeVst+b4Gpti3v6LIPhYgQ9ikqKENwqZQ+L8mgH1lHHL2TbQyG&#10;KJtC6gbbCDe1nCTJTBqsOC6U6GhdUv63PxsFP5/ssk0r89Nt7b5+s3m9PR+/lXoZdB/vIAJ14Rl+&#10;tDOtYPL6Nh3D/U68AnL5DwAA//8DAFBLAQItABQABgAIAAAAIQDb4fbL7gAAAIUBAAATAAAAAAAA&#10;AAAAAAAAAAAAAABbQ29udGVudF9UeXBlc10ueG1sUEsBAi0AFAAGAAgAAAAhAFr0LFu/AAAAFQEA&#10;AAsAAAAAAAAAAAAAAAAAHwEAAF9yZWxzLy5yZWxzUEsBAi0AFAAGAAgAAAAhABLRk8zHAAAA3gAA&#10;AA8AAAAAAAAAAAAAAAAABwIAAGRycy9kb3ducmV2LnhtbFBLBQYAAAAAAwADALcAAAD7AgAAAAA=&#10;" filled="f" stroked="f">
                  <v:textbox inset="0,0,0,0">
                    <w:txbxContent>
                      <w:p w14:paraId="068A059B" w14:textId="77777777" w:rsidR="00B32EF2" w:rsidRDefault="00000000">
                        <w:r>
                          <w:rPr>
                            <w:rFonts w:ascii="Arial" w:eastAsia="Arial" w:hAnsi="Arial" w:cs="Arial"/>
                            <w:sz w:val="18"/>
                          </w:rPr>
                          <w:t>-</w:t>
                        </w:r>
                      </w:p>
                    </w:txbxContent>
                  </v:textbox>
                </v:rect>
                <w10:anchorlock/>
              </v:group>
            </w:pict>
          </mc:Fallback>
        </mc:AlternateContent>
      </w:r>
    </w:p>
    <w:p w14:paraId="1983CA2C" w14:textId="77777777" w:rsidR="00B32EF2" w:rsidRDefault="00000000">
      <w:pPr>
        <w:spacing w:after="0"/>
        <w:ind w:left="1541"/>
      </w:pPr>
      <w:r>
        <w:rPr>
          <w:noProof/>
        </w:rPr>
        <w:lastRenderedPageBreak/>
        <mc:AlternateContent>
          <mc:Choice Requires="wpg">
            <w:drawing>
              <wp:inline distT="0" distB="0" distL="0" distR="0" wp14:anchorId="6B1F112A" wp14:editId="21E26E92">
                <wp:extent cx="1613950" cy="107435"/>
                <wp:effectExtent l="0" t="0" r="0" b="0"/>
                <wp:docPr id="202479" name="Group 202479"/>
                <wp:cNvGraphicFramePr/>
                <a:graphic xmlns:a="http://schemas.openxmlformats.org/drawingml/2006/main">
                  <a:graphicData uri="http://schemas.microsoft.com/office/word/2010/wordprocessingGroup">
                    <wpg:wgp>
                      <wpg:cNvGrpSpPr/>
                      <wpg:grpSpPr>
                        <a:xfrm>
                          <a:off x="0" y="0"/>
                          <a:ext cx="1613950" cy="107435"/>
                          <a:chOff x="0" y="0"/>
                          <a:chExt cx="1613950" cy="107435"/>
                        </a:xfrm>
                      </wpg:grpSpPr>
                      <wps:wsp>
                        <wps:cNvPr id="23930" name="Rectangle 23930"/>
                        <wps:cNvSpPr/>
                        <wps:spPr>
                          <a:xfrm rot="-10799999">
                            <a:off x="-532452" y="-35453"/>
                            <a:ext cx="2145945" cy="142889"/>
                          </a:xfrm>
                          <a:prstGeom prst="rect">
                            <a:avLst/>
                          </a:prstGeom>
                          <a:ln>
                            <a:noFill/>
                          </a:ln>
                        </wps:spPr>
                        <wps:txbx>
                          <w:txbxContent>
                            <w:p w14:paraId="0DABEB42" w14:textId="77777777" w:rsidR="00B32EF2" w:rsidRDefault="00000000">
                              <w:r>
                                <w:rPr>
                                  <w:rFonts w:ascii="Arial" w:eastAsia="Arial" w:hAnsi="Arial" w:cs="Arial"/>
                                  <w:b/>
                                  <w:sz w:val="18"/>
                                </w:rPr>
                                <w:t>ILLUSTRAZIONE DEL TESTO</w:t>
                              </w:r>
                            </w:p>
                          </w:txbxContent>
                        </wps:txbx>
                        <wps:bodyPr horzOverflow="overflow" vert="horz" lIns="0" tIns="0" rIns="0" bIns="0" rtlCol="0">
                          <a:noAutofit/>
                        </wps:bodyPr>
                      </wps:wsp>
                    </wpg:wgp>
                  </a:graphicData>
                </a:graphic>
              </wp:inline>
            </w:drawing>
          </mc:Choice>
          <mc:Fallback>
            <w:pict>
              <v:group w14:anchorId="6B1F112A" id="Group 202479" o:spid="_x0000_s7461" style="width:127.1pt;height:8.45pt;mso-position-horizontal-relative:char;mso-position-vertical-relative:line" coordsize="16139,1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VSGwIAAIUEAAAOAAAAZHJzL2Uyb0RvYy54bWyklN9v2yAQx98n7X9AvCeOf7WJFaea1jWa&#10;NK1Vu/0BBINtCQMCEjv763dgO9laaQ9dHsgB57vvfXzn7d3QCXRixrZKljherjBikqqqlXWJf/54&#10;WKwxso7IigglWYnPzOK73ccP214XLFGNEhUzCIJIW/S6xI1zuogiSxvWEbtUmkm45Mp0xMHW1FFl&#10;SA/ROxElq9VN1CtTaaMosxZO78dLvAvxOWfUPXJumUOixKDNhdWE9eDXaLclRW2Iblo6ySDvUNGR&#10;VkLSS6h74gg6mvZNqK6lRlnF3ZKqLlKct5SFGqCaePWqmr1RRx1qqYu+1hdMgPYVp3eHpd9Pe6Nf&#10;9JMBEr2ugUXY+VoGbjr/DyrREJCdL8jY4BCFw/gmTjc5kKVwF69uszQfmdIGwL95jDZf/v1gNKeN&#10;/hLTa2gPeyVg/4/AS0M0C2BtAQSeDGqrEifpJoVKJOmgUZ+hdYisBUPjccATvC+wbGGB20wKGQXd&#10;tQAGG/8L3TCRW+RpkuUJRsBokeZZno6MZohJnOWbLJ8gZsl6vfEOFxak0Ma6PVMd8kaJDYgLCcjp&#10;m3Wj6+zi9QjpV6keWiHGW38CSGfJ3nLDYQh138S3IZ8/PKjqDDgaZX49wlhzofoSq8nCftIhvb/F&#10;SHyV8Br8UM2GmY3DbBgnPqsweqOgT0eneBsUX7NNyuD9Biv0eqh+mks/TH/ug9f167H7DQAA//8D&#10;AFBLAwQUAAYACAAAACEAevviFNwAAAAEAQAADwAAAGRycy9kb3ducmV2LnhtbEyPQUvDQBCF74L/&#10;YRnBm90k2qIxm1KKeipCW0G8TZNpEpqdDdltkv57Ry96eTC8x3vfZMvJtmqg3jeODcSzCBRx4cqG&#10;KwMf+9e7R1A+IJfYOiYDF/KwzK+vMkxLN/KWhl2olJSwT9FAHUKXau2Lmiz6meuIxTu63mKQs690&#10;2eMo5bbVSRQttMWGZaHGjtY1Fafd2Rp4G3Fc3ccvw+Z0XF++9vP3z01MxtzeTKtnUIGm8BeGH3xB&#10;h1yYDu7MpVetAXkk/Kp4yfwhAXWQ0OIJdJ7p//D5NwAAAP//AwBQSwECLQAUAAYACAAAACEAtoM4&#10;kv4AAADhAQAAEwAAAAAAAAAAAAAAAAAAAAAAW0NvbnRlbnRfVHlwZXNdLnhtbFBLAQItABQABgAI&#10;AAAAIQA4/SH/1gAAAJQBAAALAAAAAAAAAAAAAAAAAC8BAABfcmVscy8ucmVsc1BLAQItABQABgAI&#10;AAAAIQDRYtVSGwIAAIUEAAAOAAAAAAAAAAAAAAAAAC4CAABkcnMvZTJvRG9jLnhtbFBLAQItABQA&#10;BgAIAAAAIQB6++IU3AAAAAQBAAAPAAAAAAAAAAAAAAAAAHUEAABkcnMvZG93bnJldi54bWxQSwUG&#10;AAAAAAQABADzAAAAfgUAAAAA&#10;">
                <v:rect id="Rectangle 23930" o:spid="_x0000_s7462" style="position:absolute;left:-5324;top:-354;width:21458;height:142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tP3xgAAAN4AAAAPAAAAZHJzL2Rvd25yZXYueG1sRI/LasJA&#10;FIb3Bd9hOEJ3daKBYlNHKUpoFt3UKrg8ZI5J2syZITO56NN3FoUuf/4b32Y3mVYM1PnGsoLlIgFB&#10;XFrdcKXg9JU/rUH4gKyxtUwKbuRht509bDDTduRPGo6hEnGEfYYK6hBcJqUvazLoF9YRR+9qO4Mh&#10;yq6SusMxjptWrpLkWRpsOD7U6GhfU/lz7I2Cy4FdkY+yvN737uO7WLfv/ems1ON8ensFEWgK/+G/&#10;dqEVrNKXNAJEnIgCcvsLAAD//wMAUEsBAi0AFAAGAAgAAAAhANvh9svuAAAAhQEAABMAAAAAAAAA&#10;AAAAAAAAAAAAAFtDb250ZW50X1R5cGVzXS54bWxQSwECLQAUAAYACAAAACEAWvQsW78AAAAVAQAA&#10;CwAAAAAAAAAAAAAAAAAfAQAAX3JlbHMvLnJlbHNQSwECLQAUAAYACAAAACEAoELT98YAAADeAAAA&#10;DwAAAAAAAAAAAAAAAAAHAgAAZHJzL2Rvd25yZXYueG1sUEsFBgAAAAADAAMAtwAAAPoCAAAAAA==&#10;" filled="f" stroked="f">
                  <v:textbox inset="0,0,0,0">
                    <w:txbxContent>
                      <w:p w14:paraId="0DABEB42" w14:textId="77777777" w:rsidR="00B32EF2" w:rsidRDefault="00000000">
                        <w:r>
                          <w:rPr>
                            <w:rFonts w:ascii="Arial" w:eastAsia="Arial" w:hAnsi="Arial" w:cs="Arial"/>
                            <w:b/>
                            <w:sz w:val="18"/>
                          </w:rPr>
                          <w:t>ILLUSTRAZIONE DEL TESTO</w:t>
                        </w:r>
                      </w:p>
                    </w:txbxContent>
                  </v:textbox>
                </v:rect>
                <w10:anchorlock/>
              </v:group>
            </w:pict>
          </mc:Fallback>
        </mc:AlternateContent>
      </w:r>
    </w:p>
    <w:p w14:paraId="6FEFC283" w14:textId="77777777" w:rsidR="00B32EF2" w:rsidRDefault="00000000">
      <w:pPr>
        <w:spacing w:after="252"/>
        <w:ind w:left="-1440" w:right="7064"/>
      </w:pPr>
      <w:r>
        <w:rPr>
          <w:noProof/>
        </w:rPr>
        <mc:AlternateContent>
          <mc:Choice Requires="wpg">
            <w:drawing>
              <wp:anchor distT="0" distB="0" distL="114300" distR="114300" simplePos="0" relativeHeight="251683840" behindDoc="0" locked="0" layoutInCell="1" allowOverlap="1" wp14:anchorId="06B8A9B0" wp14:editId="755285D3">
                <wp:simplePos x="0" y="0"/>
                <wp:positionH relativeFrom="page">
                  <wp:posOffset>2666472</wp:posOffset>
                </wp:positionH>
                <wp:positionV relativeFrom="page">
                  <wp:posOffset>397149</wp:posOffset>
                </wp:positionV>
                <wp:extent cx="67056" cy="188456"/>
                <wp:effectExtent l="0" t="0" r="0" b="0"/>
                <wp:wrapTopAndBottom/>
                <wp:docPr id="202509" name="Group 202509"/>
                <wp:cNvGraphicFramePr/>
                <a:graphic xmlns:a="http://schemas.openxmlformats.org/drawingml/2006/main">
                  <a:graphicData uri="http://schemas.microsoft.com/office/word/2010/wordprocessingGroup">
                    <wpg:wgp>
                      <wpg:cNvGrpSpPr/>
                      <wpg:grpSpPr>
                        <a:xfrm>
                          <a:off x="0" y="0"/>
                          <a:ext cx="67056" cy="188456"/>
                          <a:chOff x="0" y="0"/>
                          <a:chExt cx="67056" cy="188456"/>
                        </a:xfrm>
                      </wpg:grpSpPr>
                      <wps:wsp>
                        <wps:cNvPr id="24000" name="Rectangle 24000"/>
                        <wps:cNvSpPr/>
                        <wps:spPr>
                          <a:xfrm rot="-10799999">
                            <a:off x="-22127" y="-62190"/>
                            <a:ext cx="89184" cy="250646"/>
                          </a:xfrm>
                          <a:prstGeom prst="rect">
                            <a:avLst/>
                          </a:prstGeom>
                          <a:ln>
                            <a:noFill/>
                          </a:ln>
                        </wps:spPr>
                        <wps:txbx>
                          <w:txbxContent>
                            <w:p w14:paraId="4A9F0D28" w14:textId="77777777" w:rsidR="00B32EF2" w:rsidRDefault="00000000">
                              <w:r>
                                <w:rPr>
                                  <w:rFonts w:ascii="Times New Roman" w:eastAsia="Times New Roman" w:hAnsi="Times New Roman" w:cs="Times New Roman"/>
                                  <w:color w:val="181717"/>
                                </w:rPr>
                                <w:t>4</w:t>
                              </w:r>
                            </w:p>
                          </w:txbxContent>
                        </wps:txbx>
                        <wps:bodyPr horzOverflow="overflow" vert="horz" lIns="0" tIns="0" rIns="0" bIns="0" rtlCol="0">
                          <a:noAutofit/>
                        </wps:bodyPr>
                      </wps:wsp>
                    </wpg:wgp>
                  </a:graphicData>
                </a:graphic>
              </wp:anchor>
            </w:drawing>
          </mc:Choice>
          <mc:Fallback>
            <w:pict>
              <v:group w14:anchorId="06B8A9B0" id="Group 202509" o:spid="_x0000_s7463" style="position:absolute;left:0;text-align:left;margin-left:209.95pt;margin-top:31.25pt;width:5.3pt;height:14.85pt;z-index:251683840;mso-position-horizontal-relative:page;mso-position-vertical-relative:page" coordsize="67056,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n/1GAIAAH4EAAAOAAAAZHJzL2Uyb0RvYy54bWyklNtu2zAMhu8H7B0E3Sc+IHUdI04xrGsw&#10;YFiLdnsARZYPgCwKkhI7e/pRip1sLbCLLhcKRcrUz8+kN3djL8lRGNuBKmmyjCkRikPVqaakP388&#10;LHJKrGOqYhKUKOlJWHq3/fhhM+hCpNCCrIQhmETZYtAlbZ3TRRRZ3oqe2SVooTBYg+mZw61posqw&#10;AbP3MkrjOIsGMJU2wIW16L0/B+k25K9rwd1jXVvhiCwpanNhNWHd+zXabljRGKbbjk8y2DtU9KxT&#10;eOkl1T1zjBxM9yZV33EDFmq35NBHUNcdF6EGrCaJX1WzM3DQoZamGBp9wYRoX3F6d1r+/bgz+kU/&#10;GSQx6AZZhJ2vZaxN7/9RJRkDstMFmRgd4ejMbuObjBKOkSTPV2gHorxF7G8e4u2Xfz0WzVdGfwkZ&#10;NLaGvVZv/6/6l5ZpEaDaAqt/MqSrSpqu4hj7Q7Eem/QZ24apRgpydgc04fQFlC0sMpspEQPYWYsk&#10;vl37X+iEidoiTZP0lhIEtMjSZD213MwvXyf56swvvYmzVeB3AcEKbazbCeiJN0pqUFnIzo7frENd&#10;eHQ+4sVI5VcFD52U56j3IM9Zr7fcuB9D0VmSBzneuYfqhCxaML8ecZ5rCUNJYbKoH3G83kcpkV8V&#10;vgM/TbNhZmM/G8bJzxBm7izo08FB3QXF19smZfhygxWaPJQ0DaSfoj/34dT1s7H9DQAA//8DAFBL&#10;AwQUAAYACAAAACEAe2FK6uEAAAAJAQAADwAAAGRycy9kb3ducmV2LnhtbEyPTUvDQBCG74L/YRnB&#10;m90k/cDEbEop6qkItoJ4m2anSWh2NmS3SfrvXU/2NsM8vPO8+XoyrRiod41lBfEsAkFcWt1wpeDr&#10;8Pb0DMJ5ZI2tZVJwJQfr4v4ux0zbkT9p2PtKhBB2GSqove8yKV1Zk0E3sx1xuJ1sb9CHta+k7nEM&#10;4aaVSRStpMGGw4caO9rWVJ73F6PgfcRxM49fh935tL3+HJYf37uYlHp8mDYvIDxN/h+GP/2gDkVw&#10;OtoLaydaBYs4TQOqYJUsQQRgMY/CcFSQJgnIIpe3DYpfAAAA//8DAFBLAQItABQABgAIAAAAIQC2&#10;gziS/gAAAOEBAAATAAAAAAAAAAAAAAAAAAAAAABbQ29udGVudF9UeXBlc10ueG1sUEsBAi0AFAAG&#10;AAgAAAAhADj9If/WAAAAlAEAAAsAAAAAAAAAAAAAAAAALwEAAF9yZWxzLy5yZWxzUEsBAi0AFAAG&#10;AAgAAAAhACrCf/UYAgAAfgQAAA4AAAAAAAAAAAAAAAAALgIAAGRycy9lMm9Eb2MueG1sUEsBAi0A&#10;FAAGAAgAAAAhAHthSurhAAAACQEAAA8AAAAAAAAAAAAAAAAAcgQAAGRycy9kb3ducmV2LnhtbFBL&#10;BQYAAAAABAAEAPMAAACABQAAAAA=&#10;">
                <v:rect id="Rectangle 24000" o:spid="_x0000_s7464" style="position:absolute;left:-22127;top:-62190;width:89184;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k5/xQAAAN4AAAAPAAAAZHJzL2Rvd25yZXYueG1sRI/LagIx&#10;FIb3Bd8hHMFdTZRSZDSKKNJZdOOl0OVhcpwZnZyESXTGPr1ZFFz+/De+xaq3jbhTG2rHGiZjBYK4&#10;cKbmUsPpuHufgQgR2WDjmDQ8KMBqOXhbYGZcx3u6H2Ip0giHDDVUMfpMylBUZDGMnSdO3tm1FmOS&#10;bSlNi10at42cKvUpLdacHir0tKmouB5uVsPvln2+62Rx/tv470s+a75upx+tR8N+PQcRqY+v8H87&#10;NxqmH0olgISTUEAunwAAAP//AwBQSwECLQAUAAYACAAAACEA2+H2y+4AAACFAQAAEwAAAAAAAAAA&#10;AAAAAAAAAAAAW0NvbnRlbnRfVHlwZXNdLnhtbFBLAQItABQABgAIAAAAIQBa9CxbvwAAABUBAAAL&#10;AAAAAAAAAAAAAAAAAB8BAABfcmVscy8ucmVsc1BLAQItABQABgAIAAAAIQA03k5/xQAAAN4AAAAP&#10;AAAAAAAAAAAAAAAAAAcCAABkcnMvZG93bnJldi54bWxQSwUGAAAAAAMAAwC3AAAA+QIAAAAA&#10;" filled="f" stroked="f">
                  <v:textbox inset="0,0,0,0">
                    <w:txbxContent>
                      <w:p w14:paraId="4A9F0D28" w14:textId="77777777" w:rsidR="00B32EF2" w:rsidRDefault="00000000">
                        <w:r>
                          <w:rPr>
                            <w:rFonts w:ascii="Times New Roman" w:eastAsia="Times New Roman" w:hAnsi="Times New Roman" w:cs="Times New Roman"/>
                            <w:color w:val="181717"/>
                          </w:rPr>
                          <w:t>4</w:t>
                        </w:r>
                      </w:p>
                    </w:txbxContent>
                  </v:textbox>
                </v:rect>
                <w10:wrap type="topAndBottom" anchorx="page" anchory="page"/>
              </v:group>
            </w:pict>
          </mc:Fallback>
        </mc:AlternateContent>
      </w:r>
      <w:r>
        <w:rPr>
          <w:noProof/>
        </w:rPr>
        <mc:AlternateContent>
          <mc:Choice Requires="wpg">
            <w:drawing>
              <wp:anchor distT="0" distB="0" distL="114300" distR="114300" simplePos="0" relativeHeight="251684864" behindDoc="0" locked="0" layoutInCell="1" allowOverlap="1" wp14:anchorId="79E4D507" wp14:editId="5ACD649A">
                <wp:simplePos x="0" y="0"/>
                <wp:positionH relativeFrom="page">
                  <wp:posOffset>5058348</wp:posOffset>
                </wp:positionH>
                <wp:positionV relativeFrom="page">
                  <wp:posOffset>7412345</wp:posOffset>
                </wp:positionV>
                <wp:extent cx="311353" cy="205588"/>
                <wp:effectExtent l="0" t="0" r="0" b="0"/>
                <wp:wrapTopAndBottom/>
                <wp:docPr id="202510" name="Group 202510"/>
                <wp:cNvGraphicFramePr/>
                <a:graphic xmlns:a="http://schemas.openxmlformats.org/drawingml/2006/main">
                  <a:graphicData uri="http://schemas.microsoft.com/office/word/2010/wordprocessingGroup">
                    <wpg:wgp>
                      <wpg:cNvGrpSpPr/>
                      <wpg:grpSpPr>
                        <a:xfrm>
                          <a:off x="0" y="0"/>
                          <a:ext cx="311353" cy="205588"/>
                          <a:chOff x="0" y="0"/>
                          <a:chExt cx="311353" cy="205588"/>
                        </a:xfrm>
                      </wpg:grpSpPr>
                      <wps:wsp>
                        <wps:cNvPr id="24002" name="Rectangle 24002"/>
                        <wps:cNvSpPr/>
                        <wps:spPr>
                          <a:xfrm rot="-10799999">
                            <a:off x="-102745" y="-67844"/>
                            <a:ext cx="414100" cy="273432"/>
                          </a:xfrm>
                          <a:prstGeom prst="rect">
                            <a:avLst/>
                          </a:prstGeom>
                          <a:ln>
                            <a:noFill/>
                          </a:ln>
                        </wps:spPr>
                        <wps:txbx>
                          <w:txbxContent>
                            <w:p w14:paraId="742FF32A" w14:textId="77777777" w:rsidR="00B32EF2" w:rsidRDefault="00000000">
                              <w:r>
                                <w:rPr>
                                  <w:rFonts w:ascii="Times New Roman" w:eastAsia="Times New Roman" w:hAnsi="Times New Roman" w:cs="Times New Roman"/>
                                  <w:color w:val="181717"/>
                                  <w:spacing w:val="-114"/>
                                  <w:sz w:val="24"/>
                                </w:rPr>
                                <w:t xml:space="preserve">        </w:t>
                              </w:r>
                              <w:r>
                                <w:rPr>
                                  <w:rFonts w:ascii="Times New Roman" w:eastAsia="Times New Roman" w:hAnsi="Times New Roman" w:cs="Times New Roman"/>
                                  <w:color w:val="181717"/>
                                  <w:spacing w:val="-6"/>
                                  <w:sz w:val="24"/>
                                </w:rPr>
                                <w:t xml:space="preserve"> </w:t>
                              </w:r>
                            </w:p>
                          </w:txbxContent>
                        </wps:txbx>
                        <wps:bodyPr horzOverflow="overflow" vert="horz" lIns="0" tIns="0" rIns="0" bIns="0" rtlCol="0">
                          <a:noAutofit/>
                        </wps:bodyPr>
                      </wps:wsp>
                    </wpg:wgp>
                  </a:graphicData>
                </a:graphic>
              </wp:anchor>
            </w:drawing>
          </mc:Choice>
          <mc:Fallback>
            <w:pict>
              <v:group w14:anchorId="79E4D507" id="Group 202510" o:spid="_x0000_s7465" style="position:absolute;left:0;text-align:left;margin-left:398.3pt;margin-top:583.65pt;width:24.5pt;height:16.2pt;z-index:251684864;mso-position-horizontal-relative:page;mso-position-vertical-relative:page" coordsize="311353,20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nQcGwIAAIIEAAAOAAAAZHJzL2Uyb0RvYy54bWyklNtu2zAMhu8H7B0E3Sc+xDnMiFMM6xoM&#10;GNZi3R5AkeUDIIuCpMTOnn6UHCdbC+yiy4VCkTL18zPp7d3QSXISxragCprMY0qE4lC2qi7ozx8P&#10;sw0l1jFVMglKFPQsLL3bvX+37XUuUmhAlsIQTKJs3uuCNs7pPIosb0TH7By0UBiswHTM4dbUUWlY&#10;j9k7GaVxvIp6MKU2wIW16L0fg3QX8leV4O6xqqxwRBYUtbmwmrAe/BrttiyvDdNNyy8y2BtUdKxV&#10;eOk11T1zjBxN+ypV13IDFio359BFUFUtF6EGrCaJX1SzN3DUoZY672t9xYRoX3B6c1r+7bQ3+lk/&#10;GSTR6xpZhJ2vZahM5/9RJRkCsvMVmRgc4ehcJMliuaCEYyiNl8vNZkTKG+T+6inefP7nc9F0afSX&#10;lF5jc9hb/fb/6n9umBYBq82x/idD2hLVZ3GcUqJYh236HRuHqVoKMroDnHD6isrmFqlNnIgB7K1Z&#10;Eq8/+F/ohQs3dKbrbEkJIpqt1pssGxFNCLMkS2LszYBwvcgWqY9fUbBcG+v2AjrijYIa1Bbys9NX&#10;68aj0xEvRyq/KnhopRyj3oNEJ8XecsNhCGWvkk3i7/POA5RnpNGA+fWIM11J6AsKF4v6McfrfZQS&#10;+UXhW/ATNRlmMg6TYZz8BGHuRkEfjw6qNii+3XZRhq83WKHRQ/WXofST9Oc+nLp9Ona/AQAA//8D&#10;AFBLAwQUAAYACAAAACEA4qh3heIAAAANAQAADwAAAGRycy9kb3ducmV2LnhtbEyPQU+DQBCF7yb+&#10;h82YeLML1kJBlqZp1FPTxNbEeNvCFEjZWcJugf57pyc9zntf3ryXrSbTigF711hSEM4CEEiFLRuq&#10;FHwd3p+WIJzXVOrWEiq4ooNVfn+X6bS0I33isPeV4BByqVZQe9+lUrqiRqPdzHZI7J1sb7Tns69k&#10;2euRw00rn4MgkkY3xB9q3eGmxuK8vxgFH6Me1/PwbdieT5vrz2Gx+96GqNTjw7R+BeFx8n8w3Opz&#10;dci509FeqHSiVRAnUcQoG2EUz0EwsnxZsHS8SUkSg8wz+X9F/gsAAP//AwBQSwECLQAUAAYACAAA&#10;ACEAtoM4kv4AAADhAQAAEwAAAAAAAAAAAAAAAAAAAAAAW0NvbnRlbnRfVHlwZXNdLnhtbFBLAQIt&#10;ABQABgAIAAAAIQA4/SH/1gAAAJQBAAALAAAAAAAAAAAAAAAAAC8BAABfcmVscy8ucmVsc1BLAQIt&#10;ABQABgAIAAAAIQC4xnQcGwIAAIIEAAAOAAAAAAAAAAAAAAAAAC4CAABkcnMvZTJvRG9jLnhtbFBL&#10;AQItABQABgAIAAAAIQDiqHeF4gAAAA0BAAAPAAAAAAAAAAAAAAAAAHUEAABkcnMvZG93bnJldi54&#10;bWxQSwUGAAAAAAQABADzAAAAhAUAAAAA&#10;">
                <v:rect id="Rectangle 24002" o:spid="_x0000_s7466" style="position:absolute;left:-102745;top:-67844;width:414100;height:273432;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HWTxwAAAN4AAAAPAAAAZHJzL2Rvd25yZXYueG1sRI9PawIx&#10;FMTvQr9DeIXeNOlSiqxGKRbpHnqpf8DjY/PcXd28hE10t/30jSB4HGbmN8x8OdhWXKkLjWMNrxMF&#10;grh0puFKw267Hk9BhIhssHVMGn4pwHLxNJpjblzPP3TdxEokCIccNdQx+lzKUNZkMUycJ07e0XUW&#10;Y5JdJU2HfYLbVmZKvUuLDaeFGj2tairPm4vVcPhkX6x7WR7/Vv77VEzbr8tur/XL8/AxAxFpiI/w&#10;vV0YDdmbUhnc7qQrIBf/AAAA//8DAFBLAQItABQABgAIAAAAIQDb4fbL7gAAAIUBAAATAAAAAAAA&#10;AAAAAAAAAAAAAABbQ29udGVudF9UeXBlc10ueG1sUEsBAi0AFAAGAAgAAAAhAFr0LFu/AAAAFQEA&#10;AAsAAAAAAAAAAAAAAAAAHwEAAF9yZWxzLy5yZWxzUEsBAi0AFAAGAAgAAAAhAKtAdZPHAAAA3gAA&#10;AA8AAAAAAAAAAAAAAAAABwIAAGRycy9kb3ducmV2LnhtbFBLBQYAAAAAAwADALcAAAD7AgAAAAA=&#10;" filled="f" stroked="f">
                  <v:textbox inset="0,0,0,0">
                    <w:txbxContent>
                      <w:p w14:paraId="742FF32A" w14:textId="77777777" w:rsidR="00B32EF2" w:rsidRDefault="00000000">
                        <w:r>
                          <w:rPr>
                            <w:rFonts w:ascii="Times New Roman" w:eastAsia="Times New Roman" w:hAnsi="Times New Roman" w:cs="Times New Roman"/>
                            <w:color w:val="181717"/>
                            <w:spacing w:val="-114"/>
                            <w:sz w:val="24"/>
                          </w:rPr>
                          <w:t xml:space="preserve">        </w:t>
                        </w:r>
                        <w:r>
                          <w:rPr>
                            <w:rFonts w:ascii="Times New Roman" w:eastAsia="Times New Roman" w:hAnsi="Times New Roman" w:cs="Times New Roman"/>
                            <w:color w:val="181717"/>
                            <w:spacing w:val="-6"/>
                            <w:sz w:val="24"/>
                          </w:rPr>
                          <w:t xml:space="preserve"> </w:t>
                        </w:r>
                      </w:p>
                    </w:txbxContent>
                  </v:textbox>
                </v:rect>
                <w10:wrap type="topAndBottom" anchorx="page" anchory="page"/>
              </v:group>
            </w:pict>
          </mc:Fallback>
        </mc:AlternateContent>
      </w:r>
    </w:p>
    <w:p w14:paraId="5C061532" w14:textId="77777777" w:rsidR="00B32EF2" w:rsidRDefault="00000000">
      <w:pPr>
        <w:spacing w:after="0"/>
        <w:ind w:left="-307" w:right="-314"/>
      </w:pPr>
      <w:r>
        <w:rPr>
          <w:noProof/>
        </w:rPr>
        <w:lastRenderedPageBreak/>
        <w:drawing>
          <wp:inline distT="0" distB="0" distL="0" distR="0" wp14:anchorId="149959EA" wp14:editId="5A1B240C">
            <wp:extent cx="3965448" cy="5803393"/>
            <wp:effectExtent l="0" t="0" r="0" b="0"/>
            <wp:docPr id="202846" name="Picture 202846"/>
            <wp:cNvGraphicFramePr/>
            <a:graphic xmlns:a="http://schemas.openxmlformats.org/drawingml/2006/main">
              <a:graphicData uri="http://schemas.openxmlformats.org/drawingml/2006/picture">
                <pic:pic xmlns:pic="http://schemas.openxmlformats.org/drawingml/2006/picture">
                  <pic:nvPicPr>
                    <pic:cNvPr id="202846" name="Picture 202846"/>
                    <pic:cNvPicPr/>
                  </pic:nvPicPr>
                  <pic:blipFill>
                    <a:blip r:embed="rId30"/>
                    <a:stretch>
                      <a:fillRect/>
                    </a:stretch>
                  </pic:blipFill>
                  <pic:spPr>
                    <a:xfrm>
                      <a:off x="0" y="0"/>
                      <a:ext cx="3965448" cy="5803393"/>
                    </a:xfrm>
                    <a:prstGeom prst="rect">
                      <a:avLst/>
                    </a:prstGeom>
                  </pic:spPr>
                </pic:pic>
              </a:graphicData>
            </a:graphic>
          </wp:inline>
        </w:drawing>
      </w:r>
    </w:p>
    <w:p w14:paraId="706817DF" w14:textId="77777777" w:rsidR="00B32EF2" w:rsidRDefault="00000000">
      <w:pPr>
        <w:spacing w:after="939"/>
        <w:ind w:left="-1440" w:right="7064"/>
      </w:pPr>
      <w:r>
        <w:rPr>
          <w:noProof/>
        </w:rPr>
        <w:lastRenderedPageBreak/>
        <mc:AlternateContent>
          <mc:Choice Requires="wpg">
            <w:drawing>
              <wp:anchor distT="0" distB="0" distL="114300" distR="114300" simplePos="0" relativeHeight="251685888" behindDoc="0" locked="0" layoutInCell="1" allowOverlap="1" wp14:anchorId="5E42C97B" wp14:editId="43386DD1">
                <wp:simplePos x="0" y="0"/>
                <wp:positionH relativeFrom="page">
                  <wp:posOffset>2666472</wp:posOffset>
                </wp:positionH>
                <wp:positionV relativeFrom="page">
                  <wp:posOffset>397149</wp:posOffset>
                </wp:positionV>
                <wp:extent cx="67056" cy="188456"/>
                <wp:effectExtent l="0" t="0" r="0" b="0"/>
                <wp:wrapTopAndBottom/>
                <wp:docPr id="202485" name="Group 202485"/>
                <wp:cNvGraphicFramePr/>
                <a:graphic xmlns:a="http://schemas.openxmlformats.org/drawingml/2006/main">
                  <a:graphicData uri="http://schemas.microsoft.com/office/word/2010/wordprocessingGroup">
                    <wpg:wgp>
                      <wpg:cNvGrpSpPr/>
                      <wpg:grpSpPr>
                        <a:xfrm>
                          <a:off x="0" y="0"/>
                          <a:ext cx="67056" cy="188456"/>
                          <a:chOff x="0" y="0"/>
                          <a:chExt cx="67056" cy="188456"/>
                        </a:xfrm>
                      </wpg:grpSpPr>
                      <wps:wsp>
                        <wps:cNvPr id="24272" name="Rectangle 24272"/>
                        <wps:cNvSpPr/>
                        <wps:spPr>
                          <a:xfrm rot="-10799999">
                            <a:off x="-22127" y="-62190"/>
                            <a:ext cx="89184" cy="250646"/>
                          </a:xfrm>
                          <a:prstGeom prst="rect">
                            <a:avLst/>
                          </a:prstGeom>
                          <a:ln>
                            <a:noFill/>
                          </a:ln>
                        </wps:spPr>
                        <wps:txbx>
                          <w:txbxContent>
                            <w:p w14:paraId="3772B71A" w14:textId="77777777" w:rsidR="00B32EF2" w:rsidRDefault="00000000">
                              <w:r>
                                <w:rPr>
                                  <w:rFonts w:ascii="Times New Roman" w:eastAsia="Times New Roman" w:hAnsi="Times New Roman" w:cs="Times New Roman"/>
                                  <w:color w:val="181717"/>
                                </w:rPr>
                                <w:t>3</w:t>
                              </w:r>
                            </w:p>
                          </w:txbxContent>
                        </wps:txbx>
                        <wps:bodyPr horzOverflow="overflow" vert="horz" lIns="0" tIns="0" rIns="0" bIns="0" rtlCol="0">
                          <a:noAutofit/>
                        </wps:bodyPr>
                      </wps:wsp>
                    </wpg:wgp>
                  </a:graphicData>
                </a:graphic>
              </wp:anchor>
            </w:drawing>
          </mc:Choice>
          <mc:Fallback>
            <w:pict>
              <v:group w14:anchorId="5E42C97B" id="Group 202485" o:spid="_x0000_s7467" style="position:absolute;left:0;text-align:left;margin-left:209.95pt;margin-top:31.25pt;width:5.3pt;height:14.85pt;z-index:251685888;mso-position-horizontal-relative:page;mso-position-vertical-relative:page" coordsize="67056,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lSlGgIAAH4EAAAOAAAAZHJzL2Uyb0RvYy54bWyklNtu2zAMhu8H7B0E3Sc+IHUcI04xrGsw&#10;YFiLdnsARZYPgCwKkhK7e/pRip1sLbCLzhcyRcnUz0+kt7djL8lJGNuBKmmyjCkRikPVqaakP3/c&#10;L3JKrGOqYhKUKOmLsPR29/HDdtCFSKEFWQlDMIiyxaBL2jqniyiyvBU9s0vQQuFiDaZnDqemiSrD&#10;BozeyyiN4ywawFTaABfWovfuvEh3IX5dC+4e6toKR2RJUZsLownjwY/RbsuKxjDddnySwd6homed&#10;wkMvoe6YY+Roujeh+o4bsFC7JYc+grruuAg5YDZJ/CqbvYGjDrk0xdDoCyZE+4rTu8Py76e90c/6&#10;0SCJQTfIIsx8LmNtev9GlWQMyF4uyMToCEdnto5vMko4riR5vkI7EOUtYn/zEW+//OuzaD4y+kvI&#10;oLE07DV7+3/ZP7dMiwDVFpj9oyFdVdJ0la5TShTrsUifsGyYaqQgZ3dAE3ZfQNnCIrOZEjGAlbVI&#10;4vXGP6ESJmqLNE3SNSUIaJGlyWYquZlfvkny1ZlfehNnq8DvAoIV2li3F9ATb5TUoLIQnZ2+WYe6&#10;cOu8xYuRyo8K7jspz6vegzxnvd5y42EMSWdJnvr78s4DVC/IogXz6wH7uZYwlBQmi/oWx+P9KiXy&#10;q8I78N00G2Y2DrNhnPwMoefOgj4dHdRdUHw9bVKGlxusUOQhpakhfRf9OQ+7rr+N3W8AAAD//wMA&#10;UEsDBBQABgAIAAAAIQB7YUrq4QAAAAkBAAAPAAAAZHJzL2Rvd25yZXYueG1sTI9NS8NAEIbvgv9h&#10;GcGb3ST9wMRsSinqqQi2gnibZqdJaHY2ZLdJ+u9dT/Y2wzy887z5ejKtGKh3jWUF8SwCQVxa3XCl&#10;4Ovw9vQMwnlkja1lUnAlB+vi/i7HTNuRP2nY+0qEEHYZKqi97zIpXVmTQTezHXG4nWxv0Ie1r6Tu&#10;cQzhppVJFK2kwYbDhxo72tZUnvcXo+B9xHEzj1+H3fm0vf4clh/fu5iUenyYNi8gPE3+H4Y//aAO&#10;RXA62gtrJ1oFizhNA6pglSxBBGAxj8JwVJAmCcgil7cNil8AAAD//wMAUEsBAi0AFAAGAAgAAAAh&#10;ALaDOJL+AAAA4QEAABMAAAAAAAAAAAAAAAAAAAAAAFtDb250ZW50X1R5cGVzXS54bWxQSwECLQAU&#10;AAYACAAAACEAOP0h/9YAAACUAQAACwAAAAAAAAAAAAAAAAAvAQAAX3JlbHMvLnJlbHNQSwECLQAU&#10;AAYACAAAACEAyy5UpRoCAAB+BAAADgAAAAAAAAAAAAAAAAAuAgAAZHJzL2Uyb0RvYy54bWxQSwEC&#10;LQAUAAYACAAAACEAe2FK6uEAAAAJAQAADwAAAAAAAAAAAAAAAAB0BAAAZHJzL2Rvd25yZXYueG1s&#10;UEsFBgAAAAAEAAQA8wAAAIIFAAAAAA==&#10;">
                <v:rect id="Rectangle 24272" o:spid="_x0000_s7468" style="position:absolute;left:-22127;top:-62190;width:89184;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mgPxgAAAN4AAAAPAAAAZHJzL2Rvd25yZXYueG1sRI9Ba8JA&#10;FITvBf/D8gRvdWMorURXEUWag5daBY+P7DOJZt8u2dVEf323UOhxmJlvmPmyN424U+trywom4wQE&#10;cWF1zaWCw/f2dQrCB2SNjWVS8CAPy8XgZY6Zth1/0X0fShEh7DNUUIXgMil9UZFBP7aOOHpn2xoM&#10;Ubal1C12EW4amSbJuzRYc1yo0NG6ouK6vxkFpw27fNvJ4vxcu90lnzaft8NRqdGwX81ABOrDf/iv&#10;nWsF6Vv6kcLvnXgF5OIHAAD//wMAUEsBAi0AFAAGAAgAAAAhANvh9svuAAAAhQEAABMAAAAAAAAA&#10;AAAAAAAAAAAAAFtDb250ZW50X1R5cGVzXS54bWxQSwECLQAUAAYACAAAACEAWvQsW78AAAAVAQAA&#10;CwAAAAAAAAAAAAAAAAAfAQAAX3JlbHMvLnJlbHNQSwECLQAUAAYACAAAACEAXoJoD8YAAADeAAAA&#10;DwAAAAAAAAAAAAAAAAAHAgAAZHJzL2Rvd25yZXYueG1sUEsFBgAAAAADAAMAtwAAAPoCAAAAAA==&#10;" filled="f" stroked="f">
                  <v:textbox inset="0,0,0,0">
                    <w:txbxContent>
                      <w:p w14:paraId="3772B71A" w14:textId="77777777" w:rsidR="00B32EF2" w:rsidRDefault="00000000">
                        <w:r>
                          <w:rPr>
                            <w:rFonts w:ascii="Times New Roman" w:eastAsia="Times New Roman" w:hAnsi="Times New Roman" w:cs="Times New Roman"/>
                            <w:color w:val="181717"/>
                          </w:rPr>
                          <w:t>3</w:t>
                        </w:r>
                      </w:p>
                    </w:txbxContent>
                  </v:textbox>
                </v:rect>
                <w10:wrap type="topAndBottom" anchorx="page" anchory="page"/>
              </v:group>
            </w:pict>
          </mc:Fallback>
        </mc:AlternateContent>
      </w:r>
    </w:p>
    <w:p w14:paraId="6468B7C0" w14:textId="77777777" w:rsidR="00B32EF2" w:rsidRDefault="00000000">
      <w:pPr>
        <w:spacing w:after="606"/>
        <w:ind w:left="-356" w:right="-306"/>
      </w:pPr>
      <w:r>
        <w:rPr>
          <w:noProof/>
        </w:rPr>
        <mc:AlternateContent>
          <mc:Choice Requires="wpg">
            <w:drawing>
              <wp:inline distT="0" distB="0" distL="0" distR="0" wp14:anchorId="66D9C79C" wp14:editId="4BCB9FF6">
                <wp:extent cx="3991872" cy="2532900"/>
                <wp:effectExtent l="0" t="0" r="0" b="0"/>
                <wp:docPr id="202487" name="Group 202487"/>
                <wp:cNvGraphicFramePr/>
                <a:graphic xmlns:a="http://schemas.openxmlformats.org/drawingml/2006/main">
                  <a:graphicData uri="http://schemas.microsoft.com/office/word/2010/wordprocessingGroup">
                    <wpg:wgp>
                      <wpg:cNvGrpSpPr/>
                      <wpg:grpSpPr>
                        <a:xfrm>
                          <a:off x="0" y="0"/>
                          <a:ext cx="3991872" cy="2532900"/>
                          <a:chOff x="0" y="0"/>
                          <a:chExt cx="3991872" cy="2532900"/>
                        </a:xfrm>
                      </wpg:grpSpPr>
                      <wps:wsp>
                        <wps:cNvPr id="24296" name="Rectangle 24296"/>
                        <wps:cNvSpPr/>
                        <wps:spPr>
                          <a:xfrm rot="-10799999">
                            <a:off x="2654292" y="2347099"/>
                            <a:ext cx="1337581" cy="185801"/>
                          </a:xfrm>
                          <a:prstGeom prst="rect">
                            <a:avLst/>
                          </a:prstGeom>
                          <a:ln>
                            <a:noFill/>
                          </a:ln>
                        </wps:spPr>
                        <wps:txbx>
                          <w:txbxContent>
                            <w:p w14:paraId="306BCBEA" w14:textId="77777777" w:rsidR="00B32EF2" w:rsidRDefault="00000000">
                              <w:r>
                                <w:rPr>
                                  <w:rFonts w:ascii="Arial" w:eastAsia="Arial" w:hAnsi="Arial" w:cs="Arial"/>
                                  <w:b/>
                                  <w:color w:val="181717"/>
                                </w:rPr>
                                <w:t>Hanno collaborato</w:t>
                              </w:r>
                            </w:p>
                          </w:txbxContent>
                        </wps:txbx>
                        <wps:bodyPr horzOverflow="overflow" vert="horz" lIns="0" tIns="0" rIns="0" bIns="0" rtlCol="0">
                          <a:noAutofit/>
                        </wps:bodyPr>
                      </wps:wsp>
                      <wps:wsp>
                        <wps:cNvPr id="24297" name="Rectangle 24297"/>
                        <wps:cNvSpPr/>
                        <wps:spPr>
                          <a:xfrm rot="-10799999">
                            <a:off x="2865045" y="2084882"/>
                            <a:ext cx="1126827" cy="185801"/>
                          </a:xfrm>
                          <a:prstGeom prst="rect">
                            <a:avLst/>
                          </a:prstGeom>
                          <a:ln>
                            <a:noFill/>
                          </a:ln>
                        </wps:spPr>
                        <wps:txbx>
                          <w:txbxContent>
                            <w:p w14:paraId="27797401" w14:textId="77777777" w:rsidR="00B32EF2" w:rsidRDefault="00000000">
                              <w:r>
                                <w:rPr>
                                  <w:rFonts w:ascii="Arial" w:eastAsia="Arial" w:hAnsi="Arial" w:cs="Arial"/>
                                  <w:b/>
                                  <w:color w:val="009ED5"/>
                                </w:rPr>
                                <w:t>Lorena Di Fiore</w:t>
                              </w:r>
                            </w:p>
                          </w:txbxContent>
                        </wps:txbx>
                        <wps:bodyPr horzOverflow="overflow" vert="horz" lIns="0" tIns="0" rIns="0" bIns="0" rtlCol="0">
                          <a:noAutofit/>
                        </wps:bodyPr>
                      </wps:wsp>
                      <wps:wsp>
                        <wps:cNvPr id="24298" name="Rectangle 24298"/>
                        <wps:cNvSpPr/>
                        <wps:spPr>
                          <a:xfrm rot="-10799999">
                            <a:off x="-1037728" y="2084882"/>
                            <a:ext cx="4182362" cy="185802"/>
                          </a:xfrm>
                          <a:prstGeom prst="rect">
                            <a:avLst/>
                          </a:prstGeom>
                          <a:ln>
                            <a:noFill/>
                          </a:ln>
                        </wps:spPr>
                        <wps:txbx>
                          <w:txbxContent>
                            <w:p w14:paraId="1069409A" w14:textId="77777777" w:rsidR="00B32EF2" w:rsidRDefault="00000000">
                              <w:r>
                                <w:rPr>
                                  <w:rFonts w:ascii="Arial" w:eastAsia="Arial" w:hAnsi="Arial" w:cs="Arial"/>
                                  <w:b/>
                                  <w:color w:val="181717"/>
                                </w:rPr>
                                <w:t xml:space="preserve">, Avvocato specialista in diritto tributario ai sensi del DM </w:t>
                              </w:r>
                            </w:p>
                          </w:txbxContent>
                        </wps:txbx>
                        <wps:bodyPr horzOverflow="overflow" vert="horz" lIns="0" tIns="0" rIns="0" bIns="0" rtlCol="0">
                          <a:noAutofit/>
                        </wps:bodyPr>
                      </wps:wsp>
                      <wps:wsp>
                        <wps:cNvPr id="24299" name="Rectangle 24299"/>
                        <wps:cNvSpPr/>
                        <wps:spPr>
                          <a:xfrm rot="-10799999">
                            <a:off x="-1317298" y="1924227"/>
                            <a:ext cx="5309171" cy="185802"/>
                          </a:xfrm>
                          <a:prstGeom prst="rect">
                            <a:avLst/>
                          </a:prstGeom>
                          <a:ln>
                            <a:noFill/>
                          </a:ln>
                        </wps:spPr>
                        <wps:txbx>
                          <w:txbxContent>
                            <w:p w14:paraId="1F557737" w14:textId="77777777" w:rsidR="00B32EF2" w:rsidRDefault="00000000">
                              <w:r>
                                <w:rPr>
                                  <w:rFonts w:ascii="Arial" w:eastAsia="Arial" w:hAnsi="Arial" w:cs="Arial"/>
                                  <w:b/>
                                  <w:color w:val="181717"/>
                                </w:rPr>
                                <w:t xml:space="preserve">n.144/2015, dottore di ricerca in diritto tributario Università Federico II </w:t>
                              </w:r>
                            </w:p>
                          </w:txbxContent>
                        </wps:txbx>
                        <wps:bodyPr horzOverflow="overflow" vert="horz" lIns="0" tIns="0" rIns="0" bIns="0" rtlCol="0">
                          <a:noAutofit/>
                        </wps:bodyPr>
                      </wps:wsp>
                      <wps:wsp>
                        <wps:cNvPr id="24300" name="Rectangle 24300"/>
                        <wps:cNvSpPr/>
                        <wps:spPr>
                          <a:xfrm rot="-10799999">
                            <a:off x="-1224175" y="1763572"/>
                            <a:ext cx="5216048" cy="185802"/>
                          </a:xfrm>
                          <a:prstGeom prst="rect">
                            <a:avLst/>
                          </a:prstGeom>
                          <a:ln>
                            <a:noFill/>
                          </a:ln>
                        </wps:spPr>
                        <wps:txbx>
                          <w:txbxContent>
                            <w:p w14:paraId="0E0FE128" w14:textId="77777777" w:rsidR="00B32EF2" w:rsidRDefault="00000000">
                              <w:r>
                                <w:rPr>
                                  <w:rFonts w:ascii="Arial" w:eastAsia="Arial" w:hAnsi="Arial" w:cs="Arial"/>
                                  <w:b/>
                                  <w:color w:val="181717"/>
                                </w:rPr>
                                <w:t>Napoli. E’ stata componente del Comitato Scientifico dell’Ufficio del Mas</w:t>
                              </w:r>
                            </w:p>
                          </w:txbxContent>
                        </wps:txbx>
                        <wps:bodyPr horzOverflow="overflow" vert="horz" lIns="0" tIns="0" rIns="0" bIns="0" rtlCol="0">
                          <a:noAutofit/>
                        </wps:bodyPr>
                      </wps:wsp>
                      <wps:wsp>
                        <wps:cNvPr id="24301" name="Rectangle 24301"/>
                        <wps:cNvSpPr/>
                        <wps:spPr>
                          <a:xfrm rot="-10799999">
                            <a:off x="19309" y="1763572"/>
                            <a:ext cx="50724" cy="185801"/>
                          </a:xfrm>
                          <a:prstGeom prst="rect">
                            <a:avLst/>
                          </a:prstGeom>
                          <a:ln>
                            <a:noFill/>
                          </a:ln>
                        </wps:spPr>
                        <wps:txbx>
                          <w:txbxContent>
                            <w:p w14:paraId="5987F505" w14:textId="77777777" w:rsidR="00B32EF2" w:rsidRDefault="00000000">
                              <w:r>
                                <w:rPr>
                                  <w:rFonts w:ascii="Arial" w:eastAsia="Arial" w:hAnsi="Arial" w:cs="Arial"/>
                                  <w:b/>
                                  <w:color w:val="181717"/>
                                </w:rPr>
                                <w:t>-</w:t>
                              </w:r>
                            </w:p>
                          </w:txbxContent>
                        </wps:txbx>
                        <wps:bodyPr horzOverflow="overflow" vert="horz" lIns="0" tIns="0" rIns="0" bIns="0" rtlCol="0">
                          <a:noAutofit/>
                        </wps:bodyPr>
                      </wps:wsp>
                      <wps:wsp>
                        <wps:cNvPr id="24302" name="Rectangle 24302"/>
                        <wps:cNvSpPr/>
                        <wps:spPr>
                          <a:xfrm rot="-10799999">
                            <a:off x="-1224639" y="1602917"/>
                            <a:ext cx="5216512" cy="185802"/>
                          </a:xfrm>
                          <a:prstGeom prst="rect">
                            <a:avLst/>
                          </a:prstGeom>
                          <a:ln>
                            <a:noFill/>
                          </a:ln>
                        </wps:spPr>
                        <wps:txbx>
                          <w:txbxContent>
                            <w:p w14:paraId="6A6730F6" w14:textId="77777777" w:rsidR="00B32EF2" w:rsidRDefault="00000000">
                              <w:r>
                                <w:rPr>
                                  <w:rFonts w:ascii="Arial" w:eastAsia="Arial" w:hAnsi="Arial" w:cs="Arial"/>
                                  <w:b/>
                                  <w:color w:val="181717"/>
                                </w:rPr>
                                <w:t>simario della Corte di Giustizia Tributaria di secondo grado della Campa</w:t>
                              </w:r>
                            </w:p>
                          </w:txbxContent>
                        </wps:txbx>
                        <wps:bodyPr horzOverflow="overflow" vert="horz" lIns="0" tIns="0" rIns="0" bIns="0" rtlCol="0">
                          <a:noAutofit/>
                        </wps:bodyPr>
                      </wps:wsp>
                      <wps:wsp>
                        <wps:cNvPr id="24303" name="Rectangle 24303"/>
                        <wps:cNvSpPr/>
                        <wps:spPr>
                          <a:xfrm rot="-10799999">
                            <a:off x="18959" y="1602917"/>
                            <a:ext cx="50724" cy="185801"/>
                          </a:xfrm>
                          <a:prstGeom prst="rect">
                            <a:avLst/>
                          </a:prstGeom>
                          <a:ln>
                            <a:noFill/>
                          </a:ln>
                        </wps:spPr>
                        <wps:txbx>
                          <w:txbxContent>
                            <w:p w14:paraId="67EDE079" w14:textId="77777777" w:rsidR="00B32EF2" w:rsidRDefault="00000000">
                              <w:r>
                                <w:rPr>
                                  <w:rFonts w:ascii="Arial" w:eastAsia="Arial" w:hAnsi="Arial" w:cs="Arial"/>
                                  <w:b/>
                                  <w:color w:val="181717"/>
                                </w:rPr>
                                <w:t>-</w:t>
                              </w:r>
                            </w:p>
                          </w:txbxContent>
                        </wps:txbx>
                        <wps:bodyPr horzOverflow="overflow" vert="horz" lIns="0" tIns="0" rIns="0" bIns="0" rtlCol="0">
                          <a:noAutofit/>
                        </wps:bodyPr>
                      </wps:wsp>
                      <wps:wsp>
                        <wps:cNvPr id="24304" name="Rectangle 24304"/>
                        <wps:cNvSpPr/>
                        <wps:spPr>
                          <a:xfrm rot="-10799999">
                            <a:off x="3729336" y="1442262"/>
                            <a:ext cx="262537" cy="185801"/>
                          </a:xfrm>
                          <a:prstGeom prst="rect">
                            <a:avLst/>
                          </a:prstGeom>
                          <a:ln>
                            <a:noFill/>
                          </a:ln>
                        </wps:spPr>
                        <wps:txbx>
                          <w:txbxContent>
                            <w:p w14:paraId="6B84FCB8" w14:textId="77777777" w:rsidR="00B32EF2" w:rsidRDefault="00000000">
                              <w:r>
                                <w:rPr>
                                  <w:rFonts w:ascii="Arial" w:eastAsia="Arial" w:hAnsi="Arial" w:cs="Arial"/>
                                  <w:b/>
                                  <w:color w:val="181717"/>
                                </w:rPr>
                                <w:t>nia.</w:t>
                              </w:r>
                            </w:p>
                          </w:txbxContent>
                        </wps:txbx>
                        <wps:bodyPr horzOverflow="overflow" vert="horz" lIns="0" tIns="0" rIns="0" bIns="0" rtlCol="0">
                          <a:noAutofit/>
                        </wps:bodyPr>
                      </wps:wsp>
                      <wps:wsp>
                        <wps:cNvPr id="24305" name="Rectangle 24305"/>
                        <wps:cNvSpPr/>
                        <wps:spPr>
                          <a:xfrm rot="-10799999">
                            <a:off x="2662838" y="1180045"/>
                            <a:ext cx="1329034" cy="185801"/>
                          </a:xfrm>
                          <a:prstGeom prst="rect">
                            <a:avLst/>
                          </a:prstGeom>
                          <a:ln>
                            <a:noFill/>
                          </a:ln>
                        </wps:spPr>
                        <wps:txbx>
                          <w:txbxContent>
                            <w:p w14:paraId="1C925B6B" w14:textId="77777777" w:rsidR="00B32EF2" w:rsidRDefault="00000000">
                              <w:r>
                                <w:rPr>
                                  <w:rFonts w:ascii="Arial" w:eastAsia="Arial" w:hAnsi="Arial" w:cs="Arial"/>
                                  <w:b/>
                                  <w:color w:val="009ED5"/>
                                </w:rPr>
                                <w:t>Gennaro Nunziato</w:t>
                              </w:r>
                            </w:p>
                          </w:txbxContent>
                        </wps:txbx>
                        <wps:bodyPr horzOverflow="overflow" vert="horz" lIns="0" tIns="0" rIns="0" bIns="0" rtlCol="0">
                          <a:noAutofit/>
                        </wps:bodyPr>
                      </wps:wsp>
                      <wps:wsp>
                        <wps:cNvPr id="24306" name="Rectangle 24306"/>
                        <wps:cNvSpPr/>
                        <wps:spPr>
                          <a:xfrm rot="-10799999">
                            <a:off x="-991379" y="1180045"/>
                            <a:ext cx="3996691" cy="185802"/>
                          </a:xfrm>
                          <a:prstGeom prst="rect">
                            <a:avLst/>
                          </a:prstGeom>
                          <a:ln>
                            <a:noFill/>
                          </a:ln>
                        </wps:spPr>
                        <wps:txbx>
                          <w:txbxContent>
                            <w:p w14:paraId="1C1769A6" w14:textId="77777777" w:rsidR="00B32EF2" w:rsidRDefault="00000000">
                              <w:r>
                                <w:rPr>
                                  <w:rFonts w:ascii="Arial" w:eastAsia="Arial" w:hAnsi="Arial" w:cs="Arial"/>
                                  <w:b/>
                                  <w:color w:val="181717"/>
                                </w:rPr>
                                <w:t xml:space="preserve">, Avvocato tributarista, Segretario della Camera degli </w:t>
                              </w:r>
                            </w:p>
                          </w:txbxContent>
                        </wps:txbx>
                        <wps:bodyPr horzOverflow="overflow" vert="horz" lIns="0" tIns="0" rIns="0" bIns="0" rtlCol="0">
                          <a:noAutofit/>
                        </wps:bodyPr>
                      </wps:wsp>
                      <wps:wsp>
                        <wps:cNvPr id="24307" name="Rectangle 24307"/>
                        <wps:cNvSpPr/>
                        <wps:spPr>
                          <a:xfrm rot="-10799999">
                            <a:off x="-1224249" y="1019390"/>
                            <a:ext cx="5216122" cy="185802"/>
                          </a:xfrm>
                          <a:prstGeom prst="rect">
                            <a:avLst/>
                          </a:prstGeom>
                          <a:ln>
                            <a:noFill/>
                          </a:ln>
                        </wps:spPr>
                        <wps:txbx>
                          <w:txbxContent>
                            <w:p w14:paraId="3D01DA5E" w14:textId="77777777" w:rsidR="00B32EF2" w:rsidRDefault="00000000">
                              <w:r>
                                <w:rPr>
                                  <w:rFonts w:ascii="Arial" w:eastAsia="Arial" w:hAnsi="Arial" w:cs="Arial"/>
                                  <w:b/>
                                  <w:color w:val="181717"/>
                                </w:rPr>
                                <w:t>Avvocati Tributaristi di Napoli. Docente di diritto tributario presso l’Uni</w:t>
                              </w:r>
                            </w:p>
                          </w:txbxContent>
                        </wps:txbx>
                        <wps:bodyPr horzOverflow="overflow" vert="horz" lIns="0" tIns="0" rIns="0" bIns="0" rtlCol="0">
                          <a:noAutofit/>
                        </wps:bodyPr>
                      </wps:wsp>
                      <wps:wsp>
                        <wps:cNvPr id="24308" name="Rectangle 24308"/>
                        <wps:cNvSpPr/>
                        <wps:spPr>
                          <a:xfrm rot="-10799999">
                            <a:off x="19252" y="1019391"/>
                            <a:ext cx="50724" cy="185801"/>
                          </a:xfrm>
                          <a:prstGeom prst="rect">
                            <a:avLst/>
                          </a:prstGeom>
                          <a:ln>
                            <a:noFill/>
                          </a:ln>
                        </wps:spPr>
                        <wps:txbx>
                          <w:txbxContent>
                            <w:p w14:paraId="5CADE629" w14:textId="77777777" w:rsidR="00B32EF2" w:rsidRDefault="00000000">
                              <w:r>
                                <w:rPr>
                                  <w:rFonts w:ascii="Arial" w:eastAsia="Arial" w:hAnsi="Arial" w:cs="Arial"/>
                                  <w:b/>
                                  <w:color w:val="181717"/>
                                </w:rPr>
                                <w:t>-</w:t>
                              </w:r>
                            </w:p>
                          </w:txbxContent>
                        </wps:txbx>
                        <wps:bodyPr horzOverflow="overflow" vert="horz" lIns="0" tIns="0" rIns="0" bIns="0" rtlCol="0">
                          <a:noAutofit/>
                        </wps:bodyPr>
                      </wps:wsp>
                      <wps:wsp>
                        <wps:cNvPr id="24309" name="Rectangle 24309"/>
                        <wps:cNvSpPr/>
                        <wps:spPr>
                          <a:xfrm rot="-10799999">
                            <a:off x="-1317731" y="858735"/>
                            <a:ext cx="5310861" cy="185802"/>
                          </a:xfrm>
                          <a:prstGeom prst="rect">
                            <a:avLst/>
                          </a:prstGeom>
                          <a:ln>
                            <a:noFill/>
                          </a:ln>
                        </wps:spPr>
                        <wps:txbx>
                          <w:txbxContent>
                            <w:p w14:paraId="05A4A841" w14:textId="77777777" w:rsidR="00B32EF2" w:rsidRDefault="00000000">
                              <w:r>
                                <w:rPr>
                                  <w:rFonts w:ascii="Arial" w:eastAsia="Arial" w:hAnsi="Arial" w:cs="Arial"/>
                                  <w:b/>
                                  <w:color w:val="181717"/>
                                </w:rPr>
                                <w:t xml:space="preserve">versità degli Studi di Napoli Parthenope – Scuola di Specializzazione per </w:t>
                              </w:r>
                            </w:p>
                          </w:txbxContent>
                        </wps:txbx>
                        <wps:bodyPr horzOverflow="overflow" vert="horz" lIns="0" tIns="0" rIns="0" bIns="0" rtlCol="0">
                          <a:noAutofit/>
                        </wps:bodyPr>
                      </wps:wsp>
                      <wps:wsp>
                        <wps:cNvPr id="24310" name="Rectangle 24310"/>
                        <wps:cNvSpPr/>
                        <wps:spPr>
                          <a:xfrm rot="-10799999">
                            <a:off x="-1317261" y="698080"/>
                            <a:ext cx="5309134" cy="185802"/>
                          </a:xfrm>
                          <a:prstGeom prst="rect">
                            <a:avLst/>
                          </a:prstGeom>
                          <a:ln>
                            <a:noFill/>
                          </a:ln>
                        </wps:spPr>
                        <wps:txbx>
                          <w:txbxContent>
                            <w:p w14:paraId="1EDCC70E" w14:textId="77777777" w:rsidR="00B32EF2" w:rsidRDefault="00000000">
                              <w:r>
                                <w:rPr>
                                  <w:rFonts w:ascii="Arial" w:eastAsia="Arial" w:hAnsi="Arial" w:cs="Arial"/>
                                  <w:b/>
                                  <w:color w:val="181717"/>
                                </w:rPr>
                                <w:t xml:space="preserve">le Professioni Legali. E’ stato coordinatore del Comitato Scientifico del </w:t>
                              </w:r>
                            </w:p>
                          </w:txbxContent>
                        </wps:txbx>
                        <wps:bodyPr horzOverflow="overflow" vert="horz" lIns="0" tIns="0" rIns="0" bIns="0" rtlCol="0">
                          <a:noAutofit/>
                        </wps:bodyPr>
                      </wps:wsp>
                      <wps:wsp>
                        <wps:cNvPr id="24311" name="Rectangle 24311"/>
                        <wps:cNvSpPr/>
                        <wps:spPr>
                          <a:xfrm rot="-10799999">
                            <a:off x="-1224676" y="537425"/>
                            <a:ext cx="5216549" cy="185802"/>
                          </a:xfrm>
                          <a:prstGeom prst="rect">
                            <a:avLst/>
                          </a:prstGeom>
                          <a:ln>
                            <a:noFill/>
                          </a:ln>
                        </wps:spPr>
                        <wps:txbx>
                          <w:txbxContent>
                            <w:p w14:paraId="55611D3C" w14:textId="77777777" w:rsidR="00B32EF2" w:rsidRDefault="00000000">
                              <w:r>
                                <w:rPr>
                                  <w:rFonts w:ascii="Arial" w:eastAsia="Arial" w:hAnsi="Arial" w:cs="Arial"/>
                                  <w:b/>
                                  <w:color w:val="181717"/>
                                </w:rPr>
                                <w:t>gruppo della Corte di Giustizia Tributaria di primo grado di Napoli dell’Uf</w:t>
                              </w:r>
                            </w:p>
                          </w:txbxContent>
                        </wps:txbx>
                        <wps:bodyPr horzOverflow="overflow" vert="horz" lIns="0" tIns="0" rIns="0" bIns="0" rtlCol="0">
                          <a:noAutofit/>
                        </wps:bodyPr>
                      </wps:wsp>
                      <wps:wsp>
                        <wps:cNvPr id="24312" name="Rectangle 24312"/>
                        <wps:cNvSpPr/>
                        <wps:spPr>
                          <a:xfrm rot="-10799999">
                            <a:off x="18931" y="537426"/>
                            <a:ext cx="50724" cy="185801"/>
                          </a:xfrm>
                          <a:prstGeom prst="rect">
                            <a:avLst/>
                          </a:prstGeom>
                          <a:ln>
                            <a:noFill/>
                          </a:ln>
                        </wps:spPr>
                        <wps:txbx>
                          <w:txbxContent>
                            <w:p w14:paraId="0DEC474C" w14:textId="77777777" w:rsidR="00B32EF2" w:rsidRDefault="00000000">
                              <w:r>
                                <w:rPr>
                                  <w:rFonts w:ascii="Arial" w:eastAsia="Arial" w:hAnsi="Arial" w:cs="Arial"/>
                                  <w:b/>
                                  <w:color w:val="181717"/>
                                </w:rPr>
                                <w:t>-</w:t>
                              </w:r>
                            </w:p>
                          </w:txbxContent>
                        </wps:txbx>
                        <wps:bodyPr horzOverflow="overflow" vert="horz" lIns="0" tIns="0" rIns="0" bIns="0" rtlCol="0">
                          <a:noAutofit/>
                        </wps:bodyPr>
                      </wps:wsp>
                      <wps:wsp>
                        <wps:cNvPr id="24313" name="Rectangle 24313"/>
                        <wps:cNvSpPr/>
                        <wps:spPr>
                          <a:xfrm rot="-10799999">
                            <a:off x="2493015" y="376771"/>
                            <a:ext cx="1498857" cy="185801"/>
                          </a:xfrm>
                          <a:prstGeom prst="rect">
                            <a:avLst/>
                          </a:prstGeom>
                          <a:ln>
                            <a:noFill/>
                          </a:ln>
                        </wps:spPr>
                        <wps:txbx>
                          <w:txbxContent>
                            <w:p w14:paraId="5DFE199A" w14:textId="77777777" w:rsidR="00B32EF2" w:rsidRDefault="00000000">
                              <w:r>
                                <w:rPr>
                                  <w:rFonts w:ascii="Arial" w:eastAsia="Arial" w:hAnsi="Arial" w:cs="Arial"/>
                                  <w:b/>
                                  <w:color w:val="181717"/>
                                </w:rPr>
                                <w:t>ficio del Massimario.</w:t>
                              </w:r>
                            </w:p>
                          </w:txbxContent>
                        </wps:txbx>
                        <wps:bodyPr horzOverflow="overflow" vert="horz" lIns="0" tIns="0" rIns="0" bIns="0" rtlCol="0">
                          <a:noAutofit/>
                        </wps:bodyPr>
                      </wps:wsp>
                      <wps:wsp>
                        <wps:cNvPr id="24314" name="Rectangle 24314"/>
                        <wps:cNvSpPr/>
                        <wps:spPr>
                          <a:xfrm rot="-10799999">
                            <a:off x="3142761" y="114554"/>
                            <a:ext cx="849110" cy="185801"/>
                          </a:xfrm>
                          <a:prstGeom prst="rect">
                            <a:avLst/>
                          </a:prstGeom>
                          <a:ln>
                            <a:noFill/>
                          </a:ln>
                        </wps:spPr>
                        <wps:txbx>
                          <w:txbxContent>
                            <w:p w14:paraId="5BCF22FD" w14:textId="77777777" w:rsidR="00B32EF2" w:rsidRDefault="00000000">
                              <w:r>
                                <w:rPr>
                                  <w:rFonts w:ascii="Arial" w:eastAsia="Arial" w:hAnsi="Arial" w:cs="Arial"/>
                                  <w:b/>
                                  <w:color w:val="009ED5"/>
                                </w:rPr>
                                <w:t>Maria Laghi</w:t>
                              </w:r>
                            </w:p>
                          </w:txbxContent>
                        </wps:txbx>
                        <wps:bodyPr horzOverflow="overflow" vert="horz" lIns="0" tIns="0" rIns="0" bIns="0" rtlCol="0">
                          <a:noAutofit/>
                        </wps:bodyPr>
                      </wps:wsp>
                      <wps:wsp>
                        <wps:cNvPr id="24315" name="Rectangle 24315"/>
                        <wps:cNvSpPr/>
                        <wps:spPr>
                          <a:xfrm rot="-10799999">
                            <a:off x="-1106937" y="114554"/>
                            <a:ext cx="4462197" cy="185801"/>
                          </a:xfrm>
                          <a:prstGeom prst="rect">
                            <a:avLst/>
                          </a:prstGeom>
                          <a:ln>
                            <a:noFill/>
                          </a:ln>
                        </wps:spPr>
                        <wps:txbx>
                          <w:txbxContent>
                            <w:p w14:paraId="65595FA5" w14:textId="77777777" w:rsidR="00B32EF2" w:rsidRDefault="00000000">
                              <w:r>
                                <w:rPr>
                                  <w:rFonts w:ascii="Arial" w:eastAsia="Arial" w:hAnsi="Arial" w:cs="Arial"/>
                                  <w:b/>
                                  <w:color w:val="181717"/>
                                </w:rPr>
                                <w:t xml:space="preserve">, dott.ssa in Giurisprudenza, praticante avvocato tributarista, </w:t>
                              </w:r>
                            </w:p>
                          </w:txbxContent>
                        </wps:txbx>
                        <wps:bodyPr horzOverflow="overflow" vert="horz" lIns="0" tIns="0" rIns="0" bIns="0" rtlCol="0">
                          <a:noAutofit/>
                        </wps:bodyPr>
                      </wps:wsp>
                      <wps:wsp>
                        <wps:cNvPr id="24316" name="Rectangle 24316"/>
                        <wps:cNvSpPr/>
                        <wps:spPr>
                          <a:xfrm rot="-10799999">
                            <a:off x="-868309" y="-46100"/>
                            <a:ext cx="4860183" cy="185801"/>
                          </a:xfrm>
                          <a:prstGeom prst="rect">
                            <a:avLst/>
                          </a:prstGeom>
                          <a:ln>
                            <a:noFill/>
                          </a:ln>
                        </wps:spPr>
                        <wps:txbx>
                          <w:txbxContent>
                            <w:p w14:paraId="7CEBB190" w14:textId="77777777" w:rsidR="00B32EF2" w:rsidRDefault="00000000">
                              <w:r>
                                <w:rPr>
                                  <w:rFonts w:ascii="Arial" w:eastAsia="Arial" w:hAnsi="Arial" w:cs="Arial"/>
                                  <w:b/>
                                  <w:color w:val="181717"/>
                                </w:rPr>
                                <w:t xml:space="preserve">ha frequentato il corso di preparazione alla magistratura tributaria. </w:t>
                              </w:r>
                            </w:p>
                          </w:txbxContent>
                        </wps:txbx>
                        <wps:bodyPr horzOverflow="overflow" vert="horz" lIns="0" tIns="0" rIns="0" bIns="0" rtlCol="0">
                          <a:noAutofit/>
                        </wps:bodyPr>
                      </wps:wsp>
                    </wpg:wgp>
                  </a:graphicData>
                </a:graphic>
              </wp:inline>
            </w:drawing>
          </mc:Choice>
          <mc:Fallback>
            <w:pict>
              <v:group w14:anchorId="66D9C79C" id="Group 202487" o:spid="_x0000_s7469" style="width:314.3pt;height:199.45pt;mso-position-horizontal-relative:char;mso-position-vertical-relative:line" coordsize="39918,25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wxl9QQAAL8qAAAOAAAAZHJzL2Uyb0RvYy54bWzkmttupDYYx+8r7Tsg7ifjAxgzymS16naj&#10;SlV31W0fgDDMQWIwMiQz6dP3bwNOJrFaiZWGSuSCgGGM/f38HfHtx/OxDJ4K3RxUtQ7pDQmDosrV&#10;5lDt1uFff35ZyDBo2qzaZKWqinX4XDThx7sPP92e6lXB1F6Vm0IH6KRqVqd6He7btl4tl02+L45Z&#10;c6PqosLNrdLHrMWl3i03Ojuh92O5ZISI5UnpTa1VXjQNWj93N8M72/92W+Tt1+22KdqgXIcYW2uP&#10;2h4fzHF5d5utdjqr94e8H0Y2YhTH7FDhpa6rz1mbBY/68K6r4yHXqlHb9iZXx6Xabg95YeeA2VDy&#10;Zjb3Wj3Wdi671WlXOzFBtG/kNLrb/Pene11/r79pSOJU7yALe2Xmct7qo/mPUQZnK7JnJ7Li3AY5&#10;GnmaUpmwMMhxj8WcpaQXar6H5N/9Lt//8h+/XA4vXl4M51RjgTQvMmh+TAbf91ldWNE2K8jgmw4O&#10;G0wgYqkIgyo7Yqn+gcWTVbuyCLpmKyD7tBNXs2oguUFWgVZYXwtKktT82fXQy46JGF1DTEZKPEoI&#10;btulN8iRcp7EknZypDKWhJoHnDCyVa2b9r5Qx8CcrEON0dk3ZE+/NW336PCIGVBZmWOlvhzKsrtr&#10;WiDTYczmrD0/nO3EBZXcvM80PqjNM+SxV/rvr9DsbalO61D1Z6FRdrze3A2D8tcKHIxeDSd6OHkY&#10;TnRb/qys9nUD+vTYqu3Bjvjlbf3IALgbw1VIJ37SySAIrIsRpKWISRR3pImMpGRvSFMmJMO7jcZM&#10;QjoaJjgb0nBCPp2WgyBGkYai8yRh6NsotQ91RCXjojeOFrVdC1dU6niY4WxQp37U1twaezMSNacJ&#10;SzvUNIU/gALDXGarwX7HnKQ0eW2/r41azAw1R6Dh0WrT3DuykagZi2jSGXCaCB4jurlEzaggEdaC&#10;M+DXRu081Ey0miMY8qK2MdJoraYplNZabz9nkrDoFeVrB2TOO82GMjzlezfNiVWv0ZQXFAoteA9a&#10;EAY7/V6hYzqlm3beaTaouR+1S0JG2W4q0/jfOE+r0KlzTLOhDPPpU2iXgIyizBGJcY403eRPEUIx&#10;RNgXDhoNMZ8wwUqdW5oNaIRLPtAu/RgFmgnBJO+DbiqJSasvQFNTbuIT+mhUdPpYczakveUxTlz2&#10;MYr0AlVEnvSm20caZUYhoFeTxdyp80yzIe0tj3Hiko9xpE00xqIeNUEI3rnFV5k00is8NCFq555m&#10;gxo21me+XQYyCjXqJDEwGi9tOVuv+IrzxNGY802zoQyl81F2yccoyguK0ljCYZoBGt8tEv7GScec&#10;EimmNN3ON82FNPVXxtDcRyvjSTNDEqRFKonsv/Rd1EAvwrErF8ZS55tmQxo0PDpNXQYykrQpmSRd&#10;ioVUKmJvdRo+OjZOfKoSKErxMwu8TX3KR9plIKNIo2LSm26L2VrK/4+Ldp5pNursL4tRl3yMgoxw&#10;GxX07osGT0SCz1SXaXSUShlPVzDBPp7ZabO/MkZd6jEKNKcRS3oHTWkUx7a7F32WUUpNbOCstl0I&#10;V/scjR1Os+PsL4xBGX8sEqNEpKbEaZIrD+goEowiGpqOtHNLszHd/sIYdcnHKI1eSCGHj5SLSNBh&#10;c90QckdSELN1azrQzjVNDdpuF8QuSbtprt/RabZhvr6228xe9p3e/QMAAP//AwBQSwMEFAAGAAgA&#10;AAAhABUxIgDdAAAABQEAAA8AAABkcnMvZG93bnJldi54bWxMj0FLw0AQhe+C/2EZwZvdpMWQptmU&#10;UtRTEWwF6W2anSah2dmQ3Sbpv3f1opeBx3u8902+nkwrBupdY1lBPItAEJdWN1wp+Dy8PqUgnEfW&#10;2FomBTdysC7u73LMtB35g4a9r0QoYZehgtr7LpPSlTUZdDPbEQfvbHuDPsi+krrHMZSbVs6jKJEG&#10;Gw4LNXa0ram87K9GwduI42YRvwy7y3l7Ox6e3792MSn1+DBtViA8Tf4vDD/4AR2KwHSyV9ZOtArC&#10;I/73Bi+ZpwmIk4LFMl2CLHL5n774BgAA//8DAFBLAQItABQABgAIAAAAIQC2gziS/gAAAOEBAAAT&#10;AAAAAAAAAAAAAAAAAAAAAABbQ29udGVudF9UeXBlc10ueG1sUEsBAi0AFAAGAAgAAAAhADj9If/W&#10;AAAAlAEAAAsAAAAAAAAAAAAAAAAALwEAAF9yZWxzLy5yZWxzUEsBAi0AFAAGAAgAAAAhAB6PDGX1&#10;BAAAvyoAAA4AAAAAAAAAAAAAAAAALgIAAGRycy9lMm9Eb2MueG1sUEsBAi0AFAAGAAgAAAAhABUx&#10;IgDdAAAABQEAAA8AAAAAAAAAAAAAAAAATwcAAGRycy9kb3ducmV2LnhtbFBLBQYAAAAABAAEAPMA&#10;AABZCAAAAAA=&#10;">
                <v:rect id="Rectangle 24296" o:spid="_x0000_s7470" style="position:absolute;left:26542;top:23470;width:13376;height:185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Yj2xwAAAN4AAAAPAAAAZHJzL2Rvd25yZXYueG1sRI9Ba8JA&#10;FITvBf/D8oTedNNQxKauUhQxBy9VCz0+ss8kmn27ZFcT/fVuQehxmJlvmNmiN424UutrywrexgkI&#10;4sLqmksFh/16NAXhA7LGxjIpuJGHxXzwMsNM246/6boLpYgQ9hkqqEJwmZS+qMigH1tHHL2jbQ2G&#10;KNtS6ha7CDeNTJNkIg3WHBcqdLSsqDjvLkbB74pdvu5kcbwv3faUT5vN5fCj1Ouw//oEEagP/+Fn&#10;O9cK0vf0YwJ/d+IVkPMHAAAA//8DAFBLAQItABQABgAIAAAAIQDb4fbL7gAAAIUBAAATAAAAAAAA&#10;AAAAAAAAAAAAAABbQ29udGVudF9UeXBlc10ueG1sUEsBAi0AFAAGAAgAAAAhAFr0LFu/AAAAFQEA&#10;AAsAAAAAAAAAAAAAAAAAHwEAAF9yZWxzLy5yZWxzUEsBAi0AFAAGAAgAAAAhAJG1iPbHAAAA3gAA&#10;AA8AAAAAAAAAAAAAAAAABwIAAGRycy9kb3ducmV2LnhtbFBLBQYAAAAAAwADALcAAAD7AgAAAAA=&#10;" filled="f" stroked="f">
                  <v:textbox inset="0,0,0,0">
                    <w:txbxContent>
                      <w:p w14:paraId="306BCBEA" w14:textId="77777777" w:rsidR="00B32EF2" w:rsidRDefault="00000000">
                        <w:r>
                          <w:rPr>
                            <w:rFonts w:ascii="Arial" w:eastAsia="Arial" w:hAnsi="Arial" w:cs="Arial"/>
                            <w:b/>
                            <w:color w:val="181717"/>
                          </w:rPr>
                          <w:t>Hanno collaborato</w:t>
                        </w:r>
                      </w:p>
                    </w:txbxContent>
                  </v:textbox>
                </v:rect>
                <v:rect id="Rectangle 24297" o:spid="_x0000_s7471" style="position:absolute;left:28650;top:20848;width:11268;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txwAAAN4AAAAPAAAAZHJzL2Rvd25yZXYueG1sRI9Ba8JA&#10;FITvgv9heUJvumkoNk1dRRRpDr1oLfT4yD6TtNm3S3Y1qb++KxQ8DjPzDbNYDaYVF+p8Y1nB4ywB&#10;QVxa3XCl4Pixm2YgfEDW2FomBb/kYbUcjxaYa9vzni6HUIkIYZ+jgjoEl0vpy5oM+pl1xNE72c5g&#10;iLKrpO6wj3DTyjRJ5tJgw3GhRkebmsqfw9ko+NqyK3a9LE/XjXv/LrL27Xz8VOphMqxfQQQawj38&#10;3y60gvQpfXmG2514BeTyDwAA//8DAFBLAQItABQABgAIAAAAIQDb4fbL7gAAAIUBAAATAAAAAAAA&#10;AAAAAAAAAAAAAABbQ29udGVudF9UeXBlc10ueG1sUEsBAi0AFAAGAAgAAAAhAFr0LFu/AAAAFQEA&#10;AAsAAAAAAAAAAAAAAAAAHwEAAF9yZWxzLy5yZWxzUEsBAi0AFAAGAAgAAAAhAP75LW3HAAAA3gAA&#10;AA8AAAAAAAAAAAAAAAAABwIAAGRycy9kb3ducmV2LnhtbFBLBQYAAAAAAwADALcAAAD7AgAAAAA=&#10;" filled="f" stroked="f">
                  <v:textbox inset="0,0,0,0">
                    <w:txbxContent>
                      <w:p w14:paraId="27797401" w14:textId="77777777" w:rsidR="00B32EF2" w:rsidRDefault="00000000">
                        <w:r>
                          <w:rPr>
                            <w:rFonts w:ascii="Arial" w:eastAsia="Arial" w:hAnsi="Arial" w:cs="Arial"/>
                            <w:b/>
                            <w:color w:val="009ED5"/>
                          </w:rPr>
                          <w:t>Lorena Di Fiore</w:t>
                        </w:r>
                      </w:p>
                    </w:txbxContent>
                  </v:textbox>
                </v:rect>
                <v:rect id="Rectangle 24298" o:spid="_x0000_s7472" style="position:absolute;left:-10377;top:20848;width:41823;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rkfxAAAAN4AAAAPAAAAZHJzL2Rvd25yZXYueG1sRE/LasJA&#10;FN0X/IfhCt3VSUMpGp1IsUiz6KY+wOUlc/PQzJ0hM5ro13cWhS4P571aj6YTN+p9a1nB6ywBQVxa&#10;3XKt4LDfvsxB+ICssbNMCu7kYZ1PnlaYaTvwD912oRYxhH2GCpoQXCalLxsy6GfWEUeusr3BEGFf&#10;S93jEMNNJ9MkeZcGW44NDTraNFRedlej4PTJrtgOsqweG/d9Lubd1/VwVOp5On4sQQQaw7/4z11o&#10;Belbuoh74514BWT+CwAA//8DAFBLAQItABQABgAIAAAAIQDb4fbL7gAAAIUBAAATAAAAAAAAAAAA&#10;AAAAAAAAAABbQ29udGVudF9UeXBlc10ueG1sUEsBAi0AFAAGAAgAAAAhAFr0LFu/AAAAFQEAAAsA&#10;AAAAAAAAAAAAAAAAHwEAAF9yZWxzLy5yZWxzUEsBAi0AFAAGAAgAAAAhAI9muR/EAAAA3gAAAA8A&#10;AAAAAAAAAAAAAAAABwIAAGRycy9kb3ducmV2LnhtbFBLBQYAAAAAAwADALcAAAD4AgAAAAA=&#10;" filled="f" stroked="f">
                  <v:textbox inset="0,0,0,0">
                    <w:txbxContent>
                      <w:p w14:paraId="1069409A" w14:textId="77777777" w:rsidR="00B32EF2" w:rsidRDefault="00000000">
                        <w:r>
                          <w:rPr>
                            <w:rFonts w:ascii="Arial" w:eastAsia="Arial" w:hAnsi="Arial" w:cs="Arial"/>
                            <w:b/>
                            <w:color w:val="181717"/>
                          </w:rPr>
                          <w:t xml:space="preserve">, Avvocato specialista in diritto tributario ai sensi del DM </w:t>
                        </w:r>
                      </w:p>
                    </w:txbxContent>
                  </v:textbox>
                </v:rect>
                <v:rect id="Rectangle 24299" o:spid="_x0000_s7473" style="position:absolute;left:-13172;top:19242;width:53090;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hyExwAAAN4AAAAPAAAAZHJzL2Rvd25yZXYueG1sRI9Pa8JA&#10;FMTvgt9heYI33TRI0egqxSLNoZf6Bzw+ss8kbfbtkl1N2k/fFQSPw8z8hlltetOIG7W+tqzgZZqA&#10;IC6srrlUcDzsJnMQPiBrbCyTgl/ysFkPByvMtO34i277UIoIYZ+hgioEl0npi4oM+ql1xNG72NZg&#10;iLItpW6xi3DTyDRJXqXBmuNChY62FRU/+6tRcH5nl+86WVz+tu7zO583H9fjSanxqH9bggjUh2f4&#10;0c61gnSWLhZwvxOvgFz/AwAA//8DAFBLAQItABQABgAIAAAAIQDb4fbL7gAAAIUBAAATAAAAAAAA&#10;AAAAAAAAAAAAAABbQ29udGVudF9UeXBlc10ueG1sUEsBAi0AFAAGAAgAAAAhAFr0LFu/AAAAFQEA&#10;AAsAAAAAAAAAAAAAAAAAHwEAAF9yZWxzLy5yZWxzUEsBAi0AFAAGAAgAAAAhAOAqHITHAAAA3gAA&#10;AA8AAAAAAAAAAAAAAAAABwIAAGRycy9kb3ducmV2LnhtbFBLBQYAAAAAAwADALcAAAD7AgAAAAA=&#10;" filled="f" stroked="f">
                  <v:textbox inset="0,0,0,0">
                    <w:txbxContent>
                      <w:p w14:paraId="1F557737" w14:textId="77777777" w:rsidR="00B32EF2" w:rsidRDefault="00000000">
                        <w:r>
                          <w:rPr>
                            <w:rFonts w:ascii="Arial" w:eastAsia="Arial" w:hAnsi="Arial" w:cs="Arial"/>
                            <w:b/>
                            <w:color w:val="181717"/>
                          </w:rPr>
                          <w:t xml:space="preserve">n.144/2015, dottore di ricerca in diritto tributario Università Federico II </w:t>
                        </w:r>
                      </w:p>
                    </w:txbxContent>
                  </v:textbox>
                </v:rect>
                <v:rect id="Rectangle 24300" o:spid="_x0000_s7474" style="position:absolute;left:-12241;top:17635;width:52159;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8DxQAAAN4AAAAPAAAAZHJzL2Rvd25yZXYueG1sRI/LisIw&#10;FIb3gu8QjuBOUx0ZpBpFFJkuZjNewOWhObbV5iQ00dZ5erMYmOXPf+NbrjtTiyc1vrKsYDJOQBDn&#10;VldcKDgd96M5CB+QNdaWScGLPKxX/d4SU21b/qHnIRQijrBPUUEZgkul9HlJBv3YOuLoXW1jMETZ&#10;FFI32MZxU8tpknxKgxXHhxIdbUvK74eHUXDZscv2rcyvv1v3fcvm9dfjdFZqOOg2CxCBuvAf/mtn&#10;WsF09pFEgIgTUUCu3gAAAP//AwBQSwECLQAUAAYACAAAACEA2+H2y+4AAACFAQAAEwAAAAAAAAAA&#10;AAAAAAAAAAAAW0NvbnRlbnRfVHlwZXNdLnhtbFBLAQItABQABgAIAAAAIQBa9CxbvwAAABUBAAAL&#10;AAAAAAAAAAAAAAAAAB8BAABfcmVscy8ucmVsc1BLAQItABQABgAIAAAAIQDv+y8DxQAAAN4AAAAP&#10;AAAAAAAAAAAAAAAAAAcCAABkcnMvZG93bnJldi54bWxQSwUGAAAAAAMAAwC3AAAA+QIAAAAA&#10;" filled="f" stroked="f">
                  <v:textbox inset="0,0,0,0">
                    <w:txbxContent>
                      <w:p w14:paraId="0E0FE128" w14:textId="77777777" w:rsidR="00B32EF2" w:rsidRDefault="00000000">
                        <w:r>
                          <w:rPr>
                            <w:rFonts w:ascii="Arial" w:eastAsia="Arial" w:hAnsi="Arial" w:cs="Arial"/>
                            <w:b/>
                            <w:color w:val="181717"/>
                          </w:rPr>
                          <w:t>Napoli. E’ stata componente del Comitato Scientifico dell’Ufficio del Mas</w:t>
                        </w:r>
                      </w:p>
                    </w:txbxContent>
                  </v:textbox>
                </v:rect>
                <v:rect id="Rectangle 24301" o:spid="_x0000_s7475" style="position:absolute;left:193;top:17635;width:507;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4qYxgAAAN4AAAAPAAAAZHJzL2Rvd25yZXYueG1sRI9Ba8JA&#10;FITvBf/D8gre6kYrRaKrFEWagxetBY+P7DOJZt8u2dVEf70rFDwOM/MNM1t0phZXanxlWcFwkIAg&#10;zq2uuFCw/11/TED4gKyxtkwKbuRhMe+9zTDVtuUtXXehEBHCPkUFZQguldLnJRn0A+uIo3e0jcEQ&#10;ZVNI3WAb4aaWoyT5kgYrjgslOlqWlJ93F6PgsGKXrVuZH+9Ltzllk/rnsv9Tqv/efU9BBOrCK/zf&#10;zrSC0fgzGcLzTrwCcv4AAAD//wMAUEsBAi0AFAAGAAgAAAAhANvh9svuAAAAhQEAABMAAAAAAAAA&#10;AAAAAAAAAAAAAFtDb250ZW50X1R5cGVzXS54bWxQSwECLQAUAAYACAAAACEAWvQsW78AAAAVAQAA&#10;CwAAAAAAAAAAAAAAAAAfAQAAX3JlbHMvLnJlbHNQSwECLQAUAAYACAAAACEAgLeKmMYAAADeAAAA&#10;DwAAAAAAAAAAAAAAAAAHAgAAZHJzL2Rvd25yZXYueG1sUEsFBgAAAAADAAMAtwAAAPoCAAAAAA==&#10;" filled="f" stroked="f">
                  <v:textbox inset="0,0,0,0">
                    <w:txbxContent>
                      <w:p w14:paraId="5987F505" w14:textId="77777777" w:rsidR="00B32EF2" w:rsidRDefault="00000000">
                        <w:r>
                          <w:rPr>
                            <w:rFonts w:ascii="Arial" w:eastAsia="Arial" w:hAnsi="Arial" w:cs="Arial"/>
                            <w:b/>
                            <w:color w:val="181717"/>
                          </w:rPr>
                          <w:t>-</w:t>
                        </w:r>
                      </w:p>
                    </w:txbxContent>
                  </v:textbox>
                </v:rect>
                <v:rect id="Rectangle 24302" o:spid="_x0000_s7476" style="position:absolute;left:-12246;top:16029;width:52164;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RTvxgAAAN4AAAAPAAAAZHJzL2Rvd25yZXYueG1sRI9Ba8JA&#10;FITvBf/D8gRvdWNaikRXEUWag5daBY+P7DOJZt8u2dVEf323UOhxmJlvmPmyN424U+trywom4wQE&#10;cWF1zaWCw/f2dQrCB2SNjWVS8CAPy8XgZY6Zth1/0X0fShEh7DNUUIXgMil9UZFBP7aOOHpn2xoM&#10;Ubal1C12EW4amSbJhzRYc1yo0NG6ouK6vxkFpw27fNvJ4vxcu90lnzaft8NRqdGwX81ABOrDf/iv&#10;nWsF6ftbksLvnXgF5OIHAAD//wMAUEsBAi0AFAAGAAgAAAAhANvh9svuAAAAhQEAABMAAAAAAAAA&#10;AAAAAAAAAAAAAFtDb250ZW50X1R5cGVzXS54bWxQSwECLQAUAAYACAAAACEAWvQsW78AAAAVAQAA&#10;CwAAAAAAAAAAAAAAAAAfAQAAX3JlbHMvLnJlbHNQSwECLQAUAAYACAAAACEAcGUU78YAAADeAAAA&#10;DwAAAAAAAAAAAAAAAAAHAgAAZHJzL2Rvd25yZXYueG1sUEsFBgAAAAADAAMAtwAAAPoCAAAAAA==&#10;" filled="f" stroked="f">
                  <v:textbox inset="0,0,0,0">
                    <w:txbxContent>
                      <w:p w14:paraId="6A6730F6" w14:textId="77777777" w:rsidR="00B32EF2" w:rsidRDefault="00000000">
                        <w:r>
                          <w:rPr>
                            <w:rFonts w:ascii="Arial" w:eastAsia="Arial" w:hAnsi="Arial" w:cs="Arial"/>
                            <w:b/>
                            <w:color w:val="181717"/>
                          </w:rPr>
                          <w:t>simario della Corte di Giustizia Tributaria di secondo grado della Campa</w:t>
                        </w:r>
                      </w:p>
                    </w:txbxContent>
                  </v:textbox>
                </v:rect>
                <v:rect id="Rectangle 24303" o:spid="_x0000_s7477" style="position:absolute;left:189;top:16029;width:507;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bF0xwAAAN4AAAAPAAAAZHJzL2Rvd25yZXYueG1sRI9Pi8Iw&#10;FMTvC36H8ARva7q6LFKNsihiD17WP+Dx0TzbavMSmmirn36zsOBxmJnfMLNFZ2pxp8ZXlhV8DBMQ&#10;xLnVFRcKDvv1+wSED8gaa8uk4EEeFvPe2wxTbVv+ofsuFCJC2KeooAzBpVL6vCSDfmgdcfTOtjEY&#10;omwKqRtsI9zUcpQkX9JgxXGhREfLkvLr7mYUnFbssnUr8/Nz6baXbFJvboejUoN+9z0FEagLr/B/&#10;O9MKRp/jZAx/d+IVkPNfAAAA//8DAFBLAQItABQABgAIAAAAIQDb4fbL7gAAAIUBAAATAAAAAAAA&#10;AAAAAAAAAAAAAABbQ29udGVudF9UeXBlc10ueG1sUEsBAi0AFAAGAAgAAAAhAFr0LFu/AAAAFQEA&#10;AAsAAAAAAAAAAAAAAAAAHwEAAF9yZWxzLy5yZWxzUEsBAi0AFAAGAAgAAAAhAB8psXTHAAAA3gAA&#10;AA8AAAAAAAAAAAAAAAAABwIAAGRycy9kb3ducmV2LnhtbFBLBQYAAAAAAwADALcAAAD7AgAAAAA=&#10;" filled="f" stroked="f">
                  <v:textbox inset="0,0,0,0">
                    <w:txbxContent>
                      <w:p w14:paraId="67EDE079" w14:textId="77777777" w:rsidR="00B32EF2" w:rsidRDefault="00000000">
                        <w:r>
                          <w:rPr>
                            <w:rFonts w:ascii="Arial" w:eastAsia="Arial" w:hAnsi="Arial" w:cs="Arial"/>
                            <w:b/>
                            <w:color w:val="181717"/>
                          </w:rPr>
                          <w:t>-</w:t>
                        </w:r>
                      </w:p>
                    </w:txbxContent>
                  </v:textbox>
                </v:rect>
                <v:rect id="Rectangle 24304" o:spid="_x0000_s7478" style="position:absolute;left:37293;top:14422;width:2625;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CkAxwAAAN4AAAAPAAAAZHJzL2Rvd25yZXYueG1sRI9Pi8Iw&#10;FMTvgt8hPGFvmq4ri1SjLIrYw17WP+Dx0TzbavMSmmirn36zsOBxmJnfMPNlZ2pxp8ZXlhW8jxIQ&#10;xLnVFRcKDvvNcArCB2SNtWVS8CAPy0W/N8dU25Z/6L4LhYgQ9ikqKENwqZQ+L8mgH1lHHL2zbQyG&#10;KJtC6gbbCDe1HCfJpzRYcVwo0dGqpPy6uxkFpzW7bNPK/Pxcue9LNq23t8NRqbdB9zUDEagLr/B/&#10;O9MKxpOPZAJ/d+IVkItfAAAA//8DAFBLAQItABQABgAIAAAAIQDb4fbL7gAAAIUBAAATAAAAAAAA&#10;AAAAAAAAAAAAAABbQ29udGVudF9UeXBlc10ueG1sUEsBAi0AFAAGAAgAAAAhAFr0LFu/AAAAFQEA&#10;AAsAAAAAAAAAAAAAAAAAHwEAAF9yZWxzLy5yZWxzUEsBAi0AFAAGAAgAAAAhAJDAKQDHAAAA3gAA&#10;AA8AAAAAAAAAAAAAAAAABwIAAGRycy9kb3ducmV2LnhtbFBLBQYAAAAAAwADALcAAAD7AgAAAAA=&#10;" filled="f" stroked="f">
                  <v:textbox inset="0,0,0,0">
                    <w:txbxContent>
                      <w:p w14:paraId="6B84FCB8" w14:textId="77777777" w:rsidR="00B32EF2" w:rsidRDefault="00000000">
                        <w:r>
                          <w:rPr>
                            <w:rFonts w:ascii="Arial" w:eastAsia="Arial" w:hAnsi="Arial" w:cs="Arial"/>
                            <w:b/>
                            <w:color w:val="181717"/>
                          </w:rPr>
                          <w:t>nia.</w:t>
                        </w:r>
                      </w:p>
                    </w:txbxContent>
                  </v:textbox>
                </v:rect>
                <v:rect id="Rectangle 24305" o:spid="_x0000_s7479" style="position:absolute;left:26628;top:11800;width:13290;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ybxwAAAN4AAAAPAAAAZHJzL2Rvd25yZXYueG1sRI9Pa8JA&#10;FMTvBb/D8gRvdVOtItFVikXMoZf6Bzw+ss8kNvt2ya4m9tN3C4LHYWZ+wyxWnanFjRpfWVbwNkxA&#10;EOdWV1woOOw3rzMQPiBrrC2Tgjt5WC17LwtMtW35m267UIgIYZ+igjIEl0rp85IM+qF1xNE728Zg&#10;iLIppG6wjXBTy1GSTKXBiuNCiY7WJeU/u6tRcPpkl21amZ9/1+7rks3q7fVwVGrQ7z7mIAJ14Rl+&#10;tDOtYPQ+TibwfydeAbn8AwAA//8DAFBLAQItABQABgAIAAAAIQDb4fbL7gAAAIUBAAATAAAAAAAA&#10;AAAAAAAAAAAAAABbQ29udGVudF9UeXBlc10ueG1sUEsBAi0AFAAGAAgAAAAhAFr0LFu/AAAAFQEA&#10;AAsAAAAAAAAAAAAAAAAAHwEAAF9yZWxzLy5yZWxzUEsBAi0AFAAGAAgAAAAhAP+MjJvHAAAA3gAA&#10;AA8AAAAAAAAAAAAAAAAABwIAAGRycy9kb3ducmV2LnhtbFBLBQYAAAAAAwADALcAAAD7AgAAAAA=&#10;" filled="f" stroked="f">
                  <v:textbox inset="0,0,0,0">
                    <w:txbxContent>
                      <w:p w14:paraId="1C925B6B" w14:textId="77777777" w:rsidR="00B32EF2" w:rsidRDefault="00000000">
                        <w:r>
                          <w:rPr>
                            <w:rFonts w:ascii="Arial" w:eastAsia="Arial" w:hAnsi="Arial" w:cs="Arial"/>
                            <w:b/>
                            <w:color w:val="009ED5"/>
                          </w:rPr>
                          <w:t>Gennaro Nunziato</w:t>
                        </w:r>
                      </w:p>
                    </w:txbxContent>
                  </v:textbox>
                </v:rect>
                <v:rect id="Rectangle 24306" o:spid="_x0000_s7480" style="position:absolute;left:-9913;top:11800;width:39966;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hLsxwAAAN4AAAAPAAAAZHJzL2Rvd25yZXYueG1sRI9Pi8Iw&#10;FMTvgt8hPGFvmq67iFSjLIrYw17WP+Dx0TzbavMSmmirn36zsOBxmJnfMPNlZ2pxp8ZXlhW8jxIQ&#10;xLnVFRcKDvvNcArCB2SNtWVS8CAPy0W/N8dU25Z/6L4LhYgQ9ikqKENwqZQ+L8mgH1lHHL2zbQyG&#10;KJtC6gbbCDe1HCfJRBqsOC6U6GhVUn7d3YyC05pdtmllfn6u3Pclm9bb2+Go1Nug+5qBCNSFV/i/&#10;nWkF48+PZAJ/d+IVkItfAAAA//8DAFBLAQItABQABgAIAAAAIQDb4fbL7gAAAIUBAAATAAAAAAAA&#10;AAAAAAAAAAAAAABbQ29udGVudF9UeXBlc10ueG1sUEsBAi0AFAAGAAgAAAAhAFr0LFu/AAAAFQEA&#10;AAsAAAAAAAAAAAAAAAAAHwEAAF9yZWxzLy5yZWxzUEsBAi0AFAAGAAgAAAAhAA9eEuzHAAAA3gAA&#10;AA8AAAAAAAAAAAAAAAAABwIAAGRycy9kb3ducmV2LnhtbFBLBQYAAAAAAwADALcAAAD7AgAAAAA=&#10;" filled="f" stroked="f">
                  <v:textbox inset="0,0,0,0">
                    <w:txbxContent>
                      <w:p w14:paraId="1C1769A6" w14:textId="77777777" w:rsidR="00B32EF2" w:rsidRDefault="00000000">
                        <w:r>
                          <w:rPr>
                            <w:rFonts w:ascii="Arial" w:eastAsia="Arial" w:hAnsi="Arial" w:cs="Arial"/>
                            <w:b/>
                            <w:color w:val="181717"/>
                          </w:rPr>
                          <w:t xml:space="preserve">, Avvocato tributarista, Segretario della Camera degli </w:t>
                        </w:r>
                      </w:p>
                    </w:txbxContent>
                  </v:textbox>
                </v:rect>
                <v:rect id="Rectangle 24307" o:spid="_x0000_s7481" style="position:absolute;left:-12242;top:10193;width:52160;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rd3xwAAAN4AAAAPAAAAZHJzL2Rvd25yZXYueG1sRI9Pa8JA&#10;FMTvBb/D8gRvdVMtKtFVikXMoZf6Bzw+ss8kNvt2ya4m9tN3C4LHYWZ+wyxWnanFjRpfWVbwNkxA&#10;EOdWV1woOOw3rzMQPiBrrC2Tgjt5WC17LwtMtW35m267UIgIYZ+igjIEl0rp85IM+qF1xNE728Zg&#10;iLIppG6wjXBTy1GSTKTBiuNCiY7WJeU/u6tRcPpkl21amZ9/1+7rks3q7fVwVGrQ7z7mIAJ14Rl+&#10;tDOtYPQ+TqbwfydeAbn8AwAA//8DAFBLAQItABQABgAIAAAAIQDb4fbL7gAAAIUBAAATAAAAAAAA&#10;AAAAAAAAAAAAAABbQ29udGVudF9UeXBlc10ueG1sUEsBAi0AFAAGAAgAAAAhAFr0LFu/AAAAFQEA&#10;AAsAAAAAAAAAAAAAAAAAHwEAAF9yZWxzLy5yZWxzUEsBAi0AFAAGAAgAAAAhAGASt3fHAAAA3gAA&#10;AA8AAAAAAAAAAAAAAAAABwIAAGRycy9kb3ducmV2LnhtbFBLBQYAAAAAAwADALcAAAD7AgAAAAA=&#10;" filled="f" stroked="f">
                  <v:textbox inset="0,0,0,0">
                    <w:txbxContent>
                      <w:p w14:paraId="3D01DA5E" w14:textId="77777777" w:rsidR="00B32EF2" w:rsidRDefault="00000000">
                        <w:r>
                          <w:rPr>
                            <w:rFonts w:ascii="Arial" w:eastAsia="Arial" w:hAnsi="Arial" w:cs="Arial"/>
                            <w:b/>
                            <w:color w:val="181717"/>
                          </w:rPr>
                          <w:t>Avvocati Tributaristi di Napoli. Docente di diritto tributario presso l’Uni</w:t>
                        </w:r>
                      </w:p>
                    </w:txbxContent>
                  </v:textbox>
                </v:rect>
                <v:rect id="Rectangle 24308" o:spid="_x0000_s7482" style="position:absolute;left:192;top:10193;width:507;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SMFwwAAAN4AAAAPAAAAZHJzL2Rvd25yZXYueG1sRE/LisIw&#10;FN0L/kO4gjtNdWSQahRRZLqYzfgAl5fm2labm9BEW+frzWJglofzXq47U4snNb6yrGAyTkAQ51ZX&#10;XCg4HfejOQgfkDXWlknBizysV/3eElNtW/6h5yEUIoawT1FBGYJLpfR5SQb92DriyF1tYzBE2BRS&#10;N9jGcFPLaZJ8SoMVx4YSHW1Lyu+Hh1Fw2bHL9q3Mr79b933L5vXX43RWajjoNgsQgbrwL/5zZ1rB&#10;dPaRxL3xTrwCcvUGAAD//wMAUEsBAi0AFAAGAAgAAAAhANvh9svuAAAAhQEAABMAAAAAAAAAAAAA&#10;AAAAAAAAAFtDb250ZW50X1R5cGVzXS54bWxQSwECLQAUAAYACAAAACEAWvQsW78AAAAVAQAACwAA&#10;AAAAAAAAAAAAAAAfAQAAX3JlbHMvLnJlbHNQSwECLQAUAAYACAAAACEAEY0jBcMAAADeAAAADwAA&#10;AAAAAAAAAAAAAAAHAgAAZHJzL2Rvd25yZXYueG1sUEsFBgAAAAADAAMAtwAAAPcCAAAAAA==&#10;" filled="f" stroked="f">
                  <v:textbox inset="0,0,0,0">
                    <w:txbxContent>
                      <w:p w14:paraId="5CADE629" w14:textId="77777777" w:rsidR="00B32EF2" w:rsidRDefault="00000000">
                        <w:r>
                          <w:rPr>
                            <w:rFonts w:ascii="Arial" w:eastAsia="Arial" w:hAnsi="Arial" w:cs="Arial"/>
                            <w:b/>
                            <w:color w:val="181717"/>
                          </w:rPr>
                          <w:t>-</w:t>
                        </w:r>
                      </w:p>
                    </w:txbxContent>
                  </v:textbox>
                </v:rect>
                <v:rect id="Rectangle 24309" o:spid="_x0000_s7483" style="position:absolute;left:-13177;top:8587;width:53108;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aexwAAAN4AAAAPAAAAZHJzL2Rvd25yZXYueG1sRI9Ba8JA&#10;FITvQv/D8gredKMWsdFVRJHm4KXWQo+P7DOJZt8u2dWk/fVuQfA4zMw3zGLVmVrcqPGVZQWjYQKC&#10;OLe64kLB8Ws3mIHwAVljbZkU/JKH1fKlt8BU25Y/6XYIhYgQ9ikqKENwqZQ+L8mgH1pHHL2TbQyG&#10;KJtC6gbbCDe1HCfJVBqsOC6U6GhTUn45XI2Cny27bNfK/PS3cftzNqs/rsdvpfqv3XoOIlAXnuFH&#10;O9MKxm+T5B3+78QrIJd3AAAA//8DAFBLAQItABQABgAIAAAAIQDb4fbL7gAAAIUBAAATAAAAAAAA&#10;AAAAAAAAAAAAAABbQ29udGVudF9UeXBlc10ueG1sUEsBAi0AFAAGAAgAAAAhAFr0LFu/AAAAFQEA&#10;AAsAAAAAAAAAAAAAAAAAHwEAAF9yZWxzLy5yZWxzUEsBAi0AFAAGAAgAAAAhAH7Bhp7HAAAA3gAA&#10;AA8AAAAAAAAAAAAAAAAABwIAAGRycy9kb3ducmV2LnhtbFBLBQYAAAAAAwADALcAAAD7AgAAAAA=&#10;" filled="f" stroked="f">
                  <v:textbox inset="0,0,0,0">
                    <w:txbxContent>
                      <w:p w14:paraId="05A4A841" w14:textId="77777777" w:rsidR="00B32EF2" w:rsidRDefault="00000000">
                        <w:r>
                          <w:rPr>
                            <w:rFonts w:ascii="Arial" w:eastAsia="Arial" w:hAnsi="Arial" w:cs="Arial"/>
                            <w:b/>
                            <w:color w:val="181717"/>
                          </w:rPr>
                          <w:t xml:space="preserve">versità degli Studi di Napoli Parthenope – Scuola di Specializzazione per </w:t>
                        </w:r>
                      </w:p>
                    </w:txbxContent>
                  </v:textbox>
                </v:rect>
                <v:rect id="Rectangle 24310" o:spid="_x0000_s7484" style="position:absolute;left:-13172;top:6980;width:53090;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rnexgAAAN4AAAAPAAAAZHJzL2Rvd25yZXYueG1sRI/LasMw&#10;EEX3hfyDmEB2tZy0lOBaDiEh1Itumgd0OVjjR2uNhKXETr++WhS6vNwXJ99Mphc3GnxnWcEySUEQ&#10;V1Z33Cg4nw6PaxA+IGvsLZOCO3nYFLOHHDNtR/6g2zE0Io6wz1BBG4LLpPRVSwZ9Yh1x9Go7GAxR&#10;Do3UA45x3PRylaYv0mDH8aFFR7uWqu/j1Sj43LMrD6Os6p+de/8q1/3b9XxRajGftq8gAk3hP/zX&#10;LrWC1fPTMgJEnIgCsvgFAAD//wMAUEsBAi0AFAAGAAgAAAAhANvh9svuAAAAhQEAABMAAAAAAAAA&#10;AAAAAAAAAAAAAFtDb250ZW50X1R5cGVzXS54bWxQSwECLQAUAAYACAAAACEAWvQsW78AAAAVAQAA&#10;CwAAAAAAAAAAAAAAAAAfAQAAX3JlbHMvLnJlbHNQSwECLQAUAAYACAAAACEAaiK53sYAAADeAAAA&#10;DwAAAAAAAAAAAAAAAAAHAgAAZHJzL2Rvd25yZXYueG1sUEsFBgAAAAADAAMAtwAAAPoCAAAAAA==&#10;" filled="f" stroked="f">
                  <v:textbox inset="0,0,0,0">
                    <w:txbxContent>
                      <w:p w14:paraId="1EDCC70E" w14:textId="77777777" w:rsidR="00B32EF2" w:rsidRDefault="00000000">
                        <w:r>
                          <w:rPr>
                            <w:rFonts w:ascii="Arial" w:eastAsia="Arial" w:hAnsi="Arial" w:cs="Arial"/>
                            <w:b/>
                            <w:color w:val="181717"/>
                          </w:rPr>
                          <w:t xml:space="preserve">le Professioni Legali. E’ stato coordinatore del Comitato Scientifico del </w:t>
                        </w:r>
                      </w:p>
                    </w:txbxContent>
                  </v:textbox>
                </v:rect>
                <v:rect id="Rectangle 24311" o:spid="_x0000_s7485" style="position:absolute;left:-12246;top:5374;width:52164;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hxFxwAAAN4AAAAPAAAAZHJzL2Rvd25yZXYueG1sRI9Pa8JA&#10;FMTvgt9heYI33cRKkdRVRJHm0Ev9Az0+ss8kbfbtkl1N7Kd3CwWPw8z8hlmue9OIG7W+tqwgnSYg&#10;iAuray4VnI77yQKED8gaG8uk4E4e1qvhYImZth1/0u0QShEh7DNUUIXgMil9UZFBP7WOOHoX2xoM&#10;Ubal1C12EW4aOUuSV2mw5rhQoaNtRcXP4WoUfO3Y5ftOFpffrfv4zhfN+/V0Vmo86jdvIAL14Rn+&#10;b+dawWz+kqbwdydeAbl6AAAA//8DAFBLAQItABQABgAIAAAAIQDb4fbL7gAAAIUBAAATAAAAAAAA&#10;AAAAAAAAAAAAAABbQ29udGVudF9UeXBlc10ueG1sUEsBAi0AFAAGAAgAAAAhAFr0LFu/AAAAFQEA&#10;AAsAAAAAAAAAAAAAAAAAHwEAAF9yZWxzLy5yZWxzUEsBAi0AFAAGAAgAAAAhAAVuHEXHAAAA3gAA&#10;AA8AAAAAAAAAAAAAAAAABwIAAGRycy9kb3ducmV2LnhtbFBLBQYAAAAAAwADALcAAAD7AgAAAAA=&#10;" filled="f" stroked="f">
                  <v:textbox inset="0,0,0,0">
                    <w:txbxContent>
                      <w:p w14:paraId="55611D3C" w14:textId="77777777" w:rsidR="00B32EF2" w:rsidRDefault="00000000">
                        <w:r>
                          <w:rPr>
                            <w:rFonts w:ascii="Arial" w:eastAsia="Arial" w:hAnsi="Arial" w:cs="Arial"/>
                            <w:b/>
                            <w:color w:val="181717"/>
                          </w:rPr>
                          <w:t>gruppo della Corte di Giustizia Tributaria di primo grado di Napoli dell’Uf</w:t>
                        </w:r>
                      </w:p>
                    </w:txbxContent>
                  </v:textbox>
                </v:rect>
                <v:rect id="Rectangle 24312" o:spid="_x0000_s7486" style="position:absolute;left:189;top:5374;width:507;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IIyxwAAAN4AAAAPAAAAZHJzL2Rvd25yZXYueG1sRI9Pa8JA&#10;FMTvgt9heYI33ZhKkdRVRJHm0Ev9Az0+ss8kbfbtkl1N7Kd3CwWPw8z8hlmue9OIG7W+tqxgNk1A&#10;EBdW11wqOB33kwUIH5A1NpZJwZ08rFfDwRIzbTv+pNshlCJC2GeooArBZVL6oiKDfmodcfQutjUY&#10;omxLqVvsItw0Mk2SV2mw5rhQoaNtRcXP4WoUfO3Y5ftOFpffrfv4zhfN+/V0Vmo86jdvIAL14Rn+&#10;b+daQTp/maXwdydeAbl6AAAA//8DAFBLAQItABQABgAIAAAAIQDb4fbL7gAAAIUBAAATAAAAAAAA&#10;AAAAAAAAAAAAAABbQ29udGVudF9UeXBlc10ueG1sUEsBAi0AFAAGAAgAAAAhAFr0LFu/AAAAFQEA&#10;AAsAAAAAAAAAAAAAAAAAHwEAAF9yZWxzLy5yZWxzUEsBAi0AFAAGAAgAAAAhAPW8gjLHAAAA3gAA&#10;AA8AAAAAAAAAAAAAAAAABwIAAGRycy9kb3ducmV2LnhtbFBLBQYAAAAAAwADALcAAAD7AgAAAAA=&#10;" filled="f" stroked="f">
                  <v:textbox inset="0,0,0,0">
                    <w:txbxContent>
                      <w:p w14:paraId="0DEC474C" w14:textId="77777777" w:rsidR="00B32EF2" w:rsidRDefault="00000000">
                        <w:r>
                          <w:rPr>
                            <w:rFonts w:ascii="Arial" w:eastAsia="Arial" w:hAnsi="Arial" w:cs="Arial"/>
                            <w:b/>
                            <w:color w:val="181717"/>
                          </w:rPr>
                          <w:t>-</w:t>
                        </w:r>
                      </w:p>
                    </w:txbxContent>
                  </v:textbox>
                </v:rect>
                <v:rect id="Rectangle 24313" o:spid="_x0000_s7487" style="position:absolute;left:24930;top:3767;width:14988;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CepxgAAAN4AAAAPAAAAZHJzL2Rvd25yZXYueG1sRI9Ba8JA&#10;FITvgv9heUJvulGLSHQVUcQcvNRa6PGRfSbR7Nslu5rUX98tCD0OM/MNs1x3phYPanxlWcF4lIAg&#10;zq2uuFBw/twP5yB8QNZYWyYFP+Rhver3lphq2/IHPU6hEBHCPkUFZQguldLnJRn0I+uIo3exjcEQ&#10;ZVNI3WAb4aaWkySZSYMVx4USHW1Lym+nu1HwvWOX7VuZX55bd7xm8/pwP38p9TboNgsQgbrwH361&#10;M61g8j4dT+HvTrwCcvULAAD//wMAUEsBAi0AFAAGAAgAAAAhANvh9svuAAAAhQEAABMAAAAAAAAA&#10;AAAAAAAAAAAAAFtDb250ZW50X1R5cGVzXS54bWxQSwECLQAUAAYACAAAACEAWvQsW78AAAAVAQAA&#10;CwAAAAAAAAAAAAAAAAAfAQAAX3JlbHMvLnJlbHNQSwECLQAUAAYACAAAACEAmvAnqcYAAADeAAAA&#10;DwAAAAAAAAAAAAAAAAAHAgAAZHJzL2Rvd25yZXYueG1sUEsFBgAAAAADAAMAtwAAAPoCAAAAAA==&#10;" filled="f" stroked="f">
                  <v:textbox inset="0,0,0,0">
                    <w:txbxContent>
                      <w:p w14:paraId="5DFE199A" w14:textId="77777777" w:rsidR="00B32EF2" w:rsidRDefault="00000000">
                        <w:r>
                          <w:rPr>
                            <w:rFonts w:ascii="Arial" w:eastAsia="Arial" w:hAnsi="Arial" w:cs="Arial"/>
                            <w:b/>
                            <w:color w:val="181717"/>
                          </w:rPr>
                          <w:t>ficio del Massimario.</w:t>
                        </w:r>
                      </w:p>
                    </w:txbxContent>
                  </v:textbox>
                </v:rect>
                <v:rect id="Rectangle 24314" o:spid="_x0000_s7488" style="position:absolute;left:31427;top:1145;width:8491;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b/dxgAAAN4AAAAPAAAAZHJzL2Rvd25yZXYueG1sRI9Ba8JA&#10;FITvgv9heUJvutFKkegqoog5eKla6PGRfSbR7Nslu5q0v94tFDwOM/MNs1h1phYPanxlWcF4lIAg&#10;zq2uuFBwPu2GMxA+IGusLZOCH/KwWvZ7C0y1bfmTHsdQiAhhn6KCMgSXSunzkgz6kXXE0bvYxmCI&#10;simkbrCNcFPLSZJ8SIMVx4USHW1Kym/Hu1HwvWWX7VqZX3437nDNZvX+fv5S6m3QrecgAnXhFf5v&#10;Z1rBZPo+nsLfnXgF5PIJAAD//wMAUEsBAi0AFAAGAAgAAAAhANvh9svuAAAAhQEAABMAAAAAAAAA&#10;AAAAAAAAAAAAAFtDb250ZW50X1R5cGVzXS54bWxQSwECLQAUAAYACAAAACEAWvQsW78AAAAVAQAA&#10;CwAAAAAAAAAAAAAAAAAfAQAAX3JlbHMvLnJlbHNQSwECLQAUAAYACAAAACEAFRm/3cYAAADeAAAA&#10;DwAAAAAAAAAAAAAAAAAHAgAAZHJzL2Rvd25yZXYueG1sUEsFBgAAAAADAAMAtwAAAPoCAAAAAA==&#10;" filled="f" stroked="f">
                  <v:textbox inset="0,0,0,0">
                    <w:txbxContent>
                      <w:p w14:paraId="5BCF22FD" w14:textId="77777777" w:rsidR="00B32EF2" w:rsidRDefault="00000000">
                        <w:r>
                          <w:rPr>
                            <w:rFonts w:ascii="Arial" w:eastAsia="Arial" w:hAnsi="Arial" w:cs="Arial"/>
                            <w:b/>
                            <w:color w:val="009ED5"/>
                          </w:rPr>
                          <w:t>Maria Laghi</w:t>
                        </w:r>
                      </w:p>
                    </w:txbxContent>
                  </v:textbox>
                </v:rect>
                <v:rect id="Rectangle 24315" o:spid="_x0000_s7489" style="position:absolute;left:-11069;top:1145;width:44621;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RpGxwAAAN4AAAAPAAAAZHJzL2Rvd25yZXYueG1sRI9Pa8JA&#10;FMTvgt9heUJvutFqkdRVikXMoRf/FHp8ZJ9J2uzbJbua6KfvCoLHYWZ+wyxWnanFhRpfWVYwHiUg&#10;iHOrKy4UHA+b4RyED8gaa8uk4EoeVst+b4Gpti3v6LIPhYgQ9ikqKENwqZQ+L8mgH1lHHL2TbQyG&#10;KJtC6gbbCDe1nCTJmzRYcVwo0dG6pPxvfzYKfj7ZZZtW5qfb2n39ZvN6ez5+K/Uy6D7eQQTqwjP8&#10;aGdawWT6Op7B/U68AnL5DwAA//8DAFBLAQItABQABgAIAAAAIQDb4fbL7gAAAIUBAAATAAAAAAAA&#10;AAAAAAAAAAAAAABbQ29udGVudF9UeXBlc10ueG1sUEsBAi0AFAAGAAgAAAAhAFr0LFu/AAAAFQEA&#10;AAsAAAAAAAAAAAAAAAAAHwEAAF9yZWxzLy5yZWxzUEsBAi0AFAAGAAgAAAAhAHpVGkbHAAAA3gAA&#10;AA8AAAAAAAAAAAAAAAAABwIAAGRycy9kb3ducmV2LnhtbFBLBQYAAAAAAwADALcAAAD7AgAAAAA=&#10;" filled="f" stroked="f">
                  <v:textbox inset="0,0,0,0">
                    <w:txbxContent>
                      <w:p w14:paraId="65595FA5" w14:textId="77777777" w:rsidR="00B32EF2" w:rsidRDefault="00000000">
                        <w:r>
                          <w:rPr>
                            <w:rFonts w:ascii="Arial" w:eastAsia="Arial" w:hAnsi="Arial" w:cs="Arial"/>
                            <w:b/>
                            <w:color w:val="181717"/>
                          </w:rPr>
                          <w:t xml:space="preserve">, dott.ssa in Giurisprudenza, praticante avvocato tributarista, </w:t>
                        </w:r>
                      </w:p>
                    </w:txbxContent>
                  </v:textbox>
                </v:rect>
                <v:rect id="Rectangle 24316" o:spid="_x0000_s7490" style="position:absolute;left:-8683;top:-461;width:48601;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4QxxgAAAN4AAAAPAAAAZHJzL2Rvd25yZXYueG1sRI9Ba8JA&#10;FITvgv9heUJvutGKSHQVUcQcvGgt9PjIPpNo9u2SXU3aX+8WCj0OM/MNs1x3phZPanxlWcF4lIAg&#10;zq2uuFBw+dgP5yB8QNZYWyYF3+Rhver3lphq2/KJnudQiAhhn6KCMgSXSunzkgz6kXXE0bvaxmCI&#10;simkbrCNcFPLSZLMpMGK40KJjrYl5ffzwyj42rHL9q3Mrz9bd7xl8/rwuHwq9TboNgsQgbrwH/5r&#10;Z1rBZPo+nsHvnXgF5OoFAAD//wMAUEsBAi0AFAAGAAgAAAAhANvh9svuAAAAhQEAABMAAAAAAAAA&#10;AAAAAAAAAAAAAFtDb250ZW50X1R5cGVzXS54bWxQSwECLQAUAAYACAAAACEAWvQsW78AAAAVAQAA&#10;CwAAAAAAAAAAAAAAAAAfAQAAX3JlbHMvLnJlbHNQSwECLQAUAAYACAAAACEAioeEMcYAAADeAAAA&#10;DwAAAAAAAAAAAAAAAAAHAgAAZHJzL2Rvd25yZXYueG1sUEsFBgAAAAADAAMAtwAAAPoCAAAAAA==&#10;" filled="f" stroked="f">
                  <v:textbox inset="0,0,0,0">
                    <w:txbxContent>
                      <w:p w14:paraId="7CEBB190" w14:textId="77777777" w:rsidR="00B32EF2" w:rsidRDefault="00000000">
                        <w:r>
                          <w:rPr>
                            <w:rFonts w:ascii="Arial" w:eastAsia="Arial" w:hAnsi="Arial" w:cs="Arial"/>
                            <w:b/>
                            <w:color w:val="181717"/>
                          </w:rPr>
                          <w:t xml:space="preserve">ha frequentato il corso di preparazione alla magistratura tributaria. </w:t>
                        </w:r>
                      </w:p>
                    </w:txbxContent>
                  </v:textbox>
                </v:rect>
                <w10:anchorlock/>
              </v:group>
            </w:pict>
          </mc:Fallback>
        </mc:AlternateContent>
      </w:r>
    </w:p>
    <w:p w14:paraId="205E36C4" w14:textId="77777777" w:rsidR="00B32EF2" w:rsidRDefault="00000000">
      <w:pPr>
        <w:spacing w:after="0"/>
        <w:ind w:left="-356" w:right="-306"/>
      </w:pPr>
      <w:r>
        <w:rPr>
          <w:noProof/>
        </w:rPr>
        <w:lastRenderedPageBreak/>
        <mc:AlternateContent>
          <mc:Choice Requires="wpg">
            <w:drawing>
              <wp:inline distT="0" distB="0" distL="0" distR="0" wp14:anchorId="5DC4769C" wp14:editId="55071B22">
                <wp:extent cx="3991886" cy="2431339"/>
                <wp:effectExtent l="0" t="0" r="0" b="0"/>
                <wp:docPr id="202486" name="Group 202486"/>
                <wp:cNvGraphicFramePr/>
                <a:graphic xmlns:a="http://schemas.openxmlformats.org/drawingml/2006/main">
                  <a:graphicData uri="http://schemas.microsoft.com/office/word/2010/wordprocessingGroup">
                    <wpg:wgp>
                      <wpg:cNvGrpSpPr/>
                      <wpg:grpSpPr>
                        <a:xfrm>
                          <a:off x="0" y="0"/>
                          <a:ext cx="3991886" cy="2431339"/>
                          <a:chOff x="0" y="0"/>
                          <a:chExt cx="3991886" cy="2431339"/>
                        </a:xfrm>
                      </wpg:grpSpPr>
                      <wps:wsp>
                        <wps:cNvPr id="24273" name="Rectangle 24273"/>
                        <wps:cNvSpPr/>
                        <wps:spPr>
                          <a:xfrm rot="-10799999">
                            <a:off x="3543362" y="2245537"/>
                            <a:ext cx="448523" cy="185802"/>
                          </a:xfrm>
                          <a:prstGeom prst="rect">
                            <a:avLst/>
                          </a:prstGeom>
                          <a:ln>
                            <a:noFill/>
                          </a:ln>
                        </wps:spPr>
                        <wps:txbx>
                          <w:txbxContent>
                            <w:p w14:paraId="3EDC1145" w14:textId="77777777" w:rsidR="00B32EF2" w:rsidRDefault="00000000">
                              <w:r>
                                <w:rPr>
                                  <w:rFonts w:ascii="Arial" w:eastAsia="Arial" w:hAnsi="Arial" w:cs="Arial"/>
                                  <w:b/>
                                  <w:color w:val="181717"/>
                                </w:rPr>
                                <w:t>Autori</w:t>
                              </w:r>
                            </w:p>
                          </w:txbxContent>
                        </wps:txbx>
                        <wps:bodyPr horzOverflow="overflow" vert="horz" lIns="0" tIns="0" rIns="0" bIns="0" rtlCol="0">
                          <a:noAutofit/>
                        </wps:bodyPr>
                      </wps:wsp>
                      <wps:wsp>
                        <wps:cNvPr id="24274" name="Rectangle 24274"/>
                        <wps:cNvSpPr/>
                        <wps:spPr>
                          <a:xfrm rot="-10799999">
                            <a:off x="2835461" y="1983321"/>
                            <a:ext cx="1156425" cy="185801"/>
                          </a:xfrm>
                          <a:prstGeom prst="rect">
                            <a:avLst/>
                          </a:prstGeom>
                          <a:ln>
                            <a:noFill/>
                          </a:ln>
                        </wps:spPr>
                        <wps:txbx>
                          <w:txbxContent>
                            <w:p w14:paraId="641E3574" w14:textId="77777777" w:rsidR="00B32EF2" w:rsidRDefault="00000000">
                              <w:r>
                                <w:rPr>
                                  <w:rFonts w:ascii="Arial" w:eastAsia="Arial" w:hAnsi="Arial" w:cs="Arial"/>
                                  <w:b/>
                                  <w:color w:val="009ED5"/>
                                </w:rPr>
                                <w:t>Oreste Saccone</w:t>
                              </w:r>
                            </w:p>
                          </w:txbxContent>
                        </wps:txbx>
                        <wps:bodyPr horzOverflow="overflow" vert="horz" lIns="0" tIns="0" rIns="0" bIns="0" rtlCol="0">
                          <a:noAutofit/>
                        </wps:bodyPr>
                      </wps:wsp>
                      <wps:wsp>
                        <wps:cNvPr id="24275" name="Rectangle 24275"/>
                        <wps:cNvSpPr/>
                        <wps:spPr>
                          <a:xfrm rot="-10799999">
                            <a:off x="3037668" y="1983321"/>
                            <a:ext cx="84725" cy="185801"/>
                          </a:xfrm>
                          <a:prstGeom prst="rect">
                            <a:avLst/>
                          </a:prstGeom>
                          <a:ln>
                            <a:noFill/>
                          </a:ln>
                        </wps:spPr>
                        <wps:txbx>
                          <w:txbxContent>
                            <w:p w14:paraId="69B0CDD9" w14:textId="77777777" w:rsidR="00B32EF2" w:rsidRDefault="00000000">
                              <w:r>
                                <w:rPr>
                                  <w:rFonts w:ascii="Arial" w:eastAsia="Arial" w:hAnsi="Arial" w:cs="Arial"/>
                                  <w:b/>
                                  <w:color w:val="2C3648"/>
                                </w:rPr>
                                <w:t xml:space="preserve">, </w:t>
                              </w:r>
                            </w:p>
                          </w:txbxContent>
                        </wps:txbx>
                        <wps:bodyPr horzOverflow="overflow" vert="horz" lIns="0" tIns="0" rIns="0" bIns="0" rtlCol="0">
                          <a:noAutofit/>
                        </wps:bodyPr>
                      </wps:wsp>
                      <wps:wsp>
                        <wps:cNvPr id="24276" name="Rectangle 24276"/>
                        <wps:cNvSpPr/>
                        <wps:spPr>
                          <a:xfrm rot="-10799999">
                            <a:off x="-914812" y="1983321"/>
                            <a:ext cx="3970011" cy="185802"/>
                          </a:xfrm>
                          <a:prstGeom prst="rect">
                            <a:avLst/>
                          </a:prstGeom>
                          <a:ln>
                            <a:noFill/>
                          </a:ln>
                        </wps:spPr>
                        <wps:txbx>
                          <w:txbxContent>
                            <w:p w14:paraId="30408ACF" w14:textId="77777777" w:rsidR="00B32EF2" w:rsidRDefault="00000000">
                              <w:r>
                                <w:rPr>
                                  <w:rFonts w:ascii="Arial" w:eastAsia="Arial" w:hAnsi="Arial" w:cs="Arial"/>
                                  <w:b/>
                                  <w:color w:val="181717"/>
                                </w:rPr>
                                <w:t>dirigente di vertice dell’Agenzia delle entrate in pensio</w:t>
                              </w:r>
                            </w:p>
                          </w:txbxContent>
                        </wps:txbx>
                        <wps:bodyPr horzOverflow="overflow" vert="horz" lIns="0" tIns="0" rIns="0" bIns="0" rtlCol="0">
                          <a:noAutofit/>
                        </wps:bodyPr>
                      </wps:wsp>
                      <wps:wsp>
                        <wps:cNvPr id="24277" name="Rectangle 24277"/>
                        <wps:cNvSpPr/>
                        <wps:spPr>
                          <a:xfrm rot="-10799999">
                            <a:off x="19503" y="1983320"/>
                            <a:ext cx="50724" cy="185801"/>
                          </a:xfrm>
                          <a:prstGeom prst="rect">
                            <a:avLst/>
                          </a:prstGeom>
                          <a:ln>
                            <a:noFill/>
                          </a:ln>
                        </wps:spPr>
                        <wps:txbx>
                          <w:txbxContent>
                            <w:p w14:paraId="789E9138" w14:textId="77777777" w:rsidR="00B32EF2" w:rsidRDefault="00000000">
                              <w:r>
                                <w:rPr>
                                  <w:rFonts w:ascii="Arial" w:eastAsia="Arial" w:hAnsi="Arial" w:cs="Arial"/>
                                  <w:b/>
                                  <w:color w:val="181717"/>
                                </w:rPr>
                                <w:t>-</w:t>
                              </w:r>
                            </w:p>
                          </w:txbxContent>
                        </wps:txbx>
                        <wps:bodyPr horzOverflow="overflow" vert="horz" lIns="0" tIns="0" rIns="0" bIns="0" rtlCol="0">
                          <a:noAutofit/>
                        </wps:bodyPr>
                      </wps:wsp>
                      <wps:wsp>
                        <wps:cNvPr id="24278" name="Rectangle 24278"/>
                        <wps:cNvSpPr/>
                        <wps:spPr>
                          <a:xfrm rot="-10799999">
                            <a:off x="-1319497" y="1822665"/>
                            <a:ext cx="5318369" cy="185802"/>
                          </a:xfrm>
                          <a:prstGeom prst="rect">
                            <a:avLst/>
                          </a:prstGeom>
                          <a:ln>
                            <a:noFill/>
                          </a:ln>
                        </wps:spPr>
                        <wps:txbx>
                          <w:txbxContent>
                            <w:p w14:paraId="13407A20" w14:textId="77777777" w:rsidR="00B32EF2" w:rsidRDefault="00000000">
                              <w:r>
                                <w:rPr>
                                  <w:rFonts w:ascii="Arial" w:eastAsia="Arial" w:hAnsi="Arial" w:cs="Arial"/>
                                  <w:b/>
                                  <w:color w:val="181717"/>
                                </w:rPr>
                                <w:t xml:space="preserve">ne. Ha ricoperto anche l’incarico di professore stabile e prorettore della </w:t>
                              </w:r>
                            </w:p>
                          </w:txbxContent>
                        </wps:txbx>
                        <wps:bodyPr horzOverflow="overflow" vert="horz" lIns="0" tIns="0" rIns="0" bIns="0" rtlCol="0">
                          <a:noAutofit/>
                        </wps:bodyPr>
                      </wps:wsp>
                      <wps:wsp>
                        <wps:cNvPr id="24279" name="Rectangle 24279"/>
                        <wps:cNvSpPr/>
                        <wps:spPr>
                          <a:xfrm rot="-10799999">
                            <a:off x="-1224626" y="1662010"/>
                            <a:ext cx="5216512" cy="185802"/>
                          </a:xfrm>
                          <a:prstGeom prst="rect">
                            <a:avLst/>
                          </a:prstGeom>
                          <a:ln>
                            <a:noFill/>
                          </a:ln>
                        </wps:spPr>
                        <wps:txbx>
                          <w:txbxContent>
                            <w:p w14:paraId="4A6CFC49" w14:textId="77777777" w:rsidR="00B32EF2" w:rsidRDefault="00000000">
                              <w:r>
                                <w:rPr>
                                  <w:rFonts w:ascii="Arial" w:eastAsia="Arial" w:hAnsi="Arial" w:cs="Arial"/>
                                  <w:b/>
                                  <w:color w:val="181717"/>
                                </w:rPr>
                                <w:t>Scuola Centrale Tributaria “E. Vanoni” e professore a contratto per l’inse</w:t>
                              </w:r>
                            </w:p>
                          </w:txbxContent>
                        </wps:txbx>
                        <wps:bodyPr horzOverflow="overflow" vert="horz" lIns="0" tIns="0" rIns="0" bIns="0" rtlCol="0">
                          <a:noAutofit/>
                        </wps:bodyPr>
                      </wps:wsp>
                      <wps:wsp>
                        <wps:cNvPr id="24280" name="Rectangle 24280"/>
                        <wps:cNvSpPr/>
                        <wps:spPr>
                          <a:xfrm rot="-10799999">
                            <a:off x="18972" y="1662010"/>
                            <a:ext cx="50724" cy="185801"/>
                          </a:xfrm>
                          <a:prstGeom prst="rect">
                            <a:avLst/>
                          </a:prstGeom>
                          <a:ln>
                            <a:noFill/>
                          </a:ln>
                        </wps:spPr>
                        <wps:txbx>
                          <w:txbxContent>
                            <w:p w14:paraId="63C91F8F" w14:textId="77777777" w:rsidR="00B32EF2" w:rsidRDefault="00000000">
                              <w:r>
                                <w:rPr>
                                  <w:rFonts w:ascii="Arial" w:eastAsia="Arial" w:hAnsi="Arial" w:cs="Arial"/>
                                  <w:b/>
                                  <w:color w:val="181717"/>
                                </w:rPr>
                                <w:t>-</w:t>
                              </w:r>
                            </w:p>
                          </w:txbxContent>
                        </wps:txbx>
                        <wps:bodyPr horzOverflow="overflow" vert="horz" lIns="0" tIns="0" rIns="0" bIns="0" rtlCol="0">
                          <a:noAutofit/>
                        </wps:bodyPr>
                      </wps:wsp>
                      <wps:wsp>
                        <wps:cNvPr id="24281" name="Rectangle 24281"/>
                        <wps:cNvSpPr/>
                        <wps:spPr>
                          <a:xfrm rot="-10799999">
                            <a:off x="-1317321" y="1501355"/>
                            <a:ext cx="5309208" cy="185802"/>
                          </a:xfrm>
                          <a:prstGeom prst="rect">
                            <a:avLst/>
                          </a:prstGeom>
                          <a:ln>
                            <a:noFill/>
                          </a:ln>
                        </wps:spPr>
                        <wps:txbx>
                          <w:txbxContent>
                            <w:p w14:paraId="05062143" w14:textId="77777777" w:rsidR="00B32EF2" w:rsidRDefault="00000000">
                              <w:r>
                                <w:rPr>
                                  <w:rFonts w:ascii="Arial" w:eastAsia="Arial" w:hAnsi="Arial" w:cs="Arial"/>
                                  <w:b/>
                                  <w:color w:val="181717"/>
                                </w:rPr>
                                <w:t xml:space="preserve">gnamento di “Problematiche fiscali delle imprese” e di “Diritto tributario” </w:t>
                              </w:r>
                            </w:p>
                          </w:txbxContent>
                        </wps:txbx>
                        <wps:bodyPr horzOverflow="overflow" vert="horz" lIns="0" tIns="0" rIns="0" bIns="0" rtlCol="0">
                          <a:noAutofit/>
                        </wps:bodyPr>
                      </wps:wsp>
                      <wps:wsp>
                        <wps:cNvPr id="24282" name="Rectangle 24282"/>
                        <wps:cNvSpPr/>
                        <wps:spPr>
                          <a:xfrm rot="-10799999">
                            <a:off x="-1322694" y="1340700"/>
                            <a:ext cx="5332043" cy="185802"/>
                          </a:xfrm>
                          <a:prstGeom prst="rect">
                            <a:avLst/>
                          </a:prstGeom>
                          <a:ln>
                            <a:noFill/>
                          </a:ln>
                        </wps:spPr>
                        <wps:txbx>
                          <w:txbxContent>
                            <w:p w14:paraId="6AF166DA" w14:textId="77777777" w:rsidR="00B32EF2" w:rsidRDefault="00000000">
                              <w:r>
                                <w:rPr>
                                  <w:rFonts w:ascii="Arial" w:eastAsia="Arial" w:hAnsi="Arial" w:cs="Arial"/>
                                  <w:b/>
                                  <w:color w:val="181717"/>
                                </w:rPr>
                                <w:t xml:space="preserve">presso l’Università Partenope di Napoli. Giudice Tributario. Si occupa, </w:t>
                              </w:r>
                            </w:p>
                          </w:txbxContent>
                        </wps:txbx>
                        <wps:bodyPr horzOverflow="overflow" vert="horz" lIns="0" tIns="0" rIns="0" bIns="0" rtlCol="0">
                          <a:noAutofit/>
                        </wps:bodyPr>
                      </wps:wsp>
                      <wps:wsp>
                        <wps:cNvPr id="24283" name="Rectangle 24283"/>
                        <wps:cNvSpPr/>
                        <wps:spPr>
                          <a:xfrm rot="-10799999">
                            <a:off x="-131967" y="1180045"/>
                            <a:ext cx="4123853" cy="185802"/>
                          </a:xfrm>
                          <a:prstGeom prst="rect">
                            <a:avLst/>
                          </a:prstGeom>
                          <a:ln>
                            <a:noFill/>
                          </a:ln>
                        </wps:spPr>
                        <wps:txbx>
                          <w:txbxContent>
                            <w:p w14:paraId="0A70E0E0" w14:textId="77777777" w:rsidR="00B32EF2" w:rsidRDefault="00000000">
                              <w:r>
                                <w:rPr>
                                  <w:rFonts w:ascii="Arial" w:eastAsia="Arial" w:hAnsi="Arial" w:cs="Arial"/>
                                  <w:b/>
                                  <w:color w:val="181717"/>
                                </w:rPr>
                                <w:t>come impegno sociale, di volontariato e di equità fiscale.</w:t>
                              </w:r>
                            </w:p>
                          </w:txbxContent>
                        </wps:txbx>
                        <wps:bodyPr horzOverflow="overflow" vert="horz" lIns="0" tIns="0" rIns="0" bIns="0" rtlCol="0">
                          <a:noAutofit/>
                        </wps:bodyPr>
                      </wps:wsp>
                      <wps:wsp>
                        <wps:cNvPr id="24284" name="Rectangle 24284"/>
                        <wps:cNvSpPr/>
                        <wps:spPr>
                          <a:xfrm rot="-10799999">
                            <a:off x="2765375" y="917828"/>
                            <a:ext cx="1226510" cy="185801"/>
                          </a:xfrm>
                          <a:prstGeom prst="rect">
                            <a:avLst/>
                          </a:prstGeom>
                          <a:ln>
                            <a:noFill/>
                          </a:ln>
                        </wps:spPr>
                        <wps:txbx>
                          <w:txbxContent>
                            <w:p w14:paraId="031699B9" w14:textId="77777777" w:rsidR="00B32EF2" w:rsidRDefault="00000000">
                              <w:r>
                                <w:rPr>
                                  <w:rFonts w:ascii="Arial" w:eastAsia="Arial" w:hAnsi="Arial" w:cs="Arial"/>
                                  <w:b/>
                                  <w:color w:val="009ED5"/>
                                </w:rPr>
                                <w:t>Michele Di Fiore</w:t>
                              </w:r>
                            </w:p>
                          </w:txbxContent>
                        </wps:txbx>
                        <wps:bodyPr horzOverflow="overflow" vert="horz" lIns="0" tIns="0" rIns="0" bIns="0" rtlCol="0">
                          <a:noAutofit/>
                        </wps:bodyPr>
                      </wps:wsp>
                      <wps:wsp>
                        <wps:cNvPr id="24285" name="Rectangle 24285"/>
                        <wps:cNvSpPr/>
                        <wps:spPr>
                          <a:xfrm rot="-10799999">
                            <a:off x="-1020099" y="917828"/>
                            <a:ext cx="4111591" cy="185802"/>
                          </a:xfrm>
                          <a:prstGeom prst="rect">
                            <a:avLst/>
                          </a:prstGeom>
                          <a:ln>
                            <a:noFill/>
                          </a:ln>
                        </wps:spPr>
                        <wps:txbx>
                          <w:txbxContent>
                            <w:p w14:paraId="3A2FD828" w14:textId="77777777" w:rsidR="00B32EF2" w:rsidRDefault="00000000">
                              <w:r>
                                <w:rPr>
                                  <w:rFonts w:ascii="Arial" w:eastAsia="Arial" w:hAnsi="Arial" w:cs="Arial"/>
                                  <w:b/>
                                  <w:color w:val="181717"/>
                                </w:rPr>
                                <w:t xml:space="preserve">, Avvocato tributarista cassazionista, Presidente della </w:t>
                              </w:r>
                            </w:p>
                          </w:txbxContent>
                        </wps:txbx>
                        <wps:bodyPr horzOverflow="overflow" vert="horz" lIns="0" tIns="0" rIns="0" bIns="0" rtlCol="0">
                          <a:noAutofit/>
                        </wps:bodyPr>
                      </wps:wsp>
                      <wps:wsp>
                        <wps:cNvPr id="24286" name="Rectangle 24286"/>
                        <wps:cNvSpPr/>
                        <wps:spPr>
                          <a:xfrm rot="-10799999">
                            <a:off x="-1224272" y="757174"/>
                            <a:ext cx="5216159" cy="185802"/>
                          </a:xfrm>
                          <a:prstGeom prst="rect">
                            <a:avLst/>
                          </a:prstGeom>
                          <a:ln>
                            <a:noFill/>
                          </a:ln>
                        </wps:spPr>
                        <wps:txbx>
                          <w:txbxContent>
                            <w:p w14:paraId="65E6EB5F" w14:textId="77777777" w:rsidR="00B32EF2" w:rsidRDefault="00000000">
                              <w:r>
                                <w:rPr>
                                  <w:rFonts w:ascii="Arial" w:eastAsia="Arial" w:hAnsi="Arial" w:cs="Arial"/>
                                  <w:b/>
                                  <w:color w:val="181717"/>
                                </w:rPr>
                                <w:t>Camera degli Avvocati Tributaristi di Napoli. E’ stato Direttore della Scuo</w:t>
                              </w:r>
                            </w:p>
                          </w:txbxContent>
                        </wps:txbx>
                        <wps:bodyPr horzOverflow="overflow" vert="horz" lIns="0" tIns="0" rIns="0" bIns="0" rtlCol="0">
                          <a:noAutofit/>
                        </wps:bodyPr>
                      </wps:wsp>
                      <wps:wsp>
                        <wps:cNvPr id="24287" name="Rectangle 24287"/>
                        <wps:cNvSpPr/>
                        <wps:spPr>
                          <a:xfrm rot="-10799999">
                            <a:off x="19237" y="757174"/>
                            <a:ext cx="50724" cy="185801"/>
                          </a:xfrm>
                          <a:prstGeom prst="rect">
                            <a:avLst/>
                          </a:prstGeom>
                          <a:ln>
                            <a:noFill/>
                          </a:ln>
                        </wps:spPr>
                        <wps:txbx>
                          <w:txbxContent>
                            <w:p w14:paraId="517210C6" w14:textId="77777777" w:rsidR="00B32EF2" w:rsidRDefault="00000000">
                              <w:r>
                                <w:rPr>
                                  <w:rFonts w:ascii="Arial" w:eastAsia="Arial" w:hAnsi="Arial" w:cs="Arial"/>
                                  <w:b/>
                                  <w:color w:val="181717"/>
                                </w:rPr>
                                <w:t>-</w:t>
                              </w:r>
                            </w:p>
                          </w:txbxContent>
                        </wps:txbx>
                        <wps:bodyPr horzOverflow="overflow" vert="horz" lIns="0" tIns="0" rIns="0" bIns="0" rtlCol="0">
                          <a:noAutofit/>
                        </wps:bodyPr>
                      </wps:wsp>
                      <wps:wsp>
                        <wps:cNvPr id="24288" name="Rectangle 24288"/>
                        <wps:cNvSpPr/>
                        <wps:spPr>
                          <a:xfrm rot="-10799999">
                            <a:off x="-1224254" y="596518"/>
                            <a:ext cx="5216140" cy="185802"/>
                          </a:xfrm>
                          <a:prstGeom prst="rect">
                            <a:avLst/>
                          </a:prstGeom>
                          <a:ln>
                            <a:noFill/>
                          </a:ln>
                        </wps:spPr>
                        <wps:txbx>
                          <w:txbxContent>
                            <w:p w14:paraId="61B3787F" w14:textId="77777777" w:rsidR="00B32EF2" w:rsidRDefault="00000000">
                              <w:r>
                                <w:rPr>
                                  <w:rFonts w:ascii="Arial" w:eastAsia="Arial" w:hAnsi="Arial" w:cs="Arial"/>
                                  <w:b/>
                                  <w:color w:val="181717"/>
                                </w:rPr>
                                <w:t>la di Alta Formazione e Specializzazione dell’Avvocato Tributarista dell’U</w:t>
                              </w:r>
                            </w:p>
                          </w:txbxContent>
                        </wps:txbx>
                        <wps:bodyPr horzOverflow="overflow" vert="horz" lIns="0" tIns="0" rIns="0" bIns="0" rtlCol="0">
                          <a:noAutofit/>
                        </wps:bodyPr>
                      </wps:wsp>
                      <wps:wsp>
                        <wps:cNvPr id="24289" name="Rectangle 24289"/>
                        <wps:cNvSpPr/>
                        <wps:spPr>
                          <a:xfrm rot="-10799999">
                            <a:off x="19252" y="596519"/>
                            <a:ext cx="50724" cy="185801"/>
                          </a:xfrm>
                          <a:prstGeom prst="rect">
                            <a:avLst/>
                          </a:prstGeom>
                          <a:ln>
                            <a:noFill/>
                          </a:ln>
                        </wps:spPr>
                        <wps:txbx>
                          <w:txbxContent>
                            <w:p w14:paraId="6FD9300A" w14:textId="77777777" w:rsidR="00B32EF2" w:rsidRDefault="00000000">
                              <w:r>
                                <w:rPr>
                                  <w:rFonts w:ascii="Arial" w:eastAsia="Arial" w:hAnsi="Arial" w:cs="Arial"/>
                                  <w:b/>
                                  <w:color w:val="181717"/>
                                </w:rPr>
                                <w:t>-</w:t>
                              </w:r>
                            </w:p>
                          </w:txbxContent>
                        </wps:txbx>
                        <wps:bodyPr horzOverflow="overflow" vert="horz" lIns="0" tIns="0" rIns="0" bIns="0" rtlCol="0">
                          <a:noAutofit/>
                        </wps:bodyPr>
                      </wps:wsp>
                      <wps:wsp>
                        <wps:cNvPr id="24290" name="Rectangle 24290"/>
                        <wps:cNvSpPr/>
                        <wps:spPr>
                          <a:xfrm rot="-10799999">
                            <a:off x="-1224458" y="435864"/>
                            <a:ext cx="5216345" cy="185802"/>
                          </a:xfrm>
                          <a:prstGeom prst="rect">
                            <a:avLst/>
                          </a:prstGeom>
                          <a:ln>
                            <a:noFill/>
                          </a:ln>
                        </wps:spPr>
                        <wps:txbx>
                          <w:txbxContent>
                            <w:p w14:paraId="0F3382A6" w14:textId="77777777" w:rsidR="00B32EF2" w:rsidRDefault="00000000">
                              <w:r>
                                <w:rPr>
                                  <w:rFonts w:ascii="Arial" w:eastAsia="Arial" w:hAnsi="Arial" w:cs="Arial"/>
                                  <w:b/>
                                  <w:color w:val="181717"/>
                                </w:rPr>
                                <w:t>nione Nazionale delle Camere degli Avvocati Tributaristi-UNCAT, profes</w:t>
                              </w:r>
                            </w:p>
                          </w:txbxContent>
                        </wps:txbx>
                        <wps:bodyPr horzOverflow="overflow" vert="horz" lIns="0" tIns="0" rIns="0" bIns="0" rtlCol="0">
                          <a:noAutofit/>
                        </wps:bodyPr>
                      </wps:wsp>
                      <wps:wsp>
                        <wps:cNvPr id="24291" name="Rectangle 24291"/>
                        <wps:cNvSpPr/>
                        <wps:spPr>
                          <a:xfrm rot="-10799999">
                            <a:off x="19098" y="435864"/>
                            <a:ext cx="50724" cy="185801"/>
                          </a:xfrm>
                          <a:prstGeom prst="rect">
                            <a:avLst/>
                          </a:prstGeom>
                          <a:ln>
                            <a:noFill/>
                          </a:ln>
                        </wps:spPr>
                        <wps:txbx>
                          <w:txbxContent>
                            <w:p w14:paraId="019AF17C" w14:textId="77777777" w:rsidR="00B32EF2" w:rsidRDefault="00000000">
                              <w:r>
                                <w:rPr>
                                  <w:rFonts w:ascii="Arial" w:eastAsia="Arial" w:hAnsi="Arial" w:cs="Arial"/>
                                  <w:b/>
                                  <w:color w:val="181717"/>
                                </w:rPr>
                                <w:t>-</w:t>
                              </w:r>
                            </w:p>
                          </w:txbxContent>
                        </wps:txbx>
                        <wps:bodyPr horzOverflow="overflow" vert="horz" lIns="0" tIns="0" rIns="0" bIns="0" rtlCol="0">
                          <a:noAutofit/>
                        </wps:bodyPr>
                      </wps:wsp>
                      <wps:wsp>
                        <wps:cNvPr id="24292" name="Rectangle 24292"/>
                        <wps:cNvSpPr/>
                        <wps:spPr>
                          <a:xfrm rot="-10799999">
                            <a:off x="-1317284" y="275208"/>
                            <a:ext cx="5309171" cy="185802"/>
                          </a:xfrm>
                          <a:prstGeom prst="rect">
                            <a:avLst/>
                          </a:prstGeom>
                          <a:ln>
                            <a:noFill/>
                          </a:ln>
                        </wps:spPr>
                        <wps:txbx>
                          <w:txbxContent>
                            <w:p w14:paraId="10B3BC7E" w14:textId="77777777" w:rsidR="00B32EF2" w:rsidRDefault="00000000">
                              <w:r>
                                <w:rPr>
                                  <w:rFonts w:ascii="Arial" w:eastAsia="Arial" w:hAnsi="Arial" w:cs="Arial"/>
                                  <w:b/>
                                  <w:color w:val="181717"/>
                                </w:rPr>
                                <w:t xml:space="preserve">sore a contratto di Diritto Tributario nell’Università di Napoli Federico II </w:t>
                              </w:r>
                            </w:p>
                          </w:txbxContent>
                        </wps:txbx>
                        <wps:bodyPr horzOverflow="overflow" vert="horz" lIns="0" tIns="0" rIns="0" bIns="0" rtlCol="0">
                          <a:noAutofit/>
                        </wps:bodyPr>
                      </wps:wsp>
                      <wps:wsp>
                        <wps:cNvPr id="24293" name="Rectangle 24293"/>
                        <wps:cNvSpPr/>
                        <wps:spPr>
                          <a:xfrm rot="-10799999">
                            <a:off x="-1320926" y="114554"/>
                            <a:ext cx="5324128" cy="185802"/>
                          </a:xfrm>
                          <a:prstGeom prst="rect">
                            <a:avLst/>
                          </a:prstGeom>
                          <a:ln>
                            <a:noFill/>
                          </a:ln>
                        </wps:spPr>
                        <wps:txbx>
                          <w:txbxContent>
                            <w:p w14:paraId="3A1DA466" w14:textId="77777777" w:rsidR="00B32EF2" w:rsidRDefault="00000000">
                              <w:r>
                                <w:rPr>
                                  <w:rFonts w:ascii="Arial" w:eastAsia="Arial" w:hAnsi="Arial" w:cs="Arial"/>
                                  <w:b/>
                                  <w:color w:val="181717"/>
                                </w:rPr>
                                <w:t xml:space="preserve">e nell’Università di Salerno, componente della Commissione di studi di </w:t>
                              </w:r>
                            </w:p>
                          </w:txbxContent>
                        </wps:txbx>
                        <wps:bodyPr horzOverflow="overflow" vert="horz" lIns="0" tIns="0" rIns="0" bIns="0" rtlCol="0">
                          <a:noAutofit/>
                        </wps:bodyPr>
                      </wps:wsp>
                      <wps:wsp>
                        <wps:cNvPr id="24294" name="Rectangle 24294"/>
                        <wps:cNvSpPr/>
                        <wps:spPr>
                          <a:xfrm rot="-10799999">
                            <a:off x="-546117" y="-46100"/>
                            <a:ext cx="4538004" cy="185802"/>
                          </a:xfrm>
                          <a:prstGeom prst="rect">
                            <a:avLst/>
                          </a:prstGeom>
                          <a:ln>
                            <a:noFill/>
                          </a:ln>
                        </wps:spPr>
                        <wps:txbx>
                          <w:txbxContent>
                            <w:p w14:paraId="0068A565" w14:textId="77777777" w:rsidR="00B32EF2" w:rsidRDefault="00000000">
                              <w:r>
                                <w:rPr>
                                  <w:rFonts w:ascii="Arial" w:eastAsia="Arial" w:hAnsi="Arial" w:cs="Arial"/>
                                  <w:b/>
                                  <w:color w:val="181717"/>
                                </w:rPr>
                                <w:t>Diritto Tributario del Consiglio Nazionale Forense e del COA di</w:t>
                              </w:r>
                            </w:p>
                          </w:txbxContent>
                        </wps:txbx>
                        <wps:bodyPr horzOverflow="overflow" vert="horz" lIns="0" tIns="0" rIns="0" bIns="0" rtlCol="0">
                          <a:noAutofit/>
                        </wps:bodyPr>
                      </wps:wsp>
                      <wps:wsp>
                        <wps:cNvPr id="24295" name="Rectangle 24295"/>
                        <wps:cNvSpPr/>
                        <wps:spPr>
                          <a:xfrm rot="-10799999">
                            <a:off x="-12852" y="-46100"/>
                            <a:ext cx="592705" cy="185801"/>
                          </a:xfrm>
                          <a:prstGeom prst="rect">
                            <a:avLst/>
                          </a:prstGeom>
                          <a:ln>
                            <a:noFill/>
                          </a:ln>
                        </wps:spPr>
                        <wps:txbx>
                          <w:txbxContent>
                            <w:p w14:paraId="437BBEFA" w14:textId="77777777" w:rsidR="00B32EF2" w:rsidRDefault="00000000">
                              <w:r>
                                <w:rPr>
                                  <w:rFonts w:ascii="Arial" w:eastAsia="Arial" w:hAnsi="Arial" w:cs="Arial"/>
                                  <w:b/>
                                  <w:color w:val="181717"/>
                                </w:rPr>
                                <w:t xml:space="preserve"> Napoli. </w:t>
                              </w:r>
                            </w:p>
                          </w:txbxContent>
                        </wps:txbx>
                        <wps:bodyPr horzOverflow="overflow" vert="horz" lIns="0" tIns="0" rIns="0" bIns="0" rtlCol="0">
                          <a:noAutofit/>
                        </wps:bodyPr>
                      </wps:wsp>
                    </wpg:wgp>
                  </a:graphicData>
                </a:graphic>
              </wp:inline>
            </w:drawing>
          </mc:Choice>
          <mc:Fallback>
            <w:pict>
              <v:group w14:anchorId="5DC4769C" id="Group 202486" o:spid="_x0000_s7491" style="width:314.3pt;height:191.45pt;mso-position-horizontal-relative:char;mso-position-vertical-relative:line" coordsize="39918,24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0WTFwUAAIkuAAAOAAAAZHJzL2Uyb0RvYy54bWzkWtGOozYUfa/Uf0C8Z4JtDHY0mVXV7Y4q&#10;Vd1Vt/0AhkASiWBkmMlMv77HJnGyGbdViRQqMQ8ZYgiYc3zuvT72/YfXXRW8FLrdqnoZkrsoDIo6&#10;V6ttvV6Gf/z+aSbCoO2yepVVqi6W4VvRhh8evv/uft8sCqo2qloVOsBN6naxb5bhpuuaxXze5pti&#10;l7V3qilqnCyV3mUdvur1fKWzPe6+q+Y0ipL5XulVo1VetC1aP/Ynwwd7/7Is8u5zWbZFF1TLEH3r&#10;7Ke2n0/mc/5wny3WOms22/zQjWxAL3bZtsZD3a0+Zl0WPOvtu1vttrlWrSq7u1zt5qost3lh3wFv&#10;Q6KLt3nU6rmx77Je7NeNgwnQXuA0+Lb5ry+PuvnafNFAYt+sgYX9Zt7ltdQ78x+9DF4tZG8OsuK1&#10;C3I0MimJEEkY5DhHY0YYkz2o+QbIv/tdvvnpX345Pz54/k139g0GSHvCoL0Og6+brCkstO0CGHzR&#10;wXZlXoCmLAzqbIeh+hsGT1avqyLomy1A9moHV7togdwRq0ArjK8ZiVJp/ux4OGDHeMxYQsPAoERj&#10;zlnao3TEMY4Fp3i0gZEILiJqzjssskWj2+6xULvAHCxDjc7ZB2Qvv7Rdf+nxEtOfqjaftfq0rar+&#10;rGkBpMcum6Pu9enVvndCo9g8zzQ+qdUb4Ngo/ednCLus1H4ZqsNRaLSOx5uzYVD9XIMGI6vjgT4e&#10;PB0PdFf9qKz4+g798Nypcmt7fHraoWfgt+/DTYiO/UQ7IDAs/jvRVIDqhFiiiRSMUfIt0YTwJKb8&#10;jGl7wQ2Z5pNjGmj7JO2AGMQ0i1iaJEhvRrE+pkWcjspzMjmekYZ8PDsgBvE8kyQWpA/dXp6ZTKOI&#10;QPKjxW6bS07RdAKxO/Uz7YAYxDSRPEIKdno+VIfHFM2jlCJnOJZvHbfF5PSM4OrTswNiEMszwoiM&#10;JUaQLbUoTRKbCLKFI5oRwRJ5RvWtizFbQk9K0EDbR7UDYiDVqLUTirRgqE5Q5ZJLTVOScBPcnapv&#10;THXfoSlRLTBf8FCN5sMEZBDVRMj0kKO9PI8bu1EdTGx2JVAP+Vh2QAxi2cTu1EyprKB5RBh/F7sj&#10;SSMkjtEEbQPIpAQN3fmodkAMpRqpWaLgMrGbxRGKbCOi8zTNYFuM6JkQNjlV+80x4YAYSjWRyaEg&#10;IyKK4gtRx4Qywcdk2plCU3HHhN8dQ/M1WZqmCZxP2DHQtCSpoLaUP0maQPIcJdEpet94kkWcJzQZ&#10;ov3mmHBADJR0hNUZeOB/x3RMYITKEU0T4lyhyTDtt8eweHONpGfQLFZN+to75SlJbYg4aZpjigWq&#10;zzR96ymWc4Umw7TfHhMOiEGaJpJi1coI2kvzyDMsZwpNhmS/OyYcEINI7uXM+7KbS2TjixRt5Ryf&#10;p+hby9l5QpNh2m+OCQfEIKYhZ95HbUuzvdlZ1B5XztS5QVMhWfptMTRfnZ1j3q9SxoyLxJOdGeZb&#10;p4r7xnLu18en5JeYqtfjl6D5GqaJjOQ/0DyynJ0XNBk5+00x6YAYFLOt/0nN3BxVGE25cToxaM7C&#10;Noswrx5xWoU9TIdRPBmm/Z6YdEAMZZrCyT4sXRHsGLsM3IzCFhvR6MZa+NSY9nti8KivCdwzs1+M&#10;9BOrGQ4vbe6YM2OJjpihnRU0GUn7PTHpgBgoaYo9njZ0+3jmkqbReSF2Y+sTseZ/ome78Rf7ne3+&#10;18PebLOh+vy73TF62kH+8BcAAAD//wMAUEsDBBQABgAIAAAAIQC1Eu3I3QAAAAUBAAAPAAAAZHJz&#10;L2Rvd25yZXYueG1sTI9BS8NAEIXvgv9hGcGb3STFEGM2pRT1VARbQbxNs9MkNDsbstsk/feuXupl&#10;4PEe731TrGbTiZEG11pWEC8iEMSV1S3XCj73rw8ZCOeRNXaWScGFHKzK25sCc20n/qBx52sRStjl&#10;qKDxvs+ldFVDBt3C9sTBO9rBoA9yqKUecArlppNJFKXSYMthocGeNg1Vp93ZKHibcFov45dxezpu&#10;Lt/7x/evbUxK3d/N62cQnmZ/DcMvfkCHMjAd7Jm1E52C8Ij/u8FLkywFcVCwzJInkGUh/9OXPwAA&#10;AP//AwBQSwECLQAUAAYACAAAACEAtoM4kv4AAADhAQAAEwAAAAAAAAAAAAAAAAAAAAAAW0NvbnRl&#10;bnRfVHlwZXNdLnhtbFBLAQItABQABgAIAAAAIQA4/SH/1gAAAJQBAAALAAAAAAAAAAAAAAAAAC8B&#10;AABfcmVscy8ucmVsc1BLAQItABQABgAIAAAAIQDQd0WTFwUAAIkuAAAOAAAAAAAAAAAAAAAAAC4C&#10;AABkcnMvZTJvRG9jLnhtbFBLAQItABQABgAIAAAAIQC1Eu3I3QAAAAUBAAAPAAAAAAAAAAAAAAAA&#10;AHEHAABkcnMvZG93bnJldi54bWxQSwUGAAAAAAQABADzAAAAewgAAAAA&#10;">
                <v:rect id="Rectangle 24273" o:spid="_x0000_s7492" style="position:absolute;left:35433;top:22455;width:4485;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s2UxwAAAN4AAAAPAAAAZHJzL2Rvd25yZXYueG1sRI9Ba8JA&#10;FITvgv9heUJvumkqraSuIoo0h160KfT4yD6TtNm3S3Y1qb++KxQ8DjPzDbNcD6YVF+p8Y1nB4ywB&#10;QVxa3XCloPjYTxcgfEDW2FomBb/kYb0aj5aYadvzgS7HUIkIYZ+hgjoEl0npy5oM+pl1xNE72c5g&#10;iLKrpO6wj3DTyjRJnqXBhuNCjY62NZU/x7NR8LVjl+97WZ6uW/f+nS/at3PxqdTDZNi8ggg0hHv4&#10;v51rBek8fXmC2514BeTqDwAA//8DAFBLAQItABQABgAIAAAAIQDb4fbL7gAAAIUBAAATAAAAAAAA&#10;AAAAAAAAAAAAAABbQ29udGVudF9UeXBlc10ueG1sUEsBAi0AFAAGAAgAAAAhAFr0LFu/AAAAFQEA&#10;AAsAAAAAAAAAAAAAAAAAHwEAAF9yZWxzLy5yZWxzUEsBAi0AFAAGAAgAAAAhADHOzZTHAAAA3gAA&#10;AA8AAAAAAAAAAAAAAAAABwIAAGRycy9kb3ducmV2LnhtbFBLBQYAAAAAAwADALcAAAD7AgAAAAA=&#10;" filled="f" stroked="f">
                  <v:textbox inset="0,0,0,0">
                    <w:txbxContent>
                      <w:p w14:paraId="3EDC1145" w14:textId="77777777" w:rsidR="00B32EF2" w:rsidRDefault="00000000">
                        <w:r>
                          <w:rPr>
                            <w:rFonts w:ascii="Arial" w:eastAsia="Arial" w:hAnsi="Arial" w:cs="Arial"/>
                            <w:b/>
                            <w:color w:val="181717"/>
                          </w:rPr>
                          <w:t>Autori</w:t>
                        </w:r>
                      </w:p>
                    </w:txbxContent>
                  </v:textbox>
                </v:rect>
                <v:rect id="Rectangle 24274" o:spid="_x0000_s7493" style="position:absolute;left:28354;top:19833;width:11564;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XgxwAAAN4AAAAPAAAAZHJzL2Rvd25yZXYueG1sRI9Pa8JA&#10;FMTvBb/D8oTe6qZBrERXKRZpDl78Bx4f2WeSNvt2ya4m9dO7QsHjMDO/YebL3jTiSq2vLSt4HyUg&#10;iAuray4VHPbrtykIH5A1NpZJwR95WC4GL3PMtO14S9ddKEWEsM9QQRWCy6T0RUUG/cg64uidbWsw&#10;RNmWUrfYRbhpZJokE2mw5rhQoaNVRcXv7mIUnL7Y5etOFufbym1+8mnzfTkclXod9p8zEIH68Az/&#10;t3OtIB2nH2N43IlXQC7uAAAA//8DAFBLAQItABQABgAIAAAAIQDb4fbL7gAAAIUBAAATAAAAAAAA&#10;AAAAAAAAAAAAAABbQ29udGVudF9UeXBlc10ueG1sUEsBAi0AFAAGAAgAAAAhAFr0LFu/AAAAFQEA&#10;AAsAAAAAAAAAAAAAAAAAHwEAAF9yZWxzLy5yZWxzUEsBAi0AFAAGAAgAAAAhAL4nVeDHAAAA3gAA&#10;AA8AAAAAAAAAAAAAAAAABwIAAGRycy9kb3ducmV2LnhtbFBLBQYAAAAAAwADALcAAAD7AgAAAAA=&#10;" filled="f" stroked="f">
                  <v:textbox inset="0,0,0,0">
                    <w:txbxContent>
                      <w:p w14:paraId="641E3574" w14:textId="77777777" w:rsidR="00B32EF2" w:rsidRDefault="00000000">
                        <w:r>
                          <w:rPr>
                            <w:rFonts w:ascii="Arial" w:eastAsia="Arial" w:hAnsi="Arial" w:cs="Arial"/>
                            <w:b/>
                            <w:color w:val="009ED5"/>
                          </w:rPr>
                          <w:t>Oreste Saccone</w:t>
                        </w:r>
                      </w:p>
                    </w:txbxContent>
                  </v:textbox>
                </v:rect>
                <v:rect id="Rectangle 24275" o:spid="_x0000_s7494" style="position:absolute;left:30376;top:19833;width:847;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B7xwAAAN4AAAAPAAAAZHJzL2Rvd25yZXYueG1sRI9Ba8JA&#10;FITvgv9heUJvummoraSuIoo0h160KfT4yD6TtNm3S3Y1qb++KxQ8DjPzDbNcD6YVF+p8Y1nB4ywB&#10;QVxa3XCloPjYTxcgfEDW2FomBb/kYb0aj5aYadvzgS7HUIkIYZ+hgjoEl0npy5oM+pl1xNE72c5g&#10;iLKrpO6wj3DTyjRJnqXBhuNCjY62NZU/x7NR8LVjl+97WZ6uW/f+nS/at3PxqdTDZNi8ggg0hHv4&#10;v51rBelT+jKH2514BeTqDwAA//8DAFBLAQItABQABgAIAAAAIQDb4fbL7gAAAIUBAAATAAAAAAAA&#10;AAAAAAAAAAAAAABbQ29udGVudF9UeXBlc10ueG1sUEsBAi0AFAAGAAgAAAAhAFr0LFu/AAAAFQEA&#10;AAsAAAAAAAAAAAAAAAAAHwEAAF9yZWxzLy5yZWxzUEsBAi0AFAAGAAgAAAAhANFr8HvHAAAA3gAA&#10;AA8AAAAAAAAAAAAAAAAABwIAAGRycy9kb3ducmV2LnhtbFBLBQYAAAAAAwADALcAAAD7AgAAAAA=&#10;" filled="f" stroked="f">
                  <v:textbox inset="0,0,0,0">
                    <w:txbxContent>
                      <w:p w14:paraId="69B0CDD9" w14:textId="77777777" w:rsidR="00B32EF2" w:rsidRDefault="00000000">
                        <w:r>
                          <w:rPr>
                            <w:rFonts w:ascii="Arial" w:eastAsia="Arial" w:hAnsi="Arial" w:cs="Arial"/>
                            <w:b/>
                            <w:color w:val="2C3648"/>
                          </w:rPr>
                          <w:t xml:space="preserve">, </w:t>
                        </w:r>
                      </w:p>
                    </w:txbxContent>
                  </v:textbox>
                </v:rect>
                <v:rect id="Rectangle 24276" o:spid="_x0000_s7495" style="position:absolute;left:-9148;top:19833;width:39699;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W4MxwAAAN4AAAAPAAAAZHJzL2Rvd25yZXYueG1sRI9Pa8JA&#10;FMTvgt9heYI33TSIlegqxSLNoRf/gcdH9pmkzb5dsqtJ++m7QsHjMDO/YVab3jTiTq2vLSt4mSYg&#10;iAuray4VnI67yQKED8gaG8uk4Ic8bNbDwQozbTve0/0QShEh7DNUUIXgMil9UZFBP7WOOHpX2xoM&#10;Ubal1C12EW4amSbJXBqsOS5U6GhbUfF9uBkFl3d2+a6TxfV36z6/8kXzcTudlRqP+rcliEB9eIb/&#10;27lWkM7S1zk87sQrINd/AAAA//8DAFBLAQItABQABgAIAAAAIQDb4fbL7gAAAIUBAAATAAAAAAAA&#10;AAAAAAAAAAAAAABbQ29udGVudF9UeXBlc10ueG1sUEsBAi0AFAAGAAgAAAAhAFr0LFu/AAAAFQEA&#10;AAsAAAAAAAAAAAAAAAAAHwEAAF9yZWxzLy5yZWxzUEsBAi0AFAAGAAgAAAAhACG5bgzHAAAA3gAA&#10;AA8AAAAAAAAAAAAAAAAABwIAAGRycy9kb3ducmV2LnhtbFBLBQYAAAAAAwADALcAAAD7AgAAAAA=&#10;" filled="f" stroked="f">
                  <v:textbox inset="0,0,0,0">
                    <w:txbxContent>
                      <w:p w14:paraId="30408ACF" w14:textId="77777777" w:rsidR="00B32EF2" w:rsidRDefault="00000000">
                        <w:r>
                          <w:rPr>
                            <w:rFonts w:ascii="Arial" w:eastAsia="Arial" w:hAnsi="Arial" w:cs="Arial"/>
                            <w:b/>
                            <w:color w:val="181717"/>
                          </w:rPr>
                          <w:t>dirigente di vertice dell’Agenzia delle entrate in pensio</w:t>
                        </w:r>
                      </w:p>
                    </w:txbxContent>
                  </v:textbox>
                </v:rect>
                <v:rect id="Rectangle 24277" o:spid="_x0000_s7496" style="position:absolute;left:195;top:19833;width:507;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cuXxwAAAN4AAAAPAAAAZHJzL2Rvd25yZXYueG1sRI9Pa8JA&#10;FMTvgt9heYI33TRIlegqxSLNoZf6Bzw+ss8kbfbtkl1N2k/fFQSPw8z8hlltetOIG7W+tqzgZZqA&#10;IC6srrlUcDzsJgsQPiBrbCyTgl/ysFkPByvMtO34i277UIoIYZ+hgioEl0npi4oM+ql1xNG72NZg&#10;iLItpW6xi3DTyDRJXqXBmuNChY62FRU/+6tRcH5nl+86WVz+tu7zO180H9fjSanxqH9bggjUh2f4&#10;0c61gnSWzudwvxOvgFz/AwAA//8DAFBLAQItABQABgAIAAAAIQDb4fbL7gAAAIUBAAATAAAAAAAA&#10;AAAAAAAAAAAAAABbQ29udGVudF9UeXBlc10ueG1sUEsBAi0AFAAGAAgAAAAhAFr0LFu/AAAAFQEA&#10;AAsAAAAAAAAAAAAAAAAAHwEAAF9yZWxzLy5yZWxzUEsBAi0AFAAGAAgAAAAhAE71y5fHAAAA3gAA&#10;AA8AAAAAAAAAAAAAAAAABwIAAGRycy9kb3ducmV2LnhtbFBLBQYAAAAAAwADALcAAAD7AgAAAAA=&#10;" filled="f" stroked="f">
                  <v:textbox inset="0,0,0,0">
                    <w:txbxContent>
                      <w:p w14:paraId="789E9138" w14:textId="77777777" w:rsidR="00B32EF2" w:rsidRDefault="00000000">
                        <w:r>
                          <w:rPr>
                            <w:rFonts w:ascii="Arial" w:eastAsia="Arial" w:hAnsi="Arial" w:cs="Arial"/>
                            <w:b/>
                            <w:color w:val="181717"/>
                          </w:rPr>
                          <w:t>-</w:t>
                        </w:r>
                      </w:p>
                    </w:txbxContent>
                  </v:textbox>
                </v:rect>
                <v:rect id="Rectangle 24278" o:spid="_x0000_s7497" style="position:absolute;left:-13194;top:18226;width:53182;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lxAAAAN4AAAAPAAAAZHJzL2Rvd25yZXYueG1sRE/LisIw&#10;FN0P+A/hCu7G1DLMSDWKKDJduBkf4PLSXNtqcxOaaKtfP1kMzPJw3vNlbxrxoNbXlhVMxgkI4sLq&#10;mksFx8P2fQrCB2SNjWVS8CQPy8XgbY6Zth3/0GMfShFD2GeooArBZVL6oiKDfmwdceQutjUYImxL&#10;qVvsYrhpZJokn9JgzbGhQkfriorb/m4UnDfs8m0ni8tr7XbXfNp8348npUbDfjUDEagP/+I/d64V&#10;pB/pV9wb78QrIBe/AAAA//8DAFBLAQItABQABgAIAAAAIQDb4fbL7gAAAIUBAAATAAAAAAAAAAAA&#10;AAAAAAAAAABbQ29udGVudF9UeXBlc10ueG1sUEsBAi0AFAAGAAgAAAAhAFr0LFu/AAAAFQEAAAsA&#10;AAAAAAAAAAAAAAAAHwEAAF9yZWxzLy5yZWxzUEsBAi0AFAAGAAgAAAAhAD9qX+XEAAAA3gAAAA8A&#10;AAAAAAAAAAAAAAAABwIAAGRycy9kb3ducmV2LnhtbFBLBQYAAAAAAwADALcAAAD4AgAAAAA=&#10;" filled="f" stroked="f">
                  <v:textbox inset="0,0,0,0">
                    <w:txbxContent>
                      <w:p w14:paraId="13407A20" w14:textId="77777777" w:rsidR="00B32EF2" w:rsidRDefault="00000000">
                        <w:r>
                          <w:rPr>
                            <w:rFonts w:ascii="Arial" w:eastAsia="Arial" w:hAnsi="Arial" w:cs="Arial"/>
                            <w:b/>
                            <w:color w:val="181717"/>
                          </w:rPr>
                          <w:t xml:space="preserve">ne. Ha ricoperto anche l’incarico di professore stabile e prorettore della </w:t>
                        </w:r>
                      </w:p>
                    </w:txbxContent>
                  </v:textbox>
                </v:rect>
                <v:rect id="Rectangle 24279" o:spid="_x0000_s7498" style="position:absolute;left:-12246;top:16620;width:52164;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vp+xwAAAN4AAAAPAAAAZHJzL2Rvd25yZXYueG1sRI9Ba8JA&#10;FITvgv9heUJvumkoNk1dRRRpDr1oLfT4yD6TtNm3S3Y1qb++KxQ8DjPzDbNYDaYVF+p8Y1nB4ywB&#10;QVxa3XCl4Pixm2YgfEDW2FomBb/kYbUcjxaYa9vzni6HUIkIYZ+jgjoEl0vpy5oM+pl1xNE72c5g&#10;iLKrpO6wj3DTyjRJ5tJgw3GhRkebmsqfw9ko+NqyK3a9LE/XjXv/LrL27Xz8VOphMqxfQQQawj38&#10;3y60gvQpfX6B2514BeTyDwAA//8DAFBLAQItABQABgAIAAAAIQDb4fbL7gAAAIUBAAATAAAAAAAA&#10;AAAAAAAAAAAAAABbQ29udGVudF9UeXBlc10ueG1sUEsBAi0AFAAGAAgAAAAhAFr0LFu/AAAAFQEA&#10;AAsAAAAAAAAAAAAAAAAAHwEAAF9yZWxzLy5yZWxzUEsBAi0AFAAGAAgAAAAhAFAm+n7HAAAA3gAA&#10;AA8AAAAAAAAAAAAAAAAABwIAAGRycy9kb3ducmV2LnhtbFBLBQYAAAAAAwADALcAAAD7AgAAAAA=&#10;" filled="f" stroked="f">
                  <v:textbox inset="0,0,0,0">
                    <w:txbxContent>
                      <w:p w14:paraId="4A6CFC49" w14:textId="77777777" w:rsidR="00B32EF2" w:rsidRDefault="00000000">
                        <w:r>
                          <w:rPr>
                            <w:rFonts w:ascii="Arial" w:eastAsia="Arial" w:hAnsi="Arial" w:cs="Arial"/>
                            <w:b/>
                            <w:color w:val="181717"/>
                          </w:rPr>
                          <w:t>Scuola Centrale Tributaria “E. Vanoni” e professore a contratto per l’inse</w:t>
                        </w:r>
                      </w:p>
                    </w:txbxContent>
                  </v:textbox>
                </v:rect>
                <v:rect id="Rectangle 24280" o:spid="_x0000_s7499" style="position:absolute;left:189;top:16620;width:507;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SPExQAAAN4AAAAPAAAAZHJzL2Rvd25yZXYueG1sRI/NasJA&#10;FIX3Bd9huAV3ddIgJaSOIoqYhZvaCC4vmWuSmrkzZEYTffrOotDl4fzxLVaj6cSdet9aVvA+S0AQ&#10;V1a3XCsov3dvGQgfkDV2lknBgzyslpOXBebaDvxF92OoRRxhn6OCJgSXS+mrhgz6mXXE0bvY3mCI&#10;sq+l7nGI46aTaZJ8SIMtx4cGHW0aqq7Hm1Fw3rIrdoOsLs+NO/wUWbe/lSelpq/j+hNEoDH8h//a&#10;hVaQztMsAkSciAJy+QsAAP//AwBQSwECLQAUAAYACAAAACEA2+H2y+4AAACFAQAAEwAAAAAAAAAA&#10;AAAAAAAAAAAAW0NvbnRlbnRfVHlwZXNdLnhtbFBLAQItABQABgAIAAAAIQBa9CxbvwAAABUBAAAL&#10;AAAAAAAAAAAAAAAAAB8BAABfcmVscy8ucmVsc1BLAQItABQABgAIAAAAIQD0ySPExQAAAN4AAAAP&#10;AAAAAAAAAAAAAAAAAAcCAABkcnMvZG93bnJldi54bWxQSwUGAAAAAAMAAwC3AAAA+QIAAAAA&#10;" filled="f" stroked="f">
                  <v:textbox inset="0,0,0,0">
                    <w:txbxContent>
                      <w:p w14:paraId="63C91F8F" w14:textId="77777777" w:rsidR="00B32EF2" w:rsidRDefault="00000000">
                        <w:r>
                          <w:rPr>
                            <w:rFonts w:ascii="Arial" w:eastAsia="Arial" w:hAnsi="Arial" w:cs="Arial"/>
                            <w:b/>
                            <w:color w:val="181717"/>
                          </w:rPr>
                          <w:t>-</w:t>
                        </w:r>
                      </w:p>
                    </w:txbxContent>
                  </v:textbox>
                </v:rect>
                <v:rect id="Rectangle 24281" o:spid="_x0000_s7500" style="position:absolute;left:-13173;top:15013;width:53091;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ZfxgAAAN4AAAAPAAAAZHJzL2Rvd25yZXYueG1sRI9Ba8JA&#10;FITvBf/D8gRvdWMQCamrFEXMwYtWweMj+0zSZt8u2dXE/vpuodDjMDPfMMv1YFrxoM43lhXMpgkI&#10;4tLqhisF54/dawbCB2SNrWVS8CQP69XoZYm5tj0f6XEKlYgQ9jkqqENwuZS+rMmgn1pHHL2b7QyG&#10;KLtK6g77CDetTJNkIQ02HBdqdLSpqfw63Y2C65ZdsetlefveuMNnkbX7+/mi1GQ8vL+BCDSE//Bf&#10;u9AK0nmazeD3TrwCcvUDAAD//wMAUEsBAi0AFAAGAAgAAAAhANvh9svuAAAAhQEAABMAAAAAAAAA&#10;AAAAAAAAAAAAAFtDb250ZW50X1R5cGVzXS54bWxQSwECLQAUAAYACAAAACEAWvQsW78AAAAVAQAA&#10;CwAAAAAAAAAAAAAAAAAfAQAAX3JlbHMvLnJlbHNQSwECLQAUAAYACAAAACEAm4WGX8YAAADeAAAA&#10;DwAAAAAAAAAAAAAAAAAHAgAAZHJzL2Rvd25yZXYueG1sUEsFBgAAAAADAAMAtwAAAPoCAAAAAA==&#10;" filled="f" stroked="f">
                  <v:textbox inset="0,0,0,0">
                    <w:txbxContent>
                      <w:p w14:paraId="05062143" w14:textId="77777777" w:rsidR="00B32EF2" w:rsidRDefault="00000000">
                        <w:r>
                          <w:rPr>
                            <w:rFonts w:ascii="Arial" w:eastAsia="Arial" w:hAnsi="Arial" w:cs="Arial"/>
                            <w:b/>
                            <w:color w:val="181717"/>
                          </w:rPr>
                          <w:t xml:space="preserve">gnamento di “Problematiche fiscali delle imprese” e di “Diritto tributario” </w:t>
                        </w:r>
                      </w:p>
                    </w:txbxContent>
                  </v:textbox>
                </v:rect>
                <v:rect id="Rectangle 24282" o:spid="_x0000_s7501" style="position:absolute;left:-13226;top:13407;width:53319;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goxwAAAN4AAAAPAAAAZHJzL2Rvd25yZXYueG1sRI9Ba8JA&#10;FITvBf/D8oTe6qahSEjdhKKIOXjRKvT4yD6TtNm3S3Y1sb++Wyj0OMzMN8yqnEwvbjT4zrKC50UC&#10;gri2uuNGwel9+5SB8AFZY2+ZFNzJQ1nMHlaYazvygW7H0IgIYZ+jgjYEl0vp65YM+oV1xNG72MFg&#10;iHJopB5wjHDTyzRJltJgx3GhRUfrluqv49Uo+Niwq7ajrC/fa7f/rLJ+dz2dlXqcT2+vIAJN4T/8&#10;1660gvQlzVL4vROvgCx+AAAA//8DAFBLAQItABQABgAIAAAAIQDb4fbL7gAAAIUBAAATAAAAAAAA&#10;AAAAAAAAAAAAAABbQ29udGVudF9UeXBlc10ueG1sUEsBAi0AFAAGAAgAAAAhAFr0LFu/AAAAFQEA&#10;AAsAAAAAAAAAAAAAAAAAHwEAAF9yZWxzLy5yZWxzUEsBAi0AFAAGAAgAAAAhAGtXGCjHAAAA3gAA&#10;AA8AAAAAAAAAAAAAAAAABwIAAGRycy9kb3ducmV2LnhtbFBLBQYAAAAAAwADALcAAAD7AgAAAAA=&#10;" filled="f" stroked="f">
                  <v:textbox inset="0,0,0,0">
                    <w:txbxContent>
                      <w:p w14:paraId="6AF166DA" w14:textId="77777777" w:rsidR="00B32EF2" w:rsidRDefault="00000000">
                        <w:r>
                          <w:rPr>
                            <w:rFonts w:ascii="Arial" w:eastAsia="Arial" w:hAnsi="Arial" w:cs="Arial"/>
                            <w:b/>
                            <w:color w:val="181717"/>
                          </w:rPr>
                          <w:t xml:space="preserve">presso l’Università Partenope di Napoli. Giudice Tributario. Si occupa, </w:t>
                        </w:r>
                      </w:p>
                    </w:txbxContent>
                  </v:textbox>
                </v:rect>
                <v:rect id="Rectangle 24283" o:spid="_x0000_s7502" style="position:absolute;left:-1319;top:11800;width:41237;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72zxwAAAN4AAAAPAAAAZHJzL2Rvd25yZXYueG1sRI9Ba8JA&#10;FITvBf/D8gRvdWMqJaSuUhRpDr1oFTw+ss8kbfbtkl1N7K93hUKPw8x8wyxWg2nFlTrfWFYwmyYg&#10;iEurG64UHL62zxkIH5A1tpZJwY08rJajpwXm2va8o+s+VCJC2OeooA7B5VL6siaDfmodcfTOtjMY&#10;ouwqqTvsI9y0Mk2SV2mw4bhQo6N1TeXP/mIUnDbsim0vy/Pv2n1+F1n7cTkclZqMh/c3EIGG8B/+&#10;axdaQTpPsxd43IlXQC7vAAAA//8DAFBLAQItABQABgAIAAAAIQDb4fbL7gAAAIUBAAATAAAAAAAA&#10;AAAAAAAAAAAAAABbQ29udGVudF9UeXBlc10ueG1sUEsBAi0AFAAGAAgAAAAhAFr0LFu/AAAAFQEA&#10;AAsAAAAAAAAAAAAAAAAAHwEAAF9yZWxzLy5yZWxzUEsBAi0AFAAGAAgAAAAhAAQbvbPHAAAA3gAA&#10;AA8AAAAAAAAAAAAAAAAABwIAAGRycy9kb3ducmV2LnhtbFBLBQYAAAAAAwADALcAAAD7AgAAAAA=&#10;" filled="f" stroked="f">
                  <v:textbox inset="0,0,0,0">
                    <w:txbxContent>
                      <w:p w14:paraId="0A70E0E0" w14:textId="77777777" w:rsidR="00B32EF2" w:rsidRDefault="00000000">
                        <w:r>
                          <w:rPr>
                            <w:rFonts w:ascii="Arial" w:eastAsia="Arial" w:hAnsi="Arial" w:cs="Arial"/>
                            <w:b/>
                            <w:color w:val="181717"/>
                          </w:rPr>
                          <w:t>come impegno sociale, di volontariato e di equità fiscale.</w:t>
                        </w:r>
                      </w:p>
                    </w:txbxContent>
                  </v:textbox>
                </v:rect>
                <v:rect id="Rectangle 24284" o:spid="_x0000_s7503" style="position:absolute;left:27653;top:9178;width:12265;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iXHxgAAAN4AAAAPAAAAZHJzL2Rvd25yZXYueG1sRI9Ba8JA&#10;FITvBf/D8gRvdWMQCamrFEXMoRethR4f2WeSNvt2ya4m9de7gtDjMDPfMMv1YFpxpc43lhXMpgkI&#10;4tLqhisFp8/dawbCB2SNrWVS8Ece1qvRyxJzbXs+0PUYKhEh7HNUUIfgcil9WZNBP7WOOHpn2xkM&#10;UXaV1B32EW5amSbJQhpsOC7U6GhTU/l7vBgF31t2xa6X5fm2cR8/RdbuL6cvpSbj4f0NRKAh/Ief&#10;7UIrSOdpNofHnXgF5OoOAAD//wMAUEsBAi0AFAAGAAgAAAAhANvh9svuAAAAhQEAABMAAAAAAAAA&#10;AAAAAAAAAAAAAFtDb250ZW50X1R5cGVzXS54bWxQSwECLQAUAAYACAAAACEAWvQsW78AAAAVAQAA&#10;CwAAAAAAAAAAAAAAAAAfAQAAX3JlbHMvLnJlbHNQSwECLQAUAAYACAAAACEAi/Ilx8YAAADeAAAA&#10;DwAAAAAAAAAAAAAAAAAHAgAAZHJzL2Rvd25yZXYueG1sUEsFBgAAAAADAAMAtwAAAPoCAAAAAA==&#10;" filled="f" stroked="f">
                  <v:textbox inset="0,0,0,0">
                    <w:txbxContent>
                      <w:p w14:paraId="031699B9" w14:textId="77777777" w:rsidR="00B32EF2" w:rsidRDefault="00000000">
                        <w:r>
                          <w:rPr>
                            <w:rFonts w:ascii="Arial" w:eastAsia="Arial" w:hAnsi="Arial" w:cs="Arial"/>
                            <w:b/>
                            <w:color w:val="009ED5"/>
                          </w:rPr>
                          <w:t>Michele Di Fiore</w:t>
                        </w:r>
                      </w:p>
                    </w:txbxContent>
                  </v:textbox>
                </v:rect>
                <v:rect id="Rectangle 24285" o:spid="_x0000_s7504" style="position:absolute;left:-10200;top:9178;width:41114;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oBcxwAAAN4AAAAPAAAAZHJzL2Rvd25yZXYueG1sRI9Ba8JA&#10;FITvBf/D8gRvdWOoJaSuUhRpDr1oFTw+ss8kbfbtkl1N7K93hUKPw8x8wyxWg2nFlTrfWFYwmyYg&#10;iEurG64UHL62zxkIH5A1tpZJwY08rJajpwXm2va8o+s+VCJC2OeooA7B5VL6siaDfmodcfTOtjMY&#10;ouwqqTvsI9y0Mk2SV2mw4bhQo6N1TeXP/mIUnDbsim0vy/Pv2n1+F1n7cTkclZqMh/c3EIGG8B/+&#10;axdaQfqSZnN43IlXQC7vAAAA//8DAFBLAQItABQABgAIAAAAIQDb4fbL7gAAAIUBAAATAAAAAAAA&#10;AAAAAAAAAAAAAABbQ29udGVudF9UeXBlc10ueG1sUEsBAi0AFAAGAAgAAAAhAFr0LFu/AAAAFQEA&#10;AAsAAAAAAAAAAAAAAAAAHwEAAF9yZWxzLy5yZWxzUEsBAi0AFAAGAAgAAAAhAOS+gFzHAAAA3gAA&#10;AA8AAAAAAAAAAAAAAAAABwIAAGRycy9kb3ducmV2LnhtbFBLBQYAAAAAAwADALcAAAD7AgAAAAA=&#10;" filled="f" stroked="f">
                  <v:textbox inset="0,0,0,0">
                    <w:txbxContent>
                      <w:p w14:paraId="3A2FD828" w14:textId="77777777" w:rsidR="00B32EF2" w:rsidRDefault="00000000">
                        <w:r>
                          <w:rPr>
                            <w:rFonts w:ascii="Arial" w:eastAsia="Arial" w:hAnsi="Arial" w:cs="Arial"/>
                            <w:b/>
                            <w:color w:val="181717"/>
                          </w:rPr>
                          <w:t xml:space="preserve">, Avvocato tributarista cassazionista, Presidente della </w:t>
                        </w:r>
                      </w:p>
                    </w:txbxContent>
                  </v:textbox>
                </v:rect>
                <v:rect id="Rectangle 24286" o:spid="_x0000_s7505" style="position:absolute;left:-12242;top:7571;width:52160;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B4rxwAAAN4AAAAPAAAAZHJzL2Rvd25yZXYueG1sRI9Ba8JA&#10;FITvBf/D8oTe6sZQJEQ3QRRpDr3UWujxkX0m0ezbJbuatL++Wyj0OMzMN8ymnEwv7jT4zrKC5SIB&#10;QVxb3XGj4PR+eMpA+ICssbdMCr7IQ1nMHjaYazvyG92PoRERwj5HBW0ILpfS1y0Z9AvriKN3toPB&#10;EOXQSD3gGOGml2mSrKTBjuNCi452LdXX480o+Nyzqw6jrM/fO/d6qbL+5Xb6UOpxPm3XIAJN4T/8&#10;1660gvQ5zVbweydeAVn8AAAA//8DAFBLAQItABQABgAIAAAAIQDb4fbL7gAAAIUBAAATAAAAAAAA&#10;AAAAAAAAAAAAAABbQ29udGVudF9UeXBlc10ueG1sUEsBAi0AFAAGAAgAAAAhAFr0LFu/AAAAFQEA&#10;AAsAAAAAAAAAAAAAAAAAHwEAAF9yZWxzLy5yZWxzUEsBAi0AFAAGAAgAAAAhABRsHivHAAAA3gAA&#10;AA8AAAAAAAAAAAAAAAAABwIAAGRycy9kb3ducmV2LnhtbFBLBQYAAAAAAwADALcAAAD7AgAAAAA=&#10;" filled="f" stroked="f">
                  <v:textbox inset="0,0,0,0">
                    <w:txbxContent>
                      <w:p w14:paraId="65E6EB5F" w14:textId="77777777" w:rsidR="00B32EF2" w:rsidRDefault="00000000">
                        <w:r>
                          <w:rPr>
                            <w:rFonts w:ascii="Arial" w:eastAsia="Arial" w:hAnsi="Arial" w:cs="Arial"/>
                            <w:b/>
                            <w:color w:val="181717"/>
                          </w:rPr>
                          <w:t>Camera degli Avvocati Tributaristi di Napoli. E’ stato Direttore della Scuo</w:t>
                        </w:r>
                      </w:p>
                    </w:txbxContent>
                  </v:textbox>
                </v:rect>
                <v:rect id="Rectangle 24287" o:spid="_x0000_s7506" style="position:absolute;left:192;top:7571;width:507;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LuwxwAAAN4AAAAPAAAAZHJzL2Rvd25yZXYueG1sRI9Ba8JA&#10;FITvBf/D8gRvdWMoNqSuUhRpDr1oFTw+ss8kbfbtkl1N7K93hUKPw8x8wyxWg2nFlTrfWFYwmyYg&#10;iEurG64UHL62zxkIH5A1tpZJwY08rJajpwXm2va8o+s+VCJC2OeooA7B5VL6siaDfmodcfTOtjMY&#10;ouwqqTvsI9y0Mk2SuTTYcFyo0dG6pvJnfzEKTht2xbaX5fl37T6/i6z9uByOSk3Gw/sbiEBD+A//&#10;tQutIH1Js1d43IlXQC7vAAAA//8DAFBLAQItABQABgAIAAAAIQDb4fbL7gAAAIUBAAATAAAAAAAA&#10;AAAAAAAAAAAAAABbQ29udGVudF9UeXBlc10ueG1sUEsBAi0AFAAGAAgAAAAhAFr0LFu/AAAAFQEA&#10;AAsAAAAAAAAAAAAAAAAAHwEAAF9yZWxzLy5yZWxzUEsBAi0AFAAGAAgAAAAhAHsgu7DHAAAA3gAA&#10;AA8AAAAAAAAAAAAAAAAABwIAAGRycy9kb3ducmV2LnhtbFBLBQYAAAAAAwADALcAAAD7AgAAAAA=&#10;" filled="f" stroked="f">
                  <v:textbox inset="0,0,0,0">
                    <w:txbxContent>
                      <w:p w14:paraId="517210C6" w14:textId="77777777" w:rsidR="00B32EF2" w:rsidRDefault="00000000">
                        <w:r>
                          <w:rPr>
                            <w:rFonts w:ascii="Arial" w:eastAsia="Arial" w:hAnsi="Arial" w:cs="Arial"/>
                            <w:b/>
                            <w:color w:val="181717"/>
                          </w:rPr>
                          <w:t>-</w:t>
                        </w:r>
                      </w:p>
                    </w:txbxContent>
                  </v:textbox>
                </v:rect>
                <v:rect id="Rectangle 24288" o:spid="_x0000_s7507" style="position:absolute;left:-12242;top:5965;width:52160;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CxAAAAN4AAAAPAAAAZHJzL2Rvd25yZXYueG1sRE/Pa8Iw&#10;FL4P/B/CG3ib6YqM0hlFFLEHL3MVPD6aZ9vZvIQm2upfvxwGO358vxer0XTiTr1vLSt4nyUgiCur&#10;W64VlN+7twyED8gaO8uk4EEeVsvJywJzbQf+ovsx1CKGsM9RQROCy6X0VUMG/cw64shdbG8wRNjX&#10;Uvc4xHDTyTRJPqTBlmNDg442DVXX480oOG/ZFbtBVpfnxh1+iqzb38qTUtPXcf0JItAY/sV/7kIr&#10;SOdpFvfGO/EKyOUvAAAA//8DAFBLAQItABQABgAIAAAAIQDb4fbL7gAAAIUBAAATAAAAAAAAAAAA&#10;AAAAAAAAAABbQ29udGVudF9UeXBlc10ueG1sUEsBAi0AFAAGAAgAAAAhAFr0LFu/AAAAFQEAAAsA&#10;AAAAAAAAAAAAAAAAHwEAAF9yZWxzLy5yZWxzUEsBAi0AFAAGAAgAAAAhAAq/L8LEAAAA3gAAAA8A&#10;AAAAAAAAAAAAAAAABwIAAGRycy9kb3ducmV2LnhtbFBLBQYAAAAAAwADALcAAAD4AgAAAAA=&#10;" filled="f" stroked="f">
                  <v:textbox inset="0,0,0,0">
                    <w:txbxContent>
                      <w:p w14:paraId="61B3787F" w14:textId="77777777" w:rsidR="00B32EF2" w:rsidRDefault="00000000">
                        <w:r>
                          <w:rPr>
                            <w:rFonts w:ascii="Arial" w:eastAsia="Arial" w:hAnsi="Arial" w:cs="Arial"/>
                            <w:b/>
                            <w:color w:val="181717"/>
                          </w:rPr>
                          <w:t>la di Alta Formazione e Specializzazione dell’Avvocato Tributarista dell’U</w:t>
                        </w:r>
                      </w:p>
                    </w:txbxContent>
                  </v:textbox>
                </v:rect>
                <v:rect id="Rectangle 24289" o:spid="_x0000_s7508" style="position:absolute;left:192;top:5965;width:507;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4pZxwAAAN4AAAAPAAAAZHJzL2Rvd25yZXYueG1sRI9Ba8JA&#10;FITvBf/D8gRvdWMokqauUhRpDr1oFTw+ss8kbfbtkl1N7K93hUKPw8x8wyxWg2nFlTrfWFYwmyYg&#10;iEurG64UHL62zxkIH5A1tpZJwY08rJajpwXm2va8o+s+VCJC2OeooA7B5VL6siaDfmodcfTOtjMY&#10;ouwqqTvsI9y0Mk2SuTTYcFyo0dG6pvJnfzEKTht2xbaX5fl37T6/i6z9uByOSk3Gw/sbiEBD+A//&#10;tQutIH1Js1d43IlXQC7vAAAA//8DAFBLAQItABQABgAIAAAAIQDb4fbL7gAAAIUBAAATAAAAAAAA&#10;AAAAAAAAAAAAAABbQ29udGVudF9UeXBlc10ueG1sUEsBAi0AFAAGAAgAAAAhAFr0LFu/AAAAFQEA&#10;AAsAAAAAAAAAAAAAAAAAHwEAAF9yZWxzLy5yZWxzUEsBAi0AFAAGAAgAAAAhAGXzilnHAAAA3gAA&#10;AA8AAAAAAAAAAAAAAAAABwIAAGRycy9kb3ducmV2LnhtbFBLBQYAAAAAAwADALcAAAD7AgAAAAA=&#10;" filled="f" stroked="f">
                  <v:textbox inset="0,0,0,0">
                    <w:txbxContent>
                      <w:p w14:paraId="6FD9300A" w14:textId="77777777" w:rsidR="00B32EF2" w:rsidRDefault="00000000">
                        <w:r>
                          <w:rPr>
                            <w:rFonts w:ascii="Arial" w:eastAsia="Arial" w:hAnsi="Arial" w:cs="Arial"/>
                            <w:b/>
                            <w:color w:val="181717"/>
                          </w:rPr>
                          <w:t>-</w:t>
                        </w:r>
                      </w:p>
                    </w:txbxContent>
                  </v:textbox>
                </v:rect>
                <v:rect id="Rectangle 24290" o:spid="_x0000_s7509" style="position:absolute;left:-12244;top:4358;width:52162;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LUZxgAAAN4AAAAPAAAAZHJzL2Rvd25yZXYueG1sRI/LasJA&#10;FIb3Bd9hOEJ3ddJQikYnUizSLLqpF3B5yJxcNHNmyIwm+vSdRaHLn//Gt1qPphM36n1rWcHrLAFB&#10;XFrdcq3gsN++zEH4gKyxs0wK7uRhnU+eVphpO/AP3XahFnGEfYYKmhBcJqUvGzLoZ9YRR6+yvcEQ&#10;ZV9L3eMQx00n0yR5lwZbjg8NOto0VF52V6Pg9Mmu2A6yrB4b930u5t3X9XBU6nk6fixBBBrDf/iv&#10;XWgF6Vu6iAARJ6KAzH8BAAD//wMAUEsBAi0AFAAGAAgAAAAhANvh9svuAAAAhQEAABMAAAAAAAAA&#10;AAAAAAAAAAAAAFtDb250ZW50X1R5cGVzXS54bWxQSwECLQAUAAYACAAAACEAWvQsW78AAAAVAQAA&#10;CwAAAAAAAAAAAAAAAAAfAQAAX3JlbHMvLnJlbHNQSwECLQAUAAYACAAAACEAcRC1GcYAAADeAAAA&#10;DwAAAAAAAAAAAAAAAAAHAgAAZHJzL2Rvd25yZXYueG1sUEsFBgAAAAADAAMAtwAAAPoCAAAAAA==&#10;" filled="f" stroked="f">
                  <v:textbox inset="0,0,0,0">
                    <w:txbxContent>
                      <w:p w14:paraId="0F3382A6" w14:textId="77777777" w:rsidR="00B32EF2" w:rsidRDefault="00000000">
                        <w:r>
                          <w:rPr>
                            <w:rFonts w:ascii="Arial" w:eastAsia="Arial" w:hAnsi="Arial" w:cs="Arial"/>
                            <w:b/>
                            <w:color w:val="181717"/>
                          </w:rPr>
                          <w:t>nione Nazionale delle Camere degli Avvocati Tributaristi-UNCAT, profes</w:t>
                        </w:r>
                      </w:p>
                    </w:txbxContent>
                  </v:textbox>
                </v:rect>
                <v:rect id="Rectangle 24291" o:spid="_x0000_s7510" style="position:absolute;left:190;top:4358;width:508;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BCCxwAAAN4AAAAPAAAAZHJzL2Rvd25yZXYueG1sRI9Pa8JA&#10;FMTvhX6H5Qm96cZQRFNXEYs0By/1D/T4yD6TaPbtkl1N6qd3C0KPw8z8hpkve9OIG7W+tqxgPEpA&#10;EBdW11wqOOw3wykIH5A1NpZJwS95WC5eX+aYadvxN912oRQRwj5DBVUILpPSFxUZ9CPriKN3sq3B&#10;EGVbSt1iF+GmkWmSTKTBmuNChY7WFRWX3dUo+Plkl286WZzua7c959Pm63o4KvU26FcfIAL14T/8&#10;bOdaQfqezsbwdydeAbl4AAAA//8DAFBLAQItABQABgAIAAAAIQDb4fbL7gAAAIUBAAATAAAAAAAA&#10;AAAAAAAAAAAAAABbQ29udGVudF9UeXBlc10ueG1sUEsBAi0AFAAGAAgAAAAhAFr0LFu/AAAAFQEA&#10;AAsAAAAAAAAAAAAAAAAAHwEAAF9yZWxzLy5yZWxzUEsBAi0AFAAGAAgAAAAhAB5cEILHAAAA3gAA&#10;AA8AAAAAAAAAAAAAAAAABwIAAGRycy9kb3ducmV2LnhtbFBLBQYAAAAAAwADALcAAAD7AgAAAAA=&#10;" filled="f" stroked="f">
                  <v:textbox inset="0,0,0,0">
                    <w:txbxContent>
                      <w:p w14:paraId="019AF17C" w14:textId="77777777" w:rsidR="00B32EF2" w:rsidRDefault="00000000">
                        <w:r>
                          <w:rPr>
                            <w:rFonts w:ascii="Arial" w:eastAsia="Arial" w:hAnsi="Arial" w:cs="Arial"/>
                            <w:b/>
                            <w:color w:val="181717"/>
                          </w:rPr>
                          <w:t>-</w:t>
                        </w:r>
                      </w:p>
                    </w:txbxContent>
                  </v:textbox>
                </v:rect>
                <v:rect id="Rectangle 24292" o:spid="_x0000_s7511" style="position:absolute;left:-13172;top:2752;width:53090;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o71xgAAAN4AAAAPAAAAZHJzL2Rvd25yZXYueG1sRI9Ba8JA&#10;FITvBf/D8gRvdWMoxUZXEUWag5daBY+P7DOJZt8u2dVEf323UOhxmJlvmPmyN424U+trywom4wQE&#10;cWF1zaWCw/f2dQrCB2SNjWVS8CAPy8XgZY6Zth1/0X0fShEh7DNUUIXgMil9UZFBP7aOOHpn2xoM&#10;Ubal1C12EW4amSbJuzRYc1yo0NG6ouK6vxkFpw27fNvJ4vxcu90lnzaft8NRqdGwX81ABOrDf/iv&#10;nWsF6Vv6kcLvnXgF5OIHAAD//wMAUEsBAi0AFAAGAAgAAAAhANvh9svuAAAAhQEAABMAAAAAAAAA&#10;AAAAAAAAAAAAAFtDb250ZW50X1R5cGVzXS54bWxQSwECLQAUAAYACAAAACEAWvQsW78AAAAVAQAA&#10;CwAAAAAAAAAAAAAAAAAfAQAAX3JlbHMvLnJlbHNQSwECLQAUAAYACAAAACEA7o6O9cYAAADeAAAA&#10;DwAAAAAAAAAAAAAAAAAHAgAAZHJzL2Rvd25yZXYueG1sUEsFBgAAAAADAAMAtwAAAPoCAAAAAA==&#10;" filled="f" stroked="f">
                  <v:textbox inset="0,0,0,0">
                    <w:txbxContent>
                      <w:p w14:paraId="10B3BC7E" w14:textId="77777777" w:rsidR="00B32EF2" w:rsidRDefault="00000000">
                        <w:r>
                          <w:rPr>
                            <w:rFonts w:ascii="Arial" w:eastAsia="Arial" w:hAnsi="Arial" w:cs="Arial"/>
                            <w:b/>
                            <w:color w:val="181717"/>
                          </w:rPr>
                          <w:t xml:space="preserve">sore a contratto di Diritto Tributario nell’Università di Napoli Federico II </w:t>
                        </w:r>
                      </w:p>
                    </w:txbxContent>
                  </v:textbox>
                </v:rect>
                <v:rect id="Rectangle 24293" o:spid="_x0000_s7512" style="position:absolute;left:-13209;top:1145;width:53241;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ituxwAAAN4AAAAPAAAAZHJzL2Rvd25yZXYueG1sRI9Ba8JA&#10;FITvgv9heUJvumkqJU1dRRRpDr1oLfT4yD6TtNm3S3Y1qb++KxQ8DjPzDbNYDaYVF+p8Y1nB4ywB&#10;QVxa3XCl4Pixm2YgfEDW2FomBb/kYbUcjxaYa9vzni6HUIkIYZ+jgjoEl0vpy5oM+pl1xNE72c5g&#10;iLKrpO6wj3DTyjRJnqXBhuNCjY42NZU/h7NR8LVlV+x6WZ6uG/f+XWTt2/n4qdTDZFi/ggg0hHv4&#10;v11oBek8fXmC2514BeTyDwAA//8DAFBLAQItABQABgAIAAAAIQDb4fbL7gAAAIUBAAATAAAAAAAA&#10;AAAAAAAAAAAAAABbQ29udGVudF9UeXBlc10ueG1sUEsBAi0AFAAGAAgAAAAhAFr0LFu/AAAAFQEA&#10;AAsAAAAAAAAAAAAAAAAAHwEAAF9yZWxzLy5yZWxzUEsBAi0AFAAGAAgAAAAhAIHCK27HAAAA3gAA&#10;AA8AAAAAAAAAAAAAAAAABwIAAGRycy9kb3ducmV2LnhtbFBLBQYAAAAAAwADALcAAAD7AgAAAAA=&#10;" filled="f" stroked="f">
                  <v:textbox inset="0,0,0,0">
                    <w:txbxContent>
                      <w:p w14:paraId="3A1DA466" w14:textId="77777777" w:rsidR="00B32EF2" w:rsidRDefault="00000000">
                        <w:r>
                          <w:rPr>
                            <w:rFonts w:ascii="Arial" w:eastAsia="Arial" w:hAnsi="Arial" w:cs="Arial"/>
                            <w:b/>
                            <w:color w:val="181717"/>
                          </w:rPr>
                          <w:t xml:space="preserve">e nell’Università di Salerno, componente della Commissione di studi di </w:t>
                        </w:r>
                      </w:p>
                    </w:txbxContent>
                  </v:textbox>
                </v:rect>
                <v:rect id="Rectangle 24294" o:spid="_x0000_s7513" style="position:absolute;left:-5461;top:-461;width:45379;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7MaxwAAAN4AAAAPAAAAZHJzL2Rvd25yZXYueG1sRI9Pa8JA&#10;FMTvBb/D8oTedNMgotFVikWag5f6Bzw+ss8kbfbtkl1N6qd3C0KPw8z8hlmue9OIG7W+tqzgbZyA&#10;IC6srrlUcDxsRzMQPiBrbCyTgl/ysF4NXpaYadvxF932oRQRwj5DBVUILpPSFxUZ9GPriKN3sa3B&#10;EGVbSt1iF+GmkWmSTKXBmuNChY42FRU/+6tRcP5gl287WVzuG7f7zmfN5/V4Uup12L8vQATqw3/4&#10;2c61gnSSzifwdydeAbl6AAAA//8DAFBLAQItABQABgAIAAAAIQDb4fbL7gAAAIUBAAATAAAAAAAA&#10;AAAAAAAAAAAAAABbQ29udGVudF9UeXBlc10ueG1sUEsBAi0AFAAGAAgAAAAhAFr0LFu/AAAAFQEA&#10;AAsAAAAAAAAAAAAAAAAAHwEAAF9yZWxzLy5yZWxzUEsBAi0AFAAGAAgAAAAhAA4rsxrHAAAA3gAA&#10;AA8AAAAAAAAAAAAAAAAABwIAAGRycy9kb3ducmV2LnhtbFBLBQYAAAAAAwADALcAAAD7AgAAAAA=&#10;" filled="f" stroked="f">
                  <v:textbox inset="0,0,0,0">
                    <w:txbxContent>
                      <w:p w14:paraId="0068A565" w14:textId="77777777" w:rsidR="00B32EF2" w:rsidRDefault="00000000">
                        <w:r>
                          <w:rPr>
                            <w:rFonts w:ascii="Arial" w:eastAsia="Arial" w:hAnsi="Arial" w:cs="Arial"/>
                            <w:b/>
                            <w:color w:val="181717"/>
                          </w:rPr>
                          <w:t>Diritto Tributario del Consiglio Nazionale Forense e del COA di</w:t>
                        </w:r>
                      </w:p>
                    </w:txbxContent>
                  </v:textbox>
                </v:rect>
                <v:rect id="Rectangle 24295" o:spid="_x0000_s7514" style="position:absolute;left:-128;top:-461;width:5926;height:1858;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xaBxwAAAN4AAAAPAAAAZHJzL2Rvd25yZXYueG1sRI9Ba8JA&#10;FITvgv9heUJvummoJU1dRRRpDr1oLfT4yD6TtNm3S3Y1qb++KxQ8DjPzDbNYDaYVF+p8Y1nB4ywB&#10;QVxa3XCl4Pixm2YgfEDW2FomBb/kYbUcjxaYa9vzni6HUIkIYZ+jgjoEl0vpy5oM+pl1xNE72c5g&#10;iLKrpO6wj3DTyjRJnqXBhuNCjY42NZU/h7NR8LVlV+x6WZ6uG/f+XWTt2/n4qdTDZFi/ggg0hHv4&#10;v11oBelT+jKH2514BeTyDwAA//8DAFBLAQItABQABgAIAAAAIQDb4fbL7gAAAIUBAAATAAAAAAAA&#10;AAAAAAAAAAAAAABbQ29udGVudF9UeXBlc10ueG1sUEsBAi0AFAAGAAgAAAAhAFr0LFu/AAAAFQEA&#10;AAsAAAAAAAAAAAAAAAAAHwEAAF9yZWxzLy5yZWxzUEsBAi0AFAAGAAgAAAAhAGFnFoHHAAAA3gAA&#10;AA8AAAAAAAAAAAAAAAAABwIAAGRycy9kb3ducmV2LnhtbFBLBQYAAAAAAwADALcAAAD7AgAAAAA=&#10;" filled="f" stroked="f">
                  <v:textbox inset="0,0,0,0">
                    <w:txbxContent>
                      <w:p w14:paraId="437BBEFA" w14:textId="77777777" w:rsidR="00B32EF2" w:rsidRDefault="00000000">
                        <w:r>
                          <w:rPr>
                            <w:rFonts w:ascii="Arial" w:eastAsia="Arial" w:hAnsi="Arial" w:cs="Arial"/>
                            <w:b/>
                            <w:color w:val="181717"/>
                          </w:rPr>
                          <w:t xml:space="preserve"> Napoli. </w:t>
                        </w:r>
                      </w:p>
                    </w:txbxContent>
                  </v:textbox>
                </v:rect>
                <w10:anchorlock/>
              </v:group>
            </w:pict>
          </mc:Fallback>
        </mc:AlternateContent>
      </w:r>
    </w:p>
    <w:p w14:paraId="5967B3E6" w14:textId="77777777" w:rsidR="00B32EF2" w:rsidRDefault="00000000">
      <w:pPr>
        <w:spacing w:after="0"/>
        <w:ind w:left="-1440" w:right="7064"/>
      </w:pPr>
      <w:r>
        <w:rPr>
          <w:noProof/>
        </w:rPr>
        <mc:AlternateContent>
          <mc:Choice Requires="wpg">
            <w:drawing>
              <wp:anchor distT="0" distB="0" distL="114300" distR="114300" simplePos="0" relativeHeight="251686912" behindDoc="0" locked="0" layoutInCell="1" allowOverlap="1" wp14:anchorId="0CA8C6BD" wp14:editId="41DCFCE7">
                <wp:simplePos x="0" y="0"/>
                <wp:positionH relativeFrom="page">
                  <wp:posOffset>2666472</wp:posOffset>
                </wp:positionH>
                <wp:positionV relativeFrom="page">
                  <wp:posOffset>397149</wp:posOffset>
                </wp:positionV>
                <wp:extent cx="67056" cy="188456"/>
                <wp:effectExtent l="0" t="0" r="0" b="0"/>
                <wp:wrapTopAndBottom/>
                <wp:docPr id="202481" name="Group 202481"/>
                <wp:cNvGraphicFramePr/>
                <a:graphic xmlns:a="http://schemas.openxmlformats.org/drawingml/2006/main">
                  <a:graphicData uri="http://schemas.microsoft.com/office/word/2010/wordprocessingGroup">
                    <wpg:wgp>
                      <wpg:cNvGrpSpPr/>
                      <wpg:grpSpPr>
                        <a:xfrm>
                          <a:off x="0" y="0"/>
                          <a:ext cx="67056" cy="188456"/>
                          <a:chOff x="0" y="0"/>
                          <a:chExt cx="67056" cy="188456"/>
                        </a:xfrm>
                      </wpg:grpSpPr>
                      <wps:wsp>
                        <wps:cNvPr id="24321" name="Rectangle 24321"/>
                        <wps:cNvSpPr/>
                        <wps:spPr>
                          <a:xfrm rot="-10799999">
                            <a:off x="-22127" y="-62190"/>
                            <a:ext cx="89184" cy="250646"/>
                          </a:xfrm>
                          <a:prstGeom prst="rect">
                            <a:avLst/>
                          </a:prstGeom>
                          <a:ln>
                            <a:noFill/>
                          </a:ln>
                        </wps:spPr>
                        <wps:txbx>
                          <w:txbxContent>
                            <w:p w14:paraId="0F003475" w14:textId="77777777" w:rsidR="00B32EF2" w:rsidRDefault="00000000">
                              <w:r>
                                <w:rPr>
                                  <w:rFonts w:ascii="Times New Roman" w:eastAsia="Times New Roman" w:hAnsi="Times New Roman" w:cs="Times New Roman"/>
                                </w:rPr>
                                <w:t>2</w:t>
                              </w:r>
                            </w:p>
                          </w:txbxContent>
                        </wps:txbx>
                        <wps:bodyPr horzOverflow="overflow" vert="horz" lIns="0" tIns="0" rIns="0" bIns="0" rtlCol="0">
                          <a:noAutofit/>
                        </wps:bodyPr>
                      </wps:wsp>
                    </wpg:wgp>
                  </a:graphicData>
                </a:graphic>
              </wp:anchor>
            </w:drawing>
          </mc:Choice>
          <mc:Fallback>
            <w:pict>
              <v:group w14:anchorId="0CA8C6BD" id="Group 202481" o:spid="_x0000_s7515" style="position:absolute;left:0;text-align:left;margin-left:209.95pt;margin-top:31.25pt;width:5.3pt;height:14.85pt;z-index:251686912;mso-position-horizontal-relative:page;mso-position-vertical-relative:page" coordsize="67056,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RQ+GgIAAH4EAAAOAAAAZHJzL2Uyb0RvYy54bWyklMtu2zAQRfcF+g8E97YedWRbsBwUTWMU&#10;KJqgaT+ApqgHQHEIkrbkfn2HlOS0CdBF6gU9fGh479GMdrdDJ8lZGNuCKmiyjCkRikPZqrqgP3/c&#10;LzaUWMdUySQoUdCLsPR2//7drte5SKEBWQpDMImyea8L2jin8yiyvBEds0vQQuFmBaZjDqemjkrD&#10;eszeySiN4yzqwZTaABfW4urduEn3IX9VCe4eqsoKR2RBUZsLownj0Y/Rfsfy2jDdtHySwd6gomOt&#10;wkuvqe6YY+Rk2lepupYbsFC5JYcugqpquQge0E0Sv3BzMHDSwUud97W+YkK0Lzi9OS3/dj4Y/aQf&#10;DZLodY0swsx7GSrT+X9USYaA7HJFJgZHOC5m6/gmo4TjTrLZrDAORHmD2F89xJvP/3osmq+M/hLS&#10;aywN++ze/p/7p4ZpEaDaHN0/GtKWBU1XH9KEEsU6LNLvWDZM1VKQcTmgCaevoGxukdlMiRjAylok&#10;8Xrrf6ESJmqLNE3SNSUIaJGlyXYquZnfZptsViO/9CbOVoHfFQTLtbHuIKAjPiioQWUhOzt/tQ51&#10;4dH5iBcjlR8V3LdSjrt+BXnOen3khuMQTGcpKpvMHaG8IIsGzK8H7OdKQl9QmCLqWxyv97uUyC8K&#10;34Hvpjkwc3CcA+PkJwg9Nwr6eHJQtUGxlzDeNinDlxuiUOTB0tSQvov+nIdTz5+N/W8AAAD//wMA&#10;UEsDBBQABgAIAAAAIQB7YUrq4QAAAAkBAAAPAAAAZHJzL2Rvd25yZXYueG1sTI9NS8NAEIbvgv9h&#10;GcGb3ST9wMRsSinqqQi2gnibZqdJaHY2ZLdJ+u9dT/Y2wzy887z5ejKtGKh3jWUF8SwCQVxa3XCl&#10;4Ovw9vQMwnlkja1lUnAlB+vi/i7HTNuRP2nY+0qEEHYZKqi97zIpXVmTQTezHXG4nWxv0Ie1r6Tu&#10;cQzhppVJFK2kwYbDhxo72tZUnvcXo+B9xHEzj1+H3fm0vf4clh/fu5iUenyYNi8gPE3+H4Y//aAO&#10;RXA62gtrJ1oFizhNA6pglSxBBGAxj8JwVJAmCcgil7cNil8AAAD//wMAUEsBAi0AFAAGAAgAAAAh&#10;ALaDOJL+AAAA4QEAABMAAAAAAAAAAAAAAAAAAAAAAFtDb250ZW50X1R5cGVzXS54bWxQSwECLQAU&#10;AAYACAAAACEAOP0h/9YAAACUAQAACwAAAAAAAAAAAAAAAAAvAQAAX3JlbHMvLnJlbHNQSwECLQAU&#10;AAYACAAAACEAts0UPhoCAAB+BAAADgAAAAAAAAAAAAAAAAAuAgAAZHJzL2Uyb0RvYy54bWxQSwEC&#10;LQAUAAYACAAAACEAe2FK6uEAAAAJAQAADwAAAAAAAAAAAAAAAAB0BAAAZHJzL2Rvd25yZXYueG1s&#10;UEsFBgAAAAAEAAQA8wAAAIIFAAAAAA==&#10;">
                <v:rect id="Rectangle 24321" o:spid="_x0000_s7516" style="position:absolute;left:-22127;top:-62190;width:89184;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tb4xwAAAN4AAAAPAAAAZHJzL2Rvd25yZXYueG1sRI9Pa8JA&#10;FMTvgt9heYI33ZhKkdRVRJHm0Ev9Az0+ss8kbfbtkl1N7Kd3CwWPw8z8hlmue9OIG7W+tqxgNk1A&#10;EBdW11wqOB33kwUIH5A1NpZJwZ08rFfDwRIzbTv+pNshlCJC2GeooArBZVL6oiKDfmodcfQutjUY&#10;omxLqVvsItw0Mk2SV2mw5rhQoaNtRcXP4WoUfO3Y5ftOFpffrfv4zhfN+/V0Vmo86jdvIAL14Rn+&#10;b+daQTp/SWfwdydeAbl6AAAA//8DAFBLAQItABQABgAIAAAAIQDb4fbL7gAAAIUBAAATAAAAAAAA&#10;AAAAAAAAAAAAAABbQ29udGVudF9UeXBlc10ueG1sUEsBAi0AFAAGAAgAAAAhAFr0LFu/AAAAFQEA&#10;AAsAAAAAAAAAAAAAAAAAHwEAAF9yZWxzLy5yZWxzUEsBAi0AFAAGAAgAAAAhAMsC1vjHAAAA3gAA&#10;AA8AAAAAAAAAAAAAAAAABwIAAGRycy9kb3ducmV2LnhtbFBLBQYAAAAAAwADALcAAAD7AgAAAAA=&#10;" filled="f" stroked="f">
                  <v:textbox inset="0,0,0,0">
                    <w:txbxContent>
                      <w:p w14:paraId="0F003475" w14:textId="77777777" w:rsidR="00B32EF2" w:rsidRDefault="00000000">
                        <w:r>
                          <w:rPr>
                            <w:rFonts w:ascii="Times New Roman" w:eastAsia="Times New Roman" w:hAnsi="Times New Roman" w:cs="Times New Roman"/>
                          </w:rPr>
                          <w:t>2</w:t>
                        </w:r>
                      </w:p>
                    </w:txbxContent>
                  </v:textbox>
                </v:rect>
                <w10:wrap type="topAndBottom" anchorx="page" anchory="page"/>
              </v:group>
            </w:pict>
          </mc:Fallback>
        </mc:AlternateContent>
      </w:r>
      <w:r>
        <w:br w:type="page"/>
      </w:r>
    </w:p>
    <w:p w14:paraId="7A6D6F52" w14:textId="77777777" w:rsidR="00B32EF2" w:rsidRDefault="00000000">
      <w:pPr>
        <w:spacing w:after="428"/>
        <w:ind w:left="-1440" w:right="7064"/>
      </w:pPr>
      <w:r>
        <w:rPr>
          <w:noProof/>
        </w:rPr>
        <w:lastRenderedPageBreak/>
        <mc:AlternateContent>
          <mc:Choice Requires="wpg">
            <w:drawing>
              <wp:anchor distT="0" distB="0" distL="114300" distR="114300" simplePos="0" relativeHeight="251687936" behindDoc="0" locked="0" layoutInCell="1" allowOverlap="1" wp14:anchorId="55DF0541" wp14:editId="67D9788F">
                <wp:simplePos x="0" y="0"/>
                <wp:positionH relativeFrom="page">
                  <wp:posOffset>2666472</wp:posOffset>
                </wp:positionH>
                <wp:positionV relativeFrom="page">
                  <wp:posOffset>397149</wp:posOffset>
                </wp:positionV>
                <wp:extent cx="67056" cy="188456"/>
                <wp:effectExtent l="0" t="0" r="0" b="0"/>
                <wp:wrapTopAndBottom/>
                <wp:docPr id="202506" name="Group 202506"/>
                <wp:cNvGraphicFramePr/>
                <a:graphic xmlns:a="http://schemas.openxmlformats.org/drawingml/2006/main">
                  <a:graphicData uri="http://schemas.microsoft.com/office/word/2010/wordprocessingGroup">
                    <wpg:wgp>
                      <wpg:cNvGrpSpPr/>
                      <wpg:grpSpPr>
                        <a:xfrm>
                          <a:off x="0" y="0"/>
                          <a:ext cx="67056" cy="188456"/>
                          <a:chOff x="0" y="0"/>
                          <a:chExt cx="67056" cy="188456"/>
                        </a:xfrm>
                      </wpg:grpSpPr>
                      <wps:wsp>
                        <wps:cNvPr id="24325" name="Rectangle 24325"/>
                        <wps:cNvSpPr/>
                        <wps:spPr>
                          <a:xfrm rot="-10799999">
                            <a:off x="-22127" y="-62190"/>
                            <a:ext cx="89184" cy="250646"/>
                          </a:xfrm>
                          <a:prstGeom prst="rect">
                            <a:avLst/>
                          </a:prstGeom>
                          <a:ln>
                            <a:noFill/>
                          </a:ln>
                        </wps:spPr>
                        <wps:txbx>
                          <w:txbxContent>
                            <w:p w14:paraId="2AA23BB0" w14:textId="77777777" w:rsidR="00B32EF2" w:rsidRDefault="00000000">
                              <w:r>
                                <w:rPr>
                                  <w:rFonts w:ascii="Times New Roman" w:eastAsia="Times New Roman" w:hAnsi="Times New Roman" w:cs="Times New Roman"/>
                                </w:rPr>
                                <w:t>1</w:t>
                              </w:r>
                            </w:p>
                          </w:txbxContent>
                        </wps:txbx>
                        <wps:bodyPr horzOverflow="overflow" vert="horz" lIns="0" tIns="0" rIns="0" bIns="0" rtlCol="0">
                          <a:noAutofit/>
                        </wps:bodyPr>
                      </wps:wsp>
                    </wpg:wgp>
                  </a:graphicData>
                </a:graphic>
              </wp:anchor>
            </w:drawing>
          </mc:Choice>
          <mc:Fallback>
            <w:pict>
              <v:group w14:anchorId="55DF0541" id="Group 202506" o:spid="_x0000_s7517" style="position:absolute;left:0;text-align:left;margin-left:209.95pt;margin-top:31.25pt;width:5.3pt;height:14.85pt;z-index:251687936;mso-position-horizontal-relative:page;mso-position-vertical-relative:page" coordsize="67056,1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lUGgIAAH4EAAAOAAAAZHJzL2Uyb0RvYy54bWyklNuO2yAQhu8r9R0Q94kPzcGx4qyqbjeq&#10;VHVX3fYBCMYHCTMISOz06TsQO2l3pV5sfYGHAQ//fMx4ezd0kpyEsS2ogibzmBKhOJStqgv688fD&#10;LKPEOqZKJkGJgp6FpXe79++2vc5FCg3IUhiCQZTNe13QxjmdR5HljeiYnYMWChcrMB1zODV1VBrW&#10;Y/RORmkcr6IeTKkNcGEteu8vi3QX4leV4O6xqqxwRBYUtbkwmjAe/BjttiyvDdNNy0cZ7A0qOtYq&#10;PPQa6p45Ro6mfRWqa7kBC5Wbc+giqKqWi5ADZpPEL7LZGzjqkEud97W+YkK0Lzi9OSz/dtob/ayf&#10;DJLodY0swsznMlSm829USYaA7HxFJgZHODpX63i5ooTjSpJlC7QDUd4g9lcf8ebzvz6LpiOjv4T0&#10;GkvD3rK3/5f9c8O0CFBtjtk/GdKWBU0XH9IlJYp1WKTfsWyYqqUgF3dAE3ZfQdncIrOJEjGAlTVL&#10;4vXGP6ESRmqzNE3SNSUIaLZKk81YchO/bJNkiwu/dBmvFoHfFQTLtbFuL6Aj3iioQWUhOjt9tQ51&#10;4dZpixcjlR8VPLRSXla9B3lOer3lhsMQkl6laebvyzsPUJ6RRQPm1yP2cyWhLyiMFvUtjsf7VUrk&#10;F4V34LtpMsxkHCbDOPkJQs9dBH08OqjaoPh22qgMLzdYochDSmND+i76cx523X4bu98AAAD//wMA&#10;UEsDBBQABgAIAAAAIQB7YUrq4QAAAAkBAAAPAAAAZHJzL2Rvd25yZXYueG1sTI9NS8NAEIbvgv9h&#10;GcGb3ST9wMRsSinqqQi2gnibZqdJaHY2ZLdJ+u9dT/Y2wzy887z5ejKtGKh3jWUF8SwCQVxa3XCl&#10;4Ovw9vQMwnlkja1lUnAlB+vi/i7HTNuRP2nY+0qEEHYZKqi97zIpXVmTQTezHXG4nWxv0Ie1r6Tu&#10;cQzhppVJFK2kwYbDhxo72tZUnvcXo+B9xHEzj1+H3fm0vf4clh/fu5iUenyYNi8gPE3+H4Y//aAO&#10;RXA62gtrJ1oFizhNA6pglSxBBGAxj8JwVJAmCcgil7cNil8AAAD//wMAUEsBAi0AFAAGAAgAAAAh&#10;ALaDOJL+AAAA4QEAABMAAAAAAAAAAAAAAAAAAAAAAFtDb250ZW50X1R5cGVzXS54bWxQSwECLQAU&#10;AAYACAAAACEAOP0h/9YAAACUAQAACwAAAAAAAAAAAAAAAAAvAQAAX3JlbHMvLnJlbHNQSwECLQAU&#10;AAYACAAAACEALp8ZVBoCAAB+BAAADgAAAAAAAAAAAAAAAAAuAgAAZHJzL2Uyb0RvYy54bWxQSwEC&#10;LQAUAAYACAAAACEAe2FK6uEAAAAJAQAADwAAAAAAAAAAAAAAAAB0BAAAZHJzL2Rvd25yZXYueG1s&#10;UEsFBgAAAAAEAAQA8wAAAIIFAAAAAA==&#10;">
                <v:rect id="Rectangle 24325" o:spid="_x0000_s7518" style="position:absolute;left:-22127;top:-62190;width:89184;height:250646;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dD7xwAAAN4AAAAPAAAAZHJzL2Rvd25yZXYueG1sRI9Ba8JA&#10;FITvgv9heUJvumlqi6SuIoo0h160KfT4yD6TtNm3S3Y1qb++KxQ8DjPzDbNcD6YVF+p8Y1nB4ywB&#10;QVxa3XCloPjYTxcgfEDW2FomBb/kYb0aj5aYadvzgS7HUIkIYZ+hgjoEl0npy5oM+pl1xNE72c5g&#10;iLKrpO6wj3DTyjRJXqTBhuNCjY62NZU/x7NR8LVjl+97WZ6uW/f+nS/at3PxqdTDZNi8ggg0hHv4&#10;v51rBen8KX2G2514BeTqDwAA//8DAFBLAQItABQABgAIAAAAIQDb4fbL7gAAAIUBAAATAAAAAAAA&#10;AAAAAAAAAAAAAABbQ29udGVudF9UeXBlc10ueG1sUEsBAi0AFAAGAAgAAAAhAFr0LFu/AAAAFQEA&#10;AAsAAAAAAAAAAAAAAAAAHwEAAF9yZWxzLy5yZWxzUEsBAi0AFAAGAAgAAAAhALQ50PvHAAAA3gAA&#10;AA8AAAAAAAAAAAAAAAAABwIAAGRycy9kb3ducmV2LnhtbFBLBQYAAAAAAwADALcAAAD7AgAAAAA=&#10;" filled="f" stroked="f">
                  <v:textbox inset="0,0,0,0">
                    <w:txbxContent>
                      <w:p w14:paraId="2AA23BB0" w14:textId="77777777" w:rsidR="00B32EF2" w:rsidRDefault="00000000">
                        <w:r>
                          <w:rPr>
                            <w:rFonts w:ascii="Times New Roman" w:eastAsia="Times New Roman" w:hAnsi="Times New Roman" w:cs="Times New Roman"/>
                          </w:rPr>
                          <w:t>1</w:t>
                        </w:r>
                      </w:p>
                    </w:txbxContent>
                  </v:textbox>
                </v:rect>
                <w10:wrap type="topAndBottom" anchorx="page" anchory="page"/>
              </v:group>
            </w:pict>
          </mc:Fallback>
        </mc:AlternateContent>
      </w:r>
    </w:p>
    <w:p w14:paraId="535484CA" w14:textId="77777777" w:rsidR="00B32EF2" w:rsidRDefault="00000000">
      <w:pPr>
        <w:spacing w:after="0"/>
        <w:ind w:left="-331" w:right="-328"/>
      </w:pPr>
      <w:r>
        <w:rPr>
          <w:noProof/>
        </w:rPr>
        <w:lastRenderedPageBreak/>
        <w:drawing>
          <wp:inline distT="0" distB="0" distL="0" distR="0" wp14:anchorId="1CF30003" wp14:editId="31542272">
            <wp:extent cx="3989832" cy="5580888"/>
            <wp:effectExtent l="0" t="0" r="0" b="0"/>
            <wp:docPr id="202857" name="Picture 202857"/>
            <wp:cNvGraphicFramePr/>
            <a:graphic xmlns:a="http://schemas.openxmlformats.org/drawingml/2006/main">
              <a:graphicData uri="http://schemas.openxmlformats.org/drawingml/2006/picture">
                <pic:pic xmlns:pic="http://schemas.openxmlformats.org/drawingml/2006/picture">
                  <pic:nvPicPr>
                    <pic:cNvPr id="202857" name="Picture 202857"/>
                    <pic:cNvPicPr/>
                  </pic:nvPicPr>
                  <pic:blipFill>
                    <a:blip r:embed="rId31"/>
                    <a:stretch>
                      <a:fillRect/>
                    </a:stretch>
                  </pic:blipFill>
                  <pic:spPr>
                    <a:xfrm>
                      <a:off x="0" y="0"/>
                      <a:ext cx="3989832" cy="5580888"/>
                    </a:xfrm>
                    <a:prstGeom prst="rect">
                      <a:avLst/>
                    </a:prstGeom>
                  </pic:spPr>
                </pic:pic>
              </a:graphicData>
            </a:graphic>
          </wp:inline>
        </w:drawing>
      </w:r>
    </w:p>
    <w:sectPr w:rsidR="00B32EF2">
      <w:headerReference w:type="even" r:id="rId32"/>
      <w:headerReference w:type="default" r:id="rId33"/>
      <w:footerReference w:type="even" r:id="rId34"/>
      <w:footerReference w:type="default" r:id="rId35"/>
      <w:headerReference w:type="first" r:id="rId36"/>
      <w:footerReference w:type="first" r:id="rId37"/>
      <w:pgSz w:w="8504" w:h="11906"/>
      <w:pgMar w:top="625" w:right="1440" w:bottom="138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8E3CE" w14:textId="77777777" w:rsidR="00212BEC" w:rsidRDefault="00212BEC">
      <w:pPr>
        <w:spacing w:after="0" w:line="240" w:lineRule="auto"/>
      </w:pPr>
      <w:r>
        <w:separator/>
      </w:r>
    </w:p>
  </w:endnote>
  <w:endnote w:type="continuationSeparator" w:id="0">
    <w:p w14:paraId="7712FE10" w14:textId="77777777" w:rsidR="00212BEC" w:rsidRDefault="00212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A6A76" w14:textId="3DC88790" w:rsidR="00B32EF2" w:rsidRDefault="00C765E9" w:rsidP="00C765E9">
    <w:pPr>
      <w:jc w:val="center"/>
    </w:pPr>
    <w:r>
      <w:t>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2E48" w14:textId="77777777" w:rsidR="00B32EF2" w:rsidRDefault="00B32EF2"/>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56FE" w14:textId="77777777" w:rsidR="00B32EF2" w:rsidRDefault="00B32EF2"/>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FC604" w14:textId="77777777" w:rsidR="00B32EF2" w:rsidRDefault="00B32EF2"/>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E1A37" w14:textId="77777777" w:rsidR="00B32EF2" w:rsidRDefault="00B32EF2"/>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3DA2" w14:textId="77777777" w:rsidR="00B32EF2" w:rsidRDefault="00B32EF2"/>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C9E3" w14:textId="77777777" w:rsidR="00B32EF2" w:rsidRDefault="00B32E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8C322" w14:textId="77777777" w:rsidR="00B32EF2" w:rsidRDefault="00000000">
    <w:pPr>
      <w:spacing w:after="0"/>
      <w:ind w:left="164"/>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B8C9" w14:textId="77777777" w:rsidR="00B32EF2" w:rsidRDefault="00000000">
    <w:pPr>
      <w:spacing w:after="0"/>
      <w:ind w:left="164"/>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A4E5" w14:textId="77777777" w:rsidR="00B32EF2" w:rsidRDefault="00000000">
    <w:pPr>
      <w:spacing w:after="0"/>
      <w:ind w:right="1"/>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50F69" w14:textId="77777777" w:rsidR="00B32EF2" w:rsidRDefault="00000000">
    <w:pPr>
      <w:spacing w:after="0"/>
      <w:ind w:right="1"/>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B303A" w14:textId="77777777" w:rsidR="00B32EF2" w:rsidRDefault="00000000">
    <w:pPr>
      <w:spacing w:after="0"/>
      <w:ind w:right="1"/>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8929" w14:textId="77777777" w:rsidR="00B32EF2" w:rsidRDefault="00B32EF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865FC" w14:textId="77777777" w:rsidR="00B32EF2" w:rsidRDefault="00B32EF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A2C83" w14:textId="77777777" w:rsidR="00B32EF2" w:rsidRDefault="00B32E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BA71F" w14:textId="77777777" w:rsidR="00212BEC" w:rsidRDefault="00212BEC">
      <w:pPr>
        <w:spacing w:after="0" w:line="240" w:lineRule="auto"/>
      </w:pPr>
      <w:r>
        <w:separator/>
      </w:r>
    </w:p>
  </w:footnote>
  <w:footnote w:type="continuationSeparator" w:id="0">
    <w:p w14:paraId="58DA8B47" w14:textId="77777777" w:rsidR="00212BEC" w:rsidRDefault="00212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0591" w14:textId="77777777" w:rsidR="00B32EF2" w:rsidRDefault="00B32EF2"/>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CB97" w14:textId="77777777" w:rsidR="00B32EF2" w:rsidRDefault="00B32EF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28F0" w14:textId="77777777" w:rsidR="00B32EF2" w:rsidRDefault="00B32EF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F7E0" w14:textId="77777777" w:rsidR="00B32EF2" w:rsidRDefault="00B32E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16AB3" w14:textId="77777777" w:rsidR="00B32EF2" w:rsidRDefault="00B32E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BB84E" w14:textId="77777777" w:rsidR="00B32EF2" w:rsidRDefault="00B32EF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C44D3" w14:textId="77777777" w:rsidR="00B32EF2" w:rsidRDefault="00B32EF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C30C" w14:textId="77777777" w:rsidR="00B32EF2" w:rsidRDefault="00B32EF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316C" w14:textId="77777777" w:rsidR="00B32EF2" w:rsidRDefault="00B32EF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3DF8" w14:textId="77777777" w:rsidR="00B32EF2" w:rsidRDefault="00B32EF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9CF4B" w14:textId="77777777" w:rsidR="00B32EF2" w:rsidRDefault="00000000">
    <w:pPr>
      <w:spacing w:after="0"/>
      <w:ind w:left="-1440" w:right="7064"/>
    </w:pPr>
    <w:r>
      <w:rPr>
        <w:noProof/>
      </w:rPr>
      <mc:AlternateContent>
        <mc:Choice Requires="wpg">
          <w:drawing>
            <wp:anchor distT="0" distB="0" distL="114300" distR="114300" simplePos="0" relativeHeight="251658240" behindDoc="0" locked="0" layoutInCell="1" allowOverlap="1" wp14:anchorId="429D017B" wp14:editId="1C4EB017">
              <wp:simplePos x="0" y="0"/>
              <wp:positionH relativeFrom="page">
                <wp:posOffset>719964</wp:posOffset>
              </wp:positionH>
              <wp:positionV relativeFrom="page">
                <wp:posOffset>879173</wp:posOffset>
              </wp:positionV>
              <wp:extent cx="38062" cy="107435"/>
              <wp:effectExtent l="0" t="0" r="0" b="0"/>
              <wp:wrapSquare wrapText="bothSides"/>
              <wp:docPr id="202920" name="Group 202920"/>
              <wp:cNvGraphicFramePr/>
              <a:graphic xmlns:a="http://schemas.openxmlformats.org/drawingml/2006/main">
                <a:graphicData uri="http://schemas.microsoft.com/office/word/2010/wordprocessingGroup">
                  <wpg:wgp>
                    <wpg:cNvGrpSpPr/>
                    <wpg:grpSpPr>
                      <a:xfrm>
                        <a:off x="0" y="0"/>
                        <a:ext cx="38062" cy="107435"/>
                        <a:chOff x="0" y="0"/>
                        <a:chExt cx="38062" cy="107435"/>
                      </a:xfrm>
                    </wpg:grpSpPr>
                    <wps:wsp>
                      <wps:cNvPr id="202921" name="Rectangle 202921"/>
                      <wps:cNvSpPr/>
                      <wps:spPr>
                        <a:xfrm rot="-10799999">
                          <a:off x="-12559" y="-35453"/>
                          <a:ext cx="50622" cy="142889"/>
                        </a:xfrm>
                        <a:prstGeom prst="rect">
                          <a:avLst/>
                        </a:prstGeom>
                        <a:ln>
                          <a:noFill/>
                        </a:ln>
                      </wps:spPr>
                      <wps:txbx>
                        <w:txbxContent>
                          <w:p w14:paraId="5CA57792" w14:textId="77777777" w:rsidR="00B32EF2" w:rsidRDefault="00000000">
                            <w:r>
                              <w:rPr>
                                <w:rFonts w:ascii="Arial" w:eastAsia="Arial" w:hAnsi="Arial" w:cs="Arial"/>
                                <w:sz w:val="18"/>
                              </w:rPr>
                              <w:t>-</w:t>
                            </w:r>
                          </w:p>
                        </w:txbxContent>
                      </wps:txbx>
                      <wps:bodyPr horzOverflow="overflow" vert="horz" lIns="0" tIns="0" rIns="0" bIns="0" rtlCol="0">
                        <a:noAutofit/>
                      </wps:bodyPr>
                    </wps:wsp>
                  </wpg:wgp>
                </a:graphicData>
              </a:graphic>
            </wp:anchor>
          </w:drawing>
        </mc:Choice>
        <mc:Fallback>
          <w:pict>
            <v:group w14:anchorId="429D017B" id="Group 202920" o:spid="_x0000_s7519" style="position:absolute;left:0;text-align:left;margin-left:56.7pt;margin-top:69.25pt;width:3pt;height:8.45pt;z-index:251658240;mso-position-horizontal-relative:page;mso-position-vertical-relative:page" coordsize="38062,10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COCEgIAAHYEAAAOAAAAZHJzL2Uyb0RvYy54bWyklNtu2zAMhu8H7B0E3Sc+JO4SI04xrGsw&#10;YFiLdXsARZYPgCwKkhI7e/pRsp1uLbCLLhcKJcrkz8+kd7dDJ8lZGNuCKmiyjCkRikPZqrqgP3/c&#10;LzaUWMdUySQoUdCLsPR2//7drte5SKEBWQpDMIiyea8L2jin8yiyvBEds0vQQqGzAtMxh1tTR6Vh&#10;PUbvZJTG8U3Ugym1AS6sxdO70Un3IX5VCe4eqsoKR2RBUZsLqwnr0a/Rfsfy2jDdtHySwd6gomOt&#10;wqTXUHfMMXIy7atQXcsNWKjckkMXQVW1XIQasJokflHNwcBJh1rqvK/1FROifcHpzWH5t/PB6Cf9&#10;aJBEr2tkEXa+lqEynf9HlWQIyC5XZGJwhOPhahPfpJRw9CTxh/UqG4nyBrG/eog3n//1WDSnjP4S&#10;0mtsDftcvf2/6p8apkWAanOs/tGQtixoGqfbNKFEsQ679Dv2DVO1FGQ6D3DC/Ssqm1ukNnMiBrC3&#10;Fshg63+hFyZuiyTNsi0liGixytbZakQ0E8wQ4ExwnW42W+++omC5NtYdBHTEGwU1KC1EZ+ev1o1X&#10;5ytejFR+VXDfSjl6/QkSnfV6yw3HYSrpCOUFGTRgfj3gHFcS+oLCZFE/2pjUeymRXxSy91M0G2Y2&#10;jrNhnPwEYdZGGR9PDqo26PSJx2yTHnypwQrNHWqeBtFPz5/7cOv5c7H/DQAA//8DAFBLAwQUAAYA&#10;CAAAACEAXud71uAAAAALAQAADwAAAGRycy9kb3ducmV2LnhtbEyPQUvDQBCF74L/YRnBm93ENNLG&#10;bEop6qkItoL0ts1Ok9DsbMhuk/TfOz3p7b2Zx5tv8tVkWzFg7xtHCuJZBAKpdKahSsH3/v1pAcIH&#10;TUa3jlDBFT2sivu7XGfGjfSFwy5UgkvIZ1pBHUKXSenLGq32M9ch8e7keqsD276Sptcjl9tWPkfR&#10;i7S6Ib5Q6w43NZbn3cUq+Bj1uE7it2F7Pm2uh336+bONUanHh2n9CiLgFP7CcMNndCiY6eguZLxo&#10;2cfJnKMskkUK4paIlzw5skjTOcgil/9/KH4BAAD//wMAUEsBAi0AFAAGAAgAAAAhALaDOJL+AAAA&#10;4QEAABMAAAAAAAAAAAAAAAAAAAAAAFtDb250ZW50X1R5cGVzXS54bWxQSwECLQAUAAYACAAAACEA&#10;OP0h/9YAAACUAQAACwAAAAAAAAAAAAAAAAAvAQAAX3JlbHMvLnJlbHNQSwECLQAUAAYACAAAACEA&#10;L5QjghICAAB2BAAADgAAAAAAAAAAAAAAAAAuAgAAZHJzL2Uyb0RvYy54bWxQSwECLQAUAAYACAAA&#10;ACEAXud71uAAAAALAQAADwAAAAAAAAAAAAAAAABsBAAAZHJzL2Rvd25yZXYueG1sUEsFBgAAAAAE&#10;AAQA8wAAAHkFAAAAAA==&#10;">
              <v:rect id="Rectangle 202921" o:spid="_x0000_s7520" style="position:absolute;left:-12559;top:-35453;width:50622;height:14288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eiKxwAAAN8AAAAPAAAAZHJzL2Rvd25yZXYueG1sRI9Ba8JA&#10;FITvBf/D8gRvdWMOotFVRBFz6KVqocdH9plEs2+X7GrS/vpuQfA4zMw3zHLdm0Y8qPW1ZQWTcQKC&#10;uLC65lLB+bR/n4HwAVljY5kU/JCH9WrwtsRM244/6XEMpYgQ9hkqqEJwmZS+qMigH1tHHL2LbQ2G&#10;KNtS6ha7CDeNTJNkKg3WHBcqdLStqLgd70bB945dvu9kcfnduo9rPmsO9/OXUqNhv1mACNSHV/jZ&#10;zrWCNEnn6QT+/8QvIFd/AAAA//8DAFBLAQItABQABgAIAAAAIQDb4fbL7gAAAIUBAAATAAAAAAAA&#10;AAAAAAAAAAAAAABbQ29udGVudF9UeXBlc10ueG1sUEsBAi0AFAAGAAgAAAAhAFr0LFu/AAAAFQEA&#10;AAsAAAAAAAAAAAAAAAAAHwEAAF9yZWxzLy5yZWxzUEsBAi0AFAAGAAgAAAAhAKrZ6IrHAAAA3wAA&#10;AA8AAAAAAAAAAAAAAAAABwIAAGRycy9kb3ducmV2LnhtbFBLBQYAAAAAAwADALcAAAD7AgAAAAA=&#10;" filled="f" stroked="f">
                <v:textbox inset="0,0,0,0">
                  <w:txbxContent>
                    <w:p w14:paraId="5CA57792" w14:textId="77777777" w:rsidR="00B32EF2" w:rsidRDefault="00000000">
                      <w:r>
                        <w:rPr>
                          <w:rFonts w:ascii="Arial" w:eastAsia="Arial" w:hAnsi="Arial" w:cs="Arial"/>
                          <w:sz w:val="18"/>
                        </w:rPr>
                        <w:t>-</w:t>
                      </w:r>
                    </w:p>
                  </w:txbxContent>
                </v:textbox>
              </v:rect>
              <w10:wrap type="square"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7B26" w14:textId="77777777" w:rsidR="00B32EF2" w:rsidRDefault="00000000">
    <w:pPr>
      <w:spacing w:after="0"/>
      <w:ind w:left="-1440" w:right="7064"/>
    </w:pPr>
    <w:r>
      <w:rPr>
        <w:noProof/>
      </w:rPr>
      <mc:AlternateContent>
        <mc:Choice Requires="wpg">
          <w:drawing>
            <wp:anchor distT="0" distB="0" distL="114300" distR="114300" simplePos="0" relativeHeight="251659264" behindDoc="0" locked="0" layoutInCell="1" allowOverlap="1" wp14:anchorId="11C6251F" wp14:editId="798AC3AA">
              <wp:simplePos x="0" y="0"/>
              <wp:positionH relativeFrom="page">
                <wp:posOffset>719964</wp:posOffset>
              </wp:positionH>
              <wp:positionV relativeFrom="page">
                <wp:posOffset>879173</wp:posOffset>
              </wp:positionV>
              <wp:extent cx="38062" cy="107435"/>
              <wp:effectExtent l="0" t="0" r="0" b="0"/>
              <wp:wrapSquare wrapText="bothSides"/>
              <wp:docPr id="202913" name="Group 202913"/>
              <wp:cNvGraphicFramePr/>
              <a:graphic xmlns:a="http://schemas.openxmlformats.org/drawingml/2006/main">
                <a:graphicData uri="http://schemas.microsoft.com/office/word/2010/wordprocessingGroup">
                  <wpg:wgp>
                    <wpg:cNvGrpSpPr/>
                    <wpg:grpSpPr>
                      <a:xfrm>
                        <a:off x="0" y="0"/>
                        <a:ext cx="38062" cy="107435"/>
                        <a:chOff x="0" y="0"/>
                        <a:chExt cx="38062" cy="107435"/>
                      </a:xfrm>
                    </wpg:grpSpPr>
                    <wps:wsp>
                      <wps:cNvPr id="202914" name="Rectangle 202914"/>
                      <wps:cNvSpPr/>
                      <wps:spPr>
                        <a:xfrm rot="-10799999">
                          <a:off x="-12559" y="-35453"/>
                          <a:ext cx="50622" cy="142889"/>
                        </a:xfrm>
                        <a:prstGeom prst="rect">
                          <a:avLst/>
                        </a:prstGeom>
                        <a:ln>
                          <a:noFill/>
                        </a:ln>
                      </wps:spPr>
                      <wps:txbx>
                        <w:txbxContent>
                          <w:p w14:paraId="50D10C05" w14:textId="77777777" w:rsidR="00B32EF2" w:rsidRDefault="00000000">
                            <w:r>
                              <w:rPr>
                                <w:rFonts w:ascii="Arial" w:eastAsia="Arial" w:hAnsi="Arial" w:cs="Arial"/>
                                <w:sz w:val="18"/>
                              </w:rPr>
                              <w:t>-</w:t>
                            </w:r>
                          </w:p>
                        </w:txbxContent>
                      </wps:txbx>
                      <wps:bodyPr horzOverflow="overflow" vert="horz" lIns="0" tIns="0" rIns="0" bIns="0" rtlCol="0">
                        <a:noAutofit/>
                      </wps:bodyPr>
                    </wps:wsp>
                  </wpg:wgp>
                </a:graphicData>
              </a:graphic>
            </wp:anchor>
          </w:drawing>
        </mc:Choice>
        <mc:Fallback>
          <w:pict>
            <v:group w14:anchorId="11C6251F" id="Group 202913" o:spid="_x0000_s7521" style="position:absolute;left:0;text-align:left;margin-left:56.7pt;margin-top:69.25pt;width:3pt;height:8.45pt;z-index:251659264;mso-position-horizontal-relative:page;mso-position-vertical-relative:page" coordsize="38062,107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FsIFQIAAH0EAAAOAAAAZHJzL2Uyb0RvYy54bWyklNtu2zAMhu8H7B0E3Sc+JO4SI04xrGsw&#10;YFiLdXsARZYPgCwKkhK7e/pRsp1sLbCLLhcKJcrkz8+kd7dDJ8lZGNuCKmiyjCkRikPZqrqgP3/c&#10;LzaUWMdUySQoUdBnYent/v27Xa9zkUIDshSGYBBl814XtHFO51FkeSM6ZpeghUJnBaZjDremjkrD&#10;eozeySiN45uoB1NqA1xYi6d3o5PuQ/yqEtw9VJUVjsiCojYXVhPWo1+j/Y7ltWG6afkkg71BRcda&#10;hUkvoe6YY+Rk2lehupYbsFC5JYcugqpquQg1YDVJ/KKag4GTDrXUeV/rCyZE+4LTm8Pyb+eD0U/6&#10;0SCJXtfIIux8LUNlOv+PKskQkD1fkInBEY6Hq018k1LC0ZPEH9arbCTKG8T+6iHefP7XY9GcMvpL&#10;SK+xNey1evt/1T81TIsA1eZY/aMhbVnQNE63yZoSxTrs0u/YN0zVUpDpPMAJ9y+obG6R2syJGMDe&#10;WiCDrf+FXpi4LZI0y7aUIKLFKltnqxHRTDBDgDPBdbrZbL37goLl2lh3ENARbxTUoLQQnZ2/Wjde&#10;na94MVL5VcF9K+Xo9SdIdNbrLTcch1B24pP5kyOUz4iiAfPrAce5ktAXFCaL+gnH3N5Lifyi8BX4&#10;YZoNMxvH2TBOfoIwcqOajycHVRvkXrNNsvDdBiv0eCh9mkc/RH/uw63rV2P/GwAA//8DAFBLAwQU&#10;AAYACAAAACEAXud71uAAAAALAQAADwAAAGRycy9kb3ducmV2LnhtbEyPQUvDQBCF74L/YRnBm93E&#10;NNLGbEop6qkItoL0ts1Ok9DsbMhuk/TfOz3p7b2Zx5tv8tVkWzFg7xtHCuJZBAKpdKahSsH3/v1p&#10;AcIHTUa3jlDBFT2sivu7XGfGjfSFwy5UgkvIZ1pBHUKXSenLGq32M9ch8e7keqsD276Sptcjl9tW&#10;PkfRi7S6Ib5Q6w43NZbn3cUq+Bj1uE7it2F7Pm2uh336+bONUanHh2n9CiLgFP7CcMNndCiY6egu&#10;ZLxo2cfJnKMskkUK4paIlzw5skjTOcgil/9/KH4BAAD//wMAUEsBAi0AFAAGAAgAAAAhALaDOJL+&#10;AAAA4QEAABMAAAAAAAAAAAAAAAAAAAAAAFtDb250ZW50X1R5cGVzXS54bWxQSwECLQAUAAYACAAA&#10;ACEAOP0h/9YAAACUAQAACwAAAAAAAAAAAAAAAAAvAQAAX3JlbHMvLnJlbHNQSwECLQAUAAYACAAA&#10;ACEA9EBbCBUCAAB9BAAADgAAAAAAAAAAAAAAAAAuAgAAZHJzL2Uyb0RvYy54bWxQSwECLQAUAAYA&#10;CAAAACEAXud71uAAAAALAQAADwAAAAAAAAAAAAAAAABvBAAAZHJzL2Rvd25yZXYueG1sUEsFBgAA&#10;AAAEAAQA8wAAAHwFAAAAAA==&#10;">
              <v:rect id="Rectangle 202914" o:spid="_x0000_s7522" style="position:absolute;left:-12559;top:-35453;width:50622;height:14288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oGvyAAAAN8AAAAPAAAAZHJzL2Rvd25yZXYueG1sRI9Pa8JA&#10;FMTvhX6H5Qm96cZQRFNXEYs0By/1D/T4yD6TaPbtkl1N6qd3C0KPw8z8hpkve9OIG7W+tqxgPEpA&#10;EBdW11wqOOw3wykIH5A1NpZJwS95WC5eX+aYadvxN912oRQRwj5DBVUILpPSFxUZ9CPriKN3sq3B&#10;EGVbSt1iF+GmkWmSTKTBmuNChY7WFRWX3dUo+Plkl286WZzua7c959Pm63o4KvU26FcfIAL14T/8&#10;bOdaQZqks/E7/P2JX0AuHgAAAP//AwBQSwECLQAUAAYACAAAACEA2+H2y+4AAACFAQAAEwAAAAAA&#10;AAAAAAAAAAAAAAAAW0NvbnRlbnRfVHlwZXNdLnhtbFBLAQItABQABgAIAAAAIQBa9CxbvwAAABUB&#10;AAALAAAAAAAAAAAAAAAAAB8BAABfcmVscy8ucmVsc1BLAQItABQABgAIAAAAIQB0woGvyAAAAN8A&#10;AAAPAAAAAAAAAAAAAAAAAAcCAABkcnMvZG93bnJldi54bWxQSwUGAAAAAAMAAwC3AAAA/AIAAAAA&#10;" filled="f" stroked="f">
                <v:textbox inset="0,0,0,0">
                  <w:txbxContent>
                    <w:p w14:paraId="50D10C05" w14:textId="77777777" w:rsidR="00B32EF2" w:rsidRDefault="00000000">
                      <w:r>
                        <w:rPr>
                          <w:rFonts w:ascii="Arial" w:eastAsia="Arial" w:hAnsi="Arial" w:cs="Arial"/>
                          <w:sz w:val="18"/>
                        </w:rPr>
                        <w:t>-</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3344"/>
    <w:multiLevelType w:val="hybridMultilevel"/>
    <w:tmpl w:val="0768722E"/>
    <w:lvl w:ilvl="0" w:tplc="B602F764">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2DE129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4102F5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A74178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3A660E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9BED46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D307D6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F8E379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49248A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64E05DB"/>
    <w:multiLevelType w:val="hybridMultilevel"/>
    <w:tmpl w:val="A724BFF6"/>
    <w:lvl w:ilvl="0" w:tplc="E71A50C0">
      <w:start w:val="12"/>
      <w:numFmt w:val="lowerLetter"/>
      <w:lvlText w:val="%1)"/>
      <w:lvlJc w:val="left"/>
      <w:pPr>
        <w:ind w:left="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D44B60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0BAF6C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C88960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EB6592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9DC8DC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78C6BE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CC8627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3DE023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7113D6A"/>
    <w:multiLevelType w:val="hybridMultilevel"/>
    <w:tmpl w:val="83921890"/>
    <w:lvl w:ilvl="0" w:tplc="C7F23B3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438BFA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4CA218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49ED1C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1AE060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7248E9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7988FA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FDC5AC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B6C459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7667757"/>
    <w:multiLevelType w:val="hybridMultilevel"/>
    <w:tmpl w:val="4F6A1642"/>
    <w:lvl w:ilvl="0" w:tplc="443AF9DE">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D16C4B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5FE50E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FB2C72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700699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F66E9E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B6CC2E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6C2395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3C601B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7696EB7"/>
    <w:multiLevelType w:val="hybridMultilevel"/>
    <w:tmpl w:val="5B8C5CE8"/>
    <w:lvl w:ilvl="0" w:tplc="C9B0ECD4">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F04CE3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774FB6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A4A2A6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36E98C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634428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AD6CAE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392814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290896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85B3C49"/>
    <w:multiLevelType w:val="hybridMultilevel"/>
    <w:tmpl w:val="08BA36FC"/>
    <w:lvl w:ilvl="0" w:tplc="EAE60CBE">
      <w:start w:val="1"/>
      <w:numFmt w:val="decimal"/>
      <w:lvlText w:val="%1."/>
      <w:lvlJc w:val="left"/>
      <w:pPr>
        <w:ind w:left="17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9780B3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E10305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67E8F9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8B68D5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61A429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11C450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5CE72E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67E72C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89E3FA5"/>
    <w:multiLevelType w:val="hybridMultilevel"/>
    <w:tmpl w:val="B85C4014"/>
    <w:lvl w:ilvl="0" w:tplc="B010029A">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3E4441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9866C4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E52C46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FBC1C7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188FEE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91A64D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B40023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A94E32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09FB183E"/>
    <w:multiLevelType w:val="hybridMultilevel"/>
    <w:tmpl w:val="87E6E70A"/>
    <w:lvl w:ilvl="0" w:tplc="01E4CCBC">
      <w:start w:val="1"/>
      <w:numFmt w:val="decimal"/>
      <w:lvlText w:val="%1."/>
      <w:lvlJc w:val="left"/>
      <w:pPr>
        <w:ind w:left="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EBE8EA3C">
      <w:start w:val="1"/>
      <w:numFmt w:val="lowerLetter"/>
      <w:lvlText w:val="%2"/>
      <w:lvlJc w:val="left"/>
      <w:pPr>
        <w:ind w:left="12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959E4A00">
      <w:start w:val="1"/>
      <w:numFmt w:val="lowerRoman"/>
      <w:lvlText w:val="%3"/>
      <w:lvlJc w:val="left"/>
      <w:pPr>
        <w:ind w:left="19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70B65F3E">
      <w:start w:val="1"/>
      <w:numFmt w:val="decimal"/>
      <w:lvlText w:val="%4"/>
      <w:lvlJc w:val="left"/>
      <w:pPr>
        <w:ind w:left="26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6B46E384">
      <w:start w:val="1"/>
      <w:numFmt w:val="lowerLetter"/>
      <w:lvlText w:val="%5"/>
      <w:lvlJc w:val="left"/>
      <w:pPr>
        <w:ind w:left="336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05C001D0">
      <w:start w:val="1"/>
      <w:numFmt w:val="lowerRoman"/>
      <w:lvlText w:val="%6"/>
      <w:lvlJc w:val="left"/>
      <w:pPr>
        <w:ind w:left="408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02C6A082">
      <w:start w:val="1"/>
      <w:numFmt w:val="decimal"/>
      <w:lvlText w:val="%7"/>
      <w:lvlJc w:val="left"/>
      <w:pPr>
        <w:ind w:left="48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4462CDD8">
      <w:start w:val="1"/>
      <w:numFmt w:val="lowerLetter"/>
      <w:lvlText w:val="%8"/>
      <w:lvlJc w:val="left"/>
      <w:pPr>
        <w:ind w:left="55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4FCA649A">
      <w:start w:val="1"/>
      <w:numFmt w:val="lowerRoman"/>
      <w:lvlText w:val="%9"/>
      <w:lvlJc w:val="left"/>
      <w:pPr>
        <w:ind w:left="62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0A8D722D"/>
    <w:multiLevelType w:val="hybridMultilevel"/>
    <w:tmpl w:val="D3ECB240"/>
    <w:lvl w:ilvl="0" w:tplc="F6023AF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B7EB12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4F642C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2AAE0B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D38157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DBA011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D8274E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062BB2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6702B1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0BC11F06"/>
    <w:multiLevelType w:val="hybridMultilevel"/>
    <w:tmpl w:val="D31EE7F0"/>
    <w:lvl w:ilvl="0" w:tplc="6CF42D54">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5B2A9A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228599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45C36F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8CCEB2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8ECE99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A9C157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31C053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A521C1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0BFE3B53"/>
    <w:multiLevelType w:val="hybridMultilevel"/>
    <w:tmpl w:val="6026FA56"/>
    <w:lvl w:ilvl="0" w:tplc="7D407240">
      <w:start w:val="2"/>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05E2D3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BE065D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CC8223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51E021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C6CDAE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7D6DBF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866932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9EACBE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0D757EF1"/>
    <w:multiLevelType w:val="hybridMultilevel"/>
    <w:tmpl w:val="8E76F098"/>
    <w:lvl w:ilvl="0" w:tplc="B656B96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568268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EDE7BF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E26C65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5A73C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E46249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62A2BA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E924C0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23AD0F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0DD00CD7"/>
    <w:multiLevelType w:val="hybridMultilevel"/>
    <w:tmpl w:val="8194B1F8"/>
    <w:lvl w:ilvl="0" w:tplc="F43410E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70595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5F0D0F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CF8E61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9027E5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5486A3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23ADD6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4348FC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F1CB69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0E47623B"/>
    <w:multiLevelType w:val="hybridMultilevel"/>
    <w:tmpl w:val="7E421A24"/>
    <w:lvl w:ilvl="0" w:tplc="CD32A3A4">
      <w:start w:val="1"/>
      <w:numFmt w:val="decimal"/>
      <w:lvlText w:val="(%1)"/>
      <w:lvlJc w:val="left"/>
      <w:pPr>
        <w:ind w:left="346" w:hanging="360"/>
      </w:pPr>
      <w:rPr>
        <w:rFonts w:hint="default"/>
      </w:rPr>
    </w:lvl>
    <w:lvl w:ilvl="1" w:tplc="04100019" w:tentative="1">
      <w:start w:val="1"/>
      <w:numFmt w:val="lowerLetter"/>
      <w:lvlText w:val="%2."/>
      <w:lvlJc w:val="left"/>
      <w:pPr>
        <w:ind w:left="1066" w:hanging="360"/>
      </w:pPr>
    </w:lvl>
    <w:lvl w:ilvl="2" w:tplc="0410001B" w:tentative="1">
      <w:start w:val="1"/>
      <w:numFmt w:val="lowerRoman"/>
      <w:lvlText w:val="%3."/>
      <w:lvlJc w:val="right"/>
      <w:pPr>
        <w:ind w:left="1786" w:hanging="180"/>
      </w:pPr>
    </w:lvl>
    <w:lvl w:ilvl="3" w:tplc="0410000F" w:tentative="1">
      <w:start w:val="1"/>
      <w:numFmt w:val="decimal"/>
      <w:lvlText w:val="%4."/>
      <w:lvlJc w:val="left"/>
      <w:pPr>
        <w:ind w:left="2506" w:hanging="360"/>
      </w:pPr>
    </w:lvl>
    <w:lvl w:ilvl="4" w:tplc="04100019" w:tentative="1">
      <w:start w:val="1"/>
      <w:numFmt w:val="lowerLetter"/>
      <w:lvlText w:val="%5."/>
      <w:lvlJc w:val="left"/>
      <w:pPr>
        <w:ind w:left="3226" w:hanging="360"/>
      </w:pPr>
    </w:lvl>
    <w:lvl w:ilvl="5" w:tplc="0410001B" w:tentative="1">
      <w:start w:val="1"/>
      <w:numFmt w:val="lowerRoman"/>
      <w:lvlText w:val="%6."/>
      <w:lvlJc w:val="right"/>
      <w:pPr>
        <w:ind w:left="3946" w:hanging="180"/>
      </w:pPr>
    </w:lvl>
    <w:lvl w:ilvl="6" w:tplc="0410000F" w:tentative="1">
      <w:start w:val="1"/>
      <w:numFmt w:val="decimal"/>
      <w:lvlText w:val="%7."/>
      <w:lvlJc w:val="left"/>
      <w:pPr>
        <w:ind w:left="4666" w:hanging="360"/>
      </w:pPr>
    </w:lvl>
    <w:lvl w:ilvl="7" w:tplc="04100019" w:tentative="1">
      <w:start w:val="1"/>
      <w:numFmt w:val="lowerLetter"/>
      <w:lvlText w:val="%8."/>
      <w:lvlJc w:val="left"/>
      <w:pPr>
        <w:ind w:left="5386" w:hanging="360"/>
      </w:pPr>
    </w:lvl>
    <w:lvl w:ilvl="8" w:tplc="0410001B" w:tentative="1">
      <w:start w:val="1"/>
      <w:numFmt w:val="lowerRoman"/>
      <w:lvlText w:val="%9."/>
      <w:lvlJc w:val="right"/>
      <w:pPr>
        <w:ind w:left="6106" w:hanging="180"/>
      </w:pPr>
    </w:lvl>
  </w:abstractNum>
  <w:abstractNum w:abstractNumId="14" w15:restartNumberingAfterBreak="0">
    <w:nsid w:val="0EE35F3F"/>
    <w:multiLevelType w:val="hybridMultilevel"/>
    <w:tmpl w:val="70946F7E"/>
    <w:lvl w:ilvl="0" w:tplc="BAACF5BC">
      <w:start w:val="2"/>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3C3C5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792D3E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D5614B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4E45B1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C34733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8425E8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0340D6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282C7F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0EF327D2"/>
    <w:multiLevelType w:val="hybridMultilevel"/>
    <w:tmpl w:val="BA5AB748"/>
    <w:lvl w:ilvl="0" w:tplc="FA3EDA78">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BEDA7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4E8091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84601B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C7E6A4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1A6591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9F6F7C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F64CC8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5721BE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0F707948"/>
    <w:multiLevelType w:val="hybridMultilevel"/>
    <w:tmpl w:val="086466EC"/>
    <w:lvl w:ilvl="0" w:tplc="F1E0CE9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CC2513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4A4109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75CCD8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20EA19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95ABB3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26EE6A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1C8F73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CB6249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100B26AF"/>
    <w:multiLevelType w:val="hybridMultilevel"/>
    <w:tmpl w:val="92F40694"/>
    <w:lvl w:ilvl="0" w:tplc="D716F13E">
      <w:start w:val="2"/>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92053D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402829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DCEC99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3BADC4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B9CB54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FC86A0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526A83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D06222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106806E0"/>
    <w:multiLevelType w:val="hybridMultilevel"/>
    <w:tmpl w:val="E0967194"/>
    <w:lvl w:ilvl="0" w:tplc="A55C5DF2">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E36F87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534EEC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296D99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1F84A2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1028C6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7FECDD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080A18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45C8E6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10857443"/>
    <w:multiLevelType w:val="hybridMultilevel"/>
    <w:tmpl w:val="E4F8A074"/>
    <w:lvl w:ilvl="0" w:tplc="01AA3A74">
      <w:start w:val="1"/>
      <w:numFmt w:val="decimal"/>
      <w:lvlText w:val="%1."/>
      <w:lvlJc w:val="left"/>
      <w:pPr>
        <w:ind w:left="1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1D4D26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DC8E1C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6F0163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9345A7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BEA420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884A36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DC05BB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EA2C41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10857B3E"/>
    <w:multiLevelType w:val="hybridMultilevel"/>
    <w:tmpl w:val="87DA3B02"/>
    <w:lvl w:ilvl="0" w:tplc="314A5602">
      <w:start w:val="2"/>
      <w:numFmt w:val="lowerLetter"/>
      <w:lvlText w:val="%1)"/>
      <w:lvlJc w:val="left"/>
      <w:pPr>
        <w:ind w:left="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0F8000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D32D69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4D64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172DF9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270664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F4C315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12324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B86CAF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109555DA"/>
    <w:multiLevelType w:val="hybridMultilevel"/>
    <w:tmpl w:val="BD784920"/>
    <w:lvl w:ilvl="0" w:tplc="D2AE1686">
      <w:start w:val="2"/>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E90CFC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30A51B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3204EE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6C6D99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B465E5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EBC246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AA6A3B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E522A3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116762DD"/>
    <w:multiLevelType w:val="hybridMultilevel"/>
    <w:tmpl w:val="FA5E8980"/>
    <w:lvl w:ilvl="0" w:tplc="75582F9C">
      <w:start w:val="2"/>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CC8C44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030411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AB0CC2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70E85C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D4EC49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326214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7B62A1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C90649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11BB62F6"/>
    <w:multiLevelType w:val="hybridMultilevel"/>
    <w:tmpl w:val="938E59DA"/>
    <w:lvl w:ilvl="0" w:tplc="7366A504">
      <w:start w:val="3"/>
      <w:numFmt w:val="decimal"/>
      <w:lvlText w:val="%1."/>
      <w:lvlJc w:val="left"/>
      <w:pPr>
        <w:ind w:left="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158F2A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C3AC40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9561F6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BC07EA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15A965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266F1A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542D32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2FC8F8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122844FE"/>
    <w:multiLevelType w:val="hybridMultilevel"/>
    <w:tmpl w:val="203855AE"/>
    <w:lvl w:ilvl="0" w:tplc="54189DD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E104E9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BE4C0B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2565DC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03012A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3B2FEE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5DA611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F74D46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FCAD8F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125B7080"/>
    <w:multiLevelType w:val="hybridMultilevel"/>
    <w:tmpl w:val="6E623C94"/>
    <w:lvl w:ilvl="0" w:tplc="84705BC4">
      <w:start w:val="3"/>
      <w:numFmt w:val="decimal"/>
      <w:lvlText w:val="%1."/>
      <w:lvlJc w:val="left"/>
      <w:pPr>
        <w:ind w:left="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EF4011B8">
      <w:start w:val="1"/>
      <w:numFmt w:val="lowerLetter"/>
      <w:lvlText w:val="%2"/>
      <w:lvlJc w:val="left"/>
      <w:pPr>
        <w:ind w:left="12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3FF038FE">
      <w:start w:val="1"/>
      <w:numFmt w:val="lowerRoman"/>
      <w:lvlText w:val="%3"/>
      <w:lvlJc w:val="left"/>
      <w:pPr>
        <w:ind w:left="19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DB667BD0">
      <w:start w:val="1"/>
      <w:numFmt w:val="decimal"/>
      <w:lvlText w:val="%4"/>
      <w:lvlJc w:val="left"/>
      <w:pPr>
        <w:ind w:left="26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68A04040">
      <w:start w:val="1"/>
      <w:numFmt w:val="lowerLetter"/>
      <w:lvlText w:val="%5"/>
      <w:lvlJc w:val="left"/>
      <w:pPr>
        <w:ind w:left="336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34948D42">
      <w:start w:val="1"/>
      <w:numFmt w:val="lowerRoman"/>
      <w:lvlText w:val="%6"/>
      <w:lvlJc w:val="left"/>
      <w:pPr>
        <w:ind w:left="408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A5E01EE2">
      <w:start w:val="1"/>
      <w:numFmt w:val="decimal"/>
      <w:lvlText w:val="%7"/>
      <w:lvlJc w:val="left"/>
      <w:pPr>
        <w:ind w:left="48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0A606370">
      <w:start w:val="1"/>
      <w:numFmt w:val="lowerLetter"/>
      <w:lvlText w:val="%8"/>
      <w:lvlJc w:val="left"/>
      <w:pPr>
        <w:ind w:left="55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27100FC4">
      <w:start w:val="1"/>
      <w:numFmt w:val="lowerRoman"/>
      <w:lvlText w:val="%9"/>
      <w:lvlJc w:val="left"/>
      <w:pPr>
        <w:ind w:left="62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12AA29D5"/>
    <w:multiLevelType w:val="hybridMultilevel"/>
    <w:tmpl w:val="2FFADAB6"/>
    <w:lvl w:ilvl="0" w:tplc="31248CFA">
      <w:start w:val="2"/>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F6A84408">
      <w:start w:val="1"/>
      <w:numFmt w:val="lowerLetter"/>
      <w:lvlText w:val="%2"/>
      <w:lvlJc w:val="left"/>
      <w:pPr>
        <w:ind w:left="11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66E2540C">
      <w:start w:val="1"/>
      <w:numFmt w:val="lowerRoman"/>
      <w:lvlText w:val="%3"/>
      <w:lvlJc w:val="left"/>
      <w:pPr>
        <w:ind w:left="19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BE72BB40">
      <w:start w:val="1"/>
      <w:numFmt w:val="decimal"/>
      <w:lvlText w:val="%4"/>
      <w:lvlJc w:val="left"/>
      <w:pPr>
        <w:ind w:left="26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F606DF86">
      <w:start w:val="1"/>
      <w:numFmt w:val="lowerLetter"/>
      <w:lvlText w:val="%5"/>
      <w:lvlJc w:val="left"/>
      <w:pPr>
        <w:ind w:left="33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D6EE233A">
      <w:start w:val="1"/>
      <w:numFmt w:val="lowerRoman"/>
      <w:lvlText w:val="%6"/>
      <w:lvlJc w:val="left"/>
      <w:pPr>
        <w:ind w:left="407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B3BA6984">
      <w:start w:val="1"/>
      <w:numFmt w:val="decimal"/>
      <w:lvlText w:val="%7"/>
      <w:lvlJc w:val="left"/>
      <w:pPr>
        <w:ind w:left="47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8B9ED53C">
      <w:start w:val="1"/>
      <w:numFmt w:val="lowerLetter"/>
      <w:lvlText w:val="%8"/>
      <w:lvlJc w:val="left"/>
      <w:pPr>
        <w:ind w:left="55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0C9C3244">
      <w:start w:val="1"/>
      <w:numFmt w:val="lowerRoman"/>
      <w:lvlText w:val="%9"/>
      <w:lvlJc w:val="left"/>
      <w:pPr>
        <w:ind w:left="62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12E17E26"/>
    <w:multiLevelType w:val="hybridMultilevel"/>
    <w:tmpl w:val="8272C118"/>
    <w:lvl w:ilvl="0" w:tplc="6546865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9BEBD9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0DE4DE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6BE776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76051C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F96195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664DB4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C86AE3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0702D0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13107DE8"/>
    <w:multiLevelType w:val="hybridMultilevel"/>
    <w:tmpl w:val="E7065444"/>
    <w:lvl w:ilvl="0" w:tplc="35EABF02">
      <w:start w:val="1"/>
      <w:numFmt w:val="lowerLetter"/>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B8E378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F1092D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D40B1C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BCA07E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76C097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B12D1D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E045C9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3C69BB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131A7819"/>
    <w:multiLevelType w:val="hybridMultilevel"/>
    <w:tmpl w:val="4E82404E"/>
    <w:lvl w:ilvl="0" w:tplc="7E60CE44">
      <w:start w:val="1"/>
      <w:numFmt w:val="decimal"/>
      <w:lvlText w:val="%1."/>
      <w:lvlJc w:val="left"/>
      <w:pPr>
        <w:ind w:left="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A949FD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066579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A9227A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B6CC45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D3EA41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07C647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764A26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65C873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134C7A54"/>
    <w:multiLevelType w:val="hybridMultilevel"/>
    <w:tmpl w:val="5A8ABC3A"/>
    <w:lvl w:ilvl="0" w:tplc="B2584898">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C220B4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29A415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A26820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F8EDD3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1C0A41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8A01EA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2E2DE4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4A4FDA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1356005F"/>
    <w:multiLevelType w:val="hybridMultilevel"/>
    <w:tmpl w:val="F0C8B7D8"/>
    <w:lvl w:ilvl="0" w:tplc="6382D8C0">
      <w:start w:val="1"/>
      <w:numFmt w:val="lowerLetter"/>
      <w:lvlText w:val="%1)"/>
      <w:lvlJc w:val="left"/>
      <w:pPr>
        <w:ind w:left="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B2E764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7B26B4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B8E266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5A68E5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0840C0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1FE19B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DF61D9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EC67D0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13D57E9F"/>
    <w:multiLevelType w:val="hybridMultilevel"/>
    <w:tmpl w:val="F13E86F6"/>
    <w:lvl w:ilvl="0" w:tplc="EE062628">
      <w:start w:val="1"/>
      <w:numFmt w:val="lowerLetter"/>
      <w:lvlText w:val="%1)"/>
      <w:lvlJc w:val="left"/>
      <w:pPr>
        <w:ind w:left="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0D4F3B4">
      <w:start w:val="1"/>
      <w:numFmt w:val="lowerLetter"/>
      <w:lvlText w:val="%2"/>
      <w:lvlJc w:val="left"/>
      <w:pPr>
        <w:ind w:left="1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EA6D84A">
      <w:start w:val="1"/>
      <w:numFmt w:val="lowerRoman"/>
      <w:lvlText w:val="%3"/>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60C6E5E">
      <w:start w:val="1"/>
      <w:numFmt w:val="decimal"/>
      <w:lvlText w:val="%4"/>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5E04308">
      <w:start w:val="1"/>
      <w:numFmt w:val="lowerLetter"/>
      <w:lvlText w:val="%5"/>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F123B9E">
      <w:start w:val="1"/>
      <w:numFmt w:val="lowerRoman"/>
      <w:lvlText w:val="%6"/>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FB204AE">
      <w:start w:val="1"/>
      <w:numFmt w:val="decimal"/>
      <w:lvlText w:val="%7"/>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D6026FA">
      <w:start w:val="1"/>
      <w:numFmt w:val="lowerLetter"/>
      <w:lvlText w:val="%8"/>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A469EB0">
      <w:start w:val="1"/>
      <w:numFmt w:val="lowerRoman"/>
      <w:lvlText w:val="%9"/>
      <w:lvlJc w:val="left"/>
      <w:pPr>
        <w:ind w:left="6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14B650CA"/>
    <w:multiLevelType w:val="hybridMultilevel"/>
    <w:tmpl w:val="451A563A"/>
    <w:lvl w:ilvl="0" w:tplc="577206E2">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D6C80F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4662CE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03EBBE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BB0931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B6805E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BDAFFF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ED2A98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D74009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14CB57F2"/>
    <w:multiLevelType w:val="hybridMultilevel"/>
    <w:tmpl w:val="2D9E4EE6"/>
    <w:lvl w:ilvl="0" w:tplc="5FACDB8E">
      <w:start w:val="4"/>
      <w:numFmt w:val="lowerLetter"/>
      <w:lvlText w:val="%1)"/>
      <w:lvlJc w:val="left"/>
      <w:pPr>
        <w:ind w:left="3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E3200C2">
      <w:start w:val="1"/>
      <w:numFmt w:val="lowerLetter"/>
      <w:lvlText w:val="%2"/>
      <w:lvlJc w:val="left"/>
      <w:pPr>
        <w:ind w:left="1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3A48A1A">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30686F2">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E0A3210">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C064ACE">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0C94BC">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15C14B4">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6B02C0C">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15656DD6"/>
    <w:multiLevelType w:val="hybridMultilevel"/>
    <w:tmpl w:val="DF847C18"/>
    <w:lvl w:ilvl="0" w:tplc="12A472EA">
      <w:start w:val="5"/>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F7F63728">
      <w:start w:val="1"/>
      <w:numFmt w:val="lowerLetter"/>
      <w:lvlText w:val="%2"/>
      <w:lvlJc w:val="left"/>
      <w:pPr>
        <w:ind w:left="12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8C2CE8F2">
      <w:start w:val="1"/>
      <w:numFmt w:val="lowerRoman"/>
      <w:lvlText w:val="%3"/>
      <w:lvlJc w:val="left"/>
      <w:pPr>
        <w:ind w:left="19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248A04C2">
      <w:start w:val="1"/>
      <w:numFmt w:val="decimal"/>
      <w:lvlText w:val="%4"/>
      <w:lvlJc w:val="left"/>
      <w:pPr>
        <w:ind w:left="26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C0C02ECE">
      <w:start w:val="1"/>
      <w:numFmt w:val="lowerLetter"/>
      <w:lvlText w:val="%5"/>
      <w:lvlJc w:val="left"/>
      <w:pPr>
        <w:ind w:left="337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0234EDF4">
      <w:start w:val="1"/>
      <w:numFmt w:val="lowerRoman"/>
      <w:lvlText w:val="%6"/>
      <w:lvlJc w:val="left"/>
      <w:pPr>
        <w:ind w:left="40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54C69AC8">
      <w:start w:val="1"/>
      <w:numFmt w:val="decimal"/>
      <w:lvlText w:val="%7"/>
      <w:lvlJc w:val="left"/>
      <w:pPr>
        <w:ind w:left="48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98903BC0">
      <w:start w:val="1"/>
      <w:numFmt w:val="lowerLetter"/>
      <w:lvlText w:val="%8"/>
      <w:lvlJc w:val="left"/>
      <w:pPr>
        <w:ind w:left="55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95CC3B12">
      <w:start w:val="1"/>
      <w:numFmt w:val="lowerRoman"/>
      <w:lvlText w:val="%9"/>
      <w:lvlJc w:val="left"/>
      <w:pPr>
        <w:ind w:left="62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15AE6A06"/>
    <w:multiLevelType w:val="hybridMultilevel"/>
    <w:tmpl w:val="872C0CC2"/>
    <w:lvl w:ilvl="0" w:tplc="A89C01AA">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1E0673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77CF56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BFC42B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C368F4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5B896C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F26259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D8CA06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8D66BF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164874F4"/>
    <w:multiLevelType w:val="hybridMultilevel"/>
    <w:tmpl w:val="1002702C"/>
    <w:lvl w:ilvl="0" w:tplc="D4C08BD8">
      <w:start w:val="2"/>
      <w:numFmt w:val="lowerLetter"/>
      <w:lvlText w:val="%1)"/>
      <w:lvlJc w:val="left"/>
      <w:pPr>
        <w:ind w:left="2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3547E0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E0AA7B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6A87D6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4A6986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E12A28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6607E1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3E805A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6640F4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165326B3"/>
    <w:multiLevelType w:val="hybridMultilevel"/>
    <w:tmpl w:val="C632F7EC"/>
    <w:lvl w:ilvl="0" w:tplc="C918245E">
      <w:start w:val="1"/>
      <w:numFmt w:val="decimal"/>
      <w:lvlText w:val="%1."/>
      <w:lvlJc w:val="left"/>
      <w:pPr>
        <w:ind w:left="1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93E9EF6">
      <w:start w:val="1"/>
      <w:numFmt w:val="lowerLetter"/>
      <w:lvlText w:val="%2"/>
      <w:lvlJc w:val="left"/>
      <w:pPr>
        <w:ind w:left="1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0F23D46">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ED24692">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7EE9DF4">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33E06E6">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9D086E8">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FF42B92">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5640FDE">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16EA3153"/>
    <w:multiLevelType w:val="hybridMultilevel"/>
    <w:tmpl w:val="ED6A7F68"/>
    <w:lvl w:ilvl="0" w:tplc="2D6E3A94">
      <w:start w:val="1"/>
      <w:numFmt w:val="decimal"/>
      <w:lvlText w:val="%1."/>
      <w:lvlJc w:val="left"/>
      <w:pPr>
        <w:ind w:left="1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3DE9E00">
      <w:start w:val="1"/>
      <w:numFmt w:val="lowerLetter"/>
      <w:lvlText w:val="%2"/>
      <w:lvlJc w:val="left"/>
      <w:pPr>
        <w:ind w:left="12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6E6F6F4">
      <w:start w:val="1"/>
      <w:numFmt w:val="lowerRoman"/>
      <w:lvlText w:val="%3"/>
      <w:lvlJc w:val="left"/>
      <w:pPr>
        <w:ind w:left="19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C682F32">
      <w:start w:val="1"/>
      <w:numFmt w:val="decimal"/>
      <w:lvlText w:val="%4"/>
      <w:lvlJc w:val="left"/>
      <w:pPr>
        <w:ind w:left="26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E0AB348">
      <w:start w:val="1"/>
      <w:numFmt w:val="lowerLetter"/>
      <w:lvlText w:val="%5"/>
      <w:lvlJc w:val="left"/>
      <w:pPr>
        <w:ind w:left="33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6768690">
      <w:start w:val="1"/>
      <w:numFmt w:val="lowerRoman"/>
      <w:lvlText w:val="%6"/>
      <w:lvlJc w:val="left"/>
      <w:pPr>
        <w:ind w:left="4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0A29584">
      <w:start w:val="1"/>
      <w:numFmt w:val="decimal"/>
      <w:lvlText w:val="%7"/>
      <w:lvlJc w:val="left"/>
      <w:pPr>
        <w:ind w:left="48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6BEBD90">
      <w:start w:val="1"/>
      <w:numFmt w:val="lowerLetter"/>
      <w:lvlText w:val="%8"/>
      <w:lvlJc w:val="left"/>
      <w:pPr>
        <w:ind w:left="55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90E5FFE">
      <w:start w:val="1"/>
      <w:numFmt w:val="lowerRoman"/>
      <w:lvlText w:val="%9"/>
      <w:lvlJc w:val="left"/>
      <w:pPr>
        <w:ind w:left="62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17140154"/>
    <w:multiLevelType w:val="hybridMultilevel"/>
    <w:tmpl w:val="4BC8BAB0"/>
    <w:lvl w:ilvl="0" w:tplc="720225D2">
      <w:start w:val="3"/>
      <w:numFmt w:val="decimal"/>
      <w:lvlText w:val="%1."/>
      <w:lvlJc w:val="left"/>
      <w:pPr>
        <w:ind w:left="1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2C4BB12">
      <w:start w:val="1"/>
      <w:numFmt w:val="lowerLetter"/>
      <w:lvlText w:val="%2"/>
      <w:lvlJc w:val="left"/>
      <w:pPr>
        <w:ind w:left="1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34C05D0">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644BAE4">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9823598">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32A5642">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B18CA74">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2082898">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5721002">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17665A18"/>
    <w:multiLevelType w:val="hybridMultilevel"/>
    <w:tmpl w:val="02BC23A6"/>
    <w:lvl w:ilvl="0" w:tplc="1D687884">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F5A0E1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678B40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E8AED8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67AF18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AD6E14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0ECA26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E4097B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9C212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17CA5634"/>
    <w:multiLevelType w:val="hybridMultilevel"/>
    <w:tmpl w:val="AC00F46E"/>
    <w:lvl w:ilvl="0" w:tplc="E530F40C">
      <w:start w:val="3"/>
      <w:numFmt w:val="decimal"/>
      <w:lvlText w:val="%1."/>
      <w:lvlJc w:val="left"/>
      <w:pPr>
        <w:ind w:left="2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55E164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15E823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178631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FD453C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A606EE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8BAC5C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CB4C5A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B88AF4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182A3769"/>
    <w:multiLevelType w:val="hybridMultilevel"/>
    <w:tmpl w:val="E416C41A"/>
    <w:lvl w:ilvl="0" w:tplc="AD64591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A9CFE4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B4432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9E8E20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160A97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212F42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8105F5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2321BE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8D806B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18884CE1"/>
    <w:multiLevelType w:val="hybridMultilevel"/>
    <w:tmpl w:val="4EF0E454"/>
    <w:lvl w:ilvl="0" w:tplc="12C2EC12">
      <w:start w:val="2"/>
      <w:numFmt w:val="decimal"/>
      <w:lvlText w:val="%1."/>
      <w:lvlJc w:val="left"/>
      <w:pPr>
        <w:ind w:left="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64A93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94C67D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6EECBF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FF24D1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5A255E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9E0996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4347DF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7A49BA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5" w15:restartNumberingAfterBreak="0">
    <w:nsid w:val="1950369F"/>
    <w:multiLevelType w:val="hybridMultilevel"/>
    <w:tmpl w:val="45D2193A"/>
    <w:lvl w:ilvl="0" w:tplc="19D0CB1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05A0BF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088619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0B27A7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86C54F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164284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F400E3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104E44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43EC08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19807F14"/>
    <w:multiLevelType w:val="hybridMultilevel"/>
    <w:tmpl w:val="E0DCF3AE"/>
    <w:lvl w:ilvl="0" w:tplc="EAA65FBE">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160FC6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1E40F3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5F2635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E46180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304319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C62A4C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5464E9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C24A35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7" w15:restartNumberingAfterBreak="0">
    <w:nsid w:val="19DA072F"/>
    <w:multiLevelType w:val="hybridMultilevel"/>
    <w:tmpl w:val="670001D0"/>
    <w:lvl w:ilvl="0" w:tplc="DDE40EC2">
      <w:start w:val="1"/>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91B2E14A">
      <w:start w:val="1"/>
      <w:numFmt w:val="lowerLetter"/>
      <w:lvlText w:val="%2"/>
      <w:lvlJc w:val="left"/>
      <w:pPr>
        <w:ind w:left="12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5DB8E5CA">
      <w:start w:val="1"/>
      <w:numFmt w:val="lowerRoman"/>
      <w:lvlText w:val="%3"/>
      <w:lvlJc w:val="left"/>
      <w:pPr>
        <w:ind w:left="19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3370CE4C">
      <w:start w:val="1"/>
      <w:numFmt w:val="decimal"/>
      <w:lvlText w:val="%4"/>
      <w:lvlJc w:val="left"/>
      <w:pPr>
        <w:ind w:left="26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E3D29B66">
      <w:start w:val="1"/>
      <w:numFmt w:val="lowerLetter"/>
      <w:lvlText w:val="%5"/>
      <w:lvlJc w:val="left"/>
      <w:pPr>
        <w:ind w:left="337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35042E7A">
      <w:start w:val="1"/>
      <w:numFmt w:val="lowerRoman"/>
      <w:lvlText w:val="%6"/>
      <w:lvlJc w:val="left"/>
      <w:pPr>
        <w:ind w:left="40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467A3AA4">
      <w:start w:val="1"/>
      <w:numFmt w:val="decimal"/>
      <w:lvlText w:val="%7"/>
      <w:lvlJc w:val="left"/>
      <w:pPr>
        <w:ind w:left="48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080856C2">
      <w:start w:val="1"/>
      <w:numFmt w:val="lowerLetter"/>
      <w:lvlText w:val="%8"/>
      <w:lvlJc w:val="left"/>
      <w:pPr>
        <w:ind w:left="55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E716B898">
      <w:start w:val="1"/>
      <w:numFmt w:val="lowerRoman"/>
      <w:lvlText w:val="%9"/>
      <w:lvlJc w:val="left"/>
      <w:pPr>
        <w:ind w:left="62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48" w15:restartNumberingAfterBreak="0">
    <w:nsid w:val="19DB1755"/>
    <w:multiLevelType w:val="hybridMultilevel"/>
    <w:tmpl w:val="ADD42930"/>
    <w:lvl w:ilvl="0" w:tplc="65E0B638">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A9E8D0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C024A7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E96C2D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B129B4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1967E2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7F21DA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91ADA5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56EBE6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9" w15:restartNumberingAfterBreak="0">
    <w:nsid w:val="1AF434B7"/>
    <w:multiLevelType w:val="hybridMultilevel"/>
    <w:tmpl w:val="1D72E8B2"/>
    <w:lvl w:ilvl="0" w:tplc="A1104F0E">
      <w:start w:val="1"/>
      <w:numFmt w:val="decimal"/>
      <w:lvlText w:val="%1."/>
      <w:lvlJc w:val="left"/>
      <w:pPr>
        <w:ind w:left="129"/>
      </w:pPr>
      <w:rPr>
        <w:rFonts w:ascii="Arial" w:eastAsia="Arial" w:hAnsi="Arial" w:cs="Arial"/>
        <w:b w:val="0"/>
        <w:i/>
        <w:iCs/>
        <w:strike w:val="0"/>
        <w:dstrike w:val="0"/>
        <w:color w:val="020202"/>
        <w:sz w:val="18"/>
        <w:szCs w:val="18"/>
        <w:u w:val="none" w:color="000000"/>
        <w:bdr w:val="none" w:sz="0" w:space="0" w:color="auto"/>
        <w:shd w:val="clear" w:color="auto" w:fill="auto"/>
        <w:vertAlign w:val="baseline"/>
      </w:rPr>
    </w:lvl>
    <w:lvl w:ilvl="1" w:tplc="4EDA9678">
      <w:start w:val="1"/>
      <w:numFmt w:val="lowerLetter"/>
      <w:lvlText w:val="%2"/>
      <w:lvlJc w:val="left"/>
      <w:pPr>
        <w:ind w:left="1203"/>
      </w:pPr>
      <w:rPr>
        <w:rFonts w:ascii="Arial" w:eastAsia="Arial" w:hAnsi="Arial" w:cs="Arial"/>
        <w:b w:val="0"/>
        <w:i/>
        <w:iCs/>
        <w:strike w:val="0"/>
        <w:dstrike w:val="0"/>
        <w:color w:val="020202"/>
        <w:sz w:val="18"/>
        <w:szCs w:val="18"/>
        <w:u w:val="none" w:color="000000"/>
        <w:bdr w:val="none" w:sz="0" w:space="0" w:color="auto"/>
        <w:shd w:val="clear" w:color="auto" w:fill="auto"/>
        <w:vertAlign w:val="baseline"/>
      </w:rPr>
    </w:lvl>
    <w:lvl w:ilvl="2" w:tplc="1B781C94">
      <w:start w:val="1"/>
      <w:numFmt w:val="lowerRoman"/>
      <w:lvlText w:val="%3"/>
      <w:lvlJc w:val="left"/>
      <w:pPr>
        <w:ind w:left="1923"/>
      </w:pPr>
      <w:rPr>
        <w:rFonts w:ascii="Arial" w:eastAsia="Arial" w:hAnsi="Arial" w:cs="Arial"/>
        <w:b w:val="0"/>
        <w:i/>
        <w:iCs/>
        <w:strike w:val="0"/>
        <w:dstrike w:val="0"/>
        <w:color w:val="020202"/>
        <w:sz w:val="18"/>
        <w:szCs w:val="18"/>
        <w:u w:val="none" w:color="000000"/>
        <w:bdr w:val="none" w:sz="0" w:space="0" w:color="auto"/>
        <w:shd w:val="clear" w:color="auto" w:fill="auto"/>
        <w:vertAlign w:val="baseline"/>
      </w:rPr>
    </w:lvl>
    <w:lvl w:ilvl="3" w:tplc="C9CC2BC0">
      <w:start w:val="1"/>
      <w:numFmt w:val="decimal"/>
      <w:lvlText w:val="%4"/>
      <w:lvlJc w:val="left"/>
      <w:pPr>
        <w:ind w:left="2643"/>
      </w:pPr>
      <w:rPr>
        <w:rFonts w:ascii="Arial" w:eastAsia="Arial" w:hAnsi="Arial" w:cs="Arial"/>
        <w:b w:val="0"/>
        <w:i/>
        <w:iCs/>
        <w:strike w:val="0"/>
        <w:dstrike w:val="0"/>
        <w:color w:val="020202"/>
        <w:sz w:val="18"/>
        <w:szCs w:val="18"/>
        <w:u w:val="none" w:color="000000"/>
        <w:bdr w:val="none" w:sz="0" w:space="0" w:color="auto"/>
        <w:shd w:val="clear" w:color="auto" w:fill="auto"/>
        <w:vertAlign w:val="baseline"/>
      </w:rPr>
    </w:lvl>
    <w:lvl w:ilvl="4" w:tplc="DC80CC9E">
      <w:start w:val="1"/>
      <w:numFmt w:val="lowerLetter"/>
      <w:lvlText w:val="%5"/>
      <w:lvlJc w:val="left"/>
      <w:pPr>
        <w:ind w:left="3363"/>
      </w:pPr>
      <w:rPr>
        <w:rFonts w:ascii="Arial" w:eastAsia="Arial" w:hAnsi="Arial" w:cs="Arial"/>
        <w:b w:val="0"/>
        <w:i/>
        <w:iCs/>
        <w:strike w:val="0"/>
        <w:dstrike w:val="0"/>
        <w:color w:val="020202"/>
        <w:sz w:val="18"/>
        <w:szCs w:val="18"/>
        <w:u w:val="none" w:color="000000"/>
        <w:bdr w:val="none" w:sz="0" w:space="0" w:color="auto"/>
        <w:shd w:val="clear" w:color="auto" w:fill="auto"/>
        <w:vertAlign w:val="baseline"/>
      </w:rPr>
    </w:lvl>
    <w:lvl w:ilvl="5" w:tplc="7ECCCB92">
      <w:start w:val="1"/>
      <w:numFmt w:val="lowerRoman"/>
      <w:lvlText w:val="%6"/>
      <w:lvlJc w:val="left"/>
      <w:pPr>
        <w:ind w:left="4083"/>
      </w:pPr>
      <w:rPr>
        <w:rFonts w:ascii="Arial" w:eastAsia="Arial" w:hAnsi="Arial" w:cs="Arial"/>
        <w:b w:val="0"/>
        <w:i/>
        <w:iCs/>
        <w:strike w:val="0"/>
        <w:dstrike w:val="0"/>
        <w:color w:val="020202"/>
        <w:sz w:val="18"/>
        <w:szCs w:val="18"/>
        <w:u w:val="none" w:color="000000"/>
        <w:bdr w:val="none" w:sz="0" w:space="0" w:color="auto"/>
        <w:shd w:val="clear" w:color="auto" w:fill="auto"/>
        <w:vertAlign w:val="baseline"/>
      </w:rPr>
    </w:lvl>
    <w:lvl w:ilvl="6" w:tplc="187CBED8">
      <w:start w:val="1"/>
      <w:numFmt w:val="decimal"/>
      <w:lvlText w:val="%7"/>
      <w:lvlJc w:val="left"/>
      <w:pPr>
        <w:ind w:left="4803"/>
      </w:pPr>
      <w:rPr>
        <w:rFonts w:ascii="Arial" w:eastAsia="Arial" w:hAnsi="Arial" w:cs="Arial"/>
        <w:b w:val="0"/>
        <w:i/>
        <w:iCs/>
        <w:strike w:val="0"/>
        <w:dstrike w:val="0"/>
        <w:color w:val="020202"/>
        <w:sz w:val="18"/>
        <w:szCs w:val="18"/>
        <w:u w:val="none" w:color="000000"/>
        <w:bdr w:val="none" w:sz="0" w:space="0" w:color="auto"/>
        <w:shd w:val="clear" w:color="auto" w:fill="auto"/>
        <w:vertAlign w:val="baseline"/>
      </w:rPr>
    </w:lvl>
    <w:lvl w:ilvl="7" w:tplc="DD22F074">
      <w:start w:val="1"/>
      <w:numFmt w:val="lowerLetter"/>
      <w:lvlText w:val="%8"/>
      <w:lvlJc w:val="left"/>
      <w:pPr>
        <w:ind w:left="5523"/>
      </w:pPr>
      <w:rPr>
        <w:rFonts w:ascii="Arial" w:eastAsia="Arial" w:hAnsi="Arial" w:cs="Arial"/>
        <w:b w:val="0"/>
        <w:i/>
        <w:iCs/>
        <w:strike w:val="0"/>
        <w:dstrike w:val="0"/>
        <w:color w:val="020202"/>
        <w:sz w:val="18"/>
        <w:szCs w:val="18"/>
        <w:u w:val="none" w:color="000000"/>
        <w:bdr w:val="none" w:sz="0" w:space="0" w:color="auto"/>
        <w:shd w:val="clear" w:color="auto" w:fill="auto"/>
        <w:vertAlign w:val="baseline"/>
      </w:rPr>
    </w:lvl>
    <w:lvl w:ilvl="8" w:tplc="455647F0">
      <w:start w:val="1"/>
      <w:numFmt w:val="lowerRoman"/>
      <w:lvlText w:val="%9"/>
      <w:lvlJc w:val="left"/>
      <w:pPr>
        <w:ind w:left="6243"/>
      </w:pPr>
      <w:rPr>
        <w:rFonts w:ascii="Arial" w:eastAsia="Arial" w:hAnsi="Arial" w:cs="Arial"/>
        <w:b w:val="0"/>
        <w:i/>
        <w:iCs/>
        <w:strike w:val="0"/>
        <w:dstrike w:val="0"/>
        <w:color w:val="020202"/>
        <w:sz w:val="18"/>
        <w:szCs w:val="18"/>
        <w:u w:val="none" w:color="000000"/>
        <w:bdr w:val="none" w:sz="0" w:space="0" w:color="auto"/>
        <w:shd w:val="clear" w:color="auto" w:fill="auto"/>
        <w:vertAlign w:val="baseline"/>
      </w:rPr>
    </w:lvl>
  </w:abstractNum>
  <w:abstractNum w:abstractNumId="50" w15:restartNumberingAfterBreak="0">
    <w:nsid w:val="1AF97740"/>
    <w:multiLevelType w:val="hybridMultilevel"/>
    <w:tmpl w:val="5FBAE9E8"/>
    <w:lvl w:ilvl="0" w:tplc="FB741EE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374561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BE0CA9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162B73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AE4CC3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F7EB36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402B20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A92451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96A66C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1" w15:restartNumberingAfterBreak="0">
    <w:nsid w:val="1B4979A3"/>
    <w:multiLevelType w:val="hybridMultilevel"/>
    <w:tmpl w:val="55EA770A"/>
    <w:lvl w:ilvl="0" w:tplc="1B84139E">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22EB18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954BD4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100030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7C2973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E7CC5B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644C3D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6EA24E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F34A95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2" w15:restartNumberingAfterBreak="0">
    <w:nsid w:val="1B7B674D"/>
    <w:multiLevelType w:val="hybridMultilevel"/>
    <w:tmpl w:val="6ED2D2BE"/>
    <w:lvl w:ilvl="0" w:tplc="44A4974A">
      <w:start w:val="3"/>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02CB1F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9E25CE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B88E43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82CD7A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A24964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BB6886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BDE446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E7A3BA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3" w15:restartNumberingAfterBreak="0">
    <w:nsid w:val="1BBA587A"/>
    <w:multiLevelType w:val="hybridMultilevel"/>
    <w:tmpl w:val="14DEE7CE"/>
    <w:lvl w:ilvl="0" w:tplc="74C05028">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37A582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F64A00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656A1C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4EA6D1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8CE9D1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D5CA6F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1AAFC1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0724F8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4" w15:restartNumberingAfterBreak="0">
    <w:nsid w:val="1E154573"/>
    <w:multiLevelType w:val="hybridMultilevel"/>
    <w:tmpl w:val="28EAE742"/>
    <w:lvl w:ilvl="0" w:tplc="57665A2C">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EE8A3C0">
      <w:start w:val="1"/>
      <w:numFmt w:val="lowerLetter"/>
      <w:lvlText w:val="%2"/>
      <w:lvlJc w:val="left"/>
      <w:pPr>
        <w:ind w:left="1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6208904">
      <w:start w:val="1"/>
      <w:numFmt w:val="lowerRoman"/>
      <w:lvlText w:val="%3"/>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F0ADE80">
      <w:start w:val="1"/>
      <w:numFmt w:val="decimal"/>
      <w:lvlText w:val="%4"/>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3C87B4E">
      <w:start w:val="1"/>
      <w:numFmt w:val="lowerLetter"/>
      <w:lvlText w:val="%5"/>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E7A89C4">
      <w:start w:val="1"/>
      <w:numFmt w:val="lowerRoman"/>
      <w:lvlText w:val="%6"/>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A7886F8">
      <w:start w:val="1"/>
      <w:numFmt w:val="decimal"/>
      <w:lvlText w:val="%7"/>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6F0C310">
      <w:start w:val="1"/>
      <w:numFmt w:val="lowerLetter"/>
      <w:lvlText w:val="%8"/>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7A49BB4">
      <w:start w:val="1"/>
      <w:numFmt w:val="lowerRoman"/>
      <w:lvlText w:val="%9"/>
      <w:lvlJc w:val="left"/>
      <w:pPr>
        <w:ind w:left="6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5" w15:restartNumberingAfterBreak="0">
    <w:nsid w:val="1E2644AD"/>
    <w:multiLevelType w:val="hybridMultilevel"/>
    <w:tmpl w:val="DEF4BD6A"/>
    <w:lvl w:ilvl="0" w:tplc="185E2D34">
      <w:start w:val="1"/>
      <w:numFmt w:val="lowerLetter"/>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16443E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D2C125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856C04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A50561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098259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C54D40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4D08BB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B20675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6" w15:restartNumberingAfterBreak="0">
    <w:nsid w:val="1E677D56"/>
    <w:multiLevelType w:val="hybridMultilevel"/>
    <w:tmpl w:val="21E6DF36"/>
    <w:lvl w:ilvl="0" w:tplc="970C3E24">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354306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1DC16A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0505D6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1B4009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5F0568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AB4795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0BE646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5D262F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7" w15:restartNumberingAfterBreak="0">
    <w:nsid w:val="1EC772A9"/>
    <w:multiLevelType w:val="hybridMultilevel"/>
    <w:tmpl w:val="3C283474"/>
    <w:lvl w:ilvl="0" w:tplc="C76E680A">
      <w:start w:val="2"/>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BF20A502">
      <w:start w:val="1"/>
      <w:numFmt w:val="lowerLetter"/>
      <w:lvlText w:val="%2"/>
      <w:lvlJc w:val="left"/>
      <w:pPr>
        <w:ind w:left="12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BD8C23FE">
      <w:start w:val="1"/>
      <w:numFmt w:val="lowerRoman"/>
      <w:lvlText w:val="%3"/>
      <w:lvlJc w:val="left"/>
      <w:pPr>
        <w:ind w:left="19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29EC9214">
      <w:start w:val="1"/>
      <w:numFmt w:val="decimal"/>
      <w:lvlText w:val="%4"/>
      <w:lvlJc w:val="left"/>
      <w:pPr>
        <w:ind w:left="26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A2B0A4CA">
      <w:start w:val="1"/>
      <w:numFmt w:val="lowerLetter"/>
      <w:lvlText w:val="%5"/>
      <w:lvlJc w:val="left"/>
      <w:pPr>
        <w:ind w:left="336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8076AA16">
      <w:start w:val="1"/>
      <w:numFmt w:val="lowerRoman"/>
      <w:lvlText w:val="%6"/>
      <w:lvlJc w:val="left"/>
      <w:pPr>
        <w:ind w:left="408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829876B4">
      <w:start w:val="1"/>
      <w:numFmt w:val="decimal"/>
      <w:lvlText w:val="%7"/>
      <w:lvlJc w:val="left"/>
      <w:pPr>
        <w:ind w:left="48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75047984">
      <w:start w:val="1"/>
      <w:numFmt w:val="lowerLetter"/>
      <w:lvlText w:val="%8"/>
      <w:lvlJc w:val="left"/>
      <w:pPr>
        <w:ind w:left="55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5EA42CFE">
      <w:start w:val="1"/>
      <w:numFmt w:val="lowerRoman"/>
      <w:lvlText w:val="%9"/>
      <w:lvlJc w:val="left"/>
      <w:pPr>
        <w:ind w:left="62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58" w15:restartNumberingAfterBreak="0">
    <w:nsid w:val="1F430F4D"/>
    <w:multiLevelType w:val="hybridMultilevel"/>
    <w:tmpl w:val="3B9EA5FA"/>
    <w:lvl w:ilvl="0" w:tplc="ED62806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9FC97E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848497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596CCF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A946FA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6A0626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D22BDA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FA242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A9291A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9" w15:restartNumberingAfterBreak="0">
    <w:nsid w:val="1F496CCC"/>
    <w:multiLevelType w:val="hybridMultilevel"/>
    <w:tmpl w:val="4860F716"/>
    <w:lvl w:ilvl="0" w:tplc="8A44B962">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54EF210">
      <w:start w:val="1"/>
      <w:numFmt w:val="lowerLetter"/>
      <w:lvlText w:val="%2"/>
      <w:lvlJc w:val="left"/>
      <w:pPr>
        <w:ind w:left="12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96203F2">
      <w:start w:val="1"/>
      <w:numFmt w:val="lowerRoman"/>
      <w:lvlText w:val="%3"/>
      <w:lvlJc w:val="left"/>
      <w:pPr>
        <w:ind w:left="19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882FCB8">
      <w:start w:val="1"/>
      <w:numFmt w:val="decimal"/>
      <w:lvlText w:val="%4"/>
      <w:lvlJc w:val="left"/>
      <w:pPr>
        <w:ind w:left="26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A3ACFB6">
      <w:start w:val="1"/>
      <w:numFmt w:val="lowerLetter"/>
      <w:lvlText w:val="%5"/>
      <w:lvlJc w:val="left"/>
      <w:pPr>
        <w:ind w:left="33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E1684BA">
      <w:start w:val="1"/>
      <w:numFmt w:val="lowerRoman"/>
      <w:lvlText w:val="%6"/>
      <w:lvlJc w:val="left"/>
      <w:pPr>
        <w:ind w:left="40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59CC57E">
      <w:start w:val="1"/>
      <w:numFmt w:val="decimal"/>
      <w:lvlText w:val="%7"/>
      <w:lvlJc w:val="left"/>
      <w:pPr>
        <w:ind w:left="48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758FE8A">
      <w:start w:val="1"/>
      <w:numFmt w:val="lowerLetter"/>
      <w:lvlText w:val="%8"/>
      <w:lvlJc w:val="left"/>
      <w:pPr>
        <w:ind w:left="55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94A11C4">
      <w:start w:val="1"/>
      <w:numFmt w:val="lowerRoman"/>
      <w:lvlText w:val="%9"/>
      <w:lvlJc w:val="left"/>
      <w:pPr>
        <w:ind w:left="62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0" w15:restartNumberingAfterBreak="0">
    <w:nsid w:val="20754DDC"/>
    <w:multiLevelType w:val="hybridMultilevel"/>
    <w:tmpl w:val="4CF6D568"/>
    <w:lvl w:ilvl="0" w:tplc="7BE814EE">
      <w:start w:val="2"/>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1664EF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B60EF8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0A2DF5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C342CC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5ACDE4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F0E5AB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F76EE2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598F8F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1" w15:restartNumberingAfterBreak="0">
    <w:nsid w:val="21C0086D"/>
    <w:multiLevelType w:val="hybridMultilevel"/>
    <w:tmpl w:val="D4C2D326"/>
    <w:lvl w:ilvl="0" w:tplc="D55007FA">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E9A77E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482B70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A50778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8689CB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058454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243D1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26A819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22C276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2" w15:restartNumberingAfterBreak="0">
    <w:nsid w:val="21C947CB"/>
    <w:multiLevelType w:val="hybridMultilevel"/>
    <w:tmpl w:val="15C6ADDC"/>
    <w:lvl w:ilvl="0" w:tplc="6ECE3AA6">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EDE239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500178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CEA2C8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F8CD15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00A0CA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8D64F2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D8A6B4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1261A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3" w15:restartNumberingAfterBreak="0">
    <w:nsid w:val="21F03A70"/>
    <w:multiLevelType w:val="hybridMultilevel"/>
    <w:tmpl w:val="2480A2A0"/>
    <w:lvl w:ilvl="0" w:tplc="6A525428">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6EA879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91E79C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202F08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DDAEDD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716EDA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B1C7EC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626E11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A14F04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4" w15:restartNumberingAfterBreak="0">
    <w:nsid w:val="22037F20"/>
    <w:multiLevelType w:val="hybridMultilevel"/>
    <w:tmpl w:val="A2A62A8C"/>
    <w:lvl w:ilvl="0" w:tplc="8DBE2D6A">
      <w:start w:val="2"/>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A8A086AE">
      <w:start w:val="1"/>
      <w:numFmt w:val="lowerLetter"/>
      <w:lvlText w:val="%2"/>
      <w:lvlJc w:val="left"/>
      <w:pPr>
        <w:ind w:left="11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6B74B502">
      <w:start w:val="1"/>
      <w:numFmt w:val="lowerRoman"/>
      <w:lvlText w:val="%3"/>
      <w:lvlJc w:val="left"/>
      <w:pPr>
        <w:ind w:left="19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B336BF36">
      <w:start w:val="1"/>
      <w:numFmt w:val="decimal"/>
      <w:lvlText w:val="%4"/>
      <w:lvlJc w:val="left"/>
      <w:pPr>
        <w:ind w:left="26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16844B20">
      <w:start w:val="1"/>
      <w:numFmt w:val="lowerLetter"/>
      <w:lvlText w:val="%5"/>
      <w:lvlJc w:val="left"/>
      <w:pPr>
        <w:ind w:left="33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6654FE8A">
      <w:start w:val="1"/>
      <w:numFmt w:val="lowerRoman"/>
      <w:lvlText w:val="%6"/>
      <w:lvlJc w:val="left"/>
      <w:pPr>
        <w:ind w:left="407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ADBEC3CE">
      <w:start w:val="1"/>
      <w:numFmt w:val="decimal"/>
      <w:lvlText w:val="%7"/>
      <w:lvlJc w:val="left"/>
      <w:pPr>
        <w:ind w:left="47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5C68944A">
      <w:start w:val="1"/>
      <w:numFmt w:val="lowerLetter"/>
      <w:lvlText w:val="%8"/>
      <w:lvlJc w:val="left"/>
      <w:pPr>
        <w:ind w:left="55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4906F042">
      <w:start w:val="1"/>
      <w:numFmt w:val="lowerRoman"/>
      <w:lvlText w:val="%9"/>
      <w:lvlJc w:val="left"/>
      <w:pPr>
        <w:ind w:left="62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65" w15:restartNumberingAfterBreak="0">
    <w:nsid w:val="221F3D8A"/>
    <w:multiLevelType w:val="hybridMultilevel"/>
    <w:tmpl w:val="0EAA0036"/>
    <w:lvl w:ilvl="0" w:tplc="4E9AED70">
      <w:start w:val="1"/>
      <w:numFmt w:val="lowerLetter"/>
      <w:lvlText w:val="%1)"/>
      <w:lvlJc w:val="left"/>
      <w:pPr>
        <w:ind w:left="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482B22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AD0E62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782153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0F4A59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E9C056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D3282E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504843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8AAC9D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6" w15:restartNumberingAfterBreak="0">
    <w:nsid w:val="22402886"/>
    <w:multiLevelType w:val="hybridMultilevel"/>
    <w:tmpl w:val="CFBAB29E"/>
    <w:lvl w:ilvl="0" w:tplc="F8264BF2">
      <w:start w:val="1"/>
      <w:numFmt w:val="lowerLetter"/>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310DFC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13460B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1B830A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704EE2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7D067A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3240A3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36C6AE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0004C2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7" w15:restartNumberingAfterBreak="0">
    <w:nsid w:val="22FB314D"/>
    <w:multiLevelType w:val="hybridMultilevel"/>
    <w:tmpl w:val="3EAE0790"/>
    <w:lvl w:ilvl="0" w:tplc="8B2C98D2">
      <w:start w:val="1"/>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1CE293B2">
      <w:start w:val="1"/>
      <w:numFmt w:val="lowerLetter"/>
      <w:lvlText w:val="%2"/>
      <w:lvlJc w:val="left"/>
      <w:pPr>
        <w:ind w:left="12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99B8C5AE">
      <w:start w:val="1"/>
      <w:numFmt w:val="lowerRoman"/>
      <w:lvlText w:val="%3"/>
      <w:lvlJc w:val="left"/>
      <w:pPr>
        <w:ind w:left="19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3F700DAE">
      <w:start w:val="1"/>
      <w:numFmt w:val="decimal"/>
      <w:lvlText w:val="%4"/>
      <w:lvlJc w:val="left"/>
      <w:pPr>
        <w:ind w:left="26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4C805152">
      <w:start w:val="1"/>
      <w:numFmt w:val="lowerLetter"/>
      <w:lvlText w:val="%5"/>
      <w:lvlJc w:val="left"/>
      <w:pPr>
        <w:ind w:left="336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42D8EA4A">
      <w:start w:val="1"/>
      <w:numFmt w:val="lowerRoman"/>
      <w:lvlText w:val="%6"/>
      <w:lvlJc w:val="left"/>
      <w:pPr>
        <w:ind w:left="408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B0B82A6C">
      <w:start w:val="1"/>
      <w:numFmt w:val="decimal"/>
      <w:lvlText w:val="%7"/>
      <w:lvlJc w:val="left"/>
      <w:pPr>
        <w:ind w:left="48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DF9E4786">
      <w:start w:val="1"/>
      <w:numFmt w:val="lowerLetter"/>
      <w:lvlText w:val="%8"/>
      <w:lvlJc w:val="left"/>
      <w:pPr>
        <w:ind w:left="55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6158CB88">
      <w:start w:val="1"/>
      <w:numFmt w:val="lowerRoman"/>
      <w:lvlText w:val="%9"/>
      <w:lvlJc w:val="left"/>
      <w:pPr>
        <w:ind w:left="62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68" w15:restartNumberingAfterBreak="0">
    <w:nsid w:val="234D75E6"/>
    <w:multiLevelType w:val="hybridMultilevel"/>
    <w:tmpl w:val="92AEAF8A"/>
    <w:lvl w:ilvl="0" w:tplc="E07EE0FE">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604B7FC">
      <w:start w:val="1"/>
      <w:numFmt w:val="lowerLetter"/>
      <w:lvlText w:val="%2"/>
      <w:lvlJc w:val="left"/>
      <w:pPr>
        <w:ind w:left="1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41811AE">
      <w:start w:val="1"/>
      <w:numFmt w:val="lowerRoman"/>
      <w:lvlText w:val="%3"/>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02E94C0">
      <w:start w:val="1"/>
      <w:numFmt w:val="decimal"/>
      <w:lvlText w:val="%4"/>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17240BE">
      <w:start w:val="1"/>
      <w:numFmt w:val="lowerLetter"/>
      <w:lvlText w:val="%5"/>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AC4D81E">
      <w:start w:val="1"/>
      <w:numFmt w:val="lowerRoman"/>
      <w:lvlText w:val="%6"/>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A8EA992">
      <w:start w:val="1"/>
      <w:numFmt w:val="decimal"/>
      <w:lvlText w:val="%7"/>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9BC7A54">
      <w:start w:val="1"/>
      <w:numFmt w:val="lowerLetter"/>
      <w:lvlText w:val="%8"/>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FBAE6AE">
      <w:start w:val="1"/>
      <w:numFmt w:val="lowerRoman"/>
      <w:lvlText w:val="%9"/>
      <w:lvlJc w:val="left"/>
      <w:pPr>
        <w:ind w:left="6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9" w15:restartNumberingAfterBreak="0">
    <w:nsid w:val="235E0A9D"/>
    <w:multiLevelType w:val="hybridMultilevel"/>
    <w:tmpl w:val="9168D00E"/>
    <w:lvl w:ilvl="0" w:tplc="24427360">
      <w:start w:val="1"/>
      <w:numFmt w:val="lowerLetter"/>
      <w:lvlText w:val="%1)"/>
      <w:lvlJc w:val="left"/>
      <w:pPr>
        <w:ind w:left="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22C30B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A3ECCC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43CC72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36A41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2207CE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2D2AF1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B34EFA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356828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0" w15:restartNumberingAfterBreak="0">
    <w:nsid w:val="24837DE1"/>
    <w:multiLevelType w:val="hybridMultilevel"/>
    <w:tmpl w:val="F20C67AA"/>
    <w:lvl w:ilvl="0" w:tplc="7BDAB582">
      <w:start w:val="1"/>
      <w:numFmt w:val="decimal"/>
      <w:lvlText w:val="%1."/>
      <w:lvlJc w:val="left"/>
      <w:pPr>
        <w:ind w:left="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C2689430">
      <w:start w:val="1"/>
      <w:numFmt w:val="lowerLetter"/>
      <w:lvlText w:val="%2"/>
      <w:lvlJc w:val="left"/>
      <w:pPr>
        <w:ind w:left="12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5D5AB2BC">
      <w:start w:val="1"/>
      <w:numFmt w:val="lowerRoman"/>
      <w:lvlText w:val="%3"/>
      <w:lvlJc w:val="left"/>
      <w:pPr>
        <w:ind w:left="19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7A2AFF0C">
      <w:start w:val="1"/>
      <w:numFmt w:val="decimal"/>
      <w:lvlText w:val="%4"/>
      <w:lvlJc w:val="left"/>
      <w:pPr>
        <w:ind w:left="26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FD5C4802">
      <w:start w:val="1"/>
      <w:numFmt w:val="lowerLetter"/>
      <w:lvlText w:val="%5"/>
      <w:lvlJc w:val="left"/>
      <w:pPr>
        <w:ind w:left="336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E79258FA">
      <w:start w:val="1"/>
      <w:numFmt w:val="lowerRoman"/>
      <w:lvlText w:val="%6"/>
      <w:lvlJc w:val="left"/>
      <w:pPr>
        <w:ind w:left="408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CECAB9B4">
      <w:start w:val="1"/>
      <w:numFmt w:val="decimal"/>
      <w:lvlText w:val="%7"/>
      <w:lvlJc w:val="left"/>
      <w:pPr>
        <w:ind w:left="48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E3CA6CF8">
      <w:start w:val="1"/>
      <w:numFmt w:val="lowerLetter"/>
      <w:lvlText w:val="%8"/>
      <w:lvlJc w:val="left"/>
      <w:pPr>
        <w:ind w:left="55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FB4C4AA8">
      <w:start w:val="1"/>
      <w:numFmt w:val="lowerRoman"/>
      <w:lvlText w:val="%9"/>
      <w:lvlJc w:val="left"/>
      <w:pPr>
        <w:ind w:left="62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71" w15:restartNumberingAfterBreak="0">
    <w:nsid w:val="24B571C8"/>
    <w:multiLevelType w:val="hybridMultilevel"/>
    <w:tmpl w:val="86BC5C72"/>
    <w:lvl w:ilvl="0" w:tplc="190AF744">
      <w:start w:val="1"/>
      <w:numFmt w:val="decimal"/>
      <w:lvlText w:val="%1."/>
      <w:lvlJc w:val="left"/>
      <w:pPr>
        <w:ind w:left="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9F5891D2">
      <w:start w:val="1"/>
      <w:numFmt w:val="lowerLetter"/>
      <w:lvlText w:val="%2"/>
      <w:lvlJc w:val="left"/>
      <w:pPr>
        <w:ind w:left="12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8A649A42">
      <w:start w:val="1"/>
      <w:numFmt w:val="lowerRoman"/>
      <w:lvlText w:val="%3"/>
      <w:lvlJc w:val="left"/>
      <w:pPr>
        <w:ind w:left="19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853846DA">
      <w:start w:val="1"/>
      <w:numFmt w:val="decimal"/>
      <w:lvlText w:val="%4"/>
      <w:lvlJc w:val="left"/>
      <w:pPr>
        <w:ind w:left="26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A760B5FE">
      <w:start w:val="1"/>
      <w:numFmt w:val="lowerLetter"/>
      <w:lvlText w:val="%5"/>
      <w:lvlJc w:val="left"/>
      <w:pPr>
        <w:ind w:left="336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44E205D8">
      <w:start w:val="1"/>
      <w:numFmt w:val="lowerRoman"/>
      <w:lvlText w:val="%6"/>
      <w:lvlJc w:val="left"/>
      <w:pPr>
        <w:ind w:left="408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A6024884">
      <w:start w:val="1"/>
      <w:numFmt w:val="decimal"/>
      <w:lvlText w:val="%7"/>
      <w:lvlJc w:val="left"/>
      <w:pPr>
        <w:ind w:left="48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75885ED2">
      <w:start w:val="1"/>
      <w:numFmt w:val="lowerLetter"/>
      <w:lvlText w:val="%8"/>
      <w:lvlJc w:val="left"/>
      <w:pPr>
        <w:ind w:left="55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1FA0C6A6">
      <w:start w:val="1"/>
      <w:numFmt w:val="lowerRoman"/>
      <w:lvlText w:val="%9"/>
      <w:lvlJc w:val="left"/>
      <w:pPr>
        <w:ind w:left="62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72" w15:restartNumberingAfterBreak="0">
    <w:nsid w:val="264C5A14"/>
    <w:multiLevelType w:val="hybridMultilevel"/>
    <w:tmpl w:val="EBA24B52"/>
    <w:lvl w:ilvl="0" w:tplc="1F6CD88A">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C4AAF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BBC9C8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2049A8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F88AED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4F2541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730FB7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524CE7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2209DA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3" w15:restartNumberingAfterBreak="0">
    <w:nsid w:val="270D509D"/>
    <w:multiLevelType w:val="hybridMultilevel"/>
    <w:tmpl w:val="C1C2BC80"/>
    <w:lvl w:ilvl="0" w:tplc="2092F422">
      <w:start w:val="1"/>
      <w:numFmt w:val="decimal"/>
      <w:lvlText w:val="%1."/>
      <w:lvlJc w:val="left"/>
      <w:pPr>
        <w:ind w:left="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78269B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69C823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226E62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C72744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550C11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EB2E43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036001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D60383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4" w15:restartNumberingAfterBreak="0">
    <w:nsid w:val="287C5608"/>
    <w:multiLevelType w:val="hybridMultilevel"/>
    <w:tmpl w:val="8108982C"/>
    <w:lvl w:ilvl="0" w:tplc="3F6EDA7E">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9688A8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3425E5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1D4003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9624B3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620C64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F1697F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06EB60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A68DD5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5" w15:restartNumberingAfterBreak="0">
    <w:nsid w:val="28B14473"/>
    <w:multiLevelType w:val="hybridMultilevel"/>
    <w:tmpl w:val="8280DCB8"/>
    <w:lvl w:ilvl="0" w:tplc="336C395A">
      <w:start w:val="1"/>
      <w:numFmt w:val="lowerLetter"/>
      <w:lvlText w:val="%1)"/>
      <w:lvlJc w:val="left"/>
      <w:pPr>
        <w:ind w:left="2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D92A87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5086F4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DF6726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0323E6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8F02A2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E3648D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2220F8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264957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6" w15:restartNumberingAfterBreak="0">
    <w:nsid w:val="291957B5"/>
    <w:multiLevelType w:val="hybridMultilevel"/>
    <w:tmpl w:val="23C49CB8"/>
    <w:lvl w:ilvl="0" w:tplc="E7B23FD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806C8C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0343CB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40CB86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E322AF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C8CFF1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D9644D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234FBC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C9AB39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7" w15:restartNumberingAfterBreak="0">
    <w:nsid w:val="29782DB7"/>
    <w:multiLevelType w:val="hybridMultilevel"/>
    <w:tmpl w:val="EDD6F454"/>
    <w:lvl w:ilvl="0" w:tplc="FFC032CA">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E6A736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0E606A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91E3B6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EB66FA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2D857A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9EE48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598E4F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478314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8" w15:restartNumberingAfterBreak="0">
    <w:nsid w:val="299F72FB"/>
    <w:multiLevelType w:val="hybridMultilevel"/>
    <w:tmpl w:val="AB7C2024"/>
    <w:lvl w:ilvl="0" w:tplc="6EE83140">
      <w:start w:val="4"/>
      <w:numFmt w:val="lowerLetter"/>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118041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110AED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892FB0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79AB79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0921F2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3E60E5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A2E4BA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57EFD1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9" w15:restartNumberingAfterBreak="0">
    <w:nsid w:val="29F675FB"/>
    <w:multiLevelType w:val="hybridMultilevel"/>
    <w:tmpl w:val="BB483F24"/>
    <w:lvl w:ilvl="0" w:tplc="BAC25CD6">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C448E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98E51B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122AC2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64A470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17C333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1563D6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C8A94F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896C32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0" w15:restartNumberingAfterBreak="0">
    <w:nsid w:val="2A676001"/>
    <w:multiLevelType w:val="hybridMultilevel"/>
    <w:tmpl w:val="AEEAC20C"/>
    <w:lvl w:ilvl="0" w:tplc="0124FD94">
      <w:start w:val="1"/>
      <w:numFmt w:val="decimal"/>
      <w:lvlText w:val="%1."/>
      <w:lvlJc w:val="left"/>
      <w:pPr>
        <w:ind w:left="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C6E3DB8">
      <w:start w:val="1"/>
      <w:numFmt w:val="lowerLetter"/>
      <w:lvlText w:val="%2"/>
      <w:lvlJc w:val="left"/>
      <w:pPr>
        <w:ind w:left="1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F961320">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6826232">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24CAA08">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14C90C6">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DD834E0">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6500A4A">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EB68686">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1" w15:restartNumberingAfterBreak="0">
    <w:nsid w:val="2B3377B0"/>
    <w:multiLevelType w:val="hybridMultilevel"/>
    <w:tmpl w:val="FA005C1A"/>
    <w:lvl w:ilvl="0" w:tplc="EF76215E">
      <w:start w:val="1"/>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5E96183C">
      <w:start w:val="1"/>
      <w:numFmt w:val="lowerLetter"/>
      <w:lvlText w:val="%2"/>
      <w:lvlJc w:val="left"/>
      <w:pPr>
        <w:ind w:left="120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0DE2FFE2">
      <w:start w:val="1"/>
      <w:numFmt w:val="lowerRoman"/>
      <w:lvlText w:val="%3"/>
      <w:lvlJc w:val="left"/>
      <w:pPr>
        <w:ind w:left="19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0EE6E8BE">
      <w:start w:val="1"/>
      <w:numFmt w:val="decimal"/>
      <w:lvlText w:val="%4"/>
      <w:lvlJc w:val="left"/>
      <w:pPr>
        <w:ind w:left="264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426A4220">
      <w:start w:val="1"/>
      <w:numFmt w:val="lowerLetter"/>
      <w:lvlText w:val="%5"/>
      <w:lvlJc w:val="left"/>
      <w:pPr>
        <w:ind w:left="336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35788A80">
      <w:start w:val="1"/>
      <w:numFmt w:val="lowerRoman"/>
      <w:lvlText w:val="%6"/>
      <w:lvlJc w:val="left"/>
      <w:pPr>
        <w:ind w:left="408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EFC4D2E2">
      <w:start w:val="1"/>
      <w:numFmt w:val="decimal"/>
      <w:lvlText w:val="%7"/>
      <w:lvlJc w:val="left"/>
      <w:pPr>
        <w:ind w:left="480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CEC4BC12">
      <w:start w:val="1"/>
      <w:numFmt w:val="lowerLetter"/>
      <w:lvlText w:val="%8"/>
      <w:lvlJc w:val="left"/>
      <w:pPr>
        <w:ind w:left="55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8D465844">
      <w:start w:val="1"/>
      <w:numFmt w:val="lowerRoman"/>
      <w:lvlText w:val="%9"/>
      <w:lvlJc w:val="left"/>
      <w:pPr>
        <w:ind w:left="624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82" w15:restartNumberingAfterBreak="0">
    <w:nsid w:val="2B411EA2"/>
    <w:multiLevelType w:val="hybridMultilevel"/>
    <w:tmpl w:val="BC0CBEB6"/>
    <w:lvl w:ilvl="0" w:tplc="E41EF71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BB4F3A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42CE6A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93EFF3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88477F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E444B6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35AC11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86CB91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28A54F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3" w15:restartNumberingAfterBreak="0">
    <w:nsid w:val="2B6A3E67"/>
    <w:multiLevelType w:val="hybridMultilevel"/>
    <w:tmpl w:val="91260CFA"/>
    <w:lvl w:ilvl="0" w:tplc="34589BB0">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D781BBC">
      <w:start w:val="1"/>
      <w:numFmt w:val="lowerLetter"/>
      <w:lvlText w:val="%2"/>
      <w:lvlJc w:val="left"/>
      <w:pPr>
        <w:ind w:left="1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6A21CE4">
      <w:start w:val="1"/>
      <w:numFmt w:val="lowerRoman"/>
      <w:lvlText w:val="%3"/>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BA8C52C">
      <w:start w:val="1"/>
      <w:numFmt w:val="decimal"/>
      <w:lvlText w:val="%4"/>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9A6C0CA">
      <w:start w:val="1"/>
      <w:numFmt w:val="lowerLetter"/>
      <w:lvlText w:val="%5"/>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A5203B4">
      <w:start w:val="1"/>
      <w:numFmt w:val="lowerRoman"/>
      <w:lvlText w:val="%6"/>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7EEEE3A">
      <w:start w:val="1"/>
      <w:numFmt w:val="decimal"/>
      <w:lvlText w:val="%7"/>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F5052A8">
      <w:start w:val="1"/>
      <w:numFmt w:val="lowerLetter"/>
      <w:lvlText w:val="%8"/>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732EE98">
      <w:start w:val="1"/>
      <w:numFmt w:val="lowerRoman"/>
      <w:lvlText w:val="%9"/>
      <w:lvlJc w:val="left"/>
      <w:pPr>
        <w:ind w:left="6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4" w15:restartNumberingAfterBreak="0">
    <w:nsid w:val="2BA478AE"/>
    <w:multiLevelType w:val="hybridMultilevel"/>
    <w:tmpl w:val="11C2C5D6"/>
    <w:lvl w:ilvl="0" w:tplc="46D02EBA">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06252A">
      <w:start w:val="1"/>
      <w:numFmt w:val="lowerLetter"/>
      <w:lvlText w:val="%2"/>
      <w:lvlJc w:val="left"/>
      <w:pPr>
        <w:ind w:left="1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4424678">
      <w:start w:val="1"/>
      <w:numFmt w:val="lowerRoman"/>
      <w:lvlText w:val="%3"/>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D00409E">
      <w:start w:val="1"/>
      <w:numFmt w:val="decimal"/>
      <w:lvlText w:val="%4"/>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0607ACA">
      <w:start w:val="1"/>
      <w:numFmt w:val="lowerLetter"/>
      <w:lvlText w:val="%5"/>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626C18A">
      <w:start w:val="1"/>
      <w:numFmt w:val="lowerRoman"/>
      <w:lvlText w:val="%6"/>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64CD600">
      <w:start w:val="1"/>
      <w:numFmt w:val="decimal"/>
      <w:lvlText w:val="%7"/>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E76948A">
      <w:start w:val="1"/>
      <w:numFmt w:val="lowerLetter"/>
      <w:lvlText w:val="%8"/>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A42C67E">
      <w:start w:val="1"/>
      <w:numFmt w:val="lowerRoman"/>
      <w:lvlText w:val="%9"/>
      <w:lvlJc w:val="left"/>
      <w:pPr>
        <w:ind w:left="6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5" w15:restartNumberingAfterBreak="0">
    <w:nsid w:val="2C4B77D6"/>
    <w:multiLevelType w:val="hybridMultilevel"/>
    <w:tmpl w:val="3FB437B8"/>
    <w:lvl w:ilvl="0" w:tplc="1B92FB28">
      <w:start w:val="8"/>
      <w:numFmt w:val="decimal"/>
      <w:lvlText w:val="%1."/>
      <w:lvlJc w:val="left"/>
      <w:pPr>
        <w:ind w:left="1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07857EE">
      <w:start w:val="1"/>
      <w:numFmt w:val="lowerLetter"/>
      <w:lvlText w:val="%2"/>
      <w:lvlJc w:val="left"/>
      <w:pPr>
        <w:ind w:left="12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9E2D620">
      <w:start w:val="1"/>
      <w:numFmt w:val="lowerRoman"/>
      <w:lvlText w:val="%3"/>
      <w:lvlJc w:val="left"/>
      <w:pPr>
        <w:ind w:left="19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D6ADC72">
      <w:start w:val="1"/>
      <w:numFmt w:val="decimal"/>
      <w:lvlText w:val="%4"/>
      <w:lvlJc w:val="left"/>
      <w:pPr>
        <w:ind w:left="26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668E2C6">
      <w:start w:val="1"/>
      <w:numFmt w:val="lowerLetter"/>
      <w:lvlText w:val="%5"/>
      <w:lvlJc w:val="left"/>
      <w:pPr>
        <w:ind w:left="33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470328E">
      <w:start w:val="1"/>
      <w:numFmt w:val="lowerRoman"/>
      <w:lvlText w:val="%6"/>
      <w:lvlJc w:val="left"/>
      <w:pPr>
        <w:ind w:left="40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8587222">
      <w:start w:val="1"/>
      <w:numFmt w:val="decimal"/>
      <w:lvlText w:val="%7"/>
      <w:lvlJc w:val="left"/>
      <w:pPr>
        <w:ind w:left="48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E365C0C">
      <w:start w:val="1"/>
      <w:numFmt w:val="lowerLetter"/>
      <w:lvlText w:val="%8"/>
      <w:lvlJc w:val="left"/>
      <w:pPr>
        <w:ind w:left="55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A8867EE">
      <w:start w:val="1"/>
      <w:numFmt w:val="lowerRoman"/>
      <w:lvlText w:val="%9"/>
      <w:lvlJc w:val="left"/>
      <w:pPr>
        <w:ind w:left="62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6" w15:restartNumberingAfterBreak="0">
    <w:nsid w:val="2C5A3E4C"/>
    <w:multiLevelType w:val="hybridMultilevel"/>
    <w:tmpl w:val="30D82228"/>
    <w:lvl w:ilvl="0" w:tplc="99246298">
      <w:start w:val="12"/>
      <w:numFmt w:val="lowerLetter"/>
      <w:lvlText w:val="%1)"/>
      <w:lvlJc w:val="left"/>
      <w:pPr>
        <w:ind w:left="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2000BB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64A81B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AB04D4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612F44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76624D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F6CB68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034DD0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F5C193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7" w15:restartNumberingAfterBreak="0">
    <w:nsid w:val="2CCF4D0A"/>
    <w:multiLevelType w:val="hybridMultilevel"/>
    <w:tmpl w:val="8BAE2C06"/>
    <w:lvl w:ilvl="0" w:tplc="325C51A4">
      <w:start w:val="1"/>
      <w:numFmt w:val="lowerLetter"/>
      <w:lvlText w:val="%1)"/>
      <w:lvlJc w:val="left"/>
      <w:pPr>
        <w:ind w:left="2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6F655A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0983E0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6887EB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4E83B5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DF4DAD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DBCEF8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79A92D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0BA512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8" w15:restartNumberingAfterBreak="0">
    <w:nsid w:val="2E117DE7"/>
    <w:multiLevelType w:val="hybridMultilevel"/>
    <w:tmpl w:val="D1DA2244"/>
    <w:lvl w:ilvl="0" w:tplc="FBD006A2">
      <w:start w:val="5"/>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8FAC0F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488729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DEEB67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660250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0E4D6D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4325F1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3A288E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8066F6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9" w15:restartNumberingAfterBreak="0">
    <w:nsid w:val="2E6C29B9"/>
    <w:multiLevelType w:val="hybridMultilevel"/>
    <w:tmpl w:val="8C68E506"/>
    <w:lvl w:ilvl="0" w:tplc="C3564BD8">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3525A4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3B06BA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156556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A72717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1CC44D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1AE88C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364429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ADAD67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0" w15:restartNumberingAfterBreak="0">
    <w:nsid w:val="3013106C"/>
    <w:multiLevelType w:val="hybridMultilevel"/>
    <w:tmpl w:val="85C0A772"/>
    <w:lvl w:ilvl="0" w:tplc="43CEC0E4">
      <w:start w:val="1"/>
      <w:numFmt w:val="decimal"/>
      <w:lvlText w:val="%1."/>
      <w:lvlJc w:val="left"/>
      <w:pPr>
        <w:ind w:left="1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EA27672">
      <w:start w:val="1"/>
      <w:numFmt w:val="lowerLetter"/>
      <w:lvlText w:val="%2"/>
      <w:lvlJc w:val="left"/>
      <w:pPr>
        <w:ind w:left="1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F18B058">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B44D2D2">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0B809F8">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46A92CC">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86C6E0C">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DD0F7AA">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ADC7F92">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1" w15:restartNumberingAfterBreak="0">
    <w:nsid w:val="309049DE"/>
    <w:multiLevelType w:val="hybridMultilevel"/>
    <w:tmpl w:val="FD344B38"/>
    <w:lvl w:ilvl="0" w:tplc="1AB6020E">
      <w:start w:val="1"/>
      <w:numFmt w:val="decimal"/>
      <w:lvlText w:val="%1."/>
      <w:lvlJc w:val="left"/>
      <w:pPr>
        <w:ind w:left="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8AA94E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CF28E6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8F6B08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65E94E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5B05E2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61E09A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6666DF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92C7AE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2" w15:restartNumberingAfterBreak="0">
    <w:nsid w:val="30D50CBA"/>
    <w:multiLevelType w:val="hybridMultilevel"/>
    <w:tmpl w:val="D9C880C6"/>
    <w:lvl w:ilvl="0" w:tplc="8A66F3D8">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480DCE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EE07CE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510F33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00EA7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218994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F32AD8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4502C6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252FE1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3" w15:restartNumberingAfterBreak="0">
    <w:nsid w:val="31A846E7"/>
    <w:multiLevelType w:val="hybridMultilevel"/>
    <w:tmpl w:val="8DB4BBA8"/>
    <w:lvl w:ilvl="0" w:tplc="A22888CC">
      <w:start w:val="1"/>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861A197A">
      <w:start w:val="1"/>
      <w:numFmt w:val="lowerLetter"/>
      <w:lvlText w:val="%2"/>
      <w:lvlJc w:val="left"/>
      <w:pPr>
        <w:ind w:left="1214"/>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C13CBE26">
      <w:start w:val="1"/>
      <w:numFmt w:val="lowerRoman"/>
      <w:lvlText w:val="%3"/>
      <w:lvlJc w:val="left"/>
      <w:pPr>
        <w:ind w:left="1934"/>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3DF8C236">
      <w:start w:val="1"/>
      <w:numFmt w:val="decimal"/>
      <w:lvlText w:val="%4"/>
      <w:lvlJc w:val="left"/>
      <w:pPr>
        <w:ind w:left="2654"/>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242E3F9E">
      <w:start w:val="1"/>
      <w:numFmt w:val="lowerLetter"/>
      <w:lvlText w:val="%5"/>
      <w:lvlJc w:val="left"/>
      <w:pPr>
        <w:ind w:left="3374"/>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FC98FEB0">
      <w:start w:val="1"/>
      <w:numFmt w:val="lowerRoman"/>
      <w:lvlText w:val="%6"/>
      <w:lvlJc w:val="left"/>
      <w:pPr>
        <w:ind w:left="4094"/>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53683046">
      <w:start w:val="1"/>
      <w:numFmt w:val="decimal"/>
      <w:lvlText w:val="%7"/>
      <w:lvlJc w:val="left"/>
      <w:pPr>
        <w:ind w:left="4814"/>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5D0AC774">
      <w:start w:val="1"/>
      <w:numFmt w:val="lowerLetter"/>
      <w:lvlText w:val="%8"/>
      <w:lvlJc w:val="left"/>
      <w:pPr>
        <w:ind w:left="5534"/>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33D4A75E">
      <w:start w:val="1"/>
      <w:numFmt w:val="lowerRoman"/>
      <w:lvlText w:val="%9"/>
      <w:lvlJc w:val="left"/>
      <w:pPr>
        <w:ind w:left="6254"/>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94" w15:restartNumberingAfterBreak="0">
    <w:nsid w:val="31E737F7"/>
    <w:multiLevelType w:val="hybridMultilevel"/>
    <w:tmpl w:val="9C9A5E72"/>
    <w:lvl w:ilvl="0" w:tplc="986E414A">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DE2025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426117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0BAED6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1B6AA4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E68B66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7EEF3A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0E80AD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EFA018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5" w15:restartNumberingAfterBreak="0">
    <w:nsid w:val="32830DF1"/>
    <w:multiLevelType w:val="hybridMultilevel"/>
    <w:tmpl w:val="32D8EB3E"/>
    <w:lvl w:ilvl="0" w:tplc="4DD6721E">
      <w:start w:val="3"/>
      <w:numFmt w:val="decimal"/>
      <w:lvlText w:val="%1."/>
      <w:lvlJc w:val="left"/>
      <w:pPr>
        <w:ind w:left="1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FEC09B2">
      <w:start w:val="1"/>
      <w:numFmt w:val="lowerLetter"/>
      <w:lvlText w:val="%2"/>
      <w:lvlJc w:val="left"/>
      <w:pPr>
        <w:ind w:left="1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544D9E0">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9C00994">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44A104A">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B76D9E8">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1FCE8E0">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07AFE66">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3C009CA">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6" w15:restartNumberingAfterBreak="0">
    <w:nsid w:val="32BD418F"/>
    <w:multiLevelType w:val="hybridMultilevel"/>
    <w:tmpl w:val="9BE63E10"/>
    <w:lvl w:ilvl="0" w:tplc="792AC27A">
      <w:start w:val="6"/>
      <w:numFmt w:val="lowerLetter"/>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A548C38">
      <w:start w:val="1"/>
      <w:numFmt w:val="lowerLetter"/>
      <w:lvlText w:val="%2"/>
      <w:lvlJc w:val="left"/>
      <w:pPr>
        <w:ind w:left="1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6DAE14C">
      <w:start w:val="1"/>
      <w:numFmt w:val="lowerRoman"/>
      <w:lvlText w:val="%3"/>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43CB884">
      <w:start w:val="1"/>
      <w:numFmt w:val="decimal"/>
      <w:lvlText w:val="%4"/>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E986E98">
      <w:start w:val="1"/>
      <w:numFmt w:val="lowerLetter"/>
      <w:lvlText w:val="%5"/>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2A4CEA8">
      <w:start w:val="1"/>
      <w:numFmt w:val="lowerRoman"/>
      <w:lvlText w:val="%6"/>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29ECF24">
      <w:start w:val="1"/>
      <w:numFmt w:val="decimal"/>
      <w:lvlText w:val="%7"/>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3C81480">
      <w:start w:val="1"/>
      <w:numFmt w:val="lowerLetter"/>
      <w:lvlText w:val="%8"/>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EBA4318">
      <w:start w:val="1"/>
      <w:numFmt w:val="lowerRoman"/>
      <w:lvlText w:val="%9"/>
      <w:lvlJc w:val="left"/>
      <w:pPr>
        <w:ind w:left="6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7" w15:restartNumberingAfterBreak="0">
    <w:nsid w:val="34A72F69"/>
    <w:multiLevelType w:val="hybridMultilevel"/>
    <w:tmpl w:val="0AD4ADA0"/>
    <w:lvl w:ilvl="0" w:tplc="5668549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0E4C19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FCCD72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E8E7FE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E1CE2E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1F2808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CF0583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DA0779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9BEF13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8" w15:restartNumberingAfterBreak="0">
    <w:nsid w:val="354F4798"/>
    <w:multiLevelType w:val="hybridMultilevel"/>
    <w:tmpl w:val="CD1C4120"/>
    <w:lvl w:ilvl="0" w:tplc="EA4E5F6E">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77EA6E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270C85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538F40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1585DC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19AE38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15AF60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22655B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29E0C3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9" w15:restartNumberingAfterBreak="0">
    <w:nsid w:val="354F5EA1"/>
    <w:multiLevelType w:val="hybridMultilevel"/>
    <w:tmpl w:val="1D640FE0"/>
    <w:lvl w:ilvl="0" w:tplc="83EA2ED8">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2BCA07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2045A2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1708B6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69C7BC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55E620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430861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538A73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458985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0" w15:restartNumberingAfterBreak="0">
    <w:nsid w:val="355A6CA8"/>
    <w:multiLevelType w:val="hybridMultilevel"/>
    <w:tmpl w:val="52981722"/>
    <w:lvl w:ilvl="0" w:tplc="C7080E7A">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1405046">
      <w:start w:val="1"/>
      <w:numFmt w:val="lowerLetter"/>
      <w:lvlText w:val="%2"/>
      <w:lvlJc w:val="left"/>
      <w:pPr>
        <w:ind w:left="1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B2E2690">
      <w:start w:val="1"/>
      <w:numFmt w:val="lowerRoman"/>
      <w:lvlText w:val="%3"/>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31A90DE">
      <w:start w:val="1"/>
      <w:numFmt w:val="decimal"/>
      <w:lvlText w:val="%4"/>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7F08FB2">
      <w:start w:val="1"/>
      <w:numFmt w:val="lowerLetter"/>
      <w:lvlText w:val="%5"/>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4B2123C">
      <w:start w:val="1"/>
      <w:numFmt w:val="lowerRoman"/>
      <w:lvlText w:val="%6"/>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534888A">
      <w:start w:val="1"/>
      <w:numFmt w:val="decimal"/>
      <w:lvlText w:val="%7"/>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6E29B80">
      <w:start w:val="1"/>
      <w:numFmt w:val="lowerLetter"/>
      <w:lvlText w:val="%8"/>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1760C4A">
      <w:start w:val="1"/>
      <w:numFmt w:val="lowerRoman"/>
      <w:lvlText w:val="%9"/>
      <w:lvlJc w:val="left"/>
      <w:pPr>
        <w:ind w:left="6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1" w15:restartNumberingAfterBreak="0">
    <w:nsid w:val="359E3425"/>
    <w:multiLevelType w:val="hybridMultilevel"/>
    <w:tmpl w:val="7BA02632"/>
    <w:lvl w:ilvl="0" w:tplc="96966562">
      <w:start w:val="1"/>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F21A7112">
      <w:start w:val="1"/>
      <w:numFmt w:val="lowerLetter"/>
      <w:lvlText w:val="%2"/>
      <w:lvlJc w:val="left"/>
      <w:pPr>
        <w:ind w:left="11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277E724C">
      <w:start w:val="1"/>
      <w:numFmt w:val="lowerRoman"/>
      <w:lvlText w:val="%3"/>
      <w:lvlJc w:val="left"/>
      <w:pPr>
        <w:ind w:left="19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27C2CAAC">
      <w:start w:val="1"/>
      <w:numFmt w:val="decimal"/>
      <w:lvlText w:val="%4"/>
      <w:lvlJc w:val="left"/>
      <w:pPr>
        <w:ind w:left="26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B7AA7E56">
      <w:start w:val="1"/>
      <w:numFmt w:val="lowerLetter"/>
      <w:lvlText w:val="%5"/>
      <w:lvlJc w:val="left"/>
      <w:pPr>
        <w:ind w:left="33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272E6192">
      <w:start w:val="1"/>
      <w:numFmt w:val="lowerRoman"/>
      <w:lvlText w:val="%6"/>
      <w:lvlJc w:val="left"/>
      <w:pPr>
        <w:ind w:left="407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B112A3CC">
      <w:start w:val="1"/>
      <w:numFmt w:val="decimal"/>
      <w:lvlText w:val="%7"/>
      <w:lvlJc w:val="left"/>
      <w:pPr>
        <w:ind w:left="47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45D43B52">
      <w:start w:val="1"/>
      <w:numFmt w:val="lowerLetter"/>
      <w:lvlText w:val="%8"/>
      <w:lvlJc w:val="left"/>
      <w:pPr>
        <w:ind w:left="55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1780C814">
      <w:start w:val="1"/>
      <w:numFmt w:val="lowerRoman"/>
      <w:lvlText w:val="%9"/>
      <w:lvlJc w:val="left"/>
      <w:pPr>
        <w:ind w:left="62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02" w15:restartNumberingAfterBreak="0">
    <w:nsid w:val="35CF0203"/>
    <w:multiLevelType w:val="hybridMultilevel"/>
    <w:tmpl w:val="990A83C2"/>
    <w:lvl w:ilvl="0" w:tplc="2C8A248C">
      <w:start w:val="1"/>
      <w:numFmt w:val="decimal"/>
      <w:lvlText w:val="%1."/>
      <w:lvlJc w:val="left"/>
      <w:pPr>
        <w:ind w:left="346" w:hanging="360"/>
      </w:pPr>
      <w:rPr>
        <w:rFonts w:hint="default"/>
      </w:rPr>
    </w:lvl>
    <w:lvl w:ilvl="1" w:tplc="04100019" w:tentative="1">
      <w:start w:val="1"/>
      <w:numFmt w:val="lowerLetter"/>
      <w:lvlText w:val="%2."/>
      <w:lvlJc w:val="left"/>
      <w:pPr>
        <w:ind w:left="1066" w:hanging="360"/>
      </w:pPr>
    </w:lvl>
    <w:lvl w:ilvl="2" w:tplc="0410001B" w:tentative="1">
      <w:start w:val="1"/>
      <w:numFmt w:val="lowerRoman"/>
      <w:lvlText w:val="%3."/>
      <w:lvlJc w:val="right"/>
      <w:pPr>
        <w:ind w:left="1786" w:hanging="180"/>
      </w:pPr>
    </w:lvl>
    <w:lvl w:ilvl="3" w:tplc="0410000F" w:tentative="1">
      <w:start w:val="1"/>
      <w:numFmt w:val="decimal"/>
      <w:lvlText w:val="%4."/>
      <w:lvlJc w:val="left"/>
      <w:pPr>
        <w:ind w:left="2506" w:hanging="360"/>
      </w:pPr>
    </w:lvl>
    <w:lvl w:ilvl="4" w:tplc="04100019" w:tentative="1">
      <w:start w:val="1"/>
      <w:numFmt w:val="lowerLetter"/>
      <w:lvlText w:val="%5."/>
      <w:lvlJc w:val="left"/>
      <w:pPr>
        <w:ind w:left="3226" w:hanging="360"/>
      </w:pPr>
    </w:lvl>
    <w:lvl w:ilvl="5" w:tplc="0410001B" w:tentative="1">
      <w:start w:val="1"/>
      <w:numFmt w:val="lowerRoman"/>
      <w:lvlText w:val="%6."/>
      <w:lvlJc w:val="right"/>
      <w:pPr>
        <w:ind w:left="3946" w:hanging="180"/>
      </w:pPr>
    </w:lvl>
    <w:lvl w:ilvl="6" w:tplc="0410000F" w:tentative="1">
      <w:start w:val="1"/>
      <w:numFmt w:val="decimal"/>
      <w:lvlText w:val="%7."/>
      <w:lvlJc w:val="left"/>
      <w:pPr>
        <w:ind w:left="4666" w:hanging="360"/>
      </w:pPr>
    </w:lvl>
    <w:lvl w:ilvl="7" w:tplc="04100019" w:tentative="1">
      <w:start w:val="1"/>
      <w:numFmt w:val="lowerLetter"/>
      <w:lvlText w:val="%8."/>
      <w:lvlJc w:val="left"/>
      <w:pPr>
        <w:ind w:left="5386" w:hanging="360"/>
      </w:pPr>
    </w:lvl>
    <w:lvl w:ilvl="8" w:tplc="0410001B" w:tentative="1">
      <w:start w:val="1"/>
      <w:numFmt w:val="lowerRoman"/>
      <w:lvlText w:val="%9."/>
      <w:lvlJc w:val="right"/>
      <w:pPr>
        <w:ind w:left="6106" w:hanging="180"/>
      </w:pPr>
    </w:lvl>
  </w:abstractNum>
  <w:abstractNum w:abstractNumId="103" w15:restartNumberingAfterBreak="0">
    <w:nsid w:val="373406AD"/>
    <w:multiLevelType w:val="hybridMultilevel"/>
    <w:tmpl w:val="876A96D0"/>
    <w:lvl w:ilvl="0" w:tplc="495CD79E">
      <w:start w:val="2"/>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E9E4DBC">
      <w:start w:val="1"/>
      <w:numFmt w:val="lowerLetter"/>
      <w:lvlText w:val="%2"/>
      <w:lvlJc w:val="left"/>
      <w:pPr>
        <w:ind w:left="12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AAED9E8">
      <w:start w:val="1"/>
      <w:numFmt w:val="lowerRoman"/>
      <w:lvlText w:val="%3"/>
      <w:lvlJc w:val="left"/>
      <w:pPr>
        <w:ind w:left="19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1602D6A">
      <w:start w:val="1"/>
      <w:numFmt w:val="decimal"/>
      <w:lvlText w:val="%4"/>
      <w:lvlJc w:val="left"/>
      <w:pPr>
        <w:ind w:left="26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F7C7DAC">
      <w:start w:val="1"/>
      <w:numFmt w:val="lowerLetter"/>
      <w:lvlText w:val="%5"/>
      <w:lvlJc w:val="left"/>
      <w:pPr>
        <w:ind w:left="33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D66E448">
      <w:start w:val="1"/>
      <w:numFmt w:val="lowerRoman"/>
      <w:lvlText w:val="%6"/>
      <w:lvlJc w:val="left"/>
      <w:pPr>
        <w:ind w:left="40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008E2AA">
      <w:start w:val="1"/>
      <w:numFmt w:val="decimal"/>
      <w:lvlText w:val="%7"/>
      <w:lvlJc w:val="left"/>
      <w:pPr>
        <w:ind w:left="48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05A4638">
      <w:start w:val="1"/>
      <w:numFmt w:val="lowerLetter"/>
      <w:lvlText w:val="%8"/>
      <w:lvlJc w:val="left"/>
      <w:pPr>
        <w:ind w:left="55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863CEA">
      <w:start w:val="1"/>
      <w:numFmt w:val="lowerRoman"/>
      <w:lvlText w:val="%9"/>
      <w:lvlJc w:val="left"/>
      <w:pPr>
        <w:ind w:left="62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4" w15:restartNumberingAfterBreak="0">
    <w:nsid w:val="375212B9"/>
    <w:multiLevelType w:val="hybridMultilevel"/>
    <w:tmpl w:val="EF22A0BC"/>
    <w:lvl w:ilvl="0" w:tplc="B4549634">
      <w:start w:val="1"/>
      <w:numFmt w:val="decimal"/>
      <w:lvlText w:val="%1."/>
      <w:lvlJc w:val="left"/>
      <w:pPr>
        <w:ind w:left="326"/>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B7E0962E">
      <w:start w:val="1"/>
      <w:numFmt w:val="lowerLetter"/>
      <w:lvlText w:val="%2"/>
      <w:lvlJc w:val="left"/>
      <w:pPr>
        <w:ind w:left="12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D2F48CB8">
      <w:start w:val="1"/>
      <w:numFmt w:val="lowerRoman"/>
      <w:lvlText w:val="%3"/>
      <w:lvlJc w:val="left"/>
      <w:pPr>
        <w:ind w:left="19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DBEEB700">
      <w:start w:val="1"/>
      <w:numFmt w:val="decimal"/>
      <w:lvlText w:val="%4"/>
      <w:lvlJc w:val="left"/>
      <w:pPr>
        <w:ind w:left="26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FA08B57C">
      <w:start w:val="1"/>
      <w:numFmt w:val="lowerLetter"/>
      <w:lvlText w:val="%5"/>
      <w:lvlJc w:val="left"/>
      <w:pPr>
        <w:ind w:left="336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0DE6AB02">
      <w:start w:val="1"/>
      <w:numFmt w:val="lowerRoman"/>
      <w:lvlText w:val="%6"/>
      <w:lvlJc w:val="left"/>
      <w:pPr>
        <w:ind w:left="408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0156B808">
      <w:start w:val="1"/>
      <w:numFmt w:val="decimal"/>
      <w:lvlText w:val="%7"/>
      <w:lvlJc w:val="left"/>
      <w:pPr>
        <w:ind w:left="48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94CE46F4">
      <w:start w:val="1"/>
      <w:numFmt w:val="lowerLetter"/>
      <w:lvlText w:val="%8"/>
      <w:lvlJc w:val="left"/>
      <w:pPr>
        <w:ind w:left="55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8D80CF78">
      <w:start w:val="1"/>
      <w:numFmt w:val="lowerRoman"/>
      <w:lvlText w:val="%9"/>
      <w:lvlJc w:val="left"/>
      <w:pPr>
        <w:ind w:left="62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05" w15:restartNumberingAfterBreak="0">
    <w:nsid w:val="393F7020"/>
    <w:multiLevelType w:val="hybridMultilevel"/>
    <w:tmpl w:val="A30CB1A6"/>
    <w:lvl w:ilvl="0" w:tplc="D98A2BC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E50B86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45444E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6345C8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DD4C48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47A2EF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96E7A2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8CE59A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A620F7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6" w15:restartNumberingAfterBreak="0">
    <w:nsid w:val="39484490"/>
    <w:multiLevelType w:val="hybridMultilevel"/>
    <w:tmpl w:val="F9501BD2"/>
    <w:lvl w:ilvl="0" w:tplc="BC0480CA">
      <w:start w:val="1"/>
      <w:numFmt w:val="decimal"/>
      <w:lvlText w:val="%1."/>
      <w:lvlJc w:val="left"/>
      <w:pPr>
        <w:ind w:left="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8BEEE5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6CE541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1B20B7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8D0360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75CD00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2EA635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132DC9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BF0E3F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7" w15:restartNumberingAfterBreak="0">
    <w:nsid w:val="395F2AA3"/>
    <w:multiLevelType w:val="hybridMultilevel"/>
    <w:tmpl w:val="ED767E6A"/>
    <w:lvl w:ilvl="0" w:tplc="1F5674BE">
      <w:start w:val="2"/>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B726D2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AA0B85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EEE9E9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2DC2C7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8E003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CAC0EF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6C2CB8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752F2A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8" w15:restartNumberingAfterBreak="0">
    <w:nsid w:val="3A837CD0"/>
    <w:multiLevelType w:val="hybridMultilevel"/>
    <w:tmpl w:val="F9CCD278"/>
    <w:lvl w:ilvl="0" w:tplc="ED56C556">
      <w:start w:val="1"/>
      <w:numFmt w:val="decimal"/>
      <w:lvlText w:val="%1."/>
      <w:lvlJc w:val="left"/>
      <w:pPr>
        <w:ind w:left="332"/>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1BC0F7C2">
      <w:start w:val="1"/>
      <w:numFmt w:val="lowerLetter"/>
      <w:lvlText w:val="%2"/>
      <w:lvlJc w:val="left"/>
      <w:pPr>
        <w:ind w:left="11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547C6D94">
      <w:start w:val="1"/>
      <w:numFmt w:val="lowerRoman"/>
      <w:lvlText w:val="%3"/>
      <w:lvlJc w:val="left"/>
      <w:pPr>
        <w:ind w:left="19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5E60055E">
      <w:start w:val="1"/>
      <w:numFmt w:val="decimal"/>
      <w:lvlText w:val="%4"/>
      <w:lvlJc w:val="left"/>
      <w:pPr>
        <w:ind w:left="26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574ED4FA">
      <w:start w:val="1"/>
      <w:numFmt w:val="lowerLetter"/>
      <w:lvlText w:val="%5"/>
      <w:lvlJc w:val="left"/>
      <w:pPr>
        <w:ind w:left="33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23061208">
      <w:start w:val="1"/>
      <w:numFmt w:val="lowerRoman"/>
      <w:lvlText w:val="%6"/>
      <w:lvlJc w:val="left"/>
      <w:pPr>
        <w:ind w:left="407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42C2A26C">
      <w:start w:val="1"/>
      <w:numFmt w:val="decimal"/>
      <w:lvlText w:val="%7"/>
      <w:lvlJc w:val="left"/>
      <w:pPr>
        <w:ind w:left="47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9EF6DF32">
      <w:start w:val="1"/>
      <w:numFmt w:val="lowerLetter"/>
      <w:lvlText w:val="%8"/>
      <w:lvlJc w:val="left"/>
      <w:pPr>
        <w:ind w:left="55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3536C5EC">
      <w:start w:val="1"/>
      <w:numFmt w:val="lowerRoman"/>
      <w:lvlText w:val="%9"/>
      <w:lvlJc w:val="left"/>
      <w:pPr>
        <w:ind w:left="62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09" w15:restartNumberingAfterBreak="0">
    <w:nsid w:val="3B852EF1"/>
    <w:multiLevelType w:val="hybridMultilevel"/>
    <w:tmpl w:val="FBDA7378"/>
    <w:lvl w:ilvl="0" w:tplc="5302E6F6">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FF4EC1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A6E0B0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558BF6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D1E535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71ABDD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6BC836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98EE02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644F57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0" w15:restartNumberingAfterBreak="0">
    <w:nsid w:val="3C5D0EDE"/>
    <w:multiLevelType w:val="hybridMultilevel"/>
    <w:tmpl w:val="3BCC5DC0"/>
    <w:lvl w:ilvl="0" w:tplc="13B8E02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C664EE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A24CF2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EBA3A4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A68D7C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B6476B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B209A0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F6C215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DEA1B8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1" w15:restartNumberingAfterBreak="0">
    <w:nsid w:val="3DFD4630"/>
    <w:multiLevelType w:val="hybridMultilevel"/>
    <w:tmpl w:val="EB8032BC"/>
    <w:lvl w:ilvl="0" w:tplc="A27CDB6E">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E002F3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35EDB2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1ED8A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932000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EC44DD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E7C6F9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6445A0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556C21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2" w15:restartNumberingAfterBreak="0">
    <w:nsid w:val="3E5A3524"/>
    <w:multiLevelType w:val="hybridMultilevel"/>
    <w:tmpl w:val="BFF015B8"/>
    <w:lvl w:ilvl="0" w:tplc="B6E85A2A">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1943FE0">
      <w:start w:val="1"/>
      <w:numFmt w:val="lowerLetter"/>
      <w:lvlText w:val="%2"/>
      <w:lvlJc w:val="left"/>
      <w:pPr>
        <w:ind w:left="1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E6668BE">
      <w:start w:val="1"/>
      <w:numFmt w:val="lowerRoman"/>
      <w:lvlText w:val="%3"/>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DAE84F8">
      <w:start w:val="1"/>
      <w:numFmt w:val="decimal"/>
      <w:lvlText w:val="%4"/>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8DA7EF8">
      <w:start w:val="1"/>
      <w:numFmt w:val="lowerLetter"/>
      <w:lvlText w:val="%5"/>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ED8C54E">
      <w:start w:val="1"/>
      <w:numFmt w:val="lowerRoman"/>
      <w:lvlText w:val="%6"/>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E885D50">
      <w:start w:val="1"/>
      <w:numFmt w:val="decimal"/>
      <w:lvlText w:val="%7"/>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EC43D90">
      <w:start w:val="1"/>
      <w:numFmt w:val="lowerLetter"/>
      <w:lvlText w:val="%8"/>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1DAEDDA">
      <w:start w:val="1"/>
      <w:numFmt w:val="lowerRoman"/>
      <w:lvlText w:val="%9"/>
      <w:lvlJc w:val="left"/>
      <w:pPr>
        <w:ind w:left="6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3" w15:restartNumberingAfterBreak="0">
    <w:nsid w:val="40716159"/>
    <w:multiLevelType w:val="hybridMultilevel"/>
    <w:tmpl w:val="CD220F54"/>
    <w:lvl w:ilvl="0" w:tplc="8326C6C4">
      <w:start w:val="4"/>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90C5C1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404F6B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BE2937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8BE14C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46E760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F421A6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EF6746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318A4B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4" w15:restartNumberingAfterBreak="0">
    <w:nsid w:val="41627D06"/>
    <w:multiLevelType w:val="hybridMultilevel"/>
    <w:tmpl w:val="29D88E6A"/>
    <w:lvl w:ilvl="0" w:tplc="F118B4F0">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FE4766">
      <w:start w:val="1"/>
      <w:numFmt w:val="lowerLetter"/>
      <w:lvlText w:val="%2"/>
      <w:lvlJc w:val="left"/>
      <w:pPr>
        <w:ind w:left="1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BEAE8BE">
      <w:start w:val="1"/>
      <w:numFmt w:val="lowerRoman"/>
      <w:lvlText w:val="%3"/>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42CB536">
      <w:start w:val="1"/>
      <w:numFmt w:val="decimal"/>
      <w:lvlText w:val="%4"/>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4040098">
      <w:start w:val="1"/>
      <w:numFmt w:val="lowerLetter"/>
      <w:lvlText w:val="%5"/>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EEE900E">
      <w:start w:val="1"/>
      <w:numFmt w:val="lowerRoman"/>
      <w:lvlText w:val="%6"/>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3AACA40">
      <w:start w:val="1"/>
      <w:numFmt w:val="decimal"/>
      <w:lvlText w:val="%7"/>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66CEC3A">
      <w:start w:val="1"/>
      <w:numFmt w:val="lowerLetter"/>
      <w:lvlText w:val="%8"/>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EB0BEDE">
      <w:start w:val="1"/>
      <w:numFmt w:val="lowerRoman"/>
      <w:lvlText w:val="%9"/>
      <w:lvlJc w:val="left"/>
      <w:pPr>
        <w:ind w:left="6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5" w15:restartNumberingAfterBreak="0">
    <w:nsid w:val="41981C1D"/>
    <w:multiLevelType w:val="hybridMultilevel"/>
    <w:tmpl w:val="6784959C"/>
    <w:lvl w:ilvl="0" w:tplc="1D18733A">
      <w:start w:val="2"/>
      <w:numFmt w:val="lowerLetter"/>
      <w:lvlText w:val="%1)"/>
      <w:lvlJc w:val="left"/>
      <w:pPr>
        <w:ind w:left="206"/>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FFB8C13C">
      <w:start w:val="1"/>
      <w:numFmt w:val="lowerLetter"/>
      <w:lvlText w:val="%2"/>
      <w:lvlJc w:val="left"/>
      <w:pPr>
        <w:ind w:left="12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9E00ED9C">
      <w:start w:val="1"/>
      <w:numFmt w:val="lowerRoman"/>
      <w:lvlText w:val="%3"/>
      <w:lvlJc w:val="left"/>
      <w:pPr>
        <w:ind w:left="19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F73A078A">
      <w:start w:val="1"/>
      <w:numFmt w:val="decimal"/>
      <w:lvlText w:val="%4"/>
      <w:lvlJc w:val="left"/>
      <w:pPr>
        <w:ind w:left="26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792E5108">
      <w:start w:val="1"/>
      <w:numFmt w:val="lowerLetter"/>
      <w:lvlText w:val="%5"/>
      <w:lvlJc w:val="left"/>
      <w:pPr>
        <w:ind w:left="336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0BFE51FE">
      <w:start w:val="1"/>
      <w:numFmt w:val="lowerRoman"/>
      <w:lvlText w:val="%6"/>
      <w:lvlJc w:val="left"/>
      <w:pPr>
        <w:ind w:left="408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0F8A6534">
      <w:start w:val="1"/>
      <w:numFmt w:val="decimal"/>
      <w:lvlText w:val="%7"/>
      <w:lvlJc w:val="left"/>
      <w:pPr>
        <w:ind w:left="48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FD4E52EC">
      <w:start w:val="1"/>
      <w:numFmt w:val="lowerLetter"/>
      <w:lvlText w:val="%8"/>
      <w:lvlJc w:val="left"/>
      <w:pPr>
        <w:ind w:left="55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AF2A59FE">
      <w:start w:val="1"/>
      <w:numFmt w:val="lowerRoman"/>
      <w:lvlText w:val="%9"/>
      <w:lvlJc w:val="left"/>
      <w:pPr>
        <w:ind w:left="62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16" w15:restartNumberingAfterBreak="0">
    <w:nsid w:val="42A61023"/>
    <w:multiLevelType w:val="hybridMultilevel"/>
    <w:tmpl w:val="9F668D82"/>
    <w:lvl w:ilvl="0" w:tplc="2F8A4A2A">
      <w:start w:val="2"/>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25AC7D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F54FE9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B02BEE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794DA2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DE2B02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48914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F4C519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E06542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7" w15:restartNumberingAfterBreak="0">
    <w:nsid w:val="42F61238"/>
    <w:multiLevelType w:val="hybridMultilevel"/>
    <w:tmpl w:val="293AE1AA"/>
    <w:lvl w:ilvl="0" w:tplc="C896D248">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AA689D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D26316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97EC96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AECE25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83E550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31E799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41ED94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B0072A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8" w15:restartNumberingAfterBreak="0">
    <w:nsid w:val="450B071F"/>
    <w:multiLevelType w:val="hybridMultilevel"/>
    <w:tmpl w:val="A03454B2"/>
    <w:lvl w:ilvl="0" w:tplc="AA3A22A2">
      <w:start w:val="1"/>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E34C69C6">
      <w:start w:val="1"/>
      <w:numFmt w:val="lowerLetter"/>
      <w:lvlText w:val="%2"/>
      <w:lvlJc w:val="left"/>
      <w:pPr>
        <w:ind w:left="118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3034BB10">
      <w:start w:val="1"/>
      <w:numFmt w:val="lowerRoman"/>
      <w:lvlText w:val="%3"/>
      <w:lvlJc w:val="left"/>
      <w:pPr>
        <w:ind w:left="190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FA3EA4D8">
      <w:start w:val="1"/>
      <w:numFmt w:val="decimal"/>
      <w:lvlText w:val="%4"/>
      <w:lvlJc w:val="left"/>
      <w:pPr>
        <w:ind w:left="26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A1C6C966">
      <w:start w:val="1"/>
      <w:numFmt w:val="lowerLetter"/>
      <w:lvlText w:val="%5"/>
      <w:lvlJc w:val="left"/>
      <w:pPr>
        <w:ind w:left="334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DABE2364">
      <w:start w:val="1"/>
      <w:numFmt w:val="lowerRoman"/>
      <w:lvlText w:val="%6"/>
      <w:lvlJc w:val="left"/>
      <w:pPr>
        <w:ind w:left="406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1C86BF5C">
      <w:start w:val="1"/>
      <w:numFmt w:val="decimal"/>
      <w:lvlText w:val="%7"/>
      <w:lvlJc w:val="left"/>
      <w:pPr>
        <w:ind w:left="478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D3588FBE">
      <w:start w:val="1"/>
      <w:numFmt w:val="lowerLetter"/>
      <w:lvlText w:val="%8"/>
      <w:lvlJc w:val="left"/>
      <w:pPr>
        <w:ind w:left="550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E168DAB4">
      <w:start w:val="1"/>
      <w:numFmt w:val="lowerRoman"/>
      <w:lvlText w:val="%9"/>
      <w:lvlJc w:val="left"/>
      <w:pPr>
        <w:ind w:left="62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19" w15:restartNumberingAfterBreak="0">
    <w:nsid w:val="458412FC"/>
    <w:multiLevelType w:val="hybridMultilevel"/>
    <w:tmpl w:val="097401F2"/>
    <w:lvl w:ilvl="0" w:tplc="FEE42C66">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1EA2E2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2C23EC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BEE6C3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376013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2BC17F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9ACB48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A70845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FE077F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0" w15:restartNumberingAfterBreak="0">
    <w:nsid w:val="467A72B6"/>
    <w:multiLevelType w:val="hybridMultilevel"/>
    <w:tmpl w:val="E924A074"/>
    <w:lvl w:ilvl="0" w:tplc="34C022BE">
      <w:start w:val="1"/>
      <w:numFmt w:val="lowerLetter"/>
      <w:lvlText w:val="%1)"/>
      <w:lvlJc w:val="left"/>
      <w:pPr>
        <w:ind w:left="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FC22F8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52C494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100A23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92AADB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AE0E01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098A2C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766A0F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9B0281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1" w15:restartNumberingAfterBreak="0">
    <w:nsid w:val="468E666D"/>
    <w:multiLevelType w:val="hybridMultilevel"/>
    <w:tmpl w:val="5BFE7C2C"/>
    <w:lvl w:ilvl="0" w:tplc="0FDA798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0C46C6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E16297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250AE5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0A64FA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E8EA70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FCCB95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212649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CF24A7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2" w15:restartNumberingAfterBreak="0">
    <w:nsid w:val="479B383E"/>
    <w:multiLevelType w:val="hybridMultilevel"/>
    <w:tmpl w:val="D41E0F62"/>
    <w:lvl w:ilvl="0" w:tplc="9E824DF8">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85A066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90373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0FE7CC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160051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632CC1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15AEA3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A54973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80E62B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3" w15:restartNumberingAfterBreak="0">
    <w:nsid w:val="486C21D9"/>
    <w:multiLevelType w:val="hybridMultilevel"/>
    <w:tmpl w:val="6F56BDF2"/>
    <w:lvl w:ilvl="0" w:tplc="797E480E">
      <w:start w:val="4"/>
      <w:numFmt w:val="lowerLetter"/>
      <w:lvlText w:val="%1)"/>
      <w:lvlJc w:val="left"/>
      <w:pPr>
        <w:ind w:left="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CBA1FF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380AF2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F6C065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6A8D2C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8E018D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2E62CC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0441AB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EDE3D7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4" w15:restartNumberingAfterBreak="0">
    <w:nsid w:val="48AF2F29"/>
    <w:multiLevelType w:val="hybridMultilevel"/>
    <w:tmpl w:val="D46E3B82"/>
    <w:lvl w:ilvl="0" w:tplc="3BB4BCDE">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9DC402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DB23CD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D50A31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9EE55F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02AB6B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80ACD9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AA4C9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830B10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5" w15:restartNumberingAfterBreak="0">
    <w:nsid w:val="491B5BAF"/>
    <w:multiLevelType w:val="hybridMultilevel"/>
    <w:tmpl w:val="2E62C3BE"/>
    <w:lvl w:ilvl="0" w:tplc="00B6A2E6">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988299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1A0A4D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CA0819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97A634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02485B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45E09D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8F0F24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50E4BE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6" w15:restartNumberingAfterBreak="0">
    <w:nsid w:val="495470D4"/>
    <w:multiLevelType w:val="hybridMultilevel"/>
    <w:tmpl w:val="90BC0786"/>
    <w:lvl w:ilvl="0" w:tplc="13563C6C">
      <w:start w:val="4"/>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C58F8D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036701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EF0173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53E985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238B0E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39EC1F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69C451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89447C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7" w15:restartNumberingAfterBreak="0">
    <w:nsid w:val="499C1ED3"/>
    <w:multiLevelType w:val="hybridMultilevel"/>
    <w:tmpl w:val="87E025EC"/>
    <w:lvl w:ilvl="0" w:tplc="10969CC8">
      <w:start w:val="4"/>
      <w:numFmt w:val="lowerLetter"/>
      <w:lvlText w:val="%1)"/>
      <w:lvlJc w:val="left"/>
      <w:pPr>
        <w:ind w:left="31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541ACEE0">
      <w:start w:val="1"/>
      <w:numFmt w:val="lowerLetter"/>
      <w:lvlText w:val="%2"/>
      <w:lvlJc w:val="left"/>
      <w:pPr>
        <w:ind w:left="11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1B34FC7A">
      <w:start w:val="1"/>
      <w:numFmt w:val="lowerRoman"/>
      <w:lvlText w:val="%3"/>
      <w:lvlJc w:val="left"/>
      <w:pPr>
        <w:ind w:left="19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64240E0A">
      <w:start w:val="1"/>
      <w:numFmt w:val="decimal"/>
      <w:lvlText w:val="%4"/>
      <w:lvlJc w:val="left"/>
      <w:pPr>
        <w:ind w:left="26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E5B627BA">
      <w:start w:val="1"/>
      <w:numFmt w:val="lowerLetter"/>
      <w:lvlText w:val="%5"/>
      <w:lvlJc w:val="left"/>
      <w:pPr>
        <w:ind w:left="33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7DDA8FAA">
      <w:start w:val="1"/>
      <w:numFmt w:val="lowerRoman"/>
      <w:lvlText w:val="%6"/>
      <w:lvlJc w:val="left"/>
      <w:pPr>
        <w:ind w:left="407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054A3D88">
      <w:start w:val="1"/>
      <w:numFmt w:val="decimal"/>
      <w:lvlText w:val="%7"/>
      <w:lvlJc w:val="left"/>
      <w:pPr>
        <w:ind w:left="47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DA72E3F2">
      <w:start w:val="1"/>
      <w:numFmt w:val="lowerLetter"/>
      <w:lvlText w:val="%8"/>
      <w:lvlJc w:val="left"/>
      <w:pPr>
        <w:ind w:left="55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44F25092">
      <w:start w:val="1"/>
      <w:numFmt w:val="lowerRoman"/>
      <w:lvlText w:val="%9"/>
      <w:lvlJc w:val="left"/>
      <w:pPr>
        <w:ind w:left="62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28" w15:restartNumberingAfterBreak="0">
    <w:nsid w:val="49A741FA"/>
    <w:multiLevelType w:val="hybridMultilevel"/>
    <w:tmpl w:val="91B66862"/>
    <w:lvl w:ilvl="0" w:tplc="16E247E0">
      <w:start w:val="1"/>
      <w:numFmt w:val="decimal"/>
      <w:lvlText w:val="%1."/>
      <w:lvlJc w:val="left"/>
      <w:pPr>
        <w:ind w:left="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F022AB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8A0E57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54E794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39497A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4B4233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DDCF70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D44EAF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5D87D8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9" w15:restartNumberingAfterBreak="0">
    <w:nsid w:val="4C7B54A2"/>
    <w:multiLevelType w:val="hybridMultilevel"/>
    <w:tmpl w:val="3126CAA2"/>
    <w:lvl w:ilvl="0" w:tplc="496AFB94">
      <w:start w:val="2"/>
      <w:numFmt w:val="decimal"/>
      <w:lvlText w:val="%1."/>
      <w:lvlJc w:val="left"/>
      <w:pPr>
        <w:ind w:left="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DE7CDBC8">
      <w:start w:val="1"/>
      <w:numFmt w:val="lowerLetter"/>
      <w:lvlText w:val="%2"/>
      <w:lvlJc w:val="left"/>
      <w:pPr>
        <w:ind w:left="12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3EAA8A7E">
      <w:start w:val="1"/>
      <w:numFmt w:val="lowerRoman"/>
      <w:lvlText w:val="%3"/>
      <w:lvlJc w:val="left"/>
      <w:pPr>
        <w:ind w:left="19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76367C22">
      <w:start w:val="1"/>
      <w:numFmt w:val="decimal"/>
      <w:lvlText w:val="%4"/>
      <w:lvlJc w:val="left"/>
      <w:pPr>
        <w:ind w:left="26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AC4ECA22">
      <w:start w:val="1"/>
      <w:numFmt w:val="lowerLetter"/>
      <w:lvlText w:val="%5"/>
      <w:lvlJc w:val="left"/>
      <w:pPr>
        <w:ind w:left="336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F5A8F770">
      <w:start w:val="1"/>
      <w:numFmt w:val="lowerRoman"/>
      <w:lvlText w:val="%6"/>
      <w:lvlJc w:val="left"/>
      <w:pPr>
        <w:ind w:left="408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0AEC7A98">
      <w:start w:val="1"/>
      <w:numFmt w:val="decimal"/>
      <w:lvlText w:val="%7"/>
      <w:lvlJc w:val="left"/>
      <w:pPr>
        <w:ind w:left="48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90E8B5FC">
      <w:start w:val="1"/>
      <w:numFmt w:val="lowerLetter"/>
      <w:lvlText w:val="%8"/>
      <w:lvlJc w:val="left"/>
      <w:pPr>
        <w:ind w:left="55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FAD2F632">
      <w:start w:val="1"/>
      <w:numFmt w:val="lowerRoman"/>
      <w:lvlText w:val="%9"/>
      <w:lvlJc w:val="left"/>
      <w:pPr>
        <w:ind w:left="62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30" w15:restartNumberingAfterBreak="0">
    <w:nsid w:val="4C8E297E"/>
    <w:multiLevelType w:val="hybridMultilevel"/>
    <w:tmpl w:val="1EA06278"/>
    <w:lvl w:ilvl="0" w:tplc="EBC0C682">
      <w:start w:val="1"/>
      <w:numFmt w:val="bullet"/>
      <w:lvlText w:val="-"/>
      <w:lvlJc w:val="left"/>
      <w:pPr>
        <w:ind w:left="1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6CAC326">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2D808FA">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834056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136EB40">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086F512">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2DC3E8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020623A">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3CCA500">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1" w15:restartNumberingAfterBreak="0">
    <w:nsid w:val="4CFD5491"/>
    <w:multiLevelType w:val="hybridMultilevel"/>
    <w:tmpl w:val="10B413E6"/>
    <w:lvl w:ilvl="0" w:tplc="C854FCD4">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F38B4F0">
      <w:start w:val="1"/>
      <w:numFmt w:val="lowerLetter"/>
      <w:lvlText w:val="%2"/>
      <w:lvlJc w:val="left"/>
      <w:pPr>
        <w:ind w:left="1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3A290A6">
      <w:start w:val="1"/>
      <w:numFmt w:val="lowerRoman"/>
      <w:lvlText w:val="%3"/>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48C5734">
      <w:start w:val="1"/>
      <w:numFmt w:val="decimal"/>
      <w:lvlText w:val="%4"/>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2E88790">
      <w:start w:val="1"/>
      <w:numFmt w:val="lowerLetter"/>
      <w:lvlText w:val="%5"/>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E945DA8">
      <w:start w:val="1"/>
      <w:numFmt w:val="lowerRoman"/>
      <w:lvlText w:val="%6"/>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9C2B1DC">
      <w:start w:val="1"/>
      <w:numFmt w:val="decimal"/>
      <w:lvlText w:val="%7"/>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B92B14E">
      <w:start w:val="1"/>
      <w:numFmt w:val="lowerLetter"/>
      <w:lvlText w:val="%8"/>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3F2C3BC">
      <w:start w:val="1"/>
      <w:numFmt w:val="lowerRoman"/>
      <w:lvlText w:val="%9"/>
      <w:lvlJc w:val="left"/>
      <w:pPr>
        <w:ind w:left="6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2" w15:restartNumberingAfterBreak="0">
    <w:nsid w:val="4D0800D1"/>
    <w:multiLevelType w:val="hybridMultilevel"/>
    <w:tmpl w:val="06CE58E6"/>
    <w:lvl w:ilvl="0" w:tplc="C69E1FA0">
      <w:start w:val="1"/>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C100BA78">
      <w:start w:val="1"/>
      <w:numFmt w:val="lowerLetter"/>
      <w:lvlText w:val="%2"/>
      <w:lvlJc w:val="left"/>
      <w:pPr>
        <w:ind w:left="12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072448D2">
      <w:start w:val="1"/>
      <w:numFmt w:val="lowerRoman"/>
      <w:lvlText w:val="%3"/>
      <w:lvlJc w:val="left"/>
      <w:pPr>
        <w:ind w:left="19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1E947DB4">
      <w:start w:val="1"/>
      <w:numFmt w:val="decimal"/>
      <w:lvlText w:val="%4"/>
      <w:lvlJc w:val="left"/>
      <w:pPr>
        <w:ind w:left="26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C870F7BE">
      <w:start w:val="1"/>
      <w:numFmt w:val="lowerLetter"/>
      <w:lvlText w:val="%5"/>
      <w:lvlJc w:val="left"/>
      <w:pPr>
        <w:ind w:left="336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DBEC98EE">
      <w:start w:val="1"/>
      <w:numFmt w:val="lowerRoman"/>
      <w:lvlText w:val="%6"/>
      <w:lvlJc w:val="left"/>
      <w:pPr>
        <w:ind w:left="408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640211F4">
      <w:start w:val="1"/>
      <w:numFmt w:val="decimal"/>
      <w:lvlText w:val="%7"/>
      <w:lvlJc w:val="left"/>
      <w:pPr>
        <w:ind w:left="48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34A4F632">
      <w:start w:val="1"/>
      <w:numFmt w:val="lowerLetter"/>
      <w:lvlText w:val="%8"/>
      <w:lvlJc w:val="left"/>
      <w:pPr>
        <w:ind w:left="55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7CC659B0">
      <w:start w:val="1"/>
      <w:numFmt w:val="lowerRoman"/>
      <w:lvlText w:val="%9"/>
      <w:lvlJc w:val="left"/>
      <w:pPr>
        <w:ind w:left="62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33" w15:restartNumberingAfterBreak="0">
    <w:nsid w:val="4E2E136F"/>
    <w:multiLevelType w:val="hybridMultilevel"/>
    <w:tmpl w:val="9B3E46F8"/>
    <w:lvl w:ilvl="0" w:tplc="0928B1C8">
      <w:start w:val="1"/>
      <w:numFmt w:val="decimal"/>
      <w:lvlText w:val="%1."/>
      <w:lvlJc w:val="left"/>
      <w:pPr>
        <w:ind w:left="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96A051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0CC6A4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DA0E7C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50A5D8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748285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1BA7B5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D42554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C16EE7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4" w15:restartNumberingAfterBreak="0">
    <w:nsid w:val="4EB712AE"/>
    <w:multiLevelType w:val="hybridMultilevel"/>
    <w:tmpl w:val="86AABBA2"/>
    <w:lvl w:ilvl="0" w:tplc="EB1C3130">
      <w:start w:val="5"/>
      <w:numFmt w:val="lowerLetter"/>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BF8007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B7AA2E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7B2040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8969D5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738BE3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6CABF6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1E6E12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10E2B8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5" w15:restartNumberingAfterBreak="0">
    <w:nsid w:val="4F246732"/>
    <w:multiLevelType w:val="hybridMultilevel"/>
    <w:tmpl w:val="86108312"/>
    <w:lvl w:ilvl="0" w:tplc="CA28E78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5629ED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C00DA8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92AADD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A8062D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FC21A6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52C515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B7CDEF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480B40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6" w15:restartNumberingAfterBreak="0">
    <w:nsid w:val="4F3857C5"/>
    <w:multiLevelType w:val="hybridMultilevel"/>
    <w:tmpl w:val="D274678A"/>
    <w:lvl w:ilvl="0" w:tplc="9D52E2F6">
      <w:start w:val="2"/>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4CE3AA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29682D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D02847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ECA0E0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CDE19E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704468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A129AE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0CCCD8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7" w15:restartNumberingAfterBreak="0">
    <w:nsid w:val="4FFF1EE2"/>
    <w:multiLevelType w:val="hybridMultilevel"/>
    <w:tmpl w:val="DA06AB76"/>
    <w:lvl w:ilvl="0" w:tplc="55502E06">
      <w:start w:val="1"/>
      <w:numFmt w:val="decimal"/>
      <w:lvlText w:val="%1."/>
      <w:lvlJc w:val="left"/>
      <w:pPr>
        <w:ind w:left="316"/>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1C88EBA0">
      <w:start w:val="1"/>
      <w:numFmt w:val="lowerLetter"/>
      <w:lvlText w:val="%2"/>
      <w:lvlJc w:val="left"/>
      <w:pPr>
        <w:ind w:left="113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0A0A6A14">
      <w:start w:val="1"/>
      <w:numFmt w:val="lowerRoman"/>
      <w:lvlText w:val="%3"/>
      <w:lvlJc w:val="left"/>
      <w:pPr>
        <w:ind w:left="185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083C27EC">
      <w:start w:val="1"/>
      <w:numFmt w:val="decimal"/>
      <w:lvlText w:val="%4"/>
      <w:lvlJc w:val="left"/>
      <w:pPr>
        <w:ind w:left="257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CD64300A">
      <w:start w:val="1"/>
      <w:numFmt w:val="lowerLetter"/>
      <w:lvlText w:val="%5"/>
      <w:lvlJc w:val="left"/>
      <w:pPr>
        <w:ind w:left="329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4A3442BA">
      <w:start w:val="1"/>
      <w:numFmt w:val="lowerRoman"/>
      <w:lvlText w:val="%6"/>
      <w:lvlJc w:val="left"/>
      <w:pPr>
        <w:ind w:left="401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40A09010">
      <w:start w:val="1"/>
      <w:numFmt w:val="decimal"/>
      <w:lvlText w:val="%7"/>
      <w:lvlJc w:val="left"/>
      <w:pPr>
        <w:ind w:left="473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2076D1AA">
      <w:start w:val="1"/>
      <w:numFmt w:val="lowerLetter"/>
      <w:lvlText w:val="%8"/>
      <w:lvlJc w:val="left"/>
      <w:pPr>
        <w:ind w:left="545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0D7A6FB0">
      <w:start w:val="1"/>
      <w:numFmt w:val="lowerRoman"/>
      <w:lvlText w:val="%9"/>
      <w:lvlJc w:val="left"/>
      <w:pPr>
        <w:ind w:left="617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38" w15:restartNumberingAfterBreak="0">
    <w:nsid w:val="500D59EC"/>
    <w:multiLevelType w:val="hybridMultilevel"/>
    <w:tmpl w:val="FBAA4E1E"/>
    <w:lvl w:ilvl="0" w:tplc="2734620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D4AECD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4DA2FD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E3E48A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DEEC41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91290F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9D6A6C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8E8130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AEA738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9" w15:restartNumberingAfterBreak="0">
    <w:nsid w:val="50411CA2"/>
    <w:multiLevelType w:val="hybridMultilevel"/>
    <w:tmpl w:val="5CC2F876"/>
    <w:lvl w:ilvl="0" w:tplc="7C5E8DD8">
      <w:start w:val="1"/>
      <w:numFmt w:val="decimal"/>
      <w:lvlText w:val="%1."/>
      <w:lvlJc w:val="left"/>
      <w:pPr>
        <w:ind w:left="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0EECD52A">
      <w:start w:val="1"/>
      <w:numFmt w:val="lowerLetter"/>
      <w:lvlText w:val="%2"/>
      <w:lvlJc w:val="left"/>
      <w:pPr>
        <w:ind w:left="12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33DAAE12">
      <w:start w:val="1"/>
      <w:numFmt w:val="lowerRoman"/>
      <w:lvlText w:val="%3"/>
      <w:lvlJc w:val="left"/>
      <w:pPr>
        <w:ind w:left="19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833869EA">
      <w:start w:val="1"/>
      <w:numFmt w:val="decimal"/>
      <w:lvlText w:val="%4"/>
      <w:lvlJc w:val="left"/>
      <w:pPr>
        <w:ind w:left="26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A5F05D06">
      <w:start w:val="1"/>
      <w:numFmt w:val="lowerLetter"/>
      <w:lvlText w:val="%5"/>
      <w:lvlJc w:val="left"/>
      <w:pPr>
        <w:ind w:left="336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32B49CE8">
      <w:start w:val="1"/>
      <w:numFmt w:val="lowerRoman"/>
      <w:lvlText w:val="%6"/>
      <w:lvlJc w:val="left"/>
      <w:pPr>
        <w:ind w:left="408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E82EB0FC">
      <w:start w:val="1"/>
      <w:numFmt w:val="decimal"/>
      <w:lvlText w:val="%7"/>
      <w:lvlJc w:val="left"/>
      <w:pPr>
        <w:ind w:left="48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67FA4E8E">
      <w:start w:val="1"/>
      <w:numFmt w:val="lowerLetter"/>
      <w:lvlText w:val="%8"/>
      <w:lvlJc w:val="left"/>
      <w:pPr>
        <w:ind w:left="55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104222DA">
      <w:start w:val="1"/>
      <w:numFmt w:val="lowerRoman"/>
      <w:lvlText w:val="%9"/>
      <w:lvlJc w:val="left"/>
      <w:pPr>
        <w:ind w:left="62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40" w15:restartNumberingAfterBreak="0">
    <w:nsid w:val="51957F89"/>
    <w:multiLevelType w:val="hybridMultilevel"/>
    <w:tmpl w:val="179C16A4"/>
    <w:lvl w:ilvl="0" w:tplc="EC4487E8">
      <w:start w:val="1"/>
      <w:numFmt w:val="decimal"/>
      <w:lvlText w:val="%1)"/>
      <w:lvlJc w:val="left"/>
      <w:pPr>
        <w:ind w:left="2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58472D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BFC2BF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64A58C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6CE671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340C4B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E8E281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AF27E6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34AAC1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1" w15:restartNumberingAfterBreak="0">
    <w:nsid w:val="51B30D7C"/>
    <w:multiLevelType w:val="hybridMultilevel"/>
    <w:tmpl w:val="E8D03864"/>
    <w:lvl w:ilvl="0" w:tplc="9F32AC02">
      <w:start w:val="6"/>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A12F8B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1E8C24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5A60A7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CCA928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19EE8F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520FCE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91EA6D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98894A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2" w15:restartNumberingAfterBreak="0">
    <w:nsid w:val="52152E5E"/>
    <w:multiLevelType w:val="hybridMultilevel"/>
    <w:tmpl w:val="29F88724"/>
    <w:lvl w:ilvl="0" w:tplc="0EC2A26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5E2F7A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406EB8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D1C21A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066473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CB4275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8DC46F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76A52B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8004F5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3" w15:restartNumberingAfterBreak="0">
    <w:nsid w:val="525D75B2"/>
    <w:multiLevelType w:val="hybridMultilevel"/>
    <w:tmpl w:val="F41C5E62"/>
    <w:lvl w:ilvl="0" w:tplc="5F9EB456">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5EC98F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BAA4BD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2FCB71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DEC653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37A987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932144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45E9D0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2C0CA5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4" w15:restartNumberingAfterBreak="0">
    <w:nsid w:val="527C2852"/>
    <w:multiLevelType w:val="hybridMultilevel"/>
    <w:tmpl w:val="040C9988"/>
    <w:lvl w:ilvl="0" w:tplc="6FBAD0D2">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642500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5EAF93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8D2DED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75E05D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806A09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3DA4B1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090D20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920140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5" w15:restartNumberingAfterBreak="0">
    <w:nsid w:val="52E72344"/>
    <w:multiLevelType w:val="hybridMultilevel"/>
    <w:tmpl w:val="2C4E35BC"/>
    <w:lvl w:ilvl="0" w:tplc="C5A2536E">
      <w:start w:val="1"/>
      <w:numFmt w:val="lowerLetter"/>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E86202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3F8963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736A28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7A2875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92EFD3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53CB50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5EE66C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4C835D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6" w15:restartNumberingAfterBreak="0">
    <w:nsid w:val="53022E9A"/>
    <w:multiLevelType w:val="hybridMultilevel"/>
    <w:tmpl w:val="1B5C22CC"/>
    <w:lvl w:ilvl="0" w:tplc="76A8997C">
      <w:start w:val="1"/>
      <w:numFmt w:val="decimal"/>
      <w:lvlText w:val="%1."/>
      <w:lvlJc w:val="left"/>
      <w:pPr>
        <w:ind w:left="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726F08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41E6BA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F5A892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1188A7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62E523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25E036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4C62E2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5A22FA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7" w15:restartNumberingAfterBreak="0">
    <w:nsid w:val="535E0C80"/>
    <w:multiLevelType w:val="hybridMultilevel"/>
    <w:tmpl w:val="9BE8A4F6"/>
    <w:lvl w:ilvl="0" w:tplc="F0F8F72A">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CD4F98E">
      <w:start w:val="1"/>
      <w:numFmt w:val="lowerLetter"/>
      <w:lvlText w:val="%2"/>
      <w:lvlJc w:val="left"/>
      <w:pPr>
        <w:ind w:left="12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5DCC030">
      <w:start w:val="1"/>
      <w:numFmt w:val="lowerRoman"/>
      <w:lvlText w:val="%3"/>
      <w:lvlJc w:val="left"/>
      <w:pPr>
        <w:ind w:left="19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BA68ADE">
      <w:start w:val="1"/>
      <w:numFmt w:val="decimal"/>
      <w:lvlText w:val="%4"/>
      <w:lvlJc w:val="left"/>
      <w:pPr>
        <w:ind w:left="26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5189DB8">
      <w:start w:val="1"/>
      <w:numFmt w:val="lowerLetter"/>
      <w:lvlText w:val="%5"/>
      <w:lvlJc w:val="left"/>
      <w:pPr>
        <w:ind w:left="33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2D87012">
      <w:start w:val="1"/>
      <w:numFmt w:val="lowerRoman"/>
      <w:lvlText w:val="%6"/>
      <w:lvlJc w:val="left"/>
      <w:pPr>
        <w:ind w:left="40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3C8FA7E">
      <w:start w:val="1"/>
      <w:numFmt w:val="decimal"/>
      <w:lvlText w:val="%7"/>
      <w:lvlJc w:val="left"/>
      <w:pPr>
        <w:ind w:left="48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6DCFAE0">
      <w:start w:val="1"/>
      <w:numFmt w:val="lowerLetter"/>
      <w:lvlText w:val="%8"/>
      <w:lvlJc w:val="left"/>
      <w:pPr>
        <w:ind w:left="55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452EE80">
      <w:start w:val="1"/>
      <w:numFmt w:val="lowerRoman"/>
      <w:lvlText w:val="%9"/>
      <w:lvlJc w:val="left"/>
      <w:pPr>
        <w:ind w:left="62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8" w15:restartNumberingAfterBreak="0">
    <w:nsid w:val="536353D8"/>
    <w:multiLevelType w:val="hybridMultilevel"/>
    <w:tmpl w:val="97A40062"/>
    <w:lvl w:ilvl="0" w:tplc="2A1E4116">
      <w:start w:val="1"/>
      <w:numFmt w:val="decimal"/>
      <w:lvlText w:val="%1."/>
      <w:lvlJc w:val="left"/>
      <w:pPr>
        <w:ind w:left="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7B6257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55E62C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D7C95E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25A446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176D9C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42E3BA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D6E45D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700695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9" w15:restartNumberingAfterBreak="0">
    <w:nsid w:val="53A76C8A"/>
    <w:multiLevelType w:val="hybridMultilevel"/>
    <w:tmpl w:val="5CE093BA"/>
    <w:lvl w:ilvl="0" w:tplc="D998595A">
      <w:start w:val="6"/>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E6AC76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1A62FE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DE0343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B48367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AAE478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476631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2EED9B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48C001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0" w15:restartNumberingAfterBreak="0">
    <w:nsid w:val="564C747F"/>
    <w:multiLevelType w:val="hybridMultilevel"/>
    <w:tmpl w:val="D9C87044"/>
    <w:lvl w:ilvl="0" w:tplc="59301E08">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FE88C0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AF66DB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DD09AC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80AEA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C1A2A0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9B625B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CD857D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37621C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1" w15:restartNumberingAfterBreak="0">
    <w:nsid w:val="564D06AF"/>
    <w:multiLevelType w:val="hybridMultilevel"/>
    <w:tmpl w:val="11A064C2"/>
    <w:lvl w:ilvl="0" w:tplc="E6BE99F2">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428D5F2">
      <w:start w:val="1"/>
      <w:numFmt w:val="lowerLetter"/>
      <w:lvlText w:val="%2"/>
      <w:lvlJc w:val="left"/>
      <w:pPr>
        <w:ind w:left="1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FAA2D18">
      <w:start w:val="1"/>
      <w:numFmt w:val="lowerRoman"/>
      <w:lvlText w:val="%3"/>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FFE1866">
      <w:start w:val="1"/>
      <w:numFmt w:val="decimal"/>
      <w:lvlText w:val="%4"/>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4D20E76">
      <w:start w:val="1"/>
      <w:numFmt w:val="lowerLetter"/>
      <w:lvlText w:val="%5"/>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96A5510">
      <w:start w:val="1"/>
      <w:numFmt w:val="lowerRoman"/>
      <w:lvlText w:val="%6"/>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7F6DBBE">
      <w:start w:val="1"/>
      <w:numFmt w:val="decimal"/>
      <w:lvlText w:val="%7"/>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B826CB6">
      <w:start w:val="1"/>
      <w:numFmt w:val="lowerLetter"/>
      <w:lvlText w:val="%8"/>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020F1C0">
      <w:start w:val="1"/>
      <w:numFmt w:val="lowerRoman"/>
      <w:lvlText w:val="%9"/>
      <w:lvlJc w:val="left"/>
      <w:pPr>
        <w:ind w:left="6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2" w15:restartNumberingAfterBreak="0">
    <w:nsid w:val="56874CC4"/>
    <w:multiLevelType w:val="hybridMultilevel"/>
    <w:tmpl w:val="8BCED572"/>
    <w:lvl w:ilvl="0" w:tplc="2ECCD18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DC2418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BEEA66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72E36C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3E44BA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F805ED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6622AC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302B55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27AB58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3" w15:restartNumberingAfterBreak="0">
    <w:nsid w:val="573D7968"/>
    <w:multiLevelType w:val="hybridMultilevel"/>
    <w:tmpl w:val="DCB0E5E8"/>
    <w:lvl w:ilvl="0" w:tplc="7F043282">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998E05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CDAAE5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074791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06C8D5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580365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D6CC8B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550DDC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57C881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4" w15:restartNumberingAfterBreak="0">
    <w:nsid w:val="57A81E94"/>
    <w:multiLevelType w:val="hybridMultilevel"/>
    <w:tmpl w:val="AC720736"/>
    <w:lvl w:ilvl="0" w:tplc="DF8E0A54">
      <w:start w:val="3"/>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A9BC068A">
      <w:start w:val="1"/>
      <w:numFmt w:val="lowerLetter"/>
      <w:lvlText w:val="%2"/>
      <w:lvlJc w:val="left"/>
      <w:pPr>
        <w:ind w:left="11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3F2E3604">
      <w:start w:val="1"/>
      <w:numFmt w:val="lowerRoman"/>
      <w:lvlText w:val="%3"/>
      <w:lvlJc w:val="left"/>
      <w:pPr>
        <w:ind w:left="19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8FE02D30">
      <w:start w:val="1"/>
      <w:numFmt w:val="decimal"/>
      <w:lvlText w:val="%4"/>
      <w:lvlJc w:val="left"/>
      <w:pPr>
        <w:ind w:left="26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0282988E">
      <w:start w:val="1"/>
      <w:numFmt w:val="lowerLetter"/>
      <w:lvlText w:val="%5"/>
      <w:lvlJc w:val="left"/>
      <w:pPr>
        <w:ind w:left="33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0F22FFE0">
      <w:start w:val="1"/>
      <w:numFmt w:val="lowerRoman"/>
      <w:lvlText w:val="%6"/>
      <w:lvlJc w:val="left"/>
      <w:pPr>
        <w:ind w:left="407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00B0A204">
      <w:start w:val="1"/>
      <w:numFmt w:val="decimal"/>
      <w:lvlText w:val="%7"/>
      <w:lvlJc w:val="left"/>
      <w:pPr>
        <w:ind w:left="47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138E8D26">
      <w:start w:val="1"/>
      <w:numFmt w:val="lowerLetter"/>
      <w:lvlText w:val="%8"/>
      <w:lvlJc w:val="left"/>
      <w:pPr>
        <w:ind w:left="55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86E22CC4">
      <w:start w:val="1"/>
      <w:numFmt w:val="lowerRoman"/>
      <w:lvlText w:val="%9"/>
      <w:lvlJc w:val="left"/>
      <w:pPr>
        <w:ind w:left="62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55" w15:restartNumberingAfterBreak="0">
    <w:nsid w:val="59B07872"/>
    <w:multiLevelType w:val="hybridMultilevel"/>
    <w:tmpl w:val="E66EC102"/>
    <w:lvl w:ilvl="0" w:tplc="1FEAD16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E24417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E24366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7F8A5B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274AB1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68AA63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43EFD0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4F2DA4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70A610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6" w15:restartNumberingAfterBreak="0">
    <w:nsid w:val="59DD29B8"/>
    <w:multiLevelType w:val="hybridMultilevel"/>
    <w:tmpl w:val="5A22538C"/>
    <w:lvl w:ilvl="0" w:tplc="8412078E">
      <w:start w:val="7"/>
      <w:numFmt w:val="decimal"/>
      <w:lvlText w:val="%1."/>
      <w:lvlJc w:val="left"/>
      <w:pPr>
        <w:ind w:left="1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984FE70">
      <w:start w:val="1"/>
      <w:numFmt w:val="lowerLetter"/>
      <w:lvlText w:val="%2"/>
      <w:lvlJc w:val="left"/>
      <w:pPr>
        <w:ind w:left="12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3D29AF2">
      <w:start w:val="1"/>
      <w:numFmt w:val="lowerRoman"/>
      <w:lvlText w:val="%3"/>
      <w:lvlJc w:val="left"/>
      <w:pPr>
        <w:ind w:left="19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78E9AC6">
      <w:start w:val="1"/>
      <w:numFmt w:val="decimal"/>
      <w:lvlText w:val="%4"/>
      <w:lvlJc w:val="left"/>
      <w:pPr>
        <w:ind w:left="26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2EA1BDA">
      <w:start w:val="1"/>
      <w:numFmt w:val="lowerLetter"/>
      <w:lvlText w:val="%5"/>
      <w:lvlJc w:val="left"/>
      <w:pPr>
        <w:ind w:left="33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1ECCF6C">
      <w:start w:val="1"/>
      <w:numFmt w:val="lowerRoman"/>
      <w:lvlText w:val="%6"/>
      <w:lvlJc w:val="left"/>
      <w:pPr>
        <w:ind w:left="40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B442776">
      <w:start w:val="1"/>
      <w:numFmt w:val="decimal"/>
      <w:lvlText w:val="%7"/>
      <w:lvlJc w:val="left"/>
      <w:pPr>
        <w:ind w:left="48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4686E4C">
      <w:start w:val="1"/>
      <w:numFmt w:val="lowerLetter"/>
      <w:lvlText w:val="%8"/>
      <w:lvlJc w:val="left"/>
      <w:pPr>
        <w:ind w:left="55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F9AB692">
      <w:start w:val="1"/>
      <w:numFmt w:val="lowerRoman"/>
      <w:lvlText w:val="%9"/>
      <w:lvlJc w:val="left"/>
      <w:pPr>
        <w:ind w:left="62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7" w15:restartNumberingAfterBreak="0">
    <w:nsid w:val="5A065E0C"/>
    <w:multiLevelType w:val="hybridMultilevel"/>
    <w:tmpl w:val="684C9A1E"/>
    <w:lvl w:ilvl="0" w:tplc="E2522736">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81A72B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C6C7E0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FB0ED7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A82B46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620643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4B4BD1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B8430E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1002EF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8" w15:restartNumberingAfterBreak="0">
    <w:nsid w:val="5AC90B5C"/>
    <w:multiLevelType w:val="hybridMultilevel"/>
    <w:tmpl w:val="FD6A5AFC"/>
    <w:lvl w:ilvl="0" w:tplc="D8C0BDA8">
      <w:start w:val="1"/>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5B44D428">
      <w:start w:val="1"/>
      <w:numFmt w:val="lowerLetter"/>
      <w:lvlText w:val="%2"/>
      <w:lvlJc w:val="left"/>
      <w:pPr>
        <w:ind w:left="12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7C6E0098">
      <w:start w:val="1"/>
      <w:numFmt w:val="lowerRoman"/>
      <w:lvlText w:val="%3"/>
      <w:lvlJc w:val="left"/>
      <w:pPr>
        <w:ind w:left="19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31665E94">
      <w:start w:val="1"/>
      <w:numFmt w:val="decimal"/>
      <w:lvlText w:val="%4"/>
      <w:lvlJc w:val="left"/>
      <w:pPr>
        <w:ind w:left="26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E6F62BC4">
      <w:start w:val="1"/>
      <w:numFmt w:val="lowerLetter"/>
      <w:lvlText w:val="%5"/>
      <w:lvlJc w:val="left"/>
      <w:pPr>
        <w:ind w:left="337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869C8D14">
      <w:start w:val="1"/>
      <w:numFmt w:val="lowerRoman"/>
      <w:lvlText w:val="%6"/>
      <w:lvlJc w:val="left"/>
      <w:pPr>
        <w:ind w:left="40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B18A7584">
      <w:start w:val="1"/>
      <w:numFmt w:val="decimal"/>
      <w:lvlText w:val="%7"/>
      <w:lvlJc w:val="left"/>
      <w:pPr>
        <w:ind w:left="48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C964A042">
      <w:start w:val="1"/>
      <w:numFmt w:val="lowerLetter"/>
      <w:lvlText w:val="%8"/>
      <w:lvlJc w:val="left"/>
      <w:pPr>
        <w:ind w:left="55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9302167E">
      <w:start w:val="1"/>
      <w:numFmt w:val="lowerRoman"/>
      <w:lvlText w:val="%9"/>
      <w:lvlJc w:val="left"/>
      <w:pPr>
        <w:ind w:left="62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59" w15:restartNumberingAfterBreak="0">
    <w:nsid w:val="5B4F3480"/>
    <w:multiLevelType w:val="hybridMultilevel"/>
    <w:tmpl w:val="A6C8BA14"/>
    <w:lvl w:ilvl="0" w:tplc="3BBA9A62">
      <w:start w:val="1"/>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1CC2B91C">
      <w:start w:val="1"/>
      <w:numFmt w:val="lowerLetter"/>
      <w:lvlText w:val="%2"/>
      <w:lvlJc w:val="left"/>
      <w:pPr>
        <w:ind w:left="12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103C3B32">
      <w:start w:val="1"/>
      <w:numFmt w:val="lowerRoman"/>
      <w:lvlText w:val="%3"/>
      <w:lvlJc w:val="left"/>
      <w:pPr>
        <w:ind w:left="19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5120B0CC">
      <w:start w:val="1"/>
      <w:numFmt w:val="decimal"/>
      <w:lvlText w:val="%4"/>
      <w:lvlJc w:val="left"/>
      <w:pPr>
        <w:ind w:left="26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2DE4FAFE">
      <w:start w:val="1"/>
      <w:numFmt w:val="lowerLetter"/>
      <w:lvlText w:val="%5"/>
      <w:lvlJc w:val="left"/>
      <w:pPr>
        <w:ind w:left="337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76DE9410">
      <w:start w:val="1"/>
      <w:numFmt w:val="lowerRoman"/>
      <w:lvlText w:val="%6"/>
      <w:lvlJc w:val="left"/>
      <w:pPr>
        <w:ind w:left="40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A24E28FE">
      <w:start w:val="1"/>
      <w:numFmt w:val="decimal"/>
      <w:lvlText w:val="%7"/>
      <w:lvlJc w:val="left"/>
      <w:pPr>
        <w:ind w:left="48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EB56FBFA">
      <w:start w:val="1"/>
      <w:numFmt w:val="lowerLetter"/>
      <w:lvlText w:val="%8"/>
      <w:lvlJc w:val="left"/>
      <w:pPr>
        <w:ind w:left="55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63180174">
      <w:start w:val="1"/>
      <w:numFmt w:val="lowerRoman"/>
      <w:lvlText w:val="%9"/>
      <w:lvlJc w:val="left"/>
      <w:pPr>
        <w:ind w:left="62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60" w15:restartNumberingAfterBreak="0">
    <w:nsid w:val="5BD66453"/>
    <w:multiLevelType w:val="hybridMultilevel"/>
    <w:tmpl w:val="291096DC"/>
    <w:lvl w:ilvl="0" w:tplc="1BBA0D44">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CB0263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B0ACD1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FEC557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354F0B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2A9CD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E18A95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FA8829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F02592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1" w15:restartNumberingAfterBreak="0">
    <w:nsid w:val="5C6C6EA6"/>
    <w:multiLevelType w:val="hybridMultilevel"/>
    <w:tmpl w:val="4F909C4E"/>
    <w:lvl w:ilvl="0" w:tplc="FBF23B12">
      <w:start w:val="4"/>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864E9C0">
      <w:start w:val="1"/>
      <w:numFmt w:val="lowerLetter"/>
      <w:lvlText w:val="%2"/>
      <w:lvlJc w:val="left"/>
      <w:pPr>
        <w:ind w:left="1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696970C">
      <w:start w:val="1"/>
      <w:numFmt w:val="lowerRoman"/>
      <w:lvlText w:val="%3"/>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4C41D2E">
      <w:start w:val="1"/>
      <w:numFmt w:val="decimal"/>
      <w:lvlText w:val="%4"/>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1AE3930">
      <w:start w:val="1"/>
      <w:numFmt w:val="lowerLetter"/>
      <w:lvlText w:val="%5"/>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AB6AA10">
      <w:start w:val="1"/>
      <w:numFmt w:val="lowerRoman"/>
      <w:lvlText w:val="%6"/>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30A70C4">
      <w:start w:val="1"/>
      <w:numFmt w:val="decimal"/>
      <w:lvlText w:val="%7"/>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1B08E16">
      <w:start w:val="1"/>
      <w:numFmt w:val="lowerLetter"/>
      <w:lvlText w:val="%8"/>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0FC338C">
      <w:start w:val="1"/>
      <w:numFmt w:val="lowerRoman"/>
      <w:lvlText w:val="%9"/>
      <w:lvlJc w:val="left"/>
      <w:pPr>
        <w:ind w:left="6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2" w15:restartNumberingAfterBreak="0">
    <w:nsid w:val="5C8E01BF"/>
    <w:multiLevelType w:val="hybridMultilevel"/>
    <w:tmpl w:val="54EE87C6"/>
    <w:lvl w:ilvl="0" w:tplc="4CBC40AC">
      <w:start w:val="2"/>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A4AE0B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A5402B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640DC1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E88DD7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EB8C12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92AB06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3BEA54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55C8D4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3" w15:restartNumberingAfterBreak="0">
    <w:nsid w:val="5D4E4F2C"/>
    <w:multiLevelType w:val="hybridMultilevel"/>
    <w:tmpl w:val="481E1BD0"/>
    <w:lvl w:ilvl="0" w:tplc="7B2A8B3A">
      <w:start w:val="8"/>
      <w:numFmt w:val="lowerLetter"/>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DEA1E4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668D40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2D8DAC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1A441F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5D8BD3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DB269E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1C89B1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640EBE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4" w15:restartNumberingAfterBreak="0">
    <w:nsid w:val="60776E99"/>
    <w:multiLevelType w:val="hybridMultilevel"/>
    <w:tmpl w:val="720A8C00"/>
    <w:lvl w:ilvl="0" w:tplc="49C4685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898994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5CC48B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3E46D8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AE426F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294899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29C591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D745F0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4A6398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5" w15:restartNumberingAfterBreak="0">
    <w:nsid w:val="60B6725D"/>
    <w:multiLevelType w:val="hybridMultilevel"/>
    <w:tmpl w:val="6C3492A2"/>
    <w:lvl w:ilvl="0" w:tplc="FA8A4824">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7F0D66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63865A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C96EFD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93E455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06CFA7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FD212C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DD6B1C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8DAD15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6" w15:restartNumberingAfterBreak="0">
    <w:nsid w:val="60DE790C"/>
    <w:multiLevelType w:val="hybridMultilevel"/>
    <w:tmpl w:val="05E43EBA"/>
    <w:lvl w:ilvl="0" w:tplc="F27653B2">
      <w:start w:val="5"/>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0E4F17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64E1D4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7B6699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440E01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D4A4CC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6F4697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5D6B13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CB623D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7" w15:restartNumberingAfterBreak="0">
    <w:nsid w:val="61A667F4"/>
    <w:multiLevelType w:val="hybridMultilevel"/>
    <w:tmpl w:val="B232AAC4"/>
    <w:lvl w:ilvl="0" w:tplc="8EA8363C">
      <w:start w:val="1"/>
      <w:numFmt w:val="lowerLetter"/>
      <w:lvlText w:val="%1)"/>
      <w:lvlJc w:val="left"/>
      <w:pPr>
        <w:ind w:left="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354C86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84E7F8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E6A77D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AFA8A8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0C20E3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3035F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62AE3D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E82209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8" w15:restartNumberingAfterBreak="0">
    <w:nsid w:val="62400FF5"/>
    <w:multiLevelType w:val="hybridMultilevel"/>
    <w:tmpl w:val="A3104132"/>
    <w:lvl w:ilvl="0" w:tplc="A20ADE0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B168C0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43054D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CBAD9C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DCECDA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43E056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7B0EF1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EB9E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148F23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9" w15:restartNumberingAfterBreak="0">
    <w:nsid w:val="6294206A"/>
    <w:multiLevelType w:val="hybridMultilevel"/>
    <w:tmpl w:val="7E527FE0"/>
    <w:lvl w:ilvl="0" w:tplc="4DF4F296">
      <w:start w:val="1"/>
      <w:numFmt w:val="decimal"/>
      <w:lvlText w:val="%1."/>
      <w:lvlJc w:val="left"/>
      <w:pPr>
        <w:ind w:left="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0905C5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9C837E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FB25A8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472F2D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244BDF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816C13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40A00D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114571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0" w15:restartNumberingAfterBreak="0">
    <w:nsid w:val="639D3894"/>
    <w:multiLevelType w:val="hybridMultilevel"/>
    <w:tmpl w:val="70D2BA9A"/>
    <w:lvl w:ilvl="0" w:tplc="3DFEB17C">
      <w:start w:val="1"/>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573C177E">
      <w:start w:val="1"/>
      <w:numFmt w:val="lowerLetter"/>
      <w:lvlText w:val="%2"/>
      <w:lvlJc w:val="left"/>
      <w:pPr>
        <w:ind w:left="110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B198A0E2">
      <w:start w:val="1"/>
      <w:numFmt w:val="lowerRoman"/>
      <w:lvlText w:val="%3"/>
      <w:lvlJc w:val="left"/>
      <w:pPr>
        <w:ind w:left="18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9DB22BF2">
      <w:start w:val="1"/>
      <w:numFmt w:val="decimal"/>
      <w:lvlText w:val="%4"/>
      <w:lvlJc w:val="left"/>
      <w:pPr>
        <w:ind w:left="254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56B83102">
      <w:start w:val="1"/>
      <w:numFmt w:val="lowerLetter"/>
      <w:lvlText w:val="%5"/>
      <w:lvlJc w:val="left"/>
      <w:pPr>
        <w:ind w:left="326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63701F0E">
      <w:start w:val="1"/>
      <w:numFmt w:val="lowerRoman"/>
      <w:lvlText w:val="%6"/>
      <w:lvlJc w:val="left"/>
      <w:pPr>
        <w:ind w:left="398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C6D46394">
      <w:start w:val="1"/>
      <w:numFmt w:val="decimal"/>
      <w:lvlText w:val="%7"/>
      <w:lvlJc w:val="left"/>
      <w:pPr>
        <w:ind w:left="470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AF5E479C">
      <w:start w:val="1"/>
      <w:numFmt w:val="lowerLetter"/>
      <w:lvlText w:val="%8"/>
      <w:lvlJc w:val="left"/>
      <w:pPr>
        <w:ind w:left="54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93A0E58A">
      <w:start w:val="1"/>
      <w:numFmt w:val="lowerRoman"/>
      <w:lvlText w:val="%9"/>
      <w:lvlJc w:val="left"/>
      <w:pPr>
        <w:ind w:left="614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71" w15:restartNumberingAfterBreak="0">
    <w:nsid w:val="63FA4C00"/>
    <w:multiLevelType w:val="hybridMultilevel"/>
    <w:tmpl w:val="C3041790"/>
    <w:lvl w:ilvl="0" w:tplc="66D0D8B6">
      <w:start w:val="2"/>
      <w:numFmt w:val="lowerLetter"/>
      <w:lvlText w:val="%1)"/>
      <w:lvlJc w:val="left"/>
      <w:pPr>
        <w:ind w:left="2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95229B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F66A33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00E535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83A853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F4C8FA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22AD81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07C227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22CE8C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2" w15:restartNumberingAfterBreak="0">
    <w:nsid w:val="64804E44"/>
    <w:multiLevelType w:val="hybridMultilevel"/>
    <w:tmpl w:val="B0F8BAA8"/>
    <w:lvl w:ilvl="0" w:tplc="6BDAF462">
      <w:start w:val="5"/>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702B50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94C8BE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32EF41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DBCC02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2FA284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58CCD4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67CD78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656102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3" w15:restartNumberingAfterBreak="0">
    <w:nsid w:val="662F66BE"/>
    <w:multiLevelType w:val="hybridMultilevel"/>
    <w:tmpl w:val="B7421794"/>
    <w:lvl w:ilvl="0" w:tplc="C778DE02">
      <w:start w:val="1"/>
      <w:numFmt w:val="lowerLetter"/>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D6E81A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D5258E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33CAA7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FC8F80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4D2FD8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65212C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B66A00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10CA58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4" w15:restartNumberingAfterBreak="0">
    <w:nsid w:val="664404E4"/>
    <w:multiLevelType w:val="hybridMultilevel"/>
    <w:tmpl w:val="8AD0DE06"/>
    <w:lvl w:ilvl="0" w:tplc="124A1FF4">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DD22F3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C246A6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C5ACA8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308EBD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628451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3B207E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D64239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444D5D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5" w15:restartNumberingAfterBreak="0">
    <w:nsid w:val="669646B6"/>
    <w:multiLevelType w:val="hybridMultilevel"/>
    <w:tmpl w:val="F442514C"/>
    <w:lvl w:ilvl="0" w:tplc="6ACA3D42">
      <w:start w:val="1"/>
      <w:numFmt w:val="lowerLetter"/>
      <w:lvlText w:val="%1)"/>
      <w:lvlJc w:val="left"/>
      <w:pPr>
        <w:ind w:left="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D76336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71EBC7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86EFFE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E683DE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866ACA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FEA6D7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ED4C10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942EC6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6" w15:restartNumberingAfterBreak="0">
    <w:nsid w:val="67242A74"/>
    <w:multiLevelType w:val="hybridMultilevel"/>
    <w:tmpl w:val="E19465A0"/>
    <w:lvl w:ilvl="0" w:tplc="22B4D882">
      <w:start w:val="2"/>
      <w:numFmt w:val="lowerLetter"/>
      <w:lvlText w:val="%1)"/>
      <w:lvlJc w:val="left"/>
      <w:pPr>
        <w:ind w:left="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100CD72">
      <w:start w:val="1"/>
      <w:numFmt w:val="lowerLetter"/>
      <w:lvlText w:val="%2"/>
      <w:lvlJc w:val="left"/>
      <w:pPr>
        <w:ind w:left="1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BE2D80E">
      <w:start w:val="1"/>
      <w:numFmt w:val="lowerRoman"/>
      <w:lvlText w:val="%3"/>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1ACB250">
      <w:start w:val="1"/>
      <w:numFmt w:val="decimal"/>
      <w:lvlText w:val="%4"/>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BFE3706">
      <w:start w:val="1"/>
      <w:numFmt w:val="lowerLetter"/>
      <w:lvlText w:val="%5"/>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C4E74C2">
      <w:start w:val="1"/>
      <w:numFmt w:val="lowerRoman"/>
      <w:lvlText w:val="%6"/>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32E5988">
      <w:start w:val="1"/>
      <w:numFmt w:val="decimal"/>
      <w:lvlText w:val="%7"/>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5C8B3C0">
      <w:start w:val="1"/>
      <w:numFmt w:val="lowerLetter"/>
      <w:lvlText w:val="%8"/>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DA66352">
      <w:start w:val="1"/>
      <w:numFmt w:val="lowerRoman"/>
      <w:lvlText w:val="%9"/>
      <w:lvlJc w:val="left"/>
      <w:pPr>
        <w:ind w:left="6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7" w15:restartNumberingAfterBreak="0">
    <w:nsid w:val="675157A2"/>
    <w:multiLevelType w:val="hybridMultilevel"/>
    <w:tmpl w:val="336C2C16"/>
    <w:lvl w:ilvl="0" w:tplc="C7FCB42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CBEA84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8F48E8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B24C13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B58CF4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78E728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5447F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C282ED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212208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8" w15:restartNumberingAfterBreak="0">
    <w:nsid w:val="677843DC"/>
    <w:multiLevelType w:val="hybridMultilevel"/>
    <w:tmpl w:val="46B88836"/>
    <w:lvl w:ilvl="0" w:tplc="EA74205C">
      <w:start w:val="2"/>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C78FE3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0A1BE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45C7AE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1D2159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43E233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276510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9C296C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C44A97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9" w15:restartNumberingAfterBreak="0">
    <w:nsid w:val="67E04042"/>
    <w:multiLevelType w:val="hybridMultilevel"/>
    <w:tmpl w:val="E696AC78"/>
    <w:lvl w:ilvl="0" w:tplc="F67A4246">
      <w:start w:val="2"/>
      <w:numFmt w:val="decimal"/>
      <w:lvlText w:val="%1."/>
      <w:lvlJc w:val="left"/>
      <w:pPr>
        <w:ind w:left="1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9880BDE">
      <w:start w:val="1"/>
      <w:numFmt w:val="lowerLetter"/>
      <w:lvlText w:val="%2"/>
      <w:lvlJc w:val="left"/>
      <w:pPr>
        <w:ind w:left="1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B220FAC">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884AB7C">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576549C">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8445A4C">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756AAAA">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21A7DB4">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E04BA4A">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0" w15:restartNumberingAfterBreak="0">
    <w:nsid w:val="67F3268A"/>
    <w:multiLevelType w:val="hybridMultilevel"/>
    <w:tmpl w:val="5A8E866E"/>
    <w:lvl w:ilvl="0" w:tplc="CDEA0FF2">
      <w:start w:val="1"/>
      <w:numFmt w:val="decimal"/>
      <w:lvlText w:val="%1."/>
      <w:lvlJc w:val="left"/>
      <w:pPr>
        <w:ind w:left="3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079E9080">
      <w:start w:val="1"/>
      <w:numFmt w:val="lowerLetter"/>
      <w:lvlText w:val="%2"/>
      <w:lvlJc w:val="left"/>
      <w:pPr>
        <w:ind w:left="11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1AEE97EE">
      <w:start w:val="1"/>
      <w:numFmt w:val="lowerRoman"/>
      <w:lvlText w:val="%3"/>
      <w:lvlJc w:val="left"/>
      <w:pPr>
        <w:ind w:left="19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18D4C864">
      <w:start w:val="1"/>
      <w:numFmt w:val="decimal"/>
      <w:lvlText w:val="%4"/>
      <w:lvlJc w:val="left"/>
      <w:pPr>
        <w:ind w:left="26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36A81674">
      <w:start w:val="1"/>
      <w:numFmt w:val="lowerLetter"/>
      <w:lvlText w:val="%5"/>
      <w:lvlJc w:val="left"/>
      <w:pPr>
        <w:ind w:left="33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BD40B904">
      <w:start w:val="1"/>
      <w:numFmt w:val="lowerRoman"/>
      <w:lvlText w:val="%6"/>
      <w:lvlJc w:val="left"/>
      <w:pPr>
        <w:ind w:left="407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8864DBF2">
      <w:start w:val="1"/>
      <w:numFmt w:val="decimal"/>
      <w:lvlText w:val="%7"/>
      <w:lvlJc w:val="left"/>
      <w:pPr>
        <w:ind w:left="47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66740178">
      <w:start w:val="1"/>
      <w:numFmt w:val="lowerLetter"/>
      <w:lvlText w:val="%8"/>
      <w:lvlJc w:val="left"/>
      <w:pPr>
        <w:ind w:left="55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C116149E">
      <w:start w:val="1"/>
      <w:numFmt w:val="lowerRoman"/>
      <w:lvlText w:val="%9"/>
      <w:lvlJc w:val="left"/>
      <w:pPr>
        <w:ind w:left="62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81" w15:restartNumberingAfterBreak="0">
    <w:nsid w:val="6889144E"/>
    <w:multiLevelType w:val="hybridMultilevel"/>
    <w:tmpl w:val="37005746"/>
    <w:lvl w:ilvl="0" w:tplc="7A14BAC4">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4A0350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770048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BD250D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6FCC35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2F8A9D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F1630F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0042A0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204515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2" w15:restartNumberingAfterBreak="0">
    <w:nsid w:val="68961359"/>
    <w:multiLevelType w:val="hybridMultilevel"/>
    <w:tmpl w:val="DF1E1E76"/>
    <w:lvl w:ilvl="0" w:tplc="02CC997C">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03A7D76">
      <w:start w:val="1"/>
      <w:numFmt w:val="lowerLetter"/>
      <w:lvlText w:val="%2"/>
      <w:lvlJc w:val="left"/>
      <w:pPr>
        <w:ind w:left="1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842E288">
      <w:start w:val="1"/>
      <w:numFmt w:val="lowerRoman"/>
      <w:lvlText w:val="%3"/>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4C2EBEA">
      <w:start w:val="1"/>
      <w:numFmt w:val="decimal"/>
      <w:lvlText w:val="%4"/>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6B0A91C">
      <w:start w:val="1"/>
      <w:numFmt w:val="lowerLetter"/>
      <w:lvlText w:val="%5"/>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E0CEC5A">
      <w:start w:val="1"/>
      <w:numFmt w:val="lowerRoman"/>
      <w:lvlText w:val="%6"/>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B76C8EC">
      <w:start w:val="1"/>
      <w:numFmt w:val="decimal"/>
      <w:lvlText w:val="%7"/>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BB83E1C">
      <w:start w:val="1"/>
      <w:numFmt w:val="lowerLetter"/>
      <w:lvlText w:val="%8"/>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3A2835C">
      <w:start w:val="1"/>
      <w:numFmt w:val="lowerRoman"/>
      <w:lvlText w:val="%9"/>
      <w:lvlJc w:val="left"/>
      <w:pPr>
        <w:ind w:left="6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3" w15:restartNumberingAfterBreak="0">
    <w:nsid w:val="68CD3CF3"/>
    <w:multiLevelType w:val="hybridMultilevel"/>
    <w:tmpl w:val="02C21E20"/>
    <w:lvl w:ilvl="0" w:tplc="0666B204">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FCEECF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A780E7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D6ED7B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F02D7D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0662CA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11C2CC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F42030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9FC346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4" w15:restartNumberingAfterBreak="0">
    <w:nsid w:val="6A6439F8"/>
    <w:multiLevelType w:val="hybridMultilevel"/>
    <w:tmpl w:val="31C6C244"/>
    <w:lvl w:ilvl="0" w:tplc="3E8CF87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A4A035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9E6517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05CEC3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1349D2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008EC5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C5083C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3C4DEE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C921C7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5" w15:restartNumberingAfterBreak="0">
    <w:nsid w:val="6AC27265"/>
    <w:multiLevelType w:val="hybridMultilevel"/>
    <w:tmpl w:val="ABDCBC06"/>
    <w:lvl w:ilvl="0" w:tplc="BA9434C6">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12CF8F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78A2ED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6C2517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BEC7E4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AA22B8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C8CCAE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586572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A6E6F8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6" w15:restartNumberingAfterBreak="0">
    <w:nsid w:val="6CE14A6A"/>
    <w:multiLevelType w:val="hybridMultilevel"/>
    <w:tmpl w:val="1628542E"/>
    <w:lvl w:ilvl="0" w:tplc="EEEC7DD0">
      <w:start w:val="12"/>
      <w:numFmt w:val="lowerLetter"/>
      <w:lvlText w:val="%1)"/>
      <w:lvlJc w:val="left"/>
      <w:pPr>
        <w:ind w:left="2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F8CCD3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3E206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CF4294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1A4615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9D0C82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682F4D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3846F3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CC07BB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7" w15:restartNumberingAfterBreak="0">
    <w:nsid w:val="6D4E1669"/>
    <w:multiLevelType w:val="hybridMultilevel"/>
    <w:tmpl w:val="DE1C92DC"/>
    <w:lvl w:ilvl="0" w:tplc="87E60B22">
      <w:start w:val="2"/>
      <w:numFmt w:val="upperLetter"/>
      <w:lvlText w:val="%1"/>
      <w:lvlJc w:val="left"/>
      <w:pPr>
        <w:ind w:left="17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5B5E88AE">
      <w:start w:val="1"/>
      <w:numFmt w:val="lowerLetter"/>
      <w:lvlText w:val="%2"/>
      <w:lvlJc w:val="left"/>
      <w:pPr>
        <w:ind w:left="124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185AB80E">
      <w:start w:val="1"/>
      <w:numFmt w:val="lowerRoman"/>
      <w:lvlText w:val="%3"/>
      <w:lvlJc w:val="left"/>
      <w:pPr>
        <w:ind w:left="196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84FA019C">
      <w:start w:val="1"/>
      <w:numFmt w:val="decimal"/>
      <w:lvlText w:val="%4"/>
      <w:lvlJc w:val="left"/>
      <w:pPr>
        <w:ind w:left="268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FC84F362">
      <w:start w:val="1"/>
      <w:numFmt w:val="lowerLetter"/>
      <w:lvlText w:val="%5"/>
      <w:lvlJc w:val="left"/>
      <w:pPr>
        <w:ind w:left="340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BAFA9C04">
      <w:start w:val="1"/>
      <w:numFmt w:val="lowerRoman"/>
      <w:lvlText w:val="%6"/>
      <w:lvlJc w:val="left"/>
      <w:pPr>
        <w:ind w:left="412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1FEB550">
      <w:start w:val="1"/>
      <w:numFmt w:val="decimal"/>
      <w:lvlText w:val="%7"/>
      <w:lvlJc w:val="left"/>
      <w:pPr>
        <w:ind w:left="484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33220BBA">
      <w:start w:val="1"/>
      <w:numFmt w:val="lowerLetter"/>
      <w:lvlText w:val="%8"/>
      <w:lvlJc w:val="left"/>
      <w:pPr>
        <w:ind w:left="556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277285F0">
      <w:start w:val="1"/>
      <w:numFmt w:val="lowerRoman"/>
      <w:lvlText w:val="%9"/>
      <w:lvlJc w:val="left"/>
      <w:pPr>
        <w:ind w:left="628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188" w15:restartNumberingAfterBreak="0">
    <w:nsid w:val="6D900F58"/>
    <w:multiLevelType w:val="hybridMultilevel"/>
    <w:tmpl w:val="C0E0FAD4"/>
    <w:lvl w:ilvl="0" w:tplc="2ECA68B4">
      <w:start w:val="1"/>
      <w:numFmt w:val="decimal"/>
      <w:lvlText w:val="%1)"/>
      <w:lvlJc w:val="left"/>
      <w:pPr>
        <w:ind w:left="322"/>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2F4E0E56">
      <w:start w:val="1"/>
      <w:numFmt w:val="lowerLetter"/>
      <w:lvlText w:val="%2"/>
      <w:lvlJc w:val="left"/>
      <w:pPr>
        <w:ind w:left="1142"/>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56404110">
      <w:start w:val="1"/>
      <w:numFmt w:val="lowerRoman"/>
      <w:lvlText w:val="%3"/>
      <w:lvlJc w:val="left"/>
      <w:pPr>
        <w:ind w:left="1862"/>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64DCDABC">
      <w:start w:val="1"/>
      <w:numFmt w:val="decimal"/>
      <w:lvlText w:val="%4"/>
      <w:lvlJc w:val="left"/>
      <w:pPr>
        <w:ind w:left="2582"/>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F5B6DCDE">
      <w:start w:val="1"/>
      <w:numFmt w:val="lowerLetter"/>
      <w:lvlText w:val="%5"/>
      <w:lvlJc w:val="left"/>
      <w:pPr>
        <w:ind w:left="3302"/>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E0A6EA42">
      <w:start w:val="1"/>
      <w:numFmt w:val="lowerRoman"/>
      <w:lvlText w:val="%6"/>
      <w:lvlJc w:val="left"/>
      <w:pPr>
        <w:ind w:left="4022"/>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A6520508">
      <w:start w:val="1"/>
      <w:numFmt w:val="decimal"/>
      <w:lvlText w:val="%7"/>
      <w:lvlJc w:val="left"/>
      <w:pPr>
        <w:ind w:left="4742"/>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57968E86">
      <w:start w:val="1"/>
      <w:numFmt w:val="lowerLetter"/>
      <w:lvlText w:val="%8"/>
      <w:lvlJc w:val="left"/>
      <w:pPr>
        <w:ind w:left="5462"/>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363C1920">
      <w:start w:val="1"/>
      <w:numFmt w:val="lowerRoman"/>
      <w:lvlText w:val="%9"/>
      <w:lvlJc w:val="left"/>
      <w:pPr>
        <w:ind w:left="6182"/>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89" w15:restartNumberingAfterBreak="0">
    <w:nsid w:val="6E4B09D5"/>
    <w:multiLevelType w:val="hybridMultilevel"/>
    <w:tmpl w:val="C37E2F4C"/>
    <w:lvl w:ilvl="0" w:tplc="D714D4E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FECFCE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1284C0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A182D1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BD016B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AAED87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55EC13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B94503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9BEF0D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0" w15:restartNumberingAfterBreak="0">
    <w:nsid w:val="6F3A51ED"/>
    <w:multiLevelType w:val="hybridMultilevel"/>
    <w:tmpl w:val="612E75FC"/>
    <w:lvl w:ilvl="0" w:tplc="E408A284">
      <w:start w:val="1"/>
      <w:numFmt w:val="lowerLetter"/>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1CEFED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5A665C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9B284E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B8448B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B5C0F7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880F50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5E8411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6DCDEC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1" w15:restartNumberingAfterBreak="0">
    <w:nsid w:val="6F8C122E"/>
    <w:multiLevelType w:val="hybridMultilevel"/>
    <w:tmpl w:val="69E877F6"/>
    <w:lvl w:ilvl="0" w:tplc="8B12B764">
      <w:start w:val="1"/>
      <w:numFmt w:val="decimal"/>
      <w:lvlText w:val="%1."/>
      <w:lvlJc w:val="left"/>
      <w:pPr>
        <w:ind w:left="1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246528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DCE065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2E27B7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668D25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C30508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9A048D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618646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E26EC8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2" w15:restartNumberingAfterBreak="0">
    <w:nsid w:val="6F9567DE"/>
    <w:multiLevelType w:val="hybridMultilevel"/>
    <w:tmpl w:val="EAF67816"/>
    <w:lvl w:ilvl="0" w:tplc="56FA419A">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256736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25E78B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726283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8F0CEE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898A7F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0AC6D3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D2224E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932AF1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3" w15:restartNumberingAfterBreak="0">
    <w:nsid w:val="6FC9493C"/>
    <w:multiLevelType w:val="hybridMultilevel"/>
    <w:tmpl w:val="99F618AE"/>
    <w:lvl w:ilvl="0" w:tplc="2612C53A">
      <w:start w:val="1"/>
      <w:numFmt w:val="decimal"/>
      <w:lvlText w:val="%1."/>
      <w:lvlJc w:val="left"/>
      <w:pPr>
        <w:ind w:left="1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9749D9C">
      <w:start w:val="1"/>
      <w:numFmt w:val="lowerLetter"/>
      <w:lvlText w:val="%2"/>
      <w:lvlJc w:val="left"/>
      <w:pPr>
        <w:ind w:left="1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0A89578">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8B2939C">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02A8DC4">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BEA134C">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B12702E">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754016A">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B06A37E">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4" w15:restartNumberingAfterBreak="0">
    <w:nsid w:val="702920DA"/>
    <w:multiLevelType w:val="hybridMultilevel"/>
    <w:tmpl w:val="E1F616F4"/>
    <w:lvl w:ilvl="0" w:tplc="FDAA213A">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62E807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378384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0C02FE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C0667D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9CEDF0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DFCE41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778C62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458C26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5" w15:restartNumberingAfterBreak="0">
    <w:nsid w:val="702C116C"/>
    <w:multiLevelType w:val="hybridMultilevel"/>
    <w:tmpl w:val="0ACEF30C"/>
    <w:lvl w:ilvl="0" w:tplc="9736834E">
      <w:start w:val="1"/>
      <w:numFmt w:val="decimal"/>
      <w:lvlText w:val="%1."/>
      <w:lvlJc w:val="left"/>
      <w:pPr>
        <w:ind w:left="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4AA704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14C7D0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92E95E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E4E276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D824C2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502D14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7A0184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B22404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6" w15:restartNumberingAfterBreak="0">
    <w:nsid w:val="71650DFA"/>
    <w:multiLevelType w:val="hybridMultilevel"/>
    <w:tmpl w:val="E576A4E4"/>
    <w:lvl w:ilvl="0" w:tplc="5BD8CEE8">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B404FB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54A44B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27C66F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92A44E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19C2AC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B76CD9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5801DC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14CD54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7" w15:restartNumberingAfterBreak="0">
    <w:nsid w:val="720277C8"/>
    <w:multiLevelType w:val="hybridMultilevel"/>
    <w:tmpl w:val="2F1C9836"/>
    <w:lvl w:ilvl="0" w:tplc="B5B225F2">
      <w:start w:val="2"/>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FC0C2592">
      <w:start w:val="1"/>
      <w:numFmt w:val="lowerLetter"/>
      <w:lvlText w:val="%2"/>
      <w:lvlJc w:val="left"/>
      <w:pPr>
        <w:ind w:left="11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9516E5DE">
      <w:start w:val="1"/>
      <w:numFmt w:val="lowerRoman"/>
      <w:lvlText w:val="%3"/>
      <w:lvlJc w:val="left"/>
      <w:pPr>
        <w:ind w:left="19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161CB400">
      <w:start w:val="1"/>
      <w:numFmt w:val="decimal"/>
      <w:lvlText w:val="%4"/>
      <w:lvlJc w:val="left"/>
      <w:pPr>
        <w:ind w:left="26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F36C0690">
      <w:start w:val="1"/>
      <w:numFmt w:val="lowerLetter"/>
      <w:lvlText w:val="%5"/>
      <w:lvlJc w:val="left"/>
      <w:pPr>
        <w:ind w:left="33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1762724C">
      <w:start w:val="1"/>
      <w:numFmt w:val="lowerRoman"/>
      <w:lvlText w:val="%6"/>
      <w:lvlJc w:val="left"/>
      <w:pPr>
        <w:ind w:left="407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6F3E2370">
      <w:start w:val="1"/>
      <w:numFmt w:val="decimal"/>
      <w:lvlText w:val="%7"/>
      <w:lvlJc w:val="left"/>
      <w:pPr>
        <w:ind w:left="47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013A8908">
      <w:start w:val="1"/>
      <w:numFmt w:val="lowerLetter"/>
      <w:lvlText w:val="%8"/>
      <w:lvlJc w:val="left"/>
      <w:pPr>
        <w:ind w:left="55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8C367BE0">
      <w:start w:val="1"/>
      <w:numFmt w:val="lowerRoman"/>
      <w:lvlText w:val="%9"/>
      <w:lvlJc w:val="left"/>
      <w:pPr>
        <w:ind w:left="62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98" w15:restartNumberingAfterBreak="0">
    <w:nsid w:val="72515D9A"/>
    <w:multiLevelType w:val="hybridMultilevel"/>
    <w:tmpl w:val="571C2A2E"/>
    <w:lvl w:ilvl="0" w:tplc="88F47E62">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466ADB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3DE51C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580C01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424B27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82041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CBE90F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912335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172708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9" w15:restartNumberingAfterBreak="0">
    <w:nsid w:val="72AA3749"/>
    <w:multiLevelType w:val="hybridMultilevel"/>
    <w:tmpl w:val="6AB629CA"/>
    <w:lvl w:ilvl="0" w:tplc="7E282FE8">
      <w:start w:val="3"/>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D60DDA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20AB0C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6F8453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7B04CF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9964F6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704AB6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3E6A15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0F4F60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0" w15:restartNumberingAfterBreak="0">
    <w:nsid w:val="72B30493"/>
    <w:multiLevelType w:val="hybridMultilevel"/>
    <w:tmpl w:val="560C5D3A"/>
    <w:lvl w:ilvl="0" w:tplc="F33E4376">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1922790">
      <w:start w:val="1"/>
      <w:numFmt w:val="lowerLetter"/>
      <w:lvlText w:val="%2"/>
      <w:lvlJc w:val="left"/>
      <w:pPr>
        <w:ind w:left="12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7060608">
      <w:start w:val="1"/>
      <w:numFmt w:val="lowerRoman"/>
      <w:lvlText w:val="%3"/>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7887186">
      <w:start w:val="1"/>
      <w:numFmt w:val="decimal"/>
      <w:lvlText w:val="%4"/>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88C30C">
      <w:start w:val="1"/>
      <w:numFmt w:val="lowerLetter"/>
      <w:lvlText w:val="%5"/>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0627170">
      <w:start w:val="1"/>
      <w:numFmt w:val="lowerRoman"/>
      <w:lvlText w:val="%6"/>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7003946">
      <w:start w:val="1"/>
      <w:numFmt w:val="decimal"/>
      <w:lvlText w:val="%7"/>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E02108E">
      <w:start w:val="1"/>
      <w:numFmt w:val="lowerLetter"/>
      <w:lvlText w:val="%8"/>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97A8328">
      <w:start w:val="1"/>
      <w:numFmt w:val="lowerRoman"/>
      <w:lvlText w:val="%9"/>
      <w:lvlJc w:val="left"/>
      <w:pPr>
        <w:ind w:left="62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1" w15:restartNumberingAfterBreak="0">
    <w:nsid w:val="73C235ED"/>
    <w:multiLevelType w:val="hybridMultilevel"/>
    <w:tmpl w:val="EE9C5FDA"/>
    <w:lvl w:ilvl="0" w:tplc="B45CBFD2">
      <w:start w:val="2"/>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0E82A3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A50A05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3DA04D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9882ED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B32201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728177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8F855A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C62706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2" w15:restartNumberingAfterBreak="0">
    <w:nsid w:val="742E5F68"/>
    <w:multiLevelType w:val="hybridMultilevel"/>
    <w:tmpl w:val="C1FA1F00"/>
    <w:lvl w:ilvl="0" w:tplc="9B184E78">
      <w:start w:val="1"/>
      <w:numFmt w:val="decimal"/>
      <w:lvlText w:val="%1."/>
      <w:lvlJc w:val="left"/>
      <w:pPr>
        <w:ind w:left="1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E60FDB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1348FE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81EAD4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3F8653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868A6F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AA092F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CAE16C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E12DD3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3" w15:restartNumberingAfterBreak="0">
    <w:nsid w:val="74401C0F"/>
    <w:multiLevelType w:val="hybridMultilevel"/>
    <w:tmpl w:val="58BC90E4"/>
    <w:lvl w:ilvl="0" w:tplc="046E294C">
      <w:start w:val="1"/>
      <w:numFmt w:val="lowerLetter"/>
      <w:lvlText w:val="%1)"/>
      <w:lvlJc w:val="left"/>
      <w:pPr>
        <w:ind w:left="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9B8C31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26CBD9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C84CDE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1665E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990581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4F6C01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4109C9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AF248E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4" w15:restartNumberingAfterBreak="0">
    <w:nsid w:val="747E5A2E"/>
    <w:multiLevelType w:val="hybridMultilevel"/>
    <w:tmpl w:val="C70A53FC"/>
    <w:lvl w:ilvl="0" w:tplc="6E4272B8">
      <w:start w:val="2"/>
      <w:numFmt w:val="decimal"/>
      <w:lvlText w:val="%1."/>
      <w:lvlJc w:val="left"/>
      <w:pPr>
        <w:ind w:left="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87D2EC24">
      <w:start w:val="1"/>
      <w:numFmt w:val="lowerLetter"/>
      <w:lvlText w:val="%2"/>
      <w:lvlJc w:val="left"/>
      <w:pPr>
        <w:ind w:left="12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DE0AD96E">
      <w:start w:val="1"/>
      <w:numFmt w:val="lowerRoman"/>
      <w:lvlText w:val="%3"/>
      <w:lvlJc w:val="left"/>
      <w:pPr>
        <w:ind w:left="19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CC707BBE">
      <w:start w:val="1"/>
      <w:numFmt w:val="decimal"/>
      <w:lvlText w:val="%4"/>
      <w:lvlJc w:val="left"/>
      <w:pPr>
        <w:ind w:left="26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9ED85EB0">
      <w:start w:val="1"/>
      <w:numFmt w:val="lowerLetter"/>
      <w:lvlText w:val="%5"/>
      <w:lvlJc w:val="left"/>
      <w:pPr>
        <w:ind w:left="336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E954E1EC">
      <w:start w:val="1"/>
      <w:numFmt w:val="lowerRoman"/>
      <w:lvlText w:val="%6"/>
      <w:lvlJc w:val="left"/>
      <w:pPr>
        <w:ind w:left="408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CCDA41A0">
      <w:start w:val="1"/>
      <w:numFmt w:val="decimal"/>
      <w:lvlText w:val="%7"/>
      <w:lvlJc w:val="left"/>
      <w:pPr>
        <w:ind w:left="48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EA18500A">
      <w:start w:val="1"/>
      <w:numFmt w:val="lowerLetter"/>
      <w:lvlText w:val="%8"/>
      <w:lvlJc w:val="left"/>
      <w:pPr>
        <w:ind w:left="55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1812D2BE">
      <w:start w:val="1"/>
      <w:numFmt w:val="lowerRoman"/>
      <w:lvlText w:val="%9"/>
      <w:lvlJc w:val="left"/>
      <w:pPr>
        <w:ind w:left="62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205" w15:restartNumberingAfterBreak="0">
    <w:nsid w:val="75120CCB"/>
    <w:multiLevelType w:val="hybridMultilevel"/>
    <w:tmpl w:val="D2664208"/>
    <w:lvl w:ilvl="0" w:tplc="8864FDF2">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3AB66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9D0C7A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5AA4D4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7001A1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D76AA4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1B83AA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212A46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2AA69D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6" w15:restartNumberingAfterBreak="0">
    <w:nsid w:val="751327EA"/>
    <w:multiLevelType w:val="hybridMultilevel"/>
    <w:tmpl w:val="DB98F638"/>
    <w:lvl w:ilvl="0" w:tplc="55680F22">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74AB50A">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E1A382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A2812E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96E395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7DCA13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71A25D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B341BB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824961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7" w15:restartNumberingAfterBreak="0">
    <w:nsid w:val="76C2544B"/>
    <w:multiLevelType w:val="hybridMultilevel"/>
    <w:tmpl w:val="05A0343A"/>
    <w:lvl w:ilvl="0" w:tplc="FD2ACF4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C58B58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1A6F60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4280D9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492C56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19C2DA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8260A9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0F84D0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1663F5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8" w15:restartNumberingAfterBreak="0">
    <w:nsid w:val="773E5CD6"/>
    <w:multiLevelType w:val="hybridMultilevel"/>
    <w:tmpl w:val="7C2AB426"/>
    <w:lvl w:ilvl="0" w:tplc="B67417FE">
      <w:start w:val="1"/>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F122519C">
      <w:start w:val="1"/>
      <w:numFmt w:val="lowerLetter"/>
      <w:lvlText w:val="%2"/>
      <w:lvlJc w:val="left"/>
      <w:pPr>
        <w:ind w:left="110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3EBE5850">
      <w:start w:val="1"/>
      <w:numFmt w:val="lowerRoman"/>
      <w:lvlText w:val="%3"/>
      <w:lvlJc w:val="left"/>
      <w:pPr>
        <w:ind w:left="18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788AAB5C">
      <w:start w:val="1"/>
      <w:numFmt w:val="decimal"/>
      <w:lvlText w:val="%4"/>
      <w:lvlJc w:val="left"/>
      <w:pPr>
        <w:ind w:left="254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6EB223FE">
      <w:start w:val="1"/>
      <w:numFmt w:val="lowerLetter"/>
      <w:lvlText w:val="%5"/>
      <w:lvlJc w:val="left"/>
      <w:pPr>
        <w:ind w:left="326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1110FD8A">
      <w:start w:val="1"/>
      <w:numFmt w:val="lowerRoman"/>
      <w:lvlText w:val="%6"/>
      <w:lvlJc w:val="left"/>
      <w:pPr>
        <w:ind w:left="398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270E86AE">
      <w:start w:val="1"/>
      <w:numFmt w:val="decimal"/>
      <w:lvlText w:val="%7"/>
      <w:lvlJc w:val="left"/>
      <w:pPr>
        <w:ind w:left="470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2294D2CE">
      <w:start w:val="1"/>
      <w:numFmt w:val="lowerLetter"/>
      <w:lvlText w:val="%8"/>
      <w:lvlJc w:val="left"/>
      <w:pPr>
        <w:ind w:left="54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E1B69962">
      <w:start w:val="1"/>
      <w:numFmt w:val="lowerRoman"/>
      <w:lvlText w:val="%9"/>
      <w:lvlJc w:val="left"/>
      <w:pPr>
        <w:ind w:left="614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209" w15:restartNumberingAfterBreak="0">
    <w:nsid w:val="778D32B5"/>
    <w:multiLevelType w:val="hybridMultilevel"/>
    <w:tmpl w:val="0E9A89A6"/>
    <w:lvl w:ilvl="0" w:tplc="47C00A04">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B00B9E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41ACCD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64E57D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4BAAE2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FB411F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4C622E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E92BCF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F143EC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0" w15:restartNumberingAfterBreak="0">
    <w:nsid w:val="784130FC"/>
    <w:multiLevelType w:val="hybridMultilevel"/>
    <w:tmpl w:val="D6D6920A"/>
    <w:lvl w:ilvl="0" w:tplc="24AAD59C">
      <w:start w:val="2"/>
      <w:numFmt w:val="decimal"/>
      <w:lvlText w:val="%1."/>
      <w:lvlJc w:val="left"/>
      <w:pPr>
        <w:ind w:left="3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AA0583E">
      <w:start w:val="1"/>
      <w:numFmt w:val="lowerLetter"/>
      <w:lvlText w:val="%2"/>
      <w:lvlJc w:val="left"/>
      <w:pPr>
        <w:ind w:left="11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73E9A68">
      <w:start w:val="1"/>
      <w:numFmt w:val="lowerRoman"/>
      <w:lvlText w:val="%3"/>
      <w:lvlJc w:val="left"/>
      <w:pPr>
        <w:ind w:left="18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93210AC">
      <w:start w:val="1"/>
      <w:numFmt w:val="decimal"/>
      <w:lvlText w:val="%4"/>
      <w:lvlJc w:val="left"/>
      <w:pPr>
        <w:ind w:left="25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584B1E6">
      <w:start w:val="1"/>
      <w:numFmt w:val="lowerLetter"/>
      <w:lvlText w:val="%5"/>
      <w:lvlJc w:val="left"/>
      <w:pPr>
        <w:ind w:left="3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F4654D6">
      <w:start w:val="1"/>
      <w:numFmt w:val="lowerRoman"/>
      <w:lvlText w:val="%6"/>
      <w:lvlJc w:val="left"/>
      <w:pPr>
        <w:ind w:left="39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5ACEF60">
      <w:start w:val="1"/>
      <w:numFmt w:val="decimal"/>
      <w:lvlText w:val="%7"/>
      <w:lvlJc w:val="left"/>
      <w:pPr>
        <w:ind w:left="47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816C9C4">
      <w:start w:val="1"/>
      <w:numFmt w:val="lowerLetter"/>
      <w:lvlText w:val="%8"/>
      <w:lvlJc w:val="left"/>
      <w:pPr>
        <w:ind w:left="54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D2443D0">
      <w:start w:val="1"/>
      <w:numFmt w:val="lowerRoman"/>
      <w:lvlText w:val="%9"/>
      <w:lvlJc w:val="left"/>
      <w:pPr>
        <w:ind w:left="61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1" w15:restartNumberingAfterBreak="0">
    <w:nsid w:val="78CE3EA3"/>
    <w:multiLevelType w:val="hybridMultilevel"/>
    <w:tmpl w:val="5330C886"/>
    <w:lvl w:ilvl="0" w:tplc="78A865B0">
      <w:start w:val="1"/>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852ECAEC">
      <w:start w:val="1"/>
      <w:numFmt w:val="lowerLetter"/>
      <w:lvlText w:val="%2"/>
      <w:lvlJc w:val="left"/>
      <w:pPr>
        <w:ind w:left="12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3B6273E0">
      <w:start w:val="1"/>
      <w:numFmt w:val="lowerRoman"/>
      <w:lvlText w:val="%3"/>
      <w:lvlJc w:val="left"/>
      <w:pPr>
        <w:ind w:left="19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CFC69EEE">
      <w:start w:val="1"/>
      <w:numFmt w:val="decimal"/>
      <w:lvlText w:val="%4"/>
      <w:lvlJc w:val="left"/>
      <w:pPr>
        <w:ind w:left="26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9E28F886">
      <w:start w:val="1"/>
      <w:numFmt w:val="lowerLetter"/>
      <w:lvlText w:val="%5"/>
      <w:lvlJc w:val="left"/>
      <w:pPr>
        <w:ind w:left="337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F3DCD208">
      <w:start w:val="1"/>
      <w:numFmt w:val="lowerRoman"/>
      <w:lvlText w:val="%6"/>
      <w:lvlJc w:val="left"/>
      <w:pPr>
        <w:ind w:left="409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3C285176">
      <w:start w:val="1"/>
      <w:numFmt w:val="decimal"/>
      <w:lvlText w:val="%7"/>
      <w:lvlJc w:val="left"/>
      <w:pPr>
        <w:ind w:left="481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9A985F0E">
      <w:start w:val="1"/>
      <w:numFmt w:val="lowerLetter"/>
      <w:lvlText w:val="%8"/>
      <w:lvlJc w:val="left"/>
      <w:pPr>
        <w:ind w:left="553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1EA89C2E">
      <w:start w:val="1"/>
      <w:numFmt w:val="lowerRoman"/>
      <w:lvlText w:val="%9"/>
      <w:lvlJc w:val="left"/>
      <w:pPr>
        <w:ind w:left="625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212" w15:restartNumberingAfterBreak="0">
    <w:nsid w:val="7A1A1BE5"/>
    <w:multiLevelType w:val="hybridMultilevel"/>
    <w:tmpl w:val="B4C0CA26"/>
    <w:lvl w:ilvl="0" w:tplc="BFF6D1BE">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F6A2AE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726169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7A4A85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4C0F5E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146D54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0F6BFD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944D57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652769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3" w15:restartNumberingAfterBreak="0">
    <w:nsid w:val="7AAB544A"/>
    <w:multiLevelType w:val="hybridMultilevel"/>
    <w:tmpl w:val="D5D4A980"/>
    <w:lvl w:ilvl="0" w:tplc="124C4002">
      <w:start w:val="1"/>
      <w:numFmt w:val="decimal"/>
      <w:lvlText w:val="%1."/>
      <w:lvlJc w:val="left"/>
      <w:pPr>
        <w:ind w:left="129"/>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167013F4">
      <w:start w:val="1"/>
      <w:numFmt w:val="lowerLetter"/>
      <w:lvlText w:val="%2"/>
      <w:lvlJc w:val="left"/>
      <w:pPr>
        <w:ind w:left="12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E67E2350">
      <w:start w:val="1"/>
      <w:numFmt w:val="lowerRoman"/>
      <w:lvlText w:val="%3"/>
      <w:lvlJc w:val="left"/>
      <w:pPr>
        <w:ind w:left="19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F684C5E6">
      <w:start w:val="1"/>
      <w:numFmt w:val="decimal"/>
      <w:lvlText w:val="%4"/>
      <w:lvlJc w:val="left"/>
      <w:pPr>
        <w:ind w:left="26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863E95B0">
      <w:start w:val="1"/>
      <w:numFmt w:val="lowerLetter"/>
      <w:lvlText w:val="%5"/>
      <w:lvlJc w:val="left"/>
      <w:pPr>
        <w:ind w:left="336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03B45488">
      <w:start w:val="1"/>
      <w:numFmt w:val="lowerRoman"/>
      <w:lvlText w:val="%6"/>
      <w:lvlJc w:val="left"/>
      <w:pPr>
        <w:ind w:left="408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5D18DCC6">
      <w:start w:val="1"/>
      <w:numFmt w:val="decimal"/>
      <w:lvlText w:val="%7"/>
      <w:lvlJc w:val="left"/>
      <w:pPr>
        <w:ind w:left="480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14AE97F6">
      <w:start w:val="1"/>
      <w:numFmt w:val="lowerLetter"/>
      <w:lvlText w:val="%8"/>
      <w:lvlJc w:val="left"/>
      <w:pPr>
        <w:ind w:left="552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671C15D0">
      <w:start w:val="1"/>
      <w:numFmt w:val="lowerRoman"/>
      <w:lvlText w:val="%9"/>
      <w:lvlJc w:val="left"/>
      <w:pPr>
        <w:ind w:left="6243"/>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214" w15:restartNumberingAfterBreak="0">
    <w:nsid w:val="7AD475F6"/>
    <w:multiLevelType w:val="hybridMultilevel"/>
    <w:tmpl w:val="81A88350"/>
    <w:lvl w:ilvl="0" w:tplc="FE70BFC6">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534B5D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5C2F6E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7860D7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A92CDF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262054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BA81ED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C06B78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DD47E9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5" w15:restartNumberingAfterBreak="0">
    <w:nsid w:val="7AD80998"/>
    <w:multiLevelType w:val="hybridMultilevel"/>
    <w:tmpl w:val="96C45BF0"/>
    <w:lvl w:ilvl="0" w:tplc="5B24076A">
      <w:start w:val="5"/>
      <w:numFmt w:val="lowerLetter"/>
      <w:lvlText w:val="%1)"/>
      <w:lvlJc w:val="left"/>
      <w:pPr>
        <w:ind w:left="2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E90FFCC">
      <w:start w:val="1"/>
      <w:numFmt w:val="lowerLetter"/>
      <w:lvlText w:val="%2"/>
      <w:lvlJc w:val="left"/>
      <w:pPr>
        <w:ind w:left="1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3A6A84">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6462962">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2A269C2">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2CC63C8">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53C3202">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6589F34">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2EA04F0">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6" w15:restartNumberingAfterBreak="0">
    <w:nsid w:val="7CCC73A8"/>
    <w:multiLevelType w:val="hybridMultilevel"/>
    <w:tmpl w:val="96DAA1E8"/>
    <w:lvl w:ilvl="0" w:tplc="D298B876">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C006BB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8F82F5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EE6BA90">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CC6809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034BDA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74A2E7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0E2AEE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F36B43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7" w15:restartNumberingAfterBreak="0">
    <w:nsid w:val="7D6B4767"/>
    <w:multiLevelType w:val="hybridMultilevel"/>
    <w:tmpl w:val="E80229D0"/>
    <w:lvl w:ilvl="0" w:tplc="631A5B3E">
      <w:start w:val="1"/>
      <w:numFmt w:val="decimal"/>
      <w:lvlText w:val="%1."/>
      <w:lvlJc w:val="left"/>
      <w:pPr>
        <w:ind w:left="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12E4B1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FC6BAB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0BEF51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CE0A16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96EC16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D0A47B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6CA693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924282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8" w15:restartNumberingAfterBreak="0">
    <w:nsid w:val="7D9F01A9"/>
    <w:multiLevelType w:val="hybridMultilevel"/>
    <w:tmpl w:val="B7D4D8A4"/>
    <w:lvl w:ilvl="0" w:tplc="96141B7A">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166E77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4A89F4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62235C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72838D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8583BA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3F051C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C5C1DF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A103134">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9" w15:restartNumberingAfterBreak="0">
    <w:nsid w:val="7E77661C"/>
    <w:multiLevelType w:val="hybridMultilevel"/>
    <w:tmpl w:val="2B1A0960"/>
    <w:lvl w:ilvl="0" w:tplc="F342D19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518BC8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1C4B09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9A896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46440F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6E2836C">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27465A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5208C12">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194ADE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0" w15:restartNumberingAfterBreak="0">
    <w:nsid w:val="7FC753A4"/>
    <w:multiLevelType w:val="hybridMultilevel"/>
    <w:tmpl w:val="08FC1F96"/>
    <w:lvl w:ilvl="0" w:tplc="2994758E">
      <w:start w:val="1"/>
      <w:numFmt w:val="lowerLetter"/>
      <w:lvlText w:val="%1)"/>
      <w:lvlJc w:val="left"/>
      <w:pPr>
        <w:ind w:left="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9DCF48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12893A4">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25654A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856D39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0D60BC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4EEE08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FDE281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ED02E3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1" w15:restartNumberingAfterBreak="0">
    <w:nsid w:val="7FF07C9D"/>
    <w:multiLevelType w:val="hybridMultilevel"/>
    <w:tmpl w:val="DEB0824E"/>
    <w:lvl w:ilvl="0" w:tplc="7158CE72">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014873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EA827A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7AEDF6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0F09DB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C16C09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4407F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552094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AC8D28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918132681">
    <w:abstractNumId w:val="130"/>
  </w:num>
  <w:num w:numId="2" w16cid:durableId="456988871">
    <w:abstractNumId w:val="187"/>
  </w:num>
  <w:num w:numId="3" w16cid:durableId="1293750109">
    <w:abstractNumId w:val="198"/>
  </w:num>
  <w:num w:numId="4" w16cid:durableId="2053797684">
    <w:abstractNumId w:val="27"/>
  </w:num>
  <w:num w:numId="5" w16cid:durableId="7875273">
    <w:abstractNumId w:val="49"/>
  </w:num>
  <w:num w:numId="6" w16cid:durableId="1797212508">
    <w:abstractNumId w:val="119"/>
  </w:num>
  <w:num w:numId="7" w16cid:durableId="1580557822">
    <w:abstractNumId w:val="99"/>
  </w:num>
  <w:num w:numId="8" w16cid:durableId="2107801483">
    <w:abstractNumId w:val="144"/>
  </w:num>
  <w:num w:numId="9" w16cid:durableId="1847207947">
    <w:abstractNumId w:val="164"/>
  </w:num>
  <w:num w:numId="10" w16cid:durableId="1449396819">
    <w:abstractNumId w:val="50"/>
  </w:num>
  <w:num w:numId="11" w16cid:durableId="511456870">
    <w:abstractNumId w:val="118"/>
  </w:num>
  <w:num w:numId="12" w16cid:durableId="1582521876">
    <w:abstractNumId w:val="210"/>
  </w:num>
  <w:num w:numId="13" w16cid:durableId="1219560255">
    <w:abstractNumId w:val="44"/>
  </w:num>
  <w:num w:numId="14" w16cid:durableId="812453219">
    <w:abstractNumId w:val="104"/>
  </w:num>
  <w:num w:numId="15" w16cid:durableId="1809275356">
    <w:abstractNumId w:val="67"/>
  </w:num>
  <w:num w:numId="16" w16cid:durableId="961228171">
    <w:abstractNumId w:val="124"/>
  </w:num>
  <w:num w:numId="17" w16cid:durableId="1078211289">
    <w:abstractNumId w:val="39"/>
  </w:num>
  <w:num w:numId="18" w16cid:durableId="281810122">
    <w:abstractNumId w:val="74"/>
  </w:num>
  <w:num w:numId="19" w16cid:durableId="657685050">
    <w:abstractNumId w:val="38"/>
  </w:num>
  <w:num w:numId="20" w16cid:durableId="137647122">
    <w:abstractNumId w:val="34"/>
  </w:num>
  <w:num w:numId="21" w16cid:durableId="147942702">
    <w:abstractNumId w:val="156"/>
  </w:num>
  <w:num w:numId="22" w16cid:durableId="132794045">
    <w:abstractNumId w:val="56"/>
  </w:num>
  <w:num w:numId="23" w16cid:durableId="1957829885">
    <w:abstractNumId w:val="78"/>
  </w:num>
  <w:num w:numId="24" w16cid:durableId="2137016491">
    <w:abstractNumId w:val="113"/>
  </w:num>
  <w:num w:numId="25" w16cid:durableId="784615488">
    <w:abstractNumId w:val="20"/>
  </w:num>
  <w:num w:numId="26" w16cid:durableId="1072580849">
    <w:abstractNumId w:val="141"/>
  </w:num>
  <w:num w:numId="27" w16cid:durableId="1004169404">
    <w:abstractNumId w:val="197"/>
  </w:num>
  <w:num w:numId="28" w16cid:durableId="1253322241">
    <w:abstractNumId w:val="41"/>
  </w:num>
  <w:num w:numId="29" w16cid:durableId="344406860">
    <w:abstractNumId w:val="80"/>
  </w:num>
  <w:num w:numId="30" w16cid:durableId="2102487634">
    <w:abstractNumId w:val="196"/>
  </w:num>
  <w:num w:numId="31" w16cid:durableId="1263490699">
    <w:abstractNumId w:val="170"/>
  </w:num>
  <w:num w:numId="32" w16cid:durableId="1442338690">
    <w:abstractNumId w:val="208"/>
  </w:num>
  <w:num w:numId="33" w16cid:durableId="2004890019">
    <w:abstractNumId w:val="202"/>
  </w:num>
  <w:num w:numId="34" w16cid:durableId="396318376">
    <w:abstractNumId w:val="36"/>
  </w:num>
  <w:num w:numId="35" w16cid:durableId="405567825">
    <w:abstractNumId w:val="64"/>
  </w:num>
  <w:num w:numId="36" w16cid:durableId="2123380797">
    <w:abstractNumId w:val="137"/>
  </w:num>
  <w:num w:numId="37" w16cid:durableId="1763335857">
    <w:abstractNumId w:val="92"/>
  </w:num>
  <w:num w:numId="38" w16cid:durableId="743113393">
    <w:abstractNumId w:val="211"/>
  </w:num>
  <w:num w:numId="39" w16cid:durableId="1325089380">
    <w:abstractNumId w:val="121"/>
  </w:num>
  <w:num w:numId="40" w16cid:durableId="1966807864">
    <w:abstractNumId w:val="168"/>
  </w:num>
  <w:num w:numId="41" w16cid:durableId="1993830273">
    <w:abstractNumId w:val="85"/>
  </w:num>
  <w:num w:numId="42" w16cid:durableId="1976182009">
    <w:abstractNumId w:val="143"/>
  </w:num>
  <w:num w:numId="43" w16cid:durableId="838077928">
    <w:abstractNumId w:val="195"/>
  </w:num>
  <w:num w:numId="44" w16cid:durableId="464154516">
    <w:abstractNumId w:val="203"/>
  </w:num>
  <w:num w:numId="45" w16cid:durableId="226495556">
    <w:abstractNumId w:val="123"/>
  </w:num>
  <w:num w:numId="46" w16cid:durableId="662320973">
    <w:abstractNumId w:val="31"/>
  </w:num>
  <w:num w:numId="47" w16cid:durableId="1421487359">
    <w:abstractNumId w:val="215"/>
  </w:num>
  <w:num w:numId="48" w16cid:durableId="608586587">
    <w:abstractNumId w:val="179"/>
  </w:num>
  <w:num w:numId="49" w16cid:durableId="485243935">
    <w:abstractNumId w:val="120"/>
  </w:num>
  <w:num w:numId="50" w16cid:durableId="720326660">
    <w:abstractNumId w:val="178"/>
  </w:num>
  <w:num w:numId="51" w16cid:durableId="1438211240">
    <w:abstractNumId w:val="127"/>
  </w:num>
  <w:num w:numId="52" w16cid:durableId="1257061423">
    <w:abstractNumId w:val="26"/>
  </w:num>
  <w:num w:numId="53" w16cid:durableId="270666988">
    <w:abstractNumId w:val="9"/>
  </w:num>
  <w:num w:numId="54" w16cid:durableId="1855607185">
    <w:abstractNumId w:val="216"/>
  </w:num>
  <w:num w:numId="55" w16cid:durableId="593634129">
    <w:abstractNumId w:val="15"/>
  </w:num>
  <w:num w:numId="56" w16cid:durableId="731971645">
    <w:abstractNumId w:val="108"/>
  </w:num>
  <w:num w:numId="57" w16cid:durableId="831793345">
    <w:abstractNumId w:val="183"/>
  </w:num>
  <w:num w:numId="58" w16cid:durableId="453715417">
    <w:abstractNumId w:val="2"/>
  </w:num>
  <w:num w:numId="59" w16cid:durableId="1621109068">
    <w:abstractNumId w:val="76"/>
  </w:num>
  <w:num w:numId="60" w16cid:durableId="1747192187">
    <w:abstractNumId w:val="95"/>
  </w:num>
  <w:num w:numId="61" w16cid:durableId="1299338827">
    <w:abstractNumId w:val="51"/>
  </w:num>
  <w:num w:numId="62" w16cid:durableId="1404182958">
    <w:abstractNumId w:val="58"/>
  </w:num>
  <w:num w:numId="63" w16cid:durableId="659161152">
    <w:abstractNumId w:val="207"/>
  </w:num>
  <w:num w:numId="64" w16cid:durableId="189534816">
    <w:abstractNumId w:val="206"/>
  </w:num>
  <w:num w:numId="65" w16cid:durableId="389810236">
    <w:abstractNumId w:val="159"/>
  </w:num>
  <w:num w:numId="66" w16cid:durableId="1024552424">
    <w:abstractNumId w:val="35"/>
  </w:num>
  <w:num w:numId="67" w16cid:durableId="271741105">
    <w:abstractNumId w:val="47"/>
  </w:num>
  <w:num w:numId="68" w16cid:durableId="2022537605">
    <w:abstractNumId w:val="12"/>
  </w:num>
  <w:num w:numId="69" w16cid:durableId="737748026">
    <w:abstractNumId w:val="30"/>
  </w:num>
  <w:num w:numId="70" w16cid:durableId="1686858346">
    <w:abstractNumId w:val="174"/>
  </w:num>
  <w:num w:numId="71" w16cid:durableId="840124154">
    <w:abstractNumId w:val="181"/>
  </w:num>
  <w:num w:numId="72" w16cid:durableId="460652838">
    <w:abstractNumId w:val="29"/>
  </w:num>
  <w:num w:numId="73" w16cid:durableId="2074545600">
    <w:abstractNumId w:val="180"/>
  </w:num>
  <w:num w:numId="74" w16cid:durableId="458033548">
    <w:abstractNumId w:val="111"/>
  </w:num>
  <w:num w:numId="75" w16cid:durableId="968557472">
    <w:abstractNumId w:val="81"/>
  </w:num>
  <w:num w:numId="76" w16cid:durableId="1719741662">
    <w:abstractNumId w:val="91"/>
  </w:num>
  <w:num w:numId="77" w16cid:durableId="1533378480">
    <w:abstractNumId w:val="140"/>
  </w:num>
  <w:num w:numId="78" w16cid:durableId="318770499">
    <w:abstractNumId w:val="132"/>
  </w:num>
  <w:num w:numId="79" w16cid:durableId="1171332071">
    <w:abstractNumId w:val="106"/>
  </w:num>
  <w:num w:numId="80" w16cid:durableId="1467430584">
    <w:abstractNumId w:val="62"/>
  </w:num>
  <w:num w:numId="81" w16cid:durableId="572812644">
    <w:abstractNumId w:val="145"/>
  </w:num>
  <w:num w:numId="82" w16cid:durableId="1424182240">
    <w:abstractNumId w:val="167"/>
  </w:num>
  <w:num w:numId="83" w16cid:durableId="347802681">
    <w:abstractNumId w:val="107"/>
  </w:num>
  <w:num w:numId="84" w16cid:durableId="703210067">
    <w:abstractNumId w:val="146"/>
  </w:num>
  <w:num w:numId="85" w16cid:durableId="192617570">
    <w:abstractNumId w:val="209"/>
  </w:num>
  <w:num w:numId="86" w16cid:durableId="2079665500">
    <w:abstractNumId w:val="148"/>
  </w:num>
  <w:num w:numId="87" w16cid:durableId="343824726">
    <w:abstractNumId w:val="154"/>
  </w:num>
  <w:num w:numId="88" w16cid:durableId="2045783251">
    <w:abstractNumId w:val="52"/>
  </w:num>
  <w:num w:numId="89" w16cid:durableId="546112764">
    <w:abstractNumId w:val="201"/>
  </w:num>
  <w:num w:numId="90" w16cid:durableId="1119303959">
    <w:abstractNumId w:val="19"/>
  </w:num>
  <w:num w:numId="91" w16cid:durableId="1257664899">
    <w:abstractNumId w:val="218"/>
  </w:num>
  <w:num w:numId="92" w16cid:durableId="1632515748">
    <w:abstractNumId w:val="87"/>
  </w:num>
  <w:num w:numId="93" w16cid:durableId="56784820">
    <w:abstractNumId w:val="14"/>
  </w:num>
  <w:num w:numId="94" w16cid:durableId="2035764330">
    <w:abstractNumId w:val="162"/>
  </w:num>
  <w:num w:numId="95" w16cid:durableId="360781802">
    <w:abstractNumId w:val="40"/>
  </w:num>
  <w:num w:numId="96" w16cid:durableId="322706617">
    <w:abstractNumId w:val="125"/>
  </w:num>
  <w:num w:numId="97" w16cid:durableId="711535617">
    <w:abstractNumId w:val="72"/>
  </w:num>
  <w:num w:numId="98" w16cid:durableId="445318888">
    <w:abstractNumId w:val="53"/>
  </w:num>
  <w:num w:numId="99" w16cid:durableId="381098906">
    <w:abstractNumId w:val="48"/>
  </w:num>
  <w:num w:numId="100" w16cid:durableId="290283616">
    <w:abstractNumId w:val="158"/>
  </w:num>
  <w:num w:numId="101" w16cid:durableId="587084601">
    <w:abstractNumId w:val="117"/>
  </w:num>
  <w:num w:numId="102" w16cid:durableId="547112351">
    <w:abstractNumId w:val="188"/>
  </w:num>
  <w:num w:numId="103" w16cid:durableId="687873073">
    <w:abstractNumId w:val="89"/>
  </w:num>
  <w:num w:numId="104" w16cid:durableId="1792674935">
    <w:abstractNumId w:val="8"/>
  </w:num>
  <w:num w:numId="105" w16cid:durableId="1454446370">
    <w:abstractNumId w:val="98"/>
  </w:num>
  <w:num w:numId="106" w16cid:durableId="308289633">
    <w:abstractNumId w:val="5"/>
  </w:num>
  <w:num w:numId="107" w16cid:durableId="1911383406">
    <w:abstractNumId w:val="142"/>
  </w:num>
  <w:num w:numId="108" w16cid:durableId="157039441">
    <w:abstractNumId w:val="190"/>
  </w:num>
  <w:num w:numId="109" w16cid:durableId="176309879">
    <w:abstractNumId w:val="17"/>
  </w:num>
  <w:num w:numId="110" w16cid:durableId="1388068939">
    <w:abstractNumId w:val="101"/>
  </w:num>
  <w:num w:numId="111" w16cid:durableId="1715957256">
    <w:abstractNumId w:val="155"/>
  </w:num>
  <w:num w:numId="112" w16cid:durableId="2144038819">
    <w:abstractNumId w:val="213"/>
  </w:num>
  <w:num w:numId="113" w16cid:durableId="1938177790">
    <w:abstractNumId w:val="193"/>
  </w:num>
  <w:num w:numId="114" w16cid:durableId="296568372">
    <w:abstractNumId w:val="199"/>
  </w:num>
  <w:num w:numId="115" w16cid:durableId="1576816378">
    <w:abstractNumId w:val="6"/>
  </w:num>
  <w:num w:numId="116" w16cid:durableId="244077240">
    <w:abstractNumId w:val="157"/>
  </w:num>
  <w:num w:numId="117" w16cid:durableId="1545210876">
    <w:abstractNumId w:val="11"/>
  </w:num>
  <w:num w:numId="118" w16cid:durableId="87308491">
    <w:abstractNumId w:val="212"/>
  </w:num>
  <w:num w:numId="119" w16cid:durableId="501896326">
    <w:abstractNumId w:val="173"/>
  </w:num>
  <w:num w:numId="120" w16cid:durableId="1917353975">
    <w:abstractNumId w:val="136"/>
  </w:num>
  <w:num w:numId="121" w16cid:durableId="2033996979">
    <w:abstractNumId w:val="60"/>
  </w:num>
  <w:num w:numId="122" w16cid:durableId="2093621069">
    <w:abstractNumId w:val="4"/>
  </w:num>
  <w:num w:numId="123" w16cid:durableId="1739666067">
    <w:abstractNumId w:val="172"/>
  </w:num>
  <w:num w:numId="124" w16cid:durableId="1225020389">
    <w:abstractNumId w:val="63"/>
  </w:num>
  <w:num w:numId="125" w16cid:durableId="1694184160">
    <w:abstractNumId w:val="194"/>
  </w:num>
  <w:num w:numId="126" w16cid:durableId="1967470593">
    <w:abstractNumId w:val="42"/>
  </w:num>
  <w:num w:numId="127" w16cid:durableId="176234568">
    <w:abstractNumId w:val="0"/>
  </w:num>
  <w:num w:numId="128" w16cid:durableId="1186096218">
    <w:abstractNumId w:val="24"/>
  </w:num>
  <w:num w:numId="129" w16cid:durableId="646860576">
    <w:abstractNumId w:val="153"/>
  </w:num>
  <w:num w:numId="130" w16cid:durableId="1064642163">
    <w:abstractNumId w:val="128"/>
  </w:num>
  <w:num w:numId="131" w16cid:durableId="1636257682">
    <w:abstractNumId w:val="184"/>
  </w:num>
  <w:num w:numId="132" w16cid:durableId="255402973">
    <w:abstractNumId w:val="160"/>
  </w:num>
  <w:num w:numId="133" w16cid:durableId="851992045">
    <w:abstractNumId w:val="152"/>
  </w:num>
  <w:num w:numId="134" w16cid:durableId="720784137">
    <w:abstractNumId w:val="177"/>
  </w:num>
  <w:num w:numId="135" w16cid:durableId="441188974">
    <w:abstractNumId w:val="165"/>
  </w:num>
  <w:num w:numId="136" w16cid:durableId="1351839488">
    <w:abstractNumId w:val="175"/>
  </w:num>
  <w:num w:numId="137" w16cid:durableId="1168211784">
    <w:abstractNumId w:val="166"/>
  </w:num>
  <w:num w:numId="138" w16cid:durableId="657732575">
    <w:abstractNumId w:val="93"/>
  </w:num>
  <w:num w:numId="139" w16cid:durableId="615721424">
    <w:abstractNumId w:val="37"/>
  </w:num>
  <w:num w:numId="140" w16cid:durableId="853226703">
    <w:abstractNumId w:val="221"/>
  </w:num>
  <w:num w:numId="141" w16cid:durableId="1316181535">
    <w:abstractNumId w:val="126"/>
  </w:num>
  <w:num w:numId="142" w16cid:durableId="1221675495">
    <w:abstractNumId w:val="205"/>
  </w:num>
  <w:num w:numId="143" w16cid:durableId="1410233937">
    <w:abstractNumId w:val="88"/>
  </w:num>
  <w:num w:numId="144" w16cid:durableId="1761100791">
    <w:abstractNumId w:val="3"/>
  </w:num>
  <w:num w:numId="145" w16cid:durableId="351108356">
    <w:abstractNumId w:val="45"/>
  </w:num>
  <w:num w:numId="146" w16cid:durableId="1673684095">
    <w:abstractNumId w:val="57"/>
  </w:num>
  <w:num w:numId="147" w16cid:durableId="132018253">
    <w:abstractNumId w:val="171"/>
  </w:num>
  <w:num w:numId="148" w16cid:durableId="2444496">
    <w:abstractNumId w:val="69"/>
  </w:num>
  <w:num w:numId="149" w16cid:durableId="1162892176">
    <w:abstractNumId w:val="134"/>
  </w:num>
  <w:num w:numId="150" w16cid:durableId="143199841">
    <w:abstractNumId w:val="163"/>
  </w:num>
  <w:num w:numId="151" w16cid:durableId="516625550">
    <w:abstractNumId w:val="1"/>
  </w:num>
  <w:num w:numId="152" w16cid:durableId="935672577">
    <w:abstractNumId w:val="21"/>
  </w:num>
  <w:num w:numId="153" w16cid:durableId="931746276">
    <w:abstractNumId w:val="22"/>
  </w:num>
  <w:num w:numId="154" w16cid:durableId="1771775611">
    <w:abstractNumId w:val="189"/>
  </w:num>
  <w:num w:numId="155" w16cid:durableId="266692131">
    <w:abstractNumId w:val="135"/>
  </w:num>
  <w:num w:numId="156" w16cid:durableId="309601073">
    <w:abstractNumId w:val="10"/>
  </w:num>
  <w:num w:numId="157" w16cid:durableId="116527419">
    <w:abstractNumId w:val="66"/>
  </w:num>
  <w:num w:numId="158" w16cid:durableId="1035501541">
    <w:abstractNumId w:val="55"/>
  </w:num>
  <w:num w:numId="159" w16cid:durableId="491530363">
    <w:abstractNumId w:val="220"/>
  </w:num>
  <w:num w:numId="160" w16cid:durableId="1542324724">
    <w:abstractNumId w:val="90"/>
  </w:num>
  <w:num w:numId="161" w16cid:durableId="1879970170">
    <w:abstractNumId w:val="110"/>
  </w:num>
  <w:num w:numId="162" w16cid:durableId="1758549883">
    <w:abstractNumId w:val="16"/>
  </w:num>
  <w:num w:numId="163" w16cid:durableId="1657370943">
    <w:abstractNumId w:val="73"/>
  </w:num>
  <w:num w:numId="164" w16cid:durableId="1181310069">
    <w:abstractNumId w:val="65"/>
  </w:num>
  <w:num w:numId="165" w16cid:durableId="1935236550">
    <w:abstractNumId w:val="86"/>
  </w:num>
  <w:num w:numId="166" w16cid:durableId="221214496">
    <w:abstractNumId w:val="28"/>
  </w:num>
  <w:num w:numId="167" w16cid:durableId="443816818">
    <w:abstractNumId w:val="149"/>
  </w:num>
  <w:num w:numId="168" w16cid:durableId="945423912">
    <w:abstractNumId w:val="150"/>
  </w:num>
  <w:num w:numId="169" w16cid:durableId="1894778211">
    <w:abstractNumId w:val="94"/>
  </w:num>
  <w:num w:numId="170" w16cid:durableId="622614008">
    <w:abstractNumId w:val="133"/>
  </w:num>
  <w:num w:numId="171" w16cid:durableId="1026441333">
    <w:abstractNumId w:val="61"/>
  </w:num>
  <w:num w:numId="172" w16cid:durableId="1029144073">
    <w:abstractNumId w:val="192"/>
  </w:num>
  <w:num w:numId="173" w16cid:durableId="1016620659">
    <w:abstractNumId w:val="105"/>
  </w:num>
  <w:num w:numId="174" w16cid:durableId="182325617">
    <w:abstractNumId w:val="138"/>
  </w:num>
  <w:num w:numId="175" w16cid:durableId="791166564">
    <w:abstractNumId w:val="75"/>
  </w:num>
  <w:num w:numId="176" w16cid:durableId="566647492">
    <w:abstractNumId w:val="186"/>
  </w:num>
  <w:num w:numId="177" w16cid:durableId="1612206734">
    <w:abstractNumId w:val="185"/>
  </w:num>
  <w:num w:numId="178" w16cid:durableId="1604998025">
    <w:abstractNumId w:val="46"/>
  </w:num>
  <w:num w:numId="179" w16cid:durableId="532302406">
    <w:abstractNumId w:val="109"/>
  </w:num>
  <w:num w:numId="180" w16cid:durableId="589890055">
    <w:abstractNumId w:val="122"/>
  </w:num>
  <w:num w:numId="181" w16cid:durableId="817962794">
    <w:abstractNumId w:val="43"/>
  </w:num>
  <w:num w:numId="182" w16cid:durableId="1519352562">
    <w:abstractNumId w:val="116"/>
  </w:num>
  <w:num w:numId="183" w16cid:durableId="248999850">
    <w:abstractNumId w:val="214"/>
  </w:num>
  <w:num w:numId="184" w16cid:durableId="735975939">
    <w:abstractNumId w:val="191"/>
  </w:num>
  <w:num w:numId="185" w16cid:durableId="1598638403">
    <w:abstractNumId w:val="18"/>
  </w:num>
  <w:num w:numId="186" w16cid:durableId="1320307606">
    <w:abstractNumId w:val="79"/>
  </w:num>
  <w:num w:numId="187" w16cid:durableId="1587419441">
    <w:abstractNumId w:val="97"/>
  </w:num>
  <w:num w:numId="188" w16cid:durableId="643118634">
    <w:abstractNumId w:val="23"/>
  </w:num>
  <w:num w:numId="189" w16cid:durableId="2046522137">
    <w:abstractNumId w:val="82"/>
  </w:num>
  <w:num w:numId="190" w16cid:durableId="414521325">
    <w:abstractNumId w:val="169"/>
  </w:num>
  <w:num w:numId="191" w16cid:durableId="1514878715">
    <w:abstractNumId w:val="77"/>
  </w:num>
  <w:num w:numId="192" w16cid:durableId="138504047">
    <w:abstractNumId w:val="33"/>
  </w:num>
  <w:num w:numId="193" w16cid:durableId="497353430">
    <w:abstractNumId w:val="219"/>
  </w:num>
  <w:num w:numId="194" w16cid:durableId="802768447">
    <w:abstractNumId w:val="217"/>
  </w:num>
  <w:num w:numId="195" w16cid:durableId="1779837381">
    <w:abstractNumId w:val="204"/>
  </w:num>
  <w:num w:numId="196" w16cid:durableId="1478450840">
    <w:abstractNumId w:val="70"/>
  </w:num>
  <w:num w:numId="197" w16cid:durableId="1285890334">
    <w:abstractNumId w:val="139"/>
  </w:num>
  <w:num w:numId="198" w16cid:durableId="686827331">
    <w:abstractNumId w:val="96"/>
  </w:num>
  <w:num w:numId="199" w16cid:durableId="1546868006">
    <w:abstractNumId w:val="161"/>
  </w:num>
  <w:num w:numId="200" w16cid:durableId="1808432473">
    <w:abstractNumId w:val="176"/>
  </w:num>
  <w:num w:numId="201" w16cid:durableId="922371436">
    <w:abstractNumId w:val="7"/>
  </w:num>
  <w:num w:numId="202" w16cid:durableId="1417752215">
    <w:abstractNumId w:val="25"/>
  </w:num>
  <w:num w:numId="203" w16cid:durableId="1546061554">
    <w:abstractNumId w:val="103"/>
  </w:num>
  <w:num w:numId="204" w16cid:durableId="1653169617">
    <w:abstractNumId w:val="100"/>
  </w:num>
  <w:num w:numId="205" w16cid:durableId="737820312">
    <w:abstractNumId w:val="59"/>
  </w:num>
  <w:num w:numId="206" w16cid:durableId="68158435">
    <w:abstractNumId w:val="32"/>
  </w:num>
  <w:num w:numId="207" w16cid:durableId="1309213743">
    <w:abstractNumId w:val="115"/>
  </w:num>
  <w:num w:numId="208" w16cid:durableId="1636179878">
    <w:abstractNumId w:val="182"/>
  </w:num>
  <w:num w:numId="209" w16cid:durableId="1678920144">
    <w:abstractNumId w:val="71"/>
  </w:num>
  <w:num w:numId="210" w16cid:durableId="352073999">
    <w:abstractNumId w:val="54"/>
  </w:num>
  <w:num w:numId="211" w16cid:durableId="785659236">
    <w:abstractNumId w:val="131"/>
  </w:num>
  <w:num w:numId="212" w16cid:durableId="921833969">
    <w:abstractNumId w:val="84"/>
  </w:num>
  <w:num w:numId="213" w16cid:durableId="1058434090">
    <w:abstractNumId w:val="112"/>
  </w:num>
  <w:num w:numId="214" w16cid:durableId="867720261">
    <w:abstractNumId w:val="114"/>
  </w:num>
  <w:num w:numId="215" w16cid:durableId="789974026">
    <w:abstractNumId w:val="83"/>
  </w:num>
  <w:num w:numId="216" w16cid:durableId="332876411">
    <w:abstractNumId w:val="147"/>
  </w:num>
  <w:num w:numId="217" w16cid:durableId="254828525">
    <w:abstractNumId w:val="129"/>
  </w:num>
  <w:num w:numId="218" w16cid:durableId="1480996688">
    <w:abstractNumId w:val="68"/>
  </w:num>
  <w:num w:numId="219" w16cid:durableId="69087722">
    <w:abstractNumId w:val="200"/>
  </w:num>
  <w:num w:numId="220" w16cid:durableId="1531648987">
    <w:abstractNumId w:val="151"/>
  </w:num>
  <w:num w:numId="221" w16cid:durableId="945624481">
    <w:abstractNumId w:val="13"/>
  </w:num>
  <w:num w:numId="222" w16cid:durableId="2093966356">
    <w:abstractNumId w:val="1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283"/>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EF2"/>
    <w:rsid w:val="002061C2"/>
    <w:rsid w:val="00212BEC"/>
    <w:rsid w:val="006A0FA9"/>
    <w:rsid w:val="00752D89"/>
    <w:rsid w:val="009F3CBC"/>
    <w:rsid w:val="00B32EF2"/>
    <w:rsid w:val="00C22059"/>
    <w:rsid w:val="00C765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91D30"/>
  <w15:docId w15:val="{81845F97-3071-4F0E-834C-8C9B34BA5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Calibri" w:eastAsia="Calibri" w:hAnsi="Calibri" w:cs="Calibri"/>
      <w:color w:val="000000"/>
      <w:sz w:val="22"/>
    </w:rPr>
  </w:style>
  <w:style w:type="paragraph" w:styleId="Titolo1">
    <w:name w:val="heading 1"/>
    <w:next w:val="Normale"/>
    <w:link w:val="Titolo1Carattere"/>
    <w:uiPriority w:val="9"/>
    <w:qFormat/>
    <w:pPr>
      <w:keepNext/>
      <w:keepLines/>
      <w:spacing w:after="0" w:line="259" w:lineRule="auto"/>
      <w:ind w:left="164"/>
      <w:jc w:val="center"/>
      <w:outlineLvl w:val="0"/>
    </w:pPr>
    <w:rPr>
      <w:rFonts w:ascii="Arial" w:eastAsia="Arial" w:hAnsi="Arial" w:cs="Arial"/>
      <w:b/>
      <w:color w:val="181717"/>
      <w:sz w:val="20"/>
    </w:rPr>
  </w:style>
  <w:style w:type="paragraph" w:styleId="Titolo2">
    <w:name w:val="heading 2"/>
    <w:next w:val="Normale"/>
    <w:link w:val="Titolo2Carattere"/>
    <w:uiPriority w:val="9"/>
    <w:unhideWhenUsed/>
    <w:qFormat/>
    <w:pPr>
      <w:keepNext/>
      <w:keepLines/>
      <w:pBdr>
        <w:top w:val="single" w:sz="8" w:space="0" w:color="000000"/>
        <w:left w:val="single" w:sz="8" w:space="0" w:color="000000"/>
        <w:bottom w:val="single" w:sz="8" w:space="0" w:color="000000"/>
        <w:right w:val="single" w:sz="8" w:space="0" w:color="000000"/>
      </w:pBdr>
      <w:shd w:val="clear" w:color="auto" w:fill="C3C3C3"/>
      <w:spacing w:after="0" w:line="259" w:lineRule="auto"/>
      <w:ind w:left="134" w:hanging="10"/>
      <w:outlineLvl w:val="1"/>
    </w:pPr>
    <w:rPr>
      <w:rFonts w:ascii="Arial" w:eastAsia="Arial" w:hAnsi="Arial" w:cs="Arial"/>
      <w:b/>
      <w:i/>
      <w:color w:val="020202"/>
      <w:sz w:val="18"/>
    </w:rPr>
  </w:style>
  <w:style w:type="paragraph" w:styleId="Titolo3">
    <w:name w:val="heading 3"/>
    <w:next w:val="Normale"/>
    <w:link w:val="Titolo3Carattere"/>
    <w:uiPriority w:val="9"/>
    <w:unhideWhenUsed/>
    <w:qFormat/>
    <w:pPr>
      <w:keepNext/>
      <w:keepLines/>
      <w:pBdr>
        <w:top w:val="single" w:sz="8" w:space="0" w:color="000000"/>
        <w:left w:val="single" w:sz="8" w:space="0" w:color="000000"/>
        <w:bottom w:val="single" w:sz="8" w:space="0" w:color="000000"/>
        <w:right w:val="single" w:sz="8" w:space="0" w:color="000000"/>
      </w:pBdr>
      <w:shd w:val="clear" w:color="auto" w:fill="C3C3C3"/>
      <w:spacing w:after="0" w:line="259" w:lineRule="auto"/>
      <w:ind w:left="144" w:hanging="10"/>
      <w:outlineLvl w:val="2"/>
    </w:pPr>
    <w:rPr>
      <w:rFonts w:ascii="Arial" w:eastAsia="Arial" w:hAnsi="Arial" w:cs="Arial"/>
      <w:b/>
      <w:i/>
      <w:color w:val="000000"/>
      <w:sz w:val="1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Arial" w:eastAsia="Arial" w:hAnsi="Arial" w:cs="Arial"/>
      <w:b/>
      <w:i/>
      <w:color w:val="000000"/>
      <w:sz w:val="18"/>
    </w:rPr>
  </w:style>
  <w:style w:type="character" w:customStyle="1" w:styleId="Titolo2Carattere">
    <w:name w:val="Titolo 2 Carattere"/>
    <w:link w:val="Titolo2"/>
    <w:rPr>
      <w:rFonts w:ascii="Arial" w:eastAsia="Arial" w:hAnsi="Arial" w:cs="Arial"/>
      <w:b/>
      <w:i/>
      <w:color w:val="020202"/>
      <w:sz w:val="18"/>
    </w:rPr>
  </w:style>
  <w:style w:type="character" w:customStyle="1" w:styleId="Titolo1Carattere">
    <w:name w:val="Titolo 1 Carattere"/>
    <w:link w:val="Titolo1"/>
    <w:rPr>
      <w:rFonts w:ascii="Arial" w:eastAsia="Arial" w:hAnsi="Arial" w:cs="Arial"/>
      <w:b/>
      <w:color w:val="181717"/>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6A0FA9"/>
    <w:pPr>
      <w:ind w:left="720"/>
      <w:contextualSpacing/>
    </w:pPr>
  </w:style>
  <w:style w:type="character" w:styleId="Collegamentoipertestuale">
    <w:name w:val="Hyperlink"/>
    <w:basedOn w:val="Carpredefinitoparagrafo"/>
    <w:uiPriority w:val="99"/>
    <w:unhideWhenUsed/>
    <w:rsid w:val="00C22059"/>
    <w:rPr>
      <w:color w:val="467886" w:themeColor="hyperlink"/>
      <w:u w:val="single"/>
    </w:rPr>
  </w:style>
  <w:style w:type="character" w:styleId="Menzionenonrisolta">
    <w:name w:val="Unresolved Mention"/>
    <w:basedOn w:val="Carpredefinitoparagrafo"/>
    <w:uiPriority w:val="99"/>
    <w:semiHidden/>
    <w:unhideWhenUsed/>
    <w:rsid w:val="00C22059"/>
    <w:rPr>
      <w:color w:val="605E5C"/>
      <w:shd w:val="clear" w:color="auto" w:fill="E1DFDD"/>
    </w:rPr>
  </w:style>
  <w:style w:type="paragraph" w:styleId="Intestazione">
    <w:name w:val="header"/>
    <w:basedOn w:val="Normale"/>
    <w:link w:val="IntestazioneCarattere"/>
    <w:uiPriority w:val="99"/>
    <w:unhideWhenUsed/>
    <w:rsid w:val="00C765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65E9"/>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10.xml"/><Relationship Id="rId39" Type="http://schemas.openxmlformats.org/officeDocument/2006/relationships/theme" Target="theme/theme1.xml"/><Relationship Id="rId21" Type="http://schemas.openxmlformats.org/officeDocument/2006/relationships/footer" Target="footer8.xml"/><Relationship Id="rId34" Type="http://schemas.openxmlformats.org/officeDocument/2006/relationships/footer" Target="footer13.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6.xml"/><Relationship Id="rId25" Type="http://schemas.openxmlformats.org/officeDocument/2006/relationships/header" Target="header8.xml"/><Relationship Id="rId33" Type="http://schemas.openxmlformats.org/officeDocument/2006/relationships/header" Target="header11.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7.xml"/><Relationship Id="rId32" Type="http://schemas.openxmlformats.org/officeDocument/2006/relationships/header" Target="header10.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header" Target="header12.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footer" Target="footer11.xml"/><Relationship Id="rId30" Type="http://schemas.openxmlformats.org/officeDocument/2006/relationships/image" Target="media/image3.png"/><Relationship Id="rId35" Type="http://schemas.openxmlformats.org/officeDocument/2006/relationships/footer" Target="footer14.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265</Pages>
  <Words>47527</Words>
  <Characters>270907</Characters>
  <Application>Microsoft Office Word</Application>
  <DocSecurity>0</DocSecurity>
  <Lines>2257</Lines>
  <Paragraphs>635</Paragraphs>
  <ScaleCrop>false</ScaleCrop>
  <Company/>
  <LinksUpToDate>false</LinksUpToDate>
  <CharactersWithSpaces>317799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 Legale Di Fiore</dc:creator>
  <cp:keywords/>
  <cp:lastModifiedBy>Studio Legale Di Fiore</cp:lastModifiedBy>
  <cp:revision>4</cp:revision>
  <dcterms:created xsi:type="dcterms:W3CDTF">2026-03-06T16:52:00Z</dcterms:created>
  <dcterms:modified xsi:type="dcterms:W3CDTF">2026-03-06T17:13:00Z</dcterms:modified>
</cp:coreProperties>
</file>